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C573">
      <w:pPr>
        <w:pStyle w:val="2"/>
        <w:spacing w:line="311" w:lineRule="auto"/>
      </w:pPr>
    </w:p>
    <w:p w14:paraId="2A1A5F2E">
      <w:pPr>
        <w:spacing w:before="147"/>
        <w:rPr>
          <w:rFonts w:ascii="宋体" w:hAnsi="宋体" w:eastAsia="宋体" w:cs="宋体"/>
          <w:sz w:val="45"/>
          <w:szCs w:val="45"/>
        </w:rPr>
      </w:pPr>
      <w:r>
        <w:rPr>
          <w:rFonts w:ascii="宋体" w:hAnsi="宋体" w:eastAsia="宋体" w:cs="宋体"/>
          <w:spacing w:val="-11"/>
          <w:sz w:val="45"/>
          <w:szCs w:val="45"/>
        </w:rPr>
        <w:t xml:space="preserve"> </w:t>
      </w:r>
      <w:r>
        <w:rPr>
          <w:rFonts w:ascii="宋体" w:hAnsi="宋体" w:eastAsia="宋体" w:cs="宋体"/>
          <w:b/>
          <w:bCs/>
          <w:spacing w:val="5"/>
          <w:sz w:val="45"/>
          <w:szCs w:val="45"/>
        </w:rPr>
        <w:t>军工产品研制管理丛书</w:t>
      </w:r>
    </w:p>
    <w:p w14:paraId="5D5AB3DB">
      <w:pPr>
        <w:pStyle w:val="2"/>
        <w:spacing w:line="274" w:lineRule="auto"/>
      </w:pPr>
    </w:p>
    <w:p w14:paraId="319DFCFE">
      <w:pPr>
        <w:pStyle w:val="2"/>
        <w:spacing w:line="274" w:lineRule="auto"/>
      </w:pPr>
    </w:p>
    <w:p w14:paraId="529C1592">
      <w:pPr>
        <w:pStyle w:val="2"/>
        <w:spacing w:line="274" w:lineRule="auto"/>
      </w:pPr>
    </w:p>
    <w:p w14:paraId="6B542CC8">
      <w:pPr>
        <w:pStyle w:val="2"/>
        <w:spacing w:line="274" w:lineRule="auto"/>
      </w:pPr>
    </w:p>
    <w:p w14:paraId="59E70E2C">
      <w:pPr>
        <w:pStyle w:val="2"/>
        <w:spacing w:line="274" w:lineRule="auto"/>
      </w:pPr>
    </w:p>
    <w:p w14:paraId="26C78FD8">
      <w:pPr>
        <w:spacing w:before="439" w:line="219" w:lineRule="auto"/>
        <w:ind w:left="827"/>
        <w:rPr>
          <w:rFonts w:ascii="宋体" w:hAnsi="宋体" w:eastAsia="宋体" w:cs="宋体"/>
          <w:sz w:val="135"/>
          <w:szCs w:val="135"/>
        </w:rPr>
      </w:pPr>
      <w:r>
        <w:rPr>
          <w:rFonts w:ascii="宋体" w:hAnsi="宋体" w:eastAsia="宋体" w:cs="宋体"/>
          <w:b/>
          <w:bCs/>
          <w:color w:val="FFFFFF"/>
          <w:spacing w:val="-155"/>
          <w:sz w:val="135"/>
          <w:szCs w:val="135"/>
        </w:rPr>
        <w:t>军工产品研制</w:t>
      </w:r>
    </w:p>
    <w:p w14:paraId="4CA055F1">
      <w:pPr>
        <w:spacing w:before="4" w:line="221" w:lineRule="auto"/>
        <w:ind w:left="856"/>
        <w:rPr>
          <w:rFonts w:ascii="黑体" w:hAnsi="黑体" w:eastAsia="黑体" w:cs="黑体"/>
          <w:sz w:val="135"/>
          <w:szCs w:val="135"/>
        </w:rPr>
      </w:pPr>
      <w:r>
        <w:rPr>
          <w:rFonts w:ascii="黑体" w:hAnsi="黑体" w:eastAsia="黑体" w:cs="黑体"/>
          <w:b/>
          <w:bCs/>
          <w:color w:val="B07040"/>
          <w:spacing w:val="-124"/>
          <w:w w:val="96"/>
          <w:sz w:val="135"/>
          <w:szCs w:val="135"/>
        </w:rPr>
        <w:t>技术文件编写说明</w:t>
      </w:r>
    </w:p>
    <w:p w14:paraId="33374FF2">
      <w:pPr>
        <w:pStyle w:val="2"/>
        <w:spacing w:line="278" w:lineRule="auto"/>
      </w:pPr>
    </w:p>
    <w:p w14:paraId="042A21D6">
      <w:pPr>
        <w:pStyle w:val="2"/>
        <w:spacing w:line="279" w:lineRule="auto"/>
      </w:pPr>
    </w:p>
    <w:p w14:paraId="5A7CB7C3">
      <w:pPr>
        <w:pStyle w:val="2"/>
        <w:spacing w:line="279" w:lineRule="auto"/>
      </w:pPr>
    </w:p>
    <w:p w14:paraId="45F162D2">
      <w:pPr>
        <w:pStyle w:val="2"/>
        <w:spacing w:line="279" w:lineRule="auto"/>
      </w:pPr>
    </w:p>
    <w:p w14:paraId="611C10D2">
      <w:pPr>
        <w:spacing w:before="130" w:line="221" w:lineRule="auto"/>
        <w:ind w:left="930"/>
        <w:rPr>
          <w:rFonts w:ascii="黑体" w:hAnsi="黑体" w:eastAsia="黑体" w:cs="黑体"/>
          <w:sz w:val="40"/>
          <w:szCs w:val="40"/>
        </w:rPr>
      </w:pPr>
      <w:r>
        <w:rPr>
          <w:rFonts w:ascii="黑体" w:hAnsi="黑体" w:eastAsia="黑体" w:cs="黑体"/>
          <w:spacing w:val="-12"/>
          <w:sz w:val="40"/>
          <w:szCs w:val="40"/>
        </w:rPr>
        <w:t>梅文华</w:t>
      </w:r>
      <w:r>
        <w:rPr>
          <w:rFonts w:ascii="黑体" w:hAnsi="黑体" w:eastAsia="黑体" w:cs="黑体"/>
          <w:spacing w:val="33"/>
          <w:sz w:val="40"/>
          <w:szCs w:val="40"/>
        </w:rPr>
        <w:t xml:space="preserve">  </w:t>
      </w:r>
      <w:r>
        <w:rPr>
          <w:rFonts w:ascii="黑体" w:hAnsi="黑体" w:eastAsia="黑体" w:cs="黑体"/>
          <w:spacing w:val="-12"/>
          <w:sz w:val="40"/>
          <w:szCs w:val="40"/>
        </w:rPr>
        <w:t>罗乖林</w:t>
      </w:r>
      <w:r>
        <w:rPr>
          <w:rFonts w:ascii="黑体" w:hAnsi="黑体" w:eastAsia="黑体" w:cs="黑体"/>
          <w:spacing w:val="39"/>
          <w:sz w:val="40"/>
          <w:szCs w:val="40"/>
        </w:rPr>
        <w:t xml:space="preserve">  </w:t>
      </w:r>
      <w:r>
        <w:rPr>
          <w:rFonts w:ascii="黑体" w:hAnsi="黑体" w:eastAsia="黑体" w:cs="黑体"/>
          <w:spacing w:val="-12"/>
          <w:sz w:val="40"/>
          <w:szCs w:val="40"/>
        </w:rPr>
        <w:t>黄宏诚</w:t>
      </w:r>
      <w:r>
        <w:rPr>
          <w:rFonts w:ascii="黑体" w:hAnsi="黑体" w:eastAsia="黑体" w:cs="黑体"/>
          <w:spacing w:val="34"/>
          <w:sz w:val="40"/>
          <w:szCs w:val="40"/>
        </w:rPr>
        <w:t xml:space="preserve">  </w:t>
      </w:r>
      <w:r>
        <w:rPr>
          <w:rFonts w:ascii="黑体" w:hAnsi="黑体" w:eastAsia="黑体" w:cs="黑体"/>
          <w:spacing w:val="-12"/>
          <w:sz w:val="40"/>
          <w:szCs w:val="40"/>
        </w:rPr>
        <w:t>杨蕊琴</w:t>
      </w:r>
      <w:r>
        <w:rPr>
          <w:rFonts w:ascii="黑体" w:hAnsi="黑体" w:eastAsia="黑体" w:cs="黑体"/>
          <w:spacing w:val="21"/>
          <w:sz w:val="40"/>
          <w:szCs w:val="40"/>
        </w:rPr>
        <w:t xml:space="preserve">  </w:t>
      </w:r>
      <w:r>
        <w:rPr>
          <w:rFonts w:ascii="黑体" w:hAnsi="黑体" w:eastAsia="黑体" w:cs="黑体"/>
          <w:spacing w:val="-12"/>
          <w:sz w:val="40"/>
          <w:szCs w:val="40"/>
        </w:rPr>
        <w:t>编</w:t>
      </w:r>
    </w:p>
    <w:p w14:paraId="611ADE7E">
      <w:pPr>
        <w:pStyle w:val="2"/>
        <w:spacing w:line="241" w:lineRule="auto"/>
      </w:pPr>
    </w:p>
    <w:p w14:paraId="2B7591D7">
      <w:pPr>
        <w:pStyle w:val="2"/>
        <w:spacing w:line="241" w:lineRule="auto"/>
      </w:pPr>
    </w:p>
    <w:p w14:paraId="76E56F88">
      <w:pPr>
        <w:pStyle w:val="2"/>
        <w:spacing w:line="241" w:lineRule="auto"/>
      </w:pPr>
    </w:p>
    <w:p w14:paraId="5B4DD177">
      <w:pPr>
        <w:pStyle w:val="2"/>
        <w:spacing w:line="241" w:lineRule="auto"/>
      </w:pPr>
    </w:p>
    <w:p w14:paraId="3E0E4EA3">
      <w:pPr>
        <w:pStyle w:val="2"/>
        <w:spacing w:line="241" w:lineRule="auto"/>
      </w:pPr>
    </w:p>
    <w:p w14:paraId="29B1A5AD">
      <w:pPr>
        <w:pStyle w:val="2"/>
        <w:spacing w:line="241" w:lineRule="auto"/>
      </w:pPr>
    </w:p>
    <w:p w14:paraId="43D60F7E">
      <w:pPr>
        <w:pStyle w:val="2"/>
        <w:spacing w:line="241" w:lineRule="auto"/>
      </w:pPr>
    </w:p>
    <w:p w14:paraId="77166119">
      <w:pPr>
        <w:pStyle w:val="2"/>
        <w:spacing w:line="241" w:lineRule="auto"/>
      </w:pPr>
    </w:p>
    <w:p w14:paraId="24EE8AFF">
      <w:pPr>
        <w:pStyle w:val="2"/>
        <w:spacing w:line="241" w:lineRule="auto"/>
      </w:pPr>
    </w:p>
    <w:p w14:paraId="3A7C16AB">
      <w:pPr>
        <w:pStyle w:val="2"/>
        <w:spacing w:line="241" w:lineRule="auto"/>
      </w:pPr>
    </w:p>
    <w:p w14:paraId="2CAB949E">
      <w:pPr>
        <w:pStyle w:val="2"/>
        <w:spacing w:line="241" w:lineRule="auto"/>
      </w:pPr>
    </w:p>
    <w:p w14:paraId="468E4F91">
      <w:pPr>
        <w:pStyle w:val="2"/>
        <w:spacing w:line="241" w:lineRule="auto"/>
      </w:pPr>
    </w:p>
    <w:p w14:paraId="1BCFC7CE">
      <w:pPr>
        <w:pStyle w:val="2"/>
        <w:spacing w:line="241" w:lineRule="auto"/>
      </w:pPr>
    </w:p>
    <w:p w14:paraId="72732BD9">
      <w:pPr>
        <w:pStyle w:val="2"/>
        <w:spacing w:line="241" w:lineRule="auto"/>
      </w:pPr>
    </w:p>
    <w:p w14:paraId="0D9116CD">
      <w:pPr>
        <w:pStyle w:val="2"/>
        <w:spacing w:line="241" w:lineRule="auto"/>
      </w:pPr>
    </w:p>
    <w:p w14:paraId="10427E7A">
      <w:pPr>
        <w:pStyle w:val="2"/>
        <w:spacing w:line="241" w:lineRule="auto"/>
      </w:pPr>
    </w:p>
    <w:p w14:paraId="69F02042">
      <w:pPr>
        <w:pStyle w:val="2"/>
        <w:spacing w:line="241" w:lineRule="auto"/>
      </w:pPr>
    </w:p>
    <w:p w14:paraId="5057014B">
      <w:pPr>
        <w:pStyle w:val="2"/>
        <w:spacing w:line="241" w:lineRule="auto"/>
      </w:pPr>
    </w:p>
    <w:p w14:paraId="227D7047">
      <w:pPr>
        <w:pStyle w:val="2"/>
        <w:spacing w:line="241" w:lineRule="auto"/>
      </w:pPr>
    </w:p>
    <w:p w14:paraId="450254AF">
      <w:pPr>
        <w:pStyle w:val="2"/>
        <w:spacing w:line="241" w:lineRule="auto"/>
      </w:pPr>
    </w:p>
    <w:p w14:paraId="2156E69E">
      <w:pPr>
        <w:pStyle w:val="2"/>
        <w:spacing w:line="241" w:lineRule="auto"/>
      </w:pPr>
    </w:p>
    <w:p w14:paraId="136D433D">
      <w:pPr>
        <w:pStyle w:val="2"/>
        <w:spacing w:line="241" w:lineRule="auto"/>
      </w:pPr>
    </w:p>
    <w:p w14:paraId="7B3C0652">
      <w:pPr>
        <w:pStyle w:val="2"/>
        <w:spacing w:line="241" w:lineRule="auto"/>
      </w:pPr>
    </w:p>
    <w:p w14:paraId="520AAF1D">
      <w:pPr>
        <w:pStyle w:val="2"/>
        <w:spacing w:line="242" w:lineRule="auto"/>
      </w:pPr>
    </w:p>
    <w:p w14:paraId="2D7E4294">
      <w:pPr>
        <w:pStyle w:val="2"/>
        <w:spacing w:line="242" w:lineRule="auto"/>
      </w:pPr>
    </w:p>
    <w:p w14:paraId="5AA6F49A">
      <w:pPr>
        <w:pStyle w:val="2"/>
        <w:spacing w:line="242" w:lineRule="auto"/>
      </w:pPr>
    </w:p>
    <w:p w14:paraId="36B8089B">
      <w:pPr>
        <w:pStyle w:val="2"/>
        <w:spacing w:line="242" w:lineRule="auto"/>
      </w:pPr>
    </w:p>
    <w:p w14:paraId="596C692F">
      <w:pPr>
        <w:pStyle w:val="2"/>
        <w:spacing w:line="242" w:lineRule="auto"/>
      </w:pPr>
    </w:p>
    <w:p w14:paraId="2EDC6029">
      <w:pPr>
        <w:spacing w:before="116" w:line="234" w:lineRule="auto"/>
        <w:ind w:left="3350"/>
        <w:rPr>
          <w:rFonts w:ascii="华文行楷" w:hAnsi="华文行楷" w:eastAsia="华文行楷" w:cs="华文行楷"/>
          <w:sz w:val="34"/>
          <w:szCs w:val="34"/>
        </w:rPr>
      </w:pPr>
      <w:r>
        <w:rPr>
          <w:rFonts w:ascii="Times New Roman" w:hAnsi="Times New Roman" w:eastAsia="Times New Roman" w:cs="Times New Roman"/>
          <w:b/>
          <w:bCs/>
          <w:spacing w:val="-26"/>
          <w:sz w:val="34"/>
          <w:szCs w:val="34"/>
        </w:rPr>
        <w:t>d</w:t>
      </w:r>
      <w:r>
        <w:rPr>
          <w:rFonts w:ascii="Times New Roman" w:hAnsi="Times New Roman" w:eastAsia="Times New Roman" w:cs="Times New Roman"/>
          <w:b/>
          <w:bCs/>
          <w:spacing w:val="2"/>
          <w:sz w:val="34"/>
          <w:szCs w:val="34"/>
        </w:rPr>
        <w:t xml:space="preserve">         </w:t>
      </w:r>
      <w:r>
        <w:rPr>
          <w:rFonts w:ascii="华文行楷" w:hAnsi="华文行楷" w:eastAsia="华文行楷" w:cs="华文行楷"/>
          <w:spacing w:val="-26"/>
          <w:sz w:val="34"/>
          <w:szCs w:val="34"/>
        </w:rPr>
        <w:t>网</w:t>
      </w:r>
      <w:r>
        <w:rPr>
          <w:rFonts w:ascii="华文行楷" w:hAnsi="华文行楷" w:eastAsia="华文行楷" w:cs="华文行楷"/>
          <w:spacing w:val="9"/>
          <w:sz w:val="34"/>
          <w:szCs w:val="34"/>
        </w:rPr>
        <w:t xml:space="preserve">  </w:t>
      </w:r>
      <w:r>
        <w:rPr>
          <w:rFonts w:ascii="华文行楷" w:hAnsi="华文行楷" w:eastAsia="华文行楷" w:cs="华文行楷"/>
          <w:spacing w:val="-26"/>
          <w:sz w:val="34"/>
          <w:szCs w:val="34"/>
        </w:rPr>
        <w:t>防  二</w:t>
      </w:r>
      <w:r>
        <w:rPr>
          <w:rFonts w:ascii="华文行楷" w:hAnsi="华文行楷" w:eastAsia="华文行楷" w:cs="华文行楷"/>
          <w:spacing w:val="9"/>
          <w:sz w:val="34"/>
          <w:szCs w:val="34"/>
        </w:rPr>
        <w:t xml:space="preserve">  </w:t>
      </w:r>
      <w:r>
        <w:rPr>
          <w:rFonts w:ascii="华文行楷" w:hAnsi="华文行楷" w:eastAsia="华文行楷" w:cs="华文行楷"/>
          <w:spacing w:val="-26"/>
          <w:sz w:val="34"/>
          <w:szCs w:val="34"/>
        </w:rPr>
        <w:t>掌   出</w:t>
      </w:r>
      <w:r>
        <w:rPr>
          <w:rFonts w:ascii="华文行楷" w:hAnsi="华文行楷" w:eastAsia="华文行楷" w:cs="华文行楷"/>
          <w:spacing w:val="3"/>
          <w:sz w:val="34"/>
          <w:szCs w:val="34"/>
        </w:rPr>
        <w:t xml:space="preserve">  </w:t>
      </w:r>
      <w:r>
        <w:rPr>
          <w:rFonts w:ascii="华文行楷" w:hAnsi="华文行楷" w:eastAsia="华文行楷" w:cs="华文行楷"/>
          <w:spacing w:val="-26"/>
          <w:sz w:val="34"/>
          <w:szCs w:val="34"/>
        </w:rPr>
        <w:t>版  社</w:t>
      </w:r>
    </w:p>
    <w:p w14:paraId="000386BC">
      <w:pPr>
        <w:pStyle w:val="2"/>
        <w:spacing w:before="8" w:line="198" w:lineRule="auto"/>
        <w:ind w:left="4329"/>
        <w:rPr>
          <w:sz w:val="17"/>
          <w:szCs w:val="17"/>
        </w:rPr>
      </w:pPr>
      <w:r>
        <w:rPr>
          <w:b/>
          <w:bCs/>
          <w:spacing w:val="-2"/>
          <w:sz w:val="17"/>
          <w:szCs w:val="17"/>
        </w:rPr>
        <w:t>National</w:t>
      </w:r>
      <w:r>
        <w:rPr>
          <w:b/>
          <w:bCs/>
          <w:spacing w:val="8"/>
          <w:sz w:val="17"/>
          <w:szCs w:val="17"/>
        </w:rPr>
        <w:t xml:space="preserve">    </w:t>
      </w:r>
      <w:r>
        <w:rPr>
          <w:b/>
          <w:bCs/>
          <w:spacing w:val="-2"/>
          <w:sz w:val="17"/>
          <w:szCs w:val="17"/>
        </w:rPr>
        <w:t>Defense</w:t>
      </w:r>
      <w:r>
        <w:rPr>
          <w:b/>
          <w:bCs/>
          <w:spacing w:val="6"/>
          <w:sz w:val="17"/>
          <w:szCs w:val="17"/>
        </w:rPr>
        <w:t xml:space="preserve">    </w:t>
      </w:r>
      <w:r>
        <w:rPr>
          <w:b/>
          <w:bCs/>
          <w:spacing w:val="-2"/>
          <w:sz w:val="17"/>
          <w:szCs w:val="17"/>
        </w:rPr>
        <w:t>Industry</w:t>
      </w:r>
      <w:r>
        <w:rPr>
          <w:b/>
          <w:bCs/>
          <w:spacing w:val="6"/>
          <w:sz w:val="17"/>
          <w:szCs w:val="17"/>
        </w:rPr>
        <w:t xml:space="preserve">    </w:t>
      </w:r>
      <w:r>
        <w:rPr>
          <w:b/>
          <w:bCs/>
          <w:spacing w:val="-2"/>
          <w:sz w:val="17"/>
          <w:szCs w:val="17"/>
        </w:rPr>
        <w:t>Press</w:t>
      </w:r>
    </w:p>
    <w:p w14:paraId="4C21037B">
      <w:pPr>
        <w:spacing w:line="198" w:lineRule="auto"/>
        <w:rPr>
          <w:sz w:val="17"/>
          <w:szCs w:val="17"/>
        </w:rPr>
        <w:sectPr>
          <w:headerReference r:id="rId5" w:type="default"/>
          <w:pgSz w:w="11910" w:h="17130"/>
          <w:pgMar w:top="400" w:right="10" w:bottom="0" w:left="0" w:header="0" w:footer="0" w:gutter="0"/>
          <w:cols w:space="720" w:num="1"/>
        </w:sectPr>
      </w:pPr>
    </w:p>
    <w:p w14:paraId="40BBBF61">
      <w:pPr>
        <w:pStyle w:val="2"/>
      </w:pPr>
    </w:p>
    <w:p w14:paraId="2E5A4200">
      <w:pPr>
        <w:pStyle w:val="2"/>
      </w:pPr>
    </w:p>
    <w:p w14:paraId="2A61B7FD">
      <w:pPr>
        <w:pStyle w:val="2"/>
      </w:pPr>
    </w:p>
    <w:p w14:paraId="345F6D44">
      <w:pPr>
        <w:pStyle w:val="2"/>
      </w:pPr>
    </w:p>
    <w:p w14:paraId="6AF1FF38">
      <w:pPr>
        <w:pStyle w:val="2"/>
      </w:pPr>
    </w:p>
    <w:p w14:paraId="4734B57D">
      <w:pPr>
        <w:pStyle w:val="2"/>
      </w:pPr>
    </w:p>
    <w:p w14:paraId="78823990">
      <w:pPr>
        <w:pStyle w:val="2"/>
      </w:pPr>
    </w:p>
    <w:p w14:paraId="57174C9B">
      <w:pPr>
        <w:pStyle w:val="2"/>
      </w:pPr>
    </w:p>
    <w:p w14:paraId="59472308">
      <w:pPr>
        <w:pStyle w:val="2"/>
      </w:pPr>
    </w:p>
    <w:p w14:paraId="0F2A3EDF">
      <w:pPr>
        <w:spacing w:before="146"/>
        <w:ind w:left="653"/>
        <w:rPr>
          <w:rFonts w:ascii="宋体" w:hAnsi="宋体" w:eastAsia="宋体" w:cs="宋体"/>
          <w:sz w:val="45"/>
          <w:szCs w:val="45"/>
        </w:rPr>
      </w:pPr>
      <w:r>
        <w:rPr>
          <w:rFonts w:ascii="宋体" w:hAnsi="宋体" w:eastAsia="宋体" w:cs="宋体"/>
          <w:position w:val="-21"/>
          <w:sz w:val="45"/>
          <w:szCs w:val="45"/>
        </w:rPr>
        <w:drawing>
          <wp:inline distT="0" distB="0" distL="0" distR="0">
            <wp:extent cx="462915" cy="45656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82"/>
                    <a:stretch>
                      <a:fillRect/>
                    </a:stretch>
                  </pic:blipFill>
                  <pic:spPr>
                    <a:xfrm>
                      <a:off x="0" y="0"/>
                      <a:ext cx="463527" cy="457182"/>
                    </a:xfrm>
                    <a:prstGeom prst="rect">
                      <a:avLst/>
                    </a:prstGeom>
                  </pic:spPr>
                </pic:pic>
              </a:graphicData>
            </a:graphic>
          </wp:inline>
        </w:drawing>
      </w:r>
      <w:r>
        <w:rPr>
          <w:rFonts w:ascii="宋体" w:hAnsi="宋体" w:eastAsia="宋体" w:cs="宋体"/>
          <w:spacing w:val="-60"/>
          <w:sz w:val="45"/>
          <w:szCs w:val="45"/>
        </w:rPr>
        <w:t xml:space="preserve"> </w:t>
      </w:r>
      <w:r>
        <w:rPr>
          <w:rFonts w:ascii="宋体" w:hAnsi="宋体" w:eastAsia="宋体" w:cs="宋体"/>
          <w:b/>
          <w:bCs/>
          <w:spacing w:val="6"/>
          <w:sz w:val="45"/>
          <w:szCs w:val="45"/>
        </w:rPr>
        <w:t>军工产品研制管理丛书</w:t>
      </w:r>
    </w:p>
    <w:p w14:paraId="7C17BDAD">
      <w:pPr>
        <w:pStyle w:val="2"/>
        <w:spacing w:line="248" w:lineRule="auto"/>
      </w:pPr>
    </w:p>
    <w:p w14:paraId="00E25114">
      <w:pPr>
        <w:spacing w:before="101" w:line="222" w:lineRule="auto"/>
        <w:ind w:left="1533"/>
        <w:rPr>
          <w:rFonts w:ascii="黑体" w:hAnsi="黑体" w:eastAsia="黑体" w:cs="黑体"/>
          <w:sz w:val="31"/>
          <w:szCs w:val="31"/>
        </w:rPr>
      </w:pPr>
      <w:r>
        <w:rPr>
          <w:rFonts w:ascii="黑体" w:hAnsi="黑体" w:eastAsia="黑体" w:cs="黑体"/>
          <w:color w:val="707050"/>
          <w:spacing w:val="5"/>
          <w:sz w:val="31"/>
          <w:szCs w:val="31"/>
        </w:rPr>
        <w:t>☆</w:t>
      </w:r>
      <w:r>
        <w:rPr>
          <w:rFonts w:ascii="黑体" w:hAnsi="黑体" w:eastAsia="黑体" w:cs="黑体"/>
          <w:color w:val="707050"/>
          <w:spacing w:val="-83"/>
          <w:sz w:val="31"/>
          <w:szCs w:val="31"/>
        </w:rPr>
        <w:t xml:space="preserve"> </w:t>
      </w:r>
      <w:r>
        <w:rPr>
          <w:rFonts w:ascii="黑体" w:hAnsi="黑体" w:eastAsia="黑体" w:cs="黑体"/>
          <w:color w:val="C08050"/>
          <w:spacing w:val="5"/>
          <w:sz w:val="31"/>
          <w:szCs w:val="31"/>
        </w:rPr>
        <w:t>军工产品研制</w:t>
      </w:r>
      <w:r>
        <w:rPr>
          <w:rFonts w:ascii="黑体" w:hAnsi="黑体" w:eastAsia="黑体" w:cs="黑体"/>
          <w:spacing w:val="5"/>
          <w:sz w:val="31"/>
          <w:szCs w:val="31"/>
        </w:rPr>
        <w:t>项目管理指南</w:t>
      </w:r>
    </w:p>
    <w:p w14:paraId="635262A0">
      <w:pPr>
        <w:spacing w:before="107" w:line="222" w:lineRule="auto"/>
        <w:ind w:left="1533"/>
        <w:rPr>
          <w:rFonts w:ascii="黑体" w:hAnsi="黑体" w:eastAsia="黑体" w:cs="黑体"/>
          <w:sz w:val="31"/>
          <w:szCs w:val="31"/>
        </w:rPr>
      </w:pPr>
      <w:r>
        <w:rPr>
          <w:rFonts w:ascii="黑体" w:hAnsi="黑体" w:eastAsia="黑体" w:cs="黑体"/>
          <w:color w:val="707050"/>
          <w:spacing w:val="5"/>
          <w:sz w:val="31"/>
          <w:szCs w:val="31"/>
        </w:rPr>
        <w:t>☆</w:t>
      </w:r>
      <w:r>
        <w:rPr>
          <w:rFonts w:ascii="黑体" w:hAnsi="黑体" w:eastAsia="黑体" w:cs="黑体"/>
          <w:color w:val="707050"/>
          <w:spacing w:val="-83"/>
          <w:sz w:val="31"/>
          <w:szCs w:val="31"/>
        </w:rPr>
        <w:t xml:space="preserve"> </w:t>
      </w:r>
      <w:r>
        <w:rPr>
          <w:rFonts w:ascii="黑体" w:hAnsi="黑体" w:eastAsia="黑体" w:cs="黑体"/>
          <w:color w:val="C08050"/>
          <w:spacing w:val="5"/>
          <w:sz w:val="31"/>
          <w:szCs w:val="31"/>
        </w:rPr>
        <w:t>军工产品研制</w:t>
      </w:r>
      <w:r>
        <w:rPr>
          <w:rFonts w:ascii="黑体" w:hAnsi="黑体" w:eastAsia="黑体" w:cs="黑体"/>
          <w:spacing w:val="5"/>
          <w:sz w:val="31"/>
          <w:szCs w:val="31"/>
        </w:rPr>
        <w:t>质量管理指南</w:t>
      </w:r>
    </w:p>
    <w:p w14:paraId="43ED130D">
      <w:pPr>
        <w:spacing w:before="107" w:line="222" w:lineRule="auto"/>
        <w:ind w:left="1533"/>
        <w:rPr>
          <w:rFonts w:ascii="黑体" w:hAnsi="黑体" w:eastAsia="黑体" w:cs="黑体"/>
          <w:sz w:val="32"/>
          <w:szCs w:val="32"/>
        </w:rPr>
      </w:pPr>
      <w:r>
        <w:rPr>
          <w:rFonts w:ascii="黑体" w:hAnsi="黑体" w:eastAsia="黑体" w:cs="黑体"/>
          <w:color w:val="908080"/>
          <w:spacing w:val="-5"/>
          <w:sz w:val="32"/>
          <w:szCs w:val="32"/>
        </w:rPr>
        <w:t>☆</w:t>
      </w:r>
      <w:r>
        <w:rPr>
          <w:rFonts w:ascii="黑体" w:hAnsi="黑体" w:eastAsia="黑体" w:cs="黑体"/>
          <w:color w:val="908080"/>
          <w:spacing w:val="-54"/>
          <w:sz w:val="32"/>
          <w:szCs w:val="32"/>
        </w:rPr>
        <w:t xml:space="preserve"> </w:t>
      </w:r>
      <w:r>
        <w:rPr>
          <w:rFonts w:ascii="黑体" w:hAnsi="黑体" w:eastAsia="黑体" w:cs="黑体"/>
          <w:color w:val="C08050"/>
          <w:spacing w:val="-5"/>
          <w:sz w:val="32"/>
          <w:szCs w:val="32"/>
        </w:rPr>
        <w:t>军工产品研制</w:t>
      </w:r>
      <w:r>
        <w:rPr>
          <w:rFonts w:ascii="黑体" w:hAnsi="黑体" w:eastAsia="黑体" w:cs="黑体"/>
          <w:spacing w:val="-5"/>
          <w:sz w:val="32"/>
          <w:szCs w:val="32"/>
        </w:rPr>
        <w:t>技术状态管理指南</w:t>
      </w:r>
    </w:p>
    <w:p w14:paraId="3DA89FA6">
      <w:pPr>
        <w:spacing w:before="74" w:line="222" w:lineRule="auto"/>
        <w:ind w:left="1533"/>
        <w:rPr>
          <w:rFonts w:ascii="黑体" w:hAnsi="黑体" w:eastAsia="黑体" w:cs="黑体"/>
          <w:sz w:val="31"/>
          <w:szCs w:val="31"/>
        </w:rPr>
      </w:pPr>
      <w:r>
        <w:rPr>
          <w:rFonts w:ascii="黑体" w:hAnsi="黑体" w:eastAsia="黑体" w:cs="黑体"/>
          <w:color w:val="A09070"/>
          <w:spacing w:val="7"/>
          <w:sz w:val="31"/>
          <w:szCs w:val="31"/>
        </w:rPr>
        <w:t>☆</w:t>
      </w:r>
      <w:r>
        <w:rPr>
          <w:rFonts w:ascii="黑体" w:hAnsi="黑体" w:eastAsia="黑体" w:cs="黑体"/>
          <w:color w:val="A09070"/>
          <w:spacing w:val="-69"/>
          <w:sz w:val="31"/>
          <w:szCs w:val="31"/>
        </w:rPr>
        <w:t xml:space="preserve"> </w:t>
      </w:r>
      <w:r>
        <w:rPr>
          <w:rFonts w:ascii="黑体" w:hAnsi="黑体" w:eastAsia="黑体" w:cs="黑体"/>
          <w:color w:val="C08050"/>
          <w:spacing w:val="7"/>
          <w:sz w:val="31"/>
          <w:szCs w:val="31"/>
        </w:rPr>
        <w:t>军工产品研制</w:t>
      </w:r>
      <w:r>
        <w:rPr>
          <w:rFonts w:ascii="黑体" w:hAnsi="黑体" w:eastAsia="黑体" w:cs="黑体"/>
          <w:spacing w:val="7"/>
          <w:sz w:val="31"/>
          <w:szCs w:val="31"/>
        </w:rPr>
        <w:t>工艺管理指南</w:t>
      </w:r>
    </w:p>
    <w:p w14:paraId="37ADF356">
      <w:pPr>
        <w:spacing w:before="107" w:line="222" w:lineRule="auto"/>
        <w:ind w:left="1533"/>
        <w:rPr>
          <w:rFonts w:ascii="黑体" w:hAnsi="黑体" w:eastAsia="黑体" w:cs="黑体"/>
          <w:sz w:val="31"/>
          <w:szCs w:val="31"/>
        </w:rPr>
      </w:pPr>
      <w:r>
        <w:rPr>
          <w:rFonts w:ascii="黑体" w:hAnsi="黑体" w:eastAsia="黑体" w:cs="黑体"/>
          <w:color w:val="707050"/>
          <w:spacing w:val="7"/>
          <w:sz w:val="31"/>
          <w:szCs w:val="31"/>
        </w:rPr>
        <w:t>☆</w:t>
      </w:r>
      <w:r>
        <w:rPr>
          <w:rFonts w:ascii="黑体" w:hAnsi="黑体" w:eastAsia="黑体" w:cs="黑体"/>
          <w:color w:val="707050"/>
          <w:spacing w:val="-66"/>
          <w:sz w:val="31"/>
          <w:szCs w:val="31"/>
        </w:rPr>
        <w:t xml:space="preserve"> </w:t>
      </w:r>
      <w:r>
        <w:rPr>
          <w:rFonts w:ascii="黑体" w:hAnsi="黑体" w:eastAsia="黑体" w:cs="黑体"/>
          <w:color w:val="C08050"/>
          <w:spacing w:val="7"/>
          <w:sz w:val="31"/>
          <w:szCs w:val="31"/>
        </w:rPr>
        <w:t>军工产品研制</w:t>
      </w:r>
      <w:r>
        <w:rPr>
          <w:rFonts w:ascii="黑体" w:hAnsi="黑体" w:eastAsia="黑体" w:cs="黑体"/>
          <w:spacing w:val="7"/>
          <w:sz w:val="31"/>
          <w:szCs w:val="31"/>
        </w:rPr>
        <w:t>标准化管理指南</w:t>
      </w:r>
    </w:p>
    <w:p w14:paraId="58E55107">
      <w:pPr>
        <w:spacing w:before="98" w:line="222" w:lineRule="auto"/>
        <w:ind w:left="1533"/>
        <w:rPr>
          <w:rFonts w:ascii="黑体" w:hAnsi="黑体" w:eastAsia="黑体" w:cs="黑体"/>
          <w:sz w:val="31"/>
          <w:szCs w:val="31"/>
        </w:rPr>
      </w:pPr>
      <w:r>
        <w:rPr>
          <w:rFonts w:ascii="黑体" w:hAnsi="黑体" w:eastAsia="黑体" w:cs="黑体"/>
          <w:color w:val="707050"/>
          <w:spacing w:val="7"/>
          <w:sz w:val="31"/>
          <w:szCs w:val="31"/>
        </w:rPr>
        <w:t>☆</w:t>
      </w:r>
      <w:r>
        <w:rPr>
          <w:rFonts w:ascii="黑体" w:hAnsi="黑体" w:eastAsia="黑体" w:cs="黑体"/>
          <w:color w:val="707050"/>
          <w:spacing w:val="-69"/>
          <w:sz w:val="31"/>
          <w:szCs w:val="31"/>
        </w:rPr>
        <w:t xml:space="preserve"> </w:t>
      </w:r>
      <w:r>
        <w:rPr>
          <w:rFonts w:ascii="黑体" w:hAnsi="黑体" w:eastAsia="黑体" w:cs="黑体"/>
          <w:color w:val="C08050"/>
          <w:spacing w:val="7"/>
          <w:sz w:val="31"/>
          <w:szCs w:val="31"/>
        </w:rPr>
        <w:t>军工产品研制</w:t>
      </w:r>
      <w:r>
        <w:rPr>
          <w:rFonts w:ascii="黑体" w:hAnsi="黑体" w:eastAsia="黑体" w:cs="黑体"/>
          <w:spacing w:val="7"/>
          <w:sz w:val="31"/>
          <w:szCs w:val="31"/>
        </w:rPr>
        <w:t>风险管理指南</w:t>
      </w:r>
    </w:p>
    <w:p w14:paraId="06BC2623">
      <w:pPr>
        <w:spacing w:before="97" w:line="222" w:lineRule="auto"/>
        <w:ind w:left="1533"/>
        <w:rPr>
          <w:rFonts w:ascii="黑体" w:hAnsi="黑体" w:eastAsia="黑体" w:cs="黑体"/>
          <w:sz w:val="31"/>
          <w:szCs w:val="31"/>
        </w:rPr>
      </w:pPr>
      <w:r>
        <w:rPr>
          <w:rFonts w:ascii="黑体" w:hAnsi="黑体" w:eastAsia="黑体" w:cs="黑体"/>
          <w:spacing w:val="6"/>
          <w:sz w:val="31"/>
          <w:szCs w:val="31"/>
        </w:rPr>
        <w:t>☆</w:t>
      </w:r>
      <w:r>
        <w:rPr>
          <w:rFonts w:ascii="黑体" w:hAnsi="黑体" w:eastAsia="黑体" w:cs="黑体"/>
          <w:spacing w:val="-52"/>
          <w:sz w:val="31"/>
          <w:szCs w:val="31"/>
        </w:rPr>
        <w:t xml:space="preserve"> </w:t>
      </w:r>
      <w:r>
        <w:rPr>
          <w:rFonts w:ascii="黑体" w:hAnsi="黑体" w:eastAsia="黑体" w:cs="黑体"/>
          <w:color w:val="C08050"/>
          <w:spacing w:val="6"/>
          <w:sz w:val="31"/>
          <w:szCs w:val="31"/>
        </w:rPr>
        <w:t>军工产品研制</w:t>
      </w:r>
      <w:r>
        <w:rPr>
          <w:rFonts w:ascii="黑体" w:hAnsi="黑体" w:eastAsia="黑体" w:cs="黑体"/>
          <w:spacing w:val="6"/>
          <w:sz w:val="31"/>
          <w:szCs w:val="31"/>
        </w:rPr>
        <w:t>可靠性工程指南</w:t>
      </w:r>
    </w:p>
    <w:p w14:paraId="06ADD0D9">
      <w:pPr>
        <w:spacing w:before="117" w:line="222" w:lineRule="auto"/>
        <w:ind w:left="1533"/>
        <w:rPr>
          <w:rFonts w:ascii="黑体" w:hAnsi="黑体" w:eastAsia="黑体" w:cs="黑体"/>
          <w:sz w:val="30"/>
          <w:szCs w:val="30"/>
        </w:rPr>
      </w:pPr>
      <w:r>
        <w:rPr>
          <w:rFonts w:ascii="黑体" w:hAnsi="黑体" w:eastAsia="黑体" w:cs="黑体"/>
          <w:color w:val="707050"/>
          <w:spacing w:val="14"/>
          <w:sz w:val="30"/>
          <w:szCs w:val="30"/>
        </w:rPr>
        <w:t>☆</w:t>
      </w:r>
      <w:r>
        <w:rPr>
          <w:rFonts w:ascii="黑体" w:hAnsi="黑体" w:eastAsia="黑体" w:cs="黑体"/>
          <w:color w:val="707050"/>
          <w:spacing w:val="-50"/>
          <w:sz w:val="30"/>
          <w:szCs w:val="30"/>
        </w:rPr>
        <w:t xml:space="preserve"> </w:t>
      </w:r>
      <w:r>
        <w:rPr>
          <w:rFonts w:ascii="黑体" w:hAnsi="黑体" w:eastAsia="黑体" w:cs="黑体"/>
          <w:color w:val="C08050"/>
          <w:spacing w:val="14"/>
          <w:sz w:val="30"/>
          <w:szCs w:val="30"/>
        </w:rPr>
        <w:t>军工产品研制</w:t>
      </w:r>
      <w:r>
        <w:rPr>
          <w:rFonts w:ascii="黑体" w:hAnsi="黑体" w:eastAsia="黑体" w:cs="黑体"/>
          <w:spacing w:val="14"/>
          <w:sz w:val="30"/>
          <w:szCs w:val="30"/>
        </w:rPr>
        <w:t>维修性工程指南</w:t>
      </w:r>
    </w:p>
    <w:p w14:paraId="679C87E0">
      <w:pPr>
        <w:spacing w:before="118" w:line="221" w:lineRule="auto"/>
        <w:ind w:left="1533"/>
        <w:rPr>
          <w:rFonts w:ascii="黑体" w:hAnsi="黑体" w:eastAsia="黑体" w:cs="黑体"/>
          <w:sz w:val="31"/>
          <w:szCs w:val="31"/>
        </w:rPr>
      </w:pPr>
      <w:r>
        <w:rPr>
          <w:rFonts w:ascii="黑体" w:hAnsi="黑体" w:eastAsia="黑体" w:cs="黑体"/>
          <w:color w:val="707050"/>
          <w:spacing w:val="6"/>
          <w:sz w:val="31"/>
          <w:szCs w:val="31"/>
        </w:rPr>
        <w:t>☆</w:t>
      </w:r>
      <w:r>
        <w:rPr>
          <w:rFonts w:ascii="黑体" w:hAnsi="黑体" w:eastAsia="黑体" w:cs="黑体"/>
          <w:color w:val="707050"/>
          <w:spacing w:val="-82"/>
          <w:sz w:val="31"/>
          <w:szCs w:val="31"/>
        </w:rPr>
        <w:t xml:space="preserve"> </w:t>
      </w:r>
      <w:r>
        <w:rPr>
          <w:rFonts w:ascii="黑体" w:hAnsi="黑体" w:eastAsia="黑体" w:cs="黑体"/>
          <w:color w:val="C08050"/>
          <w:spacing w:val="6"/>
          <w:sz w:val="31"/>
          <w:szCs w:val="31"/>
        </w:rPr>
        <w:t>军工产品研制</w:t>
      </w:r>
      <w:r>
        <w:rPr>
          <w:rFonts w:ascii="黑体" w:hAnsi="黑体" w:eastAsia="黑体" w:cs="黑体"/>
          <w:spacing w:val="6"/>
          <w:sz w:val="31"/>
          <w:szCs w:val="31"/>
        </w:rPr>
        <w:t>测试性工程指南</w:t>
      </w:r>
    </w:p>
    <w:p w14:paraId="3FB47F86">
      <w:pPr>
        <w:spacing w:before="80" w:line="222" w:lineRule="auto"/>
        <w:ind w:left="1533"/>
        <w:rPr>
          <w:rFonts w:ascii="黑体" w:hAnsi="黑体" w:eastAsia="黑体" w:cs="黑体"/>
          <w:sz w:val="31"/>
          <w:szCs w:val="31"/>
        </w:rPr>
      </w:pPr>
      <w:r>
        <w:rPr>
          <w:rFonts w:ascii="黑体" w:hAnsi="黑体" w:eastAsia="黑体" w:cs="黑体"/>
          <w:color w:val="707050"/>
          <w:spacing w:val="5"/>
          <w:sz w:val="31"/>
          <w:szCs w:val="31"/>
        </w:rPr>
        <w:t>☆</w:t>
      </w:r>
      <w:r>
        <w:rPr>
          <w:rFonts w:ascii="黑体" w:hAnsi="黑体" w:eastAsia="黑体" w:cs="黑体"/>
          <w:color w:val="707050"/>
          <w:spacing w:val="-68"/>
          <w:sz w:val="31"/>
          <w:szCs w:val="31"/>
        </w:rPr>
        <w:t xml:space="preserve"> </w:t>
      </w:r>
      <w:r>
        <w:rPr>
          <w:rFonts w:ascii="黑体" w:hAnsi="黑体" w:eastAsia="黑体" w:cs="黑体"/>
          <w:color w:val="C08050"/>
          <w:spacing w:val="5"/>
          <w:sz w:val="31"/>
          <w:szCs w:val="31"/>
        </w:rPr>
        <w:t>军工产品研制</w:t>
      </w:r>
      <w:r>
        <w:rPr>
          <w:rFonts w:ascii="黑体" w:hAnsi="黑体" w:eastAsia="黑体" w:cs="黑体"/>
          <w:spacing w:val="5"/>
          <w:sz w:val="31"/>
          <w:szCs w:val="31"/>
        </w:rPr>
        <w:t>保障性工程指南</w:t>
      </w:r>
    </w:p>
    <w:p w14:paraId="46FDC484">
      <w:pPr>
        <w:spacing w:before="107" w:line="222" w:lineRule="auto"/>
        <w:ind w:left="1533"/>
        <w:rPr>
          <w:rFonts w:ascii="黑体" w:hAnsi="黑体" w:eastAsia="黑体" w:cs="黑体"/>
          <w:sz w:val="31"/>
          <w:szCs w:val="31"/>
        </w:rPr>
      </w:pPr>
      <w:r>
        <w:rPr>
          <w:rFonts w:ascii="黑体" w:hAnsi="黑体" w:eastAsia="黑体" w:cs="黑体"/>
          <w:color w:val="707050"/>
          <w:spacing w:val="5"/>
          <w:sz w:val="31"/>
          <w:szCs w:val="31"/>
        </w:rPr>
        <w:t>☆</w:t>
      </w:r>
      <w:r>
        <w:rPr>
          <w:rFonts w:ascii="黑体" w:hAnsi="黑体" w:eastAsia="黑体" w:cs="黑体"/>
          <w:color w:val="707050"/>
          <w:spacing w:val="-68"/>
          <w:sz w:val="31"/>
          <w:szCs w:val="31"/>
        </w:rPr>
        <w:t xml:space="preserve"> </w:t>
      </w:r>
      <w:r>
        <w:rPr>
          <w:rFonts w:ascii="黑体" w:hAnsi="黑体" w:eastAsia="黑体" w:cs="黑体"/>
          <w:color w:val="C08050"/>
          <w:spacing w:val="5"/>
          <w:sz w:val="31"/>
          <w:szCs w:val="31"/>
        </w:rPr>
        <w:t>军工产品研制</w:t>
      </w:r>
      <w:r>
        <w:rPr>
          <w:rFonts w:ascii="黑体" w:hAnsi="黑体" w:eastAsia="黑体" w:cs="黑体"/>
          <w:spacing w:val="5"/>
          <w:sz w:val="31"/>
          <w:szCs w:val="31"/>
        </w:rPr>
        <w:t>安全性工程指南</w:t>
      </w:r>
    </w:p>
    <w:p w14:paraId="6C3851C4">
      <w:pPr>
        <w:spacing w:before="108" w:line="222" w:lineRule="auto"/>
        <w:ind w:left="1533"/>
        <w:rPr>
          <w:rFonts w:ascii="黑体" w:hAnsi="黑体" w:eastAsia="黑体" w:cs="黑体"/>
          <w:sz w:val="31"/>
          <w:szCs w:val="31"/>
        </w:rPr>
      </w:pPr>
      <w:r>
        <w:rPr>
          <w:rFonts w:ascii="黑体" w:hAnsi="黑体" w:eastAsia="黑体" w:cs="黑体"/>
          <w:spacing w:val="5"/>
          <w:sz w:val="31"/>
          <w:szCs w:val="31"/>
        </w:rPr>
        <w:t>☆</w:t>
      </w:r>
      <w:r>
        <w:rPr>
          <w:rFonts w:ascii="黑体" w:hAnsi="黑体" w:eastAsia="黑体" w:cs="黑体"/>
          <w:spacing w:val="-63"/>
          <w:sz w:val="31"/>
          <w:szCs w:val="31"/>
        </w:rPr>
        <w:t xml:space="preserve"> </w:t>
      </w:r>
      <w:r>
        <w:rPr>
          <w:rFonts w:ascii="黑体" w:hAnsi="黑体" w:eastAsia="黑体" w:cs="黑体"/>
          <w:color w:val="C05020"/>
          <w:spacing w:val="5"/>
          <w:sz w:val="31"/>
          <w:szCs w:val="31"/>
        </w:rPr>
        <w:t>军工产品研制</w:t>
      </w:r>
      <w:r>
        <w:rPr>
          <w:rFonts w:ascii="黑体" w:hAnsi="黑体" w:eastAsia="黑体" w:cs="黑体"/>
          <w:spacing w:val="5"/>
          <w:sz w:val="31"/>
          <w:szCs w:val="31"/>
        </w:rPr>
        <w:t>环境工程指南</w:t>
      </w:r>
    </w:p>
    <w:p w14:paraId="3F3D3D8C">
      <w:pPr>
        <w:spacing w:before="87" w:line="222" w:lineRule="auto"/>
        <w:ind w:left="1533"/>
        <w:rPr>
          <w:rFonts w:ascii="黑体" w:hAnsi="黑体" w:eastAsia="黑体" w:cs="黑体"/>
          <w:sz w:val="32"/>
          <w:szCs w:val="32"/>
        </w:rPr>
      </w:pPr>
      <w:r>
        <w:rPr>
          <w:rFonts w:ascii="黑体" w:hAnsi="黑体" w:eastAsia="黑体" w:cs="黑体"/>
          <w:color w:val="707050"/>
          <w:spacing w:val="-5"/>
          <w:sz w:val="32"/>
          <w:szCs w:val="32"/>
        </w:rPr>
        <w:t>☆</w:t>
      </w:r>
      <w:r>
        <w:rPr>
          <w:rFonts w:ascii="黑体" w:hAnsi="黑体" w:eastAsia="黑体" w:cs="黑体"/>
          <w:color w:val="707050"/>
          <w:spacing w:val="-54"/>
          <w:sz w:val="32"/>
          <w:szCs w:val="32"/>
        </w:rPr>
        <w:t xml:space="preserve"> </w:t>
      </w:r>
      <w:r>
        <w:rPr>
          <w:rFonts w:ascii="黑体" w:hAnsi="黑体" w:eastAsia="黑体" w:cs="黑体"/>
          <w:color w:val="C05020"/>
          <w:spacing w:val="-5"/>
          <w:sz w:val="32"/>
          <w:szCs w:val="32"/>
        </w:rPr>
        <w:t>军工产品研制</w:t>
      </w:r>
      <w:r>
        <w:rPr>
          <w:rFonts w:ascii="黑体" w:hAnsi="黑体" w:eastAsia="黑体" w:cs="黑体"/>
          <w:spacing w:val="-5"/>
          <w:sz w:val="32"/>
          <w:szCs w:val="32"/>
        </w:rPr>
        <w:t>技术审查评审指南</w:t>
      </w:r>
    </w:p>
    <w:p w14:paraId="4F2E192A">
      <w:pPr>
        <w:spacing w:before="94" w:line="221" w:lineRule="auto"/>
        <w:ind w:left="1533"/>
        <w:rPr>
          <w:rFonts w:ascii="黑体" w:hAnsi="黑体" w:eastAsia="黑体" w:cs="黑体"/>
          <w:sz w:val="31"/>
          <w:szCs w:val="31"/>
        </w:rPr>
      </w:pPr>
      <w:r>
        <w:rPr>
          <w:rFonts w:ascii="黑体" w:hAnsi="黑体" w:eastAsia="黑体" w:cs="黑体"/>
          <w:color w:val="707050"/>
          <w:spacing w:val="6"/>
          <w:sz w:val="31"/>
          <w:szCs w:val="31"/>
        </w:rPr>
        <w:t>☆</w:t>
      </w:r>
      <w:r>
        <w:rPr>
          <w:rFonts w:ascii="黑体" w:hAnsi="黑体" w:eastAsia="黑体" w:cs="黑体"/>
          <w:color w:val="707050"/>
          <w:spacing w:val="-78"/>
          <w:sz w:val="31"/>
          <w:szCs w:val="31"/>
        </w:rPr>
        <w:t xml:space="preserve"> </w:t>
      </w:r>
      <w:r>
        <w:rPr>
          <w:rFonts w:ascii="黑体" w:hAnsi="黑体" w:eastAsia="黑体" w:cs="黑体"/>
          <w:color w:val="C05020"/>
          <w:spacing w:val="6"/>
          <w:sz w:val="31"/>
          <w:szCs w:val="31"/>
        </w:rPr>
        <w:t>军工产品研制</w:t>
      </w:r>
      <w:r>
        <w:rPr>
          <w:rFonts w:ascii="黑体" w:hAnsi="黑体" w:eastAsia="黑体" w:cs="黑体"/>
          <w:spacing w:val="6"/>
          <w:sz w:val="31"/>
          <w:szCs w:val="31"/>
        </w:rPr>
        <w:t>技术文件编写指南</w:t>
      </w:r>
    </w:p>
    <w:p w14:paraId="4932691F">
      <w:pPr>
        <w:spacing w:before="75" w:line="221" w:lineRule="auto"/>
        <w:ind w:left="1538"/>
        <w:rPr>
          <w:rFonts w:ascii="黑体" w:hAnsi="黑体" w:eastAsia="黑体" w:cs="黑体"/>
          <w:sz w:val="33"/>
          <w:szCs w:val="33"/>
        </w:rPr>
      </w:pPr>
      <w:r>
        <w:rPr>
          <w:rFonts w:ascii="黑体" w:hAnsi="黑体" w:eastAsia="黑体" w:cs="黑体"/>
          <w:b/>
          <w:bCs/>
          <w:color w:val="C08050"/>
          <w:spacing w:val="-14"/>
          <w:sz w:val="33"/>
          <w:szCs w:val="33"/>
        </w:rPr>
        <w:t>★军工产品研制技术文件编写说明</w:t>
      </w:r>
    </w:p>
    <w:p w14:paraId="5F9484FD">
      <w:pPr>
        <w:spacing w:before="109" w:line="221" w:lineRule="auto"/>
        <w:ind w:left="1533"/>
        <w:rPr>
          <w:rFonts w:ascii="黑体" w:hAnsi="黑体" w:eastAsia="黑体" w:cs="黑体"/>
          <w:sz w:val="31"/>
          <w:szCs w:val="31"/>
        </w:rPr>
      </w:pPr>
      <w:r>
        <w:rPr>
          <w:rFonts w:ascii="黑体" w:hAnsi="黑体" w:eastAsia="黑体" w:cs="黑体"/>
          <w:color w:val="707050"/>
          <w:spacing w:val="6"/>
          <w:sz w:val="31"/>
          <w:szCs w:val="31"/>
        </w:rPr>
        <w:t>☆</w:t>
      </w:r>
      <w:r>
        <w:rPr>
          <w:rFonts w:ascii="黑体" w:hAnsi="黑体" w:eastAsia="黑体" w:cs="黑体"/>
          <w:color w:val="707050"/>
          <w:spacing w:val="-75"/>
          <w:sz w:val="31"/>
          <w:szCs w:val="31"/>
        </w:rPr>
        <w:t xml:space="preserve"> </w:t>
      </w:r>
      <w:r>
        <w:rPr>
          <w:rFonts w:ascii="黑体" w:hAnsi="黑体" w:eastAsia="黑体" w:cs="黑体"/>
          <w:color w:val="C08050"/>
          <w:spacing w:val="6"/>
          <w:sz w:val="31"/>
          <w:szCs w:val="31"/>
        </w:rPr>
        <w:t>军工产品研制</w:t>
      </w:r>
      <w:r>
        <w:rPr>
          <w:rFonts w:ascii="黑体" w:hAnsi="黑体" w:eastAsia="黑体" w:cs="黑体"/>
          <w:spacing w:val="6"/>
          <w:sz w:val="31"/>
          <w:szCs w:val="31"/>
        </w:rPr>
        <w:t>技术文件编写范例</w:t>
      </w:r>
    </w:p>
    <w:p w14:paraId="2D1C307E">
      <w:pPr>
        <w:pStyle w:val="2"/>
        <w:spacing w:line="278" w:lineRule="auto"/>
      </w:pPr>
    </w:p>
    <w:p w14:paraId="7DE3522D">
      <w:pPr>
        <w:pStyle w:val="2"/>
        <w:spacing w:line="279" w:lineRule="auto"/>
      </w:pPr>
    </w:p>
    <w:p w14:paraId="425F1B2D">
      <w:pPr>
        <w:pStyle w:val="2"/>
        <w:spacing w:line="279" w:lineRule="auto"/>
      </w:pPr>
    </w:p>
    <w:p w14:paraId="3FA67DF8">
      <w:pPr>
        <w:pStyle w:val="2"/>
        <w:spacing w:line="279" w:lineRule="auto"/>
      </w:pPr>
    </w:p>
    <w:p w14:paraId="45A9F394">
      <w:pPr>
        <w:pStyle w:val="2"/>
        <w:spacing w:line="279" w:lineRule="auto"/>
      </w:pPr>
    </w:p>
    <w:p w14:paraId="1B2C7EF4">
      <w:pPr>
        <w:spacing w:line="218" w:lineRule="auto"/>
        <w:rPr>
          <w:rFonts w:ascii="宋体" w:hAnsi="宋体" w:eastAsia="宋体" w:cs="宋体"/>
          <w:sz w:val="24"/>
          <w:szCs w:val="24"/>
        </w:rPr>
        <w:sectPr>
          <w:headerReference r:id="rId6" w:type="default"/>
          <w:pgSz w:w="11910" w:h="17130"/>
          <w:pgMar w:top="400" w:right="1519" w:bottom="0" w:left="1786" w:header="0" w:footer="0" w:gutter="0"/>
          <w:cols w:space="720" w:num="1"/>
        </w:sectPr>
      </w:pPr>
    </w:p>
    <w:p w14:paraId="5A8B7F36">
      <w:pPr>
        <w:pStyle w:val="2"/>
        <w:spacing w:line="358" w:lineRule="auto"/>
      </w:pPr>
      <w:r>
        <w:drawing>
          <wp:anchor distT="0" distB="0" distL="0" distR="0" simplePos="0" relativeHeight="251660288" behindDoc="0" locked="0" layoutInCell="0" allowOverlap="1">
            <wp:simplePos x="0" y="0"/>
            <wp:positionH relativeFrom="page">
              <wp:posOffset>1949450</wp:posOffset>
            </wp:positionH>
            <wp:positionV relativeFrom="page">
              <wp:posOffset>202565</wp:posOffset>
            </wp:positionV>
            <wp:extent cx="1771650" cy="5461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683"/>
                    <a:stretch>
                      <a:fillRect/>
                    </a:stretch>
                  </pic:blipFill>
                  <pic:spPr>
                    <a:xfrm>
                      <a:off x="0" y="0"/>
                      <a:ext cx="1771597" cy="546053"/>
                    </a:xfrm>
                    <a:prstGeom prst="rect">
                      <a:avLst/>
                    </a:prstGeom>
                  </pic:spPr>
                </pic:pic>
              </a:graphicData>
            </a:graphic>
          </wp:anchor>
        </w:drawing>
      </w:r>
    </w:p>
    <w:p w14:paraId="50B56287">
      <w:pPr>
        <w:pStyle w:val="2"/>
        <w:spacing w:line="359" w:lineRule="auto"/>
      </w:pPr>
    </w:p>
    <w:p w14:paraId="10281B36">
      <w:pPr>
        <w:pStyle w:val="2"/>
        <w:spacing w:before="84" w:line="196" w:lineRule="auto"/>
        <w:ind w:left="3350"/>
        <w:rPr>
          <w:sz w:val="29"/>
          <w:szCs w:val="29"/>
        </w:rPr>
      </w:pPr>
      <w:r>
        <w:pict>
          <v:shape id="_x0000_s1026" o:spid="_x0000_s1026" o:spt="202" type="#_x0000_t202" style="position:absolute;left:0pt;margin-left:-1pt;margin-top:-8.35pt;height:22.7pt;width:69.15pt;z-index:251661312;mso-width-relative:page;mso-height-relative:page;" filled="f" stroked="f" coordsize="21600,21600">
            <v:path/>
            <v:fill on="f" focussize="0,0"/>
            <v:stroke on="f"/>
            <v:imagedata o:title=""/>
            <o:lock v:ext="edit" aspectratio="f"/>
            <v:textbox inset="0mm,0mm,0mm,0mm">
              <w:txbxContent>
                <w:p w14:paraId="0223DAC7">
                  <w:pPr>
                    <w:spacing w:before="20" w:line="224" w:lineRule="auto"/>
                    <w:ind w:left="20"/>
                    <w:rPr>
                      <w:rFonts w:ascii="宋体" w:hAnsi="宋体" w:eastAsia="宋体" w:cs="宋体"/>
                      <w:sz w:val="34"/>
                      <w:szCs w:val="34"/>
                    </w:rPr>
                  </w:pPr>
                  <w:r>
                    <w:rPr>
                      <w:rFonts w:ascii="宋体" w:hAnsi="宋体" w:eastAsia="宋体" w:cs="宋体"/>
                      <w:spacing w:val="-3"/>
                      <w:sz w:val="34"/>
                      <w:szCs w:val="34"/>
                    </w:rPr>
                    <w:t>2.4/1085</w:t>
                  </w:r>
                </w:p>
              </w:txbxContent>
            </v:textbox>
          </v:shape>
        </w:pict>
      </w:r>
      <w:r>
        <w:rPr>
          <w:b/>
          <w:bCs/>
          <w:spacing w:val="-4"/>
          <w:sz w:val="29"/>
          <w:szCs w:val="29"/>
        </w:rPr>
        <w:t>NUAA2013052588</w:t>
      </w:r>
    </w:p>
    <w:p w14:paraId="74C659E8">
      <w:pPr>
        <w:spacing w:before="250" w:line="219" w:lineRule="auto"/>
        <w:ind w:left="269"/>
        <w:rPr>
          <w:rFonts w:ascii="宋体" w:hAnsi="宋体" w:eastAsia="宋体" w:cs="宋体"/>
          <w:sz w:val="53"/>
          <w:szCs w:val="53"/>
        </w:rPr>
      </w:pPr>
      <w:r>
        <w:rPr>
          <w:rFonts w:ascii="宋体" w:hAnsi="宋体" w:eastAsia="宋体" w:cs="宋体"/>
          <w:spacing w:val="19"/>
          <w:sz w:val="53"/>
          <w:szCs w:val="53"/>
        </w:rPr>
        <w:t>军工产品研制管理丛书</w:t>
      </w:r>
    </w:p>
    <w:p w14:paraId="62B60CFC">
      <w:pPr>
        <w:pStyle w:val="2"/>
        <w:spacing w:line="261" w:lineRule="auto"/>
      </w:pPr>
    </w:p>
    <w:p w14:paraId="09918C48">
      <w:pPr>
        <w:pStyle w:val="2"/>
        <w:spacing w:line="261" w:lineRule="auto"/>
      </w:pPr>
    </w:p>
    <w:p w14:paraId="5B295C2F">
      <w:pPr>
        <w:pStyle w:val="2"/>
        <w:spacing w:line="261" w:lineRule="auto"/>
      </w:pPr>
    </w:p>
    <w:p w14:paraId="05E9AAE1">
      <w:pPr>
        <w:pStyle w:val="2"/>
        <w:spacing w:line="261" w:lineRule="auto"/>
      </w:pPr>
    </w:p>
    <w:p w14:paraId="3DA8DBAD">
      <w:pPr>
        <w:pStyle w:val="2"/>
        <w:spacing w:line="261" w:lineRule="auto"/>
      </w:pPr>
    </w:p>
    <w:p w14:paraId="323B0517">
      <w:pPr>
        <w:pStyle w:val="2"/>
        <w:spacing w:line="262" w:lineRule="auto"/>
      </w:pPr>
    </w:p>
    <w:p w14:paraId="55DC8279">
      <w:pPr>
        <w:spacing w:before="230" w:line="219" w:lineRule="auto"/>
        <w:ind w:left="2750"/>
        <w:rPr>
          <w:rFonts w:ascii="宋体" w:hAnsi="宋体" w:eastAsia="宋体" w:cs="宋体"/>
          <w:sz w:val="71"/>
          <w:szCs w:val="71"/>
        </w:rPr>
      </w:pPr>
      <w:r>
        <w:rPr>
          <w:rFonts w:ascii="宋体" w:hAnsi="宋体" w:eastAsia="宋体" w:cs="宋体"/>
          <w:b/>
          <w:bCs/>
          <w:spacing w:val="6"/>
          <w:sz w:val="71"/>
          <w:szCs w:val="71"/>
        </w:rPr>
        <w:t>军工产品研制</w:t>
      </w:r>
    </w:p>
    <w:p w14:paraId="3691E755">
      <w:pPr>
        <w:spacing w:before="12" w:line="219" w:lineRule="auto"/>
        <w:ind w:left="1990"/>
        <w:rPr>
          <w:rFonts w:ascii="宋体" w:hAnsi="宋体" w:eastAsia="宋体" w:cs="宋体"/>
          <w:sz w:val="71"/>
          <w:szCs w:val="71"/>
        </w:rPr>
      </w:pPr>
      <w:r>
        <w:rPr>
          <w:rFonts w:ascii="宋体" w:hAnsi="宋体" w:eastAsia="宋体" w:cs="宋体"/>
          <w:b/>
          <w:bCs/>
          <w:spacing w:val="12"/>
          <w:sz w:val="71"/>
          <w:szCs w:val="71"/>
        </w:rPr>
        <w:t>技术文件编写说明</w:t>
      </w:r>
    </w:p>
    <w:p w14:paraId="47FEE722">
      <w:pPr>
        <w:pStyle w:val="2"/>
        <w:spacing w:line="249" w:lineRule="auto"/>
      </w:pPr>
    </w:p>
    <w:p w14:paraId="2BD956C8">
      <w:pPr>
        <w:pStyle w:val="2"/>
        <w:spacing w:line="249" w:lineRule="auto"/>
      </w:pPr>
    </w:p>
    <w:p w14:paraId="784BD22E">
      <w:pPr>
        <w:pStyle w:val="2"/>
        <w:spacing w:line="250" w:lineRule="auto"/>
      </w:pPr>
    </w:p>
    <w:p w14:paraId="18F40509">
      <w:pPr>
        <w:spacing w:before="121" w:line="222" w:lineRule="auto"/>
        <w:ind w:left="1759"/>
        <w:rPr>
          <w:rFonts w:ascii="楷体" w:hAnsi="楷体" w:eastAsia="楷体" w:cs="楷体"/>
          <w:sz w:val="37"/>
          <w:szCs w:val="37"/>
        </w:rPr>
      </w:pPr>
      <w:r>
        <w:rPr>
          <w:rFonts w:ascii="楷体" w:hAnsi="楷体" w:eastAsia="楷体" w:cs="楷体"/>
          <w:spacing w:val="-10"/>
          <w:sz w:val="37"/>
          <w:szCs w:val="37"/>
        </w:rPr>
        <w:t>梅文华</w:t>
      </w:r>
      <w:r>
        <w:rPr>
          <w:rFonts w:ascii="楷体" w:hAnsi="楷体" w:eastAsia="楷体" w:cs="楷体"/>
          <w:spacing w:val="36"/>
          <w:sz w:val="37"/>
          <w:szCs w:val="37"/>
        </w:rPr>
        <w:t xml:space="preserve">  </w:t>
      </w:r>
      <w:r>
        <w:rPr>
          <w:rFonts w:ascii="楷体" w:hAnsi="楷体" w:eastAsia="楷体" w:cs="楷体"/>
          <w:spacing w:val="-10"/>
          <w:sz w:val="37"/>
          <w:szCs w:val="37"/>
        </w:rPr>
        <w:t>罗乖林</w:t>
      </w:r>
      <w:r>
        <w:rPr>
          <w:rFonts w:ascii="楷体" w:hAnsi="楷体" w:eastAsia="楷体" w:cs="楷体"/>
          <w:spacing w:val="20"/>
          <w:sz w:val="37"/>
          <w:szCs w:val="37"/>
        </w:rPr>
        <w:t xml:space="preserve">  </w:t>
      </w:r>
      <w:r>
        <w:rPr>
          <w:rFonts w:ascii="楷体" w:hAnsi="楷体" w:eastAsia="楷体" w:cs="楷体"/>
          <w:spacing w:val="-10"/>
          <w:sz w:val="37"/>
          <w:szCs w:val="37"/>
        </w:rPr>
        <w:t>黄宏诚  杨蕊琴</w:t>
      </w:r>
      <w:r>
        <w:rPr>
          <w:rFonts w:ascii="楷体" w:hAnsi="楷体" w:eastAsia="楷体" w:cs="楷体"/>
          <w:spacing w:val="152"/>
          <w:sz w:val="37"/>
          <w:szCs w:val="37"/>
        </w:rPr>
        <w:t xml:space="preserve"> </w:t>
      </w:r>
      <w:r>
        <w:rPr>
          <w:rFonts w:ascii="楷体" w:hAnsi="楷体" w:eastAsia="楷体" w:cs="楷体"/>
          <w:spacing w:val="-10"/>
          <w:sz w:val="37"/>
          <w:szCs w:val="37"/>
        </w:rPr>
        <w:t>编</w:t>
      </w:r>
    </w:p>
    <w:p w14:paraId="2BFD9E48">
      <w:pPr>
        <w:pStyle w:val="2"/>
        <w:spacing w:line="288" w:lineRule="auto"/>
      </w:pPr>
    </w:p>
    <w:p w14:paraId="661B0A32">
      <w:pPr>
        <w:pStyle w:val="2"/>
        <w:spacing w:line="288" w:lineRule="auto"/>
      </w:pPr>
    </w:p>
    <w:p w14:paraId="095F6F95">
      <w:pPr>
        <w:pStyle w:val="2"/>
        <w:spacing w:line="288" w:lineRule="auto"/>
      </w:pPr>
    </w:p>
    <w:p w14:paraId="4EFDFB3D">
      <w:pPr>
        <w:spacing w:line="2420" w:lineRule="exact"/>
        <w:ind w:firstLine="2589"/>
      </w:pPr>
    </w:p>
    <w:p w14:paraId="53482459">
      <w:pPr>
        <w:pStyle w:val="2"/>
        <w:spacing w:line="242" w:lineRule="auto"/>
      </w:pPr>
    </w:p>
    <w:p w14:paraId="201FF768">
      <w:pPr>
        <w:pStyle w:val="2"/>
        <w:spacing w:line="242" w:lineRule="auto"/>
      </w:pPr>
    </w:p>
    <w:p w14:paraId="5CE51851">
      <w:pPr>
        <w:pStyle w:val="2"/>
        <w:spacing w:line="242" w:lineRule="auto"/>
      </w:pPr>
    </w:p>
    <w:p w14:paraId="4E8F14C6">
      <w:pPr>
        <w:pStyle w:val="2"/>
        <w:spacing w:line="243" w:lineRule="auto"/>
      </w:pPr>
    </w:p>
    <w:p w14:paraId="560804A9">
      <w:pPr>
        <w:pStyle w:val="2"/>
        <w:spacing w:line="243" w:lineRule="auto"/>
      </w:pPr>
    </w:p>
    <w:p w14:paraId="3AAF0704">
      <w:pPr>
        <w:pStyle w:val="2"/>
        <w:spacing w:line="243" w:lineRule="auto"/>
      </w:pPr>
    </w:p>
    <w:p w14:paraId="42AF3791">
      <w:pPr>
        <w:pStyle w:val="2"/>
        <w:spacing w:line="243" w:lineRule="auto"/>
      </w:pPr>
    </w:p>
    <w:p w14:paraId="6715F998">
      <w:pPr>
        <w:pStyle w:val="2"/>
        <w:spacing w:line="243" w:lineRule="auto"/>
      </w:pPr>
    </w:p>
    <w:p w14:paraId="6AC580B5">
      <w:pPr>
        <w:pStyle w:val="2"/>
        <w:spacing w:line="243" w:lineRule="auto"/>
      </w:pPr>
    </w:p>
    <w:p w14:paraId="5081C638">
      <w:pPr>
        <w:pStyle w:val="2"/>
        <w:spacing w:line="243" w:lineRule="auto"/>
      </w:pPr>
    </w:p>
    <w:p w14:paraId="0C22703A">
      <w:pPr>
        <w:pStyle w:val="2"/>
        <w:spacing w:line="243" w:lineRule="auto"/>
      </w:pPr>
    </w:p>
    <w:p w14:paraId="71B45463">
      <w:pPr>
        <w:pStyle w:val="2"/>
        <w:spacing w:line="243" w:lineRule="auto"/>
      </w:pPr>
    </w:p>
    <w:p w14:paraId="30515DBC">
      <w:pPr>
        <w:pStyle w:val="2"/>
        <w:spacing w:line="243" w:lineRule="auto"/>
      </w:pPr>
    </w:p>
    <w:p w14:paraId="68A872D8">
      <w:pPr>
        <w:pStyle w:val="2"/>
        <w:spacing w:line="243" w:lineRule="auto"/>
      </w:pPr>
    </w:p>
    <w:p w14:paraId="1CEDD198">
      <w:pPr>
        <w:spacing w:line="188" w:lineRule="auto"/>
        <w:rPr>
          <w:rFonts w:ascii="Times New Roman" w:hAnsi="Times New Roman" w:eastAsia="Times New Roman" w:cs="Times New Roman"/>
          <w:sz w:val="49"/>
          <w:szCs w:val="49"/>
        </w:rPr>
        <w:sectPr>
          <w:pgSz w:w="11910" w:h="17130"/>
          <w:pgMar w:top="400" w:right="1219" w:bottom="0" w:left="10" w:header="0" w:footer="0" w:gutter="0"/>
          <w:cols w:space="720" w:num="1"/>
        </w:sectPr>
      </w:pPr>
    </w:p>
    <w:p w14:paraId="765632E8">
      <w:pPr>
        <w:pStyle w:val="2"/>
        <w:spacing w:line="257" w:lineRule="auto"/>
      </w:pPr>
    </w:p>
    <w:p w14:paraId="39846F45">
      <w:pPr>
        <w:pStyle w:val="2"/>
        <w:spacing w:line="257" w:lineRule="auto"/>
      </w:pPr>
    </w:p>
    <w:p w14:paraId="0AE1F764">
      <w:pPr>
        <w:pStyle w:val="2"/>
        <w:spacing w:line="257" w:lineRule="auto"/>
      </w:pPr>
    </w:p>
    <w:p w14:paraId="3EEBEDAF">
      <w:pPr>
        <w:pStyle w:val="2"/>
        <w:spacing w:line="258" w:lineRule="auto"/>
      </w:pPr>
    </w:p>
    <w:p w14:paraId="1E9542A1">
      <w:pPr>
        <w:pStyle w:val="2"/>
        <w:spacing w:line="258" w:lineRule="auto"/>
      </w:pPr>
    </w:p>
    <w:p w14:paraId="406ADEEA">
      <w:pPr>
        <w:spacing w:before="101" w:line="222" w:lineRule="auto"/>
        <w:ind w:left="3860"/>
        <w:rPr>
          <w:rFonts w:ascii="黑体" w:hAnsi="黑体" w:eastAsia="黑体" w:cs="黑体"/>
          <w:sz w:val="31"/>
          <w:szCs w:val="31"/>
        </w:rPr>
      </w:pPr>
      <w:r>
        <w:rPr>
          <w:rFonts w:ascii="黑体" w:hAnsi="黑体" w:eastAsia="黑体" w:cs="黑体"/>
          <w:spacing w:val="-18"/>
          <w:sz w:val="31"/>
          <w:szCs w:val="31"/>
        </w:rPr>
        <w:t>内</w:t>
      </w:r>
      <w:r>
        <w:rPr>
          <w:rFonts w:ascii="黑体" w:hAnsi="黑体" w:eastAsia="黑体" w:cs="黑体"/>
          <w:spacing w:val="11"/>
          <w:sz w:val="31"/>
          <w:szCs w:val="31"/>
        </w:rPr>
        <w:t xml:space="preserve"> </w:t>
      </w:r>
      <w:r>
        <w:rPr>
          <w:rFonts w:ascii="黑体" w:hAnsi="黑体" w:eastAsia="黑体" w:cs="黑体"/>
          <w:b/>
          <w:bCs/>
          <w:spacing w:val="-18"/>
          <w:sz w:val="31"/>
          <w:szCs w:val="31"/>
        </w:rPr>
        <w:t>容</w:t>
      </w:r>
      <w:r>
        <w:rPr>
          <w:rFonts w:ascii="黑体" w:hAnsi="黑体" w:eastAsia="黑体" w:cs="黑体"/>
          <w:spacing w:val="32"/>
          <w:sz w:val="31"/>
          <w:szCs w:val="31"/>
        </w:rPr>
        <w:t xml:space="preserve"> </w:t>
      </w:r>
      <w:r>
        <w:rPr>
          <w:rFonts w:ascii="黑体" w:hAnsi="黑体" w:eastAsia="黑体" w:cs="黑体"/>
          <w:b/>
          <w:bCs/>
          <w:spacing w:val="-18"/>
          <w:sz w:val="31"/>
          <w:szCs w:val="31"/>
        </w:rPr>
        <w:t>简</w:t>
      </w:r>
      <w:r>
        <w:rPr>
          <w:rFonts w:ascii="黑体" w:hAnsi="黑体" w:eastAsia="黑体" w:cs="黑体"/>
          <w:spacing w:val="29"/>
          <w:sz w:val="31"/>
          <w:szCs w:val="31"/>
        </w:rPr>
        <w:t xml:space="preserve"> </w:t>
      </w:r>
      <w:r>
        <w:rPr>
          <w:rFonts w:ascii="黑体" w:hAnsi="黑体" w:eastAsia="黑体" w:cs="黑体"/>
          <w:b/>
          <w:bCs/>
          <w:spacing w:val="-18"/>
          <w:sz w:val="31"/>
          <w:szCs w:val="31"/>
        </w:rPr>
        <w:t>介</w:t>
      </w:r>
    </w:p>
    <w:p w14:paraId="6435DA49">
      <w:pPr>
        <w:pStyle w:val="2"/>
        <w:spacing w:line="380" w:lineRule="auto"/>
      </w:pPr>
    </w:p>
    <w:p w14:paraId="6F8DDDAF">
      <w:pPr>
        <w:spacing w:before="91" w:line="275" w:lineRule="auto"/>
        <w:ind w:firstLine="560"/>
        <w:jc w:val="both"/>
        <w:rPr>
          <w:rFonts w:ascii="楷体" w:hAnsi="楷体" w:eastAsia="楷体" w:cs="楷体"/>
          <w:sz w:val="28"/>
          <w:szCs w:val="28"/>
        </w:rPr>
      </w:pPr>
      <w:r>
        <w:rPr>
          <w:rFonts w:ascii="楷体" w:hAnsi="楷体" w:eastAsia="楷体" w:cs="楷体"/>
          <w:spacing w:val="-4"/>
          <w:sz w:val="28"/>
          <w:szCs w:val="28"/>
        </w:rPr>
        <w:t>本书全面系统地阐述了军工产品研制过程中形成的文字类技术</w:t>
      </w:r>
      <w:r>
        <w:rPr>
          <w:rFonts w:ascii="楷体" w:hAnsi="楷体" w:eastAsia="楷体" w:cs="楷体"/>
          <w:spacing w:val="-5"/>
          <w:sz w:val="28"/>
          <w:szCs w:val="28"/>
        </w:rPr>
        <w:t>文件，包括</w:t>
      </w:r>
      <w:r>
        <w:rPr>
          <w:rFonts w:ascii="楷体" w:hAnsi="楷体" w:eastAsia="楷体" w:cs="楷体"/>
          <w:sz w:val="28"/>
          <w:szCs w:val="28"/>
        </w:rPr>
        <w:t xml:space="preserve"> </w:t>
      </w:r>
      <w:r>
        <w:rPr>
          <w:rFonts w:ascii="楷体" w:hAnsi="楷体" w:eastAsia="楷体" w:cs="楷体"/>
          <w:spacing w:val="-27"/>
          <w:sz w:val="28"/>
          <w:szCs w:val="28"/>
        </w:rPr>
        <w:t>一般过程文件、软件文档、工艺文件、标准化</w:t>
      </w:r>
      <w:r>
        <w:rPr>
          <w:rFonts w:ascii="楷体" w:hAnsi="楷体" w:eastAsia="楷体" w:cs="楷体"/>
          <w:spacing w:val="-28"/>
          <w:sz w:val="28"/>
          <w:szCs w:val="28"/>
        </w:rPr>
        <w:t>文件、质量文件、风险管理文件、可靠</w:t>
      </w:r>
      <w:r>
        <w:rPr>
          <w:rFonts w:ascii="楷体" w:hAnsi="楷体" w:eastAsia="楷体" w:cs="楷体"/>
          <w:sz w:val="28"/>
          <w:szCs w:val="28"/>
        </w:rPr>
        <w:t xml:space="preserve">  </w:t>
      </w:r>
      <w:r>
        <w:rPr>
          <w:rFonts w:ascii="楷体" w:hAnsi="楷体" w:eastAsia="楷体" w:cs="楷体"/>
          <w:spacing w:val="-27"/>
          <w:sz w:val="28"/>
          <w:szCs w:val="28"/>
        </w:rPr>
        <w:t>性文件、维修性文件、测试性文件、保障性文件、安全性文件、</w:t>
      </w:r>
      <w:r>
        <w:rPr>
          <w:rFonts w:ascii="楷体" w:hAnsi="楷体" w:eastAsia="楷体" w:cs="楷体"/>
          <w:spacing w:val="-28"/>
          <w:sz w:val="28"/>
          <w:szCs w:val="28"/>
        </w:rPr>
        <w:t>环境适应性文件、电</w:t>
      </w:r>
      <w:r>
        <w:rPr>
          <w:rFonts w:ascii="楷体" w:hAnsi="楷体" w:eastAsia="楷体" w:cs="楷体"/>
          <w:sz w:val="28"/>
          <w:szCs w:val="28"/>
        </w:rPr>
        <w:t xml:space="preserve"> </w:t>
      </w:r>
      <w:r>
        <w:rPr>
          <w:rFonts w:ascii="楷体" w:hAnsi="楷体" w:eastAsia="楷体" w:cs="楷体"/>
          <w:spacing w:val="-20"/>
          <w:sz w:val="28"/>
          <w:szCs w:val="28"/>
        </w:rPr>
        <w:t>磁兼容性文件、人机工程文件、项目成果文件等技术文件的编写说明</w:t>
      </w:r>
      <w:r>
        <w:rPr>
          <w:rFonts w:ascii="楷体" w:hAnsi="楷体" w:eastAsia="楷体" w:cs="楷体"/>
          <w:spacing w:val="-21"/>
          <w:sz w:val="28"/>
          <w:szCs w:val="28"/>
        </w:rPr>
        <w:t>，内容与《军</w:t>
      </w:r>
      <w:r>
        <w:rPr>
          <w:rFonts w:ascii="楷体" w:hAnsi="楷体" w:eastAsia="楷体" w:cs="楷体"/>
          <w:sz w:val="28"/>
          <w:szCs w:val="28"/>
        </w:rPr>
        <w:t xml:space="preserve"> </w:t>
      </w:r>
      <w:r>
        <w:rPr>
          <w:rFonts w:ascii="楷体" w:hAnsi="楷体" w:eastAsia="楷体" w:cs="楷体"/>
          <w:spacing w:val="-20"/>
          <w:sz w:val="28"/>
          <w:szCs w:val="28"/>
        </w:rPr>
        <w:t>工产品研制技术文件编写指南》相对应，既可配套使用，又可独立使</w:t>
      </w:r>
      <w:r>
        <w:rPr>
          <w:rFonts w:ascii="楷体" w:hAnsi="楷体" w:eastAsia="楷体" w:cs="楷体"/>
          <w:spacing w:val="-21"/>
          <w:sz w:val="28"/>
          <w:szCs w:val="28"/>
        </w:rPr>
        <w:t>用，是指导军</w:t>
      </w:r>
      <w:r>
        <w:rPr>
          <w:rFonts w:ascii="楷体" w:hAnsi="楷体" w:eastAsia="楷体" w:cs="楷体"/>
          <w:sz w:val="28"/>
          <w:szCs w:val="28"/>
        </w:rPr>
        <w:t xml:space="preserve"> </w:t>
      </w:r>
      <w:r>
        <w:rPr>
          <w:rFonts w:ascii="楷体" w:hAnsi="楷体" w:eastAsia="楷体" w:cs="楷体"/>
          <w:spacing w:val="-9"/>
          <w:sz w:val="28"/>
          <w:szCs w:val="28"/>
        </w:rPr>
        <w:t>工产品研制过程中编写相关技术文件的一本</w:t>
      </w:r>
      <w:r>
        <w:rPr>
          <w:rFonts w:ascii="楷体" w:hAnsi="楷体" w:eastAsia="楷体" w:cs="楷体"/>
          <w:spacing w:val="-10"/>
          <w:sz w:val="28"/>
          <w:szCs w:val="28"/>
        </w:rPr>
        <w:t>实用工具书，对规范技术文件内容、</w:t>
      </w:r>
      <w:r>
        <w:rPr>
          <w:rFonts w:ascii="楷体" w:hAnsi="楷体" w:eastAsia="楷体" w:cs="楷体"/>
          <w:sz w:val="28"/>
          <w:szCs w:val="28"/>
        </w:rPr>
        <w:t xml:space="preserve"> </w:t>
      </w:r>
      <w:r>
        <w:rPr>
          <w:rFonts w:ascii="楷体" w:hAnsi="楷体" w:eastAsia="楷体" w:cs="楷体"/>
          <w:spacing w:val="-15"/>
          <w:sz w:val="28"/>
          <w:szCs w:val="28"/>
        </w:rPr>
        <w:t>提高技术文件质量、完善设计开发过程，具有重要的应用价值。</w:t>
      </w:r>
    </w:p>
    <w:p w14:paraId="6FF3F084">
      <w:pPr>
        <w:spacing w:before="2" w:line="223" w:lineRule="auto"/>
        <w:ind w:right="42"/>
        <w:jc w:val="right"/>
        <w:rPr>
          <w:rFonts w:ascii="楷体" w:hAnsi="楷体" w:eastAsia="楷体" w:cs="楷体"/>
          <w:sz w:val="28"/>
          <w:szCs w:val="28"/>
        </w:rPr>
      </w:pPr>
      <w:r>
        <w:rPr>
          <w:rFonts w:ascii="楷体" w:hAnsi="楷体" w:eastAsia="楷体" w:cs="楷体"/>
          <w:spacing w:val="-27"/>
          <w:sz w:val="28"/>
          <w:szCs w:val="28"/>
        </w:rPr>
        <w:t>本书可供从事军工产品论证验证人员、研制生产人员、型号管理人员参考使用。</w:t>
      </w:r>
    </w:p>
    <w:p w14:paraId="546204CF">
      <w:pPr>
        <w:pStyle w:val="2"/>
        <w:spacing w:line="243" w:lineRule="auto"/>
      </w:pPr>
    </w:p>
    <w:p w14:paraId="6D9B1B1A">
      <w:pPr>
        <w:pStyle w:val="2"/>
        <w:spacing w:line="243" w:lineRule="auto"/>
      </w:pPr>
    </w:p>
    <w:p w14:paraId="5038335A">
      <w:pPr>
        <w:pStyle w:val="2"/>
        <w:spacing w:line="243" w:lineRule="auto"/>
      </w:pPr>
    </w:p>
    <w:p w14:paraId="07CB3196">
      <w:pPr>
        <w:pStyle w:val="2"/>
        <w:spacing w:line="244" w:lineRule="auto"/>
      </w:pPr>
    </w:p>
    <w:p w14:paraId="1E9A9C2B">
      <w:pPr>
        <w:spacing w:before="72" w:line="212" w:lineRule="auto"/>
        <w:ind w:left="2520"/>
        <w:rPr>
          <w:rFonts w:ascii="黑体" w:hAnsi="黑体" w:eastAsia="黑体" w:cs="黑体"/>
          <w:sz w:val="22"/>
          <w:szCs w:val="22"/>
        </w:rPr>
      </w:pPr>
      <w:r>
        <w:rPr>
          <w:rFonts w:ascii="黑体" w:hAnsi="黑体" w:eastAsia="黑体" w:cs="黑体"/>
          <w:spacing w:val="5"/>
          <w:sz w:val="22"/>
          <w:szCs w:val="22"/>
        </w:rPr>
        <w:t>图书在版编目(</w:t>
      </w:r>
      <w:r>
        <w:rPr>
          <w:rFonts w:ascii="黑体" w:hAnsi="黑体" w:eastAsia="黑体" w:cs="黑体"/>
          <w:spacing w:val="-59"/>
          <w:sz w:val="22"/>
          <w:szCs w:val="22"/>
        </w:rPr>
        <w:t xml:space="preserve"> </w:t>
      </w:r>
      <w:r>
        <w:rPr>
          <w:rFonts w:ascii="Times New Roman" w:hAnsi="Times New Roman" w:eastAsia="Times New Roman" w:cs="Times New Roman"/>
          <w:sz w:val="22"/>
          <w:szCs w:val="22"/>
        </w:rPr>
        <w:t>CIP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7"/>
          <w:w w:val="101"/>
          <w:sz w:val="22"/>
          <w:szCs w:val="22"/>
        </w:rPr>
        <w:t xml:space="preserve"> </w:t>
      </w:r>
      <w:r>
        <w:rPr>
          <w:rFonts w:ascii="黑体" w:hAnsi="黑体" w:eastAsia="黑体" w:cs="黑体"/>
          <w:spacing w:val="5"/>
          <w:sz w:val="22"/>
          <w:szCs w:val="22"/>
        </w:rPr>
        <w:t>数据</w:t>
      </w:r>
    </w:p>
    <w:p w14:paraId="3170F7BB">
      <w:pPr>
        <w:spacing w:before="250" w:line="219" w:lineRule="auto"/>
        <w:ind w:left="2520"/>
        <w:rPr>
          <w:rFonts w:ascii="宋体" w:hAnsi="宋体" w:eastAsia="宋体" w:cs="宋体"/>
          <w:sz w:val="22"/>
          <w:szCs w:val="22"/>
        </w:rPr>
      </w:pPr>
      <w:r>
        <w:rPr>
          <w:rFonts w:ascii="宋体" w:hAnsi="宋体" w:eastAsia="宋体" w:cs="宋体"/>
          <w:spacing w:val="24"/>
          <w:sz w:val="22"/>
          <w:szCs w:val="22"/>
        </w:rPr>
        <w:t>军工产品研制技术文件编写说明/梅文华等编.</w:t>
      </w:r>
    </w:p>
    <w:p w14:paraId="5B2BFE24">
      <w:pPr>
        <w:spacing w:before="120" w:line="219" w:lineRule="auto"/>
        <w:ind w:left="2270"/>
        <w:rPr>
          <w:rFonts w:ascii="宋体" w:hAnsi="宋体" w:eastAsia="宋体" w:cs="宋体"/>
          <w:sz w:val="22"/>
          <w:szCs w:val="22"/>
        </w:rPr>
      </w:pPr>
      <w:r>
        <w:rPr>
          <w:rFonts w:ascii="宋体" w:hAnsi="宋体" w:eastAsia="宋体" w:cs="宋体"/>
          <w:spacing w:val="6"/>
          <w:sz w:val="22"/>
          <w:szCs w:val="22"/>
        </w:rPr>
        <w:t>—北京：国防工业出版社，2011.8</w:t>
      </w:r>
    </w:p>
    <w:p w14:paraId="4E77BC6D">
      <w:pPr>
        <w:spacing w:before="118" w:line="219" w:lineRule="auto"/>
        <w:ind w:left="2520"/>
        <w:rPr>
          <w:rFonts w:ascii="宋体" w:hAnsi="宋体" w:eastAsia="宋体" w:cs="宋体"/>
          <w:sz w:val="22"/>
          <w:szCs w:val="22"/>
        </w:rPr>
      </w:pPr>
      <w:r>
        <w:rPr>
          <w:rFonts w:ascii="宋体" w:hAnsi="宋体" w:eastAsia="宋体" w:cs="宋体"/>
          <w:spacing w:val="19"/>
          <w:sz w:val="22"/>
          <w:szCs w:val="22"/>
        </w:rPr>
        <w:t>(军工产品研制管理丛书)</w:t>
      </w:r>
    </w:p>
    <w:p w14:paraId="1BDE0F16">
      <w:pPr>
        <w:spacing w:before="147" w:line="188" w:lineRule="auto"/>
        <w:ind w:left="25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ISBN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978-7-118—07620-2</w:t>
      </w:r>
    </w:p>
    <w:p w14:paraId="16AEA024">
      <w:pPr>
        <w:pStyle w:val="2"/>
        <w:spacing w:line="315" w:lineRule="auto"/>
      </w:pPr>
    </w:p>
    <w:p w14:paraId="2BCA375D">
      <w:pPr>
        <w:spacing w:before="76" w:line="298" w:lineRule="auto"/>
        <w:ind w:left="2270" w:right="2232" w:firstLine="249"/>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I.</w:t>
      </w:r>
      <w:r>
        <w:rPr>
          <w:rFonts w:ascii="宋体" w:hAnsi="宋体" w:eastAsia="宋体" w:cs="宋体"/>
          <w:spacing w:val="4"/>
          <w:sz w:val="23"/>
          <w:szCs w:val="23"/>
        </w:rPr>
        <w:t>①</w:t>
      </w:r>
      <w:r>
        <w:rPr>
          <w:rFonts w:ascii="宋体" w:hAnsi="宋体" w:eastAsia="宋体" w:cs="宋体"/>
          <w:spacing w:val="67"/>
          <w:sz w:val="23"/>
          <w:szCs w:val="23"/>
        </w:rPr>
        <w:t xml:space="preserve"> </w:t>
      </w:r>
      <w:r>
        <w:rPr>
          <w:rFonts w:ascii="宋体" w:hAnsi="宋体" w:eastAsia="宋体" w:cs="宋体"/>
          <w:spacing w:val="4"/>
          <w:sz w:val="23"/>
          <w:szCs w:val="23"/>
        </w:rPr>
        <w:t>军</w:t>
      </w:r>
      <w:r>
        <w:rPr>
          <w:rFonts w:ascii="宋体" w:hAnsi="宋体" w:eastAsia="宋体" w:cs="宋体"/>
          <w:spacing w:val="-59"/>
          <w:sz w:val="23"/>
          <w:szCs w:val="23"/>
        </w:rPr>
        <w:t xml:space="preserve"> </w:t>
      </w:r>
      <w:r>
        <w:rPr>
          <w:rFonts w:ascii="宋体" w:hAnsi="宋体" w:eastAsia="宋体" w:cs="宋体"/>
          <w:spacing w:val="4"/>
          <w:sz w:val="23"/>
          <w:szCs w:val="23"/>
        </w:rPr>
        <w:t>…</w:t>
      </w:r>
      <w:r>
        <w:rPr>
          <w:rFonts w:ascii="宋体" w:hAnsi="宋体" w:eastAsia="宋体" w:cs="宋体"/>
          <w:spacing w:val="-34"/>
          <w:sz w:val="23"/>
          <w:szCs w:val="23"/>
        </w:rPr>
        <w:t xml:space="preserve"> </w:t>
      </w:r>
      <w:r>
        <w:rPr>
          <w:rFonts w:ascii="宋体" w:hAnsi="宋体" w:eastAsia="宋体" w:cs="宋体"/>
          <w:spacing w:val="4"/>
          <w:sz w:val="23"/>
          <w:szCs w:val="23"/>
        </w:rPr>
        <w:t>Ⅱ</w:t>
      </w:r>
      <w:r>
        <w:rPr>
          <w:rFonts w:ascii="宋体" w:hAnsi="宋体" w:eastAsia="宋体" w:cs="宋体"/>
          <w:spacing w:val="-67"/>
          <w:sz w:val="23"/>
          <w:szCs w:val="23"/>
        </w:rPr>
        <w:t xml:space="preserve"> </w:t>
      </w:r>
      <w:r>
        <w:rPr>
          <w:rFonts w:ascii="宋体" w:hAnsi="宋体" w:eastAsia="宋体" w:cs="宋体"/>
          <w:spacing w:val="4"/>
          <w:sz w:val="23"/>
          <w:szCs w:val="23"/>
        </w:rPr>
        <w:t>.</w:t>
      </w:r>
      <w:r>
        <w:rPr>
          <w:rFonts w:ascii="宋体" w:hAnsi="宋体" w:eastAsia="宋体" w:cs="宋体"/>
          <w:spacing w:val="-75"/>
          <w:sz w:val="23"/>
          <w:szCs w:val="23"/>
        </w:rPr>
        <w:t xml:space="preserve"> </w:t>
      </w:r>
      <w:r>
        <w:rPr>
          <w:rFonts w:ascii="宋体" w:hAnsi="宋体" w:eastAsia="宋体" w:cs="宋体"/>
          <w:spacing w:val="4"/>
          <w:sz w:val="23"/>
          <w:szCs w:val="23"/>
        </w:rPr>
        <w:t>①梅</w:t>
      </w:r>
      <w:r>
        <w:rPr>
          <w:rFonts w:ascii="宋体" w:hAnsi="宋体" w:eastAsia="宋体" w:cs="宋体"/>
          <w:spacing w:val="-59"/>
          <w:sz w:val="23"/>
          <w:szCs w:val="23"/>
        </w:rPr>
        <w:t xml:space="preserve"> </w:t>
      </w:r>
      <w:r>
        <w:rPr>
          <w:rFonts w:ascii="宋体" w:hAnsi="宋体" w:eastAsia="宋体" w:cs="宋体"/>
          <w:spacing w:val="4"/>
          <w:sz w:val="23"/>
          <w:szCs w:val="23"/>
        </w:rPr>
        <w:t>…</w:t>
      </w:r>
      <w:r>
        <w:rPr>
          <w:rFonts w:ascii="宋体" w:hAnsi="宋体" w:eastAsia="宋体" w:cs="宋体"/>
          <w:spacing w:val="-74"/>
          <w:sz w:val="23"/>
          <w:szCs w:val="23"/>
        </w:rPr>
        <w:t xml:space="preserve"> </w:t>
      </w:r>
      <w:r>
        <w:rPr>
          <w:rFonts w:ascii="宋体" w:hAnsi="宋体" w:eastAsia="宋体" w:cs="宋体"/>
          <w:spacing w:val="4"/>
          <w:sz w:val="23"/>
          <w:szCs w:val="23"/>
        </w:rPr>
        <w:t>Ⅲ</w:t>
      </w:r>
      <w:r>
        <w:rPr>
          <w:rFonts w:ascii="宋体" w:hAnsi="宋体" w:eastAsia="宋体" w:cs="宋体"/>
          <w:spacing w:val="-67"/>
          <w:sz w:val="23"/>
          <w:szCs w:val="23"/>
        </w:rPr>
        <w:t xml:space="preserve"> </w:t>
      </w:r>
      <w:r>
        <w:rPr>
          <w:rFonts w:ascii="宋体" w:hAnsi="宋体" w:eastAsia="宋体" w:cs="宋体"/>
          <w:spacing w:val="4"/>
          <w:sz w:val="23"/>
          <w:szCs w:val="23"/>
        </w:rPr>
        <w:t>.</w:t>
      </w:r>
      <w:r>
        <w:rPr>
          <w:rFonts w:ascii="宋体" w:hAnsi="宋体" w:eastAsia="宋体" w:cs="宋体"/>
          <w:spacing w:val="-75"/>
          <w:sz w:val="23"/>
          <w:szCs w:val="23"/>
        </w:rPr>
        <w:t xml:space="preserve"> </w:t>
      </w:r>
      <w:r>
        <w:rPr>
          <w:rFonts w:ascii="宋体" w:hAnsi="宋体" w:eastAsia="宋体" w:cs="宋体"/>
          <w:spacing w:val="4"/>
          <w:sz w:val="23"/>
          <w:szCs w:val="23"/>
        </w:rPr>
        <w:t>①国防工业一工业</w:t>
      </w:r>
      <w:r>
        <w:rPr>
          <w:rFonts w:ascii="宋体" w:hAnsi="宋体" w:eastAsia="宋体" w:cs="宋体"/>
          <w:sz w:val="23"/>
          <w:szCs w:val="23"/>
        </w:rPr>
        <w:t xml:space="preserve"> </w:t>
      </w:r>
      <w:r>
        <w:rPr>
          <w:rFonts w:ascii="宋体" w:hAnsi="宋体" w:eastAsia="宋体" w:cs="宋体"/>
          <w:spacing w:val="4"/>
          <w:sz w:val="23"/>
          <w:szCs w:val="23"/>
        </w:rPr>
        <w:t xml:space="preserve">产品一研制一文件一编制 </w:t>
      </w:r>
      <w:r>
        <w:rPr>
          <w:rFonts w:ascii="Times New Roman" w:hAnsi="Times New Roman" w:eastAsia="Times New Roman" w:cs="Times New Roman"/>
          <w:sz w:val="23"/>
          <w:szCs w:val="23"/>
        </w:rPr>
        <w:t>IV</w:t>
      </w:r>
      <w:r>
        <w:rPr>
          <w:rFonts w:ascii="Times New Roman" w:hAnsi="Times New Roman" w:eastAsia="Times New Roman" w:cs="Times New Roman"/>
          <w:spacing w:val="4"/>
          <w:sz w:val="23"/>
          <w:szCs w:val="23"/>
        </w:rPr>
        <w:t>.</w:t>
      </w:r>
      <w:r>
        <w:rPr>
          <w:rFonts w:ascii="宋体" w:hAnsi="宋体" w:eastAsia="宋体" w:cs="宋体"/>
          <w:spacing w:val="4"/>
          <w:sz w:val="23"/>
          <w:szCs w:val="23"/>
        </w:rPr>
        <w:t>①</w:t>
      </w:r>
      <w:r>
        <w:rPr>
          <w:rFonts w:ascii="Times New Roman" w:hAnsi="Times New Roman" w:eastAsia="Times New Roman" w:cs="Times New Roman"/>
          <w:spacing w:val="4"/>
          <w:sz w:val="23"/>
          <w:szCs w:val="23"/>
        </w:rPr>
        <w:t>F407 486.3</w:t>
      </w:r>
    </w:p>
    <w:p w14:paraId="4767E62D">
      <w:pPr>
        <w:spacing w:before="268" w:line="219" w:lineRule="auto"/>
        <w:ind w:left="2520"/>
        <w:rPr>
          <w:rFonts w:ascii="宋体" w:hAnsi="宋体" w:eastAsia="宋体" w:cs="宋体"/>
          <w:sz w:val="22"/>
          <w:szCs w:val="22"/>
        </w:rPr>
      </w:pPr>
      <w:r>
        <w:rPr>
          <w:rFonts w:ascii="宋体" w:hAnsi="宋体" w:eastAsia="宋体" w:cs="宋体"/>
          <w:spacing w:val="18"/>
          <w:sz w:val="22"/>
          <w:szCs w:val="22"/>
        </w:rPr>
        <w:t>中国版本图书馆</w:t>
      </w:r>
      <w:r>
        <w:rPr>
          <w:rFonts w:ascii="Times New Roman" w:hAnsi="Times New Roman" w:eastAsia="Times New Roman" w:cs="Times New Roman"/>
          <w:sz w:val="22"/>
          <w:szCs w:val="22"/>
        </w:rPr>
        <w:t>CIP</w:t>
      </w:r>
      <w:r>
        <w:rPr>
          <w:rFonts w:ascii="Times New Roman" w:hAnsi="Times New Roman" w:eastAsia="Times New Roman" w:cs="Times New Roman"/>
          <w:spacing w:val="65"/>
          <w:sz w:val="22"/>
          <w:szCs w:val="22"/>
        </w:rPr>
        <w:t xml:space="preserve"> </w:t>
      </w:r>
      <w:r>
        <w:rPr>
          <w:rFonts w:ascii="宋体" w:hAnsi="宋体" w:eastAsia="宋体" w:cs="宋体"/>
          <w:spacing w:val="18"/>
          <w:sz w:val="22"/>
          <w:szCs w:val="22"/>
        </w:rPr>
        <w:t>数据核字(2011)第147869号</w:t>
      </w:r>
    </w:p>
    <w:p w14:paraId="34BF07B9">
      <w:pPr>
        <w:pStyle w:val="2"/>
        <w:spacing w:line="293" w:lineRule="auto"/>
      </w:pPr>
    </w:p>
    <w:p w14:paraId="75DCD2EF">
      <w:pPr>
        <w:pStyle w:val="2"/>
        <w:spacing w:line="293" w:lineRule="auto"/>
      </w:pPr>
    </w:p>
    <w:p w14:paraId="28D985FF">
      <w:pPr>
        <w:spacing w:before="56" w:line="197" w:lineRule="auto"/>
        <w:ind w:left="4589"/>
        <w:rPr>
          <w:rFonts w:ascii="宋体" w:hAnsi="宋体" w:eastAsia="宋体" w:cs="宋体"/>
          <w:sz w:val="17"/>
          <w:szCs w:val="17"/>
        </w:rPr>
      </w:pPr>
      <w:r>
        <w:rPr>
          <w:rFonts w:ascii="宋体" w:hAnsi="宋体" w:eastAsia="宋体" w:cs="宋体"/>
          <w:sz w:val="17"/>
          <w:szCs w:val="17"/>
        </w:rPr>
        <w:t>※</w:t>
      </w:r>
    </w:p>
    <w:p w14:paraId="383B986E">
      <w:pPr>
        <w:spacing w:before="1" w:line="229" w:lineRule="auto"/>
        <w:ind w:left="2867"/>
        <w:rPr>
          <w:rFonts w:ascii="仿宋" w:hAnsi="仿宋" w:eastAsia="仿宋" w:cs="仿宋"/>
          <w:sz w:val="29"/>
          <w:szCs w:val="29"/>
        </w:rPr>
      </w:pPr>
      <w:r>
        <w:rPr>
          <w:rFonts w:ascii="华文行楷" w:hAnsi="华文行楷" w:eastAsia="华文行楷" w:cs="华文行楷"/>
          <w:i/>
          <w:iCs/>
          <w:spacing w:val="-24"/>
          <w:sz w:val="30"/>
          <w:szCs w:val="30"/>
        </w:rPr>
        <w:t>网</w:t>
      </w:r>
      <w:r>
        <w:rPr>
          <w:rFonts w:ascii="华文行楷" w:hAnsi="华文行楷" w:eastAsia="华文行楷" w:cs="华文行楷"/>
          <w:spacing w:val="-24"/>
          <w:sz w:val="30"/>
          <w:szCs w:val="30"/>
        </w:rPr>
        <w:t xml:space="preserve">  </w:t>
      </w:r>
      <w:r>
        <w:rPr>
          <w:rFonts w:ascii="华文行楷" w:hAnsi="华文行楷" w:eastAsia="华文行楷" w:cs="华文行楷"/>
          <w:i/>
          <w:iCs/>
          <w:spacing w:val="-24"/>
          <w:sz w:val="30"/>
          <w:szCs w:val="30"/>
        </w:rPr>
        <w:t>防</w:t>
      </w:r>
      <w:r>
        <w:rPr>
          <w:rFonts w:ascii="华文行楷" w:hAnsi="华文行楷" w:eastAsia="华文行楷" w:cs="华文行楷"/>
          <w:spacing w:val="64"/>
          <w:sz w:val="30"/>
          <w:szCs w:val="30"/>
        </w:rPr>
        <w:t xml:space="preserve"> </w:t>
      </w:r>
      <w:r>
        <w:rPr>
          <w:rFonts w:ascii="华文行楷" w:hAnsi="华文行楷" w:eastAsia="华文行楷" w:cs="华文行楷"/>
          <w:i/>
          <w:iCs/>
          <w:spacing w:val="-24"/>
          <w:sz w:val="30"/>
          <w:szCs w:val="30"/>
        </w:rPr>
        <w:t>二</w:t>
      </w:r>
      <w:r>
        <w:rPr>
          <w:rFonts w:ascii="华文行楷" w:hAnsi="华文行楷" w:eastAsia="华文行楷" w:cs="华文行楷"/>
          <w:spacing w:val="45"/>
          <w:sz w:val="30"/>
          <w:szCs w:val="30"/>
        </w:rPr>
        <w:t xml:space="preserve"> </w:t>
      </w:r>
      <w:r>
        <w:rPr>
          <w:rFonts w:ascii="华文行楷" w:hAnsi="华文行楷" w:eastAsia="华文行楷" w:cs="华文行楷"/>
          <w:i/>
          <w:iCs/>
          <w:spacing w:val="-24"/>
          <w:sz w:val="30"/>
          <w:szCs w:val="30"/>
        </w:rPr>
        <w:t>草</w:t>
      </w:r>
      <w:r>
        <w:rPr>
          <w:rFonts w:ascii="华文行楷" w:hAnsi="华文行楷" w:eastAsia="华文行楷" w:cs="华文行楷"/>
          <w:spacing w:val="-24"/>
          <w:sz w:val="30"/>
          <w:szCs w:val="30"/>
        </w:rPr>
        <w:t xml:space="preserve">  </w:t>
      </w:r>
      <w:r>
        <w:rPr>
          <w:rFonts w:ascii="华文行楷" w:hAnsi="华文行楷" w:eastAsia="华文行楷" w:cs="华文行楷"/>
          <w:i/>
          <w:iCs/>
          <w:spacing w:val="-24"/>
          <w:sz w:val="30"/>
          <w:szCs w:val="30"/>
        </w:rPr>
        <w:t>品</w:t>
      </w:r>
      <w:r>
        <w:rPr>
          <w:rFonts w:ascii="华文行楷" w:hAnsi="华文行楷" w:eastAsia="华文行楷" w:cs="华文行楷"/>
          <w:spacing w:val="-24"/>
          <w:sz w:val="30"/>
          <w:szCs w:val="30"/>
        </w:rPr>
        <w:t xml:space="preserve">  </w:t>
      </w:r>
      <w:r>
        <w:rPr>
          <w:rFonts w:ascii="华文行楷" w:hAnsi="华文行楷" w:eastAsia="华文行楷" w:cs="华文行楷"/>
          <w:i/>
          <w:iCs/>
          <w:spacing w:val="-24"/>
          <w:sz w:val="30"/>
          <w:szCs w:val="30"/>
        </w:rPr>
        <w:t>版</w:t>
      </w:r>
      <w:r>
        <w:rPr>
          <w:rFonts w:ascii="华文行楷" w:hAnsi="华文行楷" w:eastAsia="华文行楷" w:cs="华文行楷"/>
          <w:spacing w:val="-24"/>
          <w:sz w:val="30"/>
          <w:szCs w:val="30"/>
        </w:rPr>
        <w:t xml:space="preserve">  </w:t>
      </w:r>
      <w:r>
        <w:rPr>
          <w:rFonts w:ascii="华文行楷" w:hAnsi="华文行楷" w:eastAsia="华文行楷" w:cs="华文行楷"/>
          <w:i/>
          <w:iCs/>
          <w:spacing w:val="-24"/>
          <w:sz w:val="30"/>
          <w:szCs w:val="30"/>
        </w:rPr>
        <w:t>社</w:t>
      </w:r>
      <w:r>
        <w:rPr>
          <w:rFonts w:ascii="华文行楷" w:hAnsi="华文行楷" w:eastAsia="华文行楷" w:cs="华文行楷"/>
          <w:spacing w:val="-24"/>
          <w:sz w:val="30"/>
          <w:szCs w:val="30"/>
        </w:rPr>
        <w:t xml:space="preserve">  </w:t>
      </w:r>
      <w:r>
        <w:rPr>
          <w:rFonts w:ascii="仿宋" w:hAnsi="仿宋" w:eastAsia="仿宋" w:cs="仿宋"/>
          <w:spacing w:val="-24"/>
          <w:sz w:val="29"/>
          <w:szCs w:val="29"/>
        </w:rPr>
        <w:t>出版发行</w:t>
      </w:r>
    </w:p>
    <w:p w14:paraId="16995C05">
      <w:pPr>
        <w:spacing w:before="84" w:line="219" w:lineRule="auto"/>
        <w:ind w:left="2270"/>
        <w:rPr>
          <w:rFonts w:ascii="宋体" w:hAnsi="宋体" w:eastAsia="宋体" w:cs="宋体"/>
          <w:sz w:val="20"/>
          <w:szCs w:val="20"/>
        </w:rPr>
      </w:pPr>
      <w:r>
        <w:rPr>
          <w:rFonts w:ascii="宋体" w:hAnsi="宋体" w:eastAsia="宋体" w:cs="宋体"/>
          <w:spacing w:val="14"/>
          <w:sz w:val="20"/>
          <w:szCs w:val="20"/>
        </w:rPr>
        <w:t>(北京市海淀区紫竹院南路23号</w:t>
      </w:r>
      <w:r>
        <w:rPr>
          <w:rFonts w:ascii="宋体" w:hAnsi="宋体" w:eastAsia="宋体" w:cs="宋体"/>
          <w:spacing w:val="108"/>
          <w:sz w:val="20"/>
          <w:szCs w:val="20"/>
        </w:rPr>
        <w:t xml:space="preserve"> </w:t>
      </w:r>
      <w:r>
        <w:rPr>
          <w:rFonts w:ascii="宋体" w:hAnsi="宋体" w:eastAsia="宋体" w:cs="宋体"/>
          <w:spacing w:val="14"/>
          <w:sz w:val="20"/>
          <w:szCs w:val="20"/>
        </w:rPr>
        <w:t>邮政编码100048)</w:t>
      </w:r>
    </w:p>
    <w:p w14:paraId="3EAC5740">
      <w:pPr>
        <w:spacing w:before="103" w:line="219" w:lineRule="auto"/>
        <w:ind w:left="3209"/>
        <w:rPr>
          <w:rFonts w:ascii="宋体" w:hAnsi="宋体" w:eastAsia="宋体" w:cs="宋体"/>
          <w:sz w:val="20"/>
          <w:szCs w:val="20"/>
        </w:rPr>
      </w:pPr>
      <w:r>
        <w:rPr>
          <w:rFonts w:ascii="宋体" w:hAnsi="宋体" w:eastAsia="宋体" w:cs="宋体"/>
          <w:spacing w:val="11"/>
          <w:sz w:val="20"/>
          <w:szCs w:val="20"/>
        </w:rPr>
        <w:t>北京嘉恒彩色印刷有限责任公司</w:t>
      </w:r>
    </w:p>
    <w:p w14:paraId="65B2DF22">
      <w:pPr>
        <w:spacing w:before="111" w:line="219" w:lineRule="auto"/>
        <w:ind w:left="4049"/>
        <w:rPr>
          <w:rFonts w:ascii="宋体" w:hAnsi="宋体" w:eastAsia="宋体" w:cs="宋体"/>
          <w:sz w:val="20"/>
          <w:szCs w:val="20"/>
        </w:rPr>
      </w:pPr>
      <w:r>
        <w:rPr>
          <w:rFonts w:ascii="宋体" w:hAnsi="宋体" w:eastAsia="宋体" w:cs="宋体"/>
          <w:spacing w:val="10"/>
          <w:sz w:val="20"/>
          <w:szCs w:val="20"/>
        </w:rPr>
        <w:t>新华书店经售</w:t>
      </w:r>
    </w:p>
    <w:p w14:paraId="4E3544F1">
      <w:pPr>
        <w:spacing w:before="188" w:line="126" w:lineRule="exact"/>
        <w:ind w:left="4620"/>
        <w:rPr>
          <w:rFonts w:ascii="宋体" w:hAnsi="宋体" w:eastAsia="宋体" w:cs="宋体"/>
          <w:sz w:val="9"/>
          <w:szCs w:val="9"/>
        </w:rPr>
      </w:pPr>
      <w:r>
        <w:rPr>
          <w:rFonts w:ascii="宋体" w:hAnsi="宋体" w:eastAsia="宋体" w:cs="宋体"/>
          <w:position w:val="1"/>
          <w:sz w:val="9"/>
          <w:szCs w:val="9"/>
        </w:rPr>
        <w:t>*</w:t>
      </w:r>
    </w:p>
    <w:p w14:paraId="31235981">
      <w:pPr>
        <w:spacing w:before="179" w:line="222" w:lineRule="auto"/>
        <w:ind w:left="2270"/>
        <w:rPr>
          <w:rFonts w:ascii="宋体" w:hAnsi="宋体" w:eastAsia="宋体" w:cs="宋体"/>
          <w:sz w:val="20"/>
          <w:szCs w:val="20"/>
        </w:rPr>
      </w:pPr>
      <w:r>
        <w:rPr>
          <w:rFonts w:ascii="黑体" w:hAnsi="黑体" w:eastAsia="黑体" w:cs="黑体"/>
          <w:spacing w:val="15"/>
          <w:sz w:val="20"/>
          <w:szCs w:val="20"/>
        </w:rPr>
        <w:t>开本710×960</w:t>
      </w:r>
      <w:r>
        <w:rPr>
          <w:rFonts w:ascii="黑体" w:hAnsi="黑体" w:eastAsia="黑体" w:cs="黑体"/>
          <w:spacing w:val="5"/>
          <w:sz w:val="20"/>
          <w:szCs w:val="20"/>
        </w:rPr>
        <w:t xml:space="preserve">   </w:t>
      </w:r>
      <w:r>
        <w:rPr>
          <w:rFonts w:ascii="黑体" w:hAnsi="黑体" w:eastAsia="黑体" w:cs="黑体"/>
          <w:spacing w:val="15"/>
          <w:sz w:val="20"/>
          <w:szCs w:val="20"/>
        </w:rPr>
        <w:t>1/16   印张42%</w:t>
      </w:r>
      <w:r>
        <w:rPr>
          <w:rFonts w:ascii="黑体" w:hAnsi="黑体" w:eastAsia="黑体" w:cs="黑体"/>
          <w:spacing w:val="17"/>
          <w:sz w:val="20"/>
          <w:szCs w:val="20"/>
        </w:rPr>
        <w:t xml:space="preserve">   </w:t>
      </w:r>
      <w:r>
        <w:rPr>
          <w:rFonts w:ascii="黑体" w:hAnsi="黑体" w:eastAsia="黑体" w:cs="黑体"/>
          <w:spacing w:val="15"/>
          <w:sz w:val="20"/>
          <w:szCs w:val="20"/>
        </w:rPr>
        <w:t>字数</w:t>
      </w:r>
      <w:r>
        <w:rPr>
          <w:rFonts w:ascii="宋体" w:hAnsi="宋体" w:eastAsia="宋体" w:cs="宋体"/>
          <w:spacing w:val="15"/>
          <w:sz w:val="20"/>
          <w:szCs w:val="20"/>
        </w:rPr>
        <w:t>765千字</w:t>
      </w:r>
    </w:p>
    <w:p w14:paraId="0E40CD49">
      <w:pPr>
        <w:spacing w:before="119" w:line="227" w:lineRule="auto"/>
        <w:ind w:left="1460"/>
        <w:rPr>
          <w:rFonts w:ascii="楷体" w:hAnsi="楷体" w:eastAsia="楷体" w:cs="楷体"/>
          <w:sz w:val="20"/>
          <w:szCs w:val="20"/>
        </w:rPr>
      </w:pPr>
      <w:r>
        <w:drawing>
          <wp:anchor distT="0" distB="0" distL="0" distR="0" simplePos="0" relativeHeight="251662336" behindDoc="0" locked="0" layoutInCell="1" allowOverlap="1">
            <wp:simplePos x="0" y="0"/>
            <wp:positionH relativeFrom="column">
              <wp:posOffset>539750</wp:posOffset>
            </wp:positionH>
            <wp:positionV relativeFrom="paragraph">
              <wp:posOffset>312420</wp:posOffset>
            </wp:positionV>
            <wp:extent cx="4857750" cy="63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684"/>
                    <a:stretch>
                      <a:fillRect/>
                    </a:stretch>
                  </pic:blipFill>
                  <pic:spPr>
                    <a:xfrm>
                      <a:off x="0" y="0"/>
                      <a:ext cx="4857770" cy="6417"/>
                    </a:xfrm>
                    <a:prstGeom prst="rect">
                      <a:avLst/>
                    </a:prstGeom>
                  </pic:spPr>
                </pic:pic>
              </a:graphicData>
            </a:graphic>
          </wp:anchor>
        </w:drawing>
      </w:r>
      <w:r>
        <w:rPr>
          <w:rFonts w:ascii="宋体" w:hAnsi="宋体" w:eastAsia="宋体" w:cs="宋体"/>
          <w:spacing w:val="22"/>
          <w:sz w:val="20"/>
          <w:szCs w:val="20"/>
        </w:rPr>
        <w:t>2011年8月第1版第1次印刷</w:t>
      </w:r>
      <w:r>
        <w:rPr>
          <w:rFonts w:ascii="宋体" w:hAnsi="宋体" w:eastAsia="宋体" w:cs="宋体"/>
          <w:spacing w:val="17"/>
          <w:sz w:val="20"/>
          <w:szCs w:val="20"/>
        </w:rPr>
        <w:t xml:space="preserve">   </w:t>
      </w:r>
      <w:r>
        <w:rPr>
          <w:rFonts w:ascii="宋体" w:hAnsi="宋体" w:eastAsia="宋体" w:cs="宋体"/>
          <w:spacing w:val="22"/>
          <w:sz w:val="20"/>
          <w:szCs w:val="20"/>
        </w:rPr>
        <w:t>印数1—5000册</w:t>
      </w:r>
      <w:r>
        <w:rPr>
          <w:rFonts w:ascii="宋体" w:hAnsi="宋体" w:eastAsia="宋体" w:cs="宋体"/>
          <w:spacing w:val="10"/>
          <w:sz w:val="20"/>
          <w:szCs w:val="20"/>
        </w:rPr>
        <w:t xml:space="preserve">   </w:t>
      </w:r>
      <w:r>
        <w:rPr>
          <w:rFonts w:ascii="黑体" w:hAnsi="黑体" w:eastAsia="黑体" w:cs="黑体"/>
          <w:spacing w:val="22"/>
          <w:sz w:val="20"/>
          <w:szCs w:val="20"/>
        </w:rPr>
        <w:t>定</w:t>
      </w:r>
      <w:r>
        <w:rPr>
          <w:rFonts w:ascii="黑体" w:hAnsi="黑体" w:eastAsia="黑体" w:cs="黑体"/>
          <w:spacing w:val="-8"/>
          <w:sz w:val="20"/>
          <w:szCs w:val="20"/>
        </w:rPr>
        <w:t xml:space="preserve"> </w:t>
      </w:r>
      <w:r>
        <w:rPr>
          <w:rFonts w:ascii="黑体" w:hAnsi="黑体" w:eastAsia="黑体" w:cs="黑体"/>
          <w:spacing w:val="22"/>
          <w:sz w:val="20"/>
          <w:szCs w:val="20"/>
        </w:rPr>
        <w:t>价</w:t>
      </w:r>
      <w:r>
        <w:rPr>
          <w:rFonts w:ascii="楷体" w:hAnsi="楷体" w:eastAsia="楷体" w:cs="楷体"/>
          <w:spacing w:val="22"/>
          <w:sz w:val="20"/>
          <w:szCs w:val="20"/>
        </w:rPr>
        <w:t>120</w:t>
      </w:r>
      <w:r>
        <w:rPr>
          <w:rFonts w:ascii="楷体" w:hAnsi="楷体" w:eastAsia="楷体" w:cs="楷体"/>
          <w:spacing w:val="-47"/>
          <w:sz w:val="20"/>
          <w:szCs w:val="20"/>
        </w:rPr>
        <w:t xml:space="preserve"> </w:t>
      </w:r>
      <w:r>
        <w:rPr>
          <w:rFonts w:ascii="楷体" w:hAnsi="楷体" w:eastAsia="楷体" w:cs="楷体"/>
          <w:spacing w:val="22"/>
          <w:sz w:val="20"/>
          <w:szCs w:val="20"/>
        </w:rPr>
        <w:t>.</w:t>
      </w:r>
      <w:r>
        <w:rPr>
          <w:rFonts w:ascii="楷体" w:hAnsi="楷体" w:eastAsia="楷体" w:cs="楷体"/>
          <w:spacing w:val="-54"/>
          <w:sz w:val="20"/>
          <w:szCs w:val="20"/>
        </w:rPr>
        <w:t xml:space="preserve"> </w:t>
      </w:r>
      <w:r>
        <w:rPr>
          <w:rFonts w:ascii="楷体" w:hAnsi="楷体" w:eastAsia="楷体" w:cs="楷体"/>
          <w:spacing w:val="22"/>
          <w:sz w:val="20"/>
          <w:szCs w:val="20"/>
        </w:rPr>
        <w:t>00元</w:t>
      </w:r>
    </w:p>
    <w:p w14:paraId="6E6DA5C1">
      <w:pPr>
        <w:spacing w:before="305" w:line="213" w:lineRule="auto"/>
        <w:ind w:left="2870"/>
        <w:rPr>
          <w:rFonts w:ascii="黑体" w:hAnsi="黑体" w:eastAsia="黑体" w:cs="黑体"/>
          <w:sz w:val="22"/>
          <w:szCs w:val="22"/>
        </w:rPr>
      </w:pPr>
      <w:r>
        <w:rPr>
          <w:rFonts w:ascii="黑体" w:hAnsi="黑体" w:eastAsia="黑体" w:cs="黑体"/>
          <w:spacing w:val="8"/>
          <w:sz w:val="22"/>
          <w:szCs w:val="22"/>
        </w:rPr>
        <w:t>(本书如有印装错误，我社负责调换)</w:t>
      </w:r>
    </w:p>
    <w:p w14:paraId="0401FF34">
      <w:pPr>
        <w:spacing w:line="183" w:lineRule="exact"/>
      </w:pPr>
    </w:p>
    <w:p w14:paraId="68CBDABC">
      <w:pPr>
        <w:spacing w:line="183" w:lineRule="exact"/>
        <w:sectPr>
          <w:pgSz w:w="11910" w:h="17130"/>
          <w:pgMar w:top="400" w:right="1719" w:bottom="0" w:left="719" w:header="0" w:footer="0" w:gutter="0"/>
          <w:cols w:equalWidth="0" w:num="1">
            <w:col w:w="9471"/>
          </w:cols>
        </w:sectPr>
      </w:pPr>
    </w:p>
    <w:p w14:paraId="0D924248">
      <w:pPr>
        <w:spacing w:before="43" w:line="219" w:lineRule="auto"/>
        <w:ind w:left="1630"/>
        <w:rPr>
          <w:rFonts w:ascii="宋体" w:hAnsi="宋体" w:eastAsia="宋体" w:cs="宋体"/>
          <w:sz w:val="22"/>
          <w:szCs w:val="22"/>
        </w:rPr>
      </w:pPr>
      <w:r>
        <w:rPr>
          <w:rFonts w:ascii="宋体" w:hAnsi="宋体" w:eastAsia="宋体" w:cs="宋体"/>
          <w:spacing w:val="2"/>
          <w:sz w:val="22"/>
          <w:szCs w:val="22"/>
        </w:rPr>
        <w:t>国防书店：(010)68428422</w:t>
      </w:r>
    </w:p>
    <w:p w14:paraId="690945C8">
      <w:pPr>
        <w:spacing w:before="120" w:line="193" w:lineRule="auto"/>
        <w:ind w:left="1609"/>
        <w:rPr>
          <w:rFonts w:ascii="宋体" w:hAnsi="宋体" w:eastAsia="宋体" w:cs="宋体"/>
          <w:sz w:val="22"/>
          <w:szCs w:val="22"/>
        </w:rPr>
      </w:pPr>
      <w:r>
        <w:rPr>
          <w:rFonts w:ascii="宋体" w:hAnsi="宋体" w:eastAsia="宋体" w:cs="宋体"/>
          <w:spacing w:val="3"/>
          <w:sz w:val="22"/>
          <w:szCs w:val="22"/>
        </w:rPr>
        <w:t>发行传真：(010)68411535</w:t>
      </w:r>
    </w:p>
    <w:p w14:paraId="3BC74DFB">
      <w:pPr>
        <w:pStyle w:val="2"/>
        <w:spacing w:line="14" w:lineRule="auto"/>
        <w:rPr>
          <w:sz w:val="2"/>
        </w:rPr>
      </w:pPr>
      <w:r>
        <w:rPr>
          <w:sz w:val="2"/>
          <w:szCs w:val="2"/>
        </w:rPr>
        <w:br w:type="column"/>
      </w:r>
    </w:p>
    <w:p w14:paraId="22F53379">
      <w:pPr>
        <w:spacing w:before="64" w:line="220" w:lineRule="auto"/>
        <w:ind w:left="20"/>
        <w:rPr>
          <w:rFonts w:ascii="宋体" w:hAnsi="宋体" w:eastAsia="宋体" w:cs="宋体"/>
          <w:sz w:val="22"/>
          <w:szCs w:val="22"/>
        </w:rPr>
      </w:pPr>
      <w:r>
        <w:rPr>
          <w:rFonts w:ascii="宋体" w:hAnsi="宋体" w:eastAsia="宋体" w:cs="宋体"/>
          <w:spacing w:val="2"/>
          <w:sz w:val="22"/>
          <w:szCs w:val="22"/>
        </w:rPr>
        <w:t>发行邮购：(010)68414474</w:t>
      </w:r>
    </w:p>
    <w:p w14:paraId="2C53307B">
      <w:pPr>
        <w:spacing w:before="107" w:line="184" w:lineRule="auto"/>
        <w:rPr>
          <w:rFonts w:ascii="宋体" w:hAnsi="宋体" w:eastAsia="宋体" w:cs="宋体"/>
          <w:sz w:val="22"/>
          <w:szCs w:val="22"/>
        </w:rPr>
      </w:pPr>
      <w:r>
        <w:rPr>
          <w:rFonts w:ascii="宋体" w:hAnsi="宋体" w:eastAsia="宋体" w:cs="宋体"/>
          <w:spacing w:val="3"/>
          <w:sz w:val="22"/>
          <w:szCs w:val="22"/>
        </w:rPr>
        <w:t>发行业务：(010)68472764</w:t>
      </w:r>
    </w:p>
    <w:p w14:paraId="3A9EBD63">
      <w:pPr>
        <w:spacing w:line="184" w:lineRule="auto"/>
        <w:rPr>
          <w:rFonts w:ascii="宋体" w:hAnsi="宋体" w:eastAsia="宋体" w:cs="宋体"/>
          <w:sz w:val="22"/>
          <w:szCs w:val="22"/>
        </w:rPr>
        <w:sectPr>
          <w:type w:val="continuous"/>
          <w:pgSz w:w="11910" w:h="17130"/>
          <w:pgMar w:top="400" w:right="1719" w:bottom="0" w:left="719" w:header="0" w:footer="0" w:gutter="0"/>
          <w:cols w:equalWidth="0" w:num="2">
            <w:col w:w="5051" w:space="100"/>
            <w:col w:w="4321"/>
          </w:cols>
        </w:sectPr>
      </w:pPr>
    </w:p>
    <w:p w14:paraId="37528600">
      <w:pPr>
        <w:pStyle w:val="2"/>
        <w:spacing w:line="245" w:lineRule="auto"/>
      </w:pPr>
    </w:p>
    <w:p w14:paraId="5E26DF0F">
      <w:pPr>
        <w:pStyle w:val="2"/>
        <w:spacing w:line="245" w:lineRule="auto"/>
      </w:pPr>
    </w:p>
    <w:p w14:paraId="30CED8CE">
      <w:pPr>
        <w:pStyle w:val="2"/>
        <w:spacing w:line="245" w:lineRule="auto"/>
      </w:pPr>
    </w:p>
    <w:p w14:paraId="19939D0F">
      <w:pPr>
        <w:pStyle w:val="2"/>
        <w:spacing w:line="245" w:lineRule="auto"/>
      </w:pPr>
    </w:p>
    <w:p w14:paraId="5ADCAB86">
      <w:pPr>
        <w:pStyle w:val="2"/>
        <w:spacing w:line="245" w:lineRule="auto"/>
      </w:pPr>
    </w:p>
    <w:p w14:paraId="346A4A29">
      <w:pPr>
        <w:pStyle w:val="2"/>
        <w:spacing w:line="245" w:lineRule="auto"/>
      </w:pPr>
    </w:p>
    <w:p w14:paraId="0BE27CC0">
      <w:pPr>
        <w:pStyle w:val="2"/>
        <w:spacing w:line="245" w:lineRule="auto"/>
      </w:pPr>
    </w:p>
    <w:p w14:paraId="006C75FF">
      <w:pPr>
        <w:pStyle w:val="2"/>
        <w:spacing w:line="245" w:lineRule="auto"/>
      </w:pPr>
    </w:p>
    <w:p w14:paraId="778E40C1">
      <w:pPr>
        <w:pStyle w:val="2"/>
        <w:spacing w:line="246" w:lineRule="auto"/>
      </w:pPr>
    </w:p>
    <w:p w14:paraId="38051633">
      <w:pPr>
        <w:spacing w:before="130" w:line="254" w:lineRule="auto"/>
        <w:ind w:left="3228" w:right="2484" w:hanging="1019"/>
        <w:rPr>
          <w:rFonts w:ascii="黑体" w:hAnsi="黑体" w:eastAsia="黑体" w:cs="黑体"/>
          <w:sz w:val="40"/>
          <w:szCs w:val="40"/>
        </w:rPr>
      </w:pPr>
      <w:r>
        <w:rPr>
          <w:rFonts w:ascii="黑体" w:hAnsi="黑体" w:eastAsia="黑体" w:cs="黑体"/>
          <w:b/>
          <w:bCs/>
          <w:spacing w:val="5"/>
          <w:sz w:val="40"/>
          <w:szCs w:val="40"/>
        </w:rPr>
        <w:t>军工产品研制管理丛书</w:t>
      </w:r>
      <w:r>
        <w:rPr>
          <w:rFonts w:ascii="黑体" w:hAnsi="黑体" w:eastAsia="黑体" w:cs="黑体"/>
          <w:spacing w:val="4"/>
          <w:sz w:val="40"/>
          <w:szCs w:val="40"/>
        </w:rPr>
        <w:t xml:space="preserve"> </w:t>
      </w:r>
      <w:r>
        <w:rPr>
          <w:rFonts w:ascii="黑体" w:hAnsi="黑体" w:eastAsia="黑体" w:cs="黑体"/>
          <w:b/>
          <w:bCs/>
          <w:sz w:val="40"/>
          <w:szCs w:val="40"/>
        </w:rPr>
        <w:t>编审委员会</w:t>
      </w:r>
    </w:p>
    <w:p w14:paraId="4449A9EF">
      <w:pPr>
        <w:pStyle w:val="2"/>
        <w:spacing w:line="242" w:lineRule="auto"/>
      </w:pPr>
    </w:p>
    <w:p w14:paraId="76A00537">
      <w:pPr>
        <w:pStyle w:val="2"/>
        <w:spacing w:line="243" w:lineRule="auto"/>
      </w:pPr>
    </w:p>
    <w:p w14:paraId="7F0A2205">
      <w:pPr>
        <w:pStyle w:val="2"/>
        <w:spacing w:line="243" w:lineRule="auto"/>
      </w:pPr>
    </w:p>
    <w:p w14:paraId="4B0A6AD3">
      <w:pPr>
        <w:spacing w:before="110" w:line="227" w:lineRule="auto"/>
        <w:ind w:left="1483"/>
        <w:rPr>
          <w:rFonts w:ascii="楷体" w:hAnsi="楷体" w:eastAsia="楷体" w:cs="楷体"/>
          <w:sz w:val="34"/>
          <w:szCs w:val="34"/>
        </w:rPr>
      </w:pPr>
      <w:r>
        <w:rPr>
          <w:rFonts w:ascii="黑体" w:hAnsi="黑体" w:eastAsia="黑体" w:cs="黑体"/>
          <w:spacing w:val="-5"/>
          <w:sz w:val="34"/>
          <w:szCs w:val="34"/>
        </w:rPr>
        <w:t>顾</w:t>
      </w:r>
      <w:r>
        <w:rPr>
          <w:rFonts w:ascii="黑体" w:hAnsi="黑体" w:eastAsia="黑体" w:cs="黑体"/>
          <w:spacing w:val="38"/>
          <w:sz w:val="34"/>
          <w:szCs w:val="34"/>
        </w:rPr>
        <w:t xml:space="preserve">  </w:t>
      </w:r>
      <w:r>
        <w:rPr>
          <w:rFonts w:ascii="黑体" w:hAnsi="黑体" w:eastAsia="黑体" w:cs="黑体"/>
          <w:spacing w:val="-5"/>
          <w:sz w:val="34"/>
          <w:szCs w:val="34"/>
        </w:rPr>
        <w:t>问</w:t>
      </w:r>
      <w:r>
        <w:rPr>
          <w:rFonts w:ascii="黑体" w:hAnsi="黑体" w:eastAsia="黑体" w:cs="黑体"/>
          <w:spacing w:val="51"/>
          <w:sz w:val="34"/>
          <w:szCs w:val="34"/>
        </w:rPr>
        <w:t xml:space="preserve">  </w:t>
      </w:r>
      <w:r>
        <w:rPr>
          <w:rFonts w:ascii="楷体" w:hAnsi="楷体" w:eastAsia="楷体" w:cs="楷体"/>
          <w:spacing w:val="-5"/>
          <w:sz w:val="34"/>
          <w:szCs w:val="34"/>
        </w:rPr>
        <w:t>王</w:t>
      </w:r>
      <w:r>
        <w:rPr>
          <w:rFonts w:ascii="楷体" w:hAnsi="楷体" w:eastAsia="楷体" w:cs="楷体"/>
          <w:spacing w:val="21"/>
          <w:sz w:val="34"/>
          <w:szCs w:val="34"/>
        </w:rPr>
        <w:t xml:space="preserve">  </w:t>
      </w:r>
      <w:r>
        <w:rPr>
          <w:rFonts w:ascii="楷体" w:hAnsi="楷体" w:eastAsia="楷体" w:cs="楷体"/>
          <w:spacing w:val="-5"/>
          <w:sz w:val="34"/>
          <w:szCs w:val="34"/>
        </w:rPr>
        <w:t>越</w:t>
      </w:r>
      <w:r>
        <w:rPr>
          <w:rFonts w:ascii="楷体" w:hAnsi="楷体" w:eastAsia="楷体" w:cs="楷体"/>
          <w:spacing w:val="48"/>
          <w:sz w:val="34"/>
          <w:szCs w:val="34"/>
        </w:rPr>
        <w:t xml:space="preserve">  </w:t>
      </w:r>
      <w:r>
        <w:rPr>
          <w:rFonts w:ascii="楷体" w:hAnsi="楷体" w:eastAsia="楷体" w:cs="楷体"/>
          <w:spacing w:val="-5"/>
          <w:sz w:val="34"/>
          <w:szCs w:val="34"/>
        </w:rPr>
        <w:t>王小谟</w:t>
      </w:r>
    </w:p>
    <w:p w14:paraId="4592B4A8">
      <w:pPr>
        <w:spacing w:before="56"/>
      </w:pPr>
    </w:p>
    <w:tbl>
      <w:tblPr>
        <w:tblStyle w:val="5"/>
        <w:tblW w:w="5474" w:type="dxa"/>
        <w:tblInd w:w="153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29"/>
        <w:gridCol w:w="2954"/>
        <w:gridCol w:w="1291"/>
      </w:tblGrid>
      <w:tr w14:paraId="6DEED4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6" w:hRule="atLeast"/>
        </w:trPr>
        <w:tc>
          <w:tcPr>
            <w:tcW w:w="1229" w:type="dxa"/>
            <w:vAlign w:val="top"/>
          </w:tcPr>
          <w:p w14:paraId="20A03B7D">
            <w:pPr>
              <w:spacing w:line="223" w:lineRule="auto"/>
              <w:rPr>
                <w:rFonts w:ascii="黑体" w:hAnsi="黑体" w:eastAsia="黑体" w:cs="黑体"/>
                <w:sz w:val="34"/>
                <w:szCs w:val="34"/>
              </w:rPr>
            </w:pPr>
            <w:r>
              <w:rPr>
                <w:rFonts w:ascii="黑体" w:hAnsi="黑体" w:eastAsia="黑体" w:cs="黑体"/>
                <w:spacing w:val="-10"/>
                <w:sz w:val="34"/>
                <w:szCs w:val="34"/>
              </w:rPr>
              <w:t>主</w:t>
            </w:r>
            <w:r>
              <w:rPr>
                <w:rFonts w:ascii="黑体" w:hAnsi="黑体" w:eastAsia="黑体" w:cs="黑体"/>
                <w:spacing w:val="14"/>
                <w:sz w:val="34"/>
                <w:szCs w:val="34"/>
              </w:rPr>
              <w:t xml:space="preserve">  </w:t>
            </w:r>
            <w:r>
              <w:rPr>
                <w:rFonts w:ascii="黑体" w:hAnsi="黑体" w:eastAsia="黑体" w:cs="黑体"/>
                <w:spacing w:val="-10"/>
                <w:sz w:val="34"/>
                <w:szCs w:val="34"/>
              </w:rPr>
              <w:t>任</w:t>
            </w:r>
          </w:p>
        </w:tc>
        <w:tc>
          <w:tcPr>
            <w:tcW w:w="2954" w:type="dxa"/>
            <w:vAlign w:val="top"/>
          </w:tcPr>
          <w:p w14:paraId="01604223">
            <w:pPr>
              <w:pStyle w:val="6"/>
              <w:spacing w:line="225" w:lineRule="auto"/>
              <w:ind w:left="210"/>
              <w:rPr>
                <w:sz w:val="34"/>
                <w:szCs w:val="34"/>
              </w:rPr>
            </w:pPr>
            <w:r>
              <w:rPr>
                <w:spacing w:val="-16"/>
                <w:w w:val="99"/>
                <w:sz w:val="34"/>
                <w:szCs w:val="34"/>
              </w:rPr>
              <w:t>张</w:t>
            </w:r>
            <w:r>
              <w:rPr>
                <w:spacing w:val="33"/>
                <w:sz w:val="34"/>
                <w:szCs w:val="34"/>
              </w:rPr>
              <w:t xml:space="preserve">  </w:t>
            </w:r>
            <w:r>
              <w:rPr>
                <w:spacing w:val="-16"/>
                <w:w w:val="99"/>
                <w:sz w:val="34"/>
                <w:szCs w:val="34"/>
              </w:rPr>
              <w:t>伟</w:t>
            </w:r>
          </w:p>
        </w:tc>
        <w:tc>
          <w:tcPr>
            <w:tcW w:w="1291" w:type="dxa"/>
            <w:vAlign w:val="top"/>
          </w:tcPr>
          <w:p w14:paraId="6E50B50C">
            <w:pPr>
              <w:rPr>
                <w:rFonts w:ascii="Arial"/>
                <w:sz w:val="21"/>
              </w:rPr>
            </w:pPr>
          </w:p>
        </w:tc>
      </w:tr>
      <w:tr w14:paraId="743E65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45" w:hRule="atLeast"/>
        </w:trPr>
        <w:tc>
          <w:tcPr>
            <w:tcW w:w="1229" w:type="dxa"/>
            <w:vAlign w:val="top"/>
          </w:tcPr>
          <w:p w14:paraId="188C254F">
            <w:pPr>
              <w:spacing w:before="182" w:line="223" w:lineRule="auto"/>
              <w:rPr>
                <w:rFonts w:ascii="黑体" w:hAnsi="黑体" w:eastAsia="黑体" w:cs="黑体"/>
                <w:sz w:val="34"/>
                <w:szCs w:val="34"/>
              </w:rPr>
            </w:pPr>
            <w:r>
              <w:rPr>
                <w:rFonts w:ascii="黑体" w:hAnsi="黑体" w:eastAsia="黑体" w:cs="黑体"/>
                <w:spacing w:val="6"/>
                <w:sz w:val="34"/>
                <w:szCs w:val="34"/>
              </w:rPr>
              <w:t>副主任</w:t>
            </w:r>
          </w:p>
        </w:tc>
        <w:tc>
          <w:tcPr>
            <w:tcW w:w="2954" w:type="dxa"/>
            <w:vAlign w:val="top"/>
          </w:tcPr>
          <w:p w14:paraId="0B62A890">
            <w:pPr>
              <w:pStyle w:val="6"/>
              <w:spacing w:before="182" w:line="229" w:lineRule="auto"/>
              <w:ind w:left="210"/>
              <w:rPr>
                <w:sz w:val="34"/>
                <w:szCs w:val="34"/>
              </w:rPr>
            </w:pPr>
            <w:r>
              <w:rPr>
                <w:spacing w:val="4"/>
                <w:sz w:val="34"/>
                <w:szCs w:val="34"/>
              </w:rPr>
              <w:t>张文健</w:t>
            </w:r>
            <w:r>
              <w:rPr>
                <w:spacing w:val="37"/>
                <w:sz w:val="34"/>
                <w:szCs w:val="34"/>
              </w:rPr>
              <w:t xml:space="preserve">  </w:t>
            </w:r>
            <w:r>
              <w:rPr>
                <w:spacing w:val="4"/>
                <w:sz w:val="34"/>
                <w:szCs w:val="34"/>
              </w:rPr>
              <w:t>李</w:t>
            </w:r>
            <w:r>
              <w:rPr>
                <w:spacing w:val="27"/>
                <w:sz w:val="34"/>
                <w:szCs w:val="34"/>
              </w:rPr>
              <w:t xml:space="preserve">  </w:t>
            </w:r>
            <w:r>
              <w:rPr>
                <w:spacing w:val="4"/>
                <w:sz w:val="34"/>
                <w:szCs w:val="34"/>
              </w:rPr>
              <w:t>凡</w:t>
            </w:r>
          </w:p>
        </w:tc>
        <w:tc>
          <w:tcPr>
            <w:tcW w:w="1291" w:type="dxa"/>
            <w:vAlign w:val="top"/>
          </w:tcPr>
          <w:p w14:paraId="5479B8B1">
            <w:pPr>
              <w:pStyle w:val="6"/>
              <w:spacing w:before="183" w:line="224" w:lineRule="auto"/>
              <w:ind w:left="177"/>
              <w:rPr>
                <w:sz w:val="34"/>
                <w:szCs w:val="34"/>
              </w:rPr>
            </w:pPr>
            <w:r>
              <w:rPr>
                <w:spacing w:val="14"/>
                <w:sz w:val="34"/>
                <w:szCs w:val="34"/>
              </w:rPr>
              <w:t>甘晓华</w:t>
            </w:r>
          </w:p>
        </w:tc>
      </w:tr>
      <w:tr w14:paraId="04F613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08" w:hRule="atLeast"/>
        </w:trPr>
        <w:tc>
          <w:tcPr>
            <w:tcW w:w="1229" w:type="dxa"/>
            <w:vAlign w:val="top"/>
          </w:tcPr>
          <w:p w14:paraId="23A61074">
            <w:pPr>
              <w:spacing w:before="208" w:line="221" w:lineRule="auto"/>
              <w:rPr>
                <w:rFonts w:ascii="黑体" w:hAnsi="黑体" w:eastAsia="黑体" w:cs="黑体"/>
                <w:sz w:val="29"/>
                <w:szCs w:val="29"/>
              </w:rPr>
            </w:pPr>
            <w:r>
              <w:rPr>
                <w:rFonts w:ascii="黑体" w:hAnsi="黑体" w:eastAsia="黑体" w:cs="黑体"/>
                <w:spacing w:val="-7"/>
                <w:sz w:val="29"/>
                <w:szCs w:val="29"/>
              </w:rPr>
              <w:t>委</w:t>
            </w:r>
            <w:r>
              <w:rPr>
                <w:rFonts w:ascii="黑体" w:hAnsi="黑体" w:eastAsia="黑体" w:cs="黑体"/>
                <w:spacing w:val="66"/>
                <w:sz w:val="29"/>
                <w:szCs w:val="29"/>
              </w:rPr>
              <w:t xml:space="preserve">  </w:t>
            </w:r>
            <w:r>
              <w:rPr>
                <w:rFonts w:ascii="黑体" w:hAnsi="黑体" w:eastAsia="黑体" w:cs="黑体"/>
                <w:spacing w:val="-7"/>
                <w:sz w:val="29"/>
                <w:szCs w:val="29"/>
              </w:rPr>
              <w:t>员</w:t>
            </w:r>
          </w:p>
        </w:tc>
        <w:tc>
          <w:tcPr>
            <w:tcW w:w="2954" w:type="dxa"/>
            <w:vAlign w:val="top"/>
          </w:tcPr>
          <w:p w14:paraId="11A074AE">
            <w:pPr>
              <w:pStyle w:val="6"/>
              <w:spacing w:before="209" w:line="370" w:lineRule="auto"/>
              <w:ind w:left="210" w:right="165" w:hanging="20"/>
              <w:jc w:val="both"/>
            </w:pPr>
            <w:r>
              <w:rPr>
                <w:rFonts w:ascii="仿宋" w:hAnsi="仿宋" w:eastAsia="仿宋" w:cs="仿宋"/>
                <w:spacing w:val="27"/>
                <w:sz w:val="29"/>
                <w:szCs w:val="29"/>
              </w:rPr>
              <w:t>(按姓氏笔划排序)</w:t>
            </w:r>
            <w:r>
              <w:rPr>
                <w:rFonts w:ascii="仿宋" w:hAnsi="仿宋" w:eastAsia="仿宋" w:cs="仿宋"/>
                <w:sz w:val="29"/>
                <w:szCs w:val="29"/>
              </w:rPr>
              <w:t xml:space="preserve"> </w:t>
            </w:r>
            <w:r>
              <w:rPr>
                <w:spacing w:val="-15"/>
              </w:rPr>
              <w:t>孙</w:t>
            </w:r>
            <w:r>
              <w:rPr>
                <w:spacing w:val="19"/>
              </w:rPr>
              <w:t xml:space="preserve">  </w:t>
            </w:r>
            <w:r>
              <w:rPr>
                <w:spacing w:val="-15"/>
              </w:rPr>
              <w:t>旭</w:t>
            </w:r>
            <w:r>
              <w:rPr>
                <w:spacing w:val="16"/>
              </w:rPr>
              <w:t xml:space="preserve">  </w:t>
            </w:r>
            <w:r>
              <w:rPr>
                <w:spacing w:val="-15"/>
              </w:rPr>
              <w:t>孙</w:t>
            </w:r>
            <w:r>
              <w:rPr>
                <w:spacing w:val="33"/>
              </w:rPr>
              <w:t xml:space="preserve">  </w:t>
            </w:r>
            <w:r>
              <w:rPr>
                <w:spacing w:val="-15"/>
              </w:rPr>
              <w:t>杰</w:t>
            </w:r>
            <w:r>
              <w:rPr>
                <w:spacing w:val="1"/>
              </w:rPr>
              <w:t xml:space="preserve"> </w:t>
            </w:r>
            <w:r>
              <w:rPr>
                <w:spacing w:val="-5"/>
              </w:rPr>
              <w:t>闫红星</w:t>
            </w:r>
            <w:r>
              <w:rPr>
                <w:spacing w:val="30"/>
              </w:rPr>
              <w:t xml:space="preserve">  </w:t>
            </w:r>
            <w:r>
              <w:rPr>
                <w:spacing w:val="-5"/>
              </w:rPr>
              <w:t>李</w:t>
            </w:r>
            <w:r>
              <w:rPr>
                <w:spacing w:val="22"/>
              </w:rPr>
              <w:t xml:space="preserve">  </w:t>
            </w:r>
            <w:r>
              <w:rPr>
                <w:spacing w:val="-5"/>
              </w:rPr>
              <w:t>鸣</w:t>
            </w:r>
            <w:r>
              <w:rPr>
                <w:spacing w:val="1"/>
              </w:rPr>
              <w:t xml:space="preserve"> </w:t>
            </w:r>
            <w:r>
              <w:rPr>
                <w:spacing w:val="2"/>
              </w:rPr>
              <w:t>陈立功</w:t>
            </w:r>
            <w:r>
              <w:rPr>
                <w:spacing w:val="36"/>
              </w:rPr>
              <w:t xml:space="preserve">  </w:t>
            </w:r>
            <w:r>
              <w:rPr>
                <w:spacing w:val="2"/>
              </w:rPr>
              <w:t>武维新</w:t>
            </w:r>
            <w:r>
              <w:t xml:space="preserve"> </w:t>
            </w:r>
            <w:r>
              <w:rPr>
                <w:spacing w:val="11"/>
              </w:rPr>
              <w:t>宫继宏</w:t>
            </w:r>
            <w:r>
              <w:rPr>
                <w:spacing w:val="30"/>
              </w:rPr>
              <w:t xml:space="preserve">  </w:t>
            </w:r>
            <w:r>
              <w:rPr>
                <w:spacing w:val="11"/>
              </w:rPr>
              <w:t>郭耀红</w:t>
            </w:r>
            <w:r>
              <w:t xml:space="preserve"> </w:t>
            </w:r>
            <w:r>
              <w:rPr>
                <w:spacing w:val="4"/>
              </w:rPr>
              <w:t>梁丽涛</w:t>
            </w:r>
            <w:r>
              <w:rPr>
                <w:spacing w:val="29"/>
              </w:rPr>
              <w:t xml:space="preserve">  </w:t>
            </w:r>
            <w:r>
              <w:rPr>
                <w:spacing w:val="4"/>
              </w:rPr>
              <w:t>游光荣</w:t>
            </w:r>
          </w:p>
        </w:tc>
        <w:tc>
          <w:tcPr>
            <w:tcW w:w="1291" w:type="dxa"/>
            <w:vAlign w:val="top"/>
          </w:tcPr>
          <w:p w14:paraId="50811944">
            <w:pPr>
              <w:spacing w:line="249" w:lineRule="auto"/>
              <w:rPr>
                <w:rFonts w:ascii="Arial"/>
                <w:sz w:val="21"/>
              </w:rPr>
            </w:pPr>
          </w:p>
          <w:p w14:paraId="6912416D">
            <w:pPr>
              <w:spacing w:line="249" w:lineRule="auto"/>
              <w:rPr>
                <w:rFonts w:ascii="Arial"/>
                <w:sz w:val="21"/>
              </w:rPr>
            </w:pPr>
          </w:p>
          <w:p w14:paraId="174DECD2">
            <w:pPr>
              <w:spacing w:line="250" w:lineRule="auto"/>
              <w:rPr>
                <w:rFonts w:ascii="Arial"/>
                <w:sz w:val="21"/>
              </w:rPr>
            </w:pPr>
          </w:p>
          <w:p w14:paraId="7B25C304">
            <w:pPr>
              <w:pStyle w:val="6"/>
              <w:spacing w:before="113" w:line="362" w:lineRule="auto"/>
              <w:ind w:left="167"/>
              <w:jc w:val="both"/>
            </w:pPr>
            <w:r>
              <w:rPr>
                <w:spacing w:val="21"/>
              </w:rPr>
              <w:t>任占勇</w:t>
            </w:r>
            <w:r>
              <w:t xml:space="preserve"> </w:t>
            </w:r>
            <w:r>
              <w:rPr>
                <w:spacing w:val="20"/>
              </w:rPr>
              <w:t>汪火光</w:t>
            </w:r>
            <w:r>
              <w:t xml:space="preserve"> </w:t>
            </w:r>
            <w:r>
              <w:rPr>
                <w:spacing w:val="12"/>
              </w:rPr>
              <w:t>承德宝</w:t>
            </w:r>
            <w:r>
              <w:t xml:space="preserve"> </w:t>
            </w:r>
            <w:r>
              <w:rPr>
                <w:spacing w:val="24"/>
              </w:rPr>
              <w:t>梅文华</w:t>
            </w:r>
            <w:r>
              <w:t xml:space="preserve"> </w:t>
            </w:r>
            <w:r>
              <w:rPr>
                <w:spacing w:val="21"/>
              </w:rPr>
              <w:t>傅志高</w:t>
            </w:r>
          </w:p>
        </w:tc>
      </w:tr>
      <w:tr w14:paraId="5049A2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4" w:hRule="atLeast"/>
        </w:trPr>
        <w:tc>
          <w:tcPr>
            <w:tcW w:w="1229" w:type="dxa"/>
            <w:vAlign w:val="top"/>
          </w:tcPr>
          <w:p w14:paraId="6F2C91B2">
            <w:pPr>
              <w:spacing w:before="179" w:line="187" w:lineRule="auto"/>
              <w:rPr>
                <w:rFonts w:ascii="黑体" w:hAnsi="黑体" w:eastAsia="黑体" w:cs="黑体"/>
                <w:sz w:val="35"/>
                <w:szCs w:val="35"/>
              </w:rPr>
            </w:pPr>
            <w:r>
              <w:rPr>
                <w:rFonts w:ascii="黑体" w:hAnsi="黑体" w:eastAsia="黑体" w:cs="黑体"/>
                <w:spacing w:val="-10"/>
                <w:sz w:val="35"/>
                <w:szCs w:val="35"/>
              </w:rPr>
              <w:t>主</w:t>
            </w:r>
            <w:r>
              <w:rPr>
                <w:rFonts w:ascii="黑体" w:hAnsi="黑体" w:eastAsia="黑体" w:cs="黑体"/>
                <w:spacing w:val="9"/>
                <w:sz w:val="35"/>
                <w:szCs w:val="35"/>
              </w:rPr>
              <w:t xml:space="preserve">  </w:t>
            </w:r>
            <w:r>
              <w:rPr>
                <w:rFonts w:ascii="黑体" w:hAnsi="黑体" w:eastAsia="黑体" w:cs="黑体"/>
                <w:spacing w:val="-10"/>
                <w:sz w:val="35"/>
                <w:szCs w:val="35"/>
              </w:rPr>
              <w:t>编</w:t>
            </w:r>
          </w:p>
        </w:tc>
        <w:tc>
          <w:tcPr>
            <w:tcW w:w="2954" w:type="dxa"/>
            <w:vAlign w:val="top"/>
          </w:tcPr>
          <w:p w14:paraId="15F8296B">
            <w:pPr>
              <w:pStyle w:val="6"/>
              <w:spacing w:before="179" w:line="187" w:lineRule="auto"/>
              <w:ind w:left="210"/>
            </w:pPr>
            <w:r>
              <w:rPr>
                <w:spacing w:val="11"/>
              </w:rPr>
              <w:t>梅文华</w:t>
            </w:r>
          </w:p>
        </w:tc>
        <w:tc>
          <w:tcPr>
            <w:tcW w:w="1291" w:type="dxa"/>
            <w:vAlign w:val="top"/>
          </w:tcPr>
          <w:p w14:paraId="21B9963C">
            <w:pPr>
              <w:rPr>
                <w:rFonts w:ascii="Arial"/>
                <w:sz w:val="21"/>
              </w:rPr>
            </w:pPr>
          </w:p>
        </w:tc>
      </w:tr>
    </w:tbl>
    <w:p w14:paraId="750CF769">
      <w:pPr>
        <w:pStyle w:val="2"/>
      </w:pPr>
    </w:p>
    <w:p w14:paraId="740B5346">
      <w:pPr>
        <w:sectPr>
          <w:footerReference r:id="rId7" w:type="default"/>
          <w:pgSz w:w="11910" w:h="17130"/>
          <w:pgMar w:top="400" w:right="1331" w:bottom="1695" w:left="1786" w:header="0" w:footer="1351" w:gutter="0"/>
          <w:cols w:space="720" w:num="1"/>
        </w:sectPr>
      </w:pPr>
    </w:p>
    <w:p w14:paraId="1F8D5AA3">
      <w:pPr>
        <w:pStyle w:val="2"/>
        <w:spacing w:line="266" w:lineRule="auto"/>
      </w:pPr>
    </w:p>
    <w:p w14:paraId="5F8BBA66">
      <w:pPr>
        <w:pStyle w:val="2"/>
        <w:spacing w:line="267" w:lineRule="auto"/>
      </w:pPr>
    </w:p>
    <w:p w14:paraId="270253CA">
      <w:pPr>
        <w:pStyle w:val="2"/>
        <w:spacing w:line="267" w:lineRule="auto"/>
      </w:pPr>
    </w:p>
    <w:p w14:paraId="72A14B58">
      <w:pPr>
        <w:pStyle w:val="2"/>
        <w:spacing w:line="267" w:lineRule="auto"/>
      </w:pPr>
    </w:p>
    <w:p w14:paraId="1C9583E3">
      <w:pPr>
        <w:pStyle w:val="2"/>
        <w:spacing w:line="267" w:lineRule="auto"/>
      </w:pPr>
    </w:p>
    <w:p w14:paraId="79902645">
      <w:pPr>
        <w:pStyle w:val="2"/>
        <w:spacing w:line="267" w:lineRule="auto"/>
      </w:pPr>
    </w:p>
    <w:p w14:paraId="0BEA2A15">
      <w:pPr>
        <w:pStyle w:val="2"/>
        <w:spacing w:line="267" w:lineRule="auto"/>
      </w:pPr>
    </w:p>
    <w:p w14:paraId="79FF5571">
      <w:pPr>
        <w:pStyle w:val="2"/>
        <w:spacing w:line="267" w:lineRule="auto"/>
      </w:pPr>
    </w:p>
    <w:p w14:paraId="22AAA0CF">
      <w:pPr>
        <w:spacing w:before="127" w:line="224" w:lineRule="auto"/>
        <w:ind w:left="4090"/>
        <w:rPr>
          <w:rFonts w:ascii="黑体" w:hAnsi="黑体" w:eastAsia="黑体" w:cs="黑体"/>
          <w:sz w:val="39"/>
          <w:szCs w:val="39"/>
        </w:rPr>
      </w:pPr>
      <w:r>
        <w:rPr>
          <w:rFonts w:ascii="黑体" w:hAnsi="黑体" w:eastAsia="黑体" w:cs="黑体"/>
          <w:spacing w:val="-10"/>
          <w:sz w:val="39"/>
          <w:szCs w:val="39"/>
        </w:rPr>
        <w:t>序</w:t>
      </w:r>
      <w:r>
        <w:rPr>
          <w:rFonts w:ascii="黑体" w:hAnsi="黑体" w:eastAsia="黑体" w:cs="黑体"/>
          <w:spacing w:val="30"/>
          <w:sz w:val="39"/>
          <w:szCs w:val="39"/>
        </w:rPr>
        <w:t xml:space="preserve">  </w:t>
      </w:r>
      <w:r>
        <w:rPr>
          <w:rFonts w:ascii="黑体" w:hAnsi="黑体" w:eastAsia="黑体" w:cs="黑体"/>
          <w:b/>
          <w:bCs/>
          <w:spacing w:val="-10"/>
          <w:sz w:val="39"/>
          <w:szCs w:val="39"/>
        </w:rPr>
        <w:t>言</w:t>
      </w:r>
    </w:p>
    <w:p w14:paraId="4EE37F8C">
      <w:pPr>
        <w:pStyle w:val="2"/>
        <w:spacing w:line="271" w:lineRule="auto"/>
      </w:pPr>
    </w:p>
    <w:p w14:paraId="6A49E7A2">
      <w:pPr>
        <w:pStyle w:val="2"/>
        <w:spacing w:line="271" w:lineRule="auto"/>
      </w:pPr>
    </w:p>
    <w:p w14:paraId="7A3A2F4C">
      <w:pPr>
        <w:pStyle w:val="2"/>
        <w:spacing w:line="272" w:lineRule="auto"/>
      </w:pPr>
    </w:p>
    <w:p w14:paraId="0D588A70">
      <w:pPr>
        <w:spacing w:before="82" w:line="288" w:lineRule="auto"/>
        <w:ind w:right="101" w:firstLine="550"/>
        <w:jc w:val="both"/>
        <w:rPr>
          <w:rFonts w:ascii="宋体" w:hAnsi="宋体" w:eastAsia="宋体" w:cs="宋体"/>
          <w:sz w:val="25"/>
          <w:szCs w:val="25"/>
        </w:rPr>
      </w:pPr>
      <w:r>
        <w:rPr>
          <w:rFonts w:ascii="宋体" w:hAnsi="宋体" w:eastAsia="宋体" w:cs="宋体"/>
          <w:spacing w:val="9"/>
          <w:sz w:val="25"/>
          <w:szCs w:val="25"/>
        </w:rPr>
        <w:t>60年来，我国武器装备的研制，走过了一个由仿制、合作到自主创新，由“有</w:t>
      </w:r>
      <w:r>
        <w:rPr>
          <w:rFonts w:ascii="宋体" w:hAnsi="宋体" w:eastAsia="宋体" w:cs="宋体"/>
          <w:spacing w:val="17"/>
          <w:sz w:val="25"/>
          <w:szCs w:val="25"/>
        </w:rPr>
        <w:t xml:space="preserve"> 什么武器打什么仗”到“打什么仗研制什么武器”的发展历程。我国武器装备也</w:t>
      </w:r>
      <w:r>
        <w:rPr>
          <w:rFonts w:ascii="宋体" w:hAnsi="宋体" w:eastAsia="宋体" w:cs="宋体"/>
          <w:spacing w:val="18"/>
          <w:sz w:val="25"/>
          <w:szCs w:val="25"/>
        </w:rPr>
        <w:t xml:space="preserve"> </w:t>
      </w:r>
      <w:r>
        <w:rPr>
          <w:rFonts w:ascii="宋体" w:hAnsi="宋体" w:eastAsia="宋体" w:cs="宋体"/>
          <w:spacing w:val="19"/>
          <w:sz w:val="25"/>
          <w:szCs w:val="25"/>
        </w:rPr>
        <w:t>开始进入了一个跨越式发展阶段，大量新型武器装备陆续问世。</w:t>
      </w:r>
    </w:p>
    <w:p w14:paraId="4A1A41BD">
      <w:pPr>
        <w:spacing w:line="280" w:lineRule="auto"/>
        <w:ind w:firstLine="550"/>
        <w:jc w:val="both"/>
        <w:rPr>
          <w:rFonts w:ascii="宋体" w:hAnsi="宋体" w:eastAsia="宋体" w:cs="宋体"/>
          <w:sz w:val="27"/>
          <w:szCs w:val="27"/>
        </w:rPr>
      </w:pPr>
      <w:r>
        <w:rPr>
          <w:rFonts w:ascii="宋体" w:hAnsi="宋体" w:eastAsia="宋体" w:cs="宋体"/>
          <w:spacing w:val="-2"/>
          <w:sz w:val="27"/>
          <w:szCs w:val="27"/>
        </w:rPr>
        <w:t>随着国民经济和科学技术的快速发展，武器</w:t>
      </w:r>
      <w:r>
        <w:rPr>
          <w:rFonts w:ascii="宋体" w:hAnsi="宋体" w:eastAsia="宋体" w:cs="宋体"/>
          <w:spacing w:val="-3"/>
          <w:sz w:val="27"/>
          <w:szCs w:val="27"/>
        </w:rPr>
        <w:t>装备的科技含量越来越高，武器</w:t>
      </w:r>
      <w:r>
        <w:rPr>
          <w:rFonts w:ascii="宋体" w:hAnsi="宋体" w:eastAsia="宋体" w:cs="宋体"/>
          <w:sz w:val="27"/>
          <w:szCs w:val="27"/>
        </w:rPr>
        <w:t xml:space="preserve"> </w:t>
      </w:r>
      <w:r>
        <w:rPr>
          <w:rFonts w:ascii="宋体" w:hAnsi="宋体" w:eastAsia="宋体" w:cs="宋体"/>
          <w:spacing w:val="-2"/>
          <w:sz w:val="27"/>
          <w:szCs w:val="27"/>
        </w:rPr>
        <w:t>装备系统也越来越复杂。军工产品设计、生产、管理的每一个环节都关</w:t>
      </w:r>
      <w:r>
        <w:rPr>
          <w:rFonts w:ascii="宋体" w:hAnsi="宋体" w:eastAsia="宋体" w:cs="宋体"/>
          <w:spacing w:val="-3"/>
          <w:sz w:val="27"/>
          <w:szCs w:val="27"/>
        </w:rPr>
        <w:t>系到产品</w:t>
      </w:r>
      <w:r>
        <w:rPr>
          <w:rFonts w:ascii="宋体" w:hAnsi="宋体" w:eastAsia="宋体" w:cs="宋体"/>
          <w:sz w:val="27"/>
          <w:szCs w:val="27"/>
        </w:rPr>
        <w:t xml:space="preserve"> </w:t>
      </w:r>
      <w:r>
        <w:rPr>
          <w:rFonts w:ascii="宋体" w:hAnsi="宋体" w:eastAsia="宋体" w:cs="宋体"/>
          <w:spacing w:val="1"/>
          <w:sz w:val="27"/>
          <w:szCs w:val="27"/>
        </w:rPr>
        <w:t>的性能和质量。提高装备质量，规范武器装备研制过程，是从事军工产品论</w:t>
      </w:r>
      <w:r>
        <w:rPr>
          <w:rFonts w:ascii="宋体" w:hAnsi="宋体" w:eastAsia="宋体" w:cs="宋体"/>
          <w:sz w:val="27"/>
          <w:szCs w:val="27"/>
        </w:rPr>
        <w:t xml:space="preserve">证、 </w:t>
      </w:r>
      <w:r>
        <w:rPr>
          <w:rFonts w:ascii="宋体" w:hAnsi="宋体" w:eastAsia="宋体" w:cs="宋体"/>
          <w:spacing w:val="5"/>
          <w:sz w:val="27"/>
          <w:szCs w:val="27"/>
        </w:rPr>
        <w:t>研制、试验和管理的人员面临的一个重大课题。为此陆续颁发了相关的国家军</w:t>
      </w:r>
      <w:r>
        <w:rPr>
          <w:rFonts w:ascii="宋体" w:hAnsi="宋体" w:eastAsia="宋体" w:cs="宋体"/>
          <w:spacing w:val="7"/>
          <w:sz w:val="27"/>
          <w:szCs w:val="27"/>
        </w:rPr>
        <w:t xml:space="preserve">  </w:t>
      </w:r>
      <w:r>
        <w:rPr>
          <w:rFonts w:ascii="宋体" w:hAnsi="宋体" w:eastAsia="宋体" w:cs="宋体"/>
          <w:spacing w:val="-2"/>
          <w:sz w:val="27"/>
          <w:szCs w:val="27"/>
        </w:rPr>
        <w:t>用标准，对规范军工产品研制过程，提高军工产品</w:t>
      </w:r>
      <w:r>
        <w:rPr>
          <w:rFonts w:ascii="宋体" w:hAnsi="宋体" w:eastAsia="宋体" w:cs="宋体"/>
          <w:spacing w:val="-3"/>
          <w:sz w:val="27"/>
          <w:szCs w:val="27"/>
        </w:rPr>
        <w:t>技术质量，起到了重要的推动</w:t>
      </w:r>
      <w:r>
        <w:rPr>
          <w:rFonts w:ascii="宋体" w:hAnsi="宋体" w:eastAsia="宋体" w:cs="宋体"/>
          <w:sz w:val="27"/>
          <w:szCs w:val="27"/>
        </w:rPr>
        <w:t xml:space="preserve">  </w:t>
      </w:r>
      <w:r>
        <w:rPr>
          <w:rFonts w:ascii="宋体" w:hAnsi="宋体" w:eastAsia="宋体" w:cs="宋体"/>
          <w:spacing w:val="-4"/>
          <w:sz w:val="27"/>
          <w:szCs w:val="27"/>
        </w:rPr>
        <w:t>作用。</w:t>
      </w:r>
    </w:p>
    <w:p w14:paraId="627C0FFA">
      <w:pPr>
        <w:spacing w:before="10" w:line="279" w:lineRule="auto"/>
        <w:ind w:right="119" w:firstLine="550"/>
        <w:jc w:val="both"/>
        <w:rPr>
          <w:rFonts w:ascii="宋体" w:hAnsi="宋体" w:eastAsia="宋体" w:cs="宋体"/>
          <w:sz w:val="27"/>
          <w:szCs w:val="27"/>
        </w:rPr>
      </w:pPr>
      <w:r>
        <w:rPr>
          <w:rFonts w:ascii="宋体" w:hAnsi="宋体" w:eastAsia="宋体" w:cs="宋体"/>
          <w:spacing w:val="5"/>
          <w:sz w:val="27"/>
          <w:szCs w:val="27"/>
        </w:rPr>
        <w:t>在军工产品研制过程中，国防工业部门贯彻执行有关军工产品研制的国家</w:t>
      </w:r>
      <w:r>
        <w:rPr>
          <w:rFonts w:ascii="宋体" w:hAnsi="宋体" w:eastAsia="宋体" w:cs="宋体"/>
          <w:spacing w:val="14"/>
          <w:sz w:val="27"/>
          <w:szCs w:val="27"/>
        </w:rPr>
        <w:t xml:space="preserve"> </w:t>
      </w:r>
      <w:r>
        <w:rPr>
          <w:rFonts w:ascii="宋体" w:hAnsi="宋体" w:eastAsia="宋体" w:cs="宋体"/>
          <w:spacing w:val="-10"/>
          <w:sz w:val="27"/>
          <w:szCs w:val="27"/>
        </w:rPr>
        <w:t>军用标准，积累了一定的经验，但是，由于各个单位重视程度不同、理解上存在差</w:t>
      </w:r>
      <w:r>
        <w:rPr>
          <w:rFonts w:ascii="宋体" w:hAnsi="宋体" w:eastAsia="宋体" w:cs="宋体"/>
          <w:spacing w:val="3"/>
          <w:sz w:val="27"/>
          <w:szCs w:val="27"/>
        </w:rPr>
        <w:t xml:space="preserve"> </w:t>
      </w:r>
      <w:r>
        <w:rPr>
          <w:rFonts w:ascii="宋体" w:hAnsi="宋体" w:eastAsia="宋体" w:cs="宋体"/>
          <w:spacing w:val="-3"/>
          <w:sz w:val="27"/>
          <w:szCs w:val="27"/>
        </w:rPr>
        <w:t>异，加上研发人员不断更替，这些国家军用标准的执行情况并不尽如人意，造成</w:t>
      </w:r>
      <w:r>
        <w:rPr>
          <w:rFonts w:ascii="宋体" w:hAnsi="宋体" w:eastAsia="宋体" w:cs="宋体"/>
          <w:spacing w:val="16"/>
          <w:sz w:val="27"/>
          <w:szCs w:val="27"/>
        </w:rPr>
        <w:t xml:space="preserve"> </w:t>
      </w:r>
      <w:r>
        <w:rPr>
          <w:rFonts w:ascii="宋体" w:hAnsi="宋体" w:eastAsia="宋体" w:cs="宋体"/>
          <w:spacing w:val="4"/>
          <w:sz w:val="27"/>
          <w:szCs w:val="27"/>
        </w:rPr>
        <w:t>有些军工产品在定型时仍然存在各种各样的问题。</w:t>
      </w:r>
    </w:p>
    <w:p w14:paraId="053DA226">
      <w:pPr>
        <w:spacing w:before="5" w:line="278" w:lineRule="auto"/>
        <w:ind w:right="123" w:firstLine="550"/>
        <w:jc w:val="both"/>
        <w:rPr>
          <w:rFonts w:ascii="宋体" w:hAnsi="宋体" w:eastAsia="宋体" w:cs="宋体"/>
          <w:sz w:val="27"/>
          <w:szCs w:val="27"/>
        </w:rPr>
      </w:pPr>
      <w:r>
        <w:rPr>
          <w:rFonts w:ascii="宋体" w:hAnsi="宋体" w:eastAsia="宋体" w:cs="宋体"/>
          <w:spacing w:val="-3"/>
          <w:sz w:val="27"/>
          <w:szCs w:val="27"/>
        </w:rPr>
        <w:t>为了更好地规范军工产品研制过程，提高军工产品技术质量，空军装</w:t>
      </w:r>
      <w:r>
        <w:rPr>
          <w:rFonts w:ascii="宋体" w:hAnsi="宋体" w:eastAsia="宋体" w:cs="宋体"/>
          <w:spacing w:val="-4"/>
          <w:sz w:val="27"/>
          <w:szCs w:val="27"/>
        </w:rPr>
        <w:t>备部组</w:t>
      </w:r>
      <w:r>
        <w:rPr>
          <w:rFonts w:ascii="宋体" w:hAnsi="宋体" w:eastAsia="宋体" w:cs="宋体"/>
          <w:sz w:val="27"/>
          <w:szCs w:val="27"/>
        </w:rPr>
        <w:t xml:space="preserve"> </w:t>
      </w:r>
      <w:r>
        <w:rPr>
          <w:rFonts w:ascii="宋体" w:hAnsi="宋体" w:eastAsia="宋体" w:cs="宋体"/>
          <w:spacing w:val="5"/>
          <w:sz w:val="27"/>
          <w:szCs w:val="27"/>
        </w:rPr>
        <w:t>织一批长期从事军工产品研制和管理的专家学者，在总结工作经验和教训的基</w:t>
      </w:r>
      <w:r>
        <w:rPr>
          <w:rFonts w:ascii="宋体" w:hAnsi="宋体" w:eastAsia="宋体" w:cs="宋体"/>
          <w:spacing w:val="10"/>
          <w:sz w:val="27"/>
          <w:szCs w:val="27"/>
        </w:rPr>
        <w:t xml:space="preserve"> </w:t>
      </w:r>
      <w:r>
        <w:rPr>
          <w:rFonts w:ascii="宋体" w:hAnsi="宋体" w:eastAsia="宋体" w:cs="宋体"/>
          <w:spacing w:val="-10"/>
          <w:sz w:val="27"/>
          <w:szCs w:val="27"/>
        </w:rPr>
        <w:t>础上，依据国家标准、国家军用标准和有关文件规定，编写了《军工产品研制</w:t>
      </w:r>
      <w:r>
        <w:rPr>
          <w:rFonts w:ascii="宋体" w:hAnsi="宋体" w:eastAsia="宋体" w:cs="宋体"/>
          <w:spacing w:val="-11"/>
          <w:sz w:val="27"/>
          <w:szCs w:val="27"/>
        </w:rPr>
        <w:t>管理</w:t>
      </w:r>
      <w:r>
        <w:rPr>
          <w:rFonts w:ascii="宋体" w:hAnsi="宋体" w:eastAsia="宋体" w:cs="宋体"/>
          <w:sz w:val="27"/>
          <w:szCs w:val="27"/>
        </w:rPr>
        <w:t xml:space="preserve"> </w:t>
      </w:r>
      <w:r>
        <w:rPr>
          <w:rFonts w:ascii="宋体" w:hAnsi="宋体" w:eastAsia="宋体" w:cs="宋体"/>
          <w:spacing w:val="-28"/>
          <w:sz w:val="27"/>
          <w:szCs w:val="27"/>
        </w:rPr>
        <w:t>丛书》。</w:t>
      </w:r>
    </w:p>
    <w:p w14:paraId="1FEC8E8E">
      <w:pPr>
        <w:spacing w:before="21" w:line="272" w:lineRule="auto"/>
        <w:ind w:firstLine="415"/>
        <w:jc w:val="both"/>
        <w:rPr>
          <w:rFonts w:ascii="宋体" w:hAnsi="宋体" w:eastAsia="宋体" w:cs="宋体"/>
          <w:sz w:val="27"/>
          <w:szCs w:val="27"/>
        </w:rPr>
      </w:pPr>
      <w:r>
        <w:rPr>
          <w:rFonts w:ascii="宋体" w:hAnsi="宋体" w:eastAsia="宋体" w:cs="宋体"/>
          <w:spacing w:val="1"/>
          <w:sz w:val="27"/>
          <w:szCs w:val="27"/>
        </w:rPr>
        <w:t>《军工产品研制管理丛书》的编写目标是作为指导军工产品研制与管理的一</w:t>
      </w:r>
      <w:r>
        <w:rPr>
          <w:rFonts w:ascii="宋体" w:hAnsi="宋体" w:eastAsia="宋体" w:cs="宋体"/>
          <w:spacing w:val="2"/>
          <w:sz w:val="27"/>
          <w:szCs w:val="27"/>
        </w:rPr>
        <w:t xml:space="preserve">  </w:t>
      </w:r>
      <w:r>
        <w:rPr>
          <w:rFonts w:ascii="宋体" w:hAnsi="宋体" w:eastAsia="宋体" w:cs="宋体"/>
          <w:spacing w:val="-3"/>
          <w:sz w:val="27"/>
          <w:szCs w:val="27"/>
        </w:rPr>
        <w:t>套实用参考书，力求全面系统，深入浅出，并给出了典型的范例。本丛书实用性</w:t>
      </w:r>
      <w:r>
        <w:rPr>
          <w:rFonts w:ascii="宋体" w:hAnsi="宋体" w:eastAsia="宋体" w:cs="宋体"/>
          <w:spacing w:val="7"/>
          <w:sz w:val="27"/>
          <w:szCs w:val="27"/>
        </w:rPr>
        <w:t xml:space="preserve">  </w:t>
      </w:r>
      <w:r>
        <w:rPr>
          <w:rFonts w:ascii="宋体" w:hAnsi="宋体" w:eastAsia="宋体" w:cs="宋体"/>
          <w:spacing w:val="-7"/>
          <w:sz w:val="27"/>
          <w:szCs w:val="27"/>
        </w:rPr>
        <w:t>强，各册既具有相对独立性，可独立使用，又具有一定的联系，可结合起来阅读。</w:t>
      </w:r>
      <w:r>
        <w:rPr>
          <w:rFonts w:ascii="宋体" w:hAnsi="宋体" w:eastAsia="宋体" w:cs="宋体"/>
          <w:spacing w:val="15"/>
          <w:sz w:val="27"/>
          <w:szCs w:val="27"/>
        </w:rPr>
        <w:t xml:space="preserve"> </w:t>
      </w:r>
      <w:r>
        <w:rPr>
          <w:rFonts w:ascii="宋体" w:hAnsi="宋体" w:eastAsia="宋体" w:cs="宋体"/>
          <w:spacing w:val="-10"/>
          <w:sz w:val="27"/>
          <w:szCs w:val="27"/>
        </w:rPr>
        <w:t>希望丛书的出版发行，能对规范研制过程，降低研制风险，提高研制质量，促进人</w:t>
      </w:r>
      <w:r>
        <w:rPr>
          <w:rFonts w:ascii="宋体" w:hAnsi="宋体" w:eastAsia="宋体" w:cs="宋体"/>
          <w:sz w:val="27"/>
          <w:szCs w:val="27"/>
        </w:rPr>
        <w:t xml:space="preserve">  </w:t>
      </w:r>
      <w:r>
        <w:rPr>
          <w:rFonts w:ascii="宋体" w:hAnsi="宋体" w:eastAsia="宋体" w:cs="宋体"/>
          <w:spacing w:val="-10"/>
          <w:sz w:val="27"/>
          <w:szCs w:val="27"/>
        </w:rPr>
        <w:t>才成长，作出一些贡献。</w:t>
      </w:r>
    </w:p>
    <w:p w14:paraId="5440CB88">
      <w:pPr>
        <w:pStyle w:val="2"/>
        <w:spacing w:line="292" w:lineRule="auto"/>
      </w:pPr>
    </w:p>
    <w:p w14:paraId="7826D3A5">
      <w:pPr>
        <w:pStyle w:val="2"/>
        <w:spacing w:line="292" w:lineRule="auto"/>
      </w:pPr>
      <w:r>
        <w:drawing>
          <wp:anchor distT="0" distB="0" distL="0" distR="0" simplePos="0" relativeHeight="251663360" behindDoc="0" locked="0" layoutInCell="1" allowOverlap="1">
            <wp:simplePos x="0" y="0"/>
            <wp:positionH relativeFrom="column">
              <wp:posOffset>4824730</wp:posOffset>
            </wp:positionH>
            <wp:positionV relativeFrom="paragraph">
              <wp:posOffset>144780</wp:posOffset>
            </wp:positionV>
            <wp:extent cx="726440" cy="41211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685"/>
                    <a:stretch>
                      <a:fillRect/>
                    </a:stretch>
                  </pic:blipFill>
                  <pic:spPr>
                    <a:xfrm>
                      <a:off x="0" y="0"/>
                      <a:ext cx="726236" cy="412199"/>
                    </a:xfrm>
                    <a:prstGeom prst="rect">
                      <a:avLst/>
                    </a:prstGeom>
                  </pic:spPr>
                </pic:pic>
              </a:graphicData>
            </a:graphic>
          </wp:anchor>
        </w:drawing>
      </w:r>
    </w:p>
    <w:p w14:paraId="0621F9B6">
      <w:pPr>
        <w:spacing w:before="121" w:line="225" w:lineRule="auto"/>
        <w:ind w:left="4720"/>
        <w:rPr>
          <w:rFonts w:ascii="楷体" w:hAnsi="楷体" w:eastAsia="楷体" w:cs="楷体"/>
          <w:sz w:val="37"/>
          <w:szCs w:val="37"/>
        </w:rPr>
      </w:pPr>
      <w:r>
        <w:rPr>
          <w:rFonts w:ascii="楷体" w:hAnsi="楷体" w:eastAsia="楷体" w:cs="楷体"/>
          <w:spacing w:val="-13"/>
          <w:sz w:val="37"/>
          <w:szCs w:val="37"/>
        </w:rPr>
        <w:t>中国工程院院士</w:t>
      </w:r>
    </w:p>
    <w:p w14:paraId="47A20F01">
      <w:pPr>
        <w:spacing w:before="266" w:line="222" w:lineRule="auto"/>
        <w:ind w:left="5460"/>
        <w:rPr>
          <w:rFonts w:ascii="仿宋" w:hAnsi="仿宋" w:eastAsia="仿宋" w:cs="仿宋"/>
          <w:sz w:val="24"/>
          <w:szCs w:val="24"/>
        </w:rPr>
      </w:pPr>
      <w:r>
        <w:rPr>
          <w:rFonts w:ascii="仿宋" w:hAnsi="仿宋" w:eastAsia="仿宋" w:cs="仿宋"/>
          <w:spacing w:val="-17"/>
          <w:sz w:val="24"/>
          <w:szCs w:val="24"/>
        </w:rPr>
        <w:t>2</w:t>
      </w:r>
      <w:r>
        <w:rPr>
          <w:rFonts w:ascii="仿宋" w:hAnsi="仿宋" w:eastAsia="仿宋" w:cs="仿宋"/>
          <w:spacing w:val="-48"/>
          <w:sz w:val="24"/>
          <w:szCs w:val="24"/>
        </w:rPr>
        <w:t xml:space="preserve"> </w:t>
      </w:r>
      <w:r>
        <w:rPr>
          <w:rFonts w:ascii="仿宋" w:hAnsi="仿宋" w:eastAsia="仿宋" w:cs="仿宋"/>
          <w:spacing w:val="-17"/>
          <w:sz w:val="24"/>
          <w:szCs w:val="24"/>
        </w:rPr>
        <w:t>0</w:t>
      </w:r>
      <w:r>
        <w:rPr>
          <w:rFonts w:ascii="仿宋" w:hAnsi="仿宋" w:eastAsia="仿宋" w:cs="仿宋"/>
          <w:spacing w:val="-36"/>
          <w:sz w:val="24"/>
          <w:szCs w:val="24"/>
        </w:rPr>
        <w:t xml:space="preserve"> </w:t>
      </w:r>
      <w:r>
        <w:rPr>
          <w:rFonts w:ascii="仿宋" w:hAnsi="仿宋" w:eastAsia="仿宋" w:cs="仿宋"/>
          <w:spacing w:val="-17"/>
          <w:sz w:val="24"/>
          <w:szCs w:val="24"/>
        </w:rPr>
        <w:t>1</w:t>
      </w:r>
      <w:r>
        <w:rPr>
          <w:rFonts w:ascii="仿宋" w:hAnsi="仿宋" w:eastAsia="仿宋" w:cs="仿宋"/>
          <w:spacing w:val="-52"/>
          <w:sz w:val="24"/>
          <w:szCs w:val="24"/>
        </w:rPr>
        <w:t xml:space="preserve"> </w:t>
      </w:r>
      <w:r>
        <w:rPr>
          <w:rFonts w:ascii="仿宋" w:hAnsi="仿宋" w:eastAsia="仿宋" w:cs="仿宋"/>
          <w:spacing w:val="-17"/>
          <w:sz w:val="24"/>
          <w:szCs w:val="24"/>
        </w:rPr>
        <w:t>0</w:t>
      </w:r>
      <w:r>
        <w:rPr>
          <w:rFonts w:ascii="仿宋" w:hAnsi="仿宋" w:eastAsia="仿宋" w:cs="仿宋"/>
          <w:spacing w:val="-42"/>
          <w:sz w:val="24"/>
          <w:szCs w:val="24"/>
        </w:rPr>
        <w:t xml:space="preserve"> </w:t>
      </w:r>
      <w:r>
        <w:rPr>
          <w:rFonts w:ascii="仿宋" w:hAnsi="仿宋" w:eastAsia="仿宋" w:cs="仿宋"/>
          <w:spacing w:val="-17"/>
          <w:sz w:val="24"/>
          <w:szCs w:val="24"/>
        </w:rPr>
        <w:t>年</w:t>
      </w:r>
      <w:r>
        <w:rPr>
          <w:rFonts w:ascii="仿宋" w:hAnsi="仿宋" w:eastAsia="仿宋" w:cs="仿宋"/>
          <w:spacing w:val="-36"/>
          <w:sz w:val="24"/>
          <w:szCs w:val="24"/>
        </w:rPr>
        <w:t xml:space="preserve"> </w:t>
      </w:r>
      <w:r>
        <w:rPr>
          <w:rFonts w:ascii="仿宋" w:hAnsi="仿宋" w:eastAsia="仿宋" w:cs="仿宋"/>
          <w:spacing w:val="-17"/>
          <w:sz w:val="24"/>
          <w:szCs w:val="24"/>
        </w:rPr>
        <w:t>1</w:t>
      </w:r>
      <w:r>
        <w:rPr>
          <w:rFonts w:ascii="仿宋" w:hAnsi="仿宋" w:eastAsia="仿宋" w:cs="仿宋"/>
          <w:spacing w:val="-51"/>
          <w:sz w:val="24"/>
          <w:szCs w:val="24"/>
        </w:rPr>
        <w:t xml:space="preserve"> </w:t>
      </w:r>
      <w:r>
        <w:rPr>
          <w:rFonts w:ascii="仿宋" w:hAnsi="仿宋" w:eastAsia="仿宋" w:cs="仿宋"/>
          <w:spacing w:val="-17"/>
          <w:sz w:val="24"/>
          <w:szCs w:val="24"/>
        </w:rPr>
        <w:t>0</w:t>
      </w:r>
      <w:r>
        <w:rPr>
          <w:rFonts w:ascii="仿宋" w:hAnsi="仿宋" w:eastAsia="仿宋" w:cs="仿宋"/>
          <w:spacing w:val="-36"/>
          <w:sz w:val="24"/>
          <w:szCs w:val="24"/>
        </w:rPr>
        <w:t xml:space="preserve"> </w:t>
      </w:r>
      <w:r>
        <w:rPr>
          <w:rFonts w:ascii="仿宋" w:hAnsi="仿宋" w:eastAsia="仿宋" w:cs="仿宋"/>
          <w:spacing w:val="-17"/>
          <w:sz w:val="24"/>
          <w:szCs w:val="24"/>
        </w:rPr>
        <w:t>月</w:t>
      </w:r>
      <w:r>
        <w:rPr>
          <w:rFonts w:ascii="仿宋" w:hAnsi="仿宋" w:eastAsia="仿宋" w:cs="仿宋"/>
          <w:spacing w:val="-36"/>
          <w:sz w:val="24"/>
          <w:szCs w:val="24"/>
        </w:rPr>
        <w:t xml:space="preserve"> </w:t>
      </w:r>
      <w:r>
        <w:rPr>
          <w:rFonts w:ascii="仿宋" w:hAnsi="仿宋" w:eastAsia="仿宋" w:cs="仿宋"/>
          <w:spacing w:val="-17"/>
          <w:sz w:val="24"/>
          <w:szCs w:val="24"/>
        </w:rPr>
        <w:t>1</w:t>
      </w:r>
      <w:r>
        <w:rPr>
          <w:rFonts w:ascii="仿宋" w:hAnsi="仿宋" w:eastAsia="仿宋" w:cs="仿宋"/>
          <w:spacing w:val="-49"/>
          <w:sz w:val="24"/>
          <w:szCs w:val="24"/>
        </w:rPr>
        <w:t xml:space="preserve"> </w:t>
      </w:r>
      <w:r>
        <w:rPr>
          <w:rFonts w:ascii="仿宋" w:hAnsi="仿宋" w:eastAsia="仿宋" w:cs="仿宋"/>
          <w:spacing w:val="-17"/>
          <w:sz w:val="24"/>
          <w:szCs w:val="24"/>
        </w:rPr>
        <w:t>5</w:t>
      </w:r>
      <w:r>
        <w:rPr>
          <w:rFonts w:ascii="仿宋" w:hAnsi="仿宋" w:eastAsia="仿宋" w:cs="仿宋"/>
          <w:spacing w:val="5"/>
          <w:sz w:val="24"/>
          <w:szCs w:val="24"/>
        </w:rPr>
        <w:t xml:space="preserve"> </w:t>
      </w:r>
      <w:r>
        <w:rPr>
          <w:rFonts w:ascii="仿宋" w:hAnsi="仿宋" w:eastAsia="仿宋" w:cs="仿宋"/>
          <w:spacing w:val="-17"/>
          <w:sz w:val="24"/>
          <w:szCs w:val="24"/>
        </w:rPr>
        <w:t>日</w:t>
      </w:r>
    </w:p>
    <w:p w14:paraId="12268A86">
      <w:pPr>
        <w:spacing w:line="222" w:lineRule="auto"/>
        <w:rPr>
          <w:rFonts w:ascii="仿宋" w:hAnsi="仿宋" w:eastAsia="仿宋" w:cs="仿宋"/>
          <w:sz w:val="24"/>
          <w:szCs w:val="24"/>
        </w:rPr>
        <w:sectPr>
          <w:footerReference r:id="rId8" w:type="default"/>
          <w:pgSz w:w="11910" w:h="17130"/>
          <w:pgMar w:top="400" w:right="805" w:bottom="1694" w:left="1619" w:header="0" w:footer="1481" w:gutter="0"/>
          <w:cols w:space="720" w:num="1"/>
        </w:sectPr>
      </w:pPr>
    </w:p>
    <w:p w14:paraId="484F5D0F">
      <w:pPr>
        <w:pStyle w:val="2"/>
        <w:spacing w:line="269" w:lineRule="auto"/>
      </w:pPr>
    </w:p>
    <w:p w14:paraId="30BE920F">
      <w:pPr>
        <w:pStyle w:val="2"/>
        <w:spacing w:line="269" w:lineRule="auto"/>
      </w:pPr>
    </w:p>
    <w:p w14:paraId="0C7FBC38">
      <w:pPr>
        <w:pStyle w:val="2"/>
        <w:spacing w:line="269" w:lineRule="auto"/>
      </w:pPr>
    </w:p>
    <w:p w14:paraId="7E8E74F6">
      <w:pPr>
        <w:pStyle w:val="2"/>
        <w:spacing w:line="269" w:lineRule="auto"/>
      </w:pPr>
    </w:p>
    <w:p w14:paraId="4DA92CE5">
      <w:pPr>
        <w:pStyle w:val="2"/>
        <w:spacing w:line="269" w:lineRule="auto"/>
      </w:pPr>
    </w:p>
    <w:p w14:paraId="414F2981">
      <w:pPr>
        <w:pStyle w:val="2"/>
        <w:spacing w:line="269" w:lineRule="auto"/>
      </w:pPr>
    </w:p>
    <w:p w14:paraId="1FCA7585">
      <w:pPr>
        <w:pStyle w:val="2"/>
        <w:spacing w:line="269" w:lineRule="auto"/>
      </w:pPr>
    </w:p>
    <w:p w14:paraId="57B78CF2">
      <w:pPr>
        <w:pStyle w:val="2"/>
        <w:spacing w:line="269" w:lineRule="auto"/>
      </w:pPr>
    </w:p>
    <w:p w14:paraId="1F9DDAAF">
      <w:pPr>
        <w:spacing w:before="130" w:line="222" w:lineRule="auto"/>
        <w:ind w:left="4029"/>
        <w:rPr>
          <w:rFonts w:ascii="黑体" w:hAnsi="黑体" w:eastAsia="黑体" w:cs="黑体"/>
          <w:sz w:val="40"/>
          <w:szCs w:val="40"/>
        </w:rPr>
      </w:pPr>
      <w:r>
        <w:rPr>
          <w:rFonts w:ascii="黑体" w:hAnsi="黑体" w:eastAsia="黑体" w:cs="黑体"/>
          <w:spacing w:val="-10"/>
          <w:sz w:val="40"/>
          <w:szCs w:val="40"/>
        </w:rPr>
        <w:t>前</w:t>
      </w:r>
      <w:r>
        <w:rPr>
          <w:rFonts w:ascii="黑体" w:hAnsi="黑体" w:eastAsia="黑体" w:cs="黑体"/>
          <w:spacing w:val="25"/>
          <w:sz w:val="40"/>
          <w:szCs w:val="40"/>
        </w:rPr>
        <w:t xml:space="preserve">  </w:t>
      </w:r>
      <w:r>
        <w:rPr>
          <w:rFonts w:ascii="黑体" w:hAnsi="黑体" w:eastAsia="黑体" w:cs="黑体"/>
          <w:b/>
          <w:bCs/>
          <w:spacing w:val="-10"/>
          <w:sz w:val="40"/>
          <w:szCs w:val="40"/>
        </w:rPr>
        <w:t>言</w:t>
      </w:r>
    </w:p>
    <w:p w14:paraId="56640529">
      <w:pPr>
        <w:pStyle w:val="2"/>
        <w:spacing w:line="260" w:lineRule="auto"/>
      </w:pPr>
    </w:p>
    <w:p w14:paraId="2B7C8BB8">
      <w:pPr>
        <w:pStyle w:val="2"/>
        <w:spacing w:line="260" w:lineRule="auto"/>
      </w:pPr>
    </w:p>
    <w:p w14:paraId="429628D6">
      <w:pPr>
        <w:pStyle w:val="2"/>
        <w:spacing w:line="261" w:lineRule="auto"/>
      </w:pPr>
    </w:p>
    <w:p w14:paraId="6F4C0A0D">
      <w:pPr>
        <w:spacing w:before="88" w:line="312" w:lineRule="auto"/>
        <w:ind w:right="138" w:firstLine="529"/>
        <w:jc w:val="both"/>
        <w:rPr>
          <w:rFonts w:ascii="宋体" w:hAnsi="宋体" w:eastAsia="宋体" w:cs="宋体"/>
          <w:sz w:val="27"/>
          <w:szCs w:val="27"/>
        </w:rPr>
      </w:pPr>
      <w:r>
        <w:rPr>
          <w:rFonts w:ascii="宋体" w:hAnsi="宋体" w:eastAsia="宋体" w:cs="宋体"/>
          <w:spacing w:val="5"/>
          <w:sz w:val="27"/>
          <w:szCs w:val="27"/>
        </w:rPr>
        <w:t>军事装备的跨越式发展，对军工产品的技术和质量提出了更高的要求。为</w:t>
      </w:r>
      <w:r>
        <w:rPr>
          <w:rFonts w:ascii="宋体" w:hAnsi="宋体" w:eastAsia="宋体" w:cs="宋体"/>
          <w:spacing w:val="12"/>
          <w:sz w:val="27"/>
          <w:szCs w:val="27"/>
        </w:rPr>
        <w:t xml:space="preserve"> </w:t>
      </w:r>
      <w:r>
        <w:rPr>
          <w:rFonts w:ascii="宋体" w:hAnsi="宋体" w:eastAsia="宋体" w:cs="宋体"/>
          <w:spacing w:val="-3"/>
          <w:sz w:val="27"/>
          <w:szCs w:val="27"/>
        </w:rPr>
        <w:t>了规范军工产品研制过程，提高军工产品技术质量，空军装备部组织编写了《军</w:t>
      </w:r>
      <w:r>
        <w:rPr>
          <w:rFonts w:ascii="宋体" w:hAnsi="宋体" w:eastAsia="宋体" w:cs="宋体"/>
          <w:sz w:val="27"/>
          <w:szCs w:val="27"/>
        </w:rPr>
        <w:t xml:space="preserve"> </w:t>
      </w:r>
      <w:r>
        <w:rPr>
          <w:rFonts w:ascii="宋体" w:hAnsi="宋体" w:eastAsia="宋体" w:cs="宋体"/>
          <w:spacing w:val="-12"/>
          <w:sz w:val="27"/>
          <w:szCs w:val="27"/>
        </w:rPr>
        <w:t>工产品研制管理丛书》。</w:t>
      </w:r>
    </w:p>
    <w:p w14:paraId="09AF3EC1">
      <w:pPr>
        <w:spacing w:line="307" w:lineRule="auto"/>
        <w:ind w:right="109" w:firstLine="539"/>
        <w:jc w:val="both"/>
        <w:rPr>
          <w:rFonts w:ascii="宋体" w:hAnsi="宋体" w:eastAsia="宋体" w:cs="宋体"/>
          <w:sz w:val="27"/>
          <w:szCs w:val="27"/>
        </w:rPr>
      </w:pPr>
      <w:r>
        <w:rPr>
          <w:rFonts w:ascii="宋体" w:hAnsi="宋体" w:eastAsia="宋体" w:cs="宋体"/>
          <w:spacing w:val="-3"/>
          <w:sz w:val="27"/>
          <w:szCs w:val="27"/>
        </w:rPr>
        <w:t>本书是《军工产品研制技术文件编写说明》。作者根据长期从事军工产品研</w:t>
      </w:r>
      <w:r>
        <w:rPr>
          <w:rFonts w:ascii="宋体" w:hAnsi="宋体" w:eastAsia="宋体" w:cs="宋体"/>
          <w:spacing w:val="9"/>
          <w:sz w:val="27"/>
          <w:szCs w:val="27"/>
        </w:rPr>
        <w:t xml:space="preserve"> </w:t>
      </w:r>
      <w:r>
        <w:rPr>
          <w:rFonts w:ascii="宋体" w:hAnsi="宋体" w:eastAsia="宋体" w:cs="宋体"/>
          <w:spacing w:val="-2"/>
          <w:sz w:val="27"/>
          <w:szCs w:val="27"/>
        </w:rPr>
        <w:t>制和技术管理工作经验，依据国家标准、国家军用标准和有关文件</w:t>
      </w:r>
      <w:r>
        <w:rPr>
          <w:rFonts w:ascii="宋体" w:hAnsi="宋体" w:eastAsia="宋体" w:cs="宋体"/>
          <w:spacing w:val="-3"/>
          <w:sz w:val="27"/>
          <w:szCs w:val="27"/>
        </w:rPr>
        <w:t>规定，全面系</w:t>
      </w:r>
      <w:r>
        <w:rPr>
          <w:rFonts w:ascii="宋体" w:hAnsi="宋体" w:eastAsia="宋体" w:cs="宋体"/>
          <w:sz w:val="27"/>
          <w:szCs w:val="27"/>
        </w:rPr>
        <w:t xml:space="preserve"> </w:t>
      </w:r>
      <w:r>
        <w:rPr>
          <w:rFonts w:ascii="宋体" w:hAnsi="宋体" w:eastAsia="宋体" w:cs="宋体"/>
          <w:spacing w:val="1"/>
          <w:sz w:val="27"/>
          <w:szCs w:val="27"/>
        </w:rPr>
        <w:t>统地阐述了军工产品研制过程中形成的文字类技术文件(包括一般过程文件、软</w:t>
      </w:r>
      <w:r>
        <w:rPr>
          <w:rFonts w:ascii="宋体" w:hAnsi="宋体" w:eastAsia="宋体" w:cs="宋体"/>
          <w:spacing w:val="11"/>
          <w:sz w:val="27"/>
          <w:szCs w:val="27"/>
        </w:rPr>
        <w:t xml:space="preserve"> </w:t>
      </w:r>
      <w:r>
        <w:rPr>
          <w:rFonts w:ascii="宋体" w:hAnsi="宋体" w:eastAsia="宋体" w:cs="宋体"/>
          <w:spacing w:val="-17"/>
          <w:sz w:val="27"/>
          <w:szCs w:val="27"/>
        </w:rPr>
        <w:t>件文档、工艺文件、标准化文件、质量文件、风险管理文件、可靠性文件、维修性文</w:t>
      </w:r>
      <w:r>
        <w:rPr>
          <w:rFonts w:ascii="宋体" w:hAnsi="宋体" w:eastAsia="宋体" w:cs="宋体"/>
          <w:spacing w:val="1"/>
          <w:sz w:val="27"/>
          <w:szCs w:val="27"/>
        </w:rPr>
        <w:t xml:space="preserve"> </w:t>
      </w:r>
      <w:r>
        <w:rPr>
          <w:rFonts w:ascii="宋体" w:hAnsi="宋体" w:eastAsia="宋体" w:cs="宋体"/>
          <w:spacing w:val="-17"/>
          <w:sz w:val="27"/>
          <w:szCs w:val="27"/>
        </w:rPr>
        <w:t>件、测试性文件、保障性文件、安全性文件、环境适应性文件、电磁兼容性文件</w:t>
      </w:r>
      <w:r>
        <w:rPr>
          <w:rFonts w:ascii="宋体" w:hAnsi="宋体" w:eastAsia="宋体" w:cs="宋体"/>
          <w:spacing w:val="-18"/>
          <w:sz w:val="27"/>
          <w:szCs w:val="27"/>
        </w:rPr>
        <w:t>、人</w:t>
      </w:r>
      <w:r>
        <w:rPr>
          <w:rFonts w:ascii="宋体" w:hAnsi="宋体" w:eastAsia="宋体" w:cs="宋体"/>
          <w:sz w:val="27"/>
          <w:szCs w:val="27"/>
        </w:rPr>
        <w:t xml:space="preserve"> </w:t>
      </w:r>
      <w:r>
        <w:rPr>
          <w:rFonts w:ascii="宋体" w:hAnsi="宋体" w:eastAsia="宋体" w:cs="宋体"/>
          <w:spacing w:val="-6"/>
          <w:sz w:val="27"/>
          <w:szCs w:val="27"/>
        </w:rPr>
        <w:t>机工程文件、项目成果文件等)的编写说明，内容与《军工产品研制技术文件编写</w:t>
      </w:r>
      <w:r>
        <w:rPr>
          <w:rFonts w:ascii="宋体" w:hAnsi="宋体" w:eastAsia="宋体" w:cs="宋体"/>
          <w:sz w:val="27"/>
          <w:szCs w:val="27"/>
        </w:rPr>
        <w:t xml:space="preserve"> </w:t>
      </w:r>
      <w:r>
        <w:rPr>
          <w:rFonts w:ascii="宋体" w:hAnsi="宋体" w:eastAsia="宋体" w:cs="宋体"/>
          <w:spacing w:val="-10"/>
          <w:sz w:val="27"/>
          <w:szCs w:val="27"/>
        </w:rPr>
        <w:t>指南》相对应，既可配套使用，又可独立使用，是指导军工产品研制过程中编写相</w:t>
      </w:r>
      <w:r>
        <w:rPr>
          <w:rFonts w:ascii="宋体" w:hAnsi="宋体" w:eastAsia="宋体" w:cs="宋体"/>
          <w:spacing w:val="10"/>
          <w:sz w:val="27"/>
          <w:szCs w:val="27"/>
        </w:rPr>
        <w:t xml:space="preserve"> </w:t>
      </w:r>
      <w:r>
        <w:rPr>
          <w:rFonts w:ascii="宋体" w:hAnsi="宋体" w:eastAsia="宋体" w:cs="宋体"/>
          <w:spacing w:val="-3"/>
          <w:sz w:val="27"/>
          <w:szCs w:val="27"/>
        </w:rPr>
        <w:t>关技术文件的一本实用工具书，对规范技术文件内容、提高技术文件质量、完善</w:t>
      </w:r>
      <w:r>
        <w:rPr>
          <w:rFonts w:ascii="宋体" w:hAnsi="宋体" w:eastAsia="宋体" w:cs="宋体"/>
          <w:spacing w:val="17"/>
          <w:sz w:val="27"/>
          <w:szCs w:val="27"/>
        </w:rPr>
        <w:t xml:space="preserve"> </w:t>
      </w:r>
      <w:r>
        <w:rPr>
          <w:rFonts w:ascii="宋体" w:hAnsi="宋体" w:eastAsia="宋体" w:cs="宋体"/>
          <w:spacing w:val="-6"/>
          <w:sz w:val="27"/>
          <w:szCs w:val="27"/>
        </w:rPr>
        <w:t>设计开发过程，具有重要的应用价值。</w:t>
      </w:r>
    </w:p>
    <w:p w14:paraId="402F3B1B">
      <w:pPr>
        <w:spacing w:before="27" w:line="308" w:lineRule="auto"/>
        <w:ind w:right="115" w:firstLine="570"/>
        <w:rPr>
          <w:rFonts w:ascii="宋体" w:hAnsi="宋体" w:eastAsia="宋体" w:cs="宋体"/>
          <w:sz w:val="27"/>
          <w:szCs w:val="27"/>
        </w:rPr>
      </w:pPr>
      <w:r>
        <w:rPr>
          <w:rFonts w:ascii="宋体" w:hAnsi="宋体" w:eastAsia="宋体" w:cs="宋体"/>
          <w:spacing w:val="-3"/>
          <w:sz w:val="27"/>
          <w:szCs w:val="27"/>
        </w:rPr>
        <w:t>本书中，技术文件的章节标题使用黑体，示例</w:t>
      </w:r>
      <w:r>
        <w:rPr>
          <w:rFonts w:ascii="宋体" w:hAnsi="宋体" w:eastAsia="宋体" w:cs="宋体"/>
          <w:spacing w:val="-4"/>
          <w:sz w:val="27"/>
          <w:szCs w:val="27"/>
        </w:rPr>
        <w:t>使用仿宋体，对技术文件编写</w:t>
      </w:r>
      <w:r>
        <w:rPr>
          <w:rFonts w:ascii="宋体" w:hAnsi="宋体" w:eastAsia="宋体" w:cs="宋体"/>
          <w:sz w:val="27"/>
          <w:szCs w:val="27"/>
        </w:rPr>
        <w:t xml:space="preserve"> </w:t>
      </w:r>
      <w:r>
        <w:rPr>
          <w:rFonts w:ascii="宋体" w:hAnsi="宋体" w:eastAsia="宋体" w:cs="宋体"/>
          <w:spacing w:val="-5"/>
          <w:sz w:val="27"/>
          <w:szCs w:val="27"/>
        </w:rPr>
        <w:t>说明的说明使用楷体，其他正文使用宋体。</w:t>
      </w:r>
    </w:p>
    <w:p w14:paraId="6412BEAE">
      <w:pPr>
        <w:spacing w:before="1" w:line="218" w:lineRule="auto"/>
        <w:ind w:left="570"/>
        <w:rPr>
          <w:rFonts w:ascii="宋体" w:hAnsi="宋体" w:eastAsia="宋体" w:cs="宋体"/>
          <w:sz w:val="27"/>
          <w:szCs w:val="27"/>
        </w:rPr>
      </w:pPr>
      <w:r>
        <w:rPr>
          <w:rFonts w:ascii="宋体" w:hAnsi="宋体" w:eastAsia="宋体" w:cs="宋体"/>
          <w:spacing w:val="-16"/>
          <w:sz w:val="27"/>
          <w:szCs w:val="27"/>
        </w:rPr>
        <w:t>本书由梅文华、罗乖林、黄宏诚、杨蕊琴编写，由梅文华统稿。</w:t>
      </w:r>
    </w:p>
    <w:p w14:paraId="2B3A4940">
      <w:pPr>
        <w:spacing w:before="125" w:line="307" w:lineRule="auto"/>
        <w:ind w:firstLine="570"/>
        <w:rPr>
          <w:rFonts w:ascii="宋体" w:hAnsi="宋体" w:eastAsia="宋体" w:cs="宋体"/>
          <w:sz w:val="27"/>
          <w:szCs w:val="27"/>
        </w:rPr>
      </w:pPr>
      <w:r>
        <w:rPr>
          <w:rFonts w:ascii="宋体" w:hAnsi="宋体" w:eastAsia="宋体" w:cs="宋体"/>
          <w:spacing w:val="-3"/>
          <w:sz w:val="27"/>
          <w:szCs w:val="27"/>
        </w:rPr>
        <w:t>本书作者感谢海军装备部、空军装备部、空军装备研究院领导的支持</w:t>
      </w:r>
      <w:r>
        <w:rPr>
          <w:rFonts w:ascii="宋体" w:hAnsi="宋体" w:eastAsia="宋体" w:cs="宋体"/>
          <w:spacing w:val="-4"/>
          <w:sz w:val="27"/>
          <w:szCs w:val="27"/>
        </w:rPr>
        <w:t>。感谢</w:t>
      </w:r>
      <w:r>
        <w:rPr>
          <w:rFonts w:ascii="宋体" w:hAnsi="宋体" w:eastAsia="宋体" w:cs="宋体"/>
          <w:sz w:val="27"/>
          <w:szCs w:val="27"/>
        </w:rPr>
        <w:t xml:space="preserve"> </w:t>
      </w:r>
      <w:r>
        <w:rPr>
          <w:rFonts w:ascii="宋体" w:hAnsi="宋体" w:eastAsia="宋体" w:cs="宋体"/>
          <w:spacing w:val="-2"/>
          <w:sz w:val="27"/>
          <w:szCs w:val="27"/>
        </w:rPr>
        <w:t>王越院士、王小谟院士的指导。感谢总参6</w:t>
      </w:r>
      <w:r>
        <w:rPr>
          <w:rFonts w:ascii="宋体" w:hAnsi="宋体" w:eastAsia="宋体" w:cs="宋体"/>
          <w:spacing w:val="-3"/>
          <w:sz w:val="27"/>
          <w:szCs w:val="27"/>
        </w:rPr>
        <w:t>1所，总装备部论证研究中心，空军装</w:t>
      </w:r>
      <w:r>
        <w:rPr>
          <w:rFonts w:ascii="宋体" w:hAnsi="宋体" w:eastAsia="宋体" w:cs="宋体"/>
          <w:sz w:val="27"/>
          <w:szCs w:val="27"/>
        </w:rPr>
        <w:t xml:space="preserve">  </w:t>
      </w:r>
      <w:r>
        <w:rPr>
          <w:rFonts w:ascii="宋体" w:hAnsi="宋体" w:eastAsia="宋体" w:cs="宋体"/>
          <w:spacing w:val="-2"/>
          <w:sz w:val="27"/>
          <w:szCs w:val="27"/>
        </w:rPr>
        <w:t>备研究院航空装备研究所，中航工业3</w:t>
      </w:r>
      <w:r>
        <w:rPr>
          <w:rFonts w:ascii="仿宋" w:hAnsi="仿宋" w:eastAsia="仿宋" w:cs="仿宋"/>
          <w:spacing w:val="-2"/>
          <w:sz w:val="27"/>
          <w:szCs w:val="27"/>
        </w:rPr>
        <w:t>01所、601所、607所、611所、628所、631</w:t>
      </w:r>
      <w:r>
        <w:rPr>
          <w:rFonts w:ascii="仿宋" w:hAnsi="仿宋" w:eastAsia="仿宋" w:cs="仿宋"/>
          <w:spacing w:val="14"/>
          <w:sz w:val="27"/>
          <w:szCs w:val="27"/>
        </w:rPr>
        <w:t xml:space="preserve"> </w:t>
      </w:r>
      <w:r>
        <w:rPr>
          <w:rFonts w:ascii="宋体" w:hAnsi="宋体" w:eastAsia="宋体" w:cs="宋体"/>
          <w:spacing w:val="1"/>
          <w:sz w:val="27"/>
          <w:szCs w:val="27"/>
        </w:rPr>
        <w:t>所，中国电子科技集团公司10所、20所、28所，国营712厂等单位领导和专家的</w:t>
      </w:r>
      <w:r>
        <w:rPr>
          <w:rFonts w:ascii="宋体" w:hAnsi="宋体" w:eastAsia="宋体" w:cs="宋体"/>
          <w:spacing w:val="16"/>
          <w:sz w:val="27"/>
          <w:szCs w:val="27"/>
        </w:rPr>
        <w:t xml:space="preserve"> </w:t>
      </w:r>
      <w:r>
        <w:rPr>
          <w:rFonts w:ascii="宋体" w:hAnsi="宋体" w:eastAsia="宋体" w:cs="宋体"/>
          <w:spacing w:val="-17"/>
          <w:sz w:val="27"/>
          <w:szCs w:val="27"/>
        </w:rPr>
        <w:t>帮助。在本书编写过程中，张令波、贾志波、王永胜、刘晓东、李冬炜、纪敦、徐凤</w:t>
      </w:r>
      <w:r>
        <w:rPr>
          <w:rFonts w:ascii="宋体" w:hAnsi="宋体" w:eastAsia="宋体" w:cs="宋体"/>
          <w:spacing w:val="1"/>
          <w:sz w:val="27"/>
          <w:szCs w:val="27"/>
        </w:rPr>
        <w:t xml:space="preserve">  </w:t>
      </w:r>
      <w:r>
        <w:rPr>
          <w:rFonts w:ascii="宋体" w:hAnsi="宋体" w:eastAsia="宋体" w:cs="宋体"/>
          <w:spacing w:val="-23"/>
          <w:sz w:val="27"/>
          <w:szCs w:val="27"/>
        </w:rPr>
        <w:t>金、葛莉、董欧、李红军、黄勃等同志给予了支持</w:t>
      </w:r>
      <w:r>
        <w:rPr>
          <w:rFonts w:ascii="宋体" w:hAnsi="宋体" w:eastAsia="宋体" w:cs="宋体"/>
          <w:spacing w:val="-24"/>
          <w:sz w:val="27"/>
          <w:szCs w:val="27"/>
        </w:rPr>
        <w:t>帮助，陈国华、孙超英、侯建、全力</w:t>
      </w:r>
      <w:r>
        <w:rPr>
          <w:rFonts w:ascii="宋体" w:hAnsi="宋体" w:eastAsia="宋体" w:cs="宋体"/>
          <w:sz w:val="27"/>
          <w:szCs w:val="27"/>
        </w:rPr>
        <w:t xml:space="preserve"> </w:t>
      </w:r>
      <w:r>
        <w:rPr>
          <w:rFonts w:ascii="宋体" w:hAnsi="宋体" w:eastAsia="宋体" w:cs="宋体"/>
          <w:spacing w:val="-30"/>
          <w:sz w:val="27"/>
          <w:szCs w:val="27"/>
        </w:rPr>
        <w:t>民、吕俊启、董蕙茹、徐兵、杜振华、林干、陈强、张金华、杜春、祝耀昌、黄永葵、潘</w:t>
      </w:r>
      <w:r>
        <w:rPr>
          <w:rFonts w:ascii="宋体" w:hAnsi="宋体" w:eastAsia="宋体" w:cs="宋体"/>
          <w:sz w:val="27"/>
          <w:szCs w:val="27"/>
        </w:rPr>
        <w:t xml:space="preserve">  </w:t>
      </w:r>
      <w:r>
        <w:rPr>
          <w:rFonts w:ascii="宋体" w:hAnsi="宋体" w:eastAsia="宋体" w:cs="宋体"/>
          <w:spacing w:val="-27"/>
          <w:sz w:val="27"/>
          <w:szCs w:val="27"/>
        </w:rPr>
        <w:t>华、程丛高、王欣、王光芦、曾相戈、吕娟、孙建勇、张宝珍、代为群、王海峰、胡权、</w:t>
      </w:r>
      <w:r>
        <w:rPr>
          <w:rFonts w:ascii="宋体" w:hAnsi="宋体" w:eastAsia="宋体" w:cs="宋体"/>
          <w:spacing w:val="6"/>
          <w:sz w:val="27"/>
          <w:szCs w:val="27"/>
        </w:rPr>
        <w:t xml:space="preserve"> </w:t>
      </w:r>
      <w:r>
        <w:rPr>
          <w:rFonts w:ascii="宋体" w:hAnsi="宋体" w:eastAsia="宋体" w:cs="宋体"/>
          <w:spacing w:val="-24"/>
          <w:sz w:val="27"/>
          <w:szCs w:val="27"/>
        </w:rPr>
        <w:t>邓明春、许平、卢建川、王涛、麻建朝、沈伟平、肖鹏、赵明、王利泉等同志提出了宝</w:t>
      </w:r>
      <w:r>
        <w:rPr>
          <w:rFonts w:ascii="宋体" w:hAnsi="宋体" w:eastAsia="宋体" w:cs="宋体"/>
          <w:spacing w:val="8"/>
          <w:sz w:val="27"/>
          <w:szCs w:val="27"/>
        </w:rPr>
        <w:t xml:space="preserve">  </w:t>
      </w:r>
      <w:r>
        <w:rPr>
          <w:rFonts w:ascii="宋体" w:hAnsi="宋体" w:eastAsia="宋体" w:cs="宋体"/>
          <w:spacing w:val="-5"/>
          <w:sz w:val="27"/>
          <w:szCs w:val="27"/>
        </w:rPr>
        <w:t>贵的意见和建议，在此一并表示衷心感谢。</w:t>
      </w:r>
    </w:p>
    <w:p w14:paraId="77C1C5F9">
      <w:pPr>
        <w:spacing w:line="307" w:lineRule="auto"/>
        <w:rPr>
          <w:rFonts w:ascii="宋体" w:hAnsi="宋体" w:eastAsia="宋体" w:cs="宋体"/>
          <w:sz w:val="27"/>
          <w:szCs w:val="27"/>
        </w:rPr>
        <w:sectPr>
          <w:footerReference r:id="rId9" w:type="default"/>
          <w:pgSz w:w="11910" w:h="17130"/>
          <w:pgMar w:top="400" w:right="1285" w:bottom="1762" w:left="1140" w:header="0" w:footer="1513" w:gutter="0"/>
          <w:cols w:space="720" w:num="1"/>
        </w:sectPr>
      </w:pPr>
    </w:p>
    <w:p w14:paraId="397733B9">
      <w:pPr>
        <w:pStyle w:val="2"/>
        <w:spacing w:line="273" w:lineRule="auto"/>
      </w:pPr>
    </w:p>
    <w:p w14:paraId="5D16CF94">
      <w:pPr>
        <w:pStyle w:val="2"/>
        <w:spacing w:line="273" w:lineRule="auto"/>
      </w:pPr>
    </w:p>
    <w:p w14:paraId="274C2349">
      <w:pPr>
        <w:pStyle w:val="2"/>
        <w:spacing w:line="273" w:lineRule="auto"/>
      </w:pPr>
    </w:p>
    <w:p w14:paraId="61FCFF25">
      <w:pPr>
        <w:pStyle w:val="2"/>
        <w:spacing w:line="274" w:lineRule="auto"/>
      </w:pPr>
    </w:p>
    <w:p w14:paraId="0B5F8362">
      <w:pPr>
        <w:spacing w:before="88" w:line="302" w:lineRule="auto"/>
        <w:ind w:firstLine="560"/>
        <w:jc w:val="both"/>
        <w:rPr>
          <w:rFonts w:ascii="宋体" w:hAnsi="宋体" w:eastAsia="宋体" w:cs="宋体"/>
          <w:sz w:val="27"/>
          <w:szCs w:val="27"/>
        </w:rPr>
      </w:pPr>
      <w:r>
        <w:rPr>
          <w:rFonts w:ascii="宋体" w:hAnsi="宋体" w:eastAsia="宋体" w:cs="宋体"/>
          <w:spacing w:val="6"/>
          <w:sz w:val="27"/>
          <w:szCs w:val="27"/>
        </w:rPr>
        <w:t>本书适用于从事军工产品论证验证人员、研制生产</w:t>
      </w:r>
      <w:r>
        <w:rPr>
          <w:rFonts w:ascii="宋体" w:hAnsi="宋体" w:eastAsia="宋体" w:cs="宋体"/>
          <w:spacing w:val="5"/>
          <w:sz w:val="27"/>
          <w:szCs w:val="27"/>
        </w:rPr>
        <w:t>人员、型号管理人员使</w:t>
      </w:r>
      <w:r>
        <w:rPr>
          <w:rFonts w:ascii="宋体" w:hAnsi="宋体" w:eastAsia="宋体" w:cs="宋体"/>
          <w:sz w:val="27"/>
          <w:szCs w:val="27"/>
        </w:rPr>
        <w:t xml:space="preserve"> </w:t>
      </w:r>
      <w:r>
        <w:rPr>
          <w:rFonts w:ascii="宋体" w:hAnsi="宋体" w:eastAsia="宋体" w:cs="宋体"/>
          <w:spacing w:val="6"/>
          <w:sz w:val="27"/>
          <w:szCs w:val="27"/>
        </w:rPr>
        <w:t>用。值得强调的是，作者的初衷和期望是读者通过使用本书完善军工产品研制</w:t>
      </w:r>
      <w:r>
        <w:rPr>
          <w:rFonts w:ascii="宋体" w:hAnsi="宋体" w:eastAsia="宋体" w:cs="宋体"/>
          <w:spacing w:val="8"/>
          <w:sz w:val="27"/>
          <w:szCs w:val="27"/>
        </w:rPr>
        <w:t xml:space="preserve"> </w:t>
      </w:r>
      <w:r>
        <w:rPr>
          <w:rFonts w:ascii="宋体" w:hAnsi="宋体" w:eastAsia="宋体" w:cs="宋体"/>
          <w:spacing w:val="5"/>
          <w:sz w:val="27"/>
          <w:szCs w:val="27"/>
        </w:rPr>
        <w:t>工作，同时撰写出高水平的技术文件。作者期望本书的出版能够为广大读者提</w:t>
      </w:r>
      <w:r>
        <w:rPr>
          <w:rFonts w:ascii="宋体" w:hAnsi="宋体" w:eastAsia="宋体" w:cs="宋体"/>
          <w:sz w:val="27"/>
          <w:szCs w:val="27"/>
        </w:rPr>
        <w:t xml:space="preserve"> </w:t>
      </w:r>
      <w:r>
        <w:rPr>
          <w:rFonts w:ascii="宋体" w:hAnsi="宋体" w:eastAsia="宋体" w:cs="宋体"/>
          <w:spacing w:val="2"/>
          <w:sz w:val="27"/>
          <w:szCs w:val="27"/>
        </w:rPr>
        <w:t>供有益的参考。</w:t>
      </w:r>
    </w:p>
    <w:p w14:paraId="034DDB76">
      <w:pPr>
        <w:spacing w:before="6" w:line="285" w:lineRule="auto"/>
        <w:ind w:right="10" w:firstLine="600"/>
        <w:rPr>
          <w:rFonts w:ascii="宋体" w:hAnsi="宋体" w:eastAsia="宋体" w:cs="宋体"/>
          <w:sz w:val="27"/>
          <w:szCs w:val="27"/>
        </w:rPr>
      </w:pPr>
      <w:r>
        <w:rPr>
          <w:rFonts w:ascii="宋体" w:hAnsi="宋体" w:eastAsia="宋体" w:cs="宋体"/>
          <w:spacing w:val="-4"/>
          <w:sz w:val="27"/>
          <w:szCs w:val="27"/>
        </w:rPr>
        <w:t>由于作者水平所限，缺点和不足在所难免，欢迎批评指正。修改意见和建议</w:t>
      </w:r>
      <w:r>
        <w:rPr>
          <w:rFonts w:ascii="宋体" w:hAnsi="宋体" w:eastAsia="宋体" w:cs="宋体"/>
          <w:spacing w:val="3"/>
          <w:sz w:val="27"/>
          <w:szCs w:val="27"/>
        </w:rPr>
        <w:t xml:space="preserve"> </w:t>
      </w:r>
      <w:r>
        <w:rPr>
          <w:rFonts w:ascii="宋体" w:hAnsi="宋体" w:eastAsia="宋体" w:cs="宋体"/>
          <w:spacing w:val="14"/>
          <w:sz w:val="27"/>
          <w:szCs w:val="27"/>
        </w:rPr>
        <w:t>请寄至</w:t>
      </w:r>
      <w:r>
        <w:rPr>
          <w:rFonts w:ascii="Times New Roman" w:hAnsi="Times New Roman" w:eastAsia="Times New Roman" w:cs="Times New Roman"/>
          <w:sz w:val="27"/>
          <w:szCs w:val="27"/>
        </w:rPr>
        <w:t>wenhuamei</w:t>
      </w:r>
      <w:r>
        <w:rPr>
          <w:rFonts w:ascii="Times New Roman" w:hAnsi="Times New Roman" w:eastAsia="Times New Roman" w:cs="Times New Roman"/>
          <w:spacing w:val="14"/>
          <w:sz w:val="27"/>
          <w:szCs w:val="27"/>
        </w:rPr>
        <w:t>@</w:t>
      </w:r>
      <w:r>
        <w:rPr>
          <w:rFonts w:ascii="Times New Roman" w:hAnsi="Times New Roman" w:eastAsia="Times New Roman" w:cs="Times New Roman"/>
          <w:sz w:val="27"/>
          <w:szCs w:val="27"/>
        </w:rPr>
        <w:t>sina</w:t>
      </w:r>
      <w:r>
        <w:rPr>
          <w:rFonts w:ascii="Times New Roman" w:hAnsi="Times New Roman" w:eastAsia="Times New Roman" w:cs="Times New Roman"/>
          <w:spacing w:val="14"/>
          <w:sz w:val="27"/>
          <w:szCs w:val="27"/>
        </w:rPr>
        <w:t>.</w:t>
      </w:r>
      <w:r>
        <w:rPr>
          <w:rFonts w:ascii="Times New Roman" w:hAnsi="Times New Roman" w:eastAsia="Times New Roman" w:cs="Times New Roman"/>
          <w:sz w:val="27"/>
          <w:szCs w:val="27"/>
        </w:rPr>
        <w:t>com</w:t>
      </w:r>
      <w:r>
        <w:rPr>
          <w:rFonts w:ascii="宋体" w:hAnsi="宋体" w:eastAsia="宋体" w:cs="宋体"/>
          <w:spacing w:val="14"/>
          <w:sz w:val="27"/>
          <w:szCs w:val="27"/>
        </w:rPr>
        <w:t>。</w:t>
      </w:r>
    </w:p>
    <w:p w14:paraId="12C0B1C0">
      <w:pPr>
        <w:pStyle w:val="2"/>
        <w:spacing w:line="270" w:lineRule="auto"/>
      </w:pPr>
    </w:p>
    <w:p w14:paraId="2A86A455">
      <w:pPr>
        <w:pStyle w:val="2"/>
        <w:spacing w:line="270" w:lineRule="auto"/>
      </w:pPr>
    </w:p>
    <w:p w14:paraId="7E90A840">
      <w:pPr>
        <w:pStyle w:val="2"/>
        <w:spacing w:line="270" w:lineRule="auto"/>
      </w:pPr>
    </w:p>
    <w:p w14:paraId="4B15D577">
      <w:pPr>
        <w:pStyle w:val="2"/>
        <w:spacing w:line="270" w:lineRule="auto"/>
      </w:pPr>
    </w:p>
    <w:p w14:paraId="3A7C6B1A">
      <w:pPr>
        <w:spacing w:before="114" w:line="229" w:lineRule="auto"/>
        <w:ind w:left="7289"/>
        <w:rPr>
          <w:rFonts w:ascii="楷体" w:hAnsi="楷体" w:eastAsia="楷体" w:cs="楷体"/>
          <w:sz w:val="35"/>
          <w:szCs w:val="35"/>
        </w:rPr>
      </w:pPr>
      <w:r>
        <w:rPr>
          <w:rFonts w:ascii="楷体" w:hAnsi="楷体" w:eastAsia="楷体" w:cs="楷体"/>
          <w:spacing w:val="-10"/>
          <w:sz w:val="35"/>
          <w:szCs w:val="35"/>
        </w:rPr>
        <w:t>编</w:t>
      </w:r>
      <w:r>
        <w:rPr>
          <w:rFonts w:ascii="楷体" w:hAnsi="楷体" w:eastAsia="楷体" w:cs="楷体"/>
          <w:spacing w:val="73"/>
          <w:sz w:val="35"/>
          <w:szCs w:val="35"/>
        </w:rPr>
        <w:t xml:space="preserve"> </w:t>
      </w:r>
      <w:r>
        <w:rPr>
          <w:rFonts w:ascii="楷体" w:hAnsi="楷体" w:eastAsia="楷体" w:cs="楷体"/>
          <w:spacing w:val="-10"/>
          <w:sz w:val="35"/>
          <w:szCs w:val="35"/>
        </w:rPr>
        <w:t>者</w:t>
      </w:r>
    </w:p>
    <w:p w14:paraId="5809196C">
      <w:pPr>
        <w:spacing w:before="167" w:line="222" w:lineRule="auto"/>
        <w:ind w:left="6690"/>
        <w:rPr>
          <w:rFonts w:ascii="仿宋" w:hAnsi="仿宋" w:eastAsia="仿宋" w:cs="仿宋"/>
          <w:sz w:val="24"/>
          <w:szCs w:val="24"/>
        </w:rPr>
      </w:pPr>
      <w:r>
        <w:rPr>
          <w:rFonts w:ascii="仿宋" w:hAnsi="仿宋" w:eastAsia="仿宋" w:cs="仿宋"/>
          <w:spacing w:val="-16"/>
          <w:sz w:val="24"/>
          <w:szCs w:val="24"/>
        </w:rPr>
        <w:t>2</w:t>
      </w:r>
      <w:r>
        <w:rPr>
          <w:rFonts w:ascii="仿宋" w:hAnsi="仿宋" w:eastAsia="仿宋" w:cs="仿宋"/>
          <w:spacing w:val="-46"/>
          <w:sz w:val="24"/>
          <w:szCs w:val="24"/>
        </w:rPr>
        <w:t xml:space="preserve"> </w:t>
      </w:r>
      <w:r>
        <w:rPr>
          <w:rFonts w:ascii="仿宋" w:hAnsi="仿宋" w:eastAsia="仿宋" w:cs="仿宋"/>
          <w:spacing w:val="-16"/>
          <w:sz w:val="24"/>
          <w:szCs w:val="24"/>
        </w:rPr>
        <w:t>0</w:t>
      </w:r>
      <w:r>
        <w:rPr>
          <w:rFonts w:ascii="仿宋" w:hAnsi="仿宋" w:eastAsia="仿宋" w:cs="仿宋"/>
          <w:spacing w:val="-31"/>
          <w:sz w:val="24"/>
          <w:szCs w:val="24"/>
        </w:rPr>
        <w:t xml:space="preserve"> </w:t>
      </w:r>
      <w:r>
        <w:rPr>
          <w:rFonts w:ascii="仿宋" w:hAnsi="仿宋" w:eastAsia="仿宋" w:cs="仿宋"/>
          <w:spacing w:val="-16"/>
          <w:sz w:val="24"/>
          <w:szCs w:val="24"/>
        </w:rPr>
        <w:t>1</w:t>
      </w:r>
      <w:r>
        <w:rPr>
          <w:rFonts w:ascii="仿宋" w:hAnsi="仿宋" w:eastAsia="仿宋" w:cs="仿宋"/>
          <w:spacing w:val="-31"/>
          <w:sz w:val="24"/>
          <w:szCs w:val="24"/>
        </w:rPr>
        <w:t xml:space="preserve"> </w:t>
      </w:r>
      <w:r>
        <w:rPr>
          <w:rFonts w:ascii="仿宋" w:hAnsi="仿宋" w:eastAsia="仿宋" w:cs="仿宋"/>
          <w:spacing w:val="-16"/>
          <w:sz w:val="24"/>
          <w:szCs w:val="24"/>
        </w:rPr>
        <w:t>1</w:t>
      </w:r>
      <w:r>
        <w:rPr>
          <w:rFonts w:ascii="仿宋" w:hAnsi="仿宋" w:eastAsia="仿宋" w:cs="仿宋"/>
          <w:spacing w:val="-36"/>
          <w:sz w:val="24"/>
          <w:szCs w:val="24"/>
        </w:rPr>
        <w:t xml:space="preserve"> </w:t>
      </w:r>
      <w:r>
        <w:rPr>
          <w:rFonts w:ascii="仿宋" w:hAnsi="仿宋" w:eastAsia="仿宋" w:cs="仿宋"/>
          <w:spacing w:val="-16"/>
          <w:sz w:val="24"/>
          <w:szCs w:val="24"/>
        </w:rPr>
        <w:t>年</w:t>
      </w:r>
      <w:r>
        <w:rPr>
          <w:rFonts w:ascii="仿宋" w:hAnsi="仿宋" w:eastAsia="仿宋" w:cs="仿宋"/>
          <w:spacing w:val="-44"/>
          <w:sz w:val="24"/>
          <w:szCs w:val="24"/>
        </w:rPr>
        <w:t xml:space="preserve"> </w:t>
      </w:r>
      <w:r>
        <w:rPr>
          <w:rFonts w:ascii="仿宋" w:hAnsi="仿宋" w:eastAsia="仿宋" w:cs="仿宋"/>
          <w:spacing w:val="-16"/>
          <w:sz w:val="24"/>
          <w:szCs w:val="24"/>
        </w:rPr>
        <w:t>5</w:t>
      </w:r>
      <w:r>
        <w:rPr>
          <w:rFonts w:ascii="仿宋" w:hAnsi="仿宋" w:eastAsia="仿宋" w:cs="仿宋"/>
          <w:spacing w:val="-30"/>
          <w:sz w:val="24"/>
          <w:szCs w:val="24"/>
        </w:rPr>
        <w:t xml:space="preserve"> </w:t>
      </w:r>
      <w:r>
        <w:rPr>
          <w:rFonts w:ascii="仿宋" w:hAnsi="仿宋" w:eastAsia="仿宋" w:cs="仿宋"/>
          <w:spacing w:val="-16"/>
          <w:sz w:val="24"/>
          <w:szCs w:val="24"/>
        </w:rPr>
        <w:t>月</w:t>
      </w:r>
      <w:r>
        <w:rPr>
          <w:rFonts w:ascii="仿宋" w:hAnsi="仿宋" w:eastAsia="仿宋" w:cs="仿宋"/>
          <w:spacing w:val="-43"/>
          <w:sz w:val="24"/>
          <w:szCs w:val="24"/>
        </w:rPr>
        <w:t xml:space="preserve"> </w:t>
      </w:r>
      <w:r>
        <w:rPr>
          <w:rFonts w:ascii="仿宋" w:hAnsi="仿宋" w:eastAsia="仿宋" w:cs="仿宋"/>
          <w:spacing w:val="-16"/>
          <w:sz w:val="24"/>
          <w:szCs w:val="24"/>
        </w:rPr>
        <w:t>3</w:t>
      </w:r>
      <w:r>
        <w:rPr>
          <w:rFonts w:ascii="仿宋" w:hAnsi="仿宋" w:eastAsia="仿宋" w:cs="仿宋"/>
          <w:spacing w:val="-47"/>
          <w:sz w:val="24"/>
          <w:szCs w:val="24"/>
        </w:rPr>
        <w:t xml:space="preserve"> </w:t>
      </w:r>
      <w:r>
        <w:rPr>
          <w:rFonts w:ascii="仿宋" w:hAnsi="仿宋" w:eastAsia="仿宋" w:cs="仿宋"/>
          <w:spacing w:val="-16"/>
          <w:sz w:val="24"/>
          <w:szCs w:val="24"/>
        </w:rPr>
        <w:t>0</w:t>
      </w:r>
      <w:r>
        <w:rPr>
          <w:rFonts w:ascii="仿宋" w:hAnsi="仿宋" w:eastAsia="仿宋" w:cs="仿宋"/>
          <w:spacing w:val="10"/>
          <w:sz w:val="24"/>
          <w:szCs w:val="24"/>
        </w:rPr>
        <w:t xml:space="preserve"> </w:t>
      </w:r>
      <w:r>
        <w:rPr>
          <w:rFonts w:ascii="仿宋" w:hAnsi="仿宋" w:eastAsia="仿宋" w:cs="仿宋"/>
          <w:spacing w:val="-16"/>
          <w:sz w:val="24"/>
          <w:szCs w:val="24"/>
        </w:rPr>
        <w:t>日</w:t>
      </w:r>
    </w:p>
    <w:p w14:paraId="1D3DFA83">
      <w:pPr>
        <w:spacing w:line="222" w:lineRule="auto"/>
        <w:rPr>
          <w:rFonts w:ascii="仿宋" w:hAnsi="仿宋" w:eastAsia="仿宋" w:cs="仿宋"/>
          <w:sz w:val="24"/>
          <w:szCs w:val="24"/>
        </w:rPr>
        <w:sectPr>
          <w:footerReference r:id="rId10" w:type="default"/>
          <w:pgSz w:w="11910" w:h="17130"/>
          <w:pgMar w:top="400" w:right="997" w:bottom="1579" w:left="1519" w:header="0" w:footer="1295" w:gutter="0"/>
          <w:cols w:space="720" w:num="1"/>
        </w:sectPr>
      </w:pPr>
    </w:p>
    <w:p w14:paraId="7684D5CF">
      <w:pPr>
        <w:pStyle w:val="2"/>
        <w:spacing w:line="243" w:lineRule="auto"/>
      </w:pPr>
    </w:p>
    <w:p w14:paraId="7FD30133">
      <w:pPr>
        <w:pStyle w:val="2"/>
        <w:spacing w:line="243" w:lineRule="auto"/>
      </w:pPr>
    </w:p>
    <w:p w14:paraId="509071DD">
      <w:pPr>
        <w:pStyle w:val="2"/>
        <w:spacing w:line="244" w:lineRule="auto"/>
      </w:pPr>
    </w:p>
    <w:p w14:paraId="3258C325">
      <w:pPr>
        <w:pStyle w:val="2"/>
        <w:spacing w:line="244" w:lineRule="auto"/>
      </w:pPr>
    </w:p>
    <w:p w14:paraId="0509CD67">
      <w:pPr>
        <w:pStyle w:val="2"/>
        <w:spacing w:line="244" w:lineRule="auto"/>
      </w:pPr>
    </w:p>
    <w:p w14:paraId="2D049165">
      <w:pPr>
        <w:pStyle w:val="2"/>
        <w:spacing w:line="244" w:lineRule="auto"/>
      </w:pPr>
    </w:p>
    <w:p w14:paraId="5012FD87">
      <w:pPr>
        <w:pStyle w:val="2"/>
        <w:spacing w:line="244" w:lineRule="auto"/>
      </w:pPr>
    </w:p>
    <w:p w14:paraId="2356684A">
      <w:pPr>
        <w:pStyle w:val="2"/>
        <w:spacing w:line="244" w:lineRule="auto"/>
      </w:pPr>
    </w:p>
    <w:p w14:paraId="34F2371D">
      <w:pPr>
        <w:pStyle w:val="2"/>
        <w:spacing w:line="244" w:lineRule="auto"/>
      </w:pPr>
    </w:p>
    <w:sdt>
      <w:sdtPr>
        <w:rPr>
          <w:rFonts w:ascii="黑体" w:hAnsi="黑体" w:eastAsia="黑体" w:cs="黑体"/>
          <w:sz w:val="40"/>
          <w:szCs w:val="40"/>
        </w:rPr>
        <w:id w:val="147476648"/>
        <w:docPartObj>
          <w:docPartGallery w:val="Table of Contents"/>
          <w:docPartUnique/>
        </w:docPartObj>
      </w:sdtPr>
      <w:sdtEndPr>
        <w:rPr>
          <w:rFonts w:ascii="Arial" w:hAnsi="Arial" w:eastAsia="Arial" w:cs="Arial"/>
          <w:sz w:val="27"/>
          <w:szCs w:val="27"/>
        </w:rPr>
      </w:sdtEndPr>
      <w:sdtContent>
        <w:p w14:paraId="3B3813B7">
          <w:pPr>
            <w:spacing w:before="130" w:line="222" w:lineRule="auto"/>
            <w:ind w:left="4125"/>
            <w:rPr>
              <w:rFonts w:ascii="黑体" w:hAnsi="黑体" w:eastAsia="黑体" w:cs="黑体"/>
              <w:sz w:val="40"/>
              <w:szCs w:val="40"/>
            </w:rPr>
          </w:pPr>
          <w:bookmarkStart w:id="0" w:name="bookmark1"/>
          <w:bookmarkEnd w:id="0"/>
          <w:r>
            <w:rPr>
              <w:rFonts w:ascii="黑体" w:hAnsi="黑体" w:eastAsia="黑体" w:cs="黑体"/>
              <w:b/>
              <w:bCs/>
              <w:color w:val="504040"/>
              <w:spacing w:val="-38"/>
              <w:sz w:val="40"/>
              <w:szCs w:val="40"/>
            </w:rPr>
            <w:t>目</w:t>
          </w:r>
          <w:r>
            <w:rPr>
              <w:rFonts w:ascii="黑体" w:hAnsi="黑体" w:eastAsia="黑体" w:cs="黑体"/>
              <w:color w:val="504040"/>
              <w:spacing w:val="23"/>
              <w:sz w:val="40"/>
              <w:szCs w:val="40"/>
            </w:rPr>
            <w:t xml:space="preserve">  </w:t>
          </w:r>
          <w:r>
            <w:rPr>
              <w:rFonts w:ascii="黑体" w:hAnsi="黑体" w:eastAsia="黑体" w:cs="黑体"/>
              <w:b/>
              <w:bCs/>
              <w:spacing w:val="-38"/>
              <w:sz w:val="40"/>
              <w:szCs w:val="40"/>
            </w:rPr>
            <w:t>录</w:t>
          </w:r>
        </w:p>
        <w:p w14:paraId="280ED034">
          <w:pPr>
            <w:pStyle w:val="2"/>
            <w:spacing w:line="272" w:lineRule="auto"/>
          </w:pPr>
        </w:p>
        <w:p w14:paraId="0E90DC95">
          <w:pPr>
            <w:pStyle w:val="2"/>
            <w:spacing w:line="272" w:lineRule="auto"/>
          </w:pPr>
        </w:p>
        <w:p w14:paraId="468C66CA">
          <w:pPr>
            <w:pStyle w:val="2"/>
            <w:spacing w:line="272" w:lineRule="auto"/>
          </w:pPr>
        </w:p>
        <w:p w14:paraId="59AC9583">
          <w:pPr>
            <w:pStyle w:val="2"/>
            <w:tabs>
              <w:tab w:val="right" w:leader="dot" w:pos="9380"/>
            </w:tabs>
            <w:spacing w:before="77" w:line="205" w:lineRule="auto"/>
            <w:rPr>
              <w:sz w:val="27"/>
              <w:szCs w:val="27"/>
            </w:rPr>
          </w:pPr>
          <w:r>
            <w:fldChar w:fldCharType="begin"/>
          </w:r>
          <w:r>
            <w:instrText xml:space="preserve"> HYPERLINK \l "bookmark2" </w:instrText>
          </w:r>
          <w:r>
            <w:fldChar w:fldCharType="separate"/>
          </w:r>
          <w:r>
            <w:rPr>
              <w:rFonts w:ascii="黑体" w:hAnsi="黑体" w:eastAsia="黑体" w:cs="黑体"/>
              <w:spacing w:val="-9"/>
              <w:sz w:val="23"/>
              <w:szCs w:val="23"/>
            </w:rPr>
            <w:t>第</w:t>
          </w:r>
          <w:r>
            <w:rPr>
              <w:rFonts w:ascii="黑体" w:hAnsi="黑体" w:eastAsia="黑体" w:cs="黑体"/>
              <w:spacing w:val="26"/>
              <w:sz w:val="23"/>
              <w:szCs w:val="23"/>
            </w:rPr>
            <w:t xml:space="preserve"> </w:t>
          </w:r>
          <w:r>
            <w:rPr>
              <w:rFonts w:ascii="黑体" w:hAnsi="黑体" w:eastAsia="黑体" w:cs="黑体"/>
              <w:spacing w:val="-9"/>
              <w:sz w:val="23"/>
              <w:szCs w:val="23"/>
            </w:rPr>
            <w:t>1 章</w:t>
          </w:r>
          <w:r>
            <w:rPr>
              <w:rFonts w:ascii="黑体" w:hAnsi="黑体" w:eastAsia="黑体" w:cs="黑体"/>
              <w:spacing w:val="81"/>
              <w:sz w:val="23"/>
              <w:szCs w:val="23"/>
            </w:rPr>
            <w:t xml:space="preserve"> </w:t>
          </w:r>
          <w:r>
            <w:rPr>
              <w:rFonts w:ascii="黑体" w:hAnsi="黑体" w:eastAsia="黑体" w:cs="黑体"/>
              <w:spacing w:val="-9"/>
              <w:sz w:val="23"/>
              <w:szCs w:val="23"/>
            </w:rPr>
            <w:t>一</w:t>
          </w:r>
          <w:r>
            <w:rPr>
              <w:rFonts w:ascii="黑体" w:hAnsi="黑体" w:eastAsia="黑体" w:cs="黑体"/>
              <w:spacing w:val="-29"/>
              <w:sz w:val="23"/>
              <w:szCs w:val="23"/>
            </w:rPr>
            <w:t xml:space="preserve"> </w:t>
          </w:r>
          <w:r>
            <w:rPr>
              <w:rFonts w:ascii="黑体" w:hAnsi="黑体" w:eastAsia="黑体" w:cs="黑体"/>
              <w:spacing w:val="-9"/>
              <w:sz w:val="23"/>
              <w:szCs w:val="23"/>
            </w:rPr>
            <w:t>般</w:t>
          </w:r>
          <w:r>
            <w:rPr>
              <w:rFonts w:ascii="黑体" w:hAnsi="黑体" w:eastAsia="黑体" w:cs="黑体"/>
              <w:spacing w:val="-28"/>
              <w:sz w:val="23"/>
              <w:szCs w:val="23"/>
            </w:rPr>
            <w:t xml:space="preserve"> </w:t>
          </w:r>
          <w:r>
            <w:rPr>
              <w:rFonts w:ascii="黑体" w:hAnsi="黑体" w:eastAsia="黑体" w:cs="黑体"/>
              <w:spacing w:val="-9"/>
              <w:sz w:val="23"/>
              <w:szCs w:val="23"/>
            </w:rPr>
            <w:t>过</w:t>
          </w:r>
          <w:r>
            <w:rPr>
              <w:rFonts w:ascii="黑体" w:hAnsi="黑体" w:eastAsia="黑体" w:cs="黑体"/>
              <w:spacing w:val="-30"/>
              <w:sz w:val="23"/>
              <w:szCs w:val="23"/>
            </w:rPr>
            <w:t xml:space="preserve"> </w:t>
          </w:r>
          <w:r>
            <w:rPr>
              <w:rFonts w:ascii="黑体" w:hAnsi="黑体" w:eastAsia="黑体" w:cs="黑体"/>
              <w:spacing w:val="-9"/>
              <w:sz w:val="23"/>
              <w:szCs w:val="23"/>
            </w:rPr>
            <w:t>程</w:t>
          </w:r>
          <w:r>
            <w:rPr>
              <w:rFonts w:ascii="黑体" w:hAnsi="黑体" w:eastAsia="黑体" w:cs="黑体"/>
              <w:spacing w:val="-25"/>
              <w:sz w:val="23"/>
              <w:szCs w:val="23"/>
            </w:rPr>
            <w:t xml:space="preserve"> </w:t>
          </w:r>
          <w:r>
            <w:rPr>
              <w:rFonts w:ascii="黑体" w:hAnsi="黑体" w:eastAsia="黑体" w:cs="黑体"/>
              <w:spacing w:val="-9"/>
              <w:sz w:val="23"/>
              <w:szCs w:val="23"/>
            </w:rPr>
            <w:t>文</w:t>
          </w:r>
          <w:r>
            <w:rPr>
              <w:rFonts w:ascii="黑体" w:hAnsi="黑体" w:eastAsia="黑体" w:cs="黑体"/>
              <w:spacing w:val="-31"/>
              <w:sz w:val="23"/>
              <w:szCs w:val="23"/>
            </w:rPr>
            <w:t xml:space="preserve"> </w:t>
          </w:r>
          <w:r>
            <w:rPr>
              <w:rFonts w:ascii="黑体" w:hAnsi="黑体" w:eastAsia="黑体" w:cs="黑体"/>
              <w:spacing w:val="-9"/>
              <w:sz w:val="23"/>
              <w:szCs w:val="23"/>
            </w:rPr>
            <w:t>件</w:t>
          </w:r>
          <w:r>
            <w:rPr>
              <w:rFonts w:ascii="黑体" w:hAnsi="黑体" w:eastAsia="黑体" w:cs="黑体"/>
              <w:spacing w:val="-95"/>
              <w:sz w:val="23"/>
              <w:szCs w:val="23"/>
            </w:rPr>
            <w:t xml:space="preserve"> </w:t>
          </w:r>
          <w:r>
            <w:rPr>
              <w:rFonts w:ascii="黑体" w:hAnsi="黑体" w:eastAsia="黑体" w:cs="黑体"/>
              <w:sz w:val="23"/>
              <w:szCs w:val="23"/>
            </w:rPr>
            <w:tab/>
          </w:r>
          <w:r>
            <w:rPr>
              <w:rFonts w:ascii="黑体" w:hAnsi="黑体" w:eastAsia="黑体" w:cs="黑体"/>
              <w:spacing w:val="-38"/>
              <w:sz w:val="23"/>
              <w:szCs w:val="23"/>
            </w:rPr>
            <w:t xml:space="preserve"> </w:t>
          </w:r>
          <w:r>
            <w:rPr>
              <w:spacing w:val="-30"/>
              <w:sz w:val="27"/>
              <w:szCs w:val="27"/>
            </w:rPr>
            <w:t>1</w:t>
          </w:r>
          <w:r>
            <w:rPr>
              <w:spacing w:val="-30"/>
              <w:sz w:val="27"/>
              <w:szCs w:val="27"/>
            </w:rPr>
            <w:fldChar w:fldCharType="end"/>
          </w:r>
        </w:p>
        <w:p w14:paraId="208E1F6C">
          <w:pPr>
            <w:pStyle w:val="2"/>
            <w:tabs>
              <w:tab w:val="right" w:leader="dot" w:pos="9380"/>
            </w:tabs>
            <w:spacing w:before="84" w:line="222" w:lineRule="auto"/>
            <w:ind w:left="560"/>
            <w:rPr>
              <w:sz w:val="27"/>
              <w:szCs w:val="27"/>
            </w:rPr>
          </w:pPr>
          <w:r>
            <w:fldChar w:fldCharType="begin"/>
          </w:r>
          <w:r>
            <w:instrText xml:space="preserve"> HYPERLINK \l "bookmark3" </w:instrText>
          </w:r>
          <w:r>
            <w:fldChar w:fldCharType="separate"/>
          </w:r>
          <w:r>
            <w:rPr>
              <w:rFonts w:ascii="Times New Roman" w:hAnsi="Times New Roman" w:eastAsia="Times New Roman" w:cs="Times New Roman"/>
              <w:spacing w:val="-1"/>
              <w:sz w:val="27"/>
              <w:szCs w:val="27"/>
            </w:rPr>
            <w:t>1.1</w:t>
          </w:r>
          <w:r>
            <w:rPr>
              <w:rFonts w:ascii="Times New Roman" w:hAnsi="Times New Roman" w:eastAsia="Times New Roman" w:cs="Times New Roman"/>
              <w:spacing w:val="7"/>
              <w:sz w:val="27"/>
              <w:szCs w:val="27"/>
            </w:rPr>
            <w:t xml:space="preserve">     </w:t>
          </w:r>
          <w:r>
            <w:rPr>
              <w:rFonts w:ascii="仿宋" w:hAnsi="仿宋" w:eastAsia="仿宋" w:cs="仿宋"/>
              <w:spacing w:val="-1"/>
              <w:sz w:val="27"/>
              <w:szCs w:val="27"/>
            </w:rPr>
            <w:t>研制立项综合论证报告</w:t>
          </w:r>
          <w:r>
            <w:rPr>
              <w:rFonts w:ascii="仿宋" w:hAnsi="仿宋" w:eastAsia="仿宋" w:cs="仿宋"/>
              <w:spacing w:val="37"/>
              <w:sz w:val="27"/>
              <w:szCs w:val="27"/>
            </w:rPr>
            <w:t xml:space="preserve"> </w:t>
          </w:r>
          <w:r>
            <w:rPr>
              <w:rFonts w:ascii="仿宋" w:hAnsi="仿宋" w:eastAsia="仿宋" w:cs="仿宋"/>
              <w:sz w:val="27"/>
              <w:szCs w:val="27"/>
            </w:rPr>
            <w:tab/>
          </w:r>
          <w:r>
            <w:rPr>
              <w:spacing w:val="2"/>
              <w:sz w:val="27"/>
              <w:szCs w:val="27"/>
            </w:rPr>
            <w:t>1</w:t>
          </w:r>
          <w:r>
            <w:rPr>
              <w:spacing w:val="2"/>
              <w:sz w:val="27"/>
              <w:szCs w:val="27"/>
            </w:rPr>
            <w:fldChar w:fldCharType="end"/>
          </w:r>
        </w:p>
        <w:p w14:paraId="0C215CD2">
          <w:pPr>
            <w:pStyle w:val="2"/>
            <w:tabs>
              <w:tab w:val="right" w:leader="dot" w:pos="9347"/>
            </w:tabs>
            <w:spacing w:before="38" w:line="368" w:lineRule="exact"/>
            <w:ind w:left="560"/>
            <w:rPr>
              <w:sz w:val="27"/>
              <w:szCs w:val="27"/>
            </w:rPr>
          </w:pPr>
          <w:r>
            <w:fldChar w:fldCharType="begin"/>
          </w:r>
          <w:r>
            <w:instrText xml:space="preserve"> HYPERLINK \l "bookmark4" </w:instrText>
          </w:r>
          <w:r>
            <w:fldChar w:fldCharType="separate"/>
          </w:r>
          <w:r>
            <w:rPr>
              <w:rFonts w:ascii="Times New Roman" w:hAnsi="Times New Roman" w:eastAsia="Times New Roman" w:cs="Times New Roman"/>
              <w:spacing w:val="-2"/>
              <w:position w:val="1"/>
              <w:sz w:val="27"/>
              <w:szCs w:val="27"/>
            </w:rPr>
            <w:t>1.2</w:t>
          </w:r>
          <w:r>
            <w:rPr>
              <w:rFonts w:ascii="Times New Roman" w:hAnsi="Times New Roman" w:eastAsia="Times New Roman" w:cs="Times New Roman"/>
              <w:spacing w:val="7"/>
              <w:position w:val="1"/>
              <w:sz w:val="27"/>
              <w:szCs w:val="27"/>
            </w:rPr>
            <w:t xml:space="preserve">     </w:t>
          </w:r>
          <w:r>
            <w:rPr>
              <w:rFonts w:ascii="仿宋" w:hAnsi="仿宋" w:eastAsia="仿宋" w:cs="仿宋"/>
              <w:spacing w:val="-2"/>
              <w:position w:val="1"/>
              <w:sz w:val="27"/>
              <w:szCs w:val="27"/>
            </w:rPr>
            <w:t>招标书</w:t>
          </w:r>
          <w:r>
            <w:rPr>
              <w:rFonts w:ascii="仿宋" w:hAnsi="仿宋" w:eastAsia="仿宋" w:cs="仿宋"/>
              <w:position w:val="1"/>
              <w:sz w:val="27"/>
              <w:szCs w:val="27"/>
            </w:rPr>
            <w:tab/>
          </w:r>
          <w:r>
            <w:rPr>
              <w:spacing w:val="-17"/>
              <w:w w:val="83"/>
              <w:position w:val="1"/>
              <w:sz w:val="27"/>
              <w:szCs w:val="27"/>
            </w:rPr>
            <w:t>5</w:t>
          </w:r>
          <w:r>
            <w:rPr>
              <w:spacing w:val="-17"/>
              <w:w w:val="83"/>
              <w:position w:val="1"/>
              <w:sz w:val="27"/>
              <w:szCs w:val="27"/>
            </w:rPr>
            <w:fldChar w:fldCharType="end"/>
          </w:r>
        </w:p>
        <w:p w14:paraId="3B05B33A">
          <w:pPr>
            <w:pStyle w:val="2"/>
            <w:tabs>
              <w:tab w:val="right" w:leader="dot" w:pos="9369"/>
            </w:tabs>
            <w:spacing w:before="42" w:line="368" w:lineRule="exact"/>
            <w:ind w:left="560"/>
            <w:rPr>
              <w:sz w:val="27"/>
              <w:szCs w:val="27"/>
            </w:rPr>
          </w:pPr>
          <w:r>
            <w:fldChar w:fldCharType="begin"/>
          </w:r>
          <w:r>
            <w:instrText xml:space="preserve"> HYPERLINK \l "bookmark5" </w:instrText>
          </w:r>
          <w:r>
            <w:fldChar w:fldCharType="separate"/>
          </w:r>
          <w:r>
            <w:rPr>
              <w:rFonts w:ascii="Times New Roman" w:hAnsi="Times New Roman" w:eastAsia="Times New Roman" w:cs="Times New Roman"/>
              <w:spacing w:val="-9"/>
              <w:position w:val="1"/>
              <w:sz w:val="27"/>
              <w:szCs w:val="27"/>
            </w:rPr>
            <w:t>1.3</w:t>
          </w:r>
          <w:r>
            <w:rPr>
              <w:rFonts w:ascii="Times New Roman" w:hAnsi="Times New Roman" w:eastAsia="Times New Roman" w:cs="Times New Roman"/>
              <w:spacing w:val="10"/>
              <w:position w:val="1"/>
              <w:sz w:val="27"/>
              <w:szCs w:val="27"/>
            </w:rPr>
            <w:t xml:space="preserve">     </w:t>
          </w:r>
          <w:r>
            <w:rPr>
              <w:rFonts w:ascii="仿宋" w:hAnsi="仿宋" w:eastAsia="仿宋" w:cs="仿宋"/>
              <w:spacing w:val="-9"/>
              <w:position w:val="1"/>
              <w:sz w:val="27"/>
              <w:szCs w:val="27"/>
            </w:rPr>
            <w:t>投标书</w:t>
          </w:r>
          <w:r>
            <w:rPr>
              <w:rFonts w:ascii="仿宋" w:hAnsi="仿宋" w:eastAsia="仿宋" w:cs="仿宋"/>
              <w:spacing w:val="33"/>
              <w:position w:val="1"/>
              <w:sz w:val="27"/>
              <w:szCs w:val="27"/>
            </w:rPr>
            <w:t xml:space="preserve"> </w:t>
          </w:r>
          <w:r>
            <w:rPr>
              <w:rFonts w:ascii="仿宋" w:hAnsi="仿宋" w:eastAsia="仿宋" w:cs="仿宋"/>
              <w:position w:val="1"/>
              <w:sz w:val="27"/>
              <w:szCs w:val="27"/>
            </w:rPr>
            <w:tab/>
          </w:r>
          <w:r>
            <w:rPr>
              <w:position w:val="1"/>
              <w:sz w:val="27"/>
              <w:szCs w:val="27"/>
            </w:rPr>
            <w:t>8</w:t>
          </w:r>
          <w:r>
            <w:rPr>
              <w:position w:val="1"/>
              <w:sz w:val="27"/>
              <w:szCs w:val="27"/>
            </w:rPr>
            <w:fldChar w:fldCharType="end"/>
          </w:r>
        </w:p>
        <w:p w14:paraId="5D3D8674">
          <w:pPr>
            <w:pStyle w:val="2"/>
            <w:tabs>
              <w:tab w:val="right" w:leader="dot" w:pos="9357"/>
            </w:tabs>
            <w:spacing w:before="68" w:line="368" w:lineRule="exact"/>
            <w:ind w:left="560"/>
            <w:rPr>
              <w:sz w:val="27"/>
              <w:szCs w:val="27"/>
            </w:rPr>
          </w:pPr>
          <w:r>
            <w:fldChar w:fldCharType="begin"/>
          </w:r>
          <w:r>
            <w:instrText xml:space="preserve"> HYPERLINK \l "bookmark6" </w:instrText>
          </w:r>
          <w:r>
            <w:fldChar w:fldCharType="separate"/>
          </w:r>
          <w:r>
            <w:rPr>
              <w:rFonts w:ascii="Times New Roman" w:hAnsi="Times New Roman" w:eastAsia="Times New Roman" w:cs="Times New Roman"/>
              <w:spacing w:val="-1"/>
              <w:position w:val="2"/>
              <w:sz w:val="27"/>
              <w:szCs w:val="27"/>
            </w:rPr>
            <w:t>1.4</w:t>
          </w:r>
          <w:r>
            <w:rPr>
              <w:rFonts w:ascii="Times New Roman" w:hAnsi="Times New Roman" w:eastAsia="Times New Roman" w:cs="Times New Roman"/>
              <w:spacing w:val="10"/>
              <w:position w:val="2"/>
              <w:sz w:val="27"/>
              <w:szCs w:val="27"/>
            </w:rPr>
            <w:t xml:space="preserve">     </w:t>
          </w:r>
          <w:r>
            <w:rPr>
              <w:rFonts w:ascii="仿宋" w:hAnsi="仿宋" w:eastAsia="仿宋" w:cs="仿宋"/>
              <w:spacing w:val="-1"/>
              <w:position w:val="2"/>
              <w:sz w:val="27"/>
              <w:szCs w:val="27"/>
            </w:rPr>
            <w:t>可行性论证报告</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position w:val="2"/>
              <w:sz w:val="27"/>
              <w:szCs w:val="27"/>
            </w:rPr>
            <w:t>9</w:t>
          </w:r>
          <w:r>
            <w:rPr>
              <w:position w:val="2"/>
              <w:sz w:val="27"/>
              <w:szCs w:val="27"/>
            </w:rPr>
            <w:fldChar w:fldCharType="end"/>
          </w:r>
        </w:p>
        <w:p w14:paraId="517EC352">
          <w:pPr>
            <w:pStyle w:val="2"/>
            <w:tabs>
              <w:tab w:val="right" w:leader="dot" w:pos="9350"/>
            </w:tabs>
            <w:spacing w:before="71" w:line="220" w:lineRule="auto"/>
            <w:ind w:left="560"/>
            <w:rPr>
              <w:sz w:val="27"/>
              <w:szCs w:val="27"/>
            </w:rPr>
          </w:pPr>
          <w:r>
            <w:fldChar w:fldCharType="begin"/>
          </w:r>
          <w:r>
            <w:instrText xml:space="preserve"> HYPERLINK \l "bookmark7" </w:instrText>
          </w:r>
          <w:r>
            <w:fldChar w:fldCharType="separate"/>
          </w:r>
          <w:r>
            <w:rPr>
              <w:rFonts w:ascii="Times New Roman" w:hAnsi="Times New Roman" w:eastAsia="Times New Roman" w:cs="Times New Roman"/>
              <w:spacing w:val="4"/>
              <w:sz w:val="27"/>
              <w:szCs w:val="27"/>
            </w:rPr>
            <w:t>1.5</w:t>
          </w:r>
          <w:r>
            <w:rPr>
              <w:rFonts w:ascii="Times New Roman" w:hAnsi="Times New Roman" w:eastAsia="Times New Roman" w:cs="Times New Roman"/>
              <w:spacing w:val="12"/>
              <w:sz w:val="27"/>
              <w:szCs w:val="27"/>
            </w:rPr>
            <w:t xml:space="preserve">     </w:t>
          </w:r>
          <w:r>
            <w:rPr>
              <w:rFonts w:ascii="仿宋" w:hAnsi="仿宋" w:eastAsia="仿宋" w:cs="仿宋"/>
              <w:spacing w:val="4"/>
              <w:sz w:val="27"/>
              <w:szCs w:val="27"/>
            </w:rPr>
            <w:t>生产性分析报告(论证阶段)</w:t>
          </w:r>
          <w:r>
            <w:rPr>
              <w:rFonts w:ascii="仿宋" w:hAnsi="仿宋" w:eastAsia="仿宋" w:cs="仿宋"/>
              <w:sz w:val="27"/>
              <w:szCs w:val="27"/>
            </w:rPr>
            <w:tab/>
          </w:r>
          <w:r>
            <w:rPr>
              <w:spacing w:val="-8"/>
              <w:sz w:val="27"/>
              <w:szCs w:val="27"/>
            </w:rPr>
            <w:t>12</w:t>
          </w:r>
          <w:r>
            <w:rPr>
              <w:spacing w:val="-8"/>
              <w:sz w:val="27"/>
              <w:szCs w:val="27"/>
            </w:rPr>
            <w:fldChar w:fldCharType="end"/>
          </w:r>
        </w:p>
        <w:p w14:paraId="3C5D5868">
          <w:pPr>
            <w:pStyle w:val="2"/>
            <w:tabs>
              <w:tab w:val="right" w:leader="dot" w:pos="9350"/>
            </w:tabs>
            <w:spacing w:before="42" w:line="368" w:lineRule="exact"/>
            <w:ind w:left="560"/>
            <w:rPr>
              <w:sz w:val="27"/>
              <w:szCs w:val="27"/>
            </w:rPr>
          </w:pPr>
          <w:r>
            <w:fldChar w:fldCharType="begin"/>
          </w:r>
          <w:r>
            <w:instrText xml:space="preserve"> HYPERLINK \l "bookmark8" </w:instrText>
          </w:r>
          <w:r>
            <w:fldChar w:fldCharType="separate"/>
          </w:r>
          <w:r>
            <w:rPr>
              <w:rFonts w:ascii="Times New Roman" w:hAnsi="Times New Roman" w:eastAsia="Times New Roman" w:cs="Times New Roman"/>
              <w:spacing w:val="-1"/>
              <w:position w:val="1"/>
              <w:sz w:val="27"/>
              <w:szCs w:val="27"/>
            </w:rPr>
            <w:t>1.6</w:t>
          </w:r>
          <w:r>
            <w:rPr>
              <w:rFonts w:ascii="Times New Roman" w:hAnsi="Times New Roman" w:eastAsia="Times New Roman" w:cs="Times New Roman"/>
              <w:spacing w:val="8"/>
              <w:position w:val="1"/>
              <w:sz w:val="27"/>
              <w:szCs w:val="27"/>
            </w:rPr>
            <w:t xml:space="preserve">     </w:t>
          </w:r>
          <w:r>
            <w:rPr>
              <w:rFonts w:ascii="仿宋" w:hAnsi="仿宋" w:eastAsia="仿宋" w:cs="仿宋"/>
              <w:spacing w:val="-1"/>
              <w:position w:val="1"/>
              <w:sz w:val="27"/>
              <w:szCs w:val="27"/>
            </w:rPr>
            <w:t>研制总要求</w:t>
          </w:r>
          <w:r>
            <w:rPr>
              <w:rFonts w:ascii="仿宋" w:hAnsi="仿宋" w:eastAsia="仿宋" w:cs="仿宋"/>
              <w:spacing w:val="-114"/>
              <w:position w:val="1"/>
              <w:sz w:val="27"/>
              <w:szCs w:val="27"/>
            </w:rPr>
            <w:t xml:space="preserve"> </w:t>
          </w:r>
          <w:r>
            <w:rPr>
              <w:rFonts w:ascii="仿宋" w:hAnsi="仿宋" w:eastAsia="仿宋" w:cs="仿宋"/>
              <w:position w:val="1"/>
              <w:sz w:val="27"/>
              <w:szCs w:val="27"/>
            </w:rPr>
            <w:tab/>
          </w:r>
          <w:r>
            <w:rPr>
              <w:spacing w:val="-10"/>
              <w:position w:val="1"/>
              <w:sz w:val="27"/>
              <w:szCs w:val="27"/>
            </w:rPr>
            <w:t>13</w:t>
          </w:r>
          <w:r>
            <w:rPr>
              <w:spacing w:val="-10"/>
              <w:position w:val="1"/>
              <w:sz w:val="27"/>
              <w:szCs w:val="27"/>
            </w:rPr>
            <w:fldChar w:fldCharType="end"/>
          </w:r>
        </w:p>
        <w:p w14:paraId="2143CBCB">
          <w:pPr>
            <w:pStyle w:val="2"/>
            <w:tabs>
              <w:tab w:val="right" w:leader="dot" w:pos="9360"/>
            </w:tabs>
            <w:spacing w:before="30" w:line="368" w:lineRule="exact"/>
            <w:ind w:left="560"/>
            <w:rPr>
              <w:sz w:val="27"/>
              <w:szCs w:val="27"/>
            </w:rPr>
          </w:pPr>
          <w:r>
            <w:fldChar w:fldCharType="begin"/>
          </w:r>
          <w:r>
            <w:instrText xml:space="preserve"> HYPERLINK \l "bookmark9" </w:instrText>
          </w:r>
          <w:r>
            <w:fldChar w:fldCharType="separate"/>
          </w:r>
          <w:r>
            <w:rPr>
              <w:rFonts w:ascii="Times New Roman" w:hAnsi="Times New Roman" w:eastAsia="Times New Roman" w:cs="Times New Roman"/>
              <w:spacing w:val="2"/>
              <w:position w:val="2"/>
              <w:sz w:val="27"/>
              <w:szCs w:val="27"/>
            </w:rPr>
            <w:t>1.7</w:t>
          </w:r>
          <w:r>
            <w:rPr>
              <w:rFonts w:ascii="Times New Roman" w:hAnsi="Times New Roman" w:eastAsia="Times New Roman" w:cs="Times New Roman"/>
              <w:spacing w:val="10"/>
              <w:position w:val="2"/>
              <w:sz w:val="27"/>
              <w:szCs w:val="27"/>
            </w:rPr>
            <w:t xml:space="preserve">     </w:t>
          </w:r>
          <w:r>
            <w:rPr>
              <w:rFonts w:ascii="仿宋" w:hAnsi="仿宋" w:eastAsia="仿宋" w:cs="仿宋"/>
              <w:spacing w:val="2"/>
              <w:position w:val="2"/>
              <w:sz w:val="27"/>
              <w:szCs w:val="27"/>
            </w:rPr>
            <w:t>研制总要求论证工作报告</w:t>
          </w:r>
          <w:r>
            <w:rPr>
              <w:rFonts w:ascii="仿宋" w:hAnsi="仿宋" w:eastAsia="仿宋" w:cs="仿宋"/>
              <w:spacing w:val="-120"/>
              <w:position w:val="2"/>
              <w:sz w:val="27"/>
              <w:szCs w:val="27"/>
            </w:rPr>
            <w:t xml:space="preserve"> </w:t>
          </w:r>
          <w:r>
            <w:rPr>
              <w:rFonts w:ascii="仿宋" w:hAnsi="仿宋" w:eastAsia="仿宋" w:cs="仿宋"/>
              <w:position w:val="2"/>
              <w:sz w:val="27"/>
              <w:szCs w:val="27"/>
            </w:rPr>
            <w:tab/>
          </w:r>
          <w:r>
            <w:rPr>
              <w:spacing w:val="-8"/>
              <w:position w:val="2"/>
              <w:sz w:val="27"/>
              <w:szCs w:val="27"/>
            </w:rPr>
            <w:t>15</w:t>
          </w:r>
          <w:r>
            <w:rPr>
              <w:spacing w:val="-8"/>
              <w:position w:val="2"/>
              <w:sz w:val="27"/>
              <w:szCs w:val="27"/>
            </w:rPr>
            <w:fldChar w:fldCharType="end"/>
          </w:r>
        </w:p>
        <w:p w14:paraId="643D82A0">
          <w:pPr>
            <w:pStyle w:val="2"/>
            <w:tabs>
              <w:tab w:val="right" w:leader="dot" w:pos="9360"/>
            </w:tabs>
            <w:spacing w:before="42" w:line="368" w:lineRule="exact"/>
            <w:ind w:left="560"/>
            <w:rPr>
              <w:sz w:val="27"/>
              <w:szCs w:val="27"/>
            </w:rPr>
          </w:pPr>
          <w:r>
            <w:fldChar w:fldCharType="begin"/>
          </w:r>
          <w:r>
            <w:instrText xml:space="preserve"> HYPERLINK \l "bookmark10" </w:instrText>
          </w:r>
          <w:r>
            <w:fldChar w:fldCharType="separate"/>
          </w:r>
          <w:r>
            <w:rPr>
              <w:rFonts w:ascii="Times New Roman" w:hAnsi="Times New Roman" w:eastAsia="Times New Roman" w:cs="Times New Roman"/>
              <w:position w:val="2"/>
              <w:sz w:val="27"/>
              <w:szCs w:val="27"/>
            </w:rPr>
            <w:t>1.8</w:t>
          </w:r>
          <w:r>
            <w:rPr>
              <w:rFonts w:ascii="Times New Roman" w:hAnsi="Times New Roman" w:eastAsia="Times New Roman" w:cs="Times New Roman"/>
              <w:spacing w:val="12"/>
              <w:position w:val="2"/>
              <w:sz w:val="27"/>
              <w:szCs w:val="27"/>
            </w:rPr>
            <w:t xml:space="preserve">     </w:t>
          </w:r>
          <w:r>
            <w:rPr>
              <w:rFonts w:ascii="仿宋" w:hAnsi="仿宋" w:eastAsia="仿宋" w:cs="仿宋"/>
              <w:position w:val="2"/>
              <w:sz w:val="27"/>
              <w:szCs w:val="27"/>
            </w:rPr>
            <w:t>工作分解结构</w:t>
          </w:r>
          <w:r>
            <w:rPr>
              <w:rFonts w:ascii="仿宋" w:hAnsi="仿宋" w:eastAsia="仿宋" w:cs="仿宋"/>
              <w:position w:val="2"/>
              <w:sz w:val="27"/>
              <w:szCs w:val="27"/>
            </w:rPr>
            <w:tab/>
          </w:r>
          <w:r>
            <w:rPr>
              <w:spacing w:val="-10"/>
              <w:position w:val="2"/>
              <w:sz w:val="27"/>
              <w:szCs w:val="27"/>
            </w:rPr>
            <w:t>16</w:t>
          </w:r>
          <w:r>
            <w:rPr>
              <w:spacing w:val="-10"/>
              <w:position w:val="2"/>
              <w:sz w:val="27"/>
              <w:szCs w:val="27"/>
            </w:rPr>
            <w:fldChar w:fldCharType="end"/>
          </w:r>
        </w:p>
        <w:p w14:paraId="36829D3A">
          <w:pPr>
            <w:pStyle w:val="2"/>
            <w:tabs>
              <w:tab w:val="right" w:leader="dot" w:pos="9349"/>
            </w:tabs>
            <w:spacing w:before="4" w:line="368" w:lineRule="exact"/>
            <w:ind w:left="560"/>
            <w:rPr>
              <w:sz w:val="27"/>
              <w:szCs w:val="27"/>
            </w:rPr>
          </w:pPr>
          <w:r>
            <w:fldChar w:fldCharType="begin"/>
          </w:r>
          <w:r>
            <w:instrText xml:space="preserve"> HYPERLINK \l "bookmark11" </w:instrText>
          </w:r>
          <w:r>
            <w:fldChar w:fldCharType="separate"/>
          </w:r>
          <w:r>
            <w:rPr>
              <w:rFonts w:ascii="Times New Roman" w:hAnsi="Times New Roman" w:eastAsia="Times New Roman" w:cs="Times New Roman"/>
              <w:spacing w:val="-1"/>
              <w:position w:val="1"/>
              <w:sz w:val="27"/>
              <w:szCs w:val="27"/>
            </w:rPr>
            <w:t>1.9</w:t>
          </w:r>
          <w:r>
            <w:rPr>
              <w:rFonts w:ascii="Times New Roman" w:hAnsi="Times New Roman" w:eastAsia="Times New Roman" w:cs="Times New Roman"/>
              <w:spacing w:val="7"/>
              <w:position w:val="1"/>
              <w:sz w:val="27"/>
              <w:szCs w:val="27"/>
            </w:rPr>
            <w:t xml:space="preserve">     </w:t>
          </w:r>
          <w:r>
            <w:rPr>
              <w:rFonts w:ascii="仿宋" w:hAnsi="仿宋" w:eastAsia="仿宋" w:cs="仿宋"/>
              <w:spacing w:val="-1"/>
              <w:position w:val="1"/>
              <w:sz w:val="27"/>
              <w:szCs w:val="27"/>
            </w:rPr>
            <w:t>研制合同</w:t>
          </w:r>
          <w:r>
            <w:rPr>
              <w:rFonts w:ascii="仿宋" w:hAnsi="仿宋" w:eastAsia="仿宋" w:cs="仿宋"/>
              <w:position w:val="1"/>
              <w:sz w:val="27"/>
              <w:szCs w:val="27"/>
            </w:rPr>
            <w:tab/>
          </w:r>
          <w:r>
            <w:rPr>
              <w:spacing w:val="-13"/>
              <w:position w:val="1"/>
              <w:sz w:val="27"/>
              <w:szCs w:val="27"/>
            </w:rPr>
            <w:t>25</w:t>
          </w:r>
          <w:r>
            <w:rPr>
              <w:spacing w:val="-13"/>
              <w:position w:val="1"/>
              <w:sz w:val="27"/>
              <w:szCs w:val="27"/>
            </w:rPr>
            <w:fldChar w:fldCharType="end"/>
          </w:r>
        </w:p>
        <w:p w14:paraId="1505AD70">
          <w:pPr>
            <w:pStyle w:val="2"/>
            <w:tabs>
              <w:tab w:val="right" w:leader="dot" w:pos="9350"/>
            </w:tabs>
            <w:spacing w:before="70" w:line="368" w:lineRule="exact"/>
            <w:ind w:left="560"/>
            <w:rPr>
              <w:sz w:val="27"/>
              <w:szCs w:val="27"/>
            </w:rPr>
          </w:pPr>
          <w:r>
            <w:fldChar w:fldCharType="begin"/>
          </w:r>
          <w:r>
            <w:instrText xml:space="preserve"> HYPERLINK \l "bookmark12" </w:instrText>
          </w:r>
          <w:r>
            <w:fldChar w:fldCharType="separate"/>
          </w:r>
          <w:r>
            <w:rPr>
              <w:rFonts w:ascii="Times New Roman" w:hAnsi="Times New Roman" w:eastAsia="Times New Roman" w:cs="Times New Roman"/>
              <w:spacing w:val="-5"/>
              <w:position w:val="2"/>
              <w:sz w:val="27"/>
              <w:szCs w:val="27"/>
            </w:rPr>
            <w:t>1.10</w:t>
          </w:r>
          <w:r>
            <w:rPr>
              <w:rFonts w:ascii="Times New Roman" w:hAnsi="Times New Roman" w:eastAsia="Times New Roman" w:cs="Times New Roman"/>
              <w:spacing w:val="9"/>
              <w:position w:val="2"/>
              <w:sz w:val="27"/>
              <w:szCs w:val="27"/>
            </w:rPr>
            <w:t xml:space="preserve">     </w:t>
          </w:r>
          <w:r>
            <w:rPr>
              <w:rFonts w:ascii="仿宋" w:hAnsi="仿宋" w:eastAsia="仿宋" w:cs="仿宋"/>
              <w:spacing w:val="-5"/>
              <w:position w:val="2"/>
              <w:sz w:val="27"/>
              <w:szCs w:val="27"/>
            </w:rPr>
            <w:t>工作说明</w:t>
          </w:r>
          <w:r>
            <w:rPr>
              <w:rFonts w:ascii="仿宋" w:hAnsi="仿宋" w:eastAsia="仿宋" w:cs="仿宋"/>
              <w:spacing w:val="48"/>
              <w:position w:val="2"/>
              <w:sz w:val="27"/>
              <w:szCs w:val="27"/>
            </w:rPr>
            <w:t xml:space="preserve"> </w:t>
          </w:r>
          <w:r>
            <w:rPr>
              <w:rFonts w:ascii="仿宋" w:hAnsi="仿宋" w:eastAsia="仿宋" w:cs="仿宋"/>
              <w:position w:val="2"/>
              <w:sz w:val="27"/>
              <w:szCs w:val="27"/>
            </w:rPr>
            <w:tab/>
          </w:r>
          <w:r>
            <w:rPr>
              <w:spacing w:val="-10"/>
              <w:position w:val="2"/>
              <w:sz w:val="27"/>
              <w:szCs w:val="27"/>
            </w:rPr>
            <w:t>29</w:t>
          </w:r>
          <w:r>
            <w:rPr>
              <w:spacing w:val="-10"/>
              <w:position w:val="2"/>
              <w:sz w:val="27"/>
              <w:szCs w:val="27"/>
            </w:rPr>
            <w:fldChar w:fldCharType="end"/>
          </w:r>
        </w:p>
        <w:p w14:paraId="4817F52D">
          <w:pPr>
            <w:pStyle w:val="2"/>
            <w:tabs>
              <w:tab w:val="right" w:leader="dot" w:pos="9367"/>
            </w:tabs>
            <w:spacing w:before="25" w:line="368" w:lineRule="exact"/>
            <w:ind w:left="560"/>
            <w:rPr>
              <w:sz w:val="27"/>
              <w:szCs w:val="27"/>
            </w:rPr>
          </w:pPr>
          <w:r>
            <w:fldChar w:fldCharType="begin"/>
          </w:r>
          <w:r>
            <w:instrText xml:space="preserve"> HYPERLINK \l "bookmark13" </w:instrText>
          </w:r>
          <w:r>
            <w:fldChar w:fldCharType="separate"/>
          </w:r>
          <w:r>
            <w:rPr>
              <w:rFonts w:ascii="Times New Roman" w:hAnsi="Times New Roman" w:eastAsia="Times New Roman" w:cs="Times New Roman"/>
              <w:spacing w:val="-3"/>
              <w:position w:val="1"/>
              <w:sz w:val="27"/>
              <w:szCs w:val="27"/>
            </w:rPr>
            <w:t>1.11</w:t>
          </w:r>
          <w:r>
            <w:rPr>
              <w:rFonts w:ascii="Times New Roman" w:hAnsi="Times New Roman" w:eastAsia="Times New Roman" w:cs="Times New Roman"/>
              <w:spacing w:val="9"/>
              <w:position w:val="1"/>
              <w:sz w:val="27"/>
              <w:szCs w:val="27"/>
            </w:rPr>
            <w:t xml:space="preserve">     </w:t>
          </w:r>
          <w:r>
            <w:rPr>
              <w:rFonts w:ascii="仿宋" w:hAnsi="仿宋" w:eastAsia="仿宋" w:cs="仿宋"/>
              <w:spacing w:val="-3"/>
              <w:position w:val="1"/>
              <w:sz w:val="27"/>
              <w:szCs w:val="27"/>
            </w:rPr>
            <w:t>技术规范</w:t>
          </w:r>
          <w:r>
            <w:rPr>
              <w:rFonts w:ascii="仿宋" w:hAnsi="仿宋" w:eastAsia="仿宋" w:cs="仿宋"/>
              <w:spacing w:val="42"/>
              <w:position w:val="1"/>
              <w:sz w:val="27"/>
              <w:szCs w:val="27"/>
            </w:rPr>
            <w:t xml:space="preserve"> </w:t>
          </w:r>
          <w:r>
            <w:rPr>
              <w:rFonts w:ascii="仿宋" w:hAnsi="仿宋" w:eastAsia="仿宋" w:cs="仿宋"/>
              <w:position w:val="1"/>
              <w:sz w:val="27"/>
              <w:szCs w:val="27"/>
            </w:rPr>
            <w:tab/>
          </w:r>
          <w:r>
            <w:rPr>
              <w:spacing w:val="-18"/>
              <w:position w:val="1"/>
              <w:sz w:val="27"/>
              <w:szCs w:val="27"/>
            </w:rPr>
            <w:t>3</w:t>
          </w:r>
          <w:r>
            <w:rPr>
              <w:spacing w:val="-12"/>
              <w:position w:val="1"/>
              <w:sz w:val="27"/>
              <w:szCs w:val="27"/>
            </w:rPr>
            <w:t>8</w:t>
          </w:r>
          <w:r>
            <w:rPr>
              <w:spacing w:val="-12"/>
              <w:position w:val="1"/>
              <w:sz w:val="27"/>
              <w:szCs w:val="27"/>
            </w:rPr>
            <w:fldChar w:fldCharType="end"/>
          </w:r>
        </w:p>
        <w:p w14:paraId="09185B84">
          <w:pPr>
            <w:pStyle w:val="2"/>
            <w:tabs>
              <w:tab w:val="right" w:leader="dot" w:pos="9367"/>
            </w:tabs>
            <w:spacing w:before="54" w:line="368" w:lineRule="exact"/>
            <w:ind w:left="560"/>
            <w:rPr>
              <w:sz w:val="27"/>
              <w:szCs w:val="27"/>
            </w:rPr>
          </w:pPr>
          <w:r>
            <w:fldChar w:fldCharType="begin"/>
          </w:r>
          <w:r>
            <w:instrText xml:space="preserve"> HYPERLINK \l "bookmark14" </w:instrText>
          </w:r>
          <w:r>
            <w:fldChar w:fldCharType="separate"/>
          </w:r>
          <w:r>
            <w:rPr>
              <w:rFonts w:ascii="Times New Roman" w:hAnsi="Times New Roman" w:eastAsia="Times New Roman" w:cs="Times New Roman"/>
              <w:spacing w:val="16"/>
              <w:position w:val="1"/>
              <w:sz w:val="27"/>
              <w:szCs w:val="27"/>
            </w:rPr>
            <w:t>1.12</w:t>
          </w:r>
          <w:r>
            <w:rPr>
              <w:rFonts w:ascii="Times New Roman" w:hAnsi="Times New Roman" w:eastAsia="Times New Roman" w:cs="Times New Roman"/>
              <w:spacing w:val="6"/>
              <w:position w:val="1"/>
              <w:sz w:val="27"/>
              <w:szCs w:val="27"/>
            </w:rPr>
            <w:t xml:space="preserve">     </w:t>
          </w:r>
          <w:r>
            <w:rPr>
              <w:rFonts w:ascii="仿宋" w:hAnsi="仿宋" w:eastAsia="仿宋" w:cs="仿宋"/>
              <w:spacing w:val="16"/>
              <w:position w:val="1"/>
              <w:sz w:val="27"/>
              <w:szCs w:val="27"/>
            </w:rPr>
            <w:t>系统规范(A类规范)</w:t>
          </w:r>
          <w:r>
            <w:rPr>
              <w:rFonts w:ascii="仿宋" w:hAnsi="仿宋" w:eastAsia="仿宋" w:cs="仿宋"/>
              <w:position w:val="1"/>
              <w:sz w:val="27"/>
              <w:szCs w:val="27"/>
            </w:rPr>
            <w:tab/>
          </w:r>
          <w:r>
            <w:rPr>
              <w:spacing w:val="-3"/>
              <w:position w:val="1"/>
              <w:sz w:val="27"/>
              <w:szCs w:val="27"/>
            </w:rPr>
            <w:t>39</w:t>
          </w:r>
          <w:r>
            <w:rPr>
              <w:spacing w:val="-3"/>
              <w:position w:val="1"/>
              <w:sz w:val="27"/>
              <w:szCs w:val="27"/>
            </w:rPr>
            <w:fldChar w:fldCharType="end"/>
          </w:r>
        </w:p>
        <w:p w14:paraId="7CD29081">
          <w:pPr>
            <w:pStyle w:val="2"/>
            <w:tabs>
              <w:tab w:val="right" w:leader="dot" w:pos="9352"/>
            </w:tabs>
            <w:spacing w:before="77" w:line="222" w:lineRule="auto"/>
            <w:ind w:left="560"/>
            <w:rPr>
              <w:sz w:val="27"/>
              <w:szCs w:val="27"/>
            </w:rPr>
          </w:pPr>
          <w:r>
            <w:fldChar w:fldCharType="begin"/>
          </w:r>
          <w:r>
            <w:instrText xml:space="preserve"> HYPERLINK \l "bookmark15" </w:instrText>
          </w:r>
          <w:r>
            <w:fldChar w:fldCharType="separate"/>
          </w:r>
          <w:r>
            <w:rPr>
              <w:rFonts w:ascii="Times New Roman" w:hAnsi="Times New Roman" w:eastAsia="Times New Roman" w:cs="Times New Roman"/>
              <w:spacing w:val="11"/>
              <w:sz w:val="27"/>
              <w:szCs w:val="27"/>
            </w:rPr>
            <w:t>1.13</w:t>
          </w:r>
          <w:r>
            <w:rPr>
              <w:rFonts w:ascii="Times New Roman" w:hAnsi="Times New Roman" w:eastAsia="Times New Roman" w:cs="Times New Roman"/>
              <w:spacing w:val="12"/>
              <w:sz w:val="27"/>
              <w:szCs w:val="27"/>
            </w:rPr>
            <w:t xml:space="preserve">     </w:t>
          </w:r>
          <w:r>
            <w:rPr>
              <w:rFonts w:ascii="仿宋" w:hAnsi="仿宋" w:eastAsia="仿宋" w:cs="仿宋"/>
              <w:spacing w:val="11"/>
              <w:sz w:val="27"/>
              <w:szCs w:val="27"/>
            </w:rPr>
            <w:t>研制规范(B类规范)</w:t>
          </w:r>
          <w:r>
            <w:rPr>
              <w:rFonts w:ascii="仿宋" w:hAnsi="仿宋" w:eastAsia="仿宋" w:cs="仿宋"/>
              <w:sz w:val="27"/>
              <w:szCs w:val="27"/>
            </w:rPr>
            <w:tab/>
          </w:r>
          <w:r>
            <w:rPr>
              <w:spacing w:val="-7"/>
              <w:sz w:val="27"/>
              <w:szCs w:val="27"/>
            </w:rPr>
            <w:t>42</w:t>
          </w:r>
          <w:r>
            <w:rPr>
              <w:spacing w:val="-7"/>
              <w:sz w:val="27"/>
              <w:szCs w:val="27"/>
            </w:rPr>
            <w:fldChar w:fldCharType="end"/>
          </w:r>
        </w:p>
        <w:p w14:paraId="377B9F4E">
          <w:pPr>
            <w:pStyle w:val="2"/>
            <w:tabs>
              <w:tab w:val="right" w:leader="dot" w:pos="9365"/>
            </w:tabs>
            <w:spacing w:before="75" w:line="222" w:lineRule="auto"/>
            <w:ind w:left="560"/>
            <w:rPr>
              <w:sz w:val="27"/>
              <w:szCs w:val="27"/>
            </w:rPr>
          </w:pPr>
          <w:r>
            <w:fldChar w:fldCharType="begin"/>
          </w:r>
          <w:r>
            <w:instrText xml:space="preserve"> HYPERLINK \l "bookmark16" </w:instrText>
          </w:r>
          <w:r>
            <w:fldChar w:fldCharType="separate"/>
          </w:r>
          <w:r>
            <w:rPr>
              <w:rFonts w:ascii="Times New Roman" w:hAnsi="Times New Roman" w:eastAsia="Times New Roman" w:cs="Times New Roman"/>
              <w:spacing w:val="-1"/>
              <w:sz w:val="27"/>
              <w:szCs w:val="27"/>
            </w:rPr>
            <w:t>1.14</w:t>
          </w:r>
          <w:r>
            <w:rPr>
              <w:rFonts w:ascii="Times New Roman" w:hAnsi="Times New Roman" w:eastAsia="Times New Roman" w:cs="Times New Roman"/>
              <w:spacing w:val="6"/>
              <w:sz w:val="27"/>
              <w:szCs w:val="27"/>
            </w:rPr>
            <w:t xml:space="preserve">     </w:t>
          </w:r>
          <w:r>
            <w:rPr>
              <w:rFonts w:ascii="仿宋" w:hAnsi="仿宋" w:eastAsia="仿宋" w:cs="仿宋"/>
              <w:spacing w:val="-1"/>
              <w:sz w:val="27"/>
              <w:szCs w:val="27"/>
            </w:rPr>
            <w:t>研制计划</w:t>
          </w:r>
          <w:r>
            <w:rPr>
              <w:rFonts w:ascii="仿宋" w:hAnsi="仿宋" w:eastAsia="仿宋" w:cs="仿宋"/>
              <w:sz w:val="27"/>
              <w:szCs w:val="27"/>
            </w:rPr>
            <w:tab/>
          </w:r>
          <w:r>
            <w:rPr>
              <w:spacing w:val="-1"/>
              <w:sz w:val="27"/>
              <w:szCs w:val="27"/>
            </w:rPr>
            <w:t>42</w:t>
          </w:r>
          <w:r>
            <w:rPr>
              <w:spacing w:val="-1"/>
              <w:sz w:val="27"/>
              <w:szCs w:val="27"/>
            </w:rPr>
            <w:fldChar w:fldCharType="end"/>
          </w:r>
        </w:p>
        <w:p w14:paraId="74B340B3">
          <w:pPr>
            <w:pStyle w:val="2"/>
            <w:tabs>
              <w:tab w:val="right" w:leader="dot" w:pos="9355"/>
            </w:tabs>
            <w:spacing w:before="25" w:line="368" w:lineRule="exact"/>
            <w:ind w:left="560"/>
            <w:rPr>
              <w:sz w:val="27"/>
              <w:szCs w:val="27"/>
            </w:rPr>
          </w:pPr>
          <w:r>
            <w:fldChar w:fldCharType="begin"/>
          </w:r>
          <w:r>
            <w:instrText xml:space="preserve"> HYPERLINK \l "bookmark17" </w:instrText>
          </w:r>
          <w:r>
            <w:fldChar w:fldCharType="separate"/>
          </w:r>
          <w:r>
            <w:rPr>
              <w:rFonts w:ascii="Times New Roman" w:hAnsi="Times New Roman" w:eastAsia="Times New Roman" w:cs="Times New Roman"/>
              <w:spacing w:val="6"/>
              <w:position w:val="2"/>
              <w:sz w:val="27"/>
              <w:szCs w:val="27"/>
            </w:rPr>
            <w:t xml:space="preserve">1.15     </w:t>
          </w:r>
          <w:r>
            <w:rPr>
              <w:rFonts w:ascii="仿宋" w:hAnsi="仿宋" w:eastAsia="仿宋" w:cs="仿宋"/>
              <w:spacing w:val="6"/>
              <w:position w:val="2"/>
              <w:sz w:val="27"/>
              <w:szCs w:val="27"/>
            </w:rPr>
            <w:t>生产性分析报告(方案阶段)</w:t>
          </w:r>
          <w:r>
            <w:rPr>
              <w:rFonts w:ascii="仿宋" w:hAnsi="仿宋" w:eastAsia="仿宋" w:cs="仿宋"/>
              <w:position w:val="2"/>
              <w:sz w:val="27"/>
              <w:szCs w:val="27"/>
            </w:rPr>
            <w:tab/>
          </w:r>
          <w:r>
            <w:rPr>
              <w:spacing w:val="24"/>
              <w:position w:val="2"/>
              <w:sz w:val="27"/>
              <w:szCs w:val="27"/>
            </w:rPr>
            <w:t>48</w:t>
          </w:r>
          <w:r>
            <w:rPr>
              <w:spacing w:val="24"/>
              <w:position w:val="2"/>
              <w:sz w:val="27"/>
              <w:szCs w:val="27"/>
            </w:rPr>
            <w:fldChar w:fldCharType="end"/>
          </w:r>
        </w:p>
        <w:p w14:paraId="1B7B31E6">
          <w:pPr>
            <w:pStyle w:val="2"/>
            <w:tabs>
              <w:tab w:val="right" w:leader="dot" w:pos="9367"/>
            </w:tabs>
            <w:spacing w:before="45" w:line="368" w:lineRule="exact"/>
            <w:ind w:left="560"/>
            <w:rPr>
              <w:sz w:val="27"/>
              <w:szCs w:val="27"/>
            </w:rPr>
          </w:pPr>
          <w:r>
            <w:fldChar w:fldCharType="begin"/>
          </w:r>
          <w:r>
            <w:instrText xml:space="preserve"> HYPERLINK \l "bookmark18" </w:instrText>
          </w:r>
          <w:r>
            <w:fldChar w:fldCharType="separate"/>
          </w:r>
          <w:r>
            <w:rPr>
              <w:rFonts w:ascii="Times New Roman" w:hAnsi="Times New Roman" w:eastAsia="Times New Roman" w:cs="Times New Roman"/>
              <w:spacing w:val="-3"/>
              <w:position w:val="1"/>
              <w:sz w:val="27"/>
              <w:szCs w:val="27"/>
            </w:rPr>
            <w:t>1.16</w:t>
          </w:r>
          <w:r>
            <w:rPr>
              <w:rFonts w:ascii="Times New Roman" w:hAnsi="Times New Roman" w:eastAsia="Times New Roman" w:cs="Times New Roman"/>
              <w:spacing w:val="9"/>
              <w:position w:val="1"/>
              <w:sz w:val="27"/>
              <w:szCs w:val="27"/>
            </w:rPr>
            <w:t xml:space="preserve">     </w:t>
          </w:r>
          <w:r>
            <w:rPr>
              <w:rFonts w:ascii="仿宋" w:hAnsi="仿宋" w:eastAsia="仿宋" w:cs="仿宋"/>
              <w:spacing w:val="-3"/>
              <w:position w:val="1"/>
              <w:sz w:val="27"/>
              <w:szCs w:val="27"/>
            </w:rPr>
            <w:t>研制方案</w:t>
          </w:r>
          <w:r>
            <w:rPr>
              <w:rFonts w:ascii="仿宋" w:hAnsi="仿宋" w:eastAsia="仿宋" w:cs="仿宋"/>
              <w:spacing w:val="42"/>
              <w:position w:val="1"/>
              <w:sz w:val="27"/>
              <w:szCs w:val="27"/>
            </w:rPr>
            <w:t xml:space="preserve"> </w:t>
          </w:r>
          <w:r>
            <w:rPr>
              <w:rFonts w:ascii="仿宋" w:hAnsi="仿宋" w:eastAsia="仿宋" w:cs="仿宋"/>
              <w:position w:val="1"/>
              <w:sz w:val="27"/>
              <w:szCs w:val="27"/>
            </w:rPr>
            <w:tab/>
          </w:r>
          <w:r>
            <w:rPr>
              <w:spacing w:val="-17"/>
              <w:position w:val="1"/>
              <w:sz w:val="27"/>
              <w:szCs w:val="27"/>
            </w:rPr>
            <w:t>5</w:t>
          </w:r>
          <w:r>
            <w:rPr>
              <w:spacing w:val="-13"/>
              <w:position w:val="1"/>
              <w:sz w:val="27"/>
              <w:szCs w:val="27"/>
            </w:rPr>
            <w:t>0</w:t>
          </w:r>
          <w:r>
            <w:rPr>
              <w:spacing w:val="-13"/>
              <w:position w:val="1"/>
              <w:sz w:val="27"/>
              <w:szCs w:val="27"/>
            </w:rPr>
            <w:fldChar w:fldCharType="end"/>
          </w:r>
        </w:p>
        <w:p w14:paraId="5C6D0ACD">
          <w:pPr>
            <w:pStyle w:val="2"/>
            <w:tabs>
              <w:tab w:val="right" w:leader="dot" w:pos="9367"/>
            </w:tabs>
            <w:spacing w:before="43" w:line="368" w:lineRule="exact"/>
            <w:ind w:left="560"/>
            <w:rPr>
              <w:sz w:val="27"/>
              <w:szCs w:val="27"/>
            </w:rPr>
          </w:pPr>
          <w:r>
            <w:fldChar w:fldCharType="begin"/>
          </w:r>
          <w:r>
            <w:instrText xml:space="preserve"> HYPERLINK \l "bookmark19" </w:instrText>
          </w:r>
          <w:r>
            <w:fldChar w:fldCharType="separate"/>
          </w:r>
          <w:r>
            <w:rPr>
              <w:rFonts w:ascii="Times New Roman" w:hAnsi="Times New Roman" w:eastAsia="Times New Roman" w:cs="Times New Roman"/>
              <w:position w:val="1"/>
              <w:sz w:val="27"/>
              <w:szCs w:val="27"/>
            </w:rPr>
            <w:t>1.17</w:t>
          </w:r>
          <w:r>
            <w:rPr>
              <w:rFonts w:ascii="Times New Roman" w:hAnsi="Times New Roman" w:eastAsia="Times New Roman" w:cs="Times New Roman"/>
              <w:spacing w:val="10"/>
              <w:position w:val="1"/>
              <w:sz w:val="27"/>
              <w:szCs w:val="27"/>
            </w:rPr>
            <w:t xml:space="preserve">     </w:t>
          </w:r>
          <w:r>
            <w:rPr>
              <w:rFonts w:ascii="仿宋" w:hAnsi="仿宋" w:eastAsia="仿宋" w:cs="仿宋"/>
              <w:position w:val="1"/>
              <w:sz w:val="27"/>
              <w:szCs w:val="27"/>
            </w:rPr>
            <w:t>技术状态管理计划</w:t>
          </w:r>
          <w:r>
            <w:rPr>
              <w:rFonts w:ascii="仿宋" w:hAnsi="仿宋" w:eastAsia="仿宋" w:cs="仿宋"/>
              <w:position w:val="1"/>
              <w:sz w:val="27"/>
              <w:szCs w:val="27"/>
            </w:rPr>
            <w:tab/>
          </w:r>
          <w:r>
            <w:rPr>
              <w:spacing w:val="-3"/>
              <w:position w:val="1"/>
              <w:sz w:val="27"/>
              <w:szCs w:val="27"/>
            </w:rPr>
            <w:t>52</w:t>
          </w:r>
          <w:r>
            <w:rPr>
              <w:spacing w:val="-3"/>
              <w:position w:val="1"/>
              <w:sz w:val="27"/>
              <w:szCs w:val="27"/>
            </w:rPr>
            <w:fldChar w:fldCharType="end"/>
          </w:r>
        </w:p>
        <w:p w14:paraId="735EDD12">
          <w:pPr>
            <w:pStyle w:val="2"/>
            <w:tabs>
              <w:tab w:val="right" w:leader="dot" w:pos="9349"/>
            </w:tabs>
            <w:spacing w:before="21" w:line="368" w:lineRule="exact"/>
            <w:ind w:left="560"/>
            <w:rPr>
              <w:sz w:val="27"/>
              <w:szCs w:val="27"/>
            </w:rPr>
          </w:pPr>
          <w:r>
            <w:fldChar w:fldCharType="begin"/>
          </w:r>
          <w:r>
            <w:instrText xml:space="preserve"> HYPERLINK \l "bookmark20" </w:instrText>
          </w:r>
          <w:r>
            <w:fldChar w:fldCharType="separate"/>
          </w:r>
          <w:r>
            <w:rPr>
              <w:rFonts w:ascii="Times New Roman" w:hAnsi="Times New Roman" w:eastAsia="Times New Roman" w:cs="Times New Roman"/>
              <w:spacing w:val="-3"/>
              <w:position w:val="1"/>
              <w:sz w:val="27"/>
              <w:szCs w:val="27"/>
            </w:rPr>
            <w:t>1.18</w:t>
          </w:r>
          <w:r>
            <w:rPr>
              <w:rFonts w:ascii="Times New Roman" w:hAnsi="Times New Roman" w:eastAsia="Times New Roman" w:cs="Times New Roman"/>
              <w:spacing w:val="11"/>
              <w:position w:val="1"/>
              <w:sz w:val="27"/>
              <w:szCs w:val="27"/>
            </w:rPr>
            <w:t xml:space="preserve">     </w:t>
          </w:r>
          <w:r>
            <w:rPr>
              <w:rFonts w:ascii="仿宋" w:hAnsi="仿宋" w:eastAsia="仿宋" w:cs="仿宋"/>
              <w:spacing w:val="-3"/>
              <w:position w:val="1"/>
              <w:sz w:val="27"/>
              <w:szCs w:val="27"/>
            </w:rPr>
            <w:t>接口控制文件</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11"/>
              <w:position w:val="1"/>
              <w:sz w:val="27"/>
              <w:szCs w:val="27"/>
            </w:rPr>
            <w:t>55</w:t>
          </w:r>
          <w:r>
            <w:rPr>
              <w:spacing w:val="-11"/>
              <w:position w:val="1"/>
              <w:sz w:val="27"/>
              <w:szCs w:val="27"/>
            </w:rPr>
            <w:fldChar w:fldCharType="end"/>
          </w:r>
        </w:p>
        <w:p w14:paraId="73E5F7BB">
          <w:pPr>
            <w:pStyle w:val="2"/>
            <w:tabs>
              <w:tab w:val="right" w:leader="dot" w:pos="9367"/>
            </w:tabs>
            <w:spacing w:before="43" w:line="368" w:lineRule="exact"/>
            <w:ind w:left="560"/>
            <w:rPr>
              <w:sz w:val="27"/>
              <w:szCs w:val="27"/>
            </w:rPr>
          </w:pPr>
          <w:r>
            <w:fldChar w:fldCharType="begin"/>
          </w:r>
          <w:r>
            <w:instrText xml:space="preserve"> HYPERLINK \l "bookmark21" </w:instrText>
          </w:r>
          <w:r>
            <w:fldChar w:fldCharType="separate"/>
          </w:r>
          <w:r>
            <w:rPr>
              <w:rFonts w:ascii="Times New Roman" w:hAnsi="Times New Roman" w:eastAsia="Times New Roman" w:cs="Times New Roman"/>
              <w:spacing w:val="4"/>
              <w:position w:val="1"/>
              <w:sz w:val="27"/>
              <w:szCs w:val="27"/>
            </w:rPr>
            <w:t>1.19</w:t>
          </w:r>
          <w:r>
            <w:rPr>
              <w:rFonts w:ascii="Times New Roman" w:hAnsi="Times New Roman" w:eastAsia="Times New Roman" w:cs="Times New Roman"/>
              <w:spacing w:val="8"/>
              <w:position w:val="1"/>
              <w:sz w:val="27"/>
              <w:szCs w:val="27"/>
            </w:rPr>
            <w:t xml:space="preserve">     </w:t>
          </w:r>
          <w:r>
            <w:rPr>
              <w:rFonts w:ascii="仿宋" w:hAnsi="仿宋" w:eastAsia="仿宋" w:cs="仿宋"/>
              <w:spacing w:val="4"/>
              <w:position w:val="1"/>
              <w:sz w:val="27"/>
              <w:szCs w:val="27"/>
            </w:rPr>
            <w:t>试验与评定总计划</w:t>
          </w:r>
          <w:r>
            <w:rPr>
              <w:rFonts w:ascii="仿宋" w:hAnsi="仿宋" w:eastAsia="仿宋" w:cs="仿宋"/>
              <w:position w:val="1"/>
              <w:sz w:val="27"/>
              <w:szCs w:val="27"/>
            </w:rPr>
            <w:tab/>
          </w:r>
          <w:r>
            <w:rPr>
              <w:spacing w:val="-3"/>
              <w:position w:val="1"/>
              <w:sz w:val="27"/>
              <w:szCs w:val="27"/>
            </w:rPr>
            <w:t>58</w:t>
          </w:r>
          <w:r>
            <w:rPr>
              <w:spacing w:val="-3"/>
              <w:position w:val="1"/>
              <w:sz w:val="27"/>
              <w:szCs w:val="27"/>
            </w:rPr>
            <w:fldChar w:fldCharType="end"/>
          </w:r>
        </w:p>
        <w:p w14:paraId="486933EC">
          <w:pPr>
            <w:pStyle w:val="2"/>
            <w:tabs>
              <w:tab w:val="right" w:leader="dot" w:pos="9370"/>
            </w:tabs>
            <w:spacing w:before="21" w:line="368" w:lineRule="exact"/>
            <w:ind w:left="560"/>
            <w:rPr>
              <w:sz w:val="27"/>
              <w:szCs w:val="27"/>
            </w:rPr>
          </w:pPr>
          <w:r>
            <w:fldChar w:fldCharType="begin"/>
          </w:r>
          <w:r>
            <w:instrText xml:space="preserve"> HYPERLINK \l "bookmark22" </w:instrText>
          </w:r>
          <w:r>
            <w:fldChar w:fldCharType="separate"/>
          </w:r>
          <w:r>
            <w:rPr>
              <w:rFonts w:ascii="Times New Roman" w:hAnsi="Times New Roman" w:eastAsia="Times New Roman" w:cs="Times New Roman"/>
              <w:spacing w:val="-6"/>
              <w:position w:val="1"/>
              <w:sz w:val="27"/>
              <w:szCs w:val="27"/>
            </w:rPr>
            <w:t>1.20</w:t>
          </w:r>
          <w:r>
            <w:rPr>
              <w:rFonts w:ascii="Times New Roman" w:hAnsi="Times New Roman" w:eastAsia="Times New Roman" w:cs="Times New Roman"/>
              <w:spacing w:val="9"/>
              <w:position w:val="1"/>
              <w:sz w:val="27"/>
              <w:szCs w:val="27"/>
            </w:rPr>
            <w:t xml:space="preserve">     </w:t>
          </w:r>
          <w:r>
            <w:rPr>
              <w:rFonts w:ascii="仿宋" w:hAnsi="仿宋" w:eastAsia="仿宋" w:cs="仿宋"/>
              <w:spacing w:val="-6"/>
              <w:position w:val="1"/>
              <w:sz w:val="27"/>
              <w:szCs w:val="27"/>
            </w:rPr>
            <w:t>研制任务书</w:t>
          </w:r>
          <w:r>
            <w:rPr>
              <w:rFonts w:ascii="仿宋" w:hAnsi="仿宋" w:eastAsia="仿宋" w:cs="仿宋"/>
              <w:spacing w:val="43"/>
              <w:position w:val="1"/>
              <w:sz w:val="27"/>
              <w:szCs w:val="27"/>
            </w:rPr>
            <w:t xml:space="preserve"> </w:t>
          </w:r>
          <w:r>
            <w:rPr>
              <w:rFonts w:ascii="仿宋" w:hAnsi="仿宋" w:eastAsia="仿宋" w:cs="仿宋"/>
              <w:position w:val="1"/>
              <w:sz w:val="27"/>
              <w:szCs w:val="27"/>
            </w:rPr>
            <w:tab/>
          </w:r>
          <w:r>
            <w:rPr>
              <w:position w:val="1"/>
              <w:sz w:val="27"/>
              <w:szCs w:val="27"/>
            </w:rPr>
            <w:t>60</w:t>
          </w:r>
          <w:r>
            <w:rPr>
              <w:position w:val="1"/>
              <w:sz w:val="27"/>
              <w:szCs w:val="27"/>
            </w:rPr>
            <w:fldChar w:fldCharType="end"/>
          </w:r>
        </w:p>
        <w:p w14:paraId="7396B5A3">
          <w:pPr>
            <w:pStyle w:val="2"/>
            <w:tabs>
              <w:tab w:val="right" w:leader="dot" w:pos="9370"/>
            </w:tabs>
            <w:spacing w:before="41" w:line="368" w:lineRule="exact"/>
            <w:ind w:left="560"/>
            <w:rPr>
              <w:sz w:val="27"/>
              <w:szCs w:val="27"/>
            </w:rPr>
          </w:pPr>
          <w:r>
            <w:fldChar w:fldCharType="begin"/>
          </w:r>
          <w:r>
            <w:instrText xml:space="preserve"> HYPERLINK \l "bookmark23" </w:instrText>
          </w:r>
          <w:r>
            <w:fldChar w:fldCharType="separate"/>
          </w:r>
          <w:r>
            <w:rPr>
              <w:rFonts w:ascii="Times New Roman" w:hAnsi="Times New Roman" w:eastAsia="Times New Roman" w:cs="Times New Roman"/>
              <w:spacing w:val="-1"/>
              <w:position w:val="2"/>
              <w:sz w:val="27"/>
              <w:szCs w:val="27"/>
            </w:rPr>
            <w:t>1.21</w:t>
          </w:r>
          <w:r>
            <w:rPr>
              <w:rFonts w:ascii="Times New Roman" w:hAnsi="Times New Roman" w:eastAsia="Times New Roman" w:cs="Times New Roman"/>
              <w:spacing w:val="9"/>
              <w:position w:val="2"/>
              <w:sz w:val="27"/>
              <w:szCs w:val="27"/>
            </w:rPr>
            <w:t xml:space="preserve">     </w:t>
          </w:r>
          <w:r>
            <w:rPr>
              <w:rFonts w:ascii="仿宋" w:hAnsi="仿宋" w:eastAsia="仿宋" w:cs="仿宋"/>
              <w:spacing w:val="-1"/>
              <w:position w:val="2"/>
              <w:sz w:val="27"/>
              <w:szCs w:val="27"/>
            </w:rPr>
            <w:t>详细设计</w:t>
          </w:r>
          <w:r>
            <w:rPr>
              <w:rFonts w:ascii="仿宋" w:hAnsi="仿宋" w:eastAsia="仿宋" w:cs="仿宋"/>
              <w:spacing w:val="-123"/>
              <w:position w:val="2"/>
              <w:sz w:val="27"/>
              <w:szCs w:val="27"/>
            </w:rPr>
            <w:t xml:space="preserve"> </w:t>
          </w:r>
          <w:r>
            <w:rPr>
              <w:rFonts w:ascii="仿宋" w:hAnsi="仿宋" w:eastAsia="仿宋" w:cs="仿宋"/>
              <w:position w:val="2"/>
              <w:sz w:val="27"/>
              <w:szCs w:val="27"/>
            </w:rPr>
            <w:tab/>
          </w:r>
          <w:r>
            <w:rPr>
              <w:spacing w:val="-3"/>
              <w:position w:val="2"/>
              <w:sz w:val="27"/>
              <w:szCs w:val="27"/>
            </w:rPr>
            <w:t>62</w:t>
          </w:r>
          <w:r>
            <w:rPr>
              <w:spacing w:val="-3"/>
              <w:position w:val="2"/>
              <w:sz w:val="27"/>
              <w:szCs w:val="27"/>
            </w:rPr>
            <w:fldChar w:fldCharType="end"/>
          </w:r>
        </w:p>
        <w:p w14:paraId="38AA3341">
          <w:pPr>
            <w:pStyle w:val="2"/>
            <w:tabs>
              <w:tab w:val="right" w:leader="dot" w:pos="9370"/>
            </w:tabs>
            <w:spacing w:before="53" w:line="368" w:lineRule="exact"/>
            <w:ind w:left="560"/>
            <w:rPr>
              <w:sz w:val="27"/>
              <w:szCs w:val="27"/>
            </w:rPr>
          </w:pPr>
          <w:r>
            <w:fldChar w:fldCharType="begin"/>
          </w:r>
          <w:r>
            <w:instrText xml:space="preserve"> HYPERLINK \l "bookmark24" </w:instrText>
          </w:r>
          <w:r>
            <w:fldChar w:fldCharType="separate"/>
          </w:r>
          <w:r>
            <w:rPr>
              <w:rFonts w:ascii="Times New Roman" w:hAnsi="Times New Roman" w:eastAsia="Times New Roman" w:cs="Times New Roman"/>
              <w:spacing w:val="-1"/>
              <w:position w:val="1"/>
              <w:sz w:val="27"/>
              <w:szCs w:val="27"/>
            </w:rPr>
            <w:t>1.22</w:t>
          </w:r>
          <w:r>
            <w:rPr>
              <w:rFonts w:ascii="Times New Roman" w:hAnsi="Times New Roman" w:eastAsia="Times New Roman" w:cs="Times New Roman"/>
              <w:spacing w:val="11"/>
              <w:position w:val="1"/>
              <w:sz w:val="27"/>
              <w:szCs w:val="27"/>
            </w:rPr>
            <w:t xml:space="preserve">     </w:t>
          </w:r>
          <w:r>
            <w:rPr>
              <w:rFonts w:ascii="仿宋" w:hAnsi="仿宋" w:eastAsia="仿宋" w:cs="仿宋"/>
              <w:spacing w:val="-1"/>
              <w:position w:val="1"/>
              <w:sz w:val="27"/>
              <w:szCs w:val="27"/>
            </w:rPr>
            <w:t>设计计算报告</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3"/>
              <w:position w:val="1"/>
              <w:sz w:val="27"/>
              <w:szCs w:val="27"/>
            </w:rPr>
            <w:t>63</w:t>
          </w:r>
          <w:r>
            <w:rPr>
              <w:spacing w:val="-3"/>
              <w:position w:val="1"/>
              <w:sz w:val="27"/>
              <w:szCs w:val="27"/>
            </w:rPr>
            <w:fldChar w:fldCharType="end"/>
          </w:r>
        </w:p>
        <w:p w14:paraId="5FD82A85">
          <w:pPr>
            <w:pStyle w:val="2"/>
            <w:tabs>
              <w:tab w:val="right" w:leader="dot" w:pos="9370"/>
            </w:tabs>
            <w:spacing w:before="29" w:line="369" w:lineRule="exact"/>
            <w:ind w:left="560"/>
            <w:rPr>
              <w:sz w:val="27"/>
              <w:szCs w:val="27"/>
            </w:rPr>
          </w:pPr>
          <w:r>
            <w:fldChar w:fldCharType="begin"/>
          </w:r>
          <w:r>
            <w:instrText xml:space="preserve"> HYPERLINK \l "bookmark25" </w:instrText>
          </w:r>
          <w:r>
            <w:fldChar w:fldCharType="separate"/>
          </w:r>
          <w:r>
            <w:rPr>
              <w:rFonts w:ascii="Times New Roman" w:hAnsi="Times New Roman" w:eastAsia="Times New Roman" w:cs="Times New Roman"/>
              <w:spacing w:val="2"/>
              <w:position w:val="2"/>
              <w:sz w:val="27"/>
              <w:szCs w:val="27"/>
            </w:rPr>
            <w:t>1.23</w:t>
          </w:r>
          <w:r>
            <w:rPr>
              <w:rFonts w:ascii="Times New Roman" w:hAnsi="Times New Roman" w:eastAsia="Times New Roman" w:cs="Times New Roman"/>
              <w:spacing w:val="9"/>
              <w:position w:val="2"/>
              <w:sz w:val="27"/>
              <w:szCs w:val="27"/>
            </w:rPr>
            <w:t xml:space="preserve">     </w:t>
          </w:r>
          <w:r>
            <w:rPr>
              <w:rFonts w:ascii="仿宋" w:hAnsi="仿宋" w:eastAsia="仿宋" w:cs="仿宋"/>
              <w:spacing w:val="2"/>
              <w:position w:val="2"/>
              <w:sz w:val="27"/>
              <w:szCs w:val="27"/>
            </w:rPr>
            <w:t>特性分析报告</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3"/>
              <w:position w:val="2"/>
              <w:sz w:val="27"/>
              <w:szCs w:val="27"/>
            </w:rPr>
            <w:t>64</w:t>
          </w:r>
          <w:r>
            <w:rPr>
              <w:spacing w:val="-3"/>
              <w:position w:val="2"/>
              <w:sz w:val="27"/>
              <w:szCs w:val="27"/>
            </w:rPr>
            <w:fldChar w:fldCharType="end"/>
          </w:r>
        </w:p>
        <w:p w14:paraId="727FD34F">
          <w:pPr>
            <w:pStyle w:val="2"/>
            <w:tabs>
              <w:tab w:val="right" w:leader="dot" w:pos="9360"/>
            </w:tabs>
            <w:spacing w:before="31" w:line="368" w:lineRule="exact"/>
            <w:ind w:left="560"/>
            <w:rPr>
              <w:sz w:val="27"/>
              <w:szCs w:val="27"/>
            </w:rPr>
          </w:pPr>
          <w:r>
            <w:fldChar w:fldCharType="begin"/>
          </w:r>
          <w:r>
            <w:instrText xml:space="preserve"> HYPERLINK \l "bookmark26" </w:instrText>
          </w:r>
          <w:r>
            <w:fldChar w:fldCharType="separate"/>
          </w:r>
          <w:r>
            <w:rPr>
              <w:rFonts w:ascii="Times New Roman" w:hAnsi="Times New Roman" w:eastAsia="Times New Roman" w:cs="Times New Roman"/>
              <w:spacing w:val="4"/>
              <w:position w:val="2"/>
              <w:sz w:val="27"/>
              <w:szCs w:val="27"/>
            </w:rPr>
            <w:t>1.24</w:t>
          </w:r>
          <w:r>
            <w:rPr>
              <w:rFonts w:ascii="Times New Roman" w:hAnsi="Times New Roman" w:eastAsia="Times New Roman" w:cs="Times New Roman"/>
              <w:spacing w:val="12"/>
              <w:position w:val="2"/>
              <w:sz w:val="27"/>
              <w:szCs w:val="27"/>
            </w:rPr>
            <w:t xml:space="preserve">     </w:t>
          </w:r>
          <w:r>
            <w:rPr>
              <w:rFonts w:ascii="仿宋" w:hAnsi="仿宋" w:eastAsia="仿宋" w:cs="仿宋"/>
              <w:spacing w:val="4"/>
              <w:position w:val="2"/>
              <w:sz w:val="27"/>
              <w:szCs w:val="27"/>
            </w:rPr>
            <w:t>生产性分析报告(工程研制阶段)</w:t>
          </w:r>
          <w:r>
            <w:rPr>
              <w:rFonts w:ascii="仿宋" w:hAnsi="仿宋" w:eastAsia="仿宋" w:cs="仿宋"/>
              <w:position w:val="2"/>
              <w:sz w:val="27"/>
              <w:szCs w:val="27"/>
            </w:rPr>
            <w:tab/>
          </w:r>
          <w:r>
            <w:rPr>
              <w:rFonts w:ascii="仿宋" w:hAnsi="仿宋" w:eastAsia="仿宋" w:cs="仿宋"/>
              <w:spacing w:val="-73"/>
              <w:position w:val="2"/>
              <w:sz w:val="27"/>
              <w:szCs w:val="27"/>
            </w:rPr>
            <w:t xml:space="preserve"> </w:t>
          </w:r>
          <w:r>
            <w:rPr>
              <w:spacing w:val="-3"/>
              <w:position w:val="2"/>
              <w:sz w:val="27"/>
              <w:szCs w:val="27"/>
            </w:rPr>
            <w:t>66</w:t>
          </w:r>
          <w:r>
            <w:rPr>
              <w:spacing w:val="-3"/>
              <w:position w:val="2"/>
              <w:sz w:val="27"/>
              <w:szCs w:val="27"/>
            </w:rPr>
            <w:fldChar w:fldCharType="end"/>
          </w:r>
        </w:p>
        <w:p w14:paraId="4EB10C62">
          <w:pPr>
            <w:pStyle w:val="2"/>
            <w:tabs>
              <w:tab w:val="right" w:leader="dot" w:pos="9367"/>
            </w:tabs>
            <w:spacing w:before="83" w:line="222" w:lineRule="auto"/>
            <w:ind w:left="560"/>
            <w:rPr>
              <w:sz w:val="27"/>
              <w:szCs w:val="27"/>
            </w:rPr>
          </w:pPr>
          <w:r>
            <w:fldChar w:fldCharType="begin"/>
          </w:r>
          <w:r>
            <w:instrText xml:space="preserve"> HYPERLINK \l "bookmark27" </w:instrText>
          </w:r>
          <w:r>
            <w:fldChar w:fldCharType="separate"/>
          </w:r>
          <w:r>
            <w:rPr>
              <w:rFonts w:ascii="Times New Roman" w:hAnsi="Times New Roman" w:eastAsia="Times New Roman" w:cs="Times New Roman"/>
              <w:spacing w:val="-2"/>
              <w:sz w:val="27"/>
              <w:szCs w:val="27"/>
            </w:rPr>
            <w:t>1.25</w:t>
          </w:r>
          <w:r>
            <w:rPr>
              <w:rFonts w:ascii="Times New Roman" w:hAnsi="Times New Roman" w:eastAsia="Times New Roman" w:cs="Times New Roman"/>
              <w:spacing w:val="7"/>
              <w:sz w:val="27"/>
              <w:szCs w:val="27"/>
            </w:rPr>
            <w:t xml:space="preserve">     </w:t>
          </w:r>
          <w:r>
            <w:rPr>
              <w:rFonts w:ascii="仿宋" w:hAnsi="仿宋" w:eastAsia="仿宋" w:cs="仿宋"/>
              <w:spacing w:val="-2"/>
              <w:sz w:val="27"/>
              <w:szCs w:val="27"/>
            </w:rPr>
            <w:t>研制试验大纲</w:t>
          </w:r>
          <w:r>
            <w:rPr>
              <w:rFonts w:ascii="仿宋" w:hAnsi="仿宋" w:eastAsia="仿宋" w:cs="仿宋"/>
              <w:spacing w:val="38"/>
              <w:sz w:val="27"/>
              <w:szCs w:val="27"/>
            </w:rPr>
            <w:t xml:space="preserve"> </w:t>
          </w:r>
          <w:r>
            <w:rPr>
              <w:rFonts w:ascii="仿宋" w:hAnsi="仿宋" w:eastAsia="仿宋" w:cs="仿宋"/>
              <w:sz w:val="27"/>
              <w:szCs w:val="27"/>
            </w:rPr>
            <w:tab/>
          </w:r>
          <w:r>
            <w:rPr>
              <w:spacing w:val="-6"/>
              <w:sz w:val="27"/>
              <w:szCs w:val="27"/>
            </w:rPr>
            <w:t>72</w:t>
          </w:r>
          <w:r>
            <w:rPr>
              <w:spacing w:val="-6"/>
              <w:sz w:val="27"/>
              <w:szCs w:val="27"/>
            </w:rPr>
            <w:fldChar w:fldCharType="end"/>
          </w:r>
        </w:p>
        <w:p w14:paraId="1E820219">
          <w:pPr>
            <w:pStyle w:val="2"/>
            <w:tabs>
              <w:tab w:val="right" w:leader="dot" w:pos="9357"/>
            </w:tabs>
            <w:spacing w:before="37" w:line="368" w:lineRule="exact"/>
            <w:ind w:left="560"/>
            <w:rPr>
              <w:sz w:val="27"/>
              <w:szCs w:val="27"/>
            </w:rPr>
          </w:pPr>
          <w:r>
            <w:fldChar w:fldCharType="begin"/>
          </w:r>
          <w:r>
            <w:instrText xml:space="preserve"> HYPERLINK \l "bookmark28" </w:instrText>
          </w:r>
          <w:r>
            <w:fldChar w:fldCharType="separate"/>
          </w:r>
          <w:r>
            <w:rPr>
              <w:rFonts w:ascii="Times New Roman" w:hAnsi="Times New Roman" w:eastAsia="Times New Roman" w:cs="Times New Roman"/>
              <w:spacing w:val="-2"/>
              <w:position w:val="1"/>
              <w:sz w:val="27"/>
              <w:szCs w:val="27"/>
            </w:rPr>
            <w:t>1.26</w:t>
          </w:r>
          <w:r>
            <w:rPr>
              <w:rFonts w:ascii="Times New Roman" w:hAnsi="Times New Roman" w:eastAsia="Times New Roman" w:cs="Times New Roman"/>
              <w:spacing w:val="9"/>
              <w:position w:val="1"/>
              <w:sz w:val="27"/>
              <w:szCs w:val="27"/>
            </w:rPr>
            <w:t xml:space="preserve">     </w:t>
          </w:r>
          <w:r>
            <w:rPr>
              <w:rFonts w:ascii="仿宋" w:hAnsi="仿宋" w:eastAsia="仿宋" w:cs="仿宋"/>
              <w:spacing w:val="-2"/>
              <w:position w:val="1"/>
              <w:sz w:val="27"/>
              <w:szCs w:val="27"/>
            </w:rPr>
            <w:t>研制试验报告</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4"/>
              <w:position w:val="1"/>
              <w:sz w:val="27"/>
              <w:szCs w:val="27"/>
            </w:rPr>
            <w:t>73</w:t>
          </w:r>
          <w:r>
            <w:rPr>
              <w:spacing w:val="-4"/>
              <w:position w:val="1"/>
              <w:sz w:val="27"/>
              <w:szCs w:val="27"/>
            </w:rPr>
            <w:fldChar w:fldCharType="end"/>
          </w:r>
        </w:p>
        <w:p w14:paraId="49CBDBD3">
          <w:pPr>
            <w:pStyle w:val="2"/>
            <w:tabs>
              <w:tab w:val="right" w:leader="dot" w:pos="9357"/>
            </w:tabs>
            <w:spacing w:before="83" w:line="223" w:lineRule="auto"/>
            <w:ind w:left="560"/>
            <w:rPr>
              <w:sz w:val="27"/>
              <w:szCs w:val="27"/>
            </w:rPr>
          </w:pPr>
          <w:r>
            <w:fldChar w:fldCharType="begin"/>
          </w:r>
          <w:r>
            <w:instrText xml:space="preserve"> HYPERLINK \l "bookmark29" </w:instrText>
          </w:r>
          <w:r>
            <w:fldChar w:fldCharType="separate"/>
          </w:r>
          <w:r>
            <w:rPr>
              <w:rFonts w:ascii="Times New Roman" w:hAnsi="Times New Roman" w:eastAsia="Times New Roman" w:cs="Times New Roman"/>
              <w:sz w:val="27"/>
              <w:szCs w:val="27"/>
            </w:rPr>
            <w:t>1.27</w:t>
          </w:r>
          <w:r>
            <w:rPr>
              <w:rFonts w:ascii="Times New Roman" w:hAnsi="Times New Roman" w:eastAsia="Times New Roman" w:cs="Times New Roman"/>
              <w:spacing w:val="8"/>
              <w:sz w:val="27"/>
              <w:szCs w:val="27"/>
            </w:rPr>
            <w:t xml:space="preserve">     </w:t>
          </w:r>
          <w:r>
            <w:rPr>
              <w:rFonts w:ascii="仿宋" w:hAnsi="仿宋" w:eastAsia="仿宋" w:cs="仿宋"/>
              <w:sz w:val="27"/>
              <w:szCs w:val="27"/>
            </w:rPr>
            <w:t>验收测试规范</w:t>
          </w:r>
          <w:r>
            <w:rPr>
              <w:rFonts w:ascii="仿宋" w:hAnsi="仿宋" w:eastAsia="仿宋" w:cs="仿宋"/>
              <w:spacing w:val="43"/>
              <w:sz w:val="27"/>
              <w:szCs w:val="27"/>
            </w:rPr>
            <w:t xml:space="preserve"> </w:t>
          </w:r>
          <w:r>
            <w:rPr>
              <w:rFonts w:ascii="仿宋" w:hAnsi="仿宋" w:eastAsia="仿宋" w:cs="仿宋"/>
              <w:sz w:val="27"/>
              <w:szCs w:val="27"/>
            </w:rPr>
            <w:tab/>
          </w:r>
          <w:r>
            <w:rPr>
              <w:spacing w:val="-4"/>
              <w:sz w:val="27"/>
              <w:szCs w:val="27"/>
            </w:rPr>
            <w:t>74</w:t>
          </w:r>
          <w:r>
            <w:rPr>
              <w:spacing w:val="-4"/>
              <w:sz w:val="27"/>
              <w:szCs w:val="27"/>
            </w:rPr>
            <w:fldChar w:fldCharType="end"/>
          </w:r>
        </w:p>
      </w:sdtContent>
    </w:sdt>
    <w:p w14:paraId="30B216CA">
      <w:pPr>
        <w:spacing w:before="155" w:line="185" w:lineRule="auto"/>
        <w:ind w:left="209"/>
        <w:rPr>
          <w:rFonts w:ascii="Times New Roman" w:hAnsi="Times New Roman" w:eastAsia="Times New Roman" w:cs="Times New Roman"/>
          <w:sz w:val="29"/>
          <w:szCs w:val="29"/>
        </w:rPr>
      </w:pPr>
      <w:r>
        <w:rPr>
          <w:rFonts w:ascii="Times New Roman" w:hAnsi="Times New Roman" w:eastAsia="Times New Roman" w:cs="Times New Roman"/>
          <w:spacing w:val="-7"/>
          <w:w w:val="77"/>
          <w:sz w:val="29"/>
          <w:szCs w:val="29"/>
        </w:rPr>
        <w:t>VⅢ</w:t>
      </w:r>
    </w:p>
    <w:p w14:paraId="1F1B326F">
      <w:pPr>
        <w:spacing w:line="185" w:lineRule="auto"/>
        <w:rPr>
          <w:rFonts w:ascii="Times New Roman" w:hAnsi="Times New Roman" w:eastAsia="Times New Roman" w:cs="Times New Roman"/>
          <w:sz w:val="29"/>
          <w:szCs w:val="29"/>
        </w:rPr>
        <w:sectPr>
          <w:footerReference r:id="rId11" w:type="default"/>
          <w:pgSz w:w="11910" w:h="17130"/>
          <w:pgMar w:top="400" w:right="1509" w:bottom="400" w:left="1019" w:header="0" w:footer="0" w:gutter="0"/>
          <w:cols w:space="720" w:num="1"/>
        </w:sectPr>
      </w:pPr>
    </w:p>
    <w:p w14:paraId="75F70F2B">
      <w:pPr>
        <w:pStyle w:val="2"/>
        <w:spacing w:line="271" w:lineRule="auto"/>
      </w:pPr>
    </w:p>
    <w:p w14:paraId="64121860">
      <w:pPr>
        <w:pStyle w:val="2"/>
        <w:spacing w:line="271" w:lineRule="auto"/>
      </w:pPr>
    </w:p>
    <w:p w14:paraId="07D81205">
      <w:pPr>
        <w:pStyle w:val="2"/>
        <w:spacing w:line="271" w:lineRule="auto"/>
      </w:pPr>
    </w:p>
    <w:p w14:paraId="3ED72E54">
      <w:pPr>
        <w:pStyle w:val="2"/>
        <w:spacing w:line="272" w:lineRule="auto"/>
      </w:pPr>
    </w:p>
    <w:sdt>
      <w:sdtPr>
        <w:rPr>
          <w:rFonts w:ascii="Times New Roman" w:hAnsi="Times New Roman" w:eastAsia="Times New Roman" w:cs="Times New Roman"/>
          <w:sz w:val="27"/>
          <w:szCs w:val="27"/>
        </w:rPr>
        <w:id w:val="147454551"/>
        <w:docPartObj>
          <w:docPartGallery w:val="Table of Contents"/>
          <w:docPartUnique/>
        </w:docPartObj>
      </w:sdtPr>
      <w:sdtEndPr>
        <w:rPr>
          <w:rFonts w:ascii="Arial" w:hAnsi="Arial" w:eastAsia="Arial" w:cs="Arial"/>
          <w:sz w:val="27"/>
          <w:szCs w:val="27"/>
        </w:rPr>
      </w:sdtEndPr>
      <w:sdtContent>
        <w:p w14:paraId="6B85B1D7">
          <w:pPr>
            <w:pStyle w:val="2"/>
            <w:tabs>
              <w:tab w:val="right" w:leader="dot" w:pos="8800"/>
            </w:tabs>
            <w:spacing w:before="88" w:line="368" w:lineRule="exact"/>
            <w:rPr>
              <w:sz w:val="27"/>
              <w:szCs w:val="27"/>
            </w:rPr>
          </w:pPr>
          <w:r>
            <w:fldChar w:fldCharType="begin"/>
          </w:r>
          <w:r>
            <w:instrText xml:space="preserve"> HYPERLINK \l "bookmark30" </w:instrText>
          </w:r>
          <w:r>
            <w:fldChar w:fldCharType="separate"/>
          </w:r>
          <w:r>
            <w:rPr>
              <w:rFonts w:ascii="Times New Roman" w:hAnsi="Times New Roman" w:eastAsia="Times New Roman" w:cs="Times New Roman"/>
              <w:position w:val="1"/>
              <w:sz w:val="27"/>
              <w:szCs w:val="27"/>
            </w:rPr>
            <w:t>1.28</w:t>
          </w:r>
          <w:r>
            <w:rPr>
              <w:rFonts w:ascii="Times New Roman" w:hAnsi="Times New Roman" w:eastAsia="Times New Roman" w:cs="Times New Roman"/>
              <w:spacing w:val="11"/>
              <w:position w:val="1"/>
              <w:sz w:val="27"/>
              <w:szCs w:val="27"/>
            </w:rPr>
            <w:t xml:space="preserve">     </w:t>
          </w:r>
          <w:r>
            <w:rPr>
              <w:rFonts w:ascii="仿宋" w:hAnsi="仿宋" w:eastAsia="仿宋" w:cs="仿宋"/>
              <w:position w:val="1"/>
              <w:sz w:val="27"/>
              <w:szCs w:val="27"/>
            </w:rPr>
            <w:t>验收测试程序</w:t>
          </w:r>
          <w:r>
            <w:rPr>
              <w:rFonts w:ascii="仿宋" w:hAnsi="仿宋" w:eastAsia="仿宋" w:cs="仿宋"/>
              <w:position w:val="1"/>
              <w:sz w:val="27"/>
              <w:szCs w:val="27"/>
            </w:rPr>
            <w:tab/>
          </w:r>
          <w:r>
            <w:rPr>
              <w:spacing w:val="-8"/>
              <w:position w:val="1"/>
              <w:sz w:val="27"/>
              <w:szCs w:val="27"/>
            </w:rPr>
            <w:t>76</w:t>
          </w:r>
          <w:r>
            <w:rPr>
              <w:spacing w:val="-8"/>
              <w:position w:val="1"/>
              <w:sz w:val="27"/>
              <w:szCs w:val="27"/>
            </w:rPr>
            <w:fldChar w:fldCharType="end"/>
          </w:r>
        </w:p>
        <w:p w14:paraId="3B6F3CC6">
          <w:pPr>
            <w:pStyle w:val="2"/>
            <w:tabs>
              <w:tab w:val="right" w:leader="dot" w:pos="8800"/>
            </w:tabs>
            <w:spacing w:before="102" w:line="224" w:lineRule="auto"/>
            <w:rPr>
              <w:sz w:val="27"/>
              <w:szCs w:val="27"/>
            </w:rPr>
          </w:pPr>
          <w:r>
            <w:fldChar w:fldCharType="begin"/>
          </w:r>
          <w:r>
            <w:instrText xml:space="preserve"> HYPERLINK \l "bookmark31" </w:instrText>
          </w:r>
          <w:r>
            <w:fldChar w:fldCharType="separate"/>
          </w:r>
          <w:r>
            <w:rPr>
              <w:rFonts w:ascii="Times New Roman" w:hAnsi="Times New Roman" w:eastAsia="Times New Roman" w:cs="Times New Roman"/>
              <w:spacing w:val="12"/>
              <w:sz w:val="27"/>
              <w:szCs w:val="27"/>
            </w:rPr>
            <w:t xml:space="preserve">1.29     </w:t>
          </w:r>
          <w:r>
            <w:rPr>
              <w:rFonts w:ascii="仿宋" w:hAnsi="仿宋" w:eastAsia="仿宋" w:cs="仿宋"/>
              <w:spacing w:val="12"/>
              <w:sz w:val="27"/>
              <w:szCs w:val="27"/>
            </w:rPr>
            <w:t>产品规范(C类规范)</w:t>
          </w:r>
          <w:r>
            <w:rPr>
              <w:rFonts w:ascii="仿宋" w:hAnsi="仿宋" w:eastAsia="仿宋" w:cs="仿宋"/>
              <w:sz w:val="27"/>
              <w:szCs w:val="27"/>
            </w:rPr>
            <w:tab/>
          </w:r>
          <w:r>
            <w:rPr>
              <w:spacing w:val="-13"/>
              <w:sz w:val="27"/>
              <w:szCs w:val="27"/>
            </w:rPr>
            <w:t>77</w:t>
          </w:r>
          <w:r>
            <w:rPr>
              <w:spacing w:val="-13"/>
              <w:sz w:val="27"/>
              <w:szCs w:val="27"/>
            </w:rPr>
            <w:fldChar w:fldCharType="end"/>
          </w:r>
        </w:p>
        <w:p w14:paraId="12D2E8D4">
          <w:pPr>
            <w:pStyle w:val="2"/>
            <w:tabs>
              <w:tab w:val="right" w:leader="dot" w:pos="8807"/>
            </w:tabs>
            <w:spacing w:before="32" w:line="368" w:lineRule="exact"/>
            <w:rPr>
              <w:sz w:val="27"/>
              <w:szCs w:val="27"/>
            </w:rPr>
          </w:pPr>
          <w:r>
            <w:fldChar w:fldCharType="begin"/>
          </w:r>
          <w:r>
            <w:instrText xml:space="preserve"> HYPERLINK \l "bookmark32" </w:instrText>
          </w:r>
          <w:r>
            <w:fldChar w:fldCharType="separate"/>
          </w:r>
          <w:r>
            <w:rPr>
              <w:rFonts w:ascii="Times New Roman" w:hAnsi="Times New Roman" w:eastAsia="Times New Roman" w:cs="Times New Roman"/>
              <w:spacing w:val="-6"/>
              <w:position w:val="1"/>
              <w:sz w:val="27"/>
              <w:szCs w:val="27"/>
            </w:rPr>
            <w:t>1.30</w:t>
          </w:r>
          <w:r>
            <w:rPr>
              <w:rFonts w:ascii="Times New Roman" w:hAnsi="Times New Roman" w:eastAsia="Times New Roman" w:cs="Times New Roman"/>
              <w:spacing w:val="10"/>
              <w:position w:val="1"/>
              <w:sz w:val="27"/>
              <w:szCs w:val="27"/>
            </w:rPr>
            <w:t xml:space="preserve">     </w:t>
          </w:r>
          <w:r>
            <w:rPr>
              <w:rFonts w:ascii="仿宋" w:hAnsi="仿宋" w:eastAsia="仿宋" w:cs="仿宋"/>
              <w:spacing w:val="-6"/>
              <w:position w:val="1"/>
              <w:sz w:val="27"/>
              <w:szCs w:val="27"/>
            </w:rPr>
            <w:t>技术说明书</w:t>
          </w:r>
          <w:r>
            <w:rPr>
              <w:rFonts w:ascii="仿宋" w:hAnsi="仿宋" w:eastAsia="仿宋" w:cs="仿宋"/>
              <w:spacing w:val="48"/>
              <w:position w:val="1"/>
              <w:sz w:val="27"/>
              <w:szCs w:val="27"/>
            </w:rPr>
            <w:t xml:space="preserve"> </w:t>
          </w:r>
          <w:r>
            <w:rPr>
              <w:rFonts w:ascii="仿宋" w:hAnsi="仿宋" w:eastAsia="仿宋" w:cs="仿宋"/>
              <w:position w:val="1"/>
              <w:sz w:val="27"/>
              <w:szCs w:val="27"/>
            </w:rPr>
            <w:tab/>
          </w:r>
          <w:r>
            <w:rPr>
              <w:spacing w:val="-3"/>
              <w:position w:val="1"/>
              <w:sz w:val="27"/>
              <w:szCs w:val="27"/>
            </w:rPr>
            <w:t>92</w:t>
          </w:r>
          <w:r>
            <w:rPr>
              <w:spacing w:val="-3"/>
              <w:position w:val="1"/>
              <w:sz w:val="27"/>
              <w:szCs w:val="27"/>
            </w:rPr>
            <w:fldChar w:fldCharType="end"/>
          </w:r>
        </w:p>
        <w:p w14:paraId="4ABBC209">
          <w:pPr>
            <w:pStyle w:val="2"/>
            <w:tabs>
              <w:tab w:val="right" w:leader="dot" w:pos="8800"/>
            </w:tabs>
            <w:spacing w:before="30" w:line="368" w:lineRule="exact"/>
            <w:rPr>
              <w:sz w:val="27"/>
              <w:szCs w:val="27"/>
            </w:rPr>
          </w:pPr>
          <w:r>
            <w:fldChar w:fldCharType="begin"/>
          </w:r>
          <w:r>
            <w:instrText xml:space="preserve"> HYPERLINK \l "bookmark33" </w:instrText>
          </w:r>
          <w:r>
            <w:fldChar w:fldCharType="separate"/>
          </w:r>
          <w:r>
            <w:rPr>
              <w:rFonts w:ascii="Times New Roman" w:hAnsi="Times New Roman" w:eastAsia="Times New Roman" w:cs="Times New Roman"/>
              <w:spacing w:val="-5"/>
              <w:position w:val="1"/>
              <w:sz w:val="27"/>
              <w:szCs w:val="27"/>
            </w:rPr>
            <w:t>1.31</w:t>
          </w:r>
          <w:r>
            <w:rPr>
              <w:rFonts w:ascii="Times New Roman" w:hAnsi="Times New Roman" w:eastAsia="Times New Roman" w:cs="Times New Roman"/>
              <w:spacing w:val="9"/>
              <w:position w:val="1"/>
              <w:sz w:val="27"/>
              <w:szCs w:val="27"/>
            </w:rPr>
            <w:t xml:space="preserve">     </w:t>
          </w:r>
          <w:r>
            <w:rPr>
              <w:rFonts w:ascii="仿宋" w:hAnsi="仿宋" w:eastAsia="仿宋" w:cs="仿宋"/>
              <w:spacing w:val="-5"/>
              <w:position w:val="1"/>
              <w:sz w:val="27"/>
              <w:szCs w:val="27"/>
            </w:rPr>
            <w:t>使用维护说明书</w:t>
          </w:r>
          <w:r>
            <w:rPr>
              <w:rFonts w:ascii="仿宋" w:hAnsi="仿宋" w:eastAsia="仿宋" w:cs="仿宋"/>
              <w:spacing w:val="24"/>
              <w:position w:val="1"/>
              <w:sz w:val="27"/>
              <w:szCs w:val="27"/>
            </w:rPr>
            <w:t xml:space="preserve"> </w:t>
          </w:r>
          <w:r>
            <w:rPr>
              <w:rFonts w:ascii="仿宋" w:hAnsi="仿宋" w:eastAsia="仿宋" w:cs="仿宋"/>
              <w:position w:val="1"/>
              <w:sz w:val="27"/>
              <w:szCs w:val="27"/>
            </w:rPr>
            <w:tab/>
          </w:r>
          <w:r>
            <w:rPr>
              <w:spacing w:val="6"/>
              <w:position w:val="1"/>
              <w:sz w:val="27"/>
              <w:szCs w:val="27"/>
            </w:rPr>
            <w:t>94</w:t>
          </w:r>
          <w:r>
            <w:rPr>
              <w:spacing w:val="6"/>
              <w:position w:val="1"/>
              <w:sz w:val="27"/>
              <w:szCs w:val="27"/>
            </w:rPr>
            <w:fldChar w:fldCharType="end"/>
          </w:r>
        </w:p>
        <w:p w14:paraId="70DE7322">
          <w:pPr>
            <w:pStyle w:val="2"/>
            <w:tabs>
              <w:tab w:val="right" w:leader="dot" w:pos="8817"/>
            </w:tabs>
            <w:spacing w:before="44" w:line="368" w:lineRule="exact"/>
            <w:rPr>
              <w:sz w:val="27"/>
              <w:szCs w:val="27"/>
            </w:rPr>
          </w:pPr>
          <w:r>
            <w:fldChar w:fldCharType="begin"/>
          </w:r>
          <w:r>
            <w:instrText xml:space="preserve"> HYPERLINK \l "bookmark34" </w:instrText>
          </w:r>
          <w:r>
            <w:fldChar w:fldCharType="separate"/>
          </w:r>
          <w:r>
            <w:rPr>
              <w:rFonts w:ascii="Times New Roman" w:hAnsi="Times New Roman" w:eastAsia="Times New Roman" w:cs="Times New Roman"/>
              <w:spacing w:val="-6"/>
              <w:position w:val="1"/>
              <w:sz w:val="27"/>
              <w:szCs w:val="27"/>
            </w:rPr>
            <w:t xml:space="preserve">1.32      </w:t>
          </w:r>
          <w:r>
            <w:rPr>
              <w:rFonts w:ascii="仿宋" w:hAnsi="仿宋" w:eastAsia="仿宋" w:cs="仿宋"/>
              <w:spacing w:val="-6"/>
              <w:position w:val="1"/>
              <w:sz w:val="27"/>
              <w:szCs w:val="27"/>
            </w:rPr>
            <w:t>改装方案</w:t>
          </w:r>
          <w:r>
            <w:rPr>
              <w:rFonts w:ascii="仿宋" w:hAnsi="仿宋" w:eastAsia="仿宋" w:cs="仿宋"/>
              <w:spacing w:val="40"/>
              <w:position w:val="1"/>
              <w:sz w:val="27"/>
              <w:szCs w:val="27"/>
            </w:rPr>
            <w:t xml:space="preserve"> </w:t>
          </w:r>
          <w:r>
            <w:rPr>
              <w:rFonts w:ascii="仿宋" w:hAnsi="仿宋" w:eastAsia="仿宋" w:cs="仿宋"/>
              <w:position w:val="1"/>
              <w:sz w:val="27"/>
              <w:szCs w:val="27"/>
            </w:rPr>
            <w:tab/>
          </w:r>
          <w:r>
            <w:rPr>
              <w:spacing w:val="10"/>
              <w:position w:val="1"/>
              <w:sz w:val="27"/>
              <w:szCs w:val="27"/>
            </w:rPr>
            <w:t>96</w:t>
          </w:r>
          <w:r>
            <w:rPr>
              <w:spacing w:val="10"/>
              <w:position w:val="1"/>
              <w:sz w:val="27"/>
              <w:szCs w:val="27"/>
            </w:rPr>
            <w:fldChar w:fldCharType="end"/>
          </w:r>
        </w:p>
        <w:p w14:paraId="4AE97A5D">
          <w:pPr>
            <w:pStyle w:val="2"/>
            <w:tabs>
              <w:tab w:val="right" w:leader="dot" w:pos="8840"/>
            </w:tabs>
            <w:spacing w:before="47" w:line="368" w:lineRule="exact"/>
            <w:rPr>
              <w:sz w:val="27"/>
              <w:szCs w:val="27"/>
            </w:rPr>
          </w:pPr>
          <w:r>
            <w:fldChar w:fldCharType="begin"/>
          </w:r>
          <w:r>
            <w:instrText xml:space="preserve"> HYPERLINK \l "bookmark35" </w:instrText>
          </w:r>
          <w:r>
            <w:fldChar w:fldCharType="separate"/>
          </w:r>
          <w:r>
            <w:rPr>
              <w:rFonts w:ascii="Times New Roman" w:hAnsi="Times New Roman" w:eastAsia="Times New Roman" w:cs="Times New Roman"/>
              <w:spacing w:val="2"/>
              <w:position w:val="2"/>
              <w:sz w:val="27"/>
              <w:szCs w:val="27"/>
            </w:rPr>
            <w:t>1.33</w:t>
          </w:r>
          <w:r>
            <w:rPr>
              <w:rFonts w:ascii="Times New Roman" w:hAnsi="Times New Roman" w:eastAsia="Times New Roman" w:cs="Times New Roman"/>
              <w:spacing w:val="10"/>
              <w:position w:val="2"/>
              <w:sz w:val="27"/>
              <w:szCs w:val="27"/>
            </w:rPr>
            <w:t xml:space="preserve">     </w:t>
          </w:r>
          <w:r>
            <w:rPr>
              <w:rFonts w:ascii="仿宋" w:hAnsi="仿宋" w:eastAsia="仿宋" w:cs="仿宋"/>
              <w:spacing w:val="2"/>
              <w:position w:val="2"/>
              <w:sz w:val="27"/>
              <w:szCs w:val="27"/>
            </w:rPr>
            <w:t>设计定型试验申请报告</w:t>
          </w:r>
          <w:r>
            <w:rPr>
              <w:rFonts w:ascii="仿宋" w:hAnsi="仿宋" w:eastAsia="仿宋" w:cs="仿宋"/>
              <w:spacing w:val="-124"/>
              <w:position w:val="2"/>
              <w:sz w:val="27"/>
              <w:szCs w:val="27"/>
            </w:rPr>
            <w:t xml:space="preserve"> </w:t>
          </w:r>
          <w:r>
            <w:rPr>
              <w:rFonts w:ascii="仿宋" w:hAnsi="仿宋" w:eastAsia="仿宋" w:cs="仿宋"/>
              <w:position w:val="2"/>
              <w:sz w:val="27"/>
              <w:szCs w:val="27"/>
            </w:rPr>
            <w:tab/>
          </w:r>
          <w:r>
            <w:rPr>
              <w:spacing w:val="-13"/>
              <w:position w:val="2"/>
              <w:sz w:val="27"/>
              <w:szCs w:val="27"/>
            </w:rPr>
            <w:t>101</w:t>
          </w:r>
          <w:r>
            <w:rPr>
              <w:spacing w:val="-13"/>
              <w:position w:val="2"/>
              <w:sz w:val="27"/>
              <w:szCs w:val="27"/>
            </w:rPr>
            <w:fldChar w:fldCharType="end"/>
          </w:r>
        </w:p>
        <w:p w14:paraId="6D08BCA2">
          <w:pPr>
            <w:pStyle w:val="2"/>
            <w:tabs>
              <w:tab w:val="right" w:leader="dot" w:pos="8802"/>
            </w:tabs>
            <w:spacing w:before="36" w:line="368" w:lineRule="exact"/>
            <w:rPr>
              <w:sz w:val="27"/>
              <w:szCs w:val="27"/>
            </w:rPr>
          </w:pPr>
          <w:r>
            <w:fldChar w:fldCharType="begin"/>
          </w:r>
          <w:r>
            <w:instrText xml:space="preserve"> HYPERLINK \l "bookmark36" </w:instrText>
          </w:r>
          <w:r>
            <w:fldChar w:fldCharType="separate"/>
          </w:r>
          <w:r>
            <w:rPr>
              <w:rFonts w:ascii="Times New Roman" w:hAnsi="Times New Roman" w:eastAsia="Times New Roman" w:cs="Times New Roman"/>
              <w:spacing w:val="1"/>
              <w:position w:val="1"/>
              <w:sz w:val="27"/>
              <w:szCs w:val="27"/>
            </w:rPr>
            <w:t>1.34</w:t>
          </w:r>
          <w:r>
            <w:rPr>
              <w:rFonts w:ascii="Times New Roman" w:hAnsi="Times New Roman" w:eastAsia="Times New Roman" w:cs="Times New Roman"/>
              <w:spacing w:val="10"/>
              <w:position w:val="1"/>
              <w:sz w:val="27"/>
              <w:szCs w:val="27"/>
            </w:rPr>
            <w:t xml:space="preserve">     </w:t>
          </w:r>
          <w:r>
            <w:rPr>
              <w:rFonts w:ascii="仿宋" w:hAnsi="仿宋" w:eastAsia="仿宋" w:cs="仿宋"/>
              <w:spacing w:val="1"/>
              <w:position w:val="1"/>
              <w:sz w:val="27"/>
              <w:szCs w:val="27"/>
            </w:rPr>
            <w:t>设计定型试验大纲</w:t>
          </w:r>
          <w:r>
            <w:rPr>
              <w:rFonts w:ascii="仿宋" w:hAnsi="仿宋" w:eastAsia="仿宋" w:cs="仿宋"/>
              <w:position w:val="1"/>
              <w:sz w:val="27"/>
              <w:szCs w:val="27"/>
            </w:rPr>
            <w:tab/>
          </w:r>
          <w:r>
            <w:rPr>
              <w:spacing w:val="-13"/>
              <w:position w:val="1"/>
              <w:sz w:val="27"/>
              <w:szCs w:val="27"/>
            </w:rPr>
            <w:t>102</w:t>
          </w:r>
          <w:r>
            <w:rPr>
              <w:spacing w:val="-13"/>
              <w:position w:val="1"/>
              <w:sz w:val="27"/>
              <w:szCs w:val="27"/>
            </w:rPr>
            <w:fldChar w:fldCharType="end"/>
          </w:r>
        </w:p>
        <w:p w14:paraId="2F3A3277">
          <w:pPr>
            <w:pStyle w:val="2"/>
            <w:tabs>
              <w:tab w:val="right" w:leader="dot" w:pos="8820"/>
            </w:tabs>
            <w:spacing w:before="42" w:line="368" w:lineRule="exact"/>
            <w:rPr>
              <w:sz w:val="27"/>
              <w:szCs w:val="27"/>
            </w:rPr>
          </w:pPr>
          <w:r>
            <w:fldChar w:fldCharType="begin"/>
          </w:r>
          <w:r>
            <w:instrText xml:space="preserve"> HYPERLINK \l "bookmark37" </w:instrText>
          </w:r>
          <w:r>
            <w:fldChar w:fldCharType="separate"/>
          </w:r>
          <w:r>
            <w:rPr>
              <w:rFonts w:ascii="Times New Roman" w:hAnsi="Times New Roman" w:eastAsia="Times New Roman" w:cs="Times New Roman"/>
              <w:spacing w:val="4"/>
              <w:position w:val="1"/>
              <w:sz w:val="27"/>
              <w:szCs w:val="27"/>
            </w:rPr>
            <w:t>1.35</w:t>
          </w:r>
          <w:r>
            <w:rPr>
              <w:rFonts w:ascii="Times New Roman" w:hAnsi="Times New Roman" w:eastAsia="Times New Roman" w:cs="Times New Roman"/>
              <w:spacing w:val="13"/>
              <w:position w:val="1"/>
              <w:sz w:val="27"/>
              <w:szCs w:val="27"/>
            </w:rPr>
            <w:t xml:space="preserve">     </w:t>
          </w:r>
          <w:r>
            <w:rPr>
              <w:rFonts w:ascii="仿宋" w:hAnsi="仿宋" w:eastAsia="仿宋" w:cs="仿宋"/>
              <w:spacing w:val="4"/>
              <w:position w:val="1"/>
              <w:sz w:val="27"/>
              <w:szCs w:val="27"/>
            </w:rPr>
            <w:t>设计定型试验大纲(部队试验)</w:t>
          </w:r>
          <w:r>
            <w:rPr>
              <w:rFonts w:ascii="仿宋" w:hAnsi="仿宋" w:eastAsia="仿宋" w:cs="仿宋"/>
              <w:position w:val="1"/>
              <w:sz w:val="27"/>
              <w:szCs w:val="27"/>
            </w:rPr>
            <w:tab/>
          </w:r>
          <w:r>
            <w:rPr>
              <w:spacing w:val="-7"/>
              <w:position w:val="1"/>
              <w:sz w:val="27"/>
              <w:szCs w:val="27"/>
            </w:rPr>
            <w:t>103</w:t>
          </w:r>
          <w:r>
            <w:rPr>
              <w:spacing w:val="-7"/>
              <w:position w:val="1"/>
              <w:sz w:val="27"/>
              <w:szCs w:val="27"/>
            </w:rPr>
            <w:fldChar w:fldCharType="end"/>
          </w:r>
        </w:p>
        <w:p w14:paraId="6A2C966A">
          <w:pPr>
            <w:pStyle w:val="2"/>
            <w:tabs>
              <w:tab w:val="right" w:leader="dot" w:pos="8820"/>
            </w:tabs>
            <w:spacing w:before="40" w:line="368" w:lineRule="exact"/>
            <w:rPr>
              <w:sz w:val="27"/>
              <w:szCs w:val="27"/>
            </w:rPr>
          </w:pPr>
          <w:r>
            <w:fldChar w:fldCharType="begin"/>
          </w:r>
          <w:r>
            <w:instrText xml:space="preserve"> HYPERLINK \l "bookmark38" </w:instrText>
          </w:r>
          <w:r>
            <w:fldChar w:fldCharType="separate"/>
          </w:r>
          <w:r>
            <w:rPr>
              <w:rFonts w:ascii="Times New Roman" w:hAnsi="Times New Roman" w:eastAsia="Times New Roman" w:cs="Times New Roman"/>
              <w:spacing w:val="2"/>
              <w:position w:val="1"/>
              <w:sz w:val="27"/>
              <w:szCs w:val="27"/>
            </w:rPr>
            <w:t>1.36</w:t>
          </w:r>
          <w:r>
            <w:rPr>
              <w:rFonts w:ascii="Times New Roman" w:hAnsi="Times New Roman" w:eastAsia="Times New Roman" w:cs="Times New Roman"/>
              <w:spacing w:val="14"/>
              <w:position w:val="1"/>
              <w:sz w:val="27"/>
              <w:szCs w:val="27"/>
            </w:rPr>
            <w:t xml:space="preserve">     </w:t>
          </w:r>
          <w:r>
            <w:rPr>
              <w:rFonts w:ascii="仿宋" w:hAnsi="仿宋" w:eastAsia="仿宋" w:cs="仿宋"/>
              <w:spacing w:val="2"/>
              <w:position w:val="1"/>
              <w:sz w:val="27"/>
              <w:szCs w:val="27"/>
            </w:rPr>
            <w:t>设计定型试验大纲编制说明</w:t>
          </w:r>
          <w:r>
            <w:rPr>
              <w:rFonts w:ascii="仿宋" w:hAnsi="仿宋" w:eastAsia="仿宋" w:cs="仿宋"/>
              <w:position w:val="1"/>
              <w:sz w:val="27"/>
              <w:szCs w:val="27"/>
            </w:rPr>
            <w:tab/>
          </w:r>
          <w:r>
            <w:rPr>
              <w:spacing w:val="-7"/>
              <w:position w:val="1"/>
              <w:sz w:val="27"/>
              <w:szCs w:val="27"/>
            </w:rPr>
            <w:t>108</w:t>
          </w:r>
          <w:r>
            <w:rPr>
              <w:spacing w:val="-7"/>
              <w:position w:val="1"/>
              <w:sz w:val="27"/>
              <w:szCs w:val="27"/>
            </w:rPr>
            <w:fldChar w:fldCharType="end"/>
          </w:r>
        </w:p>
        <w:p w14:paraId="5B8FE84A">
          <w:pPr>
            <w:pStyle w:val="2"/>
            <w:tabs>
              <w:tab w:val="right" w:leader="dot" w:pos="8800"/>
            </w:tabs>
            <w:spacing w:before="34" w:line="368" w:lineRule="exact"/>
            <w:rPr>
              <w:sz w:val="27"/>
              <w:szCs w:val="27"/>
            </w:rPr>
          </w:pPr>
          <w:r>
            <w:fldChar w:fldCharType="begin"/>
          </w:r>
          <w:r>
            <w:instrText xml:space="preserve"> HYPERLINK \l "bookmark39" </w:instrText>
          </w:r>
          <w:r>
            <w:fldChar w:fldCharType="separate"/>
          </w:r>
          <w:r>
            <w:rPr>
              <w:rFonts w:ascii="Times New Roman" w:hAnsi="Times New Roman" w:eastAsia="Times New Roman" w:cs="Times New Roman"/>
              <w:spacing w:val="2"/>
              <w:position w:val="1"/>
              <w:sz w:val="27"/>
              <w:szCs w:val="27"/>
            </w:rPr>
            <w:t>1.37</w:t>
          </w:r>
          <w:r>
            <w:rPr>
              <w:rFonts w:ascii="Times New Roman" w:hAnsi="Times New Roman" w:eastAsia="Times New Roman" w:cs="Times New Roman"/>
              <w:spacing w:val="8"/>
              <w:position w:val="1"/>
              <w:sz w:val="27"/>
              <w:szCs w:val="27"/>
            </w:rPr>
            <w:t xml:space="preserve">     </w:t>
          </w:r>
          <w:r>
            <w:rPr>
              <w:rFonts w:ascii="仿宋" w:hAnsi="仿宋" w:eastAsia="仿宋" w:cs="仿宋"/>
              <w:spacing w:val="2"/>
              <w:position w:val="1"/>
              <w:sz w:val="27"/>
              <w:szCs w:val="27"/>
            </w:rPr>
            <w:t>设计定型试验报告</w:t>
          </w:r>
          <w:r>
            <w:rPr>
              <w:rFonts w:ascii="仿宋" w:hAnsi="仿宋" w:eastAsia="仿宋" w:cs="仿宋"/>
              <w:spacing w:val="-120"/>
              <w:position w:val="1"/>
              <w:sz w:val="27"/>
              <w:szCs w:val="27"/>
            </w:rPr>
            <w:t xml:space="preserve"> </w:t>
          </w:r>
          <w:r>
            <w:rPr>
              <w:rFonts w:ascii="仿宋" w:hAnsi="仿宋" w:eastAsia="仿宋" w:cs="仿宋"/>
              <w:position w:val="1"/>
              <w:sz w:val="27"/>
              <w:szCs w:val="27"/>
            </w:rPr>
            <w:tab/>
          </w:r>
          <w:r>
            <w:rPr>
              <w:spacing w:val="-15"/>
              <w:position w:val="1"/>
              <w:sz w:val="27"/>
              <w:szCs w:val="27"/>
            </w:rPr>
            <w:t>109</w:t>
          </w:r>
          <w:r>
            <w:rPr>
              <w:spacing w:val="-15"/>
              <w:position w:val="1"/>
              <w:sz w:val="27"/>
              <w:szCs w:val="27"/>
            </w:rPr>
            <w:fldChar w:fldCharType="end"/>
          </w:r>
        </w:p>
        <w:p w14:paraId="648CFB15">
          <w:pPr>
            <w:pStyle w:val="2"/>
            <w:tabs>
              <w:tab w:val="right" w:leader="dot" w:pos="8820"/>
            </w:tabs>
            <w:spacing w:before="51" w:line="368" w:lineRule="exact"/>
            <w:rPr>
              <w:sz w:val="27"/>
              <w:szCs w:val="27"/>
            </w:rPr>
          </w:pPr>
          <w:r>
            <w:fldChar w:fldCharType="begin"/>
          </w:r>
          <w:r>
            <w:instrText xml:space="preserve"> HYPERLINK \l "bookmark40" </w:instrText>
          </w:r>
          <w:r>
            <w:fldChar w:fldCharType="separate"/>
          </w:r>
          <w:r>
            <w:rPr>
              <w:rFonts w:ascii="Times New Roman" w:hAnsi="Times New Roman" w:eastAsia="Times New Roman" w:cs="Times New Roman"/>
              <w:spacing w:val="4"/>
              <w:position w:val="1"/>
              <w:sz w:val="27"/>
              <w:szCs w:val="27"/>
            </w:rPr>
            <w:t>1.38</w:t>
          </w:r>
          <w:r>
            <w:rPr>
              <w:rFonts w:ascii="Times New Roman" w:hAnsi="Times New Roman" w:eastAsia="Times New Roman" w:cs="Times New Roman"/>
              <w:spacing w:val="15"/>
              <w:position w:val="1"/>
              <w:sz w:val="27"/>
              <w:szCs w:val="27"/>
            </w:rPr>
            <w:t xml:space="preserve">     </w:t>
          </w:r>
          <w:r>
            <w:rPr>
              <w:rFonts w:ascii="仿宋" w:hAnsi="仿宋" w:eastAsia="仿宋" w:cs="仿宋"/>
              <w:spacing w:val="4"/>
              <w:position w:val="1"/>
              <w:sz w:val="27"/>
              <w:szCs w:val="27"/>
            </w:rPr>
            <w:t>设计定型试验报告(部队试验)</w:t>
          </w:r>
          <w:r>
            <w:rPr>
              <w:rFonts w:ascii="仿宋" w:hAnsi="仿宋" w:eastAsia="仿宋" w:cs="仿宋"/>
              <w:position w:val="1"/>
              <w:sz w:val="27"/>
              <w:szCs w:val="27"/>
            </w:rPr>
            <w:tab/>
          </w:r>
          <w:r>
            <w:rPr>
              <w:spacing w:val="-7"/>
              <w:position w:val="1"/>
              <w:sz w:val="27"/>
              <w:szCs w:val="27"/>
            </w:rPr>
            <w:t>110</w:t>
          </w:r>
          <w:r>
            <w:rPr>
              <w:spacing w:val="-7"/>
              <w:position w:val="1"/>
              <w:sz w:val="27"/>
              <w:szCs w:val="27"/>
            </w:rPr>
            <w:fldChar w:fldCharType="end"/>
          </w:r>
        </w:p>
        <w:p w14:paraId="149B498B">
          <w:pPr>
            <w:pStyle w:val="2"/>
            <w:tabs>
              <w:tab w:val="right" w:leader="dot" w:pos="8810"/>
            </w:tabs>
            <w:spacing w:before="72" w:line="222" w:lineRule="auto"/>
            <w:rPr>
              <w:sz w:val="27"/>
              <w:szCs w:val="27"/>
            </w:rPr>
          </w:pPr>
          <w:r>
            <w:fldChar w:fldCharType="begin"/>
          </w:r>
          <w:r>
            <w:instrText xml:space="preserve"> HYPERLINK \l "bookmark41" </w:instrText>
          </w:r>
          <w:r>
            <w:fldChar w:fldCharType="separate"/>
          </w:r>
          <w:r>
            <w:rPr>
              <w:rFonts w:ascii="Times New Roman" w:hAnsi="Times New Roman" w:eastAsia="Times New Roman" w:cs="Times New Roman"/>
              <w:spacing w:val="1"/>
              <w:sz w:val="27"/>
              <w:szCs w:val="27"/>
            </w:rPr>
            <w:t xml:space="preserve">1.39      </w:t>
          </w:r>
          <w:r>
            <w:rPr>
              <w:rFonts w:ascii="仿宋" w:hAnsi="仿宋" w:eastAsia="仿宋" w:cs="仿宋"/>
              <w:spacing w:val="1"/>
              <w:sz w:val="27"/>
              <w:szCs w:val="27"/>
            </w:rPr>
            <w:t>重大技术问题的技术攻关报告</w:t>
          </w:r>
          <w:r>
            <w:rPr>
              <w:rFonts w:ascii="仿宋" w:hAnsi="仿宋" w:eastAsia="仿宋" w:cs="仿宋"/>
              <w:spacing w:val="-97"/>
              <w:sz w:val="27"/>
              <w:szCs w:val="27"/>
            </w:rPr>
            <w:t xml:space="preserve"> </w:t>
          </w:r>
          <w:r>
            <w:rPr>
              <w:rFonts w:ascii="仿宋" w:hAnsi="仿宋" w:eastAsia="仿宋" w:cs="仿宋"/>
              <w:sz w:val="27"/>
              <w:szCs w:val="27"/>
            </w:rPr>
            <w:tab/>
          </w:r>
          <w:r>
            <w:rPr>
              <w:spacing w:val="-7"/>
              <w:sz w:val="27"/>
              <w:szCs w:val="27"/>
            </w:rPr>
            <w:t>117</w:t>
          </w:r>
          <w:r>
            <w:rPr>
              <w:spacing w:val="-7"/>
              <w:sz w:val="27"/>
              <w:szCs w:val="27"/>
            </w:rPr>
            <w:fldChar w:fldCharType="end"/>
          </w:r>
        </w:p>
        <w:p w14:paraId="24FCDD5B">
          <w:pPr>
            <w:pStyle w:val="2"/>
            <w:tabs>
              <w:tab w:val="right" w:leader="dot" w:pos="8820"/>
            </w:tabs>
            <w:spacing w:before="46" w:line="368" w:lineRule="exact"/>
            <w:rPr>
              <w:sz w:val="27"/>
              <w:szCs w:val="27"/>
            </w:rPr>
          </w:pPr>
          <w:r>
            <w:fldChar w:fldCharType="begin"/>
          </w:r>
          <w:r>
            <w:instrText xml:space="preserve"> HYPERLINK \l "bookmark42" </w:instrText>
          </w:r>
          <w:r>
            <w:fldChar w:fldCharType="separate"/>
          </w:r>
          <w:r>
            <w:rPr>
              <w:rFonts w:ascii="Times New Roman" w:hAnsi="Times New Roman" w:eastAsia="Times New Roman" w:cs="Times New Roman"/>
              <w:spacing w:val="1"/>
              <w:position w:val="1"/>
              <w:sz w:val="27"/>
              <w:szCs w:val="27"/>
            </w:rPr>
            <w:t>1.40</w:t>
          </w:r>
          <w:r>
            <w:rPr>
              <w:rFonts w:ascii="Times New Roman" w:hAnsi="Times New Roman" w:eastAsia="Times New Roman" w:cs="Times New Roman"/>
              <w:spacing w:val="9"/>
              <w:position w:val="1"/>
              <w:sz w:val="27"/>
              <w:szCs w:val="27"/>
            </w:rPr>
            <w:t xml:space="preserve">     </w:t>
          </w:r>
          <w:r>
            <w:rPr>
              <w:rFonts w:ascii="仿宋" w:hAnsi="仿宋" w:eastAsia="仿宋" w:cs="仿宋"/>
              <w:spacing w:val="1"/>
              <w:position w:val="1"/>
              <w:sz w:val="27"/>
              <w:szCs w:val="27"/>
            </w:rPr>
            <w:t>质量问题报告</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9"/>
              <w:position w:val="1"/>
              <w:sz w:val="27"/>
              <w:szCs w:val="27"/>
            </w:rPr>
            <w:t>118</w:t>
          </w:r>
          <w:r>
            <w:rPr>
              <w:spacing w:val="-9"/>
              <w:position w:val="1"/>
              <w:sz w:val="27"/>
              <w:szCs w:val="27"/>
            </w:rPr>
            <w:fldChar w:fldCharType="end"/>
          </w:r>
        </w:p>
        <w:p w14:paraId="2E25A9FD">
          <w:pPr>
            <w:pStyle w:val="2"/>
            <w:tabs>
              <w:tab w:val="right" w:leader="dot" w:pos="8820"/>
            </w:tabs>
            <w:spacing w:before="41" w:line="368" w:lineRule="exact"/>
            <w:rPr>
              <w:sz w:val="27"/>
              <w:szCs w:val="27"/>
            </w:rPr>
          </w:pPr>
          <w:r>
            <w:fldChar w:fldCharType="begin"/>
          </w:r>
          <w:r>
            <w:instrText xml:space="preserve"> HYPERLINK \l "bookmark43" </w:instrText>
          </w:r>
          <w:r>
            <w:fldChar w:fldCharType="separate"/>
          </w:r>
          <w:r>
            <w:rPr>
              <w:rFonts w:ascii="Times New Roman" w:hAnsi="Times New Roman" w:eastAsia="Times New Roman" w:cs="Times New Roman"/>
              <w:spacing w:val="3"/>
              <w:position w:val="1"/>
              <w:sz w:val="27"/>
              <w:szCs w:val="27"/>
            </w:rPr>
            <w:t>1.41</w:t>
          </w:r>
          <w:r>
            <w:rPr>
              <w:rFonts w:ascii="Times New Roman" w:hAnsi="Times New Roman" w:eastAsia="Times New Roman" w:cs="Times New Roman"/>
              <w:spacing w:val="10"/>
              <w:position w:val="1"/>
              <w:sz w:val="27"/>
              <w:szCs w:val="27"/>
            </w:rPr>
            <w:t xml:space="preserve">     </w:t>
          </w:r>
          <w:r>
            <w:rPr>
              <w:rFonts w:ascii="仿宋" w:hAnsi="仿宋" w:eastAsia="仿宋" w:cs="仿宋"/>
              <w:spacing w:val="3"/>
              <w:position w:val="1"/>
              <w:sz w:val="27"/>
              <w:szCs w:val="27"/>
            </w:rPr>
            <w:t>价值工程和成本分析报告</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7"/>
              <w:position w:val="1"/>
              <w:sz w:val="27"/>
              <w:szCs w:val="27"/>
            </w:rPr>
            <w:t>119</w:t>
          </w:r>
          <w:r>
            <w:rPr>
              <w:spacing w:val="-7"/>
              <w:position w:val="1"/>
              <w:sz w:val="27"/>
              <w:szCs w:val="27"/>
            </w:rPr>
            <w:fldChar w:fldCharType="end"/>
          </w:r>
        </w:p>
        <w:p w14:paraId="791E39A8">
          <w:pPr>
            <w:pStyle w:val="2"/>
            <w:tabs>
              <w:tab w:val="right" w:leader="dot" w:pos="8800"/>
            </w:tabs>
            <w:spacing w:before="30" w:line="368" w:lineRule="exact"/>
            <w:rPr>
              <w:sz w:val="27"/>
              <w:szCs w:val="27"/>
            </w:rPr>
          </w:pPr>
          <w:r>
            <w:fldChar w:fldCharType="begin"/>
          </w:r>
          <w:r>
            <w:instrText xml:space="preserve"> HYPERLINK \l "bookmark44" </w:instrText>
          </w:r>
          <w:r>
            <w:fldChar w:fldCharType="separate"/>
          </w:r>
          <w:r>
            <w:rPr>
              <w:rFonts w:ascii="Times New Roman" w:hAnsi="Times New Roman" w:eastAsia="Times New Roman" w:cs="Times New Roman"/>
              <w:spacing w:val="6"/>
              <w:position w:val="2"/>
              <w:sz w:val="27"/>
              <w:szCs w:val="27"/>
            </w:rPr>
            <w:t xml:space="preserve">1.42     </w:t>
          </w:r>
          <w:r>
            <w:rPr>
              <w:rFonts w:ascii="仿宋" w:hAnsi="仿宋" w:eastAsia="仿宋" w:cs="仿宋"/>
              <w:spacing w:val="6"/>
              <w:position w:val="2"/>
              <w:sz w:val="27"/>
              <w:szCs w:val="27"/>
            </w:rPr>
            <w:t>生产性分析报告(设计定型阶段)</w:t>
          </w:r>
          <w:r>
            <w:rPr>
              <w:rFonts w:ascii="仿宋" w:hAnsi="仿宋" w:eastAsia="仿宋" w:cs="仿宋"/>
              <w:position w:val="2"/>
              <w:sz w:val="27"/>
              <w:szCs w:val="27"/>
            </w:rPr>
            <w:tab/>
          </w:r>
          <w:r>
            <w:rPr>
              <w:spacing w:val="-16"/>
              <w:position w:val="2"/>
              <w:sz w:val="27"/>
              <w:szCs w:val="27"/>
            </w:rPr>
            <w:t>123</w:t>
          </w:r>
          <w:r>
            <w:rPr>
              <w:spacing w:val="-16"/>
              <w:position w:val="2"/>
              <w:sz w:val="27"/>
              <w:szCs w:val="27"/>
            </w:rPr>
            <w:fldChar w:fldCharType="end"/>
          </w:r>
        </w:p>
        <w:p w14:paraId="0FE0B1B9">
          <w:pPr>
            <w:pStyle w:val="2"/>
            <w:tabs>
              <w:tab w:val="right" w:leader="dot" w:pos="8802"/>
            </w:tabs>
            <w:spacing w:before="105" w:line="223" w:lineRule="auto"/>
            <w:rPr>
              <w:sz w:val="27"/>
              <w:szCs w:val="27"/>
            </w:rPr>
          </w:pPr>
          <w:r>
            <w:fldChar w:fldCharType="begin"/>
          </w:r>
          <w:r>
            <w:instrText xml:space="preserve"> HYPERLINK \l "bookmark45" </w:instrText>
          </w:r>
          <w:r>
            <w:fldChar w:fldCharType="separate"/>
          </w:r>
          <w:r>
            <w:rPr>
              <w:rFonts w:ascii="Times New Roman" w:hAnsi="Times New Roman" w:eastAsia="Times New Roman" w:cs="Times New Roman"/>
              <w:spacing w:val="-2"/>
              <w:sz w:val="27"/>
              <w:szCs w:val="27"/>
            </w:rPr>
            <w:t>1.43</w:t>
          </w:r>
          <w:r>
            <w:rPr>
              <w:rFonts w:ascii="Times New Roman" w:hAnsi="Times New Roman" w:eastAsia="Times New Roman" w:cs="Times New Roman"/>
              <w:spacing w:val="10"/>
              <w:sz w:val="27"/>
              <w:szCs w:val="27"/>
            </w:rPr>
            <w:t xml:space="preserve">     </w:t>
          </w:r>
          <w:r>
            <w:rPr>
              <w:rFonts w:ascii="仿宋" w:hAnsi="仿宋" w:eastAsia="仿宋" w:cs="仿宋"/>
              <w:spacing w:val="-2"/>
              <w:sz w:val="27"/>
              <w:szCs w:val="27"/>
            </w:rPr>
            <w:t>改装总结</w:t>
          </w:r>
          <w:r>
            <w:rPr>
              <w:rFonts w:ascii="仿宋" w:hAnsi="仿宋" w:eastAsia="仿宋" w:cs="仿宋"/>
              <w:sz w:val="27"/>
              <w:szCs w:val="27"/>
            </w:rPr>
            <w:tab/>
          </w:r>
          <w:r>
            <w:rPr>
              <w:spacing w:val="-6"/>
              <w:sz w:val="27"/>
              <w:szCs w:val="27"/>
            </w:rPr>
            <w:t>124</w:t>
          </w:r>
          <w:r>
            <w:rPr>
              <w:spacing w:val="-6"/>
              <w:sz w:val="27"/>
              <w:szCs w:val="27"/>
            </w:rPr>
            <w:fldChar w:fldCharType="end"/>
          </w:r>
        </w:p>
        <w:p w14:paraId="7706CD36">
          <w:pPr>
            <w:pStyle w:val="2"/>
            <w:tabs>
              <w:tab w:val="right" w:leader="dot" w:pos="8820"/>
            </w:tabs>
            <w:spacing w:before="33" w:line="368" w:lineRule="exact"/>
            <w:rPr>
              <w:sz w:val="27"/>
              <w:szCs w:val="27"/>
            </w:rPr>
          </w:pPr>
          <w:r>
            <w:fldChar w:fldCharType="begin"/>
          </w:r>
          <w:r>
            <w:instrText xml:space="preserve"> HYPERLINK \l "bookmark46" </w:instrText>
          </w:r>
          <w:r>
            <w:fldChar w:fldCharType="separate"/>
          </w:r>
          <w:r>
            <w:rPr>
              <w:rFonts w:ascii="Times New Roman" w:hAnsi="Times New Roman" w:eastAsia="Times New Roman" w:cs="Times New Roman"/>
              <w:spacing w:val="5"/>
              <w:position w:val="1"/>
              <w:sz w:val="27"/>
              <w:szCs w:val="27"/>
            </w:rPr>
            <w:t>1.44</w:t>
          </w:r>
          <w:r>
            <w:rPr>
              <w:rFonts w:ascii="Times New Roman" w:hAnsi="Times New Roman" w:eastAsia="Times New Roman" w:cs="Times New Roman"/>
              <w:spacing w:val="12"/>
              <w:position w:val="1"/>
              <w:sz w:val="27"/>
              <w:szCs w:val="27"/>
            </w:rPr>
            <w:t xml:space="preserve">     </w:t>
          </w:r>
          <w:r>
            <w:rPr>
              <w:rFonts w:ascii="仿宋" w:hAnsi="仿宋" w:eastAsia="仿宋" w:cs="仿宋"/>
              <w:spacing w:val="5"/>
              <w:position w:val="1"/>
              <w:sz w:val="27"/>
              <w:szCs w:val="27"/>
            </w:rPr>
            <w:t>研制总结(设计定型用)</w:t>
          </w:r>
          <w:r>
            <w:rPr>
              <w:rFonts w:ascii="仿宋" w:hAnsi="仿宋" w:eastAsia="仿宋" w:cs="仿宋"/>
              <w:position w:val="1"/>
              <w:sz w:val="27"/>
              <w:szCs w:val="27"/>
            </w:rPr>
            <w:tab/>
          </w:r>
          <w:r>
            <w:rPr>
              <w:spacing w:val="-7"/>
              <w:position w:val="1"/>
              <w:sz w:val="27"/>
              <w:szCs w:val="27"/>
            </w:rPr>
            <w:t>129</w:t>
          </w:r>
          <w:r>
            <w:rPr>
              <w:spacing w:val="-7"/>
              <w:position w:val="1"/>
              <w:sz w:val="27"/>
              <w:szCs w:val="27"/>
            </w:rPr>
            <w:fldChar w:fldCharType="end"/>
          </w:r>
        </w:p>
        <w:p w14:paraId="52C62286">
          <w:pPr>
            <w:pStyle w:val="2"/>
            <w:tabs>
              <w:tab w:val="right" w:leader="dot" w:pos="8800"/>
            </w:tabs>
            <w:spacing w:before="42" w:line="368" w:lineRule="exact"/>
            <w:rPr>
              <w:sz w:val="27"/>
              <w:szCs w:val="27"/>
            </w:rPr>
          </w:pPr>
          <w:r>
            <w:fldChar w:fldCharType="begin"/>
          </w:r>
          <w:r>
            <w:instrText xml:space="preserve"> HYPERLINK \l "bookmark47" </w:instrText>
          </w:r>
          <w:r>
            <w:fldChar w:fldCharType="separate"/>
          </w:r>
          <w:r>
            <w:rPr>
              <w:rFonts w:ascii="Times New Roman" w:hAnsi="Times New Roman" w:eastAsia="Times New Roman" w:cs="Times New Roman"/>
              <w:spacing w:val="2"/>
              <w:position w:val="1"/>
              <w:sz w:val="27"/>
              <w:szCs w:val="27"/>
            </w:rPr>
            <w:t>1.45</w:t>
          </w:r>
          <w:r>
            <w:rPr>
              <w:rFonts w:ascii="Times New Roman" w:hAnsi="Times New Roman" w:eastAsia="Times New Roman" w:cs="Times New Roman"/>
              <w:spacing w:val="10"/>
              <w:position w:val="1"/>
              <w:sz w:val="27"/>
              <w:szCs w:val="27"/>
            </w:rPr>
            <w:t xml:space="preserve">     </w:t>
          </w:r>
          <w:r>
            <w:rPr>
              <w:rFonts w:ascii="仿宋" w:hAnsi="仿宋" w:eastAsia="仿宋" w:cs="仿宋"/>
              <w:spacing w:val="2"/>
              <w:position w:val="1"/>
              <w:sz w:val="27"/>
              <w:szCs w:val="27"/>
            </w:rPr>
            <w:t>设计定型录像片解说词</w:t>
          </w:r>
          <w:r>
            <w:rPr>
              <w:rFonts w:ascii="仿宋" w:hAnsi="仿宋" w:eastAsia="仿宋" w:cs="仿宋"/>
              <w:position w:val="1"/>
              <w:sz w:val="27"/>
              <w:szCs w:val="27"/>
            </w:rPr>
            <w:tab/>
          </w:r>
          <w:r>
            <w:rPr>
              <w:spacing w:val="-15"/>
              <w:position w:val="1"/>
              <w:sz w:val="27"/>
              <w:szCs w:val="27"/>
            </w:rPr>
            <w:t>134</w:t>
          </w:r>
          <w:r>
            <w:rPr>
              <w:spacing w:val="-15"/>
              <w:position w:val="1"/>
              <w:sz w:val="27"/>
              <w:szCs w:val="27"/>
            </w:rPr>
            <w:fldChar w:fldCharType="end"/>
          </w:r>
        </w:p>
        <w:p w14:paraId="43ED5379">
          <w:pPr>
            <w:pStyle w:val="2"/>
            <w:tabs>
              <w:tab w:val="right" w:leader="dot" w:pos="8800"/>
            </w:tabs>
            <w:spacing w:before="30" w:line="369" w:lineRule="exact"/>
            <w:rPr>
              <w:sz w:val="27"/>
              <w:szCs w:val="27"/>
            </w:rPr>
          </w:pPr>
          <w:r>
            <w:fldChar w:fldCharType="begin"/>
          </w:r>
          <w:r>
            <w:instrText xml:space="preserve"> HYPERLINK \l "bookmark48" </w:instrText>
          </w:r>
          <w:r>
            <w:fldChar w:fldCharType="separate"/>
          </w:r>
          <w:r>
            <w:rPr>
              <w:rFonts w:ascii="Times New Roman" w:hAnsi="Times New Roman" w:eastAsia="Times New Roman" w:cs="Times New Roman"/>
              <w:spacing w:val="2"/>
              <w:position w:val="1"/>
              <w:sz w:val="27"/>
              <w:szCs w:val="27"/>
            </w:rPr>
            <w:t>1.46</w:t>
          </w:r>
          <w:r>
            <w:rPr>
              <w:rFonts w:ascii="Times New Roman" w:hAnsi="Times New Roman" w:eastAsia="Times New Roman" w:cs="Times New Roman"/>
              <w:spacing w:val="14"/>
              <w:position w:val="1"/>
              <w:sz w:val="27"/>
              <w:szCs w:val="27"/>
            </w:rPr>
            <w:t xml:space="preserve">     </w:t>
          </w:r>
          <w:r>
            <w:rPr>
              <w:rFonts w:ascii="仿宋" w:hAnsi="仿宋" w:eastAsia="仿宋" w:cs="仿宋"/>
              <w:spacing w:val="2"/>
              <w:position w:val="1"/>
              <w:sz w:val="27"/>
              <w:szCs w:val="27"/>
            </w:rPr>
            <w:t>总体单位对设计定型的意见</w:t>
          </w:r>
          <w:r>
            <w:rPr>
              <w:rFonts w:ascii="仿宋" w:hAnsi="仿宋" w:eastAsia="仿宋" w:cs="仿宋"/>
              <w:position w:val="1"/>
              <w:sz w:val="27"/>
              <w:szCs w:val="27"/>
            </w:rPr>
            <w:tab/>
          </w:r>
          <w:r>
            <w:rPr>
              <w:spacing w:val="-12"/>
              <w:position w:val="1"/>
              <w:sz w:val="27"/>
              <w:szCs w:val="27"/>
            </w:rPr>
            <w:t>135</w:t>
          </w:r>
          <w:r>
            <w:rPr>
              <w:spacing w:val="-12"/>
              <w:position w:val="1"/>
              <w:sz w:val="27"/>
              <w:szCs w:val="27"/>
            </w:rPr>
            <w:fldChar w:fldCharType="end"/>
          </w:r>
        </w:p>
        <w:p w14:paraId="268AFBFA">
          <w:pPr>
            <w:pStyle w:val="2"/>
            <w:tabs>
              <w:tab w:val="right" w:leader="dot" w:pos="8810"/>
            </w:tabs>
            <w:spacing w:before="64" w:line="368" w:lineRule="exact"/>
            <w:rPr>
              <w:sz w:val="27"/>
              <w:szCs w:val="27"/>
            </w:rPr>
          </w:pPr>
          <w:r>
            <w:fldChar w:fldCharType="begin"/>
          </w:r>
          <w:r>
            <w:instrText xml:space="preserve"> HYPERLINK \l "bookmark49" </w:instrText>
          </w:r>
          <w:r>
            <w:fldChar w:fldCharType="separate"/>
          </w:r>
          <w:r>
            <w:rPr>
              <w:rFonts w:ascii="Times New Roman" w:hAnsi="Times New Roman" w:eastAsia="Times New Roman" w:cs="Times New Roman"/>
              <w:spacing w:val="2"/>
              <w:position w:val="1"/>
              <w:sz w:val="27"/>
              <w:szCs w:val="27"/>
            </w:rPr>
            <w:t>1.47</w:t>
          </w:r>
          <w:r>
            <w:rPr>
              <w:rFonts w:ascii="Times New Roman" w:hAnsi="Times New Roman" w:eastAsia="Times New Roman" w:cs="Times New Roman"/>
              <w:spacing w:val="3"/>
              <w:position w:val="1"/>
              <w:sz w:val="27"/>
              <w:szCs w:val="27"/>
            </w:rPr>
            <w:t xml:space="preserve">      </w:t>
          </w:r>
          <w:r>
            <w:rPr>
              <w:rFonts w:ascii="仿宋" w:hAnsi="仿宋" w:eastAsia="仿宋" w:cs="仿宋"/>
              <w:spacing w:val="2"/>
              <w:position w:val="1"/>
              <w:sz w:val="27"/>
              <w:szCs w:val="27"/>
            </w:rPr>
            <w:t>军事代表机构对设计定型的意见</w:t>
          </w:r>
          <w:r>
            <w:rPr>
              <w:rFonts w:ascii="仿宋" w:hAnsi="仿宋" w:eastAsia="仿宋" w:cs="仿宋"/>
              <w:position w:val="1"/>
              <w:sz w:val="27"/>
              <w:szCs w:val="27"/>
            </w:rPr>
            <w:tab/>
          </w:r>
          <w:r>
            <w:rPr>
              <w:spacing w:val="-7"/>
              <w:position w:val="1"/>
              <w:sz w:val="27"/>
              <w:szCs w:val="27"/>
            </w:rPr>
            <w:t>136</w:t>
          </w:r>
          <w:r>
            <w:rPr>
              <w:spacing w:val="-7"/>
              <w:position w:val="1"/>
              <w:sz w:val="27"/>
              <w:szCs w:val="27"/>
            </w:rPr>
            <w:fldChar w:fldCharType="end"/>
          </w:r>
        </w:p>
        <w:p w14:paraId="41C3544D">
          <w:pPr>
            <w:pStyle w:val="2"/>
            <w:tabs>
              <w:tab w:val="right" w:leader="dot" w:pos="8800"/>
            </w:tabs>
            <w:spacing w:before="28" w:line="368" w:lineRule="exact"/>
            <w:rPr>
              <w:sz w:val="27"/>
              <w:szCs w:val="27"/>
            </w:rPr>
          </w:pPr>
          <w:r>
            <w:fldChar w:fldCharType="begin"/>
          </w:r>
          <w:r>
            <w:instrText xml:space="preserve"> HYPERLINK \l "bookmark50" </w:instrText>
          </w:r>
          <w:r>
            <w:fldChar w:fldCharType="separate"/>
          </w:r>
          <w:r>
            <w:rPr>
              <w:rFonts w:ascii="Times New Roman" w:hAnsi="Times New Roman" w:eastAsia="Times New Roman" w:cs="Times New Roman"/>
              <w:spacing w:val="2"/>
              <w:position w:val="2"/>
              <w:sz w:val="27"/>
              <w:szCs w:val="27"/>
            </w:rPr>
            <w:t>1.48</w:t>
          </w:r>
          <w:r>
            <w:rPr>
              <w:rFonts w:ascii="Times New Roman" w:hAnsi="Times New Roman" w:eastAsia="Times New Roman" w:cs="Times New Roman"/>
              <w:spacing w:val="8"/>
              <w:position w:val="2"/>
              <w:sz w:val="27"/>
              <w:szCs w:val="27"/>
            </w:rPr>
            <w:t xml:space="preserve">     </w:t>
          </w:r>
          <w:r>
            <w:rPr>
              <w:rFonts w:ascii="仿宋" w:hAnsi="仿宋" w:eastAsia="仿宋" w:cs="仿宋"/>
              <w:spacing w:val="2"/>
              <w:position w:val="2"/>
              <w:sz w:val="27"/>
              <w:szCs w:val="27"/>
            </w:rPr>
            <w:t>设计定型申请报告</w:t>
          </w:r>
          <w:r>
            <w:rPr>
              <w:rFonts w:ascii="仿宋" w:hAnsi="仿宋" w:eastAsia="仿宋" w:cs="仿宋"/>
              <w:spacing w:val="-120"/>
              <w:position w:val="2"/>
              <w:sz w:val="27"/>
              <w:szCs w:val="27"/>
            </w:rPr>
            <w:t xml:space="preserve"> </w:t>
          </w:r>
          <w:r>
            <w:rPr>
              <w:rFonts w:ascii="仿宋" w:hAnsi="仿宋" w:eastAsia="仿宋" w:cs="仿宋"/>
              <w:position w:val="2"/>
              <w:sz w:val="27"/>
              <w:szCs w:val="27"/>
            </w:rPr>
            <w:tab/>
          </w:r>
          <w:r>
            <w:rPr>
              <w:spacing w:val="-15"/>
              <w:position w:val="2"/>
              <w:sz w:val="27"/>
              <w:szCs w:val="27"/>
            </w:rPr>
            <w:t>137</w:t>
          </w:r>
          <w:r>
            <w:rPr>
              <w:spacing w:val="-15"/>
              <w:position w:val="2"/>
              <w:sz w:val="27"/>
              <w:szCs w:val="27"/>
            </w:rPr>
            <w:fldChar w:fldCharType="end"/>
          </w:r>
        </w:p>
        <w:p w14:paraId="5EE1DB5B">
          <w:pPr>
            <w:pStyle w:val="2"/>
            <w:tabs>
              <w:tab w:val="right" w:leader="dot" w:pos="8800"/>
            </w:tabs>
            <w:spacing w:before="46" w:line="368" w:lineRule="exact"/>
            <w:rPr>
              <w:sz w:val="27"/>
              <w:szCs w:val="27"/>
            </w:rPr>
          </w:pPr>
          <w:r>
            <w:fldChar w:fldCharType="begin"/>
          </w:r>
          <w:r>
            <w:instrText xml:space="preserve"> HYPERLINK \l "bookmark51" </w:instrText>
          </w:r>
          <w:r>
            <w:fldChar w:fldCharType="separate"/>
          </w:r>
          <w:r>
            <w:rPr>
              <w:rFonts w:ascii="Times New Roman" w:hAnsi="Times New Roman" w:eastAsia="Times New Roman" w:cs="Times New Roman"/>
              <w:spacing w:val="2"/>
              <w:position w:val="1"/>
              <w:sz w:val="27"/>
              <w:szCs w:val="27"/>
            </w:rPr>
            <w:t>1.49</w:t>
          </w:r>
          <w:r>
            <w:rPr>
              <w:rFonts w:ascii="Times New Roman" w:hAnsi="Times New Roman" w:eastAsia="Times New Roman" w:cs="Times New Roman"/>
              <w:spacing w:val="11"/>
              <w:position w:val="1"/>
              <w:sz w:val="27"/>
              <w:szCs w:val="27"/>
            </w:rPr>
            <w:t xml:space="preserve">     </w:t>
          </w:r>
          <w:r>
            <w:rPr>
              <w:rFonts w:ascii="仿宋" w:hAnsi="仿宋" w:eastAsia="仿宋" w:cs="仿宋"/>
              <w:spacing w:val="2"/>
              <w:position w:val="1"/>
              <w:sz w:val="27"/>
              <w:szCs w:val="27"/>
            </w:rPr>
            <w:t>设计定型审查意见书</w:t>
          </w:r>
          <w:r>
            <w:rPr>
              <w:rFonts w:ascii="仿宋" w:hAnsi="仿宋" w:eastAsia="仿宋" w:cs="仿宋"/>
              <w:position w:val="1"/>
              <w:sz w:val="27"/>
              <w:szCs w:val="27"/>
            </w:rPr>
            <w:tab/>
          </w:r>
          <w:r>
            <w:rPr>
              <w:spacing w:val="-7"/>
              <w:position w:val="1"/>
              <w:sz w:val="27"/>
              <w:szCs w:val="27"/>
            </w:rPr>
            <w:t>138</w:t>
          </w:r>
          <w:r>
            <w:rPr>
              <w:spacing w:val="-7"/>
              <w:position w:val="1"/>
              <w:sz w:val="27"/>
              <w:szCs w:val="27"/>
            </w:rPr>
            <w:fldChar w:fldCharType="end"/>
          </w:r>
        </w:p>
        <w:p w14:paraId="5A2E3B35">
          <w:pPr>
            <w:pStyle w:val="2"/>
            <w:tabs>
              <w:tab w:val="right" w:leader="dot" w:pos="8850"/>
            </w:tabs>
            <w:spacing w:before="77" w:line="220" w:lineRule="auto"/>
            <w:rPr>
              <w:sz w:val="27"/>
              <w:szCs w:val="27"/>
            </w:rPr>
          </w:pPr>
          <w:r>
            <w:fldChar w:fldCharType="begin"/>
          </w:r>
          <w:r>
            <w:instrText xml:space="preserve"> HYPERLINK \l "bookmark52" </w:instrText>
          </w:r>
          <w:r>
            <w:fldChar w:fldCharType="separate"/>
          </w:r>
          <w:r>
            <w:rPr>
              <w:rFonts w:ascii="Times New Roman" w:hAnsi="Times New Roman" w:eastAsia="Times New Roman" w:cs="Times New Roman"/>
              <w:sz w:val="27"/>
              <w:szCs w:val="27"/>
            </w:rPr>
            <w:t>1.50</w:t>
          </w:r>
          <w:r>
            <w:rPr>
              <w:rFonts w:ascii="Times New Roman" w:hAnsi="Times New Roman" w:eastAsia="Times New Roman" w:cs="Times New Roman"/>
              <w:spacing w:val="11"/>
              <w:sz w:val="27"/>
              <w:szCs w:val="27"/>
            </w:rPr>
            <w:t xml:space="preserve">     </w:t>
          </w:r>
          <w:r>
            <w:rPr>
              <w:rFonts w:ascii="仿宋" w:hAnsi="仿宋" w:eastAsia="仿宋" w:cs="仿宋"/>
              <w:sz w:val="27"/>
              <w:szCs w:val="27"/>
            </w:rPr>
            <w:t>部队试用申请报告</w:t>
          </w:r>
          <w:r>
            <w:rPr>
              <w:rFonts w:ascii="仿宋" w:hAnsi="仿宋" w:eastAsia="仿宋" w:cs="仿宋"/>
              <w:spacing w:val="-121"/>
              <w:sz w:val="27"/>
              <w:szCs w:val="27"/>
            </w:rPr>
            <w:t xml:space="preserve"> </w:t>
          </w:r>
          <w:r>
            <w:rPr>
              <w:rFonts w:ascii="仿宋" w:hAnsi="仿宋" w:eastAsia="仿宋" w:cs="仿宋"/>
              <w:sz w:val="27"/>
              <w:szCs w:val="27"/>
            </w:rPr>
            <w:tab/>
          </w:r>
          <w:r>
            <w:rPr>
              <w:spacing w:val="-3"/>
              <w:sz w:val="27"/>
              <w:szCs w:val="27"/>
            </w:rPr>
            <w:t>141</w:t>
          </w:r>
          <w:r>
            <w:rPr>
              <w:spacing w:val="-3"/>
              <w:sz w:val="27"/>
              <w:szCs w:val="27"/>
            </w:rPr>
            <w:fldChar w:fldCharType="end"/>
          </w:r>
        </w:p>
        <w:p w14:paraId="414676D6">
          <w:pPr>
            <w:pStyle w:val="2"/>
            <w:tabs>
              <w:tab w:val="right" w:leader="dot" w:pos="8810"/>
            </w:tabs>
            <w:spacing w:before="92" w:line="222" w:lineRule="auto"/>
            <w:rPr>
              <w:sz w:val="27"/>
              <w:szCs w:val="27"/>
            </w:rPr>
          </w:pPr>
          <w:r>
            <w:fldChar w:fldCharType="begin"/>
          </w:r>
          <w:r>
            <w:instrText xml:space="preserve"> HYPERLINK \l "bookmark53" </w:instrText>
          </w:r>
          <w:r>
            <w:fldChar w:fldCharType="separate"/>
          </w:r>
          <w:r>
            <w:rPr>
              <w:rFonts w:ascii="Times New Roman" w:hAnsi="Times New Roman" w:eastAsia="Times New Roman" w:cs="Times New Roman"/>
              <w:sz w:val="27"/>
              <w:szCs w:val="27"/>
            </w:rPr>
            <w:t>1.51</w:t>
          </w:r>
          <w:r>
            <w:rPr>
              <w:rFonts w:ascii="Times New Roman" w:hAnsi="Times New Roman" w:eastAsia="Times New Roman" w:cs="Times New Roman"/>
              <w:spacing w:val="10"/>
              <w:sz w:val="27"/>
              <w:szCs w:val="27"/>
            </w:rPr>
            <w:t xml:space="preserve">     </w:t>
          </w:r>
          <w:r>
            <w:rPr>
              <w:rFonts w:ascii="仿宋" w:hAnsi="仿宋" w:eastAsia="仿宋" w:cs="仿宋"/>
              <w:sz w:val="27"/>
              <w:szCs w:val="27"/>
            </w:rPr>
            <w:t>部队试用大纲</w:t>
          </w:r>
          <w:r>
            <w:rPr>
              <w:rFonts w:ascii="仿宋" w:hAnsi="仿宋" w:eastAsia="仿宋" w:cs="仿宋"/>
              <w:sz w:val="27"/>
              <w:szCs w:val="27"/>
            </w:rPr>
            <w:tab/>
          </w:r>
          <w:r>
            <w:rPr>
              <w:spacing w:val="-9"/>
              <w:sz w:val="27"/>
              <w:szCs w:val="27"/>
            </w:rPr>
            <w:t>142</w:t>
          </w:r>
          <w:r>
            <w:rPr>
              <w:spacing w:val="-9"/>
              <w:sz w:val="27"/>
              <w:szCs w:val="27"/>
            </w:rPr>
            <w:fldChar w:fldCharType="end"/>
          </w:r>
        </w:p>
        <w:p w14:paraId="0FE734BC">
          <w:pPr>
            <w:pStyle w:val="2"/>
            <w:tabs>
              <w:tab w:val="right" w:leader="dot" w:pos="8820"/>
            </w:tabs>
            <w:spacing w:before="25" w:line="368" w:lineRule="exact"/>
            <w:rPr>
              <w:sz w:val="27"/>
              <w:szCs w:val="27"/>
            </w:rPr>
          </w:pPr>
          <w:r>
            <w:fldChar w:fldCharType="begin"/>
          </w:r>
          <w:r>
            <w:instrText xml:space="preserve"> HYPERLINK \l "bookmark54" </w:instrText>
          </w:r>
          <w:r>
            <w:fldChar w:fldCharType="separate"/>
          </w:r>
          <w:r>
            <w:rPr>
              <w:rFonts w:ascii="Times New Roman" w:hAnsi="Times New Roman" w:eastAsia="Times New Roman" w:cs="Times New Roman"/>
              <w:spacing w:val="1"/>
              <w:position w:val="1"/>
              <w:sz w:val="27"/>
              <w:szCs w:val="27"/>
            </w:rPr>
            <w:t>1.52</w:t>
          </w:r>
          <w:r>
            <w:rPr>
              <w:rFonts w:ascii="Times New Roman" w:hAnsi="Times New Roman" w:eastAsia="Times New Roman" w:cs="Times New Roman"/>
              <w:spacing w:val="12"/>
              <w:position w:val="1"/>
              <w:sz w:val="27"/>
              <w:szCs w:val="27"/>
            </w:rPr>
            <w:t xml:space="preserve">     </w:t>
          </w:r>
          <w:r>
            <w:rPr>
              <w:rFonts w:ascii="仿宋" w:hAnsi="仿宋" w:eastAsia="仿宋" w:cs="仿宋"/>
              <w:spacing w:val="1"/>
              <w:position w:val="1"/>
              <w:sz w:val="27"/>
              <w:szCs w:val="27"/>
            </w:rPr>
            <w:t>部队试用大纲编制说明</w:t>
          </w:r>
          <w:r>
            <w:rPr>
              <w:rFonts w:ascii="仿宋" w:hAnsi="仿宋" w:eastAsia="仿宋" w:cs="仿宋"/>
              <w:position w:val="1"/>
              <w:sz w:val="27"/>
              <w:szCs w:val="27"/>
            </w:rPr>
            <w:tab/>
          </w:r>
          <w:r>
            <w:rPr>
              <w:spacing w:val="-9"/>
              <w:position w:val="1"/>
              <w:sz w:val="27"/>
              <w:szCs w:val="27"/>
            </w:rPr>
            <w:t>143</w:t>
          </w:r>
          <w:r>
            <w:rPr>
              <w:spacing w:val="-9"/>
              <w:position w:val="1"/>
              <w:sz w:val="27"/>
              <w:szCs w:val="27"/>
            </w:rPr>
            <w:fldChar w:fldCharType="end"/>
          </w:r>
        </w:p>
        <w:p w14:paraId="263E74B2">
          <w:pPr>
            <w:pStyle w:val="2"/>
            <w:tabs>
              <w:tab w:val="right" w:leader="dot" w:pos="8800"/>
            </w:tabs>
            <w:spacing w:before="92" w:line="222" w:lineRule="auto"/>
            <w:rPr>
              <w:sz w:val="27"/>
              <w:szCs w:val="27"/>
            </w:rPr>
          </w:pPr>
          <w:r>
            <w:fldChar w:fldCharType="begin"/>
          </w:r>
          <w:r>
            <w:instrText xml:space="preserve"> HYPERLINK \l "bookmark55" </w:instrText>
          </w:r>
          <w:r>
            <w:fldChar w:fldCharType="separate"/>
          </w:r>
          <w:r>
            <w:rPr>
              <w:rFonts w:ascii="Times New Roman" w:hAnsi="Times New Roman" w:eastAsia="Times New Roman" w:cs="Times New Roman"/>
              <w:sz w:val="27"/>
              <w:szCs w:val="27"/>
            </w:rPr>
            <w:t>1.53</w:t>
          </w:r>
          <w:r>
            <w:rPr>
              <w:rFonts w:ascii="Times New Roman" w:hAnsi="Times New Roman" w:eastAsia="Times New Roman" w:cs="Times New Roman"/>
              <w:spacing w:val="13"/>
              <w:sz w:val="27"/>
              <w:szCs w:val="27"/>
            </w:rPr>
            <w:t xml:space="preserve">     </w:t>
          </w:r>
          <w:r>
            <w:rPr>
              <w:rFonts w:ascii="仿宋" w:hAnsi="仿宋" w:eastAsia="仿宋" w:cs="仿宋"/>
              <w:sz w:val="27"/>
              <w:szCs w:val="27"/>
            </w:rPr>
            <w:t>部队试用报告</w:t>
          </w:r>
          <w:r>
            <w:rPr>
              <w:rFonts w:ascii="仿宋" w:hAnsi="仿宋" w:eastAsia="仿宋" w:cs="仿宋"/>
              <w:spacing w:val="-121"/>
              <w:sz w:val="27"/>
              <w:szCs w:val="27"/>
            </w:rPr>
            <w:t xml:space="preserve"> </w:t>
          </w:r>
          <w:r>
            <w:rPr>
              <w:rFonts w:ascii="仿宋" w:hAnsi="仿宋" w:eastAsia="仿宋" w:cs="仿宋"/>
              <w:sz w:val="27"/>
              <w:szCs w:val="27"/>
            </w:rPr>
            <w:tab/>
          </w:r>
          <w:r>
            <w:rPr>
              <w:spacing w:val="-15"/>
              <w:sz w:val="27"/>
              <w:szCs w:val="27"/>
            </w:rPr>
            <w:t>144</w:t>
          </w:r>
          <w:r>
            <w:rPr>
              <w:spacing w:val="-15"/>
              <w:sz w:val="27"/>
              <w:szCs w:val="27"/>
            </w:rPr>
            <w:fldChar w:fldCharType="end"/>
          </w:r>
        </w:p>
        <w:p w14:paraId="19A2EBB8">
          <w:pPr>
            <w:pStyle w:val="2"/>
            <w:tabs>
              <w:tab w:val="right" w:leader="dot" w:pos="8840"/>
            </w:tabs>
            <w:spacing w:before="37" w:line="368" w:lineRule="exact"/>
            <w:rPr>
              <w:sz w:val="27"/>
              <w:szCs w:val="27"/>
            </w:rPr>
          </w:pPr>
          <w:r>
            <w:fldChar w:fldCharType="begin"/>
          </w:r>
          <w:r>
            <w:instrText xml:space="preserve"> HYPERLINK \l "bookmark56" </w:instrText>
          </w:r>
          <w:r>
            <w:fldChar w:fldCharType="separate"/>
          </w:r>
          <w:r>
            <w:rPr>
              <w:rFonts w:ascii="Times New Roman" w:hAnsi="Times New Roman" w:eastAsia="Times New Roman" w:cs="Times New Roman"/>
              <w:spacing w:val="1"/>
              <w:position w:val="1"/>
              <w:sz w:val="27"/>
              <w:szCs w:val="27"/>
            </w:rPr>
            <w:t>1.54</w:t>
          </w:r>
          <w:r>
            <w:rPr>
              <w:rFonts w:ascii="Times New Roman" w:hAnsi="Times New Roman" w:eastAsia="Times New Roman" w:cs="Times New Roman"/>
              <w:spacing w:val="10"/>
              <w:position w:val="1"/>
              <w:sz w:val="27"/>
              <w:szCs w:val="27"/>
            </w:rPr>
            <w:t xml:space="preserve">     </w:t>
          </w:r>
          <w:r>
            <w:rPr>
              <w:rFonts w:ascii="仿宋" w:hAnsi="仿宋" w:eastAsia="仿宋" w:cs="仿宋"/>
              <w:spacing w:val="1"/>
              <w:position w:val="1"/>
              <w:sz w:val="27"/>
              <w:szCs w:val="27"/>
            </w:rPr>
            <w:t>技术状态更改建议</w:t>
          </w:r>
          <w:r>
            <w:rPr>
              <w:rFonts w:ascii="仿宋" w:hAnsi="仿宋" w:eastAsia="仿宋" w:cs="仿宋"/>
              <w:spacing w:val="-118"/>
              <w:position w:val="1"/>
              <w:sz w:val="27"/>
              <w:szCs w:val="27"/>
            </w:rPr>
            <w:t xml:space="preserve"> </w:t>
          </w:r>
          <w:r>
            <w:rPr>
              <w:rFonts w:ascii="仿宋" w:hAnsi="仿宋" w:eastAsia="仿宋" w:cs="仿宋"/>
              <w:position w:val="1"/>
              <w:sz w:val="27"/>
              <w:szCs w:val="27"/>
            </w:rPr>
            <w:tab/>
          </w:r>
          <w:r>
            <w:rPr>
              <w:spacing w:val="-7"/>
              <w:position w:val="1"/>
              <w:sz w:val="27"/>
              <w:szCs w:val="27"/>
            </w:rPr>
            <w:t>151</w:t>
          </w:r>
          <w:r>
            <w:rPr>
              <w:spacing w:val="-7"/>
              <w:position w:val="1"/>
              <w:sz w:val="27"/>
              <w:szCs w:val="27"/>
            </w:rPr>
            <w:fldChar w:fldCharType="end"/>
          </w:r>
        </w:p>
        <w:p w14:paraId="47D1F6EB">
          <w:pPr>
            <w:pStyle w:val="2"/>
            <w:tabs>
              <w:tab w:val="right" w:leader="dot" w:pos="8820"/>
            </w:tabs>
            <w:spacing w:before="48" w:line="368" w:lineRule="exact"/>
            <w:rPr>
              <w:sz w:val="27"/>
              <w:szCs w:val="27"/>
            </w:rPr>
          </w:pPr>
          <w:r>
            <w:fldChar w:fldCharType="begin"/>
          </w:r>
          <w:r>
            <w:instrText xml:space="preserve"> HYPERLINK \l "bookmark57" </w:instrText>
          </w:r>
          <w:r>
            <w:fldChar w:fldCharType="separate"/>
          </w:r>
          <w:r>
            <w:rPr>
              <w:rFonts w:ascii="Times New Roman" w:hAnsi="Times New Roman" w:eastAsia="Times New Roman" w:cs="Times New Roman"/>
              <w:spacing w:val="1"/>
              <w:position w:val="2"/>
              <w:sz w:val="27"/>
              <w:szCs w:val="27"/>
            </w:rPr>
            <w:t xml:space="preserve">1.55      </w:t>
          </w:r>
          <w:r>
            <w:rPr>
              <w:rFonts w:ascii="仿宋" w:hAnsi="仿宋" w:eastAsia="仿宋" w:cs="仿宋"/>
              <w:spacing w:val="1"/>
              <w:position w:val="2"/>
              <w:sz w:val="27"/>
              <w:szCs w:val="27"/>
            </w:rPr>
            <w:t>偏离(超差)申请</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spacing w:val="-7"/>
              <w:position w:val="2"/>
              <w:sz w:val="27"/>
              <w:szCs w:val="27"/>
            </w:rPr>
            <w:t>152</w:t>
          </w:r>
          <w:r>
            <w:rPr>
              <w:spacing w:val="-7"/>
              <w:position w:val="2"/>
              <w:sz w:val="27"/>
              <w:szCs w:val="27"/>
            </w:rPr>
            <w:fldChar w:fldCharType="end"/>
          </w:r>
        </w:p>
        <w:p w14:paraId="6624612E">
          <w:pPr>
            <w:pStyle w:val="2"/>
            <w:tabs>
              <w:tab w:val="right" w:leader="dot" w:pos="8810"/>
            </w:tabs>
            <w:spacing w:before="36" w:line="368" w:lineRule="exact"/>
            <w:rPr>
              <w:sz w:val="27"/>
              <w:szCs w:val="27"/>
            </w:rPr>
          </w:pPr>
          <w:r>
            <w:fldChar w:fldCharType="begin"/>
          </w:r>
          <w:r>
            <w:instrText xml:space="preserve"> HYPERLINK \l "bookmark58" </w:instrText>
          </w:r>
          <w:r>
            <w:fldChar w:fldCharType="separate"/>
          </w:r>
          <w:r>
            <w:rPr>
              <w:rFonts w:ascii="Times New Roman" w:hAnsi="Times New Roman" w:eastAsia="Times New Roman" w:cs="Times New Roman"/>
              <w:spacing w:val="-1"/>
              <w:position w:val="1"/>
              <w:sz w:val="27"/>
              <w:szCs w:val="27"/>
            </w:rPr>
            <w:t>1.56</w:t>
          </w:r>
          <w:r>
            <w:rPr>
              <w:rFonts w:ascii="Times New Roman" w:hAnsi="Times New Roman" w:eastAsia="Times New Roman" w:cs="Times New Roman"/>
              <w:spacing w:val="12"/>
              <w:position w:val="1"/>
              <w:sz w:val="27"/>
              <w:szCs w:val="27"/>
            </w:rPr>
            <w:t xml:space="preserve">     </w:t>
          </w:r>
          <w:r>
            <w:rPr>
              <w:rFonts w:ascii="仿宋" w:hAnsi="仿宋" w:eastAsia="仿宋" w:cs="仿宋"/>
              <w:spacing w:val="-1"/>
              <w:position w:val="1"/>
              <w:sz w:val="27"/>
              <w:szCs w:val="27"/>
            </w:rPr>
            <w:t>技术通报</w:t>
          </w:r>
          <w:r>
            <w:rPr>
              <w:rFonts w:ascii="仿宋" w:hAnsi="仿宋" w:eastAsia="仿宋" w:cs="仿宋"/>
              <w:spacing w:val="-119"/>
              <w:position w:val="1"/>
              <w:sz w:val="27"/>
              <w:szCs w:val="27"/>
            </w:rPr>
            <w:t xml:space="preserve"> </w:t>
          </w:r>
          <w:r>
            <w:rPr>
              <w:rFonts w:ascii="仿宋" w:hAnsi="仿宋" w:eastAsia="仿宋" w:cs="仿宋"/>
              <w:position w:val="1"/>
              <w:sz w:val="27"/>
              <w:szCs w:val="27"/>
            </w:rPr>
            <w:tab/>
          </w:r>
          <w:r>
            <w:rPr>
              <w:spacing w:val="-11"/>
              <w:position w:val="1"/>
              <w:sz w:val="27"/>
              <w:szCs w:val="27"/>
            </w:rPr>
            <w:t>153</w:t>
          </w:r>
          <w:r>
            <w:rPr>
              <w:spacing w:val="-11"/>
              <w:position w:val="1"/>
              <w:sz w:val="27"/>
              <w:szCs w:val="27"/>
            </w:rPr>
            <w:fldChar w:fldCharType="end"/>
          </w:r>
        </w:p>
        <w:p w14:paraId="55CE96EE">
          <w:pPr>
            <w:pStyle w:val="2"/>
            <w:tabs>
              <w:tab w:val="right" w:leader="dot" w:pos="8810"/>
            </w:tabs>
            <w:spacing w:before="48" w:line="368" w:lineRule="exact"/>
            <w:rPr>
              <w:sz w:val="27"/>
              <w:szCs w:val="27"/>
            </w:rPr>
          </w:pPr>
          <w:r>
            <w:fldChar w:fldCharType="begin"/>
          </w:r>
          <w:r>
            <w:instrText xml:space="preserve"> HYPERLINK \l "bookmark59" </w:instrText>
          </w:r>
          <w:r>
            <w:fldChar w:fldCharType="separate"/>
          </w:r>
          <w:r>
            <w:rPr>
              <w:rFonts w:ascii="Times New Roman" w:hAnsi="Times New Roman" w:eastAsia="Times New Roman" w:cs="Times New Roman"/>
              <w:spacing w:val="1"/>
              <w:position w:val="2"/>
              <w:sz w:val="27"/>
              <w:szCs w:val="27"/>
            </w:rPr>
            <w:t xml:space="preserve">1.57      </w:t>
          </w:r>
          <w:r>
            <w:rPr>
              <w:rFonts w:ascii="仿宋" w:hAnsi="仿宋" w:eastAsia="仿宋" w:cs="仿宋"/>
              <w:spacing w:val="1"/>
              <w:position w:val="2"/>
              <w:sz w:val="27"/>
              <w:szCs w:val="27"/>
            </w:rPr>
            <w:t>生产定型试验申请报告</w:t>
          </w:r>
          <w:r>
            <w:rPr>
              <w:rFonts w:ascii="仿宋" w:hAnsi="仿宋" w:eastAsia="仿宋" w:cs="仿宋"/>
              <w:spacing w:val="-114"/>
              <w:position w:val="2"/>
              <w:sz w:val="27"/>
              <w:szCs w:val="27"/>
            </w:rPr>
            <w:t xml:space="preserve"> </w:t>
          </w:r>
          <w:r>
            <w:rPr>
              <w:rFonts w:ascii="仿宋" w:hAnsi="仿宋" w:eastAsia="仿宋" w:cs="仿宋"/>
              <w:position w:val="2"/>
              <w:sz w:val="27"/>
              <w:szCs w:val="27"/>
            </w:rPr>
            <w:tab/>
          </w:r>
          <w:r>
            <w:rPr>
              <w:spacing w:val="-7"/>
              <w:position w:val="2"/>
              <w:sz w:val="27"/>
              <w:szCs w:val="27"/>
            </w:rPr>
            <w:t>154</w:t>
          </w:r>
          <w:r>
            <w:rPr>
              <w:spacing w:val="-7"/>
              <w:position w:val="2"/>
              <w:sz w:val="27"/>
              <w:szCs w:val="27"/>
            </w:rPr>
            <w:fldChar w:fldCharType="end"/>
          </w:r>
        </w:p>
        <w:p w14:paraId="75BC2A6D">
          <w:pPr>
            <w:pStyle w:val="2"/>
            <w:tabs>
              <w:tab w:val="right" w:leader="dot" w:pos="8810"/>
            </w:tabs>
            <w:spacing w:before="47" w:line="368" w:lineRule="exact"/>
            <w:rPr>
              <w:sz w:val="27"/>
              <w:szCs w:val="27"/>
            </w:rPr>
          </w:pPr>
          <w:r>
            <w:fldChar w:fldCharType="begin"/>
          </w:r>
          <w:r>
            <w:instrText xml:space="preserve"> HYPERLINK \l "bookmark60" </w:instrText>
          </w:r>
          <w:r>
            <w:fldChar w:fldCharType="separate"/>
          </w:r>
          <w:r>
            <w:rPr>
              <w:rFonts w:ascii="Times New Roman" w:hAnsi="Times New Roman" w:eastAsia="Times New Roman" w:cs="Times New Roman"/>
              <w:position w:val="1"/>
              <w:sz w:val="27"/>
              <w:szCs w:val="27"/>
            </w:rPr>
            <w:t xml:space="preserve">1.58      </w:t>
          </w:r>
          <w:r>
            <w:rPr>
              <w:rFonts w:ascii="仿宋" w:hAnsi="仿宋" w:eastAsia="仿宋" w:cs="仿宋"/>
              <w:position w:val="1"/>
              <w:sz w:val="27"/>
              <w:szCs w:val="27"/>
            </w:rPr>
            <w:t>生产定型试验大纲</w:t>
          </w:r>
          <w:r>
            <w:rPr>
              <w:rFonts w:ascii="仿宋" w:hAnsi="仿宋" w:eastAsia="仿宋" w:cs="仿宋"/>
              <w:position w:val="1"/>
              <w:sz w:val="27"/>
              <w:szCs w:val="27"/>
            </w:rPr>
            <w:tab/>
          </w:r>
          <w:r>
            <w:rPr>
              <w:spacing w:val="-7"/>
              <w:position w:val="1"/>
              <w:sz w:val="27"/>
              <w:szCs w:val="27"/>
            </w:rPr>
            <w:t>155</w:t>
          </w:r>
          <w:r>
            <w:rPr>
              <w:spacing w:val="-7"/>
              <w:position w:val="1"/>
              <w:sz w:val="27"/>
              <w:szCs w:val="27"/>
            </w:rPr>
            <w:fldChar w:fldCharType="end"/>
          </w:r>
        </w:p>
        <w:p w14:paraId="7B22614F">
          <w:pPr>
            <w:pStyle w:val="2"/>
            <w:tabs>
              <w:tab w:val="right" w:leader="dot" w:pos="8800"/>
            </w:tabs>
            <w:spacing w:before="31" w:line="368" w:lineRule="exact"/>
            <w:rPr>
              <w:sz w:val="27"/>
              <w:szCs w:val="27"/>
            </w:rPr>
          </w:pPr>
          <w:r>
            <w:fldChar w:fldCharType="begin"/>
          </w:r>
          <w:r>
            <w:instrText xml:space="preserve"> HYPERLINK \l "bookmark61" </w:instrText>
          </w:r>
          <w:r>
            <w:fldChar w:fldCharType="separate"/>
          </w:r>
          <w:r>
            <w:rPr>
              <w:rFonts w:ascii="Times New Roman" w:hAnsi="Times New Roman" w:eastAsia="Times New Roman" w:cs="Times New Roman"/>
              <w:spacing w:val="-1"/>
              <w:position w:val="1"/>
              <w:sz w:val="27"/>
              <w:szCs w:val="27"/>
            </w:rPr>
            <w:t>1.59</w:t>
          </w:r>
          <w:r>
            <w:rPr>
              <w:rFonts w:ascii="Times New Roman" w:hAnsi="Times New Roman" w:eastAsia="Times New Roman" w:cs="Times New Roman"/>
              <w:spacing w:val="13"/>
              <w:position w:val="1"/>
              <w:sz w:val="27"/>
              <w:szCs w:val="27"/>
            </w:rPr>
            <w:t xml:space="preserve">     </w:t>
          </w:r>
          <w:r>
            <w:rPr>
              <w:rFonts w:ascii="仿宋" w:hAnsi="仿宋" w:eastAsia="仿宋" w:cs="仿宋"/>
              <w:spacing w:val="-1"/>
              <w:position w:val="1"/>
              <w:sz w:val="27"/>
              <w:szCs w:val="27"/>
            </w:rPr>
            <w:t>生产定型试验报告</w:t>
          </w:r>
          <w:r>
            <w:rPr>
              <w:rFonts w:ascii="仿宋" w:hAnsi="仿宋" w:eastAsia="仿宋" w:cs="仿宋"/>
              <w:spacing w:val="-119"/>
              <w:position w:val="1"/>
              <w:sz w:val="27"/>
              <w:szCs w:val="27"/>
            </w:rPr>
            <w:t xml:space="preserve"> </w:t>
          </w:r>
          <w:r>
            <w:rPr>
              <w:rFonts w:ascii="仿宋" w:hAnsi="仿宋" w:eastAsia="仿宋" w:cs="仿宋"/>
              <w:position w:val="1"/>
              <w:sz w:val="27"/>
              <w:szCs w:val="27"/>
            </w:rPr>
            <w:tab/>
          </w:r>
          <w:r>
            <w:rPr>
              <w:spacing w:val="-13"/>
              <w:position w:val="1"/>
              <w:sz w:val="27"/>
              <w:szCs w:val="27"/>
            </w:rPr>
            <w:t>155</w:t>
          </w:r>
          <w:r>
            <w:rPr>
              <w:spacing w:val="-13"/>
              <w:position w:val="1"/>
              <w:sz w:val="27"/>
              <w:szCs w:val="27"/>
            </w:rPr>
            <w:fldChar w:fldCharType="end"/>
          </w:r>
        </w:p>
        <w:p w14:paraId="71ADAC7E">
          <w:pPr>
            <w:pStyle w:val="2"/>
            <w:tabs>
              <w:tab w:val="right" w:leader="dot" w:pos="8810"/>
            </w:tabs>
            <w:spacing w:before="41" w:line="368" w:lineRule="exact"/>
            <w:rPr>
              <w:sz w:val="27"/>
              <w:szCs w:val="27"/>
            </w:rPr>
          </w:pPr>
          <w:r>
            <w:fldChar w:fldCharType="begin"/>
          </w:r>
          <w:r>
            <w:instrText xml:space="preserve"> HYPERLINK \l "bookmark62" </w:instrText>
          </w:r>
          <w:r>
            <w:fldChar w:fldCharType="separate"/>
          </w:r>
          <w:r>
            <w:rPr>
              <w:rFonts w:ascii="Times New Roman" w:hAnsi="Times New Roman" w:eastAsia="Times New Roman" w:cs="Times New Roman"/>
              <w:spacing w:val="5"/>
              <w:position w:val="1"/>
              <w:sz w:val="27"/>
              <w:szCs w:val="27"/>
            </w:rPr>
            <w:t xml:space="preserve">1.60     </w:t>
          </w:r>
          <w:r>
            <w:rPr>
              <w:rFonts w:ascii="仿宋" w:hAnsi="仿宋" w:eastAsia="仿宋" w:cs="仿宋"/>
              <w:spacing w:val="5"/>
              <w:position w:val="1"/>
              <w:sz w:val="27"/>
              <w:szCs w:val="27"/>
            </w:rPr>
            <w:t>价值工程分析和成本核</w:t>
          </w:r>
          <w:r>
            <w:rPr>
              <w:rFonts w:ascii="仿宋" w:hAnsi="仿宋" w:eastAsia="仿宋" w:cs="仿宋"/>
              <w:spacing w:val="4"/>
              <w:position w:val="1"/>
              <w:sz w:val="27"/>
              <w:szCs w:val="27"/>
            </w:rPr>
            <w:t>算报告</w:t>
          </w:r>
          <w:r>
            <w:rPr>
              <w:rFonts w:ascii="仿宋" w:hAnsi="仿宋" w:eastAsia="仿宋" w:cs="仿宋"/>
              <w:spacing w:val="-113"/>
              <w:position w:val="1"/>
              <w:sz w:val="27"/>
              <w:szCs w:val="27"/>
            </w:rPr>
            <w:t xml:space="preserve"> </w:t>
          </w:r>
          <w:r>
            <w:rPr>
              <w:rFonts w:ascii="仿宋" w:hAnsi="仿宋" w:eastAsia="仿宋" w:cs="仿宋"/>
              <w:position w:val="1"/>
              <w:sz w:val="27"/>
              <w:szCs w:val="27"/>
            </w:rPr>
            <w:tab/>
          </w:r>
          <w:r>
            <w:rPr>
              <w:spacing w:val="-7"/>
              <w:position w:val="1"/>
              <w:sz w:val="27"/>
              <w:szCs w:val="27"/>
            </w:rPr>
            <w:t>156</w:t>
          </w:r>
          <w:r>
            <w:rPr>
              <w:spacing w:val="-7"/>
              <w:position w:val="1"/>
              <w:sz w:val="27"/>
              <w:szCs w:val="27"/>
            </w:rPr>
            <w:fldChar w:fldCharType="end"/>
          </w:r>
        </w:p>
        <w:p w14:paraId="6A086B46">
          <w:pPr>
            <w:pStyle w:val="2"/>
            <w:tabs>
              <w:tab w:val="right" w:leader="dot" w:pos="8810"/>
            </w:tabs>
            <w:spacing w:before="49" w:line="368" w:lineRule="exact"/>
            <w:rPr>
              <w:sz w:val="27"/>
              <w:szCs w:val="27"/>
            </w:rPr>
          </w:pPr>
          <w:r>
            <w:fldChar w:fldCharType="begin"/>
          </w:r>
          <w:r>
            <w:instrText xml:space="preserve"> HYPERLINK \l "bookmark63" </w:instrText>
          </w:r>
          <w:r>
            <w:fldChar w:fldCharType="separate"/>
          </w:r>
          <w:r>
            <w:rPr>
              <w:rFonts w:ascii="Times New Roman" w:hAnsi="Times New Roman" w:eastAsia="Times New Roman" w:cs="Times New Roman"/>
              <w:spacing w:val="4"/>
              <w:position w:val="2"/>
              <w:sz w:val="27"/>
              <w:szCs w:val="27"/>
            </w:rPr>
            <w:t>1.61</w:t>
          </w:r>
          <w:r>
            <w:rPr>
              <w:rFonts w:ascii="Times New Roman" w:hAnsi="Times New Roman" w:eastAsia="Times New Roman" w:cs="Times New Roman"/>
              <w:spacing w:val="14"/>
              <w:position w:val="2"/>
              <w:sz w:val="27"/>
              <w:szCs w:val="27"/>
            </w:rPr>
            <w:t xml:space="preserve">     </w:t>
          </w:r>
          <w:r>
            <w:rPr>
              <w:rFonts w:ascii="仿宋" w:hAnsi="仿宋" w:eastAsia="仿宋" w:cs="仿宋"/>
              <w:spacing w:val="4"/>
              <w:position w:val="2"/>
              <w:sz w:val="27"/>
              <w:szCs w:val="27"/>
            </w:rPr>
            <w:t>生产性分析报告(生产定型阶段)</w:t>
          </w:r>
          <w:r>
            <w:rPr>
              <w:rFonts w:ascii="仿宋" w:hAnsi="仿宋" w:eastAsia="仿宋" w:cs="仿宋"/>
              <w:position w:val="2"/>
              <w:sz w:val="27"/>
              <w:szCs w:val="27"/>
            </w:rPr>
            <w:tab/>
          </w:r>
          <w:r>
            <w:rPr>
              <w:spacing w:val="-7"/>
              <w:position w:val="2"/>
              <w:sz w:val="27"/>
              <w:szCs w:val="27"/>
            </w:rPr>
            <w:t>158</w:t>
          </w:r>
          <w:r>
            <w:rPr>
              <w:spacing w:val="-7"/>
              <w:position w:val="2"/>
              <w:sz w:val="27"/>
              <w:szCs w:val="27"/>
            </w:rPr>
            <w:fldChar w:fldCharType="end"/>
          </w:r>
        </w:p>
      </w:sdtContent>
    </w:sdt>
    <w:p w14:paraId="4FB22F84">
      <w:pPr>
        <w:spacing w:line="368" w:lineRule="exact"/>
        <w:rPr>
          <w:sz w:val="27"/>
          <w:szCs w:val="27"/>
        </w:rPr>
        <w:sectPr>
          <w:footerReference r:id="rId12" w:type="default"/>
          <w:pgSz w:w="12170" w:h="17310"/>
          <w:pgMar w:top="400" w:right="1649" w:bottom="1674" w:left="1669" w:header="0" w:footer="1417" w:gutter="0"/>
          <w:cols w:space="720" w:num="1"/>
        </w:sectPr>
      </w:pPr>
    </w:p>
    <w:p w14:paraId="4B018A6A">
      <w:pPr>
        <w:pStyle w:val="2"/>
        <w:spacing w:line="244" w:lineRule="auto"/>
      </w:pPr>
    </w:p>
    <w:p w14:paraId="4E9CC6AB">
      <w:pPr>
        <w:pStyle w:val="2"/>
        <w:spacing w:line="244" w:lineRule="auto"/>
      </w:pPr>
    </w:p>
    <w:p w14:paraId="7D20E981">
      <w:pPr>
        <w:pStyle w:val="2"/>
        <w:spacing w:line="245" w:lineRule="auto"/>
      </w:pPr>
    </w:p>
    <w:p w14:paraId="66533B65">
      <w:pPr>
        <w:pStyle w:val="2"/>
        <w:spacing w:line="245" w:lineRule="auto"/>
      </w:pPr>
    </w:p>
    <w:sdt>
      <w:sdtPr>
        <w:rPr>
          <w:rFonts w:ascii="Times New Roman" w:hAnsi="Times New Roman" w:eastAsia="Times New Roman" w:cs="Times New Roman"/>
          <w:sz w:val="27"/>
          <w:szCs w:val="27"/>
        </w:rPr>
        <w:id w:val="147461668"/>
        <w:docPartObj>
          <w:docPartGallery w:val="Table of Contents"/>
          <w:docPartUnique/>
        </w:docPartObj>
      </w:sdtPr>
      <w:sdtEndPr>
        <w:rPr>
          <w:rFonts w:ascii="Arial" w:hAnsi="Arial" w:eastAsia="Arial" w:cs="Arial"/>
          <w:sz w:val="27"/>
          <w:szCs w:val="27"/>
        </w:rPr>
      </w:sdtEndPr>
      <w:sdtContent>
        <w:p w14:paraId="4356989B">
          <w:pPr>
            <w:pStyle w:val="2"/>
            <w:tabs>
              <w:tab w:val="right" w:leader="dot" w:pos="9327"/>
            </w:tabs>
            <w:spacing w:before="88" w:line="368" w:lineRule="exact"/>
            <w:ind w:left="516"/>
            <w:rPr>
              <w:sz w:val="27"/>
              <w:szCs w:val="27"/>
            </w:rPr>
          </w:pPr>
          <w:r>
            <w:fldChar w:fldCharType="begin"/>
          </w:r>
          <w:r>
            <w:instrText xml:space="preserve"> HYPERLINK \l "bookmark64" </w:instrText>
          </w:r>
          <w:r>
            <w:fldChar w:fldCharType="separate"/>
          </w:r>
          <w:r>
            <w:rPr>
              <w:rFonts w:ascii="Times New Roman" w:hAnsi="Times New Roman" w:eastAsia="Times New Roman" w:cs="Times New Roman"/>
              <w:spacing w:val="-3"/>
              <w:position w:val="1"/>
              <w:sz w:val="27"/>
              <w:szCs w:val="27"/>
            </w:rPr>
            <w:t>1.62</w:t>
          </w:r>
          <w:r>
            <w:rPr>
              <w:rFonts w:ascii="Times New Roman" w:hAnsi="Times New Roman" w:eastAsia="Times New Roman" w:cs="Times New Roman"/>
              <w:spacing w:val="10"/>
              <w:position w:val="1"/>
              <w:sz w:val="27"/>
              <w:szCs w:val="27"/>
            </w:rPr>
            <w:t xml:space="preserve">     </w:t>
          </w:r>
          <w:r>
            <w:rPr>
              <w:rFonts w:ascii="仿宋" w:hAnsi="仿宋" w:eastAsia="仿宋" w:cs="仿宋"/>
              <w:spacing w:val="-3"/>
              <w:position w:val="1"/>
              <w:sz w:val="27"/>
              <w:szCs w:val="27"/>
            </w:rPr>
            <w:t>试生产总结</w:t>
          </w:r>
          <w:r>
            <w:rPr>
              <w:rFonts w:ascii="仿宋" w:hAnsi="仿宋" w:eastAsia="仿宋" w:cs="仿宋"/>
              <w:position w:val="1"/>
              <w:sz w:val="27"/>
              <w:szCs w:val="27"/>
            </w:rPr>
            <w:tab/>
          </w:r>
          <w:r>
            <w:rPr>
              <w:spacing w:val="-7"/>
              <w:position w:val="1"/>
              <w:sz w:val="27"/>
              <w:szCs w:val="27"/>
            </w:rPr>
            <w:t>159</w:t>
          </w:r>
          <w:r>
            <w:rPr>
              <w:spacing w:val="-7"/>
              <w:position w:val="1"/>
              <w:sz w:val="27"/>
              <w:szCs w:val="27"/>
            </w:rPr>
            <w:fldChar w:fldCharType="end"/>
          </w:r>
        </w:p>
        <w:p w14:paraId="0B580F09">
          <w:pPr>
            <w:pStyle w:val="2"/>
            <w:tabs>
              <w:tab w:val="right" w:leader="dot" w:pos="9347"/>
            </w:tabs>
            <w:spacing w:before="49" w:line="368" w:lineRule="exact"/>
            <w:ind w:left="516"/>
            <w:rPr>
              <w:sz w:val="27"/>
              <w:szCs w:val="27"/>
            </w:rPr>
          </w:pPr>
          <w:r>
            <w:fldChar w:fldCharType="begin"/>
          </w:r>
          <w:r>
            <w:instrText xml:space="preserve"> HYPERLINK \l "bookmark65" </w:instrText>
          </w:r>
          <w:r>
            <w:fldChar w:fldCharType="separate"/>
          </w:r>
          <w:r>
            <w:rPr>
              <w:rFonts w:ascii="Times New Roman" w:hAnsi="Times New Roman" w:eastAsia="Times New Roman" w:cs="Times New Roman"/>
              <w:spacing w:val="2"/>
              <w:position w:val="1"/>
              <w:sz w:val="27"/>
              <w:szCs w:val="27"/>
            </w:rPr>
            <w:t>1.63</w:t>
          </w:r>
          <w:r>
            <w:rPr>
              <w:rFonts w:ascii="Times New Roman" w:hAnsi="Times New Roman" w:eastAsia="Times New Roman" w:cs="Times New Roman"/>
              <w:spacing w:val="10"/>
              <w:position w:val="1"/>
              <w:sz w:val="27"/>
              <w:szCs w:val="27"/>
            </w:rPr>
            <w:t xml:space="preserve">     </w:t>
          </w:r>
          <w:r>
            <w:rPr>
              <w:rFonts w:ascii="仿宋" w:hAnsi="仿宋" w:eastAsia="仿宋" w:cs="仿宋"/>
              <w:spacing w:val="2"/>
              <w:position w:val="1"/>
              <w:sz w:val="27"/>
              <w:szCs w:val="27"/>
            </w:rPr>
            <w:t>生产定型录像片解说词</w:t>
          </w:r>
          <w:r>
            <w:rPr>
              <w:rFonts w:ascii="仿宋" w:hAnsi="仿宋" w:eastAsia="仿宋" w:cs="仿宋"/>
              <w:position w:val="1"/>
              <w:sz w:val="27"/>
              <w:szCs w:val="27"/>
            </w:rPr>
            <w:tab/>
          </w:r>
          <w:r>
            <w:rPr>
              <w:spacing w:val="-13"/>
              <w:position w:val="1"/>
              <w:sz w:val="27"/>
              <w:szCs w:val="27"/>
            </w:rPr>
            <w:t>161</w:t>
          </w:r>
          <w:r>
            <w:rPr>
              <w:spacing w:val="-13"/>
              <w:position w:val="1"/>
              <w:sz w:val="27"/>
              <w:szCs w:val="27"/>
            </w:rPr>
            <w:fldChar w:fldCharType="end"/>
          </w:r>
        </w:p>
        <w:p w14:paraId="5EDAD0FA">
          <w:pPr>
            <w:pStyle w:val="2"/>
            <w:tabs>
              <w:tab w:val="right" w:leader="dot" w:pos="9317"/>
            </w:tabs>
            <w:spacing w:before="42" w:line="368" w:lineRule="exact"/>
            <w:ind w:left="516"/>
            <w:rPr>
              <w:sz w:val="27"/>
              <w:szCs w:val="27"/>
            </w:rPr>
          </w:pPr>
          <w:r>
            <w:fldChar w:fldCharType="begin"/>
          </w:r>
          <w:r>
            <w:instrText xml:space="preserve"> HYPERLINK \l "bookmark66" </w:instrText>
          </w:r>
          <w:r>
            <w:fldChar w:fldCharType="separate"/>
          </w:r>
          <w:r>
            <w:rPr>
              <w:rFonts w:ascii="Times New Roman" w:hAnsi="Times New Roman" w:eastAsia="Times New Roman" w:cs="Times New Roman"/>
              <w:spacing w:val="1"/>
              <w:position w:val="1"/>
              <w:sz w:val="27"/>
              <w:szCs w:val="27"/>
            </w:rPr>
            <w:t>1.64</w:t>
          </w:r>
          <w:r>
            <w:rPr>
              <w:rFonts w:ascii="Times New Roman" w:hAnsi="Times New Roman" w:eastAsia="Times New Roman" w:cs="Times New Roman"/>
              <w:spacing w:val="13"/>
              <w:position w:val="1"/>
              <w:sz w:val="27"/>
              <w:szCs w:val="27"/>
            </w:rPr>
            <w:t xml:space="preserve">     </w:t>
          </w:r>
          <w:r>
            <w:rPr>
              <w:rFonts w:ascii="仿宋" w:hAnsi="仿宋" w:eastAsia="仿宋" w:cs="仿宋"/>
              <w:spacing w:val="1"/>
              <w:position w:val="1"/>
              <w:sz w:val="27"/>
              <w:szCs w:val="27"/>
            </w:rPr>
            <w:t>军事代表机构对生产定型的意见</w:t>
          </w:r>
          <w:r>
            <w:rPr>
              <w:rFonts w:ascii="仿宋" w:hAnsi="仿宋" w:eastAsia="仿宋" w:cs="仿宋"/>
              <w:position w:val="1"/>
              <w:sz w:val="27"/>
              <w:szCs w:val="27"/>
            </w:rPr>
            <w:tab/>
          </w:r>
          <w:r>
            <w:rPr>
              <w:spacing w:val="-7"/>
              <w:position w:val="1"/>
              <w:sz w:val="27"/>
              <w:szCs w:val="27"/>
            </w:rPr>
            <w:t>162</w:t>
          </w:r>
          <w:r>
            <w:rPr>
              <w:spacing w:val="-7"/>
              <w:position w:val="1"/>
              <w:sz w:val="27"/>
              <w:szCs w:val="27"/>
            </w:rPr>
            <w:fldChar w:fldCharType="end"/>
          </w:r>
        </w:p>
        <w:p w14:paraId="1CC51674">
          <w:pPr>
            <w:pStyle w:val="2"/>
            <w:tabs>
              <w:tab w:val="right" w:leader="dot" w:pos="9317"/>
            </w:tabs>
            <w:spacing w:before="38" w:line="368" w:lineRule="exact"/>
            <w:ind w:left="516"/>
            <w:rPr>
              <w:sz w:val="27"/>
              <w:szCs w:val="27"/>
            </w:rPr>
          </w:pPr>
          <w:r>
            <w:fldChar w:fldCharType="begin"/>
          </w:r>
          <w:r>
            <w:instrText xml:space="preserve"> HYPERLINK \l "bookmark67" </w:instrText>
          </w:r>
          <w:r>
            <w:fldChar w:fldCharType="separate"/>
          </w:r>
          <w:r>
            <w:rPr>
              <w:rFonts w:ascii="Times New Roman" w:hAnsi="Times New Roman" w:eastAsia="Times New Roman" w:cs="Times New Roman"/>
              <w:spacing w:val="-1"/>
              <w:position w:val="2"/>
              <w:sz w:val="27"/>
              <w:szCs w:val="27"/>
            </w:rPr>
            <w:t>1.65</w:t>
          </w:r>
          <w:r>
            <w:rPr>
              <w:rFonts w:ascii="Times New Roman" w:hAnsi="Times New Roman" w:eastAsia="Times New Roman" w:cs="Times New Roman"/>
              <w:spacing w:val="11"/>
              <w:position w:val="2"/>
              <w:sz w:val="27"/>
              <w:szCs w:val="27"/>
            </w:rPr>
            <w:t xml:space="preserve">     </w:t>
          </w:r>
          <w:r>
            <w:rPr>
              <w:rFonts w:ascii="仿宋" w:hAnsi="仿宋" w:eastAsia="仿宋" w:cs="仿宋"/>
              <w:spacing w:val="-1"/>
              <w:position w:val="2"/>
              <w:sz w:val="27"/>
              <w:szCs w:val="27"/>
            </w:rPr>
            <w:t>生产定型申请报告</w:t>
          </w:r>
          <w:r>
            <w:rPr>
              <w:rFonts w:ascii="仿宋" w:hAnsi="仿宋" w:eastAsia="仿宋" w:cs="仿宋"/>
              <w:spacing w:val="-109"/>
              <w:position w:val="2"/>
              <w:sz w:val="27"/>
              <w:szCs w:val="27"/>
            </w:rPr>
            <w:t xml:space="preserve"> </w:t>
          </w:r>
          <w:r>
            <w:rPr>
              <w:rFonts w:ascii="仿宋" w:hAnsi="仿宋" w:eastAsia="仿宋" w:cs="仿宋"/>
              <w:position w:val="2"/>
              <w:sz w:val="27"/>
              <w:szCs w:val="27"/>
            </w:rPr>
            <w:tab/>
          </w:r>
          <w:r>
            <w:rPr>
              <w:spacing w:val="-7"/>
              <w:position w:val="2"/>
              <w:sz w:val="27"/>
              <w:szCs w:val="27"/>
            </w:rPr>
            <w:t>163</w:t>
          </w:r>
          <w:r>
            <w:rPr>
              <w:spacing w:val="-7"/>
              <w:position w:val="2"/>
              <w:sz w:val="27"/>
              <w:szCs w:val="27"/>
            </w:rPr>
            <w:fldChar w:fldCharType="end"/>
          </w:r>
        </w:p>
        <w:p w14:paraId="1C38EC33">
          <w:pPr>
            <w:pStyle w:val="2"/>
            <w:tabs>
              <w:tab w:val="right" w:leader="dot" w:pos="9317"/>
            </w:tabs>
            <w:spacing w:before="25" w:line="368" w:lineRule="exact"/>
            <w:ind w:left="516"/>
            <w:rPr>
              <w:sz w:val="27"/>
              <w:szCs w:val="27"/>
            </w:rPr>
          </w:pPr>
          <w:r>
            <w:fldChar w:fldCharType="begin"/>
          </w:r>
          <w:r>
            <w:instrText xml:space="preserve"> HYPERLINK \l "bookmark68" </w:instrText>
          </w:r>
          <w:r>
            <w:fldChar w:fldCharType="separate"/>
          </w:r>
          <w:r>
            <w:rPr>
              <w:rFonts w:ascii="Times New Roman" w:hAnsi="Times New Roman" w:eastAsia="Times New Roman" w:cs="Times New Roman"/>
              <w:position w:val="1"/>
              <w:sz w:val="27"/>
              <w:szCs w:val="27"/>
            </w:rPr>
            <w:t>1.66</w:t>
          </w:r>
          <w:r>
            <w:rPr>
              <w:rFonts w:ascii="Times New Roman" w:hAnsi="Times New Roman" w:eastAsia="Times New Roman" w:cs="Times New Roman"/>
              <w:spacing w:val="14"/>
              <w:position w:val="1"/>
              <w:sz w:val="27"/>
              <w:szCs w:val="27"/>
            </w:rPr>
            <w:t xml:space="preserve">     </w:t>
          </w:r>
          <w:r>
            <w:rPr>
              <w:rFonts w:ascii="仿宋" w:hAnsi="仿宋" w:eastAsia="仿宋" w:cs="仿宋"/>
              <w:position w:val="1"/>
              <w:sz w:val="27"/>
              <w:szCs w:val="27"/>
            </w:rPr>
            <w:t>生产定型审查意见书</w:t>
          </w:r>
          <w:r>
            <w:rPr>
              <w:rFonts w:ascii="仿宋" w:hAnsi="仿宋" w:eastAsia="仿宋" w:cs="仿宋"/>
              <w:position w:val="1"/>
              <w:sz w:val="27"/>
              <w:szCs w:val="27"/>
            </w:rPr>
            <w:tab/>
          </w:r>
          <w:r>
            <w:rPr>
              <w:spacing w:val="-11"/>
              <w:position w:val="1"/>
              <w:sz w:val="27"/>
              <w:szCs w:val="27"/>
            </w:rPr>
            <w:t>164</w:t>
          </w:r>
          <w:r>
            <w:rPr>
              <w:spacing w:val="-11"/>
              <w:position w:val="1"/>
              <w:sz w:val="27"/>
              <w:szCs w:val="27"/>
            </w:rPr>
            <w:fldChar w:fldCharType="end"/>
          </w:r>
        </w:p>
        <w:p w14:paraId="1C582BB7">
          <w:pPr>
            <w:pStyle w:val="2"/>
            <w:tabs>
              <w:tab w:val="right" w:leader="dot" w:pos="9307"/>
            </w:tabs>
            <w:spacing w:before="97" w:line="222" w:lineRule="auto"/>
            <w:rPr>
              <w:sz w:val="27"/>
              <w:szCs w:val="27"/>
            </w:rPr>
          </w:pPr>
          <w:r>
            <w:fldChar w:fldCharType="begin"/>
          </w:r>
          <w:r>
            <w:instrText xml:space="preserve"> HYPERLINK \l "bookmark69" </w:instrText>
          </w:r>
          <w:r>
            <w:fldChar w:fldCharType="separate"/>
          </w:r>
          <w:r>
            <w:rPr>
              <w:rFonts w:ascii="黑体" w:hAnsi="黑体" w:eastAsia="黑体" w:cs="黑体"/>
              <w:b/>
              <w:bCs/>
              <w:spacing w:val="33"/>
              <w:sz w:val="27"/>
              <w:szCs w:val="27"/>
            </w:rPr>
            <w:t>第2章</w:t>
          </w:r>
          <w:r>
            <w:rPr>
              <w:rFonts w:ascii="黑体" w:hAnsi="黑体" w:eastAsia="黑体" w:cs="黑体"/>
              <w:spacing w:val="62"/>
              <w:sz w:val="27"/>
              <w:szCs w:val="27"/>
            </w:rPr>
            <w:t xml:space="preserve"> </w:t>
          </w:r>
          <w:r>
            <w:rPr>
              <w:rFonts w:ascii="黑体" w:hAnsi="黑体" w:eastAsia="黑体" w:cs="黑体"/>
              <w:b/>
              <w:bCs/>
              <w:spacing w:val="33"/>
              <w:sz w:val="27"/>
              <w:szCs w:val="27"/>
            </w:rPr>
            <w:t>软件文档</w:t>
          </w:r>
          <w:r>
            <w:rPr>
              <w:rFonts w:ascii="黑体" w:hAnsi="黑体" w:eastAsia="黑体" w:cs="黑体"/>
              <w:spacing w:val="-123"/>
              <w:sz w:val="27"/>
              <w:szCs w:val="27"/>
            </w:rPr>
            <w:t xml:space="preserve"> </w:t>
          </w:r>
          <w:r>
            <w:rPr>
              <w:rFonts w:ascii="黑体" w:hAnsi="黑体" w:eastAsia="黑体" w:cs="黑体"/>
              <w:sz w:val="27"/>
              <w:szCs w:val="27"/>
            </w:rPr>
            <w:tab/>
          </w:r>
          <w:r>
            <w:rPr>
              <w:b/>
              <w:bCs/>
              <w:spacing w:val="-11"/>
              <w:sz w:val="27"/>
              <w:szCs w:val="27"/>
            </w:rPr>
            <w:t>167</w:t>
          </w:r>
          <w:r>
            <w:rPr>
              <w:b/>
              <w:bCs/>
              <w:spacing w:val="-11"/>
              <w:sz w:val="27"/>
              <w:szCs w:val="27"/>
            </w:rPr>
            <w:fldChar w:fldCharType="end"/>
          </w:r>
        </w:p>
        <w:p w14:paraId="4DDC9BC1">
          <w:pPr>
            <w:pStyle w:val="2"/>
            <w:tabs>
              <w:tab w:val="right" w:leader="dot" w:pos="9317"/>
            </w:tabs>
            <w:spacing w:before="38" w:line="368" w:lineRule="exact"/>
            <w:ind w:left="516"/>
            <w:rPr>
              <w:sz w:val="27"/>
              <w:szCs w:val="27"/>
            </w:rPr>
          </w:pPr>
          <w:r>
            <w:fldChar w:fldCharType="begin"/>
          </w:r>
          <w:r>
            <w:instrText xml:space="preserve"> HYPERLINK \l "bookmark70" </w:instrText>
          </w:r>
          <w:r>
            <w:fldChar w:fldCharType="separate"/>
          </w:r>
          <w:r>
            <w:rPr>
              <w:rFonts w:ascii="Times New Roman" w:hAnsi="Times New Roman" w:eastAsia="Times New Roman" w:cs="Times New Roman"/>
              <w:spacing w:val="-2"/>
              <w:position w:val="2"/>
              <w:sz w:val="27"/>
              <w:szCs w:val="27"/>
            </w:rPr>
            <w:t>2.1</w:t>
          </w:r>
          <w:r>
            <w:rPr>
              <w:rFonts w:ascii="Times New Roman" w:hAnsi="Times New Roman" w:eastAsia="Times New Roman" w:cs="Times New Roman"/>
              <w:spacing w:val="7"/>
              <w:position w:val="2"/>
              <w:sz w:val="27"/>
              <w:szCs w:val="27"/>
            </w:rPr>
            <w:t xml:space="preserve">     </w:t>
          </w:r>
          <w:r>
            <w:rPr>
              <w:rFonts w:ascii="仿宋" w:hAnsi="仿宋" w:eastAsia="仿宋" w:cs="仿宋"/>
              <w:spacing w:val="-2"/>
              <w:position w:val="2"/>
              <w:sz w:val="27"/>
              <w:szCs w:val="27"/>
            </w:rPr>
            <w:t xml:space="preserve">运行方案说明 </w:t>
          </w:r>
          <w:r>
            <w:rPr>
              <w:rFonts w:ascii="仿宋" w:hAnsi="仿宋" w:eastAsia="仿宋" w:cs="仿宋"/>
              <w:position w:val="2"/>
              <w:sz w:val="27"/>
              <w:szCs w:val="27"/>
            </w:rPr>
            <w:tab/>
          </w:r>
          <w:r>
            <w:rPr>
              <w:spacing w:val="-2"/>
              <w:position w:val="2"/>
              <w:sz w:val="27"/>
              <w:szCs w:val="27"/>
            </w:rPr>
            <w:t>167</w:t>
          </w:r>
          <w:r>
            <w:rPr>
              <w:spacing w:val="-2"/>
              <w:position w:val="2"/>
              <w:sz w:val="27"/>
              <w:szCs w:val="27"/>
            </w:rPr>
            <w:fldChar w:fldCharType="end"/>
          </w:r>
        </w:p>
        <w:p w14:paraId="0BA89DFE">
          <w:pPr>
            <w:pStyle w:val="2"/>
            <w:tabs>
              <w:tab w:val="right" w:leader="dot" w:pos="9327"/>
            </w:tabs>
            <w:spacing w:before="44" w:line="368" w:lineRule="exact"/>
            <w:ind w:left="516"/>
            <w:rPr>
              <w:sz w:val="27"/>
              <w:szCs w:val="27"/>
            </w:rPr>
          </w:pPr>
          <w:r>
            <w:fldChar w:fldCharType="begin"/>
          </w:r>
          <w:r>
            <w:instrText xml:space="preserve"> HYPERLINK \l "bookmark71" </w:instrText>
          </w:r>
          <w:r>
            <w:fldChar w:fldCharType="separate"/>
          </w:r>
          <w:r>
            <w:rPr>
              <w:rFonts w:ascii="Times New Roman" w:hAnsi="Times New Roman" w:eastAsia="Times New Roman" w:cs="Times New Roman"/>
              <w:spacing w:val="1"/>
              <w:position w:val="1"/>
              <w:sz w:val="27"/>
              <w:szCs w:val="27"/>
            </w:rPr>
            <w:t>2.2</w:t>
          </w:r>
          <w:r>
            <w:rPr>
              <w:rFonts w:ascii="Times New Roman" w:hAnsi="Times New Roman" w:eastAsia="Times New Roman" w:cs="Times New Roman"/>
              <w:spacing w:val="12"/>
              <w:position w:val="1"/>
              <w:sz w:val="27"/>
              <w:szCs w:val="27"/>
            </w:rPr>
            <w:t xml:space="preserve">     </w:t>
          </w:r>
          <w:r>
            <w:rPr>
              <w:rFonts w:ascii="仿宋" w:hAnsi="仿宋" w:eastAsia="仿宋" w:cs="仿宋"/>
              <w:spacing w:val="1"/>
              <w:position w:val="1"/>
              <w:sz w:val="27"/>
              <w:szCs w:val="27"/>
            </w:rPr>
            <w:t>系统/子系统规格说明</w:t>
          </w:r>
          <w:r>
            <w:rPr>
              <w:rFonts w:ascii="仿宋" w:hAnsi="仿宋" w:eastAsia="仿宋" w:cs="仿宋"/>
              <w:position w:val="1"/>
              <w:sz w:val="27"/>
              <w:szCs w:val="27"/>
            </w:rPr>
            <w:tab/>
          </w:r>
          <w:r>
            <w:rPr>
              <w:spacing w:val="-11"/>
              <w:position w:val="1"/>
              <w:sz w:val="27"/>
              <w:szCs w:val="27"/>
            </w:rPr>
            <w:t>170</w:t>
          </w:r>
          <w:r>
            <w:rPr>
              <w:spacing w:val="-11"/>
              <w:position w:val="1"/>
              <w:sz w:val="27"/>
              <w:szCs w:val="27"/>
            </w:rPr>
            <w:fldChar w:fldCharType="end"/>
          </w:r>
        </w:p>
        <w:p w14:paraId="6459BA14">
          <w:pPr>
            <w:pStyle w:val="2"/>
            <w:tabs>
              <w:tab w:val="right" w:leader="dot" w:pos="9327"/>
            </w:tabs>
            <w:spacing w:before="42" w:line="368" w:lineRule="exact"/>
            <w:ind w:left="516"/>
            <w:rPr>
              <w:sz w:val="27"/>
              <w:szCs w:val="27"/>
            </w:rPr>
          </w:pPr>
          <w:r>
            <w:fldChar w:fldCharType="begin"/>
          </w:r>
          <w:r>
            <w:instrText xml:space="preserve"> HYPERLINK \l "bookmark72" </w:instrText>
          </w:r>
          <w:r>
            <w:fldChar w:fldCharType="separate"/>
          </w:r>
          <w:r>
            <w:rPr>
              <w:rFonts w:ascii="Times New Roman" w:hAnsi="Times New Roman" w:eastAsia="Times New Roman" w:cs="Times New Roman"/>
              <w:spacing w:val="-1"/>
              <w:position w:val="1"/>
              <w:sz w:val="27"/>
              <w:szCs w:val="27"/>
            </w:rPr>
            <w:t xml:space="preserve">2.3     </w:t>
          </w:r>
          <w:r>
            <w:rPr>
              <w:rFonts w:ascii="仿宋" w:hAnsi="仿宋" w:eastAsia="仿宋" w:cs="仿宋"/>
              <w:spacing w:val="-1"/>
              <w:position w:val="1"/>
              <w:sz w:val="27"/>
              <w:szCs w:val="27"/>
            </w:rPr>
            <w:t>接口需求规格说明</w:t>
          </w:r>
          <w:r>
            <w:rPr>
              <w:rFonts w:ascii="仿宋" w:hAnsi="仿宋" w:eastAsia="仿宋" w:cs="仿宋"/>
              <w:spacing w:val="35"/>
              <w:position w:val="1"/>
              <w:sz w:val="27"/>
              <w:szCs w:val="27"/>
            </w:rPr>
            <w:t xml:space="preserve"> </w:t>
          </w:r>
          <w:r>
            <w:rPr>
              <w:rFonts w:ascii="仿宋" w:hAnsi="仿宋" w:eastAsia="仿宋" w:cs="仿宋"/>
              <w:position w:val="1"/>
              <w:sz w:val="27"/>
              <w:szCs w:val="27"/>
            </w:rPr>
            <w:tab/>
          </w:r>
          <w:r>
            <w:rPr>
              <w:position w:val="1"/>
              <w:sz w:val="27"/>
              <w:szCs w:val="27"/>
            </w:rPr>
            <w:t>176</w:t>
          </w:r>
          <w:r>
            <w:rPr>
              <w:position w:val="1"/>
              <w:sz w:val="27"/>
              <w:szCs w:val="27"/>
            </w:rPr>
            <w:fldChar w:fldCharType="end"/>
          </w:r>
        </w:p>
        <w:p w14:paraId="07B6F71C">
          <w:pPr>
            <w:pStyle w:val="2"/>
            <w:tabs>
              <w:tab w:val="right" w:leader="dot" w:pos="9327"/>
            </w:tabs>
            <w:spacing w:before="32" w:line="368" w:lineRule="exact"/>
            <w:ind w:left="516"/>
            <w:rPr>
              <w:sz w:val="27"/>
              <w:szCs w:val="27"/>
            </w:rPr>
          </w:pPr>
          <w:r>
            <w:fldChar w:fldCharType="begin"/>
          </w:r>
          <w:r>
            <w:instrText xml:space="preserve"> HYPERLINK \l "bookmark73" </w:instrText>
          </w:r>
          <w:r>
            <w:fldChar w:fldCharType="separate"/>
          </w:r>
          <w:r>
            <w:rPr>
              <w:rFonts w:ascii="Times New Roman" w:hAnsi="Times New Roman" w:eastAsia="Times New Roman" w:cs="Times New Roman"/>
              <w:spacing w:val="6"/>
              <w:position w:val="1"/>
              <w:sz w:val="27"/>
              <w:szCs w:val="27"/>
            </w:rPr>
            <w:t>2.4</w:t>
          </w:r>
          <w:r>
            <w:rPr>
              <w:rFonts w:ascii="Times New Roman" w:hAnsi="Times New Roman" w:eastAsia="Times New Roman" w:cs="Times New Roman"/>
              <w:spacing w:val="13"/>
              <w:position w:val="1"/>
              <w:sz w:val="27"/>
              <w:szCs w:val="27"/>
            </w:rPr>
            <w:t xml:space="preserve">    </w:t>
          </w:r>
          <w:r>
            <w:rPr>
              <w:rFonts w:ascii="仿宋" w:hAnsi="仿宋" w:eastAsia="仿宋" w:cs="仿宋"/>
              <w:spacing w:val="6"/>
              <w:position w:val="1"/>
              <w:sz w:val="27"/>
              <w:szCs w:val="27"/>
            </w:rPr>
            <w:t>系统/子系统设计说明</w:t>
          </w:r>
          <w:r>
            <w:rPr>
              <w:rFonts w:ascii="仿宋" w:hAnsi="仿宋" w:eastAsia="仿宋" w:cs="仿宋"/>
              <w:position w:val="1"/>
              <w:sz w:val="27"/>
              <w:szCs w:val="27"/>
            </w:rPr>
            <w:tab/>
          </w:r>
          <w:r>
            <w:rPr>
              <w:spacing w:val="-9"/>
              <w:position w:val="1"/>
              <w:sz w:val="27"/>
              <w:szCs w:val="27"/>
            </w:rPr>
            <w:t>179</w:t>
          </w:r>
          <w:r>
            <w:rPr>
              <w:spacing w:val="-9"/>
              <w:position w:val="1"/>
              <w:sz w:val="27"/>
              <w:szCs w:val="27"/>
            </w:rPr>
            <w:fldChar w:fldCharType="end"/>
          </w:r>
        </w:p>
        <w:p w14:paraId="18C719EA">
          <w:pPr>
            <w:pStyle w:val="2"/>
            <w:tabs>
              <w:tab w:val="right" w:leader="dot" w:pos="9327"/>
            </w:tabs>
            <w:spacing w:before="32" w:line="368" w:lineRule="exact"/>
            <w:ind w:left="516"/>
            <w:rPr>
              <w:sz w:val="27"/>
              <w:szCs w:val="27"/>
            </w:rPr>
          </w:pPr>
          <w:r>
            <w:fldChar w:fldCharType="begin"/>
          </w:r>
          <w:r>
            <w:instrText xml:space="preserve"> HYPERLINK \l "bookmark74" </w:instrText>
          </w:r>
          <w:r>
            <w:fldChar w:fldCharType="separate"/>
          </w:r>
          <w:r>
            <w:rPr>
              <w:rFonts w:ascii="Times New Roman" w:hAnsi="Times New Roman" w:eastAsia="Times New Roman" w:cs="Times New Roman"/>
              <w:spacing w:val="-2"/>
              <w:position w:val="1"/>
              <w:sz w:val="27"/>
              <w:szCs w:val="27"/>
            </w:rPr>
            <w:t>2.5</w:t>
          </w:r>
          <w:r>
            <w:rPr>
              <w:rFonts w:ascii="Times New Roman" w:hAnsi="Times New Roman" w:eastAsia="Times New Roman" w:cs="Times New Roman"/>
              <w:spacing w:val="5"/>
              <w:position w:val="1"/>
              <w:sz w:val="27"/>
              <w:szCs w:val="27"/>
            </w:rPr>
            <w:t xml:space="preserve">     </w:t>
          </w:r>
          <w:r>
            <w:rPr>
              <w:rFonts w:ascii="仿宋" w:hAnsi="仿宋" w:eastAsia="仿宋" w:cs="仿宋"/>
              <w:spacing w:val="-2"/>
              <w:position w:val="1"/>
              <w:sz w:val="27"/>
              <w:szCs w:val="27"/>
            </w:rPr>
            <w:t xml:space="preserve">接口设计说明 </w:t>
          </w:r>
          <w:r>
            <w:rPr>
              <w:rFonts w:ascii="仿宋" w:hAnsi="仿宋" w:eastAsia="仿宋" w:cs="仿宋"/>
              <w:position w:val="1"/>
              <w:sz w:val="27"/>
              <w:szCs w:val="27"/>
            </w:rPr>
            <w:tab/>
          </w:r>
          <w:r>
            <w:rPr>
              <w:spacing w:val="-7"/>
              <w:position w:val="1"/>
              <w:sz w:val="27"/>
              <w:szCs w:val="27"/>
            </w:rPr>
            <w:t>183</w:t>
          </w:r>
          <w:r>
            <w:rPr>
              <w:spacing w:val="-7"/>
              <w:position w:val="1"/>
              <w:sz w:val="27"/>
              <w:szCs w:val="27"/>
            </w:rPr>
            <w:fldChar w:fldCharType="end"/>
          </w:r>
        </w:p>
        <w:p w14:paraId="1FC245E3">
          <w:pPr>
            <w:pStyle w:val="2"/>
            <w:tabs>
              <w:tab w:val="right" w:leader="dot" w:pos="9305"/>
            </w:tabs>
            <w:spacing w:before="51" w:line="368" w:lineRule="exact"/>
            <w:ind w:left="516"/>
            <w:rPr>
              <w:sz w:val="27"/>
              <w:szCs w:val="27"/>
            </w:rPr>
          </w:pPr>
          <w:r>
            <w:fldChar w:fldCharType="begin"/>
          </w:r>
          <w:r>
            <w:instrText xml:space="preserve"> HYPERLINK \l "bookmark75" </w:instrText>
          </w:r>
          <w:r>
            <w:fldChar w:fldCharType="separate"/>
          </w:r>
          <w:r>
            <w:rPr>
              <w:rFonts w:ascii="Times New Roman" w:hAnsi="Times New Roman" w:eastAsia="Times New Roman" w:cs="Times New Roman"/>
              <w:spacing w:val="3"/>
              <w:position w:val="1"/>
              <w:sz w:val="27"/>
              <w:szCs w:val="27"/>
            </w:rPr>
            <w:t>2.6</w:t>
          </w:r>
          <w:r>
            <w:rPr>
              <w:rFonts w:ascii="Times New Roman" w:hAnsi="Times New Roman" w:eastAsia="Times New Roman" w:cs="Times New Roman"/>
              <w:spacing w:val="7"/>
              <w:position w:val="1"/>
              <w:sz w:val="27"/>
              <w:szCs w:val="27"/>
            </w:rPr>
            <w:t xml:space="preserve">     </w:t>
          </w:r>
          <w:r>
            <w:rPr>
              <w:rFonts w:ascii="仿宋" w:hAnsi="仿宋" w:eastAsia="仿宋" w:cs="仿宋"/>
              <w:spacing w:val="3"/>
              <w:position w:val="1"/>
              <w:sz w:val="27"/>
              <w:szCs w:val="27"/>
            </w:rPr>
            <w:t>软件研制任务书</w:t>
          </w:r>
          <w:r>
            <w:rPr>
              <w:rFonts w:ascii="仿宋" w:hAnsi="仿宋" w:eastAsia="仿宋" w:cs="仿宋"/>
              <w:position w:val="1"/>
              <w:sz w:val="27"/>
              <w:szCs w:val="27"/>
            </w:rPr>
            <w:tab/>
          </w:r>
          <w:r>
            <w:rPr>
              <w:spacing w:val="-12"/>
              <w:position w:val="1"/>
              <w:sz w:val="27"/>
              <w:szCs w:val="27"/>
            </w:rPr>
            <w:t>185</w:t>
          </w:r>
          <w:r>
            <w:rPr>
              <w:spacing w:val="-12"/>
              <w:position w:val="1"/>
              <w:sz w:val="27"/>
              <w:szCs w:val="27"/>
            </w:rPr>
            <w:fldChar w:fldCharType="end"/>
          </w:r>
        </w:p>
        <w:p w14:paraId="638E87BD">
          <w:pPr>
            <w:pStyle w:val="2"/>
            <w:tabs>
              <w:tab w:val="right" w:leader="dot" w:pos="9307"/>
            </w:tabs>
            <w:spacing w:before="33" w:line="368" w:lineRule="exact"/>
            <w:ind w:left="516"/>
            <w:rPr>
              <w:sz w:val="27"/>
              <w:szCs w:val="27"/>
            </w:rPr>
          </w:pPr>
          <w:r>
            <w:fldChar w:fldCharType="begin"/>
          </w:r>
          <w:r>
            <w:instrText xml:space="preserve"> HYPERLINK \l "bookmark76" </w:instrText>
          </w:r>
          <w:r>
            <w:fldChar w:fldCharType="separate"/>
          </w:r>
          <w:r>
            <w:rPr>
              <w:rFonts w:ascii="Times New Roman" w:hAnsi="Times New Roman" w:eastAsia="Times New Roman" w:cs="Times New Roman"/>
              <w:spacing w:val="-2"/>
              <w:position w:val="1"/>
              <w:sz w:val="27"/>
              <w:szCs w:val="27"/>
            </w:rPr>
            <w:t>2.7</w:t>
          </w:r>
          <w:r>
            <w:rPr>
              <w:rFonts w:ascii="Times New Roman" w:hAnsi="Times New Roman" w:eastAsia="Times New Roman" w:cs="Times New Roman"/>
              <w:spacing w:val="7"/>
              <w:position w:val="1"/>
              <w:sz w:val="27"/>
              <w:szCs w:val="27"/>
            </w:rPr>
            <w:t xml:space="preserve">     </w:t>
          </w:r>
          <w:r>
            <w:rPr>
              <w:rFonts w:ascii="仿宋" w:hAnsi="仿宋" w:eastAsia="仿宋" w:cs="仿宋"/>
              <w:spacing w:val="-2"/>
              <w:position w:val="1"/>
              <w:sz w:val="27"/>
              <w:szCs w:val="27"/>
            </w:rPr>
            <w:t xml:space="preserve">软件开发计划 </w:t>
          </w:r>
          <w:r>
            <w:rPr>
              <w:rFonts w:ascii="仿宋" w:hAnsi="仿宋" w:eastAsia="仿宋" w:cs="仿宋"/>
              <w:position w:val="1"/>
              <w:sz w:val="27"/>
              <w:szCs w:val="27"/>
            </w:rPr>
            <w:tab/>
          </w:r>
          <w:r>
            <w:rPr>
              <w:spacing w:val="-4"/>
              <w:position w:val="1"/>
              <w:sz w:val="27"/>
              <w:szCs w:val="27"/>
            </w:rPr>
            <w:t>188</w:t>
          </w:r>
          <w:r>
            <w:rPr>
              <w:spacing w:val="-4"/>
              <w:position w:val="1"/>
              <w:sz w:val="27"/>
              <w:szCs w:val="27"/>
            </w:rPr>
            <w:fldChar w:fldCharType="end"/>
          </w:r>
        </w:p>
        <w:p w14:paraId="76DEFF72">
          <w:pPr>
            <w:pStyle w:val="2"/>
            <w:tabs>
              <w:tab w:val="right" w:leader="dot" w:pos="9317"/>
            </w:tabs>
            <w:spacing w:before="42" w:line="368" w:lineRule="exact"/>
            <w:ind w:left="516"/>
            <w:rPr>
              <w:sz w:val="27"/>
              <w:szCs w:val="27"/>
            </w:rPr>
          </w:pPr>
          <w:r>
            <w:fldChar w:fldCharType="begin"/>
          </w:r>
          <w:r>
            <w:instrText xml:space="preserve"> HYPERLINK \l "bookmark77" </w:instrText>
          </w:r>
          <w:r>
            <w:fldChar w:fldCharType="separate"/>
          </w:r>
          <w:r>
            <w:rPr>
              <w:rFonts w:ascii="Times New Roman" w:hAnsi="Times New Roman" w:eastAsia="Times New Roman" w:cs="Times New Roman"/>
              <w:position w:val="1"/>
              <w:sz w:val="27"/>
              <w:szCs w:val="27"/>
            </w:rPr>
            <w:t>2.8</w:t>
          </w:r>
          <w:r>
            <w:rPr>
              <w:rFonts w:ascii="Times New Roman" w:hAnsi="Times New Roman" w:eastAsia="Times New Roman" w:cs="Times New Roman"/>
              <w:spacing w:val="9"/>
              <w:position w:val="1"/>
              <w:sz w:val="27"/>
              <w:szCs w:val="27"/>
            </w:rPr>
            <w:t xml:space="preserve">     </w:t>
          </w:r>
          <w:r>
            <w:rPr>
              <w:rFonts w:ascii="仿宋" w:hAnsi="仿宋" w:eastAsia="仿宋" w:cs="仿宋"/>
              <w:position w:val="1"/>
              <w:sz w:val="27"/>
              <w:szCs w:val="27"/>
            </w:rPr>
            <w:t>软件配置管理计划</w:t>
          </w:r>
          <w:r>
            <w:rPr>
              <w:rFonts w:ascii="仿宋" w:hAnsi="仿宋" w:eastAsia="仿宋" w:cs="仿宋"/>
              <w:position w:val="1"/>
              <w:sz w:val="27"/>
              <w:szCs w:val="27"/>
            </w:rPr>
            <w:tab/>
          </w:r>
          <w:r>
            <w:rPr>
              <w:spacing w:val="-7"/>
              <w:position w:val="1"/>
              <w:sz w:val="27"/>
              <w:szCs w:val="27"/>
            </w:rPr>
            <w:t>194</w:t>
          </w:r>
          <w:r>
            <w:rPr>
              <w:spacing w:val="-7"/>
              <w:position w:val="1"/>
              <w:sz w:val="27"/>
              <w:szCs w:val="27"/>
            </w:rPr>
            <w:fldChar w:fldCharType="end"/>
          </w:r>
        </w:p>
        <w:p w14:paraId="721870F8">
          <w:pPr>
            <w:pStyle w:val="2"/>
            <w:tabs>
              <w:tab w:val="right" w:leader="dot" w:pos="9327"/>
            </w:tabs>
            <w:spacing w:before="40" w:line="368" w:lineRule="exact"/>
            <w:ind w:left="516"/>
            <w:rPr>
              <w:sz w:val="27"/>
              <w:szCs w:val="27"/>
            </w:rPr>
          </w:pPr>
          <w:r>
            <w:fldChar w:fldCharType="begin"/>
          </w:r>
          <w:r>
            <w:instrText xml:space="preserve"> HYPERLINK \l "bookmark78" </w:instrText>
          </w:r>
          <w:r>
            <w:fldChar w:fldCharType="separate"/>
          </w:r>
          <w:r>
            <w:rPr>
              <w:rFonts w:ascii="Times New Roman" w:hAnsi="Times New Roman" w:eastAsia="Times New Roman" w:cs="Times New Roman"/>
              <w:spacing w:val="5"/>
              <w:position w:val="2"/>
              <w:sz w:val="27"/>
              <w:szCs w:val="27"/>
            </w:rPr>
            <w:t>2.9</w:t>
          </w:r>
          <w:r>
            <w:rPr>
              <w:rFonts w:ascii="Times New Roman" w:hAnsi="Times New Roman" w:eastAsia="Times New Roman" w:cs="Times New Roman"/>
              <w:position w:val="2"/>
              <w:sz w:val="27"/>
              <w:szCs w:val="27"/>
            </w:rPr>
            <w:t xml:space="preserve">     </w:t>
          </w:r>
          <w:r>
            <w:rPr>
              <w:rFonts w:ascii="仿宋" w:hAnsi="仿宋" w:eastAsia="仿宋" w:cs="仿宋"/>
              <w:spacing w:val="5"/>
              <w:position w:val="2"/>
              <w:sz w:val="27"/>
              <w:szCs w:val="27"/>
            </w:rPr>
            <w:t>软件质量保证计划</w:t>
          </w:r>
          <w:r>
            <w:rPr>
              <w:rFonts w:ascii="仿宋" w:hAnsi="仿宋" w:eastAsia="仿宋" w:cs="仿宋"/>
              <w:position w:val="2"/>
              <w:sz w:val="27"/>
              <w:szCs w:val="27"/>
            </w:rPr>
            <w:tab/>
          </w:r>
          <w:r>
            <w:rPr>
              <w:spacing w:val="-7"/>
              <w:position w:val="2"/>
              <w:sz w:val="27"/>
              <w:szCs w:val="27"/>
            </w:rPr>
            <w:t>196</w:t>
          </w:r>
          <w:r>
            <w:rPr>
              <w:spacing w:val="-7"/>
              <w:position w:val="2"/>
              <w:sz w:val="27"/>
              <w:szCs w:val="27"/>
            </w:rPr>
            <w:fldChar w:fldCharType="end"/>
          </w:r>
        </w:p>
        <w:p w14:paraId="1FCDDCC5">
          <w:pPr>
            <w:pStyle w:val="2"/>
            <w:tabs>
              <w:tab w:val="right" w:leader="dot" w:pos="9307"/>
            </w:tabs>
            <w:spacing w:before="34" w:line="368" w:lineRule="exact"/>
            <w:ind w:left="516"/>
            <w:rPr>
              <w:sz w:val="27"/>
              <w:szCs w:val="27"/>
            </w:rPr>
          </w:pPr>
          <w:r>
            <w:fldChar w:fldCharType="begin"/>
          </w:r>
          <w:r>
            <w:instrText xml:space="preserve"> HYPERLINK \l "bookmark79" </w:instrText>
          </w:r>
          <w:r>
            <w:fldChar w:fldCharType="separate"/>
          </w:r>
          <w:r>
            <w:rPr>
              <w:rFonts w:ascii="Times New Roman" w:hAnsi="Times New Roman" w:eastAsia="Times New Roman" w:cs="Times New Roman"/>
              <w:position w:val="1"/>
              <w:sz w:val="27"/>
              <w:szCs w:val="27"/>
            </w:rPr>
            <w:t>2.10</w:t>
          </w:r>
          <w:r>
            <w:rPr>
              <w:rFonts w:ascii="Times New Roman" w:hAnsi="Times New Roman" w:eastAsia="Times New Roman" w:cs="Times New Roman"/>
              <w:spacing w:val="12"/>
              <w:position w:val="1"/>
              <w:sz w:val="27"/>
              <w:szCs w:val="27"/>
            </w:rPr>
            <w:t xml:space="preserve">     </w:t>
          </w:r>
          <w:r>
            <w:rPr>
              <w:rFonts w:ascii="仿宋" w:hAnsi="仿宋" w:eastAsia="仿宋" w:cs="仿宋"/>
              <w:position w:val="1"/>
              <w:sz w:val="27"/>
              <w:szCs w:val="27"/>
            </w:rPr>
            <w:t>软件安装计划</w:t>
          </w:r>
          <w:r>
            <w:rPr>
              <w:rFonts w:ascii="仿宋" w:hAnsi="仿宋" w:eastAsia="仿宋" w:cs="仿宋"/>
              <w:position w:val="1"/>
              <w:sz w:val="27"/>
              <w:szCs w:val="27"/>
            </w:rPr>
            <w:tab/>
          </w:r>
          <w:r>
            <w:rPr>
              <w:spacing w:val="-13"/>
              <w:position w:val="1"/>
              <w:sz w:val="27"/>
              <w:szCs w:val="27"/>
            </w:rPr>
            <w:t>198</w:t>
          </w:r>
          <w:r>
            <w:rPr>
              <w:spacing w:val="-13"/>
              <w:position w:val="1"/>
              <w:sz w:val="27"/>
              <w:szCs w:val="27"/>
            </w:rPr>
            <w:fldChar w:fldCharType="end"/>
          </w:r>
        </w:p>
        <w:p w14:paraId="24C7AAD0">
          <w:pPr>
            <w:pStyle w:val="2"/>
            <w:tabs>
              <w:tab w:val="right" w:leader="dot" w:pos="9342"/>
            </w:tabs>
            <w:spacing w:before="42" w:line="368" w:lineRule="exact"/>
            <w:ind w:left="516"/>
            <w:rPr>
              <w:sz w:val="27"/>
              <w:szCs w:val="27"/>
            </w:rPr>
          </w:pPr>
          <w:r>
            <w:fldChar w:fldCharType="begin"/>
          </w:r>
          <w:r>
            <w:instrText xml:space="preserve"> HYPERLINK \l "bookmark80" </w:instrText>
          </w:r>
          <w:r>
            <w:fldChar w:fldCharType="separate"/>
          </w:r>
          <w:r>
            <w:rPr>
              <w:rFonts w:ascii="Times New Roman" w:hAnsi="Times New Roman" w:eastAsia="Times New Roman" w:cs="Times New Roman"/>
              <w:position w:val="1"/>
              <w:sz w:val="27"/>
              <w:szCs w:val="27"/>
            </w:rPr>
            <w:t>2.11</w:t>
          </w:r>
          <w:r>
            <w:rPr>
              <w:rFonts w:ascii="Times New Roman" w:hAnsi="Times New Roman" w:eastAsia="Times New Roman" w:cs="Times New Roman"/>
              <w:spacing w:val="8"/>
              <w:position w:val="1"/>
              <w:sz w:val="27"/>
              <w:szCs w:val="27"/>
            </w:rPr>
            <w:t xml:space="preserve">     </w:t>
          </w:r>
          <w:r>
            <w:rPr>
              <w:rFonts w:ascii="仿宋" w:hAnsi="仿宋" w:eastAsia="仿宋" w:cs="仿宋"/>
              <w:position w:val="1"/>
              <w:sz w:val="27"/>
              <w:szCs w:val="27"/>
            </w:rPr>
            <w:t>软件移交计划</w:t>
          </w:r>
          <w:r>
            <w:rPr>
              <w:rFonts w:ascii="仿宋" w:hAnsi="仿宋" w:eastAsia="仿宋" w:cs="仿宋"/>
              <w:position w:val="1"/>
              <w:sz w:val="27"/>
              <w:szCs w:val="27"/>
            </w:rPr>
            <w:tab/>
          </w:r>
          <w:r>
            <w:rPr>
              <w:spacing w:val="-1"/>
              <w:position w:val="1"/>
              <w:sz w:val="27"/>
              <w:szCs w:val="27"/>
            </w:rPr>
            <w:t>201</w:t>
          </w:r>
          <w:r>
            <w:rPr>
              <w:spacing w:val="-1"/>
              <w:position w:val="1"/>
              <w:sz w:val="27"/>
              <w:szCs w:val="27"/>
            </w:rPr>
            <w:fldChar w:fldCharType="end"/>
          </w:r>
        </w:p>
        <w:p w14:paraId="7A59031B">
          <w:pPr>
            <w:pStyle w:val="2"/>
            <w:tabs>
              <w:tab w:val="right" w:leader="dot" w:pos="9307"/>
            </w:tabs>
            <w:spacing w:before="42" w:line="368" w:lineRule="exact"/>
            <w:ind w:left="516"/>
            <w:rPr>
              <w:sz w:val="27"/>
              <w:szCs w:val="27"/>
            </w:rPr>
          </w:pPr>
          <w:r>
            <w:fldChar w:fldCharType="begin"/>
          </w:r>
          <w:r>
            <w:instrText xml:space="preserve"> HYPERLINK \l "bookmark81" </w:instrText>
          </w:r>
          <w:r>
            <w:fldChar w:fldCharType="separate"/>
          </w:r>
          <w:r>
            <w:rPr>
              <w:rFonts w:ascii="Times New Roman" w:hAnsi="Times New Roman" w:eastAsia="Times New Roman" w:cs="Times New Roman"/>
              <w:position w:val="1"/>
              <w:sz w:val="27"/>
              <w:szCs w:val="27"/>
            </w:rPr>
            <w:t>2.12</w:t>
          </w:r>
          <w:r>
            <w:rPr>
              <w:rFonts w:ascii="Times New Roman" w:hAnsi="Times New Roman" w:eastAsia="Times New Roman" w:cs="Times New Roman"/>
              <w:spacing w:val="10"/>
              <w:position w:val="1"/>
              <w:sz w:val="27"/>
              <w:szCs w:val="27"/>
            </w:rPr>
            <w:t xml:space="preserve">     </w:t>
          </w:r>
          <w:r>
            <w:rPr>
              <w:rFonts w:ascii="仿宋" w:hAnsi="仿宋" w:eastAsia="仿宋" w:cs="仿宋"/>
              <w:position w:val="1"/>
              <w:sz w:val="27"/>
              <w:szCs w:val="27"/>
            </w:rPr>
            <w:t>软件测试计划</w:t>
          </w:r>
          <w:r>
            <w:rPr>
              <w:rFonts w:ascii="仿宋" w:hAnsi="仿宋" w:eastAsia="仿宋" w:cs="仿宋"/>
              <w:position w:val="1"/>
              <w:sz w:val="27"/>
              <w:szCs w:val="27"/>
            </w:rPr>
            <w:tab/>
          </w:r>
          <w:r>
            <w:rPr>
              <w:spacing w:val="-11"/>
              <w:position w:val="1"/>
              <w:sz w:val="27"/>
              <w:szCs w:val="27"/>
            </w:rPr>
            <w:t>204</w:t>
          </w:r>
          <w:r>
            <w:rPr>
              <w:spacing w:val="-11"/>
              <w:position w:val="1"/>
              <w:sz w:val="27"/>
              <w:szCs w:val="27"/>
            </w:rPr>
            <w:fldChar w:fldCharType="end"/>
          </w:r>
        </w:p>
        <w:p w14:paraId="457F72C2">
          <w:pPr>
            <w:pStyle w:val="2"/>
            <w:tabs>
              <w:tab w:val="right" w:leader="dot" w:pos="9305"/>
            </w:tabs>
            <w:spacing w:before="42" w:line="368" w:lineRule="exact"/>
            <w:ind w:left="516"/>
            <w:rPr>
              <w:sz w:val="27"/>
              <w:szCs w:val="27"/>
            </w:rPr>
          </w:pPr>
          <w:r>
            <w:fldChar w:fldCharType="begin"/>
          </w:r>
          <w:r>
            <w:instrText xml:space="preserve"> HYPERLINK \l "bookmark82" </w:instrText>
          </w:r>
          <w:r>
            <w:fldChar w:fldCharType="separate"/>
          </w:r>
          <w:r>
            <w:rPr>
              <w:rFonts w:ascii="Times New Roman" w:hAnsi="Times New Roman" w:eastAsia="Times New Roman" w:cs="Times New Roman"/>
              <w:spacing w:val="3"/>
              <w:position w:val="1"/>
              <w:sz w:val="27"/>
              <w:szCs w:val="27"/>
            </w:rPr>
            <w:t xml:space="preserve">2.13     </w:t>
          </w:r>
          <w:r>
            <w:rPr>
              <w:rFonts w:ascii="仿宋" w:hAnsi="仿宋" w:eastAsia="仿宋" w:cs="仿宋"/>
              <w:spacing w:val="3"/>
              <w:position w:val="1"/>
              <w:sz w:val="27"/>
              <w:szCs w:val="27"/>
            </w:rPr>
            <w:t>软件需求规格说明</w:t>
          </w:r>
          <w:r>
            <w:rPr>
              <w:rFonts w:ascii="仿宋" w:hAnsi="仿宋" w:eastAsia="仿宋" w:cs="仿宋"/>
              <w:position w:val="1"/>
              <w:sz w:val="27"/>
              <w:szCs w:val="27"/>
            </w:rPr>
            <w:tab/>
          </w:r>
          <w:r>
            <w:rPr>
              <w:spacing w:val="-13"/>
              <w:position w:val="1"/>
              <w:sz w:val="27"/>
              <w:szCs w:val="27"/>
            </w:rPr>
            <w:t>208</w:t>
          </w:r>
          <w:r>
            <w:rPr>
              <w:spacing w:val="-13"/>
              <w:position w:val="1"/>
              <w:sz w:val="27"/>
              <w:szCs w:val="27"/>
            </w:rPr>
            <w:fldChar w:fldCharType="end"/>
          </w:r>
        </w:p>
        <w:p w14:paraId="3EF25656">
          <w:pPr>
            <w:pStyle w:val="2"/>
            <w:tabs>
              <w:tab w:val="right" w:leader="dot" w:pos="9307"/>
            </w:tabs>
            <w:spacing w:before="111" w:line="222" w:lineRule="auto"/>
            <w:ind w:left="516"/>
            <w:rPr>
              <w:sz w:val="27"/>
              <w:szCs w:val="27"/>
            </w:rPr>
          </w:pPr>
          <w:r>
            <w:fldChar w:fldCharType="begin"/>
          </w:r>
          <w:r>
            <w:instrText xml:space="preserve"> HYPERLINK \l "bookmark83" </w:instrText>
          </w:r>
          <w:r>
            <w:fldChar w:fldCharType="separate"/>
          </w:r>
          <w:r>
            <w:rPr>
              <w:rFonts w:ascii="Times New Roman" w:hAnsi="Times New Roman" w:eastAsia="Times New Roman" w:cs="Times New Roman"/>
              <w:spacing w:val="2"/>
              <w:sz w:val="27"/>
              <w:szCs w:val="27"/>
            </w:rPr>
            <w:t>2.14</w:t>
          </w:r>
          <w:r>
            <w:rPr>
              <w:rFonts w:ascii="Times New Roman" w:hAnsi="Times New Roman" w:eastAsia="Times New Roman" w:cs="Times New Roman"/>
              <w:spacing w:val="5"/>
              <w:sz w:val="27"/>
              <w:szCs w:val="27"/>
            </w:rPr>
            <w:t xml:space="preserve">     </w:t>
          </w:r>
          <w:r>
            <w:rPr>
              <w:rFonts w:ascii="仿宋" w:hAnsi="仿宋" w:eastAsia="仿宋" w:cs="仿宋"/>
              <w:spacing w:val="2"/>
              <w:sz w:val="27"/>
              <w:szCs w:val="27"/>
            </w:rPr>
            <w:t>软件设计说明</w:t>
          </w:r>
          <w:r>
            <w:rPr>
              <w:rFonts w:ascii="仿宋" w:hAnsi="仿宋" w:eastAsia="仿宋" w:cs="仿宋"/>
              <w:sz w:val="27"/>
              <w:szCs w:val="27"/>
            </w:rPr>
            <w:tab/>
          </w:r>
          <w:r>
            <w:rPr>
              <w:spacing w:val="-9"/>
              <w:sz w:val="27"/>
              <w:szCs w:val="27"/>
            </w:rPr>
            <w:t>214</w:t>
          </w:r>
          <w:r>
            <w:rPr>
              <w:spacing w:val="-9"/>
              <w:sz w:val="27"/>
              <w:szCs w:val="27"/>
            </w:rPr>
            <w:fldChar w:fldCharType="end"/>
          </w:r>
        </w:p>
        <w:p w14:paraId="117F59C1">
          <w:pPr>
            <w:pStyle w:val="2"/>
            <w:tabs>
              <w:tab w:val="right" w:leader="dot" w:pos="9307"/>
            </w:tabs>
            <w:spacing w:before="36" w:line="368" w:lineRule="exact"/>
            <w:ind w:left="516"/>
            <w:rPr>
              <w:sz w:val="27"/>
              <w:szCs w:val="27"/>
            </w:rPr>
          </w:pPr>
          <w:r>
            <w:fldChar w:fldCharType="begin"/>
          </w:r>
          <w:r>
            <w:instrText xml:space="preserve"> HYPERLINK \l "bookmark84" </w:instrText>
          </w:r>
          <w:r>
            <w:fldChar w:fldCharType="separate"/>
          </w:r>
          <w:r>
            <w:rPr>
              <w:rFonts w:ascii="Times New Roman" w:hAnsi="Times New Roman" w:eastAsia="Times New Roman" w:cs="Times New Roman"/>
              <w:spacing w:val="4"/>
              <w:position w:val="1"/>
              <w:sz w:val="27"/>
              <w:szCs w:val="27"/>
            </w:rPr>
            <w:t xml:space="preserve">2.15     </w:t>
          </w:r>
          <w:r>
            <w:rPr>
              <w:rFonts w:ascii="仿宋" w:hAnsi="仿宋" w:eastAsia="仿宋" w:cs="仿宋"/>
              <w:spacing w:val="4"/>
              <w:position w:val="1"/>
              <w:sz w:val="27"/>
              <w:szCs w:val="27"/>
            </w:rPr>
            <w:t>数据库设计说明</w:t>
          </w:r>
          <w:r>
            <w:rPr>
              <w:rFonts w:ascii="仿宋" w:hAnsi="仿宋" w:eastAsia="仿宋" w:cs="仿宋"/>
              <w:position w:val="1"/>
              <w:sz w:val="27"/>
              <w:szCs w:val="27"/>
            </w:rPr>
            <w:tab/>
          </w:r>
          <w:r>
            <w:rPr>
              <w:spacing w:val="-13"/>
              <w:position w:val="1"/>
              <w:sz w:val="27"/>
              <w:szCs w:val="27"/>
            </w:rPr>
            <w:t>219</w:t>
          </w:r>
          <w:r>
            <w:rPr>
              <w:spacing w:val="-13"/>
              <w:position w:val="1"/>
              <w:sz w:val="27"/>
              <w:szCs w:val="27"/>
            </w:rPr>
            <w:fldChar w:fldCharType="end"/>
          </w:r>
        </w:p>
        <w:p w14:paraId="074D5916">
          <w:pPr>
            <w:pStyle w:val="2"/>
            <w:tabs>
              <w:tab w:val="right" w:leader="dot" w:pos="9307"/>
            </w:tabs>
            <w:spacing w:before="52" w:line="368" w:lineRule="exact"/>
            <w:ind w:left="516"/>
            <w:rPr>
              <w:sz w:val="27"/>
              <w:szCs w:val="27"/>
            </w:rPr>
          </w:pPr>
          <w:r>
            <w:fldChar w:fldCharType="begin"/>
          </w:r>
          <w:r>
            <w:instrText xml:space="preserve"> HYPERLINK \l "bookmark85" </w:instrText>
          </w:r>
          <w:r>
            <w:fldChar w:fldCharType="separate"/>
          </w:r>
          <w:r>
            <w:rPr>
              <w:rFonts w:ascii="Times New Roman" w:hAnsi="Times New Roman" w:eastAsia="Times New Roman" w:cs="Times New Roman"/>
              <w:spacing w:val="4"/>
              <w:position w:val="1"/>
              <w:sz w:val="27"/>
              <w:szCs w:val="27"/>
            </w:rPr>
            <w:t>2.16</w:t>
          </w:r>
          <w:r>
            <w:rPr>
              <w:rFonts w:ascii="Times New Roman" w:hAnsi="Times New Roman" w:eastAsia="Times New Roman" w:cs="Times New Roman"/>
              <w:spacing w:val="7"/>
              <w:position w:val="1"/>
              <w:sz w:val="27"/>
              <w:szCs w:val="27"/>
            </w:rPr>
            <w:t xml:space="preserve">     </w:t>
          </w:r>
          <w:r>
            <w:rPr>
              <w:rFonts w:ascii="仿宋" w:hAnsi="仿宋" w:eastAsia="仿宋" w:cs="仿宋"/>
              <w:spacing w:val="4"/>
              <w:position w:val="1"/>
              <w:sz w:val="27"/>
              <w:szCs w:val="27"/>
            </w:rPr>
            <w:t>软件测试说明</w:t>
          </w:r>
          <w:r>
            <w:rPr>
              <w:rFonts w:ascii="仿宋" w:hAnsi="仿宋" w:eastAsia="仿宋" w:cs="仿宋"/>
              <w:position w:val="1"/>
              <w:sz w:val="27"/>
              <w:szCs w:val="27"/>
            </w:rPr>
            <w:tab/>
          </w:r>
          <w:r>
            <w:rPr>
              <w:spacing w:val="-7"/>
              <w:position w:val="1"/>
              <w:sz w:val="27"/>
              <w:szCs w:val="27"/>
            </w:rPr>
            <w:t>223</w:t>
          </w:r>
          <w:r>
            <w:rPr>
              <w:spacing w:val="-7"/>
              <w:position w:val="1"/>
              <w:sz w:val="27"/>
              <w:szCs w:val="27"/>
            </w:rPr>
            <w:fldChar w:fldCharType="end"/>
          </w:r>
        </w:p>
        <w:p w14:paraId="56395CA2">
          <w:pPr>
            <w:pStyle w:val="2"/>
            <w:tabs>
              <w:tab w:val="right" w:leader="dot" w:pos="9307"/>
            </w:tabs>
            <w:spacing w:before="2" w:line="368" w:lineRule="exact"/>
            <w:ind w:left="516"/>
            <w:rPr>
              <w:sz w:val="27"/>
              <w:szCs w:val="27"/>
            </w:rPr>
          </w:pPr>
          <w:r>
            <w:fldChar w:fldCharType="begin"/>
          </w:r>
          <w:r>
            <w:instrText xml:space="preserve"> HYPERLINK \l "bookmark86" </w:instrText>
          </w:r>
          <w:r>
            <w:fldChar w:fldCharType="separate"/>
          </w:r>
          <w:r>
            <w:rPr>
              <w:rFonts w:ascii="Times New Roman" w:hAnsi="Times New Roman" w:eastAsia="Times New Roman" w:cs="Times New Roman"/>
              <w:spacing w:val="-3"/>
              <w:position w:val="1"/>
              <w:sz w:val="27"/>
              <w:szCs w:val="27"/>
            </w:rPr>
            <w:t>2.17</w:t>
          </w:r>
          <w:r>
            <w:rPr>
              <w:rFonts w:ascii="Times New Roman" w:hAnsi="Times New Roman" w:eastAsia="Times New Roman" w:cs="Times New Roman"/>
              <w:spacing w:val="10"/>
              <w:position w:val="1"/>
              <w:sz w:val="27"/>
              <w:szCs w:val="27"/>
            </w:rPr>
            <w:t xml:space="preserve">     </w:t>
          </w:r>
          <w:r>
            <w:rPr>
              <w:rFonts w:ascii="仿宋" w:hAnsi="仿宋" w:eastAsia="仿宋" w:cs="仿宋"/>
              <w:spacing w:val="-3"/>
              <w:position w:val="1"/>
              <w:sz w:val="27"/>
              <w:szCs w:val="27"/>
            </w:rPr>
            <w:t>软件测试报告</w:t>
          </w:r>
          <w:r>
            <w:rPr>
              <w:rFonts w:ascii="仿宋" w:hAnsi="仿宋" w:eastAsia="仿宋" w:cs="仿宋"/>
              <w:spacing w:val="-106"/>
              <w:position w:val="1"/>
              <w:sz w:val="27"/>
              <w:szCs w:val="27"/>
            </w:rPr>
            <w:t xml:space="preserve"> </w:t>
          </w:r>
          <w:r>
            <w:rPr>
              <w:rFonts w:ascii="仿宋" w:hAnsi="仿宋" w:eastAsia="仿宋" w:cs="仿宋"/>
              <w:position w:val="1"/>
              <w:sz w:val="27"/>
              <w:szCs w:val="27"/>
            </w:rPr>
            <w:tab/>
          </w:r>
          <w:r>
            <w:rPr>
              <w:spacing w:val="-11"/>
              <w:position w:val="1"/>
              <w:sz w:val="27"/>
              <w:szCs w:val="27"/>
            </w:rPr>
            <w:t>226</w:t>
          </w:r>
          <w:r>
            <w:rPr>
              <w:spacing w:val="-11"/>
              <w:position w:val="1"/>
              <w:sz w:val="27"/>
              <w:szCs w:val="27"/>
            </w:rPr>
            <w:fldChar w:fldCharType="end"/>
          </w:r>
        </w:p>
        <w:p w14:paraId="4EF9E583">
          <w:pPr>
            <w:pStyle w:val="2"/>
            <w:tabs>
              <w:tab w:val="right" w:leader="dot" w:pos="9307"/>
            </w:tabs>
            <w:spacing w:before="62" w:line="368" w:lineRule="exact"/>
            <w:ind w:left="516"/>
            <w:rPr>
              <w:sz w:val="27"/>
              <w:szCs w:val="27"/>
            </w:rPr>
          </w:pPr>
          <w:r>
            <w:fldChar w:fldCharType="begin"/>
          </w:r>
          <w:r>
            <w:instrText xml:space="preserve"> HYPERLINK \l "bookmark87" </w:instrText>
          </w:r>
          <w:r>
            <w:fldChar w:fldCharType="separate"/>
          </w:r>
          <w:r>
            <w:rPr>
              <w:rFonts w:ascii="Times New Roman" w:hAnsi="Times New Roman" w:eastAsia="Times New Roman" w:cs="Times New Roman"/>
              <w:spacing w:val="1"/>
              <w:position w:val="1"/>
              <w:sz w:val="27"/>
              <w:szCs w:val="27"/>
            </w:rPr>
            <w:t>2.18</w:t>
          </w:r>
          <w:r>
            <w:rPr>
              <w:rFonts w:ascii="Times New Roman" w:hAnsi="Times New Roman" w:eastAsia="Times New Roman" w:cs="Times New Roman"/>
              <w:spacing w:val="8"/>
              <w:position w:val="1"/>
              <w:sz w:val="27"/>
              <w:szCs w:val="27"/>
            </w:rPr>
            <w:t xml:space="preserve">     </w:t>
          </w:r>
          <w:r>
            <w:rPr>
              <w:rFonts w:ascii="仿宋" w:hAnsi="仿宋" w:eastAsia="仿宋" w:cs="仿宋"/>
              <w:spacing w:val="1"/>
              <w:position w:val="1"/>
              <w:sz w:val="27"/>
              <w:szCs w:val="27"/>
            </w:rPr>
            <w:t>软件产品规格说明</w:t>
          </w:r>
          <w:r>
            <w:rPr>
              <w:rFonts w:ascii="仿宋" w:hAnsi="仿宋" w:eastAsia="仿宋" w:cs="仿宋"/>
              <w:position w:val="1"/>
              <w:sz w:val="27"/>
              <w:szCs w:val="27"/>
            </w:rPr>
            <w:tab/>
          </w:r>
          <w:r>
            <w:rPr>
              <w:spacing w:val="-13"/>
              <w:position w:val="1"/>
              <w:sz w:val="27"/>
              <w:szCs w:val="27"/>
            </w:rPr>
            <w:t>228</w:t>
          </w:r>
          <w:r>
            <w:rPr>
              <w:spacing w:val="-13"/>
              <w:position w:val="1"/>
              <w:sz w:val="27"/>
              <w:szCs w:val="27"/>
            </w:rPr>
            <w:fldChar w:fldCharType="end"/>
          </w:r>
        </w:p>
        <w:p w14:paraId="5C24A6BD">
          <w:pPr>
            <w:pStyle w:val="2"/>
            <w:tabs>
              <w:tab w:val="right" w:leader="dot" w:pos="9357"/>
            </w:tabs>
            <w:spacing w:before="42" w:line="368" w:lineRule="exact"/>
            <w:ind w:left="516"/>
            <w:rPr>
              <w:sz w:val="27"/>
              <w:szCs w:val="27"/>
            </w:rPr>
          </w:pPr>
          <w:r>
            <w:fldChar w:fldCharType="begin"/>
          </w:r>
          <w:r>
            <w:instrText xml:space="preserve"> HYPERLINK \l "bookmark88" </w:instrText>
          </w:r>
          <w:r>
            <w:fldChar w:fldCharType="separate"/>
          </w:r>
          <w:r>
            <w:rPr>
              <w:rFonts w:ascii="Times New Roman" w:hAnsi="Times New Roman" w:eastAsia="Times New Roman" w:cs="Times New Roman"/>
              <w:spacing w:val="3"/>
              <w:position w:val="1"/>
              <w:sz w:val="27"/>
              <w:szCs w:val="27"/>
            </w:rPr>
            <w:t>2.19</w:t>
          </w:r>
          <w:r>
            <w:rPr>
              <w:rFonts w:ascii="Times New Roman" w:hAnsi="Times New Roman" w:eastAsia="Times New Roman" w:cs="Times New Roman"/>
              <w:spacing w:val="7"/>
              <w:position w:val="1"/>
              <w:sz w:val="27"/>
              <w:szCs w:val="27"/>
            </w:rPr>
            <w:t xml:space="preserve">     </w:t>
          </w:r>
          <w:r>
            <w:rPr>
              <w:rFonts w:ascii="仿宋" w:hAnsi="仿宋" w:eastAsia="仿宋" w:cs="仿宋"/>
              <w:spacing w:val="3"/>
              <w:position w:val="1"/>
              <w:sz w:val="27"/>
              <w:szCs w:val="27"/>
            </w:rPr>
            <w:t>软件版本说明</w:t>
          </w:r>
          <w:r>
            <w:rPr>
              <w:rFonts w:ascii="仿宋" w:hAnsi="仿宋" w:eastAsia="仿宋" w:cs="仿宋"/>
              <w:position w:val="1"/>
              <w:sz w:val="27"/>
              <w:szCs w:val="27"/>
            </w:rPr>
            <w:tab/>
          </w:r>
          <w:r>
            <w:rPr>
              <w:spacing w:val="-2"/>
              <w:position w:val="1"/>
              <w:sz w:val="27"/>
              <w:szCs w:val="27"/>
            </w:rPr>
            <w:t>231</w:t>
          </w:r>
          <w:r>
            <w:rPr>
              <w:spacing w:val="-2"/>
              <w:position w:val="1"/>
              <w:sz w:val="27"/>
              <w:szCs w:val="27"/>
            </w:rPr>
            <w:fldChar w:fldCharType="end"/>
          </w:r>
        </w:p>
        <w:p w14:paraId="29FA6FA9">
          <w:pPr>
            <w:pStyle w:val="2"/>
            <w:tabs>
              <w:tab w:val="right" w:leader="dot" w:pos="9327"/>
            </w:tabs>
            <w:spacing w:before="62" w:line="368" w:lineRule="exact"/>
            <w:ind w:left="516"/>
            <w:rPr>
              <w:sz w:val="27"/>
              <w:szCs w:val="27"/>
            </w:rPr>
          </w:pPr>
          <w:r>
            <w:fldChar w:fldCharType="begin"/>
          </w:r>
          <w:r>
            <w:instrText xml:space="preserve"> HYPERLINK \l "bookmark89" </w:instrText>
          </w:r>
          <w:r>
            <w:fldChar w:fldCharType="separate"/>
          </w:r>
          <w:r>
            <w:rPr>
              <w:rFonts w:ascii="Times New Roman" w:hAnsi="Times New Roman" w:eastAsia="Times New Roman" w:cs="Times New Roman"/>
              <w:spacing w:val="3"/>
              <w:position w:val="1"/>
              <w:sz w:val="27"/>
              <w:szCs w:val="27"/>
            </w:rPr>
            <w:t xml:space="preserve">2.20     </w:t>
          </w:r>
          <w:r>
            <w:rPr>
              <w:rFonts w:ascii="仿宋" w:hAnsi="仿宋" w:eastAsia="仿宋" w:cs="仿宋"/>
              <w:spacing w:val="3"/>
              <w:position w:val="1"/>
              <w:sz w:val="27"/>
              <w:szCs w:val="27"/>
            </w:rPr>
            <w:t>软件用户手册</w:t>
          </w:r>
          <w:r>
            <w:rPr>
              <w:rFonts w:ascii="仿宋" w:hAnsi="仿宋" w:eastAsia="仿宋" w:cs="仿宋"/>
              <w:spacing w:val="-101"/>
              <w:position w:val="1"/>
              <w:sz w:val="27"/>
              <w:szCs w:val="27"/>
            </w:rPr>
            <w:t xml:space="preserve"> </w:t>
          </w:r>
          <w:r>
            <w:rPr>
              <w:rFonts w:ascii="仿宋" w:hAnsi="仿宋" w:eastAsia="仿宋" w:cs="仿宋"/>
              <w:position w:val="1"/>
              <w:sz w:val="27"/>
              <w:szCs w:val="27"/>
            </w:rPr>
            <w:tab/>
          </w:r>
          <w:r>
            <w:rPr>
              <w:spacing w:val="-2"/>
              <w:position w:val="1"/>
              <w:sz w:val="27"/>
              <w:szCs w:val="27"/>
            </w:rPr>
            <w:t>232</w:t>
          </w:r>
          <w:r>
            <w:rPr>
              <w:spacing w:val="-2"/>
              <w:position w:val="1"/>
              <w:sz w:val="27"/>
              <w:szCs w:val="27"/>
            </w:rPr>
            <w:fldChar w:fldCharType="end"/>
          </w:r>
        </w:p>
        <w:p w14:paraId="6A9383A4">
          <w:pPr>
            <w:pStyle w:val="2"/>
            <w:tabs>
              <w:tab w:val="right" w:leader="dot" w:pos="9307"/>
            </w:tabs>
            <w:spacing w:before="32" w:line="368" w:lineRule="exact"/>
            <w:ind w:left="516"/>
            <w:rPr>
              <w:sz w:val="27"/>
              <w:szCs w:val="27"/>
            </w:rPr>
          </w:pPr>
          <w:r>
            <w:fldChar w:fldCharType="begin"/>
          </w:r>
          <w:r>
            <w:instrText xml:space="preserve"> HYPERLINK \l "bookmark90" </w:instrText>
          </w:r>
          <w:r>
            <w:fldChar w:fldCharType="separate"/>
          </w:r>
          <w:r>
            <w:rPr>
              <w:rFonts w:ascii="Times New Roman" w:hAnsi="Times New Roman" w:eastAsia="Times New Roman" w:cs="Times New Roman"/>
              <w:spacing w:val="-2"/>
              <w:position w:val="1"/>
              <w:sz w:val="27"/>
              <w:szCs w:val="27"/>
            </w:rPr>
            <w:t>2.21</w:t>
          </w:r>
          <w:r>
            <w:rPr>
              <w:rFonts w:ascii="Times New Roman" w:hAnsi="Times New Roman" w:eastAsia="Times New Roman" w:cs="Times New Roman"/>
              <w:spacing w:val="7"/>
              <w:position w:val="1"/>
              <w:sz w:val="27"/>
              <w:szCs w:val="27"/>
            </w:rPr>
            <w:t xml:space="preserve">     </w:t>
          </w:r>
          <w:r>
            <w:rPr>
              <w:rFonts w:ascii="仿宋" w:hAnsi="仿宋" w:eastAsia="仿宋" w:cs="仿宋"/>
              <w:spacing w:val="-2"/>
              <w:position w:val="1"/>
              <w:sz w:val="27"/>
              <w:szCs w:val="27"/>
            </w:rPr>
            <w:t>软件输入/输出手册</w:t>
          </w:r>
          <w:r>
            <w:rPr>
              <w:rFonts w:ascii="仿宋" w:hAnsi="仿宋" w:eastAsia="仿宋" w:cs="仿宋"/>
              <w:spacing w:val="50"/>
              <w:position w:val="1"/>
              <w:sz w:val="27"/>
              <w:szCs w:val="27"/>
            </w:rPr>
            <w:t xml:space="preserve"> </w:t>
          </w:r>
          <w:r>
            <w:rPr>
              <w:rFonts w:ascii="仿宋" w:hAnsi="仿宋" w:eastAsia="仿宋" w:cs="仿宋"/>
              <w:position w:val="1"/>
              <w:sz w:val="27"/>
              <w:szCs w:val="27"/>
            </w:rPr>
            <w:tab/>
          </w:r>
          <w:r>
            <w:rPr>
              <w:spacing w:val="-7"/>
              <w:position w:val="1"/>
              <w:sz w:val="27"/>
              <w:szCs w:val="27"/>
            </w:rPr>
            <w:t>236</w:t>
          </w:r>
          <w:r>
            <w:rPr>
              <w:spacing w:val="-7"/>
              <w:position w:val="1"/>
              <w:sz w:val="27"/>
              <w:szCs w:val="27"/>
            </w:rPr>
            <w:fldChar w:fldCharType="end"/>
          </w:r>
        </w:p>
        <w:p w14:paraId="776A13AA">
          <w:pPr>
            <w:pStyle w:val="2"/>
            <w:tabs>
              <w:tab w:val="right" w:leader="dot" w:pos="9337"/>
            </w:tabs>
            <w:spacing w:before="88" w:line="220" w:lineRule="auto"/>
            <w:ind w:left="516"/>
            <w:rPr>
              <w:sz w:val="27"/>
              <w:szCs w:val="27"/>
            </w:rPr>
          </w:pPr>
          <w:r>
            <w:fldChar w:fldCharType="begin"/>
          </w:r>
          <w:r>
            <w:instrText xml:space="preserve"> HYPERLINK \l "bookmark91" </w:instrText>
          </w:r>
          <w:r>
            <w:fldChar w:fldCharType="separate"/>
          </w:r>
          <w:r>
            <w:rPr>
              <w:rFonts w:ascii="Times New Roman" w:hAnsi="Times New Roman" w:eastAsia="Times New Roman" w:cs="Times New Roman"/>
              <w:spacing w:val="3"/>
              <w:sz w:val="27"/>
              <w:szCs w:val="27"/>
            </w:rPr>
            <w:t>2.22</w:t>
          </w:r>
          <w:r>
            <w:rPr>
              <w:rFonts w:ascii="Times New Roman" w:hAnsi="Times New Roman" w:eastAsia="Times New Roman" w:cs="Times New Roman"/>
              <w:spacing w:val="7"/>
              <w:sz w:val="27"/>
              <w:szCs w:val="27"/>
            </w:rPr>
            <w:t xml:space="preserve">     </w:t>
          </w:r>
          <w:r>
            <w:rPr>
              <w:rFonts w:ascii="仿宋" w:hAnsi="仿宋" w:eastAsia="仿宋" w:cs="仿宋"/>
              <w:spacing w:val="3"/>
              <w:sz w:val="27"/>
              <w:szCs w:val="27"/>
            </w:rPr>
            <w:t>软件中心操作员手册</w:t>
          </w:r>
          <w:r>
            <w:rPr>
              <w:rFonts w:ascii="仿宋" w:hAnsi="仿宋" w:eastAsia="仿宋" w:cs="仿宋"/>
              <w:spacing w:val="-120"/>
              <w:sz w:val="27"/>
              <w:szCs w:val="27"/>
            </w:rPr>
            <w:t xml:space="preserve"> </w:t>
          </w:r>
          <w:r>
            <w:rPr>
              <w:rFonts w:ascii="仿宋" w:hAnsi="仿宋" w:eastAsia="仿宋" w:cs="仿宋"/>
              <w:sz w:val="27"/>
              <w:szCs w:val="27"/>
            </w:rPr>
            <w:tab/>
          </w:r>
          <w:r>
            <w:rPr>
              <w:spacing w:val="-2"/>
              <w:sz w:val="27"/>
              <w:szCs w:val="27"/>
            </w:rPr>
            <w:t>241</w:t>
          </w:r>
          <w:r>
            <w:rPr>
              <w:spacing w:val="-2"/>
              <w:sz w:val="27"/>
              <w:szCs w:val="27"/>
            </w:rPr>
            <w:fldChar w:fldCharType="end"/>
          </w:r>
        </w:p>
        <w:p w14:paraId="4CA7D554">
          <w:pPr>
            <w:pStyle w:val="2"/>
            <w:tabs>
              <w:tab w:val="right" w:leader="dot" w:pos="9317"/>
            </w:tabs>
            <w:spacing w:before="90" w:line="222" w:lineRule="auto"/>
            <w:ind w:left="516"/>
            <w:rPr>
              <w:sz w:val="27"/>
              <w:szCs w:val="27"/>
            </w:rPr>
          </w:pPr>
          <w:r>
            <w:fldChar w:fldCharType="begin"/>
          </w:r>
          <w:r>
            <w:instrText xml:space="preserve"> HYPERLINK \l "bookmark92" </w:instrText>
          </w:r>
          <w:r>
            <w:fldChar w:fldCharType="separate"/>
          </w:r>
          <w:r>
            <w:rPr>
              <w:rFonts w:ascii="Times New Roman" w:hAnsi="Times New Roman" w:eastAsia="Times New Roman" w:cs="Times New Roman"/>
              <w:spacing w:val="3"/>
              <w:sz w:val="27"/>
              <w:szCs w:val="27"/>
            </w:rPr>
            <w:t xml:space="preserve">2.23     </w:t>
          </w:r>
          <w:r>
            <w:rPr>
              <w:rFonts w:ascii="仿宋" w:hAnsi="仿宋" w:eastAsia="仿宋" w:cs="仿宋"/>
              <w:spacing w:val="3"/>
              <w:sz w:val="27"/>
              <w:szCs w:val="27"/>
            </w:rPr>
            <w:t>计算机编程手册</w:t>
          </w:r>
          <w:r>
            <w:rPr>
              <w:rFonts w:ascii="仿宋" w:hAnsi="仿宋" w:eastAsia="仿宋" w:cs="仿宋"/>
              <w:spacing w:val="-114"/>
              <w:sz w:val="27"/>
              <w:szCs w:val="27"/>
            </w:rPr>
            <w:t xml:space="preserve"> </w:t>
          </w:r>
          <w:r>
            <w:rPr>
              <w:rFonts w:ascii="仿宋" w:hAnsi="仿宋" w:eastAsia="仿宋" w:cs="仿宋"/>
              <w:sz w:val="27"/>
              <w:szCs w:val="27"/>
            </w:rPr>
            <w:tab/>
          </w:r>
          <w:r>
            <w:rPr>
              <w:spacing w:val="-2"/>
              <w:sz w:val="27"/>
              <w:szCs w:val="27"/>
            </w:rPr>
            <w:t>244</w:t>
          </w:r>
          <w:r>
            <w:rPr>
              <w:spacing w:val="-2"/>
              <w:sz w:val="27"/>
              <w:szCs w:val="27"/>
            </w:rPr>
            <w:fldChar w:fldCharType="end"/>
          </w:r>
        </w:p>
        <w:p w14:paraId="1AA911E6">
          <w:pPr>
            <w:pStyle w:val="2"/>
            <w:tabs>
              <w:tab w:val="right" w:leader="dot" w:pos="9307"/>
            </w:tabs>
            <w:spacing w:before="15" w:line="368" w:lineRule="exact"/>
            <w:ind w:left="516"/>
            <w:rPr>
              <w:sz w:val="27"/>
              <w:szCs w:val="27"/>
            </w:rPr>
          </w:pPr>
          <w:r>
            <w:fldChar w:fldCharType="begin"/>
          </w:r>
          <w:r>
            <w:instrText xml:space="preserve"> HYPERLINK \l "bookmark93" </w:instrText>
          </w:r>
          <w:r>
            <w:fldChar w:fldCharType="separate"/>
          </w:r>
          <w:r>
            <w:rPr>
              <w:rFonts w:ascii="Times New Roman" w:hAnsi="Times New Roman" w:eastAsia="Times New Roman" w:cs="Times New Roman"/>
              <w:spacing w:val="2"/>
              <w:position w:val="1"/>
              <w:sz w:val="27"/>
              <w:szCs w:val="27"/>
            </w:rPr>
            <w:t>2.24</w:t>
          </w:r>
          <w:r>
            <w:rPr>
              <w:rFonts w:ascii="Times New Roman" w:hAnsi="Times New Roman" w:eastAsia="Times New Roman" w:cs="Times New Roman"/>
              <w:spacing w:val="7"/>
              <w:position w:val="1"/>
              <w:sz w:val="27"/>
              <w:szCs w:val="27"/>
            </w:rPr>
            <w:t xml:space="preserve">     </w:t>
          </w:r>
          <w:r>
            <w:rPr>
              <w:rFonts w:ascii="仿宋" w:hAnsi="仿宋" w:eastAsia="仿宋" w:cs="仿宋"/>
              <w:spacing w:val="2"/>
              <w:position w:val="1"/>
              <w:sz w:val="27"/>
              <w:szCs w:val="27"/>
            </w:rPr>
            <w:t>计算机操作手册</w:t>
          </w:r>
          <w:r>
            <w:rPr>
              <w:rFonts w:ascii="仿宋" w:hAnsi="仿宋" w:eastAsia="仿宋" w:cs="仿宋"/>
              <w:spacing w:val="-123"/>
              <w:position w:val="1"/>
              <w:sz w:val="27"/>
              <w:szCs w:val="27"/>
            </w:rPr>
            <w:t xml:space="preserve"> </w:t>
          </w:r>
          <w:r>
            <w:rPr>
              <w:rFonts w:ascii="仿宋" w:hAnsi="仿宋" w:eastAsia="仿宋" w:cs="仿宋"/>
              <w:position w:val="1"/>
              <w:sz w:val="27"/>
              <w:szCs w:val="27"/>
            </w:rPr>
            <w:tab/>
          </w:r>
          <w:r>
            <w:rPr>
              <w:spacing w:val="-9"/>
              <w:position w:val="1"/>
              <w:sz w:val="27"/>
              <w:szCs w:val="27"/>
            </w:rPr>
            <w:t>246</w:t>
          </w:r>
          <w:r>
            <w:rPr>
              <w:spacing w:val="-9"/>
              <w:position w:val="1"/>
              <w:sz w:val="27"/>
              <w:szCs w:val="27"/>
            </w:rPr>
            <w:fldChar w:fldCharType="end"/>
          </w:r>
        </w:p>
        <w:p w14:paraId="45270E1B">
          <w:pPr>
            <w:pStyle w:val="2"/>
            <w:tabs>
              <w:tab w:val="right" w:leader="dot" w:pos="9307"/>
            </w:tabs>
            <w:spacing w:before="33" w:line="368" w:lineRule="exact"/>
            <w:ind w:left="516"/>
            <w:rPr>
              <w:sz w:val="27"/>
              <w:szCs w:val="27"/>
            </w:rPr>
          </w:pPr>
          <w:r>
            <w:fldChar w:fldCharType="begin"/>
          </w:r>
          <w:r>
            <w:instrText xml:space="preserve"> HYPERLINK \l "bookmark94" </w:instrText>
          </w:r>
          <w:r>
            <w:fldChar w:fldCharType="separate"/>
          </w:r>
          <w:r>
            <w:rPr>
              <w:rFonts w:ascii="Times New Roman" w:hAnsi="Times New Roman" w:eastAsia="Times New Roman" w:cs="Times New Roman"/>
              <w:spacing w:val="5"/>
              <w:position w:val="2"/>
              <w:sz w:val="27"/>
              <w:szCs w:val="27"/>
            </w:rPr>
            <w:t>2.25</w:t>
          </w:r>
          <w:r>
            <w:rPr>
              <w:rFonts w:ascii="Times New Roman" w:hAnsi="Times New Roman" w:eastAsia="Times New Roman" w:cs="Times New Roman"/>
              <w:spacing w:val="16"/>
              <w:position w:val="2"/>
              <w:sz w:val="27"/>
              <w:szCs w:val="27"/>
            </w:rPr>
            <w:t xml:space="preserve">    </w:t>
          </w:r>
          <w:r>
            <w:rPr>
              <w:rFonts w:ascii="仿宋" w:hAnsi="仿宋" w:eastAsia="仿宋" w:cs="仿宋"/>
              <w:spacing w:val="5"/>
              <w:position w:val="2"/>
              <w:sz w:val="27"/>
              <w:szCs w:val="27"/>
            </w:rPr>
            <w:t>固件保障手册</w:t>
          </w:r>
          <w:r>
            <w:rPr>
              <w:rFonts w:ascii="仿宋" w:hAnsi="仿宋" w:eastAsia="仿宋" w:cs="仿宋"/>
              <w:spacing w:val="-123"/>
              <w:position w:val="2"/>
              <w:sz w:val="27"/>
              <w:szCs w:val="27"/>
            </w:rPr>
            <w:t xml:space="preserve"> </w:t>
          </w:r>
          <w:r>
            <w:rPr>
              <w:rFonts w:ascii="仿宋" w:hAnsi="仿宋" w:eastAsia="仿宋" w:cs="仿宋"/>
              <w:position w:val="2"/>
              <w:sz w:val="27"/>
              <w:szCs w:val="27"/>
            </w:rPr>
            <w:tab/>
          </w:r>
          <w:r>
            <w:rPr>
              <w:spacing w:val="-13"/>
              <w:position w:val="2"/>
              <w:sz w:val="27"/>
              <w:szCs w:val="27"/>
            </w:rPr>
            <w:t>248</w:t>
          </w:r>
          <w:r>
            <w:rPr>
              <w:spacing w:val="-13"/>
              <w:position w:val="2"/>
              <w:sz w:val="27"/>
              <w:szCs w:val="27"/>
            </w:rPr>
            <w:fldChar w:fldCharType="end"/>
          </w:r>
        </w:p>
        <w:p w14:paraId="6194E945">
          <w:pPr>
            <w:pStyle w:val="2"/>
            <w:tabs>
              <w:tab w:val="right" w:leader="dot" w:pos="9327"/>
            </w:tabs>
            <w:spacing w:before="53" w:line="368" w:lineRule="exact"/>
            <w:ind w:left="516"/>
            <w:rPr>
              <w:sz w:val="27"/>
              <w:szCs w:val="27"/>
            </w:rPr>
          </w:pPr>
          <w:r>
            <w:fldChar w:fldCharType="begin"/>
          </w:r>
          <w:r>
            <w:instrText xml:space="preserve"> HYPERLINK \l "bookmark95" </w:instrText>
          </w:r>
          <w:r>
            <w:fldChar w:fldCharType="separate"/>
          </w:r>
          <w:r>
            <w:rPr>
              <w:rFonts w:ascii="Times New Roman" w:hAnsi="Times New Roman" w:eastAsia="Times New Roman" w:cs="Times New Roman"/>
              <w:spacing w:val="4"/>
              <w:position w:val="1"/>
              <w:sz w:val="27"/>
              <w:szCs w:val="27"/>
            </w:rPr>
            <w:t>2.26</w:t>
          </w:r>
          <w:r>
            <w:rPr>
              <w:rFonts w:ascii="Times New Roman" w:hAnsi="Times New Roman" w:eastAsia="Times New Roman" w:cs="Times New Roman"/>
              <w:spacing w:val="7"/>
              <w:position w:val="1"/>
              <w:sz w:val="27"/>
              <w:szCs w:val="27"/>
            </w:rPr>
            <w:t xml:space="preserve">     </w:t>
          </w:r>
          <w:r>
            <w:rPr>
              <w:rFonts w:ascii="仿宋" w:hAnsi="仿宋" w:eastAsia="仿宋" w:cs="仿宋"/>
              <w:spacing w:val="4"/>
              <w:position w:val="1"/>
              <w:sz w:val="27"/>
              <w:szCs w:val="27"/>
            </w:rPr>
            <w:t>软件研制总结报告</w:t>
          </w:r>
          <w:r>
            <w:rPr>
              <w:rFonts w:ascii="仿宋" w:hAnsi="仿宋" w:eastAsia="仿宋" w:cs="仿宋"/>
              <w:spacing w:val="-119"/>
              <w:position w:val="1"/>
              <w:sz w:val="27"/>
              <w:szCs w:val="27"/>
            </w:rPr>
            <w:t xml:space="preserve"> </w:t>
          </w:r>
          <w:r>
            <w:rPr>
              <w:rFonts w:ascii="仿宋" w:hAnsi="仿宋" w:eastAsia="仿宋" w:cs="仿宋"/>
              <w:position w:val="1"/>
              <w:sz w:val="27"/>
              <w:szCs w:val="27"/>
            </w:rPr>
            <w:tab/>
          </w:r>
          <w:r>
            <w:rPr>
              <w:spacing w:val="-2"/>
              <w:position w:val="1"/>
              <w:sz w:val="27"/>
              <w:szCs w:val="27"/>
            </w:rPr>
            <w:t>250</w:t>
          </w:r>
          <w:r>
            <w:rPr>
              <w:spacing w:val="-2"/>
              <w:position w:val="1"/>
              <w:sz w:val="27"/>
              <w:szCs w:val="27"/>
            </w:rPr>
            <w:fldChar w:fldCharType="end"/>
          </w:r>
        </w:p>
        <w:p w14:paraId="4BBAA871">
          <w:pPr>
            <w:pStyle w:val="2"/>
            <w:tabs>
              <w:tab w:val="right" w:leader="dot" w:pos="9309"/>
            </w:tabs>
            <w:spacing w:before="43" w:line="368" w:lineRule="exact"/>
            <w:ind w:left="516"/>
            <w:rPr>
              <w:sz w:val="27"/>
              <w:szCs w:val="27"/>
            </w:rPr>
          </w:pPr>
          <w:r>
            <w:fldChar w:fldCharType="begin"/>
          </w:r>
          <w:r>
            <w:instrText xml:space="preserve"> HYPERLINK \l "bookmark96" </w:instrText>
          </w:r>
          <w:r>
            <w:fldChar w:fldCharType="separate"/>
          </w:r>
          <w:r>
            <w:rPr>
              <w:rFonts w:ascii="Times New Roman" w:hAnsi="Times New Roman" w:eastAsia="Times New Roman" w:cs="Times New Roman"/>
              <w:spacing w:val="1"/>
              <w:position w:val="1"/>
              <w:sz w:val="27"/>
              <w:szCs w:val="27"/>
            </w:rPr>
            <w:t>2.27</w:t>
          </w:r>
          <w:r>
            <w:rPr>
              <w:rFonts w:ascii="Times New Roman" w:hAnsi="Times New Roman" w:eastAsia="Times New Roman" w:cs="Times New Roman"/>
              <w:spacing w:val="9"/>
              <w:position w:val="1"/>
              <w:sz w:val="27"/>
              <w:szCs w:val="27"/>
            </w:rPr>
            <w:t xml:space="preserve">     </w:t>
          </w:r>
          <w:r>
            <w:rPr>
              <w:rFonts w:ascii="仿宋" w:hAnsi="仿宋" w:eastAsia="仿宋" w:cs="仿宋"/>
              <w:spacing w:val="1"/>
              <w:position w:val="1"/>
              <w:sz w:val="27"/>
              <w:szCs w:val="27"/>
            </w:rPr>
            <w:t>软件配置管理报告</w:t>
          </w:r>
          <w:r>
            <w:rPr>
              <w:rFonts w:ascii="仿宋" w:hAnsi="仿宋" w:eastAsia="仿宋" w:cs="仿宋"/>
              <w:spacing w:val="-113"/>
              <w:position w:val="1"/>
              <w:sz w:val="27"/>
              <w:szCs w:val="27"/>
            </w:rPr>
            <w:t xml:space="preserve"> </w:t>
          </w:r>
          <w:r>
            <w:rPr>
              <w:rFonts w:ascii="仿宋" w:hAnsi="仿宋" w:eastAsia="仿宋" w:cs="仿宋"/>
              <w:position w:val="1"/>
              <w:sz w:val="27"/>
              <w:szCs w:val="27"/>
            </w:rPr>
            <w:tab/>
          </w:r>
          <w:r>
            <w:rPr>
              <w:spacing w:val="-9"/>
              <w:position w:val="1"/>
              <w:sz w:val="27"/>
              <w:szCs w:val="27"/>
            </w:rPr>
            <w:t>252</w:t>
          </w:r>
          <w:r>
            <w:rPr>
              <w:spacing w:val="-9"/>
              <w:position w:val="1"/>
              <w:sz w:val="27"/>
              <w:szCs w:val="27"/>
            </w:rPr>
            <w:fldChar w:fldCharType="end"/>
          </w:r>
        </w:p>
        <w:p w14:paraId="2512CB45">
          <w:pPr>
            <w:pStyle w:val="2"/>
            <w:tabs>
              <w:tab w:val="right" w:leader="dot" w:pos="9327"/>
            </w:tabs>
            <w:spacing w:before="30" w:line="368" w:lineRule="exact"/>
            <w:ind w:left="516"/>
            <w:rPr>
              <w:sz w:val="27"/>
              <w:szCs w:val="27"/>
            </w:rPr>
          </w:pPr>
          <w:r>
            <w:fldChar w:fldCharType="begin"/>
          </w:r>
          <w:r>
            <w:instrText xml:space="preserve"> HYPERLINK \l "bookmark97" </w:instrText>
          </w:r>
          <w:r>
            <w:fldChar w:fldCharType="separate"/>
          </w:r>
          <w:r>
            <w:rPr>
              <w:rFonts w:ascii="Times New Roman" w:hAnsi="Times New Roman" w:eastAsia="Times New Roman" w:cs="Times New Roman"/>
              <w:spacing w:val="5"/>
              <w:position w:val="1"/>
              <w:sz w:val="27"/>
              <w:szCs w:val="27"/>
            </w:rPr>
            <w:t xml:space="preserve">2.28     </w:t>
          </w:r>
          <w:r>
            <w:rPr>
              <w:rFonts w:ascii="仿宋" w:hAnsi="仿宋" w:eastAsia="仿宋" w:cs="仿宋"/>
              <w:spacing w:val="5"/>
              <w:position w:val="1"/>
              <w:sz w:val="27"/>
              <w:szCs w:val="27"/>
            </w:rPr>
            <w:t>软件质量保证报告</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2"/>
              <w:position w:val="1"/>
              <w:sz w:val="27"/>
              <w:szCs w:val="27"/>
            </w:rPr>
            <w:t>254</w:t>
          </w:r>
          <w:r>
            <w:rPr>
              <w:spacing w:val="-2"/>
              <w:position w:val="1"/>
              <w:sz w:val="27"/>
              <w:szCs w:val="27"/>
            </w:rPr>
            <w:fldChar w:fldCharType="end"/>
          </w:r>
        </w:p>
      </w:sdtContent>
    </w:sdt>
    <w:p w14:paraId="16E720C1">
      <w:pPr>
        <w:spacing w:line="368" w:lineRule="exact"/>
        <w:rPr>
          <w:sz w:val="27"/>
          <w:szCs w:val="27"/>
        </w:rPr>
        <w:sectPr>
          <w:footerReference r:id="rId13" w:type="default"/>
          <w:pgSz w:w="11910" w:h="17130"/>
          <w:pgMar w:top="400" w:right="1417" w:bottom="1624" w:left="1133" w:header="0" w:footer="1367" w:gutter="0"/>
          <w:cols w:space="720" w:num="1"/>
        </w:sectPr>
      </w:pPr>
    </w:p>
    <w:p w14:paraId="532A284A">
      <w:pPr>
        <w:pStyle w:val="2"/>
        <w:spacing w:line="281" w:lineRule="auto"/>
      </w:pPr>
    </w:p>
    <w:p w14:paraId="0C768F13">
      <w:pPr>
        <w:pStyle w:val="2"/>
        <w:spacing w:line="281" w:lineRule="auto"/>
      </w:pPr>
    </w:p>
    <w:p w14:paraId="4EB519FF">
      <w:pPr>
        <w:pStyle w:val="2"/>
        <w:spacing w:line="281" w:lineRule="auto"/>
      </w:pPr>
    </w:p>
    <w:p w14:paraId="13973F40">
      <w:pPr>
        <w:pStyle w:val="2"/>
        <w:spacing w:line="282" w:lineRule="auto"/>
      </w:pPr>
    </w:p>
    <w:sdt>
      <w:sdtPr>
        <w:rPr>
          <w:rFonts w:ascii="Times New Roman" w:hAnsi="Times New Roman" w:eastAsia="Times New Roman" w:cs="Times New Roman"/>
          <w:sz w:val="27"/>
          <w:szCs w:val="27"/>
        </w:rPr>
        <w:id w:val="147466562"/>
        <w:docPartObj>
          <w:docPartGallery w:val="Table of Contents"/>
          <w:docPartUnique/>
        </w:docPartObj>
      </w:sdtPr>
      <w:sdtEndPr>
        <w:rPr>
          <w:rFonts w:ascii="Arial" w:hAnsi="Arial" w:eastAsia="Arial" w:cs="Arial"/>
          <w:sz w:val="27"/>
          <w:szCs w:val="27"/>
        </w:rPr>
      </w:sdtEndPr>
      <w:sdtContent>
        <w:p w14:paraId="097EB349">
          <w:pPr>
            <w:pStyle w:val="2"/>
            <w:tabs>
              <w:tab w:val="right" w:leader="dot" w:pos="9349"/>
            </w:tabs>
            <w:spacing w:before="88" w:line="368" w:lineRule="exact"/>
            <w:ind w:left="529"/>
            <w:rPr>
              <w:sz w:val="27"/>
              <w:szCs w:val="27"/>
            </w:rPr>
          </w:pPr>
          <w:bookmarkStart w:id="1" w:name="bookmark98"/>
          <w:bookmarkEnd w:id="1"/>
          <w:r>
            <w:fldChar w:fldCharType="begin"/>
          </w:r>
          <w:r>
            <w:instrText xml:space="preserve"> HYPERLINK \l "bookmark99" </w:instrText>
          </w:r>
          <w:r>
            <w:fldChar w:fldCharType="separate"/>
          </w:r>
          <w:r>
            <w:rPr>
              <w:rFonts w:ascii="Times New Roman" w:hAnsi="Times New Roman" w:eastAsia="Times New Roman" w:cs="Times New Roman"/>
              <w:spacing w:val="2"/>
              <w:position w:val="1"/>
              <w:sz w:val="27"/>
              <w:szCs w:val="27"/>
            </w:rPr>
            <w:t>2.29</w:t>
          </w:r>
          <w:r>
            <w:rPr>
              <w:rFonts w:ascii="Times New Roman" w:hAnsi="Times New Roman" w:eastAsia="Times New Roman" w:cs="Times New Roman"/>
              <w:spacing w:val="7"/>
              <w:position w:val="1"/>
              <w:sz w:val="27"/>
              <w:szCs w:val="27"/>
            </w:rPr>
            <w:t xml:space="preserve">     </w:t>
          </w:r>
          <w:r>
            <w:rPr>
              <w:rFonts w:ascii="仿宋" w:hAnsi="仿宋" w:eastAsia="仿宋" w:cs="仿宋"/>
              <w:spacing w:val="2"/>
              <w:position w:val="1"/>
              <w:sz w:val="27"/>
              <w:szCs w:val="27"/>
            </w:rPr>
            <w:t>软件定型测评大纲</w:t>
          </w:r>
          <w:r>
            <w:rPr>
              <w:rFonts w:ascii="仿宋" w:hAnsi="仿宋" w:eastAsia="仿宋" w:cs="仿宋"/>
              <w:position w:val="1"/>
              <w:sz w:val="27"/>
              <w:szCs w:val="27"/>
            </w:rPr>
            <w:tab/>
          </w:r>
          <w:r>
            <w:rPr>
              <w:spacing w:val="-9"/>
              <w:position w:val="1"/>
              <w:sz w:val="27"/>
              <w:szCs w:val="27"/>
            </w:rPr>
            <w:t>255</w:t>
          </w:r>
          <w:r>
            <w:rPr>
              <w:spacing w:val="-9"/>
              <w:position w:val="1"/>
              <w:sz w:val="27"/>
              <w:szCs w:val="27"/>
            </w:rPr>
            <w:fldChar w:fldCharType="end"/>
          </w:r>
        </w:p>
        <w:p w14:paraId="6A734F25">
          <w:pPr>
            <w:pStyle w:val="2"/>
            <w:tabs>
              <w:tab w:val="right" w:leader="dot" w:pos="9350"/>
            </w:tabs>
            <w:spacing w:before="21" w:line="368" w:lineRule="exact"/>
            <w:ind w:left="529"/>
            <w:rPr>
              <w:sz w:val="27"/>
              <w:szCs w:val="27"/>
            </w:rPr>
          </w:pPr>
          <w:r>
            <w:fldChar w:fldCharType="begin"/>
          </w:r>
          <w:r>
            <w:instrText xml:space="preserve"> HYPERLINK \l "bookmark100" </w:instrText>
          </w:r>
          <w:r>
            <w:fldChar w:fldCharType="separate"/>
          </w:r>
          <w:r>
            <w:rPr>
              <w:rFonts w:ascii="Times New Roman" w:hAnsi="Times New Roman" w:eastAsia="Times New Roman" w:cs="Times New Roman"/>
              <w:spacing w:val="3"/>
              <w:position w:val="1"/>
              <w:sz w:val="27"/>
              <w:szCs w:val="27"/>
            </w:rPr>
            <w:t xml:space="preserve">2.30     </w:t>
          </w:r>
          <w:r>
            <w:rPr>
              <w:rFonts w:ascii="仿宋" w:hAnsi="仿宋" w:eastAsia="仿宋" w:cs="仿宋"/>
              <w:spacing w:val="3"/>
              <w:position w:val="1"/>
              <w:sz w:val="27"/>
              <w:szCs w:val="27"/>
            </w:rPr>
            <w:t>软件定型测评报告</w:t>
          </w:r>
          <w:r>
            <w:rPr>
              <w:rFonts w:ascii="仿宋" w:hAnsi="仿宋" w:eastAsia="仿宋" w:cs="仿宋"/>
              <w:spacing w:val="-117"/>
              <w:position w:val="1"/>
              <w:sz w:val="27"/>
              <w:szCs w:val="27"/>
            </w:rPr>
            <w:t xml:space="preserve"> </w:t>
          </w:r>
          <w:r>
            <w:rPr>
              <w:rFonts w:ascii="仿宋" w:hAnsi="仿宋" w:eastAsia="仿宋" w:cs="仿宋"/>
              <w:position w:val="1"/>
              <w:sz w:val="27"/>
              <w:szCs w:val="27"/>
            </w:rPr>
            <w:tab/>
          </w:r>
          <w:r>
            <w:rPr>
              <w:spacing w:val="-9"/>
              <w:position w:val="1"/>
              <w:sz w:val="27"/>
              <w:szCs w:val="27"/>
            </w:rPr>
            <w:t>258</w:t>
          </w:r>
          <w:r>
            <w:rPr>
              <w:spacing w:val="-9"/>
              <w:position w:val="1"/>
              <w:sz w:val="27"/>
              <w:szCs w:val="27"/>
            </w:rPr>
            <w:fldChar w:fldCharType="end"/>
          </w:r>
        </w:p>
        <w:p w14:paraId="08AB537D">
          <w:pPr>
            <w:pStyle w:val="2"/>
            <w:tabs>
              <w:tab w:val="right" w:leader="dot" w:pos="9352"/>
            </w:tabs>
            <w:spacing w:before="56" w:line="368" w:lineRule="exact"/>
            <w:rPr>
              <w:sz w:val="27"/>
              <w:szCs w:val="27"/>
            </w:rPr>
          </w:pPr>
          <w:r>
            <w:fldChar w:fldCharType="begin"/>
          </w:r>
          <w:r>
            <w:instrText xml:space="preserve"> HYPERLINK \l "bookmark101" </w:instrText>
          </w:r>
          <w:r>
            <w:fldChar w:fldCharType="separate"/>
          </w:r>
          <w:r>
            <w:rPr>
              <w:rFonts w:ascii="黑体" w:hAnsi="黑体" w:eastAsia="黑体" w:cs="黑体"/>
              <w:spacing w:val="-10"/>
              <w:position w:val="2"/>
              <w:sz w:val="24"/>
              <w:szCs w:val="24"/>
            </w:rPr>
            <w:t>第 3 章</w:t>
          </w:r>
          <w:r>
            <w:rPr>
              <w:rFonts w:ascii="黑体" w:hAnsi="黑体" w:eastAsia="黑体" w:cs="黑体"/>
              <w:spacing w:val="90"/>
              <w:position w:val="2"/>
              <w:sz w:val="24"/>
              <w:szCs w:val="24"/>
            </w:rPr>
            <w:t xml:space="preserve"> </w:t>
          </w:r>
          <w:r>
            <w:rPr>
              <w:rFonts w:ascii="黑体" w:hAnsi="黑体" w:eastAsia="黑体" w:cs="黑体"/>
              <w:spacing w:val="-10"/>
              <w:position w:val="2"/>
              <w:sz w:val="24"/>
              <w:szCs w:val="24"/>
            </w:rPr>
            <w:t>工 艺</w:t>
          </w:r>
          <w:r>
            <w:rPr>
              <w:rFonts w:ascii="黑体" w:hAnsi="黑体" w:eastAsia="黑体" w:cs="黑体"/>
              <w:spacing w:val="-23"/>
              <w:position w:val="2"/>
              <w:sz w:val="24"/>
              <w:szCs w:val="24"/>
            </w:rPr>
            <w:t xml:space="preserve"> </w:t>
          </w:r>
          <w:r>
            <w:rPr>
              <w:rFonts w:ascii="黑体" w:hAnsi="黑体" w:eastAsia="黑体" w:cs="黑体"/>
              <w:spacing w:val="-10"/>
              <w:position w:val="2"/>
              <w:sz w:val="24"/>
              <w:szCs w:val="24"/>
            </w:rPr>
            <w:t>文</w:t>
          </w:r>
          <w:r>
            <w:rPr>
              <w:rFonts w:ascii="黑体" w:hAnsi="黑体" w:eastAsia="黑体" w:cs="黑体"/>
              <w:spacing w:val="-27"/>
              <w:position w:val="2"/>
              <w:sz w:val="24"/>
              <w:szCs w:val="24"/>
            </w:rPr>
            <w:t xml:space="preserve"> </w:t>
          </w:r>
          <w:r>
            <w:rPr>
              <w:rFonts w:ascii="黑体" w:hAnsi="黑体" w:eastAsia="黑体" w:cs="黑体"/>
              <w:spacing w:val="-10"/>
              <w:position w:val="2"/>
              <w:sz w:val="24"/>
              <w:szCs w:val="24"/>
            </w:rPr>
            <w:t>件</w:t>
          </w:r>
          <w:r>
            <w:rPr>
              <w:rFonts w:ascii="黑体" w:hAnsi="黑体" w:eastAsia="黑体" w:cs="黑体"/>
              <w:spacing w:val="-101"/>
              <w:position w:val="2"/>
              <w:sz w:val="24"/>
              <w:szCs w:val="24"/>
            </w:rPr>
            <w:t xml:space="preserve"> </w:t>
          </w:r>
          <w:r>
            <w:rPr>
              <w:rFonts w:ascii="黑体" w:hAnsi="黑体" w:eastAsia="黑体" w:cs="黑体"/>
              <w:position w:val="2"/>
              <w:sz w:val="24"/>
              <w:szCs w:val="24"/>
            </w:rPr>
            <w:tab/>
          </w:r>
          <w:r>
            <w:rPr>
              <w:spacing w:val="-10"/>
              <w:position w:val="2"/>
              <w:sz w:val="27"/>
              <w:szCs w:val="27"/>
            </w:rPr>
            <w:t>262</w:t>
          </w:r>
          <w:r>
            <w:rPr>
              <w:spacing w:val="-10"/>
              <w:position w:val="2"/>
              <w:sz w:val="27"/>
              <w:szCs w:val="27"/>
            </w:rPr>
            <w:fldChar w:fldCharType="end"/>
          </w:r>
        </w:p>
        <w:p w14:paraId="27F585ED">
          <w:pPr>
            <w:pStyle w:val="2"/>
            <w:tabs>
              <w:tab w:val="right" w:leader="dot" w:pos="9352"/>
            </w:tabs>
            <w:spacing w:before="28" w:line="368" w:lineRule="exact"/>
            <w:ind w:left="529"/>
            <w:rPr>
              <w:sz w:val="27"/>
              <w:szCs w:val="27"/>
            </w:rPr>
          </w:pPr>
          <w:r>
            <w:fldChar w:fldCharType="begin"/>
          </w:r>
          <w:r>
            <w:instrText xml:space="preserve"> HYPERLINK \l "bookmark102" </w:instrText>
          </w:r>
          <w:r>
            <w:fldChar w:fldCharType="separate"/>
          </w:r>
          <w:r>
            <w:rPr>
              <w:rFonts w:ascii="Times New Roman" w:hAnsi="Times New Roman" w:eastAsia="Times New Roman" w:cs="Times New Roman"/>
              <w:spacing w:val="-3"/>
              <w:position w:val="1"/>
              <w:sz w:val="27"/>
              <w:szCs w:val="27"/>
            </w:rPr>
            <w:t xml:space="preserve">3.1      </w:t>
          </w:r>
          <w:r>
            <w:rPr>
              <w:rFonts w:ascii="仿宋" w:hAnsi="仿宋" w:eastAsia="仿宋" w:cs="仿宋"/>
              <w:spacing w:val="-3"/>
              <w:position w:val="1"/>
              <w:sz w:val="27"/>
              <w:szCs w:val="27"/>
            </w:rPr>
            <w:t>工艺总方案</w:t>
          </w:r>
          <w:r>
            <w:rPr>
              <w:rFonts w:ascii="仿宋" w:hAnsi="仿宋" w:eastAsia="仿宋" w:cs="仿宋"/>
              <w:spacing w:val="33"/>
              <w:position w:val="1"/>
              <w:sz w:val="27"/>
              <w:szCs w:val="27"/>
            </w:rPr>
            <w:t xml:space="preserve"> </w:t>
          </w:r>
          <w:r>
            <w:rPr>
              <w:rFonts w:ascii="仿宋" w:hAnsi="仿宋" w:eastAsia="仿宋" w:cs="仿宋"/>
              <w:position w:val="1"/>
              <w:sz w:val="27"/>
              <w:szCs w:val="27"/>
            </w:rPr>
            <w:tab/>
          </w:r>
          <w:r>
            <w:rPr>
              <w:spacing w:val="-6"/>
              <w:position w:val="1"/>
              <w:sz w:val="27"/>
              <w:szCs w:val="27"/>
            </w:rPr>
            <w:t>262</w:t>
          </w:r>
          <w:r>
            <w:rPr>
              <w:spacing w:val="-6"/>
              <w:position w:val="1"/>
              <w:sz w:val="27"/>
              <w:szCs w:val="27"/>
            </w:rPr>
            <w:fldChar w:fldCharType="end"/>
          </w:r>
        </w:p>
        <w:p w14:paraId="6B62D254">
          <w:pPr>
            <w:pStyle w:val="2"/>
            <w:tabs>
              <w:tab w:val="right" w:leader="dot" w:pos="9350"/>
            </w:tabs>
            <w:spacing w:before="43" w:line="368" w:lineRule="exact"/>
            <w:ind w:left="529"/>
            <w:rPr>
              <w:sz w:val="27"/>
              <w:szCs w:val="27"/>
            </w:rPr>
          </w:pPr>
          <w:r>
            <w:fldChar w:fldCharType="begin"/>
          </w:r>
          <w:r>
            <w:instrText xml:space="preserve"> HYPERLINK \l "bookmark103" </w:instrText>
          </w:r>
          <w:r>
            <w:fldChar w:fldCharType="separate"/>
          </w:r>
          <w:r>
            <w:rPr>
              <w:rFonts w:ascii="Times New Roman" w:hAnsi="Times New Roman" w:eastAsia="Times New Roman" w:cs="Times New Roman"/>
              <w:spacing w:val="14"/>
              <w:position w:val="1"/>
              <w:sz w:val="27"/>
              <w:szCs w:val="27"/>
            </w:rPr>
            <w:t>3.2</w:t>
          </w:r>
          <w:r>
            <w:rPr>
              <w:rFonts w:ascii="Times New Roman" w:hAnsi="Times New Roman" w:eastAsia="Times New Roman" w:cs="Times New Roman"/>
              <w:spacing w:val="13"/>
              <w:position w:val="1"/>
              <w:sz w:val="27"/>
              <w:szCs w:val="27"/>
            </w:rPr>
            <w:t xml:space="preserve">     </w:t>
          </w:r>
          <w:r>
            <w:rPr>
              <w:rFonts w:ascii="仿宋" w:hAnsi="仿宋" w:eastAsia="仿宋" w:cs="仿宋"/>
              <w:spacing w:val="14"/>
              <w:position w:val="1"/>
              <w:sz w:val="27"/>
              <w:szCs w:val="27"/>
            </w:rPr>
            <w:t>工艺规范(D类规范)</w:t>
          </w:r>
          <w:r>
            <w:rPr>
              <w:rFonts w:ascii="仿宋" w:hAnsi="仿宋" w:eastAsia="仿宋" w:cs="仿宋"/>
              <w:position w:val="1"/>
              <w:sz w:val="27"/>
              <w:szCs w:val="27"/>
            </w:rPr>
            <w:tab/>
          </w:r>
          <w:r>
            <w:rPr>
              <w:spacing w:val="-11"/>
              <w:position w:val="1"/>
              <w:sz w:val="27"/>
              <w:szCs w:val="27"/>
            </w:rPr>
            <w:t>264</w:t>
          </w:r>
          <w:r>
            <w:rPr>
              <w:spacing w:val="-11"/>
              <w:position w:val="1"/>
              <w:sz w:val="27"/>
              <w:szCs w:val="27"/>
            </w:rPr>
            <w:fldChar w:fldCharType="end"/>
          </w:r>
        </w:p>
        <w:p w14:paraId="74E27AE4">
          <w:pPr>
            <w:pStyle w:val="2"/>
            <w:tabs>
              <w:tab w:val="right" w:leader="dot" w:pos="9350"/>
            </w:tabs>
            <w:spacing w:before="37" w:line="368" w:lineRule="exact"/>
            <w:ind w:left="529"/>
            <w:rPr>
              <w:sz w:val="27"/>
              <w:szCs w:val="27"/>
            </w:rPr>
          </w:pPr>
          <w:r>
            <w:fldChar w:fldCharType="begin"/>
          </w:r>
          <w:r>
            <w:instrText xml:space="preserve"> HYPERLINK \l "bookmark104" </w:instrText>
          </w:r>
          <w:r>
            <w:fldChar w:fldCharType="separate"/>
          </w:r>
          <w:r>
            <w:rPr>
              <w:rFonts w:ascii="Times New Roman" w:hAnsi="Times New Roman" w:eastAsia="Times New Roman" w:cs="Times New Roman"/>
              <w:spacing w:val="14"/>
              <w:position w:val="2"/>
              <w:sz w:val="27"/>
              <w:szCs w:val="27"/>
            </w:rPr>
            <w:t>3.3</w:t>
          </w:r>
          <w:r>
            <w:rPr>
              <w:rFonts w:ascii="Times New Roman" w:hAnsi="Times New Roman" w:eastAsia="Times New Roman" w:cs="Times New Roman"/>
              <w:spacing w:val="11"/>
              <w:position w:val="2"/>
              <w:sz w:val="27"/>
              <w:szCs w:val="27"/>
            </w:rPr>
            <w:t xml:space="preserve">     </w:t>
          </w:r>
          <w:r>
            <w:rPr>
              <w:rFonts w:ascii="仿宋" w:hAnsi="仿宋" w:eastAsia="仿宋" w:cs="仿宋"/>
              <w:spacing w:val="14"/>
              <w:position w:val="2"/>
              <w:sz w:val="27"/>
              <w:szCs w:val="27"/>
            </w:rPr>
            <w:t>材料规范(E类规范)</w:t>
          </w:r>
          <w:r>
            <w:rPr>
              <w:rFonts w:ascii="仿宋" w:hAnsi="仿宋" w:eastAsia="仿宋" w:cs="仿宋"/>
              <w:position w:val="2"/>
              <w:sz w:val="27"/>
              <w:szCs w:val="27"/>
            </w:rPr>
            <w:tab/>
          </w:r>
          <w:r>
            <w:rPr>
              <w:spacing w:val="-11"/>
              <w:position w:val="2"/>
              <w:sz w:val="27"/>
              <w:szCs w:val="27"/>
            </w:rPr>
            <w:t>267</w:t>
          </w:r>
          <w:r>
            <w:rPr>
              <w:spacing w:val="-11"/>
              <w:position w:val="2"/>
              <w:sz w:val="27"/>
              <w:szCs w:val="27"/>
            </w:rPr>
            <w:fldChar w:fldCharType="end"/>
          </w:r>
        </w:p>
        <w:p w14:paraId="1C96878F">
          <w:pPr>
            <w:pStyle w:val="2"/>
            <w:tabs>
              <w:tab w:val="right" w:leader="dot" w:pos="9352"/>
            </w:tabs>
            <w:spacing w:before="81" w:line="220" w:lineRule="auto"/>
            <w:ind w:left="529"/>
            <w:rPr>
              <w:sz w:val="27"/>
              <w:szCs w:val="27"/>
            </w:rPr>
          </w:pPr>
          <w:r>
            <w:fldChar w:fldCharType="begin"/>
          </w:r>
          <w:r>
            <w:instrText xml:space="preserve"> HYPERLINK \l "bookmark105" </w:instrText>
          </w:r>
          <w:r>
            <w:fldChar w:fldCharType="separate"/>
          </w:r>
          <w:r>
            <w:rPr>
              <w:rFonts w:ascii="Times New Roman" w:hAnsi="Times New Roman" w:eastAsia="Times New Roman" w:cs="Times New Roman"/>
              <w:spacing w:val="-1"/>
              <w:sz w:val="27"/>
              <w:szCs w:val="27"/>
            </w:rPr>
            <w:t>3.4</w:t>
          </w:r>
          <w:r>
            <w:rPr>
              <w:rFonts w:ascii="Times New Roman" w:hAnsi="Times New Roman" w:eastAsia="Times New Roman" w:cs="Times New Roman"/>
              <w:spacing w:val="13"/>
              <w:sz w:val="27"/>
              <w:szCs w:val="27"/>
            </w:rPr>
            <w:t xml:space="preserve">     </w:t>
          </w:r>
          <w:r>
            <w:rPr>
              <w:rFonts w:ascii="仿宋" w:hAnsi="仿宋" w:eastAsia="仿宋" w:cs="仿宋"/>
              <w:spacing w:val="-1"/>
              <w:sz w:val="27"/>
              <w:szCs w:val="27"/>
            </w:rPr>
            <w:t>工艺设计工作总结</w:t>
          </w:r>
          <w:r>
            <w:rPr>
              <w:rFonts w:ascii="仿宋" w:hAnsi="仿宋" w:eastAsia="仿宋" w:cs="仿宋"/>
              <w:spacing w:val="35"/>
              <w:sz w:val="27"/>
              <w:szCs w:val="27"/>
            </w:rPr>
            <w:t xml:space="preserve"> </w:t>
          </w:r>
          <w:r>
            <w:rPr>
              <w:rFonts w:ascii="仿宋" w:hAnsi="仿宋" w:eastAsia="仿宋" w:cs="仿宋"/>
              <w:sz w:val="27"/>
              <w:szCs w:val="27"/>
            </w:rPr>
            <w:tab/>
          </w:r>
          <w:r>
            <w:rPr>
              <w:spacing w:val="-13"/>
              <w:sz w:val="27"/>
              <w:szCs w:val="27"/>
            </w:rPr>
            <w:t>272</w:t>
          </w:r>
          <w:r>
            <w:rPr>
              <w:spacing w:val="-13"/>
              <w:sz w:val="27"/>
              <w:szCs w:val="27"/>
            </w:rPr>
            <w:fldChar w:fldCharType="end"/>
          </w:r>
        </w:p>
        <w:p w14:paraId="666B06C4">
          <w:pPr>
            <w:pStyle w:val="2"/>
            <w:tabs>
              <w:tab w:val="right" w:leader="dot" w:pos="9350"/>
            </w:tabs>
            <w:spacing w:before="52" w:line="368" w:lineRule="exact"/>
            <w:ind w:left="529"/>
            <w:rPr>
              <w:sz w:val="27"/>
              <w:szCs w:val="27"/>
            </w:rPr>
          </w:pPr>
          <w:r>
            <w:fldChar w:fldCharType="begin"/>
          </w:r>
          <w:r>
            <w:instrText xml:space="preserve"> HYPERLINK \l "bookmark106" </w:instrText>
          </w:r>
          <w:r>
            <w:fldChar w:fldCharType="separate"/>
          </w:r>
          <w:r>
            <w:rPr>
              <w:rFonts w:ascii="Times New Roman" w:hAnsi="Times New Roman" w:eastAsia="Times New Roman" w:cs="Times New Roman"/>
              <w:spacing w:val="-1"/>
              <w:position w:val="1"/>
              <w:sz w:val="27"/>
              <w:szCs w:val="27"/>
            </w:rPr>
            <w:t>3.5</w:t>
          </w:r>
          <w:r>
            <w:rPr>
              <w:rFonts w:ascii="Times New Roman" w:hAnsi="Times New Roman" w:eastAsia="Times New Roman" w:cs="Times New Roman"/>
              <w:spacing w:val="10"/>
              <w:position w:val="1"/>
              <w:sz w:val="27"/>
              <w:szCs w:val="27"/>
            </w:rPr>
            <w:t xml:space="preserve">     </w:t>
          </w:r>
          <w:r>
            <w:rPr>
              <w:rFonts w:ascii="仿宋" w:hAnsi="仿宋" w:eastAsia="仿宋" w:cs="仿宋"/>
              <w:spacing w:val="-1"/>
              <w:position w:val="1"/>
              <w:sz w:val="27"/>
              <w:szCs w:val="27"/>
            </w:rPr>
            <w:t>工艺评审报告</w:t>
          </w:r>
          <w:r>
            <w:rPr>
              <w:rFonts w:ascii="仿宋" w:hAnsi="仿宋" w:eastAsia="仿宋" w:cs="仿宋"/>
              <w:spacing w:val="-122"/>
              <w:position w:val="1"/>
              <w:sz w:val="27"/>
              <w:szCs w:val="27"/>
            </w:rPr>
            <w:t xml:space="preserve"> </w:t>
          </w:r>
          <w:r>
            <w:rPr>
              <w:rFonts w:ascii="仿宋" w:hAnsi="仿宋" w:eastAsia="仿宋" w:cs="仿宋"/>
              <w:position w:val="1"/>
              <w:sz w:val="27"/>
              <w:szCs w:val="27"/>
            </w:rPr>
            <w:tab/>
          </w:r>
          <w:r>
            <w:rPr>
              <w:spacing w:val="-11"/>
              <w:position w:val="1"/>
              <w:sz w:val="27"/>
              <w:szCs w:val="27"/>
            </w:rPr>
            <w:t>273</w:t>
          </w:r>
          <w:r>
            <w:rPr>
              <w:spacing w:val="-11"/>
              <w:position w:val="1"/>
              <w:sz w:val="27"/>
              <w:szCs w:val="27"/>
            </w:rPr>
            <w:fldChar w:fldCharType="end"/>
          </w:r>
        </w:p>
        <w:p w14:paraId="53210E1F">
          <w:pPr>
            <w:pStyle w:val="2"/>
            <w:tabs>
              <w:tab w:val="right" w:leader="dot" w:pos="9350"/>
            </w:tabs>
            <w:spacing w:before="92" w:line="224" w:lineRule="auto"/>
            <w:ind w:left="529"/>
            <w:rPr>
              <w:sz w:val="27"/>
              <w:szCs w:val="27"/>
            </w:rPr>
          </w:pPr>
          <w:r>
            <w:fldChar w:fldCharType="begin"/>
          </w:r>
          <w:r>
            <w:instrText xml:space="preserve"> HYPERLINK \l "bookmark107" </w:instrText>
          </w:r>
          <w:r>
            <w:fldChar w:fldCharType="separate"/>
          </w:r>
          <w:r>
            <w:rPr>
              <w:rFonts w:ascii="Times New Roman" w:hAnsi="Times New Roman" w:eastAsia="Times New Roman" w:cs="Times New Roman"/>
              <w:spacing w:val="-6"/>
              <w:sz w:val="27"/>
              <w:szCs w:val="27"/>
            </w:rPr>
            <w:t xml:space="preserve">3.6      </w:t>
          </w:r>
          <w:r>
            <w:rPr>
              <w:rFonts w:ascii="仿宋" w:hAnsi="仿宋" w:eastAsia="仿宋" w:cs="仿宋"/>
              <w:spacing w:val="-6"/>
              <w:sz w:val="27"/>
              <w:szCs w:val="27"/>
            </w:rPr>
            <w:t>工艺总结</w:t>
          </w:r>
          <w:r>
            <w:rPr>
              <w:rFonts w:ascii="仿宋" w:hAnsi="仿宋" w:eastAsia="仿宋" w:cs="仿宋"/>
              <w:spacing w:val="39"/>
              <w:sz w:val="27"/>
              <w:szCs w:val="27"/>
            </w:rPr>
            <w:t xml:space="preserve"> </w:t>
          </w:r>
          <w:r>
            <w:rPr>
              <w:rFonts w:ascii="仿宋" w:hAnsi="仿宋" w:eastAsia="仿宋" w:cs="仿宋"/>
              <w:sz w:val="27"/>
              <w:szCs w:val="27"/>
            </w:rPr>
            <w:tab/>
          </w:r>
          <w:r>
            <w:rPr>
              <w:rFonts w:ascii="仿宋" w:hAnsi="仿宋" w:eastAsia="仿宋" w:cs="仿宋"/>
              <w:spacing w:val="-83"/>
              <w:sz w:val="27"/>
              <w:szCs w:val="27"/>
            </w:rPr>
            <w:t xml:space="preserve"> </w:t>
          </w:r>
          <w:r>
            <w:rPr>
              <w:spacing w:val="-11"/>
              <w:sz w:val="27"/>
              <w:szCs w:val="27"/>
            </w:rPr>
            <w:t>274</w:t>
          </w:r>
          <w:r>
            <w:rPr>
              <w:spacing w:val="-11"/>
              <w:sz w:val="27"/>
              <w:szCs w:val="27"/>
            </w:rPr>
            <w:fldChar w:fldCharType="end"/>
          </w:r>
        </w:p>
        <w:p w14:paraId="331B50E9">
          <w:pPr>
            <w:pStyle w:val="2"/>
            <w:tabs>
              <w:tab w:val="right" w:leader="dot" w:pos="9349"/>
            </w:tabs>
            <w:spacing w:before="23" w:line="368" w:lineRule="exact"/>
            <w:ind w:left="529"/>
            <w:rPr>
              <w:sz w:val="27"/>
              <w:szCs w:val="27"/>
            </w:rPr>
          </w:pPr>
          <w:r>
            <w:fldChar w:fldCharType="begin"/>
          </w:r>
          <w:r>
            <w:instrText xml:space="preserve"> HYPERLINK \l "bookmark108" </w:instrText>
          </w:r>
          <w:r>
            <w:fldChar w:fldCharType="separate"/>
          </w:r>
          <w:r>
            <w:rPr>
              <w:rFonts w:ascii="Times New Roman" w:hAnsi="Times New Roman" w:eastAsia="Times New Roman" w:cs="Times New Roman"/>
              <w:spacing w:val="5"/>
              <w:position w:val="1"/>
              <w:sz w:val="27"/>
              <w:szCs w:val="27"/>
            </w:rPr>
            <w:t>3.7</w:t>
          </w:r>
          <w:r>
            <w:rPr>
              <w:rFonts w:ascii="Times New Roman" w:hAnsi="Times New Roman" w:eastAsia="Times New Roman" w:cs="Times New Roman"/>
              <w:spacing w:val="2"/>
              <w:position w:val="1"/>
              <w:sz w:val="27"/>
              <w:szCs w:val="27"/>
            </w:rPr>
            <w:t xml:space="preserve">     </w:t>
          </w:r>
          <w:r>
            <w:rPr>
              <w:rFonts w:ascii="仿宋" w:hAnsi="仿宋" w:eastAsia="仿宋" w:cs="仿宋"/>
              <w:spacing w:val="5"/>
              <w:position w:val="1"/>
              <w:sz w:val="27"/>
              <w:szCs w:val="27"/>
            </w:rPr>
            <w:t>工艺和生产条件考核报告</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9"/>
              <w:position w:val="1"/>
              <w:sz w:val="27"/>
              <w:szCs w:val="27"/>
            </w:rPr>
            <w:t>275</w:t>
          </w:r>
          <w:r>
            <w:rPr>
              <w:spacing w:val="-9"/>
              <w:position w:val="1"/>
              <w:sz w:val="27"/>
              <w:szCs w:val="27"/>
            </w:rPr>
            <w:fldChar w:fldCharType="end"/>
          </w:r>
        </w:p>
        <w:p w14:paraId="1B008FF1">
          <w:pPr>
            <w:pStyle w:val="2"/>
            <w:tabs>
              <w:tab w:val="right" w:leader="dot" w:pos="9362"/>
            </w:tabs>
            <w:spacing w:before="110" w:line="213" w:lineRule="auto"/>
            <w:rPr>
              <w:sz w:val="27"/>
              <w:szCs w:val="27"/>
            </w:rPr>
          </w:pPr>
          <w:r>
            <w:fldChar w:fldCharType="begin"/>
          </w:r>
          <w:r>
            <w:instrText xml:space="preserve"> HYPERLINK \l "bookmark109" </w:instrText>
          </w:r>
          <w:r>
            <w:fldChar w:fldCharType="separate"/>
          </w:r>
          <w:r>
            <w:rPr>
              <w:rFonts w:ascii="黑体" w:hAnsi="黑体" w:eastAsia="黑体" w:cs="黑体"/>
              <w:spacing w:val="-8"/>
              <w:sz w:val="24"/>
              <w:szCs w:val="24"/>
            </w:rPr>
            <w:t>第 4 章</w:t>
          </w:r>
          <w:r>
            <w:rPr>
              <w:rFonts w:ascii="黑体" w:hAnsi="黑体" w:eastAsia="黑体" w:cs="黑体"/>
              <w:spacing w:val="74"/>
              <w:sz w:val="24"/>
              <w:szCs w:val="24"/>
            </w:rPr>
            <w:t xml:space="preserve"> </w:t>
          </w:r>
          <w:r>
            <w:rPr>
              <w:rFonts w:ascii="黑体" w:hAnsi="黑体" w:eastAsia="黑体" w:cs="黑体"/>
              <w:spacing w:val="-8"/>
              <w:sz w:val="24"/>
              <w:szCs w:val="24"/>
            </w:rPr>
            <w:t>标</w:t>
          </w:r>
          <w:r>
            <w:rPr>
              <w:rFonts w:ascii="黑体" w:hAnsi="黑体" w:eastAsia="黑体" w:cs="黑体"/>
              <w:spacing w:val="-33"/>
              <w:sz w:val="24"/>
              <w:szCs w:val="24"/>
            </w:rPr>
            <w:t xml:space="preserve"> </w:t>
          </w:r>
          <w:r>
            <w:rPr>
              <w:rFonts w:ascii="黑体" w:hAnsi="黑体" w:eastAsia="黑体" w:cs="黑体"/>
              <w:spacing w:val="-8"/>
              <w:sz w:val="24"/>
              <w:szCs w:val="24"/>
            </w:rPr>
            <w:t>准</w:t>
          </w:r>
          <w:r>
            <w:rPr>
              <w:rFonts w:ascii="黑体" w:hAnsi="黑体" w:eastAsia="黑体" w:cs="黑体"/>
              <w:spacing w:val="-33"/>
              <w:sz w:val="24"/>
              <w:szCs w:val="24"/>
            </w:rPr>
            <w:t xml:space="preserve"> </w:t>
          </w:r>
          <w:r>
            <w:rPr>
              <w:rFonts w:ascii="黑体" w:hAnsi="黑体" w:eastAsia="黑体" w:cs="黑体"/>
              <w:spacing w:val="-8"/>
              <w:sz w:val="24"/>
              <w:szCs w:val="24"/>
            </w:rPr>
            <w:t>化</w:t>
          </w:r>
          <w:r>
            <w:rPr>
              <w:rFonts w:ascii="黑体" w:hAnsi="黑体" w:eastAsia="黑体" w:cs="黑体"/>
              <w:spacing w:val="-32"/>
              <w:sz w:val="24"/>
              <w:szCs w:val="24"/>
            </w:rPr>
            <w:t xml:space="preserve"> </w:t>
          </w:r>
          <w:r>
            <w:rPr>
              <w:rFonts w:ascii="黑体" w:hAnsi="黑体" w:eastAsia="黑体" w:cs="黑体"/>
              <w:spacing w:val="-8"/>
              <w:sz w:val="24"/>
              <w:szCs w:val="24"/>
            </w:rPr>
            <w:t>文</w:t>
          </w:r>
          <w:r>
            <w:rPr>
              <w:rFonts w:ascii="黑体" w:hAnsi="黑体" w:eastAsia="黑体" w:cs="黑体"/>
              <w:spacing w:val="-36"/>
              <w:sz w:val="24"/>
              <w:szCs w:val="24"/>
            </w:rPr>
            <w:t xml:space="preserve"> </w:t>
          </w:r>
          <w:r>
            <w:rPr>
              <w:rFonts w:ascii="黑体" w:hAnsi="黑体" w:eastAsia="黑体" w:cs="黑体"/>
              <w:spacing w:val="-8"/>
              <w:sz w:val="24"/>
              <w:szCs w:val="24"/>
            </w:rPr>
            <w:t>件</w:t>
          </w:r>
          <w:r>
            <w:rPr>
              <w:rFonts w:ascii="黑体" w:hAnsi="黑体" w:eastAsia="黑体" w:cs="黑体"/>
              <w:spacing w:val="-101"/>
              <w:sz w:val="24"/>
              <w:szCs w:val="24"/>
            </w:rPr>
            <w:t xml:space="preserve"> </w:t>
          </w:r>
          <w:r>
            <w:rPr>
              <w:rFonts w:ascii="黑体" w:hAnsi="黑体" w:eastAsia="黑体" w:cs="黑体"/>
              <w:sz w:val="24"/>
              <w:szCs w:val="24"/>
            </w:rPr>
            <w:tab/>
          </w:r>
          <w:r>
            <w:rPr>
              <w:spacing w:val="-2"/>
              <w:sz w:val="27"/>
              <w:szCs w:val="27"/>
            </w:rPr>
            <w:t>277</w:t>
          </w:r>
          <w:r>
            <w:rPr>
              <w:spacing w:val="-2"/>
              <w:sz w:val="27"/>
              <w:szCs w:val="27"/>
            </w:rPr>
            <w:fldChar w:fldCharType="end"/>
          </w:r>
        </w:p>
        <w:p w14:paraId="0769DEF9">
          <w:pPr>
            <w:pStyle w:val="2"/>
            <w:tabs>
              <w:tab w:val="right" w:leader="dot" w:pos="9350"/>
            </w:tabs>
            <w:spacing w:before="93" w:line="222" w:lineRule="auto"/>
            <w:ind w:left="529"/>
            <w:rPr>
              <w:sz w:val="27"/>
              <w:szCs w:val="27"/>
            </w:rPr>
          </w:pPr>
          <w:r>
            <w:fldChar w:fldCharType="begin"/>
          </w:r>
          <w:r>
            <w:instrText xml:space="preserve"> HYPERLINK \l "bookmark110" </w:instrText>
          </w:r>
          <w:r>
            <w:fldChar w:fldCharType="separate"/>
          </w:r>
          <w:r>
            <w:rPr>
              <w:rFonts w:ascii="Times New Roman" w:hAnsi="Times New Roman" w:eastAsia="Times New Roman" w:cs="Times New Roman"/>
              <w:spacing w:val="2"/>
              <w:sz w:val="27"/>
              <w:szCs w:val="27"/>
            </w:rPr>
            <w:t>4.1</w:t>
          </w:r>
          <w:r>
            <w:rPr>
              <w:rFonts w:ascii="Times New Roman" w:hAnsi="Times New Roman" w:eastAsia="Times New Roman" w:cs="Times New Roman"/>
              <w:spacing w:val="10"/>
              <w:sz w:val="27"/>
              <w:szCs w:val="27"/>
            </w:rPr>
            <w:t xml:space="preserve">     </w:t>
          </w:r>
          <w:r>
            <w:rPr>
              <w:rFonts w:ascii="仿宋" w:hAnsi="仿宋" w:eastAsia="仿宋" w:cs="仿宋"/>
              <w:spacing w:val="2"/>
              <w:sz w:val="27"/>
              <w:szCs w:val="27"/>
            </w:rPr>
            <w:t>标准化大纲</w:t>
          </w:r>
          <w:r>
            <w:rPr>
              <w:rFonts w:ascii="仿宋" w:hAnsi="仿宋" w:eastAsia="仿宋" w:cs="仿宋"/>
              <w:spacing w:val="43"/>
              <w:sz w:val="27"/>
              <w:szCs w:val="27"/>
            </w:rPr>
            <w:t xml:space="preserve"> </w:t>
          </w:r>
          <w:r>
            <w:rPr>
              <w:rFonts w:ascii="仿宋" w:hAnsi="仿宋" w:eastAsia="仿宋" w:cs="仿宋"/>
              <w:sz w:val="27"/>
              <w:szCs w:val="27"/>
            </w:rPr>
            <w:tab/>
          </w:r>
          <w:r>
            <w:rPr>
              <w:spacing w:val="-12"/>
              <w:sz w:val="27"/>
              <w:szCs w:val="27"/>
            </w:rPr>
            <w:t>277</w:t>
          </w:r>
          <w:r>
            <w:rPr>
              <w:spacing w:val="-12"/>
              <w:sz w:val="27"/>
              <w:szCs w:val="27"/>
            </w:rPr>
            <w:fldChar w:fldCharType="end"/>
          </w:r>
        </w:p>
        <w:p w14:paraId="450A36C4">
          <w:pPr>
            <w:pStyle w:val="2"/>
            <w:tabs>
              <w:tab w:val="right" w:leader="dot" w:pos="9350"/>
            </w:tabs>
            <w:spacing w:before="23" w:line="368" w:lineRule="exact"/>
            <w:ind w:left="529"/>
            <w:rPr>
              <w:sz w:val="27"/>
              <w:szCs w:val="27"/>
            </w:rPr>
          </w:pPr>
          <w:r>
            <w:fldChar w:fldCharType="begin"/>
          </w:r>
          <w:r>
            <w:instrText xml:space="preserve"> HYPERLINK \l "bookmark111" </w:instrText>
          </w:r>
          <w:r>
            <w:fldChar w:fldCharType="separate"/>
          </w:r>
          <w:r>
            <w:rPr>
              <w:rFonts w:ascii="Times New Roman" w:hAnsi="Times New Roman" w:eastAsia="Times New Roman" w:cs="Times New Roman"/>
              <w:spacing w:val="2"/>
              <w:position w:val="2"/>
              <w:sz w:val="27"/>
              <w:szCs w:val="27"/>
            </w:rPr>
            <w:t>4.2</w:t>
          </w:r>
          <w:r>
            <w:rPr>
              <w:rFonts w:ascii="Times New Roman" w:hAnsi="Times New Roman" w:eastAsia="Times New Roman" w:cs="Times New Roman"/>
              <w:spacing w:val="10"/>
              <w:position w:val="2"/>
              <w:sz w:val="27"/>
              <w:szCs w:val="27"/>
            </w:rPr>
            <w:t xml:space="preserve">     </w:t>
          </w:r>
          <w:r>
            <w:rPr>
              <w:rFonts w:ascii="仿宋" w:hAnsi="仿宋" w:eastAsia="仿宋" w:cs="仿宋"/>
              <w:spacing w:val="2"/>
              <w:position w:val="2"/>
              <w:sz w:val="27"/>
              <w:szCs w:val="27"/>
            </w:rPr>
            <w:t>标准化工作报告</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11"/>
              <w:position w:val="2"/>
              <w:sz w:val="27"/>
              <w:szCs w:val="27"/>
            </w:rPr>
            <w:t>286</w:t>
          </w:r>
          <w:r>
            <w:rPr>
              <w:spacing w:val="-11"/>
              <w:position w:val="2"/>
              <w:sz w:val="27"/>
              <w:szCs w:val="27"/>
            </w:rPr>
            <w:fldChar w:fldCharType="end"/>
          </w:r>
        </w:p>
        <w:p w14:paraId="7FD1D1DC">
          <w:pPr>
            <w:pStyle w:val="2"/>
            <w:tabs>
              <w:tab w:val="right" w:leader="dot" w:pos="9352"/>
            </w:tabs>
            <w:spacing w:before="45" w:line="368" w:lineRule="exact"/>
            <w:ind w:left="529"/>
            <w:rPr>
              <w:sz w:val="27"/>
              <w:szCs w:val="27"/>
            </w:rPr>
          </w:pPr>
          <w:r>
            <w:fldChar w:fldCharType="begin"/>
          </w:r>
          <w:r>
            <w:instrText xml:space="preserve"> HYPERLINK \l "bookmark112" </w:instrText>
          </w:r>
          <w:r>
            <w:fldChar w:fldCharType="separate"/>
          </w:r>
          <w:r>
            <w:rPr>
              <w:rFonts w:ascii="Times New Roman" w:hAnsi="Times New Roman" w:eastAsia="Times New Roman" w:cs="Times New Roman"/>
              <w:spacing w:val="4"/>
              <w:position w:val="1"/>
              <w:sz w:val="27"/>
              <w:szCs w:val="27"/>
            </w:rPr>
            <w:t xml:space="preserve">4.3     </w:t>
          </w:r>
          <w:r>
            <w:rPr>
              <w:rFonts w:ascii="仿宋" w:hAnsi="仿宋" w:eastAsia="仿宋" w:cs="仿宋"/>
              <w:spacing w:val="4"/>
              <w:position w:val="1"/>
              <w:sz w:val="27"/>
              <w:szCs w:val="27"/>
            </w:rPr>
            <w:t>标准化审查报告</w:t>
          </w:r>
          <w:r>
            <w:rPr>
              <w:rFonts w:ascii="仿宋" w:hAnsi="仿宋" w:eastAsia="仿宋" w:cs="仿宋"/>
              <w:spacing w:val="-111"/>
              <w:position w:val="1"/>
              <w:sz w:val="27"/>
              <w:szCs w:val="27"/>
            </w:rPr>
            <w:t xml:space="preserve"> </w:t>
          </w:r>
          <w:r>
            <w:rPr>
              <w:rFonts w:ascii="仿宋" w:hAnsi="仿宋" w:eastAsia="仿宋" w:cs="仿宋"/>
              <w:position w:val="1"/>
              <w:sz w:val="27"/>
              <w:szCs w:val="27"/>
            </w:rPr>
            <w:tab/>
          </w:r>
          <w:r>
            <w:rPr>
              <w:spacing w:val="-9"/>
              <w:position w:val="1"/>
              <w:sz w:val="27"/>
              <w:szCs w:val="27"/>
            </w:rPr>
            <w:t>290</w:t>
          </w:r>
          <w:r>
            <w:rPr>
              <w:spacing w:val="-9"/>
              <w:position w:val="1"/>
              <w:sz w:val="27"/>
              <w:szCs w:val="27"/>
            </w:rPr>
            <w:fldChar w:fldCharType="end"/>
          </w:r>
        </w:p>
        <w:p w14:paraId="47800055">
          <w:pPr>
            <w:pStyle w:val="2"/>
            <w:tabs>
              <w:tab w:val="right" w:leader="dot" w:pos="9350"/>
            </w:tabs>
            <w:spacing w:before="72" w:line="368" w:lineRule="exact"/>
            <w:ind w:left="529"/>
            <w:rPr>
              <w:sz w:val="27"/>
              <w:szCs w:val="27"/>
            </w:rPr>
          </w:pPr>
          <w:r>
            <w:fldChar w:fldCharType="begin"/>
          </w:r>
          <w:r>
            <w:instrText xml:space="preserve"> HYPERLINK \l "bookmark113" </w:instrText>
          </w:r>
          <w:r>
            <w:fldChar w:fldCharType="separate"/>
          </w:r>
          <w:r>
            <w:rPr>
              <w:rFonts w:ascii="Times New Roman" w:hAnsi="Times New Roman" w:eastAsia="Times New Roman" w:cs="Times New Roman"/>
              <w:spacing w:val="7"/>
              <w:position w:val="1"/>
              <w:sz w:val="27"/>
              <w:szCs w:val="27"/>
            </w:rPr>
            <w:t xml:space="preserve">4.4     </w:t>
          </w:r>
          <w:r>
            <w:rPr>
              <w:rFonts w:ascii="仿宋" w:hAnsi="仿宋" w:eastAsia="仿宋" w:cs="仿宋"/>
              <w:spacing w:val="7"/>
              <w:position w:val="1"/>
              <w:sz w:val="27"/>
              <w:szCs w:val="27"/>
            </w:rPr>
            <w:t>工艺标准化大纲(工艺标准化综合要求)</w:t>
          </w:r>
          <w:r>
            <w:rPr>
              <w:rFonts w:ascii="仿宋" w:hAnsi="仿宋" w:eastAsia="仿宋" w:cs="仿宋"/>
              <w:position w:val="1"/>
              <w:sz w:val="27"/>
              <w:szCs w:val="27"/>
            </w:rPr>
            <w:tab/>
          </w:r>
          <w:r>
            <w:rPr>
              <w:rFonts w:ascii="仿宋" w:hAnsi="仿宋" w:eastAsia="仿宋" w:cs="仿宋"/>
              <w:spacing w:val="-73"/>
              <w:position w:val="1"/>
              <w:sz w:val="27"/>
              <w:szCs w:val="27"/>
            </w:rPr>
            <w:t xml:space="preserve"> </w:t>
          </w:r>
          <w:r>
            <w:rPr>
              <w:spacing w:val="-11"/>
              <w:position w:val="1"/>
              <w:sz w:val="27"/>
              <w:szCs w:val="27"/>
            </w:rPr>
            <w:t>293</w:t>
          </w:r>
          <w:r>
            <w:rPr>
              <w:spacing w:val="-11"/>
              <w:position w:val="1"/>
              <w:sz w:val="27"/>
              <w:szCs w:val="27"/>
            </w:rPr>
            <w:fldChar w:fldCharType="end"/>
          </w:r>
        </w:p>
        <w:p w14:paraId="3E3828FB">
          <w:pPr>
            <w:pStyle w:val="2"/>
            <w:tabs>
              <w:tab w:val="right" w:leader="dot" w:pos="9350"/>
            </w:tabs>
            <w:spacing w:before="19" w:line="368" w:lineRule="exact"/>
            <w:ind w:left="529"/>
            <w:rPr>
              <w:sz w:val="27"/>
              <w:szCs w:val="27"/>
            </w:rPr>
          </w:pPr>
          <w:r>
            <w:fldChar w:fldCharType="begin"/>
          </w:r>
          <w:r>
            <w:instrText xml:space="preserve"> HYPERLINK \l "bookmark114" </w:instrText>
          </w:r>
          <w:r>
            <w:fldChar w:fldCharType="separate"/>
          </w:r>
          <w:r>
            <w:rPr>
              <w:rFonts w:ascii="Times New Roman" w:hAnsi="Times New Roman" w:eastAsia="Times New Roman" w:cs="Times New Roman"/>
              <w:spacing w:val="-5"/>
              <w:position w:val="2"/>
              <w:sz w:val="27"/>
              <w:szCs w:val="27"/>
            </w:rPr>
            <w:t>4.5</w:t>
          </w:r>
          <w:r>
            <w:rPr>
              <w:rFonts w:ascii="Times New Roman" w:hAnsi="Times New Roman" w:eastAsia="Times New Roman" w:cs="Times New Roman"/>
              <w:spacing w:val="12"/>
              <w:position w:val="2"/>
              <w:sz w:val="27"/>
              <w:szCs w:val="27"/>
            </w:rPr>
            <w:t xml:space="preserve">     </w:t>
          </w:r>
          <w:r>
            <w:rPr>
              <w:rFonts w:ascii="仿宋" w:hAnsi="仿宋" w:eastAsia="仿宋" w:cs="仿宋"/>
              <w:spacing w:val="-5"/>
              <w:position w:val="2"/>
              <w:sz w:val="27"/>
              <w:szCs w:val="27"/>
            </w:rPr>
            <w:t>工艺标准化工作报告</w:t>
          </w:r>
          <w:r>
            <w:rPr>
              <w:rFonts w:ascii="仿宋" w:hAnsi="仿宋" w:eastAsia="仿宋" w:cs="仿宋"/>
              <w:spacing w:val="29"/>
              <w:position w:val="2"/>
              <w:sz w:val="27"/>
              <w:szCs w:val="27"/>
            </w:rPr>
            <w:t xml:space="preserve"> </w:t>
          </w:r>
          <w:r>
            <w:rPr>
              <w:rFonts w:ascii="仿宋" w:hAnsi="仿宋" w:eastAsia="仿宋" w:cs="仿宋"/>
              <w:position w:val="2"/>
              <w:sz w:val="27"/>
              <w:szCs w:val="27"/>
            </w:rPr>
            <w:tab/>
          </w:r>
          <w:r>
            <w:rPr>
              <w:position w:val="2"/>
              <w:sz w:val="27"/>
              <w:szCs w:val="27"/>
            </w:rPr>
            <w:t>296</w:t>
          </w:r>
          <w:r>
            <w:rPr>
              <w:position w:val="2"/>
              <w:sz w:val="27"/>
              <w:szCs w:val="27"/>
            </w:rPr>
            <w:fldChar w:fldCharType="end"/>
          </w:r>
        </w:p>
        <w:p w14:paraId="762CD6C0">
          <w:pPr>
            <w:pStyle w:val="2"/>
            <w:tabs>
              <w:tab w:val="right" w:leader="dot" w:pos="9350"/>
            </w:tabs>
            <w:spacing w:before="45" w:line="368" w:lineRule="exact"/>
            <w:ind w:left="529"/>
            <w:rPr>
              <w:sz w:val="27"/>
              <w:szCs w:val="27"/>
            </w:rPr>
          </w:pPr>
          <w:r>
            <w:fldChar w:fldCharType="begin"/>
          </w:r>
          <w:r>
            <w:instrText xml:space="preserve"> HYPERLINK \l "bookmark115" </w:instrText>
          </w:r>
          <w:r>
            <w:fldChar w:fldCharType="separate"/>
          </w:r>
          <w:r>
            <w:rPr>
              <w:rFonts w:ascii="Times New Roman" w:hAnsi="Times New Roman" w:eastAsia="Times New Roman" w:cs="Times New Roman"/>
              <w:spacing w:val="2"/>
              <w:position w:val="1"/>
              <w:sz w:val="27"/>
              <w:szCs w:val="27"/>
            </w:rPr>
            <w:t>4.6</w:t>
          </w:r>
          <w:r>
            <w:rPr>
              <w:rFonts w:ascii="Times New Roman" w:hAnsi="Times New Roman" w:eastAsia="Times New Roman" w:cs="Times New Roman"/>
              <w:spacing w:val="9"/>
              <w:position w:val="1"/>
              <w:sz w:val="27"/>
              <w:szCs w:val="27"/>
            </w:rPr>
            <w:t xml:space="preserve">     </w:t>
          </w:r>
          <w:r>
            <w:rPr>
              <w:rFonts w:ascii="仿宋" w:hAnsi="仿宋" w:eastAsia="仿宋" w:cs="仿宋"/>
              <w:spacing w:val="2"/>
              <w:position w:val="1"/>
              <w:sz w:val="27"/>
              <w:szCs w:val="27"/>
            </w:rPr>
            <w:t>工艺标准化审查报告</w:t>
          </w:r>
          <w:r>
            <w:rPr>
              <w:rFonts w:ascii="仿宋" w:hAnsi="仿宋" w:eastAsia="仿宋" w:cs="仿宋"/>
              <w:spacing w:val="-120"/>
              <w:position w:val="1"/>
              <w:sz w:val="27"/>
              <w:szCs w:val="27"/>
            </w:rPr>
            <w:t xml:space="preserve"> </w:t>
          </w:r>
          <w:r>
            <w:rPr>
              <w:rFonts w:ascii="仿宋" w:hAnsi="仿宋" w:eastAsia="仿宋" w:cs="仿宋"/>
              <w:position w:val="1"/>
              <w:sz w:val="27"/>
              <w:szCs w:val="27"/>
            </w:rPr>
            <w:tab/>
          </w:r>
          <w:r>
            <w:rPr>
              <w:spacing w:val="-12"/>
              <w:position w:val="1"/>
              <w:sz w:val="27"/>
              <w:szCs w:val="27"/>
            </w:rPr>
            <w:t>298</w:t>
          </w:r>
          <w:r>
            <w:rPr>
              <w:spacing w:val="-12"/>
              <w:position w:val="1"/>
              <w:sz w:val="27"/>
              <w:szCs w:val="27"/>
            </w:rPr>
            <w:fldChar w:fldCharType="end"/>
          </w:r>
        </w:p>
        <w:p w14:paraId="6C2538B7">
          <w:pPr>
            <w:pStyle w:val="2"/>
            <w:tabs>
              <w:tab w:val="right" w:leader="dot" w:pos="9369"/>
            </w:tabs>
            <w:spacing w:before="36" w:line="368" w:lineRule="exact"/>
            <w:rPr>
              <w:sz w:val="27"/>
              <w:szCs w:val="27"/>
            </w:rPr>
          </w:pPr>
          <w:r>
            <w:fldChar w:fldCharType="begin"/>
          </w:r>
          <w:r>
            <w:instrText xml:space="preserve"> HYPERLINK \l "bookmark116" </w:instrText>
          </w:r>
          <w:r>
            <w:fldChar w:fldCharType="separate"/>
          </w:r>
          <w:r>
            <w:rPr>
              <w:rFonts w:ascii="黑体" w:hAnsi="黑体" w:eastAsia="黑体" w:cs="黑体"/>
              <w:spacing w:val="-10"/>
              <w:position w:val="2"/>
              <w:sz w:val="24"/>
              <w:szCs w:val="24"/>
            </w:rPr>
            <w:t>第 5 章</w:t>
          </w:r>
          <w:r>
            <w:rPr>
              <w:rFonts w:ascii="黑体" w:hAnsi="黑体" w:eastAsia="黑体" w:cs="黑体"/>
              <w:spacing w:val="94"/>
              <w:position w:val="2"/>
              <w:sz w:val="24"/>
              <w:szCs w:val="24"/>
            </w:rPr>
            <w:t xml:space="preserve"> </w:t>
          </w:r>
          <w:r>
            <w:rPr>
              <w:rFonts w:ascii="黑体" w:hAnsi="黑体" w:eastAsia="黑体" w:cs="黑体"/>
              <w:spacing w:val="-10"/>
              <w:position w:val="2"/>
              <w:sz w:val="24"/>
              <w:szCs w:val="24"/>
            </w:rPr>
            <w:t>质 量</w:t>
          </w:r>
          <w:r>
            <w:rPr>
              <w:rFonts w:ascii="黑体" w:hAnsi="黑体" w:eastAsia="黑体" w:cs="黑体"/>
              <w:spacing w:val="-19"/>
              <w:position w:val="2"/>
              <w:sz w:val="24"/>
              <w:szCs w:val="24"/>
            </w:rPr>
            <w:t xml:space="preserve"> </w:t>
          </w:r>
          <w:r>
            <w:rPr>
              <w:rFonts w:ascii="黑体" w:hAnsi="黑体" w:eastAsia="黑体" w:cs="黑体"/>
              <w:spacing w:val="-10"/>
              <w:position w:val="2"/>
              <w:sz w:val="24"/>
              <w:szCs w:val="24"/>
            </w:rPr>
            <w:t>文</w:t>
          </w:r>
          <w:r>
            <w:rPr>
              <w:rFonts w:ascii="黑体" w:hAnsi="黑体" w:eastAsia="黑体" w:cs="黑体"/>
              <w:spacing w:val="-25"/>
              <w:position w:val="2"/>
              <w:sz w:val="24"/>
              <w:szCs w:val="24"/>
            </w:rPr>
            <w:t xml:space="preserve"> </w:t>
          </w:r>
          <w:r>
            <w:rPr>
              <w:rFonts w:ascii="黑体" w:hAnsi="黑体" w:eastAsia="黑体" w:cs="黑体"/>
              <w:spacing w:val="-10"/>
              <w:position w:val="2"/>
              <w:sz w:val="24"/>
              <w:szCs w:val="24"/>
            </w:rPr>
            <w:t>件</w:t>
          </w:r>
          <w:r>
            <w:rPr>
              <w:rFonts w:ascii="黑体" w:hAnsi="黑体" w:eastAsia="黑体" w:cs="黑体"/>
              <w:spacing w:val="-102"/>
              <w:position w:val="2"/>
              <w:sz w:val="24"/>
              <w:szCs w:val="24"/>
            </w:rPr>
            <w:t xml:space="preserve"> </w:t>
          </w:r>
          <w:r>
            <w:rPr>
              <w:rFonts w:ascii="黑体" w:hAnsi="黑体" w:eastAsia="黑体" w:cs="黑体"/>
              <w:position w:val="2"/>
              <w:sz w:val="24"/>
              <w:szCs w:val="24"/>
            </w:rPr>
            <w:tab/>
          </w:r>
          <w:r>
            <w:rPr>
              <w:spacing w:val="-5"/>
              <w:position w:val="2"/>
              <w:sz w:val="27"/>
              <w:szCs w:val="27"/>
            </w:rPr>
            <w:t>300</w:t>
          </w:r>
          <w:r>
            <w:rPr>
              <w:spacing w:val="-5"/>
              <w:position w:val="2"/>
              <w:sz w:val="27"/>
              <w:szCs w:val="27"/>
            </w:rPr>
            <w:fldChar w:fldCharType="end"/>
          </w:r>
        </w:p>
        <w:p w14:paraId="635E4BCD">
          <w:pPr>
            <w:pStyle w:val="2"/>
            <w:tabs>
              <w:tab w:val="right" w:leader="dot" w:pos="9350"/>
            </w:tabs>
            <w:spacing w:before="46" w:line="368" w:lineRule="exact"/>
            <w:ind w:left="529"/>
            <w:rPr>
              <w:sz w:val="27"/>
              <w:szCs w:val="27"/>
            </w:rPr>
          </w:pPr>
          <w:r>
            <w:fldChar w:fldCharType="begin"/>
          </w:r>
          <w:r>
            <w:instrText xml:space="preserve"> HYPERLINK \l "bookmark117" </w:instrText>
          </w:r>
          <w:r>
            <w:fldChar w:fldCharType="separate"/>
          </w:r>
          <w:r>
            <w:rPr>
              <w:rFonts w:ascii="Times New Roman" w:hAnsi="Times New Roman" w:eastAsia="Times New Roman" w:cs="Times New Roman"/>
              <w:spacing w:val="6"/>
              <w:position w:val="1"/>
              <w:sz w:val="27"/>
              <w:szCs w:val="27"/>
            </w:rPr>
            <w:t>5.1</w:t>
          </w:r>
          <w:r>
            <w:rPr>
              <w:rFonts w:ascii="Times New Roman" w:hAnsi="Times New Roman" w:eastAsia="Times New Roman" w:cs="Times New Roman"/>
              <w:spacing w:val="12"/>
              <w:position w:val="1"/>
              <w:sz w:val="27"/>
              <w:szCs w:val="27"/>
            </w:rPr>
            <w:t xml:space="preserve">     </w:t>
          </w:r>
          <w:r>
            <w:rPr>
              <w:rFonts w:ascii="仿宋" w:hAnsi="仿宋" w:eastAsia="仿宋" w:cs="仿宋"/>
              <w:spacing w:val="6"/>
              <w:position w:val="1"/>
              <w:sz w:val="27"/>
              <w:szCs w:val="27"/>
            </w:rPr>
            <w:t>质量保证大纲(质量计划)</w:t>
          </w:r>
          <w:r>
            <w:rPr>
              <w:rFonts w:ascii="仿宋" w:hAnsi="仿宋" w:eastAsia="仿宋" w:cs="仿宋"/>
              <w:position w:val="1"/>
              <w:sz w:val="27"/>
              <w:szCs w:val="27"/>
            </w:rPr>
            <w:tab/>
          </w:r>
          <w:r>
            <w:rPr>
              <w:spacing w:val="-11"/>
              <w:position w:val="1"/>
              <w:sz w:val="27"/>
              <w:szCs w:val="27"/>
            </w:rPr>
            <w:t>300</w:t>
          </w:r>
          <w:r>
            <w:rPr>
              <w:spacing w:val="-11"/>
              <w:position w:val="1"/>
              <w:sz w:val="27"/>
              <w:szCs w:val="27"/>
            </w:rPr>
            <w:fldChar w:fldCharType="end"/>
          </w:r>
        </w:p>
        <w:p w14:paraId="319A6BE9">
          <w:pPr>
            <w:pStyle w:val="2"/>
            <w:tabs>
              <w:tab w:val="right" w:leader="dot" w:pos="9369"/>
            </w:tabs>
            <w:spacing w:before="33" w:line="368" w:lineRule="exact"/>
            <w:ind w:left="529"/>
            <w:rPr>
              <w:sz w:val="27"/>
              <w:szCs w:val="27"/>
            </w:rPr>
          </w:pPr>
          <w:r>
            <w:fldChar w:fldCharType="begin"/>
          </w:r>
          <w:r>
            <w:instrText xml:space="preserve"> HYPERLINK \l "bookmark118" </w:instrText>
          </w:r>
          <w:r>
            <w:fldChar w:fldCharType="separate"/>
          </w:r>
          <w:r>
            <w:rPr>
              <w:rFonts w:ascii="Times New Roman" w:hAnsi="Times New Roman" w:eastAsia="Times New Roman" w:cs="Times New Roman"/>
              <w:spacing w:val="-5"/>
              <w:position w:val="1"/>
              <w:sz w:val="27"/>
              <w:szCs w:val="27"/>
            </w:rPr>
            <w:t>5.2</w:t>
          </w:r>
          <w:r>
            <w:rPr>
              <w:rFonts w:ascii="Times New Roman" w:hAnsi="Times New Roman" w:eastAsia="Times New Roman" w:cs="Times New Roman"/>
              <w:spacing w:val="12"/>
              <w:position w:val="1"/>
              <w:sz w:val="27"/>
              <w:szCs w:val="27"/>
            </w:rPr>
            <w:t xml:space="preserve">     </w:t>
          </w:r>
          <w:r>
            <w:rPr>
              <w:rFonts w:ascii="仿宋" w:hAnsi="仿宋" w:eastAsia="仿宋" w:cs="仿宋"/>
              <w:spacing w:val="-5"/>
              <w:position w:val="1"/>
              <w:sz w:val="27"/>
              <w:szCs w:val="27"/>
            </w:rPr>
            <w:t>质量分析报告</w:t>
          </w:r>
          <w:r>
            <w:rPr>
              <w:rFonts w:ascii="仿宋" w:hAnsi="仿宋" w:eastAsia="仿宋" w:cs="仿宋"/>
              <w:spacing w:val="54"/>
              <w:position w:val="1"/>
              <w:sz w:val="27"/>
              <w:szCs w:val="27"/>
            </w:rPr>
            <w:t xml:space="preserve"> </w:t>
          </w:r>
          <w:r>
            <w:rPr>
              <w:rFonts w:ascii="仿宋" w:hAnsi="仿宋" w:eastAsia="仿宋" w:cs="仿宋"/>
              <w:position w:val="1"/>
              <w:sz w:val="27"/>
              <w:szCs w:val="27"/>
            </w:rPr>
            <w:tab/>
          </w:r>
          <w:r>
            <w:rPr>
              <w:spacing w:val="-5"/>
              <w:position w:val="1"/>
              <w:sz w:val="27"/>
              <w:szCs w:val="27"/>
            </w:rPr>
            <w:t>308</w:t>
          </w:r>
          <w:r>
            <w:rPr>
              <w:spacing w:val="-5"/>
              <w:position w:val="1"/>
              <w:sz w:val="27"/>
              <w:szCs w:val="27"/>
            </w:rPr>
            <w:fldChar w:fldCharType="end"/>
          </w:r>
        </w:p>
        <w:p w14:paraId="027F2C97">
          <w:pPr>
            <w:pStyle w:val="2"/>
            <w:tabs>
              <w:tab w:val="right" w:leader="dot" w:pos="9352"/>
            </w:tabs>
            <w:spacing w:before="70" w:line="368" w:lineRule="exact"/>
            <w:ind w:left="529"/>
            <w:rPr>
              <w:sz w:val="27"/>
              <w:szCs w:val="27"/>
            </w:rPr>
          </w:pPr>
          <w:r>
            <w:fldChar w:fldCharType="begin"/>
          </w:r>
          <w:r>
            <w:instrText xml:space="preserve"> HYPERLINK \l "bookmark119" </w:instrText>
          </w:r>
          <w:r>
            <w:fldChar w:fldCharType="separate"/>
          </w:r>
          <w:r>
            <w:rPr>
              <w:rFonts w:ascii="Times New Roman" w:hAnsi="Times New Roman" w:eastAsia="Times New Roman" w:cs="Times New Roman"/>
              <w:spacing w:val="-4"/>
              <w:position w:val="2"/>
              <w:sz w:val="27"/>
              <w:szCs w:val="27"/>
            </w:rPr>
            <w:t xml:space="preserve">5.3     </w:t>
          </w:r>
          <w:r>
            <w:rPr>
              <w:rFonts w:ascii="仿宋" w:hAnsi="仿宋" w:eastAsia="仿宋" w:cs="仿宋"/>
              <w:spacing w:val="-4"/>
              <w:position w:val="2"/>
              <w:sz w:val="27"/>
              <w:szCs w:val="27"/>
            </w:rPr>
            <w:t>配套产品、原材料、元器件及检测设备的质量和定点供应情况</w:t>
          </w:r>
          <w:r>
            <w:rPr>
              <w:rFonts w:ascii="仿宋" w:hAnsi="仿宋" w:eastAsia="仿宋" w:cs="仿宋"/>
              <w:spacing w:val="28"/>
              <w:position w:val="2"/>
              <w:sz w:val="27"/>
              <w:szCs w:val="27"/>
            </w:rPr>
            <w:t xml:space="preserve"> </w:t>
          </w:r>
          <w:r>
            <w:rPr>
              <w:rFonts w:ascii="仿宋" w:hAnsi="仿宋" w:eastAsia="仿宋" w:cs="仿宋"/>
              <w:position w:val="2"/>
              <w:sz w:val="27"/>
              <w:szCs w:val="27"/>
            </w:rPr>
            <w:tab/>
          </w:r>
          <w:r>
            <w:rPr>
              <w:spacing w:val="-8"/>
              <w:position w:val="2"/>
              <w:sz w:val="27"/>
              <w:szCs w:val="27"/>
            </w:rPr>
            <w:t>312</w:t>
          </w:r>
          <w:r>
            <w:rPr>
              <w:spacing w:val="-8"/>
              <w:position w:val="2"/>
              <w:sz w:val="27"/>
              <w:szCs w:val="27"/>
            </w:rPr>
            <w:fldChar w:fldCharType="end"/>
          </w:r>
        </w:p>
        <w:p w14:paraId="48D9D9FD">
          <w:pPr>
            <w:pStyle w:val="2"/>
            <w:tabs>
              <w:tab w:val="right" w:leader="dot" w:pos="9359"/>
            </w:tabs>
            <w:spacing w:before="15" w:line="368" w:lineRule="exact"/>
            <w:ind w:left="529"/>
            <w:rPr>
              <w:sz w:val="27"/>
              <w:szCs w:val="27"/>
            </w:rPr>
          </w:pPr>
          <w:r>
            <w:fldChar w:fldCharType="begin"/>
          </w:r>
          <w:r>
            <w:instrText xml:space="preserve"> HYPERLINK \l "bookmark120" </w:instrText>
          </w:r>
          <w:r>
            <w:fldChar w:fldCharType="separate"/>
          </w:r>
          <w:r>
            <w:rPr>
              <w:rFonts w:ascii="Times New Roman" w:hAnsi="Times New Roman" w:eastAsia="Times New Roman" w:cs="Times New Roman"/>
              <w:spacing w:val="1"/>
              <w:position w:val="1"/>
              <w:sz w:val="27"/>
              <w:szCs w:val="27"/>
            </w:rPr>
            <w:t>5.4</w:t>
          </w:r>
          <w:r>
            <w:rPr>
              <w:rFonts w:ascii="Times New Roman" w:hAnsi="Times New Roman" w:eastAsia="Times New Roman" w:cs="Times New Roman"/>
              <w:spacing w:val="12"/>
              <w:position w:val="1"/>
              <w:sz w:val="27"/>
              <w:szCs w:val="27"/>
            </w:rPr>
            <w:t xml:space="preserve">     </w:t>
          </w:r>
          <w:r>
            <w:rPr>
              <w:rFonts w:ascii="仿宋" w:hAnsi="仿宋" w:eastAsia="仿宋" w:cs="仿宋"/>
              <w:spacing w:val="1"/>
              <w:position w:val="1"/>
              <w:sz w:val="27"/>
              <w:szCs w:val="27"/>
            </w:rPr>
            <w:t>质量管理报告</w:t>
          </w:r>
          <w:r>
            <w:rPr>
              <w:rFonts w:ascii="仿宋" w:hAnsi="仿宋" w:eastAsia="仿宋" w:cs="仿宋"/>
              <w:spacing w:val="-120"/>
              <w:position w:val="1"/>
              <w:sz w:val="27"/>
              <w:szCs w:val="27"/>
            </w:rPr>
            <w:t xml:space="preserve"> </w:t>
          </w:r>
          <w:r>
            <w:rPr>
              <w:rFonts w:ascii="仿宋" w:hAnsi="仿宋" w:eastAsia="仿宋" w:cs="仿宋"/>
              <w:position w:val="1"/>
              <w:sz w:val="27"/>
              <w:szCs w:val="27"/>
            </w:rPr>
            <w:tab/>
          </w:r>
          <w:r>
            <w:rPr>
              <w:spacing w:val="-3"/>
              <w:position w:val="1"/>
              <w:sz w:val="27"/>
              <w:szCs w:val="27"/>
            </w:rPr>
            <w:t>313</w:t>
          </w:r>
          <w:r>
            <w:rPr>
              <w:spacing w:val="-3"/>
              <w:position w:val="1"/>
              <w:sz w:val="27"/>
              <w:szCs w:val="27"/>
            </w:rPr>
            <w:fldChar w:fldCharType="end"/>
          </w:r>
        </w:p>
        <w:p w14:paraId="09B19885">
          <w:pPr>
            <w:pStyle w:val="2"/>
            <w:tabs>
              <w:tab w:val="right" w:leader="dot" w:pos="9350"/>
            </w:tabs>
            <w:spacing w:before="56" w:line="368" w:lineRule="exact"/>
            <w:rPr>
              <w:sz w:val="27"/>
              <w:szCs w:val="27"/>
            </w:rPr>
          </w:pPr>
          <w:r>
            <w:fldChar w:fldCharType="begin"/>
          </w:r>
          <w:r>
            <w:instrText xml:space="preserve"> HYPERLINK \l "bookmark121" </w:instrText>
          </w:r>
          <w:r>
            <w:fldChar w:fldCharType="separate"/>
          </w:r>
          <w:r>
            <w:rPr>
              <w:rFonts w:ascii="黑体" w:hAnsi="黑体" w:eastAsia="黑体" w:cs="黑体"/>
              <w:spacing w:val="-11"/>
              <w:position w:val="2"/>
              <w:sz w:val="24"/>
              <w:szCs w:val="24"/>
            </w:rPr>
            <w:t>第 6 章</w:t>
          </w:r>
          <w:r>
            <w:rPr>
              <w:rFonts w:ascii="黑体" w:hAnsi="黑体" w:eastAsia="黑体" w:cs="黑体"/>
              <w:spacing w:val="79"/>
              <w:position w:val="2"/>
              <w:sz w:val="24"/>
              <w:szCs w:val="24"/>
            </w:rPr>
            <w:t xml:space="preserve"> </w:t>
          </w:r>
          <w:r>
            <w:rPr>
              <w:rFonts w:ascii="黑体" w:hAnsi="黑体" w:eastAsia="黑体" w:cs="黑体"/>
              <w:spacing w:val="-11"/>
              <w:position w:val="2"/>
              <w:sz w:val="24"/>
              <w:szCs w:val="24"/>
            </w:rPr>
            <w:t>风</w:t>
          </w:r>
          <w:r>
            <w:rPr>
              <w:rFonts w:ascii="黑体" w:hAnsi="黑体" w:eastAsia="黑体" w:cs="黑体"/>
              <w:spacing w:val="-32"/>
              <w:position w:val="2"/>
              <w:sz w:val="24"/>
              <w:szCs w:val="24"/>
            </w:rPr>
            <w:t xml:space="preserve"> </w:t>
          </w:r>
          <w:r>
            <w:rPr>
              <w:rFonts w:ascii="黑体" w:hAnsi="黑体" w:eastAsia="黑体" w:cs="黑体"/>
              <w:spacing w:val="-11"/>
              <w:position w:val="2"/>
              <w:sz w:val="24"/>
              <w:szCs w:val="24"/>
            </w:rPr>
            <w:t>险</w:t>
          </w:r>
          <w:r>
            <w:rPr>
              <w:rFonts w:ascii="黑体" w:hAnsi="黑体" w:eastAsia="黑体" w:cs="黑体"/>
              <w:spacing w:val="-40"/>
              <w:position w:val="2"/>
              <w:sz w:val="24"/>
              <w:szCs w:val="24"/>
            </w:rPr>
            <w:t xml:space="preserve"> </w:t>
          </w:r>
          <w:r>
            <w:rPr>
              <w:rFonts w:ascii="黑体" w:hAnsi="黑体" w:eastAsia="黑体" w:cs="黑体"/>
              <w:spacing w:val="-11"/>
              <w:position w:val="2"/>
              <w:sz w:val="24"/>
              <w:szCs w:val="24"/>
            </w:rPr>
            <w:t>管</w:t>
          </w:r>
          <w:r>
            <w:rPr>
              <w:rFonts w:ascii="黑体" w:hAnsi="黑体" w:eastAsia="黑体" w:cs="黑体"/>
              <w:spacing w:val="-43"/>
              <w:position w:val="2"/>
              <w:sz w:val="24"/>
              <w:szCs w:val="24"/>
            </w:rPr>
            <w:t xml:space="preserve"> </w:t>
          </w:r>
          <w:r>
            <w:rPr>
              <w:rFonts w:ascii="黑体" w:hAnsi="黑体" w:eastAsia="黑体" w:cs="黑体"/>
              <w:spacing w:val="-11"/>
              <w:position w:val="2"/>
              <w:sz w:val="24"/>
              <w:szCs w:val="24"/>
            </w:rPr>
            <w:t>理</w:t>
          </w:r>
          <w:r>
            <w:rPr>
              <w:rFonts w:ascii="黑体" w:hAnsi="黑体" w:eastAsia="黑体" w:cs="黑体"/>
              <w:spacing w:val="-39"/>
              <w:position w:val="2"/>
              <w:sz w:val="24"/>
              <w:szCs w:val="24"/>
            </w:rPr>
            <w:t xml:space="preserve"> </w:t>
          </w:r>
          <w:r>
            <w:rPr>
              <w:rFonts w:ascii="黑体" w:hAnsi="黑体" w:eastAsia="黑体" w:cs="黑体"/>
              <w:spacing w:val="-11"/>
              <w:position w:val="2"/>
              <w:sz w:val="24"/>
              <w:szCs w:val="24"/>
            </w:rPr>
            <w:t>文</w:t>
          </w:r>
          <w:r>
            <w:rPr>
              <w:rFonts w:ascii="黑体" w:hAnsi="黑体" w:eastAsia="黑体" w:cs="黑体"/>
              <w:spacing w:val="-44"/>
              <w:position w:val="2"/>
              <w:sz w:val="24"/>
              <w:szCs w:val="24"/>
            </w:rPr>
            <w:t xml:space="preserve"> </w:t>
          </w:r>
          <w:r>
            <w:rPr>
              <w:rFonts w:ascii="黑体" w:hAnsi="黑体" w:eastAsia="黑体" w:cs="黑体"/>
              <w:spacing w:val="-11"/>
              <w:position w:val="2"/>
              <w:sz w:val="24"/>
              <w:szCs w:val="24"/>
            </w:rPr>
            <w:t>件</w:t>
          </w:r>
          <w:r>
            <w:rPr>
              <w:rFonts w:ascii="黑体" w:hAnsi="黑体" w:eastAsia="黑体" w:cs="黑体"/>
              <w:spacing w:val="-102"/>
              <w:position w:val="2"/>
              <w:sz w:val="24"/>
              <w:szCs w:val="24"/>
            </w:rPr>
            <w:t xml:space="preserve"> </w:t>
          </w:r>
          <w:r>
            <w:rPr>
              <w:rFonts w:ascii="黑体" w:hAnsi="黑体" w:eastAsia="黑体" w:cs="黑体"/>
              <w:position w:val="2"/>
              <w:sz w:val="24"/>
              <w:szCs w:val="24"/>
            </w:rPr>
            <w:tab/>
          </w:r>
          <w:r>
            <w:rPr>
              <w:spacing w:val="-9"/>
              <w:position w:val="2"/>
              <w:sz w:val="27"/>
              <w:szCs w:val="27"/>
            </w:rPr>
            <w:t>318</w:t>
          </w:r>
          <w:r>
            <w:rPr>
              <w:spacing w:val="-9"/>
              <w:position w:val="2"/>
              <w:sz w:val="27"/>
              <w:szCs w:val="27"/>
            </w:rPr>
            <w:fldChar w:fldCharType="end"/>
          </w:r>
        </w:p>
        <w:p w14:paraId="568FA2AB">
          <w:pPr>
            <w:pStyle w:val="2"/>
            <w:tabs>
              <w:tab w:val="right" w:leader="dot" w:pos="9350"/>
            </w:tabs>
            <w:spacing w:before="28" w:line="368" w:lineRule="exact"/>
            <w:ind w:left="529"/>
            <w:rPr>
              <w:sz w:val="27"/>
              <w:szCs w:val="27"/>
            </w:rPr>
          </w:pPr>
          <w:r>
            <w:fldChar w:fldCharType="begin"/>
          </w:r>
          <w:r>
            <w:instrText xml:space="preserve"> HYPERLINK \l "bookmark122" </w:instrText>
          </w:r>
          <w:r>
            <w:fldChar w:fldCharType="separate"/>
          </w:r>
          <w:r>
            <w:rPr>
              <w:rFonts w:ascii="Times New Roman" w:hAnsi="Times New Roman" w:eastAsia="Times New Roman" w:cs="Times New Roman"/>
              <w:spacing w:val="3"/>
              <w:position w:val="1"/>
              <w:sz w:val="27"/>
              <w:szCs w:val="27"/>
            </w:rPr>
            <w:t>6.1</w:t>
          </w:r>
          <w:r>
            <w:rPr>
              <w:rFonts w:ascii="Times New Roman" w:hAnsi="Times New Roman" w:eastAsia="Times New Roman" w:cs="Times New Roman"/>
              <w:spacing w:val="8"/>
              <w:position w:val="1"/>
              <w:sz w:val="27"/>
              <w:szCs w:val="27"/>
            </w:rPr>
            <w:t xml:space="preserve">     </w:t>
          </w:r>
          <w:r>
            <w:rPr>
              <w:rFonts w:ascii="仿宋" w:hAnsi="仿宋" w:eastAsia="仿宋" w:cs="仿宋"/>
              <w:spacing w:val="3"/>
              <w:position w:val="1"/>
              <w:sz w:val="27"/>
              <w:szCs w:val="27"/>
            </w:rPr>
            <w:t>风险管理计划</w:t>
          </w:r>
          <w:r>
            <w:rPr>
              <w:rFonts w:ascii="仿宋" w:hAnsi="仿宋" w:eastAsia="仿宋" w:cs="仿宋"/>
              <w:position w:val="1"/>
              <w:sz w:val="27"/>
              <w:szCs w:val="27"/>
            </w:rPr>
            <w:tab/>
          </w:r>
          <w:r>
            <w:rPr>
              <w:spacing w:val="-9"/>
              <w:position w:val="1"/>
              <w:sz w:val="27"/>
              <w:szCs w:val="27"/>
            </w:rPr>
            <w:t>318</w:t>
          </w:r>
          <w:r>
            <w:rPr>
              <w:spacing w:val="-9"/>
              <w:position w:val="1"/>
              <w:sz w:val="27"/>
              <w:szCs w:val="27"/>
            </w:rPr>
            <w:fldChar w:fldCharType="end"/>
          </w:r>
        </w:p>
        <w:p w14:paraId="061827A5">
          <w:pPr>
            <w:pStyle w:val="2"/>
            <w:tabs>
              <w:tab w:val="right" w:leader="dot" w:pos="9350"/>
            </w:tabs>
            <w:spacing w:before="31" w:line="368" w:lineRule="exact"/>
            <w:ind w:left="529"/>
            <w:rPr>
              <w:sz w:val="27"/>
              <w:szCs w:val="27"/>
            </w:rPr>
          </w:pPr>
          <w:r>
            <w:fldChar w:fldCharType="begin"/>
          </w:r>
          <w:r>
            <w:instrText xml:space="preserve"> HYPERLINK \l "bookmark123" </w:instrText>
          </w:r>
          <w:r>
            <w:fldChar w:fldCharType="separate"/>
          </w:r>
          <w:r>
            <w:rPr>
              <w:rFonts w:ascii="Times New Roman" w:hAnsi="Times New Roman" w:eastAsia="Times New Roman" w:cs="Times New Roman"/>
              <w:spacing w:val="-4"/>
              <w:position w:val="1"/>
              <w:sz w:val="27"/>
              <w:szCs w:val="27"/>
            </w:rPr>
            <w:t>6.2</w:t>
          </w:r>
          <w:r>
            <w:rPr>
              <w:rFonts w:ascii="Times New Roman" w:hAnsi="Times New Roman" w:eastAsia="Times New Roman" w:cs="Times New Roman"/>
              <w:spacing w:val="8"/>
              <w:position w:val="1"/>
              <w:sz w:val="27"/>
              <w:szCs w:val="27"/>
            </w:rPr>
            <w:t xml:space="preserve">     </w:t>
          </w:r>
          <w:r>
            <w:rPr>
              <w:rFonts w:ascii="仿宋" w:hAnsi="仿宋" w:eastAsia="仿宋" w:cs="仿宋"/>
              <w:spacing w:val="-4"/>
              <w:position w:val="1"/>
              <w:sz w:val="27"/>
              <w:szCs w:val="27"/>
            </w:rPr>
            <w:t>风险分析报告</w:t>
          </w:r>
          <w:r>
            <w:rPr>
              <w:rFonts w:ascii="仿宋" w:hAnsi="仿宋" w:eastAsia="仿宋" w:cs="仿宋"/>
              <w:spacing w:val="35"/>
              <w:position w:val="1"/>
              <w:sz w:val="27"/>
              <w:szCs w:val="27"/>
            </w:rPr>
            <w:t xml:space="preserve"> </w:t>
          </w:r>
          <w:r>
            <w:rPr>
              <w:rFonts w:ascii="仿宋" w:hAnsi="仿宋" w:eastAsia="仿宋" w:cs="仿宋"/>
              <w:position w:val="1"/>
              <w:sz w:val="27"/>
              <w:szCs w:val="27"/>
            </w:rPr>
            <w:tab/>
          </w:r>
          <w:r>
            <w:rPr>
              <w:spacing w:val="-2"/>
              <w:position w:val="1"/>
              <w:sz w:val="27"/>
              <w:szCs w:val="27"/>
            </w:rPr>
            <w:t>320</w:t>
          </w:r>
          <w:r>
            <w:rPr>
              <w:spacing w:val="-2"/>
              <w:position w:val="1"/>
              <w:sz w:val="27"/>
              <w:szCs w:val="27"/>
            </w:rPr>
            <w:fldChar w:fldCharType="end"/>
          </w:r>
        </w:p>
        <w:p w14:paraId="52659DCB">
          <w:pPr>
            <w:pStyle w:val="2"/>
            <w:tabs>
              <w:tab w:val="right" w:leader="dot" w:pos="9369"/>
            </w:tabs>
            <w:spacing w:before="50" w:line="368" w:lineRule="exact"/>
            <w:ind w:left="529"/>
            <w:rPr>
              <w:sz w:val="27"/>
              <w:szCs w:val="27"/>
            </w:rPr>
          </w:pPr>
          <w:r>
            <w:fldChar w:fldCharType="begin"/>
          </w:r>
          <w:r>
            <w:instrText xml:space="preserve"> HYPERLINK \l "bookmark124" </w:instrText>
          </w:r>
          <w:r>
            <w:fldChar w:fldCharType="separate"/>
          </w:r>
          <w:r>
            <w:rPr>
              <w:rFonts w:ascii="Times New Roman" w:hAnsi="Times New Roman" w:eastAsia="Times New Roman" w:cs="Times New Roman"/>
              <w:spacing w:val="3"/>
              <w:position w:val="2"/>
              <w:sz w:val="27"/>
              <w:szCs w:val="27"/>
            </w:rPr>
            <w:t>6.3</w:t>
          </w:r>
          <w:r>
            <w:rPr>
              <w:rFonts w:ascii="Times New Roman" w:hAnsi="Times New Roman" w:eastAsia="Times New Roman" w:cs="Times New Roman"/>
              <w:spacing w:val="11"/>
              <w:position w:val="2"/>
              <w:sz w:val="27"/>
              <w:szCs w:val="27"/>
            </w:rPr>
            <w:t xml:space="preserve">     </w:t>
          </w:r>
          <w:r>
            <w:rPr>
              <w:rFonts w:ascii="仿宋" w:hAnsi="仿宋" w:eastAsia="仿宋" w:cs="仿宋"/>
              <w:spacing w:val="3"/>
              <w:position w:val="2"/>
              <w:sz w:val="27"/>
              <w:szCs w:val="27"/>
            </w:rPr>
            <w:t>技术成熟度评价工作计划</w:t>
          </w:r>
          <w:r>
            <w:rPr>
              <w:rFonts w:ascii="仿宋" w:hAnsi="仿宋" w:eastAsia="仿宋" w:cs="仿宋"/>
              <w:position w:val="2"/>
              <w:sz w:val="27"/>
              <w:szCs w:val="27"/>
            </w:rPr>
            <w:tab/>
          </w:r>
          <w:r>
            <w:rPr>
              <w:spacing w:val="-3"/>
              <w:position w:val="2"/>
              <w:sz w:val="27"/>
              <w:szCs w:val="27"/>
            </w:rPr>
            <w:t>326</w:t>
          </w:r>
          <w:r>
            <w:rPr>
              <w:spacing w:val="-3"/>
              <w:position w:val="2"/>
              <w:sz w:val="27"/>
              <w:szCs w:val="27"/>
            </w:rPr>
            <w:fldChar w:fldCharType="end"/>
          </w:r>
        </w:p>
        <w:p w14:paraId="5BDF598D">
          <w:pPr>
            <w:pStyle w:val="2"/>
            <w:tabs>
              <w:tab w:val="right" w:leader="dot" w:pos="9350"/>
            </w:tabs>
            <w:spacing w:before="53" w:line="368" w:lineRule="exact"/>
            <w:ind w:left="529"/>
            <w:rPr>
              <w:sz w:val="27"/>
              <w:szCs w:val="27"/>
            </w:rPr>
          </w:pPr>
          <w:r>
            <w:fldChar w:fldCharType="begin"/>
          </w:r>
          <w:r>
            <w:instrText xml:space="preserve"> HYPERLINK \l "bookmark125" </w:instrText>
          </w:r>
          <w:r>
            <w:fldChar w:fldCharType="separate"/>
          </w:r>
          <w:r>
            <w:rPr>
              <w:rFonts w:ascii="Times New Roman" w:hAnsi="Times New Roman" w:eastAsia="Times New Roman" w:cs="Times New Roman"/>
              <w:spacing w:val="2"/>
              <w:position w:val="1"/>
              <w:sz w:val="27"/>
              <w:szCs w:val="27"/>
            </w:rPr>
            <w:t>6.4</w:t>
          </w:r>
          <w:r>
            <w:rPr>
              <w:rFonts w:ascii="Times New Roman" w:hAnsi="Times New Roman" w:eastAsia="Times New Roman" w:cs="Times New Roman"/>
              <w:spacing w:val="9"/>
              <w:position w:val="1"/>
              <w:sz w:val="27"/>
              <w:szCs w:val="27"/>
            </w:rPr>
            <w:t xml:space="preserve">     </w:t>
          </w:r>
          <w:r>
            <w:rPr>
              <w:rFonts w:ascii="仿宋" w:hAnsi="仿宋" w:eastAsia="仿宋" w:cs="仿宋"/>
              <w:spacing w:val="2"/>
              <w:position w:val="1"/>
              <w:sz w:val="27"/>
              <w:szCs w:val="27"/>
            </w:rPr>
            <w:t>关键技术元素(初始候选)清单</w:t>
          </w:r>
          <w:r>
            <w:rPr>
              <w:rFonts w:ascii="仿宋" w:hAnsi="仿宋" w:eastAsia="仿宋" w:cs="仿宋"/>
              <w:spacing w:val="-120"/>
              <w:position w:val="1"/>
              <w:sz w:val="27"/>
              <w:szCs w:val="27"/>
            </w:rPr>
            <w:t xml:space="preserve"> </w:t>
          </w:r>
          <w:r>
            <w:rPr>
              <w:rFonts w:ascii="仿宋" w:hAnsi="仿宋" w:eastAsia="仿宋" w:cs="仿宋"/>
              <w:position w:val="1"/>
              <w:sz w:val="27"/>
              <w:szCs w:val="27"/>
            </w:rPr>
            <w:tab/>
          </w:r>
          <w:r>
            <w:rPr>
              <w:spacing w:val="-9"/>
              <w:position w:val="1"/>
              <w:sz w:val="27"/>
              <w:szCs w:val="27"/>
            </w:rPr>
            <w:t>327</w:t>
          </w:r>
          <w:r>
            <w:rPr>
              <w:spacing w:val="-9"/>
              <w:position w:val="1"/>
              <w:sz w:val="27"/>
              <w:szCs w:val="27"/>
            </w:rPr>
            <w:fldChar w:fldCharType="end"/>
          </w:r>
        </w:p>
        <w:p w14:paraId="6D294AE1">
          <w:pPr>
            <w:pStyle w:val="2"/>
            <w:tabs>
              <w:tab w:val="right" w:leader="dot" w:pos="9369"/>
            </w:tabs>
            <w:spacing w:before="24" w:line="368" w:lineRule="exact"/>
            <w:ind w:left="529"/>
            <w:rPr>
              <w:sz w:val="27"/>
              <w:szCs w:val="27"/>
            </w:rPr>
          </w:pPr>
          <w:r>
            <w:fldChar w:fldCharType="begin"/>
          </w:r>
          <w:r>
            <w:instrText xml:space="preserve"> HYPERLINK \l "bookmark126" </w:instrText>
          </w:r>
          <w:r>
            <w:fldChar w:fldCharType="separate"/>
          </w:r>
          <w:r>
            <w:rPr>
              <w:rFonts w:ascii="Times New Roman" w:hAnsi="Times New Roman" w:eastAsia="Times New Roman" w:cs="Times New Roman"/>
              <w:spacing w:val="-1"/>
              <w:position w:val="1"/>
              <w:sz w:val="27"/>
              <w:szCs w:val="27"/>
            </w:rPr>
            <w:t>6.5</w:t>
          </w:r>
          <w:r>
            <w:rPr>
              <w:rFonts w:ascii="Times New Roman" w:hAnsi="Times New Roman" w:eastAsia="Times New Roman" w:cs="Times New Roman"/>
              <w:spacing w:val="7"/>
              <w:position w:val="1"/>
              <w:sz w:val="27"/>
              <w:szCs w:val="27"/>
            </w:rPr>
            <w:t xml:space="preserve">     </w:t>
          </w:r>
          <w:r>
            <w:rPr>
              <w:rFonts w:ascii="仿宋" w:hAnsi="仿宋" w:eastAsia="仿宋" w:cs="仿宋"/>
              <w:spacing w:val="-1"/>
              <w:position w:val="1"/>
              <w:sz w:val="27"/>
              <w:szCs w:val="27"/>
            </w:rPr>
            <w:t>技术成熟度评价报告</w:t>
          </w:r>
          <w:r>
            <w:rPr>
              <w:rFonts w:ascii="仿宋" w:hAnsi="仿宋" w:eastAsia="仿宋" w:cs="仿宋"/>
              <w:spacing w:val="36"/>
              <w:position w:val="1"/>
              <w:sz w:val="27"/>
              <w:szCs w:val="27"/>
            </w:rPr>
            <w:t xml:space="preserve"> </w:t>
          </w:r>
          <w:r>
            <w:rPr>
              <w:rFonts w:ascii="仿宋" w:hAnsi="仿宋" w:eastAsia="仿宋" w:cs="仿宋"/>
              <w:position w:val="1"/>
              <w:sz w:val="27"/>
              <w:szCs w:val="27"/>
            </w:rPr>
            <w:tab/>
          </w:r>
          <w:r>
            <w:rPr>
              <w:spacing w:val="-3"/>
              <w:position w:val="1"/>
              <w:sz w:val="27"/>
              <w:szCs w:val="27"/>
            </w:rPr>
            <w:t>329</w:t>
          </w:r>
          <w:r>
            <w:rPr>
              <w:spacing w:val="-3"/>
              <w:position w:val="1"/>
              <w:sz w:val="27"/>
              <w:szCs w:val="27"/>
            </w:rPr>
            <w:fldChar w:fldCharType="end"/>
          </w:r>
        </w:p>
        <w:p w14:paraId="386685AC">
          <w:pPr>
            <w:pStyle w:val="2"/>
            <w:tabs>
              <w:tab w:val="right" w:leader="dot" w:pos="9359"/>
            </w:tabs>
            <w:spacing w:before="42" w:line="368" w:lineRule="exact"/>
            <w:ind w:left="529"/>
            <w:rPr>
              <w:sz w:val="27"/>
              <w:szCs w:val="27"/>
            </w:rPr>
          </w:pPr>
          <w:r>
            <w:fldChar w:fldCharType="begin"/>
          </w:r>
          <w:r>
            <w:instrText xml:space="preserve"> HYPERLINK \l "bookmark127" </w:instrText>
          </w:r>
          <w:r>
            <w:fldChar w:fldCharType="separate"/>
          </w:r>
          <w:r>
            <w:rPr>
              <w:rFonts w:ascii="Times New Roman" w:hAnsi="Times New Roman" w:eastAsia="Times New Roman" w:cs="Times New Roman"/>
              <w:spacing w:val="-1"/>
              <w:position w:val="1"/>
              <w:sz w:val="27"/>
              <w:szCs w:val="27"/>
            </w:rPr>
            <w:t>6.6</w:t>
          </w:r>
          <w:r>
            <w:rPr>
              <w:rFonts w:ascii="Times New Roman" w:hAnsi="Times New Roman" w:eastAsia="Times New Roman" w:cs="Times New Roman"/>
              <w:spacing w:val="11"/>
              <w:position w:val="1"/>
              <w:sz w:val="27"/>
              <w:szCs w:val="27"/>
            </w:rPr>
            <w:t xml:space="preserve">     </w:t>
          </w:r>
          <w:r>
            <w:rPr>
              <w:rFonts w:ascii="仿宋" w:hAnsi="仿宋" w:eastAsia="仿宋" w:cs="仿宋"/>
              <w:spacing w:val="-1"/>
              <w:position w:val="1"/>
              <w:sz w:val="27"/>
              <w:szCs w:val="27"/>
            </w:rPr>
            <w:t>技术成熟计划</w:t>
          </w:r>
          <w:r>
            <w:rPr>
              <w:rFonts w:ascii="仿宋" w:hAnsi="仿宋" w:eastAsia="仿宋" w:cs="仿宋"/>
              <w:position w:val="1"/>
              <w:sz w:val="27"/>
              <w:szCs w:val="27"/>
            </w:rPr>
            <w:tab/>
          </w:r>
          <w:r>
            <w:rPr>
              <w:spacing w:val="-3"/>
              <w:position w:val="1"/>
              <w:sz w:val="27"/>
              <w:szCs w:val="27"/>
            </w:rPr>
            <w:t>332</w:t>
          </w:r>
          <w:r>
            <w:rPr>
              <w:spacing w:val="-3"/>
              <w:position w:val="1"/>
              <w:sz w:val="27"/>
              <w:szCs w:val="27"/>
            </w:rPr>
            <w:fldChar w:fldCharType="end"/>
          </w:r>
        </w:p>
        <w:p w14:paraId="0BE80681">
          <w:pPr>
            <w:pStyle w:val="2"/>
            <w:tabs>
              <w:tab w:val="right" w:leader="dot" w:pos="9350"/>
            </w:tabs>
            <w:spacing w:before="56" w:line="368" w:lineRule="exact"/>
            <w:rPr>
              <w:sz w:val="27"/>
              <w:szCs w:val="27"/>
            </w:rPr>
          </w:pPr>
          <w:r>
            <w:fldChar w:fldCharType="begin"/>
          </w:r>
          <w:r>
            <w:instrText xml:space="preserve"> HYPERLINK \l "bookmark128" </w:instrText>
          </w:r>
          <w:r>
            <w:fldChar w:fldCharType="separate"/>
          </w:r>
          <w:r>
            <w:rPr>
              <w:rFonts w:ascii="黑体" w:hAnsi="黑体" w:eastAsia="黑体" w:cs="黑体"/>
              <w:spacing w:val="-10"/>
              <w:position w:val="2"/>
              <w:sz w:val="24"/>
              <w:szCs w:val="24"/>
            </w:rPr>
            <w:t>第 7 章</w:t>
          </w:r>
          <w:r>
            <w:rPr>
              <w:rFonts w:ascii="黑体" w:hAnsi="黑体" w:eastAsia="黑体" w:cs="黑体"/>
              <w:spacing w:val="82"/>
              <w:position w:val="2"/>
              <w:sz w:val="24"/>
              <w:szCs w:val="24"/>
            </w:rPr>
            <w:t xml:space="preserve"> </w:t>
          </w:r>
          <w:r>
            <w:rPr>
              <w:rFonts w:ascii="黑体" w:hAnsi="黑体" w:eastAsia="黑体" w:cs="黑体"/>
              <w:spacing w:val="-10"/>
              <w:position w:val="2"/>
              <w:sz w:val="24"/>
              <w:szCs w:val="24"/>
            </w:rPr>
            <w:t>可</w:t>
          </w:r>
          <w:r>
            <w:rPr>
              <w:rFonts w:ascii="黑体" w:hAnsi="黑体" w:eastAsia="黑体" w:cs="黑体"/>
              <w:spacing w:val="-30"/>
              <w:position w:val="2"/>
              <w:sz w:val="24"/>
              <w:szCs w:val="24"/>
            </w:rPr>
            <w:t xml:space="preserve"> </w:t>
          </w:r>
          <w:r>
            <w:rPr>
              <w:rFonts w:ascii="黑体" w:hAnsi="黑体" w:eastAsia="黑体" w:cs="黑体"/>
              <w:spacing w:val="-10"/>
              <w:position w:val="2"/>
              <w:sz w:val="24"/>
              <w:szCs w:val="24"/>
            </w:rPr>
            <w:t>靠</w:t>
          </w:r>
          <w:r>
            <w:rPr>
              <w:rFonts w:ascii="黑体" w:hAnsi="黑体" w:eastAsia="黑体" w:cs="黑体"/>
              <w:spacing w:val="-34"/>
              <w:position w:val="2"/>
              <w:sz w:val="24"/>
              <w:szCs w:val="24"/>
            </w:rPr>
            <w:t xml:space="preserve"> </w:t>
          </w:r>
          <w:r>
            <w:rPr>
              <w:rFonts w:ascii="黑体" w:hAnsi="黑体" w:eastAsia="黑体" w:cs="黑体"/>
              <w:spacing w:val="-10"/>
              <w:position w:val="2"/>
              <w:sz w:val="24"/>
              <w:szCs w:val="24"/>
            </w:rPr>
            <w:t>性</w:t>
          </w:r>
          <w:r>
            <w:rPr>
              <w:rFonts w:ascii="黑体" w:hAnsi="黑体" w:eastAsia="黑体" w:cs="黑体"/>
              <w:spacing w:val="-32"/>
              <w:position w:val="2"/>
              <w:sz w:val="24"/>
              <w:szCs w:val="24"/>
            </w:rPr>
            <w:t xml:space="preserve"> </w:t>
          </w:r>
          <w:r>
            <w:rPr>
              <w:rFonts w:ascii="黑体" w:hAnsi="黑体" w:eastAsia="黑体" w:cs="黑体"/>
              <w:spacing w:val="-10"/>
              <w:position w:val="2"/>
              <w:sz w:val="24"/>
              <w:szCs w:val="24"/>
            </w:rPr>
            <w:t>文</w:t>
          </w:r>
          <w:r>
            <w:rPr>
              <w:rFonts w:ascii="黑体" w:hAnsi="黑体" w:eastAsia="黑体" w:cs="黑体"/>
              <w:spacing w:val="-36"/>
              <w:position w:val="2"/>
              <w:sz w:val="24"/>
              <w:szCs w:val="24"/>
            </w:rPr>
            <w:t xml:space="preserve"> </w:t>
          </w:r>
          <w:r>
            <w:rPr>
              <w:rFonts w:ascii="黑体" w:hAnsi="黑体" w:eastAsia="黑体" w:cs="黑体"/>
              <w:spacing w:val="-10"/>
              <w:position w:val="2"/>
              <w:sz w:val="24"/>
              <w:szCs w:val="24"/>
            </w:rPr>
            <w:t>件</w:t>
          </w:r>
          <w:r>
            <w:rPr>
              <w:rFonts w:ascii="黑体" w:hAnsi="黑体" w:eastAsia="黑体" w:cs="黑体"/>
              <w:spacing w:val="-101"/>
              <w:position w:val="2"/>
              <w:sz w:val="24"/>
              <w:szCs w:val="24"/>
            </w:rPr>
            <w:t xml:space="preserve"> </w:t>
          </w:r>
          <w:r>
            <w:rPr>
              <w:rFonts w:ascii="黑体" w:hAnsi="黑体" w:eastAsia="黑体" w:cs="黑体"/>
              <w:position w:val="2"/>
              <w:sz w:val="24"/>
              <w:szCs w:val="24"/>
            </w:rPr>
            <w:tab/>
          </w:r>
          <w:r>
            <w:rPr>
              <w:spacing w:val="-9"/>
              <w:position w:val="2"/>
              <w:sz w:val="27"/>
              <w:szCs w:val="27"/>
            </w:rPr>
            <w:t>335</w:t>
          </w:r>
          <w:r>
            <w:rPr>
              <w:spacing w:val="-9"/>
              <w:position w:val="2"/>
              <w:sz w:val="27"/>
              <w:szCs w:val="27"/>
            </w:rPr>
            <w:fldChar w:fldCharType="end"/>
          </w:r>
        </w:p>
        <w:p w14:paraId="4717A55F">
          <w:pPr>
            <w:pStyle w:val="2"/>
            <w:tabs>
              <w:tab w:val="right" w:leader="dot" w:pos="9369"/>
            </w:tabs>
            <w:spacing w:before="25" w:line="368" w:lineRule="exact"/>
            <w:ind w:left="529"/>
            <w:rPr>
              <w:sz w:val="27"/>
              <w:szCs w:val="27"/>
            </w:rPr>
          </w:pPr>
          <w:r>
            <w:fldChar w:fldCharType="begin"/>
          </w:r>
          <w:r>
            <w:instrText xml:space="preserve"> HYPERLINK \l "bookmark129" </w:instrText>
          </w:r>
          <w:r>
            <w:fldChar w:fldCharType="separate"/>
          </w:r>
          <w:r>
            <w:rPr>
              <w:rFonts w:ascii="Times New Roman" w:hAnsi="Times New Roman" w:eastAsia="Times New Roman" w:cs="Times New Roman"/>
              <w:spacing w:val="-5"/>
              <w:position w:val="2"/>
              <w:sz w:val="27"/>
              <w:szCs w:val="27"/>
            </w:rPr>
            <w:t>7.1</w:t>
          </w:r>
          <w:r>
            <w:rPr>
              <w:rFonts w:ascii="Times New Roman" w:hAnsi="Times New Roman" w:eastAsia="Times New Roman" w:cs="Times New Roman"/>
              <w:spacing w:val="12"/>
              <w:position w:val="2"/>
              <w:sz w:val="27"/>
              <w:szCs w:val="27"/>
            </w:rPr>
            <w:t xml:space="preserve">     </w:t>
          </w:r>
          <w:r>
            <w:rPr>
              <w:rFonts w:ascii="仿宋" w:hAnsi="仿宋" w:eastAsia="仿宋" w:cs="仿宋"/>
              <w:spacing w:val="-5"/>
              <w:position w:val="2"/>
              <w:sz w:val="27"/>
              <w:szCs w:val="27"/>
            </w:rPr>
            <w:t>可靠性要求</w:t>
          </w:r>
          <w:r>
            <w:rPr>
              <w:rFonts w:ascii="仿宋" w:hAnsi="仿宋" w:eastAsia="仿宋" w:cs="仿宋"/>
              <w:spacing w:val="-111"/>
              <w:position w:val="2"/>
              <w:sz w:val="27"/>
              <w:szCs w:val="27"/>
            </w:rPr>
            <w:t xml:space="preserve"> </w:t>
          </w:r>
          <w:r>
            <w:rPr>
              <w:rFonts w:ascii="仿宋" w:hAnsi="仿宋" w:eastAsia="仿宋" w:cs="仿宋"/>
              <w:position w:val="2"/>
              <w:sz w:val="27"/>
              <w:szCs w:val="27"/>
            </w:rPr>
            <w:tab/>
          </w:r>
          <w:r>
            <w:rPr>
              <w:spacing w:val="-3"/>
              <w:position w:val="2"/>
              <w:sz w:val="27"/>
              <w:szCs w:val="27"/>
            </w:rPr>
            <w:t>335</w:t>
          </w:r>
          <w:r>
            <w:rPr>
              <w:spacing w:val="-3"/>
              <w:position w:val="2"/>
              <w:sz w:val="27"/>
              <w:szCs w:val="27"/>
            </w:rPr>
            <w:fldChar w:fldCharType="end"/>
          </w:r>
        </w:p>
        <w:p w14:paraId="2FB17ECC">
          <w:pPr>
            <w:pStyle w:val="2"/>
            <w:tabs>
              <w:tab w:val="right" w:leader="dot" w:pos="9339"/>
            </w:tabs>
            <w:spacing w:before="62" w:line="368" w:lineRule="exact"/>
            <w:ind w:left="529"/>
            <w:rPr>
              <w:sz w:val="27"/>
              <w:szCs w:val="27"/>
            </w:rPr>
          </w:pPr>
          <w:r>
            <w:fldChar w:fldCharType="begin"/>
          </w:r>
          <w:r>
            <w:instrText xml:space="preserve"> HYPERLINK \l "bookmark130" </w:instrText>
          </w:r>
          <w:r>
            <w:fldChar w:fldCharType="separate"/>
          </w:r>
          <w:r>
            <w:rPr>
              <w:rFonts w:ascii="Times New Roman" w:hAnsi="Times New Roman" w:eastAsia="Times New Roman" w:cs="Times New Roman"/>
              <w:spacing w:val="-1"/>
              <w:position w:val="2"/>
              <w:sz w:val="27"/>
              <w:szCs w:val="27"/>
            </w:rPr>
            <w:t>7.2</w:t>
          </w:r>
          <w:r>
            <w:rPr>
              <w:rFonts w:ascii="Times New Roman" w:hAnsi="Times New Roman" w:eastAsia="Times New Roman" w:cs="Times New Roman"/>
              <w:spacing w:val="13"/>
              <w:position w:val="2"/>
              <w:sz w:val="27"/>
              <w:szCs w:val="27"/>
            </w:rPr>
            <w:t xml:space="preserve">     </w:t>
          </w:r>
          <w:r>
            <w:rPr>
              <w:rFonts w:ascii="仿宋" w:hAnsi="仿宋" w:eastAsia="仿宋" w:cs="仿宋"/>
              <w:spacing w:val="-1"/>
              <w:position w:val="2"/>
              <w:sz w:val="27"/>
              <w:szCs w:val="27"/>
            </w:rPr>
            <w:t>可靠性工作项目要求</w:t>
          </w:r>
          <w:r>
            <w:rPr>
              <w:rFonts w:ascii="仿宋" w:hAnsi="仿宋" w:eastAsia="仿宋" w:cs="仿宋"/>
              <w:spacing w:val="-124"/>
              <w:position w:val="2"/>
              <w:sz w:val="27"/>
              <w:szCs w:val="27"/>
            </w:rPr>
            <w:t xml:space="preserve"> </w:t>
          </w:r>
          <w:r>
            <w:rPr>
              <w:rFonts w:ascii="仿宋" w:hAnsi="仿宋" w:eastAsia="仿宋" w:cs="仿宋"/>
              <w:position w:val="2"/>
              <w:sz w:val="27"/>
              <w:szCs w:val="27"/>
            </w:rPr>
            <w:tab/>
          </w:r>
          <w:r>
            <w:rPr>
              <w:spacing w:val="-3"/>
              <w:position w:val="2"/>
              <w:sz w:val="27"/>
              <w:szCs w:val="27"/>
            </w:rPr>
            <w:t>338</w:t>
          </w:r>
          <w:r>
            <w:rPr>
              <w:spacing w:val="-3"/>
              <w:position w:val="2"/>
              <w:sz w:val="27"/>
              <w:szCs w:val="27"/>
            </w:rPr>
            <w:fldChar w:fldCharType="end"/>
          </w:r>
        </w:p>
        <w:p w14:paraId="22B50729">
          <w:pPr>
            <w:pStyle w:val="2"/>
            <w:tabs>
              <w:tab w:val="right" w:leader="dot" w:pos="9379"/>
            </w:tabs>
            <w:spacing w:before="12" w:line="368" w:lineRule="exact"/>
            <w:ind w:left="529"/>
            <w:rPr>
              <w:sz w:val="27"/>
              <w:szCs w:val="27"/>
            </w:rPr>
          </w:pPr>
          <w:r>
            <w:fldChar w:fldCharType="begin"/>
          </w:r>
          <w:r>
            <w:instrText xml:space="preserve"> HYPERLINK \l "bookmark131" </w:instrText>
          </w:r>
          <w:r>
            <w:fldChar w:fldCharType="separate"/>
          </w:r>
          <w:r>
            <w:rPr>
              <w:rFonts w:ascii="Times New Roman" w:hAnsi="Times New Roman" w:eastAsia="Times New Roman" w:cs="Times New Roman"/>
              <w:spacing w:val="-1"/>
              <w:position w:val="2"/>
              <w:sz w:val="27"/>
              <w:szCs w:val="27"/>
            </w:rPr>
            <w:t>7.3</w:t>
          </w:r>
          <w:r>
            <w:rPr>
              <w:rFonts w:ascii="Times New Roman" w:hAnsi="Times New Roman" w:eastAsia="Times New Roman" w:cs="Times New Roman"/>
              <w:spacing w:val="11"/>
              <w:position w:val="2"/>
              <w:sz w:val="27"/>
              <w:szCs w:val="27"/>
            </w:rPr>
            <w:t xml:space="preserve">     </w:t>
          </w:r>
          <w:r>
            <w:rPr>
              <w:rFonts w:ascii="仿宋" w:hAnsi="仿宋" w:eastAsia="仿宋" w:cs="仿宋"/>
              <w:spacing w:val="-1"/>
              <w:position w:val="2"/>
              <w:sz w:val="27"/>
              <w:szCs w:val="27"/>
            </w:rPr>
            <w:t>可靠性计划</w:t>
          </w:r>
          <w:r>
            <w:rPr>
              <w:rFonts w:ascii="仿宋" w:hAnsi="仿宋" w:eastAsia="仿宋" w:cs="仿宋"/>
              <w:position w:val="2"/>
              <w:sz w:val="27"/>
              <w:szCs w:val="27"/>
            </w:rPr>
            <w:tab/>
          </w:r>
          <w:r>
            <w:rPr>
              <w:spacing w:val="-4"/>
              <w:position w:val="2"/>
              <w:sz w:val="27"/>
              <w:szCs w:val="27"/>
            </w:rPr>
            <w:t>341</w:t>
          </w:r>
          <w:r>
            <w:rPr>
              <w:spacing w:val="-4"/>
              <w:position w:val="2"/>
              <w:sz w:val="27"/>
              <w:szCs w:val="27"/>
            </w:rPr>
            <w:fldChar w:fldCharType="end"/>
          </w:r>
        </w:p>
        <w:p w14:paraId="55A4E842">
          <w:pPr>
            <w:pStyle w:val="2"/>
            <w:tabs>
              <w:tab w:val="right" w:leader="dot" w:pos="9352"/>
            </w:tabs>
            <w:spacing w:before="52" w:line="368" w:lineRule="exact"/>
            <w:ind w:left="529"/>
            <w:rPr>
              <w:sz w:val="27"/>
              <w:szCs w:val="27"/>
            </w:rPr>
          </w:pPr>
          <w:r>
            <w:fldChar w:fldCharType="begin"/>
          </w:r>
          <w:r>
            <w:instrText xml:space="preserve"> HYPERLINK \l "bookmark132" </w:instrText>
          </w:r>
          <w:r>
            <w:fldChar w:fldCharType="separate"/>
          </w:r>
          <w:r>
            <w:rPr>
              <w:rFonts w:ascii="Times New Roman" w:hAnsi="Times New Roman" w:eastAsia="Times New Roman" w:cs="Times New Roman"/>
              <w:spacing w:val="6"/>
              <w:position w:val="2"/>
              <w:sz w:val="27"/>
              <w:szCs w:val="27"/>
            </w:rPr>
            <w:t xml:space="preserve">7.4     </w:t>
          </w:r>
          <w:r>
            <w:rPr>
              <w:rFonts w:ascii="仿宋" w:hAnsi="仿宋" w:eastAsia="仿宋" w:cs="仿宋"/>
              <w:spacing w:val="6"/>
              <w:position w:val="2"/>
              <w:sz w:val="27"/>
              <w:szCs w:val="27"/>
            </w:rPr>
            <w:t>可靠性工作计划(可靠性大纲)</w:t>
          </w:r>
          <w:r>
            <w:rPr>
              <w:rFonts w:ascii="仿宋" w:hAnsi="仿宋" w:eastAsia="仿宋" w:cs="仿宋"/>
              <w:position w:val="2"/>
              <w:sz w:val="27"/>
              <w:szCs w:val="27"/>
            </w:rPr>
            <w:tab/>
          </w:r>
          <w:r>
            <w:rPr>
              <w:spacing w:val="-9"/>
              <w:position w:val="2"/>
              <w:sz w:val="27"/>
              <w:szCs w:val="27"/>
            </w:rPr>
            <w:t>342</w:t>
          </w:r>
          <w:r>
            <w:rPr>
              <w:spacing w:val="-9"/>
              <w:position w:val="2"/>
              <w:sz w:val="27"/>
              <w:szCs w:val="27"/>
            </w:rPr>
            <w:fldChar w:fldCharType="end"/>
          </w:r>
        </w:p>
      </w:sdtContent>
    </w:sdt>
    <w:p w14:paraId="1C6E38C2">
      <w:pPr>
        <w:spacing w:line="368" w:lineRule="exact"/>
        <w:rPr>
          <w:sz w:val="27"/>
          <w:szCs w:val="27"/>
        </w:rPr>
        <w:sectPr>
          <w:footerReference r:id="rId14" w:type="default"/>
          <w:pgSz w:w="12100" w:h="17260"/>
          <w:pgMar w:top="400" w:right="1320" w:bottom="1601" w:left="1399" w:header="0" w:footer="1361" w:gutter="0"/>
          <w:cols w:space="720" w:num="1"/>
        </w:sectPr>
      </w:pPr>
    </w:p>
    <w:p w14:paraId="042A4AC6">
      <w:pPr>
        <w:pStyle w:val="2"/>
        <w:spacing w:line="260" w:lineRule="auto"/>
      </w:pPr>
    </w:p>
    <w:p w14:paraId="052D4548">
      <w:pPr>
        <w:pStyle w:val="2"/>
        <w:spacing w:line="260" w:lineRule="auto"/>
      </w:pPr>
    </w:p>
    <w:p w14:paraId="4CAA8911">
      <w:pPr>
        <w:pStyle w:val="2"/>
        <w:spacing w:line="261" w:lineRule="auto"/>
      </w:pPr>
    </w:p>
    <w:p w14:paraId="75A60EEC">
      <w:pPr>
        <w:pStyle w:val="2"/>
        <w:spacing w:line="261" w:lineRule="auto"/>
      </w:pPr>
    </w:p>
    <w:sdt>
      <w:sdtPr>
        <w:rPr>
          <w:rFonts w:ascii="Times New Roman" w:hAnsi="Times New Roman" w:eastAsia="Times New Roman" w:cs="Times New Roman"/>
          <w:sz w:val="27"/>
          <w:szCs w:val="27"/>
        </w:rPr>
        <w:id w:val="147482920"/>
        <w:docPartObj>
          <w:docPartGallery w:val="Table of Contents"/>
          <w:docPartUnique/>
        </w:docPartObj>
      </w:sdtPr>
      <w:sdtEndPr>
        <w:rPr>
          <w:rFonts w:ascii="Arial" w:hAnsi="Arial" w:eastAsia="Arial" w:cs="Arial"/>
          <w:sz w:val="27"/>
          <w:szCs w:val="27"/>
        </w:rPr>
      </w:sdtEndPr>
      <w:sdtContent>
        <w:p w14:paraId="1D169094">
          <w:pPr>
            <w:pStyle w:val="2"/>
            <w:tabs>
              <w:tab w:val="right" w:leader="dot" w:pos="9270"/>
            </w:tabs>
            <w:spacing w:before="88" w:line="368" w:lineRule="exact"/>
            <w:ind w:left="459"/>
            <w:rPr>
              <w:sz w:val="27"/>
              <w:szCs w:val="27"/>
            </w:rPr>
          </w:pPr>
          <w:bookmarkStart w:id="2" w:name="bookmark133"/>
          <w:bookmarkEnd w:id="2"/>
          <w:r>
            <w:fldChar w:fldCharType="begin"/>
          </w:r>
          <w:r>
            <w:instrText xml:space="preserve"> HYPERLINK \l "bookmark134" </w:instrText>
          </w:r>
          <w:r>
            <w:fldChar w:fldCharType="separate"/>
          </w:r>
          <w:r>
            <w:rPr>
              <w:rFonts w:ascii="Times New Roman" w:hAnsi="Times New Roman" w:eastAsia="Times New Roman" w:cs="Times New Roman"/>
              <w:spacing w:val="-5"/>
              <w:position w:val="2"/>
              <w:sz w:val="27"/>
              <w:szCs w:val="27"/>
            </w:rPr>
            <w:t xml:space="preserve">7.5      </w:t>
          </w:r>
          <w:r>
            <w:rPr>
              <w:rFonts w:ascii="仿宋" w:hAnsi="仿宋" w:eastAsia="仿宋" w:cs="仿宋"/>
              <w:spacing w:val="-5"/>
              <w:position w:val="2"/>
              <w:sz w:val="27"/>
              <w:szCs w:val="27"/>
            </w:rPr>
            <w:t>可靠性模型</w:t>
          </w:r>
          <w:r>
            <w:rPr>
              <w:rFonts w:ascii="仿宋" w:hAnsi="仿宋" w:eastAsia="仿宋" w:cs="仿宋"/>
              <w:spacing w:val="31"/>
              <w:position w:val="2"/>
              <w:sz w:val="27"/>
              <w:szCs w:val="27"/>
            </w:rPr>
            <w:t xml:space="preserve"> </w:t>
          </w:r>
          <w:r>
            <w:rPr>
              <w:rFonts w:ascii="仿宋" w:hAnsi="仿宋" w:eastAsia="仿宋" w:cs="仿宋"/>
              <w:position w:val="2"/>
              <w:sz w:val="27"/>
              <w:szCs w:val="27"/>
            </w:rPr>
            <w:tab/>
          </w:r>
          <w:r>
            <w:rPr>
              <w:spacing w:val="-11"/>
              <w:position w:val="2"/>
              <w:sz w:val="27"/>
              <w:szCs w:val="27"/>
            </w:rPr>
            <w:t>343</w:t>
          </w:r>
          <w:r>
            <w:rPr>
              <w:spacing w:val="-11"/>
              <w:position w:val="2"/>
              <w:sz w:val="27"/>
              <w:szCs w:val="27"/>
            </w:rPr>
            <w:fldChar w:fldCharType="end"/>
          </w:r>
        </w:p>
        <w:p w14:paraId="2058DEAF">
          <w:pPr>
            <w:pStyle w:val="2"/>
            <w:tabs>
              <w:tab w:val="right" w:leader="dot" w:pos="9270"/>
            </w:tabs>
            <w:spacing w:before="52" w:line="368" w:lineRule="exact"/>
            <w:ind w:left="459"/>
            <w:rPr>
              <w:sz w:val="27"/>
              <w:szCs w:val="27"/>
            </w:rPr>
          </w:pPr>
          <w:r>
            <w:fldChar w:fldCharType="begin"/>
          </w:r>
          <w:r>
            <w:instrText xml:space="preserve"> HYPERLINK \l "bookmark135" </w:instrText>
          </w:r>
          <w:r>
            <w:fldChar w:fldCharType="separate"/>
          </w:r>
          <w:r>
            <w:rPr>
              <w:rFonts w:ascii="Times New Roman" w:hAnsi="Times New Roman" w:eastAsia="Times New Roman" w:cs="Times New Roman"/>
              <w:spacing w:val="-1"/>
              <w:position w:val="2"/>
              <w:sz w:val="27"/>
              <w:szCs w:val="27"/>
            </w:rPr>
            <w:t>7.6</w:t>
          </w:r>
          <w:r>
            <w:rPr>
              <w:rFonts w:ascii="Times New Roman" w:hAnsi="Times New Roman" w:eastAsia="Times New Roman" w:cs="Times New Roman"/>
              <w:spacing w:val="10"/>
              <w:position w:val="2"/>
              <w:sz w:val="27"/>
              <w:szCs w:val="27"/>
            </w:rPr>
            <w:t xml:space="preserve">     </w:t>
          </w:r>
          <w:r>
            <w:rPr>
              <w:rFonts w:ascii="仿宋" w:hAnsi="仿宋" w:eastAsia="仿宋" w:cs="仿宋"/>
              <w:spacing w:val="-1"/>
              <w:position w:val="2"/>
              <w:sz w:val="27"/>
              <w:szCs w:val="27"/>
            </w:rPr>
            <w:t>可靠性分配</w:t>
          </w:r>
          <w:r>
            <w:rPr>
              <w:rFonts w:ascii="仿宋" w:hAnsi="仿宋" w:eastAsia="仿宋" w:cs="仿宋"/>
              <w:spacing w:val="-123"/>
              <w:position w:val="2"/>
              <w:sz w:val="27"/>
              <w:szCs w:val="27"/>
            </w:rPr>
            <w:t xml:space="preserve"> </w:t>
          </w:r>
          <w:r>
            <w:rPr>
              <w:rFonts w:ascii="仿宋" w:hAnsi="仿宋" w:eastAsia="仿宋" w:cs="仿宋"/>
              <w:position w:val="2"/>
              <w:sz w:val="27"/>
              <w:szCs w:val="27"/>
            </w:rPr>
            <w:tab/>
          </w:r>
          <w:r>
            <w:rPr>
              <w:spacing w:val="-16"/>
              <w:position w:val="2"/>
              <w:sz w:val="27"/>
              <w:szCs w:val="27"/>
            </w:rPr>
            <w:t>347</w:t>
          </w:r>
          <w:r>
            <w:rPr>
              <w:spacing w:val="-16"/>
              <w:position w:val="2"/>
              <w:sz w:val="27"/>
              <w:szCs w:val="27"/>
            </w:rPr>
            <w:fldChar w:fldCharType="end"/>
          </w:r>
        </w:p>
        <w:p w14:paraId="6A7B4ECA">
          <w:pPr>
            <w:pStyle w:val="2"/>
            <w:tabs>
              <w:tab w:val="right" w:leader="dot" w:pos="9270"/>
            </w:tabs>
            <w:spacing w:before="31" w:line="368" w:lineRule="exact"/>
            <w:ind w:left="459"/>
            <w:rPr>
              <w:sz w:val="27"/>
              <w:szCs w:val="27"/>
            </w:rPr>
          </w:pPr>
          <w:r>
            <w:fldChar w:fldCharType="begin"/>
          </w:r>
          <w:r>
            <w:instrText xml:space="preserve"> HYPERLINK \l "bookmark136" </w:instrText>
          </w:r>
          <w:r>
            <w:fldChar w:fldCharType="separate"/>
          </w:r>
          <w:r>
            <w:rPr>
              <w:rFonts w:ascii="Times New Roman" w:hAnsi="Times New Roman" w:eastAsia="Times New Roman" w:cs="Times New Roman"/>
              <w:spacing w:val="1"/>
              <w:position w:val="2"/>
              <w:sz w:val="27"/>
              <w:szCs w:val="27"/>
            </w:rPr>
            <w:t>7.7</w:t>
          </w:r>
          <w:r>
            <w:rPr>
              <w:rFonts w:ascii="Times New Roman" w:hAnsi="Times New Roman" w:eastAsia="Times New Roman" w:cs="Times New Roman"/>
              <w:spacing w:val="9"/>
              <w:position w:val="2"/>
              <w:sz w:val="27"/>
              <w:szCs w:val="27"/>
            </w:rPr>
            <w:t xml:space="preserve">     </w:t>
          </w:r>
          <w:r>
            <w:rPr>
              <w:rFonts w:ascii="仿宋" w:hAnsi="仿宋" w:eastAsia="仿宋" w:cs="仿宋"/>
              <w:spacing w:val="1"/>
              <w:position w:val="2"/>
              <w:sz w:val="27"/>
              <w:szCs w:val="27"/>
            </w:rPr>
            <w:t>可靠性预计</w:t>
          </w:r>
          <w:r>
            <w:rPr>
              <w:rFonts w:ascii="仿宋" w:hAnsi="仿宋" w:eastAsia="仿宋" w:cs="仿宋"/>
              <w:spacing w:val="-124"/>
              <w:position w:val="2"/>
              <w:sz w:val="27"/>
              <w:szCs w:val="27"/>
            </w:rPr>
            <w:t xml:space="preserve"> </w:t>
          </w:r>
          <w:r>
            <w:rPr>
              <w:rFonts w:ascii="仿宋" w:hAnsi="仿宋" w:eastAsia="仿宋" w:cs="仿宋"/>
              <w:position w:val="2"/>
              <w:sz w:val="27"/>
              <w:szCs w:val="27"/>
            </w:rPr>
            <w:tab/>
          </w:r>
          <w:r>
            <w:rPr>
              <w:spacing w:val="-14"/>
              <w:position w:val="2"/>
              <w:sz w:val="27"/>
              <w:szCs w:val="27"/>
            </w:rPr>
            <w:t>348</w:t>
          </w:r>
          <w:r>
            <w:rPr>
              <w:spacing w:val="-14"/>
              <w:position w:val="2"/>
              <w:sz w:val="27"/>
              <w:szCs w:val="27"/>
            </w:rPr>
            <w:fldChar w:fldCharType="end"/>
          </w:r>
        </w:p>
        <w:p w14:paraId="14243CF5">
          <w:pPr>
            <w:pStyle w:val="2"/>
            <w:tabs>
              <w:tab w:val="right" w:leader="dot" w:pos="9270"/>
            </w:tabs>
            <w:spacing w:before="61" w:line="368" w:lineRule="exact"/>
            <w:ind w:left="459"/>
            <w:rPr>
              <w:sz w:val="27"/>
              <w:szCs w:val="27"/>
            </w:rPr>
          </w:pPr>
          <w:r>
            <w:fldChar w:fldCharType="begin"/>
          </w:r>
          <w:r>
            <w:instrText xml:space="preserve"> HYPERLINK \l "bookmark137" </w:instrText>
          </w:r>
          <w:r>
            <w:fldChar w:fldCharType="separate"/>
          </w:r>
          <w:r>
            <w:rPr>
              <w:rFonts w:ascii="Times New Roman" w:hAnsi="Times New Roman" w:eastAsia="Times New Roman" w:cs="Times New Roman"/>
              <w:spacing w:val="-8"/>
              <w:position w:val="2"/>
              <w:sz w:val="27"/>
              <w:szCs w:val="27"/>
            </w:rPr>
            <w:t>7.8</w:t>
          </w:r>
          <w:r>
            <w:rPr>
              <w:rFonts w:ascii="Times New Roman" w:hAnsi="Times New Roman" w:eastAsia="Times New Roman" w:cs="Times New Roman"/>
              <w:spacing w:val="13"/>
              <w:position w:val="2"/>
              <w:sz w:val="27"/>
              <w:szCs w:val="27"/>
            </w:rPr>
            <w:t xml:space="preserve">     </w:t>
          </w:r>
          <w:r>
            <w:rPr>
              <w:rFonts w:ascii="仿宋" w:hAnsi="仿宋" w:eastAsia="仿宋" w:cs="仿宋"/>
              <w:spacing w:val="-8"/>
              <w:position w:val="2"/>
              <w:sz w:val="27"/>
              <w:szCs w:val="27"/>
            </w:rPr>
            <w:t>故障模式、影响及危害性分析</w:t>
          </w:r>
          <w:r>
            <w:rPr>
              <w:rFonts w:ascii="仿宋" w:hAnsi="仿宋" w:eastAsia="仿宋" w:cs="仿宋"/>
              <w:spacing w:val="-118"/>
              <w:position w:val="2"/>
              <w:sz w:val="27"/>
              <w:szCs w:val="27"/>
            </w:rPr>
            <w:t xml:space="preserve"> </w:t>
          </w:r>
          <w:r>
            <w:rPr>
              <w:rFonts w:ascii="仿宋" w:hAnsi="仿宋" w:eastAsia="仿宋" w:cs="仿宋"/>
              <w:position w:val="2"/>
              <w:sz w:val="27"/>
              <w:szCs w:val="27"/>
            </w:rPr>
            <w:tab/>
          </w:r>
          <w:r>
            <w:rPr>
              <w:spacing w:val="-16"/>
              <w:position w:val="2"/>
              <w:sz w:val="27"/>
              <w:szCs w:val="27"/>
            </w:rPr>
            <w:t>349</w:t>
          </w:r>
          <w:r>
            <w:rPr>
              <w:spacing w:val="-16"/>
              <w:position w:val="2"/>
              <w:sz w:val="27"/>
              <w:szCs w:val="27"/>
            </w:rPr>
            <w:fldChar w:fldCharType="end"/>
          </w:r>
        </w:p>
        <w:p w14:paraId="365869B7">
          <w:pPr>
            <w:pStyle w:val="2"/>
            <w:tabs>
              <w:tab w:val="right" w:leader="dot" w:pos="9269"/>
            </w:tabs>
            <w:spacing w:before="34" w:line="368" w:lineRule="exact"/>
            <w:ind w:left="459"/>
            <w:rPr>
              <w:sz w:val="27"/>
              <w:szCs w:val="27"/>
            </w:rPr>
          </w:pPr>
          <w:r>
            <w:fldChar w:fldCharType="begin"/>
          </w:r>
          <w:r>
            <w:instrText xml:space="preserve"> HYPERLINK \l "bookmark138" </w:instrText>
          </w:r>
          <w:r>
            <w:fldChar w:fldCharType="separate"/>
          </w:r>
          <w:r>
            <w:rPr>
              <w:rFonts w:ascii="Times New Roman" w:hAnsi="Times New Roman" w:eastAsia="Times New Roman" w:cs="Times New Roman"/>
              <w:spacing w:val="-2"/>
              <w:position w:val="1"/>
              <w:sz w:val="27"/>
              <w:szCs w:val="27"/>
            </w:rPr>
            <w:t>7.9</w:t>
          </w:r>
          <w:r>
            <w:rPr>
              <w:rFonts w:ascii="Times New Roman" w:hAnsi="Times New Roman" w:eastAsia="Times New Roman" w:cs="Times New Roman"/>
              <w:spacing w:val="10"/>
              <w:position w:val="1"/>
              <w:sz w:val="27"/>
              <w:szCs w:val="27"/>
            </w:rPr>
            <w:t xml:space="preserve">     </w:t>
          </w:r>
          <w:r>
            <w:rPr>
              <w:rFonts w:ascii="仿宋" w:hAnsi="仿宋" w:eastAsia="仿宋" w:cs="仿宋"/>
              <w:spacing w:val="-2"/>
              <w:position w:val="1"/>
              <w:sz w:val="27"/>
              <w:szCs w:val="27"/>
            </w:rPr>
            <w:t>故障树分析</w:t>
          </w:r>
          <w:r>
            <w:rPr>
              <w:rFonts w:ascii="仿宋" w:hAnsi="仿宋" w:eastAsia="仿宋" w:cs="仿宋"/>
              <w:spacing w:val="35"/>
              <w:position w:val="1"/>
              <w:sz w:val="27"/>
              <w:szCs w:val="27"/>
            </w:rPr>
            <w:t xml:space="preserve"> </w:t>
          </w:r>
          <w:r>
            <w:rPr>
              <w:rFonts w:ascii="仿宋" w:hAnsi="仿宋" w:eastAsia="仿宋" w:cs="仿宋"/>
              <w:position w:val="1"/>
              <w:sz w:val="27"/>
              <w:szCs w:val="27"/>
            </w:rPr>
            <w:tab/>
          </w:r>
          <w:r>
            <w:rPr>
              <w:spacing w:val="-11"/>
              <w:position w:val="1"/>
              <w:sz w:val="27"/>
              <w:szCs w:val="27"/>
            </w:rPr>
            <w:t>355</w:t>
          </w:r>
          <w:r>
            <w:rPr>
              <w:spacing w:val="-11"/>
              <w:position w:val="1"/>
              <w:sz w:val="27"/>
              <w:szCs w:val="27"/>
            </w:rPr>
            <w:fldChar w:fldCharType="end"/>
          </w:r>
        </w:p>
        <w:p w14:paraId="630AF752">
          <w:pPr>
            <w:pStyle w:val="2"/>
            <w:tabs>
              <w:tab w:val="right" w:leader="dot" w:pos="9270"/>
            </w:tabs>
            <w:spacing w:before="39" w:line="368" w:lineRule="exact"/>
            <w:ind w:left="459"/>
            <w:rPr>
              <w:sz w:val="27"/>
              <w:szCs w:val="27"/>
            </w:rPr>
          </w:pPr>
          <w:r>
            <w:fldChar w:fldCharType="begin"/>
          </w:r>
          <w:r>
            <w:instrText xml:space="preserve"> HYPERLINK \l "bookmark139" </w:instrText>
          </w:r>
          <w:r>
            <w:fldChar w:fldCharType="separate"/>
          </w:r>
          <w:r>
            <w:rPr>
              <w:rFonts w:ascii="Times New Roman" w:hAnsi="Times New Roman" w:eastAsia="Times New Roman" w:cs="Times New Roman"/>
              <w:spacing w:val="-1"/>
              <w:position w:val="2"/>
              <w:sz w:val="27"/>
              <w:szCs w:val="27"/>
            </w:rPr>
            <w:t>7.10</w:t>
          </w:r>
          <w:r>
            <w:rPr>
              <w:rFonts w:ascii="Times New Roman" w:hAnsi="Times New Roman" w:eastAsia="Times New Roman" w:cs="Times New Roman"/>
              <w:spacing w:val="9"/>
              <w:position w:val="2"/>
              <w:sz w:val="27"/>
              <w:szCs w:val="27"/>
            </w:rPr>
            <w:t xml:space="preserve">     </w:t>
          </w:r>
          <w:r>
            <w:rPr>
              <w:rFonts w:ascii="仿宋" w:hAnsi="仿宋" w:eastAsia="仿宋" w:cs="仿宋"/>
              <w:spacing w:val="-1"/>
              <w:position w:val="2"/>
              <w:sz w:val="27"/>
              <w:szCs w:val="27"/>
            </w:rPr>
            <w:t>潜在通路分析</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7"/>
              <w:position w:val="2"/>
              <w:sz w:val="27"/>
              <w:szCs w:val="27"/>
            </w:rPr>
            <w:t>356</w:t>
          </w:r>
          <w:r>
            <w:rPr>
              <w:spacing w:val="-7"/>
              <w:position w:val="2"/>
              <w:sz w:val="27"/>
              <w:szCs w:val="27"/>
            </w:rPr>
            <w:fldChar w:fldCharType="end"/>
          </w:r>
        </w:p>
        <w:p w14:paraId="4329A999">
          <w:pPr>
            <w:pStyle w:val="2"/>
            <w:tabs>
              <w:tab w:val="right" w:leader="dot" w:pos="9270"/>
            </w:tabs>
            <w:spacing w:before="55" w:line="368" w:lineRule="exact"/>
            <w:ind w:left="459"/>
            <w:rPr>
              <w:sz w:val="27"/>
              <w:szCs w:val="27"/>
            </w:rPr>
          </w:pPr>
          <w:r>
            <w:fldChar w:fldCharType="begin"/>
          </w:r>
          <w:r>
            <w:instrText xml:space="preserve"> HYPERLINK \l "bookmark140" </w:instrText>
          </w:r>
          <w:r>
            <w:fldChar w:fldCharType="separate"/>
          </w:r>
          <w:r>
            <w:rPr>
              <w:rFonts w:ascii="Times New Roman" w:hAnsi="Times New Roman" w:eastAsia="Times New Roman" w:cs="Times New Roman"/>
              <w:spacing w:val="1"/>
              <w:position w:val="1"/>
              <w:sz w:val="27"/>
              <w:szCs w:val="27"/>
            </w:rPr>
            <w:t>7.11</w:t>
          </w:r>
          <w:r>
            <w:rPr>
              <w:rFonts w:ascii="Times New Roman" w:hAnsi="Times New Roman" w:eastAsia="Times New Roman" w:cs="Times New Roman"/>
              <w:spacing w:val="7"/>
              <w:position w:val="1"/>
              <w:sz w:val="27"/>
              <w:szCs w:val="27"/>
            </w:rPr>
            <w:t xml:space="preserve">     </w:t>
          </w:r>
          <w:r>
            <w:rPr>
              <w:rFonts w:ascii="仿宋" w:hAnsi="仿宋" w:eastAsia="仿宋" w:cs="仿宋"/>
              <w:spacing w:val="1"/>
              <w:position w:val="1"/>
              <w:sz w:val="27"/>
              <w:szCs w:val="27"/>
            </w:rPr>
            <w:t>电路容差分析</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9"/>
              <w:position w:val="1"/>
              <w:sz w:val="27"/>
              <w:szCs w:val="27"/>
            </w:rPr>
            <w:t>359</w:t>
          </w:r>
          <w:r>
            <w:rPr>
              <w:spacing w:val="-9"/>
              <w:position w:val="1"/>
              <w:sz w:val="27"/>
              <w:szCs w:val="27"/>
            </w:rPr>
            <w:fldChar w:fldCharType="end"/>
          </w:r>
        </w:p>
        <w:p w14:paraId="614F5D77">
          <w:pPr>
            <w:pStyle w:val="2"/>
            <w:tabs>
              <w:tab w:val="right" w:leader="dot" w:pos="9270"/>
            </w:tabs>
            <w:spacing w:before="30" w:line="368" w:lineRule="exact"/>
            <w:ind w:left="459"/>
            <w:rPr>
              <w:sz w:val="27"/>
              <w:szCs w:val="27"/>
            </w:rPr>
          </w:pPr>
          <w:r>
            <w:fldChar w:fldCharType="begin"/>
          </w:r>
          <w:r>
            <w:instrText xml:space="preserve"> HYPERLINK \l "bookmark141" </w:instrText>
          </w:r>
          <w:r>
            <w:fldChar w:fldCharType="separate"/>
          </w:r>
          <w:r>
            <w:rPr>
              <w:rFonts w:ascii="Times New Roman" w:hAnsi="Times New Roman" w:eastAsia="Times New Roman" w:cs="Times New Roman"/>
              <w:spacing w:val="2"/>
              <w:position w:val="2"/>
              <w:sz w:val="27"/>
              <w:szCs w:val="27"/>
            </w:rPr>
            <w:t>7.12</w:t>
          </w:r>
          <w:r>
            <w:rPr>
              <w:rFonts w:ascii="Times New Roman" w:hAnsi="Times New Roman" w:eastAsia="Times New Roman" w:cs="Times New Roman"/>
              <w:spacing w:val="6"/>
              <w:position w:val="2"/>
              <w:sz w:val="27"/>
              <w:szCs w:val="27"/>
            </w:rPr>
            <w:t xml:space="preserve">     </w:t>
          </w:r>
          <w:r>
            <w:rPr>
              <w:rFonts w:ascii="仿宋" w:hAnsi="仿宋" w:eastAsia="仿宋" w:cs="仿宋"/>
              <w:spacing w:val="2"/>
              <w:position w:val="2"/>
              <w:sz w:val="27"/>
              <w:szCs w:val="27"/>
            </w:rPr>
            <w:t>可靠性设计准则</w:t>
          </w:r>
          <w:r>
            <w:rPr>
              <w:rFonts w:ascii="仿宋" w:hAnsi="仿宋" w:eastAsia="仿宋" w:cs="仿宋"/>
              <w:position w:val="2"/>
              <w:sz w:val="27"/>
              <w:szCs w:val="27"/>
            </w:rPr>
            <w:tab/>
          </w:r>
          <w:r>
            <w:rPr>
              <w:spacing w:val="-16"/>
              <w:position w:val="2"/>
              <w:sz w:val="27"/>
              <w:szCs w:val="27"/>
            </w:rPr>
            <w:t>359</w:t>
          </w:r>
          <w:r>
            <w:rPr>
              <w:spacing w:val="-16"/>
              <w:position w:val="2"/>
              <w:sz w:val="27"/>
              <w:szCs w:val="27"/>
            </w:rPr>
            <w:fldChar w:fldCharType="end"/>
          </w:r>
        </w:p>
        <w:p w14:paraId="2B0D68AC">
          <w:pPr>
            <w:pStyle w:val="2"/>
            <w:tabs>
              <w:tab w:val="right" w:leader="dot" w:pos="9270"/>
            </w:tabs>
            <w:spacing w:before="32" w:line="368" w:lineRule="exact"/>
            <w:ind w:left="459"/>
            <w:rPr>
              <w:sz w:val="27"/>
              <w:szCs w:val="27"/>
            </w:rPr>
          </w:pPr>
          <w:r>
            <w:fldChar w:fldCharType="begin"/>
          </w:r>
          <w:r>
            <w:instrText xml:space="preserve"> HYPERLINK \l "bookmark142" </w:instrText>
          </w:r>
          <w:r>
            <w:fldChar w:fldCharType="separate"/>
          </w:r>
          <w:r>
            <w:rPr>
              <w:rFonts w:ascii="Times New Roman" w:hAnsi="Times New Roman" w:eastAsia="Times New Roman" w:cs="Times New Roman"/>
              <w:spacing w:val="-2"/>
              <w:position w:val="2"/>
              <w:sz w:val="27"/>
              <w:szCs w:val="27"/>
            </w:rPr>
            <w:t xml:space="preserve">7.13     </w:t>
          </w:r>
          <w:r>
            <w:rPr>
              <w:rFonts w:ascii="仿宋" w:hAnsi="仿宋" w:eastAsia="仿宋" w:cs="仿宋"/>
              <w:spacing w:val="-2"/>
              <w:position w:val="2"/>
              <w:sz w:val="27"/>
              <w:szCs w:val="27"/>
            </w:rPr>
            <w:t>元器件、零部件和原材料选择与控制</w:t>
          </w:r>
          <w:r>
            <w:rPr>
              <w:rFonts w:ascii="仿宋" w:hAnsi="仿宋" w:eastAsia="仿宋" w:cs="仿宋"/>
              <w:position w:val="2"/>
              <w:sz w:val="27"/>
              <w:szCs w:val="27"/>
            </w:rPr>
            <w:tab/>
          </w:r>
          <w:r>
            <w:rPr>
              <w:spacing w:val="-14"/>
              <w:position w:val="2"/>
              <w:sz w:val="27"/>
              <w:szCs w:val="27"/>
            </w:rPr>
            <w:t>360</w:t>
          </w:r>
          <w:r>
            <w:rPr>
              <w:spacing w:val="-14"/>
              <w:position w:val="2"/>
              <w:sz w:val="27"/>
              <w:szCs w:val="27"/>
            </w:rPr>
            <w:fldChar w:fldCharType="end"/>
          </w:r>
        </w:p>
        <w:p w14:paraId="5655E067">
          <w:pPr>
            <w:pStyle w:val="2"/>
            <w:tabs>
              <w:tab w:val="right" w:leader="dot" w:pos="9305"/>
            </w:tabs>
            <w:spacing w:before="52" w:line="368" w:lineRule="exact"/>
            <w:ind w:left="459"/>
            <w:rPr>
              <w:sz w:val="27"/>
              <w:szCs w:val="27"/>
            </w:rPr>
          </w:pPr>
          <w:r>
            <w:fldChar w:fldCharType="begin"/>
          </w:r>
          <w:r>
            <w:instrText xml:space="preserve"> HYPERLINK \l "bookmark143" </w:instrText>
          </w:r>
          <w:r>
            <w:fldChar w:fldCharType="separate"/>
          </w:r>
          <w:r>
            <w:rPr>
              <w:rFonts w:ascii="Times New Roman" w:hAnsi="Times New Roman" w:eastAsia="Times New Roman" w:cs="Times New Roman"/>
              <w:spacing w:val="2"/>
              <w:position w:val="2"/>
              <w:sz w:val="27"/>
              <w:szCs w:val="27"/>
            </w:rPr>
            <w:t>7.14</w:t>
          </w:r>
          <w:r>
            <w:rPr>
              <w:rFonts w:ascii="Times New Roman" w:hAnsi="Times New Roman" w:eastAsia="Times New Roman" w:cs="Times New Roman"/>
              <w:spacing w:val="8"/>
              <w:position w:val="2"/>
              <w:sz w:val="27"/>
              <w:szCs w:val="27"/>
            </w:rPr>
            <w:t xml:space="preserve">     </w:t>
          </w:r>
          <w:r>
            <w:rPr>
              <w:rFonts w:ascii="仿宋" w:hAnsi="仿宋" w:eastAsia="仿宋" w:cs="仿宋"/>
              <w:spacing w:val="2"/>
              <w:position w:val="2"/>
              <w:sz w:val="27"/>
              <w:szCs w:val="27"/>
            </w:rPr>
            <w:t>可靠性关键项目</w:t>
          </w:r>
          <w:r>
            <w:rPr>
              <w:rFonts w:ascii="仿宋" w:hAnsi="仿宋" w:eastAsia="仿宋" w:cs="仿宋"/>
              <w:position w:val="2"/>
              <w:sz w:val="27"/>
              <w:szCs w:val="27"/>
            </w:rPr>
            <w:tab/>
          </w:r>
          <w:r>
            <w:rPr>
              <w:spacing w:val="-15"/>
              <w:position w:val="2"/>
              <w:sz w:val="27"/>
              <w:szCs w:val="27"/>
            </w:rPr>
            <w:t>361</w:t>
          </w:r>
          <w:r>
            <w:rPr>
              <w:spacing w:val="-15"/>
              <w:position w:val="2"/>
              <w:sz w:val="27"/>
              <w:szCs w:val="27"/>
            </w:rPr>
            <w:fldChar w:fldCharType="end"/>
          </w:r>
        </w:p>
        <w:p w14:paraId="06FDAFAF">
          <w:pPr>
            <w:pStyle w:val="2"/>
            <w:tabs>
              <w:tab w:val="right" w:leader="dot" w:pos="9270"/>
            </w:tabs>
            <w:spacing w:before="51" w:line="368" w:lineRule="exact"/>
            <w:ind w:left="459"/>
            <w:rPr>
              <w:sz w:val="27"/>
              <w:szCs w:val="27"/>
            </w:rPr>
          </w:pPr>
          <w:r>
            <w:fldChar w:fldCharType="begin"/>
          </w:r>
          <w:r>
            <w:instrText xml:space="preserve"> HYPERLINK \l "bookmark144" </w:instrText>
          </w:r>
          <w:r>
            <w:fldChar w:fldCharType="separate"/>
          </w:r>
          <w:r>
            <w:rPr>
              <w:rFonts w:ascii="Times New Roman" w:hAnsi="Times New Roman" w:eastAsia="Times New Roman" w:cs="Times New Roman"/>
              <w:spacing w:val="-11"/>
              <w:position w:val="2"/>
              <w:sz w:val="27"/>
              <w:szCs w:val="27"/>
            </w:rPr>
            <w:t xml:space="preserve">7.15     </w:t>
          </w:r>
          <w:r>
            <w:rPr>
              <w:rFonts w:ascii="仿宋" w:hAnsi="仿宋" w:eastAsia="仿宋" w:cs="仿宋"/>
              <w:spacing w:val="-11"/>
              <w:position w:val="2"/>
              <w:sz w:val="27"/>
              <w:szCs w:val="27"/>
            </w:rPr>
            <w:t>测试、包装、贮存、装卸、运输和维修对产品可靠性的影响</w:t>
          </w:r>
          <w:r>
            <w:rPr>
              <w:rFonts w:ascii="仿宋" w:hAnsi="仿宋" w:eastAsia="仿宋" w:cs="仿宋"/>
              <w:position w:val="2"/>
              <w:sz w:val="27"/>
              <w:szCs w:val="27"/>
            </w:rPr>
            <w:tab/>
          </w:r>
          <w:r>
            <w:rPr>
              <w:spacing w:val="-11"/>
              <w:position w:val="2"/>
              <w:sz w:val="27"/>
              <w:szCs w:val="27"/>
            </w:rPr>
            <w:t>363</w:t>
          </w:r>
          <w:r>
            <w:rPr>
              <w:spacing w:val="-11"/>
              <w:position w:val="2"/>
              <w:sz w:val="27"/>
              <w:szCs w:val="27"/>
            </w:rPr>
            <w:fldChar w:fldCharType="end"/>
          </w:r>
        </w:p>
        <w:p w14:paraId="5E6D4915">
          <w:pPr>
            <w:pStyle w:val="2"/>
            <w:tabs>
              <w:tab w:val="right" w:leader="dot" w:pos="9270"/>
            </w:tabs>
            <w:spacing w:before="25" w:line="368" w:lineRule="exact"/>
            <w:ind w:left="459"/>
            <w:rPr>
              <w:sz w:val="27"/>
              <w:szCs w:val="27"/>
            </w:rPr>
          </w:pPr>
          <w:r>
            <w:fldChar w:fldCharType="begin"/>
          </w:r>
          <w:r>
            <w:instrText xml:space="preserve"> HYPERLINK \l "bookmark145" </w:instrText>
          </w:r>
          <w:r>
            <w:fldChar w:fldCharType="separate"/>
          </w:r>
          <w:r>
            <w:rPr>
              <w:rFonts w:ascii="Times New Roman" w:hAnsi="Times New Roman" w:eastAsia="Times New Roman" w:cs="Times New Roman"/>
              <w:position w:val="1"/>
              <w:sz w:val="27"/>
              <w:szCs w:val="27"/>
            </w:rPr>
            <w:t>7.16</w:t>
          </w:r>
          <w:r>
            <w:rPr>
              <w:rFonts w:ascii="Times New Roman" w:hAnsi="Times New Roman" w:eastAsia="Times New Roman" w:cs="Times New Roman"/>
              <w:spacing w:val="7"/>
              <w:position w:val="1"/>
              <w:sz w:val="27"/>
              <w:szCs w:val="27"/>
            </w:rPr>
            <w:t xml:space="preserve">     </w:t>
          </w:r>
          <w:r>
            <w:rPr>
              <w:rFonts w:ascii="仿宋" w:hAnsi="仿宋" w:eastAsia="仿宋" w:cs="仿宋"/>
              <w:position w:val="1"/>
              <w:sz w:val="27"/>
              <w:szCs w:val="27"/>
            </w:rPr>
            <w:t>有限元分析</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14"/>
              <w:position w:val="1"/>
              <w:sz w:val="27"/>
              <w:szCs w:val="27"/>
            </w:rPr>
            <w:t>364</w:t>
          </w:r>
          <w:r>
            <w:rPr>
              <w:spacing w:val="-14"/>
              <w:position w:val="1"/>
              <w:sz w:val="27"/>
              <w:szCs w:val="27"/>
            </w:rPr>
            <w:fldChar w:fldCharType="end"/>
          </w:r>
        </w:p>
        <w:p w14:paraId="375A9DF8">
          <w:pPr>
            <w:pStyle w:val="2"/>
            <w:tabs>
              <w:tab w:val="right" w:leader="dot" w:pos="9270"/>
            </w:tabs>
            <w:spacing w:before="30" w:line="368" w:lineRule="exact"/>
            <w:ind w:left="459"/>
            <w:rPr>
              <w:sz w:val="27"/>
              <w:szCs w:val="27"/>
            </w:rPr>
          </w:pPr>
          <w:r>
            <w:fldChar w:fldCharType="begin"/>
          </w:r>
          <w:r>
            <w:instrText xml:space="preserve"> HYPERLINK \l "bookmark146" </w:instrText>
          </w:r>
          <w:r>
            <w:fldChar w:fldCharType="separate"/>
          </w:r>
          <w:r>
            <w:rPr>
              <w:rFonts w:ascii="Times New Roman" w:hAnsi="Times New Roman" w:eastAsia="Times New Roman" w:cs="Times New Roman"/>
              <w:spacing w:val="-1"/>
              <w:position w:val="2"/>
              <w:sz w:val="27"/>
              <w:szCs w:val="27"/>
            </w:rPr>
            <w:t>7.17</w:t>
          </w:r>
          <w:r>
            <w:rPr>
              <w:rFonts w:ascii="Times New Roman" w:hAnsi="Times New Roman" w:eastAsia="Times New Roman" w:cs="Times New Roman"/>
              <w:spacing w:val="9"/>
              <w:position w:val="2"/>
              <w:sz w:val="27"/>
              <w:szCs w:val="27"/>
            </w:rPr>
            <w:t xml:space="preserve">     </w:t>
          </w:r>
          <w:r>
            <w:rPr>
              <w:rFonts w:ascii="仿宋" w:hAnsi="仿宋" w:eastAsia="仿宋" w:cs="仿宋"/>
              <w:spacing w:val="-1"/>
              <w:position w:val="2"/>
              <w:sz w:val="27"/>
              <w:szCs w:val="27"/>
            </w:rPr>
            <w:t>耐久性分析</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spacing w:val="-14"/>
              <w:position w:val="2"/>
              <w:sz w:val="27"/>
              <w:szCs w:val="27"/>
            </w:rPr>
            <w:t>364</w:t>
          </w:r>
          <w:r>
            <w:rPr>
              <w:spacing w:val="-14"/>
              <w:position w:val="2"/>
              <w:sz w:val="27"/>
              <w:szCs w:val="27"/>
            </w:rPr>
            <w:fldChar w:fldCharType="end"/>
          </w:r>
        </w:p>
        <w:p w14:paraId="11B8F79A">
          <w:pPr>
            <w:pStyle w:val="2"/>
            <w:tabs>
              <w:tab w:val="right" w:leader="dot" w:pos="9270"/>
            </w:tabs>
            <w:spacing w:before="55" w:line="368" w:lineRule="exact"/>
            <w:ind w:left="459"/>
            <w:rPr>
              <w:sz w:val="27"/>
              <w:szCs w:val="27"/>
            </w:rPr>
          </w:pPr>
          <w:r>
            <w:fldChar w:fldCharType="begin"/>
          </w:r>
          <w:r>
            <w:instrText xml:space="preserve"> HYPERLINK \l "bookmark147" </w:instrText>
          </w:r>
          <w:r>
            <w:fldChar w:fldCharType="separate"/>
          </w:r>
          <w:r>
            <w:rPr>
              <w:rFonts w:ascii="Times New Roman" w:hAnsi="Times New Roman" w:eastAsia="Times New Roman" w:cs="Times New Roman"/>
              <w:spacing w:val="-3"/>
              <w:position w:val="1"/>
              <w:sz w:val="27"/>
              <w:szCs w:val="27"/>
            </w:rPr>
            <w:t>7.18</w:t>
          </w:r>
          <w:r>
            <w:rPr>
              <w:rFonts w:ascii="Times New Roman" w:hAnsi="Times New Roman" w:eastAsia="Times New Roman" w:cs="Times New Roman"/>
              <w:spacing w:val="12"/>
              <w:position w:val="1"/>
              <w:sz w:val="27"/>
              <w:szCs w:val="27"/>
            </w:rPr>
            <w:t xml:space="preserve">     </w:t>
          </w:r>
          <w:r>
            <w:rPr>
              <w:rFonts w:ascii="仿宋" w:hAnsi="仿宋" w:eastAsia="仿宋" w:cs="仿宋"/>
              <w:spacing w:val="-3"/>
              <w:position w:val="1"/>
              <w:sz w:val="27"/>
              <w:szCs w:val="27"/>
            </w:rPr>
            <w:t>环境应力筛选</w:t>
          </w:r>
          <w:r>
            <w:rPr>
              <w:rFonts w:ascii="仿宋" w:hAnsi="仿宋" w:eastAsia="仿宋" w:cs="仿宋"/>
              <w:spacing w:val="-106"/>
              <w:position w:val="1"/>
              <w:sz w:val="27"/>
              <w:szCs w:val="27"/>
            </w:rPr>
            <w:t xml:space="preserve"> </w:t>
          </w:r>
          <w:r>
            <w:rPr>
              <w:rFonts w:ascii="仿宋" w:hAnsi="仿宋" w:eastAsia="仿宋" w:cs="仿宋"/>
              <w:position w:val="1"/>
              <w:sz w:val="27"/>
              <w:szCs w:val="27"/>
            </w:rPr>
            <w:tab/>
          </w:r>
          <w:r>
            <w:rPr>
              <w:spacing w:val="-9"/>
              <w:position w:val="1"/>
              <w:sz w:val="27"/>
              <w:szCs w:val="27"/>
            </w:rPr>
            <w:t>366</w:t>
          </w:r>
          <w:r>
            <w:rPr>
              <w:spacing w:val="-9"/>
              <w:position w:val="1"/>
              <w:sz w:val="27"/>
              <w:szCs w:val="27"/>
            </w:rPr>
            <w:fldChar w:fldCharType="end"/>
          </w:r>
        </w:p>
        <w:p w14:paraId="2B53E40D">
          <w:pPr>
            <w:pStyle w:val="2"/>
            <w:tabs>
              <w:tab w:val="right" w:leader="dot" w:pos="9270"/>
            </w:tabs>
            <w:spacing w:before="29" w:line="368" w:lineRule="exact"/>
            <w:ind w:left="459"/>
            <w:rPr>
              <w:sz w:val="27"/>
              <w:szCs w:val="27"/>
            </w:rPr>
          </w:pPr>
          <w:r>
            <w:fldChar w:fldCharType="begin"/>
          </w:r>
          <w:r>
            <w:instrText xml:space="preserve"> HYPERLINK \l "bookmark148" </w:instrText>
          </w:r>
          <w:r>
            <w:fldChar w:fldCharType="separate"/>
          </w:r>
          <w:r>
            <w:rPr>
              <w:rFonts w:ascii="Times New Roman" w:hAnsi="Times New Roman" w:eastAsia="Times New Roman" w:cs="Times New Roman"/>
              <w:spacing w:val="1"/>
              <w:position w:val="2"/>
              <w:sz w:val="27"/>
              <w:szCs w:val="27"/>
            </w:rPr>
            <w:t>7.19</w:t>
          </w:r>
          <w:r>
            <w:rPr>
              <w:rFonts w:ascii="Times New Roman" w:hAnsi="Times New Roman" w:eastAsia="Times New Roman" w:cs="Times New Roman"/>
              <w:spacing w:val="10"/>
              <w:position w:val="2"/>
              <w:sz w:val="27"/>
              <w:szCs w:val="27"/>
            </w:rPr>
            <w:t xml:space="preserve">     </w:t>
          </w:r>
          <w:r>
            <w:rPr>
              <w:rFonts w:ascii="仿宋" w:hAnsi="仿宋" w:eastAsia="仿宋" w:cs="仿宋"/>
              <w:spacing w:val="1"/>
              <w:position w:val="2"/>
              <w:sz w:val="27"/>
              <w:szCs w:val="27"/>
            </w:rPr>
            <w:t>可靠性增长试验大纲</w:t>
          </w:r>
          <w:r>
            <w:rPr>
              <w:rFonts w:ascii="仿宋" w:hAnsi="仿宋" w:eastAsia="仿宋" w:cs="仿宋"/>
              <w:position w:val="2"/>
              <w:sz w:val="27"/>
              <w:szCs w:val="27"/>
            </w:rPr>
            <w:tab/>
          </w:r>
          <w:r>
            <w:rPr>
              <w:spacing w:val="-11"/>
              <w:position w:val="2"/>
              <w:sz w:val="27"/>
              <w:szCs w:val="27"/>
            </w:rPr>
            <w:t>368</w:t>
          </w:r>
          <w:r>
            <w:rPr>
              <w:spacing w:val="-11"/>
              <w:position w:val="2"/>
              <w:sz w:val="27"/>
              <w:szCs w:val="27"/>
            </w:rPr>
            <w:fldChar w:fldCharType="end"/>
          </w:r>
        </w:p>
        <w:p w14:paraId="3E83EE09">
          <w:pPr>
            <w:pStyle w:val="2"/>
            <w:tabs>
              <w:tab w:val="right" w:leader="dot" w:pos="9305"/>
            </w:tabs>
            <w:spacing w:before="32" w:line="368" w:lineRule="exact"/>
            <w:ind w:left="459"/>
            <w:rPr>
              <w:sz w:val="27"/>
              <w:szCs w:val="27"/>
            </w:rPr>
          </w:pPr>
          <w:r>
            <w:fldChar w:fldCharType="begin"/>
          </w:r>
          <w:r>
            <w:instrText xml:space="preserve"> HYPERLINK \l "bookmark149" </w:instrText>
          </w:r>
          <w:r>
            <w:fldChar w:fldCharType="separate"/>
          </w:r>
          <w:r>
            <w:rPr>
              <w:rFonts w:ascii="Times New Roman" w:hAnsi="Times New Roman" w:eastAsia="Times New Roman" w:cs="Times New Roman"/>
              <w:spacing w:val="2"/>
              <w:position w:val="2"/>
              <w:sz w:val="27"/>
              <w:szCs w:val="27"/>
            </w:rPr>
            <w:t>7.20</w:t>
          </w:r>
          <w:r>
            <w:rPr>
              <w:rFonts w:ascii="Times New Roman" w:hAnsi="Times New Roman" w:eastAsia="Times New Roman" w:cs="Times New Roman"/>
              <w:spacing w:val="10"/>
              <w:position w:val="2"/>
              <w:sz w:val="27"/>
              <w:szCs w:val="27"/>
            </w:rPr>
            <w:t xml:space="preserve">     </w:t>
          </w:r>
          <w:r>
            <w:rPr>
              <w:rFonts w:ascii="仿宋" w:hAnsi="仿宋" w:eastAsia="仿宋" w:cs="仿宋"/>
              <w:spacing w:val="2"/>
              <w:position w:val="2"/>
              <w:sz w:val="27"/>
              <w:szCs w:val="27"/>
            </w:rPr>
            <w:t>可靠性增长试验报告</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spacing w:val="-11"/>
              <w:position w:val="2"/>
              <w:sz w:val="27"/>
              <w:szCs w:val="27"/>
            </w:rPr>
            <w:t>371</w:t>
          </w:r>
          <w:r>
            <w:rPr>
              <w:spacing w:val="-11"/>
              <w:position w:val="2"/>
              <w:sz w:val="27"/>
              <w:szCs w:val="27"/>
            </w:rPr>
            <w:fldChar w:fldCharType="end"/>
          </w:r>
        </w:p>
        <w:p w14:paraId="5FD5183E">
          <w:pPr>
            <w:pStyle w:val="2"/>
            <w:tabs>
              <w:tab w:val="right" w:leader="dot" w:pos="9272"/>
            </w:tabs>
            <w:spacing w:before="62" w:line="368" w:lineRule="exact"/>
            <w:ind w:left="459"/>
            <w:rPr>
              <w:sz w:val="27"/>
              <w:szCs w:val="27"/>
            </w:rPr>
          </w:pPr>
          <w:r>
            <w:fldChar w:fldCharType="begin"/>
          </w:r>
          <w:r>
            <w:instrText xml:space="preserve"> HYPERLINK \l "bookmark150" </w:instrText>
          </w:r>
          <w:r>
            <w:fldChar w:fldCharType="separate"/>
          </w:r>
          <w:r>
            <w:rPr>
              <w:rFonts w:ascii="Times New Roman" w:hAnsi="Times New Roman" w:eastAsia="Times New Roman" w:cs="Times New Roman"/>
              <w:spacing w:val="1"/>
              <w:position w:val="2"/>
              <w:sz w:val="27"/>
              <w:szCs w:val="27"/>
            </w:rPr>
            <w:t>7.21</w:t>
          </w:r>
          <w:r>
            <w:rPr>
              <w:rFonts w:ascii="Times New Roman" w:hAnsi="Times New Roman" w:eastAsia="Times New Roman" w:cs="Times New Roman"/>
              <w:spacing w:val="12"/>
              <w:position w:val="2"/>
              <w:sz w:val="27"/>
              <w:szCs w:val="27"/>
            </w:rPr>
            <w:t xml:space="preserve">     </w:t>
          </w:r>
          <w:r>
            <w:rPr>
              <w:rFonts w:ascii="仿宋" w:hAnsi="仿宋" w:eastAsia="仿宋" w:cs="仿宋"/>
              <w:spacing w:val="1"/>
              <w:position w:val="2"/>
              <w:sz w:val="27"/>
              <w:szCs w:val="27"/>
            </w:rPr>
            <w:t>可靠性鉴定(验收)试验方案</w:t>
          </w:r>
          <w:r>
            <w:rPr>
              <w:rFonts w:ascii="仿宋" w:hAnsi="仿宋" w:eastAsia="仿宋" w:cs="仿宋"/>
              <w:spacing w:val="-123"/>
              <w:position w:val="2"/>
              <w:sz w:val="27"/>
              <w:szCs w:val="27"/>
            </w:rPr>
            <w:t xml:space="preserve"> </w:t>
          </w:r>
          <w:r>
            <w:rPr>
              <w:rFonts w:ascii="仿宋" w:hAnsi="仿宋" w:eastAsia="仿宋" w:cs="仿宋"/>
              <w:position w:val="2"/>
              <w:sz w:val="27"/>
              <w:szCs w:val="27"/>
            </w:rPr>
            <w:tab/>
          </w:r>
          <w:r>
            <w:rPr>
              <w:spacing w:val="-15"/>
              <w:position w:val="2"/>
              <w:sz w:val="27"/>
              <w:szCs w:val="27"/>
            </w:rPr>
            <w:t>372</w:t>
          </w:r>
          <w:r>
            <w:rPr>
              <w:spacing w:val="-15"/>
              <w:position w:val="2"/>
              <w:sz w:val="27"/>
              <w:szCs w:val="27"/>
            </w:rPr>
            <w:fldChar w:fldCharType="end"/>
          </w:r>
        </w:p>
        <w:p w14:paraId="724A5D1E">
          <w:pPr>
            <w:pStyle w:val="2"/>
            <w:tabs>
              <w:tab w:val="right" w:leader="dot" w:pos="9270"/>
            </w:tabs>
            <w:spacing w:before="32" w:line="368" w:lineRule="exact"/>
            <w:ind w:left="459"/>
            <w:rPr>
              <w:sz w:val="27"/>
              <w:szCs w:val="27"/>
            </w:rPr>
          </w:pPr>
          <w:r>
            <w:fldChar w:fldCharType="begin"/>
          </w:r>
          <w:r>
            <w:instrText xml:space="preserve"> HYPERLINK \l "bookmark151" </w:instrText>
          </w:r>
          <w:r>
            <w:fldChar w:fldCharType="separate"/>
          </w:r>
          <w:r>
            <w:rPr>
              <w:rFonts w:ascii="Times New Roman" w:hAnsi="Times New Roman" w:eastAsia="Times New Roman" w:cs="Times New Roman"/>
              <w:spacing w:val="1"/>
              <w:position w:val="2"/>
              <w:sz w:val="27"/>
              <w:szCs w:val="27"/>
            </w:rPr>
            <w:t>7.22</w:t>
          </w:r>
          <w:r>
            <w:rPr>
              <w:rFonts w:ascii="Times New Roman" w:hAnsi="Times New Roman" w:eastAsia="Times New Roman" w:cs="Times New Roman"/>
              <w:spacing w:val="11"/>
              <w:position w:val="2"/>
              <w:sz w:val="27"/>
              <w:szCs w:val="27"/>
            </w:rPr>
            <w:t xml:space="preserve">     </w:t>
          </w:r>
          <w:r>
            <w:rPr>
              <w:rFonts w:ascii="仿宋" w:hAnsi="仿宋" w:eastAsia="仿宋" w:cs="仿宋"/>
              <w:spacing w:val="1"/>
              <w:position w:val="2"/>
              <w:sz w:val="27"/>
              <w:szCs w:val="27"/>
            </w:rPr>
            <w:t>可靠性鉴定(验收)试验大纲</w:t>
          </w:r>
          <w:r>
            <w:rPr>
              <w:rFonts w:ascii="仿宋" w:hAnsi="仿宋" w:eastAsia="仿宋" w:cs="仿宋"/>
              <w:position w:val="2"/>
              <w:sz w:val="27"/>
              <w:szCs w:val="27"/>
            </w:rPr>
            <w:tab/>
          </w:r>
          <w:r>
            <w:rPr>
              <w:spacing w:val="-13"/>
              <w:position w:val="2"/>
              <w:sz w:val="27"/>
              <w:szCs w:val="27"/>
            </w:rPr>
            <w:t>373</w:t>
          </w:r>
          <w:r>
            <w:rPr>
              <w:spacing w:val="-13"/>
              <w:position w:val="2"/>
              <w:sz w:val="27"/>
              <w:szCs w:val="27"/>
            </w:rPr>
            <w:fldChar w:fldCharType="end"/>
          </w:r>
        </w:p>
        <w:p w14:paraId="28E0DDD1">
          <w:pPr>
            <w:pStyle w:val="2"/>
            <w:tabs>
              <w:tab w:val="right" w:leader="dot" w:pos="9270"/>
            </w:tabs>
            <w:spacing w:before="42" w:line="368" w:lineRule="exact"/>
            <w:ind w:left="459"/>
            <w:rPr>
              <w:sz w:val="27"/>
              <w:szCs w:val="27"/>
            </w:rPr>
          </w:pPr>
          <w:r>
            <w:fldChar w:fldCharType="begin"/>
          </w:r>
          <w:r>
            <w:instrText xml:space="preserve"> HYPERLINK \l "bookmark152" </w:instrText>
          </w:r>
          <w:r>
            <w:fldChar w:fldCharType="separate"/>
          </w:r>
          <w:r>
            <w:rPr>
              <w:rFonts w:ascii="Times New Roman" w:hAnsi="Times New Roman" w:eastAsia="Times New Roman" w:cs="Times New Roman"/>
              <w:spacing w:val="2"/>
              <w:position w:val="2"/>
              <w:sz w:val="27"/>
              <w:szCs w:val="27"/>
            </w:rPr>
            <w:t>7.23</w:t>
          </w:r>
          <w:r>
            <w:rPr>
              <w:rFonts w:ascii="Times New Roman" w:hAnsi="Times New Roman" w:eastAsia="Times New Roman" w:cs="Times New Roman"/>
              <w:spacing w:val="12"/>
              <w:position w:val="2"/>
              <w:sz w:val="27"/>
              <w:szCs w:val="27"/>
            </w:rPr>
            <w:t xml:space="preserve">     </w:t>
          </w:r>
          <w:r>
            <w:rPr>
              <w:rFonts w:ascii="仿宋" w:hAnsi="仿宋" w:eastAsia="仿宋" w:cs="仿宋"/>
              <w:spacing w:val="2"/>
              <w:position w:val="2"/>
              <w:sz w:val="27"/>
              <w:szCs w:val="27"/>
            </w:rPr>
            <w:t>可靠性鉴定(验收)试验程序</w:t>
          </w:r>
          <w:r>
            <w:rPr>
              <w:rFonts w:ascii="仿宋" w:hAnsi="仿宋" w:eastAsia="仿宋" w:cs="仿宋"/>
              <w:position w:val="2"/>
              <w:sz w:val="27"/>
              <w:szCs w:val="27"/>
            </w:rPr>
            <w:tab/>
          </w:r>
          <w:r>
            <w:rPr>
              <w:spacing w:val="-12"/>
              <w:position w:val="2"/>
              <w:sz w:val="27"/>
              <w:szCs w:val="27"/>
            </w:rPr>
            <w:t>376</w:t>
          </w:r>
          <w:r>
            <w:rPr>
              <w:spacing w:val="-12"/>
              <w:position w:val="2"/>
              <w:sz w:val="27"/>
              <w:szCs w:val="27"/>
            </w:rPr>
            <w:fldChar w:fldCharType="end"/>
          </w:r>
        </w:p>
        <w:p w14:paraId="3A272873">
          <w:pPr>
            <w:pStyle w:val="2"/>
            <w:tabs>
              <w:tab w:val="right" w:leader="dot" w:pos="9270"/>
            </w:tabs>
            <w:spacing w:before="42" w:line="368" w:lineRule="exact"/>
            <w:ind w:left="459"/>
            <w:rPr>
              <w:sz w:val="27"/>
              <w:szCs w:val="27"/>
            </w:rPr>
          </w:pPr>
          <w:r>
            <w:fldChar w:fldCharType="begin"/>
          </w:r>
          <w:r>
            <w:instrText xml:space="preserve"> HYPERLINK \l "bookmark153" </w:instrText>
          </w:r>
          <w:r>
            <w:fldChar w:fldCharType="separate"/>
          </w:r>
          <w:r>
            <w:rPr>
              <w:rFonts w:ascii="Times New Roman" w:hAnsi="Times New Roman" w:eastAsia="Times New Roman" w:cs="Times New Roman"/>
              <w:spacing w:val="2"/>
              <w:position w:val="2"/>
              <w:sz w:val="27"/>
              <w:szCs w:val="27"/>
            </w:rPr>
            <w:t>7.24</w:t>
          </w:r>
          <w:r>
            <w:rPr>
              <w:rFonts w:ascii="Times New Roman" w:hAnsi="Times New Roman" w:eastAsia="Times New Roman" w:cs="Times New Roman"/>
              <w:spacing w:val="12"/>
              <w:position w:val="2"/>
              <w:sz w:val="27"/>
              <w:szCs w:val="27"/>
            </w:rPr>
            <w:t xml:space="preserve">     </w:t>
          </w:r>
          <w:r>
            <w:rPr>
              <w:rFonts w:ascii="仿宋" w:hAnsi="仿宋" w:eastAsia="仿宋" w:cs="仿宋"/>
              <w:spacing w:val="2"/>
              <w:position w:val="2"/>
              <w:sz w:val="27"/>
              <w:szCs w:val="27"/>
            </w:rPr>
            <w:t>可靠性鉴定(验收)试验报告</w:t>
          </w:r>
          <w:r>
            <w:rPr>
              <w:rFonts w:ascii="仿宋" w:hAnsi="仿宋" w:eastAsia="仿宋" w:cs="仿宋"/>
              <w:spacing w:val="-120"/>
              <w:position w:val="2"/>
              <w:sz w:val="27"/>
              <w:szCs w:val="27"/>
            </w:rPr>
            <w:t xml:space="preserve"> </w:t>
          </w:r>
          <w:r>
            <w:rPr>
              <w:rFonts w:ascii="仿宋" w:hAnsi="仿宋" w:eastAsia="仿宋" w:cs="仿宋"/>
              <w:position w:val="2"/>
              <w:sz w:val="27"/>
              <w:szCs w:val="27"/>
            </w:rPr>
            <w:tab/>
          </w:r>
          <w:r>
            <w:rPr>
              <w:spacing w:val="-9"/>
              <w:position w:val="2"/>
              <w:sz w:val="27"/>
              <w:szCs w:val="27"/>
            </w:rPr>
            <w:t>376</w:t>
          </w:r>
          <w:r>
            <w:rPr>
              <w:spacing w:val="-9"/>
              <w:position w:val="2"/>
              <w:sz w:val="27"/>
              <w:szCs w:val="27"/>
            </w:rPr>
            <w:fldChar w:fldCharType="end"/>
          </w:r>
        </w:p>
        <w:p w14:paraId="553CCC4F">
          <w:pPr>
            <w:pStyle w:val="2"/>
            <w:tabs>
              <w:tab w:val="right" w:leader="dot" w:pos="9270"/>
            </w:tabs>
            <w:spacing w:before="32" w:line="368" w:lineRule="exact"/>
            <w:ind w:left="459"/>
            <w:rPr>
              <w:sz w:val="27"/>
              <w:szCs w:val="27"/>
            </w:rPr>
          </w:pPr>
          <w:r>
            <w:fldChar w:fldCharType="begin"/>
          </w:r>
          <w:r>
            <w:instrText xml:space="preserve"> HYPERLINK \l "bookmark154" </w:instrText>
          </w:r>
          <w:r>
            <w:fldChar w:fldCharType="separate"/>
          </w:r>
          <w:r>
            <w:rPr>
              <w:rFonts w:ascii="Times New Roman" w:hAnsi="Times New Roman" w:eastAsia="Times New Roman" w:cs="Times New Roman"/>
              <w:spacing w:val="2"/>
              <w:position w:val="2"/>
              <w:sz w:val="27"/>
              <w:szCs w:val="27"/>
            </w:rPr>
            <w:t>7.25</w:t>
          </w:r>
          <w:r>
            <w:rPr>
              <w:rFonts w:ascii="Times New Roman" w:hAnsi="Times New Roman" w:eastAsia="Times New Roman" w:cs="Times New Roman"/>
              <w:spacing w:val="14"/>
              <w:position w:val="2"/>
              <w:sz w:val="27"/>
              <w:szCs w:val="27"/>
            </w:rPr>
            <w:t xml:space="preserve">     </w:t>
          </w:r>
          <w:r>
            <w:rPr>
              <w:rFonts w:ascii="仿宋" w:hAnsi="仿宋" w:eastAsia="仿宋" w:cs="仿宋"/>
              <w:spacing w:val="2"/>
              <w:position w:val="2"/>
              <w:sz w:val="27"/>
              <w:szCs w:val="27"/>
            </w:rPr>
            <w:t>可靠性鉴定(验收)试验总结</w:t>
          </w:r>
          <w:r>
            <w:rPr>
              <w:rFonts w:ascii="仿宋" w:hAnsi="仿宋" w:eastAsia="仿宋" w:cs="仿宋"/>
              <w:position w:val="2"/>
              <w:sz w:val="27"/>
              <w:szCs w:val="27"/>
            </w:rPr>
            <w:tab/>
          </w:r>
          <w:r>
            <w:rPr>
              <w:spacing w:val="-9"/>
              <w:position w:val="2"/>
              <w:sz w:val="27"/>
              <w:szCs w:val="27"/>
            </w:rPr>
            <w:t>377</w:t>
          </w:r>
          <w:r>
            <w:rPr>
              <w:spacing w:val="-9"/>
              <w:position w:val="2"/>
              <w:sz w:val="27"/>
              <w:szCs w:val="27"/>
            </w:rPr>
            <w:fldChar w:fldCharType="end"/>
          </w:r>
        </w:p>
        <w:p w14:paraId="6E7FFB9F">
          <w:pPr>
            <w:pStyle w:val="2"/>
            <w:tabs>
              <w:tab w:val="right" w:leader="dot" w:pos="9270"/>
            </w:tabs>
            <w:spacing w:before="52" w:line="368" w:lineRule="exact"/>
            <w:ind w:left="459"/>
            <w:rPr>
              <w:sz w:val="27"/>
              <w:szCs w:val="27"/>
            </w:rPr>
          </w:pPr>
          <w:r>
            <w:fldChar w:fldCharType="begin"/>
          </w:r>
          <w:r>
            <w:instrText xml:space="preserve"> HYPERLINK \l "bookmark155" </w:instrText>
          </w:r>
          <w:r>
            <w:fldChar w:fldCharType="separate"/>
          </w:r>
          <w:r>
            <w:rPr>
              <w:rFonts w:ascii="Times New Roman" w:hAnsi="Times New Roman" w:eastAsia="Times New Roman" w:cs="Times New Roman"/>
              <w:position w:val="2"/>
              <w:sz w:val="27"/>
              <w:szCs w:val="27"/>
            </w:rPr>
            <w:t>7.26</w:t>
          </w:r>
          <w:r>
            <w:rPr>
              <w:rFonts w:ascii="Times New Roman" w:hAnsi="Times New Roman" w:eastAsia="Times New Roman" w:cs="Times New Roman"/>
              <w:spacing w:val="13"/>
              <w:position w:val="2"/>
              <w:sz w:val="27"/>
              <w:szCs w:val="27"/>
            </w:rPr>
            <w:t xml:space="preserve">     </w:t>
          </w:r>
          <w:r>
            <w:rPr>
              <w:rFonts w:ascii="仿宋" w:hAnsi="仿宋" w:eastAsia="仿宋" w:cs="仿宋"/>
              <w:position w:val="2"/>
              <w:sz w:val="27"/>
              <w:szCs w:val="27"/>
            </w:rPr>
            <w:t>可靠性分析评价</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13"/>
              <w:position w:val="2"/>
              <w:sz w:val="27"/>
              <w:szCs w:val="27"/>
            </w:rPr>
            <w:t>380</w:t>
          </w:r>
          <w:r>
            <w:rPr>
              <w:spacing w:val="-13"/>
              <w:position w:val="2"/>
              <w:sz w:val="27"/>
              <w:szCs w:val="27"/>
            </w:rPr>
            <w:fldChar w:fldCharType="end"/>
          </w:r>
        </w:p>
        <w:p w14:paraId="27946CD9">
          <w:pPr>
            <w:pStyle w:val="2"/>
            <w:tabs>
              <w:tab w:val="right" w:leader="dot" w:pos="9305"/>
            </w:tabs>
            <w:spacing w:before="32" w:line="368" w:lineRule="exact"/>
            <w:ind w:left="459"/>
            <w:rPr>
              <w:sz w:val="27"/>
              <w:szCs w:val="27"/>
            </w:rPr>
          </w:pPr>
          <w:r>
            <w:fldChar w:fldCharType="begin"/>
          </w:r>
          <w:r>
            <w:instrText xml:space="preserve"> HYPERLINK \l "bookmark156" </w:instrText>
          </w:r>
          <w:r>
            <w:fldChar w:fldCharType="separate"/>
          </w:r>
          <w:r>
            <w:rPr>
              <w:rFonts w:ascii="Times New Roman" w:hAnsi="Times New Roman" w:eastAsia="Times New Roman" w:cs="Times New Roman"/>
              <w:spacing w:val="4"/>
              <w:position w:val="2"/>
              <w:sz w:val="27"/>
              <w:szCs w:val="27"/>
            </w:rPr>
            <w:t xml:space="preserve">7.27     </w:t>
          </w:r>
          <w:r>
            <w:rPr>
              <w:rFonts w:ascii="仿宋" w:hAnsi="仿宋" w:eastAsia="仿宋" w:cs="仿宋"/>
              <w:spacing w:val="4"/>
              <w:position w:val="2"/>
              <w:sz w:val="27"/>
              <w:szCs w:val="27"/>
            </w:rPr>
            <w:t>使用期间可靠性信息收集计划</w:t>
          </w:r>
          <w:r>
            <w:rPr>
              <w:rFonts w:ascii="仿宋" w:hAnsi="仿宋" w:eastAsia="仿宋" w:cs="仿宋"/>
              <w:position w:val="2"/>
              <w:sz w:val="27"/>
              <w:szCs w:val="27"/>
            </w:rPr>
            <w:tab/>
          </w:r>
          <w:r>
            <w:rPr>
              <w:spacing w:val="-15"/>
              <w:position w:val="2"/>
              <w:sz w:val="27"/>
              <w:szCs w:val="27"/>
            </w:rPr>
            <w:t>381</w:t>
          </w:r>
          <w:r>
            <w:rPr>
              <w:spacing w:val="-15"/>
              <w:position w:val="2"/>
              <w:sz w:val="27"/>
              <w:szCs w:val="27"/>
            </w:rPr>
            <w:fldChar w:fldCharType="end"/>
          </w:r>
        </w:p>
        <w:p w14:paraId="48C80EE4">
          <w:pPr>
            <w:pStyle w:val="2"/>
            <w:tabs>
              <w:tab w:val="right" w:leader="dot" w:pos="9305"/>
            </w:tabs>
            <w:spacing w:before="82" w:line="368" w:lineRule="exact"/>
            <w:ind w:left="459"/>
            <w:rPr>
              <w:sz w:val="27"/>
              <w:szCs w:val="27"/>
            </w:rPr>
          </w:pPr>
          <w:r>
            <w:fldChar w:fldCharType="begin"/>
          </w:r>
          <w:r>
            <w:instrText xml:space="preserve"> HYPERLINK \l "bookmark157" </w:instrText>
          </w:r>
          <w:r>
            <w:fldChar w:fldCharType="separate"/>
          </w:r>
          <w:r>
            <w:rPr>
              <w:rFonts w:ascii="Times New Roman" w:hAnsi="Times New Roman" w:eastAsia="Times New Roman" w:cs="Times New Roman"/>
              <w:spacing w:val="4"/>
              <w:position w:val="2"/>
              <w:sz w:val="27"/>
              <w:szCs w:val="27"/>
            </w:rPr>
            <w:t xml:space="preserve">7.28     </w:t>
          </w:r>
          <w:r>
            <w:rPr>
              <w:rFonts w:ascii="仿宋" w:hAnsi="仿宋" w:eastAsia="仿宋" w:cs="仿宋"/>
              <w:spacing w:val="4"/>
              <w:position w:val="2"/>
              <w:sz w:val="27"/>
              <w:szCs w:val="27"/>
            </w:rPr>
            <w:t>使用期间可靠性信息分</w:t>
          </w:r>
          <w:r>
            <w:rPr>
              <w:rFonts w:ascii="仿宋" w:hAnsi="仿宋" w:eastAsia="仿宋" w:cs="仿宋"/>
              <w:spacing w:val="3"/>
              <w:position w:val="2"/>
              <w:sz w:val="27"/>
              <w:szCs w:val="27"/>
            </w:rPr>
            <w:t>类与编码</w:t>
          </w:r>
          <w:r>
            <w:rPr>
              <w:rFonts w:ascii="仿宋" w:hAnsi="仿宋" w:eastAsia="仿宋" w:cs="仿宋"/>
              <w:spacing w:val="-124"/>
              <w:position w:val="2"/>
              <w:sz w:val="27"/>
              <w:szCs w:val="27"/>
            </w:rPr>
            <w:t xml:space="preserve"> </w:t>
          </w:r>
          <w:r>
            <w:rPr>
              <w:rFonts w:ascii="仿宋" w:hAnsi="仿宋" w:eastAsia="仿宋" w:cs="仿宋"/>
              <w:position w:val="2"/>
              <w:sz w:val="27"/>
              <w:szCs w:val="27"/>
            </w:rPr>
            <w:tab/>
          </w:r>
          <w:r>
            <w:rPr>
              <w:spacing w:val="-15"/>
              <w:position w:val="2"/>
              <w:sz w:val="27"/>
              <w:szCs w:val="27"/>
            </w:rPr>
            <w:t>381</w:t>
          </w:r>
          <w:r>
            <w:rPr>
              <w:spacing w:val="-15"/>
              <w:position w:val="2"/>
              <w:sz w:val="27"/>
              <w:szCs w:val="27"/>
            </w:rPr>
            <w:fldChar w:fldCharType="end"/>
          </w:r>
        </w:p>
        <w:p w14:paraId="545AF139">
          <w:pPr>
            <w:pStyle w:val="2"/>
            <w:tabs>
              <w:tab w:val="right" w:leader="dot" w:pos="9270"/>
            </w:tabs>
            <w:spacing w:before="12" w:line="368" w:lineRule="exact"/>
            <w:ind w:left="459"/>
            <w:rPr>
              <w:sz w:val="27"/>
              <w:szCs w:val="27"/>
            </w:rPr>
          </w:pPr>
          <w:r>
            <w:fldChar w:fldCharType="begin"/>
          </w:r>
          <w:r>
            <w:instrText xml:space="preserve"> HYPERLINK \l "bookmark158" </w:instrText>
          </w:r>
          <w:r>
            <w:fldChar w:fldCharType="separate"/>
          </w:r>
          <w:r>
            <w:rPr>
              <w:rFonts w:ascii="Times New Roman" w:hAnsi="Times New Roman" w:eastAsia="Times New Roman" w:cs="Times New Roman"/>
              <w:spacing w:val="4"/>
              <w:position w:val="2"/>
              <w:sz w:val="27"/>
              <w:szCs w:val="27"/>
            </w:rPr>
            <w:t xml:space="preserve">7.29     </w:t>
          </w:r>
          <w:r>
            <w:rPr>
              <w:rFonts w:ascii="仿宋" w:hAnsi="仿宋" w:eastAsia="仿宋" w:cs="仿宋"/>
              <w:spacing w:val="4"/>
              <w:position w:val="2"/>
              <w:sz w:val="27"/>
              <w:szCs w:val="27"/>
            </w:rPr>
            <w:t>使用期间可靠性评估计划</w:t>
          </w:r>
          <w:r>
            <w:rPr>
              <w:rFonts w:ascii="仿宋" w:hAnsi="仿宋" w:eastAsia="仿宋" w:cs="仿宋"/>
              <w:position w:val="2"/>
              <w:sz w:val="27"/>
              <w:szCs w:val="27"/>
            </w:rPr>
            <w:tab/>
          </w:r>
          <w:r>
            <w:rPr>
              <w:spacing w:val="-15"/>
              <w:position w:val="2"/>
              <w:sz w:val="27"/>
              <w:szCs w:val="27"/>
            </w:rPr>
            <w:t>384</w:t>
          </w:r>
          <w:r>
            <w:rPr>
              <w:spacing w:val="-15"/>
              <w:position w:val="2"/>
              <w:sz w:val="27"/>
              <w:szCs w:val="27"/>
            </w:rPr>
            <w:fldChar w:fldCharType="end"/>
          </w:r>
        </w:p>
        <w:p w14:paraId="41FD44C0">
          <w:pPr>
            <w:pStyle w:val="2"/>
            <w:tabs>
              <w:tab w:val="right" w:leader="dot" w:pos="9269"/>
            </w:tabs>
            <w:spacing w:before="62" w:line="368" w:lineRule="exact"/>
            <w:ind w:left="459"/>
            <w:rPr>
              <w:sz w:val="27"/>
              <w:szCs w:val="27"/>
            </w:rPr>
          </w:pPr>
          <w:r>
            <w:fldChar w:fldCharType="begin"/>
          </w:r>
          <w:r>
            <w:instrText xml:space="preserve"> HYPERLINK \l "bookmark159" </w:instrText>
          </w:r>
          <w:r>
            <w:fldChar w:fldCharType="separate"/>
          </w:r>
          <w:r>
            <w:rPr>
              <w:rFonts w:ascii="Times New Roman" w:hAnsi="Times New Roman" w:eastAsia="Times New Roman" w:cs="Times New Roman"/>
              <w:spacing w:val="3"/>
              <w:position w:val="2"/>
              <w:sz w:val="27"/>
              <w:szCs w:val="27"/>
            </w:rPr>
            <w:t>7.30</w:t>
          </w:r>
          <w:r>
            <w:rPr>
              <w:rFonts w:ascii="Times New Roman" w:hAnsi="Times New Roman" w:eastAsia="Times New Roman" w:cs="Times New Roman"/>
              <w:spacing w:val="10"/>
              <w:position w:val="2"/>
              <w:sz w:val="27"/>
              <w:szCs w:val="27"/>
            </w:rPr>
            <w:t xml:space="preserve">     </w:t>
          </w:r>
          <w:r>
            <w:rPr>
              <w:rFonts w:ascii="仿宋" w:hAnsi="仿宋" w:eastAsia="仿宋" w:cs="仿宋"/>
              <w:spacing w:val="3"/>
              <w:position w:val="2"/>
              <w:sz w:val="27"/>
              <w:szCs w:val="27"/>
            </w:rPr>
            <w:t>使用期间可靠性评估报告</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14"/>
              <w:position w:val="2"/>
              <w:sz w:val="27"/>
              <w:szCs w:val="27"/>
            </w:rPr>
            <w:t>385</w:t>
          </w:r>
          <w:r>
            <w:rPr>
              <w:spacing w:val="-14"/>
              <w:position w:val="2"/>
              <w:sz w:val="27"/>
              <w:szCs w:val="27"/>
            </w:rPr>
            <w:fldChar w:fldCharType="end"/>
          </w:r>
        </w:p>
        <w:p w14:paraId="75316390">
          <w:pPr>
            <w:pStyle w:val="2"/>
            <w:tabs>
              <w:tab w:val="right" w:leader="dot" w:pos="9270"/>
            </w:tabs>
            <w:spacing w:before="32" w:line="368" w:lineRule="exact"/>
            <w:ind w:left="459"/>
            <w:rPr>
              <w:sz w:val="27"/>
              <w:szCs w:val="27"/>
            </w:rPr>
          </w:pPr>
          <w:r>
            <w:fldChar w:fldCharType="begin"/>
          </w:r>
          <w:r>
            <w:instrText xml:space="preserve"> HYPERLINK \l "bookmark160" </w:instrText>
          </w:r>
          <w:r>
            <w:fldChar w:fldCharType="separate"/>
          </w:r>
          <w:r>
            <w:rPr>
              <w:rFonts w:ascii="Times New Roman" w:hAnsi="Times New Roman" w:eastAsia="Times New Roman" w:cs="Times New Roman"/>
              <w:spacing w:val="4"/>
              <w:position w:val="2"/>
              <w:sz w:val="27"/>
              <w:szCs w:val="27"/>
            </w:rPr>
            <w:t xml:space="preserve">7.31     </w:t>
          </w:r>
          <w:r>
            <w:rPr>
              <w:rFonts w:ascii="仿宋" w:hAnsi="仿宋" w:eastAsia="仿宋" w:cs="仿宋"/>
              <w:spacing w:val="4"/>
              <w:position w:val="2"/>
              <w:sz w:val="27"/>
              <w:szCs w:val="27"/>
            </w:rPr>
            <w:t>使用期间可靠性改进计划</w:t>
          </w:r>
          <w:r>
            <w:rPr>
              <w:rFonts w:ascii="仿宋" w:hAnsi="仿宋" w:eastAsia="仿宋" w:cs="仿宋"/>
              <w:position w:val="2"/>
              <w:sz w:val="27"/>
              <w:szCs w:val="27"/>
            </w:rPr>
            <w:tab/>
          </w:r>
          <w:r>
            <w:rPr>
              <w:spacing w:val="-13"/>
              <w:position w:val="2"/>
              <w:sz w:val="27"/>
              <w:szCs w:val="27"/>
            </w:rPr>
            <w:t>385</w:t>
          </w:r>
          <w:r>
            <w:rPr>
              <w:spacing w:val="-13"/>
              <w:position w:val="2"/>
              <w:sz w:val="27"/>
              <w:szCs w:val="27"/>
            </w:rPr>
            <w:fldChar w:fldCharType="end"/>
          </w:r>
        </w:p>
        <w:p w14:paraId="2776B72F">
          <w:pPr>
            <w:pStyle w:val="2"/>
            <w:tabs>
              <w:tab w:val="right" w:leader="dot" w:pos="9270"/>
            </w:tabs>
            <w:spacing w:before="32" w:line="368" w:lineRule="exact"/>
            <w:ind w:left="459"/>
            <w:rPr>
              <w:sz w:val="27"/>
              <w:szCs w:val="27"/>
            </w:rPr>
          </w:pPr>
          <w:r>
            <w:fldChar w:fldCharType="begin"/>
          </w:r>
          <w:r>
            <w:instrText xml:space="preserve"> HYPERLINK \l "bookmark161" </w:instrText>
          </w:r>
          <w:r>
            <w:fldChar w:fldCharType="separate"/>
          </w:r>
          <w:r>
            <w:rPr>
              <w:rFonts w:ascii="Times New Roman" w:hAnsi="Times New Roman" w:eastAsia="Times New Roman" w:cs="Times New Roman"/>
              <w:spacing w:val="5"/>
              <w:position w:val="2"/>
              <w:sz w:val="27"/>
              <w:szCs w:val="27"/>
            </w:rPr>
            <w:t xml:space="preserve">7.32     </w:t>
          </w:r>
          <w:r>
            <w:rPr>
              <w:rFonts w:ascii="仿宋" w:hAnsi="仿宋" w:eastAsia="仿宋" w:cs="仿宋"/>
              <w:spacing w:val="5"/>
              <w:position w:val="2"/>
              <w:sz w:val="27"/>
              <w:szCs w:val="27"/>
            </w:rPr>
            <w:t>使用期间可靠性改进项目报告</w:t>
          </w:r>
          <w:r>
            <w:rPr>
              <w:rFonts w:ascii="仿宋" w:hAnsi="仿宋" w:eastAsia="仿宋" w:cs="仿宋"/>
              <w:spacing w:val="-116"/>
              <w:position w:val="2"/>
              <w:sz w:val="27"/>
              <w:szCs w:val="27"/>
            </w:rPr>
            <w:t xml:space="preserve"> </w:t>
          </w:r>
          <w:r>
            <w:rPr>
              <w:rFonts w:ascii="仿宋" w:hAnsi="仿宋" w:eastAsia="仿宋" w:cs="仿宋"/>
              <w:position w:val="2"/>
              <w:sz w:val="27"/>
              <w:szCs w:val="27"/>
            </w:rPr>
            <w:tab/>
          </w:r>
          <w:r>
            <w:rPr>
              <w:spacing w:val="-11"/>
              <w:position w:val="2"/>
              <w:sz w:val="27"/>
              <w:szCs w:val="27"/>
            </w:rPr>
            <w:t>386</w:t>
          </w:r>
          <w:r>
            <w:rPr>
              <w:spacing w:val="-11"/>
              <w:position w:val="2"/>
              <w:sz w:val="27"/>
              <w:szCs w:val="27"/>
            </w:rPr>
            <w:fldChar w:fldCharType="end"/>
          </w:r>
        </w:p>
        <w:p w14:paraId="4A931B09">
          <w:pPr>
            <w:pStyle w:val="2"/>
            <w:tabs>
              <w:tab w:val="right" w:leader="dot" w:pos="9270"/>
            </w:tabs>
            <w:spacing w:before="57" w:line="368" w:lineRule="exact"/>
            <w:rPr>
              <w:sz w:val="27"/>
              <w:szCs w:val="27"/>
            </w:rPr>
          </w:pPr>
          <w:r>
            <w:fldChar w:fldCharType="begin"/>
          </w:r>
          <w:r>
            <w:instrText xml:space="preserve"> HYPERLINK \l "bookmark162" </w:instrText>
          </w:r>
          <w:r>
            <w:fldChar w:fldCharType="separate"/>
          </w:r>
          <w:r>
            <w:rPr>
              <w:rFonts w:ascii="黑体" w:hAnsi="黑体" w:eastAsia="黑体" w:cs="黑体"/>
              <w:spacing w:val="16"/>
              <w:position w:val="1"/>
              <w:sz w:val="27"/>
              <w:szCs w:val="27"/>
            </w:rPr>
            <w:t>第</w:t>
          </w:r>
          <w:r>
            <w:rPr>
              <w:rFonts w:ascii="黑体" w:hAnsi="黑体" w:eastAsia="黑体" w:cs="黑体"/>
              <w:spacing w:val="-65"/>
              <w:position w:val="1"/>
              <w:sz w:val="27"/>
              <w:szCs w:val="27"/>
            </w:rPr>
            <w:t xml:space="preserve"> </w:t>
          </w:r>
          <w:r>
            <w:rPr>
              <w:rFonts w:ascii="黑体" w:hAnsi="黑体" w:eastAsia="黑体" w:cs="黑体"/>
              <w:spacing w:val="16"/>
              <w:position w:val="1"/>
              <w:sz w:val="27"/>
              <w:szCs w:val="27"/>
            </w:rPr>
            <w:t>8</w:t>
          </w:r>
          <w:r>
            <w:rPr>
              <w:rFonts w:ascii="黑体" w:hAnsi="黑体" w:eastAsia="黑体" w:cs="黑体"/>
              <w:spacing w:val="-61"/>
              <w:position w:val="1"/>
              <w:sz w:val="27"/>
              <w:szCs w:val="27"/>
            </w:rPr>
            <w:t xml:space="preserve"> </w:t>
          </w:r>
          <w:r>
            <w:rPr>
              <w:rFonts w:ascii="黑体" w:hAnsi="黑体" w:eastAsia="黑体" w:cs="黑体"/>
              <w:spacing w:val="16"/>
              <w:position w:val="1"/>
              <w:sz w:val="27"/>
              <w:szCs w:val="27"/>
            </w:rPr>
            <w:t>章</w:t>
          </w:r>
          <w:r>
            <w:rPr>
              <w:rFonts w:ascii="黑体" w:hAnsi="黑体" w:eastAsia="黑体" w:cs="黑体"/>
              <w:spacing w:val="39"/>
              <w:position w:val="1"/>
              <w:sz w:val="27"/>
              <w:szCs w:val="27"/>
            </w:rPr>
            <w:t xml:space="preserve"> </w:t>
          </w:r>
          <w:r>
            <w:rPr>
              <w:rFonts w:ascii="黑体" w:hAnsi="黑体" w:eastAsia="黑体" w:cs="黑体"/>
              <w:spacing w:val="16"/>
              <w:position w:val="1"/>
              <w:sz w:val="27"/>
              <w:szCs w:val="27"/>
            </w:rPr>
            <w:t>维修性文件</w:t>
          </w:r>
          <w:r>
            <w:rPr>
              <w:rFonts w:ascii="黑体" w:hAnsi="黑体" w:eastAsia="黑体" w:cs="黑体"/>
              <w:spacing w:val="-117"/>
              <w:position w:val="1"/>
              <w:sz w:val="27"/>
              <w:szCs w:val="27"/>
            </w:rPr>
            <w:t xml:space="preserve"> </w:t>
          </w:r>
          <w:r>
            <w:rPr>
              <w:rFonts w:ascii="黑体" w:hAnsi="黑体" w:eastAsia="黑体" w:cs="黑体"/>
              <w:position w:val="1"/>
              <w:sz w:val="27"/>
              <w:szCs w:val="27"/>
            </w:rPr>
            <w:tab/>
          </w:r>
          <w:r>
            <w:rPr>
              <w:spacing w:val="-14"/>
              <w:position w:val="1"/>
              <w:sz w:val="27"/>
              <w:szCs w:val="27"/>
            </w:rPr>
            <w:t>388</w:t>
          </w:r>
          <w:r>
            <w:rPr>
              <w:spacing w:val="-14"/>
              <w:position w:val="1"/>
              <w:sz w:val="27"/>
              <w:szCs w:val="27"/>
            </w:rPr>
            <w:fldChar w:fldCharType="end"/>
          </w:r>
        </w:p>
        <w:p w14:paraId="1AB73CB7">
          <w:pPr>
            <w:pStyle w:val="2"/>
            <w:tabs>
              <w:tab w:val="right" w:leader="dot" w:pos="9270"/>
            </w:tabs>
            <w:spacing w:before="37" w:line="368" w:lineRule="exact"/>
            <w:ind w:left="459"/>
            <w:rPr>
              <w:sz w:val="27"/>
              <w:szCs w:val="27"/>
            </w:rPr>
          </w:pPr>
          <w:r>
            <w:fldChar w:fldCharType="begin"/>
          </w:r>
          <w:r>
            <w:instrText xml:space="preserve"> HYPERLINK \l "bookmark163" </w:instrText>
          </w:r>
          <w:r>
            <w:fldChar w:fldCharType="separate"/>
          </w:r>
          <w:r>
            <w:rPr>
              <w:rFonts w:ascii="Times New Roman" w:hAnsi="Times New Roman" w:eastAsia="Times New Roman" w:cs="Times New Roman"/>
              <w:spacing w:val="-4"/>
              <w:position w:val="2"/>
              <w:sz w:val="27"/>
              <w:szCs w:val="27"/>
            </w:rPr>
            <w:t xml:space="preserve">8.1      </w:t>
          </w:r>
          <w:r>
            <w:rPr>
              <w:rFonts w:ascii="仿宋" w:hAnsi="仿宋" w:eastAsia="仿宋" w:cs="仿宋"/>
              <w:spacing w:val="-4"/>
              <w:position w:val="2"/>
              <w:sz w:val="27"/>
              <w:szCs w:val="27"/>
            </w:rPr>
            <w:t>维修性要求</w:t>
          </w:r>
          <w:r>
            <w:rPr>
              <w:rFonts w:ascii="仿宋" w:hAnsi="仿宋" w:eastAsia="仿宋" w:cs="仿宋"/>
              <w:spacing w:val="-103"/>
              <w:position w:val="2"/>
              <w:sz w:val="27"/>
              <w:szCs w:val="27"/>
            </w:rPr>
            <w:t xml:space="preserve"> </w:t>
          </w:r>
          <w:r>
            <w:rPr>
              <w:rFonts w:ascii="仿宋" w:hAnsi="仿宋" w:eastAsia="仿宋" w:cs="仿宋"/>
              <w:position w:val="2"/>
              <w:sz w:val="27"/>
              <w:szCs w:val="27"/>
            </w:rPr>
            <w:tab/>
          </w:r>
          <w:r>
            <w:rPr>
              <w:spacing w:val="-9"/>
              <w:position w:val="2"/>
              <w:sz w:val="27"/>
              <w:szCs w:val="27"/>
            </w:rPr>
            <w:t>388</w:t>
          </w:r>
          <w:r>
            <w:rPr>
              <w:spacing w:val="-9"/>
              <w:position w:val="2"/>
              <w:sz w:val="27"/>
              <w:szCs w:val="27"/>
            </w:rPr>
            <w:fldChar w:fldCharType="end"/>
          </w:r>
        </w:p>
        <w:p w14:paraId="4388BE81">
          <w:pPr>
            <w:pStyle w:val="2"/>
            <w:tabs>
              <w:tab w:val="right" w:leader="dot" w:pos="9272"/>
            </w:tabs>
            <w:spacing w:before="22" w:line="368" w:lineRule="exact"/>
            <w:ind w:left="459"/>
            <w:rPr>
              <w:sz w:val="27"/>
              <w:szCs w:val="27"/>
            </w:rPr>
          </w:pPr>
          <w:r>
            <w:fldChar w:fldCharType="begin"/>
          </w:r>
          <w:r>
            <w:instrText xml:space="preserve"> HYPERLINK \l "bookmark164" </w:instrText>
          </w:r>
          <w:r>
            <w:fldChar w:fldCharType="separate"/>
          </w:r>
          <w:r>
            <w:rPr>
              <w:rFonts w:ascii="Times New Roman" w:hAnsi="Times New Roman" w:eastAsia="Times New Roman" w:cs="Times New Roman"/>
              <w:position w:val="2"/>
              <w:sz w:val="27"/>
              <w:szCs w:val="27"/>
            </w:rPr>
            <w:t>8.2</w:t>
          </w:r>
          <w:r>
            <w:rPr>
              <w:rFonts w:ascii="Times New Roman" w:hAnsi="Times New Roman" w:eastAsia="Times New Roman" w:cs="Times New Roman"/>
              <w:spacing w:val="9"/>
              <w:position w:val="2"/>
              <w:sz w:val="27"/>
              <w:szCs w:val="27"/>
            </w:rPr>
            <w:t xml:space="preserve">     </w:t>
          </w:r>
          <w:r>
            <w:rPr>
              <w:rFonts w:ascii="仿宋" w:hAnsi="仿宋" w:eastAsia="仿宋" w:cs="仿宋"/>
              <w:position w:val="2"/>
              <w:sz w:val="27"/>
              <w:szCs w:val="27"/>
            </w:rPr>
            <w:t>维修性工作项目要求</w:t>
          </w:r>
          <w:r>
            <w:rPr>
              <w:rFonts w:ascii="仿宋" w:hAnsi="仿宋" w:eastAsia="仿宋" w:cs="仿宋"/>
              <w:spacing w:val="-126"/>
              <w:position w:val="2"/>
              <w:sz w:val="27"/>
              <w:szCs w:val="27"/>
            </w:rPr>
            <w:t xml:space="preserve"> </w:t>
          </w:r>
          <w:r>
            <w:rPr>
              <w:rFonts w:ascii="仿宋" w:hAnsi="仿宋" w:eastAsia="仿宋" w:cs="仿宋"/>
              <w:position w:val="2"/>
              <w:sz w:val="27"/>
              <w:szCs w:val="27"/>
            </w:rPr>
            <w:tab/>
          </w:r>
          <w:r>
            <w:rPr>
              <w:spacing w:val="-9"/>
              <w:position w:val="2"/>
              <w:sz w:val="27"/>
              <w:szCs w:val="27"/>
            </w:rPr>
            <w:t>390</w:t>
          </w:r>
          <w:r>
            <w:rPr>
              <w:spacing w:val="-9"/>
              <w:position w:val="2"/>
              <w:sz w:val="27"/>
              <w:szCs w:val="27"/>
            </w:rPr>
            <w:fldChar w:fldCharType="end"/>
          </w:r>
        </w:p>
        <w:p w14:paraId="75F7F75E">
          <w:pPr>
            <w:pStyle w:val="2"/>
            <w:tabs>
              <w:tab w:val="right" w:leader="dot" w:pos="9270"/>
            </w:tabs>
            <w:spacing w:before="42" w:line="368" w:lineRule="exact"/>
            <w:ind w:left="459"/>
            <w:rPr>
              <w:sz w:val="27"/>
              <w:szCs w:val="27"/>
            </w:rPr>
          </w:pPr>
          <w:r>
            <w:fldChar w:fldCharType="begin"/>
          </w:r>
          <w:r>
            <w:instrText xml:space="preserve"> HYPERLINK \l "bookmark165" </w:instrText>
          </w:r>
          <w:r>
            <w:fldChar w:fldCharType="separate"/>
          </w:r>
          <w:r>
            <w:rPr>
              <w:rFonts w:ascii="Times New Roman" w:hAnsi="Times New Roman" w:eastAsia="Times New Roman" w:cs="Times New Roman"/>
              <w:spacing w:val="-2"/>
              <w:position w:val="2"/>
              <w:sz w:val="27"/>
              <w:szCs w:val="27"/>
            </w:rPr>
            <w:t>8.3</w:t>
          </w:r>
          <w:r>
            <w:rPr>
              <w:rFonts w:ascii="Times New Roman" w:hAnsi="Times New Roman" w:eastAsia="Times New Roman" w:cs="Times New Roman"/>
              <w:spacing w:val="12"/>
              <w:position w:val="2"/>
              <w:sz w:val="27"/>
              <w:szCs w:val="27"/>
            </w:rPr>
            <w:t xml:space="preserve">     </w:t>
          </w:r>
          <w:r>
            <w:rPr>
              <w:rFonts w:ascii="仿宋" w:hAnsi="仿宋" w:eastAsia="仿宋" w:cs="仿宋"/>
              <w:spacing w:val="-2"/>
              <w:position w:val="2"/>
              <w:sz w:val="27"/>
              <w:szCs w:val="27"/>
            </w:rPr>
            <w:t>维修性计划</w:t>
          </w:r>
          <w:r>
            <w:rPr>
              <w:rFonts w:ascii="仿宋" w:hAnsi="仿宋" w:eastAsia="仿宋" w:cs="仿宋"/>
              <w:position w:val="2"/>
              <w:sz w:val="27"/>
              <w:szCs w:val="27"/>
            </w:rPr>
            <w:tab/>
          </w:r>
          <w:r>
            <w:rPr>
              <w:spacing w:val="-9"/>
              <w:position w:val="2"/>
              <w:sz w:val="27"/>
              <w:szCs w:val="27"/>
            </w:rPr>
            <w:t>393</w:t>
          </w:r>
          <w:r>
            <w:rPr>
              <w:spacing w:val="-9"/>
              <w:position w:val="2"/>
              <w:sz w:val="27"/>
              <w:szCs w:val="27"/>
            </w:rPr>
            <w:fldChar w:fldCharType="end"/>
          </w:r>
        </w:p>
        <w:p w14:paraId="095AFB6E">
          <w:pPr>
            <w:pStyle w:val="2"/>
            <w:tabs>
              <w:tab w:val="right" w:leader="dot" w:pos="9270"/>
            </w:tabs>
            <w:spacing w:before="32" w:line="368" w:lineRule="exact"/>
            <w:ind w:left="459"/>
            <w:rPr>
              <w:sz w:val="27"/>
              <w:szCs w:val="27"/>
            </w:rPr>
          </w:pPr>
          <w:r>
            <w:fldChar w:fldCharType="begin"/>
          </w:r>
          <w:r>
            <w:instrText xml:space="preserve"> HYPERLINK \l "bookmark166" </w:instrText>
          </w:r>
          <w:r>
            <w:fldChar w:fldCharType="separate"/>
          </w:r>
          <w:r>
            <w:rPr>
              <w:rFonts w:ascii="Times New Roman" w:hAnsi="Times New Roman" w:eastAsia="Times New Roman" w:cs="Times New Roman"/>
              <w:spacing w:val="6"/>
              <w:position w:val="2"/>
              <w:sz w:val="27"/>
              <w:szCs w:val="27"/>
            </w:rPr>
            <w:t>8.4</w:t>
          </w:r>
          <w:r>
            <w:rPr>
              <w:rFonts w:ascii="Times New Roman" w:hAnsi="Times New Roman" w:eastAsia="Times New Roman" w:cs="Times New Roman"/>
              <w:spacing w:val="13"/>
              <w:position w:val="2"/>
              <w:sz w:val="27"/>
              <w:szCs w:val="27"/>
            </w:rPr>
            <w:t xml:space="preserve">     </w:t>
          </w:r>
          <w:r>
            <w:rPr>
              <w:rFonts w:ascii="仿宋" w:hAnsi="仿宋" w:eastAsia="仿宋" w:cs="仿宋"/>
              <w:spacing w:val="6"/>
              <w:position w:val="2"/>
              <w:sz w:val="27"/>
              <w:szCs w:val="27"/>
            </w:rPr>
            <w:t>维修性工作计划</w:t>
          </w:r>
          <w:r>
            <w:rPr>
              <w:rFonts w:ascii="仿宋" w:hAnsi="仿宋" w:eastAsia="仿宋" w:cs="仿宋"/>
              <w:position w:val="2"/>
              <w:sz w:val="27"/>
              <w:szCs w:val="27"/>
            </w:rPr>
            <w:tab/>
          </w:r>
          <w:r>
            <w:rPr>
              <w:spacing w:val="-9"/>
              <w:position w:val="2"/>
              <w:sz w:val="27"/>
              <w:szCs w:val="27"/>
            </w:rPr>
            <w:t>395</w:t>
          </w:r>
          <w:r>
            <w:rPr>
              <w:spacing w:val="-9"/>
              <w:position w:val="2"/>
              <w:sz w:val="27"/>
              <w:szCs w:val="27"/>
            </w:rPr>
            <w:fldChar w:fldCharType="end"/>
          </w:r>
        </w:p>
        <w:p w14:paraId="18B43E69">
          <w:pPr>
            <w:pStyle w:val="2"/>
            <w:tabs>
              <w:tab w:val="right" w:leader="dot" w:pos="9270"/>
            </w:tabs>
            <w:spacing w:before="52" w:line="368" w:lineRule="exact"/>
            <w:ind w:left="459"/>
            <w:rPr>
              <w:sz w:val="27"/>
              <w:szCs w:val="27"/>
            </w:rPr>
          </w:pPr>
          <w:r>
            <w:fldChar w:fldCharType="begin"/>
          </w:r>
          <w:r>
            <w:instrText xml:space="preserve"> HYPERLINK \l "bookmark167" </w:instrText>
          </w:r>
          <w:r>
            <w:fldChar w:fldCharType="separate"/>
          </w:r>
          <w:r>
            <w:rPr>
              <w:rFonts w:ascii="Times New Roman" w:hAnsi="Times New Roman" w:eastAsia="Times New Roman" w:cs="Times New Roman"/>
              <w:spacing w:val="-10"/>
              <w:position w:val="2"/>
              <w:sz w:val="27"/>
              <w:szCs w:val="27"/>
            </w:rPr>
            <w:t>8.5</w:t>
          </w:r>
          <w:r>
            <w:rPr>
              <w:rFonts w:ascii="Times New Roman" w:hAnsi="Times New Roman" w:eastAsia="Times New Roman" w:cs="Times New Roman"/>
              <w:spacing w:val="8"/>
              <w:position w:val="2"/>
              <w:sz w:val="27"/>
              <w:szCs w:val="27"/>
            </w:rPr>
            <w:t xml:space="preserve">     </w:t>
          </w:r>
          <w:r>
            <w:rPr>
              <w:rFonts w:ascii="仿宋" w:hAnsi="仿宋" w:eastAsia="仿宋" w:cs="仿宋"/>
              <w:spacing w:val="-10"/>
              <w:position w:val="2"/>
              <w:sz w:val="27"/>
              <w:szCs w:val="27"/>
            </w:rPr>
            <w:t>维修性模型</w:t>
          </w:r>
          <w:r>
            <w:rPr>
              <w:rFonts w:ascii="仿宋" w:hAnsi="仿宋" w:eastAsia="仿宋" w:cs="仿宋"/>
              <w:spacing w:val="38"/>
              <w:position w:val="2"/>
              <w:sz w:val="27"/>
              <w:szCs w:val="27"/>
            </w:rPr>
            <w:t xml:space="preserve"> </w:t>
          </w:r>
          <w:r>
            <w:rPr>
              <w:rFonts w:ascii="仿宋" w:hAnsi="仿宋" w:eastAsia="仿宋" w:cs="仿宋"/>
              <w:position w:val="2"/>
              <w:sz w:val="27"/>
              <w:szCs w:val="27"/>
            </w:rPr>
            <w:tab/>
          </w:r>
          <w:r>
            <w:rPr>
              <w:spacing w:val="-11"/>
              <w:position w:val="2"/>
              <w:sz w:val="27"/>
              <w:szCs w:val="27"/>
            </w:rPr>
            <w:t>396</w:t>
          </w:r>
          <w:r>
            <w:rPr>
              <w:spacing w:val="-11"/>
              <w:position w:val="2"/>
              <w:sz w:val="27"/>
              <w:szCs w:val="27"/>
            </w:rPr>
            <w:fldChar w:fldCharType="end"/>
          </w:r>
        </w:p>
      </w:sdtContent>
    </w:sdt>
    <w:p w14:paraId="47A812E1">
      <w:pPr>
        <w:spacing w:line="368" w:lineRule="exact"/>
        <w:rPr>
          <w:sz w:val="27"/>
          <w:szCs w:val="27"/>
        </w:rPr>
        <w:sectPr>
          <w:footerReference r:id="rId15" w:type="default"/>
          <w:pgSz w:w="11910" w:h="17130"/>
          <w:pgMar w:top="400" w:right="1564" w:bottom="1531" w:left="1039" w:header="0" w:footer="1291" w:gutter="0"/>
          <w:cols w:space="720" w:num="1"/>
        </w:sectPr>
      </w:pPr>
    </w:p>
    <w:p w14:paraId="18110416">
      <w:pPr>
        <w:pStyle w:val="2"/>
        <w:spacing w:line="255" w:lineRule="auto"/>
      </w:pPr>
    </w:p>
    <w:p w14:paraId="219AE8E2">
      <w:pPr>
        <w:pStyle w:val="2"/>
        <w:spacing w:line="256" w:lineRule="auto"/>
      </w:pPr>
    </w:p>
    <w:p w14:paraId="3F2F7390">
      <w:pPr>
        <w:pStyle w:val="2"/>
        <w:spacing w:line="256" w:lineRule="auto"/>
      </w:pPr>
    </w:p>
    <w:p w14:paraId="75F1E2D5">
      <w:pPr>
        <w:pStyle w:val="2"/>
        <w:spacing w:line="256" w:lineRule="auto"/>
      </w:pPr>
    </w:p>
    <w:sdt>
      <w:sdtPr>
        <w:rPr>
          <w:rFonts w:ascii="Times New Roman" w:hAnsi="Times New Roman" w:eastAsia="Times New Roman" w:cs="Times New Roman"/>
          <w:sz w:val="27"/>
          <w:szCs w:val="27"/>
        </w:rPr>
        <w:id w:val="147453763"/>
        <w:docPartObj>
          <w:docPartGallery w:val="Table of Contents"/>
          <w:docPartUnique/>
        </w:docPartObj>
      </w:sdtPr>
      <w:sdtEndPr>
        <w:rPr>
          <w:rFonts w:ascii="Arial" w:hAnsi="Arial" w:eastAsia="Arial" w:cs="Arial"/>
          <w:sz w:val="27"/>
          <w:szCs w:val="27"/>
        </w:rPr>
      </w:sdtEndPr>
      <w:sdtContent>
        <w:p w14:paraId="7FBCFF61">
          <w:pPr>
            <w:pStyle w:val="2"/>
            <w:tabs>
              <w:tab w:val="right" w:leader="dot" w:pos="9297"/>
            </w:tabs>
            <w:spacing w:before="87" w:line="368" w:lineRule="exact"/>
            <w:ind w:left="476"/>
            <w:rPr>
              <w:sz w:val="27"/>
              <w:szCs w:val="27"/>
            </w:rPr>
          </w:pPr>
          <w:r>
            <w:fldChar w:fldCharType="begin"/>
          </w:r>
          <w:r>
            <w:instrText xml:space="preserve"> HYPERLINK \l "bookmark168" </w:instrText>
          </w:r>
          <w:r>
            <w:fldChar w:fldCharType="separate"/>
          </w:r>
          <w:r>
            <w:rPr>
              <w:rFonts w:ascii="Times New Roman" w:hAnsi="Times New Roman" w:eastAsia="Times New Roman" w:cs="Times New Roman"/>
              <w:spacing w:val="-3"/>
              <w:position w:val="2"/>
              <w:sz w:val="27"/>
              <w:szCs w:val="27"/>
            </w:rPr>
            <w:t>8.6</w:t>
          </w:r>
          <w:r>
            <w:rPr>
              <w:rFonts w:ascii="Times New Roman" w:hAnsi="Times New Roman" w:eastAsia="Times New Roman" w:cs="Times New Roman"/>
              <w:spacing w:val="11"/>
              <w:position w:val="2"/>
              <w:sz w:val="27"/>
              <w:szCs w:val="27"/>
            </w:rPr>
            <w:t xml:space="preserve">     </w:t>
          </w:r>
          <w:r>
            <w:rPr>
              <w:rFonts w:ascii="仿宋" w:hAnsi="仿宋" w:eastAsia="仿宋" w:cs="仿宋"/>
              <w:spacing w:val="-3"/>
              <w:position w:val="2"/>
              <w:sz w:val="27"/>
              <w:szCs w:val="27"/>
            </w:rPr>
            <w:t>维修性分配</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spacing w:val="-14"/>
              <w:position w:val="2"/>
              <w:sz w:val="27"/>
              <w:szCs w:val="27"/>
            </w:rPr>
            <w:t>397</w:t>
          </w:r>
          <w:r>
            <w:rPr>
              <w:spacing w:val="-14"/>
              <w:position w:val="2"/>
              <w:sz w:val="27"/>
              <w:szCs w:val="27"/>
            </w:rPr>
            <w:fldChar w:fldCharType="end"/>
          </w:r>
        </w:p>
        <w:p w14:paraId="150454AF">
          <w:pPr>
            <w:pStyle w:val="2"/>
            <w:tabs>
              <w:tab w:val="right" w:leader="dot" w:pos="9297"/>
            </w:tabs>
            <w:spacing w:before="41" w:line="368" w:lineRule="exact"/>
            <w:ind w:left="476"/>
            <w:rPr>
              <w:sz w:val="27"/>
              <w:szCs w:val="27"/>
            </w:rPr>
          </w:pPr>
          <w:r>
            <w:fldChar w:fldCharType="begin"/>
          </w:r>
          <w:r>
            <w:instrText xml:space="preserve"> HYPERLINK \l "bookmark169" </w:instrText>
          </w:r>
          <w:r>
            <w:fldChar w:fldCharType="separate"/>
          </w:r>
          <w:r>
            <w:rPr>
              <w:rFonts w:ascii="Times New Roman" w:hAnsi="Times New Roman" w:eastAsia="Times New Roman" w:cs="Times New Roman"/>
              <w:spacing w:val="1"/>
              <w:position w:val="2"/>
              <w:sz w:val="27"/>
              <w:szCs w:val="27"/>
            </w:rPr>
            <w:t>8.7</w:t>
          </w:r>
          <w:r>
            <w:rPr>
              <w:rFonts w:ascii="Times New Roman" w:hAnsi="Times New Roman" w:eastAsia="Times New Roman" w:cs="Times New Roman"/>
              <w:spacing w:val="9"/>
              <w:position w:val="2"/>
              <w:sz w:val="27"/>
              <w:szCs w:val="27"/>
            </w:rPr>
            <w:t xml:space="preserve">     </w:t>
          </w:r>
          <w:r>
            <w:rPr>
              <w:rFonts w:ascii="仿宋" w:hAnsi="仿宋" w:eastAsia="仿宋" w:cs="仿宋"/>
              <w:spacing w:val="1"/>
              <w:position w:val="2"/>
              <w:sz w:val="27"/>
              <w:szCs w:val="27"/>
            </w:rPr>
            <w:t>维修性预计</w:t>
          </w:r>
          <w:r>
            <w:rPr>
              <w:rFonts w:ascii="仿宋" w:hAnsi="仿宋" w:eastAsia="仿宋" w:cs="仿宋"/>
              <w:spacing w:val="-125"/>
              <w:position w:val="2"/>
              <w:sz w:val="27"/>
              <w:szCs w:val="27"/>
            </w:rPr>
            <w:t xml:space="preserve"> </w:t>
          </w:r>
          <w:r>
            <w:rPr>
              <w:rFonts w:ascii="仿宋" w:hAnsi="仿宋" w:eastAsia="仿宋" w:cs="仿宋"/>
              <w:position w:val="2"/>
              <w:sz w:val="27"/>
              <w:szCs w:val="27"/>
            </w:rPr>
            <w:tab/>
          </w:r>
          <w:r>
            <w:rPr>
              <w:spacing w:val="-12"/>
              <w:position w:val="2"/>
              <w:sz w:val="27"/>
              <w:szCs w:val="27"/>
            </w:rPr>
            <w:t>399</w:t>
          </w:r>
          <w:r>
            <w:rPr>
              <w:spacing w:val="-12"/>
              <w:position w:val="2"/>
              <w:sz w:val="27"/>
              <w:szCs w:val="27"/>
            </w:rPr>
            <w:fldChar w:fldCharType="end"/>
          </w:r>
        </w:p>
        <w:p w14:paraId="0BF51AEB">
          <w:pPr>
            <w:pStyle w:val="2"/>
            <w:tabs>
              <w:tab w:val="right" w:leader="dot" w:pos="9297"/>
            </w:tabs>
            <w:spacing w:before="42" w:line="368" w:lineRule="exact"/>
            <w:ind w:left="476"/>
            <w:rPr>
              <w:sz w:val="27"/>
              <w:szCs w:val="27"/>
            </w:rPr>
          </w:pPr>
          <w:r>
            <w:fldChar w:fldCharType="begin"/>
          </w:r>
          <w:r>
            <w:instrText xml:space="preserve"> HYPERLINK \l "bookmark170" </w:instrText>
          </w:r>
          <w:r>
            <w:fldChar w:fldCharType="separate"/>
          </w:r>
          <w:r>
            <w:rPr>
              <w:rFonts w:ascii="Times New Roman" w:hAnsi="Times New Roman" w:eastAsia="Times New Roman" w:cs="Times New Roman"/>
              <w:spacing w:val="3"/>
              <w:position w:val="2"/>
              <w:sz w:val="27"/>
              <w:szCs w:val="27"/>
            </w:rPr>
            <w:t xml:space="preserve">8.8     </w:t>
          </w:r>
          <w:r>
            <w:rPr>
              <w:rFonts w:ascii="仿宋" w:hAnsi="仿宋" w:eastAsia="仿宋" w:cs="仿宋"/>
              <w:spacing w:val="3"/>
              <w:position w:val="2"/>
              <w:sz w:val="27"/>
              <w:szCs w:val="27"/>
            </w:rPr>
            <w:t>故障模式及影响分析一维修性信息</w:t>
          </w:r>
          <w:r>
            <w:rPr>
              <w:rFonts w:ascii="仿宋" w:hAnsi="仿宋" w:eastAsia="仿宋" w:cs="仿宋"/>
              <w:position w:val="2"/>
              <w:sz w:val="27"/>
              <w:szCs w:val="27"/>
            </w:rPr>
            <w:tab/>
          </w:r>
          <w:r>
            <w:rPr>
              <w:spacing w:val="-11"/>
              <w:position w:val="2"/>
              <w:sz w:val="27"/>
              <w:szCs w:val="27"/>
            </w:rPr>
            <w:t>400</w:t>
          </w:r>
          <w:r>
            <w:rPr>
              <w:spacing w:val="-11"/>
              <w:position w:val="2"/>
              <w:sz w:val="27"/>
              <w:szCs w:val="27"/>
            </w:rPr>
            <w:fldChar w:fldCharType="end"/>
          </w:r>
        </w:p>
        <w:p w14:paraId="33700428">
          <w:pPr>
            <w:pStyle w:val="2"/>
            <w:tabs>
              <w:tab w:val="right" w:leader="dot" w:pos="9297"/>
            </w:tabs>
            <w:spacing w:before="22" w:line="368" w:lineRule="exact"/>
            <w:ind w:left="476"/>
            <w:rPr>
              <w:sz w:val="27"/>
              <w:szCs w:val="27"/>
            </w:rPr>
          </w:pPr>
          <w:r>
            <w:fldChar w:fldCharType="begin"/>
          </w:r>
          <w:r>
            <w:instrText xml:space="preserve"> HYPERLINK \l "bookmark171" </w:instrText>
          </w:r>
          <w:r>
            <w:fldChar w:fldCharType="separate"/>
          </w:r>
          <w:r>
            <w:rPr>
              <w:rFonts w:ascii="Times New Roman" w:hAnsi="Times New Roman" w:eastAsia="Times New Roman" w:cs="Times New Roman"/>
              <w:spacing w:val="1"/>
              <w:position w:val="2"/>
              <w:sz w:val="27"/>
              <w:szCs w:val="27"/>
            </w:rPr>
            <w:t xml:space="preserve">8.9     </w:t>
          </w:r>
          <w:r>
            <w:rPr>
              <w:rFonts w:ascii="仿宋" w:hAnsi="仿宋" w:eastAsia="仿宋" w:cs="仿宋"/>
              <w:spacing w:val="1"/>
              <w:position w:val="2"/>
              <w:sz w:val="27"/>
              <w:szCs w:val="27"/>
            </w:rPr>
            <w:t>维修性分析</w:t>
          </w:r>
          <w:r>
            <w:rPr>
              <w:rFonts w:ascii="仿宋" w:hAnsi="仿宋" w:eastAsia="仿宋" w:cs="仿宋"/>
              <w:spacing w:val="46"/>
              <w:position w:val="2"/>
              <w:sz w:val="27"/>
              <w:szCs w:val="27"/>
            </w:rPr>
            <w:t xml:space="preserve"> </w:t>
          </w:r>
          <w:r>
            <w:rPr>
              <w:rFonts w:ascii="仿宋" w:hAnsi="仿宋" w:eastAsia="仿宋" w:cs="仿宋"/>
              <w:position w:val="2"/>
              <w:sz w:val="27"/>
              <w:szCs w:val="27"/>
            </w:rPr>
            <w:tab/>
          </w:r>
          <w:r>
            <w:rPr>
              <w:spacing w:val="-11"/>
              <w:position w:val="2"/>
              <w:sz w:val="27"/>
              <w:szCs w:val="27"/>
            </w:rPr>
            <w:t>403</w:t>
          </w:r>
          <w:r>
            <w:rPr>
              <w:spacing w:val="-11"/>
              <w:position w:val="2"/>
              <w:sz w:val="27"/>
              <w:szCs w:val="27"/>
            </w:rPr>
            <w:fldChar w:fldCharType="end"/>
          </w:r>
        </w:p>
        <w:p w14:paraId="4105FCAC">
          <w:pPr>
            <w:pStyle w:val="2"/>
            <w:tabs>
              <w:tab w:val="right" w:leader="dot" w:pos="9295"/>
            </w:tabs>
            <w:spacing w:before="71" w:line="368" w:lineRule="exact"/>
            <w:ind w:left="476"/>
            <w:rPr>
              <w:sz w:val="27"/>
              <w:szCs w:val="27"/>
            </w:rPr>
          </w:pPr>
          <w:r>
            <w:fldChar w:fldCharType="begin"/>
          </w:r>
          <w:r>
            <w:instrText xml:space="preserve"> HYPERLINK \l "bookmark172" </w:instrText>
          </w:r>
          <w:r>
            <w:fldChar w:fldCharType="separate"/>
          </w:r>
          <w:r>
            <w:rPr>
              <w:rFonts w:ascii="Times New Roman" w:hAnsi="Times New Roman" w:eastAsia="Times New Roman" w:cs="Times New Roman"/>
              <w:spacing w:val="-5"/>
              <w:position w:val="2"/>
              <w:sz w:val="27"/>
              <w:szCs w:val="27"/>
            </w:rPr>
            <w:t>8.10</w:t>
          </w:r>
          <w:r>
            <w:rPr>
              <w:rFonts w:ascii="Times New Roman" w:hAnsi="Times New Roman" w:eastAsia="Times New Roman" w:cs="Times New Roman"/>
              <w:spacing w:val="12"/>
              <w:position w:val="2"/>
              <w:sz w:val="27"/>
              <w:szCs w:val="27"/>
            </w:rPr>
            <w:t xml:space="preserve">     </w:t>
          </w:r>
          <w:r>
            <w:rPr>
              <w:rFonts w:ascii="仿宋" w:hAnsi="仿宋" w:eastAsia="仿宋" w:cs="仿宋"/>
              <w:spacing w:val="-5"/>
              <w:position w:val="2"/>
              <w:sz w:val="27"/>
              <w:szCs w:val="27"/>
            </w:rPr>
            <w:t>抢修性分析</w:t>
          </w:r>
          <w:r>
            <w:rPr>
              <w:rFonts w:ascii="仿宋" w:hAnsi="仿宋" w:eastAsia="仿宋" w:cs="仿宋"/>
              <w:spacing w:val="-111"/>
              <w:position w:val="2"/>
              <w:sz w:val="27"/>
              <w:szCs w:val="27"/>
            </w:rPr>
            <w:t xml:space="preserve"> </w:t>
          </w:r>
          <w:r>
            <w:rPr>
              <w:rFonts w:ascii="仿宋" w:hAnsi="仿宋" w:eastAsia="仿宋" w:cs="仿宋"/>
              <w:position w:val="2"/>
              <w:sz w:val="27"/>
              <w:szCs w:val="27"/>
            </w:rPr>
            <w:tab/>
          </w:r>
          <w:r>
            <w:rPr>
              <w:spacing w:val="-9"/>
              <w:position w:val="2"/>
              <w:sz w:val="27"/>
              <w:szCs w:val="27"/>
            </w:rPr>
            <w:t>405</w:t>
          </w:r>
          <w:r>
            <w:rPr>
              <w:spacing w:val="-9"/>
              <w:position w:val="2"/>
              <w:sz w:val="27"/>
              <w:szCs w:val="27"/>
            </w:rPr>
            <w:fldChar w:fldCharType="end"/>
          </w:r>
        </w:p>
        <w:p w14:paraId="67F65044">
          <w:pPr>
            <w:pStyle w:val="2"/>
            <w:tabs>
              <w:tab w:val="right" w:leader="dot" w:pos="9297"/>
            </w:tabs>
            <w:spacing w:before="42" w:line="368" w:lineRule="exact"/>
            <w:ind w:left="476"/>
            <w:rPr>
              <w:sz w:val="27"/>
              <w:szCs w:val="27"/>
            </w:rPr>
          </w:pPr>
          <w:r>
            <w:fldChar w:fldCharType="begin"/>
          </w:r>
          <w:r>
            <w:instrText xml:space="preserve"> HYPERLINK \l "bookmark173" </w:instrText>
          </w:r>
          <w:r>
            <w:fldChar w:fldCharType="separate"/>
          </w:r>
          <w:r>
            <w:rPr>
              <w:rFonts w:ascii="Times New Roman" w:hAnsi="Times New Roman" w:eastAsia="Times New Roman" w:cs="Times New Roman"/>
              <w:spacing w:val="-1"/>
              <w:position w:val="2"/>
              <w:sz w:val="27"/>
              <w:szCs w:val="27"/>
            </w:rPr>
            <w:t>8.11</w:t>
          </w:r>
          <w:r>
            <w:rPr>
              <w:rFonts w:ascii="Times New Roman" w:hAnsi="Times New Roman" w:eastAsia="Times New Roman" w:cs="Times New Roman"/>
              <w:spacing w:val="12"/>
              <w:position w:val="2"/>
              <w:sz w:val="27"/>
              <w:szCs w:val="27"/>
            </w:rPr>
            <w:t xml:space="preserve">     </w:t>
          </w:r>
          <w:r>
            <w:rPr>
              <w:rFonts w:ascii="仿宋" w:hAnsi="仿宋" w:eastAsia="仿宋" w:cs="仿宋"/>
              <w:spacing w:val="-1"/>
              <w:position w:val="2"/>
              <w:sz w:val="27"/>
              <w:szCs w:val="27"/>
            </w:rPr>
            <w:t>维修性设计准则</w:t>
          </w:r>
          <w:r>
            <w:rPr>
              <w:rFonts w:ascii="仿宋" w:hAnsi="仿宋" w:eastAsia="仿宋" w:cs="仿宋"/>
              <w:position w:val="2"/>
              <w:sz w:val="27"/>
              <w:szCs w:val="27"/>
            </w:rPr>
            <w:tab/>
          </w:r>
          <w:r>
            <w:rPr>
              <w:spacing w:val="-11"/>
              <w:position w:val="2"/>
              <w:sz w:val="27"/>
              <w:szCs w:val="27"/>
            </w:rPr>
            <w:t>406</w:t>
          </w:r>
          <w:r>
            <w:rPr>
              <w:spacing w:val="-11"/>
              <w:position w:val="2"/>
              <w:sz w:val="27"/>
              <w:szCs w:val="27"/>
            </w:rPr>
            <w:fldChar w:fldCharType="end"/>
          </w:r>
        </w:p>
        <w:p w14:paraId="04DB7773">
          <w:pPr>
            <w:pStyle w:val="2"/>
            <w:tabs>
              <w:tab w:val="right" w:leader="dot" w:pos="9297"/>
            </w:tabs>
            <w:spacing w:before="32" w:line="368" w:lineRule="exact"/>
            <w:ind w:left="476"/>
            <w:rPr>
              <w:sz w:val="27"/>
              <w:szCs w:val="27"/>
            </w:rPr>
          </w:pPr>
          <w:r>
            <w:fldChar w:fldCharType="begin"/>
          </w:r>
          <w:r>
            <w:instrText xml:space="preserve"> HYPERLINK \l "bookmark174" </w:instrText>
          </w:r>
          <w:r>
            <w:fldChar w:fldCharType="separate"/>
          </w:r>
          <w:r>
            <w:rPr>
              <w:rFonts w:ascii="Times New Roman" w:hAnsi="Times New Roman" w:eastAsia="Times New Roman" w:cs="Times New Roman"/>
              <w:spacing w:val="5"/>
              <w:position w:val="2"/>
              <w:sz w:val="27"/>
              <w:szCs w:val="27"/>
            </w:rPr>
            <w:t xml:space="preserve">8.12     </w:t>
          </w:r>
          <w:r>
            <w:rPr>
              <w:rFonts w:ascii="仿宋" w:hAnsi="仿宋" w:eastAsia="仿宋" w:cs="仿宋"/>
              <w:spacing w:val="5"/>
              <w:position w:val="2"/>
              <w:sz w:val="27"/>
              <w:szCs w:val="27"/>
            </w:rPr>
            <w:t>维修保障计划和保障性</w:t>
          </w:r>
          <w:r>
            <w:rPr>
              <w:rFonts w:ascii="仿宋" w:hAnsi="仿宋" w:eastAsia="仿宋" w:cs="仿宋"/>
              <w:spacing w:val="4"/>
              <w:position w:val="2"/>
              <w:sz w:val="27"/>
              <w:szCs w:val="27"/>
            </w:rPr>
            <w:t>分析的输入</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7"/>
              <w:position w:val="2"/>
              <w:sz w:val="27"/>
              <w:szCs w:val="27"/>
            </w:rPr>
            <w:t>407</w:t>
          </w:r>
          <w:r>
            <w:rPr>
              <w:spacing w:val="-7"/>
              <w:position w:val="2"/>
              <w:sz w:val="27"/>
              <w:szCs w:val="27"/>
            </w:rPr>
            <w:fldChar w:fldCharType="end"/>
          </w:r>
        </w:p>
        <w:p w14:paraId="7E9E3616">
          <w:pPr>
            <w:pStyle w:val="2"/>
            <w:tabs>
              <w:tab w:val="right" w:leader="dot" w:pos="9297"/>
            </w:tabs>
            <w:spacing w:before="42" w:line="368" w:lineRule="exact"/>
            <w:ind w:left="476"/>
            <w:rPr>
              <w:sz w:val="27"/>
              <w:szCs w:val="27"/>
            </w:rPr>
          </w:pPr>
          <w:r>
            <w:fldChar w:fldCharType="begin"/>
          </w:r>
          <w:r>
            <w:instrText xml:space="preserve"> HYPERLINK \l "bookmark175" </w:instrText>
          </w:r>
          <w:r>
            <w:fldChar w:fldCharType="separate"/>
          </w:r>
          <w:r>
            <w:rPr>
              <w:rFonts w:ascii="Times New Roman" w:hAnsi="Times New Roman" w:eastAsia="Times New Roman" w:cs="Times New Roman"/>
              <w:spacing w:val="-1"/>
              <w:position w:val="2"/>
              <w:sz w:val="27"/>
              <w:szCs w:val="27"/>
            </w:rPr>
            <w:t>8.13</w:t>
          </w:r>
          <w:r>
            <w:rPr>
              <w:rFonts w:ascii="Times New Roman" w:hAnsi="Times New Roman" w:eastAsia="Times New Roman" w:cs="Times New Roman"/>
              <w:spacing w:val="14"/>
              <w:position w:val="2"/>
              <w:sz w:val="27"/>
              <w:szCs w:val="27"/>
            </w:rPr>
            <w:t xml:space="preserve">     </w:t>
          </w:r>
          <w:r>
            <w:rPr>
              <w:rFonts w:ascii="仿宋" w:hAnsi="仿宋" w:eastAsia="仿宋" w:cs="仿宋"/>
              <w:spacing w:val="-1"/>
              <w:position w:val="2"/>
              <w:sz w:val="27"/>
              <w:szCs w:val="27"/>
            </w:rPr>
            <w:t>维修性核查方案</w:t>
          </w:r>
          <w:r>
            <w:rPr>
              <w:rFonts w:ascii="仿宋" w:hAnsi="仿宋" w:eastAsia="仿宋" w:cs="仿宋"/>
              <w:spacing w:val="-125"/>
              <w:position w:val="2"/>
              <w:sz w:val="27"/>
              <w:szCs w:val="27"/>
            </w:rPr>
            <w:t xml:space="preserve"> </w:t>
          </w:r>
          <w:r>
            <w:rPr>
              <w:rFonts w:ascii="仿宋" w:hAnsi="仿宋" w:eastAsia="仿宋" w:cs="仿宋"/>
              <w:position w:val="2"/>
              <w:sz w:val="27"/>
              <w:szCs w:val="27"/>
            </w:rPr>
            <w:tab/>
          </w:r>
          <w:r>
            <w:rPr>
              <w:spacing w:val="-9"/>
              <w:position w:val="2"/>
              <w:sz w:val="27"/>
              <w:szCs w:val="27"/>
            </w:rPr>
            <w:t>408</w:t>
          </w:r>
          <w:r>
            <w:rPr>
              <w:spacing w:val="-9"/>
              <w:position w:val="2"/>
              <w:sz w:val="27"/>
              <w:szCs w:val="27"/>
            </w:rPr>
            <w:fldChar w:fldCharType="end"/>
          </w:r>
        </w:p>
        <w:p w14:paraId="7465A5E4">
          <w:pPr>
            <w:pStyle w:val="2"/>
            <w:tabs>
              <w:tab w:val="right" w:leader="dot" w:pos="9297"/>
            </w:tabs>
            <w:spacing w:before="42" w:line="368" w:lineRule="exact"/>
            <w:ind w:left="476"/>
            <w:rPr>
              <w:sz w:val="27"/>
              <w:szCs w:val="27"/>
            </w:rPr>
          </w:pPr>
          <w:r>
            <w:fldChar w:fldCharType="begin"/>
          </w:r>
          <w:r>
            <w:instrText xml:space="preserve"> HYPERLINK \l "bookmark176" </w:instrText>
          </w:r>
          <w:r>
            <w:fldChar w:fldCharType="separate"/>
          </w:r>
          <w:r>
            <w:rPr>
              <w:rFonts w:ascii="Times New Roman" w:hAnsi="Times New Roman" w:eastAsia="Times New Roman" w:cs="Times New Roman"/>
              <w:spacing w:val="1"/>
              <w:position w:val="2"/>
              <w:sz w:val="27"/>
              <w:szCs w:val="27"/>
            </w:rPr>
            <w:t>8.14</w:t>
          </w:r>
          <w:r>
            <w:rPr>
              <w:rFonts w:ascii="Times New Roman" w:hAnsi="Times New Roman" w:eastAsia="Times New Roman" w:cs="Times New Roman"/>
              <w:spacing w:val="11"/>
              <w:position w:val="2"/>
              <w:sz w:val="27"/>
              <w:szCs w:val="27"/>
            </w:rPr>
            <w:t xml:space="preserve">     </w:t>
          </w:r>
          <w:r>
            <w:rPr>
              <w:rFonts w:ascii="仿宋" w:hAnsi="仿宋" w:eastAsia="仿宋" w:cs="仿宋"/>
              <w:spacing w:val="1"/>
              <w:position w:val="2"/>
              <w:sz w:val="27"/>
              <w:szCs w:val="27"/>
            </w:rPr>
            <w:t>维修性核查报告</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spacing w:val="-11"/>
              <w:position w:val="2"/>
              <w:sz w:val="27"/>
              <w:szCs w:val="27"/>
            </w:rPr>
            <w:t>410</w:t>
          </w:r>
          <w:r>
            <w:rPr>
              <w:spacing w:val="-11"/>
              <w:position w:val="2"/>
              <w:sz w:val="27"/>
              <w:szCs w:val="27"/>
            </w:rPr>
            <w:fldChar w:fldCharType="end"/>
          </w:r>
        </w:p>
        <w:p w14:paraId="18693A7D">
          <w:pPr>
            <w:pStyle w:val="2"/>
            <w:tabs>
              <w:tab w:val="right" w:leader="dot" w:pos="9297"/>
            </w:tabs>
            <w:spacing w:before="32" w:line="368" w:lineRule="exact"/>
            <w:ind w:left="476"/>
            <w:rPr>
              <w:sz w:val="27"/>
              <w:szCs w:val="27"/>
            </w:rPr>
          </w:pPr>
          <w:r>
            <w:fldChar w:fldCharType="begin"/>
          </w:r>
          <w:r>
            <w:instrText xml:space="preserve"> HYPERLINK \l "bookmark177" </w:instrText>
          </w:r>
          <w:r>
            <w:fldChar w:fldCharType="separate"/>
          </w:r>
          <w:r>
            <w:rPr>
              <w:rFonts w:ascii="Times New Roman" w:hAnsi="Times New Roman" w:eastAsia="Times New Roman" w:cs="Times New Roman"/>
              <w:position w:val="2"/>
              <w:sz w:val="27"/>
              <w:szCs w:val="27"/>
            </w:rPr>
            <w:t>8.15</w:t>
          </w:r>
          <w:r>
            <w:rPr>
              <w:rFonts w:ascii="Times New Roman" w:hAnsi="Times New Roman" w:eastAsia="Times New Roman" w:cs="Times New Roman"/>
              <w:spacing w:val="14"/>
              <w:position w:val="2"/>
              <w:sz w:val="27"/>
              <w:szCs w:val="27"/>
            </w:rPr>
            <w:t xml:space="preserve">     </w:t>
          </w:r>
          <w:r>
            <w:rPr>
              <w:rFonts w:ascii="仿宋" w:hAnsi="仿宋" w:eastAsia="仿宋" w:cs="仿宋"/>
              <w:position w:val="2"/>
              <w:sz w:val="27"/>
              <w:szCs w:val="27"/>
            </w:rPr>
            <w:t>维修性验证计划</w:t>
          </w:r>
          <w:r>
            <w:rPr>
              <w:rFonts w:ascii="仿宋" w:hAnsi="仿宋" w:eastAsia="仿宋" w:cs="仿宋"/>
              <w:position w:val="2"/>
              <w:sz w:val="27"/>
              <w:szCs w:val="27"/>
            </w:rPr>
            <w:tab/>
          </w:r>
          <w:r>
            <w:rPr>
              <w:spacing w:val="-9"/>
              <w:position w:val="2"/>
              <w:sz w:val="27"/>
              <w:szCs w:val="27"/>
            </w:rPr>
            <w:t>410</w:t>
          </w:r>
          <w:r>
            <w:rPr>
              <w:spacing w:val="-9"/>
              <w:position w:val="2"/>
              <w:sz w:val="27"/>
              <w:szCs w:val="27"/>
            </w:rPr>
            <w:fldChar w:fldCharType="end"/>
          </w:r>
        </w:p>
        <w:p w14:paraId="392D0E03">
          <w:pPr>
            <w:pStyle w:val="2"/>
            <w:tabs>
              <w:tab w:val="right" w:leader="dot" w:pos="9352"/>
            </w:tabs>
            <w:spacing w:before="81" w:line="220" w:lineRule="auto"/>
            <w:ind w:left="476"/>
            <w:rPr>
              <w:sz w:val="27"/>
              <w:szCs w:val="27"/>
            </w:rPr>
          </w:pPr>
          <w:r>
            <w:fldChar w:fldCharType="begin"/>
          </w:r>
          <w:r>
            <w:instrText xml:space="preserve"> HYPERLINK \l "bookmark178" </w:instrText>
          </w:r>
          <w:r>
            <w:fldChar w:fldCharType="separate"/>
          </w:r>
          <w:r>
            <w:rPr>
              <w:rFonts w:ascii="Times New Roman" w:hAnsi="Times New Roman" w:eastAsia="Times New Roman" w:cs="Times New Roman"/>
              <w:sz w:val="27"/>
              <w:szCs w:val="27"/>
            </w:rPr>
            <w:t>8.16</w:t>
          </w:r>
          <w:r>
            <w:rPr>
              <w:rFonts w:ascii="Times New Roman" w:hAnsi="Times New Roman" w:eastAsia="Times New Roman" w:cs="Times New Roman"/>
              <w:spacing w:val="13"/>
              <w:sz w:val="27"/>
              <w:szCs w:val="27"/>
            </w:rPr>
            <w:t xml:space="preserve">     </w:t>
          </w:r>
          <w:r>
            <w:rPr>
              <w:rFonts w:ascii="仿宋" w:hAnsi="仿宋" w:eastAsia="仿宋" w:cs="仿宋"/>
              <w:sz w:val="27"/>
              <w:szCs w:val="27"/>
            </w:rPr>
            <w:t>维修性验证报告</w:t>
          </w:r>
          <w:r>
            <w:rPr>
              <w:rFonts w:ascii="仿宋" w:hAnsi="仿宋" w:eastAsia="仿宋" w:cs="仿宋"/>
              <w:spacing w:val="-121"/>
              <w:sz w:val="27"/>
              <w:szCs w:val="27"/>
            </w:rPr>
            <w:t xml:space="preserve"> </w:t>
          </w:r>
          <w:r>
            <w:rPr>
              <w:rFonts w:ascii="仿宋" w:hAnsi="仿宋" w:eastAsia="仿宋" w:cs="仿宋"/>
              <w:sz w:val="27"/>
              <w:szCs w:val="27"/>
            </w:rPr>
            <w:tab/>
          </w:r>
          <w:r>
            <w:rPr>
              <w:spacing w:val="2"/>
              <w:sz w:val="27"/>
              <w:szCs w:val="27"/>
            </w:rPr>
            <w:t>411</w:t>
          </w:r>
          <w:r>
            <w:rPr>
              <w:spacing w:val="2"/>
              <w:sz w:val="27"/>
              <w:szCs w:val="27"/>
            </w:rPr>
            <w:fldChar w:fldCharType="end"/>
          </w:r>
        </w:p>
        <w:p w14:paraId="71033E20">
          <w:pPr>
            <w:pStyle w:val="2"/>
            <w:tabs>
              <w:tab w:val="right" w:leader="dot" w:pos="9297"/>
            </w:tabs>
            <w:spacing w:before="50" w:line="368" w:lineRule="exact"/>
            <w:ind w:left="476"/>
            <w:rPr>
              <w:sz w:val="27"/>
              <w:szCs w:val="27"/>
            </w:rPr>
          </w:pPr>
          <w:r>
            <w:fldChar w:fldCharType="begin"/>
          </w:r>
          <w:r>
            <w:instrText xml:space="preserve"> HYPERLINK \l "bookmark179" </w:instrText>
          </w:r>
          <w:r>
            <w:fldChar w:fldCharType="separate"/>
          </w:r>
          <w:r>
            <w:rPr>
              <w:rFonts w:ascii="Times New Roman" w:hAnsi="Times New Roman" w:eastAsia="Times New Roman" w:cs="Times New Roman"/>
              <w:spacing w:val="-2"/>
              <w:position w:val="2"/>
              <w:sz w:val="27"/>
              <w:szCs w:val="27"/>
            </w:rPr>
            <w:t xml:space="preserve">8.17      </w:t>
          </w:r>
          <w:r>
            <w:rPr>
              <w:rFonts w:ascii="仿宋" w:hAnsi="仿宋" w:eastAsia="仿宋" w:cs="仿宋"/>
              <w:spacing w:val="-2"/>
              <w:position w:val="2"/>
              <w:sz w:val="27"/>
              <w:szCs w:val="27"/>
            </w:rPr>
            <w:t>维修性分析评价方案</w:t>
          </w:r>
          <w:r>
            <w:rPr>
              <w:rFonts w:ascii="仿宋" w:hAnsi="仿宋" w:eastAsia="仿宋" w:cs="仿宋"/>
              <w:spacing w:val="-96"/>
              <w:position w:val="2"/>
              <w:sz w:val="27"/>
              <w:szCs w:val="27"/>
            </w:rPr>
            <w:t xml:space="preserve"> </w:t>
          </w:r>
          <w:r>
            <w:rPr>
              <w:rFonts w:ascii="仿宋" w:hAnsi="仿宋" w:eastAsia="仿宋" w:cs="仿宋"/>
              <w:position w:val="2"/>
              <w:sz w:val="27"/>
              <w:szCs w:val="27"/>
            </w:rPr>
            <w:tab/>
          </w:r>
          <w:r>
            <w:rPr>
              <w:spacing w:val="-9"/>
              <w:position w:val="2"/>
              <w:sz w:val="27"/>
              <w:szCs w:val="27"/>
            </w:rPr>
            <w:t>413</w:t>
          </w:r>
          <w:r>
            <w:rPr>
              <w:spacing w:val="-9"/>
              <w:position w:val="2"/>
              <w:sz w:val="27"/>
              <w:szCs w:val="27"/>
            </w:rPr>
            <w:fldChar w:fldCharType="end"/>
          </w:r>
        </w:p>
        <w:p w14:paraId="7444B23D">
          <w:pPr>
            <w:pStyle w:val="2"/>
            <w:tabs>
              <w:tab w:val="right" w:leader="dot" w:pos="9297"/>
            </w:tabs>
            <w:spacing w:before="52" w:line="368" w:lineRule="exact"/>
            <w:ind w:left="476"/>
            <w:rPr>
              <w:sz w:val="27"/>
              <w:szCs w:val="27"/>
            </w:rPr>
          </w:pPr>
          <w:r>
            <w:fldChar w:fldCharType="begin"/>
          </w:r>
          <w:r>
            <w:instrText xml:space="preserve"> HYPERLINK \l "bookmark180" </w:instrText>
          </w:r>
          <w:r>
            <w:fldChar w:fldCharType="separate"/>
          </w:r>
          <w:r>
            <w:rPr>
              <w:rFonts w:ascii="Times New Roman" w:hAnsi="Times New Roman" w:eastAsia="Times New Roman" w:cs="Times New Roman"/>
              <w:position w:val="2"/>
              <w:sz w:val="27"/>
              <w:szCs w:val="27"/>
            </w:rPr>
            <w:t xml:space="preserve">8.18      </w:t>
          </w:r>
          <w:r>
            <w:rPr>
              <w:rFonts w:ascii="仿宋" w:hAnsi="仿宋" w:eastAsia="仿宋" w:cs="仿宋"/>
              <w:position w:val="2"/>
              <w:sz w:val="27"/>
              <w:szCs w:val="27"/>
            </w:rPr>
            <w:t>维修性分析评价报告</w:t>
          </w:r>
          <w:r>
            <w:rPr>
              <w:rFonts w:ascii="仿宋" w:hAnsi="仿宋" w:eastAsia="仿宋" w:cs="仿宋"/>
              <w:spacing w:val="-114"/>
              <w:position w:val="2"/>
              <w:sz w:val="27"/>
              <w:szCs w:val="27"/>
            </w:rPr>
            <w:t xml:space="preserve"> </w:t>
          </w:r>
          <w:r>
            <w:rPr>
              <w:rFonts w:ascii="仿宋" w:hAnsi="仿宋" w:eastAsia="仿宋" w:cs="仿宋"/>
              <w:position w:val="2"/>
              <w:sz w:val="27"/>
              <w:szCs w:val="27"/>
            </w:rPr>
            <w:tab/>
          </w:r>
          <w:r>
            <w:rPr>
              <w:spacing w:val="-13"/>
              <w:position w:val="2"/>
              <w:sz w:val="27"/>
              <w:szCs w:val="27"/>
            </w:rPr>
            <w:t>413</w:t>
          </w:r>
          <w:r>
            <w:rPr>
              <w:spacing w:val="-13"/>
              <w:position w:val="2"/>
              <w:sz w:val="27"/>
              <w:szCs w:val="27"/>
            </w:rPr>
            <w:fldChar w:fldCharType="end"/>
          </w:r>
        </w:p>
        <w:p w14:paraId="737FCF42">
          <w:pPr>
            <w:pStyle w:val="2"/>
            <w:tabs>
              <w:tab w:val="right" w:leader="dot" w:pos="9297"/>
            </w:tabs>
            <w:spacing w:before="80" w:line="220" w:lineRule="auto"/>
            <w:ind w:left="476"/>
            <w:rPr>
              <w:sz w:val="27"/>
              <w:szCs w:val="27"/>
            </w:rPr>
          </w:pPr>
          <w:r>
            <w:fldChar w:fldCharType="begin"/>
          </w:r>
          <w:r>
            <w:instrText xml:space="preserve"> HYPERLINK \l "bookmark181" </w:instrText>
          </w:r>
          <w:r>
            <w:fldChar w:fldCharType="separate"/>
          </w:r>
          <w:r>
            <w:rPr>
              <w:rFonts w:ascii="Times New Roman" w:hAnsi="Times New Roman" w:eastAsia="Times New Roman" w:cs="Times New Roman"/>
              <w:spacing w:val="1"/>
              <w:sz w:val="27"/>
              <w:szCs w:val="27"/>
            </w:rPr>
            <w:t>8.19</w:t>
          </w:r>
          <w:r>
            <w:rPr>
              <w:rFonts w:ascii="Times New Roman" w:hAnsi="Times New Roman" w:eastAsia="Times New Roman" w:cs="Times New Roman"/>
              <w:spacing w:val="11"/>
              <w:sz w:val="27"/>
              <w:szCs w:val="27"/>
            </w:rPr>
            <w:t xml:space="preserve">     </w:t>
          </w:r>
          <w:r>
            <w:rPr>
              <w:rFonts w:ascii="仿宋" w:hAnsi="仿宋" w:eastAsia="仿宋" w:cs="仿宋"/>
              <w:spacing w:val="1"/>
              <w:sz w:val="27"/>
              <w:szCs w:val="27"/>
            </w:rPr>
            <w:t>维修性评估报告</w:t>
          </w:r>
          <w:r>
            <w:rPr>
              <w:rFonts w:ascii="仿宋" w:hAnsi="仿宋" w:eastAsia="仿宋" w:cs="仿宋"/>
              <w:spacing w:val="-122"/>
              <w:sz w:val="27"/>
              <w:szCs w:val="27"/>
            </w:rPr>
            <w:t xml:space="preserve"> </w:t>
          </w:r>
          <w:r>
            <w:rPr>
              <w:rFonts w:ascii="仿宋" w:hAnsi="仿宋" w:eastAsia="仿宋" w:cs="仿宋"/>
              <w:sz w:val="27"/>
              <w:szCs w:val="27"/>
            </w:rPr>
            <w:tab/>
          </w:r>
          <w:r>
            <w:rPr>
              <w:spacing w:val="-11"/>
              <w:sz w:val="27"/>
              <w:szCs w:val="27"/>
            </w:rPr>
            <w:t>414</w:t>
          </w:r>
          <w:r>
            <w:rPr>
              <w:spacing w:val="-11"/>
              <w:sz w:val="27"/>
              <w:szCs w:val="27"/>
            </w:rPr>
            <w:fldChar w:fldCharType="end"/>
          </w:r>
        </w:p>
        <w:p w14:paraId="1ACCED7C">
          <w:pPr>
            <w:pStyle w:val="2"/>
            <w:tabs>
              <w:tab w:val="right" w:leader="dot" w:pos="9312"/>
            </w:tabs>
            <w:spacing w:before="70" w:line="368" w:lineRule="exact"/>
            <w:ind w:left="476"/>
            <w:rPr>
              <w:sz w:val="27"/>
              <w:szCs w:val="27"/>
            </w:rPr>
          </w:pPr>
          <w:r>
            <w:fldChar w:fldCharType="begin"/>
          </w:r>
          <w:r>
            <w:instrText xml:space="preserve"> HYPERLINK \l "bookmark182" </w:instrText>
          </w:r>
          <w:r>
            <w:fldChar w:fldCharType="separate"/>
          </w:r>
          <w:r>
            <w:rPr>
              <w:rFonts w:ascii="Times New Roman" w:hAnsi="Times New Roman" w:eastAsia="Times New Roman" w:cs="Times New Roman"/>
              <w:spacing w:val="4"/>
              <w:position w:val="2"/>
              <w:sz w:val="27"/>
              <w:szCs w:val="27"/>
            </w:rPr>
            <w:t xml:space="preserve">8.20     </w:t>
          </w:r>
          <w:r>
            <w:rPr>
              <w:rFonts w:ascii="仿宋" w:hAnsi="仿宋" w:eastAsia="仿宋" w:cs="仿宋"/>
              <w:spacing w:val="4"/>
              <w:position w:val="2"/>
              <w:sz w:val="27"/>
              <w:szCs w:val="27"/>
            </w:rPr>
            <w:t>使用期间维修性信息收集计划</w:t>
          </w:r>
          <w:r>
            <w:rPr>
              <w:rFonts w:ascii="仿宋" w:hAnsi="仿宋" w:eastAsia="仿宋" w:cs="仿宋"/>
              <w:position w:val="2"/>
              <w:sz w:val="27"/>
              <w:szCs w:val="27"/>
            </w:rPr>
            <w:tab/>
          </w:r>
          <w:r>
            <w:rPr>
              <w:spacing w:val="-1"/>
              <w:position w:val="2"/>
              <w:sz w:val="27"/>
              <w:szCs w:val="27"/>
            </w:rPr>
            <w:t>415</w:t>
          </w:r>
          <w:r>
            <w:rPr>
              <w:spacing w:val="-1"/>
              <w:position w:val="2"/>
              <w:sz w:val="27"/>
              <w:szCs w:val="27"/>
            </w:rPr>
            <w:fldChar w:fldCharType="end"/>
          </w:r>
        </w:p>
        <w:p w14:paraId="61C057EA">
          <w:pPr>
            <w:pStyle w:val="2"/>
            <w:tabs>
              <w:tab w:val="right" w:leader="dot" w:pos="9297"/>
            </w:tabs>
            <w:spacing w:before="12" w:line="368" w:lineRule="exact"/>
            <w:ind w:left="476"/>
            <w:rPr>
              <w:sz w:val="27"/>
              <w:szCs w:val="27"/>
            </w:rPr>
          </w:pPr>
          <w:r>
            <w:fldChar w:fldCharType="begin"/>
          </w:r>
          <w:r>
            <w:instrText xml:space="preserve"> HYPERLINK \l "bookmark183" </w:instrText>
          </w:r>
          <w:r>
            <w:fldChar w:fldCharType="separate"/>
          </w:r>
          <w:r>
            <w:rPr>
              <w:rFonts w:ascii="Times New Roman" w:hAnsi="Times New Roman" w:eastAsia="Times New Roman" w:cs="Times New Roman"/>
              <w:spacing w:val="4"/>
              <w:position w:val="2"/>
              <w:sz w:val="27"/>
              <w:szCs w:val="27"/>
            </w:rPr>
            <w:t xml:space="preserve">8.21     </w:t>
          </w:r>
          <w:r>
            <w:rPr>
              <w:rFonts w:ascii="仿宋" w:hAnsi="仿宋" w:eastAsia="仿宋" w:cs="仿宋"/>
              <w:spacing w:val="4"/>
              <w:position w:val="2"/>
              <w:sz w:val="27"/>
              <w:szCs w:val="27"/>
            </w:rPr>
            <w:t>使用期间维修性信息分类</w:t>
          </w:r>
          <w:r>
            <w:rPr>
              <w:rFonts w:ascii="仿宋" w:hAnsi="仿宋" w:eastAsia="仿宋" w:cs="仿宋"/>
              <w:spacing w:val="3"/>
              <w:position w:val="2"/>
              <w:sz w:val="27"/>
              <w:szCs w:val="27"/>
            </w:rPr>
            <w:t>和编码</w:t>
          </w:r>
          <w:r>
            <w:rPr>
              <w:rFonts w:ascii="仿宋" w:hAnsi="仿宋" w:eastAsia="仿宋" w:cs="仿宋"/>
              <w:spacing w:val="-125"/>
              <w:position w:val="2"/>
              <w:sz w:val="27"/>
              <w:szCs w:val="27"/>
            </w:rPr>
            <w:t xml:space="preserve"> </w:t>
          </w:r>
          <w:r>
            <w:rPr>
              <w:rFonts w:ascii="仿宋" w:hAnsi="仿宋" w:eastAsia="仿宋" w:cs="仿宋"/>
              <w:position w:val="2"/>
              <w:sz w:val="27"/>
              <w:szCs w:val="27"/>
            </w:rPr>
            <w:tab/>
          </w:r>
          <w:r>
            <w:rPr>
              <w:spacing w:val="-16"/>
              <w:position w:val="2"/>
              <w:sz w:val="27"/>
              <w:szCs w:val="27"/>
            </w:rPr>
            <w:t>416</w:t>
          </w:r>
          <w:r>
            <w:rPr>
              <w:spacing w:val="-16"/>
              <w:position w:val="2"/>
              <w:sz w:val="27"/>
              <w:szCs w:val="27"/>
            </w:rPr>
            <w:fldChar w:fldCharType="end"/>
          </w:r>
        </w:p>
        <w:p w14:paraId="1302DE37">
          <w:pPr>
            <w:pStyle w:val="2"/>
            <w:tabs>
              <w:tab w:val="right" w:leader="dot" w:pos="9297"/>
            </w:tabs>
            <w:spacing w:before="52" w:line="368" w:lineRule="exact"/>
            <w:ind w:left="476"/>
            <w:rPr>
              <w:sz w:val="27"/>
              <w:szCs w:val="27"/>
            </w:rPr>
          </w:pPr>
          <w:r>
            <w:fldChar w:fldCharType="begin"/>
          </w:r>
          <w:r>
            <w:instrText xml:space="preserve"> HYPERLINK \l "bookmark184" </w:instrText>
          </w:r>
          <w:r>
            <w:fldChar w:fldCharType="separate"/>
          </w:r>
          <w:r>
            <w:rPr>
              <w:rFonts w:ascii="Times New Roman" w:hAnsi="Times New Roman" w:eastAsia="Times New Roman" w:cs="Times New Roman"/>
              <w:spacing w:val="4"/>
              <w:position w:val="2"/>
              <w:sz w:val="27"/>
              <w:szCs w:val="27"/>
            </w:rPr>
            <w:t xml:space="preserve">8.22     </w:t>
          </w:r>
          <w:r>
            <w:rPr>
              <w:rFonts w:ascii="仿宋" w:hAnsi="仿宋" w:eastAsia="仿宋" w:cs="仿宋"/>
              <w:spacing w:val="4"/>
              <w:position w:val="2"/>
              <w:sz w:val="27"/>
              <w:szCs w:val="27"/>
            </w:rPr>
            <w:t>使用期间维修性评价计划</w:t>
          </w:r>
          <w:r>
            <w:rPr>
              <w:rFonts w:ascii="仿宋" w:hAnsi="仿宋" w:eastAsia="仿宋" w:cs="仿宋"/>
              <w:position w:val="2"/>
              <w:sz w:val="27"/>
              <w:szCs w:val="27"/>
            </w:rPr>
            <w:tab/>
          </w:r>
          <w:r>
            <w:rPr>
              <w:spacing w:val="-7"/>
              <w:position w:val="2"/>
              <w:sz w:val="27"/>
              <w:szCs w:val="27"/>
            </w:rPr>
            <w:t>418</w:t>
          </w:r>
          <w:r>
            <w:rPr>
              <w:spacing w:val="-7"/>
              <w:position w:val="2"/>
              <w:sz w:val="27"/>
              <w:szCs w:val="27"/>
            </w:rPr>
            <w:fldChar w:fldCharType="end"/>
          </w:r>
        </w:p>
        <w:p w14:paraId="46894297">
          <w:pPr>
            <w:pStyle w:val="2"/>
            <w:tabs>
              <w:tab w:val="right" w:leader="dot" w:pos="9297"/>
            </w:tabs>
            <w:spacing w:before="32" w:line="368" w:lineRule="exact"/>
            <w:ind w:left="476"/>
            <w:rPr>
              <w:sz w:val="27"/>
              <w:szCs w:val="27"/>
            </w:rPr>
          </w:pPr>
          <w:r>
            <w:fldChar w:fldCharType="begin"/>
          </w:r>
          <w:r>
            <w:instrText xml:space="preserve"> HYPERLINK \l "bookmark185" </w:instrText>
          </w:r>
          <w:r>
            <w:fldChar w:fldCharType="separate"/>
          </w:r>
          <w:r>
            <w:rPr>
              <w:rFonts w:ascii="Times New Roman" w:hAnsi="Times New Roman" w:eastAsia="Times New Roman" w:cs="Times New Roman"/>
              <w:spacing w:val="3"/>
              <w:position w:val="2"/>
              <w:sz w:val="27"/>
              <w:szCs w:val="27"/>
            </w:rPr>
            <w:t xml:space="preserve">8.23     </w:t>
          </w:r>
          <w:r>
            <w:rPr>
              <w:rFonts w:ascii="仿宋" w:hAnsi="仿宋" w:eastAsia="仿宋" w:cs="仿宋"/>
              <w:spacing w:val="3"/>
              <w:position w:val="2"/>
              <w:sz w:val="27"/>
              <w:szCs w:val="27"/>
            </w:rPr>
            <w:t>使用期间维修性评价报告</w:t>
          </w:r>
          <w:r>
            <w:rPr>
              <w:rFonts w:ascii="仿宋" w:hAnsi="仿宋" w:eastAsia="仿宋" w:cs="仿宋"/>
              <w:spacing w:val="-106"/>
              <w:position w:val="2"/>
              <w:sz w:val="27"/>
              <w:szCs w:val="27"/>
            </w:rPr>
            <w:t xml:space="preserve"> </w:t>
          </w:r>
          <w:r>
            <w:rPr>
              <w:rFonts w:ascii="仿宋" w:hAnsi="仿宋" w:eastAsia="仿宋" w:cs="仿宋"/>
              <w:position w:val="2"/>
              <w:sz w:val="27"/>
              <w:szCs w:val="27"/>
            </w:rPr>
            <w:tab/>
          </w:r>
          <w:r>
            <w:rPr>
              <w:spacing w:val="-13"/>
              <w:position w:val="2"/>
              <w:sz w:val="27"/>
              <w:szCs w:val="27"/>
            </w:rPr>
            <w:t>419</w:t>
          </w:r>
          <w:r>
            <w:rPr>
              <w:spacing w:val="-13"/>
              <w:position w:val="2"/>
              <w:sz w:val="27"/>
              <w:szCs w:val="27"/>
            </w:rPr>
            <w:fldChar w:fldCharType="end"/>
          </w:r>
        </w:p>
        <w:p w14:paraId="6ECE3827">
          <w:pPr>
            <w:pStyle w:val="2"/>
            <w:tabs>
              <w:tab w:val="right" w:leader="dot" w:pos="9297"/>
            </w:tabs>
            <w:spacing w:before="42" w:line="368" w:lineRule="exact"/>
            <w:ind w:left="476"/>
            <w:rPr>
              <w:sz w:val="27"/>
              <w:szCs w:val="27"/>
            </w:rPr>
          </w:pPr>
          <w:r>
            <w:fldChar w:fldCharType="begin"/>
          </w:r>
          <w:r>
            <w:instrText xml:space="preserve"> HYPERLINK \l "bookmark186" </w:instrText>
          </w:r>
          <w:r>
            <w:fldChar w:fldCharType="separate"/>
          </w:r>
          <w:r>
            <w:rPr>
              <w:rFonts w:ascii="Times New Roman" w:hAnsi="Times New Roman" w:eastAsia="Times New Roman" w:cs="Times New Roman"/>
              <w:spacing w:val="2"/>
              <w:position w:val="2"/>
              <w:sz w:val="27"/>
              <w:szCs w:val="27"/>
            </w:rPr>
            <w:t>8.24</w:t>
          </w:r>
          <w:r>
            <w:rPr>
              <w:rFonts w:ascii="Times New Roman" w:hAnsi="Times New Roman" w:eastAsia="Times New Roman" w:cs="Times New Roman"/>
              <w:spacing w:val="10"/>
              <w:position w:val="2"/>
              <w:sz w:val="27"/>
              <w:szCs w:val="27"/>
            </w:rPr>
            <w:t xml:space="preserve">     </w:t>
          </w:r>
          <w:r>
            <w:rPr>
              <w:rFonts w:ascii="仿宋" w:hAnsi="仿宋" w:eastAsia="仿宋" w:cs="仿宋"/>
              <w:spacing w:val="2"/>
              <w:position w:val="2"/>
              <w:sz w:val="27"/>
              <w:szCs w:val="27"/>
            </w:rPr>
            <w:t>使用期间维修性改进计划</w:t>
          </w:r>
          <w:r>
            <w:rPr>
              <w:rFonts w:ascii="仿宋" w:hAnsi="仿宋" w:eastAsia="仿宋" w:cs="仿宋"/>
              <w:position w:val="2"/>
              <w:sz w:val="27"/>
              <w:szCs w:val="27"/>
            </w:rPr>
            <w:tab/>
          </w:r>
          <w:r>
            <w:rPr>
              <w:spacing w:val="-11"/>
              <w:position w:val="2"/>
              <w:sz w:val="27"/>
              <w:szCs w:val="27"/>
            </w:rPr>
            <w:t>419</w:t>
          </w:r>
          <w:r>
            <w:rPr>
              <w:spacing w:val="-11"/>
              <w:position w:val="2"/>
              <w:sz w:val="27"/>
              <w:szCs w:val="27"/>
            </w:rPr>
            <w:fldChar w:fldCharType="end"/>
          </w:r>
        </w:p>
        <w:p w14:paraId="74E1EDAA">
          <w:pPr>
            <w:pStyle w:val="2"/>
            <w:tabs>
              <w:tab w:val="right" w:leader="dot" w:pos="9297"/>
            </w:tabs>
            <w:spacing w:before="62" w:line="368" w:lineRule="exact"/>
            <w:ind w:left="476"/>
            <w:rPr>
              <w:sz w:val="27"/>
              <w:szCs w:val="27"/>
            </w:rPr>
          </w:pPr>
          <w:r>
            <w:fldChar w:fldCharType="begin"/>
          </w:r>
          <w:r>
            <w:instrText xml:space="preserve"> HYPERLINK \l "bookmark187" </w:instrText>
          </w:r>
          <w:r>
            <w:fldChar w:fldCharType="separate"/>
          </w:r>
          <w:r>
            <w:rPr>
              <w:rFonts w:ascii="Times New Roman" w:hAnsi="Times New Roman" w:eastAsia="Times New Roman" w:cs="Times New Roman"/>
              <w:spacing w:val="2"/>
              <w:position w:val="2"/>
              <w:sz w:val="27"/>
              <w:szCs w:val="27"/>
            </w:rPr>
            <w:t>8.25</w:t>
          </w:r>
          <w:r>
            <w:rPr>
              <w:rFonts w:ascii="Times New Roman" w:hAnsi="Times New Roman" w:eastAsia="Times New Roman" w:cs="Times New Roman"/>
              <w:spacing w:val="11"/>
              <w:position w:val="2"/>
              <w:sz w:val="27"/>
              <w:szCs w:val="27"/>
            </w:rPr>
            <w:t xml:space="preserve">     </w:t>
          </w:r>
          <w:r>
            <w:rPr>
              <w:rFonts w:ascii="仿宋" w:hAnsi="仿宋" w:eastAsia="仿宋" w:cs="仿宋"/>
              <w:spacing w:val="2"/>
              <w:position w:val="2"/>
              <w:sz w:val="27"/>
              <w:szCs w:val="27"/>
            </w:rPr>
            <w:t>使用期间维修性改进报告</w:t>
          </w:r>
          <w:r>
            <w:rPr>
              <w:rFonts w:ascii="仿宋" w:hAnsi="仿宋" w:eastAsia="仿宋" w:cs="仿宋"/>
              <w:spacing w:val="-111"/>
              <w:position w:val="2"/>
              <w:sz w:val="27"/>
              <w:szCs w:val="27"/>
            </w:rPr>
            <w:t xml:space="preserve"> </w:t>
          </w:r>
          <w:r>
            <w:rPr>
              <w:rFonts w:ascii="仿宋" w:hAnsi="仿宋" w:eastAsia="仿宋" w:cs="仿宋"/>
              <w:position w:val="2"/>
              <w:sz w:val="27"/>
              <w:szCs w:val="27"/>
            </w:rPr>
            <w:tab/>
          </w:r>
          <w:r>
            <w:rPr>
              <w:spacing w:val="-7"/>
              <w:position w:val="2"/>
              <w:sz w:val="27"/>
              <w:szCs w:val="27"/>
            </w:rPr>
            <w:t>420</w:t>
          </w:r>
          <w:r>
            <w:rPr>
              <w:spacing w:val="-7"/>
              <w:position w:val="2"/>
              <w:sz w:val="27"/>
              <w:szCs w:val="27"/>
            </w:rPr>
            <w:fldChar w:fldCharType="end"/>
          </w:r>
        </w:p>
        <w:p w14:paraId="12317F20">
          <w:pPr>
            <w:pStyle w:val="2"/>
            <w:tabs>
              <w:tab w:val="right" w:leader="dot" w:pos="9297"/>
            </w:tabs>
            <w:spacing w:before="139" w:line="205" w:lineRule="auto"/>
            <w:rPr>
              <w:sz w:val="27"/>
              <w:szCs w:val="27"/>
            </w:rPr>
          </w:pPr>
          <w:r>
            <w:fldChar w:fldCharType="begin"/>
          </w:r>
          <w:r>
            <w:instrText xml:space="preserve"> HYPERLINK \l "bookmark188" </w:instrText>
          </w:r>
          <w:r>
            <w:fldChar w:fldCharType="separate"/>
          </w:r>
          <w:r>
            <w:rPr>
              <w:rFonts w:ascii="黑体" w:hAnsi="黑体" w:eastAsia="黑体" w:cs="黑体"/>
              <w:b/>
              <w:bCs/>
              <w:spacing w:val="-11"/>
              <w:sz w:val="23"/>
              <w:szCs w:val="23"/>
            </w:rPr>
            <w:t>第</w:t>
          </w:r>
          <w:r>
            <w:rPr>
              <w:rFonts w:ascii="黑体" w:hAnsi="黑体" w:eastAsia="黑体" w:cs="黑体"/>
              <w:spacing w:val="-11"/>
              <w:sz w:val="23"/>
              <w:szCs w:val="23"/>
            </w:rPr>
            <w:t xml:space="preserve"> </w:t>
          </w:r>
          <w:r>
            <w:rPr>
              <w:rFonts w:ascii="黑体" w:hAnsi="黑体" w:eastAsia="黑体" w:cs="黑体"/>
              <w:b/>
              <w:bCs/>
              <w:spacing w:val="-11"/>
              <w:sz w:val="23"/>
              <w:szCs w:val="23"/>
            </w:rPr>
            <w:t>9</w:t>
          </w:r>
          <w:r>
            <w:rPr>
              <w:rFonts w:ascii="黑体" w:hAnsi="黑体" w:eastAsia="黑体" w:cs="黑体"/>
              <w:spacing w:val="21"/>
              <w:sz w:val="23"/>
              <w:szCs w:val="23"/>
            </w:rPr>
            <w:t xml:space="preserve"> </w:t>
          </w:r>
          <w:r>
            <w:rPr>
              <w:rFonts w:ascii="黑体" w:hAnsi="黑体" w:eastAsia="黑体" w:cs="黑体"/>
              <w:b/>
              <w:bCs/>
              <w:spacing w:val="-11"/>
              <w:sz w:val="23"/>
              <w:szCs w:val="23"/>
            </w:rPr>
            <w:t>章</w:t>
          </w:r>
          <w:r>
            <w:rPr>
              <w:rFonts w:ascii="黑体" w:hAnsi="黑体" w:eastAsia="黑体" w:cs="黑体"/>
              <w:spacing w:val="86"/>
              <w:sz w:val="23"/>
              <w:szCs w:val="23"/>
            </w:rPr>
            <w:t xml:space="preserve"> </w:t>
          </w:r>
          <w:r>
            <w:rPr>
              <w:rFonts w:ascii="黑体" w:hAnsi="黑体" w:eastAsia="黑体" w:cs="黑体"/>
              <w:b/>
              <w:bCs/>
              <w:spacing w:val="-11"/>
              <w:sz w:val="23"/>
              <w:szCs w:val="23"/>
            </w:rPr>
            <w:t>测</w:t>
          </w:r>
          <w:r>
            <w:rPr>
              <w:rFonts w:ascii="黑体" w:hAnsi="黑体" w:eastAsia="黑体" w:cs="黑体"/>
              <w:spacing w:val="-11"/>
              <w:sz w:val="23"/>
              <w:szCs w:val="23"/>
            </w:rPr>
            <w:t xml:space="preserve"> </w:t>
          </w:r>
          <w:r>
            <w:rPr>
              <w:rFonts w:ascii="黑体" w:hAnsi="黑体" w:eastAsia="黑体" w:cs="黑体"/>
              <w:b/>
              <w:bCs/>
              <w:spacing w:val="-11"/>
              <w:sz w:val="23"/>
              <w:szCs w:val="23"/>
            </w:rPr>
            <w:t>试</w:t>
          </w:r>
          <w:r>
            <w:rPr>
              <w:rFonts w:ascii="黑体" w:hAnsi="黑体" w:eastAsia="黑体" w:cs="黑体"/>
              <w:spacing w:val="-21"/>
              <w:sz w:val="23"/>
              <w:szCs w:val="23"/>
            </w:rPr>
            <w:t xml:space="preserve"> </w:t>
          </w:r>
          <w:r>
            <w:rPr>
              <w:rFonts w:ascii="黑体" w:hAnsi="黑体" w:eastAsia="黑体" w:cs="黑体"/>
              <w:b/>
              <w:bCs/>
              <w:spacing w:val="-11"/>
              <w:sz w:val="23"/>
              <w:szCs w:val="23"/>
            </w:rPr>
            <w:t>性</w:t>
          </w:r>
          <w:r>
            <w:rPr>
              <w:rFonts w:ascii="黑体" w:hAnsi="黑体" w:eastAsia="黑体" w:cs="黑体"/>
              <w:spacing w:val="-19"/>
              <w:sz w:val="23"/>
              <w:szCs w:val="23"/>
            </w:rPr>
            <w:t xml:space="preserve"> </w:t>
          </w:r>
          <w:r>
            <w:rPr>
              <w:rFonts w:ascii="黑体" w:hAnsi="黑体" w:eastAsia="黑体" w:cs="黑体"/>
              <w:b/>
              <w:bCs/>
              <w:spacing w:val="-11"/>
              <w:sz w:val="23"/>
              <w:szCs w:val="23"/>
            </w:rPr>
            <w:t>文</w:t>
          </w:r>
          <w:r>
            <w:rPr>
              <w:rFonts w:ascii="黑体" w:hAnsi="黑体" w:eastAsia="黑体" w:cs="黑体"/>
              <w:spacing w:val="-24"/>
              <w:sz w:val="23"/>
              <w:szCs w:val="23"/>
            </w:rPr>
            <w:t xml:space="preserve"> </w:t>
          </w:r>
          <w:r>
            <w:rPr>
              <w:rFonts w:ascii="黑体" w:hAnsi="黑体" w:eastAsia="黑体" w:cs="黑体"/>
              <w:b/>
              <w:bCs/>
              <w:spacing w:val="-11"/>
              <w:sz w:val="23"/>
              <w:szCs w:val="23"/>
            </w:rPr>
            <w:t>件</w:t>
          </w:r>
          <w:r>
            <w:rPr>
              <w:rFonts w:ascii="黑体" w:hAnsi="黑体" w:eastAsia="黑体" w:cs="黑体"/>
              <w:spacing w:val="-92"/>
              <w:sz w:val="23"/>
              <w:szCs w:val="23"/>
            </w:rPr>
            <w:t xml:space="preserve"> </w:t>
          </w:r>
          <w:r>
            <w:rPr>
              <w:rFonts w:ascii="黑体" w:hAnsi="黑体" w:eastAsia="黑体" w:cs="黑体"/>
              <w:sz w:val="23"/>
              <w:szCs w:val="23"/>
            </w:rPr>
            <w:tab/>
          </w:r>
          <w:r>
            <w:rPr>
              <w:rFonts w:ascii="黑体" w:hAnsi="黑体" w:eastAsia="黑体" w:cs="黑体"/>
              <w:spacing w:val="87"/>
              <w:sz w:val="23"/>
              <w:szCs w:val="23"/>
            </w:rPr>
            <w:t xml:space="preserve"> </w:t>
          </w:r>
          <w:r>
            <w:rPr>
              <w:b/>
              <w:bCs/>
              <w:spacing w:val="-11"/>
              <w:sz w:val="27"/>
              <w:szCs w:val="27"/>
            </w:rPr>
            <w:t>422</w:t>
          </w:r>
          <w:r>
            <w:rPr>
              <w:b/>
              <w:bCs/>
              <w:spacing w:val="-11"/>
              <w:sz w:val="27"/>
              <w:szCs w:val="27"/>
            </w:rPr>
            <w:fldChar w:fldCharType="end"/>
          </w:r>
        </w:p>
        <w:p w14:paraId="3CFBED38">
          <w:pPr>
            <w:pStyle w:val="2"/>
            <w:tabs>
              <w:tab w:val="right" w:leader="dot" w:pos="9299"/>
            </w:tabs>
            <w:spacing w:before="87" w:line="221" w:lineRule="auto"/>
            <w:ind w:left="476"/>
            <w:rPr>
              <w:sz w:val="27"/>
              <w:szCs w:val="27"/>
            </w:rPr>
          </w:pPr>
          <w:r>
            <w:fldChar w:fldCharType="begin"/>
          </w:r>
          <w:r>
            <w:instrText xml:space="preserve"> HYPERLINK \l "bookmark189" </w:instrText>
          </w:r>
          <w:r>
            <w:fldChar w:fldCharType="separate"/>
          </w:r>
          <w:r>
            <w:rPr>
              <w:rFonts w:ascii="Times New Roman" w:hAnsi="Times New Roman" w:eastAsia="Times New Roman" w:cs="Times New Roman"/>
              <w:spacing w:val="-5"/>
              <w:sz w:val="27"/>
              <w:szCs w:val="27"/>
            </w:rPr>
            <w:t>9.1</w:t>
          </w:r>
          <w:r>
            <w:rPr>
              <w:rFonts w:ascii="Times New Roman" w:hAnsi="Times New Roman" w:eastAsia="Times New Roman" w:cs="Times New Roman"/>
              <w:spacing w:val="6"/>
              <w:sz w:val="27"/>
              <w:szCs w:val="27"/>
            </w:rPr>
            <w:t xml:space="preserve">     </w:t>
          </w:r>
          <w:r>
            <w:rPr>
              <w:rFonts w:ascii="仿宋" w:hAnsi="仿宋" w:eastAsia="仿宋" w:cs="仿宋"/>
              <w:spacing w:val="-5"/>
              <w:sz w:val="27"/>
              <w:szCs w:val="27"/>
            </w:rPr>
            <w:t>诊断方案</w:t>
          </w:r>
          <w:r>
            <w:rPr>
              <w:rFonts w:ascii="仿宋" w:hAnsi="仿宋" w:eastAsia="仿宋" w:cs="仿宋"/>
              <w:spacing w:val="44"/>
              <w:sz w:val="27"/>
              <w:szCs w:val="27"/>
            </w:rPr>
            <w:t xml:space="preserve"> </w:t>
          </w:r>
          <w:r>
            <w:rPr>
              <w:rFonts w:ascii="仿宋" w:hAnsi="仿宋" w:eastAsia="仿宋" w:cs="仿宋"/>
              <w:sz w:val="27"/>
              <w:szCs w:val="27"/>
            </w:rPr>
            <w:tab/>
          </w:r>
          <w:r>
            <w:rPr>
              <w:spacing w:val="-9"/>
              <w:sz w:val="27"/>
              <w:szCs w:val="27"/>
            </w:rPr>
            <w:t>422</w:t>
          </w:r>
          <w:r>
            <w:rPr>
              <w:spacing w:val="-9"/>
              <w:sz w:val="27"/>
              <w:szCs w:val="27"/>
            </w:rPr>
            <w:fldChar w:fldCharType="end"/>
          </w:r>
        </w:p>
        <w:p w14:paraId="02A88282">
          <w:pPr>
            <w:pStyle w:val="2"/>
            <w:tabs>
              <w:tab w:val="right" w:leader="dot" w:pos="9297"/>
            </w:tabs>
            <w:spacing w:before="38" w:line="368" w:lineRule="exact"/>
            <w:ind w:left="476"/>
            <w:rPr>
              <w:sz w:val="27"/>
              <w:szCs w:val="27"/>
            </w:rPr>
          </w:pPr>
          <w:r>
            <w:fldChar w:fldCharType="begin"/>
          </w:r>
          <w:r>
            <w:instrText xml:space="preserve"> HYPERLINK \l "bookmark190" </w:instrText>
          </w:r>
          <w:r>
            <w:fldChar w:fldCharType="separate"/>
          </w:r>
          <w:r>
            <w:rPr>
              <w:rFonts w:ascii="Times New Roman" w:hAnsi="Times New Roman" w:eastAsia="Times New Roman" w:cs="Times New Roman"/>
              <w:spacing w:val="2"/>
              <w:position w:val="2"/>
              <w:sz w:val="27"/>
              <w:szCs w:val="27"/>
            </w:rPr>
            <w:t>9.2</w:t>
          </w:r>
          <w:r>
            <w:rPr>
              <w:rFonts w:ascii="Times New Roman" w:hAnsi="Times New Roman" w:eastAsia="Times New Roman" w:cs="Times New Roman"/>
              <w:spacing w:val="5"/>
              <w:position w:val="2"/>
              <w:sz w:val="27"/>
              <w:szCs w:val="27"/>
            </w:rPr>
            <w:t xml:space="preserve">     </w:t>
          </w:r>
          <w:r>
            <w:rPr>
              <w:rFonts w:ascii="仿宋" w:hAnsi="仿宋" w:eastAsia="仿宋" w:cs="仿宋"/>
              <w:spacing w:val="2"/>
              <w:position w:val="2"/>
              <w:sz w:val="27"/>
              <w:szCs w:val="27"/>
            </w:rPr>
            <w:t>测试性要求</w:t>
          </w:r>
          <w:r>
            <w:rPr>
              <w:rFonts w:ascii="仿宋" w:hAnsi="仿宋" w:eastAsia="仿宋" w:cs="仿宋"/>
              <w:spacing w:val="-123"/>
              <w:position w:val="2"/>
              <w:sz w:val="27"/>
              <w:szCs w:val="27"/>
            </w:rPr>
            <w:t xml:space="preserve"> </w:t>
          </w:r>
          <w:r>
            <w:rPr>
              <w:rFonts w:ascii="仿宋" w:hAnsi="仿宋" w:eastAsia="仿宋" w:cs="仿宋"/>
              <w:position w:val="2"/>
              <w:sz w:val="27"/>
              <w:szCs w:val="27"/>
            </w:rPr>
            <w:tab/>
          </w:r>
          <w:r>
            <w:rPr>
              <w:spacing w:val="-9"/>
              <w:position w:val="2"/>
              <w:sz w:val="27"/>
              <w:szCs w:val="27"/>
            </w:rPr>
            <w:t>423</w:t>
          </w:r>
          <w:r>
            <w:rPr>
              <w:spacing w:val="-9"/>
              <w:position w:val="2"/>
              <w:sz w:val="27"/>
              <w:szCs w:val="27"/>
            </w:rPr>
            <w:fldChar w:fldCharType="end"/>
          </w:r>
        </w:p>
        <w:p w14:paraId="62E1E2B3">
          <w:pPr>
            <w:pStyle w:val="2"/>
            <w:tabs>
              <w:tab w:val="right" w:leader="dot" w:pos="9297"/>
            </w:tabs>
            <w:spacing w:before="12" w:line="368" w:lineRule="exact"/>
            <w:ind w:left="476"/>
            <w:rPr>
              <w:sz w:val="27"/>
              <w:szCs w:val="27"/>
            </w:rPr>
          </w:pPr>
          <w:r>
            <w:fldChar w:fldCharType="begin"/>
          </w:r>
          <w:r>
            <w:instrText xml:space="preserve"> HYPERLINK \l "bookmark191" </w:instrText>
          </w:r>
          <w:r>
            <w:fldChar w:fldCharType="separate"/>
          </w:r>
          <w:r>
            <w:rPr>
              <w:rFonts w:ascii="Times New Roman" w:hAnsi="Times New Roman" w:eastAsia="Times New Roman" w:cs="Times New Roman"/>
              <w:spacing w:val="1"/>
              <w:position w:val="2"/>
              <w:sz w:val="27"/>
              <w:szCs w:val="27"/>
            </w:rPr>
            <w:t>9.3</w:t>
          </w:r>
          <w:r>
            <w:rPr>
              <w:rFonts w:ascii="Times New Roman" w:hAnsi="Times New Roman" w:eastAsia="Times New Roman" w:cs="Times New Roman"/>
              <w:spacing w:val="8"/>
              <w:position w:val="2"/>
              <w:sz w:val="27"/>
              <w:szCs w:val="27"/>
            </w:rPr>
            <w:t xml:space="preserve">     </w:t>
          </w:r>
          <w:r>
            <w:rPr>
              <w:rFonts w:ascii="仿宋" w:hAnsi="仿宋" w:eastAsia="仿宋" w:cs="仿宋"/>
              <w:spacing w:val="1"/>
              <w:position w:val="2"/>
              <w:sz w:val="27"/>
              <w:szCs w:val="27"/>
            </w:rPr>
            <w:t>测试性工作项目要求</w:t>
          </w:r>
          <w:r>
            <w:rPr>
              <w:rFonts w:ascii="仿宋" w:hAnsi="仿宋" w:eastAsia="仿宋" w:cs="仿宋"/>
              <w:spacing w:val="-124"/>
              <w:position w:val="2"/>
              <w:sz w:val="27"/>
              <w:szCs w:val="27"/>
            </w:rPr>
            <w:t xml:space="preserve"> </w:t>
          </w:r>
          <w:r>
            <w:rPr>
              <w:rFonts w:ascii="仿宋" w:hAnsi="仿宋" w:eastAsia="仿宋" w:cs="仿宋"/>
              <w:position w:val="2"/>
              <w:sz w:val="27"/>
              <w:szCs w:val="27"/>
            </w:rPr>
            <w:tab/>
          </w:r>
          <w:r>
            <w:rPr>
              <w:spacing w:val="-9"/>
              <w:position w:val="2"/>
              <w:sz w:val="27"/>
              <w:szCs w:val="27"/>
            </w:rPr>
            <w:t>426</w:t>
          </w:r>
          <w:r>
            <w:rPr>
              <w:spacing w:val="-9"/>
              <w:position w:val="2"/>
              <w:sz w:val="27"/>
              <w:szCs w:val="27"/>
            </w:rPr>
            <w:fldChar w:fldCharType="end"/>
          </w:r>
        </w:p>
        <w:p w14:paraId="66C618C6">
          <w:pPr>
            <w:pStyle w:val="2"/>
            <w:tabs>
              <w:tab w:val="right" w:leader="dot" w:pos="9297"/>
            </w:tabs>
            <w:spacing w:before="72" w:line="368" w:lineRule="exact"/>
            <w:ind w:left="476"/>
            <w:rPr>
              <w:sz w:val="27"/>
              <w:szCs w:val="27"/>
            </w:rPr>
          </w:pPr>
          <w:r>
            <w:fldChar w:fldCharType="begin"/>
          </w:r>
          <w:r>
            <w:instrText xml:space="preserve"> HYPERLINK \l "bookmark192" </w:instrText>
          </w:r>
          <w:r>
            <w:fldChar w:fldCharType="separate"/>
          </w:r>
          <w:r>
            <w:rPr>
              <w:rFonts w:ascii="Times New Roman" w:hAnsi="Times New Roman" w:eastAsia="Times New Roman" w:cs="Times New Roman"/>
              <w:spacing w:val="2"/>
              <w:position w:val="2"/>
              <w:sz w:val="27"/>
              <w:szCs w:val="27"/>
            </w:rPr>
            <w:t xml:space="preserve">9.4     </w:t>
          </w:r>
          <w:r>
            <w:rPr>
              <w:rFonts w:ascii="仿宋" w:hAnsi="仿宋" w:eastAsia="仿宋" w:cs="仿宋"/>
              <w:spacing w:val="2"/>
              <w:position w:val="2"/>
              <w:sz w:val="27"/>
              <w:szCs w:val="27"/>
            </w:rPr>
            <w:t>测试性计划</w:t>
          </w:r>
          <w:r>
            <w:rPr>
              <w:rFonts w:ascii="仿宋" w:hAnsi="仿宋" w:eastAsia="仿宋" w:cs="仿宋"/>
              <w:position w:val="2"/>
              <w:sz w:val="27"/>
              <w:szCs w:val="27"/>
            </w:rPr>
            <w:tab/>
          </w:r>
          <w:r>
            <w:rPr>
              <w:spacing w:val="-7"/>
              <w:position w:val="2"/>
              <w:sz w:val="27"/>
              <w:szCs w:val="27"/>
            </w:rPr>
            <w:t>430</w:t>
          </w:r>
          <w:r>
            <w:rPr>
              <w:spacing w:val="-7"/>
              <w:position w:val="2"/>
              <w:sz w:val="27"/>
              <w:szCs w:val="27"/>
            </w:rPr>
            <w:fldChar w:fldCharType="end"/>
          </w:r>
        </w:p>
        <w:p w14:paraId="43BFC8F7">
          <w:pPr>
            <w:pStyle w:val="2"/>
            <w:tabs>
              <w:tab w:val="right" w:leader="dot" w:pos="9332"/>
            </w:tabs>
            <w:spacing w:before="32" w:line="368" w:lineRule="exact"/>
            <w:ind w:left="476"/>
            <w:rPr>
              <w:sz w:val="27"/>
              <w:szCs w:val="27"/>
            </w:rPr>
          </w:pPr>
          <w:r>
            <w:fldChar w:fldCharType="begin"/>
          </w:r>
          <w:r>
            <w:instrText xml:space="preserve"> HYPERLINK \l "bookmark193" </w:instrText>
          </w:r>
          <w:r>
            <w:fldChar w:fldCharType="separate"/>
          </w:r>
          <w:r>
            <w:rPr>
              <w:rFonts w:ascii="Times New Roman" w:hAnsi="Times New Roman" w:eastAsia="Times New Roman" w:cs="Times New Roman"/>
              <w:spacing w:val="3"/>
              <w:position w:val="2"/>
              <w:sz w:val="27"/>
              <w:szCs w:val="27"/>
            </w:rPr>
            <w:t xml:space="preserve">9.5     </w:t>
          </w:r>
          <w:r>
            <w:rPr>
              <w:rFonts w:ascii="仿宋" w:hAnsi="仿宋" w:eastAsia="仿宋" w:cs="仿宋"/>
              <w:spacing w:val="3"/>
              <w:position w:val="2"/>
              <w:sz w:val="27"/>
              <w:szCs w:val="27"/>
            </w:rPr>
            <w:t>测试性工作计划</w:t>
          </w:r>
          <w:r>
            <w:rPr>
              <w:rFonts w:ascii="仿宋" w:hAnsi="仿宋" w:eastAsia="仿宋" w:cs="仿宋"/>
              <w:position w:val="2"/>
              <w:sz w:val="27"/>
              <w:szCs w:val="27"/>
            </w:rPr>
            <w:tab/>
          </w:r>
          <w:r>
            <w:rPr>
              <w:spacing w:val="-1"/>
              <w:position w:val="2"/>
              <w:sz w:val="27"/>
              <w:szCs w:val="27"/>
            </w:rPr>
            <w:t>431</w:t>
          </w:r>
          <w:r>
            <w:rPr>
              <w:spacing w:val="-1"/>
              <w:position w:val="2"/>
              <w:sz w:val="27"/>
              <w:szCs w:val="27"/>
            </w:rPr>
            <w:fldChar w:fldCharType="end"/>
          </w:r>
        </w:p>
        <w:p w14:paraId="4A196E83">
          <w:pPr>
            <w:pStyle w:val="2"/>
            <w:tabs>
              <w:tab w:val="right" w:leader="dot" w:pos="9297"/>
            </w:tabs>
            <w:spacing w:before="42" w:line="368" w:lineRule="exact"/>
            <w:ind w:left="476"/>
            <w:rPr>
              <w:sz w:val="27"/>
              <w:szCs w:val="27"/>
            </w:rPr>
          </w:pPr>
          <w:r>
            <w:fldChar w:fldCharType="begin"/>
          </w:r>
          <w:r>
            <w:instrText xml:space="preserve"> HYPERLINK \l "bookmark194" </w:instrText>
          </w:r>
          <w:r>
            <w:fldChar w:fldCharType="separate"/>
          </w:r>
          <w:r>
            <w:rPr>
              <w:rFonts w:ascii="Times New Roman" w:hAnsi="Times New Roman" w:eastAsia="Times New Roman" w:cs="Times New Roman"/>
              <w:spacing w:val="1"/>
              <w:position w:val="2"/>
              <w:sz w:val="27"/>
              <w:szCs w:val="27"/>
            </w:rPr>
            <w:t>9.6</w:t>
          </w:r>
          <w:r>
            <w:rPr>
              <w:rFonts w:ascii="Times New Roman" w:hAnsi="Times New Roman" w:eastAsia="Times New Roman" w:cs="Times New Roman"/>
              <w:spacing w:val="6"/>
              <w:position w:val="2"/>
              <w:sz w:val="27"/>
              <w:szCs w:val="27"/>
            </w:rPr>
            <w:t xml:space="preserve">     </w:t>
          </w:r>
          <w:r>
            <w:rPr>
              <w:rFonts w:ascii="仿宋" w:hAnsi="仿宋" w:eastAsia="仿宋" w:cs="仿宋"/>
              <w:spacing w:val="1"/>
              <w:position w:val="2"/>
              <w:sz w:val="27"/>
              <w:szCs w:val="27"/>
            </w:rPr>
            <w:t>测试性模型</w:t>
          </w:r>
          <w:r>
            <w:rPr>
              <w:rFonts w:ascii="仿宋" w:hAnsi="仿宋" w:eastAsia="仿宋" w:cs="仿宋"/>
              <w:spacing w:val="41"/>
              <w:position w:val="2"/>
              <w:sz w:val="27"/>
              <w:szCs w:val="27"/>
            </w:rPr>
            <w:t xml:space="preserve"> </w:t>
          </w:r>
          <w:r>
            <w:rPr>
              <w:rFonts w:ascii="仿宋" w:hAnsi="仿宋" w:eastAsia="仿宋" w:cs="仿宋"/>
              <w:position w:val="2"/>
              <w:sz w:val="27"/>
              <w:szCs w:val="27"/>
            </w:rPr>
            <w:tab/>
          </w:r>
          <w:r>
            <w:rPr>
              <w:spacing w:val="-11"/>
              <w:position w:val="2"/>
              <w:sz w:val="27"/>
              <w:szCs w:val="27"/>
            </w:rPr>
            <w:t>433</w:t>
          </w:r>
          <w:r>
            <w:rPr>
              <w:spacing w:val="-11"/>
              <w:position w:val="2"/>
              <w:sz w:val="27"/>
              <w:szCs w:val="27"/>
            </w:rPr>
            <w:fldChar w:fldCharType="end"/>
          </w:r>
        </w:p>
        <w:p w14:paraId="2A78B6DC">
          <w:pPr>
            <w:pStyle w:val="2"/>
            <w:tabs>
              <w:tab w:val="right" w:leader="dot" w:pos="9295"/>
            </w:tabs>
            <w:spacing w:before="32" w:line="368" w:lineRule="exact"/>
            <w:ind w:left="476"/>
            <w:rPr>
              <w:sz w:val="27"/>
              <w:szCs w:val="27"/>
            </w:rPr>
          </w:pPr>
          <w:r>
            <w:fldChar w:fldCharType="begin"/>
          </w:r>
          <w:r>
            <w:instrText xml:space="preserve"> HYPERLINK \l "bookmark195" </w:instrText>
          </w:r>
          <w:r>
            <w:fldChar w:fldCharType="separate"/>
          </w:r>
          <w:r>
            <w:rPr>
              <w:rFonts w:ascii="Times New Roman" w:hAnsi="Times New Roman" w:eastAsia="Times New Roman" w:cs="Times New Roman"/>
              <w:spacing w:val="4"/>
              <w:position w:val="2"/>
              <w:sz w:val="27"/>
              <w:szCs w:val="27"/>
            </w:rPr>
            <w:t xml:space="preserve">9.7     </w:t>
          </w:r>
          <w:r>
            <w:rPr>
              <w:rFonts w:ascii="仿宋" w:hAnsi="仿宋" w:eastAsia="仿宋" w:cs="仿宋"/>
              <w:spacing w:val="4"/>
              <w:position w:val="2"/>
              <w:sz w:val="27"/>
              <w:szCs w:val="27"/>
            </w:rPr>
            <w:t>测试性分配</w:t>
          </w:r>
          <w:r>
            <w:rPr>
              <w:rFonts w:ascii="仿宋" w:hAnsi="仿宋" w:eastAsia="仿宋" w:cs="仿宋"/>
              <w:spacing w:val="-124"/>
              <w:position w:val="2"/>
              <w:sz w:val="27"/>
              <w:szCs w:val="27"/>
            </w:rPr>
            <w:t xml:space="preserve"> </w:t>
          </w:r>
          <w:r>
            <w:rPr>
              <w:rFonts w:ascii="仿宋" w:hAnsi="仿宋" w:eastAsia="仿宋" w:cs="仿宋"/>
              <w:position w:val="2"/>
              <w:sz w:val="27"/>
              <w:szCs w:val="27"/>
            </w:rPr>
            <w:tab/>
          </w:r>
          <w:r>
            <w:rPr>
              <w:spacing w:val="-12"/>
              <w:position w:val="2"/>
              <w:sz w:val="27"/>
              <w:szCs w:val="27"/>
            </w:rPr>
            <w:t>435</w:t>
          </w:r>
          <w:r>
            <w:rPr>
              <w:spacing w:val="-12"/>
              <w:position w:val="2"/>
              <w:sz w:val="27"/>
              <w:szCs w:val="27"/>
            </w:rPr>
            <w:fldChar w:fldCharType="end"/>
          </w:r>
        </w:p>
        <w:p w14:paraId="7C04E2F9">
          <w:pPr>
            <w:pStyle w:val="2"/>
            <w:tabs>
              <w:tab w:val="right" w:leader="dot" w:pos="9297"/>
            </w:tabs>
            <w:spacing w:before="42" w:line="368" w:lineRule="exact"/>
            <w:ind w:left="476"/>
            <w:rPr>
              <w:sz w:val="27"/>
              <w:szCs w:val="27"/>
            </w:rPr>
          </w:pPr>
          <w:r>
            <w:fldChar w:fldCharType="begin"/>
          </w:r>
          <w:r>
            <w:instrText xml:space="preserve"> HYPERLINK \l "bookmark196" </w:instrText>
          </w:r>
          <w:r>
            <w:fldChar w:fldCharType="separate"/>
          </w:r>
          <w:r>
            <w:rPr>
              <w:rFonts w:ascii="Times New Roman" w:hAnsi="Times New Roman" w:eastAsia="Times New Roman" w:cs="Times New Roman"/>
              <w:spacing w:val="2"/>
              <w:position w:val="2"/>
              <w:sz w:val="27"/>
              <w:szCs w:val="27"/>
            </w:rPr>
            <w:t>9.8</w:t>
          </w:r>
          <w:r>
            <w:rPr>
              <w:rFonts w:ascii="Times New Roman" w:hAnsi="Times New Roman" w:eastAsia="Times New Roman" w:cs="Times New Roman"/>
              <w:spacing w:val="7"/>
              <w:position w:val="2"/>
              <w:sz w:val="27"/>
              <w:szCs w:val="27"/>
            </w:rPr>
            <w:t xml:space="preserve">     </w:t>
          </w:r>
          <w:r>
            <w:rPr>
              <w:rFonts w:ascii="仿宋" w:hAnsi="仿宋" w:eastAsia="仿宋" w:cs="仿宋"/>
              <w:spacing w:val="2"/>
              <w:position w:val="2"/>
              <w:sz w:val="27"/>
              <w:szCs w:val="27"/>
            </w:rPr>
            <w:t>测试性预计</w:t>
          </w:r>
          <w:r>
            <w:rPr>
              <w:rFonts w:ascii="仿宋" w:hAnsi="仿宋" w:eastAsia="仿宋" w:cs="仿宋"/>
              <w:spacing w:val="-123"/>
              <w:position w:val="2"/>
              <w:sz w:val="27"/>
              <w:szCs w:val="27"/>
            </w:rPr>
            <w:t xml:space="preserve"> </w:t>
          </w:r>
          <w:r>
            <w:rPr>
              <w:rFonts w:ascii="仿宋" w:hAnsi="仿宋" w:eastAsia="仿宋" w:cs="仿宋"/>
              <w:position w:val="2"/>
              <w:sz w:val="27"/>
              <w:szCs w:val="27"/>
            </w:rPr>
            <w:tab/>
          </w:r>
          <w:r>
            <w:rPr>
              <w:spacing w:val="-7"/>
              <w:position w:val="2"/>
              <w:sz w:val="27"/>
              <w:szCs w:val="27"/>
            </w:rPr>
            <w:t>436</w:t>
          </w:r>
          <w:r>
            <w:rPr>
              <w:spacing w:val="-7"/>
              <w:position w:val="2"/>
              <w:sz w:val="27"/>
              <w:szCs w:val="27"/>
            </w:rPr>
            <w:fldChar w:fldCharType="end"/>
          </w:r>
        </w:p>
        <w:p w14:paraId="266A730C">
          <w:pPr>
            <w:pStyle w:val="2"/>
            <w:tabs>
              <w:tab w:val="right" w:leader="dot" w:pos="9297"/>
            </w:tabs>
            <w:spacing w:before="52" w:line="368" w:lineRule="exact"/>
            <w:ind w:left="476"/>
            <w:rPr>
              <w:sz w:val="27"/>
              <w:szCs w:val="27"/>
            </w:rPr>
          </w:pPr>
          <w:r>
            <w:fldChar w:fldCharType="begin"/>
          </w:r>
          <w:r>
            <w:instrText xml:space="preserve"> HYPERLINK \l "bookmark197" </w:instrText>
          </w:r>
          <w:r>
            <w:fldChar w:fldCharType="separate"/>
          </w:r>
          <w:r>
            <w:rPr>
              <w:rFonts w:ascii="Times New Roman" w:hAnsi="Times New Roman" w:eastAsia="Times New Roman" w:cs="Times New Roman"/>
              <w:position w:val="2"/>
              <w:sz w:val="27"/>
              <w:szCs w:val="27"/>
            </w:rPr>
            <w:t xml:space="preserve">9.9     </w:t>
          </w:r>
          <w:r>
            <w:rPr>
              <w:rFonts w:ascii="仿宋" w:hAnsi="仿宋" w:eastAsia="仿宋" w:cs="仿宋"/>
              <w:position w:val="2"/>
              <w:sz w:val="27"/>
              <w:szCs w:val="27"/>
            </w:rPr>
            <w:t>故障模式、影响及危害性分析—测试性信息</w:t>
          </w:r>
          <w:r>
            <w:rPr>
              <w:rFonts w:ascii="仿宋" w:hAnsi="仿宋" w:eastAsia="仿宋" w:cs="仿宋"/>
              <w:position w:val="2"/>
              <w:sz w:val="27"/>
              <w:szCs w:val="27"/>
            </w:rPr>
            <w:tab/>
          </w:r>
          <w:r>
            <w:rPr>
              <w:spacing w:val="-7"/>
              <w:position w:val="2"/>
              <w:sz w:val="27"/>
              <w:szCs w:val="27"/>
            </w:rPr>
            <w:t>437</w:t>
          </w:r>
          <w:r>
            <w:rPr>
              <w:spacing w:val="-7"/>
              <w:position w:val="2"/>
              <w:sz w:val="27"/>
              <w:szCs w:val="27"/>
            </w:rPr>
            <w:fldChar w:fldCharType="end"/>
          </w:r>
        </w:p>
        <w:p w14:paraId="20AF4511">
          <w:pPr>
            <w:pStyle w:val="2"/>
            <w:tabs>
              <w:tab w:val="right" w:leader="dot" w:pos="9297"/>
            </w:tabs>
            <w:spacing w:before="32" w:line="368" w:lineRule="exact"/>
            <w:ind w:left="476"/>
            <w:rPr>
              <w:sz w:val="27"/>
              <w:szCs w:val="27"/>
            </w:rPr>
          </w:pPr>
          <w:r>
            <w:fldChar w:fldCharType="begin"/>
          </w:r>
          <w:r>
            <w:instrText xml:space="preserve"> HYPERLINK \l "bookmark198" </w:instrText>
          </w:r>
          <w:r>
            <w:fldChar w:fldCharType="separate"/>
          </w:r>
          <w:r>
            <w:rPr>
              <w:rFonts w:ascii="Times New Roman" w:hAnsi="Times New Roman" w:eastAsia="Times New Roman" w:cs="Times New Roman"/>
              <w:spacing w:val="5"/>
              <w:position w:val="2"/>
              <w:sz w:val="27"/>
              <w:szCs w:val="27"/>
            </w:rPr>
            <w:t>9.10</w:t>
          </w:r>
          <w:r>
            <w:rPr>
              <w:rFonts w:ascii="Times New Roman" w:hAnsi="Times New Roman" w:eastAsia="Times New Roman" w:cs="Times New Roman"/>
              <w:spacing w:val="9"/>
              <w:position w:val="2"/>
              <w:sz w:val="27"/>
              <w:szCs w:val="27"/>
            </w:rPr>
            <w:t xml:space="preserve">     </w:t>
          </w:r>
          <w:r>
            <w:rPr>
              <w:rFonts w:ascii="仿宋" w:hAnsi="仿宋" w:eastAsia="仿宋" w:cs="仿宋"/>
              <w:spacing w:val="5"/>
              <w:position w:val="2"/>
              <w:sz w:val="27"/>
              <w:szCs w:val="27"/>
            </w:rPr>
            <w:t>测试性设计准则</w:t>
          </w:r>
          <w:r>
            <w:rPr>
              <w:rFonts w:ascii="仿宋" w:hAnsi="仿宋" w:eastAsia="仿宋" w:cs="仿宋"/>
              <w:position w:val="2"/>
              <w:sz w:val="27"/>
              <w:szCs w:val="27"/>
            </w:rPr>
            <w:tab/>
          </w:r>
          <w:r>
            <w:rPr>
              <w:spacing w:val="-9"/>
              <w:position w:val="2"/>
              <w:sz w:val="27"/>
              <w:szCs w:val="27"/>
            </w:rPr>
            <w:t>439</w:t>
          </w:r>
          <w:r>
            <w:rPr>
              <w:spacing w:val="-9"/>
              <w:position w:val="2"/>
              <w:sz w:val="27"/>
              <w:szCs w:val="27"/>
            </w:rPr>
            <w:fldChar w:fldCharType="end"/>
          </w:r>
        </w:p>
        <w:p w14:paraId="5D0FE9BC">
          <w:pPr>
            <w:pStyle w:val="2"/>
            <w:tabs>
              <w:tab w:val="right" w:leader="dot" w:pos="9312"/>
            </w:tabs>
            <w:spacing w:before="22" w:line="368" w:lineRule="exact"/>
            <w:ind w:left="476"/>
            <w:rPr>
              <w:sz w:val="27"/>
              <w:szCs w:val="27"/>
            </w:rPr>
          </w:pPr>
          <w:r>
            <w:fldChar w:fldCharType="begin"/>
          </w:r>
          <w:r>
            <w:instrText xml:space="preserve"> HYPERLINK \l "bookmark199" </w:instrText>
          </w:r>
          <w:r>
            <w:fldChar w:fldCharType="separate"/>
          </w:r>
          <w:r>
            <w:rPr>
              <w:rFonts w:ascii="Times New Roman" w:hAnsi="Times New Roman" w:eastAsia="Times New Roman" w:cs="Times New Roman"/>
              <w:spacing w:val="3"/>
              <w:position w:val="1"/>
              <w:sz w:val="27"/>
              <w:szCs w:val="27"/>
            </w:rPr>
            <w:t xml:space="preserve">9.11     </w:t>
          </w:r>
          <w:r>
            <w:rPr>
              <w:rFonts w:ascii="仿宋" w:hAnsi="仿宋" w:eastAsia="仿宋" w:cs="仿宋"/>
              <w:spacing w:val="3"/>
              <w:position w:val="1"/>
              <w:sz w:val="27"/>
              <w:szCs w:val="27"/>
            </w:rPr>
            <w:t>固有测试性设计分析报告</w:t>
          </w:r>
          <w:r>
            <w:rPr>
              <w:rFonts w:ascii="仿宋" w:hAnsi="仿宋" w:eastAsia="仿宋" w:cs="仿宋"/>
              <w:spacing w:val="-106"/>
              <w:position w:val="1"/>
              <w:sz w:val="27"/>
              <w:szCs w:val="27"/>
            </w:rPr>
            <w:t xml:space="preserve"> </w:t>
          </w:r>
          <w:r>
            <w:rPr>
              <w:rFonts w:ascii="仿宋" w:hAnsi="仿宋" w:eastAsia="仿宋" w:cs="仿宋"/>
              <w:position w:val="1"/>
              <w:sz w:val="27"/>
              <w:szCs w:val="27"/>
            </w:rPr>
            <w:tab/>
          </w:r>
          <w:r>
            <w:rPr>
              <w:spacing w:val="-1"/>
              <w:position w:val="1"/>
              <w:sz w:val="27"/>
              <w:szCs w:val="27"/>
            </w:rPr>
            <w:t>439</w:t>
          </w:r>
          <w:r>
            <w:rPr>
              <w:spacing w:val="-1"/>
              <w:position w:val="1"/>
              <w:sz w:val="27"/>
              <w:szCs w:val="27"/>
            </w:rPr>
            <w:fldChar w:fldCharType="end"/>
          </w:r>
        </w:p>
        <w:p w14:paraId="4A466DD7">
          <w:pPr>
            <w:pStyle w:val="2"/>
            <w:tabs>
              <w:tab w:val="right" w:leader="dot" w:pos="9300"/>
            </w:tabs>
            <w:spacing w:before="110" w:line="220" w:lineRule="auto"/>
            <w:ind w:left="476"/>
            <w:rPr>
              <w:sz w:val="27"/>
              <w:szCs w:val="27"/>
            </w:rPr>
          </w:pPr>
          <w:r>
            <w:fldChar w:fldCharType="begin"/>
          </w:r>
          <w:r>
            <w:instrText xml:space="preserve"> HYPERLINK \l "bookmark200" </w:instrText>
          </w:r>
          <w:r>
            <w:fldChar w:fldCharType="separate"/>
          </w:r>
          <w:r>
            <w:rPr>
              <w:rFonts w:ascii="Times New Roman" w:hAnsi="Times New Roman" w:eastAsia="Times New Roman" w:cs="Times New Roman"/>
              <w:spacing w:val="4"/>
              <w:sz w:val="27"/>
              <w:szCs w:val="27"/>
            </w:rPr>
            <w:t xml:space="preserve">9.12     </w:t>
          </w:r>
          <w:r>
            <w:rPr>
              <w:rFonts w:ascii="仿宋" w:hAnsi="仿宋" w:eastAsia="仿宋" w:cs="仿宋"/>
              <w:spacing w:val="4"/>
              <w:sz w:val="27"/>
              <w:szCs w:val="27"/>
            </w:rPr>
            <w:t>测试性设计准则符合性报告</w:t>
          </w:r>
          <w:r>
            <w:rPr>
              <w:rFonts w:ascii="仿宋" w:hAnsi="仿宋" w:eastAsia="仿宋" w:cs="仿宋"/>
              <w:spacing w:val="-120"/>
              <w:sz w:val="27"/>
              <w:szCs w:val="27"/>
            </w:rPr>
            <w:t xml:space="preserve"> </w:t>
          </w:r>
          <w:r>
            <w:rPr>
              <w:rFonts w:ascii="仿宋" w:hAnsi="仿宋" w:eastAsia="仿宋" w:cs="仿宋"/>
              <w:sz w:val="27"/>
              <w:szCs w:val="27"/>
            </w:rPr>
            <w:tab/>
          </w:r>
          <w:r>
            <w:rPr>
              <w:spacing w:val="-7"/>
              <w:sz w:val="27"/>
              <w:szCs w:val="27"/>
            </w:rPr>
            <w:t>442</w:t>
          </w:r>
          <w:r>
            <w:rPr>
              <w:spacing w:val="-7"/>
              <w:sz w:val="27"/>
              <w:szCs w:val="27"/>
            </w:rPr>
            <w:fldChar w:fldCharType="end"/>
          </w:r>
        </w:p>
        <w:p w14:paraId="6CFCD833">
          <w:pPr>
            <w:pStyle w:val="2"/>
            <w:tabs>
              <w:tab w:val="right" w:leader="dot" w:pos="9312"/>
            </w:tabs>
            <w:spacing w:before="99" w:line="221" w:lineRule="auto"/>
            <w:ind w:left="476"/>
            <w:rPr>
              <w:sz w:val="27"/>
              <w:szCs w:val="27"/>
            </w:rPr>
          </w:pPr>
          <w:r>
            <w:fldChar w:fldCharType="begin"/>
          </w:r>
          <w:r>
            <w:instrText xml:space="preserve"> HYPERLINK \l "bookmark201" </w:instrText>
          </w:r>
          <w:r>
            <w:fldChar w:fldCharType="separate"/>
          </w:r>
          <w:r>
            <w:rPr>
              <w:rFonts w:ascii="Times New Roman" w:hAnsi="Times New Roman" w:eastAsia="Times New Roman" w:cs="Times New Roman"/>
              <w:spacing w:val="1"/>
              <w:sz w:val="27"/>
              <w:szCs w:val="27"/>
            </w:rPr>
            <w:t>9.13</w:t>
          </w:r>
          <w:r>
            <w:rPr>
              <w:rFonts w:ascii="Times New Roman" w:hAnsi="Times New Roman" w:eastAsia="Times New Roman" w:cs="Times New Roman"/>
              <w:spacing w:val="9"/>
              <w:sz w:val="27"/>
              <w:szCs w:val="27"/>
            </w:rPr>
            <w:t xml:space="preserve">     </w:t>
          </w:r>
          <w:r>
            <w:rPr>
              <w:rFonts w:ascii="仿宋" w:hAnsi="仿宋" w:eastAsia="仿宋" w:cs="仿宋"/>
              <w:spacing w:val="1"/>
              <w:sz w:val="27"/>
              <w:szCs w:val="27"/>
            </w:rPr>
            <w:t>诊断能力设计</w:t>
          </w:r>
          <w:r>
            <w:rPr>
              <w:rFonts w:ascii="仿宋" w:hAnsi="仿宋" w:eastAsia="仿宋" w:cs="仿宋"/>
              <w:spacing w:val="-121"/>
              <w:sz w:val="27"/>
              <w:szCs w:val="27"/>
            </w:rPr>
            <w:t xml:space="preserve"> </w:t>
          </w:r>
          <w:r>
            <w:rPr>
              <w:rFonts w:ascii="仿宋" w:hAnsi="仿宋" w:eastAsia="仿宋" w:cs="仿宋"/>
              <w:sz w:val="27"/>
              <w:szCs w:val="27"/>
            </w:rPr>
            <w:tab/>
          </w:r>
          <w:r>
            <w:rPr>
              <w:spacing w:val="-5"/>
              <w:sz w:val="27"/>
              <w:szCs w:val="27"/>
            </w:rPr>
            <w:t>444</w:t>
          </w:r>
          <w:r>
            <w:rPr>
              <w:spacing w:val="-5"/>
              <w:sz w:val="27"/>
              <w:szCs w:val="27"/>
            </w:rPr>
            <w:fldChar w:fldCharType="end"/>
          </w:r>
        </w:p>
      </w:sdtContent>
    </w:sdt>
    <w:p w14:paraId="42CCDFA2">
      <w:pPr>
        <w:pStyle w:val="2"/>
        <w:spacing w:before="78" w:line="235" w:lineRule="auto"/>
        <w:jc w:val="right"/>
        <w:rPr>
          <w:rFonts w:ascii="宋体" w:hAnsi="宋体" w:eastAsia="宋体" w:cs="宋体"/>
          <w:sz w:val="29"/>
          <w:szCs w:val="29"/>
        </w:rPr>
      </w:pPr>
      <w:r>
        <w:rPr>
          <w:spacing w:val="-5"/>
          <w:w w:val="46"/>
          <w:sz w:val="29"/>
          <w:szCs w:val="29"/>
        </w:rPr>
        <w:t>X</w:t>
      </w:r>
      <w:r>
        <w:rPr>
          <w:rFonts w:ascii="宋体" w:hAnsi="宋体" w:eastAsia="宋体" w:cs="宋体"/>
          <w:spacing w:val="-5"/>
          <w:w w:val="46"/>
          <w:sz w:val="29"/>
          <w:szCs w:val="29"/>
        </w:rPr>
        <w:t>Ⅲ</w:t>
      </w:r>
    </w:p>
    <w:p w14:paraId="4D11B0F2">
      <w:pPr>
        <w:spacing w:line="235" w:lineRule="auto"/>
        <w:rPr>
          <w:rFonts w:ascii="宋体" w:hAnsi="宋体" w:eastAsia="宋体" w:cs="宋体"/>
          <w:sz w:val="29"/>
          <w:szCs w:val="29"/>
        </w:rPr>
        <w:sectPr>
          <w:footerReference r:id="rId16" w:type="default"/>
          <w:pgSz w:w="11910" w:h="17130"/>
          <w:pgMar w:top="400" w:right="1723" w:bottom="400" w:left="833" w:header="0" w:footer="0" w:gutter="0"/>
          <w:cols w:space="720" w:num="1"/>
        </w:sectPr>
      </w:pPr>
    </w:p>
    <w:p w14:paraId="7317C3CB">
      <w:pPr>
        <w:pStyle w:val="2"/>
        <w:spacing w:line="268" w:lineRule="auto"/>
      </w:pPr>
    </w:p>
    <w:p w14:paraId="40F3F313">
      <w:pPr>
        <w:pStyle w:val="2"/>
        <w:spacing w:line="269" w:lineRule="auto"/>
      </w:pPr>
    </w:p>
    <w:p w14:paraId="7E0ED4EE">
      <w:pPr>
        <w:pStyle w:val="2"/>
        <w:spacing w:line="269" w:lineRule="auto"/>
      </w:pPr>
    </w:p>
    <w:p w14:paraId="000ACB49">
      <w:pPr>
        <w:pStyle w:val="2"/>
        <w:spacing w:line="269" w:lineRule="auto"/>
      </w:pPr>
    </w:p>
    <w:sdt>
      <w:sdtPr>
        <w:rPr>
          <w:rFonts w:ascii="Times New Roman" w:hAnsi="Times New Roman" w:eastAsia="Times New Roman" w:cs="Times New Roman"/>
          <w:sz w:val="27"/>
          <w:szCs w:val="27"/>
        </w:rPr>
        <w:id w:val="147453660"/>
        <w:docPartObj>
          <w:docPartGallery w:val="Table of Contents"/>
          <w:docPartUnique/>
        </w:docPartObj>
      </w:sdtPr>
      <w:sdtEndPr>
        <w:rPr>
          <w:rFonts w:ascii="Arial" w:hAnsi="Arial" w:eastAsia="Arial" w:cs="Arial"/>
          <w:sz w:val="27"/>
          <w:szCs w:val="27"/>
        </w:rPr>
      </w:sdtEndPr>
      <w:sdtContent>
        <w:p w14:paraId="39AA29B7">
          <w:pPr>
            <w:pStyle w:val="2"/>
            <w:tabs>
              <w:tab w:val="right" w:leader="dot" w:pos="9325"/>
            </w:tabs>
            <w:spacing w:before="88" w:line="368" w:lineRule="exact"/>
            <w:ind w:left="526"/>
            <w:rPr>
              <w:sz w:val="27"/>
              <w:szCs w:val="27"/>
            </w:rPr>
          </w:pPr>
          <w:bookmarkStart w:id="3" w:name="bookmark202"/>
          <w:bookmarkEnd w:id="3"/>
          <w:r>
            <w:fldChar w:fldCharType="begin"/>
          </w:r>
          <w:r>
            <w:instrText xml:space="preserve"> HYPERLINK \l "bookmark203" </w:instrText>
          </w:r>
          <w:r>
            <w:fldChar w:fldCharType="separate"/>
          </w:r>
          <w:r>
            <w:rPr>
              <w:rFonts w:ascii="Times New Roman" w:hAnsi="Times New Roman" w:eastAsia="Times New Roman" w:cs="Times New Roman"/>
              <w:spacing w:val="3"/>
              <w:position w:val="1"/>
              <w:sz w:val="27"/>
              <w:szCs w:val="27"/>
            </w:rPr>
            <w:t>9.14</w:t>
          </w:r>
          <w:r>
            <w:rPr>
              <w:rFonts w:ascii="Times New Roman" w:hAnsi="Times New Roman" w:eastAsia="Times New Roman" w:cs="Times New Roman"/>
              <w:spacing w:val="7"/>
              <w:position w:val="1"/>
              <w:sz w:val="27"/>
              <w:szCs w:val="27"/>
            </w:rPr>
            <w:t xml:space="preserve">     </w:t>
          </w:r>
          <w:r>
            <w:rPr>
              <w:rFonts w:ascii="仿宋" w:hAnsi="仿宋" w:eastAsia="仿宋" w:cs="仿宋"/>
              <w:spacing w:val="3"/>
              <w:position w:val="1"/>
              <w:sz w:val="27"/>
              <w:szCs w:val="27"/>
            </w:rPr>
            <w:t>测试要求文件</w:t>
          </w:r>
          <w:r>
            <w:rPr>
              <w:rFonts w:ascii="仿宋" w:hAnsi="仿宋" w:eastAsia="仿宋" w:cs="仿宋"/>
              <w:spacing w:val="-122"/>
              <w:position w:val="1"/>
              <w:sz w:val="27"/>
              <w:szCs w:val="27"/>
            </w:rPr>
            <w:t xml:space="preserve"> </w:t>
          </w:r>
          <w:r>
            <w:rPr>
              <w:rFonts w:ascii="仿宋" w:hAnsi="仿宋" w:eastAsia="仿宋" w:cs="仿宋"/>
              <w:position w:val="1"/>
              <w:sz w:val="27"/>
              <w:szCs w:val="27"/>
            </w:rPr>
            <w:tab/>
          </w:r>
          <w:r>
            <w:rPr>
              <w:spacing w:val="-11"/>
              <w:w w:val="97"/>
              <w:position w:val="1"/>
              <w:sz w:val="27"/>
              <w:szCs w:val="27"/>
            </w:rPr>
            <w:t>448</w:t>
          </w:r>
          <w:r>
            <w:rPr>
              <w:spacing w:val="-11"/>
              <w:w w:val="97"/>
              <w:position w:val="1"/>
              <w:sz w:val="27"/>
              <w:szCs w:val="27"/>
            </w:rPr>
            <w:fldChar w:fldCharType="end"/>
          </w:r>
        </w:p>
        <w:p w14:paraId="571E511A">
          <w:pPr>
            <w:pStyle w:val="2"/>
            <w:tabs>
              <w:tab w:val="right" w:leader="dot" w:pos="9327"/>
            </w:tabs>
            <w:spacing w:before="28" w:line="368" w:lineRule="exact"/>
            <w:ind w:left="526"/>
            <w:rPr>
              <w:sz w:val="27"/>
              <w:szCs w:val="27"/>
            </w:rPr>
          </w:pPr>
          <w:r>
            <w:fldChar w:fldCharType="begin"/>
          </w:r>
          <w:r>
            <w:instrText xml:space="preserve"> HYPERLINK \l "bookmark204" </w:instrText>
          </w:r>
          <w:r>
            <w:fldChar w:fldCharType="separate"/>
          </w:r>
          <w:r>
            <w:rPr>
              <w:rFonts w:ascii="Times New Roman" w:hAnsi="Times New Roman" w:eastAsia="Times New Roman" w:cs="Times New Roman"/>
              <w:spacing w:val="2"/>
              <w:position w:val="2"/>
              <w:sz w:val="27"/>
              <w:szCs w:val="27"/>
            </w:rPr>
            <w:t>9.15</w:t>
          </w:r>
          <w:r>
            <w:rPr>
              <w:rFonts w:ascii="Times New Roman" w:hAnsi="Times New Roman" w:eastAsia="Times New Roman" w:cs="Times New Roman"/>
              <w:spacing w:val="10"/>
              <w:position w:val="2"/>
              <w:sz w:val="27"/>
              <w:szCs w:val="27"/>
            </w:rPr>
            <w:t xml:space="preserve">     </w:t>
          </w:r>
          <w:r>
            <w:rPr>
              <w:rFonts w:ascii="仿宋" w:hAnsi="仿宋" w:eastAsia="仿宋" w:cs="仿宋"/>
              <w:spacing w:val="2"/>
              <w:position w:val="2"/>
              <w:sz w:val="27"/>
              <w:szCs w:val="27"/>
            </w:rPr>
            <w:t>测试性核查计划</w:t>
          </w:r>
          <w:r>
            <w:rPr>
              <w:rFonts w:ascii="仿宋" w:hAnsi="仿宋" w:eastAsia="仿宋" w:cs="仿宋"/>
              <w:position w:val="2"/>
              <w:sz w:val="27"/>
              <w:szCs w:val="27"/>
            </w:rPr>
            <w:tab/>
          </w:r>
          <w:r>
            <w:rPr>
              <w:spacing w:val="-13"/>
              <w:position w:val="2"/>
              <w:sz w:val="27"/>
              <w:szCs w:val="27"/>
            </w:rPr>
            <w:t>457</w:t>
          </w:r>
          <w:r>
            <w:rPr>
              <w:spacing w:val="-13"/>
              <w:position w:val="2"/>
              <w:sz w:val="27"/>
              <w:szCs w:val="27"/>
            </w:rPr>
            <w:fldChar w:fldCharType="end"/>
          </w:r>
        </w:p>
        <w:p w14:paraId="1F30577C">
          <w:pPr>
            <w:pStyle w:val="2"/>
            <w:tabs>
              <w:tab w:val="right" w:leader="dot" w:pos="9325"/>
            </w:tabs>
            <w:spacing w:before="32" w:line="368" w:lineRule="exact"/>
            <w:ind w:left="526"/>
            <w:rPr>
              <w:sz w:val="27"/>
              <w:szCs w:val="27"/>
            </w:rPr>
          </w:pPr>
          <w:r>
            <w:fldChar w:fldCharType="begin"/>
          </w:r>
          <w:r>
            <w:instrText xml:space="preserve"> HYPERLINK \l "bookmark205" </w:instrText>
          </w:r>
          <w:r>
            <w:fldChar w:fldCharType="separate"/>
          </w:r>
          <w:r>
            <w:rPr>
              <w:rFonts w:ascii="Times New Roman" w:hAnsi="Times New Roman" w:eastAsia="Times New Roman" w:cs="Times New Roman"/>
              <w:position w:val="2"/>
              <w:sz w:val="27"/>
              <w:szCs w:val="27"/>
            </w:rPr>
            <w:t>9.16</w:t>
          </w:r>
          <w:r>
            <w:rPr>
              <w:rFonts w:ascii="Times New Roman" w:hAnsi="Times New Roman" w:eastAsia="Times New Roman" w:cs="Times New Roman"/>
              <w:spacing w:val="13"/>
              <w:position w:val="2"/>
              <w:sz w:val="27"/>
              <w:szCs w:val="27"/>
            </w:rPr>
            <w:t xml:space="preserve">     </w:t>
          </w:r>
          <w:r>
            <w:rPr>
              <w:rFonts w:ascii="仿宋" w:hAnsi="仿宋" w:eastAsia="仿宋" w:cs="仿宋"/>
              <w:position w:val="2"/>
              <w:sz w:val="27"/>
              <w:szCs w:val="27"/>
            </w:rPr>
            <w:t>测试性核查报告</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16"/>
              <w:position w:val="2"/>
              <w:sz w:val="27"/>
              <w:szCs w:val="27"/>
            </w:rPr>
            <w:t>459</w:t>
          </w:r>
          <w:r>
            <w:rPr>
              <w:spacing w:val="-16"/>
              <w:position w:val="2"/>
              <w:sz w:val="27"/>
              <w:szCs w:val="27"/>
            </w:rPr>
            <w:fldChar w:fldCharType="end"/>
          </w:r>
        </w:p>
        <w:p w14:paraId="01438470">
          <w:pPr>
            <w:pStyle w:val="2"/>
            <w:tabs>
              <w:tab w:val="right" w:leader="dot" w:pos="9325"/>
            </w:tabs>
            <w:spacing w:before="51" w:line="368" w:lineRule="exact"/>
            <w:ind w:left="526"/>
            <w:rPr>
              <w:sz w:val="27"/>
              <w:szCs w:val="27"/>
            </w:rPr>
          </w:pPr>
          <w:r>
            <w:fldChar w:fldCharType="begin"/>
          </w:r>
          <w:r>
            <w:instrText xml:space="preserve"> HYPERLINK \l "bookmark206" </w:instrText>
          </w:r>
          <w:r>
            <w:fldChar w:fldCharType="separate"/>
          </w:r>
          <w:r>
            <w:rPr>
              <w:rFonts w:ascii="Times New Roman" w:hAnsi="Times New Roman" w:eastAsia="Times New Roman" w:cs="Times New Roman"/>
              <w:spacing w:val="1"/>
              <w:position w:val="2"/>
              <w:sz w:val="27"/>
              <w:szCs w:val="27"/>
            </w:rPr>
            <w:t>9.17</w:t>
          </w:r>
          <w:r>
            <w:rPr>
              <w:rFonts w:ascii="Times New Roman" w:hAnsi="Times New Roman" w:eastAsia="Times New Roman" w:cs="Times New Roman"/>
              <w:spacing w:val="9"/>
              <w:position w:val="2"/>
              <w:sz w:val="27"/>
              <w:szCs w:val="27"/>
            </w:rPr>
            <w:t xml:space="preserve">     </w:t>
          </w:r>
          <w:r>
            <w:rPr>
              <w:rFonts w:ascii="仿宋" w:hAnsi="仿宋" w:eastAsia="仿宋" w:cs="仿宋"/>
              <w:spacing w:val="1"/>
              <w:position w:val="2"/>
              <w:sz w:val="27"/>
              <w:szCs w:val="27"/>
            </w:rPr>
            <w:t>测试性验证试验计划</w:t>
          </w:r>
          <w:r>
            <w:rPr>
              <w:rFonts w:ascii="仿宋" w:hAnsi="仿宋" w:eastAsia="仿宋" w:cs="仿宋"/>
              <w:position w:val="2"/>
              <w:sz w:val="27"/>
              <w:szCs w:val="27"/>
            </w:rPr>
            <w:tab/>
          </w:r>
          <w:r>
            <w:rPr>
              <w:spacing w:val="-11"/>
              <w:position w:val="2"/>
              <w:sz w:val="27"/>
              <w:szCs w:val="27"/>
            </w:rPr>
            <w:t>459</w:t>
          </w:r>
          <w:r>
            <w:rPr>
              <w:spacing w:val="-11"/>
              <w:position w:val="2"/>
              <w:sz w:val="27"/>
              <w:szCs w:val="27"/>
            </w:rPr>
            <w:fldChar w:fldCharType="end"/>
          </w:r>
        </w:p>
        <w:p w14:paraId="05EA3317">
          <w:pPr>
            <w:pStyle w:val="2"/>
            <w:tabs>
              <w:tab w:val="right" w:leader="dot" w:pos="9382"/>
            </w:tabs>
            <w:spacing w:before="32" w:line="368" w:lineRule="exact"/>
            <w:ind w:left="526"/>
            <w:rPr>
              <w:sz w:val="27"/>
              <w:szCs w:val="27"/>
            </w:rPr>
          </w:pPr>
          <w:r>
            <w:fldChar w:fldCharType="begin"/>
          </w:r>
          <w:r>
            <w:instrText xml:space="preserve"> HYPERLINK \l "bookmark207" </w:instrText>
          </w:r>
          <w:r>
            <w:fldChar w:fldCharType="separate"/>
          </w:r>
          <w:r>
            <w:rPr>
              <w:rFonts w:ascii="Times New Roman" w:hAnsi="Times New Roman" w:eastAsia="Times New Roman" w:cs="Times New Roman"/>
              <w:spacing w:val="2"/>
              <w:position w:val="2"/>
              <w:sz w:val="27"/>
              <w:szCs w:val="27"/>
            </w:rPr>
            <w:t>9.18</w:t>
          </w:r>
          <w:r>
            <w:rPr>
              <w:rFonts w:ascii="Times New Roman" w:hAnsi="Times New Roman" w:eastAsia="Times New Roman" w:cs="Times New Roman"/>
              <w:spacing w:val="10"/>
              <w:position w:val="2"/>
              <w:sz w:val="27"/>
              <w:szCs w:val="27"/>
            </w:rPr>
            <w:t xml:space="preserve">     </w:t>
          </w:r>
          <w:r>
            <w:rPr>
              <w:rFonts w:ascii="仿宋" w:hAnsi="仿宋" w:eastAsia="仿宋" w:cs="仿宋"/>
              <w:spacing w:val="2"/>
              <w:position w:val="2"/>
              <w:sz w:val="27"/>
              <w:szCs w:val="27"/>
            </w:rPr>
            <w:t>测试性验证试验报告</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spacing w:val="-8"/>
              <w:position w:val="2"/>
              <w:sz w:val="27"/>
              <w:szCs w:val="27"/>
            </w:rPr>
            <w:t>461</w:t>
          </w:r>
          <w:r>
            <w:rPr>
              <w:spacing w:val="-8"/>
              <w:position w:val="2"/>
              <w:sz w:val="27"/>
              <w:szCs w:val="27"/>
            </w:rPr>
            <w:fldChar w:fldCharType="end"/>
          </w:r>
        </w:p>
        <w:p w14:paraId="34098D8F">
          <w:pPr>
            <w:pStyle w:val="2"/>
            <w:tabs>
              <w:tab w:val="right" w:leader="dot" w:pos="9329"/>
            </w:tabs>
            <w:spacing w:before="42" w:line="368" w:lineRule="exact"/>
            <w:ind w:left="526"/>
            <w:rPr>
              <w:sz w:val="27"/>
              <w:szCs w:val="27"/>
            </w:rPr>
          </w:pPr>
          <w:r>
            <w:fldChar w:fldCharType="begin"/>
          </w:r>
          <w:r>
            <w:instrText xml:space="preserve"> HYPERLINK \l "bookmark208" </w:instrText>
          </w:r>
          <w:r>
            <w:fldChar w:fldCharType="separate"/>
          </w:r>
          <w:r>
            <w:rPr>
              <w:rFonts w:ascii="Times New Roman" w:hAnsi="Times New Roman" w:eastAsia="Times New Roman" w:cs="Times New Roman"/>
              <w:spacing w:val="2"/>
              <w:position w:val="2"/>
              <w:sz w:val="27"/>
              <w:szCs w:val="27"/>
            </w:rPr>
            <w:t>9.19</w:t>
          </w:r>
          <w:r>
            <w:rPr>
              <w:rFonts w:ascii="Times New Roman" w:hAnsi="Times New Roman" w:eastAsia="Times New Roman" w:cs="Times New Roman"/>
              <w:spacing w:val="9"/>
              <w:position w:val="2"/>
              <w:sz w:val="27"/>
              <w:szCs w:val="27"/>
            </w:rPr>
            <w:t xml:space="preserve">     </w:t>
          </w:r>
          <w:r>
            <w:rPr>
              <w:rFonts w:ascii="仿宋" w:hAnsi="仿宋" w:eastAsia="仿宋" w:cs="仿宋"/>
              <w:spacing w:val="2"/>
              <w:position w:val="2"/>
              <w:sz w:val="27"/>
              <w:szCs w:val="27"/>
            </w:rPr>
            <w:t>测试性分析评价计划</w:t>
          </w:r>
          <w:r>
            <w:rPr>
              <w:rFonts w:ascii="仿宋" w:hAnsi="仿宋" w:eastAsia="仿宋" w:cs="仿宋"/>
              <w:position w:val="2"/>
              <w:sz w:val="27"/>
              <w:szCs w:val="27"/>
            </w:rPr>
            <w:tab/>
          </w:r>
          <w:r>
            <w:rPr>
              <w:spacing w:val="-13"/>
              <w:position w:val="2"/>
              <w:sz w:val="27"/>
              <w:szCs w:val="27"/>
            </w:rPr>
            <w:t>462</w:t>
          </w:r>
          <w:r>
            <w:rPr>
              <w:spacing w:val="-13"/>
              <w:position w:val="2"/>
              <w:sz w:val="27"/>
              <w:szCs w:val="27"/>
            </w:rPr>
            <w:fldChar w:fldCharType="end"/>
          </w:r>
        </w:p>
        <w:p w14:paraId="1F6B6D5C">
          <w:pPr>
            <w:pStyle w:val="2"/>
            <w:tabs>
              <w:tab w:val="right" w:leader="dot" w:pos="9325"/>
            </w:tabs>
            <w:spacing w:before="42" w:line="368" w:lineRule="exact"/>
            <w:ind w:left="526"/>
            <w:rPr>
              <w:sz w:val="27"/>
              <w:szCs w:val="27"/>
            </w:rPr>
          </w:pPr>
          <w:r>
            <w:fldChar w:fldCharType="begin"/>
          </w:r>
          <w:r>
            <w:instrText xml:space="preserve"> HYPERLINK \l "bookmark209" </w:instrText>
          </w:r>
          <w:r>
            <w:fldChar w:fldCharType="separate"/>
          </w:r>
          <w:r>
            <w:rPr>
              <w:rFonts w:ascii="Times New Roman" w:hAnsi="Times New Roman" w:eastAsia="Times New Roman" w:cs="Times New Roman"/>
              <w:spacing w:val="2"/>
              <w:position w:val="2"/>
              <w:sz w:val="27"/>
              <w:szCs w:val="27"/>
            </w:rPr>
            <w:t>9.20</w:t>
          </w:r>
          <w:r>
            <w:rPr>
              <w:rFonts w:ascii="Times New Roman" w:hAnsi="Times New Roman" w:eastAsia="Times New Roman" w:cs="Times New Roman"/>
              <w:spacing w:val="12"/>
              <w:position w:val="2"/>
              <w:sz w:val="27"/>
              <w:szCs w:val="27"/>
            </w:rPr>
            <w:t xml:space="preserve">     </w:t>
          </w:r>
          <w:r>
            <w:rPr>
              <w:rFonts w:ascii="仿宋" w:hAnsi="仿宋" w:eastAsia="仿宋" w:cs="仿宋"/>
              <w:spacing w:val="2"/>
              <w:position w:val="2"/>
              <w:sz w:val="27"/>
              <w:szCs w:val="27"/>
            </w:rPr>
            <w:t>测试性分析评价报告</w:t>
          </w:r>
          <w:r>
            <w:rPr>
              <w:rFonts w:ascii="仿宋" w:hAnsi="仿宋" w:eastAsia="仿宋" w:cs="仿宋"/>
              <w:spacing w:val="-113"/>
              <w:position w:val="2"/>
              <w:sz w:val="27"/>
              <w:szCs w:val="27"/>
            </w:rPr>
            <w:t xml:space="preserve"> </w:t>
          </w:r>
          <w:r>
            <w:rPr>
              <w:rFonts w:ascii="仿宋" w:hAnsi="仿宋" w:eastAsia="仿宋" w:cs="仿宋"/>
              <w:position w:val="2"/>
              <w:sz w:val="27"/>
              <w:szCs w:val="27"/>
            </w:rPr>
            <w:tab/>
          </w:r>
          <w:r>
            <w:rPr>
              <w:spacing w:val="-12"/>
              <w:position w:val="2"/>
              <w:sz w:val="27"/>
              <w:szCs w:val="27"/>
            </w:rPr>
            <w:t>463</w:t>
          </w:r>
          <w:r>
            <w:rPr>
              <w:spacing w:val="-12"/>
              <w:position w:val="2"/>
              <w:sz w:val="27"/>
              <w:szCs w:val="27"/>
            </w:rPr>
            <w:fldChar w:fldCharType="end"/>
          </w:r>
        </w:p>
        <w:p w14:paraId="6B63BC09">
          <w:pPr>
            <w:pStyle w:val="2"/>
            <w:tabs>
              <w:tab w:val="right" w:leader="dot" w:pos="9325"/>
            </w:tabs>
            <w:spacing w:before="42" w:line="368" w:lineRule="exact"/>
            <w:ind w:left="526"/>
            <w:rPr>
              <w:sz w:val="27"/>
              <w:szCs w:val="27"/>
            </w:rPr>
          </w:pPr>
          <w:r>
            <w:fldChar w:fldCharType="begin"/>
          </w:r>
          <w:r>
            <w:instrText xml:space="preserve"> HYPERLINK \l "bookmark210" </w:instrText>
          </w:r>
          <w:r>
            <w:fldChar w:fldCharType="separate"/>
          </w:r>
          <w:r>
            <w:rPr>
              <w:rFonts w:ascii="Times New Roman" w:hAnsi="Times New Roman" w:eastAsia="Times New Roman" w:cs="Times New Roman"/>
              <w:spacing w:val="2"/>
              <w:position w:val="2"/>
              <w:sz w:val="27"/>
              <w:szCs w:val="27"/>
            </w:rPr>
            <w:t>9.21</w:t>
          </w:r>
          <w:r>
            <w:rPr>
              <w:rFonts w:ascii="Times New Roman" w:hAnsi="Times New Roman" w:eastAsia="Times New Roman" w:cs="Times New Roman"/>
              <w:spacing w:val="9"/>
              <w:position w:val="2"/>
              <w:sz w:val="27"/>
              <w:szCs w:val="27"/>
            </w:rPr>
            <w:t xml:space="preserve">     </w:t>
          </w:r>
          <w:r>
            <w:rPr>
              <w:rFonts w:ascii="仿宋" w:hAnsi="仿宋" w:eastAsia="仿宋" w:cs="仿宋"/>
              <w:spacing w:val="2"/>
              <w:position w:val="2"/>
              <w:sz w:val="27"/>
              <w:szCs w:val="27"/>
            </w:rPr>
            <w:t>测试性评估报告</w:t>
          </w:r>
          <w:r>
            <w:rPr>
              <w:rFonts w:ascii="仿宋" w:hAnsi="仿宋" w:eastAsia="仿宋" w:cs="仿宋"/>
              <w:spacing w:val="-123"/>
              <w:position w:val="2"/>
              <w:sz w:val="27"/>
              <w:szCs w:val="27"/>
            </w:rPr>
            <w:t xml:space="preserve"> </w:t>
          </w:r>
          <w:r>
            <w:rPr>
              <w:rFonts w:ascii="仿宋" w:hAnsi="仿宋" w:eastAsia="仿宋" w:cs="仿宋"/>
              <w:position w:val="2"/>
              <w:sz w:val="27"/>
              <w:szCs w:val="27"/>
            </w:rPr>
            <w:tab/>
          </w:r>
          <w:r>
            <w:rPr>
              <w:spacing w:val="-16"/>
              <w:position w:val="2"/>
              <w:sz w:val="27"/>
              <w:szCs w:val="27"/>
            </w:rPr>
            <w:t>463</w:t>
          </w:r>
          <w:r>
            <w:rPr>
              <w:spacing w:val="-16"/>
              <w:position w:val="2"/>
              <w:sz w:val="27"/>
              <w:szCs w:val="27"/>
            </w:rPr>
            <w:fldChar w:fldCharType="end"/>
          </w:r>
        </w:p>
        <w:p w14:paraId="261F8448">
          <w:pPr>
            <w:pStyle w:val="2"/>
            <w:tabs>
              <w:tab w:val="right" w:leader="dot" w:pos="9327"/>
            </w:tabs>
            <w:spacing w:before="52" w:line="368" w:lineRule="exact"/>
            <w:ind w:left="526"/>
            <w:rPr>
              <w:sz w:val="27"/>
              <w:szCs w:val="27"/>
            </w:rPr>
          </w:pPr>
          <w:r>
            <w:fldChar w:fldCharType="begin"/>
          </w:r>
          <w:r>
            <w:instrText xml:space="preserve"> HYPERLINK \l "bookmark211" </w:instrText>
          </w:r>
          <w:r>
            <w:fldChar w:fldCharType="separate"/>
          </w:r>
          <w:r>
            <w:rPr>
              <w:rFonts w:ascii="Times New Roman" w:hAnsi="Times New Roman" w:eastAsia="Times New Roman" w:cs="Times New Roman"/>
              <w:spacing w:val="4"/>
              <w:position w:val="2"/>
              <w:sz w:val="27"/>
              <w:szCs w:val="27"/>
            </w:rPr>
            <w:t xml:space="preserve">9.22     </w:t>
          </w:r>
          <w:r>
            <w:rPr>
              <w:rFonts w:ascii="仿宋" w:hAnsi="仿宋" w:eastAsia="仿宋" w:cs="仿宋"/>
              <w:spacing w:val="4"/>
              <w:position w:val="2"/>
              <w:sz w:val="27"/>
              <w:szCs w:val="27"/>
            </w:rPr>
            <w:t>使用期间测试性信息收集计划</w:t>
          </w:r>
          <w:r>
            <w:rPr>
              <w:rFonts w:ascii="仿宋" w:hAnsi="仿宋" w:eastAsia="仿宋" w:cs="仿宋"/>
              <w:position w:val="2"/>
              <w:sz w:val="27"/>
              <w:szCs w:val="27"/>
            </w:rPr>
            <w:tab/>
          </w:r>
          <w:r>
            <w:rPr>
              <w:spacing w:val="-7"/>
              <w:position w:val="2"/>
              <w:sz w:val="27"/>
              <w:szCs w:val="27"/>
            </w:rPr>
            <w:t>466</w:t>
          </w:r>
          <w:r>
            <w:rPr>
              <w:spacing w:val="-7"/>
              <w:position w:val="2"/>
              <w:sz w:val="27"/>
              <w:szCs w:val="27"/>
            </w:rPr>
            <w:fldChar w:fldCharType="end"/>
          </w:r>
        </w:p>
        <w:p w14:paraId="63AD57B4">
          <w:pPr>
            <w:pStyle w:val="2"/>
            <w:tabs>
              <w:tab w:val="right" w:leader="dot" w:pos="9325"/>
            </w:tabs>
            <w:spacing w:before="32" w:line="368" w:lineRule="exact"/>
            <w:ind w:left="526"/>
            <w:rPr>
              <w:sz w:val="27"/>
              <w:szCs w:val="27"/>
            </w:rPr>
          </w:pPr>
          <w:r>
            <w:fldChar w:fldCharType="begin"/>
          </w:r>
          <w:r>
            <w:instrText xml:space="preserve"> HYPERLINK \l "bookmark212" </w:instrText>
          </w:r>
          <w:r>
            <w:fldChar w:fldCharType="separate"/>
          </w:r>
          <w:r>
            <w:rPr>
              <w:rFonts w:ascii="Times New Roman" w:hAnsi="Times New Roman" w:eastAsia="Times New Roman" w:cs="Times New Roman"/>
              <w:spacing w:val="5"/>
              <w:position w:val="2"/>
              <w:sz w:val="27"/>
              <w:szCs w:val="27"/>
            </w:rPr>
            <w:t xml:space="preserve">9.23     </w:t>
          </w:r>
          <w:r>
            <w:rPr>
              <w:rFonts w:ascii="仿宋" w:hAnsi="仿宋" w:eastAsia="仿宋" w:cs="仿宋"/>
              <w:spacing w:val="5"/>
              <w:position w:val="2"/>
              <w:sz w:val="27"/>
              <w:szCs w:val="27"/>
            </w:rPr>
            <w:t>使用期间测试性信息分类和编码</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spacing w:val="-11"/>
              <w:position w:val="2"/>
              <w:sz w:val="27"/>
              <w:szCs w:val="27"/>
            </w:rPr>
            <w:t>467</w:t>
          </w:r>
          <w:r>
            <w:rPr>
              <w:spacing w:val="-11"/>
              <w:position w:val="2"/>
              <w:sz w:val="27"/>
              <w:szCs w:val="27"/>
            </w:rPr>
            <w:fldChar w:fldCharType="end"/>
          </w:r>
        </w:p>
        <w:p w14:paraId="15B29C3D">
          <w:pPr>
            <w:pStyle w:val="2"/>
            <w:tabs>
              <w:tab w:val="right" w:leader="dot" w:pos="9327"/>
            </w:tabs>
            <w:spacing w:before="42" w:line="368" w:lineRule="exact"/>
            <w:ind w:left="526"/>
            <w:rPr>
              <w:sz w:val="27"/>
              <w:szCs w:val="27"/>
            </w:rPr>
          </w:pPr>
          <w:r>
            <w:fldChar w:fldCharType="begin"/>
          </w:r>
          <w:r>
            <w:instrText xml:space="preserve"> HYPERLINK \l "bookmark213" </w:instrText>
          </w:r>
          <w:r>
            <w:fldChar w:fldCharType="separate"/>
          </w:r>
          <w:r>
            <w:rPr>
              <w:rFonts w:ascii="Times New Roman" w:hAnsi="Times New Roman" w:eastAsia="Times New Roman" w:cs="Times New Roman"/>
              <w:spacing w:val="3"/>
              <w:position w:val="2"/>
              <w:sz w:val="27"/>
              <w:szCs w:val="27"/>
            </w:rPr>
            <w:t>9.24</w:t>
          </w:r>
          <w:r>
            <w:rPr>
              <w:rFonts w:ascii="Times New Roman" w:hAnsi="Times New Roman" w:eastAsia="Times New Roman" w:cs="Times New Roman"/>
              <w:spacing w:val="9"/>
              <w:position w:val="2"/>
              <w:sz w:val="27"/>
              <w:szCs w:val="27"/>
            </w:rPr>
            <w:t xml:space="preserve">     </w:t>
          </w:r>
          <w:r>
            <w:rPr>
              <w:rFonts w:ascii="仿宋" w:hAnsi="仿宋" w:eastAsia="仿宋" w:cs="仿宋"/>
              <w:spacing w:val="3"/>
              <w:position w:val="2"/>
              <w:sz w:val="27"/>
              <w:szCs w:val="27"/>
            </w:rPr>
            <w:t>使用期间测试性评价计划</w:t>
          </w:r>
          <w:r>
            <w:rPr>
              <w:rFonts w:ascii="仿宋" w:hAnsi="仿宋" w:eastAsia="仿宋" w:cs="仿宋"/>
              <w:position w:val="2"/>
              <w:sz w:val="27"/>
              <w:szCs w:val="27"/>
            </w:rPr>
            <w:tab/>
          </w:r>
          <w:r>
            <w:rPr>
              <w:spacing w:val="-9"/>
              <w:position w:val="2"/>
              <w:sz w:val="27"/>
              <w:szCs w:val="27"/>
            </w:rPr>
            <w:t>469</w:t>
          </w:r>
          <w:r>
            <w:rPr>
              <w:spacing w:val="-9"/>
              <w:position w:val="2"/>
              <w:sz w:val="27"/>
              <w:szCs w:val="27"/>
            </w:rPr>
            <w:fldChar w:fldCharType="end"/>
          </w:r>
        </w:p>
        <w:p w14:paraId="703E0072">
          <w:pPr>
            <w:pStyle w:val="2"/>
            <w:tabs>
              <w:tab w:val="right" w:leader="dot" w:pos="9327"/>
            </w:tabs>
            <w:spacing w:before="32" w:line="368" w:lineRule="exact"/>
            <w:ind w:left="526"/>
            <w:rPr>
              <w:sz w:val="27"/>
              <w:szCs w:val="27"/>
            </w:rPr>
          </w:pPr>
          <w:r>
            <w:fldChar w:fldCharType="begin"/>
          </w:r>
          <w:r>
            <w:instrText xml:space="preserve"> HYPERLINK \l "bookmark214" </w:instrText>
          </w:r>
          <w:r>
            <w:fldChar w:fldCharType="separate"/>
          </w:r>
          <w:r>
            <w:rPr>
              <w:rFonts w:ascii="Times New Roman" w:hAnsi="Times New Roman" w:eastAsia="Times New Roman" w:cs="Times New Roman"/>
              <w:spacing w:val="4"/>
              <w:position w:val="2"/>
              <w:sz w:val="27"/>
              <w:szCs w:val="27"/>
            </w:rPr>
            <w:t xml:space="preserve">9.25     </w:t>
          </w:r>
          <w:r>
            <w:rPr>
              <w:rFonts w:ascii="仿宋" w:hAnsi="仿宋" w:eastAsia="仿宋" w:cs="仿宋"/>
              <w:spacing w:val="4"/>
              <w:position w:val="2"/>
              <w:sz w:val="27"/>
              <w:szCs w:val="27"/>
            </w:rPr>
            <w:t>使用期间测试性评价报告</w:t>
          </w:r>
          <w:r>
            <w:rPr>
              <w:rFonts w:ascii="仿宋" w:hAnsi="仿宋" w:eastAsia="仿宋" w:cs="仿宋"/>
              <w:spacing w:val="-117"/>
              <w:position w:val="2"/>
              <w:sz w:val="27"/>
              <w:szCs w:val="27"/>
            </w:rPr>
            <w:t xml:space="preserve"> </w:t>
          </w:r>
          <w:r>
            <w:rPr>
              <w:rFonts w:ascii="仿宋" w:hAnsi="仿宋" w:eastAsia="仿宋" w:cs="仿宋"/>
              <w:position w:val="2"/>
              <w:sz w:val="27"/>
              <w:szCs w:val="27"/>
            </w:rPr>
            <w:tab/>
          </w:r>
          <w:r>
            <w:rPr>
              <w:spacing w:val="-7"/>
              <w:position w:val="2"/>
              <w:sz w:val="27"/>
              <w:szCs w:val="27"/>
            </w:rPr>
            <w:t>470</w:t>
          </w:r>
          <w:r>
            <w:rPr>
              <w:spacing w:val="-7"/>
              <w:position w:val="2"/>
              <w:sz w:val="27"/>
              <w:szCs w:val="27"/>
            </w:rPr>
            <w:fldChar w:fldCharType="end"/>
          </w:r>
        </w:p>
        <w:p w14:paraId="6F94ACDA">
          <w:pPr>
            <w:pStyle w:val="2"/>
            <w:tabs>
              <w:tab w:val="right" w:leader="dot" w:pos="9327"/>
            </w:tabs>
            <w:spacing w:before="52" w:line="368" w:lineRule="exact"/>
            <w:ind w:left="526"/>
            <w:rPr>
              <w:sz w:val="27"/>
              <w:szCs w:val="27"/>
            </w:rPr>
          </w:pPr>
          <w:r>
            <w:fldChar w:fldCharType="begin"/>
          </w:r>
          <w:r>
            <w:instrText xml:space="preserve"> HYPERLINK \l "bookmark215" </w:instrText>
          </w:r>
          <w:r>
            <w:fldChar w:fldCharType="separate"/>
          </w:r>
          <w:r>
            <w:rPr>
              <w:rFonts w:ascii="Times New Roman" w:hAnsi="Times New Roman" w:eastAsia="Times New Roman" w:cs="Times New Roman"/>
              <w:spacing w:val="3"/>
              <w:position w:val="2"/>
              <w:sz w:val="27"/>
              <w:szCs w:val="27"/>
            </w:rPr>
            <w:t>9.26</w:t>
          </w:r>
          <w:r>
            <w:rPr>
              <w:rFonts w:ascii="Times New Roman" w:hAnsi="Times New Roman" w:eastAsia="Times New Roman" w:cs="Times New Roman"/>
              <w:spacing w:val="9"/>
              <w:position w:val="2"/>
              <w:sz w:val="27"/>
              <w:szCs w:val="27"/>
            </w:rPr>
            <w:t xml:space="preserve">     </w:t>
          </w:r>
          <w:r>
            <w:rPr>
              <w:rFonts w:ascii="仿宋" w:hAnsi="仿宋" w:eastAsia="仿宋" w:cs="仿宋"/>
              <w:spacing w:val="3"/>
              <w:position w:val="2"/>
              <w:sz w:val="27"/>
              <w:szCs w:val="27"/>
            </w:rPr>
            <w:t>使用期间测试性改进计划</w:t>
          </w:r>
          <w:r>
            <w:rPr>
              <w:rFonts w:ascii="仿宋" w:hAnsi="仿宋" w:eastAsia="仿宋" w:cs="仿宋"/>
              <w:position w:val="2"/>
              <w:sz w:val="27"/>
              <w:szCs w:val="27"/>
            </w:rPr>
            <w:tab/>
          </w:r>
          <w:r>
            <w:rPr>
              <w:spacing w:val="-7"/>
              <w:position w:val="2"/>
              <w:sz w:val="27"/>
              <w:szCs w:val="27"/>
            </w:rPr>
            <w:t>470</w:t>
          </w:r>
          <w:r>
            <w:rPr>
              <w:spacing w:val="-7"/>
              <w:position w:val="2"/>
              <w:sz w:val="27"/>
              <w:szCs w:val="27"/>
            </w:rPr>
            <w:fldChar w:fldCharType="end"/>
          </w:r>
        </w:p>
        <w:p w14:paraId="4565D5CF">
          <w:pPr>
            <w:pStyle w:val="2"/>
            <w:tabs>
              <w:tab w:val="right" w:leader="dot" w:pos="9372"/>
            </w:tabs>
            <w:spacing w:before="81" w:line="220" w:lineRule="auto"/>
            <w:ind w:left="526"/>
            <w:rPr>
              <w:sz w:val="27"/>
              <w:szCs w:val="27"/>
            </w:rPr>
          </w:pPr>
          <w:r>
            <w:fldChar w:fldCharType="begin"/>
          </w:r>
          <w:r>
            <w:instrText xml:space="preserve"> HYPERLINK \l "bookmark216" </w:instrText>
          </w:r>
          <w:r>
            <w:fldChar w:fldCharType="separate"/>
          </w:r>
          <w:r>
            <w:rPr>
              <w:rFonts w:ascii="Times New Roman" w:hAnsi="Times New Roman" w:eastAsia="Times New Roman" w:cs="Times New Roman"/>
              <w:spacing w:val="5"/>
              <w:sz w:val="27"/>
              <w:szCs w:val="27"/>
            </w:rPr>
            <w:t xml:space="preserve">9.27     </w:t>
          </w:r>
          <w:r>
            <w:rPr>
              <w:rFonts w:ascii="仿宋" w:hAnsi="仿宋" w:eastAsia="仿宋" w:cs="仿宋"/>
              <w:spacing w:val="5"/>
              <w:sz w:val="27"/>
              <w:szCs w:val="27"/>
            </w:rPr>
            <w:t>使用期间测试性改进项目报告</w:t>
          </w:r>
          <w:r>
            <w:rPr>
              <w:rFonts w:ascii="仿宋" w:hAnsi="仿宋" w:eastAsia="仿宋" w:cs="仿宋"/>
              <w:spacing w:val="-116"/>
              <w:sz w:val="27"/>
              <w:szCs w:val="27"/>
            </w:rPr>
            <w:t xml:space="preserve"> </w:t>
          </w:r>
          <w:r>
            <w:rPr>
              <w:rFonts w:ascii="仿宋" w:hAnsi="仿宋" w:eastAsia="仿宋" w:cs="仿宋"/>
              <w:sz w:val="27"/>
              <w:szCs w:val="27"/>
            </w:rPr>
            <w:tab/>
          </w:r>
          <w:r>
            <w:rPr>
              <w:spacing w:val="-1"/>
              <w:sz w:val="27"/>
              <w:szCs w:val="27"/>
            </w:rPr>
            <w:t>471</w:t>
          </w:r>
          <w:r>
            <w:rPr>
              <w:spacing w:val="-1"/>
              <w:sz w:val="27"/>
              <w:szCs w:val="27"/>
            </w:rPr>
            <w:fldChar w:fldCharType="end"/>
          </w:r>
        </w:p>
        <w:p w14:paraId="338EA918">
          <w:pPr>
            <w:pStyle w:val="2"/>
            <w:tabs>
              <w:tab w:val="right" w:leader="dot" w:pos="9325"/>
            </w:tabs>
            <w:spacing w:before="68" w:line="222" w:lineRule="auto"/>
            <w:rPr>
              <w:sz w:val="27"/>
              <w:szCs w:val="27"/>
            </w:rPr>
          </w:pPr>
          <w:r>
            <w:fldChar w:fldCharType="begin"/>
          </w:r>
          <w:r>
            <w:instrText xml:space="preserve"> HYPERLINK \l "bookmark217" </w:instrText>
          </w:r>
          <w:r>
            <w:fldChar w:fldCharType="separate"/>
          </w:r>
          <w:r>
            <w:rPr>
              <w:rFonts w:ascii="黑体" w:hAnsi="黑体" w:eastAsia="黑体" w:cs="黑体"/>
              <w:b/>
              <w:bCs/>
              <w:spacing w:val="28"/>
              <w:sz w:val="27"/>
              <w:szCs w:val="27"/>
            </w:rPr>
            <w:t>第10章</w:t>
          </w:r>
          <w:r>
            <w:rPr>
              <w:rFonts w:ascii="黑体" w:hAnsi="黑体" w:eastAsia="黑体" w:cs="黑体"/>
              <w:spacing w:val="41"/>
              <w:sz w:val="27"/>
              <w:szCs w:val="27"/>
            </w:rPr>
            <w:t xml:space="preserve"> </w:t>
          </w:r>
          <w:r>
            <w:rPr>
              <w:rFonts w:ascii="黑体" w:hAnsi="黑体" w:eastAsia="黑体" w:cs="黑体"/>
              <w:b/>
              <w:bCs/>
              <w:spacing w:val="28"/>
              <w:sz w:val="27"/>
              <w:szCs w:val="27"/>
            </w:rPr>
            <w:t>保障性文件</w:t>
          </w:r>
          <w:r>
            <w:rPr>
              <w:rFonts w:ascii="黑体" w:hAnsi="黑体" w:eastAsia="黑体" w:cs="黑体"/>
              <w:spacing w:val="-114"/>
              <w:sz w:val="27"/>
              <w:szCs w:val="27"/>
            </w:rPr>
            <w:t xml:space="preserve"> </w:t>
          </w:r>
          <w:r>
            <w:rPr>
              <w:rFonts w:ascii="黑体" w:hAnsi="黑体" w:eastAsia="黑体" w:cs="黑体"/>
              <w:sz w:val="27"/>
              <w:szCs w:val="27"/>
            </w:rPr>
            <w:tab/>
          </w:r>
          <w:r>
            <w:rPr>
              <w:b/>
              <w:bCs/>
              <w:spacing w:val="-15"/>
              <w:sz w:val="27"/>
              <w:szCs w:val="27"/>
            </w:rPr>
            <w:t>473</w:t>
          </w:r>
          <w:r>
            <w:rPr>
              <w:b/>
              <w:bCs/>
              <w:spacing w:val="-15"/>
              <w:sz w:val="27"/>
              <w:szCs w:val="27"/>
            </w:rPr>
            <w:fldChar w:fldCharType="end"/>
          </w:r>
        </w:p>
        <w:p w14:paraId="797C2796">
          <w:pPr>
            <w:pStyle w:val="2"/>
            <w:tabs>
              <w:tab w:val="right" w:leader="dot" w:pos="9325"/>
            </w:tabs>
            <w:spacing w:before="46" w:line="368" w:lineRule="exact"/>
            <w:ind w:left="526"/>
            <w:rPr>
              <w:sz w:val="27"/>
              <w:szCs w:val="27"/>
            </w:rPr>
          </w:pPr>
          <w:r>
            <w:fldChar w:fldCharType="begin"/>
          </w:r>
          <w:r>
            <w:instrText xml:space="preserve"> HYPERLINK \l "bookmark218" </w:instrText>
          </w:r>
          <w:r>
            <w:fldChar w:fldCharType="separate"/>
          </w:r>
          <w:r>
            <w:rPr>
              <w:rFonts w:ascii="Times New Roman" w:hAnsi="Times New Roman" w:eastAsia="Times New Roman" w:cs="Times New Roman"/>
              <w:spacing w:val="2"/>
              <w:position w:val="2"/>
              <w:sz w:val="27"/>
              <w:szCs w:val="27"/>
            </w:rPr>
            <w:t>10.1</w:t>
          </w:r>
          <w:r>
            <w:rPr>
              <w:rFonts w:ascii="Times New Roman" w:hAnsi="Times New Roman" w:eastAsia="Times New Roman" w:cs="Times New Roman"/>
              <w:spacing w:val="8"/>
              <w:position w:val="2"/>
              <w:sz w:val="27"/>
              <w:szCs w:val="27"/>
            </w:rPr>
            <w:t xml:space="preserve">     </w:t>
          </w:r>
          <w:r>
            <w:rPr>
              <w:rFonts w:ascii="仿宋" w:hAnsi="仿宋" w:eastAsia="仿宋" w:cs="仿宋"/>
              <w:spacing w:val="2"/>
              <w:position w:val="2"/>
              <w:sz w:val="27"/>
              <w:szCs w:val="27"/>
            </w:rPr>
            <w:t>保障性要求</w:t>
          </w:r>
          <w:r>
            <w:rPr>
              <w:rFonts w:ascii="仿宋" w:hAnsi="仿宋" w:eastAsia="仿宋" w:cs="仿宋"/>
              <w:spacing w:val="-124"/>
              <w:position w:val="2"/>
              <w:sz w:val="27"/>
              <w:szCs w:val="27"/>
            </w:rPr>
            <w:t xml:space="preserve"> </w:t>
          </w:r>
          <w:r>
            <w:rPr>
              <w:rFonts w:ascii="仿宋" w:hAnsi="仿宋" w:eastAsia="仿宋" w:cs="仿宋"/>
              <w:position w:val="2"/>
              <w:sz w:val="27"/>
              <w:szCs w:val="27"/>
            </w:rPr>
            <w:tab/>
          </w:r>
          <w:r>
            <w:rPr>
              <w:spacing w:val="-13"/>
              <w:position w:val="2"/>
              <w:sz w:val="27"/>
              <w:szCs w:val="27"/>
            </w:rPr>
            <w:t>473</w:t>
          </w:r>
          <w:r>
            <w:rPr>
              <w:spacing w:val="-13"/>
              <w:position w:val="2"/>
              <w:sz w:val="27"/>
              <w:szCs w:val="27"/>
            </w:rPr>
            <w:fldChar w:fldCharType="end"/>
          </w:r>
        </w:p>
        <w:p w14:paraId="45D73EE4">
          <w:pPr>
            <w:pStyle w:val="2"/>
            <w:tabs>
              <w:tab w:val="right" w:leader="dot" w:pos="9327"/>
            </w:tabs>
            <w:spacing w:before="32" w:line="368" w:lineRule="exact"/>
            <w:ind w:left="526"/>
            <w:rPr>
              <w:sz w:val="27"/>
              <w:szCs w:val="27"/>
            </w:rPr>
          </w:pPr>
          <w:r>
            <w:fldChar w:fldCharType="begin"/>
          </w:r>
          <w:r>
            <w:instrText xml:space="preserve"> HYPERLINK \l "bookmark219" </w:instrText>
          </w:r>
          <w:r>
            <w:fldChar w:fldCharType="separate"/>
          </w:r>
          <w:r>
            <w:rPr>
              <w:rFonts w:ascii="Times New Roman" w:hAnsi="Times New Roman" w:eastAsia="Times New Roman" w:cs="Times New Roman"/>
              <w:spacing w:val="2"/>
              <w:position w:val="2"/>
              <w:sz w:val="27"/>
              <w:szCs w:val="27"/>
            </w:rPr>
            <w:t>10.2</w:t>
          </w:r>
          <w:r>
            <w:rPr>
              <w:rFonts w:ascii="Times New Roman" w:hAnsi="Times New Roman" w:eastAsia="Times New Roman" w:cs="Times New Roman"/>
              <w:spacing w:val="8"/>
              <w:position w:val="2"/>
              <w:sz w:val="27"/>
              <w:szCs w:val="27"/>
            </w:rPr>
            <w:t xml:space="preserve">     </w:t>
          </w:r>
          <w:r>
            <w:rPr>
              <w:rFonts w:ascii="仿宋" w:hAnsi="仿宋" w:eastAsia="仿宋" w:cs="仿宋"/>
              <w:spacing w:val="2"/>
              <w:position w:val="2"/>
              <w:sz w:val="27"/>
              <w:szCs w:val="27"/>
            </w:rPr>
            <w:t>保障性工作项目要求</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spacing w:val="-9"/>
              <w:position w:val="2"/>
              <w:sz w:val="27"/>
              <w:szCs w:val="27"/>
            </w:rPr>
            <w:t>476</w:t>
          </w:r>
          <w:r>
            <w:rPr>
              <w:spacing w:val="-9"/>
              <w:position w:val="2"/>
              <w:sz w:val="27"/>
              <w:szCs w:val="27"/>
            </w:rPr>
            <w:fldChar w:fldCharType="end"/>
          </w:r>
        </w:p>
        <w:p w14:paraId="11C1BC12">
          <w:pPr>
            <w:pStyle w:val="2"/>
            <w:tabs>
              <w:tab w:val="right" w:leader="dot" w:pos="9327"/>
            </w:tabs>
            <w:spacing w:before="92" w:line="221" w:lineRule="auto"/>
            <w:ind w:left="526"/>
            <w:rPr>
              <w:sz w:val="27"/>
              <w:szCs w:val="27"/>
            </w:rPr>
          </w:pPr>
          <w:r>
            <w:fldChar w:fldCharType="begin"/>
          </w:r>
          <w:r>
            <w:instrText xml:space="preserve"> HYPERLINK \l "bookmark220" </w:instrText>
          </w:r>
          <w:r>
            <w:fldChar w:fldCharType="separate"/>
          </w:r>
          <w:r>
            <w:rPr>
              <w:rFonts w:ascii="Times New Roman" w:hAnsi="Times New Roman" w:eastAsia="Times New Roman" w:cs="Times New Roman"/>
              <w:sz w:val="27"/>
              <w:szCs w:val="27"/>
            </w:rPr>
            <w:t xml:space="preserve">10.3      </w:t>
          </w:r>
          <w:r>
            <w:rPr>
              <w:rFonts w:ascii="仿宋" w:hAnsi="仿宋" w:eastAsia="仿宋" w:cs="仿宋"/>
              <w:sz w:val="27"/>
              <w:szCs w:val="27"/>
            </w:rPr>
            <w:t>综合保障计划</w:t>
          </w:r>
          <w:r>
            <w:rPr>
              <w:rFonts w:ascii="仿宋" w:hAnsi="仿宋" w:eastAsia="仿宋" w:cs="仿宋"/>
              <w:sz w:val="27"/>
              <w:szCs w:val="27"/>
            </w:rPr>
            <w:tab/>
          </w:r>
          <w:r>
            <w:rPr>
              <w:spacing w:val="-13"/>
              <w:sz w:val="27"/>
              <w:szCs w:val="27"/>
            </w:rPr>
            <w:t>477</w:t>
          </w:r>
          <w:r>
            <w:rPr>
              <w:spacing w:val="-13"/>
              <w:sz w:val="27"/>
              <w:szCs w:val="27"/>
            </w:rPr>
            <w:fldChar w:fldCharType="end"/>
          </w:r>
        </w:p>
        <w:p w14:paraId="229FCCE6">
          <w:pPr>
            <w:pStyle w:val="2"/>
            <w:tabs>
              <w:tab w:val="right" w:leader="dot" w:pos="9360"/>
            </w:tabs>
            <w:spacing w:before="57" w:line="368" w:lineRule="exact"/>
            <w:ind w:left="526"/>
            <w:rPr>
              <w:sz w:val="27"/>
              <w:szCs w:val="27"/>
            </w:rPr>
          </w:pPr>
          <w:r>
            <w:fldChar w:fldCharType="begin"/>
          </w:r>
          <w:r>
            <w:instrText xml:space="preserve"> HYPERLINK \l "bookmark221" </w:instrText>
          </w:r>
          <w:r>
            <w:fldChar w:fldCharType="separate"/>
          </w:r>
          <w:r>
            <w:rPr>
              <w:rFonts w:ascii="Times New Roman" w:hAnsi="Times New Roman" w:eastAsia="Times New Roman" w:cs="Times New Roman"/>
              <w:spacing w:val="4"/>
              <w:position w:val="2"/>
              <w:sz w:val="27"/>
              <w:szCs w:val="27"/>
            </w:rPr>
            <w:t>10.4</w:t>
          </w:r>
          <w:r>
            <w:rPr>
              <w:rFonts w:ascii="Times New Roman" w:hAnsi="Times New Roman" w:eastAsia="Times New Roman" w:cs="Times New Roman"/>
              <w:spacing w:val="14"/>
              <w:position w:val="2"/>
              <w:sz w:val="27"/>
              <w:szCs w:val="27"/>
            </w:rPr>
            <w:t xml:space="preserve">     </w:t>
          </w:r>
          <w:r>
            <w:rPr>
              <w:rFonts w:ascii="仿宋" w:hAnsi="仿宋" w:eastAsia="仿宋" w:cs="仿宋"/>
              <w:spacing w:val="4"/>
              <w:position w:val="2"/>
              <w:sz w:val="27"/>
              <w:szCs w:val="27"/>
            </w:rPr>
            <w:t>综合保障工作计划(保障性大纲)</w:t>
          </w:r>
          <w:r>
            <w:rPr>
              <w:rFonts w:ascii="仿宋" w:hAnsi="仿宋" w:eastAsia="仿宋" w:cs="仿宋"/>
              <w:position w:val="2"/>
              <w:sz w:val="27"/>
              <w:szCs w:val="27"/>
            </w:rPr>
            <w:tab/>
          </w:r>
          <w:r>
            <w:rPr>
              <w:spacing w:val="-11"/>
              <w:position w:val="2"/>
              <w:sz w:val="27"/>
              <w:szCs w:val="27"/>
            </w:rPr>
            <w:t>481</w:t>
          </w:r>
          <w:r>
            <w:rPr>
              <w:spacing w:val="-11"/>
              <w:position w:val="2"/>
              <w:sz w:val="27"/>
              <w:szCs w:val="27"/>
            </w:rPr>
            <w:fldChar w:fldCharType="end"/>
          </w:r>
        </w:p>
        <w:p w14:paraId="37F3B9E4">
          <w:pPr>
            <w:pStyle w:val="2"/>
            <w:tabs>
              <w:tab w:val="right" w:leader="dot" w:pos="9325"/>
            </w:tabs>
            <w:spacing w:before="22" w:line="368" w:lineRule="exact"/>
            <w:ind w:left="526"/>
            <w:rPr>
              <w:sz w:val="27"/>
              <w:szCs w:val="27"/>
            </w:rPr>
          </w:pPr>
          <w:r>
            <w:fldChar w:fldCharType="begin"/>
          </w:r>
          <w:r>
            <w:instrText xml:space="preserve"> HYPERLINK \l "bookmark222" </w:instrText>
          </w:r>
          <w:r>
            <w:fldChar w:fldCharType="separate"/>
          </w:r>
          <w:r>
            <w:rPr>
              <w:rFonts w:ascii="Times New Roman" w:hAnsi="Times New Roman" w:eastAsia="Times New Roman" w:cs="Times New Roman"/>
              <w:spacing w:val="1"/>
              <w:position w:val="2"/>
              <w:sz w:val="27"/>
              <w:szCs w:val="27"/>
            </w:rPr>
            <w:t>10.5</w:t>
          </w:r>
          <w:r>
            <w:rPr>
              <w:rFonts w:ascii="Times New Roman" w:hAnsi="Times New Roman" w:eastAsia="Times New Roman" w:cs="Times New Roman"/>
              <w:spacing w:val="11"/>
              <w:position w:val="2"/>
              <w:sz w:val="27"/>
              <w:szCs w:val="27"/>
            </w:rPr>
            <w:t xml:space="preserve">     </w:t>
          </w:r>
          <w:r>
            <w:rPr>
              <w:rFonts w:ascii="仿宋" w:hAnsi="仿宋" w:eastAsia="仿宋" w:cs="仿宋"/>
              <w:spacing w:val="1"/>
              <w:position w:val="2"/>
              <w:sz w:val="27"/>
              <w:szCs w:val="27"/>
            </w:rPr>
            <w:t>保障性分析工作纲要</w:t>
          </w:r>
          <w:r>
            <w:rPr>
              <w:rFonts w:ascii="仿宋" w:hAnsi="仿宋" w:eastAsia="仿宋" w:cs="仿宋"/>
              <w:spacing w:val="-124"/>
              <w:position w:val="2"/>
              <w:sz w:val="27"/>
              <w:szCs w:val="27"/>
            </w:rPr>
            <w:t xml:space="preserve"> </w:t>
          </w:r>
          <w:r>
            <w:rPr>
              <w:rFonts w:ascii="仿宋" w:hAnsi="仿宋" w:eastAsia="仿宋" w:cs="仿宋"/>
              <w:position w:val="2"/>
              <w:sz w:val="27"/>
              <w:szCs w:val="27"/>
            </w:rPr>
            <w:tab/>
          </w:r>
          <w:r>
            <w:rPr>
              <w:spacing w:val="-16"/>
              <w:position w:val="2"/>
              <w:sz w:val="27"/>
              <w:szCs w:val="27"/>
            </w:rPr>
            <w:t>485</w:t>
          </w:r>
          <w:r>
            <w:rPr>
              <w:spacing w:val="-16"/>
              <w:position w:val="2"/>
              <w:sz w:val="27"/>
              <w:szCs w:val="27"/>
            </w:rPr>
            <w:fldChar w:fldCharType="end"/>
          </w:r>
        </w:p>
        <w:p w14:paraId="40F86F1A">
          <w:pPr>
            <w:pStyle w:val="2"/>
            <w:tabs>
              <w:tab w:val="right" w:leader="dot" w:pos="9362"/>
            </w:tabs>
            <w:spacing w:before="52" w:line="368" w:lineRule="exact"/>
            <w:ind w:left="526"/>
            <w:rPr>
              <w:sz w:val="27"/>
              <w:szCs w:val="27"/>
            </w:rPr>
          </w:pPr>
          <w:r>
            <w:fldChar w:fldCharType="begin"/>
          </w:r>
          <w:r>
            <w:instrText xml:space="preserve"> HYPERLINK \l "bookmark223" </w:instrText>
          </w:r>
          <w:r>
            <w:fldChar w:fldCharType="separate"/>
          </w:r>
          <w:r>
            <w:rPr>
              <w:rFonts w:ascii="Times New Roman" w:hAnsi="Times New Roman" w:eastAsia="Times New Roman" w:cs="Times New Roman"/>
              <w:spacing w:val="1"/>
              <w:position w:val="2"/>
              <w:sz w:val="27"/>
              <w:szCs w:val="27"/>
            </w:rPr>
            <w:t>10.6</w:t>
          </w:r>
          <w:r>
            <w:rPr>
              <w:rFonts w:ascii="Times New Roman" w:hAnsi="Times New Roman" w:eastAsia="Times New Roman" w:cs="Times New Roman"/>
              <w:spacing w:val="10"/>
              <w:position w:val="2"/>
              <w:sz w:val="27"/>
              <w:szCs w:val="27"/>
            </w:rPr>
            <w:t xml:space="preserve">     </w:t>
          </w:r>
          <w:r>
            <w:rPr>
              <w:rFonts w:ascii="仿宋" w:hAnsi="仿宋" w:eastAsia="仿宋" w:cs="仿宋"/>
              <w:spacing w:val="1"/>
              <w:position w:val="2"/>
              <w:sz w:val="27"/>
              <w:szCs w:val="27"/>
            </w:rPr>
            <w:t>保障性分析计划</w:t>
          </w:r>
          <w:r>
            <w:rPr>
              <w:rFonts w:ascii="仿宋" w:hAnsi="仿宋" w:eastAsia="仿宋" w:cs="仿宋"/>
              <w:position w:val="2"/>
              <w:sz w:val="27"/>
              <w:szCs w:val="27"/>
            </w:rPr>
            <w:tab/>
          </w:r>
          <w:r>
            <w:rPr>
              <w:spacing w:val="-3"/>
              <w:position w:val="2"/>
              <w:sz w:val="27"/>
              <w:szCs w:val="27"/>
            </w:rPr>
            <w:t>491</w:t>
          </w:r>
          <w:r>
            <w:rPr>
              <w:spacing w:val="-3"/>
              <w:position w:val="2"/>
              <w:sz w:val="27"/>
              <w:szCs w:val="27"/>
            </w:rPr>
            <w:fldChar w:fldCharType="end"/>
          </w:r>
        </w:p>
        <w:p w14:paraId="7771F0AB">
          <w:pPr>
            <w:pStyle w:val="2"/>
            <w:tabs>
              <w:tab w:val="right" w:leader="dot" w:pos="9327"/>
            </w:tabs>
            <w:spacing w:before="52" w:line="368" w:lineRule="exact"/>
            <w:ind w:left="526"/>
            <w:rPr>
              <w:sz w:val="27"/>
              <w:szCs w:val="27"/>
            </w:rPr>
          </w:pPr>
          <w:r>
            <w:fldChar w:fldCharType="begin"/>
          </w:r>
          <w:r>
            <w:instrText xml:space="preserve"> HYPERLINK \l "bookmark224" </w:instrText>
          </w:r>
          <w:r>
            <w:fldChar w:fldCharType="separate"/>
          </w:r>
          <w:r>
            <w:rPr>
              <w:rFonts w:ascii="Times New Roman" w:hAnsi="Times New Roman" w:eastAsia="Times New Roman" w:cs="Times New Roman"/>
              <w:spacing w:val="2"/>
              <w:position w:val="2"/>
              <w:sz w:val="27"/>
              <w:szCs w:val="27"/>
            </w:rPr>
            <w:t>10.7</w:t>
          </w:r>
          <w:r>
            <w:rPr>
              <w:rFonts w:ascii="Times New Roman" w:hAnsi="Times New Roman" w:eastAsia="Times New Roman" w:cs="Times New Roman"/>
              <w:spacing w:val="11"/>
              <w:position w:val="2"/>
              <w:sz w:val="27"/>
              <w:szCs w:val="27"/>
            </w:rPr>
            <w:t xml:space="preserve">     </w:t>
          </w:r>
          <w:r>
            <w:rPr>
              <w:rFonts w:ascii="仿宋" w:hAnsi="仿宋" w:eastAsia="仿宋" w:cs="仿宋"/>
              <w:spacing w:val="2"/>
              <w:position w:val="2"/>
              <w:sz w:val="27"/>
              <w:szCs w:val="27"/>
            </w:rPr>
            <w:t>保障性分析评审程序</w:t>
          </w:r>
          <w:r>
            <w:rPr>
              <w:rFonts w:ascii="仿宋" w:hAnsi="仿宋" w:eastAsia="仿宋" w:cs="仿宋"/>
              <w:position w:val="2"/>
              <w:sz w:val="27"/>
              <w:szCs w:val="27"/>
            </w:rPr>
            <w:tab/>
          </w:r>
          <w:r>
            <w:rPr>
              <w:spacing w:val="-9"/>
              <w:position w:val="2"/>
              <w:sz w:val="27"/>
              <w:szCs w:val="27"/>
            </w:rPr>
            <w:t>493</w:t>
          </w:r>
          <w:r>
            <w:rPr>
              <w:spacing w:val="-9"/>
              <w:position w:val="2"/>
              <w:sz w:val="27"/>
              <w:szCs w:val="27"/>
            </w:rPr>
            <w:fldChar w:fldCharType="end"/>
          </w:r>
        </w:p>
        <w:p w14:paraId="7F255AFB">
          <w:pPr>
            <w:pStyle w:val="2"/>
            <w:tabs>
              <w:tab w:val="right" w:leader="dot" w:pos="9327"/>
            </w:tabs>
            <w:spacing w:before="36" w:line="368" w:lineRule="exact"/>
            <w:ind w:left="526"/>
            <w:rPr>
              <w:sz w:val="27"/>
              <w:szCs w:val="27"/>
            </w:rPr>
          </w:pPr>
          <w:r>
            <w:fldChar w:fldCharType="begin"/>
          </w:r>
          <w:r>
            <w:instrText xml:space="preserve"> HYPERLINK \l "bookmark225" </w:instrText>
          </w:r>
          <w:r>
            <w:fldChar w:fldCharType="separate"/>
          </w:r>
          <w:r>
            <w:rPr>
              <w:rFonts w:ascii="Times New Roman" w:hAnsi="Times New Roman" w:eastAsia="Times New Roman" w:cs="Times New Roman"/>
              <w:spacing w:val="1"/>
              <w:position w:val="1"/>
              <w:sz w:val="27"/>
              <w:szCs w:val="27"/>
            </w:rPr>
            <w:t>10.8</w:t>
          </w:r>
          <w:r>
            <w:rPr>
              <w:rFonts w:ascii="Times New Roman" w:hAnsi="Times New Roman" w:eastAsia="Times New Roman" w:cs="Times New Roman"/>
              <w:spacing w:val="9"/>
              <w:position w:val="1"/>
              <w:sz w:val="27"/>
              <w:szCs w:val="27"/>
            </w:rPr>
            <w:t xml:space="preserve">     </w:t>
          </w:r>
          <w:r>
            <w:rPr>
              <w:rFonts w:ascii="仿宋" w:hAnsi="仿宋" w:eastAsia="仿宋" w:cs="仿宋"/>
              <w:spacing w:val="1"/>
              <w:position w:val="1"/>
              <w:sz w:val="27"/>
              <w:szCs w:val="27"/>
            </w:rPr>
            <w:t>产品使用研究</w:t>
          </w:r>
          <w:r>
            <w:rPr>
              <w:rFonts w:ascii="仿宋" w:hAnsi="仿宋" w:eastAsia="仿宋" w:cs="仿宋"/>
              <w:position w:val="1"/>
              <w:sz w:val="27"/>
              <w:szCs w:val="27"/>
            </w:rPr>
            <w:tab/>
          </w:r>
          <w:r>
            <w:rPr>
              <w:spacing w:val="-11"/>
              <w:position w:val="1"/>
              <w:sz w:val="27"/>
              <w:szCs w:val="27"/>
            </w:rPr>
            <w:t>494</w:t>
          </w:r>
          <w:r>
            <w:rPr>
              <w:spacing w:val="-11"/>
              <w:position w:val="1"/>
              <w:sz w:val="27"/>
              <w:szCs w:val="27"/>
            </w:rPr>
            <w:fldChar w:fldCharType="end"/>
          </w:r>
        </w:p>
        <w:p w14:paraId="1B4A1260">
          <w:pPr>
            <w:pStyle w:val="2"/>
            <w:tabs>
              <w:tab w:val="right" w:leader="dot" w:pos="9325"/>
            </w:tabs>
            <w:spacing w:before="29" w:line="368" w:lineRule="exact"/>
            <w:ind w:left="526"/>
            <w:rPr>
              <w:sz w:val="27"/>
              <w:szCs w:val="27"/>
            </w:rPr>
          </w:pPr>
          <w:r>
            <w:fldChar w:fldCharType="begin"/>
          </w:r>
          <w:r>
            <w:instrText xml:space="preserve"> HYPERLINK \l "bookmark226" </w:instrText>
          </w:r>
          <w:r>
            <w:fldChar w:fldCharType="separate"/>
          </w:r>
          <w:r>
            <w:rPr>
              <w:rFonts w:ascii="Times New Roman" w:hAnsi="Times New Roman" w:eastAsia="Times New Roman" w:cs="Times New Roman"/>
              <w:spacing w:val="-6"/>
              <w:position w:val="2"/>
              <w:sz w:val="27"/>
              <w:szCs w:val="27"/>
            </w:rPr>
            <w:t>10.9</w:t>
          </w:r>
          <w:r>
            <w:rPr>
              <w:rFonts w:ascii="Times New Roman" w:hAnsi="Times New Roman" w:eastAsia="Times New Roman" w:cs="Times New Roman"/>
              <w:spacing w:val="12"/>
              <w:position w:val="2"/>
              <w:sz w:val="27"/>
              <w:szCs w:val="27"/>
            </w:rPr>
            <w:t xml:space="preserve">     </w:t>
          </w:r>
          <w:r>
            <w:rPr>
              <w:rFonts w:ascii="仿宋" w:hAnsi="仿宋" w:eastAsia="仿宋" w:cs="仿宋"/>
              <w:spacing w:val="-6"/>
              <w:position w:val="2"/>
              <w:sz w:val="27"/>
              <w:szCs w:val="27"/>
            </w:rPr>
            <w:t xml:space="preserve">硬件、软件和保障系统标准化 </w:t>
          </w:r>
          <w:r>
            <w:rPr>
              <w:rFonts w:ascii="仿宋" w:hAnsi="仿宋" w:eastAsia="仿宋" w:cs="仿宋"/>
              <w:position w:val="2"/>
              <w:sz w:val="27"/>
              <w:szCs w:val="27"/>
            </w:rPr>
            <w:tab/>
          </w:r>
          <w:r>
            <w:rPr>
              <w:spacing w:val="-17"/>
              <w:w w:val="99"/>
              <w:position w:val="2"/>
              <w:sz w:val="27"/>
              <w:szCs w:val="27"/>
            </w:rPr>
            <w:t>495</w:t>
          </w:r>
          <w:r>
            <w:rPr>
              <w:spacing w:val="-17"/>
              <w:w w:val="99"/>
              <w:position w:val="2"/>
              <w:sz w:val="27"/>
              <w:szCs w:val="27"/>
            </w:rPr>
            <w:fldChar w:fldCharType="end"/>
          </w:r>
        </w:p>
        <w:p w14:paraId="70C812D6">
          <w:pPr>
            <w:pStyle w:val="2"/>
            <w:tabs>
              <w:tab w:val="right" w:leader="dot" w:pos="9325"/>
            </w:tabs>
            <w:spacing w:before="43" w:line="368" w:lineRule="exact"/>
            <w:ind w:left="526"/>
            <w:rPr>
              <w:sz w:val="27"/>
              <w:szCs w:val="27"/>
            </w:rPr>
          </w:pPr>
          <w:r>
            <w:fldChar w:fldCharType="begin"/>
          </w:r>
          <w:r>
            <w:instrText xml:space="preserve"> HYPERLINK \l "bookmark227" </w:instrText>
          </w:r>
          <w:r>
            <w:fldChar w:fldCharType="separate"/>
          </w:r>
          <w:r>
            <w:rPr>
              <w:rFonts w:ascii="Times New Roman" w:hAnsi="Times New Roman" w:eastAsia="Times New Roman" w:cs="Times New Roman"/>
              <w:spacing w:val="-5"/>
              <w:position w:val="1"/>
              <w:sz w:val="27"/>
              <w:szCs w:val="27"/>
            </w:rPr>
            <w:t xml:space="preserve">10.10      </w:t>
          </w:r>
          <w:r>
            <w:rPr>
              <w:rFonts w:ascii="仿宋" w:hAnsi="仿宋" w:eastAsia="仿宋" w:cs="仿宋"/>
              <w:spacing w:val="-5"/>
              <w:position w:val="1"/>
              <w:sz w:val="27"/>
              <w:szCs w:val="27"/>
            </w:rPr>
            <w:t>比较分析</w:t>
          </w:r>
          <w:r>
            <w:rPr>
              <w:rFonts w:ascii="仿宋" w:hAnsi="仿宋" w:eastAsia="仿宋" w:cs="仿宋"/>
              <w:spacing w:val="36"/>
              <w:position w:val="1"/>
              <w:sz w:val="27"/>
              <w:szCs w:val="27"/>
            </w:rPr>
            <w:t xml:space="preserve"> </w:t>
          </w:r>
          <w:r>
            <w:rPr>
              <w:rFonts w:ascii="仿宋" w:hAnsi="仿宋" w:eastAsia="仿宋" w:cs="仿宋"/>
              <w:position w:val="1"/>
              <w:sz w:val="27"/>
              <w:szCs w:val="27"/>
            </w:rPr>
            <w:tab/>
          </w:r>
          <w:r>
            <w:rPr>
              <w:spacing w:val="-5"/>
              <w:position w:val="1"/>
              <w:sz w:val="27"/>
              <w:szCs w:val="27"/>
            </w:rPr>
            <w:t>495</w:t>
          </w:r>
          <w:r>
            <w:rPr>
              <w:spacing w:val="-5"/>
              <w:position w:val="1"/>
              <w:sz w:val="27"/>
              <w:szCs w:val="27"/>
            </w:rPr>
            <w:fldChar w:fldCharType="end"/>
          </w:r>
        </w:p>
        <w:p w14:paraId="5D58F970">
          <w:pPr>
            <w:pStyle w:val="2"/>
            <w:tabs>
              <w:tab w:val="right" w:leader="dot" w:pos="9327"/>
            </w:tabs>
            <w:spacing w:before="40" w:line="368" w:lineRule="exact"/>
            <w:ind w:left="526"/>
            <w:rPr>
              <w:sz w:val="27"/>
              <w:szCs w:val="27"/>
            </w:rPr>
          </w:pPr>
          <w:r>
            <w:fldChar w:fldCharType="begin"/>
          </w:r>
          <w:r>
            <w:instrText xml:space="preserve"> HYPERLINK \l "bookmark228" </w:instrText>
          </w:r>
          <w:r>
            <w:fldChar w:fldCharType="separate"/>
          </w:r>
          <w:r>
            <w:rPr>
              <w:rFonts w:ascii="Times New Roman" w:hAnsi="Times New Roman" w:eastAsia="Times New Roman" w:cs="Times New Roman"/>
              <w:spacing w:val="-4"/>
              <w:position w:val="2"/>
              <w:sz w:val="27"/>
              <w:szCs w:val="27"/>
            </w:rPr>
            <w:t>10.11</w:t>
          </w:r>
          <w:r>
            <w:rPr>
              <w:rFonts w:ascii="Times New Roman" w:hAnsi="Times New Roman" w:eastAsia="Times New Roman" w:cs="Times New Roman"/>
              <w:spacing w:val="13"/>
              <w:position w:val="2"/>
              <w:sz w:val="27"/>
              <w:szCs w:val="27"/>
            </w:rPr>
            <w:t xml:space="preserve">     </w:t>
          </w:r>
          <w:r>
            <w:rPr>
              <w:rFonts w:ascii="仿宋" w:hAnsi="仿宋" w:eastAsia="仿宋" w:cs="仿宋"/>
              <w:spacing w:val="-4"/>
              <w:position w:val="2"/>
              <w:sz w:val="27"/>
              <w:szCs w:val="27"/>
            </w:rPr>
            <w:t>保障性改进的技术途径</w:t>
          </w:r>
          <w:r>
            <w:rPr>
              <w:rFonts w:ascii="仿宋" w:hAnsi="仿宋" w:eastAsia="仿宋" w:cs="仿宋"/>
              <w:spacing w:val="33"/>
              <w:position w:val="2"/>
              <w:sz w:val="27"/>
              <w:szCs w:val="27"/>
            </w:rPr>
            <w:t xml:space="preserve"> </w:t>
          </w:r>
          <w:r>
            <w:rPr>
              <w:rFonts w:ascii="仿宋" w:hAnsi="仿宋" w:eastAsia="仿宋" w:cs="仿宋"/>
              <w:position w:val="2"/>
              <w:sz w:val="27"/>
              <w:szCs w:val="27"/>
            </w:rPr>
            <w:tab/>
          </w:r>
          <w:r>
            <w:rPr>
              <w:spacing w:val="-6"/>
              <w:position w:val="2"/>
              <w:sz w:val="27"/>
              <w:szCs w:val="27"/>
            </w:rPr>
            <w:t>497</w:t>
          </w:r>
          <w:r>
            <w:rPr>
              <w:spacing w:val="-6"/>
              <w:position w:val="2"/>
              <w:sz w:val="27"/>
              <w:szCs w:val="27"/>
            </w:rPr>
            <w:fldChar w:fldCharType="end"/>
          </w:r>
        </w:p>
        <w:p w14:paraId="3290EB95">
          <w:pPr>
            <w:pStyle w:val="2"/>
            <w:tabs>
              <w:tab w:val="right" w:leader="dot" w:pos="9327"/>
            </w:tabs>
            <w:spacing w:before="52" w:line="368" w:lineRule="exact"/>
            <w:ind w:left="526"/>
            <w:rPr>
              <w:sz w:val="27"/>
              <w:szCs w:val="27"/>
            </w:rPr>
          </w:pPr>
          <w:r>
            <w:fldChar w:fldCharType="begin"/>
          </w:r>
          <w:r>
            <w:instrText xml:space="preserve"> HYPERLINK \l "bookmark229" </w:instrText>
          </w:r>
          <w:r>
            <w:fldChar w:fldCharType="separate"/>
          </w:r>
          <w:r>
            <w:rPr>
              <w:rFonts w:ascii="Times New Roman" w:hAnsi="Times New Roman" w:eastAsia="Times New Roman" w:cs="Times New Roman"/>
              <w:position w:val="1"/>
              <w:sz w:val="27"/>
              <w:szCs w:val="27"/>
            </w:rPr>
            <w:t>10.12</w:t>
          </w:r>
          <w:r>
            <w:rPr>
              <w:rFonts w:ascii="Times New Roman" w:hAnsi="Times New Roman" w:eastAsia="Times New Roman" w:cs="Times New Roman"/>
              <w:spacing w:val="12"/>
              <w:position w:val="1"/>
              <w:sz w:val="27"/>
              <w:szCs w:val="27"/>
            </w:rPr>
            <w:t xml:space="preserve">     </w:t>
          </w:r>
          <w:r>
            <w:rPr>
              <w:rFonts w:ascii="仿宋" w:hAnsi="仿宋" w:eastAsia="仿宋" w:cs="仿宋"/>
              <w:position w:val="1"/>
              <w:sz w:val="27"/>
              <w:szCs w:val="27"/>
            </w:rPr>
            <w:t>保障性和有关保障性的设计因素</w:t>
          </w:r>
          <w:r>
            <w:rPr>
              <w:rFonts w:ascii="仿宋" w:hAnsi="仿宋" w:eastAsia="仿宋" w:cs="仿宋"/>
              <w:spacing w:val="48"/>
              <w:position w:val="1"/>
              <w:sz w:val="27"/>
              <w:szCs w:val="27"/>
            </w:rPr>
            <w:t xml:space="preserve"> </w:t>
          </w:r>
          <w:r>
            <w:rPr>
              <w:rFonts w:ascii="仿宋" w:hAnsi="仿宋" w:eastAsia="仿宋" w:cs="仿宋"/>
              <w:position w:val="1"/>
              <w:sz w:val="27"/>
              <w:szCs w:val="27"/>
            </w:rPr>
            <w:tab/>
          </w:r>
          <w:r>
            <w:rPr>
              <w:spacing w:val="-9"/>
              <w:position w:val="1"/>
              <w:sz w:val="27"/>
              <w:szCs w:val="27"/>
            </w:rPr>
            <w:t>497</w:t>
          </w:r>
          <w:r>
            <w:rPr>
              <w:spacing w:val="-9"/>
              <w:position w:val="1"/>
              <w:sz w:val="27"/>
              <w:szCs w:val="27"/>
            </w:rPr>
            <w:fldChar w:fldCharType="end"/>
          </w:r>
        </w:p>
        <w:p w14:paraId="12E2B180">
          <w:pPr>
            <w:pStyle w:val="2"/>
            <w:tabs>
              <w:tab w:val="right" w:leader="dot" w:pos="9327"/>
            </w:tabs>
            <w:spacing w:before="25" w:line="368" w:lineRule="exact"/>
            <w:ind w:left="526"/>
            <w:rPr>
              <w:sz w:val="27"/>
              <w:szCs w:val="27"/>
            </w:rPr>
          </w:pPr>
          <w:r>
            <w:fldChar w:fldCharType="begin"/>
          </w:r>
          <w:r>
            <w:instrText xml:space="preserve"> HYPERLINK \l "bookmark230" </w:instrText>
          </w:r>
          <w:r>
            <w:fldChar w:fldCharType="separate"/>
          </w:r>
          <w:r>
            <w:rPr>
              <w:rFonts w:ascii="Times New Roman" w:hAnsi="Times New Roman" w:eastAsia="Times New Roman" w:cs="Times New Roman"/>
              <w:spacing w:val="-7"/>
              <w:position w:val="1"/>
              <w:sz w:val="27"/>
              <w:szCs w:val="27"/>
            </w:rPr>
            <w:t>10.13</w:t>
          </w:r>
          <w:r>
            <w:rPr>
              <w:rFonts w:ascii="Times New Roman" w:hAnsi="Times New Roman" w:eastAsia="Times New Roman" w:cs="Times New Roman"/>
              <w:spacing w:val="10"/>
              <w:position w:val="1"/>
              <w:sz w:val="27"/>
              <w:szCs w:val="27"/>
            </w:rPr>
            <w:t xml:space="preserve">     </w:t>
          </w:r>
          <w:r>
            <w:rPr>
              <w:rFonts w:ascii="仿宋" w:hAnsi="仿宋" w:eastAsia="仿宋" w:cs="仿宋"/>
              <w:spacing w:val="-7"/>
              <w:position w:val="1"/>
              <w:sz w:val="27"/>
              <w:szCs w:val="27"/>
            </w:rPr>
            <w:t>功能要求</w:t>
          </w:r>
          <w:r>
            <w:rPr>
              <w:rFonts w:ascii="仿宋" w:hAnsi="仿宋" w:eastAsia="仿宋" w:cs="仿宋"/>
              <w:spacing w:val="-108"/>
              <w:position w:val="1"/>
              <w:sz w:val="27"/>
              <w:szCs w:val="27"/>
            </w:rPr>
            <w:t xml:space="preserve"> </w:t>
          </w:r>
          <w:r>
            <w:rPr>
              <w:rFonts w:ascii="仿宋" w:hAnsi="仿宋" w:eastAsia="仿宋" w:cs="仿宋"/>
              <w:position w:val="1"/>
              <w:sz w:val="27"/>
              <w:szCs w:val="27"/>
            </w:rPr>
            <w:tab/>
          </w:r>
          <w:r>
            <w:rPr>
              <w:spacing w:val="-9"/>
              <w:position w:val="1"/>
              <w:sz w:val="27"/>
              <w:szCs w:val="27"/>
            </w:rPr>
            <w:t>498</w:t>
          </w:r>
          <w:r>
            <w:rPr>
              <w:spacing w:val="-9"/>
              <w:position w:val="1"/>
              <w:sz w:val="27"/>
              <w:szCs w:val="27"/>
            </w:rPr>
            <w:fldChar w:fldCharType="end"/>
          </w:r>
        </w:p>
        <w:p w14:paraId="3AE4DC05">
          <w:pPr>
            <w:pStyle w:val="2"/>
            <w:tabs>
              <w:tab w:val="right" w:leader="dot" w:pos="9327"/>
            </w:tabs>
            <w:spacing w:before="40" w:line="368" w:lineRule="exact"/>
            <w:ind w:left="526"/>
            <w:rPr>
              <w:sz w:val="27"/>
              <w:szCs w:val="27"/>
            </w:rPr>
          </w:pPr>
          <w:r>
            <w:fldChar w:fldCharType="begin"/>
          </w:r>
          <w:r>
            <w:instrText xml:space="preserve"> HYPERLINK \l "bookmark231" </w:instrText>
          </w:r>
          <w:r>
            <w:fldChar w:fldCharType="separate"/>
          </w:r>
          <w:r>
            <w:rPr>
              <w:rFonts w:ascii="Times New Roman" w:hAnsi="Times New Roman" w:eastAsia="Times New Roman" w:cs="Times New Roman"/>
              <w:spacing w:val="-2"/>
              <w:position w:val="1"/>
              <w:sz w:val="27"/>
              <w:szCs w:val="27"/>
            </w:rPr>
            <w:t>10.14</w:t>
          </w:r>
          <w:r>
            <w:rPr>
              <w:rFonts w:ascii="Times New Roman" w:hAnsi="Times New Roman" w:eastAsia="Times New Roman" w:cs="Times New Roman"/>
              <w:spacing w:val="8"/>
              <w:position w:val="1"/>
              <w:sz w:val="27"/>
              <w:szCs w:val="27"/>
            </w:rPr>
            <w:t xml:space="preserve">     </w:t>
          </w:r>
          <w:r>
            <w:rPr>
              <w:rFonts w:ascii="仿宋" w:hAnsi="仿宋" w:eastAsia="仿宋" w:cs="仿宋"/>
              <w:spacing w:val="-2"/>
              <w:position w:val="1"/>
              <w:sz w:val="27"/>
              <w:szCs w:val="27"/>
            </w:rPr>
            <w:t>保障系统的备选方案</w:t>
          </w:r>
          <w:r>
            <w:rPr>
              <w:rFonts w:ascii="仿宋" w:hAnsi="仿宋" w:eastAsia="仿宋" w:cs="仿宋"/>
              <w:spacing w:val="37"/>
              <w:position w:val="1"/>
              <w:sz w:val="27"/>
              <w:szCs w:val="27"/>
            </w:rPr>
            <w:t xml:space="preserve"> </w:t>
          </w:r>
          <w:r>
            <w:rPr>
              <w:rFonts w:ascii="仿宋" w:hAnsi="仿宋" w:eastAsia="仿宋" w:cs="仿宋"/>
              <w:position w:val="1"/>
              <w:sz w:val="27"/>
              <w:szCs w:val="27"/>
            </w:rPr>
            <w:tab/>
          </w:r>
          <w:r>
            <w:rPr>
              <w:spacing w:val="-9"/>
              <w:position w:val="1"/>
              <w:sz w:val="27"/>
              <w:szCs w:val="27"/>
            </w:rPr>
            <w:t>500</w:t>
          </w:r>
          <w:r>
            <w:rPr>
              <w:spacing w:val="-9"/>
              <w:position w:val="1"/>
              <w:sz w:val="27"/>
              <w:szCs w:val="27"/>
            </w:rPr>
            <w:fldChar w:fldCharType="end"/>
          </w:r>
        </w:p>
        <w:p w14:paraId="5FB8C6BF">
          <w:pPr>
            <w:pStyle w:val="2"/>
            <w:tabs>
              <w:tab w:val="right" w:leader="dot" w:pos="9327"/>
            </w:tabs>
            <w:spacing w:before="53" w:line="368" w:lineRule="exact"/>
            <w:ind w:left="526"/>
            <w:rPr>
              <w:sz w:val="27"/>
              <w:szCs w:val="27"/>
            </w:rPr>
          </w:pPr>
          <w:r>
            <w:fldChar w:fldCharType="begin"/>
          </w:r>
          <w:r>
            <w:instrText xml:space="preserve"> HYPERLINK \l "bookmark232" </w:instrText>
          </w:r>
          <w:r>
            <w:fldChar w:fldCharType="separate"/>
          </w:r>
          <w:r>
            <w:rPr>
              <w:rFonts w:ascii="Times New Roman" w:hAnsi="Times New Roman" w:eastAsia="Times New Roman" w:cs="Times New Roman"/>
              <w:position w:val="1"/>
              <w:sz w:val="27"/>
              <w:szCs w:val="27"/>
            </w:rPr>
            <w:t>10.15</w:t>
          </w:r>
          <w:r>
            <w:rPr>
              <w:rFonts w:ascii="Times New Roman" w:hAnsi="Times New Roman" w:eastAsia="Times New Roman" w:cs="Times New Roman"/>
              <w:spacing w:val="14"/>
              <w:position w:val="1"/>
              <w:sz w:val="27"/>
              <w:szCs w:val="27"/>
            </w:rPr>
            <w:t xml:space="preserve">     </w:t>
          </w:r>
          <w:r>
            <w:rPr>
              <w:rFonts w:ascii="仿宋" w:hAnsi="仿宋" w:eastAsia="仿宋" w:cs="仿宋"/>
              <w:position w:val="1"/>
              <w:sz w:val="27"/>
              <w:szCs w:val="27"/>
            </w:rPr>
            <w:t>备选方案的评价和权衡分析</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rFonts w:ascii="仿宋" w:hAnsi="仿宋" w:eastAsia="仿宋" w:cs="仿宋"/>
              <w:spacing w:val="-33"/>
              <w:position w:val="1"/>
              <w:sz w:val="27"/>
              <w:szCs w:val="27"/>
            </w:rPr>
            <w:t xml:space="preserve"> </w:t>
          </w:r>
          <w:r>
            <w:rPr>
              <w:spacing w:val="-9"/>
              <w:position w:val="1"/>
              <w:sz w:val="27"/>
              <w:szCs w:val="27"/>
            </w:rPr>
            <w:t>503</w:t>
          </w:r>
          <w:r>
            <w:rPr>
              <w:spacing w:val="-9"/>
              <w:position w:val="1"/>
              <w:sz w:val="27"/>
              <w:szCs w:val="27"/>
            </w:rPr>
            <w:fldChar w:fldCharType="end"/>
          </w:r>
        </w:p>
        <w:p w14:paraId="711698BD">
          <w:pPr>
            <w:pStyle w:val="2"/>
            <w:tabs>
              <w:tab w:val="right" w:leader="dot" w:pos="9325"/>
            </w:tabs>
            <w:spacing w:before="40" w:line="368" w:lineRule="exact"/>
            <w:ind w:left="526"/>
            <w:rPr>
              <w:sz w:val="27"/>
              <w:szCs w:val="27"/>
            </w:rPr>
          </w:pPr>
          <w:r>
            <w:fldChar w:fldCharType="begin"/>
          </w:r>
          <w:r>
            <w:instrText xml:space="preserve"> HYPERLINK \l "bookmark233" </w:instrText>
          </w:r>
          <w:r>
            <w:fldChar w:fldCharType="separate"/>
          </w:r>
          <w:r>
            <w:rPr>
              <w:rFonts w:ascii="Times New Roman" w:hAnsi="Times New Roman" w:eastAsia="Times New Roman" w:cs="Times New Roman"/>
              <w:spacing w:val="-2"/>
              <w:position w:val="2"/>
              <w:sz w:val="27"/>
              <w:szCs w:val="27"/>
            </w:rPr>
            <w:t xml:space="preserve">10.16      </w:t>
          </w:r>
          <w:r>
            <w:rPr>
              <w:rFonts w:ascii="仿宋" w:hAnsi="仿宋" w:eastAsia="仿宋" w:cs="仿宋"/>
              <w:spacing w:val="-2"/>
              <w:position w:val="2"/>
              <w:sz w:val="27"/>
              <w:szCs w:val="27"/>
            </w:rPr>
            <w:t xml:space="preserve">使用与维修工作分析 </w:t>
          </w:r>
          <w:r>
            <w:rPr>
              <w:rFonts w:ascii="仿宋" w:hAnsi="仿宋" w:eastAsia="仿宋" w:cs="仿宋"/>
              <w:position w:val="2"/>
              <w:sz w:val="27"/>
              <w:szCs w:val="27"/>
            </w:rPr>
            <w:tab/>
          </w:r>
          <w:r>
            <w:rPr>
              <w:spacing w:val="-7"/>
              <w:position w:val="2"/>
              <w:sz w:val="27"/>
              <w:szCs w:val="27"/>
            </w:rPr>
            <w:t>505</w:t>
          </w:r>
          <w:r>
            <w:rPr>
              <w:spacing w:val="-7"/>
              <w:position w:val="2"/>
              <w:sz w:val="27"/>
              <w:szCs w:val="27"/>
            </w:rPr>
            <w:fldChar w:fldCharType="end"/>
          </w:r>
        </w:p>
        <w:p w14:paraId="19A094BB">
          <w:pPr>
            <w:pStyle w:val="2"/>
            <w:tabs>
              <w:tab w:val="right" w:leader="dot" w:pos="9327"/>
            </w:tabs>
            <w:spacing w:before="24" w:line="368" w:lineRule="exact"/>
            <w:ind w:left="526"/>
            <w:rPr>
              <w:sz w:val="27"/>
              <w:szCs w:val="27"/>
            </w:rPr>
          </w:pPr>
          <w:r>
            <w:fldChar w:fldCharType="begin"/>
          </w:r>
          <w:r>
            <w:instrText xml:space="preserve"> HYPERLINK \l "bookmark234" </w:instrText>
          </w:r>
          <w:r>
            <w:fldChar w:fldCharType="separate"/>
          </w:r>
          <w:r>
            <w:rPr>
              <w:rFonts w:ascii="Times New Roman" w:hAnsi="Times New Roman" w:eastAsia="Times New Roman" w:cs="Times New Roman"/>
              <w:spacing w:val="-3"/>
              <w:position w:val="1"/>
              <w:sz w:val="27"/>
              <w:szCs w:val="27"/>
            </w:rPr>
            <w:t>10.17</w:t>
          </w:r>
          <w:r>
            <w:rPr>
              <w:rFonts w:ascii="Times New Roman" w:hAnsi="Times New Roman" w:eastAsia="Times New Roman" w:cs="Times New Roman"/>
              <w:spacing w:val="10"/>
              <w:position w:val="1"/>
              <w:sz w:val="27"/>
              <w:szCs w:val="27"/>
            </w:rPr>
            <w:t xml:space="preserve">     </w:t>
          </w:r>
          <w:r>
            <w:rPr>
              <w:rFonts w:ascii="仿宋" w:hAnsi="仿宋" w:eastAsia="仿宋" w:cs="仿宋"/>
              <w:spacing w:val="-3"/>
              <w:position w:val="1"/>
              <w:sz w:val="27"/>
              <w:szCs w:val="27"/>
            </w:rPr>
            <w:t>早期现场分析</w:t>
          </w:r>
          <w:r>
            <w:rPr>
              <w:rFonts w:ascii="仿宋" w:hAnsi="仿宋" w:eastAsia="仿宋" w:cs="仿宋"/>
              <w:spacing w:val="-118"/>
              <w:position w:val="1"/>
              <w:sz w:val="27"/>
              <w:szCs w:val="27"/>
            </w:rPr>
            <w:t xml:space="preserve"> </w:t>
          </w:r>
          <w:r>
            <w:rPr>
              <w:rFonts w:ascii="仿宋" w:hAnsi="仿宋" w:eastAsia="仿宋" w:cs="仿宋"/>
              <w:position w:val="1"/>
              <w:sz w:val="27"/>
              <w:szCs w:val="27"/>
            </w:rPr>
            <w:tab/>
          </w:r>
          <w:r>
            <w:rPr>
              <w:spacing w:val="-11"/>
              <w:position w:val="1"/>
              <w:sz w:val="27"/>
              <w:szCs w:val="27"/>
            </w:rPr>
            <w:t>507</w:t>
          </w:r>
          <w:r>
            <w:rPr>
              <w:spacing w:val="-11"/>
              <w:position w:val="1"/>
              <w:sz w:val="27"/>
              <w:szCs w:val="27"/>
            </w:rPr>
            <w:fldChar w:fldCharType="end"/>
          </w:r>
        </w:p>
        <w:p w14:paraId="6F5C166C">
          <w:pPr>
            <w:pStyle w:val="2"/>
            <w:tabs>
              <w:tab w:val="right" w:leader="dot" w:pos="9325"/>
            </w:tabs>
            <w:spacing w:before="41" w:line="368" w:lineRule="exact"/>
            <w:ind w:left="526"/>
            <w:rPr>
              <w:sz w:val="27"/>
              <w:szCs w:val="27"/>
            </w:rPr>
          </w:pPr>
          <w:r>
            <w:fldChar w:fldCharType="begin"/>
          </w:r>
          <w:r>
            <w:instrText xml:space="preserve"> HYPERLINK \l "bookmark235" </w:instrText>
          </w:r>
          <w:r>
            <w:fldChar w:fldCharType="separate"/>
          </w:r>
          <w:r>
            <w:rPr>
              <w:rFonts w:ascii="Times New Roman" w:hAnsi="Times New Roman" w:eastAsia="Times New Roman" w:cs="Times New Roman"/>
              <w:position w:val="2"/>
              <w:sz w:val="27"/>
              <w:szCs w:val="27"/>
            </w:rPr>
            <w:t>10.18</w:t>
          </w:r>
          <w:r>
            <w:rPr>
              <w:rFonts w:ascii="Times New Roman" w:hAnsi="Times New Roman" w:eastAsia="Times New Roman" w:cs="Times New Roman"/>
              <w:spacing w:val="10"/>
              <w:position w:val="2"/>
              <w:sz w:val="27"/>
              <w:szCs w:val="27"/>
            </w:rPr>
            <w:t xml:space="preserve">     </w:t>
          </w:r>
          <w:r>
            <w:rPr>
              <w:rFonts w:ascii="仿宋" w:hAnsi="仿宋" w:eastAsia="仿宋" w:cs="仿宋"/>
              <w:position w:val="2"/>
              <w:sz w:val="27"/>
              <w:szCs w:val="27"/>
            </w:rPr>
            <w:t>停产后保障分析</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14"/>
              <w:position w:val="2"/>
              <w:sz w:val="27"/>
              <w:szCs w:val="27"/>
            </w:rPr>
            <w:t>508</w:t>
          </w:r>
          <w:r>
            <w:rPr>
              <w:spacing w:val="-14"/>
              <w:position w:val="2"/>
              <w:sz w:val="27"/>
              <w:szCs w:val="27"/>
            </w:rPr>
            <w:fldChar w:fldCharType="end"/>
          </w:r>
        </w:p>
        <w:p w14:paraId="528E889E">
          <w:pPr>
            <w:pStyle w:val="2"/>
            <w:tabs>
              <w:tab w:val="right" w:leader="dot" w:pos="9327"/>
            </w:tabs>
            <w:spacing w:before="32" w:line="368" w:lineRule="exact"/>
            <w:ind w:left="526"/>
            <w:rPr>
              <w:sz w:val="27"/>
              <w:szCs w:val="27"/>
            </w:rPr>
          </w:pPr>
          <w:r>
            <w:fldChar w:fldCharType="begin"/>
          </w:r>
          <w:r>
            <w:instrText xml:space="preserve"> HYPERLINK \l "bookmark236" </w:instrText>
          </w:r>
          <w:r>
            <w:fldChar w:fldCharType="separate"/>
          </w:r>
          <w:r>
            <w:rPr>
              <w:rFonts w:ascii="Times New Roman" w:hAnsi="Times New Roman" w:eastAsia="Times New Roman" w:cs="Times New Roman"/>
              <w:spacing w:val="-9"/>
              <w:position w:val="2"/>
              <w:sz w:val="27"/>
              <w:szCs w:val="27"/>
            </w:rPr>
            <w:t xml:space="preserve">10.19      </w:t>
          </w:r>
          <w:r>
            <w:rPr>
              <w:rFonts w:ascii="仿宋" w:hAnsi="仿宋" w:eastAsia="仿宋" w:cs="仿宋"/>
              <w:spacing w:val="-9"/>
              <w:position w:val="2"/>
              <w:sz w:val="27"/>
              <w:szCs w:val="27"/>
            </w:rPr>
            <w:t>保障方案</w:t>
          </w:r>
          <w:r>
            <w:rPr>
              <w:rFonts w:ascii="仿宋" w:hAnsi="仿宋" w:eastAsia="仿宋" w:cs="仿宋"/>
              <w:spacing w:val="26"/>
              <w:position w:val="2"/>
              <w:sz w:val="27"/>
              <w:szCs w:val="27"/>
            </w:rPr>
            <w:t xml:space="preserve"> </w:t>
          </w:r>
          <w:r>
            <w:rPr>
              <w:rFonts w:ascii="仿宋" w:hAnsi="仿宋" w:eastAsia="仿宋" w:cs="仿宋"/>
              <w:position w:val="2"/>
              <w:sz w:val="27"/>
              <w:szCs w:val="27"/>
            </w:rPr>
            <w:tab/>
          </w:r>
          <w:r>
            <w:rPr>
              <w:spacing w:val="-9"/>
              <w:position w:val="2"/>
              <w:sz w:val="27"/>
              <w:szCs w:val="27"/>
            </w:rPr>
            <w:t>509</w:t>
          </w:r>
          <w:r>
            <w:rPr>
              <w:spacing w:val="-9"/>
              <w:position w:val="2"/>
              <w:sz w:val="27"/>
              <w:szCs w:val="27"/>
            </w:rPr>
            <w:fldChar w:fldCharType="end"/>
          </w:r>
        </w:p>
      </w:sdtContent>
    </w:sdt>
    <w:p w14:paraId="2D1199EC">
      <w:pPr>
        <w:spacing w:line="368" w:lineRule="exact"/>
        <w:rPr>
          <w:sz w:val="27"/>
          <w:szCs w:val="27"/>
        </w:rPr>
        <w:sectPr>
          <w:footerReference r:id="rId17" w:type="default"/>
          <w:pgSz w:w="12220" w:h="17340"/>
          <w:pgMar w:top="400" w:right="1573" w:bottom="1819" w:left="1263" w:header="0" w:footer="1535" w:gutter="0"/>
          <w:cols w:space="720" w:num="1"/>
        </w:sectPr>
      </w:pPr>
    </w:p>
    <w:p w14:paraId="3C87D2F0">
      <w:pPr>
        <w:pStyle w:val="2"/>
        <w:spacing w:line="251" w:lineRule="auto"/>
      </w:pPr>
    </w:p>
    <w:p w14:paraId="38A42D09">
      <w:pPr>
        <w:pStyle w:val="2"/>
        <w:spacing w:line="251" w:lineRule="auto"/>
      </w:pPr>
    </w:p>
    <w:p w14:paraId="39DF03DC">
      <w:pPr>
        <w:pStyle w:val="2"/>
        <w:spacing w:line="251" w:lineRule="auto"/>
      </w:pPr>
    </w:p>
    <w:p w14:paraId="301CE3B1">
      <w:pPr>
        <w:pStyle w:val="2"/>
        <w:spacing w:line="251" w:lineRule="auto"/>
      </w:pPr>
    </w:p>
    <w:sdt>
      <w:sdtPr>
        <w:rPr>
          <w:rFonts w:ascii="Times New Roman" w:hAnsi="Times New Roman" w:eastAsia="Times New Roman" w:cs="Times New Roman"/>
          <w:sz w:val="27"/>
          <w:szCs w:val="27"/>
        </w:rPr>
        <w:id w:val="147456100"/>
        <w:docPartObj>
          <w:docPartGallery w:val="Table of Contents"/>
          <w:docPartUnique/>
        </w:docPartObj>
      </w:sdtPr>
      <w:sdtEndPr>
        <w:rPr>
          <w:rFonts w:ascii="Arial" w:hAnsi="Arial" w:eastAsia="Arial" w:cs="Arial"/>
          <w:sz w:val="27"/>
          <w:szCs w:val="27"/>
        </w:rPr>
      </w:sdtEndPr>
      <w:sdtContent>
        <w:p w14:paraId="32C70CBE">
          <w:pPr>
            <w:pStyle w:val="2"/>
            <w:tabs>
              <w:tab w:val="right" w:leader="dot" w:pos="9349"/>
            </w:tabs>
            <w:spacing w:before="88" w:line="368" w:lineRule="exact"/>
            <w:ind w:left="556"/>
            <w:rPr>
              <w:sz w:val="27"/>
              <w:szCs w:val="27"/>
            </w:rPr>
          </w:pPr>
          <w:bookmarkStart w:id="4" w:name="bookmark237"/>
          <w:bookmarkEnd w:id="4"/>
          <w:r>
            <w:fldChar w:fldCharType="begin"/>
          </w:r>
          <w:r>
            <w:instrText xml:space="preserve"> HYPERLINK \l "bookmark238" </w:instrText>
          </w:r>
          <w:r>
            <w:fldChar w:fldCharType="separate"/>
          </w:r>
          <w:r>
            <w:rPr>
              <w:rFonts w:ascii="Times New Roman" w:hAnsi="Times New Roman" w:eastAsia="Times New Roman" w:cs="Times New Roman"/>
              <w:position w:val="2"/>
              <w:sz w:val="27"/>
              <w:szCs w:val="27"/>
            </w:rPr>
            <w:t xml:space="preserve">10.20     </w:t>
          </w:r>
          <w:r>
            <w:rPr>
              <w:rFonts w:ascii="仿宋" w:hAnsi="仿宋" w:eastAsia="仿宋" w:cs="仿宋"/>
              <w:position w:val="2"/>
              <w:sz w:val="27"/>
              <w:szCs w:val="27"/>
            </w:rPr>
            <w:t>保障计划</w:t>
          </w:r>
          <w:r>
            <w:rPr>
              <w:rFonts w:ascii="仿宋" w:hAnsi="仿宋" w:eastAsia="仿宋" w:cs="仿宋"/>
              <w:position w:val="2"/>
              <w:sz w:val="27"/>
              <w:szCs w:val="27"/>
            </w:rPr>
            <w:tab/>
          </w:r>
          <w:r>
            <w:rPr>
              <w:spacing w:val="-11"/>
              <w:position w:val="2"/>
              <w:sz w:val="27"/>
              <w:szCs w:val="27"/>
            </w:rPr>
            <w:t>512</w:t>
          </w:r>
          <w:r>
            <w:rPr>
              <w:spacing w:val="-11"/>
              <w:position w:val="2"/>
              <w:sz w:val="27"/>
              <w:szCs w:val="27"/>
            </w:rPr>
            <w:fldChar w:fldCharType="end"/>
          </w:r>
        </w:p>
        <w:p w14:paraId="351F1EB8">
          <w:pPr>
            <w:pStyle w:val="2"/>
            <w:tabs>
              <w:tab w:val="right" w:leader="dot" w:pos="9345"/>
            </w:tabs>
            <w:spacing w:before="30" w:line="368" w:lineRule="exact"/>
            <w:ind w:left="556"/>
            <w:rPr>
              <w:sz w:val="27"/>
              <w:szCs w:val="27"/>
            </w:rPr>
          </w:pPr>
          <w:r>
            <w:fldChar w:fldCharType="begin"/>
          </w:r>
          <w:r>
            <w:instrText xml:space="preserve"> HYPERLINK \l "bookmark239" </w:instrText>
          </w:r>
          <w:r>
            <w:fldChar w:fldCharType="separate"/>
          </w:r>
          <w:r>
            <w:rPr>
              <w:rFonts w:ascii="Times New Roman" w:hAnsi="Times New Roman" w:eastAsia="Times New Roman" w:cs="Times New Roman"/>
              <w:spacing w:val="-6"/>
              <w:position w:val="2"/>
              <w:sz w:val="27"/>
              <w:szCs w:val="27"/>
            </w:rPr>
            <w:t>10.21</w:t>
          </w:r>
          <w:r>
            <w:rPr>
              <w:rFonts w:ascii="Times New Roman" w:hAnsi="Times New Roman" w:eastAsia="Times New Roman" w:cs="Times New Roman"/>
              <w:spacing w:val="11"/>
              <w:position w:val="2"/>
              <w:sz w:val="27"/>
              <w:szCs w:val="27"/>
            </w:rPr>
            <w:t xml:space="preserve">     </w:t>
          </w:r>
          <w:r>
            <w:rPr>
              <w:rFonts w:ascii="仿宋" w:hAnsi="仿宋" w:eastAsia="仿宋" w:cs="仿宋"/>
              <w:spacing w:val="-6"/>
              <w:position w:val="2"/>
              <w:sz w:val="27"/>
              <w:szCs w:val="27"/>
            </w:rPr>
            <w:t>保障性试验、评价与验证大纲</w:t>
          </w:r>
          <w:r>
            <w:rPr>
              <w:rFonts w:ascii="仿宋" w:hAnsi="仿宋" w:eastAsia="仿宋" w:cs="仿宋"/>
              <w:position w:val="2"/>
              <w:sz w:val="27"/>
              <w:szCs w:val="27"/>
            </w:rPr>
            <w:tab/>
          </w:r>
          <w:r>
            <w:rPr>
              <w:spacing w:val="-14"/>
              <w:position w:val="2"/>
              <w:sz w:val="27"/>
              <w:szCs w:val="27"/>
            </w:rPr>
            <w:t>513</w:t>
          </w:r>
          <w:r>
            <w:rPr>
              <w:spacing w:val="-14"/>
              <w:position w:val="2"/>
              <w:sz w:val="27"/>
              <w:szCs w:val="27"/>
            </w:rPr>
            <w:fldChar w:fldCharType="end"/>
          </w:r>
        </w:p>
        <w:p w14:paraId="48858855">
          <w:pPr>
            <w:pStyle w:val="2"/>
            <w:tabs>
              <w:tab w:val="right" w:leader="dot" w:pos="9345"/>
            </w:tabs>
            <w:spacing w:before="42" w:line="368" w:lineRule="exact"/>
            <w:ind w:left="556"/>
            <w:rPr>
              <w:sz w:val="27"/>
              <w:szCs w:val="27"/>
            </w:rPr>
          </w:pPr>
          <w:r>
            <w:fldChar w:fldCharType="begin"/>
          </w:r>
          <w:r>
            <w:instrText xml:space="preserve"> HYPERLINK \l "bookmark240" </w:instrText>
          </w:r>
          <w:r>
            <w:fldChar w:fldCharType="separate"/>
          </w:r>
          <w:r>
            <w:rPr>
              <w:rFonts w:ascii="Times New Roman" w:hAnsi="Times New Roman" w:eastAsia="Times New Roman" w:cs="Times New Roman"/>
              <w:spacing w:val="-6"/>
              <w:position w:val="2"/>
              <w:sz w:val="27"/>
              <w:szCs w:val="27"/>
            </w:rPr>
            <w:t>10.22</w:t>
          </w:r>
          <w:r>
            <w:rPr>
              <w:rFonts w:ascii="Times New Roman" w:hAnsi="Times New Roman" w:eastAsia="Times New Roman" w:cs="Times New Roman"/>
              <w:spacing w:val="12"/>
              <w:position w:val="2"/>
              <w:sz w:val="27"/>
              <w:szCs w:val="27"/>
            </w:rPr>
            <w:t xml:space="preserve">     </w:t>
          </w:r>
          <w:r>
            <w:rPr>
              <w:rFonts w:ascii="仿宋" w:hAnsi="仿宋" w:eastAsia="仿宋" w:cs="仿宋"/>
              <w:spacing w:val="-6"/>
              <w:position w:val="2"/>
              <w:sz w:val="27"/>
              <w:szCs w:val="27"/>
            </w:rPr>
            <w:t>保障性试验、评价与验证报告</w:t>
          </w:r>
          <w:r>
            <w:rPr>
              <w:rFonts w:ascii="仿宋" w:hAnsi="仿宋" w:eastAsia="仿宋" w:cs="仿宋"/>
              <w:spacing w:val="-123"/>
              <w:position w:val="2"/>
              <w:sz w:val="27"/>
              <w:szCs w:val="27"/>
            </w:rPr>
            <w:t xml:space="preserve"> </w:t>
          </w:r>
          <w:r>
            <w:rPr>
              <w:rFonts w:ascii="仿宋" w:hAnsi="仿宋" w:eastAsia="仿宋" w:cs="仿宋"/>
              <w:position w:val="2"/>
              <w:sz w:val="27"/>
              <w:szCs w:val="27"/>
            </w:rPr>
            <w:tab/>
          </w:r>
          <w:r>
            <w:rPr>
              <w:spacing w:val="-14"/>
              <w:position w:val="2"/>
              <w:sz w:val="27"/>
              <w:szCs w:val="27"/>
            </w:rPr>
            <w:t>515</w:t>
          </w:r>
          <w:r>
            <w:rPr>
              <w:spacing w:val="-14"/>
              <w:position w:val="2"/>
              <w:sz w:val="27"/>
              <w:szCs w:val="27"/>
            </w:rPr>
            <w:fldChar w:fldCharType="end"/>
          </w:r>
        </w:p>
        <w:p w14:paraId="5BA55A3A">
          <w:pPr>
            <w:pStyle w:val="2"/>
            <w:tabs>
              <w:tab w:val="right" w:leader="dot" w:pos="9345"/>
            </w:tabs>
            <w:spacing w:before="32" w:line="368" w:lineRule="exact"/>
            <w:ind w:left="556"/>
            <w:rPr>
              <w:sz w:val="27"/>
              <w:szCs w:val="27"/>
            </w:rPr>
          </w:pPr>
          <w:r>
            <w:fldChar w:fldCharType="begin"/>
          </w:r>
          <w:r>
            <w:instrText xml:space="preserve"> HYPERLINK \l "bookmark241" </w:instrText>
          </w:r>
          <w:r>
            <w:fldChar w:fldCharType="separate"/>
          </w:r>
          <w:r>
            <w:rPr>
              <w:rFonts w:ascii="Times New Roman" w:hAnsi="Times New Roman" w:eastAsia="Times New Roman" w:cs="Times New Roman"/>
              <w:position w:val="2"/>
              <w:sz w:val="27"/>
              <w:szCs w:val="27"/>
            </w:rPr>
            <w:t>10.23</w:t>
          </w:r>
          <w:r>
            <w:rPr>
              <w:rFonts w:ascii="Times New Roman" w:hAnsi="Times New Roman" w:eastAsia="Times New Roman" w:cs="Times New Roman"/>
              <w:spacing w:val="10"/>
              <w:position w:val="2"/>
              <w:sz w:val="27"/>
              <w:szCs w:val="27"/>
            </w:rPr>
            <w:t xml:space="preserve">     </w:t>
          </w:r>
          <w:r>
            <w:rPr>
              <w:rFonts w:ascii="仿宋" w:hAnsi="仿宋" w:eastAsia="仿宋" w:cs="仿宋"/>
              <w:position w:val="2"/>
              <w:sz w:val="27"/>
              <w:szCs w:val="27"/>
            </w:rPr>
            <w:t>保障性评估报告</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14"/>
              <w:position w:val="2"/>
              <w:sz w:val="27"/>
              <w:szCs w:val="27"/>
            </w:rPr>
            <w:t>517</w:t>
          </w:r>
          <w:r>
            <w:rPr>
              <w:spacing w:val="-14"/>
              <w:position w:val="2"/>
              <w:sz w:val="27"/>
              <w:szCs w:val="27"/>
            </w:rPr>
            <w:fldChar w:fldCharType="end"/>
          </w:r>
        </w:p>
        <w:p w14:paraId="4F7E3DA4">
          <w:pPr>
            <w:pStyle w:val="2"/>
            <w:tabs>
              <w:tab w:val="right" w:leader="dot" w:pos="9345"/>
            </w:tabs>
            <w:spacing w:before="90" w:line="222" w:lineRule="auto"/>
            <w:rPr>
              <w:sz w:val="27"/>
              <w:szCs w:val="27"/>
            </w:rPr>
          </w:pPr>
          <w:r>
            <w:fldChar w:fldCharType="begin"/>
          </w:r>
          <w:r>
            <w:instrText xml:space="preserve"> HYPERLINK \l "bookmark242" </w:instrText>
          </w:r>
          <w:r>
            <w:fldChar w:fldCharType="separate"/>
          </w:r>
          <w:r>
            <w:rPr>
              <w:rFonts w:ascii="黑体" w:hAnsi="黑体" w:eastAsia="黑体" w:cs="黑体"/>
              <w:b/>
              <w:bCs/>
              <w:spacing w:val="26"/>
              <w:sz w:val="27"/>
              <w:szCs w:val="27"/>
            </w:rPr>
            <w:t>第11章</w:t>
          </w:r>
          <w:r>
            <w:rPr>
              <w:rFonts w:ascii="黑体" w:hAnsi="黑体" w:eastAsia="黑体" w:cs="黑体"/>
              <w:spacing w:val="59"/>
              <w:sz w:val="27"/>
              <w:szCs w:val="27"/>
            </w:rPr>
            <w:t xml:space="preserve"> </w:t>
          </w:r>
          <w:r>
            <w:rPr>
              <w:rFonts w:ascii="黑体" w:hAnsi="黑体" w:eastAsia="黑体" w:cs="黑体"/>
              <w:b/>
              <w:bCs/>
              <w:spacing w:val="26"/>
              <w:sz w:val="27"/>
              <w:szCs w:val="27"/>
            </w:rPr>
            <w:t>安全性文件</w:t>
          </w:r>
          <w:r>
            <w:rPr>
              <w:rFonts w:ascii="黑体" w:hAnsi="黑体" w:eastAsia="黑体" w:cs="黑体"/>
              <w:spacing w:val="-114"/>
              <w:sz w:val="27"/>
              <w:szCs w:val="27"/>
            </w:rPr>
            <w:t xml:space="preserve"> </w:t>
          </w:r>
          <w:r>
            <w:rPr>
              <w:rFonts w:ascii="黑体" w:hAnsi="黑体" w:eastAsia="黑体" w:cs="黑体"/>
              <w:sz w:val="27"/>
              <w:szCs w:val="27"/>
            </w:rPr>
            <w:tab/>
          </w:r>
          <w:r>
            <w:rPr>
              <w:b/>
              <w:bCs/>
              <w:spacing w:val="-13"/>
              <w:sz w:val="27"/>
              <w:szCs w:val="27"/>
            </w:rPr>
            <w:t>518</w:t>
          </w:r>
          <w:r>
            <w:rPr>
              <w:b/>
              <w:bCs/>
              <w:spacing w:val="-13"/>
              <w:sz w:val="27"/>
              <w:szCs w:val="27"/>
            </w:rPr>
            <w:fldChar w:fldCharType="end"/>
          </w:r>
        </w:p>
        <w:p w14:paraId="4DC7EC70">
          <w:pPr>
            <w:pStyle w:val="2"/>
            <w:tabs>
              <w:tab w:val="right" w:leader="dot" w:pos="9365"/>
            </w:tabs>
            <w:spacing w:before="26" w:line="368" w:lineRule="exact"/>
            <w:ind w:left="556"/>
            <w:rPr>
              <w:sz w:val="27"/>
              <w:szCs w:val="27"/>
            </w:rPr>
          </w:pPr>
          <w:r>
            <w:fldChar w:fldCharType="begin"/>
          </w:r>
          <w:r>
            <w:instrText xml:space="preserve"> HYPERLINK \l "bookmark243" </w:instrText>
          </w:r>
          <w:r>
            <w:fldChar w:fldCharType="separate"/>
          </w:r>
          <w:r>
            <w:rPr>
              <w:rFonts w:ascii="Times New Roman" w:hAnsi="Times New Roman" w:eastAsia="Times New Roman" w:cs="Times New Roman"/>
              <w:spacing w:val="-1"/>
              <w:position w:val="2"/>
              <w:sz w:val="27"/>
              <w:szCs w:val="27"/>
            </w:rPr>
            <w:t>11.1</w:t>
          </w:r>
          <w:r>
            <w:rPr>
              <w:rFonts w:ascii="Times New Roman" w:hAnsi="Times New Roman" w:eastAsia="Times New Roman" w:cs="Times New Roman"/>
              <w:spacing w:val="12"/>
              <w:position w:val="2"/>
              <w:sz w:val="27"/>
              <w:szCs w:val="27"/>
            </w:rPr>
            <w:t xml:space="preserve">     </w:t>
          </w:r>
          <w:r>
            <w:rPr>
              <w:rFonts w:ascii="仿宋" w:hAnsi="仿宋" w:eastAsia="仿宋" w:cs="仿宋"/>
              <w:spacing w:val="-1"/>
              <w:position w:val="2"/>
              <w:sz w:val="27"/>
              <w:szCs w:val="27"/>
            </w:rPr>
            <w:t>安全性大纲</w:t>
          </w:r>
          <w:r>
            <w:rPr>
              <w:rFonts w:ascii="仿宋" w:hAnsi="仿宋" w:eastAsia="仿宋" w:cs="仿宋"/>
              <w:position w:val="2"/>
              <w:sz w:val="27"/>
              <w:szCs w:val="27"/>
            </w:rPr>
            <w:tab/>
          </w:r>
          <w:r>
            <w:rPr>
              <w:spacing w:val="-3"/>
              <w:position w:val="2"/>
              <w:sz w:val="27"/>
              <w:szCs w:val="27"/>
            </w:rPr>
            <w:t>518</w:t>
          </w:r>
          <w:r>
            <w:rPr>
              <w:spacing w:val="-3"/>
              <w:position w:val="2"/>
              <w:sz w:val="27"/>
              <w:szCs w:val="27"/>
            </w:rPr>
            <w:fldChar w:fldCharType="end"/>
          </w:r>
        </w:p>
        <w:p w14:paraId="07E2FC2D">
          <w:pPr>
            <w:pStyle w:val="2"/>
            <w:tabs>
              <w:tab w:val="right" w:leader="dot" w:pos="9347"/>
            </w:tabs>
            <w:spacing w:before="42" w:line="368" w:lineRule="exact"/>
            <w:ind w:left="556"/>
            <w:rPr>
              <w:sz w:val="27"/>
              <w:szCs w:val="27"/>
            </w:rPr>
          </w:pPr>
          <w:r>
            <w:fldChar w:fldCharType="begin"/>
          </w:r>
          <w:r>
            <w:instrText xml:space="preserve"> HYPERLINK \l "bookmark244" </w:instrText>
          </w:r>
          <w:r>
            <w:fldChar w:fldCharType="separate"/>
          </w:r>
          <w:r>
            <w:rPr>
              <w:rFonts w:ascii="Times New Roman" w:hAnsi="Times New Roman" w:eastAsia="Times New Roman" w:cs="Times New Roman"/>
              <w:spacing w:val="1"/>
              <w:position w:val="2"/>
              <w:sz w:val="27"/>
              <w:szCs w:val="27"/>
            </w:rPr>
            <w:t>11.2</w:t>
          </w:r>
          <w:r>
            <w:rPr>
              <w:rFonts w:ascii="Times New Roman" w:hAnsi="Times New Roman" w:eastAsia="Times New Roman" w:cs="Times New Roman"/>
              <w:spacing w:val="9"/>
              <w:position w:val="2"/>
              <w:sz w:val="27"/>
              <w:szCs w:val="27"/>
            </w:rPr>
            <w:t xml:space="preserve">     </w:t>
          </w:r>
          <w:r>
            <w:rPr>
              <w:rFonts w:ascii="仿宋" w:hAnsi="仿宋" w:eastAsia="仿宋" w:cs="仿宋"/>
              <w:spacing w:val="1"/>
              <w:position w:val="2"/>
              <w:sz w:val="27"/>
              <w:szCs w:val="27"/>
            </w:rPr>
            <w:t>系统安全性工作计划</w:t>
          </w:r>
          <w:r>
            <w:rPr>
              <w:rFonts w:ascii="仿宋" w:hAnsi="仿宋" w:eastAsia="仿宋" w:cs="仿宋"/>
              <w:position w:val="2"/>
              <w:sz w:val="27"/>
              <w:szCs w:val="27"/>
            </w:rPr>
            <w:tab/>
          </w:r>
          <w:r>
            <w:rPr>
              <w:spacing w:val="-13"/>
              <w:position w:val="2"/>
              <w:sz w:val="27"/>
              <w:szCs w:val="27"/>
            </w:rPr>
            <w:t>534</w:t>
          </w:r>
          <w:r>
            <w:rPr>
              <w:spacing w:val="-13"/>
              <w:position w:val="2"/>
              <w:sz w:val="27"/>
              <w:szCs w:val="27"/>
            </w:rPr>
            <w:fldChar w:fldCharType="end"/>
          </w:r>
        </w:p>
        <w:p w14:paraId="5A517C6B">
          <w:pPr>
            <w:pStyle w:val="2"/>
            <w:tabs>
              <w:tab w:val="right" w:leader="dot" w:pos="9365"/>
            </w:tabs>
            <w:spacing w:before="42" w:line="368" w:lineRule="exact"/>
            <w:ind w:left="556"/>
            <w:rPr>
              <w:sz w:val="27"/>
              <w:szCs w:val="27"/>
            </w:rPr>
          </w:pPr>
          <w:r>
            <w:fldChar w:fldCharType="begin"/>
          </w:r>
          <w:r>
            <w:instrText xml:space="preserve"> HYPERLINK \l "bookmark245" </w:instrText>
          </w:r>
          <w:r>
            <w:fldChar w:fldCharType="separate"/>
          </w:r>
          <w:r>
            <w:rPr>
              <w:rFonts w:ascii="Times New Roman" w:hAnsi="Times New Roman" w:eastAsia="Times New Roman" w:cs="Times New Roman"/>
              <w:spacing w:val="3"/>
              <w:position w:val="2"/>
              <w:sz w:val="27"/>
              <w:szCs w:val="27"/>
            </w:rPr>
            <w:t xml:space="preserve">11.3     </w:t>
          </w:r>
          <w:r>
            <w:rPr>
              <w:rFonts w:ascii="仿宋" w:hAnsi="仿宋" w:eastAsia="仿宋" w:cs="仿宋"/>
              <w:spacing w:val="3"/>
              <w:position w:val="2"/>
              <w:sz w:val="27"/>
              <w:szCs w:val="27"/>
            </w:rPr>
            <w:t>系统安全性工作报告</w:t>
          </w:r>
          <w:r>
            <w:rPr>
              <w:rFonts w:ascii="仿宋" w:hAnsi="仿宋" w:eastAsia="仿宋" w:cs="仿宋"/>
              <w:spacing w:val="-111"/>
              <w:position w:val="2"/>
              <w:sz w:val="27"/>
              <w:szCs w:val="27"/>
            </w:rPr>
            <w:t xml:space="preserve"> </w:t>
          </w:r>
          <w:r>
            <w:rPr>
              <w:rFonts w:ascii="仿宋" w:hAnsi="仿宋" w:eastAsia="仿宋" w:cs="仿宋"/>
              <w:position w:val="2"/>
              <w:sz w:val="27"/>
              <w:szCs w:val="27"/>
            </w:rPr>
            <w:tab/>
          </w:r>
          <w:r>
            <w:rPr>
              <w:spacing w:val="-3"/>
              <w:position w:val="2"/>
              <w:sz w:val="27"/>
              <w:szCs w:val="27"/>
            </w:rPr>
            <w:t>536</w:t>
          </w:r>
          <w:r>
            <w:rPr>
              <w:spacing w:val="-3"/>
              <w:position w:val="2"/>
              <w:sz w:val="27"/>
              <w:szCs w:val="27"/>
            </w:rPr>
            <w:fldChar w:fldCharType="end"/>
          </w:r>
        </w:p>
        <w:p w14:paraId="789F05FF">
          <w:pPr>
            <w:pStyle w:val="2"/>
            <w:tabs>
              <w:tab w:val="right" w:leader="dot" w:pos="9347"/>
            </w:tabs>
            <w:spacing w:before="56" w:line="368" w:lineRule="exact"/>
            <w:ind w:left="556"/>
            <w:rPr>
              <w:sz w:val="27"/>
              <w:szCs w:val="27"/>
            </w:rPr>
          </w:pPr>
          <w:r>
            <w:fldChar w:fldCharType="begin"/>
          </w:r>
          <w:r>
            <w:instrText xml:space="preserve"> HYPERLINK \l "bookmark246" </w:instrText>
          </w:r>
          <w:r>
            <w:fldChar w:fldCharType="separate"/>
          </w:r>
          <w:r>
            <w:rPr>
              <w:rFonts w:ascii="Times New Roman" w:hAnsi="Times New Roman" w:eastAsia="Times New Roman" w:cs="Times New Roman"/>
              <w:spacing w:val="2"/>
              <w:position w:val="1"/>
              <w:sz w:val="27"/>
              <w:szCs w:val="27"/>
            </w:rPr>
            <w:t>11.4</w:t>
          </w:r>
          <w:r>
            <w:rPr>
              <w:rFonts w:ascii="Times New Roman" w:hAnsi="Times New Roman" w:eastAsia="Times New Roman" w:cs="Times New Roman"/>
              <w:spacing w:val="6"/>
              <w:position w:val="1"/>
              <w:sz w:val="27"/>
              <w:szCs w:val="27"/>
            </w:rPr>
            <w:t xml:space="preserve">     </w:t>
          </w:r>
          <w:r>
            <w:rPr>
              <w:rFonts w:ascii="仿宋" w:hAnsi="仿宋" w:eastAsia="仿宋" w:cs="仿宋"/>
              <w:spacing w:val="2"/>
              <w:position w:val="1"/>
              <w:sz w:val="27"/>
              <w:szCs w:val="27"/>
            </w:rPr>
            <w:t>初步危险表</w:t>
          </w:r>
          <w:r>
            <w:rPr>
              <w:rFonts w:ascii="仿宋" w:hAnsi="仿宋" w:eastAsia="仿宋" w:cs="仿宋"/>
              <w:position w:val="1"/>
              <w:sz w:val="27"/>
              <w:szCs w:val="27"/>
            </w:rPr>
            <w:tab/>
          </w:r>
          <w:r>
            <w:rPr>
              <w:spacing w:val="-13"/>
              <w:position w:val="1"/>
              <w:sz w:val="27"/>
              <w:szCs w:val="27"/>
            </w:rPr>
            <w:t>537</w:t>
          </w:r>
          <w:r>
            <w:rPr>
              <w:spacing w:val="-13"/>
              <w:position w:val="1"/>
              <w:sz w:val="27"/>
              <w:szCs w:val="27"/>
            </w:rPr>
            <w:fldChar w:fldCharType="end"/>
          </w:r>
        </w:p>
        <w:p w14:paraId="4A00078B">
          <w:pPr>
            <w:pStyle w:val="2"/>
            <w:tabs>
              <w:tab w:val="right" w:leader="dot" w:pos="9347"/>
            </w:tabs>
            <w:spacing w:before="30" w:line="368" w:lineRule="exact"/>
            <w:ind w:left="556"/>
            <w:rPr>
              <w:sz w:val="27"/>
              <w:szCs w:val="27"/>
            </w:rPr>
          </w:pPr>
          <w:r>
            <w:fldChar w:fldCharType="begin"/>
          </w:r>
          <w:r>
            <w:instrText xml:space="preserve"> HYPERLINK \l "bookmark247" </w:instrText>
          </w:r>
          <w:r>
            <w:fldChar w:fldCharType="separate"/>
          </w:r>
          <w:r>
            <w:rPr>
              <w:rFonts w:ascii="Times New Roman" w:hAnsi="Times New Roman" w:eastAsia="Times New Roman" w:cs="Times New Roman"/>
              <w:spacing w:val="2"/>
              <w:position w:val="1"/>
              <w:sz w:val="27"/>
              <w:szCs w:val="27"/>
            </w:rPr>
            <w:t>11.5</w:t>
          </w:r>
          <w:r>
            <w:rPr>
              <w:rFonts w:ascii="Times New Roman" w:hAnsi="Times New Roman" w:eastAsia="Times New Roman" w:cs="Times New Roman"/>
              <w:spacing w:val="7"/>
              <w:position w:val="1"/>
              <w:sz w:val="27"/>
              <w:szCs w:val="27"/>
            </w:rPr>
            <w:t xml:space="preserve">     </w:t>
          </w:r>
          <w:r>
            <w:rPr>
              <w:rFonts w:ascii="仿宋" w:hAnsi="仿宋" w:eastAsia="仿宋" w:cs="仿宋"/>
              <w:spacing w:val="2"/>
              <w:position w:val="1"/>
              <w:sz w:val="27"/>
              <w:szCs w:val="27"/>
            </w:rPr>
            <w:t>初步危险分析</w:t>
          </w:r>
          <w:r>
            <w:rPr>
              <w:rFonts w:ascii="仿宋" w:hAnsi="仿宋" w:eastAsia="仿宋" w:cs="仿宋"/>
              <w:spacing w:val="-122"/>
              <w:position w:val="1"/>
              <w:sz w:val="27"/>
              <w:szCs w:val="27"/>
            </w:rPr>
            <w:t xml:space="preserve"> </w:t>
          </w:r>
          <w:r>
            <w:rPr>
              <w:rFonts w:ascii="仿宋" w:hAnsi="仿宋" w:eastAsia="仿宋" w:cs="仿宋"/>
              <w:position w:val="1"/>
              <w:sz w:val="27"/>
              <w:szCs w:val="27"/>
            </w:rPr>
            <w:tab/>
          </w:r>
          <w:r>
            <w:rPr>
              <w:spacing w:val="-9"/>
              <w:position w:val="1"/>
              <w:sz w:val="27"/>
              <w:szCs w:val="27"/>
            </w:rPr>
            <w:t>537</w:t>
          </w:r>
          <w:r>
            <w:rPr>
              <w:spacing w:val="-9"/>
              <w:position w:val="1"/>
              <w:sz w:val="27"/>
              <w:szCs w:val="27"/>
            </w:rPr>
            <w:fldChar w:fldCharType="end"/>
          </w:r>
        </w:p>
        <w:p w14:paraId="6D10F384">
          <w:pPr>
            <w:pStyle w:val="2"/>
            <w:tabs>
              <w:tab w:val="right" w:leader="dot" w:pos="9347"/>
            </w:tabs>
            <w:spacing w:before="42" w:line="368" w:lineRule="exact"/>
            <w:ind w:left="556"/>
            <w:rPr>
              <w:sz w:val="27"/>
              <w:szCs w:val="27"/>
            </w:rPr>
          </w:pPr>
          <w:r>
            <w:fldChar w:fldCharType="begin"/>
          </w:r>
          <w:r>
            <w:instrText xml:space="preserve"> HYPERLINK \l "bookmark248" </w:instrText>
          </w:r>
          <w:r>
            <w:fldChar w:fldCharType="separate"/>
          </w:r>
          <w:r>
            <w:rPr>
              <w:rFonts w:ascii="Times New Roman" w:hAnsi="Times New Roman" w:eastAsia="Times New Roman" w:cs="Times New Roman"/>
              <w:spacing w:val="3"/>
              <w:position w:val="1"/>
              <w:sz w:val="27"/>
              <w:szCs w:val="27"/>
            </w:rPr>
            <w:t>11.6</w:t>
          </w:r>
          <w:r>
            <w:rPr>
              <w:rFonts w:ascii="Times New Roman" w:hAnsi="Times New Roman" w:eastAsia="Times New Roman" w:cs="Times New Roman"/>
              <w:spacing w:val="8"/>
              <w:position w:val="1"/>
              <w:sz w:val="27"/>
              <w:szCs w:val="27"/>
            </w:rPr>
            <w:t xml:space="preserve">     </w:t>
          </w:r>
          <w:r>
            <w:rPr>
              <w:rFonts w:ascii="仿宋" w:hAnsi="仿宋" w:eastAsia="仿宋" w:cs="仿宋"/>
              <w:spacing w:val="3"/>
              <w:position w:val="1"/>
              <w:sz w:val="27"/>
              <w:szCs w:val="27"/>
            </w:rPr>
            <w:t>分系统危险分析</w:t>
          </w:r>
          <w:r>
            <w:rPr>
              <w:rFonts w:ascii="仿宋" w:hAnsi="仿宋" w:eastAsia="仿宋" w:cs="仿宋"/>
              <w:spacing w:val="-119"/>
              <w:position w:val="1"/>
              <w:sz w:val="27"/>
              <w:szCs w:val="27"/>
            </w:rPr>
            <w:t xml:space="preserve"> </w:t>
          </w:r>
          <w:r>
            <w:rPr>
              <w:rFonts w:ascii="仿宋" w:hAnsi="仿宋" w:eastAsia="仿宋" w:cs="仿宋"/>
              <w:position w:val="1"/>
              <w:sz w:val="27"/>
              <w:szCs w:val="27"/>
            </w:rPr>
            <w:tab/>
          </w:r>
          <w:r>
            <w:rPr>
              <w:spacing w:val="-9"/>
              <w:position w:val="1"/>
              <w:sz w:val="27"/>
              <w:szCs w:val="27"/>
            </w:rPr>
            <w:t>539</w:t>
          </w:r>
          <w:r>
            <w:rPr>
              <w:spacing w:val="-9"/>
              <w:position w:val="1"/>
              <w:sz w:val="27"/>
              <w:szCs w:val="27"/>
            </w:rPr>
            <w:fldChar w:fldCharType="end"/>
          </w:r>
        </w:p>
        <w:p w14:paraId="3F022544">
          <w:pPr>
            <w:pStyle w:val="2"/>
            <w:tabs>
              <w:tab w:val="right" w:leader="dot" w:pos="9405"/>
            </w:tabs>
            <w:spacing w:before="42" w:line="368" w:lineRule="exact"/>
            <w:ind w:left="556"/>
            <w:rPr>
              <w:sz w:val="27"/>
              <w:szCs w:val="27"/>
            </w:rPr>
          </w:pPr>
          <w:r>
            <w:fldChar w:fldCharType="begin"/>
          </w:r>
          <w:r>
            <w:instrText xml:space="preserve"> HYPERLINK \l "bookmark249" </w:instrText>
          </w:r>
          <w:r>
            <w:fldChar w:fldCharType="separate"/>
          </w:r>
          <w:r>
            <w:rPr>
              <w:rFonts w:ascii="Times New Roman" w:hAnsi="Times New Roman" w:eastAsia="Times New Roman" w:cs="Times New Roman"/>
              <w:position w:val="1"/>
              <w:sz w:val="27"/>
              <w:szCs w:val="27"/>
            </w:rPr>
            <w:t xml:space="preserve">11.7      </w:t>
          </w:r>
          <w:r>
            <w:rPr>
              <w:rFonts w:ascii="仿宋" w:hAnsi="仿宋" w:eastAsia="仿宋" w:cs="仿宋"/>
              <w:position w:val="1"/>
              <w:sz w:val="27"/>
              <w:szCs w:val="27"/>
            </w:rPr>
            <w:t>系统危险分析</w:t>
          </w:r>
          <w:r>
            <w:rPr>
              <w:rFonts w:ascii="仿宋" w:hAnsi="仿宋" w:eastAsia="仿宋" w:cs="仿宋"/>
              <w:spacing w:val="-123"/>
              <w:position w:val="1"/>
              <w:sz w:val="27"/>
              <w:szCs w:val="27"/>
            </w:rPr>
            <w:t xml:space="preserve"> </w:t>
          </w:r>
          <w:r>
            <w:rPr>
              <w:rFonts w:ascii="仿宋" w:hAnsi="仿宋" w:eastAsia="仿宋" w:cs="仿宋"/>
              <w:position w:val="1"/>
              <w:sz w:val="27"/>
              <w:szCs w:val="27"/>
            </w:rPr>
            <w:tab/>
          </w:r>
          <w:r>
            <w:rPr>
              <w:spacing w:val="-7"/>
              <w:position w:val="1"/>
              <w:sz w:val="27"/>
              <w:szCs w:val="27"/>
            </w:rPr>
            <w:t>541</w:t>
          </w:r>
          <w:r>
            <w:rPr>
              <w:spacing w:val="-7"/>
              <w:position w:val="1"/>
              <w:sz w:val="27"/>
              <w:szCs w:val="27"/>
            </w:rPr>
            <w:fldChar w:fldCharType="end"/>
          </w:r>
        </w:p>
        <w:p w14:paraId="6DD4B333">
          <w:pPr>
            <w:pStyle w:val="2"/>
            <w:tabs>
              <w:tab w:val="right" w:leader="dot" w:pos="9347"/>
            </w:tabs>
            <w:spacing w:before="41" w:line="368" w:lineRule="exact"/>
            <w:ind w:left="556"/>
            <w:rPr>
              <w:sz w:val="27"/>
              <w:szCs w:val="27"/>
            </w:rPr>
          </w:pPr>
          <w:r>
            <w:fldChar w:fldCharType="begin"/>
          </w:r>
          <w:r>
            <w:instrText xml:space="preserve"> HYPERLINK \l "bookmark250" </w:instrText>
          </w:r>
          <w:r>
            <w:fldChar w:fldCharType="separate"/>
          </w:r>
          <w:r>
            <w:rPr>
              <w:rFonts w:ascii="Times New Roman" w:hAnsi="Times New Roman" w:eastAsia="Times New Roman" w:cs="Times New Roman"/>
              <w:spacing w:val="2"/>
              <w:position w:val="2"/>
              <w:sz w:val="27"/>
              <w:szCs w:val="27"/>
            </w:rPr>
            <w:t>11.8</w:t>
          </w:r>
          <w:r>
            <w:rPr>
              <w:rFonts w:ascii="Times New Roman" w:hAnsi="Times New Roman" w:eastAsia="Times New Roman" w:cs="Times New Roman"/>
              <w:spacing w:val="10"/>
              <w:position w:val="2"/>
              <w:sz w:val="27"/>
              <w:szCs w:val="27"/>
            </w:rPr>
            <w:t xml:space="preserve">     </w:t>
          </w:r>
          <w:r>
            <w:rPr>
              <w:rFonts w:ascii="仿宋" w:hAnsi="仿宋" w:eastAsia="仿宋" w:cs="仿宋"/>
              <w:spacing w:val="2"/>
              <w:position w:val="2"/>
              <w:sz w:val="27"/>
              <w:szCs w:val="27"/>
            </w:rPr>
            <w:t>使用和保障危险分析</w:t>
          </w:r>
          <w:r>
            <w:rPr>
              <w:rFonts w:ascii="仿宋" w:hAnsi="仿宋" w:eastAsia="仿宋" w:cs="仿宋"/>
              <w:spacing w:val="-122"/>
              <w:position w:val="2"/>
              <w:sz w:val="27"/>
              <w:szCs w:val="27"/>
            </w:rPr>
            <w:t xml:space="preserve"> </w:t>
          </w:r>
          <w:r>
            <w:rPr>
              <w:rFonts w:ascii="仿宋" w:hAnsi="仿宋" w:eastAsia="仿宋" w:cs="仿宋"/>
              <w:position w:val="2"/>
              <w:sz w:val="27"/>
              <w:szCs w:val="27"/>
            </w:rPr>
            <w:tab/>
          </w:r>
          <w:r>
            <w:rPr>
              <w:spacing w:val="-9"/>
              <w:position w:val="2"/>
              <w:sz w:val="27"/>
              <w:szCs w:val="27"/>
            </w:rPr>
            <w:t>543</w:t>
          </w:r>
          <w:r>
            <w:rPr>
              <w:spacing w:val="-9"/>
              <w:position w:val="2"/>
              <w:sz w:val="27"/>
              <w:szCs w:val="27"/>
            </w:rPr>
            <w:fldChar w:fldCharType="end"/>
          </w:r>
        </w:p>
        <w:p w14:paraId="0C977A14">
          <w:pPr>
            <w:pStyle w:val="2"/>
            <w:tabs>
              <w:tab w:val="right" w:leader="dot" w:pos="9347"/>
            </w:tabs>
            <w:spacing w:before="33" w:line="368" w:lineRule="exact"/>
            <w:ind w:left="556"/>
            <w:rPr>
              <w:sz w:val="27"/>
              <w:szCs w:val="27"/>
            </w:rPr>
          </w:pPr>
          <w:r>
            <w:fldChar w:fldCharType="begin"/>
          </w:r>
          <w:r>
            <w:instrText xml:space="preserve"> HYPERLINK \l "bookmark251" </w:instrText>
          </w:r>
          <w:r>
            <w:fldChar w:fldCharType="separate"/>
          </w:r>
          <w:r>
            <w:rPr>
              <w:rFonts w:ascii="Times New Roman" w:hAnsi="Times New Roman" w:eastAsia="Times New Roman" w:cs="Times New Roman"/>
              <w:spacing w:val="-2"/>
              <w:position w:val="1"/>
              <w:sz w:val="27"/>
              <w:szCs w:val="27"/>
            </w:rPr>
            <w:t>11.9</w:t>
          </w:r>
          <w:r>
            <w:rPr>
              <w:rFonts w:ascii="Times New Roman" w:hAnsi="Times New Roman" w:eastAsia="Times New Roman" w:cs="Times New Roman"/>
              <w:spacing w:val="14"/>
              <w:position w:val="1"/>
              <w:sz w:val="27"/>
              <w:szCs w:val="27"/>
            </w:rPr>
            <w:t xml:space="preserve">     </w:t>
          </w:r>
          <w:r>
            <w:rPr>
              <w:rFonts w:ascii="仿宋" w:hAnsi="仿宋" w:eastAsia="仿宋" w:cs="仿宋"/>
              <w:spacing w:val="-2"/>
              <w:position w:val="1"/>
              <w:sz w:val="27"/>
              <w:szCs w:val="27"/>
            </w:rPr>
            <w:t>职业健康危险分析</w:t>
          </w:r>
          <w:r>
            <w:rPr>
              <w:rFonts w:ascii="仿宋" w:hAnsi="仿宋" w:eastAsia="仿宋" w:cs="仿宋"/>
              <w:spacing w:val="-123"/>
              <w:position w:val="1"/>
              <w:sz w:val="27"/>
              <w:szCs w:val="27"/>
            </w:rPr>
            <w:t xml:space="preserve"> </w:t>
          </w:r>
          <w:r>
            <w:rPr>
              <w:rFonts w:ascii="仿宋" w:hAnsi="仿宋" w:eastAsia="仿宋" w:cs="仿宋"/>
              <w:position w:val="1"/>
              <w:sz w:val="27"/>
              <w:szCs w:val="27"/>
            </w:rPr>
            <w:tab/>
          </w:r>
          <w:r>
            <w:rPr>
              <w:spacing w:val="-10"/>
              <w:w w:val="98"/>
              <w:position w:val="1"/>
              <w:sz w:val="27"/>
              <w:szCs w:val="27"/>
            </w:rPr>
            <w:t>544</w:t>
          </w:r>
          <w:r>
            <w:rPr>
              <w:spacing w:val="-10"/>
              <w:w w:val="98"/>
              <w:position w:val="1"/>
              <w:sz w:val="27"/>
              <w:szCs w:val="27"/>
            </w:rPr>
            <w:fldChar w:fldCharType="end"/>
          </w:r>
        </w:p>
        <w:p w14:paraId="4A013923">
          <w:pPr>
            <w:pStyle w:val="2"/>
            <w:tabs>
              <w:tab w:val="right" w:leader="dot" w:pos="9345"/>
            </w:tabs>
            <w:spacing w:before="30" w:line="368" w:lineRule="exact"/>
            <w:ind w:left="556"/>
            <w:rPr>
              <w:sz w:val="27"/>
              <w:szCs w:val="27"/>
            </w:rPr>
          </w:pPr>
          <w:r>
            <w:fldChar w:fldCharType="begin"/>
          </w:r>
          <w:r>
            <w:instrText xml:space="preserve"> HYPERLINK \l "bookmark252" </w:instrText>
          </w:r>
          <w:r>
            <w:fldChar w:fldCharType="separate"/>
          </w:r>
          <w:r>
            <w:rPr>
              <w:rFonts w:ascii="Times New Roman" w:hAnsi="Times New Roman" w:eastAsia="Times New Roman" w:cs="Times New Roman"/>
              <w:position w:val="2"/>
              <w:sz w:val="27"/>
              <w:szCs w:val="27"/>
            </w:rPr>
            <w:t>11.10</w:t>
          </w:r>
          <w:r>
            <w:rPr>
              <w:rFonts w:ascii="Times New Roman" w:hAnsi="Times New Roman" w:eastAsia="Times New Roman" w:cs="Times New Roman"/>
              <w:spacing w:val="13"/>
              <w:position w:val="2"/>
              <w:sz w:val="27"/>
              <w:szCs w:val="27"/>
            </w:rPr>
            <w:t xml:space="preserve">     </w:t>
          </w:r>
          <w:r>
            <w:rPr>
              <w:rFonts w:ascii="仿宋" w:hAnsi="仿宋" w:eastAsia="仿宋" w:cs="仿宋"/>
              <w:position w:val="2"/>
              <w:sz w:val="27"/>
              <w:szCs w:val="27"/>
            </w:rPr>
            <w:t>安全性试验大纲</w:t>
          </w:r>
          <w:r>
            <w:rPr>
              <w:rFonts w:ascii="仿宋" w:hAnsi="仿宋" w:eastAsia="仿宋" w:cs="仿宋"/>
              <w:position w:val="2"/>
              <w:sz w:val="27"/>
              <w:szCs w:val="27"/>
            </w:rPr>
            <w:tab/>
          </w:r>
          <w:r>
            <w:rPr>
              <w:spacing w:val="-14"/>
              <w:position w:val="2"/>
              <w:sz w:val="27"/>
              <w:szCs w:val="27"/>
            </w:rPr>
            <w:t>545</w:t>
          </w:r>
          <w:r>
            <w:rPr>
              <w:spacing w:val="-14"/>
              <w:position w:val="2"/>
              <w:sz w:val="27"/>
              <w:szCs w:val="27"/>
            </w:rPr>
            <w:fldChar w:fldCharType="end"/>
          </w:r>
        </w:p>
        <w:p w14:paraId="700B79E4">
          <w:pPr>
            <w:pStyle w:val="2"/>
            <w:tabs>
              <w:tab w:val="right" w:leader="dot" w:pos="9345"/>
            </w:tabs>
            <w:spacing w:before="52" w:line="368" w:lineRule="exact"/>
            <w:ind w:left="556"/>
            <w:rPr>
              <w:sz w:val="27"/>
              <w:szCs w:val="27"/>
            </w:rPr>
          </w:pPr>
          <w:r>
            <w:fldChar w:fldCharType="begin"/>
          </w:r>
          <w:r>
            <w:instrText xml:space="preserve"> HYPERLINK \l "bookmark253" </w:instrText>
          </w:r>
          <w:r>
            <w:fldChar w:fldCharType="separate"/>
          </w:r>
          <w:r>
            <w:rPr>
              <w:rFonts w:ascii="Times New Roman" w:hAnsi="Times New Roman" w:eastAsia="Times New Roman" w:cs="Times New Roman"/>
              <w:spacing w:val="-1"/>
              <w:position w:val="2"/>
              <w:sz w:val="27"/>
              <w:szCs w:val="27"/>
            </w:rPr>
            <w:t>11.11</w:t>
          </w:r>
          <w:r>
            <w:rPr>
              <w:rFonts w:ascii="Times New Roman" w:hAnsi="Times New Roman" w:eastAsia="Times New Roman" w:cs="Times New Roman"/>
              <w:spacing w:val="14"/>
              <w:position w:val="2"/>
              <w:sz w:val="27"/>
              <w:szCs w:val="27"/>
            </w:rPr>
            <w:t xml:space="preserve">     </w:t>
          </w:r>
          <w:r>
            <w:rPr>
              <w:rFonts w:ascii="仿宋" w:hAnsi="仿宋" w:eastAsia="仿宋" w:cs="仿宋"/>
              <w:spacing w:val="-1"/>
              <w:position w:val="2"/>
              <w:sz w:val="27"/>
              <w:szCs w:val="27"/>
            </w:rPr>
            <w:t>安全性试验报告</w:t>
          </w:r>
          <w:r>
            <w:rPr>
              <w:rFonts w:ascii="仿宋" w:hAnsi="仿宋" w:eastAsia="仿宋" w:cs="仿宋"/>
              <w:spacing w:val="-120"/>
              <w:position w:val="2"/>
              <w:sz w:val="27"/>
              <w:szCs w:val="27"/>
            </w:rPr>
            <w:t xml:space="preserve"> </w:t>
          </w:r>
          <w:r>
            <w:rPr>
              <w:rFonts w:ascii="仿宋" w:hAnsi="仿宋" w:eastAsia="仿宋" w:cs="仿宋"/>
              <w:position w:val="2"/>
              <w:sz w:val="27"/>
              <w:szCs w:val="27"/>
            </w:rPr>
            <w:tab/>
          </w:r>
          <w:r>
            <w:rPr>
              <w:spacing w:val="-12"/>
              <w:position w:val="2"/>
              <w:sz w:val="27"/>
              <w:szCs w:val="27"/>
            </w:rPr>
            <w:t>545</w:t>
          </w:r>
          <w:r>
            <w:rPr>
              <w:spacing w:val="-12"/>
              <w:position w:val="2"/>
              <w:sz w:val="27"/>
              <w:szCs w:val="27"/>
            </w:rPr>
            <w:fldChar w:fldCharType="end"/>
          </w:r>
        </w:p>
        <w:p w14:paraId="6F6C6DA3">
          <w:pPr>
            <w:pStyle w:val="2"/>
            <w:tabs>
              <w:tab w:val="right" w:leader="dot" w:pos="9345"/>
            </w:tabs>
            <w:spacing w:before="32" w:line="368" w:lineRule="exact"/>
            <w:ind w:left="556"/>
            <w:rPr>
              <w:sz w:val="27"/>
              <w:szCs w:val="27"/>
            </w:rPr>
          </w:pPr>
          <w:r>
            <w:fldChar w:fldCharType="begin"/>
          </w:r>
          <w:r>
            <w:instrText xml:space="preserve"> HYPERLINK \l "bookmark254" </w:instrText>
          </w:r>
          <w:r>
            <w:fldChar w:fldCharType="separate"/>
          </w:r>
          <w:r>
            <w:rPr>
              <w:rFonts w:ascii="Times New Roman" w:hAnsi="Times New Roman" w:eastAsia="Times New Roman" w:cs="Times New Roman"/>
              <w:position w:val="2"/>
              <w:sz w:val="27"/>
              <w:szCs w:val="27"/>
            </w:rPr>
            <w:t>11.12</w:t>
          </w:r>
          <w:r>
            <w:rPr>
              <w:rFonts w:ascii="Times New Roman" w:hAnsi="Times New Roman" w:eastAsia="Times New Roman" w:cs="Times New Roman"/>
              <w:spacing w:val="14"/>
              <w:position w:val="2"/>
              <w:sz w:val="27"/>
              <w:szCs w:val="27"/>
            </w:rPr>
            <w:t xml:space="preserve">     </w:t>
          </w:r>
          <w:r>
            <w:rPr>
              <w:rFonts w:ascii="仿宋" w:hAnsi="仿宋" w:eastAsia="仿宋" w:cs="仿宋"/>
              <w:position w:val="2"/>
              <w:sz w:val="27"/>
              <w:szCs w:val="27"/>
            </w:rPr>
            <w:t>安全性评价报告</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9"/>
              <w:position w:val="2"/>
              <w:sz w:val="27"/>
              <w:szCs w:val="27"/>
            </w:rPr>
            <w:t>545</w:t>
          </w:r>
          <w:r>
            <w:rPr>
              <w:spacing w:val="-9"/>
              <w:position w:val="2"/>
              <w:sz w:val="27"/>
              <w:szCs w:val="27"/>
            </w:rPr>
            <w:fldChar w:fldCharType="end"/>
          </w:r>
        </w:p>
        <w:p w14:paraId="57A8069F">
          <w:pPr>
            <w:pStyle w:val="2"/>
            <w:tabs>
              <w:tab w:val="right" w:leader="dot" w:pos="9347"/>
            </w:tabs>
            <w:spacing w:before="62" w:line="368" w:lineRule="exact"/>
            <w:ind w:left="556"/>
            <w:rPr>
              <w:sz w:val="27"/>
              <w:szCs w:val="27"/>
            </w:rPr>
          </w:pPr>
          <w:r>
            <w:fldChar w:fldCharType="begin"/>
          </w:r>
          <w:r>
            <w:instrText xml:space="preserve"> HYPERLINK \l "bookmark255" </w:instrText>
          </w:r>
          <w:r>
            <w:fldChar w:fldCharType="separate"/>
          </w:r>
          <w:r>
            <w:rPr>
              <w:rFonts w:ascii="Times New Roman" w:hAnsi="Times New Roman" w:eastAsia="Times New Roman" w:cs="Times New Roman"/>
              <w:position w:val="1"/>
              <w:sz w:val="27"/>
              <w:szCs w:val="27"/>
            </w:rPr>
            <w:t>11.13</w:t>
          </w:r>
          <w:r>
            <w:rPr>
              <w:rFonts w:ascii="Times New Roman" w:hAnsi="Times New Roman" w:eastAsia="Times New Roman" w:cs="Times New Roman"/>
              <w:spacing w:val="14"/>
              <w:position w:val="1"/>
              <w:sz w:val="27"/>
              <w:szCs w:val="27"/>
            </w:rPr>
            <w:t xml:space="preserve">     </w:t>
          </w:r>
          <w:r>
            <w:rPr>
              <w:rFonts w:ascii="仿宋" w:hAnsi="仿宋" w:eastAsia="仿宋" w:cs="仿宋"/>
              <w:position w:val="1"/>
              <w:sz w:val="27"/>
              <w:szCs w:val="27"/>
            </w:rPr>
            <w:t>安全性符合有关规定的评价</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9"/>
              <w:position w:val="1"/>
              <w:sz w:val="27"/>
              <w:szCs w:val="27"/>
            </w:rPr>
            <w:t>547</w:t>
          </w:r>
          <w:r>
            <w:rPr>
              <w:spacing w:val="-9"/>
              <w:position w:val="1"/>
              <w:sz w:val="27"/>
              <w:szCs w:val="27"/>
            </w:rPr>
            <w:fldChar w:fldCharType="end"/>
          </w:r>
        </w:p>
        <w:p w14:paraId="5344C9BD">
          <w:pPr>
            <w:pStyle w:val="2"/>
            <w:tabs>
              <w:tab w:val="right" w:leader="dot" w:pos="9365"/>
            </w:tabs>
            <w:spacing w:before="32" w:line="368" w:lineRule="exact"/>
            <w:ind w:left="556"/>
            <w:rPr>
              <w:sz w:val="27"/>
              <w:szCs w:val="27"/>
            </w:rPr>
          </w:pPr>
          <w:r>
            <w:fldChar w:fldCharType="begin"/>
          </w:r>
          <w:r>
            <w:instrText xml:space="preserve"> HYPERLINK \l "bookmark256" </w:instrText>
          </w:r>
          <w:r>
            <w:fldChar w:fldCharType="separate"/>
          </w:r>
          <w:r>
            <w:rPr>
              <w:rFonts w:ascii="Times New Roman" w:hAnsi="Times New Roman" w:eastAsia="Times New Roman" w:cs="Times New Roman"/>
              <w:spacing w:val="-2"/>
              <w:position w:val="2"/>
              <w:sz w:val="27"/>
              <w:szCs w:val="27"/>
            </w:rPr>
            <w:t xml:space="preserve">11.14      </w:t>
          </w:r>
          <w:r>
            <w:rPr>
              <w:rFonts w:ascii="仿宋" w:hAnsi="仿宋" w:eastAsia="仿宋" w:cs="仿宋"/>
              <w:spacing w:val="-2"/>
              <w:position w:val="2"/>
              <w:sz w:val="27"/>
              <w:szCs w:val="27"/>
            </w:rPr>
            <w:t>安全性培训</w:t>
          </w:r>
          <w:r>
            <w:rPr>
              <w:rFonts w:ascii="仿宋" w:hAnsi="仿宋" w:eastAsia="仿宋" w:cs="仿宋"/>
              <w:position w:val="2"/>
              <w:sz w:val="27"/>
              <w:szCs w:val="27"/>
            </w:rPr>
            <w:tab/>
          </w:r>
          <w:r>
            <w:rPr>
              <w:spacing w:val="-3"/>
              <w:position w:val="2"/>
              <w:sz w:val="27"/>
              <w:szCs w:val="27"/>
            </w:rPr>
            <w:t>548</w:t>
          </w:r>
          <w:r>
            <w:rPr>
              <w:spacing w:val="-3"/>
              <w:position w:val="2"/>
              <w:sz w:val="27"/>
              <w:szCs w:val="27"/>
            </w:rPr>
            <w:fldChar w:fldCharType="end"/>
          </w:r>
        </w:p>
        <w:p w14:paraId="01056B0C">
          <w:pPr>
            <w:pStyle w:val="2"/>
            <w:tabs>
              <w:tab w:val="right" w:leader="dot" w:pos="9345"/>
            </w:tabs>
            <w:spacing w:before="44" w:line="368" w:lineRule="exact"/>
            <w:ind w:left="556"/>
            <w:rPr>
              <w:sz w:val="27"/>
              <w:szCs w:val="27"/>
            </w:rPr>
          </w:pPr>
          <w:r>
            <w:fldChar w:fldCharType="begin"/>
          </w:r>
          <w:r>
            <w:instrText xml:space="preserve"> HYPERLINK \l "bookmark257" </w:instrText>
          </w:r>
          <w:r>
            <w:fldChar w:fldCharType="separate"/>
          </w:r>
          <w:r>
            <w:rPr>
              <w:rFonts w:ascii="Times New Roman" w:hAnsi="Times New Roman" w:eastAsia="Times New Roman" w:cs="Times New Roman"/>
              <w:spacing w:val="-1"/>
              <w:position w:val="1"/>
              <w:sz w:val="27"/>
              <w:szCs w:val="27"/>
            </w:rPr>
            <w:t>11.15</w:t>
          </w:r>
          <w:r>
            <w:rPr>
              <w:rFonts w:ascii="Times New Roman" w:hAnsi="Times New Roman" w:eastAsia="Times New Roman" w:cs="Times New Roman"/>
              <w:spacing w:val="9"/>
              <w:position w:val="1"/>
              <w:sz w:val="27"/>
              <w:szCs w:val="27"/>
            </w:rPr>
            <w:t xml:space="preserve">     </w:t>
          </w:r>
          <w:r>
            <w:rPr>
              <w:rFonts w:ascii="仿宋" w:hAnsi="仿宋" w:eastAsia="仿宋" w:cs="仿宋"/>
              <w:spacing w:val="-1"/>
              <w:position w:val="1"/>
              <w:sz w:val="27"/>
              <w:szCs w:val="27"/>
            </w:rPr>
            <w:t>软件需求危险分析</w:t>
          </w:r>
          <w:r>
            <w:rPr>
              <w:rFonts w:ascii="仿宋" w:hAnsi="仿宋" w:eastAsia="仿宋" w:cs="仿宋"/>
              <w:spacing w:val="37"/>
              <w:position w:val="1"/>
              <w:sz w:val="27"/>
              <w:szCs w:val="27"/>
            </w:rPr>
            <w:t xml:space="preserve"> </w:t>
          </w:r>
          <w:r>
            <w:rPr>
              <w:rFonts w:ascii="仿宋" w:hAnsi="仿宋" w:eastAsia="仿宋" w:cs="仿宋"/>
              <w:position w:val="1"/>
              <w:sz w:val="27"/>
              <w:szCs w:val="27"/>
            </w:rPr>
            <w:tab/>
          </w:r>
          <w:r>
            <w:rPr>
              <w:spacing w:val="-16"/>
              <w:position w:val="1"/>
              <w:sz w:val="27"/>
              <w:szCs w:val="27"/>
            </w:rPr>
            <w:t>549</w:t>
          </w:r>
          <w:r>
            <w:rPr>
              <w:spacing w:val="-16"/>
              <w:position w:val="1"/>
              <w:sz w:val="27"/>
              <w:szCs w:val="27"/>
            </w:rPr>
            <w:fldChar w:fldCharType="end"/>
          </w:r>
        </w:p>
        <w:p w14:paraId="3C8670D7">
          <w:pPr>
            <w:pStyle w:val="2"/>
            <w:tabs>
              <w:tab w:val="right" w:leader="dot" w:pos="9347"/>
            </w:tabs>
            <w:spacing w:before="42" w:line="368" w:lineRule="exact"/>
            <w:ind w:left="556"/>
            <w:rPr>
              <w:sz w:val="27"/>
              <w:szCs w:val="27"/>
            </w:rPr>
          </w:pPr>
          <w:r>
            <w:fldChar w:fldCharType="begin"/>
          </w:r>
          <w:r>
            <w:instrText xml:space="preserve"> HYPERLINK \l "bookmark258" </w:instrText>
          </w:r>
          <w:r>
            <w:fldChar w:fldCharType="separate"/>
          </w:r>
          <w:r>
            <w:rPr>
              <w:rFonts w:ascii="Times New Roman" w:hAnsi="Times New Roman" w:eastAsia="Times New Roman" w:cs="Times New Roman"/>
              <w:spacing w:val="-3"/>
              <w:position w:val="1"/>
              <w:sz w:val="27"/>
              <w:szCs w:val="27"/>
            </w:rPr>
            <w:t xml:space="preserve">11.16      </w:t>
          </w:r>
          <w:r>
            <w:rPr>
              <w:rFonts w:ascii="仿宋" w:hAnsi="仿宋" w:eastAsia="仿宋" w:cs="仿宋"/>
              <w:spacing w:val="-3"/>
              <w:position w:val="1"/>
              <w:sz w:val="27"/>
              <w:szCs w:val="27"/>
            </w:rPr>
            <w:t>概要设计危险分析</w:t>
          </w:r>
          <w:r>
            <w:rPr>
              <w:rFonts w:ascii="仿宋" w:hAnsi="仿宋" w:eastAsia="仿宋" w:cs="仿宋"/>
              <w:spacing w:val="28"/>
              <w:position w:val="1"/>
              <w:sz w:val="27"/>
              <w:szCs w:val="27"/>
            </w:rPr>
            <w:t xml:space="preserve"> </w:t>
          </w:r>
          <w:r>
            <w:rPr>
              <w:rFonts w:ascii="仿宋" w:hAnsi="仿宋" w:eastAsia="仿宋" w:cs="仿宋"/>
              <w:position w:val="1"/>
              <w:sz w:val="27"/>
              <w:szCs w:val="27"/>
            </w:rPr>
            <w:tab/>
          </w:r>
          <w:r>
            <w:rPr>
              <w:spacing w:val="-9"/>
              <w:position w:val="1"/>
              <w:sz w:val="27"/>
              <w:szCs w:val="27"/>
            </w:rPr>
            <w:t>550</w:t>
          </w:r>
          <w:r>
            <w:rPr>
              <w:spacing w:val="-9"/>
              <w:position w:val="1"/>
              <w:sz w:val="27"/>
              <w:szCs w:val="27"/>
            </w:rPr>
            <w:fldChar w:fldCharType="end"/>
          </w:r>
        </w:p>
        <w:p w14:paraId="263024A0">
          <w:pPr>
            <w:pStyle w:val="2"/>
            <w:tabs>
              <w:tab w:val="right" w:leader="dot" w:pos="9365"/>
            </w:tabs>
            <w:spacing w:before="31" w:line="368" w:lineRule="exact"/>
            <w:ind w:left="556"/>
            <w:rPr>
              <w:sz w:val="27"/>
              <w:szCs w:val="27"/>
            </w:rPr>
          </w:pPr>
          <w:r>
            <w:fldChar w:fldCharType="begin"/>
          </w:r>
          <w:r>
            <w:instrText xml:space="preserve"> HYPERLINK \l "bookmark259" </w:instrText>
          </w:r>
          <w:r>
            <w:fldChar w:fldCharType="separate"/>
          </w:r>
          <w:r>
            <w:rPr>
              <w:rFonts w:ascii="Times New Roman" w:hAnsi="Times New Roman" w:eastAsia="Times New Roman" w:cs="Times New Roman"/>
              <w:spacing w:val="-1"/>
              <w:position w:val="2"/>
              <w:sz w:val="27"/>
              <w:szCs w:val="27"/>
            </w:rPr>
            <w:t>11.17</w:t>
          </w:r>
          <w:r>
            <w:rPr>
              <w:rFonts w:ascii="Times New Roman" w:hAnsi="Times New Roman" w:eastAsia="Times New Roman" w:cs="Times New Roman"/>
              <w:spacing w:val="11"/>
              <w:position w:val="2"/>
              <w:sz w:val="27"/>
              <w:szCs w:val="27"/>
            </w:rPr>
            <w:t xml:space="preserve">     </w:t>
          </w:r>
          <w:r>
            <w:rPr>
              <w:rFonts w:ascii="仿宋" w:hAnsi="仿宋" w:eastAsia="仿宋" w:cs="仿宋"/>
              <w:spacing w:val="-1"/>
              <w:position w:val="2"/>
              <w:sz w:val="27"/>
              <w:szCs w:val="27"/>
            </w:rPr>
            <w:t>详细设计危险分析</w:t>
          </w:r>
          <w:r>
            <w:rPr>
              <w:rFonts w:ascii="仿宋" w:hAnsi="仿宋" w:eastAsia="仿宋" w:cs="仿宋"/>
              <w:spacing w:val="36"/>
              <w:position w:val="2"/>
              <w:sz w:val="27"/>
              <w:szCs w:val="27"/>
            </w:rPr>
            <w:t xml:space="preserve"> </w:t>
          </w:r>
          <w:r>
            <w:rPr>
              <w:rFonts w:ascii="仿宋" w:hAnsi="仿宋" w:eastAsia="仿宋" w:cs="仿宋"/>
              <w:position w:val="2"/>
              <w:sz w:val="27"/>
              <w:szCs w:val="27"/>
            </w:rPr>
            <w:tab/>
          </w:r>
          <w:r>
            <w:rPr>
              <w:spacing w:val="-3"/>
              <w:position w:val="2"/>
              <w:sz w:val="27"/>
              <w:szCs w:val="27"/>
            </w:rPr>
            <w:t>552</w:t>
          </w:r>
          <w:r>
            <w:rPr>
              <w:spacing w:val="-3"/>
              <w:position w:val="2"/>
              <w:sz w:val="27"/>
              <w:szCs w:val="27"/>
            </w:rPr>
            <w:fldChar w:fldCharType="end"/>
          </w:r>
        </w:p>
        <w:p w14:paraId="5B884FEF">
          <w:pPr>
            <w:pStyle w:val="2"/>
            <w:tabs>
              <w:tab w:val="right" w:leader="dot" w:pos="9347"/>
            </w:tabs>
            <w:spacing w:before="43" w:line="368" w:lineRule="exact"/>
            <w:ind w:left="556"/>
            <w:rPr>
              <w:sz w:val="27"/>
              <w:szCs w:val="27"/>
            </w:rPr>
          </w:pPr>
          <w:r>
            <w:fldChar w:fldCharType="begin"/>
          </w:r>
          <w:r>
            <w:instrText xml:space="preserve"> HYPERLINK \l "bookmark260" </w:instrText>
          </w:r>
          <w:r>
            <w:fldChar w:fldCharType="separate"/>
          </w:r>
          <w:r>
            <w:rPr>
              <w:rFonts w:ascii="Times New Roman" w:hAnsi="Times New Roman" w:eastAsia="Times New Roman" w:cs="Times New Roman"/>
              <w:spacing w:val="-1"/>
              <w:position w:val="1"/>
              <w:sz w:val="27"/>
              <w:szCs w:val="27"/>
            </w:rPr>
            <w:t>11.18</w:t>
          </w:r>
          <w:r>
            <w:rPr>
              <w:rFonts w:ascii="Times New Roman" w:hAnsi="Times New Roman" w:eastAsia="Times New Roman" w:cs="Times New Roman"/>
              <w:spacing w:val="11"/>
              <w:position w:val="1"/>
              <w:sz w:val="27"/>
              <w:szCs w:val="27"/>
            </w:rPr>
            <w:t xml:space="preserve">     </w:t>
          </w:r>
          <w:r>
            <w:rPr>
              <w:rFonts w:ascii="仿宋" w:hAnsi="仿宋" w:eastAsia="仿宋" w:cs="仿宋"/>
              <w:spacing w:val="-1"/>
              <w:position w:val="1"/>
              <w:sz w:val="27"/>
              <w:szCs w:val="27"/>
            </w:rPr>
            <w:t>软件编程危险分析</w:t>
          </w:r>
          <w:r>
            <w:rPr>
              <w:rFonts w:ascii="仿宋" w:hAnsi="仿宋" w:eastAsia="仿宋" w:cs="仿宋"/>
              <w:spacing w:val="36"/>
              <w:position w:val="1"/>
              <w:sz w:val="27"/>
              <w:szCs w:val="27"/>
            </w:rPr>
            <w:t xml:space="preserve"> </w:t>
          </w:r>
          <w:r>
            <w:rPr>
              <w:rFonts w:ascii="仿宋" w:hAnsi="仿宋" w:eastAsia="仿宋" w:cs="仿宋"/>
              <w:position w:val="1"/>
              <w:sz w:val="27"/>
              <w:szCs w:val="27"/>
            </w:rPr>
            <w:tab/>
          </w:r>
          <w:r>
            <w:rPr>
              <w:spacing w:val="-9"/>
              <w:position w:val="1"/>
              <w:sz w:val="27"/>
              <w:szCs w:val="27"/>
            </w:rPr>
            <w:t>553</w:t>
          </w:r>
          <w:r>
            <w:rPr>
              <w:spacing w:val="-9"/>
              <w:position w:val="1"/>
              <w:sz w:val="27"/>
              <w:szCs w:val="27"/>
            </w:rPr>
            <w:fldChar w:fldCharType="end"/>
          </w:r>
        </w:p>
        <w:p w14:paraId="63563350">
          <w:pPr>
            <w:pStyle w:val="2"/>
            <w:tabs>
              <w:tab w:val="right" w:leader="dot" w:pos="9347"/>
            </w:tabs>
            <w:spacing w:before="20" w:line="368" w:lineRule="exact"/>
            <w:ind w:left="556"/>
            <w:rPr>
              <w:sz w:val="27"/>
              <w:szCs w:val="27"/>
            </w:rPr>
          </w:pPr>
          <w:r>
            <w:fldChar w:fldCharType="begin"/>
          </w:r>
          <w:r>
            <w:instrText xml:space="preserve"> HYPERLINK \l "bookmark261" </w:instrText>
          </w:r>
          <w:r>
            <w:fldChar w:fldCharType="separate"/>
          </w:r>
          <w:r>
            <w:rPr>
              <w:rFonts w:ascii="Times New Roman" w:hAnsi="Times New Roman" w:eastAsia="Times New Roman" w:cs="Times New Roman"/>
              <w:spacing w:val="-1"/>
              <w:position w:val="2"/>
              <w:sz w:val="27"/>
              <w:szCs w:val="27"/>
            </w:rPr>
            <w:t xml:space="preserve">11.19      </w:t>
          </w:r>
          <w:r>
            <w:rPr>
              <w:rFonts w:ascii="仿宋" w:hAnsi="仿宋" w:eastAsia="仿宋" w:cs="仿宋"/>
              <w:spacing w:val="-1"/>
              <w:position w:val="2"/>
              <w:sz w:val="27"/>
              <w:szCs w:val="27"/>
            </w:rPr>
            <w:t>软件安全性测试</w:t>
          </w:r>
          <w:r>
            <w:rPr>
              <w:rFonts w:ascii="仿宋" w:hAnsi="仿宋" w:eastAsia="仿宋" w:cs="仿宋"/>
              <w:spacing w:val="39"/>
              <w:position w:val="2"/>
              <w:sz w:val="27"/>
              <w:szCs w:val="27"/>
            </w:rPr>
            <w:t xml:space="preserve"> </w:t>
          </w:r>
          <w:r>
            <w:rPr>
              <w:rFonts w:ascii="仿宋" w:hAnsi="仿宋" w:eastAsia="仿宋" w:cs="仿宋"/>
              <w:position w:val="2"/>
              <w:sz w:val="27"/>
              <w:szCs w:val="27"/>
            </w:rPr>
            <w:tab/>
          </w:r>
          <w:r>
            <w:rPr>
              <w:spacing w:val="-12"/>
              <w:position w:val="2"/>
              <w:sz w:val="27"/>
              <w:szCs w:val="27"/>
            </w:rPr>
            <w:t>554</w:t>
          </w:r>
          <w:r>
            <w:rPr>
              <w:spacing w:val="-12"/>
              <w:position w:val="2"/>
              <w:sz w:val="27"/>
              <w:szCs w:val="27"/>
            </w:rPr>
            <w:fldChar w:fldCharType="end"/>
          </w:r>
        </w:p>
        <w:p w14:paraId="535C4CB2">
          <w:pPr>
            <w:pStyle w:val="2"/>
            <w:tabs>
              <w:tab w:val="right" w:leader="dot" w:pos="9345"/>
            </w:tabs>
            <w:spacing w:before="64" w:line="368" w:lineRule="exact"/>
            <w:ind w:left="556"/>
            <w:rPr>
              <w:sz w:val="27"/>
              <w:szCs w:val="27"/>
            </w:rPr>
          </w:pPr>
          <w:r>
            <w:fldChar w:fldCharType="begin"/>
          </w:r>
          <w:r>
            <w:instrText xml:space="preserve"> HYPERLINK \l "bookmark262" </w:instrText>
          </w:r>
          <w:r>
            <w:fldChar w:fldCharType="separate"/>
          </w:r>
          <w:r>
            <w:rPr>
              <w:rFonts w:ascii="Times New Roman" w:hAnsi="Times New Roman" w:eastAsia="Times New Roman" w:cs="Times New Roman"/>
              <w:spacing w:val="-2"/>
              <w:position w:val="1"/>
              <w:sz w:val="27"/>
              <w:szCs w:val="27"/>
            </w:rPr>
            <w:t>11.20</w:t>
          </w:r>
          <w:r>
            <w:rPr>
              <w:rFonts w:ascii="Times New Roman" w:hAnsi="Times New Roman" w:eastAsia="Times New Roman" w:cs="Times New Roman"/>
              <w:spacing w:val="13"/>
              <w:position w:val="1"/>
              <w:sz w:val="27"/>
              <w:szCs w:val="27"/>
            </w:rPr>
            <w:t xml:space="preserve">     </w:t>
          </w:r>
          <w:r>
            <w:rPr>
              <w:rFonts w:ascii="仿宋" w:hAnsi="仿宋" w:eastAsia="仿宋" w:cs="仿宋"/>
              <w:spacing w:val="-2"/>
              <w:position w:val="1"/>
              <w:sz w:val="27"/>
              <w:szCs w:val="27"/>
            </w:rPr>
            <w:t>软件与用户接口危险分析</w:t>
          </w:r>
          <w:r>
            <w:rPr>
              <w:rFonts w:ascii="仿宋" w:hAnsi="仿宋" w:eastAsia="仿宋" w:cs="仿宋"/>
              <w:spacing w:val="35"/>
              <w:position w:val="1"/>
              <w:sz w:val="27"/>
              <w:szCs w:val="27"/>
            </w:rPr>
            <w:t xml:space="preserve"> </w:t>
          </w:r>
          <w:r>
            <w:rPr>
              <w:rFonts w:ascii="仿宋" w:hAnsi="仿宋" w:eastAsia="仿宋" w:cs="仿宋"/>
              <w:position w:val="1"/>
              <w:sz w:val="27"/>
              <w:szCs w:val="27"/>
            </w:rPr>
            <w:tab/>
          </w:r>
          <w:r>
            <w:rPr>
              <w:spacing w:val="-16"/>
              <w:position w:val="1"/>
              <w:sz w:val="27"/>
              <w:szCs w:val="27"/>
            </w:rPr>
            <w:t>555</w:t>
          </w:r>
          <w:r>
            <w:rPr>
              <w:spacing w:val="-16"/>
              <w:position w:val="1"/>
              <w:sz w:val="27"/>
              <w:szCs w:val="27"/>
            </w:rPr>
            <w:fldChar w:fldCharType="end"/>
          </w:r>
        </w:p>
        <w:p w14:paraId="21B88B22">
          <w:pPr>
            <w:pStyle w:val="2"/>
            <w:tabs>
              <w:tab w:val="right" w:leader="dot" w:pos="9347"/>
            </w:tabs>
            <w:spacing w:before="22" w:line="368" w:lineRule="exact"/>
            <w:ind w:left="556"/>
            <w:rPr>
              <w:sz w:val="27"/>
              <w:szCs w:val="27"/>
            </w:rPr>
          </w:pPr>
          <w:r>
            <w:fldChar w:fldCharType="begin"/>
          </w:r>
          <w:r>
            <w:instrText xml:space="preserve"> HYPERLINK \l "bookmark263" </w:instrText>
          </w:r>
          <w:r>
            <w:fldChar w:fldCharType="separate"/>
          </w:r>
          <w:r>
            <w:rPr>
              <w:rFonts w:ascii="Times New Roman" w:hAnsi="Times New Roman" w:eastAsia="Times New Roman" w:cs="Times New Roman"/>
              <w:spacing w:val="-1"/>
              <w:position w:val="1"/>
              <w:sz w:val="27"/>
              <w:szCs w:val="27"/>
            </w:rPr>
            <w:t>11.21</w:t>
          </w:r>
          <w:r>
            <w:rPr>
              <w:rFonts w:ascii="Times New Roman" w:hAnsi="Times New Roman" w:eastAsia="Times New Roman" w:cs="Times New Roman"/>
              <w:spacing w:val="11"/>
              <w:position w:val="1"/>
              <w:sz w:val="27"/>
              <w:szCs w:val="27"/>
            </w:rPr>
            <w:t xml:space="preserve">     </w:t>
          </w:r>
          <w:r>
            <w:rPr>
              <w:rFonts w:ascii="仿宋" w:hAnsi="仿宋" w:eastAsia="仿宋" w:cs="仿宋"/>
              <w:spacing w:val="-1"/>
              <w:position w:val="1"/>
              <w:sz w:val="27"/>
              <w:szCs w:val="27"/>
            </w:rPr>
            <w:t>软件更改危险分析</w:t>
          </w:r>
          <w:r>
            <w:rPr>
              <w:rFonts w:ascii="仿宋" w:hAnsi="仿宋" w:eastAsia="仿宋" w:cs="仿宋"/>
              <w:spacing w:val="36"/>
              <w:position w:val="1"/>
              <w:sz w:val="27"/>
              <w:szCs w:val="27"/>
            </w:rPr>
            <w:t xml:space="preserve"> </w:t>
          </w:r>
          <w:r>
            <w:rPr>
              <w:rFonts w:ascii="仿宋" w:hAnsi="仿宋" w:eastAsia="仿宋" w:cs="仿宋"/>
              <w:position w:val="1"/>
              <w:sz w:val="27"/>
              <w:szCs w:val="27"/>
            </w:rPr>
            <w:tab/>
          </w:r>
          <w:r>
            <w:rPr>
              <w:spacing w:val="-12"/>
              <w:position w:val="1"/>
              <w:sz w:val="27"/>
              <w:szCs w:val="27"/>
            </w:rPr>
            <w:t>556</w:t>
          </w:r>
          <w:r>
            <w:rPr>
              <w:spacing w:val="-12"/>
              <w:position w:val="1"/>
              <w:sz w:val="27"/>
              <w:szCs w:val="27"/>
            </w:rPr>
            <w:fldChar w:fldCharType="end"/>
          </w:r>
        </w:p>
        <w:p w14:paraId="2D4EF8EA">
          <w:pPr>
            <w:pStyle w:val="2"/>
            <w:tabs>
              <w:tab w:val="right" w:leader="dot" w:pos="9347"/>
            </w:tabs>
            <w:spacing w:before="98" w:line="222" w:lineRule="auto"/>
            <w:rPr>
              <w:sz w:val="27"/>
              <w:szCs w:val="27"/>
            </w:rPr>
          </w:pPr>
          <w:r>
            <w:fldChar w:fldCharType="begin"/>
          </w:r>
          <w:r>
            <w:instrText xml:space="preserve"> HYPERLINK \l "bookmark264" </w:instrText>
          </w:r>
          <w:r>
            <w:fldChar w:fldCharType="separate"/>
          </w:r>
          <w:r>
            <w:rPr>
              <w:rFonts w:ascii="黑体" w:hAnsi="黑体" w:eastAsia="黑体" w:cs="黑体"/>
              <w:b/>
              <w:bCs/>
              <w:spacing w:val="26"/>
              <w:sz w:val="27"/>
              <w:szCs w:val="27"/>
            </w:rPr>
            <w:t>第12章</w:t>
          </w:r>
          <w:r>
            <w:rPr>
              <w:rFonts w:ascii="黑体" w:hAnsi="黑体" w:eastAsia="黑体" w:cs="黑体"/>
              <w:spacing w:val="26"/>
              <w:sz w:val="27"/>
              <w:szCs w:val="27"/>
            </w:rPr>
            <w:t xml:space="preserve"> </w:t>
          </w:r>
          <w:r>
            <w:rPr>
              <w:rFonts w:ascii="黑体" w:hAnsi="黑体" w:eastAsia="黑体" w:cs="黑体"/>
              <w:b/>
              <w:bCs/>
              <w:spacing w:val="26"/>
              <w:sz w:val="27"/>
              <w:szCs w:val="27"/>
            </w:rPr>
            <w:t>环境适应性文件</w:t>
          </w:r>
          <w:r>
            <w:rPr>
              <w:rFonts w:ascii="黑体" w:hAnsi="黑体" w:eastAsia="黑体" w:cs="黑体"/>
              <w:b/>
              <w:bCs/>
              <w:sz w:val="27"/>
              <w:szCs w:val="27"/>
            </w:rPr>
            <w:tab/>
          </w:r>
          <w:r>
            <w:rPr>
              <w:b/>
              <w:bCs/>
              <w:spacing w:val="-10"/>
              <w:sz w:val="27"/>
              <w:szCs w:val="27"/>
            </w:rPr>
            <w:t>558</w:t>
          </w:r>
          <w:r>
            <w:rPr>
              <w:b/>
              <w:bCs/>
              <w:spacing w:val="-10"/>
              <w:sz w:val="27"/>
              <w:szCs w:val="27"/>
            </w:rPr>
            <w:fldChar w:fldCharType="end"/>
          </w:r>
        </w:p>
        <w:p w14:paraId="3CF2A6D5">
          <w:pPr>
            <w:pStyle w:val="2"/>
            <w:tabs>
              <w:tab w:val="right" w:leader="dot" w:pos="9365"/>
            </w:tabs>
            <w:spacing w:before="37" w:line="368" w:lineRule="exact"/>
            <w:ind w:left="556"/>
            <w:rPr>
              <w:sz w:val="27"/>
              <w:szCs w:val="27"/>
            </w:rPr>
          </w:pPr>
          <w:r>
            <w:fldChar w:fldCharType="begin"/>
          </w:r>
          <w:r>
            <w:instrText xml:space="preserve"> HYPERLINK \l "bookmark265" </w:instrText>
          </w:r>
          <w:r>
            <w:fldChar w:fldCharType="separate"/>
          </w:r>
          <w:r>
            <w:rPr>
              <w:rFonts w:ascii="Times New Roman" w:hAnsi="Times New Roman" w:eastAsia="Times New Roman" w:cs="Times New Roman"/>
              <w:spacing w:val="1"/>
              <w:position w:val="2"/>
              <w:sz w:val="27"/>
              <w:szCs w:val="27"/>
            </w:rPr>
            <w:t>12.1</w:t>
          </w:r>
          <w:r>
            <w:rPr>
              <w:rFonts w:ascii="Times New Roman" w:hAnsi="Times New Roman" w:eastAsia="Times New Roman" w:cs="Times New Roman"/>
              <w:spacing w:val="10"/>
              <w:position w:val="2"/>
              <w:sz w:val="27"/>
              <w:szCs w:val="27"/>
            </w:rPr>
            <w:t xml:space="preserve">     </w:t>
          </w:r>
          <w:r>
            <w:rPr>
              <w:rFonts w:ascii="仿宋" w:hAnsi="仿宋" w:eastAsia="仿宋" w:cs="仿宋"/>
              <w:spacing w:val="1"/>
              <w:position w:val="2"/>
              <w:sz w:val="27"/>
              <w:szCs w:val="27"/>
            </w:rPr>
            <w:t>环境工程工作计划</w:t>
          </w:r>
          <w:r>
            <w:rPr>
              <w:rFonts w:ascii="仿宋" w:hAnsi="仿宋" w:eastAsia="仿宋" w:cs="仿宋"/>
              <w:position w:val="2"/>
              <w:sz w:val="27"/>
              <w:szCs w:val="27"/>
            </w:rPr>
            <w:tab/>
          </w:r>
          <w:r>
            <w:rPr>
              <w:spacing w:val="-3"/>
              <w:position w:val="2"/>
              <w:sz w:val="27"/>
              <w:szCs w:val="27"/>
            </w:rPr>
            <w:t>558</w:t>
          </w:r>
          <w:r>
            <w:rPr>
              <w:spacing w:val="-3"/>
              <w:position w:val="2"/>
              <w:sz w:val="27"/>
              <w:szCs w:val="27"/>
            </w:rPr>
            <w:fldChar w:fldCharType="end"/>
          </w:r>
        </w:p>
        <w:p w14:paraId="472A24C7">
          <w:pPr>
            <w:pStyle w:val="2"/>
            <w:tabs>
              <w:tab w:val="right" w:leader="dot" w:pos="9365"/>
            </w:tabs>
            <w:spacing w:before="33" w:line="368" w:lineRule="exact"/>
            <w:ind w:left="556"/>
            <w:rPr>
              <w:sz w:val="27"/>
              <w:szCs w:val="27"/>
            </w:rPr>
          </w:pPr>
          <w:r>
            <w:fldChar w:fldCharType="begin"/>
          </w:r>
          <w:r>
            <w:instrText xml:space="preserve"> HYPERLINK \l "bookmark266" </w:instrText>
          </w:r>
          <w:r>
            <w:fldChar w:fldCharType="separate"/>
          </w:r>
          <w:r>
            <w:rPr>
              <w:rFonts w:ascii="Times New Roman" w:hAnsi="Times New Roman" w:eastAsia="Times New Roman" w:cs="Times New Roman"/>
              <w:position w:val="2"/>
              <w:sz w:val="27"/>
              <w:szCs w:val="27"/>
            </w:rPr>
            <w:t>12.2</w:t>
          </w:r>
          <w:r>
            <w:rPr>
              <w:rFonts w:ascii="Times New Roman" w:hAnsi="Times New Roman" w:eastAsia="Times New Roman" w:cs="Times New Roman"/>
              <w:spacing w:val="8"/>
              <w:position w:val="2"/>
              <w:sz w:val="27"/>
              <w:szCs w:val="27"/>
            </w:rPr>
            <w:t xml:space="preserve">     </w:t>
          </w:r>
          <w:r>
            <w:rPr>
              <w:rFonts w:ascii="仿宋" w:hAnsi="仿宋" w:eastAsia="仿宋" w:cs="仿宋"/>
              <w:position w:val="2"/>
              <w:sz w:val="27"/>
              <w:szCs w:val="27"/>
            </w:rPr>
            <w:t>寿命期环境剖面</w:t>
          </w:r>
          <w:r>
            <w:rPr>
              <w:rFonts w:ascii="仿宋" w:hAnsi="仿宋" w:eastAsia="仿宋" w:cs="仿宋"/>
              <w:spacing w:val="-117"/>
              <w:position w:val="2"/>
              <w:sz w:val="27"/>
              <w:szCs w:val="27"/>
            </w:rPr>
            <w:t xml:space="preserve"> </w:t>
          </w:r>
          <w:r>
            <w:rPr>
              <w:rFonts w:ascii="仿宋" w:hAnsi="仿宋" w:eastAsia="仿宋" w:cs="仿宋"/>
              <w:position w:val="2"/>
              <w:sz w:val="27"/>
              <w:szCs w:val="27"/>
            </w:rPr>
            <w:tab/>
          </w:r>
          <w:r>
            <w:rPr>
              <w:spacing w:val="-3"/>
              <w:position w:val="2"/>
              <w:sz w:val="27"/>
              <w:szCs w:val="27"/>
            </w:rPr>
            <w:t>559</w:t>
          </w:r>
          <w:r>
            <w:rPr>
              <w:spacing w:val="-3"/>
              <w:position w:val="2"/>
              <w:sz w:val="27"/>
              <w:szCs w:val="27"/>
            </w:rPr>
            <w:fldChar w:fldCharType="end"/>
          </w:r>
        </w:p>
        <w:p w14:paraId="4BA4C31D">
          <w:pPr>
            <w:pStyle w:val="2"/>
            <w:tabs>
              <w:tab w:val="right" w:leader="dot" w:pos="9395"/>
            </w:tabs>
            <w:spacing w:before="54" w:line="368" w:lineRule="exact"/>
            <w:ind w:left="556"/>
            <w:rPr>
              <w:sz w:val="27"/>
              <w:szCs w:val="27"/>
            </w:rPr>
          </w:pPr>
          <w:r>
            <w:fldChar w:fldCharType="begin"/>
          </w:r>
          <w:r>
            <w:instrText xml:space="preserve"> HYPERLINK \l "bookmark267" </w:instrText>
          </w:r>
          <w:r>
            <w:fldChar w:fldCharType="separate"/>
          </w:r>
          <w:r>
            <w:rPr>
              <w:rFonts w:ascii="Times New Roman" w:hAnsi="Times New Roman" w:eastAsia="Times New Roman" w:cs="Times New Roman"/>
              <w:spacing w:val="1"/>
              <w:position w:val="1"/>
              <w:sz w:val="27"/>
              <w:szCs w:val="27"/>
            </w:rPr>
            <w:t>12.3</w:t>
          </w:r>
          <w:r>
            <w:rPr>
              <w:rFonts w:ascii="Times New Roman" w:hAnsi="Times New Roman" w:eastAsia="Times New Roman" w:cs="Times New Roman"/>
              <w:spacing w:val="9"/>
              <w:position w:val="1"/>
              <w:sz w:val="27"/>
              <w:szCs w:val="27"/>
            </w:rPr>
            <w:t xml:space="preserve">     </w:t>
          </w:r>
          <w:r>
            <w:rPr>
              <w:rFonts w:ascii="仿宋" w:hAnsi="仿宋" w:eastAsia="仿宋" w:cs="仿宋"/>
              <w:spacing w:val="1"/>
              <w:position w:val="1"/>
              <w:sz w:val="27"/>
              <w:szCs w:val="27"/>
            </w:rPr>
            <w:t>使用环境文件</w:t>
          </w:r>
          <w:r>
            <w:rPr>
              <w:rFonts w:ascii="仿宋" w:hAnsi="仿宋" w:eastAsia="仿宋" w:cs="仿宋"/>
              <w:spacing w:val="-122"/>
              <w:position w:val="1"/>
              <w:sz w:val="27"/>
              <w:szCs w:val="27"/>
            </w:rPr>
            <w:t xml:space="preserve"> </w:t>
          </w:r>
          <w:r>
            <w:rPr>
              <w:rFonts w:ascii="仿宋" w:hAnsi="仿宋" w:eastAsia="仿宋" w:cs="仿宋"/>
              <w:position w:val="1"/>
              <w:sz w:val="27"/>
              <w:szCs w:val="27"/>
            </w:rPr>
            <w:tab/>
          </w:r>
          <w:r>
            <w:rPr>
              <w:spacing w:val="-5"/>
              <w:position w:val="1"/>
              <w:sz w:val="27"/>
              <w:szCs w:val="27"/>
            </w:rPr>
            <w:t>561</w:t>
          </w:r>
          <w:r>
            <w:rPr>
              <w:spacing w:val="-5"/>
              <w:position w:val="1"/>
              <w:sz w:val="27"/>
              <w:szCs w:val="27"/>
            </w:rPr>
            <w:fldChar w:fldCharType="end"/>
          </w:r>
        </w:p>
        <w:p w14:paraId="2931208A">
          <w:pPr>
            <w:pStyle w:val="2"/>
            <w:tabs>
              <w:tab w:val="right" w:leader="dot" w:pos="9349"/>
            </w:tabs>
            <w:spacing w:before="29" w:line="368" w:lineRule="exact"/>
            <w:ind w:left="556"/>
            <w:rPr>
              <w:sz w:val="27"/>
              <w:szCs w:val="27"/>
            </w:rPr>
          </w:pPr>
          <w:r>
            <w:fldChar w:fldCharType="begin"/>
          </w:r>
          <w:r>
            <w:instrText xml:space="preserve"> HYPERLINK \l "bookmark268" </w:instrText>
          </w:r>
          <w:r>
            <w:fldChar w:fldCharType="separate"/>
          </w:r>
          <w:r>
            <w:rPr>
              <w:rFonts w:ascii="Times New Roman" w:hAnsi="Times New Roman" w:eastAsia="Times New Roman" w:cs="Times New Roman"/>
              <w:position w:val="2"/>
              <w:sz w:val="27"/>
              <w:szCs w:val="27"/>
            </w:rPr>
            <w:t>12.4</w:t>
          </w:r>
          <w:r>
            <w:rPr>
              <w:rFonts w:ascii="Times New Roman" w:hAnsi="Times New Roman" w:eastAsia="Times New Roman" w:cs="Times New Roman"/>
              <w:spacing w:val="10"/>
              <w:position w:val="2"/>
              <w:sz w:val="27"/>
              <w:szCs w:val="27"/>
            </w:rPr>
            <w:t xml:space="preserve">     </w:t>
          </w:r>
          <w:r>
            <w:rPr>
              <w:rFonts w:ascii="仿宋" w:hAnsi="仿宋" w:eastAsia="仿宋" w:cs="仿宋"/>
              <w:position w:val="2"/>
              <w:sz w:val="27"/>
              <w:szCs w:val="27"/>
            </w:rPr>
            <w:t>环境适应性要求</w:t>
          </w:r>
          <w:r>
            <w:rPr>
              <w:rFonts w:ascii="仿宋" w:hAnsi="仿宋" w:eastAsia="仿宋" w:cs="仿宋"/>
              <w:spacing w:val="-116"/>
              <w:position w:val="2"/>
              <w:sz w:val="27"/>
              <w:szCs w:val="27"/>
            </w:rPr>
            <w:t xml:space="preserve"> </w:t>
          </w:r>
          <w:r>
            <w:rPr>
              <w:rFonts w:ascii="仿宋" w:hAnsi="仿宋" w:eastAsia="仿宋" w:cs="仿宋"/>
              <w:position w:val="2"/>
              <w:sz w:val="27"/>
              <w:szCs w:val="27"/>
            </w:rPr>
            <w:tab/>
          </w:r>
          <w:r>
            <w:rPr>
              <w:spacing w:val="-9"/>
              <w:position w:val="2"/>
              <w:sz w:val="27"/>
              <w:szCs w:val="27"/>
            </w:rPr>
            <w:t>562</w:t>
          </w:r>
          <w:r>
            <w:rPr>
              <w:spacing w:val="-9"/>
              <w:position w:val="2"/>
              <w:sz w:val="27"/>
              <w:szCs w:val="27"/>
            </w:rPr>
            <w:fldChar w:fldCharType="end"/>
          </w:r>
        </w:p>
        <w:p w14:paraId="110E093C">
          <w:pPr>
            <w:pStyle w:val="2"/>
            <w:tabs>
              <w:tab w:val="right" w:leader="dot" w:pos="9345"/>
            </w:tabs>
            <w:spacing w:before="52" w:line="368" w:lineRule="exact"/>
            <w:ind w:left="556"/>
            <w:rPr>
              <w:sz w:val="27"/>
              <w:szCs w:val="27"/>
            </w:rPr>
          </w:pPr>
          <w:r>
            <w:fldChar w:fldCharType="begin"/>
          </w:r>
          <w:r>
            <w:instrText xml:space="preserve"> HYPERLINK \l "bookmark269" </w:instrText>
          </w:r>
          <w:r>
            <w:fldChar w:fldCharType="separate"/>
          </w:r>
          <w:r>
            <w:rPr>
              <w:rFonts w:ascii="Times New Roman" w:hAnsi="Times New Roman" w:eastAsia="Times New Roman" w:cs="Times New Roman"/>
              <w:spacing w:val="5"/>
              <w:position w:val="2"/>
              <w:sz w:val="27"/>
              <w:szCs w:val="27"/>
            </w:rPr>
            <w:t>12.5</w:t>
          </w:r>
          <w:r>
            <w:rPr>
              <w:rFonts w:ascii="Times New Roman" w:hAnsi="Times New Roman" w:eastAsia="Times New Roman" w:cs="Times New Roman"/>
              <w:spacing w:val="9"/>
              <w:position w:val="2"/>
              <w:sz w:val="27"/>
              <w:szCs w:val="27"/>
            </w:rPr>
            <w:t xml:space="preserve">     </w:t>
          </w:r>
          <w:r>
            <w:rPr>
              <w:rFonts w:ascii="仿宋" w:hAnsi="仿宋" w:eastAsia="仿宋" w:cs="仿宋"/>
              <w:spacing w:val="5"/>
              <w:position w:val="2"/>
              <w:sz w:val="27"/>
              <w:szCs w:val="27"/>
            </w:rPr>
            <w:t>环境适应性设计准则</w:t>
          </w:r>
          <w:r>
            <w:rPr>
              <w:rFonts w:ascii="仿宋" w:hAnsi="仿宋" w:eastAsia="仿宋" w:cs="仿宋"/>
              <w:position w:val="2"/>
              <w:sz w:val="27"/>
              <w:szCs w:val="27"/>
            </w:rPr>
            <w:tab/>
          </w:r>
          <w:r>
            <w:rPr>
              <w:spacing w:val="-12"/>
              <w:position w:val="2"/>
              <w:sz w:val="27"/>
              <w:szCs w:val="27"/>
            </w:rPr>
            <w:t>565</w:t>
          </w:r>
          <w:r>
            <w:rPr>
              <w:spacing w:val="-12"/>
              <w:position w:val="2"/>
              <w:sz w:val="27"/>
              <w:szCs w:val="27"/>
            </w:rPr>
            <w:fldChar w:fldCharType="end"/>
          </w:r>
        </w:p>
        <w:p w14:paraId="46CF2DEC">
          <w:pPr>
            <w:pStyle w:val="2"/>
            <w:tabs>
              <w:tab w:val="right" w:leader="dot" w:pos="9347"/>
            </w:tabs>
            <w:spacing w:before="32" w:line="368" w:lineRule="exact"/>
            <w:ind w:left="556"/>
            <w:rPr>
              <w:sz w:val="27"/>
              <w:szCs w:val="27"/>
            </w:rPr>
          </w:pPr>
          <w:r>
            <w:fldChar w:fldCharType="begin"/>
          </w:r>
          <w:r>
            <w:instrText xml:space="preserve"> HYPERLINK \l "bookmark270" </w:instrText>
          </w:r>
          <w:r>
            <w:fldChar w:fldCharType="separate"/>
          </w:r>
          <w:r>
            <w:rPr>
              <w:rFonts w:ascii="Times New Roman" w:hAnsi="Times New Roman" w:eastAsia="Times New Roman" w:cs="Times New Roman"/>
              <w:spacing w:val="4"/>
              <w:position w:val="2"/>
              <w:sz w:val="27"/>
              <w:szCs w:val="27"/>
            </w:rPr>
            <w:t>12.6</w:t>
          </w:r>
          <w:r>
            <w:rPr>
              <w:rFonts w:ascii="Times New Roman" w:hAnsi="Times New Roman" w:eastAsia="Times New Roman" w:cs="Times New Roman"/>
              <w:spacing w:val="9"/>
              <w:position w:val="2"/>
              <w:sz w:val="27"/>
              <w:szCs w:val="27"/>
            </w:rPr>
            <w:t xml:space="preserve">     </w:t>
          </w:r>
          <w:r>
            <w:rPr>
              <w:rFonts w:ascii="仿宋" w:hAnsi="仿宋" w:eastAsia="仿宋" w:cs="仿宋"/>
              <w:spacing w:val="4"/>
              <w:position w:val="2"/>
              <w:sz w:val="27"/>
              <w:szCs w:val="27"/>
            </w:rPr>
            <w:t>环境适应性设计指南</w:t>
          </w:r>
          <w:r>
            <w:rPr>
              <w:rFonts w:ascii="仿宋" w:hAnsi="仿宋" w:eastAsia="仿宋" w:cs="仿宋"/>
              <w:position w:val="2"/>
              <w:sz w:val="27"/>
              <w:szCs w:val="27"/>
            </w:rPr>
            <w:tab/>
          </w:r>
          <w:r>
            <w:rPr>
              <w:spacing w:val="-12"/>
              <w:position w:val="2"/>
              <w:sz w:val="27"/>
              <w:szCs w:val="27"/>
            </w:rPr>
            <w:t>566</w:t>
          </w:r>
          <w:r>
            <w:rPr>
              <w:spacing w:val="-12"/>
              <w:position w:val="2"/>
              <w:sz w:val="27"/>
              <w:szCs w:val="27"/>
            </w:rPr>
            <w:fldChar w:fldCharType="end"/>
          </w:r>
        </w:p>
        <w:p w14:paraId="44993CEA">
          <w:pPr>
            <w:pStyle w:val="2"/>
            <w:tabs>
              <w:tab w:val="right" w:leader="dot" w:pos="9347"/>
            </w:tabs>
            <w:spacing w:before="52" w:line="368" w:lineRule="exact"/>
            <w:ind w:left="556"/>
            <w:rPr>
              <w:sz w:val="27"/>
              <w:szCs w:val="27"/>
            </w:rPr>
          </w:pPr>
          <w:r>
            <w:fldChar w:fldCharType="begin"/>
          </w:r>
          <w:r>
            <w:instrText xml:space="preserve"> HYPERLINK \l "bookmark271" </w:instrText>
          </w:r>
          <w:r>
            <w:fldChar w:fldCharType="separate"/>
          </w:r>
          <w:r>
            <w:rPr>
              <w:rFonts w:ascii="Times New Roman" w:hAnsi="Times New Roman" w:eastAsia="Times New Roman" w:cs="Times New Roman"/>
              <w:spacing w:val="2"/>
              <w:position w:val="2"/>
              <w:sz w:val="27"/>
              <w:szCs w:val="27"/>
            </w:rPr>
            <w:t>12.7</w:t>
          </w:r>
          <w:r>
            <w:rPr>
              <w:rFonts w:ascii="Times New Roman" w:hAnsi="Times New Roman" w:eastAsia="Times New Roman" w:cs="Times New Roman"/>
              <w:spacing w:val="8"/>
              <w:position w:val="2"/>
              <w:sz w:val="27"/>
              <w:szCs w:val="27"/>
            </w:rPr>
            <w:t xml:space="preserve">     </w:t>
          </w:r>
          <w:r>
            <w:rPr>
              <w:rFonts w:ascii="仿宋" w:hAnsi="仿宋" w:eastAsia="仿宋" w:cs="仿宋"/>
              <w:spacing w:val="2"/>
              <w:position w:val="2"/>
              <w:sz w:val="27"/>
              <w:szCs w:val="27"/>
            </w:rPr>
            <w:t>环境适应性设计报告</w:t>
          </w:r>
          <w:r>
            <w:rPr>
              <w:rFonts w:ascii="仿宋" w:hAnsi="仿宋" w:eastAsia="仿宋" w:cs="仿宋"/>
              <w:spacing w:val="-123"/>
              <w:position w:val="2"/>
              <w:sz w:val="27"/>
              <w:szCs w:val="27"/>
            </w:rPr>
            <w:t xml:space="preserve"> </w:t>
          </w:r>
          <w:r>
            <w:rPr>
              <w:rFonts w:ascii="仿宋" w:hAnsi="仿宋" w:eastAsia="仿宋" w:cs="仿宋"/>
              <w:position w:val="2"/>
              <w:sz w:val="27"/>
              <w:szCs w:val="27"/>
            </w:rPr>
            <w:tab/>
          </w:r>
          <w:r>
            <w:rPr>
              <w:spacing w:val="-9"/>
              <w:position w:val="2"/>
              <w:sz w:val="27"/>
              <w:szCs w:val="27"/>
            </w:rPr>
            <w:t>567</w:t>
          </w:r>
          <w:r>
            <w:rPr>
              <w:spacing w:val="-9"/>
              <w:position w:val="2"/>
              <w:sz w:val="27"/>
              <w:szCs w:val="27"/>
            </w:rPr>
            <w:fldChar w:fldCharType="end"/>
          </w:r>
        </w:p>
      </w:sdtContent>
    </w:sdt>
    <w:p w14:paraId="2810288B">
      <w:pPr>
        <w:spacing w:line="368" w:lineRule="exact"/>
        <w:rPr>
          <w:sz w:val="27"/>
          <w:szCs w:val="27"/>
        </w:rPr>
        <w:sectPr>
          <w:footerReference r:id="rId18" w:type="default"/>
          <w:pgSz w:w="12130" w:h="17280"/>
          <w:pgMar w:top="400" w:right="1351" w:bottom="1769" w:left="1373" w:header="0" w:footer="1511" w:gutter="0"/>
          <w:cols w:space="720" w:num="1"/>
        </w:sectPr>
      </w:pPr>
    </w:p>
    <w:p w14:paraId="5756C41B">
      <w:pPr>
        <w:pStyle w:val="2"/>
        <w:spacing w:line="259" w:lineRule="auto"/>
      </w:pPr>
    </w:p>
    <w:p w14:paraId="54A286B8">
      <w:pPr>
        <w:pStyle w:val="2"/>
        <w:spacing w:line="259" w:lineRule="auto"/>
      </w:pPr>
    </w:p>
    <w:p w14:paraId="1AA02D30">
      <w:pPr>
        <w:pStyle w:val="2"/>
        <w:spacing w:line="259" w:lineRule="auto"/>
      </w:pPr>
    </w:p>
    <w:p w14:paraId="77FFFD28">
      <w:pPr>
        <w:pStyle w:val="2"/>
        <w:spacing w:line="259" w:lineRule="auto"/>
      </w:pPr>
    </w:p>
    <w:sdt>
      <w:sdtPr>
        <w:rPr>
          <w:rFonts w:ascii="Times New Roman" w:hAnsi="Times New Roman" w:eastAsia="Times New Roman" w:cs="Times New Roman"/>
          <w:sz w:val="27"/>
          <w:szCs w:val="27"/>
        </w:rPr>
        <w:id w:val="147454120"/>
        <w:docPartObj>
          <w:docPartGallery w:val="Table of Contents"/>
          <w:docPartUnique/>
        </w:docPartObj>
      </w:sdtPr>
      <w:sdtEndPr>
        <w:rPr>
          <w:rFonts w:ascii="Arial" w:hAnsi="Arial" w:eastAsia="Arial" w:cs="Arial"/>
          <w:sz w:val="27"/>
          <w:szCs w:val="27"/>
        </w:rPr>
      </w:sdtEndPr>
      <w:sdtContent>
        <w:p w14:paraId="5F6A1F63">
          <w:pPr>
            <w:pStyle w:val="2"/>
            <w:tabs>
              <w:tab w:val="right" w:leader="dot" w:pos="9347"/>
            </w:tabs>
            <w:spacing w:before="87" w:line="368" w:lineRule="exact"/>
            <w:ind w:left="546"/>
            <w:rPr>
              <w:sz w:val="27"/>
              <w:szCs w:val="27"/>
            </w:rPr>
          </w:pPr>
          <w:r>
            <w:fldChar w:fldCharType="begin"/>
          </w:r>
          <w:r>
            <w:instrText xml:space="preserve"> HYPERLINK \l "bookmark272" </w:instrText>
          </w:r>
          <w:r>
            <w:fldChar w:fldCharType="separate"/>
          </w:r>
          <w:r>
            <w:rPr>
              <w:rFonts w:ascii="Times New Roman" w:hAnsi="Times New Roman" w:eastAsia="Times New Roman" w:cs="Times New Roman"/>
              <w:spacing w:val="2"/>
              <w:position w:val="1"/>
              <w:sz w:val="27"/>
              <w:szCs w:val="27"/>
            </w:rPr>
            <w:t>12.8</w:t>
          </w:r>
          <w:r>
            <w:rPr>
              <w:rFonts w:ascii="Times New Roman" w:hAnsi="Times New Roman" w:eastAsia="Times New Roman" w:cs="Times New Roman"/>
              <w:spacing w:val="8"/>
              <w:position w:val="1"/>
              <w:sz w:val="27"/>
              <w:szCs w:val="27"/>
            </w:rPr>
            <w:t xml:space="preserve">     </w:t>
          </w:r>
          <w:r>
            <w:rPr>
              <w:rFonts w:ascii="仿宋" w:hAnsi="仿宋" w:eastAsia="仿宋" w:cs="仿宋"/>
              <w:spacing w:val="2"/>
              <w:position w:val="1"/>
              <w:sz w:val="27"/>
              <w:szCs w:val="27"/>
            </w:rPr>
            <w:t>环境试验与评价总计划</w:t>
          </w:r>
          <w:r>
            <w:rPr>
              <w:rFonts w:ascii="仿宋" w:hAnsi="仿宋" w:eastAsia="仿宋" w:cs="仿宋"/>
              <w:position w:val="1"/>
              <w:sz w:val="27"/>
              <w:szCs w:val="27"/>
            </w:rPr>
            <w:tab/>
          </w:r>
          <w:r>
            <w:rPr>
              <w:spacing w:val="-13"/>
              <w:position w:val="1"/>
              <w:sz w:val="27"/>
              <w:szCs w:val="27"/>
            </w:rPr>
            <w:t>568</w:t>
          </w:r>
          <w:r>
            <w:rPr>
              <w:spacing w:val="-13"/>
              <w:position w:val="1"/>
              <w:sz w:val="27"/>
              <w:szCs w:val="27"/>
            </w:rPr>
            <w:fldChar w:fldCharType="end"/>
          </w:r>
        </w:p>
        <w:p w14:paraId="20A0FB32">
          <w:pPr>
            <w:pStyle w:val="2"/>
            <w:tabs>
              <w:tab w:val="right" w:leader="dot" w:pos="9347"/>
            </w:tabs>
            <w:spacing w:before="42" w:line="368" w:lineRule="exact"/>
            <w:ind w:left="546"/>
            <w:rPr>
              <w:sz w:val="27"/>
              <w:szCs w:val="27"/>
            </w:rPr>
          </w:pPr>
          <w:r>
            <w:fldChar w:fldCharType="begin"/>
          </w:r>
          <w:r>
            <w:instrText xml:space="preserve"> HYPERLINK \l "bookmark273" </w:instrText>
          </w:r>
          <w:r>
            <w:fldChar w:fldCharType="separate"/>
          </w:r>
          <w:r>
            <w:rPr>
              <w:rFonts w:ascii="Times New Roman" w:hAnsi="Times New Roman" w:eastAsia="Times New Roman" w:cs="Times New Roman"/>
              <w:position w:val="1"/>
              <w:sz w:val="27"/>
              <w:szCs w:val="27"/>
            </w:rPr>
            <w:t>12.9</w:t>
          </w:r>
          <w:r>
            <w:rPr>
              <w:rFonts w:ascii="Times New Roman" w:hAnsi="Times New Roman" w:eastAsia="Times New Roman" w:cs="Times New Roman"/>
              <w:spacing w:val="8"/>
              <w:position w:val="1"/>
              <w:sz w:val="27"/>
              <w:szCs w:val="27"/>
            </w:rPr>
            <w:t xml:space="preserve">     </w:t>
          </w:r>
          <w:r>
            <w:rPr>
              <w:rFonts w:ascii="仿宋" w:hAnsi="仿宋" w:eastAsia="仿宋" w:cs="仿宋"/>
              <w:position w:val="1"/>
              <w:sz w:val="27"/>
              <w:szCs w:val="27"/>
            </w:rPr>
            <w:t>环境试验大纲</w:t>
          </w:r>
          <w:r>
            <w:rPr>
              <w:rFonts w:ascii="仿宋" w:hAnsi="仿宋" w:eastAsia="仿宋" w:cs="仿宋"/>
              <w:position w:val="1"/>
              <w:sz w:val="27"/>
              <w:szCs w:val="27"/>
            </w:rPr>
            <w:tab/>
          </w:r>
          <w:r>
            <w:rPr>
              <w:spacing w:val="-9"/>
              <w:position w:val="1"/>
              <w:sz w:val="27"/>
              <w:szCs w:val="27"/>
            </w:rPr>
            <w:t>569</w:t>
          </w:r>
          <w:r>
            <w:rPr>
              <w:spacing w:val="-9"/>
              <w:position w:val="1"/>
              <w:sz w:val="27"/>
              <w:szCs w:val="27"/>
            </w:rPr>
            <w:fldChar w:fldCharType="end"/>
          </w:r>
        </w:p>
        <w:p w14:paraId="04343AEC">
          <w:pPr>
            <w:pStyle w:val="2"/>
            <w:tabs>
              <w:tab w:val="right" w:leader="dot" w:pos="9345"/>
            </w:tabs>
            <w:spacing w:before="21" w:line="369" w:lineRule="exact"/>
            <w:ind w:left="546"/>
            <w:rPr>
              <w:sz w:val="27"/>
              <w:szCs w:val="27"/>
            </w:rPr>
          </w:pPr>
          <w:r>
            <w:fldChar w:fldCharType="begin"/>
          </w:r>
          <w:r>
            <w:instrText xml:space="preserve"> HYPERLINK \l "bookmark274" </w:instrText>
          </w:r>
          <w:r>
            <w:fldChar w:fldCharType="separate"/>
          </w:r>
          <w:r>
            <w:rPr>
              <w:rFonts w:ascii="Times New Roman" w:hAnsi="Times New Roman" w:eastAsia="Times New Roman" w:cs="Times New Roman"/>
              <w:spacing w:val="1"/>
              <w:position w:val="1"/>
              <w:sz w:val="27"/>
              <w:szCs w:val="27"/>
            </w:rPr>
            <w:t>12.10</w:t>
          </w:r>
          <w:r>
            <w:rPr>
              <w:rFonts w:ascii="Times New Roman" w:hAnsi="Times New Roman" w:eastAsia="Times New Roman" w:cs="Times New Roman"/>
              <w:spacing w:val="7"/>
              <w:position w:val="1"/>
              <w:sz w:val="27"/>
              <w:szCs w:val="27"/>
            </w:rPr>
            <w:t xml:space="preserve">     </w:t>
          </w:r>
          <w:r>
            <w:rPr>
              <w:rFonts w:ascii="仿宋" w:hAnsi="仿宋" w:eastAsia="仿宋" w:cs="仿宋"/>
              <w:spacing w:val="1"/>
              <w:position w:val="1"/>
              <w:sz w:val="27"/>
              <w:szCs w:val="27"/>
            </w:rPr>
            <w:t>环境鉴定试验报告</w:t>
          </w:r>
          <w:r>
            <w:rPr>
              <w:rFonts w:ascii="仿宋" w:hAnsi="仿宋" w:eastAsia="仿宋" w:cs="仿宋"/>
              <w:spacing w:val="-119"/>
              <w:position w:val="1"/>
              <w:sz w:val="27"/>
              <w:szCs w:val="27"/>
            </w:rPr>
            <w:t xml:space="preserve"> </w:t>
          </w:r>
          <w:r>
            <w:rPr>
              <w:rFonts w:ascii="仿宋" w:hAnsi="仿宋" w:eastAsia="仿宋" w:cs="仿宋"/>
              <w:position w:val="1"/>
              <w:sz w:val="27"/>
              <w:szCs w:val="27"/>
            </w:rPr>
            <w:tab/>
          </w:r>
          <w:r>
            <w:rPr>
              <w:spacing w:val="-14"/>
              <w:position w:val="1"/>
              <w:sz w:val="27"/>
              <w:szCs w:val="27"/>
            </w:rPr>
            <w:t>575</w:t>
          </w:r>
          <w:r>
            <w:rPr>
              <w:spacing w:val="-14"/>
              <w:position w:val="1"/>
              <w:sz w:val="27"/>
              <w:szCs w:val="27"/>
            </w:rPr>
            <w:fldChar w:fldCharType="end"/>
          </w:r>
        </w:p>
        <w:p w14:paraId="1B44B3F5">
          <w:pPr>
            <w:pStyle w:val="2"/>
            <w:tabs>
              <w:tab w:val="right" w:leader="dot" w:pos="9347"/>
            </w:tabs>
            <w:spacing w:before="51" w:line="368" w:lineRule="exact"/>
            <w:ind w:left="546"/>
            <w:rPr>
              <w:sz w:val="27"/>
              <w:szCs w:val="27"/>
            </w:rPr>
          </w:pPr>
          <w:r>
            <w:fldChar w:fldCharType="begin"/>
          </w:r>
          <w:r>
            <w:instrText xml:space="preserve"> HYPERLINK \l "bookmark275" </w:instrText>
          </w:r>
          <w:r>
            <w:fldChar w:fldCharType="separate"/>
          </w:r>
          <w:r>
            <w:rPr>
              <w:rFonts w:ascii="Times New Roman" w:hAnsi="Times New Roman" w:eastAsia="Times New Roman" w:cs="Times New Roman"/>
              <w:spacing w:val="-1"/>
              <w:position w:val="1"/>
              <w:sz w:val="27"/>
              <w:szCs w:val="27"/>
            </w:rPr>
            <w:t>12.11</w:t>
          </w:r>
          <w:r>
            <w:rPr>
              <w:rFonts w:ascii="Times New Roman" w:hAnsi="Times New Roman" w:eastAsia="Times New Roman" w:cs="Times New Roman"/>
              <w:spacing w:val="7"/>
              <w:position w:val="1"/>
              <w:sz w:val="27"/>
              <w:szCs w:val="27"/>
            </w:rPr>
            <w:t xml:space="preserve">     </w:t>
          </w:r>
          <w:r>
            <w:rPr>
              <w:rFonts w:ascii="仿宋" w:hAnsi="仿宋" w:eastAsia="仿宋" w:cs="仿宋"/>
              <w:spacing w:val="-1"/>
              <w:position w:val="1"/>
              <w:sz w:val="27"/>
              <w:szCs w:val="27"/>
            </w:rPr>
            <w:t>环境鉴定试验总报告</w:t>
          </w:r>
          <w:r>
            <w:rPr>
              <w:rFonts w:ascii="仿宋" w:hAnsi="仿宋" w:eastAsia="仿宋" w:cs="仿宋"/>
              <w:spacing w:val="37"/>
              <w:position w:val="1"/>
              <w:sz w:val="27"/>
              <w:szCs w:val="27"/>
            </w:rPr>
            <w:t xml:space="preserve"> </w:t>
          </w:r>
          <w:r>
            <w:rPr>
              <w:rFonts w:ascii="仿宋" w:hAnsi="仿宋" w:eastAsia="仿宋" w:cs="仿宋"/>
              <w:position w:val="1"/>
              <w:sz w:val="27"/>
              <w:szCs w:val="27"/>
            </w:rPr>
            <w:tab/>
          </w:r>
          <w:r>
            <w:rPr>
              <w:spacing w:val="-11"/>
              <w:position w:val="1"/>
              <w:sz w:val="27"/>
              <w:szCs w:val="27"/>
            </w:rPr>
            <w:t>578</w:t>
          </w:r>
          <w:r>
            <w:rPr>
              <w:spacing w:val="-11"/>
              <w:position w:val="1"/>
              <w:sz w:val="27"/>
              <w:szCs w:val="27"/>
            </w:rPr>
            <w:fldChar w:fldCharType="end"/>
          </w:r>
        </w:p>
        <w:p w14:paraId="73CD77F1">
          <w:pPr>
            <w:pStyle w:val="2"/>
            <w:tabs>
              <w:tab w:val="right" w:leader="dot" w:pos="9347"/>
            </w:tabs>
            <w:spacing w:before="28" w:line="368" w:lineRule="exact"/>
            <w:ind w:left="546"/>
            <w:rPr>
              <w:sz w:val="27"/>
              <w:szCs w:val="27"/>
            </w:rPr>
          </w:pPr>
          <w:r>
            <w:fldChar w:fldCharType="begin"/>
          </w:r>
          <w:r>
            <w:instrText xml:space="preserve"> HYPERLINK \l "bookmark276" </w:instrText>
          </w:r>
          <w:r>
            <w:fldChar w:fldCharType="separate"/>
          </w:r>
          <w:r>
            <w:rPr>
              <w:rFonts w:ascii="Times New Roman" w:hAnsi="Times New Roman" w:eastAsia="Times New Roman" w:cs="Times New Roman"/>
              <w:spacing w:val="2"/>
              <w:position w:val="2"/>
              <w:sz w:val="27"/>
              <w:szCs w:val="27"/>
            </w:rPr>
            <w:t>12.12</w:t>
          </w:r>
          <w:r>
            <w:rPr>
              <w:rFonts w:ascii="Times New Roman" w:hAnsi="Times New Roman" w:eastAsia="Times New Roman" w:cs="Times New Roman"/>
              <w:spacing w:val="7"/>
              <w:position w:val="2"/>
              <w:sz w:val="27"/>
              <w:szCs w:val="27"/>
            </w:rPr>
            <w:t xml:space="preserve">     </w:t>
          </w:r>
          <w:r>
            <w:rPr>
              <w:rFonts w:ascii="仿宋" w:hAnsi="仿宋" w:eastAsia="仿宋" w:cs="仿宋"/>
              <w:spacing w:val="2"/>
              <w:position w:val="2"/>
              <w:sz w:val="27"/>
              <w:szCs w:val="27"/>
            </w:rPr>
            <w:t>环境适应性报告</w:t>
          </w:r>
          <w:r>
            <w:rPr>
              <w:rFonts w:ascii="仿宋" w:hAnsi="仿宋" w:eastAsia="仿宋" w:cs="仿宋"/>
              <w:spacing w:val="-121"/>
              <w:position w:val="2"/>
              <w:sz w:val="27"/>
              <w:szCs w:val="27"/>
            </w:rPr>
            <w:t xml:space="preserve"> </w:t>
          </w:r>
          <w:r>
            <w:rPr>
              <w:rFonts w:ascii="仿宋" w:hAnsi="仿宋" w:eastAsia="仿宋" w:cs="仿宋"/>
              <w:position w:val="2"/>
              <w:sz w:val="27"/>
              <w:szCs w:val="27"/>
            </w:rPr>
            <w:tab/>
          </w:r>
          <w:r>
            <w:rPr>
              <w:spacing w:val="-11"/>
              <w:position w:val="2"/>
              <w:sz w:val="27"/>
              <w:szCs w:val="27"/>
            </w:rPr>
            <w:t>580</w:t>
          </w:r>
          <w:r>
            <w:rPr>
              <w:spacing w:val="-11"/>
              <w:position w:val="2"/>
              <w:sz w:val="27"/>
              <w:szCs w:val="27"/>
            </w:rPr>
            <w:fldChar w:fldCharType="end"/>
          </w:r>
        </w:p>
        <w:p w14:paraId="226BF135">
          <w:pPr>
            <w:pStyle w:val="2"/>
            <w:tabs>
              <w:tab w:val="right" w:leader="dot" w:pos="9347"/>
            </w:tabs>
            <w:spacing w:before="121" w:line="213" w:lineRule="auto"/>
            <w:rPr>
              <w:sz w:val="27"/>
              <w:szCs w:val="27"/>
            </w:rPr>
          </w:pPr>
          <w:r>
            <w:fldChar w:fldCharType="begin"/>
          </w:r>
          <w:r>
            <w:instrText xml:space="preserve"> HYPERLINK \l "bookmark277" </w:instrText>
          </w:r>
          <w:r>
            <w:fldChar w:fldCharType="separate"/>
          </w:r>
          <w:r>
            <w:rPr>
              <w:rFonts w:ascii="黑体" w:hAnsi="黑体" w:eastAsia="黑体" w:cs="黑体"/>
              <w:b/>
              <w:bCs/>
              <w:spacing w:val="-15"/>
              <w:sz w:val="24"/>
              <w:szCs w:val="24"/>
            </w:rPr>
            <w:t>第</w:t>
          </w:r>
          <w:r>
            <w:rPr>
              <w:rFonts w:ascii="黑体" w:hAnsi="黑体" w:eastAsia="黑体" w:cs="黑体"/>
              <w:spacing w:val="-15"/>
              <w:sz w:val="24"/>
              <w:szCs w:val="24"/>
            </w:rPr>
            <w:t xml:space="preserve"> </w:t>
          </w:r>
          <w:r>
            <w:rPr>
              <w:rFonts w:ascii="黑体" w:hAnsi="黑体" w:eastAsia="黑体" w:cs="黑体"/>
              <w:b/>
              <w:bCs/>
              <w:spacing w:val="-15"/>
              <w:sz w:val="24"/>
              <w:szCs w:val="24"/>
            </w:rPr>
            <w:t>1</w:t>
          </w:r>
          <w:r>
            <w:rPr>
              <w:rFonts w:ascii="黑体" w:hAnsi="黑体" w:eastAsia="黑体" w:cs="黑体"/>
              <w:spacing w:val="-30"/>
              <w:sz w:val="24"/>
              <w:szCs w:val="24"/>
            </w:rPr>
            <w:t xml:space="preserve"> </w:t>
          </w:r>
          <w:r>
            <w:rPr>
              <w:rFonts w:ascii="黑体" w:hAnsi="黑体" w:eastAsia="黑体" w:cs="黑体"/>
              <w:b/>
              <w:bCs/>
              <w:spacing w:val="-15"/>
              <w:sz w:val="24"/>
              <w:szCs w:val="24"/>
            </w:rPr>
            <w:t>3</w:t>
          </w:r>
          <w:r>
            <w:rPr>
              <w:rFonts w:ascii="黑体" w:hAnsi="黑体" w:eastAsia="黑体" w:cs="黑体"/>
              <w:spacing w:val="-29"/>
              <w:sz w:val="24"/>
              <w:szCs w:val="24"/>
            </w:rPr>
            <w:t xml:space="preserve"> </w:t>
          </w:r>
          <w:r>
            <w:rPr>
              <w:rFonts w:ascii="黑体" w:hAnsi="黑体" w:eastAsia="黑体" w:cs="黑体"/>
              <w:b/>
              <w:bCs/>
              <w:spacing w:val="-15"/>
              <w:sz w:val="24"/>
              <w:szCs w:val="24"/>
            </w:rPr>
            <w:t>章</w:t>
          </w:r>
          <w:r>
            <w:rPr>
              <w:rFonts w:ascii="黑体" w:hAnsi="黑体" w:eastAsia="黑体" w:cs="黑体"/>
              <w:spacing w:val="79"/>
              <w:sz w:val="24"/>
              <w:szCs w:val="24"/>
            </w:rPr>
            <w:t xml:space="preserve"> </w:t>
          </w:r>
          <w:r>
            <w:rPr>
              <w:rFonts w:ascii="黑体" w:hAnsi="黑体" w:eastAsia="黑体" w:cs="黑体"/>
              <w:b/>
              <w:bCs/>
              <w:spacing w:val="-15"/>
              <w:sz w:val="24"/>
              <w:szCs w:val="24"/>
            </w:rPr>
            <w:t>电</w:t>
          </w:r>
          <w:r>
            <w:rPr>
              <w:rFonts w:ascii="黑体" w:hAnsi="黑体" w:eastAsia="黑体" w:cs="黑体"/>
              <w:spacing w:val="-50"/>
              <w:sz w:val="24"/>
              <w:szCs w:val="24"/>
            </w:rPr>
            <w:t xml:space="preserve"> </w:t>
          </w:r>
          <w:r>
            <w:rPr>
              <w:rFonts w:ascii="黑体" w:hAnsi="黑体" w:eastAsia="黑体" w:cs="黑体"/>
              <w:b/>
              <w:bCs/>
              <w:spacing w:val="-15"/>
              <w:sz w:val="24"/>
              <w:szCs w:val="24"/>
            </w:rPr>
            <w:t>磁</w:t>
          </w:r>
          <w:r>
            <w:rPr>
              <w:rFonts w:ascii="黑体" w:hAnsi="黑体" w:eastAsia="黑体" w:cs="黑体"/>
              <w:spacing w:val="-47"/>
              <w:sz w:val="24"/>
              <w:szCs w:val="24"/>
            </w:rPr>
            <w:t xml:space="preserve"> </w:t>
          </w:r>
          <w:r>
            <w:rPr>
              <w:rFonts w:ascii="黑体" w:hAnsi="黑体" w:eastAsia="黑体" w:cs="黑体"/>
              <w:b/>
              <w:bCs/>
              <w:spacing w:val="-15"/>
              <w:sz w:val="24"/>
              <w:szCs w:val="24"/>
            </w:rPr>
            <w:t>兼</w:t>
          </w:r>
          <w:r>
            <w:rPr>
              <w:rFonts w:ascii="黑体" w:hAnsi="黑体" w:eastAsia="黑体" w:cs="黑体"/>
              <w:spacing w:val="-50"/>
              <w:sz w:val="24"/>
              <w:szCs w:val="24"/>
            </w:rPr>
            <w:t xml:space="preserve"> </w:t>
          </w:r>
          <w:r>
            <w:rPr>
              <w:rFonts w:ascii="黑体" w:hAnsi="黑体" w:eastAsia="黑体" w:cs="黑体"/>
              <w:b/>
              <w:bCs/>
              <w:spacing w:val="-15"/>
              <w:sz w:val="24"/>
              <w:szCs w:val="24"/>
            </w:rPr>
            <w:t>容</w:t>
          </w:r>
          <w:r>
            <w:rPr>
              <w:rFonts w:ascii="黑体" w:hAnsi="黑体" w:eastAsia="黑体" w:cs="黑体"/>
              <w:spacing w:val="-50"/>
              <w:sz w:val="24"/>
              <w:szCs w:val="24"/>
            </w:rPr>
            <w:t xml:space="preserve"> </w:t>
          </w:r>
          <w:r>
            <w:rPr>
              <w:rFonts w:ascii="黑体" w:hAnsi="黑体" w:eastAsia="黑体" w:cs="黑体"/>
              <w:b/>
              <w:bCs/>
              <w:spacing w:val="-15"/>
              <w:sz w:val="24"/>
              <w:szCs w:val="24"/>
            </w:rPr>
            <w:t>性</w:t>
          </w:r>
          <w:r>
            <w:rPr>
              <w:rFonts w:ascii="黑体" w:hAnsi="黑体" w:eastAsia="黑体" w:cs="黑体"/>
              <w:spacing w:val="-46"/>
              <w:sz w:val="24"/>
              <w:szCs w:val="24"/>
            </w:rPr>
            <w:t xml:space="preserve"> </w:t>
          </w:r>
          <w:r>
            <w:rPr>
              <w:rFonts w:ascii="黑体" w:hAnsi="黑体" w:eastAsia="黑体" w:cs="黑体"/>
              <w:b/>
              <w:bCs/>
              <w:spacing w:val="-15"/>
              <w:sz w:val="24"/>
              <w:szCs w:val="24"/>
            </w:rPr>
            <w:t>文</w:t>
          </w:r>
          <w:r>
            <w:rPr>
              <w:rFonts w:ascii="黑体" w:hAnsi="黑体" w:eastAsia="黑体" w:cs="黑体"/>
              <w:spacing w:val="-52"/>
              <w:sz w:val="24"/>
              <w:szCs w:val="24"/>
            </w:rPr>
            <w:t xml:space="preserve"> </w:t>
          </w:r>
          <w:r>
            <w:rPr>
              <w:rFonts w:ascii="黑体" w:hAnsi="黑体" w:eastAsia="黑体" w:cs="黑体"/>
              <w:b/>
              <w:bCs/>
              <w:spacing w:val="-15"/>
              <w:sz w:val="24"/>
              <w:szCs w:val="24"/>
            </w:rPr>
            <w:t>件</w:t>
          </w:r>
          <w:r>
            <w:rPr>
              <w:rFonts w:ascii="黑体" w:hAnsi="黑体" w:eastAsia="黑体" w:cs="黑体"/>
              <w:spacing w:val="-98"/>
              <w:sz w:val="24"/>
              <w:szCs w:val="24"/>
            </w:rPr>
            <w:t xml:space="preserve"> </w:t>
          </w:r>
          <w:r>
            <w:rPr>
              <w:rFonts w:ascii="黑体" w:hAnsi="黑体" w:eastAsia="黑体" w:cs="黑体"/>
              <w:sz w:val="24"/>
              <w:szCs w:val="24"/>
            </w:rPr>
            <w:tab/>
          </w:r>
          <w:r>
            <w:rPr>
              <w:b/>
              <w:bCs/>
              <w:spacing w:val="-8"/>
              <w:sz w:val="27"/>
              <w:szCs w:val="27"/>
            </w:rPr>
            <w:t>582</w:t>
          </w:r>
          <w:r>
            <w:rPr>
              <w:b/>
              <w:bCs/>
              <w:spacing w:val="-8"/>
              <w:sz w:val="27"/>
              <w:szCs w:val="27"/>
            </w:rPr>
            <w:fldChar w:fldCharType="end"/>
          </w:r>
        </w:p>
        <w:p w14:paraId="6F949161">
          <w:pPr>
            <w:pStyle w:val="2"/>
            <w:tabs>
              <w:tab w:val="right" w:leader="dot" w:pos="9349"/>
            </w:tabs>
            <w:spacing w:before="56" w:line="368" w:lineRule="exact"/>
            <w:ind w:left="546"/>
            <w:rPr>
              <w:sz w:val="27"/>
              <w:szCs w:val="27"/>
            </w:rPr>
          </w:pPr>
          <w:r>
            <w:fldChar w:fldCharType="begin"/>
          </w:r>
          <w:r>
            <w:instrText xml:space="preserve"> HYPERLINK \l "bookmark278" </w:instrText>
          </w:r>
          <w:r>
            <w:fldChar w:fldCharType="separate"/>
          </w:r>
          <w:r>
            <w:rPr>
              <w:rFonts w:ascii="Times New Roman" w:hAnsi="Times New Roman" w:eastAsia="Times New Roman" w:cs="Times New Roman"/>
              <w:spacing w:val="3"/>
              <w:position w:val="1"/>
              <w:sz w:val="27"/>
              <w:szCs w:val="27"/>
            </w:rPr>
            <w:t xml:space="preserve">13.1     </w:t>
          </w:r>
          <w:r>
            <w:rPr>
              <w:rFonts w:ascii="仿宋" w:hAnsi="仿宋" w:eastAsia="仿宋" w:cs="仿宋"/>
              <w:spacing w:val="3"/>
              <w:position w:val="1"/>
              <w:sz w:val="27"/>
              <w:szCs w:val="27"/>
            </w:rPr>
            <w:t>电磁环境</w:t>
          </w:r>
          <w:r>
            <w:rPr>
              <w:rFonts w:ascii="仿宋" w:hAnsi="仿宋" w:eastAsia="仿宋" w:cs="仿宋"/>
              <w:spacing w:val="-115"/>
              <w:position w:val="1"/>
              <w:sz w:val="27"/>
              <w:szCs w:val="27"/>
            </w:rPr>
            <w:t xml:space="preserve"> </w:t>
          </w:r>
          <w:r>
            <w:rPr>
              <w:rFonts w:ascii="仿宋" w:hAnsi="仿宋" w:eastAsia="仿宋" w:cs="仿宋"/>
              <w:position w:val="1"/>
              <w:sz w:val="27"/>
              <w:szCs w:val="27"/>
            </w:rPr>
            <w:tab/>
          </w:r>
          <w:r>
            <w:rPr>
              <w:spacing w:val="-11"/>
              <w:position w:val="1"/>
              <w:sz w:val="27"/>
              <w:szCs w:val="27"/>
            </w:rPr>
            <w:t>582</w:t>
          </w:r>
          <w:r>
            <w:rPr>
              <w:spacing w:val="-11"/>
              <w:position w:val="1"/>
              <w:sz w:val="27"/>
              <w:szCs w:val="27"/>
            </w:rPr>
            <w:fldChar w:fldCharType="end"/>
          </w:r>
        </w:p>
        <w:p w14:paraId="50A01B69">
          <w:pPr>
            <w:pStyle w:val="2"/>
            <w:tabs>
              <w:tab w:val="right" w:leader="dot" w:pos="9347"/>
            </w:tabs>
            <w:spacing w:before="39" w:line="368" w:lineRule="exact"/>
            <w:ind w:left="546"/>
            <w:rPr>
              <w:sz w:val="27"/>
              <w:szCs w:val="27"/>
            </w:rPr>
          </w:pPr>
          <w:r>
            <w:fldChar w:fldCharType="begin"/>
          </w:r>
          <w:r>
            <w:instrText xml:space="preserve"> HYPERLINK \l "bookmark279" </w:instrText>
          </w:r>
          <w:r>
            <w:fldChar w:fldCharType="separate"/>
          </w:r>
          <w:r>
            <w:rPr>
              <w:rFonts w:ascii="Times New Roman" w:hAnsi="Times New Roman" w:eastAsia="Times New Roman" w:cs="Times New Roman"/>
              <w:spacing w:val="9"/>
              <w:position w:val="2"/>
              <w:sz w:val="27"/>
              <w:szCs w:val="27"/>
            </w:rPr>
            <w:t xml:space="preserve">13.2    </w:t>
          </w:r>
          <w:r>
            <w:rPr>
              <w:rFonts w:ascii="仿宋" w:hAnsi="仿宋" w:eastAsia="仿宋" w:cs="仿宋"/>
              <w:spacing w:val="9"/>
              <w:position w:val="2"/>
              <w:sz w:val="27"/>
              <w:szCs w:val="27"/>
            </w:rPr>
            <w:t>电磁兼容性要求</w:t>
          </w:r>
          <w:r>
            <w:rPr>
              <w:rFonts w:ascii="仿宋" w:hAnsi="仿宋" w:eastAsia="仿宋" w:cs="仿宋"/>
              <w:spacing w:val="-124"/>
              <w:position w:val="2"/>
              <w:sz w:val="27"/>
              <w:szCs w:val="27"/>
            </w:rPr>
            <w:t xml:space="preserve"> </w:t>
          </w:r>
          <w:r>
            <w:rPr>
              <w:rFonts w:ascii="仿宋" w:hAnsi="仿宋" w:eastAsia="仿宋" w:cs="仿宋"/>
              <w:position w:val="2"/>
              <w:sz w:val="27"/>
              <w:szCs w:val="27"/>
            </w:rPr>
            <w:tab/>
          </w:r>
          <w:r>
            <w:rPr>
              <w:spacing w:val="-15"/>
              <w:position w:val="2"/>
              <w:sz w:val="27"/>
              <w:szCs w:val="27"/>
            </w:rPr>
            <w:t>584</w:t>
          </w:r>
          <w:r>
            <w:rPr>
              <w:spacing w:val="-15"/>
              <w:position w:val="2"/>
              <w:sz w:val="27"/>
              <w:szCs w:val="27"/>
            </w:rPr>
            <w:fldChar w:fldCharType="end"/>
          </w:r>
        </w:p>
        <w:p w14:paraId="44E0FE89">
          <w:pPr>
            <w:pStyle w:val="2"/>
            <w:tabs>
              <w:tab w:val="right" w:leader="dot" w:pos="9347"/>
            </w:tabs>
            <w:spacing w:before="22" w:line="368" w:lineRule="exact"/>
            <w:ind w:left="546"/>
            <w:rPr>
              <w:sz w:val="27"/>
              <w:szCs w:val="27"/>
            </w:rPr>
          </w:pPr>
          <w:r>
            <w:fldChar w:fldCharType="begin"/>
          </w:r>
          <w:r>
            <w:instrText xml:space="preserve"> HYPERLINK \l "bookmark280" </w:instrText>
          </w:r>
          <w:r>
            <w:fldChar w:fldCharType="separate"/>
          </w:r>
          <w:r>
            <w:rPr>
              <w:rFonts w:ascii="Times New Roman" w:hAnsi="Times New Roman" w:eastAsia="Times New Roman" w:cs="Times New Roman"/>
              <w:spacing w:val="7"/>
              <w:position w:val="2"/>
              <w:sz w:val="27"/>
              <w:szCs w:val="27"/>
            </w:rPr>
            <w:t>13.3</w:t>
          </w:r>
          <w:r>
            <w:rPr>
              <w:rFonts w:ascii="Times New Roman" w:hAnsi="Times New Roman" w:eastAsia="Times New Roman" w:cs="Times New Roman"/>
              <w:spacing w:val="10"/>
              <w:position w:val="2"/>
              <w:sz w:val="27"/>
              <w:szCs w:val="27"/>
            </w:rPr>
            <w:t xml:space="preserve">    </w:t>
          </w:r>
          <w:r>
            <w:rPr>
              <w:rFonts w:ascii="仿宋" w:hAnsi="仿宋" w:eastAsia="仿宋" w:cs="仿宋"/>
              <w:spacing w:val="7"/>
              <w:position w:val="2"/>
              <w:sz w:val="27"/>
              <w:szCs w:val="27"/>
            </w:rPr>
            <w:t>电磁兼容性大纲</w:t>
          </w:r>
          <w:r>
            <w:rPr>
              <w:rFonts w:ascii="仿宋" w:hAnsi="仿宋" w:eastAsia="仿宋" w:cs="仿宋"/>
              <w:position w:val="2"/>
              <w:sz w:val="27"/>
              <w:szCs w:val="27"/>
            </w:rPr>
            <w:tab/>
          </w:r>
          <w:r>
            <w:rPr>
              <w:spacing w:val="-11"/>
              <w:position w:val="2"/>
              <w:sz w:val="27"/>
              <w:szCs w:val="27"/>
            </w:rPr>
            <w:t>587</w:t>
          </w:r>
          <w:r>
            <w:rPr>
              <w:spacing w:val="-11"/>
              <w:position w:val="2"/>
              <w:sz w:val="27"/>
              <w:szCs w:val="27"/>
            </w:rPr>
            <w:fldChar w:fldCharType="end"/>
          </w:r>
        </w:p>
        <w:p w14:paraId="36F28CB5">
          <w:pPr>
            <w:pStyle w:val="2"/>
            <w:tabs>
              <w:tab w:val="right" w:leader="dot" w:pos="9347"/>
            </w:tabs>
            <w:spacing w:before="32" w:line="368" w:lineRule="exact"/>
            <w:ind w:left="546"/>
            <w:rPr>
              <w:sz w:val="27"/>
              <w:szCs w:val="27"/>
            </w:rPr>
          </w:pPr>
          <w:r>
            <w:fldChar w:fldCharType="begin"/>
          </w:r>
          <w:r>
            <w:instrText xml:space="preserve"> HYPERLINK \l "bookmark281" </w:instrText>
          </w:r>
          <w:r>
            <w:fldChar w:fldCharType="separate"/>
          </w:r>
          <w:r>
            <w:rPr>
              <w:rFonts w:ascii="Times New Roman" w:hAnsi="Times New Roman" w:eastAsia="Times New Roman" w:cs="Times New Roman"/>
              <w:spacing w:val="2"/>
              <w:position w:val="2"/>
              <w:sz w:val="27"/>
              <w:szCs w:val="27"/>
            </w:rPr>
            <w:t xml:space="preserve">13.4     </w:t>
          </w:r>
          <w:r>
            <w:rPr>
              <w:rFonts w:ascii="仿宋" w:hAnsi="仿宋" w:eastAsia="仿宋" w:cs="仿宋"/>
              <w:spacing w:val="2"/>
              <w:position w:val="2"/>
              <w:sz w:val="27"/>
              <w:szCs w:val="27"/>
            </w:rPr>
            <w:t>电磁兼容性技术组</w:t>
          </w:r>
          <w:r>
            <w:rPr>
              <w:rFonts w:ascii="仿宋" w:hAnsi="仿宋" w:eastAsia="仿宋" w:cs="仿宋"/>
              <w:spacing w:val="-110"/>
              <w:position w:val="2"/>
              <w:sz w:val="27"/>
              <w:szCs w:val="27"/>
            </w:rPr>
            <w:t xml:space="preserve"> </w:t>
          </w:r>
          <w:r>
            <w:rPr>
              <w:rFonts w:ascii="仿宋" w:hAnsi="仿宋" w:eastAsia="仿宋" w:cs="仿宋"/>
              <w:position w:val="2"/>
              <w:sz w:val="27"/>
              <w:szCs w:val="27"/>
            </w:rPr>
            <w:tab/>
          </w:r>
          <w:r>
            <w:rPr>
              <w:spacing w:val="-11"/>
              <w:position w:val="2"/>
              <w:sz w:val="27"/>
              <w:szCs w:val="27"/>
            </w:rPr>
            <w:t>590</w:t>
          </w:r>
          <w:r>
            <w:rPr>
              <w:spacing w:val="-11"/>
              <w:position w:val="2"/>
              <w:sz w:val="27"/>
              <w:szCs w:val="27"/>
            </w:rPr>
            <w:fldChar w:fldCharType="end"/>
          </w:r>
        </w:p>
        <w:p w14:paraId="718E4565">
          <w:pPr>
            <w:pStyle w:val="2"/>
            <w:tabs>
              <w:tab w:val="right" w:leader="dot" w:pos="9382"/>
            </w:tabs>
            <w:spacing w:before="52" w:line="368" w:lineRule="exact"/>
            <w:ind w:left="546"/>
            <w:rPr>
              <w:sz w:val="27"/>
              <w:szCs w:val="27"/>
            </w:rPr>
          </w:pPr>
          <w:r>
            <w:fldChar w:fldCharType="begin"/>
          </w:r>
          <w:r>
            <w:instrText xml:space="preserve"> HYPERLINK \l "bookmark282" </w:instrText>
          </w:r>
          <w:r>
            <w:fldChar w:fldCharType="separate"/>
          </w:r>
          <w:r>
            <w:rPr>
              <w:rFonts w:ascii="Times New Roman" w:hAnsi="Times New Roman" w:eastAsia="Times New Roman" w:cs="Times New Roman"/>
              <w:spacing w:val="4"/>
              <w:position w:val="2"/>
              <w:sz w:val="27"/>
              <w:szCs w:val="27"/>
            </w:rPr>
            <w:t xml:space="preserve">13.5     </w:t>
          </w:r>
          <w:r>
            <w:rPr>
              <w:rFonts w:ascii="仿宋" w:hAnsi="仿宋" w:eastAsia="仿宋" w:cs="仿宋"/>
              <w:spacing w:val="4"/>
              <w:position w:val="2"/>
              <w:sz w:val="27"/>
              <w:szCs w:val="27"/>
            </w:rPr>
            <w:t>电磁兼容性控制计划</w:t>
          </w:r>
          <w:r>
            <w:rPr>
              <w:rFonts w:ascii="仿宋" w:hAnsi="仿宋" w:eastAsia="仿宋" w:cs="仿宋"/>
              <w:position w:val="2"/>
              <w:sz w:val="27"/>
              <w:szCs w:val="27"/>
            </w:rPr>
            <w:tab/>
          </w:r>
          <w:r>
            <w:rPr>
              <w:spacing w:val="-5"/>
              <w:position w:val="2"/>
              <w:sz w:val="27"/>
              <w:szCs w:val="27"/>
            </w:rPr>
            <w:t>591</w:t>
          </w:r>
          <w:r>
            <w:rPr>
              <w:spacing w:val="-5"/>
              <w:position w:val="2"/>
              <w:sz w:val="27"/>
              <w:szCs w:val="27"/>
            </w:rPr>
            <w:fldChar w:fldCharType="end"/>
          </w:r>
        </w:p>
        <w:p w14:paraId="30E65560">
          <w:pPr>
            <w:pStyle w:val="2"/>
            <w:tabs>
              <w:tab w:val="right" w:leader="dot" w:pos="9347"/>
            </w:tabs>
            <w:spacing w:before="32" w:line="368" w:lineRule="exact"/>
            <w:ind w:left="546"/>
            <w:rPr>
              <w:sz w:val="27"/>
              <w:szCs w:val="27"/>
            </w:rPr>
          </w:pPr>
          <w:r>
            <w:fldChar w:fldCharType="begin"/>
          </w:r>
          <w:r>
            <w:instrText xml:space="preserve"> HYPERLINK \l "bookmark283" </w:instrText>
          </w:r>
          <w:r>
            <w:fldChar w:fldCharType="separate"/>
          </w:r>
          <w:r>
            <w:rPr>
              <w:rFonts w:ascii="Times New Roman" w:hAnsi="Times New Roman" w:eastAsia="Times New Roman" w:cs="Times New Roman"/>
              <w:spacing w:val="1"/>
              <w:position w:val="2"/>
              <w:sz w:val="27"/>
              <w:szCs w:val="27"/>
            </w:rPr>
            <w:t>13.6</w:t>
          </w:r>
          <w:r>
            <w:rPr>
              <w:rFonts w:ascii="Times New Roman" w:hAnsi="Times New Roman" w:eastAsia="Times New Roman" w:cs="Times New Roman"/>
              <w:spacing w:val="11"/>
              <w:position w:val="2"/>
              <w:sz w:val="27"/>
              <w:szCs w:val="27"/>
            </w:rPr>
            <w:t xml:space="preserve">     </w:t>
          </w:r>
          <w:r>
            <w:rPr>
              <w:rFonts w:ascii="仿宋" w:hAnsi="仿宋" w:eastAsia="仿宋" w:cs="仿宋"/>
              <w:spacing w:val="1"/>
              <w:position w:val="2"/>
              <w:sz w:val="27"/>
              <w:szCs w:val="27"/>
            </w:rPr>
            <w:t>电磁兼容性设计方案</w:t>
          </w:r>
          <w:r>
            <w:rPr>
              <w:rFonts w:ascii="仿宋" w:hAnsi="仿宋" w:eastAsia="仿宋" w:cs="仿宋"/>
              <w:spacing w:val="-125"/>
              <w:position w:val="2"/>
              <w:sz w:val="27"/>
              <w:szCs w:val="27"/>
            </w:rPr>
            <w:t xml:space="preserve"> </w:t>
          </w:r>
          <w:r>
            <w:rPr>
              <w:rFonts w:ascii="仿宋" w:hAnsi="仿宋" w:eastAsia="仿宋" w:cs="仿宋"/>
              <w:position w:val="2"/>
              <w:sz w:val="27"/>
              <w:szCs w:val="27"/>
            </w:rPr>
            <w:tab/>
          </w:r>
          <w:r>
            <w:rPr>
              <w:spacing w:val="-15"/>
              <w:position w:val="2"/>
              <w:sz w:val="27"/>
              <w:szCs w:val="27"/>
            </w:rPr>
            <w:t>593</w:t>
          </w:r>
          <w:r>
            <w:rPr>
              <w:spacing w:val="-15"/>
              <w:position w:val="2"/>
              <w:sz w:val="27"/>
              <w:szCs w:val="27"/>
            </w:rPr>
            <w:fldChar w:fldCharType="end"/>
          </w:r>
        </w:p>
        <w:p w14:paraId="24464503">
          <w:pPr>
            <w:pStyle w:val="2"/>
            <w:tabs>
              <w:tab w:val="right" w:leader="dot" w:pos="9345"/>
            </w:tabs>
            <w:spacing w:before="42" w:line="368" w:lineRule="exact"/>
            <w:ind w:left="546"/>
            <w:rPr>
              <w:sz w:val="27"/>
              <w:szCs w:val="27"/>
            </w:rPr>
          </w:pPr>
          <w:r>
            <w:fldChar w:fldCharType="begin"/>
          </w:r>
          <w:r>
            <w:instrText xml:space="preserve"> HYPERLINK \l "bookmark284" </w:instrText>
          </w:r>
          <w:r>
            <w:fldChar w:fldCharType="separate"/>
          </w:r>
          <w:r>
            <w:rPr>
              <w:rFonts w:ascii="Times New Roman" w:hAnsi="Times New Roman" w:eastAsia="Times New Roman" w:cs="Times New Roman"/>
              <w:position w:val="2"/>
              <w:sz w:val="27"/>
              <w:szCs w:val="27"/>
            </w:rPr>
            <w:t xml:space="preserve">13.7      </w:t>
          </w:r>
          <w:r>
            <w:rPr>
              <w:rFonts w:ascii="仿宋" w:hAnsi="仿宋" w:eastAsia="仿宋" w:cs="仿宋"/>
              <w:position w:val="2"/>
              <w:sz w:val="27"/>
              <w:szCs w:val="27"/>
            </w:rPr>
            <w:t>电磁兼容性预测与分析</w:t>
          </w:r>
          <w:r>
            <w:rPr>
              <w:rFonts w:ascii="仿宋" w:hAnsi="仿宋" w:eastAsia="仿宋" w:cs="仿宋"/>
              <w:spacing w:val="-104"/>
              <w:position w:val="2"/>
              <w:sz w:val="27"/>
              <w:szCs w:val="27"/>
            </w:rPr>
            <w:t xml:space="preserve"> </w:t>
          </w:r>
          <w:r>
            <w:rPr>
              <w:rFonts w:ascii="仿宋" w:hAnsi="仿宋" w:eastAsia="仿宋" w:cs="仿宋"/>
              <w:position w:val="2"/>
              <w:sz w:val="27"/>
              <w:szCs w:val="27"/>
            </w:rPr>
            <w:tab/>
          </w:r>
          <w:r>
            <w:rPr>
              <w:spacing w:val="-12"/>
              <w:position w:val="2"/>
              <w:sz w:val="27"/>
              <w:szCs w:val="27"/>
            </w:rPr>
            <w:t>595</w:t>
          </w:r>
          <w:r>
            <w:rPr>
              <w:spacing w:val="-12"/>
              <w:position w:val="2"/>
              <w:sz w:val="27"/>
              <w:szCs w:val="27"/>
            </w:rPr>
            <w:fldChar w:fldCharType="end"/>
          </w:r>
        </w:p>
        <w:p w14:paraId="70E17DF0">
          <w:pPr>
            <w:pStyle w:val="2"/>
            <w:tabs>
              <w:tab w:val="right" w:leader="dot" w:pos="9347"/>
            </w:tabs>
            <w:spacing w:before="52" w:line="368" w:lineRule="exact"/>
            <w:ind w:left="546"/>
            <w:rPr>
              <w:sz w:val="27"/>
              <w:szCs w:val="27"/>
            </w:rPr>
          </w:pPr>
          <w:r>
            <w:fldChar w:fldCharType="begin"/>
          </w:r>
          <w:r>
            <w:instrText xml:space="preserve"> HYPERLINK \l "bookmark285" </w:instrText>
          </w:r>
          <w:r>
            <w:fldChar w:fldCharType="separate"/>
          </w:r>
          <w:r>
            <w:rPr>
              <w:rFonts w:ascii="Times New Roman" w:hAnsi="Times New Roman" w:eastAsia="Times New Roman" w:cs="Times New Roman"/>
              <w:spacing w:val="7"/>
              <w:position w:val="2"/>
              <w:sz w:val="27"/>
              <w:szCs w:val="27"/>
            </w:rPr>
            <w:t>13.8</w:t>
          </w:r>
          <w:r>
            <w:rPr>
              <w:rFonts w:ascii="Times New Roman" w:hAnsi="Times New Roman" w:eastAsia="Times New Roman" w:cs="Times New Roman"/>
              <w:spacing w:val="9"/>
              <w:position w:val="2"/>
              <w:sz w:val="27"/>
              <w:szCs w:val="27"/>
            </w:rPr>
            <w:t xml:space="preserve">    </w:t>
          </w:r>
          <w:r>
            <w:rPr>
              <w:rFonts w:ascii="仿宋" w:hAnsi="仿宋" w:eastAsia="仿宋" w:cs="仿宋"/>
              <w:spacing w:val="7"/>
              <w:position w:val="2"/>
              <w:sz w:val="27"/>
              <w:szCs w:val="27"/>
            </w:rPr>
            <w:t>电磁兼容性试验计划</w:t>
          </w:r>
          <w:r>
            <w:rPr>
              <w:rFonts w:ascii="仿宋" w:hAnsi="仿宋" w:eastAsia="仿宋" w:cs="仿宋"/>
              <w:position w:val="2"/>
              <w:sz w:val="27"/>
              <w:szCs w:val="27"/>
            </w:rPr>
            <w:tab/>
          </w:r>
          <w:r>
            <w:rPr>
              <w:spacing w:val="-11"/>
              <w:position w:val="2"/>
              <w:sz w:val="27"/>
              <w:szCs w:val="27"/>
            </w:rPr>
            <w:t>597</w:t>
          </w:r>
          <w:r>
            <w:rPr>
              <w:spacing w:val="-11"/>
              <w:position w:val="2"/>
              <w:sz w:val="27"/>
              <w:szCs w:val="27"/>
            </w:rPr>
            <w:fldChar w:fldCharType="end"/>
          </w:r>
        </w:p>
        <w:p w14:paraId="259BD642">
          <w:pPr>
            <w:pStyle w:val="2"/>
            <w:tabs>
              <w:tab w:val="right" w:leader="dot" w:pos="9365"/>
            </w:tabs>
            <w:spacing w:before="52" w:line="368" w:lineRule="exact"/>
            <w:ind w:left="546"/>
            <w:rPr>
              <w:sz w:val="27"/>
              <w:szCs w:val="27"/>
            </w:rPr>
          </w:pPr>
          <w:r>
            <w:fldChar w:fldCharType="begin"/>
          </w:r>
          <w:r>
            <w:instrText xml:space="preserve"> HYPERLINK \l "bookmark286" </w:instrText>
          </w:r>
          <w:r>
            <w:fldChar w:fldCharType="separate"/>
          </w:r>
          <w:r>
            <w:rPr>
              <w:rFonts w:ascii="Times New Roman" w:hAnsi="Times New Roman" w:eastAsia="Times New Roman" w:cs="Times New Roman"/>
              <w:spacing w:val="3"/>
              <w:position w:val="2"/>
              <w:sz w:val="27"/>
              <w:szCs w:val="27"/>
            </w:rPr>
            <w:t xml:space="preserve">13.9     </w:t>
          </w:r>
          <w:r>
            <w:rPr>
              <w:rFonts w:ascii="仿宋" w:hAnsi="仿宋" w:eastAsia="仿宋" w:cs="仿宋"/>
              <w:spacing w:val="3"/>
              <w:position w:val="2"/>
              <w:sz w:val="27"/>
              <w:szCs w:val="27"/>
            </w:rPr>
            <w:t>电磁兼容性试验大纲</w:t>
          </w:r>
          <w:r>
            <w:rPr>
              <w:rFonts w:ascii="仿宋" w:hAnsi="仿宋" w:eastAsia="仿宋" w:cs="仿宋"/>
              <w:position w:val="2"/>
              <w:sz w:val="27"/>
              <w:szCs w:val="27"/>
            </w:rPr>
            <w:tab/>
          </w:r>
          <w:r>
            <w:rPr>
              <w:spacing w:val="-3"/>
              <w:position w:val="2"/>
              <w:sz w:val="27"/>
              <w:szCs w:val="27"/>
            </w:rPr>
            <w:t>599</w:t>
          </w:r>
          <w:r>
            <w:rPr>
              <w:spacing w:val="-3"/>
              <w:position w:val="2"/>
              <w:sz w:val="27"/>
              <w:szCs w:val="27"/>
            </w:rPr>
            <w:fldChar w:fldCharType="end"/>
          </w:r>
        </w:p>
        <w:p w14:paraId="069FD40B">
          <w:pPr>
            <w:pStyle w:val="2"/>
            <w:tabs>
              <w:tab w:val="right" w:leader="dot" w:pos="9347"/>
            </w:tabs>
            <w:spacing w:before="22" w:line="368" w:lineRule="exact"/>
            <w:ind w:left="546"/>
            <w:rPr>
              <w:sz w:val="27"/>
              <w:szCs w:val="27"/>
            </w:rPr>
          </w:pPr>
          <w:r>
            <w:fldChar w:fldCharType="begin"/>
          </w:r>
          <w:r>
            <w:instrText xml:space="preserve"> HYPERLINK \l "bookmark287" </w:instrText>
          </w:r>
          <w:r>
            <w:fldChar w:fldCharType="separate"/>
          </w:r>
          <w:r>
            <w:rPr>
              <w:rFonts w:ascii="Times New Roman" w:hAnsi="Times New Roman" w:eastAsia="Times New Roman" w:cs="Times New Roman"/>
              <w:spacing w:val="3"/>
              <w:position w:val="2"/>
              <w:sz w:val="27"/>
              <w:szCs w:val="27"/>
            </w:rPr>
            <w:t xml:space="preserve">13.10     </w:t>
          </w:r>
          <w:r>
            <w:rPr>
              <w:rFonts w:ascii="仿宋" w:hAnsi="仿宋" w:eastAsia="仿宋" w:cs="仿宋"/>
              <w:spacing w:val="3"/>
              <w:position w:val="2"/>
              <w:sz w:val="27"/>
              <w:szCs w:val="27"/>
            </w:rPr>
            <w:t>电磁兼容性试验报告</w:t>
          </w:r>
          <w:r>
            <w:rPr>
              <w:rFonts w:ascii="仿宋" w:hAnsi="仿宋" w:eastAsia="仿宋" w:cs="仿宋"/>
              <w:spacing w:val="-118"/>
              <w:position w:val="2"/>
              <w:sz w:val="27"/>
              <w:szCs w:val="27"/>
            </w:rPr>
            <w:t xml:space="preserve"> </w:t>
          </w:r>
          <w:r>
            <w:rPr>
              <w:rFonts w:ascii="仿宋" w:hAnsi="仿宋" w:eastAsia="仿宋" w:cs="仿宋"/>
              <w:position w:val="2"/>
              <w:sz w:val="27"/>
              <w:szCs w:val="27"/>
            </w:rPr>
            <w:tab/>
          </w:r>
          <w:r>
            <w:rPr>
              <w:spacing w:val="-9"/>
              <w:position w:val="2"/>
              <w:sz w:val="27"/>
              <w:szCs w:val="27"/>
            </w:rPr>
            <w:t>600</w:t>
          </w:r>
          <w:r>
            <w:rPr>
              <w:spacing w:val="-9"/>
              <w:position w:val="2"/>
              <w:sz w:val="27"/>
              <w:szCs w:val="27"/>
            </w:rPr>
            <w:fldChar w:fldCharType="end"/>
          </w:r>
        </w:p>
        <w:p w14:paraId="26BD35C7">
          <w:pPr>
            <w:pStyle w:val="2"/>
            <w:tabs>
              <w:tab w:val="right" w:leader="dot" w:pos="9385"/>
            </w:tabs>
            <w:spacing w:before="32" w:line="368" w:lineRule="exact"/>
            <w:ind w:left="546"/>
            <w:rPr>
              <w:sz w:val="27"/>
              <w:szCs w:val="27"/>
            </w:rPr>
          </w:pPr>
          <w:r>
            <w:fldChar w:fldCharType="begin"/>
          </w:r>
          <w:r>
            <w:instrText xml:space="preserve"> HYPERLINK \l "bookmark288" </w:instrText>
          </w:r>
          <w:r>
            <w:fldChar w:fldCharType="separate"/>
          </w:r>
          <w:r>
            <w:rPr>
              <w:rFonts w:ascii="Times New Roman" w:hAnsi="Times New Roman" w:eastAsia="Times New Roman" w:cs="Times New Roman"/>
              <w:position w:val="2"/>
              <w:sz w:val="27"/>
              <w:szCs w:val="27"/>
            </w:rPr>
            <w:t>13.11</w:t>
          </w:r>
          <w:r>
            <w:rPr>
              <w:rFonts w:ascii="Times New Roman" w:hAnsi="Times New Roman" w:eastAsia="Times New Roman" w:cs="Times New Roman"/>
              <w:spacing w:val="8"/>
              <w:position w:val="2"/>
              <w:sz w:val="27"/>
              <w:szCs w:val="27"/>
            </w:rPr>
            <w:t xml:space="preserve">     </w:t>
          </w:r>
          <w:r>
            <w:rPr>
              <w:rFonts w:ascii="仿宋" w:hAnsi="仿宋" w:eastAsia="仿宋" w:cs="仿宋"/>
              <w:position w:val="2"/>
              <w:sz w:val="27"/>
              <w:szCs w:val="27"/>
            </w:rPr>
            <w:t>电磁兼容性综合评价报告</w:t>
          </w:r>
          <w:r>
            <w:rPr>
              <w:rFonts w:ascii="仿宋" w:hAnsi="仿宋" w:eastAsia="仿宋" w:cs="仿宋"/>
              <w:spacing w:val="39"/>
              <w:position w:val="2"/>
              <w:sz w:val="27"/>
              <w:szCs w:val="27"/>
            </w:rPr>
            <w:t xml:space="preserve"> </w:t>
          </w:r>
          <w:r>
            <w:rPr>
              <w:rFonts w:ascii="仿宋" w:hAnsi="仿宋" w:eastAsia="仿宋" w:cs="仿宋"/>
              <w:position w:val="2"/>
              <w:sz w:val="27"/>
              <w:szCs w:val="27"/>
            </w:rPr>
            <w:tab/>
          </w:r>
          <w:r>
            <w:rPr>
              <w:spacing w:val="-7"/>
              <w:position w:val="2"/>
              <w:sz w:val="27"/>
              <w:szCs w:val="27"/>
            </w:rPr>
            <w:t>601</w:t>
          </w:r>
          <w:r>
            <w:rPr>
              <w:spacing w:val="-7"/>
              <w:position w:val="2"/>
              <w:sz w:val="27"/>
              <w:szCs w:val="27"/>
            </w:rPr>
            <w:fldChar w:fldCharType="end"/>
          </w:r>
        </w:p>
        <w:p w14:paraId="25D4DAED">
          <w:pPr>
            <w:pStyle w:val="2"/>
            <w:tabs>
              <w:tab w:val="right" w:leader="dot" w:pos="9347"/>
            </w:tabs>
            <w:spacing w:before="52" w:line="368" w:lineRule="exact"/>
            <w:ind w:left="546"/>
            <w:rPr>
              <w:sz w:val="27"/>
              <w:szCs w:val="27"/>
            </w:rPr>
          </w:pPr>
          <w:r>
            <w:fldChar w:fldCharType="begin"/>
          </w:r>
          <w:r>
            <w:instrText xml:space="preserve"> HYPERLINK \l "bookmark289" </w:instrText>
          </w:r>
          <w:r>
            <w:fldChar w:fldCharType="separate"/>
          </w:r>
          <w:r>
            <w:rPr>
              <w:rFonts w:ascii="Times New Roman" w:hAnsi="Times New Roman" w:eastAsia="Times New Roman" w:cs="Times New Roman"/>
              <w:spacing w:val="5"/>
              <w:position w:val="2"/>
              <w:sz w:val="27"/>
              <w:szCs w:val="27"/>
            </w:rPr>
            <w:t>13.12</w:t>
          </w:r>
          <w:r>
            <w:rPr>
              <w:rFonts w:ascii="Times New Roman" w:hAnsi="Times New Roman" w:eastAsia="Times New Roman" w:cs="Times New Roman"/>
              <w:spacing w:val="13"/>
              <w:position w:val="2"/>
              <w:sz w:val="27"/>
              <w:szCs w:val="27"/>
            </w:rPr>
            <w:t xml:space="preserve">    </w:t>
          </w:r>
          <w:r>
            <w:rPr>
              <w:rFonts w:ascii="仿宋" w:hAnsi="仿宋" w:eastAsia="仿宋" w:cs="仿宋"/>
              <w:spacing w:val="5"/>
              <w:position w:val="2"/>
              <w:sz w:val="27"/>
              <w:szCs w:val="27"/>
            </w:rPr>
            <w:t>电磁兼容性培训计划</w:t>
          </w:r>
          <w:r>
            <w:rPr>
              <w:rFonts w:ascii="仿宋" w:hAnsi="仿宋" w:eastAsia="仿宋" w:cs="仿宋"/>
              <w:position w:val="2"/>
              <w:sz w:val="27"/>
              <w:szCs w:val="27"/>
            </w:rPr>
            <w:tab/>
          </w:r>
          <w:r>
            <w:rPr>
              <w:spacing w:val="-12"/>
              <w:position w:val="2"/>
              <w:sz w:val="27"/>
              <w:szCs w:val="27"/>
            </w:rPr>
            <w:t>603</w:t>
          </w:r>
          <w:r>
            <w:rPr>
              <w:spacing w:val="-12"/>
              <w:position w:val="2"/>
              <w:sz w:val="27"/>
              <w:szCs w:val="27"/>
            </w:rPr>
            <w:fldChar w:fldCharType="end"/>
          </w:r>
        </w:p>
        <w:p w14:paraId="43C6F877">
          <w:pPr>
            <w:pStyle w:val="2"/>
            <w:tabs>
              <w:tab w:val="right" w:leader="dot" w:pos="9347"/>
            </w:tabs>
            <w:spacing w:before="46" w:line="368" w:lineRule="exact"/>
            <w:ind w:left="546"/>
            <w:rPr>
              <w:sz w:val="27"/>
              <w:szCs w:val="27"/>
            </w:rPr>
          </w:pPr>
          <w:r>
            <w:fldChar w:fldCharType="begin"/>
          </w:r>
          <w:r>
            <w:instrText xml:space="preserve"> HYPERLINK \l "bookmark290" </w:instrText>
          </w:r>
          <w:r>
            <w:fldChar w:fldCharType="separate"/>
          </w:r>
          <w:r>
            <w:rPr>
              <w:rFonts w:ascii="Times New Roman" w:hAnsi="Times New Roman" w:eastAsia="Times New Roman" w:cs="Times New Roman"/>
              <w:spacing w:val="-1"/>
              <w:position w:val="1"/>
              <w:sz w:val="27"/>
              <w:szCs w:val="27"/>
            </w:rPr>
            <w:t>13.13</w:t>
          </w:r>
          <w:r>
            <w:rPr>
              <w:rFonts w:ascii="Times New Roman" w:hAnsi="Times New Roman" w:eastAsia="Times New Roman" w:cs="Times New Roman"/>
              <w:spacing w:val="12"/>
              <w:position w:val="1"/>
              <w:sz w:val="27"/>
              <w:szCs w:val="27"/>
            </w:rPr>
            <w:t xml:space="preserve">     </w:t>
          </w:r>
          <w:r>
            <w:rPr>
              <w:rFonts w:ascii="仿宋" w:hAnsi="仿宋" w:eastAsia="仿宋" w:cs="仿宋"/>
              <w:spacing w:val="-1"/>
              <w:position w:val="1"/>
              <w:sz w:val="27"/>
              <w:szCs w:val="27"/>
            </w:rPr>
            <w:t>频率使用管理文件</w:t>
          </w:r>
          <w:r>
            <w:rPr>
              <w:rFonts w:ascii="仿宋" w:hAnsi="仿宋" w:eastAsia="仿宋" w:cs="仿宋"/>
              <w:spacing w:val="-118"/>
              <w:position w:val="1"/>
              <w:sz w:val="27"/>
              <w:szCs w:val="27"/>
            </w:rPr>
            <w:t xml:space="preserve"> </w:t>
          </w:r>
          <w:r>
            <w:rPr>
              <w:rFonts w:ascii="仿宋" w:hAnsi="仿宋" w:eastAsia="仿宋" w:cs="仿宋"/>
              <w:position w:val="1"/>
              <w:sz w:val="27"/>
              <w:szCs w:val="27"/>
            </w:rPr>
            <w:tab/>
          </w:r>
          <w:r>
            <w:rPr>
              <w:spacing w:val="-9"/>
              <w:position w:val="1"/>
              <w:sz w:val="27"/>
              <w:szCs w:val="27"/>
            </w:rPr>
            <w:t>604</w:t>
          </w:r>
          <w:r>
            <w:rPr>
              <w:spacing w:val="-9"/>
              <w:position w:val="1"/>
              <w:sz w:val="27"/>
              <w:szCs w:val="27"/>
            </w:rPr>
            <w:fldChar w:fldCharType="end"/>
          </w:r>
        </w:p>
        <w:p w14:paraId="58330B12">
          <w:pPr>
            <w:pStyle w:val="2"/>
            <w:tabs>
              <w:tab w:val="right" w:leader="dot" w:pos="9342"/>
            </w:tabs>
            <w:spacing w:before="117" w:line="213" w:lineRule="auto"/>
            <w:rPr>
              <w:sz w:val="27"/>
              <w:szCs w:val="27"/>
            </w:rPr>
          </w:pPr>
          <w:r>
            <w:fldChar w:fldCharType="begin"/>
          </w:r>
          <w:r>
            <w:instrText xml:space="preserve"> HYPERLINK \l "bookmark291" </w:instrText>
          </w:r>
          <w:r>
            <w:fldChar w:fldCharType="separate"/>
          </w:r>
          <w:r>
            <w:rPr>
              <w:rFonts w:ascii="黑体" w:hAnsi="黑体" w:eastAsia="黑体" w:cs="黑体"/>
              <w:b/>
              <w:bCs/>
              <w:spacing w:val="-13"/>
              <w:sz w:val="24"/>
              <w:szCs w:val="24"/>
            </w:rPr>
            <w:t>第</w:t>
          </w:r>
          <w:r>
            <w:rPr>
              <w:rFonts w:ascii="黑体" w:hAnsi="黑体" w:eastAsia="黑体" w:cs="黑体"/>
              <w:spacing w:val="-21"/>
              <w:sz w:val="24"/>
              <w:szCs w:val="24"/>
            </w:rPr>
            <w:t xml:space="preserve"> </w:t>
          </w:r>
          <w:r>
            <w:rPr>
              <w:rFonts w:ascii="黑体" w:hAnsi="黑体" w:eastAsia="黑体" w:cs="黑体"/>
              <w:b/>
              <w:bCs/>
              <w:spacing w:val="-13"/>
              <w:sz w:val="24"/>
              <w:szCs w:val="24"/>
            </w:rPr>
            <w:t>1</w:t>
          </w:r>
          <w:r>
            <w:rPr>
              <w:rFonts w:ascii="黑体" w:hAnsi="黑体" w:eastAsia="黑体" w:cs="黑体"/>
              <w:spacing w:val="-40"/>
              <w:sz w:val="24"/>
              <w:szCs w:val="24"/>
            </w:rPr>
            <w:t xml:space="preserve"> </w:t>
          </w:r>
          <w:r>
            <w:rPr>
              <w:rFonts w:ascii="黑体" w:hAnsi="黑体" w:eastAsia="黑体" w:cs="黑体"/>
              <w:b/>
              <w:bCs/>
              <w:spacing w:val="-13"/>
              <w:sz w:val="24"/>
              <w:szCs w:val="24"/>
            </w:rPr>
            <w:t>4</w:t>
          </w:r>
          <w:r>
            <w:rPr>
              <w:rFonts w:ascii="黑体" w:hAnsi="黑体" w:eastAsia="黑体" w:cs="黑体"/>
              <w:spacing w:val="-32"/>
              <w:sz w:val="24"/>
              <w:szCs w:val="24"/>
            </w:rPr>
            <w:t xml:space="preserve"> </w:t>
          </w:r>
          <w:r>
            <w:rPr>
              <w:rFonts w:ascii="黑体" w:hAnsi="黑体" w:eastAsia="黑体" w:cs="黑体"/>
              <w:b/>
              <w:bCs/>
              <w:spacing w:val="-13"/>
              <w:sz w:val="24"/>
              <w:szCs w:val="24"/>
            </w:rPr>
            <w:t>章</w:t>
          </w:r>
          <w:r>
            <w:rPr>
              <w:rFonts w:ascii="黑体" w:hAnsi="黑体" w:eastAsia="黑体" w:cs="黑体"/>
              <w:spacing w:val="72"/>
              <w:sz w:val="24"/>
              <w:szCs w:val="24"/>
            </w:rPr>
            <w:t xml:space="preserve"> </w:t>
          </w:r>
          <w:r>
            <w:rPr>
              <w:rFonts w:ascii="黑体" w:hAnsi="黑体" w:eastAsia="黑体" w:cs="黑体"/>
              <w:b/>
              <w:bCs/>
              <w:spacing w:val="-13"/>
              <w:sz w:val="24"/>
              <w:szCs w:val="24"/>
            </w:rPr>
            <w:t>人</w:t>
          </w:r>
          <w:r>
            <w:rPr>
              <w:rFonts w:ascii="黑体" w:hAnsi="黑体" w:eastAsia="黑体" w:cs="黑体"/>
              <w:spacing w:val="-48"/>
              <w:sz w:val="24"/>
              <w:szCs w:val="24"/>
            </w:rPr>
            <w:t xml:space="preserve"> </w:t>
          </w:r>
          <w:r>
            <w:rPr>
              <w:rFonts w:ascii="黑体" w:hAnsi="黑体" w:eastAsia="黑体" w:cs="黑体"/>
              <w:b/>
              <w:bCs/>
              <w:spacing w:val="-13"/>
              <w:sz w:val="24"/>
              <w:szCs w:val="24"/>
            </w:rPr>
            <w:t>机</w:t>
          </w:r>
          <w:r>
            <w:rPr>
              <w:rFonts w:ascii="黑体" w:hAnsi="黑体" w:eastAsia="黑体" w:cs="黑体"/>
              <w:spacing w:val="-45"/>
              <w:sz w:val="24"/>
              <w:szCs w:val="24"/>
            </w:rPr>
            <w:t xml:space="preserve"> </w:t>
          </w:r>
          <w:r>
            <w:rPr>
              <w:rFonts w:ascii="黑体" w:hAnsi="黑体" w:eastAsia="黑体" w:cs="黑体"/>
              <w:b/>
              <w:bCs/>
              <w:spacing w:val="-13"/>
              <w:sz w:val="24"/>
              <w:szCs w:val="24"/>
            </w:rPr>
            <w:t>工</w:t>
          </w:r>
          <w:r>
            <w:rPr>
              <w:rFonts w:ascii="黑体" w:hAnsi="黑体" w:eastAsia="黑体" w:cs="黑体"/>
              <w:spacing w:val="-47"/>
              <w:sz w:val="24"/>
              <w:szCs w:val="24"/>
            </w:rPr>
            <w:t xml:space="preserve"> </w:t>
          </w:r>
          <w:r>
            <w:rPr>
              <w:rFonts w:ascii="黑体" w:hAnsi="黑体" w:eastAsia="黑体" w:cs="黑体"/>
              <w:b/>
              <w:bCs/>
              <w:spacing w:val="-13"/>
              <w:sz w:val="24"/>
              <w:szCs w:val="24"/>
            </w:rPr>
            <w:t>程</w:t>
          </w:r>
          <w:r>
            <w:rPr>
              <w:rFonts w:ascii="黑体" w:hAnsi="黑体" w:eastAsia="黑体" w:cs="黑体"/>
              <w:spacing w:val="-43"/>
              <w:sz w:val="24"/>
              <w:szCs w:val="24"/>
            </w:rPr>
            <w:t xml:space="preserve"> </w:t>
          </w:r>
          <w:r>
            <w:rPr>
              <w:rFonts w:ascii="黑体" w:hAnsi="黑体" w:eastAsia="黑体" w:cs="黑体"/>
              <w:b/>
              <w:bCs/>
              <w:spacing w:val="-13"/>
              <w:sz w:val="24"/>
              <w:szCs w:val="24"/>
            </w:rPr>
            <w:t>文</w:t>
          </w:r>
          <w:r>
            <w:rPr>
              <w:rFonts w:ascii="黑体" w:hAnsi="黑体" w:eastAsia="黑体" w:cs="黑体"/>
              <w:spacing w:val="-48"/>
              <w:sz w:val="24"/>
              <w:szCs w:val="24"/>
            </w:rPr>
            <w:t xml:space="preserve"> </w:t>
          </w:r>
          <w:r>
            <w:rPr>
              <w:rFonts w:ascii="黑体" w:hAnsi="黑体" w:eastAsia="黑体" w:cs="黑体"/>
              <w:b/>
              <w:bCs/>
              <w:spacing w:val="-13"/>
              <w:sz w:val="24"/>
              <w:szCs w:val="24"/>
            </w:rPr>
            <w:t>件</w:t>
          </w:r>
          <w:r>
            <w:rPr>
              <w:rFonts w:ascii="黑体" w:hAnsi="黑体" w:eastAsia="黑体" w:cs="黑体"/>
              <w:spacing w:val="-98"/>
              <w:sz w:val="24"/>
              <w:szCs w:val="24"/>
            </w:rPr>
            <w:t xml:space="preserve"> </w:t>
          </w:r>
          <w:r>
            <w:rPr>
              <w:rFonts w:ascii="黑体" w:hAnsi="黑体" w:eastAsia="黑体" w:cs="黑体"/>
              <w:sz w:val="24"/>
              <w:szCs w:val="24"/>
            </w:rPr>
            <w:tab/>
          </w:r>
          <w:r>
            <w:rPr>
              <w:b/>
              <w:bCs/>
              <w:spacing w:val="-11"/>
              <w:sz w:val="27"/>
              <w:szCs w:val="27"/>
            </w:rPr>
            <w:t>605</w:t>
          </w:r>
          <w:r>
            <w:rPr>
              <w:b/>
              <w:bCs/>
              <w:spacing w:val="-11"/>
              <w:sz w:val="27"/>
              <w:szCs w:val="27"/>
            </w:rPr>
            <w:fldChar w:fldCharType="end"/>
          </w:r>
        </w:p>
        <w:p w14:paraId="01205A53">
          <w:pPr>
            <w:pStyle w:val="2"/>
            <w:tabs>
              <w:tab w:val="right" w:leader="dot" w:pos="9345"/>
            </w:tabs>
            <w:spacing w:before="47" w:line="368" w:lineRule="exact"/>
            <w:ind w:left="546"/>
            <w:rPr>
              <w:sz w:val="27"/>
              <w:szCs w:val="27"/>
            </w:rPr>
          </w:pPr>
          <w:r>
            <w:fldChar w:fldCharType="begin"/>
          </w:r>
          <w:r>
            <w:instrText xml:space="preserve"> HYPERLINK \l "bookmark292" </w:instrText>
          </w:r>
          <w:r>
            <w:fldChar w:fldCharType="separate"/>
          </w:r>
          <w:r>
            <w:rPr>
              <w:rFonts w:ascii="Times New Roman" w:hAnsi="Times New Roman" w:eastAsia="Times New Roman" w:cs="Times New Roman"/>
              <w:spacing w:val="2"/>
              <w:position w:val="1"/>
              <w:sz w:val="27"/>
              <w:szCs w:val="27"/>
            </w:rPr>
            <w:t>14.1</w:t>
          </w:r>
          <w:r>
            <w:rPr>
              <w:rFonts w:ascii="Times New Roman" w:hAnsi="Times New Roman" w:eastAsia="Times New Roman" w:cs="Times New Roman"/>
              <w:spacing w:val="8"/>
              <w:position w:val="1"/>
              <w:sz w:val="27"/>
              <w:szCs w:val="27"/>
            </w:rPr>
            <w:t xml:space="preserve">     </w:t>
          </w:r>
          <w:r>
            <w:rPr>
              <w:rFonts w:ascii="仿宋" w:hAnsi="仿宋" w:eastAsia="仿宋" w:cs="仿宋"/>
              <w:spacing w:val="2"/>
              <w:position w:val="1"/>
              <w:sz w:val="27"/>
              <w:szCs w:val="27"/>
            </w:rPr>
            <w:t>人机工程要求</w:t>
          </w:r>
          <w:r>
            <w:rPr>
              <w:rFonts w:ascii="仿宋" w:hAnsi="仿宋" w:eastAsia="仿宋" w:cs="仿宋"/>
              <w:spacing w:val="-127"/>
              <w:position w:val="1"/>
              <w:sz w:val="27"/>
              <w:szCs w:val="27"/>
            </w:rPr>
            <w:t xml:space="preserve"> </w:t>
          </w:r>
          <w:r>
            <w:rPr>
              <w:rFonts w:ascii="仿宋" w:hAnsi="仿宋" w:eastAsia="仿宋" w:cs="仿宋"/>
              <w:position w:val="1"/>
              <w:sz w:val="27"/>
              <w:szCs w:val="27"/>
            </w:rPr>
            <w:tab/>
          </w:r>
          <w:r>
            <w:rPr>
              <w:spacing w:val="-13"/>
              <w:position w:val="1"/>
              <w:sz w:val="27"/>
              <w:szCs w:val="27"/>
            </w:rPr>
            <w:t>605</w:t>
          </w:r>
          <w:r>
            <w:rPr>
              <w:spacing w:val="-13"/>
              <w:position w:val="1"/>
              <w:sz w:val="27"/>
              <w:szCs w:val="27"/>
            </w:rPr>
            <w:fldChar w:fldCharType="end"/>
          </w:r>
        </w:p>
        <w:p w14:paraId="004F60EA">
          <w:pPr>
            <w:pStyle w:val="2"/>
            <w:tabs>
              <w:tab w:val="right" w:leader="dot" w:pos="9347"/>
            </w:tabs>
            <w:spacing w:before="42" w:line="368" w:lineRule="exact"/>
            <w:ind w:left="546"/>
            <w:rPr>
              <w:sz w:val="27"/>
              <w:szCs w:val="27"/>
            </w:rPr>
          </w:pPr>
          <w:r>
            <w:fldChar w:fldCharType="begin"/>
          </w:r>
          <w:r>
            <w:instrText xml:space="preserve"> HYPERLINK \l "bookmark293" </w:instrText>
          </w:r>
          <w:r>
            <w:fldChar w:fldCharType="separate"/>
          </w:r>
          <w:r>
            <w:rPr>
              <w:rFonts w:ascii="Times New Roman" w:hAnsi="Times New Roman" w:eastAsia="Times New Roman" w:cs="Times New Roman"/>
              <w:spacing w:val="1"/>
              <w:position w:val="1"/>
              <w:sz w:val="27"/>
              <w:szCs w:val="27"/>
            </w:rPr>
            <w:t>14.2</w:t>
          </w:r>
          <w:r>
            <w:rPr>
              <w:rFonts w:ascii="Times New Roman" w:hAnsi="Times New Roman" w:eastAsia="Times New Roman" w:cs="Times New Roman"/>
              <w:spacing w:val="10"/>
              <w:position w:val="1"/>
              <w:sz w:val="27"/>
              <w:szCs w:val="27"/>
            </w:rPr>
            <w:t xml:space="preserve">     </w:t>
          </w:r>
          <w:r>
            <w:rPr>
              <w:rFonts w:ascii="仿宋" w:hAnsi="仿宋" w:eastAsia="仿宋" w:cs="仿宋"/>
              <w:spacing w:val="1"/>
              <w:position w:val="1"/>
              <w:sz w:val="27"/>
              <w:szCs w:val="27"/>
            </w:rPr>
            <w:t>人机工程设计准则</w:t>
          </w:r>
          <w:r>
            <w:rPr>
              <w:rFonts w:ascii="仿宋" w:hAnsi="仿宋" w:eastAsia="仿宋" w:cs="仿宋"/>
              <w:position w:val="1"/>
              <w:sz w:val="27"/>
              <w:szCs w:val="27"/>
            </w:rPr>
            <w:tab/>
          </w:r>
          <w:r>
            <w:rPr>
              <w:spacing w:val="-11"/>
              <w:position w:val="1"/>
              <w:sz w:val="27"/>
              <w:szCs w:val="27"/>
            </w:rPr>
            <w:t>616</w:t>
          </w:r>
          <w:r>
            <w:rPr>
              <w:spacing w:val="-11"/>
              <w:position w:val="1"/>
              <w:sz w:val="27"/>
              <w:szCs w:val="27"/>
            </w:rPr>
            <w:fldChar w:fldCharType="end"/>
          </w:r>
        </w:p>
        <w:p w14:paraId="630AFCF1">
          <w:pPr>
            <w:pStyle w:val="2"/>
            <w:tabs>
              <w:tab w:val="right" w:leader="dot" w:pos="9347"/>
            </w:tabs>
            <w:spacing w:before="52" w:line="368" w:lineRule="exact"/>
            <w:ind w:left="546"/>
            <w:rPr>
              <w:sz w:val="27"/>
              <w:szCs w:val="27"/>
            </w:rPr>
          </w:pPr>
          <w:r>
            <w:fldChar w:fldCharType="begin"/>
          </w:r>
          <w:r>
            <w:instrText xml:space="preserve"> HYPERLINK \l "bookmark294" </w:instrText>
          </w:r>
          <w:r>
            <w:fldChar w:fldCharType="separate"/>
          </w:r>
          <w:r>
            <w:rPr>
              <w:rFonts w:ascii="Times New Roman" w:hAnsi="Times New Roman" w:eastAsia="Times New Roman" w:cs="Times New Roman"/>
              <w:spacing w:val="1"/>
              <w:position w:val="1"/>
              <w:sz w:val="27"/>
              <w:szCs w:val="27"/>
            </w:rPr>
            <w:t>14.3</w:t>
          </w:r>
          <w:r>
            <w:rPr>
              <w:rFonts w:ascii="Times New Roman" w:hAnsi="Times New Roman" w:eastAsia="Times New Roman" w:cs="Times New Roman"/>
              <w:spacing w:val="12"/>
              <w:position w:val="1"/>
              <w:sz w:val="27"/>
              <w:szCs w:val="27"/>
            </w:rPr>
            <w:t xml:space="preserve">     </w:t>
          </w:r>
          <w:r>
            <w:rPr>
              <w:rFonts w:ascii="仿宋" w:hAnsi="仿宋" w:eastAsia="仿宋" w:cs="仿宋"/>
              <w:spacing w:val="1"/>
              <w:position w:val="1"/>
              <w:sz w:val="27"/>
              <w:szCs w:val="27"/>
            </w:rPr>
            <w:t>人机工程方案计划</w:t>
          </w:r>
          <w:r>
            <w:rPr>
              <w:rFonts w:ascii="仿宋" w:hAnsi="仿宋" w:eastAsia="仿宋" w:cs="仿宋"/>
              <w:position w:val="1"/>
              <w:sz w:val="27"/>
              <w:szCs w:val="27"/>
            </w:rPr>
            <w:tab/>
          </w:r>
          <w:r>
            <w:rPr>
              <w:spacing w:val="-13"/>
              <w:position w:val="1"/>
              <w:sz w:val="27"/>
              <w:szCs w:val="27"/>
            </w:rPr>
            <w:t>619</w:t>
          </w:r>
          <w:r>
            <w:rPr>
              <w:spacing w:val="-13"/>
              <w:position w:val="1"/>
              <w:sz w:val="27"/>
              <w:szCs w:val="27"/>
            </w:rPr>
            <w:fldChar w:fldCharType="end"/>
          </w:r>
        </w:p>
        <w:p w14:paraId="236EB200">
          <w:pPr>
            <w:pStyle w:val="2"/>
            <w:tabs>
              <w:tab w:val="right" w:leader="dot" w:pos="9347"/>
            </w:tabs>
            <w:spacing w:before="22" w:line="368" w:lineRule="exact"/>
            <w:ind w:left="546"/>
            <w:rPr>
              <w:sz w:val="27"/>
              <w:szCs w:val="27"/>
            </w:rPr>
          </w:pPr>
          <w:r>
            <w:fldChar w:fldCharType="begin"/>
          </w:r>
          <w:r>
            <w:instrText xml:space="preserve"> HYPERLINK \l "bookmark295" </w:instrText>
          </w:r>
          <w:r>
            <w:fldChar w:fldCharType="separate"/>
          </w:r>
          <w:r>
            <w:rPr>
              <w:rFonts w:ascii="Times New Roman" w:hAnsi="Times New Roman" w:eastAsia="Times New Roman" w:cs="Times New Roman"/>
              <w:spacing w:val="3"/>
              <w:position w:val="1"/>
              <w:sz w:val="27"/>
              <w:szCs w:val="27"/>
            </w:rPr>
            <w:t xml:space="preserve">13.4     </w:t>
          </w:r>
          <w:r>
            <w:rPr>
              <w:rFonts w:ascii="仿宋" w:hAnsi="仿宋" w:eastAsia="仿宋" w:cs="仿宋"/>
              <w:spacing w:val="3"/>
              <w:position w:val="1"/>
              <w:sz w:val="27"/>
              <w:szCs w:val="27"/>
            </w:rPr>
            <w:t>人机工程动态仿真计划</w:t>
          </w:r>
          <w:r>
            <w:rPr>
              <w:rFonts w:ascii="仿宋" w:hAnsi="仿宋" w:eastAsia="仿宋" w:cs="仿宋"/>
              <w:position w:val="1"/>
              <w:sz w:val="27"/>
              <w:szCs w:val="27"/>
            </w:rPr>
            <w:tab/>
          </w:r>
          <w:r>
            <w:rPr>
              <w:spacing w:val="-13"/>
              <w:position w:val="1"/>
              <w:sz w:val="27"/>
              <w:szCs w:val="27"/>
            </w:rPr>
            <w:t>624</w:t>
          </w:r>
          <w:r>
            <w:rPr>
              <w:spacing w:val="-13"/>
              <w:position w:val="1"/>
              <w:sz w:val="27"/>
              <w:szCs w:val="27"/>
            </w:rPr>
            <w:fldChar w:fldCharType="end"/>
          </w:r>
        </w:p>
        <w:p w14:paraId="58C5331B">
          <w:pPr>
            <w:pStyle w:val="2"/>
            <w:tabs>
              <w:tab w:val="right" w:leader="dot" w:pos="9345"/>
            </w:tabs>
            <w:spacing w:before="52" w:line="368" w:lineRule="exact"/>
            <w:ind w:left="546"/>
            <w:rPr>
              <w:sz w:val="27"/>
              <w:szCs w:val="27"/>
            </w:rPr>
          </w:pPr>
          <w:r>
            <w:fldChar w:fldCharType="begin"/>
          </w:r>
          <w:r>
            <w:instrText xml:space="preserve"> HYPERLINK \l "bookmark296" </w:instrText>
          </w:r>
          <w:r>
            <w:fldChar w:fldCharType="separate"/>
          </w:r>
          <w:r>
            <w:rPr>
              <w:rFonts w:ascii="Times New Roman" w:hAnsi="Times New Roman" w:eastAsia="Times New Roman" w:cs="Times New Roman"/>
              <w:spacing w:val="5"/>
              <w:position w:val="1"/>
              <w:sz w:val="27"/>
              <w:szCs w:val="27"/>
            </w:rPr>
            <w:t xml:space="preserve">14.5     </w:t>
          </w:r>
          <w:r>
            <w:rPr>
              <w:rFonts w:ascii="仿宋" w:hAnsi="仿宋" w:eastAsia="仿宋" w:cs="仿宋"/>
              <w:spacing w:val="5"/>
              <w:position w:val="1"/>
              <w:sz w:val="27"/>
              <w:szCs w:val="27"/>
            </w:rPr>
            <w:t>人机工程试验计划</w:t>
          </w:r>
          <w:r>
            <w:rPr>
              <w:rFonts w:ascii="仿宋" w:hAnsi="仿宋" w:eastAsia="仿宋" w:cs="仿宋"/>
              <w:position w:val="1"/>
              <w:sz w:val="27"/>
              <w:szCs w:val="27"/>
            </w:rPr>
            <w:tab/>
          </w:r>
          <w:r>
            <w:rPr>
              <w:spacing w:val="-10"/>
              <w:position w:val="1"/>
              <w:sz w:val="27"/>
              <w:szCs w:val="27"/>
            </w:rPr>
            <w:t>625</w:t>
          </w:r>
          <w:r>
            <w:rPr>
              <w:spacing w:val="-10"/>
              <w:position w:val="1"/>
              <w:sz w:val="27"/>
              <w:szCs w:val="27"/>
            </w:rPr>
            <w:fldChar w:fldCharType="end"/>
          </w:r>
        </w:p>
        <w:p w14:paraId="4ACB1047">
          <w:pPr>
            <w:pStyle w:val="2"/>
            <w:tabs>
              <w:tab w:val="right" w:leader="dot" w:pos="9365"/>
            </w:tabs>
            <w:spacing w:before="41" w:line="368" w:lineRule="exact"/>
            <w:ind w:left="546"/>
            <w:rPr>
              <w:sz w:val="27"/>
              <w:szCs w:val="27"/>
            </w:rPr>
          </w:pPr>
          <w:r>
            <w:fldChar w:fldCharType="begin"/>
          </w:r>
          <w:r>
            <w:instrText xml:space="preserve"> HYPERLINK \l "bookmark297" </w:instrText>
          </w:r>
          <w:r>
            <w:fldChar w:fldCharType="separate"/>
          </w:r>
          <w:r>
            <w:rPr>
              <w:rFonts w:ascii="Times New Roman" w:hAnsi="Times New Roman" w:eastAsia="Times New Roman" w:cs="Times New Roman"/>
              <w:spacing w:val="2"/>
              <w:position w:val="1"/>
              <w:sz w:val="27"/>
              <w:szCs w:val="27"/>
            </w:rPr>
            <w:t>14.6</w:t>
          </w:r>
          <w:r>
            <w:rPr>
              <w:rFonts w:ascii="Times New Roman" w:hAnsi="Times New Roman" w:eastAsia="Times New Roman" w:cs="Times New Roman"/>
              <w:spacing w:val="9"/>
              <w:position w:val="1"/>
              <w:sz w:val="27"/>
              <w:szCs w:val="27"/>
            </w:rPr>
            <w:t xml:space="preserve">     </w:t>
          </w:r>
          <w:r>
            <w:rPr>
              <w:rFonts w:ascii="仿宋" w:hAnsi="仿宋" w:eastAsia="仿宋" w:cs="仿宋"/>
              <w:spacing w:val="2"/>
              <w:position w:val="1"/>
              <w:sz w:val="27"/>
              <w:szCs w:val="27"/>
            </w:rPr>
            <w:t>人机工程系统分析报告</w:t>
          </w:r>
          <w:r>
            <w:rPr>
              <w:rFonts w:ascii="仿宋" w:hAnsi="仿宋" w:eastAsia="仿宋" w:cs="仿宋"/>
              <w:spacing w:val="-109"/>
              <w:position w:val="1"/>
              <w:sz w:val="27"/>
              <w:szCs w:val="27"/>
            </w:rPr>
            <w:t xml:space="preserve"> </w:t>
          </w:r>
          <w:r>
            <w:rPr>
              <w:rFonts w:ascii="仿宋" w:hAnsi="仿宋" w:eastAsia="仿宋" w:cs="仿宋"/>
              <w:position w:val="1"/>
              <w:sz w:val="27"/>
              <w:szCs w:val="27"/>
            </w:rPr>
            <w:tab/>
          </w:r>
          <w:r>
            <w:rPr>
              <w:spacing w:val="-3"/>
              <w:position w:val="1"/>
              <w:sz w:val="27"/>
              <w:szCs w:val="27"/>
            </w:rPr>
            <w:t>627</w:t>
          </w:r>
          <w:r>
            <w:rPr>
              <w:spacing w:val="-3"/>
              <w:position w:val="1"/>
              <w:sz w:val="27"/>
              <w:szCs w:val="27"/>
            </w:rPr>
            <w:fldChar w:fldCharType="end"/>
          </w:r>
        </w:p>
        <w:p w14:paraId="17E4A0C4">
          <w:pPr>
            <w:pStyle w:val="2"/>
            <w:tabs>
              <w:tab w:val="right" w:leader="dot" w:pos="9347"/>
            </w:tabs>
            <w:spacing w:before="32" w:line="368" w:lineRule="exact"/>
            <w:ind w:left="546"/>
            <w:rPr>
              <w:sz w:val="27"/>
              <w:szCs w:val="27"/>
            </w:rPr>
          </w:pPr>
          <w:r>
            <w:fldChar w:fldCharType="begin"/>
          </w:r>
          <w:r>
            <w:instrText xml:space="preserve"> HYPERLINK \l "bookmark298" </w:instrText>
          </w:r>
          <w:r>
            <w:fldChar w:fldCharType="separate"/>
          </w:r>
          <w:r>
            <w:rPr>
              <w:rFonts w:ascii="Times New Roman" w:hAnsi="Times New Roman" w:eastAsia="Times New Roman" w:cs="Times New Roman"/>
              <w:spacing w:val="3"/>
              <w:position w:val="1"/>
              <w:sz w:val="27"/>
              <w:szCs w:val="27"/>
            </w:rPr>
            <w:t xml:space="preserve">14.7     </w:t>
          </w:r>
          <w:r>
            <w:rPr>
              <w:rFonts w:ascii="仿宋" w:hAnsi="仿宋" w:eastAsia="仿宋" w:cs="仿宋"/>
              <w:spacing w:val="3"/>
              <w:position w:val="1"/>
              <w:sz w:val="27"/>
              <w:szCs w:val="27"/>
            </w:rPr>
            <w:t>关键任务分析报告</w:t>
          </w:r>
          <w:r>
            <w:rPr>
              <w:rFonts w:ascii="仿宋" w:hAnsi="仿宋" w:eastAsia="仿宋" w:cs="仿宋"/>
              <w:spacing w:val="-117"/>
              <w:position w:val="1"/>
              <w:sz w:val="27"/>
              <w:szCs w:val="27"/>
            </w:rPr>
            <w:t xml:space="preserve"> </w:t>
          </w:r>
          <w:r>
            <w:rPr>
              <w:rFonts w:ascii="仿宋" w:hAnsi="仿宋" w:eastAsia="仿宋" w:cs="仿宋"/>
              <w:position w:val="1"/>
              <w:sz w:val="27"/>
              <w:szCs w:val="27"/>
            </w:rPr>
            <w:tab/>
          </w:r>
          <w:r>
            <w:rPr>
              <w:spacing w:val="-13"/>
              <w:position w:val="1"/>
              <w:sz w:val="27"/>
              <w:szCs w:val="27"/>
            </w:rPr>
            <w:t>628</w:t>
          </w:r>
          <w:r>
            <w:rPr>
              <w:spacing w:val="-13"/>
              <w:position w:val="1"/>
              <w:sz w:val="27"/>
              <w:szCs w:val="27"/>
            </w:rPr>
            <w:fldChar w:fldCharType="end"/>
          </w:r>
        </w:p>
        <w:p w14:paraId="1118A9C8">
          <w:pPr>
            <w:pStyle w:val="2"/>
            <w:tabs>
              <w:tab w:val="right" w:leader="dot" w:pos="9347"/>
            </w:tabs>
            <w:spacing w:before="39" w:line="368" w:lineRule="exact"/>
            <w:ind w:left="546"/>
            <w:rPr>
              <w:sz w:val="27"/>
              <w:szCs w:val="27"/>
            </w:rPr>
          </w:pPr>
          <w:r>
            <w:fldChar w:fldCharType="begin"/>
          </w:r>
          <w:r>
            <w:instrText xml:space="preserve"> HYPERLINK \l "bookmark299" </w:instrText>
          </w:r>
          <w:r>
            <w:fldChar w:fldCharType="separate"/>
          </w:r>
          <w:r>
            <w:rPr>
              <w:rFonts w:ascii="Times New Roman" w:hAnsi="Times New Roman" w:eastAsia="Times New Roman" w:cs="Times New Roman"/>
              <w:spacing w:val="3"/>
              <w:position w:val="2"/>
              <w:sz w:val="27"/>
              <w:szCs w:val="27"/>
            </w:rPr>
            <w:t xml:space="preserve">14.8     </w:t>
          </w:r>
          <w:r>
            <w:rPr>
              <w:rFonts w:ascii="仿宋" w:hAnsi="仿宋" w:eastAsia="仿宋" w:cs="仿宋"/>
              <w:spacing w:val="3"/>
              <w:position w:val="2"/>
              <w:sz w:val="27"/>
              <w:szCs w:val="27"/>
            </w:rPr>
            <w:t>操作者设计方法文件</w:t>
          </w:r>
          <w:r>
            <w:rPr>
              <w:rFonts w:ascii="仿宋" w:hAnsi="仿宋" w:eastAsia="仿宋" w:cs="仿宋"/>
              <w:spacing w:val="-111"/>
              <w:position w:val="2"/>
              <w:sz w:val="27"/>
              <w:szCs w:val="27"/>
            </w:rPr>
            <w:t xml:space="preserve"> </w:t>
          </w:r>
          <w:r>
            <w:rPr>
              <w:rFonts w:ascii="仿宋" w:hAnsi="仿宋" w:eastAsia="仿宋" w:cs="仿宋"/>
              <w:position w:val="2"/>
              <w:sz w:val="27"/>
              <w:szCs w:val="27"/>
            </w:rPr>
            <w:tab/>
          </w:r>
          <w:r>
            <w:rPr>
              <w:spacing w:val="-15"/>
              <w:position w:val="2"/>
              <w:sz w:val="27"/>
              <w:szCs w:val="27"/>
            </w:rPr>
            <w:t>629</w:t>
          </w:r>
          <w:r>
            <w:rPr>
              <w:spacing w:val="-15"/>
              <w:position w:val="2"/>
              <w:sz w:val="27"/>
              <w:szCs w:val="27"/>
            </w:rPr>
            <w:fldChar w:fldCharType="end"/>
          </w:r>
        </w:p>
        <w:p w14:paraId="094006DC">
          <w:pPr>
            <w:pStyle w:val="2"/>
            <w:tabs>
              <w:tab w:val="right" w:leader="dot" w:pos="9395"/>
            </w:tabs>
            <w:spacing w:before="35" w:line="368" w:lineRule="exact"/>
            <w:ind w:left="546"/>
            <w:rPr>
              <w:sz w:val="27"/>
              <w:szCs w:val="27"/>
            </w:rPr>
          </w:pPr>
          <w:r>
            <w:fldChar w:fldCharType="begin"/>
          </w:r>
          <w:r>
            <w:instrText xml:space="preserve"> HYPERLINK \l "bookmark300" </w:instrText>
          </w:r>
          <w:r>
            <w:fldChar w:fldCharType="separate"/>
          </w:r>
          <w:r>
            <w:rPr>
              <w:rFonts w:ascii="Times New Roman" w:hAnsi="Times New Roman" w:eastAsia="Times New Roman" w:cs="Times New Roman"/>
              <w:spacing w:val="-1"/>
              <w:position w:val="1"/>
              <w:sz w:val="27"/>
              <w:szCs w:val="27"/>
            </w:rPr>
            <w:t>14.9</w:t>
          </w:r>
          <w:r>
            <w:rPr>
              <w:rFonts w:ascii="Times New Roman" w:hAnsi="Times New Roman" w:eastAsia="Times New Roman" w:cs="Times New Roman"/>
              <w:spacing w:val="13"/>
              <w:position w:val="1"/>
              <w:sz w:val="27"/>
              <w:szCs w:val="27"/>
            </w:rPr>
            <w:t xml:space="preserve">     </w:t>
          </w:r>
          <w:r>
            <w:rPr>
              <w:rFonts w:ascii="仿宋" w:hAnsi="仿宋" w:eastAsia="仿宋" w:cs="仿宋"/>
              <w:spacing w:val="-1"/>
              <w:position w:val="1"/>
              <w:sz w:val="27"/>
              <w:szCs w:val="27"/>
            </w:rPr>
            <w:t>维修者设计方法文件</w:t>
          </w:r>
          <w:r>
            <w:rPr>
              <w:rFonts w:ascii="仿宋" w:hAnsi="仿宋" w:eastAsia="仿宋" w:cs="仿宋"/>
              <w:spacing w:val="-118"/>
              <w:position w:val="1"/>
              <w:sz w:val="27"/>
              <w:szCs w:val="27"/>
            </w:rPr>
            <w:t xml:space="preserve"> </w:t>
          </w:r>
          <w:r>
            <w:rPr>
              <w:rFonts w:ascii="仿宋" w:hAnsi="仿宋" w:eastAsia="仿宋" w:cs="仿宋"/>
              <w:position w:val="1"/>
              <w:sz w:val="27"/>
              <w:szCs w:val="27"/>
            </w:rPr>
            <w:tab/>
          </w:r>
          <w:r>
            <w:rPr>
              <w:spacing w:val="-3"/>
              <w:position w:val="1"/>
              <w:sz w:val="27"/>
              <w:szCs w:val="27"/>
            </w:rPr>
            <w:t>631</w:t>
          </w:r>
          <w:r>
            <w:rPr>
              <w:spacing w:val="-3"/>
              <w:position w:val="1"/>
              <w:sz w:val="27"/>
              <w:szCs w:val="27"/>
            </w:rPr>
            <w:fldChar w:fldCharType="end"/>
          </w:r>
        </w:p>
        <w:p w14:paraId="1BABBA3D">
          <w:pPr>
            <w:pStyle w:val="2"/>
            <w:tabs>
              <w:tab w:val="right" w:leader="dot" w:pos="9349"/>
            </w:tabs>
            <w:spacing w:before="53" w:line="368" w:lineRule="exact"/>
            <w:ind w:left="546"/>
            <w:rPr>
              <w:sz w:val="27"/>
              <w:szCs w:val="27"/>
            </w:rPr>
          </w:pPr>
          <w:r>
            <w:fldChar w:fldCharType="begin"/>
          </w:r>
          <w:r>
            <w:instrText xml:space="preserve"> HYPERLINK \l "bookmark301" </w:instrText>
          </w:r>
          <w:r>
            <w:fldChar w:fldCharType="separate"/>
          </w:r>
          <w:r>
            <w:rPr>
              <w:rFonts w:ascii="Times New Roman" w:hAnsi="Times New Roman" w:eastAsia="Times New Roman" w:cs="Times New Roman"/>
              <w:position w:val="1"/>
              <w:sz w:val="27"/>
              <w:szCs w:val="27"/>
            </w:rPr>
            <w:t>14.10</w:t>
          </w:r>
          <w:r>
            <w:rPr>
              <w:rFonts w:ascii="Times New Roman" w:hAnsi="Times New Roman" w:eastAsia="Times New Roman" w:cs="Times New Roman"/>
              <w:spacing w:val="8"/>
              <w:position w:val="1"/>
              <w:sz w:val="27"/>
              <w:szCs w:val="27"/>
            </w:rPr>
            <w:t xml:space="preserve">     </w:t>
          </w:r>
          <w:r>
            <w:rPr>
              <w:rFonts w:ascii="仿宋" w:hAnsi="仿宋" w:eastAsia="仿宋" w:cs="仿宋"/>
              <w:position w:val="1"/>
              <w:sz w:val="27"/>
              <w:szCs w:val="27"/>
            </w:rPr>
            <w:t>人机工程试验报告</w:t>
          </w:r>
          <w:r>
            <w:rPr>
              <w:rFonts w:ascii="仿宋" w:hAnsi="仿宋" w:eastAsia="仿宋" w:cs="仿宋"/>
              <w:spacing w:val="-122"/>
              <w:position w:val="1"/>
              <w:sz w:val="27"/>
              <w:szCs w:val="27"/>
            </w:rPr>
            <w:t xml:space="preserve"> </w:t>
          </w:r>
          <w:r>
            <w:rPr>
              <w:rFonts w:ascii="仿宋" w:hAnsi="仿宋" w:eastAsia="仿宋" w:cs="仿宋"/>
              <w:position w:val="1"/>
              <w:sz w:val="27"/>
              <w:szCs w:val="27"/>
            </w:rPr>
            <w:tab/>
          </w:r>
          <w:r>
            <w:rPr>
              <w:spacing w:val="-9"/>
              <w:position w:val="1"/>
              <w:sz w:val="27"/>
              <w:szCs w:val="27"/>
            </w:rPr>
            <w:t>632</w:t>
          </w:r>
          <w:r>
            <w:rPr>
              <w:spacing w:val="-9"/>
              <w:position w:val="1"/>
              <w:sz w:val="27"/>
              <w:szCs w:val="27"/>
            </w:rPr>
            <w:fldChar w:fldCharType="end"/>
          </w:r>
        </w:p>
        <w:p w14:paraId="240D2944">
          <w:pPr>
            <w:pStyle w:val="2"/>
            <w:tabs>
              <w:tab w:val="right" w:leader="dot" w:pos="9347"/>
            </w:tabs>
            <w:spacing w:before="42" w:line="368" w:lineRule="exact"/>
            <w:ind w:left="546"/>
            <w:rPr>
              <w:sz w:val="27"/>
              <w:szCs w:val="27"/>
            </w:rPr>
          </w:pPr>
          <w:r>
            <w:fldChar w:fldCharType="begin"/>
          </w:r>
          <w:r>
            <w:instrText xml:space="preserve"> HYPERLINK \l "bookmark302" </w:instrText>
          </w:r>
          <w:r>
            <w:fldChar w:fldCharType="separate"/>
          </w:r>
          <w:r>
            <w:rPr>
              <w:rFonts w:ascii="Times New Roman" w:hAnsi="Times New Roman" w:eastAsia="Times New Roman" w:cs="Times New Roman"/>
              <w:position w:val="1"/>
              <w:sz w:val="27"/>
              <w:szCs w:val="27"/>
            </w:rPr>
            <w:t>14.11</w:t>
          </w:r>
          <w:r>
            <w:rPr>
              <w:rFonts w:ascii="Times New Roman" w:hAnsi="Times New Roman" w:eastAsia="Times New Roman" w:cs="Times New Roman"/>
              <w:spacing w:val="8"/>
              <w:position w:val="1"/>
              <w:sz w:val="27"/>
              <w:szCs w:val="27"/>
            </w:rPr>
            <w:t xml:space="preserve">     </w:t>
          </w:r>
          <w:r>
            <w:rPr>
              <w:rFonts w:ascii="仿宋" w:hAnsi="仿宋" w:eastAsia="仿宋" w:cs="仿宋"/>
              <w:position w:val="1"/>
              <w:sz w:val="27"/>
              <w:szCs w:val="27"/>
            </w:rPr>
            <w:t>人机工程进展报告</w:t>
          </w:r>
          <w:r>
            <w:rPr>
              <w:rFonts w:ascii="仿宋" w:hAnsi="仿宋" w:eastAsia="仿宋" w:cs="仿宋"/>
              <w:spacing w:val="-122"/>
              <w:position w:val="1"/>
              <w:sz w:val="27"/>
              <w:szCs w:val="27"/>
            </w:rPr>
            <w:t xml:space="preserve"> </w:t>
          </w:r>
          <w:r>
            <w:rPr>
              <w:rFonts w:ascii="仿宋" w:hAnsi="仿宋" w:eastAsia="仿宋" w:cs="仿宋"/>
              <w:position w:val="1"/>
              <w:sz w:val="27"/>
              <w:szCs w:val="27"/>
            </w:rPr>
            <w:tab/>
          </w:r>
          <w:r>
            <w:rPr>
              <w:spacing w:val="-11"/>
              <w:position w:val="1"/>
              <w:sz w:val="27"/>
              <w:szCs w:val="27"/>
            </w:rPr>
            <w:t>634</w:t>
          </w:r>
          <w:r>
            <w:rPr>
              <w:spacing w:val="-11"/>
              <w:position w:val="1"/>
              <w:sz w:val="27"/>
              <w:szCs w:val="27"/>
            </w:rPr>
            <w:fldChar w:fldCharType="end"/>
          </w:r>
        </w:p>
        <w:p w14:paraId="5AD79FC8">
          <w:pPr>
            <w:pStyle w:val="2"/>
            <w:tabs>
              <w:tab w:val="right" w:leader="dot" w:pos="9347"/>
            </w:tabs>
            <w:spacing w:before="38" w:line="368" w:lineRule="exact"/>
            <w:ind w:left="546"/>
            <w:rPr>
              <w:sz w:val="27"/>
              <w:szCs w:val="27"/>
            </w:rPr>
          </w:pPr>
          <w:r>
            <w:fldChar w:fldCharType="begin"/>
          </w:r>
          <w:r>
            <w:instrText xml:space="preserve"> HYPERLINK \l "bookmark303" </w:instrText>
          </w:r>
          <w:r>
            <w:fldChar w:fldCharType="separate"/>
          </w:r>
          <w:r>
            <w:rPr>
              <w:rFonts w:ascii="Times New Roman" w:hAnsi="Times New Roman" w:eastAsia="Times New Roman" w:cs="Times New Roman"/>
              <w:spacing w:val="1"/>
              <w:position w:val="2"/>
              <w:sz w:val="27"/>
              <w:szCs w:val="27"/>
            </w:rPr>
            <w:t>14.12</w:t>
          </w:r>
          <w:r>
            <w:rPr>
              <w:rFonts w:ascii="Times New Roman" w:hAnsi="Times New Roman" w:eastAsia="Times New Roman" w:cs="Times New Roman"/>
              <w:spacing w:val="9"/>
              <w:position w:val="2"/>
              <w:sz w:val="27"/>
              <w:szCs w:val="27"/>
            </w:rPr>
            <w:t xml:space="preserve">     </w:t>
          </w:r>
          <w:r>
            <w:rPr>
              <w:rFonts w:ascii="仿宋" w:hAnsi="仿宋" w:eastAsia="仿宋" w:cs="仿宋"/>
              <w:spacing w:val="1"/>
              <w:position w:val="2"/>
              <w:sz w:val="27"/>
              <w:szCs w:val="27"/>
            </w:rPr>
            <w:t>人机工程评估报告</w:t>
          </w:r>
          <w:r>
            <w:rPr>
              <w:rFonts w:ascii="仿宋" w:hAnsi="仿宋" w:eastAsia="仿宋" w:cs="仿宋"/>
              <w:spacing w:val="-119"/>
              <w:position w:val="2"/>
              <w:sz w:val="27"/>
              <w:szCs w:val="27"/>
            </w:rPr>
            <w:t xml:space="preserve"> </w:t>
          </w:r>
          <w:r>
            <w:rPr>
              <w:rFonts w:ascii="仿宋" w:hAnsi="仿宋" w:eastAsia="仿宋" w:cs="仿宋"/>
              <w:position w:val="2"/>
              <w:sz w:val="27"/>
              <w:szCs w:val="27"/>
            </w:rPr>
            <w:tab/>
          </w:r>
          <w:r>
            <w:rPr>
              <w:spacing w:val="-11"/>
              <w:position w:val="2"/>
              <w:sz w:val="27"/>
              <w:szCs w:val="27"/>
            </w:rPr>
            <w:t>634</w:t>
          </w:r>
          <w:r>
            <w:rPr>
              <w:spacing w:val="-11"/>
              <w:position w:val="2"/>
              <w:sz w:val="27"/>
              <w:szCs w:val="27"/>
            </w:rPr>
            <w:fldChar w:fldCharType="end"/>
          </w:r>
        </w:p>
        <w:p w14:paraId="2423A439">
          <w:pPr>
            <w:pStyle w:val="2"/>
            <w:tabs>
              <w:tab w:val="right" w:leader="dot" w:pos="9344"/>
            </w:tabs>
            <w:spacing w:before="111" w:line="213" w:lineRule="auto"/>
            <w:rPr>
              <w:sz w:val="27"/>
              <w:szCs w:val="27"/>
            </w:rPr>
          </w:pPr>
          <w:r>
            <w:fldChar w:fldCharType="begin"/>
          </w:r>
          <w:r>
            <w:instrText xml:space="preserve"> HYPERLINK \l "bookmark304" </w:instrText>
          </w:r>
          <w:r>
            <w:fldChar w:fldCharType="separate"/>
          </w:r>
          <w:r>
            <w:rPr>
              <w:rFonts w:ascii="黑体" w:hAnsi="黑体" w:eastAsia="黑体" w:cs="黑体"/>
              <w:b/>
              <w:bCs/>
              <w:spacing w:val="-17"/>
              <w:sz w:val="24"/>
              <w:szCs w:val="24"/>
            </w:rPr>
            <w:t>第</w:t>
          </w:r>
          <w:r>
            <w:rPr>
              <w:rFonts w:ascii="黑体" w:hAnsi="黑体" w:eastAsia="黑体" w:cs="黑体"/>
              <w:spacing w:val="-13"/>
              <w:sz w:val="24"/>
              <w:szCs w:val="24"/>
            </w:rPr>
            <w:t xml:space="preserve"> </w:t>
          </w:r>
          <w:r>
            <w:rPr>
              <w:rFonts w:ascii="黑体" w:hAnsi="黑体" w:eastAsia="黑体" w:cs="黑体"/>
              <w:b/>
              <w:bCs/>
              <w:spacing w:val="-17"/>
              <w:sz w:val="24"/>
              <w:szCs w:val="24"/>
            </w:rPr>
            <w:t>1</w:t>
          </w:r>
          <w:r>
            <w:rPr>
              <w:rFonts w:ascii="黑体" w:hAnsi="黑体" w:eastAsia="黑体" w:cs="黑体"/>
              <w:spacing w:val="-39"/>
              <w:sz w:val="24"/>
              <w:szCs w:val="24"/>
            </w:rPr>
            <w:t xml:space="preserve"> </w:t>
          </w:r>
          <w:r>
            <w:rPr>
              <w:rFonts w:ascii="黑体" w:hAnsi="黑体" w:eastAsia="黑体" w:cs="黑体"/>
              <w:b/>
              <w:bCs/>
              <w:spacing w:val="-17"/>
              <w:sz w:val="24"/>
              <w:szCs w:val="24"/>
            </w:rPr>
            <w:t>5</w:t>
          </w:r>
          <w:r>
            <w:rPr>
              <w:rFonts w:ascii="黑体" w:hAnsi="黑体" w:eastAsia="黑体" w:cs="黑体"/>
              <w:spacing w:val="-32"/>
              <w:sz w:val="24"/>
              <w:szCs w:val="24"/>
            </w:rPr>
            <w:t xml:space="preserve"> </w:t>
          </w:r>
          <w:r>
            <w:rPr>
              <w:rFonts w:ascii="黑体" w:hAnsi="黑体" w:eastAsia="黑体" w:cs="黑体"/>
              <w:b/>
              <w:bCs/>
              <w:spacing w:val="-17"/>
              <w:sz w:val="24"/>
              <w:szCs w:val="24"/>
            </w:rPr>
            <w:t>章</w:t>
          </w:r>
          <w:r>
            <w:rPr>
              <w:rFonts w:ascii="黑体" w:hAnsi="黑体" w:eastAsia="黑体" w:cs="黑体"/>
              <w:spacing w:val="68"/>
              <w:sz w:val="24"/>
              <w:szCs w:val="24"/>
            </w:rPr>
            <w:t xml:space="preserve"> </w:t>
          </w:r>
          <w:r>
            <w:rPr>
              <w:rFonts w:ascii="黑体" w:hAnsi="黑体" w:eastAsia="黑体" w:cs="黑体"/>
              <w:b/>
              <w:bCs/>
              <w:spacing w:val="-17"/>
              <w:sz w:val="24"/>
              <w:szCs w:val="24"/>
            </w:rPr>
            <w:t>项</w:t>
          </w:r>
          <w:r>
            <w:rPr>
              <w:rFonts w:ascii="黑体" w:hAnsi="黑体" w:eastAsia="黑体" w:cs="黑体"/>
              <w:spacing w:val="-17"/>
              <w:sz w:val="24"/>
              <w:szCs w:val="24"/>
            </w:rPr>
            <w:t xml:space="preserve"> </w:t>
          </w:r>
          <w:r>
            <w:rPr>
              <w:rFonts w:ascii="黑体" w:hAnsi="黑体" w:eastAsia="黑体" w:cs="黑体"/>
              <w:b/>
              <w:bCs/>
              <w:spacing w:val="-17"/>
              <w:sz w:val="24"/>
              <w:szCs w:val="24"/>
            </w:rPr>
            <w:t>目</w:t>
          </w:r>
          <w:r>
            <w:rPr>
              <w:rFonts w:ascii="黑体" w:hAnsi="黑体" w:eastAsia="黑体" w:cs="黑体"/>
              <w:spacing w:val="-48"/>
              <w:sz w:val="24"/>
              <w:szCs w:val="24"/>
            </w:rPr>
            <w:t xml:space="preserve"> </w:t>
          </w:r>
          <w:r>
            <w:rPr>
              <w:rFonts w:ascii="黑体" w:hAnsi="黑体" w:eastAsia="黑体" w:cs="黑体"/>
              <w:b/>
              <w:bCs/>
              <w:spacing w:val="-17"/>
              <w:sz w:val="24"/>
              <w:szCs w:val="24"/>
            </w:rPr>
            <w:t>成</w:t>
          </w:r>
          <w:r>
            <w:rPr>
              <w:rFonts w:ascii="黑体" w:hAnsi="黑体" w:eastAsia="黑体" w:cs="黑体"/>
              <w:spacing w:val="-40"/>
              <w:sz w:val="24"/>
              <w:szCs w:val="24"/>
            </w:rPr>
            <w:t xml:space="preserve"> </w:t>
          </w:r>
          <w:r>
            <w:rPr>
              <w:rFonts w:ascii="黑体" w:hAnsi="黑体" w:eastAsia="黑体" w:cs="黑体"/>
              <w:b/>
              <w:bCs/>
              <w:spacing w:val="-17"/>
              <w:sz w:val="24"/>
              <w:szCs w:val="24"/>
            </w:rPr>
            <w:t>果</w:t>
          </w:r>
          <w:r>
            <w:rPr>
              <w:rFonts w:ascii="黑体" w:hAnsi="黑体" w:eastAsia="黑体" w:cs="黑体"/>
              <w:spacing w:val="-43"/>
              <w:sz w:val="24"/>
              <w:szCs w:val="24"/>
            </w:rPr>
            <w:t xml:space="preserve"> </w:t>
          </w:r>
          <w:r>
            <w:rPr>
              <w:rFonts w:ascii="黑体" w:hAnsi="黑体" w:eastAsia="黑体" w:cs="黑体"/>
              <w:b/>
              <w:bCs/>
              <w:spacing w:val="-17"/>
              <w:sz w:val="24"/>
              <w:szCs w:val="24"/>
            </w:rPr>
            <w:t>文</w:t>
          </w:r>
          <w:r>
            <w:rPr>
              <w:rFonts w:ascii="黑体" w:hAnsi="黑体" w:eastAsia="黑体" w:cs="黑体"/>
              <w:spacing w:val="-48"/>
              <w:sz w:val="24"/>
              <w:szCs w:val="24"/>
            </w:rPr>
            <w:t xml:space="preserve"> </w:t>
          </w:r>
          <w:r>
            <w:rPr>
              <w:rFonts w:ascii="黑体" w:hAnsi="黑体" w:eastAsia="黑体" w:cs="黑体"/>
              <w:b/>
              <w:bCs/>
              <w:spacing w:val="-17"/>
              <w:sz w:val="24"/>
              <w:szCs w:val="24"/>
            </w:rPr>
            <w:t>件</w:t>
          </w:r>
          <w:r>
            <w:rPr>
              <w:rFonts w:ascii="黑体" w:hAnsi="黑体" w:eastAsia="黑体" w:cs="黑体"/>
              <w:spacing w:val="-98"/>
              <w:sz w:val="24"/>
              <w:szCs w:val="24"/>
            </w:rPr>
            <w:t xml:space="preserve"> </w:t>
          </w:r>
          <w:r>
            <w:rPr>
              <w:rFonts w:ascii="黑体" w:hAnsi="黑体" w:eastAsia="黑体" w:cs="黑体"/>
              <w:sz w:val="24"/>
              <w:szCs w:val="24"/>
            </w:rPr>
            <w:tab/>
          </w:r>
          <w:r>
            <w:rPr>
              <w:b/>
              <w:bCs/>
              <w:spacing w:val="-13"/>
              <w:sz w:val="27"/>
              <w:szCs w:val="27"/>
            </w:rPr>
            <w:t>636</w:t>
          </w:r>
          <w:r>
            <w:rPr>
              <w:b/>
              <w:bCs/>
              <w:spacing w:val="-13"/>
              <w:sz w:val="27"/>
              <w:szCs w:val="27"/>
            </w:rPr>
            <w:fldChar w:fldCharType="end"/>
          </w:r>
        </w:p>
        <w:p w14:paraId="471FC834">
          <w:pPr>
            <w:pStyle w:val="2"/>
            <w:tabs>
              <w:tab w:val="right" w:leader="dot" w:pos="9347"/>
            </w:tabs>
            <w:spacing w:before="46" w:line="368" w:lineRule="exact"/>
            <w:ind w:left="546"/>
            <w:rPr>
              <w:sz w:val="27"/>
              <w:szCs w:val="27"/>
            </w:rPr>
          </w:pPr>
          <w:r>
            <w:fldChar w:fldCharType="begin"/>
          </w:r>
          <w:r>
            <w:instrText xml:space="preserve"> HYPERLINK \l "bookmark305" </w:instrText>
          </w:r>
          <w:r>
            <w:fldChar w:fldCharType="separate"/>
          </w:r>
          <w:r>
            <w:rPr>
              <w:rFonts w:ascii="Times New Roman" w:hAnsi="Times New Roman" w:eastAsia="Times New Roman" w:cs="Times New Roman"/>
              <w:spacing w:val="5"/>
              <w:position w:val="1"/>
              <w:sz w:val="27"/>
              <w:szCs w:val="27"/>
            </w:rPr>
            <w:t xml:space="preserve">15.1     </w:t>
          </w:r>
          <w:r>
            <w:rPr>
              <w:rFonts w:ascii="仿宋" w:hAnsi="仿宋" w:eastAsia="仿宋" w:cs="仿宋"/>
              <w:spacing w:val="5"/>
              <w:position w:val="1"/>
              <w:sz w:val="27"/>
              <w:szCs w:val="27"/>
            </w:rPr>
            <w:t>研制总结(成果鉴定用)</w:t>
          </w:r>
          <w:r>
            <w:rPr>
              <w:rFonts w:ascii="仿宋" w:hAnsi="仿宋" w:eastAsia="仿宋" w:cs="仿宋"/>
              <w:position w:val="1"/>
              <w:sz w:val="27"/>
              <w:szCs w:val="27"/>
            </w:rPr>
            <w:tab/>
          </w:r>
          <w:r>
            <w:rPr>
              <w:spacing w:val="-12"/>
              <w:position w:val="1"/>
              <w:sz w:val="27"/>
              <w:szCs w:val="27"/>
            </w:rPr>
            <w:t>636</w:t>
          </w:r>
          <w:r>
            <w:rPr>
              <w:spacing w:val="-12"/>
              <w:position w:val="1"/>
              <w:sz w:val="27"/>
              <w:szCs w:val="27"/>
            </w:rPr>
            <w:fldChar w:fldCharType="end"/>
          </w:r>
        </w:p>
      </w:sdtContent>
    </w:sdt>
    <w:p w14:paraId="1FF1817D">
      <w:pPr>
        <w:spacing w:line="368" w:lineRule="exact"/>
        <w:rPr>
          <w:sz w:val="27"/>
          <w:szCs w:val="27"/>
        </w:rPr>
        <w:sectPr>
          <w:footerReference r:id="rId19" w:type="default"/>
          <w:pgSz w:w="12130" w:h="17280"/>
          <w:pgMar w:top="400" w:right="1479" w:bottom="1785" w:left="1253" w:header="0" w:footer="1545" w:gutter="0"/>
          <w:cols w:space="720" w:num="1"/>
        </w:sectPr>
      </w:pPr>
    </w:p>
    <w:p w14:paraId="185E2187">
      <w:pPr>
        <w:pStyle w:val="2"/>
        <w:spacing w:line="256" w:lineRule="auto"/>
      </w:pPr>
    </w:p>
    <w:p w14:paraId="13172E4C">
      <w:pPr>
        <w:pStyle w:val="2"/>
        <w:spacing w:line="256" w:lineRule="auto"/>
      </w:pPr>
    </w:p>
    <w:p w14:paraId="7B75B33C">
      <w:pPr>
        <w:pStyle w:val="2"/>
        <w:spacing w:line="257" w:lineRule="auto"/>
      </w:pPr>
    </w:p>
    <w:p w14:paraId="3E2323D0">
      <w:pPr>
        <w:pStyle w:val="2"/>
        <w:spacing w:line="257" w:lineRule="auto"/>
      </w:pPr>
    </w:p>
    <w:p w14:paraId="0803E85B">
      <w:pPr>
        <w:pStyle w:val="2"/>
        <w:spacing w:before="88" w:line="280" w:lineRule="auto"/>
        <w:jc w:val="right"/>
        <w:rPr>
          <w:sz w:val="27"/>
          <w:szCs w:val="27"/>
        </w:rPr>
      </w:pPr>
      <w:r>
        <w:rPr>
          <w:rFonts w:ascii="Times New Roman" w:hAnsi="Times New Roman" w:eastAsia="Times New Roman" w:cs="Times New Roman"/>
          <w:spacing w:val="2"/>
          <w:sz w:val="27"/>
          <w:szCs w:val="27"/>
        </w:rPr>
        <w:t>15.2</w:t>
      </w:r>
      <w:r>
        <w:rPr>
          <w:rFonts w:ascii="Times New Roman" w:hAnsi="Times New Roman" w:eastAsia="Times New Roman" w:cs="Times New Roman"/>
          <w:spacing w:val="12"/>
          <w:sz w:val="27"/>
          <w:szCs w:val="27"/>
        </w:rPr>
        <w:t xml:space="preserve">     </w:t>
      </w:r>
      <w:r>
        <w:rPr>
          <w:rFonts w:ascii="仿宋" w:hAnsi="仿宋" w:eastAsia="仿宋" w:cs="仿宋"/>
          <w:spacing w:val="2"/>
          <w:sz w:val="27"/>
          <w:szCs w:val="27"/>
        </w:rPr>
        <w:t>科技成果鉴定证书</w:t>
      </w:r>
      <w:r>
        <w:rPr>
          <w:rFonts w:ascii="仿宋" w:hAnsi="仿宋" w:eastAsia="仿宋" w:cs="仿宋"/>
          <w:spacing w:val="2"/>
          <w:sz w:val="27"/>
          <w:szCs w:val="27"/>
          <w:u w:val="dotted" w:color="auto"/>
        </w:rPr>
        <w:t xml:space="preserve">                       </w:t>
      </w:r>
      <w:r>
        <w:rPr>
          <w:rFonts w:ascii="仿宋" w:hAnsi="仿宋" w:eastAsia="仿宋" w:cs="仿宋"/>
          <w:spacing w:val="1"/>
          <w:sz w:val="27"/>
          <w:szCs w:val="27"/>
          <w:u w:val="dotted" w:color="auto"/>
        </w:rPr>
        <w:t xml:space="preserve">                </w:t>
      </w:r>
      <w:r>
        <w:rPr>
          <w:spacing w:val="2"/>
          <w:sz w:val="27"/>
          <w:szCs w:val="27"/>
        </w:rPr>
        <w:t>637</w:t>
      </w:r>
    </w:p>
    <w:sdt>
      <w:sdtPr>
        <w:rPr>
          <w:rFonts w:ascii="Times New Roman" w:hAnsi="Times New Roman" w:eastAsia="Times New Roman" w:cs="Times New Roman"/>
          <w:sz w:val="27"/>
          <w:szCs w:val="27"/>
        </w:rPr>
        <w:id w:val="147458007"/>
        <w:docPartObj>
          <w:docPartGallery w:val="Table of Contents"/>
          <w:docPartUnique/>
        </w:docPartObj>
      </w:sdtPr>
      <w:sdtEndPr>
        <w:rPr>
          <w:rFonts w:ascii="Arial" w:hAnsi="Arial" w:eastAsia="Arial" w:cs="Arial"/>
          <w:sz w:val="27"/>
          <w:szCs w:val="27"/>
        </w:rPr>
      </w:sdtEndPr>
      <w:sdtContent>
        <w:p w14:paraId="45779946">
          <w:pPr>
            <w:pStyle w:val="2"/>
            <w:tabs>
              <w:tab w:val="right" w:leader="dot" w:pos="9357"/>
            </w:tabs>
            <w:spacing w:line="368" w:lineRule="exact"/>
            <w:ind w:left="536"/>
            <w:rPr>
              <w:sz w:val="27"/>
              <w:szCs w:val="27"/>
            </w:rPr>
          </w:pPr>
          <w:r>
            <w:fldChar w:fldCharType="begin"/>
          </w:r>
          <w:r>
            <w:instrText xml:space="preserve"> HYPERLINK \l "bookmark306" </w:instrText>
          </w:r>
          <w:r>
            <w:fldChar w:fldCharType="separate"/>
          </w:r>
          <w:r>
            <w:rPr>
              <w:rFonts w:ascii="Times New Roman" w:hAnsi="Times New Roman" w:eastAsia="Times New Roman" w:cs="Times New Roman"/>
              <w:spacing w:val="1"/>
              <w:position w:val="1"/>
              <w:sz w:val="27"/>
              <w:szCs w:val="27"/>
            </w:rPr>
            <w:t>15.3</w:t>
          </w:r>
          <w:r>
            <w:rPr>
              <w:rFonts w:ascii="Times New Roman" w:hAnsi="Times New Roman" w:eastAsia="Times New Roman" w:cs="Times New Roman"/>
              <w:spacing w:val="10"/>
              <w:position w:val="1"/>
              <w:sz w:val="27"/>
              <w:szCs w:val="27"/>
            </w:rPr>
            <w:t xml:space="preserve">     </w:t>
          </w:r>
          <w:r>
            <w:rPr>
              <w:rFonts w:ascii="仿宋" w:hAnsi="仿宋" w:eastAsia="仿宋" w:cs="仿宋"/>
              <w:spacing w:val="1"/>
              <w:position w:val="1"/>
              <w:sz w:val="27"/>
              <w:szCs w:val="27"/>
            </w:rPr>
            <w:t>科技成果汇报播放文件</w:t>
          </w:r>
          <w:r>
            <w:rPr>
              <w:rFonts w:ascii="仿宋" w:hAnsi="仿宋" w:eastAsia="仿宋" w:cs="仿宋"/>
              <w:spacing w:val="-121"/>
              <w:position w:val="1"/>
              <w:sz w:val="27"/>
              <w:szCs w:val="27"/>
            </w:rPr>
            <w:t xml:space="preserve"> </w:t>
          </w:r>
          <w:r>
            <w:rPr>
              <w:rFonts w:ascii="仿宋" w:hAnsi="仿宋" w:eastAsia="仿宋" w:cs="仿宋"/>
              <w:position w:val="1"/>
              <w:sz w:val="27"/>
              <w:szCs w:val="27"/>
            </w:rPr>
            <w:tab/>
          </w:r>
          <w:r>
            <w:rPr>
              <w:spacing w:val="-11"/>
              <w:position w:val="1"/>
              <w:sz w:val="27"/>
              <w:szCs w:val="27"/>
            </w:rPr>
            <w:t>638</w:t>
          </w:r>
          <w:r>
            <w:rPr>
              <w:spacing w:val="-11"/>
              <w:position w:val="1"/>
              <w:sz w:val="27"/>
              <w:szCs w:val="27"/>
            </w:rPr>
            <w:fldChar w:fldCharType="end"/>
          </w:r>
        </w:p>
        <w:p w14:paraId="22D2C466">
          <w:pPr>
            <w:pStyle w:val="2"/>
            <w:tabs>
              <w:tab w:val="right" w:leader="dot" w:pos="9357"/>
            </w:tabs>
            <w:spacing w:before="51" w:line="368" w:lineRule="exact"/>
            <w:ind w:left="536"/>
            <w:rPr>
              <w:sz w:val="27"/>
              <w:szCs w:val="27"/>
            </w:rPr>
          </w:pPr>
          <w:r>
            <w:fldChar w:fldCharType="begin"/>
          </w:r>
          <w:r>
            <w:instrText xml:space="preserve"> HYPERLINK \l "bookmark307" </w:instrText>
          </w:r>
          <w:r>
            <w:fldChar w:fldCharType="separate"/>
          </w:r>
          <w:r>
            <w:rPr>
              <w:rFonts w:ascii="Times New Roman" w:hAnsi="Times New Roman" w:eastAsia="Times New Roman" w:cs="Times New Roman"/>
              <w:spacing w:val="7"/>
              <w:position w:val="1"/>
              <w:sz w:val="27"/>
              <w:szCs w:val="27"/>
            </w:rPr>
            <w:t>15.4</w:t>
          </w:r>
          <w:r>
            <w:rPr>
              <w:rFonts w:ascii="Times New Roman" w:hAnsi="Times New Roman" w:eastAsia="Times New Roman" w:cs="Times New Roman"/>
              <w:spacing w:val="12"/>
              <w:position w:val="1"/>
              <w:sz w:val="27"/>
              <w:szCs w:val="27"/>
            </w:rPr>
            <w:t xml:space="preserve">    </w:t>
          </w:r>
          <w:r>
            <w:rPr>
              <w:rFonts w:ascii="仿宋" w:hAnsi="仿宋" w:eastAsia="仿宋" w:cs="仿宋"/>
              <w:spacing w:val="7"/>
              <w:position w:val="1"/>
              <w:sz w:val="27"/>
              <w:szCs w:val="27"/>
            </w:rPr>
            <w:t>军队科学技术奖推荐书</w:t>
          </w:r>
          <w:r>
            <w:rPr>
              <w:rFonts w:ascii="仿宋" w:hAnsi="仿宋" w:eastAsia="仿宋" w:cs="仿宋"/>
              <w:position w:val="1"/>
              <w:sz w:val="27"/>
              <w:szCs w:val="27"/>
            </w:rPr>
            <w:tab/>
          </w:r>
          <w:r>
            <w:rPr>
              <w:spacing w:val="-9"/>
              <w:position w:val="1"/>
              <w:sz w:val="27"/>
              <w:szCs w:val="27"/>
            </w:rPr>
            <w:t>639</w:t>
          </w:r>
          <w:r>
            <w:rPr>
              <w:spacing w:val="-9"/>
              <w:position w:val="1"/>
              <w:sz w:val="27"/>
              <w:szCs w:val="27"/>
            </w:rPr>
            <w:fldChar w:fldCharType="end"/>
          </w:r>
        </w:p>
        <w:p w14:paraId="248D2401">
          <w:pPr>
            <w:pStyle w:val="2"/>
            <w:tabs>
              <w:tab w:val="right" w:leader="dot" w:pos="9357"/>
            </w:tabs>
            <w:spacing w:before="31" w:line="368" w:lineRule="exact"/>
            <w:ind w:left="536"/>
            <w:rPr>
              <w:sz w:val="27"/>
              <w:szCs w:val="27"/>
            </w:rPr>
          </w:pPr>
          <w:r>
            <w:fldChar w:fldCharType="begin"/>
          </w:r>
          <w:r>
            <w:instrText xml:space="preserve"> HYPERLINK \l "bookmark308" </w:instrText>
          </w:r>
          <w:r>
            <w:fldChar w:fldCharType="separate"/>
          </w:r>
          <w:r>
            <w:rPr>
              <w:rFonts w:ascii="Times New Roman" w:hAnsi="Times New Roman" w:eastAsia="Times New Roman" w:cs="Times New Roman"/>
              <w:spacing w:val="4"/>
              <w:position w:val="1"/>
              <w:sz w:val="27"/>
              <w:szCs w:val="27"/>
            </w:rPr>
            <w:t xml:space="preserve">15.5     </w:t>
          </w:r>
          <w:r>
            <w:rPr>
              <w:rFonts w:ascii="仿宋" w:hAnsi="仿宋" w:eastAsia="仿宋" w:cs="仿宋"/>
              <w:spacing w:val="4"/>
              <w:position w:val="1"/>
              <w:sz w:val="27"/>
              <w:szCs w:val="27"/>
            </w:rPr>
            <w:t>国防科技成果奖推荐书</w:t>
          </w:r>
          <w:r>
            <w:rPr>
              <w:rFonts w:ascii="仿宋" w:hAnsi="仿宋" w:eastAsia="仿宋" w:cs="仿宋"/>
              <w:position w:val="1"/>
              <w:sz w:val="27"/>
              <w:szCs w:val="27"/>
            </w:rPr>
            <w:tab/>
          </w:r>
          <w:r>
            <w:rPr>
              <w:spacing w:val="-11"/>
              <w:position w:val="1"/>
              <w:sz w:val="27"/>
              <w:szCs w:val="27"/>
            </w:rPr>
            <w:t>643</w:t>
          </w:r>
          <w:r>
            <w:rPr>
              <w:spacing w:val="-11"/>
              <w:position w:val="1"/>
              <w:sz w:val="27"/>
              <w:szCs w:val="27"/>
            </w:rPr>
            <w:fldChar w:fldCharType="end"/>
          </w:r>
        </w:p>
        <w:p w14:paraId="42A6A155">
          <w:pPr>
            <w:pStyle w:val="2"/>
            <w:tabs>
              <w:tab w:val="right" w:leader="dot" w:pos="9357"/>
            </w:tabs>
            <w:spacing w:before="42" w:line="368" w:lineRule="exact"/>
            <w:ind w:left="536"/>
            <w:rPr>
              <w:sz w:val="27"/>
              <w:szCs w:val="27"/>
            </w:rPr>
          </w:pPr>
          <w:r>
            <w:fldChar w:fldCharType="begin"/>
          </w:r>
          <w:r>
            <w:instrText xml:space="preserve"> HYPERLINK \l "bookmark309" </w:instrText>
          </w:r>
          <w:r>
            <w:fldChar w:fldCharType="separate"/>
          </w:r>
          <w:r>
            <w:rPr>
              <w:rFonts w:ascii="Times New Roman" w:hAnsi="Times New Roman" w:eastAsia="Times New Roman" w:cs="Times New Roman"/>
              <w:spacing w:val="6"/>
              <w:position w:val="1"/>
              <w:sz w:val="27"/>
              <w:szCs w:val="27"/>
            </w:rPr>
            <w:t xml:space="preserve">15.6     </w:t>
          </w:r>
          <w:r>
            <w:rPr>
              <w:rFonts w:ascii="仿宋" w:hAnsi="仿宋" w:eastAsia="仿宋" w:cs="仿宋"/>
              <w:spacing w:val="6"/>
              <w:position w:val="1"/>
              <w:sz w:val="27"/>
              <w:szCs w:val="27"/>
            </w:rPr>
            <w:t>国家科学技术奖励推荐书</w:t>
          </w:r>
          <w:r>
            <w:rPr>
              <w:rFonts w:ascii="仿宋" w:hAnsi="仿宋" w:eastAsia="仿宋" w:cs="仿宋"/>
              <w:position w:val="1"/>
              <w:sz w:val="27"/>
              <w:szCs w:val="27"/>
            </w:rPr>
            <w:tab/>
          </w:r>
          <w:r>
            <w:rPr>
              <w:spacing w:val="-11"/>
              <w:position w:val="1"/>
              <w:sz w:val="27"/>
              <w:szCs w:val="27"/>
            </w:rPr>
            <w:t>650</w:t>
          </w:r>
          <w:r>
            <w:rPr>
              <w:spacing w:val="-11"/>
              <w:position w:val="1"/>
              <w:sz w:val="27"/>
              <w:szCs w:val="27"/>
            </w:rPr>
            <w:fldChar w:fldCharType="end"/>
          </w:r>
        </w:p>
      </w:sdtContent>
    </w:sdt>
    <w:p w14:paraId="1B351D2A">
      <w:pPr>
        <w:pStyle w:val="2"/>
        <w:spacing w:before="107" w:line="213" w:lineRule="auto"/>
        <w:rPr>
          <w:sz w:val="27"/>
          <w:szCs w:val="27"/>
        </w:rPr>
      </w:pPr>
      <w:r>
        <w:rPr>
          <w:rFonts w:ascii="黑体" w:hAnsi="黑体" w:eastAsia="黑体" w:cs="黑体"/>
          <w:b/>
          <w:bCs/>
          <w:spacing w:val="11"/>
          <w:sz w:val="24"/>
          <w:szCs w:val="24"/>
        </w:rPr>
        <w:t>参考文献</w:t>
      </w:r>
      <w:r>
        <w:rPr>
          <w:rFonts w:ascii="黑体" w:hAnsi="黑体" w:eastAsia="黑体" w:cs="黑体"/>
          <w:spacing w:val="-93"/>
          <w:sz w:val="24"/>
          <w:szCs w:val="24"/>
        </w:rPr>
        <w:t xml:space="preserve"> </w:t>
      </w:r>
      <w:r>
        <w:rPr>
          <w:rFonts w:ascii="黑体" w:hAnsi="黑体" w:eastAsia="黑体" w:cs="黑体"/>
          <w:spacing w:val="1"/>
          <w:sz w:val="24"/>
          <w:szCs w:val="24"/>
          <w:u w:val="dotted" w:color="auto"/>
        </w:rPr>
        <w:t xml:space="preserve">                                          </w:t>
      </w:r>
      <w:r>
        <w:rPr>
          <w:rFonts w:ascii="黑体" w:hAnsi="黑体" w:eastAsia="黑体" w:cs="黑体"/>
          <w:sz w:val="24"/>
          <w:szCs w:val="24"/>
          <w:u w:val="dotted" w:color="auto"/>
        </w:rPr>
        <w:t xml:space="preserve">                       </w:t>
      </w:r>
      <w:r>
        <w:rPr>
          <w:rFonts w:ascii="黑体" w:hAnsi="黑体" w:eastAsia="黑体" w:cs="黑体"/>
          <w:spacing w:val="-112"/>
          <w:sz w:val="24"/>
          <w:szCs w:val="24"/>
        </w:rPr>
        <w:t xml:space="preserve"> </w:t>
      </w:r>
      <w:r>
        <w:rPr>
          <w:b/>
          <w:bCs/>
          <w:spacing w:val="11"/>
          <w:sz w:val="27"/>
          <w:szCs w:val="27"/>
        </w:rPr>
        <w:t>656</w:t>
      </w:r>
    </w:p>
    <w:p w14:paraId="4E90A071">
      <w:pPr>
        <w:spacing w:line="213" w:lineRule="auto"/>
        <w:rPr>
          <w:sz w:val="27"/>
          <w:szCs w:val="27"/>
        </w:rPr>
        <w:sectPr>
          <w:footerReference r:id="rId20" w:type="default"/>
          <w:pgSz w:w="12200" w:h="17330"/>
          <w:pgMar w:top="400" w:right="1169" w:bottom="1699" w:left="1653" w:header="0" w:footer="1441" w:gutter="0"/>
          <w:cols w:space="720" w:num="1"/>
        </w:sectPr>
      </w:pPr>
    </w:p>
    <w:p w14:paraId="60D568BC">
      <w:pPr>
        <w:pStyle w:val="2"/>
        <w:spacing w:line="269" w:lineRule="auto"/>
      </w:pPr>
    </w:p>
    <w:p w14:paraId="677D2563">
      <w:pPr>
        <w:pStyle w:val="2"/>
        <w:spacing w:line="269" w:lineRule="auto"/>
      </w:pPr>
    </w:p>
    <w:p w14:paraId="2B626642">
      <w:pPr>
        <w:pStyle w:val="2"/>
        <w:spacing w:line="269" w:lineRule="auto"/>
      </w:pPr>
    </w:p>
    <w:p w14:paraId="3214823D">
      <w:pPr>
        <w:pStyle w:val="2"/>
        <w:spacing w:line="270" w:lineRule="auto"/>
      </w:pPr>
    </w:p>
    <w:p w14:paraId="4F7FCDCB">
      <w:pPr>
        <w:pStyle w:val="2"/>
        <w:spacing w:line="270" w:lineRule="auto"/>
      </w:pPr>
    </w:p>
    <w:p w14:paraId="195F13B6">
      <w:pPr>
        <w:pStyle w:val="2"/>
        <w:spacing w:line="270" w:lineRule="auto"/>
      </w:pPr>
    </w:p>
    <w:p w14:paraId="59DE3376">
      <w:pPr>
        <w:pStyle w:val="2"/>
        <w:spacing w:line="270" w:lineRule="auto"/>
      </w:pPr>
    </w:p>
    <w:p w14:paraId="6DE04A56">
      <w:pPr>
        <w:pStyle w:val="2"/>
        <w:spacing w:line="270" w:lineRule="auto"/>
      </w:pPr>
    </w:p>
    <w:p w14:paraId="2A4F676D">
      <w:pPr>
        <w:spacing w:before="143" w:line="221" w:lineRule="auto"/>
        <w:ind w:left="2339"/>
        <w:outlineLvl w:val="0"/>
        <w:rPr>
          <w:rFonts w:ascii="黑体" w:hAnsi="黑体" w:eastAsia="黑体" w:cs="黑体"/>
          <w:sz w:val="44"/>
          <w:szCs w:val="44"/>
        </w:rPr>
      </w:pPr>
      <w:bookmarkStart w:id="5" w:name="bookmark2"/>
      <w:bookmarkEnd w:id="5"/>
      <w:r>
        <w:rPr>
          <w:rFonts w:ascii="黑体" w:hAnsi="黑体" w:eastAsia="黑体" w:cs="黑体"/>
          <w:spacing w:val="11"/>
          <w:sz w:val="44"/>
          <w:szCs w:val="44"/>
        </w:rPr>
        <w:t>第</w:t>
      </w:r>
      <w:r>
        <w:rPr>
          <w:rFonts w:ascii="黑体" w:hAnsi="黑体" w:eastAsia="黑体" w:cs="黑体"/>
          <w:spacing w:val="-49"/>
          <w:sz w:val="44"/>
          <w:szCs w:val="44"/>
        </w:rPr>
        <w:t xml:space="preserve"> </w:t>
      </w:r>
      <w:r>
        <w:rPr>
          <w:rFonts w:ascii="黑体" w:hAnsi="黑体" w:eastAsia="黑体" w:cs="黑体"/>
          <w:spacing w:val="11"/>
          <w:sz w:val="44"/>
          <w:szCs w:val="44"/>
        </w:rPr>
        <w:t>1</w:t>
      </w:r>
      <w:r>
        <w:rPr>
          <w:rFonts w:ascii="黑体" w:hAnsi="黑体" w:eastAsia="黑体" w:cs="黑体"/>
          <w:spacing w:val="-74"/>
          <w:sz w:val="44"/>
          <w:szCs w:val="44"/>
        </w:rPr>
        <w:t xml:space="preserve"> </w:t>
      </w:r>
      <w:r>
        <w:rPr>
          <w:rFonts w:ascii="黑体" w:hAnsi="黑体" w:eastAsia="黑体" w:cs="黑体"/>
          <w:spacing w:val="11"/>
          <w:sz w:val="44"/>
          <w:szCs w:val="44"/>
        </w:rPr>
        <w:t>章</w:t>
      </w:r>
      <w:r>
        <w:rPr>
          <w:rFonts w:ascii="黑体" w:hAnsi="黑体" w:eastAsia="黑体" w:cs="黑体"/>
          <w:spacing w:val="46"/>
          <w:sz w:val="44"/>
          <w:szCs w:val="44"/>
        </w:rPr>
        <w:t xml:space="preserve">  </w:t>
      </w:r>
      <w:r>
        <w:rPr>
          <w:rFonts w:ascii="黑体" w:hAnsi="黑体" w:eastAsia="黑体" w:cs="黑体"/>
          <w:spacing w:val="11"/>
          <w:sz w:val="44"/>
          <w:szCs w:val="44"/>
        </w:rPr>
        <w:t>一般过程文件</w:t>
      </w:r>
    </w:p>
    <w:p w14:paraId="7B57BE0B">
      <w:pPr>
        <w:pStyle w:val="2"/>
        <w:spacing w:line="248" w:lineRule="auto"/>
      </w:pPr>
    </w:p>
    <w:p w14:paraId="0D14605A">
      <w:pPr>
        <w:pStyle w:val="2"/>
        <w:spacing w:line="248" w:lineRule="auto"/>
      </w:pPr>
    </w:p>
    <w:p w14:paraId="4CCB0044">
      <w:pPr>
        <w:pStyle w:val="2"/>
        <w:spacing w:line="248" w:lineRule="auto"/>
      </w:pPr>
    </w:p>
    <w:p w14:paraId="27F5C81E">
      <w:pPr>
        <w:spacing w:before="117" w:line="218" w:lineRule="auto"/>
        <w:ind w:left="2399"/>
        <w:outlineLvl w:val="1"/>
        <w:rPr>
          <w:rFonts w:ascii="宋体" w:hAnsi="宋体" w:eastAsia="宋体" w:cs="宋体"/>
          <w:sz w:val="36"/>
          <w:szCs w:val="36"/>
        </w:rPr>
      </w:pPr>
      <w:bookmarkStart w:id="6" w:name="bookmark3"/>
      <w:bookmarkEnd w:id="6"/>
      <w:r>
        <w:rPr>
          <w:rFonts w:ascii="宋体" w:hAnsi="宋体" w:eastAsia="宋体" w:cs="宋体"/>
          <w:spacing w:val="1"/>
          <w:sz w:val="36"/>
          <w:szCs w:val="36"/>
        </w:rPr>
        <w:t>1.1</w:t>
      </w:r>
      <w:r>
        <w:rPr>
          <w:rFonts w:ascii="宋体" w:hAnsi="宋体" w:eastAsia="宋体" w:cs="宋体"/>
          <w:spacing w:val="24"/>
          <w:sz w:val="36"/>
          <w:szCs w:val="36"/>
        </w:rPr>
        <w:t xml:space="preserve">  </w:t>
      </w:r>
      <w:r>
        <w:rPr>
          <w:rFonts w:ascii="宋体" w:hAnsi="宋体" w:eastAsia="宋体" w:cs="宋体"/>
          <w:b/>
          <w:bCs/>
          <w:spacing w:val="1"/>
          <w:sz w:val="36"/>
          <w:szCs w:val="36"/>
        </w:rPr>
        <w:t>研制立项综合论证报告</w:t>
      </w:r>
    </w:p>
    <w:p w14:paraId="143F7A48">
      <w:pPr>
        <w:pStyle w:val="2"/>
        <w:spacing w:line="338" w:lineRule="auto"/>
      </w:pPr>
    </w:p>
    <w:p w14:paraId="1F2B5E66">
      <w:pPr>
        <w:spacing w:before="88" w:line="220" w:lineRule="auto"/>
        <w:ind w:left="550"/>
        <w:rPr>
          <w:rFonts w:ascii="楷体" w:hAnsi="楷体" w:eastAsia="楷体" w:cs="楷体"/>
          <w:sz w:val="27"/>
          <w:szCs w:val="27"/>
        </w:rPr>
      </w:pPr>
      <w:r>
        <w:rPr>
          <w:rFonts w:ascii="楷体" w:hAnsi="楷体" w:eastAsia="楷体" w:cs="楷体"/>
          <w:spacing w:val="-5"/>
          <w:sz w:val="27"/>
          <w:szCs w:val="27"/>
        </w:rPr>
        <w:t>按照</w:t>
      </w:r>
      <w:r>
        <w:rPr>
          <w:rFonts w:ascii="Times New Roman" w:hAnsi="Times New Roman" w:eastAsia="Times New Roman" w:cs="Times New Roman"/>
          <w:spacing w:val="-5"/>
          <w:sz w:val="27"/>
          <w:szCs w:val="27"/>
        </w:rPr>
        <w:t>GJB 4054—2000</w:t>
      </w:r>
      <w:r>
        <w:rPr>
          <w:rFonts w:ascii="宋体" w:hAnsi="宋体" w:eastAsia="宋体" w:cs="宋体"/>
          <w:spacing w:val="-5"/>
          <w:sz w:val="27"/>
          <w:szCs w:val="27"/>
        </w:rPr>
        <w:t>《</w:t>
      </w:r>
      <w:r>
        <w:rPr>
          <w:rFonts w:ascii="楷体" w:hAnsi="楷体" w:eastAsia="楷体" w:cs="楷体"/>
          <w:spacing w:val="-5"/>
          <w:sz w:val="27"/>
          <w:szCs w:val="27"/>
        </w:rPr>
        <w:t>武器装备论证手册编写规则》编写，说明如下。</w:t>
      </w:r>
    </w:p>
    <w:p w14:paraId="620F5C2C">
      <w:pPr>
        <w:spacing w:before="99" w:line="222"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spacing w:val="14"/>
          <w:sz w:val="27"/>
          <w:szCs w:val="27"/>
        </w:rPr>
        <w:t xml:space="preserve">  </w:t>
      </w:r>
      <w:r>
        <w:rPr>
          <w:rFonts w:ascii="黑体" w:hAnsi="黑体" w:eastAsia="黑体" w:cs="黑体"/>
          <w:spacing w:val="1"/>
          <w:sz w:val="27"/>
          <w:szCs w:val="27"/>
        </w:rPr>
        <w:t>需求分析</w:t>
      </w:r>
    </w:p>
    <w:p w14:paraId="35108C5F">
      <w:pPr>
        <w:spacing w:before="54" w:line="277" w:lineRule="auto"/>
        <w:ind w:right="13" w:firstLine="550"/>
        <w:rPr>
          <w:rFonts w:ascii="宋体" w:hAnsi="宋体" w:eastAsia="宋体" w:cs="宋体"/>
          <w:sz w:val="27"/>
          <w:szCs w:val="27"/>
        </w:rPr>
      </w:pPr>
      <w:r>
        <w:rPr>
          <w:rFonts w:ascii="宋体" w:hAnsi="宋体" w:eastAsia="宋体" w:cs="宋体"/>
          <w:spacing w:val="5"/>
          <w:sz w:val="27"/>
          <w:szCs w:val="27"/>
        </w:rPr>
        <w:t>在武器装备发展战略论证和体制系列论证的基础上，进一步论证发展该型</w:t>
      </w:r>
      <w:r>
        <w:rPr>
          <w:rFonts w:ascii="宋体" w:hAnsi="宋体" w:eastAsia="宋体" w:cs="宋体"/>
          <w:spacing w:val="16"/>
          <w:sz w:val="27"/>
          <w:szCs w:val="27"/>
        </w:rPr>
        <w:t xml:space="preserve"> </w:t>
      </w:r>
      <w:r>
        <w:rPr>
          <w:rFonts w:ascii="宋体" w:hAnsi="宋体" w:eastAsia="宋体" w:cs="宋体"/>
          <w:spacing w:val="-5"/>
          <w:sz w:val="27"/>
          <w:szCs w:val="27"/>
        </w:rPr>
        <w:t>武器装备的必要性，主要内容包括：</w:t>
      </w:r>
    </w:p>
    <w:p w14:paraId="7EE7A0A8">
      <w:pPr>
        <w:spacing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未来作战对发展新型武器装备的需求</w:t>
      </w:r>
      <w:r>
        <w:rPr>
          <w:rFonts w:ascii="宋体" w:hAnsi="宋体" w:eastAsia="宋体" w:cs="宋体"/>
          <w:spacing w:val="3"/>
          <w:sz w:val="27"/>
          <w:szCs w:val="27"/>
        </w:rPr>
        <w:t>程度；</w:t>
      </w:r>
    </w:p>
    <w:p w14:paraId="1E04C712">
      <w:pPr>
        <w:spacing w:before="50" w:line="271" w:lineRule="auto"/>
        <w:ind w:firstLine="55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69"/>
          <w:sz w:val="27"/>
          <w:szCs w:val="27"/>
        </w:rPr>
        <w:t xml:space="preserve"> </w:t>
      </w:r>
      <w:r>
        <w:rPr>
          <w:rFonts w:ascii="宋体" w:hAnsi="宋体" w:eastAsia="宋体" w:cs="宋体"/>
          <w:spacing w:val="3"/>
          <w:sz w:val="27"/>
          <w:szCs w:val="27"/>
        </w:rPr>
        <w:t>新型武器装备在装备体制和配套武器装备中的地位、作用及其与现有武</w:t>
      </w:r>
      <w:r>
        <w:rPr>
          <w:rFonts w:ascii="宋体" w:hAnsi="宋体" w:eastAsia="宋体" w:cs="宋体"/>
          <w:sz w:val="27"/>
          <w:szCs w:val="27"/>
        </w:rPr>
        <w:t xml:space="preserve"> </w:t>
      </w:r>
      <w:r>
        <w:rPr>
          <w:rFonts w:ascii="宋体" w:hAnsi="宋体" w:eastAsia="宋体" w:cs="宋体"/>
          <w:spacing w:val="-4"/>
          <w:sz w:val="27"/>
          <w:szCs w:val="27"/>
        </w:rPr>
        <w:t>器装备的关系；</w:t>
      </w:r>
    </w:p>
    <w:p w14:paraId="206B82BC">
      <w:pPr>
        <w:spacing w:before="17" w:line="274" w:lineRule="auto"/>
        <w:ind w:right="10" w:firstLine="55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73"/>
          <w:w w:val="101"/>
          <w:sz w:val="27"/>
          <w:szCs w:val="27"/>
        </w:rPr>
        <w:t xml:space="preserve"> </w:t>
      </w:r>
      <w:r>
        <w:rPr>
          <w:rFonts w:ascii="宋体" w:hAnsi="宋体" w:eastAsia="宋体" w:cs="宋体"/>
          <w:spacing w:val="3"/>
          <w:sz w:val="27"/>
          <w:szCs w:val="27"/>
        </w:rPr>
        <w:t>现有武器装备在形成军事实力、总体作战能力、完成作战任务等方面的</w:t>
      </w:r>
      <w:r>
        <w:rPr>
          <w:rFonts w:ascii="宋体" w:hAnsi="宋体" w:eastAsia="宋体" w:cs="宋体"/>
          <w:sz w:val="27"/>
          <w:szCs w:val="27"/>
        </w:rPr>
        <w:t xml:space="preserve"> </w:t>
      </w:r>
      <w:r>
        <w:rPr>
          <w:rFonts w:ascii="宋体" w:hAnsi="宋体" w:eastAsia="宋体" w:cs="宋体"/>
          <w:spacing w:val="1"/>
          <w:sz w:val="27"/>
          <w:szCs w:val="27"/>
        </w:rPr>
        <w:t>差距和存在的问题。</w:t>
      </w:r>
    </w:p>
    <w:p w14:paraId="5583C910">
      <w:pPr>
        <w:spacing w:before="67" w:line="221" w:lineRule="auto"/>
        <w:rPr>
          <w:rFonts w:ascii="黑体" w:hAnsi="黑体" w:eastAsia="黑体" w:cs="黑体"/>
          <w:sz w:val="27"/>
          <w:szCs w:val="27"/>
        </w:rPr>
      </w:pPr>
      <w:r>
        <w:rPr>
          <w:rFonts w:ascii="黑体" w:hAnsi="黑体" w:eastAsia="黑体" w:cs="黑体"/>
          <w:spacing w:val="3"/>
          <w:sz w:val="27"/>
          <w:szCs w:val="27"/>
        </w:rPr>
        <w:t>2  作战使命任务分析</w:t>
      </w:r>
    </w:p>
    <w:p w14:paraId="131E5274">
      <w:pPr>
        <w:spacing w:before="87" w:line="219" w:lineRule="auto"/>
        <w:ind w:left="550"/>
        <w:rPr>
          <w:rFonts w:ascii="宋体" w:hAnsi="宋体" w:eastAsia="宋体" w:cs="宋体"/>
          <w:sz w:val="27"/>
          <w:szCs w:val="27"/>
        </w:rPr>
      </w:pPr>
      <w:r>
        <w:rPr>
          <w:rFonts w:ascii="宋体" w:hAnsi="宋体" w:eastAsia="宋体" w:cs="宋体"/>
          <w:spacing w:val="3"/>
          <w:sz w:val="27"/>
          <w:szCs w:val="27"/>
        </w:rPr>
        <w:t>新型武器装备作战使命任务分析主要应考虑以下方面：</w:t>
      </w:r>
    </w:p>
    <w:p w14:paraId="6EB5752E">
      <w:pPr>
        <w:spacing w:before="51"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未来作战中新型武器装备所承担的主要任</w:t>
      </w:r>
      <w:r>
        <w:rPr>
          <w:rFonts w:ascii="宋体" w:hAnsi="宋体" w:eastAsia="宋体" w:cs="宋体"/>
          <w:spacing w:val="3"/>
          <w:sz w:val="27"/>
          <w:szCs w:val="27"/>
        </w:rPr>
        <w:t>务和辅助任务；</w:t>
      </w:r>
    </w:p>
    <w:p w14:paraId="3EBC9276">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新型武器装备应具备的主要功能和辅助功</w:t>
      </w:r>
      <w:r>
        <w:rPr>
          <w:rFonts w:ascii="宋体" w:hAnsi="宋体" w:eastAsia="宋体" w:cs="宋体"/>
          <w:spacing w:val="3"/>
          <w:sz w:val="27"/>
          <w:szCs w:val="27"/>
        </w:rPr>
        <w:t>能。</w:t>
      </w:r>
    </w:p>
    <w:p w14:paraId="4437C68A">
      <w:pPr>
        <w:pStyle w:val="2"/>
        <w:spacing w:before="90" w:line="368" w:lineRule="exact"/>
        <w:rPr>
          <w:rFonts w:ascii="黑体" w:hAnsi="黑体" w:eastAsia="黑体" w:cs="黑体"/>
          <w:sz w:val="27"/>
          <w:szCs w:val="27"/>
        </w:rPr>
      </w:pPr>
      <w:r>
        <w:rPr>
          <w:spacing w:val="2"/>
          <w:position w:val="1"/>
          <w:sz w:val="27"/>
          <w:szCs w:val="27"/>
        </w:rPr>
        <w:t>3</w:t>
      </w:r>
      <w:r>
        <w:rPr>
          <w:spacing w:val="15"/>
          <w:position w:val="1"/>
          <w:sz w:val="27"/>
          <w:szCs w:val="27"/>
        </w:rPr>
        <w:t xml:space="preserve">   </w:t>
      </w:r>
      <w:r>
        <w:rPr>
          <w:rFonts w:ascii="黑体" w:hAnsi="黑体" w:eastAsia="黑体" w:cs="黑体"/>
          <w:spacing w:val="2"/>
          <w:position w:val="1"/>
          <w:sz w:val="27"/>
          <w:szCs w:val="27"/>
        </w:rPr>
        <w:t>初步总体技术方案</w:t>
      </w:r>
    </w:p>
    <w:p w14:paraId="47374B97">
      <w:pPr>
        <w:spacing w:before="89" w:line="221" w:lineRule="auto"/>
        <w:rPr>
          <w:rFonts w:ascii="黑体" w:hAnsi="黑体" w:eastAsia="黑体" w:cs="黑体"/>
          <w:sz w:val="24"/>
          <w:szCs w:val="24"/>
        </w:rPr>
      </w:pPr>
      <w:r>
        <w:rPr>
          <w:rFonts w:ascii="黑体" w:hAnsi="黑体" w:eastAsia="黑体" w:cs="黑体"/>
          <w:spacing w:val="12"/>
          <w:sz w:val="24"/>
          <w:szCs w:val="24"/>
        </w:rPr>
        <w:t>3.</w:t>
      </w:r>
      <w:r>
        <w:rPr>
          <w:rFonts w:ascii="黑体" w:hAnsi="黑体" w:eastAsia="黑体" w:cs="黑体"/>
          <w:spacing w:val="-68"/>
          <w:sz w:val="24"/>
          <w:szCs w:val="24"/>
        </w:rPr>
        <w:t xml:space="preserve"> </w:t>
      </w:r>
      <w:r>
        <w:rPr>
          <w:rFonts w:ascii="黑体" w:hAnsi="黑体" w:eastAsia="黑体" w:cs="黑体"/>
          <w:spacing w:val="12"/>
          <w:sz w:val="24"/>
          <w:szCs w:val="24"/>
        </w:rPr>
        <w:t>1</w:t>
      </w:r>
      <w:r>
        <w:rPr>
          <w:rFonts w:ascii="黑体" w:hAnsi="黑体" w:eastAsia="黑体" w:cs="黑体"/>
          <w:spacing w:val="56"/>
          <w:sz w:val="24"/>
          <w:szCs w:val="24"/>
        </w:rPr>
        <w:t xml:space="preserve">  </w:t>
      </w:r>
      <w:r>
        <w:rPr>
          <w:rFonts w:ascii="黑体" w:hAnsi="黑体" w:eastAsia="黑体" w:cs="黑体"/>
          <w:spacing w:val="12"/>
          <w:sz w:val="24"/>
          <w:szCs w:val="24"/>
        </w:rPr>
        <w:t>系统组成</w:t>
      </w:r>
    </w:p>
    <w:p w14:paraId="4E578AC1">
      <w:pPr>
        <w:spacing w:before="96" w:line="219" w:lineRule="auto"/>
        <w:ind w:left="550"/>
        <w:rPr>
          <w:rFonts w:ascii="宋体" w:hAnsi="宋体" w:eastAsia="宋体" w:cs="宋体"/>
          <w:sz w:val="27"/>
          <w:szCs w:val="27"/>
        </w:rPr>
      </w:pPr>
      <w:r>
        <w:rPr>
          <w:rFonts w:ascii="宋体" w:hAnsi="宋体" w:eastAsia="宋体" w:cs="宋体"/>
          <w:spacing w:val="-4"/>
          <w:sz w:val="27"/>
          <w:szCs w:val="27"/>
        </w:rPr>
        <w:t>新型武器装备组成方案，主要是明确所包括的系统、分系统和关</w:t>
      </w:r>
      <w:r>
        <w:rPr>
          <w:rFonts w:ascii="宋体" w:hAnsi="宋体" w:eastAsia="宋体" w:cs="宋体"/>
          <w:spacing w:val="-5"/>
          <w:sz w:val="27"/>
          <w:szCs w:val="27"/>
        </w:rPr>
        <w:t>键设备。</w:t>
      </w:r>
    </w:p>
    <w:p w14:paraId="3F652820">
      <w:pPr>
        <w:spacing w:before="77" w:line="221" w:lineRule="auto"/>
        <w:rPr>
          <w:rFonts w:ascii="黑体" w:hAnsi="黑体" w:eastAsia="黑体" w:cs="黑体"/>
          <w:sz w:val="27"/>
          <w:szCs w:val="27"/>
        </w:rPr>
      </w:pPr>
      <w:r>
        <w:rPr>
          <w:rFonts w:ascii="黑体" w:hAnsi="黑体" w:eastAsia="黑体" w:cs="黑体"/>
          <w:spacing w:val="3"/>
          <w:sz w:val="27"/>
          <w:szCs w:val="27"/>
        </w:rPr>
        <w:t>3.2</w:t>
      </w:r>
      <w:r>
        <w:rPr>
          <w:rFonts w:ascii="黑体" w:hAnsi="黑体" w:eastAsia="黑体" w:cs="黑体"/>
          <w:spacing w:val="23"/>
          <w:sz w:val="27"/>
          <w:szCs w:val="27"/>
        </w:rPr>
        <w:t xml:space="preserve">  </w:t>
      </w:r>
      <w:r>
        <w:rPr>
          <w:rFonts w:ascii="黑体" w:hAnsi="黑体" w:eastAsia="黑体" w:cs="黑体"/>
          <w:spacing w:val="3"/>
          <w:sz w:val="27"/>
          <w:szCs w:val="27"/>
        </w:rPr>
        <w:t>各分系统主要技术方案</w:t>
      </w:r>
    </w:p>
    <w:p w14:paraId="42B35C87">
      <w:pPr>
        <w:spacing w:before="88" w:line="219" w:lineRule="auto"/>
        <w:ind w:left="550"/>
        <w:rPr>
          <w:rFonts w:ascii="宋体" w:hAnsi="宋体" w:eastAsia="宋体" w:cs="宋体"/>
          <w:sz w:val="27"/>
          <w:szCs w:val="27"/>
        </w:rPr>
      </w:pPr>
      <w:r>
        <w:rPr>
          <w:rFonts w:ascii="宋体" w:hAnsi="宋体" w:eastAsia="宋体" w:cs="宋体"/>
          <w:sz w:val="27"/>
          <w:szCs w:val="27"/>
        </w:rPr>
        <w:t>主要应考虑以下内容：</w:t>
      </w:r>
    </w:p>
    <w:p w14:paraId="1143E5DB">
      <w:pPr>
        <w:spacing w:before="51"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14"/>
          <w:sz w:val="27"/>
          <w:szCs w:val="27"/>
        </w:rPr>
        <w:t xml:space="preserve">  </w:t>
      </w:r>
      <w:r>
        <w:rPr>
          <w:rFonts w:ascii="宋体" w:hAnsi="宋体" w:eastAsia="宋体" w:cs="宋体"/>
          <w:spacing w:val="-1"/>
          <w:sz w:val="27"/>
          <w:szCs w:val="27"/>
        </w:rPr>
        <w:t>主要的技术特点；</w:t>
      </w:r>
    </w:p>
    <w:p w14:paraId="3C4F8AEA">
      <w:pPr>
        <w:spacing w:before="9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主要关键技术及拟采取的技术途径；</w:t>
      </w:r>
    </w:p>
    <w:p w14:paraId="1C2DBCA0">
      <w:pPr>
        <w:spacing w:before="10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52"/>
          <w:sz w:val="27"/>
          <w:szCs w:val="27"/>
        </w:rPr>
        <w:t xml:space="preserve"> </w:t>
      </w:r>
      <w:r>
        <w:rPr>
          <w:rFonts w:ascii="宋体" w:hAnsi="宋体" w:eastAsia="宋体" w:cs="宋体"/>
          <w:spacing w:val="3"/>
          <w:sz w:val="27"/>
          <w:szCs w:val="27"/>
        </w:rPr>
        <w:t>各组成部分之间的相互关系；</w:t>
      </w:r>
    </w:p>
    <w:p w14:paraId="2B2DC922">
      <w:pPr>
        <w:spacing w:before="10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与已有设备的继承关系。</w:t>
      </w:r>
    </w:p>
    <w:p w14:paraId="7D050C21">
      <w:pPr>
        <w:pStyle w:val="2"/>
        <w:spacing w:before="69" w:line="368" w:lineRule="exact"/>
        <w:rPr>
          <w:rFonts w:ascii="黑体" w:hAnsi="黑体" w:eastAsia="黑体" w:cs="黑体"/>
          <w:sz w:val="27"/>
          <w:szCs w:val="27"/>
        </w:rPr>
      </w:pPr>
      <w:r>
        <w:rPr>
          <w:position w:val="1"/>
          <w:sz w:val="27"/>
          <w:szCs w:val="27"/>
        </w:rPr>
        <w:t>3.3</w:t>
      </w:r>
      <w:r>
        <w:rPr>
          <w:spacing w:val="16"/>
          <w:position w:val="1"/>
          <w:sz w:val="27"/>
          <w:szCs w:val="27"/>
        </w:rPr>
        <w:t xml:space="preserve">     </w:t>
      </w:r>
      <w:r>
        <w:rPr>
          <w:rFonts w:ascii="黑体" w:hAnsi="黑体" w:eastAsia="黑体" w:cs="黑体"/>
          <w:position w:val="1"/>
          <w:sz w:val="27"/>
          <w:szCs w:val="27"/>
        </w:rPr>
        <w:t>系统综合配套方案</w:t>
      </w:r>
    </w:p>
    <w:p w14:paraId="4FFF46A7">
      <w:pPr>
        <w:spacing w:before="83" w:line="268" w:lineRule="auto"/>
        <w:ind w:right="41" w:firstLine="550"/>
        <w:rPr>
          <w:rFonts w:ascii="宋体" w:hAnsi="宋体" w:eastAsia="宋体" w:cs="宋体"/>
          <w:sz w:val="27"/>
          <w:szCs w:val="27"/>
        </w:rPr>
      </w:pPr>
      <w:r>
        <w:rPr>
          <w:rFonts w:ascii="宋体" w:hAnsi="宋体" w:eastAsia="宋体" w:cs="宋体"/>
          <w:sz w:val="27"/>
          <w:szCs w:val="27"/>
        </w:rPr>
        <w:t>主要是考虑满足主战装备作战需要对保障设备的综合配套要求。 一般是考</w:t>
      </w:r>
      <w:r>
        <w:rPr>
          <w:rFonts w:ascii="宋体" w:hAnsi="宋体" w:eastAsia="宋体" w:cs="宋体"/>
          <w:spacing w:val="14"/>
          <w:sz w:val="27"/>
          <w:szCs w:val="27"/>
        </w:rPr>
        <w:t xml:space="preserve"> </w:t>
      </w:r>
      <w:r>
        <w:rPr>
          <w:rFonts w:ascii="宋体" w:hAnsi="宋体" w:eastAsia="宋体" w:cs="宋体"/>
          <w:spacing w:val="-3"/>
          <w:sz w:val="27"/>
          <w:szCs w:val="27"/>
        </w:rPr>
        <w:t>虑作战保障、后勤保障和技术保障三个方面。</w:t>
      </w:r>
    </w:p>
    <w:p w14:paraId="38B29789">
      <w:pPr>
        <w:spacing w:before="15" w:line="219" w:lineRule="auto"/>
        <w:ind w:left="550"/>
        <w:rPr>
          <w:rFonts w:ascii="宋体" w:hAnsi="宋体" w:eastAsia="宋体" w:cs="宋体"/>
          <w:sz w:val="27"/>
          <w:szCs w:val="27"/>
        </w:rPr>
      </w:pPr>
      <w:r>
        <w:rPr>
          <w:rFonts w:ascii="宋体" w:hAnsi="宋体" w:eastAsia="宋体" w:cs="宋体"/>
          <w:spacing w:val="1"/>
          <w:sz w:val="27"/>
          <w:szCs w:val="27"/>
        </w:rPr>
        <w:t>作战保障装备配套项目主要考虑：</w:t>
      </w:r>
    </w:p>
    <w:p w14:paraId="0DD33F20">
      <w:pPr>
        <w:spacing w:line="219" w:lineRule="auto"/>
        <w:rPr>
          <w:rFonts w:ascii="宋体" w:hAnsi="宋体" w:eastAsia="宋体" w:cs="宋体"/>
          <w:sz w:val="27"/>
          <w:szCs w:val="27"/>
        </w:rPr>
        <w:sectPr>
          <w:footerReference r:id="rId21" w:type="default"/>
          <w:pgSz w:w="11910" w:h="17130"/>
          <w:pgMar w:top="400" w:right="1168" w:bottom="1537" w:left="1360" w:header="0" w:footer="1356" w:gutter="0"/>
          <w:cols w:space="720" w:num="1"/>
        </w:sectPr>
      </w:pPr>
    </w:p>
    <w:p w14:paraId="0B767CDD">
      <w:pPr>
        <w:pStyle w:val="2"/>
        <w:spacing w:line="269" w:lineRule="auto"/>
      </w:pPr>
    </w:p>
    <w:p w14:paraId="68859282">
      <w:pPr>
        <w:pStyle w:val="2"/>
        <w:spacing w:line="269" w:lineRule="auto"/>
      </w:pPr>
    </w:p>
    <w:p w14:paraId="5774CC7A">
      <w:pPr>
        <w:pStyle w:val="2"/>
        <w:spacing w:line="269" w:lineRule="auto"/>
      </w:pPr>
    </w:p>
    <w:p w14:paraId="437D6C3E">
      <w:pPr>
        <w:pStyle w:val="2"/>
        <w:spacing w:line="269" w:lineRule="auto"/>
      </w:pPr>
    </w:p>
    <w:p w14:paraId="01C08623">
      <w:pPr>
        <w:spacing w:before="88" w:line="219" w:lineRule="auto"/>
        <w:ind w:left="509"/>
        <w:rPr>
          <w:rFonts w:ascii="宋体" w:hAnsi="宋体" w:eastAsia="宋体" w:cs="宋体"/>
          <w:sz w:val="27"/>
          <w:szCs w:val="27"/>
        </w:rPr>
      </w:pPr>
      <w:r>
        <w:rPr>
          <w:rFonts w:ascii="Times New Roman" w:hAnsi="Times New Roman" w:eastAsia="Times New Roman" w:cs="Times New Roman"/>
          <w:spacing w:val="12"/>
          <w:sz w:val="27"/>
          <w:szCs w:val="27"/>
        </w:rPr>
        <w:t>a</w:t>
      </w:r>
      <w:r>
        <w:rPr>
          <w:rFonts w:ascii="宋体" w:hAnsi="宋体" w:eastAsia="宋体" w:cs="宋体"/>
          <w:spacing w:val="12"/>
          <w:sz w:val="27"/>
          <w:szCs w:val="27"/>
        </w:rPr>
        <w:t>)目标保障；</w:t>
      </w:r>
    </w:p>
    <w:p w14:paraId="1C3B850E">
      <w:pPr>
        <w:spacing w:before="60" w:line="212" w:lineRule="auto"/>
        <w:ind w:left="509"/>
        <w:rPr>
          <w:rFonts w:ascii="宋体" w:hAnsi="宋体" w:eastAsia="宋体" w:cs="宋体"/>
          <w:sz w:val="25"/>
          <w:szCs w:val="25"/>
        </w:rPr>
      </w:pPr>
      <w:r>
        <w:rPr>
          <w:rFonts w:ascii="Times New Roman" w:hAnsi="Times New Roman" w:eastAsia="Times New Roman" w:cs="Times New Roman"/>
          <w:spacing w:val="11"/>
          <w:sz w:val="25"/>
          <w:szCs w:val="25"/>
        </w:rPr>
        <w:t xml:space="preserve">b)  </w:t>
      </w:r>
      <w:r>
        <w:rPr>
          <w:rFonts w:ascii="宋体" w:hAnsi="宋体" w:eastAsia="宋体" w:cs="宋体"/>
          <w:spacing w:val="11"/>
          <w:sz w:val="25"/>
          <w:szCs w:val="25"/>
        </w:rPr>
        <w:t>测地保障；</w:t>
      </w:r>
    </w:p>
    <w:p w14:paraId="66EC8A96">
      <w:pPr>
        <w:spacing w:before="132" w:line="219" w:lineRule="auto"/>
        <w:ind w:left="509"/>
        <w:rPr>
          <w:rFonts w:ascii="宋体" w:hAnsi="宋体" w:eastAsia="宋体" w:cs="宋体"/>
          <w:sz w:val="27"/>
          <w:szCs w:val="27"/>
        </w:rPr>
      </w:pPr>
      <w:r>
        <w:rPr>
          <w:rFonts w:ascii="Times New Roman" w:hAnsi="Times New Roman" w:eastAsia="Times New Roman" w:cs="Times New Roman"/>
          <w:spacing w:val="12"/>
          <w:sz w:val="27"/>
          <w:szCs w:val="27"/>
        </w:rPr>
        <w:t>c</w:t>
      </w:r>
      <w:r>
        <w:rPr>
          <w:rFonts w:ascii="宋体" w:hAnsi="宋体" w:eastAsia="宋体" w:cs="宋体"/>
          <w:spacing w:val="12"/>
          <w:sz w:val="27"/>
          <w:szCs w:val="27"/>
        </w:rPr>
        <w:t>)诸元保障；</w:t>
      </w:r>
    </w:p>
    <w:p w14:paraId="3130855C">
      <w:pPr>
        <w:spacing w:before="49" w:line="212" w:lineRule="auto"/>
        <w:ind w:left="509"/>
        <w:rPr>
          <w:rFonts w:ascii="宋体" w:hAnsi="宋体" w:eastAsia="宋体" w:cs="宋体"/>
          <w:sz w:val="27"/>
          <w:szCs w:val="27"/>
        </w:rPr>
      </w:pPr>
      <w:r>
        <w:rPr>
          <w:rFonts w:ascii="Times New Roman" w:hAnsi="Times New Roman" w:eastAsia="Times New Roman" w:cs="Times New Roman"/>
          <w:sz w:val="27"/>
          <w:szCs w:val="27"/>
        </w:rPr>
        <w:t>d)</w:t>
      </w:r>
      <w:r>
        <w:rPr>
          <w:rFonts w:ascii="Times New Roman" w:hAnsi="Times New Roman" w:eastAsia="Times New Roman" w:cs="Times New Roman"/>
          <w:spacing w:val="51"/>
          <w:sz w:val="27"/>
          <w:szCs w:val="27"/>
        </w:rPr>
        <w:t xml:space="preserve"> </w:t>
      </w:r>
      <w:r>
        <w:rPr>
          <w:rFonts w:ascii="宋体" w:hAnsi="宋体" w:eastAsia="宋体" w:cs="宋体"/>
          <w:sz w:val="27"/>
          <w:szCs w:val="27"/>
        </w:rPr>
        <w:t>气象保障；</w:t>
      </w:r>
    </w:p>
    <w:p w14:paraId="6E148ACC">
      <w:pPr>
        <w:spacing w:before="140" w:line="219" w:lineRule="auto"/>
        <w:ind w:left="509"/>
        <w:rPr>
          <w:rFonts w:ascii="宋体" w:hAnsi="宋体" w:eastAsia="宋体" w:cs="宋体"/>
          <w:sz w:val="27"/>
          <w:szCs w:val="27"/>
        </w:rPr>
      </w:pPr>
      <w:r>
        <w:rPr>
          <w:rFonts w:ascii="Times New Roman" w:hAnsi="Times New Roman" w:eastAsia="Times New Roman" w:cs="Times New Roman"/>
          <w:sz w:val="27"/>
          <w:szCs w:val="27"/>
        </w:rPr>
        <w:t>e</w:t>
      </w:r>
      <w:r>
        <w:rPr>
          <w:rFonts w:ascii="宋体" w:hAnsi="宋体" w:eastAsia="宋体" w:cs="宋体"/>
          <w:sz w:val="27"/>
          <w:szCs w:val="27"/>
        </w:rPr>
        <w:t>)</w:t>
      </w:r>
      <w:r>
        <w:rPr>
          <w:rFonts w:ascii="宋体" w:hAnsi="宋体" w:eastAsia="宋体" w:cs="宋体"/>
          <w:spacing w:val="-45"/>
          <w:sz w:val="27"/>
          <w:szCs w:val="27"/>
        </w:rPr>
        <w:t xml:space="preserve"> </w:t>
      </w:r>
      <w:r>
        <w:rPr>
          <w:rFonts w:ascii="宋体" w:hAnsi="宋体" w:eastAsia="宋体" w:cs="宋体"/>
          <w:sz w:val="27"/>
          <w:szCs w:val="27"/>
        </w:rPr>
        <w:t>防化保障；</w:t>
      </w:r>
    </w:p>
    <w:p w14:paraId="44303376">
      <w:pPr>
        <w:spacing w:before="49" w:line="212" w:lineRule="auto"/>
        <w:ind w:left="509"/>
        <w:rPr>
          <w:rFonts w:ascii="宋体" w:hAnsi="宋体" w:eastAsia="宋体" w:cs="宋体"/>
          <w:sz w:val="27"/>
          <w:szCs w:val="27"/>
        </w:rPr>
      </w:pPr>
      <w:r>
        <w:rPr>
          <w:rFonts w:ascii="Times New Roman" w:hAnsi="Times New Roman" w:eastAsia="Times New Roman" w:cs="Times New Roman"/>
          <w:spacing w:val="2"/>
          <w:sz w:val="27"/>
          <w:szCs w:val="27"/>
        </w:rPr>
        <w:t>f)</w:t>
      </w:r>
      <w:r>
        <w:rPr>
          <w:rFonts w:ascii="Times New Roman" w:hAnsi="Times New Roman" w:eastAsia="Times New Roman" w:cs="Times New Roman"/>
          <w:spacing w:val="53"/>
          <w:sz w:val="27"/>
          <w:szCs w:val="27"/>
        </w:rPr>
        <w:t xml:space="preserve"> </w:t>
      </w:r>
      <w:r>
        <w:rPr>
          <w:rFonts w:ascii="宋体" w:hAnsi="宋体" w:eastAsia="宋体" w:cs="宋体"/>
          <w:spacing w:val="2"/>
          <w:sz w:val="27"/>
          <w:szCs w:val="27"/>
        </w:rPr>
        <w:t>伪装保障；</w:t>
      </w:r>
    </w:p>
    <w:p w14:paraId="18BD725E">
      <w:pPr>
        <w:spacing w:before="109" w:line="212" w:lineRule="auto"/>
        <w:ind w:left="509"/>
        <w:rPr>
          <w:rFonts w:ascii="宋体" w:hAnsi="宋体" w:eastAsia="宋体" w:cs="宋体"/>
          <w:sz w:val="27"/>
          <w:szCs w:val="27"/>
        </w:rPr>
      </w:pPr>
      <w:r>
        <w:rPr>
          <w:rFonts w:ascii="Times New Roman" w:hAnsi="Times New Roman" w:eastAsia="Times New Roman" w:cs="Times New Roman"/>
          <w:spacing w:val="10"/>
          <w:sz w:val="27"/>
          <w:szCs w:val="27"/>
        </w:rPr>
        <w:t>g</w:t>
      </w:r>
      <w:r>
        <w:rPr>
          <w:rFonts w:ascii="宋体" w:hAnsi="宋体" w:eastAsia="宋体" w:cs="宋体"/>
          <w:spacing w:val="10"/>
          <w:sz w:val="27"/>
          <w:szCs w:val="27"/>
        </w:rPr>
        <w:t>)工程保障；</w:t>
      </w:r>
    </w:p>
    <w:p w14:paraId="5279B628">
      <w:pPr>
        <w:spacing w:before="80" w:line="212" w:lineRule="auto"/>
        <w:ind w:left="509"/>
        <w:rPr>
          <w:rFonts w:ascii="宋体" w:hAnsi="宋体" w:eastAsia="宋体" w:cs="宋体"/>
          <w:sz w:val="27"/>
          <w:szCs w:val="27"/>
        </w:rPr>
      </w:pPr>
      <w:r>
        <w:rPr>
          <w:rFonts w:ascii="Times New Roman" w:hAnsi="Times New Roman" w:eastAsia="Times New Roman" w:cs="Times New Roman"/>
          <w:spacing w:val="1"/>
          <w:sz w:val="27"/>
          <w:szCs w:val="27"/>
        </w:rPr>
        <w:t>h)</w:t>
      </w:r>
      <w:r>
        <w:rPr>
          <w:rFonts w:ascii="Times New Roman" w:hAnsi="Times New Roman" w:eastAsia="Times New Roman" w:cs="Times New Roman"/>
          <w:spacing w:val="64"/>
          <w:sz w:val="27"/>
          <w:szCs w:val="27"/>
        </w:rPr>
        <w:t xml:space="preserve"> </w:t>
      </w:r>
      <w:r>
        <w:rPr>
          <w:rFonts w:ascii="宋体" w:hAnsi="宋体" w:eastAsia="宋体" w:cs="宋体"/>
          <w:spacing w:val="1"/>
          <w:sz w:val="27"/>
          <w:szCs w:val="27"/>
        </w:rPr>
        <w:t>通信保障；</w:t>
      </w:r>
    </w:p>
    <w:p w14:paraId="3B695876">
      <w:pPr>
        <w:spacing w:before="100" w:line="212" w:lineRule="auto"/>
        <w:ind w:left="509"/>
        <w:rPr>
          <w:rFonts w:ascii="宋体" w:hAnsi="宋体" w:eastAsia="宋体" w:cs="宋体"/>
          <w:sz w:val="27"/>
          <w:szCs w:val="27"/>
        </w:rPr>
      </w:pPr>
      <w:r>
        <w:rPr>
          <w:rFonts w:ascii="Times New Roman" w:hAnsi="Times New Roman" w:eastAsia="Times New Roman" w:cs="Times New Roman"/>
          <w:sz w:val="27"/>
          <w:szCs w:val="27"/>
        </w:rPr>
        <w:t>i)</w:t>
      </w:r>
      <w:r>
        <w:rPr>
          <w:rFonts w:ascii="Times New Roman" w:hAnsi="Times New Roman" w:eastAsia="Times New Roman" w:cs="Times New Roman"/>
          <w:spacing w:val="61"/>
          <w:sz w:val="27"/>
          <w:szCs w:val="27"/>
        </w:rPr>
        <w:t xml:space="preserve"> </w:t>
      </w:r>
      <w:r>
        <w:rPr>
          <w:rFonts w:ascii="宋体" w:hAnsi="宋体" w:eastAsia="宋体" w:cs="宋体"/>
          <w:sz w:val="27"/>
          <w:szCs w:val="27"/>
        </w:rPr>
        <w:t>侦察保障；</w:t>
      </w:r>
    </w:p>
    <w:p w14:paraId="48EE901D">
      <w:pPr>
        <w:spacing w:before="120" w:line="212" w:lineRule="auto"/>
        <w:ind w:left="509"/>
        <w:rPr>
          <w:rFonts w:ascii="宋体" w:hAnsi="宋体" w:eastAsia="宋体" w:cs="宋体"/>
          <w:sz w:val="27"/>
          <w:szCs w:val="27"/>
        </w:rPr>
      </w:pPr>
      <w:r>
        <w:rPr>
          <w:rFonts w:ascii="Times New Roman" w:hAnsi="Times New Roman" w:eastAsia="Times New Roman" w:cs="Times New Roman"/>
          <w:spacing w:val="1"/>
          <w:sz w:val="27"/>
          <w:szCs w:val="27"/>
        </w:rPr>
        <w:t>j)</w:t>
      </w:r>
      <w:r>
        <w:rPr>
          <w:rFonts w:ascii="Times New Roman" w:hAnsi="Times New Roman" w:eastAsia="Times New Roman" w:cs="Times New Roman"/>
          <w:spacing w:val="73"/>
          <w:sz w:val="27"/>
          <w:szCs w:val="27"/>
        </w:rPr>
        <w:t xml:space="preserve"> </w:t>
      </w:r>
      <w:r>
        <w:rPr>
          <w:rFonts w:ascii="宋体" w:hAnsi="宋体" w:eastAsia="宋体" w:cs="宋体"/>
          <w:spacing w:val="1"/>
          <w:sz w:val="27"/>
          <w:szCs w:val="27"/>
        </w:rPr>
        <w:t>电子对抗保障；</w:t>
      </w:r>
    </w:p>
    <w:p w14:paraId="50D24C1C">
      <w:pPr>
        <w:spacing w:before="80" w:line="212" w:lineRule="auto"/>
        <w:ind w:left="509"/>
        <w:rPr>
          <w:rFonts w:ascii="宋体" w:hAnsi="宋体" w:eastAsia="宋体" w:cs="宋体"/>
          <w:sz w:val="27"/>
          <w:szCs w:val="27"/>
        </w:rPr>
      </w:pPr>
      <w:r>
        <w:rPr>
          <w:rFonts w:ascii="Times New Roman" w:hAnsi="Times New Roman" w:eastAsia="Times New Roman" w:cs="Times New Roman"/>
          <w:sz w:val="27"/>
          <w:szCs w:val="27"/>
        </w:rPr>
        <w:t xml:space="preserve">k)  </w:t>
      </w:r>
      <w:r>
        <w:rPr>
          <w:rFonts w:ascii="宋体" w:hAnsi="宋体" w:eastAsia="宋体" w:cs="宋体"/>
          <w:sz w:val="27"/>
          <w:szCs w:val="27"/>
        </w:rPr>
        <w:t>防卫保障；</w:t>
      </w:r>
    </w:p>
    <w:p w14:paraId="2584A700">
      <w:pPr>
        <w:spacing w:before="132" w:line="220" w:lineRule="auto"/>
        <w:ind w:left="509"/>
        <w:rPr>
          <w:rFonts w:ascii="宋体" w:hAnsi="宋体" w:eastAsia="宋体" w:cs="宋体"/>
          <w:sz w:val="27"/>
          <w:szCs w:val="27"/>
        </w:rPr>
      </w:pPr>
      <w:r>
        <w:rPr>
          <w:rFonts w:ascii="宋体" w:hAnsi="宋体" w:eastAsia="宋体" w:cs="宋体"/>
          <w:spacing w:val="4"/>
          <w:sz w:val="27"/>
          <w:szCs w:val="27"/>
        </w:rPr>
        <w:t>1)其他。</w:t>
      </w:r>
    </w:p>
    <w:p w14:paraId="72DA06BA">
      <w:pPr>
        <w:spacing w:before="104" w:line="219" w:lineRule="auto"/>
        <w:ind w:left="509"/>
        <w:rPr>
          <w:rFonts w:ascii="宋体" w:hAnsi="宋体" w:eastAsia="宋体" w:cs="宋体"/>
          <w:sz w:val="24"/>
          <w:szCs w:val="24"/>
        </w:rPr>
      </w:pPr>
      <w:r>
        <w:rPr>
          <w:rFonts w:ascii="宋体" w:hAnsi="宋体" w:eastAsia="宋体" w:cs="宋体"/>
          <w:spacing w:val="30"/>
          <w:sz w:val="24"/>
          <w:szCs w:val="24"/>
        </w:rPr>
        <w:t>后勤保障装备配套项目主要考虑：</w:t>
      </w:r>
    </w:p>
    <w:p w14:paraId="2D796B96">
      <w:pPr>
        <w:spacing w:before="88" w:line="219" w:lineRule="auto"/>
        <w:ind w:left="509"/>
        <w:rPr>
          <w:rFonts w:ascii="宋体" w:hAnsi="宋体" w:eastAsia="宋体" w:cs="宋体"/>
          <w:sz w:val="27"/>
          <w:szCs w:val="27"/>
        </w:rPr>
      </w:pPr>
      <w:r>
        <w:rPr>
          <w:rFonts w:ascii="Times New Roman" w:hAnsi="Times New Roman" w:eastAsia="Times New Roman" w:cs="Times New Roman"/>
          <w:spacing w:val="12"/>
          <w:sz w:val="27"/>
          <w:szCs w:val="27"/>
        </w:rPr>
        <w:t>a</w:t>
      </w:r>
      <w:r>
        <w:rPr>
          <w:rFonts w:ascii="宋体" w:hAnsi="宋体" w:eastAsia="宋体" w:cs="宋体"/>
          <w:spacing w:val="12"/>
          <w:sz w:val="27"/>
          <w:szCs w:val="27"/>
        </w:rPr>
        <w:t>)物资保障；</w:t>
      </w:r>
    </w:p>
    <w:p w14:paraId="547F4BE0">
      <w:pPr>
        <w:spacing w:before="59" w:line="212" w:lineRule="auto"/>
        <w:ind w:left="509"/>
        <w:rPr>
          <w:rFonts w:ascii="宋体" w:hAnsi="宋体" w:eastAsia="宋体" w:cs="宋体"/>
          <w:sz w:val="27"/>
          <w:szCs w:val="27"/>
        </w:rPr>
      </w:pPr>
      <w:r>
        <w:rPr>
          <w:rFonts w:ascii="Times New Roman" w:hAnsi="Times New Roman" w:eastAsia="Times New Roman" w:cs="Times New Roman"/>
          <w:sz w:val="27"/>
          <w:szCs w:val="27"/>
        </w:rPr>
        <w:t>b)</w:t>
      </w:r>
      <w:r>
        <w:rPr>
          <w:rFonts w:ascii="Times New Roman" w:hAnsi="Times New Roman" w:eastAsia="Times New Roman" w:cs="Times New Roman"/>
          <w:spacing w:val="71"/>
          <w:sz w:val="27"/>
          <w:szCs w:val="27"/>
        </w:rPr>
        <w:t xml:space="preserve"> </w:t>
      </w:r>
      <w:r>
        <w:rPr>
          <w:rFonts w:ascii="宋体" w:hAnsi="宋体" w:eastAsia="宋体" w:cs="宋体"/>
          <w:sz w:val="27"/>
          <w:szCs w:val="27"/>
        </w:rPr>
        <w:t>卫勤保障；</w:t>
      </w:r>
    </w:p>
    <w:p w14:paraId="7EB5FCF5">
      <w:pPr>
        <w:spacing w:before="101" w:line="212" w:lineRule="auto"/>
        <w:ind w:left="509"/>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52"/>
          <w:w w:val="101"/>
          <w:sz w:val="27"/>
          <w:szCs w:val="27"/>
        </w:rPr>
        <w:t xml:space="preserve"> </w:t>
      </w:r>
      <w:r>
        <w:rPr>
          <w:rFonts w:ascii="宋体" w:hAnsi="宋体" w:eastAsia="宋体" w:cs="宋体"/>
          <w:spacing w:val="2"/>
          <w:sz w:val="27"/>
          <w:szCs w:val="27"/>
        </w:rPr>
        <w:t>运输保障；</w:t>
      </w:r>
    </w:p>
    <w:p w14:paraId="15570E54">
      <w:pPr>
        <w:spacing w:before="99" w:line="212" w:lineRule="auto"/>
        <w:ind w:left="509"/>
        <w:rPr>
          <w:rFonts w:ascii="宋体" w:hAnsi="宋体" w:eastAsia="宋体" w:cs="宋体"/>
          <w:sz w:val="27"/>
          <w:szCs w:val="27"/>
        </w:rPr>
      </w:pPr>
      <w:r>
        <w:rPr>
          <w:rFonts w:ascii="Times New Roman" w:hAnsi="Times New Roman" w:eastAsia="Times New Roman" w:cs="Times New Roman"/>
          <w:spacing w:val="-1"/>
          <w:sz w:val="27"/>
          <w:szCs w:val="27"/>
        </w:rPr>
        <w:t>d)</w:t>
      </w:r>
      <w:r>
        <w:rPr>
          <w:rFonts w:ascii="Times New Roman" w:hAnsi="Times New Roman" w:eastAsia="Times New Roman" w:cs="Times New Roman"/>
          <w:spacing w:val="66"/>
          <w:sz w:val="27"/>
          <w:szCs w:val="27"/>
        </w:rPr>
        <w:t xml:space="preserve"> </w:t>
      </w:r>
      <w:r>
        <w:rPr>
          <w:rFonts w:ascii="宋体" w:hAnsi="宋体" w:eastAsia="宋体" w:cs="宋体"/>
          <w:spacing w:val="-1"/>
          <w:sz w:val="27"/>
          <w:szCs w:val="27"/>
        </w:rPr>
        <w:t>其他。</w:t>
      </w:r>
    </w:p>
    <w:p w14:paraId="3239D880">
      <w:pPr>
        <w:spacing w:before="139" w:line="219" w:lineRule="auto"/>
        <w:ind w:left="509"/>
        <w:rPr>
          <w:rFonts w:ascii="宋体" w:hAnsi="宋体" w:eastAsia="宋体" w:cs="宋体"/>
          <w:sz w:val="27"/>
          <w:szCs w:val="27"/>
        </w:rPr>
      </w:pPr>
      <w:r>
        <w:rPr>
          <w:rFonts w:ascii="宋体" w:hAnsi="宋体" w:eastAsia="宋体" w:cs="宋体"/>
          <w:spacing w:val="1"/>
          <w:sz w:val="27"/>
          <w:szCs w:val="27"/>
        </w:rPr>
        <w:t>技术保障装备配套项目主要考虑：</w:t>
      </w:r>
    </w:p>
    <w:p w14:paraId="5E671844">
      <w:pPr>
        <w:spacing w:before="72" w:line="219" w:lineRule="auto"/>
        <w:ind w:left="509"/>
        <w:rPr>
          <w:rFonts w:ascii="宋体" w:hAnsi="宋体" w:eastAsia="宋体" w:cs="宋体"/>
          <w:sz w:val="27"/>
          <w:szCs w:val="27"/>
        </w:rPr>
      </w:pPr>
      <w:r>
        <w:rPr>
          <w:rFonts w:ascii="Times New Roman" w:hAnsi="Times New Roman" w:eastAsia="Times New Roman" w:cs="Times New Roman"/>
          <w:sz w:val="27"/>
          <w:szCs w:val="27"/>
        </w:rPr>
        <w:t>a</w:t>
      </w:r>
      <w:r>
        <w:rPr>
          <w:rFonts w:ascii="宋体" w:hAnsi="宋体" w:eastAsia="宋体" w:cs="宋体"/>
          <w:sz w:val="27"/>
          <w:szCs w:val="27"/>
        </w:rPr>
        <w:t>)</w:t>
      </w:r>
      <w:r>
        <w:rPr>
          <w:rFonts w:ascii="宋体" w:hAnsi="宋体" w:eastAsia="宋体" w:cs="宋体"/>
          <w:spacing w:val="-45"/>
          <w:sz w:val="27"/>
          <w:szCs w:val="27"/>
        </w:rPr>
        <w:t xml:space="preserve"> </w:t>
      </w:r>
      <w:r>
        <w:rPr>
          <w:rFonts w:ascii="宋体" w:hAnsi="宋体" w:eastAsia="宋体" w:cs="宋体"/>
          <w:sz w:val="27"/>
          <w:szCs w:val="27"/>
        </w:rPr>
        <w:t>维修保障；</w:t>
      </w:r>
    </w:p>
    <w:p w14:paraId="48103091">
      <w:pPr>
        <w:spacing w:before="69" w:line="212" w:lineRule="auto"/>
        <w:ind w:left="509"/>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59"/>
          <w:sz w:val="27"/>
          <w:szCs w:val="27"/>
        </w:rPr>
        <w:t xml:space="preserve"> </w:t>
      </w:r>
      <w:r>
        <w:rPr>
          <w:rFonts w:ascii="宋体" w:hAnsi="宋体" w:eastAsia="宋体" w:cs="宋体"/>
          <w:spacing w:val="-1"/>
          <w:sz w:val="27"/>
          <w:szCs w:val="27"/>
        </w:rPr>
        <w:t>备件保障；</w:t>
      </w:r>
    </w:p>
    <w:p w14:paraId="15B4FEB9">
      <w:pPr>
        <w:spacing w:before="120" w:line="219" w:lineRule="auto"/>
        <w:ind w:left="509"/>
        <w:rPr>
          <w:rFonts w:ascii="宋体" w:hAnsi="宋体" w:eastAsia="宋体" w:cs="宋体"/>
          <w:sz w:val="27"/>
          <w:szCs w:val="27"/>
        </w:rPr>
      </w:pPr>
      <w:r>
        <w:rPr>
          <w:rFonts w:ascii="Times New Roman" w:hAnsi="Times New Roman" w:eastAsia="Times New Roman" w:cs="Times New Roman"/>
          <w:spacing w:val="12"/>
          <w:sz w:val="27"/>
          <w:szCs w:val="27"/>
        </w:rPr>
        <w:t>c</w:t>
      </w:r>
      <w:r>
        <w:rPr>
          <w:rFonts w:ascii="宋体" w:hAnsi="宋体" w:eastAsia="宋体" w:cs="宋体"/>
          <w:spacing w:val="12"/>
          <w:sz w:val="27"/>
          <w:szCs w:val="27"/>
        </w:rPr>
        <w:t>)计量保障；</w:t>
      </w:r>
    </w:p>
    <w:p w14:paraId="19A6F0F7">
      <w:pPr>
        <w:spacing w:before="49" w:line="212" w:lineRule="auto"/>
        <w:ind w:left="509"/>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化验保障；</w:t>
      </w:r>
    </w:p>
    <w:p w14:paraId="7679A9B1">
      <w:pPr>
        <w:spacing w:before="100" w:line="212" w:lineRule="auto"/>
        <w:ind w:left="509"/>
        <w:rPr>
          <w:rFonts w:ascii="宋体" w:hAnsi="宋体" w:eastAsia="宋体" w:cs="宋体"/>
          <w:sz w:val="27"/>
          <w:szCs w:val="27"/>
        </w:rPr>
      </w:pPr>
      <w:r>
        <w:rPr>
          <w:rFonts w:ascii="Times New Roman" w:hAnsi="Times New Roman" w:eastAsia="Times New Roman" w:cs="Times New Roman"/>
          <w:sz w:val="27"/>
          <w:szCs w:val="27"/>
        </w:rPr>
        <w:t>e)</w:t>
      </w:r>
      <w:r>
        <w:rPr>
          <w:rFonts w:ascii="Times New Roman" w:hAnsi="Times New Roman" w:eastAsia="Times New Roman" w:cs="Times New Roman"/>
          <w:spacing w:val="56"/>
          <w:w w:val="101"/>
          <w:sz w:val="27"/>
          <w:szCs w:val="27"/>
        </w:rPr>
        <w:t xml:space="preserve"> </w:t>
      </w:r>
      <w:r>
        <w:rPr>
          <w:rFonts w:ascii="宋体" w:hAnsi="宋体" w:eastAsia="宋体" w:cs="宋体"/>
          <w:sz w:val="27"/>
          <w:szCs w:val="27"/>
        </w:rPr>
        <w:t>其他。</w:t>
      </w:r>
    </w:p>
    <w:p w14:paraId="7EDA3EF2">
      <w:pPr>
        <w:spacing w:before="125" w:line="222"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6"/>
          <w:sz w:val="27"/>
          <w:szCs w:val="27"/>
        </w:rPr>
        <w:t xml:space="preserve">  </w:t>
      </w:r>
      <w:r>
        <w:rPr>
          <w:rFonts w:ascii="黑体" w:hAnsi="黑体" w:eastAsia="黑体" w:cs="黑体"/>
          <w:b/>
          <w:bCs/>
          <w:spacing w:val="-1"/>
          <w:sz w:val="27"/>
          <w:szCs w:val="27"/>
        </w:rPr>
        <w:t>主要作战使用性能指标</w:t>
      </w:r>
    </w:p>
    <w:p w14:paraId="13B8CFA8">
      <w:pPr>
        <w:spacing w:before="130" w:line="287" w:lineRule="auto"/>
        <w:ind w:right="29" w:firstLine="509"/>
        <w:rPr>
          <w:rFonts w:ascii="宋体" w:hAnsi="宋体" w:eastAsia="宋体" w:cs="宋体"/>
          <w:sz w:val="25"/>
          <w:szCs w:val="25"/>
        </w:rPr>
      </w:pPr>
      <w:r>
        <w:rPr>
          <w:rFonts w:ascii="宋体" w:hAnsi="宋体" w:eastAsia="宋体" w:cs="宋体"/>
          <w:spacing w:val="26"/>
          <w:sz w:val="25"/>
          <w:szCs w:val="25"/>
        </w:rPr>
        <w:t>任何一种装备的作战使用性能指标都由两部分</w:t>
      </w:r>
      <w:r>
        <w:rPr>
          <w:rFonts w:ascii="宋体" w:hAnsi="宋体" w:eastAsia="宋体" w:cs="宋体"/>
          <w:spacing w:val="25"/>
          <w:sz w:val="25"/>
          <w:szCs w:val="25"/>
        </w:rPr>
        <w:t>构成，即通用性指标和特征</w:t>
      </w:r>
      <w:r>
        <w:rPr>
          <w:rFonts w:ascii="宋体" w:hAnsi="宋体" w:eastAsia="宋体" w:cs="宋体"/>
          <w:sz w:val="25"/>
          <w:szCs w:val="25"/>
        </w:rPr>
        <w:t xml:space="preserve"> </w:t>
      </w:r>
      <w:r>
        <w:rPr>
          <w:rFonts w:ascii="宋体" w:hAnsi="宋体" w:eastAsia="宋体" w:cs="宋体"/>
          <w:spacing w:val="24"/>
          <w:sz w:val="25"/>
          <w:szCs w:val="25"/>
        </w:rPr>
        <w:t>性指标。应对这两类指标的项目和内容给出明确</w:t>
      </w:r>
      <w:r>
        <w:rPr>
          <w:rFonts w:ascii="宋体" w:hAnsi="宋体" w:eastAsia="宋体" w:cs="宋体"/>
          <w:spacing w:val="23"/>
          <w:sz w:val="25"/>
          <w:szCs w:val="25"/>
        </w:rPr>
        <w:t>阐述。</w:t>
      </w:r>
    </w:p>
    <w:p w14:paraId="268543B2">
      <w:pPr>
        <w:spacing w:line="222" w:lineRule="auto"/>
        <w:rPr>
          <w:rFonts w:ascii="黑体" w:hAnsi="黑体" w:eastAsia="黑体" w:cs="黑体"/>
          <w:sz w:val="27"/>
          <w:szCs w:val="27"/>
        </w:rPr>
      </w:pPr>
      <w:r>
        <w:rPr>
          <w:rFonts w:ascii="黑体" w:hAnsi="黑体" w:eastAsia="黑体" w:cs="黑体"/>
          <w:spacing w:val="-1"/>
          <w:sz w:val="27"/>
          <w:szCs w:val="27"/>
        </w:rPr>
        <w:t>4.1</w:t>
      </w:r>
      <w:r>
        <w:rPr>
          <w:rFonts w:ascii="黑体" w:hAnsi="黑体" w:eastAsia="黑体" w:cs="黑体"/>
          <w:spacing w:val="21"/>
          <w:sz w:val="27"/>
          <w:szCs w:val="27"/>
        </w:rPr>
        <w:t xml:space="preserve">  </w:t>
      </w:r>
      <w:r>
        <w:rPr>
          <w:rFonts w:ascii="黑体" w:hAnsi="黑体" w:eastAsia="黑体" w:cs="黑体"/>
          <w:b/>
          <w:bCs/>
          <w:spacing w:val="-1"/>
          <w:sz w:val="27"/>
          <w:szCs w:val="27"/>
        </w:rPr>
        <w:t>通用性指标</w:t>
      </w:r>
    </w:p>
    <w:p w14:paraId="69E40F64">
      <w:pPr>
        <w:spacing w:before="106" w:line="301" w:lineRule="auto"/>
        <w:ind w:firstLine="509"/>
        <w:jc w:val="both"/>
        <w:rPr>
          <w:rFonts w:ascii="宋体" w:hAnsi="宋体" w:eastAsia="宋体" w:cs="宋体"/>
          <w:sz w:val="25"/>
          <w:szCs w:val="25"/>
        </w:rPr>
      </w:pPr>
      <w:r>
        <w:rPr>
          <w:rFonts w:ascii="宋体" w:hAnsi="宋体" w:eastAsia="宋体" w:cs="宋体"/>
          <w:spacing w:val="26"/>
          <w:sz w:val="25"/>
          <w:szCs w:val="25"/>
        </w:rPr>
        <w:t>通用性指标是各类武器装备都应具备的指标，这</w:t>
      </w:r>
      <w:r>
        <w:rPr>
          <w:rFonts w:ascii="宋体" w:hAnsi="宋体" w:eastAsia="宋体" w:cs="宋体"/>
          <w:spacing w:val="25"/>
          <w:sz w:val="25"/>
          <w:szCs w:val="25"/>
        </w:rPr>
        <w:t>些指标在全军范围内都是</w:t>
      </w:r>
      <w:r>
        <w:rPr>
          <w:rFonts w:ascii="宋体" w:hAnsi="宋体" w:eastAsia="宋体" w:cs="宋体"/>
          <w:sz w:val="25"/>
          <w:szCs w:val="25"/>
        </w:rPr>
        <w:t xml:space="preserve"> </w:t>
      </w:r>
      <w:r>
        <w:rPr>
          <w:rFonts w:ascii="宋体" w:hAnsi="宋体" w:eastAsia="宋体" w:cs="宋体"/>
          <w:spacing w:val="34"/>
          <w:sz w:val="25"/>
          <w:szCs w:val="25"/>
        </w:rPr>
        <w:t>相同的。若有特殊解释，应单独说明。各类装</w:t>
      </w:r>
      <w:r>
        <w:rPr>
          <w:rFonts w:ascii="宋体" w:hAnsi="宋体" w:eastAsia="宋体" w:cs="宋体"/>
          <w:spacing w:val="33"/>
          <w:sz w:val="25"/>
          <w:szCs w:val="25"/>
        </w:rPr>
        <w:t>备考虑的通用性指标项目一般</w:t>
      </w:r>
      <w:r>
        <w:rPr>
          <w:rFonts w:ascii="宋体" w:hAnsi="宋体" w:eastAsia="宋体" w:cs="宋体"/>
          <w:sz w:val="25"/>
          <w:szCs w:val="25"/>
        </w:rPr>
        <w:t xml:space="preserve"> </w:t>
      </w:r>
      <w:r>
        <w:rPr>
          <w:rFonts w:ascii="宋体" w:hAnsi="宋体" w:eastAsia="宋体" w:cs="宋体"/>
          <w:spacing w:val="4"/>
          <w:sz w:val="25"/>
          <w:szCs w:val="25"/>
        </w:rPr>
        <w:t>包括：</w:t>
      </w:r>
    </w:p>
    <w:p w14:paraId="7AA77F7C">
      <w:pPr>
        <w:spacing w:line="219" w:lineRule="auto"/>
        <w:ind w:left="509"/>
        <w:rPr>
          <w:rFonts w:ascii="宋体" w:hAnsi="宋体" w:eastAsia="宋体" w:cs="宋体"/>
          <w:sz w:val="27"/>
          <w:szCs w:val="27"/>
        </w:rPr>
      </w:pPr>
      <w:r>
        <w:rPr>
          <w:rFonts w:ascii="Times New Roman" w:hAnsi="Times New Roman" w:eastAsia="Times New Roman" w:cs="Times New Roman"/>
          <w:spacing w:val="-7"/>
          <w:sz w:val="27"/>
          <w:szCs w:val="27"/>
        </w:rPr>
        <w:t>a</w:t>
      </w:r>
      <w:r>
        <w:rPr>
          <w:rFonts w:ascii="宋体" w:hAnsi="宋体" w:eastAsia="宋体" w:cs="宋体"/>
          <w:spacing w:val="-7"/>
          <w:sz w:val="27"/>
          <w:szCs w:val="27"/>
        </w:rPr>
        <w:t>)</w:t>
      </w:r>
      <w:r>
        <w:rPr>
          <w:rFonts w:ascii="宋体" w:hAnsi="宋体" w:eastAsia="宋体" w:cs="宋体"/>
          <w:spacing w:val="-40"/>
          <w:sz w:val="27"/>
          <w:szCs w:val="27"/>
        </w:rPr>
        <w:t xml:space="preserve"> </w:t>
      </w:r>
      <w:r>
        <w:rPr>
          <w:rFonts w:ascii="宋体" w:hAnsi="宋体" w:eastAsia="宋体" w:cs="宋体"/>
          <w:spacing w:val="-7"/>
          <w:sz w:val="27"/>
          <w:szCs w:val="27"/>
        </w:rPr>
        <w:t>可靠性、维修性和保障性；</w:t>
      </w:r>
    </w:p>
    <w:p w14:paraId="2141523D">
      <w:pPr>
        <w:spacing w:before="72" w:line="212" w:lineRule="auto"/>
        <w:ind w:left="509"/>
        <w:rPr>
          <w:rFonts w:ascii="宋体" w:hAnsi="宋体" w:eastAsia="宋体" w:cs="宋体"/>
          <w:sz w:val="24"/>
          <w:szCs w:val="24"/>
        </w:rPr>
      </w:pPr>
      <w:r>
        <w:rPr>
          <w:rFonts w:ascii="Times New Roman" w:hAnsi="Times New Roman" w:eastAsia="Times New Roman" w:cs="Times New Roman"/>
          <w:spacing w:val="16"/>
          <w:sz w:val="24"/>
          <w:szCs w:val="24"/>
        </w:rPr>
        <w:t>b)</w:t>
      </w:r>
      <w:r>
        <w:rPr>
          <w:rFonts w:ascii="Times New Roman" w:hAnsi="Times New Roman" w:eastAsia="Times New Roman" w:cs="Times New Roman"/>
          <w:spacing w:val="21"/>
          <w:sz w:val="24"/>
          <w:szCs w:val="24"/>
        </w:rPr>
        <w:t xml:space="preserve">  </w:t>
      </w:r>
      <w:r>
        <w:rPr>
          <w:rFonts w:ascii="宋体" w:hAnsi="宋体" w:eastAsia="宋体" w:cs="宋体"/>
          <w:spacing w:val="16"/>
          <w:sz w:val="24"/>
          <w:szCs w:val="24"/>
        </w:rPr>
        <w:t>机动性；</w:t>
      </w:r>
    </w:p>
    <w:p w14:paraId="55EB07FF">
      <w:pPr>
        <w:spacing w:before="102" w:line="212" w:lineRule="auto"/>
        <w:ind w:left="509"/>
        <w:rPr>
          <w:rFonts w:ascii="宋体" w:hAnsi="宋体" w:eastAsia="宋体" w:cs="宋体"/>
          <w:sz w:val="27"/>
          <w:szCs w:val="27"/>
        </w:rPr>
      </w:pPr>
      <w:r>
        <w:rPr>
          <w:rFonts w:ascii="Times New Roman" w:hAnsi="Times New Roman" w:eastAsia="Times New Roman" w:cs="Times New Roman"/>
          <w:sz w:val="27"/>
          <w:szCs w:val="27"/>
        </w:rPr>
        <w:t>c)</w:t>
      </w:r>
      <w:r>
        <w:rPr>
          <w:rFonts w:ascii="Times New Roman" w:hAnsi="Times New Roman" w:eastAsia="Times New Roman" w:cs="Times New Roman"/>
          <w:spacing w:val="66"/>
          <w:w w:val="101"/>
          <w:sz w:val="27"/>
          <w:szCs w:val="27"/>
        </w:rPr>
        <w:t xml:space="preserve"> </w:t>
      </w:r>
      <w:r>
        <w:rPr>
          <w:rFonts w:ascii="宋体" w:hAnsi="宋体" w:eastAsia="宋体" w:cs="宋体"/>
          <w:sz w:val="27"/>
          <w:szCs w:val="27"/>
        </w:rPr>
        <w:t>反应能力；</w:t>
      </w:r>
    </w:p>
    <w:p w14:paraId="3BC2F0AA">
      <w:pPr>
        <w:spacing w:before="100" w:line="212" w:lineRule="auto"/>
        <w:ind w:left="509"/>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伪装能力；</w:t>
      </w:r>
    </w:p>
    <w:p w14:paraId="2157471F">
      <w:pPr>
        <w:spacing w:line="212" w:lineRule="auto"/>
        <w:rPr>
          <w:rFonts w:ascii="宋体" w:hAnsi="宋体" w:eastAsia="宋体" w:cs="宋体"/>
          <w:sz w:val="27"/>
          <w:szCs w:val="27"/>
        </w:rPr>
        <w:sectPr>
          <w:footerReference r:id="rId22" w:type="default"/>
          <w:pgSz w:w="11910" w:h="17130"/>
          <w:pgMar w:top="400" w:right="1379" w:bottom="1607" w:left="1170" w:header="0" w:footer="1426" w:gutter="0"/>
          <w:cols w:space="720" w:num="1"/>
        </w:sectPr>
      </w:pPr>
    </w:p>
    <w:p w14:paraId="66E0C2B1">
      <w:pPr>
        <w:pStyle w:val="2"/>
        <w:spacing w:line="286" w:lineRule="auto"/>
      </w:pPr>
    </w:p>
    <w:p w14:paraId="64C3E7C5">
      <w:pPr>
        <w:pStyle w:val="2"/>
        <w:spacing w:line="286" w:lineRule="auto"/>
      </w:pPr>
    </w:p>
    <w:p w14:paraId="51BF6BD2">
      <w:pPr>
        <w:pStyle w:val="2"/>
        <w:spacing w:line="286" w:lineRule="auto"/>
      </w:pPr>
    </w:p>
    <w:p w14:paraId="2C63ADDC">
      <w:pPr>
        <w:pStyle w:val="2"/>
        <w:spacing w:line="287" w:lineRule="auto"/>
      </w:pPr>
    </w:p>
    <w:p w14:paraId="7F0755D7">
      <w:pPr>
        <w:spacing w:before="88"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e)</w:t>
      </w:r>
      <w:r>
        <w:rPr>
          <w:rFonts w:ascii="Times New Roman" w:hAnsi="Times New Roman" w:eastAsia="Times New Roman" w:cs="Times New Roman"/>
          <w:spacing w:val="13"/>
          <w:sz w:val="27"/>
          <w:szCs w:val="27"/>
        </w:rPr>
        <w:t xml:space="preserve">  </w:t>
      </w:r>
      <w:r>
        <w:rPr>
          <w:rFonts w:ascii="宋体" w:hAnsi="宋体" w:eastAsia="宋体" w:cs="宋体"/>
          <w:spacing w:val="-2"/>
          <w:sz w:val="27"/>
          <w:szCs w:val="27"/>
        </w:rPr>
        <w:t>电子防御能力；</w:t>
      </w:r>
    </w:p>
    <w:p w14:paraId="30836770">
      <w:pPr>
        <w:spacing w:before="79" w:line="212" w:lineRule="auto"/>
        <w:ind w:left="539"/>
        <w:rPr>
          <w:rFonts w:ascii="宋体" w:hAnsi="宋体" w:eastAsia="宋体" w:cs="宋体"/>
          <w:sz w:val="27"/>
          <w:szCs w:val="27"/>
        </w:rPr>
      </w:pPr>
      <w:r>
        <w:rPr>
          <w:rFonts w:ascii="Times New Roman" w:hAnsi="Times New Roman" w:eastAsia="Times New Roman" w:cs="Times New Roman"/>
          <w:sz w:val="27"/>
          <w:szCs w:val="27"/>
        </w:rPr>
        <w:t xml:space="preserve">f)  </w:t>
      </w:r>
      <w:r>
        <w:rPr>
          <w:rFonts w:ascii="宋体" w:hAnsi="宋体" w:eastAsia="宋体" w:cs="宋体"/>
          <w:sz w:val="27"/>
          <w:szCs w:val="27"/>
        </w:rPr>
        <w:t>兼容性；</w:t>
      </w:r>
    </w:p>
    <w:p w14:paraId="7D25398D">
      <w:pPr>
        <w:spacing w:before="109" w:line="212" w:lineRule="auto"/>
        <w:ind w:left="539"/>
        <w:rPr>
          <w:rFonts w:ascii="宋体" w:hAnsi="宋体" w:eastAsia="宋体" w:cs="宋体"/>
          <w:sz w:val="27"/>
          <w:szCs w:val="27"/>
        </w:rPr>
      </w:pPr>
      <w:r>
        <w:rPr>
          <w:rFonts w:ascii="Times New Roman" w:hAnsi="Times New Roman" w:eastAsia="Times New Roman" w:cs="Times New Roman"/>
          <w:spacing w:val="8"/>
          <w:sz w:val="27"/>
          <w:szCs w:val="27"/>
        </w:rPr>
        <w:t>g</w:t>
      </w:r>
      <w:r>
        <w:rPr>
          <w:rFonts w:ascii="Times New Roman" w:hAnsi="Times New Roman" w:eastAsia="Times New Roman" w:cs="Times New Roman"/>
          <w:spacing w:val="-22"/>
          <w:sz w:val="27"/>
          <w:szCs w:val="27"/>
        </w:rPr>
        <w:t xml:space="preserve"> </w:t>
      </w:r>
      <w:r>
        <w:rPr>
          <w:rFonts w:ascii="宋体" w:hAnsi="宋体" w:eastAsia="宋体" w:cs="宋体"/>
          <w:spacing w:val="8"/>
          <w:sz w:val="27"/>
          <w:szCs w:val="27"/>
        </w:rPr>
        <w:t>)安全性；</w:t>
      </w:r>
    </w:p>
    <w:p w14:paraId="3C5D09F2">
      <w:pPr>
        <w:spacing w:before="90" w:line="212" w:lineRule="auto"/>
        <w:ind w:left="539"/>
        <w:rPr>
          <w:rFonts w:ascii="宋体" w:hAnsi="宋体" w:eastAsia="宋体" w:cs="宋体"/>
          <w:sz w:val="27"/>
          <w:szCs w:val="27"/>
        </w:rPr>
      </w:pPr>
      <w:r>
        <w:rPr>
          <w:rFonts w:ascii="Times New Roman" w:hAnsi="Times New Roman" w:eastAsia="Times New Roman" w:cs="Times New Roman"/>
          <w:sz w:val="27"/>
          <w:szCs w:val="27"/>
        </w:rPr>
        <w:t xml:space="preserve">h)  </w:t>
      </w:r>
      <w:r>
        <w:rPr>
          <w:rFonts w:ascii="宋体" w:hAnsi="宋体" w:eastAsia="宋体" w:cs="宋体"/>
          <w:sz w:val="27"/>
          <w:szCs w:val="27"/>
        </w:rPr>
        <w:t>经济性；</w:t>
      </w:r>
    </w:p>
    <w:p w14:paraId="6F853638">
      <w:pPr>
        <w:spacing w:before="9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i)</w:t>
      </w:r>
      <w:r>
        <w:rPr>
          <w:rFonts w:ascii="Times New Roman" w:hAnsi="Times New Roman" w:eastAsia="Times New Roman" w:cs="Times New Roman"/>
          <w:spacing w:val="67"/>
          <w:sz w:val="27"/>
          <w:szCs w:val="27"/>
        </w:rPr>
        <w:t xml:space="preserve"> </w:t>
      </w:r>
      <w:r>
        <w:rPr>
          <w:rFonts w:ascii="宋体" w:hAnsi="宋体" w:eastAsia="宋体" w:cs="宋体"/>
          <w:spacing w:val="3"/>
          <w:sz w:val="27"/>
          <w:szCs w:val="27"/>
        </w:rPr>
        <w:t>环境适应性；</w:t>
      </w:r>
    </w:p>
    <w:p w14:paraId="7233A1F3">
      <w:pPr>
        <w:spacing w:before="162" w:line="212" w:lineRule="auto"/>
        <w:ind w:left="539"/>
        <w:rPr>
          <w:rFonts w:ascii="宋体" w:hAnsi="宋体" w:eastAsia="宋体" w:cs="宋体"/>
          <w:sz w:val="24"/>
          <w:szCs w:val="24"/>
        </w:rPr>
      </w:pPr>
      <w:r>
        <w:rPr>
          <w:rFonts w:ascii="Times New Roman" w:hAnsi="Times New Roman" w:eastAsia="Times New Roman" w:cs="Times New Roman"/>
          <w:spacing w:val="5"/>
          <w:sz w:val="24"/>
          <w:szCs w:val="24"/>
        </w:rPr>
        <w:t xml:space="preserve">j)  </w:t>
      </w:r>
      <w:r>
        <w:rPr>
          <w:rFonts w:ascii="宋体" w:hAnsi="宋体" w:eastAsia="宋体" w:cs="宋体"/>
          <w:spacing w:val="5"/>
          <w:sz w:val="24"/>
          <w:szCs w:val="24"/>
        </w:rPr>
        <w:t>人</w:t>
      </w:r>
      <w:r>
        <w:rPr>
          <w:rFonts w:ascii="宋体" w:hAnsi="宋体" w:eastAsia="宋体" w:cs="宋体"/>
          <w:spacing w:val="-59"/>
          <w:sz w:val="24"/>
          <w:szCs w:val="24"/>
        </w:rPr>
        <w:t xml:space="preserve"> </w:t>
      </w:r>
      <w:r>
        <w:rPr>
          <w:rFonts w:ascii="宋体" w:hAnsi="宋体" w:eastAsia="宋体" w:cs="宋体"/>
          <w:spacing w:val="5"/>
          <w:sz w:val="24"/>
          <w:szCs w:val="24"/>
        </w:rPr>
        <w:t>一</w:t>
      </w:r>
      <w:r>
        <w:rPr>
          <w:rFonts w:ascii="宋体" w:hAnsi="宋体" w:eastAsia="宋体" w:cs="宋体"/>
          <w:spacing w:val="-65"/>
          <w:sz w:val="24"/>
          <w:szCs w:val="24"/>
        </w:rPr>
        <w:t xml:space="preserve"> </w:t>
      </w:r>
      <w:r>
        <w:rPr>
          <w:rFonts w:ascii="宋体" w:hAnsi="宋体" w:eastAsia="宋体" w:cs="宋体"/>
          <w:spacing w:val="5"/>
          <w:sz w:val="24"/>
          <w:szCs w:val="24"/>
        </w:rPr>
        <w:t>机</w:t>
      </w:r>
      <w:r>
        <w:rPr>
          <w:rFonts w:ascii="宋体" w:hAnsi="宋体" w:eastAsia="宋体" w:cs="宋体"/>
          <w:spacing w:val="-60"/>
          <w:sz w:val="24"/>
          <w:szCs w:val="24"/>
        </w:rPr>
        <w:t xml:space="preserve"> </w:t>
      </w:r>
      <w:r>
        <w:rPr>
          <w:rFonts w:ascii="宋体" w:hAnsi="宋体" w:eastAsia="宋体" w:cs="宋体"/>
          <w:spacing w:val="5"/>
          <w:sz w:val="24"/>
          <w:szCs w:val="24"/>
        </w:rPr>
        <w:t>一</w:t>
      </w:r>
      <w:r>
        <w:rPr>
          <w:rFonts w:ascii="宋体" w:hAnsi="宋体" w:eastAsia="宋体" w:cs="宋体"/>
          <w:spacing w:val="-64"/>
          <w:sz w:val="24"/>
          <w:szCs w:val="24"/>
        </w:rPr>
        <w:t xml:space="preserve"> </w:t>
      </w:r>
      <w:r>
        <w:rPr>
          <w:rFonts w:ascii="宋体" w:hAnsi="宋体" w:eastAsia="宋体" w:cs="宋体"/>
          <w:spacing w:val="5"/>
          <w:sz w:val="24"/>
          <w:szCs w:val="24"/>
        </w:rPr>
        <w:t>环工程；</w:t>
      </w:r>
    </w:p>
    <w:p w14:paraId="004610FF">
      <w:pPr>
        <w:spacing w:before="72" w:line="212" w:lineRule="auto"/>
        <w:ind w:left="539"/>
        <w:rPr>
          <w:rFonts w:ascii="宋体" w:hAnsi="宋体" w:eastAsia="宋体" w:cs="宋体"/>
          <w:sz w:val="27"/>
          <w:szCs w:val="27"/>
        </w:rPr>
      </w:pPr>
      <w:r>
        <w:rPr>
          <w:rFonts w:ascii="Times New Roman" w:hAnsi="Times New Roman" w:eastAsia="Times New Roman" w:cs="Times New Roman"/>
          <w:spacing w:val="-6"/>
          <w:sz w:val="27"/>
          <w:szCs w:val="27"/>
        </w:rPr>
        <w:t xml:space="preserve">k)  </w:t>
      </w:r>
      <w:r>
        <w:rPr>
          <w:rFonts w:ascii="宋体" w:hAnsi="宋体" w:eastAsia="宋体" w:cs="宋体"/>
          <w:spacing w:val="-6"/>
          <w:sz w:val="27"/>
          <w:szCs w:val="27"/>
        </w:rPr>
        <w:t>尺寸、体积和重量要求；</w:t>
      </w:r>
    </w:p>
    <w:p w14:paraId="4869251E">
      <w:pPr>
        <w:spacing w:before="132" w:line="220" w:lineRule="auto"/>
        <w:ind w:left="539"/>
        <w:rPr>
          <w:rFonts w:ascii="宋体" w:hAnsi="宋体" w:eastAsia="宋体" w:cs="宋体"/>
          <w:sz w:val="27"/>
          <w:szCs w:val="27"/>
        </w:rPr>
      </w:pPr>
      <w:r>
        <w:rPr>
          <w:rFonts w:ascii="宋体" w:hAnsi="宋体" w:eastAsia="宋体" w:cs="宋体"/>
          <w:spacing w:val="6"/>
          <w:sz w:val="27"/>
          <w:szCs w:val="27"/>
        </w:rPr>
        <w:t>1)标准化要求；</w:t>
      </w:r>
    </w:p>
    <w:p w14:paraId="7AA74F41">
      <w:pPr>
        <w:spacing w:before="56"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m)</w:t>
      </w:r>
      <w:r>
        <w:rPr>
          <w:rFonts w:ascii="Times New Roman" w:hAnsi="Times New Roman" w:eastAsia="Times New Roman" w:cs="Times New Roman"/>
          <w:spacing w:val="11"/>
          <w:sz w:val="27"/>
          <w:szCs w:val="27"/>
        </w:rPr>
        <w:t xml:space="preserve">  </w:t>
      </w:r>
      <w:r>
        <w:rPr>
          <w:rFonts w:ascii="宋体" w:hAnsi="宋体" w:eastAsia="宋体" w:cs="宋体"/>
          <w:spacing w:val="-3"/>
          <w:sz w:val="27"/>
          <w:szCs w:val="27"/>
        </w:rPr>
        <w:t>能源要求；</w:t>
      </w:r>
    </w:p>
    <w:p w14:paraId="3010C401">
      <w:pPr>
        <w:spacing w:before="80" w:line="212" w:lineRule="auto"/>
        <w:ind w:left="539"/>
        <w:rPr>
          <w:rFonts w:ascii="宋体" w:hAnsi="宋体" w:eastAsia="宋体" w:cs="宋体"/>
          <w:sz w:val="27"/>
          <w:szCs w:val="27"/>
        </w:rPr>
      </w:pPr>
      <w:r>
        <w:rPr>
          <w:rFonts w:ascii="Times New Roman" w:hAnsi="Times New Roman" w:eastAsia="Times New Roman" w:cs="Times New Roman"/>
          <w:sz w:val="27"/>
          <w:szCs w:val="27"/>
        </w:rPr>
        <w:t>n)</w:t>
      </w:r>
      <w:r>
        <w:rPr>
          <w:rFonts w:ascii="Times New Roman" w:hAnsi="Times New Roman" w:eastAsia="Times New Roman" w:cs="Times New Roman"/>
          <w:spacing w:val="61"/>
          <w:sz w:val="27"/>
          <w:szCs w:val="27"/>
        </w:rPr>
        <w:t xml:space="preserve"> </w:t>
      </w:r>
      <w:r>
        <w:rPr>
          <w:rFonts w:ascii="宋体" w:hAnsi="宋体" w:eastAsia="宋体" w:cs="宋体"/>
          <w:sz w:val="27"/>
          <w:szCs w:val="27"/>
        </w:rPr>
        <w:t>其他。</w:t>
      </w:r>
    </w:p>
    <w:p w14:paraId="5B2CE293">
      <w:pPr>
        <w:spacing w:before="131" w:line="279" w:lineRule="auto"/>
        <w:ind w:right="11" w:firstLine="539"/>
        <w:jc w:val="both"/>
        <w:rPr>
          <w:rFonts w:ascii="宋体" w:hAnsi="宋体" w:eastAsia="宋体" w:cs="宋体"/>
          <w:sz w:val="27"/>
          <w:szCs w:val="27"/>
        </w:rPr>
      </w:pPr>
      <w:r>
        <w:rPr>
          <w:rFonts w:ascii="宋体" w:hAnsi="宋体" w:eastAsia="宋体" w:cs="宋体"/>
          <w:spacing w:val="-3"/>
          <w:sz w:val="27"/>
          <w:szCs w:val="27"/>
        </w:rPr>
        <w:t>上述各种通用性指标的论证方法，在不同的装备之间，存在着一定差别，可</w:t>
      </w:r>
      <w:r>
        <w:rPr>
          <w:rFonts w:ascii="宋体" w:hAnsi="宋体" w:eastAsia="宋体" w:cs="宋体"/>
          <w:spacing w:val="9"/>
          <w:sz w:val="27"/>
          <w:szCs w:val="27"/>
        </w:rPr>
        <w:t xml:space="preserve"> </w:t>
      </w:r>
      <w:r>
        <w:rPr>
          <w:rFonts w:ascii="宋体" w:hAnsi="宋体" w:eastAsia="宋体" w:cs="宋体"/>
          <w:spacing w:val="2"/>
          <w:sz w:val="27"/>
          <w:szCs w:val="27"/>
        </w:rPr>
        <w:t>根据装备特点给出相应的论证方法，具体可参照</w:t>
      </w:r>
      <w:r>
        <w:rPr>
          <w:rFonts w:ascii="Times New Roman" w:hAnsi="Times New Roman" w:eastAsia="Times New Roman" w:cs="Times New Roman"/>
          <w:sz w:val="27"/>
          <w:szCs w:val="27"/>
        </w:rPr>
        <w:t>GJBz</w:t>
      </w:r>
      <w:r>
        <w:rPr>
          <w:rFonts w:ascii="Times New Roman" w:hAnsi="Times New Roman" w:eastAsia="Times New Roman" w:cs="Times New Roman"/>
          <w:spacing w:val="26"/>
          <w:sz w:val="27"/>
          <w:szCs w:val="27"/>
        </w:rPr>
        <w:t xml:space="preserve">  </w:t>
      </w:r>
      <w:r>
        <w:rPr>
          <w:rFonts w:ascii="Times New Roman" w:hAnsi="Times New Roman" w:eastAsia="Times New Roman" w:cs="Times New Roman"/>
          <w:spacing w:val="2"/>
          <w:sz w:val="27"/>
          <w:szCs w:val="27"/>
        </w:rPr>
        <w:t>20221</w:t>
      </w:r>
      <w:r>
        <w:rPr>
          <w:rFonts w:ascii="宋体" w:hAnsi="宋体" w:eastAsia="宋体" w:cs="宋体"/>
          <w:spacing w:val="2"/>
          <w:sz w:val="27"/>
          <w:szCs w:val="27"/>
        </w:rPr>
        <w:t>和相关装备论证规</w:t>
      </w:r>
      <w:r>
        <w:rPr>
          <w:rFonts w:ascii="宋体" w:hAnsi="宋体" w:eastAsia="宋体" w:cs="宋体"/>
          <w:sz w:val="27"/>
          <w:szCs w:val="27"/>
        </w:rPr>
        <w:t xml:space="preserve"> </w:t>
      </w:r>
      <w:r>
        <w:rPr>
          <w:rFonts w:ascii="宋体" w:hAnsi="宋体" w:eastAsia="宋体" w:cs="宋体"/>
          <w:spacing w:val="2"/>
          <w:sz w:val="27"/>
          <w:szCs w:val="27"/>
        </w:rPr>
        <w:t>范的要求确定。</w:t>
      </w:r>
    </w:p>
    <w:p w14:paraId="312F1F2F">
      <w:pPr>
        <w:spacing w:before="1" w:line="220" w:lineRule="auto"/>
        <w:rPr>
          <w:rFonts w:ascii="黑体" w:hAnsi="黑体" w:eastAsia="黑体" w:cs="黑体"/>
          <w:sz w:val="27"/>
          <w:szCs w:val="27"/>
        </w:rPr>
      </w:pPr>
      <w:r>
        <w:rPr>
          <w:rFonts w:ascii="黑体" w:hAnsi="黑体" w:eastAsia="黑体" w:cs="黑体"/>
          <w:spacing w:val="-2"/>
          <w:sz w:val="27"/>
          <w:szCs w:val="27"/>
        </w:rPr>
        <w:t>4.2</w:t>
      </w:r>
      <w:r>
        <w:rPr>
          <w:rFonts w:ascii="黑体" w:hAnsi="黑体" w:eastAsia="黑体" w:cs="黑体"/>
          <w:spacing w:val="20"/>
          <w:sz w:val="27"/>
          <w:szCs w:val="27"/>
        </w:rPr>
        <w:t xml:space="preserve">  </w:t>
      </w:r>
      <w:r>
        <w:rPr>
          <w:rFonts w:ascii="黑体" w:hAnsi="黑体" w:eastAsia="黑体" w:cs="黑体"/>
          <w:b/>
          <w:bCs/>
          <w:spacing w:val="-2"/>
          <w:sz w:val="27"/>
          <w:szCs w:val="27"/>
        </w:rPr>
        <w:t>特征性指标</w:t>
      </w:r>
    </w:p>
    <w:p w14:paraId="53F06921">
      <w:pPr>
        <w:spacing w:before="86" w:line="279" w:lineRule="auto"/>
        <w:ind w:right="2" w:firstLine="539"/>
        <w:jc w:val="both"/>
        <w:rPr>
          <w:rFonts w:ascii="宋体" w:hAnsi="宋体" w:eastAsia="宋体" w:cs="宋体"/>
          <w:sz w:val="27"/>
          <w:szCs w:val="27"/>
        </w:rPr>
      </w:pPr>
      <w:r>
        <w:rPr>
          <w:rFonts w:ascii="宋体" w:hAnsi="宋体" w:eastAsia="宋体" w:cs="宋体"/>
          <w:spacing w:val="15"/>
          <w:sz w:val="27"/>
          <w:szCs w:val="27"/>
        </w:rPr>
        <w:t>特征性指标是指那些直接反映某类别武器装备自身</w:t>
      </w:r>
      <w:r>
        <w:rPr>
          <w:rFonts w:ascii="宋体" w:hAnsi="宋体" w:eastAsia="宋体" w:cs="宋体"/>
          <w:spacing w:val="14"/>
          <w:sz w:val="27"/>
          <w:szCs w:val="27"/>
        </w:rPr>
        <w:t>规律和特点的一些指</w:t>
      </w:r>
      <w:r>
        <w:rPr>
          <w:rFonts w:ascii="宋体" w:hAnsi="宋体" w:eastAsia="宋体" w:cs="宋体"/>
          <w:sz w:val="27"/>
          <w:szCs w:val="27"/>
        </w:rPr>
        <w:t xml:space="preserve"> </w:t>
      </w:r>
      <w:r>
        <w:rPr>
          <w:rFonts w:ascii="宋体" w:hAnsi="宋体" w:eastAsia="宋体" w:cs="宋体"/>
          <w:spacing w:val="-2"/>
          <w:sz w:val="27"/>
          <w:szCs w:val="27"/>
        </w:rPr>
        <w:t>标，它代表了某类别武器装备的基本属性和使用</w:t>
      </w:r>
      <w:r>
        <w:rPr>
          <w:rFonts w:ascii="宋体" w:hAnsi="宋体" w:eastAsia="宋体" w:cs="宋体"/>
          <w:spacing w:val="-3"/>
          <w:sz w:val="27"/>
          <w:szCs w:val="27"/>
        </w:rPr>
        <w:t>特征。在一定意义上讲，这种指</w:t>
      </w:r>
      <w:r>
        <w:rPr>
          <w:rFonts w:ascii="宋体" w:hAnsi="宋体" w:eastAsia="宋体" w:cs="宋体"/>
          <w:sz w:val="27"/>
          <w:szCs w:val="27"/>
        </w:rPr>
        <w:t xml:space="preserve"> </w:t>
      </w:r>
      <w:r>
        <w:rPr>
          <w:rFonts w:ascii="宋体" w:hAnsi="宋体" w:eastAsia="宋体" w:cs="宋体"/>
          <w:spacing w:val="-3"/>
          <w:sz w:val="27"/>
          <w:szCs w:val="27"/>
        </w:rPr>
        <w:t>标决定了某一型号是否能够发展和存在。如导弹装备的射程、威力、精度等，通</w:t>
      </w:r>
      <w:r>
        <w:rPr>
          <w:rFonts w:ascii="宋体" w:hAnsi="宋体" w:eastAsia="宋体" w:cs="宋体"/>
          <w:spacing w:val="14"/>
          <w:sz w:val="27"/>
          <w:szCs w:val="27"/>
        </w:rPr>
        <w:t xml:space="preserve"> </w:t>
      </w:r>
      <w:r>
        <w:rPr>
          <w:rFonts w:ascii="宋体" w:hAnsi="宋体" w:eastAsia="宋体" w:cs="宋体"/>
          <w:spacing w:val="-2"/>
          <w:sz w:val="27"/>
          <w:szCs w:val="27"/>
        </w:rPr>
        <w:t>信装备的通信距离、容量、传输速率、通信覆盖范围等</w:t>
      </w:r>
      <w:r>
        <w:rPr>
          <w:rFonts w:ascii="宋体" w:hAnsi="宋体" w:eastAsia="宋体" w:cs="宋体"/>
          <w:spacing w:val="-3"/>
          <w:sz w:val="27"/>
          <w:szCs w:val="27"/>
        </w:rPr>
        <w:t>。要根据具体型号装备的</w:t>
      </w:r>
      <w:r>
        <w:rPr>
          <w:rFonts w:ascii="宋体" w:hAnsi="宋体" w:eastAsia="宋体" w:cs="宋体"/>
          <w:sz w:val="27"/>
          <w:szCs w:val="27"/>
        </w:rPr>
        <w:t xml:space="preserve"> </w:t>
      </w:r>
      <w:r>
        <w:rPr>
          <w:rFonts w:ascii="宋体" w:hAnsi="宋体" w:eastAsia="宋体" w:cs="宋体"/>
          <w:spacing w:val="-3"/>
          <w:sz w:val="27"/>
          <w:szCs w:val="27"/>
        </w:rPr>
        <w:t>特点确定特征性指标项目，并给出具体解释。</w:t>
      </w:r>
    </w:p>
    <w:p w14:paraId="7CF72908">
      <w:pPr>
        <w:spacing w:before="6" w:line="277" w:lineRule="auto"/>
        <w:ind w:right="12" w:firstLine="539"/>
        <w:rPr>
          <w:rFonts w:ascii="宋体" w:hAnsi="宋体" w:eastAsia="宋体" w:cs="宋体"/>
          <w:sz w:val="27"/>
          <w:szCs w:val="27"/>
        </w:rPr>
      </w:pPr>
      <w:r>
        <w:rPr>
          <w:rFonts w:ascii="宋体" w:hAnsi="宋体" w:eastAsia="宋体" w:cs="宋体"/>
          <w:spacing w:val="-3"/>
          <w:sz w:val="27"/>
          <w:szCs w:val="27"/>
        </w:rPr>
        <w:t>各类武器装备特征性指标差别很大，以坦克装甲防护指标论证为例，论证方</w:t>
      </w:r>
      <w:r>
        <w:rPr>
          <w:rFonts w:ascii="宋体" w:hAnsi="宋体" w:eastAsia="宋体" w:cs="宋体"/>
          <w:spacing w:val="8"/>
          <w:sz w:val="27"/>
          <w:szCs w:val="27"/>
        </w:rPr>
        <w:t xml:space="preserve"> </w:t>
      </w:r>
      <w:r>
        <w:rPr>
          <w:rFonts w:ascii="宋体" w:hAnsi="宋体" w:eastAsia="宋体" w:cs="宋体"/>
          <w:spacing w:val="2"/>
          <w:sz w:val="27"/>
          <w:szCs w:val="27"/>
        </w:rPr>
        <w:t>法步骤一般包括：</w:t>
      </w:r>
    </w:p>
    <w:p w14:paraId="06B91AF4">
      <w:pPr>
        <w:spacing w:before="3" w:line="249" w:lineRule="auto"/>
        <w:ind w:right="12" w:firstLine="539"/>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威胁分析，主要内容应包括敌进攻武器性能特点、坦克各部位遭受攻击</w:t>
      </w:r>
      <w:r>
        <w:rPr>
          <w:rFonts w:ascii="宋体" w:hAnsi="宋体" w:eastAsia="宋体" w:cs="宋体"/>
          <w:sz w:val="27"/>
          <w:szCs w:val="27"/>
        </w:rPr>
        <w:t xml:space="preserve"> 的破坏概率及作战环境等；</w:t>
      </w:r>
    </w:p>
    <w:p w14:paraId="093EBAE6">
      <w:pPr>
        <w:spacing w:before="77" w:line="260" w:lineRule="auto"/>
        <w:ind w:firstLine="539"/>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约束条件分析，主要内容应包括现有装甲的防护技术水平、装甲</w:t>
      </w:r>
      <w:r>
        <w:rPr>
          <w:rFonts w:ascii="宋体" w:hAnsi="宋体" w:eastAsia="宋体" w:cs="宋体"/>
          <w:spacing w:val="2"/>
          <w:sz w:val="27"/>
          <w:szCs w:val="27"/>
        </w:rPr>
        <w:t>车辆总</w:t>
      </w:r>
      <w:r>
        <w:rPr>
          <w:rFonts w:ascii="宋体" w:hAnsi="宋体" w:eastAsia="宋体" w:cs="宋体"/>
          <w:sz w:val="27"/>
          <w:szCs w:val="27"/>
        </w:rPr>
        <w:t xml:space="preserve"> </w:t>
      </w:r>
      <w:r>
        <w:rPr>
          <w:rFonts w:ascii="宋体" w:hAnsi="宋体" w:eastAsia="宋体" w:cs="宋体"/>
          <w:spacing w:val="4"/>
          <w:sz w:val="27"/>
          <w:szCs w:val="27"/>
        </w:rPr>
        <w:t>体技术性能要求对装甲防护的限制及国内资源对装甲材料的保障能力等；</w:t>
      </w:r>
    </w:p>
    <w:p w14:paraId="73CDA655">
      <w:pPr>
        <w:spacing w:before="51"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64"/>
          <w:w w:val="101"/>
          <w:sz w:val="27"/>
          <w:szCs w:val="27"/>
        </w:rPr>
        <w:t xml:space="preserve"> </w:t>
      </w:r>
      <w:r>
        <w:rPr>
          <w:rFonts w:ascii="宋体" w:hAnsi="宋体" w:eastAsia="宋体" w:cs="宋体"/>
          <w:spacing w:val="-4"/>
          <w:sz w:val="27"/>
          <w:szCs w:val="27"/>
        </w:rPr>
        <w:t>提出装甲防护指标，如装甲厚度和倾角等；</w:t>
      </w:r>
    </w:p>
    <w:p w14:paraId="1C847F4E">
      <w:pPr>
        <w:spacing w:before="9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建立模型，对防护指标进行评估；</w:t>
      </w:r>
    </w:p>
    <w:p w14:paraId="2A6FF746">
      <w:pPr>
        <w:spacing w:before="110" w:line="212" w:lineRule="auto"/>
        <w:ind w:left="539"/>
        <w:rPr>
          <w:rFonts w:ascii="宋体" w:hAnsi="宋体" w:eastAsia="宋体" w:cs="宋体"/>
          <w:sz w:val="27"/>
          <w:szCs w:val="27"/>
        </w:rPr>
      </w:pPr>
      <w:r>
        <w:rPr>
          <w:rFonts w:ascii="Times New Roman" w:hAnsi="Times New Roman" w:eastAsia="Times New Roman" w:cs="Times New Roman"/>
          <w:spacing w:val="-6"/>
          <w:sz w:val="27"/>
          <w:szCs w:val="27"/>
        </w:rPr>
        <w:t xml:space="preserve">e)  </w:t>
      </w:r>
      <w:r>
        <w:rPr>
          <w:rFonts w:ascii="宋体" w:hAnsi="宋体" w:eastAsia="宋体" w:cs="宋体"/>
          <w:spacing w:val="-6"/>
          <w:sz w:val="27"/>
          <w:szCs w:val="27"/>
        </w:rPr>
        <w:t>综合分析，确定指标要求。</w:t>
      </w:r>
    </w:p>
    <w:p w14:paraId="2D12BBAD">
      <w:pPr>
        <w:spacing w:before="108" w:line="221" w:lineRule="auto"/>
        <w:rPr>
          <w:rFonts w:ascii="黑体" w:hAnsi="黑体" w:eastAsia="黑体" w:cs="黑体"/>
          <w:sz w:val="27"/>
          <w:szCs w:val="27"/>
        </w:rPr>
      </w:pPr>
      <w:r>
        <w:rPr>
          <w:rFonts w:ascii="黑体" w:hAnsi="黑体" w:eastAsia="黑体" w:cs="黑体"/>
          <w:spacing w:val="4"/>
          <w:sz w:val="27"/>
          <w:szCs w:val="27"/>
        </w:rPr>
        <w:t>5</w:t>
      </w:r>
      <w:r>
        <w:rPr>
          <w:rFonts w:ascii="黑体" w:hAnsi="黑体" w:eastAsia="黑体" w:cs="黑体"/>
          <w:spacing w:val="15"/>
          <w:sz w:val="27"/>
          <w:szCs w:val="27"/>
        </w:rPr>
        <w:t xml:space="preserve">  </w:t>
      </w:r>
      <w:r>
        <w:rPr>
          <w:rFonts w:ascii="黑体" w:hAnsi="黑体" w:eastAsia="黑体" w:cs="黑体"/>
          <w:spacing w:val="4"/>
          <w:sz w:val="27"/>
          <w:szCs w:val="27"/>
        </w:rPr>
        <w:t>效能评估</w:t>
      </w:r>
    </w:p>
    <w:p w14:paraId="52510204">
      <w:pPr>
        <w:spacing w:before="107" w:line="218" w:lineRule="auto"/>
        <w:ind w:left="539"/>
        <w:rPr>
          <w:rFonts w:ascii="宋体" w:hAnsi="宋体" w:eastAsia="宋体" w:cs="宋体"/>
          <w:sz w:val="27"/>
          <w:szCs w:val="27"/>
        </w:rPr>
      </w:pPr>
      <w:r>
        <w:rPr>
          <w:rFonts w:ascii="宋体" w:hAnsi="宋体" w:eastAsia="宋体" w:cs="宋体"/>
          <w:sz w:val="27"/>
          <w:szCs w:val="27"/>
        </w:rPr>
        <w:t>主要性能指标确定后，应进行效能评估。效能评估的</w:t>
      </w:r>
      <w:r>
        <w:rPr>
          <w:rFonts w:ascii="宋体" w:hAnsi="宋体" w:eastAsia="宋体" w:cs="宋体"/>
          <w:spacing w:val="-1"/>
          <w:sz w:val="27"/>
          <w:szCs w:val="27"/>
        </w:rPr>
        <w:t>一般步骤是：</w:t>
      </w:r>
    </w:p>
    <w:p w14:paraId="39E5B42C">
      <w:pPr>
        <w:spacing w:before="113" w:line="252" w:lineRule="auto"/>
        <w:ind w:right="13" w:firstLine="539"/>
        <w:rPr>
          <w:rFonts w:ascii="宋体" w:hAnsi="宋体" w:eastAsia="宋体" w:cs="宋体"/>
          <w:sz w:val="25"/>
          <w:szCs w:val="25"/>
        </w:rPr>
      </w:pPr>
      <w:r>
        <w:rPr>
          <w:rFonts w:ascii="Times New Roman" w:hAnsi="Times New Roman" w:eastAsia="Times New Roman" w:cs="Times New Roman"/>
          <w:spacing w:val="21"/>
          <w:sz w:val="25"/>
          <w:szCs w:val="25"/>
        </w:rPr>
        <w:t>a</w:t>
      </w:r>
      <w:r>
        <w:rPr>
          <w:rFonts w:ascii="Times New Roman" w:hAnsi="Times New Roman" w:eastAsia="Times New Roman" w:cs="Times New Roman"/>
          <w:spacing w:val="-14"/>
          <w:sz w:val="25"/>
          <w:szCs w:val="25"/>
        </w:rPr>
        <w:t xml:space="preserve"> </w:t>
      </w:r>
      <w:r>
        <w:rPr>
          <w:rFonts w:ascii="宋体" w:hAnsi="宋体" w:eastAsia="宋体" w:cs="宋体"/>
          <w:spacing w:val="21"/>
          <w:sz w:val="25"/>
          <w:szCs w:val="25"/>
        </w:rPr>
        <w:t>)</w:t>
      </w:r>
      <w:r>
        <w:rPr>
          <w:rFonts w:ascii="宋体" w:hAnsi="宋体" w:eastAsia="宋体" w:cs="宋体"/>
          <w:spacing w:val="-29"/>
          <w:sz w:val="25"/>
          <w:szCs w:val="25"/>
        </w:rPr>
        <w:t xml:space="preserve"> </w:t>
      </w:r>
      <w:r>
        <w:rPr>
          <w:rFonts w:ascii="宋体" w:hAnsi="宋体" w:eastAsia="宋体" w:cs="宋体"/>
          <w:spacing w:val="21"/>
          <w:sz w:val="25"/>
          <w:szCs w:val="25"/>
        </w:rPr>
        <w:t>根据装备的主要性能指标、作战使用方式、打击目标特性和</w:t>
      </w:r>
      <w:r>
        <w:rPr>
          <w:rFonts w:ascii="宋体" w:hAnsi="宋体" w:eastAsia="宋体" w:cs="宋体"/>
          <w:spacing w:val="20"/>
          <w:sz w:val="25"/>
          <w:szCs w:val="25"/>
        </w:rPr>
        <w:t>可能的对抗</w:t>
      </w:r>
      <w:r>
        <w:rPr>
          <w:rFonts w:ascii="宋体" w:hAnsi="宋体" w:eastAsia="宋体" w:cs="宋体"/>
          <w:sz w:val="25"/>
          <w:szCs w:val="25"/>
        </w:rPr>
        <w:t xml:space="preserve"> </w:t>
      </w:r>
      <w:r>
        <w:rPr>
          <w:rFonts w:ascii="宋体" w:hAnsi="宋体" w:eastAsia="宋体" w:cs="宋体"/>
          <w:spacing w:val="21"/>
          <w:sz w:val="25"/>
          <w:szCs w:val="25"/>
        </w:rPr>
        <w:t>情况等建立效能评估指标体系；</w:t>
      </w:r>
    </w:p>
    <w:p w14:paraId="134A1C89">
      <w:pPr>
        <w:spacing w:before="58"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72"/>
          <w:w w:val="101"/>
          <w:sz w:val="27"/>
          <w:szCs w:val="27"/>
        </w:rPr>
        <w:t xml:space="preserve"> </w:t>
      </w:r>
      <w:r>
        <w:rPr>
          <w:rFonts w:ascii="宋体" w:hAnsi="宋体" w:eastAsia="宋体" w:cs="宋体"/>
          <w:spacing w:val="3"/>
          <w:sz w:val="27"/>
          <w:szCs w:val="27"/>
        </w:rPr>
        <w:t>选择作战效能评估方法；</w:t>
      </w:r>
    </w:p>
    <w:p w14:paraId="70052429">
      <w:pPr>
        <w:spacing w:before="119"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66"/>
          <w:w w:val="101"/>
          <w:sz w:val="27"/>
          <w:szCs w:val="27"/>
        </w:rPr>
        <w:t xml:space="preserve"> </w:t>
      </w:r>
      <w:r>
        <w:rPr>
          <w:rFonts w:ascii="宋体" w:hAnsi="宋体" w:eastAsia="宋体" w:cs="宋体"/>
          <w:spacing w:val="2"/>
          <w:sz w:val="27"/>
          <w:szCs w:val="27"/>
        </w:rPr>
        <w:t>进行分析和评估。</w:t>
      </w:r>
    </w:p>
    <w:p w14:paraId="3E689546">
      <w:pPr>
        <w:spacing w:line="212" w:lineRule="auto"/>
        <w:rPr>
          <w:rFonts w:ascii="宋体" w:hAnsi="宋体" w:eastAsia="宋体" w:cs="宋体"/>
          <w:sz w:val="27"/>
          <w:szCs w:val="27"/>
        </w:rPr>
        <w:sectPr>
          <w:footerReference r:id="rId23" w:type="default"/>
          <w:pgSz w:w="11910" w:h="17130"/>
          <w:pgMar w:top="400" w:right="1106" w:bottom="1459" w:left="1430" w:header="0" w:footer="1279" w:gutter="0"/>
          <w:cols w:space="720" w:num="1"/>
        </w:sectPr>
      </w:pPr>
    </w:p>
    <w:p w14:paraId="13ABA4FC">
      <w:pPr>
        <w:pStyle w:val="2"/>
        <w:spacing w:line="280" w:lineRule="auto"/>
      </w:pPr>
    </w:p>
    <w:p w14:paraId="05D6F2DC">
      <w:pPr>
        <w:pStyle w:val="2"/>
        <w:spacing w:line="280" w:lineRule="auto"/>
      </w:pPr>
    </w:p>
    <w:p w14:paraId="75811B2D">
      <w:pPr>
        <w:pStyle w:val="2"/>
        <w:spacing w:line="281" w:lineRule="auto"/>
      </w:pPr>
    </w:p>
    <w:p w14:paraId="5A90A040">
      <w:pPr>
        <w:pStyle w:val="2"/>
        <w:spacing w:line="281" w:lineRule="auto"/>
      </w:pPr>
    </w:p>
    <w:p w14:paraId="21602B1B">
      <w:pPr>
        <w:spacing w:before="88" w:line="289" w:lineRule="auto"/>
        <w:ind w:right="120" w:firstLine="560"/>
        <w:rPr>
          <w:rFonts w:ascii="宋体" w:hAnsi="宋体" w:eastAsia="宋体" w:cs="宋体"/>
          <w:sz w:val="27"/>
          <w:szCs w:val="27"/>
        </w:rPr>
      </w:pPr>
      <w:r>
        <w:rPr>
          <w:rFonts w:ascii="宋体" w:hAnsi="宋体" w:eastAsia="宋体" w:cs="宋体"/>
          <w:spacing w:val="6"/>
          <w:sz w:val="27"/>
          <w:szCs w:val="27"/>
        </w:rPr>
        <w:t>应根据具体装备的特点，参照</w:t>
      </w:r>
      <w:r>
        <w:rPr>
          <w:rFonts w:ascii="Times New Roman" w:hAnsi="Times New Roman" w:eastAsia="Times New Roman" w:cs="Times New Roman"/>
          <w:sz w:val="27"/>
          <w:szCs w:val="27"/>
        </w:rPr>
        <w:t>GJB</w:t>
      </w:r>
      <w:r>
        <w:rPr>
          <w:rFonts w:ascii="Times New Roman" w:hAnsi="Times New Roman" w:eastAsia="Times New Roman" w:cs="Times New Roman"/>
          <w:spacing w:val="28"/>
          <w:sz w:val="27"/>
          <w:szCs w:val="27"/>
        </w:rPr>
        <w:t xml:space="preserve">  </w:t>
      </w:r>
      <w:r>
        <w:rPr>
          <w:rFonts w:ascii="Times New Roman" w:hAnsi="Times New Roman" w:eastAsia="Times New Roman" w:cs="Times New Roman"/>
          <w:spacing w:val="6"/>
          <w:sz w:val="27"/>
          <w:szCs w:val="27"/>
        </w:rPr>
        <w:t xml:space="preserve">4054—2000 </w:t>
      </w:r>
      <w:r>
        <w:rPr>
          <w:rFonts w:ascii="宋体" w:hAnsi="宋体" w:eastAsia="宋体" w:cs="宋体"/>
          <w:spacing w:val="6"/>
          <w:sz w:val="27"/>
          <w:szCs w:val="27"/>
        </w:rPr>
        <w:t>附录</w:t>
      </w:r>
      <w:r>
        <w:rPr>
          <w:rFonts w:ascii="Times New Roman" w:hAnsi="Times New Roman" w:eastAsia="Times New Roman" w:cs="Times New Roman"/>
          <w:spacing w:val="6"/>
          <w:sz w:val="27"/>
          <w:szCs w:val="27"/>
        </w:rPr>
        <w:t>A“</w:t>
      </w:r>
      <w:r>
        <w:rPr>
          <w:rFonts w:ascii="宋体" w:hAnsi="宋体" w:eastAsia="宋体" w:cs="宋体"/>
          <w:spacing w:val="6"/>
          <w:sz w:val="27"/>
          <w:szCs w:val="27"/>
        </w:rPr>
        <w:t>装备效能评估的一</w:t>
      </w:r>
      <w:r>
        <w:rPr>
          <w:rFonts w:ascii="宋体" w:hAnsi="宋体" w:eastAsia="宋体" w:cs="宋体"/>
          <w:sz w:val="27"/>
          <w:szCs w:val="27"/>
        </w:rPr>
        <w:t xml:space="preserve"> </w:t>
      </w:r>
      <w:r>
        <w:rPr>
          <w:rFonts w:ascii="宋体" w:hAnsi="宋体" w:eastAsia="宋体" w:cs="宋体"/>
          <w:spacing w:val="-5"/>
          <w:sz w:val="27"/>
          <w:szCs w:val="27"/>
        </w:rPr>
        <w:t>般程序”和有关标准，给出具体的分析与评估方法及应用注意事项。</w:t>
      </w:r>
    </w:p>
    <w:p w14:paraId="594706B9">
      <w:pPr>
        <w:spacing w:before="21" w:line="222" w:lineRule="auto"/>
        <w:rPr>
          <w:rFonts w:ascii="黑体" w:hAnsi="黑体" w:eastAsia="黑体" w:cs="黑体"/>
          <w:sz w:val="24"/>
          <w:szCs w:val="24"/>
        </w:rPr>
      </w:pPr>
      <w:r>
        <w:rPr>
          <w:rFonts w:ascii="黑体" w:hAnsi="黑体" w:eastAsia="黑体" w:cs="黑体"/>
          <w:spacing w:val="26"/>
          <w:sz w:val="24"/>
          <w:szCs w:val="24"/>
        </w:rPr>
        <w:t>6</w:t>
      </w:r>
      <w:r>
        <w:rPr>
          <w:rFonts w:ascii="黑体" w:hAnsi="黑体" w:eastAsia="黑体" w:cs="黑体"/>
          <w:spacing w:val="36"/>
          <w:sz w:val="24"/>
          <w:szCs w:val="24"/>
        </w:rPr>
        <w:t xml:space="preserve">  </w:t>
      </w:r>
      <w:r>
        <w:rPr>
          <w:rFonts w:ascii="黑体" w:hAnsi="黑体" w:eastAsia="黑体" w:cs="黑体"/>
          <w:b/>
          <w:bCs/>
          <w:spacing w:val="26"/>
          <w:sz w:val="24"/>
          <w:szCs w:val="24"/>
        </w:rPr>
        <w:t>进度或周期要求</w:t>
      </w:r>
    </w:p>
    <w:p w14:paraId="195536DB">
      <w:pPr>
        <w:spacing w:before="65" w:line="274" w:lineRule="auto"/>
        <w:ind w:right="121" w:firstLine="560"/>
        <w:rPr>
          <w:rFonts w:ascii="宋体" w:hAnsi="宋体" w:eastAsia="宋体" w:cs="宋体"/>
          <w:sz w:val="27"/>
          <w:szCs w:val="27"/>
        </w:rPr>
      </w:pPr>
      <w:r>
        <w:rPr>
          <w:rFonts w:ascii="宋体" w:hAnsi="宋体" w:eastAsia="宋体" w:cs="宋体"/>
          <w:spacing w:val="6"/>
          <w:sz w:val="27"/>
          <w:szCs w:val="27"/>
        </w:rPr>
        <w:t>依据作战训练或执行其他特殊任务急需程度、技术</w:t>
      </w:r>
      <w:r>
        <w:rPr>
          <w:rFonts w:ascii="宋体" w:hAnsi="宋体" w:eastAsia="宋体" w:cs="宋体"/>
          <w:spacing w:val="5"/>
          <w:sz w:val="27"/>
          <w:szCs w:val="27"/>
        </w:rPr>
        <w:t>成熟程度、科研生产能</w:t>
      </w:r>
      <w:r>
        <w:rPr>
          <w:rFonts w:ascii="宋体" w:hAnsi="宋体" w:eastAsia="宋体" w:cs="宋体"/>
          <w:sz w:val="27"/>
          <w:szCs w:val="27"/>
        </w:rPr>
        <w:t xml:space="preserve"> </w:t>
      </w:r>
      <w:r>
        <w:rPr>
          <w:rFonts w:ascii="宋体" w:hAnsi="宋体" w:eastAsia="宋体" w:cs="宋体"/>
          <w:spacing w:val="-11"/>
          <w:sz w:val="27"/>
          <w:szCs w:val="27"/>
        </w:rPr>
        <w:t>力、科研管理水平、投资强度和其他因素，提出研制进度或周期要求，内容包括：</w:t>
      </w:r>
    </w:p>
    <w:p w14:paraId="4EE4B8BA">
      <w:pPr>
        <w:spacing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从研制开始到定型的整个过程中各研制阶段的具体进度(或周期)要求；</w:t>
      </w:r>
    </w:p>
    <w:p w14:paraId="3E5A5226">
      <w:pPr>
        <w:spacing w:before="10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62"/>
          <w:sz w:val="27"/>
          <w:szCs w:val="27"/>
        </w:rPr>
        <w:t xml:space="preserve"> </w:t>
      </w:r>
      <w:r>
        <w:rPr>
          <w:rFonts w:ascii="宋体" w:hAnsi="宋体" w:eastAsia="宋体" w:cs="宋体"/>
          <w:spacing w:val="3"/>
          <w:sz w:val="27"/>
          <w:szCs w:val="27"/>
        </w:rPr>
        <w:t>分系统研制的进度要求；</w:t>
      </w:r>
    </w:p>
    <w:p w14:paraId="771BCF9F">
      <w:pPr>
        <w:spacing w:before="130" w:line="219" w:lineRule="auto"/>
        <w:ind w:left="560"/>
        <w:rPr>
          <w:rFonts w:ascii="宋体" w:hAnsi="宋体" w:eastAsia="宋体" w:cs="宋体"/>
          <w:sz w:val="27"/>
          <w:szCs w:val="27"/>
        </w:rPr>
      </w:pPr>
      <w:r>
        <w:rPr>
          <w:rFonts w:ascii="Times New Roman" w:hAnsi="Times New Roman" w:eastAsia="Times New Roman" w:cs="Times New Roman"/>
          <w:spacing w:val="1"/>
          <w:sz w:val="27"/>
          <w:szCs w:val="27"/>
        </w:rPr>
        <w:t>c</w:t>
      </w:r>
      <w:r>
        <w:rPr>
          <w:rFonts w:ascii="宋体" w:hAnsi="宋体" w:eastAsia="宋体" w:cs="宋体"/>
          <w:spacing w:val="1"/>
          <w:sz w:val="27"/>
          <w:szCs w:val="27"/>
        </w:rPr>
        <w:t>)</w:t>
      </w:r>
      <w:r>
        <w:rPr>
          <w:rFonts w:ascii="宋体" w:hAnsi="宋体" w:eastAsia="宋体" w:cs="宋体"/>
          <w:spacing w:val="-38"/>
          <w:sz w:val="27"/>
          <w:szCs w:val="27"/>
        </w:rPr>
        <w:t xml:space="preserve"> </w:t>
      </w:r>
      <w:r>
        <w:rPr>
          <w:rFonts w:ascii="宋体" w:hAnsi="宋体" w:eastAsia="宋体" w:cs="宋体"/>
          <w:spacing w:val="1"/>
          <w:sz w:val="27"/>
          <w:szCs w:val="27"/>
        </w:rPr>
        <w:t>系统集成的进度要求；</w:t>
      </w:r>
    </w:p>
    <w:p w14:paraId="69FD4030">
      <w:pPr>
        <w:spacing w:before="60"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武器装备完成配套，形成初始作战能力的时间要求。</w:t>
      </w:r>
    </w:p>
    <w:p w14:paraId="4546C0AC">
      <w:pPr>
        <w:spacing w:before="144" w:line="222" w:lineRule="auto"/>
        <w:rPr>
          <w:rFonts w:ascii="黑体" w:hAnsi="黑体" w:eastAsia="黑体" w:cs="黑体"/>
          <w:sz w:val="24"/>
          <w:szCs w:val="24"/>
        </w:rPr>
      </w:pPr>
      <w:r>
        <w:rPr>
          <w:rFonts w:ascii="黑体" w:hAnsi="黑体" w:eastAsia="黑体" w:cs="黑体"/>
          <w:spacing w:val="23"/>
          <w:sz w:val="24"/>
          <w:szCs w:val="24"/>
        </w:rPr>
        <w:t>7</w:t>
      </w:r>
      <w:r>
        <w:rPr>
          <w:rFonts w:ascii="黑体" w:hAnsi="黑体" w:eastAsia="黑体" w:cs="黑体"/>
          <w:spacing w:val="44"/>
          <w:sz w:val="24"/>
          <w:szCs w:val="24"/>
        </w:rPr>
        <w:t xml:space="preserve">  </w:t>
      </w:r>
      <w:r>
        <w:rPr>
          <w:rFonts w:ascii="黑体" w:hAnsi="黑体" w:eastAsia="黑体" w:cs="黑体"/>
          <w:b/>
          <w:bCs/>
          <w:spacing w:val="23"/>
          <w:sz w:val="24"/>
          <w:szCs w:val="24"/>
        </w:rPr>
        <w:t>订购数量预测</w:t>
      </w:r>
    </w:p>
    <w:p w14:paraId="085A7BB7">
      <w:pPr>
        <w:spacing w:before="75" w:line="293" w:lineRule="auto"/>
        <w:ind w:right="122" w:firstLine="560"/>
        <w:rPr>
          <w:rFonts w:ascii="宋体" w:hAnsi="宋体" w:eastAsia="宋体" w:cs="宋体"/>
          <w:sz w:val="27"/>
          <w:szCs w:val="27"/>
        </w:rPr>
      </w:pPr>
      <w:r>
        <w:rPr>
          <w:rFonts w:ascii="宋体" w:hAnsi="宋体" w:eastAsia="宋体" w:cs="宋体"/>
          <w:spacing w:val="6"/>
          <w:sz w:val="27"/>
          <w:szCs w:val="27"/>
        </w:rPr>
        <w:t>提供预测新型武器装备订购数量的原则和方法，</w:t>
      </w:r>
      <w:r>
        <w:rPr>
          <w:rFonts w:ascii="宋体" w:hAnsi="宋体" w:eastAsia="宋体" w:cs="宋体"/>
          <w:spacing w:val="5"/>
          <w:sz w:val="27"/>
          <w:szCs w:val="27"/>
        </w:rPr>
        <w:t>根据部队编制体制和承担</w:t>
      </w:r>
      <w:r>
        <w:rPr>
          <w:rFonts w:ascii="宋体" w:hAnsi="宋体" w:eastAsia="宋体" w:cs="宋体"/>
          <w:sz w:val="27"/>
          <w:szCs w:val="27"/>
        </w:rPr>
        <w:t xml:space="preserve"> </w:t>
      </w:r>
      <w:r>
        <w:rPr>
          <w:rFonts w:ascii="宋体" w:hAnsi="宋体" w:eastAsia="宋体" w:cs="宋体"/>
          <w:spacing w:val="-5"/>
          <w:sz w:val="27"/>
          <w:szCs w:val="27"/>
        </w:rPr>
        <w:t>的主要任务与辅助任务，分析武器装备可能的发展规模，预测订购数量。</w:t>
      </w:r>
    </w:p>
    <w:p w14:paraId="68EABB58">
      <w:pPr>
        <w:pStyle w:val="2"/>
        <w:spacing w:before="1" w:line="222" w:lineRule="auto"/>
        <w:rPr>
          <w:rFonts w:ascii="黑体" w:hAnsi="黑体" w:eastAsia="黑体" w:cs="黑体"/>
          <w:sz w:val="24"/>
          <w:szCs w:val="24"/>
        </w:rPr>
      </w:pPr>
      <w:r>
        <w:rPr>
          <w:b/>
          <w:bCs/>
          <w:spacing w:val="27"/>
          <w:sz w:val="24"/>
          <w:szCs w:val="24"/>
        </w:rPr>
        <w:t>8</w:t>
      </w:r>
      <w:r>
        <w:rPr>
          <w:b/>
          <w:bCs/>
          <w:spacing w:val="8"/>
          <w:sz w:val="24"/>
          <w:szCs w:val="24"/>
        </w:rPr>
        <w:t xml:space="preserve">    </w:t>
      </w:r>
      <w:r>
        <w:rPr>
          <w:rFonts w:ascii="黑体" w:hAnsi="黑体" w:eastAsia="黑体" w:cs="黑体"/>
          <w:b/>
          <w:bCs/>
          <w:spacing w:val="27"/>
          <w:sz w:val="24"/>
          <w:szCs w:val="24"/>
        </w:rPr>
        <w:t>寿命周期费用</w:t>
      </w:r>
    </w:p>
    <w:p w14:paraId="743826F7">
      <w:pPr>
        <w:spacing w:before="108" w:line="275" w:lineRule="auto"/>
        <w:ind w:right="125" w:firstLine="560"/>
        <w:jc w:val="both"/>
        <w:rPr>
          <w:rFonts w:ascii="宋体" w:hAnsi="宋体" w:eastAsia="宋体" w:cs="宋体"/>
          <w:sz w:val="27"/>
          <w:szCs w:val="27"/>
        </w:rPr>
      </w:pPr>
      <w:r>
        <w:rPr>
          <w:rFonts w:ascii="宋体" w:hAnsi="宋体" w:eastAsia="宋体" w:cs="宋体"/>
          <w:spacing w:val="2"/>
          <w:sz w:val="27"/>
          <w:szCs w:val="27"/>
        </w:rPr>
        <w:t>根据武器装备研制特点和市场变化的实际情况，按</w:t>
      </w:r>
      <w:r>
        <w:rPr>
          <w:rFonts w:ascii="Times New Roman" w:hAnsi="Times New Roman" w:eastAsia="Times New Roman" w:cs="Times New Roman"/>
          <w:sz w:val="27"/>
          <w:szCs w:val="27"/>
        </w:rPr>
        <w:t>GJB</w:t>
      </w:r>
      <w:r>
        <w:rPr>
          <w:rFonts w:ascii="Times New Roman" w:hAnsi="Times New Roman" w:eastAsia="Times New Roman" w:cs="Times New Roman"/>
          <w:spacing w:val="19"/>
          <w:w w:val="101"/>
          <w:sz w:val="27"/>
          <w:szCs w:val="27"/>
        </w:rPr>
        <w:t xml:space="preserve">  </w:t>
      </w:r>
      <w:r>
        <w:rPr>
          <w:rFonts w:ascii="Times New Roman" w:hAnsi="Times New Roman" w:eastAsia="Times New Roman" w:cs="Times New Roman"/>
          <w:spacing w:val="2"/>
          <w:sz w:val="27"/>
          <w:szCs w:val="27"/>
        </w:rPr>
        <w:t>3871</w:t>
      </w:r>
      <w:r>
        <w:rPr>
          <w:rFonts w:ascii="宋体" w:hAnsi="宋体" w:eastAsia="宋体" w:cs="宋体"/>
          <w:spacing w:val="2"/>
          <w:sz w:val="27"/>
          <w:szCs w:val="27"/>
        </w:rPr>
        <w:t>中的有关方法</w:t>
      </w:r>
      <w:r>
        <w:rPr>
          <w:rFonts w:ascii="宋体" w:hAnsi="宋体" w:eastAsia="宋体" w:cs="宋体"/>
          <w:sz w:val="27"/>
          <w:szCs w:val="27"/>
        </w:rPr>
        <w:t xml:space="preserve"> </w:t>
      </w:r>
      <w:r>
        <w:rPr>
          <w:rFonts w:ascii="宋体" w:hAnsi="宋体" w:eastAsia="宋体" w:cs="宋体"/>
          <w:spacing w:val="1"/>
          <w:sz w:val="27"/>
          <w:szCs w:val="27"/>
        </w:rPr>
        <w:t>进行订购价格预测。根据装备特点，参考</w:t>
      </w:r>
      <w:r>
        <w:rPr>
          <w:rFonts w:ascii="Times New Roman" w:hAnsi="Times New Roman" w:eastAsia="Times New Roman" w:cs="Times New Roman"/>
          <w:sz w:val="27"/>
          <w:szCs w:val="27"/>
        </w:rPr>
        <w:t>GJBz</w:t>
      </w:r>
      <w:r>
        <w:rPr>
          <w:rFonts w:ascii="Times New Roman" w:hAnsi="Times New Roman" w:eastAsia="Times New Roman" w:cs="Times New Roman"/>
          <w:spacing w:val="1"/>
          <w:sz w:val="27"/>
          <w:szCs w:val="27"/>
        </w:rPr>
        <w:t xml:space="preserve">  20517 </w:t>
      </w:r>
      <w:r>
        <w:rPr>
          <w:rFonts w:ascii="宋体" w:hAnsi="宋体" w:eastAsia="宋体" w:cs="宋体"/>
          <w:spacing w:val="1"/>
          <w:sz w:val="27"/>
          <w:szCs w:val="27"/>
        </w:rPr>
        <w:t>的要求，估算新型武器装</w:t>
      </w:r>
      <w:r>
        <w:rPr>
          <w:rFonts w:ascii="宋体" w:hAnsi="宋体" w:eastAsia="宋体" w:cs="宋体"/>
          <w:spacing w:val="7"/>
          <w:sz w:val="27"/>
          <w:szCs w:val="27"/>
        </w:rPr>
        <w:t xml:space="preserve"> </w:t>
      </w:r>
      <w:r>
        <w:rPr>
          <w:rFonts w:ascii="宋体" w:hAnsi="宋体" w:eastAsia="宋体" w:cs="宋体"/>
          <w:spacing w:val="3"/>
          <w:sz w:val="27"/>
          <w:szCs w:val="27"/>
        </w:rPr>
        <w:t>备寿命周期费用。</w:t>
      </w:r>
    </w:p>
    <w:p w14:paraId="31532F35">
      <w:pPr>
        <w:spacing w:before="5" w:line="222" w:lineRule="auto"/>
        <w:rPr>
          <w:rFonts w:ascii="黑体" w:hAnsi="黑体" w:eastAsia="黑体" w:cs="黑体"/>
          <w:sz w:val="25"/>
          <w:szCs w:val="25"/>
        </w:rPr>
      </w:pPr>
      <w:r>
        <w:rPr>
          <w:rFonts w:ascii="黑体" w:hAnsi="黑体" w:eastAsia="黑体" w:cs="黑体"/>
          <w:spacing w:val="15"/>
          <w:sz w:val="25"/>
          <w:szCs w:val="25"/>
        </w:rPr>
        <w:t>9</w:t>
      </w:r>
      <w:r>
        <w:rPr>
          <w:rFonts w:ascii="黑体" w:hAnsi="黑体" w:eastAsia="黑体" w:cs="黑体"/>
          <w:spacing w:val="27"/>
          <w:sz w:val="25"/>
          <w:szCs w:val="25"/>
        </w:rPr>
        <w:t xml:space="preserve">  </w:t>
      </w:r>
      <w:r>
        <w:rPr>
          <w:rFonts w:ascii="黑体" w:hAnsi="黑体" w:eastAsia="黑体" w:cs="黑体"/>
          <w:b/>
          <w:bCs/>
          <w:spacing w:val="15"/>
          <w:sz w:val="25"/>
          <w:szCs w:val="25"/>
        </w:rPr>
        <w:t>风险分析</w:t>
      </w:r>
    </w:p>
    <w:p w14:paraId="0E04A8AB">
      <w:pPr>
        <w:spacing w:before="129" w:line="222" w:lineRule="auto"/>
        <w:rPr>
          <w:rFonts w:ascii="黑体" w:hAnsi="黑体" w:eastAsia="黑体" w:cs="黑体"/>
          <w:sz w:val="25"/>
          <w:szCs w:val="25"/>
        </w:rPr>
      </w:pPr>
      <w:r>
        <w:rPr>
          <w:rFonts w:ascii="黑体" w:hAnsi="黑体" w:eastAsia="黑体" w:cs="黑体"/>
          <w:spacing w:val="12"/>
          <w:sz w:val="25"/>
          <w:szCs w:val="25"/>
        </w:rPr>
        <w:t>9.1</w:t>
      </w:r>
      <w:r>
        <w:rPr>
          <w:rFonts w:ascii="黑体" w:hAnsi="黑体" w:eastAsia="黑体" w:cs="黑体"/>
          <w:spacing w:val="36"/>
          <w:sz w:val="25"/>
          <w:szCs w:val="25"/>
        </w:rPr>
        <w:t xml:space="preserve">  </w:t>
      </w:r>
      <w:r>
        <w:rPr>
          <w:rFonts w:ascii="黑体" w:hAnsi="黑体" w:eastAsia="黑体" w:cs="黑体"/>
          <w:b/>
          <w:bCs/>
          <w:spacing w:val="12"/>
          <w:sz w:val="25"/>
          <w:szCs w:val="25"/>
        </w:rPr>
        <w:t>技术风险</w:t>
      </w:r>
    </w:p>
    <w:p w14:paraId="6EA0F45C">
      <w:pPr>
        <w:spacing w:before="94" w:line="219" w:lineRule="auto"/>
        <w:ind w:left="560"/>
        <w:rPr>
          <w:rFonts w:ascii="宋体" w:hAnsi="宋体" w:eastAsia="宋体" w:cs="宋体"/>
          <w:sz w:val="27"/>
          <w:szCs w:val="27"/>
        </w:rPr>
      </w:pPr>
      <w:r>
        <w:rPr>
          <w:rFonts w:ascii="宋体" w:hAnsi="宋体" w:eastAsia="宋体" w:cs="宋体"/>
          <w:spacing w:val="-1"/>
          <w:sz w:val="27"/>
          <w:szCs w:val="27"/>
        </w:rPr>
        <w:t>主要考虑以下方面：</w:t>
      </w:r>
    </w:p>
    <w:p w14:paraId="42936752">
      <w:pPr>
        <w:spacing w:before="112" w:line="219" w:lineRule="auto"/>
        <w:ind w:left="560"/>
        <w:rPr>
          <w:rFonts w:ascii="宋体" w:hAnsi="宋体" w:eastAsia="宋体" w:cs="宋体"/>
          <w:sz w:val="27"/>
          <w:szCs w:val="27"/>
        </w:rPr>
      </w:pPr>
      <w:r>
        <w:rPr>
          <w:rFonts w:ascii="Times New Roman" w:hAnsi="Times New Roman" w:eastAsia="Times New Roman" w:cs="Times New Roman"/>
          <w:spacing w:val="-2"/>
          <w:sz w:val="27"/>
          <w:szCs w:val="27"/>
        </w:rPr>
        <w:t>a</w:t>
      </w:r>
      <w:r>
        <w:rPr>
          <w:rFonts w:ascii="宋体" w:hAnsi="宋体" w:eastAsia="宋体" w:cs="宋体"/>
          <w:spacing w:val="-2"/>
          <w:sz w:val="27"/>
          <w:szCs w:val="27"/>
        </w:rPr>
        <w:t>)</w:t>
      </w:r>
      <w:r>
        <w:rPr>
          <w:rFonts w:ascii="宋体" w:hAnsi="宋体" w:eastAsia="宋体" w:cs="宋体"/>
          <w:spacing w:val="-39"/>
          <w:sz w:val="27"/>
          <w:szCs w:val="27"/>
        </w:rPr>
        <w:t xml:space="preserve"> </w:t>
      </w:r>
      <w:r>
        <w:rPr>
          <w:rFonts w:ascii="宋体" w:hAnsi="宋体" w:eastAsia="宋体" w:cs="宋体"/>
          <w:spacing w:val="-2"/>
          <w:sz w:val="27"/>
          <w:szCs w:val="27"/>
        </w:rPr>
        <w:t>引起技术风险的主要因素(包括指标量化、技术难度、研制难易等因素);</w:t>
      </w:r>
    </w:p>
    <w:p w14:paraId="51CE0142">
      <w:pPr>
        <w:spacing w:before="49"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技术风险的表示方法(包括风险百分数、新技术项目采用比等因素);</w:t>
      </w:r>
    </w:p>
    <w:p w14:paraId="58891923">
      <w:pPr>
        <w:spacing w:before="110"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 xml:space="preserve">c)  </w:t>
      </w:r>
      <w:r>
        <w:rPr>
          <w:rFonts w:ascii="宋体" w:hAnsi="宋体" w:eastAsia="宋体" w:cs="宋体"/>
          <w:spacing w:val="-6"/>
          <w:sz w:val="27"/>
          <w:szCs w:val="27"/>
        </w:rPr>
        <w:t>技术风险的估算(包括高、中、低三类风</w:t>
      </w:r>
      <w:r>
        <w:rPr>
          <w:rFonts w:ascii="宋体" w:hAnsi="宋体" w:eastAsia="宋体" w:cs="宋体"/>
          <w:spacing w:val="-7"/>
          <w:sz w:val="27"/>
          <w:szCs w:val="27"/>
        </w:rPr>
        <w:t>险的估算)。</w:t>
      </w:r>
    </w:p>
    <w:p w14:paraId="788B097E">
      <w:pPr>
        <w:spacing w:before="124" w:line="222" w:lineRule="auto"/>
        <w:rPr>
          <w:rFonts w:ascii="黑体" w:hAnsi="黑体" w:eastAsia="黑体" w:cs="黑体"/>
          <w:sz w:val="24"/>
          <w:szCs w:val="24"/>
        </w:rPr>
      </w:pPr>
      <w:r>
        <w:rPr>
          <w:rFonts w:ascii="黑体" w:hAnsi="黑体" w:eastAsia="黑体" w:cs="黑体"/>
          <w:spacing w:val="18"/>
          <w:sz w:val="24"/>
          <w:szCs w:val="24"/>
        </w:rPr>
        <w:t>9.2</w:t>
      </w:r>
      <w:r>
        <w:rPr>
          <w:rFonts w:ascii="黑体" w:hAnsi="黑体" w:eastAsia="黑体" w:cs="黑体"/>
          <w:spacing w:val="48"/>
          <w:sz w:val="24"/>
          <w:szCs w:val="24"/>
        </w:rPr>
        <w:t xml:space="preserve">  </w:t>
      </w:r>
      <w:r>
        <w:rPr>
          <w:rFonts w:ascii="黑体" w:hAnsi="黑体" w:eastAsia="黑体" w:cs="黑体"/>
          <w:b/>
          <w:bCs/>
          <w:spacing w:val="18"/>
          <w:sz w:val="24"/>
          <w:szCs w:val="24"/>
        </w:rPr>
        <w:t>进度风险</w:t>
      </w:r>
    </w:p>
    <w:p w14:paraId="64E8B66F">
      <w:pPr>
        <w:spacing w:before="106" w:line="219" w:lineRule="auto"/>
        <w:ind w:left="560"/>
        <w:rPr>
          <w:rFonts w:ascii="宋体" w:hAnsi="宋体" w:eastAsia="宋体" w:cs="宋体"/>
          <w:sz w:val="27"/>
          <w:szCs w:val="27"/>
        </w:rPr>
      </w:pPr>
      <w:r>
        <w:rPr>
          <w:rFonts w:ascii="宋体" w:hAnsi="宋体" w:eastAsia="宋体" w:cs="宋体"/>
          <w:spacing w:val="-1"/>
          <w:sz w:val="27"/>
          <w:szCs w:val="27"/>
        </w:rPr>
        <w:t>主要考虑以下方面：</w:t>
      </w:r>
    </w:p>
    <w:p w14:paraId="0523F329">
      <w:pPr>
        <w:spacing w:before="69" w:line="260" w:lineRule="auto"/>
        <w:ind w:right="115" w:firstLine="560"/>
        <w:rPr>
          <w:rFonts w:ascii="宋体" w:hAnsi="宋体" w:eastAsia="宋体" w:cs="宋体"/>
          <w:sz w:val="27"/>
          <w:szCs w:val="27"/>
        </w:rPr>
      </w:pPr>
      <w:r>
        <w:rPr>
          <w:rFonts w:ascii="Times New Roman" w:hAnsi="Times New Roman" w:eastAsia="Times New Roman" w:cs="Times New Roman"/>
          <w:spacing w:val="7"/>
          <w:sz w:val="27"/>
          <w:szCs w:val="27"/>
        </w:rPr>
        <w:t xml:space="preserve">a)  </w:t>
      </w:r>
      <w:r>
        <w:rPr>
          <w:rFonts w:ascii="宋体" w:hAnsi="宋体" w:eastAsia="宋体" w:cs="宋体"/>
          <w:spacing w:val="7"/>
          <w:sz w:val="27"/>
          <w:szCs w:val="27"/>
        </w:rPr>
        <w:t>引起进度风险的主要因素(包括预研工作和可行性论证是否充分、计划</w:t>
      </w:r>
      <w:r>
        <w:rPr>
          <w:rFonts w:ascii="宋体" w:hAnsi="宋体" w:eastAsia="宋体" w:cs="宋体"/>
          <w:spacing w:val="4"/>
          <w:sz w:val="27"/>
          <w:szCs w:val="27"/>
        </w:rPr>
        <w:t xml:space="preserve"> </w:t>
      </w:r>
      <w:r>
        <w:rPr>
          <w:rFonts w:ascii="宋体" w:hAnsi="宋体" w:eastAsia="宋体" w:cs="宋体"/>
          <w:spacing w:val="-3"/>
          <w:sz w:val="27"/>
          <w:szCs w:val="27"/>
        </w:rPr>
        <w:t>进度考虑不周、投资强度不够、战术技术指标更改以及其他因素);</w:t>
      </w:r>
    </w:p>
    <w:p w14:paraId="7828CB3A">
      <w:pPr>
        <w:spacing w:before="61"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b)</w:t>
      </w:r>
      <w:r>
        <w:rPr>
          <w:rFonts w:ascii="Times New Roman" w:hAnsi="Times New Roman" w:eastAsia="Times New Roman" w:cs="Times New Roman"/>
          <w:spacing w:val="66"/>
          <w:w w:val="101"/>
          <w:sz w:val="27"/>
          <w:szCs w:val="27"/>
        </w:rPr>
        <w:t xml:space="preserve"> </w:t>
      </w:r>
      <w:r>
        <w:rPr>
          <w:rFonts w:ascii="宋体" w:hAnsi="宋体" w:eastAsia="宋体" w:cs="宋体"/>
          <w:spacing w:val="6"/>
          <w:sz w:val="27"/>
          <w:szCs w:val="27"/>
        </w:rPr>
        <w:t>进度风险的表示方法(可用完成研制任务的概率表示);</w:t>
      </w:r>
    </w:p>
    <w:p w14:paraId="0F9F1C9B">
      <w:pPr>
        <w:spacing w:before="91" w:line="260" w:lineRule="auto"/>
        <w:ind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进度风险的估算(计算每个工序的平均完</w:t>
      </w:r>
      <w:r>
        <w:rPr>
          <w:rFonts w:ascii="宋体" w:hAnsi="宋体" w:eastAsia="宋体" w:cs="宋体"/>
          <w:spacing w:val="2"/>
          <w:sz w:val="27"/>
          <w:szCs w:val="27"/>
        </w:rPr>
        <w:t>成时间、方差、期望完成时间、</w:t>
      </w:r>
      <w:r>
        <w:rPr>
          <w:rFonts w:ascii="宋体" w:hAnsi="宋体" w:eastAsia="宋体" w:cs="宋体"/>
          <w:sz w:val="27"/>
          <w:szCs w:val="27"/>
        </w:rPr>
        <w:t xml:space="preserve"> </w:t>
      </w:r>
      <w:r>
        <w:rPr>
          <w:rFonts w:ascii="宋体" w:hAnsi="宋体" w:eastAsia="宋体" w:cs="宋体"/>
          <w:spacing w:val="-13"/>
          <w:sz w:val="27"/>
          <w:szCs w:val="27"/>
        </w:rPr>
        <w:t>必须完成时间、松弛时间、关键路线、完成概率等)。</w:t>
      </w:r>
    </w:p>
    <w:p w14:paraId="6DEB5864">
      <w:pPr>
        <w:spacing w:before="83" w:line="222" w:lineRule="auto"/>
        <w:rPr>
          <w:rFonts w:ascii="黑体" w:hAnsi="黑体" w:eastAsia="黑体" w:cs="黑体"/>
          <w:sz w:val="25"/>
          <w:szCs w:val="25"/>
        </w:rPr>
      </w:pPr>
      <w:r>
        <w:rPr>
          <w:rFonts w:ascii="黑体" w:hAnsi="黑体" w:eastAsia="黑体" w:cs="黑体"/>
          <w:spacing w:val="8"/>
          <w:sz w:val="25"/>
          <w:szCs w:val="25"/>
        </w:rPr>
        <w:t>9.3</w:t>
      </w:r>
      <w:r>
        <w:rPr>
          <w:rFonts w:ascii="黑体" w:hAnsi="黑体" w:eastAsia="黑体" w:cs="黑体"/>
          <w:spacing w:val="35"/>
          <w:sz w:val="25"/>
          <w:szCs w:val="25"/>
        </w:rPr>
        <w:t xml:space="preserve">  </w:t>
      </w:r>
      <w:r>
        <w:rPr>
          <w:rFonts w:ascii="黑体" w:hAnsi="黑体" w:eastAsia="黑体" w:cs="黑体"/>
          <w:b/>
          <w:bCs/>
          <w:spacing w:val="8"/>
          <w:sz w:val="25"/>
          <w:szCs w:val="25"/>
        </w:rPr>
        <w:t>费用风险</w:t>
      </w:r>
    </w:p>
    <w:p w14:paraId="034981AE">
      <w:pPr>
        <w:spacing w:before="94" w:line="219" w:lineRule="auto"/>
        <w:ind w:left="560"/>
        <w:rPr>
          <w:rFonts w:ascii="宋体" w:hAnsi="宋体" w:eastAsia="宋体" w:cs="宋体"/>
          <w:sz w:val="27"/>
          <w:szCs w:val="27"/>
        </w:rPr>
      </w:pPr>
      <w:r>
        <w:rPr>
          <w:rFonts w:ascii="宋体" w:hAnsi="宋体" w:eastAsia="宋体" w:cs="宋体"/>
          <w:spacing w:val="-1"/>
          <w:sz w:val="27"/>
          <w:szCs w:val="27"/>
        </w:rPr>
        <w:t>主要考虑以下方面：</w:t>
      </w:r>
    </w:p>
    <w:p w14:paraId="028DCB85">
      <w:pPr>
        <w:spacing w:before="127" w:line="251" w:lineRule="auto"/>
        <w:ind w:right="134" w:firstLine="560"/>
        <w:rPr>
          <w:rFonts w:ascii="宋体" w:hAnsi="宋体" w:eastAsia="宋体" w:cs="宋体"/>
          <w:sz w:val="25"/>
          <w:szCs w:val="25"/>
        </w:rPr>
      </w:pPr>
      <w:r>
        <w:rPr>
          <w:rFonts w:ascii="Times New Roman" w:hAnsi="Times New Roman" w:eastAsia="Times New Roman" w:cs="Times New Roman"/>
          <w:spacing w:val="17"/>
          <w:sz w:val="25"/>
          <w:szCs w:val="25"/>
        </w:rPr>
        <w:t>a</w:t>
      </w:r>
      <w:r>
        <w:rPr>
          <w:rFonts w:ascii="Times New Roman" w:hAnsi="Times New Roman" w:eastAsia="Times New Roman" w:cs="Times New Roman"/>
          <w:spacing w:val="-25"/>
          <w:sz w:val="25"/>
          <w:szCs w:val="25"/>
        </w:rPr>
        <w:t xml:space="preserve"> </w:t>
      </w:r>
      <w:r>
        <w:rPr>
          <w:rFonts w:ascii="宋体" w:hAnsi="宋体" w:eastAsia="宋体" w:cs="宋体"/>
          <w:spacing w:val="17"/>
          <w:sz w:val="25"/>
          <w:szCs w:val="25"/>
        </w:rPr>
        <w:t>)</w:t>
      </w:r>
      <w:r>
        <w:rPr>
          <w:rFonts w:ascii="宋体" w:hAnsi="宋体" w:eastAsia="宋体" w:cs="宋体"/>
          <w:spacing w:val="-29"/>
          <w:sz w:val="25"/>
          <w:szCs w:val="25"/>
        </w:rPr>
        <w:t xml:space="preserve"> </w:t>
      </w:r>
      <w:r>
        <w:rPr>
          <w:rFonts w:ascii="宋体" w:hAnsi="宋体" w:eastAsia="宋体" w:cs="宋体"/>
          <w:spacing w:val="17"/>
          <w:sz w:val="25"/>
          <w:szCs w:val="25"/>
        </w:rPr>
        <w:t>引起费用风险的主要因素(如费用评估和</w:t>
      </w:r>
      <w:r>
        <w:rPr>
          <w:rFonts w:ascii="宋体" w:hAnsi="宋体" w:eastAsia="宋体" w:cs="宋体"/>
          <w:spacing w:val="16"/>
          <w:sz w:val="25"/>
          <w:szCs w:val="25"/>
        </w:rPr>
        <w:t>预测不准、进度后拖，物价上涨</w:t>
      </w:r>
      <w:r>
        <w:rPr>
          <w:rFonts w:ascii="宋体" w:hAnsi="宋体" w:eastAsia="宋体" w:cs="宋体"/>
          <w:sz w:val="25"/>
          <w:szCs w:val="25"/>
        </w:rPr>
        <w:t xml:space="preserve"> </w:t>
      </w:r>
      <w:r>
        <w:rPr>
          <w:rFonts w:ascii="宋体" w:hAnsi="宋体" w:eastAsia="宋体" w:cs="宋体"/>
          <w:spacing w:val="20"/>
          <w:sz w:val="25"/>
          <w:szCs w:val="25"/>
        </w:rPr>
        <w:t>等);</w:t>
      </w:r>
    </w:p>
    <w:p w14:paraId="725FB828">
      <w:pPr>
        <w:spacing w:before="94"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费用风险的表示方法(可用费用风险度、研制总费用等);</w:t>
      </w:r>
    </w:p>
    <w:p w14:paraId="170BC675">
      <w:pPr>
        <w:spacing w:line="212" w:lineRule="auto"/>
        <w:rPr>
          <w:rFonts w:ascii="宋体" w:hAnsi="宋体" w:eastAsia="宋体" w:cs="宋体"/>
          <w:sz w:val="27"/>
          <w:szCs w:val="27"/>
        </w:rPr>
        <w:sectPr>
          <w:footerReference r:id="rId24" w:type="default"/>
          <w:pgSz w:w="11910" w:h="17130"/>
          <w:pgMar w:top="400" w:right="1154" w:bottom="1530" w:left="1249" w:header="0" w:footer="1332" w:gutter="0"/>
          <w:cols w:space="720" w:num="1"/>
        </w:sectPr>
      </w:pPr>
    </w:p>
    <w:p w14:paraId="4596E901">
      <w:pPr>
        <w:pStyle w:val="2"/>
        <w:spacing w:line="256" w:lineRule="auto"/>
      </w:pPr>
    </w:p>
    <w:p w14:paraId="7E3A95B6">
      <w:pPr>
        <w:pStyle w:val="2"/>
        <w:spacing w:line="256" w:lineRule="auto"/>
      </w:pPr>
    </w:p>
    <w:p w14:paraId="2DCCBDF9">
      <w:pPr>
        <w:pStyle w:val="2"/>
        <w:spacing w:line="257" w:lineRule="auto"/>
      </w:pPr>
    </w:p>
    <w:p w14:paraId="75FEFB37">
      <w:pPr>
        <w:pStyle w:val="2"/>
        <w:spacing w:line="257" w:lineRule="auto"/>
      </w:pPr>
    </w:p>
    <w:p w14:paraId="236D8FB9">
      <w:pPr>
        <w:spacing w:before="88" w:line="299" w:lineRule="auto"/>
        <w:ind w:right="6" w:firstLine="539"/>
        <w:rPr>
          <w:rFonts w:ascii="宋体" w:hAnsi="宋体" w:eastAsia="宋体" w:cs="宋体"/>
          <w:sz w:val="27"/>
          <w:szCs w:val="27"/>
        </w:rPr>
      </w:pPr>
      <w:r>
        <w:rPr>
          <w:rFonts w:ascii="Times New Roman" w:hAnsi="Times New Roman" w:eastAsia="Times New Roman" w:cs="Times New Roman"/>
          <w:spacing w:val="6"/>
          <w:sz w:val="27"/>
          <w:szCs w:val="27"/>
        </w:rPr>
        <w:t xml:space="preserve">c)  </w:t>
      </w:r>
      <w:r>
        <w:rPr>
          <w:rFonts w:ascii="宋体" w:hAnsi="宋体" w:eastAsia="宋体" w:cs="宋体"/>
          <w:spacing w:val="6"/>
          <w:sz w:val="27"/>
          <w:szCs w:val="27"/>
        </w:rPr>
        <w:t>费用风险的估算(包括各分系统的费用均值和方差，预定费用完成任务</w:t>
      </w:r>
      <w:r>
        <w:rPr>
          <w:rFonts w:ascii="宋体" w:hAnsi="宋体" w:eastAsia="宋体" w:cs="宋体"/>
          <w:spacing w:val="11"/>
          <w:sz w:val="27"/>
          <w:szCs w:val="27"/>
        </w:rPr>
        <w:t xml:space="preserve"> </w:t>
      </w:r>
      <w:r>
        <w:rPr>
          <w:rFonts w:ascii="宋体" w:hAnsi="宋体" w:eastAsia="宋体" w:cs="宋体"/>
          <w:spacing w:val="-10"/>
          <w:sz w:val="27"/>
          <w:szCs w:val="27"/>
        </w:rPr>
        <w:t>的概率、费用风险等)。</w:t>
      </w:r>
    </w:p>
    <w:p w14:paraId="2C5C8679">
      <w:pPr>
        <w:spacing w:before="1" w:line="220" w:lineRule="auto"/>
        <w:rPr>
          <w:rFonts w:ascii="黑体" w:hAnsi="黑体" w:eastAsia="黑体" w:cs="黑体"/>
          <w:sz w:val="27"/>
          <w:szCs w:val="27"/>
        </w:rPr>
      </w:pPr>
      <w:r>
        <w:rPr>
          <w:rFonts w:ascii="黑体" w:hAnsi="黑体" w:eastAsia="黑体" w:cs="黑体"/>
          <w:spacing w:val="3"/>
          <w:sz w:val="27"/>
          <w:szCs w:val="27"/>
        </w:rPr>
        <w:t xml:space="preserve">10  </w:t>
      </w:r>
      <w:r>
        <w:rPr>
          <w:rFonts w:ascii="黑体" w:hAnsi="黑体" w:eastAsia="黑体" w:cs="黑体"/>
          <w:b/>
          <w:bCs/>
          <w:spacing w:val="3"/>
          <w:sz w:val="27"/>
          <w:szCs w:val="27"/>
        </w:rPr>
        <w:t>任务组织实施的措施与建议</w:t>
      </w:r>
    </w:p>
    <w:p w14:paraId="3B8211FA">
      <w:pPr>
        <w:spacing w:before="83" w:line="219" w:lineRule="auto"/>
        <w:ind w:left="539"/>
        <w:rPr>
          <w:rFonts w:ascii="宋体" w:hAnsi="宋体" w:eastAsia="宋体" w:cs="宋体"/>
          <w:sz w:val="27"/>
          <w:szCs w:val="27"/>
        </w:rPr>
      </w:pPr>
      <w:r>
        <w:rPr>
          <w:rFonts w:ascii="宋体" w:hAnsi="宋体" w:eastAsia="宋体" w:cs="宋体"/>
          <w:spacing w:val="4"/>
          <w:sz w:val="27"/>
          <w:szCs w:val="27"/>
        </w:rPr>
        <w:t>分别阐述任务组织实施的措施与建议。</w:t>
      </w:r>
    </w:p>
    <w:p w14:paraId="5A75C751">
      <w:pPr>
        <w:spacing w:before="64" w:line="220" w:lineRule="auto"/>
        <w:ind w:left="543"/>
        <w:rPr>
          <w:rFonts w:ascii="楷体" w:hAnsi="楷体" w:eastAsia="楷体" w:cs="楷体"/>
          <w:sz w:val="27"/>
          <w:szCs w:val="27"/>
        </w:rPr>
      </w:pPr>
      <w:r>
        <w:rPr>
          <w:rFonts w:ascii="楷体" w:hAnsi="楷体" w:eastAsia="楷体" w:cs="楷体"/>
          <w:b/>
          <w:bCs/>
          <w:spacing w:val="-15"/>
          <w:sz w:val="27"/>
          <w:szCs w:val="27"/>
        </w:rPr>
        <w:t>按照《中国人民解放军装备条例》编写，目次格式如下：</w:t>
      </w:r>
    </w:p>
    <w:p w14:paraId="423CCEB2">
      <w:pPr>
        <w:spacing w:before="72" w:line="223" w:lineRule="auto"/>
        <w:ind w:left="539"/>
        <w:rPr>
          <w:rFonts w:ascii="楷体" w:hAnsi="楷体" w:eastAsia="楷体" w:cs="楷体"/>
          <w:sz w:val="28"/>
          <w:szCs w:val="28"/>
        </w:rPr>
      </w:pPr>
      <w:r>
        <w:rPr>
          <w:rFonts w:ascii="Times New Roman" w:hAnsi="Times New Roman" w:eastAsia="Times New Roman" w:cs="Times New Roman"/>
          <w:b/>
          <w:bCs/>
          <w:spacing w:val="-7"/>
          <w:sz w:val="28"/>
          <w:szCs w:val="28"/>
        </w:rPr>
        <w:t xml:space="preserve">1  </w:t>
      </w:r>
      <w:r>
        <w:rPr>
          <w:rFonts w:ascii="楷体" w:hAnsi="楷体" w:eastAsia="楷体" w:cs="楷体"/>
          <w:b/>
          <w:bCs/>
          <w:spacing w:val="-7"/>
          <w:sz w:val="28"/>
          <w:szCs w:val="28"/>
        </w:rPr>
        <w:t>作战使命和任务</w:t>
      </w:r>
    </w:p>
    <w:p w14:paraId="6360B751">
      <w:pPr>
        <w:spacing w:before="71" w:line="223" w:lineRule="auto"/>
        <w:ind w:left="539"/>
        <w:rPr>
          <w:rFonts w:ascii="楷体" w:hAnsi="楷体" w:eastAsia="楷体" w:cs="楷体"/>
          <w:sz w:val="28"/>
          <w:szCs w:val="28"/>
        </w:rPr>
      </w:pPr>
      <w:r>
        <w:rPr>
          <w:rFonts w:ascii="Times New Roman" w:hAnsi="Times New Roman" w:eastAsia="Times New Roman" w:cs="Times New Roman"/>
          <w:b/>
          <w:bCs/>
          <w:spacing w:val="-5"/>
          <w:sz w:val="28"/>
          <w:szCs w:val="28"/>
        </w:rPr>
        <w:t xml:space="preserve">2  </w:t>
      </w:r>
      <w:r>
        <w:rPr>
          <w:rFonts w:ascii="楷体" w:hAnsi="楷体" w:eastAsia="楷体" w:cs="楷体"/>
          <w:b/>
          <w:bCs/>
          <w:spacing w:val="-5"/>
          <w:sz w:val="28"/>
          <w:szCs w:val="28"/>
        </w:rPr>
        <w:t>主要作战使用性能(含主要战术技术</w:t>
      </w:r>
      <w:r>
        <w:rPr>
          <w:rFonts w:ascii="楷体" w:hAnsi="楷体" w:eastAsia="楷体" w:cs="楷体"/>
          <w:b/>
          <w:bCs/>
          <w:spacing w:val="-6"/>
          <w:sz w:val="28"/>
          <w:szCs w:val="28"/>
        </w:rPr>
        <w:t>指标)</w:t>
      </w:r>
    </w:p>
    <w:p w14:paraId="0C70924E">
      <w:pPr>
        <w:spacing w:before="118" w:line="228" w:lineRule="auto"/>
        <w:ind w:left="539"/>
        <w:rPr>
          <w:rFonts w:ascii="楷体" w:hAnsi="楷体" w:eastAsia="楷体" w:cs="楷体"/>
          <w:sz w:val="24"/>
          <w:szCs w:val="24"/>
        </w:rPr>
      </w:pPr>
      <w:r>
        <w:rPr>
          <w:rFonts w:ascii="Times New Roman" w:hAnsi="Times New Roman" w:eastAsia="Times New Roman" w:cs="Times New Roman"/>
          <w:b/>
          <w:bCs/>
          <w:spacing w:val="18"/>
          <w:sz w:val="24"/>
          <w:szCs w:val="24"/>
        </w:rPr>
        <w:t>2.1</w:t>
      </w:r>
      <w:r>
        <w:rPr>
          <w:rFonts w:ascii="Times New Roman" w:hAnsi="Times New Roman" w:eastAsia="Times New Roman" w:cs="Times New Roman"/>
          <w:b/>
          <w:bCs/>
          <w:spacing w:val="5"/>
          <w:sz w:val="24"/>
          <w:szCs w:val="24"/>
        </w:rPr>
        <w:t xml:space="preserve">    </w:t>
      </w:r>
      <w:r>
        <w:rPr>
          <w:rFonts w:ascii="楷体" w:hAnsi="楷体" w:eastAsia="楷体" w:cs="楷体"/>
          <w:b/>
          <w:bCs/>
          <w:spacing w:val="18"/>
          <w:sz w:val="24"/>
          <w:szCs w:val="24"/>
        </w:rPr>
        <w:t>通用性指标</w:t>
      </w:r>
    </w:p>
    <w:p w14:paraId="47B4368F">
      <w:pPr>
        <w:spacing w:before="75" w:line="228" w:lineRule="auto"/>
        <w:ind w:left="543"/>
        <w:rPr>
          <w:rFonts w:ascii="楷体" w:hAnsi="楷体" w:eastAsia="楷体" w:cs="楷体"/>
          <w:sz w:val="27"/>
          <w:szCs w:val="27"/>
        </w:rPr>
      </w:pPr>
      <w:r>
        <w:rPr>
          <w:rFonts w:ascii="楷体" w:hAnsi="楷体" w:eastAsia="楷体" w:cs="楷体"/>
          <w:b/>
          <w:bCs/>
          <w:spacing w:val="17"/>
          <w:sz w:val="27"/>
          <w:szCs w:val="27"/>
        </w:rPr>
        <w:t>2.2特征性指标</w:t>
      </w:r>
    </w:p>
    <w:p w14:paraId="31BDA463">
      <w:pPr>
        <w:spacing w:before="77" w:line="228" w:lineRule="auto"/>
        <w:ind w:left="539"/>
        <w:rPr>
          <w:rFonts w:ascii="楷体" w:hAnsi="楷体" w:eastAsia="楷体" w:cs="楷体"/>
          <w:sz w:val="27"/>
          <w:szCs w:val="27"/>
        </w:rPr>
      </w:pPr>
      <w:r>
        <w:rPr>
          <w:rFonts w:ascii="Times New Roman" w:hAnsi="Times New Roman" w:eastAsia="Times New Roman" w:cs="Times New Roman"/>
          <w:b/>
          <w:bCs/>
          <w:spacing w:val="-2"/>
          <w:sz w:val="27"/>
          <w:szCs w:val="27"/>
        </w:rPr>
        <w:t>3</w:t>
      </w:r>
      <w:r>
        <w:rPr>
          <w:rFonts w:ascii="Times New Roman" w:hAnsi="Times New Roman" w:eastAsia="Times New Roman" w:cs="Times New Roman"/>
          <w:b/>
          <w:bCs/>
          <w:spacing w:val="11"/>
          <w:sz w:val="27"/>
          <w:szCs w:val="27"/>
        </w:rPr>
        <w:t xml:space="preserve">  </w:t>
      </w:r>
      <w:r>
        <w:rPr>
          <w:rFonts w:ascii="楷体" w:hAnsi="楷体" w:eastAsia="楷体" w:cs="楷体"/>
          <w:b/>
          <w:bCs/>
          <w:spacing w:val="-2"/>
          <w:sz w:val="27"/>
          <w:szCs w:val="27"/>
        </w:rPr>
        <w:t>初步总体方案</w:t>
      </w:r>
    </w:p>
    <w:p w14:paraId="1678CC77">
      <w:pPr>
        <w:spacing w:before="89" w:line="223" w:lineRule="auto"/>
        <w:ind w:left="539"/>
        <w:rPr>
          <w:rFonts w:ascii="楷体" w:hAnsi="楷体" w:eastAsia="楷体" w:cs="楷体"/>
          <w:sz w:val="24"/>
          <w:szCs w:val="24"/>
        </w:rPr>
      </w:pPr>
      <w:r>
        <w:rPr>
          <w:rFonts w:ascii="Times New Roman" w:hAnsi="Times New Roman" w:eastAsia="Times New Roman" w:cs="Times New Roman"/>
          <w:b/>
          <w:bCs/>
          <w:spacing w:val="-14"/>
          <w:sz w:val="24"/>
          <w:szCs w:val="24"/>
        </w:rPr>
        <w:t>3.1</w:t>
      </w:r>
      <w:r>
        <w:rPr>
          <w:rFonts w:ascii="Times New Roman" w:hAnsi="Times New Roman" w:eastAsia="Times New Roman" w:cs="Times New Roman"/>
          <w:b/>
          <w:bCs/>
          <w:spacing w:val="6"/>
          <w:sz w:val="24"/>
          <w:szCs w:val="24"/>
        </w:rPr>
        <w:t xml:space="preserve">    </w:t>
      </w:r>
      <w:r>
        <w:rPr>
          <w:rFonts w:ascii="楷体" w:hAnsi="楷体" w:eastAsia="楷体" w:cs="楷体"/>
          <w:b/>
          <w:bCs/>
          <w:spacing w:val="-14"/>
          <w:sz w:val="24"/>
          <w:szCs w:val="24"/>
        </w:rPr>
        <w:t>系</w:t>
      </w:r>
      <w:r>
        <w:rPr>
          <w:rFonts w:ascii="楷体" w:hAnsi="楷体" w:eastAsia="楷体" w:cs="楷体"/>
          <w:spacing w:val="-38"/>
          <w:sz w:val="24"/>
          <w:szCs w:val="24"/>
        </w:rPr>
        <w:t xml:space="preserve"> </w:t>
      </w:r>
      <w:r>
        <w:rPr>
          <w:rFonts w:ascii="楷体" w:hAnsi="楷体" w:eastAsia="楷体" w:cs="楷体"/>
          <w:b/>
          <w:bCs/>
          <w:spacing w:val="-14"/>
          <w:sz w:val="24"/>
          <w:szCs w:val="24"/>
        </w:rPr>
        <w:t>统</w:t>
      </w:r>
      <w:r>
        <w:rPr>
          <w:rFonts w:ascii="楷体" w:hAnsi="楷体" w:eastAsia="楷体" w:cs="楷体"/>
          <w:spacing w:val="-45"/>
          <w:sz w:val="24"/>
          <w:szCs w:val="24"/>
        </w:rPr>
        <w:t xml:space="preserve"> </w:t>
      </w:r>
      <w:r>
        <w:rPr>
          <w:rFonts w:ascii="楷体" w:hAnsi="楷体" w:eastAsia="楷体" w:cs="楷体"/>
          <w:b/>
          <w:bCs/>
          <w:spacing w:val="-14"/>
          <w:sz w:val="24"/>
          <w:szCs w:val="24"/>
        </w:rPr>
        <w:t>组</w:t>
      </w:r>
      <w:r>
        <w:rPr>
          <w:rFonts w:ascii="楷体" w:hAnsi="楷体" w:eastAsia="楷体" w:cs="楷体"/>
          <w:spacing w:val="-53"/>
          <w:sz w:val="24"/>
          <w:szCs w:val="24"/>
        </w:rPr>
        <w:t xml:space="preserve"> </w:t>
      </w:r>
      <w:r>
        <w:rPr>
          <w:rFonts w:ascii="楷体" w:hAnsi="楷体" w:eastAsia="楷体" w:cs="楷体"/>
          <w:b/>
          <w:bCs/>
          <w:spacing w:val="-14"/>
          <w:sz w:val="24"/>
          <w:szCs w:val="24"/>
        </w:rPr>
        <w:t>成</w:t>
      </w:r>
    </w:p>
    <w:p w14:paraId="081FB507">
      <w:pPr>
        <w:spacing w:before="110" w:line="223" w:lineRule="auto"/>
        <w:ind w:left="543"/>
        <w:rPr>
          <w:rFonts w:ascii="楷体" w:hAnsi="楷体" w:eastAsia="楷体" w:cs="楷体"/>
          <w:sz w:val="24"/>
          <w:szCs w:val="24"/>
        </w:rPr>
      </w:pPr>
      <w:r>
        <w:rPr>
          <w:rFonts w:ascii="楷体" w:hAnsi="楷体" w:eastAsia="楷体" w:cs="楷体"/>
          <w:b/>
          <w:bCs/>
          <w:spacing w:val="28"/>
          <w:sz w:val="24"/>
          <w:szCs w:val="24"/>
        </w:rPr>
        <w:t>3</w:t>
      </w:r>
      <w:r>
        <w:rPr>
          <w:rFonts w:ascii="楷体" w:hAnsi="楷体" w:eastAsia="楷体" w:cs="楷体"/>
          <w:spacing w:val="-58"/>
          <w:sz w:val="24"/>
          <w:szCs w:val="24"/>
        </w:rPr>
        <w:t xml:space="preserve"> </w:t>
      </w:r>
      <w:r>
        <w:rPr>
          <w:rFonts w:ascii="楷体" w:hAnsi="楷体" w:eastAsia="楷体" w:cs="楷体"/>
          <w:b/>
          <w:bCs/>
          <w:spacing w:val="28"/>
          <w:sz w:val="24"/>
          <w:szCs w:val="24"/>
        </w:rPr>
        <w:t>.</w:t>
      </w:r>
      <w:r>
        <w:rPr>
          <w:rFonts w:ascii="楷体" w:hAnsi="楷体" w:eastAsia="楷体" w:cs="楷体"/>
          <w:spacing w:val="-67"/>
          <w:sz w:val="24"/>
          <w:szCs w:val="24"/>
        </w:rPr>
        <w:t xml:space="preserve"> </w:t>
      </w:r>
      <w:r>
        <w:rPr>
          <w:rFonts w:ascii="楷体" w:hAnsi="楷体" w:eastAsia="楷体" w:cs="楷体"/>
          <w:b/>
          <w:bCs/>
          <w:spacing w:val="28"/>
          <w:sz w:val="24"/>
          <w:szCs w:val="24"/>
        </w:rPr>
        <w:t>2各分系统技术方案</w:t>
      </w:r>
    </w:p>
    <w:p w14:paraId="77E200E5">
      <w:pPr>
        <w:spacing w:before="90" w:line="223" w:lineRule="auto"/>
        <w:ind w:left="543"/>
        <w:rPr>
          <w:rFonts w:ascii="楷体" w:hAnsi="楷体" w:eastAsia="楷体" w:cs="楷体"/>
          <w:sz w:val="27"/>
          <w:szCs w:val="27"/>
        </w:rPr>
      </w:pPr>
      <w:r>
        <w:rPr>
          <w:rFonts w:ascii="楷体" w:hAnsi="楷体" w:eastAsia="楷体" w:cs="楷体"/>
          <w:b/>
          <w:bCs/>
          <w:spacing w:val="12"/>
          <w:sz w:val="27"/>
          <w:szCs w:val="27"/>
        </w:rPr>
        <w:t>3.3系统综合配套方案</w:t>
      </w:r>
    </w:p>
    <w:p w14:paraId="16914376">
      <w:pPr>
        <w:spacing w:before="97" w:line="224" w:lineRule="auto"/>
        <w:ind w:left="539"/>
        <w:rPr>
          <w:rFonts w:ascii="楷体" w:hAnsi="楷体" w:eastAsia="楷体" w:cs="楷体"/>
          <w:sz w:val="27"/>
          <w:szCs w:val="27"/>
        </w:rPr>
      </w:pPr>
      <w:r>
        <w:rPr>
          <w:rFonts w:ascii="Times New Roman" w:hAnsi="Times New Roman" w:eastAsia="Times New Roman" w:cs="Times New Roman"/>
          <w:b/>
          <w:bCs/>
          <w:spacing w:val="2"/>
          <w:sz w:val="27"/>
          <w:szCs w:val="27"/>
        </w:rPr>
        <w:t xml:space="preserve">4  </w:t>
      </w:r>
      <w:r>
        <w:rPr>
          <w:rFonts w:ascii="楷体" w:hAnsi="楷体" w:eastAsia="楷体" w:cs="楷体"/>
          <w:b/>
          <w:bCs/>
          <w:spacing w:val="2"/>
          <w:sz w:val="27"/>
          <w:szCs w:val="27"/>
        </w:rPr>
        <w:t>研制周期</w:t>
      </w:r>
    </w:p>
    <w:p w14:paraId="0798CB2F">
      <w:pPr>
        <w:spacing w:before="93" w:line="225" w:lineRule="auto"/>
        <w:ind w:left="539"/>
        <w:rPr>
          <w:rFonts w:ascii="楷体" w:hAnsi="楷体" w:eastAsia="楷体" w:cs="楷体"/>
          <w:sz w:val="27"/>
          <w:szCs w:val="27"/>
        </w:rPr>
      </w:pPr>
      <w:r>
        <w:rPr>
          <w:rFonts w:ascii="Times New Roman" w:hAnsi="Times New Roman" w:eastAsia="Times New Roman" w:cs="Times New Roman"/>
          <w:b/>
          <w:bCs/>
          <w:spacing w:val="-1"/>
          <w:sz w:val="27"/>
          <w:szCs w:val="27"/>
        </w:rPr>
        <w:t>5</w:t>
      </w:r>
      <w:r>
        <w:rPr>
          <w:rFonts w:ascii="Times New Roman" w:hAnsi="Times New Roman" w:eastAsia="Times New Roman" w:cs="Times New Roman"/>
          <w:b/>
          <w:bCs/>
          <w:spacing w:val="11"/>
          <w:sz w:val="27"/>
          <w:szCs w:val="27"/>
        </w:rPr>
        <w:t xml:space="preserve">  </w:t>
      </w:r>
      <w:r>
        <w:rPr>
          <w:rFonts w:ascii="楷体" w:hAnsi="楷体" w:eastAsia="楷体" w:cs="楷体"/>
          <w:b/>
          <w:bCs/>
          <w:spacing w:val="-1"/>
          <w:sz w:val="27"/>
          <w:szCs w:val="27"/>
        </w:rPr>
        <w:t>研制经费概算</w:t>
      </w:r>
    </w:p>
    <w:p w14:paraId="12FEA928">
      <w:pPr>
        <w:spacing w:before="61" w:line="225" w:lineRule="auto"/>
        <w:ind w:left="539"/>
        <w:rPr>
          <w:rFonts w:ascii="楷体" w:hAnsi="楷体" w:eastAsia="楷体" w:cs="楷体"/>
          <w:sz w:val="28"/>
          <w:szCs w:val="28"/>
        </w:rPr>
      </w:pPr>
      <w:r>
        <w:rPr>
          <w:rFonts w:ascii="Times New Roman" w:hAnsi="Times New Roman" w:eastAsia="Times New Roman" w:cs="Times New Roman"/>
          <w:b/>
          <w:bCs/>
          <w:spacing w:val="-6"/>
          <w:sz w:val="28"/>
          <w:szCs w:val="28"/>
        </w:rPr>
        <w:t xml:space="preserve">6  </w:t>
      </w:r>
      <w:r>
        <w:rPr>
          <w:rFonts w:ascii="楷体" w:hAnsi="楷体" w:eastAsia="楷体" w:cs="楷体"/>
          <w:b/>
          <w:bCs/>
          <w:spacing w:val="-6"/>
          <w:sz w:val="28"/>
          <w:szCs w:val="28"/>
        </w:rPr>
        <w:t>关键技术突破和经济可行性分析</w:t>
      </w:r>
    </w:p>
    <w:p w14:paraId="74E0DCCE">
      <w:pPr>
        <w:spacing w:before="65" w:line="223" w:lineRule="auto"/>
        <w:ind w:left="539"/>
        <w:rPr>
          <w:rFonts w:ascii="楷体" w:hAnsi="楷体" w:eastAsia="楷体" w:cs="楷体"/>
          <w:sz w:val="28"/>
          <w:szCs w:val="28"/>
        </w:rPr>
      </w:pPr>
      <w:r>
        <w:rPr>
          <w:rFonts w:ascii="Times New Roman" w:hAnsi="Times New Roman" w:eastAsia="Times New Roman" w:cs="Times New Roman"/>
          <w:b/>
          <w:bCs/>
          <w:spacing w:val="-7"/>
          <w:sz w:val="28"/>
          <w:szCs w:val="28"/>
        </w:rPr>
        <w:t xml:space="preserve">7  </w:t>
      </w:r>
      <w:r>
        <w:rPr>
          <w:rFonts w:ascii="楷体" w:hAnsi="楷体" w:eastAsia="楷体" w:cs="楷体"/>
          <w:b/>
          <w:bCs/>
          <w:spacing w:val="-7"/>
          <w:sz w:val="28"/>
          <w:szCs w:val="28"/>
        </w:rPr>
        <w:t>作战效能分析</w:t>
      </w:r>
    </w:p>
    <w:p w14:paraId="06E5A99D">
      <w:pPr>
        <w:spacing w:before="76" w:line="227" w:lineRule="auto"/>
        <w:ind w:left="539"/>
        <w:rPr>
          <w:rFonts w:ascii="楷体" w:hAnsi="楷体" w:eastAsia="楷体" w:cs="楷体"/>
          <w:sz w:val="27"/>
          <w:szCs w:val="27"/>
        </w:rPr>
      </w:pPr>
      <w:r>
        <w:rPr>
          <w:rFonts w:ascii="Times New Roman" w:hAnsi="Times New Roman" w:eastAsia="Times New Roman" w:cs="Times New Roman"/>
          <w:b/>
          <w:bCs/>
          <w:spacing w:val="-1"/>
          <w:sz w:val="27"/>
          <w:szCs w:val="27"/>
        </w:rPr>
        <w:t>8</w:t>
      </w:r>
      <w:r>
        <w:rPr>
          <w:rFonts w:ascii="Times New Roman" w:hAnsi="Times New Roman" w:eastAsia="Times New Roman" w:cs="Times New Roman"/>
          <w:b/>
          <w:bCs/>
          <w:spacing w:val="21"/>
          <w:sz w:val="27"/>
          <w:szCs w:val="27"/>
        </w:rPr>
        <w:t xml:space="preserve">  </w:t>
      </w:r>
      <w:r>
        <w:rPr>
          <w:rFonts w:ascii="楷体" w:hAnsi="楷体" w:eastAsia="楷体" w:cs="楷体"/>
          <w:b/>
          <w:bCs/>
          <w:spacing w:val="-1"/>
          <w:sz w:val="27"/>
          <w:szCs w:val="27"/>
        </w:rPr>
        <w:t>装备订购价格与数量的预测</w:t>
      </w:r>
    </w:p>
    <w:p w14:paraId="340B4862">
      <w:pPr>
        <w:spacing w:before="78" w:line="227" w:lineRule="auto"/>
        <w:ind w:left="539"/>
        <w:rPr>
          <w:rFonts w:ascii="楷体" w:hAnsi="楷体" w:eastAsia="楷体" w:cs="楷体"/>
          <w:sz w:val="27"/>
          <w:szCs w:val="27"/>
        </w:rPr>
      </w:pPr>
      <w:r>
        <w:rPr>
          <w:rFonts w:ascii="Times New Roman" w:hAnsi="Times New Roman" w:eastAsia="Times New Roman" w:cs="Times New Roman"/>
          <w:b/>
          <w:bCs/>
          <w:spacing w:val="-5"/>
          <w:sz w:val="27"/>
          <w:szCs w:val="27"/>
        </w:rPr>
        <w:t>9</w:t>
      </w:r>
      <w:r>
        <w:rPr>
          <w:rFonts w:ascii="Times New Roman" w:hAnsi="Times New Roman" w:eastAsia="Times New Roman" w:cs="Times New Roman"/>
          <w:b/>
          <w:bCs/>
          <w:spacing w:val="12"/>
          <w:sz w:val="27"/>
          <w:szCs w:val="27"/>
        </w:rPr>
        <w:t xml:space="preserve">  </w:t>
      </w:r>
      <w:r>
        <w:rPr>
          <w:rFonts w:ascii="楷体" w:hAnsi="楷体" w:eastAsia="楷体" w:cs="楷体"/>
          <w:b/>
          <w:bCs/>
          <w:spacing w:val="-5"/>
          <w:sz w:val="27"/>
          <w:szCs w:val="27"/>
        </w:rPr>
        <w:t>装备命名建议</w:t>
      </w:r>
    </w:p>
    <w:p w14:paraId="78F4532D">
      <w:pPr>
        <w:pStyle w:val="2"/>
        <w:spacing w:line="343" w:lineRule="auto"/>
      </w:pPr>
    </w:p>
    <w:p w14:paraId="0BF8012C">
      <w:pPr>
        <w:spacing w:before="115" w:line="219" w:lineRule="auto"/>
        <w:ind w:left="3570"/>
        <w:outlineLvl w:val="1"/>
        <w:rPr>
          <w:rFonts w:ascii="宋体" w:hAnsi="宋体" w:eastAsia="宋体" w:cs="宋体"/>
          <w:sz w:val="35"/>
          <w:szCs w:val="35"/>
        </w:rPr>
      </w:pPr>
      <w:bookmarkStart w:id="7" w:name="bookmark4"/>
      <w:bookmarkEnd w:id="7"/>
      <w:r>
        <w:rPr>
          <w:rFonts w:ascii="宋体" w:hAnsi="宋体" w:eastAsia="宋体" w:cs="宋体"/>
          <w:spacing w:val="-12"/>
          <w:sz w:val="35"/>
          <w:szCs w:val="35"/>
        </w:rPr>
        <w:t>1.2</w:t>
      </w:r>
      <w:r>
        <w:rPr>
          <w:rFonts w:ascii="宋体" w:hAnsi="宋体" w:eastAsia="宋体" w:cs="宋体"/>
          <w:spacing w:val="35"/>
          <w:sz w:val="35"/>
          <w:szCs w:val="35"/>
        </w:rPr>
        <w:t xml:space="preserve">  </w:t>
      </w:r>
      <w:r>
        <w:rPr>
          <w:rFonts w:ascii="宋体" w:hAnsi="宋体" w:eastAsia="宋体" w:cs="宋体"/>
          <w:b/>
          <w:bCs/>
          <w:spacing w:val="-12"/>
          <w:sz w:val="35"/>
          <w:szCs w:val="35"/>
        </w:rPr>
        <w:t>招</w:t>
      </w:r>
      <w:r>
        <w:rPr>
          <w:rFonts w:ascii="宋体" w:hAnsi="宋体" w:eastAsia="宋体" w:cs="宋体"/>
          <w:spacing w:val="-12"/>
          <w:sz w:val="35"/>
          <w:szCs w:val="35"/>
        </w:rPr>
        <w:t xml:space="preserve"> </w:t>
      </w:r>
      <w:r>
        <w:rPr>
          <w:rFonts w:ascii="宋体" w:hAnsi="宋体" w:eastAsia="宋体" w:cs="宋体"/>
          <w:b/>
          <w:bCs/>
          <w:spacing w:val="-12"/>
          <w:sz w:val="35"/>
          <w:szCs w:val="35"/>
        </w:rPr>
        <w:t>标</w:t>
      </w:r>
      <w:r>
        <w:rPr>
          <w:rFonts w:ascii="宋体" w:hAnsi="宋体" w:eastAsia="宋体" w:cs="宋体"/>
          <w:spacing w:val="5"/>
          <w:sz w:val="35"/>
          <w:szCs w:val="35"/>
        </w:rPr>
        <w:t xml:space="preserve"> </w:t>
      </w:r>
      <w:r>
        <w:rPr>
          <w:rFonts w:ascii="宋体" w:hAnsi="宋体" w:eastAsia="宋体" w:cs="宋体"/>
          <w:b/>
          <w:bCs/>
          <w:spacing w:val="-12"/>
          <w:sz w:val="35"/>
          <w:szCs w:val="35"/>
        </w:rPr>
        <w:t>书</w:t>
      </w:r>
    </w:p>
    <w:p w14:paraId="51438ADC">
      <w:pPr>
        <w:pStyle w:val="2"/>
        <w:spacing w:line="387" w:lineRule="auto"/>
      </w:pPr>
    </w:p>
    <w:p w14:paraId="0AA48A50">
      <w:pPr>
        <w:spacing w:before="79" w:line="223" w:lineRule="auto"/>
        <w:ind w:left="543"/>
        <w:rPr>
          <w:rFonts w:ascii="楷体" w:hAnsi="楷体" w:eastAsia="楷体" w:cs="楷体"/>
          <w:sz w:val="24"/>
          <w:szCs w:val="24"/>
        </w:rPr>
      </w:pPr>
      <w:r>
        <w:rPr>
          <w:rFonts w:ascii="楷体" w:hAnsi="楷体" w:eastAsia="楷体" w:cs="楷体"/>
          <w:b/>
          <w:bCs/>
          <w:spacing w:val="24"/>
          <w:sz w:val="24"/>
          <w:szCs w:val="24"/>
        </w:rPr>
        <w:t>按照《武器装备研制项目招标管理办法》第11条编写。</w:t>
      </w:r>
    </w:p>
    <w:p w14:paraId="5EC0F14C">
      <w:pPr>
        <w:spacing w:before="75" w:line="222"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6"/>
          <w:sz w:val="27"/>
          <w:szCs w:val="27"/>
        </w:rPr>
        <w:t xml:space="preserve">  </w:t>
      </w:r>
      <w:r>
        <w:rPr>
          <w:rFonts w:ascii="黑体" w:hAnsi="黑体" w:eastAsia="黑体" w:cs="黑体"/>
          <w:b/>
          <w:bCs/>
          <w:spacing w:val="-3"/>
          <w:sz w:val="27"/>
          <w:szCs w:val="27"/>
        </w:rPr>
        <w:t>研制项目名称</w:t>
      </w:r>
    </w:p>
    <w:p w14:paraId="53C136C1">
      <w:pPr>
        <w:spacing w:before="116" w:line="221" w:lineRule="auto"/>
        <w:ind w:left="539"/>
        <w:rPr>
          <w:rFonts w:ascii="仿宋" w:hAnsi="仿宋" w:eastAsia="仿宋" w:cs="仿宋"/>
          <w:sz w:val="25"/>
          <w:szCs w:val="25"/>
        </w:rPr>
      </w:pPr>
      <w:r>
        <w:rPr>
          <w:rFonts w:ascii="宋体" w:hAnsi="宋体" w:eastAsia="宋体" w:cs="宋体"/>
          <w:spacing w:val="7"/>
          <w:sz w:val="25"/>
          <w:szCs w:val="25"/>
        </w:rPr>
        <w:t>直接指明研制项目名称，如</w:t>
      </w:r>
      <w:r>
        <w:rPr>
          <w:rFonts w:ascii="仿宋" w:hAnsi="仿宋" w:eastAsia="仿宋" w:cs="仿宋"/>
          <w:spacing w:val="7"/>
          <w:sz w:val="25"/>
          <w:szCs w:val="25"/>
        </w:rPr>
        <w:t>“机载超短波电台研制”。</w:t>
      </w:r>
    </w:p>
    <w:p w14:paraId="50B08980">
      <w:pPr>
        <w:spacing w:before="90"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b/>
          <w:bCs/>
          <w:sz w:val="27"/>
          <w:szCs w:val="27"/>
        </w:rPr>
        <w:t>研制内容要求</w:t>
      </w:r>
    </w:p>
    <w:p w14:paraId="7ED11A7B">
      <w:pPr>
        <w:spacing w:before="81" w:line="219" w:lineRule="auto"/>
        <w:ind w:left="539"/>
        <w:rPr>
          <w:rFonts w:ascii="宋体" w:hAnsi="宋体" w:eastAsia="宋体" w:cs="宋体"/>
          <w:sz w:val="27"/>
          <w:szCs w:val="27"/>
        </w:rPr>
      </w:pPr>
      <w:r>
        <w:rPr>
          <w:rFonts w:ascii="宋体" w:hAnsi="宋体" w:eastAsia="宋体" w:cs="宋体"/>
          <w:spacing w:val="2"/>
          <w:sz w:val="27"/>
          <w:szCs w:val="27"/>
        </w:rPr>
        <w:t>提出研制内容要求。如：</w:t>
      </w:r>
    </w:p>
    <w:p w14:paraId="3A55E182">
      <w:pPr>
        <w:spacing w:before="123" w:line="308" w:lineRule="auto"/>
        <w:ind w:left="50" w:firstLine="489"/>
        <w:rPr>
          <w:rFonts w:ascii="仿宋" w:hAnsi="仿宋" w:eastAsia="仿宋" w:cs="仿宋"/>
          <w:sz w:val="24"/>
          <w:szCs w:val="24"/>
        </w:rPr>
      </w:pPr>
      <w:r>
        <w:rPr>
          <w:rFonts w:ascii="仿宋" w:hAnsi="仿宋" w:eastAsia="仿宋" w:cs="仿宋"/>
          <w:spacing w:val="30"/>
          <w:sz w:val="24"/>
          <w:szCs w:val="24"/>
        </w:rPr>
        <w:t>按照招标书附件</w:t>
      </w:r>
      <w:r>
        <w:rPr>
          <w:rFonts w:ascii="仿宋" w:hAnsi="仿宋" w:eastAsia="仿宋" w:cs="仿宋"/>
          <w:spacing w:val="-60"/>
          <w:sz w:val="24"/>
          <w:szCs w:val="24"/>
        </w:rPr>
        <w:t xml:space="preserve"> </w:t>
      </w:r>
      <w:r>
        <w:rPr>
          <w:rFonts w:ascii="仿宋" w:hAnsi="仿宋" w:eastAsia="仿宋" w:cs="仿宋"/>
          <w:spacing w:val="30"/>
          <w:sz w:val="24"/>
          <w:szCs w:val="24"/>
        </w:rPr>
        <w:t>—</w:t>
      </w:r>
      <w:r>
        <w:rPr>
          <w:rFonts w:ascii="仿宋" w:hAnsi="仿宋" w:eastAsia="仿宋" w:cs="仿宋"/>
          <w:spacing w:val="-76"/>
          <w:sz w:val="24"/>
          <w:szCs w:val="24"/>
        </w:rPr>
        <w:t xml:space="preserve"> </w:t>
      </w:r>
      <w:r>
        <w:rPr>
          <w:rFonts w:ascii="仿宋" w:hAnsi="仿宋" w:eastAsia="仿宋" w:cs="仿宋"/>
          <w:spacing w:val="30"/>
          <w:sz w:val="24"/>
          <w:szCs w:val="24"/>
        </w:rPr>
        <w:t>—</w:t>
      </w:r>
      <w:r>
        <w:rPr>
          <w:rFonts w:ascii="仿宋" w:hAnsi="仿宋" w:eastAsia="仿宋" w:cs="仿宋"/>
          <w:spacing w:val="-57"/>
          <w:sz w:val="24"/>
          <w:szCs w:val="24"/>
        </w:rPr>
        <w:t xml:space="preserve"> </w:t>
      </w:r>
      <w:r>
        <w:rPr>
          <w:rFonts w:ascii="仿宋" w:hAnsi="仿宋" w:eastAsia="仿宋" w:cs="仿宋"/>
          <w:spacing w:val="30"/>
          <w:sz w:val="24"/>
          <w:szCs w:val="24"/>
        </w:rPr>
        <w:t>总装备部批准的机载超短波电台主要作战使用性能要</w:t>
      </w:r>
      <w:r>
        <w:rPr>
          <w:rFonts w:ascii="仿宋" w:hAnsi="仿宋" w:eastAsia="仿宋" w:cs="仿宋"/>
          <w:sz w:val="24"/>
          <w:szCs w:val="24"/>
        </w:rPr>
        <w:t xml:space="preserve"> </w:t>
      </w:r>
      <w:r>
        <w:rPr>
          <w:rFonts w:ascii="仿宋" w:hAnsi="仿宋" w:eastAsia="仿宋" w:cs="仿宋"/>
          <w:spacing w:val="19"/>
          <w:sz w:val="24"/>
          <w:szCs w:val="24"/>
        </w:rPr>
        <w:t>求，研制机载超短波电台。</w:t>
      </w:r>
    </w:p>
    <w:p w14:paraId="51DF1586">
      <w:pPr>
        <w:spacing w:before="1" w:line="221" w:lineRule="auto"/>
        <w:rPr>
          <w:rFonts w:ascii="黑体" w:hAnsi="黑体" w:eastAsia="黑体" w:cs="黑体"/>
          <w:sz w:val="24"/>
          <w:szCs w:val="24"/>
        </w:rPr>
      </w:pPr>
      <w:r>
        <w:rPr>
          <w:rFonts w:ascii="黑体" w:hAnsi="黑体" w:eastAsia="黑体" w:cs="黑体"/>
          <w:spacing w:val="25"/>
          <w:sz w:val="24"/>
          <w:szCs w:val="24"/>
        </w:rPr>
        <w:t>3</w:t>
      </w:r>
      <w:r>
        <w:rPr>
          <w:rFonts w:ascii="黑体" w:hAnsi="黑体" w:eastAsia="黑体" w:cs="黑体"/>
          <w:spacing w:val="44"/>
          <w:sz w:val="24"/>
          <w:szCs w:val="24"/>
        </w:rPr>
        <w:t xml:space="preserve">  </w:t>
      </w:r>
      <w:r>
        <w:rPr>
          <w:rFonts w:ascii="黑体" w:hAnsi="黑体" w:eastAsia="黑体" w:cs="黑体"/>
          <w:b/>
          <w:bCs/>
          <w:spacing w:val="25"/>
          <w:sz w:val="24"/>
          <w:szCs w:val="24"/>
        </w:rPr>
        <w:t>研制进度要求</w:t>
      </w:r>
    </w:p>
    <w:p w14:paraId="1E0D173A">
      <w:pPr>
        <w:spacing w:before="118" w:line="220" w:lineRule="auto"/>
        <w:ind w:left="539"/>
        <w:rPr>
          <w:rFonts w:ascii="宋体" w:hAnsi="宋体" w:eastAsia="宋体" w:cs="宋体"/>
          <w:sz w:val="27"/>
          <w:szCs w:val="27"/>
        </w:rPr>
      </w:pPr>
      <w:r>
        <w:rPr>
          <w:rFonts w:ascii="宋体" w:hAnsi="宋体" w:eastAsia="宋体" w:cs="宋体"/>
          <w:spacing w:val="2"/>
          <w:sz w:val="27"/>
          <w:szCs w:val="27"/>
        </w:rPr>
        <w:t>提出研制进度要求。如：</w:t>
      </w:r>
    </w:p>
    <w:p w14:paraId="09823ED2">
      <w:pPr>
        <w:spacing w:before="63" w:line="221" w:lineRule="auto"/>
        <w:ind w:left="539"/>
        <w:rPr>
          <w:rFonts w:ascii="仿宋" w:hAnsi="仿宋" w:eastAsia="仿宋" w:cs="仿宋"/>
          <w:sz w:val="27"/>
          <w:szCs w:val="27"/>
        </w:rPr>
      </w:pPr>
      <w:r>
        <w:rPr>
          <w:rFonts w:ascii="仿宋" w:hAnsi="仿宋" w:eastAsia="仿宋" w:cs="仿宋"/>
          <w:spacing w:val="-3"/>
          <w:sz w:val="27"/>
          <w:szCs w:val="27"/>
        </w:rPr>
        <w:t>××××年××月底，完成机载超短波电台设计定型。</w:t>
      </w:r>
    </w:p>
    <w:p w14:paraId="67F80279">
      <w:pPr>
        <w:spacing w:before="88" w:line="222" w:lineRule="auto"/>
        <w:rPr>
          <w:rFonts w:ascii="黑体" w:hAnsi="黑体" w:eastAsia="黑体" w:cs="黑体"/>
          <w:sz w:val="27"/>
          <w:szCs w:val="27"/>
        </w:rPr>
      </w:pPr>
      <w:r>
        <w:rPr>
          <w:rFonts w:ascii="黑体" w:hAnsi="黑体" w:eastAsia="黑体" w:cs="黑体"/>
          <w:spacing w:val="-17"/>
          <w:sz w:val="27"/>
          <w:szCs w:val="27"/>
        </w:rPr>
        <w:t>4</w:t>
      </w:r>
      <w:r>
        <w:rPr>
          <w:rFonts w:ascii="黑体" w:hAnsi="黑体" w:eastAsia="黑体" w:cs="黑体"/>
          <w:spacing w:val="16"/>
          <w:sz w:val="27"/>
          <w:szCs w:val="27"/>
        </w:rPr>
        <w:t xml:space="preserve">  </w:t>
      </w:r>
      <w:r>
        <w:rPr>
          <w:rFonts w:ascii="黑体" w:hAnsi="黑体" w:eastAsia="黑体" w:cs="黑体"/>
          <w:b/>
          <w:bCs/>
          <w:spacing w:val="-17"/>
          <w:sz w:val="27"/>
          <w:szCs w:val="27"/>
        </w:rPr>
        <w:t>成果形式、数量</w:t>
      </w:r>
    </w:p>
    <w:p w14:paraId="54EE89F0">
      <w:pPr>
        <w:spacing w:before="89" w:line="219" w:lineRule="auto"/>
        <w:ind w:left="539"/>
        <w:rPr>
          <w:rFonts w:ascii="宋体" w:hAnsi="宋体" w:eastAsia="宋体" w:cs="宋体"/>
          <w:sz w:val="27"/>
          <w:szCs w:val="27"/>
        </w:rPr>
      </w:pPr>
      <w:r>
        <w:rPr>
          <w:rFonts w:ascii="宋体" w:hAnsi="宋体" w:eastAsia="宋体" w:cs="宋体"/>
          <w:spacing w:val="-7"/>
          <w:sz w:val="27"/>
          <w:szCs w:val="27"/>
        </w:rPr>
        <w:t>提出成果形式、数量要求。如：</w:t>
      </w:r>
    </w:p>
    <w:p w14:paraId="61636756">
      <w:pPr>
        <w:spacing w:line="219" w:lineRule="auto"/>
        <w:rPr>
          <w:rFonts w:ascii="宋体" w:hAnsi="宋体" w:eastAsia="宋体" w:cs="宋体"/>
          <w:sz w:val="27"/>
          <w:szCs w:val="27"/>
        </w:rPr>
        <w:sectPr>
          <w:footerReference r:id="rId25" w:type="default"/>
          <w:pgSz w:w="11910" w:h="17130"/>
          <w:pgMar w:top="400" w:right="1191" w:bottom="1629" w:left="1370" w:header="0" w:footer="1370" w:gutter="0"/>
          <w:cols w:space="720" w:num="1"/>
        </w:sectPr>
      </w:pPr>
    </w:p>
    <w:p w14:paraId="28669084">
      <w:pPr>
        <w:pStyle w:val="2"/>
        <w:spacing w:line="262" w:lineRule="auto"/>
      </w:pPr>
    </w:p>
    <w:p w14:paraId="7CF765DC">
      <w:pPr>
        <w:pStyle w:val="2"/>
        <w:spacing w:line="262" w:lineRule="auto"/>
      </w:pPr>
    </w:p>
    <w:p w14:paraId="6CEA9842">
      <w:pPr>
        <w:pStyle w:val="2"/>
        <w:spacing w:line="263" w:lineRule="auto"/>
      </w:pPr>
    </w:p>
    <w:p w14:paraId="1948D773">
      <w:pPr>
        <w:pStyle w:val="2"/>
        <w:spacing w:line="263" w:lineRule="auto"/>
      </w:pPr>
    </w:p>
    <w:p w14:paraId="6D8786DB">
      <w:pPr>
        <w:spacing w:before="88" w:line="294" w:lineRule="auto"/>
        <w:ind w:right="92" w:firstLine="560"/>
        <w:rPr>
          <w:rFonts w:ascii="仿宋" w:hAnsi="仿宋" w:eastAsia="仿宋" w:cs="仿宋"/>
          <w:sz w:val="27"/>
          <w:szCs w:val="27"/>
        </w:rPr>
      </w:pPr>
      <w:r>
        <w:rPr>
          <w:rFonts w:ascii="仿宋" w:hAnsi="仿宋" w:eastAsia="仿宋" w:cs="仿宋"/>
          <w:spacing w:val="5"/>
          <w:sz w:val="27"/>
          <w:szCs w:val="27"/>
        </w:rPr>
        <w:t>研制并交付×部机载超短波电台和×部二线检测设备，提供相应的全套设</w:t>
      </w:r>
      <w:r>
        <w:rPr>
          <w:rFonts w:ascii="仿宋" w:hAnsi="仿宋" w:eastAsia="仿宋" w:cs="仿宋"/>
          <w:spacing w:val="17"/>
          <w:sz w:val="27"/>
          <w:szCs w:val="27"/>
        </w:rPr>
        <w:t xml:space="preserve"> </w:t>
      </w:r>
      <w:r>
        <w:rPr>
          <w:rFonts w:ascii="仿宋" w:hAnsi="仿宋" w:eastAsia="仿宋" w:cs="仿宋"/>
          <w:spacing w:val="-3"/>
          <w:sz w:val="27"/>
          <w:szCs w:val="27"/>
        </w:rPr>
        <w:t>计定型资料。</w:t>
      </w:r>
    </w:p>
    <w:p w14:paraId="17C59760">
      <w:pPr>
        <w:pStyle w:val="2"/>
        <w:spacing w:before="1" w:line="220" w:lineRule="auto"/>
        <w:rPr>
          <w:rFonts w:ascii="黑体" w:hAnsi="黑体" w:eastAsia="黑体" w:cs="黑体"/>
          <w:sz w:val="27"/>
          <w:szCs w:val="27"/>
        </w:rPr>
      </w:pPr>
      <w:r>
        <w:rPr>
          <w:b/>
          <w:bCs/>
          <w:spacing w:val="-1"/>
          <w:sz w:val="27"/>
          <w:szCs w:val="27"/>
        </w:rPr>
        <w:t>5</w:t>
      </w:r>
      <w:r>
        <w:rPr>
          <w:b/>
          <w:bCs/>
          <w:spacing w:val="21"/>
          <w:sz w:val="27"/>
          <w:szCs w:val="27"/>
        </w:rPr>
        <w:t xml:space="preserve">   </w:t>
      </w:r>
      <w:r>
        <w:rPr>
          <w:rFonts w:ascii="黑体" w:hAnsi="黑体" w:eastAsia="黑体" w:cs="黑体"/>
          <w:b/>
          <w:bCs/>
          <w:spacing w:val="-1"/>
          <w:sz w:val="27"/>
          <w:szCs w:val="27"/>
        </w:rPr>
        <w:t>技术方案要求</w:t>
      </w:r>
    </w:p>
    <w:p w14:paraId="7B313EA1">
      <w:pPr>
        <w:spacing w:before="83" w:line="219" w:lineRule="auto"/>
        <w:ind w:left="560"/>
        <w:rPr>
          <w:rFonts w:ascii="宋体" w:hAnsi="宋体" w:eastAsia="宋体" w:cs="宋体"/>
          <w:sz w:val="27"/>
          <w:szCs w:val="27"/>
        </w:rPr>
      </w:pPr>
      <w:r>
        <w:rPr>
          <w:rFonts w:ascii="宋体" w:hAnsi="宋体" w:eastAsia="宋体" w:cs="宋体"/>
          <w:spacing w:val="2"/>
          <w:sz w:val="27"/>
          <w:szCs w:val="27"/>
        </w:rPr>
        <w:t>提出技术方案要求。通常包括：</w:t>
      </w:r>
    </w:p>
    <w:p w14:paraId="76C35364">
      <w:pPr>
        <w:spacing w:before="69" w:line="212" w:lineRule="auto"/>
        <w:ind w:left="560"/>
        <w:rPr>
          <w:rFonts w:ascii="宋体" w:hAnsi="宋体" w:eastAsia="宋体" w:cs="宋体"/>
          <w:sz w:val="27"/>
          <w:szCs w:val="27"/>
        </w:rPr>
      </w:pPr>
      <w:r>
        <w:rPr>
          <w:rFonts w:ascii="Times New Roman" w:hAnsi="Times New Roman" w:eastAsia="Times New Roman" w:cs="Times New Roman"/>
          <w:sz w:val="27"/>
          <w:szCs w:val="27"/>
        </w:rPr>
        <w:t>a)</w:t>
      </w:r>
      <w:r>
        <w:rPr>
          <w:rFonts w:ascii="Times New Roman" w:hAnsi="Times New Roman" w:eastAsia="Times New Roman" w:cs="Times New Roman"/>
          <w:spacing w:val="66"/>
          <w:w w:val="101"/>
          <w:sz w:val="27"/>
          <w:szCs w:val="27"/>
        </w:rPr>
        <w:t xml:space="preserve"> </w:t>
      </w:r>
      <w:r>
        <w:rPr>
          <w:rFonts w:ascii="宋体" w:hAnsi="宋体" w:eastAsia="宋体" w:cs="宋体"/>
          <w:sz w:val="27"/>
          <w:szCs w:val="27"/>
        </w:rPr>
        <w:t>使命任务；</w:t>
      </w:r>
    </w:p>
    <w:p w14:paraId="243A7E49">
      <w:pPr>
        <w:spacing w:before="99"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基本要求；</w:t>
      </w:r>
    </w:p>
    <w:p w14:paraId="1DF200CE">
      <w:pPr>
        <w:spacing w:before="90"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66"/>
          <w:w w:val="101"/>
          <w:sz w:val="27"/>
          <w:szCs w:val="27"/>
        </w:rPr>
        <w:t xml:space="preserve"> </w:t>
      </w:r>
      <w:r>
        <w:rPr>
          <w:rFonts w:ascii="宋体" w:hAnsi="宋体" w:eastAsia="宋体" w:cs="宋体"/>
          <w:spacing w:val="1"/>
          <w:sz w:val="27"/>
          <w:szCs w:val="27"/>
        </w:rPr>
        <w:t>组成及功能要求；</w:t>
      </w:r>
    </w:p>
    <w:p w14:paraId="7B84BD6D">
      <w:pPr>
        <w:spacing w:before="90"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主要战术技术指标及要求；</w:t>
      </w:r>
    </w:p>
    <w:p w14:paraId="6EAF6FEF">
      <w:pPr>
        <w:spacing w:before="121" w:line="220" w:lineRule="auto"/>
        <w:ind w:left="560"/>
        <w:rPr>
          <w:rFonts w:ascii="宋体" w:hAnsi="宋体" w:eastAsia="宋体" w:cs="宋体"/>
          <w:sz w:val="27"/>
          <w:szCs w:val="27"/>
        </w:rPr>
      </w:pPr>
      <w:r>
        <w:rPr>
          <w:rFonts w:ascii="Times New Roman" w:hAnsi="Times New Roman" w:eastAsia="Times New Roman" w:cs="Times New Roman"/>
          <w:spacing w:val="-7"/>
          <w:sz w:val="27"/>
          <w:szCs w:val="27"/>
        </w:rPr>
        <w:t>e</w:t>
      </w:r>
      <w:r>
        <w:rPr>
          <w:rFonts w:ascii="宋体" w:hAnsi="宋体" w:eastAsia="宋体" w:cs="宋体"/>
          <w:spacing w:val="-7"/>
          <w:sz w:val="27"/>
          <w:szCs w:val="27"/>
        </w:rPr>
        <w:t>)</w:t>
      </w:r>
      <w:r>
        <w:rPr>
          <w:rFonts w:ascii="宋体" w:hAnsi="宋体" w:eastAsia="宋体" w:cs="宋体"/>
          <w:spacing w:val="-40"/>
          <w:sz w:val="27"/>
          <w:szCs w:val="27"/>
        </w:rPr>
        <w:t xml:space="preserve"> </w:t>
      </w:r>
      <w:r>
        <w:rPr>
          <w:rFonts w:ascii="宋体" w:hAnsi="宋体" w:eastAsia="宋体" w:cs="宋体"/>
          <w:spacing w:val="-7"/>
          <w:sz w:val="27"/>
          <w:szCs w:val="27"/>
        </w:rPr>
        <w:t>子系统组成、指标及要求；</w:t>
      </w:r>
    </w:p>
    <w:p w14:paraId="526C09D3">
      <w:pPr>
        <w:spacing w:before="99" w:line="212" w:lineRule="auto"/>
        <w:ind w:left="560"/>
        <w:rPr>
          <w:rFonts w:ascii="宋体" w:hAnsi="宋体" w:eastAsia="宋体" w:cs="宋体"/>
          <w:sz w:val="24"/>
          <w:szCs w:val="24"/>
        </w:rPr>
      </w:pPr>
      <w:r>
        <w:rPr>
          <w:rFonts w:ascii="Times New Roman" w:hAnsi="Times New Roman" w:eastAsia="Times New Roman" w:cs="Times New Roman"/>
          <w:spacing w:val="26"/>
          <w:sz w:val="24"/>
          <w:szCs w:val="24"/>
        </w:rPr>
        <w:t xml:space="preserve">f)  </w:t>
      </w:r>
      <w:r>
        <w:rPr>
          <w:rFonts w:ascii="宋体" w:hAnsi="宋体" w:eastAsia="宋体" w:cs="宋体"/>
          <w:spacing w:val="26"/>
          <w:sz w:val="24"/>
          <w:szCs w:val="24"/>
        </w:rPr>
        <w:t>产品保修及售后服务要求；</w:t>
      </w:r>
    </w:p>
    <w:p w14:paraId="01A24217">
      <w:pPr>
        <w:spacing w:before="112" w:line="212" w:lineRule="auto"/>
        <w:ind w:left="560"/>
        <w:rPr>
          <w:rFonts w:ascii="宋体" w:hAnsi="宋体" w:eastAsia="宋体" w:cs="宋体"/>
          <w:sz w:val="27"/>
          <w:szCs w:val="27"/>
        </w:rPr>
      </w:pPr>
      <w:r>
        <w:rPr>
          <w:rFonts w:ascii="Times New Roman" w:hAnsi="Times New Roman" w:eastAsia="Times New Roman" w:cs="Times New Roman"/>
          <w:spacing w:val="13"/>
          <w:sz w:val="27"/>
          <w:szCs w:val="27"/>
        </w:rPr>
        <w:t>g</w:t>
      </w:r>
      <w:r>
        <w:rPr>
          <w:rFonts w:ascii="宋体" w:hAnsi="宋体" w:eastAsia="宋体" w:cs="宋体"/>
          <w:spacing w:val="13"/>
          <w:sz w:val="27"/>
          <w:szCs w:val="27"/>
        </w:rPr>
        <w:t>)人员培训要求等。</w:t>
      </w:r>
    </w:p>
    <w:p w14:paraId="49B2B701">
      <w:pPr>
        <w:spacing w:before="105" w:line="222"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投标报价的构成细目及制定原则</w:t>
      </w:r>
    </w:p>
    <w:p w14:paraId="672D065A">
      <w:pPr>
        <w:spacing w:before="67" w:line="222" w:lineRule="auto"/>
        <w:rPr>
          <w:rFonts w:ascii="黑体" w:hAnsi="黑体" w:eastAsia="黑体" w:cs="黑体"/>
          <w:sz w:val="27"/>
          <w:szCs w:val="27"/>
        </w:rPr>
      </w:pPr>
      <w:r>
        <w:rPr>
          <w:rFonts w:ascii="黑体" w:hAnsi="黑体" w:eastAsia="黑体" w:cs="黑体"/>
          <w:sz w:val="27"/>
          <w:szCs w:val="27"/>
        </w:rPr>
        <w:t>6.1</w:t>
      </w:r>
      <w:r>
        <w:rPr>
          <w:rFonts w:ascii="黑体" w:hAnsi="黑体" w:eastAsia="黑体" w:cs="黑体"/>
          <w:spacing w:val="26"/>
          <w:sz w:val="27"/>
          <w:szCs w:val="27"/>
        </w:rPr>
        <w:t xml:space="preserve">  </w:t>
      </w:r>
      <w:r>
        <w:rPr>
          <w:rFonts w:ascii="黑体" w:hAnsi="黑体" w:eastAsia="黑体" w:cs="黑体"/>
          <w:b/>
          <w:bCs/>
          <w:sz w:val="27"/>
          <w:szCs w:val="27"/>
        </w:rPr>
        <w:t>构成细目</w:t>
      </w:r>
    </w:p>
    <w:p w14:paraId="2998B6D4">
      <w:pPr>
        <w:spacing w:before="78" w:line="297" w:lineRule="auto"/>
        <w:ind w:right="97" w:firstLine="560"/>
        <w:rPr>
          <w:rFonts w:ascii="宋体" w:hAnsi="宋体" w:eastAsia="宋体" w:cs="宋体"/>
          <w:sz w:val="27"/>
          <w:szCs w:val="27"/>
        </w:rPr>
      </w:pPr>
      <w:r>
        <w:rPr>
          <w:rFonts w:ascii="宋体" w:hAnsi="宋体" w:eastAsia="宋体" w:cs="宋体"/>
          <w:spacing w:val="-18"/>
          <w:sz w:val="27"/>
          <w:szCs w:val="27"/>
        </w:rPr>
        <w:t>投标报价包括设计费、材料费、设备费、外协费、试验费、固</w:t>
      </w:r>
      <w:r>
        <w:rPr>
          <w:rFonts w:ascii="宋体" w:hAnsi="宋体" w:eastAsia="宋体" w:cs="宋体"/>
          <w:spacing w:val="-19"/>
          <w:sz w:val="27"/>
          <w:szCs w:val="27"/>
        </w:rPr>
        <w:t>定资产使用费、管</w:t>
      </w:r>
      <w:r>
        <w:rPr>
          <w:rFonts w:ascii="宋体" w:hAnsi="宋体" w:eastAsia="宋体" w:cs="宋体"/>
          <w:sz w:val="27"/>
          <w:szCs w:val="27"/>
        </w:rPr>
        <w:t xml:space="preserve"> </w:t>
      </w:r>
      <w:r>
        <w:rPr>
          <w:rFonts w:ascii="宋体" w:hAnsi="宋体" w:eastAsia="宋体" w:cs="宋体"/>
          <w:spacing w:val="3"/>
          <w:sz w:val="27"/>
          <w:szCs w:val="27"/>
        </w:rPr>
        <w:t>理费和不可预见费等细目。</w:t>
      </w:r>
    </w:p>
    <w:p w14:paraId="255BB5A6">
      <w:pPr>
        <w:spacing w:before="6" w:line="222" w:lineRule="auto"/>
        <w:rPr>
          <w:rFonts w:ascii="黑体" w:hAnsi="黑体" w:eastAsia="黑体" w:cs="黑体"/>
          <w:sz w:val="24"/>
          <w:szCs w:val="24"/>
        </w:rPr>
      </w:pPr>
      <w:r>
        <w:rPr>
          <w:rFonts w:ascii="黑体" w:hAnsi="黑体" w:eastAsia="黑体" w:cs="黑体"/>
          <w:spacing w:val="15"/>
          <w:sz w:val="24"/>
          <w:szCs w:val="24"/>
        </w:rPr>
        <w:t>6.2</w:t>
      </w:r>
      <w:r>
        <w:rPr>
          <w:rFonts w:ascii="黑体" w:hAnsi="黑体" w:eastAsia="黑体" w:cs="黑体"/>
          <w:spacing w:val="8"/>
          <w:sz w:val="24"/>
          <w:szCs w:val="24"/>
        </w:rPr>
        <w:t xml:space="preserve">   </w:t>
      </w:r>
      <w:r>
        <w:rPr>
          <w:rFonts w:ascii="黑体" w:hAnsi="黑体" w:eastAsia="黑体" w:cs="黑体"/>
          <w:b/>
          <w:bCs/>
          <w:spacing w:val="15"/>
          <w:sz w:val="24"/>
          <w:szCs w:val="24"/>
        </w:rPr>
        <w:t>制定原则</w:t>
      </w:r>
    </w:p>
    <w:p w14:paraId="779C1EFF">
      <w:pPr>
        <w:spacing w:before="95" w:line="282" w:lineRule="auto"/>
        <w:ind w:right="102" w:firstLine="560"/>
        <w:rPr>
          <w:rFonts w:ascii="宋体" w:hAnsi="宋体" w:eastAsia="宋体" w:cs="宋体"/>
          <w:sz w:val="27"/>
          <w:szCs w:val="27"/>
        </w:rPr>
      </w:pPr>
      <w:r>
        <w:rPr>
          <w:rFonts w:ascii="宋体" w:hAnsi="宋体" w:eastAsia="宋体" w:cs="宋体"/>
          <w:spacing w:val="-11"/>
          <w:sz w:val="27"/>
          <w:szCs w:val="27"/>
        </w:rPr>
        <w:t>报价的构成细目应全面、详细、合理，并作相应的具体分析和说明，且分析科</w:t>
      </w:r>
      <w:r>
        <w:rPr>
          <w:rFonts w:ascii="宋体" w:hAnsi="宋体" w:eastAsia="宋体" w:cs="宋体"/>
          <w:spacing w:val="2"/>
          <w:sz w:val="27"/>
          <w:szCs w:val="27"/>
        </w:rPr>
        <w:t xml:space="preserve"> </w:t>
      </w:r>
      <w:r>
        <w:rPr>
          <w:rFonts w:ascii="宋体" w:hAnsi="宋体" w:eastAsia="宋体" w:cs="宋体"/>
          <w:spacing w:val="-5"/>
          <w:sz w:val="27"/>
          <w:szCs w:val="27"/>
        </w:rPr>
        <w:t>学，论述清晰。报价应包含所有费用，不得还有费用未计算在内。</w:t>
      </w:r>
    </w:p>
    <w:p w14:paraId="1194FEC7">
      <w:pPr>
        <w:spacing w:before="4" w:line="222" w:lineRule="auto"/>
        <w:rPr>
          <w:rFonts w:ascii="黑体" w:hAnsi="黑体" w:eastAsia="黑体" w:cs="黑体"/>
          <w:sz w:val="25"/>
          <w:szCs w:val="25"/>
        </w:rPr>
      </w:pPr>
      <w:r>
        <w:rPr>
          <w:rFonts w:ascii="黑体" w:hAnsi="黑体" w:eastAsia="黑体" w:cs="黑体"/>
          <w:spacing w:val="15"/>
          <w:sz w:val="25"/>
          <w:szCs w:val="25"/>
        </w:rPr>
        <w:t>7</w:t>
      </w:r>
      <w:r>
        <w:rPr>
          <w:rFonts w:ascii="黑体" w:hAnsi="黑体" w:eastAsia="黑体" w:cs="黑体"/>
          <w:spacing w:val="29"/>
          <w:sz w:val="25"/>
          <w:szCs w:val="25"/>
        </w:rPr>
        <w:t xml:space="preserve">  </w:t>
      </w:r>
      <w:r>
        <w:rPr>
          <w:rFonts w:ascii="黑体" w:hAnsi="黑体" w:eastAsia="黑体" w:cs="黑体"/>
          <w:b/>
          <w:bCs/>
          <w:spacing w:val="15"/>
          <w:sz w:val="25"/>
          <w:szCs w:val="25"/>
        </w:rPr>
        <w:t>递标要求</w:t>
      </w:r>
    </w:p>
    <w:p w14:paraId="5BE85680">
      <w:pPr>
        <w:spacing w:before="94" w:line="220" w:lineRule="auto"/>
        <w:ind w:left="560"/>
        <w:rPr>
          <w:rFonts w:ascii="宋体" w:hAnsi="宋体" w:eastAsia="宋体" w:cs="宋体"/>
          <w:sz w:val="27"/>
          <w:szCs w:val="27"/>
        </w:rPr>
      </w:pPr>
      <w:r>
        <w:rPr>
          <w:rFonts w:ascii="宋体" w:hAnsi="宋体" w:eastAsia="宋体" w:cs="宋体"/>
          <w:sz w:val="27"/>
          <w:szCs w:val="27"/>
        </w:rPr>
        <w:t>提出递标要求。如：</w:t>
      </w:r>
    </w:p>
    <w:p w14:paraId="40D0CD79">
      <w:pPr>
        <w:spacing w:before="57" w:line="212" w:lineRule="auto"/>
        <w:ind w:left="560"/>
        <w:rPr>
          <w:rFonts w:ascii="仿宋" w:hAnsi="仿宋" w:eastAsia="仿宋" w:cs="仿宋"/>
          <w:sz w:val="27"/>
          <w:szCs w:val="27"/>
        </w:rPr>
      </w:pPr>
      <w:r>
        <w:rPr>
          <w:rFonts w:ascii="Times New Roman" w:hAnsi="Times New Roman" w:eastAsia="Times New Roman" w:cs="Times New Roman"/>
          <w:sz w:val="27"/>
          <w:szCs w:val="27"/>
        </w:rPr>
        <w:t xml:space="preserve">a)  </w:t>
      </w:r>
      <w:r>
        <w:rPr>
          <w:rFonts w:ascii="仿宋" w:hAnsi="仿宋" w:eastAsia="仿宋" w:cs="仿宋"/>
          <w:sz w:val="27"/>
          <w:szCs w:val="27"/>
        </w:rPr>
        <w:t>本项目采用邀请投标方式，由招标人向</w:t>
      </w:r>
      <w:r>
        <w:rPr>
          <w:rFonts w:ascii="仿宋" w:hAnsi="仿宋" w:eastAsia="仿宋" w:cs="仿宋"/>
          <w:spacing w:val="-1"/>
          <w:sz w:val="27"/>
          <w:szCs w:val="27"/>
        </w:rPr>
        <w:t>邀请单位发送招标书。</w:t>
      </w:r>
    </w:p>
    <w:p w14:paraId="2EEF106B">
      <w:pPr>
        <w:spacing w:before="123" w:line="277" w:lineRule="auto"/>
        <w:ind w:right="106" w:firstLine="560"/>
        <w:rPr>
          <w:rFonts w:ascii="仿宋" w:hAnsi="仿宋" w:eastAsia="仿宋" w:cs="仿宋"/>
          <w:sz w:val="25"/>
          <w:szCs w:val="25"/>
        </w:rPr>
      </w:pPr>
      <w:r>
        <w:rPr>
          <w:rFonts w:ascii="Times New Roman" w:hAnsi="Times New Roman" w:eastAsia="Times New Roman" w:cs="Times New Roman"/>
          <w:spacing w:val="14"/>
          <w:sz w:val="25"/>
          <w:szCs w:val="25"/>
        </w:rPr>
        <w:t>b)</w:t>
      </w:r>
      <w:r>
        <w:rPr>
          <w:rFonts w:ascii="Times New Roman" w:hAnsi="Times New Roman" w:eastAsia="Times New Roman" w:cs="Times New Roman"/>
          <w:spacing w:val="23"/>
          <w:sz w:val="25"/>
          <w:szCs w:val="25"/>
        </w:rPr>
        <w:t xml:space="preserve">  </w:t>
      </w:r>
      <w:r>
        <w:rPr>
          <w:rFonts w:ascii="仿宋" w:hAnsi="仿宋" w:eastAsia="仿宋" w:cs="仿宋"/>
          <w:spacing w:val="14"/>
          <w:sz w:val="25"/>
          <w:szCs w:val="25"/>
        </w:rPr>
        <w:t>受邀单位收到招标书后，若决定不参加应标，</w:t>
      </w:r>
      <w:r>
        <w:rPr>
          <w:rFonts w:ascii="仿宋" w:hAnsi="仿宋" w:eastAsia="仿宋" w:cs="仿宋"/>
          <w:spacing w:val="96"/>
          <w:sz w:val="25"/>
          <w:szCs w:val="25"/>
        </w:rPr>
        <w:t xml:space="preserve"> </w:t>
      </w:r>
      <w:r>
        <w:rPr>
          <w:rFonts w:ascii="仿宋" w:hAnsi="仿宋" w:eastAsia="仿宋" w:cs="仿宋"/>
          <w:spacing w:val="14"/>
          <w:sz w:val="25"/>
          <w:szCs w:val="25"/>
        </w:rPr>
        <w:t>一周内</w:t>
      </w:r>
      <w:r>
        <w:rPr>
          <w:rFonts w:ascii="仿宋" w:hAnsi="仿宋" w:eastAsia="仿宋" w:cs="仿宋"/>
          <w:spacing w:val="13"/>
          <w:sz w:val="25"/>
          <w:szCs w:val="25"/>
        </w:rPr>
        <w:t>应完整无损地退回</w:t>
      </w:r>
      <w:r>
        <w:rPr>
          <w:rFonts w:ascii="仿宋" w:hAnsi="仿宋" w:eastAsia="仿宋" w:cs="仿宋"/>
          <w:sz w:val="25"/>
          <w:szCs w:val="25"/>
        </w:rPr>
        <w:t xml:space="preserve"> </w:t>
      </w:r>
      <w:r>
        <w:rPr>
          <w:rFonts w:ascii="仿宋" w:hAnsi="仿宋" w:eastAsia="仿宋" w:cs="仿宋"/>
          <w:spacing w:val="9"/>
          <w:sz w:val="25"/>
          <w:szCs w:val="25"/>
        </w:rPr>
        <w:t>招标书，并不得泄露其内容。</w:t>
      </w:r>
    </w:p>
    <w:p w14:paraId="2AF82D82">
      <w:pPr>
        <w:spacing w:before="57" w:line="212" w:lineRule="auto"/>
        <w:ind w:left="560"/>
        <w:rPr>
          <w:rFonts w:ascii="仿宋" w:hAnsi="仿宋" w:eastAsia="仿宋" w:cs="仿宋"/>
          <w:sz w:val="27"/>
          <w:szCs w:val="27"/>
        </w:rPr>
      </w:pPr>
      <w:r>
        <w:rPr>
          <w:rFonts w:ascii="Times New Roman" w:hAnsi="Times New Roman" w:eastAsia="Times New Roman" w:cs="Times New Roman"/>
          <w:spacing w:val="4"/>
          <w:sz w:val="27"/>
          <w:szCs w:val="27"/>
        </w:rPr>
        <w:t xml:space="preserve">c)  </w:t>
      </w:r>
      <w:r>
        <w:rPr>
          <w:rFonts w:ascii="仿宋" w:hAnsi="仿宋" w:eastAsia="仿宋" w:cs="仿宋"/>
          <w:spacing w:val="4"/>
          <w:sz w:val="27"/>
          <w:szCs w:val="27"/>
        </w:rPr>
        <w:t>投标人必须在收到招标书后30天内，做好投标</w:t>
      </w:r>
      <w:r>
        <w:rPr>
          <w:rFonts w:ascii="仿宋" w:hAnsi="仿宋" w:eastAsia="仿宋" w:cs="仿宋"/>
          <w:spacing w:val="3"/>
          <w:sz w:val="27"/>
          <w:szCs w:val="27"/>
        </w:rPr>
        <w:t>准备。</w:t>
      </w:r>
    </w:p>
    <w:p w14:paraId="747BEB94">
      <w:pPr>
        <w:spacing w:before="125" w:line="288" w:lineRule="auto"/>
        <w:ind w:right="97" w:firstLine="560"/>
        <w:rPr>
          <w:rFonts w:ascii="仿宋" w:hAnsi="仿宋" w:eastAsia="仿宋" w:cs="仿宋"/>
          <w:sz w:val="25"/>
          <w:szCs w:val="25"/>
        </w:rPr>
      </w:pPr>
      <w:r>
        <w:rPr>
          <w:rFonts w:ascii="Times New Roman" w:hAnsi="Times New Roman" w:eastAsia="Times New Roman" w:cs="Times New Roman"/>
          <w:spacing w:val="14"/>
          <w:sz w:val="25"/>
          <w:szCs w:val="25"/>
        </w:rPr>
        <w:t>d)</w:t>
      </w:r>
      <w:r>
        <w:rPr>
          <w:rFonts w:ascii="Times New Roman" w:hAnsi="Times New Roman" w:eastAsia="Times New Roman" w:cs="Times New Roman"/>
          <w:spacing w:val="23"/>
          <w:w w:val="101"/>
          <w:sz w:val="25"/>
          <w:szCs w:val="25"/>
        </w:rPr>
        <w:t xml:space="preserve">  </w:t>
      </w:r>
      <w:r>
        <w:rPr>
          <w:rFonts w:ascii="仿宋" w:hAnsi="仿宋" w:eastAsia="仿宋" w:cs="仿宋"/>
          <w:spacing w:val="14"/>
          <w:sz w:val="25"/>
          <w:szCs w:val="25"/>
        </w:rPr>
        <w:t>投标人应将投标书及与投标有关的汇报材料整理成册，</w:t>
      </w:r>
      <w:r>
        <w:rPr>
          <w:rFonts w:ascii="仿宋" w:hAnsi="仿宋" w:eastAsia="仿宋" w:cs="仿宋"/>
          <w:spacing w:val="96"/>
          <w:sz w:val="25"/>
          <w:szCs w:val="25"/>
        </w:rPr>
        <w:t xml:space="preserve"> </w:t>
      </w:r>
      <w:r>
        <w:rPr>
          <w:rFonts w:ascii="仿宋" w:hAnsi="仿宋" w:eastAsia="仿宋" w:cs="仿宋"/>
          <w:spacing w:val="14"/>
          <w:sz w:val="25"/>
          <w:szCs w:val="25"/>
        </w:rPr>
        <w:t>一式××份，全</w:t>
      </w:r>
      <w:r>
        <w:rPr>
          <w:rFonts w:ascii="仿宋" w:hAnsi="仿宋" w:eastAsia="仿宋" w:cs="仿宋"/>
          <w:sz w:val="25"/>
          <w:szCs w:val="25"/>
        </w:rPr>
        <w:t xml:space="preserve"> </w:t>
      </w:r>
      <w:r>
        <w:rPr>
          <w:rFonts w:ascii="仿宋" w:hAnsi="仿宋" w:eastAsia="仿宋" w:cs="仿宋"/>
          <w:spacing w:val="27"/>
          <w:sz w:val="25"/>
          <w:szCs w:val="25"/>
        </w:rPr>
        <w:t>部密封包装，并在招标评标会召开前一天晚上24:00之前，以密封形式送</w:t>
      </w:r>
      <w:r>
        <w:rPr>
          <w:rFonts w:ascii="仿宋" w:hAnsi="仿宋" w:eastAsia="仿宋" w:cs="仿宋"/>
          <w:spacing w:val="26"/>
          <w:sz w:val="25"/>
          <w:szCs w:val="25"/>
        </w:rPr>
        <w:t>达评</w:t>
      </w:r>
      <w:r>
        <w:rPr>
          <w:rFonts w:ascii="仿宋" w:hAnsi="仿宋" w:eastAsia="仿宋" w:cs="仿宋"/>
          <w:sz w:val="25"/>
          <w:szCs w:val="25"/>
        </w:rPr>
        <w:t xml:space="preserve"> </w:t>
      </w:r>
      <w:r>
        <w:rPr>
          <w:rFonts w:ascii="仿宋" w:hAnsi="仿宋" w:eastAsia="仿宋" w:cs="仿宋"/>
          <w:spacing w:val="17"/>
          <w:sz w:val="25"/>
          <w:szCs w:val="25"/>
        </w:rPr>
        <w:t>标组，供评标使用。逾期未送达者，视同放弃投标资格。交接时双方要严格履行</w:t>
      </w:r>
      <w:r>
        <w:rPr>
          <w:rFonts w:ascii="仿宋" w:hAnsi="仿宋" w:eastAsia="仿宋" w:cs="仿宋"/>
          <w:spacing w:val="1"/>
          <w:sz w:val="25"/>
          <w:szCs w:val="25"/>
        </w:rPr>
        <w:t xml:space="preserve"> </w:t>
      </w:r>
      <w:r>
        <w:rPr>
          <w:rFonts w:ascii="仿宋" w:hAnsi="仿宋" w:eastAsia="仿宋" w:cs="仿宋"/>
          <w:spacing w:val="17"/>
          <w:sz w:val="25"/>
          <w:szCs w:val="25"/>
        </w:rPr>
        <w:t>交接手续，开标时需经投标人代表检查无误并签字后，评标组代表方可开启。另</w:t>
      </w:r>
      <w:r>
        <w:rPr>
          <w:rFonts w:ascii="仿宋" w:hAnsi="仿宋" w:eastAsia="仿宋" w:cs="仿宋"/>
          <w:spacing w:val="4"/>
          <w:sz w:val="25"/>
          <w:szCs w:val="25"/>
        </w:rPr>
        <w:t xml:space="preserve"> </w:t>
      </w:r>
      <w:r>
        <w:rPr>
          <w:rFonts w:ascii="仿宋" w:hAnsi="仿宋" w:eastAsia="仿宋" w:cs="仿宋"/>
          <w:spacing w:val="13"/>
          <w:sz w:val="25"/>
          <w:szCs w:val="25"/>
        </w:rPr>
        <w:t>外，投标人还可准备以多媒体、录像片等形式向评标组汇报情况。</w:t>
      </w:r>
    </w:p>
    <w:p w14:paraId="2F274258">
      <w:pPr>
        <w:spacing w:before="114" w:line="275" w:lineRule="auto"/>
        <w:ind w:firstLine="560"/>
        <w:rPr>
          <w:rFonts w:ascii="仿宋" w:hAnsi="仿宋" w:eastAsia="仿宋" w:cs="仿宋"/>
          <w:sz w:val="25"/>
          <w:szCs w:val="25"/>
        </w:rPr>
      </w:pPr>
      <w:r>
        <w:rPr>
          <w:rFonts w:ascii="Times New Roman" w:hAnsi="Times New Roman" w:eastAsia="Times New Roman" w:cs="Times New Roman"/>
          <w:spacing w:val="16"/>
          <w:sz w:val="25"/>
          <w:szCs w:val="25"/>
        </w:rPr>
        <w:t>e)</w:t>
      </w:r>
      <w:r>
        <w:rPr>
          <w:rFonts w:ascii="Times New Roman" w:hAnsi="Times New Roman" w:eastAsia="Times New Roman" w:cs="Times New Roman"/>
          <w:spacing w:val="25"/>
          <w:sz w:val="25"/>
          <w:szCs w:val="25"/>
        </w:rPr>
        <w:t xml:space="preserve">  </w:t>
      </w:r>
      <w:r>
        <w:rPr>
          <w:rFonts w:ascii="仿宋" w:hAnsi="仿宋" w:eastAsia="仿宋" w:cs="仿宋"/>
          <w:spacing w:val="16"/>
          <w:sz w:val="25"/>
          <w:szCs w:val="25"/>
        </w:rPr>
        <w:t>投标书的主要内容：1)投标函；2)投标方案(含方案的先进性、技术</w:t>
      </w:r>
      <w:r>
        <w:rPr>
          <w:rFonts w:ascii="仿宋" w:hAnsi="仿宋" w:eastAsia="仿宋" w:cs="仿宋"/>
          <w:spacing w:val="15"/>
          <w:sz w:val="25"/>
          <w:szCs w:val="25"/>
        </w:rPr>
        <w:t>经济</w:t>
      </w:r>
      <w:r>
        <w:rPr>
          <w:rFonts w:ascii="仿宋" w:hAnsi="仿宋" w:eastAsia="仿宋" w:cs="仿宋"/>
          <w:sz w:val="25"/>
          <w:szCs w:val="25"/>
        </w:rPr>
        <w:t xml:space="preserve"> </w:t>
      </w:r>
      <w:r>
        <w:rPr>
          <w:rFonts w:ascii="仿宋" w:hAnsi="仿宋" w:eastAsia="仿宋" w:cs="仿宋"/>
          <w:spacing w:val="23"/>
          <w:sz w:val="25"/>
          <w:szCs w:val="25"/>
        </w:rPr>
        <w:t>可行性论证，关键技术储备情况，可借鉴的预研成果等);3)投标报价及构成细</w:t>
      </w:r>
      <w:r>
        <w:rPr>
          <w:rFonts w:ascii="仿宋" w:hAnsi="仿宋" w:eastAsia="仿宋" w:cs="仿宋"/>
          <w:spacing w:val="3"/>
          <w:sz w:val="25"/>
          <w:szCs w:val="25"/>
        </w:rPr>
        <w:t xml:space="preserve">  </w:t>
      </w:r>
      <w:r>
        <w:rPr>
          <w:rFonts w:ascii="仿宋" w:hAnsi="仿宋" w:eastAsia="仿宋" w:cs="仿宋"/>
          <w:spacing w:val="15"/>
          <w:sz w:val="25"/>
          <w:szCs w:val="25"/>
        </w:rPr>
        <w:t>目；4)研制周期；5)投标说明(包括必须由国家安排的技术改造、基建费和外汇);</w:t>
      </w:r>
    </w:p>
    <w:p w14:paraId="7ABC3565">
      <w:pPr>
        <w:spacing w:before="140" w:line="309" w:lineRule="auto"/>
        <w:ind w:right="123"/>
        <w:rPr>
          <w:rFonts w:ascii="仿宋" w:hAnsi="仿宋" w:eastAsia="仿宋" w:cs="仿宋"/>
          <w:sz w:val="24"/>
          <w:szCs w:val="24"/>
        </w:rPr>
      </w:pPr>
      <w:r>
        <w:rPr>
          <w:rFonts w:ascii="仿宋" w:hAnsi="仿宋" w:eastAsia="仿宋" w:cs="仿宋"/>
          <w:spacing w:val="36"/>
          <w:sz w:val="24"/>
          <w:szCs w:val="24"/>
        </w:rPr>
        <w:t>6)武器装备研制许可证(复印件),法定代表人资格证明或投标代理人资格委托</w:t>
      </w:r>
      <w:r>
        <w:rPr>
          <w:rFonts w:ascii="仿宋" w:hAnsi="仿宋" w:eastAsia="仿宋" w:cs="仿宋"/>
          <w:spacing w:val="11"/>
          <w:sz w:val="24"/>
          <w:szCs w:val="24"/>
        </w:rPr>
        <w:t xml:space="preserve"> </w:t>
      </w:r>
      <w:r>
        <w:rPr>
          <w:rFonts w:ascii="仿宋" w:hAnsi="仿宋" w:eastAsia="仿宋" w:cs="仿宋"/>
          <w:spacing w:val="26"/>
          <w:sz w:val="24"/>
          <w:szCs w:val="24"/>
        </w:rPr>
        <w:t>书；7)近两年的财务状况资料、已承担的科研任务情况、能用于本研制项目的各</w:t>
      </w:r>
    </w:p>
    <w:p w14:paraId="5D7AB169">
      <w:pPr>
        <w:spacing w:line="309" w:lineRule="auto"/>
        <w:rPr>
          <w:rFonts w:ascii="仿宋" w:hAnsi="仿宋" w:eastAsia="仿宋" w:cs="仿宋"/>
          <w:sz w:val="24"/>
          <w:szCs w:val="24"/>
        </w:rPr>
        <w:sectPr>
          <w:footerReference r:id="rId26" w:type="default"/>
          <w:pgSz w:w="11910" w:h="17130"/>
          <w:pgMar w:top="400" w:right="1168" w:bottom="1599" w:left="1269" w:header="0" w:footer="1340" w:gutter="0"/>
          <w:cols w:space="720" w:num="1"/>
        </w:sectPr>
      </w:pPr>
    </w:p>
    <w:p w14:paraId="649CD2D2">
      <w:pPr>
        <w:pStyle w:val="2"/>
        <w:spacing w:line="270" w:lineRule="auto"/>
      </w:pPr>
    </w:p>
    <w:p w14:paraId="0742691D">
      <w:pPr>
        <w:pStyle w:val="2"/>
        <w:spacing w:line="270" w:lineRule="auto"/>
      </w:pPr>
    </w:p>
    <w:p w14:paraId="3FB6A336">
      <w:pPr>
        <w:pStyle w:val="2"/>
        <w:spacing w:line="270" w:lineRule="auto"/>
      </w:pPr>
    </w:p>
    <w:p w14:paraId="1C1FF664">
      <w:pPr>
        <w:pStyle w:val="2"/>
        <w:spacing w:line="271" w:lineRule="auto"/>
      </w:pPr>
    </w:p>
    <w:p w14:paraId="13E0384A">
      <w:pPr>
        <w:spacing w:before="78" w:line="221" w:lineRule="auto"/>
        <w:rPr>
          <w:rFonts w:ascii="仿宋" w:hAnsi="仿宋" w:eastAsia="仿宋" w:cs="仿宋"/>
          <w:sz w:val="24"/>
          <w:szCs w:val="24"/>
        </w:rPr>
      </w:pPr>
      <w:bookmarkStart w:id="8" w:name="bookmark310"/>
      <w:bookmarkEnd w:id="8"/>
      <w:r>
        <w:rPr>
          <w:rFonts w:ascii="仿宋" w:hAnsi="仿宋" w:eastAsia="仿宋" w:cs="仿宋"/>
          <w:spacing w:val="19"/>
          <w:sz w:val="24"/>
          <w:szCs w:val="24"/>
        </w:rPr>
        <w:t>项管理和技术人员能力、技术设备能力，质</w:t>
      </w:r>
      <w:r>
        <w:rPr>
          <w:rFonts w:ascii="仿宋" w:hAnsi="仿宋" w:eastAsia="仿宋" w:cs="仿宋"/>
          <w:spacing w:val="18"/>
          <w:sz w:val="24"/>
          <w:szCs w:val="24"/>
        </w:rPr>
        <w:t>量保证能力；8)其他。</w:t>
      </w:r>
    </w:p>
    <w:p w14:paraId="310064F6">
      <w:pPr>
        <w:spacing w:before="85" w:line="221" w:lineRule="auto"/>
        <w:rPr>
          <w:rFonts w:ascii="黑体" w:hAnsi="黑体" w:eastAsia="黑体" w:cs="黑体"/>
          <w:sz w:val="27"/>
          <w:szCs w:val="27"/>
        </w:rPr>
      </w:pPr>
      <w:r>
        <w:rPr>
          <w:rFonts w:ascii="黑体" w:hAnsi="黑体" w:eastAsia="黑体" w:cs="黑体"/>
          <w:spacing w:val="3"/>
          <w:sz w:val="27"/>
          <w:szCs w:val="27"/>
        </w:rPr>
        <w:t>8</w:t>
      </w:r>
      <w:r>
        <w:rPr>
          <w:rFonts w:ascii="黑体" w:hAnsi="黑体" w:eastAsia="黑体" w:cs="黑体"/>
          <w:spacing w:val="17"/>
          <w:sz w:val="27"/>
          <w:szCs w:val="27"/>
        </w:rPr>
        <w:t xml:space="preserve">  </w:t>
      </w:r>
      <w:r>
        <w:rPr>
          <w:rFonts w:ascii="黑体" w:hAnsi="黑体" w:eastAsia="黑体" w:cs="黑体"/>
          <w:spacing w:val="3"/>
          <w:sz w:val="27"/>
          <w:szCs w:val="27"/>
        </w:rPr>
        <w:t>投标有效期</w:t>
      </w:r>
    </w:p>
    <w:p w14:paraId="58B0CEB9">
      <w:pPr>
        <w:spacing w:before="89" w:line="219" w:lineRule="auto"/>
        <w:ind w:left="560"/>
        <w:rPr>
          <w:rFonts w:ascii="宋体" w:hAnsi="宋体" w:eastAsia="宋体" w:cs="宋体"/>
          <w:sz w:val="27"/>
          <w:szCs w:val="27"/>
        </w:rPr>
      </w:pPr>
      <w:r>
        <w:rPr>
          <w:rFonts w:ascii="宋体" w:hAnsi="宋体" w:eastAsia="宋体" w:cs="宋体"/>
          <w:sz w:val="27"/>
          <w:szCs w:val="27"/>
        </w:rPr>
        <w:t>明确投标有效期。</w:t>
      </w:r>
    </w:p>
    <w:p w14:paraId="3D0727B2">
      <w:pPr>
        <w:pStyle w:val="2"/>
        <w:spacing w:before="28" w:line="368" w:lineRule="exact"/>
        <w:rPr>
          <w:rFonts w:ascii="黑体" w:hAnsi="黑体" w:eastAsia="黑体" w:cs="黑体"/>
          <w:sz w:val="27"/>
          <w:szCs w:val="27"/>
        </w:rPr>
      </w:pPr>
      <w:r>
        <w:rPr>
          <w:spacing w:val="-10"/>
          <w:position w:val="1"/>
          <w:sz w:val="27"/>
          <w:szCs w:val="27"/>
        </w:rPr>
        <w:t xml:space="preserve">9    </w:t>
      </w:r>
      <w:r>
        <w:rPr>
          <w:rFonts w:ascii="黑体" w:hAnsi="黑体" w:eastAsia="黑体" w:cs="黑体"/>
          <w:spacing w:val="-10"/>
          <w:position w:val="1"/>
          <w:sz w:val="27"/>
          <w:szCs w:val="27"/>
        </w:rPr>
        <w:t>开标方式、时间</w:t>
      </w:r>
    </w:p>
    <w:p w14:paraId="1C3C6F64">
      <w:pPr>
        <w:spacing w:before="92" w:line="219" w:lineRule="auto"/>
        <w:ind w:left="560"/>
        <w:rPr>
          <w:rFonts w:ascii="宋体" w:hAnsi="宋体" w:eastAsia="宋体" w:cs="宋体"/>
          <w:sz w:val="27"/>
          <w:szCs w:val="27"/>
        </w:rPr>
      </w:pPr>
      <w:r>
        <w:rPr>
          <w:rFonts w:ascii="宋体" w:hAnsi="宋体" w:eastAsia="宋体" w:cs="宋体"/>
          <w:spacing w:val="1"/>
          <w:sz w:val="27"/>
          <w:szCs w:val="27"/>
        </w:rPr>
        <w:t>明确开标方式和开标时间。如：</w:t>
      </w:r>
    </w:p>
    <w:p w14:paraId="7654C7AF">
      <w:pPr>
        <w:spacing w:before="116" w:line="304" w:lineRule="auto"/>
        <w:ind w:right="115" w:firstLine="560"/>
        <w:jc w:val="both"/>
        <w:rPr>
          <w:rFonts w:ascii="仿宋" w:hAnsi="仿宋" w:eastAsia="仿宋" w:cs="仿宋"/>
          <w:sz w:val="24"/>
          <w:szCs w:val="24"/>
        </w:rPr>
      </w:pPr>
      <w:r>
        <w:rPr>
          <w:rFonts w:ascii="仿宋" w:hAnsi="仿宋" w:eastAsia="仿宋" w:cs="仿宋"/>
          <w:spacing w:val="26"/>
          <w:sz w:val="24"/>
          <w:szCs w:val="24"/>
        </w:rPr>
        <w:t>本次招标采取封闭式开标，即一个单位开标、汇报和答辩结束后，再进行下</w:t>
      </w:r>
      <w:r>
        <w:rPr>
          <w:rFonts w:ascii="仿宋" w:hAnsi="仿宋" w:eastAsia="仿宋" w:cs="仿宋"/>
          <w:spacing w:val="9"/>
          <w:sz w:val="24"/>
          <w:szCs w:val="24"/>
        </w:rPr>
        <w:t xml:space="preserve"> </w:t>
      </w:r>
      <w:r>
        <w:rPr>
          <w:rFonts w:ascii="仿宋" w:hAnsi="仿宋" w:eastAsia="仿宋" w:cs="仿宋"/>
          <w:spacing w:val="33"/>
          <w:sz w:val="24"/>
          <w:szCs w:val="24"/>
        </w:rPr>
        <w:t>一</w:t>
      </w:r>
      <w:r>
        <w:rPr>
          <w:rFonts w:ascii="仿宋" w:hAnsi="仿宋" w:eastAsia="仿宋" w:cs="仿宋"/>
          <w:spacing w:val="-59"/>
          <w:sz w:val="24"/>
          <w:szCs w:val="24"/>
        </w:rPr>
        <w:t xml:space="preserve"> </w:t>
      </w:r>
      <w:r>
        <w:rPr>
          <w:rFonts w:ascii="仿宋" w:hAnsi="仿宋" w:eastAsia="仿宋" w:cs="仿宋"/>
          <w:spacing w:val="33"/>
          <w:sz w:val="24"/>
          <w:szCs w:val="24"/>
        </w:rPr>
        <w:t>个单位，开标的顺序将在招标会开始时由各投标人代表抽签确定。每个单位</w:t>
      </w:r>
      <w:r>
        <w:rPr>
          <w:rFonts w:ascii="仿宋" w:hAnsi="仿宋" w:eastAsia="仿宋" w:cs="仿宋"/>
          <w:sz w:val="24"/>
          <w:szCs w:val="24"/>
        </w:rPr>
        <w:t xml:space="preserve"> </w:t>
      </w:r>
      <w:r>
        <w:rPr>
          <w:rFonts w:ascii="仿宋" w:hAnsi="仿宋" w:eastAsia="仿宋" w:cs="仿宋"/>
          <w:spacing w:val="23"/>
          <w:sz w:val="24"/>
          <w:szCs w:val="24"/>
        </w:rPr>
        <w:t>开标、汇报和答辩时间不超过×小时××分钟(评委阅读××分钟，汇报、答辩×</w:t>
      </w:r>
      <w:r>
        <w:rPr>
          <w:rFonts w:ascii="仿宋" w:hAnsi="仿宋" w:eastAsia="仿宋" w:cs="仿宋"/>
          <w:spacing w:val="5"/>
          <w:sz w:val="24"/>
          <w:szCs w:val="24"/>
        </w:rPr>
        <w:t xml:space="preserve"> </w:t>
      </w:r>
      <w:r>
        <w:rPr>
          <w:rFonts w:ascii="仿宋" w:hAnsi="仿宋" w:eastAsia="仿宋" w:cs="仿宋"/>
          <w:spacing w:val="25"/>
          <w:sz w:val="24"/>
          <w:szCs w:val="24"/>
        </w:rPr>
        <w:t>小时××分钟)。</w:t>
      </w:r>
    </w:p>
    <w:p w14:paraId="1E0C4B7D">
      <w:pPr>
        <w:spacing w:line="307" w:lineRule="auto"/>
        <w:ind w:right="103" w:firstLine="560"/>
        <w:rPr>
          <w:rFonts w:ascii="仿宋" w:hAnsi="仿宋" w:eastAsia="仿宋" w:cs="仿宋"/>
          <w:sz w:val="25"/>
          <w:szCs w:val="25"/>
        </w:rPr>
      </w:pPr>
      <w:r>
        <w:rPr>
          <w:rFonts w:ascii="仿宋" w:hAnsi="仿宋" w:eastAsia="仿宋" w:cs="仿宋"/>
          <w:spacing w:val="19"/>
          <w:sz w:val="25"/>
          <w:szCs w:val="25"/>
        </w:rPr>
        <w:t>招标时间初步确定为××××年××月上(中、下)旬，地点为(地址),具体</w:t>
      </w:r>
      <w:r>
        <w:rPr>
          <w:rFonts w:ascii="仿宋" w:hAnsi="仿宋" w:eastAsia="仿宋" w:cs="仿宋"/>
          <w:spacing w:val="15"/>
          <w:sz w:val="25"/>
          <w:szCs w:val="25"/>
        </w:rPr>
        <w:t xml:space="preserve"> </w:t>
      </w:r>
      <w:r>
        <w:rPr>
          <w:rFonts w:ascii="仿宋" w:hAnsi="仿宋" w:eastAsia="仿宋" w:cs="仿宋"/>
          <w:spacing w:val="17"/>
          <w:sz w:val="25"/>
          <w:szCs w:val="25"/>
        </w:rPr>
        <w:t>时间另行通知。</w:t>
      </w:r>
    </w:p>
    <w:p w14:paraId="36621D34">
      <w:pPr>
        <w:spacing w:before="1" w:line="221" w:lineRule="auto"/>
        <w:rPr>
          <w:rFonts w:ascii="黑体" w:hAnsi="黑体" w:eastAsia="黑体" w:cs="黑体"/>
          <w:sz w:val="27"/>
          <w:szCs w:val="27"/>
        </w:rPr>
      </w:pPr>
      <w:r>
        <w:rPr>
          <w:rFonts w:ascii="黑体" w:hAnsi="黑体" w:eastAsia="黑体" w:cs="黑体"/>
          <w:spacing w:val="-7"/>
          <w:sz w:val="27"/>
          <w:szCs w:val="27"/>
        </w:rPr>
        <w:t>10</w:t>
      </w:r>
      <w:r>
        <w:rPr>
          <w:rFonts w:ascii="黑体" w:hAnsi="黑体" w:eastAsia="黑体" w:cs="黑体"/>
          <w:spacing w:val="22"/>
          <w:sz w:val="27"/>
          <w:szCs w:val="27"/>
        </w:rPr>
        <w:t xml:space="preserve">  </w:t>
      </w:r>
      <w:r>
        <w:rPr>
          <w:rFonts w:ascii="黑体" w:hAnsi="黑体" w:eastAsia="黑体" w:cs="黑体"/>
          <w:spacing w:val="-7"/>
          <w:sz w:val="27"/>
          <w:szCs w:val="27"/>
        </w:rPr>
        <w:t>评标原则及形式、时间</w:t>
      </w:r>
    </w:p>
    <w:p w14:paraId="3DE1D87E">
      <w:pPr>
        <w:spacing w:before="78" w:line="219" w:lineRule="auto"/>
        <w:ind w:left="560"/>
        <w:rPr>
          <w:rFonts w:ascii="宋体" w:hAnsi="宋体" w:eastAsia="宋体" w:cs="宋体"/>
          <w:sz w:val="27"/>
          <w:szCs w:val="27"/>
        </w:rPr>
      </w:pPr>
      <w:r>
        <w:rPr>
          <w:rFonts w:ascii="宋体" w:hAnsi="宋体" w:eastAsia="宋体" w:cs="宋体"/>
          <w:spacing w:val="-5"/>
          <w:sz w:val="27"/>
          <w:szCs w:val="27"/>
        </w:rPr>
        <w:t>明确评标原则及形式、时间。如</w:t>
      </w:r>
    </w:p>
    <w:p w14:paraId="4EC7A373">
      <w:pPr>
        <w:spacing w:before="116" w:line="222" w:lineRule="auto"/>
        <w:ind w:left="560"/>
        <w:rPr>
          <w:rFonts w:ascii="仿宋" w:hAnsi="仿宋" w:eastAsia="仿宋" w:cs="仿宋"/>
          <w:sz w:val="24"/>
          <w:szCs w:val="24"/>
        </w:rPr>
      </w:pPr>
      <w:r>
        <w:rPr>
          <w:rFonts w:ascii="Times New Roman" w:hAnsi="Times New Roman" w:eastAsia="Times New Roman" w:cs="Times New Roman"/>
          <w:spacing w:val="20"/>
          <w:sz w:val="24"/>
          <w:szCs w:val="24"/>
        </w:rPr>
        <w:t>a</w:t>
      </w:r>
      <w:r>
        <w:rPr>
          <w:rFonts w:ascii="Times New Roman" w:hAnsi="Times New Roman" w:eastAsia="Times New Roman" w:cs="Times New Roman"/>
          <w:spacing w:val="-27"/>
          <w:sz w:val="24"/>
          <w:szCs w:val="24"/>
        </w:rPr>
        <w:t xml:space="preserve"> </w:t>
      </w:r>
      <w:r>
        <w:rPr>
          <w:rFonts w:ascii="仿宋" w:hAnsi="仿宋" w:eastAsia="仿宋" w:cs="仿宋"/>
          <w:spacing w:val="20"/>
          <w:sz w:val="24"/>
          <w:szCs w:val="24"/>
        </w:rPr>
        <w:t>)</w:t>
      </w:r>
      <w:r>
        <w:rPr>
          <w:rFonts w:ascii="仿宋" w:hAnsi="仿宋" w:eastAsia="仿宋" w:cs="仿宋"/>
          <w:spacing w:val="-21"/>
          <w:sz w:val="24"/>
          <w:szCs w:val="24"/>
        </w:rPr>
        <w:t xml:space="preserve"> </w:t>
      </w:r>
      <w:r>
        <w:rPr>
          <w:rFonts w:ascii="仿宋" w:hAnsi="仿宋" w:eastAsia="仿宋" w:cs="仿宋"/>
          <w:spacing w:val="20"/>
          <w:sz w:val="24"/>
          <w:szCs w:val="24"/>
        </w:rPr>
        <w:t>评标原则</w:t>
      </w:r>
    </w:p>
    <w:p w14:paraId="0EF00245">
      <w:pPr>
        <w:spacing w:before="117" w:line="313" w:lineRule="auto"/>
        <w:ind w:right="113" w:firstLine="560"/>
        <w:rPr>
          <w:rFonts w:ascii="仿宋" w:hAnsi="仿宋" w:eastAsia="仿宋" w:cs="仿宋"/>
          <w:sz w:val="24"/>
          <w:szCs w:val="24"/>
        </w:rPr>
      </w:pPr>
      <w:r>
        <w:rPr>
          <w:rFonts w:ascii="仿宋" w:hAnsi="仿宋" w:eastAsia="仿宋" w:cs="仿宋"/>
          <w:spacing w:val="26"/>
          <w:sz w:val="24"/>
          <w:szCs w:val="24"/>
        </w:rPr>
        <w:t>为客观、公正、科学地评价投标人提交的投标方案，招标人将邀请技术、管</w:t>
      </w:r>
      <w:r>
        <w:rPr>
          <w:rFonts w:ascii="仿宋" w:hAnsi="仿宋" w:eastAsia="仿宋" w:cs="仿宋"/>
          <w:spacing w:val="16"/>
          <w:sz w:val="24"/>
          <w:szCs w:val="24"/>
        </w:rPr>
        <w:t xml:space="preserve"> </w:t>
      </w:r>
      <w:r>
        <w:rPr>
          <w:rFonts w:ascii="仿宋" w:hAnsi="仿宋" w:eastAsia="仿宋" w:cs="仿宋"/>
          <w:spacing w:val="30"/>
          <w:sz w:val="24"/>
          <w:szCs w:val="24"/>
        </w:rPr>
        <w:t>理、经济等方面的军内外专家组成评标组。评标组根据《评价标准和规范》,客</w:t>
      </w:r>
      <w:r>
        <w:rPr>
          <w:rFonts w:ascii="仿宋" w:hAnsi="仿宋" w:eastAsia="仿宋" w:cs="仿宋"/>
          <w:spacing w:val="13"/>
          <w:sz w:val="24"/>
          <w:szCs w:val="24"/>
        </w:rPr>
        <w:t xml:space="preserve"> </w:t>
      </w:r>
      <w:r>
        <w:rPr>
          <w:rFonts w:ascii="仿宋" w:hAnsi="仿宋" w:eastAsia="仿宋" w:cs="仿宋"/>
          <w:spacing w:val="20"/>
          <w:sz w:val="24"/>
          <w:szCs w:val="24"/>
        </w:rPr>
        <w:t>观、公正、科学地评价投标书，提出评价报告</w:t>
      </w:r>
      <w:r>
        <w:rPr>
          <w:rFonts w:ascii="仿宋" w:hAnsi="仿宋" w:eastAsia="仿宋" w:cs="仿宋"/>
          <w:spacing w:val="19"/>
          <w:sz w:val="24"/>
          <w:szCs w:val="24"/>
        </w:rPr>
        <w:t>。《评价标准和规范》为衡量投标方</w:t>
      </w:r>
      <w:r>
        <w:rPr>
          <w:rFonts w:ascii="仿宋" w:hAnsi="仿宋" w:eastAsia="仿宋" w:cs="仿宋"/>
          <w:sz w:val="24"/>
          <w:szCs w:val="24"/>
        </w:rPr>
        <w:t xml:space="preserve"> </w:t>
      </w:r>
      <w:r>
        <w:rPr>
          <w:rFonts w:ascii="仿宋" w:hAnsi="仿宋" w:eastAsia="仿宋" w:cs="仿宋"/>
          <w:spacing w:val="22"/>
          <w:sz w:val="24"/>
          <w:szCs w:val="24"/>
        </w:rPr>
        <w:t>案满足招标书要求的程度而制定，既有定量的，也有定</w:t>
      </w:r>
      <w:r>
        <w:rPr>
          <w:rFonts w:ascii="仿宋" w:hAnsi="仿宋" w:eastAsia="仿宋" w:cs="仿宋"/>
          <w:spacing w:val="21"/>
          <w:sz w:val="24"/>
          <w:szCs w:val="24"/>
        </w:rPr>
        <w:t>性的，均具有客观性。</w:t>
      </w:r>
    </w:p>
    <w:p w14:paraId="7FA37EE3">
      <w:pPr>
        <w:spacing w:before="5" w:line="222" w:lineRule="auto"/>
        <w:jc w:val="right"/>
        <w:rPr>
          <w:rFonts w:ascii="仿宋" w:hAnsi="仿宋" w:eastAsia="仿宋" w:cs="仿宋"/>
          <w:sz w:val="24"/>
          <w:szCs w:val="24"/>
        </w:rPr>
      </w:pPr>
      <w:r>
        <w:rPr>
          <w:rFonts w:ascii="仿宋" w:hAnsi="仿宋" w:eastAsia="仿宋" w:cs="仿宋"/>
          <w:spacing w:val="20"/>
          <w:sz w:val="24"/>
          <w:szCs w:val="24"/>
        </w:rPr>
        <w:t>评标范围通常包括：1)投标技术方案；2)研制和生产能力；3)质量管理体系；</w:t>
      </w:r>
    </w:p>
    <w:p w14:paraId="5B7ECDE7">
      <w:pPr>
        <w:spacing w:before="121" w:line="298" w:lineRule="auto"/>
        <w:ind w:right="122"/>
        <w:rPr>
          <w:rFonts w:ascii="仿宋" w:hAnsi="仿宋" w:eastAsia="仿宋" w:cs="仿宋"/>
          <w:sz w:val="25"/>
          <w:szCs w:val="25"/>
        </w:rPr>
      </w:pPr>
      <w:r>
        <w:rPr>
          <w:rFonts w:ascii="仿宋" w:hAnsi="仿宋" w:eastAsia="仿宋" w:cs="仿宋"/>
          <w:spacing w:val="15"/>
          <w:sz w:val="25"/>
          <w:szCs w:val="25"/>
        </w:rPr>
        <w:t>4)项目工程管理体系；5)工程进度计划安排；6)相关产品的研制和业绩；7)履行</w:t>
      </w:r>
      <w:r>
        <w:rPr>
          <w:rFonts w:ascii="仿宋" w:hAnsi="仿宋" w:eastAsia="仿宋" w:cs="仿宋"/>
          <w:spacing w:val="11"/>
          <w:sz w:val="25"/>
          <w:szCs w:val="25"/>
        </w:rPr>
        <w:t xml:space="preserve"> </w:t>
      </w:r>
      <w:r>
        <w:rPr>
          <w:rFonts w:ascii="仿宋" w:hAnsi="仿宋" w:eastAsia="仿宋" w:cs="仿宋"/>
          <w:spacing w:val="8"/>
          <w:sz w:val="25"/>
          <w:szCs w:val="25"/>
        </w:rPr>
        <w:t>责任情况；8)售后服务保障体系；9)财务状况；10)投标报价等。</w:t>
      </w:r>
    </w:p>
    <w:p w14:paraId="23D97E03">
      <w:pPr>
        <w:spacing w:line="212" w:lineRule="auto"/>
        <w:ind w:left="560"/>
        <w:rPr>
          <w:rFonts w:ascii="仿宋" w:hAnsi="仿宋" w:eastAsia="仿宋" w:cs="仿宋"/>
          <w:sz w:val="24"/>
          <w:szCs w:val="24"/>
        </w:rPr>
      </w:pPr>
      <w:r>
        <w:rPr>
          <w:rFonts w:ascii="Times New Roman" w:hAnsi="Times New Roman" w:eastAsia="Times New Roman" w:cs="Times New Roman"/>
          <w:spacing w:val="-8"/>
          <w:sz w:val="24"/>
          <w:szCs w:val="24"/>
        </w:rPr>
        <w:t>b)</w:t>
      </w:r>
      <w:r>
        <w:rPr>
          <w:rFonts w:ascii="Times New Roman" w:hAnsi="Times New Roman" w:eastAsia="Times New Roman" w:cs="Times New Roman"/>
          <w:spacing w:val="24"/>
          <w:w w:val="101"/>
          <w:sz w:val="24"/>
          <w:szCs w:val="24"/>
        </w:rPr>
        <w:t xml:space="preserve">  </w:t>
      </w:r>
      <w:r>
        <w:rPr>
          <w:rFonts w:ascii="仿宋" w:hAnsi="仿宋" w:eastAsia="仿宋" w:cs="仿宋"/>
          <w:spacing w:val="-8"/>
          <w:sz w:val="24"/>
          <w:szCs w:val="24"/>
        </w:rPr>
        <w:t>评</w:t>
      </w:r>
      <w:r>
        <w:rPr>
          <w:rFonts w:ascii="仿宋" w:hAnsi="仿宋" w:eastAsia="仿宋" w:cs="仿宋"/>
          <w:spacing w:val="-48"/>
          <w:sz w:val="24"/>
          <w:szCs w:val="24"/>
        </w:rPr>
        <w:t xml:space="preserve"> </w:t>
      </w:r>
      <w:r>
        <w:rPr>
          <w:rFonts w:ascii="仿宋" w:hAnsi="仿宋" w:eastAsia="仿宋" w:cs="仿宋"/>
          <w:spacing w:val="-8"/>
          <w:sz w:val="24"/>
          <w:szCs w:val="24"/>
        </w:rPr>
        <w:t>标</w:t>
      </w:r>
      <w:r>
        <w:rPr>
          <w:rFonts w:ascii="仿宋" w:hAnsi="仿宋" w:eastAsia="仿宋" w:cs="仿宋"/>
          <w:spacing w:val="-47"/>
          <w:sz w:val="24"/>
          <w:szCs w:val="24"/>
        </w:rPr>
        <w:t xml:space="preserve"> </w:t>
      </w:r>
      <w:r>
        <w:rPr>
          <w:rFonts w:ascii="仿宋" w:hAnsi="仿宋" w:eastAsia="仿宋" w:cs="仿宋"/>
          <w:spacing w:val="-8"/>
          <w:sz w:val="24"/>
          <w:szCs w:val="24"/>
        </w:rPr>
        <w:t>形</w:t>
      </w:r>
      <w:r>
        <w:rPr>
          <w:rFonts w:ascii="仿宋" w:hAnsi="仿宋" w:eastAsia="仿宋" w:cs="仿宋"/>
          <w:spacing w:val="-41"/>
          <w:sz w:val="24"/>
          <w:szCs w:val="24"/>
        </w:rPr>
        <w:t xml:space="preserve"> </w:t>
      </w:r>
      <w:r>
        <w:rPr>
          <w:rFonts w:ascii="仿宋" w:hAnsi="仿宋" w:eastAsia="仿宋" w:cs="仿宋"/>
          <w:spacing w:val="-8"/>
          <w:sz w:val="24"/>
          <w:szCs w:val="24"/>
        </w:rPr>
        <w:t>式</w:t>
      </w:r>
    </w:p>
    <w:p w14:paraId="7E34F0BF">
      <w:pPr>
        <w:spacing w:before="136" w:line="315" w:lineRule="auto"/>
        <w:ind w:right="100" w:firstLine="560"/>
        <w:rPr>
          <w:rFonts w:ascii="仿宋" w:hAnsi="仿宋" w:eastAsia="仿宋" w:cs="仿宋"/>
          <w:sz w:val="24"/>
          <w:szCs w:val="24"/>
        </w:rPr>
      </w:pPr>
      <w:r>
        <w:rPr>
          <w:rFonts w:ascii="仿宋" w:hAnsi="仿宋" w:eastAsia="仿宋" w:cs="仿宋"/>
          <w:spacing w:val="31"/>
          <w:sz w:val="24"/>
          <w:szCs w:val="24"/>
        </w:rPr>
        <w:t>评标组分别约见投标人，为每</w:t>
      </w:r>
      <w:r>
        <w:rPr>
          <w:rFonts w:ascii="仿宋" w:hAnsi="仿宋" w:eastAsia="仿宋" w:cs="仿宋"/>
          <w:spacing w:val="-56"/>
          <w:sz w:val="24"/>
          <w:szCs w:val="24"/>
        </w:rPr>
        <w:t xml:space="preserve"> </w:t>
      </w:r>
      <w:r>
        <w:rPr>
          <w:rFonts w:ascii="仿宋" w:hAnsi="仿宋" w:eastAsia="仿宋" w:cs="仿宋"/>
          <w:spacing w:val="31"/>
          <w:sz w:val="24"/>
          <w:szCs w:val="24"/>
        </w:rPr>
        <w:t>一</w:t>
      </w:r>
      <w:r>
        <w:rPr>
          <w:rFonts w:ascii="仿宋" w:hAnsi="仿宋" w:eastAsia="仿宋" w:cs="仿宋"/>
          <w:spacing w:val="-67"/>
          <w:sz w:val="24"/>
          <w:szCs w:val="24"/>
        </w:rPr>
        <w:t xml:space="preserve"> </w:t>
      </w:r>
      <w:r>
        <w:rPr>
          <w:rFonts w:ascii="仿宋" w:hAnsi="仿宋" w:eastAsia="仿宋" w:cs="仿宋"/>
          <w:spacing w:val="31"/>
          <w:sz w:val="24"/>
          <w:szCs w:val="24"/>
        </w:rPr>
        <w:t>个投标人提供相同的时间进行投标方案陈</w:t>
      </w:r>
      <w:r>
        <w:rPr>
          <w:rFonts w:ascii="仿宋" w:hAnsi="仿宋" w:eastAsia="仿宋" w:cs="仿宋"/>
          <w:sz w:val="24"/>
          <w:szCs w:val="24"/>
        </w:rPr>
        <w:t xml:space="preserve"> </w:t>
      </w:r>
      <w:r>
        <w:rPr>
          <w:rFonts w:ascii="仿宋" w:hAnsi="仿宋" w:eastAsia="仿宋" w:cs="仿宋"/>
          <w:spacing w:val="27"/>
          <w:sz w:val="24"/>
          <w:szCs w:val="24"/>
        </w:rPr>
        <w:t>述和答辩，请其解释和澄清投标书技术、经济评审中不明确的问题。解释和澄清</w:t>
      </w:r>
      <w:r>
        <w:rPr>
          <w:rFonts w:ascii="仿宋" w:hAnsi="仿宋" w:eastAsia="仿宋" w:cs="仿宋"/>
          <w:sz w:val="24"/>
          <w:szCs w:val="24"/>
        </w:rPr>
        <w:t xml:space="preserve"> </w:t>
      </w:r>
      <w:r>
        <w:rPr>
          <w:rFonts w:ascii="仿宋" w:hAnsi="仿宋" w:eastAsia="仿宋" w:cs="仿宋"/>
          <w:spacing w:val="35"/>
          <w:sz w:val="24"/>
          <w:szCs w:val="24"/>
        </w:rPr>
        <w:t>的内容应用书面形式记录，经投标人代表检查无误并签字后备案。评标组人员</w:t>
      </w:r>
      <w:r>
        <w:rPr>
          <w:rFonts w:ascii="仿宋" w:hAnsi="仿宋" w:eastAsia="仿宋" w:cs="仿宋"/>
          <w:spacing w:val="18"/>
          <w:sz w:val="24"/>
          <w:szCs w:val="24"/>
        </w:rPr>
        <w:t xml:space="preserve"> </w:t>
      </w:r>
      <w:r>
        <w:rPr>
          <w:rFonts w:ascii="仿宋" w:hAnsi="仿宋" w:eastAsia="仿宋" w:cs="仿宋"/>
          <w:spacing w:val="29"/>
          <w:sz w:val="24"/>
          <w:szCs w:val="24"/>
        </w:rPr>
        <w:t>在评标过程中不得透露任何评标情况，也不能讨论标价的变更问题。</w:t>
      </w:r>
    </w:p>
    <w:p w14:paraId="793B55E7">
      <w:pPr>
        <w:spacing w:before="16" w:line="298" w:lineRule="auto"/>
        <w:ind w:right="122" w:firstLine="560"/>
        <w:jc w:val="both"/>
        <w:rPr>
          <w:rFonts w:ascii="仿宋" w:hAnsi="仿宋" w:eastAsia="仿宋" w:cs="仿宋"/>
          <w:sz w:val="24"/>
          <w:szCs w:val="24"/>
        </w:rPr>
      </w:pPr>
      <w:r>
        <w:rPr>
          <w:rFonts w:ascii="仿宋" w:hAnsi="仿宋" w:eastAsia="仿宋" w:cs="仿宋"/>
          <w:spacing w:val="18"/>
          <w:sz w:val="24"/>
          <w:szCs w:val="24"/>
        </w:rPr>
        <w:t>评标组依据《评价标准和规范》及评分细则，独立打分，现场统计分数，依据</w:t>
      </w:r>
      <w:r>
        <w:rPr>
          <w:rFonts w:ascii="仿宋" w:hAnsi="仿宋" w:eastAsia="仿宋" w:cs="仿宋"/>
          <w:spacing w:val="13"/>
          <w:sz w:val="24"/>
          <w:szCs w:val="24"/>
        </w:rPr>
        <w:t xml:space="preserve"> </w:t>
      </w:r>
      <w:r>
        <w:rPr>
          <w:rFonts w:ascii="仿宋" w:hAnsi="仿宋" w:eastAsia="仿宋" w:cs="仿宋"/>
          <w:spacing w:val="35"/>
          <w:sz w:val="24"/>
          <w:szCs w:val="24"/>
        </w:rPr>
        <w:t>打分结果向招标人提出书面评标报告，依据投标人得分的高低向招标</w:t>
      </w:r>
      <w:r>
        <w:rPr>
          <w:rFonts w:ascii="仿宋" w:hAnsi="仿宋" w:eastAsia="仿宋" w:cs="仿宋"/>
          <w:spacing w:val="34"/>
          <w:sz w:val="24"/>
          <w:szCs w:val="24"/>
        </w:rPr>
        <w:t>人推荐预</w:t>
      </w:r>
      <w:r>
        <w:rPr>
          <w:rFonts w:ascii="仿宋" w:hAnsi="仿宋" w:eastAsia="仿宋" w:cs="仿宋"/>
          <w:sz w:val="24"/>
          <w:szCs w:val="24"/>
        </w:rPr>
        <w:t xml:space="preserve"> </w:t>
      </w:r>
      <w:r>
        <w:rPr>
          <w:rFonts w:ascii="仿宋" w:hAnsi="仿宋" w:eastAsia="仿宋" w:cs="仿宋"/>
          <w:spacing w:val="30"/>
          <w:sz w:val="24"/>
          <w:szCs w:val="24"/>
        </w:rPr>
        <w:t>中标人。招标人现场宣布评标结果。</w:t>
      </w:r>
    </w:p>
    <w:p w14:paraId="460E5493">
      <w:pPr>
        <w:spacing w:line="212" w:lineRule="auto"/>
        <w:ind w:left="560"/>
        <w:rPr>
          <w:rFonts w:ascii="仿宋" w:hAnsi="仿宋" w:eastAsia="仿宋" w:cs="仿宋"/>
          <w:sz w:val="27"/>
          <w:szCs w:val="27"/>
        </w:rPr>
      </w:pPr>
      <w:r>
        <w:rPr>
          <w:rFonts w:ascii="Times New Roman" w:hAnsi="Times New Roman" w:eastAsia="Times New Roman" w:cs="Times New Roman"/>
          <w:spacing w:val="3"/>
          <w:sz w:val="27"/>
          <w:szCs w:val="27"/>
        </w:rPr>
        <w:t xml:space="preserve">c)  </w:t>
      </w:r>
      <w:r>
        <w:rPr>
          <w:rFonts w:ascii="仿宋" w:hAnsi="仿宋" w:eastAsia="仿宋" w:cs="仿宋"/>
          <w:spacing w:val="3"/>
          <w:sz w:val="27"/>
          <w:szCs w:val="27"/>
        </w:rPr>
        <w:t>评标时间</w:t>
      </w:r>
    </w:p>
    <w:p w14:paraId="768D3828">
      <w:pPr>
        <w:spacing w:before="139" w:line="271" w:lineRule="auto"/>
        <w:ind w:right="89" w:firstLine="560"/>
        <w:rPr>
          <w:rFonts w:ascii="仿宋" w:hAnsi="仿宋" w:eastAsia="仿宋" w:cs="仿宋"/>
          <w:sz w:val="27"/>
          <w:szCs w:val="27"/>
        </w:rPr>
      </w:pPr>
      <w:r>
        <w:rPr>
          <w:rFonts w:ascii="仿宋" w:hAnsi="仿宋" w:eastAsia="仿宋" w:cs="仿宋"/>
          <w:spacing w:val="6"/>
          <w:sz w:val="27"/>
          <w:szCs w:val="27"/>
        </w:rPr>
        <w:t>评标时间为××××年××月××日××时</w:t>
      </w:r>
      <w:r>
        <w:rPr>
          <w:rFonts w:ascii="仿宋" w:hAnsi="仿宋" w:eastAsia="仿宋" w:cs="仿宋"/>
          <w:spacing w:val="5"/>
          <w:sz w:val="27"/>
          <w:szCs w:val="27"/>
        </w:rPr>
        <w:t>开始，××××年××月××</w:t>
      </w:r>
      <w:r>
        <w:rPr>
          <w:rFonts w:ascii="仿宋" w:hAnsi="仿宋" w:eastAsia="仿宋" w:cs="仿宋"/>
          <w:sz w:val="27"/>
          <w:szCs w:val="27"/>
        </w:rPr>
        <w:t xml:space="preserve"> </w:t>
      </w:r>
      <w:r>
        <w:rPr>
          <w:rFonts w:ascii="仿宋" w:hAnsi="仿宋" w:eastAsia="仿宋" w:cs="仿宋"/>
          <w:spacing w:val="-8"/>
          <w:sz w:val="27"/>
          <w:szCs w:val="27"/>
        </w:rPr>
        <w:t>日××时结束。</w:t>
      </w:r>
    </w:p>
    <w:p w14:paraId="0716A887">
      <w:pPr>
        <w:spacing w:before="25" w:line="221" w:lineRule="auto"/>
        <w:rPr>
          <w:rFonts w:ascii="黑体" w:hAnsi="黑体" w:eastAsia="黑体" w:cs="黑体"/>
          <w:sz w:val="24"/>
          <w:szCs w:val="24"/>
        </w:rPr>
      </w:pPr>
      <w:r>
        <w:rPr>
          <w:rFonts w:ascii="黑体" w:hAnsi="黑体" w:eastAsia="黑体" w:cs="黑体"/>
          <w:spacing w:val="20"/>
          <w:sz w:val="24"/>
          <w:szCs w:val="24"/>
        </w:rPr>
        <w:t>11</w:t>
      </w:r>
      <w:r>
        <w:rPr>
          <w:rFonts w:ascii="黑体" w:hAnsi="黑体" w:eastAsia="黑体" w:cs="黑体"/>
          <w:spacing w:val="51"/>
          <w:sz w:val="24"/>
          <w:szCs w:val="24"/>
        </w:rPr>
        <w:t xml:space="preserve">  </w:t>
      </w:r>
      <w:r>
        <w:rPr>
          <w:rFonts w:ascii="黑体" w:hAnsi="黑体" w:eastAsia="黑体" w:cs="黑体"/>
          <w:spacing w:val="20"/>
          <w:sz w:val="24"/>
          <w:szCs w:val="24"/>
        </w:rPr>
        <w:t>保密规定</w:t>
      </w:r>
    </w:p>
    <w:p w14:paraId="0AA9EA09">
      <w:pPr>
        <w:spacing w:before="107" w:line="219" w:lineRule="auto"/>
        <w:ind w:left="560"/>
        <w:rPr>
          <w:rFonts w:ascii="宋体" w:hAnsi="宋体" w:eastAsia="宋体" w:cs="宋体"/>
          <w:sz w:val="27"/>
          <w:szCs w:val="27"/>
        </w:rPr>
      </w:pPr>
      <w:r>
        <w:rPr>
          <w:rFonts w:ascii="宋体" w:hAnsi="宋体" w:eastAsia="宋体" w:cs="宋体"/>
          <w:spacing w:val="-9"/>
          <w:sz w:val="27"/>
          <w:szCs w:val="27"/>
        </w:rPr>
        <w:t>明确保密规定，一般要求：</w:t>
      </w:r>
    </w:p>
    <w:p w14:paraId="0F0659DE">
      <w:pPr>
        <w:spacing w:line="219" w:lineRule="auto"/>
        <w:rPr>
          <w:rFonts w:ascii="宋体" w:hAnsi="宋体" w:eastAsia="宋体" w:cs="宋体"/>
          <w:sz w:val="27"/>
          <w:szCs w:val="27"/>
        </w:rPr>
        <w:sectPr>
          <w:footerReference r:id="rId27" w:type="default"/>
          <w:pgSz w:w="11910" w:h="17130"/>
          <w:pgMar w:top="400" w:right="1099" w:bottom="1616" w:left="1339" w:header="0" w:footer="1439" w:gutter="0"/>
          <w:cols w:space="720" w:num="1"/>
        </w:sectPr>
      </w:pPr>
    </w:p>
    <w:p w14:paraId="296E3F74">
      <w:pPr>
        <w:pStyle w:val="2"/>
        <w:spacing w:line="261" w:lineRule="auto"/>
      </w:pPr>
    </w:p>
    <w:p w14:paraId="37822F7D">
      <w:pPr>
        <w:pStyle w:val="2"/>
        <w:spacing w:line="261" w:lineRule="auto"/>
      </w:pPr>
    </w:p>
    <w:p w14:paraId="649561B9">
      <w:pPr>
        <w:pStyle w:val="2"/>
        <w:spacing w:line="261" w:lineRule="auto"/>
      </w:pPr>
    </w:p>
    <w:p w14:paraId="58327D79">
      <w:pPr>
        <w:pStyle w:val="2"/>
        <w:spacing w:line="262" w:lineRule="auto"/>
      </w:pPr>
    </w:p>
    <w:p w14:paraId="0A56E43C">
      <w:pPr>
        <w:spacing w:before="88" w:line="219" w:lineRule="auto"/>
        <w:ind w:left="550"/>
        <w:rPr>
          <w:rFonts w:ascii="宋体" w:hAnsi="宋体" w:eastAsia="宋体" w:cs="宋体"/>
          <w:sz w:val="27"/>
          <w:szCs w:val="27"/>
        </w:rPr>
      </w:pPr>
      <w:r>
        <w:rPr>
          <w:rFonts w:ascii="宋体" w:hAnsi="宋体" w:eastAsia="宋体" w:cs="宋体"/>
          <w:sz w:val="27"/>
          <w:szCs w:val="27"/>
        </w:rPr>
        <w:t>招标人制定的标底要严格保密。如有泄露，依法追究泄露者</w:t>
      </w:r>
      <w:r>
        <w:rPr>
          <w:rFonts w:ascii="宋体" w:hAnsi="宋体" w:eastAsia="宋体" w:cs="宋体"/>
          <w:spacing w:val="-1"/>
          <w:sz w:val="27"/>
          <w:szCs w:val="27"/>
        </w:rPr>
        <w:t>的法律责任。</w:t>
      </w:r>
    </w:p>
    <w:p w14:paraId="3D6010F4">
      <w:pPr>
        <w:spacing w:before="120" w:line="287" w:lineRule="auto"/>
        <w:ind w:right="125" w:firstLine="550"/>
        <w:rPr>
          <w:rFonts w:ascii="宋体" w:hAnsi="宋体" w:eastAsia="宋体" w:cs="宋体"/>
          <w:sz w:val="27"/>
          <w:szCs w:val="27"/>
        </w:rPr>
      </w:pPr>
      <w:r>
        <w:rPr>
          <w:rFonts w:ascii="宋体" w:hAnsi="宋体" w:eastAsia="宋体" w:cs="宋体"/>
          <w:spacing w:val="-3"/>
          <w:sz w:val="27"/>
          <w:szCs w:val="27"/>
        </w:rPr>
        <w:t>投标人及其代理人不得泄露招标书的内容，如</w:t>
      </w:r>
      <w:r>
        <w:rPr>
          <w:rFonts w:ascii="宋体" w:hAnsi="宋体" w:eastAsia="宋体" w:cs="宋体"/>
          <w:spacing w:val="-4"/>
          <w:sz w:val="27"/>
          <w:szCs w:val="27"/>
        </w:rPr>
        <w:t>有泄露，依法追究泄露者的法</w:t>
      </w:r>
      <w:r>
        <w:rPr>
          <w:rFonts w:ascii="宋体" w:hAnsi="宋体" w:eastAsia="宋体" w:cs="宋体"/>
          <w:sz w:val="27"/>
          <w:szCs w:val="27"/>
        </w:rPr>
        <w:t xml:space="preserve"> </w:t>
      </w:r>
      <w:r>
        <w:rPr>
          <w:rFonts w:ascii="宋体" w:hAnsi="宋体" w:eastAsia="宋体" w:cs="宋体"/>
          <w:spacing w:val="-1"/>
          <w:sz w:val="27"/>
          <w:szCs w:val="27"/>
        </w:rPr>
        <w:t>律责任。</w:t>
      </w:r>
    </w:p>
    <w:p w14:paraId="0FBC633A">
      <w:pPr>
        <w:spacing w:line="287" w:lineRule="auto"/>
        <w:ind w:right="123" w:firstLine="550"/>
        <w:rPr>
          <w:rFonts w:ascii="宋体" w:hAnsi="宋体" w:eastAsia="宋体" w:cs="宋体"/>
          <w:sz w:val="27"/>
          <w:szCs w:val="27"/>
        </w:rPr>
      </w:pPr>
      <w:r>
        <w:rPr>
          <w:rFonts w:ascii="宋体" w:hAnsi="宋体" w:eastAsia="宋体" w:cs="宋体"/>
          <w:spacing w:val="5"/>
          <w:sz w:val="27"/>
          <w:szCs w:val="27"/>
        </w:rPr>
        <w:t>评标组人员和会议代表严格遵守保密规定，严禁向外透露各投标单位的投</w:t>
      </w:r>
      <w:r>
        <w:rPr>
          <w:rFonts w:ascii="宋体" w:hAnsi="宋体" w:eastAsia="宋体" w:cs="宋体"/>
          <w:sz w:val="27"/>
          <w:szCs w:val="27"/>
        </w:rPr>
        <w:t xml:space="preserve"> </w:t>
      </w:r>
      <w:r>
        <w:rPr>
          <w:rFonts w:ascii="宋体" w:hAnsi="宋体" w:eastAsia="宋体" w:cs="宋体"/>
          <w:spacing w:val="-7"/>
          <w:sz w:val="27"/>
          <w:szCs w:val="27"/>
        </w:rPr>
        <w:t>标方案、标底及评标有关情况，并妥善保管好文件资料。</w:t>
      </w:r>
    </w:p>
    <w:p w14:paraId="65A26FC7">
      <w:pPr>
        <w:spacing w:line="218" w:lineRule="auto"/>
        <w:ind w:left="550"/>
        <w:rPr>
          <w:rFonts w:ascii="宋体" w:hAnsi="宋体" w:eastAsia="宋体" w:cs="宋体"/>
          <w:sz w:val="27"/>
          <w:szCs w:val="27"/>
        </w:rPr>
      </w:pPr>
      <w:r>
        <w:rPr>
          <w:rFonts w:ascii="宋体" w:hAnsi="宋体" w:eastAsia="宋体" w:cs="宋体"/>
          <w:spacing w:val="-6"/>
          <w:sz w:val="27"/>
          <w:szCs w:val="27"/>
        </w:rPr>
        <w:t>会后，文件资料必须全部交回会务组。</w:t>
      </w:r>
    </w:p>
    <w:p w14:paraId="72871BEB">
      <w:pPr>
        <w:spacing w:before="111" w:line="222" w:lineRule="auto"/>
        <w:rPr>
          <w:rFonts w:ascii="黑体" w:hAnsi="黑体" w:eastAsia="黑体" w:cs="黑体"/>
          <w:sz w:val="27"/>
          <w:szCs w:val="27"/>
        </w:rPr>
      </w:pPr>
      <w:r>
        <w:rPr>
          <w:rFonts w:ascii="黑体" w:hAnsi="黑体" w:eastAsia="黑体" w:cs="黑体"/>
          <w:spacing w:val="2"/>
          <w:sz w:val="27"/>
          <w:szCs w:val="27"/>
        </w:rPr>
        <w:t>12</w:t>
      </w:r>
      <w:r>
        <w:rPr>
          <w:rFonts w:ascii="黑体" w:hAnsi="黑体" w:eastAsia="黑体" w:cs="黑体"/>
          <w:spacing w:val="18"/>
          <w:sz w:val="27"/>
          <w:szCs w:val="27"/>
        </w:rPr>
        <w:t xml:space="preserve">  </w:t>
      </w:r>
      <w:r>
        <w:rPr>
          <w:rFonts w:ascii="黑体" w:hAnsi="黑体" w:eastAsia="黑体" w:cs="黑体"/>
          <w:spacing w:val="2"/>
          <w:sz w:val="27"/>
          <w:szCs w:val="27"/>
        </w:rPr>
        <w:t>投标担保规定</w:t>
      </w:r>
    </w:p>
    <w:p w14:paraId="6E75273B">
      <w:pPr>
        <w:spacing w:before="64" w:line="298" w:lineRule="auto"/>
        <w:ind w:right="122" w:firstLine="550"/>
        <w:rPr>
          <w:rFonts w:ascii="宋体" w:hAnsi="宋体" w:eastAsia="宋体" w:cs="宋体"/>
          <w:sz w:val="27"/>
          <w:szCs w:val="27"/>
        </w:rPr>
      </w:pPr>
      <w:r>
        <w:rPr>
          <w:rFonts w:ascii="宋体" w:hAnsi="宋体" w:eastAsia="宋体" w:cs="宋体"/>
          <w:spacing w:val="-3"/>
          <w:sz w:val="27"/>
          <w:szCs w:val="27"/>
        </w:rPr>
        <w:t>明确投标担保规定。通常，在投标人汇报结束后，请</w:t>
      </w:r>
      <w:r>
        <w:rPr>
          <w:rFonts w:ascii="宋体" w:hAnsi="宋体" w:eastAsia="宋体" w:cs="宋体"/>
          <w:spacing w:val="-4"/>
          <w:sz w:val="27"/>
          <w:szCs w:val="27"/>
        </w:rPr>
        <w:t>驻投标人单位军事代表</w:t>
      </w:r>
      <w:r>
        <w:rPr>
          <w:rFonts w:ascii="宋体" w:hAnsi="宋体" w:eastAsia="宋体" w:cs="宋体"/>
          <w:sz w:val="27"/>
          <w:szCs w:val="27"/>
        </w:rPr>
        <w:t xml:space="preserve"> </w:t>
      </w:r>
      <w:r>
        <w:rPr>
          <w:rFonts w:ascii="宋体" w:hAnsi="宋体" w:eastAsia="宋体" w:cs="宋体"/>
          <w:spacing w:val="4"/>
          <w:sz w:val="27"/>
          <w:szCs w:val="27"/>
        </w:rPr>
        <w:t>机构宣读军事代表机构对投标单位研制生产(研制项目名称)的意见。</w:t>
      </w:r>
    </w:p>
    <w:p w14:paraId="028A86A6">
      <w:pPr>
        <w:spacing w:line="222" w:lineRule="auto"/>
        <w:rPr>
          <w:rFonts w:ascii="黑体" w:hAnsi="黑体" w:eastAsia="黑体" w:cs="黑体"/>
          <w:sz w:val="27"/>
          <w:szCs w:val="27"/>
        </w:rPr>
      </w:pPr>
      <w:r>
        <w:rPr>
          <w:rFonts w:ascii="黑体" w:hAnsi="黑体" w:eastAsia="黑体" w:cs="黑体"/>
          <w:spacing w:val="-8"/>
          <w:sz w:val="27"/>
          <w:szCs w:val="27"/>
        </w:rPr>
        <w:t>13</w:t>
      </w:r>
      <w:r>
        <w:rPr>
          <w:rFonts w:ascii="黑体" w:hAnsi="黑体" w:eastAsia="黑体" w:cs="黑体"/>
          <w:spacing w:val="17"/>
          <w:sz w:val="27"/>
          <w:szCs w:val="27"/>
        </w:rPr>
        <w:t xml:space="preserve">  </w:t>
      </w:r>
      <w:r>
        <w:rPr>
          <w:rFonts w:ascii="黑体" w:hAnsi="黑体" w:eastAsia="黑体" w:cs="黑体"/>
          <w:spacing w:val="-8"/>
          <w:sz w:val="27"/>
          <w:szCs w:val="27"/>
        </w:rPr>
        <w:t>其他</w:t>
      </w:r>
    </w:p>
    <w:p w14:paraId="30F8F49E">
      <w:pPr>
        <w:spacing w:before="103" w:line="320" w:lineRule="auto"/>
        <w:ind w:right="110" w:firstLine="550"/>
        <w:rPr>
          <w:rFonts w:ascii="宋体" w:hAnsi="宋体" w:eastAsia="宋体" w:cs="宋体"/>
          <w:sz w:val="25"/>
          <w:szCs w:val="25"/>
        </w:rPr>
      </w:pPr>
      <w:r>
        <w:rPr>
          <w:rFonts w:ascii="宋体" w:hAnsi="宋体" w:eastAsia="宋体" w:cs="宋体"/>
          <w:spacing w:val="25"/>
          <w:sz w:val="25"/>
          <w:szCs w:val="25"/>
        </w:rPr>
        <w:t>明确其他要求。如评标期间评标组不得接待投标方人员的要求；答辩时间</w:t>
      </w:r>
      <w:r>
        <w:rPr>
          <w:rFonts w:ascii="宋体" w:hAnsi="宋体" w:eastAsia="宋体" w:cs="宋体"/>
          <w:spacing w:val="13"/>
          <w:sz w:val="25"/>
          <w:szCs w:val="25"/>
        </w:rPr>
        <w:t xml:space="preserve"> </w:t>
      </w:r>
      <w:r>
        <w:rPr>
          <w:rFonts w:ascii="宋体" w:hAnsi="宋体" w:eastAsia="宋体" w:cs="宋体"/>
          <w:spacing w:val="17"/>
          <w:sz w:val="25"/>
          <w:szCs w:val="25"/>
        </w:rPr>
        <w:t>控制要求等。</w:t>
      </w:r>
    </w:p>
    <w:p w14:paraId="575D5282">
      <w:pPr>
        <w:spacing w:before="312" w:line="219" w:lineRule="auto"/>
        <w:ind w:left="3589"/>
        <w:outlineLvl w:val="1"/>
        <w:rPr>
          <w:rFonts w:ascii="宋体" w:hAnsi="宋体" w:eastAsia="宋体" w:cs="宋体"/>
          <w:sz w:val="36"/>
          <w:szCs w:val="36"/>
        </w:rPr>
      </w:pPr>
      <w:bookmarkStart w:id="9" w:name="bookmark5"/>
      <w:bookmarkEnd w:id="9"/>
      <w:r>
        <w:rPr>
          <w:rFonts w:ascii="宋体" w:hAnsi="宋体" w:eastAsia="宋体" w:cs="宋体"/>
          <w:spacing w:val="-18"/>
          <w:sz w:val="36"/>
          <w:szCs w:val="36"/>
        </w:rPr>
        <w:t>1.3</w:t>
      </w:r>
      <w:r>
        <w:rPr>
          <w:rFonts w:ascii="宋体" w:hAnsi="宋体" w:eastAsia="宋体" w:cs="宋体"/>
          <w:spacing w:val="28"/>
          <w:sz w:val="36"/>
          <w:szCs w:val="36"/>
        </w:rPr>
        <w:t xml:space="preserve">  </w:t>
      </w:r>
      <w:r>
        <w:rPr>
          <w:rFonts w:ascii="宋体" w:hAnsi="宋体" w:eastAsia="宋体" w:cs="宋体"/>
          <w:b/>
          <w:bCs/>
          <w:spacing w:val="-18"/>
          <w:sz w:val="36"/>
          <w:szCs w:val="36"/>
        </w:rPr>
        <w:t>投</w:t>
      </w:r>
      <w:r>
        <w:rPr>
          <w:rFonts w:ascii="宋体" w:hAnsi="宋体" w:eastAsia="宋体" w:cs="宋体"/>
          <w:spacing w:val="-23"/>
          <w:sz w:val="36"/>
          <w:szCs w:val="36"/>
        </w:rPr>
        <w:t xml:space="preserve"> </w:t>
      </w:r>
      <w:r>
        <w:rPr>
          <w:rFonts w:ascii="宋体" w:hAnsi="宋体" w:eastAsia="宋体" w:cs="宋体"/>
          <w:b/>
          <w:bCs/>
          <w:spacing w:val="-18"/>
          <w:sz w:val="36"/>
          <w:szCs w:val="36"/>
        </w:rPr>
        <w:t>标</w:t>
      </w:r>
      <w:r>
        <w:rPr>
          <w:rFonts w:ascii="宋体" w:hAnsi="宋体" w:eastAsia="宋体" w:cs="宋体"/>
          <w:spacing w:val="-18"/>
          <w:sz w:val="36"/>
          <w:szCs w:val="36"/>
        </w:rPr>
        <w:t xml:space="preserve"> </w:t>
      </w:r>
      <w:r>
        <w:rPr>
          <w:rFonts w:ascii="宋体" w:hAnsi="宋体" w:eastAsia="宋体" w:cs="宋体"/>
          <w:b/>
          <w:bCs/>
          <w:spacing w:val="-18"/>
          <w:sz w:val="36"/>
          <w:szCs w:val="36"/>
        </w:rPr>
        <w:t>书</w:t>
      </w:r>
    </w:p>
    <w:p w14:paraId="43883CA9">
      <w:pPr>
        <w:pStyle w:val="2"/>
        <w:spacing w:line="333" w:lineRule="auto"/>
      </w:pPr>
    </w:p>
    <w:p w14:paraId="758EEA29">
      <w:pPr>
        <w:spacing w:before="91" w:line="223" w:lineRule="auto"/>
        <w:ind w:left="553"/>
        <w:rPr>
          <w:rFonts w:ascii="楷体" w:hAnsi="楷体" w:eastAsia="楷体" w:cs="楷体"/>
          <w:sz w:val="28"/>
          <w:szCs w:val="28"/>
        </w:rPr>
      </w:pPr>
      <w:r>
        <w:rPr>
          <w:rFonts w:ascii="楷体" w:hAnsi="楷体" w:eastAsia="楷体" w:cs="楷体"/>
          <w:b/>
          <w:bCs/>
          <w:spacing w:val="-14"/>
          <w:sz w:val="28"/>
          <w:szCs w:val="28"/>
        </w:rPr>
        <w:t>按照《武器装备研制项目招标管理办法》第15条编写。</w:t>
      </w:r>
    </w:p>
    <w:p w14:paraId="147DF0CB">
      <w:pPr>
        <w:spacing w:before="151" w:line="222" w:lineRule="auto"/>
        <w:rPr>
          <w:rFonts w:ascii="黑体" w:hAnsi="黑体" w:eastAsia="黑体" w:cs="黑体"/>
          <w:sz w:val="25"/>
          <w:szCs w:val="25"/>
        </w:rPr>
      </w:pPr>
      <w:r>
        <w:rPr>
          <w:rFonts w:ascii="黑体" w:hAnsi="黑体" w:eastAsia="黑体" w:cs="黑体"/>
          <w:spacing w:val="8"/>
          <w:sz w:val="25"/>
          <w:szCs w:val="25"/>
        </w:rPr>
        <w:t>1</w:t>
      </w:r>
      <w:r>
        <w:rPr>
          <w:rFonts w:ascii="黑体" w:hAnsi="黑体" w:eastAsia="黑体" w:cs="黑体"/>
          <w:spacing w:val="44"/>
          <w:sz w:val="25"/>
          <w:szCs w:val="25"/>
        </w:rPr>
        <w:t xml:space="preserve">  </w:t>
      </w:r>
      <w:r>
        <w:rPr>
          <w:rFonts w:ascii="黑体" w:hAnsi="黑体" w:eastAsia="黑体" w:cs="黑体"/>
          <w:spacing w:val="8"/>
          <w:sz w:val="25"/>
          <w:szCs w:val="25"/>
        </w:rPr>
        <w:t>投标函</w:t>
      </w:r>
    </w:p>
    <w:p w14:paraId="7E8FE708">
      <w:pPr>
        <w:spacing w:before="111" w:line="285" w:lineRule="auto"/>
        <w:ind w:right="105" w:firstLine="550"/>
        <w:jc w:val="both"/>
        <w:rPr>
          <w:rFonts w:ascii="宋体" w:hAnsi="宋体" w:eastAsia="宋体" w:cs="宋体"/>
          <w:sz w:val="27"/>
          <w:szCs w:val="27"/>
        </w:rPr>
      </w:pPr>
      <w:r>
        <w:rPr>
          <w:rFonts w:ascii="宋体" w:hAnsi="宋体" w:eastAsia="宋体" w:cs="宋体"/>
          <w:spacing w:val="5"/>
          <w:sz w:val="27"/>
          <w:szCs w:val="27"/>
        </w:rPr>
        <w:t>投标函是投标人响应招标的邀请参加投标活动的说明，应简明扼要地说明</w:t>
      </w:r>
      <w:r>
        <w:rPr>
          <w:rFonts w:ascii="宋体" w:hAnsi="宋体" w:eastAsia="宋体" w:cs="宋体"/>
          <w:spacing w:val="18"/>
          <w:sz w:val="27"/>
          <w:szCs w:val="27"/>
        </w:rPr>
        <w:t xml:space="preserve"> </w:t>
      </w:r>
      <w:r>
        <w:rPr>
          <w:rFonts w:ascii="宋体" w:hAnsi="宋体" w:eastAsia="宋体" w:cs="宋体"/>
          <w:spacing w:val="-6"/>
          <w:sz w:val="27"/>
          <w:szCs w:val="27"/>
        </w:rPr>
        <w:t>投标的目的、授权情况和必要的承诺(如：愿意积极</w:t>
      </w:r>
      <w:r>
        <w:rPr>
          <w:rFonts w:ascii="宋体" w:hAnsi="宋体" w:eastAsia="宋体" w:cs="宋体"/>
          <w:spacing w:val="-7"/>
          <w:sz w:val="27"/>
          <w:szCs w:val="27"/>
        </w:rPr>
        <w:t>承担军工产品研制任务；愿意</w:t>
      </w:r>
      <w:r>
        <w:rPr>
          <w:rFonts w:ascii="宋体" w:hAnsi="宋体" w:eastAsia="宋体" w:cs="宋体"/>
          <w:sz w:val="27"/>
          <w:szCs w:val="27"/>
        </w:rPr>
        <w:t xml:space="preserve"> </w:t>
      </w:r>
      <w:r>
        <w:rPr>
          <w:rFonts w:ascii="宋体" w:hAnsi="宋体" w:eastAsia="宋体" w:cs="宋体"/>
          <w:spacing w:val="-3"/>
          <w:sz w:val="27"/>
          <w:szCs w:val="27"/>
        </w:rPr>
        <w:t>遵守《中华人民共和国招标投标法》和《武器装备研制项目招标管理办法》的规</w:t>
      </w:r>
      <w:r>
        <w:rPr>
          <w:rFonts w:ascii="宋体" w:hAnsi="宋体" w:eastAsia="宋体" w:cs="宋体"/>
          <w:spacing w:val="5"/>
          <w:sz w:val="27"/>
          <w:szCs w:val="27"/>
        </w:rPr>
        <w:t xml:space="preserve"> </w:t>
      </w:r>
      <w:r>
        <w:rPr>
          <w:rFonts w:ascii="宋体" w:hAnsi="宋体" w:eastAsia="宋体" w:cs="宋体"/>
          <w:spacing w:val="-10"/>
          <w:sz w:val="27"/>
          <w:szCs w:val="27"/>
        </w:rPr>
        <w:t>定，与其他单位进行公平、公正的竞争，尊重评标结果；如果中</w:t>
      </w:r>
      <w:r>
        <w:rPr>
          <w:rFonts w:ascii="宋体" w:hAnsi="宋体" w:eastAsia="宋体" w:cs="宋体"/>
          <w:spacing w:val="-11"/>
          <w:sz w:val="27"/>
          <w:szCs w:val="27"/>
        </w:rPr>
        <w:t>标，将按照招标要</w:t>
      </w:r>
      <w:r>
        <w:rPr>
          <w:rFonts w:ascii="宋体" w:hAnsi="宋体" w:eastAsia="宋体" w:cs="宋体"/>
          <w:sz w:val="27"/>
          <w:szCs w:val="27"/>
        </w:rPr>
        <w:t xml:space="preserve"> </w:t>
      </w:r>
      <w:r>
        <w:rPr>
          <w:rFonts w:ascii="宋体" w:hAnsi="宋体" w:eastAsia="宋体" w:cs="宋体"/>
          <w:spacing w:val="4"/>
          <w:sz w:val="27"/>
          <w:szCs w:val="27"/>
        </w:rPr>
        <w:t>求完成研制并提供有关文件资料等),并加盖法人单位公章。</w:t>
      </w:r>
    </w:p>
    <w:p w14:paraId="74BD8856">
      <w:pPr>
        <w:spacing w:before="23" w:line="221"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21"/>
          <w:sz w:val="27"/>
          <w:szCs w:val="27"/>
        </w:rPr>
        <w:t xml:space="preserve">  </w:t>
      </w:r>
      <w:r>
        <w:rPr>
          <w:rFonts w:ascii="黑体" w:hAnsi="黑体" w:eastAsia="黑体" w:cs="黑体"/>
          <w:spacing w:val="-3"/>
          <w:sz w:val="27"/>
          <w:szCs w:val="27"/>
        </w:rPr>
        <w:t>投标方案</w:t>
      </w:r>
    </w:p>
    <w:p w14:paraId="4CB6CEB1">
      <w:pPr>
        <w:spacing w:before="109" w:line="277" w:lineRule="auto"/>
        <w:ind w:right="83" w:firstLine="550"/>
        <w:jc w:val="both"/>
        <w:rPr>
          <w:rFonts w:ascii="宋体" w:hAnsi="宋体" w:eastAsia="宋体" w:cs="宋体"/>
          <w:sz w:val="27"/>
          <w:szCs w:val="27"/>
        </w:rPr>
      </w:pPr>
      <w:r>
        <w:rPr>
          <w:rFonts w:ascii="宋体" w:hAnsi="宋体" w:eastAsia="宋体" w:cs="宋体"/>
          <w:spacing w:val="5"/>
          <w:sz w:val="27"/>
          <w:szCs w:val="27"/>
        </w:rPr>
        <w:t>投标方案是投标书中的核心内容之一，全面反映投标人的技术实力和技术</w:t>
      </w:r>
      <w:r>
        <w:rPr>
          <w:rFonts w:ascii="宋体" w:hAnsi="宋体" w:eastAsia="宋体" w:cs="宋体"/>
          <w:spacing w:val="9"/>
          <w:sz w:val="27"/>
          <w:szCs w:val="27"/>
        </w:rPr>
        <w:t xml:space="preserve"> </w:t>
      </w:r>
      <w:r>
        <w:rPr>
          <w:rFonts w:ascii="宋体" w:hAnsi="宋体" w:eastAsia="宋体" w:cs="宋体"/>
          <w:spacing w:val="-2"/>
          <w:sz w:val="27"/>
          <w:szCs w:val="27"/>
        </w:rPr>
        <w:t>水平。应按照招标书对投标方案的编写要求，或参照本书1.16《研制方案》的目</w:t>
      </w:r>
      <w:r>
        <w:rPr>
          <w:rFonts w:ascii="宋体" w:hAnsi="宋体" w:eastAsia="宋体" w:cs="宋体"/>
          <w:spacing w:val="14"/>
          <w:sz w:val="27"/>
          <w:szCs w:val="27"/>
        </w:rPr>
        <w:t xml:space="preserve"> </w:t>
      </w:r>
      <w:r>
        <w:rPr>
          <w:rFonts w:ascii="宋体" w:hAnsi="宋体" w:eastAsia="宋体" w:cs="宋体"/>
          <w:spacing w:val="-10"/>
          <w:sz w:val="27"/>
          <w:szCs w:val="27"/>
        </w:rPr>
        <w:t>次格式，编写投标方案，含方案的先进性、技术经济可行性论</w:t>
      </w:r>
      <w:r>
        <w:rPr>
          <w:rFonts w:ascii="宋体" w:hAnsi="宋体" w:eastAsia="宋体" w:cs="宋体"/>
          <w:spacing w:val="-11"/>
          <w:sz w:val="27"/>
          <w:szCs w:val="27"/>
        </w:rPr>
        <w:t>证、关键技术储备情</w:t>
      </w:r>
      <w:r>
        <w:rPr>
          <w:rFonts w:ascii="宋体" w:hAnsi="宋体" w:eastAsia="宋体" w:cs="宋体"/>
          <w:sz w:val="27"/>
          <w:szCs w:val="27"/>
        </w:rPr>
        <w:t xml:space="preserve"> </w:t>
      </w:r>
      <w:r>
        <w:rPr>
          <w:rFonts w:ascii="宋体" w:hAnsi="宋体" w:eastAsia="宋体" w:cs="宋体"/>
          <w:spacing w:val="-9"/>
          <w:sz w:val="27"/>
          <w:szCs w:val="27"/>
        </w:rPr>
        <w:t>况、可借鉴的预研成果等。</w:t>
      </w:r>
    </w:p>
    <w:p w14:paraId="3D5A25AB">
      <w:pPr>
        <w:pStyle w:val="2"/>
        <w:spacing w:line="368" w:lineRule="exact"/>
        <w:rPr>
          <w:rFonts w:ascii="黑体" w:hAnsi="黑体" w:eastAsia="黑体" w:cs="黑体"/>
          <w:sz w:val="27"/>
          <w:szCs w:val="27"/>
        </w:rPr>
      </w:pPr>
      <w:r>
        <w:rPr>
          <w:spacing w:val="3"/>
          <w:position w:val="1"/>
          <w:sz w:val="27"/>
          <w:szCs w:val="27"/>
        </w:rPr>
        <w:t>3</w:t>
      </w:r>
      <w:r>
        <w:rPr>
          <w:position w:val="1"/>
          <w:sz w:val="27"/>
          <w:szCs w:val="27"/>
        </w:rPr>
        <w:t xml:space="preserve">    </w:t>
      </w:r>
      <w:r>
        <w:rPr>
          <w:rFonts w:ascii="黑体" w:hAnsi="黑体" w:eastAsia="黑体" w:cs="黑体"/>
          <w:spacing w:val="3"/>
          <w:position w:val="1"/>
          <w:sz w:val="27"/>
          <w:szCs w:val="27"/>
        </w:rPr>
        <w:t>投标报价及构成细目</w:t>
      </w:r>
    </w:p>
    <w:p w14:paraId="1FDFB805">
      <w:pPr>
        <w:spacing w:before="100" w:line="280" w:lineRule="auto"/>
        <w:ind w:firstLine="550"/>
        <w:jc w:val="both"/>
        <w:rPr>
          <w:rFonts w:ascii="宋体" w:hAnsi="宋体" w:eastAsia="宋体" w:cs="宋体"/>
          <w:sz w:val="27"/>
          <w:szCs w:val="27"/>
        </w:rPr>
      </w:pPr>
      <w:r>
        <w:rPr>
          <w:rFonts w:ascii="宋体" w:hAnsi="宋体" w:eastAsia="宋体" w:cs="宋体"/>
          <w:spacing w:val="-8"/>
          <w:sz w:val="27"/>
          <w:szCs w:val="27"/>
        </w:rPr>
        <w:t>给出投标报价及构成细目。构成细目包括设计费、材料费、设备费、外协费、</w:t>
      </w:r>
      <w:r>
        <w:rPr>
          <w:rFonts w:ascii="宋体" w:hAnsi="宋体" w:eastAsia="宋体" w:cs="宋体"/>
          <w:spacing w:val="15"/>
          <w:sz w:val="27"/>
          <w:szCs w:val="27"/>
        </w:rPr>
        <w:t xml:space="preserve"> </w:t>
      </w:r>
      <w:r>
        <w:rPr>
          <w:rFonts w:ascii="宋体" w:hAnsi="宋体" w:eastAsia="宋体" w:cs="宋体"/>
          <w:spacing w:val="13"/>
          <w:sz w:val="27"/>
          <w:szCs w:val="27"/>
        </w:rPr>
        <w:t>试验费、固定资产使用费、管理费和不可预见费等。报价书根据要求可单独</w:t>
      </w:r>
      <w:r>
        <w:rPr>
          <w:rFonts w:ascii="宋体" w:hAnsi="宋体" w:eastAsia="宋体" w:cs="宋体"/>
          <w:spacing w:val="7"/>
          <w:sz w:val="27"/>
          <w:szCs w:val="27"/>
        </w:rPr>
        <w:t xml:space="preserve">  </w:t>
      </w:r>
      <w:r>
        <w:rPr>
          <w:rFonts w:ascii="宋体" w:hAnsi="宋体" w:eastAsia="宋体" w:cs="宋体"/>
          <w:spacing w:val="-6"/>
          <w:sz w:val="27"/>
          <w:szCs w:val="27"/>
        </w:rPr>
        <w:t>成册。</w:t>
      </w:r>
    </w:p>
    <w:p w14:paraId="6B78EA6A">
      <w:pPr>
        <w:spacing w:before="41" w:line="222" w:lineRule="auto"/>
        <w:rPr>
          <w:rFonts w:ascii="黑体" w:hAnsi="黑体" w:eastAsia="黑体" w:cs="黑体"/>
          <w:sz w:val="25"/>
          <w:szCs w:val="25"/>
        </w:rPr>
      </w:pPr>
      <w:r>
        <w:rPr>
          <w:rFonts w:ascii="黑体" w:hAnsi="黑体" w:eastAsia="黑体" w:cs="黑体"/>
          <w:spacing w:val="18"/>
          <w:sz w:val="25"/>
          <w:szCs w:val="25"/>
        </w:rPr>
        <w:t>4</w:t>
      </w:r>
      <w:r>
        <w:rPr>
          <w:rFonts w:ascii="黑体" w:hAnsi="黑体" w:eastAsia="黑体" w:cs="黑体"/>
          <w:spacing w:val="35"/>
          <w:sz w:val="25"/>
          <w:szCs w:val="25"/>
        </w:rPr>
        <w:t xml:space="preserve">  </w:t>
      </w:r>
      <w:r>
        <w:rPr>
          <w:rFonts w:ascii="黑体" w:hAnsi="黑体" w:eastAsia="黑体" w:cs="黑体"/>
          <w:spacing w:val="18"/>
          <w:sz w:val="25"/>
          <w:szCs w:val="25"/>
        </w:rPr>
        <w:t>研制周期</w:t>
      </w:r>
    </w:p>
    <w:p w14:paraId="5EEF9496">
      <w:pPr>
        <w:spacing w:before="122" w:line="219" w:lineRule="auto"/>
        <w:ind w:left="550"/>
        <w:rPr>
          <w:rFonts w:ascii="宋体" w:hAnsi="宋体" w:eastAsia="宋体" w:cs="宋体"/>
          <w:sz w:val="27"/>
          <w:szCs w:val="27"/>
        </w:rPr>
      </w:pPr>
      <w:r>
        <w:rPr>
          <w:rFonts w:ascii="宋体" w:hAnsi="宋体" w:eastAsia="宋体" w:cs="宋体"/>
          <w:spacing w:val="-1"/>
          <w:sz w:val="27"/>
          <w:szCs w:val="27"/>
        </w:rPr>
        <w:t>明确给出项目研制所需总时间，并制定详细的计划进度表(甘特图)。</w:t>
      </w:r>
    </w:p>
    <w:p w14:paraId="2374D23A">
      <w:pPr>
        <w:spacing w:line="219" w:lineRule="auto"/>
        <w:rPr>
          <w:rFonts w:ascii="宋体" w:hAnsi="宋体" w:eastAsia="宋体" w:cs="宋体"/>
          <w:sz w:val="27"/>
          <w:szCs w:val="27"/>
        </w:rPr>
        <w:sectPr>
          <w:footerReference r:id="rId28" w:type="default"/>
          <w:pgSz w:w="11910" w:h="17130"/>
          <w:pgMar w:top="400" w:right="1254" w:bottom="1690" w:left="1180" w:header="0" w:footer="1404" w:gutter="0"/>
          <w:cols w:space="720" w:num="1"/>
        </w:sectPr>
      </w:pPr>
    </w:p>
    <w:p w14:paraId="1AD60E93">
      <w:pPr>
        <w:pStyle w:val="2"/>
        <w:spacing w:line="249" w:lineRule="auto"/>
      </w:pPr>
    </w:p>
    <w:p w14:paraId="756F0C5C">
      <w:pPr>
        <w:pStyle w:val="2"/>
        <w:spacing w:line="249" w:lineRule="auto"/>
      </w:pPr>
    </w:p>
    <w:p w14:paraId="2C1FFBE2">
      <w:pPr>
        <w:pStyle w:val="2"/>
        <w:spacing w:line="249" w:lineRule="auto"/>
      </w:pPr>
    </w:p>
    <w:p w14:paraId="268354CD">
      <w:pPr>
        <w:pStyle w:val="2"/>
        <w:spacing w:line="250" w:lineRule="auto"/>
      </w:pPr>
    </w:p>
    <w:p w14:paraId="0B2A124E">
      <w:pPr>
        <w:spacing w:before="81" w:line="221" w:lineRule="auto"/>
        <w:rPr>
          <w:rFonts w:ascii="黑体" w:hAnsi="黑体" w:eastAsia="黑体" w:cs="黑体"/>
          <w:sz w:val="25"/>
          <w:szCs w:val="25"/>
        </w:rPr>
      </w:pPr>
      <w:r>
        <w:rPr>
          <w:rFonts w:ascii="黑体" w:hAnsi="黑体" w:eastAsia="黑体" w:cs="黑体"/>
          <w:spacing w:val="16"/>
          <w:sz w:val="25"/>
          <w:szCs w:val="25"/>
        </w:rPr>
        <w:t>5</w:t>
      </w:r>
      <w:r>
        <w:rPr>
          <w:rFonts w:ascii="黑体" w:hAnsi="黑体" w:eastAsia="黑体" w:cs="黑体"/>
          <w:spacing w:val="32"/>
          <w:sz w:val="25"/>
          <w:szCs w:val="25"/>
        </w:rPr>
        <w:t xml:space="preserve">  </w:t>
      </w:r>
      <w:r>
        <w:rPr>
          <w:rFonts w:ascii="黑体" w:hAnsi="黑体" w:eastAsia="黑体" w:cs="黑体"/>
          <w:b/>
          <w:bCs/>
          <w:spacing w:val="16"/>
          <w:sz w:val="25"/>
          <w:szCs w:val="25"/>
        </w:rPr>
        <w:t>投标说明</w:t>
      </w:r>
    </w:p>
    <w:p w14:paraId="5BB71619">
      <w:pPr>
        <w:spacing w:before="97" w:line="219" w:lineRule="auto"/>
        <w:ind w:left="570"/>
        <w:rPr>
          <w:rFonts w:ascii="宋体" w:hAnsi="宋体" w:eastAsia="宋体" w:cs="宋体"/>
          <w:sz w:val="27"/>
          <w:szCs w:val="27"/>
        </w:rPr>
      </w:pPr>
      <w:r>
        <w:rPr>
          <w:rFonts w:ascii="宋体" w:hAnsi="宋体" w:eastAsia="宋体" w:cs="宋体"/>
          <w:spacing w:val="-4"/>
          <w:sz w:val="27"/>
          <w:szCs w:val="27"/>
        </w:rPr>
        <w:t>对投标进行说明，包括必须由国家安排的技术改造、基建费和外汇等。</w:t>
      </w:r>
    </w:p>
    <w:p w14:paraId="633139DD">
      <w:pPr>
        <w:pStyle w:val="2"/>
        <w:spacing w:before="71" w:line="213" w:lineRule="auto"/>
        <w:rPr>
          <w:rFonts w:ascii="黑体" w:hAnsi="黑体" w:eastAsia="黑体" w:cs="黑体"/>
          <w:sz w:val="27"/>
          <w:szCs w:val="27"/>
        </w:rPr>
      </w:pPr>
      <w:r>
        <w:rPr>
          <w:b/>
          <w:bCs/>
          <w:spacing w:val="-2"/>
          <w:sz w:val="27"/>
          <w:szCs w:val="27"/>
        </w:rPr>
        <w:t>6</w:t>
      </w:r>
      <w:r>
        <w:rPr>
          <w:b/>
          <w:bCs/>
          <w:spacing w:val="23"/>
          <w:sz w:val="27"/>
          <w:szCs w:val="27"/>
        </w:rPr>
        <w:t xml:space="preserve">   </w:t>
      </w:r>
      <w:r>
        <w:rPr>
          <w:rFonts w:ascii="黑体" w:hAnsi="黑体" w:eastAsia="黑体" w:cs="黑体"/>
          <w:b/>
          <w:bCs/>
          <w:spacing w:val="-2"/>
          <w:sz w:val="27"/>
          <w:szCs w:val="27"/>
        </w:rPr>
        <w:t>武器装备研制许可证，法定代表人资格证明或投标代</w:t>
      </w:r>
      <w:r>
        <w:rPr>
          <w:rFonts w:ascii="黑体" w:hAnsi="黑体" w:eastAsia="黑体" w:cs="黑体"/>
          <w:b/>
          <w:bCs/>
          <w:spacing w:val="-3"/>
          <w:sz w:val="27"/>
          <w:szCs w:val="27"/>
        </w:rPr>
        <w:t>理人资格委托书</w:t>
      </w:r>
    </w:p>
    <w:p w14:paraId="0067F859">
      <w:pPr>
        <w:spacing w:before="80" w:line="321" w:lineRule="auto"/>
        <w:ind w:firstLine="570"/>
        <w:rPr>
          <w:rFonts w:ascii="宋体" w:hAnsi="宋体" w:eastAsia="宋体" w:cs="宋体"/>
          <w:sz w:val="25"/>
          <w:szCs w:val="25"/>
        </w:rPr>
      </w:pPr>
      <w:r>
        <w:rPr>
          <w:rFonts w:ascii="宋体" w:hAnsi="宋体" w:eastAsia="宋体" w:cs="宋体"/>
          <w:spacing w:val="29"/>
          <w:sz w:val="25"/>
          <w:szCs w:val="25"/>
        </w:rPr>
        <w:t>提供武器装备研制许可证(复印件),法定代表人资格证明或投标代理人资</w:t>
      </w:r>
      <w:r>
        <w:rPr>
          <w:rFonts w:ascii="宋体" w:hAnsi="宋体" w:eastAsia="宋体" w:cs="宋体"/>
          <w:spacing w:val="5"/>
          <w:sz w:val="25"/>
          <w:szCs w:val="25"/>
        </w:rPr>
        <w:t xml:space="preserve"> </w:t>
      </w:r>
      <w:r>
        <w:rPr>
          <w:rFonts w:ascii="宋体" w:hAnsi="宋体" w:eastAsia="宋体" w:cs="宋体"/>
          <w:spacing w:val="16"/>
          <w:sz w:val="25"/>
          <w:szCs w:val="25"/>
        </w:rPr>
        <w:t>格委托书。</w:t>
      </w:r>
    </w:p>
    <w:p w14:paraId="2934C605">
      <w:pPr>
        <w:pStyle w:val="2"/>
        <w:spacing w:before="1" w:line="220" w:lineRule="auto"/>
        <w:rPr>
          <w:rFonts w:ascii="黑体" w:hAnsi="黑体" w:eastAsia="黑体" w:cs="黑体"/>
          <w:sz w:val="24"/>
          <w:szCs w:val="24"/>
        </w:rPr>
      </w:pPr>
      <w:r>
        <w:rPr>
          <w:b/>
          <w:bCs/>
          <w:spacing w:val="21"/>
          <w:sz w:val="24"/>
          <w:szCs w:val="24"/>
        </w:rPr>
        <w:t xml:space="preserve">7    </w:t>
      </w:r>
      <w:r>
        <w:rPr>
          <w:rFonts w:ascii="黑体" w:hAnsi="黑体" w:eastAsia="黑体" w:cs="黑体"/>
          <w:b/>
          <w:bCs/>
          <w:spacing w:val="21"/>
          <w:sz w:val="24"/>
          <w:szCs w:val="24"/>
        </w:rPr>
        <w:t>承研承制能力说明</w:t>
      </w:r>
    </w:p>
    <w:p w14:paraId="0F27177B">
      <w:pPr>
        <w:spacing w:before="112" w:line="221" w:lineRule="auto"/>
        <w:rPr>
          <w:rFonts w:ascii="黑体" w:hAnsi="黑体" w:eastAsia="黑体" w:cs="黑体"/>
          <w:sz w:val="24"/>
          <w:szCs w:val="24"/>
        </w:rPr>
      </w:pPr>
      <w:r>
        <w:rPr>
          <w:rFonts w:ascii="黑体" w:hAnsi="黑体" w:eastAsia="黑体" w:cs="黑体"/>
          <w:spacing w:val="25"/>
          <w:sz w:val="24"/>
          <w:szCs w:val="24"/>
        </w:rPr>
        <w:t>7.1</w:t>
      </w:r>
      <w:r>
        <w:rPr>
          <w:rFonts w:ascii="黑体" w:hAnsi="黑体" w:eastAsia="黑体" w:cs="黑体"/>
          <w:spacing w:val="57"/>
          <w:sz w:val="24"/>
          <w:szCs w:val="24"/>
        </w:rPr>
        <w:t xml:space="preserve">  </w:t>
      </w:r>
      <w:r>
        <w:rPr>
          <w:rFonts w:ascii="黑体" w:hAnsi="黑体" w:eastAsia="黑体" w:cs="黑体"/>
          <w:b/>
          <w:bCs/>
          <w:spacing w:val="25"/>
          <w:sz w:val="24"/>
          <w:szCs w:val="24"/>
        </w:rPr>
        <w:t>近两年的财务状况资料</w:t>
      </w:r>
    </w:p>
    <w:p w14:paraId="40C102A1">
      <w:pPr>
        <w:spacing w:before="98" w:line="219" w:lineRule="auto"/>
        <w:ind w:left="570"/>
        <w:rPr>
          <w:rFonts w:ascii="宋体" w:hAnsi="宋体" w:eastAsia="宋体" w:cs="宋体"/>
          <w:sz w:val="27"/>
          <w:szCs w:val="27"/>
        </w:rPr>
      </w:pPr>
      <w:r>
        <w:rPr>
          <w:rFonts w:ascii="宋体" w:hAnsi="宋体" w:eastAsia="宋体" w:cs="宋体"/>
          <w:spacing w:val="4"/>
          <w:sz w:val="27"/>
          <w:szCs w:val="27"/>
        </w:rPr>
        <w:t>如实提供近两年的财务状况资料。</w:t>
      </w:r>
    </w:p>
    <w:p w14:paraId="2C1BB95E">
      <w:pPr>
        <w:spacing w:before="105" w:line="221" w:lineRule="auto"/>
        <w:rPr>
          <w:rFonts w:ascii="黑体" w:hAnsi="黑体" w:eastAsia="黑体" w:cs="黑体"/>
          <w:sz w:val="24"/>
          <w:szCs w:val="24"/>
        </w:rPr>
      </w:pPr>
      <w:r>
        <w:rPr>
          <w:rFonts w:ascii="黑体" w:hAnsi="黑体" w:eastAsia="黑体" w:cs="黑体"/>
          <w:spacing w:val="24"/>
          <w:sz w:val="24"/>
          <w:szCs w:val="24"/>
        </w:rPr>
        <w:t>7.2</w:t>
      </w:r>
      <w:r>
        <w:rPr>
          <w:rFonts w:ascii="黑体" w:hAnsi="黑体" w:eastAsia="黑体" w:cs="黑体"/>
          <w:spacing w:val="2"/>
          <w:sz w:val="24"/>
          <w:szCs w:val="24"/>
        </w:rPr>
        <w:t xml:space="preserve">   </w:t>
      </w:r>
      <w:r>
        <w:rPr>
          <w:rFonts w:ascii="黑体" w:hAnsi="黑体" w:eastAsia="黑体" w:cs="黑体"/>
          <w:b/>
          <w:bCs/>
          <w:spacing w:val="24"/>
          <w:sz w:val="24"/>
          <w:szCs w:val="24"/>
        </w:rPr>
        <w:t>已承担的科研任务情况</w:t>
      </w:r>
    </w:p>
    <w:p w14:paraId="17B26168">
      <w:pPr>
        <w:spacing w:before="97" w:line="219" w:lineRule="auto"/>
        <w:ind w:left="570"/>
        <w:rPr>
          <w:rFonts w:ascii="宋体" w:hAnsi="宋体" w:eastAsia="宋体" w:cs="宋体"/>
          <w:sz w:val="27"/>
          <w:szCs w:val="27"/>
        </w:rPr>
      </w:pPr>
      <w:r>
        <w:rPr>
          <w:rFonts w:ascii="宋体" w:hAnsi="宋体" w:eastAsia="宋体" w:cs="宋体"/>
          <w:sz w:val="27"/>
          <w:szCs w:val="27"/>
        </w:rPr>
        <w:t>如实说明已承担的科研任务情况，特别是关键技</w:t>
      </w:r>
      <w:r>
        <w:rPr>
          <w:rFonts w:ascii="宋体" w:hAnsi="宋体" w:eastAsia="宋体" w:cs="宋体"/>
          <w:spacing w:val="-1"/>
          <w:sz w:val="27"/>
          <w:szCs w:val="27"/>
        </w:rPr>
        <w:t>术储备情况。</w:t>
      </w:r>
    </w:p>
    <w:p w14:paraId="2B2A6CFF">
      <w:pPr>
        <w:spacing w:before="86" w:line="221" w:lineRule="auto"/>
        <w:rPr>
          <w:rFonts w:ascii="黑体" w:hAnsi="黑体" w:eastAsia="黑体" w:cs="黑体"/>
          <w:sz w:val="27"/>
          <w:szCs w:val="27"/>
        </w:rPr>
      </w:pPr>
      <w:r>
        <w:rPr>
          <w:rFonts w:ascii="黑体" w:hAnsi="黑体" w:eastAsia="黑体" w:cs="黑体"/>
          <w:spacing w:val="3"/>
          <w:sz w:val="27"/>
          <w:szCs w:val="27"/>
        </w:rPr>
        <w:t xml:space="preserve">7.3  </w:t>
      </w:r>
      <w:r>
        <w:rPr>
          <w:rFonts w:ascii="黑体" w:hAnsi="黑体" w:eastAsia="黑体" w:cs="黑体"/>
          <w:b/>
          <w:bCs/>
          <w:spacing w:val="3"/>
          <w:sz w:val="27"/>
          <w:szCs w:val="27"/>
        </w:rPr>
        <w:t>能用于本研制项目的各项管理人员和技术人员能力</w:t>
      </w:r>
    </w:p>
    <w:p w14:paraId="0519F3AD">
      <w:pPr>
        <w:spacing w:before="72" w:line="279" w:lineRule="auto"/>
        <w:ind w:right="16" w:firstLine="570"/>
        <w:rPr>
          <w:rFonts w:ascii="宋体" w:hAnsi="宋体" w:eastAsia="宋体" w:cs="宋体"/>
          <w:sz w:val="27"/>
          <w:szCs w:val="27"/>
        </w:rPr>
      </w:pPr>
      <w:r>
        <w:rPr>
          <w:rFonts w:ascii="宋体" w:hAnsi="宋体" w:eastAsia="宋体" w:cs="宋体"/>
          <w:spacing w:val="6"/>
          <w:sz w:val="27"/>
          <w:szCs w:val="27"/>
        </w:rPr>
        <w:t>如实说明能用于本研制项目的各项管理人员和技</w:t>
      </w:r>
      <w:r>
        <w:rPr>
          <w:rFonts w:ascii="宋体" w:hAnsi="宋体" w:eastAsia="宋体" w:cs="宋体"/>
          <w:spacing w:val="5"/>
          <w:sz w:val="27"/>
          <w:szCs w:val="27"/>
        </w:rPr>
        <w:t>术人员能力，可列表给出</w:t>
      </w:r>
      <w:r>
        <w:rPr>
          <w:rFonts w:ascii="宋体" w:hAnsi="宋体" w:eastAsia="宋体" w:cs="宋体"/>
          <w:sz w:val="27"/>
          <w:szCs w:val="27"/>
        </w:rPr>
        <w:t xml:space="preserve"> </w:t>
      </w:r>
      <w:r>
        <w:rPr>
          <w:rFonts w:ascii="宋体" w:hAnsi="宋体" w:eastAsia="宋体" w:cs="宋体"/>
          <w:spacing w:val="4"/>
          <w:sz w:val="27"/>
          <w:szCs w:val="27"/>
        </w:rPr>
        <w:t>拟参加研制工作的主要管理人员和技术人员。</w:t>
      </w:r>
    </w:p>
    <w:p w14:paraId="11347770">
      <w:pPr>
        <w:pStyle w:val="2"/>
        <w:spacing w:line="221" w:lineRule="auto"/>
        <w:rPr>
          <w:rFonts w:ascii="黑体" w:hAnsi="黑体" w:eastAsia="黑体" w:cs="黑体"/>
          <w:sz w:val="27"/>
          <w:szCs w:val="27"/>
        </w:rPr>
      </w:pPr>
      <w:r>
        <w:rPr>
          <w:b/>
          <w:bCs/>
          <w:spacing w:val="1"/>
          <w:sz w:val="27"/>
          <w:szCs w:val="27"/>
        </w:rPr>
        <w:t>7.4</w:t>
      </w:r>
      <w:r>
        <w:rPr>
          <w:b/>
          <w:bCs/>
          <w:spacing w:val="13"/>
          <w:sz w:val="27"/>
          <w:szCs w:val="27"/>
        </w:rPr>
        <w:t xml:space="preserve">    </w:t>
      </w:r>
      <w:r>
        <w:rPr>
          <w:rFonts w:ascii="黑体" w:hAnsi="黑体" w:eastAsia="黑体" w:cs="黑体"/>
          <w:b/>
          <w:bCs/>
          <w:spacing w:val="1"/>
          <w:sz w:val="27"/>
          <w:szCs w:val="27"/>
        </w:rPr>
        <w:t>能用于本研制项目的技术设备能力</w:t>
      </w:r>
    </w:p>
    <w:p w14:paraId="6E9F30F3">
      <w:pPr>
        <w:spacing w:before="100" w:line="219" w:lineRule="auto"/>
        <w:ind w:left="570"/>
        <w:rPr>
          <w:rFonts w:ascii="宋体" w:hAnsi="宋体" w:eastAsia="宋体" w:cs="宋体"/>
          <w:sz w:val="27"/>
          <w:szCs w:val="27"/>
        </w:rPr>
      </w:pPr>
      <w:r>
        <w:rPr>
          <w:rFonts w:ascii="宋体" w:hAnsi="宋体" w:eastAsia="宋体" w:cs="宋体"/>
          <w:spacing w:val="-1"/>
          <w:sz w:val="27"/>
          <w:szCs w:val="27"/>
        </w:rPr>
        <w:t>如实说明能用于本研制项目的技术设备能力，可列表。</w:t>
      </w:r>
    </w:p>
    <w:p w14:paraId="75263822">
      <w:pPr>
        <w:spacing w:before="65" w:line="222" w:lineRule="auto"/>
        <w:rPr>
          <w:rFonts w:ascii="黑体" w:hAnsi="黑体" w:eastAsia="黑体" w:cs="黑体"/>
          <w:sz w:val="27"/>
          <w:szCs w:val="27"/>
        </w:rPr>
      </w:pPr>
      <w:r>
        <w:rPr>
          <w:rFonts w:ascii="黑体" w:hAnsi="黑体" w:eastAsia="黑体" w:cs="黑体"/>
          <w:spacing w:val="-1"/>
          <w:sz w:val="27"/>
          <w:szCs w:val="27"/>
        </w:rPr>
        <w:t>7.5</w:t>
      </w:r>
      <w:r>
        <w:rPr>
          <w:rFonts w:ascii="黑体" w:hAnsi="黑体" w:eastAsia="黑体" w:cs="黑体"/>
          <w:spacing w:val="28"/>
          <w:sz w:val="27"/>
          <w:szCs w:val="27"/>
        </w:rPr>
        <w:t xml:space="preserve">  </w:t>
      </w:r>
      <w:r>
        <w:rPr>
          <w:rFonts w:ascii="黑体" w:hAnsi="黑体" w:eastAsia="黑体" w:cs="黑体"/>
          <w:b/>
          <w:bCs/>
          <w:spacing w:val="-1"/>
          <w:sz w:val="27"/>
          <w:szCs w:val="27"/>
        </w:rPr>
        <w:t>质量保证能力</w:t>
      </w:r>
    </w:p>
    <w:p w14:paraId="6A3E398A">
      <w:pPr>
        <w:spacing w:before="110" w:line="282" w:lineRule="auto"/>
        <w:ind w:right="9" w:firstLine="570"/>
        <w:rPr>
          <w:rFonts w:ascii="宋体" w:hAnsi="宋体" w:eastAsia="宋体" w:cs="宋体"/>
          <w:sz w:val="27"/>
          <w:szCs w:val="27"/>
        </w:rPr>
      </w:pPr>
      <w:r>
        <w:rPr>
          <w:rFonts w:ascii="宋体" w:hAnsi="宋体" w:eastAsia="宋体" w:cs="宋体"/>
          <w:spacing w:val="-4"/>
          <w:sz w:val="27"/>
          <w:szCs w:val="27"/>
        </w:rPr>
        <w:t>如实说明质量保证能力，包括通过</w:t>
      </w:r>
      <w:r>
        <w:rPr>
          <w:rFonts w:ascii="宋体" w:hAnsi="宋体" w:eastAsia="宋体" w:cs="宋体"/>
          <w:spacing w:val="-76"/>
          <w:sz w:val="27"/>
          <w:szCs w:val="27"/>
        </w:rPr>
        <w:t xml:space="preserve"> </w:t>
      </w:r>
      <w:r>
        <w:rPr>
          <w:rFonts w:ascii="Times New Roman" w:hAnsi="Times New Roman" w:eastAsia="Times New Roman" w:cs="Times New Roman"/>
          <w:spacing w:val="-4"/>
          <w:sz w:val="27"/>
          <w:szCs w:val="27"/>
        </w:rPr>
        <w:t>GJB 9001</w:t>
      </w:r>
      <w:r>
        <w:rPr>
          <w:rFonts w:ascii="宋体" w:hAnsi="宋体" w:eastAsia="宋体" w:cs="宋体"/>
          <w:spacing w:val="-4"/>
          <w:sz w:val="27"/>
          <w:szCs w:val="27"/>
        </w:rPr>
        <w:t>《质量管理体系要求》质量</w:t>
      </w:r>
      <w:r>
        <w:rPr>
          <w:rFonts w:ascii="宋体" w:hAnsi="宋体" w:eastAsia="宋体" w:cs="宋体"/>
          <w:spacing w:val="-5"/>
          <w:sz w:val="27"/>
          <w:szCs w:val="27"/>
        </w:rPr>
        <w:t>认证</w:t>
      </w:r>
      <w:r>
        <w:rPr>
          <w:rFonts w:ascii="宋体" w:hAnsi="宋体" w:eastAsia="宋体" w:cs="宋体"/>
          <w:sz w:val="27"/>
          <w:szCs w:val="27"/>
        </w:rPr>
        <w:t xml:space="preserve"> </w:t>
      </w:r>
      <w:r>
        <w:rPr>
          <w:rFonts w:ascii="宋体" w:hAnsi="宋体" w:eastAsia="宋体" w:cs="宋体"/>
          <w:spacing w:val="-1"/>
          <w:sz w:val="27"/>
          <w:szCs w:val="27"/>
        </w:rPr>
        <w:t>情况，以前研制生产的军工产品在部队的装备和使用质量情况。</w:t>
      </w:r>
    </w:p>
    <w:p w14:paraId="4978CECF">
      <w:pPr>
        <w:spacing w:before="2" w:line="222" w:lineRule="auto"/>
        <w:rPr>
          <w:rFonts w:ascii="黑体" w:hAnsi="黑体" w:eastAsia="黑体" w:cs="黑体"/>
          <w:sz w:val="25"/>
          <w:szCs w:val="25"/>
        </w:rPr>
      </w:pPr>
      <w:r>
        <w:rPr>
          <w:rFonts w:ascii="黑体" w:hAnsi="黑体" w:eastAsia="黑体" w:cs="黑体"/>
          <w:spacing w:val="10"/>
          <w:sz w:val="25"/>
          <w:szCs w:val="25"/>
        </w:rPr>
        <w:t>8</w:t>
      </w:r>
      <w:r>
        <w:rPr>
          <w:rFonts w:ascii="黑体" w:hAnsi="黑体" w:eastAsia="黑体" w:cs="黑体"/>
          <w:spacing w:val="32"/>
          <w:sz w:val="25"/>
          <w:szCs w:val="25"/>
        </w:rPr>
        <w:t xml:space="preserve">  </w:t>
      </w:r>
      <w:r>
        <w:rPr>
          <w:rFonts w:ascii="黑体" w:hAnsi="黑体" w:eastAsia="黑体" w:cs="黑体"/>
          <w:b/>
          <w:bCs/>
          <w:spacing w:val="10"/>
          <w:sz w:val="25"/>
          <w:szCs w:val="25"/>
        </w:rPr>
        <w:t>其他</w:t>
      </w:r>
    </w:p>
    <w:p w14:paraId="2F860DFE">
      <w:pPr>
        <w:spacing w:before="92" w:line="219" w:lineRule="auto"/>
        <w:ind w:left="570"/>
        <w:rPr>
          <w:rFonts w:ascii="宋体" w:hAnsi="宋体" w:eastAsia="宋体" w:cs="宋体"/>
          <w:sz w:val="27"/>
          <w:szCs w:val="27"/>
        </w:rPr>
      </w:pPr>
      <w:r>
        <w:rPr>
          <w:rFonts w:ascii="宋体" w:hAnsi="宋体" w:eastAsia="宋体" w:cs="宋体"/>
          <w:sz w:val="27"/>
          <w:szCs w:val="27"/>
        </w:rPr>
        <w:t>提供其他可以反映投标人技术、管理和经济实力的相关文件和材料。</w:t>
      </w:r>
    </w:p>
    <w:p w14:paraId="32DEC127">
      <w:pPr>
        <w:pStyle w:val="2"/>
        <w:spacing w:line="337" w:lineRule="auto"/>
      </w:pPr>
    </w:p>
    <w:p w14:paraId="4FFC91A8">
      <w:pPr>
        <w:spacing w:before="118" w:line="218" w:lineRule="auto"/>
        <w:ind w:left="3010"/>
        <w:outlineLvl w:val="1"/>
        <w:rPr>
          <w:rFonts w:ascii="宋体" w:hAnsi="宋体" w:eastAsia="宋体" w:cs="宋体"/>
          <w:sz w:val="36"/>
          <w:szCs w:val="36"/>
        </w:rPr>
      </w:pPr>
      <w:bookmarkStart w:id="10" w:name="bookmark6"/>
      <w:bookmarkEnd w:id="10"/>
      <w:r>
        <w:rPr>
          <w:rFonts w:ascii="Times New Roman" w:hAnsi="Times New Roman" w:eastAsia="Times New Roman" w:cs="Times New Roman"/>
          <w:b/>
          <w:bCs/>
          <w:spacing w:val="2"/>
          <w:sz w:val="36"/>
          <w:szCs w:val="36"/>
        </w:rPr>
        <w:t xml:space="preserve">1.4     </w:t>
      </w:r>
      <w:r>
        <w:rPr>
          <w:rFonts w:ascii="宋体" w:hAnsi="宋体" w:eastAsia="宋体" w:cs="宋体"/>
          <w:b/>
          <w:bCs/>
          <w:spacing w:val="2"/>
          <w:sz w:val="36"/>
          <w:szCs w:val="36"/>
        </w:rPr>
        <w:t>可行性论证报告</w:t>
      </w:r>
    </w:p>
    <w:p w14:paraId="629EFECE">
      <w:pPr>
        <w:pStyle w:val="2"/>
        <w:spacing w:line="351" w:lineRule="auto"/>
      </w:pPr>
    </w:p>
    <w:p w14:paraId="03419B3D">
      <w:pPr>
        <w:spacing w:before="82" w:line="222"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40"/>
          <w:sz w:val="25"/>
          <w:szCs w:val="25"/>
        </w:rPr>
        <w:t xml:space="preserve">  </w:t>
      </w:r>
      <w:r>
        <w:rPr>
          <w:rFonts w:ascii="黑体" w:hAnsi="黑体" w:eastAsia="黑体" w:cs="黑体"/>
          <w:b/>
          <w:bCs/>
          <w:spacing w:val="-13"/>
          <w:sz w:val="25"/>
          <w:szCs w:val="25"/>
        </w:rPr>
        <w:t>前</w:t>
      </w:r>
      <w:r>
        <w:rPr>
          <w:rFonts w:ascii="黑体" w:hAnsi="黑体" w:eastAsia="黑体" w:cs="黑体"/>
          <w:spacing w:val="-40"/>
          <w:sz w:val="25"/>
          <w:szCs w:val="25"/>
        </w:rPr>
        <w:t xml:space="preserve"> </w:t>
      </w:r>
      <w:r>
        <w:rPr>
          <w:rFonts w:ascii="黑体" w:hAnsi="黑体" w:eastAsia="黑体" w:cs="黑体"/>
          <w:b/>
          <w:bCs/>
          <w:spacing w:val="-13"/>
          <w:sz w:val="25"/>
          <w:szCs w:val="25"/>
        </w:rPr>
        <w:t>言</w:t>
      </w:r>
    </w:p>
    <w:p w14:paraId="001F0023">
      <w:pPr>
        <w:spacing w:before="141" w:line="219" w:lineRule="auto"/>
        <w:ind w:left="570"/>
        <w:rPr>
          <w:rFonts w:ascii="宋体" w:hAnsi="宋体" w:eastAsia="宋体" w:cs="宋体"/>
          <w:sz w:val="24"/>
          <w:szCs w:val="24"/>
        </w:rPr>
      </w:pPr>
      <w:r>
        <w:rPr>
          <w:rFonts w:ascii="宋体" w:hAnsi="宋体" w:eastAsia="宋体" w:cs="宋体"/>
          <w:spacing w:val="29"/>
          <w:sz w:val="24"/>
          <w:szCs w:val="24"/>
        </w:rPr>
        <w:t>应简明扼要地论述产品研制的必要性和研制背景，以及可行性。</w:t>
      </w:r>
    </w:p>
    <w:p w14:paraId="52F66FFF">
      <w:pPr>
        <w:spacing w:before="112" w:line="222" w:lineRule="auto"/>
        <w:rPr>
          <w:rFonts w:ascii="黑体" w:hAnsi="黑体" w:eastAsia="黑体" w:cs="黑体"/>
          <w:sz w:val="24"/>
          <w:szCs w:val="24"/>
        </w:rPr>
      </w:pPr>
      <w:r>
        <w:rPr>
          <w:rFonts w:ascii="黑体" w:hAnsi="黑体" w:eastAsia="黑体" w:cs="黑体"/>
          <w:spacing w:val="29"/>
          <w:sz w:val="24"/>
          <w:szCs w:val="24"/>
        </w:rPr>
        <w:t>2</w:t>
      </w:r>
      <w:r>
        <w:rPr>
          <w:rFonts w:ascii="黑体" w:hAnsi="黑体" w:eastAsia="黑体" w:cs="黑体"/>
          <w:spacing w:val="44"/>
          <w:sz w:val="24"/>
          <w:szCs w:val="24"/>
        </w:rPr>
        <w:t xml:space="preserve">  </w:t>
      </w:r>
      <w:r>
        <w:rPr>
          <w:rFonts w:ascii="黑体" w:hAnsi="黑体" w:eastAsia="黑体" w:cs="黑体"/>
          <w:b/>
          <w:bCs/>
          <w:spacing w:val="29"/>
          <w:sz w:val="24"/>
          <w:szCs w:val="24"/>
        </w:rPr>
        <w:t>使用要求及主要战术技术要求</w:t>
      </w:r>
    </w:p>
    <w:p w14:paraId="526410B1">
      <w:pPr>
        <w:spacing w:before="121" w:line="222" w:lineRule="auto"/>
        <w:rPr>
          <w:rFonts w:ascii="黑体" w:hAnsi="黑体" w:eastAsia="黑体" w:cs="黑体"/>
          <w:sz w:val="24"/>
          <w:szCs w:val="24"/>
        </w:rPr>
      </w:pPr>
      <w:r>
        <w:rPr>
          <w:rFonts w:ascii="黑体" w:hAnsi="黑体" w:eastAsia="黑体" w:cs="黑体"/>
          <w:spacing w:val="16"/>
          <w:sz w:val="24"/>
          <w:szCs w:val="24"/>
        </w:rPr>
        <w:t>2.1</w:t>
      </w:r>
      <w:r>
        <w:rPr>
          <w:rFonts w:ascii="黑体" w:hAnsi="黑体" w:eastAsia="黑体" w:cs="黑体"/>
          <w:spacing w:val="2"/>
          <w:sz w:val="24"/>
          <w:szCs w:val="24"/>
        </w:rPr>
        <w:t xml:space="preserve">   </w:t>
      </w:r>
      <w:r>
        <w:rPr>
          <w:rFonts w:ascii="黑体" w:hAnsi="黑体" w:eastAsia="黑体" w:cs="黑体"/>
          <w:b/>
          <w:bCs/>
          <w:spacing w:val="16"/>
          <w:sz w:val="24"/>
          <w:szCs w:val="24"/>
        </w:rPr>
        <w:t>使用要求</w:t>
      </w:r>
    </w:p>
    <w:p w14:paraId="58F5131D">
      <w:pPr>
        <w:spacing w:before="108" w:line="219" w:lineRule="auto"/>
        <w:ind w:left="570"/>
        <w:rPr>
          <w:rFonts w:ascii="宋体" w:hAnsi="宋体" w:eastAsia="宋体" w:cs="宋体"/>
          <w:sz w:val="27"/>
          <w:szCs w:val="27"/>
        </w:rPr>
      </w:pPr>
      <w:r>
        <w:rPr>
          <w:rFonts w:ascii="宋体" w:hAnsi="宋体" w:eastAsia="宋体" w:cs="宋体"/>
          <w:spacing w:val="3"/>
          <w:sz w:val="27"/>
          <w:szCs w:val="27"/>
        </w:rPr>
        <w:t>列出使用部门提出的使用要求。</w:t>
      </w:r>
    </w:p>
    <w:p w14:paraId="215ABCD7">
      <w:pPr>
        <w:spacing w:before="95" w:line="222" w:lineRule="auto"/>
        <w:rPr>
          <w:rFonts w:ascii="黑体" w:hAnsi="黑体" w:eastAsia="黑体" w:cs="黑体"/>
          <w:sz w:val="24"/>
          <w:szCs w:val="24"/>
        </w:rPr>
      </w:pPr>
      <w:r>
        <w:rPr>
          <w:rFonts w:ascii="黑体" w:hAnsi="黑体" w:eastAsia="黑体" w:cs="黑体"/>
          <w:spacing w:val="19"/>
          <w:sz w:val="24"/>
          <w:szCs w:val="24"/>
        </w:rPr>
        <w:t>2.2</w:t>
      </w:r>
      <w:r>
        <w:rPr>
          <w:rFonts w:ascii="黑体" w:hAnsi="黑体" w:eastAsia="黑体" w:cs="黑体"/>
          <w:sz w:val="24"/>
          <w:szCs w:val="24"/>
        </w:rPr>
        <w:t xml:space="preserve">   </w:t>
      </w:r>
      <w:r>
        <w:rPr>
          <w:rFonts w:ascii="黑体" w:hAnsi="黑体" w:eastAsia="黑体" w:cs="黑体"/>
          <w:b/>
          <w:bCs/>
          <w:spacing w:val="19"/>
          <w:sz w:val="24"/>
          <w:szCs w:val="24"/>
        </w:rPr>
        <w:t>主要战术要求</w:t>
      </w:r>
    </w:p>
    <w:p w14:paraId="7F9D345A">
      <w:pPr>
        <w:spacing w:before="96" w:line="219" w:lineRule="auto"/>
        <w:ind w:left="570"/>
        <w:rPr>
          <w:rFonts w:ascii="宋体" w:hAnsi="宋体" w:eastAsia="宋体" w:cs="宋体"/>
          <w:sz w:val="27"/>
          <w:szCs w:val="27"/>
        </w:rPr>
      </w:pPr>
      <w:r>
        <w:rPr>
          <w:rFonts w:ascii="宋体" w:hAnsi="宋体" w:eastAsia="宋体" w:cs="宋体"/>
          <w:spacing w:val="4"/>
          <w:sz w:val="27"/>
          <w:szCs w:val="27"/>
        </w:rPr>
        <w:t>列出使用部门提出的主要战术要求。</w:t>
      </w:r>
    </w:p>
    <w:p w14:paraId="6DCD710C">
      <w:pPr>
        <w:spacing w:before="76" w:line="222" w:lineRule="auto"/>
        <w:rPr>
          <w:rFonts w:ascii="黑体" w:hAnsi="黑体" w:eastAsia="黑体" w:cs="黑体"/>
          <w:sz w:val="27"/>
          <w:szCs w:val="27"/>
        </w:rPr>
      </w:pPr>
      <w:r>
        <w:rPr>
          <w:rFonts w:ascii="黑体" w:hAnsi="黑体" w:eastAsia="黑体" w:cs="黑体"/>
          <w:spacing w:val="-3"/>
          <w:sz w:val="27"/>
          <w:szCs w:val="27"/>
        </w:rPr>
        <w:t>2.3</w:t>
      </w:r>
      <w:r>
        <w:rPr>
          <w:rFonts w:ascii="黑体" w:hAnsi="黑体" w:eastAsia="黑体" w:cs="黑体"/>
          <w:spacing w:val="32"/>
          <w:sz w:val="27"/>
          <w:szCs w:val="27"/>
        </w:rPr>
        <w:t xml:space="preserve">  </w:t>
      </w:r>
      <w:r>
        <w:rPr>
          <w:rFonts w:ascii="黑体" w:hAnsi="黑体" w:eastAsia="黑体" w:cs="黑体"/>
          <w:b/>
          <w:bCs/>
          <w:spacing w:val="-3"/>
          <w:sz w:val="27"/>
          <w:szCs w:val="27"/>
        </w:rPr>
        <w:t>主要技术要求</w:t>
      </w:r>
    </w:p>
    <w:p w14:paraId="73FCC18F">
      <w:pPr>
        <w:spacing w:before="99" w:line="219" w:lineRule="auto"/>
        <w:ind w:left="570"/>
        <w:rPr>
          <w:rFonts w:ascii="宋体" w:hAnsi="宋体" w:eastAsia="宋体" w:cs="宋体"/>
          <w:sz w:val="27"/>
          <w:szCs w:val="27"/>
        </w:rPr>
      </w:pPr>
      <w:r>
        <w:rPr>
          <w:rFonts w:ascii="宋体" w:hAnsi="宋体" w:eastAsia="宋体" w:cs="宋体"/>
          <w:spacing w:val="4"/>
          <w:sz w:val="27"/>
          <w:szCs w:val="27"/>
        </w:rPr>
        <w:t>列出使用部门提出的主要技术要求。</w:t>
      </w:r>
    </w:p>
    <w:p w14:paraId="2C2C19F6">
      <w:pPr>
        <w:spacing w:before="103" w:line="221" w:lineRule="auto"/>
        <w:rPr>
          <w:rFonts w:ascii="黑体" w:hAnsi="黑体" w:eastAsia="黑体" w:cs="黑体"/>
          <w:sz w:val="24"/>
          <w:szCs w:val="24"/>
        </w:rPr>
      </w:pPr>
      <w:r>
        <w:rPr>
          <w:rFonts w:ascii="黑体" w:hAnsi="黑体" w:eastAsia="黑体" w:cs="黑体"/>
          <w:spacing w:val="31"/>
          <w:sz w:val="24"/>
          <w:szCs w:val="24"/>
        </w:rPr>
        <w:t xml:space="preserve">3  </w:t>
      </w:r>
      <w:r>
        <w:rPr>
          <w:rFonts w:ascii="黑体" w:hAnsi="黑体" w:eastAsia="黑体" w:cs="黑体"/>
          <w:b/>
          <w:bCs/>
          <w:spacing w:val="31"/>
          <w:sz w:val="24"/>
          <w:szCs w:val="24"/>
        </w:rPr>
        <w:t>国内外同类产品发展现状</w:t>
      </w:r>
    </w:p>
    <w:p w14:paraId="343FAE98">
      <w:pPr>
        <w:spacing w:before="118" w:line="219" w:lineRule="auto"/>
        <w:ind w:right="4"/>
        <w:jc w:val="right"/>
        <w:rPr>
          <w:rFonts w:ascii="宋体" w:hAnsi="宋体" w:eastAsia="宋体" w:cs="宋体"/>
          <w:sz w:val="27"/>
          <w:szCs w:val="27"/>
        </w:rPr>
      </w:pPr>
      <w:r>
        <w:rPr>
          <w:rFonts w:ascii="宋体" w:hAnsi="宋体" w:eastAsia="宋体" w:cs="宋体"/>
          <w:spacing w:val="-2"/>
          <w:sz w:val="27"/>
          <w:szCs w:val="27"/>
        </w:rPr>
        <w:t>分别介绍国外、国内同类产品发展现状，并通过</w:t>
      </w:r>
      <w:r>
        <w:rPr>
          <w:rFonts w:ascii="宋体" w:hAnsi="宋体" w:eastAsia="宋体" w:cs="宋体"/>
          <w:spacing w:val="-3"/>
          <w:sz w:val="27"/>
          <w:szCs w:val="27"/>
        </w:rPr>
        <w:t>分析，阐明其发展特点和发</w:t>
      </w:r>
    </w:p>
    <w:p w14:paraId="5B1CCAFA">
      <w:pPr>
        <w:spacing w:line="219" w:lineRule="auto"/>
        <w:rPr>
          <w:rFonts w:ascii="宋体" w:hAnsi="宋体" w:eastAsia="宋体" w:cs="宋体"/>
          <w:sz w:val="27"/>
          <w:szCs w:val="27"/>
        </w:rPr>
        <w:sectPr>
          <w:footerReference r:id="rId29" w:type="default"/>
          <w:pgSz w:w="11910" w:h="17130"/>
          <w:pgMar w:top="400" w:right="1051" w:bottom="1669" w:left="1450" w:header="0" w:footer="1489" w:gutter="0"/>
          <w:cols w:space="720" w:num="1"/>
        </w:sectPr>
      </w:pPr>
    </w:p>
    <w:p w14:paraId="749DA6A4">
      <w:pPr>
        <w:pStyle w:val="2"/>
        <w:spacing w:line="246" w:lineRule="auto"/>
      </w:pPr>
    </w:p>
    <w:p w14:paraId="2DA67A82">
      <w:pPr>
        <w:pStyle w:val="2"/>
        <w:spacing w:line="247" w:lineRule="auto"/>
      </w:pPr>
    </w:p>
    <w:p w14:paraId="0955D7DE">
      <w:pPr>
        <w:pStyle w:val="2"/>
        <w:spacing w:line="247" w:lineRule="auto"/>
      </w:pPr>
    </w:p>
    <w:p w14:paraId="2ED23587">
      <w:pPr>
        <w:pStyle w:val="2"/>
        <w:spacing w:line="247" w:lineRule="auto"/>
      </w:pPr>
    </w:p>
    <w:p w14:paraId="6DFCC88B">
      <w:pPr>
        <w:spacing w:before="88" w:line="219" w:lineRule="auto"/>
        <w:rPr>
          <w:rFonts w:ascii="宋体" w:hAnsi="宋体" w:eastAsia="宋体" w:cs="宋体"/>
          <w:sz w:val="27"/>
          <w:szCs w:val="27"/>
        </w:rPr>
      </w:pPr>
      <w:r>
        <w:rPr>
          <w:rFonts w:ascii="宋体" w:hAnsi="宋体" w:eastAsia="宋体" w:cs="宋体"/>
          <w:spacing w:val="-1"/>
          <w:sz w:val="27"/>
          <w:szCs w:val="27"/>
        </w:rPr>
        <w:t>展趋势。</w:t>
      </w:r>
    </w:p>
    <w:p w14:paraId="4C066337">
      <w:pPr>
        <w:spacing w:before="77" w:line="221" w:lineRule="auto"/>
        <w:rPr>
          <w:rFonts w:ascii="黑体" w:hAnsi="黑体" w:eastAsia="黑体" w:cs="黑体"/>
          <w:sz w:val="27"/>
          <w:szCs w:val="27"/>
        </w:rPr>
      </w:pPr>
      <w:r>
        <w:rPr>
          <w:rFonts w:ascii="黑体" w:hAnsi="黑体" w:eastAsia="黑体" w:cs="黑体"/>
          <w:spacing w:val="3"/>
          <w:sz w:val="27"/>
          <w:szCs w:val="27"/>
        </w:rPr>
        <w:t>4</w:t>
      </w:r>
      <w:r>
        <w:rPr>
          <w:rFonts w:ascii="黑体" w:hAnsi="黑体" w:eastAsia="黑体" w:cs="黑体"/>
          <w:spacing w:val="14"/>
          <w:sz w:val="27"/>
          <w:szCs w:val="27"/>
        </w:rPr>
        <w:t xml:space="preserve">  </w:t>
      </w:r>
      <w:r>
        <w:rPr>
          <w:rFonts w:ascii="黑体" w:hAnsi="黑体" w:eastAsia="黑体" w:cs="黑体"/>
          <w:spacing w:val="3"/>
          <w:sz w:val="27"/>
          <w:szCs w:val="27"/>
        </w:rPr>
        <w:t>任务分析</w:t>
      </w:r>
    </w:p>
    <w:p w14:paraId="61DA5723">
      <w:pPr>
        <w:spacing w:before="59" w:line="274" w:lineRule="auto"/>
        <w:ind w:firstLine="560"/>
        <w:jc w:val="both"/>
        <w:rPr>
          <w:rFonts w:ascii="宋体" w:hAnsi="宋体" w:eastAsia="宋体" w:cs="宋体"/>
          <w:sz w:val="27"/>
          <w:szCs w:val="27"/>
        </w:rPr>
      </w:pPr>
      <w:r>
        <w:rPr>
          <w:rFonts w:ascii="宋体" w:hAnsi="宋体" w:eastAsia="宋体" w:cs="宋体"/>
          <w:spacing w:val="-3"/>
          <w:sz w:val="27"/>
          <w:szCs w:val="27"/>
        </w:rPr>
        <w:t>根据使用部门提出的使用要求及主要战术技术要求，通过分析论证，提出满</w:t>
      </w:r>
      <w:r>
        <w:rPr>
          <w:rFonts w:ascii="宋体" w:hAnsi="宋体" w:eastAsia="宋体" w:cs="宋体"/>
          <w:spacing w:val="10"/>
          <w:sz w:val="27"/>
          <w:szCs w:val="27"/>
        </w:rPr>
        <w:t xml:space="preserve"> </w:t>
      </w:r>
      <w:r>
        <w:rPr>
          <w:rFonts w:ascii="宋体" w:hAnsi="宋体" w:eastAsia="宋体" w:cs="宋体"/>
          <w:spacing w:val="5"/>
          <w:sz w:val="27"/>
          <w:szCs w:val="27"/>
        </w:rPr>
        <w:t>足任务要求，并以最低的成本和较短的研制时间实现战术技术要求的合理可行</w:t>
      </w:r>
      <w:r>
        <w:rPr>
          <w:rFonts w:ascii="宋体" w:hAnsi="宋体" w:eastAsia="宋体" w:cs="宋体"/>
          <w:spacing w:val="12"/>
          <w:sz w:val="27"/>
          <w:szCs w:val="27"/>
        </w:rPr>
        <w:t xml:space="preserve"> </w:t>
      </w:r>
      <w:r>
        <w:rPr>
          <w:rFonts w:ascii="宋体" w:hAnsi="宋体" w:eastAsia="宋体" w:cs="宋体"/>
          <w:spacing w:val="-3"/>
          <w:sz w:val="27"/>
          <w:szCs w:val="27"/>
        </w:rPr>
        <w:t>的技术途径。</w:t>
      </w:r>
    </w:p>
    <w:p w14:paraId="2F137185">
      <w:pPr>
        <w:pStyle w:val="2"/>
        <w:spacing w:line="368" w:lineRule="exact"/>
        <w:rPr>
          <w:rFonts w:ascii="黑体" w:hAnsi="黑体" w:eastAsia="黑体" w:cs="黑体"/>
          <w:sz w:val="27"/>
          <w:szCs w:val="27"/>
        </w:rPr>
      </w:pPr>
      <w:r>
        <w:rPr>
          <w:spacing w:val="2"/>
          <w:position w:val="1"/>
          <w:sz w:val="27"/>
          <w:szCs w:val="27"/>
        </w:rPr>
        <w:t>5</w:t>
      </w:r>
      <w:r>
        <w:rPr>
          <w:spacing w:val="22"/>
          <w:position w:val="1"/>
          <w:sz w:val="27"/>
          <w:szCs w:val="27"/>
        </w:rPr>
        <w:t xml:space="preserve">   </w:t>
      </w:r>
      <w:r>
        <w:rPr>
          <w:rFonts w:ascii="黑体" w:hAnsi="黑体" w:eastAsia="黑体" w:cs="黑体"/>
          <w:spacing w:val="2"/>
          <w:position w:val="1"/>
          <w:sz w:val="27"/>
          <w:szCs w:val="27"/>
        </w:rPr>
        <w:t>约束条件</w:t>
      </w:r>
    </w:p>
    <w:p w14:paraId="57D25E6F">
      <w:pPr>
        <w:spacing w:before="79" w:line="219" w:lineRule="auto"/>
        <w:ind w:left="560"/>
        <w:rPr>
          <w:rFonts w:ascii="宋体" w:hAnsi="宋体" w:eastAsia="宋体" w:cs="宋体"/>
          <w:sz w:val="27"/>
          <w:szCs w:val="27"/>
        </w:rPr>
      </w:pPr>
      <w:r>
        <w:rPr>
          <w:rFonts w:ascii="宋体" w:hAnsi="宋体" w:eastAsia="宋体" w:cs="宋体"/>
          <w:spacing w:val="5"/>
          <w:sz w:val="27"/>
          <w:szCs w:val="27"/>
        </w:rPr>
        <w:t>说明产品研制受到相关系统或配套产品约束的条件。</w:t>
      </w:r>
    </w:p>
    <w:p w14:paraId="1EA5184C">
      <w:pPr>
        <w:spacing w:before="106" w:line="221" w:lineRule="auto"/>
        <w:rPr>
          <w:rFonts w:ascii="黑体" w:hAnsi="黑体" w:eastAsia="黑体" w:cs="黑体"/>
          <w:sz w:val="24"/>
          <w:szCs w:val="24"/>
        </w:rPr>
      </w:pPr>
      <w:r>
        <w:rPr>
          <w:rFonts w:ascii="黑体" w:hAnsi="黑体" w:eastAsia="黑体" w:cs="黑体"/>
          <w:spacing w:val="25"/>
          <w:sz w:val="24"/>
          <w:szCs w:val="24"/>
        </w:rPr>
        <w:t>6</w:t>
      </w:r>
      <w:r>
        <w:rPr>
          <w:rFonts w:ascii="黑体" w:hAnsi="黑体" w:eastAsia="黑体" w:cs="黑体"/>
          <w:spacing w:val="39"/>
          <w:sz w:val="24"/>
          <w:szCs w:val="24"/>
        </w:rPr>
        <w:t xml:space="preserve">  </w:t>
      </w:r>
      <w:r>
        <w:rPr>
          <w:rFonts w:ascii="黑体" w:hAnsi="黑体" w:eastAsia="黑体" w:cs="黑体"/>
          <w:spacing w:val="25"/>
          <w:sz w:val="24"/>
          <w:szCs w:val="24"/>
        </w:rPr>
        <w:t>可行性方案</w:t>
      </w:r>
    </w:p>
    <w:p w14:paraId="50580832">
      <w:pPr>
        <w:spacing w:before="94" w:line="219" w:lineRule="auto"/>
        <w:ind w:left="560"/>
        <w:rPr>
          <w:rFonts w:ascii="宋体" w:hAnsi="宋体" w:eastAsia="宋体" w:cs="宋体"/>
          <w:sz w:val="27"/>
          <w:szCs w:val="27"/>
        </w:rPr>
      </w:pPr>
      <w:r>
        <w:rPr>
          <w:rFonts w:ascii="宋体" w:hAnsi="宋体" w:eastAsia="宋体" w:cs="宋体"/>
          <w:spacing w:val="3"/>
          <w:sz w:val="27"/>
          <w:szCs w:val="27"/>
        </w:rPr>
        <w:t>制定可行性方案一般应遵循下述基本原则：</w:t>
      </w:r>
    </w:p>
    <w:p w14:paraId="532E7BDD">
      <w:pPr>
        <w:spacing w:before="60"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 xml:space="preserve">a)  </w:t>
      </w:r>
      <w:r>
        <w:rPr>
          <w:rFonts w:ascii="宋体" w:hAnsi="宋体" w:eastAsia="宋体" w:cs="宋体"/>
          <w:spacing w:val="5"/>
          <w:sz w:val="27"/>
          <w:szCs w:val="27"/>
        </w:rPr>
        <w:t>满足使用部门提出的使用要求及主要战</w:t>
      </w:r>
      <w:r>
        <w:rPr>
          <w:rFonts w:ascii="宋体" w:hAnsi="宋体" w:eastAsia="宋体" w:cs="宋体"/>
          <w:spacing w:val="4"/>
          <w:sz w:val="27"/>
          <w:szCs w:val="27"/>
        </w:rPr>
        <w:t>术技术要求；</w:t>
      </w:r>
    </w:p>
    <w:p w14:paraId="2502D48C">
      <w:pPr>
        <w:spacing w:before="84" w:line="212" w:lineRule="auto"/>
        <w:ind w:left="560"/>
        <w:rPr>
          <w:rFonts w:ascii="宋体" w:hAnsi="宋体" w:eastAsia="宋体" w:cs="宋体"/>
          <w:sz w:val="27"/>
          <w:szCs w:val="27"/>
        </w:rPr>
      </w:pPr>
      <w:r>
        <w:rPr>
          <w:rFonts w:ascii="Times New Roman" w:hAnsi="Times New Roman" w:eastAsia="Times New Roman" w:cs="Times New Roman"/>
          <w:b/>
          <w:bCs/>
          <w:spacing w:val="-16"/>
          <w:sz w:val="27"/>
          <w:szCs w:val="27"/>
        </w:rPr>
        <w:t>b)</w:t>
      </w:r>
      <w:r>
        <w:rPr>
          <w:rFonts w:ascii="Times New Roman" w:hAnsi="Times New Roman" w:eastAsia="Times New Roman" w:cs="Times New Roman"/>
          <w:b/>
          <w:bCs/>
          <w:spacing w:val="64"/>
          <w:w w:val="101"/>
          <w:sz w:val="27"/>
          <w:szCs w:val="27"/>
        </w:rPr>
        <w:t xml:space="preserve"> </w:t>
      </w:r>
      <w:r>
        <w:rPr>
          <w:rFonts w:ascii="宋体" w:hAnsi="宋体" w:eastAsia="宋体" w:cs="宋体"/>
          <w:b/>
          <w:bCs/>
          <w:spacing w:val="-16"/>
          <w:sz w:val="27"/>
          <w:szCs w:val="27"/>
        </w:rPr>
        <w:t>采用成熟设计技术，</w:t>
      </w:r>
      <w:r>
        <w:rPr>
          <w:rFonts w:ascii="宋体" w:hAnsi="宋体" w:eastAsia="宋体" w:cs="宋体"/>
          <w:spacing w:val="-16"/>
          <w:sz w:val="27"/>
          <w:szCs w:val="27"/>
        </w:rPr>
        <w:t>优先采用“三化”产品；</w:t>
      </w:r>
    </w:p>
    <w:p w14:paraId="62BAF625">
      <w:pPr>
        <w:spacing w:before="106"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明确采用新技术和采用成熟技术的关系；</w:t>
      </w:r>
    </w:p>
    <w:p w14:paraId="6777FFE4">
      <w:pPr>
        <w:spacing w:before="80" w:line="212" w:lineRule="auto"/>
        <w:ind w:left="560"/>
        <w:rPr>
          <w:rFonts w:ascii="宋体" w:hAnsi="宋体" w:eastAsia="宋体" w:cs="宋体"/>
          <w:sz w:val="27"/>
          <w:szCs w:val="27"/>
        </w:rPr>
      </w:pPr>
      <w:r>
        <w:rPr>
          <w:rFonts w:ascii="Times New Roman" w:hAnsi="Times New Roman" w:eastAsia="Times New Roman" w:cs="Times New Roman"/>
          <w:sz w:val="27"/>
          <w:szCs w:val="27"/>
        </w:rPr>
        <w:t xml:space="preserve">d)  </w:t>
      </w:r>
      <w:r>
        <w:rPr>
          <w:rFonts w:ascii="宋体" w:hAnsi="宋体" w:eastAsia="宋体" w:cs="宋体"/>
          <w:sz w:val="27"/>
          <w:szCs w:val="27"/>
        </w:rPr>
        <w:t>根据国内技术发展情况，明确技术攻关和技术引进的关系。</w:t>
      </w:r>
    </w:p>
    <w:p w14:paraId="4B9EEFEA">
      <w:pPr>
        <w:spacing w:before="148" w:line="221" w:lineRule="auto"/>
        <w:rPr>
          <w:rFonts w:ascii="黑体" w:hAnsi="黑体" w:eastAsia="黑体" w:cs="黑体"/>
          <w:sz w:val="25"/>
          <w:szCs w:val="25"/>
        </w:rPr>
      </w:pPr>
      <w:r>
        <w:rPr>
          <w:rFonts w:ascii="黑体" w:hAnsi="黑体" w:eastAsia="黑体" w:cs="黑体"/>
          <w:spacing w:val="17"/>
          <w:sz w:val="25"/>
          <w:szCs w:val="25"/>
        </w:rPr>
        <w:t>6.1</w:t>
      </w:r>
      <w:r>
        <w:rPr>
          <w:rFonts w:ascii="黑体" w:hAnsi="黑体" w:eastAsia="黑体" w:cs="黑体"/>
          <w:spacing w:val="30"/>
          <w:sz w:val="25"/>
          <w:szCs w:val="25"/>
        </w:rPr>
        <w:t xml:space="preserve">  </w:t>
      </w:r>
      <w:r>
        <w:rPr>
          <w:rFonts w:ascii="黑体" w:hAnsi="黑体" w:eastAsia="黑体" w:cs="黑体"/>
          <w:spacing w:val="17"/>
          <w:sz w:val="25"/>
          <w:szCs w:val="25"/>
        </w:rPr>
        <w:t>总体技术方案</w:t>
      </w:r>
    </w:p>
    <w:p w14:paraId="618F3806">
      <w:pPr>
        <w:spacing w:before="94" w:line="219" w:lineRule="auto"/>
        <w:ind w:left="560"/>
        <w:rPr>
          <w:rFonts w:ascii="宋体" w:hAnsi="宋体" w:eastAsia="宋体" w:cs="宋体"/>
          <w:sz w:val="27"/>
          <w:szCs w:val="27"/>
        </w:rPr>
      </w:pPr>
      <w:r>
        <w:rPr>
          <w:rFonts w:ascii="宋体" w:hAnsi="宋体" w:eastAsia="宋体" w:cs="宋体"/>
          <w:spacing w:val="-10"/>
          <w:sz w:val="27"/>
          <w:szCs w:val="27"/>
        </w:rPr>
        <w:t>描述总体设计原则、设计思路、技术途径等。</w:t>
      </w:r>
    </w:p>
    <w:p w14:paraId="0330DB54">
      <w:pPr>
        <w:spacing w:before="89" w:line="222" w:lineRule="auto"/>
        <w:rPr>
          <w:rFonts w:ascii="黑体" w:hAnsi="黑体" w:eastAsia="黑体" w:cs="黑体"/>
          <w:sz w:val="27"/>
          <w:szCs w:val="27"/>
        </w:rPr>
      </w:pPr>
      <w:r>
        <w:rPr>
          <w:rFonts w:ascii="黑体" w:hAnsi="黑体" w:eastAsia="黑体" w:cs="黑体"/>
          <w:spacing w:val="2"/>
          <w:sz w:val="27"/>
          <w:szCs w:val="27"/>
        </w:rPr>
        <w:t>6.2</w:t>
      </w:r>
      <w:r>
        <w:rPr>
          <w:rFonts w:ascii="黑体" w:hAnsi="黑体" w:eastAsia="黑体" w:cs="黑体"/>
          <w:spacing w:val="23"/>
          <w:sz w:val="27"/>
          <w:szCs w:val="27"/>
        </w:rPr>
        <w:t xml:space="preserve">  </w:t>
      </w:r>
      <w:r>
        <w:rPr>
          <w:rFonts w:ascii="黑体" w:hAnsi="黑体" w:eastAsia="黑体" w:cs="黑体"/>
          <w:spacing w:val="2"/>
          <w:sz w:val="27"/>
          <w:szCs w:val="27"/>
        </w:rPr>
        <w:t>总体战术技术指标论证</w:t>
      </w:r>
    </w:p>
    <w:p w14:paraId="60A309EE">
      <w:pPr>
        <w:spacing w:before="96" w:line="219" w:lineRule="auto"/>
        <w:ind w:left="560"/>
        <w:rPr>
          <w:rFonts w:ascii="宋体" w:hAnsi="宋体" w:eastAsia="宋体" w:cs="宋体"/>
          <w:sz w:val="27"/>
          <w:szCs w:val="27"/>
        </w:rPr>
      </w:pPr>
      <w:r>
        <w:rPr>
          <w:rFonts w:ascii="宋体" w:hAnsi="宋体" w:eastAsia="宋体" w:cs="宋体"/>
          <w:sz w:val="27"/>
          <w:szCs w:val="27"/>
        </w:rPr>
        <w:t>对使用部门提出的总体战术技术指标进行论证分析，说明实现的可能性。</w:t>
      </w:r>
    </w:p>
    <w:p w14:paraId="6402208D">
      <w:pPr>
        <w:pStyle w:val="2"/>
        <w:spacing w:before="64" w:line="327" w:lineRule="exact"/>
        <w:rPr>
          <w:rFonts w:ascii="黑体" w:hAnsi="黑体" w:eastAsia="黑体" w:cs="黑体"/>
          <w:sz w:val="24"/>
          <w:szCs w:val="24"/>
        </w:rPr>
      </w:pPr>
      <w:r>
        <w:rPr>
          <w:spacing w:val="29"/>
          <w:position w:val="1"/>
          <w:sz w:val="24"/>
          <w:szCs w:val="24"/>
        </w:rPr>
        <w:t>6.3</w:t>
      </w:r>
      <w:r>
        <w:rPr>
          <w:spacing w:val="6"/>
          <w:position w:val="1"/>
          <w:sz w:val="24"/>
          <w:szCs w:val="24"/>
        </w:rPr>
        <w:t xml:space="preserve">     </w:t>
      </w:r>
      <w:r>
        <w:rPr>
          <w:rFonts w:ascii="黑体" w:hAnsi="黑体" w:eastAsia="黑体" w:cs="黑体"/>
          <w:spacing w:val="29"/>
          <w:position w:val="1"/>
          <w:sz w:val="24"/>
          <w:szCs w:val="24"/>
        </w:rPr>
        <w:t>产品组成及各组成部分的特性</w:t>
      </w:r>
    </w:p>
    <w:p w14:paraId="0D617501">
      <w:pPr>
        <w:spacing w:before="117" w:line="295" w:lineRule="auto"/>
        <w:ind w:right="1" w:firstLine="560"/>
        <w:rPr>
          <w:rFonts w:ascii="宋体" w:hAnsi="宋体" w:eastAsia="宋体" w:cs="宋体"/>
          <w:sz w:val="25"/>
          <w:szCs w:val="25"/>
        </w:rPr>
      </w:pPr>
      <w:r>
        <w:rPr>
          <w:rFonts w:ascii="宋体" w:hAnsi="宋体" w:eastAsia="宋体" w:cs="宋体"/>
          <w:spacing w:val="17"/>
          <w:sz w:val="25"/>
          <w:szCs w:val="25"/>
        </w:rPr>
        <w:t>根据任务分析，为达到战术技术要求，确定产品的组成。通过论证，初步提</w:t>
      </w:r>
      <w:r>
        <w:rPr>
          <w:rFonts w:ascii="宋体" w:hAnsi="宋体" w:eastAsia="宋体" w:cs="宋体"/>
          <w:spacing w:val="8"/>
          <w:sz w:val="25"/>
          <w:szCs w:val="25"/>
        </w:rPr>
        <w:t xml:space="preserve"> </w:t>
      </w:r>
      <w:r>
        <w:rPr>
          <w:rFonts w:ascii="宋体" w:hAnsi="宋体" w:eastAsia="宋体" w:cs="宋体"/>
          <w:spacing w:val="21"/>
          <w:sz w:val="25"/>
          <w:szCs w:val="25"/>
        </w:rPr>
        <w:t>出产品及各组成部分的主要特性。</w:t>
      </w:r>
    </w:p>
    <w:p w14:paraId="066F9AA6">
      <w:pPr>
        <w:spacing w:before="1" w:line="220" w:lineRule="auto"/>
        <w:rPr>
          <w:rFonts w:ascii="黑体" w:hAnsi="黑体" w:eastAsia="黑体" w:cs="黑体"/>
          <w:sz w:val="27"/>
          <w:szCs w:val="27"/>
        </w:rPr>
      </w:pPr>
      <w:r>
        <w:rPr>
          <w:rFonts w:ascii="黑体" w:hAnsi="黑体" w:eastAsia="黑体" w:cs="黑体"/>
          <w:spacing w:val="2"/>
          <w:sz w:val="27"/>
          <w:szCs w:val="27"/>
        </w:rPr>
        <w:t>6.4</w:t>
      </w:r>
      <w:r>
        <w:rPr>
          <w:rFonts w:ascii="黑体" w:hAnsi="黑体" w:eastAsia="黑体" w:cs="黑体"/>
          <w:spacing w:val="13"/>
          <w:sz w:val="27"/>
          <w:szCs w:val="27"/>
        </w:rPr>
        <w:t xml:space="preserve">  </w:t>
      </w:r>
      <w:r>
        <w:rPr>
          <w:rFonts w:ascii="黑体" w:hAnsi="黑体" w:eastAsia="黑体" w:cs="黑体"/>
          <w:spacing w:val="2"/>
          <w:sz w:val="27"/>
          <w:szCs w:val="27"/>
        </w:rPr>
        <w:t>产品结构方案</w:t>
      </w:r>
    </w:p>
    <w:p w14:paraId="24B90473">
      <w:pPr>
        <w:spacing w:before="97" w:line="277" w:lineRule="auto"/>
        <w:ind w:right="1" w:firstLine="560"/>
        <w:rPr>
          <w:rFonts w:ascii="宋体" w:hAnsi="宋体" w:eastAsia="宋体" w:cs="宋体"/>
          <w:sz w:val="27"/>
          <w:szCs w:val="27"/>
        </w:rPr>
      </w:pPr>
      <w:r>
        <w:rPr>
          <w:rFonts w:ascii="宋体" w:hAnsi="宋体" w:eastAsia="宋体" w:cs="宋体"/>
          <w:spacing w:val="6"/>
          <w:sz w:val="27"/>
          <w:szCs w:val="27"/>
        </w:rPr>
        <w:t>按照研制总要求对产品结构的要求进行结构设</w:t>
      </w:r>
      <w:r>
        <w:rPr>
          <w:rFonts w:ascii="宋体" w:hAnsi="宋体" w:eastAsia="宋体" w:cs="宋体"/>
          <w:spacing w:val="5"/>
          <w:sz w:val="27"/>
          <w:szCs w:val="27"/>
        </w:rPr>
        <w:t>计，提出拟采取的结构设计</w:t>
      </w:r>
      <w:r>
        <w:rPr>
          <w:rFonts w:ascii="宋体" w:hAnsi="宋体" w:eastAsia="宋体" w:cs="宋体"/>
          <w:sz w:val="27"/>
          <w:szCs w:val="27"/>
        </w:rPr>
        <w:t xml:space="preserve"> </w:t>
      </w:r>
      <w:r>
        <w:rPr>
          <w:rFonts w:ascii="宋体" w:hAnsi="宋体" w:eastAsia="宋体" w:cs="宋体"/>
          <w:spacing w:val="-4"/>
          <w:sz w:val="27"/>
          <w:szCs w:val="27"/>
        </w:rPr>
        <w:t>方案。</w:t>
      </w:r>
    </w:p>
    <w:p w14:paraId="0C829599">
      <w:pPr>
        <w:spacing w:before="1" w:line="220" w:lineRule="auto"/>
        <w:rPr>
          <w:rFonts w:ascii="黑体" w:hAnsi="黑体" w:eastAsia="黑体" w:cs="黑体"/>
          <w:sz w:val="27"/>
          <w:szCs w:val="27"/>
        </w:rPr>
      </w:pPr>
      <w:r>
        <w:rPr>
          <w:rFonts w:ascii="黑体" w:hAnsi="黑体" w:eastAsia="黑体" w:cs="黑体"/>
          <w:spacing w:val="2"/>
          <w:sz w:val="27"/>
          <w:szCs w:val="27"/>
        </w:rPr>
        <w:t>6.5</w:t>
      </w:r>
      <w:r>
        <w:rPr>
          <w:rFonts w:ascii="黑体" w:hAnsi="黑体" w:eastAsia="黑体" w:cs="黑体"/>
          <w:spacing w:val="13"/>
          <w:sz w:val="27"/>
          <w:szCs w:val="27"/>
        </w:rPr>
        <w:t xml:space="preserve">  </w:t>
      </w:r>
      <w:r>
        <w:rPr>
          <w:rFonts w:ascii="黑体" w:hAnsi="黑体" w:eastAsia="黑体" w:cs="黑体"/>
          <w:spacing w:val="2"/>
          <w:sz w:val="27"/>
          <w:szCs w:val="27"/>
        </w:rPr>
        <w:t>产品硬件方案</w:t>
      </w:r>
    </w:p>
    <w:p w14:paraId="644A4B53">
      <w:pPr>
        <w:spacing w:before="88" w:line="219" w:lineRule="auto"/>
        <w:ind w:left="560"/>
        <w:rPr>
          <w:rFonts w:ascii="宋体" w:hAnsi="宋体" w:eastAsia="宋体" w:cs="宋体"/>
          <w:sz w:val="27"/>
          <w:szCs w:val="27"/>
        </w:rPr>
      </w:pPr>
      <w:r>
        <w:rPr>
          <w:rFonts w:ascii="宋体" w:hAnsi="宋体" w:eastAsia="宋体" w:cs="宋体"/>
          <w:spacing w:val="4"/>
          <w:sz w:val="27"/>
          <w:szCs w:val="27"/>
        </w:rPr>
        <w:t>提出拟采取的硬件设计方案。</w:t>
      </w:r>
    </w:p>
    <w:p w14:paraId="6BD92571">
      <w:pPr>
        <w:spacing w:before="79" w:line="221" w:lineRule="auto"/>
        <w:rPr>
          <w:rFonts w:ascii="黑体" w:hAnsi="黑体" w:eastAsia="黑体" w:cs="黑体"/>
          <w:sz w:val="27"/>
          <w:szCs w:val="27"/>
        </w:rPr>
      </w:pPr>
      <w:r>
        <w:rPr>
          <w:rFonts w:ascii="黑体" w:hAnsi="黑体" w:eastAsia="黑体" w:cs="黑体"/>
          <w:spacing w:val="2"/>
          <w:sz w:val="27"/>
          <w:szCs w:val="27"/>
        </w:rPr>
        <w:t>6.6</w:t>
      </w:r>
      <w:r>
        <w:rPr>
          <w:rFonts w:ascii="黑体" w:hAnsi="黑体" w:eastAsia="黑体" w:cs="黑体"/>
          <w:spacing w:val="13"/>
          <w:sz w:val="27"/>
          <w:szCs w:val="27"/>
        </w:rPr>
        <w:t xml:space="preserve">  </w:t>
      </w:r>
      <w:r>
        <w:rPr>
          <w:rFonts w:ascii="黑体" w:hAnsi="黑体" w:eastAsia="黑体" w:cs="黑体"/>
          <w:spacing w:val="2"/>
          <w:sz w:val="27"/>
          <w:szCs w:val="27"/>
        </w:rPr>
        <w:t>产品软件方案</w:t>
      </w:r>
    </w:p>
    <w:p w14:paraId="017AB7BE">
      <w:pPr>
        <w:spacing w:before="126" w:line="219" w:lineRule="auto"/>
        <w:ind w:left="560"/>
        <w:rPr>
          <w:rFonts w:ascii="宋体" w:hAnsi="宋体" w:eastAsia="宋体" w:cs="宋体"/>
          <w:sz w:val="24"/>
          <w:szCs w:val="24"/>
        </w:rPr>
      </w:pPr>
      <w:r>
        <w:rPr>
          <w:rFonts w:ascii="宋体" w:hAnsi="宋体" w:eastAsia="宋体" w:cs="宋体"/>
          <w:spacing w:val="30"/>
          <w:sz w:val="24"/>
          <w:szCs w:val="24"/>
        </w:rPr>
        <w:t>(适用时)提出拟采取的软件设计方案。</w:t>
      </w:r>
    </w:p>
    <w:p w14:paraId="34DF5AA6">
      <w:pPr>
        <w:spacing w:before="105" w:line="221" w:lineRule="auto"/>
        <w:rPr>
          <w:rFonts w:ascii="黑体" w:hAnsi="黑体" w:eastAsia="黑体" w:cs="黑体"/>
          <w:sz w:val="24"/>
          <w:szCs w:val="24"/>
        </w:rPr>
      </w:pPr>
      <w:r>
        <w:rPr>
          <w:rFonts w:ascii="黑体" w:hAnsi="黑体" w:eastAsia="黑体" w:cs="黑体"/>
          <w:spacing w:val="22"/>
          <w:sz w:val="24"/>
          <w:szCs w:val="24"/>
        </w:rPr>
        <w:t>6.7</w:t>
      </w:r>
      <w:r>
        <w:rPr>
          <w:rFonts w:ascii="黑体" w:hAnsi="黑体" w:eastAsia="黑体" w:cs="黑体"/>
          <w:spacing w:val="50"/>
          <w:sz w:val="24"/>
          <w:szCs w:val="24"/>
        </w:rPr>
        <w:t xml:space="preserve">  </w:t>
      </w:r>
      <w:r>
        <w:rPr>
          <w:rFonts w:ascii="黑体" w:hAnsi="黑体" w:eastAsia="黑体" w:cs="黑体"/>
          <w:spacing w:val="22"/>
          <w:sz w:val="24"/>
          <w:szCs w:val="24"/>
        </w:rPr>
        <w:t>产品接口方案</w:t>
      </w:r>
    </w:p>
    <w:p w14:paraId="71C0C5CF">
      <w:pPr>
        <w:spacing w:before="95" w:line="306" w:lineRule="auto"/>
        <w:ind w:left="60" w:right="2" w:firstLine="499"/>
        <w:rPr>
          <w:rFonts w:ascii="宋体" w:hAnsi="宋体" w:eastAsia="宋体" w:cs="宋体"/>
          <w:sz w:val="25"/>
          <w:szCs w:val="25"/>
        </w:rPr>
      </w:pPr>
      <w:r>
        <w:rPr>
          <w:rFonts w:ascii="宋体" w:hAnsi="宋体" w:eastAsia="宋体" w:cs="宋体"/>
          <w:spacing w:val="26"/>
          <w:sz w:val="25"/>
          <w:szCs w:val="25"/>
        </w:rPr>
        <w:t>提出拟采取的接口设计方案。按照接口控制</w:t>
      </w:r>
      <w:r>
        <w:rPr>
          <w:rFonts w:ascii="宋体" w:hAnsi="宋体" w:eastAsia="宋体" w:cs="宋体"/>
          <w:spacing w:val="25"/>
          <w:sz w:val="25"/>
          <w:szCs w:val="25"/>
        </w:rPr>
        <w:t>文件，明确功能接口和物理接</w:t>
      </w:r>
      <w:r>
        <w:rPr>
          <w:rFonts w:ascii="宋体" w:hAnsi="宋体" w:eastAsia="宋体" w:cs="宋体"/>
          <w:sz w:val="25"/>
          <w:szCs w:val="25"/>
        </w:rPr>
        <w:t xml:space="preserve"> </w:t>
      </w:r>
      <w:r>
        <w:rPr>
          <w:rFonts w:ascii="宋体" w:hAnsi="宋体" w:eastAsia="宋体" w:cs="宋体"/>
          <w:spacing w:val="8"/>
          <w:sz w:val="25"/>
          <w:szCs w:val="25"/>
        </w:rPr>
        <w:t>口设计。</w:t>
      </w:r>
    </w:p>
    <w:p w14:paraId="03A16377">
      <w:pPr>
        <w:pStyle w:val="2"/>
        <w:spacing w:before="1" w:line="220" w:lineRule="auto"/>
        <w:rPr>
          <w:rFonts w:ascii="黑体" w:hAnsi="黑体" w:eastAsia="黑体" w:cs="黑体"/>
          <w:sz w:val="27"/>
          <w:szCs w:val="27"/>
        </w:rPr>
      </w:pPr>
      <w:r>
        <w:rPr>
          <w:spacing w:val="3"/>
          <w:sz w:val="27"/>
          <w:szCs w:val="27"/>
        </w:rPr>
        <w:t>7</w:t>
      </w:r>
      <w:r>
        <w:rPr>
          <w:spacing w:val="24"/>
          <w:w w:val="101"/>
          <w:sz w:val="27"/>
          <w:szCs w:val="27"/>
        </w:rPr>
        <w:t xml:space="preserve">   </w:t>
      </w:r>
      <w:r>
        <w:rPr>
          <w:rFonts w:ascii="黑体" w:hAnsi="黑体" w:eastAsia="黑体" w:cs="黑体"/>
          <w:spacing w:val="3"/>
          <w:sz w:val="27"/>
          <w:szCs w:val="27"/>
        </w:rPr>
        <w:t>可靠性维修性测试性保障性安全性初步分析</w:t>
      </w:r>
    </w:p>
    <w:p w14:paraId="21C43698">
      <w:pPr>
        <w:spacing w:before="97" w:line="222" w:lineRule="auto"/>
        <w:rPr>
          <w:rFonts w:ascii="黑体" w:hAnsi="黑体" w:eastAsia="黑体" w:cs="黑体"/>
          <w:sz w:val="24"/>
          <w:szCs w:val="24"/>
        </w:rPr>
      </w:pPr>
      <w:r>
        <w:rPr>
          <w:rFonts w:ascii="黑体" w:hAnsi="黑体" w:eastAsia="黑体" w:cs="黑体"/>
          <w:spacing w:val="24"/>
          <w:sz w:val="24"/>
          <w:szCs w:val="24"/>
        </w:rPr>
        <w:t>7.1</w:t>
      </w:r>
      <w:r>
        <w:rPr>
          <w:rFonts w:ascii="黑体" w:hAnsi="黑体" w:eastAsia="黑体" w:cs="黑体"/>
          <w:spacing w:val="49"/>
          <w:sz w:val="24"/>
          <w:szCs w:val="24"/>
        </w:rPr>
        <w:t xml:space="preserve">  </w:t>
      </w:r>
      <w:r>
        <w:rPr>
          <w:rFonts w:ascii="黑体" w:hAnsi="黑体" w:eastAsia="黑体" w:cs="黑体"/>
          <w:spacing w:val="24"/>
          <w:sz w:val="24"/>
          <w:szCs w:val="24"/>
        </w:rPr>
        <w:t>可靠性初步分析</w:t>
      </w:r>
    </w:p>
    <w:p w14:paraId="2B9519EF">
      <w:pPr>
        <w:spacing w:before="93" w:line="283" w:lineRule="auto"/>
        <w:ind w:right="1" w:firstLine="560"/>
        <w:rPr>
          <w:rFonts w:ascii="宋体" w:hAnsi="宋体" w:eastAsia="宋体" w:cs="宋体"/>
          <w:sz w:val="27"/>
          <w:szCs w:val="27"/>
        </w:rPr>
      </w:pPr>
      <w:r>
        <w:rPr>
          <w:rFonts w:ascii="宋体" w:hAnsi="宋体" w:eastAsia="宋体" w:cs="宋体"/>
          <w:spacing w:val="-3"/>
          <w:sz w:val="27"/>
          <w:szCs w:val="27"/>
        </w:rPr>
        <w:t>对产品可靠性进行初步分析，提出拟采取的可靠性设计措施，进行可靠性预</w:t>
      </w:r>
      <w:r>
        <w:rPr>
          <w:rFonts w:ascii="宋体" w:hAnsi="宋体" w:eastAsia="宋体" w:cs="宋体"/>
          <w:spacing w:val="9"/>
          <w:sz w:val="27"/>
          <w:szCs w:val="27"/>
        </w:rPr>
        <w:t xml:space="preserve"> </w:t>
      </w:r>
      <w:r>
        <w:rPr>
          <w:rFonts w:ascii="宋体" w:hAnsi="宋体" w:eastAsia="宋体" w:cs="宋体"/>
          <w:spacing w:val="-6"/>
          <w:sz w:val="27"/>
          <w:szCs w:val="27"/>
        </w:rPr>
        <w:t>计，确保可靠性要求得以满足。</w:t>
      </w:r>
    </w:p>
    <w:p w14:paraId="550259D4">
      <w:pPr>
        <w:spacing w:line="283" w:lineRule="auto"/>
        <w:rPr>
          <w:rFonts w:ascii="宋体" w:hAnsi="宋体" w:eastAsia="宋体" w:cs="宋体"/>
          <w:sz w:val="27"/>
          <w:szCs w:val="27"/>
        </w:rPr>
        <w:sectPr>
          <w:footerReference r:id="rId30" w:type="default"/>
          <w:pgSz w:w="11910" w:h="17130"/>
          <w:pgMar w:top="400" w:right="1247" w:bottom="1733" w:left="1279" w:header="0" w:footer="1535" w:gutter="0"/>
          <w:cols w:space="720" w:num="1"/>
        </w:sectPr>
      </w:pPr>
    </w:p>
    <w:p w14:paraId="3797371C">
      <w:pPr>
        <w:pStyle w:val="2"/>
        <w:spacing w:line="246" w:lineRule="auto"/>
      </w:pPr>
    </w:p>
    <w:p w14:paraId="0A567AF4">
      <w:pPr>
        <w:pStyle w:val="2"/>
        <w:spacing w:line="246" w:lineRule="auto"/>
      </w:pPr>
    </w:p>
    <w:p w14:paraId="35225478">
      <w:pPr>
        <w:pStyle w:val="2"/>
        <w:spacing w:line="246" w:lineRule="auto"/>
      </w:pPr>
    </w:p>
    <w:p w14:paraId="537FAD78">
      <w:pPr>
        <w:pStyle w:val="2"/>
        <w:spacing w:line="247" w:lineRule="auto"/>
      </w:pPr>
    </w:p>
    <w:p w14:paraId="3F3EF088">
      <w:pPr>
        <w:pStyle w:val="2"/>
        <w:spacing w:before="88" w:line="222" w:lineRule="auto"/>
        <w:rPr>
          <w:rFonts w:ascii="黑体" w:hAnsi="黑体" w:eastAsia="黑体" w:cs="黑体"/>
          <w:sz w:val="27"/>
          <w:szCs w:val="27"/>
        </w:rPr>
      </w:pPr>
      <w:bookmarkStart w:id="11" w:name="bookmark311"/>
      <w:bookmarkEnd w:id="11"/>
      <w:r>
        <w:rPr>
          <w:spacing w:val="2"/>
          <w:sz w:val="27"/>
          <w:szCs w:val="27"/>
        </w:rPr>
        <w:t>7.2</w:t>
      </w:r>
      <w:r>
        <w:rPr>
          <w:spacing w:val="11"/>
          <w:sz w:val="27"/>
          <w:szCs w:val="27"/>
        </w:rPr>
        <w:t xml:space="preserve">    </w:t>
      </w:r>
      <w:r>
        <w:rPr>
          <w:rFonts w:ascii="黑体" w:hAnsi="黑体" w:eastAsia="黑体" w:cs="黑体"/>
          <w:spacing w:val="2"/>
          <w:sz w:val="27"/>
          <w:szCs w:val="27"/>
        </w:rPr>
        <w:t>维修性初步分析</w:t>
      </w:r>
    </w:p>
    <w:p w14:paraId="17954080">
      <w:pPr>
        <w:spacing w:before="65" w:line="290" w:lineRule="auto"/>
        <w:ind w:right="123" w:firstLine="560"/>
        <w:rPr>
          <w:rFonts w:ascii="宋体" w:hAnsi="宋体" w:eastAsia="宋体" w:cs="宋体"/>
          <w:sz w:val="27"/>
          <w:szCs w:val="27"/>
        </w:rPr>
      </w:pPr>
      <w:r>
        <w:rPr>
          <w:rFonts w:ascii="宋体" w:hAnsi="宋体" w:eastAsia="宋体" w:cs="宋体"/>
          <w:spacing w:val="-3"/>
          <w:sz w:val="27"/>
          <w:szCs w:val="27"/>
        </w:rPr>
        <w:t>对产品维修性进行初步分析，提出拟采取的维修性设计措施，进行维修性预</w:t>
      </w:r>
      <w:r>
        <w:rPr>
          <w:rFonts w:ascii="宋体" w:hAnsi="宋体" w:eastAsia="宋体" w:cs="宋体"/>
          <w:spacing w:val="9"/>
          <w:sz w:val="27"/>
          <w:szCs w:val="27"/>
        </w:rPr>
        <w:t xml:space="preserve"> </w:t>
      </w:r>
      <w:r>
        <w:rPr>
          <w:rFonts w:ascii="宋体" w:hAnsi="宋体" w:eastAsia="宋体" w:cs="宋体"/>
          <w:spacing w:val="-6"/>
          <w:sz w:val="27"/>
          <w:szCs w:val="27"/>
        </w:rPr>
        <w:t>计，确保维修性要求得以满足。</w:t>
      </w:r>
    </w:p>
    <w:p w14:paraId="31AD26BF">
      <w:pPr>
        <w:spacing w:before="1" w:line="220" w:lineRule="auto"/>
        <w:rPr>
          <w:rFonts w:ascii="黑体" w:hAnsi="黑体" w:eastAsia="黑体" w:cs="黑体"/>
          <w:sz w:val="24"/>
          <w:szCs w:val="24"/>
        </w:rPr>
      </w:pPr>
      <w:r>
        <w:rPr>
          <w:rFonts w:ascii="黑体" w:hAnsi="黑体" w:eastAsia="黑体" w:cs="黑体"/>
          <w:spacing w:val="22"/>
          <w:sz w:val="24"/>
          <w:szCs w:val="24"/>
        </w:rPr>
        <w:t>7.3</w:t>
      </w:r>
      <w:r>
        <w:rPr>
          <w:rFonts w:ascii="黑体" w:hAnsi="黑体" w:eastAsia="黑体" w:cs="黑体"/>
          <w:spacing w:val="54"/>
          <w:sz w:val="24"/>
          <w:szCs w:val="24"/>
        </w:rPr>
        <w:t xml:space="preserve">  </w:t>
      </w:r>
      <w:r>
        <w:rPr>
          <w:rFonts w:ascii="黑体" w:hAnsi="黑体" w:eastAsia="黑体" w:cs="黑体"/>
          <w:spacing w:val="22"/>
          <w:sz w:val="24"/>
          <w:szCs w:val="24"/>
        </w:rPr>
        <w:t>测试性初步分析</w:t>
      </w:r>
    </w:p>
    <w:p w14:paraId="12682E84">
      <w:pPr>
        <w:spacing w:before="76" w:line="287" w:lineRule="auto"/>
        <w:ind w:right="123" w:firstLine="560"/>
        <w:rPr>
          <w:rFonts w:ascii="宋体" w:hAnsi="宋体" w:eastAsia="宋体" w:cs="宋体"/>
          <w:sz w:val="27"/>
          <w:szCs w:val="27"/>
        </w:rPr>
      </w:pPr>
      <w:r>
        <w:rPr>
          <w:rFonts w:ascii="宋体" w:hAnsi="宋体" w:eastAsia="宋体" w:cs="宋体"/>
          <w:spacing w:val="-3"/>
          <w:sz w:val="27"/>
          <w:szCs w:val="27"/>
        </w:rPr>
        <w:t>对产品测试性进行初步分析，提出拟采取的测试性设计措施，进行测试性预</w:t>
      </w:r>
      <w:r>
        <w:rPr>
          <w:rFonts w:ascii="宋体" w:hAnsi="宋体" w:eastAsia="宋体" w:cs="宋体"/>
          <w:spacing w:val="9"/>
          <w:sz w:val="27"/>
          <w:szCs w:val="27"/>
        </w:rPr>
        <w:t xml:space="preserve"> </w:t>
      </w:r>
      <w:r>
        <w:rPr>
          <w:rFonts w:ascii="宋体" w:hAnsi="宋体" w:eastAsia="宋体" w:cs="宋体"/>
          <w:spacing w:val="-6"/>
          <w:sz w:val="27"/>
          <w:szCs w:val="27"/>
        </w:rPr>
        <w:t>计，确保测试性要求得以满足。</w:t>
      </w:r>
    </w:p>
    <w:p w14:paraId="2B6B68C8">
      <w:pPr>
        <w:spacing w:line="222" w:lineRule="auto"/>
        <w:rPr>
          <w:rFonts w:ascii="黑体" w:hAnsi="黑体" w:eastAsia="黑体" w:cs="黑体"/>
          <w:sz w:val="27"/>
          <w:szCs w:val="27"/>
        </w:rPr>
      </w:pPr>
      <w:r>
        <w:rPr>
          <w:rFonts w:ascii="黑体" w:hAnsi="黑体" w:eastAsia="黑体" w:cs="黑体"/>
          <w:spacing w:val="1"/>
          <w:sz w:val="27"/>
          <w:szCs w:val="27"/>
        </w:rPr>
        <w:t>7.4</w:t>
      </w:r>
      <w:r>
        <w:rPr>
          <w:rFonts w:ascii="黑体" w:hAnsi="黑体" w:eastAsia="黑体" w:cs="黑体"/>
          <w:spacing w:val="17"/>
          <w:sz w:val="27"/>
          <w:szCs w:val="27"/>
        </w:rPr>
        <w:t xml:space="preserve">  </w:t>
      </w:r>
      <w:r>
        <w:rPr>
          <w:rFonts w:ascii="黑体" w:hAnsi="黑体" w:eastAsia="黑体" w:cs="黑体"/>
          <w:spacing w:val="1"/>
          <w:sz w:val="27"/>
          <w:szCs w:val="27"/>
        </w:rPr>
        <w:t>保障性初步分析</w:t>
      </w:r>
    </w:p>
    <w:p w14:paraId="291AD4F3">
      <w:pPr>
        <w:spacing w:before="64" w:line="284" w:lineRule="auto"/>
        <w:ind w:right="114" w:firstLine="560"/>
        <w:rPr>
          <w:rFonts w:ascii="宋体" w:hAnsi="宋体" w:eastAsia="宋体" w:cs="宋体"/>
          <w:sz w:val="27"/>
          <w:szCs w:val="27"/>
        </w:rPr>
      </w:pPr>
      <w:r>
        <w:rPr>
          <w:rFonts w:ascii="宋体" w:hAnsi="宋体" w:eastAsia="宋体" w:cs="宋体"/>
          <w:spacing w:val="6"/>
          <w:sz w:val="27"/>
          <w:szCs w:val="27"/>
        </w:rPr>
        <w:t>对产品保障性进行初步分析，提出拟采取的保障性设计措施，规划</w:t>
      </w:r>
      <w:r>
        <w:rPr>
          <w:rFonts w:ascii="宋体" w:hAnsi="宋体" w:eastAsia="宋体" w:cs="宋体"/>
          <w:spacing w:val="5"/>
          <w:sz w:val="27"/>
          <w:szCs w:val="27"/>
        </w:rPr>
        <w:t>保障资</w:t>
      </w:r>
      <w:r>
        <w:rPr>
          <w:rFonts w:ascii="宋体" w:hAnsi="宋体" w:eastAsia="宋体" w:cs="宋体"/>
          <w:sz w:val="27"/>
          <w:szCs w:val="27"/>
        </w:rPr>
        <w:t xml:space="preserve"> </w:t>
      </w:r>
      <w:r>
        <w:rPr>
          <w:rFonts w:ascii="宋体" w:hAnsi="宋体" w:eastAsia="宋体" w:cs="宋体"/>
          <w:spacing w:val="-9"/>
          <w:sz w:val="27"/>
          <w:szCs w:val="27"/>
        </w:rPr>
        <w:t>源，研制保障设备，确保保障性要求得以满足。</w:t>
      </w:r>
    </w:p>
    <w:p w14:paraId="5AD08A65">
      <w:pPr>
        <w:spacing w:line="222" w:lineRule="auto"/>
        <w:rPr>
          <w:rFonts w:ascii="黑体" w:hAnsi="黑体" w:eastAsia="黑体" w:cs="黑体"/>
          <w:sz w:val="27"/>
          <w:szCs w:val="27"/>
        </w:rPr>
      </w:pPr>
      <w:r>
        <w:rPr>
          <w:rFonts w:ascii="黑体" w:hAnsi="黑体" w:eastAsia="黑体" w:cs="黑体"/>
          <w:sz w:val="27"/>
          <w:szCs w:val="27"/>
        </w:rPr>
        <w:t>7.5</w:t>
      </w:r>
      <w:r>
        <w:rPr>
          <w:rFonts w:ascii="黑体" w:hAnsi="黑体" w:eastAsia="黑体" w:cs="黑体"/>
          <w:spacing w:val="22"/>
          <w:sz w:val="27"/>
          <w:szCs w:val="27"/>
        </w:rPr>
        <w:t xml:space="preserve">  </w:t>
      </w:r>
      <w:r>
        <w:rPr>
          <w:rFonts w:ascii="黑体" w:hAnsi="黑体" w:eastAsia="黑体" w:cs="黑体"/>
          <w:sz w:val="27"/>
          <w:szCs w:val="27"/>
        </w:rPr>
        <w:t>安全性初步分析</w:t>
      </w:r>
    </w:p>
    <w:p w14:paraId="71B1B351">
      <w:pPr>
        <w:spacing w:before="74" w:line="260" w:lineRule="auto"/>
        <w:ind w:right="123" w:firstLine="560"/>
        <w:rPr>
          <w:rFonts w:ascii="宋体" w:hAnsi="宋体" w:eastAsia="宋体" w:cs="宋体"/>
          <w:sz w:val="27"/>
          <w:szCs w:val="27"/>
        </w:rPr>
      </w:pPr>
      <w:r>
        <w:rPr>
          <w:rFonts w:ascii="宋体" w:hAnsi="宋体" w:eastAsia="宋体" w:cs="宋体"/>
          <w:spacing w:val="-3"/>
          <w:sz w:val="27"/>
          <w:szCs w:val="27"/>
        </w:rPr>
        <w:t>对产品安全性进行初步分析，提出拟采取的安全性设计措施，进行安全性预</w:t>
      </w:r>
      <w:r>
        <w:rPr>
          <w:rFonts w:ascii="宋体" w:hAnsi="宋体" w:eastAsia="宋体" w:cs="宋体"/>
          <w:spacing w:val="9"/>
          <w:sz w:val="27"/>
          <w:szCs w:val="27"/>
        </w:rPr>
        <w:t xml:space="preserve"> </w:t>
      </w:r>
      <w:r>
        <w:rPr>
          <w:rFonts w:ascii="宋体" w:hAnsi="宋体" w:eastAsia="宋体" w:cs="宋体"/>
          <w:spacing w:val="-6"/>
          <w:sz w:val="27"/>
          <w:szCs w:val="27"/>
        </w:rPr>
        <w:t>计，确保安全性要求得以满足。</w:t>
      </w:r>
    </w:p>
    <w:p w14:paraId="66393A91">
      <w:pPr>
        <w:pStyle w:val="2"/>
        <w:spacing w:line="368" w:lineRule="exact"/>
        <w:rPr>
          <w:rFonts w:ascii="黑体" w:hAnsi="黑体" w:eastAsia="黑体" w:cs="黑体"/>
          <w:sz w:val="27"/>
          <w:szCs w:val="27"/>
        </w:rPr>
      </w:pPr>
      <w:r>
        <w:rPr>
          <w:spacing w:val="3"/>
          <w:position w:val="1"/>
          <w:sz w:val="27"/>
          <w:szCs w:val="27"/>
        </w:rPr>
        <w:t>8</w:t>
      </w:r>
      <w:r>
        <w:rPr>
          <w:spacing w:val="26"/>
          <w:position w:val="1"/>
          <w:sz w:val="27"/>
          <w:szCs w:val="27"/>
        </w:rPr>
        <w:t xml:space="preserve">   </w:t>
      </w:r>
      <w:r>
        <w:rPr>
          <w:rFonts w:ascii="黑体" w:hAnsi="黑体" w:eastAsia="黑体" w:cs="黑体"/>
          <w:spacing w:val="3"/>
          <w:position w:val="1"/>
          <w:sz w:val="27"/>
          <w:szCs w:val="27"/>
        </w:rPr>
        <w:t>技术继承性和新技术采用的分析</w:t>
      </w:r>
    </w:p>
    <w:p w14:paraId="6429BA17">
      <w:pPr>
        <w:spacing w:before="121" w:line="222" w:lineRule="auto"/>
        <w:rPr>
          <w:rFonts w:ascii="黑体" w:hAnsi="黑体" w:eastAsia="黑体" w:cs="黑体"/>
          <w:sz w:val="24"/>
          <w:szCs w:val="24"/>
        </w:rPr>
      </w:pPr>
      <w:r>
        <w:rPr>
          <w:rFonts w:ascii="黑体" w:hAnsi="黑体" w:eastAsia="黑体" w:cs="黑体"/>
          <w:spacing w:val="24"/>
          <w:sz w:val="24"/>
          <w:szCs w:val="24"/>
        </w:rPr>
        <w:t>8.1</w:t>
      </w:r>
      <w:r>
        <w:rPr>
          <w:rFonts w:ascii="黑体" w:hAnsi="黑体" w:eastAsia="黑体" w:cs="黑体"/>
          <w:spacing w:val="44"/>
          <w:sz w:val="24"/>
          <w:szCs w:val="24"/>
        </w:rPr>
        <w:t xml:space="preserve">  </w:t>
      </w:r>
      <w:r>
        <w:rPr>
          <w:rFonts w:ascii="黑体" w:hAnsi="黑体" w:eastAsia="黑体" w:cs="黑体"/>
          <w:spacing w:val="24"/>
          <w:sz w:val="24"/>
          <w:szCs w:val="24"/>
        </w:rPr>
        <w:t>技术继承性分析</w:t>
      </w:r>
    </w:p>
    <w:p w14:paraId="19F51F9D">
      <w:pPr>
        <w:spacing w:before="91" w:line="219" w:lineRule="auto"/>
        <w:ind w:left="560"/>
        <w:rPr>
          <w:rFonts w:ascii="宋体" w:hAnsi="宋体" w:eastAsia="宋体" w:cs="宋体"/>
          <w:sz w:val="27"/>
          <w:szCs w:val="27"/>
        </w:rPr>
      </w:pPr>
      <w:r>
        <w:rPr>
          <w:rFonts w:ascii="宋体" w:hAnsi="宋体" w:eastAsia="宋体" w:cs="宋体"/>
          <w:spacing w:val="5"/>
          <w:sz w:val="27"/>
          <w:szCs w:val="27"/>
        </w:rPr>
        <w:t>说明产品研制可能需要采用的已在其他型号产品中采</w:t>
      </w:r>
      <w:r>
        <w:rPr>
          <w:rFonts w:ascii="宋体" w:hAnsi="宋体" w:eastAsia="宋体" w:cs="宋体"/>
          <w:spacing w:val="4"/>
          <w:sz w:val="27"/>
          <w:szCs w:val="27"/>
        </w:rPr>
        <w:t>用的成熟技术。</w:t>
      </w:r>
    </w:p>
    <w:p w14:paraId="3A0E1142">
      <w:pPr>
        <w:pStyle w:val="2"/>
        <w:spacing w:before="41" w:line="368" w:lineRule="exact"/>
        <w:rPr>
          <w:rFonts w:ascii="黑体" w:hAnsi="黑体" w:eastAsia="黑体" w:cs="黑体"/>
          <w:sz w:val="27"/>
          <w:szCs w:val="27"/>
        </w:rPr>
      </w:pPr>
      <w:r>
        <w:rPr>
          <w:spacing w:val="3"/>
          <w:position w:val="1"/>
          <w:sz w:val="27"/>
          <w:szCs w:val="27"/>
        </w:rPr>
        <w:t>8.2</w:t>
      </w:r>
      <w:r>
        <w:rPr>
          <w:spacing w:val="10"/>
          <w:position w:val="1"/>
          <w:sz w:val="27"/>
          <w:szCs w:val="27"/>
        </w:rPr>
        <w:t xml:space="preserve">    </w:t>
      </w:r>
      <w:r>
        <w:rPr>
          <w:rFonts w:ascii="黑体" w:hAnsi="黑体" w:eastAsia="黑体" w:cs="黑体"/>
          <w:spacing w:val="3"/>
          <w:position w:val="1"/>
          <w:sz w:val="27"/>
          <w:szCs w:val="27"/>
        </w:rPr>
        <w:t>新技术采用的分析</w:t>
      </w:r>
    </w:p>
    <w:p w14:paraId="0F404CAA">
      <w:pPr>
        <w:spacing w:before="81" w:line="219" w:lineRule="auto"/>
        <w:ind w:left="560"/>
        <w:rPr>
          <w:rFonts w:ascii="宋体" w:hAnsi="宋体" w:eastAsia="宋体" w:cs="宋体"/>
          <w:sz w:val="27"/>
          <w:szCs w:val="27"/>
        </w:rPr>
      </w:pPr>
      <w:r>
        <w:rPr>
          <w:rFonts w:ascii="宋体" w:hAnsi="宋体" w:eastAsia="宋体" w:cs="宋体"/>
          <w:spacing w:val="1"/>
          <w:sz w:val="27"/>
          <w:szCs w:val="27"/>
        </w:rPr>
        <w:t>对产品研制可能需要采用的新技术进行必要的分析，论</w:t>
      </w:r>
      <w:r>
        <w:rPr>
          <w:rFonts w:ascii="宋体" w:hAnsi="宋体" w:eastAsia="宋体" w:cs="宋体"/>
          <w:sz w:val="27"/>
          <w:szCs w:val="27"/>
        </w:rPr>
        <w:t>述新技术的基础。</w:t>
      </w:r>
    </w:p>
    <w:p w14:paraId="2F600594">
      <w:pPr>
        <w:pStyle w:val="2"/>
        <w:spacing w:before="41" w:line="368" w:lineRule="exact"/>
        <w:rPr>
          <w:rFonts w:ascii="黑体" w:hAnsi="黑体" w:eastAsia="黑体" w:cs="黑体"/>
          <w:sz w:val="27"/>
          <w:szCs w:val="27"/>
        </w:rPr>
      </w:pPr>
      <w:r>
        <w:rPr>
          <w:spacing w:val="3"/>
          <w:position w:val="1"/>
          <w:sz w:val="27"/>
          <w:szCs w:val="27"/>
        </w:rPr>
        <w:t xml:space="preserve">9    </w:t>
      </w:r>
      <w:r>
        <w:rPr>
          <w:rFonts w:ascii="黑体" w:hAnsi="黑体" w:eastAsia="黑体" w:cs="黑体"/>
          <w:spacing w:val="3"/>
          <w:position w:val="1"/>
          <w:sz w:val="27"/>
          <w:szCs w:val="27"/>
        </w:rPr>
        <w:t>关键技术的成熟程度及初步风险分析</w:t>
      </w:r>
    </w:p>
    <w:p w14:paraId="38CBBE61">
      <w:pPr>
        <w:spacing w:before="113" w:line="219" w:lineRule="auto"/>
        <w:ind w:left="560"/>
        <w:rPr>
          <w:rFonts w:ascii="宋体" w:hAnsi="宋体" w:eastAsia="宋体" w:cs="宋体"/>
          <w:sz w:val="27"/>
          <w:szCs w:val="27"/>
        </w:rPr>
      </w:pPr>
      <w:r>
        <w:rPr>
          <w:rFonts w:ascii="宋体" w:hAnsi="宋体" w:eastAsia="宋体" w:cs="宋体"/>
          <w:spacing w:val="4"/>
          <w:sz w:val="27"/>
          <w:szCs w:val="27"/>
        </w:rPr>
        <w:t>应列出需要攻关的关键技术项目。</w:t>
      </w:r>
    </w:p>
    <w:p w14:paraId="5AD5686E">
      <w:pPr>
        <w:spacing w:before="90" w:line="273" w:lineRule="auto"/>
        <w:ind w:firstLine="560"/>
        <w:rPr>
          <w:rFonts w:ascii="宋体" w:hAnsi="宋体" w:eastAsia="宋体" w:cs="宋体"/>
          <w:sz w:val="27"/>
          <w:szCs w:val="27"/>
        </w:rPr>
      </w:pPr>
      <w:r>
        <w:rPr>
          <w:rFonts w:ascii="宋体" w:hAnsi="宋体" w:eastAsia="宋体" w:cs="宋体"/>
          <w:spacing w:val="1"/>
          <w:sz w:val="27"/>
          <w:szCs w:val="27"/>
        </w:rPr>
        <w:t>说明在关键技术项目中，有哪些可以应用的预研成果或部分应用成熟技术，</w:t>
      </w:r>
      <w:r>
        <w:rPr>
          <w:rFonts w:ascii="宋体" w:hAnsi="宋体" w:eastAsia="宋体" w:cs="宋体"/>
          <w:sz w:val="27"/>
          <w:szCs w:val="27"/>
        </w:rPr>
        <w:t xml:space="preserve"> </w:t>
      </w:r>
      <w:r>
        <w:rPr>
          <w:rFonts w:ascii="宋体" w:hAnsi="宋体" w:eastAsia="宋体" w:cs="宋体"/>
          <w:spacing w:val="4"/>
          <w:sz w:val="27"/>
          <w:szCs w:val="27"/>
        </w:rPr>
        <w:t>对关键技术的技术成熟度进行评价。</w:t>
      </w:r>
    </w:p>
    <w:p w14:paraId="5D89D818">
      <w:pPr>
        <w:spacing w:before="2" w:line="283" w:lineRule="auto"/>
        <w:ind w:right="121" w:firstLine="560"/>
        <w:rPr>
          <w:rFonts w:ascii="宋体" w:hAnsi="宋体" w:eastAsia="宋体" w:cs="宋体"/>
          <w:sz w:val="27"/>
          <w:szCs w:val="27"/>
        </w:rPr>
      </w:pPr>
      <w:r>
        <w:rPr>
          <w:rFonts w:ascii="宋体" w:hAnsi="宋体" w:eastAsia="宋体" w:cs="宋体"/>
          <w:spacing w:val="-3"/>
          <w:sz w:val="27"/>
          <w:szCs w:val="27"/>
        </w:rPr>
        <w:t>对提出的关键技术项目，根据难易程度以及在系统中所处的位置，进行初步</w:t>
      </w:r>
      <w:r>
        <w:rPr>
          <w:rFonts w:ascii="宋体" w:hAnsi="宋体" w:eastAsia="宋体" w:cs="宋体"/>
          <w:spacing w:val="11"/>
          <w:sz w:val="27"/>
          <w:szCs w:val="27"/>
        </w:rPr>
        <w:t xml:space="preserve"> </w:t>
      </w:r>
      <w:r>
        <w:rPr>
          <w:rFonts w:ascii="宋体" w:hAnsi="宋体" w:eastAsia="宋体" w:cs="宋体"/>
          <w:spacing w:val="-3"/>
          <w:sz w:val="27"/>
          <w:szCs w:val="27"/>
        </w:rPr>
        <w:t>风险分析。</w:t>
      </w:r>
    </w:p>
    <w:p w14:paraId="6A050AD5">
      <w:pPr>
        <w:spacing w:before="1" w:line="222" w:lineRule="auto"/>
        <w:rPr>
          <w:rFonts w:ascii="黑体" w:hAnsi="黑体" w:eastAsia="黑体" w:cs="黑体"/>
          <w:sz w:val="27"/>
          <w:szCs w:val="27"/>
        </w:rPr>
      </w:pPr>
      <w:r>
        <w:rPr>
          <w:rFonts w:ascii="黑体" w:hAnsi="黑体" w:eastAsia="黑体" w:cs="黑体"/>
          <w:spacing w:val="3"/>
          <w:sz w:val="27"/>
          <w:szCs w:val="27"/>
        </w:rPr>
        <w:t>10</w:t>
      </w:r>
      <w:r>
        <w:rPr>
          <w:rFonts w:ascii="黑体" w:hAnsi="黑体" w:eastAsia="黑体" w:cs="黑体"/>
          <w:spacing w:val="22"/>
          <w:sz w:val="27"/>
          <w:szCs w:val="27"/>
        </w:rPr>
        <w:t xml:space="preserve">  </w:t>
      </w:r>
      <w:r>
        <w:rPr>
          <w:rFonts w:ascii="黑体" w:hAnsi="黑体" w:eastAsia="黑体" w:cs="黑体"/>
          <w:spacing w:val="3"/>
          <w:sz w:val="27"/>
          <w:szCs w:val="27"/>
        </w:rPr>
        <w:t>初步保障条件要求</w:t>
      </w:r>
    </w:p>
    <w:p w14:paraId="04DA772C">
      <w:pPr>
        <w:spacing w:before="86" w:line="282" w:lineRule="auto"/>
        <w:ind w:right="138" w:firstLine="560"/>
        <w:rPr>
          <w:rFonts w:ascii="宋体" w:hAnsi="宋体" w:eastAsia="宋体" w:cs="宋体"/>
          <w:sz w:val="27"/>
          <w:szCs w:val="27"/>
        </w:rPr>
      </w:pPr>
      <w:r>
        <w:rPr>
          <w:rFonts w:ascii="宋体" w:hAnsi="宋体" w:eastAsia="宋体" w:cs="宋体"/>
          <w:spacing w:val="-3"/>
          <w:sz w:val="27"/>
          <w:szCs w:val="27"/>
        </w:rPr>
        <w:t>提出产品研制所需的初步保障条件，包括基础设施改造条件、</w:t>
      </w:r>
      <w:r>
        <w:rPr>
          <w:rFonts w:ascii="宋体" w:hAnsi="宋体" w:eastAsia="宋体" w:cs="宋体"/>
          <w:spacing w:val="-4"/>
          <w:sz w:val="27"/>
          <w:szCs w:val="27"/>
        </w:rPr>
        <w:t>需要引进的项</w:t>
      </w:r>
      <w:r>
        <w:rPr>
          <w:rFonts w:ascii="宋体" w:hAnsi="宋体" w:eastAsia="宋体" w:cs="宋体"/>
          <w:sz w:val="27"/>
          <w:szCs w:val="27"/>
        </w:rPr>
        <w:t xml:space="preserve"> </w:t>
      </w:r>
      <w:r>
        <w:rPr>
          <w:rFonts w:ascii="宋体" w:hAnsi="宋体" w:eastAsia="宋体" w:cs="宋体"/>
          <w:spacing w:val="1"/>
          <w:sz w:val="27"/>
          <w:szCs w:val="27"/>
        </w:rPr>
        <w:t>目和对其他相关系统的保障条件等要求。</w:t>
      </w:r>
    </w:p>
    <w:p w14:paraId="22374D63">
      <w:pPr>
        <w:pStyle w:val="2"/>
        <w:spacing w:before="1" w:line="221" w:lineRule="auto"/>
        <w:rPr>
          <w:rFonts w:ascii="黑体" w:hAnsi="黑体" w:eastAsia="黑体" w:cs="黑体"/>
          <w:sz w:val="24"/>
          <w:szCs w:val="24"/>
        </w:rPr>
      </w:pPr>
      <w:r>
        <w:rPr>
          <w:spacing w:val="24"/>
          <w:sz w:val="24"/>
          <w:szCs w:val="24"/>
        </w:rPr>
        <w:t xml:space="preserve">11    </w:t>
      </w:r>
      <w:r>
        <w:rPr>
          <w:rFonts w:ascii="黑体" w:hAnsi="黑体" w:eastAsia="黑体" w:cs="黑体"/>
          <w:spacing w:val="24"/>
          <w:sz w:val="24"/>
          <w:szCs w:val="24"/>
        </w:rPr>
        <w:t>配套系统的支撑性分析</w:t>
      </w:r>
    </w:p>
    <w:p w14:paraId="34B5600D">
      <w:pPr>
        <w:spacing w:before="96" w:line="219" w:lineRule="auto"/>
        <w:ind w:left="560"/>
        <w:rPr>
          <w:rFonts w:ascii="宋体" w:hAnsi="宋体" w:eastAsia="宋体" w:cs="宋体"/>
          <w:sz w:val="27"/>
          <w:szCs w:val="27"/>
        </w:rPr>
      </w:pPr>
      <w:r>
        <w:rPr>
          <w:rFonts w:ascii="宋体" w:hAnsi="宋体" w:eastAsia="宋体" w:cs="宋体"/>
          <w:spacing w:val="4"/>
          <w:sz w:val="27"/>
          <w:szCs w:val="27"/>
        </w:rPr>
        <w:t>对保障产品正常使用的配套系统的组成及主要功能性能进行说明。</w:t>
      </w:r>
    </w:p>
    <w:p w14:paraId="7F88BBCA">
      <w:pPr>
        <w:spacing w:before="78" w:line="222" w:lineRule="auto"/>
        <w:rPr>
          <w:rFonts w:ascii="黑体" w:hAnsi="黑体" w:eastAsia="黑体" w:cs="黑体"/>
          <w:sz w:val="27"/>
          <w:szCs w:val="27"/>
        </w:rPr>
      </w:pPr>
      <w:r>
        <w:rPr>
          <w:rFonts w:ascii="黑体" w:hAnsi="黑体" w:eastAsia="黑体" w:cs="黑体"/>
          <w:spacing w:val="3"/>
          <w:sz w:val="27"/>
          <w:szCs w:val="27"/>
        </w:rPr>
        <w:t>12</w:t>
      </w:r>
      <w:r>
        <w:rPr>
          <w:rFonts w:ascii="黑体" w:hAnsi="黑体" w:eastAsia="黑体" w:cs="黑体"/>
          <w:spacing w:val="25"/>
          <w:sz w:val="27"/>
          <w:szCs w:val="27"/>
        </w:rPr>
        <w:t xml:space="preserve">  </w:t>
      </w:r>
      <w:r>
        <w:rPr>
          <w:rFonts w:ascii="黑体" w:hAnsi="黑体" w:eastAsia="黑体" w:cs="黑体"/>
          <w:spacing w:val="3"/>
          <w:sz w:val="27"/>
          <w:szCs w:val="27"/>
        </w:rPr>
        <w:t>研制周期及经费需求分析</w:t>
      </w:r>
    </w:p>
    <w:p w14:paraId="4D5F4B61">
      <w:pPr>
        <w:spacing w:before="114" w:line="279" w:lineRule="auto"/>
        <w:ind w:right="122" w:firstLine="560"/>
        <w:jc w:val="both"/>
        <w:rPr>
          <w:rFonts w:ascii="宋体" w:hAnsi="宋体" w:eastAsia="宋体" w:cs="宋体"/>
          <w:sz w:val="27"/>
          <w:szCs w:val="27"/>
        </w:rPr>
      </w:pPr>
      <w:r>
        <w:rPr>
          <w:rFonts w:ascii="宋体" w:hAnsi="宋体" w:eastAsia="宋体" w:cs="宋体"/>
          <w:spacing w:val="-3"/>
          <w:sz w:val="27"/>
          <w:szCs w:val="27"/>
        </w:rPr>
        <w:t>依据拟采用的成熟技术、拟采用的新技术基础、关键技术项目的数量和技术</w:t>
      </w:r>
      <w:r>
        <w:rPr>
          <w:rFonts w:ascii="宋体" w:hAnsi="宋体" w:eastAsia="宋体" w:cs="宋体"/>
          <w:spacing w:val="10"/>
          <w:sz w:val="27"/>
          <w:szCs w:val="27"/>
        </w:rPr>
        <w:t xml:space="preserve"> </w:t>
      </w:r>
      <w:r>
        <w:rPr>
          <w:rFonts w:ascii="宋体" w:hAnsi="宋体" w:eastAsia="宋体" w:cs="宋体"/>
          <w:spacing w:val="-2"/>
          <w:sz w:val="27"/>
          <w:szCs w:val="27"/>
        </w:rPr>
        <w:t>成熟度等对产品研制周期进行分析预计，提</w:t>
      </w:r>
      <w:r>
        <w:rPr>
          <w:rFonts w:ascii="宋体" w:hAnsi="宋体" w:eastAsia="宋体" w:cs="宋体"/>
          <w:spacing w:val="-3"/>
          <w:sz w:val="27"/>
          <w:szCs w:val="27"/>
        </w:rPr>
        <w:t>出产品研制计划流程图，列出主要时</w:t>
      </w:r>
      <w:r>
        <w:rPr>
          <w:rFonts w:ascii="宋体" w:hAnsi="宋体" w:eastAsia="宋体" w:cs="宋体"/>
          <w:sz w:val="27"/>
          <w:szCs w:val="27"/>
        </w:rPr>
        <w:t xml:space="preserve"> </w:t>
      </w:r>
      <w:r>
        <w:rPr>
          <w:rFonts w:ascii="宋体" w:hAnsi="宋体" w:eastAsia="宋体" w:cs="宋体"/>
          <w:spacing w:val="1"/>
          <w:sz w:val="27"/>
          <w:szCs w:val="27"/>
        </w:rPr>
        <w:t>间节点及完成工作内容。</w:t>
      </w:r>
    </w:p>
    <w:p w14:paraId="04C60B45">
      <w:pPr>
        <w:spacing w:before="9" w:line="297" w:lineRule="auto"/>
        <w:ind w:right="133" w:firstLine="560"/>
        <w:rPr>
          <w:rFonts w:ascii="宋体" w:hAnsi="宋体" w:eastAsia="宋体" w:cs="宋体"/>
          <w:sz w:val="25"/>
          <w:szCs w:val="25"/>
        </w:rPr>
      </w:pPr>
      <w:r>
        <w:rPr>
          <w:rFonts w:ascii="宋体" w:hAnsi="宋体" w:eastAsia="宋体" w:cs="宋体"/>
          <w:spacing w:val="20"/>
          <w:sz w:val="25"/>
          <w:szCs w:val="25"/>
        </w:rPr>
        <w:t>对方案论证、工程研制(初样研制和正样研制)的经费需求(含保障设备研制</w:t>
      </w:r>
      <w:r>
        <w:rPr>
          <w:rFonts w:ascii="宋体" w:hAnsi="宋体" w:eastAsia="宋体" w:cs="宋体"/>
          <w:spacing w:val="5"/>
          <w:sz w:val="25"/>
          <w:szCs w:val="25"/>
        </w:rPr>
        <w:t xml:space="preserve"> </w:t>
      </w:r>
      <w:r>
        <w:rPr>
          <w:rFonts w:ascii="宋体" w:hAnsi="宋体" w:eastAsia="宋体" w:cs="宋体"/>
          <w:spacing w:val="11"/>
          <w:sz w:val="25"/>
          <w:szCs w:val="25"/>
        </w:rPr>
        <w:t>等)进行分析，提出初步的研制经费需求，</w:t>
      </w:r>
      <w:r>
        <w:rPr>
          <w:rFonts w:ascii="宋体" w:hAnsi="宋体" w:eastAsia="宋体" w:cs="宋体"/>
          <w:spacing w:val="10"/>
          <w:sz w:val="25"/>
          <w:szCs w:val="25"/>
        </w:rPr>
        <w:t>列出明细。</w:t>
      </w:r>
    </w:p>
    <w:p w14:paraId="10D189BB">
      <w:pPr>
        <w:spacing w:line="297" w:lineRule="auto"/>
        <w:rPr>
          <w:rFonts w:ascii="宋体" w:hAnsi="宋体" w:eastAsia="宋体" w:cs="宋体"/>
          <w:sz w:val="25"/>
          <w:szCs w:val="25"/>
        </w:rPr>
        <w:sectPr>
          <w:footerReference r:id="rId31" w:type="default"/>
          <w:pgSz w:w="11910" w:h="17130"/>
          <w:pgMar w:top="400" w:right="1025" w:bottom="1694" w:left="1380" w:header="0" w:footer="1478" w:gutter="0"/>
          <w:cols w:space="720" w:num="1"/>
        </w:sectPr>
      </w:pPr>
    </w:p>
    <w:p w14:paraId="2EE4FA61">
      <w:pPr>
        <w:pStyle w:val="2"/>
        <w:spacing w:line="250" w:lineRule="auto"/>
      </w:pPr>
    </w:p>
    <w:p w14:paraId="3D60FDD5">
      <w:pPr>
        <w:pStyle w:val="2"/>
        <w:spacing w:line="251" w:lineRule="auto"/>
      </w:pPr>
    </w:p>
    <w:p w14:paraId="79B0E5BA">
      <w:pPr>
        <w:pStyle w:val="2"/>
        <w:spacing w:line="251" w:lineRule="auto"/>
      </w:pPr>
    </w:p>
    <w:p w14:paraId="200F7978">
      <w:pPr>
        <w:pStyle w:val="2"/>
        <w:spacing w:line="251" w:lineRule="auto"/>
      </w:pPr>
    </w:p>
    <w:p w14:paraId="54752954">
      <w:pPr>
        <w:spacing w:before="78" w:line="221" w:lineRule="auto"/>
        <w:rPr>
          <w:rFonts w:ascii="黑体" w:hAnsi="黑体" w:eastAsia="黑体" w:cs="黑体"/>
          <w:sz w:val="24"/>
          <w:szCs w:val="24"/>
        </w:rPr>
      </w:pPr>
      <w:r>
        <w:rPr>
          <w:rFonts w:ascii="黑体" w:hAnsi="黑体" w:eastAsia="黑体" w:cs="黑体"/>
          <w:spacing w:val="31"/>
          <w:sz w:val="24"/>
          <w:szCs w:val="24"/>
        </w:rPr>
        <w:t>13</w:t>
      </w:r>
      <w:r>
        <w:rPr>
          <w:rFonts w:ascii="黑体" w:hAnsi="黑体" w:eastAsia="黑体" w:cs="黑体"/>
          <w:spacing w:val="36"/>
          <w:sz w:val="24"/>
          <w:szCs w:val="24"/>
        </w:rPr>
        <w:t xml:space="preserve">  </w:t>
      </w:r>
      <w:r>
        <w:rPr>
          <w:rFonts w:ascii="黑体" w:hAnsi="黑体" w:eastAsia="黑体" w:cs="黑体"/>
          <w:spacing w:val="31"/>
          <w:sz w:val="24"/>
          <w:szCs w:val="24"/>
        </w:rPr>
        <w:t>研制任务组织实施和研制分工建议</w:t>
      </w:r>
    </w:p>
    <w:p w14:paraId="7E6A1E88">
      <w:pPr>
        <w:spacing w:before="76" w:line="219" w:lineRule="auto"/>
        <w:ind w:left="529"/>
        <w:rPr>
          <w:rFonts w:ascii="宋体" w:hAnsi="宋体" w:eastAsia="宋体" w:cs="宋体"/>
          <w:sz w:val="27"/>
          <w:szCs w:val="27"/>
        </w:rPr>
      </w:pPr>
      <w:r>
        <w:rPr>
          <w:rFonts w:ascii="宋体" w:hAnsi="宋体" w:eastAsia="宋体" w:cs="宋体"/>
          <w:spacing w:val="-2"/>
          <w:sz w:val="27"/>
          <w:szCs w:val="27"/>
        </w:rPr>
        <w:t>提出研制任务组织实施的建议，明确研制质量管理工作流程。</w:t>
      </w:r>
    </w:p>
    <w:p w14:paraId="1A30B3AC">
      <w:pPr>
        <w:spacing w:before="58" w:line="310" w:lineRule="auto"/>
        <w:ind w:right="21" w:firstLine="529"/>
        <w:rPr>
          <w:rFonts w:ascii="宋体" w:hAnsi="宋体" w:eastAsia="宋体" w:cs="宋体"/>
          <w:sz w:val="27"/>
          <w:szCs w:val="27"/>
        </w:rPr>
      </w:pPr>
      <w:r>
        <w:rPr>
          <w:rFonts w:ascii="宋体" w:hAnsi="宋体" w:eastAsia="宋体" w:cs="宋体"/>
          <w:spacing w:val="5"/>
          <w:sz w:val="27"/>
          <w:szCs w:val="27"/>
        </w:rPr>
        <w:t>提出参与研制的单位及其研制任务分工建议，说明各参与研制单位的研制</w:t>
      </w:r>
      <w:r>
        <w:rPr>
          <w:rFonts w:ascii="宋体" w:hAnsi="宋体" w:eastAsia="宋体" w:cs="宋体"/>
          <w:spacing w:val="2"/>
          <w:sz w:val="27"/>
          <w:szCs w:val="27"/>
        </w:rPr>
        <w:t xml:space="preserve"> </w:t>
      </w:r>
      <w:r>
        <w:rPr>
          <w:rFonts w:ascii="宋体" w:hAnsi="宋体" w:eastAsia="宋体" w:cs="宋体"/>
          <w:spacing w:val="-6"/>
          <w:sz w:val="27"/>
          <w:szCs w:val="27"/>
        </w:rPr>
        <w:t>能力。</w:t>
      </w:r>
    </w:p>
    <w:p w14:paraId="3DEB61D5">
      <w:pPr>
        <w:spacing w:before="289" w:line="218" w:lineRule="auto"/>
        <w:ind w:left="2039"/>
        <w:outlineLvl w:val="1"/>
        <w:rPr>
          <w:rFonts w:ascii="宋体" w:hAnsi="宋体" w:eastAsia="宋体" w:cs="宋体"/>
          <w:sz w:val="36"/>
          <w:szCs w:val="36"/>
        </w:rPr>
      </w:pPr>
      <w:bookmarkStart w:id="12" w:name="bookmark7"/>
      <w:bookmarkEnd w:id="12"/>
      <w:r>
        <w:rPr>
          <w:rFonts w:ascii="Times New Roman" w:hAnsi="Times New Roman" w:eastAsia="Times New Roman" w:cs="Times New Roman"/>
          <w:b/>
          <w:bCs/>
          <w:spacing w:val="4"/>
          <w:sz w:val="36"/>
          <w:szCs w:val="36"/>
        </w:rPr>
        <w:t xml:space="preserve">1.5     </w:t>
      </w:r>
      <w:r>
        <w:rPr>
          <w:rFonts w:ascii="宋体" w:hAnsi="宋体" w:eastAsia="宋体" w:cs="宋体"/>
          <w:b/>
          <w:bCs/>
          <w:spacing w:val="4"/>
          <w:sz w:val="36"/>
          <w:szCs w:val="36"/>
        </w:rPr>
        <w:t>生产性分析报告(论证阶段)</w:t>
      </w:r>
    </w:p>
    <w:p w14:paraId="6E297DD4">
      <w:pPr>
        <w:pStyle w:val="2"/>
        <w:spacing w:line="391" w:lineRule="auto"/>
      </w:pPr>
    </w:p>
    <w:p w14:paraId="5996F3EA">
      <w:pPr>
        <w:spacing w:before="78" w:line="223" w:lineRule="auto"/>
        <w:ind w:left="529"/>
        <w:rPr>
          <w:rFonts w:ascii="楷体" w:hAnsi="楷体" w:eastAsia="楷体" w:cs="楷体"/>
          <w:sz w:val="24"/>
          <w:szCs w:val="24"/>
        </w:rPr>
      </w:pPr>
      <w:r>
        <w:rPr>
          <w:rFonts w:ascii="楷体" w:hAnsi="楷体" w:eastAsia="楷体" w:cs="楷体"/>
          <w:spacing w:val="6"/>
          <w:sz w:val="24"/>
          <w:szCs w:val="24"/>
        </w:rPr>
        <w:t>按</w:t>
      </w:r>
      <w:r>
        <w:rPr>
          <w:rFonts w:ascii="楷体" w:hAnsi="楷体" w:eastAsia="楷体" w:cs="楷体"/>
          <w:spacing w:val="-18"/>
          <w:sz w:val="24"/>
          <w:szCs w:val="24"/>
        </w:rPr>
        <w:t xml:space="preserve"> </w:t>
      </w:r>
      <w:r>
        <w:rPr>
          <w:rFonts w:ascii="楷体" w:hAnsi="楷体" w:eastAsia="楷体" w:cs="楷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3363—1998</w:t>
      </w:r>
      <w:r>
        <w:rPr>
          <w:rFonts w:ascii="宋体" w:hAnsi="宋体" w:eastAsia="宋体" w:cs="宋体"/>
          <w:spacing w:val="6"/>
          <w:sz w:val="24"/>
          <w:szCs w:val="24"/>
        </w:rPr>
        <w:t>《</w:t>
      </w:r>
      <w:r>
        <w:rPr>
          <w:rFonts w:ascii="楷体" w:hAnsi="楷体" w:eastAsia="楷体" w:cs="楷体"/>
          <w:spacing w:val="6"/>
          <w:sz w:val="24"/>
          <w:szCs w:val="24"/>
        </w:rPr>
        <w:t>生产性分析》编写。</w:t>
      </w:r>
    </w:p>
    <w:p w14:paraId="4A7D5782">
      <w:pPr>
        <w:spacing w:before="79" w:line="223" w:lineRule="auto"/>
        <w:rPr>
          <w:rFonts w:ascii="黑体" w:hAnsi="黑体" w:eastAsia="黑体" w:cs="黑体"/>
          <w:sz w:val="27"/>
          <w:szCs w:val="27"/>
        </w:rPr>
      </w:pPr>
      <w:r>
        <w:rPr>
          <w:rFonts w:ascii="黑体" w:hAnsi="黑体" w:eastAsia="黑体" w:cs="黑体"/>
          <w:sz w:val="27"/>
          <w:szCs w:val="27"/>
        </w:rPr>
        <w:t>1</w:t>
      </w:r>
      <w:r>
        <w:rPr>
          <w:rFonts w:ascii="黑体" w:hAnsi="黑体" w:eastAsia="黑体" w:cs="黑体"/>
          <w:spacing w:val="15"/>
          <w:sz w:val="27"/>
          <w:szCs w:val="27"/>
        </w:rPr>
        <w:t xml:space="preserve">  </w:t>
      </w:r>
      <w:r>
        <w:rPr>
          <w:rFonts w:ascii="黑体" w:hAnsi="黑体" w:eastAsia="黑体" w:cs="黑体"/>
          <w:sz w:val="27"/>
          <w:szCs w:val="27"/>
        </w:rPr>
        <w:t>范围</w:t>
      </w:r>
    </w:p>
    <w:p w14:paraId="57D57636">
      <w:pPr>
        <w:spacing w:before="71" w:line="222" w:lineRule="auto"/>
        <w:rPr>
          <w:rFonts w:ascii="黑体" w:hAnsi="黑体" w:eastAsia="黑体" w:cs="黑体"/>
          <w:sz w:val="27"/>
          <w:szCs w:val="27"/>
        </w:rPr>
      </w:pPr>
      <w:r>
        <w:rPr>
          <w:rFonts w:ascii="黑体" w:hAnsi="黑体" w:eastAsia="黑体" w:cs="黑体"/>
          <w:spacing w:val="3"/>
          <w:sz w:val="27"/>
          <w:szCs w:val="27"/>
        </w:rPr>
        <w:t>2  引用文件</w:t>
      </w:r>
    </w:p>
    <w:p w14:paraId="41D88AAF">
      <w:pPr>
        <w:pStyle w:val="2"/>
        <w:spacing w:before="28" w:line="368" w:lineRule="exact"/>
        <w:rPr>
          <w:rFonts w:ascii="黑体" w:hAnsi="黑体" w:eastAsia="黑体" w:cs="黑体"/>
          <w:sz w:val="27"/>
          <w:szCs w:val="27"/>
        </w:rPr>
      </w:pPr>
      <w:r>
        <w:rPr>
          <w:spacing w:val="2"/>
          <w:position w:val="1"/>
          <w:sz w:val="27"/>
          <w:szCs w:val="27"/>
        </w:rPr>
        <w:t>3</w:t>
      </w:r>
      <w:r>
        <w:rPr>
          <w:spacing w:val="17"/>
          <w:position w:val="1"/>
          <w:sz w:val="27"/>
          <w:szCs w:val="27"/>
        </w:rPr>
        <w:t xml:space="preserve">   </w:t>
      </w:r>
      <w:r>
        <w:rPr>
          <w:rFonts w:ascii="黑体" w:hAnsi="黑体" w:eastAsia="黑体" w:cs="黑体"/>
          <w:spacing w:val="2"/>
          <w:position w:val="1"/>
          <w:sz w:val="27"/>
          <w:szCs w:val="27"/>
        </w:rPr>
        <w:t>生产性分析目的</w:t>
      </w:r>
    </w:p>
    <w:p w14:paraId="70D569D7">
      <w:pPr>
        <w:spacing w:before="79" w:line="218" w:lineRule="auto"/>
        <w:ind w:left="529"/>
        <w:rPr>
          <w:rFonts w:ascii="宋体" w:hAnsi="宋体" w:eastAsia="宋体" w:cs="宋体"/>
          <w:sz w:val="27"/>
          <w:szCs w:val="27"/>
        </w:rPr>
      </w:pPr>
      <w:r>
        <w:rPr>
          <w:rFonts w:ascii="宋体" w:hAnsi="宋体" w:eastAsia="宋体" w:cs="宋体"/>
          <w:sz w:val="27"/>
          <w:szCs w:val="27"/>
        </w:rPr>
        <w:t>进行初步的生产性评估，以确定产品研制在生产性方面是否具备可行性。</w:t>
      </w:r>
    </w:p>
    <w:p w14:paraId="6F2DE5AF">
      <w:pPr>
        <w:pStyle w:val="2"/>
        <w:spacing w:before="121" w:line="222" w:lineRule="auto"/>
        <w:rPr>
          <w:rFonts w:ascii="黑体" w:hAnsi="黑体" w:eastAsia="黑体" w:cs="黑体"/>
          <w:sz w:val="27"/>
          <w:szCs w:val="27"/>
        </w:rPr>
      </w:pPr>
      <w:r>
        <w:rPr>
          <w:spacing w:val="4"/>
          <w:sz w:val="27"/>
          <w:szCs w:val="27"/>
        </w:rPr>
        <w:t>4</w:t>
      </w:r>
      <w:r>
        <w:rPr>
          <w:spacing w:val="12"/>
          <w:sz w:val="27"/>
          <w:szCs w:val="27"/>
        </w:rPr>
        <w:t xml:space="preserve">   </w:t>
      </w:r>
      <w:r>
        <w:rPr>
          <w:rFonts w:ascii="黑体" w:hAnsi="黑体" w:eastAsia="黑体" w:cs="黑体"/>
          <w:spacing w:val="4"/>
          <w:sz w:val="27"/>
          <w:szCs w:val="27"/>
        </w:rPr>
        <w:t>生产性分析准则</w:t>
      </w:r>
    </w:p>
    <w:p w14:paraId="3FA8A597">
      <w:pPr>
        <w:spacing w:before="77" w:line="270" w:lineRule="auto"/>
        <w:ind w:firstLine="529"/>
        <w:rPr>
          <w:rFonts w:ascii="宋体" w:hAnsi="宋体" w:eastAsia="宋体" w:cs="宋体"/>
          <w:sz w:val="27"/>
          <w:szCs w:val="27"/>
        </w:rPr>
      </w:pPr>
      <w:r>
        <w:rPr>
          <w:rFonts w:ascii="宋体" w:hAnsi="宋体" w:eastAsia="宋体" w:cs="宋体"/>
          <w:spacing w:val="-3"/>
          <w:sz w:val="27"/>
          <w:szCs w:val="27"/>
        </w:rPr>
        <w:t>承制方应依据设计特征建立一个可操作的生产性分析准则，形成文件，并随</w:t>
      </w:r>
      <w:r>
        <w:rPr>
          <w:rFonts w:ascii="宋体" w:hAnsi="宋体" w:eastAsia="宋体" w:cs="宋体"/>
          <w:spacing w:val="12"/>
          <w:sz w:val="27"/>
          <w:szCs w:val="27"/>
        </w:rPr>
        <w:t xml:space="preserve"> </w:t>
      </w:r>
      <w:r>
        <w:rPr>
          <w:rFonts w:ascii="宋体" w:hAnsi="宋体" w:eastAsia="宋体" w:cs="宋体"/>
          <w:spacing w:val="-2"/>
          <w:sz w:val="27"/>
          <w:szCs w:val="27"/>
        </w:rPr>
        <w:t>研制工作进展而不断更新，该准则应包括下列内容：</w:t>
      </w:r>
    </w:p>
    <w:p w14:paraId="7CF9A0DC">
      <w:pPr>
        <w:spacing w:line="212" w:lineRule="auto"/>
        <w:ind w:left="529"/>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承制方现有的和规划中的生产条件对产品设计的限制；</w:t>
      </w:r>
    </w:p>
    <w:p w14:paraId="52C103EF">
      <w:pPr>
        <w:spacing w:before="90" w:line="212" w:lineRule="auto"/>
        <w:ind w:left="529"/>
        <w:rPr>
          <w:rFonts w:ascii="宋体" w:hAnsi="宋体" w:eastAsia="宋体" w:cs="宋体"/>
          <w:sz w:val="27"/>
          <w:szCs w:val="27"/>
        </w:rPr>
      </w:pPr>
      <w:r>
        <w:rPr>
          <w:rFonts w:ascii="Times New Roman" w:hAnsi="Times New Roman" w:eastAsia="Times New Roman" w:cs="Times New Roman"/>
          <w:sz w:val="27"/>
          <w:szCs w:val="27"/>
        </w:rPr>
        <w:t>b)</w:t>
      </w:r>
      <w:r>
        <w:rPr>
          <w:rFonts w:ascii="Times New Roman" w:hAnsi="Times New Roman" w:eastAsia="Times New Roman" w:cs="Times New Roman"/>
          <w:spacing w:val="71"/>
          <w:sz w:val="27"/>
          <w:szCs w:val="27"/>
        </w:rPr>
        <w:t xml:space="preserve"> </w:t>
      </w:r>
      <w:r>
        <w:rPr>
          <w:rFonts w:ascii="宋体" w:hAnsi="宋体" w:eastAsia="宋体" w:cs="宋体"/>
          <w:sz w:val="27"/>
          <w:szCs w:val="27"/>
        </w:rPr>
        <w:t>互换性措施；</w:t>
      </w:r>
    </w:p>
    <w:p w14:paraId="3B219275">
      <w:pPr>
        <w:spacing w:before="100" w:line="212" w:lineRule="auto"/>
        <w:ind w:left="529"/>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57"/>
          <w:w w:val="101"/>
          <w:sz w:val="27"/>
          <w:szCs w:val="27"/>
        </w:rPr>
        <w:t xml:space="preserve"> </w:t>
      </w:r>
      <w:r>
        <w:rPr>
          <w:rFonts w:ascii="宋体" w:hAnsi="宋体" w:eastAsia="宋体" w:cs="宋体"/>
          <w:spacing w:val="1"/>
          <w:sz w:val="27"/>
          <w:szCs w:val="27"/>
        </w:rPr>
        <w:t>材料选择限制；</w:t>
      </w:r>
    </w:p>
    <w:p w14:paraId="4A831A86">
      <w:pPr>
        <w:spacing w:before="100" w:line="212" w:lineRule="auto"/>
        <w:ind w:left="529"/>
        <w:rPr>
          <w:rFonts w:ascii="宋体" w:hAnsi="宋体" w:eastAsia="宋体" w:cs="宋体"/>
          <w:sz w:val="27"/>
          <w:szCs w:val="27"/>
        </w:rPr>
      </w:pPr>
      <w:r>
        <w:rPr>
          <w:rFonts w:ascii="Times New Roman" w:hAnsi="Times New Roman" w:eastAsia="Times New Roman" w:cs="Times New Roman"/>
          <w:spacing w:val="3"/>
          <w:sz w:val="27"/>
          <w:szCs w:val="27"/>
        </w:rPr>
        <w:t>d)</w:t>
      </w:r>
      <w:r>
        <w:rPr>
          <w:rFonts w:ascii="Times New Roman" w:hAnsi="Times New Roman" w:eastAsia="Times New Roman" w:cs="Times New Roman"/>
          <w:spacing w:val="66"/>
          <w:sz w:val="27"/>
          <w:szCs w:val="27"/>
        </w:rPr>
        <w:t xml:space="preserve"> </w:t>
      </w:r>
      <w:r>
        <w:rPr>
          <w:rFonts w:ascii="宋体" w:hAnsi="宋体" w:eastAsia="宋体" w:cs="宋体"/>
          <w:spacing w:val="3"/>
          <w:sz w:val="27"/>
          <w:szCs w:val="27"/>
        </w:rPr>
        <w:t>备选方案的选择原则和程序；</w:t>
      </w:r>
    </w:p>
    <w:p w14:paraId="1142ADB1">
      <w:pPr>
        <w:spacing w:before="100" w:line="212" w:lineRule="auto"/>
        <w:ind w:left="529"/>
        <w:rPr>
          <w:rFonts w:ascii="宋体" w:hAnsi="宋体" w:eastAsia="宋体" w:cs="宋体"/>
          <w:sz w:val="27"/>
          <w:szCs w:val="27"/>
        </w:rPr>
      </w:pPr>
      <w:r>
        <w:rPr>
          <w:rFonts w:ascii="Times New Roman" w:hAnsi="Times New Roman" w:eastAsia="Times New Roman" w:cs="Times New Roman"/>
          <w:spacing w:val="2"/>
          <w:sz w:val="27"/>
          <w:szCs w:val="27"/>
        </w:rPr>
        <w:t>e)</w:t>
      </w:r>
      <w:r>
        <w:rPr>
          <w:rFonts w:ascii="Times New Roman" w:hAnsi="Times New Roman" w:eastAsia="Times New Roman" w:cs="Times New Roman"/>
          <w:spacing w:val="54"/>
          <w:w w:val="101"/>
          <w:sz w:val="27"/>
          <w:szCs w:val="27"/>
        </w:rPr>
        <w:t xml:space="preserve"> </w:t>
      </w:r>
      <w:r>
        <w:rPr>
          <w:rFonts w:ascii="宋体" w:hAnsi="宋体" w:eastAsia="宋体" w:cs="宋体"/>
          <w:spacing w:val="2"/>
          <w:sz w:val="27"/>
          <w:szCs w:val="27"/>
        </w:rPr>
        <w:t>工装(含专用工装)选择原则；</w:t>
      </w:r>
    </w:p>
    <w:p w14:paraId="6BE73D49">
      <w:pPr>
        <w:spacing w:before="100" w:line="212" w:lineRule="auto"/>
        <w:ind w:left="529"/>
        <w:rPr>
          <w:rFonts w:ascii="宋体" w:hAnsi="宋体" w:eastAsia="宋体" w:cs="宋体"/>
          <w:sz w:val="27"/>
          <w:szCs w:val="27"/>
        </w:rPr>
      </w:pPr>
      <w:r>
        <w:rPr>
          <w:rFonts w:ascii="Times New Roman" w:hAnsi="Times New Roman" w:eastAsia="Times New Roman" w:cs="Times New Roman"/>
          <w:spacing w:val="1"/>
          <w:sz w:val="27"/>
          <w:szCs w:val="27"/>
        </w:rPr>
        <w:t xml:space="preserve">f)  </w:t>
      </w:r>
      <w:r>
        <w:rPr>
          <w:rFonts w:ascii="宋体" w:hAnsi="宋体" w:eastAsia="宋体" w:cs="宋体"/>
          <w:spacing w:val="1"/>
          <w:sz w:val="27"/>
          <w:szCs w:val="27"/>
        </w:rPr>
        <w:t>新的或独特的工艺；</w:t>
      </w:r>
    </w:p>
    <w:p w14:paraId="328EB422">
      <w:pPr>
        <w:spacing w:before="142" w:line="212" w:lineRule="auto"/>
        <w:ind w:left="529"/>
        <w:rPr>
          <w:rFonts w:ascii="宋体" w:hAnsi="宋体" w:eastAsia="宋体" w:cs="宋体"/>
          <w:sz w:val="24"/>
          <w:szCs w:val="24"/>
        </w:rPr>
      </w:pPr>
      <w:r>
        <w:rPr>
          <w:rFonts w:ascii="Times New Roman" w:hAnsi="Times New Roman" w:eastAsia="Times New Roman" w:cs="Times New Roman"/>
          <w:spacing w:val="27"/>
          <w:sz w:val="24"/>
          <w:szCs w:val="24"/>
        </w:rPr>
        <w:t>g</w:t>
      </w:r>
      <w:r>
        <w:rPr>
          <w:rFonts w:ascii="Times New Roman" w:hAnsi="Times New Roman" w:eastAsia="Times New Roman" w:cs="Times New Roman"/>
          <w:spacing w:val="-10"/>
          <w:sz w:val="24"/>
          <w:szCs w:val="24"/>
        </w:rPr>
        <w:t xml:space="preserve"> </w:t>
      </w:r>
      <w:r>
        <w:rPr>
          <w:rFonts w:ascii="宋体" w:hAnsi="宋体" w:eastAsia="宋体" w:cs="宋体"/>
          <w:spacing w:val="27"/>
          <w:sz w:val="24"/>
          <w:szCs w:val="24"/>
        </w:rPr>
        <w:t>)</w:t>
      </w:r>
      <w:r>
        <w:rPr>
          <w:rFonts w:ascii="宋体" w:hAnsi="宋体" w:eastAsia="宋体" w:cs="宋体"/>
          <w:spacing w:val="-29"/>
          <w:sz w:val="24"/>
          <w:szCs w:val="24"/>
        </w:rPr>
        <w:t xml:space="preserve"> </w:t>
      </w:r>
      <w:r>
        <w:rPr>
          <w:rFonts w:ascii="宋体" w:hAnsi="宋体" w:eastAsia="宋体" w:cs="宋体"/>
          <w:spacing w:val="27"/>
          <w:sz w:val="24"/>
          <w:szCs w:val="24"/>
        </w:rPr>
        <w:t>装配顺序和便于装配程度；</w:t>
      </w:r>
    </w:p>
    <w:p w14:paraId="044C81CC">
      <w:pPr>
        <w:spacing w:before="114" w:line="212" w:lineRule="auto"/>
        <w:ind w:left="529"/>
        <w:rPr>
          <w:rFonts w:ascii="宋体" w:hAnsi="宋体" w:eastAsia="宋体" w:cs="宋体"/>
          <w:sz w:val="24"/>
          <w:szCs w:val="24"/>
        </w:rPr>
      </w:pPr>
      <w:r>
        <w:rPr>
          <w:rFonts w:ascii="Times New Roman" w:hAnsi="Times New Roman" w:eastAsia="Times New Roman" w:cs="Times New Roman"/>
          <w:spacing w:val="23"/>
          <w:sz w:val="24"/>
          <w:szCs w:val="24"/>
        </w:rPr>
        <w:t>h)</w:t>
      </w:r>
      <w:r>
        <w:rPr>
          <w:rFonts w:ascii="Times New Roman" w:hAnsi="Times New Roman" w:eastAsia="Times New Roman" w:cs="Times New Roman"/>
          <w:spacing w:val="24"/>
          <w:sz w:val="24"/>
          <w:szCs w:val="24"/>
        </w:rPr>
        <w:t xml:space="preserve">  </w:t>
      </w:r>
      <w:r>
        <w:rPr>
          <w:rFonts w:ascii="宋体" w:hAnsi="宋体" w:eastAsia="宋体" w:cs="宋体"/>
          <w:spacing w:val="23"/>
          <w:sz w:val="24"/>
          <w:szCs w:val="24"/>
        </w:rPr>
        <w:t>制造与试验软件；</w:t>
      </w:r>
    </w:p>
    <w:p w14:paraId="26745A07">
      <w:pPr>
        <w:spacing w:before="103" w:line="212" w:lineRule="auto"/>
        <w:ind w:left="529"/>
        <w:rPr>
          <w:rFonts w:ascii="宋体" w:hAnsi="宋体" w:eastAsia="宋体" w:cs="宋体"/>
          <w:sz w:val="27"/>
          <w:szCs w:val="27"/>
        </w:rPr>
      </w:pPr>
      <w:r>
        <w:rPr>
          <w:rFonts w:ascii="Times New Roman" w:hAnsi="Times New Roman" w:eastAsia="Times New Roman" w:cs="Times New Roman"/>
          <w:spacing w:val="3"/>
          <w:sz w:val="27"/>
          <w:szCs w:val="27"/>
        </w:rPr>
        <w:t>i)</w:t>
      </w:r>
      <w:r>
        <w:rPr>
          <w:rFonts w:ascii="Times New Roman" w:hAnsi="Times New Roman" w:eastAsia="Times New Roman" w:cs="Times New Roman"/>
          <w:spacing w:val="45"/>
          <w:sz w:val="27"/>
          <w:szCs w:val="27"/>
        </w:rPr>
        <w:t xml:space="preserve"> </w:t>
      </w:r>
      <w:r>
        <w:rPr>
          <w:rFonts w:ascii="宋体" w:hAnsi="宋体" w:eastAsia="宋体" w:cs="宋体"/>
          <w:spacing w:val="3"/>
          <w:sz w:val="27"/>
          <w:szCs w:val="27"/>
        </w:rPr>
        <w:t>试验和检验仪器方案；</w:t>
      </w:r>
    </w:p>
    <w:p w14:paraId="4DDD0F5E">
      <w:pPr>
        <w:spacing w:before="119" w:line="212" w:lineRule="auto"/>
        <w:ind w:left="529"/>
        <w:rPr>
          <w:rFonts w:ascii="宋体" w:hAnsi="宋体" w:eastAsia="宋体" w:cs="宋体"/>
          <w:sz w:val="27"/>
          <w:szCs w:val="27"/>
        </w:rPr>
      </w:pPr>
      <w:r>
        <w:rPr>
          <w:rFonts w:ascii="Times New Roman" w:hAnsi="Times New Roman" w:eastAsia="Times New Roman" w:cs="Times New Roman"/>
          <w:spacing w:val="5"/>
          <w:sz w:val="27"/>
          <w:szCs w:val="27"/>
        </w:rPr>
        <w:t>j)</w:t>
      </w:r>
      <w:r>
        <w:rPr>
          <w:rFonts w:ascii="Times New Roman" w:hAnsi="Times New Roman" w:eastAsia="Times New Roman" w:cs="Times New Roman"/>
          <w:spacing w:val="46"/>
          <w:sz w:val="27"/>
          <w:szCs w:val="27"/>
        </w:rPr>
        <w:t xml:space="preserve"> </w:t>
      </w:r>
      <w:r>
        <w:rPr>
          <w:rFonts w:ascii="宋体" w:hAnsi="宋体" w:eastAsia="宋体" w:cs="宋体"/>
          <w:spacing w:val="5"/>
          <w:sz w:val="27"/>
          <w:szCs w:val="27"/>
        </w:rPr>
        <w:t>规定生产率下所使用的工作方法；</w:t>
      </w:r>
    </w:p>
    <w:p w14:paraId="58C94F30">
      <w:pPr>
        <w:spacing w:before="71" w:line="212" w:lineRule="auto"/>
        <w:ind w:left="529"/>
        <w:rPr>
          <w:rFonts w:ascii="宋体" w:hAnsi="宋体" w:eastAsia="宋体" w:cs="宋体"/>
          <w:sz w:val="27"/>
          <w:szCs w:val="27"/>
        </w:rPr>
      </w:pPr>
      <w:r>
        <w:rPr>
          <w:rFonts w:ascii="Times New Roman" w:hAnsi="Times New Roman" w:eastAsia="Times New Roman" w:cs="Times New Roman"/>
          <w:spacing w:val="1"/>
          <w:sz w:val="27"/>
          <w:szCs w:val="27"/>
        </w:rPr>
        <w:t xml:space="preserve">k)  </w:t>
      </w:r>
      <w:r>
        <w:rPr>
          <w:rFonts w:ascii="宋体" w:hAnsi="宋体" w:eastAsia="宋体" w:cs="宋体"/>
          <w:spacing w:val="1"/>
          <w:sz w:val="27"/>
          <w:szCs w:val="27"/>
        </w:rPr>
        <w:t>生产量和生产率；</w:t>
      </w:r>
    </w:p>
    <w:p w14:paraId="76531595">
      <w:pPr>
        <w:spacing w:before="128" w:line="219" w:lineRule="auto"/>
        <w:ind w:left="529"/>
        <w:rPr>
          <w:rFonts w:ascii="宋体" w:hAnsi="宋体" w:eastAsia="宋体" w:cs="宋体"/>
          <w:sz w:val="27"/>
          <w:szCs w:val="27"/>
        </w:rPr>
      </w:pPr>
      <w:r>
        <w:rPr>
          <w:rFonts w:ascii="宋体" w:hAnsi="宋体" w:eastAsia="宋体" w:cs="宋体"/>
          <w:spacing w:val="-7"/>
          <w:sz w:val="27"/>
          <w:szCs w:val="27"/>
        </w:rPr>
        <w:t>1)</w:t>
      </w:r>
      <w:r>
        <w:rPr>
          <w:rFonts w:ascii="宋体" w:hAnsi="宋体" w:eastAsia="宋体" w:cs="宋体"/>
          <w:spacing w:val="-75"/>
          <w:sz w:val="27"/>
          <w:szCs w:val="27"/>
        </w:rPr>
        <w:t xml:space="preserve"> </w:t>
      </w:r>
      <w:r>
        <w:rPr>
          <w:rFonts w:ascii="宋体" w:hAnsi="宋体" w:eastAsia="宋体" w:cs="宋体"/>
          <w:spacing w:val="-7"/>
          <w:sz w:val="27"/>
          <w:szCs w:val="27"/>
        </w:rPr>
        <w:t>成本；</w:t>
      </w:r>
    </w:p>
    <w:p w14:paraId="55106353">
      <w:pPr>
        <w:spacing w:before="51" w:line="212" w:lineRule="auto"/>
        <w:ind w:left="529"/>
        <w:rPr>
          <w:rFonts w:ascii="宋体" w:hAnsi="宋体" w:eastAsia="宋体" w:cs="宋体"/>
          <w:sz w:val="27"/>
          <w:szCs w:val="27"/>
        </w:rPr>
      </w:pPr>
      <w:r>
        <w:rPr>
          <w:rFonts w:ascii="Times New Roman" w:hAnsi="Times New Roman" w:eastAsia="Times New Roman" w:cs="Times New Roman"/>
          <w:spacing w:val="2"/>
          <w:sz w:val="27"/>
          <w:szCs w:val="27"/>
        </w:rPr>
        <w:t>m)</w:t>
      </w:r>
      <w:r>
        <w:rPr>
          <w:rFonts w:ascii="Times New Roman" w:hAnsi="Times New Roman" w:eastAsia="Times New Roman" w:cs="Times New Roman"/>
          <w:spacing w:val="56"/>
          <w:sz w:val="27"/>
          <w:szCs w:val="27"/>
        </w:rPr>
        <w:t xml:space="preserve"> </w:t>
      </w:r>
      <w:r>
        <w:rPr>
          <w:rFonts w:ascii="宋体" w:hAnsi="宋体" w:eastAsia="宋体" w:cs="宋体"/>
          <w:spacing w:val="2"/>
          <w:sz w:val="27"/>
          <w:szCs w:val="27"/>
        </w:rPr>
        <w:t>进度。</w:t>
      </w:r>
    </w:p>
    <w:p w14:paraId="7825F401">
      <w:pPr>
        <w:pStyle w:val="2"/>
        <w:spacing w:before="91" w:line="368" w:lineRule="exact"/>
        <w:rPr>
          <w:rFonts w:ascii="黑体" w:hAnsi="黑体" w:eastAsia="黑体" w:cs="黑体"/>
          <w:sz w:val="27"/>
          <w:szCs w:val="27"/>
        </w:rPr>
      </w:pPr>
      <w:r>
        <w:rPr>
          <w:spacing w:val="3"/>
          <w:position w:val="1"/>
          <w:sz w:val="27"/>
          <w:szCs w:val="27"/>
        </w:rPr>
        <w:t>5</w:t>
      </w:r>
      <w:r>
        <w:rPr>
          <w:spacing w:val="16"/>
          <w:position w:val="1"/>
          <w:sz w:val="27"/>
          <w:szCs w:val="27"/>
        </w:rPr>
        <w:t xml:space="preserve">   </w:t>
      </w:r>
      <w:r>
        <w:rPr>
          <w:rFonts w:ascii="黑体" w:hAnsi="黑体" w:eastAsia="黑体" w:cs="黑体"/>
          <w:spacing w:val="3"/>
          <w:position w:val="1"/>
          <w:sz w:val="27"/>
          <w:szCs w:val="27"/>
        </w:rPr>
        <w:t>生产可行性分析</w:t>
      </w:r>
    </w:p>
    <w:p w14:paraId="40CAF386">
      <w:pPr>
        <w:spacing w:before="91" w:line="277" w:lineRule="auto"/>
        <w:ind w:right="5" w:firstLine="529"/>
        <w:jc w:val="both"/>
        <w:rPr>
          <w:rFonts w:ascii="宋体" w:hAnsi="宋体" w:eastAsia="宋体" w:cs="宋体"/>
          <w:sz w:val="27"/>
          <w:szCs w:val="27"/>
        </w:rPr>
      </w:pPr>
      <w:r>
        <w:rPr>
          <w:rFonts w:ascii="宋体" w:hAnsi="宋体" w:eastAsia="宋体" w:cs="宋体"/>
          <w:spacing w:val="5"/>
          <w:sz w:val="27"/>
          <w:szCs w:val="27"/>
        </w:rPr>
        <w:t>利用过去的生产经验及规划中的生产条件，对使用方</w:t>
      </w:r>
      <w:r>
        <w:rPr>
          <w:rFonts w:ascii="宋体" w:hAnsi="宋体" w:eastAsia="宋体" w:cs="宋体"/>
          <w:spacing w:val="4"/>
          <w:sz w:val="27"/>
          <w:szCs w:val="27"/>
        </w:rPr>
        <w:t>提出的初步战术技术</w:t>
      </w:r>
      <w:r>
        <w:rPr>
          <w:rFonts w:ascii="宋体" w:hAnsi="宋体" w:eastAsia="宋体" w:cs="宋体"/>
          <w:sz w:val="27"/>
          <w:szCs w:val="27"/>
        </w:rPr>
        <w:t xml:space="preserve"> </w:t>
      </w:r>
      <w:r>
        <w:rPr>
          <w:rFonts w:ascii="宋体" w:hAnsi="宋体" w:eastAsia="宋体" w:cs="宋体"/>
          <w:spacing w:val="-3"/>
          <w:sz w:val="27"/>
          <w:szCs w:val="27"/>
        </w:rPr>
        <w:t>指标进行生产可行性分析，提出准备采用的生产方法、制造工艺与技术设备、材</w:t>
      </w:r>
      <w:r>
        <w:rPr>
          <w:rFonts w:ascii="宋体" w:hAnsi="宋体" w:eastAsia="宋体" w:cs="宋体"/>
          <w:spacing w:val="3"/>
          <w:sz w:val="27"/>
          <w:szCs w:val="27"/>
        </w:rPr>
        <w:t xml:space="preserve"> </w:t>
      </w:r>
      <w:r>
        <w:rPr>
          <w:rFonts w:ascii="宋体" w:hAnsi="宋体" w:eastAsia="宋体" w:cs="宋体"/>
          <w:spacing w:val="-4"/>
          <w:sz w:val="27"/>
          <w:szCs w:val="27"/>
        </w:rPr>
        <w:t>料等初步生产技术方案，并指出生产所需的关键材料、存在的问题和潜在风险。</w:t>
      </w:r>
    </w:p>
    <w:p w14:paraId="76624A80">
      <w:pPr>
        <w:pStyle w:val="2"/>
        <w:spacing w:line="327" w:lineRule="exact"/>
        <w:rPr>
          <w:rFonts w:ascii="黑体" w:hAnsi="黑体" w:eastAsia="黑体" w:cs="黑体"/>
          <w:sz w:val="24"/>
          <w:szCs w:val="24"/>
        </w:rPr>
      </w:pPr>
      <w:r>
        <w:rPr>
          <w:spacing w:val="30"/>
          <w:position w:val="1"/>
          <w:sz w:val="24"/>
          <w:szCs w:val="24"/>
        </w:rPr>
        <w:t>6</w:t>
      </w:r>
      <w:r>
        <w:rPr>
          <w:spacing w:val="5"/>
          <w:position w:val="1"/>
          <w:sz w:val="24"/>
          <w:szCs w:val="24"/>
        </w:rPr>
        <w:t xml:space="preserve">    </w:t>
      </w:r>
      <w:r>
        <w:rPr>
          <w:rFonts w:ascii="黑体" w:hAnsi="黑体" w:eastAsia="黑体" w:cs="黑体"/>
          <w:spacing w:val="30"/>
          <w:position w:val="1"/>
          <w:sz w:val="24"/>
          <w:szCs w:val="24"/>
        </w:rPr>
        <w:t>生产能力评估</w:t>
      </w:r>
    </w:p>
    <w:p w14:paraId="75EDD48F">
      <w:pPr>
        <w:spacing w:before="106" w:line="218" w:lineRule="auto"/>
        <w:ind w:right="30"/>
        <w:jc w:val="right"/>
        <w:rPr>
          <w:rFonts w:ascii="宋体" w:hAnsi="宋体" w:eastAsia="宋体" w:cs="宋体"/>
          <w:sz w:val="27"/>
          <w:szCs w:val="27"/>
        </w:rPr>
      </w:pPr>
      <w:r>
        <w:rPr>
          <w:rFonts w:ascii="宋体" w:hAnsi="宋体" w:eastAsia="宋体" w:cs="宋体"/>
          <w:spacing w:val="5"/>
          <w:sz w:val="27"/>
          <w:szCs w:val="27"/>
        </w:rPr>
        <w:t>承制方对本单位和转承制单位的生产能力进行分析评估</w:t>
      </w:r>
      <w:r>
        <w:rPr>
          <w:rFonts w:ascii="宋体" w:hAnsi="宋体" w:eastAsia="宋体" w:cs="宋体"/>
          <w:spacing w:val="4"/>
          <w:sz w:val="27"/>
          <w:szCs w:val="27"/>
        </w:rPr>
        <w:t>，重点考虑下列要</w:t>
      </w:r>
    </w:p>
    <w:p w14:paraId="34FC23E7">
      <w:pPr>
        <w:spacing w:line="218" w:lineRule="auto"/>
        <w:rPr>
          <w:rFonts w:ascii="宋体" w:hAnsi="宋体" w:eastAsia="宋体" w:cs="宋体"/>
          <w:sz w:val="27"/>
          <w:szCs w:val="27"/>
        </w:rPr>
        <w:sectPr>
          <w:footerReference r:id="rId32" w:type="default"/>
          <w:pgSz w:w="11910" w:h="17130"/>
          <w:pgMar w:top="400" w:right="1455" w:bottom="1750" w:left="1100" w:header="0" w:footer="1552" w:gutter="0"/>
          <w:cols w:space="720" w:num="1"/>
        </w:sectPr>
      </w:pPr>
    </w:p>
    <w:p w14:paraId="38FA2688">
      <w:pPr>
        <w:pStyle w:val="2"/>
        <w:spacing w:line="259" w:lineRule="auto"/>
      </w:pPr>
    </w:p>
    <w:p w14:paraId="24CC84D7">
      <w:pPr>
        <w:pStyle w:val="2"/>
        <w:spacing w:line="259" w:lineRule="auto"/>
      </w:pPr>
    </w:p>
    <w:p w14:paraId="0A2AFB85">
      <w:pPr>
        <w:pStyle w:val="2"/>
        <w:spacing w:line="259" w:lineRule="auto"/>
      </w:pPr>
    </w:p>
    <w:p w14:paraId="07506A88">
      <w:pPr>
        <w:pStyle w:val="2"/>
        <w:spacing w:line="260" w:lineRule="auto"/>
      </w:pPr>
    </w:p>
    <w:p w14:paraId="57EAD728">
      <w:pPr>
        <w:spacing w:before="87" w:line="219" w:lineRule="auto"/>
        <w:rPr>
          <w:rFonts w:ascii="宋体" w:hAnsi="宋体" w:eastAsia="宋体" w:cs="宋体"/>
          <w:sz w:val="27"/>
          <w:szCs w:val="27"/>
        </w:rPr>
      </w:pPr>
      <w:r>
        <w:rPr>
          <w:rFonts w:ascii="宋体" w:hAnsi="宋体" w:eastAsia="宋体" w:cs="宋体"/>
          <w:spacing w:val="1"/>
          <w:sz w:val="27"/>
          <w:szCs w:val="27"/>
        </w:rPr>
        <w:t>素对产品生产性的影响：</w:t>
      </w:r>
    </w:p>
    <w:p w14:paraId="695DF429">
      <w:pPr>
        <w:spacing w:before="30" w:line="268" w:lineRule="auto"/>
        <w:ind w:right="9" w:firstLine="55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生产率和产量。1)生产率和产量</w:t>
      </w:r>
      <w:r>
        <w:rPr>
          <w:rFonts w:ascii="宋体" w:hAnsi="宋体" w:eastAsia="宋体" w:cs="宋体"/>
          <w:spacing w:val="2"/>
          <w:sz w:val="27"/>
          <w:szCs w:val="27"/>
        </w:rPr>
        <w:t>对产品生产性有重大影响，准确地确定</w:t>
      </w:r>
      <w:r>
        <w:rPr>
          <w:rFonts w:ascii="宋体" w:hAnsi="宋体" w:eastAsia="宋体" w:cs="宋体"/>
          <w:sz w:val="27"/>
          <w:szCs w:val="27"/>
        </w:rPr>
        <w:t xml:space="preserve"> </w:t>
      </w:r>
      <w:r>
        <w:rPr>
          <w:rFonts w:ascii="宋体" w:hAnsi="宋体" w:eastAsia="宋体" w:cs="宋体"/>
          <w:spacing w:val="5"/>
          <w:sz w:val="27"/>
          <w:szCs w:val="27"/>
        </w:rPr>
        <w:t xml:space="preserve">生产率和产量是进行产品生产性分析的前提；2)应考虑到制造该产品所采用的 </w:t>
      </w:r>
      <w:r>
        <w:rPr>
          <w:rFonts w:ascii="宋体" w:hAnsi="宋体" w:eastAsia="宋体" w:cs="宋体"/>
          <w:spacing w:val="-6"/>
          <w:sz w:val="27"/>
          <w:szCs w:val="27"/>
        </w:rPr>
        <w:t>生产方法(如高速率生产，低速率生产),设计的</w:t>
      </w:r>
      <w:r>
        <w:rPr>
          <w:rFonts w:ascii="宋体" w:hAnsi="宋体" w:eastAsia="宋体" w:cs="宋体"/>
          <w:spacing w:val="-7"/>
          <w:sz w:val="27"/>
          <w:szCs w:val="27"/>
        </w:rPr>
        <w:t>产品必须在构形、尺寸、公差、材</w:t>
      </w:r>
      <w:r>
        <w:rPr>
          <w:rFonts w:ascii="宋体" w:hAnsi="宋体" w:eastAsia="宋体" w:cs="宋体"/>
          <w:sz w:val="27"/>
          <w:szCs w:val="27"/>
        </w:rPr>
        <w:t xml:space="preserve"> </w:t>
      </w:r>
      <w:r>
        <w:rPr>
          <w:rFonts w:ascii="宋体" w:hAnsi="宋体" w:eastAsia="宋体" w:cs="宋体"/>
          <w:spacing w:val="2"/>
          <w:sz w:val="27"/>
          <w:szCs w:val="27"/>
        </w:rPr>
        <w:t>料诸方面与所采用生产方法相符。</w:t>
      </w:r>
    </w:p>
    <w:p w14:paraId="142318EC">
      <w:pPr>
        <w:spacing w:before="69" w:line="265" w:lineRule="auto"/>
        <w:ind w:firstLine="55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38"/>
          <w:sz w:val="27"/>
          <w:szCs w:val="27"/>
        </w:rPr>
        <w:t xml:space="preserve"> </w:t>
      </w:r>
      <w:r>
        <w:rPr>
          <w:rFonts w:ascii="宋体" w:hAnsi="宋体" w:eastAsia="宋体" w:cs="宋体"/>
          <w:spacing w:val="4"/>
          <w:sz w:val="27"/>
          <w:szCs w:val="27"/>
        </w:rPr>
        <w:t>专用工艺装备。应按产品性能、结构特点</w:t>
      </w:r>
      <w:r>
        <w:rPr>
          <w:rFonts w:ascii="宋体" w:hAnsi="宋体" w:eastAsia="宋体" w:cs="宋体"/>
          <w:spacing w:val="3"/>
          <w:sz w:val="27"/>
          <w:szCs w:val="27"/>
        </w:rPr>
        <w:t>、工艺方法、生产量和生产方</w:t>
      </w:r>
      <w:r>
        <w:rPr>
          <w:rFonts w:ascii="宋体" w:hAnsi="宋体" w:eastAsia="宋体" w:cs="宋体"/>
          <w:sz w:val="27"/>
          <w:szCs w:val="27"/>
        </w:rPr>
        <w:t xml:space="preserve"> </w:t>
      </w:r>
      <w:r>
        <w:rPr>
          <w:rFonts w:ascii="宋体" w:hAnsi="宋体" w:eastAsia="宋体" w:cs="宋体"/>
          <w:spacing w:val="14"/>
          <w:sz w:val="27"/>
          <w:szCs w:val="27"/>
        </w:rPr>
        <w:t>法、质量保证及成本因素选择工装的品种和数量，</w:t>
      </w:r>
      <w:r>
        <w:rPr>
          <w:rFonts w:ascii="宋体" w:hAnsi="宋体" w:eastAsia="宋体" w:cs="宋体"/>
          <w:spacing w:val="13"/>
          <w:sz w:val="27"/>
          <w:szCs w:val="27"/>
        </w:rPr>
        <w:t>尽量减少专用工装品种和</w:t>
      </w:r>
      <w:r>
        <w:rPr>
          <w:rFonts w:ascii="宋体" w:hAnsi="宋体" w:eastAsia="宋体" w:cs="宋体"/>
          <w:sz w:val="27"/>
          <w:szCs w:val="27"/>
        </w:rPr>
        <w:t xml:space="preserve"> </w:t>
      </w:r>
      <w:r>
        <w:rPr>
          <w:rFonts w:ascii="宋体" w:hAnsi="宋体" w:eastAsia="宋体" w:cs="宋体"/>
          <w:spacing w:val="-4"/>
          <w:sz w:val="27"/>
          <w:szCs w:val="27"/>
        </w:rPr>
        <w:t>数量。</w:t>
      </w:r>
    </w:p>
    <w:p w14:paraId="1DFE4191">
      <w:pPr>
        <w:spacing w:before="40" w:line="264" w:lineRule="auto"/>
        <w:ind w:right="14" w:firstLine="550"/>
        <w:rPr>
          <w:rFonts w:ascii="宋体" w:hAnsi="宋体" w:eastAsia="宋体" w:cs="宋体"/>
          <w:sz w:val="27"/>
          <w:szCs w:val="27"/>
        </w:rPr>
      </w:pPr>
      <w:r>
        <w:rPr>
          <w:rFonts w:ascii="Times New Roman" w:hAnsi="Times New Roman" w:eastAsia="Times New Roman" w:cs="Times New Roman"/>
          <w:spacing w:val="-11"/>
          <w:sz w:val="27"/>
          <w:szCs w:val="27"/>
        </w:rPr>
        <w:t>c)</w:t>
      </w:r>
      <w:r>
        <w:rPr>
          <w:rFonts w:ascii="Times New Roman" w:hAnsi="Times New Roman" w:eastAsia="Times New Roman" w:cs="Times New Roman"/>
          <w:spacing w:val="42"/>
          <w:w w:val="101"/>
          <w:sz w:val="27"/>
          <w:szCs w:val="27"/>
        </w:rPr>
        <w:t xml:space="preserve"> </w:t>
      </w:r>
      <w:r>
        <w:rPr>
          <w:rFonts w:ascii="宋体" w:hAnsi="宋体" w:eastAsia="宋体" w:cs="宋体"/>
          <w:spacing w:val="-11"/>
          <w:sz w:val="27"/>
          <w:szCs w:val="27"/>
        </w:rPr>
        <w:t>设备。1)通用和专用设备的品种、规</w:t>
      </w:r>
      <w:r>
        <w:rPr>
          <w:rFonts w:ascii="宋体" w:hAnsi="宋体" w:eastAsia="宋体" w:cs="宋体"/>
          <w:spacing w:val="-12"/>
          <w:sz w:val="27"/>
          <w:szCs w:val="27"/>
        </w:rPr>
        <w:t>格、数量、加工能力、排列方式；2)需</w:t>
      </w:r>
      <w:r>
        <w:rPr>
          <w:rFonts w:ascii="宋体" w:hAnsi="宋体" w:eastAsia="宋体" w:cs="宋体"/>
          <w:sz w:val="27"/>
          <w:szCs w:val="27"/>
        </w:rPr>
        <w:t xml:space="preserve"> 外协的设备。</w:t>
      </w:r>
    </w:p>
    <w:p w14:paraId="31C50777">
      <w:pPr>
        <w:spacing w:before="46" w:line="267" w:lineRule="auto"/>
        <w:ind w:right="1" w:firstLine="550"/>
        <w:rPr>
          <w:rFonts w:ascii="宋体" w:hAnsi="宋体" w:eastAsia="宋体" w:cs="宋体"/>
          <w:sz w:val="27"/>
          <w:szCs w:val="27"/>
        </w:rPr>
      </w:pPr>
      <w:r>
        <w:rPr>
          <w:rFonts w:ascii="Times New Roman" w:hAnsi="Times New Roman" w:eastAsia="Times New Roman" w:cs="Times New Roman"/>
          <w:spacing w:val="-5"/>
          <w:sz w:val="27"/>
          <w:szCs w:val="27"/>
        </w:rPr>
        <w:t>d)</w:t>
      </w:r>
      <w:r>
        <w:rPr>
          <w:rFonts w:ascii="Times New Roman" w:hAnsi="Times New Roman" w:eastAsia="Times New Roman" w:cs="Times New Roman"/>
          <w:spacing w:val="55"/>
          <w:sz w:val="27"/>
          <w:szCs w:val="27"/>
        </w:rPr>
        <w:t xml:space="preserve"> </w:t>
      </w:r>
      <w:r>
        <w:rPr>
          <w:rFonts w:ascii="宋体" w:hAnsi="宋体" w:eastAsia="宋体" w:cs="宋体"/>
          <w:spacing w:val="-5"/>
          <w:sz w:val="27"/>
          <w:szCs w:val="27"/>
        </w:rPr>
        <w:t>人力资源。各类专业人员的数量、素质、从事产品生产的经验、专业培训</w:t>
      </w:r>
      <w:r>
        <w:rPr>
          <w:rFonts w:ascii="宋体" w:hAnsi="宋体" w:eastAsia="宋体" w:cs="宋体"/>
          <w:sz w:val="27"/>
          <w:szCs w:val="27"/>
        </w:rPr>
        <w:t xml:space="preserve"> </w:t>
      </w:r>
      <w:r>
        <w:rPr>
          <w:rFonts w:ascii="宋体" w:hAnsi="宋体" w:eastAsia="宋体" w:cs="宋体"/>
          <w:spacing w:val="-3"/>
          <w:sz w:val="27"/>
          <w:szCs w:val="27"/>
        </w:rPr>
        <w:t>状况等。</w:t>
      </w:r>
    </w:p>
    <w:p w14:paraId="5C02940E">
      <w:pPr>
        <w:spacing w:before="49" w:line="212" w:lineRule="auto"/>
        <w:ind w:left="550"/>
        <w:rPr>
          <w:rFonts w:ascii="宋体" w:hAnsi="宋体" w:eastAsia="宋体" w:cs="宋体"/>
          <w:sz w:val="27"/>
          <w:szCs w:val="27"/>
        </w:rPr>
      </w:pPr>
      <w:r>
        <w:rPr>
          <w:rFonts w:ascii="Times New Roman" w:hAnsi="Times New Roman" w:eastAsia="Times New Roman" w:cs="Times New Roman"/>
          <w:sz w:val="27"/>
          <w:szCs w:val="27"/>
        </w:rPr>
        <w:t>e)</w:t>
      </w:r>
      <w:r>
        <w:rPr>
          <w:rFonts w:ascii="Times New Roman" w:hAnsi="Times New Roman" w:eastAsia="Times New Roman" w:cs="Times New Roman"/>
          <w:spacing w:val="66"/>
          <w:sz w:val="27"/>
          <w:szCs w:val="27"/>
        </w:rPr>
        <w:t xml:space="preserve"> </w:t>
      </w:r>
      <w:r>
        <w:rPr>
          <w:rFonts w:ascii="宋体" w:hAnsi="宋体" w:eastAsia="宋体" w:cs="宋体"/>
          <w:sz w:val="27"/>
          <w:szCs w:val="27"/>
        </w:rPr>
        <w:t>材料供应状况：材料的交付期能否与生产计划的要求相吻合。</w:t>
      </w:r>
    </w:p>
    <w:p w14:paraId="6B2AFB5E">
      <w:pPr>
        <w:spacing w:before="127" w:line="222" w:lineRule="auto"/>
        <w:rPr>
          <w:rFonts w:ascii="黑体" w:hAnsi="黑体" w:eastAsia="黑体" w:cs="黑体"/>
          <w:sz w:val="27"/>
          <w:szCs w:val="27"/>
        </w:rPr>
      </w:pPr>
      <w:r>
        <w:rPr>
          <w:rFonts w:ascii="黑体" w:hAnsi="黑体" w:eastAsia="黑体" w:cs="黑体"/>
          <w:spacing w:val="-3"/>
          <w:sz w:val="27"/>
          <w:szCs w:val="27"/>
        </w:rPr>
        <w:t>7</w:t>
      </w:r>
      <w:r>
        <w:rPr>
          <w:rFonts w:ascii="黑体" w:hAnsi="黑体" w:eastAsia="黑体" w:cs="黑体"/>
          <w:spacing w:val="21"/>
          <w:sz w:val="27"/>
          <w:szCs w:val="27"/>
        </w:rPr>
        <w:t xml:space="preserve">  </w:t>
      </w:r>
      <w:r>
        <w:rPr>
          <w:rFonts w:ascii="黑体" w:hAnsi="黑体" w:eastAsia="黑体" w:cs="黑体"/>
          <w:b/>
          <w:bCs/>
          <w:spacing w:val="-3"/>
          <w:sz w:val="27"/>
          <w:szCs w:val="27"/>
        </w:rPr>
        <w:t>生产性分析结论</w:t>
      </w:r>
    </w:p>
    <w:p w14:paraId="5B62D1CE">
      <w:pPr>
        <w:spacing w:before="75" w:line="284" w:lineRule="auto"/>
        <w:ind w:right="20" w:firstLine="550"/>
        <w:rPr>
          <w:rFonts w:ascii="宋体" w:hAnsi="宋体" w:eastAsia="宋体" w:cs="宋体"/>
          <w:sz w:val="27"/>
          <w:szCs w:val="27"/>
        </w:rPr>
      </w:pPr>
      <w:r>
        <w:rPr>
          <w:rFonts w:ascii="宋体" w:hAnsi="宋体" w:eastAsia="宋体" w:cs="宋体"/>
          <w:spacing w:val="5"/>
          <w:sz w:val="27"/>
          <w:szCs w:val="27"/>
        </w:rPr>
        <w:t>在对生产可行性进行分析和生产能力进行评估后，给出产品研制在生产性</w:t>
      </w:r>
      <w:r>
        <w:rPr>
          <w:rFonts w:ascii="宋体" w:hAnsi="宋体" w:eastAsia="宋体" w:cs="宋体"/>
          <w:sz w:val="27"/>
          <w:szCs w:val="27"/>
        </w:rPr>
        <w:t xml:space="preserve"> </w:t>
      </w:r>
      <w:r>
        <w:rPr>
          <w:rFonts w:ascii="宋体" w:hAnsi="宋体" w:eastAsia="宋体" w:cs="宋体"/>
          <w:spacing w:val="4"/>
          <w:sz w:val="27"/>
          <w:szCs w:val="27"/>
        </w:rPr>
        <w:t>方面是否具备可行性的结论性意见。</w:t>
      </w:r>
    </w:p>
    <w:p w14:paraId="0FDFEBBD">
      <w:pPr>
        <w:pStyle w:val="2"/>
        <w:spacing w:line="243" w:lineRule="auto"/>
      </w:pPr>
    </w:p>
    <w:p w14:paraId="407CD910">
      <w:pPr>
        <w:spacing w:before="118" w:line="220" w:lineRule="auto"/>
        <w:ind w:left="3330"/>
        <w:outlineLvl w:val="1"/>
        <w:rPr>
          <w:rFonts w:ascii="宋体" w:hAnsi="宋体" w:eastAsia="宋体" w:cs="宋体"/>
          <w:sz w:val="36"/>
          <w:szCs w:val="36"/>
        </w:rPr>
      </w:pPr>
      <w:bookmarkStart w:id="13" w:name="bookmark8"/>
      <w:bookmarkEnd w:id="13"/>
      <w:r>
        <w:rPr>
          <w:rFonts w:ascii="宋体" w:hAnsi="宋体" w:eastAsia="宋体" w:cs="宋体"/>
          <w:spacing w:val="-5"/>
          <w:sz w:val="36"/>
          <w:szCs w:val="36"/>
        </w:rPr>
        <w:t>1.6</w:t>
      </w:r>
      <w:r>
        <w:rPr>
          <w:rFonts w:ascii="宋体" w:hAnsi="宋体" w:eastAsia="宋体" w:cs="宋体"/>
          <w:spacing w:val="25"/>
          <w:sz w:val="36"/>
          <w:szCs w:val="36"/>
        </w:rPr>
        <w:t xml:space="preserve">  </w:t>
      </w:r>
      <w:r>
        <w:rPr>
          <w:rFonts w:ascii="宋体" w:hAnsi="宋体" w:eastAsia="宋体" w:cs="宋体"/>
          <w:b/>
          <w:bCs/>
          <w:spacing w:val="-5"/>
          <w:sz w:val="36"/>
          <w:szCs w:val="36"/>
        </w:rPr>
        <w:t>研制总要求</w:t>
      </w:r>
    </w:p>
    <w:p w14:paraId="6F282756">
      <w:pPr>
        <w:pStyle w:val="2"/>
        <w:spacing w:line="310" w:lineRule="auto"/>
      </w:pPr>
    </w:p>
    <w:p w14:paraId="7D9F2E10">
      <w:pPr>
        <w:spacing w:before="92" w:line="224" w:lineRule="auto"/>
        <w:ind w:left="553"/>
        <w:rPr>
          <w:rFonts w:ascii="楷体" w:hAnsi="楷体" w:eastAsia="楷体" w:cs="楷体"/>
          <w:sz w:val="28"/>
          <w:szCs w:val="28"/>
        </w:rPr>
      </w:pPr>
      <w:r>
        <w:rPr>
          <w:rFonts w:ascii="楷体" w:hAnsi="楷体" w:eastAsia="楷体" w:cs="楷体"/>
          <w:b/>
          <w:bCs/>
          <w:spacing w:val="-23"/>
          <w:sz w:val="28"/>
          <w:szCs w:val="28"/>
        </w:rPr>
        <w:t>按照《中国人民解放军装备条例》要求编写。</w:t>
      </w:r>
    </w:p>
    <w:p w14:paraId="7E82BE06">
      <w:pPr>
        <w:spacing w:before="92" w:line="222"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28"/>
          <w:sz w:val="27"/>
          <w:szCs w:val="27"/>
        </w:rPr>
        <w:t xml:space="preserve">  </w:t>
      </w:r>
      <w:r>
        <w:rPr>
          <w:rFonts w:ascii="黑体" w:hAnsi="黑体" w:eastAsia="黑体" w:cs="黑体"/>
          <w:b/>
          <w:bCs/>
          <w:spacing w:val="-4"/>
          <w:sz w:val="27"/>
          <w:szCs w:val="27"/>
        </w:rPr>
        <w:t>作战使用要求</w:t>
      </w:r>
    </w:p>
    <w:p w14:paraId="1B0AA5BC">
      <w:pPr>
        <w:spacing w:before="94" w:line="221" w:lineRule="auto"/>
        <w:rPr>
          <w:rFonts w:ascii="黑体" w:hAnsi="黑体" w:eastAsia="黑体" w:cs="黑体"/>
          <w:sz w:val="25"/>
          <w:szCs w:val="25"/>
        </w:rPr>
      </w:pPr>
      <w:r>
        <w:rPr>
          <w:rFonts w:ascii="黑体" w:hAnsi="黑体" w:eastAsia="黑体" w:cs="黑体"/>
          <w:spacing w:val="7"/>
          <w:sz w:val="25"/>
          <w:szCs w:val="25"/>
        </w:rPr>
        <w:t>1.1</w:t>
      </w:r>
      <w:r>
        <w:rPr>
          <w:rFonts w:ascii="黑体" w:hAnsi="黑体" w:eastAsia="黑体" w:cs="黑体"/>
          <w:spacing w:val="46"/>
          <w:sz w:val="25"/>
          <w:szCs w:val="25"/>
        </w:rPr>
        <w:t xml:space="preserve">  </w:t>
      </w:r>
      <w:r>
        <w:rPr>
          <w:rFonts w:ascii="黑体" w:hAnsi="黑体" w:eastAsia="黑体" w:cs="黑体"/>
          <w:b/>
          <w:bCs/>
          <w:spacing w:val="7"/>
          <w:sz w:val="25"/>
          <w:szCs w:val="25"/>
        </w:rPr>
        <w:t>作战使命、任务及作战对象</w:t>
      </w:r>
    </w:p>
    <w:p w14:paraId="226BB8D9">
      <w:pPr>
        <w:spacing w:before="105" w:line="276" w:lineRule="auto"/>
        <w:ind w:right="18" w:firstLine="550"/>
        <w:rPr>
          <w:rFonts w:ascii="宋体" w:hAnsi="宋体" w:eastAsia="宋体" w:cs="宋体"/>
          <w:sz w:val="27"/>
          <w:szCs w:val="27"/>
        </w:rPr>
      </w:pPr>
      <w:r>
        <w:rPr>
          <w:rFonts w:ascii="宋体" w:hAnsi="宋体" w:eastAsia="宋体" w:cs="宋体"/>
          <w:spacing w:val="-3"/>
          <w:sz w:val="27"/>
          <w:szCs w:val="27"/>
        </w:rPr>
        <w:t>简要说明装备的作战使命、任务及作战对象“是什</w:t>
      </w:r>
      <w:r>
        <w:rPr>
          <w:rFonts w:ascii="宋体" w:hAnsi="宋体" w:eastAsia="宋体" w:cs="宋体"/>
          <w:spacing w:val="-4"/>
          <w:sz w:val="27"/>
          <w:szCs w:val="27"/>
        </w:rPr>
        <w:t>么”。应与研制立项综合</w:t>
      </w:r>
      <w:r>
        <w:rPr>
          <w:rFonts w:ascii="宋体" w:hAnsi="宋体" w:eastAsia="宋体" w:cs="宋体"/>
          <w:sz w:val="27"/>
          <w:szCs w:val="27"/>
        </w:rPr>
        <w:t xml:space="preserve"> </w:t>
      </w:r>
      <w:r>
        <w:rPr>
          <w:rFonts w:ascii="宋体" w:hAnsi="宋体" w:eastAsia="宋体" w:cs="宋体"/>
          <w:spacing w:val="3"/>
          <w:sz w:val="27"/>
          <w:szCs w:val="27"/>
        </w:rPr>
        <w:t>论证报告中的内容基本保持一致。</w:t>
      </w:r>
    </w:p>
    <w:p w14:paraId="4DCC5D05">
      <w:pPr>
        <w:spacing w:before="1" w:line="221" w:lineRule="auto"/>
        <w:rPr>
          <w:rFonts w:ascii="黑体" w:hAnsi="黑体" w:eastAsia="黑体" w:cs="黑体"/>
          <w:sz w:val="27"/>
          <w:szCs w:val="27"/>
        </w:rPr>
      </w:pPr>
      <w:r>
        <w:rPr>
          <w:rFonts w:ascii="黑体" w:hAnsi="黑体" w:eastAsia="黑体" w:cs="黑体"/>
          <w:spacing w:val="-2"/>
          <w:sz w:val="27"/>
          <w:szCs w:val="27"/>
        </w:rPr>
        <w:t>1.2</w:t>
      </w:r>
      <w:r>
        <w:rPr>
          <w:rFonts w:ascii="黑体" w:hAnsi="黑体" w:eastAsia="黑体" w:cs="黑体"/>
          <w:spacing w:val="35"/>
          <w:sz w:val="27"/>
          <w:szCs w:val="27"/>
        </w:rPr>
        <w:t xml:space="preserve">  </w:t>
      </w:r>
      <w:r>
        <w:rPr>
          <w:rFonts w:ascii="黑体" w:hAnsi="黑体" w:eastAsia="黑体" w:cs="黑体"/>
          <w:b/>
          <w:bCs/>
          <w:spacing w:val="-2"/>
          <w:sz w:val="27"/>
          <w:szCs w:val="27"/>
        </w:rPr>
        <w:t>主要战术技术指标及使用要求</w:t>
      </w:r>
    </w:p>
    <w:p w14:paraId="4F2F2827">
      <w:pPr>
        <w:spacing w:before="91" w:line="219" w:lineRule="auto"/>
        <w:ind w:left="550"/>
        <w:rPr>
          <w:rFonts w:ascii="宋体" w:hAnsi="宋体" w:eastAsia="宋体" w:cs="宋体"/>
          <w:sz w:val="27"/>
          <w:szCs w:val="27"/>
        </w:rPr>
      </w:pPr>
      <w:r>
        <w:rPr>
          <w:rFonts w:ascii="宋体" w:hAnsi="宋体" w:eastAsia="宋体" w:cs="宋体"/>
          <w:spacing w:val="4"/>
          <w:sz w:val="27"/>
          <w:szCs w:val="27"/>
        </w:rPr>
        <w:t>尽可能明确地提出主要战术技术指标及使用要求。</w:t>
      </w:r>
    </w:p>
    <w:p w14:paraId="738FD50A">
      <w:pPr>
        <w:spacing w:before="103" w:line="221" w:lineRule="auto"/>
        <w:rPr>
          <w:rFonts w:ascii="黑体" w:hAnsi="黑体" w:eastAsia="黑体" w:cs="黑体"/>
          <w:sz w:val="24"/>
          <w:szCs w:val="24"/>
        </w:rPr>
      </w:pPr>
      <w:r>
        <w:rPr>
          <w:rFonts w:ascii="黑体" w:hAnsi="黑体" w:eastAsia="黑体" w:cs="黑体"/>
          <w:spacing w:val="24"/>
          <w:sz w:val="24"/>
          <w:szCs w:val="24"/>
        </w:rPr>
        <w:t>2</w:t>
      </w:r>
      <w:r>
        <w:rPr>
          <w:rFonts w:ascii="黑体" w:hAnsi="黑体" w:eastAsia="黑体" w:cs="黑体"/>
          <w:spacing w:val="41"/>
          <w:sz w:val="24"/>
          <w:szCs w:val="24"/>
        </w:rPr>
        <w:t xml:space="preserve">  </w:t>
      </w:r>
      <w:r>
        <w:rPr>
          <w:rFonts w:ascii="黑体" w:hAnsi="黑体" w:eastAsia="黑体" w:cs="黑体"/>
          <w:b/>
          <w:bCs/>
          <w:spacing w:val="24"/>
          <w:sz w:val="24"/>
          <w:szCs w:val="24"/>
        </w:rPr>
        <w:t>研制总体方案</w:t>
      </w:r>
    </w:p>
    <w:p w14:paraId="52C5FAE8">
      <w:pPr>
        <w:spacing w:before="98" w:line="279" w:lineRule="auto"/>
        <w:ind w:firstLine="550"/>
        <w:jc w:val="both"/>
        <w:rPr>
          <w:rFonts w:ascii="宋体" w:hAnsi="宋体" w:eastAsia="宋体" w:cs="宋体"/>
          <w:sz w:val="27"/>
          <w:szCs w:val="27"/>
        </w:rPr>
      </w:pPr>
      <w:r>
        <w:rPr>
          <w:rFonts w:ascii="宋体" w:hAnsi="宋体" w:eastAsia="宋体" w:cs="宋体"/>
          <w:spacing w:val="-3"/>
          <w:sz w:val="27"/>
          <w:szCs w:val="27"/>
        </w:rPr>
        <w:t>各承研承制单位根据使用部门的要求，经过技术、经济可行性研究及必</w:t>
      </w:r>
      <w:r>
        <w:rPr>
          <w:rFonts w:ascii="宋体" w:hAnsi="宋体" w:eastAsia="宋体" w:cs="宋体"/>
          <w:spacing w:val="-4"/>
          <w:sz w:val="27"/>
          <w:szCs w:val="27"/>
        </w:rPr>
        <w:t>要的</w:t>
      </w:r>
      <w:r>
        <w:rPr>
          <w:rFonts w:ascii="宋体" w:hAnsi="宋体" w:eastAsia="宋体" w:cs="宋体"/>
          <w:sz w:val="27"/>
          <w:szCs w:val="27"/>
        </w:rPr>
        <w:t xml:space="preserve"> </w:t>
      </w:r>
      <w:r>
        <w:rPr>
          <w:rFonts w:ascii="宋体" w:hAnsi="宋体" w:eastAsia="宋体" w:cs="宋体"/>
          <w:spacing w:val="6"/>
          <w:sz w:val="27"/>
          <w:szCs w:val="27"/>
        </w:rPr>
        <w:t>验证试验，向使用部门提出初步的总体技术</w:t>
      </w:r>
      <w:r>
        <w:rPr>
          <w:rFonts w:ascii="宋体" w:hAnsi="宋体" w:eastAsia="宋体" w:cs="宋体"/>
          <w:spacing w:val="5"/>
          <w:sz w:val="27"/>
          <w:szCs w:val="27"/>
        </w:rPr>
        <w:t>方案。经使用方会同研制主管部门</w:t>
      </w:r>
      <w:r>
        <w:rPr>
          <w:rFonts w:ascii="宋体" w:hAnsi="宋体" w:eastAsia="宋体" w:cs="宋体"/>
          <w:sz w:val="27"/>
          <w:szCs w:val="27"/>
        </w:rPr>
        <w:t xml:space="preserve"> </w:t>
      </w:r>
      <w:r>
        <w:rPr>
          <w:rFonts w:ascii="宋体" w:hAnsi="宋体" w:eastAsia="宋体" w:cs="宋体"/>
          <w:spacing w:val="-10"/>
          <w:sz w:val="27"/>
          <w:szCs w:val="27"/>
        </w:rPr>
        <w:t>对各种备选总体技术方案进行评审，在对技术、经费、周期</w:t>
      </w:r>
      <w:r>
        <w:rPr>
          <w:rFonts w:ascii="宋体" w:hAnsi="宋体" w:eastAsia="宋体" w:cs="宋体"/>
          <w:spacing w:val="-11"/>
          <w:sz w:val="27"/>
          <w:szCs w:val="27"/>
        </w:rPr>
        <w:t>、保障条件等因素综合</w:t>
      </w:r>
      <w:r>
        <w:rPr>
          <w:rFonts w:ascii="宋体" w:hAnsi="宋体" w:eastAsia="宋体" w:cs="宋体"/>
          <w:sz w:val="27"/>
          <w:szCs w:val="27"/>
        </w:rPr>
        <w:t xml:space="preserve"> </w:t>
      </w:r>
      <w:r>
        <w:rPr>
          <w:rFonts w:ascii="宋体" w:hAnsi="宋体" w:eastAsia="宋体" w:cs="宋体"/>
          <w:spacing w:val="-5"/>
          <w:sz w:val="27"/>
          <w:szCs w:val="27"/>
        </w:rPr>
        <w:t>权衡后，选出一个或者优化组合一个最佳方案，纳入研制总要求。</w:t>
      </w:r>
    </w:p>
    <w:p w14:paraId="52ABEA15">
      <w:pPr>
        <w:spacing w:before="13" w:line="221" w:lineRule="auto"/>
        <w:rPr>
          <w:rFonts w:ascii="黑体" w:hAnsi="黑体" w:eastAsia="黑体" w:cs="黑体"/>
          <w:sz w:val="24"/>
          <w:szCs w:val="24"/>
        </w:rPr>
      </w:pPr>
      <w:r>
        <w:rPr>
          <w:rFonts w:ascii="黑体" w:hAnsi="黑体" w:eastAsia="黑体" w:cs="黑体"/>
          <w:spacing w:val="17"/>
          <w:sz w:val="24"/>
          <w:szCs w:val="24"/>
        </w:rPr>
        <w:t>3</w:t>
      </w:r>
      <w:r>
        <w:rPr>
          <w:rFonts w:ascii="黑体" w:hAnsi="黑体" w:eastAsia="黑体" w:cs="黑体"/>
          <w:spacing w:val="42"/>
          <w:sz w:val="24"/>
          <w:szCs w:val="24"/>
        </w:rPr>
        <w:t xml:space="preserve">  </w:t>
      </w:r>
      <w:r>
        <w:rPr>
          <w:rFonts w:ascii="黑体" w:hAnsi="黑体" w:eastAsia="黑体" w:cs="黑体"/>
          <w:b/>
          <w:bCs/>
          <w:spacing w:val="17"/>
          <w:sz w:val="24"/>
          <w:szCs w:val="24"/>
        </w:rPr>
        <w:t>系统、配套设备和软件方案</w:t>
      </w:r>
    </w:p>
    <w:p w14:paraId="30917BA5">
      <w:pPr>
        <w:spacing w:before="99" w:line="289" w:lineRule="auto"/>
        <w:ind w:right="18" w:firstLine="550"/>
        <w:rPr>
          <w:rFonts w:ascii="宋体" w:hAnsi="宋体" w:eastAsia="宋体" w:cs="宋体"/>
          <w:sz w:val="27"/>
          <w:szCs w:val="27"/>
        </w:rPr>
      </w:pPr>
      <w:r>
        <w:rPr>
          <w:rFonts w:ascii="宋体" w:hAnsi="宋体" w:eastAsia="宋体" w:cs="宋体"/>
          <w:spacing w:val="-11"/>
          <w:sz w:val="27"/>
          <w:szCs w:val="27"/>
        </w:rPr>
        <w:t>列出系统的组成、功能、主要技术参数及指标，系统框图或原理图</w:t>
      </w:r>
      <w:r>
        <w:rPr>
          <w:rFonts w:ascii="宋体" w:hAnsi="宋体" w:eastAsia="宋体" w:cs="宋体"/>
          <w:spacing w:val="-12"/>
          <w:sz w:val="27"/>
          <w:szCs w:val="27"/>
        </w:rPr>
        <w:t>，配套设备</w:t>
      </w:r>
      <w:r>
        <w:rPr>
          <w:rFonts w:ascii="宋体" w:hAnsi="宋体" w:eastAsia="宋体" w:cs="宋体"/>
          <w:sz w:val="27"/>
          <w:szCs w:val="27"/>
        </w:rPr>
        <w:t xml:space="preserve"> </w:t>
      </w:r>
      <w:r>
        <w:rPr>
          <w:rFonts w:ascii="宋体" w:hAnsi="宋体" w:eastAsia="宋体" w:cs="宋体"/>
          <w:spacing w:val="-5"/>
          <w:sz w:val="27"/>
          <w:szCs w:val="27"/>
        </w:rPr>
        <w:t>技术状态，总线标准及软件方案等。</w:t>
      </w:r>
    </w:p>
    <w:p w14:paraId="2FE8FBED">
      <w:pPr>
        <w:spacing w:line="289" w:lineRule="auto"/>
        <w:rPr>
          <w:rFonts w:ascii="宋体" w:hAnsi="宋体" w:eastAsia="宋体" w:cs="宋体"/>
          <w:sz w:val="27"/>
          <w:szCs w:val="27"/>
        </w:rPr>
        <w:sectPr>
          <w:footerReference r:id="rId33" w:type="default"/>
          <w:pgSz w:w="11910" w:h="17130"/>
          <w:pgMar w:top="400" w:right="1009" w:bottom="1643" w:left="1529" w:header="0" w:footer="1444" w:gutter="0"/>
          <w:cols w:space="720" w:num="1"/>
        </w:sectPr>
      </w:pPr>
    </w:p>
    <w:p w14:paraId="580D37C0">
      <w:pPr>
        <w:pStyle w:val="2"/>
        <w:spacing w:line="265" w:lineRule="auto"/>
      </w:pPr>
    </w:p>
    <w:p w14:paraId="396A3C81">
      <w:pPr>
        <w:pStyle w:val="2"/>
        <w:spacing w:line="266" w:lineRule="auto"/>
      </w:pPr>
    </w:p>
    <w:p w14:paraId="1A010DF7">
      <w:pPr>
        <w:pStyle w:val="2"/>
        <w:spacing w:line="266" w:lineRule="auto"/>
      </w:pPr>
    </w:p>
    <w:p w14:paraId="6A1DC34E">
      <w:pPr>
        <w:pStyle w:val="2"/>
        <w:spacing w:line="266" w:lineRule="auto"/>
      </w:pPr>
    </w:p>
    <w:p w14:paraId="5989A545">
      <w:pPr>
        <w:pStyle w:val="2"/>
        <w:spacing w:before="78" w:line="221" w:lineRule="auto"/>
        <w:rPr>
          <w:rFonts w:ascii="黑体" w:hAnsi="黑体" w:eastAsia="黑体" w:cs="黑体"/>
          <w:sz w:val="24"/>
          <w:szCs w:val="24"/>
        </w:rPr>
      </w:pPr>
      <w:r>
        <w:rPr>
          <w:spacing w:val="29"/>
          <w:sz w:val="24"/>
          <w:szCs w:val="24"/>
        </w:rPr>
        <w:t>4</w:t>
      </w:r>
      <w:r>
        <w:rPr>
          <w:spacing w:val="4"/>
          <w:sz w:val="24"/>
          <w:szCs w:val="24"/>
        </w:rPr>
        <w:t xml:space="preserve">    </w:t>
      </w:r>
      <w:r>
        <w:rPr>
          <w:rFonts w:ascii="黑体" w:hAnsi="黑体" w:eastAsia="黑体" w:cs="黑体"/>
          <w:spacing w:val="29"/>
          <w:sz w:val="24"/>
          <w:szCs w:val="24"/>
        </w:rPr>
        <w:t>综合保障方案</w:t>
      </w:r>
    </w:p>
    <w:p w14:paraId="7B1FF6E1">
      <w:pPr>
        <w:spacing w:before="74" w:line="289" w:lineRule="auto"/>
        <w:ind w:right="83" w:firstLine="560"/>
        <w:rPr>
          <w:rFonts w:ascii="宋体" w:hAnsi="宋体" w:eastAsia="宋体" w:cs="宋体"/>
          <w:sz w:val="27"/>
          <w:szCs w:val="27"/>
        </w:rPr>
      </w:pPr>
      <w:r>
        <w:rPr>
          <w:rFonts w:ascii="宋体" w:hAnsi="宋体" w:eastAsia="宋体" w:cs="宋体"/>
          <w:spacing w:val="-10"/>
          <w:sz w:val="27"/>
          <w:szCs w:val="27"/>
        </w:rPr>
        <w:t>根据综合保障要求，对随机工具、设备，一线、二线保</w:t>
      </w:r>
      <w:r>
        <w:rPr>
          <w:rFonts w:ascii="宋体" w:hAnsi="宋体" w:eastAsia="宋体" w:cs="宋体"/>
          <w:spacing w:val="-11"/>
          <w:sz w:val="27"/>
          <w:szCs w:val="27"/>
        </w:rPr>
        <w:t>障设备的研制、技术状</w:t>
      </w:r>
      <w:r>
        <w:rPr>
          <w:rFonts w:ascii="宋体" w:hAnsi="宋体" w:eastAsia="宋体" w:cs="宋体"/>
          <w:sz w:val="27"/>
          <w:szCs w:val="27"/>
        </w:rPr>
        <w:t xml:space="preserve"> </w:t>
      </w:r>
      <w:r>
        <w:rPr>
          <w:rFonts w:ascii="宋体" w:hAnsi="宋体" w:eastAsia="宋体" w:cs="宋体"/>
          <w:spacing w:val="-10"/>
          <w:sz w:val="27"/>
          <w:szCs w:val="27"/>
        </w:rPr>
        <w:t>态，配套比例、数量，研制的条件等制定方案及安排实施步骤。</w:t>
      </w:r>
    </w:p>
    <w:p w14:paraId="27864C02">
      <w:pPr>
        <w:pStyle w:val="2"/>
        <w:spacing w:line="327" w:lineRule="exact"/>
        <w:rPr>
          <w:rFonts w:ascii="黑体" w:hAnsi="黑体" w:eastAsia="黑体" w:cs="黑体"/>
          <w:sz w:val="24"/>
          <w:szCs w:val="24"/>
        </w:rPr>
      </w:pPr>
      <w:r>
        <w:rPr>
          <w:spacing w:val="12"/>
          <w:position w:val="1"/>
          <w:sz w:val="24"/>
          <w:szCs w:val="24"/>
        </w:rPr>
        <w:t xml:space="preserve">5    </w:t>
      </w:r>
      <w:r>
        <w:rPr>
          <w:rFonts w:ascii="黑体" w:hAnsi="黑体" w:eastAsia="黑体" w:cs="黑体"/>
          <w:spacing w:val="12"/>
          <w:position w:val="1"/>
          <w:sz w:val="24"/>
          <w:szCs w:val="24"/>
        </w:rPr>
        <w:t>质量、可靠性、维修性、测试性、保障性、</w:t>
      </w:r>
      <w:r>
        <w:rPr>
          <w:rFonts w:ascii="黑体" w:hAnsi="黑体" w:eastAsia="黑体" w:cs="黑体"/>
          <w:spacing w:val="11"/>
          <w:position w:val="1"/>
          <w:sz w:val="24"/>
          <w:szCs w:val="24"/>
        </w:rPr>
        <w:t>安全性及标准化控制措施</w:t>
      </w:r>
    </w:p>
    <w:p w14:paraId="763E70EF">
      <w:pPr>
        <w:spacing w:before="109" w:line="222" w:lineRule="auto"/>
        <w:rPr>
          <w:rFonts w:ascii="黑体" w:hAnsi="黑体" w:eastAsia="黑体" w:cs="黑体"/>
          <w:sz w:val="27"/>
          <w:szCs w:val="27"/>
        </w:rPr>
      </w:pPr>
      <w:r>
        <w:rPr>
          <w:rFonts w:ascii="黑体" w:hAnsi="黑体" w:eastAsia="黑体" w:cs="黑体"/>
          <w:spacing w:val="4"/>
          <w:sz w:val="27"/>
          <w:szCs w:val="27"/>
        </w:rPr>
        <w:t>5.1  质量控制措施</w:t>
      </w:r>
    </w:p>
    <w:p w14:paraId="4855C0EF">
      <w:pPr>
        <w:spacing w:before="94" w:line="310" w:lineRule="auto"/>
        <w:ind w:firstLine="560"/>
        <w:jc w:val="both"/>
        <w:rPr>
          <w:rFonts w:ascii="宋体" w:hAnsi="宋体" w:eastAsia="宋体" w:cs="宋体"/>
          <w:sz w:val="25"/>
          <w:szCs w:val="25"/>
        </w:rPr>
      </w:pPr>
      <w:r>
        <w:rPr>
          <w:rFonts w:ascii="宋体" w:hAnsi="宋体" w:eastAsia="宋体" w:cs="宋体"/>
          <w:spacing w:val="17"/>
          <w:sz w:val="25"/>
          <w:szCs w:val="25"/>
        </w:rPr>
        <w:t>提出对装备研制质量控制措施的要求。如坚持质量第一的原则，贯彻《武器</w:t>
      </w:r>
      <w:r>
        <w:rPr>
          <w:rFonts w:ascii="宋体" w:hAnsi="宋体" w:eastAsia="宋体" w:cs="宋体"/>
          <w:spacing w:val="18"/>
          <w:sz w:val="25"/>
          <w:szCs w:val="25"/>
        </w:rPr>
        <w:t xml:space="preserve"> </w:t>
      </w:r>
      <w:r>
        <w:rPr>
          <w:rFonts w:ascii="宋体" w:hAnsi="宋体" w:eastAsia="宋体" w:cs="宋体"/>
          <w:spacing w:val="13"/>
          <w:sz w:val="25"/>
          <w:szCs w:val="25"/>
        </w:rPr>
        <w:t>装备质量管理条列》及有关法规，实施质量标准、规范；建立健全质量管理体系，</w:t>
      </w:r>
      <w:r>
        <w:rPr>
          <w:rFonts w:ascii="宋体" w:hAnsi="宋体" w:eastAsia="宋体" w:cs="宋体"/>
          <w:spacing w:val="5"/>
          <w:sz w:val="25"/>
          <w:szCs w:val="25"/>
        </w:rPr>
        <w:t xml:space="preserve"> </w:t>
      </w:r>
      <w:r>
        <w:rPr>
          <w:rFonts w:ascii="宋体" w:hAnsi="宋体" w:eastAsia="宋体" w:cs="宋体"/>
          <w:spacing w:val="13"/>
          <w:sz w:val="25"/>
          <w:szCs w:val="25"/>
        </w:rPr>
        <w:t>明确质量责任，实行质量奖惩制度；编制并实施</w:t>
      </w:r>
      <w:r>
        <w:rPr>
          <w:rFonts w:ascii="宋体" w:hAnsi="宋体" w:eastAsia="宋体" w:cs="宋体"/>
          <w:spacing w:val="12"/>
          <w:sz w:val="25"/>
          <w:szCs w:val="25"/>
        </w:rPr>
        <w:t>质量保证大纲、计量保证大纲等。</w:t>
      </w:r>
    </w:p>
    <w:p w14:paraId="5D006390">
      <w:pPr>
        <w:spacing w:line="221" w:lineRule="auto"/>
        <w:rPr>
          <w:rFonts w:ascii="黑体" w:hAnsi="黑体" w:eastAsia="黑体" w:cs="黑体"/>
          <w:sz w:val="27"/>
          <w:szCs w:val="27"/>
        </w:rPr>
      </w:pPr>
      <w:r>
        <w:rPr>
          <w:rFonts w:ascii="黑体" w:hAnsi="黑体" w:eastAsia="黑体" w:cs="黑体"/>
          <w:spacing w:val="3"/>
          <w:sz w:val="27"/>
          <w:szCs w:val="27"/>
        </w:rPr>
        <w:t>5.2  可靠性控制措施</w:t>
      </w:r>
    </w:p>
    <w:p w14:paraId="5886419A">
      <w:pPr>
        <w:spacing w:before="97" w:line="280" w:lineRule="auto"/>
        <w:ind w:right="82" w:firstLine="560"/>
        <w:jc w:val="both"/>
        <w:rPr>
          <w:rFonts w:ascii="宋体" w:hAnsi="宋体" w:eastAsia="宋体" w:cs="宋体"/>
          <w:sz w:val="27"/>
          <w:szCs w:val="27"/>
        </w:rPr>
      </w:pPr>
      <w:r>
        <w:rPr>
          <w:rFonts w:ascii="宋体" w:hAnsi="宋体" w:eastAsia="宋体" w:cs="宋体"/>
          <w:spacing w:val="12"/>
          <w:sz w:val="27"/>
          <w:szCs w:val="27"/>
        </w:rPr>
        <w:t>提出对装备可靠性控制措施的要求。如按照</w:t>
      </w:r>
      <w:r>
        <w:rPr>
          <w:rFonts w:ascii="Times New Roman" w:hAnsi="Times New Roman" w:eastAsia="Times New Roman" w:cs="Times New Roman"/>
          <w:sz w:val="27"/>
          <w:szCs w:val="27"/>
        </w:rPr>
        <w:t>GJB</w:t>
      </w:r>
      <w:r>
        <w:rPr>
          <w:rFonts w:ascii="Times New Roman" w:hAnsi="Times New Roman" w:eastAsia="Times New Roman" w:cs="Times New Roman"/>
          <w:spacing w:val="12"/>
          <w:sz w:val="27"/>
          <w:szCs w:val="27"/>
        </w:rPr>
        <w:t xml:space="preserve"> </w:t>
      </w:r>
      <w:r>
        <w:rPr>
          <w:rFonts w:ascii="Times New Roman" w:hAnsi="Times New Roman" w:eastAsia="Times New Roman" w:cs="Times New Roman"/>
          <w:spacing w:val="11"/>
          <w:sz w:val="27"/>
          <w:szCs w:val="27"/>
        </w:rPr>
        <w:t>450A—2004</w:t>
      </w:r>
      <w:r>
        <w:rPr>
          <w:rFonts w:ascii="宋体" w:hAnsi="宋体" w:eastAsia="宋体" w:cs="宋体"/>
          <w:spacing w:val="11"/>
          <w:sz w:val="27"/>
          <w:szCs w:val="27"/>
        </w:rPr>
        <w:t>《装备可靠</w:t>
      </w:r>
      <w:r>
        <w:rPr>
          <w:rFonts w:ascii="宋体" w:hAnsi="宋体" w:eastAsia="宋体" w:cs="宋体"/>
          <w:sz w:val="27"/>
          <w:szCs w:val="27"/>
        </w:rPr>
        <w:t xml:space="preserve"> </w:t>
      </w:r>
      <w:r>
        <w:rPr>
          <w:rFonts w:ascii="宋体" w:hAnsi="宋体" w:eastAsia="宋体" w:cs="宋体"/>
          <w:spacing w:val="-10"/>
          <w:sz w:val="27"/>
          <w:szCs w:val="27"/>
        </w:rPr>
        <w:t>性工作通用要求》开展可靠性工作，编制可靠性工作计划，进行可靠性设计、可靠</w:t>
      </w:r>
      <w:r>
        <w:rPr>
          <w:rFonts w:ascii="宋体" w:hAnsi="宋体" w:eastAsia="宋体" w:cs="宋体"/>
          <w:spacing w:val="1"/>
          <w:sz w:val="27"/>
          <w:szCs w:val="27"/>
        </w:rPr>
        <w:t xml:space="preserve"> </w:t>
      </w:r>
      <w:r>
        <w:rPr>
          <w:rFonts w:ascii="仿宋" w:hAnsi="仿宋" w:eastAsia="仿宋" w:cs="仿宋"/>
          <w:spacing w:val="8"/>
          <w:sz w:val="27"/>
          <w:szCs w:val="27"/>
        </w:rPr>
        <w:t>性指标的分配和预计、</w:t>
      </w:r>
      <w:r>
        <w:rPr>
          <w:rFonts w:ascii="Times New Roman" w:hAnsi="Times New Roman" w:eastAsia="Times New Roman" w:cs="Times New Roman"/>
          <w:sz w:val="27"/>
          <w:szCs w:val="27"/>
        </w:rPr>
        <w:t>FMECA</w:t>
      </w:r>
      <w:r>
        <w:rPr>
          <w:rFonts w:ascii="Times New Roman" w:hAnsi="Times New Roman" w:eastAsia="Times New Roman" w:cs="Times New Roman"/>
          <w:spacing w:val="8"/>
          <w:sz w:val="27"/>
          <w:szCs w:val="27"/>
        </w:rPr>
        <w:t xml:space="preserve">  </w:t>
      </w:r>
      <w:r>
        <w:rPr>
          <w:rFonts w:ascii="仿宋" w:hAnsi="仿宋" w:eastAsia="仿宋" w:cs="仿宋"/>
          <w:spacing w:val="8"/>
          <w:sz w:val="27"/>
          <w:szCs w:val="27"/>
        </w:rPr>
        <w:t>和</w:t>
      </w:r>
      <w:r>
        <w:rPr>
          <w:rFonts w:ascii="仿宋" w:hAnsi="仿宋" w:eastAsia="仿宋" w:cs="仿宋"/>
          <w:spacing w:val="-24"/>
          <w:sz w:val="27"/>
          <w:szCs w:val="27"/>
        </w:rPr>
        <w:t xml:space="preserve"> </w:t>
      </w:r>
      <w:r>
        <w:rPr>
          <w:rFonts w:ascii="Times New Roman" w:hAnsi="Times New Roman" w:eastAsia="Times New Roman" w:cs="Times New Roman"/>
          <w:sz w:val="27"/>
          <w:szCs w:val="27"/>
        </w:rPr>
        <w:t>FTA</w:t>
      </w:r>
      <w:r>
        <w:rPr>
          <w:rFonts w:ascii="Times New Roman" w:hAnsi="Times New Roman" w:eastAsia="Times New Roman" w:cs="Times New Roman"/>
          <w:spacing w:val="8"/>
          <w:sz w:val="27"/>
          <w:szCs w:val="27"/>
        </w:rPr>
        <w:t xml:space="preserve">  </w:t>
      </w:r>
      <w:r>
        <w:rPr>
          <w:rFonts w:ascii="仿宋" w:hAnsi="仿宋" w:eastAsia="仿宋" w:cs="仿宋"/>
          <w:spacing w:val="8"/>
          <w:sz w:val="27"/>
          <w:szCs w:val="27"/>
        </w:rPr>
        <w:t>分析，</w:t>
      </w:r>
      <w:r>
        <w:rPr>
          <w:rFonts w:ascii="宋体" w:hAnsi="宋体" w:eastAsia="宋体" w:cs="宋体"/>
          <w:spacing w:val="8"/>
          <w:sz w:val="27"/>
          <w:szCs w:val="27"/>
        </w:rPr>
        <w:t>进行可靠性鉴定试验和可靠性</w:t>
      </w:r>
      <w:r>
        <w:rPr>
          <w:rFonts w:ascii="宋体" w:hAnsi="宋体" w:eastAsia="宋体" w:cs="宋体"/>
          <w:sz w:val="27"/>
          <w:szCs w:val="27"/>
        </w:rPr>
        <w:t xml:space="preserve"> </w:t>
      </w:r>
      <w:r>
        <w:rPr>
          <w:rFonts w:ascii="宋体" w:hAnsi="宋体" w:eastAsia="宋体" w:cs="宋体"/>
          <w:spacing w:val="-6"/>
          <w:sz w:val="27"/>
          <w:szCs w:val="27"/>
        </w:rPr>
        <w:t>评估。</w:t>
      </w:r>
    </w:p>
    <w:p w14:paraId="299F11DB">
      <w:pPr>
        <w:spacing w:before="30" w:line="222" w:lineRule="auto"/>
        <w:rPr>
          <w:rFonts w:ascii="黑体" w:hAnsi="黑体" w:eastAsia="黑体" w:cs="黑体"/>
          <w:sz w:val="27"/>
          <w:szCs w:val="27"/>
        </w:rPr>
      </w:pPr>
      <w:r>
        <w:rPr>
          <w:rFonts w:ascii="黑体" w:hAnsi="黑体" w:eastAsia="黑体" w:cs="黑体"/>
          <w:spacing w:val="1"/>
          <w:sz w:val="27"/>
          <w:szCs w:val="27"/>
        </w:rPr>
        <w:t>5.3</w:t>
      </w:r>
      <w:r>
        <w:rPr>
          <w:rFonts w:ascii="黑体" w:hAnsi="黑体" w:eastAsia="黑体" w:cs="黑体"/>
          <w:spacing w:val="18"/>
          <w:sz w:val="27"/>
          <w:szCs w:val="27"/>
        </w:rPr>
        <w:t xml:space="preserve">  </w:t>
      </w:r>
      <w:r>
        <w:rPr>
          <w:rFonts w:ascii="黑体" w:hAnsi="黑体" w:eastAsia="黑体" w:cs="黑体"/>
          <w:spacing w:val="1"/>
          <w:sz w:val="27"/>
          <w:szCs w:val="27"/>
        </w:rPr>
        <w:t>维修性控制措施</w:t>
      </w:r>
    </w:p>
    <w:p w14:paraId="4DCE311B">
      <w:pPr>
        <w:spacing w:before="89" w:line="291" w:lineRule="auto"/>
        <w:ind w:right="84" w:firstLine="560"/>
        <w:jc w:val="both"/>
        <w:rPr>
          <w:rFonts w:ascii="宋体" w:hAnsi="宋体" w:eastAsia="宋体" w:cs="宋体"/>
          <w:sz w:val="27"/>
          <w:szCs w:val="27"/>
        </w:rPr>
      </w:pPr>
      <w:r>
        <w:rPr>
          <w:rFonts w:ascii="宋体" w:hAnsi="宋体" w:eastAsia="宋体" w:cs="宋体"/>
          <w:spacing w:val="4"/>
          <w:sz w:val="27"/>
          <w:szCs w:val="27"/>
        </w:rPr>
        <w:t>提出对装备维修性控制措施的要求。如按照</w:t>
      </w:r>
      <w:r>
        <w:rPr>
          <w:rFonts w:ascii="Times New Roman" w:hAnsi="Times New Roman" w:eastAsia="Times New Roman" w:cs="Times New Roman"/>
          <w:sz w:val="27"/>
          <w:szCs w:val="27"/>
        </w:rPr>
        <w:t>GJB</w:t>
      </w:r>
      <w:r>
        <w:rPr>
          <w:rFonts w:ascii="Times New Roman" w:hAnsi="Times New Roman" w:eastAsia="Times New Roman" w:cs="Times New Roman"/>
          <w:spacing w:val="4"/>
          <w:sz w:val="27"/>
          <w:szCs w:val="27"/>
        </w:rPr>
        <w:t xml:space="preserve"> 368B—2009</w:t>
      </w:r>
      <w:r>
        <w:rPr>
          <w:rFonts w:ascii="宋体" w:hAnsi="宋体" w:eastAsia="宋体" w:cs="宋体"/>
          <w:spacing w:val="4"/>
          <w:sz w:val="27"/>
          <w:szCs w:val="27"/>
        </w:rPr>
        <w:t>《装</w:t>
      </w:r>
      <w:r>
        <w:rPr>
          <w:rFonts w:ascii="宋体" w:hAnsi="宋体" w:eastAsia="宋体" w:cs="宋体"/>
          <w:spacing w:val="3"/>
          <w:sz w:val="27"/>
          <w:szCs w:val="27"/>
        </w:rPr>
        <w:t>备维修性</w:t>
      </w:r>
      <w:r>
        <w:rPr>
          <w:rFonts w:ascii="宋体" w:hAnsi="宋体" w:eastAsia="宋体" w:cs="宋体"/>
          <w:sz w:val="27"/>
          <w:szCs w:val="27"/>
        </w:rPr>
        <w:t xml:space="preserve"> </w:t>
      </w:r>
      <w:r>
        <w:rPr>
          <w:rFonts w:ascii="宋体" w:hAnsi="宋体" w:eastAsia="宋体" w:cs="宋体"/>
          <w:spacing w:val="-10"/>
          <w:sz w:val="27"/>
          <w:szCs w:val="27"/>
        </w:rPr>
        <w:t>工作通用要求》开展维修性工作，编制维修性工作计划，进行维修性设计、维修性</w:t>
      </w:r>
      <w:r>
        <w:rPr>
          <w:rFonts w:ascii="宋体" w:hAnsi="宋体" w:eastAsia="宋体" w:cs="宋体"/>
          <w:sz w:val="27"/>
          <w:szCs w:val="27"/>
        </w:rPr>
        <w:t xml:space="preserve"> </w:t>
      </w:r>
      <w:r>
        <w:rPr>
          <w:rFonts w:ascii="宋体" w:hAnsi="宋体" w:eastAsia="宋体" w:cs="宋体"/>
          <w:spacing w:val="-3"/>
          <w:sz w:val="27"/>
          <w:szCs w:val="27"/>
        </w:rPr>
        <w:t>指标的分配和预计，进行维修性试验与评价。</w:t>
      </w:r>
    </w:p>
    <w:p w14:paraId="364C5A67">
      <w:pPr>
        <w:spacing w:before="1" w:line="220" w:lineRule="auto"/>
        <w:rPr>
          <w:rFonts w:ascii="黑体" w:hAnsi="黑体" w:eastAsia="黑体" w:cs="黑体"/>
          <w:sz w:val="27"/>
          <w:szCs w:val="27"/>
        </w:rPr>
      </w:pPr>
      <w:r>
        <w:rPr>
          <w:rFonts w:ascii="黑体" w:hAnsi="黑体" w:eastAsia="黑体" w:cs="黑体"/>
          <w:sz w:val="27"/>
          <w:szCs w:val="27"/>
        </w:rPr>
        <w:t>5.4</w:t>
      </w:r>
      <w:r>
        <w:rPr>
          <w:rFonts w:ascii="黑体" w:hAnsi="黑体" w:eastAsia="黑体" w:cs="黑体"/>
          <w:spacing w:val="23"/>
          <w:sz w:val="27"/>
          <w:szCs w:val="27"/>
        </w:rPr>
        <w:t xml:space="preserve">  </w:t>
      </w:r>
      <w:r>
        <w:rPr>
          <w:rFonts w:ascii="黑体" w:hAnsi="黑体" w:eastAsia="黑体" w:cs="黑体"/>
          <w:sz w:val="27"/>
          <w:szCs w:val="27"/>
        </w:rPr>
        <w:t>测试性控制措施</w:t>
      </w:r>
    </w:p>
    <w:p w14:paraId="692E032E">
      <w:pPr>
        <w:spacing w:before="119" w:line="284" w:lineRule="auto"/>
        <w:ind w:right="84" w:firstLine="560"/>
        <w:jc w:val="both"/>
        <w:rPr>
          <w:rFonts w:ascii="宋体" w:hAnsi="宋体" w:eastAsia="宋体" w:cs="宋体"/>
          <w:sz w:val="27"/>
          <w:szCs w:val="27"/>
        </w:rPr>
      </w:pPr>
      <w:r>
        <w:rPr>
          <w:rFonts w:ascii="宋体" w:hAnsi="宋体" w:eastAsia="宋体" w:cs="宋体"/>
          <w:spacing w:val="7"/>
          <w:sz w:val="27"/>
          <w:szCs w:val="27"/>
        </w:rPr>
        <w:t>提出对装备测试性控制措施的要求。如按照</w:t>
      </w:r>
      <w:r>
        <w:rPr>
          <w:rFonts w:ascii="Times New Roman" w:hAnsi="Times New Roman" w:eastAsia="Times New Roman" w:cs="Times New Roman"/>
          <w:sz w:val="27"/>
          <w:szCs w:val="27"/>
        </w:rPr>
        <w:t>GJB</w:t>
      </w:r>
      <w:r>
        <w:rPr>
          <w:rFonts w:ascii="Times New Roman" w:hAnsi="Times New Roman" w:eastAsia="Times New Roman" w:cs="Times New Roman"/>
          <w:spacing w:val="7"/>
          <w:sz w:val="27"/>
          <w:szCs w:val="27"/>
        </w:rPr>
        <w:t xml:space="preserve"> 2547A—2011</w:t>
      </w:r>
      <w:r>
        <w:rPr>
          <w:rFonts w:ascii="宋体" w:hAnsi="宋体" w:eastAsia="宋体" w:cs="宋体"/>
          <w:spacing w:val="7"/>
          <w:sz w:val="27"/>
          <w:szCs w:val="27"/>
        </w:rPr>
        <w:t>《装备测试</w:t>
      </w:r>
      <w:r>
        <w:rPr>
          <w:rFonts w:ascii="宋体" w:hAnsi="宋体" w:eastAsia="宋体" w:cs="宋体"/>
          <w:spacing w:val="11"/>
          <w:sz w:val="27"/>
          <w:szCs w:val="27"/>
        </w:rPr>
        <w:t xml:space="preserve"> </w:t>
      </w:r>
      <w:r>
        <w:rPr>
          <w:rFonts w:ascii="宋体" w:hAnsi="宋体" w:eastAsia="宋体" w:cs="宋体"/>
          <w:spacing w:val="-10"/>
          <w:sz w:val="27"/>
          <w:szCs w:val="27"/>
        </w:rPr>
        <w:t>性工作通用要求》开展测试性工作，编制测试性工作计划，进行测试性设计、测试</w:t>
      </w:r>
      <w:r>
        <w:rPr>
          <w:rFonts w:ascii="宋体" w:hAnsi="宋体" w:eastAsia="宋体" w:cs="宋体"/>
          <w:sz w:val="27"/>
          <w:szCs w:val="27"/>
        </w:rPr>
        <w:t xml:space="preserve"> </w:t>
      </w:r>
      <w:r>
        <w:rPr>
          <w:rFonts w:ascii="宋体" w:hAnsi="宋体" w:eastAsia="宋体" w:cs="宋体"/>
          <w:spacing w:val="-3"/>
          <w:sz w:val="27"/>
          <w:szCs w:val="27"/>
        </w:rPr>
        <w:t>性指标的分配和预计，进行测试性试验与评价。</w:t>
      </w:r>
    </w:p>
    <w:p w14:paraId="08EAF7BC">
      <w:pPr>
        <w:spacing w:before="15" w:line="223" w:lineRule="auto"/>
        <w:rPr>
          <w:rFonts w:ascii="黑体" w:hAnsi="黑体" w:eastAsia="黑体" w:cs="黑体"/>
          <w:sz w:val="27"/>
          <w:szCs w:val="27"/>
        </w:rPr>
      </w:pPr>
      <w:r>
        <w:rPr>
          <w:rFonts w:ascii="黑体" w:hAnsi="黑体" w:eastAsia="黑体" w:cs="黑体"/>
          <w:spacing w:val="3"/>
          <w:sz w:val="27"/>
          <w:szCs w:val="27"/>
        </w:rPr>
        <w:t>5.5  保障性控制措施</w:t>
      </w:r>
    </w:p>
    <w:p w14:paraId="5B71E7CF">
      <w:pPr>
        <w:spacing w:before="102" w:line="272" w:lineRule="auto"/>
        <w:ind w:right="85" w:firstLine="560"/>
        <w:jc w:val="both"/>
        <w:rPr>
          <w:rFonts w:ascii="宋体" w:hAnsi="宋体" w:eastAsia="宋体" w:cs="宋体"/>
          <w:sz w:val="27"/>
          <w:szCs w:val="27"/>
        </w:rPr>
      </w:pPr>
      <w:r>
        <w:rPr>
          <w:rFonts w:ascii="宋体" w:hAnsi="宋体" w:eastAsia="宋体" w:cs="宋体"/>
          <w:spacing w:val="5"/>
          <w:sz w:val="27"/>
          <w:szCs w:val="27"/>
        </w:rPr>
        <w:t>提出对装备保障性控制措施的要求。如按照</w:t>
      </w:r>
      <w:r>
        <w:rPr>
          <w:rFonts w:ascii="Times New Roman" w:hAnsi="Times New Roman" w:eastAsia="Times New Roman" w:cs="Times New Roman"/>
          <w:sz w:val="27"/>
          <w:szCs w:val="27"/>
        </w:rPr>
        <w:t>GJB</w:t>
      </w:r>
      <w:r>
        <w:rPr>
          <w:rFonts w:ascii="Times New Roman" w:hAnsi="Times New Roman" w:eastAsia="Times New Roman" w:cs="Times New Roman"/>
          <w:spacing w:val="5"/>
          <w:sz w:val="27"/>
          <w:szCs w:val="27"/>
        </w:rPr>
        <w:t xml:space="preserve"> 3872—1999</w:t>
      </w:r>
      <w:r>
        <w:rPr>
          <w:rFonts w:ascii="宋体" w:hAnsi="宋体" w:eastAsia="宋体" w:cs="宋体"/>
          <w:spacing w:val="5"/>
          <w:sz w:val="27"/>
          <w:szCs w:val="27"/>
        </w:rPr>
        <w:t xml:space="preserve">《装备综合保 </w:t>
      </w:r>
      <w:r>
        <w:rPr>
          <w:rFonts w:ascii="宋体" w:hAnsi="宋体" w:eastAsia="宋体" w:cs="宋体"/>
          <w:spacing w:val="-10"/>
          <w:sz w:val="27"/>
          <w:szCs w:val="27"/>
        </w:rPr>
        <w:t>障通用要求》开展保障性工作，编制综合保障工作计划，进行保障性设计，规</w:t>
      </w:r>
      <w:r>
        <w:rPr>
          <w:rFonts w:ascii="宋体" w:hAnsi="宋体" w:eastAsia="宋体" w:cs="宋体"/>
          <w:spacing w:val="-11"/>
          <w:sz w:val="27"/>
          <w:szCs w:val="27"/>
        </w:rPr>
        <w:t>划保</w:t>
      </w:r>
      <w:r>
        <w:rPr>
          <w:rFonts w:ascii="宋体" w:hAnsi="宋体" w:eastAsia="宋体" w:cs="宋体"/>
          <w:sz w:val="27"/>
          <w:szCs w:val="27"/>
        </w:rPr>
        <w:t xml:space="preserve"> </w:t>
      </w:r>
      <w:r>
        <w:rPr>
          <w:rFonts w:ascii="宋体" w:hAnsi="宋体" w:eastAsia="宋体" w:cs="宋体"/>
          <w:spacing w:val="-6"/>
          <w:sz w:val="27"/>
          <w:szCs w:val="27"/>
        </w:rPr>
        <w:t>障资源，进行保障性试验与评价。</w:t>
      </w:r>
    </w:p>
    <w:p w14:paraId="3FABBD39">
      <w:pPr>
        <w:pStyle w:val="2"/>
        <w:spacing w:line="368" w:lineRule="exact"/>
        <w:rPr>
          <w:rFonts w:ascii="黑体" w:hAnsi="黑体" w:eastAsia="黑体" w:cs="黑体"/>
          <w:sz w:val="27"/>
          <w:szCs w:val="27"/>
        </w:rPr>
      </w:pPr>
      <w:r>
        <w:rPr>
          <w:spacing w:val="3"/>
          <w:position w:val="1"/>
          <w:sz w:val="27"/>
          <w:szCs w:val="27"/>
        </w:rPr>
        <w:t xml:space="preserve">5.6    </w:t>
      </w:r>
      <w:r>
        <w:rPr>
          <w:rFonts w:ascii="黑体" w:hAnsi="黑体" w:eastAsia="黑体" w:cs="黑体"/>
          <w:spacing w:val="3"/>
          <w:position w:val="1"/>
          <w:sz w:val="27"/>
          <w:szCs w:val="27"/>
        </w:rPr>
        <w:t>安全性控制措施</w:t>
      </w:r>
    </w:p>
    <w:p w14:paraId="78B4CEA1">
      <w:pPr>
        <w:spacing w:before="110" w:line="285" w:lineRule="auto"/>
        <w:ind w:right="84" w:firstLine="560"/>
        <w:jc w:val="both"/>
        <w:rPr>
          <w:rFonts w:ascii="宋体" w:hAnsi="宋体" w:eastAsia="宋体" w:cs="宋体"/>
          <w:sz w:val="27"/>
          <w:szCs w:val="27"/>
        </w:rPr>
      </w:pPr>
      <w:r>
        <w:rPr>
          <w:rFonts w:ascii="宋体" w:hAnsi="宋体" w:eastAsia="宋体" w:cs="宋体"/>
          <w:spacing w:val="9"/>
          <w:sz w:val="27"/>
          <w:szCs w:val="27"/>
        </w:rPr>
        <w:t>提出对装备安全性控制措施的要求。如按照</w:t>
      </w:r>
      <w:r>
        <w:rPr>
          <w:rFonts w:ascii="Times New Roman" w:hAnsi="Times New Roman" w:eastAsia="Times New Roman" w:cs="Times New Roman"/>
          <w:sz w:val="27"/>
          <w:szCs w:val="27"/>
        </w:rPr>
        <w:t>GJB</w:t>
      </w:r>
      <w:r>
        <w:rPr>
          <w:rFonts w:ascii="Times New Roman" w:hAnsi="Times New Roman" w:eastAsia="Times New Roman" w:cs="Times New Roman"/>
          <w:spacing w:val="9"/>
          <w:sz w:val="27"/>
          <w:szCs w:val="27"/>
        </w:rPr>
        <w:t xml:space="preserve"> 900—1990</w:t>
      </w:r>
      <w:r>
        <w:rPr>
          <w:rFonts w:ascii="宋体" w:hAnsi="宋体" w:eastAsia="宋体" w:cs="宋体"/>
          <w:spacing w:val="9"/>
          <w:sz w:val="27"/>
          <w:szCs w:val="27"/>
        </w:rPr>
        <w:t>《系统安全性</w:t>
      </w:r>
      <w:r>
        <w:rPr>
          <w:rFonts w:ascii="宋体" w:hAnsi="宋体" w:eastAsia="宋体" w:cs="宋体"/>
          <w:spacing w:val="10"/>
          <w:sz w:val="27"/>
          <w:szCs w:val="27"/>
        </w:rPr>
        <w:t xml:space="preserve"> </w:t>
      </w:r>
      <w:r>
        <w:rPr>
          <w:rFonts w:ascii="宋体" w:hAnsi="宋体" w:eastAsia="宋体" w:cs="宋体"/>
          <w:spacing w:val="-10"/>
          <w:sz w:val="27"/>
          <w:szCs w:val="27"/>
        </w:rPr>
        <w:t>通用大纲》开展安全性工作，编制安全性工作计划，进行安全性设计与分析，进行</w:t>
      </w:r>
      <w:r>
        <w:rPr>
          <w:rFonts w:ascii="宋体" w:hAnsi="宋体" w:eastAsia="宋体" w:cs="宋体"/>
          <w:spacing w:val="2"/>
          <w:sz w:val="27"/>
          <w:szCs w:val="27"/>
        </w:rPr>
        <w:t xml:space="preserve"> </w:t>
      </w:r>
      <w:r>
        <w:rPr>
          <w:rFonts w:ascii="宋体" w:hAnsi="宋体" w:eastAsia="宋体" w:cs="宋体"/>
          <w:spacing w:val="-3"/>
          <w:sz w:val="27"/>
          <w:szCs w:val="27"/>
        </w:rPr>
        <w:t>安全性试验与评价，以及进行安全性培训。</w:t>
      </w:r>
    </w:p>
    <w:p w14:paraId="6CB428F4">
      <w:pPr>
        <w:spacing w:line="223" w:lineRule="auto"/>
        <w:rPr>
          <w:rFonts w:ascii="黑体" w:hAnsi="黑体" w:eastAsia="黑体" w:cs="黑体"/>
          <w:sz w:val="27"/>
          <w:szCs w:val="27"/>
        </w:rPr>
      </w:pPr>
      <w:r>
        <w:rPr>
          <w:rFonts w:ascii="黑体" w:hAnsi="黑体" w:eastAsia="黑体" w:cs="黑体"/>
          <w:spacing w:val="2"/>
          <w:sz w:val="27"/>
          <w:szCs w:val="27"/>
        </w:rPr>
        <w:t>5.7</w:t>
      </w:r>
      <w:r>
        <w:rPr>
          <w:rFonts w:ascii="黑体" w:hAnsi="黑体" w:eastAsia="黑体" w:cs="黑体"/>
          <w:spacing w:val="13"/>
          <w:sz w:val="27"/>
          <w:szCs w:val="27"/>
        </w:rPr>
        <w:t xml:space="preserve">  </w:t>
      </w:r>
      <w:r>
        <w:rPr>
          <w:rFonts w:ascii="黑体" w:hAnsi="黑体" w:eastAsia="黑体" w:cs="黑体"/>
          <w:spacing w:val="2"/>
          <w:sz w:val="27"/>
          <w:szCs w:val="27"/>
        </w:rPr>
        <w:t>标准化控制措施</w:t>
      </w:r>
    </w:p>
    <w:p w14:paraId="0593EBA0">
      <w:pPr>
        <w:spacing w:before="82" w:line="296" w:lineRule="auto"/>
        <w:ind w:right="112" w:firstLine="560"/>
        <w:jc w:val="both"/>
        <w:rPr>
          <w:rFonts w:ascii="宋体" w:hAnsi="宋体" w:eastAsia="宋体" w:cs="宋体"/>
          <w:sz w:val="27"/>
          <w:szCs w:val="27"/>
        </w:rPr>
      </w:pPr>
      <w:r>
        <w:rPr>
          <w:rFonts w:ascii="宋体" w:hAnsi="宋体" w:eastAsia="宋体" w:cs="宋体"/>
          <w:spacing w:val="5"/>
          <w:sz w:val="27"/>
          <w:szCs w:val="27"/>
        </w:rPr>
        <w:t>提出对装备研制标准化控制措施的要求。要求承研承制单位编制并实施标</w:t>
      </w:r>
      <w:r>
        <w:rPr>
          <w:rFonts w:ascii="宋体" w:hAnsi="宋体" w:eastAsia="宋体" w:cs="宋体"/>
          <w:sz w:val="27"/>
          <w:szCs w:val="27"/>
        </w:rPr>
        <w:t xml:space="preserve"> </w:t>
      </w:r>
      <w:r>
        <w:rPr>
          <w:rFonts w:ascii="宋体" w:hAnsi="宋体" w:eastAsia="宋体" w:cs="宋体"/>
          <w:spacing w:val="-3"/>
          <w:sz w:val="27"/>
          <w:szCs w:val="27"/>
        </w:rPr>
        <w:t>准化大纲，按照有关规定开展标准化工作和标准化审查；提出对标准使用与剪裁</w:t>
      </w:r>
      <w:r>
        <w:rPr>
          <w:rFonts w:ascii="宋体" w:hAnsi="宋体" w:eastAsia="宋体" w:cs="宋体"/>
          <w:spacing w:val="16"/>
          <w:sz w:val="27"/>
          <w:szCs w:val="27"/>
        </w:rPr>
        <w:t xml:space="preserve"> </w:t>
      </w:r>
      <w:r>
        <w:rPr>
          <w:rFonts w:ascii="宋体" w:hAnsi="宋体" w:eastAsia="宋体" w:cs="宋体"/>
          <w:spacing w:val="-4"/>
          <w:sz w:val="27"/>
          <w:szCs w:val="27"/>
        </w:rPr>
        <w:t>的控制要求。</w:t>
      </w:r>
    </w:p>
    <w:p w14:paraId="3D5834D9">
      <w:pPr>
        <w:spacing w:line="296" w:lineRule="auto"/>
        <w:rPr>
          <w:rFonts w:ascii="宋体" w:hAnsi="宋体" w:eastAsia="宋体" w:cs="宋体"/>
          <w:sz w:val="27"/>
          <w:szCs w:val="27"/>
        </w:rPr>
        <w:sectPr>
          <w:footerReference r:id="rId34" w:type="default"/>
          <w:pgSz w:w="11910" w:h="17130"/>
          <w:pgMar w:top="400" w:right="1365" w:bottom="1647" w:left="1069" w:header="0" w:footer="1466" w:gutter="0"/>
          <w:cols w:space="720" w:num="1"/>
        </w:sectPr>
      </w:pPr>
    </w:p>
    <w:p w14:paraId="09B3578C">
      <w:pPr>
        <w:pStyle w:val="2"/>
        <w:spacing w:line="265" w:lineRule="auto"/>
      </w:pPr>
    </w:p>
    <w:p w14:paraId="244074D8">
      <w:pPr>
        <w:pStyle w:val="2"/>
        <w:spacing w:line="265" w:lineRule="auto"/>
      </w:pPr>
    </w:p>
    <w:p w14:paraId="636778C2">
      <w:pPr>
        <w:pStyle w:val="2"/>
        <w:spacing w:line="265" w:lineRule="auto"/>
      </w:pPr>
    </w:p>
    <w:p w14:paraId="3DF64190">
      <w:pPr>
        <w:pStyle w:val="2"/>
        <w:spacing w:line="265" w:lineRule="auto"/>
      </w:pPr>
    </w:p>
    <w:p w14:paraId="3D35A9DE">
      <w:pPr>
        <w:pStyle w:val="2"/>
        <w:spacing w:before="78" w:line="222" w:lineRule="auto"/>
        <w:rPr>
          <w:rFonts w:ascii="黑体" w:hAnsi="黑体" w:eastAsia="黑体" w:cs="黑体"/>
          <w:sz w:val="24"/>
          <w:szCs w:val="24"/>
        </w:rPr>
      </w:pPr>
      <w:r>
        <w:rPr>
          <w:b/>
          <w:bCs/>
          <w:spacing w:val="29"/>
          <w:sz w:val="24"/>
          <w:szCs w:val="24"/>
        </w:rPr>
        <w:t>6</w:t>
      </w:r>
      <w:r>
        <w:rPr>
          <w:b/>
          <w:bCs/>
          <w:spacing w:val="8"/>
          <w:sz w:val="24"/>
          <w:szCs w:val="24"/>
        </w:rPr>
        <w:t xml:space="preserve">    </w:t>
      </w:r>
      <w:r>
        <w:rPr>
          <w:rFonts w:ascii="黑体" w:hAnsi="黑体" w:eastAsia="黑体" w:cs="黑体"/>
          <w:b/>
          <w:bCs/>
          <w:spacing w:val="29"/>
          <w:sz w:val="24"/>
          <w:szCs w:val="24"/>
        </w:rPr>
        <w:t>设计定型状态和定型时间</w:t>
      </w:r>
    </w:p>
    <w:p w14:paraId="5DD78AB4">
      <w:pPr>
        <w:spacing w:before="66" w:line="267" w:lineRule="auto"/>
        <w:ind w:right="118" w:firstLine="550"/>
        <w:rPr>
          <w:rFonts w:ascii="宋体" w:hAnsi="宋体" w:eastAsia="宋体" w:cs="宋体"/>
          <w:sz w:val="27"/>
          <w:szCs w:val="27"/>
        </w:rPr>
      </w:pPr>
      <w:r>
        <w:rPr>
          <w:rFonts w:ascii="宋体" w:hAnsi="宋体" w:eastAsia="宋体" w:cs="宋体"/>
          <w:spacing w:val="5"/>
          <w:sz w:val="27"/>
          <w:szCs w:val="27"/>
        </w:rPr>
        <w:t xml:space="preserve">设计定型状态一般不再描述，战术技术指标经批准后就成为设计定型考核 </w:t>
      </w:r>
      <w:r>
        <w:rPr>
          <w:rFonts w:ascii="宋体" w:hAnsi="宋体" w:eastAsia="宋体" w:cs="宋体"/>
          <w:spacing w:val="-3"/>
          <w:sz w:val="27"/>
          <w:szCs w:val="27"/>
        </w:rPr>
        <w:t>的依据。</w:t>
      </w:r>
    </w:p>
    <w:p w14:paraId="17DFD8DD">
      <w:pPr>
        <w:spacing w:before="2" w:line="290" w:lineRule="auto"/>
        <w:ind w:right="97" w:firstLine="550"/>
        <w:jc w:val="both"/>
        <w:rPr>
          <w:rFonts w:ascii="宋体" w:hAnsi="宋体" w:eastAsia="宋体" w:cs="宋体"/>
          <w:sz w:val="27"/>
          <w:szCs w:val="27"/>
        </w:rPr>
      </w:pPr>
      <w:r>
        <w:rPr>
          <w:rFonts w:ascii="宋体" w:hAnsi="宋体" w:eastAsia="宋体" w:cs="宋体"/>
          <w:spacing w:val="5"/>
          <w:sz w:val="27"/>
          <w:szCs w:val="27"/>
        </w:rPr>
        <w:t>设计定型时间可根据研制周期、作战训练或执行其他特殊任务对装备需求</w:t>
      </w:r>
      <w:r>
        <w:rPr>
          <w:rFonts w:ascii="宋体" w:hAnsi="宋体" w:eastAsia="宋体" w:cs="宋体"/>
          <w:spacing w:val="1"/>
          <w:sz w:val="27"/>
          <w:szCs w:val="27"/>
        </w:rPr>
        <w:t xml:space="preserve"> </w:t>
      </w:r>
      <w:r>
        <w:rPr>
          <w:rFonts w:ascii="宋体" w:hAnsi="宋体" w:eastAsia="宋体" w:cs="宋体"/>
          <w:spacing w:val="6"/>
          <w:sz w:val="27"/>
          <w:szCs w:val="27"/>
        </w:rPr>
        <w:t>的紧迫程度、技术方案成熟程度和经费投入分配情况等进行</w:t>
      </w:r>
      <w:r>
        <w:rPr>
          <w:rFonts w:ascii="宋体" w:hAnsi="宋体" w:eastAsia="宋体" w:cs="宋体"/>
          <w:spacing w:val="5"/>
          <w:sz w:val="27"/>
          <w:szCs w:val="27"/>
        </w:rPr>
        <w:t>综合权衡后提出定</w:t>
      </w:r>
      <w:r>
        <w:rPr>
          <w:rFonts w:ascii="宋体" w:hAnsi="宋体" w:eastAsia="宋体" w:cs="宋体"/>
          <w:sz w:val="27"/>
          <w:szCs w:val="27"/>
        </w:rPr>
        <w:t xml:space="preserve"> 型时间要求。</w:t>
      </w:r>
    </w:p>
    <w:p w14:paraId="56D43537">
      <w:pPr>
        <w:spacing w:line="221" w:lineRule="auto"/>
        <w:rPr>
          <w:rFonts w:ascii="黑体" w:hAnsi="黑体" w:eastAsia="黑体" w:cs="黑体"/>
          <w:sz w:val="27"/>
          <w:szCs w:val="27"/>
        </w:rPr>
      </w:pPr>
      <w:r>
        <w:rPr>
          <w:rFonts w:ascii="黑体" w:hAnsi="黑体" w:eastAsia="黑体" w:cs="黑体"/>
          <w:spacing w:val="2"/>
          <w:sz w:val="27"/>
          <w:szCs w:val="27"/>
        </w:rPr>
        <w:t xml:space="preserve">7  </w:t>
      </w:r>
      <w:r>
        <w:rPr>
          <w:rFonts w:ascii="黑体" w:hAnsi="黑体" w:eastAsia="黑体" w:cs="黑体"/>
          <w:b/>
          <w:bCs/>
          <w:spacing w:val="2"/>
          <w:sz w:val="27"/>
          <w:szCs w:val="27"/>
        </w:rPr>
        <w:t>研制经费核算</w:t>
      </w:r>
    </w:p>
    <w:p w14:paraId="6E9F4FF7">
      <w:pPr>
        <w:spacing w:before="60" w:line="291" w:lineRule="auto"/>
        <w:ind w:firstLine="550"/>
        <w:rPr>
          <w:rFonts w:ascii="宋体" w:hAnsi="宋体" w:eastAsia="宋体" w:cs="宋体"/>
          <w:sz w:val="27"/>
          <w:szCs w:val="27"/>
        </w:rPr>
      </w:pPr>
      <w:r>
        <w:rPr>
          <w:rFonts w:ascii="宋体" w:hAnsi="宋体" w:eastAsia="宋体" w:cs="宋体"/>
          <w:sz w:val="27"/>
          <w:szCs w:val="27"/>
        </w:rPr>
        <w:t>按照有关规定对研制经费进行核算。经总装机关同意，上报研制总要求时，</w:t>
      </w:r>
      <w:r>
        <w:rPr>
          <w:rFonts w:ascii="宋体" w:hAnsi="宋体" w:eastAsia="宋体" w:cs="宋体"/>
          <w:spacing w:val="13"/>
          <w:sz w:val="27"/>
          <w:szCs w:val="27"/>
        </w:rPr>
        <w:t xml:space="preserve"> </w:t>
      </w:r>
      <w:r>
        <w:rPr>
          <w:rFonts w:ascii="宋体" w:hAnsi="宋体" w:eastAsia="宋体" w:cs="宋体"/>
          <w:spacing w:val="-3"/>
          <w:sz w:val="27"/>
          <w:szCs w:val="27"/>
        </w:rPr>
        <w:t>可以暂略。</w:t>
      </w:r>
    </w:p>
    <w:p w14:paraId="686FB79C">
      <w:pPr>
        <w:spacing w:before="3" w:line="221" w:lineRule="auto"/>
        <w:rPr>
          <w:rFonts w:ascii="黑体" w:hAnsi="黑体" w:eastAsia="黑体" w:cs="黑体"/>
          <w:sz w:val="24"/>
          <w:szCs w:val="24"/>
        </w:rPr>
      </w:pPr>
      <w:r>
        <w:rPr>
          <w:rFonts w:ascii="黑体" w:hAnsi="黑体" w:eastAsia="黑体" w:cs="黑体"/>
          <w:spacing w:val="27"/>
          <w:sz w:val="24"/>
          <w:szCs w:val="24"/>
        </w:rPr>
        <w:t>8</w:t>
      </w:r>
      <w:r>
        <w:rPr>
          <w:rFonts w:ascii="黑体" w:hAnsi="黑体" w:eastAsia="黑体" w:cs="黑体"/>
          <w:spacing w:val="30"/>
          <w:sz w:val="24"/>
          <w:szCs w:val="24"/>
        </w:rPr>
        <w:t xml:space="preserve">  </w:t>
      </w:r>
      <w:r>
        <w:rPr>
          <w:rFonts w:ascii="黑体" w:hAnsi="黑体" w:eastAsia="黑体" w:cs="黑体"/>
          <w:b/>
          <w:bCs/>
          <w:spacing w:val="27"/>
          <w:sz w:val="24"/>
          <w:szCs w:val="24"/>
        </w:rPr>
        <w:t>产品成本概算</w:t>
      </w:r>
    </w:p>
    <w:p w14:paraId="3C5A9299">
      <w:pPr>
        <w:spacing w:before="79" w:line="279" w:lineRule="auto"/>
        <w:ind w:firstLine="550"/>
        <w:rPr>
          <w:rFonts w:ascii="宋体" w:hAnsi="宋体" w:eastAsia="宋体" w:cs="宋体"/>
          <w:sz w:val="27"/>
          <w:szCs w:val="27"/>
        </w:rPr>
      </w:pPr>
      <w:r>
        <w:rPr>
          <w:rFonts w:ascii="宋体" w:hAnsi="宋体" w:eastAsia="宋体" w:cs="宋体"/>
          <w:sz w:val="27"/>
          <w:szCs w:val="27"/>
        </w:rPr>
        <w:t>按照有关规定对产品成本进行概算。经总装机关同意，上报研制总要求时，</w:t>
      </w:r>
      <w:r>
        <w:rPr>
          <w:rFonts w:ascii="宋体" w:hAnsi="宋体" w:eastAsia="宋体" w:cs="宋体"/>
          <w:spacing w:val="13"/>
          <w:sz w:val="27"/>
          <w:szCs w:val="27"/>
        </w:rPr>
        <w:t xml:space="preserve"> </w:t>
      </w:r>
      <w:r>
        <w:rPr>
          <w:rFonts w:ascii="宋体" w:hAnsi="宋体" w:eastAsia="宋体" w:cs="宋体"/>
          <w:spacing w:val="-3"/>
          <w:sz w:val="27"/>
          <w:szCs w:val="27"/>
        </w:rPr>
        <w:t>可以暂略。</w:t>
      </w:r>
    </w:p>
    <w:p w14:paraId="4534C559">
      <w:pPr>
        <w:spacing w:before="1" w:line="268" w:lineRule="auto"/>
        <w:ind w:left="4" w:right="125" w:firstLine="549"/>
        <w:rPr>
          <w:rFonts w:ascii="楷体" w:hAnsi="楷体" w:eastAsia="楷体" w:cs="楷体"/>
          <w:sz w:val="28"/>
          <w:szCs w:val="28"/>
        </w:rPr>
      </w:pPr>
      <w:r>
        <w:rPr>
          <w:rFonts w:ascii="楷体" w:hAnsi="楷体" w:eastAsia="楷体" w:cs="楷体"/>
          <w:b/>
          <w:bCs/>
          <w:spacing w:val="-8"/>
          <w:sz w:val="28"/>
          <w:szCs w:val="28"/>
        </w:rPr>
        <w:t>亦可按照《常规武器装备研制程序》要求编写，内容基本相同，</w:t>
      </w:r>
      <w:r>
        <w:rPr>
          <w:rFonts w:ascii="楷体" w:hAnsi="楷体" w:eastAsia="楷体" w:cs="楷体"/>
          <w:b/>
          <w:bCs/>
          <w:spacing w:val="-9"/>
          <w:sz w:val="28"/>
          <w:szCs w:val="28"/>
        </w:rPr>
        <w:t>目次格式</w:t>
      </w:r>
      <w:r>
        <w:rPr>
          <w:rFonts w:ascii="楷体" w:hAnsi="楷体" w:eastAsia="楷体" w:cs="楷体"/>
          <w:sz w:val="28"/>
          <w:szCs w:val="28"/>
        </w:rPr>
        <w:t xml:space="preserve"> </w:t>
      </w:r>
      <w:r>
        <w:rPr>
          <w:rFonts w:ascii="楷体" w:hAnsi="楷体" w:eastAsia="楷体" w:cs="楷体"/>
          <w:b/>
          <w:bCs/>
          <w:spacing w:val="-13"/>
          <w:sz w:val="28"/>
          <w:szCs w:val="28"/>
        </w:rPr>
        <w:t>如下。</w:t>
      </w:r>
    </w:p>
    <w:p w14:paraId="4EF9D5BB">
      <w:pPr>
        <w:spacing w:before="2" w:line="222" w:lineRule="auto"/>
        <w:ind w:left="550"/>
        <w:rPr>
          <w:rFonts w:ascii="楷体" w:hAnsi="楷体" w:eastAsia="楷体" w:cs="楷体"/>
          <w:sz w:val="28"/>
          <w:szCs w:val="28"/>
        </w:rPr>
      </w:pPr>
      <w:r>
        <w:rPr>
          <w:rFonts w:ascii="Times New Roman" w:hAnsi="Times New Roman" w:eastAsia="Times New Roman" w:cs="Times New Roman"/>
          <w:b/>
          <w:bCs/>
          <w:spacing w:val="-16"/>
          <w:sz w:val="28"/>
          <w:szCs w:val="28"/>
        </w:rPr>
        <w:t xml:space="preserve">1  </w:t>
      </w:r>
      <w:r>
        <w:rPr>
          <w:rFonts w:ascii="楷体" w:hAnsi="楷体" w:eastAsia="楷体" w:cs="楷体"/>
          <w:b/>
          <w:bCs/>
          <w:spacing w:val="-16"/>
          <w:sz w:val="28"/>
          <w:szCs w:val="28"/>
        </w:rPr>
        <w:t>作战使命、任务及作战对象</w:t>
      </w:r>
    </w:p>
    <w:p w14:paraId="74847A23">
      <w:pPr>
        <w:spacing w:before="79" w:line="228" w:lineRule="auto"/>
        <w:ind w:left="550"/>
        <w:rPr>
          <w:rFonts w:ascii="楷体" w:hAnsi="楷体" w:eastAsia="楷体" w:cs="楷体"/>
          <w:sz w:val="28"/>
          <w:szCs w:val="28"/>
        </w:rPr>
      </w:pPr>
      <w:r>
        <w:rPr>
          <w:rFonts w:ascii="Times New Roman" w:hAnsi="Times New Roman" w:eastAsia="Times New Roman" w:cs="Times New Roman"/>
          <w:b/>
          <w:bCs/>
          <w:spacing w:val="-6"/>
          <w:sz w:val="28"/>
          <w:szCs w:val="28"/>
        </w:rPr>
        <w:t xml:space="preserve">2  </w:t>
      </w:r>
      <w:r>
        <w:rPr>
          <w:rFonts w:ascii="楷体" w:hAnsi="楷体" w:eastAsia="楷体" w:cs="楷体"/>
          <w:b/>
          <w:bCs/>
          <w:spacing w:val="-6"/>
          <w:sz w:val="28"/>
          <w:szCs w:val="28"/>
        </w:rPr>
        <w:t>主要战术技术指标及使用要求</w:t>
      </w:r>
    </w:p>
    <w:p w14:paraId="1887F56C">
      <w:pPr>
        <w:spacing w:before="54" w:line="228" w:lineRule="auto"/>
        <w:ind w:left="550"/>
        <w:rPr>
          <w:rFonts w:ascii="楷体" w:hAnsi="楷体" w:eastAsia="楷体" w:cs="楷体"/>
          <w:sz w:val="28"/>
          <w:szCs w:val="28"/>
        </w:rPr>
      </w:pPr>
      <w:r>
        <w:rPr>
          <w:rFonts w:ascii="Times New Roman" w:hAnsi="Times New Roman" w:eastAsia="Times New Roman" w:cs="Times New Roman"/>
          <w:b/>
          <w:bCs/>
          <w:spacing w:val="-8"/>
          <w:sz w:val="28"/>
          <w:szCs w:val="28"/>
        </w:rPr>
        <w:t>2.1</w:t>
      </w:r>
      <w:r>
        <w:rPr>
          <w:rFonts w:ascii="Times New Roman" w:hAnsi="Times New Roman" w:eastAsia="Times New Roman" w:cs="Times New Roman"/>
          <w:b/>
          <w:bCs/>
          <w:spacing w:val="7"/>
          <w:sz w:val="28"/>
          <w:szCs w:val="28"/>
        </w:rPr>
        <w:t xml:space="preserve">   </w:t>
      </w:r>
      <w:r>
        <w:rPr>
          <w:rFonts w:ascii="楷体" w:hAnsi="楷体" w:eastAsia="楷体" w:cs="楷体"/>
          <w:b/>
          <w:bCs/>
          <w:spacing w:val="-8"/>
          <w:sz w:val="28"/>
          <w:szCs w:val="28"/>
        </w:rPr>
        <w:t>主要战术指标</w:t>
      </w:r>
    </w:p>
    <w:p w14:paraId="50383836">
      <w:pPr>
        <w:spacing w:before="54" w:line="228" w:lineRule="auto"/>
        <w:ind w:left="550"/>
        <w:rPr>
          <w:rFonts w:ascii="楷体" w:hAnsi="楷体" w:eastAsia="楷体" w:cs="楷体"/>
          <w:sz w:val="28"/>
          <w:szCs w:val="28"/>
        </w:rPr>
      </w:pPr>
      <w:r>
        <w:rPr>
          <w:rFonts w:ascii="Times New Roman" w:hAnsi="Times New Roman" w:eastAsia="Times New Roman" w:cs="Times New Roman"/>
          <w:b/>
          <w:bCs/>
          <w:spacing w:val="-4"/>
          <w:sz w:val="28"/>
          <w:szCs w:val="28"/>
        </w:rPr>
        <w:t xml:space="preserve">2.2   </w:t>
      </w:r>
      <w:r>
        <w:rPr>
          <w:rFonts w:ascii="楷体" w:hAnsi="楷体" w:eastAsia="楷体" w:cs="楷体"/>
          <w:b/>
          <w:bCs/>
          <w:spacing w:val="-4"/>
          <w:sz w:val="28"/>
          <w:szCs w:val="28"/>
        </w:rPr>
        <w:t>主要技术指标</w:t>
      </w:r>
    </w:p>
    <w:p w14:paraId="7B0B6608">
      <w:pPr>
        <w:spacing w:before="74" w:line="228" w:lineRule="auto"/>
        <w:ind w:left="550"/>
        <w:rPr>
          <w:rFonts w:ascii="楷体" w:hAnsi="楷体" w:eastAsia="楷体" w:cs="楷体"/>
          <w:sz w:val="27"/>
          <w:szCs w:val="27"/>
        </w:rPr>
      </w:pPr>
      <w:r>
        <w:rPr>
          <w:rFonts w:ascii="Times New Roman" w:hAnsi="Times New Roman" w:eastAsia="Times New Roman" w:cs="Times New Roman"/>
          <w:b/>
          <w:bCs/>
          <w:spacing w:val="-2"/>
          <w:sz w:val="27"/>
          <w:szCs w:val="27"/>
        </w:rPr>
        <w:t>2.3</w:t>
      </w:r>
      <w:r>
        <w:rPr>
          <w:rFonts w:ascii="Times New Roman" w:hAnsi="Times New Roman" w:eastAsia="Times New Roman" w:cs="Times New Roman"/>
          <w:b/>
          <w:bCs/>
          <w:spacing w:val="10"/>
          <w:sz w:val="27"/>
          <w:szCs w:val="27"/>
        </w:rPr>
        <w:t xml:space="preserve">   </w:t>
      </w:r>
      <w:r>
        <w:rPr>
          <w:rFonts w:ascii="楷体" w:hAnsi="楷体" w:eastAsia="楷体" w:cs="楷体"/>
          <w:b/>
          <w:bCs/>
          <w:spacing w:val="-2"/>
          <w:sz w:val="27"/>
          <w:szCs w:val="27"/>
        </w:rPr>
        <w:t>主要使用要求</w:t>
      </w:r>
    </w:p>
    <w:p w14:paraId="38B4169F">
      <w:pPr>
        <w:spacing w:before="77" w:line="228" w:lineRule="auto"/>
        <w:ind w:left="553"/>
        <w:rPr>
          <w:rFonts w:ascii="楷体" w:hAnsi="楷体" w:eastAsia="楷体" w:cs="楷体"/>
          <w:sz w:val="27"/>
          <w:szCs w:val="27"/>
        </w:rPr>
      </w:pPr>
      <w:r>
        <w:rPr>
          <w:rFonts w:ascii="楷体" w:hAnsi="楷体" w:eastAsia="楷体" w:cs="楷体"/>
          <w:b/>
          <w:bCs/>
          <w:spacing w:val="13"/>
          <w:sz w:val="27"/>
          <w:szCs w:val="27"/>
        </w:rPr>
        <w:t>3初步的总体技术方案</w:t>
      </w:r>
    </w:p>
    <w:p w14:paraId="3109633E">
      <w:pPr>
        <w:spacing w:before="76" w:line="227" w:lineRule="auto"/>
        <w:ind w:left="550"/>
        <w:rPr>
          <w:rFonts w:ascii="楷体" w:hAnsi="楷体" w:eastAsia="楷体" w:cs="楷体"/>
          <w:sz w:val="27"/>
          <w:szCs w:val="27"/>
        </w:rPr>
      </w:pPr>
      <w:r>
        <w:rPr>
          <w:rFonts w:ascii="Times New Roman" w:hAnsi="Times New Roman" w:eastAsia="Times New Roman" w:cs="Times New Roman"/>
          <w:b/>
          <w:bCs/>
          <w:spacing w:val="-1"/>
          <w:sz w:val="27"/>
          <w:szCs w:val="27"/>
        </w:rPr>
        <w:t>4</w:t>
      </w:r>
      <w:r>
        <w:rPr>
          <w:rFonts w:ascii="Times New Roman" w:hAnsi="Times New Roman" w:eastAsia="Times New Roman" w:cs="Times New Roman"/>
          <w:b/>
          <w:bCs/>
          <w:spacing w:val="10"/>
          <w:sz w:val="27"/>
          <w:szCs w:val="27"/>
        </w:rPr>
        <w:t xml:space="preserve">  </w:t>
      </w:r>
      <w:r>
        <w:rPr>
          <w:rFonts w:ascii="楷体" w:hAnsi="楷体" w:eastAsia="楷体" w:cs="楷体"/>
          <w:b/>
          <w:bCs/>
          <w:spacing w:val="-1"/>
          <w:sz w:val="27"/>
          <w:szCs w:val="27"/>
        </w:rPr>
        <w:t>质量控制要求</w:t>
      </w:r>
    </w:p>
    <w:p w14:paraId="2215693C">
      <w:pPr>
        <w:spacing w:before="71" w:line="223" w:lineRule="auto"/>
        <w:ind w:left="550"/>
        <w:rPr>
          <w:rFonts w:ascii="楷体" w:hAnsi="楷体" w:eastAsia="楷体" w:cs="楷体"/>
          <w:sz w:val="28"/>
          <w:szCs w:val="28"/>
        </w:rPr>
      </w:pPr>
      <w:r>
        <w:rPr>
          <w:rFonts w:ascii="Times New Roman" w:hAnsi="Times New Roman" w:eastAsia="Times New Roman" w:cs="Times New Roman"/>
          <w:b/>
          <w:bCs/>
          <w:spacing w:val="-7"/>
          <w:sz w:val="28"/>
          <w:szCs w:val="28"/>
        </w:rPr>
        <w:t xml:space="preserve">5  </w:t>
      </w:r>
      <w:r>
        <w:rPr>
          <w:rFonts w:ascii="楷体" w:hAnsi="楷体" w:eastAsia="楷体" w:cs="楷体"/>
          <w:b/>
          <w:bCs/>
          <w:spacing w:val="-7"/>
          <w:sz w:val="28"/>
          <w:szCs w:val="28"/>
        </w:rPr>
        <w:t>研制周期要求及各研制阶段的计划安排</w:t>
      </w:r>
    </w:p>
    <w:p w14:paraId="3249C686">
      <w:pPr>
        <w:spacing w:before="114" w:line="224" w:lineRule="auto"/>
        <w:ind w:left="550"/>
        <w:rPr>
          <w:rFonts w:ascii="楷体" w:hAnsi="楷体" w:eastAsia="楷体" w:cs="楷体"/>
          <w:sz w:val="24"/>
          <w:szCs w:val="24"/>
        </w:rPr>
      </w:pPr>
      <w:r>
        <w:rPr>
          <w:rFonts w:ascii="Times New Roman" w:hAnsi="Times New Roman" w:eastAsia="Times New Roman" w:cs="Times New Roman"/>
          <w:b/>
          <w:bCs/>
          <w:spacing w:val="19"/>
          <w:sz w:val="24"/>
          <w:szCs w:val="24"/>
        </w:rPr>
        <w:t>5.1</w:t>
      </w:r>
      <w:r>
        <w:rPr>
          <w:rFonts w:ascii="Times New Roman" w:hAnsi="Times New Roman" w:eastAsia="Times New Roman" w:cs="Times New Roman"/>
          <w:b/>
          <w:bCs/>
          <w:spacing w:val="6"/>
          <w:sz w:val="24"/>
          <w:szCs w:val="24"/>
        </w:rPr>
        <w:t xml:space="preserve">    </w:t>
      </w:r>
      <w:r>
        <w:rPr>
          <w:rFonts w:ascii="楷体" w:hAnsi="楷体" w:eastAsia="楷体" w:cs="楷体"/>
          <w:b/>
          <w:bCs/>
          <w:spacing w:val="19"/>
          <w:sz w:val="24"/>
          <w:szCs w:val="24"/>
        </w:rPr>
        <w:t>研制周期要求</w:t>
      </w:r>
    </w:p>
    <w:p w14:paraId="59F6DB49">
      <w:pPr>
        <w:spacing w:before="77" w:line="223" w:lineRule="auto"/>
        <w:ind w:left="550"/>
        <w:rPr>
          <w:rFonts w:ascii="楷体" w:hAnsi="楷体" w:eastAsia="楷体" w:cs="楷体"/>
          <w:sz w:val="28"/>
          <w:szCs w:val="28"/>
        </w:rPr>
      </w:pPr>
      <w:r>
        <w:rPr>
          <w:rFonts w:ascii="Times New Roman" w:hAnsi="Times New Roman" w:eastAsia="Times New Roman" w:cs="Times New Roman"/>
          <w:b/>
          <w:bCs/>
          <w:spacing w:val="-6"/>
          <w:sz w:val="28"/>
          <w:szCs w:val="28"/>
        </w:rPr>
        <w:t xml:space="preserve">5.2   </w:t>
      </w:r>
      <w:r>
        <w:rPr>
          <w:rFonts w:ascii="楷体" w:hAnsi="楷体" w:eastAsia="楷体" w:cs="楷体"/>
          <w:b/>
          <w:bCs/>
          <w:spacing w:val="-6"/>
          <w:sz w:val="28"/>
          <w:szCs w:val="28"/>
        </w:rPr>
        <w:t>各研制阶段的计划安排</w:t>
      </w:r>
    </w:p>
    <w:p w14:paraId="78A89E00">
      <w:pPr>
        <w:spacing w:before="75" w:line="225" w:lineRule="auto"/>
        <w:ind w:left="550"/>
        <w:rPr>
          <w:rFonts w:ascii="楷体" w:hAnsi="楷体" w:eastAsia="楷体" w:cs="楷体"/>
          <w:sz w:val="28"/>
          <w:szCs w:val="28"/>
        </w:rPr>
      </w:pPr>
      <w:r>
        <w:rPr>
          <w:rFonts w:ascii="Times New Roman" w:hAnsi="Times New Roman" w:eastAsia="Times New Roman" w:cs="Times New Roman"/>
          <w:b/>
          <w:bCs/>
          <w:spacing w:val="-7"/>
          <w:sz w:val="28"/>
          <w:szCs w:val="28"/>
        </w:rPr>
        <w:t xml:space="preserve">6  </w:t>
      </w:r>
      <w:r>
        <w:rPr>
          <w:rFonts w:ascii="楷体" w:hAnsi="楷体" w:eastAsia="楷体" w:cs="楷体"/>
          <w:b/>
          <w:bCs/>
          <w:spacing w:val="-7"/>
          <w:sz w:val="28"/>
          <w:szCs w:val="28"/>
        </w:rPr>
        <w:t>研制经费和成本核算</w:t>
      </w:r>
    </w:p>
    <w:p w14:paraId="72180E27">
      <w:pPr>
        <w:spacing w:before="76" w:line="229" w:lineRule="auto"/>
        <w:ind w:left="550"/>
        <w:rPr>
          <w:rFonts w:ascii="楷体" w:hAnsi="楷体" w:eastAsia="楷体" w:cs="楷体"/>
          <w:sz w:val="28"/>
          <w:szCs w:val="28"/>
        </w:rPr>
      </w:pPr>
      <w:r>
        <w:rPr>
          <w:rFonts w:ascii="Times New Roman" w:hAnsi="Times New Roman" w:eastAsia="Times New Roman" w:cs="Times New Roman"/>
          <w:b/>
          <w:bCs/>
          <w:spacing w:val="-6"/>
          <w:sz w:val="28"/>
          <w:szCs w:val="28"/>
        </w:rPr>
        <w:t xml:space="preserve">7  </w:t>
      </w:r>
      <w:r>
        <w:rPr>
          <w:rFonts w:ascii="楷体" w:hAnsi="楷体" w:eastAsia="楷体" w:cs="楷体"/>
          <w:b/>
          <w:bCs/>
          <w:spacing w:val="-6"/>
          <w:sz w:val="28"/>
          <w:szCs w:val="28"/>
        </w:rPr>
        <w:t>研制分工建议</w:t>
      </w:r>
    </w:p>
    <w:p w14:paraId="026C2A1B">
      <w:pPr>
        <w:pStyle w:val="2"/>
        <w:spacing w:line="319" w:lineRule="auto"/>
      </w:pPr>
    </w:p>
    <w:p w14:paraId="3742C080">
      <w:pPr>
        <w:spacing w:before="117" w:line="218" w:lineRule="auto"/>
        <w:ind w:left="2240"/>
        <w:outlineLvl w:val="1"/>
        <w:rPr>
          <w:rFonts w:ascii="宋体" w:hAnsi="宋体" w:eastAsia="宋体" w:cs="宋体"/>
          <w:sz w:val="36"/>
          <w:szCs w:val="36"/>
        </w:rPr>
      </w:pPr>
      <w:bookmarkStart w:id="14" w:name="bookmark9"/>
      <w:bookmarkEnd w:id="14"/>
      <w:r>
        <w:rPr>
          <w:rFonts w:ascii="宋体" w:hAnsi="宋体" w:eastAsia="宋体" w:cs="宋体"/>
          <w:spacing w:val="3"/>
          <w:sz w:val="36"/>
          <w:szCs w:val="36"/>
        </w:rPr>
        <w:t xml:space="preserve">1.7  </w:t>
      </w:r>
      <w:r>
        <w:rPr>
          <w:rFonts w:ascii="宋体" w:hAnsi="宋体" w:eastAsia="宋体" w:cs="宋体"/>
          <w:b/>
          <w:bCs/>
          <w:spacing w:val="3"/>
          <w:sz w:val="36"/>
          <w:szCs w:val="36"/>
        </w:rPr>
        <w:t>研制总要求论证工作报告</w:t>
      </w:r>
    </w:p>
    <w:p w14:paraId="5EE14249">
      <w:pPr>
        <w:pStyle w:val="2"/>
        <w:spacing w:line="382" w:lineRule="auto"/>
      </w:pPr>
    </w:p>
    <w:p w14:paraId="5F77D760">
      <w:pPr>
        <w:spacing w:before="78" w:line="226" w:lineRule="auto"/>
        <w:ind w:left="553"/>
        <w:rPr>
          <w:rFonts w:ascii="楷体" w:hAnsi="楷体" w:eastAsia="楷体" w:cs="楷体"/>
          <w:sz w:val="24"/>
          <w:szCs w:val="24"/>
        </w:rPr>
      </w:pPr>
      <w:r>
        <w:rPr>
          <w:rFonts w:ascii="楷体" w:hAnsi="楷体" w:eastAsia="楷体" w:cs="楷体"/>
          <w:b/>
          <w:bCs/>
          <w:spacing w:val="16"/>
          <w:sz w:val="24"/>
          <w:szCs w:val="24"/>
        </w:rPr>
        <w:t>按照《常规武器装备研制程序》要求编写。</w:t>
      </w:r>
    </w:p>
    <w:p w14:paraId="5FCC73F2">
      <w:pPr>
        <w:spacing w:before="97" w:line="221" w:lineRule="auto"/>
        <w:rPr>
          <w:rFonts w:ascii="黑体" w:hAnsi="黑体" w:eastAsia="黑体" w:cs="黑体"/>
          <w:sz w:val="27"/>
          <w:szCs w:val="27"/>
        </w:rPr>
      </w:pPr>
      <w:r>
        <w:rPr>
          <w:rFonts w:ascii="黑体" w:hAnsi="黑体" w:eastAsia="黑体" w:cs="黑体"/>
          <w:spacing w:val="-10"/>
          <w:sz w:val="27"/>
          <w:szCs w:val="27"/>
        </w:rPr>
        <w:t xml:space="preserve">1  </w:t>
      </w:r>
      <w:r>
        <w:rPr>
          <w:rFonts w:ascii="黑体" w:hAnsi="黑体" w:eastAsia="黑体" w:cs="黑体"/>
          <w:b/>
          <w:bCs/>
          <w:spacing w:val="-10"/>
          <w:sz w:val="27"/>
          <w:szCs w:val="27"/>
        </w:rPr>
        <w:t>武器装备在未来作战中的地位、作用</w:t>
      </w:r>
      <w:r>
        <w:rPr>
          <w:rFonts w:ascii="黑体" w:hAnsi="黑体" w:eastAsia="黑体" w:cs="黑体"/>
          <w:b/>
          <w:bCs/>
          <w:spacing w:val="-11"/>
          <w:sz w:val="27"/>
          <w:szCs w:val="27"/>
        </w:rPr>
        <w:t>、使命、任务和作战对象分析</w:t>
      </w:r>
    </w:p>
    <w:p w14:paraId="519DFA3D">
      <w:pPr>
        <w:spacing w:before="81" w:line="276" w:lineRule="auto"/>
        <w:ind w:right="99" w:firstLine="550"/>
        <w:rPr>
          <w:rFonts w:ascii="宋体" w:hAnsi="宋体" w:eastAsia="宋体" w:cs="宋体"/>
          <w:sz w:val="27"/>
          <w:szCs w:val="27"/>
        </w:rPr>
      </w:pPr>
      <w:r>
        <w:rPr>
          <w:rFonts w:ascii="宋体" w:hAnsi="宋体" w:eastAsia="宋体" w:cs="宋体"/>
          <w:spacing w:val="-11"/>
          <w:sz w:val="27"/>
          <w:szCs w:val="27"/>
        </w:rPr>
        <w:t>系统地阐述武器装备在未来作战中的地位、作用、使命、任务和作战对象，内</w:t>
      </w:r>
      <w:r>
        <w:rPr>
          <w:rFonts w:ascii="宋体" w:hAnsi="宋体" w:eastAsia="宋体" w:cs="宋体"/>
          <w:spacing w:val="18"/>
          <w:sz w:val="27"/>
          <w:szCs w:val="27"/>
        </w:rPr>
        <w:t xml:space="preserve"> </w:t>
      </w:r>
      <w:r>
        <w:rPr>
          <w:rFonts w:ascii="宋体" w:hAnsi="宋体" w:eastAsia="宋体" w:cs="宋体"/>
          <w:spacing w:val="2"/>
          <w:sz w:val="27"/>
          <w:szCs w:val="27"/>
        </w:rPr>
        <w:t>容与研制总要求保持一致。</w:t>
      </w:r>
    </w:p>
    <w:p w14:paraId="6A9A01F6">
      <w:pPr>
        <w:spacing w:line="276" w:lineRule="auto"/>
        <w:rPr>
          <w:rFonts w:ascii="宋体" w:hAnsi="宋体" w:eastAsia="宋体" w:cs="宋体"/>
          <w:sz w:val="27"/>
          <w:szCs w:val="27"/>
        </w:rPr>
        <w:sectPr>
          <w:footerReference r:id="rId35" w:type="default"/>
          <w:pgSz w:w="11910" w:h="17130"/>
          <w:pgMar w:top="400" w:right="1105" w:bottom="1721" w:left="1329" w:header="0" w:footer="1408" w:gutter="0"/>
          <w:cols w:space="720" w:num="1"/>
        </w:sectPr>
      </w:pPr>
    </w:p>
    <w:p w14:paraId="6F550E25">
      <w:pPr>
        <w:pStyle w:val="2"/>
        <w:spacing w:line="252" w:lineRule="auto"/>
      </w:pPr>
    </w:p>
    <w:p w14:paraId="124A1A50">
      <w:pPr>
        <w:pStyle w:val="2"/>
        <w:spacing w:line="252" w:lineRule="auto"/>
      </w:pPr>
    </w:p>
    <w:p w14:paraId="509E5DCD">
      <w:pPr>
        <w:pStyle w:val="2"/>
        <w:spacing w:line="253" w:lineRule="auto"/>
      </w:pPr>
    </w:p>
    <w:p w14:paraId="533AB3D0">
      <w:pPr>
        <w:pStyle w:val="2"/>
        <w:spacing w:line="253" w:lineRule="auto"/>
      </w:pPr>
    </w:p>
    <w:p w14:paraId="64F2C422">
      <w:pPr>
        <w:spacing w:before="88" w:line="221" w:lineRule="auto"/>
        <w:rPr>
          <w:rFonts w:ascii="黑体" w:hAnsi="黑体" w:eastAsia="黑体" w:cs="黑体"/>
          <w:sz w:val="27"/>
          <w:szCs w:val="27"/>
        </w:rPr>
      </w:pPr>
      <w:r>
        <w:rPr>
          <w:rFonts w:ascii="黑体" w:hAnsi="黑体" w:eastAsia="黑体" w:cs="黑体"/>
          <w:spacing w:val="-3"/>
          <w:sz w:val="27"/>
          <w:szCs w:val="27"/>
        </w:rPr>
        <w:t xml:space="preserve">2  </w:t>
      </w:r>
      <w:r>
        <w:rPr>
          <w:rFonts w:ascii="黑体" w:hAnsi="黑体" w:eastAsia="黑体" w:cs="黑体"/>
          <w:b/>
          <w:bCs/>
          <w:spacing w:val="-3"/>
          <w:sz w:val="27"/>
          <w:szCs w:val="27"/>
        </w:rPr>
        <w:t>国内外同类武器装备的现状、发展趋势及对比分析</w:t>
      </w:r>
    </w:p>
    <w:p w14:paraId="1736ECB2">
      <w:pPr>
        <w:spacing w:before="63" w:line="282" w:lineRule="auto"/>
        <w:ind w:right="10" w:firstLine="570"/>
        <w:rPr>
          <w:rFonts w:ascii="宋体" w:hAnsi="宋体" w:eastAsia="宋体" w:cs="宋体"/>
          <w:sz w:val="27"/>
          <w:szCs w:val="27"/>
        </w:rPr>
      </w:pPr>
      <w:r>
        <w:rPr>
          <w:rFonts w:ascii="宋体" w:hAnsi="宋体" w:eastAsia="宋体" w:cs="宋体"/>
          <w:spacing w:val="-2"/>
          <w:sz w:val="27"/>
          <w:szCs w:val="27"/>
        </w:rPr>
        <w:t>分别介绍国内外同类武器装备的发展现状，</w:t>
      </w:r>
      <w:r>
        <w:rPr>
          <w:rFonts w:ascii="宋体" w:hAnsi="宋体" w:eastAsia="宋体" w:cs="宋体"/>
          <w:spacing w:val="-3"/>
          <w:sz w:val="27"/>
          <w:szCs w:val="27"/>
        </w:rPr>
        <w:t>并通过分析，阐明其发展特点和</w:t>
      </w:r>
      <w:r>
        <w:rPr>
          <w:rFonts w:ascii="宋体" w:hAnsi="宋体" w:eastAsia="宋体" w:cs="宋体"/>
          <w:sz w:val="27"/>
          <w:szCs w:val="27"/>
        </w:rPr>
        <w:t xml:space="preserve"> </w:t>
      </w:r>
      <w:r>
        <w:rPr>
          <w:rFonts w:ascii="宋体" w:hAnsi="宋体" w:eastAsia="宋体" w:cs="宋体"/>
          <w:spacing w:val="-8"/>
          <w:sz w:val="27"/>
          <w:szCs w:val="27"/>
        </w:rPr>
        <w:t>发展趋势，并进行对比分析，指出存在的差距，完成研制后达到的水</w:t>
      </w:r>
      <w:r>
        <w:rPr>
          <w:rFonts w:ascii="宋体" w:hAnsi="宋体" w:eastAsia="宋体" w:cs="宋体"/>
          <w:spacing w:val="-9"/>
          <w:sz w:val="27"/>
          <w:szCs w:val="27"/>
        </w:rPr>
        <w:t>平。</w:t>
      </w:r>
    </w:p>
    <w:p w14:paraId="30CE7F59">
      <w:pPr>
        <w:spacing w:line="221"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主要战术技术指标要求确定的原则和主要指标计算及实现的</w:t>
      </w:r>
      <w:r>
        <w:rPr>
          <w:rFonts w:ascii="黑体" w:hAnsi="黑体" w:eastAsia="黑体" w:cs="黑体"/>
          <w:b/>
          <w:bCs/>
          <w:spacing w:val="2"/>
          <w:sz w:val="27"/>
          <w:szCs w:val="27"/>
        </w:rPr>
        <w:t>可能性</w:t>
      </w:r>
    </w:p>
    <w:p w14:paraId="7D873560">
      <w:pPr>
        <w:spacing w:before="69" w:line="289" w:lineRule="auto"/>
        <w:ind w:right="23" w:firstLine="570"/>
        <w:rPr>
          <w:rFonts w:ascii="宋体" w:hAnsi="宋体" w:eastAsia="宋体" w:cs="宋体"/>
          <w:sz w:val="27"/>
          <w:szCs w:val="27"/>
        </w:rPr>
      </w:pPr>
      <w:r>
        <w:rPr>
          <w:rFonts w:ascii="宋体" w:hAnsi="宋体" w:eastAsia="宋体" w:cs="宋体"/>
          <w:spacing w:val="-3"/>
          <w:sz w:val="27"/>
          <w:szCs w:val="27"/>
        </w:rPr>
        <w:t>明确主要战术技术指标的确定原则；对主要指标进行定量分析、计算，说明</w:t>
      </w:r>
      <w:r>
        <w:rPr>
          <w:rFonts w:ascii="宋体" w:hAnsi="宋体" w:eastAsia="宋体" w:cs="宋体"/>
          <w:spacing w:val="7"/>
          <w:sz w:val="27"/>
          <w:szCs w:val="27"/>
        </w:rPr>
        <w:t xml:space="preserve"> </w:t>
      </w:r>
      <w:r>
        <w:rPr>
          <w:rFonts w:ascii="宋体" w:hAnsi="宋体" w:eastAsia="宋体" w:cs="宋体"/>
          <w:spacing w:val="-3"/>
          <w:sz w:val="27"/>
          <w:szCs w:val="27"/>
        </w:rPr>
        <w:t>指标确定的理由；并分析指标实现的可能性。</w:t>
      </w:r>
    </w:p>
    <w:p w14:paraId="0686BF48">
      <w:pPr>
        <w:spacing w:before="1" w:line="220" w:lineRule="auto"/>
        <w:rPr>
          <w:rFonts w:ascii="黑体" w:hAnsi="黑体" w:eastAsia="黑体" w:cs="黑体"/>
          <w:sz w:val="27"/>
          <w:szCs w:val="27"/>
        </w:rPr>
      </w:pPr>
      <w:r>
        <w:rPr>
          <w:rFonts w:ascii="黑体" w:hAnsi="黑体" w:eastAsia="黑体" w:cs="黑体"/>
          <w:spacing w:val="1"/>
          <w:sz w:val="27"/>
          <w:szCs w:val="27"/>
        </w:rPr>
        <w:t xml:space="preserve">4  </w:t>
      </w:r>
      <w:r>
        <w:rPr>
          <w:rFonts w:ascii="黑体" w:hAnsi="黑体" w:eastAsia="黑体" w:cs="黑体"/>
          <w:b/>
          <w:bCs/>
          <w:spacing w:val="1"/>
          <w:sz w:val="27"/>
          <w:szCs w:val="27"/>
        </w:rPr>
        <w:t>初步总体技术方案论证情况</w:t>
      </w:r>
    </w:p>
    <w:p w14:paraId="1AC93AC1">
      <w:pPr>
        <w:spacing w:before="62" w:line="278" w:lineRule="auto"/>
        <w:ind w:right="22" w:firstLine="570"/>
        <w:rPr>
          <w:rFonts w:ascii="宋体" w:hAnsi="宋体" w:eastAsia="宋体" w:cs="宋体"/>
          <w:sz w:val="27"/>
          <w:szCs w:val="27"/>
        </w:rPr>
      </w:pPr>
      <w:r>
        <w:rPr>
          <w:rFonts w:ascii="宋体" w:hAnsi="宋体" w:eastAsia="宋体" w:cs="宋体"/>
          <w:spacing w:val="-3"/>
          <w:sz w:val="27"/>
          <w:szCs w:val="27"/>
        </w:rPr>
        <w:t>说明初步总体技术方案论证原则，论证过程，可选的总体技术方案，经多方</w:t>
      </w:r>
      <w:r>
        <w:rPr>
          <w:rFonts w:ascii="宋体" w:hAnsi="宋体" w:eastAsia="宋体" w:cs="宋体"/>
          <w:spacing w:val="8"/>
          <w:sz w:val="27"/>
          <w:szCs w:val="27"/>
        </w:rPr>
        <w:t xml:space="preserve"> </w:t>
      </w:r>
      <w:r>
        <w:rPr>
          <w:rFonts w:ascii="宋体" w:hAnsi="宋体" w:eastAsia="宋体" w:cs="宋体"/>
          <w:spacing w:val="-3"/>
          <w:sz w:val="27"/>
          <w:szCs w:val="27"/>
        </w:rPr>
        <w:t>案对比分析，确定拟采用的初步总体技术方案。</w:t>
      </w:r>
    </w:p>
    <w:p w14:paraId="6F22874E">
      <w:pPr>
        <w:spacing w:before="2" w:line="212"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继承技术和新技术采用比例，关键技术的</w:t>
      </w:r>
      <w:r>
        <w:rPr>
          <w:rFonts w:ascii="黑体" w:hAnsi="黑体" w:eastAsia="黑体" w:cs="黑体"/>
          <w:b/>
          <w:bCs/>
          <w:spacing w:val="-4"/>
          <w:sz w:val="27"/>
          <w:szCs w:val="27"/>
        </w:rPr>
        <w:t>成熟程度</w:t>
      </w:r>
    </w:p>
    <w:p w14:paraId="3E18CE24">
      <w:pPr>
        <w:spacing w:before="104" w:line="281" w:lineRule="auto"/>
        <w:ind w:right="19" w:firstLine="570"/>
        <w:rPr>
          <w:rFonts w:ascii="宋体" w:hAnsi="宋体" w:eastAsia="宋体" w:cs="宋体"/>
          <w:sz w:val="27"/>
          <w:szCs w:val="27"/>
        </w:rPr>
      </w:pPr>
      <w:r>
        <w:rPr>
          <w:rFonts w:ascii="宋体" w:hAnsi="宋体" w:eastAsia="宋体" w:cs="宋体"/>
          <w:spacing w:val="6"/>
          <w:sz w:val="27"/>
          <w:szCs w:val="27"/>
        </w:rPr>
        <w:t>对产品研制可能需要采用的成熟技术和新技术进</w:t>
      </w:r>
      <w:r>
        <w:rPr>
          <w:rFonts w:ascii="宋体" w:hAnsi="宋体" w:eastAsia="宋体" w:cs="宋体"/>
          <w:spacing w:val="5"/>
          <w:sz w:val="27"/>
          <w:szCs w:val="27"/>
        </w:rPr>
        <w:t>行必要的分析，说明继承</w:t>
      </w:r>
      <w:r>
        <w:rPr>
          <w:rFonts w:ascii="宋体" w:hAnsi="宋体" w:eastAsia="宋体" w:cs="宋体"/>
          <w:sz w:val="27"/>
          <w:szCs w:val="27"/>
        </w:rPr>
        <w:t xml:space="preserve"> </w:t>
      </w:r>
      <w:r>
        <w:rPr>
          <w:rFonts w:ascii="宋体" w:hAnsi="宋体" w:eastAsia="宋体" w:cs="宋体"/>
          <w:spacing w:val="2"/>
          <w:sz w:val="27"/>
          <w:szCs w:val="27"/>
        </w:rPr>
        <w:t>技术和新技术的采用比例。</w:t>
      </w:r>
    </w:p>
    <w:p w14:paraId="704907E4">
      <w:pPr>
        <w:spacing w:before="1" w:line="280" w:lineRule="auto"/>
        <w:ind w:firstLine="570"/>
        <w:rPr>
          <w:rFonts w:ascii="宋体" w:hAnsi="宋体" w:eastAsia="宋体" w:cs="宋体"/>
          <w:sz w:val="27"/>
          <w:szCs w:val="27"/>
        </w:rPr>
      </w:pPr>
      <w:r>
        <w:rPr>
          <w:rFonts w:ascii="宋体" w:hAnsi="宋体" w:eastAsia="宋体" w:cs="宋体"/>
          <w:spacing w:val="-2"/>
          <w:sz w:val="27"/>
          <w:szCs w:val="27"/>
        </w:rPr>
        <w:t>应列出需要攻关的关键技术项目；说明在关键技术项目中，有哪些可</w:t>
      </w:r>
      <w:r>
        <w:rPr>
          <w:rFonts w:ascii="宋体" w:hAnsi="宋体" w:eastAsia="宋体" w:cs="宋体"/>
          <w:spacing w:val="-3"/>
          <w:sz w:val="27"/>
          <w:szCs w:val="27"/>
        </w:rPr>
        <w:t>以应用</w:t>
      </w:r>
      <w:r>
        <w:rPr>
          <w:rFonts w:ascii="宋体" w:hAnsi="宋体" w:eastAsia="宋体" w:cs="宋体"/>
          <w:sz w:val="27"/>
          <w:szCs w:val="27"/>
        </w:rPr>
        <w:t xml:space="preserve"> 的预研成果或部分应用成熟技术，对关键技术的技术成熟度进行评价。</w:t>
      </w:r>
    </w:p>
    <w:p w14:paraId="05516D39">
      <w:pPr>
        <w:pStyle w:val="2"/>
        <w:spacing w:before="24" w:line="222" w:lineRule="auto"/>
        <w:rPr>
          <w:rFonts w:ascii="黑体" w:hAnsi="黑体" w:eastAsia="黑体" w:cs="黑体"/>
          <w:sz w:val="24"/>
          <w:szCs w:val="24"/>
        </w:rPr>
      </w:pPr>
      <w:r>
        <w:rPr>
          <w:b/>
          <w:bCs/>
          <w:spacing w:val="26"/>
          <w:sz w:val="24"/>
          <w:szCs w:val="24"/>
        </w:rPr>
        <w:t>6</w:t>
      </w:r>
      <w:r>
        <w:rPr>
          <w:b/>
          <w:bCs/>
          <w:spacing w:val="10"/>
          <w:sz w:val="24"/>
          <w:szCs w:val="24"/>
        </w:rPr>
        <w:t xml:space="preserve">    </w:t>
      </w:r>
      <w:r>
        <w:rPr>
          <w:rFonts w:ascii="黑体" w:hAnsi="黑体" w:eastAsia="黑体" w:cs="黑体"/>
          <w:b/>
          <w:bCs/>
          <w:spacing w:val="26"/>
          <w:sz w:val="24"/>
          <w:szCs w:val="24"/>
        </w:rPr>
        <w:t>研制周期及经费分析</w:t>
      </w:r>
    </w:p>
    <w:p w14:paraId="055DC7DA">
      <w:pPr>
        <w:spacing w:before="116" w:line="278" w:lineRule="auto"/>
        <w:ind w:right="19" w:firstLine="570"/>
        <w:jc w:val="both"/>
        <w:rPr>
          <w:rFonts w:ascii="宋体" w:hAnsi="宋体" w:eastAsia="宋体" w:cs="宋体"/>
          <w:sz w:val="27"/>
          <w:szCs w:val="27"/>
        </w:rPr>
      </w:pPr>
      <w:r>
        <w:rPr>
          <w:rFonts w:ascii="宋体" w:hAnsi="宋体" w:eastAsia="宋体" w:cs="宋体"/>
          <w:spacing w:val="-3"/>
          <w:sz w:val="27"/>
          <w:szCs w:val="27"/>
        </w:rPr>
        <w:t>依据拟采用的成熟技术、拟采用的新技术基础、关键技术项目的数量和技术</w:t>
      </w:r>
      <w:r>
        <w:rPr>
          <w:rFonts w:ascii="宋体" w:hAnsi="宋体" w:eastAsia="宋体" w:cs="宋体"/>
          <w:spacing w:val="10"/>
          <w:sz w:val="27"/>
          <w:szCs w:val="27"/>
        </w:rPr>
        <w:t xml:space="preserve"> </w:t>
      </w:r>
      <w:r>
        <w:rPr>
          <w:rFonts w:ascii="宋体" w:hAnsi="宋体" w:eastAsia="宋体" w:cs="宋体"/>
          <w:spacing w:val="-3"/>
          <w:sz w:val="27"/>
          <w:szCs w:val="27"/>
        </w:rPr>
        <w:t>成熟度等对产品研制周期进行分析预计，提出产品研制计划流程图，列出主要时</w:t>
      </w:r>
      <w:r>
        <w:rPr>
          <w:rFonts w:ascii="宋体" w:hAnsi="宋体" w:eastAsia="宋体" w:cs="宋体"/>
          <w:spacing w:val="9"/>
          <w:sz w:val="27"/>
          <w:szCs w:val="27"/>
        </w:rPr>
        <w:t xml:space="preserve"> </w:t>
      </w:r>
      <w:r>
        <w:rPr>
          <w:rFonts w:ascii="宋体" w:hAnsi="宋体" w:eastAsia="宋体" w:cs="宋体"/>
          <w:spacing w:val="2"/>
          <w:sz w:val="27"/>
          <w:szCs w:val="27"/>
        </w:rPr>
        <w:t>间节点及完成工作内容。</w:t>
      </w:r>
    </w:p>
    <w:p w14:paraId="1DFD5C66">
      <w:pPr>
        <w:spacing w:before="3" w:line="297" w:lineRule="auto"/>
        <w:ind w:right="10" w:firstLine="570"/>
        <w:rPr>
          <w:rFonts w:ascii="宋体" w:hAnsi="宋体" w:eastAsia="宋体" w:cs="宋体"/>
          <w:sz w:val="25"/>
          <w:szCs w:val="25"/>
        </w:rPr>
      </w:pPr>
      <w:r>
        <w:rPr>
          <w:rFonts w:ascii="宋体" w:hAnsi="宋体" w:eastAsia="宋体" w:cs="宋体"/>
          <w:spacing w:val="21"/>
          <w:sz w:val="25"/>
          <w:szCs w:val="25"/>
        </w:rPr>
        <w:t>对方案论证、工程研制(初样研制和正样研制)的经费需</w:t>
      </w:r>
      <w:r>
        <w:rPr>
          <w:rFonts w:ascii="宋体" w:hAnsi="宋体" w:eastAsia="宋体" w:cs="宋体"/>
          <w:spacing w:val="20"/>
          <w:sz w:val="25"/>
          <w:szCs w:val="25"/>
        </w:rPr>
        <w:t>求(含保障设备研制</w:t>
      </w:r>
      <w:r>
        <w:rPr>
          <w:rFonts w:ascii="宋体" w:hAnsi="宋体" w:eastAsia="宋体" w:cs="宋体"/>
          <w:sz w:val="25"/>
          <w:szCs w:val="25"/>
        </w:rPr>
        <w:t xml:space="preserve"> </w:t>
      </w:r>
      <w:r>
        <w:rPr>
          <w:rFonts w:ascii="宋体" w:hAnsi="宋体" w:eastAsia="宋体" w:cs="宋体"/>
          <w:spacing w:val="11"/>
          <w:sz w:val="25"/>
          <w:szCs w:val="25"/>
        </w:rPr>
        <w:t>等)进行分析，提出初步的研制经费需求，列出明细。</w:t>
      </w:r>
    </w:p>
    <w:p w14:paraId="3E61493E">
      <w:pPr>
        <w:spacing w:line="222"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9"/>
          <w:sz w:val="27"/>
          <w:szCs w:val="27"/>
        </w:rPr>
        <w:t xml:space="preserve">  </w:t>
      </w:r>
      <w:r>
        <w:rPr>
          <w:rFonts w:ascii="黑体" w:hAnsi="黑体" w:eastAsia="黑体" w:cs="黑体"/>
          <w:b/>
          <w:bCs/>
          <w:spacing w:val="-1"/>
          <w:sz w:val="27"/>
          <w:szCs w:val="27"/>
        </w:rPr>
        <w:t>初步的保障条件要求</w:t>
      </w:r>
    </w:p>
    <w:p w14:paraId="4361931F">
      <w:pPr>
        <w:spacing w:before="88" w:line="276" w:lineRule="auto"/>
        <w:ind w:right="21" w:firstLine="570"/>
        <w:rPr>
          <w:rFonts w:ascii="宋体" w:hAnsi="宋体" w:eastAsia="宋体" w:cs="宋体"/>
          <w:sz w:val="27"/>
          <w:szCs w:val="27"/>
        </w:rPr>
      </w:pPr>
      <w:r>
        <w:rPr>
          <w:rFonts w:ascii="宋体" w:hAnsi="宋体" w:eastAsia="宋体" w:cs="宋体"/>
          <w:spacing w:val="-3"/>
          <w:sz w:val="27"/>
          <w:szCs w:val="27"/>
        </w:rPr>
        <w:t>对产品研制所需的初步保障条件，包括基础设施改造条件、需要引进的项目</w:t>
      </w:r>
      <w:r>
        <w:rPr>
          <w:rFonts w:ascii="宋体" w:hAnsi="宋体" w:eastAsia="宋体" w:cs="宋体"/>
          <w:spacing w:val="9"/>
          <w:sz w:val="27"/>
          <w:szCs w:val="27"/>
        </w:rPr>
        <w:t xml:space="preserve"> </w:t>
      </w:r>
      <w:r>
        <w:rPr>
          <w:rFonts w:ascii="宋体" w:hAnsi="宋体" w:eastAsia="宋体" w:cs="宋体"/>
          <w:spacing w:val="4"/>
          <w:sz w:val="27"/>
          <w:szCs w:val="27"/>
        </w:rPr>
        <w:t>和对其他相关系统的保障条件等要求进行分析预计。</w:t>
      </w:r>
    </w:p>
    <w:p w14:paraId="7B1566B7">
      <w:pPr>
        <w:pStyle w:val="2"/>
        <w:spacing w:before="27" w:line="221" w:lineRule="auto"/>
        <w:rPr>
          <w:rFonts w:ascii="黑体" w:hAnsi="黑体" w:eastAsia="黑体" w:cs="黑体"/>
          <w:sz w:val="24"/>
          <w:szCs w:val="24"/>
        </w:rPr>
      </w:pPr>
      <w:r>
        <w:rPr>
          <w:b/>
          <w:bCs/>
          <w:spacing w:val="29"/>
          <w:sz w:val="24"/>
          <w:szCs w:val="24"/>
        </w:rPr>
        <w:t>8</w:t>
      </w:r>
      <w:r>
        <w:rPr>
          <w:b/>
          <w:bCs/>
          <w:spacing w:val="10"/>
          <w:sz w:val="24"/>
          <w:szCs w:val="24"/>
        </w:rPr>
        <w:t xml:space="preserve">    </w:t>
      </w:r>
      <w:r>
        <w:rPr>
          <w:rFonts w:ascii="黑体" w:hAnsi="黑体" w:eastAsia="黑体" w:cs="黑体"/>
          <w:b/>
          <w:bCs/>
          <w:spacing w:val="29"/>
          <w:sz w:val="24"/>
          <w:szCs w:val="24"/>
        </w:rPr>
        <w:t>装备编配设想及目标成本</w:t>
      </w:r>
    </w:p>
    <w:p w14:paraId="05EEBC50">
      <w:pPr>
        <w:spacing w:before="108" w:line="219" w:lineRule="auto"/>
        <w:ind w:left="570"/>
        <w:rPr>
          <w:rFonts w:ascii="宋体" w:hAnsi="宋体" w:eastAsia="宋体" w:cs="宋体"/>
          <w:sz w:val="27"/>
          <w:szCs w:val="27"/>
        </w:rPr>
      </w:pPr>
      <w:r>
        <w:rPr>
          <w:rFonts w:ascii="宋体" w:hAnsi="宋体" w:eastAsia="宋体" w:cs="宋体"/>
          <w:spacing w:val="-1"/>
          <w:sz w:val="27"/>
          <w:szCs w:val="27"/>
        </w:rPr>
        <w:t>对可能的装备编配方案提出初步设想，并提出产品的目标成本。</w:t>
      </w:r>
    </w:p>
    <w:p w14:paraId="6C5110BF">
      <w:pPr>
        <w:spacing w:before="95" w:line="221" w:lineRule="auto"/>
        <w:rPr>
          <w:rFonts w:ascii="黑体" w:hAnsi="黑体" w:eastAsia="黑体" w:cs="黑体"/>
          <w:sz w:val="24"/>
          <w:szCs w:val="24"/>
        </w:rPr>
      </w:pPr>
      <w:r>
        <w:rPr>
          <w:rFonts w:ascii="黑体" w:hAnsi="黑体" w:eastAsia="黑体" w:cs="黑体"/>
          <w:spacing w:val="28"/>
          <w:sz w:val="24"/>
          <w:szCs w:val="24"/>
        </w:rPr>
        <w:t>9</w:t>
      </w:r>
      <w:r>
        <w:rPr>
          <w:rFonts w:ascii="黑体" w:hAnsi="黑体" w:eastAsia="黑体" w:cs="黑体"/>
          <w:spacing w:val="35"/>
          <w:sz w:val="24"/>
          <w:szCs w:val="24"/>
        </w:rPr>
        <w:t xml:space="preserve">  </w:t>
      </w:r>
      <w:r>
        <w:rPr>
          <w:rFonts w:ascii="黑体" w:hAnsi="黑体" w:eastAsia="黑体" w:cs="黑体"/>
          <w:b/>
          <w:bCs/>
          <w:spacing w:val="28"/>
          <w:sz w:val="24"/>
          <w:szCs w:val="24"/>
        </w:rPr>
        <w:t>任务组织实施的措施和建议</w:t>
      </w:r>
    </w:p>
    <w:p w14:paraId="0B5450CB">
      <w:pPr>
        <w:spacing w:before="99" w:line="219" w:lineRule="auto"/>
        <w:ind w:left="570"/>
        <w:rPr>
          <w:rFonts w:ascii="宋体" w:hAnsi="宋体" w:eastAsia="宋体" w:cs="宋体"/>
          <w:sz w:val="27"/>
          <w:szCs w:val="27"/>
        </w:rPr>
      </w:pPr>
      <w:r>
        <w:rPr>
          <w:rFonts w:ascii="宋体" w:hAnsi="宋体" w:eastAsia="宋体" w:cs="宋体"/>
          <w:spacing w:val="-4"/>
          <w:sz w:val="27"/>
          <w:szCs w:val="27"/>
        </w:rPr>
        <w:t>对工程管理、研制工作提出具体的措施和建议。</w:t>
      </w:r>
    </w:p>
    <w:p w14:paraId="42B9CFCF">
      <w:pPr>
        <w:pStyle w:val="2"/>
        <w:spacing w:line="340" w:lineRule="auto"/>
      </w:pPr>
    </w:p>
    <w:p w14:paraId="0A443BB4">
      <w:pPr>
        <w:spacing w:before="118" w:line="220" w:lineRule="auto"/>
        <w:ind w:left="3179"/>
        <w:outlineLvl w:val="1"/>
        <w:rPr>
          <w:rFonts w:ascii="宋体" w:hAnsi="宋体" w:eastAsia="宋体" w:cs="宋体"/>
          <w:sz w:val="36"/>
          <w:szCs w:val="36"/>
        </w:rPr>
      </w:pPr>
      <w:bookmarkStart w:id="15" w:name="bookmark10"/>
      <w:bookmarkEnd w:id="15"/>
      <w:r>
        <w:rPr>
          <w:rFonts w:ascii="宋体" w:hAnsi="宋体" w:eastAsia="宋体" w:cs="宋体"/>
          <w:spacing w:val="-5"/>
          <w:sz w:val="36"/>
          <w:szCs w:val="36"/>
        </w:rPr>
        <w:t>1.</w:t>
      </w:r>
      <w:r>
        <w:rPr>
          <w:rFonts w:ascii="宋体" w:hAnsi="宋体" w:eastAsia="宋体" w:cs="宋体"/>
          <w:b/>
          <w:bCs/>
          <w:spacing w:val="-5"/>
          <w:sz w:val="36"/>
          <w:szCs w:val="36"/>
        </w:rPr>
        <w:t>8</w:t>
      </w:r>
      <w:r>
        <w:rPr>
          <w:rFonts w:ascii="宋体" w:hAnsi="宋体" w:eastAsia="宋体" w:cs="宋体"/>
          <w:spacing w:val="28"/>
          <w:sz w:val="36"/>
          <w:szCs w:val="36"/>
        </w:rPr>
        <w:t xml:space="preserve">  </w:t>
      </w:r>
      <w:r>
        <w:rPr>
          <w:rFonts w:ascii="宋体" w:hAnsi="宋体" w:eastAsia="宋体" w:cs="宋体"/>
          <w:b/>
          <w:bCs/>
          <w:spacing w:val="-5"/>
          <w:sz w:val="36"/>
          <w:szCs w:val="36"/>
        </w:rPr>
        <w:t>工作分解结构</w:t>
      </w:r>
    </w:p>
    <w:p w14:paraId="557F94AA">
      <w:pPr>
        <w:pStyle w:val="2"/>
        <w:spacing w:line="331" w:lineRule="auto"/>
      </w:pPr>
    </w:p>
    <w:p w14:paraId="581AE403">
      <w:pPr>
        <w:spacing w:before="91" w:line="256" w:lineRule="auto"/>
        <w:ind w:right="7" w:firstLine="570"/>
        <w:jc w:val="both"/>
        <w:rPr>
          <w:rFonts w:ascii="楷体" w:hAnsi="楷体" w:eastAsia="楷体" w:cs="楷体"/>
          <w:sz w:val="28"/>
          <w:szCs w:val="28"/>
        </w:rPr>
      </w:pPr>
      <w:r>
        <w:rPr>
          <w:rFonts w:ascii="Times New Roman" w:hAnsi="Times New Roman" w:eastAsia="Times New Roman" w:cs="Times New Roman"/>
          <w:spacing w:val="-4"/>
          <w:sz w:val="28"/>
          <w:szCs w:val="28"/>
        </w:rPr>
        <w:t>GJB 2116—1994</w:t>
      </w:r>
      <w:r>
        <w:rPr>
          <w:rFonts w:ascii="宋体" w:hAnsi="宋体" w:eastAsia="宋体" w:cs="宋体"/>
          <w:spacing w:val="-4"/>
          <w:sz w:val="28"/>
          <w:szCs w:val="28"/>
        </w:rPr>
        <w:t>《</w:t>
      </w:r>
      <w:r>
        <w:rPr>
          <w:rFonts w:ascii="楷体" w:hAnsi="楷体" w:eastAsia="楷体" w:cs="楷体"/>
          <w:spacing w:val="-4"/>
          <w:sz w:val="28"/>
          <w:szCs w:val="28"/>
        </w:rPr>
        <w:t>武器装备研制项目工作分解结构》将武器装备研制项目</w:t>
      </w:r>
      <w:r>
        <w:rPr>
          <w:rFonts w:ascii="楷体" w:hAnsi="楷体" w:eastAsia="楷体" w:cs="楷体"/>
          <w:spacing w:val="18"/>
          <w:sz w:val="28"/>
          <w:szCs w:val="28"/>
        </w:rPr>
        <w:t xml:space="preserve"> </w:t>
      </w:r>
      <w:r>
        <w:rPr>
          <w:rFonts w:ascii="楷体" w:hAnsi="楷体" w:eastAsia="楷体" w:cs="楷体"/>
          <w:spacing w:val="-21"/>
          <w:sz w:val="28"/>
          <w:szCs w:val="28"/>
        </w:rPr>
        <w:t>分为7类(飞机系统、电子系统、</w:t>
      </w:r>
      <w:r>
        <w:rPr>
          <w:rFonts w:ascii="华文行楷" w:hAnsi="华文行楷" w:eastAsia="华文行楷" w:cs="华文行楷"/>
          <w:spacing w:val="-21"/>
          <w:sz w:val="28"/>
          <w:szCs w:val="28"/>
        </w:rPr>
        <w:t>导弹系统、武器系统、</w:t>
      </w:r>
      <w:r>
        <w:rPr>
          <w:rFonts w:ascii="楷体" w:hAnsi="楷体" w:eastAsia="楷体" w:cs="楷体"/>
          <w:b/>
          <w:bCs/>
          <w:spacing w:val="-21"/>
          <w:sz w:val="28"/>
          <w:szCs w:val="28"/>
        </w:rPr>
        <w:t>舰船系统、航天系统</w:t>
      </w:r>
      <w:r>
        <w:rPr>
          <w:rFonts w:ascii="楷体" w:hAnsi="楷体" w:eastAsia="楷体" w:cs="楷体"/>
          <w:spacing w:val="-21"/>
          <w:sz w:val="28"/>
          <w:szCs w:val="28"/>
        </w:rPr>
        <w:t>、车辆</w:t>
      </w:r>
      <w:r>
        <w:rPr>
          <w:rFonts w:ascii="楷体" w:hAnsi="楷体" w:eastAsia="楷体" w:cs="楷体"/>
          <w:spacing w:val="9"/>
          <w:sz w:val="28"/>
          <w:szCs w:val="28"/>
        </w:rPr>
        <w:t xml:space="preserve"> </w:t>
      </w:r>
      <w:r>
        <w:rPr>
          <w:rFonts w:ascii="楷体" w:hAnsi="楷体" w:eastAsia="楷体" w:cs="楷体"/>
          <w:spacing w:val="2"/>
          <w:sz w:val="28"/>
          <w:szCs w:val="28"/>
        </w:rPr>
        <w:t>系统),并提供了7类武器系统的纲要工作分解结构(</w:t>
      </w:r>
      <w:r>
        <w:rPr>
          <w:rFonts w:ascii="楷体" w:hAnsi="楷体" w:eastAsia="楷体" w:cs="楷体"/>
          <w:spacing w:val="-45"/>
          <w:sz w:val="28"/>
          <w:szCs w:val="28"/>
        </w:rPr>
        <w:t xml:space="preserve"> </w:t>
      </w:r>
      <w:r>
        <w:rPr>
          <w:rFonts w:ascii="Times New Roman" w:hAnsi="Times New Roman" w:eastAsia="Times New Roman" w:cs="Times New Roman"/>
          <w:sz w:val="28"/>
          <w:szCs w:val="28"/>
        </w:rPr>
        <w:t>WBS</w:t>
      </w:r>
      <w:r>
        <w:rPr>
          <w:rFonts w:ascii="Times New Roman" w:hAnsi="Times New Roman" w:eastAsia="Times New Roman" w:cs="Times New Roman"/>
          <w:spacing w:val="2"/>
          <w:sz w:val="28"/>
          <w:szCs w:val="28"/>
        </w:rPr>
        <w:t>)</w:t>
      </w:r>
      <w:r>
        <w:rPr>
          <w:rFonts w:ascii="Times New Roman" w:hAnsi="Times New Roman" w:eastAsia="Times New Roman" w:cs="Times New Roman"/>
          <w:spacing w:val="-32"/>
          <w:sz w:val="28"/>
          <w:szCs w:val="28"/>
        </w:rPr>
        <w:t xml:space="preserve"> </w:t>
      </w:r>
      <w:r>
        <w:rPr>
          <w:rFonts w:ascii="宋体" w:hAnsi="宋体" w:eastAsia="宋体" w:cs="宋体"/>
          <w:spacing w:val="2"/>
          <w:sz w:val="28"/>
          <w:szCs w:val="28"/>
        </w:rPr>
        <w:t>。</w:t>
      </w:r>
      <w:r>
        <w:rPr>
          <w:rFonts w:ascii="楷体" w:hAnsi="楷体" w:eastAsia="楷体" w:cs="楷体"/>
          <w:b/>
          <w:bCs/>
          <w:spacing w:val="2"/>
          <w:sz w:val="28"/>
          <w:szCs w:val="28"/>
        </w:rPr>
        <w:t>下面以飞机系统</w:t>
      </w:r>
      <w:r>
        <w:rPr>
          <w:rFonts w:ascii="楷体" w:hAnsi="楷体" w:eastAsia="楷体" w:cs="楷体"/>
          <w:sz w:val="28"/>
          <w:szCs w:val="28"/>
        </w:rPr>
        <w:t xml:space="preserve"> </w:t>
      </w:r>
      <w:r>
        <w:rPr>
          <w:rFonts w:ascii="楷体" w:hAnsi="楷体" w:eastAsia="楷体" w:cs="楷体"/>
          <w:spacing w:val="-10"/>
          <w:sz w:val="28"/>
          <w:szCs w:val="28"/>
        </w:rPr>
        <w:t>为例，说明工程项目纲要</w:t>
      </w:r>
      <w:r>
        <w:rPr>
          <w:rFonts w:ascii="楷体" w:hAnsi="楷体" w:eastAsia="楷体" w:cs="楷体"/>
          <w:spacing w:val="-78"/>
          <w:sz w:val="28"/>
          <w:szCs w:val="28"/>
        </w:rPr>
        <w:t xml:space="preserve"> </w:t>
      </w:r>
      <w:r>
        <w:rPr>
          <w:rFonts w:ascii="Times New Roman" w:hAnsi="Times New Roman" w:eastAsia="Times New Roman" w:cs="Times New Roman"/>
          <w:spacing w:val="-10"/>
          <w:sz w:val="28"/>
          <w:szCs w:val="28"/>
        </w:rPr>
        <w:t>WBS</w:t>
      </w:r>
      <w:r>
        <w:rPr>
          <w:rFonts w:ascii="Times New Roman" w:hAnsi="Times New Roman" w:eastAsia="Times New Roman" w:cs="Times New Roman"/>
          <w:spacing w:val="-22"/>
          <w:sz w:val="28"/>
          <w:szCs w:val="28"/>
        </w:rPr>
        <w:t xml:space="preserve"> </w:t>
      </w:r>
      <w:r>
        <w:rPr>
          <w:rFonts w:ascii="楷体" w:hAnsi="楷体" w:eastAsia="楷体" w:cs="楷体"/>
          <w:spacing w:val="-10"/>
          <w:sz w:val="28"/>
          <w:szCs w:val="28"/>
        </w:rPr>
        <w:t>及其单元说明的编写方法。</w:t>
      </w:r>
    </w:p>
    <w:p w14:paraId="4167892D">
      <w:pPr>
        <w:spacing w:line="256" w:lineRule="auto"/>
        <w:rPr>
          <w:rFonts w:ascii="楷体" w:hAnsi="楷体" w:eastAsia="楷体" w:cs="楷体"/>
          <w:sz w:val="28"/>
          <w:szCs w:val="28"/>
        </w:rPr>
        <w:sectPr>
          <w:footerReference r:id="rId36" w:type="default"/>
          <w:pgSz w:w="11910" w:h="17130"/>
          <w:pgMar w:top="400" w:right="1337" w:bottom="1667" w:left="1160" w:header="0" w:footer="1450" w:gutter="0"/>
          <w:cols w:space="720" w:num="1"/>
        </w:sectPr>
      </w:pPr>
    </w:p>
    <w:p w14:paraId="66BACB79">
      <w:pPr>
        <w:pStyle w:val="2"/>
        <w:spacing w:line="252" w:lineRule="auto"/>
      </w:pPr>
    </w:p>
    <w:p w14:paraId="211368A0">
      <w:pPr>
        <w:pStyle w:val="2"/>
        <w:spacing w:line="252" w:lineRule="auto"/>
      </w:pPr>
    </w:p>
    <w:p w14:paraId="22862311">
      <w:pPr>
        <w:pStyle w:val="2"/>
        <w:spacing w:line="253" w:lineRule="auto"/>
      </w:pPr>
    </w:p>
    <w:p w14:paraId="18C25C42">
      <w:pPr>
        <w:pStyle w:val="2"/>
        <w:spacing w:line="253" w:lineRule="auto"/>
      </w:pPr>
    </w:p>
    <w:p w14:paraId="3520B17E">
      <w:pPr>
        <w:spacing w:before="78" w:line="221" w:lineRule="auto"/>
        <w:rPr>
          <w:rFonts w:ascii="黑体" w:hAnsi="黑体" w:eastAsia="黑体" w:cs="黑体"/>
          <w:sz w:val="24"/>
          <w:szCs w:val="24"/>
        </w:rPr>
      </w:pPr>
      <w:r>
        <w:rPr>
          <w:rFonts w:ascii="黑体" w:hAnsi="黑体" w:eastAsia="黑体" w:cs="黑体"/>
          <w:spacing w:val="28"/>
          <w:sz w:val="24"/>
          <w:szCs w:val="24"/>
        </w:rPr>
        <w:t>1</w:t>
      </w:r>
      <w:r>
        <w:rPr>
          <w:rFonts w:ascii="黑体" w:hAnsi="黑体" w:eastAsia="黑体" w:cs="黑体"/>
          <w:spacing w:val="37"/>
          <w:sz w:val="24"/>
          <w:szCs w:val="24"/>
        </w:rPr>
        <w:t xml:space="preserve">  </w:t>
      </w:r>
      <w:r>
        <w:rPr>
          <w:rFonts w:ascii="黑体" w:hAnsi="黑体" w:eastAsia="黑体" w:cs="黑体"/>
          <w:b/>
          <w:bCs/>
          <w:spacing w:val="28"/>
          <w:sz w:val="24"/>
          <w:szCs w:val="24"/>
        </w:rPr>
        <w:t>飞机系统纲要工作分解结构</w:t>
      </w:r>
    </w:p>
    <w:p w14:paraId="64EB01C9">
      <w:pPr>
        <w:spacing w:before="107" w:line="219" w:lineRule="auto"/>
        <w:ind w:left="580"/>
        <w:rPr>
          <w:rFonts w:ascii="宋体" w:hAnsi="宋体" w:eastAsia="宋体" w:cs="宋体"/>
          <w:sz w:val="27"/>
          <w:szCs w:val="27"/>
        </w:rPr>
      </w:pPr>
      <w:r>
        <w:rPr>
          <w:rFonts w:ascii="宋体" w:hAnsi="宋体" w:eastAsia="宋体" w:cs="宋体"/>
          <w:spacing w:val="8"/>
          <w:sz w:val="27"/>
          <w:szCs w:val="27"/>
        </w:rPr>
        <w:t>飞机系统纲要工作分解结构见表1.1。</w:t>
      </w:r>
    </w:p>
    <w:p w14:paraId="520455B7">
      <w:pPr>
        <w:spacing w:before="86" w:line="220" w:lineRule="auto"/>
        <w:ind w:left="2540"/>
        <w:rPr>
          <w:rFonts w:ascii="仿宋" w:hAnsi="仿宋" w:eastAsia="仿宋" w:cs="仿宋"/>
          <w:sz w:val="27"/>
          <w:szCs w:val="27"/>
        </w:rPr>
      </w:pPr>
      <w:r>
        <w:rPr>
          <w:rFonts w:ascii="仿宋" w:hAnsi="仿宋" w:eastAsia="仿宋" w:cs="仿宋"/>
          <w:spacing w:val="5"/>
          <w:sz w:val="27"/>
          <w:szCs w:val="27"/>
        </w:rPr>
        <w:t>表1.</w:t>
      </w:r>
      <w:r>
        <w:rPr>
          <w:rFonts w:ascii="仿宋" w:hAnsi="仿宋" w:eastAsia="仿宋" w:cs="仿宋"/>
          <w:spacing w:val="-64"/>
          <w:sz w:val="27"/>
          <w:szCs w:val="27"/>
        </w:rPr>
        <w:t xml:space="preserve"> </w:t>
      </w:r>
      <w:r>
        <w:rPr>
          <w:rFonts w:ascii="仿宋" w:hAnsi="仿宋" w:eastAsia="仿宋" w:cs="仿宋"/>
          <w:spacing w:val="5"/>
          <w:sz w:val="27"/>
          <w:szCs w:val="27"/>
        </w:rPr>
        <w:t>1</w:t>
      </w:r>
      <w:r>
        <w:rPr>
          <w:rFonts w:ascii="仿宋" w:hAnsi="仿宋" w:eastAsia="仿宋" w:cs="仿宋"/>
          <w:spacing w:val="127"/>
          <w:sz w:val="27"/>
          <w:szCs w:val="27"/>
        </w:rPr>
        <w:t xml:space="preserve"> </w:t>
      </w:r>
      <w:r>
        <w:rPr>
          <w:rFonts w:ascii="仿宋" w:hAnsi="仿宋" w:eastAsia="仿宋" w:cs="仿宋"/>
          <w:spacing w:val="5"/>
          <w:sz w:val="27"/>
          <w:szCs w:val="27"/>
        </w:rPr>
        <w:t>飞机系统纲要工作分解结构</w:t>
      </w:r>
    </w:p>
    <w:p w14:paraId="175E2BC0">
      <w:pPr>
        <w:spacing w:line="77" w:lineRule="exact"/>
      </w:pPr>
    </w:p>
    <w:tbl>
      <w:tblPr>
        <w:tblStyle w:val="5"/>
        <w:tblW w:w="935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22"/>
        <w:gridCol w:w="2926"/>
        <w:gridCol w:w="3511"/>
      </w:tblGrid>
      <w:tr w14:paraId="5D35B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2922" w:type="dxa"/>
            <w:vAlign w:val="top"/>
          </w:tcPr>
          <w:p w14:paraId="7781B0C5">
            <w:pPr>
              <w:spacing w:before="105" w:line="221" w:lineRule="auto"/>
              <w:ind w:left="124"/>
              <w:rPr>
                <w:rFonts w:ascii="宋体" w:hAnsi="宋体" w:eastAsia="宋体" w:cs="宋体"/>
                <w:sz w:val="20"/>
                <w:szCs w:val="20"/>
              </w:rPr>
            </w:pPr>
            <w:r>
              <w:rPr>
                <w:rFonts w:ascii="宋体" w:hAnsi="宋体" w:eastAsia="宋体" w:cs="宋体"/>
                <w:spacing w:val="6"/>
                <w:sz w:val="20"/>
                <w:szCs w:val="20"/>
              </w:rPr>
              <w:t>1级</w:t>
            </w:r>
          </w:p>
        </w:tc>
        <w:tc>
          <w:tcPr>
            <w:tcW w:w="2926" w:type="dxa"/>
            <w:vAlign w:val="top"/>
          </w:tcPr>
          <w:p w14:paraId="71E458AE">
            <w:pPr>
              <w:spacing w:before="105" w:line="221" w:lineRule="auto"/>
              <w:ind w:left="142"/>
              <w:rPr>
                <w:rFonts w:ascii="宋体" w:hAnsi="宋体" w:eastAsia="宋体" w:cs="宋体"/>
                <w:sz w:val="20"/>
                <w:szCs w:val="20"/>
              </w:rPr>
            </w:pPr>
            <w:r>
              <w:rPr>
                <w:rFonts w:ascii="宋体" w:hAnsi="宋体" w:eastAsia="宋体" w:cs="宋体"/>
                <w:spacing w:val="6"/>
                <w:sz w:val="20"/>
                <w:szCs w:val="20"/>
              </w:rPr>
              <w:t>2级</w:t>
            </w:r>
          </w:p>
        </w:tc>
        <w:tc>
          <w:tcPr>
            <w:tcW w:w="3511" w:type="dxa"/>
            <w:vAlign w:val="top"/>
          </w:tcPr>
          <w:p w14:paraId="4A2705DC">
            <w:pPr>
              <w:spacing w:before="105" w:line="221" w:lineRule="auto"/>
              <w:ind w:left="117"/>
              <w:rPr>
                <w:rFonts w:ascii="宋体" w:hAnsi="宋体" w:eastAsia="宋体" w:cs="宋体"/>
                <w:sz w:val="20"/>
                <w:szCs w:val="20"/>
              </w:rPr>
            </w:pPr>
            <w:r>
              <w:rPr>
                <w:rFonts w:ascii="宋体" w:hAnsi="宋体" w:eastAsia="宋体" w:cs="宋体"/>
                <w:spacing w:val="6"/>
                <w:sz w:val="20"/>
                <w:szCs w:val="20"/>
              </w:rPr>
              <w:t>3级</w:t>
            </w:r>
          </w:p>
        </w:tc>
      </w:tr>
      <w:tr w14:paraId="479C4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922" w:type="dxa"/>
            <w:vAlign w:val="top"/>
          </w:tcPr>
          <w:p w14:paraId="68DAEC7B">
            <w:pPr>
              <w:spacing w:before="98" w:line="219" w:lineRule="auto"/>
              <w:ind w:left="124"/>
              <w:rPr>
                <w:rFonts w:ascii="宋体" w:hAnsi="宋体" w:eastAsia="宋体" w:cs="宋体"/>
                <w:sz w:val="20"/>
                <w:szCs w:val="20"/>
              </w:rPr>
            </w:pPr>
            <w:r>
              <w:rPr>
                <w:rFonts w:ascii="宋体" w:hAnsi="宋体" w:eastAsia="宋体" w:cs="宋体"/>
                <w:spacing w:val="2"/>
                <w:sz w:val="20"/>
                <w:szCs w:val="20"/>
              </w:rPr>
              <w:t>飞机系统</w:t>
            </w:r>
          </w:p>
        </w:tc>
        <w:tc>
          <w:tcPr>
            <w:tcW w:w="2926" w:type="dxa"/>
            <w:vAlign w:val="top"/>
          </w:tcPr>
          <w:p w14:paraId="7F655CED">
            <w:pPr>
              <w:rPr>
                <w:rFonts w:ascii="Arial"/>
                <w:sz w:val="21"/>
              </w:rPr>
            </w:pPr>
          </w:p>
        </w:tc>
        <w:tc>
          <w:tcPr>
            <w:tcW w:w="3511" w:type="dxa"/>
            <w:vAlign w:val="top"/>
          </w:tcPr>
          <w:p w14:paraId="07642B93">
            <w:pPr>
              <w:rPr>
                <w:rFonts w:ascii="Arial"/>
                <w:sz w:val="21"/>
              </w:rPr>
            </w:pPr>
          </w:p>
        </w:tc>
      </w:tr>
      <w:tr w14:paraId="1A793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922" w:type="dxa"/>
            <w:vAlign w:val="top"/>
          </w:tcPr>
          <w:p w14:paraId="4C6BC803">
            <w:pPr>
              <w:rPr>
                <w:rFonts w:ascii="Arial"/>
                <w:sz w:val="21"/>
              </w:rPr>
            </w:pPr>
          </w:p>
        </w:tc>
        <w:tc>
          <w:tcPr>
            <w:tcW w:w="2926" w:type="dxa"/>
            <w:vAlign w:val="top"/>
          </w:tcPr>
          <w:p w14:paraId="1A3C6BF6">
            <w:pPr>
              <w:spacing w:before="97" w:line="219" w:lineRule="auto"/>
              <w:ind w:left="142"/>
              <w:rPr>
                <w:rFonts w:ascii="宋体" w:hAnsi="宋体" w:eastAsia="宋体" w:cs="宋体"/>
                <w:sz w:val="20"/>
                <w:szCs w:val="20"/>
              </w:rPr>
            </w:pPr>
            <w:r>
              <w:rPr>
                <w:rFonts w:ascii="宋体" w:hAnsi="宋体" w:eastAsia="宋体" w:cs="宋体"/>
                <w:spacing w:val="3"/>
                <w:sz w:val="20"/>
                <w:szCs w:val="20"/>
              </w:rPr>
              <w:t>飞机</w:t>
            </w:r>
          </w:p>
        </w:tc>
        <w:tc>
          <w:tcPr>
            <w:tcW w:w="3511" w:type="dxa"/>
            <w:vAlign w:val="top"/>
          </w:tcPr>
          <w:p w14:paraId="0FCDFD14">
            <w:pPr>
              <w:rPr>
                <w:rFonts w:ascii="Arial"/>
                <w:sz w:val="21"/>
              </w:rPr>
            </w:pPr>
          </w:p>
        </w:tc>
      </w:tr>
      <w:tr w14:paraId="3991A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6" w:hRule="atLeast"/>
        </w:trPr>
        <w:tc>
          <w:tcPr>
            <w:tcW w:w="2922" w:type="dxa"/>
            <w:vAlign w:val="top"/>
          </w:tcPr>
          <w:p w14:paraId="149B325C">
            <w:pPr>
              <w:rPr>
                <w:rFonts w:ascii="Arial"/>
                <w:sz w:val="21"/>
              </w:rPr>
            </w:pPr>
          </w:p>
        </w:tc>
        <w:tc>
          <w:tcPr>
            <w:tcW w:w="2926" w:type="dxa"/>
            <w:vAlign w:val="top"/>
          </w:tcPr>
          <w:p w14:paraId="11FA548E">
            <w:pPr>
              <w:rPr>
                <w:rFonts w:ascii="Arial"/>
                <w:sz w:val="21"/>
              </w:rPr>
            </w:pPr>
          </w:p>
        </w:tc>
        <w:tc>
          <w:tcPr>
            <w:tcW w:w="3511" w:type="dxa"/>
            <w:vAlign w:val="top"/>
          </w:tcPr>
          <w:p w14:paraId="056AA241">
            <w:pPr>
              <w:spacing w:before="98" w:line="219" w:lineRule="auto"/>
              <w:ind w:left="117"/>
              <w:rPr>
                <w:rFonts w:ascii="宋体" w:hAnsi="宋体" w:eastAsia="宋体" w:cs="宋体"/>
                <w:sz w:val="20"/>
                <w:szCs w:val="20"/>
              </w:rPr>
            </w:pPr>
            <w:r>
              <w:rPr>
                <w:rFonts w:ascii="宋体" w:hAnsi="宋体" w:eastAsia="宋体" w:cs="宋体"/>
                <w:spacing w:val="-2"/>
                <w:sz w:val="20"/>
                <w:szCs w:val="20"/>
              </w:rPr>
              <w:t>机体</w:t>
            </w:r>
          </w:p>
          <w:p w14:paraId="03D4A5C9">
            <w:pPr>
              <w:spacing w:before="104" w:line="323" w:lineRule="auto"/>
              <w:ind w:left="117" w:right="2591"/>
              <w:rPr>
                <w:rFonts w:ascii="宋体" w:hAnsi="宋体" w:eastAsia="宋体" w:cs="宋体"/>
                <w:sz w:val="20"/>
                <w:szCs w:val="20"/>
              </w:rPr>
            </w:pPr>
            <w:r>
              <w:rPr>
                <w:rFonts w:ascii="宋体" w:hAnsi="宋体" w:eastAsia="宋体" w:cs="宋体"/>
                <w:spacing w:val="-2"/>
                <w:sz w:val="20"/>
                <w:szCs w:val="20"/>
              </w:rPr>
              <w:t>推进装置</w:t>
            </w:r>
            <w:r>
              <w:rPr>
                <w:rFonts w:ascii="宋体" w:hAnsi="宋体" w:eastAsia="宋体" w:cs="宋体"/>
                <w:sz w:val="20"/>
                <w:szCs w:val="20"/>
              </w:rPr>
              <w:t xml:space="preserve"> </w:t>
            </w:r>
            <w:r>
              <w:rPr>
                <w:rFonts w:ascii="宋体" w:hAnsi="宋体" w:eastAsia="宋体" w:cs="宋体"/>
                <w:spacing w:val="-2"/>
                <w:sz w:val="20"/>
                <w:szCs w:val="20"/>
              </w:rPr>
              <w:t>通信设备</w:t>
            </w:r>
          </w:p>
          <w:p w14:paraId="0B904197">
            <w:pPr>
              <w:spacing w:before="1" w:line="305" w:lineRule="auto"/>
              <w:ind w:left="117" w:right="1974"/>
              <w:rPr>
                <w:rFonts w:ascii="宋体" w:hAnsi="宋体" w:eastAsia="宋体" w:cs="宋体"/>
                <w:sz w:val="20"/>
                <w:szCs w:val="20"/>
              </w:rPr>
            </w:pPr>
            <w:r>
              <w:rPr>
                <w:rFonts w:ascii="宋体" w:hAnsi="宋体" w:eastAsia="宋体" w:cs="宋体"/>
                <w:spacing w:val="1"/>
                <w:sz w:val="20"/>
                <w:szCs w:val="20"/>
              </w:rPr>
              <w:t xml:space="preserve">导航和制导设备 </w:t>
            </w:r>
            <w:r>
              <w:rPr>
                <w:rFonts w:ascii="宋体" w:hAnsi="宋体" w:eastAsia="宋体" w:cs="宋体"/>
                <w:spacing w:val="-2"/>
                <w:sz w:val="20"/>
                <w:szCs w:val="20"/>
              </w:rPr>
              <w:t>综合火控系统</w:t>
            </w:r>
          </w:p>
          <w:p w14:paraId="4C47130B">
            <w:pPr>
              <w:spacing w:before="7" w:line="220" w:lineRule="auto"/>
              <w:ind w:left="117"/>
              <w:rPr>
                <w:rFonts w:ascii="宋体" w:hAnsi="宋体" w:eastAsia="宋体" w:cs="宋体"/>
                <w:sz w:val="20"/>
                <w:szCs w:val="20"/>
              </w:rPr>
            </w:pPr>
            <w:r>
              <w:rPr>
                <w:rFonts w:ascii="宋体" w:hAnsi="宋体" w:eastAsia="宋体" w:cs="宋体"/>
                <w:spacing w:val="2"/>
                <w:sz w:val="20"/>
                <w:szCs w:val="20"/>
              </w:rPr>
              <w:t>突防设备</w:t>
            </w:r>
          </w:p>
          <w:p w14:paraId="0C430B3B">
            <w:pPr>
              <w:spacing w:before="91" w:line="219" w:lineRule="auto"/>
              <w:ind w:left="117"/>
              <w:rPr>
                <w:rFonts w:ascii="宋体" w:hAnsi="宋体" w:eastAsia="宋体" w:cs="宋体"/>
                <w:sz w:val="20"/>
                <w:szCs w:val="20"/>
              </w:rPr>
            </w:pPr>
            <w:r>
              <w:rPr>
                <w:rFonts w:ascii="宋体" w:hAnsi="宋体" w:eastAsia="宋体" w:cs="宋体"/>
                <w:spacing w:val="-2"/>
                <w:sz w:val="20"/>
                <w:szCs w:val="20"/>
              </w:rPr>
              <w:t>侦察设备</w:t>
            </w:r>
          </w:p>
          <w:p w14:paraId="0850A4CF">
            <w:pPr>
              <w:spacing w:before="123" w:line="309" w:lineRule="auto"/>
              <w:ind w:left="117" w:right="1774"/>
              <w:rPr>
                <w:rFonts w:ascii="宋体" w:hAnsi="宋体" w:eastAsia="宋体" w:cs="宋体"/>
                <w:sz w:val="20"/>
                <w:szCs w:val="20"/>
              </w:rPr>
            </w:pPr>
            <w:r>
              <w:rPr>
                <w:rFonts w:ascii="宋体" w:hAnsi="宋体" w:eastAsia="宋体" w:cs="宋体"/>
                <w:spacing w:val="1"/>
                <w:sz w:val="20"/>
                <w:szCs w:val="20"/>
              </w:rPr>
              <w:t>自动飞行控制系统</w:t>
            </w:r>
            <w:r>
              <w:rPr>
                <w:rFonts w:ascii="宋体" w:hAnsi="宋体" w:eastAsia="宋体" w:cs="宋体"/>
                <w:sz w:val="20"/>
                <w:szCs w:val="20"/>
              </w:rPr>
              <w:t xml:space="preserve"> </w:t>
            </w:r>
            <w:r>
              <w:rPr>
                <w:rFonts w:ascii="宋体" w:hAnsi="宋体" w:eastAsia="宋体" w:cs="宋体"/>
                <w:spacing w:val="1"/>
                <w:sz w:val="20"/>
                <w:szCs w:val="20"/>
              </w:rPr>
              <w:t>中央综合检测设备</w:t>
            </w:r>
          </w:p>
          <w:p w14:paraId="364B1BAE">
            <w:pPr>
              <w:spacing w:line="323" w:lineRule="auto"/>
              <w:ind w:left="117" w:right="2392"/>
              <w:rPr>
                <w:rFonts w:ascii="宋体" w:hAnsi="宋体" w:eastAsia="宋体" w:cs="宋体"/>
                <w:sz w:val="20"/>
                <w:szCs w:val="20"/>
              </w:rPr>
            </w:pPr>
            <w:r>
              <w:rPr>
                <w:rFonts w:ascii="宋体" w:hAnsi="宋体" w:eastAsia="宋体" w:cs="宋体"/>
                <w:spacing w:val="-2"/>
                <w:sz w:val="20"/>
                <w:szCs w:val="20"/>
              </w:rPr>
              <w:t>反潜战设备</w:t>
            </w:r>
            <w:r>
              <w:rPr>
                <w:rFonts w:ascii="宋体" w:hAnsi="宋体" w:eastAsia="宋体" w:cs="宋体"/>
                <w:sz w:val="20"/>
                <w:szCs w:val="20"/>
              </w:rPr>
              <w:t xml:space="preserve"> </w:t>
            </w:r>
            <w:r>
              <w:rPr>
                <w:rFonts w:ascii="宋体" w:hAnsi="宋体" w:eastAsia="宋体" w:cs="宋体"/>
                <w:spacing w:val="-3"/>
                <w:sz w:val="20"/>
                <w:szCs w:val="20"/>
              </w:rPr>
              <w:t>军械</w:t>
            </w:r>
          </w:p>
          <w:p w14:paraId="7AB2F670">
            <w:pPr>
              <w:spacing w:before="2" w:line="300" w:lineRule="auto"/>
              <w:ind w:left="117" w:right="2174"/>
              <w:rPr>
                <w:rFonts w:ascii="宋体" w:hAnsi="宋体" w:eastAsia="宋体" w:cs="宋体"/>
                <w:sz w:val="20"/>
                <w:szCs w:val="20"/>
              </w:rPr>
            </w:pPr>
            <w:r>
              <w:rPr>
                <w:rFonts w:ascii="宋体" w:hAnsi="宋体" w:eastAsia="宋体" w:cs="宋体"/>
                <w:spacing w:val="-2"/>
                <w:sz w:val="20"/>
                <w:szCs w:val="20"/>
              </w:rPr>
              <w:t>武器投放设备</w:t>
            </w:r>
            <w:r>
              <w:rPr>
                <w:rFonts w:ascii="宋体" w:hAnsi="宋体" w:eastAsia="宋体" w:cs="宋体"/>
                <w:sz w:val="20"/>
                <w:szCs w:val="20"/>
              </w:rPr>
              <w:t xml:space="preserve"> </w:t>
            </w:r>
            <w:r>
              <w:rPr>
                <w:rFonts w:ascii="宋体" w:hAnsi="宋体" w:eastAsia="宋体" w:cs="宋体"/>
                <w:spacing w:val="1"/>
                <w:sz w:val="20"/>
                <w:szCs w:val="20"/>
              </w:rPr>
              <w:t>防护救生系统</w:t>
            </w:r>
            <w:r>
              <w:rPr>
                <w:rFonts w:ascii="宋体" w:hAnsi="宋体" w:eastAsia="宋体" w:cs="宋体"/>
                <w:spacing w:val="2"/>
                <w:sz w:val="20"/>
                <w:szCs w:val="20"/>
              </w:rPr>
              <w:t xml:space="preserve"> </w:t>
            </w:r>
            <w:r>
              <w:rPr>
                <w:rFonts w:ascii="宋体" w:hAnsi="宋体" w:eastAsia="宋体" w:cs="宋体"/>
                <w:spacing w:val="-2"/>
                <w:sz w:val="20"/>
                <w:szCs w:val="20"/>
              </w:rPr>
              <w:t>其他任务系统</w:t>
            </w:r>
          </w:p>
        </w:tc>
      </w:tr>
      <w:tr w14:paraId="4F1BB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922" w:type="dxa"/>
            <w:vAlign w:val="top"/>
          </w:tcPr>
          <w:p w14:paraId="100EFCEC">
            <w:pPr>
              <w:rPr>
                <w:rFonts w:ascii="Arial"/>
                <w:sz w:val="21"/>
              </w:rPr>
            </w:pPr>
          </w:p>
        </w:tc>
        <w:tc>
          <w:tcPr>
            <w:tcW w:w="2926" w:type="dxa"/>
            <w:vAlign w:val="top"/>
          </w:tcPr>
          <w:p w14:paraId="67F172DF">
            <w:pPr>
              <w:spacing w:before="103" w:line="219" w:lineRule="auto"/>
              <w:ind w:left="142"/>
              <w:rPr>
                <w:rFonts w:ascii="宋体" w:hAnsi="宋体" w:eastAsia="宋体" w:cs="宋体"/>
                <w:sz w:val="20"/>
                <w:szCs w:val="20"/>
              </w:rPr>
            </w:pPr>
            <w:r>
              <w:rPr>
                <w:rFonts w:ascii="宋体" w:hAnsi="宋体" w:eastAsia="宋体" w:cs="宋体"/>
                <w:spacing w:val="-2"/>
                <w:sz w:val="20"/>
                <w:szCs w:val="20"/>
              </w:rPr>
              <w:t>系统和工程项目管理</w:t>
            </w:r>
          </w:p>
        </w:tc>
        <w:tc>
          <w:tcPr>
            <w:tcW w:w="3511" w:type="dxa"/>
            <w:vAlign w:val="top"/>
          </w:tcPr>
          <w:p w14:paraId="4258801D">
            <w:pPr>
              <w:rPr>
                <w:rFonts w:ascii="Arial"/>
                <w:sz w:val="21"/>
              </w:rPr>
            </w:pPr>
          </w:p>
        </w:tc>
      </w:tr>
      <w:tr w14:paraId="04FE9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922" w:type="dxa"/>
            <w:vAlign w:val="top"/>
          </w:tcPr>
          <w:p w14:paraId="6C5F8823">
            <w:pPr>
              <w:rPr>
                <w:rFonts w:ascii="Arial"/>
                <w:sz w:val="21"/>
              </w:rPr>
            </w:pPr>
          </w:p>
        </w:tc>
        <w:tc>
          <w:tcPr>
            <w:tcW w:w="2926" w:type="dxa"/>
            <w:vAlign w:val="top"/>
          </w:tcPr>
          <w:p w14:paraId="108A081E">
            <w:pPr>
              <w:rPr>
                <w:rFonts w:ascii="Arial"/>
                <w:sz w:val="21"/>
              </w:rPr>
            </w:pPr>
          </w:p>
        </w:tc>
        <w:tc>
          <w:tcPr>
            <w:tcW w:w="3511" w:type="dxa"/>
            <w:vAlign w:val="top"/>
          </w:tcPr>
          <w:p w14:paraId="46A70F28">
            <w:pPr>
              <w:spacing w:before="143" w:line="220" w:lineRule="auto"/>
              <w:ind w:left="117"/>
              <w:rPr>
                <w:rFonts w:ascii="宋体" w:hAnsi="宋体" w:eastAsia="宋体" w:cs="宋体"/>
                <w:sz w:val="20"/>
                <w:szCs w:val="20"/>
              </w:rPr>
            </w:pPr>
            <w:r>
              <w:rPr>
                <w:rFonts w:ascii="宋体" w:hAnsi="宋体" w:eastAsia="宋体" w:cs="宋体"/>
                <w:spacing w:val="-3"/>
                <w:sz w:val="20"/>
                <w:szCs w:val="20"/>
              </w:rPr>
              <w:t>系统工程</w:t>
            </w:r>
          </w:p>
          <w:p w14:paraId="059799DC">
            <w:pPr>
              <w:spacing w:before="111" w:line="219" w:lineRule="auto"/>
              <w:ind w:left="117"/>
              <w:rPr>
                <w:rFonts w:ascii="宋体" w:hAnsi="宋体" w:eastAsia="宋体" w:cs="宋体"/>
                <w:sz w:val="20"/>
                <w:szCs w:val="20"/>
              </w:rPr>
            </w:pPr>
            <w:r>
              <w:rPr>
                <w:rFonts w:ascii="宋体" w:hAnsi="宋体" w:eastAsia="宋体" w:cs="宋体"/>
                <w:spacing w:val="-2"/>
                <w:sz w:val="20"/>
                <w:szCs w:val="20"/>
              </w:rPr>
              <w:t>工程项目管理</w:t>
            </w:r>
          </w:p>
        </w:tc>
      </w:tr>
      <w:tr w14:paraId="4B917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2922" w:type="dxa"/>
            <w:vAlign w:val="top"/>
          </w:tcPr>
          <w:p w14:paraId="3DF67320">
            <w:pPr>
              <w:rPr>
                <w:rFonts w:ascii="Arial"/>
                <w:sz w:val="21"/>
              </w:rPr>
            </w:pPr>
          </w:p>
        </w:tc>
        <w:tc>
          <w:tcPr>
            <w:tcW w:w="2926" w:type="dxa"/>
            <w:vAlign w:val="top"/>
          </w:tcPr>
          <w:p w14:paraId="3F1DCF28">
            <w:pPr>
              <w:spacing w:before="114" w:line="220" w:lineRule="auto"/>
              <w:ind w:left="142"/>
              <w:rPr>
                <w:rFonts w:ascii="宋体" w:hAnsi="宋体" w:eastAsia="宋体" w:cs="宋体"/>
                <w:sz w:val="20"/>
                <w:szCs w:val="20"/>
              </w:rPr>
            </w:pPr>
            <w:r>
              <w:rPr>
                <w:rFonts w:ascii="宋体" w:hAnsi="宋体" w:eastAsia="宋体" w:cs="宋体"/>
                <w:spacing w:val="1"/>
                <w:sz w:val="20"/>
                <w:szCs w:val="20"/>
              </w:rPr>
              <w:t>系统试验和评定</w:t>
            </w:r>
          </w:p>
        </w:tc>
        <w:tc>
          <w:tcPr>
            <w:tcW w:w="3511" w:type="dxa"/>
            <w:vAlign w:val="top"/>
          </w:tcPr>
          <w:p w14:paraId="63F9084F">
            <w:pPr>
              <w:rPr>
                <w:rFonts w:ascii="Arial"/>
                <w:sz w:val="21"/>
              </w:rPr>
            </w:pPr>
          </w:p>
        </w:tc>
      </w:tr>
      <w:tr w14:paraId="5D5CC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8" w:hRule="atLeast"/>
        </w:trPr>
        <w:tc>
          <w:tcPr>
            <w:tcW w:w="2922" w:type="dxa"/>
            <w:vAlign w:val="top"/>
          </w:tcPr>
          <w:p w14:paraId="5F236D92">
            <w:pPr>
              <w:rPr>
                <w:rFonts w:ascii="Arial"/>
                <w:sz w:val="21"/>
              </w:rPr>
            </w:pPr>
          </w:p>
        </w:tc>
        <w:tc>
          <w:tcPr>
            <w:tcW w:w="2926" w:type="dxa"/>
            <w:vAlign w:val="top"/>
          </w:tcPr>
          <w:p w14:paraId="686C6AAB">
            <w:pPr>
              <w:rPr>
                <w:rFonts w:ascii="Arial"/>
                <w:sz w:val="21"/>
              </w:rPr>
            </w:pPr>
          </w:p>
        </w:tc>
        <w:tc>
          <w:tcPr>
            <w:tcW w:w="3511" w:type="dxa"/>
            <w:vAlign w:val="top"/>
          </w:tcPr>
          <w:p w14:paraId="508F7B8E">
            <w:pPr>
              <w:spacing w:before="93" w:line="310" w:lineRule="auto"/>
              <w:ind w:left="117" w:right="1970"/>
              <w:jc w:val="both"/>
              <w:rPr>
                <w:rFonts w:ascii="宋体" w:hAnsi="宋体" w:eastAsia="宋体" w:cs="宋体"/>
                <w:sz w:val="20"/>
                <w:szCs w:val="20"/>
              </w:rPr>
            </w:pPr>
            <w:r>
              <w:rPr>
                <w:rFonts w:ascii="宋体" w:hAnsi="宋体" w:eastAsia="宋体" w:cs="宋体"/>
                <w:spacing w:val="1"/>
                <w:sz w:val="20"/>
                <w:szCs w:val="20"/>
              </w:rPr>
              <w:t>研制试验和评定</w:t>
            </w:r>
            <w:r>
              <w:rPr>
                <w:rFonts w:ascii="宋体" w:hAnsi="宋体" w:eastAsia="宋体" w:cs="宋体"/>
                <w:spacing w:val="5"/>
                <w:sz w:val="20"/>
                <w:szCs w:val="20"/>
              </w:rPr>
              <w:t xml:space="preserve"> </w:t>
            </w:r>
            <w:r>
              <w:rPr>
                <w:rFonts w:ascii="宋体" w:hAnsi="宋体" w:eastAsia="宋体" w:cs="宋体"/>
                <w:spacing w:val="1"/>
                <w:sz w:val="20"/>
                <w:szCs w:val="20"/>
              </w:rPr>
              <w:t>使用试验和评定</w:t>
            </w:r>
            <w:r>
              <w:rPr>
                <w:rFonts w:ascii="宋体" w:hAnsi="宋体" w:eastAsia="宋体" w:cs="宋体"/>
                <w:spacing w:val="5"/>
                <w:sz w:val="20"/>
                <w:szCs w:val="20"/>
              </w:rPr>
              <w:t xml:space="preserve"> </w:t>
            </w:r>
            <w:r>
              <w:rPr>
                <w:rFonts w:ascii="宋体" w:hAnsi="宋体" w:eastAsia="宋体" w:cs="宋体"/>
                <w:spacing w:val="-2"/>
                <w:sz w:val="20"/>
                <w:szCs w:val="20"/>
              </w:rPr>
              <w:t>样机</w:t>
            </w:r>
          </w:p>
          <w:p w14:paraId="474A2228">
            <w:pPr>
              <w:spacing w:before="3" w:line="283" w:lineRule="auto"/>
              <w:ind w:left="117" w:right="1991"/>
              <w:jc w:val="both"/>
              <w:rPr>
                <w:rFonts w:ascii="宋体" w:hAnsi="宋体" w:eastAsia="宋体" w:cs="宋体"/>
                <w:sz w:val="20"/>
                <w:szCs w:val="20"/>
              </w:rPr>
            </w:pPr>
            <w:r>
              <w:rPr>
                <w:rFonts w:ascii="宋体" w:hAnsi="宋体" w:eastAsia="宋体" w:cs="宋体"/>
                <w:spacing w:val="-2"/>
                <w:sz w:val="20"/>
                <w:szCs w:val="20"/>
              </w:rPr>
              <w:t>试验和评定保障</w:t>
            </w:r>
            <w:r>
              <w:rPr>
                <w:rFonts w:ascii="宋体" w:hAnsi="宋体" w:eastAsia="宋体" w:cs="宋体"/>
                <w:spacing w:val="5"/>
                <w:sz w:val="20"/>
                <w:szCs w:val="20"/>
              </w:rPr>
              <w:t xml:space="preserve"> </w:t>
            </w:r>
            <w:r>
              <w:rPr>
                <w:rFonts w:ascii="宋体" w:hAnsi="宋体" w:eastAsia="宋体" w:cs="宋体"/>
                <w:spacing w:val="-2"/>
                <w:sz w:val="20"/>
                <w:szCs w:val="20"/>
              </w:rPr>
              <w:t>试验设施</w:t>
            </w:r>
          </w:p>
        </w:tc>
      </w:tr>
      <w:tr w14:paraId="6506C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922" w:type="dxa"/>
            <w:vAlign w:val="top"/>
          </w:tcPr>
          <w:p w14:paraId="4182CA84">
            <w:pPr>
              <w:rPr>
                <w:rFonts w:ascii="Arial"/>
                <w:sz w:val="21"/>
              </w:rPr>
            </w:pPr>
          </w:p>
        </w:tc>
        <w:tc>
          <w:tcPr>
            <w:tcW w:w="2926" w:type="dxa"/>
            <w:vAlign w:val="top"/>
          </w:tcPr>
          <w:p w14:paraId="09DD4A7D">
            <w:pPr>
              <w:spacing w:before="116" w:line="220" w:lineRule="auto"/>
              <w:ind w:left="142"/>
              <w:rPr>
                <w:rFonts w:ascii="宋体" w:hAnsi="宋体" w:eastAsia="宋体" w:cs="宋体"/>
                <w:sz w:val="20"/>
                <w:szCs w:val="20"/>
              </w:rPr>
            </w:pPr>
            <w:r>
              <w:rPr>
                <w:rFonts w:ascii="宋体" w:hAnsi="宋体" w:eastAsia="宋体" w:cs="宋体"/>
                <w:spacing w:val="-3"/>
                <w:sz w:val="20"/>
                <w:szCs w:val="20"/>
              </w:rPr>
              <w:t>训练</w:t>
            </w:r>
          </w:p>
        </w:tc>
        <w:tc>
          <w:tcPr>
            <w:tcW w:w="3511" w:type="dxa"/>
            <w:vAlign w:val="top"/>
          </w:tcPr>
          <w:p w14:paraId="53C8E159">
            <w:pPr>
              <w:rPr>
                <w:rFonts w:ascii="Arial"/>
                <w:sz w:val="21"/>
              </w:rPr>
            </w:pPr>
          </w:p>
        </w:tc>
      </w:tr>
      <w:tr w14:paraId="58A49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2922" w:type="dxa"/>
            <w:vAlign w:val="top"/>
          </w:tcPr>
          <w:p w14:paraId="1A7EFC9F">
            <w:pPr>
              <w:rPr>
                <w:rFonts w:ascii="Arial"/>
                <w:sz w:val="21"/>
              </w:rPr>
            </w:pPr>
          </w:p>
        </w:tc>
        <w:tc>
          <w:tcPr>
            <w:tcW w:w="2926" w:type="dxa"/>
            <w:vAlign w:val="top"/>
          </w:tcPr>
          <w:p w14:paraId="6D3592CD">
            <w:pPr>
              <w:rPr>
                <w:rFonts w:ascii="Arial"/>
                <w:sz w:val="21"/>
              </w:rPr>
            </w:pPr>
          </w:p>
        </w:tc>
        <w:tc>
          <w:tcPr>
            <w:tcW w:w="3511" w:type="dxa"/>
            <w:vAlign w:val="top"/>
          </w:tcPr>
          <w:p w14:paraId="096E027D">
            <w:pPr>
              <w:spacing w:before="126" w:line="220" w:lineRule="auto"/>
              <w:ind w:left="117"/>
              <w:rPr>
                <w:rFonts w:ascii="宋体" w:hAnsi="宋体" w:eastAsia="宋体" w:cs="宋体"/>
                <w:sz w:val="20"/>
                <w:szCs w:val="20"/>
              </w:rPr>
            </w:pPr>
            <w:r>
              <w:rPr>
                <w:rFonts w:ascii="宋体" w:hAnsi="宋体" w:eastAsia="宋体" w:cs="宋体"/>
                <w:spacing w:val="-2"/>
                <w:sz w:val="20"/>
                <w:szCs w:val="20"/>
              </w:rPr>
              <w:t>训练设备</w:t>
            </w:r>
          </w:p>
          <w:p w14:paraId="2FD00956">
            <w:pPr>
              <w:spacing w:before="101" w:line="219" w:lineRule="auto"/>
              <w:ind w:left="117"/>
              <w:rPr>
                <w:rFonts w:ascii="宋体" w:hAnsi="宋体" w:eastAsia="宋体" w:cs="宋体"/>
                <w:sz w:val="20"/>
                <w:szCs w:val="20"/>
              </w:rPr>
            </w:pPr>
            <w:r>
              <w:rPr>
                <w:rFonts w:ascii="宋体" w:hAnsi="宋体" w:eastAsia="宋体" w:cs="宋体"/>
                <w:spacing w:val="-2"/>
                <w:sz w:val="20"/>
                <w:szCs w:val="20"/>
              </w:rPr>
              <w:t>训练业务</w:t>
            </w:r>
          </w:p>
          <w:p w14:paraId="1BE571C3">
            <w:pPr>
              <w:spacing w:before="103" w:line="220" w:lineRule="auto"/>
              <w:ind w:left="117"/>
              <w:rPr>
                <w:rFonts w:ascii="宋体" w:hAnsi="宋体" w:eastAsia="宋体" w:cs="宋体"/>
                <w:sz w:val="20"/>
                <w:szCs w:val="20"/>
              </w:rPr>
            </w:pPr>
            <w:r>
              <w:rPr>
                <w:rFonts w:ascii="宋体" w:hAnsi="宋体" w:eastAsia="宋体" w:cs="宋体"/>
                <w:spacing w:val="-2"/>
                <w:sz w:val="20"/>
                <w:szCs w:val="20"/>
              </w:rPr>
              <w:t>训练设施</w:t>
            </w:r>
          </w:p>
        </w:tc>
      </w:tr>
      <w:tr w14:paraId="13DAA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922" w:type="dxa"/>
            <w:vAlign w:val="top"/>
          </w:tcPr>
          <w:p w14:paraId="1DA5E727">
            <w:pPr>
              <w:rPr>
                <w:rFonts w:ascii="Arial"/>
                <w:sz w:val="21"/>
              </w:rPr>
            </w:pPr>
          </w:p>
        </w:tc>
        <w:tc>
          <w:tcPr>
            <w:tcW w:w="2926" w:type="dxa"/>
            <w:vAlign w:val="top"/>
          </w:tcPr>
          <w:p w14:paraId="1CE5C4E4">
            <w:pPr>
              <w:spacing w:before="107" w:line="219" w:lineRule="auto"/>
              <w:ind w:left="142"/>
              <w:rPr>
                <w:rFonts w:ascii="宋体" w:hAnsi="宋体" w:eastAsia="宋体" w:cs="宋体"/>
                <w:sz w:val="20"/>
                <w:szCs w:val="20"/>
              </w:rPr>
            </w:pPr>
            <w:r>
              <w:rPr>
                <w:rFonts w:ascii="宋体" w:hAnsi="宋体" w:eastAsia="宋体" w:cs="宋体"/>
                <w:spacing w:val="-2"/>
                <w:sz w:val="20"/>
                <w:szCs w:val="20"/>
              </w:rPr>
              <w:t>专用保障设备</w:t>
            </w:r>
          </w:p>
        </w:tc>
        <w:tc>
          <w:tcPr>
            <w:tcW w:w="3511" w:type="dxa"/>
            <w:vAlign w:val="top"/>
          </w:tcPr>
          <w:p w14:paraId="15495602">
            <w:pPr>
              <w:rPr>
                <w:rFonts w:ascii="Arial"/>
                <w:sz w:val="21"/>
              </w:rPr>
            </w:pPr>
          </w:p>
        </w:tc>
      </w:tr>
      <w:tr w14:paraId="1E8C7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4" w:hRule="atLeast"/>
        </w:trPr>
        <w:tc>
          <w:tcPr>
            <w:tcW w:w="2922" w:type="dxa"/>
            <w:vAlign w:val="top"/>
          </w:tcPr>
          <w:p w14:paraId="7DE7B68F">
            <w:pPr>
              <w:rPr>
                <w:rFonts w:ascii="Arial"/>
                <w:sz w:val="21"/>
              </w:rPr>
            </w:pPr>
          </w:p>
        </w:tc>
        <w:tc>
          <w:tcPr>
            <w:tcW w:w="2926" w:type="dxa"/>
            <w:vAlign w:val="top"/>
          </w:tcPr>
          <w:p w14:paraId="7CB6EAB8">
            <w:pPr>
              <w:rPr>
                <w:rFonts w:ascii="Arial"/>
                <w:sz w:val="21"/>
              </w:rPr>
            </w:pPr>
          </w:p>
        </w:tc>
        <w:tc>
          <w:tcPr>
            <w:tcW w:w="3511" w:type="dxa"/>
            <w:vAlign w:val="top"/>
          </w:tcPr>
          <w:p w14:paraId="1096BFC8">
            <w:pPr>
              <w:spacing w:before="86" w:line="316" w:lineRule="auto"/>
              <w:ind w:left="117" w:right="1574"/>
              <w:rPr>
                <w:rFonts w:ascii="宋体" w:hAnsi="宋体" w:eastAsia="宋体" w:cs="宋体"/>
                <w:sz w:val="20"/>
                <w:szCs w:val="20"/>
              </w:rPr>
            </w:pPr>
            <w:r>
              <w:rPr>
                <w:rFonts w:ascii="宋体" w:hAnsi="宋体" w:eastAsia="宋体" w:cs="宋体"/>
                <w:spacing w:val="-1"/>
                <w:sz w:val="20"/>
                <w:szCs w:val="20"/>
              </w:rPr>
              <w:t>基层级专用保障设备</w:t>
            </w:r>
            <w:r>
              <w:rPr>
                <w:rFonts w:ascii="宋体" w:hAnsi="宋体" w:eastAsia="宋体" w:cs="宋体"/>
                <w:sz w:val="20"/>
                <w:szCs w:val="20"/>
              </w:rPr>
              <w:t xml:space="preserve"> </w:t>
            </w:r>
            <w:r>
              <w:rPr>
                <w:rFonts w:ascii="宋体" w:hAnsi="宋体" w:eastAsia="宋体" w:cs="宋体"/>
                <w:spacing w:val="1"/>
                <w:sz w:val="20"/>
                <w:szCs w:val="20"/>
              </w:rPr>
              <w:t>中继级专用保障设备</w:t>
            </w:r>
          </w:p>
          <w:p w14:paraId="211F7700">
            <w:pPr>
              <w:spacing w:before="25" w:line="219" w:lineRule="auto"/>
              <w:ind w:left="117"/>
              <w:rPr>
                <w:rFonts w:ascii="宋体" w:hAnsi="宋体" w:eastAsia="宋体" w:cs="宋体"/>
                <w:sz w:val="20"/>
                <w:szCs w:val="20"/>
              </w:rPr>
            </w:pPr>
            <w:r>
              <w:rPr>
                <w:rFonts w:ascii="宋体" w:hAnsi="宋体" w:eastAsia="宋体" w:cs="宋体"/>
                <w:spacing w:val="-1"/>
                <w:sz w:val="20"/>
                <w:szCs w:val="20"/>
              </w:rPr>
              <w:t>基地级专用保障设备</w:t>
            </w:r>
          </w:p>
        </w:tc>
      </w:tr>
    </w:tbl>
    <w:p w14:paraId="4B829F74">
      <w:pPr>
        <w:pStyle w:val="2"/>
        <w:spacing w:line="197" w:lineRule="exact"/>
        <w:rPr>
          <w:sz w:val="17"/>
        </w:rPr>
      </w:pPr>
    </w:p>
    <w:p w14:paraId="5B2C856B">
      <w:pPr>
        <w:spacing w:line="197" w:lineRule="exact"/>
        <w:rPr>
          <w:sz w:val="17"/>
          <w:szCs w:val="17"/>
        </w:rPr>
        <w:sectPr>
          <w:footerReference r:id="rId37" w:type="default"/>
          <w:pgSz w:w="11910" w:h="17130"/>
          <w:pgMar w:top="400" w:right="1125" w:bottom="1677" w:left="1380" w:header="0" w:footer="1461" w:gutter="0"/>
          <w:cols w:space="720" w:num="1"/>
        </w:sectPr>
      </w:pPr>
    </w:p>
    <w:p w14:paraId="7D38BC34">
      <w:pPr>
        <w:pStyle w:val="2"/>
        <w:spacing w:line="246" w:lineRule="auto"/>
      </w:pPr>
    </w:p>
    <w:p w14:paraId="2A821061">
      <w:pPr>
        <w:pStyle w:val="2"/>
        <w:spacing w:line="247" w:lineRule="auto"/>
      </w:pPr>
    </w:p>
    <w:p w14:paraId="062D059E">
      <w:pPr>
        <w:pStyle w:val="2"/>
        <w:spacing w:line="247" w:lineRule="auto"/>
      </w:pPr>
    </w:p>
    <w:p w14:paraId="431E567D">
      <w:pPr>
        <w:pStyle w:val="2"/>
        <w:spacing w:line="247" w:lineRule="auto"/>
      </w:pPr>
    </w:p>
    <w:p w14:paraId="115D0C88">
      <w:pPr>
        <w:spacing w:before="65" w:line="220" w:lineRule="auto"/>
        <w:ind w:left="8690"/>
        <w:rPr>
          <w:rFonts w:ascii="宋体" w:hAnsi="宋体" w:eastAsia="宋体" w:cs="宋体"/>
          <w:sz w:val="20"/>
          <w:szCs w:val="20"/>
        </w:rPr>
      </w:pPr>
      <w:r>
        <w:rPr>
          <w:rFonts w:ascii="宋体" w:hAnsi="宋体" w:eastAsia="宋体" w:cs="宋体"/>
          <w:spacing w:val="-18"/>
          <w:sz w:val="20"/>
          <w:szCs w:val="20"/>
        </w:rPr>
        <w:t>(</w:t>
      </w:r>
      <w:r>
        <w:rPr>
          <w:rFonts w:ascii="宋体" w:hAnsi="宋体" w:eastAsia="宋体" w:cs="宋体"/>
          <w:spacing w:val="-27"/>
          <w:sz w:val="20"/>
          <w:szCs w:val="20"/>
        </w:rPr>
        <w:t xml:space="preserve"> </w:t>
      </w:r>
      <w:r>
        <w:rPr>
          <w:rFonts w:ascii="宋体" w:hAnsi="宋体" w:eastAsia="宋体" w:cs="宋体"/>
          <w:spacing w:val="-18"/>
          <w:sz w:val="20"/>
          <w:szCs w:val="20"/>
        </w:rPr>
        <w:t>续</w:t>
      </w:r>
      <w:r>
        <w:rPr>
          <w:rFonts w:ascii="宋体" w:hAnsi="宋体" w:eastAsia="宋体" w:cs="宋体"/>
          <w:spacing w:val="-28"/>
          <w:sz w:val="20"/>
          <w:szCs w:val="20"/>
        </w:rPr>
        <w:t xml:space="preserve"> </w:t>
      </w:r>
      <w:r>
        <w:rPr>
          <w:rFonts w:ascii="宋体" w:hAnsi="宋体" w:eastAsia="宋体" w:cs="宋体"/>
          <w:spacing w:val="-18"/>
          <w:sz w:val="20"/>
          <w:szCs w:val="20"/>
        </w:rPr>
        <w:t>)</w:t>
      </w:r>
    </w:p>
    <w:p w14:paraId="6AE6AB9E">
      <w:pPr>
        <w:spacing w:line="147" w:lineRule="exact"/>
      </w:pPr>
    </w:p>
    <w:tbl>
      <w:tblPr>
        <w:tblStyle w:val="5"/>
        <w:tblW w:w="936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22"/>
        <w:gridCol w:w="2926"/>
        <w:gridCol w:w="3521"/>
      </w:tblGrid>
      <w:tr w14:paraId="3DA05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2922" w:type="dxa"/>
            <w:vAlign w:val="top"/>
          </w:tcPr>
          <w:p w14:paraId="67E6FBD6">
            <w:pPr>
              <w:spacing w:before="105" w:line="221" w:lineRule="auto"/>
              <w:ind w:left="124"/>
              <w:rPr>
                <w:rFonts w:ascii="宋体" w:hAnsi="宋体" w:eastAsia="宋体" w:cs="宋体"/>
                <w:sz w:val="20"/>
                <w:szCs w:val="20"/>
              </w:rPr>
            </w:pPr>
            <w:r>
              <w:rPr>
                <w:rFonts w:ascii="宋体" w:hAnsi="宋体" w:eastAsia="宋体" w:cs="宋体"/>
                <w:spacing w:val="6"/>
                <w:sz w:val="20"/>
                <w:szCs w:val="20"/>
              </w:rPr>
              <w:t>1级</w:t>
            </w:r>
          </w:p>
        </w:tc>
        <w:tc>
          <w:tcPr>
            <w:tcW w:w="2926" w:type="dxa"/>
            <w:vAlign w:val="top"/>
          </w:tcPr>
          <w:p w14:paraId="28CBE33F">
            <w:pPr>
              <w:spacing w:before="105" w:line="221" w:lineRule="auto"/>
              <w:ind w:left="122"/>
              <w:rPr>
                <w:rFonts w:ascii="宋体" w:hAnsi="宋体" w:eastAsia="宋体" w:cs="宋体"/>
                <w:sz w:val="20"/>
                <w:szCs w:val="20"/>
              </w:rPr>
            </w:pPr>
            <w:r>
              <w:rPr>
                <w:rFonts w:ascii="宋体" w:hAnsi="宋体" w:eastAsia="宋体" w:cs="宋体"/>
                <w:spacing w:val="6"/>
                <w:sz w:val="20"/>
                <w:szCs w:val="20"/>
              </w:rPr>
              <w:t>2级</w:t>
            </w:r>
          </w:p>
        </w:tc>
        <w:tc>
          <w:tcPr>
            <w:tcW w:w="3521" w:type="dxa"/>
            <w:vAlign w:val="top"/>
          </w:tcPr>
          <w:p w14:paraId="1FEE2ECA">
            <w:pPr>
              <w:spacing w:before="105" w:line="221" w:lineRule="auto"/>
              <w:ind w:left="136"/>
              <w:rPr>
                <w:rFonts w:ascii="宋体" w:hAnsi="宋体" w:eastAsia="宋体" w:cs="宋体"/>
                <w:sz w:val="20"/>
                <w:szCs w:val="20"/>
              </w:rPr>
            </w:pPr>
            <w:r>
              <w:rPr>
                <w:rFonts w:ascii="宋体" w:hAnsi="宋体" w:eastAsia="宋体" w:cs="宋体"/>
                <w:spacing w:val="6"/>
                <w:sz w:val="20"/>
                <w:szCs w:val="20"/>
              </w:rPr>
              <w:t>3级</w:t>
            </w:r>
          </w:p>
        </w:tc>
      </w:tr>
      <w:tr w14:paraId="7357C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922" w:type="dxa"/>
            <w:vAlign w:val="top"/>
          </w:tcPr>
          <w:p w14:paraId="586A1E88">
            <w:pPr>
              <w:rPr>
                <w:rFonts w:ascii="Arial"/>
                <w:sz w:val="21"/>
              </w:rPr>
            </w:pPr>
          </w:p>
        </w:tc>
        <w:tc>
          <w:tcPr>
            <w:tcW w:w="2926" w:type="dxa"/>
            <w:vAlign w:val="top"/>
          </w:tcPr>
          <w:p w14:paraId="13E04A05">
            <w:pPr>
              <w:spacing w:before="99" w:line="220" w:lineRule="auto"/>
              <w:ind w:left="122"/>
              <w:rPr>
                <w:rFonts w:ascii="宋体" w:hAnsi="宋体" w:eastAsia="宋体" w:cs="宋体"/>
                <w:sz w:val="20"/>
                <w:szCs w:val="20"/>
              </w:rPr>
            </w:pPr>
            <w:r>
              <w:rPr>
                <w:rFonts w:ascii="宋体" w:hAnsi="宋体" w:eastAsia="宋体" w:cs="宋体"/>
                <w:spacing w:val="3"/>
                <w:sz w:val="20"/>
                <w:szCs w:val="20"/>
              </w:rPr>
              <w:t>资料</w:t>
            </w:r>
          </w:p>
        </w:tc>
        <w:tc>
          <w:tcPr>
            <w:tcW w:w="3521" w:type="dxa"/>
            <w:vAlign w:val="top"/>
          </w:tcPr>
          <w:p w14:paraId="778D6621">
            <w:pPr>
              <w:rPr>
                <w:rFonts w:ascii="Arial"/>
                <w:sz w:val="21"/>
              </w:rPr>
            </w:pPr>
          </w:p>
        </w:tc>
      </w:tr>
      <w:tr w14:paraId="1D999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8" w:hRule="atLeast"/>
        </w:trPr>
        <w:tc>
          <w:tcPr>
            <w:tcW w:w="2922" w:type="dxa"/>
            <w:vAlign w:val="top"/>
          </w:tcPr>
          <w:p w14:paraId="6B481DE5">
            <w:pPr>
              <w:rPr>
                <w:rFonts w:ascii="Arial"/>
                <w:sz w:val="21"/>
              </w:rPr>
            </w:pPr>
          </w:p>
        </w:tc>
        <w:tc>
          <w:tcPr>
            <w:tcW w:w="2926" w:type="dxa"/>
            <w:vAlign w:val="top"/>
          </w:tcPr>
          <w:p w14:paraId="643E6C9D">
            <w:pPr>
              <w:rPr>
                <w:rFonts w:ascii="Arial"/>
                <w:sz w:val="21"/>
              </w:rPr>
            </w:pPr>
          </w:p>
        </w:tc>
        <w:tc>
          <w:tcPr>
            <w:tcW w:w="3521" w:type="dxa"/>
            <w:vAlign w:val="top"/>
          </w:tcPr>
          <w:p w14:paraId="1EA92396">
            <w:pPr>
              <w:spacing w:before="209" w:line="308" w:lineRule="auto"/>
              <w:ind w:left="136" w:right="2382"/>
              <w:rPr>
                <w:rFonts w:ascii="宋体" w:hAnsi="宋体" w:eastAsia="宋体" w:cs="宋体"/>
                <w:sz w:val="20"/>
                <w:szCs w:val="20"/>
              </w:rPr>
            </w:pPr>
            <w:r>
              <w:rPr>
                <w:rFonts w:ascii="宋体" w:hAnsi="宋体" w:eastAsia="宋体" w:cs="宋体"/>
                <w:spacing w:val="-2"/>
                <w:sz w:val="20"/>
                <w:szCs w:val="20"/>
              </w:rPr>
              <w:t>技术出版物</w:t>
            </w:r>
            <w:r>
              <w:rPr>
                <w:rFonts w:ascii="宋体" w:hAnsi="宋体" w:eastAsia="宋体" w:cs="宋体"/>
                <w:sz w:val="20"/>
                <w:szCs w:val="20"/>
              </w:rPr>
              <w:t xml:space="preserve"> </w:t>
            </w:r>
            <w:r>
              <w:rPr>
                <w:rFonts w:ascii="宋体" w:hAnsi="宋体" w:eastAsia="宋体" w:cs="宋体"/>
                <w:spacing w:val="-2"/>
                <w:sz w:val="20"/>
                <w:szCs w:val="20"/>
              </w:rPr>
              <w:t>工程资料</w:t>
            </w:r>
          </w:p>
          <w:p w14:paraId="7B3778B0">
            <w:pPr>
              <w:spacing w:before="23" w:line="219" w:lineRule="auto"/>
              <w:ind w:left="136"/>
              <w:rPr>
                <w:rFonts w:ascii="宋体" w:hAnsi="宋体" w:eastAsia="宋体" w:cs="宋体"/>
                <w:sz w:val="20"/>
                <w:szCs w:val="20"/>
              </w:rPr>
            </w:pPr>
            <w:r>
              <w:rPr>
                <w:rFonts w:ascii="宋体" w:hAnsi="宋体" w:eastAsia="宋体" w:cs="宋体"/>
                <w:spacing w:val="-3"/>
                <w:sz w:val="20"/>
                <w:szCs w:val="20"/>
              </w:rPr>
              <w:t>管理资料</w:t>
            </w:r>
          </w:p>
          <w:p w14:paraId="7AE9964B">
            <w:pPr>
              <w:spacing w:before="92" w:line="219" w:lineRule="auto"/>
              <w:ind w:left="136"/>
              <w:rPr>
                <w:rFonts w:ascii="宋体" w:hAnsi="宋体" w:eastAsia="宋体" w:cs="宋体"/>
                <w:sz w:val="20"/>
                <w:szCs w:val="20"/>
              </w:rPr>
            </w:pPr>
            <w:r>
              <w:rPr>
                <w:rFonts w:ascii="宋体" w:hAnsi="宋体" w:eastAsia="宋体" w:cs="宋体"/>
                <w:spacing w:val="-2"/>
                <w:sz w:val="20"/>
                <w:szCs w:val="20"/>
              </w:rPr>
              <w:t>保障资料</w:t>
            </w:r>
          </w:p>
        </w:tc>
      </w:tr>
      <w:tr w14:paraId="16BEE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922" w:type="dxa"/>
            <w:vAlign w:val="top"/>
          </w:tcPr>
          <w:p w14:paraId="267D942E">
            <w:pPr>
              <w:rPr>
                <w:rFonts w:ascii="Arial"/>
                <w:sz w:val="21"/>
              </w:rPr>
            </w:pPr>
          </w:p>
        </w:tc>
        <w:tc>
          <w:tcPr>
            <w:tcW w:w="2926" w:type="dxa"/>
            <w:vAlign w:val="top"/>
          </w:tcPr>
          <w:p w14:paraId="3446EA48">
            <w:pPr>
              <w:spacing w:before="112" w:line="220" w:lineRule="auto"/>
              <w:ind w:left="122"/>
              <w:rPr>
                <w:rFonts w:ascii="宋体" w:hAnsi="宋体" w:eastAsia="宋体" w:cs="宋体"/>
                <w:sz w:val="20"/>
                <w:szCs w:val="20"/>
              </w:rPr>
            </w:pPr>
            <w:r>
              <w:rPr>
                <w:rFonts w:ascii="宋体" w:hAnsi="宋体" w:eastAsia="宋体" w:cs="宋体"/>
                <w:spacing w:val="-2"/>
                <w:sz w:val="20"/>
                <w:szCs w:val="20"/>
              </w:rPr>
              <w:t>现场准备</w:t>
            </w:r>
          </w:p>
        </w:tc>
        <w:tc>
          <w:tcPr>
            <w:tcW w:w="3521" w:type="dxa"/>
            <w:vAlign w:val="top"/>
          </w:tcPr>
          <w:p w14:paraId="25FAFC6C">
            <w:pPr>
              <w:rPr>
                <w:rFonts w:ascii="Arial"/>
                <w:sz w:val="21"/>
              </w:rPr>
            </w:pPr>
          </w:p>
        </w:tc>
      </w:tr>
      <w:tr w14:paraId="5DC3D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2922" w:type="dxa"/>
            <w:vAlign w:val="top"/>
          </w:tcPr>
          <w:p w14:paraId="6BC5F858">
            <w:pPr>
              <w:rPr>
                <w:rFonts w:ascii="Arial"/>
                <w:sz w:val="21"/>
              </w:rPr>
            </w:pPr>
          </w:p>
        </w:tc>
        <w:tc>
          <w:tcPr>
            <w:tcW w:w="2926" w:type="dxa"/>
            <w:vAlign w:val="top"/>
          </w:tcPr>
          <w:p w14:paraId="4BC720A4">
            <w:pPr>
              <w:rPr>
                <w:rFonts w:ascii="Arial"/>
                <w:sz w:val="21"/>
              </w:rPr>
            </w:pPr>
          </w:p>
        </w:tc>
        <w:tc>
          <w:tcPr>
            <w:tcW w:w="3521" w:type="dxa"/>
            <w:vAlign w:val="top"/>
          </w:tcPr>
          <w:p w14:paraId="5E0C463C">
            <w:pPr>
              <w:spacing w:before="171" w:line="308" w:lineRule="auto"/>
              <w:ind w:left="136" w:right="1381"/>
              <w:rPr>
                <w:rFonts w:ascii="宋体" w:hAnsi="宋体" w:eastAsia="宋体" w:cs="宋体"/>
                <w:sz w:val="20"/>
                <w:szCs w:val="20"/>
              </w:rPr>
            </w:pPr>
            <w:r>
              <w:rPr>
                <w:rFonts w:ascii="宋体" w:hAnsi="宋体" w:eastAsia="宋体" w:cs="宋体"/>
                <w:spacing w:val="-1"/>
                <w:sz w:val="20"/>
                <w:szCs w:val="20"/>
              </w:rPr>
              <w:t>承研承制单位技术保障</w:t>
            </w:r>
            <w:r>
              <w:rPr>
                <w:rFonts w:ascii="宋体" w:hAnsi="宋体" w:eastAsia="宋体" w:cs="宋体"/>
                <w:spacing w:val="1"/>
                <w:sz w:val="20"/>
                <w:szCs w:val="20"/>
              </w:rPr>
              <w:t xml:space="preserve"> </w:t>
            </w:r>
            <w:r>
              <w:rPr>
                <w:rFonts w:ascii="宋体" w:hAnsi="宋体" w:eastAsia="宋体" w:cs="宋体"/>
                <w:spacing w:val="-2"/>
                <w:sz w:val="20"/>
                <w:szCs w:val="20"/>
              </w:rPr>
              <w:t>场地建设</w:t>
            </w:r>
          </w:p>
          <w:p w14:paraId="6F0344B4">
            <w:pPr>
              <w:spacing w:before="13" w:line="219" w:lineRule="auto"/>
              <w:ind w:left="136"/>
              <w:rPr>
                <w:rFonts w:ascii="宋体" w:hAnsi="宋体" w:eastAsia="宋体" w:cs="宋体"/>
                <w:sz w:val="20"/>
                <w:szCs w:val="20"/>
              </w:rPr>
            </w:pPr>
            <w:r>
              <w:rPr>
                <w:rFonts w:ascii="宋体" w:hAnsi="宋体" w:eastAsia="宋体" w:cs="宋体"/>
                <w:spacing w:val="-1"/>
                <w:sz w:val="20"/>
                <w:szCs w:val="20"/>
              </w:rPr>
              <w:t>场地、舰船或车辆的改造</w:t>
            </w:r>
          </w:p>
        </w:tc>
      </w:tr>
      <w:tr w14:paraId="71854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922" w:type="dxa"/>
            <w:vAlign w:val="top"/>
          </w:tcPr>
          <w:p w14:paraId="05A2DDD4">
            <w:pPr>
              <w:rPr>
                <w:rFonts w:ascii="Arial"/>
                <w:sz w:val="21"/>
              </w:rPr>
            </w:pPr>
          </w:p>
        </w:tc>
        <w:tc>
          <w:tcPr>
            <w:tcW w:w="2926" w:type="dxa"/>
            <w:vAlign w:val="top"/>
          </w:tcPr>
          <w:p w14:paraId="5E364C96">
            <w:pPr>
              <w:spacing w:before="115" w:line="221" w:lineRule="auto"/>
              <w:ind w:left="122"/>
              <w:rPr>
                <w:rFonts w:ascii="宋体" w:hAnsi="宋体" w:eastAsia="宋体" w:cs="宋体"/>
                <w:sz w:val="20"/>
                <w:szCs w:val="20"/>
              </w:rPr>
            </w:pPr>
            <w:r>
              <w:rPr>
                <w:rFonts w:ascii="宋体" w:hAnsi="宋体" w:eastAsia="宋体" w:cs="宋体"/>
                <w:spacing w:val="-2"/>
                <w:sz w:val="20"/>
                <w:szCs w:val="20"/>
              </w:rPr>
              <w:t>工业设施</w:t>
            </w:r>
          </w:p>
        </w:tc>
        <w:tc>
          <w:tcPr>
            <w:tcW w:w="3521" w:type="dxa"/>
            <w:vAlign w:val="top"/>
          </w:tcPr>
          <w:p w14:paraId="7FF9AB5D">
            <w:pPr>
              <w:rPr>
                <w:rFonts w:ascii="Arial"/>
                <w:sz w:val="21"/>
              </w:rPr>
            </w:pPr>
          </w:p>
        </w:tc>
      </w:tr>
      <w:tr w14:paraId="7D43C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8" w:hRule="atLeast"/>
        </w:trPr>
        <w:tc>
          <w:tcPr>
            <w:tcW w:w="2922" w:type="dxa"/>
            <w:vAlign w:val="top"/>
          </w:tcPr>
          <w:p w14:paraId="54C9A7C8">
            <w:pPr>
              <w:rPr>
                <w:rFonts w:ascii="Arial"/>
                <w:sz w:val="21"/>
              </w:rPr>
            </w:pPr>
          </w:p>
        </w:tc>
        <w:tc>
          <w:tcPr>
            <w:tcW w:w="2926" w:type="dxa"/>
            <w:vAlign w:val="top"/>
          </w:tcPr>
          <w:p w14:paraId="53316DE4">
            <w:pPr>
              <w:rPr>
                <w:rFonts w:ascii="Arial"/>
                <w:sz w:val="21"/>
              </w:rPr>
            </w:pPr>
          </w:p>
        </w:tc>
        <w:tc>
          <w:tcPr>
            <w:tcW w:w="3521" w:type="dxa"/>
            <w:vAlign w:val="top"/>
          </w:tcPr>
          <w:p w14:paraId="29333004">
            <w:pPr>
              <w:spacing w:before="183" w:line="306" w:lineRule="auto"/>
              <w:ind w:left="136" w:right="1782"/>
              <w:jc w:val="both"/>
              <w:rPr>
                <w:rFonts w:ascii="宋体" w:hAnsi="宋体" w:eastAsia="宋体" w:cs="宋体"/>
                <w:sz w:val="20"/>
                <w:szCs w:val="20"/>
              </w:rPr>
            </w:pPr>
            <w:r>
              <w:rPr>
                <w:rFonts w:ascii="宋体" w:hAnsi="宋体" w:eastAsia="宋体" w:cs="宋体"/>
                <w:spacing w:val="-2"/>
                <w:sz w:val="20"/>
                <w:szCs w:val="20"/>
              </w:rPr>
              <w:t>新建、改建或扩建</w:t>
            </w:r>
            <w:r>
              <w:rPr>
                <w:rFonts w:ascii="宋体" w:hAnsi="宋体" w:eastAsia="宋体" w:cs="宋体"/>
                <w:spacing w:val="6"/>
                <w:sz w:val="20"/>
                <w:szCs w:val="20"/>
              </w:rPr>
              <w:t xml:space="preserve"> </w:t>
            </w:r>
            <w:r>
              <w:rPr>
                <w:rFonts w:ascii="宋体" w:hAnsi="宋体" w:eastAsia="宋体" w:cs="宋体"/>
                <w:spacing w:val="-2"/>
                <w:sz w:val="20"/>
                <w:szCs w:val="20"/>
              </w:rPr>
              <w:t>设备的购置或改进</w:t>
            </w:r>
            <w:r>
              <w:rPr>
                <w:rFonts w:ascii="宋体" w:hAnsi="宋体" w:eastAsia="宋体" w:cs="宋体"/>
                <w:spacing w:val="4"/>
                <w:sz w:val="20"/>
                <w:szCs w:val="20"/>
              </w:rPr>
              <w:t xml:space="preserve"> </w:t>
            </w:r>
            <w:r>
              <w:rPr>
                <w:rFonts w:ascii="宋体" w:hAnsi="宋体" w:eastAsia="宋体" w:cs="宋体"/>
                <w:spacing w:val="-2"/>
                <w:sz w:val="20"/>
                <w:szCs w:val="20"/>
              </w:rPr>
              <w:t>工业设施维修</w:t>
            </w:r>
          </w:p>
        </w:tc>
      </w:tr>
      <w:tr w14:paraId="6BD45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922" w:type="dxa"/>
            <w:vAlign w:val="top"/>
          </w:tcPr>
          <w:p w14:paraId="542E8742">
            <w:pPr>
              <w:rPr>
                <w:rFonts w:ascii="Arial"/>
                <w:sz w:val="21"/>
              </w:rPr>
            </w:pPr>
          </w:p>
        </w:tc>
        <w:tc>
          <w:tcPr>
            <w:tcW w:w="2926" w:type="dxa"/>
            <w:vAlign w:val="top"/>
          </w:tcPr>
          <w:p w14:paraId="0C2DCE8D">
            <w:pPr>
              <w:spacing w:before="116" w:line="219" w:lineRule="auto"/>
              <w:ind w:left="122"/>
              <w:rPr>
                <w:rFonts w:ascii="宋体" w:hAnsi="宋体" w:eastAsia="宋体" w:cs="宋体"/>
                <w:sz w:val="20"/>
                <w:szCs w:val="20"/>
              </w:rPr>
            </w:pPr>
            <w:r>
              <w:rPr>
                <w:rFonts w:ascii="宋体" w:hAnsi="宋体" w:eastAsia="宋体" w:cs="宋体"/>
                <w:spacing w:val="-2"/>
                <w:sz w:val="20"/>
                <w:szCs w:val="20"/>
              </w:rPr>
              <w:t>通用保障设备</w:t>
            </w:r>
          </w:p>
        </w:tc>
        <w:tc>
          <w:tcPr>
            <w:tcW w:w="3521" w:type="dxa"/>
            <w:vAlign w:val="top"/>
          </w:tcPr>
          <w:p w14:paraId="3665F4CB">
            <w:pPr>
              <w:rPr>
                <w:rFonts w:ascii="Arial"/>
                <w:sz w:val="21"/>
              </w:rPr>
            </w:pPr>
          </w:p>
        </w:tc>
      </w:tr>
      <w:tr w14:paraId="1632B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8" w:hRule="atLeast"/>
        </w:trPr>
        <w:tc>
          <w:tcPr>
            <w:tcW w:w="2922" w:type="dxa"/>
            <w:vAlign w:val="top"/>
          </w:tcPr>
          <w:p w14:paraId="37CB1C6F">
            <w:pPr>
              <w:rPr>
                <w:rFonts w:ascii="Arial"/>
                <w:sz w:val="21"/>
              </w:rPr>
            </w:pPr>
          </w:p>
        </w:tc>
        <w:tc>
          <w:tcPr>
            <w:tcW w:w="2926" w:type="dxa"/>
            <w:vAlign w:val="top"/>
          </w:tcPr>
          <w:p w14:paraId="5692EE5B">
            <w:pPr>
              <w:rPr>
                <w:rFonts w:ascii="Arial"/>
                <w:sz w:val="21"/>
              </w:rPr>
            </w:pPr>
          </w:p>
        </w:tc>
        <w:tc>
          <w:tcPr>
            <w:tcW w:w="3521" w:type="dxa"/>
            <w:vAlign w:val="top"/>
          </w:tcPr>
          <w:p w14:paraId="69DF585E">
            <w:pPr>
              <w:spacing w:before="175" w:line="316" w:lineRule="auto"/>
              <w:ind w:left="136" w:right="1564"/>
              <w:rPr>
                <w:rFonts w:ascii="宋体" w:hAnsi="宋体" w:eastAsia="宋体" w:cs="宋体"/>
                <w:sz w:val="20"/>
                <w:szCs w:val="20"/>
              </w:rPr>
            </w:pPr>
            <w:r>
              <w:rPr>
                <w:rFonts w:ascii="宋体" w:hAnsi="宋体" w:eastAsia="宋体" w:cs="宋体"/>
                <w:spacing w:val="-1"/>
                <w:sz w:val="20"/>
                <w:szCs w:val="20"/>
              </w:rPr>
              <w:t>基层级通用保障设备</w:t>
            </w:r>
            <w:r>
              <w:rPr>
                <w:rFonts w:ascii="宋体" w:hAnsi="宋体" w:eastAsia="宋体" w:cs="宋体"/>
                <w:sz w:val="20"/>
                <w:szCs w:val="20"/>
              </w:rPr>
              <w:t xml:space="preserve"> </w:t>
            </w:r>
            <w:r>
              <w:rPr>
                <w:rFonts w:ascii="宋体" w:hAnsi="宋体" w:eastAsia="宋体" w:cs="宋体"/>
                <w:spacing w:val="1"/>
                <w:sz w:val="20"/>
                <w:szCs w:val="20"/>
              </w:rPr>
              <w:t>中继级通用保障设备</w:t>
            </w:r>
          </w:p>
          <w:p w14:paraId="7F5B75DF">
            <w:pPr>
              <w:spacing w:before="6" w:line="219" w:lineRule="auto"/>
              <w:ind w:left="136"/>
              <w:rPr>
                <w:rFonts w:ascii="宋体" w:hAnsi="宋体" w:eastAsia="宋体" w:cs="宋体"/>
                <w:sz w:val="20"/>
                <w:szCs w:val="20"/>
              </w:rPr>
            </w:pPr>
            <w:r>
              <w:rPr>
                <w:rFonts w:ascii="宋体" w:hAnsi="宋体" w:eastAsia="宋体" w:cs="宋体"/>
                <w:spacing w:val="-1"/>
                <w:sz w:val="20"/>
                <w:szCs w:val="20"/>
              </w:rPr>
              <w:t>基地级通用保障设备</w:t>
            </w:r>
          </w:p>
        </w:tc>
      </w:tr>
      <w:tr w14:paraId="1D057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2922" w:type="dxa"/>
            <w:vAlign w:val="top"/>
          </w:tcPr>
          <w:p w14:paraId="6A92C40E">
            <w:pPr>
              <w:rPr>
                <w:rFonts w:ascii="Arial"/>
                <w:sz w:val="21"/>
              </w:rPr>
            </w:pPr>
          </w:p>
        </w:tc>
        <w:tc>
          <w:tcPr>
            <w:tcW w:w="2926" w:type="dxa"/>
            <w:vAlign w:val="top"/>
          </w:tcPr>
          <w:p w14:paraId="6B474DC0">
            <w:pPr>
              <w:spacing w:before="108" w:line="219" w:lineRule="auto"/>
              <w:ind w:left="122"/>
              <w:rPr>
                <w:rFonts w:ascii="宋体" w:hAnsi="宋体" w:eastAsia="宋体" w:cs="宋体"/>
                <w:sz w:val="20"/>
                <w:szCs w:val="20"/>
              </w:rPr>
            </w:pPr>
            <w:r>
              <w:rPr>
                <w:rFonts w:ascii="宋体" w:hAnsi="宋体" w:eastAsia="宋体" w:cs="宋体"/>
                <w:spacing w:val="-1"/>
                <w:sz w:val="20"/>
                <w:szCs w:val="20"/>
              </w:rPr>
              <w:t>初始备件和修理件</w:t>
            </w:r>
          </w:p>
        </w:tc>
        <w:tc>
          <w:tcPr>
            <w:tcW w:w="3521" w:type="dxa"/>
            <w:vAlign w:val="top"/>
          </w:tcPr>
          <w:p w14:paraId="50012560">
            <w:pPr>
              <w:rPr>
                <w:rFonts w:ascii="Arial"/>
                <w:sz w:val="21"/>
              </w:rPr>
            </w:pPr>
          </w:p>
        </w:tc>
      </w:tr>
    </w:tbl>
    <w:p w14:paraId="2F98A5DF">
      <w:pPr>
        <w:spacing w:before="232" w:line="221" w:lineRule="auto"/>
        <w:rPr>
          <w:rFonts w:ascii="黑体" w:hAnsi="黑体" w:eastAsia="黑体" w:cs="黑体"/>
          <w:sz w:val="24"/>
          <w:szCs w:val="24"/>
        </w:rPr>
      </w:pPr>
      <w:r>
        <w:rPr>
          <w:rFonts w:ascii="黑体" w:hAnsi="黑体" w:eastAsia="黑体" w:cs="黑体"/>
          <w:spacing w:val="27"/>
          <w:sz w:val="24"/>
          <w:szCs w:val="24"/>
        </w:rPr>
        <w:t>2</w:t>
      </w:r>
      <w:r>
        <w:rPr>
          <w:rFonts w:ascii="黑体" w:hAnsi="黑体" w:eastAsia="黑体" w:cs="黑体"/>
          <w:spacing w:val="43"/>
          <w:sz w:val="24"/>
          <w:szCs w:val="24"/>
        </w:rPr>
        <w:t xml:space="preserve">  </w:t>
      </w:r>
      <w:r>
        <w:rPr>
          <w:rFonts w:ascii="黑体" w:hAnsi="黑体" w:eastAsia="黑体" w:cs="黑体"/>
          <w:spacing w:val="27"/>
          <w:sz w:val="24"/>
          <w:szCs w:val="24"/>
        </w:rPr>
        <w:t>单元说明</w:t>
      </w:r>
    </w:p>
    <w:p w14:paraId="7E548514">
      <w:pPr>
        <w:spacing w:before="143" w:line="221" w:lineRule="auto"/>
        <w:rPr>
          <w:rFonts w:ascii="黑体" w:hAnsi="黑体" w:eastAsia="黑体" w:cs="黑体"/>
          <w:sz w:val="24"/>
          <w:szCs w:val="24"/>
        </w:rPr>
      </w:pPr>
      <w:r>
        <w:rPr>
          <w:rFonts w:ascii="黑体" w:hAnsi="黑体" w:eastAsia="黑体" w:cs="黑体"/>
          <w:spacing w:val="19"/>
          <w:sz w:val="24"/>
          <w:szCs w:val="24"/>
        </w:rPr>
        <w:t>2.1</w:t>
      </w:r>
      <w:r>
        <w:rPr>
          <w:rFonts w:ascii="黑体" w:hAnsi="黑体" w:eastAsia="黑体" w:cs="黑体"/>
          <w:spacing w:val="47"/>
          <w:sz w:val="24"/>
          <w:szCs w:val="24"/>
        </w:rPr>
        <w:t xml:space="preserve">  </w:t>
      </w:r>
      <w:r>
        <w:rPr>
          <w:rFonts w:ascii="黑体" w:hAnsi="黑体" w:eastAsia="黑体" w:cs="黑体"/>
          <w:spacing w:val="19"/>
          <w:sz w:val="24"/>
          <w:szCs w:val="24"/>
        </w:rPr>
        <w:t>飞机系统</w:t>
      </w:r>
    </w:p>
    <w:p w14:paraId="42568F81">
      <w:pPr>
        <w:spacing w:before="113" w:line="280" w:lineRule="auto"/>
        <w:ind w:right="32" w:firstLine="560"/>
        <w:jc w:val="both"/>
        <w:rPr>
          <w:rFonts w:ascii="宋体" w:hAnsi="宋体" w:eastAsia="宋体" w:cs="宋体"/>
          <w:sz w:val="27"/>
          <w:szCs w:val="27"/>
        </w:rPr>
      </w:pPr>
      <w:r>
        <w:rPr>
          <w:rFonts w:ascii="宋体" w:hAnsi="宋体" w:eastAsia="宋体" w:cs="宋体"/>
          <w:spacing w:val="9"/>
          <w:sz w:val="27"/>
          <w:szCs w:val="27"/>
        </w:rPr>
        <w:t>飞机系统单元是指研制和生产使用固定翼(活动翼或复合翼),预计在大气</w:t>
      </w:r>
      <w:r>
        <w:rPr>
          <w:rFonts w:ascii="宋体" w:hAnsi="宋体" w:eastAsia="宋体" w:cs="宋体"/>
          <w:spacing w:val="5"/>
          <w:sz w:val="27"/>
          <w:szCs w:val="27"/>
        </w:rPr>
        <w:t xml:space="preserve"> </w:t>
      </w:r>
      <w:r>
        <w:rPr>
          <w:rFonts w:ascii="宋体" w:hAnsi="宋体" w:eastAsia="宋体" w:cs="宋体"/>
          <w:spacing w:val="-2"/>
          <w:sz w:val="27"/>
          <w:szCs w:val="27"/>
        </w:rPr>
        <w:t>中进行有动力或无动力飞行的，有人驾驶的飞机系统所需的</w:t>
      </w:r>
      <w:r>
        <w:rPr>
          <w:rFonts w:ascii="宋体" w:hAnsi="宋体" w:eastAsia="宋体" w:cs="宋体"/>
          <w:spacing w:val="-3"/>
          <w:sz w:val="27"/>
          <w:szCs w:val="27"/>
        </w:rPr>
        <w:t>设备、资料、服务和</w:t>
      </w:r>
      <w:r>
        <w:rPr>
          <w:rFonts w:ascii="宋体" w:hAnsi="宋体" w:eastAsia="宋体" w:cs="宋体"/>
          <w:sz w:val="27"/>
          <w:szCs w:val="27"/>
        </w:rPr>
        <w:t xml:space="preserve"> 设施的综合体。</w:t>
      </w:r>
    </w:p>
    <w:p w14:paraId="5C993A08">
      <w:pPr>
        <w:pStyle w:val="2"/>
        <w:spacing w:before="46" w:line="224" w:lineRule="auto"/>
        <w:rPr>
          <w:rFonts w:ascii="黑体" w:hAnsi="黑体" w:eastAsia="黑体" w:cs="黑体"/>
          <w:sz w:val="24"/>
          <w:szCs w:val="24"/>
        </w:rPr>
      </w:pPr>
      <w:r>
        <w:rPr>
          <w:spacing w:val="-3"/>
          <w:sz w:val="24"/>
          <w:szCs w:val="24"/>
        </w:rPr>
        <w:t xml:space="preserve">2.1.1       </w:t>
      </w:r>
      <w:r>
        <w:rPr>
          <w:rFonts w:ascii="黑体" w:hAnsi="黑体" w:eastAsia="黑体" w:cs="黑体"/>
          <w:spacing w:val="-3"/>
          <w:sz w:val="24"/>
          <w:szCs w:val="24"/>
        </w:rPr>
        <w:t>飞</w:t>
      </w:r>
      <w:r>
        <w:rPr>
          <w:rFonts w:ascii="黑体" w:hAnsi="黑体" w:eastAsia="黑体" w:cs="黑体"/>
          <w:spacing w:val="-24"/>
          <w:sz w:val="24"/>
          <w:szCs w:val="24"/>
        </w:rPr>
        <w:t xml:space="preserve"> </w:t>
      </w:r>
      <w:r>
        <w:rPr>
          <w:rFonts w:ascii="黑体" w:hAnsi="黑体" w:eastAsia="黑体" w:cs="黑体"/>
          <w:spacing w:val="-3"/>
          <w:sz w:val="24"/>
          <w:szCs w:val="24"/>
        </w:rPr>
        <w:t>机</w:t>
      </w:r>
    </w:p>
    <w:p w14:paraId="21A4A54D">
      <w:pPr>
        <w:spacing w:before="108" w:line="279" w:lineRule="auto"/>
        <w:ind w:right="9" w:firstLine="560"/>
        <w:jc w:val="both"/>
        <w:rPr>
          <w:rFonts w:ascii="宋体" w:hAnsi="宋体" w:eastAsia="宋体" w:cs="宋体"/>
          <w:sz w:val="27"/>
          <w:szCs w:val="27"/>
        </w:rPr>
      </w:pPr>
      <w:r>
        <w:rPr>
          <w:rFonts w:ascii="宋体" w:hAnsi="宋体" w:eastAsia="宋体" w:cs="宋体"/>
          <w:spacing w:val="6"/>
          <w:sz w:val="27"/>
          <w:szCs w:val="27"/>
        </w:rPr>
        <w:t>飞机单元是指完整的可以飞离制造厂的新飞机。它包括机体、推进装置及</w:t>
      </w:r>
      <w:r>
        <w:rPr>
          <w:rFonts w:ascii="宋体" w:hAnsi="宋体" w:eastAsia="宋体" w:cs="宋体"/>
          <w:spacing w:val="2"/>
          <w:sz w:val="27"/>
          <w:szCs w:val="27"/>
        </w:rPr>
        <w:t xml:space="preserve"> </w:t>
      </w:r>
      <w:r>
        <w:rPr>
          <w:rFonts w:ascii="宋体" w:hAnsi="宋体" w:eastAsia="宋体" w:cs="宋体"/>
          <w:spacing w:val="5"/>
          <w:sz w:val="27"/>
          <w:szCs w:val="27"/>
        </w:rPr>
        <w:t>其他所有安装设备。本单元包括与整机的研制和生产有关的全部工作，也包括</w:t>
      </w:r>
      <w:r>
        <w:rPr>
          <w:rFonts w:ascii="宋体" w:hAnsi="宋体" w:eastAsia="宋体" w:cs="宋体"/>
          <w:spacing w:val="9"/>
          <w:sz w:val="27"/>
          <w:szCs w:val="27"/>
        </w:rPr>
        <w:t xml:space="preserve"> 把所有遗留的(即未包括在机体单元内的)3级单元装入机体以构成完整的飞机</w:t>
      </w:r>
      <w:r>
        <w:rPr>
          <w:rFonts w:ascii="宋体" w:hAnsi="宋体" w:eastAsia="宋体" w:cs="宋体"/>
          <w:sz w:val="27"/>
          <w:szCs w:val="27"/>
        </w:rPr>
        <w:t xml:space="preserve"> </w:t>
      </w:r>
      <w:r>
        <w:rPr>
          <w:rFonts w:ascii="宋体" w:hAnsi="宋体" w:eastAsia="宋体" w:cs="宋体"/>
          <w:spacing w:val="2"/>
          <w:sz w:val="27"/>
          <w:szCs w:val="27"/>
        </w:rPr>
        <w:t>所进行的安装和检测工作。</w:t>
      </w:r>
    </w:p>
    <w:p w14:paraId="2530E3E9">
      <w:pPr>
        <w:spacing w:before="29" w:line="224" w:lineRule="auto"/>
        <w:rPr>
          <w:rFonts w:ascii="黑体" w:hAnsi="黑体" w:eastAsia="黑体" w:cs="黑体"/>
          <w:sz w:val="25"/>
          <w:szCs w:val="25"/>
        </w:rPr>
      </w:pPr>
      <w:r>
        <w:rPr>
          <w:rFonts w:ascii="黑体" w:hAnsi="黑体" w:eastAsia="黑体" w:cs="黑体"/>
          <w:spacing w:val="4"/>
          <w:sz w:val="25"/>
          <w:szCs w:val="25"/>
        </w:rPr>
        <w:t>2.1.1.1</w:t>
      </w:r>
      <w:r>
        <w:rPr>
          <w:rFonts w:ascii="黑体" w:hAnsi="黑体" w:eastAsia="黑体" w:cs="黑体"/>
          <w:spacing w:val="62"/>
          <w:sz w:val="25"/>
          <w:szCs w:val="25"/>
        </w:rPr>
        <w:t xml:space="preserve">  </w:t>
      </w:r>
      <w:r>
        <w:rPr>
          <w:rFonts w:ascii="黑体" w:hAnsi="黑体" w:eastAsia="黑体" w:cs="黑体"/>
          <w:spacing w:val="4"/>
          <w:sz w:val="25"/>
          <w:szCs w:val="25"/>
        </w:rPr>
        <w:t>机体</w:t>
      </w:r>
    </w:p>
    <w:p w14:paraId="0F249F2A">
      <w:pPr>
        <w:spacing w:before="163" w:line="304" w:lineRule="auto"/>
        <w:ind w:right="42" w:firstLine="560"/>
        <w:rPr>
          <w:rFonts w:ascii="宋体" w:hAnsi="宋体" w:eastAsia="宋体" w:cs="宋体"/>
          <w:sz w:val="25"/>
          <w:szCs w:val="25"/>
        </w:rPr>
      </w:pPr>
      <w:r>
        <w:rPr>
          <w:rFonts w:ascii="宋体" w:hAnsi="宋体" w:eastAsia="宋体" w:cs="宋体"/>
          <w:spacing w:val="25"/>
          <w:sz w:val="25"/>
          <w:szCs w:val="25"/>
        </w:rPr>
        <w:t>机体单元是指装配好的飞机结构和空气动力部件，它们承载着完成特定任</w:t>
      </w:r>
      <w:r>
        <w:rPr>
          <w:rFonts w:ascii="宋体" w:hAnsi="宋体" w:eastAsia="宋体" w:cs="宋体"/>
          <w:sz w:val="25"/>
          <w:szCs w:val="25"/>
        </w:rPr>
        <w:t xml:space="preserve"> </w:t>
      </w:r>
      <w:r>
        <w:rPr>
          <w:rFonts w:ascii="宋体" w:hAnsi="宋体" w:eastAsia="宋体" w:cs="宋体"/>
          <w:spacing w:val="10"/>
          <w:sz w:val="25"/>
          <w:szCs w:val="25"/>
        </w:rPr>
        <w:t>务的重要功能系统。例如本单元包括：基本结构件(机翼、尾翼</w:t>
      </w:r>
      <w:r>
        <w:rPr>
          <w:rFonts w:ascii="宋体" w:hAnsi="宋体" w:eastAsia="宋体" w:cs="宋体"/>
          <w:spacing w:val="9"/>
          <w:sz w:val="25"/>
          <w:szCs w:val="25"/>
        </w:rPr>
        <w:t>、机身)、人工飞行</w:t>
      </w:r>
    </w:p>
    <w:p w14:paraId="63A04A8D">
      <w:pPr>
        <w:spacing w:line="304" w:lineRule="auto"/>
        <w:rPr>
          <w:rFonts w:ascii="宋体" w:hAnsi="宋体" w:eastAsia="宋体" w:cs="宋体"/>
          <w:sz w:val="25"/>
          <w:szCs w:val="25"/>
        </w:rPr>
        <w:sectPr>
          <w:footerReference r:id="rId38" w:type="default"/>
          <w:pgSz w:w="11910" w:h="17130"/>
          <w:pgMar w:top="400" w:right="1324" w:bottom="1737" w:left="1180" w:header="0" w:footer="1520" w:gutter="0"/>
          <w:cols w:space="720" w:num="1"/>
        </w:sectPr>
      </w:pPr>
    </w:p>
    <w:p w14:paraId="44854DED">
      <w:pPr>
        <w:pStyle w:val="2"/>
        <w:spacing w:line="252" w:lineRule="auto"/>
      </w:pPr>
    </w:p>
    <w:p w14:paraId="005DF4F6">
      <w:pPr>
        <w:pStyle w:val="2"/>
        <w:spacing w:line="252" w:lineRule="auto"/>
      </w:pPr>
    </w:p>
    <w:p w14:paraId="702ADDC9">
      <w:pPr>
        <w:pStyle w:val="2"/>
        <w:spacing w:line="253" w:lineRule="auto"/>
      </w:pPr>
    </w:p>
    <w:p w14:paraId="20AC67CD">
      <w:pPr>
        <w:pStyle w:val="2"/>
        <w:spacing w:line="253" w:lineRule="auto"/>
      </w:pPr>
    </w:p>
    <w:p w14:paraId="013D0F8E">
      <w:pPr>
        <w:spacing w:before="88" w:line="279" w:lineRule="auto"/>
        <w:jc w:val="both"/>
        <w:rPr>
          <w:rFonts w:ascii="宋体" w:hAnsi="宋体" w:eastAsia="宋体" w:cs="宋体"/>
          <w:sz w:val="27"/>
          <w:szCs w:val="27"/>
        </w:rPr>
      </w:pPr>
      <w:r>
        <w:rPr>
          <w:rFonts w:ascii="宋体" w:hAnsi="宋体" w:eastAsia="宋体" w:cs="宋体"/>
          <w:spacing w:val="-16"/>
          <w:sz w:val="27"/>
          <w:szCs w:val="27"/>
        </w:rPr>
        <w:t>操纵系统、液压和冷气系统、燃油系统、电气系统、环</w:t>
      </w:r>
      <w:r>
        <w:rPr>
          <w:rFonts w:ascii="宋体" w:hAnsi="宋体" w:eastAsia="宋体" w:cs="宋体"/>
          <w:spacing w:val="-17"/>
          <w:sz w:val="27"/>
          <w:szCs w:val="27"/>
        </w:rPr>
        <w:t>控系统、防冰除雨系统、进气</w:t>
      </w:r>
      <w:r>
        <w:rPr>
          <w:rFonts w:ascii="宋体" w:hAnsi="宋体" w:eastAsia="宋体" w:cs="宋体"/>
          <w:sz w:val="27"/>
          <w:szCs w:val="27"/>
        </w:rPr>
        <w:t xml:space="preserve"> </w:t>
      </w:r>
      <w:r>
        <w:rPr>
          <w:rFonts w:ascii="宋体" w:hAnsi="宋体" w:eastAsia="宋体" w:cs="宋体"/>
          <w:spacing w:val="-20"/>
          <w:sz w:val="27"/>
          <w:szCs w:val="27"/>
        </w:rPr>
        <w:t>系统、起动机、排气装置、进气道控制系统、起落架(轮胎、减震支柱、机</w:t>
      </w:r>
      <w:r>
        <w:rPr>
          <w:rFonts w:ascii="宋体" w:hAnsi="宋体" w:eastAsia="宋体" w:cs="宋体"/>
          <w:spacing w:val="-21"/>
          <w:sz w:val="27"/>
          <w:szCs w:val="27"/>
        </w:rPr>
        <w:t>轮、刹车装</w:t>
      </w:r>
      <w:r>
        <w:rPr>
          <w:rFonts w:ascii="宋体" w:hAnsi="宋体" w:eastAsia="宋体" w:cs="宋体"/>
          <w:sz w:val="27"/>
          <w:szCs w:val="27"/>
        </w:rPr>
        <w:t xml:space="preserve">  </w:t>
      </w:r>
      <w:r>
        <w:rPr>
          <w:rFonts w:ascii="宋体" w:hAnsi="宋体" w:eastAsia="宋体" w:cs="宋体"/>
          <w:spacing w:val="-16"/>
          <w:sz w:val="27"/>
          <w:szCs w:val="27"/>
        </w:rPr>
        <w:t>置、液压装置等)、辅助动力、舱内设备(用于货</w:t>
      </w:r>
      <w:r>
        <w:rPr>
          <w:rFonts w:ascii="宋体" w:hAnsi="宋体" w:eastAsia="宋体" w:cs="宋体"/>
          <w:spacing w:val="-17"/>
          <w:sz w:val="27"/>
          <w:szCs w:val="27"/>
        </w:rPr>
        <w:t>物、旅客、军队等)、油门操纵系统、</w:t>
      </w:r>
      <w:r>
        <w:rPr>
          <w:rFonts w:ascii="宋体" w:hAnsi="宋体" w:eastAsia="宋体" w:cs="宋体"/>
          <w:sz w:val="27"/>
          <w:szCs w:val="27"/>
        </w:rPr>
        <w:t xml:space="preserve"> </w:t>
      </w:r>
      <w:r>
        <w:rPr>
          <w:rFonts w:ascii="宋体" w:hAnsi="宋体" w:eastAsia="宋体" w:cs="宋体"/>
          <w:spacing w:val="-10"/>
          <w:sz w:val="27"/>
          <w:szCs w:val="27"/>
        </w:rPr>
        <w:t>仪表(飞行仪表、导航仪表、发动机仪表等)、</w:t>
      </w:r>
      <w:r>
        <w:rPr>
          <w:rFonts w:ascii="宋体" w:hAnsi="宋体" w:eastAsia="宋体" w:cs="宋体"/>
          <w:spacing w:val="-11"/>
          <w:sz w:val="27"/>
          <w:szCs w:val="27"/>
        </w:rPr>
        <w:t>炸弹架、</w:t>
      </w:r>
      <w:r>
        <w:rPr>
          <w:rFonts w:ascii="宋体" w:hAnsi="宋体" w:eastAsia="宋体" w:cs="宋体"/>
          <w:b/>
          <w:bCs/>
          <w:spacing w:val="-11"/>
          <w:sz w:val="27"/>
          <w:szCs w:val="27"/>
        </w:rPr>
        <w:t>炮架</w:t>
      </w:r>
      <w:r>
        <w:rPr>
          <w:rFonts w:ascii="宋体" w:hAnsi="宋体" w:eastAsia="宋体" w:cs="宋体"/>
          <w:spacing w:val="-11"/>
          <w:sz w:val="27"/>
          <w:szCs w:val="27"/>
        </w:rPr>
        <w:t>、系统间电缆和布线盒</w:t>
      </w:r>
      <w:r>
        <w:rPr>
          <w:rFonts w:ascii="宋体" w:hAnsi="宋体" w:eastAsia="宋体" w:cs="宋体"/>
          <w:sz w:val="27"/>
          <w:szCs w:val="27"/>
        </w:rPr>
        <w:t xml:space="preserve">  </w:t>
      </w:r>
      <w:r>
        <w:rPr>
          <w:rFonts w:ascii="宋体" w:hAnsi="宋体" w:eastAsia="宋体" w:cs="宋体"/>
          <w:spacing w:val="1"/>
          <w:sz w:val="27"/>
          <w:szCs w:val="27"/>
        </w:rPr>
        <w:t>(与组装结构不可分)等。</w:t>
      </w:r>
    </w:p>
    <w:p w14:paraId="5B97383E">
      <w:pPr>
        <w:spacing w:before="35" w:line="283" w:lineRule="auto"/>
        <w:ind w:right="85" w:firstLine="560"/>
        <w:rPr>
          <w:rFonts w:ascii="宋体" w:hAnsi="宋体" w:eastAsia="宋体" w:cs="宋体"/>
          <w:sz w:val="27"/>
          <w:szCs w:val="27"/>
        </w:rPr>
      </w:pPr>
      <w:r>
        <w:rPr>
          <w:rFonts w:ascii="宋体" w:hAnsi="宋体" w:eastAsia="宋体" w:cs="宋体"/>
          <w:spacing w:val="18"/>
          <w:sz w:val="27"/>
          <w:szCs w:val="27"/>
        </w:rPr>
        <w:t>本单元也包括</w:t>
      </w:r>
      <w:r>
        <w:rPr>
          <w:rFonts w:ascii="Times New Roman" w:hAnsi="Times New Roman" w:eastAsia="Times New Roman" w:cs="Times New Roman"/>
          <w:sz w:val="27"/>
          <w:szCs w:val="27"/>
        </w:rPr>
        <w:t>GJB</w:t>
      </w:r>
      <w:r>
        <w:rPr>
          <w:rFonts w:ascii="Times New Roman" w:hAnsi="Times New Roman" w:eastAsia="Times New Roman" w:cs="Times New Roman"/>
          <w:spacing w:val="34"/>
          <w:sz w:val="27"/>
          <w:szCs w:val="27"/>
        </w:rPr>
        <w:t xml:space="preserve">  </w:t>
      </w:r>
      <w:r>
        <w:rPr>
          <w:rFonts w:ascii="Times New Roman" w:hAnsi="Times New Roman" w:eastAsia="Times New Roman" w:cs="Times New Roman"/>
          <w:spacing w:val="18"/>
          <w:sz w:val="27"/>
          <w:szCs w:val="27"/>
        </w:rPr>
        <w:t>2116</w:t>
      </w:r>
      <w:r>
        <w:rPr>
          <w:rFonts w:ascii="宋体" w:hAnsi="宋体" w:eastAsia="宋体" w:cs="宋体"/>
          <w:spacing w:val="18"/>
          <w:sz w:val="27"/>
          <w:szCs w:val="27"/>
        </w:rPr>
        <w:t>中5.5.2条规定的把其他3级设备组装到机体中</w:t>
      </w:r>
      <w:r>
        <w:rPr>
          <w:rFonts w:ascii="宋体" w:hAnsi="宋体" w:eastAsia="宋体" w:cs="宋体"/>
          <w:spacing w:val="1"/>
          <w:sz w:val="27"/>
          <w:szCs w:val="27"/>
        </w:rPr>
        <w:t xml:space="preserve"> </w:t>
      </w:r>
      <w:r>
        <w:rPr>
          <w:rFonts w:ascii="宋体" w:hAnsi="宋体" w:eastAsia="宋体" w:cs="宋体"/>
          <w:spacing w:val="2"/>
          <w:sz w:val="27"/>
          <w:szCs w:val="27"/>
        </w:rPr>
        <w:t>以构成一个整体所进行的全部工作。</w:t>
      </w:r>
    </w:p>
    <w:p w14:paraId="35814088">
      <w:pPr>
        <w:spacing w:before="43" w:line="224" w:lineRule="auto"/>
        <w:rPr>
          <w:rFonts w:ascii="黑体" w:hAnsi="黑体" w:eastAsia="黑体" w:cs="黑体"/>
          <w:sz w:val="24"/>
          <w:szCs w:val="24"/>
        </w:rPr>
      </w:pPr>
      <w:r>
        <w:rPr>
          <w:rFonts w:ascii="黑体" w:hAnsi="黑体" w:eastAsia="黑体" w:cs="黑体"/>
          <w:spacing w:val="12"/>
          <w:sz w:val="24"/>
          <w:szCs w:val="24"/>
        </w:rPr>
        <w:t>2.1.1.2</w:t>
      </w:r>
      <w:r>
        <w:rPr>
          <w:rFonts w:ascii="黑体" w:hAnsi="黑体" w:eastAsia="黑体" w:cs="黑体"/>
          <w:spacing w:val="17"/>
          <w:sz w:val="24"/>
          <w:szCs w:val="24"/>
        </w:rPr>
        <w:t xml:space="preserve">   </w:t>
      </w:r>
      <w:r>
        <w:rPr>
          <w:rFonts w:ascii="黑体" w:hAnsi="黑体" w:eastAsia="黑体" w:cs="黑体"/>
          <w:spacing w:val="12"/>
          <w:sz w:val="24"/>
          <w:szCs w:val="24"/>
        </w:rPr>
        <w:t>推进装置</w:t>
      </w:r>
    </w:p>
    <w:p w14:paraId="13F10D3F">
      <w:pPr>
        <w:spacing w:before="87" w:line="288" w:lineRule="auto"/>
        <w:ind w:firstLine="560"/>
        <w:jc w:val="both"/>
        <w:rPr>
          <w:rFonts w:ascii="宋体" w:hAnsi="宋体" w:eastAsia="宋体" w:cs="宋体"/>
          <w:sz w:val="27"/>
          <w:szCs w:val="27"/>
        </w:rPr>
      </w:pPr>
      <w:r>
        <w:rPr>
          <w:rFonts w:ascii="宋体" w:hAnsi="宋体" w:eastAsia="宋体" w:cs="宋体"/>
          <w:spacing w:val="6"/>
          <w:sz w:val="27"/>
          <w:szCs w:val="27"/>
        </w:rPr>
        <w:t>推进装置单元是指安装在飞机上为飞机提供飞</w:t>
      </w:r>
      <w:r>
        <w:rPr>
          <w:rFonts w:ascii="宋体" w:hAnsi="宋体" w:eastAsia="宋体" w:cs="宋体"/>
          <w:spacing w:val="5"/>
          <w:sz w:val="27"/>
          <w:szCs w:val="27"/>
        </w:rPr>
        <w:t>行动力的发动机及其有关附</w:t>
      </w:r>
      <w:r>
        <w:rPr>
          <w:rFonts w:ascii="宋体" w:hAnsi="宋体" w:eastAsia="宋体" w:cs="宋体"/>
          <w:sz w:val="27"/>
          <w:szCs w:val="27"/>
        </w:rPr>
        <w:t xml:space="preserve"> </w:t>
      </w:r>
      <w:r>
        <w:rPr>
          <w:rFonts w:ascii="宋体" w:hAnsi="宋体" w:eastAsia="宋体" w:cs="宋体"/>
          <w:spacing w:val="-3"/>
          <w:sz w:val="27"/>
          <w:szCs w:val="27"/>
        </w:rPr>
        <w:t>件。例如本单元包括发动机、发动机调节装置、反推装置、推力矢量装置、螺旋</w:t>
      </w:r>
      <w:r>
        <w:rPr>
          <w:rFonts w:ascii="宋体" w:hAnsi="宋体" w:eastAsia="宋体" w:cs="宋体"/>
          <w:spacing w:val="8"/>
          <w:sz w:val="27"/>
          <w:szCs w:val="27"/>
        </w:rPr>
        <w:t xml:space="preserve">  </w:t>
      </w:r>
      <w:r>
        <w:rPr>
          <w:rFonts w:ascii="宋体" w:hAnsi="宋体" w:eastAsia="宋体" w:cs="宋体"/>
          <w:spacing w:val="-3"/>
          <w:sz w:val="27"/>
          <w:szCs w:val="27"/>
        </w:rPr>
        <w:t>桨、传动装置、变速箱等。不是发动机本体组成部分的所有外围设备(如进气道、</w:t>
      </w:r>
      <w:r>
        <w:rPr>
          <w:rFonts w:ascii="宋体" w:hAnsi="宋体" w:eastAsia="宋体" w:cs="宋体"/>
          <w:spacing w:val="7"/>
          <w:sz w:val="27"/>
          <w:szCs w:val="27"/>
        </w:rPr>
        <w:t xml:space="preserve"> </w:t>
      </w:r>
      <w:r>
        <w:rPr>
          <w:rFonts w:ascii="宋体" w:hAnsi="宋体" w:eastAsia="宋体" w:cs="宋体"/>
          <w:spacing w:val="-10"/>
          <w:sz w:val="27"/>
          <w:szCs w:val="27"/>
        </w:rPr>
        <w:t>发动机仪表、发动机控制装置、排气装置、起动装置、补</w:t>
      </w:r>
      <w:r>
        <w:rPr>
          <w:rFonts w:ascii="宋体" w:hAnsi="宋体" w:eastAsia="宋体" w:cs="宋体"/>
          <w:spacing w:val="-11"/>
          <w:sz w:val="27"/>
          <w:szCs w:val="27"/>
        </w:rPr>
        <w:t>氧系统等)不包括在内。</w:t>
      </w:r>
    </w:p>
    <w:p w14:paraId="17BFF15C">
      <w:pPr>
        <w:spacing w:before="13" w:line="222" w:lineRule="auto"/>
        <w:rPr>
          <w:rFonts w:ascii="黑体" w:hAnsi="黑体" w:eastAsia="黑体" w:cs="黑体"/>
          <w:sz w:val="25"/>
          <w:szCs w:val="25"/>
        </w:rPr>
      </w:pPr>
      <w:r>
        <w:rPr>
          <w:rFonts w:ascii="黑体" w:hAnsi="黑体" w:eastAsia="黑体" w:cs="黑体"/>
          <w:spacing w:val="7"/>
          <w:sz w:val="25"/>
          <w:szCs w:val="25"/>
        </w:rPr>
        <w:t>2.1.1.</w:t>
      </w:r>
      <w:r>
        <w:rPr>
          <w:rFonts w:ascii="黑体" w:hAnsi="黑体" w:eastAsia="黑体" w:cs="黑体"/>
          <w:spacing w:val="-55"/>
          <w:sz w:val="25"/>
          <w:szCs w:val="25"/>
        </w:rPr>
        <w:t xml:space="preserve"> </w:t>
      </w:r>
      <w:r>
        <w:rPr>
          <w:rFonts w:ascii="黑体" w:hAnsi="黑体" w:eastAsia="黑体" w:cs="黑体"/>
          <w:spacing w:val="7"/>
          <w:sz w:val="25"/>
          <w:szCs w:val="25"/>
        </w:rPr>
        <w:t>3</w:t>
      </w:r>
      <w:r>
        <w:rPr>
          <w:rFonts w:ascii="黑体" w:hAnsi="黑体" w:eastAsia="黑体" w:cs="黑体"/>
          <w:spacing w:val="32"/>
          <w:sz w:val="25"/>
          <w:szCs w:val="25"/>
        </w:rPr>
        <w:t xml:space="preserve">  </w:t>
      </w:r>
      <w:r>
        <w:rPr>
          <w:rFonts w:ascii="黑体" w:hAnsi="黑体" w:eastAsia="黑体" w:cs="黑体"/>
          <w:spacing w:val="7"/>
          <w:sz w:val="25"/>
          <w:szCs w:val="25"/>
        </w:rPr>
        <w:t>通信设备</w:t>
      </w:r>
    </w:p>
    <w:p w14:paraId="02455805">
      <w:pPr>
        <w:spacing w:before="119" w:line="275" w:lineRule="auto"/>
        <w:ind w:right="95" w:firstLine="560"/>
        <w:jc w:val="both"/>
        <w:rPr>
          <w:rFonts w:ascii="宋体" w:hAnsi="宋体" w:eastAsia="宋体" w:cs="宋体"/>
          <w:sz w:val="27"/>
          <w:szCs w:val="27"/>
        </w:rPr>
      </w:pPr>
      <w:r>
        <w:rPr>
          <w:rFonts w:ascii="宋体" w:hAnsi="宋体" w:eastAsia="宋体" w:cs="宋体"/>
          <w:spacing w:val="6"/>
          <w:sz w:val="27"/>
          <w:szCs w:val="27"/>
        </w:rPr>
        <w:t>通信设备单元是指机内安装的用于通信的设备。例如本单元包括</w:t>
      </w:r>
      <w:r>
        <w:rPr>
          <w:rFonts w:ascii="宋体" w:hAnsi="宋体" w:eastAsia="宋体" w:cs="宋体"/>
          <w:spacing w:val="5"/>
          <w:sz w:val="27"/>
          <w:szCs w:val="27"/>
        </w:rPr>
        <w:t>无线通信</w:t>
      </w:r>
      <w:r>
        <w:rPr>
          <w:rFonts w:ascii="宋体" w:hAnsi="宋体" w:eastAsia="宋体" w:cs="宋体"/>
          <w:sz w:val="27"/>
          <w:szCs w:val="27"/>
        </w:rPr>
        <w:t xml:space="preserve"> </w:t>
      </w:r>
      <w:r>
        <w:rPr>
          <w:rFonts w:ascii="宋体" w:hAnsi="宋体" w:eastAsia="宋体" w:cs="宋体"/>
          <w:spacing w:val="-9"/>
          <w:sz w:val="27"/>
          <w:szCs w:val="27"/>
        </w:rPr>
        <w:t>设备、数据传输设备、天线、控制盒等。当通</w:t>
      </w:r>
      <w:r>
        <w:rPr>
          <w:rFonts w:ascii="宋体" w:hAnsi="宋体" w:eastAsia="宋体" w:cs="宋体"/>
          <w:spacing w:val="-10"/>
          <w:sz w:val="27"/>
          <w:szCs w:val="27"/>
        </w:rPr>
        <w:t>信、导航和敌我识别组装成一个整体</w:t>
      </w:r>
      <w:r>
        <w:rPr>
          <w:rFonts w:ascii="宋体" w:hAnsi="宋体" w:eastAsia="宋体" w:cs="宋体"/>
          <w:sz w:val="27"/>
          <w:szCs w:val="27"/>
        </w:rPr>
        <w:t xml:space="preserve"> </w:t>
      </w:r>
      <w:r>
        <w:rPr>
          <w:rFonts w:ascii="宋体" w:hAnsi="宋体" w:eastAsia="宋体" w:cs="宋体"/>
          <w:spacing w:val="-8"/>
          <w:sz w:val="27"/>
          <w:szCs w:val="27"/>
        </w:rPr>
        <w:t>时，它们包括在本单元内。</w:t>
      </w:r>
    </w:p>
    <w:p w14:paraId="5D348E7F">
      <w:pPr>
        <w:spacing w:before="73" w:line="222" w:lineRule="auto"/>
        <w:rPr>
          <w:rFonts w:ascii="黑体" w:hAnsi="黑体" w:eastAsia="黑体" w:cs="黑体"/>
          <w:sz w:val="24"/>
          <w:szCs w:val="24"/>
        </w:rPr>
      </w:pPr>
      <w:r>
        <w:rPr>
          <w:rFonts w:ascii="黑体" w:hAnsi="黑体" w:eastAsia="黑体" w:cs="黑体"/>
          <w:spacing w:val="16"/>
          <w:sz w:val="24"/>
          <w:szCs w:val="24"/>
        </w:rPr>
        <w:t>2.1.1.4   导航和制导设备</w:t>
      </w:r>
    </w:p>
    <w:p w14:paraId="4B8C5BFB">
      <w:pPr>
        <w:spacing w:before="112" w:line="287" w:lineRule="auto"/>
        <w:ind w:right="92" w:firstLine="560"/>
        <w:jc w:val="both"/>
        <w:rPr>
          <w:rFonts w:ascii="宋体" w:hAnsi="宋体" w:eastAsia="宋体" w:cs="宋体"/>
          <w:sz w:val="27"/>
          <w:szCs w:val="27"/>
        </w:rPr>
      </w:pPr>
      <w:r>
        <w:rPr>
          <w:rFonts w:ascii="宋体" w:hAnsi="宋体" w:eastAsia="宋体" w:cs="宋体"/>
          <w:spacing w:val="6"/>
          <w:sz w:val="27"/>
          <w:szCs w:val="27"/>
        </w:rPr>
        <w:t>导航和制导设备单元是指机内安装的用来完成导航和制导任务的设备。例</w:t>
      </w:r>
      <w:r>
        <w:rPr>
          <w:rFonts w:ascii="宋体" w:hAnsi="宋体" w:eastAsia="宋体" w:cs="宋体"/>
          <w:sz w:val="27"/>
          <w:szCs w:val="27"/>
        </w:rPr>
        <w:t xml:space="preserve"> </w:t>
      </w:r>
      <w:r>
        <w:rPr>
          <w:rFonts w:ascii="宋体" w:hAnsi="宋体" w:eastAsia="宋体" w:cs="宋体"/>
          <w:spacing w:val="-2"/>
          <w:sz w:val="27"/>
          <w:szCs w:val="27"/>
        </w:rPr>
        <w:t>如本单元包括航行雷达、高度和方向探测装置、多普勒雷达、自主式导航和大气</w:t>
      </w:r>
      <w:r>
        <w:rPr>
          <w:rFonts w:ascii="宋体" w:hAnsi="宋体" w:eastAsia="宋体" w:cs="宋体"/>
          <w:spacing w:val="6"/>
          <w:sz w:val="27"/>
          <w:szCs w:val="27"/>
        </w:rPr>
        <w:t xml:space="preserve"> </w:t>
      </w:r>
      <w:r>
        <w:rPr>
          <w:rFonts w:ascii="仿宋" w:hAnsi="仿宋" w:eastAsia="仿宋" w:cs="仿宋"/>
          <w:sz w:val="27"/>
          <w:szCs w:val="27"/>
        </w:rPr>
        <w:t>数据系统、</w:t>
      </w:r>
      <w:r>
        <w:rPr>
          <w:rFonts w:ascii="宋体" w:hAnsi="宋体" w:eastAsia="宋体" w:cs="宋体"/>
          <w:sz w:val="27"/>
          <w:szCs w:val="27"/>
        </w:rPr>
        <w:t>卫星导航及其他导航和制导设备。操纵台仪表不包括在内。</w:t>
      </w:r>
    </w:p>
    <w:p w14:paraId="0210C6EF">
      <w:pPr>
        <w:spacing w:before="10" w:line="221" w:lineRule="auto"/>
        <w:rPr>
          <w:rFonts w:ascii="黑体" w:hAnsi="黑体" w:eastAsia="黑体" w:cs="黑体"/>
          <w:sz w:val="25"/>
          <w:szCs w:val="25"/>
        </w:rPr>
      </w:pPr>
      <w:r>
        <w:rPr>
          <w:rFonts w:ascii="黑体" w:hAnsi="黑体" w:eastAsia="黑体" w:cs="黑体"/>
          <w:spacing w:val="11"/>
          <w:sz w:val="25"/>
          <w:szCs w:val="25"/>
        </w:rPr>
        <w:t>2.1.1.</w:t>
      </w:r>
      <w:r>
        <w:rPr>
          <w:rFonts w:ascii="黑体" w:hAnsi="黑体" w:eastAsia="黑体" w:cs="黑体"/>
          <w:spacing w:val="-44"/>
          <w:sz w:val="25"/>
          <w:szCs w:val="25"/>
        </w:rPr>
        <w:t xml:space="preserve"> </w:t>
      </w:r>
      <w:r>
        <w:rPr>
          <w:rFonts w:ascii="黑体" w:hAnsi="黑体" w:eastAsia="黑体" w:cs="黑体"/>
          <w:spacing w:val="11"/>
          <w:sz w:val="25"/>
          <w:szCs w:val="25"/>
        </w:rPr>
        <w:t>5</w:t>
      </w:r>
      <w:r>
        <w:rPr>
          <w:rFonts w:ascii="黑体" w:hAnsi="黑体" w:eastAsia="黑体" w:cs="黑体"/>
          <w:spacing w:val="24"/>
          <w:sz w:val="25"/>
          <w:szCs w:val="25"/>
        </w:rPr>
        <w:t xml:space="preserve">  </w:t>
      </w:r>
      <w:r>
        <w:rPr>
          <w:rFonts w:ascii="黑体" w:hAnsi="黑体" w:eastAsia="黑体" w:cs="黑体"/>
          <w:spacing w:val="11"/>
          <w:sz w:val="25"/>
          <w:szCs w:val="25"/>
        </w:rPr>
        <w:t>综合火控系统</w:t>
      </w:r>
    </w:p>
    <w:p w14:paraId="559524DA">
      <w:pPr>
        <w:spacing w:before="111" w:line="280" w:lineRule="auto"/>
        <w:ind w:right="96" w:firstLine="560"/>
        <w:jc w:val="both"/>
        <w:rPr>
          <w:rFonts w:ascii="宋体" w:hAnsi="宋体" w:eastAsia="宋体" w:cs="宋体"/>
          <w:sz w:val="27"/>
          <w:szCs w:val="27"/>
        </w:rPr>
      </w:pPr>
      <w:r>
        <w:rPr>
          <w:rFonts w:ascii="宋体" w:hAnsi="宋体" w:eastAsia="宋体" w:cs="宋体"/>
          <w:spacing w:val="-2"/>
          <w:sz w:val="27"/>
          <w:szCs w:val="27"/>
        </w:rPr>
        <w:t>综合火控单元是指机内安装的提供武器发射</w:t>
      </w:r>
      <w:r>
        <w:rPr>
          <w:rFonts w:ascii="宋体" w:hAnsi="宋体" w:eastAsia="宋体" w:cs="宋体"/>
          <w:spacing w:val="-3"/>
          <w:sz w:val="27"/>
          <w:szCs w:val="27"/>
        </w:rPr>
        <w:t>(轰炸、发射、射击)所必需的信</w:t>
      </w:r>
      <w:r>
        <w:rPr>
          <w:rFonts w:ascii="宋体" w:hAnsi="宋体" w:eastAsia="宋体" w:cs="宋体"/>
          <w:sz w:val="27"/>
          <w:szCs w:val="27"/>
        </w:rPr>
        <w:t xml:space="preserve"> </w:t>
      </w:r>
      <w:r>
        <w:rPr>
          <w:rFonts w:ascii="宋体" w:hAnsi="宋体" w:eastAsia="宋体" w:cs="宋体"/>
          <w:spacing w:val="6"/>
          <w:sz w:val="27"/>
          <w:szCs w:val="27"/>
        </w:rPr>
        <w:t>息的设备。例如本单元包括火控雷达及其他搜索</w:t>
      </w:r>
      <w:r>
        <w:rPr>
          <w:rFonts w:ascii="宋体" w:hAnsi="宋体" w:eastAsia="宋体" w:cs="宋体"/>
          <w:spacing w:val="5"/>
          <w:sz w:val="27"/>
          <w:szCs w:val="27"/>
        </w:rPr>
        <w:t>、截获及跟踪所需要的探测和</w:t>
      </w:r>
      <w:r>
        <w:rPr>
          <w:rFonts w:ascii="宋体" w:hAnsi="宋体" w:eastAsia="宋体" w:cs="宋体"/>
          <w:sz w:val="27"/>
          <w:szCs w:val="27"/>
        </w:rPr>
        <w:t xml:space="preserve"> </w:t>
      </w:r>
      <w:r>
        <w:rPr>
          <w:rFonts w:ascii="宋体" w:hAnsi="宋体" w:eastAsia="宋体" w:cs="宋体"/>
          <w:spacing w:val="-9"/>
          <w:sz w:val="27"/>
          <w:szCs w:val="27"/>
        </w:rPr>
        <w:t>测量设备，武器及外挂物管理系统，显示、观</w:t>
      </w:r>
      <w:r>
        <w:rPr>
          <w:rFonts w:ascii="宋体" w:hAnsi="宋体" w:eastAsia="宋体" w:cs="宋体"/>
          <w:spacing w:val="-10"/>
          <w:sz w:val="27"/>
          <w:szCs w:val="27"/>
        </w:rPr>
        <w:t>测装置，任务计算机、记录系统及控</w:t>
      </w:r>
      <w:r>
        <w:rPr>
          <w:rFonts w:ascii="宋体" w:hAnsi="宋体" w:eastAsia="宋体" w:cs="宋体"/>
          <w:sz w:val="27"/>
          <w:szCs w:val="27"/>
        </w:rPr>
        <w:t xml:space="preserve"> </w:t>
      </w:r>
      <w:r>
        <w:rPr>
          <w:rFonts w:ascii="宋体" w:hAnsi="宋体" w:eastAsia="宋体" w:cs="宋体"/>
          <w:spacing w:val="-1"/>
          <w:sz w:val="27"/>
          <w:szCs w:val="27"/>
        </w:rPr>
        <w:t>制和安全装置。</w:t>
      </w:r>
    </w:p>
    <w:p w14:paraId="10BA7402">
      <w:pPr>
        <w:spacing w:before="72" w:line="221" w:lineRule="auto"/>
        <w:rPr>
          <w:rFonts w:ascii="黑体" w:hAnsi="黑体" w:eastAsia="黑体" w:cs="黑体"/>
          <w:sz w:val="24"/>
          <w:szCs w:val="24"/>
        </w:rPr>
      </w:pPr>
      <w:r>
        <w:rPr>
          <w:rFonts w:ascii="黑体" w:hAnsi="黑体" w:eastAsia="黑体" w:cs="黑体"/>
          <w:spacing w:val="11"/>
          <w:sz w:val="24"/>
          <w:szCs w:val="24"/>
        </w:rPr>
        <w:t>2.1.1.</w:t>
      </w:r>
      <w:r>
        <w:rPr>
          <w:rFonts w:ascii="黑体" w:hAnsi="黑体" w:eastAsia="黑体" w:cs="黑体"/>
          <w:spacing w:val="-23"/>
          <w:sz w:val="24"/>
          <w:szCs w:val="24"/>
        </w:rPr>
        <w:t xml:space="preserve"> </w:t>
      </w:r>
      <w:r>
        <w:rPr>
          <w:rFonts w:ascii="黑体" w:hAnsi="黑体" w:eastAsia="黑体" w:cs="黑体"/>
          <w:spacing w:val="11"/>
          <w:sz w:val="24"/>
          <w:szCs w:val="24"/>
        </w:rPr>
        <w:t>6</w:t>
      </w:r>
      <w:r>
        <w:rPr>
          <w:rFonts w:ascii="黑体" w:hAnsi="黑体" w:eastAsia="黑体" w:cs="黑体"/>
          <w:spacing w:val="39"/>
          <w:sz w:val="24"/>
          <w:szCs w:val="24"/>
        </w:rPr>
        <w:t xml:space="preserve">  </w:t>
      </w:r>
      <w:r>
        <w:rPr>
          <w:rFonts w:ascii="黑体" w:hAnsi="黑体" w:eastAsia="黑体" w:cs="黑体"/>
          <w:spacing w:val="11"/>
          <w:sz w:val="24"/>
          <w:szCs w:val="24"/>
        </w:rPr>
        <w:t>突防设备</w:t>
      </w:r>
    </w:p>
    <w:p w14:paraId="2BE45F79">
      <w:pPr>
        <w:spacing w:before="127" w:line="281" w:lineRule="auto"/>
        <w:ind w:right="102" w:firstLine="560"/>
        <w:jc w:val="both"/>
        <w:rPr>
          <w:rFonts w:ascii="宋体" w:hAnsi="宋体" w:eastAsia="宋体" w:cs="宋体"/>
          <w:sz w:val="27"/>
          <w:szCs w:val="27"/>
        </w:rPr>
      </w:pPr>
      <w:r>
        <w:rPr>
          <w:rFonts w:ascii="宋体" w:hAnsi="宋体" w:eastAsia="宋体" w:cs="宋体"/>
          <w:spacing w:val="6"/>
          <w:sz w:val="27"/>
          <w:szCs w:val="27"/>
        </w:rPr>
        <w:t>突防设备单元是指机内安装的协助完成突防</w:t>
      </w:r>
      <w:r>
        <w:rPr>
          <w:rFonts w:ascii="宋体" w:hAnsi="宋体" w:eastAsia="宋体" w:cs="宋体"/>
          <w:spacing w:val="5"/>
          <w:sz w:val="27"/>
          <w:szCs w:val="27"/>
        </w:rPr>
        <w:t>任务的设备。例如本单元包括</w:t>
      </w:r>
      <w:r>
        <w:rPr>
          <w:rFonts w:ascii="宋体" w:hAnsi="宋体" w:eastAsia="宋体" w:cs="宋体"/>
          <w:sz w:val="27"/>
          <w:szCs w:val="27"/>
        </w:rPr>
        <w:t xml:space="preserve"> </w:t>
      </w:r>
      <w:r>
        <w:rPr>
          <w:rFonts w:ascii="宋体" w:hAnsi="宋体" w:eastAsia="宋体" w:cs="宋体"/>
          <w:spacing w:val="-9"/>
          <w:sz w:val="27"/>
          <w:szCs w:val="27"/>
        </w:rPr>
        <w:t>搜索接收装置、警告装置、电子对抗设备、敌我</w:t>
      </w:r>
      <w:r>
        <w:rPr>
          <w:rFonts w:ascii="宋体" w:hAnsi="宋体" w:eastAsia="宋体" w:cs="宋体"/>
          <w:spacing w:val="-10"/>
          <w:sz w:val="27"/>
          <w:szCs w:val="27"/>
        </w:rPr>
        <w:t>识别系统、地形跟踪和地形回避设</w:t>
      </w:r>
      <w:r>
        <w:rPr>
          <w:rFonts w:ascii="宋体" w:hAnsi="宋体" w:eastAsia="宋体" w:cs="宋体"/>
          <w:sz w:val="27"/>
          <w:szCs w:val="27"/>
        </w:rPr>
        <w:t xml:space="preserve"> </w:t>
      </w:r>
      <w:r>
        <w:rPr>
          <w:rFonts w:ascii="宋体" w:hAnsi="宋体" w:eastAsia="宋体" w:cs="宋体"/>
          <w:spacing w:val="-9"/>
          <w:sz w:val="27"/>
          <w:szCs w:val="27"/>
        </w:rPr>
        <w:t>备、干扰发射装置、箔条、红外线干扰装置及其他功</w:t>
      </w:r>
      <w:r>
        <w:rPr>
          <w:rFonts w:ascii="宋体" w:hAnsi="宋体" w:eastAsia="宋体" w:cs="宋体"/>
          <w:spacing w:val="-10"/>
          <w:sz w:val="27"/>
          <w:szCs w:val="27"/>
        </w:rPr>
        <w:t>能类似的设备。</w:t>
      </w:r>
    </w:p>
    <w:p w14:paraId="62E9DAD6">
      <w:pPr>
        <w:spacing w:before="33" w:line="222" w:lineRule="auto"/>
        <w:rPr>
          <w:rFonts w:ascii="黑体" w:hAnsi="黑体" w:eastAsia="黑体" w:cs="黑体"/>
          <w:sz w:val="24"/>
          <w:szCs w:val="24"/>
        </w:rPr>
      </w:pPr>
      <w:r>
        <w:rPr>
          <w:rFonts w:ascii="黑体" w:hAnsi="黑体" w:eastAsia="黑体" w:cs="黑体"/>
          <w:spacing w:val="11"/>
          <w:sz w:val="24"/>
          <w:szCs w:val="24"/>
        </w:rPr>
        <w:t>2.1.1.7</w:t>
      </w:r>
      <w:r>
        <w:rPr>
          <w:rFonts w:ascii="黑体" w:hAnsi="黑体" w:eastAsia="黑体" w:cs="黑体"/>
          <w:spacing w:val="18"/>
          <w:sz w:val="24"/>
          <w:szCs w:val="24"/>
        </w:rPr>
        <w:t xml:space="preserve">   </w:t>
      </w:r>
      <w:r>
        <w:rPr>
          <w:rFonts w:ascii="黑体" w:hAnsi="黑体" w:eastAsia="黑体" w:cs="黑体"/>
          <w:spacing w:val="11"/>
          <w:sz w:val="24"/>
          <w:szCs w:val="24"/>
        </w:rPr>
        <w:t>侦察设备</w:t>
      </w:r>
    </w:p>
    <w:p w14:paraId="62A9C6DB">
      <w:pPr>
        <w:spacing w:before="104" w:line="295" w:lineRule="auto"/>
        <w:ind w:right="102" w:firstLine="560"/>
        <w:jc w:val="both"/>
        <w:rPr>
          <w:rFonts w:ascii="宋体" w:hAnsi="宋体" w:eastAsia="宋体" w:cs="宋体"/>
          <w:sz w:val="27"/>
          <w:szCs w:val="27"/>
        </w:rPr>
      </w:pPr>
      <w:r>
        <w:rPr>
          <w:rFonts w:ascii="宋体" w:hAnsi="宋体" w:eastAsia="宋体" w:cs="宋体"/>
          <w:spacing w:val="6"/>
          <w:sz w:val="27"/>
          <w:szCs w:val="27"/>
        </w:rPr>
        <w:t>侦察设备单元是指机内安装的执行侦察飞行任</w:t>
      </w:r>
      <w:r>
        <w:rPr>
          <w:rFonts w:ascii="宋体" w:hAnsi="宋体" w:eastAsia="宋体" w:cs="宋体"/>
          <w:spacing w:val="5"/>
          <w:sz w:val="27"/>
          <w:szCs w:val="27"/>
        </w:rPr>
        <w:t>务所必须的设备。例如本单</w:t>
      </w:r>
      <w:r>
        <w:rPr>
          <w:rFonts w:ascii="宋体" w:hAnsi="宋体" w:eastAsia="宋体" w:cs="宋体"/>
          <w:sz w:val="27"/>
          <w:szCs w:val="27"/>
        </w:rPr>
        <w:t xml:space="preserve"> </w:t>
      </w:r>
      <w:r>
        <w:rPr>
          <w:rFonts w:ascii="宋体" w:hAnsi="宋体" w:eastAsia="宋体" w:cs="宋体"/>
          <w:spacing w:val="-9"/>
          <w:sz w:val="27"/>
          <w:szCs w:val="27"/>
        </w:rPr>
        <w:t>元包括光学的、电子的、红外的和其他的传感器</w:t>
      </w:r>
      <w:r>
        <w:rPr>
          <w:rFonts w:ascii="宋体" w:hAnsi="宋体" w:eastAsia="宋体" w:cs="宋体"/>
          <w:spacing w:val="-10"/>
          <w:sz w:val="27"/>
          <w:szCs w:val="27"/>
        </w:rPr>
        <w:t>、搜索接收装置、自动记录器、报</w:t>
      </w:r>
      <w:r>
        <w:rPr>
          <w:rFonts w:ascii="宋体" w:hAnsi="宋体" w:eastAsia="宋体" w:cs="宋体"/>
          <w:sz w:val="27"/>
          <w:szCs w:val="27"/>
        </w:rPr>
        <w:t xml:space="preserve"> </w:t>
      </w:r>
      <w:r>
        <w:rPr>
          <w:rFonts w:ascii="宋体" w:hAnsi="宋体" w:eastAsia="宋体" w:cs="宋体"/>
          <w:spacing w:val="-1"/>
          <w:sz w:val="27"/>
          <w:szCs w:val="27"/>
        </w:rPr>
        <w:t>警装置、照相底片夹和数据自动传输装置等。照相枪不包括在内。</w:t>
      </w:r>
    </w:p>
    <w:p w14:paraId="05D5AB40">
      <w:pPr>
        <w:spacing w:line="295" w:lineRule="auto"/>
        <w:rPr>
          <w:rFonts w:ascii="宋体" w:hAnsi="宋体" w:eastAsia="宋体" w:cs="宋体"/>
          <w:sz w:val="27"/>
          <w:szCs w:val="27"/>
        </w:rPr>
        <w:sectPr>
          <w:footerReference r:id="rId39" w:type="default"/>
          <w:pgSz w:w="11910" w:h="17130"/>
          <w:pgMar w:top="400" w:right="1094" w:bottom="1673" w:left="1329" w:header="0" w:footer="1475" w:gutter="0"/>
          <w:cols w:space="720" w:num="1"/>
        </w:sectPr>
      </w:pPr>
    </w:p>
    <w:p w14:paraId="46D399FD">
      <w:pPr>
        <w:pStyle w:val="2"/>
        <w:spacing w:line="251" w:lineRule="auto"/>
      </w:pPr>
    </w:p>
    <w:p w14:paraId="66B0C9B3">
      <w:pPr>
        <w:pStyle w:val="2"/>
        <w:spacing w:line="252" w:lineRule="auto"/>
      </w:pPr>
    </w:p>
    <w:p w14:paraId="63CF5E19">
      <w:pPr>
        <w:pStyle w:val="2"/>
        <w:spacing w:line="252" w:lineRule="auto"/>
      </w:pPr>
    </w:p>
    <w:p w14:paraId="7A624D40">
      <w:pPr>
        <w:pStyle w:val="2"/>
        <w:spacing w:line="252" w:lineRule="auto"/>
      </w:pPr>
    </w:p>
    <w:p w14:paraId="0FE995B0">
      <w:pPr>
        <w:spacing w:before="81" w:line="221" w:lineRule="auto"/>
        <w:rPr>
          <w:rFonts w:ascii="黑体" w:hAnsi="黑体" w:eastAsia="黑体" w:cs="黑体"/>
          <w:sz w:val="25"/>
          <w:szCs w:val="25"/>
        </w:rPr>
      </w:pPr>
      <w:bookmarkStart w:id="16" w:name="bookmark312"/>
      <w:bookmarkEnd w:id="16"/>
      <w:r>
        <w:rPr>
          <w:rFonts w:ascii="黑体" w:hAnsi="黑体" w:eastAsia="黑体" w:cs="黑体"/>
          <w:spacing w:val="13"/>
          <w:sz w:val="25"/>
          <w:szCs w:val="25"/>
        </w:rPr>
        <w:t>2.1.1.8</w:t>
      </w:r>
      <w:r>
        <w:rPr>
          <w:rFonts w:ascii="黑体" w:hAnsi="黑体" w:eastAsia="黑体" w:cs="黑体"/>
          <w:spacing w:val="47"/>
          <w:sz w:val="25"/>
          <w:szCs w:val="25"/>
        </w:rPr>
        <w:t xml:space="preserve">  </w:t>
      </w:r>
      <w:r>
        <w:rPr>
          <w:rFonts w:ascii="黑体" w:hAnsi="黑体" w:eastAsia="黑体" w:cs="黑体"/>
          <w:b/>
          <w:bCs/>
          <w:spacing w:val="13"/>
          <w:sz w:val="25"/>
          <w:szCs w:val="25"/>
        </w:rPr>
        <w:t>自动飞行控制系统</w:t>
      </w:r>
    </w:p>
    <w:p w14:paraId="229D6BFC">
      <w:pPr>
        <w:spacing w:before="97" w:line="300" w:lineRule="auto"/>
        <w:ind w:right="29" w:firstLine="580"/>
        <w:jc w:val="both"/>
        <w:rPr>
          <w:rFonts w:ascii="宋体" w:hAnsi="宋体" w:eastAsia="宋体" w:cs="宋体"/>
          <w:sz w:val="25"/>
          <w:szCs w:val="25"/>
        </w:rPr>
      </w:pPr>
      <w:r>
        <w:rPr>
          <w:rFonts w:ascii="宋体" w:hAnsi="宋体" w:eastAsia="宋体" w:cs="宋体"/>
          <w:spacing w:val="24"/>
          <w:sz w:val="25"/>
          <w:szCs w:val="25"/>
        </w:rPr>
        <w:t>自动飞行控制单元是指机内安装的能全部或部分地代替驾驶员自动控制飞</w:t>
      </w:r>
      <w:r>
        <w:rPr>
          <w:rFonts w:ascii="宋体" w:hAnsi="宋体" w:eastAsia="宋体" w:cs="宋体"/>
          <w:spacing w:val="15"/>
          <w:sz w:val="25"/>
          <w:szCs w:val="25"/>
        </w:rPr>
        <w:t xml:space="preserve"> </w:t>
      </w:r>
      <w:r>
        <w:rPr>
          <w:rFonts w:ascii="宋体" w:hAnsi="宋体" w:eastAsia="宋体" w:cs="宋体"/>
          <w:spacing w:val="18"/>
          <w:sz w:val="25"/>
          <w:szCs w:val="25"/>
        </w:rPr>
        <w:t>机航迹模态的设备。例如本单元包括自动驾驶仪、飞行控制机构和连接装置、用</w:t>
      </w:r>
      <w:r>
        <w:rPr>
          <w:rFonts w:ascii="宋体" w:hAnsi="宋体" w:eastAsia="宋体" w:cs="宋体"/>
          <w:sz w:val="25"/>
          <w:szCs w:val="25"/>
        </w:rPr>
        <w:t xml:space="preserve"> </w:t>
      </w:r>
      <w:r>
        <w:rPr>
          <w:rFonts w:ascii="宋体" w:hAnsi="宋体" w:eastAsia="宋体" w:cs="宋体"/>
          <w:spacing w:val="17"/>
          <w:sz w:val="25"/>
          <w:szCs w:val="25"/>
        </w:rPr>
        <w:t>于信号传输和施加动力的机械和电气元件、基准传感器、增稳设备。操纵联动装</w:t>
      </w:r>
      <w:r>
        <w:rPr>
          <w:rFonts w:ascii="宋体" w:hAnsi="宋体" w:eastAsia="宋体" w:cs="宋体"/>
          <w:spacing w:val="15"/>
          <w:sz w:val="25"/>
          <w:szCs w:val="25"/>
        </w:rPr>
        <w:t xml:space="preserve"> 置、操纵面或其他机体的构件不包括在内。</w:t>
      </w:r>
    </w:p>
    <w:p w14:paraId="566FADBF">
      <w:pPr>
        <w:spacing w:line="221" w:lineRule="auto"/>
        <w:rPr>
          <w:rFonts w:ascii="黑体" w:hAnsi="黑体" w:eastAsia="黑体" w:cs="黑体"/>
          <w:sz w:val="27"/>
          <w:szCs w:val="27"/>
        </w:rPr>
      </w:pPr>
      <w:r>
        <w:rPr>
          <w:rFonts w:ascii="黑体" w:hAnsi="黑体" w:eastAsia="黑体" w:cs="黑体"/>
          <w:spacing w:val="2"/>
          <w:sz w:val="27"/>
          <w:szCs w:val="27"/>
        </w:rPr>
        <w:t>2.1.1.9</w:t>
      </w:r>
      <w:r>
        <w:rPr>
          <w:rFonts w:ascii="黑体" w:hAnsi="黑体" w:eastAsia="黑体" w:cs="黑体"/>
          <w:spacing w:val="141"/>
          <w:sz w:val="27"/>
          <w:szCs w:val="27"/>
        </w:rPr>
        <w:t xml:space="preserve"> </w:t>
      </w:r>
      <w:r>
        <w:rPr>
          <w:rFonts w:ascii="黑体" w:hAnsi="黑体" w:eastAsia="黑体" w:cs="黑体"/>
          <w:b/>
          <w:bCs/>
          <w:spacing w:val="2"/>
          <w:sz w:val="27"/>
          <w:szCs w:val="27"/>
        </w:rPr>
        <w:t>中央综合检测设备</w:t>
      </w:r>
    </w:p>
    <w:p w14:paraId="724214B8">
      <w:pPr>
        <w:spacing w:before="77" w:line="283" w:lineRule="auto"/>
        <w:ind w:right="10" w:firstLine="580"/>
        <w:rPr>
          <w:rFonts w:ascii="宋体" w:hAnsi="宋体" w:eastAsia="宋体" w:cs="宋体"/>
          <w:sz w:val="27"/>
          <w:szCs w:val="27"/>
        </w:rPr>
      </w:pPr>
      <w:r>
        <w:rPr>
          <w:rFonts w:ascii="宋体" w:hAnsi="宋体" w:eastAsia="宋体" w:cs="宋体"/>
          <w:spacing w:val="5"/>
          <w:sz w:val="27"/>
          <w:szCs w:val="27"/>
        </w:rPr>
        <w:t>中央综合检测设备单元是指机内安装的用于故障检测和报告的设备。例如</w:t>
      </w:r>
      <w:r>
        <w:rPr>
          <w:rFonts w:ascii="宋体" w:hAnsi="宋体" w:eastAsia="宋体" w:cs="宋体"/>
          <w:spacing w:val="18"/>
          <w:sz w:val="27"/>
          <w:szCs w:val="27"/>
        </w:rPr>
        <w:t xml:space="preserve"> </w:t>
      </w:r>
      <w:r>
        <w:rPr>
          <w:rFonts w:ascii="宋体" w:hAnsi="宋体" w:eastAsia="宋体" w:cs="宋体"/>
          <w:spacing w:val="-12"/>
          <w:sz w:val="27"/>
          <w:szCs w:val="27"/>
        </w:rPr>
        <w:t>本单元包括传感器、计算机、记录器、显示器和激发装置。</w:t>
      </w:r>
    </w:p>
    <w:p w14:paraId="7EAC9281">
      <w:pPr>
        <w:spacing w:before="9" w:line="222" w:lineRule="auto"/>
        <w:rPr>
          <w:rFonts w:ascii="黑体" w:hAnsi="黑体" w:eastAsia="黑体" w:cs="黑体"/>
          <w:sz w:val="25"/>
          <w:szCs w:val="25"/>
        </w:rPr>
      </w:pPr>
      <w:r>
        <w:fldChar w:fldCharType="begin"/>
      </w:r>
      <w:r>
        <w:instrText xml:space="preserve"> HYPERLINK "2.1.1.10" </w:instrText>
      </w:r>
      <w:r>
        <w:fldChar w:fldCharType="separate"/>
      </w:r>
      <w:r>
        <w:rPr>
          <w:rFonts w:ascii="黑体" w:hAnsi="黑体" w:eastAsia="黑体" w:cs="黑体"/>
          <w:spacing w:val="7"/>
          <w:sz w:val="25"/>
          <w:szCs w:val="25"/>
        </w:rPr>
        <w:t>2.1.1.10</w:t>
      </w:r>
      <w:r>
        <w:rPr>
          <w:rFonts w:ascii="黑体" w:hAnsi="黑体" w:eastAsia="黑体" w:cs="黑体"/>
          <w:spacing w:val="7"/>
          <w:sz w:val="25"/>
          <w:szCs w:val="25"/>
        </w:rPr>
        <w:fldChar w:fldCharType="end"/>
      </w:r>
      <w:r>
        <w:rPr>
          <w:rFonts w:ascii="黑体" w:hAnsi="黑体" w:eastAsia="黑体" w:cs="黑体"/>
          <w:spacing w:val="7"/>
          <w:sz w:val="25"/>
          <w:szCs w:val="25"/>
        </w:rPr>
        <w:t xml:space="preserve">   </w:t>
      </w:r>
      <w:r>
        <w:rPr>
          <w:rFonts w:ascii="黑体" w:hAnsi="黑体" w:eastAsia="黑体" w:cs="黑体"/>
          <w:b/>
          <w:bCs/>
          <w:spacing w:val="7"/>
          <w:sz w:val="25"/>
          <w:szCs w:val="25"/>
        </w:rPr>
        <w:t>反潜战设备</w:t>
      </w:r>
    </w:p>
    <w:p w14:paraId="16C8CE55">
      <w:pPr>
        <w:spacing w:before="83" w:line="276" w:lineRule="auto"/>
        <w:ind w:right="18" w:firstLine="580"/>
        <w:rPr>
          <w:rFonts w:ascii="宋体" w:hAnsi="宋体" w:eastAsia="宋体" w:cs="宋体"/>
          <w:sz w:val="27"/>
          <w:szCs w:val="27"/>
        </w:rPr>
      </w:pPr>
      <w:r>
        <w:rPr>
          <w:rFonts w:ascii="宋体" w:hAnsi="宋体" w:eastAsia="宋体" w:cs="宋体"/>
          <w:spacing w:val="5"/>
          <w:sz w:val="27"/>
          <w:szCs w:val="27"/>
        </w:rPr>
        <w:t>反潜战设备单元是指机内安装的专门执行反潜战任务的设备。例如本单元</w:t>
      </w:r>
      <w:r>
        <w:rPr>
          <w:rFonts w:ascii="宋体" w:hAnsi="宋体" w:eastAsia="宋体" w:cs="宋体"/>
          <w:spacing w:val="10"/>
          <w:sz w:val="27"/>
          <w:szCs w:val="27"/>
        </w:rPr>
        <w:t xml:space="preserve"> </w:t>
      </w:r>
      <w:r>
        <w:rPr>
          <w:rFonts w:ascii="宋体" w:hAnsi="宋体" w:eastAsia="宋体" w:cs="宋体"/>
          <w:spacing w:val="-16"/>
          <w:sz w:val="27"/>
          <w:szCs w:val="27"/>
        </w:rPr>
        <w:t>包括探测器、声纳浮标、计算机、显示装置等。</w:t>
      </w:r>
    </w:p>
    <w:p w14:paraId="4E55ED03">
      <w:pPr>
        <w:pStyle w:val="2"/>
        <w:spacing w:before="1" w:line="221" w:lineRule="auto"/>
        <w:rPr>
          <w:rFonts w:ascii="黑体" w:hAnsi="黑体" w:eastAsia="黑体" w:cs="黑体"/>
          <w:sz w:val="27"/>
          <w:szCs w:val="27"/>
        </w:rPr>
      </w:pPr>
      <w:r>
        <w:fldChar w:fldCharType="begin"/>
      </w:r>
      <w:r>
        <w:instrText xml:space="preserve"> HYPERLINK "2.1.1.11" </w:instrText>
      </w:r>
      <w:r>
        <w:fldChar w:fldCharType="separate"/>
      </w:r>
      <w:r>
        <w:rPr>
          <w:b/>
          <w:bCs/>
          <w:spacing w:val="-2"/>
          <w:sz w:val="27"/>
          <w:szCs w:val="27"/>
        </w:rPr>
        <w:t>2.1.1.11</w:t>
      </w:r>
      <w:r>
        <w:rPr>
          <w:b/>
          <w:bCs/>
          <w:spacing w:val="-2"/>
          <w:sz w:val="27"/>
          <w:szCs w:val="27"/>
        </w:rPr>
        <w:fldChar w:fldCharType="end"/>
      </w:r>
      <w:r>
        <w:rPr>
          <w:b/>
          <w:bCs/>
          <w:spacing w:val="13"/>
          <w:sz w:val="27"/>
          <w:szCs w:val="27"/>
        </w:rPr>
        <w:t xml:space="preserve">     </w:t>
      </w:r>
      <w:r>
        <w:rPr>
          <w:rFonts w:ascii="黑体" w:hAnsi="黑体" w:eastAsia="黑体" w:cs="黑体"/>
          <w:b/>
          <w:bCs/>
          <w:spacing w:val="-2"/>
          <w:sz w:val="27"/>
          <w:szCs w:val="27"/>
        </w:rPr>
        <w:t>军械</w:t>
      </w:r>
    </w:p>
    <w:p w14:paraId="3F0E5B2F">
      <w:pPr>
        <w:spacing w:before="91" w:line="275" w:lineRule="auto"/>
        <w:ind w:right="19" w:firstLine="580"/>
        <w:rPr>
          <w:rFonts w:ascii="宋体" w:hAnsi="宋体" w:eastAsia="宋体" w:cs="宋体"/>
          <w:sz w:val="27"/>
          <w:szCs w:val="27"/>
        </w:rPr>
      </w:pPr>
      <w:r>
        <w:rPr>
          <w:rFonts w:ascii="宋体" w:hAnsi="宋体" w:eastAsia="宋体" w:cs="宋体"/>
          <w:spacing w:val="14"/>
          <w:sz w:val="27"/>
          <w:szCs w:val="27"/>
        </w:rPr>
        <w:t>军械单元是指机内安装的用于提供火力功能的设备。例如本单元包括航</w:t>
      </w:r>
      <w:r>
        <w:rPr>
          <w:rFonts w:ascii="宋体" w:hAnsi="宋体" w:eastAsia="宋体" w:cs="宋体"/>
          <w:spacing w:val="5"/>
          <w:sz w:val="27"/>
          <w:szCs w:val="27"/>
        </w:rPr>
        <w:t xml:space="preserve"> </w:t>
      </w:r>
      <w:r>
        <w:rPr>
          <w:rFonts w:ascii="宋体" w:hAnsi="宋体" w:eastAsia="宋体" w:cs="宋体"/>
          <w:spacing w:val="-17"/>
          <w:sz w:val="27"/>
          <w:szCs w:val="27"/>
        </w:rPr>
        <w:t>炮、炮塔、弹药输送和抛壳机构、照相枪等。</w:t>
      </w:r>
    </w:p>
    <w:p w14:paraId="02B31D80">
      <w:pPr>
        <w:spacing w:before="1" w:line="220" w:lineRule="auto"/>
        <w:rPr>
          <w:rFonts w:ascii="黑体" w:hAnsi="黑体" w:eastAsia="黑体" w:cs="黑体"/>
          <w:sz w:val="27"/>
          <w:szCs w:val="27"/>
        </w:rPr>
      </w:pPr>
      <w:r>
        <w:fldChar w:fldCharType="begin"/>
      </w:r>
      <w:r>
        <w:instrText xml:space="preserve"> HYPERLINK "2.1.1.12" </w:instrText>
      </w:r>
      <w:r>
        <w:fldChar w:fldCharType="separate"/>
      </w:r>
      <w:r>
        <w:rPr>
          <w:rFonts w:ascii="黑体" w:hAnsi="黑体" w:eastAsia="黑体" w:cs="黑体"/>
          <w:sz w:val="27"/>
          <w:szCs w:val="27"/>
        </w:rPr>
        <w:t>2.1.1.12</w:t>
      </w:r>
      <w:r>
        <w:rPr>
          <w:rFonts w:ascii="黑体" w:hAnsi="黑体" w:eastAsia="黑体" w:cs="黑体"/>
          <w:sz w:val="27"/>
          <w:szCs w:val="27"/>
        </w:rPr>
        <w:fldChar w:fldCharType="end"/>
      </w:r>
      <w:r>
        <w:rPr>
          <w:rFonts w:ascii="黑体" w:hAnsi="黑体" w:eastAsia="黑体" w:cs="黑体"/>
          <w:spacing w:val="33"/>
          <w:sz w:val="27"/>
          <w:szCs w:val="27"/>
        </w:rPr>
        <w:t xml:space="preserve">  </w:t>
      </w:r>
      <w:r>
        <w:rPr>
          <w:rFonts w:ascii="黑体" w:hAnsi="黑体" w:eastAsia="黑体" w:cs="黑体"/>
          <w:b/>
          <w:bCs/>
          <w:sz w:val="27"/>
          <w:szCs w:val="27"/>
        </w:rPr>
        <w:t>武器投放设备</w:t>
      </w:r>
    </w:p>
    <w:p w14:paraId="18691250">
      <w:pPr>
        <w:spacing w:before="101" w:line="277" w:lineRule="auto"/>
        <w:ind w:right="17" w:firstLine="580"/>
        <w:jc w:val="both"/>
        <w:rPr>
          <w:rFonts w:ascii="宋体" w:hAnsi="宋体" w:eastAsia="宋体" w:cs="宋体"/>
          <w:sz w:val="27"/>
          <w:szCs w:val="27"/>
        </w:rPr>
      </w:pPr>
      <w:r>
        <w:rPr>
          <w:rFonts w:ascii="宋体" w:hAnsi="宋体" w:eastAsia="宋体" w:cs="宋体"/>
          <w:spacing w:val="5"/>
          <w:sz w:val="27"/>
          <w:szCs w:val="27"/>
        </w:rPr>
        <w:t>武器投放设备单元是指机内安装的用于提供武器投放能力的设备。例如本</w:t>
      </w:r>
      <w:r>
        <w:rPr>
          <w:rFonts w:ascii="宋体" w:hAnsi="宋体" w:eastAsia="宋体" w:cs="宋体"/>
          <w:spacing w:val="11"/>
          <w:sz w:val="27"/>
          <w:szCs w:val="27"/>
        </w:rPr>
        <w:t xml:space="preserve"> </w:t>
      </w:r>
      <w:r>
        <w:rPr>
          <w:rFonts w:ascii="宋体" w:hAnsi="宋体" w:eastAsia="宋体" w:cs="宋体"/>
          <w:spacing w:val="1"/>
          <w:sz w:val="27"/>
          <w:szCs w:val="27"/>
        </w:rPr>
        <w:t>单元包括发射器、吊架、武器挂架、释放机构及其他辅助设备(照明弹和弹射机</w:t>
      </w:r>
      <w:r>
        <w:rPr>
          <w:rFonts w:ascii="宋体" w:hAnsi="宋体" w:eastAsia="宋体" w:cs="宋体"/>
          <w:spacing w:val="9"/>
          <w:sz w:val="27"/>
          <w:szCs w:val="27"/>
        </w:rPr>
        <w:t xml:space="preserve"> </w:t>
      </w:r>
      <w:r>
        <w:rPr>
          <w:rFonts w:ascii="宋体" w:hAnsi="宋体" w:eastAsia="宋体" w:cs="宋体"/>
          <w:spacing w:val="-15"/>
          <w:sz w:val="27"/>
          <w:szCs w:val="27"/>
        </w:rPr>
        <w:t>构、抛放弹等)。</w:t>
      </w:r>
    </w:p>
    <w:p w14:paraId="6DD8905D">
      <w:pPr>
        <w:pStyle w:val="2"/>
        <w:spacing w:before="2" w:line="220" w:lineRule="auto"/>
        <w:rPr>
          <w:rFonts w:ascii="黑体" w:hAnsi="黑体" w:eastAsia="黑体" w:cs="黑体"/>
          <w:sz w:val="27"/>
          <w:szCs w:val="27"/>
        </w:rPr>
      </w:pPr>
      <w:r>
        <w:fldChar w:fldCharType="begin"/>
      </w:r>
      <w:r>
        <w:instrText xml:space="preserve"> HYPERLINK "2.1.1.13" </w:instrText>
      </w:r>
      <w:r>
        <w:fldChar w:fldCharType="separate"/>
      </w:r>
      <w:r>
        <w:rPr>
          <w:b/>
          <w:bCs/>
          <w:sz w:val="27"/>
          <w:szCs w:val="27"/>
        </w:rPr>
        <w:t>2.1.1.13</w:t>
      </w:r>
      <w:r>
        <w:rPr>
          <w:b/>
          <w:bCs/>
          <w:sz w:val="27"/>
          <w:szCs w:val="27"/>
        </w:rPr>
        <w:fldChar w:fldCharType="end"/>
      </w:r>
      <w:r>
        <w:rPr>
          <w:b/>
          <w:bCs/>
          <w:spacing w:val="13"/>
          <w:sz w:val="27"/>
          <w:szCs w:val="27"/>
        </w:rPr>
        <w:t xml:space="preserve">     </w:t>
      </w:r>
      <w:r>
        <w:rPr>
          <w:rFonts w:ascii="黑体" w:hAnsi="黑体" w:eastAsia="黑体" w:cs="黑体"/>
          <w:b/>
          <w:bCs/>
          <w:sz w:val="27"/>
          <w:szCs w:val="27"/>
        </w:rPr>
        <w:t>防护救生系统</w:t>
      </w:r>
    </w:p>
    <w:p w14:paraId="44074B61">
      <w:pPr>
        <w:spacing w:before="93" w:line="279" w:lineRule="auto"/>
        <w:ind w:right="18" w:firstLine="580"/>
        <w:jc w:val="both"/>
        <w:rPr>
          <w:rFonts w:ascii="宋体" w:hAnsi="宋体" w:eastAsia="宋体" w:cs="宋体"/>
          <w:sz w:val="27"/>
          <w:szCs w:val="27"/>
        </w:rPr>
      </w:pPr>
      <w:r>
        <w:rPr>
          <w:rFonts w:ascii="宋体" w:hAnsi="宋体" w:eastAsia="宋体" w:cs="宋体"/>
          <w:spacing w:val="5"/>
          <w:sz w:val="27"/>
          <w:szCs w:val="27"/>
        </w:rPr>
        <w:t>防护救生系统单元是指机上安装的保证机上乘员安全飞行、应急时安全可</w:t>
      </w:r>
      <w:r>
        <w:rPr>
          <w:rFonts w:ascii="宋体" w:hAnsi="宋体" w:eastAsia="宋体" w:cs="宋体"/>
          <w:spacing w:val="10"/>
          <w:sz w:val="27"/>
          <w:szCs w:val="27"/>
        </w:rPr>
        <w:t xml:space="preserve"> </w:t>
      </w:r>
      <w:r>
        <w:rPr>
          <w:rFonts w:ascii="宋体" w:hAnsi="宋体" w:eastAsia="宋体" w:cs="宋体"/>
          <w:spacing w:val="9"/>
          <w:sz w:val="27"/>
          <w:szCs w:val="27"/>
        </w:rPr>
        <w:t>靠逃离、着陆(或着水)后能生存自救的设备。本单元包括人体防护装备(抗荷</w:t>
      </w:r>
      <w:r>
        <w:rPr>
          <w:rFonts w:ascii="宋体" w:hAnsi="宋体" w:eastAsia="宋体" w:cs="宋体"/>
          <w:spacing w:val="3"/>
          <w:sz w:val="27"/>
          <w:szCs w:val="27"/>
        </w:rPr>
        <w:t xml:space="preserve"> </w:t>
      </w:r>
      <w:r>
        <w:rPr>
          <w:rFonts w:ascii="宋体" w:hAnsi="宋体" w:eastAsia="宋体" w:cs="宋体"/>
          <w:spacing w:val="-13"/>
          <w:sz w:val="27"/>
          <w:szCs w:val="27"/>
        </w:rPr>
        <w:t>服、供氧系统、头盔等)、救生设备(弹射座椅、稳定减速系统、救生伞等)、地面和</w:t>
      </w:r>
      <w:r>
        <w:rPr>
          <w:rFonts w:ascii="宋体" w:hAnsi="宋体" w:eastAsia="宋体" w:cs="宋体"/>
          <w:spacing w:val="9"/>
          <w:sz w:val="27"/>
          <w:szCs w:val="27"/>
        </w:rPr>
        <w:t xml:space="preserve"> </w:t>
      </w:r>
      <w:r>
        <w:rPr>
          <w:rFonts w:ascii="宋体" w:hAnsi="宋体" w:eastAsia="宋体" w:cs="宋体"/>
          <w:spacing w:val="-8"/>
          <w:sz w:val="27"/>
          <w:szCs w:val="27"/>
        </w:rPr>
        <w:t>海上生存救生设备，也包括沙漠、高原、森林等特殊的救生用品和设备。</w:t>
      </w:r>
    </w:p>
    <w:p w14:paraId="1353F2AF">
      <w:pPr>
        <w:spacing w:before="1" w:line="221" w:lineRule="auto"/>
        <w:rPr>
          <w:rFonts w:ascii="黑体" w:hAnsi="黑体" w:eastAsia="黑体" w:cs="黑体"/>
          <w:sz w:val="25"/>
          <w:szCs w:val="25"/>
        </w:rPr>
      </w:pPr>
      <w:r>
        <w:fldChar w:fldCharType="begin"/>
      </w:r>
      <w:r>
        <w:instrText xml:space="preserve"> HYPERLINK "2.1.1.14" </w:instrText>
      </w:r>
      <w:r>
        <w:fldChar w:fldCharType="separate"/>
      </w:r>
      <w:r>
        <w:rPr>
          <w:rFonts w:ascii="黑体" w:hAnsi="黑体" w:eastAsia="黑体" w:cs="黑体"/>
          <w:spacing w:val="9"/>
          <w:sz w:val="25"/>
          <w:szCs w:val="25"/>
        </w:rPr>
        <w:t>2.1.1.14</w:t>
      </w:r>
      <w:r>
        <w:rPr>
          <w:rFonts w:ascii="黑体" w:hAnsi="黑体" w:eastAsia="黑体" w:cs="黑体"/>
          <w:spacing w:val="9"/>
          <w:sz w:val="25"/>
          <w:szCs w:val="25"/>
        </w:rPr>
        <w:fldChar w:fldCharType="end"/>
      </w:r>
      <w:r>
        <w:rPr>
          <w:rFonts w:ascii="黑体" w:hAnsi="黑体" w:eastAsia="黑体" w:cs="黑体"/>
          <w:spacing w:val="9"/>
          <w:sz w:val="25"/>
          <w:szCs w:val="25"/>
        </w:rPr>
        <w:t xml:space="preserve">   </w:t>
      </w:r>
      <w:r>
        <w:rPr>
          <w:rFonts w:ascii="黑体" w:hAnsi="黑体" w:eastAsia="黑体" w:cs="黑体"/>
          <w:b/>
          <w:bCs/>
          <w:spacing w:val="9"/>
          <w:sz w:val="25"/>
          <w:szCs w:val="25"/>
        </w:rPr>
        <w:t>其他任务系统</w:t>
      </w:r>
    </w:p>
    <w:p w14:paraId="26E247E4">
      <w:pPr>
        <w:spacing w:before="118" w:line="262" w:lineRule="auto"/>
        <w:ind w:firstLine="580"/>
        <w:rPr>
          <w:rFonts w:ascii="宋体" w:hAnsi="宋体" w:eastAsia="宋体" w:cs="宋体"/>
          <w:sz w:val="27"/>
          <w:szCs w:val="27"/>
        </w:rPr>
      </w:pPr>
      <w:r>
        <w:rPr>
          <w:rFonts w:ascii="宋体" w:hAnsi="宋体" w:eastAsia="宋体" w:cs="宋体"/>
          <w:spacing w:val="-6"/>
          <w:sz w:val="27"/>
          <w:szCs w:val="27"/>
        </w:rPr>
        <w:t>其他任务系统单元是指机内安装的执行专门任务(</w:t>
      </w:r>
      <w:r>
        <w:rPr>
          <w:rFonts w:ascii="宋体" w:hAnsi="宋体" w:eastAsia="宋体" w:cs="宋体"/>
          <w:spacing w:val="-7"/>
          <w:sz w:val="27"/>
          <w:szCs w:val="27"/>
        </w:rPr>
        <w:t>如加油、运输、预警、巡逻</w:t>
      </w:r>
      <w:r>
        <w:rPr>
          <w:rFonts w:ascii="宋体" w:hAnsi="宋体" w:eastAsia="宋体" w:cs="宋体"/>
          <w:sz w:val="27"/>
          <w:szCs w:val="27"/>
        </w:rPr>
        <w:t xml:space="preserve"> </w:t>
      </w:r>
      <w:r>
        <w:rPr>
          <w:rFonts w:ascii="宋体" w:hAnsi="宋体" w:eastAsia="宋体" w:cs="宋体"/>
          <w:spacing w:val="-1"/>
          <w:sz w:val="27"/>
          <w:szCs w:val="27"/>
        </w:rPr>
        <w:t>等)的设备。</w:t>
      </w:r>
    </w:p>
    <w:p w14:paraId="7B946D5F">
      <w:pPr>
        <w:spacing w:before="46" w:line="221" w:lineRule="auto"/>
        <w:rPr>
          <w:rFonts w:ascii="黑体" w:hAnsi="黑体" w:eastAsia="黑体" w:cs="黑体"/>
          <w:sz w:val="25"/>
          <w:szCs w:val="25"/>
        </w:rPr>
      </w:pPr>
      <w:r>
        <w:rPr>
          <w:rFonts w:ascii="黑体" w:hAnsi="黑体" w:eastAsia="黑体" w:cs="黑体"/>
          <w:spacing w:val="11"/>
          <w:sz w:val="25"/>
          <w:szCs w:val="25"/>
        </w:rPr>
        <w:t xml:space="preserve">2.1.2   </w:t>
      </w:r>
      <w:r>
        <w:rPr>
          <w:rFonts w:ascii="黑体" w:hAnsi="黑体" w:eastAsia="黑体" w:cs="黑体"/>
          <w:b/>
          <w:bCs/>
          <w:spacing w:val="11"/>
          <w:sz w:val="25"/>
          <w:szCs w:val="25"/>
        </w:rPr>
        <w:t>系统和工程项目管理</w:t>
      </w:r>
    </w:p>
    <w:p w14:paraId="37023FD4">
      <w:pPr>
        <w:spacing w:before="118" w:line="279" w:lineRule="auto"/>
        <w:ind w:right="20" w:firstLine="580"/>
        <w:jc w:val="both"/>
        <w:rPr>
          <w:rFonts w:ascii="宋体" w:hAnsi="宋体" w:eastAsia="宋体" w:cs="宋体"/>
          <w:sz w:val="27"/>
          <w:szCs w:val="27"/>
        </w:rPr>
      </w:pPr>
      <w:r>
        <w:rPr>
          <w:rFonts w:ascii="宋体" w:hAnsi="宋体" w:eastAsia="宋体" w:cs="宋体"/>
          <w:spacing w:val="5"/>
          <w:sz w:val="27"/>
          <w:szCs w:val="27"/>
        </w:rPr>
        <w:t>系统和工程项目管理单元是指系统工程和技术控制以及特定工程项目的业</w:t>
      </w:r>
      <w:r>
        <w:rPr>
          <w:rFonts w:ascii="宋体" w:hAnsi="宋体" w:eastAsia="宋体" w:cs="宋体"/>
          <w:spacing w:val="8"/>
          <w:sz w:val="27"/>
          <w:szCs w:val="27"/>
        </w:rPr>
        <w:t xml:space="preserve"> </w:t>
      </w:r>
      <w:r>
        <w:rPr>
          <w:rFonts w:ascii="宋体" w:hAnsi="宋体" w:eastAsia="宋体" w:cs="宋体"/>
          <w:spacing w:val="-3"/>
          <w:sz w:val="27"/>
          <w:szCs w:val="27"/>
        </w:rPr>
        <w:t>务管理。本单元包括对系统的方案论证、工程研制和生产所做的规划、指导和控</w:t>
      </w:r>
      <w:r>
        <w:rPr>
          <w:rFonts w:ascii="宋体" w:hAnsi="宋体" w:eastAsia="宋体" w:cs="宋体"/>
          <w:spacing w:val="15"/>
          <w:sz w:val="27"/>
          <w:szCs w:val="27"/>
        </w:rPr>
        <w:t xml:space="preserve"> </w:t>
      </w:r>
      <w:r>
        <w:rPr>
          <w:rFonts w:ascii="宋体" w:hAnsi="宋体" w:eastAsia="宋体" w:cs="宋体"/>
          <w:spacing w:val="-10"/>
          <w:sz w:val="27"/>
          <w:szCs w:val="27"/>
        </w:rPr>
        <w:t>制，以及后勤供应、维修保障、人员和培训、检测等项职能活动。本单元不包括对</w:t>
      </w:r>
      <w:r>
        <w:rPr>
          <w:rFonts w:ascii="宋体" w:hAnsi="宋体" w:eastAsia="宋体" w:cs="宋体"/>
          <w:sz w:val="27"/>
          <w:szCs w:val="27"/>
        </w:rPr>
        <w:t xml:space="preserve"> 具体产品单元进行的上述管理活动，除非合同或工</w:t>
      </w:r>
      <w:r>
        <w:rPr>
          <w:rFonts w:ascii="宋体" w:hAnsi="宋体" w:eastAsia="宋体" w:cs="宋体"/>
          <w:spacing w:val="-1"/>
          <w:sz w:val="27"/>
          <w:szCs w:val="27"/>
        </w:rPr>
        <w:t>程上另有规定。</w:t>
      </w:r>
    </w:p>
    <w:p w14:paraId="3F2686B2">
      <w:pPr>
        <w:spacing w:before="1" w:line="221" w:lineRule="auto"/>
        <w:rPr>
          <w:rFonts w:ascii="黑体" w:hAnsi="黑体" w:eastAsia="黑体" w:cs="黑体"/>
          <w:sz w:val="24"/>
          <w:szCs w:val="24"/>
        </w:rPr>
      </w:pPr>
      <w:r>
        <w:rPr>
          <w:rFonts w:ascii="黑体" w:hAnsi="黑体" w:eastAsia="黑体" w:cs="黑体"/>
          <w:spacing w:val="6"/>
          <w:sz w:val="24"/>
          <w:szCs w:val="24"/>
        </w:rPr>
        <w:t>2.1.2.</w:t>
      </w:r>
      <w:r>
        <w:rPr>
          <w:rFonts w:ascii="黑体" w:hAnsi="黑体" w:eastAsia="黑体" w:cs="黑体"/>
          <w:spacing w:val="-17"/>
          <w:sz w:val="24"/>
          <w:szCs w:val="24"/>
        </w:rPr>
        <w:t xml:space="preserve"> </w:t>
      </w:r>
      <w:r>
        <w:rPr>
          <w:rFonts w:ascii="黑体" w:hAnsi="黑体" w:eastAsia="黑体" w:cs="黑体"/>
          <w:b/>
          <w:bCs/>
          <w:spacing w:val="6"/>
          <w:sz w:val="24"/>
          <w:szCs w:val="24"/>
        </w:rPr>
        <w:t>1</w:t>
      </w:r>
      <w:r>
        <w:rPr>
          <w:rFonts w:ascii="黑体" w:hAnsi="黑体" w:eastAsia="黑体" w:cs="黑体"/>
          <w:spacing w:val="56"/>
          <w:sz w:val="24"/>
          <w:szCs w:val="24"/>
        </w:rPr>
        <w:t xml:space="preserve">  </w:t>
      </w:r>
      <w:r>
        <w:rPr>
          <w:rFonts w:ascii="黑体" w:hAnsi="黑体" w:eastAsia="黑体" w:cs="黑体"/>
          <w:b/>
          <w:bCs/>
          <w:spacing w:val="6"/>
          <w:sz w:val="24"/>
          <w:szCs w:val="24"/>
        </w:rPr>
        <w:t>系统工程</w:t>
      </w:r>
    </w:p>
    <w:p w14:paraId="0A35BFCF">
      <w:pPr>
        <w:spacing w:before="118" w:line="295" w:lineRule="auto"/>
        <w:ind w:right="15" w:firstLine="580"/>
        <w:rPr>
          <w:rFonts w:ascii="宋体" w:hAnsi="宋体" w:eastAsia="宋体" w:cs="宋体"/>
          <w:sz w:val="27"/>
          <w:szCs w:val="27"/>
        </w:rPr>
      </w:pPr>
      <w:r>
        <w:rPr>
          <w:rFonts w:ascii="宋体" w:hAnsi="宋体" w:eastAsia="宋体" w:cs="宋体"/>
          <w:spacing w:val="5"/>
          <w:sz w:val="27"/>
          <w:szCs w:val="27"/>
        </w:rPr>
        <w:t>系统工程单元是指为指导和控制系统总体综合工程工作所进行的技术和管</w:t>
      </w:r>
      <w:r>
        <w:rPr>
          <w:rFonts w:ascii="宋体" w:hAnsi="宋体" w:eastAsia="宋体" w:cs="宋体"/>
          <w:spacing w:val="14"/>
          <w:sz w:val="27"/>
          <w:szCs w:val="27"/>
        </w:rPr>
        <w:t xml:space="preserve"> </w:t>
      </w:r>
      <w:r>
        <w:rPr>
          <w:rFonts w:ascii="宋体" w:hAnsi="宋体" w:eastAsia="宋体" w:cs="宋体"/>
          <w:spacing w:val="9"/>
          <w:sz w:val="27"/>
          <w:szCs w:val="27"/>
        </w:rPr>
        <w:t>理工作。本单元包括(但不限于):将作战需求转变成系统要求和技术状态文件</w:t>
      </w:r>
    </w:p>
    <w:p w14:paraId="209DE104">
      <w:pPr>
        <w:spacing w:line="295" w:lineRule="auto"/>
        <w:rPr>
          <w:rFonts w:ascii="宋体" w:hAnsi="宋体" w:eastAsia="宋体" w:cs="宋体"/>
          <w:sz w:val="27"/>
          <w:szCs w:val="27"/>
        </w:rPr>
        <w:sectPr>
          <w:footerReference r:id="rId40" w:type="default"/>
          <w:pgSz w:w="11910" w:h="17130"/>
          <w:pgMar w:top="400" w:right="1359" w:bottom="1717" w:left="1140" w:header="0" w:footer="1500" w:gutter="0"/>
          <w:cols w:space="720" w:num="1"/>
        </w:sectPr>
      </w:pPr>
    </w:p>
    <w:p w14:paraId="07FA5C51">
      <w:pPr>
        <w:pStyle w:val="2"/>
        <w:spacing w:line="260" w:lineRule="auto"/>
      </w:pPr>
    </w:p>
    <w:p w14:paraId="6285197E">
      <w:pPr>
        <w:pStyle w:val="2"/>
        <w:spacing w:line="261" w:lineRule="auto"/>
      </w:pPr>
    </w:p>
    <w:p w14:paraId="00A4A183">
      <w:pPr>
        <w:pStyle w:val="2"/>
        <w:spacing w:line="261" w:lineRule="auto"/>
      </w:pPr>
    </w:p>
    <w:p w14:paraId="40498C77">
      <w:pPr>
        <w:pStyle w:val="2"/>
        <w:spacing w:line="261" w:lineRule="auto"/>
      </w:pPr>
    </w:p>
    <w:p w14:paraId="01BB1DB3">
      <w:pPr>
        <w:spacing w:before="88" w:line="278" w:lineRule="auto"/>
        <w:ind w:right="122"/>
        <w:jc w:val="both"/>
        <w:rPr>
          <w:rFonts w:ascii="宋体" w:hAnsi="宋体" w:eastAsia="宋体" w:cs="宋体"/>
          <w:sz w:val="27"/>
          <w:szCs w:val="27"/>
        </w:rPr>
      </w:pPr>
      <w:bookmarkStart w:id="17" w:name="bookmark313"/>
      <w:bookmarkEnd w:id="17"/>
      <w:r>
        <w:rPr>
          <w:rFonts w:ascii="宋体" w:hAnsi="宋体" w:eastAsia="宋体" w:cs="宋体"/>
          <w:spacing w:val="-3"/>
          <w:sz w:val="27"/>
          <w:szCs w:val="27"/>
        </w:rPr>
        <w:t>的系统工程工作；为确定和优化综合保障事项并将其综合到主体工程工作中</w:t>
      </w:r>
      <w:r>
        <w:rPr>
          <w:rFonts w:ascii="宋体" w:hAnsi="宋体" w:eastAsia="宋体" w:cs="宋体"/>
          <w:spacing w:val="-4"/>
          <w:sz w:val="27"/>
          <w:szCs w:val="27"/>
        </w:rPr>
        <w:t>，以</w:t>
      </w:r>
      <w:r>
        <w:rPr>
          <w:rFonts w:ascii="宋体" w:hAnsi="宋体" w:eastAsia="宋体" w:cs="宋体"/>
          <w:sz w:val="27"/>
          <w:szCs w:val="27"/>
        </w:rPr>
        <w:t xml:space="preserve"> </w:t>
      </w:r>
      <w:r>
        <w:rPr>
          <w:rFonts w:ascii="宋体" w:hAnsi="宋体" w:eastAsia="宋体" w:cs="宋体"/>
          <w:spacing w:val="-3"/>
          <w:sz w:val="27"/>
          <w:szCs w:val="27"/>
        </w:rPr>
        <w:t>确保研制和生产出有保障的且经济有效的系统所做的综合保障工作；为规划、监</w:t>
      </w:r>
      <w:r>
        <w:rPr>
          <w:rFonts w:ascii="宋体" w:hAnsi="宋体" w:eastAsia="宋体" w:cs="宋体"/>
          <w:spacing w:val="15"/>
          <w:sz w:val="27"/>
          <w:szCs w:val="27"/>
        </w:rPr>
        <w:t xml:space="preserve"> </w:t>
      </w:r>
      <w:r>
        <w:rPr>
          <w:rFonts w:ascii="宋体" w:hAnsi="宋体" w:eastAsia="宋体" w:cs="宋体"/>
          <w:spacing w:val="-3"/>
          <w:sz w:val="27"/>
          <w:szCs w:val="27"/>
        </w:rPr>
        <w:t>控测量、评定、指导技术大纲的管理所做的技术规划和控制工作。本单元不包括</w:t>
      </w:r>
      <w:r>
        <w:rPr>
          <w:rFonts w:ascii="宋体" w:hAnsi="宋体" w:eastAsia="宋体" w:cs="宋体"/>
          <w:spacing w:val="14"/>
          <w:sz w:val="27"/>
          <w:szCs w:val="27"/>
        </w:rPr>
        <w:t xml:space="preserve"> </w:t>
      </w:r>
      <w:r>
        <w:rPr>
          <w:rFonts w:ascii="宋体" w:hAnsi="宋体" w:eastAsia="宋体" w:cs="宋体"/>
          <w:spacing w:val="5"/>
          <w:sz w:val="27"/>
          <w:szCs w:val="27"/>
        </w:rPr>
        <w:t>与可交付的最终产品或服务事项有直接关系的实际设计工程和生产工程。系统</w:t>
      </w:r>
      <w:r>
        <w:rPr>
          <w:rFonts w:ascii="宋体" w:hAnsi="宋体" w:eastAsia="宋体" w:cs="宋体"/>
          <w:spacing w:val="11"/>
          <w:sz w:val="27"/>
          <w:szCs w:val="27"/>
        </w:rPr>
        <w:t xml:space="preserve"> </w:t>
      </w:r>
      <w:r>
        <w:rPr>
          <w:rFonts w:ascii="宋体" w:hAnsi="宋体" w:eastAsia="宋体" w:cs="宋体"/>
          <w:spacing w:val="1"/>
          <w:sz w:val="27"/>
          <w:szCs w:val="27"/>
        </w:rPr>
        <w:t>工程工作一般包括：</w:t>
      </w:r>
    </w:p>
    <w:p w14:paraId="0C9052F5">
      <w:pPr>
        <w:spacing w:line="266" w:lineRule="auto"/>
        <w:ind w:right="103" w:firstLine="560"/>
        <w:rPr>
          <w:rFonts w:ascii="宋体" w:hAnsi="宋体" w:eastAsia="宋体" w:cs="宋体"/>
          <w:sz w:val="27"/>
          <w:szCs w:val="27"/>
        </w:rPr>
      </w:pPr>
      <w:r>
        <w:rPr>
          <w:rFonts w:ascii="Times New Roman" w:hAnsi="Times New Roman" w:eastAsia="Times New Roman" w:cs="Times New Roman"/>
          <w:spacing w:val="-6"/>
          <w:sz w:val="27"/>
          <w:szCs w:val="27"/>
        </w:rPr>
        <w:t>a)</w:t>
      </w:r>
      <w:r>
        <w:rPr>
          <w:rFonts w:ascii="Times New Roman" w:hAnsi="Times New Roman" w:eastAsia="Times New Roman" w:cs="Times New Roman"/>
          <w:spacing w:val="19"/>
          <w:w w:val="101"/>
          <w:sz w:val="27"/>
          <w:szCs w:val="27"/>
        </w:rPr>
        <w:t xml:space="preserve">  </w:t>
      </w:r>
      <w:r>
        <w:rPr>
          <w:rFonts w:ascii="宋体" w:hAnsi="宋体" w:eastAsia="宋体" w:cs="宋体"/>
          <w:spacing w:val="-6"/>
          <w:sz w:val="27"/>
          <w:szCs w:val="27"/>
        </w:rPr>
        <w:t>系统方案确定、总的系统设计、设计完整性分析、系统优化、系统费效分</w:t>
      </w:r>
      <w:r>
        <w:rPr>
          <w:rFonts w:ascii="宋体" w:hAnsi="宋体" w:eastAsia="宋体" w:cs="宋体"/>
          <w:sz w:val="27"/>
          <w:szCs w:val="27"/>
        </w:rPr>
        <w:t xml:space="preserve"> </w:t>
      </w:r>
      <w:r>
        <w:rPr>
          <w:rFonts w:ascii="宋体" w:hAnsi="宋体" w:eastAsia="宋体" w:cs="宋体"/>
          <w:spacing w:val="-10"/>
          <w:sz w:val="27"/>
          <w:szCs w:val="27"/>
        </w:rPr>
        <w:t>析、系统内部及系统之间的兼容性保证等；可靠性、维修性、生产性、安全性和生</w:t>
      </w:r>
      <w:r>
        <w:rPr>
          <w:rFonts w:ascii="宋体" w:hAnsi="宋体" w:eastAsia="宋体" w:cs="宋体"/>
          <w:spacing w:val="1"/>
          <w:sz w:val="27"/>
          <w:szCs w:val="27"/>
        </w:rPr>
        <w:t xml:space="preserve"> </w:t>
      </w:r>
      <w:r>
        <w:rPr>
          <w:rFonts w:ascii="宋体" w:hAnsi="宋体" w:eastAsia="宋体" w:cs="宋体"/>
          <w:spacing w:val="-10"/>
          <w:sz w:val="27"/>
          <w:szCs w:val="27"/>
        </w:rPr>
        <w:t>存性的综合与平衡；人的因素；人员和培训大纲要求、保密性要求、技术状态标识</w:t>
      </w:r>
      <w:r>
        <w:rPr>
          <w:rFonts w:ascii="宋体" w:hAnsi="宋体" w:eastAsia="宋体" w:cs="宋体"/>
          <w:spacing w:val="4"/>
          <w:sz w:val="27"/>
          <w:szCs w:val="27"/>
        </w:rPr>
        <w:t xml:space="preserve"> </w:t>
      </w:r>
      <w:r>
        <w:rPr>
          <w:rFonts w:ascii="宋体" w:hAnsi="宋体" w:eastAsia="宋体" w:cs="宋体"/>
          <w:spacing w:val="-10"/>
          <w:sz w:val="27"/>
          <w:szCs w:val="27"/>
        </w:rPr>
        <w:t>和控制、质量保证大纲、价值工程、设备和部件性能规范的编制、试验和验证大纲</w:t>
      </w:r>
      <w:r>
        <w:rPr>
          <w:rFonts w:ascii="宋体" w:hAnsi="宋体" w:eastAsia="宋体" w:cs="宋体"/>
          <w:spacing w:val="6"/>
          <w:sz w:val="27"/>
          <w:szCs w:val="27"/>
        </w:rPr>
        <w:t xml:space="preserve"> </w:t>
      </w:r>
      <w:r>
        <w:rPr>
          <w:rFonts w:ascii="宋体" w:hAnsi="宋体" w:eastAsia="宋体" w:cs="宋体"/>
          <w:spacing w:val="-3"/>
          <w:sz w:val="27"/>
          <w:szCs w:val="27"/>
        </w:rPr>
        <w:t>的设计。</w:t>
      </w:r>
    </w:p>
    <w:p w14:paraId="6397A6E9">
      <w:pPr>
        <w:spacing w:before="87" w:line="263" w:lineRule="auto"/>
        <w:ind w:firstLine="560"/>
        <w:rPr>
          <w:rFonts w:ascii="宋体" w:hAnsi="宋体" w:eastAsia="宋体" w:cs="宋体"/>
          <w:sz w:val="27"/>
          <w:szCs w:val="27"/>
        </w:rPr>
      </w:pPr>
      <w:r>
        <w:rPr>
          <w:rFonts w:ascii="Times New Roman" w:hAnsi="Times New Roman" w:eastAsia="Times New Roman" w:cs="Times New Roman"/>
          <w:spacing w:val="-9"/>
          <w:sz w:val="27"/>
          <w:szCs w:val="27"/>
        </w:rPr>
        <w:t xml:space="preserve">b)  </w:t>
      </w:r>
      <w:r>
        <w:rPr>
          <w:rFonts w:ascii="宋体" w:hAnsi="宋体" w:eastAsia="宋体" w:cs="宋体"/>
          <w:spacing w:val="-9"/>
          <w:sz w:val="27"/>
          <w:szCs w:val="27"/>
        </w:rPr>
        <w:t>保障综合、设计效果预测、全寿命期费用因素</w:t>
      </w:r>
      <w:r>
        <w:rPr>
          <w:rFonts w:ascii="宋体" w:hAnsi="宋体" w:eastAsia="宋体" w:cs="宋体"/>
          <w:spacing w:val="-10"/>
          <w:sz w:val="27"/>
          <w:szCs w:val="27"/>
        </w:rPr>
        <w:t>、权衡分析、后勤计划评价、</w:t>
      </w:r>
      <w:r>
        <w:rPr>
          <w:rFonts w:ascii="宋体" w:hAnsi="宋体" w:eastAsia="宋体" w:cs="宋体"/>
          <w:sz w:val="27"/>
          <w:szCs w:val="27"/>
        </w:rPr>
        <w:t xml:space="preserve"> </w:t>
      </w:r>
      <w:r>
        <w:rPr>
          <w:rFonts w:ascii="宋体" w:hAnsi="宋体" w:eastAsia="宋体" w:cs="宋体"/>
          <w:spacing w:val="-10"/>
          <w:sz w:val="27"/>
          <w:szCs w:val="27"/>
        </w:rPr>
        <w:t>使用研究、保障功能要求确认、修理等级的确定、任务分析、标准化评审、综</w:t>
      </w:r>
      <w:r>
        <w:rPr>
          <w:rFonts w:ascii="宋体" w:hAnsi="宋体" w:eastAsia="宋体" w:cs="宋体"/>
          <w:spacing w:val="-11"/>
          <w:sz w:val="27"/>
          <w:szCs w:val="27"/>
        </w:rPr>
        <w:t>合保</w:t>
      </w:r>
      <w:r>
        <w:rPr>
          <w:rFonts w:ascii="宋体" w:hAnsi="宋体" w:eastAsia="宋体" w:cs="宋体"/>
          <w:sz w:val="27"/>
          <w:szCs w:val="27"/>
        </w:rPr>
        <w:t xml:space="preserve">  </w:t>
      </w:r>
      <w:r>
        <w:rPr>
          <w:rFonts w:ascii="宋体" w:hAnsi="宋体" w:eastAsia="宋体" w:cs="宋体"/>
          <w:spacing w:val="-7"/>
          <w:sz w:val="27"/>
          <w:szCs w:val="27"/>
        </w:rPr>
        <w:t>障要求确认、综合保障证实以及编制和更新综合保障计划、维修计划、设备计划、</w:t>
      </w:r>
      <w:r>
        <w:rPr>
          <w:rFonts w:ascii="宋体" w:hAnsi="宋体" w:eastAsia="宋体" w:cs="宋体"/>
          <w:spacing w:val="15"/>
          <w:sz w:val="27"/>
          <w:szCs w:val="27"/>
        </w:rPr>
        <w:t xml:space="preserve"> </w:t>
      </w:r>
      <w:r>
        <w:rPr>
          <w:rFonts w:ascii="宋体" w:hAnsi="宋体" w:eastAsia="宋体" w:cs="宋体"/>
          <w:sz w:val="27"/>
          <w:szCs w:val="27"/>
        </w:rPr>
        <w:t>运输和装卸计划。</w:t>
      </w:r>
    </w:p>
    <w:p w14:paraId="2EC67D87">
      <w:pPr>
        <w:spacing w:before="71" w:line="271" w:lineRule="auto"/>
        <w:ind w:firstLine="560"/>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62"/>
          <w:w w:val="101"/>
          <w:sz w:val="27"/>
          <w:szCs w:val="27"/>
        </w:rPr>
        <w:t xml:space="preserve"> </w:t>
      </w:r>
      <w:r>
        <w:rPr>
          <w:rFonts w:ascii="宋体" w:hAnsi="宋体" w:eastAsia="宋体" w:cs="宋体"/>
          <w:spacing w:val="4"/>
          <w:sz w:val="27"/>
          <w:szCs w:val="27"/>
        </w:rPr>
        <w:t>制定系统管理计划和规范体系，进行系统</w:t>
      </w:r>
      <w:r>
        <w:rPr>
          <w:rFonts w:ascii="宋体" w:hAnsi="宋体" w:eastAsia="宋体" w:cs="宋体"/>
          <w:spacing w:val="3"/>
          <w:sz w:val="27"/>
          <w:szCs w:val="27"/>
        </w:rPr>
        <w:t>风险分析、编制系统试验计划</w:t>
      </w:r>
      <w:r>
        <w:rPr>
          <w:rFonts w:ascii="宋体" w:hAnsi="宋体" w:eastAsia="宋体" w:cs="宋体"/>
          <w:sz w:val="27"/>
          <w:szCs w:val="27"/>
        </w:rPr>
        <w:t xml:space="preserve"> </w:t>
      </w:r>
      <w:r>
        <w:rPr>
          <w:rFonts w:ascii="宋体" w:hAnsi="宋体" w:eastAsia="宋体" w:cs="宋体"/>
          <w:spacing w:val="1"/>
          <w:sz w:val="27"/>
          <w:szCs w:val="27"/>
        </w:rPr>
        <w:t>和决策控制程序、进行技术性能测量和技术审查、审查分承包单位和供货单</w:t>
      </w:r>
      <w:r>
        <w:rPr>
          <w:rFonts w:ascii="宋体" w:hAnsi="宋体" w:eastAsia="宋体" w:cs="宋体"/>
          <w:sz w:val="27"/>
          <w:szCs w:val="27"/>
        </w:rPr>
        <w:t xml:space="preserve">位、 </w:t>
      </w:r>
      <w:r>
        <w:rPr>
          <w:rFonts w:ascii="宋体" w:hAnsi="宋体" w:eastAsia="宋体" w:cs="宋体"/>
          <w:spacing w:val="2"/>
          <w:sz w:val="27"/>
          <w:szCs w:val="27"/>
        </w:rPr>
        <w:t>工作委派和技术文件控制等。</w:t>
      </w:r>
    </w:p>
    <w:p w14:paraId="4B1660AD">
      <w:pPr>
        <w:spacing w:before="103" w:line="222" w:lineRule="auto"/>
        <w:rPr>
          <w:rFonts w:ascii="黑体" w:hAnsi="黑体" w:eastAsia="黑体" w:cs="黑体"/>
          <w:sz w:val="25"/>
          <w:szCs w:val="25"/>
        </w:rPr>
      </w:pPr>
      <w:r>
        <w:rPr>
          <w:rFonts w:ascii="黑体" w:hAnsi="黑体" w:eastAsia="黑体" w:cs="黑体"/>
          <w:spacing w:val="9"/>
          <w:sz w:val="25"/>
          <w:szCs w:val="25"/>
        </w:rPr>
        <w:t>2.1.2.2</w:t>
      </w:r>
      <w:r>
        <w:rPr>
          <w:rFonts w:ascii="黑体" w:hAnsi="黑体" w:eastAsia="黑体" w:cs="黑体"/>
          <w:spacing w:val="7"/>
          <w:sz w:val="25"/>
          <w:szCs w:val="25"/>
        </w:rPr>
        <w:t xml:space="preserve">   </w:t>
      </w:r>
      <w:r>
        <w:rPr>
          <w:rFonts w:ascii="黑体" w:hAnsi="黑体" w:eastAsia="黑体" w:cs="黑体"/>
          <w:b/>
          <w:bCs/>
          <w:spacing w:val="9"/>
          <w:sz w:val="25"/>
          <w:szCs w:val="25"/>
        </w:rPr>
        <w:t>工程项目管理</w:t>
      </w:r>
    </w:p>
    <w:p w14:paraId="33691F23">
      <w:pPr>
        <w:spacing w:before="93" w:line="278" w:lineRule="auto"/>
        <w:ind w:firstLine="560"/>
        <w:jc w:val="both"/>
        <w:rPr>
          <w:rFonts w:ascii="宋体" w:hAnsi="宋体" w:eastAsia="宋体" w:cs="宋体"/>
          <w:sz w:val="27"/>
          <w:szCs w:val="27"/>
        </w:rPr>
      </w:pPr>
      <w:r>
        <w:rPr>
          <w:rFonts w:ascii="宋体" w:hAnsi="宋体" w:eastAsia="宋体" w:cs="宋体"/>
          <w:spacing w:val="10"/>
          <w:sz w:val="27"/>
          <w:szCs w:val="27"/>
        </w:rPr>
        <w:t>工程项目管理单元是指为实现工程项目的总目标(这些目标与</w:t>
      </w:r>
      <w:r>
        <w:rPr>
          <w:rFonts w:ascii="宋体" w:hAnsi="宋体" w:eastAsia="宋体" w:cs="宋体"/>
          <w:spacing w:val="9"/>
          <w:sz w:val="27"/>
          <w:szCs w:val="27"/>
        </w:rPr>
        <w:t>某一硬件单</w:t>
      </w:r>
      <w:r>
        <w:rPr>
          <w:rFonts w:ascii="宋体" w:hAnsi="宋体" w:eastAsia="宋体" w:cs="宋体"/>
          <w:sz w:val="27"/>
          <w:szCs w:val="27"/>
        </w:rPr>
        <w:t xml:space="preserve"> </w:t>
      </w:r>
      <w:r>
        <w:rPr>
          <w:rFonts w:ascii="宋体" w:hAnsi="宋体" w:eastAsia="宋体" w:cs="宋体"/>
          <w:spacing w:val="-6"/>
          <w:sz w:val="27"/>
          <w:szCs w:val="27"/>
        </w:rPr>
        <w:t>元无关并且未包括在系统工程单元内)在计划、组织、指导、协</w:t>
      </w:r>
      <w:r>
        <w:rPr>
          <w:rFonts w:ascii="宋体" w:hAnsi="宋体" w:eastAsia="宋体" w:cs="宋体"/>
          <w:spacing w:val="-7"/>
          <w:sz w:val="27"/>
          <w:szCs w:val="27"/>
        </w:rPr>
        <w:t>调、控制和审批等</w:t>
      </w:r>
      <w:r>
        <w:rPr>
          <w:rFonts w:ascii="宋体" w:hAnsi="宋体" w:eastAsia="宋体" w:cs="宋体"/>
          <w:sz w:val="27"/>
          <w:szCs w:val="27"/>
        </w:rPr>
        <w:t xml:space="preserve">  </w:t>
      </w:r>
      <w:r>
        <w:rPr>
          <w:rFonts w:ascii="宋体" w:hAnsi="宋体" w:eastAsia="宋体" w:cs="宋体"/>
          <w:spacing w:val="1"/>
          <w:sz w:val="27"/>
          <w:szCs w:val="27"/>
        </w:rPr>
        <w:t>方面所进行的业务和管理。例如综合保障管理、费用、进度和性能审核与检</w:t>
      </w:r>
      <w:r>
        <w:rPr>
          <w:rFonts w:ascii="宋体" w:hAnsi="宋体" w:eastAsia="宋体" w:cs="宋体"/>
          <w:sz w:val="27"/>
          <w:szCs w:val="27"/>
        </w:rPr>
        <w:t xml:space="preserve">查、 </w:t>
      </w:r>
      <w:r>
        <w:rPr>
          <w:rFonts w:ascii="宋体" w:hAnsi="宋体" w:eastAsia="宋体" w:cs="宋体"/>
          <w:spacing w:val="-10"/>
          <w:sz w:val="27"/>
          <w:szCs w:val="27"/>
        </w:rPr>
        <w:t>合同管理、资料管理、供货单位联络、制定合同工作</w:t>
      </w:r>
      <w:r>
        <w:rPr>
          <w:rFonts w:ascii="宋体" w:hAnsi="宋体" w:eastAsia="宋体" w:cs="宋体"/>
          <w:spacing w:val="-11"/>
          <w:sz w:val="27"/>
          <w:szCs w:val="27"/>
        </w:rPr>
        <w:t>分解结构等。</w:t>
      </w:r>
    </w:p>
    <w:p w14:paraId="4CD9AABE">
      <w:pPr>
        <w:spacing w:before="1" w:line="220" w:lineRule="auto"/>
        <w:rPr>
          <w:rFonts w:ascii="黑体" w:hAnsi="黑体" w:eastAsia="黑体" w:cs="黑体"/>
          <w:sz w:val="27"/>
          <w:szCs w:val="27"/>
        </w:rPr>
      </w:pPr>
      <w:r>
        <w:rPr>
          <w:rFonts w:ascii="黑体" w:hAnsi="黑体" w:eastAsia="黑体" w:cs="黑体"/>
          <w:spacing w:val="-1"/>
          <w:sz w:val="27"/>
          <w:szCs w:val="27"/>
        </w:rPr>
        <w:t>2.1.3</w:t>
      </w:r>
      <w:r>
        <w:rPr>
          <w:rFonts w:ascii="黑体" w:hAnsi="黑体" w:eastAsia="黑体" w:cs="黑体"/>
          <w:spacing w:val="43"/>
          <w:sz w:val="27"/>
          <w:szCs w:val="27"/>
        </w:rPr>
        <w:t xml:space="preserve">  </w:t>
      </w:r>
      <w:r>
        <w:rPr>
          <w:rFonts w:ascii="黑体" w:hAnsi="黑体" w:eastAsia="黑体" w:cs="黑体"/>
          <w:b/>
          <w:bCs/>
          <w:spacing w:val="-1"/>
          <w:sz w:val="27"/>
          <w:szCs w:val="27"/>
        </w:rPr>
        <w:t>系统试验和评定</w:t>
      </w:r>
    </w:p>
    <w:p w14:paraId="489D9A1E">
      <w:pPr>
        <w:spacing w:before="99" w:line="280" w:lineRule="auto"/>
        <w:ind w:right="114" w:firstLine="560"/>
        <w:jc w:val="both"/>
        <w:rPr>
          <w:rFonts w:ascii="宋体" w:hAnsi="宋体" w:eastAsia="宋体" w:cs="宋体"/>
          <w:sz w:val="27"/>
          <w:szCs w:val="27"/>
        </w:rPr>
      </w:pPr>
      <w:r>
        <w:rPr>
          <w:rFonts w:ascii="宋体" w:hAnsi="宋体" w:eastAsia="宋体" w:cs="宋体"/>
          <w:spacing w:val="5"/>
          <w:sz w:val="27"/>
          <w:szCs w:val="27"/>
        </w:rPr>
        <w:t>系统试验和评定单元是指为取得或验证飞行系统性能方面的工程数据，使</w:t>
      </w:r>
      <w:r>
        <w:rPr>
          <w:rFonts w:ascii="宋体" w:hAnsi="宋体" w:eastAsia="宋体" w:cs="宋体"/>
          <w:spacing w:val="2"/>
          <w:sz w:val="27"/>
          <w:szCs w:val="27"/>
        </w:rPr>
        <w:t xml:space="preserve"> </w:t>
      </w:r>
      <w:r>
        <w:rPr>
          <w:rFonts w:ascii="宋体" w:hAnsi="宋体" w:eastAsia="宋体" w:cs="宋体"/>
          <w:spacing w:val="5"/>
          <w:sz w:val="27"/>
          <w:szCs w:val="27"/>
        </w:rPr>
        <w:t>用样机、产品或专门制造的硬件和软件所进行的试验和评定。本单元包括试验</w:t>
      </w:r>
      <w:r>
        <w:rPr>
          <w:rFonts w:ascii="宋体" w:hAnsi="宋体" w:eastAsia="宋体" w:cs="宋体"/>
          <w:spacing w:val="10"/>
          <w:sz w:val="27"/>
          <w:szCs w:val="27"/>
        </w:rPr>
        <w:t xml:space="preserve"> </w:t>
      </w:r>
      <w:r>
        <w:rPr>
          <w:rFonts w:ascii="宋体" w:hAnsi="宋体" w:eastAsia="宋体" w:cs="宋体"/>
          <w:spacing w:val="-3"/>
          <w:sz w:val="27"/>
          <w:szCs w:val="27"/>
        </w:rPr>
        <w:t>的详细计划、实施、保障、数据处理和试验报告及试验进行中计划消耗的全部硬</w:t>
      </w:r>
      <w:r>
        <w:rPr>
          <w:rFonts w:ascii="宋体" w:hAnsi="宋体" w:eastAsia="宋体" w:cs="宋体"/>
          <w:spacing w:val="15"/>
          <w:sz w:val="27"/>
          <w:szCs w:val="27"/>
        </w:rPr>
        <w:t xml:space="preserve"> </w:t>
      </w:r>
      <w:r>
        <w:rPr>
          <w:rFonts w:ascii="宋体" w:hAnsi="宋体" w:eastAsia="宋体" w:cs="宋体"/>
          <w:spacing w:val="-3"/>
          <w:sz w:val="27"/>
          <w:szCs w:val="27"/>
        </w:rPr>
        <w:t>件项目，也包括与试验大纲要求的模型、试样定位装置以及测试设备的设计和生</w:t>
      </w:r>
      <w:r>
        <w:rPr>
          <w:rFonts w:ascii="宋体" w:hAnsi="宋体" w:eastAsia="宋体" w:cs="宋体"/>
          <w:spacing w:val="16"/>
          <w:sz w:val="27"/>
          <w:szCs w:val="27"/>
        </w:rPr>
        <w:t xml:space="preserve"> </w:t>
      </w:r>
      <w:r>
        <w:rPr>
          <w:rFonts w:ascii="宋体" w:hAnsi="宋体" w:eastAsia="宋体" w:cs="宋体"/>
          <w:spacing w:val="6"/>
          <w:sz w:val="27"/>
          <w:szCs w:val="27"/>
        </w:rPr>
        <w:t>产有关的所有工作项目。研制、组装和验收</w:t>
      </w:r>
      <w:r>
        <w:rPr>
          <w:rFonts w:ascii="宋体" w:hAnsi="宋体" w:eastAsia="宋体" w:cs="宋体"/>
          <w:spacing w:val="5"/>
          <w:sz w:val="27"/>
          <w:szCs w:val="27"/>
        </w:rPr>
        <w:t>试验等可以与硬件单元显然有关的</w:t>
      </w:r>
      <w:r>
        <w:rPr>
          <w:rFonts w:ascii="宋体" w:hAnsi="宋体" w:eastAsia="宋体" w:cs="宋体"/>
          <w:sz w:val="27"/>
          <w:szCs w:val="27"/>
        </w:rPr>
        <w:t xml:space="preserve"> </w:t>
      </w:r>
      <w:r>
        <w:rPr>
          <w:rFonts w:ascii="宋体" w:hAnsi="宋体" w:eastAsia="宋体" w:cs="宋体"/>
          <w:spacing w:val="-2"/>
          <w:sz w:val="27"/>
          <w:szCs w:val="27"/>
        </w:rPr>
        <w:t>试验不包括在内，但合同规定的或工程上特殊要求的试验除外。</w:t>
      </w:r>
    </w:p>
    <w:p w14:paraId="4EB1116B">
      <w:pPr>
        <w:spacing w:before="1" w:line="220" w:lineRule="auto"/>
        <w:rPr>
          <w:rFonts w:ascii="黑体" w:hAnsi="黑体" w:eastAsia="黑体" w:cs="黑体"/>
          <w:sz w:val="24"/>
          <w:szCs w:val="24"/>
        </w:rPr>
      </w:pPr>
      <w:r>
        <w:rPr>
          <w:rFonts w:ascii="黑体" w:hAnsi="黑体" w:eastAsia="黑体" w:cs="黑体"/>
          <w:spacing w:val="15"/>
          <w:sz w:val="24"/>
          <w:szCs w:val="24"/>
        </w:rPr>
        <w:t>2.1.3.1</w:t>
      </w:r>
      <w:r>
        <w:rPr>
          <w:rFonts w:ascii="黑体" w:hAnsi="黑体" w:eastAsia="黑体" w:cs="黑体"/>
          <w:spacing w:val="30"/>
          <w:sz w:val="24"/>
          <w:szCs w:val="24"/>
        </w:rPr>
        <w:t xml:space="preserve">   </w:t>
      </w:r>
      <w:r>
        <w:rPr>
          <w:rFonts w:ascii="黑体" w:hAnsi="黑体" w:eastAsia="黑体" w:cs="黑体"/>
          <w:b/>
          <w:bCs/>
          <w:spacing w:val="15"/>
          <w:sz w:val="24"/>
          <w:szCs w:val="24"/>
        </w:rPr>
        <w:t>研制试验和评定</w:t>
      </w:r>
    </w:p>
    <w:p w14:paraId="5371C562">
      <w:pPr>
        <w:spacing w:before="110" w:line="220" w:lineRule="auto"/>
        <w:ind w:left="560"/>
        <w:rPr>
          <w:rFonts w:ascii="宋体" w:hAnsi="宋体" w:eastAsia="宋体" w:cs="宋体"/>
          <w:sz w:val="27"/>
          <w:szCs w:val="27"/>
        </w:rPr>
      </w:pPr>
      <w:r>
        <w:rPr>
          <w:rFonts w:ascii="宋体" w:hAnsi="宋体" w:eastAsia="宋体" w:cs="宋体"/>
          <w:spacing w:val="4"/>
          <w:sz w:val="27"/>
          <w:szCs w:val="27"/>
        </w:rPr>
        <w:t>研制试验和评定单元是指为了下列目的而进行的试验和评定：</w:t>
      </w:r>
    </w:p>
    <w:p w14:paraId="05AF758F">
      <w:pPr>
        <w:spacing w:before="47"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验证工程设计和研制过程是完全的；</w:t>
      </w:r>
    </w:p>
    <w:p w14:paraId="1E9DEF37">
      <w:pPr>
        <w:spacing w:before="11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验证设计风险已被减少到最低限度；</w:t>
      </w:r>
    </w:p>
    <w:p w14:paraId="3A823716">
      <w:pPr>
        <w:spacing w:before="90"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73"/>
          <w:w w:val="101"/>
          <w:sz w:val="27"/>
          <w:szCs w:val="27"/>
        </w:rPr>
        <w:t xml:space="preserve"> </w:t>
      </w:r>
      <w:r>
        <w:rPr>
          <w:rFonts w:ascii="宋体" w:hAnsi="宋体" w:eastAsia="宋体" w:cs="宋体"/>
          <w:spacing w:val="1"/>
          <w:sz w:val="27"/>
          <w:szCs w:val="27"/>
        </w:rPr>
        <w:t>验证系统满足规范要求；</w:t>
      </w:r>
    </w:p>
    <w:p w14:paraId="05C06A0B">
      <w:pPr>
        <w:spacing w:line="212" w:lineRule="auto"/>
        <w:rPr>
          <w:rFonts w:ascii="宋体" w:hAnsi="宋体" w:eastAsia="宋体" w:cs="宋体"/>
          <w:sz w:val="27"/>
          <w:szCs w:val="27"/>
        </w:rPr>
        <w:sectPr>
          <w:footerReference r:id="rId41" w:type="default"/>
          <w:pgSz w:w="11910" w:h="17130"/>
          <w:pgMar w:top="400" w:right="1014" w:bottom="1574" w:left="1410" w:header="0" w:footer="1384" w:gutter="0"/>
          <w:cols w:space="720" w:num="1"/>
        </w:sectPr>
      </w:pPr>
    </w:p>
    <w:p w14:paraId="355C840E">
      <w:pPr>
        <w:pStyle w:val="2"/>
        <w:spacing w:line="261" w:lineRule="auto"/>
      </w:pPr>
    </w:p>
    <w:p w14:paraId="76940FFA">
      <w:pPr>
        <w:pStyle w:val="2"/>
        <w:spacing w:line="261" w:lineRule="auto"/>
      </w:pPr>
    </w:p>
    <w:p w14:paraId="60786D89">
      <w:pPr>
        <w:pStyle w:val="2"/>
        <w:spacing w:line="262" w:lineRule="auto"/>
      </w:pPr>
    </w:p>
    <w:p w14:paraId="01013D99">
      <w:pPr>
        <w:pStyle w:val="2"/>
        <w:spacing w:line="262" w:lineRule="auto"/>
      </w:pPr>
    </w:p>
    <w:p w14:paraId="67047AE5">
      <w:pPr>
        <w:spacing w:before="88"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预测系统投入使用时的军事效用；</w:t>
      </w:r>
    </w:p>
    <w:p w14:paraId="32E56792">
      <w:pPr>
        <w:spacing w:before="99"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确定工程设计对于实际使用是有保障的(实用的、可维修的、安全的等)。</w:t>
      </w:r>
    </w:p>
    <w:p w14:paraId="5F7FAD42">
      <w:pPr>
        <w:spacing w:before="81" w:line="212" w:lineRule="auto"/>
        <w:ind w:left="539"/>
        <w:rPr>
          <w:rFonts w:ascii="宋体" w:hAnsi="宋体" w:eastAsia="宋体" w:cs="宋体"/>
          <w:sz w:val="25"/>
          <w:szCs w:val="25"/>
        </w:rPr>
      </w:pPr>
      <w:r>
        <w:rPr>
          <w:rFonts w:ascii="Times New Roman" w:hAnsi="Times New Roman" w:eastAsia="Times New Roman" w:cs="Times New Roman"/>
          <w:spacing w:val="22"/>
          <w:sz w:val="25"/>
          <w:szCs w:val="25"/>
        </w:rPr>
        <w:t xml:space="preserve">f)  </w:t>
      </w:r>
      <w:r>
        <w:rPr>
          <w:rFonts w:ascii="宋体" w:hAnsi="宋体" w:eastAsia="宋体" w:cs="宋体"/>
          <w:spacing w:val="22"/>
          <w:sz w:val="25"/>
          <w:szCs w:val="25"/>
        </w:rPr>
        <w:t>提供试验数据用以确定和评定针对规范要求、全寿命费用和进度所做的</w:t>
      </w:r>
    </w:p>
    <w:p w14:paraId="69E9A4CF">
      <w:pPr>
        <w:spacing w:before="181" w:line="219" w:lineRule="auto"/>
        <w:rPr>
          <w:rFonts w:ascii="宋体" w:hAnsi="宋体" w:eastAsia="宋体" w:cs="宋体"/>
          <w:sz w:val="25"/>
          <w:szCs w:val="25"/>
        </w:rPr>
      </w:pPr>
      <w:r>
        <w:rPr>
          <w:rFonts w:ascii="宋体" w:hAnsi="宋体" w:eastAsia="宋体" w:cs="宋体"/>
          <w:spacing w:val="15"/>
          <w:sz w:val="25"/>
          <w:szCs w:val="25"/>
        </w:rPr>
        <w:t>权衡选择。</w:t>
      </w:r>
    </w:p>
    <w:p w14:paraId="4373781B">
      <w:pPr>
        <w:spacing w:before="61" w:line="279" w:lineRule="auto"/>
        <w:ind w:right="124" w:firstLine="539"/>
        <w:rPr>
          <w:rFonts w:ascii="宋体" w:hAnsi="宋体" w:eastAsia="宋体" w:cs="宋体"/>
          <w:sz w:val="27"/>
          <w:szCs w:val="27"/>
        </w:rPr>
      </w:pPr>
      <w:r>
        <w:rPr>
          <w:rFonts w:ascii="宋体" w:hAnsi="宋体" w:eastAsia="宋体" w:cs="宋体"/>
          <w:spacing w:val="6"/>
          <w:sz w:val="27"/>
          <w:szCs w:val="27"/>
        </w:rPr>
        <w:t>本单元包括承研承制单位进行的试验和定型</w:t>
      </w:r>
      <w:r>
        <w:rPr>
          <w:rFonts w:ascii="宋体" w:hAnsi="宋体" w:eastAsia="宋体" w:cs="宋体"/>
          <w:spacing w:val="5"/>
          <w:sz w:val="27"/>
          <w:szCs w:val="27"/>
        </w:rPr>
        <w:t>试验。例如风洞试验、静力试</w:t>
      </w:r>
      <w:r>
        <w:rPr>
          <w:rFonts w:ascii="宋体" w:hAnsi="宋体" w:eastAsia="宋体" w:cs="宋体"/>
          <w:sz w:val="27"/>
          <w:szCs w:val="27"/>
        </w:rPr>
        <w:t xml:space="preserve"> </w:t>
      </w:r>
      <w:r>
        <w:rPr>
          <w:rFonts w:ascii="宋体" w:hAnsi="宋体" w:eastAsia="宋体" w:cs="宋体"/>
          <w:spacing w:val="-17"/>
          <w:sz w:val="27"/>
          <w:szCs w:val="27"/>
        </w:rPr>
        <w:t>验、疲劳试验、综合地面试验、调整试飞、验证</w:t>
      </w:r>
      <w:r>
        <w:rPr>
          <w:rFonts w:ascii="宋体" w:hAnsi="宋体" w:eastAsia="宋体" w:cs="宋体"/>
          <w:spacing w:val="-18"/>
          <w:sz w:val="27"/>
          <w:szCs w:val="27"/>
        </w:rPr>
        <w:t>试飞等。</w:t>
      </w:r>
    </w:p>
    <w:p w14:paraId="019050CC">
      <w:pPr>
        <w:spacing w:before="1" w:line="220" w:lineRule="auto"/>
        <w:rPr>
          <w:rFonts w:ascii="黑体" w:hAnsi="黑体" w:eastAsia="黑体" w:cs="黑体"/>
          <w:sz w:val="27"/>
          <w:szCs w:val="27"/>
        </w:rPr>
      </w:pPr>
      <w:r>
        <w:rPr>
          <w:rFonts w:ascii="黑体" w:hAnsi="黑体" w:eastAsia="黑体" w:cs="黑体"/>
          <w:spacing w:val="-1"/>
          <w:sz w:val="27"/>
          <w:szCs w:val="27"/>
        </w:rPr>
        <w:t>2.1.3.2</w:t>
      </w:r>
      <w:r>
        <w:rPr>
          <w:rFonts w:ascii="黑体" w:hAnsi="黑体" w:eastAsia="黑体" w:cs="黑体"/>
          <w:spacing w:val="24"/>
          <w:sz w:val="27"/>
          <w:szCs w:val="27"/>
        </w:rPr>
        <w:t xml:space="preserve">  </w:t>
      </w:r>
      <w:r>
        <w:rPr>
          <w:rFonts w:ascii="黑体" w:hAnsi="黑体" w:eastAsia="黑体" w:cs="黑体"/>
          <w:b/>
          <w:bCs/>
          <w:spacing w:val="-1"/>
          <w:sz w:val="27"/>
          <w:szCs w:val="27"/>
        </w:rPr>
        <w:t>使用试验和评定</w:t>
      </w:r>
    </w:p>
    <w:p w14:paraId="4CA4BACB">
      <w:pPr>
        <w:spacing w:before="112" w:line="278" w:lineRule="auto"/>
        <w:ind w:firstLine="539"/>
        <w:jc w:val="both"/>
        <w:rPr>
          <w:rFonts w:ascii="宋体" w:hAnsi="宋体" w:eastAsia="宋体" w:cs="宋体"/>
          <w:sz w:val="27"/>
          <w:szCs w:val="27"/>
        </w:rPr>
      </w:pPr>
      <w:r>
        <w:rPr>
          <w:rFonts w:ascii="宋体" w:hAnsi="宋体" w:eastAsia="宋体" w:cs="宋体"/>
          <w:spacing w:val="-3"/>
          <w:sz w:val="27"/>
          <w:szCs w:val="27"/>
        </w:rPr>
        <w:t>使用试验和评定单元是指为评估未来系统的军事效用、作战效能、作战适应</w:t>
      </w:r>
      <w:r>
        <w:rPr>
          <w:rFonts w:ascii="宋体" w:hAnsi="宋体" w:eastAsia="宋体" w:cs="宋体"/>
          <w:spacing w:val="4"/>
          <w:sz w:val="27"/>
          <w:szCs w:val="27"/>
        </w:rPr>
        <w:t xml:space="preserve">  </w:t>
      </w:r>
      <w:r>
        <w:rPr>
          <w:rFonts w:ascii="宋体" w:hAnsi="宋体" w:eastAsia="宋体" w:cs="宋体"/>
          <w:spacing w:val="-9"/>
          <w:sz w:val="27"/>
          <w:szCs w:val="27"/>
        </w:rPr>
        <w:t>性、保障性(包括相容性、共用性、可靠性、</w:t>
      </w:r>
      <w:r>
        <w:rPr>
          <w:rFonts w:ascii="宋体" w:hAnsi="宋体" w:eastAsia="宋体" w:cs="宋体"/>
          <w:spacing w:val="-10"/>
          <w:sz w:val="27"/>
          <w:szCs w:val="27"/>
        </w:rPr>
        <w:t>维修性、综合保障要求等)所进行的和</w:t>
      </w:r>
      <w:r>
        <w:rPr>
          <w:rFonts w:ascii="宋体" w:hAnsi="宋体" w:eastAsia="宋体" w:cs="宋体"/>
          <w:sz w:val="27"/>
          <w:szCs w:val="27"/>
        </w:rPr>
        <w:t xml:space="preserve"> </w:t>
      </w:r>
      <w:r>
        <w:rPr>
          <w:rFonts w:ascii="宋体" w:hAnsi="宋体" w:eastAsia="宋体" w:cs="宋体"/>
          <w:spacing w:val="5"/>
          <w:sz w:val="27"/>
          <w:szCs w:val="27"/>
        </w:rPr>
        <w:t>改型需要的试验和评定。飞机系统研制期间所进行的初步使用试验和评定将纳</w:t>
      </w:r>
      <w:r>
        <w:rPr>
          <w:rFonts w:ascii="宋体" w:hAnsi="宋体" w:eastAsia="宋体" w:cs="宋体"/>
          <w:spacing w:val="8"/>
          <w:sz w:val="27"/>
          <w:szCs w:val="27"/>
        </w:rPr>
        <w:t xml:space="preserve">  </w:t>
      </w:r>
      <w:r>
        <w:rPr>
          <w:rFonts w:ascii="宋体" w:hAnsi="宋体" w:eastAsia="宋体" w:cs="宋体"/>
          <w:spacing w:val="9"/>
          <w:sz w:val="27"/>
          <w:szCs w:val="27"/>
        </w:rPr>
        <w:t>入本单元。本单元包括为证实可交付飞机系统的作战能力所进行的飞行试</w:t>
      </w:r>
      <w:r>
        <w:rPr>
          <w:rFonts w:ascii="宋体" w:hAnsi="宋体" w:eastAsia="宋体" w:cs="宋体"/>
          <w:spacing w:val="8"/>
          <w:sz w:val="27"/>
          <w:szCs w:val="27"/>
        </w:rPr>
        <w:t>验、</w:t>
      </w:r>
      <w:r>
        <w:rPr>
          <w:rFonts w:ascii="宋体" w:hAnsi="宋体" w:eastAsia="宋体" w:cs="宋体"/>
          <w:sz w:val="27"/>
          <w:szCs w:val="27"/>
        </w:rPr>
        <w:t xml:space="preserve"> </w:t>
      </w:r>
      <w:r>
        <w:rPr>
          <w:rFonts w:ascii="宋体" w:hAnsi="宋体" w:eastAsia="宋体" w:cs="宋体"/>
          <w:spacing w:val="1"/>
          <w:sz w:val="27"/>
          <w:szCs w:val="27"/>
        </w:rPr>
        <w:t>海上试验和相关保障，还包括在试验期间承研承制单位所付出的支援(如技术援</w:t>
      </w:r>
      <w:r>
        <w:rPr>
          <w:rFonts w:ascii="宋体" w:hAnsi="宋体" w:eastAsia="宋体" w:cs="宋体"/>
          <w:spacing w:val="5"/>
          <w:sz w:val="27"/>
          <w:szCs w:val="27"/>
        </w:rPr>
        <w:t xml:space="preserve">  </w:t>
      </w:r>
      <w:r>
        <w:rPr>
          <w:rFonts w:ascii="宋体" w:hAnsi="宋体" w:eastAsia="宋体" w:cs="宋体"/>
          <w:spacing w:val="-26"/>
          <w:sz w:val="27"/>
          <w:szCs w:val="27"/>
        </w:rPr>
        <w:t>助、维修、劳动力、材料等)。</w:t>
      </w:r>
    </w:p>
    <w:p w14:paraId="2CF68AF5">
      <w:pPr>
        <w:spacing w:before="1" w:line="223" w:lineRule="auto"/>
        <w:rPr>
          <w:rFonts w:ascii="黑体" w:hAnsi="黑体" w:eastAsia="黑体" w:cs="黑体"/>
          <w:sz w:val="27"/>
          <w:szCs w:val="27"/>
        </w:rPr>
      </w:pPr>
      <w:r>
        <w:rPr>
          <w:rFonts w:ascii="黑体" w:hAnsi="黑体" w:eastAsia="黑体" w:cs="黑体"/>
          <w:spacing w:val="-1"/>
          <w:sz w:val="27"/>
          <w:szCs w:val="27"/>
        </w:rPr>
        <w:t>2.1.3.3</w:t>
      </w:r>
      <w:r>
        <w:rPr>
          <w:rFonts w:ascii="黑体" w:hAnsi="黑体" w:eastAsia="黑体" w:cs="黑体"/>
          <w:spacing w:val="21"/>
          <w:sz w:val="27"/>
          <w:szCs w:val="27"/>
        </w:rPr>
        <w:t xml:space="preserve">  </w:t>
      </w:r>
      <w:r>
        <w:rPr>
          <w:rFonts w:ascii="黑体" w:hAnsi="黑体" w:eastAsia="黑体" w:cs="黑体"/>
          <w:b/>
          <w:bCs/>
          <w:spacing w:val="-1"/>
          <w:sz w:val="27"/>
          <w:szCs w:val="27"/>
        </w:rPr>
        <w:t>样机</w:t>
      </w:r>
    </w:p>
    <w:p w14:paraId="57104CA6">
      <w:pPr>
        <w:spacing w:before="52" w:line="286" w:lineRule="auto"/>
        <w:ind w:right="122" w:firstLine="539"/>
        <w:rPr>
          <w:rFonts w:ascii="宋体" w:hAnsi="宋体" w:eastAsia="宋体" w:cs="宋体"/>
          <w:sz w:val="27"/>
          <w:szCs w:val="27"/>
        </w:rPr>
      </w:pPr>
      <w:r>
        <w:rPr>
          <w:rFonts w:ascii="宋体" w:hAnsi="宋体" w:eastAsia="宋体" w:cs="宋体"/>
          <w:spacing w:val="6"/>
          <w:sz w:val="27"/>
          <w:szCs w:val="27"/>
        </w:rPr>
        <w:t>样机单元是指系统或分系统样机的设计工程和生</w:t>
      </w:r>
      <w:r>
        <w:rPr>
          <w:rFonts w:ascii="宋体" w:hAnsi="宋体" w:eastAsia="宋体" w:cs="宋体"/>
          <w:spacing w:val="5"/>
          <w:sz w:val="27"/>
          <w:szCs w:val="27"/>
        </w:rPr>
        <w:t>产。样机是合同规定的或</w:t>
      </w:r>
      <w:r>
        <w:rPr>
          <w:rFonts w:ascii="宋体" w:hAnsi="宋体" w:eastAsia="宋体" w:cs="宋体"/>
          <w:sz w:val="27"/>
          <w:szCs w:val="27"/>
        </w:rPr>
        <w:t xml:space="preserve"> </w:t>
      </w:r>
      <w:r>
        <w:rPr>
          <w:rFonts w:ascii="宋体" w:hAnsi="宋体" w:eastAsia="宋体" w:cs="宋体"/>
          <w:spacing w:val="-1"/>
          <w:sz w:val="27"/>
          <w:szCs w:val="27"/>
        </w:rPr>
        <w:t>工程特殊要求的，不仅是为进行上述某一项试验而制造的。</w:t>
      </w:r>
    </w:p>
    <w:p w14:paraId="7BDAADE8">
      <w:pPr>
        <w:spacing w:before="2" w:line="220" w:lineRule="auto"/>
        <w:rPr>
          <w:rFonts w:ascii="黑体" w:hAnsi="黑体" w:eastAsia="黑体" w:cs="黑体"/>
          <w:sz w:val="27"/>
          <w:szCs w:val="27"/>
        </w:rPr>
      </w:pPr>
      <w:r>
        <w:rPr>
          <w:rFonts w:ascii="黑体" w:hAnsi="黑体" w:eastAsia="黑体" w:cs="黑体"/>
          <w:color w:val="505050"/>
          <w:spacing w:val="-1"/>
          <w:sz w:val="27"/>
          <w:szCs w:val="27"/>
        </w:rPr>
        <w:t>2.1.3.4</w:t>
      </w:r>
      <w:r>
        <w:rPr>
          <w:rFonts w:ascii="黑体" w:hAnsi="黑体" w:eastAsia="黑体" w:cs="黑体"/>
          <w:color w:val="505050"/>
          <w:spacing w:val="21"/>
          <w:sz w:val="27"/>
          <w:szCs w:val="27"/>
        </w:rPr>
        <w:t xml:space="preserve">  </w:t>
      </w:r>
      <w:r>
        <w:rPr>
          <w:rFonts w:ascii="黑体" w:hAnsi="黑体" w:eastAsia="黑体" w:cs="黑体"/>
          <w:b/>
          <w:bCs/>
          <w:spacing w:val="-1"/>
          <w:sz w:val="27"/>
          <w:szCs w:val="27"/>
        </w:rPr>
        <w:t>试验和评定保障</w:t>
      </w:r>
    </w:p>
    <w:p w14:paraId="3B0AE073">
      <w:pPr>
        <w:spacing w:before="111" w:line="273" w:lineRule="auto"/>
        <w:ind w:firstLine="539"/>
        <w:jc w:val="both"/>
        <w:rPr>
          <w:rFonts w:ascii="宋体" w:hAnsi="宋体" w:eastAsia="宋体" w:cs="宋体"/>
          <w:sz w:val="27"/>
          <w:szCs w:val="27"/>
        </w:rPr>
      </w:pPr>
      <w:r>
        <w:rPr>
          <w:rFonts w:ascii="宋体" w:hAnsi="宋体" w:eastAsia="宋体" w:cs="宋体"/>
          <w:spacing w:val="6"/>
          <w:sz w:val="27"/>
          <w:szCs w:val="27"/>
        </w:rPr>
        <w:t>试验和评定保障单元是指在飞行试验和评定过程中操作和维修系统和分系</w:t>
      </w:r>
      <w:r>
        <w:rPr>
          <w:rFonts w:ascii="宋体" w:hAnsi="宋体" w:eastAsia="宋体" w:cs="宋体"/>
          <w:spacing w:val="2"/>
          <w:sz w:val="27"/>
          <w:szCs w:val="27"/>
        </w:rPr>
        <w:t xml:space="preserve"> </w:t>
      </w:r>
      <w:r>
        <w:rPr>
          <w:rFonts w:ascii="宋体" w:hAnsi="宋体" w:eastAsia="宋体" w:cs="宋体"/>
          <w:spacing w:val="-3"/>
          <w:sz w:val="27"/>
          <w:szCs w:val="27"/>
        </w:rPr>
        <w:t>统所需要的，而又不是在某个试验阶段消耗掉的所有保障单元，以及不能划归某</w:t>
      </w:r>
      <w:r>
        <w:rPr>
          <w:rFonts w:ascii="宋体" w:hAnsi="宋体" w:eastAsia="宋体" w:cs="宋体"/>
          <w:spacing w:val="8"/>
          <w:sz w:val="27"/>
          <w:szCs w:val="27"/>
        </w:rPr>
        <w:t xml:space="preserve">  </w:t>
      </w:r>
      <w:r>
        <w:rPr>
          <w:rFonts w:ascii="宋体" w:hAnsi="宋体" w:eastAsia="宋体" w:cs="宋体"/>
          <w:spacing w:val="1"/>
          <w:sz w:val="27"/>
          <w:szCs w:val="27"/>
        </w:rPr>
        <w:t>一具体试验阶段的其他保障要求。例如本单元包括可修备件、周转备件的修理、</w:t>
      </w:r>
      <w:r>
        <w:rPr>
          <w:rFonts w:ascii="宋体" w:hAnsi="宋体" w:eastAsia="宋体" w:cs="宋体"/>
          <w:sz w:val="27"/>
          <w:szCs w:val="27"/>
        </w:rPr>
        <w:t xml:space="preserve"> </w:t>
      </w:r>
      <w:r>
        <w:rPr>
          <w:rFonts w:ascii="宋体" w:hAnsi="宋体" w:eastAsia="宋体" w:cs="宋体"/>
          <w:spacing w:val="5"/>
          <w:sz w:val="27"/>
          <w:szCs w:val="27"/>
        </w:rPr>
        <w:t>承研承制单位技术保障等不能划为上面试验和评定单元的工作项目。本单元不</w:t>
      </w:r>
      <w:r>
        <w:rPr>
          <w:rFonts w:ascii="宋体" w:hAnsi="宋体" w:eastAsia="宋体" w:cs="宋体"/>
          <w:spacing w:val="6"/>
          <w:sz w:val="27"/>
          <w:szCs w:val="27"/>
        </w:rPr>
        <w:t xml:space="preserve">  </w:t>
      </w:r>
      <w:r>
        <w:rPr>
          <w:rFonts w:ascii="宋体" w:hAnsi="宋体" w:eastAsia="宋体" w:cs="宋体"/>
          <w:spacing w:val="-3"/>
          <w:sz w:val="27"/>
          <w:szCs w:val="27"/>
        </w:rPr>
        <w:t>包括操作和维修人员、消耗品、专用固定装置、专用仪器及其他在某一试验单元</w:t>
      </w:r>
      <w:r>
        <w:rPr>
          <w:rFonts w:ascii="宋体" w:hAnsi="宋体" w:eastAsia="宋体" w:cs="宋体"/>
          <w:spacing w:val="7"/>
          <w:sz w:val="27"/>
          <w:szCs w:val="27"/>
        </w:rPr>
        <w:t xml:space="preserve">  </w:t>
      </w:r>
      <w:r>
        <w:rPr>
          <w:rFonts w:ascii="宋体" w:hAnsi="宋体" w:eastAsia="宋体" w:cs="宋体"/>
          <w:spacing w:val="2"/>
          <w:sz w:val="27"/>
          <w:szCs w:val="27"/>
        </w:rPr>
        <w:t>使用或消耗的物品。</w:t>
      </w:r>
    </w:p>
    <w:p w14:paraId="12F6B100">
      <w:pPr>
        <w:spacing w:before="39" w:line="221" w:lineRule="auto"/>
        <w:rPr>
          <w:rFonts w:ascii="黑体" w:hAnsi="黑体" w:eastAsia="黑体" w:cs="黑体"/>
          <w:sz w:val="25"/>
          <w:szCs w:val="25"/>
        </w:rPr>
      </w:pPr>
      <w:r>
        <w:rPr>
          <w:rFonts w:ascii="黑体" w:hAnsi="黑体" w:eastAsia="黑体" w:cs="黑体"/>
          <w:spacing w:val="7"/>
          <w:sz w:val="25"/>
          <w:szCs w:val="25"/>
        </w:rPr>
        <w:t>2.1.3.5</w:t>
      </w:r>
      <w:r>
        <w:rPr>
          <w:rFonts w:ascii="黑体" w:hAnsi="黑体" w:eastAsia="黑体" w:cs="黑体"/>
          <w:spacing w:val="3"/>
          <w:sz w:val="25"/>
          <w:szCs w:val="25"/>
        </w:rPr>
        <w:t xml:space="preserve">   </w:t>
      </w:r>
      <w:r>
        <w:rPr>
          <w:rFonts w:ascii="黑体" w:hAnsi="黑体" w:eastAsia="黑体" w:cs="黑体"/>
          <w:b/>
          <w:bCs/>
          <w:spacing w:val="7"/>
          <w:sz w:val="25"/>
          <w:szCs w:val="25"/>
        </w:rPr>
        <w:t>试验设施</w:t>
      </w:r>
    </w:p>
    <w:p w14:paraId="106C0D79">
      <w:pPr>
        <w:spacing w:before="119" w:line="277" w:lineRule="auto"/>
        <w:ind w:right="125" w:firstLine="539"/>
        <w:jc w:val="both"/>
        <w:rPr>
          <w:rFonts w:ascii="宋体" w:hAnsi="宋体" w:eastAsia="宋体" w:cs="宋体"/>
          <w:sz w:val="27"/>
          <w:szCs w:val="27"/>
        </w:rPr>
      </w:pPr>
      <w:r>
        <w:rPr>
          <w:rFonts w:ascii="宋体" w:hAnsi="宋体" w:eastAsia="宋体" w:cs="宋体"/>
          <w:spacing w:val="5"/>
          <w:sz w:val="27"/>
          <w:szCs w:val="27"/>
        </w:rPr>
        <w:t>试验设施单元是指那些为验证系统或分系统的设计和可靠性所必须进行的</w:t>
      </w:r>
      <w:r>
        <w:rPr>
          <w:rFonts w:ascii="宋体" w:hAnsi="宋体" w:eastAsia="宋体" w:cs="宋体"/>
          <w:spacing w:val="10"/>
          <w:sz w:val="27"/>
          <w:szCs w:val="27"/>
        </w:rPr>
        <w:t xml:space="preserve"> </w:t>
      </w:r>
      <w:r>
        <w:rPr>
          <w:rFonts w:ascii="宋体" w:hAnsi="宋体" w:eastAsia="宋体" w:cs="宋体"/>
          <w:spacing w:val="5"/>
          <w:sz w:val="27"/>
          <w:szCs w:val="27"/>
        </w:rPr>
        <w:t>各种研制性试验所需要的特殊试验设施。例如本单元包括发动机试车台架、洁</w:t>
      </w:r>
      <w:r>
        <w:rPr>
          <w:rFonts w:ascii="宋体" w:hAnsi="宋体" w:eastAsia="宋体" w:cs="宋体"/>
          <w:spacing w:val="8"/>
          <w:sz w:val="27"/>
          <w:szCs w:val="27"/>
        </w:rPr>
        <w:t xml:space="preserve"> </w:t>
      </w:r>
      <w:r>
        <w:rPr>
          <w:rFonts w:ascii="宋体" w:hAnsi="宋体" w:eastAsia="宋体" w:cs="宋体"/>
          <w:spacing w:val="-1"/>
          <w:sz w:val="27"/>
          <w:szCs w:val="27"/>
        </w:rPr>
        <w:t>净室、试验室等。不包括可归于工业设施类的土建设施。</w:t>
      </w:r>
    </w:p>
    <w:p w14:paraId="26B26E43">
      <w:pPr>
        <w:spacing w:line="223" w:lineRule="auto"/>
        <w:rPr>
          <w:rFonts w:ascii="黑体" w:hAnsi="黑体" w:eastAsia="黑体" w:cs="黑体"/>
          <w:sz w:val="25"/>
          <w:szCs w:val="25"/>
        </w:rPr>
      </w:pPr>
      <w:r>
        <w:rPr>
          <w:rFonts w:ascii="黑体" w:hAnsi="黑体" w:eastAsia="黑体" w:cs="黑体"/>
          <w:spacing w:val="2"/>
          <w:sz w:val="25"/>
          <w:szCs w:val="25"/>
        </w:rPr>
        <w:t xml:space="preserve">2.1.4   </w:t>
      </w:r>
      <w:r>
        <w:rPr>
          <w:rFonts w:ascii="黑体" w:hAnsi="黑体" w:eastAsia="黑体" w:cs="黑体"/>
          <w:b/>
          <w:bCs/>
          <w:spacing w:val="2"/>
          <w:sz w:val="25"/>
          <w:szCs w:val="25"/>
        </w:rPr>
        <w:t>训练</w:t>
      </w:r>
    </w:p>
    <w:p w14:paraId="68C367AB">
      <w:pPr>
        <w:spacing w:before="121" w:line="275" w:lineRule="auto"/>
        <w:ind w:right="124" w:firstLine="539"/>
        <w:rPr>
          <w:rFonts w:ascii="宋体" w:hAnsi="宋体" w:eastAsia="宋体" w:cs="宋体"/>
          <w:sz w:val="27"/>
          <w:szCs w:val="27"/>
        </w:rPr>
      </w:pPr>
      <w:r>
        <w:rPr>
          <w:rFonts w:ascii="宋体" w:hAnsi="宋体" w:eastAsia="宋体" w:cs="宋体"/>
          <w:spacing w:val="6"/>
          <w:sz w:val="27"/>
          <w:szCs w:val="27"/>
        </w:rPr>
        <w:t>训练单元是指培训学员用的训练设备、训练</w:t>
      </w:r>
      <w:r>
        <w:rPr>
          <w:rFonts w:ascii="宋体" w:hAnsi="宋体" w:eastAsia="宋体" w:cs="宋体"/>
          <w:spacing w:val="5"/>
          <w:sz w:val="27"/>
          <w:szCs w:val="27"/>
        </w:rPr>
        <w:t>业务和训练设施。本单元包括</w:t>
      </w:r>
      <w:r>
        <w:rPr>
          <w:rFonts w:ascii="宋体" w:hAnsi="宋体" w:eastAsia="宋体" w:cs="宋体"/>
          <w:sz w:val="27"/>
          <w:szCs w:val="27"/>
        </w:rPr>
        <w:t xml:space="preserve"> </w:t>
      </w:r>
      <w:r>
        <w:rPr>
          <w:rFonts w:ascii="宋体" w:hAnsi="宋体" w:eastAsia="宋体" w:cs="宋体"/>
          <w:spacing w:val="4"/>
          <w:sz w:val="27"/>
          <w:szCs w:val="27"/>
        </w:rPr>
        <w:t>与训练设备的研制和生产及训练业务的实施有关的所有工作。</w:t>
      </w:r>
    </w:p>
    <w:p w14:paraId="740794B7">
      <w:pPr>
        <w:spacing w:before="1" w:line="221" w:lineRule="auto"/>
        <w:rPr>
          <w:rFonts w:ascii="黑体" w:hAnsi="黑体" w:eastAsia="黑体" w:cs="黑体"/>
          <w:sz w:val="24"/>
          <w:szCs w:val="24"/>
        </w:rPr>
      </w:pPr>
      <w:r>
        <w:rPr>
          <w:rFonts w:ascii="黑体" w:hAnsi="黑体" w:eastAsia="黑体" w:cs="黑体"/>
          <w:spacing w:val="9"/>
          <w:sz w:val="24"/>
          <w:szCs w:val="24"/>
        </w:rPr>
        <w:t>2.1.4.1</w:t>
      </w:r>
      <w:r>
        <w:rPr>
          <w:rFonts w:ascii="黑体" w:hAnsi="黑体" w:eastAsia="黑体" w:cs="黑体"/>
          <w:spacing w:val="18"/>
          <w:sz w:val="24"/>
          <w:szCs w:val="24"/>
        </w:rPr>
        <w:t xml:space="preserve">   </w:t>
      </w:r>
      <w:r>
        <w:rPr>
          <w:rFonts w:ascii="黑体" w:hAnsi="黑体" w:eastAsia="黑体" w:cs="黑体"/>
          <w:b/>
          <w:bCs/>
          <w:spacing w:val="9"/>
          <w:sz w:val="24"/>
          <w:szCs w:val="24"/>
        </w:rPr>
        <w:t>训练设备</w:t>
      </w:r>
    </w:p>
    <w:p w14:paraId="77998CB2">
      <w:pPr>
        <w:spacing w:before="119" w:line="281" w:lineRule="auto"/>
        <w:ind w:right="122" w:firstLine="539"/>
        <w:jc w:val="both"/>
        <w:rPr>
          <w:rFonts w:ascii="宋体" w:hAnsi="宋体" w:eastAsia="宋体" w:cs="宋体"/>
          <w:sz w:val="27"/>
          <w:szCs w:val="27"/>
        </w:rPr>
      </w:pPr>
      <w:r>
        <w:rPr>
          <w:rFonts w:ascii="宋体" w:hAnsi="宋体" w:eastAsia="宋体" w:cs="宋体"/>
          <w:spacing w:val="6"/>
          <w:sz w:val="27"/>
          <w:szCs w:val="27"/>
        </w:rPr>
        <w:t>训练设备单元是指由承研承制单位或使用部门指</w:t>
      </w:r>
      <w:r>
        <w:rPr>
          <w:rFonts w:ascii="宋体" w:hAnsi="宋体" w:eastAsia="宋体" w:cs="宋体"/>
          <w:spacing w:val="5"/>
          <w:sz w:val="27"/>
          <w:szCs w:val="27"/>
        </w:rPr>
        <w:t>定的、用以满足具体训练</w:t>
      </w:r>
      <w:r>
        <w:rPr>
          <w:rFonts w:ascii="宋体" w:hAnsi="宋体" w:eastAsia="宋体" w:cs="宋体"/>
          <w:sz w:val="27"/>
          <w:szCs w:val="27"/>
        </w:rPr>
        <w:t xml:space="preserve"> </w:t>
      </w:r>
      <w:r>
        <w:rPr>
          <w:rFonts w:ascii="宋体" w:hAnsi="宋体" w:eastAsia="宋体" w:cs="宋体"/>
          <w:spacing w:val="-4"/>
          <w:sz w:val="27"/>
          <w:szCs w:val="27"/>
        </w:rPr>
        <w:t>目的的装置、附件和教具。例如本单元包括操作教练器(即模拟器)、维修教练器</w:t>
      </w:r>
      <w:r>
        <w:rPr>
          <w:rFonts w:ascii="宋体" w:hAnsi="宋体" w:eastAsia="宋体" w:cs="宋体"/>
          <w:spacing w:val="14"/>
          <w:sz w:val="27"/>
          <w:szCs w:val="27"/>
        </w:rPr>
        <w:t xml:space="preserve"> </w:t>
      </w:r>
      <w:r>
        <w:rPr>
          <w:rFonts w:ascii="宋体" w:hAnsi="宋体" w:eastAsia="宋体" w:cs="宋体"/>
          <w:spacing w:val="-9"/>
          <w:sz w:val="27"/>
          <w:szCs w:val="27"/>
        </w:rPr>
        <w:t>和其他项目(例如剖视物、教具、样机和模型)。</w:t>
      </w:r>
    </w:p>
    <w:p w14:paraId="6D6C9DAA">
      <w:pPr>
        <w:spacing w:line="281" w:lineRule="auto"/>
        <w:rPr>
          <w:rFonts w:ascii="宋体" w:hAnsi="宋体" w:eastAsia="宋体" w:cs="宋体"/>
          <w:sz w:val="27"/>
          <w:szCs w:val="27"/>
        </w:rPr>
        <w:sectPr>
          <w:footerReference r:id="rId42" w:type="default"/>
          <w:pgSz w:w="11910" w:h="17130"/>
          <w:pgMar w:top="400" w:right="1184" w:bottom="1630" w:left="1239" w:header="0" w:footer="1432" w:gutter="0"/>
          <w:cols w:space="720" w:num="1"/>
        </w:sectPr>
      </w:pPr>
    </w:p>
    <w:p w14:paraId="68B3DB8A">
      <w:pPr>
        <w:pStyle w:val="2"/>
        <w:spacing w:line="273" w:lineRule="auto"/>
      </w:pPr>
    </w:p>
    <w:p w14:paraId="0E7DD339">
      <w:pPr>
        <w:pStyle w:val="2"/>
        <w:spacing w:line="273" w:lineRule="auto"/>
      </w:pPr>
    </w:p>
    <w:p w14:paraId="40316971">
      <w:pPr>
        <w:pStyle w:val="2"/>
        <w:spacing w:line="273" w:lineRule="auto"/>
      </w:pPr>
    </w:p>
    <w:p w14:paraId="5D9FFAEB">
      <w:pPr>
        <w:pStyle w:val="2"/>
        <w:spacing w:line="273" w:lineRule="auto"/>
      </w:pPr>
    </w:p>
    <w:p w14:paraId="30FCB35D">
      <w:pPr>
        <w:spacing w:before="78" w:line="221" w:lineRule="auto"/>
        <w:rPr>
          <w:rFonts w:ascii="黑体" w:hAnsi="黑体" w:eastAsia="黑体" w:cs="黑体"/>
          <w:sz w:val="24"/>
          <w:szCs w:val="24"/>
        </w:rPr>
      </w:pPr>
      <w:r>
        <w:rPr>
          <w:rFonts w:ascii="黑体" w:hAnsi="黑体" w:eastAsia="黑体" w:cs="黑体"/>
          <w:spacing w:val="14"/>
          <w:sz w:val="24"/>
          <w:szCs w:val="24"/>
        </w:rPr>
        <w:t>2.1.4.2   训练业务</w:t>
      </w:r>
    </w:p>
    <w:p w14:paraId="09910620">
      <w:pPr>
        <w:spacing w:before="84" w:line="294" w:lineRule="auto"/>
        <w:ind w:right="122" w:firstLine="570"/>
        <w:rPr>
          <w:rFonts w:ascii="宋体" w:hAnsi="宋体" w:eastAsia="宋体" w:cs="宋体"/>
          <w:sz w:val="27"/>
          <w:szCs w:val="27"/>
        </w:rPr>
      </w:pPr>
      <w:r>
        <w:rPr>
          <w:rFonts w:ascii="宋体" w:hAnsi="宋体" w:eastAsia="宋体" w:cs="宋体"/>
          <w:spacing w:val="5"/>
          <w:sz w:val="27"/>
          <w:szCs w:val="27"/>
        </w:rPr>
        <w:t>训练业务单元是指完成训练目标所必须的服务事项。例如本单元包括训练</w:t>
      </w:r>
      <w:r>
        <w:rPr>
          <w:rFonts w:ascii="宋体" w:hAnsi="宋体" w:eastAsia="宋体" w:cs="宋体"/>
          <w:spacing w:val="11"/>
          <w:sz w:val="27"/>
          <w:szCs w:val="27"/>
        </w:rPr>
        <w:t xml:space="preserve"> </w:t>
      </w:r>
      <w:r>
        <w:rPr>
          <w:rFonts w:ascii="宋体" w:hAnsi="宋体" w:eastAsia="宋体" w:cs="宋体"/>
          <w:spacing w:val="-3"/>
          <w:sz w:val="27"/>
          <w:szCs w:val="27"/>
        </w:rPr>
        <w:t>计划、训练教程、承研承制单位进行的(包括在工厂进行的)训练和服务训练等。</w:t>
      </w:r>
    </w:p>
    <w:p w14:paraId="55D07739">
      <w:pPr>
        <w:spacing w:line="221" w:lineRule="auto"/>
        <w:rPr>
          <w:rFonts w:ascii="黑体" w:hAnsi="黑体" w:eastAsia="黑体" w:cs="黑体"/>
          <w:sz w:val="24"/>
          <w:szCs w:val="24"/>
        </w:rPr>
      </w:pPr>
      <w:r>
        <w:rPr>
          <w:rFonts w:ascii="黑体" w:hAnsi="黑体" w:eastAsia="黑体" w:cs="黑体"/>
          <w:spacing w:val="13"/>
          <w:sz w:val="24"/>
          <w:szCs w:val="24"/>
        </w:rPr>
        <w:t>2.1.4.3</w:t>
      </w:r>
      <w:r>
        <w:rPr>
          <w:rFonts w:ascii="黑体" w:hAnsi="黑体" w:eastAsia="黑体" w:cs="黑体"/>
          <w:spacing w:val="19"/>
          <w:sz w:val="24"/>
          <w:szCs w:val="24"/>
        </w:rPr>
        <w:t xml:space="preserve">   </w:t>
      </w:r>
      <w:r>
        <w:rPr>
          <w:rFonts w:ascii="黑体" w:hAnsi="黑体" w:eastAsia="黑体" w:cs="黑体"/>
          <w:spacing w:val="13"/>
          <w:sz w:val="24"/>
          <w:szCs w:val="24"/>
        </w:rPr>
        <w:t>训练设施</w:t>
      </w:r>
    </w:p>
    <w:p w14:paraId="525496B3">
      <w:pPr>
        <w:spacing w:before="92" w:line="282" w:lineRule="auto"/>
        <w:ind w:right="105" w:firstLine="570"/>
        <w:rPr>
          <w:rFonts w:ascii="宋体" w:hAnsi="宋体" w:eastAsia="宋体" w:cs="宋体"/>
          <w:sz w:val="27"/>
          <w:szCs w:val="27"/>
        </w:rPr>
      </w:pPr>
      <w:r>
        <w:rPr>
          <w:rFonts w:ascii="宋体" w:hAnsi="宋体" w:eastAsia="宋体" w:cs="宋体"/>
          <w:spacing w:val="10"/>
          <w:sz w:val="27"/>
          <w:szCs w:val="27"/>
        </w:rPr>
        <w:t>训练设施单元是指为完成训练目标所必需的特殊建筑(主要是指只用于训</w:t>
      </w:r>
      <w:r>
        <w:rPr>
          <w:rFonts w:ascii="宋体" w:hAnsi="宋体" w:eastAsia="宋体" w:cs="宋体"/>
          <w:spacing w:val="3"/>
          <w:sz w:val="27"/>
          <w:szCs w:val="27"/>
        </w:rPr>
        <w:t xml:space="preserve"> </w:t>
      </w:r>
      <w:r>
        <w:rPr>
          <w:rFonts w:ascii="宋体" w:hAnsi="宋体" w:eastAsia="宋体" w:cs="宋体"/>
          <w:spacing w:val="4"/>
          <w:sz w:val="27"/>
          <w:szCs w:val="27"/>
        </w:rPr>
        <w:t>练任务的土建设施)。用来使学员了解或精通系统的设备不包括在内。</w:t>
      </w:r>
    </w:p>
    <w:p w14:paraId="49E375D1">
      <w:pPr>
        <w:spacing w:before="24" w:line="222" w:lineRule="auto"/>
        <w:rPr>
          <w:rFonts w:ascii="黑体" w:hAnsi="黑体" w:eastAsia="黑体" w:cs="黑体"/>
          <w:sz w:val="24"/>
          <w:szCs w:val="24"/>
        </w:rPr>
      </w:pPr>
      <w:r>
        <w:rPr>
          <w:rFonts w:ascii="黑体" w:hAnsi="黑体" w:eastAsia="黑体" w:cs="黑体"/>
          <w:spacing w:val="16"/>
          <w:sz w:val="24"/>
          <w:szCs w:val="24"/>
        </w:rPr>
        <w:t>2.1.</w:t>
      </w:r>
      <w:r>
        <w:rPr>
          <w:rFonts w:ascii="黑体" w:hAnsi="黑体" w:eastAsia="黑体" w:cs="黑体"/>
          <w:spacing w:val="-63"/>
          <w:sz w:val="24"/>
          <w:szCs w:val="24"/>
        </w:rPr>
        <w:t xml:space="preserve"> </w:t>
      </w:r>
      <w:r>
        <w:rPr>
          <w:rFonts w:ascii="黑体" w:hAnsi="黑体" w:eastAsia="黑体" w:cs="黑体"/>
          <w:spacing w:val="16"/>
          <w:sz w:val="24"/>
          <w:szCs w:val="24"/>
        </w:rPr>
        <w:t>5</w:t>
      </w:r>
      <w:r>
        <w:rPr>
          <w:rFonts w:ascii="黑体" w:hAnsi="黑体" w:eastAsia="黑体" w:cs="黑体"/>
          <w:spacing w:val="52"/>
          <w:sz w:val="24"/>
          <w:szCs w:val="24"/>
        </w:rPr>
        <w:t xml:space="preserve">  </w:t>
      </w:r>
      <w:r>
        <w:rPr>
          <w:rFonts w:ascii="黑体" w:hAnsi="黑体" w:eastAsia="黑体" w:cs="黑体"/>
          <w:spacing w:val="16"/>
          <w:sz w:val="24"/>
          <w:szCs w:val="24"/>
        </w:rPr>
        <w:t>专用保障设备</w:t>
      </w:r>
    </w:p>
    <w:p w14:paraId="41CBB925">
      <w:pPr>
        <w:spacing w:before="95" w:line="272" w:lineRule="auto"/>
        <w:ind w:right="20" w:firstLine="570"/>
        <w:jc w:val="both"/>
        <w:rPr>
          <w:rFonts w:ascii="宋体" w:hAnsi="宋体" w:eastAsia="宋体" w:cs="宋体"/>
          <w:sz w:val="27"/>
          <w:szCs w:val="27"/>
        </w:rPr>
      </w:pPr>
      <w:r>
        <w:rPr>
          <w:rFonts w:ascii="宋体" w:hAnsi="宋体" w:eastAsia="宋体" w:cs="宋体"/>
          <w:spacing w:val="5"/>
          <w:sz w:val="27"/>
          <w:szCs w:val="27"/>
        </w:rPr>
        <w:t>专用保障设备单元是指专门用来保障和维修指定飞机系统或其一部分而不</w:t>
      </w:r>
      <w:r>
        <w:rPr>
          <w:rFonts w:ascii="宋体" w:hAnsi="宋体" w:eastAsia="宋体" w:cs="宋体"/>
          <w:spacing w:val="14"/>
          <w:sz w:val="27"/>
          <w:szCs w:val="27"/>
        </w:rPr>
        <w:t xml:space="preserve"> </w:t>
      </w:r>
      <w:r>
        <w:rPr>
          <w:rFonts w:ascii="宋体" w:hAnsi="宋体" w:eastAsia="宋体" w:cs="宋体"/>
          <w:spacing w:val="-7"/>
          <w:sz w:val="27"/>
          <w:szCs w:val="27"/>
        </w:rPr>
        <w:t>直接参与其任务执行的设备项目。例如本单元包括用来加油、维修、运输、起重、</w:t>
      </w:r>
      <w:r>
        <w:rPr>
          <w:rFonts w:ascii="宋体" w:hAnsi="宋体" w:eastAsia="宋体" w:cs="宋体"/>
          <w:spacing w:val="15"/>
          <w:sz w:val="27"/>
          <w:szCs w:val="27"/>
        </w:rPr>
        <w:t xml:space="preserve"> </w:t>
      </w:r>
      <w:r>
        <w:rPr>
          <w:rFonts w:ascii="宋体" w:hAnsi="宋体" w:eastAsia="宋体" w:cs="宋体"/>
          <w:spacing w:val="-10"/>
          <w:sz w:val="27"/>
          <w:szCs w:val="27"/>
        </w:rPr>
        <w:t>装配、分解、试验或其他服务事项的机动车辆、设备、工具等。也包括所有与专门</w:t>
      </w:r>
      <w:r>
        <w:rPr>
          <w:rFonts w:ascii="宋体" w:hAnsi="宋体" w:eastAsia="宋体" w:cs="宋体"/>
          <w:spacing w:val="18"/>
          <w:sz w:val="27"/>
          <w:szCs w:val="27"/>
        </w:rPr>
        <w:t xml:space="preserve"> </w:t>
      </w:r>
      <w:r>
        <w:rPr>
          <w:rFonts w:ascii="宋体" w:hAnsi="宋体" w:eastAsia="宋体" w:cs="宋体"/>
          <w:spacing w:val="-3"/>
          <w:sz w:val="27"/>
          <w:szCs w:val="27"/>
        </w:rPr>
        <w:t>保障设备的设计、研制和生产有关的工作项目。</w:t>
      </w:r>
    </w:p>
    <w:p w14:paraId="0EC1A85A">
      <w:pPr>
        <w:spacing w:before="45" w:line="221" w:lineRule="auto"/>
        <w:rPr>
          <w:rFonts w:ascii="黑体" w:hAnsi="黑体" w:eastAsia="黑体" w:cs="黑体"/>
          <w:sz w:val="25"/>
          <w:szCs w:val="25"/>
        </w:rPr>
      </w:pPr>
      <w:r>
        <w:rPr>
          <w:rFonts w:ascii="黑体" w:hAnsi="黑体" w:eastAsia="黑体" w:cs="黑体"/>
          <w:spacing w:val="11"/>
          <w:sz w:val="25"/>
          <w:szCs w:val="25"/>
        </w:rPr>
        <w:t>2.1.5.</w:t>
      </w:r>
      <w:r>
        <w:rPr>
          <w:rFonts w:ascii="黑体" w:hAnsi="黑体" w:eastAsia="黑体" w:cs="黑体"/>
          <w:spacing w:val="-36"/>
          <w:sz w:val="25"/>
          <w:szCs w:val="25"/>
        </w:rPr>
        <w:t xml:space="preserve"> </w:t>
      </w:r>
      <w:r>
        <w:rPr>
          <w:rFonts w:ascii="黑体" w:hAnsi="黑体" w:eastAsia="黑体" w:cs="黑体"/>
          <w:spacing w:val="11"/>
          <w:sz w:val="25"/>
          <w:szCs w:val="25"/>
        </w:rPr>
        <w:t>1</w:t>
      </w:r>
      <w:r>
        <w:rPr>
          <w:rFonts w:ascii="黑体" w:hAnsi="黑体" w:eastAsia="黑体" w:cs="黑体"/>
          <w:spacing w:val="38"/>
          <w:sz w:val="25"/>
          <w:szCs w:val="25"/>
        </w:rPr>
        <w:t xml:space="preserve">  </w:t>
      </w:r>
      <w:r>
        <w:rPr>
          <w:rFonts w:ascii="黑体" w:hAnsi="黑体" w:eastAsia="黑体" w:cs="黑体"/>
          <w:spacing w:val="11"/>
          <w:sz w:val="25"/>
          <w:szCs w:val="25"/>
        </w:rPr>
        <w:t>基层级专用保障设备</w:t>
      </w:r>
    </w:p>
    <w:p w14:paraId="12CF8109">
      <w:pPr>
        <w:spacing w:before="82" w:line="280" w:lineRule="auto"/>
        <w:ind w:right="123" w:firstLine="570"/>
        <w:rPr>
          <w:rFonts w:ascii="宋体" w:hAnsi="宋体" w:eastAsia="宋体" w:cs="宋体"/>
          <w:sz w:val="27"/>
          <w:szCs w:val="27"/>
        </w:rPr>
      </w:pPr>
      <w:r>
        <w:rPr>
          <w:rFonts w:ascii="宋体" w:hAnsi="宋体" w:eastAsia="宋体" w:cs="宋体"/>
          <w:spacing w:val="5"/>
          <w:sz w:val="27"/>
          <w:szCs w:val="27"/>
        </w:rPr>
        <w:t>基层级专用保障设备单元是指进行基层级维修用的专用保障设备。设备可</w:t>
      </w:r>
      <w:r>
        <w:rPr>
          <w:rFonts w:ascii="宋体" w:hAnsi="宋体" w:eastAsia="宋体" w:cs="宋体"/>
          <w:spacing w:val="10"/>
          <w:sz w:val="27"/>
          <w:szCs w:val="27"/>
        </w:rPr>
        <w:t xml:space="preserve"> </w:t>
      </w:r>
      <w:r>
        <w:rPr>
          <w:rFonts w:ascii="宋体" w:hAnsi="宋体" w:eastAsia="宋体" w:cs="宋体"/>
          <w:spacing w:val="3"/>
          <w:sz w:val="27"/>
          <w:szCs w:val="27"/>
        </w:rPr>
        <w:t>按分系统或维修功能进一步细分。</w:t>
      </w:r>
    </w:p>
    <w:p w14:paraId="4F6F1FC6">
      <w:pPr>
        <w:spacing w:before="2" w:line="220" w:lineRule="auto"/>
        <w:rPr>
          <w:rFonts w:ascii="黑体" w:hAnsi="黑体" w:eastAsia="黑体" w:cs="黑体"/>
          <w:sz w:val="27"/>
          <w:szCs w:val="27"/>
        </w:rPr>
      </w:pPr>
      <w:r>
        <w:rPr>
          <w:rFonts w:ascii="黑体" w:hAnsi="黑体" w:eastAsia="黑体" w:cs="黑体"/>
          <w:spacing w:val="4"/>
          <w:sz w:val="27"/>
          <w:szCs w:val="27"/>
        </w:rPr>
        <w:t>2.1.5.2  中继级专用保障设备</w:t>
      </w:r>
    </w:p>
    <w:p w14:paraId="6DB559D2">
      <w:pPr>
        <w:spacing w:before="97" w:line="280" w:lineRule="auto"/>
        <w:ind w:right="143" w:firstLine="570"/>
        <w:rPr>
          <w:rFonts w:ascii="宋体" w:hAnsi="宋体" w:eastAsia="宋体" w:cs="宋体"/>
          <w:sz w:val="27"/>
          <w:szCs w:val="27"/>
        </w:rPr>
      </w:pPr>
      <w:r>
        <w:rPr>
          <w:rFonts w:ascii="宋体" w:hAnsi="宋体" w:eastAsia="宋体" w:cs="宋体"/>
          <w:spacing w:val="5"/>
          <w:sz w:val="27"/>
          <w:szCs w:val="27"/>
        </w:rPr>
        <w:t>中继级专用保障设备单元是指进行中继级维修用的</w:t>
      </w:r>
      <w:r>
        <w:rPr>
          <w:rFonts w:ascii="宋体" w:hAnsi="宋体" w:eastAsia="宋体" w:cs="宋体"/>
          <w:spacing w:val="4"/>
          <w:sz w:val="27"/>
          <w:szCs w:val="27"/>
        </w:rPr>
        <w:t>专用保障设备。设备可</w:t>
      </w:r>
      <w:r>
        <w:rPr>
          <w:rFonts w:ascii="宋体" w:hAnsi="宋体" w:eastAsia="宋体" w:cs="宋体"/>
          <w:sz w:val="27"/>
          <w:szCs w:val="27"/>
        </w:rPr>
        <w:t xml:space="preserve"> </w:t>
      </w:r>
      <w:r>
        <w:rPr>
          <w:rFonts w:ascii="宋体" w:hAnsi="宋体" w:eastAsia="宋体" w:cs="宋体"/>
          <w:spacing w:val="3"/>
          <w:sz w:val="27"/>
          <w:szCs w:val="27"/>
        </w:rPr>
        <w:t>按分系统或维修功能进一步细分。</w:t>
      </w:r>
    </w:p>
    <w:p w14:paraId="422478FB">
      <w:pPr>
        <w:spacing w:before="1" w:line="220" w:lineRule="auto"/>
        <w:rPr>
          <w:rFonts w:ascii="黑体" w:hAnsi="黑体" w:eastAsia="黑体" w:cs="黑体"/>
          <w:sz w:val="25"/>
          <w:szCs w:val="25"/>
        </w:rPr>
      </w:pPr>
      <w:r>
        <w:rPr>
          <w:rFonts w:ascii="黑体" w:hAnsi="黑体" w:eastAsia="黑体" w:cs="黑体"/>
          <w:spacing w:val="13"/>
          <w:sz w:val="25"/>
          <w:szCs w:val="25"/>
        </w:rPr>
        <w:t>2.1.5.3</w:t>
      </w:r>
      <w:r>
        <w:rPr>
          <w:rFonts w:ascii="黑体" w:hAnsi="黑体" w:eastAsia="黑体" w:cs="黑体"/>
          <w:spacing w:val="3"/>
          <w:sz w:val="25"/>
          <w:szCs w:val="25"/>
        </w:rPr>
        <w:t xml:space="preserve">   </w:t>
      </w:r>
      <w:r>
        <w:rPr>
          <w:rFonts w:ascii="黑体" w:hAnsi="黑体" w:eastAsia="黑体" w:cs="黑体"/>
          <w:spacing w:val="13"/>
          <w:sz w:val="25"/>
          <w:szCs w:val="25"/>
        </w:rPr>
        <w:t>基地级专用保障设备</w:t>
      </w:r>
    </w:p>
    <w:p w14:paraId="684CBADE">
      <w:pPr>
        <w:spacing w:before="105" w:line="282" w:lineRule="auto"/>
        <w:ind w:right="20" w:firstLine="570"/>
        <w:rPr>
          <w:rFonts w:ascii="宋体" w:hAnsi="宋体" w:eastAsia="宋体" w:cs="宋体"/>
          <w:sz w:val="27"/>
          <w:szCs w:val="27"/>
        </w:rPr>
      </w:pPr>
      <w:r>
        <w:rPr>
          <w:rFonts w:ascii="宋体" w:hAnsi="宋体" w:eastAsia="宋体" w:cs="宋体"/>
          <w:spacing w:val="6"/>
          <w:sz w:val="27"/>
          <w:szCs w:val="27"/>
        </w:rPr>
        <w:t>基地级专用保障设备单元是指仅保障基地级维修所用的专用保障设备</w:t>
      </w:r>
      <w:r>
        <w:rPr>
          <w:rFonts w:ascii="宋体" w:hAnsi="宋体" w:eastAsia="宋体" w:cs="宋体"/>
          <w:spacing w:val="5"/>
          <w:sz w:val="27"/>
          <w:szCs w:val="27"/>
        </w:rPr>
        <w:t>。基</w:t>
      </w:r>
      <w:r>
        <w:rPr>
          <w:rFonts w:ascii="宋体" w:hAnsi="宋体" w:eastAsia="宋体" w:cs="宋体"/>
          <w:sz w:val="27"/>
          <w:szCs w:val="27"/>
        </w:rPr>
        <w:t xml:space="preserve"> </w:t>
      </w:r>
      <w:r>
        <w:rPr>
          <w:rFonts w:ascii="宋体" w:hAnsi="宋体" w:eastAsia="宋体" w:cs="宋体"/>
          <w:spacing w:val="1"/>
          <w:sz w:val="27"/>
          <w:szCs w:val="27"/>
        </w:rPr>
        <w:t>层级和中继级专用保障设备也可用于基地级维修，但其归类在基层级或中继</w:t>
      </w:r>
      <w:r>
        <w:rPr>
          <w:rFonts w:ascii="宋体" w:hAnsi="宋体" w:eastAsia="宋体" w:cs="宋体"/>
          <w:sz w:val="27"/>
          <w:szCs w:val="27"/>
        </w:rPr>
        <w:t>级。</w:t>
      </w:r>
    </w:p>
    <w:p w14:paraId="2A338616">
      <w:pPr>
        <w:spacing w:before="11" w:line="222" w:lineRule="auto"/>
        <w:rPr>
          <w:rFonts w:ascii="黑体" w:hAnsi="黑体" w:eastAsia="黑体" w:cs="黑体"/>
          <w:sz w:val="25"/>
          <w:szCs w:val="25"/>
        </w:rPr>
      </w:pPr>
      <w:r>
        <w:rPr>
          <w:rFonts w:ascii="黑体" w:hAnsi="黑体" w:eastAsia="黑体" w:cs="黑体"/>
          <w:spacing w:val="-4"/>
          <w:sz w:val="25"/>
          <w:szCs w:val="25"/>
        </w:rPr>
        <w:t>2.1.6</w:t>
      </w:r>
      <w:r>
        <w:rPr>
          <w:rFonts w:ascii="黑体" w:hAnsi="黑体" w:eastAsia="黑体" w:cs="黑体"/>
          <w:spacing w:val="6"/>
          <w:sz w:val="25"/>
          <w:szCs w:val="25"/>
        </w:rPr>
        <w:t xml:space="preserve">   </w:t>
      </w:r>
      <w:r>
        <w:rPr>
          <w:rFonts w:ascii="黑体" w:hAnsi="黑体" w:eastAsia="黑体" w:cs="黑体"/>
          <w:spacing w:val="-4"/>
          <w:sz w:val="25"/>
          <w:szCs w:val="25"/>
        </w:rPr>
        <w:t>资</w:t>
      </w:r>
      <w:r>
        <w:rPr>
          <w:rFonts w:ascii="黑体" w:hAnsi="黑体" w:eastAsia="黑体" w:cs="黑体"/>
          <w:spacing w:val="-38"/>
          <w:sz w:val="25"/>
          <w:szCs w:val="25"/>
        </w:rPr>
        <w:t xml:space="preserve"> </w:t>
      </w:r>
      <w:r>
        <w:rPr>
          <w:rFonts w:ascii="黑体" w:hAnsi="黑体" w:eastAsia="黑体" w:cs="黑体"/>
          <w:spacing w:val="-4"/>
          <w:sz w:val="25"/>
          <w:szCs w:val="25"/>
        </w:rPr>
        <w:t>料</w:t>
      </w:r>
    </w:p>
    <w:p w14:paraId="51202248">
      <w:pPr>
        <w:spacing w:before="93" w:line="283" w:lineRule="auto"/>
        <w:ind w:right="122" w:firstLine="570"/>
        <w:rPr>
          <w:rFonts w:ascii="宋体" w:hAnsi="宋体" w:eastAsia="宋体" w:cs="宋体"/>
          <w:sz w:val="27"/>
          <w:szCs w:val="27"/>
        </w:rPr>
      </w:pPr>
      <w:r>
        <w:rPr>
          <w:rFonts w:ascii="宋体" w:hAnsi="宋体" w:eastAsia="宋体" w:cs="宋体"/>
          <w:spacing w:val="-3"/>
          <w:sz w:val="27"/>
          <w:szCs w:val="27"/>
        </w:rPr>
        <w:t>资料单元是指合同规定交付的使用资料，包括资料的搜集、编写、汇编、复</w:t>
      </w:r>
      <w:r>
        <w:rPr>
          <w:rFonts w:ascii="宋体" w:hAnsi="宋体" w:eastAsia="宋体" w:cs="宋体"/>
          <w:sz w:val="27"/>
          <w:szCs w:val="27"/>
        </w:rPr>
        <w:t xml:space="preserve"> </w:t>
      </w:r>
      <w:r>
        <w:rPr>
          <w:rFonts w:ascii="宋体" w:hAnsi="宋体" w:eastAsia="宋体" w:cs="宋体"/>
          <w:spacing w:val="-7"/>
          <w:sz w:val="27"/>
          <w:szCs w:val="27"/>
        </w:rPr>
        <w:t>制、包装和运输等工作项目。</w:t>
      </w:r>
    </w:p>
    <w:p w14:paraId="578BB293">
      <w:pPr>
        <w:spacing w:line="221" w:lineRule="auto"/>
        <w:rPr>
          <w:rFonts w:ascii="黑体" w:hAnsi="黑体" w:eastAsia="黑体" w:cs="黑体"/>
          <w:sz w:val="25"/>
          <w:szCs w:val="25"/>
        </w:rPr>
      </w:pPr>
      <w:r>
        <w:rPr>
          <w:rFonts w:ascii="黑体" w:hAnsi="黑体" w:eastAsia="黑体" w:cs="黑体"/>
          <w:spacing w:val="7"/>
          <w:sz w:val="25"/>
          <w:szCs w:val="25"/>
        </w:rPr>
        <w:t>2.1.6.</w:t>
      </w:r>
      <w:r>
        <w:rPr>
          <w:rFonts w:ascii="黑体" w:hAnsi="黑体" w:eastAsia="黑体" w:cs="黑体"/>
          <w:spacing w:val="-40"/>
          <w:sz w:val="25"/>
          <w:szCs w:val="25"/>
        </w:rPr>
        <w:t xml:space="preserve"> </w:t>
      </w:r>
      <w:r>
        <w:rPr>
          <w:rFonts w:ascii="黑体" w:hAnsi="黑体" w:eastAsia="黑体" w:cs="黑体"/>
          <w:spacing w:val="7"/>
          <w:sz w:val="25"/>
          <w:szCs w:val="25"/>
        </w:rPr>
        <w:t>1</w:t>
      </w:r>
      <w:r>
        <w:rPr>
          <w:rFonts w:ascii="黑体" w:hAnsi="黑体" w:eastAsia="黑体" w:cs="黑体"/>
          <w:spacing w:val="38"/>
          <w:sz w:val="25"/>
          <w:szCs w:val="25"/>
        </w:rPr>
        <w:t xml:space="preserve">  </w:t>
      </w:r>
      <w:r>
        <w:rPr>
          <w:rFonts w:ascii="黑体" w:hAnsi="黑体" w:eastAsia="黑体" w:cs="黑体"/>
          <w:spacing w:val="7"/>
          <w:sz w:val="25"/>
          <w:szCs w:val="25"/>
        </w:rPr>
        <w:t>技术出版物</w:t>
      </w:r>
    </w:p>
    <w:p w14:paraId="101511BD">
      <w:pPr>
        <w:spacing w:before="93" w:line="286" w:lineRule="auto"/>
        <w:ind w:right="122" w:firstLine="570"/>
        <w:rPr>
          <w:rFonts w:ascii="宋体" w:hAnsi="宋体" w:eastAsia="宋体" w:cs="宋体"/>
          <w:sz w:val="27"/>
          <w:szCs w:val="27"/>
        </w:rPr>
      </w:pPr>
      <w:r>
        <w:rPr>
          <w:rFonts w:ascii="宋体" w:hAnsi="宋体" w:eastAsia="宋体" w:cs="宋体"/>
          <w:spacing w:val="-3"/>
          <w:sz w:val="27"/>
          <w:szCs w:val="27"/>
        </w:rPr>
        <w:t>技术出版物单元是指正式制定的技术规程、技术手册、培训手册以及承研承</w:t>
      </w:r>
      <w:r>
        <w:rPr>
          <w:rFonts w:ascii="宋体" w:hAnsi="宋体" w:eastAsia="宋体" w:cs="宋体"/>
          <w:sz w:val="27"/>
          <w:szCs w:val="27"/>
        </w:rPr>
        <w:t xml:space="preserve"> </w:t>
      </w:r>
      <w:r>
        <w:rPr>
          <w:rFonts w:ascii="宋体" w:hAnsi="宋体" w:eastAsia="宋体" w:cs="宋体"/>
          <w:spacing w:val="-7"/>
          <w:sz w:val="27"/>
          <w:szCs w:val="27"/>
        </w:rPr>
        <w:t>制单位的说明资料。例如技术说明书、飞行手册、使用维修说明书、履历本等。</w:t>
      </w:r>
    </w:p>
    <w:p w14:paraId="18414959">
      <w:pPr>
        <w:spacing w:before="1" w:line="221" w:lineRule="auto"/>
        <w:rPr>
          <w:rFonts w:ascii="黑体" w:hAnsi="黑体" w:eastAsia="黑体" w:cs="黑体"/>
          <w:sz w:val="24"/>
          <w:szCs w:val="24"/>
        </w:rPr>
      </w:pPr>
      <w:r>
        <w:rPr>
          <w:rFonts w:ascii="黑体" w:hAnsi="黑体" w:eastAsia="黑体" w:cs="黑体"/>
          <w:spacing w:val="11"/>
          <w:sz w:val="24"/>
          <w:szCs w:val="24"/>
        </w:rPr>
        <w:t>2.1.6.2</w:t>
      </w:r>
      <w:r>
        <w:rPr>
          <w:rFonts w:ascii="黑体" w:hAnsi="黑体" w:eastAsia="黑体" w:cs="黑体"/>
          <w:spacing w:val="19"/>
          <w:sz w:val="24"/>
          <w:szCs w:val="24"/>
        </w:rPr>
        <w:t xml:space="preserve">   </w:t>
      </w:r>
      <w:r>
        <w:rPr>
          <w:rFonts w:ascii="黑体" w:hAnsi="黑体" w:eastAsia="黑体" w:cs="黑体"/>
          <w:spacing w:val="11"/>
          <w:sz w:val="24"/>
          <w:szCs w:val="24"/>
        </w:rPr>
        <w:t>工程资料</w:t>
      </w:r>
    </w:p>
    <w:p w14:paraId="4ADFC6C0">
      <w:pPr>
        <w:spacing w:before="124" w:line="219" w:lineRule="auto"/>
        <w:ind w:left="570"/>
        <w:rPr>
          <w:rFonts w:ascii="宋体" w:hAnsi="宋体" w:eastAsia="宋体" w:cs="宋体"/>
          <w:sz w:val="25"/>
          <w:szCs w:val="25"/>
        </w:rPr>
      </w:pPr>
      <w:r>
        <w:rPr>
          <w:rFonts w:ascii="宋体" w:hAnsi="宋体" w:eastAsia="宋体" w:cs="宋体"/>
          <w:spacing w:val="19"/>
          <w:sz w:val="25"/>
          <w:szCs w:val="25"/>
        </w:rPr>
        <w:t>工程资料单元是指工程图样、技术规范及其他有关文件和表格。</w:t>
      </w:r>
    </w:p>
    <w:p w14:paraId="1D94B44B">
      <w:pPr>
        <w:spacing w:before="101" w:line="222" w:lineRule="auto"/>
        <w:rPr>
          <w:rFonts w:ascii="黑体" w:hAnsi="黑体" w:eastAsia="黑体" w:cs="黑体"/>
          <w:sz w:val="25"/>
          <w:szCs w:val="25"/>
        </w:rPr>
      </w:pPr>
      <w:r>
        <w:rPr>
          <w:rFonts w:ascii="黑体" w:hAnsi="黑体" w:eastAsia="黑体" w:cs="黑体"/>
          <w:spacing w:val="8"/>
          <w:sz w:val="25"/>
          <w:szCs w:val="25"/>
        </w:rPr>
        <w:t>2.1.6.</w:t>
      </w:r>
      <w:r>
        <w:rPr>
          <w:rFonts w:ascii="黑体" w:hAnsi="黑体" w:eastAsia="黑体" w:cs="黑体"/>
          <w:spacing w:val="-55"/>
          <w:sz w:val="25"/>
          <w:szCs w:val="25"/>
        </w:rPr>
        <w:t xml:space="preserve"> </w:t>
      </w:r>
      <w:r>
        <w:rPr>
          <w:rFonts w:ascii="黑体" w:hAnsi="黑体" w:eastAsia="黑体" w:cs="黑体"/>
          <w:spacing w:val="8"/>
          <w:sz w:val="25"/>
          <w:szCs w:val="25"/>
        </w:rPr>
        <w:t>3</w:t>
      </w:r>
      <w:r>
        <w:rPr>
          <w:rFonts w:ascii="黑体" w:hAnsi="黑体" w:eastAsia="黑体" w:cs="黑体"/>
          <w:spacing w:val="37"/>
          <w:sz w:val="25"/>
          <w:szCs w:val="25"/>
        </w:rPr>
        <w:t xml:space="preserve">  </w:t>
      </w:r>
      <w:r>
        <w:rPr>
          <w:rFonts w:ascii="黑体" w:hAnsi="黑体" w:eastAsia="黑体" w:cs="黑体"/>
          <w:spacing w:val="8"/>
          <w:sz w:val="25"/>
          <w:szCs w:val="25"/>
        </w:rPr>
        <w:t>管理资料</w:t>
      </w:r>
    </w:p>
    <w:p w14:paraId="5D62E70A">
      <w:pPr>
        <w:spacing w:before="111" w:line="269" w:lineRule="auto"/>
        <w:ind w:firstLine="570"/>
        <w:rPr>
          <w:rFonts w:ascii="宋体" w:hAnsi="宋体" w:eastAsia="宋体" w:cs="宋体"/>
          <w:sz w:val="27"/>
          <w:szCs w:val="27"/>
        </w:rPr>
      </w:pPr>
      <w:r>
        <w:rPr>
          <w:rFonts w:ascii="宋体" w:hAnsi="宋体" w:eastAsia="宋体" w:cs="宋体"/>
          <w:spacing w:val="-7"/>
          <w:sz w:val="27"/>
          <w:szCs w:val="27"/>
        </w:rPr>
        <w:t>管理资料单元是指进行技术状态管理、经费管理、进度管</w:t>
      </w:r>
      <w:r>
        <w:rPr>
          <w:rFonts w:ascii="宋体" w:hAnsi="宋体" w:eastAsia="宋体" w:cs="宋体"/>
          <w:spacing w:val="-8"/>
          <w:sz w:val="27"/>
          <w:szCs w:val="27"/>
        </w:rPr>
        <w:t>理、合同资料管理、</w:t>
      </w:r>
      <w:r>
        <w:rPr>
          <w:rFonts w:ascii="宋体" w:hAnsi="宋体" w:eastAsia="宋体" w:cs="宋体"/>
          <w:sz w:val="27"/>
          <w:szCs w:val="27"/>
        </w:rPr>
        <w:t xml:space="preserve"> </w:t>
      </w:r>
      <w:r>
        <w:rPr>
          <w:rFonts w:ascii="宋体" w:hAnsi="宋体" w:eastAsia="宋体" w:cs="宋体"/>
          <w:spacing w:val="3"/>
          <w:sz w:val="27"/>
          <w:szCs w:val="27"/>
        </w:rPr>
        <w:t>计划管理等必需的资料项目。</w:t>
      </w:r>
    </w:p>
    <w:p w14:paraId="5E0D24E3">
      <w:pPr>
        <w:spacing w:before="22" w:line="222" w:lineRule="auto"/>
        <w:rPr>
          <w:rFonts w:ascii="黑体" w:hAnsi="黑体" w:eastAsia="黑体" w:cs="黑体"/>
          <w:sz w:val="25"/>
          <w:szCs w:val="25"/>
        </w:rPr>
      </w:pPr>
      <w:r>
        <w:rPr>
          <w:rFonts w:ascii="黑体" w:hAnsi="黑体" w:eastAsia="黑体" w:cs="黑体"/>
          <w:spacing w:val="9"/>
          <w:sz w:val="25"/>
          <w:szCs w:val="25"/>
        </w:rPr>
        <w:t>2.1.6.4</w:t>
      </w:r>
      <w:r>
        <w:rPr>
          <w:rFonts w:ascii="黑体" w:hAnsi="黑体" w:eastAsia="黑体" w:cs="黑体"/>
          <w:spacing w:val="3"/>
          <w:sz w:val="25"/>
          <w:szCs w:val="25"/>
        </w:rPr>
        <w:t xml:space="preserve">   </w:t>
      </w:r>
      <w:r>
        <w:rPr>
          <w:rFonts w:ascii="黑体" w:hAnsi="黑体" w:eastAsia="黑体" w:cs="黑体"/>
          <w:spacing w:val="9"/>
          <w:sz w:val="25"/>
          <w:szCs w:val="25"/>
        </w:rPr>
        <w:t>保障资料</w:t>
      </w:r>
    </w:p>
    <w:p w14:paraId="0D437D97">
      <w:pPr>
        <w:spacing w:before="99" w:line="295" w:lineRule="auto"/>
        <w:ind w:right="125" w:firstLine="570"/>
        <w:rPr>
          <w:rFonts w:ascii="宋体" w:hAnsi="宋体" w:eastAsia="宋体" w:cs="宋体"/>
          <w:sz w:val="27"/>
          <w:szCs w:val="27"/>
        </w:rPr>
      </w:pPr>
      <w:r>
        <w:rPr>
          <w:rFonts w:ascii="宋体" w:hAnsi="宋体" w:eastAsia="宋体" w:cs="宋体"/>
          <w:spacing w:val="5"/>
          <w:sz w:val="27"/>
          <w:szCs w:val="27"/>
        </w:rPr>
        <w:t>保障资料单元是指为制定综合保障计划和供应程序方面的文件所需的资料</w:t>
      </w:r>
      <w:r>
        <w:rPr>
          <w:rFonts w:ascii="宋体" w:hAnsi="宋体" w:eastAsia="宋体" w:cs="宋体"/>
          <w:spacing w:val="8"/>
          <w:sz w:val="27"/>
          <w:szCs w:val="27"/>
        </w:rPr>
        <w:t xml:space="preserve"> </w:t>
      </w:r>
      <w:r>
        <w:rPr>
          <w:rFonts w:ascii="宋体" w:hAnsi="宋体" w:eastAsia="宋体" w:cs="宋体"/>
          <w:spacing w:val="-2"/>
          <w:sz w:val="27"/>
          <w:szCs w:val="27"/>
        </w:rPr>
        <w:t>项目。例如成品目录、航材目录、供应计划和报告、运输、装卸、包装、供</w:t>
      </w:r>
      <w:r>
        <w:rPr>
          <w:rFonts w:ascii="宋体" w:hAnsi="宋体" w:eastAsia="宋体" w:cs="宋体"/>
          <w:spacing w:val="-3"/>
          <w:sz w:val="27"/>
          <w:szCs w:val="27"/>
        </w:rPr>
        <w:t>应程</w:t>
      </w:r>
    </w:p>
    <w:p w14:paraId="4F959523">
      <w:pPr>
        <w:spacing w:line="295" w:lineRule="auto"/>
        <w:rPr>
          <w:rFonts w:ascii="宋体" w:hAnsi="宋体" w:eastAsia="宋体" w:cs="宋体"/>
          <w:sz w:val="27"/>
          <w:szCs w:val="27"/>
        </w:rPr>
        <w:sectPr>
          <w:footerReference r:id="rId43" w:type="default"/>
          <w:pgSz w:w="11910" w:h="17130"/>
          <w:pgMar w:top="400" w:right="944" w:bottom="1593" w:left="1460" w:header="0" w:footer="1394" w:gutter="0"/>
          <w:cols w:space="720" w:num="1"/>
        </w:sectPr>
      </w:pPr>
    </w:p>
    <w:p w14:paraId="17C96DA2">
      <w:pPr>
        <w:pStyle w:val="2"/>
        <w:spacing w:line="276" w:lineRule="auto"/>
      </w:pPr>
    </w:p>
    <w:p w14:paraId="205A7831">
      <w:pPr>
        <w:pStyle w:val="2"/>
        <w:spacing w:line="276" w:lineRule="auto"/>
      </w:pPr>
    </w:p>
    <w:p w14:paraId="623146BA">
      <w:pPr>
        <w:pStyle w:val="2"/>
        <w:spacing w:line="277" w:lineRule="auto"/>
      </w:pPr>
    </w:p>
    <w:p w14:paraId="747C94C8">
      <w:pPr>
        <w:pStyle w:val="2"/>
        <w:spacing w:line="277" w:lineRule="auto"/>
      </w:pPr>
    </w:p>
    <w:p w14:paraId="0F903AF4">
      <w:pPr>
        <w:spacing w:before="88" w:line="219" w:lineRule="auto"/>
        <w:rPr>
          <w:rFonts w:ascii="宋体" w:hAnsi="宋体" w:eastAsia="宋体" w:cs="宋体"/>
          <w:sz w:val="27"/>
          <w:szCs w:val="27"/>
        </w:rPr>
      </w:pPr>
      <w:bookmarkStart w:id="18" w:name="bookmark314"/>
      <w:bookmarkEnd w:id="18"/>
      <w:r>
        <w:rPr>
          <w:rFonts w:ascii="宋体" w:hAnsi="宋体" w:eastAsia="宋体" w:cs="宋体"/>
          <w:spacing w:val="-4"/>
          <w:sz w:val="27"/>
          <w:szCs w:val="27"/>
        </w:rPr>
        <w:t>序等。</w:t>
      </w:r>
    </w:p>
    <w:p w14:paraId="1B5D104B">
      <w:pPr>
        <w:spacing w:before="103" w:line="222" w:lineRule="auto"/>
        <w:rPr>
          <w:rFonts w:ascii="黑体" w:hAnsi="黑体" w:eastAsia="黑体" w:cs="黑体"/>
          <w:sz w:val="24"/>
          <w:szCs w:val="24"/>
        </w:rPr>
      </w:pPr>
      <w:r>
        <w:rPr>
          <w:rFonts w:ascii="黑体" w:hAnsi="黑体" w:eastAsia="黑体" w:cs="黑体"/>
          <w:spacing w:val="12"/>
          <w:sz w:val="24"/>
          <w:szCs w:val="24"/>
        </w:rPr>
        <w:t>2.1.7</w:t>
      </w:r>
      <w:r>
        <w:rPr>
          <w:rFonts w:ascii="黑体" w:hAnsi="黑体" w:eastAsia="黑体" w:cs="黑体"/>
          <w:spacing w:val="8"/>
          <w:sz w:val="24"/>
          <w:szCs w:val="24"/>
        </w:rPr>
        <w:t xml:space="preserve">   </w:t>
      </w:r>
      <w:r>
        <w:rPr>
          <w:rFonts w:ascii="黑体" w:hAnsi="黑体" w:eastAsia="黑体" w:cs="黑体"/>
          <w:b/>
          <w:bCs/>
          <w:spacing w:val="12"/>
          <w:sz w:val="24"/>
          <w:szCs w:val="24"/>
        </w:rPr>
        <w:t>现场准备</w:t>
      </w:r>
    </w:p>
    <w:p w14:paraId="25129D08">
      <w:pPr>
        <w:spacing w:before="58" w:line="288" w:lineRule="auto"/>
        <w:ind w:firstLine="570"/>
        <w:jc w:val="both"/>
        <w:rPr>
          <w:rFonts w:ascii="宋体" w:hAnsi="宋体" w:eastAsia="宋体" w:cs="宋体"/>
          <w:sz w:val="27"/>
          <w:szCs w:val="27"/>
        </w:rPr>
      </w:pPr>
      <w:r>
        <w:rPr>
          <w:rFonts w:ascii="宋体" w:hAnsi="宋体" w:eastAsia="宋体" w:cs="宋体"/>
          <w:spacing w:val="8"/>
          <w:sz w:val="27"/>
          <w:szCs w:val="27"/>
        </w:rPr>
        <w:t>现场准备单元是指在基层级和中继级现场所做的准备工作。例如试飞场、</w:t>
      </w:r>
      <w:r>
        <w:rPr>
          <w:rFonts w:ascii="宋体" w:hAnsi="宋体" w:eastAsia="宋体" w:cs="宋体"/>
          <w:spacing w:val="17"/>
          <w:sz w:val="27"/>
          <w:szCs w:val="27"/>
        </w:rPr>
        <w:t xml:space="preserve"> </w:t>
      </w:r>
      <w:r>
        <w:rPr>
          <w:rFonts w:ascii="宋体" w:hAnsi="宋体" w:eastAsia="宋体" w:cs="宋体"/>
          <w:spacing w:val="-2"/>
          <w:sz w:val="27"/>
          <w:szCs w:val="27"/>
        </w:rPr>
        <w:t>舰船、车辆的改造；系统装配、检查以及将其安装</w:t>
      </w:r>
      <w:r>
        <w:rPr>
          <w:rFonts w:ascii="宋体" w:hAnsi="宋体" w:eastAsia="宋体" w:cs="宋体"/>
          <w:spacing w:val="-3"/>
          <w:sz w:val="27"/>
          <w:szCs w:val="27"/>
        </w:rPr>
        <w:t>在试飞场设施或舰船上以达到</w:t>
      </w:r>
      <w:r>
        <w:rPr>
          <w:rFonts w:ascii="宋体" w:hAnsi="宋体" w:eastAsia="宋体" w:cs="宋体"/>
          <w:sz w:val="27"/>
          <w:szCs w:val="27"/>
        </w:rPr>
        <w:t xml:space="preserve">  </w:t>
      </w:r>
      <w:r>
        <w:rPr>
          <w:rFonts w:ascii="宋体" w:hAnsi="宋体" w:eastAsia="宋体" w:cs="宋体"/>
          <w:spacing w:val="-3"/>
          <w:sz w:val="27"/>
          <w:szCs w:val="27"/>
        </w:rPr>
        <w:t>使用的状态；承研承制单位为现场所提供的保障。</w:t>
      </w:r>
    </w:p>
    <w:p w14:paraId="4D299A9D">
      <w:pPr>
        <w:spacing w:line="221" w:lineRule="auto"/>
        <w:rPr>
          <w:rFonts w:ascii="黑体" w:hAnsi="黑体" w:eastAsia="黑体" w:cs="黑体"/>
          <w:sz w:val="24"/>
          <w:szCs w:val="24"/>
        </w:rPr>
      </w:pPr>
      <w:r>
        <w:rPr>
          <w:rFonts w:ascii="黑体" w:hAnsi="黑体" w:eastAsia="黑体" w:cs="黑体"/>
          <w:spacing w:val="17"/>
          <w:sz w:val="24"/>
          <w:szCs w:val="24"/>
        </w:rPr>
        <w:t>2.1.7.</w:t>
      </w:r>
      <w:r>
        <w:rPr>
          <w:rFonts w:ascii="黑体" w:hAnsi="黑体" w:eastAsia="黑体" w:cs="黑体"/>
          <w:spacing w:val="-26"/>
          <w:sz w:val="24"/>
          <w:szCs w:val="24"/>
        </w:rPr>
        <w:t xml:space="preserve"> </w:t>
      </w:r>
      <w:r>
        <w:rPr>
          <w:rFonts w:ascii="黑体" w:hAnsi="黑体" w:eastAsia="黑体" w:cs="黑体"/>
          <w:spacing w:val="17"/>
          <w:sz w:val="24"/>
          <w:szCs w:val="24"/>
        </w:rPr>
        <w:t>1</w:t>
      </w:r>
      <w:r>
        <w:rPr>
          <w:rFonts w:ascii="黑体" w:hAnsi="黑体" w:eastAsia="黑体" w:cs="黑体"/>
          <w:spacing w:val="52"/>
          <w:sz w:val="24"/>
          <w:szCs w:val="24"/>
        </w:rPr>
        <w:t xml:space="preserve">  </w:t>
      </w:r>
      <w:r>
        <w:rPr>
          <w:rFonts w:ascii="黑体" w:hAnsi="黑体" w:eastAsia="黑体" w:cs="黑体"/>
          <w:b/>
          <w:bCs/>
          <w:spacing w:val="17"/>
          <w:sz w:val="24"/>
          <w:szCs w:val="24"/>
        </w:rPr>
        <w:t>承研承制单位技术保障</w:t>
      </w:r>
    </w:p>
    <w:p w14:paraId="06D10D92">
      <w:pPr>
        <w:spacing w:before="86" w:line="289" w:lineRule="auto"/>
        <w:ind w:right="91" w:firstLine="570"/>
        <w:rPr>
          <w:rFonts w:ascii="宋体" w:hAnsi="宋体" w:eastAsia="宋体" w:cs="宋体"/>
          <w:sz w:val="27"/>
          <w:szCs w:val="27"/>
        </w:rPr>
      </w:pPr>
      <w:r>
        <w:rPr>
          <w:rFonts w:ascii="宋体" w:hAnsi="宋体" w:eastAsia="宋体" w:cs="宋体"/>
          <w:spacing w:val="6"/>
          <w:sz w:val="27"/>
          <w:szCs w:val="27"/>
        </w:rPr>
        <w:t>承研承制单位技术保障单元是指由承研承制单位</w:t>
      </w:r>
      <w:r>
        <w:rPr>
          <w:rFonts w:ascii="宋体" w:hAnsi="宋体" w:eastAsia="宋体" w:cs="宋体"/>
          <w:spacing w:val="5"/>
          <w:sz w:val="27"/>
          <w:szCs w:val="27"/>
        </w:rPr>
        <w:t>提供的有关现场准备的全</w:t>
      </w:r>
      <w:r>
        <w:rPr>
          <w:rFonts w:ascii="宋体" w:hAnsi="宋体" w:eastAsia="宋体" w:cs="宋体"/>
          <w:sz w:val="27"/>
          <w:szCs w:val="27"/>
        </w:rPr>
        <w:t xml:space="preserve"> 部器材和服务。例如本单元包括周转备件的修理、备用设备和器材等。</w:t>
      </w:r>
    </w:p>
    <w:p w14:paraId="1C4A9568">
      <w:pPr>
        <w:spacing w:before="1" w:line="221" w:lineRule="auto"/>
        <w:rPr>
          <w:rFonts w:ascii="黑体" w:hAnsi="黑体" w:eastAsia="黑体" w:cs="黑体"/>
          <w:sz w:val="25"/>
          <w:szCs w:val="25"/>
        </w:rPr>
      </w:pPr>
      <w:r>
        <w:rPr>
          <w:rFonts w:ascii="黑体" w:hAnsi="黑体" w:eastAsia="黑体" w:cs="黑体"/>
          <w:spacing w:val="6"/>
          <w:sz w:val="25"/>
          <w:szCs w:val="25"/>
        </w:rPr>
        <w:t xml:space="preserve">2.1.7.2   </w:t>
      </w:r>
      <w:r>
        <w:rPr>
          <w:rFonts w:ascii="黑体" w:hAnsi="黑体" w:eastAsia="黑体" w:cs="黑体"/>
          <w:b/>
          <w:bCs/>
          <w:spacing w:val="6"/>
          <w:sz w:val="25"/>
          <w:szCs w:val="25"/>
        </w:rPr>
        <w:t>场地建设</w:t>
      </w:r>
    </w:p>
    <w:p w14:paraId="0DCA1C04">
      <w:pPr>
        <w:spacing w:before="76" w:line="279" w:lineRule="auto"/>
        <w:ind w:right="91" w:firstLine="570"/>
        <w:jc w:val="both"/>
        <w:rPr>
          <w:rFonts w:ascii="宋体" w:hAnsi="宋体" w:eastAsia="宋体" w:cs="宋体"/>
          <w:sz w:val="27"/>
          <w:szCs w:val="27"/>
        </w:rPr>
      </w:pPr>
      <w:r>
        <w:rPr>
          <w:rFonts w:ascii="宋体" w:hAnsi="宋体" w:eastAsia="宋体" w:cs="宋体"/>
          <w:spacing w:val="-3"/>
          <w:sz w:val="27"/>
          <w:szCs w:val="27"/>
        </w:rPr>
        <w:t>场地建设单元是指房地产、场地准备、建筑物和其他为达到系统的作战状态</w:t>
      </w:r>
      <w:r>
        <w:rPr>
          <w:rFonts w:ascii="宋体" w:hAnsi="宋体" w:eastAsia="宋体" w:cs="宋体"/>
          <w:spacing w:val="11"/>
          <w:sz w:val="27"/>
          <w:szCs w:val="27"/>
        </w:rPr>
        <w:t xml:space="preserve"> </w:t>
      </w:r>
      <w:r>
        <w:rPr>
          <w:rFonts w:ascii="宋体" w:hAnsi="宋体" w:eastAsia="宋体" w:cs="宋体"/>
          <w:spacing w:val="-2"/>
          <w:sz w:val="27"/>
          <w:szCs w:val="27"/>
        </w:rPr>
        <w:t>所需要的专用设施。本单元包括公用事业设备(如水、电</w:t>
      </w:r>
      <w:r>
        <w:rPr>
          <w:rFonts w:ascii="宋体" w:hAnsi="宋体" w:eastAsia="宋体" w:cs="宋体"/>
          <w:spacing w:val="-3"/>
          <w:sz w:val="27"/>
          <w:szCs w:val="27"/>
        </w:rPr>
        <w:t>、煤气等)、道路和通信</w:t>
      </w:r>
      <w:r>
        <w:rPr>
          <w:rFonts w:ascii="宋体" w:hAnsi="宋体" w:eastAsia="宋体" w:cs="宋体"/>
          <w:sz w:val="27"/>
          <w:szCs w:val="27"/>
        </w:rPr>
        <w:t xml:space="preserve"> </w:t>
      </w:r>
      <w:r>
        <w:rPr>
          <w:rFonts w:ascii="宋体" w:hAnsi="宋体" w:eastAsia="宋体" w:cs="宋体"/>
          <w:spacing w:val="-1"/>
          <w:sz w:val="27"/>
          <w:szCs w:val="27"/>
        </w:rPr>
        <w:t>电缆的建设。</w:t>
      </w:r>
    </w:p>
    <w:p w14:paraId="5A24F6BB">
      <w:pPr>
        <w:spacing w:before="1" w:line="221" w:lineRule="auto"/>
        <w:rPr>
          <w:rFonts w:ascii="黑体" w:hAnsi="黑体" w:eastAsia="黑体" w:cs="黑体"/>
          <w:sz w:val="27"/>
          <w:szCs w:val="27"/>
        </w:rPr>
      </w:pPr>
      <w:r>
        <w:rPr>
          <w:rFonts w:ascii="黑体" w:hAnsi="黑体" w:eastAsia="黑体" w:cs="黑体"/>
          <w:spacing w:val="-6"/>
          <w:sz w:val="27"/>
          <w:szCs w:val="27"/>
        </w:rPr>
        <w:t>2.1.7.3</w:t>
      </w:r>
      <w:r>
        <w:rPr>
          <w:rFonts w:ascii="黑体" w:hAnsi="黑体" w:eastAsia="黑体" w:cs="黑体"/>
          <w:spacing w:val="35"/>
          <w:sz w:val="27"/>
          <w:szCs w:val="27"/>
        </w:rPr>
        <w:t xml:space="preserve">  </w:t>
      </w:r>
      <w:r>
        <w:rPr>
          <w:rFonts w:ascii="黑体" w:hAnsi="黑体" w:eastAsia="黑体" w:cs="黑体"/>
          <w:b/>
          <w:bCs/>
          <w:spacing w:val="-6"/>
          <w:sz w:val="27"/>
          <w:szCs w:val="27"/>
        </w:rPr>
        <w:t>场地、舰船和车辆的改造</w:t>
      </w:r>
    </w:p>
    <w:p w14:paraId="5780F32B">
      <w:pPr>
        <w:spacing w:before="90" w:line="282" w:lineRule="auto"/>
        <w:ind w:right="90" w:firstLine="570"/>
        <w:jc w:val="both"/>
        <w:rPr>
          <w:rFonts w:ascii="宋体" w:hAnsi="宋体" w:eastAsia="宋体" w:cs="宋体"/>
          <w:sz w:val="27"/>
          <w:szCs w:val="27"/>
        </w:rPr>
      </w:pPr>
      <w:r>
        <w:rPr>
          <w:rFonts w:ascii="宋体" w:hAnsi="宋体" w:eastAsia="宋体" w:cs="宋体"/>
          <w:spacing w:val="-3"/>
          <w:sz w:val="27"/>
          <w:szCs w:val="27"/>
        </w:rPr>
        <w:t>场地、舰船和车辆改造单元是指为改造现有的场地、车辆或舰船所需的全部</w:t>
      </w:r>
      <w:r>
        <w:rPr>
          <w:rFonts w:ascii="宋体" w:hAnsi="宋体" w:eastAsia="宋体" w:cs="宋体"/>
          <w:spacing w:val="12"/>
          <w:sz w:val="27"/>
          <w:szCs w:val="27"/>
        </w:rPr>
        <w:t xml:space="preserve"> </w:t>
      </w:r>
      <w:r>
        <w:rPr>
          <w:rFonts w:ascii="宋体" w:hAnsi="宋体" w:eastAsia="宋体" w:cs="宋体"/>
          <w:spacing w:val="-3"/>
          <w:sz w:val="27"/>
          <w:szCs w:val="27"/>
        </w:rPr>
        <w:t>器材和服务。本单元包括为达到系统使用状态，必须在发射、操作、保障等方面</w:t>
      </w:r>
      <w:r>
        <w:rPr>
          <w:rFonts w:ascii="宋体" w:hAnsi="宋体" w:eastAsia="宋体" w:cs="宋体"/>
          <w:spacing w:val="15"/>
          <w:sz w:val="27"/>
          <w:szCs w:val="27"/>
        </w:rPr>
        <w:t xml:space="preserve"> </w:t>
      </w:r>
      <w:r>
        <w:rPr>
          <w:rFonts w:ascii="宋体" w:hAnsi="宋体" w:eastAsia="宋体" w:cs="宋体"/>
          <w:spacing w:val="-7"/>
          <w:sz w:val="27"/>
          <w:szCs w:val="27"/>
        </w:rPr>
        <w:t>所进行的改造，可根据试飞场、车辆或舰船情况规定。</w:t>
      </w:r>
    </w:p>
    <w:p w14:paraId="433DC96D">
      <w:pPr>
        <w:spacing w:before="8" w:line="222" w:lineRule="auto"/>
        <w:rPr>
          <w:rFonts w:ascii="黑体" w:hAnsi="黑体" w:eastAsia="黑体" w:cs="黑体"/>
          <w:sz w:val="25"/>
          <w:szCs w:val="25"/>
        </w:rPr>
      </w:pPr>
      <w:r>
        <w:rPr>
          <w:rFonts w:ascii="黑体" w:hAnsi="黑体" w:eastAsia="黑体" w:cs="黑体"/>
          <w:spacing w:val="8"/>
          <w:sz w:val="25"/>
          <w:szCs w:val="25"/>
        </w:rPr>
        <w:t>2.1.8</w:t>
      </w:r>
      <w:r>
        <w:rPr>
          <w:rFonts w:ascii="黑体" w:hAnsi="黑体" w:eastAsia="黑体" w:cs="黑体"/>
          <w:spacing w:val="14"/>
          <w:sz w:val="25"/>
          <w:szCs w:val="25"/>
        </w:rPr>
        <w:t xml:space="preserve">   </w:t>
      </w:r>
      <w:r>
        <w:rPr>
          <w:rFonts w:ascii="黑体" w:hAnsi="黑体" w:eastAsia="黑体" w:cs="黑体"/>
          <w:b/>
          <w:bCs/>
          <w:spacing w:val="8"/>
          <w:sz w:val="25"/>
          <w:szCs w:val="25"/>
        </w:rPr>
        <w:t>工业设施</w:t>
      </w:r>
    </w:p>
    <w:p w14:paraId="431A53FD">
      <w:pPr>
        <w:spacing w:before="93" w:line="289" w:lineRule="auto"/>
        <w:ind w:right="94" w:firstLine="570"/>
        <w:rPr>
          <w:rFonts w:ascii="宋体" w:hAnsi="宋体" w:eastAsia="宋体" w:cs="宋体"/>
          <w:sz w:val="27"/>
          <w:szCs w:val="27"/>
        </w:rPr>
      </w:pPr>
      <w:r>
        <w:rPr>
          <w:rFonts w:ascii="宋体" w:hAnsi="宋体" w:eastAsia="宋体" w:cs="宋体"/>
          <w:spacing w:val="6"/>
          <w:sz w:val="27"/>
          <w:szCs w:val="27"/>
        </w:rPr>
        <w:t>工业设施单元是指特定系统的各供货单位所</w:t>
      </w:r>
      <w:r>
        <w:rPr>
          <w:rFonts w:ascii="宋体" w:hAnsi="宋体" w:eastAsia="宋体" w:cs="宋体"/>
          <w:spacing w:val="5"/>
          <w:sz w:val="27"/>
          <w:szCs w:val="27"/>
        </w:rPr>
        <w:t>需要的生产、库存和基地维修</w:t>
      </w:r>
      <w:r>
        <w:rPr>
          <w:rFonts w:ascii="宋体" w:hAnsi="宋体" w:eastAsia="宋体" w:cs="宋体"/>
          <w:sz w:val="27"/>
          <w:szCs w:val="27"/>
        </w:rPr>
        <w:t xml:space="preserve"> </w:t>
      </w:r>
      <w:r>
        <w:rPr>
          <w:rFonts w:ascii="宋体" w:hAnsi="宋体" w:eastAsia="宋体" w:cs="宋体"/>
          <w:spacing w:val="-5"/>
          <w:sz w:val="27"/>
          <w:szCs w:val="27"/>
        </w:rPr>
        <w:t>设施的新建、改建或扩建。本单元包括设备的购置、</w:t>
      </w:r>
      <w:r>
        <w:rPr>
          <w:rFonts w:ascii="宋体" w:hAnsi="宋体" w:eastAsia="宋体" w:cs="宋体"/>
          <w:spacing w:val="-6"/>
          <w:sz w:val="27"/>
          <w:szCs w:val="27"/>
        </w:rPr>
        <w:t>改进和维修。</w:t>
      </w:r>
    </w:p>
    <w:p w14:paraId="20780905">
      <w:pPr>
        <w:spacing w:before="1" w:line="220" w:lineRule="auto"/>
        <w:rPr>
          <w:rFonts w:ascii="黑体" w:hAnsi="黑体" w:eastAsia="黑体" w:cs="黑体"/>
          <w:sz w:val="24"/>
          <w:szCs w:val="24"/>
        </w:rPr>
      </w:pPr>
      <w:r>
        <w:rPr>
          <w:rFonts w:ascii="黑体" w:hAnsi="黑体" w:eastAsia="黑体" w:cs="黑体"/>
          <w:spacing w:val="4"/>
          <w:sz w:val="24"/>
          <w:szCs w:val="24"/>
        </w:rPr>
        <w:t>2.1.8. 1</w:t>
      </w:r>
      <w:r>
        <w:rPr>
          <w:rFonts w:ascii="黑体" w:hAnsi="黑体" w:eastAsia="黑体" w:cs="黑体"/>
          <w:spacing w:val="60"/>
          <w:sz w:val="24"/>
          <w:szCs w:val="24"/>
        </w:rPr>
        <w:t xml:space="preserve">  </w:t>
      </w:r>
      <w:r>
        <w:rPr>
          <w:rFonts w:ascii="黑体" w:hAnsi="黑体" w:eastAsia="黑体" w:cs="黑体"/>
          <w:b/>
          <w:bCs/>
          <w:spacing w:val="4"/>
          <w:sz w:val="24"/>
          <w:szCs w:val="24"/>
        </w:rPr>
        <w:t>新建、改建或扩建</w:t>
      </w:r>
    </w:p>
    <w:p w14:paraId="0A62AFD9">
      <w:pPr>
        <w:spacing w:before="90" w:line="219" w:lineRule="auto"/>
        <w:ind w:left="570"/>
        <w:rPr>
          <w:rFonts w:ascii="宋体" w:hAnsi="宋体" w:eastAsia="宋体" w:cs="宋体"/>
          <w:sz w:val="27"/>
          <w:szCs w:val="27"/>
        </w:rPr>
      </w:pPr>
      <w:r>
        <w:rPr>
          <w:rFonts w:ascii="宋体" w:hAnsi="宋体" w:eastAsia="宋体" w:cs="宋体"/>
          <w:spacing w:val="-4"/>
          <w:sz w:val="27"/>
          <w:szCs w:val="27"/>
        </w:rPr>
        <w:t>新建、改建或扩建单元是指用于生产、库存和基地维修专用设备的建设。</w:t>
      </w:r>
    </w:p>
    <w:p w14:paraId="1E40774F">
      <w:pPr>
        <w:spacing w:before="94" w:line="222" w:lineRule="auto"/>
        <w:rPr>
          <w:rFonts w:ascii="黑体" w:hAnsi="黑体" w:eastAsia="黑体" w:cs="黑体"/>
          <w:sz w:val="25"/>
          <w:szCs w:val="25"/>
        </w:rPr>
      </w:pPr>
      <w:r>
        <w:rPr>
          <w:rFonts w:ascii="黑体" w:hAnsi="黑体" w:eastAsia="黑体" w:cs="黑体"/>
          <w:spacing w:val="10"/>
          <w:sz w:val="25"/>
          <w:szCs w:val="25"/>
        </w:rPr>
        <w:t xml:space="preserve">2.1.8.2   </w:t>
      </w:r>
      <w:r>
        <w:rPr>
          <w:rFonts w:ascii="黑体" w:hAnsi="黑体" w:eastAsia="黑体" w:cs="黑体"/>
          <w:b/>
          <w:bCs/>
          <w:spacing w:val="10"/>
          <w:sz w:val="25"/>
          <w:szCs w:val="25"/>
        </w:rPr>
        <w:t>设备的购置或改进</w:t>
      </w:r>
    </w:p>
    <w:p w14:paraId="3A382630">
      <w:pPr>
        <w:spacing w:before="123" w:line="269" w:lineRule="auto"/>
        <w:ind w:right="91" w:firstLine="570"/>
        <w:rPr>
          <w:rFonts w:ascii="宋体" w:hAnsi="宋体" w:eastAsia="宋体" w:cs="宋体"/>
          <w:sz w:val="27"/>
          <w:szCs w:val="27"/>
        </w:rPr>
      </w:pPr>
      <w:r>
        <w:rPr>
          <w:rFonts w:ascii="宋体" w:hAnsi="宋体" w:eastAsia="宋体" w:cs="宋体"/>
          <w:spacing w:val="6"/>
          <w:sz w:val="27"/>
          <w:szCs w:val="27"/>
        </w:rPr>
        <w:t>设备的购置或改进单元是指生产设备的购置、改</w:t>
      </w:r>
      <w:r>
        <w:rPr>
          <w:rFonts w:ascii="宋体" w:hAnsi="宋体" w:eastAsia="宋体" w:cs="宋体"/>
          <w:spacing w:val="5"/>
          <w:sz w:val="27"/>
          <w:szCs w:val="27"/>
        </w:rPr>
        <w:t>进或租借的系统专用设备</w:t>
      </w:r>
      <w:r>
        <w:rPr>
          <w:rFonts w:ascii="宋体" w:hAnsi="宋体" w:eastAsia="宋体" w:cs="宋体"/>
          <w:sz w:val="27"/>
          <w:szCs w:val="27"/>
        </w:rPr>
        <w:t xml:space="preserve"> </w:t>
      </w:r>
      <w:r>
        <w:rPr>
          <w:rFonts w:ascii="宋体" w:hAnsi="宋体" w:eastAsia="宋体" w:cs="宋体"/>
          <w:spacing w:val="-3"/>
          <w:sz w:val="27"/>
          <w:szCs w:val="27"/>
        </w:rPr>
        <w:t>的转运。</w:t>
      </w:r>
    </w:p>
    <w:p w14:paraId="25250191">
      <w:pPr>
        <w:spacing w:before="1" w:line="221" w:lineRule="auto"/>
        <w:rPr>
          <w:rFonts w:ascii="黑体" w:hAnsi="黑体" w:eastAsia="黑体" w:cs="黑体"/>
          <w:sz w:val="27"/>
          <w:szCs w:val="27"/>
        </w:rPr>
      </w:pPr>
      <w:r>
        <w:rPr>
          <w:rFonts w:ascii="黑体" w:hAnsi="黑体" w:eastAsia="黑体" w:cs="黑体"/>
          <w:spacing w:val="-1"/>
          <w:sz w:val="27"/>
          <w:szCs w:val="27"/>
        </w:rPr>
        <w:t>2.1.8.3</w:t>
      </w:r>
      <w:r>
        <w:rPr>
          <w:rFonts w:ascii="黑体" w:hAnsi="黑体" w:eastAsia="黑体" w:cs="黑体"/>
          <w:spacing w:val="37"/>
          <w:sz w:val="27"/>
          <w:szCs w:val="27"/>
        </w:rPr>
        <w:t xml:space="preserve">  </w:t>
      </w:r>
      <w:r>
        <w:rPr>
          <w:rFonts w:ascii="黑体" w:hAnsi="黑体" w:eastAsia="黑体" w:cs="黑体"/>
          <w:b/>
          <w:bCs/>
          <w:spacing w:val="-1"/>
          <w:sz w:val="27"/>
          <w:szCs w:val="27"/>
        </w:rPr>
        <w:t>工业设施维修</w:t>
      </w:r>
    </w:p>
    <w:p w14:paraId="13659364">
      <w:pPr>
        <w:spacing w:before="101" w:line="219" w:lineRule="auto"/>
        <w:ind w:left="570"/>
        <w:rPr>
          <w:rFonts w:ascii="宋体" w:hAnsi="宋体" w:eastAsia="宋体" w:cs="宋体"/>
          <w:sz w:val="27"/>
          <w:szCs w:val="27"/>
        </w:rPr>
      </w:pPr>
      <w:r>
        <w:rPr>
          <w:rFonts w:ascii="宋体" w:hAnsi="宋体" w:eastAsia="宋体" w:cs="宋体"/>
          <w:sz w:val="27"/>
          <w:szCs w:val="27"/>
        </w:rPr>
        <w:t>工业设施维修单元是指工业设施和设备的维修、</w:t>
      </w:r>
      <w:r>
        <w:rPr>
          <w:rFonts w:ascii="宋体" w:hAnsi="宋体" w:eastAsia="宋体" w:cs="宋体"/>
          <w:spacing w:val="-1"/>
          <w:sz w:val="27"/>
          <w:szCs w:val="27"/>
        </w:rPr>
        <w:t>封存和修理。</w:t>
      </w:r>
    </w:p>
    <w:p w14:paraId="20A3163A">
      <w:pPr>
        <w:spacing w:before="114" w:line="222" w:lineRule="auto"/>
        <w:rPr>
          <w:rFonts w:ascii="黑体" w:hAnsi="黑体" w:eastAsia="黑体" w:cs="黑体"/>
          <w:sz w:val="25"/>
          <w:szCs w:val="25"/>
        </w:rPr>
      </w:pPr>
      <w:r>
        <w:rPr>
          <w:rFonts w:ascii="黑体" w:hAnsi="黑体" w:eastAsia="黑体" w:cs="黑体"/>
          <w:spacing w:val="9"/>
          <w:sz w:val="25"/>
          <w:szCs w:val="25"/>
        </w:rPr>
        <w:t>2.1.9</w:t>
      </w:r>
      <w:r>
        <w:rPr>
          <w:rFonts w:ascii="黑体" w:hAnsi="黑体" w:eastAsia="黑体" w:cs="黑体"/>
          <w:spacing w:val="19"/>
          <w:sz w:val="25"/>
          <w:szCs w:val="25"/>
        </w:rPr>
        <w:t xml:space="preserve">   </w:t>
      </w:r>
      <w:r>
        <w:rPr>
          <w:rFonts w:ascii="黑体" w:hAnsi="黑体" w:eastAsia="黑体" w:cs="黑体"/>
          <w:b/>
          <w:bCs/>
          <w:spacing w:val="9"/>
          <w:sz w:val="25"/>
          <w:szCs w:val="25"/>
        </w:rPr>
        <w:t>通用保障设备</w:t>
      </w:r>
    </w:p>
    <w:p w14:paraId="72F2BCB7">
      <w:pPr>
        <w:spacing w:before="86" w:line="274" w:lineRule="auto"/>
        <w:ind w:right="90" w:firstLine="570"/>
        <w:jc w:val="both"/>
        <w:rPr>
          <w:rFonts w:ascii="宋体" w:hAnsi="宋体" w:eastAsia="宋体" w:cs="宋体"/>
          <w:sz w:val="27"/>
          <w:szCs w:val="27"/>
        </w:rPr>
      </w:pPr>
      <w:r>
        <w:rPr>
          <w:rFonts w:ascii="宋体" w:hAnsi="宋体" w:eastAsia="宋体" w:cs="宋体"/>
          <w:spacing w:val="6"/>
          <w:sz w:val="27"/>
          <w:szCs w:val="27"/>
        </w:rPr>
        <w:t>通用保障设备单元是指为保障和维修飞机系统或其一</w:t>
      </w:r>
      <w:r>
        <w:rPr>
          <w:rFonts w:ascii="宋体" w:hAnsi="宋体" w:eastAsia="宋体" w:cs="宋体"/>
          <w:spacing w:val="5"/>
          <w:sz w:val="27"/>
          <w:szCs w:val="27"/>
        </w:rPr>
        <w:t>部分所需要的而又不</w:t>
      </w:r>
      <w:r>
        <w:rPr>
          <w:rFonts w:ascii="宋体" w:hAnsi="宋体" w:eastAsia="宋体" w:cs="宋体"/>
          <w:sz w:val="27"/>
          <w:szCs w:val="27"/>
        </w:rPr>
        <w:t xml:space="preserve"> </w:t>
      </w:r>
      <w:r>
        <w:rPr>
          <w:rFonts w:ascii="宋体" w:hAnsi="宋体" w:eastAsia="宋体" w:cs="宋体"/>
          <w:spacing w:val="5"/>
          <w:sz w:val="27"/>
          <w:szCs w:val="27"/>
        </w:rPr>
        <w:t>直接参与其任务执行的通用设备项目。本单元包括为保证这些设备适用于保障</w:t>
      </w:r>
      <w:r>
        <w:rPr>
          <w:rFonts w:ascii="宋体" w:hAnsi="宋体" w:eastAsia="宋体" w:cs="宋体"/>
          <w:spacing w:val="10"/>
          <w:sz w:val="27"/>
          <w:szCs w:val="27"/>
        </w:rPr>
        <w:t xml:space="preserve"> </w:t>
      </w:r>
      <w:r>
        <w:rPr>
          <w:rFonts w:ascii="宋体" w:hAnsi="宋体" w:eastAsia="宋体" w:cs="宋体"/>
          <w:spacing w:val="5"/>
          <w:sz w:val="27"/>
          <w:szCs w:val="27"/>
        </w:rPr>
        <w:t>特定飞机系统所做的全部工作，也包括为使特定飞机系统投入使用需添置的通</w:t>
      </w:r>
      <w:r>
        <w:rPr>
          <w:rFonts w:ascii="宋体" w:hAnsi="宋体" w:eastAsia="宋体" w:cs="宋体"/>
          <w:spacing w:val="9"/>
          <w:sz w:val="27"/>
          <w:szCs w:val="27"/>
        </w:rPr>
        <w:t xml:space="preserve"> </w:t>
      </w:r>
      <w:r>
        <w:rPr>
          <w:rFonts w:ascii="宋体" w:hAnsi="宋体" w:eastAsia="宋体" w:cs="宋体"/>
          <w:spacing w:val="2"/>
          <w:sz w:val="27"/>
          <w:szCs w:val="27"/>
        </w:rPr>
        <w:t>用保障设备的采购工作。</w:t>
      </w:r>
    </w:p>
    <w:p w14:paraId="4F72C209">
      <w:pPr>
        <w:spacing w:before="39" w:line="221" w:lineRule="auto"/>
        <w:rPr>
          <w:rFonts w:ascii="黑体" w:hAnsi="黑体" w:eastAsia="黑体" w:cs="黑体"/>
          <w:sz w:val="25"/>
          <w:szCs w:val="25"/>
        </w:rPr>
      </w:pPr>
      <w:r>
        <w:rPr>
          <w:rFonts w:ascii="黑体" w:hAnsi="黑体" w:eastAsia="黑体" w:cs="黑体"/>
          <w:spacing w:val="9"/>
          <w:sz w:val="25"/>
          <w:szCs w:val="25"/>
        </w:rPr>
        <w:t>2.1.9</w:t>
      </w:r>
      <w:r>
        <w:rPr>
          <w:rFonts w:ascii="黑体" w:hAnsi="黑体" w:eastAsia="黑体" w:cs="黑体"/>
          <w:spacing w:val="-37"/>
          <w:sz w:val="25"/>
          <w:szCs w:val="25"/>
        </w:rPr>
        <w:t xml:space="preserve"> </w:t>
      </w:r>
      <w:r>
        <w:rPr>
          <w:rFonts w:ascii="黑体" w:hAnsi="黑体" w:eastAsia="黑体" w:cs="黑体"/>
          <w:spacing w:val="9"/>
          <w:sz w:val="25"/>
          <w:szCs w:val="25"/>
        </w:rPr>
        <w:t>.1</w:t>
      </w:r>
      <w:r>
        <w:rPr>
          <w:rFonts w:ascii="黑体" w:hAnsi="黑体" w:eastAsia="黑体" w:cs="黑体"/>
          <w:spacing w:val="46"/>
          <w:sz w:val="25"/>
          <w:szCs w:val="25"/>
        </w:rPr>
        <w:t xml:space="preserve">  </w:t>
      </w:r>
      <w:r>
        <w:rPr>
          <w:rFonts w:ascii="黑体" w:hAnsi="黑体" w:eastAsia="黑体" w:cs="黑体"/>
          <w:b/>
          <w:bCs/>
          <w:spacing w:val="9"/>
          <w:sz w:val="25"/>
          <w:szCs w:val="25"/>
        </w:rPr>
        <w:t>基层级通用保障设备</w:t>
      </w:r>
    </w:p>
    <w:p w14:paraId="684565E2">
      <w:pPr>
        <w:spacing w:before="106" w:line="276" w:lineRule="auto"/>
        <w:ind w:right="13" w:firstLine="659"/>
        <w:rPr>
          <w:rFonts w:ascii="宋体" w:hAnsi="宋体" w:eastAsia="宋体" w:cs="宋体"/>
          <w:sz w:val="27"/>
          <w:szCs w:val="27"/>
        </w:rPr>
      </w:pPr>
      <w:r>
        <w:rPr>
          <w:rFonts w:ascii="宋体" w:hAnsi="宋体" w:eastAsia="宋体" w:cs="宋体"/>
          <w:spacing w:val="5"/>
          <w:sz w:val="27"/>
          <w:szCs w:val="27"/>
        </w:rPr>
        <w:t>基层级通用保障设备单元是指基层级维修用的通用保障设备。设备可按分</w:t>
      </w:r>
      <w:r>
        <w:rPr>
          <w:rFonts w:ascii="宋体" w:hAnsi="宋体" w:eastAsia="宋体" w:cs="宋体"/>
          <w:spacing w:val="10"/>
          <w:sz w:val="27"/>
          <w:szCs w:val="27"/>
        </w:rPr>
        <w:t xml:space="preserve"> </w:t>
      </w:r>
      <w:r>
        <w:rPr>
          <w:rFonts w:ascii="宋体" w:hAnsi="宋体" w:eastAsia="宋体" w:cs="宋体"/>
          <w:spacing w:val="2"/>
          <w:sz w:val="27"/>
          <w:szCs w:val="27"/>
        </w:rPr>
        <w:t>系统或维修功能进一步细分。</w:t>
      </w:r>
    </w:p>
    <w:p w14:paraId="0E1ED314">
      <w:pPr>
        <w:spacing w:line="276" w:lineRule="auto"/>
        <w:rPr>
          <w:rFonts w:ascii="宋体" w:hAnsi="宋体" w:eastAsia="宋体" w:cs="宋体"/>
          <w:sz w:val="27"/>
          <w:szCs w:val="27"/>
        </w:rPr>
        <w:sectPr>
          <w:footerReference r:id="rId44" w:type="default"/>
          <w:pgSz w:w="11910" w:h="17130"/>
          <w:pgMar w:top="400" w:right="1255" w:bottom="1580" w:left="1170" w:header="0" w:footer="1382" w:gutter="0"/>
          <w:cols w:space="720" w:num="1"/>
        </w:sectPr>
      </w:pPr>
    </w:p>
    <w:p w14:paraId="0ACD17F7">
      <w:pPr>
        <w:pStyle w:val="2"/>
        <w:spacing w:line="272" w:lineRule="auto"/>
      </w:pPr>
    </w:p>
    <w:p w14:paraId="7F1AEC9B">
      <w:pPr>
        <w:pStyle w:val="2"/>
        <w:spacing w:line="272" w:lineRule="auto"/>
      </w:pPr>
    </w:p>
    <w:p w14:paraId="2968E289">
      <w:pPr>
        <w:pStyle w:val="2"/>
        <w:spacing w:line="273" w:lineRule="auto"/>
      </w:pPr>
    </w:p>
    <w:p w14:paraId="76D42AD7">
      <w:pPr>
        <w:pStyle w:val="2"/>
        <w:spacing w:line="273" w:lineRule="auto"/>
      </w:pPr>
    </w:p>
    <w:p w14:paraId="5743ABAD">
      <w:pPr>
        <w:pStyle w:val="2"/>
        <w:spacing w:before="88" w:line="221" w:lineRule="auto"/>
        <w:rPr>
          <w:rFonts w:ascii="黑体" w:hAnsi="黑体" w:eastAsia="黑体" w:cs="黑体"/>
          <w:sz w:val="27"/>
          <w:szCs w:val="27"/>
        </w:rPr>
      </w:pPr>
      <w:r>
        <w:rPr>
          <w:b/>
          <w:bCs/>
          <w:spacing w:val="-1"/>
          <w:sz w:val="27"/>
          <w:szCs w:val="27"/>
        </w:rPr>
        <w:t>2.1.9.2</w:t>
      </w:r>
      <w:r>
        <w:rPr>
          <w:b/>
          <w:bCs/>
          <w:spacing w:val="16"/>
          <w:sz w:val="27"/>
          <w:szCs w:val="27"/>
        </w:rPr>
        <w:t xml:space="preserve">     </w:t>
      </w:r>
      <w:r>
        <w:rPr>
          <w:rFonts w:ascii="黑体" w:hAnsi="黑体" w:eastAsia="黑体" w:cs="黑体"/>
          <w:b/>
          <w:bCs/>
          <w:spacing w:val="-1"/>
          <w:sz w:val="27"/>
          <w:szCs w:val="27"/>
        </w:rPr>
        <w:t>中继级通用保障设备</w:t>
      </w:r>
    </w:p>
    <w:p w14:paraId="4FC56C58">
      <w:pPr>
        <w:spacing w:before="64" w:line="288" w:lineRule="auto"/>
        <w:ind w:right="103" w:firstLine="569"/>
        <w:rPr>
          <w:rFonts w:ascii="宋体" w:hAnsi="宋体" w:eastAsia="宋体" w:cs="宋体"/>
          <w:sz w:val="27"/>
          <w:szCs w:val="27"/>
        </w:rPr>
      </w:pPr>
      <w:r>
        <w:rPr>
          <w:rFonts w:ascii="宋体" w:hAnsi="宋体" w:eastAsia="宋体" w:cs="宋体"/>
          <w:spacing w:val="5"/>
          <w:sz w:val="27"/>
          <w:szCs w:val="27"/>
        </w:rPr>
        <w:t>中继级通用保障设备单元是指中继级维修用的通用保障设备。设备可按分</w:t>
      </w:r>
      <w:r>
        <w:rPr>
          <w:rFonts w:ascii="宋体" w:hAnsi="宋体" w:eastAsia="宋体" w:cs="宋体"/>
          <w:sz w:val="27"/>
          <w:szCs w:val="27"/>
        </w:rPr>
        <w:t xml:space="preserve"> </w:t>
      </w:r>
      <w:r>
        <w:rPr>
          <w:rFonts w:ascii="宋体" w:hAnsi="宋体" w:eastAsia="宋体" w:cs="宋体"/>
          <w:spacing w:val="2"/>
          <w:sz w:val="27"/>
          <w:szCs w:val="27"/>
        </w:rPr>
        <w:t>系统或维修功能进一步细分。</w:t>
      </w:r>
    </w:p>
    <w:p w14:paraId="14D3AA6B">
      <w:pPr>
        <w:spacing w:before="1" w:line="220" w:lineRule="auto"/>
        <w:rPr>
          <w:rFonts w:ascii="黑体" w:hAnsi="黑体" w:eastAsia="黑体" w:cs="黑体"/>
          <w:sz w:val="25"/>
          <w:szCs w:val="25"/>
        </w:rPr>
      </w:pPr>
      <w:r>
        <w:rPr>
          <w:rFonts w:ascii="黑体" w:hAnsi="黑体" w:eastAsia="黑体" w:cs="黑体"/>
          <w:spacing w:val="11"/>
          <w:sz w:val="25"/>
          <w:szCs w:val="25"/>
        </w:rPr>
        <w:t>2.1.9.3</w:t>
      </w:r>
      <w:r>
        <w:rPr>
          <w:rFonts w:ascii="黑体" w:hAnsi="黑体" w:eastAsia="黑体" w:cs="黑体"/>
          <w:spacing w:val="8"/>
          <w:sz w:val="25"/>
          <w:szCs w:val="25"/>
        </w:rPr>
        <w:t xml:space="preserve">   </w:t>
      </w:r>
      <w:r>
        <w:rPr>
          <w:rFonts w:ascii="黑体" w:hAnsi="黑体" w:eastAsia="黑体" w:cs="黑体"/>
          <w:b/>
          <w:bCs/>
          <w:spacing w:val="11"/>
          <w:sz w:val="25"/>
          <w:szCs w:val="25"/>
        </w:rPr>
        <w:t>基地级通用保障设备</w:t>
      </w:r>
    </w:p>
    <w:p w14:paraId="1B54EEBC">
      <w:pPr>
        <w:spacing w:before="96" w:line="279" w:lineRule="auto"/>
        <w:ind w:right="79" w:firstLine="569"/>
        <w:rPr>
          <w:rFonts w:ascii="宋体" w:hAnsi="宋体" w:eastAsia="宋体" w:cs="宋体"/>
          <w:sz w:val="27"/>
          <w:szCs w:val="27"/>
        </w:rPr>
      </w:pPr>
      <w:r>
        <w:rPr>
          <w:rFonts w:ascii="宋体" w:hAnsi="宋体" w:eastAsia="宋体" w:cs="宋体"/>
          <w:spacing w:val="6"/>
          <w:sz w:val="27"/>
          <w:szCs w:val="27"/>
        </w:rPr>
        <w:t>基地级通用保障设备单元是指仅保障基地级维修用的通用</w:t>
      </w:r>
      <w:r>
        <w:rPr>
          <w:rFonts w:ascii="宋体" w:hAnsi="宋体" w:eastAsia="宋体" w:cs="宋体"/>
          <w:spacing w:val="5"/>
          <w:sz w:val="27"/>
          <w:szCs w:val="27"/>
        </w:rPr>
        <w:t>保障设备。基层</w:t>
      </w:r>
      <w:r>
        <w:rPr>
          <w:rFonts w:ascii="宋体" w:hAnsi="宋体" w:eastAsia="宋体" w:cs="宋体"/>
          <w:sz w:val="27"/>
          <w:szCs w:val="27"/>
        </w:rPr>
        <w:t xml:space="preserve"> </w:t>
      </w:r>
      <w:r>
        <w:rPr>
          <w:rFonts w:ascii="宋体" w:hAnsi="宋体" w:eastAsia="宋体" w:cs="宋体"/>
          <w:spacing w:val="1"/>
          <w:sz w:val="27"/>
          <w:szCs w:val="27"/>
        </w:rPr>
        <w:t>级和中继级通用保障设备也可用于基地级维修，但其归类在基层级或中继级。</w:t>
      </w:r>
    </w:p>
    <w:p w14:paraId="223415D9">
      <w:pPr>
        <w:spacing w:line="221" w:lineRule="auto"/>
        <w:rPr>
          <w:rFonts w:ascii="黑体" w:hAnsi="黑体" w:eastAsia="黑体" w:cs="黑体"/>
          <w:sz w:val="27"/>
          <w:szCs w:val="27"/>
        </w:rPr>
      </w:pPr>
      <w:r>
        <w:rPr>
          <w:rFonts w:ascii="黑体" w:hAnsi="黑体" w:eastAsia="黑体" w:cs="黑体"/>
          <w:spacing w:val="4"/>
          <w:sz w:val="27"/>
          <w:szCs w:val="27"/>
        </w:rPr>
        <w:t xml:space="preserve">2.1.10  </w:t>
      </w:r>
      <w:r>
        <w:rPr>
          <w:rFonts w:ascii="黑体" w:hAnsi="黑体" w:eastAsia="黑体" w:cs="黑体"/>
          <w:b/>
          <w:bCs/>
          <w:spacing w:val="4"/>
          <w:sz w:val="27"/>
          <w:szCs w:val="27"/>
        </w:rPr>
        <w:t>初始备件和修理件</w:t>
      </w:r>
    </w:p>
    <w:p w14:paraId="797D0745">
      <w:pPr>
        <w:spacing w:before="89" w:line="289" w:lineRule="auto"/>
        <w:ind w:right="83" w:firstLine="569"/>
        <w:rPr>
          <w:rFonts w:ascii="宋体" w:hAnsi="宋体" w:eastAsia="宋体" w:cs="宋体"/>
          <w:sz w:val="27"/>
          <w:szCs w:val="27"/>
        </w:rPr>
      </w:pPr>
      <w:r>
        <w:rPr>
          <w:rFonts w:ascii="宋体" w:hAnsi="宋体" w:eastAsia="宋体" w:cs="宋体"/>
          <w:spacing w:val="6"/>
          <w:sz w:val="27"/>
          <w:szCs w:val="27"/>
        </w:rPr>
        <w:t>初始备件和修理件单元是指设备的成品项目替</w:t>
      </w:r>
      <w:r>
        <w:rPr>
          <w:rFonts w:ascii="宋体" w:hAnsi="宋体" w:eastAsia="宋体" w:cs="宋体"/>
          <w:spacing w:val="5"/>
          <w:sz w:val="27"/>
          <w:szCs w:val="27"/>
        </w:rPr>
        <w:t>换用的备用零部件。本单元</w:t>
      </w:r>
      <w:r>
        <w:rPr>
          <w:rFonts w:ascii="宋体" w:hAnsi="宋体" w:eastAsia="宋体" w:cs="宋体"/>
          <w:sz w:val="27"/>
          <w:szCs w:val="27"/>
        </w:rPr>
        <w:t xml:space="preserve"> 不包括研制试验备件和专供现场安装、装配和检测过程中使用的备件。</w:t>
      </w:r>
    </w:p>
    <w:p w14:paraId="0D55EDC1">
      <w:pPr>
        <w:spacing w:before="321" w:line="220" w:lineRule="auto"/>
        <w:ind w:left="3339"/>
        <w:outlineLvl w:val="1"/>
        <w:rPr>
          <w:rFonts w:ascii="宋体" w:hAnsi="宋体" w:eastAsia="宋体" w:cs="宋体"/>
          <w:sz w:val="36"/>
          <w:szCs w:val="36"/>
        </w:rPr>
      </w:pPr>
      <w:bookmarkStart w:id="19" w:name="bookmark11"/>
      <w:bookmarkEnd w:id="19"/>
      <w:r>
        <w:rPr>
          <w:rFonts w:ascii="Times New Roman" w:hAnsi="Times New Roman" w:eastAsia="Times New Roman" w:cs="Times New Roman"/>
          <w:spacing w:val="-10"/>
          <w:sz w:val="36"/>
          <w:szCs w:val="36"/>
        </w:rPr>
        <w:t>1.9</w:t>
      </w:r>
      <w:r>
        <w:rPr>
          <w:rFonts w:ascii="Times New Roman" w:hAnsi="Times New Roman" w:eastAsia="Times New Roman" w:cs="Times New Roman"/>
          <w:spacing w:val="10"/>
          <w:sz w:val="36"/>
          <w:szCs w:val="36"/>
        </w:rPr>
        <w:t xml:space="preserve">     </w:t>
      </w:r>
      <w:r>
        <w:rPr>
          <w:rFonts w:ascii="宋体" w:hAnsi="宋体" w:eastAsia="宋体" w:cs="宋体"/>
          <w:spacing w:val="-10"/>
          <w:sz w:val="36"/>
          <w:szCs w:val="36"/>
        </w:rPr>
        <w:t>研</w:t>
      </w:r>
      <w:r>
        <w:rPr>
          <w:rFonts w:ascii="宋体" w:hAnsi="宋体" w:eastAsia="宋体" w:cs="宋体"/>
          <w:spacing w:val="-24"/>
          <w:sz w:val="36"/>
          <w:szCs w:val="36"/>
        </w:rPr>
        <w:t xml:space="preserve"> </w:t>
      </w:r>
      <w:r>
        <w:rPr>
          <w:rFonts w:ascii="宋体" w:hAnsi="宋体" w:eastAsia="宋体" w:cs="宋体"/>
          <w:spacing w:val="-10"/>
          <w:sz w:val="36"/>
          <w:szCs w:val="36"/>
        </w:rPr>
        <w:t>制</w:t>
      </w:r>
      <w:r>
        <w:rPr>
          <w:rFonts w:ascii="宋体" w:hAnsi="宋体" w:eastAsia="宋体" w:cs="宋体"/>
          <w:spacing w:val="-26"/>
          <w:sz w:val="36"/>
          <w:szCs w:val="36"/>
        </w:rPr>
        <w:t xml:space="preserve"> </w:t>
      </w:r>
      <w:r>
        <w:rPr>
          <w:rFonts w:ascii="宋体" w:hAnsi="宋体" w:eastAsia="宋体" w:cs="宋体"/>
          <w:spacing w:val="-10"/>
          <w:sz w:val="36"/>
          <w:szCs w:val="36"/>
        </w:rPr>
        <w:t>合 同</w:t>
      </w:r>
    </w:p>
    <w:p w14:paraId="41368B4E">
      <w:pPr>
        <w:pStyle w:val="2"/>
        <w:spacing w:line="351" w:lineRule="auto"/>
      </w:pPr>
    </w:p>
    <w:p w14:paraId="5759534A">
      <w:pPr>
        <w:spacing w:before="88" w:line="271" w:lineRule="auto"/>
        <w:ind w:left="3" w:right="99" w:firstLine="569"/>
        <w:jc w:val="both"/>
        <w:rPr>
          <w:rFonts w:ascii="楷体" w:hAnsi="楷体" w:eastAsia="楷体" w:cs="楷体"/>
          <w:sz w:val="27"/>
          <w:szCs w:val="27"/>
        </w:rPr>
      </w:pPr>
      <w:r>
        <w:rPr>
          <w:rFonts w:ascii="楷体" w:hAnsi="楷体" w:eastAsia="楷体" w:cs="楷体"/>
          <w:b/>
          <w:bCs/>
          <w:spacing w:val="-6"/>
          <w:sz w:val="27"/>
          <w:szCs w:val="27"/>
        </w:rPr>
        <w:t>研制合同必须采用标准的书面形式，具有附件的研制合同，其附</w:t>
      </w:r>
      <w:r>
        <w:rPr>
          <w:rFonts w:ascii="楷体" w:hAnsi="楷体" w:eastAsia="楷体" w:cs="楷体"/>
          <w:b/>
          <w:bCs/>
          <w:spacing w:val="-7"/>
          <w:sz w:val="27"/>
          <w:szCs w:val="27"/>
        </w:rPr>
        <w:t>件是研制合</w:t>
      </w:r>
      <w:r>
        <w:rPr>
          <w:rFonts w:ascii="楷体" w:hAnsi="楷体" w:eastAsia="楷体" w:cs="楷体"/>
          <w:sz w:val="27"/>
          <w:szCs w:val="27"/>
        </w:rPr>
        <w:t xml:space="preserve"> </w:t>
      </w:r>
      <w:r>
        <w:rPr>
          <w:rFonts w:ascii="楷体" w:hAnsi="楷体" w:eastAsia="楷体" w:cs="楷体"/>
          <w:b/>
          <w:bCs/>
          <w:spacing w:val="-6"/>
          <w:sz w:val="27"/>
          <w:szCs w:val="27"/>
        </w:rPr>
        <w:t>同的组成部分。研制合同按照《武器装备研制合同暂行办法》和《武器装备研制</w:t>
      </w:r>
      <w:r>
        <w:rPr>
          <w:rFonts w:ascii="楷体" w:hAnsi="楷体" w:eastAsia="楷体" w:cs="楷体"/>
          <w:spacing w:val="6"/>
          <w:sz w:val="27"/>
          <w:szCs w:val="27"/>
        </w:rPr>
        <w:t xml:space="preserve"> </w:t>
      </w:r>
      <w:r>
        <w:rPr>
          <w:rFonts w:ascii="楷体" w:hAnsi="楷体" w:eastAsia="楷体" w:cs="楷体"/>
          <w:b/>
          <w:bCs/>
          <w:spacing w:val="-11"/>
          <w:sz w:val="27"/>
          <w:szCs w:val="27"/>
        </w:rPr>
        <w:t>合同暂行办法实施细则》编写。</w:t>
      </w:r>
    </w:p>
    <w:p w14:paraId="6992E1EB">
      <w:pPr>
        <w:spacing w:before="32" w:line="222"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38"/>
          <w:sz w:val="27"/>
          <w:szCs w:val="27"/>
        </w:rPr>
        <w:t xml:space="preserve">  </w:t>
      </w:r>
      <w:r>
        <w:rPr>
          <w:rFonts w:ascii="黑体" w:hAnsi="黑体" w:eastAsia="黑体" w:cs="黑体"/>
          <w:b/>
          <w:bCs/>
          <w:spacing w:val="-3"/>
          <w:sz w:val="27"/>
          <w:szCs w:val="27"/>
        </w:rPr>
        <w:t>合同当事人</w:t>
      </w:r>
    </w:p>
    <w:p w14:paraId="20D50D1D">
      <w:pPr>
        <w:spacing w:before="77" w:line="219" w:lineRule="auto"/>
        <w:ind w:left="569"/>
        <w:rPr>
          <w:rFonts w:ascii="宋体" w:hAnsi="宋体" w:eastAsia="宋体" w:cs="宋体"/>
          <w:sz w:val="27"/>
          <w:szCs w:val="27"/>
        </w:rPr>
      </w:pPr>
      <w:r>
        <w:rPr>
          <w:rFonts w:ascii="宋体" w:hAnsi="宋体" w:eastAsia="宋体" w:cs="宋体"/>
          <w:spacing w:val="2"/>
          <w:sz w:val="27"/>
          <w:szCs w:val="27"/>
        </w:rPr>
        <w:t>提供合同当事人相关信息并签署。</w:t>
      </w:r>
    </w:p>
    <w:p w14:paraId="16FE27EB">
      <w:pPr>
        <w:spacing w:before="66"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28"/>
          <w:sz w:val="27"/>
          <w:szCs w:val="27"/>
        </w:rPr>
        <w:t xml:space="preserve">  </w:t>
      </w:r>
      <w:r>
        <w:rPr>
          <w:rFonts w:ascii="黑体" w:hAnsi="黑体" w:eastAsia="黑体" w:cs="黑体"/>
          <w:b/>
          <w:bCs/>
          <w:spacing w:val="-1"/>
          <w:sz w:val="27"/>
          <w:szCs w:val="27"/>
        </w:rPr>
        <w:t>研制依据</w:t>
      </w:r>
    </w:p>
    <w:p w14:paraId="631099B9">
      <w:pPr>
        <w:spacing w:before="109" w:line="219" w:lineRule="auto"/>
        <w:ind w:left="569"/>
        <w:rPr>
          <w:rFonts w:ascii="宋体" w:hAnsi="宋体" w:eastAsia="宋体" w:cs="宋体"/>
          <w:sz w:val="27"/>
          <w:szCs w:val="27"/>
        </w:rPr>
      </w:pPr>
      <w:r>
        <w:rPr>
          <w:rFonts w:ascii="宋体" w:hAnsi="宋体" w:eastAsia="宋体" w:cs="宋体"/>
          <w:spacing w:val="-2"/>
          <w:sz w:val="27"/>
          <w:szCs w:val="27"/>
        </w:rPr>
        <w:t>列出经过批复的研制依据和国家、军队的相关法规。</w:t>
      </w:r>
    </w:p>
    <w:p w14:paraId="1EF9E2C7">
      <w:pPr>
        <w:pStyle w:val="2"/>
        <w:spacing w:before="79" w:line="223" w:lineRule="auto"/>
        <w:rPr>
          <w:rFonts w:ascii="黑体" w:hAnsi="黑体" w:eastAsia="黑体" w:cs="黑体"/>
          <w:sz w:val="27"/>
          <w:szCs w:val="27"/>
        </w:rPr>
      </w:pPr>
      <w:r>
        <w:rPr>
          <w:b/>
          <w:bCs/>
          <w:spacing w:val="1"/>
          <w:sz w:val="27"/>
          <w:szCs w:val="27"/>
        </w:rPr>
        <w:t xml:space="preserve">3    </w:t>
      </w:r>
      <w:r>
        <w:rPr>
          <w:rFonts w:ascii="黑体" w:hAnsi="黑体" w:eastAsia="黑体" w:cs="黑体"/>
          <w:b/>
          <w:bCs/>
          <w:spacing w:val="1"/>
          <w:sz w:val="27"/>
          <w:szCs w:val="27"/>
        </w:rPr>
        <w:t>合同标的</w:t>
      </w:r>
    </w:p>
    <w:p w14:paraId="7E33A013">
      <w:pPr>
        <w:spacing w:before="89" w:line="278" w:lineRule="auto"/>
        <w:ind w:right="83" w:firstLine="569"/>
        <w:jc w:val="both"/>
        <w:rPr>
          <w:rFonts w:ascii="宋体" w:hAnsi="宋体" w:eastAsia="宋体" w:cs="宋体"/>
          <w:sz w:val="27"/>
          <w:szCs w:val="27"/>
        </w:rPr>
      </w:pPr>
      <w:r>
        <w:rPr>
          <w:rFonts w:ascii="宋体" w:hAnsi="宋体" w:eastAsia="宋体" w:cs="宋体"/>
          <w:spacing w:val="6"/>
          <w:sz w:val="27"/>
          <w:szCs w:val="27"/>
        </w:rPr>
        <w:t>合同标的是合同的最终成果，阶段性合同标的</w:t>
      </w:r>
      <w:r>
        <w:rPr>
          <w:rFonts w:ascii="宋体" w:hAnsi="宋体" w:eastAsia="宋体" w:cs="宋体"/>
          <w:spacing w:val="5"/>
          <w:sz w:val="27"/>
          <w:szCs w:val="27"/>
        </w:rPr>
        <w:t>是阶段性的最终成果。最终</w:t>
      </w:r>
      <w:r>
        <w:rPr>
          <w:rFonts w:ascii="宋体" w:hAnsi="宋体" w:eastAsia="宋体" w:cs="宋体"/>
          <w:sz w:val="27"/>
          <w:szCs w:val="27"/>
        </w:rPr>
        <w:t xml:space="preserve"> </w:t>
      </w:r>
      <w:r>
        <w:rPr>
          <w:rFonts w:ascii="宋体" w:hAnsi="宋体" w:eastAsia="宋体" w:cs="宋体"/>
          <w:spacing w:val="-6"/>
          <w:sz w:val="27"/>
          <w:szCs w:val="27"/>
        </w:rPr>
        <w:t>成果的主要形式可以是产品项目(原理样机、初样机、正样机或模型样机、初步工</w:t>
      </w:r>
      <w:r>
        <w:rPr>
          <w:rFonts w:ascii="宋体" w:hAnsi="宋体" w:eastAsia="宋体" w:cs="宋体"/>
          <w:spacing w:val="4"/>
          <w:sz w:val="27"/>
          <w:szCs w:val="27"/>
        </w:rPr>
        <w:t xml:space="preserve"> </w:t>
      </w:r>
      <w:r>
        <w:rPr>
          <w:rFonts w:ascii="宋体" w:hAnsi="宋体" w:eastAsia="宋体" w:cs="宋体"/>
          <w:spacing w:val="-10"/>
          <w:sz w:val="27"/>
          <w:szCs w:val="27"/>
        </w:rPr>
        <w:t>程样机、试验工程样机等)、资料项目(论证资料、工程资料、操作使用和保障</w:t>
      </w:r>
      <w:r>
        <w:rPr>
          <w:rFonts w:ascii="宋体" w:hAnsi="宋体" w:eastAsia="宋体" w:cs="宋体"/>
          <w:spacing w:val="-11"/>
          <w:sz w:val="27"/>
          <w:szCs w:val="27"/>
        </w:rPr>
        <w:t>资料</w:t>
      </w:r>
      <w:r>
        <w:rPr>
          <w:rFonts w:ascii="宋体" w:hAnsi="宋体" w:eastAsia="宋体" w:cs="宋体"/>
          <w:sz w:val="27"/>
          <w:szCs w:val="27"/>
        </w:rPr>
        <w:t xml:space="preserve"> </w:t>
      </w:r>
      <w:r>
        <w:rPr>
          <w:rFonts w:ascii="宋体" w:hAnsi="宋体" w:eastAsia="宋体" w:cs="宋体"/>
          <w:spacing w:val="-10"/>
          <w:sz w:val="27"/>
          <w:szCs w:val="27"/>
        </w:rPr>
        <w:t>等)和要求提供的服务项目(试验、鉴定、培训、维修设备等)。</w:t>
      </w:r>
    </w:p>
    <w:p w14:paraId="331F01E7">
      <w:pPr>
        <w:spacing w:before="1" w:line="280" w:lineRule="auto"/>
        <w:ind w:right="83" w:firstLine="569"/>
        <w:rPr>
          <w:rFonts w:ascii="宋体" w:hAnsi="宋体" w:eastAsia="宋体" w:cs="宋体"/>
          <w:sz w:val="27"/>
          <w:szCs w:val="27"/>
        </w:rPr>
      </w:pPr>
      <w:r>
        <w:rPr>
          <w:rFonts w:ascii="宋体" w:hAnsi="宋体" w:eastAsia="宋体" w:cs="宋体"/>
          <w:spacing w:val="-3"/>
          <w:sz w:val="27"/>
          <w:szCs w:val="27"/>
        </w:rPr>
        <w:t>合同标的的详细说明在合同文本附件《技术规范(技术规格书)》和《工作说</w:t>
      </w:r>
      <w:r>
        <w:rPr>
          <w:rFonts w:ascii="宋体" w:hAnsi="宋体" w:eastAsia="宋体" w:cs="宋体"/>
          <w:spacing w:val="12"/>
          <w:sz w:val="27"/>
          <w:szCs w:val="27"/>
        </w:rPr>
        <w:t xml:space="preserve"> </w:t>
      </w:r>
      <w:r>
        <w:rPr>
          <w:rFonts w:ascii="宋体" w:hAnsi="宋体" w:eastAsia="宋体" w:cs="宋体"/>
          <w:spacing w:val="-22"/>
          <w:sz w:val="27"/>
          <w:szCs w:val="27"/>
        </w:rPr>
        <w:t>明》中给出，内容应明确、具体，措词准确。</w:t>
      </w:r>
    </w:p>
    <w:p w14:paraId="04CF8777">
      <w:pPr>
        <w:spacing w:before="3" w:line="281" w:lineRule="auto"/>
        <w:ind w:firstLine="569"/>
        <w:jc w:val="both"/>
        <w:rPr>
          <w:rFonts w:ascii="宋体" w:hAnsi="宋体" w:eastAsia="宋体" w:cs="宋体"/>
          <w:sz w:val="27"/>
          <w:szCs w:val="27"/>
        </w:rPr>
      </w:pPr>
      <w:r>
        <w:rPr>
          <w:rFonts w:ascii="宋体" w:hAnsi="宋体" w:eastAsia="宋体" w:cs="宋体"/>
          <w:spacing w:val="-3"/>
          <w:sz w:val="27"/>
          <w:szCs w:val="27"/>
        </w:rPr>
        <w:t>方案阶段合同的科研样机数量，以满足方案验证需要为准；工程研制和设计</w:t>
      </w:r>
      <w:r>
        <w:rPr>
          <w:rFonts w:ascii="宋体" w:hAnsi="宋体" w:eastAsia="宋体" w:cs="宋体"/>
          <w:spacing w:val="9"/>
          <w:sz w:val="27"/>
          <w:szCs w:val="27"/>
        </w:rPr>
        <w:t xml:space="preserve"> </w:t>
      </w:r>
      <w:r>
        <w:rPr>
          <w:rFonts w:ascii="宋体" w:hAnsi="宋体" w:eastAsia="宋体" w:cs="宋体"/>
          <w:spacing w:val="1"/>
          <w:sz w:val="27"/>
          <w:szCs w:val="27"/>
        </w:rPr>
        <w:t>定型阶段合同的设计定型样机数量，以满足设计定型试</w:t>
      </w:r>
      <w:r>
        <w:rPr>
          <w:rFonts w:ascii="宋体" w:hAnsi="宋体" w:eastAsia="宋体" w:cs="宋体"/>
          <w:sz w:val="27"/>
          <w:szCs w:val="27"/>
        </w:rPr>
        <w:t xml:space="preserve">验的最低数量要求为准； </w:t>
      </w:r>
      <w:r>
        <w:rPr>
          <w:rFonts w:ascii="宋体" w:hAnsi="宋体" w:eastAsia="宋体" w:cs="宋体"/>
          <w:spacing w:val="-2"/>
          <w:sz w:val="27"/>
          <w:szCs w:val="27"/>
        </w:rPr>
        <w:t>资料项目和服务项目要约定具体范围、内容和数量。</w:t>
      </w:r>
    </w:p>
    <w:p w14:paraId="186BCD84">
      <w:pPr>
        <w:spacing w:before="1" w:line="221" w:lineRule="auto"/>
        <w:rPr>
          <w:rFonts w:ascii="黑体" w:hAnsi="黑体" w:eastAsia="黑体" w:cs="黑体"/>
          <w:sz w:val="25"/>
          <w:szCs w:val="25"/>
        </w:rPr>
      </w:pPr>
      <w:r>
        <w:rPr>
          <w:rFonts w:ascii="黑体" w:hAnsi="黑体" w:eastAsia="黑体" w:cs="黑体"/>
          <w:spacing w:val="16"/>
          <w:sz w:val="25"/>
          <w:szCs w:val="25"/>
        </w:rPr>
        <w:t>4</w:t>
      </w:r>
      <w:r>
        <w:rPr>
          <w:rFonts w:ascii="黑体" w:hAnsi="黑体" w:eastAsia="黑体" w:cs="黑体"/>
          <w:spacing w:val="40"/>
          <w:sz w:val="25"/>
          <w:szCs w:val="25"/>
        </w:rPr>
        <w:t xml:space="preserve">  </w:t>
      </w:r>
      <w:r>
        <w:rPr>
          <w:rFonts w:ascii="黑体" w:hAnsi="黑体" w:eastAsia="黑体" w:cs="黑体"/>
          <w:b/>
          <w:bCs/>
          <w:spacing w:val="16"/>
          <w:sz w:val="25"/>
          <w:szCs w:val="25"/>
        </w:rPr>
        <w:t>研制进度</w:t>
      </w:r>
    </w:p>
    <w:p w14:paraId="2C95A2CF">
      <w:pPr>
        <w:spacing w:before="95" w:line="219" w:lineRule="auto"/>
        <w:ind w:left="569"/>
        <w:rPr>
          <w:rFonts w:ascii="宋体" w:hAnsi="宋体" w:eastAsia="宋体" w:cs="宋体"/>
          <w:sz w:val="27"/>
          <w:szCs w:val="27"/>
        </w:rPr>
      </w:pPr>
      <w:r>
        <w:rPr>
          <w:rFonts w:ascii="宋体" w:hAnsi="宋体" w:eastAsia="宋体" w:cs="宋体"/>
          <w:spacing w:val="2"/>
          <w:sz w:val="27"/>
          <w:szCs w:val="27"/>
        </w:rPr>
        <w:t>应明确研制进度和交付期限要求。</w:t>
      </w:r>
    </w:p>
    <w:p w14:paraId="7CD26A05">
      <w:pPr>
        <w:spacing w:before="99" w:line="275" w:lineRule="auto"/>
        <w:ind w:right="82" w:firstLine="569"/>
        <w:rPr>
          <w:rFonts w:ascii="宋体" w:hAnsi="宋体" w:eastAsia="宋体" w:cs="宋体"/>
          <w:sz w:val="27"/>
          <w:szCs w:val="27"/>
        </w:rPr>
      </w:pPr>
      <w:r>
        <w:rPr>
          <w:rFonts w:ascii="宋体" w:hAnsi="宋体" w:eastAsia="宋体" w:cs="宋体"/>
          <w:spacing w:val="6"/>
          <w:sz w:val="27"/>
          <w:szCs w:val="27"/>
        </w:rPr>
        <w:t>研制进度包括总进度、阶段进度及年度进度。交</w:t>
      </w:r>
      <w:r>
        <w:rPr>
          <w:rFonts w:ascii="宋体" w:hAnsi="宋体" w:eastAsia="宋体" w:cs="宋体"/>
          <w:spacing w:val="5"/>
          <w:sz w:val="27"/>
          <w:szCs w:val="27"/>
        </w:rPr>
        <w:t>付期限即合同约定的完成</w:t>
      </w:r>
      <w:r>
        <w:rPr>
          <w:rFonts w:ascii="宋体" w:hAnsi="宋体" w:eastAsia="宋体" w:cs="宋体"/>
          <w:sz w:val="27"/>
          <w:szCs w:val="27"/>
        </w:rPr>
        <w:t xml:space="preserve"> </w:t>
      </w:r>
      <w:r>
        <w:rPr>
          <w:rFonts w:ascii="宋体" w:hAnsi="宋体" w:eastAsia="宋体" w:cs="宋体"/>
          <w:spacing w:val="-3"/>
          <w:sz w:val="27"/>
          <w:szCs w:val="27"/>
        </w:rPr>
        <w:t>或交付装备的期限，是军方或承制单位实现权利、履行义务的时间界限，是确定</w:t>
      </w:r>
      <w:r>
        <w:rPr>
          <w:rFonts w:ascii="宋体" w:hAnsi="宋体" w:eastAsia="宋体" w:cs="宋体"/>
          <w:spacing w:val="11"/>
          <w:sz w:val="27"/>
          <w:szCs w:val="27"/>
        </w:rPr>
        <w:t xml:space="preserve"> </w:t>
      </w:r>
      <w:r>
        <w:rPr>
          <w:rFonts w:ascii="宋体" w:hAnsi="宋体" w:eastAsia="宋体" w:cs="宋体"/>
          <w:spacing w:val="3"/>
          <w:sz w:val="27"/>
          <w:szCs w:val="27"/>
        </w:rPr>
        <w:t>合同双方当事人是否按时履行合同的客观标准。</w:t>
      </w:r>
    </w:p>
    <w:p w14:paraId="14DDDB16">
      <w:pPr>
        <w:spacing w:line="275" w:lineRule="auto"/>
        <w:rPr>
          <w:rFonts w:ascii="宋体" w:hAnsi="宋体" w:eastAsia="宋体" w:cs="宋体"/>
          <w:sz w:val="27"/>
          <w:szCs w:val="27"/>
        </w:rPr>
        <w:sectPr>
          <w:footerReference r:id="rId45" w:type="default"/>
          <w:pgSz w:w="11910" w:h="17130"/>
          <w:pgMar w:top="400" w:right="954" w:bottom="1671" w:left="1480" w:header="0" w:footer="1358" w:gutter="0"/>
          <w:cols w:space="720" w:num="1"/>
        </w:sectPr>
      </w:pPr>
    </w:p>
    <w:p w14:paraId="6400CB9D">
      <w:pPr>
        <w:pStyle w:val="2"/>
        <w:spacing w:line="275" w:lineRule="auto"/>
      </w:pPr>
    </w:p>
    <w:p w14:paraId="453CEBF0">
      <w:pPr>
        <w:pStyle w:val="2"/>
        <w:spacing w:line="275" w:lineRule="auto"/>
      </w:pPr>
    </w:p>
    <w:p w14:paraId="28F3FF7F">
      <w:pPr>
        <w:pStyle w:val="2"/>
        <w:spacing w:line="275" w:lineRule="auto"/>
      </w:pPr>
    </w:p>
    <w:p w14:paraId="66759A40">
      <w:pPr>
        <w:pStyle w:val="2"/>
        <w:spacing w:line="275" w:lineRule="auto"/>
      </w:pPr>
    </w:p>
    <w:p w14:paraId="2EFAF6F9">
      <w:pPr>
        <w:spacing w:before="78" w:line="222" w:lineRule="auto"/>
        <w:rPr>
          <w:rFonts w:ascii="黑体" w:hAnsi="黑体" w:eastAsia="黑体" w:cs="黑体"/>
          <w:sz w:val="24"/>
          <w:szCs w:val="24"/>
        </w:rPr>
      </w:pPr>
      <w:r>
        <w:rPr>
          <w:rFonts w:ascii="黑体" w:hAnsi="黑体" w:eastAsia="黑体" w:cs="黑体"/>
          <w:spacing w:val="28"/>
          <w:sz w:val="24"/>
          <w:szCs w:val="24"/>
        </w:rPr>
        <w:t xml:space="preserve">5  </w:t>
      </w:r>
      <w:r>
        <w:rPr>
          <w:rFonts w:ascii="黑体" w:hAnsi="黑体" w:eastAsia="黑体" w:cs="黑体"/>
          <w:b/>
          <w:bCs/>
          <w:spacing w:val="28"/>
          <w:sz w:val="24"/>
          <w:szCs w:val="24"/>
        </w:rPr>
        <w:t>合同价款和支付</w:t>
      </w:r>
    </w:p>
    <w:p w14:paraId="03B9ED11">
      <w:pPr>
        <w:spacing w:before="85" w:line="277" w:lineRule="auto"/>
        <w:ind w:right="125" w:firstLine="560"/>
        <w:rPr>
          <w:rFonts w:ascii="宋体" w:hAnsi="宋体" w:eastAsia="宋体" w:cs="宋体"/>
          <w:sz w:val="27"/>
          <w:szCs w:val="27"/>
        </w:rPr>
      </w:pPr>
      <w:r>
        <w:rPr>
          <w:rFonts w:ascii="宋体" w:hAnsi="宋体" w:eastAsia="宋体" w:cs="宋体"/>
          <w:spacing w:val="-3"/>
          <w:sz w:val="27"/>
          <w:szCs w:val="27"/>
        </w:rPr>
        <w:t>合同价格由计价成本、收益和不可预见费组成</w:t>
      </w:r>
      <w:r>
        <w:rPr>
          <w:rFonts w:ascii="宋体" w:hAnsi="宋体" w:eastAsia="宋体" w:cs="宋体"/>
          <w:spacing w:val="-4"/>
          <w:sz w:val="27"/>
          <w:szCs w:val="27"/>
        </w:rPr>
        <w:t>，由合同当事人根据《国防科</w:t>
      </w:r>
      <w:r>
        <w:rPr>
          <w:rFonts w:ascii="宋体" w:hAnsi="宋体" w:eastAsia="宋体" w:cs="宋体"/>
          <w:sz w:val="27"/>
          <w:szCs w:val="27"/>
        </w:rPr>
        <w:t xml:space="preserve"> </w:t>
      </w:r>
      <w:r>
        <w:rPr>
          <w:rFonts w:ascii="宋体" w:hAnsi="宋体" w:eastAsia="宋体" w:cs="宋体"/>
          <w:spacing w:val="-3"/>
          <w:sz w:val="27"/>
          <w:szCs w:val="27"/>
        </w:rPr>
        <w:t>研项目计价管理办法》在合同中约定。</w:t>
      </w:r>
    </w:p>
    <w:p w14:paraId="59DA7C72">
      <w:pPr>
        <w:spacing w:before="1" w:line="276" w:lineRule="auto"/>
        <w:ind w:firstLine="560"/>
        <w:jc w:val="both"/>
        <w:rPr>
          <w:rFonts w:ascii="宋体" w:hAnsi="宋体" w:eastAsia="宋体" w:cs="宋体"/>
          <w:sz w:val="27"/>
          <w:szCs w:val="27"/>
        </w:rPr>
      </w:pPr>
      <w:r>
        <w:rPr>
          <w:rFonts w:ascii="宋体" w:hAnsi="宋体" w:eastAsia="宋体" w:cs="宋体"/>
          <w:spacing w:val="14"/>
          <w:sz w:val="27"/>
          <w:szCs w:val="27"/>
        </w:rPr>
        <w:t>固定价格合同价款由承研方在国家规定的开支范围内自主使用，超支不</w:t>
      </w:r>
      <w:r>
        <w:rPr>
          <w:rFonts w:ascii="宋体" w:hAnsi="宋体" w:eastAsia="宋体" w:cs="宋体"/>
          <w:sz w:val="27"/>
          <w:szCs w:val="27"/>
        </w:rPr>
        <w:t xml:space="preserve">  </w:t>
      </w:r>
      <w:r>
        <w:rPr>
          <w:rFonts w:ascii="宋体" w:hAnsi="宋体" w:eastAsia="宋体" w:cs="宋体"/>
          <w:spacing w:val="6"/>
          <w:sz w:val="27"/>
          <w:szCs w:val="27"/>
        </w:rPr>
        <w:t>补，节余经费归承研方。成本补偿合同的补偿办法，</w:t>
      </w:r>
      <w:r>
        <w:rPr>
          <w:rFonts w:ascii="宋体" w:hAnsi="宋体" w:eastAsia="宋体" w:cs="宋体"/>
          <w:spacing w:val="5"/>
          <w:sz w:val="27"/>
          <w:szCs w:val="27"/>
        </w:rPr>
        <w:t>由当事人在合同中具体约</w:t>
      </w:r>
      <w:r>
        <w:rPr>
          <w:rFonts w:ascii="宋体" w:hAnsi="宋体" w:eastAsia="宋体" w:cs="宋体"/>
          <w:sz w:val="27"/>
          <w:szCs w:val="27"/>
        </w:rPr>
        <w:t xml:space="preserve"> </w:t>
      </w:r>
      <w:r>
        <w:rPr>
          <w:rFonts w:ascii="宋体" w:hAnsi="宋体" w:eastAsia="宋体" w:cs="宋体"/>
          <w:spacing w:val="9"/>
          <w:sz w:val="27"/>
          <w:szCs w:val="27"/>
        </w:rPr>
        <w:t>定。合同价款的结算，按合同约定的补偿办法执行。合同实行分期付款</w:t>
      </w:r>
      <w:r>
        <w:rPr>
          <w:rFonts w:ascii="宋体" w:hAnsi="宋体" w:eastAsia="宋体" w:cs="宋体"/>
          <w:spacing w:val="8"/>
          <w:sz w:val="27"/>
          <w:szCs w:val="27"/>
        </w:rPr>
        <w:t>制度。</w:t>
      </w:r>
      <w:r>
        <w:rPr>
          <w:rFonts w:ascii="宋体" w:hAnsi="宋体" w:eastAsia="宋体" w:cs="宋体"/>
          <w:sz w:val="27"/>
          <w:szCs w:val="27"/>
        </w:rPr>
        <w:t xml:space="preserve"> </w:t>
      </w:r>
      <w:r>
        <w:rPr>
          <w:rFonts w:ascii="宋体" w:hAnsi="宋体" w:eastAsia="宋体" w:cs="宋体"/>
          <w:spacing w:val="13"/>
          <w:sz w:val="27"/>
          <w:szCs w:val="27"/>
        </w:rPr>
        <w:t>合同当事人应在合同中按进度约定分期付款的计划及合同完成后财务结算的</w:t>
      </w:r>
      <w:r>
        <w:rPr>
          <w:rFonts w:ascii="宋体" w:hAnsi="宋体" w:eastAsia="宋体" w:cs="宋体"/>
          <w:spacing w:val="5"/>
          <w:sz w:val="27"/>
          <w:szCs w:val="27"/>
        </w:rPr>
        <w:t xml:space="preserve">  </w:t>
      </w:r>
      <w:r>
        <w:rPr>
          <w:rFonts w:ascii="宋体" w:hAnsi="宋体" w:eastAsia="宋体" w:cs="宋体"/>
          <w:spacing w:val="1"/>
          <w:sz w:val="27"/>
          <w:szCs w:val="27"/>
        </w:rPr>
        <w:t>期限。</w:t>
      </w:r>
    </w:p>
    <w:p w14:paraId="544A69D0">
      <w:pPr>
        <w:spacing w:before="2" w:line="288" w:lineRule="auto"/>
        <w:ind w:right="101" w:firstLine="560"/>
        <w:jc w:val="both"/>
        <w:rPr>
          <w:rFonts w:ascii="宋体" w:hAnsi="宋体" w:eastAsia="宋体" w:cs="宋体"/>
          <w:sz w:val="27"/>
          <w:szCs w:val="27"/>
        </w:rPr>
      </w:pPr>
      <w:r>
        <w:rPr>
          <w:rFonts w:ascii="宋体" w:hAnsi="宋体" w:eastAsia="宋体" w:cs="宋体"/>
          <w:spacing w:val="-3"/>
          <w:sz w:val="27"/>
          <w:szCs w:val="27"/>
        </w:rPr>
        <w:t>对固定价格合同，使用方分期付款时，承研方应向使用方提交上一期任务完</w:t>
      </w:r>
      <w:r>
        <w:rPr>
          <w:rFonts w:ascii="宋体" w:hAnsi="宋体" w:eastAsia="宋体" w:cs="宋体"/>
          <w:spacing w:val="11"/>
          <w:sz w:val="27"/>
          <w:szCs w:val="27"/>
        </w:rPr>
        <w:t xml:space="preserve"> </w:t>
      </w:r>
      <w:r>
        <w:rPr>
          <w:rFonts w:ascii="宋体" w:hAnsi="宋体" w:eastAsia="宋体" w:cs="宋体"/>
          <w:spacing w:val="-2"/>
          <w:sz w:val="27"/>
          <w:szCs w:val="27"/>
        </w:rPr>
        <w:t>成情况，对按合同约定进度完成任务的应予拨付</w:t>
      </w:r>
      <w:r>
        <w:rPr>
          <w:rFonts w:ascii="宋体" w:hAnsi="宋体" w:eastAsia="宋体" w:cs="宋体"/>
          <w:spacing w:val="-3"/>
          <w:sz w:val="27"/>
          <w:szCs w:val="27"/>
        </w:rPr>
        <w:t>下一期经费；否则，不予拨付下</w:t>
      </w:r>
      <w:r>
        <w:rPr>
          <w:rFonts w:ascii="宋体" w:hAnsi="宋体" w:eastAsia="宋体" w:cs="宋体"/>
          <w:sz w:val="27"/>
          <w:szCs w:val="27"/>
        </w:rPr>
        <w:t xml:space="preserve"> </w:t>
      </w:r>
      <w:r>
        <w:rPr>
          <w:rFonts w:ascii="宋体" w:hAnsi="宋体" w:eastAsia="宋体" w:cs="宋体"/>
          <w:spacing w:val="-3"/>
          <w:sz w:val="27"/>
          <w:szCs w:val="27"/>
        </w:rPr>
        <w:t>一期经费。</w:t>
      </w:r>
    </w:p>
    <w:p w14:paraId="0695501B">
      <w:pPr>
        <w:spacing w:line="221" w:lineRule="auto"/>
        <w:rPr>
          <w:rFonts w:ascii="黑体" w:hAnsi="黑体" w:eastAsia="黑体" w:cs="黑体"/>
          <w:sz w:val="24"/>
          <w:szCs w:val="24"/>
        </w:rPr>
      </w:pPr>
      <w:r>
        <w:rPr>
          <w:rFonts w:ascii="黑体" w:hAnsi="黑体" w:eastAsia="黑体" w:cs="黑体"/>
          <w:spacing w:val="26"/>
          <w:sz w:val="24"/>
          <w:szCs w:val="24"/>
        </w:rPr>
        <w:t>6</w:t>
      </w:r>
      <w:r>
        <w:rPr>
          <w:rFonts w:ascii="黑体" w:hAnsi="黑体" w:eastAsia="黑体" w:cs="黑体"/>
          <w:spacing w:val="30"/>
          <w:sz w:val="24"/>
          <w:szCs w:val="24"/>
        </w:rPr>
        <w:t xml:space="preserve">  </w:t>
      </w:r>
      <w:r>
        <w:rPr>
          <w:rFonts w:ascii="黑体" w:hAnsi="黑体" w:eastAsia="黑体" w:cs="黑体"/>
          <w:b/>
          <w:bCs/>
          <w:spacing w:val="26"/>
          <w:sz w:val="24"/>
          <w:szCs w:val="24"/>
        </w:rPr>
        <w:t>研制工作要求</w:t>
      </w:r>
    </w:p>
    <w:p w14:paraId="60433D54">
      <w:pPr>
        <w:spacing w:before="96" w:line="219" w:lineRule="auto"/>
        <w:ind w:left="560"/>
        <w:rPr>
          <w:rFonts w:ascii="宋体" w:hAnsi="宋体" w:eastAsia="宋体" w:cs="宋体"/>
          <w:sz w:val="27"/>
          <w:szCs w:val="27"/>
        </w:rPr>
      </w:pPr>
      <w:r>
        <w:rPr>
          <w:rFonts w:ascii="宋体" w:hAnsi="宋体" w:eastAsia="宋体" w:cs="宋体"/>
          <w:spacing w:val="-1"/>
          <w:sz w:val="27"/>
          <w:szCs w:val="27"/>
        </w:rPr>
        <w:t>简要规定研制工作要求。通过附件</w:t>
      </w:r>
      <w:r>
        <w:rPr>
          <w:rFonts w:ascii="Times New Roman" w:hAnsi="Times New Roman" w:eastAsia="Times New Roman" w:cs="Times New Roman"/>
          <w:spacing w:val="-1"/>
          <w:sz w:val="27"/>
          <w:szCs w:val="27"/>
        </w:rPr>
        <w:t>A</w:t>
      </w:r>
      <w:r>
        <w:rPr>
          <w:rFonts w:ascii="宋体" w:hAnsi="宋体" w:eastAsia="宋体" w:cs="宋体"/>
          <w:spacing w:val="-1"/>
          <w:sz w:val="27"/>
          <w:szCs w:val="27"/>
        </w:rPr>
        <w:t>《工作说明》详细规定研制工</w:t>
      </w:r>
      <w:r>
        <w:rPr>
          <w:rFonts w:ascii="宋体" w:hAnsi="宋体" w:eastAsia="宋体" w:cs="宋体"/>
          <w:spacing w:val="-2"/>
          <w:sz w:val="27"/>
          <w:szCs w:val="27"/>
        </w:rPr>
        <w:t>作内容。</w:t>
      </w:r>
    </w:p>
    <w:p w14:paraId="433ABE9B">
      <w:pPr>
        <w:spacing w:before="89" w:line="276" w:lineRule="auto"/>
        <w:ind w:right="114" w:firstLine="560"/>
        <w:rPr>
          <w:rFonts w:ascii="宋体" w:hAnsi="宋体" w:eastAsia="宋体" w:cs="宋体"/>
          <w:sz w:val="27"/>
          <w:szCs w:val="27"/>
        </w:rPr>
      </w:pPr>
      <w:r>
        <w:rPr>
          <w:rFonts w:ascii="宋体" w:hAnsi="宋体" w:eastAsia="宋体" w:cs="宋体"/>
          <w:spacing w:val="-11"/>
          <w:sz w:val="27"/>
          <w:szCs w:val="27"/>
        </w:rPr>
        <w:t>合同中应按《武器装备质量管理条例》和有关国家标准、国家军用标准，明确</w:t>
      </w:r>
      <w:r>
        <w:rPr>
          <w:rFonts w:ascii="宋体" w:hAnsi="宋体" w:eastAsia="宋体" w:cs="宋体"/>
          <w:spacing w:val="3"/>
          <w:sz w:val="27"/>
          <w:szCs w:val="27"/>
        </w:rPr>
        <w:t xml:space="preserve"> </w:t>
      </w:r>
      <w:r>
        <w:rPr>
          <w:rFonts w:ascii="宋体" w:hAnsi="宋体" w:eastAsia="宋体" w:cs="宋体"/>
          <w:spacing w:val="2"/>
          <w:sz w:val="27"/>
          <w:szCs w:val="27"/>
        </w:rPr>
        <w:t>约定产品质量和相应的管理目标。</w:t>
      </w:r>
    </w:p>
    <w:p w14:paraId="2118B6AD">
      <w:pPr>
        <w:spacing w:before="1" w:line="221" w:lineRule="auto"/>
        <w:rPr>
          <w:rFonts w:ascii="黑体" w:hAnsi="黑体" w:eastAsia="黑体" w:cs="黑体"/>
          <w:sz w:val="27"/>
          <w:szCs w:val="27"/>
        </w:rPr>
      </w:pPr>
      <w:r>
        <w:rPr>
          <w:rFonts w:ascii="黑体" w:hAnsi="黑体" w:eastAsia="黑体" w:cs="黑体"/>
          <w:spacing w:val="-2"/>
          <w:sz w:val="27"/>
          <w:szCs w:val="27"/>
        </w:rPr>
        <w:t>7</w:t>
      </w:r>
      <w:r>
        <w:rPr>
          <w:rFonts w:ascii="黑体" w:hAnsi="黑体" w:eastAsia="黑体" w:cs="黑体"/>
          <w:spacing w:val="11"/>
          <w:sz w:val="27"/>
          <w:szCs w:val="27"/>
        </w:rPr>
        <w:t xml:space="preserve">  </w:t>
      </w:r>
      <w:r>
        <w:rPr>
          <w:rFonts w:ascii="黑体" w:hAnsi="黑体" w:eastAsia="黑体" w:cs="黑体"/>
          <w:b/>
          <w:bCs/>
          <w:spacing w:val="-2"/>
          <w:sz w:val="27"/>
          <w:szCs w:val="27"/>
        </w:rPr>
        <w:t>验收和交付</w:t>
      </w:r>
    </w:p>
    <w:p w14:paraId="23CE028A">
      <w:pPr>
        <w:spacing w:before="103" w:line="271" w:lineRule="auto"/>
        <w:ind w:firstLine="560"/>
        <w:jc w:val="both"/>
        <w:rPr>
          <w:rFonts w:ascii="宋体" w:hAnsi="宋体" w:eastAsia="宋体" w:cs="宋体"/>
          <w:sz w:val="27"/>
          <w:szCs w:val="27"/>
        </w:rPr>
      </w:pPr>
      <w:r>
        <w:rPr>
          <w:rFonts w:ascii="宋体" w:hAnsi="宋体" w:eastAsia="宋体" w:cs="宋体"/>
          <w:sz w:val="27"/>
          <w:szCs w:val="27"/>
        </w:rPr>
        <w:t>合同要约定最终成果交付方式和地点、包装运输方式及交付中各方的责任。</w:t>
      </w:r>
      <w:r>
        <w:rPr>
          <w:rFonts w:ascii="宋体" w:hAnsi="宋体" w:eastAsia="宋体" w:cs="宋体"/>
          <w:spacing w:val="14"/>
          <w:sz w:val="27"/>
          <w:szCs w:val="27"/>
        </w:rPr>
        <w:t xml:space="preserve"> </w:t>
      </w:r>
      <w:r>
        <w:rPr>
          <w:rFonts w:ascii="宋体" w:hAnsi="宋体" w:eastAsia="宋体" w:cs="宋体"/>
          <w:spacing w:val="1"/>
          <w:sz w:val="27"/>
          <w:szCs w:val="27"/>
        </w:rPr>
        <w:t>验收条件包括验收试验方式，所使用的设备仪器和手段，最终成果交付状态(包</w:t>
      </w:r>
      <w:r>
        <w:rPr>
          <w:rFonts w:ascii="宋体" w:hAnsi="宋体" w:eastAsia="宋体" w:cs="宋体"/>
          <w:spacing w:val="5"/>
          <w:sz w:val="27"/>
          <w:szCs w:val="27"/>
        </w:rPr>
        <w:t xml:space="preserve">  </w:t>
      </w:r>
      <w:r>
        <w:rPr>
          <w:rFonts w:ascii="宋体" w:hAnsi="宋体" w:eastAsia="宋体" w:cs="宋体"/>
          <w:spacing w:val="2"/>
          <w:sz w:val="27"/>
          <w:szCs w:val="27"/>
        </w:rPr>
        <w:t>括相应的备件及资料)等。</w:t>
      </w:r>
    </w:p>
    <w:p w14:paraId="4CE5BF64">
      <w:pPr>
        <w:pStyle w:val="2"/>
        <w:spacing w:before="3" w:line="222" w:lineRule="auto"/>
        <w:rPr>
          <w:rFonts w:ascii="黑体" w:hAnsi="黑体" w:eastAsia="黑体" w:cs="黑体"/>
          <w:sz w:val="27"/>
          <w:szCs w:val="27"/>
        </w:rPr>
      </w:pPr>
      <w:r>
        <w:rPr>
          <w:b/>
          <w:bCs/>
          <w:spacing w:val="-1"/>
          <w:sz w:val="27"/>
          <w:szCs w:val="27"/>
        </w:rPr>
        <w:t>8</w:t>
      </w:r>
      <w:r>
        <w:rPr>
          <w:b/>
          <w:bCs/>
          <w:spacing w:val="18"/>
          <w:sz w:val="27"/>
          <w:szCs w:val="27"/>
        </w:rPr>
        <w:t xml:space="preserve">   </w:t>
      </w:r>
      <w:r>
        <w:rPr>
          <w:rFonts w:ascii="黑体" w:hAnsi="黑体" w:eastAsia="黑体" w:cs="黑体"/>
          <w:b/>
          <w:bCs/>
          <w:spacing w:val="-1"/>
          <w:sz w:val="27"/>
          <w:szCs w:val="27"/>
        </w:rPr>
        <w:t>研制成果约定</w:t>
      </w:r>
    </w:p>
    <w:p w14:paraId="0AAF75EC">
      <w:pPr>
        <w:spacing w:before="121" w:line="219" w:lineRule="auto"/>
        <w:ind w:left="560"/>
        <w:rPr>
          <w:rFonts w:ascii="宋体" w:hAnsi="宋体" w:eastAsia="宋体" w:cs="宋体"/>
          <w:sz w:val="27"/>
          <w:szCs w:val="27"/>
        </w:rPr>
      </w:pPr>
      <w:r>
        <w:rPr>
          <w:rFonts w:ascii="宋体" w:hAnsi="宋体" w:eastAsia="宋体" w:cs="宋体"/>
          <w:spacing w:val="-1"/>
          <w:sz w:val="27"/>
          <w:szCs w:val="27"/>
        </w:rPr>
        <w:t>武器装备研制由国家拨款完成，其研制成果属国家所有。示例：</w:t>
      </w:r>
    </w:p>
    <w:p w14:paraId="0C5BDE27">
      <w:pPr>
        <w:spacing w:before="56" w:line="252" w:lineRule="auto"/>
        <w:ind w:right="87"/>
        <w:rPr>
          <w:rFonts w:ascii="仿宋" w:hAnsi="仿宋" w:eastAsia="仿宋" w:cs="仿宋"/>
          <w:sz w:val="27"/>
          <w:szCs w:val="27"/>
        </w:rPr>
      </w:pPr>
      <w:r>
        <w:rPr>
          <w:rFonts w:ascii="Times New Roman" w:hAnsi="Times New Roman" w:eastAsia="Times New Roman" w:cs="Times New Roman"/>
          <w:spacing w:val="9"/>
          <w:sz w:val="27"/>
          <w:szCs w:val="27"/>
        </w:rPr>
        <w:t xml:space="preserve">8.1     </w:t>
      </w:r>
      <w:r>
        <w:rPr>
          <w:rFonts w:ascii="仿宋" w:hAnsi="仿宋" w:eastAsia="仿宋" w:cs="仿宋"/>
          <w:spacing w:val="9"/>
          <w:sz w:val="27"/>
          <w:szCs w:val="27"/>
        </w:rPr>
        <w:t>合同成果指完成合同后所取得的实物成果和技术成果。本合同的研制成</w:t>
      </w:r>
      <w:r>
        <w:rPr>
          <w:rFonts w:ascii="仿宋" w:hAnsi="仿宋" w:eastAsia="仿宋" w:cs="仿宋"/>
          <w:sz w:val="27"/>
          <w:szCs w:val="27"/>
        </w:rPr>
        <w:t xml:space="preserve"> </w:t>
      </w:r>
      <w:r>
        <w:rPr>
          <w:rFonts w:ascii="仿宋" w:hAnsi="仿宋" w:eastAsia="仿宋" w:cs="仿宋"/>
          <w:spacing w:val="-1"/>
          <w:sz w:val="27"/>
          <w:szCs w:val="27"/>
        </w:rPr>
        <w:t>果属国家所有。</w:t>
      </w:r>
    </w:p>
    <w:p w14:paraId="613073D6">
      <w:pPr>
        <w:spacing w:before="83" w:line="221" w:lineRule="auto"/>
        <w:rPr>
          <w:rFonts w:ascii="仿宋" w:hAnsi="仿宋" w:eastAsia="仿宋" w:cs="仿宋"/>
          <w:sz w:val="27"/>
          <w:szCs w:val="27"/>
        </w:rPr>
      </w:pPr>
      <w:r>
        <w:rPr>
          <w:rFonts w:ascii="Times New Roman" w:hAnsi="Times New Roman" w:eastAsia="Times New Roman" w:cs="Times New Roman"/>
          <w:spacing w:val="1"/>
          <w:sz w:val="27"/>
          <w:szCs w:val="27"/>
        </w:rPr>
        <w:t>8.2</w:t>
      </w:r>
      <w:r>
        <w:rPr>
          <w:rFonts w:ascii="Times New Roman" w:hAnsi="Times New Roman" w:eastAsia="Times New Roman" w:cs="Times New Roman"/>
          <w:spacing w:val="9"/>
          <w:sz w:val="27"/>
          <w:szCs w:val="27"/>
        </w:rPr>
        <w:t xml:space="preserve">     </w:t>
      </w:r>
      <w:r>
        <w:rPr>
          <w:rFonts w:ascii="仿宋" w:hAnsi="仿宋" w:eastAsia="仿宋" w:cs="仿宋"/>
          <w:spacing w:val="1"/>
          <w:sz w:val="27"/>
          <w:szCs w:val="27"/>
        </w:rPr>
        <w:t>实物成果的归属</w:t>
      </w:r>
    </w:p>
    <w:p w14:paraId="692A9DD8">
      <w:pPr>
        <w:spacing w:before="95" w:line="219" w:lineRule="auto"/>
        <w:ind w:left="699"/>
        <w:rPr>
          <w:rFonts w:ascii="仿宋" w:hAnsi="仿宋" w:eastAsia="仿宋" w:cs="仿宋"/>
          <w:sz w:val="27"/>
          <w:szCs w:val="27"/>
        </w:rPr>
      </w:pPr>
      <w:r>
        <w:rPr>
          <w:rFonts w:ascii="仿宋" w:hAnsi="仿宋" w:eastAsia="仿宋" w:cs="仿宋"/>
          <w:spacing w:val="1"/>
          <w:sz w:val="27"/>
          <w:szCs w:val="27"/>
        </w:rPr>
        <w:t>科研样机归委托方所有。</w:t>
      </w:r>
    </w:p>
    <w:p w14:paraId="2C18C254">
      <w:pPr>
        <w:spacing w:before="110" w:line="282" w:lineRule="auto"/>
        <w:ind w:right="117" w:firstLine="560"/>
        <w:rPr>
          <w:rFonts w:ascii="仿宋" w:hAnsi="仿宋" w:eastAsia="仿宋" w:cs="仿宋"/>
          <w:sz w:val="25"/>
          <w:szCs w:val="25"/>
        </w:rPr>
      </w:pPr>
      <w:r>
        <w:rPr>
          <w:rFonts w:ascii="仿宋" w:hAnsi="仿宋" w:eastAsia="仿宋" w:cs="仿宋"/>
          <w:spacing w:val="9"/>
          <w:sz w:val="25"/>
          <w:szCs w:val="25"/>
        </w:rPr>
        <w:t>研制过程中制造、购置的专用测试仪器、产品及软件，属国有资产，归研制单</w:t>
      </w:r>
      <w:r>
        <w:rPr>
          <w:rFonts w:ascii="仿宋" w:hAnsi="仿宋" w:eastAsia="仿宋" w:cs="仿宋"/>
          <w:sz w:val="25"/>
          <w:szCs w:val="25"/>
        </w:rPr>
        <w:t xml:space="preserve"> </w:t>
      </w:r>
      <w:r>
        <w:rPr>
          <w:rFonts w:ascii="仿宋" w:hAnsi="仿宋" w:eastAsia="仿宋" w:cs="仿宋"/>
          <w:spacing w:val="13"/>
          <w:sz w:val="25"/>
          <w:szCs w:val="25"/>
        </w:rPr>
        <w:t>位所有。</w:t>
      </w:r>
    </w:p>
    <w:p w14:paraId="51A484E8">
      <w:pPr>
        <w:spacing w:before="24" w:line="219" w:lineRule="auto"/>
        <w:rPr>
          <w:rFonts w:ascii="仿宋" w:hAnsi="仿宋" w:eastAsia="仿宋" w:cs="仿宋"/>
          <w:sz w:val="27"/>
          <w:szCs w:val="27"/>
        </w:rPr>
      </w:pPr>
      <w:r>
        <w:rPr>
          <w:rFonts w:ascii="Times New Roman" w:hAnsi="Times New Roman" w:eastAsia="Times New Roman" w:cs="Times New Roman"/>
          <w:spacing w:val="1"/>
          <w:sz w:val="27"/>
          <w:szCs w:val="27"/>
        </w:rPr>
        <w:t>8.3</w:t>
      </w:r>
      <w:r>
        <w:rPr>
          <w:rFonts w:ascii="Times New Roman" w:hAnsi="Times New Roman" w:eastAsia="Times New Roman" w:cs="Times New Roman"/>
          <w:spacing w:val="10"/>
          <w:sz w:val="27"/>
          <w:szCs w:val="27"/>
        </w:rPr>
        <w:t xml:space="preserve">     </w:t>
      </w:r>
      <w:r>
        <w:rPr>
          <w:rFonts w:ascii="仿宋" w:hAnsi="仿宋" w:eastAsia="仿宋" w:cs="仿宋"/>
          <w:spacing w:val="1"/>
          <w:sz w:val="27"/>
          <w:szCs w:val="27"/>
        </w:rPr>
        <w:t>技术成果归属和转让</w:t>
      </w:r>
    </w:p>
    <w:p w14:paraId="4AC48358">
      <w:pPr>
        <w:spacing w:before="100" w:line="296" w:lineRule="auto"/>
        <w:ind w:right="115" w:firstLine="560"/>
        <w:rPr>
          <w:rFonts w:ascii="仿宋" w:hAnsi="仿宋" w:eastAsia="仿宋" w:cs="仿宋"/>
          <w:sz w:val="25"/>
          <w:szCs w:val="25"/>
        </w:rPr>
      </w:pPr>
      <w:r>
        <w:rPr>
          <w:rFonts w:ascii="仿宋" w:hAnsi="仿宋" w:eastAsia="仿宋" w:cs="仿宋"/>
          <w:spacing w:val="17"/>
          <w:sz w:val="25"/>
          <w:szCs w:val="25"/>
        </w:rPr>
        <w:t>研制方享有技术成果专利的申请权、持有权和非专利技术成果的使用</w:t>
      </w:r>
      <w:r>
        <w:rPr>
          <w:rFonts w:ascii="仿宋" w:hAnsi="仿宋" w:eastAsia="仿宋" w:cs="仿宋"/>
          <w:spacing w:val="16"/>
          <w:sz w:val="25"/>
          <w:szCs w:val="25"/>
        </w:rPr>
        <w:t>权、转</w:t>
      </w:r>
      <w:r>
        <w:rPr>
          <w:rFonts w:ascii="仿宋" w:hAnsi="仿宋" w:eastAsia="仿宋" w:cs="仿宋"/>
          <w:sz w:val="25"/>
          <w:szCs w:val="25"/>
        </w:rPr>
        <w:t xml:space="preserve"> </w:t>
      </w:r>
      <w:r>
        <w:rPr>
          <w:rFonts w:ascii="仿宋" w:hAnsi="仿宋" w:eastAsia="仿宋" w:cs="仿宋"/>
          <w:spacing w:val="22"/>
          <w:sz w:val="25"/>
          <w:szCs w:val="25"/>
        </w:rPr>
        <w:t>让权。技术成果转让须经委托方同意。</w:t>
      </w:r>
    </w:p>
    <w:p w14:paraId="20A356C4">
      <w:pPr>
        <w:spacing w:before="1" w:line="220" w:lineRule="auto"/>
        <w:rPr>
          <w:rFonts w:ascii="黑体" w:hAnsi="黑体" w:eastAsia="黑体" w:cs="黑体"/>
          <w:sz w:val="27"/>
          <w:szCs w:val="27"/>
        </w:rPr>
      </w:pPr>
      <w:r>
        <w:rPr>
          <w:rFonts w:ascii="黑体" w:hAnsi="黑体" w:eastAsia="黑体" w:cs="黑体"/>
          <w:spacing w:val="2"/>
          <w:sz w:val="27"/>
          <w:szCs w:val="27"/>
        </w:rPr>
        <w:t xml:space="preserve">9  </w:t>
      </w:r>
      <w:r>
        <w:rPr>
          <w:rFonts w:ascii="黑体" w:hAnsi="黑体" w:eastAsia="黑体" w:cs="黑体"/>
          <w:b/>
          <w:bCs/>
          <w:spacing w:val="2"/>
          <w:sz w:val="27"/>
          <w:szCs w:val="27"/>
        </w:rPr>
        <w:t>密级和保密事项</w:t>
      </w:r>
    </w:p>
    <w:p w14:paraId="64AFA830">
      <w:pPr>
        <w:spacing w:before="131" w:line="304" w:lineRule="auto"/>
        <w:ind w:right="102" w:firstLine="560"/>
        <w:jc w:val="both"/>
        <w:rPr>
          <w:rFonts w:ascii="宋体" w:hAnsi="宋体" w:eastAsia="宋体" w:cs="宋体"/>
          <w:sz w:val="25"/>
          <w:szCs w:val="25"/>
        </w:rPr>
      </w:pPr>
      <w:r>
        <w:rPr>
          <w:rFonts w:ascii="宋体" w:hAnsi="宋体" w:eastAsia="宋体" w:cs="宋体"/>
          <w:spacing w:val="26"/>
          <w:sz w:val="25"/>
          <w:szCs w:val="25"/>
        </w:rPr>
        <w:t>保密要求是装备合同条款的重要内容，凡是涉密</w:t>
      </w:r>
      <w:r>
        <w:rPr>
          <w:rFonts w:ascii="宋体" w:hAnsi="宋体" w:eastAsia="宋体" w:cs="宋体"/>
          <w:spacing w:val="25"/>
          <w:sz w:val="25"/>
          <w:szCs w:val="25"/>
        </w:rPr>
        <w:t>的装备合同项目必须执行</w:t>
      </w:r>
      <w:r>
        <w:rPr>
          <w:rFonts w:ascii="宋体" w:hAnsi="宋体" w:eastAsia="宋体" w:cs="宋体"/>
          <w:sz w:val="25"/>
          <w:szCs w:val="25"/>
        </w:rPr>
        <w:t xml:space="preserve"> </w:t>
      </w:r>
      <w:r>
        <w:rPr>
          <w:rFonts w:ascii="宋体" w:hAnsi="宋体" w:eastAsia="宋体" w:cs="宋体"/>
          <w:spacing w:val="17"/>
          <w:sz w:val="25"/>
          <w:szCs w:val="25"/>
        </w:rPr>
        <w:t>国家和军队的相关保密规定。合同应该明确装备合同项目的密级、保密期限、涉</w:t>
      </w:r>
      <w:r>
        <w:rPr>
          <w:rFonts w:ascii="宋体" w:hAnsi="宋体" w:eastAsia="宋体" w:cs="宋体"/>
          <w:spacing w:val="14"/>
          <w:sz w:val="25"/>
          <w:szCs w:val="25"/>
        </w:rPr>
        <w:t xml:space="preserve"> </w:t>
      </w:r>
      <w:r>
        <w:rPr>
          <w:rFonts w:ascii="宋体" w:hAnsi="宋体" w:eastAsia="宋体" w:cs="宋体"/>
          <w:spacing w:val="34"/>
          <w:sz w:val="25"/>
          <w:szCs w:val="25"/>
        </w:rPr>
        <w:t>密载体的管理要求、涉密人员和机构的管理要求</w:t>
      </w:r>
      <w:r>
        <w:rPr>
          <w:rFonts w:ascii="宋体" w:hAnsi="宋体" w:eastAsia="宋体" w:cs="宋体"/>
          <w:spacing w:val="33"/>
          <w:sz w:val="25"/>
          <w:szCs w:val="25"/>
        </w:rPr>
        <w:t>、密级的变更和解密规定等</w:t>
      </w:r>
    </w:p>
    <w:p w14:paraId="42E4DB2F">
      <w:pPr>
        <w:spacing w:line="304" w:lineRule="auto"/>
        <w:rPr>
          <w:rFonts w:ascii="宋体" w:hAnsi="宋体" w:eastAsia="宋体" w:cs="宋体"/>
          <w:sz w:val="25"/>
          <w:szCs w:val="25"/>
        </w:rPr>
        <w:sectPr>
          <w:footerReference r:id="rId46" w:type="default"/>
          <w:pgSz w:w="11910" w:h="17130"/>
          <w:pgMar w:top="400" w:right="1324" w:bottom="1646" w:left="1100" w:header="0" w:footer="1457" w:gutter="0"/>
          <w:cols w:space="720" w:num="1"/>
        </w:sectPr>
      </w:pPr>
    </w:p>
    <w:p w14:paraId="298D7337">
      <w:pPr>
        <w:pStyle w:val="2"/>
        <w:spacing w:line="277" w:lineRule="auto"/>
      </w:pPr>
    </w:p>
    <w:p w14:paraId="2EBF419A">
      <w:pPr>
        <w:pStyle w:val="2"/>
        <w:spacing w:line="277" w:lineRule="auto"/>
      </w:pPr>
    </w:p>
    <w:p w14:paraId="239BB81A">
      <w:pPr>
        <w:pStyle w:val="2"/>
        <w:spacing w:line="277" w:lineRule="auto"/>
      </w:pPr>
    </w:p>
    <w:p w14:paraId="71D64864">
      <w:pPr>
        <w:pStyle w:val="2"/>
        <w:spacing w:line="277" w:lineRule="auto"/>
      </w:pPr>
    </w:p>
    <w:p w14:paraId="14B1B0E5">
      <w:pPr>
        <w:spacing w:before="87" w:line="221" w:lineRule="auto"/>
        <w:rPr>
          <w:rFonts w:ascii="宋体" w:hAnsi="宋体" w:eastAsia="宋体" w:cs="宋体"/>
          <w:sz w:val="27"/>
          <w:szCs w:val="27"/>
        </w:rPr>
      </w:pPr>
      <w:r>
        <w:rPr>
          <w:rFonts w:ascii="宋体" w:hAnsi="宋体" w:eastAsia="宋体" w:cs="宋体"/>
          <w:spacing w:val="-2"/>
          <w:sz w:val="27"/>
          <w:szCs w:val="27"/>
        </w:rPr>
        <w:t>要求。</w:t>
      </w:r>
    </w:p>
    <w:p w14:paraId="0A98121D">
      <w:pPr>
        <w:spacing w:before="89" w:line="222" w:lineRule="auto"/>
        <w:rPr>
          <w:rFonts w:ascii="黑体" w:hAnsi="黑体" w:eastAsia="黑体" w:cs="黑体"/>
          <w:sz w:val="25"/>
          <w:szCs w:val="25"/>
        </w:rPr>
      </w:pPr>
      <w:r>
        <w:rPr>
          <w:rFonts w:ascii="黑体" w:hAnsi="黑体" w:eastAsia="黑体" w:cs="黑体"/>
          <w:spacing w:val="15"/>
          <w:sz w:val="25"/>
          <w:szCs w:val="25"/>
        </w:rPr>
        <w:t>10</w:t>
      </w:r>
      <w:r>
        <w:rPr>
          <w:rFonts w:ascii="黑体" w:hAnsi="黑体" w:eastAsia="黑体" w:cs="黑体"/>
          <w:spacing w:val="31"/>
          <w:sz w:val="25"/>
          <w:szCs w:val="25"/>
        </w:rPr>
        <w:t xml:space="preserve">  </w:t>
      </w:r>
      <w:r>
        <w:rPr>
          <w:rFonts w:ascii="黑体" w:hAnsi="黑体" w:eastAsia="黑体" w:cs="黑体"/>
          <w:b/>
          <w:bCs/>
          <w:spacing w:val="15"/>
          <w:sz w:val="25"/>
          <w:szCs w:val="25"/>
        </w:rPr>
        <w:t>合同的变更和解除</w:t>
      </w:r>
    </w:p>
    <w:p w14:paraId="010E220E">
      <w:pPr>
        <w:spacing w:before="104" w:line="219" w:lineRule="auto"/>
        <w:ind w:left="529"/>
        <w:rPr>
          <w:rFonts w:ascii="宋体" w:hAnsi="宋体" w:eastAsia="宋体" w:cs="宋体"/>
          <w:sz w:val="25"/>
          <w:szCs w:val="25"/>
        </w:rPr>
      </w:pPr>
      <w:r>
        <w:rPr>
          <w:rFonts w:ascii="宋体" w:hAnsi="宋体" w:eastAsia="宋体" w:cs="宋体"/>
          <w:spacing w:val="17"/>
          <w:sz w:val="25"/>
          <w:szCs w:val="25"/>
        </w:rPr>
        <w:t>应明确合同的变更、中止和解除的条件。示例：</w:t>
      </w:r>
    </w:p>
    <w:p w14:paraId="656906E5">
      <w:pPr>
        <w:spacing w:before="78" w:line="222" w:lineRule="auto"/>
        <w:rPr>
          <w:rFonts w:ascii="黑体" w:hAnsi="黑体" w:eastAsia="黑体" w:cs="黑体"/>
          <w:sz w:val="27"/>
          <w:szCs w:val="27"/>
        </w:rPr>
      </w:pPr>
      <w:r>
        <w:rPr>
          <w:rFonts w:ascii="黑体" w:hAnsi="黑体" w:eastAsia="黑体" w:cs="黑体"/>
          <w:spacing w:val="-4"/>
          <w:sz w:val="27"/>
          <w:szCs w:val="27"/>
        </w:rPr>
        <w:t>10.1</w:t>
      </w:r>
      <w:r>
        <w:rPr>
          <w:rFonts w:ascii="黑体" w:hAnsi="黑体" w:eastAsia="黑体" w:cs="黑体"/>
          <w:spacing w:val="29"/>
          <w:sz w:val="27"/>
          <w:szCs w:val="27"/>
        </w:rPr>
        <w:t xml:space="preserve">  </w:t>
      </w:r>
      <w:r>
        <w:rPr>
          <w:rFonts w:ascii="黑体" w:hAnsi="黑体" w:eastAsia="黑体" w:cs="黑体"/>
          <w:b/>
          <w:bCs/>
          <w:spacing w:val="-4"/>
          <w:sz w:val="27"/>
          <w:szCs w:val="27"/>
        </w:rPr>
        <w:t>变更条件</w:t>
      </w:r>
    </w:p>
    <w:p w14:paraId="6AD3806A">
      <w:pPr>
        <w:spacing w:before="60" w:line="212" w:lineRule="auto"/>
        <w:ind w:left="529"/>
        <w:rPr>
          <w:rFonts w:ascii="仿宋" w:hAnsi="仿宋" w:eastAsia="仿宋" w:cs="仿宋"/>
          <w:sz w:val="27"/>
          <w:szCs w:val="27"/>
        </w:rPr>
      </w:pPr>
      <w:r>
        <w:rPr>
          <w:rFonts w:ascii="Times New Roman" w:hAnsi="Times New Roman" w:eastAsia="Times New Roman" w:cs="Times New Roman"/>
          <w:spacing w:val="5"/>
          <w:sz w:val="27"/>
          <w:szCs w:val="27"/>
        </w:rPr>
        <w:t xml:space="preserve">a)  </w:t>
      </w:r>
      <w:r>
        <w:rPr>
          <w:rFonts w:ascii="仿宋" w:hAnsi="仿宋" w:eastAsia="仿宋" w:cs="仿宋"/>
          <w:spacing w:val="5"/>
          <w:sz w:val="27"/>
          <w:szCs w:val="27"/>
        </w:rPr>
        <w:t>订立合同所依据的国家计划被修改。</w:t>
      </w:r>
    </w:p>
    <w:p w14:paraId="6BC8C2DF">
      <w:pPr>
        <w:spacing w:before="110" w:line="212" w:lineRule="auto"/>
        <w:ind w:left="529"/>
        <w:rPr>
          <w:rFonts w:ascii="仿宋" w:hAnsi="仿宋" w:eastAsia="仿宋" w:cs="仿宋"/>
          <w:sz w:val="27"/>
          <w:szCs w:val="27"/>
        </w:rPr>
      </w:pPr>
      <w:r>
        <w:rPr>
          <w:rFonts w:ascii="Times New Roman" w:hAnsi="Times New Roman" w:eastAsia="Times New Roman" w:cs="Times New Roman"/>
          <w:spacing w:val="3"/>
          <w:sz w:val="27"/>
          <w:szCs w:val="27"/>
        </w:rPr>
        <w:t xml:space="preserve">b)  </w:t>
      </w:r>
      <w:r>
        <w:rPr>
          <w:rFonts w:ascii="仿宋" w:hAnsi="仿宋" w:eastAsia="仿宋" w:cs="仿宋"/>
          <w:spacing w:val="3"/>
          <w:sz w:val="27"/>
          <w:szCs w:val="27"/>
        </w:rPr>
        <w:t>发生不可抗力事件。</w:t>
      </w:r>
    </w:p>
    <w:p w14:paraId="7F4F228F">
      <w:pPr>
        <w:spacing w:before="59" w:line="270" w:lineRule="auto"/>
        <w:ind w:firstLine="529"/>
        <w:rPr>
          <w:rFonts w:ascii="仿宋" w:hAnsi="仿宋" w:eastAsia="仿宋" w:cs="仿宋"/>
          <w:sz w:val="27"/>
          <w:szCs w:val="27"/>
        </w:rPr>
      </w:pPr>
      <w:r>
        <w:rPr>
          <w:rFonts w:ascii="Times New Roman" w:hAnsi="Times New Roman" w:eastAsia="Times New Roman" w:cs="Times New Roman"/>
          <w:spacing w:val="3"/>
          <w:sz w:val="27"/>
          <w:szCs w:val="27"/>
        </w:rPr>
        <w:t xml:space="preserve">c)  </w:t>
      </w:r>
      <w:r>
        <w:rPr>
          <w:rFonts w:ascii="仿宋" w:hAnsi="仿宋" w:eastAsia="仿宋" w:cs="仿宋"/>
          <w:spacing w:val="3"/>
          <w:sz w:val="27"/>
          <w:szCs w:val="27"/>
        </w:rPr>
        <w:t>双方协商同意，经合同审批部门认可，并不因此损害国家利益和影响国</w:t>
      </w:r>
      <w:r>
        <w:rPr>
          <w:rFonts w:ascii="仿宋" w:hAnsi="仿宋" w:eastAsia="仿宋" w:cs="仿宋"/>
          <w:spacing w:val="12"/>
          <w:sz w:val="27"/>
          <w:szCs w:val="27"/>
        </w:rPr>
        <w:t xml:space="preserve"> </w:t>
      </w:r>
      <w:r>
        <w:rPr>
          <w:rFonts w:ascii="仿宋" w:hAnsi="仿宋" w:eastAsia="仿宋" w:cs="仿宋"/>
          <w:spacing w:val="2"/>
          <w:sz w:val="27"/>
          <w:szCs w:val="27"/>
        </w:rPr>
        <w:t>家武器装备研制计划的执行。</w:t>
      </w:r>
    </w:p>
    <w:p w14:paraId="0D761D9E">
      <w:pPr>
        <w:spacing w:before="61" w:line="212" w:lineRule="auto"/>
        <w:ind w:left="529"/>
        <w:rPr>
          <w:rFonts w:ascii="仿宋" w:hAnsi="仿宋" w:eastAsia="仿宋" w:cs="仿宋"/>
          <w:sz w:val="27"/>
          <w:szCs w:val="27"/>
        </w:rPr>
      </w:pPr>
      <w:r>
        <w:rPr>
          <w:rFonts w:ascii="Times New Roman" w:hAnsi="Times New Roman" w:eastAsia="Times New Roman" w:cs="Times New Roman"/>
          <w:spacing w:val="-4"/>
          <w:sz w:val="27"/>
          <w:szCs w:val="27"/>
        </w:rPr>
        <w:t>d)</w:t>
      </w:r>
      <w:r>
        <w:rPr>
          <w:rFonts w:ascii="Times New Roman" w:hAnsi="Times New Roman" w:eastAsia="Times New Roman" w:cs="Times New Roman"/>
          <w:spacing w:val="29"/>
          <w:w w:val="101"/>
          <w:sz w:val="27"/>
          <w:szCs w:val="27"/>
        </w:rPr>
        <w:t xml:space="preserve">  </w:t>
      </w:r>
      <w:r>
        <w:rPr>
          <w:rFonts w:ascii="仿宋" w:hAnsi="仿宋" w:eastAsia="仿宋" w:cs="仿宋"/>
          <w:spacing w:val="-4"/>
          <w:sz w:val="27"/>
          <w:szCs w:val="27"/>
        </w:rPr>
        <w:t>当事人一方违约，使合同无法按原条款</w:t>
      </w:r>
      <w:r>
        <w:rPr>
          <w:rFonts w:ascii="仿宋" w:hAnsi="仿宋" w:eastAsia="仿宋" w:cs="仿宋"/>
          <w:spacing w:val="-5"/>
          <w:sz w:val="27"/>
          <w:szCs w:val="27"/>
        </w:rPr>
        <w:t>履行。</w:t>
      </w:r>
    </w:p>
    <w:p w14:paraId="2CEE012B">
      <w:pPr>
        <w:spacing w:before="122" w:line="212" w:lineRule="auto"/>
        <w:ind w:left="529"/>
        <w:rPr>
          <w:rFonts w:ascii="仿宋" w:hAnsi="仿宋" w:eastAsia="仿宋" w:cs="仿宋"/>
          <w:sz w:val="25"/>
          <w:szCs w:val="25"/>
        </w:rPr>
      </w:pPr>
      <w:r>
        <w:rPr>
          <w:rFonts w:ascii="Times New Roman" w:hAnsi="Times New Roman" w:eastAsia="Times New Roman" w:cs="Times New Roman"/>
          <w:spacing w:val="16"/>
          <w:sz w:val="25"/>
          <w:szCs w:val="25"/>
        </w:rPr>
        <w:t xml:space="preserve">e)  </w:t>
      </w:r>
      <w:r>
        <w:rPr>
          <w:rFonts w:ascii="仿宋" w:hAnsi="仿宋" w:eastAsia="仿宋" w:cs="仿宋"/>
          <w:spacing w:val="16"/>
          <w:sz w:val="25"/>
          <w:szCs w:val="25"/>
        </w:rPr>
        <w:t>由于无法克服的技术困难，未达到合同约定要求。</w:t>
      </w:r>
    </w:p>
    <w:p w14:paraId="6164E5A8">
      <w:pPr>
        <w:spacing w:before="106" w:line="222" w:lineRule="auto"/>
        <w:rPr>
          <w:rFonts w:ascii="黑体" w:hAnsi="黑体" w:eastAsia="黑体" w:cs="黑体"/>
          <w:sz w:val="27"/>
          <w:szCs w:val="27"/>
        </w:rPr>
      </w:pPr>
      <w:r>
        <w:rPr>
          <w:rFonts w:ascii="黑体" w:hAnsi="黑体" w:eastAsia="黑体" w:cs="黑体"/>
          <w:spacing w:val="-2"/>
          <w:sz w:val="27"/>
          <w:szCs w:val="27"/>
        </w:rPr>
        <w:t>10.2</w:t>
      </w:r>
      <w:r>
        <w:rPr>
          <w:rFonts w:ascii="黑体" w:hAnsi="黑体" w:eastAsia="黑体" w:cs="黑体"/>
          <w:spacing w:val="21"/>
          <w:sz w:val="27"/>
          <w:szCs w:val="27"/>
        </w:rPr>
        <w:t xml:space="preserve">  </w:t>
      </w:r>
      <w:r>
        <w:rPr>
          <w:rFonts w:ascii="黑体" w:hAnsi="黑体" w:eastAsia="黑体" w:cs="黑体"/>
          <w:b/>
          <w:bCs/>
          <w:spacing w:val="-2"/>
          <w:sz w:val="27"/>
          <w:szCs w:val="27"/>
        </w:rPr>
        <w:t>解除条件</w:t>
      </w:r>
    </w:p>
    <w:p w14:paraId="448B33D7">
      <w:pPr>
        <w:spacing w:before="71" w:line="212" w:lineRule="auto"/>
        <w:ind w:left="529"/>
        <w:rPr>
          <w:rFonts w:ascii="仿宋" w:hAnsi="仿宋" w:eastAsia="仿宋" w:cs="仿宋"/>
          <w:sz w:val="27"/>
          <w:szCs w:val="27"/>
        </w:rPr>
      </w:pPr>
      <w:r>
        <w:rPr>
          <w:rFonts w:ascii="Times New Roman" w:hAnsi="Times New Roman" w:eastAsia="Times New Roman" w:cs="Times New Roman"/>
          <w:spacing w:val="3"/>
          <w:sz w:val="27"/>
          <w:szCs w:val="27"/>
        </w:rPr>
        <w:t xml:space="preserve">a)  </w:t>
      </w:r>
      <w:r>
        <w:rPr>
          <w:rFonts w:ascii="仿宋" w:hAnsi="仿宋" w:eastAsia="仿宋" w:cs="仿宋"/>
          <w:spacing w:val="3"/>
          <w:sz w:val="27"/>
          <w:szCs w:val="27"/>
        </w:rPr>
        <w:t>合同所依据的国家计划被取消。</w:t>
      </w:r>
    </w:p>
    <w:p w14:paraId="6021EAEA">
      <w:pPr>
        <w:spacing w:before="90" w:line="212" w:lineRule="auto"/>
        <w:ind w:left="529"/>
        <w:rPr>
          <w:rFonts w:ascii="仿宋" w:hAnsi="仿宋" w:eastAsia="仿宋" w:cs="仿宋"/>
          <w:sz w:val="27"/>
          <w:szCs w:val="27"/>
        </w:rPr>
      </w:pPr>
      <w:r>
        <w:rPr>
          <w:rFonts w:ascii="Times New Roman" w:hAnsi="Times New Roman" w:eastAsia="Times New Roman" w:cs="Times New Roman"/>
          <w:spacing w:val="3"/>
          <w:sz w:val="27"/>
          <w:szCs w:val="27"/>
        </w:rPr>
        <w:t xml:space="preserve">b)  </w:t>
      </w:r>
      <w:r>
        <w:rPr>
          <w:rFonts w:ascii="仿宋" w:hAnsi="仿宋" w:eastAsia="仿宋" w:cs="仿宋"/>
          <w:spacing w:val="3"/>
          <w:sz w:val="27"/>
          <w:szCs w:val="27"/>
        </w:rPr>
        <w:t>发生不可抗力事件。</w:t>
      </w:r>
    </w:p>
    <w:p w14:paraId="7CE8A53A">
      <w:pPr>
        <w:spacing w:before="124" w:line="222" w:lineRule="auto"/>
        <w:rPr>
          <w:rFonts w:ascii="黑体" w:hAnsi="黑体" w:eastAsia="黑体" w:cs="黑体"/>
          <w:sz w:val="27"/>
          <w:szCs w:val="27"/>
        </w:rPr>
      </w:pPr>
      <w:r>
        <w:rPr>
          <w:rFonts w:ascii="黑体" w:hAnsi="黑体" w:eastAsia="黑体" w:cs="黑体"/>
          <w:spacing w:val="-1"/>
          <w:sz w:val="27"/>
          <w:szCs w:val="27"/>
        </w:rPr>
        <w:t>10.3</w:t>
      </w:r>
      <w:r>
        <w:rPr>
          <w:rFonts w:ascii="黑体" w:hAnsi="黑体" w:eastAsia="黑体" w:cs="黑体"/>
          <w:spacing w:val="20"/>
          <w:sz w:val="27"/>
          <w:szCs w:val="27"/>
        </w:rPr>
        <w:t xml:space="preserve">  </w:t>
      </w:r>
      <w:r>
        <w:rPr>
          <w:rFonts w:ascii="黑体" w:hAnsi="黑体" w:eastAsia="黑体" w:cs="黑体"/>
          <w:b/>
          <w:bCs/>
          <w:spacing w:val="-1"/>
          <w:sz w:val="27"/>
          <w:szCs w:val="27"/>
        </w:rPr>
        <w:t>合同变更和解除的处理</w:t>
      </w:r>
    </w:p>
    <w:p w14:paraId="0CADE1C2">
      <w:pPr>
        <w:spacing w:before="41" w:line="269" w:lineRule="auto"/>
        <w:ind w:right="7" w:firstLine="529"/>
        <w:rPr>
          <w:rFonts w:ascii="仿宋" w:hAnsi="仿宋" w:eastAsia="仿宋" w:cs="仿宋"/>
          <w:sz w:val="27"/>
          <w:szCs w:val="27"/>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36"/>
          <w:sz w:val="27"/>
          <w:szCs w:val="27"/>
        </w:rPr>
        <w:t xml:space="preserve">  </w:t>
      </w:r>
      <w:r>
        <w:rPr>
          <w:rFonts w:ascii="仿宋" w:hAnsi="仿宋" w:eastAsia="仿宋" w:cs="仿宋"/>
          <w:spacing w:val="1"/>
          <w:sz w:val="27"/>
          <w:szCs w:val="27"/>
        </w:rPr>
        <w:t>当事人一方提出变更或解除合同时，应先征得审批机关认可，并及时通</w:t>
      </w:r>
      <w:r>
        <w:rPr>
          <w:rFonts w:ascii="仿宋" w:hAnsi="仿宋" w:eastAsia="仿宋" w:cs="仿宋"/>
          <w:sz w:val="27"/>
          <w:szCs w:val="27"/>
        </w:rPr>
        <w:t xml:space="preserve"> </w:t>
      </w:r>
      <w:r>
        <w:rPr>
          <w:rFonts w:ascii="仿宋" w:hAnsi="仿宋" w:eastAsia="仿宋" w:cs="仿宋"/>
          <w:spacing w:val="-3"/>
          <w:sz w:val="27"/>
          <w:szCs w:val="27"/>
        </w:rPr>
        <w:t>知对方，对方应在一个月内答复，逾期不答复即视为达成关于变更或解除合同的</w:t>
      </w:r>
      <w:r>
        <w:rPr>
          <w:rFonts w:ascii="仿宋" w:hAnsi="仿宋" w:eastAsia="仿宋" w:cs="仿宋"/>
          <w:spacing w:val="10"/>
          <w:sz w:val="27"/>
          <w:szCs w:val="27"/>
        </w:rPr>
        <w:t xml:space="preserve"> </w:t>
      </w:r>
      <w:r>
        <w:rPr>
          <w:rFonts w:ascii="仿宋" w:hAnsi="仿宋" w:eastAsia="仿宋" w:cs="仿宋"/>
          <w:spacing w:val="5"/>
          <w:sz w:val="27"/>
          <w:szCs w:val="27"/>
        </w:rPr>
        <w:t>协议。在未达成协议或上级未批准前，原合同依然有效。变更或解除合同的通</w:t>
      </w:r>
      <w:r>
        <w:rPr>
          <w:rFonts w:ascii="仿宋" w:hAnsi="仿宋" w:eastAsia="仿宋" w:cs="仿宋"/>
          <w:sz w:val="27"/>
          <w:szCs w:val="27"/>
        </w:rPr>
        <w:t xml:space="preserve"> </w:t>
      </w:r>
      <w:r>
        <w:rPr>
          <w:rFonts w:ascii="仿宋" w:hAnsi="仿宋" w:eastAsia="仿宋" w:cs="仿宋"/>
          <w:spacing w:val="-8"/>
          <w:sz w:val="27"/>
          <w:szCs w:val="27"/>
        </w:rPr>
        <w:t>知或协议，必须采取书面形式。</w:t>
      </w:r>
    </w:p>
    <w:p w14:paraId="7AFC350B">
      <w:pPr>
        <w:spacing w:before="88" w:line="272" w:lineRule="auto"/>
        <w:ind w:right="17" w:firstLine="529"/>
        <w:rPr>
          <w:rFonts w:ascii="仿宋" w:hAnsi="仿宋" w:eastAsia="仿宋" w:cs="仿宋"/>
          <w:sz w:val="25"/>
          <w:szCs w:val="25"/>
        </w:rPr>
      </w:pPr>
      <w:r>
        <w:rPr>
          <w:rFonts w:ascii="Times New Roman" w:hAnsi="Times New Roman" w:eastAsia="Times New Roman" w:cs="Times New Roman"/>
          <w:spacing w:val="20"/>
          <w:sz w:val="25"/>
          <w:szCs w:val="25"/>
        </w:rPr>
        <w:t>b)</w:t>
      </w:r>
      <w:r>
        <w:rPr>
          <w:rFonts w:ascii="Times New Roman" w:hAnsi="Times New Roman" w:eastAsia="Times New Roman" w:cs="Times New Roman"/>
          <w:spacing w:val="35"/>
          <w:w w:val="101"/>
          <w:sz w:val="25"/>
          <w:szCs w:val="25"/>
        </w:rPr>
        <w:t xml:space="preserve">  </w:t>
      </w:r>
      <w:r>
        <w:rPr>
          <w:rFonts w:ascii="仿宋" w:hAnsi="仿宋" w:eastAsia="仿宋" w:cs="仿宋"/>
          <w:spacing w:val="20"/>
          <w:sz w:val="25"/>
          <w:szCs w:val="25"/>
        </w:rPr>
        <w:t>当事人任一方未经对方同意及合同审批部门批准，不得擅自将审批生效</w:t>
      </w:r>
      <w:r>
        <w:rPr>
          <w:rFonts w:ascii="仿宋" w:hAnsi="仿宋" w:eastAsia="仿宋" w:cs="仿宋"/>
          <w:sz w:val="25"/>
          <w:szCs w:val="25"/>
        </w:rPr>
        <w:t xml:space="preserve"> </w:t>
      </w:r>
      <w:r>
        <w:rPr>
          <w:rFonts w:ascii="仿宋" w:hAnsi="仿宋" w:eastAsia="仿宋" w:cs="仿宋"/>
          <w:spacing w:val="18"/>
          <w:sz w:val="25"/>
          <w:szCs w:val="25"/>
        </w:rPr>
        <w:t>的合同转让其他单位。</w:t>
      </w:r>
    </w:p>
    <w:p w14:paraId="7C2B66A2">
      <w:pPr>
        <w:spacing w:before="72" w:line="261" w:lineRule="auto"/>
        <w:ind w:right="12" w:firstLine="529"/>
        <w:rPr>
          <w:rFonts w:ascii="仿宋" w:hAnsi="仿宋" w:eastAsia="仿宋" w:cs="仿宋"/>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42"/>
          <w:w w:val="101"/>
          <w:sz w:val="27"/>
          <w:szCs w:val="27"/>
        </w:rPr>
        <w:t xml:space="preserve"> </w:t>
      </w:r>
      <w:r>
        <w:rPr>
          <w:rFonts w:ascii="仿宋" w:hAnsi="仿宋" w:eastAsia="仿宋" w:cs="仿宋"/>
          <w:spacing w:val="4"/>
          <w:sz w:val="27"/>
          <w:szCs w:val="27"/>
        </w:rPr>
        <w:t>因变更或解除合同使一方或双方遭受的损失，责任方应向对方支付</w:t>
      </w:r>
      <w:r>
        <w:rPr>
          <w:rFonts w:ascii="仿宋" w:hAnsi="仿宋" w:eastAsia="仿宋" w:cs="仿宋"/>
          <w:spacing w:val="3"/>
          <w:sz w:val="27"/>
          <w:szCs w:val="27"/>
        </w:rPr>
        <w:t>赔偿</w:t>
      </w:r>
      <w:r>
        <w:rPr>
          <w:rFonts w:ascii="仿宋" w:hAnsi="仿宋" w:eastAsia="仿宋" w:cs="仿宋"/>
          <w:sz w:val="27"/>
          <w:szCs w:val="27"/>
        </w:rPr>
        <w:t xml:space="preserve"> </w:t>
      </w:r>
      <w:r>
        <w:rPr>
          <w:rFonts w:ascii="仿宋" w:hAnsi="仿宋" w:eastAsia="仿宋" w:cs="仿宋"/>
          <w:spacing w:val="-9"/>
          <w:sz w:val="27"/>
          <w:szCs w:val="27"/>
        </w:rPr>
        <w:t>金，赔偿金额由双方商定。</w:t>
      </w:r>
    </w:p>
    <w:p w14:paraId="28EFA38F">
      <w:pPr>
        <w:spacing w:before="36" w:line="271" w:lineRule="auto"/>
        <w:ind w:right="15" w:firstLine="529"/>
        <w:rPr>
          <w:rFonts w:ascii="仿宋" w:hAnsi="仿宋" w:eastAsia="仿宋" w:cs="仿宋"/>
          <w:sz w:val="27"/>
          <w:szCs w:val="27"/>
        </w:rPr>
      </w:pPr>
      <w:r>
        <w:rPr>
          <w:rFonts w:ascii="Times New Roman" w:hAnsi="Times New Roman" w:eastAsia="Times New Roman" w:cs="Times New Roman"/>
          <w:spacing w:val="10"/>
          <w:sz w:val="27"/>
          <w:szCs w:val="27"/>
        </w:rPr>
        <w:t xml:space="preserve">d)  </w:t>
      </w:r>
      <w:r>
        <w:rPr>
          <w:rFonts w:ascii="仿宋" w:hAnsi="仿宋" w:eastAsia="仿宋" w:cs="仿宋"/>
          <w:spacing w:val="10"/>
          <w:sz w:val="27"/>
          <w:szCs w:val="27"/>
        </w:rPr>
        <w:t>当事人一方因订立合同所依据的国家计划修改或取消而变更或解除合</w:t>
      </w:r>
      <w:r>
        <w:rPr>
          <w:rFonts w:ascii="仿宋" w:hAnsi="仿宋" w:eastAsia="仿宋" w:cs="仿宋"/>
          <w:spacing w:val="13"/>
          <w:sz w:val="27"/>
          <w:szCs w:val="27"/>
        </w:rPr>
        <w:t xml:space="preserve"> </w:t>
      </w:r>
      <w:r>
        <w:rPr>
          <w:rFonts w:ascii="仿宋" w:hAnsi="仿宋" w:eastAsia="仿宋" w:cs="仿宋"/>
          <w:spacing w:val="-10"/>
          <w:sz w:val="27"/>
          <w:szCs w:val="27"/>
        </w:rPr>
        <w:t>同，给另一方造成损失时，应经过协商，向另一方赔</w:t>
      </w:r>
      <w:r>
        <w:rPr>
          <w:rFonts w:ascii="仿宋" w:hAnsi="仿宋" w:eastAsia="仿宋" w:cs="仿宋"/>
          <w:spacing w:val="-11"/>
          <w:sz w:val="27"/>
          <w:szCs w:val="27"/>
        </w:rPr>
        <w:t>偿损失，再由上级主管部门对</w:t>
      </w:r>
      <w:r>
        <w:rPr>
          <w:rFonts w:ascii="仿宋" w:hAnsi="仿宋" w:eastAsia="仿宋" w:cs="仿宋"/>
          <w:sz w:val="27"/>
          <w:szCs w:val="27"/>
        </w:rPr>
        <w:t xml:space="preserve"> </w:t>
      </w:r>
      <w:r>
        <w:rPr>
          <w:rFonts w:ascii="仿宋" w:hAnsi="仿宋" w:eastAsia="仿宋" w:cs="仿宋"/>
          <w:spacing w:val="2"/>
          <w:sz w:val="27"/>
          <w:szCs w:val="27"/>
        </w:rPr>
        <w:t>其受到的损失进行协调处理。</w:t>
      </w:r>
    </w:p>
    <w:p w14:paraId="311017E5">
      <w:pPr>
        <w:spacing w:before="85" w:line="221" w:lineRule="auto"/>
        <w:rPr>
          <w:rFonts w:ascii="黑体" w:hAnsi="黑体" w:eastAsia="黑体" w:cs="黑体"/>
          <w:sz w:val="27"/>
          <w:szCs w:val="27"/>
        </w:rPr>
      </w:pPr>
      <w:r>
        <w:rPr>
          <w:rFonts w:ascii="黑体" w:hAnsi="黑体" w:eastAsia="黑体" w:cs="黑体"/>
          <w:spacing w:val="2"/>
          <w:sz w:val="27"/>
          <w:szCs w:val="27"/>
        </w:rPr>
        <w:t xml:space="preserve">11  </w:t>
      </w:r>
      <w:r>
        <w:rPr>
          <w:rFonts w:ascii="黑体" w:hAnsi="黑体" w:eastAsia="黑体" w:cs="黑体"/>
          <w:b/>
          <w:bCs/>
          <w:spacing w:val="2"/>
          <w:sz w:val="27"/>
          <w:szCs w:val="27"/>
        </w:rPr>
        <w:t>违约责任与合同鼓励</w:t>
      </w:r>
    </w:p>
    <w:p w14:paraId="054DDBB0">
      <w:pPr>
        <w:spacing w:before="73" w:line="219" w:lineRule="auto"/>
        <w:ind w:left="529"/>
        <w:rPr>
          <w:rFonts w:ascii="宋体" w:hAnsi="宋体" w:eastAsia="宋体" w:cs="宋体"/>
          <w:sz w:val="27"/>
          <w:szCs w:val="27"/>
        </w:rPr>
      </w:pPr>
      <w:r>
        <w:rPr>
          <w:rFonts w:ascii="宋体" w:hAnsi="宋体" w:eastAsia="宋体" w:cs="宋体"/>
          <w:spacing w:val="3"/>
          <w:sz w:val="27"/>
          <w:szCs w:val="27"/>
        </w:rPr>
        <w:t>应明确违约责任与合同鼓励等内容。示例：</w:t>
      </w:r>
    </w:p>
    <w:p w14:paraId="48CAB075">
      <w:pPr>
        <w:spacing w:before="113" w:line="221" w:lineRule="auto"/>
        <w:rPr>
          <w:rFonts w:ascii="黑体" w:hAnsi="黑体" w:eastAsia="黑体" w:cs="黑体"/>
          <w:sz w:val="24"/>
          <w:szCs w:val="24"/>
        </w:rPr>
      </w:pPr>
      <w:r>
        <w:rPr>
          <w:rFonts w:ascii="黑体" w:hAnsi="黑体" w:eastAsia="黑体" w:cs="黑体"/>
          <w:spacing w:val="14"/>
          <w:sz w:val="24"/>
          <w:szCs w:val="24"/>
        </w:rPr>
        <w:t>11.1</w:t>
      </w:r>
      <w:r>
        <w:rPr>
          <w:rFonts w:ascii="黑体" w:hAnsi="黑体" w:eastAsia="黑体" w:cs="黑体"/>
          <w:spacing w:val="2"/>
          <w:sz w:val="24"/>
          <w:szCs w:val="24"/>
        </w:rPr>
        <w:t xml:space="preserve">   </w:t>
      </w:r>
      <w:r>
        <w:rPr>
          <w:rFonts w:ascii="黑体" w:hAnsi="黑体" w:eastAsia="黑体" w:cs="黑体"/>
          <w:b/>
          <w:bCs/>
          <w:spacing w:val="14"/>
          <w:sz w:val="24"/>
          <w:szCs w:val="24"/>
        </w:rPr>
        <w:t>双方责任</w:t>
      </w:r>
    </w:p>
    <w:p w14:paraId="0F89D3BE">
      <w:pPr>
        <w:spacing w:before="135" w:line="221" w:lineRule="auto"/>
        <w:ind w:left="529"/>
        <w:rPr>
          <w:rFonts w:ascii="仿宋" w:hAnsi="仿宋" w:eastAsia="仿宋" w:cs="仿宋"/>
          <w:sz w:val="25"/>
          <w:szCs w:val="25"/>
        </w:rPr>
      </w:pPr>
      <w:r>
        <w:rPr>
          <w:rFonts w:ascii="仿宋" w:hAnsi="仿宋" w:eastAsia="仿宋" w:cs="仿宋"/>
          <w:spacing w:val="13"/>
          <w:sz w:val="25"/>
          <w:szCs w:val="25"/>
        </w:rPr>
        <w:t>合同一经生效，即具有法律效力，甲乙双方应严格履</w:t>
      </w:r>
      <w:r>
        <w:rPr>
          <w:rFonts w:ascii="仿宋" w:hAnsi="仿宋" w:eastAsia="仿宋" w:cs="仿宋"/>
          <w:spacing w:val="12"/>
          <w:sz w:val="25"/>
          <w:szCs w:val="25"/>
        </w:rPr>
        <w:t>行。</w:t>
      </w:r>
    </w:p>
    <w:p w14:paraId="733BDAB9">
      <w:pPr>
        <w:spacing w:before="89" w:line="221" w:lineRule="auto"/>
        <w:rPr>
          <w:rFonts w:ascii="黑体" w:hAnsi="黑体" w:eastAsia="黑体" w:cs="黑体"/>
          <w:sz w:val="25"/>
          <w:szCs w:val="25"/>
        </w:rPr>
      </w:pPr>
      <w:r>
        <w:rPr>
          <w:rFonts w:ascii="黑体" w:hAnsi="黑体" w:eastAsia="黑体" w:cs="黑体"/>
          <w:spacing w:val="9"/>
          <w:sz w:val="25"/>
          <w:szCs w:val="25"/>
        </w:rPr>
        <w:t>11.2</w:t>
      </w:r>
      <w:r>
        <w:rPr>
          <w:rFonts w:ascii="黑体" w:hAnsi="黑体" w:eastAsia="黑体" w:cs="黑体"/>
          <w:spacing w:val="48"/>
          <w:sz w:val="25"/>
          <w:szCs w:val="25"/>
        </w:rPr>
        <w:t xml:space="preserve">  </w:t>
      </w:r>
      <w:r>
        <w:rPr>
          <w:rFonts w:ascii="黑体" w:hAnsi="黑体" w:eastAsia="黑体" w:cs="黑体"/>
          <w:b/>
          <w:bCs/>
          <w:spacing w:val="9"/>
          <w:sz w:val="25"/>
          <w:szCs w:val="25"/>
        </w:rPr>
        <w:t>违约责任</w:t>
      </w:r>
    </w:p>
    <w:p w14:paraId="7F5EBE02">
      <w:pPr>
        <w:spacing w:before="105" w:line="272" w:lineRule="auto"/>
        <w:ind w:right="45" w:firstLine="529"/>
        <w:rPr>
          <w:rFonts w:ascii="仿宋" w:hAnsi="仿宋" w:eastAsia="仿宋" w:cs="仿宋"/>
          <w:sz w:val="27"/>
          <w:szCs w:val="27"/>
        </w:rPr>
      </w:pPr>
      <w:r>
        <w:rPr>
          <w:rFonts w:ascii="仿宋" w:hAnsi="仿宋" w:eastAsia="仿宋" w:cs="仿宋"/>
          <w:spacing w:val="-4"/>
          <w:sz w:val="27"/>
          <w:szCs w:val="27"/>
        </w:rPr>
        <w:t>除不可抗力给一方造成的损失外，任何一方因违约给另一方造成的损失，应</w:t>
      </w:r>
      <w:r>
        <w:rPr>
          <w:rFonts w:ascii="仿宋" w:hAnsi="仿宋" w:eastAsia="仿宋" w:cs="仿宋"/>
          <w:spacing w:val="8"/>
          <w:sz w:val="27"/>
          <w:szCs w:val="27"/>
        </w:rPr>
        <w:t xml:space="preserve"> </w:t>
      </w:r>
      <w:r>
        <w:rPr>
          <w:rFonts w:ascii="仿宋" w:hAnsi="仿宋" w:eastAsia="仿宋" w:cs="仿宋"/>
          <w:spacing w:val="3"/>
          <w:sz w:val="27"/>
          <w:szCs w:val="27"/>
        </w:rPr>
        <w:t>按所造成的实际损失的金额向对方进行赔偿。</w:t>
      </w:r>
    </w:p>
    <w:p w14:paraId="07AAB1DA">
      <w:pPr>
        <w:spacing w:before="41" w:line="322" w:lineRule="auto"/>
        <w:ind w:right="57" w:firstLine="529"/>
        <w:rPr>
          <w:rFonts w:ascii="仿宋" w:hAnsi="仿宋" w:eastAsia="仿宋" w:cs="仿宋"/>
          <w:sz w:val="24"/>
          <w:szCs w:val="24"/>
        </w:rPr>
      </w:pPr>
      <w:r>
        <w:rPr>
          <w:rFonts w:ascii="仿宋" w:hAnsi="仿宋" w:eastAsia="仿宋" w:cs="仿宋"/>
          <w:spacing w:val="25"/>
          <w:sz w:val="24"/>
          <w:szCs w:val="24"/>
        </w:rPr>
        <w:t>本合同内容若因乙方(研制方)原因，按规定的完成时间每延误一个月，甲方</w:t>
      </w:r>
      <w:r>
        <w:rPr>
          <w:rFonts w:ascii="仿宋" w:hAnsi="仿宋" w:eastAsia="仿宋" w:cs="仿宋"/>
          <w:spacing w:val="4"/>
          <w:sz w:val="24"/>
          <w:szCs w:val="24"/>
        </w:rPr>
        <w:t xml:space="preserve"> </w:t>
      </w:r>
      <w:r>
        <w:rPr>
          <w:rFonts w:ascii="仿宋" w:hAnsi="仿宋" w:eastAsia="仿宋" w:cs="仿宋"/>
          <w:spacing w:val="37"/>
          <w:sz w:val="24"/>
          <w:szCs w:val="24"/>
        </w:rPr>
        <w:t>(委托方)从乙方(研制方)总金额中扣除3%的费用</w:t>
      </w:r>
      <w:r>
        <w:rPr>
          <w:rFonts w:ascii="仿宋" w:hAnsi="仿宋" w:eastAsia="仿宋" w:cs="仿宋"/>
          <w:spacing w:val="36"/>
          <w:sz w:val="24"/>
          <w:szCs w:val="24"/>
        </w:rPr>
        <w:t>作为惩罚。</w:t>
      </w:r>
    </w:p>
    <w:p w14:paraId="07430738">
      <w:pPr>
        <w:spacing w:line="322" w:lineRule="auto"/>
        <w:rPr>
          <w:rFonts w:ascii="仿宋" w:hAnsi="仿宋" w:eastAsia="仿宋" w:cs="仿宋"/>
          <w:sz w:val="24"/>
          <w:szCs w:val="24"/>
        </w:rPr>
        <w:sectPr>
          <w:footerReference r:id="rId47" w:type="default"/>
          <w:pgSz w:w="11910" w:h="17130"/>
          <w:pgMar w:top="400" w:right="1066" w:bottom="1587" w:left="1480" w:header="0" w:footer="1371" w:gutter="0"/>
          <w:cols w:space="720" w:num="1"/>
        </w:sectPr>
      </w:pPr>
    </w:p>
    <w:p w14:paraId="703C1703">
      <w:pPr>
        <w:pStyle w:val="2"/>
        <w:spacing w:line="275" w:lineRule="auto"/>
      </w:pPr>
    </w:p>
    <w:p w14:paraId="0E65B362">
      <w:pPr>
        <w:pStyle w:val="2"/>
        <w:spacing w:line="275" w:lineRule="auto"/>
      </w:pPr>
    </w:p>
    <w:p w14:paraId="119647AA">
      <w:pPr>
        <w:pStyle w:val="2"/>
        <w:spacing w:line="276" w:lineRule="auto"/>
      </w:pPr>
    </w:p>
    <w:p w14:paraId="291BAD8D">
      <w:pPr>
        <w:pStyle w:val="2"/>
        <w:spacing w:line="276" w:lineRule="auto"/>
      </w:pPr>
    </w:p>
    <w:p w14:paraId="2699B7CB">
      <w:pPr>
        <w:pStyle w:val="2"/>
        <w:spacing w:before="88" w:line="222" w:lineRule="auto"/>
        <w:rPr>
          <w:rFonts w:ascii="黑体" w:hAnsi="黑体" w:eastAsia="黑体" w:cs="黑体"/>
          <w:sz w:val="27"/>
          <w:szCs w:val="27"/>
        </w:rPr>
      </w:pPr>
      <w:r>
        <w:rPr>
          <w:b/>
          <w:bCs/>
          <w:sz w:val="27"/>
          <w:szCs w:val="27"/>
        </w:rPr>
        <w:t xml:space="preserve">11.3    </w:t>
      </w:r>
      <w:r>
        <w:rPr>
          <w:rFonts w:ascii="黑体" w:hAnsi="黑体" w:eastAsia="黑体" w:cs="黑体"/>
          <w:b/>
          <w:bCs/>
          <w:sz w:val="27"/>
          <w:szCs w:val="27"/>
        </w:rPr>
        <w:t>合同鼓励</w:t>
      </w:r>
    </w:p>
    <w:p w14:paraId="586EEE90">
      <w:pPr>
        <w:spacing w:before="105" w:line="299" w:lineRule="auto"/>
        <w:ind w:right="108" w:firstLine="529"/>
        <w:rPr>
          <w:rFonts w:ascii="仿宋" w:hAnsi="仿宋" w:eastAsia="仿宋" w:cs="仿宋"/>
          <w:sz w:val="24"/>
          <w:szCs w:val="24"/>
        </w:rPr>
      </w:pPr>
      <w:r>
        <w:rPr>
          <w:rFonts w:ascii="仿宋" w:hAnsi="仿宋" w:eastAsia="仿宋" w:cs="仿宋"/>
          <w:spacing w:val="28"/>
          <w:sz w:val="24"/>
          <w:szCs w:val="24"/>
        </w:rPr>
        <w:t>乙方(研制方)按期完成合同规定的任务时，甲方(委托方)可视情给乙方(研</w:t>
      </w:r>
      <w:r>
        <w:rPr>
          <w:rFonts w:ascii="仿宋" w:hAnsi="仿宋" w:eastAsia="仿宋" w:cs="仿宋"/>
          <w:spacing w:val="5"/>
          <w:sz w:val="24"/>
          <w:szCs w:val="24"/>
        </w:rPr>
        <w:t xml:space="preserve"> </w:t>
      </w:r>
      <w:r>
        <w:rPr>
          <w:rFonts w:ascii="仿宋" w:hAnsi="仿宋" w:eastAsia="仿宋" w:cs="仿宋"/>
          <w:spacing w:val="12"/>
          <w:sz w:val="24"/>
          <w:szCs w:val="24"/>
        </w:rPr>
        <w:t>制方)</w:t>
      </w:r>
      <w:r>
        <w:rPr>
          <w:rFonts w:ascii="仿宋" w:hAnsi="仿宋" w:eastAsia="仿宋" w:cs="仿宋"/>
          <w:spacing w:val="-64"/>
          <w:sz w:val="24"/>
          <w:szCs w:val="24"/>
        </w:rPr>
        <w:t xml:space="preserve"> </w:t>
      </w:r>
      <w:r>
        <w:rPr>
          <w:rFonts w:ascii="仿宋" w:hAnsi="仿宋" w:eastAsia="仿宋" w:cs="仿宋"/>
          <w:spacing w:val="12"/>
          <w:sz w:val="24"/>
          <w:szCs w:val="24"/>
        </w:rPr>
        <w:t>一</w:t>
      </w:r>
      <w:r>
        <w:rPr>
          <w:rFonts w:ascii="仿宋" w:hAnsi="仿宋" w:eastAsia="仿宋" w:cs="仿宋"/>
          <w:spacing w:val="-66"/>
          <w:sz w:val="24"/>
          <w:szCs w:val="24"/>
        </w:rPr>
        <w:t xml:space="preserve"> </w:t>
      </w:r>
      <w:r>
        <w:rPr>
          <w:rFonts w:ascii="仿宋" w:hAnsi="仿宋" w:eastAsia="仿宋" w:cs="仿宋"/>
          <w:spacing w:val="12"/>
          <w:sz w:val="24"/>
          <w:szCs w:val="24"/>
        </w:rPr>
        <w:t>定的奖励。</w:t>
      </w:r>
    </w:p>
    <w:p w14:paraId="6A1A9BD9">
      <w:pPr>
        <w:spacing w:before="1" w:line="220" w:lineRule="auto"/>
        <w:rPr>
          <w:rFonts w:ascii="黑体" w:hAnsi="黑体" w:eastAsia="黑体" w:cs="黑体"/>
          <w:sz w:val="27"/>
          <w:szCs w:val="27"/>
        </w:rPr>
      </w:pPr>
      <w:r>
        <w:rPr>
          <w:rFonts w:ascii="黑体" w:hAnsi="黑体" w:eastAsia="黑体" w:cs="黑体"/>
          <w:spacing w:val="1"/>
          <w:sz w:val="27"/>
          <w:szCs w:val="27"/>
        </w:rPr>
        <w:t xml:space="preserve">12  </w:t>
      </w:r>
      <w:r>
        <w:rPr>
          <w:rFonts w:ascii="黑体" w:hAnsi="黑体" w:eastAsia="黑体" w:cs="黑体"/>
          <w:b/>
          <w:bCs/>
          <w:spacing w:val="1"/>
          <w:sz w:val="27"/>
          <w:szCs w:val="27"/>
        </w:rPr>
        <w:t>合同纠纷的处理方式</w:t>
      </w:r>
    </w:p>
    <w:p w14:paraId="08C4F86A">
      <w:pPr>
        <w:spacing w:before="83" w:line="219" w:lineRule="auto"/>
        <w:ind w:left="529"/>
        <w:rPr>
          <w:rFonts w:ascii="宋体" w:hAnsi="宋体" w:eastAsia="宋体" w:cs="宋体"/>
          <w:sz w:val="27"/>
          <w:szCs w:val="27"/>
        </w:rPr>
      </w:pPr>
      <w:r>
        <w:rPr>
          <w:rFonts w:ascii="宋体" w:hAnsi="宋体" w:eastAsia="宋体" w:cs="宋体"/>
          <w:spacing w:val="2"/>
          <w:sz w:val="27"/>
          <w:szCs w:val="27"/>
        </w:rPr>
        <w:t>应明确合同纠纷的处理方式等内容。示例：</w:t>
      </w:r>
    </w:p>
    <w:p w14:paraId="4945B98F">
      <w:pPr>
        <w:spacing w:before="103" w:line="222" w:lineRule="auto"/>
        <w:rPr>
          <w:rFonts w:ascii="黑体" w:hAnsi="黑体" w:eastAsia="黑体" w:cs="黑体"/>
          <w:sz w:val="25"/>
          <w:szCs w:val="25"/>
        </w:rPr>
      </w:pPr>
      <w:r>
        <w:rPr>
          <w:rFonts w:ascii="黑体" w:hAnsi="黑体" w:eastAsia="黑体" w:cs="黑体"/>
          <w:spacing w:val="-7"/>
          <w:sz w:val="25"/>
          <w:szCs w:val="25"/>
        </w:rPr>
        <w:t>12.1</w:t>
      </w:r>
      <w:r>
        <w:rPr>
          <w:rFonts w:ascii="黑体" w:hAnsi="黑体" w:eastAsia="黑体" w:cs="黑体"/>
          <w:spacing w:val="45"/>
          <w:sz w:val="25"/>
          <w:szCs w:val="25"/>
        </w:rPr>
        <w:t xml:space="preserve">  </w:t>
      </w:r>
      <w:r>
        <w:rPr>
          <w:rFonts w:ascii="黑体" w:hAnsi="黑体" w:eastAsia="黑体" w:cs="黑体"/>
          <w:b/>
          <w:bCs/>
          <w:spacing w:val="-7"/>
          <w:sz w:val="25"/>
          <w:szCs w:val="25"/>
        </w:rPr>
        <w:t>协</w:t>
      </w:r>
      <w:r>
        <w:rPr>
          <w:rFonts w:ascii="黑体" w:hAnsi="黑体" w:eastAsia="黑体" w:cs="黑体"/>
          <w:spacing w:val="-48"/>
          <w:sz w:val="25"/>
          <w:szCs w:val="25"/>
        </w:rPr>
        <w:t xml:space="preserve"> </w:t>
      </w:r>
      <w:r>
        <w:rPr>
          <w:rFonts w:ascii="黑体" w:hAnsi="黑体" w:eastAsia="黑体" w:cs="黑体"/>
          <w:b/>
          <w:bCs/>
          <w:spacing w:val="-7"/>
          <w:sz w:val="25"/>
          <w:szCs w:val="25"/>
        </w:rPr>
        <w:t>商</w:t>
      </w:r>
    </w:p>
    <w:p w14:paraId="788355E4">
      <w:pPr>
        <w:spacing w:before="121" w:line="299" w:lineRule="auto"/>
        <w:ind w:firstLine="529"/>
        <w:jc w:val="both"/>
        <w:rPr>
          <w:rFonts w:ascii="仿宋" w:hAnsi="仿宋" w:eastAsia="仿宋" w:cs="仿宋"/>
          <w:sz w:val="25"/>
          <w:szCs w:val="25"/>
        </w:rPr>
      </w:pPr>
      <w:r>
        <w:rPr>
          <w:rFonts w:ascii="仿宋" w:hAnsi="仿宋" w:eastAsia="仿宋" w:cs="仿宋"/>
          <w:spacing w:val="12"/>
          <w:sz w:val="25"/>
          <w:szCs w:val="25"/>
        </w:rPr>
        <w:t>本合同未尽事宜，应按《武器装备研制合同</w:t>
      </w:r>
      <w:r>
        <w:rPr>
          <w:rFonts w:ascii="仿宋" w:hAnsi="仿宋" w:eastAsia="仿宋" w:cs="仿宋"/>
          <w:spacing w:val="11"/>
          <w:sz w:val="25"/>
          <w:szCs w:val="25"/>
        </w:rPr>
        <w:t>暂行办法实施细则》的有关要求、</w:t>
      </w:r>
      <w:r>
        <w:rPr>
          <w:rFonts w:ascii="仿宋" w:hAnsi="仿宋" w:eastAsia="仿宋" w:cs="仿宋"/>
          <w:sz w:val="25"/>
          <w:szCs w:val="25"/>
        </w:rPr>
        <w:t xml:space="preserve"> </w:t>
      </w:r>
      <w:r>
        <w:rPr>
          <w:rFonts w:ascii="仿宋" w:hAnsi="仿宋" w:eastAsia="仿宋" w:cs="仿宋"/>
          <w:spacing w:val="17"/>
          <w:sz w:val="25"/>
          <w:szCs w:val="25"/>
        </w:rPr>
        <w:t>上级批准的有关文件精神执行，或由双方另行协商，或签订补充协议。在合同执</w:t>
      </w:r>
      <w:r>
        <w:rPr>
          <w:rFonts w:ascii="仿宋" w:hAnsi="仿宋" w:eastAsia="仿宋" w:cs="仿宋"/>
          <w:spacing w:val="4"/>
          <w:sz w:val="25"/>
          <w:szCs w:val="25"/>
        </w:rPr>
        <w:t xml:space="preserve"> </w:t>
      </w:r>
      <w:r>
        <w:rPr>
          <w:rFonts w:ascii="仿宋" w:hAnsi="仿宋" w:eastAsia="仿宋" w:cs="仿宋"/>
          <w:spacing w:val="14"/>
          <w:sz w:val="25"/>
          <w:szCs w:val="25"/>
        </w:rPr>
        <w:t>行过程中出现问题时，双方应协商解决。</w:t>
      </w:r>
    </w:p>
    <w:p w14:paraId="0A9A801C">
      <w:pPr>
        <w:spacing w:before="5" w:line="222" w:lineRule="auto"/>
        <w:rPr>
          <w:rFonts w:ascii="黑体" w:hAnsi="黑体" w:eastAsia="黑体" w:cs="黑体"/>
          <w:sz w:val="25"/>
          <w:szCs w:val="25"/>
        </w:rPr>
      </w:pPr>
      <w:r>
        <w:rPr>
          <w:rFonts w:ascii="黑体" w:hAnsi="黑体" w:eastAsia="黑体" w:cs="黑体"/>
          <w:spacing w:val="2"/>
          <w:sz w:val="25"/>
          <w:szCs w:val="25"/>
        </w:rPr>
        <w:t>12.2</w:t>
      </w:r>
      <w:r>
        <w:rPr>
          <w:rFonts w:ascii="黑体" w:hAnsi="黑体" w:eastAsia="黑体" w:cs="黑体"/>
          <w:spacing w:val="43"/>
          <w:sz w:val="25"/>
          <w:szCs w:val="25"/>
        </w:rPr>
        <w:t xml:space="preserve">  </w:t>
      </w:r>
      <w:r>
        <w:rPr>
          <w:rFonts w:ascii="黑体" w:hAnsi="黑体" w:eastAsia="黑体" w:cs="黑体"/>
          <w:b/>
          <w:bCs/>
          <w:spacing w:val="2"/>
          <w:sz w:val="25"/>
          <w:szCs w:val="25"/>
        </w:rPr>
        <w:t>调解</w:t>
      </w:r>
    </w:p>
    <w:p w14:paraId="3EDD3E7F">
      <w:pPr>
        <w:spacing w:before="118" w:line="220" w:lineRule="auto"/>
        <w:ind w:left="529"/>
        <w:rPr>
          <w:rFonts w:ascii="仿宋" w:hAnsi="仿宋" w:eastAsia="仿宋" w:cs="仿宋"/>
          <w:sz w:val="25"/>
          <w:szCs w:val="25"/>
        </w:rPr>
      </w:pPr>
      <w:r>
        <w:rPr>
          <w:rFonts w:ascii="仿宋" w:hAnsi="仿宋" w:eastAsia="仿宋" w:cs="仿宋"/>
          <w:spacing w:val="19"/>
          <w:sz w:val="25"/>
          <w:szCs w:val="25"/>
        </w:rPr>
        <w:t>双方发生纠纷不能解决时，应报请双方上级主</w:t>
      </w:r>
      <w:r>
        <w:rPr>
          <w:rFonts w:ascii="仿宋" w:hAnsi="仿宋" w:eastAsia="仿宋" w:cs="仿宋"/>
          <w:spacing w:val="18"/>
          <w:sz w:val="25"/>
          <w:szCs w:val="25"/>
        </w:rPr>
        <w:t>管部门进行调解。</w:t>
      </w:r>
    </w:p>
    <w:p w14:paraId="6D8303A8">
      <w:pPr>
        <w:spacing w:before="82" w:line="221" w:lineRule="auto"/>
        <w:rPr>
          <w:rFonts w:ascii="黑体" w:hAnsi="黑体" w:eastAsia="黑体" w:cs="黑体"/>
          <w:sz w:val="27"/>
          <w:szCs w:val="27"/>
        </w:rPr>
      </w:pPr>
      <w:r>
        <w:rPr>
          <w:rFonts w:ascii="黑体" w:hAnsi="黑体" w:eastAsia="黑体" w:cs="黑体"/>
          <w:spacing w:val="-7"/>
          <w:sz w:val="27"/>
          <w:szCs w:val="27"/>
        </w:rPr>
        <w:t>12.3</w:t>
      </w:r>
      <w:r>
        <w:rPr>
          <w:rFonts w:ascii="黑体" w:hAnsi="黑体" w:eastAsia="黑体" w:cs="黑体"/>
          <w:spacing w:val="15"/>
          <w:sz w:val="27"/>
          <w:szCs w:val="27"/>
        </w:rPr>
        <w:t xml:space="preserve">  </w:t>
      </w:r>
      <w:r>
        <w:rPr>
          <w:rFonts w:ascii="黑体" w:hAnsi="黑体" w:eastAsia="黑体" w:cs="黑体"/>
          <w:b/>
          <w:bCs/>
          <w:spacing w:val="-7"/>
          <w:sz w:val="27"/>
          <w:szCs w:val="27"/>
        </w:rPr>
        <w:t>仲裁</w:t>
      </w:r>
    </w:p>
    <w:p w14:paraId="6E1C35C6">
      <w:pPr>
        <w:spacing w:before="106" w:line="300" w:lineRule="auto"/>
        <w:ind w:firstLine="529"/>
        <w:jc w:val="both"/>
        <w:rPr>
          <w:rFonts w:ascii="仿宋" w:hAnsi="仿宋" w:eastAsia="仿宋" w:cs="仿宋"/>
          <w:sz w:val="25"/>
          <w:szCs w:val="25"/>
        </w:rPr>
      </w:pPr>
      <w:r>
        <w:rPr>
          <w:rFonts w:ascii="仿宋" w:hAnsi="仿宋" w:eastAsia="仿宋" w:cs="仿宋"/>
          <w:spacing w:val="19"/>
          <w:sz w:val="25"/>
          <w:szCs w:val="25"/>
        </w:rPr>
        <w:t>协商和调解无效时，当事人任何一方可向国家有关部门申请仲裁。在协商、</w:t>
      </w:r>
      <w:r>
        <w:rPr>
          <w:rFonts w:ascii="仿宋" w:hAnsi="仿宋" w:eastAsia="仿宋" w:cs="仿宋"/>
          <w:spacing w:val="17"/>
          <w:sz w:val="25"/>
          <w:szCs w:val="25"/>
        </w:rPr>
        <w:t xml:space="preserve"> </w:t>
      </w:r>
      <w:r>
        <w:rPr>
          <w:rFonts w:ascii="仿宋" w:hAnsi="仿宋" w:eastAsia="仿宋" w:cs="仿宋"/>
          <w:spacing w:val="10"/>
          <w:sz w:val="25"/>
          <w:szCs w:val="25"/>
        </w:rPr>
        <w:t>调解期间，双方应继续履行合同，尽量减少由于合同纠纷所造成的损失，</w:t>
      </w:r>
      <w:r>
        <w:rPr>
          <w:rFonts w:ascii="仿宋" w:hAnsi="仿宋" w:eastAsia="仿宋" w:cs="仿宋"/>
          <w:spacing w:val="9"/>
          <w:sz w:val="25"/>
          <w:szCs w:val="25"/>
        </w:rPr>
        <w:t>协商、调</w:t>
      </w:r>
      <w:r>
        <w:rPr>
          <w:rFonts w:ascii="仿宋" w:hAnsi="仿宋" w:eastAsia="仿宋" w:cs="仿宋"/>
          <w:sz w:val="25"/>
          <w:szCs w:val="25"/>
        </w:rPr>
        <w:t xml:space="preserve"> </w:t>
      </w:r>
      <w:r>
        <w:rPr>
          <w:rFonts w:ascii="仿宋" w:hAnsi="仿宋" w:eastAsia="仿宋" w:cs="仿宋"/>
          <w:spacing w:val="20"/>
          <w:sz w:val="25"/>
          <w:szCs w:val="25"/>
        </w:rPr>
        <w:t>解达成的协议双方均应履行。</w:t>
      </w:r>
    </w:p>
    <w:p w14:paraId="4DF6A55A">
      <w:pPr>
        <w:spacing w:before="4" w:line="222" w:lineRule="auto"/>
        <w:rPr>
          <w:rFonts w:ascii="黑体" w:hAnsi="黑体" w:eastAsia="黑体" w:cs="黑体"/>
          <w:sz w:val="25"/>
          <w:szCs w:val="25"/>
        </w:rPr>
      </w:pPr>
      <w:r>
        <w:rPr>
          <w:rFonts w:ascii="黑体" w:hAnsi="黑体" w:eastAsia="黑体" w:cs="黑体"/>
          <w:spacing w:val="1"/>
          <w:sz w:val="25"/>
          <w:szCs w:val="25"/>
        </w:rPr>
        <w:t>13</w:t>
      </w:r>
      <w:r>
        <w:rPr>
          <w:rFonts w:ascii="黑体" w:hAnsi="黑体" w:eastAsia="黑体" w:cs="黑体"/>
          <w:spacing w:val="28"/>
          <w:sz w:val="25"/>
          <w:szCs w:val="25"/>
        </w:rPr>
        <w:t xml:space="preserve">  </w:t>
      </w:r>
      <w:r>
        <w:rPr>
          <w:rFonts w:ascii="黑体" w:hAnsi="黑体" w:eastAsia="黑体" w:cs="黑体"/>
          <w:b/>
          <w:bCs/>
          <w:spacing w:val="1"/>
          <w:sz w:val="25"/>
          <w:szCs w:val="25"/>
        </w:rPr>
        <w:t>其他</w:t>
      </w:r>
    </w:p>
    <w:p w14:paraId="261AA923">
      <w:pPr>
        <w:spacing w:before="92" w:line="219" w:lineRule="auto"/>
        <w:ind w:left="529"/>
        <w:rPr>
          <w:rFonts w:ascii="宋体" w:hAnsi="宋体" w:eastAsia="宋体" w:cs="宋体"/>
          <w:sz w:val="27"/>
          <w:szCs w:val="27"/>
        </w:rPr>
      </w:pPr>
      <w:r>
        <w:rPr>
          <w:rFonts w:ascii="宋体" w:hAnsi="宋体" w:eastAsia="宋体" w:cs="宋体"/>
          <w:spacing w:val="-1"/>
          <w:sz w:val="27"/>
          <w:szCs w:val="27"/>
        </w:rPr>
        <w:t>对仍未明确的相关事项，合同当事人可在本条中明确规定。示例：</w:t>
      </w:r>
    </w:p>
    <w:p w14:paraId="4208B110">
      <w:pPr>
        <w:spacing w:before="75" w:line="221" w:lineRule="auto"/>
        <w:rPr>
          <w:rFonts w:ascii="黑体" w:hAnsi="黑体" w:eastAsia="黑体" w:cs="黑体"/>
          <w:sz w:val="27"/>
          <w:szCs w:val="27"/>
        </w:rPr>
      </w:pPr>
      <w:r>
        <w:rPr>
          <w:rFonts w:ascii="黑体" w:hAnsi="黑体" w:eastAsia="黑体" w:cs="黑体"/>
          <w:spacing w:val="-7"/>
          <w:sz w:val="27"/>
          <w:szCs w:val="27"/>
        </w:rPr>
        <w:t>13.1</w:t>
      </w:r>
      <w:r>
        <w:rPr>
          <w:rFonts w:ascii="黑体" w:hAnsi="黑体" w:eastAsia="黑体" w:cs="黑体"/>
          <w:spacing w:val="29"/>
          <w:sz w:val="27"/>
          <w:szCs w:val="27"/>
        </w:rPr>
        <w:t xml:space="preserve">  </w:t>
      </w:r>
      <w:r>
        <w:rPr>
          <w:rFonts w:ascii="黑体" w:hAnsi="黑体" w:eastAsia="黑体" w:cs="黑体"/>
          <w:b/>
          <w:bCs/>
          <w:spacing w:val="-7"/>
          <w:sz w:val="27"/>
          <w:szCs w:val="27"/>
        </w:rPr>
        <w:t>合同生效</w:t>
      </w:r>
    </w:p>
    <w:p w14:paraId="5D271083">
      <w:pPr>
        <w:spacing w:before="140" w:line="222" w:lineRule="auto"/>
        <w:ind w:left="529"/>
        <w:rPr>
          <w:rFonts w:ascii="仿宋" w:hAnsi="仿宋" w:eastAsia="仿宋" w:cs="仿宋"/>
          <w:sz w:val="24"/>
          <w:szCs w:val="24"/>
        </w:rPr>
      </w:pPr>
      <w:r>
        <w:rPr>
          <w:rFonts w:ascii="仿宋" w:hAnsi="仿宋" w:eastAsia="仿宋" w:cs="仿宋"/>
          <w:spacing w:val="31"/>
          <w:sz w:val="24"/>
          <w:szCs w:val="24"/>
        </w:rPr>
        <w:t>本合同经甲乙双方代表签字盖章后正式生效。</w:t>
      </w:r>
    </w:p>
    <w:p w14:paraId="395EEE86">
      <w:pPr>
        <w:spacing w:before="90" w:line="223" w:lineRule="auto"/>
        <w:rPr>
          <w:rFonts w:ascii="黑体" w:hAnsi="黑体" w:eastAsia="黑体" w:cs="黑体"/>
          <w:sz w:val="25"/>
          <w:szCs w:val="25"/>
        </w:rPr>
      </w:pPr>
      <w:r>
        <w:rPr>
          <w:rFonts w:ascii="黑体" w:hAnsi="黑体" w:eastAsia="黑体" w:cs="黑体"/>
          <w:spacing w:val="7"/>
          <w:sz w:val="25"/>
          <w:szCs w:val="25"/>
        </w:rPr>
        <w:t>13.2</w:t>
      </w:r>
      <w:r>
        <w:rPr>
          <w:rFonts w:ascii="黑体" w:hAnsi="黑体" w:eastAsia="黑体" w:cs="黑体"/>
          <w:spacing w:val="46"/>
          <w:sz w:val="25"/>
          <w:szCs w:val="25"/>
        </w:rPr>
        <w:t xml:space="preserve">  </w:t>
      </w:r>
      <w:r>
        <w:rPr>
          <w:rFonts w:ascii="黑体" w:hAnsi="黑体" w:eastAsia="黑体" w:cs="黑体"/>
          <w:b/>
          <w:bCs/>
          <w:spacing w:val="7"/>
          <w:sz w:val="25"/>
          <w:szCs w:val="25"/>
        </w:rPr>
        <w:t>合同终止</w:t>
      </w:r>
    </w:p>
    <w:p w14:paraId="2BD99845">
      <w:pPr>
        <w:spacing w:before="126" w:line="219" w:lineRule="auto"/>
        <w:ind w:left="529"/>
        <w:rPr>
          <w:rFonts w:ascii="仿宋" w:hAnsi="仿宋" w:eastAsia="仿宋" w:cs="仿宋"/>
          <w:sz w:val="25"/>
          <w:szCs w:val="25"/>
        </w:rPr>
      </w:pPr>
      <w:r>
        <w:rPr>
          <w:rFonts w:ascii="仿宋" w:hAnsi="仿宋" w:eastAsia="仿宋" w:cs="仿宋"/>
          <w:spacing w:val="18"/>
          <w:sz w:val="25"/>
          <w:szCs w:val="25"/>
        </w:rPr>
        <w:t>合同甲方在验收证书上签署意见并盖章后，合同正</w:t>
      </w:r>
      <w:r>
        <w:rPr>
          <w:rFonts w:ascii="仿宋" w:hAnsi="仿宋" w:eastAsia="仿宋" w:cs="仿宋"/>
          <w:spacing w:val="17"/>
          <w:sz w:val="25"/>
          <w:szCs w:val="25"/>
        </w:rPr>
        <w:t>式终止。</w:t>
      </w:r>
    </w:p>
    <w:p w14:paraId="6DB876B6">
      <w:pPr>
        <w:spacing w:before="105" w:line="222" w:lineRule="auto"/>
        <w:rPr>
          <w:rFonts w:ascii="黑体" w:hAnsi="黑体" w:eastAsia="黑体" w:cs="黑体"/>
          <w:sz w:val="24"/>
          <w:szCs w:val="24"/>
        </w:rPr>
      </w:pPr>
      <w:r>
        <w:rPr>
          <w:rFonts w:ascii="黑体" w:hAnsi="黑体" w:eastAsia="黑体" w:cs="黑体"/>
          <w:spacing w:val="12"/>
          <w:sz w:val="24"/>
          <w:szCs w:val="24"/>
        </w:rPr>
        <w:t>13.3</w:t>
      </w:r>
      <w:r>
        <w:rPr>
          <w:rFonts w:ascii="黑体" w:hAnsi="黑体" w:eastAsia="黑体" w:cs="黑体"/>
          <w:spacing w:val="60"/>
          <w:sz w:val="24"/>
          <w:szCs w:val="24"/>
        </w:rPr>
        <w:t xml:space="preserve">  </w:t>
      </w:r>
      <w:r>
        <w:rPr>
          <w:rFonts w:ascii="黑体" w:hAnsi="黑体" w:eastAsia="黑体" w:cs="黑体"/>
          <w:b/>
          <w:bCs/>
          <w:spacing w:val="12"/>
          <w:sz w:val="24"/>
          <w:szCs w:val="24"/>
        </w:rPr>
        <w:t>合同补充</w:t>
      </w:r>
    </w:p>
    <w:p w14:paraId="3E95E750">
      <w:pPr>
        <w:spacing w:before="121" w:line="221" w:lineRule="auto"/>
        <w:ind w:left="529"/>
        <w:rPr>
          <w:rFonts w:ascii="仿宋" w:hAnsi="仿宋" w:eastAsia="仿宋" w:cs="仿宋"/>
          <w:sz w:val="25"/>
          <w:szCs w:val="25"/>
        </w:rPr>
      </w:pPr>
      <w:r>
        <w:rPr>
          <w:rFonts w:ascii="仿宋" w:hAnsi="仿宋" w:eastAsia="仿宋" w:cs="仿宋"/>
          <w:spacing w:val="18"/>
          <w:sz w:val="25"/>
          <w:szCs w:val="25"/>
        </w:rPr>
        <w:t>对履行本合同中遇到的未尽事宜，双方可另</w:t>
      </w:r>
      <w:r>
        <w:rPr>
          <w:rFonts w:ascii="仿宋" w:hAnsi="仿宋" w:eastAsia="仿宋" w:cs="仿宋"/>
          <w:spacing w:val="17"/>
          <w:sz w:val="25"/>
          <w:szCs w:val="25"/>
        </w:rPr>
        <w:t>签补充合同。</w:t>
      </w:r>
    </w:p>
    <w:p w14:paraId="2CA95FC1">
      <w:pPr>
        <w:spacing w:before="70" w:line="222" w:lineRule="auto"/>
        <w:rPr>
          <w:rFonts w:ascii="黑体" w:hAnsi="黑体" w:eastAsia="黑体" w:cs="黑体"/>
          <w:sz w:val="27"/>
          <w:szCs w:val="27"/>
        </w:rPr>
      </w:pPr>
      <w:r>
        <w:rPr>
          <w:rFonts w:ascii="黑体" w:hAnsi="黑体" w:eastAsia="黑体" w:cs="黑体"/>
          <w:spacing w:val="-3"/>
          <w:sz w:val="27"/>
          <w:szCs w:val="27"/>
        </w:rPr>
        <w:t>13.4</w:t>
      </w:r>
      <w:r>
        <w:rPr>
          <w:rFonts w:ascii="黑体" w:hAnsi="黑体" w:eastAsia="黑体" w:cs="黑体"/>
          <w:spacing w:val="15"/>
          <w:sz w:val="27"/>
          <w:szCs w:val="27"/>
        </w:rPr>
        <w:t xml:space="preserve">  </w:t>
      </w:r>
      <w:r>
        <w:rPr>
          <w:rFonts w:ascii="黑体" w:hAnsi="黑体" w:eastAsia="黑体" w:cs="黑体"/>
          <w:b/>
          <w:bCs/>
          <w:spacing w:val="-3"/>
          <w:sz w:val="27"/>
          <w:szCs w:val="27"/>
        </w:rPr>
        <w:t>合同文本</w:t>
      </w:r>
    </w:p>
    <w:p w14:paraId="07AEBF93">
      <w:pPr>
        <w:spacing w:before="129" w:line="222" w:lineRule="auto"/>
        <w:ind w:left="529"/>
        <w:rPr>
          <w:rFonts w:ascii="仿宋" w:hAnsi="仿宋" w:eastAsia="仿宋" w:cs="仿宋"/>
          <w:sz w:val="25"/>
          <w:szCs w:val="25"/>
        </w:rPr>
      </w:pPr>
      <w:r>
        <w:rPr>
          <w:rFonts w:ascii="仿宋" w:hAnsi="仿宋" w:eastAsia="仿宋" w:cs="仿宋"/>
          <w:spacing w:val="6"/>
          <w:sz w:val="25"/>
          <w:szCs w:val="25"/>
        </w:rPr>
        <w:t>本合同一式×份，甲方×份、乙方×份。</w:t>
      </w:r>
    </w:p>
    <w:p w14:paraId="5E445568">
      <w:pPr>
        <w:spacing w:before="75" w:line="221" w:lineRule="auto"/>
        <w:rPr>
          <w:rFonts w:ascii="黑体" w:hAnsi="黑体" w:eastAsia="黑体" w:cs="黑体"/>
          <w:sz w:val="27"/>
          <w:szCs w:val="27"/>
        </w:rPr>
      </w:pPr>
      <w:r>
        <w:rPr>
          <w:rFonts w:ascii="黑体" w:hAnsi="黑体" w:eastAsia="黑体" w:cs="黑体"/>
          <w:spacing w:val="-6"/>
          <w:sz w:val="27"/>
          <w:szCs w:val="27"/>
        </w:rPr>
        <w:t>13.5</w:t>
      </w:r>
      <w:r>
        <w:rPr>
          <w:rFonts w:ascii="黑体" w:hAnsi="黑体" w:eastAsia="黑体" w:cs="黑体"/>
          <w:spacing w:val="14"/>
          <w:sz w:val="27"/>
          <w:szCs w:val="27"/>
        </w:rPr>
        <w:t xml:space="preserve">  </w:t>
      </w:r>
      <w:r>
        <w:rPr>
          <w:rFonts w:ascii="黑体" w:hAnsi="黑体" w:eastAsia="黑体" w:cs="黑体"/>
          <w:b/>
          <w:bCs/>
          <w:spacing w:val="-6"/>
          <w:sz w:val="27"/>
          <w:szCs w:val="27"/>
        </w:rPr>
        <w:t>有效期</w:t>
      </w:r>
    </w:p>
    <w:p w14:paraId="45091BAB">
      <w:pPr>
        <w:spacing w:before="102" w:line="222" w:lineRule="auto"/>
        <w:ind w:left="529"/>
        <w:rPr>
          <w:rFonts w:ascii="仿宋" w:hAnsi="仿宋" w:eastAsia="仿宋" w:cs="仿宋"/>
          <w:sz w:val="27"/>
          <w:szCs w:val="27"/>
        </w:rPr>
      </w:pPr>
      <w:r>
        <w:rPr>
          <w:rFonts w:ascii="仿宋" w:hAnsi="仿宋" w:eastAsia="仿宋" w:cs="仿宋"/>
          <w:spacing w:val="1"/>
          <w:sz w:val="27"/>
          <w:szCs w:val="27"/>
        </w:rPr>
        <w:t>本合同有效期为×年。</w:t>
      </w:r>
    </w:p>
    <w:p w14:paraId="7E1701DC">
      <w:pPr>
        <w:spacing w:before="95" w:line="224" w:lineRule="auto"/>
        <w:rPr>
          <w:rFonts w:ascii="黑体" w:hAnsi="黑体" w:eastAsia="黑体" w:cs="黑体"/>
          <w:sz w:val="24"/>
          <w:szCs w:val="24"/>
        </w:rPr>
      </w:pPr>
      <w:r>
        <w:rPr>
          <w:rFonts w:ascii="黑体" w:hAnsi="黑体" w:eastAsia="黑体" w:cs="黑体"/>
          <w:spacing w:val="-13"/>
          <w:sz w:val="24"/>
          <w:szCs w:val="24"/>
        </w:rPr>
        <w:t>14</w:t>
      </w:r>
      <w:r>
        <w:rPr>
          <w:rFonts w:ascii="黑体" w:hAnsi="黑体" w:eastAsia="黑体" w:cs="黑体"/>
          <w:spacing w:val="38"/>
          <w:sz w:val="24"/>
          <w:szCs w:val="24"/>
        </w:rPr>
        <w:t xml:space="preserve">  </w:t>
      </w:r>
      <w:r>
        <w:rPr>
          <w:rFonts w:ascii="黑体" w:hAnsi="黑体" w:eastAsia="黑体" w:cs="黑体"/>
          <w:b/>
          <w:bCs/>
          <w:spacing w:val="-13"/>
          <w:sz w:val="24"/>
          <w:szCs w:val="24"/>
        </w:rPr>
        <w:t>附</w:t>
      </w:r>
      <w:r>
        <w:rPr>
          <w:rFonts w:ascii="黑体" w:hAnsi="黑体" w:eastAsia="黑体" w:cs="黑体"/>
          <w:spacing w:val="-35"/>
          <w:sz w:val="24"/>
          <w:szCs w:val="24"/>
        </w:rPr>
        <w:t xml:space="preserve"> </w:t>
      </w:r>
      <w:r>
        <w:rPr>
          <w:rFonts w:ascii="黑体" w:hAnsi="黑体" w:eastAsia="黑体" w:cs="黑体"/>
          <w:b/>
          <w:bCs/>
          <w:spacing w:val="-13"/>
          <w:sz w:val="24"/>
          <w:szCs w:val="24"/>
        </w:rPr>
        <w:t>件</w:t>
      </w:r>
    </w:p>
    <w:p w14:paraId="45573BE1">
      <w:pPr>
        <w:pStyle w:val="2"/>
        <w:spacing w:before="114" w:line="221" w:lineRule="auto"/>
        <w:rPr>
          <w:rFonts w:ascii="黑体" w:hAnsi="黑体" w:eastAsia="黑体" w:cs="黑体"/>
          <w:sz w:val="24"/>
          <w:szCs w:val="24"/>
        </w:rPr>
      </w:pPr>
      <w:r>
        <w:rPr>
          <w:rFonts w:ascii="黑体" w:hAnsi="黑体" w:eastAsia="黑体" w:cs="黑体"/>
          <w:spacing w:val="-1"/>
          <w:sz w:val="24"/>
          <w:szCs w:val="24"/>
        </w:rPr>
        <w:t xml:space="preserve">14.1   </w:t>
      </w:r>
      <w:r>
        <w:rPr>
          <w:rFonts w:ascii="黑体" w:hAnsi="黑体" w:eastAsia="黑体" w:cs="黑体"/>
          <w:b/>
          <w:bCs/>
          <w:spacing w:val="-1"/>
          <w:sz w:val="24"/>
          <w:szCs w:val="24"/>
        </w:rPr>
        <w:t>附</w:t>
      </w:r>
      <w:r>
        <w:rPr>
          <w:rFonts w:ascii="黑体" w:hAnsi="黑体" w:eastAsia="黑体" w:cs="黑体"/>
          <w:spacing w:val="-25"/>
          <w:sz w:val="24"/>
          <w:szCs w:val="24"/>
        </w:rPr>
        <w:t xml:space="preserve"> </w:t>
      </w:r>
      <w:r>
        <w:rPr>
          <w:rFonts w:ascii="黑体" w:hAnsi="黑体" w:eastAsia="黑体" w:cs="黑体"/>
          <w:b/>
          <w:bCs/>
          <w:spacing w:val="-1"/>
          <w:sz w:val="24"/>
          <w:szCs w:val="24"/>
        </w:rPr>
        <w:t>件</w:t>
      </w:r>
      <w:r>
        <w:rPr>
          <w:rFonts w:ascii="黑体" w:hAnsi="黑体" w:eastAsia="黑体" w:cs="黑体"/>
          <w:spacing w:val="-57"/>
          <w:sz w:val="24"/>
          <w:szCs w:val="24"/>
        </w:rPr>
        <w:t xml:space="preserve"> </w:t>
      </w:r>
      <w:r>
        <w:rPr>
          <w:b/>
          <w:bCs/>
          <w:spacing w:val="-1"/>
          <w:sz w:val="24"/>
          <w:szCs w:val="24"/>
        </w:rPr>
        <w:t>A</w:t>
      </w:r>
      <w:r>
        <w:rPr>
          <w:rFonts w:ascii="宋体" w:hAnsi="宋体" w:eastAsia="宋体" w:cs="宋体"/>
          <w:b/>
          <w:bCs/>
          <w:spacing w:val="-1"/>
          <w:sz w:val="24"/>
          <w:szCs w:val="24"/>
        </w:rPr>
        <w:t>《</w:t>
      </w:r>
      <w:r>
        <w:rPr>
          <w:rFonts w:ascii="黑体" w:hAnsi="黑体" w:eastAsia="黑体" w:cs="黑体"/>
          <w:b/>
          <w:bCs/>
          <w:spacing w:val="-1"/>
          <w:sz w:val="24"/>
          <w:szCs w:val="24"/>
        </w:rPr>
        <w:t>工作说明》</w:t>
      </w:r>
    </w:p>
    <w:p w14:paraId="6F9AC988">
      <w:pPr>
        <w:spacing w:before="127" w:line="219" w:lineRule="auto"/>
        <w:ind w:left="529"/>
        <w:rPr>
          <w:rFonts w:ascii="宋体" w:hAnsi="宋体" w:eastAsia="宋体" w:cs="宋体"/>
          <w:sz w:val="27"/>
          <w:szCs w:val="27"/>
        </w:rPr>
      </w:pPr>
      <w:r>
        <w:rPr>
          <w:rFonts w:ascii="宋体" w:hAnsi="宋体" w:eastAsia="宋体" w:cs="宋体"/>
          <w:spacing w:val="-10"/>
          <w:sz w:val="27"/>
          <w:szCs w:val="27"/>
        </w:rPr>
        <w:t>按照本书1.10《工作说明》编写说明编写并提供合同附件《工作说明》。</w:t>
      </w:r>
    </w:p>
    <w:p w14:paraId="2A97D518">
      <w:pPr>
        <w:pStyle w:val="2"/>
        <w:spacing w:before="66" w:line="222" w:lineRule="auto"/>
        <w:rPr>
          <w:rFonts w:ascii="黑体" w:hAnsi="黑体" w:eastAsia="黑体" w:cs="黑体"/>
          <w:sz w:val="27"/>
          <w:szCs w:val="27"/>
        </w:rPr>
      </w:pPr>
      <w:r>
        <w:rPr>
          <w:rFonts w:ascii="黑体" w:hAnsi="黑体" w:eastAsia="黑体" w:cs="黑体"/>
          <w:spacing w:val="-10"/>
          <w:sz w:val="27"/>
          <w:szCs w:val="27"/>
        </w:rPr>
        <w:t>14.2</w:t>
      </w:r>
      <w:r>
        <w:rPr>
          <w:rFonts w:ascii="黑体" w:hAnsi="黑体" w:eastAsia="黑体" w:cs="黑体"/>
          <w:spacing w:val="20"/>
          <w:sz w:val="27"/>
          <w:szCs w:val="27"/>
        </w:rPr>
        <w:t xml:space="preserve">  </w:t>
      </w:r>
      <w:r>
        <w:rPr>
          <w:rFonts w:ascii="黑体" w:hAnsi="黑体" w:eastAsia="黑体" w:cs="黑体"/>
          <w:b/>
          <w:bCs/>
          <w:spacing w:val="-10"/>
          <w:sz w:val="27"/>
          <w:szCs w:val="27"/>
        </w:rPr>
        <w:t>附件</w:t>
      </w:r>
      <w:r>
        <w:rPr>
          <w:rFonts w:ascii="黑体" w:hAnsi="黑体" w:eastAsia="黑体" w:cs="黑体"/>
          <w:spacing w:val="-53"/>
          <w:sz w:val="27"/>
          <w:szCs w:val="27"/>
        </w:rPr>
        <w:t xml:space="preserve"> </w:t>
      </w:r>
      <w:r>
        <w:rPr>
          <w:b/>
          <w:bCs/>
          <w:spacing w:val="-10"/>
          <w:sz w:val="27"/>
          <w:szCs w:val="27"/>
        </w:rPr>
        <w:t>B</w:t>
      </w:r>
      <w:r>
        <w:rPr>
          <w:rFonts w:ascii="宋体" w:hAnsi="宋体" w:eastAsia="宋体" w:cs="宋体"/>
          <w:b/>
          <w:bCs/>
          <w:spacing w:val="-10"/>
          <w:sz w:val="27"/>
          <w:szCs w:val="27"/>
        </w:rPr>
        <w:t>《</w:t>
      </w:r>
      <w:r>
        <w:rPr>
          <w:rFonts w:ascii="黑体" w:hAnsi="黑体" w:eastAsia="黑体" w:cs="黑体"/>
          <w:b/>
          <w:bCs/>
          <w:spacing w:val="-10"/>
          <w:sz w:val="27"/>
          <w:szCs w:val="27"/>
        </w:rPr>
        <w:t>技术规范(技术规格书)》</w:t>
      </w:r>
    </w:p>
    <w:p w14:paraId="3627ABC1">
      <w:pPr>
        <w:spacing w:before="89" w:line="219" w:lineRule="auto"/>
        <w:ind w:left="529"/>
        <w:rPr>
          <w:rFonts w:ascii="宋体" w:hAnsi="宋体" w:eastAsia="宋体" w:cs="宋体"/>
          <w:sz w:val="27"/>
          <w:szCs w:val="27"/>
        </w:rPr>
      </w:pPr>
      <w:r>
        <w:rPr>
          <w:rFonts w:ascii="宋体" w:hAnsi="宋体" w:eastAsia="宋体" w:cs="宋体"/>
          <w:spacing w:val="-10"/>
          <w:sz w:val="27"/>
          <w:szCs w:val="27"/>
        </w:rPr>
        <w:t>按照本书1.11《技术规范》编写说明编写并提供合同附件《技术规范》。</w:t>
      </w:r>
    </w:p>
    <w:p w14:paraId="12F9C802">
      <w:pPr>
        <w:spacing w:before="87" w:line="222" w:lineRule="auto"/>
        <w:rPr>
          <w:rFonts w:ascii="黑体" w:hAnsi="黑体" w:eastAsia="黑体" w:cs="黑体"/>
          <w:sz w:val="25"/>
          <w:szCs w:val="25"/>
        </w:rPr>
      </w:pPr>
      <w:r>
        <w:rPr>
          <w:rFonts w:ascii="黑体" w:hAnsi="黑体" w:eastAsia="黑体" w:cs="黑体"/>
          <w:spacing w:val="7"/>
          <w:sz w:val="25"/>
          <w:szCs w:val="25"/>
        </w:rPr>
        <w:t>14.3</w:t>
      </w:r>
      <w:r>
        <w:rPr>
          <w:rFonts w:ascii="黑体" w:hAnsi="黑体" w:eastAsia="黑体" w:cs="黑体"/>
          <w:spacing w:val="45"/>
          <w:sz w:val="25"/>
          <w:szCs w:val="25"/>
        </w:rPr>
        <w:t xml:space="preserve">  </w:t>
      </w:r>
      <w:r>
        <w:rPr>
          <w:rFonts w:ascii="黑体" w:hAnsi="黑体" w:eastAsia="黑体" w:cs="黑体"/>
          <w:b/>
          <w:bCs/>
          <w:spacing w:val="7"/>
          <w:sz w:val="25"/>
          <w:szCs w:val="25"/>
        </w:rPr>
        <w:t>其他附件</w:t>
      </w:r>
    </w:p>
    <w:p w14:paraId="682764C4">
      <w:pPr>
        <w:spacing w:before="93" w:line="219" w:lineRule="auto"/>
        <w:ind w:left="529"/>
        <w:rPr>
          <w:rFonts w:ascii="宋体" w:hAnsi="宋体" w:eastAsia="宋体" w:cs="宋体"/>
          <w:sz w:val="27"/>
          <w:szCs w:val="27"/>
        </w:rPr>
      </w:pPr>
      <w:r>
        <w:rPr>
          <w:rFonts w:ascii="宋体" w:hAnsi="宋体" w:eastAsia="宋体" w:cs="宋体"/>
          <w:spacing w:val="1"/>
          <w:sz w:val="27"/>
          <w:szCs w:val="27"/>
        </w:rPr>
        <w:t>提供必要的其他附件。</w:t>
      </w:r>
    </w:p>
    <w:p w14:paraId="728A768E">
      <w:pPr>
        <w:spacing w:line="219" w:lineRule="auto"/>
        <w:rPr>
          <w:rFonts w:ascii="宋体" w:hAnsi="宋体" w:eastAsia="宋体" w:cs="宋体"/>
          <w:sz w:val="27"/>
          <w:szCs w:val="27"/>
        </w:rPr>
        <w:sectPr>
          <w:footerReference r:id="rId48" w:type="default"/>
          <w:pgSz w:w="11910" w:h="17130"/>
          <w:pgMar w:top="400" w:right="1334" w:bottom="1587" w:left="1150" w:header="0" w:footer="1370" w:gutter="0"/>
          <w:cols w:space="720" w:num="1"/>
        </w:sectPr>
      </w:pPr>
    </w:p>
    <w:p w14:paraId="37389BBE">
      <w:pPr>
        <w:pStyle w:val="2"/>
        <w:spacing w:line="262" w:lineRule="auto"/>
      </w:pPr>
    </w:p>
    <w:p w14:paraId="698AADCF">
      <w:pPr>
        <w:pStyle w:val="2"/>
        <w:spacing w:line="263" w:lineRule="auto"/>
      </w:pPr>
    </w:p>
    <w:p w14:paraId="52902DF8">
      <w:pPr>
        <w:pStyle w:val="2"/>
        <w:spacing w:line="263" w:lineRule="auto"/>
      </w:pPr>
    </w:p>
    <w:p w14:paraId="192D247F">
      <w:pPr>
        <w:pStyle w:val="2"/>
        <w:spacing w:line="263" w:lineRule="auto"/>
      </w:pPr>
    </w:p>
    <w:p w14:paraId="05AF503D">
      <w:pPr>
        <w:pStyle w:val="2"/>
        <w:spacing w:line="263" w:lineRule="auto"/>
      </w:pPr>
    </w:p>
    <w:p w14:paraId="2B7FB0F0">
      <w:pPr>
        <w:spacing w:before="123" w:line="219" w:lineRule="auto"/>
        <w:ind w:left="3229"/>
        <w:outlineLvl w:val="1"/>
        <w:rPr>
          <w:rFonts w:ascii="宋体" w:hAnsi="宋体" w:eastAsia="宋体" w:cs="宋体"/>
          <w:sz w:val="38"/>
          <w:szCs w:val="38"/>
        </w:rPr>
      </w:pPr>
      <w:bookmarkStart w:id="20" w:name="bookmark12"/>
      <w:bookmarkEnd w:id="20"/>
      <w:r>
        <w:rPr>
          <w:rFonts w:ascii="宋体" w:hAnsi="宋体" w:eastAsia="宋体" w:cs="宋体"/>
          <w:spacing w:val="-19"/>
          <w:sz w:val="38"/>
          <w:szCs w:val="38"/>
        </w:rPr>
        <w:t>1.10</w:t>
      </w:r>
      <w:r>
        <w:rPr>
          <w:rFonts w:ascii="宋体" w:hAnsi="宋体" w:eastAsia="宋体" w:cs="宋体"/>
          <w:spacing w:val="21"/>
          <w:sz w:val="38"/>
          <w:szCs w:val="38"/>
        </w:rPr>
        <w:t xml:space="preserve">  </w:t>
      </w:r>
      <w:r>
        <w:rPr>
          <w:rFonts w:ascii="宋体" w:hAnsi="宋体" w:eastAsia="宋体" w:cs="宋体"/>
          <w:spacing w:val="-19"/>
          <w:sz w:val="38"/>
          <w:szCs w:val="38"/>
        </w:rPr>
        <w:t>工</w:t>
      </w:r>
      <w:r>
        <w:rPr>
          <w:rFonts w:ascii="宋体" w:hAnsi="宋体" w:eastAsia="宋体" w:cs="宋体"/>
          <w:spacing w:val="-57"/>
          <w:sz w:val="38"/>
          <w:szCs w:val="38"/>
        </w:rPr>
        <w:t xml:space="preserve"> </w:t>
      </w:r>
      <w:r>
        <w:rPr>
          <w:rFonts w:ascii="宋体" w:hAnsi="宋体" w:eastAsia="宋体" w:cs="宋体"/>
          <w:spacing w:val="-19"/>
          <w:sz w:val="38"/>
          <w:szCs w:val="38"/>
        </w:rPr>
        <w:t>作</w:t>
      </w:r>
      <w:r>
        <w:rPr>
          <w:rFonts w:ascii="宋体" w:hAnsi="宋体" w:eastAsia="宋体" w:cs="宋体"/>
          <w:spacing w:val="-53"/>
          <w:sz w:val="38"/>
          <w:szCs w:val="38"/>
        </w:rPr>
        <w:t xml:space="preserve"> </w:t>
      </w:r>
      <w:r>
        <w:rPr>
          <w:rFonts w:ascii="宋体" w:hAnsi="宋体" w:eastAsia="宋体" w:cs="宋体"/>
          <w:spacing w:val="-19"/>
          <w:sz w:val="38"/>
          <w:szCs w:val="38"/>
        </w:rPr>
        <w:t>说 明</w:t>
      </w:r>
    </w:p>
    <w:p w14:paraId="59695B2F">
      <w:pPr>
        <w:pStyle w:val="2"/>
        <w:spacing w:line="322" w:lineRule="auto"/>
      </w:pPr>
    </w:p>
    <w:p w14:paraId="3B2844C7">
      <w:pPr>
        <w:spacing w:before="88" w:line="299" w:lineRule="auto"/>
        <w:ind w:right="1819" w:firstLine="570"/>
        <w:rPr>
          <w:rFonts w:ascii="黑体" w:hAnsi="黑体" w:eastAsia="黑体" w:cs="黑体"/>
          <w:sz w:val="24"/>
          <w:szCs w:val="24"/>
        </w:rPr>
      </w:pPr>
      <w:r>
        <w:rPr>
          <w:rFonts w:ascii="楷体" w:hAnsi="楷体" w:eastAsia="楷体" w:cs="楷体"/>
          <w:spacing w:val="-7"/>
          <w:sz w:val="27"/>
          <w:szCs w:val="27"/>
        </w:rPr>
        <w:t>按照</w:t>
      </w:r>
      <w:r>
        <w:rPr>
          <w:rFonts w:ascii="Times New Roman" w:hAnsi="Times New Roman" w:eastAsia="Times New Roman" w:cs="Times New Roman"/>
          <w:spacing w:val="-7"/>
          <w:sz w:val="27"/>
          <w:szCs w:val="27"/>
        </w:rPr>
        <w:t>GJB 2742—1996</w:t>
      </w:r>
      <w:r>
        <w:rPr>
          <w:rFonts w:ascii="宋体" w:hAnsi="宋体" w:eastAsia="宋体" w:cs="宋体"/>
          <w:spacing w:val="-7"/>
          <w:sz w:val="27"/>
          <w:szCs w:val="27"/>
        </w:rPr>
        <w:t>《</w:t>
      </w:r>
      <w:r>
        <w:rPr>
          <w:rFonts w:ascii="楷体" w:hAnsi="楷体" w:eastAsia="楷体" w:cs="楷体"/>
          <w:spacing w:val="-7"/>
          <w:sz w:val="27"/>
          <w:szCs w:val="27"/>
        </w:rPr>
        <w:t>工作说明编写要求》编写，说明如下。</w:t>
      </w:r>
      <w:r>
        <w:rPr>
          <w:rFonts w:ascii="楷体" w:hAnsi="楷体" w:eastAsia="楷体" w:cs="楷体"/>
          <w:spacing w:val="17"/>
          <w:sz w:val="27"/>
          <w:szCs w:val="27"/>
        </w:rPr>
        <w:t xml:space="preserve"> </w:t>
      </w:r>
      <w:r>
        <w:rPr>
          <w:rFonts w:ascii="黑体" w:hAnsi="黑体" w:eastAsia="黑体" w:cs="黑体"/>
          <w:spacing w:val="24"/>
          <w:sz w:val="24"/>
          <w:szCs w:val="24"/>
        </w:rPr>
        <w:t>0</w:t>
      </w:r>
      <w:r>
        <w:rPr>
          <w:rFonts w:ascii="黑体" w:hAnsi="黑体" w:eastAsia="黑体" w:cs="黑体"/>
          <w:spacing w:val="-8"/>
          <w:sz w:val="24"/>
          <w:szCs w:val="24"/>
        </w:rPr>
        <w:t xml:space="preserve"> </w:t>
      </w:r>
      <w:r>
        <w:rPr>
          <w:rFonts w:ascii="黑体" w:hAnsi="黑体" w:eastAsia="黑体" w:cs="黑体"/>
          <w:b/>
          <w:bCs/>
          <w:spacing w:val="24"/>
          <w:sz w:val="24"/>
          <w:szCs w:val="24"/>
        </w:rPr>
        <w:t>类工作说明</w:t>
      </w:r>
    </w:p>
    <w:p w14:paraId="0FCF8288">
      <w:pPr>
        <w:spacing w:before="6" w:line="268" w:lineRule="auto"/>
        <w:ind w:right="102" w:firstLine="570"/>
        <w:jc w:val="both"/>
        <w:rPr>
          <w:rFonts w:ascii="楷体" w:hAnsi="楷体" w:eastAsia="楷体" w:cs="楷体"/>
          <w:sz w:val="28"/>
          <w:szCs w:val="28"/>
        </w:rPr>
      </w:pPr>
      <w:r>
        <w:rPr>
          <w:rFonts w:ascii="楷体" w:hAnsi="楷体" w:eastAsia="楷体" w:cs="楷体"/>
          <w:spacing w:val="4"/>
          <w:sz w:val="28"/>
          <w:szCs w:val="28"/>
        </w:rPr>
        <w:t>论证阶段的主要目的是根据武器装备研制中长期计划和主要作</w:t>
      </w:r>
      <w:r>
        <w:rPr>
          <w:rFonts w:ascii="楷体" w:hAnsi="楷体" w:eastAsia="楷体" w:cs="楷体"/>
          <w:spacing w:val="3"/>
          <w:sz w:val="28"/>
          <w:szCs w:val="28"/>
        </w:rPr>
        <w:t>战使用性</w:t>
      </w:r>
      <w:r>
        <w:rPr>
          <w:rFonts w:ascii="楷体" w:hAnsi="楷体" w:eastAsia="楷体" w:cs="楷体"/>
          <w:sz w:val="28"/>
          <w:szCs w:val="28"/>
        </w:rPr>
        <w:t xml:space="preserve"> </w:t>
      </w:r>
      <w:r>
        <w:rPr>
          <w:rFonts w:ascii="仿宋" w:hAnsi="仿宋" w:eastAsia="仿宋" w:cs="仿宋"/>
          <w:spacing w:val="-15"/>
          <w:sz w:val="28"/>
          <w:szCs w:val="28"/>
        </w:rPr>
        <w:t>能</w:t>
      </w:r>
      <w:r>
        <w:rPr>
          <w:rFonts w:ascii="仿宋" w:hAnsi="仿宋" w:eastAsia="仿宋" w:cs="仿宋"/>
          <w:spacing w:val="-55"/>
          <w:sz w:val="28"/>
          <w:szCs w:val="28"/>
        </w:rPr>
        <w:t xml:space="preserve"> </w:t>
      </w:r>
      <w:r>
        <w:rPr>
          <w:rFonts w:ascii="仿宋" w:hAnsi="仿宋" w:eastAsia="仿宋" w:cs="仿宋"/>
          <w:spacing w:val="-15"/>
          <w:sz w:val="28"/>
          <w:szCs w:val="28"/>
        </w:rPr>
        <w:t>，</w:t>
      </w:r>
      <w:r>
        <w:rPr>
          <w:rFonts w:ascii="楷体" w:hAnsi="楷体" w:eastAsia="楷体" w:cs="楷体"/>
          <w:spacing w:val="-15"/>
          <w:sz w:val="28"/>
          <w:szCs w:val="28"/>
        </w:rPr>
        <w:t>进行战术技术指标论证和总体技术方案可行性的论证，进行进度、保障条件</w:t>
      </w:r>
      <w:r>
        <w:rPr>
          <w:rFonts w:ascii="楷体" w:hAnsi="楷体" w:eastAsia="楷体" w:cs="楷体"/>
          <w:sz w:val="28"/>
          <w:szCs w:val="28"/>
        </w:rPr>
        <w:t xml:space="preserve"> </w:t>
      </w:r>
      <w:r>
        <w:rPr>
          <w:rFonts w:ascii="楷体" w:hAnsi="楷体" w:eastAsia="楷体" w:cs="楷体"/>
          <w:spacing w:val="-4"/>
          <w:sz w:val="28"/>
          <w:szCs w:val="28"/>
        </w:rPr>
        <w:t>和费用的估算，以便确定一个满足武器装备要求</w:t>
      </w:r>
      <w:r>
        <w:rPr>
          <w:rFonts w:ascii="楷体" w:hAnsi="楷体" w:eastAsia="楷体" w:cs="楷体"/>
          <w:spacing w:val="-5"/>
          <w:sz w:val="28"/>
          <w:szCs w:val="28"/>
        </w:rPr>
        <w:t>的可行的初步总体方案。用于</w:t>
      </w:r>
      <w:r>
        <w:rPr>
          <w:rFonts w:ascii="楷体" w:hAnsi="楷体" w:eastAsia="楷体" w:cs="楷体"/>
          <w:sz w:val="28"/>
          <w:szCs w:val="28"/>
        </w:rPr>
        <w:t xml:space="preserve"> </w:t>
      </w:r>
      <w:r>
        <w:rPr>
          <w:rFonts w:ascii="楷体" w:hAnsi="楷体" w:eastAsia="楷体" w:cs="楷体"/>
          <w:spacing w:val="-5"/>
          <w:sz w:val="28"/>
          <w:szCs w:val="28"/>
        </w:rPr>
        <w:t>论证阶段的工作说明主要表述武器装备研制的目的和目标。论证阶段能够定义</w:t>
      </w:r>
      <w:r>
        <w:rPr>
          <w:rFonts w:ascii="楷体" w:hAnsi="楷体" w:eastAsia="楷体" w:cs="楷体"/>
          <w:spacing w:val="10"/>
          <w:sz w:val="28"/>
          <w:szCs w:val="28"/>
        </w:rPr>
        <w:t xml:space="preserve"> </w:t>
      </w:r>
      <w:r>
        <w:rPr>
          <w:rFonts w:ascii="楷体" w:hAnsi="楷体" w:eastAsia="楷体" w:cs="楷体"/>
          <w:spacing w:val="3"/>
          <w:sz w:val="28"/>
          <w:szCs w:val="28"/>
        </w:rPr>
        <w:t>的作战目标和具体技术指标的精确程度将影响到使用方和承制方估算研制费</w:t>
      </w:r>
      <w:r>
        <w:rPr>
          <w:rFonts w:ascii="楷体" w:hAnsi="楷体" w:eastAsia="楷体" w:cs="楷体"/>
          <w:sz w:val="28"/>
          <w:szCs w:val="28"/>
        </w:rPr>
        <w:t xml:space="preserve"> </w:t>
      </w:r>
      <w:r>
        <w:rPr>
          <w:rFonts w:ascii="楷体" w:hAnsi="楷体" w:eastAsia="楷体" w:cs="楷体"/>
          <w:spacing w:val="-8"/>
          <w:sz w:val="28"/>
          <w:szCs w:val="28"/>
        </w:rPr>
        <w:t>用、周期和承担风险的程度。0类工作说明主要包括以下内容。</w:t>
      </w:r>
    </w:p>
    <w:p w14:paraId="680CE25A">
      <w:pPr>
        <w:spacing w:before="37"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36"/>
          <w:sz w:val="27"/>
          <w:szCs w:val="27"/>
        </w:rPr>
        <w:t xml:space="preserve">  </w:t>
      </w:r>
      <w:r>
        <w:rPr>
          <w:rFonts w:ascii="黑体" w:hAnsi="黑体" w:eastAsia="黑体" w:cs="黑体"/>
          <w:b/>
          <w:bCs/>
          <w:spacing w:val="-13"/>
          <w:sz w:val="27"/>
          <w:szCs w:val="27"/>
        </w:rPr>
        <w:t>范围</w:t>
      </w:r>
    </w:p>
    <w:p w14:paraId="52C8A43D">
      <w:pPr>
        <w:spacing w:before="77" w:line="219" w:lineRule="auto"/>
        <w:ind w:left="570"/>
        <w:rPr>
          <w:rFonts w:ascii="宋体" w:hAnsi="宋体" w:eastAsia="宋体" w:cs="宋体"/>
          <w:sz w:val="27"/>
          <w:szCs w:val="27"/>
        </w:rPr>
      </w:pPr>
      <w:r>
        <w:rPr>
          <w:rFonts w:ascii="宋体" w:hAnsi="宋体" w:eastAsia="宋体" w:cs="宋体"/>
          <w:spacing w:val="1"/>
          <w:sz w:val="27"/>
          <w:szCs w:val="27"/>
        </w:rPr>
        <w:t>一般应当包括以下内容：</w:t>
      </w:r>
    </w:p>
    <w:p w14:paraId="5D53E486">
      <w:pPr>
        <w:spacing w:before="61" w:line="278" w:lineRule="auto"/>
        <w:ind w:right="74" w:firstLine="570"/>
        <w:rPr>
          <w:rFonts w:ascii="宋体" w:hAnsi="宋体" w:eastAsia="宋体" w:cs="宋体"/>
          <w:sz w:val="25"/>
          <w:szCs w:val="25"/>
        </w:rPr>
      </w:pPr>
      <w:r>
        <w:rPr>
          <w:rFonts w:ascii="Times New Roman" w:hAnsi="Times New Roman" w:eastAsia="Times New Roman" w:cs="Times New Roman"/>
          <w:spacing w:val="22"/>
          <w:sz w:val="25"/>
          <w:szCs w:val="25"/>
        </w:rPr>
        <w:t xml:space="preserve">a)  </w:t>
      </w:r>
      <w:r>
        <w:rPr>
          <w:rFonts w:ascii="宋体" w:hAnsi="宋体" w:eastAsia="宋体" w:cs="宋体"/>
          <w:spacing w:val="22"/>
          <w:sz w:val="25"/>
          <w:szCs w:val="25"/>
        </w:rPr>
        <w:t>问题说明：对要解决的问题作简要说明和背景介</w:t>
      </w:r>
      <w:r>
        <w:rPr>
          <w:rFonts w:ascii="宋体" w:hAnsi="宋体" w:eastAsia="宋体" w:cs="宋体"/>
          <w:spacing w:val="21"/>
          <w:sz w:val="25"/>
          <w:szCs w:val="25"/>
        </w:rPr>
        <w:t>绍，并且对初步的武器</w:t>
      </w:r>
      <w:r>
        <w:rPr>
          <w:rFonts w:ascii="宋体" w:hAnsi="宋体" w:eastAsia="宋体" w:cs="宋体"/>
          <w:sz w:val="25"/>
          <w:szCs w:val="25"/>
        </w:rPr>
        <w:t xml:space="preserve"> </w:t>
      </w:r>
      <w:r>
        <w:rPr>
          <w:rFonts w:ascii="宋体" w:hAnsi="宋体" w:eastAsia="宋体" w:cs="宋体"/>
          <w:spacing w:val="23"/>
          <w:sz w:val="25"/>
          <w:szCs w:val="25"/>
        </w:rPr>
        <w:t>装备研制计划及所提要求的必要性加以简洁的说明；</w:t>
      </w:r>
    </w:p>
    <w:p w14:paraId="723A46E1">
      <w:pPr>
        <w:spacing w:before="53" w:line="266" w:lineRule="auto"/>
        <w:ind w:right="52" w:firstLine="570"/>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系统简介：对整个建议的系统加以简明的功能介绍，如果可行</w:t>
      </w:r>
      <w:r>
        <w:rPr>
          <w:rFonts w:ascii="宋体" w:hAnsi="宋体" w:eastAsia="宋体" w:cs="宋体"/>
          <w:spacing w:val="-5"/>
          <w:sz w:val="27"/>
          <w:szCs w:val="27"/>
        </w:rPr>
        <w:t>，应考虑用</w:t>
      </w:r>
      <w:r>
        <w:rPr>
          <w:rFonts w:ascii="宋体" w:hAnsi="宋体" w:eastAsia="宋体" w:cs="宋体"/>
          <w:sz w:val="27"/>
          <w:szCs w:val="27"/>
        </w:rPr>
        <w:t xml:space="preserve"> </w:t>
      </w:r>
      <w:r>
        <w:rPr>
          <w:rFonts w:ascii="宋体" w:hAnsi="宋体" w:eastAsia="宋体" w:cs="宋体"/>
          <w:spacing w:val="6"/>
          <w:sz w:val="27"/>
          <w:szCs w:val="27"/>
        </w:rPr>
        <w:t>图示法来表示系统，以便使工作的执行者能迅</w:t>
      </w:r>
      <w:r>
        <w:rPr>
          <w:rFonts w:ascii="宋体" w:hAnsi="宋体" w:eastAsia="宋体" w:cs="宋体"/>
          <w:spacing w:val="5"/>
          <w:sz w:val="27"/>
          <w:szCs w:val="27"/>
        </w:rPr>
        <w:t>速明白想要得到的系统和预期的</w:t>
      </w:r>
      <w:r>
        <w:rPr>
          <w:rFonts w:ascii="宋体" w:hAnsi="宋体" w:eastAsia="宋体" w:cs="宋体"/>
          <w:sz w:val="27"/>
          <w:szCs w:val="27"/>
        </w:rPr>
        <w:t xml:space="preserve"> </w:t>
      </w:r>
      <w:r>
        <w:rPr>
          <w:rFonts w:ascii="宋体" w:hAnsi="宋体" w:eastAsia="宋体" w:cs="宋体"/>
          <w:spacing w:val="-4"/>
          <w:sz w:val="27"/>
          <w:szCs w:val="27"/>
        </w:rPr>
        <w:t>用途；</w:t>
      </w:r>
    </w:p>
    <w:p w14:paraId="75087EB6">
      <w:pPr>
        <w:spacing w:before="97" w:line="212" w:lineRule="auto"/>
        <w:ind w:left="570"/>
        <w:rPr>
          <w:rFonts w:ascii="宋体" w:hAnsi="宋体" w:eastAsia="宋体" w:cs="宋体"/>
          <w:sz w:val="24"/>
          <w:szCs w:val="24"/>
        </w:rPr>
      </w:pPr>
      <w:r>
        <w:rPr>
          <w:rFonts w:ascii="Times New Roman" w:hAnsi="Times New Roman" w:eastAsia="Times New Roman" w:cs="Times New Roman"/>
          <w:spacing w:val="25"/>
          <w:sz w:val="24"/>
          <w:szCs w:val="24"/>
        </w:rPr>
        <w:t xml:space="preserve">c)  </w:t>
      </w:r>
      <w:r>
        <w:rPr>
          <w:rFonts w:ascii="宋体" w:hAnsi="宋体" w:eastAsia="宋体" w:cs="宋体"/>
          <w:spacing w:val="25"/>
          <w:sz w:val="24"/>
          <w:szCs w:val="24"/>
        </w:rPr>
        <w:t>进度要求：按时间顺序列出初步的重大事件进</w:t>
      </w:r>
      <w:r>
        <w:rPr>
          <w:rFonts w:ascii="宋体" w:hAnsi="宋体" w:eastAsia="宋体" w:cs="宋体"/>
          <w:spacing w:val="24"/>
          <w:sz w:val="24"/>
          <w:szCs w:val="24"/>
        </w:rPr>
        <w:t>程表。</w:t>
      </w:r>
    </w:p>
    <w:p w14:paraId="29FD127E">
      <w:pPr>
        <w:spacing w:before="137" w:line="222" w:lineRule="auto"/>
        <w:rPr>
          <w:rFonts w:ascii="黑体" w:hAnsi="黑体" w:eastAsia="黑体" w:cs="黑体"/>
          <w:sz w:val="24"/>
          <w:szCs w:val="24"/>
        </w:rPr>
      </w:pPr>
      <w:r>
        <w:rPr>
          <w:rFonts w:ascii="黑体" w:hAnsi="黑体" w:eastAsia="黑体" w:cs="黑体"/>
          <w:spacing w:val="23"/>
          <w:sz w:val="24"/>
          <w:szCs w:val="24"/>
        </w:rPr>
        <w:t>2</w:t>
      </w:r>
      <w:r>
        <w:rPr>
          <w:rFonts w:ascii="黑体" w:hAnsi="黑体" w:eastAsia="黑体" w:cs="黑体"/>
          <w:spacing w:val="50"/>
          <w:sz w:val="24"/>
          <w:szCs w:val="24"/>
        </w:rPr>
        <w:t xml:space="preserve">  </w:t>
      </w:r>
      <w:r>
        <w:rPr>
          <w:rFonts w:ascii="黑体" w:hAnsi="黑体" w:eastAsia="黑体" w:cs="黑体"/>
          <w:b/>
          <w:bCs/>
          <w:spacing w:val="23"/>
          <w:sz w:val="24"/>
          <w:szCs w:val="24"/>
        </w:rPr>
        <w:t>引用文件</w:t>
      </w:r>
    </w:p>
    <w:p w14:paraId="234DE906">
      <w:pPr>
        <w:spacing w:before="117" w:line="219" w:lineRule="auto"/>
        <w:ind w:left="570"/>
        <w:rPr>
          <w:rFonts w:ascii="宋体" w:hAnsi="宋体" w:eastAsia="宋体" w:cs="宋体"/>
          <w:sz w:val="27"/>
          <w:szCs w:val="27"/>
        </w:rPr>
      </w:pPr>
      <w:r>
        <w:rPr>
          <w:rFonts w:ascii="宋体" w:hAnsi="宋体" w:eastAsia="宋体" w:cs="宋体"/>
          <w:spacing w:val="4"/>
          <w:sz w:val="27"/>
          <w:szCs w:val="27"/>
        </w:rPr>
        <w:t>应列出在工作说明正文中引用过文件的文件号和名称。</w:t>
      </w:r>
    </w:p>
    <w:p w14:paraId="7E64E278">
      <w:pPr>
        <w:spacing w:before="96" w:line="223" w:lineRule="auto"/>
        <w:rPr>
          <w:rFonts w:ascii="黑体" w:hAnsi="黑体" w:eastAsia="黑体" w:cs="黑体"/>
          <w:sz w:val="25"/>
          <w:szCs w:val="25"/>
        </w:rPr>
      </w:pPr>
      <w:r>
        <w:rPr>
          <w:rFonts w:ascii="黑体" w:hAnsi="黑体" w:eastAsia="黑体" w:cs="黑体"/>
          <w:spacing w:val="-3"/>
          <w:sz w:val="25"/>
          <w:szCs w:val="25"/>
        </w:rPr>
        <w:t>3</w:t>
      </w:r>
      <w:r>
        <w:rPr>
          <w:rFonts w:ascii="黑体" w:hAnsi="黑体" w:eastAsia="黑体" w:cs="黑体"/>
          <w:spacing w:val="44"/>
          <w:sz w:val="25"/>
          <w:szCs w:val="25"/>
        </w:rPr>
        <w:t xml:space="preserve">  </w:t>
      </w:r>
      <w:r>
        <w:rPr>
          <w:rFonts w:ascii="黑体" w:hAnsi="黑体" w:eastAsia="黑体" w:cs="黑体"/>
          <w:b/>
          <w:bCs/>
          <w:spacing w:val="-3"/>
          <w:sz w:val="25"/>
          <w:szCs w:val="25"/>
        </w:rPr>
        <w:t>定义</w:t>
      </w:r>
    </w:p>
    <w:p w14:paraId="0130934A">
      <w:pPr>
        <w:spacing w:before="100" w:line="219" w:lineRule="auto"/>
        <w:ind w:left="570"/>
        <w:rPr>
          <w:rFonts w:ascii="宋体" w:hAnsi="宋体" w:eastAsia="宋体" w:cs="宋体"/>
          <w:sz w:val="27"/>
          <w:szCs w:val="27"/>
        </w:rPr>
      </w:pPr>
      <w:r>
        <w:rPr>
          <w:rFonts w:ascii="宋体" w:hAnsi="宋体" w:eastAsia="宋体" w:cs="宋体"/>
          <w:spacing w:val="-2"/>
          <w:sz w:val="27"/>
          <w:szCs w:val="27"/>
        </w:rPr>
        <w:t>根据需要给出某些特定术语、专用名词和缩写词的定义。</w:t>
      </w:r>
    </w:p>
    <w:p w14:paraId="5C7ED96A">
      <w:pPr>
        <w:spacing w:before="68"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26"/>
          <w:sz w:val="27"/>
          <w:szCs w:val="27"/>
        </w:rPr>
        <w:t xml:space="preserve">  </w:t>
      </w:r>
      <w:r>
        <w:rPr>
          <w:rFonts w:ascii="黑体" w:hAnsi="黑体" w:eastAsia="黑体" w:cs="黑体"/>
          <w:b/>
          <w:bCs/>
          <w:spacing w:val="-5"/>
          <w:sz w:val="27"/>
          <w:szCs w:val="27"/>
        </w:rPr>
        <w:t>要求</w:t>
      </w:r>
    </w:p>
    <w:p w14:paraId="70C6A47B">
      <w:pPr>
        <w:spacing w:before="122" w:line="221" w:lineRule="auto"/>
        <w:rPr>
          <w:rFonts w:ascii="黑体" w:hAnsi="黑体" w:eastAsia="黑体" w:cs="黑体"/>
          <w:sz w:val="24"/>
          <w:szCs w:val="24"/>
        </w:rPr>
      </w:pPr>
      <w:r>
        <w:rPr>
          <w:rFonts w:ascii="黑体" w:hAnsi="黑体" w:eastAsia="黑体" w:cs="黑体"/>
          <w:spacing w:val="24"/>
          <w:sz w:val="24"/>
          <w:szCs w:val="24"/>
        </w:rPr>
        <w:t>4.1</w:t>
      </w:r>
      <w:r>
        <w:rPr>
          <w:rFonts w:ascii="黑体" w:hAnsi="黑体" w:eastAsia="黑体" w:cs="黑体"/>
          <w:spacing w:val="11"/>
          <w:sz w:val="24"/>
          <w:szCs w:val="24"/>
        </w:rPr>
        <w:t xml:space="preserve">   </w:t>
      </w:r>
      <w:r>
        <w:rPr>
          <w:rFonts w:ascii="黑体" w:hAnsi="黑体" w:eastAsia="黑体" w:cs="黑体"/>
          <w:b/>
          <w:bCs/>
          <w:spacing w:val="24"/>
          <w:sz w:val="24"/>
          <w:szCs w:val="24"/>
        </w:rPr>
        <w:t>双方需完成的工作</w:t>
      </w:r>
    </w:p>
    <w:p w14:paraId="39C624C6">
      <w:pPr>
        <w:spacing w:before="90" w:line="219" w:lineRule="auto"/>
        <w:ind w:left="570"/>
        <w:rPr>
          <w:rFonts w:ascii="宋体" w:hAnsi="宋体" w:eastAsia="宋体" w:cs="宋体"/>
          <w:sz w:val="27"/>
          <w:szCs w:val="27"/>
        </w:rPr>
      </w:pPr>
      <w:r>
        <w:rPr>
          <w:rFonts w:ascii="宋体" w:hAnsi="宋体" w:eastAsia="宋体" w:cs="宋体"/>
          <w:spacing w:val="-3"/>
          <w:sz w:val="27"/>
          <w:szCs w:val="27"/>
        </w:rPr>
        <w:t>规定合同双方应该完成的工作，主要包括下列</w:t>
      </w:r>
      <w:r>
        <w:rPr>
          <w:rFonts w:ascii="宋体" w:hAnsi="宋体" w:eastAsia="宋体" w:cs="宋体"/>
          <w:spacing w:val="-4"/>
          <w:sz w:val="27"/>
          <w:szCs w:val="27"/>
        </w:rPr>
        <w:t>要求：</w:t>
      </w:r>
    </w:p>
    <w:p w14:paraId="06CF1267">
      <w:pPr>
        <w:spacing w:before="91" w:line="275" w:lineRule="auto"/>
        <w:ind w:firstLine="570"/>
        <w:rPr>
          <w:rFonts w:ascii="宋体" w:hAnsi="宋体" w:eastAsia="宋体" w:cs="宋体"/>
          <w:sz w:val="25"/>
          <w:szCs w:val="25"/>
        </w:rPr>
      </w:pPr>
      <w:r>
        <w:rPr>
          <w:rFonts w:ascii="Times New Roman" w:hAnsi="Times New Roman" w:eastAsia="Times New Roman" w:cs="Times New Roman"/>
          <w:spacing w:val="16"/>
          <w:sz w:val="25"/>
          <w:szCs w:val="25"/>
        </w:rPr>
        <w:t xml:space="preserve">a)  </w:t>
      </w:r>
      <w:r>
        <w:rPr>
          <w:rFonts w:ascii="宋体" w:hAnsi="宋体" w:eastAsia="宋体" w:cs="宋体"/>
          <w:spacing w:val="16"/>
          <w:sz w:val="25"/>
          <w:szCs w:val="25"/>
        </w:rPr>
        <w:t>列出系统、子系统和主要部件之间的层次关系，并绘制一个功能流程图，</w:t>
      </w:r>
      <w:r>
        <w:rPr>
          <w:rFonts w:ascii="宋体" w:hAnsi="宋体" w:eastAsia="宋体" w:cs="宋体"/>
          <w:spacing w:val="8"/>
          <w:sz w:val="25"/>
          <w:szCs w:val="25"/>
        </w:rPr>
        <w:t xml:space="preserve"> </w:t>
      </w:r>
      <w:r>
        <w:rPr>
          <w:rFonts w:ascii="宋体" w:hAnsi="宋体" w:eastAsia="宋体" w:cs="宋体"/>
          <w:spacing w:val="15"/>
          <w:sz w:val="25"/>
          <w:szCs w:val="25"/>
        </w:rPr>
        <w:t>表示出系统、子系统和主要部件的关系；</w:t>
      </w:r>
    </w:p>
    <w:p w14:paraId="4FFCA021">
      <w:pPr>
        <w:spacing w:before="65" w:line="262" w:lineRule="auto"/>
        <w:ind w:right="74" w:firstLine="570"/>
        <w:rPr>
          <w:rFonts w:ascii="宋体" w:hAnsi="宋体" w:eastAsia="宋体" w:cs="宋体"/>
          <w:sz w:val="27"/>
          <w:szCs w:val="27"/>
        </w:rPr>
      </w:pPr>
      <w:r>
        <w:rPr>
          <w:rFonts w:ascii="Times New Roman" w:hAnsi="Times New Roman" w:eastAsia="Times New Roman" w:cs="Times New Roman"/>
          <w:spacing w:val="-5"/>
          <w:sz w:val="27"/>
          <w:szCs w:val="27"/>
        </w:rPr>
        <w:t>b)</w:t>
      </w:r>
      <w:r>
        <w:rPr>
          <w:rFonts w:ascii="Times New Roman" w:hAnsi="Times New Roman" w:eastAsia="Times New Roman" w:cs="Times New Roman"/>
          <w:spacing w:val="67"/>
          <w:sz w:val="27"/>
          <w:szCs w:val="27"/>
        </w:rPr>
        <w:t xml:space="preserve"> </w:t>
      </w:r>
      <w:r>
        <w:rPr>
          <w:rFonts w:ascii="宋体" w:hAnsi="宋体" w:eastAsia="宋体" w:cs="宋体"/>
          <w:spacing w:val="-5"/>
          <w:sz w:val="27"/>
          <w:szCs w:val="27"/>
        </w:rPr>
        <w:t>列出各种可供选择的初步总体方案，通过性能、可靠性、维修性、保障性</w:t>
      </w:r>
      <w:r>
        <w:rPr>
          <w:rFonts w:ascii="宋体" w:hAnsi="宋体" w:eastAsia="宋体" w:cs="宋体"/>
          <w:sz w:val="27"/>
          <w:szCs w:val="27"/>
        </w:rPr>
        <w:t xml:space="preserve"> </w:t>
      </w:r>
      <w:r>
        <w:rPr>
          <w:rFonts w:ascii="宋体" w:hAnsi="宋体" w:eastAsia="宋体" w:cs="宋体"/>
          <w:spacing w:val="-2"/>
          <w:sz w:val="27"/>
          <w:szCs w:val="27"/>
        </w:rPr>
        <w:t>等方面的权衡研究，以及它们和进度、经费之间</w:t>
      </w:r>
      <w:r>
        <w:rPr>
          <w:rFonts w:ascii="宋体" w:hAnsi="宋体" w:eastAsia="宋体" w:cs="宋体"/>
          <w:spacing w:val="-3"/>
          <w:sz w:val="27"/>
          <w:szCs w:val="27"/>
        </w:rPr>
        <w:t>的权衡研究，指出这些方案在作</w:t>
      </w:r>
      <w:r>
        <w:rPr>
          <w:rFonts w:ascii="宋体" w:hAnsi="宋体" w:eastAsia="宋体" w:cs="宋体"/>
          <w:sz w:val="27"/>
          <w:szCs w:val="27"/>
        </w:rPr>
        <w:t xml:space="preserve"> 战效能方面可能存在的差异，工作说明必须明确指</w:t>
      </w:r>
      <w:r>
        <w:rPr>
          <w:rFonts w:ascii="宋体" w:hAnsi="宋体" w:eastAsia="宋体" w:cs="宋体"/>
          <w:spacing w:val="-1"/>
          <w:sz w:val="27"/>
          <w:szCs w:val="27"/>
        </w:rPr>
        <w:t>出权衡的基准；</w:t>
      </w:r>
    </w:p>
    <w:p w14:paraId="687219CA">
      <w:pPr>
        <w:spacing w:before="68" w:line="253" w:lineRule="auto"/>
        <w:ind w:right="110" w:firstLine="57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52"/>
          <w:sz w:val="27"/>
          <w:szCs w:val="27"/>
        </w:rPr>
        <w:t xml:space="preserve"> </w:t>
      </w:r>
      <w:r>
        <w:rPr>
          <w:rFonts w:ascii="宋体" w:hAnsi="宋体" w:eastAsia="宋体" w:cs="宋体"/>
          <w:spacing w:val="3"/>
          <w:sz w:val="27"/>
          <w:szCs w:val="27"/>
        </w:rPr>
        <w:t>应按要求划分研制阶段，列出在不同的时间阶段应完成的分</w:t>
      </w:r>
      <w:r>
        <w:rPr>
          <w:rFonts w:ascii="宋体" w:hAnsi="宋体" w:eastAsia="宋体" w:cs="宋体"/>
          <w:spacing w:val="2"/>
          <w:sz w:val="27"/>
          <w:szCs w:val="27"/>
        </w:rPr>
        <w:t>布在不同独</w:t>
      </w:r>
      <w:r>
        <w:rPr>
          <w:rFonts w:ascii="宋体" w:hAnsi="宋体" w:eastAsia="宋体" w:cs="宋体"/>
          <w:sz w:val="27"/>
          <w:szCs w:val="27"/>
        </w:rPr>
        <w:t xml:space="preserve"> </w:t>
      </w:r>
      <w:r>
        <w:rPr>
          <w:rFonts w:ascii="宋体" w:hAnsi="宋体" w:eastAsia="宋体" w:cs="宋体"/>
          <w:spacing w:val="-5"/>
          <w:sz w:val="27"/>
          <w:szCs w:val="27"/>
        </w:rPr>
        <w:t>立领域中的工作，初拟研制工作总计划，提出研制工作所需条件；</w:t>
      </w:r>
    </w:p>
    <w:p w14:paraId="537520A2">
      <w:pPr>
        <w:spacing w:before="71" w:line="212" w:lineRule="auto"/>
        <w:ind w:left="570"/>
        <w:rPr>
          <w:rFonts w:ascii="宋体" w:hAnsi="宋体" w:eastAsia="宋体" w:cs="宋体"/>
          <w:sz w:val="27"/>
          <w:szCs w:val="27"/>
        </w:rPr>
      </w:pPr>
      <w:r>
        <w:rPr>
          <w:rFonts w:ascii="Times New Roman" w:hAnsi="Times New Roman" w:eastAsia="Times New Roman" w:cs="Times New Roman"/>
          <w:spacing w:val="11"/>
          <w:sz w:val="27"/>
          <w:szCs w:val="27"/>
        </w:rPr>
        <w:t>d)</w:t>
      </w:r>
      <w:r>
        <w:rPr>
          <w:rFonts w:ascii="Times New Roman" w:hAnsi="Times New Roman" w:eastAsia="Times New Roman" w:cs="Times New Roman"/>
          <w:spacing w:val="66"/>
          <w:w w:val="101"/>
          <w:sz w:val="27"/>
          <w:szCs w:val="27"/>
        </w:rPr>
        <w:t xml:space="preserve"> </w:t>
      </w:r>
      <w:r>
        <w:rPr>
          <w:rFonts w:ascii="宋体" w:hAnsi="宋体" w:eastAsia="宋体" w:cs="宋体"/>
          <w:spacing w:val="11"/>
          <w:sz w:val="27"/>
          <w:szCs w:val="27"/>
        </w:rPr>
        <w:t>估算研制费用和承担的风险程度，进行费</w:t>
      </w:r>
      <w:r>
        <w:rPr>
          <w:rFonts w:ascii="宋体" w:hAnsi="宋体" w:eastAsia="宋体" w:cs="宋体"/>
          <w:spacing w:val="10"/>
          <w:sz w:val="27"/>
          <w:szCs w:val="27"/>
        </w:rPr>
        <w:t>效初步分析，提出拨款计划</w:t>
      </w:r>
    </w:p>
    <w:p w14:paraId="2AD76E8C">
      <w:pPr>
        <w:spacing w:line="212" w:lineRule="auto"/>
        <w:rPr>
          <w:rFonts w:ascii="宋体" w:hAnsi="宋体" w:eastAsia="宋体" w:cs="宋体"/>
          <w:sz w:val="27"/>
          <w:szCs w:val="27"/>
        </w:rPr>
        <w:sectPr>
          <w:footerReference r:id="rId49" w:type="default"/>
          <w:pgSz w:w="11910" w:h="17130"/>
          <w:pgMar w:top="400" w:right="915" w:bottom="1647" w:left="1519" w:header="0" w:footer="1431" w:gutter="0"/>
          <w:cols w:space="720" w:num="1"/>
        </w:sectPr>
      </w:pPr>
    </w:p>
    <w:p w14:paraId="64537C6F">
      <w:pPr>
        <w:pStyle w:val="2"/>
        <w:spacing w:line="243" w:lineRule="auto"/>
      </w:pPr>
    </w:p>
    <w:p w14:paraId="65FE07D0">
      <w:pPr>
        <w:pStyle w:val="2"/>
        <w:spacing w:line="243" w:lineRule="auto"/>
      </w:pPr>
    </w:p>
    <w:p w14:paraId="2BB8D3F1">
      <w:pPr>
        <w:pStyle w:val="2"/>
        <w:spacing w:line="243" w:lineRule="auto"/>
      </w:pPr>
    </w:p>
    <w:p w14:paraId="61463269">
      <w:pPr>
        <w:pStyle w:val="2"/>
        <w:spacing w:line="243" w:lineRule="auto"/>
      </w:pPr>
    </w:p>
    <w:p w14:paraId="1A12DEC5">
      <w:pPr>
        <w:spacing w:before="94" w:line="220" w:lineRule="auto"/>
        <w:ind w:left="134"/>
        <w:rPr>
          <w:rFonts w:ascii="宋体" w:hAnsi="宋体" w:eastAsia="宋体" w:cs="宋体"/>
          <w:sz w:val="29"/>
          <w:szCs w:val="29"/>
        </w:rPr>
      </w:pPr>
      <w:bookmarkStart w:id="21" w:name="bookmark315"/>
      <w:bookmarkEnd w:id="21"/>
      <w:r>
        <w:rPr>
          <w:rFonts w:ascii="宋体" w:hAnsi="宋体" w:eastAsia="宋体" w:cs="宋体"/>
          <w:spacing w:val="-19"/>
          <w:sz w:val="29"/>
          <w:szCs w:val="29"/>
        </w:rPr>
        <w:t>建议；</w:t>
      </w:r>
    </w:p>
    <w:p w14:paraId="61EEE6DA">
      <w:pPr>
        <w:spacing w:before="12" w:line="267" w:lineRule="auto"/>
        <w:ind w:firstLine="705"/>
        <w:rPr>
          <w:rFonts w:ascii="宋体" w:hAnsi="宋体" w:eastAsia="宋体" w:cs="宋体"/>
          <w:sz w:val="27"/>
          <w:szCs w:val="27"/>
        </w:rPr>
      </w:pPr>
      <w:r>
        <w:rPr>
          <w:rFonts w:ascii="Times New Roman" w:hAnsi="Times New Roman" w:eastAsia="Times New Roman" w:cs="Times New Roman"/>
          <w:spacing w:val="-17"/>
          <w:sz w:val="27"/>
          <w:szCs w:val="27"/>
        </w:rPr>
        <w:t>e)</w:t>
      </w:r>
      <w:r>
        <w:rPr>
          <w:rFonts w:ascii="Times New Roman" w:hAnsi="Times New Roman" w:eastAsia="Times New Roman" w:cs="Times New Roman"/>
          <w:spacing w:val="68"/>
          <w:w w:val="101"/>
          <w:sz w:val="27"/>
          <w:szCs w:val="27"/>
        </w:rPr>
        <w:t xml:space="preserve"> </w:t>
      </w:r>
      <w:r>
        <w:rPr>
          <w:rFonts w:ascii="宋体" w:hAnsi="宋体" w:eastAsia="宋体" w:cs="宋体"/>
          <w:spacing w:val="-17"/>
          <w:sz w:val="27"/>
          <w:szCs w:val="27"/>
        </w:rPr>
        <w:t>提交《研制总要求》及《研制总要求论证报告》、《总体工艺性论证报告》、</w:t>
      </w:r>
      <w:r>
        <w:rPr>
          <w:rFonts w:ascii="宋体" w:hAnsi="宋体" w:eastAsia="宋体" w:cs="宋体"/>
          <w:sz w:val="27"/>
          <w:szCs w:val="27"/>
        </w:rPr>
        <w:t xml:space="preserve"> </w:t>
      </w:r>
      <w:r>
        <w:rPr>
          <w:rFonts w:ascii="宋体" w:hAnsi="宋体" w:eastAsia="宋体" w:cs="宋体"/>
          <w:spacing w:val="-5"/>
          <w:sz w:val="27"/>
          <w:szCs w:val="27"/>
        </w:rPr>
        <w:t>《试验与评定总计划》等文件；</w:t>
      </w:r>
    </w:p>
    <w:p w14:paraId="4CD05658">
      <w:pPr>
        <w:spacing w:before="91" w:line="212" w:lineRule="auto"/>
        <w:ind w:left="705"/>
        <w:rPr>
          <w:rFonts w:ascii="宋体" w:hAnsi="宋体" w:eastAsia="宋体" w:cs="宋体"/>
          <w:sz w:val="24"/>
          <w:szCs w:val="24"/>
        </w:rPr>
      </w:pPr>
      <w:r>
        <w:rPr>
          <w:rFonts w:ascii="Times New Roman" w:hAnsi="Times New Roman" w:eastAsia="Times New Roman" w:cs="Times New Roman"/>
          <w:spacing w:val="21"/>
          <w:sz w:val="24"/>
          <w:szCs w:val="24"/>
        </w:rPr>
        <w:t xml:space="preserve">f)  </w:t>
      </w:r>
      <w:r>
        <w:rPr>
          <w:rFonts w:ascii="宋体" w:hAnsi="宋体" w:eastAsia="宋体" w:cs="宋体"/>
          <w:spacing w:val="21"/>
          <w:sz w:val="24"/>
          <w:szCs w:val="24"/>
        </w:rPr>
        <w:t>提交规定系统功能要求的初步的《系统规范》等技术资料；</w:t>
      </w:r>
    </w:p>
    <w:p w14:paraId="10602E4C">
      <w:pPr>
        <w:spacing w:before="121" w:line="212" w:lineRule="auto"/>
        <w:ind w:left="705"/>
        <w:rPr>
          <w:rFonts w:ascii="宋体" w:hAnsi="宋体" w:eastAsia="宋体" w:cs="宋体"/>
          <w:sz w:val="27"/>
          <w:szCs w:val="27"/>
        </w:rPr>
      </w:pPr>
      <w:r>
        <w:rPr>
          <w:rFonts w:ascii="Times New Roman" w:hAnsi="Times New Roman" w:eastAsia="Times New Roman" w:cs="Times New Roman"/>
          <w:spacing w:val="3"/>
          <w:sz w:val="27"/>
          <w:szCs w:val="27"/>
        </w:rPr>
        <w:t>g)</w:t>
      </w:r>
      <w:r>
        <w:rPr>
          <w:rFonts w:ascii="Times New Roman" w:hAnsi="Times New Roman" w:eastAsia="Times New Roman" w:cs="Times New Roman"/>
          <w:spacing w:val="70"/>
          <w:sz w:val="27"/>
          <w:szCs w:val="27"/>
        </w:rPr>
        <w:t xml:space="preserve"> </w:t>
      </w:r>
      <w:r>
        <w:rPr>
          <w:rFonts w:ascii="宋体" w:hAnsi="宋体" w:eastAsia="宋体" w:cs="宋体"/>
          <w:spacing w:val="3"/>
          <w:sz w:val="27"/>
          <w:szCs w:val="27"/>
        </w:rPr>
        <w:t>本阶段交付项目及其时间进度表；</w:t>
      </w:r>
    </w:p>
    <w:p w14:paraId="5DF5EDFF">
      <w:pPr>
        <w:spacing w:before="70" w:line="212" w:lineRule="auto"/>
        <w:ind w:left="705"/>
        <w:rPr>
          <w:rFonts w:ascii="宋体" w:hAnsi="宋体" w:eastAsia="宋体" w:cs="宋体"/>
          <w:sz w:val="27"/>
          <w:szCs w:val="27"/>
        </w:rPr>
      </w:pPr>
      <w:r>
        <w:rPr>
          <w:rFonts w:ascii="Times New Roman" w:hAnsi="Times New Roman" w:eastAsia="Times New Roman" w:cs="Times New Roman"/>
          <w:sz w:val="27"/>
          <w:szCs w:val="27"/>
        </w:rPr>
        <w:t>h)</w:t>
      </w:r>
      <w:r>
        <w:rPr>
          <w:rFonts w:ascii="Times New Roman" w:hAnsi="Times New Roman" w:eastAsia="Times New Roman" w:cs="Times New Roman"/>
          <w:spacing w:val="49"/>
          <w:w w:val="101"/>
          <w:sz w:val="27"/>
          <w:szCs w:val="27"/>
        </w:rPr>
        <w:t xml:space="preserve"> </w:t>
      </w:r>
      <w:r>
        <w:rPr>
          <w:rFonts w:ascii="宋体" w:hAnsi="宋体" w:eastAsia="宋体" w:cs="宋体"/>
          <w:sz w:val="27"/>
          <w:szCs w:val="27"/>
        </w:rPr>
        <w:t>初步确定技术状态项目，提出重要接口</w:t>
      </w:r>
      <w:r>
        <w:rPr>
          <w:rFonts w:ascii="宋体" w:hAnsi="宋体" w:eastAsia="宋体" w:cs="宋体"/>
          <w:spacing w:val="-1"/>
          <w:sz w:val="27"/>
          <w:szCs w:val="27"/>
        </w:rPr>
        <w:t>的接口控制要求；</w:t>
      </w:r>
    </w:p>
    <w:p w14:paraId="7C6E1016">
      <w:pPr>
        <w:spacing w:before="90" w:line="267" w:lineRule="auto"/>
        <w:ind w:left="135" w:right="85" w:firstLine="570"/>
        <w:rPr>
          <w:rFonts w:ascii="宋体" w:hAnsi="宋体" w:eastAsia="宋体" w:cs="宋体"/>
          <w:sz w:val="27"/>
          <w:szCs w:val="27"/>
        </w:rPr>
      </w:pPr>
      <w:r>
        <w:rPr>
          <w:rFonts w:ascii="Times New Roman" w:hAnsi="Times New Roman" w:eastAsia="Times New Roman" w:cs="Times New Roman"/>
          <w:spacing w:val="5"/>
          <w:sz w:val="27"/>
          <w:szCs w:val="27"/>
        </w:rPr>
        <w:t>i)</w:t>
      </w:r>
      <w:r>
        <w:rPr>
          <w:rFonts w:ascii="Times New Roman" w:hAnsi="Times New Roman" w:eastAsia="Times New Roman" w:cs="Times New Roman"/>
          <w:spacing w:val="66"/>
          <w:sz w:val="27"/>
          <w:szCs w:val="27"/>
        </w:rPr>
        <w:t xml:space="preserve"> </w:t>
      </w:r>
      <w:r>
        <w:rPr>
          <w:rFonts w:ascii="宋体" w:hAnsi="宋体" w:eastAsia="宋体" w:cs="宋体"/>
          <w:spacing w:val="5"/>
          <w:sz w:val="27"/>
          <w:szCs w:val="27"/>
        </w:rPr>
        <w:t>编制系统工程管理计划草案、工程专业综合的计划草案和其</w:t>
      </w:r>
      <w:r>
        <w:rPr>
          <w:rFonts w:ascii="宋体" w:hAnsi="宋体" w:eastAsia="宋体" w:cs="宋体"/>
          <w:spacing w:val="4"/>
          <w:sz w:val="27"/>
          <w:szCs w:val="27"/>
        </w:rPr>
        <w:t>他项目管理</w:t>
      </w:r>
      <w:r>
        <w:rPr>
          <w:rFonts w:ascii="宋体" w:hAnsi="宋体" w:eastAsia="宋体" w:cs="宋体"/>
          <w:sz w:val="27"/>
          <w:szCs w:val="27"/>
        </w:rPr>
        <w:t xml:space="preserve"> </w:t>
      </w:r>
      <w:r>
        <w:rPr>
          <w:rFonts w:ascii="宋体" w:hAnsi="宋体" w:eastAsia="宋体" w:cs="宋体"/>
          <w:spacing w:val="-4"/>
          <w:sz w:val="27"/>
          <w:szCs w:val="27"/>
        </w:rPr>
        <w:t>文件。</w:t>
      </w:r>
    </w:p>
    <w:p w14:paraId="3A1B6EA2">
      <w:pPr>
        <w:spacing w:before="63" w:line="221" w:lineRule="auto"/>
        <w:ind w:left="134"/>
        <w:rPr>
          <w:rFonts w:ascii="黑体" w:hAnsi="黑体" w:eastAsia="黑体" w:cs="黑体"/>
          <w:sz w:val="27"/>
          <w:szCs w:val="27"/>
        </w:rPr>
      </w:pPr>
      <w:r>
        <w:rPr>
          <w:rFonts w:ascii="黑体" w:hAnsi="黑体" w:eastAsia="黑体" w:cs="黑体"/>
          <w:spacing w:val="3"/>
          <w:sz w:val="27"/>
          <w:szCs w:val="27"/>
        </w:rPr>
        <w:t xml:space="preserve">4.2  </w:t>
      </w:r>
      <w:r>
        <w:rPr>
          <w:rFonts w:ascii="黑体" w:hAnsi="黑体" w:eastAsia="黑体" w:cs="黑体"/>
          <w:b/>
          <w:bCs/>
          <w:spacing w:val="3"/>
          <w:sz w:val="27"/>
          <w:szCs w:val="27"/>
        </w:rPr>
        <w:t>双方需向对方交付的项目</w:t>
      </w:r>
    </w:p>
    <w:p w14:paraId="19F1F1F2">
      <w:pPr>
        <w:spacing w:before="92" w:line="276" w:lineRule="auto"/>
        <w:ind w:left="135" w:right="83" w:firstLine="570"/>
        <w:rPr>
          <w:rFonts w:ascii="宋体" w:hAnsi="宋体" w:eastAsia="宋体" w:cs="宋体"/>
          <w:sz w:val="27"/>
          <w:szCs w:val="27"/>
        </w:rPr>
      </w:pPr>
      <w:r>
        <w:rPr>
          <w:rFonts w:ascii="宋体" w:hAnsi="宋体" w:eastAsia="宋体" w:cs="宋体"/>
          <w:spacing w:val="2"/>
          <w:sz w:val="27"/>
          <w:szCs w:val="27"/>
        </w:rPr>
        <w:t>规定双方向对方交付的项目(包括硬件和计算机软</w:t>
      </w:r>
      <w:r>
        <w:rPr>
          <w:rFonts w:ascii="宋体" w:hAnsi="宋体" w:eastAsia="宋体" w:cs="宋体"/>
          <w:spacing w:val="1"/>
          <w:sz w:val="27"/>
          <w:szCs w:val="27"/>
        </w:rPr>
        <w:t>件、服务项目、资料项目</w:t>
      </w:r>
      <w:r>
        <w:rPr>
          <w:rFonts w:ascii="宋体" w:hAnsi="宋体" w:eastAsia="宋体" w:cs="宋体"/>
          <w:sz w:val="27"/>
          <w:szCs w:val="27"/>
        </w:rPr>
        <w:t xml:space="preserve"> </w:t>
      </w:r>
      <w:r>
        <w:rPr>
          <w:rFonts w:ascii="宋体" w:hAnsi="宋体" w:eastAsia="宋体" w:cs="宋体"/>
          <w:spacing w:val="2"/>
          <w:sz w:val="27"/>
          <w:szCs w:val="27"/>
        </w:rPr>
        <w:t>等)及交付的时间。</w:t>
      </w:r>
    </w:p>
    <w:p w14:paraId="1BBE50A2">
      <w:pPr>
        <w:spacing w:line="222" w:lineRule="auto"/>
        <w:ind w:left="134"/>
        <w:rPr>
          <w:rFonts w:ascii="黑体" w:hAnsi="黑体" w:eastAsia="黑体" w:cs="黑体"/>
          <w:sz w:val="27"/>
          <w:szCs w:val="27"/>
        </w:rPr>
      </w:pPr>
      <w:r>
        <w:rPr>
          <w:rFonts w:ascii="黑体" w:hAnsi="黑体" w:eastAsia="黑体" w:cs="黑体"/>
          <w:spacing w:val="-2"/>
          <w:sz w:val="27"/>
          <w:szCs w:val="27"/>
        </w:rPr>
        <w:t>4.3</w:t>
      </w:r>
      <w:r>
        <w:rPr>
          <w:rFonts w:ascii="黑体" w:hAnsi="黑体" w:eastAsia="黑体" w:cs="黑体"/>
          <w:spacing w:val="33"/>
          <w:sz w:val="27"/>
          <w:szCs w:val="27"/>
        </w:rPr>
        <w:t xml:space="preserve">  </w:t>
      </w:r>
      <w:r>
        <w:rPr>
          <w:rFonts w:ascii="黑体" w:hAnsi="黑体" w:eastAsia="黑体" w:cs="黑体"/>
          <w:b/>
          <w:bCs/>
          <w:spacing w:val="-2"/>
          <w:sz w:val="27"/>
          <w:szCs w:val="27"/>
        </w:rPr>
        <w:t>技术审查要求</w:t>
      </w:r>
    </w:p>
    <w:p w14:paraId="3FB8A38E">
      <w:pPr>
        <w:spacing w:before="89" w:line="282" w:lineRule="auto"/>
        <w:ind w:left="135" w:right="112" w:firstLine="570"/>
        <w:rPr>
          <w:rFonts w:ascii="宋体" w:hAnsi="宋体" w:eastAsia="宋体" w:cs="宋体"/>
          <w:sz w:val="27"/>
          <w:szCs w:val="27"/>
        </w:rPr>
      </w:pPr>
      <w:r>
        <w:rPr>
          <w:rFonts w:ascii="宋体" w:hAnsi="宋体" w:eastAsia="宋体" w:cs="宋体"/>
          <w:spacing w:val="5"/>
          <w:sz w:val="27"/>
          <w:szCs w:val="27"/>
        </w:rPr>
        <w:t>根据研制工作需要，提出在重要的工作节点和工程决策点进行阶段技术审</w:t>
      </w:r>
      <w:r>
        <w:rPr>
          <w:rFonts w:ascii="宋体" w:hAnsi="宋体" w:eastAsia="宋体" w:cs="宋体"/>
          <w:spacing w:val="2"/>
          <w:sz w:val="27"/>
          <w:szCs w:val="27"/>
        </w:rPr>
        <w:t xml:space="preserve"> </w:t>
      </w:r>
      <w:r>
        <w:rPr>
          <w:rFonts w:ascii="宋体" w:hAnsi="宋体" w:eastAsia="宋体" w:cs="宋体"/>
          <w:spacing w:val="-10"/>
          <w:sz w:val="27"/>
          <w:szCs w:val="27"/>
        </w:rPr>
        <w:t>查的要求，包括审查的内容、参加的单位等。</w:t>
      </w:r>
    </w:p>
    <w:p w14:paraId="2204C1A6">
      <w:pPr>
        <w:spacing w:before="1" w:line="221" w:lineRule="auto"/>
        <w:ind w:left="135"/>
        <w:rPr>
          <w:rFonts w:ascii="黑体" w:hAnsi="黑体" w:eastAsia="黑体" w:cs="黑体"/>
          <w:sz w:val="25"/>
          <w:szCs w:val="25"/>
        </w:rPr>
      </w:pPr>
      <w:r>
        <w:rPr>
          <w:rFonts w:ascii="黑体" w:hAnsi="黑体" w:eastAsia="黑体" w:cs="黑体"/>
          <w:spacing w:val="9"/>
          <w:sz w:val="25"/>
          <w:szCs w:val="25"/>
        </w:rPr>
        <w:t>4.4</w:t>
      </w:r>
      <w:r>
        <w:rPr>
          <w:rFonts w:ascii="黑体" w:hAnsi="黑体" w:eastAsia="黑体" w:cs="黑体"/>
          <w:spacing w:val="52"/>
          <w:sz w:val="25"/>
          <w:szCs w:val="25"/>
        </w:rPr>
        <w:t xml:space="preserve">  </w:t>
      </w:r>
      <w:r>
        <w:rPr>
          <w:rFonts w:ascii="黑体" w:hAnsi="黑体" w:eastAsia="黑体" w:cs="黑体"/>
          <w:b/>
          <w:bCs/>
          <w:spacing w:val="9"/>
          <w:sz w:val="25"/>
          <w:szCs w:val="25"/>
        </w:rPr>
        <w:t>时间进度表</w:t>
      </w:r>
    </w:p>
    <w:p w14:paraId="338C747B">
      <w:pPr>
        <w:spacing w:before="124" w:line="269" w:lineRule="auto"/>
        <w:ind w:left="134" w:right="118" w:firstLine="570"/>
        <w:rPr>
          <w:rFonts w:ascii="宋体" w:hAnsi="宋体" w:eastAsia="宋体" w:cs="宋体"/>
          <w:sz w:val="27"/>
          <w:szCs w:val="27"/>
        </w:rPr>
      </w:pPr>
      <w:r>
        <w:rPr>
          <w:rFonts w:ascii="宋体" w:hAnsi="宋体" w:eastAsia="宋体" w:cs="宋体"/>
          <w:spacing w:val="12"/>
          <w:sz w:val="27"/>
          <w:szCs w:val="27"/>
        </w:rPr>
        <w:t>按武器装备研制生产项目的网络图和4.1至4.3条规定的主要事项，按时</w:t>
      </w:r>
      <w:r>
        <w:rPr>
          <w:rFonts w:ascii="宋体" w:hAnsi="宋体" w:eastAsia="宋体" w:cs="宋体"/>
          <w:spacing w:val="17"/>
          <w:sz w:val="27"/>
          <w:szCs w:val="27"/>
        </w:rPr>
        <w:t xml:space="preserve"> </w:t>
      </w:r>
      <w:r>
        <w:rPr>
          <w:rFonts w:ascii="宋体" w:hAnsi="宋体" w:eastAsia="宋体" w:cs="宋体"/>
          <w:spacing w:val="3"/>
          <w:sz w:val="27"/>
          <w:szCs w:val="27"/>
        </w:rPr>
        <w:t>间顺序整理成研制生产工作的时间进度表。</w:t>
      </w:r>
    </w:p>
    <w:p w14:paraId="37A12235">
      <w:pPr>
        <w:pStyle w:val="2"/>
        <w:spacing w:before="18" w:line="221" w:lineRule="auto"/>
        <w:ind w:left="135"/>
        <w:rPr>
          <w:rFonts w:ascii="黑体" w:hAnsi="黑体" w:eastAsia="黑体" w:cs="黑体"/>
          <w:sz w:val="27"/>
          <w:szCs w:val="27"/>
        </w:rPr>
      </w:pPr>
      <w:r>
        <w:rPr>
          <w:b/>
          <w:bCs/>
          <w:spacing w:val="1"/>
          <w:sz w:val="27"/>
          <w:szCs w:val="27"/>
        </w:rPr>
        <w:t xml:space="preserve">5    </w:t>
      </w:r>
      <w:r>
        <w:rPr>
          <w:rFonts w:ascii="黑体" w:hAnsi="黑体" w:eastAsia="黑体" w:cs="黑体"/>
          <w:b/>
          <w:bCs/>
          <w:spacing w:val="1"/>
          <w:sz w:val="27"/>
          <w:szCs w:val="27"/>
        </w:rPr>
        <w:t>说明事项</w:t>
      </w:r>
    </w:p>
    <w:p w14:paraId="551207FB">
      <w:pPr>
        <w:spacing w:before="90" w:line="296" w:lineRule="auto"/>
        <w:ind w:left="138" w:right="839" w:firstLine="566"/>
        <w:rPr>
          <w:rFonts w:ascii="黑体" w:hAnsi="黑体" w:eastAsia="黑体" w:cs="黑体"/>
          <w:sz w:val="25"/>
          <w:szCs w:val="25"/>
        </w:rPr>
      </w:pPr>
      <w:r>
        <w:rPr>
          <w:rFonts w:ascii="宋体" w:hAnsi="宋体" w:eastAsia="宋体" w:cs="宋体"/>
          <w:spacing w:val="19"/>
          <w:sz w:val="25"/>
          <w:szCs w:val="25"/>
        </w:rPr>
        <w:t>根据武器装备研制生产项目的实际情况，给出必要的其他附加说明。</w:t>
      </w:r>
      <w:r>
        <w:rPr>
          <w:rFonts w:ascii="宋体" w:hAnsi="宋体" w:eastAsia="宋体" w:cs="宋体"/>
          <w:spacing w:val="4"/>
          <w:sz w:val="25"/>
          <w:szCs w:val="25"/>
        </w:rPr>
        <w:t xml:space="preserve"> </w:t>
      </w:r>
      <w:r>
        <w:rPr>
          <w:rFonts w:ascii="黑体" w:hAnsi="黑体" w:eastAsia="黑体" w:cs="黑体"/>
          <w:b/>
          <w:bCs/>
          <w:spacing w:val="5"/>
          <w:sz w:val="25"/>
          <w:szCs w:val="25"/>
        </w:rPr>
        <w:t>附录</w:t>
      </w:r>
    </w:p>
    <w:p w14:paraId="23CFC278">
      <w:pPr>
        <w:spacing w:before="1" w:line="218" w:lineRule="auto"/>
        <w:ind w:left="705"/>
        <w:rPr>
          <w:rFonts w:ascii="宋体" w:hAnsi="宋体" w:eastAsia="宋体" w:cs="宋体"/>
          <w:sz w:val="27"/>
          <w:szCs w:val="27"/>
        </w:rPr>
      </w:pPr>
      <w:r>
        <w:rPr>
          <w:rFonts w:ascii="宋体" w:hAnsi="宋体" w:eastAsia="宋体" w:cs="宋体"/>
          <w:sz w:val="27"/>
          <w:szCs w:val="27"/>
        </w:rPr>
        <w:t>根据需要提供附录。</w:t>
      </w:r>
    </w:p>
    <w:p w14:paraId="7AFC4F30">
      <w:pPr>
        <w:pStyle w:val="2"/>
        <w:spacing w:before="105" w:line="221" w:lineRule="auto"/>
        <w:ind w:left="255"/>
        <w:rPr>
          <w:rFonts w:ascii="黑体" w:hAnsi="黑体" w:eastAsia="黑体" w:cs="黑体"/>
          <w:sz w:val="24"/>
          <w:szCs w:val="24"/>
        </w:rPr>
      </w:pPr>
      <w:r>
        <w:rPr>
          <w:spacing w:val="25"/>
          <w:sz w:val="24"/>
          <w:szCs w:val="24"/>
        </w:rPr>
        <w:t>I</w:t>
      </w:r>
      <w:r>
        <w:rPr>
          <w:spacing w:val="3"/>
          <w:sz w:val="24"/>
          <w:szCs w:val="24"/>
        </w:rPr>
        <w:t xml:space="preserve">  </w:t>
      </w:r>
      <w:r>
        <w:rPr>
          <w:rFonts w:ascii="黑体" w:hAnsi="黑体" w:eastAsia="黑体" w:cs="黑体"/>
          <w:b/>
          <w:bCs/>
          <w:spacing w:val="25"/>
          <w:sz w:val="24"/>
          <w:szCs w:val="24"/>
        </w:rPr>
        <w:t>类工作说明</w:t>
      </w:r>
    </w:p>
    <w:p w14:paraId="575F8174">
      <w:pPr>
        <w:spacing w:before="98" w:line="271" w:lineRule="auto"/>
        <w:ind w:left="138" w:right="121" w:firstLine="570"/>
        <w:jc w:val="both"/>
        <w:rPr>
          <w:rFonts w:ascii="楷体" w:hAnsi="楷体" w:eastAsia="楷体" w:cs="楷体"/>
          <w:sz w:val="27"/>
          <w:szCs w:val="27"/>
        </w:rPr>
      </w:pPr>
      <w:r>
        <w:rPr>
          <w:rFonts w:ascii="楷体" w:hAnsi="楷体" w:eastAsia="楷体" w:cs="楷体"/>
          <w:b/>
          <w:bCs/>
          <w:spacing w:val="1"/>
          <w:sz w:val="27"/>
          <w:szCs w:val="27"/>
        </w:rPr>
        <w:t>方案阶段的主要工作是根据经批准的《研制总要求》开展武器系统方案设</w:t>
      </w:r>
      <w:r>
        <w:rPr>
          <w:rFonts w:ascii="楷体" w:hAnsi="楷体" w:eastAsia="楷体" w:cs="楷体"/>
          <w:spacing w:val="8"/>
          <w:sz w:val="27"/>
          <w:szCs w:val="27"/>
        </w:rPr>
        <w:t xml:space="preserve"> </w:t>
      </w:r>
      <w:r>
        <w:rPr>
          <w:rFonts w:ascii="楷体" w:hAnsi="楷体" w:eastAsia="楷体" w:cs="楷体"/>
          <w:b/>
          <w:bCs/>
          <w:spacing w:val="-19"/>
          <w:sz w:val="27"/>
          <w:szCs w:val="27"/>
        </w:rPr>
        <w:t>计、关键技术攻关、系统原理试验，进一步完</w:t>
      </w:r>
      <w:r>
        <w:rPr>
          <w:rFonts w:ascii="楷体" w:hAnsi="楷体" w:eastAsia="楷体" w:cs="楷体"/>
          <w:b/>
          <w:bCs/>
          <w:spacing w:val="-20"/>
          <w:sz w:val="27"/>
          <w:szCs w:val="27"/>
        </w:rPr>
        <w:t>善《系统规范》,编制《研制规范》,并</w:t>
      </w:r>
      <w:r>
        <w:rPr>
          <w:rFonts w:ascii="楷体" w:hAnsi="楷体" w:eastAsia="楷体" w:cs="楷体"/>
          <w:sz w:val="27"/>
          <w:szCs w:val="27"/>
        </w:rPr>
        <w:t xml:space="preserve"> </w:t>
      </w:r>
      <w:r>
        <w:rPr>
          <w:rFonts w:ascii="楷体" w:hAnsi="楷体" w:eastAsia="楷体" w:cs="楷体"/>
          <w:b/>
          <w:bCs/>
          <w:spacing w:val="-13"/>
          <w:sz w:val="27"/>
          <w:szCs w:val="27"/>
        </w:rPr>
        <w:t>进行原理性样机(整机、分系统)的研制与试验验证，形成《研制任务书》和《研制</w:t>
      </w:r>
      <w:r>
        <w:rPr>
          <w:rFonts w:ascii="楷体" w:hAnsi="楷体" w:eastAsia="楷体" w:cs="楷体"/>
          <w:spacing w:val="11"/>
          <w:sz w:val="27"/>
          <w:szCs w:val="27"/>
        </w:rPr>
        <w:t xml:space="preserve"> </w:t>
      </w:r>
      <w:r>
        <w:rPr>
          <w:rFonts w:ascii="楷体" w:hAnsi="楷体" w:eastAsia="楷体" w:cs="楷体"/>
          <w:b/>
          <w:bCs/>
          <w:spacing w:val="-5"/>
          <w:sz w:val="27"/>
          <w:szCs w:val="27"/>
        </w:rPr>
        <w:t>方案论证报告》。方案阶段的工作说明主要包括以下内容。</w:t>
      </w:r>
    </w:p>
    <w:p w14:paraId="5D579A10">
      <w:pPr>
        <w:spacing w:before="53" w:line="223" w:lineRule="auto"/>
        <w:ind w:left="135"/>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32"/>
          <w:sz w:val="27"/>
          <w:szCs w:val="27"/>
        </w:rPr>
        <w:t xml:space="preserve">  </w:t>
      </w:r>
      <w:r>
        <w:rPr>
          <w:rFonts w:ascii="黑体" w:hAnsi="黑体" w:eastAsia="黑体" w:cs="黑体"/>
          <w:b/>
          <w:bCs/>
          <w:spacing w:val="-8"/>
          <w:sz w:val="27"/>
          <w:szCs w:val="27"/>
        </w:rPr>
        <w:t>范围</w:t>
      </w:r>
    </w:p>
    <w:p w14:paraId="75D93ECE">
      <w:pPr>
        <w:spacing w:before="105" w:line="219" w:lineRule="auto"/>
        <w:ind w:left="705"/>
        <w:rPr>
          <w:rFonts w:ascii="宋体" w:hAnsi="宋体" w:eastAsia="宋体" w:cs="宋体"/>
          <w:sz w:val="27"/>
          <w:szCs w:val="27"/>
        </w:rPr>
      </w:pPr>
      <w:r>
        <w:rPr>
          <w:rFonts w:ascii="宋体" w:hAnsi="宋体" w:eastAsia="宋体" w:cs="宋体"/>
          <w:spacing w:val="-2"/>
          <w:sz w:val="27"/>
          <w:szCs w:val="27"/>
        </w:rPr>
        <w:t>简述工作说明的主要内容，必要时可包括一些背景资料。</w:t>
      </w:r>
    </w:p>
    <w:p w14:paraId="21D2A9F3">
      <w:pPr>
        <w:spacing w:before="56" w:line="222" w:lineRule="auto"/>
        <w:ind w:left="135"/>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23"/>
          <w:sz w:val="27"/>
          <w:szCs w:val="27"/>
        </w:rPr>
        <w:t xml:space="preserve">  </w:t>
      </w:r>
      <w:r>
        <w:rPr>
          <w:rFonts w:ascii="黑体" w:hAnsi="黑体" w:eastAsia="黑体" w:cs="黑体"/>
          <w:b/>
          <w:bCs/>
          <w:spacing w:val="-3"/>
          <w:sz w:val="27"/>
          <w:szCs w:val="27"/>
        </w:rPr>
        <w:t>引用文件</w:t>
      </w:r>
    </w:p>
    <w:p w14:paraId="1B4B2DDD">
      <w:pPr>
        <w:spacing w:before="119" w:line="271" w:lineRule="auto"/>
        <w:ind w:left="135" w:right="134" w:firstLine="570"/>
        <w:jc w:val="both"/>
        <w:rPr>
          <w:rFonts w:ascii="宋体" w:hAnsi="宋体" w:eastAsia="宋体" w:cs="宋体"/>
          <w:sz w:val="27"/>
          <w:szCs w:val="27"/>
        </w:rPr>
      </w:pPr>
      <w:r>
        <w:rPr>
          <w:rFonts w:ascii="宋体" w:hAnsi="宋体" w:eastAsia="宋体" w:cs="宋体"/>
          <w:spacing w:val="23"/>
          <w:sz w:val="27"/>
          <w:szCs w:val="27"/>
        </w:rPr>
        <w:t>列出所有在工作说明各要求部分引用过的文</w:t>
      </w:r>
      <w:r>
        <w:rPr>
          <w:rFonts w:ascii="宋体" w:hAnsi="宋体" w:eastAsia="宋体" w:cs="宋体"/>
          <w:spacing w:val="22"/>
          <w:sz w:val="27"/>
          <w:szCs w:val="27"/>
        </w:rPr>
        <w:t>件的文件号和名称</w:t>
      </w:r>
      <w:r>
        <w:rPr>
          <w:rFonts w:ascii="仿宋" w:hAnsi="仿宋" w:eastAsia="仿宋" w:cs="仿宋"/>
          <w:spacing w:val="22"/>
          <w:sz w:val="27"/>
          <w:szCs w:val="27"/>
        </w:rPr>
        <w:t>。这些</w:t>
      </w:r>
      <w:r>
        <w:rPr>
          <w:rFonts w:ascii="仿宋" w:hAnsi="仿宋" w:eastAsia="仿宋" w:cs="仿宋"/>
          <w:sz w:val="27"/>
          <w:szCs w:val="27"/>
        </w:rPr>
        <w:t xml:space="preserve"> </w:t>
      </w:r>
      <w:r>
        <w:rPr>
          <w:rFonts w:ascii="宋体" w:hAnsi="宋体" w:eastAsia="宋体" w:cs="宋体"/>
          <w:spacing w:val="31"/>
          <w:sz w:val="27"/>
          <w:szCs w:val="27"/>
        </w:rPr>
        <w:t>文件可以包括标准及其他需要用来确认和阐明工作任务或可交付产品的</w:t>
      </w:r>
      <w:r>
        <w:rPr>
          <w:rFonts w:ascii="宋体" w:hAnsi="宋体" w:eastAsia="宋体" w:cs="宋体"/>
          <w:spacing w:val="18"/>
          <w:sz w:val="27"/>
          <w:szCs w:val="27"/>
        </w:rPr>
        <w:t xml:space="preserve"> </w:t>
      </w:r>
      <w:r>
        <w:rPr>
          <w:rFonts w:ascii="宋体" w:hAnsi="宋体" w:eastAsia="宋体" w:cs="宋体"/>
          <w:spacing w:val="5"/>
          <w:sz w:val="27"/>
          <w:szCs w:val="27"/>
        </w:rPr>
        <w:t>文件。</w:t>
      </w:r>
    </w:p>
    <w:p w14:paraId="671A2633">
      <w:pPr>
        <w:spacing w:before="19" w:line="223" w:lineRule="auto"/>
        <w:ind w:left="134"/>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46"/>
          <w:sz w:val="24"/>
          <w:szCs w:val="24"/>
        </w:rPr>
        <w:t xml:space="preserve">  </w:t>
      </w:r>
      <w:r>
        <w:rPr>
          <w:rFonts w:ascii="黑体" w:hAnsi="黑体" w:eastAsia="黑体" w:cs="黑体"/>
          <w:b/>
          <w:bCs/>
          <w:spacing w:val="-7"/>
          <w:sz w:val="24"/>
          <w:szCs w:val="24"/>
        </w:rPr>
        <w:t>定</w:t>
      </w:r>
      <w:r>
        <w:rPr>
          <w:rFonts w:ascii="黑体" w:hAnsi="黑体" w:eastAsia="黑体" w:cs="黑体"/>
          <w:spacing w:val="-44"/>
          <w:sz w:val="24"/>
          <w:szCs w:val="24"/>
        </w:rPr>
        <w:t xml:space="preserve"> </w:t>
      </w:r>
      <w:r>
        <w:rPr>
          <w:rFonts w:ascii="黑体" w:hAnsi="黑体" w:eastAsia="黑体" w:cs="黑体"/>
          <w:b/>
          <w:bCs/>
          <w:spacing w:val="-7"/>
          <w:sz w:val="24"/>
          <w:szCs w:val="24"/>
        </w:rPr>
        <w:t>义</w:t>
      </w:r>
    </w:p>
    <w:p w14:paraId="0EDD65F0">
      <w:pPr>
        <w:spacing w:before="112" w:line="219" w:lineRule="auto"/>
        <w:ind w:left="705"/>
        <w:rPr>
          <w:rFonts w:ascii="宋体" w:hAnsi="宋体" w:eastAsia="宋体" w:cs="宋体"/>
          <w:sz w:val="27"/>
          <w:szCs w:val="27"/>
        </w:rPr>
      </w:pPr>
      <w:r>
        <w:rPr>
          <w:rFonts w:ascii="宋体" w:hAnsi="宋体" w:eastAsia="宋体" w:cs="宋体"/>
          <w:spacing w:val="-2"/>
          <w:sz w:val="27"/>
          <w:szCs w:val="27"/>
        </w:rPr>
        <w:t>根据需要给出某些特定术语、专用名词和缩写词的定义。</w:t>
      </w:r>
    </w:p>
    <w:p w14:paraId="237EB6F1">
      <w:pPr>
        <w:spacing w:line="219" w:lineRule="auto"/>
        <w:rPr>
          <w:rFonts w:ascii="宋体" w:hAnsi="宋体" w:eastAsia="宋体" w:cs="宋体"/>
          <w:sz w:val="27"/>
          <w:szCs w:val="27"/>
        </w:rPr>
        <w:sectPr>
          <w:footerReference r:id="rId50" w:type="default"/>
          <w:pgSz w:w="11910" w:h="17130"/>
          <w:pgMar w:top="400" w:right="1404" w:bottom="1693" w:left="884" w:header="0" w:footer="1494" w:gutter="0"/>
          <w:cols w:space="720" w:num="1"/>
        </w:sectPr>
      </w:pPr>
    </w:p>
    <w:p w14:paraId="277D2E02">
      <w:pPr>
        <w:pStyle w:val="2"/>
        <w:spacing w:line="258" w:lineRule="auto"/>
      </w:pPr>
    </w:p>
    <w:p w14:paraId="3FD867EB">
      <w:pPr>
        <w:pStyle w:val="2"/>
        <w:spacing w:line="258" w:lineRule="auto"/>
      </w:pPr>
    </w:p>
    <w:p w14:paraId="77A898AE">
      <w:pPr>
        <w:pStyle w:val="2"/>
        <w:spacing w:line="258" w:lineRule="auto"/>
      </w:pPr>
    </w:p>
    <w:p w14:paraId="43C353BC">
      <w:pPr>
        <w:pStyle w:val="2"/>
        <w:spacing w:line="259" w:lineRule="auto"/>
      </w:pPr>
    </w:p>
    <w:p w14:paraId="4768294A">
      <w:pPr>
        <w:spacing w:before="88"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21"/>
          <w:sz w:val="27"/>
          <w:szCs w:val="27"/>
        </w:rPr>
        <w:t xml:space="preserve">  </w:t>
      </w:r>
      <w:r>
        <w:rPr>
          <w:rFonts w:ascii="黑体" w:hAnsi="黑体" w:eastAsia="黑体" w:cs="黑体"/>
          <w:b/>
          <w:bCs/>
          <w:spacing w:val="-5"/>
          <w:sz w:val="27"/>
          <w:szCs w:val="27"/>
        </w:rPr>
        <w:t>要求</w:t>
      </w:r>
    </w:p>
    <w:p w14:paraId="0F886AE1">
      <w:pPr>
        <w:spacing w:before="112" w:line="221" w:lineRule="auto"/>
        <w:rPr>
          <w:rFonts w:ascii="黑体" w:hAnsi="黑体" w:eastAsia="黑体" w:cs="黑体"/>
          <w:sz w:val="24"/>
          <w:szCs w:val="24"/>
        </w:rPr>
      </w:pPr>
      <w:r>
        <w:rPr>
          <w:rFonts w:ascii="黑体" w:hAnsi="黑体" w:eastAsia="黑体" w:cs="黑体"/>
          <w:spacing w:val="23"/>
          <w:sz w:val="24"/>
          <w:szCs w:val="24"/>
        </w:rPr>
        <w:t>4.1</w:t>
      </w:r>
      <w:r>
        <w:rPr>
          <w:rFonts w:ascii="黑体" w:hAnsi="黑体" w:eastAsia="黑体" w:cs="黑体"/>
          <w:spacing w:val="53"/>
          <w:sz w:val="24"/>
          <w:szCs w:val="24"/>
        </w:rPr>
        <w:t xml:space="preserve">  </w:t>
      </w:r>
      <w:r>
        <w:rPr>
          <w:rFonts w:ascii="黑体" w:hAnsi="黑体" w:eastAsia="黑体" w:cs="黑体"/>
          <w:b/>
          <w:bCs/>
          <w:spacing w:val="23"/>
          <w:sz w:val="24"/>
          <w:szCs w:val="24"/>
        </w:rPr>
        <w:t>双方需完成的工作</w:t>
      </w:r>
    </w:p>
    <w:p w14:paraId="779386E8">
      <w:pPr>
        <w:spacing w:before="88" w:line="303" w:lineRule="auto"/>
        <w:ind w:right="38" w:firstLine="570"/>
        <w:rPr>
          <w:rFonts w:ascii="宋体" w:hAnsi="宋体" w:eastAsia="宋体" w:cs="宋体"/>
          <w:sz w:val="25"/>
          <w:szCs w:val="25"/>
        </w:rPr>
      </w:pPr>
      <w:r>
        <w:rPr>
          <w:rFonts w:ascii="宋体" w:hAnsi="宋体" w:eastAsia="宋体" w:cs="宋体"/>
          <w:spacing w:val="17"/>
          <w:sz w:val="25"/>
          <w:szCs w:val="25"/>
        </w:rPr>
        <w:t>应根据合同要求并按照合同工作分解结构，规定合同双方应完成的工作，主</w:t>
      </w:r>
      <w:r>
        <w:rPr>
          <w:rFonts w:ascii="宋体" w:hAnsi="宋体" w:eastAsia="宋体" w:cs="宋体"/>
          <w:spacing w:val="1"/>
          <w:sz w:val="25"/>
          <w:szCs w:val="25"/>
        </w:rPr>
        <w:t xml:space="preserve"> </w:t>
      </w:r>
      <w:r>
        <w:rPr>
          <w:rFonts w:ascii="宋体" w:hAnsi="宋体" w:eastAsia="宋体" w:cs="宋体"/>
          <w:spacing w:val="21"/>
          <w:sz w:val="25"/>
          <w:szCs w:val="25"/>
        </w:rPr>
        <w:t>要对下列工作项目提出要求：</w:t>
      </w:r>
    </w:p>
    <w:p w14:paraId="5A611483">
      <w:pPr>
        <w:spacing w:line="219" w:lineRule="auto"/>
        <w:ind w:left="570"/>
        <w:rPr>
          <w:rFonts w:ascii="宋体" w:hAnsi="宋体" w:eastAsia="宋体" w:cs="宋体"/>
          <w:sz w:val="27"/>
          <w:szCs w:val="27"/>
        </w:rPr>
      </w:pPr>
      <w:r>
        <w:rPr>
          <w:rFonts w:ascii="Times New Roman" w:hAnsi="Times New Roman" w:eastAsia="Times New Roman" w:cs="Times New Roman"/>
          <w:spacing w:val="6"/>
          <w:sz w:val="27"/>
          <w:szCs w:val="27"/>
        </w:rPr>
        <w:t>a</w:t>
      </w:r>
      <w:r>
        <w:rPr>
          <w:rFonts w:ascii="Times New Roman" w:hAnsi="Times New Roman" w:eastAsia="Times New Roman" w:cs="Times New Roman"/>
          <w:spacing w:val="-7"/>
          <w:sz w:val="27"/>
          <w:szCs w:val="27"/>
        </w:rPr>
        <w:t xml:space="preserve"> </w:t>
      </w:r>
      <w:r>
        <w:rPr>
          <w:rFonts w:ascii="宋体" w:hAnsi="宋体" w:eastAsia="宋体" w:cs="宋体"/>
          <w:spacing w:val="6"/>
          <w:sz w:val="27"/>
          <w:szCs w:val="27"/>
        </w:rPr>
        <w:t>)确定系统工程管理计划；</w:t>
      </w:r>
    </w:p>
    <w:p w14:paraId="70CACD45">
      <w:pPr>
        <w:spacing w:before="59" w:line="212" w:lineRule="auto"/>
        <w:ind w:left="570"/>
        <w:rPr>
          <w:rFonts w:ascii="宋体" w:hAnsi="宋体" w:eastAsia="宋体" w:cs="宋体"/>
          <w:sz w:val="27"/>
          <w:szCs w:val="27"/>
        </w:rPr>
      </w:pPr>
      <w:r>
        <w:rPr>
          <w:rFonts w:ascii="Times New Roman" w:hAnsi="Times New Roman" w:eastAsia="Times New Roman" w:cs="Times New Roman"/>
          <w:spacing w:val="-9"/>
          <w:sz w:val="27"/>
          <w:szCs w:val="27"/>
        </w:rPr>
        <w:t xml:space="preserve">b)  </w:t>
      </w:r>
      <w:r>
        <w:rPr>
          <w:rFonts w:ascii="宋体" w:hAnsi="宋体" w:eastAsia="宋体" w:cs="宋体"/>
          <w:spacing w:val="-9"/>
          <w:sz w:val="27"/>
          <w:szCs w:val="27"/>
        </w:rPr>
        <w:t>进行系统要求审查，确定《系统规范》,建立功能基线；</w:t>
      </w:r>
    </w:p>
    <w:p w14:paraId="48818AD7">
      <w:pPr>
        <w:spacing w:before="89" w:line="261" w:lineRule="auto"/>
        <w:ind w:right="17" w:firstLine="570"/>
        <w:rPr>
          <w:rFonts w:ascii="宋体" w:hAnsi="宋体" w:eastAsia="宋体" w:cs="宋体"/>
          <w:sz w:val="27"/>
          <w:szCs w:val="27"/>
        </w:rPr>
      </w:pPr>
      <w:r>
        <w:rPr>
          <w:rFonts w:ascii="Times New Roman" w:hAnsi="Times New Roman" w:eastAsia="Times New Roman" w:cs="Times New Roman"/>
          <w:spacing w:val="-4"/>
          <w:sz w:val="27"/>
          <w:szCs w:val="27"/>
        </w:rPr>
        <w:t xml:space="preserve">c)  </w:t>
      </w:r>
      <w:r>
        <w:rPr>
          <w:rFonts w:ascii="宋体" w:hAnsi="宋体" w:eastAsia="宋体" w:cs="宋体"/>
          <w:spacing w:val="-4"/>
          <w:sz w:val="27"/>
          <w:szCs w:val="27"/>
        </w:rPr>
        <w:t>确定技术状态项目，编制技术状态项目的《研制规范》,建立分配</w:t>
      </w:r>
      <w:r>
        <w:rPr>
          <w:rFonts w:ascii="宋体" w:hAnsi="宋体" w:eastAsia="宋体" w:cs="宋体"/>
          <w:spacing w:val="-5"/>
          <w:sz w:val="27"/>
          <w:szCs w:val="27"/>
        </w:rPr>
        <w:t>基线(在</w:t>
      </w:r>
      <w:r>
        <w:rPr>
          <w:rFonts w:ascii="宋体" w:hAnsi="宋体" w:eastAsia="宋体" w:cs="宋体"/>
          <w:sz w:val="27"/>
          <w:szCs w:val="27"/>
        </w:rPr>
        <w:t xml:space="preserve"> </w:t>
      </w:r>
      <w:r>
        <w:rPr>
          <w:rFonts w:ascii="宋体" w:hAnsi="宋体" w:eastAsia="宋体" w:cs="宋体"/>
          <w:spacing w:val="9"/>
          <w:sz w:val="27"/>
          <w:szCs w:val="27"/>
        </w:rPr>
        <w:t>方案阶段后期);</w:t>
      </w:r>
    </w:p>
    <w:p w14:paraId="21261709">
      <w:pPr>
        <w:spacing w:before="55" w:line="264" w:lineRule="auto"/>
        <w:ind w:right="37" w:firstLine="570"/>
        <w:rPr>
          <w:rFonts w:ascii="宋体" w:hAnsi="宋体" w:eastAsia="宋体" w:cs="宋体"/>
          <w:sz w:val="27"/>
          <w:szCs w:val="27"/>
        </w:rPr>
      </w:pPr>
      <w:r>
        <w:rPr>
          <w:rFonts w:ascii="Times New Roman" w:hAnsi="Times New Roman" w:eastAsia="Times New Roman" w:cs="Times New Roman"/>
          <w:spacing w:val="-15"/>
          <w:sz w:val="27"/>
          <w:szCs w:val="27"/>
        </w:rPr>
        <w:t xml:space="preserve">d)  </w:t>
      </w:r>
      <w:r>
        <w:rPr>
          <w:rFonts w:ascii="宋体" w:hAnsi="宋体" w:eastAsia="宋体" w:cs="宋体"/>
          <w:spacing w:val="-15"/>
          <w:sz w:val="27"/>
          <w:szCs w:val="27"/>
        </w:rPr>
        <w:t>选定分承制单位(成品厂、所),签订《成品研制合同》、《</w:t>
      </w:r>
      <w:r>
        <w:rPr>
          <w:rFonts w:ascii="宋体" w:hAnsi="宋体" w:eastAsia="宋体" w:cs="宋体"/>
          <w:spacing w:val="-16"/>
          <w:sz w:val="27"/>
          <w:szCs w:val="27"/>
        </w:rPr>
        <w:t>技术规范》和《工</w:t>
      </w:r>
      <w:r>
        <w:rPr>
          <w:rFonts w:ascii="宋体" w:hAnsi="宋体" w:eastAsia="宋体" w:cs="宋体"/>
          <w:sz w:val="27"/>
          <w:szCs w:val="27"/>
        </w:rPr>
        <w:t xml:space="preserve"> </w:t>
      </w:r>
      <w:r>
        <w:rPr>
          <w:rFonts w:ascii="宋体" w:hAnsi="宋体" w:eastAsia="宋体" w:cs="宋体"/>
          <w:spacing w:val="-19"/>
          <w:sz w:val="27"/>
          <w:szCs w:val="27"/>
        </w:rPr>
        <w:t>作说明》;</w:t>
      </w:r>
    </w:p>
    <w:p w14:paraId="266C4070">
      <w:pPr>
        <w:spacing w:before="109" w:line="219" w:lineRule="auto"/>
        <w:ind w:left="570"/>
        <w:rPr>
          <w:rFonts w:ascii="宋体" w:hAnsi="宋体" w:eastAsia="宋体" w:cs="宋体"/>
          <w:sz w:val="24"/>
          <w:szCs w:val="24"/>
        </w:rPr>
      </w:pPr>
      <w:r>
        <w:rPr>
          <w:rFonts w:ascii="Times New Roman" w:hAnsi="Times New Roman" w:eastAsia="Times New Roman" w:cs="Times New Roman"/>
          <w:spacing w:val="13"/>
          <w:sz w:val="24"/>
          <w:szCs w:val="24"/>
        </w:rPr>
        <w:t xml:space="preserve">e </w:t>
      </w:r>
      <w:r>
        <w:rPr>
          <w:rFonts w:ascii="宋体" w:hAnsi="宋体" w:eastAsia="宋体" w:cs="宋体"/>
          <w:spacing w:val="13"/>
          <w:sz w:val="24"/>
          <w:szCs w:val="24"/>
        </w:rPr>
        <w:t>)制定《接口控制文件》;</w:t>
      </w:r>
    </w:p>
    <w:p w14:paraId="393B31FC">
      <w:pPr>
        <w:spacing w:before="66" w:line="212" w:lineRule="auto"/>
        <w:ind w:left="570"/>
        <w:rPr>
          <w:rFonts w:ascii="宋体" w:hAnsi="宋体" w:eastAsia="宋体" w:cs="宋体"/>
          <w:sz w:val="27"/>
          <w:szCs w:val="27"/>
        </w:rPr>
      </w:pPr>
      <w:r>
        <w:rPr>
          <w:rFonts w:ascii="Times New Roman" w:hAnsi="Times New Roman" w:eastAsia="Times New Roman" w:cs="Times New Roman"/>
          <w:spacing w:val="-12"/>
          <w:sz w:val="27"/>
          <w:szCs w:val="27"/>
        </w:rPr>
        <w:t xml:space="preserve">f)  </w:t>
      </w:r>
      <w:r>
        <w:rPr>
          <w:rFonts w:ascii="宋体" w:hAnsi="宋体" w:eastAsia="宋体" w:cs="宋体"/>
          <w:spacing w:val="-12"/>
          <w:sz w:val="27"/>
          <w:szCs w:val="27"/>
        </w:rPr>
        <w:t>编制《软件要求规范》;</w:t>
      </w:r>
    </w:p>
    <w:p w14:paraId="44689CCF">
      <w:pPr>
        <w:spacing w:before="119"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g)</w:t>
      </w:r>
      <w:r>
        <w:rPr>
          <w:rFonts w:ascii="Times New Roman" w:hAnsi="Times New Roman" w:eastAsia="Times New Roman" w:cs="Times New Roman"/>
          <w:spacing w:val="83"/>
          <w:sz w:val="27"/>
          <w:szCs w:val="27"/>
        </w:rPr>
        <w:t xml:space="preserve"> </w:t>
      </w:r>
      <w:r>
        <w:rPr>
          <w:rFonts w:ascii="宋体" w:hAnsi="宋体" w:eastAsia="宋体" w:cs="宋体"/>
          <w:spacing w:val="-4"/>
          <w:sz w:val="27"/>
          <w:szCs w:val="27"/>
        </w:rPr>
        <w:t>完成总体设计图样和技术文件，进行子系统、主要部件的技术设计；</w:t>
      </w:r>
    </w:p>
    <w:p w14:paraId="482DC1CA">
      <w:pPr>
        <w:spacing w:before="70" w:line="212" w:lineRule="auto"/>
        <w:ind w:left="570"/>
        <w:rPr>
          <w:rFonts w:ascii="宋体" w:hAnsi="宋体" w:eastAsia="宋体" w:cs="宋体"/>
          <w:sz w:val="27"/>
          <w:szCs w:val="27"/>
        </w:rPr>
      </w:pPr>
      <w:r>
        <w:rPr>
          <w:rFonts w:ascii="Times New Roman" w:hAnsi="Times New Roman" w:eastAsia="Times New Roman" w:cs="Times New Roman"/>
          <w:spacing w:val="-5"/>
          <w:sz w:val="27"/>
          <w:szCs w:val="27"/>
        </w:rPr>
        <w:t xml:space="preserve">h)  </w:t>
      </w:r>
      <w:r>
        <w:rPr>
          <w:rFonts w:ascii="宋体" w:hAnsi="宋体" w:eastAsia="宋体" w:cs="宋体"/>
          <w:spacing w:val="-5"/>
          <w:sz w:val="27"/>
          <w:szCs w:val="27"/>
        </w:rPr>
        <w:t>修订《试验与评定总计划》,完成本阶段各项试验任务；</w:t>
      </w:r>
    </w:p>
    <w:p w14:paraId="24011470">
      <w:pPr>
        <w:spacing w:before="100" w:line="261" w:lineRule="auto"/>
        <w:ind w:right="33" w:firstLine="570"/>
        <w:rPr>
          <w:rFonts w:ascii="宋体" w:hAnsi="宋体" w:eastAsia="宋体" w:cs="宋体"/>
          <w:sz w:val="27"/>
          <w:szCs w:val="27"/>
        </w:rPr>
      </w:pPr>
      <w:r>
        <w:rPr>
          <w:rFonts w:ascii="Times New Roman" w:hAnsi="Times New Roman" w:eastAsia="Times New Roman" w:cs="Times New Roman"/>
          <w:sz w:val="27"/>
          <w:szCs w:val="27"/>
        </w:rPr>
        <w:t>i)</w:t>
      </w:r>
      <w:r>
        <w:rPr>
          <w:rFonts w:ascii="Times New Roman" w:hAnsi="Times New Roman" w:eastAsia="Times New Roman" w:cs="Times New Roman"/>
          <w:spacing w:val="79"/>
          <w:sz w:val="27"/>
          <w:szCs w:val="27"/>
        </w:rPr>
        <w:t xml:space="preserve"> </w:t>
      </w:r>
      <w:r>
        <w:rPr>
          <w:rFonts w:ascii="宋体" w:hAnsi="宋体" w:eastAsia="宋体" w:cs="宋体"/>
          <w:sz w:val="27"/>
          <w:szCs w:val="27"/>
        </w:rPr>
        <w:t xml:space="preserve">制定《风险管理计划》,确定风险项目并通过技术攻关，最大限度地降低 </w:t>
      </w:r>
      <w:r>
        <w:rPr>
          <w:rFonts w:ascii="宋体" w:hAnsi="宋体" w:eastAsia="宋体" w:cs="宋体"/>
          <w:spacing w:val="-1"/>
          <w:sz w:val="27"/>
          <w:szCs w:val="27"/>
        </w:rPr>
        <w:t>研制风险；</w:t>
      </w:r>
    </w:p>
    <w:p w14:paraId="5C30AFE1">
      <w:pPr>
        <w:spacing w:before="56" w:line="212" w:lineRule="auto"/>
        <w:ind w:left="570"/>
        <w:rPr>
          <w:rFonts w:ascii="宋体" w:hAnsi="宋体" w:eastAsia="宋体" w:cs="宋体"/>
          <w:sz w:val="27"/>
          <w:szCs w:val="27"/>
        </w:rPr>
      </w:pPr>
      <w:r>
        <w:rPr>
          <w:rFonts w:ascii="Times New Roman" w:hAnsi="Times New Roman" w:eastAsia="Times New Roman" w:cs="Times New Roman"/>
          <w:spacing w:val="-12"/>
          <w:sz w:val="27"/>
          <w:szCs w:val="27"/>
        </w:rPr>
        <w:t>j)</w:t>
      </w:r>
      <w:r>
        <w:rPr>
          <w:rFonts w:ascii="Times New Roman" w:hAnsi="Times New Roman" w:eastAsia="Times New Roman" w:cs="Times New Roman"/>
          <w:spacing w:val="65"/>
          <w:sz w:val="27"/>
          <w:szCs w:val="27"/>
        </w:rPr>
        <w:t xml:space="preserve"> </w:t>
      </w:r>
      <w:r>
        <w:rPr>
          <w:rFonts w:ascii="宋体" w:hAnsi="宋体" w:eastAsia="宋体" w:cs="宋体"/>
          <w:spacing w:val="-12"/>
          <w:sz w:val="27"/>
          <w:szCs w:val="27"/>
        </w:rPr>
        <w:t>进行保障性分析，制定《综合保障计划》;</w:t>
      </w:r>
    </w:p>
    <w:p w14:paraId="3E5F8B8B">
      <w:pPr>
        <w:spacing w:before="91" w:line="212" w:lineRule="auto"/>
        <w:ind w:left="570"/>
        <w:rPr>
          <w:rFonts w:ascii="宋体" w:hAnsi="宋体" w:eastAsia="宋体" w:cs="宋体"/>
          <w:sz w:val="27"/>
          <w:szCs w:val="27"/>
        </w:rPr>
      </w:pPr>
      <w:r>
        <w:rPr>
          <w:rFonts w:ascii="Times New Roman" w:hAnsi="Times New Roman" w:eastAsia="Times New Roman" w:cs="Times New Roman"/>
          <w:spacing w:val="-10"/>
          <w:sz w:val="27"/>
          <w:szCs w:val="27"/>
        </w:rPr>
        <w:t xml:space="preserve">k)  </w:t>
      </w:r>
      <w:r>
        <w:rPr>
          <w:rFonts w:ascii="宋体" w:hAnsi="宋体" w:eastAsia="宋体" w:cs="宋体"/>
          <w:spacing w:val="-10"/>
          <w:sz w:val="27"/>
          <w:szCs w:val="27"/>
        </w:rPr>
        <w:t>制定《技术状态管理计划》;</w:t>
      </w:r>
    </w:p>
    <w:p w14:paraId="1FD7E632">
      <w:pPr>
        <w:spacing w:before="114" w:line="277" w:lineRule="auto"/>
        <w:ind w:right="40" w:firstLine="570"/>
        <w:jc w:val="both"/>
        <w:rPr>
          <w:rFonts w:ascii="宋体" w:hAnsi="宋体" w:eastAsia="宋体" w:cs="宋体"/>
          <w:sz w:val="27"/>
          <w:szCs w:val="27"/>
        </w:rPr>
      </w:pPr>
      <w:r>
        <w:rPr>
          <w:rFonts w:ascii="宋体" w:hAnsi="宋体" w:eastAsia="宋体" w:cs="宋体"/>
          <w:spacing w:val="-10"/>
          <w:sz w:val="27"/>
          <w:szCs w:val="27"/>
        </w:rPr>
        <w:t>1)开展工程专业综合工作，制定《质量保证大纲》,《标</w:t>
      </w:r>
      <w:r>
        <w:rPr>
          <w:rFonts w:ascii="宋体" w:hAnsi="宋体" w:eastAsia="宋体" w:cs="宋体"/>
          <w:spacing w:val="-11"/>
          <w:sz w:val="27"/>
          <w:szCs w:val="27"/>
        </w:rPr>
        <w:t>准化大纲》,编制《可</w:t>
      </w:r>
      <w:r>
        <w:rPr>
          <w:rFonts w:ascii="宋体" w:hAnsi="宋体" w:eastAsia="宋体" w:cs="宋体"/>
          <w:sz w:val="27"/>
          <w:szCs w:val="27"/>
        </w:rPr>
        <w:t xml:space="preserve"> </w:t>
      </w:r>
      <w:r>
        <w:rPr>
          <w:rFonts w:ascii="宋体" w:hAnsi="宋体" w:eastAsia="宋体" w:cs="宋体"/>
          <w:spacing w:val="-31"/>
          <w:w w:val="98"/>
          <w:sz w:val="27"/>
          <w:szCs w:val="27"/>
        </w:rPr>
        <w:t>靠性大纲》、《维修性大纲》、《人机工程大纲》、《安全性工作大纲》、《电磁兼容性大</w:t>
      </w:r>
      <w:r>
        <w:rPr>
          <w:rFonts w:ascii="宋体" w:hAnsi="宋体" w:eastAsia="宋体" w:cs="宋体"/>
          <w:spacing w:val="15"/>
          <w:sz w:val="27"/>
          <w:szCs w:val="27"/>
        </w:rPr>
        <w:t xml:space="preserve"> </w:t>
      </w:r>
      <w:r>
        <w:rPr>
          <w:rFonts w:ascii="宋体" w:hAnsi="宋体" w:eastAsia="宋体" w:cs="宋体"/>
          <w:spacing w:val="-26"/>
          <w:sz w:val="27"/>
          <w:szCs w:val="27"/>
        </w:rPr>
        <w:t>纲》和《环境条件》文件等；</w:t>
      </w:r>
    </w:p>
    <w:p w14:paraId="54B0BEAB">
      <w:pPr>
        <w:spacing w:before="1"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m)</w:t>
      </w:r>
      <w:r>
        <w:rPr>
          <w:rFonts w:ascii="Times New Roman" w:hAnsi="Times New Roman" w:eastAsia="Times New Roman" w:cs="Times New Roman"/>
          <w:spacing w:val="80"/>
          <w:sz w:val="27"/>
          <w:szCs w:val="27"/>
        </w:rPr>
        <w:t xml:space="preserve"> </w:t>
      </w:r>
      <w:r>
        <w:rPr>
          <w:rFonts w:ascii="宋体" w:hAnsi="宋体" w:eastAsia="宋体" w:cs="宋体"/>
          <w:spacing w:val="4"/>
          <w:sz w:val="27"/>
          <w:szCs w:val="27"/>
        </w:rPr>
        <w:t>修订对研制费用的估算并初步估计寿命周期费用；</w:t>
      </w:r>
    </w:p>
    <w:p w14:paraId="5E77CF36">
      <w:pPr>
        <w:spacing w:before="99" w:line="212" w:lineRule="auto"/>
        <w:ind w:left="570"/>
        <w:rPr>
          <w:rFonts w:ascii="宋体" w:hAnsi="宋体" w:eastAsia="宋体" w:cs="宋体"/>
          <w:sz w:val="27"/>
          <w:szCs w:val="27"/>
        </w:rPr>
      </w:pPr>
      <w:r>
        <w:rPr>
          <w:rFonts w:ascii="Times New Roman" w:hAnsi="Times New Roman" w:eastAsia="Times New Roman" w:cs="Times New Roman"/>
          <w:spacing w:val="-5"/>
          <w:sz w:val="27"/>
          <w:szCs w:val="27"/>
        </w:rPr>
        <w:t xml:space="preserve">n)  </w:t>
      </w:r>
      <w:r>
        <w:rPr>
          <w:rFonts w:ascii="宋体" w:hAnsi="宋体" w:eastAsia="宋体" w:cs="宋体"/>
          <w:spacing w:val="-5"/>
          <w:sz w:val="27"/>
          <w:szCs w:val="27"/>
        </w:rPr>
        <w:t>根据武器装备研制工作总计划，制定系统和子系统《研制工作网络图》;</w:t>
      </w:r>
    </w:p>
    <w:p w14:paraId="6E6C479D">
      <w:pPr>
        <w:spacing w:before="80"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o)</w:t>
      </w:r>
      <w:r>
        <w:rPr>
          <w:rFonts w:ascii="Times New Roman" w:hAnsi="Times New Roman" w:eastAsia="Times New Roman" w:cs="Times New Roman"/>
          <w:spacing w:val="72"/>
          <w:sz w:val="27"/>
          <w:szCs w:val="27"/>
        </w:rPr>
        <w:t xml:space="preserve"> </w:t>
      </w:r>
      <w:r>
        <w:rPr>
          <w:rFonts w:ascii="宋体" w:hAnsi="宋体" w:eastAsia="宋体" w:cs="宋体"/>
          <w:spacing w:val="-4"/>
          <w:sz w:val="27"/>
          <w:szCs w:val="27"/>
        </w:rPr>
        <w:t>设计、制造样机并进行样机评审；</w:t>
      </w:r>
    </w:p>
    <w:p w14:paraId="1B1D3040">
      <w:pPr>
        <w:spacing w:before="120" w:line="212" w:lineRule="auto"/>
        <w:ind w:left="570"/>
        <w:rPr>
          <w:rFonts w:ascii="宋体" w:hAnsi="宋体" w:eastAsia="宋体" w:cs="宋体"/>
          <w:sz w:val="27"/>
          <w:szCs w:val="27"/>
        </w:rPr>
      </w:pPr>
      <w:r>
        <w:rPr>
          <w:rFonts w:ascii="Times New Roman" w:hAnsi="Times New Roman" w:eastAsia="Times New Roman" w:cs="Times New Roman"/>
          <w:spacing w:val="-7"/>
          <w:sz w:val="27"/>
          <w:szCs w:val="27"/>
        </w:rPr>
        <w:t xml:space="preserve">p)  </w:t>
      </w:r>
      <w:r>
        <w:rPr>
          <w:rFonts w:ascii="宋体" w:hAnsi="宋体" w:eastAsia="宋体" w:cs="宋体"/>
          <w:spacing w:val="-7"/>
          <w:sz w:val="27"/>
          <w:szCs w:val="27"/>
        </w:rPr>
        <w:t>确定试制工艺方案、总原则，进行试制生产准备；</w:t>
      </w:r>
    </w:p>
    <w:p w14:paraId="44FAC3C3">
      <w:pPr>
        <w:spacing w:before="100" w:line="212" w:lineRule="auto"/>
        <w:ind w:left="570"/>
        <w:rPr>
          <w:rFonts w:ascii="宋体" w:hAnsi="宋体" w:eastAsia="宋体" w:cs="宋体"/>
          <w:sz w:val="27"/>
          <w:szCs w:val="27"/>
        </w:rPr>
      </w:pPr>
      <w:r>
        <w:rPr>
          <w:rFonts w:ascii="Times New Roman" w:hAnsi="Times New Roman" w:eastAsia="Times New Roman" w:cs="Times New Roman"/>
          <w:spacing w:val="10"/>
          <w:sz w:val="27"/>
          <w:szCs w:val="27"/>
        </w:rPr>
        <w:t>q</w:t>
      </w:r>
      <w:r>
        <w:rPr>
          <w:rFonts w:ascii="宋体" w:hAnsi="宋体" w:eastAsia="宋体" w:cs="宋体"/>
          <w:spacing w:val="10"/>
          <w:sz w:val="27"/>
          <w:szCs w:val="27"/>
        </w:rPr>
        <w:t>)进行系统设计审查；</w:t>
      </w:r>
    </w:p>
    <w:p w14:paraId="3B6217C9">
      <w:pPr>
        <w:spacing w:before="80" w:line="212" w:lineRule="auto"/>
        <w:ind w:left="570"/>
        <w:rPr>
          <w:rFonts w:ascii="宋体" w:hAnsi="宋体" w:eastAsia="宋体" w:cs="宋体"/>
          <w:sz w:val="27"/>
          <w:szCs w:val="27"/>
        </w:rPr>
      </w:pPr>
      <w:r>
        <w:rPr>
          <w:rFonts w:ascii="Times New Roman" w:hAnsi="Times New Roman" w:eastAsia="Times New Roman" w:cs="Times New Roman"/>
          <w:spacing w:val="-15"/>
          <w:sz w:val="27"/>
          <w:szCs w:val="27"/>
        </w:rPr>
        <w:t xml:space="preserve">r)  </w:t>
      </w:r>
      <w:r>
        <w:rPr>
          <w:rFonts w:ascii="宋体" w:hAnsi="宋体" w:eastAsia="宋体" w:cs="宋体"/>
          <w:spacing w:val="-15"/>
          <w:sz w:val="27"/>
          <w:szCs w:val="27"/>
        </w:rPr>
        <w:t>编制《研制任务书》和《研制方案论证</w:t>
      </w:r>
      <w:r>
        <w:rPr>
          <w:rFonts w:ascii="宋体" w:hAnsi="宋体" w:eastAsia="宋体" w:cs="宋体"/>
          <w:spacing w:val="-16"/>
          <w:sz w:val="27"/>
          <w:szCs w:val="27"/>
        </w:rPr>
        <w:t>报告》;</w:t>
      </w:r>
    </w:p>
    <w:p w14:paraId="787E91A8">
      <w:pPr>
        <w:spacing w:before="100" w:line="212" w:lineRule="auto"/>
        <w:ind w:left="570"/>
        <w:rPr>
          <w:rFonts w:ascii="宋体" w:hAnsi="宋体" w:eastAsia="宋体" w:cs="宋体"/>
          <w:sz w:val="27"/>
          <w:szCs w:val="27"/>
        </w:rPr>
      </w:pPr>
      <w:r>
        <w:rPr>
          <w:rFonts w:ascii="Times New Roman" w:hAnsi="Times New Roman" w:eastAsia="Times New Roman" w:cs="Times New Roman"/>
          <w:spacing w:val="3"/>
          <w:sz w:val="27"/>
          <w:szCs w:val="27"/>
        </w:rPr>
        <w:t xml:space="preserve">s)  </w:t>
      </w:r>
      <w:r>
        <w:rPr>
          <w:rFonts w:ascii="宋体" w:hAnsi="宋体" w:eastAsia="宋体" w:cs="宋体"/>
          <w:spacing w:val="3"/>
          <w:sz w:val="27"/>
          <w:szCs w:val="27"/>
        </w:rPr>
        <w:t>本阶段交付项目及其时间进度表。</w:t>
      </w:r>
    </w:p>
    <w:p w14:paraId="7E8805BE">
      <w:pPr>
        <w:spacing w:before="124" w:line="221" w:lineRule="auto"/>
        <w:rPr>
          <w:rFonts w:ascii="黑体" w:hAnsi="黑体" w:eastAsia="黑体" w:cs="黑体"/>
          <w:sz w:val="27"/>
          <w:szCs w:val="27"/>
        </w:rPr>
      </w:pPr>
      <w:r>
        <w:rPr>
          <w:rFonts w:ascii="黑体" w:hAnsi="黑体" w:eastAsia="黑体" w:cs="黑体"/>
          <w:spacing w:val="1"/>
          <w:sz w:val="27"/>
          <w:szCs w:val="27"/>
        </w:rPr>
        <w:t>4.2</w:t>
      </w:r>
      <w:r>
        <w:rPr>
          <w:rFonts w:ascii="黑体" w:hAnsi="黑体" w:eastAsia="黑体" w:cs="黑体"/>
          <w:spacing w:val="49"/>
          <w:sz w:val="27"/>
          <w:szCs w:val="27"/>
        </w:rPr>
        <w:t xml:space="preserve">  </w:t>
      </w:r>
      <w:r>
        <w:rPr>
          <w:rFonts w:ascii="黑体" w:hAnsi="黑体" w:eastAsia="黑体" w:cs="黑体"/>
          <w:b/>
          <w:bCs/>
          <w:spacing w:val="1"/>
          <w:sz w:val="27"/>
          <w:szCs w:val="27"/>
        </w:rPr>
        <w:t>双方需向对方交付的项目</w:t>
      </w:r>
    </w:p>
    <w:p w14:paraId="201844BF">
      <w:pPr>
        <w:spacing w:before="93" w:line="279" w:lineRule="auto"/>
        <w:ind w:firstLine="570"/>
        <w:rPr>
          <w:rFonts w:ascii="宋体" w:hAnsi="宋体" w:eastAsia="宋体" w:cs="宋体"/>
          <w:sz w:val="27"/>
          <w:szCs w:val="27"/>
        </w:rPr>
      </w:pPr>
      <w:r>
        <w:rPr>
          <w:rFonts w:ascii="宋体" w:hAnsi="宋体" w:eastAsia="宋体" w:cs="宋体"/>
          <w:spacing w:val="2"/>
          <w:sz w:val="27"/>
          <w:szCs w:val="27"/>
        </w:rPr>
        <w:t>规定双方向对方交付的项目(包括硬件和计算机软件、服务项目、资料项目</w:t>
      </w:r>
      <w:r>
        <w:rPr>
          <w:rFonts w:ascii="宋体" w:hAnsi="宋体" w:eastAsia="宋体" w:cs="宋体"/>
          <w:spacing w:val="9"/>
          <w:sz w:val="27"/>
          <w:szCs w:val="27"/>
        </w:rPr>
        <w:t xml:space="preserve"> </w:t>
      </w:r>
      <w:r>
        <w:rPr>
          <w:rFonts w:ascii="宋体" w:hAnsi="宋体" w:eastAsia="宋体" w:cs="宋体"/>
          <w:spacing w:val="1"/>
          <w:sz w:val="27"/>
          <w:szCs w:val="27"/>
        </w:rPr>
        <w:t>等)及交付的时间。</w:t>
      </w:r>
    </w:p>
    <w:p w14:paraId="2077C2C4">
      <w:pPr>
        <w:spacing w:before="1" w:line="222" w:lineRule="auto"/>
        <w:rPr>
          <w:rFonts w:ascii="黑体" w:hAnsi="黑体" w:eastAsia="黑体" w:cs="黑体"/>
          <w:sz w:val="27"/>
          <w:szCs w:val="27"/>
        </w:rPr>
      </w:pPr>
      <w:r>
        <w:rPr>
          <w:rFonts w:ascii="黑体" w:hAnsi="黑体" w:eastAsia="黑体" w:cs="黑体"/>
          <w:sz w:val="27"/>
          <w:szCs w:val="27"/>
        </w:rPr>
        <w:t>4.3</w:t>
      </w:r>
      <w:r>
        <w:rPr>
          <w:rFonts w:ascii="黑体" w:hAnsi="黑体" w:eastAsia="黑体" w:cs="黑体"/>
          <w:spacing w:val="48"/>
          <w:sz w:val="27"/>
          <w:szCs w:val="27"/>
        </w:rPr>
        <w:t xml:space="preserve">  </w:t>
      </w:r>
      <w:r>
        <w:rPr>
          <w:rFonts w:ascii="黑体" w:hAnsi="黑体" w:eastAsia="黑体" w:cs="黑体"/>
          <w:b/>
          <w:bCs/>
          <w:sz w:val="27"/>
          <w:szCs w:val="27"/>
        </w:rPr>
        <w:t>技术审查要求</w:t>
      </w:r>
    </w:p>
    <w:p w14:paraId="4C724B99">
      <w:pPr>
        <w:spacing w:before="97" w:line="276" w:lineRule="auto"/>
        <w:ind w:right="28" w:firstLine="570"/>
        <w:rPr>
          <w:rFonts w:ascii="宋体" w:hAnsi="宋体" w:eastAsia="宋体" w:cs="宋体"/>
          <w:sz w:val="27"/>
          <w:szCs w:val="27"/>
        </w:rPr>
      </w:pPr>
      <w:r>
        <w:rPr>
          <w:rFonts w:ascii="宋体" w:hAnsi="宋体" w:eastAsia="宋体" w:cs="宋体"/>
          <w:spacing w:val="6"/>
          <w:sz w:val="27"/>
          <w:szCs w:val="27"/>
        </w:rPr>
        <w:t>根据研制工作需要，提出在重要的工作节点和工</w:t>
      </w:r>
      <w:r>
        <w:rPr>
          <w:rFonts w:ascii="宋体" w:hAnsi="宋体" w:eastAsia="宋体" w:cs="宋体"/>
          <w:spacing w:val="5"/>
          <w:sz w:val="27"/>
          <w:szCs w:val="27"/>
        </w:rPr>
        <w:t>程决策点进行阶段技术审</w:t>
      </w:r>
      <w:r>
        <w:rPr>
          <w:rFonts w:ascii="宋体" w:hAnsi="宋体" w:eastAsia="宋体" w:cs="宋体"/>
          <w:sz w:val="27"/>
          <w:szCs w:val="27"/>
        </w:rPr>
        <w:t xml:space="preserve"> </w:t>
      </w:r>
      <w:r>
        <w:rPr>
          <w:rFonts w:ascii="宋体" w:hAnsi="宋体" w:eastAsia="宋体" w:cs="宋体"/>
          <w:spacing w:val="-9"/>
          <w:sz w:val="27"/>
          <w:szCs w:val="27"/>
        </w:rPr>
        <w:t>查的要求，包括审查的内容、参加的单位等。</w:t>
      </w:r>
    </w:p>
    <w:p w14:paraId="4F5E3BB3">
      <w:pPr>
        <w:spacing w:line="276" w:lineRule="auto"/>
        <w:rPr>
          <w:rFonts w:ascii="宋体" w:hAnsi="宋体" w:eastAsia="宋体" w:cs="宋体"/>
          <w:sz w:val="27"/>
          <w:szCs w:val="27"/>
        </w:rPr>
        <w:sectPr>
          <w:footerReference r:id="rId51" w:type="default"/>
          <w:pgSz w:w="11910" w:h="17130"/>
          <w:pgMar w:top="400" w:right="1038" w:bottom="1619" w:left="1450" w:header="0" w:footer="1439" w:gutter="0"/>
          <w:cols w:space="720" w:num="1"/>
        </w:sectPr>
      </w:pPr>
    </w:p>
    <w:p w14:paraId="7CA4CC6A">
      <w:pPr>
        <w:pStyle w:val="2"/>
        <w:spacing w:line="262" w:lineRule="auto"/>
      </w:pPr>
    </w:p>
    <w:p w14:paraId="0CDDDC92">
      <w:pPr>
        <w:pStyle w:val="2"/>
        <w:spacing w:line="263" w:lineRule="auto"/>
      </w:pPr>
    </w:p>
    <w:p w14:paraId="4B98655A">
      <w:pPr>
        <w:pStyle w:val="2"/>
        <w:spacing w:line="263" w:lineRule="auto"/>
      </w:pPr>
    </w:p>
    <w:p w14:paraId="272D621B">
      <w:pPr>
        <w:pStyle w:val="2"/>
        <w:spacing w:line="263" w:lineRule="auto"/>
      </w:pPr>
    </w:p>
    <w:p w14:paraId="7ECE7C3C">
      <w:pPr>
        <w:spacing w:before="87" w:line="222" w:lineRule="auto"/>
        <w:ind w:left="131"/>
        <w:rPr>
          <w:rFonts w:ascii="黑体" w:hAnsi="黑体" w:eastAsia="黑体" w:cs="黑体"/>
          <w:sz w:val="27"/>
          <w:szCs w:val="27"/>
        </w:rPr>
      </w:pPr>
      <w:bookmarkStart w:id="22" w:name="bookmark316"/>
      <w:bookmarkEnd w:id="22"/>
      <w:r>
        <w:rPr>
          <w:rFonts w:ascii="黑体" w:hAnsi="黑体" w:eastAsia="黑体" w:cs="黑体"/>
          <w:spacing w:val="-1"/>
          <w:sz w:val="27"/>
          <w:szCs w:val="27"/>
        </w:rPr>
        <w:t>4.4</w:t>
      </w:r>
      <w:r>
        <w:rPr>
          <w:rFonts w:ascii="黑体" w:hAnsi="黑体" w:eastAsia="黑体" w:cs="黑体"/>
          <w:spacing w:val="17"/>
          <w:sz w:val="27"/>
          <w:szCs w:val="27"/>
        </w:rPr>
        <w:t xml:space="preserve">  </w:t>
      </w:r>
      <w:r>
        <w:rPr>
          <w:rFonts w:ascii="黑体" w:hAnsi="黑体" w:eastAsia="黑体" w:cs="黑体"/>
          <w:b/>
          <w:bCs/>
          <w:spacing w:val="-1"/>
          <w:sz w:val="27"/>
          <w:szCs w:val="27"/>
        </w:rPr>
        <w:t>时间进度表</w:t>
      </w:r>
    </w:p>
    <w:p w14:paraId="4EE0D316">
      <w:pPr>
        <w:spacing w:before="80" w:line="282" w:lineRule="auto"/>
        <w:ind w:left="131" w:right="118" w:firstLine="560"/>
        <w:rPr>
          <w:rFonts w:ascii="宋体" w:hAnsi="宋体" w:eastAsia="宋体" w:cs="宋体"/>
          <w:sz w:val="27"/>
          <w:szCs w:val="27"/>
        </w:rPr>
      </w:pPr>
      <w:r>
        <w:rPr>
          <w:rFonts w:ascii="宋体" w:hAnsi="宋体" w:eastAsia="宋体" w:cs="宋体"/>
          <w:spacing w:val="13"/>
          <w:sz w:val="27"/>
          <w:szCs w:val="27"/>
        </w:rPr>
        <w:t>按武器装备研制生产项目的网络图和4.1至4.3条规定的主要事项，按时</w:t>
      </w:r>
      <w:r>
        <w:rPr>
          <w:rFonts w:ascii="宋体" w:hAnsi="宋体" w:eastAsia="宋体" w:cs="宋体"/>
          <w:spacing w:val="3"/>
          <w:sz w:val="27"/>
          <w:szCs w:val="27"/>
        </w:rPr>
        <w:t xml:space="preserve"> 间顺序整理成研制生产工作的时间进度表。</w:t>
      </w:r>
    </w:p>
    <w:p w14:paraId="2D132E0B">
      <w:pPr>
        <w:spacing w:before="1" w:line="220" w:lineRule="auto"/>
        <w:ind w:left="131"/>
        <w:rPr>
          <w:rFonts w:ascii="黑体" w:hAnsi="黑体" w:eastAsia="黑体" w:cs="黑体"/>
          <w:sz w:val="27"/>
          <w:szCs w:val="27"/>
        </w:rPr>
      </w:pPr>
      <w:r>
        <w:rPr>
          <w:rFonts w:ascii="黑体" w:hAnsi="黑体" w:eastAsia="黑体" w:cs="黑体"/>
          <w:sz w:val="27"/>
          <w:szCs w:val="27"/>
        </w:rPr>
        <w:t>5</w:t>
      </w:r>
      <w:r>
        <w:rPr>
          <w:rFonts w:ascii="黑体" w:hAnsi="黑体" w:eastAsia="黑体" w:cs="黑体"/>
          <w:spacing w:val="17"/>
          <w:sz w:val="27"/>
          <w:szCs w:val="27"/>
        </w:rPr>
        <w:t xml:space="preserve">  </w:t>
      </w:r>
      <w:r>
        <w:rPr>
          <w:rFonts w:ascii="黑体" w:hAnsi="黑体" w:eastAsia="黑体" w:cs="黑体"/>
          <w:b/>
          <w:bCs/>
          <w:sz w:val="27"/>
          <w:szCs w:val="27"/>
        </w:rPr>
        <w:t>说明事项</w:t>
      </w:r>
    </w:p>
    <w:p w14:paraId="591D9C2B">
      <w:pPr>
        <w:spacing w:before="82" w:line="280" w:lineRule="auto"/>
        <w:ind w:left="135" w:right="839" w:firstLine="556"/>
        <w:rPr>
          <w:rFonts w:ascii="黑体" w:hAnsi="黑体" w:eastAsia="黑体" w:cs="黑体"/>
          <w:sz w:val="27"/>
          <w:szCs w:val="27"/>
        </w:rPr>
      </w:pPr>
      <w:r>
        <w:rPr>
          <w:rFonts w:ascii="宋体" w:hAnsi="宋体" w:eastAsia="宋体" w:cs="宋体"/>
          <w:sz w:val="27"/>
          <w:szCs w:val="27"/>
        </w:rPr>
        <w:t>根据武器装备研制生产项目的实际情况，给出必要的</w:t>
      </w:r>
      <w:r>
        <w:rPr>
          <w:rFonts w:ascii="宋体" w:hAnsi="宋体" w:eastAsia="宋体" w:cs="宋体"/>
          <w:spacing w:val="-1"/>
          <w:sz w:val="27"/>
          <w:szCs w:val="27"/>
        </w:rPr>
        <w:t>其他附加说明。</w:t>
      </w:r>
      <w:r>
        <w:rPr>
          <w:rFonts w:ascii="宋体" w:hAnsi="宋体" w:eastAsia="宋体" w:cs="宋体"/>
          <w:sz w:val="27"/>
          <w:szCs w:val="27"/>
        </w:rPr>
        <w:t xml:space="preserve"> </w:t>
      </w:r>
      <w:r>
        <w:rPr>
          <w:rFonts w:ascii="黑体" w:hAnsi="黑体" w:eastAsia="黑体" w:cs="黑体"/>
          <w:b/>
          <w:bCs/>
          <w:spacing w:val="-10"/>
          <w:sz w:val="27"/>
          <w:szCs w:val="27"/>
        </w:rPr>
        <w:t>附录</w:t>
      </w:r>
    </w:p>
    <w:p w14:paraId="2E170ABB">
      <w:pPr>
        <w:spacing w:before="1" w:line="218" w:lineRule="auto"/>
        <w:ind w:left="691"/>
        <w:rPr>
          <w:rFonts w:ascii="宋体" w:hAnsi="宋体" w:eastAsia="宋体" w:cs="宋体"/>
          <w:sz w:val="27"/>
          <w:szCs w:val="27"/>
        </w:rPr>
      </w:pPr>
      <w:r>
        <w:rPr>
          <w:rFonts w:ascii="宋体" w:hAnsi="宋体" w:eastAsia="宋体" w:cs="宋体"/>
          <w:sz w:val="27"/>
          <w:szCs w:val="27"/>
        </w:rPr>
        <w:t>根据需要提供附录。</w:t>
      </w:r>
    </w:p>
    <w:p w14:paraId="34C07BD5">
      <w:pPr>
        <w:spacing w:before="65" w:line="221" w:lineRule="auto"/>
        <w:ind w:left="215"/>
        <w:rPr>
          <w:rFonts w:ascii="黑体" w:hAnsi="黑体" w:eastAsia="黑体" w:cs="黑体"/>
          <w:sz w:val="27"/>
          <w:szCs w:val="27"/>
        </w:rPr>
      </w:pPr>
      <w:r>
        <w:rPr>
          <w:rFonts w:ascii="黑体" w:hAnsi="黑体" w:eastAsia="黑体" w:cs="黑体"/>
          <w:b/>
          <w:bCs/>
          <w:spacing w:val="-8"/>
          <w:sz w:val="27"/>
          <w:szCs w:val="27"/>
        </w:rPr>
        <w:t>Ⅱ类工作说明</w:t>
      </w:r>
    </w:p>
    <w:p w14:paraId="15796B91">
      <w:pPr>
        <w:spacing w:before="92" w:line="279" w:lineRule="auto"/>
        <w:ind w:right="3" w:firstLine="695"/>
        <w:jc w:val="both"/>
        <w:rPr>
          <w:rFonts w:ascii="楷体" w:hAnsi="楷体" w:eastAsia="楷体" w:cs="楷体"/>
          <w:sz w:val="27"/>
          <w:szCs w:val="27"/>
        </w:rPr>
      </w:pPr>
      <w:r>
        <w:rPr>
          <w:rFonts w:ascii="楷体" w:hAnsi="楷体" w:eastAsia="楷体" w:cs="楷体"/>
          <w:b/>
          <w:bCs/>
          <w:spacing w:val="-10"/>
          <w:sz w:val="27"/>
          <w:szCs w:val="27"/>
        </w:rPr>
        <w:t>工程研制阶段和设计定型阶段的主要工作是根据《系统</w:t>
      </w:r>
      <w:r>
        <w:rPr>
          <w:rFonts w:ascii="楷体" w:hAnsi="楷体" w:eastAsia="楷体" w:cs="楷体"/>
          <w:b/>
          <w:bCs/>
          <w:spacing w:val="-11"/>
          <w:sz w:val="27"/>
          <w:szCs w:val="27"/>
        </w:rPr>
        <w:t>规范》和《研制规范》</w:t>
      </w:r>
      <w:r>
        <w:rPr>
          <w:rFonts w:ascii="楷体" w:hAnsi="楷体" w:eastAsia="楷体" w:cs="楷体"/>
          <w:sz w:val="27"/>
          <w:szCs w:val="27"/>
        </w:rPr>
        <w:t xml:space="preserve"> </w:t>
      </w:r>
      <w:r>
        <w:rPr>
          <w:rFonts w:ascii="楷体" w:hAnsi="楷体" w:eastAsia="楷体" w:cs="楷体"/>
          <w:b/>
          <w:bCs/>
          <w:spacing w:val="-2"/>
          <w:sz w:val="27"/>
          <w:szCs w:val="27"/>
        </w:rPr>
        <w:t>进行武器装备的系统或分系统的设计、试制和试验工作并进行评定，编制初步的</w:t>
      </w:r>
      <w:r>
        <w:rPr>
          <w:rFonts w:ascii="楷体" w:hAnsi="楷体" w:eastAsia="楷体" w:cs="楷体"/>
          <w:spacing w:val="7"/>
          <w:sz w:val="27"/>
          <w:szCs w:val="27"/>
        </w:rPr>
        <w:t xml:space="preserve">  </w:t>
      </w:r>
      <w:r>
        <w:rPr>
          <w:rFonts w:ascii="楷体" w:hAnsi="楷体" w:eastAsia="楷体" w:cs="楷体"/>
          <w:b/>
          <w:bCs/>
          <w:spacing w:val="-20"/>
          <w:sz w:val="27"/>
          <w:szCs w:val="27"/>
        </w:rPr>
        <w:t>《产品规范》、《工艺规范》和《材料规范》,开展设计定型的各项准备工作，并完成</w:t>
      </w:r>
      <w:r>
        <w:rPr>
          <w:rFonts w:ascii="楷体" w:hAnsi="楷体" w:eastAsia="楷体" w:cs="楷体"/>
          <w:spacing w:val="7"/>
          <w:sz w:val="27"/>
          <w:szCs w:val="27"/>
        </w:rPr>
        <w:t xml:space="preserve">  </w:t>
      </w:r>
      <w:r>
        <w:rPr>
          <w:rFonts w:ascii="楷体" w:hAnsi="楷体" w:eastAsia="楷体" w:cs="楷体"/>
          <w:b/>
          <w:bCs/>
          <w:spacing w:val="10"/>
          <w:sz w:val="27"/>
          <w:szCs w:val="27"/>
        </w:rPr>
        <w:t>设计定型。这一阶段的预期输出是一个武器装备系统(包括满足主要作战任务</w:t>
      </w:r>
      <w:r>
        <w:rPr>
          <w:rFonts w:ascii="楷体" w:hAnsi="楷体" w:eastAsia="楷体" w:cs="楷体"/>
          <w:spacing w:val="4"/>
          <w:sz w:val="27"/>
          <w:szCs w:val="27"/>
        </w:rPr>
        <w:t xml:space="preserve">  </w:t>
      </w:r>
      <w:r>
        <w:rPr>
          <w:rFonts w:ascii="楷体" w:hAnsi="楷体" w:eastAsia="楷体" w:cs="楷体"/>
          <w:b/>
          <w:bCs/>
          <w:spacing w:val="10"/>
          <w:sz w:val="27"/>
          <w:szCs w:val="27"/>
        </w:rPr>
        <w:t>的武器装备和所有必要的综合保障)及生产该系统所需的资料和文件。</w:t>
      </w:r>
      <w:r>
        <w:rPr>
          <w:rFonts w:ascii="楷体" w:hAnsi="楷体" w:eastAsia="楷体" w:cs="楷体"/>
          <w:b/>
          <w:bCs/>
          <w:spacing w:val="9"/>
          <w:sz w:val="27"/>
          <w:szCs w:val="27"/>
        </w:rPr>
        <w:t>应评估</w:t>
      </w:r>
      <w:r>
        <w:rPr>
          <w:rFonts w:ascii="楷体" w:hAnsi="楷体" w:eastAsia="楷体" w:cs="楷体"/>
          <w:sz w:val="27"/>
          <w:szCs w:val="27"/>
        </w:rPr>
        <w:t xml:space="preserve">  </w:t>
      </w:r>
      <w:r>
        <w:rPr>
          <w:rFonts w:ascii="楷体" w:hAnsi="楷体" w:eastAsia="楷体" w:cs="楷体"/>
          <w:b/>
          <w:bCs/>
          <w:spacing w:val="-5"/>
          <w:sz w:val="27"/>
          <w:szCs w:val="27"/>
        </w:rPr>
        <w:t>系统的生产性，编制《生产和制造计划》,以便减小生产阶段的风险。工程研制阶</w:t>
      </w:r>
      <w:r>
        <w:rPr>
          <w:rFonts w:ascii="楷体" w:hAnsi="楷体" w:eastAsia="楷体" w:cs="楷体"/>
          <w:spacing w:val="6"/>
          <w:sz w:val="27"/>
          <w:szCs w:val="27"/>
        </w:rPr>
        <w:t xml:space="preserve">  </w:t>
      </w:r>
      <w:r>
        <w:rPr>
          <w:rFonts w:ascii="楷体" w:hAnsi="楷体" w:eastAsia="楷体" w:cs="楷体"/>
          <w:b/>
          <w:bCs/>
          <w:spacing w:val="7"/>
          <w:sz w:val="27"/>
          <w:szCs w:val="27"/>
        </w:rPr>
        <w:t>段和设计定型阶段的工作说明主要包括以下内容。</w:t>
      </w:r>
    </w:p>
    <w:p w14:paraId="5D0AE773">
      <w:pPr>
        <w:spacing w:before="31" w:line="223" w:lineRule="auto"/>
        <w:ind w:left="131"/>
        <w:rPr>
          <w:rFonts w:ascii="黑体" w:hAnsi="黑体" w:eastAsia="黑体" w:cs="黑体"/>
          <w:sz w:val="24"/>
          <w:szCs w:val="24"/>
        </w:rPr>
      </w:pPr>
      <w:r>
        <w:rPr>
          <w:rFonts w:ascii="黑体" w:hAnsi="黑体" w:eastAsia="黑体" w:cs="黑体"/>
          <w:spacing w:val="-14"/>
          <w:sz w:val="24"/>
          <w:szCs w:val="24"/>
        </w:rPr>
        <w:t>1</w:t>
      </w:r>
      <w:r>
        <w:rPr>
          <w:rFonts w:ascii="黑体" w:hAnsi="黑体" w:eastAsia="黑体" w:cs="黑体"/>
          <w:spacing w:val="48"/>
          <w:sz w:val="24"/>
          <w:szCs w:val="24"/>
        </w:rPr>
        <w:t xml:space="preserve">  </w:t>
      </w:r>
      <w:r>
        <w:rPr>
          <w:rFonts w:ascii="黑体" w:hAnsi="黑体" w:eastAsia="黑体" w:cs="黑体"/>
          <w:b/>
          <w:bCs/>
          <w:spacing w:val="-14"/>
          <w:sz w:val="24"/>
          <w:szCs w:val="24"/>
        </w:rPr>
        <w:t>范</w:t>
      </w:r>
      <w:r>
        <w:rPr>
          <w:rFonts w:ascii="黑体" w:hAnsi="黑体" w:eastAsia="黑体" w:cs="黑体"/>
          <w:spacing w:val="-16"/>
          <w:sz w:val="24"/>
          <w:szCs w:val="24"/>
        </w:rPr>
        <w:t xml:space="preserve"> </w:t>
      </w:r>
      <w:r>
        <w:rPr>
          <w:rFonts w:ascii="黑体" w:hAnsi="黑体" w:eastAsia="黑体" w:cs="黑体"/>
          <w:b/>
          <w:bCs/>
          <w:spacing w:val="-14"/>
          <w:sz w:val="24"/>
          <w:szCs w:val="24"/>
        </w:rPr>
        <w:t>围</w:t>
      </w:r>
    </w:p>
    <w:p w14:paraId="2F62AAFD">
      <w:pPr>
        <w:spacing w:before="92" w:line="219" w:lineRule="auto"/>
        <w:ind w:left="691"/>
        <w:rPr>
          <w:rFonts w:ascii="宋体" w:hAnsi="宋体" w:eastAsia="宋体" w:cs="宋体"/>
          <w:sz w:val="27"/>
          <w:szCs w:val="27"/>
        </w:rPr>
      </w:pPr>
      <w:r>
        <w:rPr>
          <w:rFonts w:ascii="宋体" w:hAnsi="宋体" w:eastAsia="宋体" w:cs="宋体"/>
          <w:spacing w:val="-3"/>
          <w:sz w:val="27"/>
          <w:szCs w:val="27"/>
        </w:rPr>
        <w:t>简述工作说明的主要内容，一般不包括背景资料。</w:t>
      </w:r>
    </w:p>
    <w:p w14:paraId="0CA0C0ED">
      <w:pPr>
        <w:spacing w:before="86" w:line="222" w:lineRule="auto"/>
        <w:ind w:left="131"/>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8"/>
          <w:sz w:val="27"/>
          <w:szCs w:val="27"/>
        </w:rPr>
        <w:t xml:space="preserve">  </w:t>
      </w:r>
      <w:r>
        <w:rPr>
          <w:rFonts w:ascii="黑体" w:hAnsi="黑体" w:eastAsia="黑体" w:cs="黑体"/>
          <w:b/>
          <w:bCs/>
          <w:spacing w:val="-1"/>
          <w:sz w:val="27"/>
          <w:szCs w:val="27"/>
        </w:rPr>
        <w:t>引用文件</w:t>
      </w:r>
    </w:p>
    <w:p w14:paraId="278D45CC">
      <w:pPr>
        <w:spacing w:before="92" w:line="282" w:lineRule="auto"/>
        <w:ind w:left="131" w:right="110" w:firstLine="560"/>
        <w:rPr>
          <w:rFonts w:ascii="宋体" w:hAnsi="宋体" w:eastAsia="宋体" w:cs="宋体"/>
          <w:sz w:val="27"/>
          <w:szCs w:val="27"/>
        </w:rPr>
      </w:pPr>
      <w:r>
        <w:rPr>
          <w:rFonts w:ascii="宋体" w:hAnsi="宋体" w:eastAsia="宋体" w:cs="宋体"/>
          <w:spacing w:val="6"/>
          <w:sz w:val="27"/>
          <w:szCs w:val="27"/>
        </w:rPr>
        <w:t>列出所有在工作说明正文中引用过的文件的文件号和</w:t>
      </w:r>
      <w:r>
        <w:rPr>
          <w:rFonts w:ascii="宋体" w:hAnsi="宋体" w:eastAsia="宋体" w:cs="宋体"/>
          <w:spacing w:val="5"/>
          <w:sz w:val="27"/>
          <w:szCs w:val="27"/>
        </w:rPr>
        <w:t>名称。这些文件可以</w:t>
      </w:r>
      <w:r>
        <w:rPr>
          <w:rFonts w:ascii="宋体" w:hAnsi="宋体" w:eastAsia="宋体" w:cs="宋体"/>
          <w:sz w:val="27"/>
          <w:szCs w:val="27"/>
        </w:rPr>
        <w:t xml:space="preserve"> </w:t>
      </w:r>
      <w:r>
        <w:rPr>
          <w:rFonts w:ascii="宋体" w:hAnsi="宋体" w:eastAsia="宋体" w:cs="宋体"/>
          <w:spacing w:val="4"/>
          <w:sz w:val="27"/>
          <w:szCs w:val="27"/>
        </w:rPr>
        <w:t>包括标准及其他需要用来确认和阐明工作或可交付产品的文件。</w:t>
      </w:r>
    </w:p>
    <w:p w14:paraId="28A85C5F">
      <w:pPr>
        <w:spacing w:before="10" w:line="223" w:lineRule="auto"/>
        <w:ind w:left="131"/>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41"/>
          <w:sz w:val="24"/>
          <w:szCs w:val="24"/>
        </w:rPr>
        <w:t xml:space="preserve">  </w:t>
      </w:r>
      <w:r>
        <w:rPr>
          <w:rFonts w:ascii="黑体" w:hAnsi="黑体" w:eastAsia="黑体" w:cs="黑体"/>
          <w:b/>
          <w:bCs/>
          <w:spacing w:val="-7"/>
          <w:sz w:val="24"/>
          <w:szCs w:val="24"/>
        </w:rPr>
        <w:t>定</w:t>
      </w:r>
      <w:r>
        <w:rPr>
          <w:rFonts w:ascii="黑体" w:hAnsi="黑体" w:eastAsia="黑体" w:cs="黑体"/>
          <w:spacing w:val="-44"/>
          <w:sz w:val="24"/>
          <w:szCs w:val="24"/>
        </w:rPr>
        <w:t xml:space="preserve"> </w:t>
      </w:r>
      <w:r>
        <w:rPr>
          <w:rFonts w:ascii="黑体" w:hAnsi="黑体" w:eastAsia="黑体" w:cs="黑体"/>
          <w:b/>
          <w:bCs/>
          <w:spacing w:val="-7"/>
          <w:sz w:val="24"/>
          <w:szCs w:val="24"/>
        </w:rPr>
        <w:t>义</w:t>
      </w:r>
    </w:p>
    <w:p w14:paraId="0CBECA73">
      <w:pPr>
        <w:spacing w:before="92" w:line="219" w:lineRule="auto"/>
        <w:ind w:left="691"/>
        <w:rPr>
          <w:rFonts w:ascii="宋体" w:hAnsi="宋体" w:eastAsia="宋体" w:cs="宋体"/>
          <w:sz w:val="27"/>
          <w:szCs w:val="27"/>
        </w:rPr>
      </w:pPr>
      <w:r>
        <w:rPr>
          <w:rFonts w:ascii="宋体" w:hAnsi="宋体" w:eastAsia="宋体" w:cs="宋体"/>
          <w:spacing w:val="-2"/>
          <w:sz w:val="27"/>
          <w:szCs w:val="27"/>
        </w:rPr>
        <w:t>根据需要给出某些特定术语、专用名词和缩写词的定义。</w:t>
      </w:r>
    </w:p>
    <w:p w14:paraId="2C392438">
      <w:pPr>
        <w:spacing w:before="107" w:line="222" w:lineRule="auto"/>
        <w:ind w:left="131"/>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30"/>
          <w:sz w:val="25"/>
          <w:szCs w:val="25"/>
        </w:rPr>
        <w:t xml:space="preserve">  </w:t>
      </w:r>
      <w:r>
        <w:rPr>
          <w:rFonts w:ascii="黑体" w:hAnsi="黑体" w:eastAsia="黑体" w:cs="黑体"/>
          <w:b/>
          <w:bCs/>
          <w:spacing w:val="9"/>
          <w:sz w:val="25"/>
          <w:szCs w:val="25"/>
        </w:rPr>
        <w:t>要求</w:t>
      </w:r>
    </w:p>
    <w:p w14:paraId="2A7088A0">
      <w:pPr>
        <w:spacing w:before="98" w:line="221" w:lineRule="auto"/>
        <w:ind w:left="131"/>
        <w:rPr>
          <w:rFonts w:ascii="黑体" w:hAnsi="黑体" w:eastAsia="黑体" w:cs="黑体"/>
          <w:sz w:val="27"/>
          <w:szCs w:val="27"/>
        </w:rPr>
      </w:pPr>
      <w:r>
        <w:rPr>
          <w:rFonts w:ascii="黑体" w:hAnsi="黑体" w:eastAsia="黑体" w:cs="黑体"/>
          <w:spacing w:val="-3"/>
          <w:sz w:val="27"/>
          <w:szCs w:val="27"/>
        </w:rPr>
        <w:t>4.1</w:t>
      </w:r>
      <w:r>
        <w:rPr>
          <w:rFonts w:ascii="黑体" w:hAnsi="黑体" w:eastAsia="黑体" w:cs="黑体"/>
          <w:spacing w:val="47"/>
          <w:sz w:val="27"/>
          <w:szCs w:val="27"/>
        </w:rPr>
        <w:t xml:space="preserve">  </w:t>
      </w:r>
      <w:r>
        <w:rPr>
          <w:rFonts w:ascii="黑体" w:hAnsi="黑体" w:eastAsia="黑体" w:cs="黑体"/>
          <w:b/>
          <w:bCs/>
          <w:spacing w:val="-3"/>
          <w:sz w:val="27"/>
          <w:szCs w:val="27"/>
        </w:rPr>
        <w:t>双方需完成的工作</w:t>
      </w:r>
    </w:p>
    <w:p w14:paraId="50D031F4">
      <w:pPr>
        <w:spacing w:before="92" w:line="277" w:lineRule="auto"/>
        <w:ind w:left="131" w:right="112" w:firstLine="560"/>
        <w:rPr>
          <w:rFonts w:ascii="宋体" w:hAnsi="宋体" w:eastAsia="宋体" w:cs="宋体"/>
          <w:sz w:val="27"/>
          <w:szCs w:val="27"/>
        </w:rPr>
      </w:pPr>
      <w:r>
        <w:rPr>
          <w:rFonts w:ascii="宋体" w:hAnsi="宋体" w:eastAsia="宋体" w:cs="宋体"/>
          <w:spacing w:val="6"/>
          <w:sz w:val="27"/>
          <w:szCs w:val="27"/>
        </w:rPr>
        <w:t>根据《合同工作分解结构》来确定合同双方应完</w:t>
      </w:r>
      <w:r>
        <w:rPr>
          <w:rFonts w:ascii="宋体" w:hAnsi="宋体" w:eastAsia="宋体" w:cs="宋体"/>
          <w:spacing w:val="5"/>
          <w:sz w:val="27"/>
          <w:szCs w:val="27"/>
        </w:rPr>
        <w:t>成的工作，主要包括下列</w:t>
      </w:r>
      <w:r>
        <w:rPr>
          <w:rFonts w:ascii="宋体" w:hAnsi="宋体" w:eastAsia="宋体" w:cs="宋体"/>
          <w:sz w:val="27"/>
          <w:szCs w:val="27"/>
        </w:rPr>
        <w:t xml:space="preserve"> </w:t>
      </w:r>
      <w:r>
        <w:rPr>
          <w:rFonts w:ascii="宋体" w:hAnsi="宋体" w:eastAsia="宋体" w:cs="宋体"/>
          <w:spacing w:val="-6"/>
          <w:sz w:val="27"/>
          <w:szCs w:val="27"/>
        </w:rPr>
        <w:t>要求：</w:t>
      </w:r>
    </w:p>
    <w:p w14:paraId="4407B2F0">
      <w:pPr>
        <w:spacing w:before="1" w:line="219" w:lineRule="auto"/>
        <w:ind w:left="691"/>
        <w:rPr>
          <w:rFonts w:ascii="宋体" w:hAnsi="宋体" w:eastAsia="宋体" w:cs="宋体"/>
          <w:sz w:val="27"/>
          <w:szCs w:val="27"/>
        </w:rPr>
      </w:pPr>
      <w:r>
        <w:rPr>
          <w:rFonts w:ascii="Times New Roman" w:hAnsi="Times New Roman" w:eastAsia="Times New Roman" w:cs="Times New Roman"/>
          <w:spacing w:val="8"/>
          <w:sz w:val="27"/>
          <w:szCs w:val="27"/>
        </w:rPr>
        <w:t>a</w:t>
      </w:r>
      <w:r>
        <w:rPr>
          <w:rFonts w:ascii="宋体" w:hAnsi="宋体" w:eastAsia="宋体" w:cs="宋体"/>
          <w:spacing w:val="8"/>
          <w:sz w:val="27"/>
          <w:szCs w:val="27"/>
        </w:rPr>
        <w:t>)实施系统工程管理计划；</w:t>
      </w:r>
    </w:p>
    <w:p w14:paraId="1DFA906D">
      <w:pPr>
        <w:spacing w:before="70" w:line="262" w:lineRule="auto"/>
        <w:ind w:left="131" w:firstLine="560"/>
        <w:rPr>
          <w:rFonts w:ascii="宋体" w:hAnsi="宋体" w:eastAsia="宋体" w:cs="宋体"/>
          <w:sz w:val="27"/>
          <w:szCs w:val="27"/>
        </w:rPr>
      </w:pPr>
      <w:r>
        <w:rPr>
          <w:rFonts w:ascii="Times New Roman" w:hAnsi="Times New Roman" w:eastAsia="Times New Roman" w:cs="Times New Roman"/>
          <w:spacing w:val="-19"/>
          <w:sz w:val="27"/>
          <w:szCs w:val="27"/>
        </w:rPr>
        <w:t xml:space="preserve">b)  </w:t>
      </w:r>
      <w:r>
        <w:rPr>
          <w:rFonts w:ascii="宋体" w:hAnsi="宋体" w:eastAsia="宋体" w:cs="宋体"/>
          <w:spacing w:val="-19"/>
          <w:sz w:val="27"/>
          <w:szCs w:val="27"/>
        </w:rPr>
        <w:t>开展工程专业综合工作，贯彻《质量保证大纲》、实施《</w:t>
      </w:r>
      <w:r>
        <w:rPr>
          <w:rFonts w:ascii="宋体" w:hAnsi="宋体" w:eastAsia="宋体" w:cs="宋体"/>
          <w:spacing w:val="-20"/>
          <w:sz w:val="27"/>
          <w:szCs w:val="27"/>
        </w:rPr>
        <w:t>标准化大纲》、《可</w:t>
      </w:r>
      <w:r>
        <w:rPr>
          <w:rFonts w:ascii="宋体" w:hAnsi="宋体" w:eastAsia="宋体" w:cs="宋体"/>
          <w:sz w:val="27"/>
          <w:szCs w:val="27"/>
        </w:rPr>
        <w:t xml:space="preserve">  </w:t>
      </w:r>
      <w:r>
        <w:rPr>
          <w:rFonts w:ascii="宋体" w:hAnsi="宋体" w:eastAsia="宋体" w:cs="宋体"/>
          <w:spacing w:val="-33"/>
          <w:sz w:val="27"/>
          <w:szCs w:val="27"/>
        </w:rPr>
        <w:t>靠性大纲》、《维修性大纲》、《人机工程大纲》、《安全性大纲》、《电磁兼容性大纲》</w:t>
      </w:r>
      <w:r>
        <w:rPr>
          <w:rFonts w:ascii="宋体" w:hAnsi="宋体" w:eastAsia="宋体" w:cs="宋体"/>
          <w:spacing w:val="13"/>
          <w:sz w:val="27"/>
          <w:szCs w:val="27"/>
        </w:rPr>
        <w:t xml:space="preserve"> </w:t>
      </w:r>
      <w:r>
        <w:rPr>
          <w:rFonts w:ascii="宋体" w:hAnsi="宋体" w:eastAsia="宋体" w:cs="宋体"/>
          <w:spacing w:val="-21"/>
          <w:sz w:val="27"/>
          <w:szCs w:val="27"/>
        </w:rPr>
        <w:t>和《环境条件》文件等；</w:t>
      </w:r>
    </w:p>
    <w:p w14:paraId="644E7BBA">
      <w:pPr>
        <w:spacing w:before="69" w:line="212" w:lineRule="auto"/>
        <w:ind w:left="691"/>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60"/>
          <w:w w:val="101"/>
          <w:sz w:val="27"/>
          <w:szCs w:val="27"/>
        </w:rPr>
        <w:t xml:space="preserve"> </w:t>
      </w:r>
      <w:r>
        <w:rPr>
          <w:rFonts w:ascii="宋体" w:hAnsi="宋体" w:eastAsia="宋体" w:cs="宋体"/>
          <w:spacing w:val="2"/>
          <w:sz w:val="27"/>
          <w:szCs w:val="27"/>
        </w:rPr>
        <w:t>实施计量保证工作要求；</w:t>
      </w:r>
    </w:p>
    <w:p w14:paraId="46106263">
      <w:pPr>
        <w:spacing w:before="110" w:line="212" w:lineRule="auto"/>
        <w:ind w:left="691"/>
        <w:rPr>
          <w:rFonts w:ascii="宋体" w:hAnsi="宋体" w:eastAsia="宋体" w:cs="宋体"/>
          <w:sz w:val="27"/>
          <w:szCs w:val="27"/>
        </w:rPr>
      </w:pPr>
      <w:r>
        <w:rPr>
          <w:rFonts w:ascii="Times New Roman" w:hAnsi="Times New Roman" w:eastAsia="Times New Roman" w:cs="Times New Roman"/>
          <w:spacing w:val="-11"/>
          <w:sz w:val="27"/>
          <w:szCs w:val="27"/>
        </w:rPr>
        <w:t xml:space="preserve">d)  </w:t>
      </w:r>
      <w:r>
        <w:rPr>
          <w:rFonts w:ascii="宋体" w:hAnsi="宋体" w:eastAsia="宋体" w:cs="宋体"/>
          <w:spacing w:val="-11"/>
          <w:sz w:val="27"/>
          <w:szCs w:val="27"/>
        </w:rPr>
        <w:t>实施《技术状态管理计划》;</w:t>
      </w:r>
    </w:p>
    <w:p w14:paraId="28BDCE16">
      <w:pPr>
        <w:spacing w:before="100" w:line="212" w:lineRule="auto"/>
        <w:ind w:left="691"/>
        <w:rPr>
          <w:rFonts w:ascii="宋体" w:hAnsi="宋体" w:eastAsia="宋体" w:cs="宋体"/>
          <w:sz w:val="27"/>
          <w:szCs w:val="27"/>
        </w:rPr>
      </w:pPr>
      <w:r>
        <w:rPr>
          <w:rFonts w:ascii="Times New Roman" w:hAnsi="Times New Roman" w:eastAsia="Times New Roman" w:cs="Times New Roman"/>
          <w:spacing w:val="-3"/>
          <w:sz w:val="27"/>
          <w:szCs w:val="27"/>
        </w:rPr>
        <w:t>e)</w:t>
      </w:r>
      <w:r>
        <w:rPr>
          <w:rFonts w:ascii="Times New Roman" w:hAnsi="Times New Roman" w:eastAsia="Times New Roman" w:cs="Times New Roman"/>
          <w:spacing w:val="62"/>
          <w:sz w:val="27"/>
          <w:szCs w:val="27"/>
        </w:rPr>
        <w:t xml:space="preserve"> </w:t>
      </w:r>
      <w:r>
        <w:rPr>
          <w:rFonts w:ascii="宋体" w:hAnsi="宋体" w:eastAsia="宋体" w:cs="宋体"/>
          <w:spacing w:val="-3"/>
          <w:sz w:val="27"/>
          <w:szCs w:val="27"/>
        </w:rPr>
        <w:t>进行产品的详细设计，发出全套生产图样；</w:t>
      </w:r>
    </w:p>
    <w:p w14:paraId="14F68F97">
      <w:pPr>
        <w:spacing w:before="130" w:line="212" w:lineRule="auto"/>
        <w:ind w:left="691"/>
        <w:rPr>
          <w:rFonts w:ascii="宋体" w:hAnsi="宋体" w:eastAsia="宋体" w:cs="宋体"/>
          <w:sz w:val="27"/>
          <w:szCs w:val="27"/>
        </w:rPr>
      </w:pPr>
      <w:r>
        <w:rPr>
          <w:rFonts w:ascii="Times New Roman" w:hAnsi="Times New Roman" w:eastAsia="Times New Roman" w:cs="Times New Roman"/>
          <w:spacing w:val="-7"/>
          <w:sz w:val="27"/>
          <w:szCs w:val="27"/>
        </w:rPr>
        <w:t xml:space="preserve">f)  </w:t>
      </w:r>
      <w:r>
        <w:rPr>
          <w:rFonts w:ascii="宋体" w:hAnsi="宋体" w:eastAsia="宋体" w:cs="宋体"/>
          <w:spacing w:val="-7"/>
          <w:sz w:val="27"/>
          <w:szCs w:val="27"/>
        </w:rPr>
        <w:t>对生产图样进行工艺审查，编制《生产制造计划》(草案),进行生产准备；</w:t>
      </w:r>
    </w:p>
    <w:p w14:paraId="71525D62">
      <w:pPr>
        <w:spacing w:line="212" w:lineRule="auto"/>
        <w:rPr>
          <w:rFonts w:ascii="宋体" w:hAnsi="宋体" w:eastAsia="宋体" w:cs="宋体"/>
          <w:sz w:val="27"/>
          <w:szCs w:val="27"/>
        </w:rPr>
        <w:sectPr>
          <w:footerReference r:id="rId52" w:type="default"/>
          <w:pgSz w:w="11910" w:h="17130"/>
          <w:pgMar w:top="400" w:right="1315" w:bottom="1680" w:left="968" w:header="0" w:footer="1394" w:gutter="0"/>
          <w:cols w:space="720" w:num="1"/>
        </w:sectPr>
      </w:pPr>
    </w:p>
    <w:p w14:paraId="0B82A354">
      <w:pPr>
        <w:pStyle w:val="2"/>
        <w:spacing w:line="259" w:lineRule="auto"/>
      </w:pPr>
    </w:p>
    <w:p w14:paraId="68325196">
      <w:pPr>
        <w:pStyle w:val="2"/>
        <w:spacing w:line="259" w:lineRule="auto"/>
      </w:pPr>
    </w:p>
    <w:p w14:paraId="26B271FF">
      <w:pPr>
        <w:pStyle w:val="2"/>
        <w:spacing w:line="259" w:lineRule="auto"/>
      </w:pPr>
    </w:p>
    <w:p w14:paraId="3A6C9A79">
      <w:pPr>
        <w:pStyle w:val="2"/>
        <w:spacing w:line="259" w:lineRule="auto"/>
      </w:pPr>
    </w:p>
    <w:p w14:paraId="3F898115">
      <w:pPr>
        <w:spacing w:before="87" w:line="272" w:lineRule="auto"/>
        <w:ind w:right="27" w:firstLine="539"/>
        <w:rPr>
          <w:rFonts w:ascii="宋体" w:hAnsi="宋体" w:eastAsia="宋体" w:cs="宋体"/>
          <w:sz w:val="27"/>
          <w:szCs w:val="27"/>
        </w:rPr>
      </w:pPr>
      <w:r>
        <w:rPr>
          <w:rFonts w:ascii="Times New Roman" w:hAnsi="Times New Roman" w:eastAsia="Times New Roman" w:cs="Times New Roman"/>
          <w:spacing w:val="-1"/>
          <w:sz w:val="27"/>
          <w:szCs w:val="27"/>
        </w:rPr>
        <w:t xml:space="preserve">g)  </w:t>
      </w:r>
      <w:r>
        <w:rPr>
          <w:rFonts w:ascii="宋体" w:hAnsi="宋体" w:eastAsia="宋体" w:cs="宋体"/>
          <w:spacing w:val="-1"/>
          <w:sz w:val="27"/>
          <w:szCs w:val="27"/>
        </w:rPr>
        <w:t>实施《软件要求规范》,开展软件设计，进行软件接口控制</w:t>
      </w:r>
      <w:r>
        <w:rPr>
          <w:rFonts w:ascii="宋体" w:hAnsi="宋体" w:eastAsia="宋体" w:cs="宋体"/>
          <w:spacing w:val="-2"/>
          <w:sz w:val="27"/>
          <w:szCs w:val="27"/>
        </w:rPr>
        <w:t>，编写软件文</w:t>
      </w:r>
      <w:r>
        <w:rPr>
          <w:rFonts w:ascii="宋体" w:hAnsi="宋体" w:eastAsia="宋体" w:cs="宋体"/>
          <w:sz w:val="27"/>
          <w:szCs w:val="27"/>
        </w:rPr>
        <w:t xml:space="preserve"> </w:t>
      </w:r>
      <w:r>
        <w:rPr>
          <w:rFonts w:ascii="宋体" w:hAnsi="宋体" w:eastAsia="宋体" w:cs="宋体"/>
          <w:spacing w:val="5"/>
          <w:sz w:val="27"/>
          <w:szCs w:val="27"/>
        </w:rPr>
        <w:t>档，根据武器系统嵌入式软件的类型和复杂性，详细说明软件开发所需的工作</w:t>
      </w:r>
      <w:r>
        <w:rPr>
          <w:rFonts w:ascii="宋体" w:hAnsi="宋体" w:eastAsia="宋体" w:cs="宋体"/>
          <w:spacing w:val="16"/>
          <w:sz w:val="27"/>
          <w:szCs w:val="27"/>
        </w:rPr>
        <w:t xml:space="preserve"> </w:t>
      </w:r>
      <w:r>
        <w:rPr>
          <w:rFonts w:ascii="宋体" w:hAnsi="宋体" w:eastAsia="宋体" w:cs="宋体"/>
          <w:spacing w:val="-6"/>
          <w:sz w:val="27"/>
          <w:szCs w:val="27"/>
        </w:rPr>
        <w:t>项目；</w:t>
      </w:r>
    </w:p>
    <w:p w14:paraId="734AB6BD">
      <w:pPr>
        <w:spacing w:before="66" w:line="212" w:lineRule="auto"/>
        <w:ind w:left="539"/>
        <w:rPr>
          <w:rFonts w:ascii="宋体" w:hAnsi="宋体" w:eastAsia="宋体" w:cs="宋体"/>
          <w:sz w:val="27"/>
          <w:szCs w:val="27"/>
        </w:rPr>
      </w:pPr>
      <w:r>
        <w:rPr>
          <w:rFonts w:ascii="Times New Roman" w:hAnsi="Times New Roman" w:eastAsia="Times New Roman" w:cs="Times New Roman"/>
          <w:spacing w:val="-8"/>
          <w:sz w:val="27"/>
          <w:szCs w:val="27"/>
        </w:rPr>
        <w:t xml:space="preserve">h)  </w:t>
      </w:r>
      <w:r>
        <w:rPr>
          <w:rFonts w:ascii="宋体" w:hAnsi="宋体" w:eastAsia="宋体" w:cs="宋体"/>
          <w:spacing w:val="-8"/>
          <w:sz w:val="27"/>
          <w:szCs w:val="27"/>
        </w:rPr>
        <w:t>进一步开展保障性分析，完善并实施《综合保障计划》;</w:t>
      </w:r>
    </w:p>
    <w:p w14:paraId="2ED97ACD">
      <w:pPr>
        <w:spacing w:before="132" w:line="212" w:lineRule="auto"/>
        <w:ind w:left="539"/>
        <w:rPr>
          <w:rFonts w:ascii="宋体" w:hAnsi="宋体" w:eastAsia="宋体" w:cs="宋体"/>
          <w:sz w:val="24"/>
          <w:szCs w:val="24"/>
        </w:rPr>
      </w:pPr>
      <w:r>
        <w:rPr>
          <w:rFonts w:ascii="Times New Roman" w:hAnsi="Times New Roman" w:eastAsia="Times New Roman" w:cs="Times New Roman"/>
          <w:spacing w:val="16"/>
          <w:sz w:val="24"/>
          <w:szCs w:val="24"/>
        </w:rPr>
        <w:t xml:space="preserve">i)  </w:t>
      </w:r>
      <w:r>
        <w:rPr>
          <w:rFonts w:ascii="宋体" w:hAnsi="宋体" w:eastAsia="宋体" w:cs="宋体"/>
          <w:spacing w:val="16"/>
          <w:sz w:val="24"/>
          <w:szCs w:val="24"/>
        </w:rPr>
        <w:t>按照《接口控制文件》进行接口控制；</w:t>
      </w:r>
    </w:p>
    <w:p w14:paraId="7A8B2700">
      <w:pPr>
        <w:spacing w:before="121"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j)  </w:t>
      </w:r>
      <w:r>
        <w:rPr>
          <w:rFonts w:ascii="宋体" w:hAnsi="宋体" w:eastAsia="宋体" w:cs="宋体"/>
          <w:spacing w:val="-3"/>
          <w:sz w:val="27"/>
          <w:szCs w:val="27"/>
        </w:rPr>
        <w:t>编制并实施《零件控制大纲》,提出并实施零部</w:t>
      </w:r>
      <w:r>
        <w:rPr>
          <w:rFonts w:ascii="宋体" w:hAnsi="宋体" w:eastAsia="宋体" w:cs="宋体"/>
          <w:spacing w:val="-4"/>
          <w:sz w:val="27"/>
          <w:szCs w:val="27"/>
        </w:rPr>
        <w:t>件的互换性要求；</w:t>
      </w:r>
    </w:p>
    <w:p w14:paraId="6D407CB3">
      <w:pPr>
        <w:spacing w:before="71" w:line="212" w:lineRule="auto"/>
        <w:ind w:left="539"/>
        <w:rPr>
          <w:rFonts w:ascii="宋体" w:hAnsi="宋体" w:eastAsia="宋体" w:cs="宋体"/>
          <w:sz w:val="27"/>
          <w:szCs w:val="27"/>
        </w:rPr>
      </w:pPr>
      <w:r>
        <w:rPr>
          <w:rFonts w:ascii="Times New Roman" w:hAnsi="Times New Roman" w:eastAsia="Times New Roman" w:cs="Times New Roman"/>
          <w:spacing w:val="-28"/>
          <w:sz w:val="27"/>
          <w:szCs w:val="27"/>
        </w:rPr>
        <w:t>k)</w:t>
      </w:r>
      <w:r>
        <w:rPr>
          <w:rFonts w:ascii="Times New Roman" w:hAnsi="Times New Roman" w:eastAsia="Times New Roman" w:cs="Times New Roman"/>
          <w:spacing w:val="12"/>
          <w:sz w:val="27"/>
          <w:szCs w:val="27"/>
        </w:rPr>
        <w:t xml:space="preserve">  </w:t>
      </w:r>
      <w:r>
        <w:rPr>
          <w:rFonts w:ascii="宋体" w:hAnsi="宋体" w:eastAsia="宋体" w:cs="宋体"/>
          <w:spacing w:val="-28"/>
          <w:sz w:val="27"/>
          <w:szCs w:val="27"/>
        </w:rPr>
        <w:t>编制初步的《产品规范》、《工艺规范》和《材料规范》;</w:t>
      </w:r>
    </w:p>
    <w:p w14:paraId="796BF3C6">
      <w:pPr>
        <w:spacing w:before="128" w:line="219" w:lineRule="auto"/>
        <w:ind w:left="539"/>
        <w:rPr>
          <w:rFonts w:ascii="宋体" w:hAnsi="宋体" w:eastAsia="宋体" w:cs="宋体"/>
          <w:sz w:val="27"/>
          <w:szCs w:val="27"/>
        </w:rPr>
      </w:pPr>
      <w:r>
        <w:rPr>
          <w:rFonts w:ascii="宋体" w:hAnsi="宋体" w:eastAsia="宋体" w:cs="宋体"/>
          <w:spacing w:val="-1"/>
          <w:sz w:val="27"/>
          <w:szCs w:val="27"/>
        </w:rPr>
        <w:t>1)完成新成品研制，提供成品试验件和装机件；</w:t>
      </w:r>
    </w:p>
    <w:p w14:paraId="786023C9">
      <w:pPr>
        <w:spacing w:before="51"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m)  </w:t>
      </w:r>
      <w:r>
        <w:rPr>
          <w:rFonts w:ascii="宋体" w:hAnsi="宋体" w:eastAsia="宋体" w:cs="宋体"/>
          <w:spacing w:val="3"/>
          <w:sz w:val="27"/>
          <w:szCs w:val="27"/>
        </w:rPr>
        <w:t>组织进行试制生产；</w:t>
      </w:r>
    </w:p>
    <w:p w14:paraId="018B1441">
      <w:pPr>
        <w:spacing w:before="120" w:line="212" w:lineRule="auto"/>
        <w:ind w:left="539"/>
        <w:rPr>
          <w:rFonts w:ascii="宋体" w:hAnsi="宋体" w:eastAsia="宋体" w:cs="宋体"/>
          <w:sz w:val="27"/>
          <w:szCs w:val="27"/>
        </w:rPr>
      </w:pPr>
      <w:r>
        <w:rPr>
          <w:rFonts w:ascii="Times New Roman" w:hAnsi="Times New Roman" w:eastAsia="Times New Roman" w:cs="Times New Roman"/>
          <w:spacing w:val="-8"/>
          <w:sz w:val="27"/>
          <w:szCs w:val="27"/>
        </w:rPr>
        <w:t xml:space="preserve">n)  </w:t>
      </w:r>
      <w:r>
        <w:rPr>
          <w:rFonts w:ascii="宋体" w:hAnsi="宋体" w:eastAsia="宋体" w:cs="宋体"/>
          <w:spacing w:val="-8"/>
          <w:sz w:val="27"/>
          <w:szCs w:val="27"/>
        </w:rPr>
        <w:t>实施《试验与评定总计划》,进行各项试验；</w:t>
      </w:r>
    </w:p>
    <w:p w14:paraId="4EEE175A">
      <w:pPr>
        <w:spacing w:before="10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o)  </w:t>
      </w:r>
      <w:r>
        <w:rPr>
          <w:rFonts w:ascii="宋体" w:hAnsi="宋体" w:eastAsia="宋体" w:cs="宋体"/>
          <w:spacing w:val="-4"/>
          <w:sz w:val="27"/>
          <w:szCs w:val="27"/>
        </w:rPr>
        <w:t>制定并贯彻《故障报告、分析和纠正措施系</w:t>
      </w:r>
      <w:r>
        <w:rPr>
          <w:rFonts w:ascii="宋体" w:hAnsi="宋体" w:eastAsia="宋体" w:cs="宋体"/>
          <w:spacing w:val="-5"/>
          <w:sz w:val="27"/>
          <w:szCs w:val="27"/>
        </w:rPr>
        <w:t>统(</w:t>
      </w:r>
      <w:r>
        <w:rPr>
          <w:rFonts w:ascii="Times New Roman" w:hAnsi="Times New Roman" w:eastAsia="Times New Roman" w:cs="Times New Roman"/>
          <w:spacing w:val="-5"/>
          <w:sz w:val="27"/>
          <w:szCs w:val="27"/>
        </w:rPr>
        <w:t>FRACAS)</w:t>
      </w:r>
      <w:r>
        <w:rPr>
          <w:rFonts w:ascii="宋体" w:hAnsi="宋体" w:eastAsia="宋体" w:cs="宋体"/>
          <w:spacing w:val="-5"/>
          <w:sz w:val="27"/>
          <w:szCs w:val="27"/>
        </w:rPr>
        <w:t>》的规定；</w:t>
      </w:r>
    </w:p>
    <w:p w14:paraId="1CF7FA8C">
      <w:pPr>
        <w:spacing w:before="90" w:line="212" w:lineRule="auto"/>
        <w:ind w:left="539"/>
        <w:rPr>
          <w:rFonts w:ascii="宋体" w:hAnsi="宋体" w:eastAsia="宋体" w:cs="宋体"/>
          <w:sz w:val="27"/>
          <w:szCs w:val="27"/>
        </w:rPr>
      </w:pPr>
      <w:r>
        <w:rPr>
          <w:rFonts w:ascii="Times New Roman" w:hAnsi="Times New Roman" w:eastAsia="Times New Roman" w:cs="Times New Roman"/>
          <w:spacing w:val="-13"/>
          <w:sz w:val="27"/>
          <w:szCs w:val="27"/>
        </w:rPr>
        <w:t>p</w:t>
      </w:r>
      <w:r>
        <w:rPr>
          <w:rFonts w:ascii="宋体" w:hAnsi="宋体" w:eastAsia="宋体" w:cs="宋体"/>
          <w:spacing w:val="-13"/>
          <w:sz w:val="27"/>
          <w:szCs w:val="27"/>
        </w:rPr>
        <w:t>)</w:t>
      </w:r>
      <w:r>
        <w:rPr>
          <w:rFonts w:ascii="宋体" w:hAnsi="宋体" w:eastAsia="宋体" w:cs="宋体"/>
          <w:spacing w:val="-49"/>
          <w:sz w:val="27"/>
          <w:szCs w:val="27"/>
        </w:rPr>
        <w:t xml:space="preserve"> </w:t>
      </w:r>
      <w:r>
        <w:rPr>
          <w:rFonts w:ascii="宋体" w:hAnsi="宋体" w:eastAsia="宋体" w:cs="宋体"/>
          <w:spacing w:val="-13"/>
          <w:sz w:val="27"/>
          <w:szCs w:val="27"/>
        </w:rPr>
        <w:t>编制《制造管理大纲》草案；</w:t>
      </w:r>
    </w:p>
    <w:p w14:paraId="4F6372BD">
      <w:pPr>
        <w:spacing w:before="11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q)  </w:t>
      </w:r>
      <w:r>
        <w:rPr>
          <w:rFonts w:ascii="宋体" w:hAnsi="宋体" w:eastAsia="宋体" w:cs="宋体"/>
          <w:spacing w:val="-3"/>
          <w:sz w:val="27"/>
          <w:szCs w:val="27"/>
        </w:rPr>
        <w:t>提供设计定型用样机，完成设计定型试验；</w:t>
      </w:r>
    </w:p>
    <w:p w14:paraId="1814F6A5">
      <w:pPr>
        <w:spacing w:before="99" w:line="219" w:lineRule="auto"/>
        <w:jc w:val="right"/>
        <w:rPr>
          <w:rFonts w:ascii="宋体" w:hAnsi="宋体" w:eastAsia="宋体" w:cs="宋体"/>
          <w:sz w:val="27"/>
          <w:szCs w:val="27"/>
        </w:rPr>
      </w:pPr>
      <w:r>
        <w:rPr>
          <w:rFonts w:ascii="Times New Roman" w:hAnsi="Times New Roman" w:eastAsia="Times New Roman" w:cs="Times New Roman"/>
          <w:spacing w:val="-3"/>
          <w:sz w:val="27"/>
          <w:szCs w:val="27"/>
        </w:rPr>
        <w:t>r</w:t>
      </w:r>
      <w:r>
        <w:rPr>
          <w:rFonts w:ascii="宋体" w:hAnsi="宋体" w:eastAsia="宋体" w:cs="宋体"/>
          <w:spacing w:val="-3"/>
          <w:sz w:val="27"/>
          <w:szCs w:val="27"/>
        </w:rPr>
        <w:t>)</w:t>
      </w:r>
      <w:r>
        <w:rPr>
          <w:rFonts w:ascii="宋体" w:hAnsi="宋体" w:eastAsia="宋体" w:cs="宋体"/>
          <w:spacing w:val="-44"/>
          <w:sz w:val="27"/>
          <w:szCs w:val="27"/>
        </w:rPr>
        <w:t xml:space="preserve"> </w:t>
      </w:r>
      <w:r>
        <w:rPr>
          <w:rFonts w:ascii="宋体" w:hAnsi="宋体" w:eastAsia="宋体" w:cs="宋体"/>
          <w:spacing w:val="-3"/>
          <w:sz w:val="27"/>
          <w:szCs w:val="27"/>
        </w:rPr>
        <w:t>提供设计定型用全套资料，进行功能技术状态审核，完成产品设计定型；</w:t>
      </w:r>
    </w:p>
    <w:p w14:paraId="6BBAB2A1">
      <w:pPr>
        <w:spacing w:before="61" w:line="260" w:lineRule="auto"/>
        <w:ind w:right="32" w:firstLine="539"/>
        <w:rPr>
          <w:rFonts w:ascii="宋体" w:hAnsi="宋体" w:eastAsia="宋体" w:cs="宋体"/>
          <w:sz w:val="27"/>
          <w:szCs w:val="27"/>
        </w:rPr>
      </w:pPr>
      <w:r>
        <w:rPr>
          <w:rFonts w:ascii="Times New Roman" w:hAnsi="Times New Roman" w:eastAsia="Times New Roman" w:cs="Times New Roman"/>
          <w:spacing w:val="3"/>
          <w:sz w:val="27"/>
          <w:szCs w:val="27"/>
        </w:rPr>
        <w:t xml:space="preserve">s)  </w:t>
      </w:r>
      <w:r>
        <w:rPr>
          <w:rFonts w:ascii="宋体" w:hAnsi="宋体" w:eastAsia="宋体" w:cs="宋体"/>
          <w:spacing w:val="3"/>
          <w:sz w:val="27"/>
          <w:szCs w:val="27"/>
        </w:rPr>
        <w:t>根据研制工作网络图进行细化，提出工作说明中合同双方所有工作、各</w:t>
      </w:r>
      <w:r>
        <w:rPr>
          <w:rFonts w:ascii="宋体" w:hAnsi="宋体" w:eastAsia="宋体" w:cs="宋体"/>
          <w:spacing w:val="16"/>
          <w:sz w:val="27"/>
          <w:szCs w:val="27"/>
        </w:rPr>
        <w:t xml:space="preserve"> </w:t>
      </w:r>
      <w:r>
        <w:rPr>
          <w:rFonts w:ascii="宋体" w:hAnsi="宋体" w:eastAsia="宋体" w:cs="宋体"/>
          <w:spacing w:val="1"/>
          <w:sz w:val="27"/>
          <w:szCs w:val="27"/>
        </w:rPr>
        <w:t>项阶段技术审查和交付项目的时间进度表，制定研制工</w:t>
      </w:r>
      <w:r>
        <w:rPr>
          <w:rFonts w:ascii="宋体" w:hAnsi="宋体" w:eastAsia="宋体" w:cs="宋体"/>
          <w:sz w:val="27"/>
          <w:szCs w:val="27"/>
        </w:rPr>
        <w:t>作二级网络图。</w:t>
      </w:r>
    </w:p>
    <w:p w14:paraId="59CB7B39">
      <w:pPr>
        <w:spacing w:before="119" w:line="269" w:lineRule="auto"/>
        <w:ind w:right="33" w:firstLine="539"/>
        <w:rPr>
          <w:rFonts w:ascii="宋体" w:hAnsi="宋体" w:eastAsia="宋体" w:cs="宋体"/>
          <w:sz w:val="27"/>
          <w:szCs w:val="27"/>
        </w:rPr>
      </w:pPr>
      <w:r>
        <w:rPr>
          <w:rFonts w:ascii="宋体" w:hAnsi="宋体" w:eastAsia="宋体" w:cs="宋体"/>
          <w:spacing w:val="6"/>
          <w:sz w:val="27"/>
          <w:szCs w:val="27"/>
        </w:rPr>
        <w:t>以上包括产品初样研制和正样研制的工作要求</w:t>
      </w:r>
      <w:r>
        <w:rPr>
          <w:rFonts w:ascii="宋体" w:hAnsi="宋体" w:eastAsia="宋体" w:cs="宋体"/>
          <w:spacing w:val="5"/>
          <w:sz w:val="27"/>
          <w:szCs w:val="27"/>
        </w:rPr>
        <w:t>，在编写初样研制和正样研</w:t>
      </w:r>
      <w:r>
        <w:rPr>
          <w:rFonts w:ascii="宋体" w:hAnsi="宋体" w:eastAsia="宋体" w:cs="宋体"/>
          <w:sz w:val="27"/>
          <w:szCs w:val="27"/>
        </w:rPr>
        <w:t xml:space="preserve"> </w:t>
      </w:r>
      <w:r>
        <w:rPr>
          <w:rFonts w:ascii="宋体" w:hAnsi="宋体" w:eastAsia="宋体" w:cs="宋体"/>
          <w:spacing w:val="-3"/>
          <w:sz w:val="27"/>
          <w:szCs w:val="27"/>
        </w:rPr>
        <w:t>制的工作说明时，可根据需要进行剪裁。</w:t>
      </w:r>
    </w:p>
    <w:p w14:paraId="32C1B439">
      <w:pPr>
        <w:spacing w:before="17" w:line="221" w:lineRule="auto"/>
        <w:rPr>
          <w:rFonts w:ascii="黑体" w:hAnsi="黑体" w:eastAsia="黑体" w:cs="黑体"/>
          <w:sz w:val="24"/>
          <w:szCs w:val="24"/>
        </w:rPr>
      </w:pPr>
      <w:r>
        <w:rPr>
          <w:rFonts w:ascii="黑体" w:hAnsi="黑体" w:eastAsia="黑体" w:cs="黑体"/>
          <w:spacing w:val="25"/>
          <w:sz w:val="24"/>
          <w:szCs w:val="24"/>
        </w:rPr>
        <w:t>4.2</w:t>
      </w:r>
      <w:r>
        <w:rPr>
          <w:rFonts w:ascii="黑体" w:hAnsi="黑体" w:eastAsia="黑体" w:cs="黑体"/>
          <w:spacing w:val="58"/>
          <w:sz w:val="24"/>
          <w:szCs w:val="24"/>
        </w:rPr>
        <w:t xml:space="preserve">  </w:t>
      </w:r>
      <w:r>
        <w:rPr>
          <w:rFonts w:ascii="黑体" w:hAnsi="黑体" w:eastAsia="黑体" w:cs="黑体"/>
          <w:b/>
          <w:bCs/>
          <w:spacing w:val="25"/>
          <w:sz w:val="24"/>
          <w:szCs w:val="24"/>
        </w:rPr>
        <w:t>双方需向对方交付的项目</w:t>
      </w:r>
    </w:p>
    <w:p w14:paraId="3E82A17A">
      <w:pPr>
        <w:spacing w:before="99" w:line="279" w:lineRule="auto"/>
        <w:ind w:right="23" w:firstLine="539"/>
        <w:rPr>
          <w:rFonts w:ascii="宋体" w:hAnsi="宋体" w:eastAsia="宋体" w:cs="宋体"/>
          <w:sz w:val="27"/>
          <w:szCs w:val="27"/>
        </w:rPr>
      </w:pPr>
      <w:r>
        <w:rPr>
          <w:rFonts w:ascii="宋体" w:hAnsi="宋体" w:eastAsia="宋体" w:cs="宋体"/>
          <w:spacing w:val="2"/>
          <w:sz w:val="27"/>
          <w:szCs w:val="27"/>
        </w:rPr>
        <w:t>规定双方向对方交付的项目(包括硬件和计算机软</w:t>
      </w:r>
      <w:r>
        <w:rPr>
          <w:rFonts w:ascii="宋体" w:hAnsi="宋体" w:eastAsia="宋体" w:cs="宋体"/>
          <w:spacing w:val="1"/>
          <w:sz w:val="27"/>
          <w:szCs w:val="27"/>
        </w:rPr>
        <w:t>件、服务项目、资料项目</w:t>
      </w:r>
      <w:r>
        <w:rPr>
          <w:rFonts w:ascii="宋体" w:hAnsi="宋体" w:eastAsia="宋体" w:cs="宋体"/>
          <w:sz w:val="27"/>
          <w:szCs w:val="27"/>
        </w:rPr>
        <w:t xml:space="preserve"> 等)及交付的时间。</w:t>
      </w:r>
    </w:p>
    <w:p w14:paraId="6DA2C743">
      <w:pPr>
        <w:spacing w:before="1" w:line="222"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24"/>
          <w:sz w:val="27"/>
          <w:szCs w:val="27"/>
        </w:rPr>
        <w:t xml:space="preserve">  </w:t>
      </w:r>
      <w:r>
        <w:rPr>
          <w:rFonts w:ascii="黑体" w:hAnsi="黑体" w:eastAsia="黑体" w:cs="黑体"/>
          <w:b/>
          <w:bCs/>
          <w:spacing w:val="1"/>
          <w:sz w:val="27"/>
          <w:szCs w:val="27"/>
        </w:rPr>
        <w:t>技术审查要求</w:t>
      </w:r>
    </w:p>
    <w:p w14:paraId="7097FDEF">
      <w:pPr>
        <w:spacing w:before="99" w:line="275" w:lineRule="auto"/>
        <w:ind w:right="21" w:firstLine="539"/>
        <w:rPr>
          <w:rFonts w:ascii="宋体" w:hAnsi="宋体" w:eastAsia="宋体" w:cs="宋体"/>
          <w:sz w:val="27"/>
          <w:szCs w:val="27"/>
        </w:rPr>
      </w:pPr>
      <w:r>
        <w:rPr>
          <w:rFonts w:ascii="宋体" w:hAnsi="宋体" w:eastAsia="宋体" w:cs="宋体"/>
          <w:spacing w:val="6"/>
          <w:sz w:val="27"/>
          <w:szCs w:val="27"/>
        </w:rPr>
        <w:t>根据研制工作需要，提出在重要的工作节点和工程决策点进行阶段技术审</w:t>
      </w:r>
      <w:r>
        <w:rPr>
          <w:rFonts w:ascii="宋体" w:hAnsi="宋体" w:eastAsia="宋体" w:cs="宋体"/>
          <w:sz w:val="27"/>
          <w:szCs w:val="27"/>
        </w:rPr>
        <w:t xml:space="preserve"> </w:t>
      </w:r>
      <w:r>
        <w:rPr>
          <w:rFonts w:ascii="宋体" w:hAnsi="宋体" w:eastAsia="宋体" w:cs="宋体"/>
          <w:spacing w:val="-10"/>
          <w:sz w:val="27"/>
          <w:szCs w:val="27"/>
        </w:rPr>
        <w:t>查的要求，包括审查的内容、参加的单位等。</w:t>
      </w:r>
    </w:p>
    <w:p w14:paraId="0171E2C9">
      <w:pPr>
        <w:spacing w:before="1" w:line="221" w:lineRule="auto"/>
        <w:rPr>
          <w:rFonts w:ascii="黑体" w:hAnsi="黑体" w:eastAsia="黑体" w:cs="黑体"/>
          <w:sz w:val="27"/>
          <w:szCs w:val="27"/>
        </w:rPr>
      </w:pPr>
      <w:r>
        <w:rPr>
          <w:rFonts w:ascii="黑体" w:hAnsi="黑体" w:eastAsia="黑体" w:cs="黑体"/>
          <w:spacing w:val="-1"/>
          <w:sz w:val="27"/>
          <w:szCs w:val="27"/>
        </w:rPr>
        <w:t>4.4</w:t>
      </w:r>
      <w:r>
        <w:rPr>
          <w:rFonts w:ascii="黑体" w:hAnsi="黑体" w:eastAsia="黑体" w:cs="黑体"/>
          <w:spacing w:val="22"/>
          <w:sz w:val="27"/>
          <w:szCs w:val="27"/>
        </w:rPr>
        <w:t xml:space="preserve">  </w:t>
      </w:r>
      <w:r>
        <w:rPr>
          <w:rFonts w:ascii="黑体" w:hAnsi="黑体" w:eastAsia="黑体" w:cs="黑体"/>
          <w:b/>
          <w:bCs/>
          <w:spacing w:val="-1"/>
          <w:sz w:val="27"/>
          <w:szCs w:val="27"/>
        </w:rPr>
        <w:t>时间进度表</w:t>
      </w:r>
    </w:p>
    <w:p w14:paraId="3448F338">
      <w:pPr>
        <w:spacing w:before="91" w:line="275" w:lineRule="auto"/>
        <w:ind w:right="29" w:firstLine="539"/>
        <w:rPr>
          <w:rFonts w:ascii="宋体" w:hAnsi="宋体" w:eastAsia="宋体" w:cs="宋体"/>
          <w:sz w:val="27"/>
          <w:szCs w:val="27"/>
        </w:rPr>
      </w:pPr>
      <w:r>
        <w:rPr>
          <w:rFonts w:ascii="宋体" w:hAnsi="宋体" w:eastAsia="宋体" w:cs="宋体"/>
          <w:spacing w:val="13"/>
          <w:sz w:val="27"/>
          <w:szCs w:val="27"/>
        </w:rPr>
        <w:t>按武器装备研制生产项目的网络图和4.1至4.3条规定的主要事项，按时</w:t>
      </w:r>
      <w:r>
        <w:rPr>
          <w:rFonts w:ascii="宋体" w:hAnsi="宋体" w:eastAsia="宋体" w:cs="宋体"/>
          <w:spacing w:val="12"/>
          <w:sz w:val="27"/>
          <w:szCs w:val="27"/>
        </w:rPr>
        <w:t xml:space="preserve"> </w:t>
      </w:r>
      <w:r>
        <w:rPr>
          <w:rFonts w:ascii="宋体" w:hAnsi="宋体" w:eastAsia="宋体" w:cs="宋体"/>
          <w:spacing w:val="3"/>
          <w:sz w:val="27"/>
          <w:szCs w:val="27"/>
        </w:rPr>
        <w:t>间顺序整理成研制生产工作的时间进度表。</w:t>
      </w:r>
    </w:p>
    <w:p w14:paraId="0F024ECE">
      <w:pPr>
        <w:pStyle w:val="2"/>
        <w:spacing w:before="1" w:line="220" w:lineRule="auto"/>
        <w:rPr>
          <w:rFonts w:ascii="黑体" w:hAnsi="黑体" w:eastAsia="黑体" w:cs="黑体"/>
          <w:sz w:val="27"/>
          <w:szCs w:val="27"/>
        </w:rPr>
      </w:pPr>
      <w:r>
        <w:rPr>
          <w:b/>
          <w:bCs/>
          <w:spacing w:val="3"/>
          <w:sz w:val="27"/>
          <w:szCs w:val="27"/>
        </w:rPr>
        <w:t>5</w:t>
      </w:r>
      <w:r>
        <w:rPr>
          <w:b/>
          <w:bCs/>
          <w:spacing w:val="1"/>
          <w:sz w:val="27"/>
          <w:szCs w:val="27"/>
        </w:rPr>
        <w:t xml:space="preserve">    </w:t>
      </w:r>
      <w:r>
        <w:rPr>
          <w:rFonts w:ascii="黑体" w:hAnsi="黑体" w:eastAsia="黑体" w:cs="黑体"/>
          <w:b/>
          <w:bCs/>
          <w:spacing w:val="3"/>
          <w:sz w:val="27"/>
          <w:szCs w:val="27"/>
        </w:rPr>
        <w:t>说明事项</w:t>
      </w:r>
    </w:p>
    <w:p w14:paraId="723180E7">
      <w:pPr>
        <w:spacing w:before="113" w:line="260" w:lineRule="auto"/>
        <w:ind w:left="3" w:right="750" w:firstLine="536"/>
        <w:rPr>
          <w:rFonts w:ascii="黑体" w:hAnsi="黑体" w:eastAsia="黑体" w:cs="黑体"/>
          <w:sz w:val="27"/>
          <w:szCs w:val="27"/>
        </w:rPr>
      </w:pPr>
      <w:r>
        <w:rPr>
          <w:rFonts w:ascii="宋体" w:hAnsi="宋体" w:eastAsia="宋体" w:cs="宋体"/>
          <w:sz w:val="27"/>
          <w:szCs w:val="27"/>
        </w:rPr>
        <w:t>根据武器装备研制生产项目的实际情况，给出必要的其他附加说明。</w:t>
      </w:r>
      <w:r>
        <w:rPr>
          <w:rFonts w:ascii="宋体" w:hAnsi="宋体" w:eastAsia="宋体" w:cs="宋体"/>
          <w:spacing w:val="3"/>
          <w:sz w:val="27"/>
          <w:szCs w:val="27"/>
        </w:rPr>
        <w:t xml:space="preserve"> </w:t>
      </w:r>
      <w:r>
        <w:rPr>
          <w:rFonts w:ascii="黑体" w:hAnsi="黑体" w:eastAsia="黑体" w:cs="黑体"/>
          <w:b/>
          <w:bCs/>
          <w:spacing w:val="-4"/>
          <w:sz w:val="27"/>
          <w:szCs w:val="27"/>
        </w:rPr>
        <w:t>附录</w:t>
      </w:r>
    </w:p>
    <w:p w14:paraId="5C82BF8B">
      <w:pPr>
        <w:spacing w:before="38" w:line="219" w:lineRule="auto"/>
        <w:ind w:left="539"/>
        <w:rPr>
          <w:rFonts w:ascii="宋体" w:hAnsi="宋体" w:eastAsia="宋体" w:cs="宋体"/>
          <w:sz w:val="27"/>
          <w:szCs w:val="27"/>
        </w:rPr>
      </w:pPr>
      <w:r>
        <w:rPr>
          <w:rFonts w:ascii="宋体" w:hAnsi="宋体" w:eastAsia="宋体" w:cs="宋体"/>
          <w:spacing w:val="1"/>
          <w:sz w:val="27"/>
          <w:szCs w:val="27"/>
        </w:rPr>
        <w:t>根据需要提供附录。</w:t>
      </w:r>
    </w:p>
    <w:p w14:paraId="653D7A77">
      <w:pPr>
        <w:spacing w:before="75" w:line="221" w:lineRule="auto"/>
        <w:ind w:left="3"/>
        <w:rPr>
          <w:rFonts w:ascii="黑体" w:hAnsi="黑体" w:eastAsia="黑体" w:cs="黑体"/>
          <w:sz w:val="27"/>
          <w:szCs w:val="27"/>
        </w:rPr>
      </w:pPr>
      <w:r>
        <w:rPr>
          <w:rFonts w:ascii="黑体" w:hAnsi="黑体" w:eastAsia="黑体" w:cs="黑体"/>
          <w:b/>
          <w:bCs/>
          <w:spacing w:val="-4"/>
          <w:sz w:val="27"/>
          <w:szCs w:val="27"/>
        </w:rPr>
        <w:t>Ⅲ类工作说明</w:t>
      </w:r>
    </w:p>
    <w:p w14:paraId="1CF6EFC7">
      <w:pPr>
        <w:spacing w:before="87" w:line="262" w:lineRule="auto"/>
        <w:ind w:left="3" w:right="45" w:firstLine="540"/>
        <w:rPr>
          <w:rFonts w:ascii="楷体" w:hAnsi="楷体" w:eastAsia="楷体" w:cs="楷体"/>
          <w:sz w:val="28"/>
          <w:szCs w:val="28"/>
        </w:rPr>
      </w:pPr>
      <w:r>
        <w:rPr>
          <w:rFonts w:ascii="楷体" w:hAnsi="楷体" w:eastAsia="楷体" w:cs="楷体"/>
          <w:b/>
          <w:bCs/>
          <w:spacing w:val="-9"/>
          <w:sz w:val="28"/>
          <w:szCs w:val="28"/>
        </w:rPr>
        <w:t>生产定型阶段的主要工作是通过武器装备的小批生产和部队试用，解决设</w:t>
      </w:r>
      <w:r>
        <w:rPr>
          <w:rFonts w:ascii="楷体" w:hAnsi="楷体" w:eastAsia="楷体" w:cs="楷体"/>
          <w:spacing w:val="5"/>
          <w:sz w:val="28"/>
          <w:szCs w:val="28"/>
        </w:rPr>
        <w:t xml:space="preserve"> </w:t>
      </w:r>
      <w:r>
        <w:rPr>
          <w:rFonts w:ascii="楷体" w:hAnsi="楷体" w:eastAsia="楷体" w:cs="楷体"/>
          <w:b/>
          <w:bCs/>
          <w:spacing w:val="-16"/>
          <w:sz w:val="28"/>
          <w:szCs w:val="28"/>
        </w:rPr>
        <w:t>计定型过程中的遗留问题，完善制造工艺、稳定产品质量，实现生产线的正常运</w:t>
      </w:r>
    </w:p>
    <w:p w14:paraId="1E2F5206">
      <w:pPr>
        <w:spacing w:line="262" w:lineRule="auto"/>
        <w:rPr>
          <w:rFonts w:ascii="楷体" w:hAnsi="楷体" w:eastAsia="楷体" w:cs="楷体"/>
          <w:sz w:val="28"/>
          <w:szCs w:val="28"/>
        </w:rPr>
        <w:sectPr>
          <w:footerReference r:id="rId53" w:type="default"/>
          <w:pgSz w:w="11910" w:h="17130"/>
          <w:pgMar w:top="400" w:right="1124" w:bottom="1599" w:left="1390" w:header="0" w:footer="1340" w:gutter="0"/>
          <w:cols w:space="720" w:num="1"/>
        </w:sectPr>
      </w:pPr>
    </w:p>
    <w:p w14:paraId="2097BBD6">
      <w:pPr>
        <w:pStyle w:val="2"/>
        <w:spacing w:line="281" w:lineRule="auto"/>
      </w:pPr>
    </w:p>
    <w:p w14:paraId="1F7CB9B9">
      <w:pPr>
        <w:pStyle w:val="2"/>
        <w:spacing w:line="281" w:lineRule="auto"/>
      </w:pPr>
    </w:p>
    <w:p w14:paraId="60678310">
      <w:pPr>
        <w:pStyle w:val="2"/>
        <w:spacing w:line="281" w:lineRule="auto"/>
      </w:pPr>
    </w:p>
    <w:p w14:paraId="31E76E0C">
      <w:pPr>
        <w:pStyle w:val="2"/>
        <w:spacing w:line="282" w:lineRule="auto"/>
      </w:pPr>
    </w:p>
    <w:p w14:paraId="2A7F40E5">
      <w:pPr>
        <w:spacing w:before="88" w:line="220" w:lineRule="auto"/>
        <w:rPr>
          <w:rFonts w:ascii="楷体" w:hAnsi="楷体" w:eastAsia="楷体" w:cs="楷体"/>
          <w:sz w:val="27"/>
          <w:szCs w:val="27"/>
        </w:rPr>
      </w:pPr>
      <w:bookmarkStart w:id="23" w:name="bookmark317"/>
      <w:bookmarkEnd w:id="23"/>
      <w:r>
        <w:rPr>
          <w:rFonts w:ascii="楷体" w:hAnsi="楷体" w:eastAsia="楷体" w:cs="楷体"/>
          <w:spacing w:val="-5"/>
          <w:sz w:val="27"/>
          <w:szCs w:val="27"/>
        </w:rPr>
        <w:t>转，并对产品批量生产条件进行全面考核，使其达到批量生产的标准。</w:t>
      </w:r>
    </w:p>
    <w:p w14:paraId="45A59243">
      <w:pPr>
        <w:spacing w:before="46" w:line="279" w:lineRule="auto"/>
        <w:ind w:right="107" w:firstLine="570"/>
        <w:jc w:val="both"/>
        <w:rPr>
          <w:rFonts w:ascii="楷体" w:hAnsi="楷体" w:eastAsia="楷体" w:cs="楷体"/>
          <w:sz w:val="27"/>
          <w:szCs w:val="27"/>
        </w:rPr>
      </w:pPr>
      <w:r>
        <w:rPr>
          <w:rFonts w:ascii="楷体" w:hAnsi="楷体" w:eastAsia="楷体" w:cs="楷体"/>
          <w:spacing w:val="5"/>
          <w:sz w:val="27"/>
          <w:szCs w:val="27"/>
        </w:rPr>
        <w:t>生产定型阶段应开发完整的生产工艺和足够的工艺装备</w:t>
      </w:r>
      <w:r>
        <w:rPr>
          <w:rFonts w:ascii="楷体" w:hAnsi="楷体" w:eastAsia="楷体" w:cs="楷体"/>
          <w:spacing w:val="4"/>
          <w:sz w:val="27"/>
          <w:szCs w:val="27"/>
        </w:rPr>
        <w:t>，不断开展系统工</w:t>
      </w:r>
      <w:r>
        <w:rPr>
          <w:rFonts w:ascii="楷体" w:hAnsi="楷体" w:eastAsia="楷体" w:cs="楷体"/>
          <w:sz w:val="27"/>
          <w:szCs w:val="27"/>
        </w:rPr>
        <w:t xml:space="preserve"> </w:t>
      </w:r>
      <w:r>
        <w:rPr>
          <w:rFonts w:ascii="楷体" w:hAnsi="楷体" w:eastAsia="楷体" w:cs="楷体"/>
          <w:spacing w:val="-2"/>
          <w:sz w:val="27"/>
          <w:szCs w:val="27"/>
        </w:rPr>
        <w:t>程管理和技术状态管理，开展综合保障工作，使武器系统投入使用时具</w:t>
      </w:r>
      <w:r>
        <w:rPr>
          <w:rFonts w:ascii="楷体" w:hAnsi="楷体" w:eastAsia="楷体" w:cs="楷体"/>
          <w:spacing w:val="-3"/>
          <w:sz w:val="27"/>
          <w:szCs w:val="27"/>
        </w:rPr>
        <w:t>有充分的</w:t>
      </w:r>
      <w:r>
        <w:rPr>
          <w:rFonts w:ascii="楷体" w:hAnsi="楷体" w:eastAsia="楷体" w:cs="楷体"/>
          <w:sz w:val="27"/>
          <w:szCs w:val="27"/>
        </w:rPr>
        <w:t xml:space="preserve"> </w:t>
      </w:r>
      <w:r>
        <w:rPr>
          <w:rFonts w:ascii="楷体" w:hAnsi="楷体" w:eastAsia="楷体" w:cs="楷体"/>
          <w:spacing w:val="5"/>
          <w:sz w:val="27"/>
          <w:szCs w:val="27"/>
        </w:rPr>
        <w:t>保障能力。整理和提供生产定型的全套技术文件和技术资料，完成生产定型试</w:t>
      </w:r>
      <w:r>
        <w:rPr>
          <w:rFonts w:ascii="楷体" w:hAnsi="楷体" w:eastAsia="楷体" w:cs="楷体"/>
          <w:spacing w:val="12"/>
          <w:sz w:val="27"/>
          <w:szCs w:val="27"/>
        </w:rPr>
        <w:t xml:space="preserve"> </w:t>
      </w:r>
      <w:r>
        <w:rPr>
          <w:rFonts w:ascii="楷体" w:hAnsi="楷体" w:eastAsia="楷体" w:cs="楷体"/>
          <w:spacing w:val="4"/>
          <w:sz w:val="27"/>
          <w:szCs w:val="27"/>
        </w:rPr>
        <w:t>验和生产定型。生产定型阶段的工作说明主要包括</w:t>
      </w:r>
      <w:r>
        <w:rPr>
          <w:rFonts w:ascii="楷体" w:hAnsi="楷体" w:eastAsia="楷体" w:cs="楷体"/>
          <w:spacing w:val="3"/>
          <w:sz w:val="27"/>
          <w:szCs w:val="27"/>
        </w:rPr>
        <w:t>以下内容。</w:t>
      </w:r>
    </w:p>
    <w:p w14:paraId="2C06F605">
      <w:pPr>
        <w:spacing w:before="36"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0"/>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3931BF54">
      <w:pPr>
        <w:spacing w:before="79" w:line="219" w:lineRule="auto"/>
        <w:ind w:left="570"/>
        <w:rPr>
          <w:rFonts w:ascii="宋体" w:hAnsi="宋体" w:eastAsia="宋体" w:cs="宋体"/>
          <w:sz w:val="27"/>
          <w:szCs w:val="27"/>
        </w:rPr>
      </w:pPr>
      <w:r>
        <w:rPr>
          <w:rFonts w:ascii="宋体" w:hAnsi="宋体" w:eastAsia="宋体" w:cs="宋体"/>
          <w:spacing w:val="-4"/>
          <w:sz w:val="27"/>
          <w:szCs w:val="27"/>
        </w:rPr>
        <w:t>简述工作说明的主要内容，不包括背景资料。</w:t>
      </w:r>
    </w:p>
    <w:p w14:paraId="75E91F1D">
      <w:pPr>
        <w:spacing w:before="96"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8"/>
          <w:sz w:val="27"/>
          <w:szCs w:val="27"/>
        </w:rPr>
        <w:t xml:space="preserve">  </w:t>
      </w:r>
      <w:r>
        <w:rPr>
          <w:rFonts w:ascii="黑体" w:hAnsi="黑体" w:eastAsia="黑体" w:cs="黑体"/>
          <w:b/>
          <w:bCs/>
          <w:spacing w:val="-3"/>
          <w:sz w:val="27"/>
          <w:szCs w:val="27"/>
        </w:rPr>
        <w:t>引用文件</w:t>
      </w:r>
    </w:p>
    <w:p w14:paraId="586CD60A">
      <w:pPr>
        <w:spacing w:before="71" w:line="286" w:lineRule="auto"/>
        <w:ind w:right="83" w:firstLine="570"/>
        <w:rPr>
          <w:rFonts w:ascii="宋体" w:hAnsi="宋体" w:eastAsia="宋体" w:cs="宋体"/>
          <w:sz w:val="27"/>
          <w:szCs w:val="27"/>
        </w:rPr>
      </w:pPr>
      <w:r>
        <w:rPr>
          <w:rFonts w:ascii="宋体" w:hAnsi="宋体" w:eastAsia="宋体" w:cs="宋体"/>
          <w:spacing w:val="6"/>
          <w:sz w:val="27"/>
          <w:szCs w:val="27"/>
        </w:rPr>
        <w:t>列出所有在工作说明各要求部分引用过的文件的文件号和名称。这些</w:t>
      </w:r>
      <w:r>
        <w:rPr>
          <w:rFonts w:ascii="宋体" w:hAnsi="宋体" w:eastAsia="宋体" w:cs="宋体"/>
          <w:spacing w:val="5"/>
          <w:sz w:val="27"/>
          <w:szCs w:val="27"/>
        </w:rPr>
        <w:t>文件</w:t>
      </w:r>
      <w:r>
        <w:rPr>
          <w:rFonts w:ascii="宋体" w:hAnsi="宋体" w:eastAsia="宋体" w:cs="宋体"/>
          <w:sz w:val="27"/>
          <w:szCs w:val="27"/>
        </w:rPr>
        <w:t xml:space="preserve"> </w:t>
      </w:r>
      <w:r>
        <w:rPr>
          <w:rFonts w:ascii="宋体" w:hAnsi="宋体" w:eastAsia="宋体" w:cs="宋体"/>
          <w:spacing w:val="4"/>
          <w:sz w:val="27"/>
          <w:szCs w:val="27"/>
        </w:rPr>
        <w:t>可以包括标准及其他需要用来确认和阐明工作任务或可交付产品的参考文件。</w:t>
      </w:r>
    </w:p>
    <w:p w14:paraId="76211999">
      <w:pPr>
        <w:spacing w:line="223" w:lineRule="auto"/>
        <w:rPr>
          <w:rFonts w:ascii="黑体" w:hAnsi="黑体" w:eastAsia="黑体" w:cs="黑体"/>
          <w:sz w:val="25"/>
          <w:szCs w:val="25"/>
        </w:rPr>
      </w:pPr>
      <w:r>
        <w:rPr>
          <w:rFonts w:ascii="黑体" w:hAnsi="黑体" w:eastAsia="黑体" w:cs="黑体"/>
          <w:spacing w:val="7"/>
          <w:sz w:val="25"/>
          <w:szCs w:val="25"/>
        </w:rPr>
        <w:t>3</w:t>
      </w:r>
      <w:r>
        <w:rPr>
          <w:rFonts w:ascii="黑体" w:hAnsi="黑体" w:eastAsia="黑体" w:cs="黑体"/>
          <w:spacing w:val="24"/>
          <w:sz w:val="25"/>
          <w:szCs w:val="25"/>
        </w:rPr>
        <w:t xml:space="preserve">  </w:t>
      </w:r>
      <w:r>
        <w:rPr>
          <w:rFonts w:ascii="黑体" w:hAnsi="黑体" w:eastAsia="黑体" w:cs="黑体"/>
          <w:b/>
          <w:bCs/>
          <w:spacing w:val="7"/>
          <w:sz w:val="25"/>
          <w:szCs w:val="25"/>
        </w:rPr>
        <w:t>定义</w:t>
      </w:r>
    </w:p>
    <w:p w14:paraId="47CC55B7">
      <w:pPr>
        <w:spacing w:before="90" w:line="219" w:lineRule="auto"/>
        <w:ind w:left="570"/>
        <w:rPr>
          <w:rFonts w:ascii="宋体" w:hAnsi="宋体" w:eastAsia="宋体" w:cs="宋体"/>
          <w:sz w:val="27"/>
          <w:szCs w:val="27"/>
        </w:rPr>
      </w:pPr>
      <w:r>
        <w:rPr>
          <w:rFonts w:ascii="宋体" w:hAnsi="宋体" w:eastAsia="宋体" w:cs="宋体"/>
          <w:spacing w:val="-1"/>
          <w:sz w:val="27"/>
          <w:szCs w:val="27"/>
        </w:rPr>
        <w:t>根据需要给出某些特定术语、专用名词和缩写词的定义。</w:t>
      </w:r>
    </w:p>
    <w:p w14:paraId="05D4FB20">
      <w:pPr>
        <w:spacing w:before="67"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6"/>
          <w:sz w:val="27"/>
          <w:szCs w:val="27"/>
        </w:rPr>
        <w:t xml:space="preserve">  </w:t>
      </w:r>
      <w:r>
        <w:rPr>
          <w:rFonts w:ascii="黑体" w:hAnsi="黑体" w:eastAsia="黑体" w:cs="黑体"/>
          <w:b/>
          <w:bCs/>
          <w:spacing w:val="-5"/>
          <w:sz w:val="27"/>
          <w:szCs w:val="27"/>
        </w:rPr>
        <w:t>要求</w:t>
      </w:r>
    </w:p>
    <w:p w14:paraId="0BD342AD">
      <w:pPr>
        <w:spacing w:before="123" w:line="221" w:lineRule="auto"/>
        <w:rPr>
          <w:rFonts w:ascii="黑体" w:hAnsi="黑体" w:eastAsia="黑体" w:cs="黑体"/>
          <w:sz w:val="24"/>
          <w:szCs w:val="24"/>
        </w:rPr>
      </w:pPr>
      <w:r>
        <w:rPr>
          <w:rFonts w:ascii="黑体" w:hAnsi="黑体" w:eastAsia="黑体" w:cs="黑体"/>
          <w:spacing w:val="23"/>
          <w:sz w:val="24"/>
          <w:szCs w:val="24"/>
        </w:rPr>
        <w:t>4.1</w:t>
      </w:r>
      <w:r>
        <w:rPr>
          <w:rFonts w:ascii="黑体" w:hAnsi="黑体" w:eastAsia="黑体" w:cs="黑体"/>
          <w:spacing w:val="52"/>
          <w:sz w:val="24"/>
          <w:szCs w:val="24"/>
        </w:rPr>
        <w:t xml:space="preserve">  </w:t>
      </w:r>
      <w:r>
        <w:rPr>
          <w:rFonts w:ascii="黑体" w:hAnsi="黑体" w:eastAsia="黑体" w:cs="黑体"/>
          <w:b/>
          <w:bCs/>
          <w:spacing w:val="23"/>
          <w:sz w:val="24"/>
          <w:szCs w:val="24"/>
        </w:rPr>
        <w:t>双方需完成的工作</w:t>
      </w:r>
    </w:p>
    <w:p w14:paraId="4318070B">
      <w:pPr>
        <w:spacing w:before="109" w:line="219" w:lineRule="auto"/>
        <w:jc w:val="right"/>
        <w:rPr>
          <w:rFonts w:ascii="宋体" w:hAnsi="宋体" w:eastAsia="宋体" w:cs="宋体"/>
          <w:sz w:val="27"/>
          <w:szCs w:val="27"/>
        </w:rPr>
      </w:pPr>
      <w:r>
        <w:rPr>
          <w:rFonts w:ascii="宋体" w:hAnsi="宋体" w:eastAsia="宋体" w:cs="宋体"/>
          <w:spacing w:val="-8"/>
          <w:sz w:val="27"/>
          <w:szCs w:val="27"/>
        </w:rPr>
        <w:t>应按照《合同工作分解结构》来确定双方应完成的工作，主要包括下列内容：</w:t>
      </w:r>
    </w:p>
    <w:p w14:paraId="5EA18FFC">
      <w:pPr>
        <w:spacing w:before="80" w:line="219" w:lineRule="auto"/>
        <w:ind w:left="570"/>
        <w:rPr>
          <w:rFonts w:ascii="宋体" w:hAnsi="宋体" w:eastAsia="宋体" w:cs="宋体"/>
          <w:sz w:val="27"/>
          <w:szCs w:val="27"/>
        </w:rPr>
      </w:pPr>
      <w:r>
        <w:rPr>
          <w:rFonts w:ascii="Times New Roman" w:hAnsi="Times New Roman" w:eastAsia="Times New Roman" w:cs="Times New Roman"/>
          <w:spacing w:val="1"/>
          <w:sz w:val="27"/>
          <w:szCs w:val="27"/>
        </w:rPr>
        <w:t>a</w:t>
      </w:r>
      <w:r>
        <w:rPr>
          <w:rFonts w:ascii="宋体" w:hAnsi="宋体" w:eastAsia="宋体" w:cs="宋体"/>
          <w:spacing w:val="1"/>
          <w:sz w:val="27"/>
          <w:szCs w:val="27"/>
        </w:rPr>
        <w:t>)</w:t>
      </w:r>
      <w:r>
        <w:rPr>
          <w:rFonts w:ascii="宋体" w:hAnsi="宋体" w:eastAsia="宋体" w:cs="宋体"/>
          <w:spacing w:val="-21"/>
          <w:sz w:val="27"/>
          <w:szCs w:val="27"/>
        </w:rPr>
        <w:t xml:space="preserve"> </w:t>
      </w:r>
      <w:r>
        <w:rPr>
          <w:rFonts w:ascii="宋体" w:hAnsi="宋体" w:eastAsia="宋体" w:cs="宋体"/>
          <w:spacing w:val="1"/>
          <w:sz w:val="27"/>
          <w:szCs w:val="27"/>
        </w:rPr>
        <w:t>继续开展系统工程管理工作；</w:t>
      </w:r>
    </w:p>
    <w:p w14:paraId="7B2043D4">
      <w:pPr>
        <w:spacing w:before="59" w:line="212" w:lineRule="auto"/>
        <w:ind w:left="570"/>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实施技术状态管理计划；</w:t>
      </w:r>
    </w:p>
    <w:p w14:paraId="0B478AAE">
      <w:pPr>
        <w:spacing w:before="90"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54"/>
          <w:sz w:val="27"/>
          <w:szCs w:val="27"/>
        </w:rPr>
        <w:t xml:space="preserve"> </w:t>
      </w:r>
      <w:r>
        <w:rPr>
          <w:rFonts w:ascii="宋体" w:hAnsi="宋体" w:eastAsia="宋体" w:cs="宋体"/>
          <w:spacing w:val="2"/>
          <w:sz w:val="27"/>
          <w:szCs w:val="27"/>
        </w:rPr>
        <w:t>贯彻质量保证大纲；</w:t>
      </w:r>
    </w:p>
    <w:p w14:paraId="2A731F5B">
      <w:pPr>
        <w:spacing w:before="100"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实施可靠性大纲；</w:t>
      </w:r>
    </w:p>
    <w:p w14:paraId="00A544E9">
      <w:pPr>
        <w:spacing w:before="130" w:line="219" w:lineRule="auto"/>
        <w:ind w:left="570"/>
        <w:rPr>
          <w:rFonts w:ascii="宋体" w:hAnsi="宋体" w:eastAsia="宋体" w:cs="宋体"/>
          <w:sz w:val="27"/>
          <w:szCs w:val="27"/>
        </w:rPr>
      </w:pPr>
      <w:r>
        <w:rPr>
          <w:rFonts w:ascii="Times New Roman" w:hAnsi="Times New Roman" w:eastAsia="Times New Roman" w:cs="Times New Roman"/>
          <w:spacing w:val="9"/>
          <w:sz w:val="27"/>
          <w:szCs w:val="27"/>
        </w:rPr>
        <w:t>e</w:t>
      </w:r>
      <w:r>
        <w:rPr>
          <w:rFonts w:ascii="宋体" w:hAnsi="宋体" w:eastAsia="宋体" w:cs="宋体"/>
          <w:spacing w:val="9"/>
          <w:sz w:val="27"/>
          <w:szCs w:val="27"/>
        </w:rPr>
        <w:t>)完善并贯彻制造管理大纲；</w:t>
      </w:r>
    </w:p>
    <w:p w14:paraId="4BAA2C4F">
      <w:pPr>
        <w:spacing w:before="60" w:line="212" w:lineRule="auto"/>
        <w:ind w:left="570"/>
        <w:rPr>
          <w:rFonts w:ascii="宋体" w:hAnsi="宋体" w:eastAsia="宋体" w:cs="宋体"/>
          <w:sz w:val="27"/>
          <w:szCs w:val="27"/>
        </w:rPr>
      </w:pPr>
      <w:r>
        <w:rPr>
          <w:rFonts w:ascii="Times New Roman" w:hAnsi="Times New Roman" w:eastAsia="Times New Roman" w:cs="Times New Roman"/>
          <w:spacing w:val="3"/>
          <w:sz w:val="27"/>
          <w:szCs w:val="27"/>
        </w:rPr>
        <w:t>f)</w:t>
      </w:r>
      <w:r>
        <w:rPr>
          <w:rFonts w:ascii="Times New Roman" w:hAnsi="Times New Roman" w:eastAsia="Times New Roman" w:cs="Times New Roman"/>
          <w:spacing w:val="65"/>
          <w:sz w:val="27"/>
          <w:szCs w:val="27"/>
        </w:rPr>
        <w:t xml:space="preserve"> </w:t>
      </w:r>
      <w:r>
        <w:rPr>
          <w:rFonts w:ascii="宋体" w:hAnsi="宋体" w:eastAsia="宋体" w:cs="宋体"/>
          <w:spacing w:val="3"/>
          <w:sz w:val="27"/>
          <w:szCs w:val="27"/>
        </w:rPr>
        <w:t>解决设计定型时遗留的技术问题；</w:t>
      </w:r>
    </w:p>
    <w:p w14:paraId="2B8A8874">
      <w:pPr>
        <w:spacing w:before="109" w:line="212" w:lineRule="auto"/>
        <w:ind w:left="570"/>
        <w:rPr>
          <w:rFonts w:ascii="宋体" w:hAnsi="宋体" w:eastAsia="宋体" w:cs="宋体"/>
          <w:sz w:val="27"/>
          <w:szCs w:val="27"/>
        </w:rPr>
      </w:pPr>
      <w:r>
        <w:rPr>
          <w:rFonts w:ascii="Times New Roman" w:hAnsi="Times New Roman" w:eastAsia="Times New Roman" w:cs="Times New Roman"/>
          <w:spacing w:val="-8"/>
          <w:sz w:val="27"/>
          <w:szCs w:val="27"/>
        </w:rPr>
        <w:t>g</w:t>
      </w:r>
      <w:r>
        <w:rPr>
          <w:rFonts w:ascii="宋体" w:hAnsi="宋体" w:eastAsia="宋体" w:cs="宋体"/>
          <w:spacing w:val="-8"/>
          <w:sz w:val="27"/>
          <w:szCs w:val="27"/>
        </w:rPr>
        <w:t>)完善工装、工艺，调整生产线；</w:t>
      </w:r>
    </w:p>
    <w:p w14:paraId="6B9E35E9">
      <w:pPr>
        <w:spacing w:before="101"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 xml:space="preserve">h)  </w:t>
      </w:r>
      <w:r>
        <w:rPr>
          <w:rFonts w:ascii="宋体" w:hAnsi="宋体" w:eastAsia="宋体" w:cs="宋体"/>
          <w:spacing w:val="-2"/>
          <w:sz w:val="27"/>
          <w:szCs w:val="27"/>
        </w:rPr>
        <w:t>贯彻故障报告、分析和纠正系统(</w:t>
      </w:r>
      <w:r>
        <w:rPr>
          <w:rFonts w:ascii="Times New Roman" w:hAnsi="Times New Roman" w:eastAsia="Times New Roman" w:cs="Times New Roman"/>
          <w:spacing w:val="-2"/>
          <w:sz w:val="27"/>
          <w:szCs w:val="27"/>
        </w:rPr>
        <w:t xml:space="preserve">FRACAS)  </w:t>
      </w:r>
      <w:r>
        <w:rPr>
          <w:rFonts w:ascii="宋体" w:hAnsi="宋体" w:eastAsia="宋体" w:cs="宋体"/>
          <w:spacing w:val="-3"/>
          <w:sz w:val="27"/>
          <w:szCs w:val="27"/>
        </w:rPr>
        <w:t>要求；</w:t>
      </w:r>
    </w:p>
    <w:p w14:paraId="44BFF280">
      <w:pPr>
        <w:spacing w:before="99"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i)</w:t>
      </w:r>
      <w:r>
        <w:rPr>
          <w:rFonts w:ascii="Times New Roman" w:hAnsi="Times New Roman" w:eastAsia="Times New Roman" w:cs="Times New Roman"/>
          <w:spacing w:val="80"/>
          <w:sz w:val="27"/>
          <w:szCs w:val="27"/>
        </w:rPr>
        <w:t xml:space="preserve"> </w:t>
      </w:r>
      <w:r>
        <w:rPr>
          <w:rFonts w:ascii="宋体" w:hAnsi="宋体" w:eastAsia="宋体" w:cs="宋体"/>
          <w:spacing w:val="-1"/>
          <w:sz w:val="27"/>
          <w:szCs w:val="27"/>
        </w:rPr>
        <w:t>为生产交付的产品做好各项综合保障工作，满足保障性要求；</w:t>
      </w:r>
    </w:p>
    <w:p w14:paraId="225EE977">
      <w:pPr>
        <w:spacing w:before="88" w:line="254" w:lineRule="auto"/>
        <w:ind w:right="102" w:firstLine="570"/>
        <w:rPr>
          <w:rFonts w:ascii="宋体" w:hAnsi="宋体" w:eastAsia="宋体" w:cs="宋体"/>
          <w:sz w:val="27"/>
          <w:szCs w:val="27"/>
        </w:rPr>
      </w:pPr>
      <w:r>
        <w:rPr>
          <w:rFonts w:ascii="Times New Roman" w:hAnsi="Times New Roman" w:eastAsia="Times New Roman" w:cs="Times New Roman"/>
          <w:spacing w:val="5"/>
          <w:sz w:val="27"/>
          <w:szCs w:val="27"/>
        </w:rPr>
        <w:t>j)</w:t>
      </w:r>
      <w:r>
        <w:rPr>
          <w:rFonts w:ascii="Times New Roman" w:hAnsi="Times New Roman" w:eastAsia="Times New Roman" w:cs="Times New Roman"/>
          <w:spacing w:val="44"/>
          <w:sz w:val="27"/>
          <w:szCs w:val="27"/>
        </w:rPr>
        <w:t xml:space="preserve"> </w:t>
      </w:r>
      <w:r>
        <w:rPr>
          <w:rFonts w:ascii="宋体" w:hAnsi="宋体" w:eastAsia="宋体" w:cs="宋体"/>
          <w:spacing w:val="5"/>
          <w:sz w:val="27"/>
          <w:szCs w:val="27"/>
        </w:rPr>
        <w:t>通过物理技术状态审核，确定产品规范、工艺规范和材料规范及全套生</w:t>
      </w:r>
      <w:r>
        <w:rPr>
          <w:rFonts w:ascii="宋体" w:hAnsi="宋体" w:eastAsia="宋体" w:cs="宋体"/>
          <w:sz w:val="27"/>
          <w:szCs w:val="27"/>
        </w:rPr>
        <w:t xml:space="preserve"> </w:t>
      </w:r>
      <w:r>
        <w:rPr>
          <w:rFonts w:ascii="宋体" w:hAnsi="宋体" w:eastAsia="宋体" w:cs="宋体"/>
          <w:spacing w:val="-1"/>
          <w:sz w:val="27"/>
          <w:szCs w:val="27"/>
        </w:rPr>
        <w:t>产图样；</w:t>
      </w:r>
    </w:p>
    <w:p w14:paraId="45DDFE81">
      <w:pPr>
        <w:spacing w:before="79" w:line="212" w:lineRule="auto"/>
        <w:ind w:left="570"/>
        <w:rPr>
          <w:rFonts w:ascii="宋体" w:hAnsi="宋体" w:eastAsia="宋体" w:cs="宋体"/>
          <w:sz w:val="27"/>
          <w:szCs w:val="27"/>
        </w:rPr>
      </w:pPr>
      <w:r>
        <w:rPr>
          <w:rFonts w:ascii="Times New Roman" w:hAnsi="Times New Roman" w:eastAsia="Times New Roman" w:cs="Times New Roman"/>
          <w:spacing w:val="-5"/>
          <w:sz w:val="27"/>
          <w:szCs w:val="27"/>
        </w:rPr>
        <w:t xml:space="preserve">k)  </w:t>
      </w:r>
      <w:r>
        <w:rPr>
          <w:rFonts w:ascii="宋体" w:hAnsi="宋体" w:eastAsia="宋体" w:cs="宋体"/>
          <w:spacing w:val="-5"/>
          <w:sz w:val="27"/>
          <w:szCs w:val="27"/>
        </w:rPr>
        <w:t>完成定型试验，提交全套生产定型文件，完成</w:t>
      </w:r>
      <w:r>
        <w:rPr>
          <w:rFonts w:ascii="宋体" w:hAnsi="宋体" w:eastAsia="宋体" w:cs="宋体"/>
          <w:spacing w:val="-6"/>
          <w:sz w:val="27"/>
          <w:szCs w:val="27"/>
        </w:rPr>
        <w:t>生产定型；</w:t>
      </w:r>
    </w:p>
    <w:p w14:paraId="002C3FA9">
      <w:pPr>
        <w:spacing w:before="138" w:line="218" w:lineRule="auto"/>
        <w:ind w:left="570"/>
        <w:rPr>
          <w:rFonts w:ascii="宋体" w:hAnsi="宋体" w:eastAsia="宋体" w:cs="宋体"/>
          <w:sz w:val="27"/>
          <w:szCs w:val="27"/>
        </w:rPr>
      </w:pPr>
      <w:r>
        <w:rPr>
          <w:rFonts w:ascii="宋体" w:hAnsi="宋体" w:eastAsia="宋体" w:cs="宋体"/>
          <w:spacing w:val="-3"/>
          <w:sz w:val="27"/>
          <w:szCs w:val="27"/>
        </w:rPr>
        <w:t>1)进行费用决算，确定生产成本和系统价格，修正寿命周期费用估算值；</w:t>
      </w:r>
    </w:p>
    <w:p w14:paraId="0BE6FDA1">
      <w:pPr>
        <w:spacing w:before="72" w:line="219" w:lineRule="auto"/>
        <w:ind w:left="570"/>
        <w:rPr>
          <w:rFonts w:ascii="宋体" w:hAnsi="宋体" w:eastAsia="宋体" w:cs="宋体"/>
          <w:sz w:val="27"/>
          <w:szCs w:val="27"/>
        </w:rPr>
      </w:pPr>
      <w:r>
        <w:rPr>
          <w:rFonts w:ascii="Times New Roman" w:hAnsi="Times New Roman" w:eastAsia="Times New Roman" w:cs="Times New Roman"/>
          <w:spacing w:val="3"/>
          <w:sz w:val="27"/>
          <w:szCs w:val="27"/>
        </w:rPr>
        <w:t>m</w:t>
      </w:r>
      <w:r>
        <w:rPr>
          <w:rFonts w:ascii="Times New Roman" w:hAnsi="Times New Roman" w:eastAsia="Times New Roman" w:cs="Times New Roman"/>
          <w:spacing w:val="-27"/>
          <w:sz w:val="27"/>
          <w:szCs w:val="27"/>
        </w:rPr>
        <w:t xml:space="preserve"> </w:t>
      </w:r>
      <w:r>
        <w:rPr>
          <w:rFonts w:ascii="宋体" w:hAnsi="宋体" w:eastAsia="宋体" w:cs="宋体"/>
          <w:spacing w:val="3"/>
          <w:sz w:val="27"/>
          <w:szCs w:val="27"/>
        </w:rPr>
        <w:t>)</w:t>
      </w:r>
      <w:r>
        <w:rPr>
          <w:rFonts w:ascii="宋体" w:hAnsi="宋体" w:eastAsia="宋体" w:cs="宋体"/>
          <w:spacing w:val="-68"/>
          <w:sz w:val="27"/>
          <w:szCs w:val="27"/>
        </w:rPr>
        <w:t xml:space="preserve"> </w:t>
      </w:r>
      <w:r>
        <w:rPr>
          <w:rFonts w:ascii="宋体" w:hAnsi="宋体" w:eastAsia="宋体" w:cs="宋体"/>
          <w:spacing w:val="3"/>
          <w:sz w:val="27"/>
          <w:szCs w:val="27"/>
        </w:rPr>
        <w:t>本阶段交付项目及其时间进度表。</w:t>
      </w:r>
    </w:p>
    <w:p w14:paraId="7970E6F5">
      <w:pPr>
        <w:spacing w:before="105" w:line="221" w:lineRule="auto"/>
        <w:rPr>
          <w:rFonts w:ascii="黑体" w:hAnsi="黑体" w:eastAsia="黑体" w:cs="黑体"/>
          <w:sz w:val="24"/>
          <w:szCs w:val="24"/>
        </w:rPr>
      </w:pPr>
      <w:r>
        <w:rPr>
          <w:rFonts w:ascii="黑体" w:hAnsi="黑体" w:eastAsia="黑体" w:cs="黑体"/>
          <w:spacing w:val="25"/>
          <w:sz w:val="24"/>
          <w:szCs w:val="24"/>
        </w:rPr>
        <w:t>4.2</w:t>
      </w:r>
      <w:r>
        <w:rPr>
          <w:rFonts w:ascii="黑体" w:hAnsi="黑体" w:eastAsia="黑体" w:cs="黑体"/>
          <w:spacing w:val="53"/>
          <w:sz w:val="24"/>
          <w:szCs w:val="24"/>
        </w:rPr>
        <w:t xml:space="preserve">  </w:t>
      </w:r>
      <w:r>
        <w:rPr>
          <w:rFonts w:ascii="黑体" w:hAnsi="黑体" w:eastAsia="黑体" w:cs="黑体"/>
          <w:b/>
          <w:bCs/>
          <w:spacing w:val="25"/>
          <w:sz w:val="24"/>
          <w:szCs w:val="24"/>
        </w:rPr>
        <w:t>双方需向对方交付的项目</w:t>
      </w:r>
    </w:p>
    <w:p w14:paraId="6E47A7D4">
      <w:pPr>
        <w:spacing w:before="98" w:line="269" w:lineRule="auto"/>
        <w:ind w:right="83" w:firstLine="570"/>
        <w:rPr>
          <w:rFonts w:ascii="宋体" w:hAnsi="宋体" w:eastAsia="宋体" w:cs="宋体"/>
          <w:sz w:val="27"/>
          <w:szCs w:val="27"/>
        </w:rPr>
      </w:pPr>
      <w:r>
        <w:rPr>
          <w:rFonts w:ascii="宋体" w:hAnsi="宋体" w:eastAsia="宋体" w:cs="宋体"/>
          <w:spacing w:val="2"/>
          <w:sz w:val="27"/>
          <w:szCs w:val="27"/>
        </w:rPr>
        <w:t>规定双方向对方交付的项目(包括硬件和计算机软</w:t>
      </w:r>
      <w:r>
        <w:rPr>
          <w:rFonts w:ascii="宋体" w:hAnsi="宋体" w:eastAsia="宋体" w:cs="宋体"/>
          <w:spacing w:val="1"/>
          <w:sz w:val="27"/>
          <w:szCs w:val="27"/>
        </w:rPr>
        <w:t>件、服务项目、资料项目</w:t>
      </w:r>
      <w:r>
        <w:rPr>
          <w:rFonts w:ascii="宋体" w:hAnsi="宋体" w:eastAsia="宋体" w:cs="宋体"/>
          <w:sz w:val="27"/>
          <w:szCs w:val="27"/>
        </w:rPr>
        <w:t xml:space="preserve"> </w:t>
      </w:r>
      <w:r>
        <w:rPr>
          <w:rFonts w:ascii="宋体" w:hAnsi="宋体" w:eastAsia="宋体" w:cs="宋体"/>
          <w:spacing w:val="1"/>
          <w:sz w:val="27"/>
          <w:szCs w:val="27"/>
        </w:rPr>
        <w:t>等)及交付的时间。</w:t>
      </w:r>
    </w:p>
    <w:p w14:paraId="4A4D9FBB">
      <w:pPr>
        <w:spacing w:before="1" w:line="222" w:lineRule="auto"/>
        <w:rPr>
          <w:rFonts w:ascii="黑体" w:hAnsi="黑体" w:eastAsia="黑体" w:cs="黑体"/>
          <w:sz w:val="27"/>
          <w:szCs w:val="27"/>
        </w:rPr>
      </w:pPr>
      <w:r>
        <w:rPr>
          <w:rFonts w:ascii="黑体" w:hAnsi="黑体" w:eastAsia="黑体" w:cs="黑体"/>
          <w:spacing w:val="3"/>
          <w:sz w:val="27"/>
          <w:szCs w:val="27"/>
        </w:rPr>
        <w:t xml:space="preserve">4.3  </w:t>
      </w:r>
      <w:r>
        <w:rPr>
          <w:rFonts w:ascii="黑体" w:hAnsi="黑体" w:eastAsia="黑体" w:cs="黑体"/>
          <w:b/>
          <w:bCs/>
          <w:spacing w:val="3"/>
          <w:sz w:val="27"/>
          <w:szCs w:val="27"/>
        </w:rPr>
        <w:t>技术审查要求</w:t>
      </w:r>
    </w:p>
    <w:p w14:paraId="628C5C78">
      <w:pPr>
        <w:spacing w:before="129" w:line="219" w:lineRule="auto"/>
        <w:ind w:left="570"/>
        <w:rPr>
          <w:rFonts w:ascii="宋体" w:hAnsi="宋体" w:eastAsia="宋体" w:cs="宋体"/>
          <w:sz w:val="27"/>
          <w:szCs w:val="27"/>
        </w:rPr>
      </w:pPr>
      <w:r>
        <w:rPr>
          <w:rFonts w:ascii="宋体" w:hAnsi="宋体" w:eastAsia="宋体" w:cs="宋体"/>
          <w:spacing w:val="6"/>
          <w:sz w:val="27"/>
          <w:szCs w:val="27"/>
        </w:rPr>
        <w:t>根据研制工作需要，提出在重要的工作节点和工</w:t>
      </w:r>
      <w:r>
        <w:rPr>
          <w:rFonts w:ascii="宋体" w:hAnsi="宋体" w:eastAsia="宋体" w:cs="宋体"/>
          <w:spacing w:val="5"/>
          <w:sz w:val="27"/>
          <w:szCs w:val="27"/>
        </w:rPr>
        <w:t>程决策点进行阶段技术审</w:t>
      </w:r>
    </w:p>
    <w:p w14:paraId="3E433FF8">
      <w:pPr>
        <w:spacing w:line="219" w:lineRule="auto"/>
        <w:rPr>
          <w:rFonts w:ascii="宋体" w:hAnsi="宋体" w:eastAsia="宋体" w:cs="宋体"/>
          <w:sz w:val="27"/>
          <w:szCs w:val="27"/>
        </w:rPr>
        <w:sectPr>
          <w:footerReference r:id="rId54" w:type="default"/>
          <w:pgSz w:w="11910" w:h="17130"/>
          <w:pgMar w:top="400" w:right="1275" w:bottom="1593" w:left="1150" w:header="0" w:footer="1394" w:gutter="0"/>
          <w:cols w:space="720" w:num="1"/>
        </w:sectPr>
      </w:pPr>
    </w:p>
    <w:p w14:paraId="243B3B0B">
      <w:pPr>
        <w:pStyle w:val="2"/>
        <w:spacing w:line="291" w:lineRule="auto"/>
      </w:pPr>
    </w:p>
    <w:p w14:paraId="3DF84794">
      <w:pPr>
        <w:pStyle w:val="2"/>
        <w:spacing w:line="291" w:lineRule="auto"/>
      </w:pPr>
    </w:p>
    <w:p w14:paraId="60C1E644">
      <w:pPr>
        <w:pStyle w:val="2"/>
        <w:spacing w:line="292" w:lineRule="auto"/>
      </w:pPr>
    </w:p>
    <w:p w14:paraId="0DADCC9A">
      <w:pPr>
        <w:pStyle w:val="2"/>
        <w:spacing w:line="292" w:lineRule="auto"/>
      </w:pPr>
    </w:p>
    <w:p w14:paraId="41F1D444">
      <w:pPr>
        <w:spacing w:before="88" w:line="219" w:lineRule="auto"/>
        <w:rPr>
          <w:rFonts w:ascii="宋体" w:hAnsi="宋体" w:eastAsia="宋体" w:cs="宋体"/>
          <w:sz w:val="27"/>
          <w:szCs w:val="27"/>
        </w:rPr>
      </w:pPr>
      <w:r>
        <w:rPr>
          <w:rFonts w:ascii="宋体" w:hAnsi="宋体" w:eastAsia="宋体" w:cs="宋体"/>
          <w:spacing w:val="-10"/>
          <w:sz w:val="27"/>
          <w:szCs w:val="27"/>
        </w:rPr>
        <w:t>查的要求，包括审查的内容、参加的单位等。</w:t>
      </w:r>
    </w:p>
    <w:p w14:paraId="00DCAF88">
      <w:pPr>
        <w:spacing w:before="103" w:line="222" w:lineRule="auto"/>
        <w:rPr>
          <w:rFonts w:ascii="黑体" w:hAnsi="黑体" w:eastAsia="黑体" w:cs="黑体"/>
          <w:sz w:val="24"/>
          <w:szCs w:val="24"/>
        </w:rPr>
      </w:pPr>
      <w:r>
        <w:rPr>
          <w:rFonts w:ascii="黑体" w:hAnsi="黑体" w:eastAsia="黑体" w:cs="黑体"/>
          <w:spacing w:val="22"/>
          <w:sz w:val="24"/>
          <w:szCs w:val="24"/>
        </w:rPr>
        <w:t>4.4</w:t>
      </w:r>
      <w:r>
        <w:rPr>
          <w:rFonts w:ascii="黑体" w:hAnsi="黑体" w:eastAsia="黑体" w:cs="黑体"/>
          <w:spacing w:val="43"/>
          <w:sz w:val="24"/>
          <w:szCs w:val="24"/>
        </w:rPr>
        <w:t xml:space="preserve">  </w:t>
      </w:r>
      <w:r>
        <w:rPr>
          <w:rFonts w:ascii="黑体" w:hAnsi="黑体" w:eastAsia="黑体" w:cs="黑体"/>
          <w:b/>
          <w:bCs/>
          <w:spacing w:val="22"/>
          <w:sz w:val="24"/>
          <w:szCs w:val="24"/>
        </w:rPr>
        <w:t>时间进度表</w:t>
      </w:r>
    </w:p>
    <w:p w14:paraId="0F321B81">
      <w:pPr>
        <w:spacing w:before="87" w:line="275" w:lineRule="auto"/>
        <w:ind w:firstLine="580"/>
        <w:rPr>
          <w:rFonts w:ascii="宋体" w:hAnsi="宋体" w:eastAsia="宋体" w:cs="宋体"/>
          <w:sz w:val="27"/>
          <w:szCs w:val="27"/>
        </w:rPr>
      </w:pPr>
      <w:r>
        <w:rPr>
          <w:rFonts w:ascii="宋体" w:hAnsi="宋体" w:eastAsia="宋体" w:cs="宋体"/>
          <w:spacing w:val="14"/>
          <w:sz w:val="27"/>
          <w:szCs w:val="27"/>
        </w:rPr>
        <w:t>按武器装备研制生产项目的网络图和4.1至4.</w:t>
      </w:r>
      <w:r>
        <w:rPr>
          <w:rFonts w:ascii="宋体" w:hAnsi="宋体" w:eastAsia="宋体" w:cs="宋体"/>
          <w:spacing w:val="13"/>
          <w:sz w:val="27"/>
          <w:szCs w:val="27"/>
        </w:rPr>
        <w:t>3条规定的主要事项，按时</w:t>
      </w:r>
      <w:r>
        <w:rPr>
          <w:rFonts w:ascii="宋体" w:hAnsi="宋体" w:eastAsia="宋体" w:cs="宋体"/>
          <w:sz w:val="27"/>
          <w:szCs w:val="27"/>
        </w:rPr>
        <w:t xml:space="preserve"> </w:t>
      </w:r>
      <w:r>
        <w:rPr>
          <w:rFonts w:ascii="宋体" w:hAnsi="宋体" w:eastAsia="宋体" w:cs="宋体"/>
          <w:spacing w:val="3"/>
          <w:sz w:val="27"/>
          <w:szCs w:val="27"/>
        </w:rPr>
        <w:t>间顺序整理成研制生产工作的时间进度表。</w:t>
      </w:r>
    </w:p>
    <w:p w14:paraId="6BBFDB1F">
      <w:pPr>
        <w:pStyle w:val="2"/>
        <w:spacing w:before="1" w:line="220" w:lineRule="auto"/>
        <w:rPr>
          <w:rFonts w:ascii="黑体" w:hAnsi="黑体" w:eastAsia="黑体" w:cs="黑体"/>
          <w:sz w:val="27"/>
          <w:szCs w:val="27"/>
        </w:rPr>
      </w:pPr>
      <w:r>
        <w:rPr>
          <w:b/>
          <w:bCs/>
          <w:spacing w:val="-1"/>
          <w:sz w:val="27"/>
          <w:szCs w:val="27"/>
        </w:rPr>
        <w:t>5</w:t>
      </w:r>
      <w:r>
        <w:rPr>
          <w:b/>
          <w:bCs/>
          <w:spacing w:val="20"/>
          <w:sz w:val="27"/>
          <w:szCs w:val="27"/>
        </w:rPr>
        <w:t xml:space="preserve">   </w:t>
      </w:r>
      <w:r>
        <w:rPr>
          <w:rFonts w:ascii="黑体" w:hAnsi="黑体" w:eastAsia="黑体" w:cs="黑体"/>
          <w:b/>
          <w:bCs/>
          <w:spacing w:val="-1"/>
          <w:sz w:val="27"/>
          <w:szCs w:val="27"/>
        </w:rPr>
        <w:t>说明事项</w:t>
      </w:r>
    </w:p>
    <w:p w14:paraId="70AB9AB6">
      <w:pPr>
        <w:spacing w:before="92" w:line="274" w:lineRule="auto"/>
        <w:ind w:left="3" w:right="740" w:firstLine="576"/>
        <w:rPr>
          <w:rFonts w:ascii="黑体" w:hAnsi="黑体" w:eastAsia="黑体" w:cs="黑体"/>
          <w:sz w:val="27"/>
          <w:szCs w:val="27"/>
        </w:rPr>
      </w:pPr>
      <w:r>
        <w:rPr>
          <w:rFonts w:ascii="宋体" w:hAnsi="宋体" w:eastAsia="宋体" w:cs="宋体"/>
          <w:sz w:val="27"/>
          <w:szCs w:val="27"/>
        </w:rPr>
        <w:t>根据武器装备研制生产项目的实际情况，给出必要的</w:t>
      </w:r>
      <w:r>
        <w:rPr>
          <w:rFonts w:ascii="宋体" w:hAnsi="宋体" w:eastAsia="宋体" w:cs="宋体"/>
          <w:spacing w:val="-1"/>
          <w:sz w:val="27"/>
          <w:szCs w:val="27"/>
        </w:rPr>
        <w:t>其他附加说明。</w:t>
      </w:r>
      <w:r>
        <w:rPr>
          <w:rFonts w:ascii="宋体" w:hAnsi="宋体" w:eastAsia="宋体" w:cs="宋体"/>
          <w:sz w:val="27"/>
          <w:szCs w:val="27"/>
        </w:rPr>
        <w:t xml:space="preserve"> </w:t>
      </w:r>
      <w:r>
        <w:rPr>
          <w:rFonts w:ascii="黑体" w:hAnsi="黑体" w:eastAsia="黑体" w:cs="黑体"/>
          <w:b/>
          <w:bCs/>
          <w:spacing w:val="-10"/>
          <w:sz w:val="27"/>
          <w:szCs w:val="27"/>
        </w:rPr>
        <w:t>附录</w:t>
      </w:r>
    </w:p>
    <w:p w14:paraId="15574DAD">
      <w:pPr>
        <w:spacing w:before="17" w:line="219" w:lineRule="auto"/>
        <w:ind w:left="580"/>
        <w:rPr>
          <w:rFonts w:ascii="宋体" w:hAnsi="宋体" w:eastAsia="宋体" w:cs="宋体"/>
          <w:sz w:val="27"/>
          <w:szCs w:val="27"/>
        </w:rPr>
      </w:pPr>
      <w:r>
        <w:rPr>
          <w:rFonts w:ascii="宋体" w:hAnsi="宋体" w:eastAsia="宋体" w:cs="宋体"/>
          <w:spacing w:val="1"/>
          <w:sz w:val="27"/>
          <w:szCs w:val="27"/>
        </w:rPr>
        <w:t>根据需要提供附录。</w:t>
      </w:r>
    </w:p>
    <w:p w14:paraId="6C3AC90F">
      <w:pPr>
        <w:pStyle w:val="2"/>
        <w:spacing w:before="104" w:line="221" w:lineRule="auto"/>
        <w:rPr>
          <w:rFonts w:ascii="黑体" w:hAnsi="黑体" w:eastAsia="黑体" w:cs="黑体"/>
          <w:sz w:val="24"/>
          <w:szCs w:val="24"/>
        </w:rPr>
      </w:pPr>
      <w:r>
        <w:rPr>
          <w:sz w:val="24"/>
          <w:szCs w:val="24"/>
        </w:rPr>
        <w:t>IV</w:t>
      </w:r>
      <w:r>
        <w:rPr>
          <w:spacing w:val="-7"/>
          <w:sz w:val="24"/>
          <w:szCs w:val="24"/>
        </w:rPr>
        <w:t xml:space="preserve"> </w:t>
      </w:r>
      <w:r>
        <w:rPr>
          <w:rFonts w:ascii="黑体" w:hAnsi="黑体" w:eastAsia="黑体" w:cs="黑体"/>
          <w:b/>
          <w:bCs/>
          <w:spacing w:val="26"/>
          <w:sz w:val="24"/>
          <w:szCs w:val="24"/>
        </w:rPr>
        <w:t>类工作说明</w:t>
      </w:r>
    </w:p>
    <w:p w14:paraId="7FD19637">
      <w:pPr>
        <w:spacing w:before="100" w:line="273" w:lineRule="auto"/>
        <w:ind w:left="3" w:right="13" w:firstLine="629"/>
        <w:jc w:val="both"/>
        <w:rPr>
          <w:rFonts w:ascii="楷体" w:hAnsi="楷体" w:eastAsia="楷体" w:cs="楷体"/>
          <w:sz w:val="27"/>
          <w:szCs w:val="27"/>
        </w:rPr>
      </w:pPr>
      <w:r>
        <w:rPr>
          <w:rFonts w:ascii="楷体" w:hAnsi="楷体" w:eastAsia="楷体" w:cs="楷体"/>
          <w:b/>
          <w:bCs/>
          <w:spacing w:val="-15"/>
          <w:sz w:val="27"/>
          <w:szCs w:val="27"/>
        </w:rPr>
        <w:t>生产阶段的主要工作是按照已批准的《产品规范》、《工艺规范》和《材料规</w:t>
      </w:r>
      <w:r>
        <w:rPr>
          <w:rFonts w:ascii="楷体" w:hAnsi="楷体" w:eastAsia="楷体" w:cs="楷体"/>
          <w:spacing w:val="1"/>
          <w:sz w:val="27"/>
          <w:szCs w:val="27"/>
        </w:rPr>
        <w:t xml:space="preserve"> </w:t>
      </w:r>
      <w:r>
        <w:rPr>
          <w:rFonts w:ascii="楷体" w:hAnsi="楷体" w:eastAsia="楷体" w:cs="楷体"/>
          <w:b/>
          <w:bCs/>
          <w:spacing w:val="2"/>
          <w:sz w:val="27"/>
          <w:szCs w:val="27"/>
        </w:rPr>
        <w:t>范》及正式的全套生产图样组织武器装备的批量生产，贯彻实</w:t>
      </w:r>
      <w:r>
        <w:rPr>
          <w:rFonts w:ascii="楷体" w:hAnsi="楷体" w:eastAsia="楷体" w:cs="楷体"/>
          <w:b/>
          <w:bCs/>
          <w:spacing w:val="1"/>
          <w:sz w:val="27"/>
          <w:szCs w:val="27"/>
        </w:rPr>
        <w:t>施《制造管理大</w:t>
      </w:r>
      <w:r>
        <w:rPr>
          <w:rFonts w:ascii="楷体" w:hAnsi="楷体" w:eastAsia="楷体" w:cs="楷体"/>
          <w:sz w:val="27"/>
          <w:szCs w:val="27"/>
        </w:rPr>
        <w:t xml:space="preserve">  </w:t>
      </w:r>
      <w:r>
        <w:rPr>
          <w:rFonts w:ascii="楷体" w:hAnsi="楷体" w:eastAsia="楷体" w:cs="楷体"/>
          <w:b/>
          <w:bCs/>
          <w:spacing w:val="-10"/>
          <w:sz w:val="27"/>
          <w:szCs w:val="27"/>
        </w:rPr>
        <w:t>纲》,实施技术状态管理，对生产过程中发现的缺陷进行纠正，稳定和不断提高武</w:t>
      </w:r>
      <w:r>
        <w:rPr>
          <w:rFonts w:ascii="楷体" w:hAnsi="楷体" w:eastAsia="楷体" w:cs="楷体"/>
          <w:spacing w:val="9"/>
          <w:sz w:val="27"/>
          <w:szCs w:val="27"/>
        </w:rPr>
        <w:t xml:space="preserve">  </w:t>
      </w:r>
      <w:r>
        <w:rPr>
          <w:rFonts w:ascii="楷体" w:hAnsi="楷体" w:eastAsia="楷体" w:cs="楷体"/>
          <w:b/>
          <w:bCs/>
          <w:sz w:val="27"/>
          <w:szCs w:val="27"/>
        </w:rPr>
        <w:t>器装备质量。生产阶段的工作说明主要包括以下内容。</w:t>
      </w:r>
    </w:p>
    <w:p w14:paraId="2BE6C843">
      <w:pPr>
        <w:spacing w:before="19"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385FBEB2">
      <w:pPr>
        <w:spacing w:before="105" w:line="219" w:lineRule="auto"/>
        <w:ind w:left="580"/>
        <w:rPr>
          <w:rFonts w:ascii="宋体" w:hAnsi="宋体" w:eastAsia="宋体" w:cs="宋体"/>
          <w:sz w:val="27"/>
          <w:szCs w:val="27"/>
        </w:rPr>
      </w:pPr>
      <w:r>
        <w:rPr>
          <w:rFonts w:ascii="宋体" w:hAnsi="宋体" w:eastAsia="宋体" w:cs="宋体"/>
          <w:spacing w:val="-3"/>
          <w:sz w:val="27"/>
          <w:szCs w:val="27"/>
        </w:rPr>
        <w:t>简述工作说明的主要内容，不包括背景资料。</w:t>
      </w:r>
    </w:p>
    <w:p w14:paraId="41EAD244">
      <w:pPr>
        <w:pStyle w:val="2"/>
        <w:spacing w:before="76" w:line="222" w:lineRule="auto"/>
        <w:rPr>
          <w:rFonts w:ascii="黑体" w:hAnsi="黑体" w:eastAsia="黑体" w:cs="黑体"/>
          <w:sz w:val="27"/>
          <w:szCs w:val="27"/>
        </w:rPr>
      </w:pPr>
      <w:r>
        <w:rPr>
          <w:b/>
          <w:bCs/>
          <w:spacing w:val="-1"/>
          <w:sz w:val="27"/>
          <w:szCs w:val="27"/>
        </w:rPr>
        <w:t>2</w:t>
      </w:r>
      <w:r>
        <w:rPr>
          <w:b/>
          <w:bCs/>
          <w:spacing w:val="18"/>
          <w:w w:val="101"/>
          <w:sz w:val="27"/>
          <w:szCs w:val="27"/>
        </w:rPr>
        <w:t xml:space="preserve">   </w:t>
      </w:r>
      <w:r>
        <w:rPr>
          <w:rFonts w:ascii="黑体" w:hAnsi="黑体" w:eastAsia="黑体" w:cs="黑体"/>
          <w:b/>
          <w:bCs/>
          <w:spacing w:val="-1"/>
          <w:sz w:val="27"/>
          <w:szCs w:val="27"/>
        </w:rPr>
        <w:t>引用文件</w:t>
      </w:r>
    </w:p>
    <w:p w14:paraId="7F5DEB43">
      <w:pPr>
        <w:spacing w:before="92" w:line="282" w:lineRule="auto"/>
        <w:ind w:right="4" w:firstLine="580"/>
        <w:rPr>
          <w:rFonts w:ascii="宋体" w:hAnsi="宋体" w:eastAsia="宋体" w:cs="宋体"/>
          <w:sz w:val="27"/>
          <w:szCs w:val="27"/>
        </w:rPr>
      </w:pPr>
      <w:r>
        <w:rPr>
          <w:rFonts w:ascii="宋体" w:hAnsi="宋体" w:eastAsia="宋体" w:cs="宋体"/>
          <w:spacing w:val="6"/>
          <w:sz w:val="27"/>
          <w:szCs w:val="27"/>
        </w:rPr>
        <w:t>列出所有在工作说明各要求部分引用过的文件的文件号和名称。这些</w:t>
      </w:r>
      <w:r>
        <w:rPr>
          <w:rFonts w:ascii="宋体" w:hAnsi="宋体" w:eastAsia="宋体" w:cs="宋体"/>
          <w:spacing w:val="5"/>
          <w:sz w:val="27"/>
          <w:szCs w:val="27"/>
        </w:rPr>
        <w:t>文件</w:t>
      </w:r>
      <w:r>
        <w:rPr>
          <w:rFonts w:ascii="宋体" w:hAnsi="宋体" w:eastAsia="宋体" w:cs="宋体"/>
          <w:sz w:val="27"/>
          <w:szCs w:val="27"/>
        </w:rPr>
        <w:t xml:space="preserve"> </w:t>
      </w:r>
      <w:r>
        <w:rPr>
          <w:rFonts w:ascii="宋体" w:hAnsi="宋体" w:eastAsia="宋体" w:cs="宋体"/>
          <w:spacing w:val="4"/>
          <w:sz w:val="27"/>
          <w:szCs w:val="27"/>
        </w:rPr>
        <w:t>可以包括标准及其他需要用来确认和阐明工作任务或可交付产品的文件。</w:t>
      </w:r>
    </w:p>
    <w:p w14:paraId="04987B6A">
      <w:pPr>
        <w:spacing w:line="223" w:lineRule="auto"/>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36"/>
          <w:sz w:val="24"/>
          <w:szCs w:val="24"/>
        </w:rPr>
        <w:t xml:space="preserve">  </w:t>
      </w:r>
      <w:r>
        <w:rPr>
          <w:rFonts w:ascii="黑体" w:hAnsi="黑体" w:eastAsia="黑体" w:cs="黑体"/>
          <w:b/>
          <w:bCs/>
          <w:spacing w:val="-7"/>
          <w:sz w:val="24"/>
          <w:szCs w:val="24"/>
        </w:rPr>
        <w:t>定</w:t>
      </w:r>
      <w:r>
        <w:rPr>
          <w:rFonts w:ascii="黑体" w:hAnsi="黑体" w:eastAsia="黑体" w:cs="黑体"/>
          <w:spacing w:val="-44"/>
          <w:sz w:val="24"/>
          <w:szCs w:val="24"/>
        </w:rPr>
        <w:t xml:space="preserve"> </w:t>
      </w:r>
      <w:r>
        <w:rPr>
          <w:rFonts w:ascii="黑体" w:hAnsi="黑体" w:eastAsia="黑体" w:cs="黑体"/>
          <w:b/>
          <w:bCs/>
          <w:spacing w:val="-7"/>
          <w:sz w:val="24"/>
          <w:szCs w:val="24"/>
        </w:rPr>
        <w:t>义</w:t>
      </w:r>
    </w:p>
    <w:p w14:paraId="43487AE0">
      <w:pPr>
        <w:spacing w:before="113" w:line="219" w:lineRule="auto"/>
        <w:ind w:left="580"/>
        <w:rPr>
          <w:rFonts w:ascii="宋体" w:hAnsi="宋体" w:eastAsia="宋体" w:cs="宋体"/>
          <w:sz w:val="27"/>
          <w:szCs w:val="27"/>
        </w:rPr>
      </w:pPr>
      <w:r>
        <w:rPr>
          <w:rFonts w:ascii="宋体" w:hAnsi="宋体" w:eastAsia="宋体" w:cs="宋体"/>
          <w:spacing w:val="-1"/>
          <w:sz w:val="27"/>
          <w:szCs w:val="27"/>
        </w:rPr>
        <w:t>根据需要给出某些特定术语、专用名词和缩写词的定义。</w:t>
      </w:r>
    </w:p>
    <w:p w14:paraId="140359B0">
      <w:pPr>
        <w:spacing w:before="97" w:line="222" w:lineRule="auto"/>
        <w:rPr>
          <w:rFonts w:ascii="黑体" w:hAnsi="黑体" w:eastAsia="黑体" w:cs="黑体"/>
          <w:sz w:val="25"/>
          <w:szCs w:val="25"/>
        </w:rPr>
      </w:pPr>
      <w:r>
        <w:rPr>
          <w:rFonts w:ascii="黑体" w:hAnsi="黑体" w:eastAsia="黑体" w:cs="黑体"/>
          <w:spacing w:val="9"/>
          <w:sz w:val="25"/>
          <w:szCs w:val="25"/>
        </w:rPr>
        <w:t>4</w:t>
      </w:r>
      <w:r>
        <w:rPr>
          <w:rFonts w:ascii="黑体" w:hAnsi="黑体" w:eastAsia="黑体" w:cs="黑体"/>
          <w:spacing w:val="25"/>
          <w:sz w:val="25"/>
          <w:szCs w:val="25"/>
        </w:rPr>
        <w:t xml:space="preserve">  </w:t>
      </w:r>
      <w:r>
        <w:rPr>
          <w:rFonts w:ascii="黑体" w:hAnsi="黑体" w:eastAsia="黑体" w:cs="黑体"/>
          <w:b/>
          <w:bCs/>
          <w:spacing w:val="9"/>
          <w:sz w:val="25"/>
          <w:szCs w:val="25"/>
        </w:rPr>
        <w:t>要求</w:t>
      </w:r>
    </w:p>
    <w:p w14:paraId="0E670ACD">
      <w:pPr>
        <w:spacing w:before="97" w:line="221" w:lineRule="auto"/>
        <w:rPr>
          <w:rFonts w:ascii="黑体" w:hAnsi="黑体" w:eastAsia="黑体" w:cs="黑体"/>
          <w:sz w:val="24"/>
          <w:szCs w:val="24"/>
        </w:rPr>
      </w:pPr>
      <w:r>
        <w:rPr>
          <w:rFonts w:ascii="黑体" w:hAnsi="黑体" w:eastAsia="黑体" w:cs="黑体"/>
          <w:spacing w:val="23"/>
          <w:sz w:val="24"/>
          <w:szCs w:val="24"/>
        </w:rPr>
        <w:t>4.1</w:t>
      </w:r>
      <w:r>
        <w:rPr>
          <w:rFonts w:ascii="黑体" w:hAnsi="黑体" w:eastAsia="黑体" w:cs="黑体"/>
          <w:spacing w:val="62"/>
          <w:sz w:val="24"/>
          <w:szCs w:val="24"/>
        </w:rPr>
        <w:t xml:space="preserve">  </w:t>
      </w:r>
      <w:r>
        <w:rPr>
          <w:rFonts w:ascii="黑体" w:hAnsi="黑体" w:eastAsia="黑体" w:cs="黑体"/>
          <w:b/>
          <w:bCs/>
          <w:spacing w:val="23"/>
          <w:sz w:val="24"/>
          <w:szCs w:val="24"/>
        </w:rPr>
        <w:t>双方需完成的工作</w:t>
      </w:r>
    </w:p>
    <w:p w14:paraId="1BE3AEC8">
      <w:pPr>
        <w:spacing w:before="100" w:line="219" w:lineRule="auto"/>
        <w:ind w:left="580"/>
        <w:rPr>
          <w:rFonts w:ascii="宋体" w:hAnsi="宋体" w:eastAsia="宋体" w:cs="宋体"/>
          <w:sz w:val="27"/>
          <w:szCs w:val="27"/>
        </w:rPr>
      </w:pPr>
      <w:r>
        <w:rPr>
          <w:rFonts w:ascii="宋体" w:hAnsi="宋体" w:eastAsia="宋体" w:cs="宋体"/>
          <w:spacing w:val="-1"/>
          <w:sz w:val="27"/>
          <w:szCs w:val="27"/>
        </w:rPr>
        <w:t>包括下列内容：</w:t>
      </w:r>
    </w:p>
    <w:p w14:paraId="35A8007E">
      <w:pPr>
        <w:spacing w:before="68" w:line="212" w:lineRule="auto"/>
        <w:ind w:left="580"/>
        <w:rPr>
          <w:rFonts w:ascii="宋体" w:hAnsi="宋体" w:eastAsia="宋体" w:cs="宋体"/>
          <w:sz w:val="27"/>
          <w:szCs w:val="27"/>
        </w:rPr>
      </w:pPr>
      <w:r>
        <w:rPr>
          <w:rFonts w:ascii="Times New Roman" w:hAnsi="Times New Roman" w:eastAsia="Times New Roman" w:cs="Times New Roman"/>
          <w:spacing w:val="-7"/>
          <w:sz w:val="27"/>
          <w:szCs w:val="27"/>
        </w:rPr>
        <w:t xml:space="preserve">a)  </w:t>
      </w:r>
      <w:r>
        <w:rPr>
          <w:rFonts w:ascii="宋体" w:hAnsi="宋体" w:eastAsia="宋体" w:cs="宋体"/>
          <w:spacing w:val="-7"/>
          <w:sz w:val="27"/>
          <w:szCs w:val="27"/>
        </w:rPr>
        <w:t>贯彻产品规范、工艺规范、材料规范，按全套生产图</w:t>
      </w:r>
      <w:r>
        <w:rPr>
          <w:rFonts w:ascii="宋体" w:hAnsi="宋体" w:eastAsia="宋体" w:cs="宋体"/>
          <w:spacing w:val="-8"/>
          <w:sz w:val="27"/>
          <w:szCs w:val="27"/>
        </w:rPr>
        <w:t>样组织批量生产；</w:t>
      </w:r>
    </w:p>
    <w:p w14:paraId="6026A995">
      <w:pPr>
        <w:spacing w:before="101" w:line="212" w:lineRule="auto"/>
        <w:ind w:left="58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58"/>
          <w:sz w:val="27"/>
          <w:szCs w:val="27"/>
        </w:rPr>
        <w:t xml:space="preserve"> </w:t>
      </w:r>
      <w:r>
        <w:rPr>
          <w:rFonts w:ascii="宋体" w:hAnsi="宋体" w:eastAsia="宋体" w:cs="宋体"/>
          <w:spacing w:val="3"/>
          <w:sz w:val="27"/>
          <w:szCs w:val="27"/>
        </w:rPr>
        <w:t>实施制造管理大纲；</w:t>
      </w:r>
    </w:p>
    <w:p w14:paraId="6115E7EE">
      <w:pPr>
        <w:spacing w:before="99" w:line="212" w:lineRule="auto"/>
        <w:ind w:left="58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3"/>
          <w:sz w:val="27"/>
          <w:szCs w:val="27"/>
        </w:rPr>
        <w:t>进行生产阶段系统工程管理；</w:t>
      </w:r>
    </w:p>
    <w:p w14:paraId="3B3418D2">
      <w:pPr>
        <w:spacing w:before="100" w:line="212" w:lineRule="auto"/>
        <w:ind w:left="580"/>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实施技术状态管理；</w:t>
      </w:r>
    </w:p>
    <w:p w14:paraId="473F3BE6">
      <w:pPr>
        <w:spacing w:before="100" w:line="212" w:lineRule="auto"/>
        <w:ind w:left="580"/>
        <w:rPr>
          <w:rFonts w:ascii="宋体" w:hAnsi="宋体" w:eastAsia="宋体" w:cs="宋体"/>
          <w:sz w:val="27"/>
          <w:szCs w:val="27"/>
        </w:rPr>
      </w:pPr>
      <w:r>
        <w:rPr>
          <w:rFonts w:ascii="Times New Roman" w:hAnsi="Times New Roman" w:eastAsia="Times New Roman" w:cs="Times New Roman"/>
          <w:spacing w:val="1"/>
          <w:sz w:val="27"/>
          <w:szCs w:val="27"/>
        </w:rPr>
        <w:t xml:space="preserve">e)  </w:t>
      </w:r>
      <w:r>
        <w:rPr>
          <w:rFonts w:ascii="宋体" w:hAnsi="宋体" w:eastAsia="宋体" w:cs="宋体"/>
          <w:spacing w:val="1"/>
          <w:sz w:val="27"/>
          <w:szCs w:val="27"/>
        </w:rPr>
        <w:t>贯彻质量保证大纲；</w:t>
      </w:r>
    </w:p>
    <w:p w14:paraId="7FAFC08D">
      <w:pPr>
        <w:spacing w:before="80" w:line="212" w:lineRule="auto"/>
        <w:ind w:left="580"/>
        <w:rPr>
          <w:rFonts w:ascii="宋体" w:hAnsi="宋体" w:eastAsia="宋体" w:cs="宋体"/>
          <w:sz w:val="27"/>
          <w:szCs w:val="27"/>
        </w:rPr>
      </w:pPr>
      <w:r>
        <w:rPr>
          <w:rFonts w:ascii="Times New Roman" w:hAnsi="Times New Roman" w:eastAsia="Times New Roman" w:cs="Times New Roman"/>
          <w:spacing w:val="1"/>
          <w:sz w:val="27"/>
          <w:szCs w:val="27"/>
        </w:rPr>
        <w:t xml:space="preserve">f)  </w:t>
      </w:r>
      <w:r>
        <w:rPr>
          <w:rFonts w:ascii="宋体" w:hAnsi="宋体" w:eastAsia="宋体" w:cs="宋体"/>
          <w:spacing w:val="1"/>
          <w:sz w:val="27"/>
          <w:szCs w:val="27"/>
        </w:rPr>
        <w:t>实施综合保障计划；</w:t>
      </w:r>
    </w:p>
    <w:p w14:paraId="1DC23862">
      <w:pPr>
        <w:spacing w:before="120" w:line="212" w:lineRule="auto"/>
        <w:ind w:left="580"/>
        <w:rPr>
          <w:rFonts w:ascii="宋体" w:hAnsi="宋体" w:eastAsia="宋体" w:cs="宋体"/>
          <w:sz w:val="27"/>
          <w:szCs w:val="27"/>
        </w:rPr>
      </w:pPr>
      <w:r>
        <w:rPr>
          <w:rFonts w:ascii="Times New Roman" w:hAnsi="Times New Roman" w:eastAsia="Times New Roman" w:cs="Times New Roman"/>
          <w:spacing w:val="-2"/>
          <w:sz w:val="27"/>
          <w:szCs w:val="27"/>
        </w:rPr>
        <w:t xml:space="preserve">g)  </w:t>
      </w:r>
      <w:r>
        <w:rPr>
          <w:rFonts w:ascii="宋体" w:hAnsi="宋体" w:eastAsia="宋体" w:cs="宋体"/>
          <w:spacing w:val="-2"/>
          <w:sz w:val="27"/>
          <w:szCs w:val="27"/>
        </w:rPr>
        <w:t>贯彻故障报告、分析和纠正措施系统(</w:t>
      </w:r>
      <w:r>
        <w:rPr>
          <w:rFonts w:ascii="Times New Roman" w:hAnsi="Times New Roman" w:eastAsia="Times New Roman" w:cs="Times New Roman"/>
          <w:spacing w:val="-2"/>
          <w:sz w:val="27"/>
          <w:szCs w:val="27"/>
        </w:rPr>
        <w:t xml:space="preserve">FRACAS)  </w:t>
      </w:r>
      <w:r>
        <w:rPr>
          <w:rFonts w:ascii="宋体" w:hAnsi="宋体" w:eastAsia="宋体" w:cs="宋体"/>
          <w:spacing w:val="-2"/>
          <w:sz w:val="27"/>
          <w:szCs w:val="27"/>
        </w:rPr>
        <w:t>要求；</w:t>
      </w:r>
    </w:p>
    <w:p w14:paraId="5B05B6A0">
      <w:pPr>
        <w:spacing w:before="100" w:line="212" w:lineRule="auto"/>
        <w:ind w:left="580"/>
        <w:rPr>
          <w:rFonts w:ascii="宋体" w:hAnsi="宋体" w:eastAsia="宋体" w:cs="宋体"/>
          <w:sz w:val="27"/>
          <w:szCs w:val="27"/>
        </w:rPr>
      </w:pPr>
      <w:r>
        <w:rPr>
          <w:rFonts w:ascii="Times New Roman" w:hAnsi="Times New Roman" w:eastAsia="Times New Roman" w:cs="Times New Roman"/>
          <w:spacing w:val="4"/>
          <w:sz w:val="27"/>
          <w:szCs w:val="27"/>
        </w:rPr>
        <w:t>h)</w:t>
      </w:r>
      <w:r>
        <w:rPr>
          <w:rFonts w:ascii="Times New Roman" w:hAnsi="Times New Roman" w:eastAsia="Times New Roman" w:cs="Times New Roman"/>
          <w:spacing w:val="75"/>
          <w:sz w:val="27"/>
          <w:szCs w:val="27"/>
        </w:rPr>
        <w:t xml:space="preserve"> </w:t>
      </w:r>
      <w:r>
        <w:rPr>
          <w:rFonts w:ascii="宋体" w:hAnsi="宋体" w:eastAsia="宋体" w:cs="宋体"/>
          <w:spacing w:val="4"/>
          <w:sz w:val="27"/>
          <w:szCs w:val="27"/>
        </w:rPr>
        <w:t>进行批量产品的抽样鉴定试验和评估；</w:t>
      </w:r>
    </w:p>
    <w:p w14:paraId="097AE7BE">
      <w:pPr>
        <w:spacing w:before="80" w:line="212" w:lineRule="auto"/>
        <w:ind w:left="580"/>
        <w:rPr>
          <w:rFonts w:ascii="宋体" w:hAnsi="宋体" w:eastAsia="宋体" w:cs="宋体"/>
          <w:sz w:val="27"/>
          <w:szCs w:val="27"/>
        </w:rPr>
      </w:pPr>
      <w:r>
        <w:rPr>
          <w:rFonts w:ascii="Times New Roman" w:hAnsi="Times New Roman" w:eastAsia="Times New Roman" w:cs="Times New Roman"/>
          <w:spacing w:val="3"/>
          <w:sz w:val="27"/>
          <w:szCs w:val="27"/>
        </w:rPr>
        <w:t>i)</w:t>
      </w:r>
      <w:r>
        <w:rPr>
          <w:rFonts w:ascii="Times New Roman" w:hAnsi="Times New Roman" w:eastAsia="Times New Roman" w:cs="Times New Roman"/>
          <w:spacing w:val="45"/>
          <w:sz w:val="27"/>
          <w:szCs w:val="27"/>
        </w:rPr>
        <w:t xml:space="preserve"> </w:t>
      </w:r>
      <w:r>
        <w:rPr>
          <w:rFonts w:ascii="宋体" w:hAnsi="宋体" w:eastAsia="宋体" w:cs="宋体"/>
          <w:spacing w:val="3"/>
          <w:sz w:val="27"/>
          <w:szCs w:val="27"/>
        </w:rPr>
        <w:t>交付项目及其进度表。</w:t>
      </w:r>
    </w:p>
    <w:p w14:paraId="5D575CE1">
      <w:pPr>
        <w:spacing w:before="114" w:line="221" w:lineRule="auto"/>
        <w:rPr>
          <w:rFonts w:ascii="黑体" w:hAnsi="黑体" w:eastAsia="黑体" w:cs="黑体"/>
          <w:sz w:val="27"/>
          <w:szCs w:val="27"/>
        </w:rPr>
      </w:pPr>
      <w:r>
        <w:rPr>
          <w:rFonts w:ascii="黑体" w:hAnsi="黑体" w:eastAsia="黑体" w:cs="黑体"/>
          <w:spacing w:val="2"/>
          <w:sz w:val="27"/>
          <w:szCs w:val="27"/>
        </w:rPr>
        <w:t>4.2</w:t>
      </w:r>
      <w:r>
        <w:rPr>
          <w:rFonts w:ascii="黑体" w:hAnsi="黑体" w:eastAsia="黑体" w:cs="黑体"/>
          <w:spacing w:val="22"/>
          <w:sz w:val="27"/>
          <w:szCs w:val="27"/>
        </w:rPr>
        <w:t xml:space="preserve">  </w:t>
      </w:r>
      <w:r>
        <w:rPr>
          <w:rFonts w:ascii="黑体" w:hAnsi="黑体" w:eastAsia="黑体" w:cs="黑体"/>
          <w:b/>
          <w:bCs/>
          <w:spacing w:val="2"/>
          <w:sz w:val="27"/>
          <w:szCs w:val="27"/>
        </w:rPr>
        <w:t>双方需向对方交付的项目</w:t>
      </w:r>
    </w:p>
    <w:p w14:paraId="47F0D017">
      <w:pPr>
        <w:spacing w:before="122" w:line="219" w:lineRule="auto"/>
        <w:ind w:right="24"/>
        <w:jc w:val="right"/>
        <w:rPr>
          <w:rFonts w:ascii="宋体" w:hAnsi="宋体" w:eastAsia="宋体" w:cs="宋体"/>
          <w:sz w:val="27"/>
          <w:szCs w:val="27"/>
        </w:rPr>
      </w:pPr>
      <w:r>
        <w:rPr>
          <w:rFonts w:ascii="宋体" w:hAnsi="宋体" w:eastAsia="宋体" w:cs="宋体"/>
          <w:spacing w:val="1"/>
          <w:sz w:val="27"/>
          <w:szCs w:val="27"/>
        </w:rPr>
        <w:t>规定双方向对方交付的项目(包括硬件和计算机软件、服务项目、资料项目</w:t>
      </w:r>
    </w:p>
    <w:p w14:paraId="52733B3A">
      <w:pPr>
        <w:spacing w:line="219" w:lineRule="auto"/>
        <w:rPr>
          <w:rFonts w:ascii="宋体" w:hAnsi="宋体" w:eastAsia="宋体" w:cs="宋体"/>
          <w:sz w:val="27"/>
          <w:szCs w:val="27"/>
        </w:rPr>
        <w:sectPr>
          <w:footerReference r:id="rId55" w:type="default"/>
          <w:pgSz w:w="11910" w:h="17130"/>
          <w:pgMar w:top="400" w:right="964" w:bottom="1590" w:left="1529" w:header="0" w:footer="1304" w:gutter="0"/>
          <w:cols w:space="720" w:num="1"/>
        </w:sectPr>
      </w:pPr>
    </w:p>
    <w:p w14:paraId="04FAC34C">
      <w:pPr>
        <w:pStyle w:val="2"/>
        <w:spacing w:line="294" w:lineRule="auto"/>
      </w:pPr>
    </w:p>
    <w:p w14:paraId="0A085DD6">
      <w:pPr>
        <w:pStyle w:val="2"/>
        <w:spacing w:line="294" w:lineRule="auto"/>
      </w:pPr>
    </w:p>
    <w:p w14:paraId="2AD0A74C">
      <w:pPr>
        <w:pStyle w:val="2"/>
        <w:spacing w:line="294" w:lineRule="auto"/>
      </w:pPr>
    </w:p>
    <w:p w14:paraId="712BE573">
      <w:pPr>
        <w:pStyle w:val="2"/>
        <w:spacing w:line="294" w:lineRule="auto"/>
      </w:pPr>
    </w:p>
    <w:p w14:paraId="656D2D8A">
      <w:pPr>
        <w:spacing w:before="88" w:line="219" w:lineRule="auto"/>
        <w:rPr>
          <w:rFonts w:ascii="宋体" w:hAnsi="宋体" w:eastAsia="宋体" w:cs="宋体"/>
          <w:sz w:val="27"/>
          <w:szCs w:val="27"/>
        </w:rPr>
      </w:pPr>
      <w:r>
        <w:rPr>
          <w:rFonts w:ascii="宋体" w:hAnsi="宋体" w:eastAsia="宋体" w:cs="宋体"/>
          <w:sz w:val="27"/>
          <w:szCs w:val="27"/>
        </w:rPr>
        <w:t>等)及交付的时间。</w:t>
      </w:r>
    </w:p>
    <w:p w14:paraId="6E91B6CB">
      <w:pPr>
        <w:spacing w:before="94" w:line="222" w:lineRule="auto"/>
        <w:rPr>
          <w:rFonts w:ascii="黑体" w:hAnsi="黑体" w:eastAsia="黑体" w:cs="黑体"/>
          <w:sz w:val="24"/>
          <w:szCs w:val="24"/>
        </w:rPr>
      </w:pPr>
      <w:r>
        <w:rPr>
          <w:rFonts w:ascii="黑体" w:hAnsi="黑体" w:eastAsia="黑体" w:cs="黑体"/>
          <w:spacing w:val="21"/>
          <w:sz w:val="24"/>
          <w:szCs w:val="24"/>
        </w:rPr>
        <w:t>4.3</w:t>
      </w:r>
      <w:r>
        <w:rPr>
          <w:rFonts w:ascii="黑体" w:hAnsi="黑体" w:eastAsia="黑体" w:cs="黑体"/>
          <w:spacing w:val="47"/>
          <w:sz w:val="24"/>
          <w:szCs w:val="24"/>
        </w:rPr>
        <w:t xml:space="preserve">  </w:t>
      </w:r>
      <w:r>
        <w:rPr>
          <w:rFonts w:ascii="黑体" w:hAnsi="黑体" w:eastAsia="黑体" w:cs="黑体"/>
          <w:b/>
          <w:bCs/>
          <w:spacing w:val="21"/>
          <w:sz w:val="24"/>
          <w:szCs w:val="24"/>
        </w:rPr>
        <w:t>技术审查要求</w:t>
      </w:r>
    </w:p>
    <w:p w14:paraId="1188FEE9">
      <w:pPr>
        <w:spacing w:before="76" w:line="285" w:lineRule="auto"/>
        <w:ind w:right="92" w:firstLine="570"/>
        <w:rPr>
          <w:rFonts w:ascii="宋体" w:hAnsi="宋体" w:eastAsia="宋体" w:cs="宋体"/>
          <w:sz w:val="27"/>
          <w:szCs w:val="27"/>
        </w:rPr>
      </w:pPr>
      <w:r>
        <w:rPr>
          <w:rFonts w:ascii="宋体" w:hAnsi="宋体" w:eastAsia="宋体" w:cs="宋体"/>
          <w:spacing w:val="6"/>
          <w:sz w:val="27"/>
          <w:szCs w:val="27"/>
        </w:rPr>
        <w:t>根据研制工作需要，提出在重要的工作节点和工</w:t>
      </w:r>
      <w:r>
        <w:rPr>
          <w:rFonts w:ascii="宋体" w:hAnsi="宋体" w:eastAsia="宋体" w:cs="宋体"/>
          <w:spacing w:val="5"/>
          <w:sz w:val="27"/>
          <w:szCs w:val="27"/>
        </w:rPr>
        <w:t>程决策点进行阶段技术审</w:t>
      </w:r>
      <w:r>
        <w:rPr>
          <w:rFonts w:ascii="宋体" w:hAnsi="宋体" w:eastAsia="宋体" w:cs="宋体"/>
          <w:sz w:val="27"/>
          <w:szCs w:val="27"/>
        </w:rPr>
        <w:t xml:space="preserve"> </w:t>
      </w:r>
      <w:r>
        <w:rPr>
          <w:rFonts w:ascii="宋体" w:hAnsi="宋体" w:eastAsia="宋体" w:cs="宋体"/>
          <w:spacing w:val="-9"/>
          <w:sz w:val="27"/>
          <w:szCs w:val="27"/>
        </w:rPr>
        <w:t>查的要求，包括审查的内容、参加的单位等。</w:t>
      </w:r>
    </w:p>
    <w:p w14:paraId="639345F7">
      <w:pPr>
        <w:spacing w:line="221" w:lineRule="auto"/>
        <w:rPr>
          <w:rFonts w:ascii="黑体" w:hAnsi="黑体" w:eastAsia="黑体" w:cs="黑体"/>
          <w:sz w:val="25"/>
          <w:szCs w:val="25"/>
        </w:rPr>
      </w:pPr>
      <w:r>
        <w:rPr>
          <w:rFonts w:ascii="黑体" w:hAnsi="黑体" w:eastAsia="黑体" w:cs="黑体"/>
          <w:spacing w:val="12"/>
          <w:sz w:val="25"/>
          <w:szCs w:val="25"/>
        </w:rPr>
        <w:t>4.4</w:t>
      </w:r>
      <w:r>
        <w:rPr>
          <w:rFonts w:ascii="黑体" w:hAnsi="黑体" w:eastAsia="黑体" w:cs="黑体"/>
          <w:spacing w:val="45"/>
          <w:sz w:val="25"/>
          <w:szCs w:val="25"/>
        </w:rPr>
        <w:t xml:space="preserve">  </w:t>
      </w:r>
      <w:r>
        <w:rPr>
          <w:rFonts w:ascii="黑体" w:hAnsi="黑体" w:eastAsia="黑体" w:cs="黑体"/>
          <w:b/>
          <w:bCs/>
          <w:spacing w:val="12"/>
          <w:sz w:val="25"/>
          <w:szCs w:val="25"/>
        </w:rPr>
        <w:t>时间进度表</w:t>
      </w:r>
    </w:p>
    <w:p w14:paraId="7D9BE562">
      <w:pPr>
        <w:spacing w:before="65" w:line="292" w:lineRule="auto"/>
        <w:ind w:right="98" w:firstLine="570"/>
        <w:rPr>
          <w:rFonts w:ascii="宋体" w:hAnsi="宋体" w:eastAsia="宋体" w:cs="宋体"/>
          <w:sz w:val="27"/>
          <w:szCs w:val="27"/>
        </w:rPr>
      </w:pPr>
      <w:r>
        <w:rPr>
          <w:rFonts w:ascii="宋体" w:hAnsi="宋体" w:eastAsia="宋体" w:cs="宋体"/>
          <w:spacing w:val="13"/>
          <w:sz w:val="27"/>
          <w:szCs w:val="27"/>
        </w:rPr>
        <w:t>按武器装备研制生产项目的网络图和4.1至4.3条规定的主要事项，按时</w:t>
      </w:r>
      <w:r>
        <w:rPr>
          <w:rFonts w:ascii="宋体" w:hAnsi="宋体" w:eastAsia="宋体" w:cs="宋体"/>
          <w:spacing w:val="3"/>
          <w:sz w:val="27"/>
          <w:szCs w:val="27"/>
        </w:rPr>
        <w:t xml:space="preserve"> 间顺序整理成研制生产工作的时间进度表。</w:t>
      </w:r>
    </w:p>
    <w:p w14:paraId="6E6032DA">
      <w:pPr>
        <w:spacing w:before="2" w:line="220" w:lineRule="auto"/>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spacing w:val="27"/>
          <w:sz w:val="27"/>
          <w:szCs w:val="27"/>
        </w:rPr>
        <w:t xml:space="preserve">  </w:t>
      </w:r>
      <w:r>
        <w:rPr>
          <w:rFonts w:ascii="黑体" w:hAnsi="黑体" w:eastAsia="黑体" w:cs="黑体"/>
          <w:b/>
          <w:bCs/>
          <w:spacing w:val="2"/>
          <w:sz w:val="27"/>
          <w:szCs w:val="27"/>
        </w:rPr>
        <w:t>说明事项</w:t>
      </w:r>
    </w:p>
    <w:p w14:paraId="3C9DA5D9">
      <w:pPr>
        <w:spacing w:before="102" w:line="288" w:lineRule="auto"/>
        <w:ind w:left="3" w:right="820" w:firstLine="566"/>
        <w:rPr>
          <w:rFonts w:ascii="黑体" w:hAnsi="黑体" w:eastAsia="黑体" w:cs="黑体"/>
          <w:sz w:val="25"/>
          <w:szCs w:val="25"/>
        </w:rPr>
      </w:pPr>
      <w:r>
        <w:rPr>
          <w:rFonts w:ascii="宋体" w:hAnsi="宋体" w:eastAsia="宋体" w:cs="宋体"/>
          <w:spacing w:val="20"/>
          <w:sz w:val="25"/>
          <w:szCs w:val="25"/>
        </w:rPr>
        <w:t>根据武器装备研制生产项目的实际情况，给出必要的</w:t>
      </w:r>
      <w:r>
        <w:rPr>
          <w:rFonts w:ascii="宋体" w:hAnsi="宋体" w:eastAsia="宋体" w:cs="宋体"/>
          <w:spacing w:val="19"/>
          <w:sz w:val="25"/>
          <w:szCs w:val="25"/>
        </w:rPr>
        <w:t>其他附加说明。</w:t>
      </w:r>
      <w:r>
        <w:rPr>
          <w:rFonts w:ascii="宋体" w:hAnsi="宋体" w:eastAsia="宋体" w:cs="宋体"/>
          <w:sz w:val="25"/>
          <w:szCs w:val="25"/>
        </w:rPr>
        <w:t xml:space="preserve"> </w:t>
      </w:r>
      <w:r>
        <w:rPr>
          <w:rFonts w:ascii="黑体" w:hAnsi="黑体" w:eastAsia="黑体" w:cs="黑体"/>
          <w:b/>
          <w:bCs/>
          <w:spacing w:val="10"/>
          <w:sz w:val="25"/>
          <w:szCs w:val="25"/>
        </w:rPr>
        <w:t>附录</w:t>
      </w:r>
    </w:p>
    <w:p w14:paraId="21DCBE97">
      <w:pPr>
        <w:spacing w:line="218" w:lineRule="auto"/>
        <w:ind w:left="570"/>
        <w:rPr>
          <w:rFonts w:ascii="宋体" w:hAnsi="宋体" w:eastAsia="宋体" w:cs="宋体"/>
          <w:sz w:val="27"/>
          <w:szCs w:val="27"/>
        </w:rPr>
      </w:pPr>
      <w:r>
        <w:rPr>
          <w:rFonts w:ascii="宋体" w:hAnsi="宋体" w:eastAsia="宋体" w:cs="宋体"/>
          <w:spacing w:val="1"/>
          <w:sz w:val="27"/>
          <w:szCs w:val="27"/>
        </w:rPr>
        <w:t>根据需要提供附录。</w:t>
      </w:r>
    </w:p>
    <w:p w14:paraId="6BB6D593">
      <w:pPr>
        <w:spacing w:before="125" w:line="221" w:lineRule="auto"/>
        <w:ind w:left="99"/>
        <w:rPr>
          <w:rFonts w:ascii="黑体" w:hAnsi="黑体" w:eastAsia="黑体" w:cs="黑体"/>
          <w:sz w:val="24"/>
          <w:szCs w:val="24"/>
        </w:rPr>
      </w:pPr>
      <w:r>
        <w:rPr>
          <w:rFonts w:ascii="Times New Roman" w:hAnsi="Times New Roman" w:eastAsia="Times New Roman" w:cs="Times New Roman"/>
          <w:spacing w:val="32"/>
          <w:sz w:val="24"/>
          <w:szCs w:val="24"/>
        </w:rPr>
        <w:t>V</w:t>
      </w:r>
      <w:r>
        <w:rPr>
          <w:rFonts w:ascii="黑体" w:hAnsi="黑体" w:eastAsia="黑体" w:cs="黑体"/>
          <w:b/>
          <w:bCs/>
          <w:spacing w:val="32"/>
          <w:sz w:val="24"/>
          <w:szCs w:val="24"/>
        </w:rPr>
        <w:t>类工作说明</w:t>
      </w:r>
    </w:p>
    <w:p w14:paraId="0133AB89">
      <w:pPr>
        <w:spacing w:before="91" w:line="278" w:lineRule="auto"/>
        <w:ind w:firstLine="570"/>
        <w:jc w:val="both"/>
        <w:rPr>
          <w:rFonts w:ascii="楷体" w:hAnsi="楷体" w:eastAsia="楷体" w:cs="楷体"/>
          <w:sz w:val="27"/>
          <w:szCs w:val="27"/>
        </w:rPr>
      </w:pPr>
      <w:r>
        <w:rPr>
          <w:rFonts w:ascii="楷体" w:hAnsi="楷体" w:eastAsia="楷体" w:cs="楷体"/>
          <w:spacing w:val="5"/>
          <w:sz w:val="27"/>
          <w:szCs w:val="27"/>
        </w:rPr>
        <w:t>专项服务是在武器装备系统寿命周期的任何阶段都有可能需要进行的某项</w:t>
      </w:r>
      <w:r>
        <w:rPr>
          <w:rFonts w:ascii="楷体" w:hAnsi="楷体" w:eastAsia="楷体" w:cs="楷体"/>
          <w:spacing w:val="4"/>
          <w:sz w:val="27"/>
          <w:szCs w:val="27"/>
        </w:rPr>
        <w:t xml:space="preserve"> </w:t>
      </w:r>
      <w:r>
        <w:rPr>
          <w:rFonts w:ascii="楷体" w:hAnsi="楷体" w:eastAsia="楷体" w:cs="楷体"/>
          <w:spacing w:val="-2"/>
          <w:sz w:val="27"/>
          <w:szCs w:val="27"/>
        </w:rPr>
        <w:t>服务。专项服务的范围很广，从一项纯粹的研究课题、大</w:t>
      </w:r>
      <w:r>
        <w:rPr>
          <w:rFonts w:ascii="楷体" w:hAnsi="楷体" w:eastAsia="楷体" w:cs="楷体"/>
          <w:spacing w:val="-3"/>
          <w:sz w:val="27"/>
          <w:szCs w:val="27"/>
        </w:rPr>
        <w:t>部件或系统安装、外场</w:t>
      </w:r>
      <w:r>
        <w:rPr>
          <w:rFonts w:ascii="楷体" w:hAnsi="楷体" w:eastAsia="楷体" w:cs="楷体"/>
          <w:sz w:val="27"/>
          <w:szCs w:val="27"/>
        </w:rPr>
        <w:t xml:space="preserve"> </w:t>
      </w:r>
      <w:r>
        <w:rPr>
          <w:rFonts w:ascii="楷体" w:hAnsi="楷体" w:eastAsia="楷体" w:cs="楷体"/>
          <w:spacing w:val="5"/>
          <w:sz w:val="27"/>
          <w:szCs w:val="27"/>
        </w:rPr>
        <w:t>服务到一项试验等。专项服务的工作说明要对完成的某项工作任务提出具体要</w:t>
      </w:r>
      <w:r>
        <w:rPr>
          <w:rFonts w:ascii="楷体" w:hAnsi="楷体" w:eastAsia="楷体" w:cs="楷体"/>
          <w:spacing w:val="3"/>
          <w:sz w:val="27"/>
          <w:szCs w:val="27"/>
        </w:rPr>
        <w:t xml:space="preserve">  </w:t>
      </w:r>
      <w:r>
        <w:rPr>
          <w:rFonts w:ascii="楷体" w:hAnsi="楷体" w:eastAsia="楷体" w:cs="楷体"/>
          <w:spacing w:val="2"/>
          <w:sz w:val="27"/>
          <w:szCs w:val="27"/>
        </w:rPr>
        <w:t>求。如果要进行的工作是某个武器装备系统的一项试验，</w:t>
      </w:r>
      <w:r>
        <w:rPr>
          <w:rFonts w:ascii="楷体" w:hAnsi="楷体" w:eastAsia="楷体" w:cs="楷体"/>
          <w:spacing w:val="1"/>
          <w:sz w:val="27"/>
          <w:szCs w:val="27"/>
        </w:rPr>
        <w:t>那么,在工作说明中必</w:t>
      </w:r>
      <w:r>
        <w:rPr>
          <w:rFonts w:ascii="楷体" w:hAnsi="楷体" w:eastAsia="楷体" w:cs="楷体"/>
          <w:sz w:val="27"/>
          <w:szCs w:val="27"/>
        </w:rPr>
        <w:t xml:space="preserve"> </w:t>
      </w:r>
      <w:r>
        <w:rPr>
          <w:rFonts w:ascii="楷体" w:hAnsi="楷体" w:eastAsia="楷体" w:cs="楷体"/>
          <w:spacing w:val="-2"/>
          <w:sz w:val="27"/>
          <w:szCs w:val="27"/>
        </w:rPr>
        <w:t>须规定做什么试验，写明试验目的和意义、具体的试验内</w:t>
      </w:r>
      <w:r>
        <w:rPr>
          <w:rFonts w:ascii="楷体" w:hAnsi="楷体" w:eastAsia="楷体" w:cs="楷体"/>
          <w:spacing w:val="-3"/>
          <w:sz w:val="27"/>
          <w:szCs w:val="27"/>
        </w:rPr>
        <w:t>容和技术要求、试验完</w:t>
      </w:r>
      <w:r>
        <w:rPr>
          <w:rFonts w:ascii="楷体" w:hAnsi="楷体" w:eastAsia="楷体" w:cs="楷体"/>
          <w:sz w:val="27"/>
          <w:szCs w:val="27"/>
        </w:rPr>
        <w:t xml:space="preserve"> </w:t>
      </w:r>
      <w:r>
        <w:rPr>
          <w:rFonts w:ascii="楷体" w:hAnsi="楷体" w:eastAsia="楷体" w:cs="楷体"/>
          <w:spacing w:val="-3"/>
          <w:sz w:val="27"/>
          <w:szCs w:val="27"/>
        </w:rPr>
        <w:t>成时间、要求承担单位提供的试验文件(如试验大纲、试验前准备状态检查记录、</w:t>
      </w:r>
      <w:r>
        <w:rPr>
          <w:rFonts w:ascii="楷体" w:hAnsi="楷体" w:eastAsia="楷体" w:cs="楷体"/>
          <w:spacing w:val="6"/>
          <w:sz w:val="27"/>
          <w:szCs w:val="27"/>
        </w:rPr>
        <w:t xml:space="preserve"> </w:t>
      </w:r>
      <w:r>
        <w:rPr>
          <w:rFonts w:ascii="楷体" w:hAnsi="楷体" w:eastAsia="楷体" w:cs="楷体"/>
          <w:spacing w:val="-2"/>
          <w:sz w:val="27"/>
          <w:szCs w:val="27"/>
        </w:rPr>
        <w:t>试验原始记录、试验报告、鉴定合格的证明</w:t>
      </w:r>
      <w:r>
        <w:rPr>
          <w:rFonts w:ascii="楷体" w:hAnsi="楷体" w:eastAsia="楷体" w:cs="楷体"/>
          <w:spacing w:val="-3"/>
          <w:sz w:val="27"/>
          <w:szCs w:val="27"/>
        </w:rPr>
        <w:t>文件等)、质量保证要求(如承担单位</w:t>
      </w:r>
      <w:r>
        <w:rPr>
          <w:rFonts w:ascii="楷体" w:hAnsi="楷体" w:eastAsia="楷体" w:cs="楷体"/>
          <w:sz w:val="27"/>
          <w:szCs w:val="27"/>
        </w:rPr>
        <w:t xml:space="preserve">  </w:t>
      </w:r>
      <w:r>
        <w:rPr>
          <w:rFonts w:ascii="楷体" w:hAnsi="楷体" w:eastAsia="楷体" w:cs="楷体"/>
          <w:spacing w:val="5"/>
          <w:sz w:val="27"/>
          <w:szCs w:val="27"/>
        </w:rPr>
        <w:t>的检测设备应具有的准确度和精密度要求，以及其他必须提出的质量保证要求</w:t>
      </w:r>
      <w:r>
        <w:rPr>
          <w:rFonts w:ascii="楷体" w:hAnsi="楷体" w:eastAsia="楷体" w:cs="楷体"/>
          <w:spacing w:val="2"/>
          <w:sz w:val="27"/>
          <w:szCs w:val="27"/>
        </w:rPr>
        <w:t xml:space="preserve">  </w:t>
      </w:r>
      <w:r>
        <w:rPr>
          <w:rFonts w:ascii="楷体" w:hAnsi="楷体" w:eastAsia="楷体" w:cs="楷体"/>
          <w:spacing w:val="5"/>
          <w:sz w:val="27"/>
          <w:szCs w:val="27"/>
        </w:rPr>
        <w:t>和技术要求)。如果工作说明是按照这种方式写成的，那么,承担单位就可以按</w:t>
      </w:r>
      <w:r>
        <w:rPr>
          <w:rFonts w:ascii="楷体" w:hAnsi="楷体" w:eastAsia="楷体" w:cs="楷体"/>
          <w:sz w:val="27"/>
          <w:szCs w:val="27"/>
        </w:rPr>
        <w:t xml:space="preserve">  </w:t>
      </w:r>
      <w:r>
        <w:rPr>
          <w:rFonts w:ascii="楷体" w:hAnsi="楷体" w:eastAsia="楷体" w:cs="楷体"/>
          <w:spacing w:val="-3"/>
          <w:sz w:val="27"/>
          <w:szCs w:val="27"/>
        </w:rPr>
        <w:t>要求自主地进行试验，只要他们准时完成试验并按时提供试验文件，且试验结果</w:t>
      </w:r>
      <w:r>
        <w:rPr>
          <w:rFonts w:ascii="楷体" w:hAnsi="楷体" w:eastAsia="楷体" w:cs="楷体"/>
          <w:spacing w:val="5"/>
          <w:sz w:val="27"/>
          <w:szCs w:val="27"/>
        </w:rPr>
        <w:t xml:space="preserve">  </w:t>
      </w:r>
      <w:r>
        <w:rPr>
          <w:rFonts w:ascii="楷体" w:hAnsi="楷体" w:eastAsia="楷体" w:cs="楷体"/>
          <w:sz w:val="27"/>
          <w:szCs w:val="27"/>
        </w:rPr>
        <w:t>达到各项技术要求即可。</w:t>
      </w:r>
    </w:p>
    <w:p w14:paraId="1D73E8B2">
      <w:pPr>
        <w:spacing w:before="1" w:line="222" w:lineRule="auto"/>
        <w:ind w:left="649"/>
        <w:rPr>
          <w:rFonts w:ascii="楷体" w:hAnsi="楷体" w:eastAsia="楷体" w:cs="楷体"/>
          <w:sz w:val="28"/>
          <w:szCs w:val="28"/>
        </w:rPr>
      </w:pPr>
      <w:r>
        <w:rPr>
          <w:rFonts w:ascii="楷体" w:hAnsi="楷体" w:eastAsia="楷体" w:cs="楷体"/>
          <w:spacing w:val="-8"/>
          <w:sz w:val="28"/>
          <w:szCs w:val="28"/>
        </w:rPr>
        <w:t>专项服务的工作说明主要包括以下内容。</w:t>
      </w:r>
    </w:p>
    <w:p w14:paraId="509B4A66">
      <w:pPr>
        <w:spacing w:before="7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37"/>
          <w:sz w:val="27"/>
          <w:szCs w:val="27"/>
        </w:rPr>
        <w:t xml:space="preserve">  </w:t>
      </w:r>
      <w:r>
        <w:rPr>
          <w:rFonts w:ascii="黑体" w:hAnsi="黑体" w:eastAsia="黑体" w:cs="黑体"/>
          <w:b/>
          <w:bCs/>
          <w:spacing w:val="-8"/>
          <w:sz w:val="27"/>
          <w:szCs w:val="27"/>
        </w:rPr>
        <w:t>范围</w:t>
      </w:r>
    </w:p>
    <w:p w14:paraId="75AEF0B2">
      <w:pPr>
        <w:spacing w:before="116" w:line="219" w:lineRule="auto"/>
        <w:ind w:left="570"/>
        <w:rPr>
          <w:rFonts w:ascii="宋体" w:hAnsi="宋体" w:eastAsia="宋体" w:cs="宋体"/>
          <w:sz w:val="27"/>
          <w:szCs w:val="27"/>
        </w:rPr>
      </w:pPr>
      <w:r>
        <w:rPr>
          <w:rFonts w:ascii="宋体" w:hAnsi="宋体" w:eastAsia="宋体" w:cs="宋体"/>
          <w:sz w:val="27"/>
          <w:szCs w:val="27"/>
        </w:rPr>
        <w:t>简述专项服务的主要内容、工作目的和意义。根据需要可纳</w:t>
      </w:r>
      <w:r>
        <w:rPr>
          <w:rFonts w:ascii="宋体" w:hAnsi="宋体" w:eastAsia="宋体" w:cs="宋体"/>
          <w:spacing w:val="-1"/>
          <w:sz w:val="27"/>
          <w:szCs w:val="27"/>
        </w:rPr>
        <w:t>入背景资料。</w:t>
      </w:r>
    </w:p>
    <w:p w14:paraId="5DA63E5E">
      <w:pPr>
        <w:spacing w:before="46"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28"/>
          <w:sz w:val="27"/>
          <w:szCs w:val="27"/>
        </w:rPr>
        <w:t xml:space="preserve">  </w:t>
      </w:r>
      <w:r>
        <w:rPr>
          <w:rFonts w:ascii="黑体" w:hAnsi="黑体" w:eastAsia="黑体" w:cs="黑体"/>
          <w:b/>
          <w:bCs/>
          <w:spacing w:val="-3"/>
          <w:sz w:val="27"/>
          <w:szCs w:val="27"/>
        </w:rPr>
        <w:t>引用文件</w:t>
      </w:r>
    </w:p>
    <w:p w14:paraId="1A1AD27D">
      <w:pPr>
        <w:spacing w:before="119" w:line="276" w:lineRule="auto"/>
        <w:ind w:right="83" w:firstLine="570"/>
        <w:rPr>
          <w:rFonts w:ascii="宋体" w:hAnsi="宋体" w:eastAsia="宋体" w:cs="宋体"/>
          <w:sz w:val="27"/>
          <w:szCs w:val="27"/>
        </w:rPr>
      </w:pPr>
      <w:r>
        <w:rPr>
          <w:rFonts w:ascii="宋体" w:hAnsi="宋体" w:eastAsia="宋体" w:cs="宋体"/>
          <w:spacing w:val="6"/>
          <w:sz w:val="27"/>
          <w:szCs w:val="27"/>
        </w:rPr>
        <w:t>列出所有在工作说明各要求部分引用过的文件的文件号和名称。这些</w:t>
      </w:r>
      <w:r>
        <w:rPr>
          <w:rFonts w:ascii="宋体" w:hAnsi="宋体" w:eastAsia="宋体" w:cs="宋体"/>
          <w:spacing w:val="5"/>
          <w:sz w:val="27"/>
          <w:szCs w:val="27"/>
        </w:rPr>
        <w:t>文件</w:t>
      </w:r>
      <w:r>
        <w:rPr>
          <w:rFonts w:ascii="宋体" w:hAnsi="宋体" w:eastAsia="宋体" w:cs="宋体"/>
          <w:sz w:val="27"/>
          <w:szCs w:val="27"/>
        </w:rPr>
        <w:t xml:space="preserve"> </w:t>
      </w:r>
      <w:r>
        <w:rPr>
          <w:rFonts w:ascii="宋体" w:hAnsi="宋体" w:eastAsia="宋体" w:cs="宋体"/>
          <w:spacing w:val="4"/>
          <w:sz w:val="27"/>
          <w:szCs w:val="27"/>
        </w:rPr>
        <w:t>可以包括标准及其他需要用来确认和阐明工</w:t>
      </w:r>
      <w:r>
        <w:rPr>
          <w:rFonts w:ascii="宋体" w:hAnsi="宋体" w:eastAsia="宋体" w:cs="宋体"/>
          <w:spacing w:val="3"/>
          <w:sz w:val="27"/>
          <w:szCs w:val="27"/>
        </w:rPr>
        <w:t>作任务的参考文件。</w:t>
      </w:r>
    </w:p>
    <w:p w14:paraId="3073A8F9">
      <w:pPr>
        <w:spacing w:line="223" w:lineRule="auto"/>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51"/>
          <w:sz w:val="24"/>
          <w:szCs w:val="24"/>
        </w:rPr>
        <w:t xml:space="preserve">  </w:t>
      </w:r>
      <w:r>
        <w:rPr>
          <w:rFonts w:ascii="黑体" w:hAnsi="黑体" w:eastAsia="黑体" w:cs="黑体"/>
          <w:b/>
          <w:bCs/>
          <w:spacing w:val="-7"/>
          <w:sz w:val="24"/>
          <w:szCs w:val="24"/>
        </w:rPr>
        <w:t>定</w:t>
      </w:r>
      <w:r>
        <w:rPr>
          <w:rFonts w:ascii="黑体" w:hAnsi="黑体" w:eastAsia="黑体" w:cs="黑体"/>
          <w:spacing w:val="-44"/>
          <w:sz w:val="24"/>
          <w:szCs w:val="24"/>
        </w:rPr>
        <w:t xml:space="preserve"> </w:t>
      </w:r>
      <w:r>
        <w:rPr>
          <w:rFonts w:ascii="黑体" w:hAnsi="黑体" w:eastAsia="黑体" w:cs="黑体"/>
          <w:b/>
          <w:bCs/>
          <w:spacing w:val="-7"/>
          <w:sz w:val="24"/>
          <w:szCs w:val="24"/>
        </w:rPr>
        <w:t>义</w:t>
      </w:r>
    </w:p>
    <w:p w14:paraId="5073ABFE">
      <w:pPr>
        <w:spacing w:before="123" w:line="219" w:lineRule="auto"/>
        <w:ind w:left="570"/>
        <w:rPr>
          <w:rFonts w:ascii="宋体" w:hAnsi="宋体" w:eastAsia="宋体" w:cs="宋体"/>
          <w:sz w:val="27"/>
          <w:szCs w:val="27"/>
        </w:rPr>
      </w:pPr>
      <w:r>
        <w:rPr>
          <w:rFonts w:ascii="宋体" w:hAnsi="宋体" w:eastAsia="宋体" w:cs="宋体"/>
          <w:spacing w:val="-1"/>
          <w:sz w:val="27"/>
          <w:szCs w:val="27"/>
        </w:rPr>
        <w:t>根据需要给出某些特定术语、专用名词和缩写词的定义。</w:t>
      </w:r>
    </w:p>
    <w:p w14:paraId="3A4A25CD">
      <w:pPr>
        <w:spacing w:before="67"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26"/>
          <w:sz w:val="27"/>
          <w:szCs w:val="27"/>
        </w:rPr>
        <w:t xml:space="preserve">  </w:t>
      </w:r>
      <w:r>
        <w:rPr>
          <w:rFonts w:ascii="黑体" w:hAnsi="黑体" w:eastAsia="黑体" w:cs="黑体"/>
          <w:b/>
          <w:bCs/>
          <w:spacing w:val="-5"/>
          <w:sz w:val="27"/>
          <w:szCs w:val="27"/>
        </w:rPr>
        <w:t>要求</w:t>
      </w:r>
    </w:p>
    <w:p w14:paraId="05448B10">
      <w:pPr>
        <w:spacing w:before="102" w:line="221" w:lineRule="auto"/>
        <w:rPr>
          <w:rFonts w:ascii="黑体" w:hAnsi="黑体" w:eastAsia="黑体" w:cs="黑体"/>
          <w:sz w:val="24"/>
          <w:szCs w:val="24"/>
        </w:rPr>
      </w:pPr>
      <w:r>
        <w:rPr>
          <w:rFonts w:ascii="黑体" w:hAnsi="黑体" w:eastAsia="黑体" w:cs="黑体"/>
          <w:spacing w:val="21"/>
          <w:sz w:val="24"/>
          <w:szCs w:val="24"/>
        </w:rPr>
        <w:t xml:space="preserve">4.1   </w:t>
      </w:r>
      <w:r>
        <w:rPr>
          <w:rFonts w:ascii="黑体" w:hAnsi="黑体" w:eastAsia="黑体" w:cs="黑体"/>
          <w:b/>
          <w:bCs/>
          <w:spacing w:val="21"/>
          <w:sz w:val="24"/>
          <w:szCs w:val="24"/>
        </w:rPr>
        <w:t>双方需完成的工作</w:t>
      </w:r>
    </w:p>
    <w:p w14:paraId="3F6ABED3">
      <w:pPr>
        <w:spacing w:before="144" w:line="219" w:lineRule="auto"/>
        <w:ind w:left="573"/>
        <w:rPr>
          <w:rFonts w:ascii="宋体" w:hAnsi="宋体" w:eastAsia="宋体" w:cs="宋体"/>
          <w:sz w:val="25"/>
          <w:szCs w:val="25"/>
        </w:rPr>
      </w:pPr>
      <w:r>
        <w:rPr>
          <w:rFonts w:ascii="宋体" w:hAnsi="宋体" w:eastAsia="宋体" w:cs="宋体"/>
          <w:b/>
          <w:bCs/>
          <w:spacing w:val="24"/>
          <w:sz w:val="25"/>
          <w:szCs w:val="25"/>
        </w:rPr>
        <w:t>要用准确和简明的措辞描述专项服务</w:t>
      </w:r>
      <w:r>
        <w:rPr>
          <w:rFonts w:ascii="宋体" w:hAnsi="宋体" w:eastAsia="宋体" w:cs="宋体"/>
          <w:spacing w:val="24"/>
          <w:sz w:val="25"/>
          <w:szCs w:val="25"/>
        </w:rPr>
        <w:t>的具体任务及工作要求。由于承制方</w:t>
      </w:r>
    </w:p>
    <w:p w14:paraId="580FF9E5">
      <w:pPr>
        <w:spacing w:line="219" w:lineRule="auto"/>
        <w:rPr>
          <w:rFonts w:ascii="宋体" w:hAnsi="宋体" w:eastAsia="宋体" w:cs="宋体"/>
          <w:sz w:val="25"/>
          <w:szCs w:val="25"/>
        </w:rPr>
        <w:sectPr>
          <w:footerReference r:id="rId56" w:type="default"/>
          <w:pgSz w:w="11910" w:h="17130"/>
          <w:pgMar w:top="400" w:right="1264" w:bottom="1540" w:left="1160" w:header="0" w:footer="1332" w:gutter="0"/>
          <w:cols w:space="720" w:num="1"/>
        </w:sectPr>
      </w:pPr>
    </w:p>
    <w:p w14:paraId="19F2C7B2">
      <w:pPr>
        <w:pStyle w:val="2"/>
        <w:spacing w:line="279" w:lineRule="auto"/>
      </w:pPr>
    </w:p>
    <w:p w14:paraId="3A923E60">
      <w:pPr>
        <w:pStyle w:val="2"/>
        <w:spacing w:line="279" w:lineRule="auto"/>
      </w:pPr>
    </w:p>
    <w:p w14:paraId="2D3D8CCA">
      <w:pPr>
        <w:pStyle w:val="2"/>
        <w:spacing w:line="279" w:lineRule="auto"/>
      </w:pPr>
    </w:p>
    <w:p w14:paraId="7E75CE96">
      <w:pPr>
        <w:pStyle w:val="2"/>
        <w:spacing w:line="279" w:lineRule="auto"/>
      </w:pPr>
    </w:p>
    <w:p w14:paraId="6A05ADB2">
      <w:pPr>
        <w:spacing w:before="88" w:line="271" w:lineRule="auto"/>
        <w:ind w:right="6"/>
        <w:jc w:val="both"/>
        <w:rPr>
          <w:rFonts w:ascii="宋体" w:hAnsi="宋体" w:eastAsia="宋体" w:cs="宋体"/>
          <w:sz w:val="27"/>
          <w:szCs w:val="27"/>
        </w:rPr>
      </w:pPr>
      <w:bookmarkStart w:id="24" w:name="bookmark318"/>
      <w:bookmarkEnd w:id="24"/>
      <w:r>
        <w:rPr>
          <w:rFonts w:ascii="宋体" w:hAnsi="宋体" w:eastAsia="宋体" w:cs="宋体"/>
          <w:spacing w:val="5"/>
          <w:sz w:val="27"/>
          <w:szCs w:val="27"/>
        </w:rPr>
        <w:t>操作人员和检验人员都是依据合同和工作说明的内容进行工作的，订购方也不</w:t>
      </w:r>
      <w:r>
        <w:rPr>
          <w:rFonts w:ascii="宋体" w:hAnsi="宋体" w:eastAsia="宋体" w:cs="宋体"/>
          <w:spacing w:val="13"/>
          <w:sz w:val="27"/>
          <w:szCs w:val="27"/>
        </w:rPr>
        <w:t xml:space="preserve"> </w:t>
      </w:r>
      <w:r>
        <w:rPr>
          <w:rFonts w:ascii="宋体" w:hAnsi="宋体" w:eastAsia="宋体" w:cs="宋体"/>
          <w:spacing w:val="-2"/>
          <w:sz w:val="27"/>
          <w:szCs w:val="27"/>
        </w:rPr>
        <w:t>进行中间检查，所以在编写专项服务的工作说明时，内容和要求应足够具体</w:t>
      </w:r>
      <w:r>
        <w:rPr>
          <w:rFonts w:ascii="宋体" w:hAnsi="宋体" w:eastAsia="宋体" w:cs="宋体"/>
          <w:spacing w:val="-3"/>
          <w:sz w:val="27"/>
          <w:szCs w:val="27"/>
        </w:rPr>
        <w:t>和明</w:t>
      </w:r>
      <w:r>
        <w:rPr>
          <w:rFonts w:ascii="宋体" w:hAnsi="宋体" w:eastAsia="宋体" w:cs="宋体"/>
          <w:sz w:val="27"/>
          <w:szCs w:val="27"/>
        </w:rPr>
        <w:t xml:space="preserve"> </w:t>
      </w:r>
      <w:r>
        <w:rPr>
          <w:rFonts w:ascii="宋体" w:hAnsi="宋体" w:eastAsia="宋体" w:cs="宋体"/>
          <w:spacing w:val="1"/>
          <w:sz w:val="27"/>
          <w:szCs w:val="27"/>
        </w:rPr>
        <w:t>确。具体要求如下：</w:t>
      </w:r>
    </w:p>
    <w:p w14:paraId="4CE15717">
      <w:pPr>
        <w:spacing w:line="212" w:lineRule="auto"/>
        <w:ind w:left="550"/>
        <w:rPr>
          <w:rFonts w:ascii="宋体" w:hAnsi="宋体" w:eastAsia="宋体" w:cs="宋体"/>
          <w:sz w:val="27"/>
          <w:szCs w:val="27"/>
        </w:rPr>
      </w:pPr>
      <w:r>
        <w:rPr>
          <w:rFonts w:ascii="Times New Roman" w:hAnsi="Times New Roman" w:eastAsia="Times New Roman" w:cs="Times New Roman"/>
          <w:sz w:val="27"/>
          <w:szCs w:val="27"/>
        </w:rPr>
        <w:t xml:space="preserve">a)  </w:t>
      </w:r>
      <w:r>
        <w:rPr>
          <w:rFonts w:ascii="宋体" w:hAnsi="宋体" w:eastAsia="宋体" w:cs="宋体"/>
          <w:sz w:val="27"/>
          <w:szCs w:val="27"/>
        </w:rPr>
        <w:t>准确地提出要做什么工作，工作中</w:t>
      </w:r>
      <w:r>
        <w:rPr>
          <w:rFonts w:ascii="宋体" w:hAnsi="宋体" w:eastAsia="宋体" w:cs="宋体"/>
          <w:spacing w:val="-1"/>
          <w:sz w:val="27"/>
          <w:szCs w:val="27"/>
        </w:rPr>
        <w:t>要满足什么样的要求；</w:t>
      </w:r>
    </w:p>
    <w:p w14:paraId="2CC21820">
      <w:pPr>
        <w:spacing w:before="9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需要什么样的工作结果和交付的资料；</w:t>
      </w:r>
    </w:p>
    <w:p w14:paraId="2C16E818">
      <w:pPr>
        <w:spacing w:before="121" w:line="212" w:lineRule="auto"/>
        <w:ind w:left="550"/>
        <w:rPr>
          <w:rFonts w:ascii="宋体" w:hAnsi="宋体" w:eastAsia="宋体" w:cs="宋体"/>
          <w:sz w:val="25"/>
          <w:szCs w:val="25"/>
        </w:rPr>
      </w:pPr>
      <w:r>
        <w:rPr>
          <w:rFonts w:ascii="Times New Roman" w:hAnsi="Times New Roman" w:eastAsia="Times New Roman" w:cs="Times New Roman"/>
          <w:spacing w:val="17"/>
          <w:sz w:val="25"/>
          <w:szCs w:val="25"/>
        </w:rPr>
        <w:t>c)</w:t>
      </w:r>
      <w:r>
        <w:rPr>
          <w:rFonts w:ascii="Times New Roman" w:hAnsi="Times New Roman" w:eastAsia="Times New Roman" w:cs="Times New Roman"/>
          <w:spacing w:val="25"/>
          <w:w w:val="101"/>
          <w:sz w:val="25"/>
          <w:szCs w:val="25"/>
        </w:rPr>
        <w:t xml:space="preserve">  </w:t>
      </w:r>
      <w:r>
        <w:rPr>
          <w:rFonts w:ascii="宋体" w:hAnsi="宋体" w:eastAsia="宋体" w:cs="宋体"/>
          <w:spacing w:val="17"/>
          <w:sz w:val="25"/>
          <w:szCs w:val="25"/>
        </w:rPr>
        <w:t>明确规定各项工作的时间进度、定期进展报告的内容和格式；</w:t>
      </w:r>
    </w:p>
    <w:p w14:paraId="4DB178EC">
      <w:pPr>
        <w:spacing w:before="91"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d)</w:t>
      </w:r>
      <w:r>
        <w:rPr>
          <w:rFonts w:ascii="Times New Roman" w:hAnsi="Times New Roman" w:eastAsia="Times New Roman" w:cs="Times New Roman"/>
          <w:spacing w:val="17"/>
          <w:sz w:val="27"/>
          <w:szCs w:val="27"/>
        </w:rPr>
        <w:t xml:space="preserve">  </w:t>
      </w:r>
      <w:r>
        <w:rPr>
          <w:rFonts w:ascii="宋体" w:hAnsi="宋体" w:eastAsia="宋体" w:cs="宋体"/>
          <w:spacing w:val="1"/>
          <w:sz w:val="27"/>
          <w:szCs w:val="27"/>
        </w:rPr>
        <w:t>明确验收条件。</w:t>
      </w:r>
    </w:p>
    <w:p w14:paraId="74EF11D7">
      <w:pPr>
        <w:spacing w:before="124" w:line="221" w:lineRule="auto"/>
        <w:rPr>
          <w:rFonts w:ascii="黑体" w:hAnsi="黑体" w:eastAsia="黑体" w:cs="黑体"/>
          <w:sz w:val="27"/>
          <w:szCs w:val="27"/>
        </w:rPr>
      </w:pPr>
      <w:r>
        <w:rPr>
          <w:rFonts w:ascii="黑体" w:hAnsi="黑体" w:eastAsia="黑体" w:cs="黑体"/>
          <w:spacing w:val="2"/>
          <w:sz w:val="27"/>
          <w:szCs w:val="27"/>
        </w:rPr>
        <w:t xml:space="preserve">4.2  </w:t>
      </w:r>
      <w:r>
        <w:rPr>
          <w:rFonts w:ascii="黑体" w:hAnsi="黑体" w:eastAsia="黑体" w:cs="黑体"/>
          <w:b/>
          <w:bCs/>
          <w:spacing w:val="2"/>
          <w:sz w:val="27"/>
          <w:szCs w:val="27"/>
        </w:rPr>
        <w:t>双方需向对方交付的项目</w:t>
      </w:r>
    </w:p>
    <w:p w14:paraId="45864616">
      <w:pPr>
        <w:spacing w:before="82" w:line="276" w:lineRule="auto"/>
        <w:ind w:right="4" w:firstLine="550"/>
        <w:rPr>
          <w:rFonts w:ascii="宋体" w:hAnsi="宋体" w:eastAsia="宋体" w:cs="宋体"/>
          <w:sz w:val="27"/>
          <w:szCs w:val="27"/>
        </w:rPr>
      </w:pPr>
      <w:r>
        <w:rPr>
          <w:rFonts w:ascii="宋体" w:hAnsi="宋体" w:eastAsia="宋体" w:cs="宋体"/>
          <w:spacing w:val="2"/>
          <w:sz w:val="27"/>
          <w:szCs w:val="27"/>
        </w:rPr>
        <w:t>规定双方向对方交付的项目(包括硬件和计算机软</w:t>
      </w:r>
      <w:r>
        <w:rPr>
          <w:rFonts w:ascii="宋体" w:hAnsi="宋体" w:eastAsia="宋体" w:cs="宋体"/>
          <w:spacing w:val="1"/>
          <w:sz w:val="27"/>
          <w:szCs w:val="27"/>
        </w:rPr>
        <w:t>件、服务项目、资料项目</w:t>
      </w:r>
      <w:r>
        <w:rPr>
          <w:rFonts w:ascii="宋体" w:hAnsi="宋体" w:eastAsia="宋体" w:cs="宋体"/>
          <w:sz w:val="27"/>
          <w:szCs w:val="27"/>
        </w:rPr>
        <w:t xml:space="preserve"> 等)及交付的时间。</w:t>
      </w:r>
    </w:p>
    <w:p w14:paraId="546E4616">
      <w:pPr>
        <w:spacing w:line="222" w:lineRule="auto"/>
        <w:rPr>
          <w:rFonts w:ascii="黑体" w:hAnsi="黑体" w:eastAsia="黑体" w:cs="黑体"/>
          <w:sz w:val="27"/>
          <w:szCs w:val="27"/>
        </w:rPr>
      </w:pPr>
      <w:r>
        <w:rPr>
          <w:rFonts w:ascii="黑体" w:hAnsi="黑体" w:eastAsia="黑体" w:cs="黑体"/>
          <w:sz w:val="27"/>
          <w:szCs w:val="27"/>
        </w:rPr>
        <w:t>4.3</w:t>
      </w:r>
      <w:r>
        <w:rPr>
          <w:rFonts w:ascii="黑体" w:hAnsi="黑体" w:eastAsia="黑体" w:cs="黑体"/>
          <w:spacing w:val="18"/>
          <w:sz w:val="27"/>
          <w:szCs w:val="27"/>
        </w:rPr>
        <w:t xml:space="preserve">  </w:t>
      </w:r>
      <w:r>
        <w:rPr>
          <w:rFonts w:ascii="黑体" w:hAnsi="黑体" w:eastAsia="黑体" w:cs="黑体"/>
          <w:b/>
          <w:bCs/>
          <w:sz w:val="27"/>
          <w:szCs w:val="27"/>
        </w:rPr>
        <w:t>技术审查要求</w:t>
      </w:r>
    </w:p>
    <w:p w14:paraId="17F0BEAA">
      <w:pPr>
        <w:spacing w:before="100" w:line="282" w:lineRule="auto"/>
        <w:ind w:right="12" w:firstLine="550"/>
        <w:rPr>
          <w:rFonts w:ascii="宋体" w:hAnsi="宋体" w:eastAsia="宋体" w:cs="宋体"/>
          <w:sz w:val="27"/>
          <w:szCs w:val="27"/>
        </w:rPr>
      </w:pPr>
      <w:r>
        <w:rPr>
          <w:rFonts w:ascii="宋体" w:hAnsi="宋体" w:eastAsia="宋体" w:cs="宋体"/>
          <w:spacing w:val="6"/>
          <w:sz w:val="27"/>
          <w:szCs w:val="27"/>
        </w:rPr>
        <w:t>根据研制工作需要，提出在重要的工作节点和工</w:t>
      </w:r>
      <w:r>
        <w:rPr>
          <w:rFonts w:ascii="宋体" w:hAnsi="宋体" w:eastAsia="宋体" w:cs="宋体"/>
          <w:spacing w:val="5"/>
          <w:sz w:val="27"/>
          <w:szCs w:val="27"/>
        </w:rPr>
        <w:t>程决策点进行阶段技术审</w:t>
      </w:r>
      <w:r>
        <w:rPr>
          <w:rFonts w:ascii="宋体" w:hAnsi="宋体" w:eastAsia="宋体" w:cs="宋体"/>
          <w:sz w:val="27"/>
          <w:szCs w:val="27"/>
        </w:rPr>
        <w:t xml:space="preserve"> </w:t>
      </w:r>
      <w:r>
        <w:rPr>
          <w:rFonts w:ascii="宋体" w:hAnsi="宋体" w:eastAsia="宋体" w:cs="宋体"/>
          <w:spacing w:val="-10"/>
          <w:sz w:val="27"/>
          <w:szCs w:val="27"/>
        </w:rPr>
        <w:t>查的要求，包括审查的内容、参加的单位等。</w:t>
      </w:r>
    </w:p>
    <w:p w14:paraId="5B58CAA7">
      <w:pPr>
        <w:spacing w:before="18" w:line="222" w:lineRule="auto"/>
        <w:rPr>
          <w:rFonts w:ascii="黑体" w:hAnsi="黑体" w:eastAsia="黑体" w:cs="黑体"/>
          <w:sz w:val="25"/>
          <w:szCs w:val="25"/>
        </w:rPr>
      </w:pPr>
      <w:r>
        <w:rPr>
          <w:rFonts w:ascii="黑体" w:hAnsi="黑体" w:eastAsia="黑体" w:cs="黑体"/>
          <w:spacing w:val="10"/>
          <w:sz w:val="25"/>
          <w:szCs w:val="25"/>
        </w:rPr>
        <w:t>4.4</w:t>
      </w:r>
      <w:r>
        <w:rPr>
          <w:rFonts w:ascii="黑体" w:hAnsi="黑体" w:eastAsia="黑体" w:cs="黑体"/>
          <w:spacing w:val="58"/>
          <w:sz w:val="25"/>
          <w:szCs w:val="25"/>
        </w:rPr>
        <w:t xml:space="preserve">  </w:t>
      </w:r>
      <w:r>
        <w:rPr>
          <w:rFonts w:ascii="黑体" w:hAnsi="黑体" w:eastAsia="黑体" w:cs="黑体"/>
          <w:b/>
          <w:bCs/>
          <w:spacing w:val="10"/>
          <w:sz w:val="25"/>
          <w:szCs w:val="25"/>
        </w:rPr>
        <w:t>时间进度表</w:t>
      </w:r>
    </w:p>
    <w:p w14:paraId="0A84D796">
      <w:pPr>
        <w:spacing w:before="77" w:line="278" w:lineRule="auto"/>
        <w:ind w:firstLine="550"/>
        <w:rPr>
          <w:rFonts w:ascii="宋体" w:hAnsi="宋体" w:eastAsia="宋体" w:cs="宋体"/>
          <w:sz w:val="27"/>
          <w:szCs w:val="27"/>
        </w:rPr>
      </w:pPr>
      <w:r>
        <w:rPr>
          <w:rFonts w:ascii="宋体" w:hAnsi="宋体" w:eastAsia="宋体" w:cs="宋体"/>
          <w:spacing w:val="14"/>
          <w:sz w:val="27"/>
          <w:szCs w:val="27"/>
        </w:rPr>
        <w:t>按武器装备研制生产项目的网络图和4.1至4.</w:t>
      </w:r>
      <w:r>
        <w:rPr>
          <w:rFonts w:ascii="宋体" w:hAnsi="宋体" w:eastAsia="宋体" w:cs="宋体"/>
          <w:spacing w:val="13"/>
          <w:sz w:val="27"/>
          <w:szCs w:val="27"/>
        </w:rPr>
        <w:t>3条规定的主要事项，按时</w:t>
      </w:r>
      <w:r>
        <w:rPr>
          <w:rFonts w:ascii="宋体" w:hAnsi="宋体" w:eastAsia="宋体" w:cs="宋体"/>
          <w:sz w:val="27"/>
          <w:szCs w:val="27"/>
        </w:rPr>
        <w:t xml:space="preserve"> </w:t>
      </w:r>
      <w:r>
        <w:rPr>
          <w:rFonts w:ascii="宋体" w:hAnsi="宋体" w:eastAsia="宋体" w:cs="宋体"/>
          <w:spacing w:val="3"/>
          <w:sz w:val="27"/>
          <w:szCs w:val="27"/>
        </w:rPr>
        <w:t>间顺序整理成研制生产工作的时间进度表。</w:t>
      </w:r>
    </w:p>
    <w:p w14:paraId="2BA06DB3">
      <w:pPr>
        <w:pStyle w:val="2"/>
        <w:spacing w:before="1" w:line="220" w:lineRule="auto"/>
        <w:rPr>
          <w:rFonts w:ascii="黑体" w:hAnsi="黑体" w:eastAsia="黑体" w:cs="黑体"/>
          <w:sz w:val="27"/>
          <w:szCs w:val="27"/>
        </w:rPr>
      </w:pPr>
      <w:r>
        <w:rPr>
          <w:b/>
          <w:bCs/>
          <w:spacing w:val="1"/>
          <w:sz w:val="27"/>
          <w:szCs w:val="27"/>
        </w:rPr>
        <w:t>5</w:t>
      </w:r>
      <w:r>
        <w:rPr>
          <w:b/>
          <w:bCs/>
          <w:spacing w:val="23"/>
          <w:sz w:val="27"/>
          <w:szCs w:val="27"/>
        </w:rPr>
        <w:t xml:space="preserve">   </w:t>
      </w:r>
      <w:r>
        <w:rPr>
          <w:rFonts w:ascii="黑体" w:hAnsi="黑体" w:eastAsia="黑体" w:cs="黑体"/>
          <w:b/>
          <w:bCs/>
          <w:spacing w:val="1"/>
          <w:sz w:val="27"/>
          <w:szCs w:val="27"/>
        </w:rPr>
        <w:t>说明事项</w:t>
      </w:r>
    </w:p>
    <w:p w14:paraId="2C8C3C22">
      <w:pPr>
        <w:spacing w:before="82" w:line="277" w:lineRule="auto"/>
        <w:ind w:left="3" w:right="721" w:firstLine="546"/>
        <w:rPr>
          <w:rFonts w:ascii="黑体" w:hAnsi="黑体" w:eastAsia="黑体" w:cs="黑体"/>
          <w:sz w:val="27"/>
          <w:szCs w:val="27"/>
        </w:rPr>
      </w:pPr>
      <w:r>
        <w:rPr>
          <w:rFonts w:ascii="宋体" w:hAnsi="宋体" w:eastAsia="宋体" w:cs="宋体"/>
          <w:sz w:val="27"/>
          <w:szCs w:val="27"/>
        </w:rPr>
        <w:t>根据武器装备研制生产项目的实际情况，给出必要的其他附加说明。</w:t>
      </w:r>
      <w:r>
        <w:rPr>
          <w:rFonts w:ascii="宋体" w:hAnsi="宋体" w:eastAsia="宋体" w:cs="宋体"/>
          <w:spacing w:val="13"/>
          <w:sz w:val="27"/>
          <w:szCs w:val="27"/>
        </w:rPr>
        <w:t xml:space="preserve"> </w:t>
      </w:r>
      <w:r>
        <w:rPr>
          <w:rFonts w:ascii="黑体" w:hAnsi="黑体" w:eastAsia="黑体" w:cs="黑体"/>
          <w:b/>
          <w:bCs/>
          <w:spacing w:val="-10"/>
          <w:sz w:val="27"/>
          <w:szCs w:val="27"/>
        </w:rPr>
        <w:t>附录</w:t>
      </w:r>
    </w:p>
    <w:p w14:paraId="53EBD2A5">
      <w:pPr>
        <w:spacing w:line="218" w:lineRule="auto"/>
        <w:ind w:left="550"/>
        <w:rPr>
          <w:rFonts w:ascii="宋体" w:hAnsi="宋体" w:eastAsia="宋体" w:cs="宋体"/>
          <w:sz w:val="27"/>
          <w:szCs w:val="27"/>
        </w:rPr>
      </w:pPr>
      <w:r>
        <w:rPr>
          <w:rFonts w:ascii="宋体" w:hAnsi="宋体" w:eastAsia="宋体" w:cs="宋体"/>
          <w:spacing w:val="1"/>
          <w:sz w:val="27"/>
          <w:szCs w:val="27"/>
        </w:rPr>
        <w:t>根据需要提供附录。</w:t>
      </w:r>
    </w:p>
    <w:p w14:paraId="11B9B110">
      <w:pPr>
        <w:spacing w:before="80" w:line="259" w:lineRule="auto"/>
        <w:ind w:left="3" w:right="23" w:firstLine="550"/>
        <w:rPr>
          <w:rFonts w:ascii="楷体" w:hAnsi="楷体" w:eastAsia="楷体" w:cs="楷体"/>
          <w:sz w:val="28"/>
          <w:szCs w:val="28"/>
        </w:rPr>
      </w:pPr>
      <w:r>
        <w:rPr>
          <w:rFonts w:ascii="楷体" w:hAnsi="楷体" w:eastAsia="楷体" w:cs="楷体"/>
          <w:b/>
          <w:bCs/>
          <w:spacing w:val="-16"/>
          <w:sz w:val="28"/>
          <w:szCs w:val="28"/>
        </w:rPr>
        <w:t>按照《武器装备研制合同暂行办法》和《武器装备研制合同暂行办法实</w:t>
      </w:r>
      <w:r>
        <w:rPr>
          <w:rFonts w:ascii="楷体" w:hAnsi="楷体" w:eastAsia="楷体" w:cs="楷体"/>
          <w:b/>
          <w:bCs/>
          <w:spacing w:val="-17"/>
          <w:sz w:val="28"/>
          <w:szCs w:val="28"/>
        </w:rPr>
        <w:t>施细</w:t>
      </w:r>
      <w:r>
        <w:rPr>
          <w:rFonts w:ascii="楷体" w:hAnsi="楷体" w:eastAsia="楷体" w:cs="楷体"/>
          <w:sz w:val="28"/>
          <w:szCs w:val="28"/>
        </w:rPr>
        <w:t xml:space="preserve"> </w:t>
      </w:r>
      <w:r>
        <w:rPr>
          <w:rFonts w:ascii="楷体" w:hAnsi="楷体" w:eastAsia="楷体" w:cs="楷体"/>
          <w:b/>
          <w:bCs/>
          <w:spacing w:val="-31"/>
          <w:sz w:val="28"/>
          <w:szCs w:val="28"/>
        </w:rPr>
        <w:t>则》编写，目次格式如下。</w:t>
      </w:r>
    </w:p>
    <w:p w14:paraId="09AD0622">
      <w:pPr>
        <w:spacing w:before="72" w:line="228" w:lineRule="auto"/>
        <w:ind w:left="550"/>
        <w:rPr>
          <w:rFonts w:ascii="楷体" w:hAnsi="楷体" w:eastAsia="楷体" w:cs="楷体"/>
          <w:sz w:val="24"/>
          <w:szCs w:val="24"/>
        </w:rPr>
      </w:pPr>
      <w:r>
        <w:rPr>
          <w:rFonts w:ascii="Times New Roman" w:hAnsi="Times New Roman" w:eastAsia="Times New Roman" w:cs="Times New Roman"/>
          <w:b/>
          <w:bCs/>
          <w:spacing w:val="-13"/>
          <w:sz w:val="24"/>
          <w:szCs w:val="24"/>
        </w:rPr>
        <w:t>1</w:t>
      </w:r>
      <w:r>
        <w:rPr>
          <w:rFonts w:ascii="Times New Roman" w:hAnsi="Times New Roman" w:eastAsia="Times New Roman" w:cs="Times New Roman"/>
          <w:b/>
          <w:bCs/>
          <w:spacing w:val="30"/>
          <w:w w:val="101"/>
          <w:sz w:val="24"/>
          <w:szCs w:val="24"/>
        </w:rPr>
        <w:t xml:space="preserve">  </w:t>
      </w:r>
      <w:r>
        <w:rPr>
          <w:rFonts w:ascii="楷体" w:hAnsi="楷体" w:eastAsia="楷体" w:cs="楷体"/>
          <w:b/>
          <w:bCs/>
          <w:spacing w:val="-13"/>
          <w:sz w:val="24"/>
          <w:szCs w:val="24"/>
        </w:rPr>
        <w:t>范</w:t>
      </w:r>
      <w:r>
        <w:rPr>
          <w:rFonts w:ascii="楷体" w:hAnsi="楷体" w:eastAsia="楷体" w:cs="楷体"/>
          <w:spacing w:val="-13"/>
          <w:sz w:val="24"/>
          <w:szCs w:val="24"/>
        </w:rPr>
        <w:t xml:space="preserve"> </w:t>
      </w:r>
      <w:r>
        <w:rPr>
          <w:rFonts w:ascii="楷体" w:hAnsi="楷体" w:eastAsia="楷体" w:cs="楷体"/>
          <w:b/>
          <w:bCs/>
          <w:spacing w:val="-13"/>
          <w:sz w:val="24"/>
          <w:szCs w:val="24"/>
        </w:rPr>
        <w:t>围</w:t>
      </w:r>
    </w:p>
    <w:p w14:paraId="298B565F">
      <w:pPr>
        <w:spacing w:before="123" w:line="227" w:lineRule="auto"/>
        <w:ind w:left="550"/>
        <w:rPr>
          <w:rFonts w:ascii="楷体" w:hAnsi="楷体" w:eastAsia="楷体" w:cs="楷体"/>
          <w:sz w:val="24"/>
          <w:szCs w:val="24"/>
        </w:rPr>
      </w:pPr>
      <w:r>
        <w:rPr>
          <w:rFonts w:ascii="Times New Roman" w:hAnsi="Times New Roman" w:eastAsia="Times New Roman" w:cs="Times New Roman"/>
          <w:b/>
          <w:bCs/>
          <w:spacing w:val="21"/>
          <w:sz w:val="24"/>
          <w:szCs w:val="24"/>
        </w:rPr>
        <w:t>2</w:t>
      </w:r>
      <w:r>
        <w:rPr>
          <w:rFonts w:ascii="Times New Roman" w:hAnsi="Times New Roman" w:eastAsia="Times New Roman" w:cs="Times New Roman"/>
          <w:b/>
          <w:bCs/>
          <w:spacing w:val="30"/>
          <w:sz w:val="24"/>
          <w:szCs w:val="24"/>
        </w:rPr>
        <w:t xml:space="preserve">  </w:t>
      </w:r>
      <w:r>
        <w:rPr>
          <w:rFonts w:ascii="楷体" w:hAnsi="楷体" w:eastAsia="楷体" w:cs="楷体"/>
          <w:b/>
          <w:bCs/>
          <w:spacing w:val="21"/>
          <w:sz w:val="24"/>
          <w:szCs w:val="24"/>
        </w:rPr>
        <w:t>引用文件</w:t>
      </w:r>
    </w:p>
    <w:p w14:paraId="1E47D199">
      <w:pPr>
        <w:spacing w:before="112" w:line="225" w:lineRule="auto"/>
        <w:ind w:left="553"/>
        <w:rPr>
          <w:rFonts w:ascii="楷体" w:hAnsi="楷体" w:eastAsia="楷体" w:cs="楷体"/>
          <w:sz w:val="24"/>
          <w:szCs w:val="24"/>
        </w:rPr>
      </w:pPr>
      <w:r>
        <w:rPr>
          <w:rFonts w:ascii="楷体" w:hAnsi="楷体" w:eastAsia="楷体" w:cs="楷体"/>
          <w:b/>
          <w:bCs/>
          <w:spacing w:val="30"/>
          <w:sz w:val="24"/>
          <w:szCs w:val="24"/>
        </w:rPr>
        <w:t>2</w:t>
      </w:r>
      <w:r>
        <w:rPr>
          <w:rFonts w:ascii="楷体" w:hAnsi="楷体" w:eastAsia="楷体" w:cs="楷体"/>
          <w:spacing w:val="-49"/>
          <w:sz w:val="24"/>
          <w:szCs w:val="24"/>
        </w:rPr>
        <w:t xml:space="preserve"> </w:t>
      </w:r>
      <w:r>
        <w:rPr>
          <w:rFonts w:ascii="楷体" w:hAnsi="楷体" w:eastAsia="楷体" w:cs="楷体"/>
          <w:b/>
          <w:bCs/>
          <w:spacing w:val="30"/>
          <w:sz w:val="24"/>
          <w:szCs w:val="24"/>
        </w:rPr>
        <w:t>.</w:t>
      </w:r>
      <w:r>
        <w:rPr>
          <w:rFonts w:ascii="楷体" w:hAnsi="楷体" w:eastAsia="楷体" w:cs="楷体"/>
          <w:spacing w:val="-52"/>
          <w:sz w:val="24"/>
          <w:szCs w:val="24"/>
        </w:rPr>
        <w:t xml:space="preserve"> </w:t>
      </w:r>
      <w:r>
        <w:rPr>
          <w:rFonts w:ascii="楷体" w:hAnsi="楷体" w:eastAsia="楷体" w:cs="楷体"/>
          <w:b/>
          <w:bCs/>
          <w:spacing w:val="30"/>
          <w:sz w:val="24"/>
          <w:szCs w:val="24"/>
        </w:rPr>
        <w:t>1国家军用标准和军用规范</w:t>
      </w:r>
    </w:p>
    <w:p w14:paraId="40620B1F">
      <w:pPr>
        <w:spacing w:before="78" w:line="225" w:lineRule="auto"/>
        <w:ind w:left="550"/>
        <w:rPr>
          <w:rFonts w:ascii="楷体" w:hAnsi="楷体" w:eastAsia="楷体" w:cs="楷体"/>
          <w:sz w:val="28"/>
          <w:szCs w:val="28"/>
        </w:rPr>
      </w:pPr>
      <w:r>
        <w:rPr>
          <w:rFonts w:ascii="楷体" w:hAnsi="楷体" w:eastAsia="楷体" w:cs="楷体"/>
          <w:spacing w:val="-14"/>
          <w:sz w:val="28"/>
          <w:szCs w:val="28"/>
        </w:rPr>
        <w:t>2.2</w:t>
      </w:r>
      <w:r>
        <w:rPr>
          <w:rFonts w:ascii="楷体" w:hAnsi="楷体" w:eastAsia="楷体" w:cs="楷体"/>
          <w:spacing w:val="-29"/>
          <w:sz w:val="28"/>
          <w:szCs w:val="28"/>
        </w:rPr>
        <w:t xml:space="preserve"> </w:t>
      </w:r>
      <w:r>
        <w:rPr>
          <w:rFonts w:ascii="楷体" w:hAnsi="楷体" w:eastAsia="楷体" w:cs="楷体"/>
          <w:b/>
          <w:bCs/>
          <w:spacing w:val="-14"/>
          <w:sz w:val="28"/>
          <w:szCs w:val="28"/>
        </w:rPr>
        <w:t>国家标准、有关专业标准</w:t>
      </w:r>
    </w:p>
    <w:p w14:paraId="12D8F370">
      <w:pPr>
        <w:spacing w:before="59" w:line="225" w:lineRule="auto"/>
        <w:ind w:left="550"/>
        <w:rPr>
          <w:rFonts w:ascii="楷体" w:hAnsi="楷体" w:eastAsia="楷体" w:cs="楷体"/>
          <w:sz w:val="28"/>
          <w:szCs w:val="28"/>
        </w:rPr>
      </w:pPr>
      <w:r>
        <w:rPr>
          <w:rFonts w:ascii="Times New Roman" w:hAnsi="Times New Roman" w:eastAsia="Times New Roman" w:cs="Times New Roman"/>
          <w:b/>
          <w:bCs/>
          <w:spacing w:val="-6"/>
          <w:sz w:val="28"/>
          <w:szCs w:val="28"/>
        </w:rPr>
        <w:t xml:space="preserve">2.3   </w:t>
      </w:r>
      <w:r>
        <w:rPr>
          <w:rFonts w:ascii="楷体" w:hAnsi="楷体" w:eastAsia="楷体" w:cs="楷体"/>
          <w:b/>
          <w:bCs/>
          <w:spacing w:val="-6"/>
          <w:sz w:val="28"/>
          <w:szCs w:val="28"/>
        </w:rPr>
        <w:t>上级有关规定和其他依据性文件</w:t>
      </w:r>
    </w:p>
    <w:p w14:paraId="4F80032A">
      <w:pPr>
        <w:spacing w:before="73" w:line="228" w:lineRule="auto"/>
        <w:ind w:left="550"/>
        <w:rPr>
          <w:rFonts w:ascii="楷体" w:hAnsi="楷体" w:eastAsia="楷体" w:cs="楷体"/>
          <w:sz w:val="28"/>
          <w:szCs w:val="28"/>
        </w:rPr>
      </w:pPr>
      <w:r>
        <w:rPr>
          <w:rFonts w:ascii="Times New Roman" w:hAnsi="Times New Roman" w:eastAsia="Times New Roman" w:cs="Times New Roman"/>
          <w:b/>
          <w:bCs/>
          <w:spacing w:val="-6"/>
          <w:sz w:val="28"/>
          <w:szCs w:val="28"/>
        </w:rPr>
        <w:t>3</w:t>
      </w:r>
      <w:r>
        <w:rPr>
          <w:rFonts w:ascii="Times New Roman" w:hAnsi="Times New Roman" w:eastAsia="Times New Roman" w:cs="Times New Roman"/>
          <w:b/>
          <w:bCs/>
          <w:spacing w:val="4"/>
          <w:sz w:val="28"/>
          <w:szCs w:val="28"/>
        </w:rPr>
        <w:t xml:space="preserve">  </w:t>
      </w:r>
      <w:r>
        <w:rPr>
          <w:rFonts w:ascii="楷体" w:hAnsi="楷体" w:eastAsia="楷体" w:cs="楷体"/>
          <w:b/>
          <w:bCs/>
          <w:spacing w:val="-6"/>
          <w:sz w:val="28"/>
          <w:szCs w:val="28"/>
        </w:rPr>
        <w:t>要求</w:t>
      </w:r>
    </w:p>
    <w:p w14:paraId="70408DCD">
      <w:pPr>
        <w:spacing w:before="64" w:line="228" w:lineRule="auto"/>
        <w:ind w:left="550"/>
        <w:rPr>
          <w:rFonts w:ascii="楷体" w:hAnsi="楷体" w:eastAsia="楷体" w:cs="楷体"/>
          <w:sz w:val="28"/>
          <w:szCs w:val="28"/>
        </w:rPr>
      </w:pPr>
      <w:r>
        <w:rPr>
          <w:rFonts w:ascii="Times New Roman" w:hAnsi="Times New Roman" w:eastAsia="Times New Roman" w:cs="Times New Roman"/>
          <w:b/>
          <w:bCs/>
          <w:spacing w:val="-4"/>
          <w:sz w:val="28"/>
          <w:szCs w:val="28"/>
        </w:rPr>
        <w:t>3.1</w:t>
      </w:r>
      <w:r>
        <w:rPr>
          <w:rFonts w:ascii="Times New Roman" w:hAnsi="Times New Roman" w:eastAsia="Times New Roman" w:cs="Times New Roman"/>
          <w:b/>
          <w:bCs/>
          <w:spacing w:val="26"/>
          <w:sz w:val="28"/>
          <w:szCs w:val="28"/>
        </w:rPr>
        <w:t xml:space="preserve">  </w:t>
      </w:r>
      <w:r>
        <w:rPr>
          <w:rFonts w:ascii="楷体" w:hAnsi="楷体" w:eastAsia="楷体" w:cs="楷体"/>
          <w:b/>
          <w:bCs/>
          <w:spacing w:val="-4"/>
          <w:sz w:val="28"/>
          <w:szCs w:val="28"/>
        </w:rPr>
        <w:t>设计制造要求</w:t>
      </w:r>
    </w:p>
    <w:p w14:paraId="730C81C7">
      <w:pPr>
        <w:spacing w:before="64" w:line="228" w:lineRule="auto"/>
        <w:ind w:left="550"/>
        <w:rPr>
          <w:rFonts w:ascii="楷体" w:hAnsi="楷体" w:eastAsia="楷体" w:cs="楷体"/>
          <w:sz w:val="28"/>
          <w:szCs w:val="28"/>
        </w:rPr>
      </w:pPr>
      <w:r>
        <w:rPr>
          <w:rFonts w:ascii="Times New Roman" w:hAnsi="Times New Roman" w:eastAsia="Times New Roman" w:cs="Times New Roman"/>
          <w:b/>
          <w:bCs/>
          <w:spacing w:val="-5"/>
          <w:sz w:val="28"/>
          <w:szCs w:val="28"/>
        </w:rPr>
        <w:t xml:space="preserve">3.2   </w:t>
      </w:r>
      <w:r>
        <w:rPr>
          <w:rFonts w:ascii="楷体" w:hAnsi="楷体" w:eastAsia="楷体" w:cs="楷体"/>
          <w:b/>
          <w:bCs/>
          <w:spacing w:val="-5"/>
          <w:sz w:val="28"/>
          <w:szCs w:val="28"/>
        </w:rPr>
        <w:t>试验鉴定要求</w:t>
      </w:r>
    </w:p>
    <w:p w14:paraId="1605B7C4">
      <w:pPr>
        <w:spacing w:before="67" w:line="223" w:lineRule="auto"/>
        <w:ind w:left="550"/>
        <w:rPr>
          <w:rFonts w:ascii="楷体" w:hAnsi="楷体" w:eastAsia="楷体" w:cs="楷体"/>
          <w:sz w:val="28"/>
          <w:szCs w:val="28"/>
        </w:rPr>
      </w:pPr>
      <w:r>
        <w:rPr>
          <w:rFonts w:ascii="Times New Roman" w:hAnsi="Times New Roman" w:eastAsia="Times New Roman" w:cs="Times New Roman"/>
          <w:b/>
          <w:bCs/>
          <w:spacing w:val="-3"/>
          <w:sz w:val="28"/>
          <w:szCs w:val="28"/>
        </w:rPr>
        <w:t xml:space="preserve">3.3   </w:t>
      </w:r>
      <w:r>
        <w:rPr>
          <w:rFonts w:ascii="楷体" w:hAnsi="楷体" w:eastAsia="楷体" w:cs="楷体"/>
          <w:b/>
          <w:bCs/>
          <w:spacing w:val="-3"/>
          <w:sz w:val="28"/>
          <w:szCs w:val="28"/>
        </w:rPr>
        <w:t>项目管理要求</w:t>
      </w:r>
    </w:p>
    <w:p w14:paraId="65E81C87">
      <w:pPr>
        <w:spacing w:before="65" w:line="225" w:lineRule="auto"/>
        <w:ind w:left="550"/>
        <w:rPr>
          <w:rFonts w:ascii="楷体" w:hAnsi="楷体" w:eastAsia="楷体" w:cs="楷体"/>
          <w:sz w:val="28"/>
          <w:szCs w:val="28"/>
        </w:rPr>
      </w:pPr>
      <w:r>
        <w:rPr>
          <w:rFonts w:ascii="Times New Roman" w:hAnsi="Times New Roman" w:eastAsia="Times New Roman" w:cs="Times New Roman"/>
          <w:b/>
          <w:bCs/>
          <w:spacing w:val="-5"/>
          <w:sz w:val="28"/>
          <w:szCs w:val="28"/>
        </w:rPr>
        <w:t xml:space="preserve">3.4   </w:t>
      </w:r>
      <w:r>
        <w:rPr>
          <w:rFonts w:ascii="楷体" w:hAnsi="楷体" w:eastAsia="楷体" w:cs="楷体"/>
          <w:b/>
          <w:bCs/>
          <w:spacing w:val="-5"/>
          <w:sz w:val="28"/>
          <w:szCs w:val="28"/>
        </w:rPr>
        <w:t>工程专门综合要求</w:t>
      </w:r>
    </w:p>
    <w:p w14:paraId="2C97B19E">
      <w:pPr>
        <w:spacing w:before="110" w:line="227" w:lineRule="auto"/>
        <w:ind w:left="550"/>
        <w:rPr>
          <w:rFonts w:ascii="楷体" w:hAnsi="楷体" w:eastAsia="楷体" w:cs="楷体"/>
          <w:sz w:val="24"/>
          <w:szCs w:val="24"/>
        </w:rPr>
      </w:pPr>
      <w:r>
        <w:rPr>
          <w:rFonts w:ascii="Times New Roman" w:hAnsi="Times New Roman" w:eastAsia="Times New Roman" w:cs="Times New Roman"/>
          <w:b/>
          <w:bCs/>
          <w:spacing w:val="15"/>
          <w:sz w:val="24"/>
          <w:szCs w:val="24"/>
        </w:rPr>
        <w:t xml:space="preserve">3.5    </w:t>
      </w:r>
      <w:r>
        <w:rPr>
          <w:rFonts w:ascii="楷体" w:hAnsi="楷体" w:eastAsia="楷体" w:cs="楷体"/>
          <w:b/>
          <w:bCs/>
          <w:spacing w:val="15"/>
          <w:sz w:val="24"/>
          <w:szCs w:val="24"/>
        </w:rPr>
        <w:t>综合保障要求</w:t>
      </w:r>
    </w:p>
    <w:p w14:paraId="67CC7A4F">
      <w:pPr>
        <w:spacing w:before="77" w:line="227" w:lineRule="auto"/>
        <w:ind w:left="554"/>
        <w:rPr>
          <w:rFonts w:ascii="楷体" w:hAnsi="楷体" w:eastAsia="楷体" w:cs="楷体"/>
          <w:sz w:val="28"/>
          <w:szCs w:val="28"/>
        </w:rPr>
      </w:pPr>
      <w:r>
        <w:rPr>
          <w:rFonts w:ascii="楷体" w:hAnsi="楷体" w:eastAsia="楷体" w:cs="楷体"/>
          <w:b/>
          <w:bCs/>
          <w:spacing w:val="5"/>
          <w:sz w:val="28"/>
          <w:szCs w:val="28"/>
        </w:rPr>
        <w:t>3.6质量保证大纲要求</w:t>
      </w:r>
    </w:p>
    <w:p w14:paraId="61E2CCCF">
      <w:pPr>
        <w:spacing w:line="227" w:lineRule="auto"/>
        <w:rPr>
          <w:rFonts w:ascii="楷体" w:hAnsi="楷体" w:eastAsia="楷体" w:cs="楷体"/>
          <w:sz w:val="28"/>
          <w:szCs w:val="28"/>
        </w:rPr>
        <w:sectPr>
          <w:footerReference r:id="rId57" w:type="default"/>
          <w:pgSz w:w="11910" w:h="17130"/>
          <w:pgMar w:top="400" w:right="1074" w:bottom="1499" w:left="1450" w:header="0" w:footer="1319" w:gutter="0"/>
          <w:cols w:space="720" w:num="1"/>
        </w:sectPr>
      </w:pPr>
    </w:p>
    <w:p w14:paraId="290F1267">
      <w:pPr>
        <w:pStyle w:val="2"/>
        <w:spacing w:line="275" w:lineRule="auto"/>
      </w:pPr>
    </w:p>
    <w:p w14:paraId="20AA5D97">
      <w:pPr>
        <w:pStyle w:val="2"/>
        <w:spacing w:line="275" w:lineRule="auto"/>
      </w:pPr>
    </w:p>
    <w:p w14:paraId="391F6428">
      <w:pPr>
        <w:pStyle w:val="2"/>
        <w:spacing w:line="275" w:lineRule="auto"/>
      </w:pPr>
    </w:p>
    <w:p w14:paraId="73AE720D">
      <w:pPr>
        <w:pStyle w:val="2"/>
        <w:spacing w:line="276" w:lineRule="auto"/>
      </w:pPr>
    </w:p>
    <w:p w14:paraId="5C5D7272">
      <w:pPr>
        <w:spacing w:before="91" w:line="226" w:lineRule="auto"/>
        <w:ind w:left="550"/>
        <w:rPr>
          <w:rFonts w:ascii="楷体" w:hAnsi="楷体" w:eastAsia="楷体" w:cs="楷体"/>
          <w:sz w:val="28"/>
          <w:szCs w:val="28"/>
        </w:rPr>
      </w:pPr>
      <w:r>
        <w:rPr>
          <w:rFonts w:ascii="Times New Roman" w:hAnsi="Times New Roman" w:eastAsia="Times New Roman" w:cs="Times New Roman"/>
          <w:spacing w:val="-3"/>
          <w:sz w:val="28"/>
          <w:szCs w:val="28"/>
        </w:rPr>
        <w:t xml:space="preserve">3.7   </w:t>
      </w:r>
      <w:r>
        <w:rPr>
          <w:rFonts w:ascii="楷体" w:hAnsi="楷体" w:eastAsia="楷体" w:cs="楷体"/>
          <w:spacing w:val="-3"/>
          <w:sz w:val="28"/>
          <w:szCs w:val="28"/>
        </w:rPr>
        <w:t>资料要求</w:t>
      </w:r>
    </w:p>
    <w:p w14:paraId="799CC7FD">
      <w:pPr>
        <w:pStyle w:val="2"/>
        <w:spacing w:line="256" w:lineRule="auto"/>
      </w:pPr>
    </w:p>
    <w:p w14:paraId="64EADF8B">
      <w:pPr>
        <w:spacing w:before="126" w:line="219" w:lineRule="auto"/>
        <w:ind w:left="3229"/>
        <w:outlineLvl w:val="1"/>
        <w:rPr>
          <w:rFonts w:ascii="宋体" w:hAnsi="宋体" w:eastAsia="宋体" w:cs="宋体"/>
          <w:sz w:val="39"/>
          <w:szCs w:val="39"/>
        </w:rPr>
      </w:pPr>
      <w:bookmarkStart w:id="25" w:name="bookmark13"/>
      <w:bookmarkEnd w:id="25"/>
      <w:r>
        <w:rPr>
          <w:rFonts w:ascii="宋体" w:hAnsi="宋体" w:eastAsia="宋体" w:cs="宋体"/>
          <w:spacing w:val="-12"/>
          <w:sz w:val="39"/>
          <w:szCs w:val="39"/>
        </w:rPr>
        <w:t>1.11</w:t>
      </w:r>
      <w:r>
        <w:rPr>
          <w:rFonts w:ascii="宋体" w:hAnsi="宋体" w:eastAsia="宋体" w:cs="宋体"/>
          <w:spacing w:val="149"/>
          <w:sz w:val="39"/>
          <w:szCs w:val="39"/>
        </w:rPr>
        <w:t xml:space="preserve"> </w:t>
      </w:r>
      <w:r>
        <w:rPr>
          <w:rFonts w:ascii="宋体" w:hAnsi="宋体" w:eastAsia="宋体" w:cs="宋体"/>
          <w:spacing w:val="-12"/>
          <w:sz w:val="39"/>
          <w:szCs w:val="39"/>
        </w:rPr>
        <w:t>技</w:t>
      </w:r>
      <w:r>
        <w:rPr>
          <w:rFonts w:ascii="宋体" w:hAnsi="宋体" w:eastAsia="宋体" w:cs="宋体"/>
          <w:spacing w:val="-71"/>
          <w:sz w:val="39"/>
          <w:szCs w:val="39"/>
        </w:rPr>
        <w:t xml:space="preserve"> </w:t>
      </w:r>
      <w:r>
        <w:rPr>
          <w:rFonts w:ascii="宋体" w:hAnsi="宋体" w:eastAsia="宋体" w:cs="宋体"/>
          <w:spacing w:val="-12"/>
          <w:sz w:val="39"/>
          <w:szCs w:val="39"/>
        </w:rPr>
        <w:t>术</w:t>
      </w:r>
      <w:r>
        <w:rPr>
          <w:rFonts w:ascii="宋体" w:hAnsi="宋体" w:eastAsia="宋体" w:cs="宋体"/>
          <w:spacing w:val="-72"/>
          <w:sz w:val="39"/>
          <w:szCs w:val="39"/>
        </w:rPr>
        <w:t xml:space="preserve"> </w:t>
      </w:r>
      <w:r>
        <w:rPr>
          <w:rFonts w:ascii="宋体" w:hAnsi="宋体" w:eastAsia="宋体" w:cs="宋体"/>
          <w:spacing w:val="-12"/>
          <w:sz w:val="39"/>
          <w:szCs w:val="39"/>
        </w:rPr>
        <w:t>规</w:t>
      </w:r>
      <w:r>
        <w:rPr>
          <w:rFonts w:ascii="宋体" w:hAnsi="宋体" w:eastAsia="宋体" w:cs="宋体"/>
          <w:spacing w:val="-64"/>
          <w:sz w:val="39"/>
          <w:szCs w:val="39"/>
        </w:rPr>
        <w:t xml:space="preserve"> </w:t>
      </w:r>
      <w:r>
        <w:rPr>
          <w:rFonts w:ascii="宋体" w:hAnsi="宋体" w:eastAsia="宋体" w:cs="宋体"/>
          <w:spacing w:val="-12"/>
          <w:sz w:val="39"/>
          <w:szCs w:val="39"/>
        </w:rPr>
        <w:t>范</w:t>
      </w:r>
    </w:p>
    <w:p w14:paraId="2D3216E8">
      <w:pPr>
        <w:pStyle w:val="2"/>
        <w:spacing w:line="283" w:lineRule="auto"/>
      </w:pPr>
    </w:p>
    <w:p w14:paraId="7E42AFF7">
      <w:pPr>
        <w:spacing w:before="91" w:line="294" w:lineRule="auto"/>
        <w:ind w:right="139" w:firstLine="550"/>
        <w:rPr>
          <w:rFonts w:ascii="楷体" w:hAnsi="楷体" w:eastAsia="楷体" w:cs="楷体"/>
          <w:sz w:val="28"/>
          <w:szCs w:val="28"/>
        </w:rPr>
      </w:pPr>
      <w:r>
        <w:rPr>
          <w:rFonts w:ascii="楷体" w:hAnsi="楷体" w:eastAsia="楷体" w:cs="楷体"/>
          <w:spacing w:val="-13"/>
          <w:sz w:val="28"/>
          <w:szCs w:val="28"/>
        </w:rPr>
        <w:t>按照《武器装备研制合同暂行办法》和《武器装备研制合同</w:t>
      </w:r>
      <w:r>
        <w:rPr>
          <w:rFonts w:ascii="楷体" w:hAnsi="楷体" w:eastAsia="楷体" w:cs="楷体"/>
          <w:spacing w:val="-14"/>
          <w:sz w:val="28"/>
          <w:szCs w:val="28"/>
        </w:rPr>
        <w:t>暂行办法实施细</w:t>
      </w:r>
      <w:r>
        <w:rPr>
          <w:rFonts w:ascii="楷体" w:hAnsi="楷体" w:eastAsia="楷体" w:cs="楷体"/>
          <w:sz w:val="28"/>
          <w:szCs w:val="28"/>
        </w:rPr>
        <w:t xml:space="preserve"> </w:t>
      </w:r>
      <w:r>
        <w:rPr>
          <w:rFonts w:ascii="楷体" w:hAnsi="楷体" w:eastAsia="楷体" w:cs="楷体"/>
          <w:spacing w:val="-36"/>
          <w:sz w:val="28"/>
          <w:szCs w:val="28"/>
        </w:rPr>
        <w:t>则》编写。</w:t>
      </w:r>
    </w:p>
    <w:p w14:paraId="13DE72BC">
      <w:pPr>
        <w:spacing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35"/>
          <w:sz w:val="25"/>
          <w:szCs w:val="25"/>
        </w:rPr>
        <w:t xml:space="preserve">  </w:t>
      </w:r>
      <w:r>
        <w:rPr>
          <w:rFonts w:ascii="黑体" w:hAnsi="黑体" w:eastAsia="黑体" w:cs="黑体"/>
          <w:b/>
          <w:bCs/>
          <w:spacing w:val="3"/>
          <w:sz w:val="25"/>
          <w:szCs w:val="25"/>
        </w:rPr>
        <w:t>范围</w:t>
      </w:r>
    </w:p>
    <w:p w14:paraId="3FE61EA4">
      <w:pPr>
        <w:spacing w:before="92" w:line="219" w:lineRule="auto"/>
        <w:ind w:left="550"/>
        <w:rPr>
          <w:rFonts w:ascii="宋体" w:hAnsi="宋体" w:eastAsia="宋体" w:cs="宋体"/>
          <w:sz w:val="27"/>
          <w:szCs w:val="27"/>
        </w:rPr>
      </w:pPr>
      <w:r>
        <w:rPr>
          <w:rFonts w:ascii="宋体" w:hAnsi="宋体" w:eastAsia="宋体" w:cs="宋体"/>
          <w:spacing w:val="-6"/>
          <w:sz w:val="27"/>
          <w:szCs w:val="27"/>
        </w:rPr>
        <w:t>包括主题内容、适用范围和分类。</w:t>
      </w:r>
    </w:p>
    <w:p w14:paraId="26679E17">
      <w:pPr>
        <w:spacing w:before="73"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698BB4B2">
      <w:pPr>
        <w:spacing w:before="90" w:line="219" w:lineRule="auto"/>
        <w:ind w:left="550"/>
        <w:rPr>
          <w:rFonts w:ascii="宋体" w:hAnsi="宋体" w:eastAsia="宋体" w:cs="宋体"/>
          <w:sz w:val="27"/>
          <w:szCs w:val="27"/>
        </w:rPr>
      </w:pPr>
      <w:r>
        <w:rPr>
          <w:rFonts w:ascii="宋体" w:hAnsi="宋体" w:eastAsia="宋体" w:cs="宋体"/>
          <w:spacing w:val="4"/>
          <w:sz w:val="27"/>
          <w:szCs w:val="27"/>
        </w:rPr>
        <w:t>技术规范中各章所引用的标准和有关技术文件。</w:t>
      </w:r>
    </w:p>
    <w:p w14:paraId="3E4BA143">
      <w:pPr>
        <w:spacing w:before="126" w:line="222" w:lineRule="auto"/>
        <w:rPr>
          <w:rFonts w:ascii="黑体" w:hAnsi="黑体" w:eastAsia="黑体" w:cs="黑体"/>
          <w:sz w:val="24"/>
          <w:szCs w:val="24"/>
        </w:rPr>
      </w:pPr>
      <w:r>
        <w:rPr>
          <w:rFonts w:ascii="黑体" w:hAnsi="黑体" w:eastAsia="黑体" w:cs="黑体"/>
          <w:spacing w:val="-8"/>
          <w:sz w:val="24"/>
          <w:szCs w:val="24"/>
        </w:rPr>
        <w:t>3</w:t>
      </w:r>
      <w:r>
        <w:rPr>
          <w:rFonts w:ascii="黑体" w:hAnsi="黑体" w:eastAsia="黑体" w:cs="黑体"/>
          <w:spacing w:val="41"/>
          <w:sz w:val="24"/>
          <w:szCs w:val="24"/>
        </w:rPr>
        <w:t xml:space="preserve">  </w:t>
      </w:r>
      <w:r>
        <w:rPr>
          <w:rFonts w:ascii="黑体" w:hAnsi="黑体" w:eastAsia="黑体" w:cs="黑体"/>
          <w:b/>
          <w:bCs/>
          <w:spacing w:val="-8"/>
          <w:sz w:val="24"/>
          <w:szCs w:val="24"/>
        </w:rPr>
        <w:t>要</w:t>
      </w:r>
      <w:r>
        <w:rPr>
          <w:rFonts w:ascii="黑体" w:hAnsi="黑体" w:eastAsia="黑体" w:cs="黑体"/>
          <w:spacing w:val="-44"/>
          <w:sz w:val="24"/>
          <w:szCs w:val="24"/>
        </w:rPr>
        <w:t xml:space="preserve"> </w:t>
      </w:r>
      <w:r>
        <w:rPr>
          <w:rFonts w:ascii="黑体" w:hAnsi="黑体" w:eastAsia="黑体" w:cs="黑体"/>
          <w:b/>
          <w:bCs/>
          <w:spacing w:val="-8"/>
          <w:sz w:val="24"/>
          <w:szCs w:val="24"/>
        </w:rPr>
        <w:t>求</w:t>
      </w:r>
    </w:p>
    <w:p w14:paraId="60EC6036">
      <w:pPr>
        <w:spacing w:before="98" w:line="271" w:lineRule="auto"/>
        <w:ind w:firstLine="550"/>
        <w:jc w:val="both"/>
        <w:rPr>
          <w:rFonts w:ascii="宋体" w:hAnsi="宋体" w:eastAsia="宋体" w:cs="宋体"/>
          <w:sz w:val="27"/>
          <w:szCs w:val="27"/>
        </w:rPr>
      </w:pPr>
      <w:r>
        <w:rPr>
          <w:rFonts w:ascii="宋体" w:hAnsi="宋体" w:eastAsia="宋体" w:cs="宋体"/>
          <w:spacing w:val="-7"/>
          <w:sz w:val="27"/>
          <w:szCs w:val="27"/>
        </w:rPr>
        <w:t>规定研制项目满足预定用途所必需的要求，包括性能、设计、结构、可靠性、</w:t>
      </w:r>
      <w:r>
        <w:rPr>
          <w:rFonts w:ascii="宋体" w:hAnsi="宋体" w:eastAsia="宋体" w:cs="宋体"/>
          <w:spacing w:val="1"/>
          <w:sz w:val="27"/>
          <w:szCs w:val="27"/>
        </w:rPr>
        <w:t xml:space="preserve"> </w:t>
      </w:r>
      <w:r>
        <w:rPr>
          <w:rFonts w:ascii="宋体" w:hAnsi="宋体" w:eastAsia="宋体" w:cs="宋体"/>
          <w:spacing w:val="-24"/>
          <w:sz w:val="27"/>
          <w:szCs w:val="27"/>
        </w:rPr>
        <w:t>维修性、运输性、人的因素、安全性、材料、环境条件、电磁兼容、尺寸、重量、表面</w:t>
      </w:r>
      <w:r>
        <w:rPr>
          <w:rFonts w:ascii="宋体" w:hAnsi="宋体" w:eastAsia="宋体" w:cs="宋体"/>
          <w:sz w:val="27"/>
          <w:szCs w:val="27"/>
        </w:rPr>
        <w:t xml:space="preserve">  </w:t>
      </w:r>
      <w:r>
        <w:rPr>
          <w:rFonts w:ascii="宋体" w:hAnsi="宋体" w:eastAsia="宋体" w:cs="宋体"/>
          <w:spacing w:val="-18"/>
          <w:sz w:val="27"/>
          <w:szCs w:val="27"/>
        </w:rPr>
        <w:t>状况、接口、外观质量等要求。</w:t>
      </w:r>
    </w:p>
    <w:p w14:paraId="6CEA185B">
      <w:pPr>
        <w:spacing w:before="45" w:line="222" w:lineRule="auto"/>
        <w:rPr>
          <w:rFonts w:ascii="黑体" w:hAnsi="黑体" w:eastAsia="黑体" w:cs="黑体"/>
          <w:sz w:val="24"/>
          <w:szCs w:val="24"/>
        </w:rPr>
      </w:pPr>
      <w:r>
        <w:rPr>
          <w:rFonts w:ascii="黑体" w:hAnsi="黑体" w:eastAsia="黑体" w:cs="黑体"/>
          <w:spacing w:val="25"/>
          <w:sz w:val="24"/>
          <w:szCs w:val="24"/>
        </w:rPr>
        <w:t>4</w:t>
      </w:r>
      <w:r>
        <w:rPr>
          <w:rFonts w:ascii="黑体" w:hAnsi="黑体" w:eastAsia="黑体" w:cs="黑体"/>
          <w:spacing w:val="39"/>
          <w:sz w:val="24"/>
          <w:szCs w:val="24"/>
        </w:rPr>
        <w:t xml:space="preserve">  </w:t>
      </w:r>
      <w:r>
        <w:rPr>
          <w:rFonts w:ascii="黑体" w:hAnsi="黑体" w:eastAsia="黑体" w:cs="黑体"/>
          <w:b/>
          <w:bCs/>
          <w:spacing w:val="25"/>
          <w:sz w:val="24"/>
          <w:szCs w:val="24"/>
        </w:rPr>
        <w:t>质量保证规定</w:t>
      </w:r>
    </w:p>
    <w:p w14:paraId="73E5BD3C">
      <w:pPr>
        <w:spacing w:before="118" w:line="271" w:lineRule="auto"/>
        <w:ind w:right="134" w:firstLine="550"/>
        <w:jc w:val="both"/>
        <w:rPr>
          <w:rFonts w:ascii="宋体" w:hAnsi="宋体" w:eastAsia="宋体" w:cs="宋体"/>
          <w:sz w:val="27"/>
          <w:szCs w:val="27"/>
        </w:rPr>
      </w:pPr>
      <w:r>
        <w:rPr>
          <w:rFonts w:ascii="宋体" w:hAnsi="宋体" w:eastAsia="宋体" w:cs="宋体"/>
          <w:spacing w:val="5"/>
          <w:sz w:val="27"/>
          <w:szCs w:val="27"/>
        </w:rPr>
        <w:t>主要包括鉴定检验和质量一致性检验及相应的试验方法。鉴定检验的目的</w:t>
      </w:r>
      <w:r>
        <w:rPr>
          <w:rFonts w:ascii="宋体" w:hAnsi="宋体" w:eastAsia="宋体" w:cs="宋体"/>
          <w:spacing w:val="9"/>
          <w:sz w:val="27"/>
          <w:szCs w:val="27"/>
        </w:rPr>
        <w:t xml:space="preserve"> </w:t>
      </w:r>
      <w:r>
        <w:rPr>
          <w:rFonts w:ascii="宋体" w:hAnsi="宋体" w:eastAsia="宋体" w:cs="宋体"/>
          <w:spacing w:val="5"/>
          <w:sz w:val="27"/>
          <w:szCs w:val="27"/>
        </w:rPr>
        <w:t>是验证设计、研制是否满足规范的要求。质量一致性检验的目的是确定生产过</w:t>
      </w:r>
      <w:r>
        <w:rPr>
          <w:rFonts w:ascii="宋体" w:hAnsi="宋体" w:eastAsia="宋体" w:cs="宋体"/>
          <w:sz w:val="27"/>
          <w:szCs w:val="27"/>
        </w:rPr>
        <w:t xml:space="preserve"> </w:t>
      </w:r>
      <w:r>
        <w:rPr>
          <w:rFonts w:ascii="宋体" w:hAnsi="宋体" w:eastAsia="宋体" w:cs="宋体"/>
          <w:spacing w:val="2"/>
          <w:sz w:val="27"/>
          <w:szCs w:val="27"/>
        </w:rPr>
        <w:t>程中能否保证质量持续稳定。</w:t>
      </w:r>
    </w:p>
    <w:p w14:paraId="3B9B4E55">
      <w:pPr>
        <w:spacing w:before="15" w:line="223" w:lineRule="auto"/>
        <w:rPr>
          <w:rFonts w:ascii="黑体" w:hAnsi="黑体" w:eastAsia="黑体" w:cs="黑体"/>
          <w:sz w:val="25"/>
          <w:szCs w:val="25"/>
        </w:rPr>
      </w:pPr>
      <w:r>
        <w:rPr>
          <w:rFonts w:ascii="黑体" w:hAnsi="黑体" w:eastAsia="黑体" w:cs="黑体"/>
          <w:spacing w:val="13"/>
          <w:sz w:val="25"/>
          <w:szCs w:val="25"/>
        </w:rPr>
        <w:t>5</w:t>
      </w:r>
      <w:r>
        <w:rPr>
          <w:rFonts w:ascii="黑体" w:hAnsi="黑体" w:eastAsia="黑体" w:cs="黑体"/>
          <w:spacing w:val="31"/>
          <w:sz w:val="25"/>
          <w:szCs w:val="25"/>
        </w:rPr>
        <w:t xml:space="preserve">  </w:t>
      </w:r>
      <w:r>
        <w:rPr>
          <w:rFonts w:ascii="黑体" w:hAnsi="黑体" w:eastAsia="黑体" w:cs="黑体"/>
          <w:b/>
          <w:bCs/>
          <w:spacing w:val="13"/>
          <w:sz w:val="25"/>
          <w:szCs w:val="25"/>
        </w:rPr>
        <w:t>交付准备</w:t>
      </w:r>
    </w:p>
    <w:p w14:paraId="4071B75B">
      <w:pPr>
        <w:spacing w:before="112" w:line="219" w:lineRule="auto"/>
        <w:ind w:left="550"/>
        <w:rPr>
          <w:rFonts w:ascii="宋体" w:hAnsi="宋体" w:eastAsia="宋体" w:cs="宋体"/>
          <w:sz w:val="27"/>
          <w:szCs w:val="27"/>
        </w:rPr>
      </w:pPr>
      <w:r>
        <w:rPr>
          <w:rFonts w:ascii="宋体" w:hAnsi="宋体" w:eastAsia="宋体" w:cs="宋体"/>
          <w:spacing w:val="-16"/>
          <w:sz w:val="27"/>
          <w:szCs w:val="27"/>
        </w:rPr>
        <w:t>主要内容为封存、包装、装箱、运输、贮存和标志等项要求。</w:t>
      </w:r>
    </w:p>
    <w:p w14:paraId="04E907E0">
      <w:pPr>
        <w:spacing w:before="63" w:line="221"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20"/>
          <w:sz w:val="27"/>
          <w:szCs w:val="27"/>
        </w:rPr>
        <w:t xml:space="preserve">  </w:t>
      </w:r>
      <w:r>
        <w:rPr>
          <w:rFonts w:ascii="黑体" w:hAnsi="黑体" w:eastAsia="黑体" w:cs="黑体"/>
          <w:b/>
          <w:bCs/>
          <w:spacing w:val="-3"/>
          <w:sz w:val="27"/>
          <w:szCs w:val="27"/>
        </w:rPr>
        <w:t>说明事项</w:t>
      </w:r>
    </w:p>
    <w:p w14:paraId="65481B93">
      <w:pPr>
        <w:spacing w:before="122" w:line="219" w:lineRule="auto"/>
        <w:ind w:left="550"/>
        <w:rPr>
          <w:rFonts w:ascii="宋体" w:hAnsi="宋体" w:eastAsia="宋体" w:cs="宋体"/>
          <w:sz w:val="27"/>
          <w:szCs w:val="27"/>
        </w:rPr>
      </w:pPr>
      <w:r>
        <w:rPr>
          <w:rFonts w:ascii="宋体" w:hAnsi="宋体" w:eastAsia="宋体" w:cs="宋体"/>
          <w:spacing w:val="-4"/>
          <w:sz w:val="27"/>
          <w:szCs w:val="27"/>
        </w:rPr>
        <w:t>不应规定要求，只应提供下列说明性信息：</w:t>
      </w:r>
    </w:p>
    <w:p w14:paraId="6499B5A3">
      <w:pPr>
        <w:spacing w:before="62" w:line="220" w:lineRule="auto"/>
        <w:ind w:left="550"/>
        <w:rPr>
          <w:rFonts w:ascii="宋体" w:hAnsi="宋体" w:eastAsia="宋体" w:cs="宋体"/>
          <w:sz w:val="27"/>
          <w:szCs w:val="27"/>
        </w:rPr>
      </w:pPr>
      <w:r>
        <w:rPr>
          <w:rFonts w:ascii="Times New Roman" w:hAnsi="Times New Roman" w:eastAsia="Times New Roman" w:cs="Times New Roman"/>
          <w:spacing w:val="-2"/>
          <w:sz w:val="27"/>
          <w:szCs w:val="27"/>
        </w:rPr>
        <w:t>a</w:t>
      </w:r>
      <w:r>
        <w:rPr>
          <w:rFonts w:ascii="宋体" w:hAnsi="宋体" w:eastAsia="宋体" w:cs="宋体"/>
          <w:spacing w:val="-2"/>
          <w:sz w:val="27"/>
          <w:szCs w:val="27"/>
        </w:rPr>
        <w:t>)</w:t>
      </w:r>
      <w:r>
        <w:rPr>
          <w:rFonts w:ascii="宋体" w:hAnsi="宋体" w:eastAsia="宋体" w:cs="宋体"/>
          <w:spacing w:val="-39"/>
          <w:sz w:val="27"/>
          <w:szCs w:val="27"/>
        </w:rPr>
        <w:t xml:space="preserve"> </w:t>
      </w:r>
      <w:r>
        <w:rPr>
          <w:rFonts w:ascii="宋体" w:hAnsi="宋体" w:eastAsia="宋体" w:cs="宋体"/>
          <w:spacing w:val="-2"/>
          <w:sz w:val="27"/>
          <w:szCs w:val="27"/>
        </w:rPr>
        <w:t>预定用途；</w:t>
      </w:r>
    </w:p>
    <w:p w14:paraId="361E6B3F">
      <w:pPr>
        <w:spacing w:before="57"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57"/>
          <w:sz w:val="27"/>
          <w:szCs w:val="27"/>
        </w:rPr>
        <w:t xml:space="preserve"> </w:t>
      </w:r>
      <w:r>
        <w:rPr>
          <w:rFonts w:ascii="宋体" w:hAnsi="宋体" w:eastAsia="宋体" w:cs="宋体"/>
          <w:spacing w:val="1"/>
          <w:sz w:val="27"/>
          <w:szCs w:val="27"/>
        </w:rPr>
        <w:t>分类；</w:t>
      </w:r>
    </w:p>
    <w:p w14:paraId="5F25CE99">
      <w:pPr>
        <w:spacing w:before="11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72"/>
          <w:w w:val="101"/>
          <w:sz w:val="27"/>
          <w:szCs w:val="27"/>
        </w:rPr>
        <w:t xml:space="preserve"> </w:t>
      </w:r>
      <w:r>
        <w:rPr>
          <w:rFonts w:ascii="宋体" w:hAnsi="宋体" w:eastAsia="宋体" w:cs="宋体"/>
          <w:spacing w:val="1"/>
          <w:sz w:val="27"/>
          <w:szCs w:val="27"/>
        </w:rPr>
        <w:t>订购文件中应明确的内容；</w:t>
      </w:r>
    </w:p>
    <w:p w14:paraId="3CB9D2FD">
      <w:pPr>
        <w:spacing w:before="90" w:line="212" w:lineRule="auto"/>
        <w:ind w:left="550"/>
        <w:rPr>
          <w:rFonts w:ascii="宋体" w:hAnsi="宋体" w:eastAsia="宋体" w:cs="宋体"/>
          <w:sz w:val="27"/>
          <w:szCs w:val="27"/>
        </w:rPr>
      </w:pPr>
      <w:r>
        <w:rPr>
          <w:rFonts w:ascii="Times New Roman" w:hAnsi="Times New Roman" w:eastAsia="Times New Roman" w:cs="Times New Roman"/>
          <w:sz w:val="27"/>
          <w:szCs w:val="27"/>
        </w:rPr>
        <w:t>d)</w:t>
      </w:r>
      <w:r>
        <w:rPr>
          <w:rFonts w:ascii="Times New Roman" w:hAnsi="Times New Roman" w:eastAsia="Times New Roman" w:cs="Times New Roman"/>
          <w:spacing w:val="71"/>
          <w:sz w:val="27"/>
          <w:szCs w:val="27"/>
        </w:rPr>
        <w:t xml:space="preserve"> </w:t>
      </w:r>
      <w:r>
        <w:rPr>
          <w:rFonts w:ascii="宋体" w:hAnsi="宋体" w:eastAsia="宋体" w:cs="宋体"/>
          <w:sz w:val="27"/>
          <w:szCs w:val="27"/>
        </w:rPr>
        <w:t>术语和定义；</w:t>
      </w:r>
    </w:p>
    <w:p w14:paraId="6D2877DA">
      <w:pPr>
        <w:spacing w:before="100" w:line="212" w:lineRule="auto"/>
        <w:ind w:left="550"/>
        <w:rPr>
          <w:rFonts w:ascii="宋体" w:hAnsi="宋体" w:eastAsia="宋体" w:cs="宋体"/>
          <w:sz w:val="27"/>
          <w:szCs w:val="27"/>
        </w:rPr>
      </w:pPr>
      <w:r>
        <w:rPr>
          <w:rFonts w:ascii="Times New Roman" w:hAnsi="Times New Roman" w:eastAsia="Times New Roman" w:cs="Times New Roman"/>
          <w:spacing w:val="-9"/>
          <w:sz w:val="27"/>
          <w:szCs w:val="27"/>
        </w:rPr>
        <w:t>e)</w:t>
      </w:r>
      <w:r>
        <w:rPr>
          <w:rFonts w:ascii="Times New Roman" w:hAnsi="Times New Roman" w:eastAsia="Times New Roman" w:cs="Times New Roman"/>
          <w:spacing w:val="55"/>
          <w:sz w:val="27"/>
          <w:szCs w:val="27"/>
        </w:rPr>
        <w:t xml:space="preserve"> </w:t>
      </w:r>
      <w:r>
        <w:rPr>
          <w:rFonts w:ascii="宋体" w:hAnsi="宋体" w:eastAsia="宋体" w:cs="宋体"/>
          <w:spacing w:val="-9"/>
          <w:sz w:val="27"/>
          <w:szCs w:val="27"/>
        </w:rPr>
        <w:t>符号、代号和缩略语；</w:t>
      </w:r>
    </w:p>
    <w:p w14:paraId="1DA13498">
      <w:pPr>
        <w:spacing w:before="11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f)</w:t>
      </w:r>
      <w:r>
        <w:rPr>
          <w:rFonts w:ascii="Times New Roman" w:hAnsi="Times New Roman" w:eastAsia="Times New Roman" w:cs="Times New Roman"/>
          <w:spacing w:val="56"/>
          <w:sz w:val="27"/>
          <w:szCs w:val="27"/>
        </w:rPr>
        <w:t xml:space="preserve"> </w:t>
      </w:r>
      <w:r>
        <w:rPr>
          <w:rFonts w:ascii="宋体" w:hAnsi="宋体" w:eastAsia="宋体" w:cs="宋体"/>
          <w:spacing w:val="2"/>
          <w:sz w:val="27"/>
          <w:szCs w:val="27"/>
        </w:rPr>
        <w:t>其他。</w:t>
      </w:r>
    </w:p>
    <w:p w14:paraId="431B2472">
      <w:pPr>
        <w:spacing w:before="127" w:line="274" w:lineRule="auto"/>
        <w:ind w:right="20" w:firstLine="550"/>
        <w:jc w:val="both"/>
        <w:rPr>
          <w:rFonts w:ascii="楷体" w:hAnsi="楷体" w:eastAsia="楷体" w:cs="楷体"/>
          <w:sz w:val="27"/>
          <w:szCs w:val="27"/>
        </w:rPr>
      </w:pPr>
      <w:r>
        <w:rPr>
          <w:rFonts w:ascii="楷体" w:hAnsi="楷体" w:eastAsia="楷体" w:cs="楷体"/>
          <w:spacing w:val="-11"/>
          <w:sz w:val="27"/>
          <w:szCs w:val="27"/>
        </w:rPr>
        <w:t>技术规范包括系统规范、研制规范、产品规范、工艺规范、材料规范。在武器</w:t>
      </w:r>
      <w:r>
        <w:rPr>
          <w:rFonts w:ascii="楷体" w:hAnsi="楷体" w:eastAsia="楷体" w:cs="楷体"/>
          <w:sz w:val="27"/>
          <w:szCs w:val="27"/>
        </w:rPr>
        <w:t xml:space="preserve">  </w:t>
      </w:r>
      <w:r>
        <w:rPr>
          <w:rFonts w:ascii="楷体" w:hAnsi="楷体" w:eastAsia="楷体" w:cs="楷体"/>
          <w:spacing w:val="-7"/>
          <w:sz w:val="27"/>
          <w:szCs w:val="27"/>
        </w:rPr>
        <w:t>装备研制项目的各个阶段，可按照要求分别编制系统规范、研制规范、产品规范、</w:t>
      </w:r>
      <w:r>
        <w:rPr>
          <w:rFonts w:ascii="楷体" w:hAnsi="楷体" w:eastAsia="楷体" w:cs="楷体"/>
          <w:spacing w:val="5"/>
          <w:sz w:val="27"/>
          <w:szCs w:val="27"/>
        </w:rPr>
        <w:t xml:space="preserve"> </w:t>
      </w:r>
      <w:r>
        <w:rPr>
          <w:rFonts w:ascii="楷体" w:hAnsi="楷体" w:eastAsia="楷体" w:cs="楷体"/>
          <w:spacing w:val="-3"/>
          <w:sz w:val="27"/>
          <w:szCs w:val="27"/>
        </w:rPr>
        <w:t>工艺规范、材料规范。技术规范既是独立的技术文件，也是签订</w:t>
      </w:r>
      <w:r>
        <w:rPr>
          <w:rFonts w:ascii="楷体" w:hAnsi="楷体" w:eastAsia="楷体" w:cs="楷体"/>
          <w:spacing w:val="-4"/>
          <w:sz w:val="27"/>
          <w:szCs w:val="27"/>
        </w:rPr>
        <w:t>研制合同的一个</w:t>
      </w:r>
      <w:r>
        <w:rPr>
          <w:rFonts w:ascii="楷体" w:hAnsi="楷体" w:eastAsia="楷体" w:cs="楷体"/>
          <w:sz w:val="27"/>
          <w:szCs w:val="27"/>
        </w:rPr>
        <w:t xml:space="preserve">  </w:t>
      </w:r>
      <w:r>
        <w:rPr>
          <w:rFonts w:ascii="楷体" w:hAnsi="楷体" w:eastAsia="楷体" w:cs="楷体"/>
          <w:spacing w:val="-1"/>
          <w:sz w:val="27"/>
          <w:szCs w:val="27"/>
        </w:rPr>
        <w:t>附件。按照</w:t>
      </w:r>
      <w:r>
        <w:rPr>
          <w:rFonts w:ascii="Times New Roman" w:hAnsi="Times New Roman" w:eastAsia="Times New Roman" w:cs="Times New Roman"/>
          <w:spacing w:val="-1"/>
          <w:sz w:val="27"/>
          <w:szCs w:val="27"/>
        </w:rPr>
        <w:t>GJB6387—2008</w:t>
      </w:r>
      <w:r>
        <w:rPr>
          <w:rFonts w:ascii="宋体" w:hAnsi="宋体" w:eastAsia="宋体" w:cs="宋体"/>
          <w:spacing w:val="-1"/>
          <w:sz w:val="27"/>
          <w:szCs w:val="27"/>
        </w:rPr>
        <w:t>《</w:t>
      </w:r>
      <w:r>
        <w:rPr>
          <w:rFonts w:ascii="楷体" w:hAnsi="楷体" w:eastAsia="楷体" w:cs="楷体"/>
          <w:spacing w:val="-1"/>
          <w:sz w:val="27"/>
          <w:szCs w:val="27"/>
        </w:rPr>
        <w:t>武器装备研制项目专用规范编写规定》编写，目次</w:t>
      </w:r>
      <w:r>
        <w:rPr>
          <w:rFonts w:ascii="楷体" w:hAnsi="楷体" w:eastAsia="楷体" w:cs="楷体"/>
          <w:sz w:val="27"/>
          <w:szCs w:val="27"/>
        </w:rPr>
        <w:t xml:space="preserve">  </w:t>
      </w:r>
      <w:r>
        <w:rPr>
          <w:rFonts w:ascii="楷体" w:hAnsi="楷体" w:eastAsia="楷体" w:cs="楷体"/>
          <w:spacing w:val="-3"/>
          <w:sz w:val="27"/>
          <w:szCs w:val="27"/>
        </w:rPr>
        <w:t>格式如下：</w:t>
      </w:r>
    </w:p>
    <w:p w14:paraId="5EF17000">
      <w:pPr>
        <w:spacing w:before="49" w:line="228" w:lineRule="auto"/>
        <w:ind w:left="550"/>
        <w:rPr>
          <w:rFonts w:ascii="楷体" w:hAnsi="楷体" w:eastAsia="楷体" w:cs="楷体"/>
          <w:sz w:val="24"/>
          <w:szCs w:val="24"/>
        </w:rPr>
      </w:pPr>
      <w:r>
        <w:rPr>
          <w:rFonts w:ascii="Times New Roman" w:hAnsi="Times New Roman" w:eastAsia="Times New Roman" w:cs="Times New Roman"/>
          <w:spacing w:val="-18"/>
          <w:sz w:val="24"/>
          <w:szCs w:val="24"/>
        </w:rPr>
        <w:t>1</w:t>
      </w:r>
      <w:r>
        <w:rPr>
          <w:rFonts w:ascii="Times New Roman" w:hAnsi="Times New Roman" w:eastAsia="Times New Roman" w:cs="Times New Roman"/>
          <w:spacing w:val="6"/>
          <w:sz w:val="24"/>
          <w:szCs w:val="24"/>
        </w:rPr>
        <w:t xml:space="preserve">   </w:t>
      </w:r>
      <w:r>
        <w:rPr>
          <w:rFonts w:ascii="楷体" w:hAnsi="楷体" w:eastAsia="楷体" w:cs="楷体"/>
          <w:spacing w:val="-18"/>
          <w:sz w:val="24"/>
          <w:szCs w:val="24"/>
        </w:rPr>
        <w:t>范</w:t>
      </w:r>
      <w:r>
        <w:rPr>
          <w:rFonts w:ascii="楷体" w:hAnsi="楷体" w:eastAsia="楷体" w:cs="楷体"/>
          <w:spacing w:val="-17"/>
          <w:sz w:val="24"/>
          <w:szCs w:val="24"/>
        </w:rPr>
        <w:t xml:space="preserve"> </w:t>
      </w:r>
      <w:r>
        <w:rPr>
          <w:rFonts w:ascii="楷体" w:hAnsi="楷体" w:eastAsia="楷体" w:cs="楷体"/>
          <w:spacing w:val="-18"/>
          <w:sz w:val="24"/>
          <w:szCs w:val="24"/>
        </w:rPr>
        <w:t>围</w:t>
      </w:r>
    </w:p>
    <w:p w14:paraId="393897C6">
      <w:pPr>
        <w:spacing w:line="228" w:lineRule="auto"/>
        <w:rPr>
          <w:rFonts w:ascii="楷体" w:hAnsi="楷体" w:eastAsia="楷体" w:cs="楷体"/>
          <w:sz w:val="24"/>
          <w:szCs w:val="24"/>
        </w:rPr>
        <w:sectPr>
          <w:footerReference r:id="rId58" w:type="default"/>
          <w:pgSz w:w="11910" w:h="17130"/>
          <w:pgMar w:top="400" w:right="1265" w:bottom="1583" w:left="1150" w:header="0" w:footer="1385" w:gutter="0"/>
          <w:cols w:space="720" w:num="1"/>
        </w:sectPr>
      </w:pPr>
    </w:p>
    <w:p w14:paraId="57A5F520">
      <w:pPr>
        <w:pStyle w:val="2"/>
        <w:spacing w:line="278" w:lineRule="auto"/>
      </w:pPr>
    </w:p>
    <w:p w14:paraId="491EB919">
      <w:pPr>
        <w:pStyle w:val="2"/>
        <w:spacing w:line="279" w:lineRule="auto"/>
      </w:pPr>
    </w:p>
    <w:p w14:paraId="1F6006F7">
      <w:pPr>
        <w:pStyle w:val="2"/>
        <w:spacing w:line="279" w:lineRule="auto"/>
      </w:pPr>
    </w:p>
    <w:p w14:paraId="56777C0A">
      <w:pPr>
        <w:pStyle w:val="2"/>
        <w:spacing w:line="279" w:lineRule="auto"/>
      </w:pPr>
    </w:p>
    <w:p w14:paraId="23D0A568">
      <w:pPr>
        <w:spacing w:before="78" w:line="227" w:lineRule="auto"/>
        <w:ind w:left="519"/>
        <w:rPr>
          <w:rFonts w:ascii="楷体" w:hAnsi="楷体" w:eastAsia="楷体" w:cs="楷体"/>
          <w:sz w:val="24"/>
          <w:szCs w:val="24"/>
        </w:rPr>
      </w:pPr>
      <w:r>
        <w:rPr>
          <w:rFonts w:ascii="Times New Roman" w:hAnsi="Times New Roman" w:eastAsia="Times New Roman" w:cs="Times New Roman"/>
          <w:spacing w:val="23"/>
          <w:sz w:val="24"/>
          <w:szCs w:val="24"/>
        </w:rPr>
        <w:t>2</w:t>
      </w:r>
      <w:r>
        <w:rPr>
          <w:rFonts w:ascii="Times New Roman" w:hAnsi="Times New Roman" w:eastAsia="Times New Roman" w:cs="Times New Roman"/>
          <w:spacing w:val="22"/>
          <w:sz w:val="24"/>
          <w:szCs w:val="24"/>
        </w:rPr>
        <w:t xml:space="preserve">  </w:t>
      </w:r>
      <w:r>
        <w:rPr>
          <w:rFonts w:ascii="楷体" w:hAnsi="楷体" w:eastAsia="楷体" w:cs="楷体"/>
          <w:spacing w:val="23"/>
          <w:sz w:val="24"/>
          <w:szCs w:val="24"/>
        </w:rPr>
        <w:t>引用文件</w:t>
      </w:r>
    </w:p>
    <w:p w14:paraId="18B38778">
      <w:pPr>
        <w:spacing w:before="105" w:line="228" w:lineRule="auto"/>
        <w:ind w:left="519"/>
        <w:rPr>
          <w:rFonts w:ascii="楷体" w:hAnsi="楷体" w:eastAsia="楷体" w:cs="楷体"/>
          <w:sz w:val="24"/>
          <w:szCs w:val="24"/>
        </w:rPr>
      </w:pPr>
      <w:r>
        <w:rPr>
          <w:rFonts w:ascii="楷体" w:hAnsi="楷体" w:eastAsia="楷体" w:cs="楷体"/>
          <w:spacing w:val="-7"/>
          <w:sz w:val="24"/>
          <w:szCs w:val="24"/>
        </w:rPr>
        <w:t>3</w:t>
      </w:r>
      <w:r>
        <w:rPr>
          <w:rFonts w:ascii="楷体" w:hAnsi="楷体" w:eastAsia="楷体" w:cs="楷体"/>
          <w:spacing w:val="49"/>
          <w:sz w:val="24"/>
          <w:szCs w:val="24"/>
        </w:rPr>
        <w:t xml:space="preserve"> </w:t>
      </w:r>
      <w:r>
        <w:rPr>
          <w:rFonts w:ascii="楷体" w:hAnsi="楷体" w:eastAsia="楷体" w:cs="楷体"/>
          <w:spacing w:val="-7"/>
          <w:sz w:val="24"/>
          <w:szCs w:val="24"/>
        </w:rPr>
        <w:t>要</w:t>
      </w:r>
      <w:r>
        <w:rPr>
          <w:rFonts w:ascii="楷体" w:hAnsi="楷体" w:eastAsia="楷体" w:cs="楷体"/>
          <w:spacing w:val="-24"/>
          <w:sz w:val="24"/>
          <w:szCs w:val="24"/>
        </w:rPr>
        <w:t xml:space="preserve"> </w:t>
      </w:r>
      <w:r>
        <w:rPr>
          <w:rFonts w:ascii="楷体" w:hAnsi="楷体" w:eastAsia="楷体" w:cs="楷体"/>
          <w:spacing w:val="-7"/>
          <w:sz w:val="24"/>
          <w:szCs w:val="24"/>
        </w:rPr>
        <w:t>求</w:t>
      </w:r>
    </w:p>
    <w:p w14:paraId="1E99B46F">
      <w:pPr>
        <w:spacing w:before="114" w:line="237" w:lineRule="auto"/>
        <w:ind w:left="519"/>
        <w:rPr>
          <w:rFonts w:ascii="楷体" w:hAnsi="楷体" w:eastAsia="楷体" w:cs="楷体"/>
          <w:sz w:val="24"/>
          <w:szCs w:val="24"/>
        </w:rPr>
      </w:pPr>
      <w:r>
        <w:rPr>
          <w:rFonts w:ascii="楷体" w:hAnsi="楷体" w:eastAsia="楷体" w:cs="楷体"/>
          <w:spacing w:val="-5"/>
          <w:sz w:val="24"/>
          <w:szCs w:val="24"/>
        </w:rPr>
        <w:t>4</w:t>
      </w:r>
      <w:r>
        <w:rPr>
          <w:rFonts w:ascii="楷体" w:hAnsi="楷体" w:eastAsia="楷体" w:cs="楷体"/>
          <w:spacing w:val="-28"/>
          <w:sz w:val="24"/>
          <w:szCs w:val="24"/>
        </w:rPr>
        <w:t xml:space="preserve"> </w:t>
      </w:r>
      <w:r>
        <w:rPr>
          <w:rFonts w:ascii="楷体" w:hAnsi="楷体" w:eastAsia="楷体" w:cs="楷体"/>
          <w:spacing w:val="-5"/>
          <w:sz w:val="24"/>
          <w:szCs w:val="24"/>
        </w:rPr>
        <w:t>验</w:t>
      </w:r>
      <w:r>
        <w:rPr>
          <w:rFonts w:ascii="楷体" w:hAnsi="楷体" w:eastAsia="楷体" w:cs="楷体"/>
          <w:spacing w:val="-31"/>
          <w:sz w:val="24"/>
          <w:szCs w:val="24"/>
        </w:rPr>
        <w:t xml:space="preserve"> </w:t>
      </w:r>
      <w:r>
        <w:rPr>
          <w:rFonts w:ascii="楷体" w:hAnsi="楷体" w:eastAsia="楷体" w:cs="楷体"/>
          <w:spacing w:val="-5"/>
          <w:sz w:val="24"/>
          <w:szCs w:val="24"/>
        </w:rPr>
        <w:t>证</w:t>
      </w:r>
    </w:p>
    <w:p w14:paraId="6052BB95">
      <w:pPr>
        <w:spacing w:before="109" w:line="227" w:lineRule="auto"/>
        <w:ind w:left="519"/>
        <w:rPr>
          <w:rFonts w:ascii="楷体" w:hAnsi="楷体" w:eastAsia="楷体" w:cs="楷体"/>
          <w:sz w:val="27"/>
          <w:szCs w:val="27"/>
        </w:rPr>
      </w:pPr>
      <w:r>
        <w:rPr>
          <w:rFonts w:ascii="楷体" w:hAnsi="楷体" w:eastAsia="楷体" w:cs="楷体"/>
          <w:spacing w:val="-1"/>
          <w:sz w:val="27"/>
          <w:szCs w:val="27"/>
        </w:rPr>
        <w:t>5包装、运输与贮存</w:t>
      </w:r>
    </w:p>
    <w:p w14:paraId="22D8251A">
      <w:pPr>
        <w:spacing w:before="75" w:line="224" w:lineRule="auto"/>
        <w:ind w:left="519"/>
        <w:rPr>
          <w:rFonts w:ascii="楷体" w:hAnsi="楷体" w:eastAsia="楷体" w:cs="楷体"/>
          <w:sz w:val="27"/>
          <w:szCs w:val="27"/>
        </w:rPr>
      </w:pPr>
      <w:r>
        <w:rPr>
          <w:rFonts w:ascii="Times New Roman" w:hAnsi="Times New Roman" w:eastAsia="Times New Roman" w:cs="Times New Roman"/>
          <w:sz w:val="27"/>
          <w:szCs w:val="27"/>
        </w:rPr>
        <w:t>6</w:t>
      </w:r>
      <w:r>
        <w:rPr>
          <w:rFonts w:ascii="Times New Roman" w:hAnsi="Times New Roman" w:eastAsia="Times New Roman" w:cs="Times New Roman"/>
          <w:spacing w:val="12"/>
          <w:sz w:val="27"/>
          <w:szCs w:val="27"/>
        </w:rPr>
        <w:t xml:space="preserve">  </w:t>
      </w:r>
      <w:r>
        <w:rPr>
          <w:rFonts w:ascii="楷体" w:hAnsi="楷体" w:eastAsia="楷体" w:cs="楷体"/>
          <w:sz w:val="27"/>
          <w:szCs w:val="27"/>
        </w:rPr>
        <w:t>说明事项</w:t>
      </w:r>
    </w:p>
    <w:p w14:paraId="01686B98">
      <w:pPr>
        <w:spacing w:before="49" w:line="284" w:lineRule="auto"/>
        <w:ind w:right="69" w:firstLine="590"/>
        <w:rPr>
          <w:rFonts w:ascii="楷体" w:hAnsi="楷体" w:eastAsia="楷体" w:cs="楷体"/>
          <w:sz w:val="27"/>
          <w:szCs w:val="27"/>
        </w:rPr>
      </w:pPr>
      <w:r>
        <w:rPr>
          <w:rFonts w:ascii="楷体" w:hAnsi="楷体" w:eastAsia="楷体" w:cs="楷体"/>
          <w:spacing w:val="-8"/>
          <w:sz w:val="27"/>
          <w:szCs w:val="27"/>
        </w:rPr>
        <w:t>系统规范、研制规范、产品规范、工艺规范、材料规范的编写在</w:t>
      </w:r>
      <w:r>
        <w:rPr>
          <w:rFonts w:ascii="楷体" w:hAnsi="楷体" w:eastAsia="楷体" w:cs="楷体"/>
          <w:spacing w:val="-76"/>
          <w:sz w:val="27"/>
          <w:szCs w:val="27"/>
        </w:rPr>
        <w:t xml:space="preserve"> </w:t>
      </w:r>
      <w:r>
        <w:rPr>
          <w:rFonts w:ascii="Times New Roman" w:hAnsi="Times New Roman" w:eastAsia="Times New Roman" w:cs="Times New Roman"/>
          <w:spacing w:val="-8"/>
          <w:sz w:val="27"/>
          <w:szCs w:val="27"/>
        </w:rPr>
        <w:t>GJB6387—</w:t>
      </w:r>
      <w:r>
        <w:rPr>
          <w:rFonts w:ascii="Times New Roman" w:hAnsi="Times New Roman" w:eastAsia="Times New Roman" w:cs="Times New Roman"/>
          <w:sz w:val="27"/>
          <w:szCs w:val="27"/>
        </w:rPr>
        <w:t xml:space="preserve">   </w:t>
      </w:r>
      <w:r>
        <w:rPr>
          <w:rFonts w:ascii="楷体" w:hAnsi="楷体" w:eastAsia="楷体" w:cs="楷体"/>
          <w:spacing w:val="4"/>
          <w:sz w:val="27"/>
          <w:szCs w:val="27"/>
        </w:rPr>
        <w:t>2008中有详细的说明，亦可见本书1.12,1.13,1.29,3.2,3.3。对于软</w:t>
      </w:r>
      <w:r>
        <w:rPr>
          <w:rFonts w:ascii="楷体" w:hAnsi="楷体" w:eastAsia="楷体" w:cs="楷体"/>
          <w:spacing w:val="3"/>
          <w:sz w:val="27"/>
          <w:szCs w:val="27"/>
        </w:rPr>
        <w:t>件研制项</w:t>
      </w:r>
      <w:r>
        <w:rPr>
          <w:rFonts w:ascii="楷体" w:hAnsi="楷体" w:eastAsia="楷体" w:cs="楷体"/>
          <w:sz w:val="27"/>
          <w:szCs w:val="27"/>
        </w:rPr>
        <w:t xml:space="preserve"> </w:t>
      </w:r>
      <w:r>
        <w:rPr>
          <w:rFonts w:ascii="楷体" w:hAnsi="楷体" w:eastAsia="楷体" w:cs="楷体"/>
          <w:spacing w:val="-3"/>
          <w:sz w:val="27"/>
          <w:szCs w:val="27"/>
        </w:rPr>
        <w:t>目，属系统规范范畴的系统规格说明、属研</w:t>
      </w:r>
      <w:r>
        <w:rPr>
          <w:rFonts w:ascii="楷体" w:hAnsi="楷体" w:eastAsia="楷体" w:cs="楷体"/>
          <w:spacing w:val="-4"/>
          <w:sz w:val="27"/>
          <w:szCs w:val="27"/>
        </w:rPr>
        <w:t>制规范范畴的软件需求规格说明、属</w:t>
      </w:r>
      <w:r>
        <w:rPr>
          <w:rFonts w:ascii="楷体" w:hAnsi="楷体" w:eastAsia="楷体" w:cs="楷体"/>
          <w:sz w:val="27"/>
          <w:szCs w:val="27"/>
        </w:rPr>
        <w:t xml:space="preserve"> </w:t>
      </w:r>
      <w:r>
        <w:rPr>
          <w:rFonts w:ascii="楷体" w:hAnsi="楷体" w:eastAsia="楷体" w:cs="楷体"/>
          <w:spacing w:val="-3"/>
          <w:sz w:val="27"/>
          <w:szCs w:val="27"/>
        </w:rPr>
        <w:t>产品规范范畴的软件产品规格说明，</w:t>
      </w:r>
      <w:r>
        <w:rPr>
          <w:rFonts w:ascii="楷体" w:hAnsi="楷体" w:eastAsia="楷体" w:cs="楷体"/>
          <w:b/>
          <w:bCs/>
          <w:color w:val="706060"/>
          <w:spacing w:val="-3"/>
          <w:sz w:val="27"/>
          <w:szCs w:val="27"/>
        </w:rPr>
        <w:t>在</w:t>
      </w:r>
      <w:r>
        <w:rPr>
          <w:rFonts w:ascii="楷体" w:hAnsi="楷体" w:eastAsia="楷体" w:cs="楷体"/>
          <w:color w:val="706060"/>
          <w:spacing w:val="-52"/>
          <w:sz w:val="27"/>
          <w:szCs w:val="27"/>
        </w:rPr>
        <w:t xml:space="preserve"> </w:t>
      </w:r>
      <w:r>
        <w:rPr>
          <w:rFonts w:ascii="Times New Roman" w:hAnsi="Times New Roman" w:eastAsia="Times New Roman" w:cs="Times New Roman"/>
          <w:b/>
          <w:bCs/>
          <w:color w:val="706060"/>
          <w:spacing w:val="-3"/>
          <w:sz w:val="27"/>
          <w:szCs w:val="27"/>
        </w:rPr>
        <w:t>GJB6387—2008</w:t>
      </w:r>
      <w:r>
        <w:rPr>
          <w:rFonts w:ascii="Times New Roman" w:hAnsi="Times New Roman" w:eastAsia="Times New Roman" w:cs="Times New Roman"/>
          <w:b/>
          <w:bCs/>
          <w:color w:val="706060"/>
          <w:spacing w:val="27"/>
          <w:w w:val="101"/>
          <w:sz w:val="27"/>
          <w:szCs w:val="27"/>
        </w:rPr>
        <w:t xml:space="preserve">  </w:t>
      </w:r>
      <w:r>
        <w:rPr>
          <w:rFonts w:ascii="楷体" w:hAnsi="楷体" w:eastAsia="楷体" w:cs="楷体"/>
          <w:b/>
          <w:bCs/>
          <w:color w:val="706060"/>
          <w:spacing w:val="-3"/>
          <w:sz w:val="27"/>
          <w:szCs w:val="27"/>
        </w:rPr>
        <w:t>和</w:t>
      </w:r>
      <w:r>
        <w:rPr>
          <w:rFonts w:ascii="楷体" w:hAnsi="楷体" w:eastAsia="楷体" w:cs="楷体"/>
          <w:color w:val="706060"/>
          <w:spacing w:val="-51"/>
          <w:sz w:val="27"/>
          <w:szCs w:val="27"/>
        </w:rPr>
        <w:t xml:space="preserve"> </w:t>
      </w:r>
      <w:r>
        <w:rPr>
          <w:rFonts w:ascii="Times New Roman" w:hAnsi="Times New Roman" w:eastAsia="Times New Roman" w:cs="Times New Roman"/>
          <w:b/>
          <w:bCs/>
          <w:color w:val="706060"/>
          <w:spacing w:val="-3"/>
          <w:sz w:val="27"/>
          <w:szCs w:val="27"/>
        </w:rPr>
        <w:t>GJB</w:t>
      </w:r>
      <w:r>
        <w:rPr>
          <w:rFonts w:ascii="Times New Roman" w:hAnsi="Times New Roman" w:eastAsia="Times New Roman" w:cs="Times New Roman"/>
          <w:b/>
          <w:bCs/>
          <w:color w:val="706060"/>
          <w:spacing w:val="51"/>
          <w:sz w:val="27"/>
          <w:szCs w:val="27"/>
        </w:rPr>
        <w:t xml:space="preserve"> </w:t>
      </w:r>
      <w:r>
        <w:rPr>
          <w:rFonts w:ascii="Times New Roman" w:hAnsi="Times New Roman" w:eastAsia="Times New Roman" w:cs="Times New Roman"/>
          <w:b/>
          <w:bCs/>
          <w:color w:val="706060"/>
          <w:spacing w:val="-3"/>
          <w:sz w:val="27"/>
          <w:szCs w:val="27"/>
        </w:rPr>
        <w:t>438B—2009</w:t>
      </w:r>
      <w:r>
        <w:rPr>
          <w:rFonts w:ascii="楷体" w:hAnsi="楷体" w:eastAsia="楷体" w:cs="楷体"/>
          <w:b/>
          <w:bCs/>
          <w:color w:val="706060"/>
          <w:spacing w:val="-3"/>
          <w:sz w:val="27"/>
          <w:szCs w:val="27"/>
        </w:rPr>
        <w:t>中</w:t>
      </w:r>
      <w:r>
        <w:rPr>
          <w:rFonts w:ascii="楷体" w:hAnsi="楷体" w:eastAsia="楷体" w:cs="楷体"/>
          <w:color w:val="706060"/>
          <w:sz w:val="27"/>
          <w:szCs w:val="27"/>
        </w:rPr>
        <w:t xml:space="preserve"> </w:t>
      </w:r>
      <w:r>
        <w:rPr>
          <w:rFonts w:ascii="楷体" w:hAnsi="楷体" w:eastAsia="楷体" w:cs="楷体"/>
          <w:spacing w:val="1"/>
          <w:sz w:val="27"/>
          <w:szCs w:val="27"/>
        </w:rPr>
        <w:t>有详细的编写说明，亦可见本书2.2,2.13,2.18。</w:t>
      </w:r>
    </w:p>
    <w:p w14:paraId="79D3B424">
      <w:pPr>
        <w:pStyle w:val="2"/>
        <w:spacing w:line="270" w:lineRule="auto"/>
      </w:pPr>
    </w:p>
    <w:p w14:paraId="55716FB8">
      <w:pPr>
        <w:spacing w:before="118" w:line="219" w:lineRule="auto"/>
        <w:ind w:left="2490"/>
        <w:outlineLvl w:val="1"/>
        <w:rPr>
          <w:rFonts w:ascii="宋体" w:hAnsi="宋体" w:eastAsia="宋体" w:cs="宋体"/>
          <w:sz w:val="36"/>
          <w:szCs w:val="36"/>
        </w:rPr>
      </w:pPr>
      <w:bookmarkStart w:id="26" w:name="bookmark14"/>
      <w:bookmarkEnd w:id="26"/>
      <w:r>
        <w:rPr>
          <w:rFonts w:ascii="宋体" w:hAnsi="宋体" w:eastAsia="宋体" w:cs="宋体"/>
          <w:spacing w:val="5"/>
          <w:sz w:val="36"/>
          <w:szCs w:val="36"/>
        </w:rPr>
        <w:t xml:space="preserve">1.12  </w:t>
      </w:r>
      <w:r>
        <w:rPr>
          <w:rFonts w:ascii="宋体" w:hAnsi="宋体" w:eastAsia="宋体" w:cs="宋体"/>
          <w:b/>
          <w:bCs/>
          <w:spacing w:val="5"/>
          <w:sz w:val="36"/>
          <w:szCs w:val="36"/>
        </w:rPr>
        <w:t>系统规范(</w:t>
      </w:r>
      <w:r>
        <w:rPr>
          <w:rFonts w:ascii="Times New Roman" w:hAnsi="Times New Roman" w:eastAsia="Times New Roman" w:cs="Times New Roman"/>
          <w:b/>
          <w:bCs/>
          <w:spacing w:val="5"/>
          <w:sz w:val="36"/>
          <w:szCs w:val="36"/>
        </w:rPr>
        <w:t xml:space="preserve">A </w:t>
      </w:r>
      <w:r>
        <w:rPr>
          <w:rFonts w:ascii="宋体" w:hAnsi="宋体" w:eastAsia="宋体" w:cs="宋体"/>
          <w:b/>
          <w:bCs/>
          <w:spacing w:val="5"/>
          <w:sz w:val="36"/>
          <w:szCs w:val="36"/>
        </w:rPr>
        <w:t>类规范)</w:t>
      </w:r>
    </w:p>
    <w:p w14:paraId="7EFB3E1A">
      <w:pPr>
        <w:pStyle w:val="2"/>
        <w:spacing w:line="357" w:lineRule="auto"/>
      </w:pPr>
    </w:p>
    <w:p w14:paraId="498C67CB">
      <w:pPr>
        <w:spacing w:before="78" w:line="327" w:lineRule="auto"/>
        <w:ind w:right="76" w:firstLine="590"/>
        <w:rPr>
          <w:rFonts w:ascii="楷体" w:hAnsi="楷体" w:eastAsia="楷体" w:cs="楷体"/>
          <w:sz w:val="24"/>
          <w:szCs w:val="24"/>
        </w:rPr>
      </w:pPr>
      <w:r>
        <w:rPr>
          <w:rFonts w:ascii="楷体" w:hAnsi="楷体" w:eastAsia="楷体" w:cs="楷体"/>
          <w:spacing w:val="21"/>
          <w:sz w:val="24"/>
          <w:szCs w:val="24"/>
        </w:rPr>
        <w:t>系统规范(</w:t>
      </w:r>
      <w:r>
        <w:rPr>
          <w:rFonts w:ascii="楷体" w:hAnsi="楷体" w:eastAsia="楷体" w:cs="楷体"/>
          <w:spacing w:val="-49"/>
          <w:sz w:val="24"/>
          <w:szCs w:val="24"/>
        </w:rPr>
        <w:t xml:space="preserve"> </w:t>
      </w:r>
      <w:r>
        <w:rPr>
          <w:rFonts w:ascii="Times New Roman" w:hAnsi="Times New Roman" w:eastAsia="Times New Roman" w:cs="Times New Roman"/>
          <w:spacing w:val="21"/>
          <w:sz w:val="24"/>
          <w:szCs w:val="24"/>
        </w:rPr>
        <w:t>A</w:t>
      </w:r>
      <w:r>
        <w:rPr>
          <w:rFonts w:ascii="Times New Roman" w:hAnsi="Times New Roman" w:eastAsia="Times New Roman" w:cs="Times New Roman"/>
          <w:spacing w:val="59"/>
          <w:sz w:val="24"/>
          <w:szCs w:val="24"/>
        </w:rPr>
        <w:t xml:space="preserve"> </w:t>
      </w:r>
      <w:r>
        <w:rPr>
          <w:rFonts w:ascii="楷体" w:hAnsi="楷体" w:eastAsia="楷体" w:cs="楷体"/>
          <w:spacing w:val="21"/>
          <w:sz w:val="24"/>
          <w:szCs w:val="24"/>
        </w:rPr>
        <w:t>类规范)按照</w:t>
      </w:r>
      <w:r>
        <w:rPr>
          <w:rFonts w:ascii="Times New Roman" w:hAnsi="Times New Roman" w:eastAsia="Times New Roman" w:cs="Times New Roman"/>
          <w:sz w:val="24"/>
          <w:szCs w:val="24"/>
        </w:rPr>
        <w:t>GJB</w:t>
      </w:r>
      <w:r>
        <w:rPr>
          <w:rFonts w:ascii="Times New Roman" w:hAnsi="Times New Roman" w:eastAsia="Times New Roman" w:cs="Times New Roman"/>
          <w:spacing w:val="21"/>
          <w:sz w:val="24"/>
          <w:szCs w:val="24"/>
        </w:rPr>
        <w:t>6387—2008</w:t>
      </w:r>
      <w:r>
        <w:rPr>
          <w:rFonts w:ascii="宋体" w:hAnsi="宋体" w:eastAsia="宋体" w:cs="宋体"/>
          <w:spacing w:val="21"/>
          <w:sz w:val="24"/>
          <w:szCs w:val="24"/>
        </w:rPr>
        <w:t xml:space="preserve">《  </w:t>
      </w:r>
      <w:r>
        <w:rPr>
          <w:rFonts w:ascii="楷体" w:hAnsi="楷体" w:eastAsia="楷体" w:cs="楷体"/>
          <w:spacing w:val="21"/>
          <w:sz w:val="24"/>
          <w:szCs w:val="24"/>
        </w:rPr>
        <w:t>武器装备研制项目专用规范编</w:t>
      </w:r>
      <w:r>
        <w:rPr>
          <w:rFonts w:ascii="楷体" w:hAnsi="楷体" w:eastAsia="楷体" w:cs="楷体"/>
          <w:sz w:val="24"/>
          <w:szCs w:val="24"/>
        </w:rPr>
        <w:t xml:space="preserve"> </w:t>
      </w:r>
      <w:r>
        <w:rPr>
          <w:rFonts w:ascii="楷体" w:hAnsi="楷体" w:eastAsia="楷体" w:cs="楷体"/>
          <w:spacing w:val="7"/>
          <w:sz w:val="24"/>
          <w:szCs w:val="24"/>
        </w:rPr>
        <w:t>写规定》编写。</w:t>
      </w:r>
    </w:p>
    <w:p w14:paraId="1C800930">
      <w:pPr>
        <w:spacing w:before="4" w:line="284" w:lineRule="auto"/>
        <w:ind w:right="67" w:firstLine="590"/>
        <w:jc w:val="both"/>
        <w:rPr>
          <w:rFonts w:ascii="楷体" w:hAnsi="楷体" w:eastAsia="楷体" w:cs="楷体"/>
          <w:sz w:val="27"/>
          <w:szCs w:val="27"/>
        </w:rPr>
      </w:pPr>
      <w:r>
        <w:rPr>
          <w:rFonts w:ascii="楷体" w:hAnsi="楷体" w:eastAsia="楷体" w:cs="楷体"/>
          <w:spacing w:val="-4"/>
          <w:sz w:val="27"/>
          <w:szCs w:val="27"/>
        </w:rPr>
        <w:t>系统规范描述系统的功能特性、接口要求和验证要求等；属系统规范范</w:t>
      </w:r>
      <w:r>
        <w:rPr>
          <w:rFonts w:ascii="楷体" w:hAnsi="楷体" w:eastAsia="楷体" w:cs="楷体"/>
          <w:spacing w:val="-5"/>
          <w:sz w:val="27"/>
          <w:szCs w:val="27"/>
        </w:rPr>
        <w:t>畴的</w:t>
      </w:r>
      <w:r>
        <w:rPr>
          <w:rFonts w:ascii="楷体" w:hAnsi="楷体" w:eastAsia="楷体" w:cs="楷体"/>
          <w:sz w:val="27"/>
          <w:szCs w:val="27"/>
        </w:rPr>
        <w:t xml:space="preserve"> </w:t>
      </w:r>
      <w:r>
        <w:rPr>
          <w:rFonts w:ascii="楷体" w:hAnsi="楷体" w:eastAsia="楷体" w:cs="楷体"/>
          <w:spacing w:val="5"/>
          <w:sz w:val="27"/>
          <w:szCs w:val="27"/>
        </w:rPr>
        <w:t>软件规范(系统规格说明)描述软件系统的需求及合格性</w:t>
      </w:r>
      <w:r>
        <w:rPr>
          <w:rFonts w:ascii="楷体" w:hAnsi="楷体" w:eastAsia="楷体" w:cs="楷体"/>
          <w:spacing w:val="4"/>
          <w:sz w:val="27"/>
          <w:szCs w:val="27"/>
        </w:rPr>
        <w:t>规定等。它们需与其装</w:t>
      </w:r>
      <w:r>
        <w:rPr>
          <w:rFonts w:ascii="楷体" w:hAnsi="楷体" w:eastAsia="楷体" w:cs="楷体"/>
          <w:sz w:val="27"/>
          <w:szCs w:val="27"/>
        </w:rPr>
        <w:t xml:space="preserve"> </w:t>
      </w:r>
      <w:r>
        <w:rPr>
          <w:rFonts w:ascii="楷体" w:hAnsi="楷体" w:eastAsia="楷体" w:cs="楷体"/>
          <w:spacing w:val="-3"/>
          <w:sz w:val="27"/>
          <w:szCs w:val="27"/>
        </w:rPr>
        <w:t>备研制项目的“主要作战使用性能”的技术内容协调一致。系统规范一般从论证</w:t>
      </w:r>
      <w:r>
        <w:rPr>
          <w:rFonts w:ascii="楷体" w:hAnsi="楷体" w:eastAsia="楷体" w:cs="楷体"/>
          <w:spacing w:val="5"/>
          <w:sz w:val="27"/>
          <w:szCs w:val="27"/>
        </w:rPr>
        <w:t xml:space="preserve"> </w:t>
      </w:r>
      <w:r>
        <w:rPr>
          <w:rFonts w:ascii="楷体" w:hAnsi="楷体" w:eastAsia="楷体" w:cs="楷体"/>
          <w:color w:val="504050"/>
          <w:spacing w:val="-3"/>
          <w:sz w:val="27"/>
          <w:szCs w:val="27"/>
        </w:rPr>
        <w:t>阶段开始编制，</w:t>
      </w:r>
      <w:r>
        <w:rPr>
          <w:rFonts w:ascii="楷体" w:hAnsi="楷体" w:eastAsia="楷体" w:cs="楷体"/>
          <w:spacing w:val="-3"/>
          <w:sz w:val="27"/>
          <w:szCs w:val="27"/>
        </w:rPr>
        <w:t>随着研制工作的进展逐步完善，到方案阶段结束前批准定稿</w:t>
      </w:r>
      <w:r>
        <w:rPr>
          <w:rFonts w:ascii="楷体" w:hAnsi="楷体" w:eastAsia="楷体" w:cs="楷体"/>
          <w:spacing w:val="-4"/>
          <w:sz w:val="27"/>
          <w:szCs w:val="27"/>
        </w:rPr>
        <w:t>。批</w:t>
      </w:r>
      <w:r>
        <w:rPr>
          <w:rFonts w:ascii="楷体" w:hAnsi="楷体" w:eastAsia="楷体" w:cs="楷体"/>
          <w:sz w:val="27"/>
          <w:szCs w:val="27"/>
        </w:rPr>
        <w:t xml:space="preserve"> </w:t>
      </w:r>
      <w:r>
        <w:rPr>
          <w:rFonts w:ascii="楷体" w:hAnsi="楷体" w:eastAsia="楷体" w:cs="楷体"/>
          <w:spacing w:val="-3"/>
          <w:sz w:val="27"/>
          <w:szCs w:val="27"/>
        </w:rPr>
        <w:t>准的系统规范体现武器装备研制项目的功能基线，是技术状态控制的依据，未经</w:t>
      </w:r>
      <w:r>
        <w:rPr>
          <w:rFonts w:ascii="楷体" w:hAnsi="楷体" w:eastAsia="楷体" w:cs="楷体"/>
          <w:spacing w:val="10"/>
          <w:sz w:val="27"/>
          <w:szCs w:val="27"/>
        </w:rPr>
        <w:t xml:space="preserve"> </w:t>
      </w:r>
      <w:r>
        <w:rPr>
          <w:rFonts w:ascii="楷体" w:hAnsi="楷体" w:eastAsia="楷体" w:cs="楷体"/>
          <w:spacing w:val="-8"/>
          <w:sz w:val="27"/>
          <w:szCs w:val="27"/>
        </w:rPr>
        <w:t>原批准机关批准，不得更改。</w:t>
      </w:r>
    </w:p>
    <w:p w14:paraId="6FBD1067">
      <w:pPr>
        <w:spacing w:before="1" w:line="272" w:lineRule="auto"/>
        <w:ind w:right="82" w:firstLine="519"/>
        <w:jc w:val="both"/>
        <w:rPr>
          <w:rFonts w:ascii="楷体" w:hAnsi="楷体" w:eastAsia="楷体" w:cs="楷体"/>
          <w:sz w:val="28"/>
          <w:szCs w:val="28"/>
        </w:rPr>
      </w:pPr>
      <w:r>
        <w:rPr>
          <w:rFonts w:ascii="楷体" w:hAnsi="楷体" w:eastAsia="楷体" w:cs="楷体"/>
          <w:spacing w:val="-5"/>
          <w:sz w:val="28"/>
          <w:szCs w:val="28"/>
        </w:rPr>
        <w:t>在</w:t>
      </w:r>
      <w:r>
        <w:rPr>
          <w:rFonts w:ascii="Times New Roman" w:hAnsi="Times New Roman" w:eastAsia="Times New Roman" w:cs="Times New Roman"/>
          <w:spacing w:val="-5"/>
          <w:sz w:val="28"/>
          <w:szCs w:val="28"/>
        </w:rPr>
        <w:t xml:space="preserve">GJB6387—2008  </w:t>
      </w:r>
      <w:r>
        <w:rPr>
          <w:rFonts w:ascii="楷体" w:hAnsi="楷体" w:eastAsia="楷体" w:cs="楷体"/>
          <w:spacing w:val="-5"/>
          <w:sz w:val="28"/>
          <w:szCs w:val="28"/>
        </w:rPr>
        <w:t>中，系统规范、研制规范和</w:t>
      </w:r>
      <w:r>
        <w:rPr>
          <w:rFonts w:ascii="楷体" w:hAnsi="楷体" w:eastAsia="楷体" w:cs="楷体"/>
          <w:spacing w:val="-6"/>
          <w:sz w:val="28"/>
          <w:szCs w:val="28"/>
        </w:rPr>
        <w:t>产品规范的编写说明是一样</w:t>
      </w:r>
      <w:r>
        <w:rPr>
          <w:rFonts w:ascii="楷体" w:hAnsi="楷体" w:eastAsia="楷体" w:cs="楷体"/>
          <w:sz w:val="28"/>
          <w:szCs w:val="28"/>
        </w:rPr>
        <w:t xml:space="preserve"> </w:t>
      </w:r>
      <w:r>
        <w:rPr>
          <w:rFonts w:ascii="楷体" w:hAnsi="楷体" w:eastAsia="楷体" w:cs="楷体"/>
          <w:spacing w:val="-14"/>
          <w:sz w:val="28"/>
          <w:szCs w:val="28"/>
        </w:rPr>
        <w:t>的，详见本书1.29《产品规范(</w:t>
      </w:r>
      <w:r>
        <w:rPr>
          <w:rFonts w:ascii="楷体" w:hAnsi="楷体" w:eastAsia="楷体" w:cs="楷体"/>
          <w:spacing w:val="-58"/>
          <w:sz w:val="28"/>
          <w:szCs w:val="28"/>
        </w:rPr>
        <w:t xml:space="preserve"> </w:t>
      </w:r>
      <w:r>
        <w:rPr>
          <w:rFonts w:ascii="Times New Roman" w:hAnsi="Times New Roman" w:eastAsia="Times New Roman" w:cs="Times New Roman"/>
          <w:spacing w:val="-14"/>
          <w:sz w:val="28"/>
          <w:szCs w:val="28"/>
        </w:rPr>
        <w:t>C</w:t>
      </w:r>
      <w:r>
        <w:rPr>
          <w:rFonts w:ascii="Times New Roman" w:hAnsi="Times New Roman" w:eastAsia="Times New Roman" w:cs="Times New Roman"/>
          <w:spacing w:val="23"/>
          <w:w w:val="101"/>
          <w:sz w:val="28"/>
          <w:szCs w:val="28"/>
        </w:rPr>
        <w:t xml:space="preserve"> </w:t>
      </w:r>
      <w:r>
        <w:rPr>
          <w:rFonts w:ascii="楷体" w:hAnsi="楷体" w:eastAsia="楷体" w:cs="楷体"/>
          <w:spacing w:val="-14"/>
          <w:sz w:val="28"/>
          <w:szCs w:val="28"/>
        </w:rPr>
        <w:t>类规范)》的编写说明。区别在于系统规范、研</w:t>
      </w:r>
      <w:r>
        <w:rPr>
          <w:rFonts w:ascii="楷体" w:hAnsi="楷体" w:eastAsia="楷体" w:cs="楷体"/>
          <w:sz w:val="28"/>
          <w:szCs w:val="28"/>
        </w:rPr>
        <w:t xml:space="preserve"> </w:t>
      </w:r>
      <w:r>
        <w:rPr>
          <w:rFonts w:ascii="楷体" w:hAnsi="楷体" w:eastAsia="楷体" w:cs="楷体"/>
          <w:spacing w:val="-8"/>
          <w:sz w:val="28"/>
          <w:szCs w:val="28"/>
        </w:rPr>
        <w:t>制规范和产品规范的各章要素有些差别，见表1.2。</w:t>
      </w:r>
    </w:p>
    <w:p w14:paraId="3678940B">
      <w:pPr>
        <w:spacing w:before="47" w:line="222" w:lineRule="auto"/>
        <w:ind w:left="1250"/>
        <w:rPr>
          <w:rFonts w:ascii="仿宋" w:hAnsi="仿宋" w:eastAsia="仿宋" w:cs="仿宋"/>
          <w:sz w:val="24"/>
          <w:szCs w:val="24"/>
        </w:rPr>
      </w:pPr>
      <w:r>
        <w:rPr>
          <w:rFonts w:ascii="仿宋" w:hAnsi="仿宋" w:eastAsia="仿宋" w:cs="仿宋"/>
          <w:spacing w:val="25"/>
          <w:sz w:val="24"/>
          <w:szCs w:val="24"/>
        </w:rPr>
        <w:t>表1</w:t>
      </w:r>
      <w:r>
        <w:rPr>
          <w:rFonts w:ascii="仿宋" w:hAnsi="仿宋" w:eastAsia="仿宋" w:cs="仿宋"/>
          <w:spacing w:val="-56"/>
          <w:sz w:val="24"/>
          <w:szCs w:val="24"/>
        </w:rPr>
        <w:t xml:space="preserve"> </w:t>
      </w:r>
      <w:r>
        <w:rPr>
          <w:rFonts w:ascii="仿宋" w:hAnsi="仿宋" w:eastAsia="仿宋" w:cs="仿宋"/>
          <w:spacing w:val="25"/>
          <w:sz w:val="24"/>
          <w:szCs w:val="24"/>
        </w:rPr>
        <w:t>.</w:t>
      </w:r>
      <w:r>
        <w:rPr>
          <w:rFonts w:ascii="仿宋" w:hAnsi="仿宋" w:eastAsia="仿宋" w:cs="仿宋"/>
          <w:spacing w:val="-61"/>
          <w:sz w:val="24"/>
          <w:szCs w:val="24"/>
        </w:rPr>
        <w:t xml:space="preserve"> </w:t>
      </w:r>
      <w:r>
        <w:rPr>
          <w:rFonts w:ascii="仿宋" w:hAnsi="仿宋" w:eastAsia="仿宋" w:cs="仿宋"/>
          <w:spacing w:val="25"/>
          <w:sz w:val="24"/>
          <w:szCs w:val="24"/>
        </w:rPr>
        <w:t>2  系统规范、研制规范和产品规范的各章</w:t>
      </w:r>
      <w:r>
        <w:rPr>
          <w:rFonts w:ascii="仿宋" w:hAnsi="仿宋" w:eastAsia="仿宋" w:cs="仿宋"/>
          <w:spacing w:val="24"/>
          <w:sz w:val="24"/>
          <w:szCs w:val="24"/>
        </w:rPr>
        <w:t>要素示例表</w:t>
      </w:r>
    </w:p>
    <w:p w14:paraId="1ACFF136">
      <w:pPr>
        <w:spacing w:line="140" w:lineRule="exact"/>
      </w:pPr>
    </w:p>
    <w:tbl>
      <w:tblPr>
        <w:tblStyle w:val="5"/>
        <w:tblW w:w="936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90"/>
        <w:gridCol w:w="1469"/>
        <w:gridCol w:w="1468"/>
        <w:gridCol w:w="1833"/>
      </w:tblGrid>
      <w:tr w14:paraId="070A7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4590" w:type="dxa"/>
            <w:vAlign w:val="top"/>
          </w:tcPr>
          <w:p w14:paraId="40B061CC">
            <w:pPr>
              <w:spacing w:before="102" w:line="219" w:lineRule="auto"/>
              <w:ind w:left="1554"/>
              <w:rPr>
                <w:rFonts w:ascii="宋体" w:hAnsi="宋体" w:eastAsia="宋体" w:cs="宋体"/>
                <w:sz w:val="21"/>
                <w:szCs w:val="21"/>
              </w:rPr>
            </w:pPr>
            <w:r>
              <w:rPr>
                <w:rFonts w:ascii="宋体" w:hAnsi="宋体" w:eastAsia="宋体" w:cs="宋体"/>
                <w:spacing w:val="1"/>
                <w:sz w:val="21"/>
                <w:szCs w:val="21"/>
              </w:rPr>
              <w:t>建议的章条标题</w:t>
            </w:r>
          </w:p>
        </w:tc>
        <w:tc>
          <w:tcPr>
            <w:tcW w:w="1469" w:type="dxa"/>
            <w:vAlign w:val="top"/>
          </w:tcPr>
          <w:p w14:paraId="0B03E7C0">
            <w:pPr>
              <w:spacing w:before="104" w:line="221" w:lineRule="auto"/>
              <w:ind w:left="305"/>
              <w:rPr>
                <w:rFonts w:ascii="宋体" w:hAnsi="宋体" w:eastAsia="宋体" w:cs="宋体"/>
                <w:sz w:val="21"/>
                <w:szCs w:val="21"/>
              </w:rPr>
            </w:pPr>
            <w:r>
              <w:rPr>
                <w:rFonts w:ascii="宋体" w:hAnsi="宋体" w:eastAsia="宋体" w:cs="宋体"/>
                <w:spacing w:val="3"/>
                <w:sz w:val="21"/>
                <w:szCs w:val="21"/>
              </w:rPr>
              <w:t>系统规范</w:t>
            </w:r>
          </w:p>
        </w:tc>
        <w:tc>
          <w:tcPr>
            <w:tcW w:w="1468" w:type="dxa"/>
            <w:vAlign w:val="top"/>
          </w:tcPr>
          <w:p w14:paraId="7B97577E">
            <w:pPr>
              <w:spacing w:before="104" w:line="220" w:lineRule="auto"/>
              <w:ind w:left="306"/>
              <w:rPr>
                <w:rFonts w:ascii="宋体" w:hAnsi="宋体" w:eastAsia="宋体" w:cs="宋体"/>
                <w:sz w:val="21"/>
                <w:szCs w:val="21"/>
              </w:rPr>
            </w:pPr>
            <w:r>
              <w:rPr>
                <w:rFonts w:ascii="宋体" w:hAnsi="宋体" w:eastAsia="宋体" w:cs="宋体"/>
                <w:spacing w:val="3"/>
                <w:sz w:val="21"/>
                <w:szCs w:val="21"/>
              </w:rPr>
              <w:t>研制规范</w:t>
            </w:r>
          </w:p>
        </w:tc>
        <w:tc>
          <w:tcPr>
            <w:tcW w:w="1833" w:type="dxa"/>
            <w:vAlign w:val="top"/>
          </w:tcPr>
          <w:p w14:paraId="49F60D6A">
            <w:pPr>
              <w:spacing w:before="103" w:line="219" w:lineRule="auto"/>
              <w:ind w:left="487"/>
              <w:rPr>
                <w:rFonts w:ascii="宋体" w:hAnsi="宋体" w:eastAsia="宋体" w:cs="宋体"/>
                <w:sz w:val="21"/>
                <w:szCs w:val="21"/>
              </w:rPr>
            </w:pPr>
            <w:r>
              <w:rPr>
                <w:rFonts w:ascii="宋体" w:hAnsi="宋体" w:eastAsia="宋体" w:cs="宋体"/>
                <w:spacing w:val="3"/>
                <w:sz w:val="21"/>
                <w:szCs w:val="21"/>
              </w:rPr>
              <w:t>产品规范</w:t>
            </w:r>
          </w:p>
        </w:tc>
      </w:tr>
      <w:tr w14:paraId="6670F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590" w:type="dxa"/>
            <w:vAlign w:val="top"/>
          </w:tcPr>
          <w:p w14:paraId="7F5CAF3F">
            <w:pPr>
              <w:spacing w:before="100" w:line="220" w:lineRule="auto"/>
              <w:ind w:left="115"/>
              <w:rPr>
                <w:rFonts w:ascii="宋体" w:hAnsi="宋体" w:eastAsia="宋体" w:cs="宋体"/>
                <w:sz w:val="21"/>
                <w:szCs w:val="21"/>
              </w:rPr>
            </w:pPr>
            <w:r>
              <w:rPr>
                <w:rFonts w:ascii="宋体" w:hAnsi="宋体" w:eastAsia="宋体" w:cs="宋体"/>
                <w:spacing w:val="8"/>
                <w:sz w:val="21"/>
                <w:szCs w:val="21"/>
              </w:rPr>
              <w:t>1范围</w:t>
            </w:r>
          </w:p>
        </w:tc>
        <w:tc>
          <w:tcPr>
            <w:tcW w:w="1469" w:type="dxa"/>
            <w:vAlign w:val="top"/>
          </w:tcPr>
          <w:p w14:paraId="4000995B">
            <w:pPr>
              <w:spacing w:before="153" w:line="183" w:lineRule="auto"/>
              <w:ind w:left="675"/>
              <w:rPr>
                <w:rFonts w:ascii="宋体" w:hAnsi="宋体" w:eastAsia="宋体" w:cs="宋体"/>
                <w:sz w:val="21"/>
                <w:szCs w:val="21"/>
              </w:rPr>
            </w:pPr>
            <w:r>
              <w:rPr>
                <w:rFonts w:ascii="宋体" w:hAnsi="宋体" w:eastAsia="宋体" w:cs="宋体"/>
                <w:sz w:val="21"/>
                <w:szCs w:val="21"/>
              </w:rPr>
              <w:t>O</w:t>
            </w:r>
          </w:p>
        </w:tc>
        <w:tc>
          <w:tcPr>
            <w:tcW w:w="1468" w:type="dxa"/>
            <w:vAlign w:val="top"/>
          </w:tcPr>
          <w:p w14:paraId="15CA87E0">
            <w:pPr>
              <w:spacing w:before="153" w:line="183" w:lineRule="auto"/>
              <w:ind w:left="675"/>
              <w:rPr>
                <w:rFonts w:ascii="宋体" w:hAnsi="宋体" w:eastAsia="宋体" w:cs="宋体"/>
                <w:sz w:val="21"/>
                <w:szCs w:val="21"/>
              </w:rPr>
            </w:pPr>
            <w:r>
              <w:rPr>
                <w:rFonts w:ascii="宋体" w:hAnsi="宋体" w:eastAsia="宋体" w:cs="宋体"/>
                <w:sz w:val="21"/>
                <w:szCs w:val="21"/>
              </w:rPr>
              <w:t>O</w:t>
            </w:r>
          </w:p>
        </w:tc>
        <w:tc>
          <w:tcPr>
            <w:tcW w:w="1833" w:type="dxa"/>
            <w:vAlign w:val="top"/>
          </w:tcPr>
          <w:p w14:paraId="1D4C3201">
            <w:pPr>
              <w:spacing w:before="153" w:line="183" w:lineRule="auto"/>
              <w:ind w:left="857"/>
              <w:rPr>
                <w:rFonts w:ascii="宋体" w:hAnsi="宋体" w:eastAsia="宋体" w:cs="宋体"/>
                <w:sz w:val="21"/>
                <w:szCs w:val="21"/>
              </w:rPr>
            </w:pPr>
            <w:r>
              <w:rPr>
                <w:rFonts w:ascii="宋体" w:hAnsi="宋体" w:eastAsia="宋体" w:cs="宋体"/>
                <w:sz w:val="21"/>
                <w:szCs w:val="21"/>
              </w:rPr>
              <w:t>O</w:t>
            </w:r>
          </w:p>
        </w:tc>
      </w:tr>
      <w:tr w14:paraId="6207D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4590" w:type="dxa"/>
            <w:vAlign w:val="top"/>
          </w:tcPr>
          <w:p w14:paraId="2E3A53B4">
            <w:pPr>
              <w:spacing w:before="110" w:line="219" w:lineRule="auto"/>
              <w:ind w:left="115"/>
              <w:rPr>
                <w:rFonts w:ascii="宋体" w:hAnsi="宋体" w:eastAsia="宋体" w:cs="宋体"/>
                <w:sz w:val="21"/>
                <w:szCs w:val="21"/>
              </w:rPr>
            </w:pPr>
            <w:r>
              <w:rPr>
                <w:rFonts w:ascii="宋体" w:hAnsi="宋体" w:eastAsia="宋体" w:cs="宋体"/>
                <w:spacing w:val="2"/>
                <w:sz w:val="21"/>
                <w:szCs w:val="21"/>
              </w:rPr>
              <w:t>主题内容</w:t>
            </w:r>
          </w:p>
        </w:tc>
        <w:tc>
          <w:tcPr>
            <w:tcW w:w="1469" w:type="dxa"/>
            <w:vAlign w:val="top"/>
          </w:tcPr>
          <w:p w14:paraId="0DB0EE10">
            <w:pPr>
              <w:spacing w:before="129" w:line="237" w:lineRule="auto"/>
              <w:ind w:left="625"/>
              <w:rPr>
                <w:rFonts w:ascii="宋体" w:hAnsi="宋体" w:eastAsia="宋体" w:cs="宋体"/>
                <w:sz w:val="21"/>
                <w:szCs w:val="21"/>
              </w:rPr>
            </w:pPr>
            <w:r>
              <w:rPr>
                <w:rFonts w:ascii="宋体" w:hAnsi="宋体" w:eastAsia="宋体" w:cs="宋体"/>
                <w:sz w:val="21"/>
                <w:szCs w:val="21"/>
              </w:rPr>
              <w:t>●</w:t>
            </w:r>
          </w:p>
        </w:tc>
        <w:tc>
          <w:tcPr>
            <w:tcW w:w="1468" w:type="dxa"/>
            <w:vAlign w:val="top"/>
          </w:tcPr>
          <w:p w14:paraId="336BB47D">
            <w:pPr>
              <w:spacing w:before="129" w:line="237" w:lineRule="auto"/>
              <w:ind w:left="625"/>
              <w:rPr>
                <w:rFonts w:ascii="宋体" w:hAnsi="宋体" w:eastAsia="宋体" w:cs="宋体"/>
                <w:sz w:val="21"/>
                <w:szCs w:val="21"/>
              </w:rPr>
            </w:pPr>
            <w:r>
              <w:rPr>
                <w:rFonts w:ascii="宋体" w:hAnsi="宋体" w:eastAsia="宋体" w:cs="宋体"/>
                <w:sz w:val="21"/>
                <w:szCs w:val="21"/>
              </w:rPr>
              <w:t>●</w:t>
            </w:r>
          </w:p>
        </w:tc>
        <w:tc>
          <w:tcPr>
            <w:tcW w:w="1833" w:type="dxa"/>
            <w:vAlign w:val="top"/>
          </w:tcPr>
          <w:p w14:paraId="560930A3">
            <w:pPr>
              <w:spacing w:before="129" w:line="237" w:lineRule="auto"/>
              <w:ind w:left="807"/>
              <w:rPr>
                <w:rFonts w:ascii="宋体" w:hAnsi="宋体" w:eastAsia="宋体" w:cs="宋体"/>
                <w:sz w:val="21"/>
                <w:szCs w:val="21"/>
              </w:rPr>
            </w:pPr>
            <w:r>
              <w:rPr>
                <w:rFonts w:ascii="宋体" w:hAnsi="宋体" w:eastAsia="宋体" w:cs="宋体"/>
                <w:sz w:val="21"/>
                <w:szCs w:val="21"/>
              </w:rPr>
              <w:t>●</w:t>
            </w:r>
          </w:p>
        </w:tc>
      </w:tr>
      <w:tr w14:paraId="6D5BF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590" w:type="dxa"/>
            <w:vAlign w:val="top"/>
          </w:tcPr>
          <w:p w14:paraId="69878814">
            <w:pPr>
              <w:spacing w:before="102" w:line="219" w:lineRule="auto"/>
              <w:ind w:left="115"/>
              <w:rPr>
                <w:rFonts w:ascii="宋体" w:hAnsi="宋体" w:eastAsia="宋体" w:cs="宋体"/>
                <w:sz w:val="21"/>
                <w:szCs w:val="21"/>
              </w:rPr>
            </w:pPr>
            <w:r>
              <w:rPr>
                <w:rFonts w:ascii="宋体" w:hAnsi="宋体" w:eastAsia="宋体" w:cs="宋体"/>
                <w:spacing w:val="5"/>
                <w:sz w:val="21"/>
                <w:szCs w:val="21"/>
              </w:rPr>
              <w:t>实体说明</w:t>
            </w:r>
          </w:p>
        </w:tc>
        <w:tc>
          <w:tcPr>
            <w:tcW w:w="1469" w:type="dxa"/>
            <w:vAlign w:val="top"/>
          </w:tcPr>
          <w:p w14:paraId="78C2F749">
            <w:pPr>
              <w:spacing w:before="121" w:line="235" w:lineRule="auto"/>
              <w:ind w:left="625"/>
              <w:rPr>
                <w:rFonts w:ascii="宋体" w:hAnsi="宋体" w:eastAsia="宋体" w:cs="宋体"/>
                <w:sz w:val="21"/>
                <w:szCs w:val="21"/>
              </w:rPr>
            </w:pPr>
            <w:r>
              <w:rPr>
                <w:rFonts w:ascii="宋体" w:hAnsi="宋体" w:eastAsia="宋体" w:cs="宋体"/>
                <w:sz w:val="21"/>
                <w:szCs w:val="21"/>
              </w:rPr>
              <w:t>●</w:t>
            </w:r>
          </w:p>
        </w:tc>
        <w:tc>
          <w:tcPr>
            <w:tcW w:w="1468" w:type="dxa"/>
            <w:vAlign w:val="top"/>
          </w:tcPr>
          <w:p w14:paraId="1ED17700">
            <w:pPr>
              <w:spacing w:before="121" w:line="235" w:lineRule="auto"/>
              <w:ind w:left="625"/>
              <w:rPr>
                <w:rFonts w:ascii="宋体" w:hAnsi="宋体" w:eastAsia="宋体" w:cs="宋体"/>
                <w:sz w:val="21"/>
                <w:szCs w:val="21"/>
              </w:rPr>
            </w:pPr>
            <w:r>
              <w:rPr>
                <w:rFonts w:ascii="宋体" w:hAnsi="宋体" w:eastAsia="宋体" w:cs="宋体"/>
                <w:sz w:val="21"/>
                <w:szCs w:val="21"/>
              </w:rPr>
              <w:t>●</w:t>
            </w:r>
          </w:p>
        </w:tc>
        <w:tc>
          <w:tcPr>
            <w:tcW w:w="1833" w:type="dxa"/>
            <w:vAlign w:val="top"/>
          </w:tcPr>
          <w:p w14:paraId="69A671BD">
            <w:pPr>
              <w:spacing w:before="121" w:line="235" w:lineRule="auto"/>
              <w:ind w:left="807"/>
              <w:rPr>
                <w:rFonts w:ascii="宋体" w:hAnsi="宋体" w:eastAsia="宋体" w:cs="宋体"/>
                <w:sz w:val="21"/>
                <w:szCs w:val="21"/>
              </w:rPr>
            </w:pPr>
            <w:r>
              <w:rPr>
                <w:rFonts w:ascii="宋体" w:hAnsi="宋体" w:eastAsia="宋体" w:cs="宋体"/>
                <w:sz w:val="21"/>
                <w:szCs w:val="21"/>
              </w:rPr>
              <w:t>●</w:t>
            </w:r>
          </w:p>
        </w:tc>
      </w:tr>
      <w:tr w14:paraId="7A35E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4590" w:type="dxa"/>
            <w:vAlign w:val="top"/>
          </w:tcPr>
          <w:p w14:paraId="7A826722">
            <w:pPr>
              <w:spacing w:before="103" w:line="219" w:lineRule="auto"/>
              <w:ind w:left="115"/>
              <w:rPr>
                <w:rFonts w:ascii="宋体" w:hAnsi="宋体" w:eastAsia="宋体" w:cs="宋体"/>
                <w:sz w:val="21"/>
                <w:szCs w:val="21"/>
              </w:rPr>
            </w:pPr>
            <w:r>
              <w:rPr>
                <w:rFonts w:ascii="宋体" w:hAnsi="宋体" w:eastAsia="宋体" w:cs="宋体"/>
                <w:spacing w:val="2"/>
                <w:sz w:val="21"/>
                <w:szCs w:val="21"/>
              </w:rPr>
              <w:t>2引用文件</w:t>
            </w:r>
          </w:p>
        </w:tc>
        <w:tc>
          <w:tcPr>
            <w:tcW w:w="1469" w:type="dxa"/>
            <w:vAlign w:val="top"/>
          </w:tcPr>
          <w:p w14:paraId="50394900">
            <w:pPr>
              <w:spacing w:before="157" w:line="183" w:lineRule="auto"/>
              <w:ind w:left="675"/>
              <w:rPr>
                <w:rFonts w:ascii="宋体" w:hAnsi="宋体" w:eastAsia="宋体" w:cs="宋体"/>
                <w:sz w:val="21"/>
                <w:szCs w:val="21"/>
              </w:rPr>
            </w:pPr>
            <w:r>
              <w:rPr>
                <w:rFonts w:ascii="宋体" w:hAnsi="宋体" w:eastAsia="宋体" w:cs="宋体"/>
                <w:sz w:val="21"/>
                <w:szCs w:val="21"/>
              </w:rPr>
              <w:t>O</w:t>
            </w:r>
          </w:p>
        </w:tc>
        <w:tc>
          <w:tcPr>
            <w:tcW w:w="1468" w:type="dxa"/>
            <w:vAlign w:val="top"/>
          </w:tcPr>
          <w:p w14:paraId="6159EB30">
            <w:pPr>
              <w:spacing w:before="157" w:line="183" w:lineRule="auto"/>
              <w:ind w:left="675"/>
              <w:rPr>
                <w:rFonts w:ascii="宋体" w:hAnsi="宋体" w:eastAsia="宋体" w:cs="宋体"/>
                <w:sz w:val="21"/>
                <w:szCs w:val="21"/>
              </w:rPr>
            </w:pPr>
            <w:r>
              <w:rPr>
                <w:rFonts w:ascii="宋体" w:hAnsi="宋体" w:eastAsia="宋体" w:cs="宋体"/>
                <w:sz w:val="21"/>
                <w:szCs w:val="21"/>
              </w:rPr>
              <w:t>O</w:t>
            </w:r>
          </w:p>
        </w:tc>
        <w:tc>
          <w:tcPr>
            <w:tcW w:w="1833" w:type="dxa"/>
            <w:vAlign w:val="top"/>
          </w:tcPr>
          <w:p w14:paraId="600E879D">
            <w:pPr>
              <w:spacing w:before="157" w:line="183" w:lineRule="auto"/>
              <w:ind w:left="857"/>
              <w:rPr>
                <w:rFonts w:ascii="宋体" w:hAnsi="宋体" w:eastAsia="宋体" w:cs="宋体"/>
                <w:sz w:val="21"/>
                <w:szCs w:val="21"/>
              </w:rPr>
            </w:pPr>
            <w:r>
              <w:rPr>
                <w:rFonts w:ascii="宋体" w:hAnsi="宋体" w:eastAsia="宋体" w:cs="宋体"/>
                <w:sz w:val="21"/>
                <w:szCs w:val="21"/>
              </w:rPr>
              <w:t>O</w:t>
            </w:r>
          </w:p>
        </w:tc>
      </w:tr>
      <w:tr w14:paraId="70521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590" w:type="dxa"/>
            <w:vAlign w:val="top"/>
          </w:tcPr>
          <w:p w14:paraId="65BF9A1C">
            <w:pPr>
              <w:spacing w:before="106" w:line="221" w:lineRule="auto"/>
              <w:ind w:left="115"/>
              <w:rPr>
                <w:rFonts w:ascii="宋体" w:hAnsi="宋体" w:eastAsia="宋体" w:cs="宋体"/>
                <w:sz w:val="21"/>
                <w:szCs w:val="21"/>
              </w:rPr>
            </w:pPr>
            <w:r>
              <w:rPr>
                <w:rFonts w:ascii="宋体" w:hAnsi="宋体" w:eastAsia="宋体" w:cs="宋体"/>
                <w:spacing w:val="4"/>
                <w:sz w:val="21"/>
                <w:szCs w:val="21"/>
              </w:rPr>
              <w:t>3要求</w:t>
            </w:r>
          </w:p>
        </w:tc>
        <w:tc>
          <w:tcPr>
            <w:tcW w:w="1469" w:type="dxa"/>
            <w:vAlign w:val="top"/>
          </w:tcPr>
          <w:p w14:paraId="28871537">
            <w:pPr>
              <w:spacing w:before="159" w:line="183" w:lineRule="auto"/>
              <w:ind w:left="675"/>
              <w:rPr>
                <w:rFonts w:ascii="宋体" w:hAnsi="宋体" w:eastAsia="宋体" w:cs="宋体"/>
                <w:sz w:val="21"/>
                <w:szCs w:val="21"/>
              </w:rPr>
            </w:pPr>
            <w:r>
              <w:rPr>
                <w:rFonts w:ascii="宋体" w:hAnsi="宋体" w:eastAsia="宋体" w:cs="宋体"/>
                <w:sz w:val="21"/>
                <w:szCs w:val="21"/>
              </w:rPr>
              <w:t>O</w:t>
            </w:r>
          </w:p>
        </w:tc>
        <w:tc>
          <w:tcPr>
            <w:tcW w:w="1468" w:type="dxa"/>
            <w:vAlign w:val="top"/>
          </w:tcPr>
          <w:p w14:paraId="6D70AD40">
            <w:pPr>
              <w:spacing w:before="159" w:line="183" w:lineRule="auto"/>
              <w:ind w:left="675"/>
              <w:rPr>
                <w:rFonts w:ascii="宋体" w:hAnsi="宋体" w:eastAsia="宋体" w:cs="宋体"/>
                <w:sz w:val="21"/>
                <w:szCs w:val="21"/>
              </w:rPr>
            </w:pPr>
            <w:r>
              <w:rPr>
                <w:rFonts w:ascii="宋体" w:hAnsi="宋体" w:eastAsia="宋体" w:cs="宋体"/>
                <w:sz w:val="21"/>
                <w:szCs w:val="21"/>
              </w:rPr>
              <w:t>O</w:t>
            </w:r>
          </w:p>
        </w:tc>
        <w:tc>
          <w:tcPr>
            <w:tcW w:w="1833" w:type="dxa"/>
            <w:vAlign w:val="top"/>
          </w:tcPr>
          <w:p w14:paraId="3083230A">
            <w:pPr>
              <w:spacing w:before="159" w:line="183" w:lineRule="auto"/>
              <w:ind w:left="857"/>
              <w:rPr>
                <w:rFonts w:ascii="宋体" w:hAnsi="宋体" w:eastAsia="宋体" w:cs="宋体"/>
                <w:sz w:val="21"/>
                <w:szCs w:val="21"/>
              </w:rPr>
            </w:pPr>
            <w:r>
              <w:rPr>
                <w:rFonts w:ascii="宋体" w:hAnsi="宋体" w:eastAsia="宋体" w:cs="宋体"/>
                <w:sz w:val="21"/>
                <w:szCs w:val="21"/>
              </w:rPr>
              <w:t>O</w:t>
            </w:r>
          </w:p>
        </w:tc>
      </w:tr>
      <w:tr w14:paraId="56785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590" w:type="dxa"/>
            <w:vAlign w:val="top"/>
          </w:tcPr>
          <w:p w14:paraId="163E6859">
            <w:pPr>
              <w:spacing w:before="106" w:line="219" w:lineRule="auto"/>
              <w:ind w:left="115"/>
              <w:rPr>
                <w:rFonts w:ascii="宋体" w:hAnsi="宋体" w:eastAsia="宋体" w:cs="宋体"/>
                <w:sz w:val="21"/>
                <w:szCs w:val="21"/>
              </w:rPr>
            </w:pPr>
            <w:r>
              <w:rPr>
                <w:rFonts w:ascii="宋体" w:hAnsi="宋体" w:eastAsia="宋体" w:cs="宋体"/>
                <w:spacing w:val="2"/>
                <w:sz w:val="21"/>
                <w:szCs w:val="21"/>
              </w:rPr>
              <w:t>作战能力/功能</w:t>
            </w:r>
          </w:p>
        </w:tc>
        <w:tc>
          <w:tcPr>
            <w:tcW w:w="1469" w:type="dxa"/>
            <w:vAlign w:val="top"/>
          </w:tcPr>
          <w:p w14:paraId="07025352">
            <w:pPr>
              <w:spacing w:before="126" w:line="231" w:lineRule="auto"/>
              <w:ind w:left="625"/>
              <w:rPr>
                <w:rFonts w:ascii="宋体" w:hAnsi="宋体" w:eastAsia="宋体" w:cs="宋体"/>
                <w:sz w:val="21"/>
                <w:szCs w:val="21"/>
              </w:rPr>
            </w:pPr>
            <w:r>
              <w:rPr>
                <w:rFonts w:ascii="宋体" w:hAnsi="宋体" w:eastAsia="宋体" w:cs="宋体"/>
                <w:sz w:val="21"/>
                <w:szCs w:val="21"/>
              </w:rPr>
              <w:t>●</w:t>
            </w:r>
          </w:p>
        </w:tc>
        <w:tc>
          <w:tcPr>
            <w:tcW w:w="1468" w:type="dxa"/>
            <w:vAlign w:val="top"/>
          </w:tcPr>
          <w:p w14:paraId="64EB3F65">
            <w:pPr>
              <w:spacing w:before="206" w:line="163" w:lineRule="exact"/>
              <w:ind w:left="625"/>
              <w:rPr>
                <w:rFonts w:ascii="宋体" w:hAnsi="宋体" w:eastAsia="宋体" w:cs="宋体"/>
                <w:sz w:val="21"/>
                <w:szCs w:val="21"/>
              </w:rPr>
            </w:pPr>
            <w:r>
              <w:rPr>
                <w:rFonts w:ascii="宋体" w:hAnsi="宋体" w:eastAsia="宋体" w:cs="宋体"/>
                <w:position w:val="-4"/>
                <w:sz w:val="21"/>
                <w:szCs w:val="21"/>
              </w:rPr>
              <w:t>一</w:t>
            </w:r>
          </w:p>
        </w:tc>
        <w:tc>
          <w:tcPr>
            <w:tcW w:w="1833" w:type="dxa"/>
            <w:vAlign w:val="top"/>
          </w:tcPr>
          <w:p w14:paraId="02E8E0A3">
            <w:pPr>
              <w:spacing w:before="206" w:line="163" w:lineRule="exact"/>
              <w:ind w:left="807"/>
              <w:rPr>
                <w:rFonts w:ascii="宋体" w:hAnsi="宋体" w:eastAsia="宋体" w:cs="宋体"/>
                <w:sz w:val="21"/>
                <w:szCs w:val="21"/>
              </w:rPr>
            </w:pPr>
            <w:r>
              <w:rPr>
                <w:rFonts w:ascii="宋体" w:hAnsi="宋体" w:eastAsia="宋体" w:cs="宋体"/>
                <w:position w:val="-4"/>
                <w:sz w:val="21"/>
                <w:szCs w:val="21"/>
              </w:rPr>
              <w:t>一</w:t>
            </w:r>
          </w:p>
        </w:tc>
      </w:tr>
      <w:tr w14:paraId="70500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04" w:hRule="atLeast"/>
        </w:trPr>
        <w:tc>
          <w:tcPr>
            <w:tcW w:w="4590" w:type="dxa"/>
            <w:vAlign w:val="top"/>
          </w:tcPr>
          <w:p w14:paraId="2F96E3AA">
            <w:pPr>
              <w:spacing w:before="108" w:line="221" w:lineRule="auto"/>
              <w:ind w:left="115"/>
              <w:rPr>
                <w:rFonts w:ascii="宋体" w:hAnsi="宋体" w:eastAsia="宋体" w:cs="宋体"/>
                <w:sz w:val="21"/>
                <w:szCs w:val="21"/>
              </w:rPr>
            </w:pPr>
            <w:r>
              <w:rPr>
                <w:rFonts w:ascii="宋体" w:hAnsi="宋体" w:eastAsia="宋体" w:cs="宋体"/>
                <w:spacing w:val="5"/>
                <w:sz w:val="21"/>
                <w:szCs w:val="21"/>
              </w:rPr>
              <w:t>性能</w:t>
            </w:r>
          </w:p>
        </w:tc>
        <w:tc>
          <w:tcPr>
            <w:tcW w:w="1469" w:type="dxa"/>
            <w:vAlign w:val="top"/>
          </w:tcPr>
          <w:p w14:paraId="0D0F7697">
            <w:pPr>
              <w:spacing w:before="126" w:line="235" w:lineRule="auto"/>
              <w:ind w:left="625"/>
              <w:rPr>
                <w:rFonts w:ascii="宋体" w:hAnsi="宋体" w:eastAsia="宋体" w:cs="宋体"/>
                <w:sz w:val="21"/>
                <w:szCs w:val="21"/>
              </w:rPr>
            </w:pPr>
            <w:r>
              <w:rPr>
                <w:rFonts w:ascii="宋体" w:hAnsi="宋体" w:eastAsia="宋体" w:cs="宋体"/>
                <w:sz w:val="21"/>
                <w:szCs w:val="21"/>
              </w:rPr>
              <w:t>●</w:t>
            </w:r>
          </w:p>
        </w:tc>
        <w:tc>
          <w:tcPr>
            <w:tcW w:w="1468" w:type="dxa"/>
            <w:vAlign w:val="top"/>
          </w:tcPr>
          <w:p w14:paraId="30E78476">
            <w:pPr>
              <w:spacing w:before="126" w:line="235" w:lineRule="auto"/>
              <w:ind w:left="625"/>
              <w:rPr>
                <w:rFonts w:ascii="宋体" w:hAnsi="宋体" w:eastAsia="宋体" w:cs="宋体"/>
                <w:sz w:val="21"/>
                <w:szCs w:val="21"/>
              </w:rPr>
            </w:pPr>
            <w:r>
              <w:rPr>
                <w:rFonts w:ascii="宋体" w:hAnsi="宋体" w:eastAsia="宋体" w:cs="宋体"/>
                <w:sz w:val="21"/>
                <w:szCs w:val="21"/>
              </w:rPr>
              <w:t>●</w:t>
            </w:r>
          </w:p>
        </w:tc>
        <w:tc>
          <w:tcPr>
            <w:tcW w:w="1833" w:type="dxa"/>
            <w:vAlign w:val="top"/>
          </w:tcPr>
          <w:p w14:paraId="6C469C26">
            <w:pPr>
              <w:spacing w:before="126" w:line="235" w:lineRule="auto"/>
              <w:ind w:left="807"/>
              <w:rPr>
                <w:rFonts w:ascii="宋体" w:hAnsi="宋体" w:eastAsia="宋体" w:cs="宋体"/>
                <w:sz w:val="21"/>
                <w:szCs w:val="21"/>
              </w:rPr>
            </w:pPr>
            <w:r>
              <w:rPr>
                <w:rFonts w:ascii="宋体" w:hAnsi="宋体" w:eastAsia="宋体" w:cs="宋体"/>
                <w:sz w:val="21"/>
                <w:szCs w:val="21"/>
              </w:rPr>
              <w:t>●</w:t>
            </w:r>
          </w:p>
        </w:tc>
      </w:tr>
    </w:tbl>
    <w:p w14:paraId="32E8A615">
      <w:pPr>
        <w:pStyle w:val="2"/>
        <w:spacing w:line="215" w:lineRule="exact"/>
        <w:rPr>
          <w:sz w:val="18"/>
        </w:rPr>
      </w:pPr>
    </w:p>
    <w:p w14:paraId="28DC4C6D">
      <w:pPr>
        <w:spacing w:line="215" w:lineRule="exact"/>
        <w:rPr>
          <w:sz w:val="18"/>
          <w:szCs w:val="18"/>
        </w:rPr>
        <w:sectPr>
          <w:footerReference r:id="rId59" w:type="default"/>
          <w:pgSz w:w="11910" w:h="17130"/>
          <w:pgMar w:top="400" w:right="944" w:bottom="1579" w:left="1529" w:header="0" w:footer="1399" w:gutter="0"/>
          <w:cols w:space="720" w:num="1"/>
        </w:sectPr>
      </w:pPr>
    </w:p>
    <w:p w14:paraId="1DB7D616">
      <w:pPr>
        <w:pStyle w:val="2"/>
        <w:spacing w:line="255" w:lineRule="auto"/>
      </w:pPr>
    </w:p>
    <w:p w14:paraId="0C35D8B2">
      <w:pPr>
        <w:pStyle w:val="2"/>
        <w:spacing w:line="255" w:lineRule="auto"/>
      </w:pPr>
    </w:p>
    <w:p w14:paraId="32123426">
      <w:pPr>
        <w:pStyle w:val="2"/>
        <w:spacing w:line="255" w:lineRule="auto"/>
      </w:pPr>
    </w:p>
    <w:p w14:paraId="422C66A3">
      <w:pPr>
        <w:pStyle w:val="2"/>
        <w:spacing w:line="256" w:lineRule="auto"/>
      </w:pPr>
    </w:p>
    <w:p w14:paraId="35098237">
      <w:pPr>
        <w:spacing w:before="72" w:line="220" w:lineRule="auto"/>
        <w:ind w:left="8654"/>
        <w:rPr>
          <w:rFonts w:ascii="宋体" w:hAnsi="宋体" w:eastAsia="宋体" w:cs="宋体"/>
          <w:sz w:val="22"/>
          <w:szCs w:val="22"/>
        </w:rPr>
      </w:pPr>
      <w:bookmarkStart w:id="27" w:name="bookmark319"/>
      <w:bookmarkEnd w:id="27"/>
      <w:r>
        <w:rPr>
          <w:rFonts w:ascii="宋体" w:hAnsi="宋体" w:eastAsia="宋体" w:cs="宋体"/>
          <w:spacing w:val="16"/>
          <w:sz w:val="22"/>
          <w:szCs w:val="22"/>
        </w:rPr>
        <w:t>(续)</w:t>
      </w:r>
    </w:p>
    <w:p w14:paraId="074985CB">
      <w:pPr>
        <w:spacing w:line="123" w:lineRule="exact"/>
      </w:pPr>
    </w:p>
    <w:tbl>
      <w:tblPr>
        <w:tblStyle w:val="5"/>
        <w:tblW w:w="93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00"/>
        <w:gridCol w:w="1458"/>
        <w:gridCol w:w="1468"/>
        <w:gridCol w:w="1833"/>
      </w:tblGrid>
      <w:tr w14:paraId="506D2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4600" w:type="dxa"/>
            <w:vAlign w:val="top"/>
          </w:tcPr>
          <w:p w14:paraId="52FF51F4">
            <w:pPr>
              <w:spacing w:before="102" w:line="219" w:lineRule="auto"/>
              <w:ind w:left="1564"/>
              <w:rPr>
                <w:rFonts w:ascii="宋体" w:hAnsi="宋体" w:eastAsia="宋体" w:cs="宋体"/>
                <w:sz w:val="20"/>
                <w:szCs w:val="20"/>
              </w:rPr>
            </w:pPr>
            <w:r>
              <w:rPr>
                <w:rFonts w:ascii="宋体" w:hAnsi="宋体" w:eastAsia="宋体" w:cs="宋体"/>
                <w:spacing w:val="1"/>
                <w:sz w:val="20"/>
                <w:szCs w:val="20"/>
              </w:rPr>
              <w:t>建议的章条标题</w:t>
            </w:r>
          </w:p>
        </w:tc>
        <w:tc>
          <w:tcPr>
            <w:tcW w:w="1458" w:type="dxa"/>
            <w:vAlign w:val="top"/>
          </w:tcPr>
          <w:p w14:paraId="5BAFECE1">
            <w:pPr>
              <w:spacing w:before="104" w:line="221" w:lineRule="auto"/>
              <w:ind w:left="325"/>
              <w:rPr>
                <w:rFonts w:ascii="宋体" w:hAnsi="宋体" w:eastAsia="宋体" w:cs="宋体"/>
                <w:sz w:val="20"/>
                <w:szCs w:val="20"/>
              </w:rPr>
            </w:pPr>
            <w:r>
              <w:rPr>
                <w:rFonts w:ascii="宋体" w:hAnsi="宋体" w:eastAsia="宋体" w:cs="宋体"/>
                <w:spacing w:val="2"/>
                <w:sz w:val="20"/>
                <w:szCs w:val="20"/>
              </w:rPr>
              <w:t>系统规范</w:t>
            </w:r>
          </w:p>
        </w:tc>
        <w:tc>
          <w:tcPr>
            <w:tcW w:w="1468" w:type="dxa"/>
            <w:vAlign w:val="top"/>
          </w:tcPr>
          <w:p w14:paraId="1D43CB17">
            <w:pPr>
              <w:spacing w:before="103" w:line="220" w:lineRule="auto"/>
              <w:ind w:left="326"/>
              <w:rPr>
                <w:rFonts w:ascii="宋体" w:hAnsi="宋体" w:eastAsia="宋体" w:cs="宋体"/>
                <w:sz w:val="20"/>
                <w:szCs w:val="20"/>
              </w:rPr>
            </w:pPr>
            <w:r>
              <w:rPr>
                <w:rFonts w:ascii="宋体" w:hAnsi="宋体" w:eastAsia="宋体" w:cs="宋体"/>
                <w:spacing w:val="-2"/>
                <w:sz w:val="20"/>
                <w:szCs w:val="20"/>
              </w:rPr>
              <w:t>研制规范</w:t>
            </w:r>
          </w:p>
        </w:tc>
        <w:tc>
          <w:tcPr>
            <w:tcW w:w="1833" w:type="dxa"/>
            <w:vAlign w:val="top"/>
          </w:tcPr>
          <w:p w14:paraId="52913911">
            <w:pPr>
              <w:spacing w:before="103" w:line="219" w:lineRule="auto"/>
              <w:ind w:left="508"/>
              <w:rPr>
                <w:rFonts w:ascii="宋体" w:hAnsi="宋体" w:eastAsia="宋体" w:cs="宋体"/>
                <w:sz w:val="20"/>
                <w:szCs w:val="20"/>
              </w:rPr>
            </w:pPr>
            <w:r>
              <w:rPr>
                <w:rFonts w:ascii="宋体" w:hAnsi="宋体" w:eastAsia="宋体" w:cs="宋体"/>
                <w:spacing w:val="-2"/>
                <w:sz w:val="20"/>
                <w:szCs w:val="20"/>
              </w:rPr>
              <w:t>产品规范</w:t>
            </w:r>
          </w:p>
        </w:tc>
      </w:tr>
      <w:tr w14:paraId="4CF4F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4600" w:type="dxa"/>
            <w:vAlign w:val="top"/>
          </w:tcPr>
          <w:p w14:paraId="5A904A24">
            <w:pPr>
              <w:spacing w:before="98" w:line="220" w:lineRule="auto"/>
              <w:ind w:left="325"/>
              <w:rPr>
                <w:rFonts w:ascii="宋体" w:hAnsi="宋体" w:eastAsia="宋体" w:cs="宋体"/>
                <w:sz w:val="20"/>
                <w:szCs w:val="20"/>
              </w:rPr>
            </w:pPr>
            <w:r>
              <w:rPr>
                <w:rFonts w:ascii="宋体" w:hAnsi="宋体" w:eastAsia="宋体" w:cs="宋体"/>
                <w:spacing w:val="-2"/>
                <w:sz w:val="20"/>
                <w:szCs w:val="20"/>
              </w:rPr>
              <w:t>作战适用性</w:t>
            </w:r>
          </w:p>
        </w:tc>
        <w:tc>
          <w:tcPr>
            <w:tcW w:w="1458" w:type="dxa"/>
            <w:vAlign w:val="top"/>
          </w:tcPr>
          <w:p w14:paraId="1BC60734">
            <w:pPr>
              <w:spacing w:before="116"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02B98D8F">
            <w:pPr>
              <w:spacing w:before="116"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08B6139B">
            <w:pPr>
              <w:spacing w:before="116" w:line="237" w:lineRule="auto"/>
              <w:ind w:left="808"/>
              <w:rPr>
                <w:rFonts w:ascii="宋体" w:hAnsi="宋体" w:eastAsia="宋体" w:cs="宋体"/>
                <w:sz w:val="20"/>
                <w:szCs w:val="20"/>
              </w:rPr>
            </w:pPr>
            <w:r>
              <w:rPr>
                <w:rFonts w:ascii="宋体" w:hAnsi="宋体" w:eastAsia="宋体" w:cs="宋体"/>
                <w:sz w:val="20"/>
                <w:szCs w:val="20"/>
              </w:rPr>
              <w:t>●</w:t>
            </w:r>
          </w:p>
        </w:tc>
      </w:tr>
      <w:tr w14:paraId="552BF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47A59093">
            <w:pPr>
              <w:spacing w:before="109" w:line="220" w:lineRule="auto"/>
              <w:ind w:left="325"/>
              <w:rPr>
                <w:rFonts w:ascii="宋体" w:hAnsi="宋体" w:eastAsia="宋体" w:cs="宋体"/>
                <w:sz w:val="20"/>
                <w:szCs w:val="20"/>
              </w:rPr>
            </w:pPr>
            <w:r>
              <w:rPr>
                <w:rFonts w:ascii="宋体" w:hAnsi="宋体" w:eastAsia="宋体" w:cs="宋体"/>
                <w:spacing w:val="-2"/>
                <w:sz w:val="20"/>
                <w:szCs w:val="20"/>
              </w:rPr>
              <w:t>环境适应性</w:t>
            </w:r>
          </w:p>
        </w:tc>
        <w:tc>
          <w:tcPr>
            <w:tcW w:w="1458" w:type="dxa"/>
            <w:vAlign w:val="top"/>
          </w:tcPr>
          <w:p w14:paraId="73BBA5BC">
            <w:pPr>
              <w:spacing w:before="127"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1346D2C9">
            <w:pPr>
              <w:spacing w:before="127"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7D752D80">
            <w:pPr>
              <w:spacing w:before="127" w:line="237" w:lineRule="auto"/>
              <w:ind w:left="808"/>
              <w:rPr>
                <w:rFonts w:ascii="宋体" w:hAnsi="宋体" w:eastAsia="宋体" w:cs="宋体"/>
                <w:sz w:val="20"/>
                <w:szCs w:val="20"/>
              </w:rPr>
            </w:pPr>
            <w:r>
              <w:rPr>
                <w:rFonts w:ascii="宋体" w:hAnsi="宋体" w:eastAsia="宋体" w:cs="宋体"/>
                <w:sz w:val="20"/>
                <w:szCs w:val="20"/>
              </w:rPr>
              <w:t>●</w:t>
            </w:r>
          </w:p>
        </w:tc>
      </w:tr>
      <w:tr w14:paraId="64C9F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4600" w:type="dxa"/>
            <w:vAlign w:val="top"/>
          </w:tcPr>
          <w:p w14:paraId="3B61E315">
            <w:pPr>
              <w:spacing w:before="110" w:line="221" w:lineRule="auto"/>
              <w:ind w:left="325"/>
              <w:rPr>
                <w:rFonts w:ascii="宋体" w:hAnsi="宋体" w:eastAsia="宋体" w:cs="宋体"/>
                <w:sz w:val="20"/>
                <w:szCs w:val="20"/>
              </w:rPr>
            </w:pPr>
            <w:r>
              <w:rPr>
                <w:rFonts w:ascii="宋体" w:hAnsi="宋体" w:eastAsia="宋体" w:cs="宋体"/>
                <w:spacing w:val="-3"/>
                <w:sz w:val="20"/>
                <w:szCs w:val="20"/>
              </w:rPr>
              <w:t>可靠性</w:t>
            </w:r>
          </w:p>
        </w:tc>
        <w:tc>
          <w:tcPr>
            <w:tcW w:w="1458" w:type="dxa"/>
            <w:vAlign w:val="top"/>
          </w:tcPr>
          <w:p w14:paraId="2BD1FC08">
            <w:pPr>
              <w:spacing w:before="127"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66828DAC">
            <w:pPr>
              <w:spacing w:before="127"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62AA1B9A">
            <w:pPr>
              <w:spacing w:before="127" w:line="237" w:lineRule="auto"/>
              <w:ind w:left="808"/>
              <w:rPr>
                <w:rFonts w:ascii="宋体" w:hAnsi="宋体" w:eastAsia="宋体" w:cs="宋体"/>
                <w:sz w:val="20"/>
                <w:szCs w:val="20"/>
              </w:rPr>
            </w:pPr>
            <w:r>
              <w:rPr>
                <w:rFonts w:ascii="宋体" w:hAnsi="宋体" w:eastAsia="宋体" w:cs="宋体"/>
                <w:sz w:val="20"/>
                <w:szCs w:val="20"/>
              </w:rPr>
              <w:t>●</w:t>
            </w:r>
          </w:p>
        </w:tc>
      </w:tr>
      <w:tr w14:paraId="4D703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4600" w:type="dxa"/>
            <w:vAlign w:val="top"/>
          </w:tcPr>
          <w:p w14:paraId="24FC0C47">
            <w:pPr>
              <w:spacing w:before="100" w:line="219" w:lineRule="auto"/>
              <w:ind w:left="325"/>
              <w:rPr>
                <w:rFonts w:ascii="宋体" w:hAnsi="宋体" w:eastAsia="宋体" w:cs="宋体"/>
                <w:sz w:val="20"/>
                <w:szCs w:val="20"/>
              </w:rPr>
            </w:pPr>
            <w:r>
              <w:rPr>
                <w:rFonts w:ascii="宋体" w:hAnsi="宋体" w:eastAsia="宋体" w:cs="宋体"/>
                <w:spacing w:val="-3"/>
                <w:sz w:val="20"/>
                <w:szCs w:val="20"/>
              </w:rPr>
              <w:t>维修性</w:t>
            </w:r>
          </w:p>
        </w:tc>
        <w:tc>
          <w:tcPr>
            <w:tcW w:w="1458" w:type="dxa"/>
            <w:vAlign w:val="top"/>
          </w:tcPr>
          <w:p w14:paraId="2A6C32A0">
            <w:pPr>
              <w:spacing w:before="118"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7A8C19C8">
            <w:pPr>
              <w:spacing w:before="118"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58E087DC">
            <w:pPr>
              <w:spacing w:before="118" w:line="237" w:lineRule="auto"/>
              <w:ind w:left="808"/>
              <w:rPr>
                <w:rFonts w:ascii="宋体" w:hAnsi="宋体" w:eastAsia="宋体" w:cs="宋体"/>
                <w:sz w:val="20"/>
                <w:szCs w:val="20"/>
              </w:rPr>
            </w:pPr>
            <w:r>
              <w:rPr>
                <w:rFonts w:ascii="宋体" w:hAnsi="宋体" w:eastAsia="宋体" w:cs="宋体"/>
                <w:sz w:val="20"/>
                <w:szCs w:val="20"/>
              </w:rPr>
              <w:t>●</w:t>
            </w:r>
          </w:p>
        </w:tc>
      </w:tr>
      <w:tr w14:paraId="7E52C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32539F65">
            <w:pPr>
              <w:spacing w:before="110" w:line="219" w:lineRule="auto"/>
              <w:ind w:left="325"/>
              <w:rPr>
                <w:rFonts w:ascii="宋体" w:hAnsi="宋体" w:eastAsia="宋体" w:cs="宋体"/>
                <w:sz w:val="20"/>
                <w:szCs w:val="20"/>
              </w:rPr>
            </w:pPr>
            <w:r>
              <w:rPr>
                <w:rFonts w:ascii="宋体" w:hAnsi="宋体" w:eastAsia="宋体" w:cs="宋体"/>
                <w:spacing w:val="-2"/>
                <w:sz w:val="20"/>
                <w:szCs w:val="20"/>
              </w:rPr>
              <w:t>保障性</w:t>
            </w:r>
          </w:p>
        </w:tc>
        <w:tc>
          <w:tcPr>
            <w:tcW w:w="1458" w:type="dxa"/>
            <w:vAlign w:val="top"/>
          </w:tcPr>
          <w:p w14:paraId="344CB3CB">
            <w:pPr>
              <w:spacing w:before="128"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02788291">
            <w:pPr>
              <w:spacing w:before="128"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7FE3A9C4">
            <w:pPr>
              <w:spacing w:before="128" w:line="237" w:lineRule="auto"/>
              <w:ind w:left="808"/>
              <w:rPr>
                <w:rFonts w:ascii="宋体" w:hAnsi="宋体" w:eastAsia="宋体" w:cs="宋体"/>
                <w:sz w:val="20"/>
                <w:szCs w:val="20"/>
              </w:rPr>
            </w:pPr>
            <w:r>
              <w:rPr>
                <w:rFonts w:ascii="宋体" w:hAnsi="宋体" w:eastAsia="宋体" w:cs="宋体"/>
                <w:sz w:val="20"/>
                <w:szCs w:val="20"/>
              </w:rPr>
              <w:t>●</w:t>
            </w:r>
          </w:p>
        </w:tc>
      </w:tr>
      <w:tr w14:paraId="72A48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600" w:type="dxa"/>
            <w:vAlign w:val="top"/>
          </w:tcPr>
          <w:p w14:paraId="6A3BB3A8">
            <w:pPr>
              <w:spacing w:before="101" w:line="221" w:lineRule="auto"/>
              <w:ind w:left="325"/>
              <w:rPr>
                <w:rFonts w:ascii="宋体" w:hAnsi="宋体" w:eastAsia="宋体" w:cs="宋体"/>
                <w:sz w:val="20"/>
                <w:szCs w:val="20"/>
              </w:rPr>
            </w:pPr>
            <w:r>
              <w:rPr>
                <w:rFonts w:ascii="宋体" w:hAnsi="宋体" w:eastAsia="宋体" w:cs="宋体"/>
                <w:spacing w:val="-2"/>
                <w:sz w:val="20"/>
                <w:szCs w:val="20"/>
              </w:rPr>
              <w:t>测试性</w:t>
            </w:r>
          </w:p>
        </w:tc>
        <w:tc>
          <w:tcPr>
            <w:tcW w:w="1458" w:type="dxa"/>
            <w:vAlign w:val="top"/>
          </w:tcPr>
          <w:p w14:paraId="7AF4F4C3">
            <w:pPr>
              <w:spacing w:before="118"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0AB816F7">
            <w:pPr>
              <w:spacing w:before="118"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3D04C64D">
            <w:pPr>
              <w:spacing w:before="118" w:line="237" w:lineRule="auto"/>
              <w:ind w:left="808"/>
              <w:rPr>
                <w:rFonts w:ascii="宋体" w:hAnsi="宋体" w:eastAsia="宋体" w:cs="宋体"/>
                <w:sz w:val="20"/>
                <w:szCs w:val="20"/>
              </w:rPr>
            </w:pPr>
            <w:r>
              <w:rPr>
                <w:rFonts w:ascii="宋体" w:hAnsi="宋体" w:eastAsia="宋体" w:cs="宋体"/>
                <w:sz w:val="20"/>
                <w:szCs w:val="20"/>
              </w:rPr>
              <w:t>●</w:t>
            </w:r>
          </w:p>
        </w:tc>
      </w:tr>
      <w:tr w14:paraId="1BF48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5BE960A6">
            <w:pPr>
              <w:spacing w:before="112" w:line="221" w:lineRule="auto"/>
              <w:ind w:left="325"/>
              <w:rPr>
                <w:rFonts w:ascii="宋体" w:hAnsi="宋体" w:eastAsia="宋体" w:cs="宋体"/>
                <w:sz w:val="20"/>
                <w:szCs w:val="20"/>
              </w:rPr>
            </w:pPr>
            <w:r>
              <w:rPr>
                <w:rFonts w:ascii="宋体" w:hAnsi="宋体" w:eastAsia="宋体" w:cs="宋体"/>
                <w:spacing w:val="-3"/>
                <w:sz w:val="20"/>
                <w:szCs w:val="20"/>
              </w:rPr>
              <w:t>耐久性</w:t>
            </w:r>
          </w:p>
        </w:tc>
        <w:tc>
          <w:tcPr>
            <w:tcW w:w="1458" w:type="dxa"/>
            <w:vAlign w:val="top"/>
          </w:tcPr>
          <w:p w14:paraId="261AC462">
            <w:pPr>
              <w:spacing w:before="129"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4B8DB152">
            <w:pPr>
              <w:spacing w:before="129"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71D7A3BE">
            <w:pPr>
              <w:spacing w:before="129" w:line="237" w:lineRule="auto"/>
              <w:ind w:left="808"/>
              <w:rPr>
                <w:rFonts w:ascii="宋体" w:hAnsi="宋体" w:eastAsia="宋体" w:cs="宋体"/>
                <w:sz w:val="20"/>
                <w:szCs w:val="20"/>
              </w:rPr>
            </w:pPr>
            <w:r>
              <w:rPr>
                <w:rFonts w:ascii="宋体" w:hAnsi="宋体" w:eastAsia="宋体" w:cs="宋体"/>
                <w:sz w:val="20"/>
                <w:szCs w:val="20"/>
              </w:rPr>
              <w:t>●</w:t>
            </w:r>
          </w:p>
        </w:tc>
      </w:tr>
      <w:tr w14:paraId="33294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4600" w:type="dxa"/>
            <w:vAlign w:val="top"/>
          </w:tcPr>
          <w:p w14:paraId="6D24F829">
            <w:pPr>
              <w:spacing w:before="102" w:line="221" w:lineRule="auto"/>
              <w:ind w:left="325"/>
              <w:rPr>
                <w:rFonts w:ascii="宋体" w:hAnsi="宋体" w:eastAsia="宋体" w:cs="宋体"/>
                <w:sz w:val="20"/>
                <w:szCs w:val="20"/>
              </w:rPr>
            </w:pPr>
            <w:r>
              <w:rPr>
                <w:rFonts w:ascii="宋体" w:hAnsi="宋体" w:eastAsia="宋体" w:cs="宋体"/>
                <w:spacing w:val="-3"/>
                <w:sz w:val="20"/>
                <w:szCs w:val="20"/>
              </w:rPr>
              <w:t>安全性</w:t>
            </w:r>
          </w:p>
        </w:tc>
        <w:tc>
          <w:tcPr>
            <w:tcW w:w="1458" w:type="dxa"/>
            <w:vAlign w:val="top"/>
          </w:tcPr>
          <w:p w14:paraId="2FAF0010">
            <w:pPr>
              <w:spacing w:before="119"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71AE3A1C">
            <w:pPr>
              <w:spacing w:before="119"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75F72A63">
            <w:pPr>
              <w:spacing w:before="119" w:line="237" w:lineRule="auto"/>
              <w:ind w:left="808"/>
              <w:rPr>
                <w:rFonts w:ascii="宋体" w:hAnsi="宋体" w:eastAsia="宋体" w:cs="宋体"/>
                <w:sz w:val="20"/>
                <w:szCs w:val="20"/>
              </w:rPr>
            </w:pPr>
            <w:r>
              <w:rPr>
                <w:rFonts w:ascii="宋体" w:hAnsi="宋体" w:eastAsia="宋体" w:cs="宋体"/>
                <w:sz w:val="20"/>
                <w:szCs w:val="20"/>
              </w:rPr>
              <w:t>●</w:t>
            </w:r>
          </w:p>
        </w:tc>
      </w:tr>
      <w:tr w14:paraId="09BCA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4600" w:type="dxa"/>
            <w:vAlign w:val="top"/>
          </w:tcPr>
          <w:p w14:paraId="375CA522">
            <w:pPr>
              <w:spacing w:before="111" w:line="219" w:lineRule="auto"/>
              <w:ind w:left="325"/>
              <w:rPr>
                <w:rFonts w:ascii="宋体" w:hAnsi="宋体" w:eastAsia="宋体" w:cs="宋体"/>
                <w:sz w:val="20"/>
                <w:szCs w:val="20"/>
              </w:rPr>
            </w:pPr>
            <w:r>
              <w:rPr>
                <w:rFonts w:ascii="宋体" w:hAnsi="宋体" w:eastAsia="宋体" w:cs="宋体"/>
                <w:spacing w:val="-2"/>
                <w:sz w:val="20"/>
                <w:szCs w:val="20"/>
              </w:rPr>
              <w:t>信息安全</w:t>
            </w:r>
          </w:p>
        </w:tc>
        <w:tc>
          <w:tcPr>
            <w:tcW w:w="1458" w:type="dxa"/>
            <w:vAlign w:val="top"/>
          </w:tcPr>
          <w:p w14:paraId="426F0971">
            <w:pPr>
              <w:spacing w:before="129"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69D1E959">
            <w:pPr>
              <w:spacing w:before="129"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62A12D28">
            <w:pPr>
              <w:spacing w:before="129" w:line="237" w:lineRule="auto"/>
              <w:ind w:left="808"/>
              <w:rPr>
                <w:rFonts w:ascii="宋体" w:hAnsi="宋体" w:eastAsia="宋体" w:cs="宋体"/>
                <w:sz w:val="20"/>
                <w:szCs w:val="20"/>
              </w:rPr>
            </w:pPr>
            <w:r>
              <w:rPr>
                <w:rFonts w:ascii="宋体" w:hAnsi="宋体" w:eastAsia="宋体" w:cs="宋体"/>
                <w:sz w:val="20"/>
                <w:szCs w:val="20"/>
              </w:rPr>
              <w:t>●</w:t>
            </w:r>
          </w:p>
        </w:tc>
      </w:tr>
      <w:tr w14:paraId="1B4E3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600" w:type="dxa"/>
            <w:vAlign w:val="top"/>
          </w:tcPr>
          <w:p w14:paraId="74D03AB3">
            <w:pPr>
              <w:spacing w:before="102" w:line="219" w:lineRule="auto"/>
              <w:ind w:left="325"/>
              <w:rPr>
                <w:rFonts w:ascii="宋体" w:hAnsi="宋体" w:eastAsia="宋体" w:cs="宋体"/>
                <w:sz w:val="20"/>
                <w:szCs w:val="20"/>
              </w:rPr>
            </w:pPr>
            <w:r>
              <w:rPr>
                <w:rFonts w:ascii="宋体" w:hAnsi="宋体" w:eastAsia="宋体" w:cs="宋体"/>
                <w:spacing w:val="2"/>
                <w:sz w:val="20"/>
                <w:szCs w:val="20"/>
              </w:rPr>
              <w:t>隐蔽性</w:t>
            </w:r>
          </w:p>
        </w:tc>
        <w:tc>
          <w:tcPr>
            <w:tcW w:w="1458" w:type="dxa"/>
            <w:vAlign w:val="top"/>
          </w:tcPr>
          <w:p w14:paraId="361ADE88">
            <w:pPr>
              <w:spacing w:before="120"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705C15EA">
            <w:pPr>
              <w:spacing w:before="120"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0630E9D1">
            <w:pPr>
              <w:spacing w:before="120" w:line="237" w:lineRule="auto"/>
              <w:ind w:left="808"/>
              <w:rPr>
                <w:rFonts w:ascii="宋体" w:hAnsi="宋体" w:eastAsia="宋体" w:cs="宋体"/>
                <w:sz w:val="20"/>
                <w:szCs w:val="20"/>
              </w:rPr>
            </w:pPr>
            <w:r>
              <w:rPr>
                <w:rFonts w:ascii="宋体" w:hAnsi="宋体" w:eastAsia="宋体" w:cs="宋体"/>
                <w:sz w:val="20"/>
                <w:szCs w:val="20"/>
              </w:rPr>
              <w:t>●</w:t>
            </w:r>
          </w:p>
        </w:tc>
      </w:tr>
      <w:tr w14:paraId="1B74E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4600" w:type="dxa"/>
            <w:vAlign w:val="top"/>
          </w:tcPr>
          <w:p w14:paraId="39927FFF">
            <w:pPr>
              <w:spacing w:before="112" w:line="219" w:lineRule="auto"/>
              <w:ind w:left="325"/>
              <w:rPr>
                <w:rFonts w:ascii="宋体" w:hAnsi="宋体" w:eastAsia="宋体" w:cs="宋体"/>
                <w:sz w:val="20"/>
                <w:szCs w:val="20"/>
              </w:rPr>
            </w:pPr>
            <w:r>
              <w:rPr>
                <w:rFonts w:ascii="宋体" w:hAnsi="宋体" w:eastAsia="宋体" w:cs="宋体"/>
                <w:spacing w:val="-3"/>
                <w:sz w:val="20"/>
                <w:szCs w:val="20"/>
              </w:rPr>
              <w:t>兼容性</w:t>
            </w:r>
          </w:p>
        </w:tc>
        <w:tc>
          <w:tcPr>
            <w:tcW w:w="1458" w:type="dxa"/>
            <w:vAlign w:val="top"/>
          </w:tcPr>
          <w:p w14:paraId="0415BE4E">
            <w:pPr>
              <w:spacing w:before="130"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628DF325">
            <w:pPr>
              <w:spacing w:before="130"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57010440">
            <w:pPr>
              <w:spacing w:before="130" w:line="237" w:lineRule="auto"/>
              <w:ind w:left="808"/>
              <w:rPr>
                <w:rFonts w:ascii="宋体" w:hAnsi="宋体" w:eastAsia="宋体" w:cs="宋体"/>
                <w:sz w:val="20"/>
                <w:szCs w:val="20"/>
              </w:rPr>
            </w:pPr>
            <w:r>
              <w:rPr>
                <w:rFonts w:ascii="宋体" w:hAnsi="宋体" w:eastAsia="宋体" w:cs="宋体"/>
                <w:sz w:val="20"/>
                <w:szCs w:val="20"/>
              </w:rPr>
              <w:t>●</w:t>
            </w:r>
          </w:p>
        </w:tc>
      </w:tr>
      <w:tr w14:paraId="1974A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600" w:type="dxa"/>
            <w:vAlign w:val="top"/>
          </w:tcPr>
          <w:p w14:paraId="26B29965">
            <w:pPr>
              <w:spacing w:before="102" w:line="219" w:lineRule="auto"/>
              <w:ind w:left="325"/>
              <w:rPr>
                <w:rFonts w:ascii="宋体" w:hAnsi="宋体" w:eastAsia="宋体" w:cs="宋体"/>
                <w:sz w:val="20"/>
                <w:szCs w:val="20"/>
              </w:rPr>
            </w:pPr>
            <w:r>
              <w:rPr>
                <w:rFonts w:ascii="宋体" w:hAnsi="宋体" w:eastAsia="宋体" w:cs="宋体"/>
                <w:spacing w:val="-2"/>
                <w:sz w:val="20"/>
                <w:szCs w:val="20"/>
              </w:rPr>
              <w:t>运输性</w:t>
            </w:r>
          </w:p>
        </w:tc>
        <w:tc>
          <w:tcPr>
            <w:tcW w:w="1458" w:type="dxa"/>
            <w:vAlign w:val="top"/>
          </w:tcPr>
          <w:p w14:paraId="01DA9927">
            <w:pPr>
              <w:spacing w:before="120"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6498F5C9">
            <w:pPr>
              <w:spacing w:before="120"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796DDE4C">
            <w:pPr>
              <w:spacing w:before="120" w:line="237" w:lineRule="auto"/>
              <w:ind w:left="808"/>
              <w:rPr>
                <w:rFonts w:ascii="宋体" w:hAnsi="宋体" w:eastAsia="宋体" w:cs="宋体"/>
                <w:sz w:val="20"/>
                <w:szCs w:val="20"/>
              </w:rPr>
            </w:pPr>
            <w:r>
              <w:rPr>
                <w:rFonts w:ascii="宋体" w:hAnsi="宋体" w:eastAsia="宋体" w:cs="宋体"/>
                <w:sz w:val="20"/>
                <w:szCs w:val="20"/>
              </w:rPr>
              <w:t>●</w:t>
            </w:r>
          </w:p>
        </w:tc>
      </w:tr>
      <w:tr w14:paraId="18602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600" w:type="dxa"/>
            <w:vAlign w:val="top"/>
          </w:tcPr>
          <w:p w14:paraId="6F9B95D9">
            <w:pPr>
              <w:spacing w:before="101" w:line="219" w:lineRule="auto"/>
              <w:ind w:left="325"/>
              <w:rPr>
                <w:rFonts w:ascii="宋体" w:hAnsi="宋体" w:eastAsia="宋体" w:cs="宋体"/>
                <w:sz w:val="20"/>
                <w:szCs w:val="20"/>
              </w:rPr>
            </w:pPr>
            <w:r>
              <w:rPr>
                <w:rFonts w:ascii="宋体" w:hAnsi="宋体" w:eastAsia="宋体" w:cs="宋体"/>
                <w:spacing w:val="-2"/>
                <w:sz w:val="20"/>
                <w:szCs w:val="20"/>
              </w:rPr>
              <w:t>人机工程</w:t>
            </w:r>
          </w:p>
        </w:tc>
        <w:tc>
          <w:tcPr>
            <w:tcW w:w="1458" w:type="dxa"/>
            <w:vAlign w:val="top"/>
          </w:tcPr>
          <w:p w14:paraId="06D4543A">
            <w:pPr>
              <w:spacing w:before="120"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5FDC49CC">
            <w:pPr>
              <w:spacing w:before="120"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0C600CFE">
            <w:pPr>
              <w:spacing w:before="120" w:line="237" w:lineRule="auto"/>
              <w:ind w:left="808"/>
              <w:rPr>
                <w:rFonts w:ascii="宋体" w:hAnsi="宋体" w:eastAsia="宋体" w:cs="宋体"/>
                <w:sz w:val="20"/>
                <w:szCs w:val="20"/>
              </w:rPr>
            </w:pPr>
            <w:r>
              <w:rPr>
                <w:rFonts w:ascii="宋体" w:hAnsi="宋体" w:eastAsia="宋体" w:cs="宋体"/>
                <w:sz w:val="20"/>
                <w:szCs w:val="20"/>
              </w:rPr>
              <w:t>●</w:t>
            </w:r>
          </w:p>
        </w:tc>
      </w:tr>
      <w:tr w14:paraId="24D0D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4600" w:type="dxa"/>
            <w:vAlign w:val="top"/>
          </w:tcPr>
          <w:p w14:paraId="25D1B09A">
            <w:pPr>
              <w:spacing w:before="103" w:line="220" w:lineRule="auto"/>
              <w:ind w:left="325"/>
              <w:rPr>
                <w:rFonts w:ascii="宋体" w:hAnsi="宋体" w:eastAsia="宋体" w:cs="宋体"/>
                <w:sz w:val="20"/>
                <w:szCs w:val="20"/>
              </w:rPr>
            </w:pPr>
            <w:r>
              <w:rPr>
                <w:rFonts w:ascii="宋体" w:hAnsi="宋体" w:eastAsia="宋体" w:cs="宋体"/>
                <w:spacing w:val="-3"/>
                <w:sz w:val="20"/>
                <w:szCs w:val="20"/>
              </w:rPr>
              <w:t>互换性</w:t>
            </w:r>
          </w:p>
        </w:tc>
        <w:tc>
          <w:tcPr>
            <w:tcW w:w="1458" w:type="dxa"/>
            <w:vAlign w:val="top"/>
          </w:tcPr>
          <w:p w14:paraId="671BF17E">
            <w:pPr>
              <w:spacing w:before="121"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22F76AE1">
            <w:pPr>
              <w:spacing w:before="121"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12703BCE">
            <w:pPr>
              <w:spacing w:before="121" w:line="237" w:lineRule="auto"/>
              <w:ind w:left="808"/>
              <w:rPr>
                <w:rFonts w:ascii="宋体" w:hAnsi="宋体" w:eastAsia="宋体" w:cs="宋体"/>
                <w:sz w:val="20"/>
                <w:szCs w:val="20"/>
              </w:rPr>
            </w:pPr>
            <w:r>
              <w:rPr>
                <w:rFonts w:ascii="宋体" w:hAnsi="宋体" w:eastAsia="宋体" w:cs="宋体"/>
                <w:sz w:val="20"/>
                <w:szCs w:val="20"/>
              </w:rPr>
              <w:t>●</w:t>
            </w:r>
          </w:p>
        </w:tc>
      </w:tr>
      <w:tr w14:paraId="2864C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4600" w:type="dxa"/>
            <w:vAlign w:val="top"/>
          </w:tcPr>
          <w:p w14:paraId="2E7DDF09">
            <w:pPr>
              <w:spacing w:before="113" w:line="219" w:lineRule="auto"/>
              <w:ind w:left="325"/>
              <w:rPr>
                <w:rFonts w:ascii="宋体" w:hAnsi="宋体" w:eastAsia="宋体" w:cs="宋体"/>
                <w:sz w:val="20"/>
                <w:szCs w:val="20"/>
              </w:rPr>
            </w:pPr>
            <w:r>
              <w:rPr>
                <w:rFonts w:ascii="宋体" w:hAnsi="宋体" w:eastAsia="宋体" w:cs="宋体"/>
                <w:spacing w:val="-2"/>
                <w:sz w:val="20"/>
                <w:szCs w:val="20"/>
              </w:rPr>
              <w:t>稳定性</w:t>
            </w:r>
          </w:p>
        </w:tc>
        <w:tc>
          <w:tcPr>
            <w:tcW w:w="1458" w:type="dxa"/>
            <w:vAlign w:val="top"/>
          </w:tcPr>
          <w:p w14:paraId="779D2B68">
            <w:pPr>
              <w:spacing w:before="208"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64814C01">
            <w:pPr>
              <w:spacing w:before="131"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4443D20F">
            <w:pPr>
              <w:spacing w:before="131" w:line="237" w:lineRule="auto"/>
              <w:ind w:left="808"/>
              <w:rPr>
                <w:rFonts w:ascii="宋体" w:hAnsi="宋体" w:eastAsia="宋体" w:cs="宋体"/>
                <w:sz w:val="20"/>
                <w:szCs w:val="20"/>
              </w:rPr>
            </w:pPr>
            <w:r>
              <w:rPr>
                <w:rFonts w:ascii="宋体" w:hAnsi="宋体" w:eastAsia="宋体" w:cs="宋体"/>
                <w:sz w:val="20"/>
                <w:szCs w:val="20"/>
              </w:rPr>
              <w:t>●</w:t>
            </w:r>
          </w:p>
        </w:tc>
      </w:tr>
      <w:tr w14:paraId="658C0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600" w:type="dxa"/>
            <w:vAlign w:val="top"/>
          </w:tcPr>
          <w:p w14:paraId="2C20C9F6">
            <w:pPr>
              <w:spacing w:before="104" w:line="219" w:lineRule="auto"/>
              <w:ind w:left="325"/>
              <w:rPr>
                <w:rFonts w:ascii="宋体" w:hAnsi="宋体" w:eastAsia="宋体" w:cs="宋体"/>
                <w:sz w:val="20"/>
                <w:szCs w:val="20"/>
              </w:rPr>
            </w:pPr>
            <w:r>
              <w:rPr>
                <w:rFonts w:ascii="宋体" w:hAnsi="宋体" w:eastAsia="宋体" w:cs="宋体"/>
                <w:spacing w:val="-2"/>
                <w:sz w:val="20"/>
                <w:szCs w:val="20"/>
              </w:rPr>
              <w:t>综合保障</w:t>
            </w:r>
          </w:p>
        </w:tc>
        <w:tc>
          <w:tcPr>
            <w:tcW w:w="1458" w:type="dxa"/>
            <w:vAlign w:val="top"/>
          </w:tcPr>
          <w:p w14:paraId="071BE7AC">
            <w:pPr>
              <w:spacing w:before="122"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1B9BCEDD">
            <w:pPr>
              <w:spacing w:before="122"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21D59FE0">
            <w:pPr>
              <w:spacing w:before="122" w:line="237" w:lineRule="auto"/>
              <w:ind w:left="808"/>
              <w:rPr>
                <w:rFonts w:ascii="宋体" w:hAnsi="宋体" w:eastAsia="宋体" w:cs="宋体"/>
                <w:sz w:val="20"/>
                <w:szCs w:val="20"/>
              </w:rPr>
            </w:pPr>
            <w:r>
              <w:rPr>
                <w:rFonts w:ascii="宋体" w:hAnsi="宋体" w:eastAsia="宋体" w:cs="宋体"/>
                <w:sz w:val="20"/>
                <w:szCs w:val="20"/>
              </w:rPr>
              <w:t>●</w:t>
            </w:r>
          </w:p>
        </w:tc>
      </w:tr>
      <w:tr w14:paraId="6F6EC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20D7D6AF">
            <w:pPr>
              <w:spacing w:before="116" w:line="221" w:lineRule="auto"/>
              <w:ind w:left="325"/>
              <w:rPr>
                <w:rFonts w:ascii="宋体" w:hAnsi="宋体" w:eastAsia="宋体" w:cs="宋体"/>
                <w:sz w:val="20"/>
                <w:szCs w:val="20"/>
              </w:rPr>
            </w:pPr>
            <w:r>
              <w:rPr>
                <w:rFonts w:ascii="宋体" w:hAnsi="宋体" w:eastAsia="宋体" w:cs="宋体"/>
                <w:spacing w:val="14"/>
                <w:sz w:val="20"/>
                <w:szCs w:val="20"/>
              </w:rPr>
              <w:t>接口</w:t>
            </w:r>
          </w:p>
        </w:tc>
        <w:tc>
          <w:tcPr>
            <w:tcW w:w="1458" w:type="dxa"/>
            <w:vAlign w:val="top"/>
          </w:tcPr>
          <w:p w14:paraId="703B2E75">
            <w:pPr>
              <w:spacing w:before="133"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60BA918E">
            <w:pPr>
              <w:spacing w:before="133"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590677F4">
            <w:pPr>
              <w:spacing w:before="133" w:line="237" w:lineRule="auto"/>
              <w:ind w:left="808"/>
              <w:rPr>
                <w:rFonts w:ascii="宋体" w:hAnsi="宋体" w:eastAsia="宋体" w:cs="宋体"/>
                <w:sz w:val="20"/>
                <w:szCs w:val="20"/>
              </w:rPr>
            </w:pPr>
            <w:r>
              <w:rPr>
                <w:rFonts w:ascii="宋体" w:hAnsi="宋体" w:eastAsia="宋体" w:cs="宋体"/>
                <w:sz w:val="20"/>
                <w:szCs w:val="20"/>
              </w:rPr>
              <w:t>●</w:t>
            </w:r>
          </w:p>
        </w:tc>
      </w:tr>
      <w:tr w14:paraId="3F21E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600" w:type="dxa"/>
            <w:vAlign w:val="top"/>
          </w:tcPr>
          <w:p w14:paraId="6FDC8B04">
            <w:pPr>
              <w:spacing w:before="105" w:line="219" w:lineRule="auto"/>
              <w:ind w:left="325"/>
              <w:rPr>
                <w:rFonts w:ascii="宋体" w:hAnsi="宋体" w:eastAsia="宋体" w:cs="宋体"/>
                <w:sz w:val="20"/>
                <w:szCs w:val="20"/>
              </w:rPr>
            </w:pPr>
            <w:r>
              <w:rPr>
                <w:rFonts w:ascii="宋体" w:hAnsi="宋体" w:eastAsia="宋体" w:cs="宋体"/>
                <w:spacing w:val="-2"/>
                <w:sz w:val="20"/>
                <w:szCs w:val="20"/>
              </w:rPr>
              <w:t>经济可承受性</w:t>
            </w:r>
          </w:p>
        </w:tc>
        <w:tc>
          <w:tcPr>
            <w:tcW w:w="1458" w:type="dxa"/>
            <w:vAlign w:val="top"/>
          </w:tcPr>
          <w:p w14:paraId="5016A7B6">
            <w:pPr>
              <w:spacing w:before="124" w:line="236"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651865A6">
            <w:pPr>
              <w:spacing w:before="124" w:line="236"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59692FBD">
            <w:pPr>
              <w:spacing w:before="124" w:line="236" w:lineRule="auto"/>
              <w:ind w:left="808"/>
              <w:rPr>
                <w:rFonts w:ascii="宋体" w:hAnsi="宋体" w:eastAsia="宋体" w:cs="宋体"/>
                <w:sz w:val="20"/>
                <w:szCs w:val="20"/>
              </w:rPr>
            </w:pPr>
            <w:r>
              <w:rPr>
                <w:rFonts w:ascii="宋体" w:hAnsi="宋体" w:eastAsia="宋体" w:cs="宋体"/>
                <w:sz w:val="20"/>
                <w:szCs w:val="20"/>
              </w:rPr>
              <w:t>●</w:t>
            </w:r>
          </w:p>
        </w:tc>
      </w:tr>
      <w:tr w14:paraId="62892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71680C1F">
            <w:pPr>
              <w:spacing w:before="114" w:line="219" w:lineRule="auto"/>
              <w:ind w:left="325"/>
              <w:rPr>
                <w:rFonts w:ascii="宋体" w:hAnsi="宋体" w:eastAsia="宋体" w:cs="宋体"/>
                <w:sz w:val="20"/>
                <w:szCs w:val="20"/>
              </w:rPr>
            </w:pPr>
            <w:r>
              <w:rPr>
                <w:rFonts w:ascii="宋体" w:hAnsi="宋体" w:eastAsia="宋体" w:cs="宋体"/>
                <w:spacing w:val="-1"/>
                <w:sz w:val="20"/>
                <w:szCs w:val="20"/>
              </w:rPr>
              <w:t>计算机硬件与软件</w:t>
            </w:r>
          </w:p>
        </w:tc>
        <w:tc>
          <w:tcPr>
            <w:tcW w:w="1458" w:type="dxa"/>
            <w:vAlign w:val="top"/>
          </w:tcPr>
          <w:p w14:paraId="059711C7">
            <w:pPr>
              <w:spacing w:before="133"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270729A3">
            <w:pPr>
              <w:spacing w:before="133"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637E4364">
            <w:pPr>
              <w:spacing w:before="133" w:line="237" w:lineRule="auto"/>
              <w:ind w:left="808"/>
              <w:rPr>
                <w:rFonts w:ascii="宋体" w:hAnsi="宋体" w:eastAsia="宋体" w:cs="宋体"/>
                <w:sz w:val="20"/>
                <w:szCs w:val="20"/>
              </w:rPr>
            </w:pPr>
            <w:r>
              <w:rPr>
                <w:rFonts w:ascii="宋体" w:hAnsi="宋体" w:eastAsia="宋体" w:cs="宋体"/>
                <w:sz w:val="20"/>
                <w:szCs w:val="20"/>
              </w:rPr>
              <w:t>●</w:t>
            </w:r>
          </w:p>
        </w:tc>
      </w:tr>
      <w:tr w14:paraId="4B3C8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600" w:type="dxa"/>
            <w:vAlign w:val="top"/>
          </w:tcPr>
          <w:p w14:paraId="73CDF240">
            <w:pPr>
              <w:spacing w:before="103" w:line="219" w:lineRule="auto"/>
              <w:ind w:left="325"/>
              <w:rPr>
                <w:rFonts w:ascii="宋体" w:hAnsi="宋体" w:eastAsia="宋体" w:cs="宋体"/>
                <w:sz w:val="20"/>
                <w:szCs w:val="20"/>
              </w:rPr>
            </w:pPr>
            <w:r>
              <w:rPr>
                <w:rFonts w:ascii="宋体" w:hAnsi="宋体" w:eastAsia="宋体" w:cs="宋体"/>
                <w:spacing w:val="2"/>
                <w:sz w:val="20"/>
                <w:szCs w:val="20"/>
              </w:rPr>
              <w:t>尺寸和体积</w:t>
            </w:r>
          </w:p>
        </w:tc>
        <w:tc>
          <w:tcPr>
            <w:tcW w:w="1458" w:type="dxa"/>
            <w:vAlign w:val="top"/>
          </w:tcPr>
          <w:p w14:paraId="389395EA">
            <w:pPr>
              <w:spacing w:before="123"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087068AE">
            <w:pPr>
              <w:spacing w:before="123"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31D01B80">
            <w:pPr>
              <w:spacing w:before="123" w:line="237" w:lineRule="auto"/>
              <w:ind w:left="808"/>
              <w:rPr>
                <w:rFonts w:ascii="宋体" w:hAnsi="宋体" w:eastAsia="宋体" w:cs="宋体"/>
                <w:sz w:val="20"/>
                <w:szCs w:val="20"/>
              </w:rPr>
            </w:pPr>
            <w:r>
              <w:rPr>
                <w:rFonts w:ascii="宋体" w:hAnsi="宋体" w:eastAsia="宋体" w:cs="宋体"/>
                <w:sz w:val="20"/>
                <w:szCs w:val="20"/>
              </w:rPr>
              <w:t>●</w:t>
            </w:r>
          </w:p>
        </w:tc>
      </w:tr>
      <w:tr w14:paraId="2BAA8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6E5315D4">
            <w:pPr>
              <w:spacing w:before="121" w:line="225" w:lineRule="auto"/>
              <w:ind w:left="325"/>
              <w:rPr>
                <w:rFonts w:ascii="宋体" w:hAnsi="宋体" w:eastAsia="宋体" w:cs="宋体"/>
                <w:sz w:val="20"/>
                <w:szCs w:val="20"/>
              </w:rPr>
            </w:pPr>
            <w:r>
              <w:rPr>
                <w:rFonts w:ascii="宋体" w:hAnsi="宋体" w:eastAsia="宋体" w:cs="宋体"/>
                <w:spacing w:val="-3"/>
                <w:sz w:val="20"/>
                <w:szCs w:val="20"/>
              </w:rPr>
              <w:t>重量</w:t>
            </w:r>
          </w:p>
        </w:tc>
        <w:tc>
          <w:tcPr>
            <w:tcW w:w="1458" w:type="dxa"/>
            <w:vAlign w:val="top"/>
          </w:tcPr>
          <w:p w14:paraId="68D7FE4C">
            <w:pPr>
              <w:spacing w:before="133"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003EA2D8">
            <w:pPr>
              <w:spacing w:before="133"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13013C0B">
            <w:pPr>
              <w:spacing w:before="133" w:line="237" w:lineRule="auto"/>
              <w:ind w:left="808"/>
              <w:rPr>
                <w:rFonts w:ascii="宋体" w:hAnsi="宋体" w:eastAsia="宋体" w:cs="宋体"/>
                <w:sz w:val="20"/>
                <w:szCs w:val="20"/>
              </w:rPr>
            </w:pPr>
            <w:r>
              <w:rPr>
                <w:rFonts w:ascii="宋体" w:hAnsi="宋体" w:eastAsia="宋体" w:cs="宋体"/>
                <w:sz w:val="20"/>
                <w:szCs w:val="20"/>
              </w:rPr>
              <w:t>●</w:t>
            </w:r>
          </w:p>
        </w:tc>
      </w:tr>
      <w:tr w14:paraId="5126E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2C24C9CA">
            <w:pPr>
              <w:spacing w:before="116" w:line="221" w:lineRule="auto"/>
              <w:ind w:left="325"/>
              <w:rPr>
                <w:rFonts w:ascii="宋体" w:hAnsi="宋体" w:eastAsia="宋体" w:cs="宋体"/>
                <w:sz w:val="20"/>
                <w:szCs w:val="20"/>
              </w:rPr>
            </w:pPr>
            <w:r>
              <w:rPr>
                <w:rFonts w:ascii="宋体" w:hAnsi="宋体" w:eastAsia="宋体" w:cs="宋体"/>
                <w:spacing w:val="-2"/>
                <w:sz w:val="20"/>
                <w:szCs w:val="20"/>
              </w:rPr>
              <w:t>颜色</w:t>
            </w:r>
          </w:p>
        </w:tc>
        <w:tc>
          <w:tcPr>
            <w:tcW w:w="1458" w:type="dxa"/>
            <w:vAlign w:val="top"/>
          </w:tcPr>
          <w:p w14:paraId="1C46C454">
            <w:pPr>
              <w:spacing w:before="133"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3460F0CF">
            <w:pPr>
              <w:spacing w:before="133"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416B67F7">
            <w:pPr>
              <w:spacing w:before="133" w:line="237" w:lineRule="auto"/>
              <w:ind w:left="808"/>
              <w:rPr>
                <w:rFonts w:ascii="宋体" w:hAnsi="宋体" w:eastAsia="宋体" w:cs="宋体"/>
                <w:sz w:val="20"/>
                <w:szCs w:val="20"/>
              </w:rPr>
            </w:pPr>
            <w:r>
              <w:rPr>
                <w:rFonts w:ascii="宋体" w:hAnsi="宋体" w:eastAsia="宋体" w:cs="宋体"/>
                <w:sz w:val="20"/>
                <w:szCs w:val="20"/>
              </w:rPr>
              <w:t>●</w:t>
            </w:r>
          </w:p>
        </w:tc>
      </w:tr>
      <w:tr w14:paraId="6A041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48EF0C93">
            <w:pPr>
              <w:spacing w:before="115" w:line="219" w:lineRule="auto"/>
              <w:ind w:left="325"/>
              <w:rPr>
                <w:rFonts w:ascii="宋体" w:hAnsi="宋体" w:eastAsia="宋体" w:cs="宋体"/>
                <w:sz w:val="20"/>
                <w:szCs w:val="20"/>
              </w:rPr>
            </w:pPr>
            <w:r>
              <w:rPr>
                <w:rFonts w:ascii="宋体" w:hAnsi="宋体" w:eastAsia="宋体" w:cs="宋体"/>
                <w:spacing w:val="5"/>
                <w:sz w:val="20"/>
                <w:szCs w:val="20"/>
              </w:rPr>
              <w:t>抗核加固</w:t>
            </w:r>
          </w:p>
        </w:tc>
        <w:tc>
          <w:tcPr>
            <w:tcW w:w="1458" w:type="dxa"/>
            <w:vAlign w:val="top"/>
          </w:tcPr>
          <w:p w14:paraId="4E27137B">
            <w:pPr>
              <w:spacing w:before="133"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7E8BE65C">
            <w:pPr>
              <w:spacing w:before="133"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152D25BF">
            <w:pPr>
              <w:spacing w:before="210" w:line="155" w:lineRule="exact"/>
              <w:ind w:left="808"/>
              <w:rPr>
                <w:rFonts w:ascii="宋体" w:hAnsi="宋体" w:eastAsia="宋体" w:cs="宋体"/>
                <w:sz w:val="20"/>
                <w:szCs w:val="20"/>
              </w:rPr>
            </w:pPr>
            <w:r>
              <w:rPr>
                <w:rFonts w:ascii="宋体" w:hAnsi="宋体" w:eastAsia="宋体" w:cs="宋体"/>
                <w:position w:val="-4"/>
                <w:sz w:val="20"/>
                <w:szCs w:val="20"/>
              </w:rPr>
              <w:t>一</w:t>
            </w:r>
          </w:p>
        </w:tc>
      </w:tr>
      <w:tr w14:paraId="50C05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600" w:type="dxa"/>
            <w:vAlign w:val="top"/>
          </w:tcPr>
          <w:p w14:paraId="48474E1F">
            <w:pPr>
              <w:spacing w:before="106" w:line="221" w:lineRule="auto"/>
              <w:ind w:left="325"/>
              <w:rPr>
                <w:rFonts w:ascii="宋体" w:hAnsi="宋体" w:eastAsia="宋体" w:cs="宋体"/>
                <w:sz w:val="20"/>
                <w:szCs w:val="20"/>
              </w:rPr>
            </w:pPr>
            <w:r>
              <w:rPr>
                <w:rFonts w:ascii="宋体" w:hAnsi="宋体" w:eastAsia="宋体" w:cs="宋体"/>
                <w:spacing w:val="2"/>
                <w:sz w:val="20"/>
                <w:szCs w:val="20"/>
              </w:rPr>
              <w:t>理化性能</w:t>
            </w:r>
          </w:p>
        </w:tc>
        <w:tc>
          <w:tcPr>
            <w:tcW w:w="1458" w:type="dxa"/>
            <w:vAlign w:val="top"/>
          </w:tcPr>
          <w:p w14:paraId="6F2E2C25">
            <w:pPr>
              <w:spacing w:before="200"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0C0C3FA3">
            <w:pPr>
              <w:spacing w:before="200"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08642680">
            <w:pPr>
              <w:spacing w:before="123" w:line="237" w:lineRule="auto"/>
              <w:ind w:left="808"/>
              <w:rPr>
                <w:rFonts w:ascii="宋体" w:hAnsi="宋体" w:eastAsia="宋体" w:cs="宋体"/>
                <w:sz w:val="20"/>
                <w:szCs w:val="20"/>
              </w:rPr>
            </w:pPr>
            <w:r>
              <w:rPr>
                <w:rFonts w:ascii="宋体" w:hAnsi="宋体" w:eastAsia="宋体" w:cs="宋体"/>
                <w:sz w:val="20"/>
                <w:szCs w:val="20"/>
              </w:rPr>
              <w:t>●</w:t>
            </w:r>
          </w:p>
        </w:tc>
      </w:tr>
      <w:tr w14:paraId="5426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05A5AFCB">
            <w:pPr>
              <w:spacing w:before="116" w:line="219" w:lineRule="auto"/>
              <w:ind w:left="325"/>
              <w:rPr>
                <w:rFonts w:ascii="宋体" w:hAnsi="宋体" w:eastAsia="宋体" w:cs="宋体"/>
                <w:sz w:val="20"/>
                <w:szCs w:val="20"/>
              </w:rPr>
            </w:pPr>
            <w:r>
              <w:rPr>
                <w:rFonts w:ascii="宋体" w:hAnsi="宋体" w:eastAsia="宋体" w:cs="宋体"/>
                <w:spacing w:val="4"/>
                <w:sz w:val="20"/>
                <w:szCs w:val="20"/>
              </w:rPr>
              <w:t>能耗</w:t>
            </w:r>
          </w:p>
        </w:tc>
        <w:tc>
          <w:tcPr>
            <w:tcW w:w="1458" w:type="dxa"/>
            <w:vAlign w:val="top"/>
          </w:tcPr>
          <w:p w14:paraId="79E207FA">
            <w:pPr>
              <w:spacing w:before="134"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374B7289">
            <w:pPr>
              <w:spacing w:before="134"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6D8B9AB5">
            <w:pPr>
              <w:spacing w:before="134" w:line="237" w:lineRule="auto"/>
              <w:ind w:left="808"/>
              <w:rPr>
                <w:rFonts w:ascii="宋体" w:hAnsi="宋体" w:eastAsia="宋体" w:cs="宋体"/>
                <w:sz w:val="20"/>
                <w:szCs w:val="20"/>
              </w:rPr>
            </w:pPr>
            <w:r>
              <w:rPr>
                <w:rFonts w:ascii="宋体" w:hAnsi="宋体" w:eastAsia="宋体" w:cs="宋体"/>
                <w:sz w:val="20"/>
                <w:szCs w:val="20"/>
              </w:rPr>
              <w:t>●</w:t>
            </w:r>
          </w:p>
        </w:tc>
      </w:tr>
      <w:tr w14:paraId="6CB9B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4600" w:type="dxa"/>
            <w:vAlign w:val="top"/>
          </w:tcPr>
          <w:p w14:paraId="7BAE08C1">
            <w:pPr>
              <w:spacing w:before="104" w:line="219" w:lineRule="auto"/>
              <w:ind w:left="325"/>
              <w:rPr>
                <w:rFonts w:ascii="宋体" w:hAnsi="宋体" w:eastAsia="宋体" w:cs="宋体"/>
                <w:sz w:val="20"/>
                <w:szCs w:val="20"/>
              </w:rPr>
            </w:pPr>
            <w:r>
              <w:rPr>
                <w:rFonts w:ascii="宋体" w:hAnsi="宋体" w:eastAsia="宋体" w:cs="宋体"/>
                <w:spacing w:val="-2"/>
                <w:sz w:val="20"/>
                <w:szCs w:val="20"/>
              </w:rPr>
              <w:t>材料</w:t>
            </w:r>
          </w:p>
        </w:tc>
        <w:tc>
          <w:tcPr>
            <w:tcW w:w="1458" w:type="dxa"/>
            <w:vAlign w:val="top"/>
          </w:tcPr>
          <w:p w14:paraId="7039D954">
            <w:pPr>
              <w:spacing w:before="201"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73958F35">
            <w:pPr>
              <w:spacing w:before="124" w:line="235"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07E57EE5">
            <w:pPr>
              <w:spacing w:before="124" w:line="235" w:lineRule="auto"/>
              <w:ind w:left="808"/>
              <w:rPr>
                <w:rFonts w:ascii="宋体" w:hAnsi="宋体" w:eastAsia="宋体" w:cs="宋体"/>
                <w:sz w:val="20"/>
                <w:szCs w:val="20"/>
              </w:rPr>
            </w:pPr>
            <w:r>
              <w:rPr>
                <w:rFonts w:ascii="宋体" w:hAnsi="宋体" w:eastAsia="宋体" w:cs="宋体"/>
                <w:sz w:val="20"/>
                <w:szCs w:val="20"/>
              </w:rPr>
              <w:t>●</w:t>
            </w:r>
          </w:p>
        </w:tc>
      </w:tr>
      <w:tr w14:paraId="0C7F0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4600" w:type="dxa"/>
            <w:vAlign w:val="top"/>
          </w:tcPr>
          <w:p w14:paraId="625E4FAA">
            <w:pPr>
              <w:spacing w:before="117" w:line="220" w:lineRule="auto"/>
              <w:ind w:left="325"/>
              <w:rPr>
                <w:rFonts w:ascii="宋体" w:hAnsi="宋体" w:eastAsia="宋体" w:cs="宋体"/>
                <w:sz w:val="20"/>
                <w:szCs w:val="20"/>
              </w:rPr>
            </w:pPr>
            <w:r>
              <w:rPr>
                <w:rFonts w:ascii="宋体" w:hAnsi="宋体" w:eastAsia="宋体" w:cs="宋体"/>
                <w:spacing w:val="7"/>
                <w:sz w:val="20"/>
                <w:szCs w:val="20"/>
              </w:rPr>
              <w:t>非研制项目</w:t>
            </w:r>
          </w:p>
        </w:tc>
        <w:tc>
          <w:tcPr>
            <w:tcW w:w="1458" w:type="dxa"/>
            <w:vAlign w:val="top"/>
          </w:tcPr>
          <w:p w14:paraId="0ED4979C">
            <w:pPr>
              <w:spacing w:before="135"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1DBBBD43">
            <w:pPr>
              <w:spacing w:before="135"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39DD0E84">
            <w:pPr>
              <w:spacing w:before="135" w:line="237" w:lineRule="auto"/>
              <w:ind w:left="808"/>
              <w:rPr>
                <w:rFonts w:ascii="宋体" w:hAnsi="宋体" w:eastAsia="宋体" w:cs="宋体"/>
                <w:sz w:val="20"/>
                <w:szCs w:val="20"/>
              </w:rPr>
            </w:pPr>
            <w:r>
              <w:rPr>
                <w:rFonts w:ascii="宋体" w:hAnsi="宋体" w:eastAsia="宋体" w:cs="宋体"/>
                <w:sz w:val="20"/>
                <w:szCs w:val="20"/>
              </w:rPr>
              <w:t>●</w:t>
            </w:r>
          </w:p>
        </w:tc>
      </w:tr>
      <w:tr w14:paraId="03E31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600" w:type="dxa"/>
            <w:vAlign w:val="top"/>
          </w:tcPr>
          <w:p w14:paraId="72DE7246">
            <w:pPr>
              <w:spacing w:before="108" w:line="220" w:lineRule="auto"/>
              <w:ind w:left="325"/>
              <w:rPr>
                <w:rFonts w:ascii="宋体" w:hAnsi="宋体" w:eastAsia="宋体" w:cs="宋体"/>
                <w:sz w:val="20"/>
                <w:szCs w:val="20"/>
              </w:rPr>
            </w:pPr>
            <w:r>
              <w:rPr>
                <w:rFonts w:ascii="宋体" w:hAnsi="宋体" w:eastAsia="宋体" w:cs="宋体"/>
                <w:spacing w:val="-3"/>
                <w:sz w:val="20"/>
                <w:szCs w:val="20"/>
              </w:rPr>
              <w:t>外观质量</w:t>
            </w:r>
          </w:p>
        </w:tc>
        <w:tc>
          <w:tcPr>
            <w:tcW w:w="1458" w:type="dxa"/>
            <w:vAlign w:val="top"/>
          </w:tcPr>
          <w:p w14:paraId="5FD838C0">
            <w:pPr>
              <w:spacing w:before="203"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6AED12A0">
            <w:pPr>
              <w:spacing w:before="203"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68D85F6E">
            <w:pPr>
              <w:spacing w:before="126" w:line="234" w:lineRule="auto"/>
              <w:ind w:left="808"/>
              <w:rPr>
                <w:rFonts w:ascii="宋体" w:hAnsi="宋体" w:eastAsia="宋体" w:cs="宋体"/>
                <w:sz w:val="20"/>
                <w:szCs w:val="20"/>
              </w:rPr>
            </w:pPr>
            <w:r>
              <w:rPr>
                <w:rFonts w:ascii="宋体" w:hAnsi="宋体" w:eastAsia="宋体" w:cs="宋体"/>
                <w:sz w:val="20"/>
                <w:szCs w:val="20"/>
              </w:rPr>
              <w:t>●</w:t>
            </w:r>
          </w:p>
        </w:tc>
      </w:tr>
      <w:tr w14:paraId="1EE18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4600" w:type="dxa"/>
            <w:vAlign w:val="top"/>
          </w:tcPr>
          <w:p w14:paraId="0514408E">
            <w:pPr>
              <w:spacing w:before="118" w:line="219" w:lineRule="auto"/>
              <w:ind w:left="325"/>
              <w:rPr>
                <w:rFonts w:ascii="宋体" w:hAnsi="宋体" w:eastAsia="宋体" w:cs="宋体"/>
                <w:sz w:val="20"/>
                <w:szCs w:val="20"/>
              </w:rPr>
            </w:pPr>
            <w:r>
              <w:rPr>
                <w:rFonts w:ascii="宋体" w:hAnsi="宋体" w:eastAsia="宋体" w:cs="宋体"/>
                <w:spacing w:val="2"/>
                <w:sz w:val="20"/>
                <w:szCs w:val="20"/>
              </w:rPr>
              <w:t>标志和代号</w:t>
            </w:r>
          </w:p>
        </w:tc>
        <w:tc>
          <w:tcPr>
            <w:tcW w:w="1458" w:type="dxa"/>
            <w:vAlign w:val="top"/>
          </w:tcPr>
          <w:p w14:paraId="115123E8">
            <w:pPr>
              <w:spacing w:before="136"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5390A9D0">
            <w:pPr>
              <w:spacing w:before="136"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3E259669">
            <w:pPr>
              <w:spacing w:before="136" w:line="237" w:lineRule="auto"/>
              <w:ind w:left="808"/>
              <w:rPr>
                <w:rFonts w:ascii="宋体" w:hAnsi="宋体" w:eastAsia="宋体" w:cs="宋体"/>
                <w:sz w:val="20"/>
                <w:szCs w:val="20"/>
              </w:rPr>
            </w:pPr>
            <w:r>
              <w:rPr>
                <w:rFonts w:ascii="宋体" w:hAnsi="宋体" w:eastAsia="宋体" w:cs="宋体"/>
                <w:sz w:val="20"/>
                <w:szCs w:val="20"/>
              </w:rPr>
              <w:t>●</w:t>
            </w:r>
          </w:p>
        </w:tc>
      </w:tr>
      <w:tr w14:paraId="6B933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600" w:type="dxa"/>
            <w:vAlign w:val="top"/>
          </w:tcPr>
          <w:p w14:paraId="111C08E8">
            <w:pPr>
              <w:spacing w:before="108" w:line="219" w:lineRule="auto"/>
              <w:ind w:left="325"/>
              <w:rPr>
                <w:rFonts w:ascii="宋体" w:hAnsi="宋体" w:eastAsia="宋体" w:cs="宋体"/>
                <w:sz w:val="20"/>
                <w:szCs w:val="20"/>
              </w:rPr>
            </w:pPr>
            <w:r>
              <w:rPr>
                <w:rFonts w:ascii="宋体" w:hAnsi="宋体" w:eastAsia="宋体" w:cs="宋体"/>
                <w:spacing w:val="-2"/>
                <w:sz w:val="20"/>
                <w:szCs w:val="20"/>
              </w:rPr>
              <w:t>主要组成部分特性</w:t>
            </w:r>
          </w:p>
        </w:tc>
        <w:tc>
          <w:tcPr>
            <w:tcW w:w="1458" w:type="dxa"/>
            <w:vAlign w:val="top"/>
          </w:tcPr>
          <w:p w14:paraId="35C30B1D">
            <w:pPr>
              <w:spacing w:before="203"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359422AB">
            <w:pPr>
              <w:spacing w:before="203"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019285F9">
            <w:pPr>
              <w:spacing w:before="126" w:line="234" w:lineRule="auto"/>
              <w:ind w:left="808"/>
              <w:rPr>
                <w:rFonts w:ascii="宋体" w:hAnsi="宋体" w:eastAsia="宋体" w:cs="宋体"/>
                <w:sz w:val="20"/>
                <w:szCs w:val="20"/>
              </w:rPr>
            </w:pPr>
            <w:r>
              <w:rPr>
                <w:rFonts w:ascii="宋体" w:hAnsi="宋体" w:eastAsia="宋体" w:cs="宋体"/>
                <w:sz w:val="20"/>
                <w:szCs w:val="20"/>
              </w:rPr>
              <w:t>●</w:t>
            </w:r>
          </w:p>
        </w:tc>
      </w:tr>
      <w:tr w14:paraId="6D047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00" w:type="dxa"/>
            <w:vAlign w:val="top"/>
          </w:tcPr>
          <w:p w14:paraId="34F06F2C">
            <w:pPr>
              <w:spacing w:before="118" w:line="219" w:lineRule="auto"/>
              <w:ind w:left="325"/>
              <w:rPr>
                <w:rFonts w:ascii="宋体" w:hAnsi="宋体" w:eastAsia="宋体" w:cs="宋体"/>
                <w:sz w:val="20"/>
                <w:szCs w:val="20"/>
              </w:rPr>
            </w:pPr>
            <w:r>
              <w:rPr>
                <w:rFonts w:ascii="宋体" w:hAnsi="宋体" w:eastAsia="宋体" w:cs="宋体"/>
                <w:spacing w:val="1"/>
                <w:sz w:val="20"/>
                <w:szCs w:val="20"/>
              </w:rPr>
              <w:t>图样和技术文件</w:t>
            </w:r>
          </w:p>
        </w:tc>
        <w:tc>
          <w:tcPr>
            <w:tcW w:w="1458" w:type="dxa"/>
            <w:vAlign w:val="top"/>
          </w:tcPr>
          <w:p w14:paraId="0FBF776B">
            <w:pPr>
              <w:spacing w:before="213"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58BE81DC">
            <w:pPr>
              <w:spacing w:before="213"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1260734D">
            <w:pPr>
              <w:spacing w:before="136" w:line="237" w:lineRule="auto"/>
              <w:ind w:left="808"/>
              <w:rPr>
                <w:rFonts w:ascii="宋体" w:hAnsi="宋体" w:eastAsia="宋体" w:cs="宋体"/>
                <w:sz w:val="20"/>
                <w:szCs w:val="20"/>
              </w:rPr>
            </w:pPr>
            <w:r>
              <w:rPr>
                <w:rFonts w:ascii="宋体" w:hAnsi="宋体" w:eastAsia="宋体" w:cs="宋体"/>
                <w:sz w:val="20"/>
                <w:szCs w:val="20"/>
              </w:rPr>
              <w:t>●</w:t>
            </w:r>
          </w:p>
        </w:tc>
      </w:tr>
    </w:tbl>
    <w:p w14:paraId="5FC220C9">
      <w:pPr>
        <w:pStyle w:val="2"/>
      </w:pPr>
    </w:p>
    <w:p w14:paraId="76D2742B">
      <w:pPr>
        <w:sectPr>
          <w:footerReference r:id="rId60" w:type="default"/>
          <w:pgSz w:w="11910" w:h="17130"/>
          <w:pgMar w:top="400" w:right="1475" w:bottom="1646" w:left="1064" w:header="0" w:footer="1457" w:gutter="0"/>
          <w:cols w:space="720" w:num="1"/>
        </w:sectPr>
      </w:pPr>
    </w:p>
    <w:p w14:paraId="759CACD1">
      <w:pPr>
        <w:pStyle w:val="2"/>
        <w:spacing w:line="243" w:lineRule="auto"/>
      </w:pPr>
    </w:p>
    <w:p w14:paraId="6DDDAE07">
      <w:pPr>
        <w:pStyle w:val="2"/>
        <w:spacing w:line="243" w:lineRule="auto"/>
      </w:pPr>
    </w:p>
    <w:p w14:paraId="0499D49D">
      <w:pPr>
        <w:pStyle w:val="2"/>
        <w:spacing w:line="243" w:lineRule="auto"/>
      </w:pPr>
    </w:p>
    <w:p w14:paraId="42C85D54">
      <w:pPr>
        <w:pStyle w:val="2"/>
        <w:spacing w:line="243" w:lineRule="auto"/>
      </w:pPr>
    </w:p>
    <w:p w14:paraId="1A4C762F">
      <w:pPr>
        <w:spacing w:before="71" w:line="220" w:lineRule="auto"/>
        <w:ind w:left="8634"/>
        <w:rPr>
          <w:rFonts w:ascii="宋体" w:hAnsi="宋体" w:eastAsia="宋体" w:cs="宋体"/>
          <w:sz w:val="22"/>
          <w:szCs w:val="22"/>
        </w:rPr>
      </w:pPr>
      <w:r>
        <w:rPr>
          <w:rFonts w:ascii="宋体" w:hAnsi="宋体" w:eastAsia="宋体" w:cs="宋体"/>
          <w:spacing w:val="-20"/>
          <w:sz w:val="22"/>
          <w:szCs w:val="22"/>
        </w:rPr>
        <w:t>(</w:t>
      </w:r>
      <w:r>
        <w:rPr>
          <w:rFonts w:ascii="宋体" w:hAnsi="宋体" w:eastAsia="宋体" w:cs="宋体"/>
          <w:spacing w:val="-46"/>
          <w:sz w:val="22"/>
          <w:szCs w:val="22"/>
        </w:rPr>
        <w:t xml:space="preserve"> </w:t>
      </w:r>
      <w:r>
        <w:rPr>
          <w:rFonts w:ascii="宋体" w:hAnsi="宋体" w:eastAsia="宋体" w:cs="宋体"/>
          <w:spacing w:val="-20"/>
          <w:sz w:val="22"/>
          <w:szCs w:val="22"/>
        </w:rPr>
        <w:t>续</w:t>
      </w:r>
      <w:r>
        <w:rPr>
          <w:rFonts w:ascii="宋体" w:hAnsi="宋体" w:eastAsia="宋体" w:cs="宋体"/>
          <w:spacing w:val="-48"/>
          <w:sz w:val="22"/>
          <w:szCs w:val="22"/>
        </w:rPr>
        <w:t xml:space="preserve"> </w:t>
      </w:r>
      <w:r>
        <w:rPr>
          <w:rFonts w:ascii="宋体" w:hAnsi="宋体" w:eastAsia="宋体" w:cs="宋体"/>
          <w:spacing w:val="-20"/>
          <w:sz w:val="22"/>
          <w:szCs w:val="22"/>
        </w:rPr>
        <w:t>)</w:t>
      </w:r>
    </w:p>
    <w:p w14:paraId="19052BEB">
      <w:pPr>
        <w:spacing w:line="163" w:lineRule="exact"/>
      </w:pPr>
    </w:p>
    <w:tbl>
      <w:tblPr>
        <w:tblStyle w:val="5"/>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90"/>
        <w:gridCol w:w="1469"/>
        <w:gridCol w:w="1468"/>
        <w:gridCol w:w="1833"/>
      </w:tblGrid>
      <w:tr w14:paraId="750FA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4590" w:type="dxa"/>
            <w:vAlign w:val="top"/>
          </w:tcPr>
          <w:p w14:paraId="493C2589">
            <w:pPr>
              <w:spacing w:before="101" w:line="219" w:lineRule="auto"/>
              <w:ind w:left="1554"/>
              <w:rPr>
                <w:rFonts w:ascii="宋体" w:hAnsi="宋体" w:eastAsia="宋体" w:cs="宋体"/>
                <w:sz w:val="20"/>
                <w:szCs w:val="20"/>
              </w:rPr>
            </w:pPr>
            <w:r>
              <w:rPr>
                <w:rFonts w:ascii="宋体" w:hAnsi="宋体" w:eastAsia="宋体" w:cs="宋体"/>
                <w:spacing w:val="1"/>
                <w:sz w:val="20"/>
                <w:szCs w:val="20"/>
              </w:rPr>
              <w:t>建议的章条标题</w:t>
            </w:r>
          </w:p>
        </w:tc>
        <w:tc>
          <w:tcPr>
            <w:tcW w:w="1469" w:type="dxa"/>
            <w:vAlign w:val="top"/>
          </w:tcPr>
          <w:p w14:paraId="0006BDD6">
            <w:pPr>
              <w:spacing w:before="104" w:line="221" w:lineRule="auto"/>
              <w:ind w:left="325"/>
              <w:rPr>
                <w:rFonts w:ascii="宋体" w:hAnsi="宋体" w:eastAsia="宋体" w:cs="宋体"/>
                <w:sz w:val="20"/>
                <w:szCs w:val="20"/>
              </w:rPr>
            </w:pPr>
            <w:r>
              <w:rPr>
                <w:rFonts w:ascii="宋体" w:hAnsi="宋体" w:eastAsia="宋体" w:cs="宋体"/>
                <w:spacing w:val="2"/>
                <w:sz w:val="20"/>
                <w:szCs w:val="20"/>
              </w:rPr>
              <w:t>系统规范</w:t>
            </w:r>
          </w:p>
        </w:tc>
        <w:tc>
          <w:tcPr>
            <w:tcW w:w="1468" w:type="dxa"/>
            <w:vAlign w:val="top"/>
          </w:tcPr>
          <w:p w14:paraId="74CE940C">
            <w:pPr>
              <w:spacing w:before="103" w:line="220" w:lineRule="auto"/>
              <w:ind w:left="326"/>
              <w:rPr>
                <w:rFonts w:ascii="宋体" w:hAnsi="宋体" w:eastAsia="宋体" w:cs="宋体"/>
                <w:sz w:val="20"/>
                <w:szCs w:val="20"/>
              </w:rPr>
            </w:pPr>
            <w:r>
              <w:rPr>
                <w:rFonts w:ascii="宋体" w:hAnsi="宋体" w:eastAsia="宋体" w:cs="宋体"/>
                <w:spacing w:val="-2"/>
                <w:sz w:val="20"/>
                <w:szCs w:val="20"/>
              </w:rPr>
              <w:t>研制规范</w:t>
            </w:r>
          </w:p>
        </w:tc>
        <w:tc>
          <w:tcPr>
            <w:tcW w:w="1833" w:type="dxa"/>
            <w:vAlign w:val="top"/>
          </w:tcPr>
          <w:p w14:paraId="6E4B66FA">
            <w:pPr>
              <w:spacing w:before="103" w:line="219" w:lineRule="auto"/>
              <w:ind w:left="508"/>
              <w:rPr>
                <w:rFonts w:ascii="宋体" w:hAnsi="宋体" w:eastAsia="宋体" w:cs="宋体"/>
                <w:sz w:val="20"/>
                <w:szCs w:val="20"/>
              </w:rPr>
            </w:pPr>
            <w:r>
              <w:rPr>
                <w:rFonts w:ascii="宋体" w:hAnsi="宋体" w:eastAsia="宋体" w:cs="宋体"/>
                <w:spacing w:val="-2"/>
                <w:sz w:val="20"/>
                <w:szCs w:val="20"/>
              </w:rPr>
              <w:t>产品规范</w:t>
            </w:r>
          </w:p>
        </w:tc>
      </w:tr>
      <w:tr w14:paraId="7A1D1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3BA98A71">
            <w:pPr>
              <w:spacing w:before="118" w:line="219" w:lineRule="auto"/>
              <w:ind w:left="115"/>
              <w:rPr>
                <w:rFonts w:ascii="宋体" w:hAnsi="宋体" w:eastAsia="宋体" w:cs="宋体"/>
                <w:sz w:val="20"/>
                <w:szCs w:val="20"/>
              </w:rPr>
            </w:pPr>
            <w:r>
              <w:rPr>
                <w:rFonts w:ascii="宋体" w:hAnsi="宋体" w:eastAsia="宋体" w:cs="宋体"/>
                <w:spacing w:val="-2"/>
                <w:sz w:val="20"/>
                <w:szCs w:val="20"/>
              </w:rPr>
              <w:t>标准样件</w:t>
            </w:r>
          </w:p>
        </w:tc>
        <w:tc>
          <w:tcPr>
            <w:tcW w:w="1469" w:type="dxa"/>
            <w:vAlign w:val="top"/>
          </w:tcPr>
          <w:p w14:paraId="18D42E50">
            <w:pPr>
              <w:spacing w:before="213"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608A97A5">
            <w:pPr>
              <w:spacing w:before="213"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5F21DC00">
            <w:pPr>
              <w:rPr>
                <w:rFonts w:ascii="Arial"/>
                <w:sz w:val="21"/>
              </w:rPr>
            </w:pPr>
          </w:p>
        </w:tc>
      </w:tr>
      <w:tr w14:paraId="1C72F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2937BD43">
            <w:pPr>
              <w:spacing w:before="123" w:line="224" w:lineRule="auto"/>
              <w:ind w:left="115"/>
              <w:rPr>
                <w:rFonts w:ascii="宋体" w:hAnsi="宋体" w:eastAsia="宋体" w:cs="宋体"/>
                <w:sz w:val="20"/>
                <w:szCs w:val="20"/>
              </w:rPr>
            </w:pPr>
            <w:r>
              <w:rPr>
                <w:rFonts w:ascii="宋体" w:hAnsi="宋体" w:eastAsia="宋体" w:cs="宋体"/>
                <w:spacing w:val="-5"/>
                <w:sz w:val="20"/>
                <w:szCs w:val="20"/>
              </w:rPr>
              <w:t>4</w:t>
            </w:r>
            <w:r>
              <w:rPr>
                <w:rFonts w:ascii="宋体" w:hAnsi="宋体" w:eastAsia="宋体" w:cs="宋体"/>
                <w:spacing w:val="4"/>
                <w:sz w:val="20"/>
                <w:szCs w:val="20"/>
              </w:rPr>
              <w:t xml:space="preserve"> </w:t>
            </w:r>
            <w:r>
              <w:rPr>
                <w:rFonts w:ascii="宋体" w:hAnsi="宋体" w:eastAsia="宋体" w:cs="宋体"/>
                <w:spacing w:val="-5"/>
                <w:sz w:val="20"/>
                <w:szCs w:val="20"/>
              </w:rPr>
              <w:t>验</w:t>
            </w:r>
            <w:r>
              <w:rPr>
                <w:rFonts w:ascii="宋体" w:hAnsi="宋体" w:eastAsia="宋体" w:cs="宋体"/>
                <w:spacing w:val="6"/>
                <w:sz w:val="20"/>
                <w:szCs w:val="20"/>
              </w:rPr>
              <w:t xml:space="preserve"> </w:t>
            </w:r>
            <w:r>
              <w:rPr>
                <w:rFonts w:ascii="宋体" w:hAnsi="宋体" w:eastAsia="宋体" w:cs="宋体"/>
                <w:spacing w:val="-5"/>
                <w:sz w:val="20"/>
                <w:szCs w:val="20"/>
              </w:rPr>
              <w:t>证</w:t>
            </w:r>
          </w:p>
        </w:tc>
        <w:tc>
          <w:tcPr>
            <w:tcW w:w="1469" w:type="dxa"/>
            <w:vAlign w:val="top"/>
          </w:tcPr>
          <w:p w14:paraId="6367F449">
            <w:pPr>
              <w:spacing w:before="169" w:line="183" w:lineRule="auto"/>
              <w:ind w:left="675"/>
              <w:rPr>
                <w:rFonts w:ascii="宋体" w:hAnsi="宋体" w:eastAsia="宋体" w:cs="宋体"/>
                <w:sz w:val="20"/>
                <w:szCs w:val="20"/>
              </w:rPr>
            </w:pPr>
            <w:r>
              <w:rPr>
                <w:rFonts w:ascii="宋体" w:hAnsi="宋体" w:eastAsia="宋体" w:cs="宋体"/>
                <w:sz w:val="20"/>
                <w:szCs w:val="20"/>
              </w:rPr>
              <w:t>O</w:t>
            </w:r>
          </w:p>
        </w:tc>
        <w:tc>
          <w:tcPr>
            <w:tcW w:w="1468" w:type="dxa"/>
            <w:vAlign w:val="top"/>
          </w:tcPr>
          <w:p w14:paraId="21570CBA">
            <w:pPr>
              <w:spacing w:before="169" w:line="183" w:lineRule="auto"/>
              <w:ind w:left="675"/>
              <w:rPr>
                <w:rFonts w:ascii="宋体" w:hAnsi="宋体" w:eastAsia="宋体" w:cs="宋体"/>
                <w:sz w:val="20"/>
                <w:szCs w:val="20"/>
              </w:rPr>
            </w:pPr>
            <w:r>
              <w:rPr>
                <w:rFonts w:ascii="宋体" w:hAnsi="宋体" w:eastAsia="宋体" w:cs="宋体"/>
                <w:sz w:val="20"/>
                <w:szCs w:val="20"/>
              </w:rPr>
              <w:t>O</w:t>
            </w:r>
          </w:p>
        </w:tc>
        <w:tc>
          <w:tcPr>
            <w:tcW w:w="1833" w:type="dxa"/>
            <w:vAlign w:val="top"/>
          </w:tcPr>
          <w:p w14:paraId="2D67FA68">
            <w:pPr>
              <w:spacing w:before="169" w:line="183" w:lineRule="auto"/>
              <w:ind w:left="857"/>
              <w:rPr>
                <w:rFonts w:ascii="宋体" w:hAnsi="宋体" w:eastAsia="宋体" w:cs="宋体"/>
                <w:sz w:val="20"/>
                <w:szCs w:val="20"/>
              </w:rPr>
            </w:pPr>
            <w:r>
              <w:rPr>
                <w:rFonts w:ascii="宋体" w:hAnsi="宋体" w:eastAsia="宋体" w:cs="宋体"/>
                <w:sz w:val="20"/>
                <w:szCs w:val="20"/>
              </w:rPr>
              <w:t>O</w:t>
            </w:r>
          </w:p>
        </w:tc>
      </w:tr>
      <w:tr w14:paraId="07337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4590" w:type="dxa"/>
            <w:vAlign w:val="top"/>
          </w:tcPr>
          <w:p w14:paraId="0EB61BDE">
            <w:pPr>
              <w:spacing w:before="118" w:line="219" w:lineRule="auto"/>
              <w:ind w:left="115"/>
              <w:rPr>
                <w:rFonts w:ascii="宋体" w:hAnsi="宋体" w:eastAsia="宋体" w:cs="宋体"/>
                <w:sz w:val="20"/>
                <w:szCs w:val="20"/>
              </w:rPr>
            </w:pPr>
            <w:r>
              <w:rPr>
                <w:rFonts w:ascii="宋体" w:hAnsi="宋体" w:eastAsia="宋体" w:cs="宋体"/>
                <w:spacing w:val="-2"/>
                <w:sz w:val="20"/>
                <w:szCs w:val="20"/>
              </w:rPr>
              <w:t>检验分类</w:t>
            </w:r>
          </w:p>
        </w:tc>
        <w:tc>
          <w:tcPr>
            <w:tcW w:w="1469" w:type="dxa"/>
            <w:vAlign w:val="top"/>
          </w:tcPr>
          <w:p w14:paraId="3C9CA121">
            <w:pPr>
              <w:spacing w:before="136"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09DBFD83">
            <w:pPr>
              <w:spacing w:before="136"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6A84B3BE">
            <w:pPr>
              <w:spacing w:before="136" w:line="237" w:lineRule="auto"/>
              <w:ind w:left="807"/>
              <w:rPr>
                <w:rFonts w:ascii="宋体" w:hAnsi="宋体" w:eastAsia="宋体" w:cs="宋体"/>
                <w:sz w:val="20"/>
                <w:szCs w:val="20"/>
              </w:rPr>
            </w:pPr>
            <w:r>
              <w:rPr>
                <w:rFonts w:ascii="宋体" w:hAnsi="宋体" w:eastAsia="宋体" w:cs="宋体"/>
                <w:sz w:val="20"/>
                <w:szCs w:val="20"/>
              </w:rPr>
              <w:t>●</w:t>
            </w:r>
          </w:p>
        </w:tc>
      </w:tr>
      <w:tr w14:paraId="59B7F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4590" w:type="dxa"/>
            <w:vAlign w:val="top"/>
          </w:tcPr>
          <w:p w14:paraId="4F724B5F">
            <w:pPr>
              <w:spacing w:before="118" w:line="219" w:lineRule="auto"/>
              <w:ind w:left="115"/>
              <w:rPr>
                <w:rFonts w:ascii="宋体" w:hAnsi="宋体" w:eastAsia="宋体" w:cs="宋体"/>
                <w:sz w:val="20"/>
                <w:szCs w:val="20"/>
              </w:rPr>
            </w:pPr>
            <w:r>
              <w:rPr>
                <w:rFonts w:ascii="宋体" w:hAnsi="宋体" w:eastAsia="宋体" w:cs="宋体"/>
                <w:spacing w:val="-2"/>
                <w:sz w:val="20"/>
                <w:szCs w:val="20"/>
              </w:rPr>
              <w:t>检验条件</w:t>
            </w:r>
          </w:p>
        </w:tc>
        <w:tc>
          <w:tcPr>
            <w:tcW w:w="1469" w:type="dxa"/>
            <w:vAlign w:val="top"/>
          </w:tcPr>
          <w:p w14:paraId="19BA03D4">
            <w:pPr>
              <w:spacing w:before="136"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23A5E605">
            <w:pPr>
              <w:spacing w:before="136"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1616E0EF">
            <w:pPr>
              <w:spacing w:before="136" w:line="237" w:lineRule="auto"/>
              <w:ind w:left="807"/>
              <w:rPr>
                <w:rFonts w:ascii="宋体" w:hAnsi="宋体" w:eastAsia="宋体" w:cs="宋体"/>
                <w:sz w:val="20"/>
                <w:szCs w:val="20"/>
              </w:rPr>
            </w:pPr>
            <w:r>
              <w:rPr>
                <w:rFonts w:ascii="宋体" w:hAnsi="宋体" w:eastAsia="宋体" w:cs="宋体"/>
                <w:sz w:val="20"/>
                <w:szCs w:val="20"/>
              </w:rPr>
              <w:t>●</w:t>
            </w:r>
          </w:p>
        </w:tc>
      </w:tr>
      <w:tr w14:paraId="666D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21A41114">
            <w:pPr>
              <w:spacing w:before="120" w:line="221" w:lineRule="auto"/>
              <w:ind w:left="115"/>
              <w:rPr>
                <w:rFonts w:ascii="宋体" w:hAnsi="宋体" w:eastAsia="宋体" w:cs="宋体"/>
                <w:sz w:val="20"/>
                <w:szCs w:val="20"/>
              </w:rPr>
            </w:pPr>
            <w:r>
              <w:rPr>
                <w:rFonts w:ascii="宋体" w:hAnsi="宋体" w:eastAsia="宋体" w:cs="宋体"/>
                <w:spacing w:val="-3"/>
                <w:sz w:val="20"/>
                <w:szCs w:val="20"/>
              </w:rPr>
              <w:t>设计验证</w:t>
            </w:r>
          </w:p>
        </w:tc>
        <w:tc>
          <w:tcPr>
            <w:tcW w:w="1469" w:type="dxa"/>
            <w:vAlign w:val="top"/>
          </w:tcPr>
          <w:p w14:paraId="65563D97">
            <w:pPr>
              <w:spacing w:before="137"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64A2C46D">
            <w:pPr>
              <w:spacing w:before="137"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28652FC6">
            <w:pPr>
              <w:spacing w:before="214" w:line="155" w:lineRule="exact"/>
              <w:ind w:left="807"/>
              <w:rPr>
                <w:rFonts w:ascii="宋体" w:hAnsi="宋体" w:eastAsia="宋体" w:cs="宋体"/>
                <w:sz w:val="20"/>
                <w:szCs w:val="20"/>
              </w:rPr>
            </w:pPr>
            <w:r>
              <w:rPr>
                <w:rFonts w:ascii="宋体" w:hAnsi="宋体" w:eastAsia="宋体" w:cs="宋体"/>
                <w:position w:val="-4"/>
                <w:sz w:val="20"/>
                <w:szCs w:val="20"/>
              </w:rPr>
              <w:t>一</w:t>
            </w:r>
          </w:p>
        </w:tc>
      </w:tr>
      <w:tr w14:paraId="76D60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4590" w:type="dxa"/>
            <w:vAlign w:val="top"/>
          </w:tcPr>
          <w:p w14:paraId="00161DCD">
            <w:pPr>
              <w:spacing w:before="119" w:line="220" w:lineRule="auto"/>
              <w:ind w:left="115"/>
              <w:rPr>
                <w:rFonts w:ascii="宋体" w:hAnsi="宋体" w:eastAsia="宋体" w:cs="宋体"/>
                <w:sz w:val="20"/>
                <w:szCs w:val="20"/>
              </w:rPr>
            </w:pPr>
            <w:r>
              <w:rPr>
                <w:rFonts w:ascii="宋体" w:hAnsi="宋体" w:eastAsia="宋体" w:cs="宋体"/>
                <w:spacing w:val="1"/>
                <w:sz w:val="20"/>
                <w:szCs w:val="20"/>
              </w:rPr>
              <w:t>定型(鉴定)试验</w:t>
            </w:r>
          </w:p>
        </w:tc>
        <w:tc>
          <w:tcPr>
            <w:tcW w:w="1469" w:type="dxa"/>
            <w:vAlign w:val="top"/>
          </w:tcPr>
          <w:p w14:paraId="6B5CD204">
            <w:pPr>
              <w:spacing w:before="137"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421E47E4">
            <w:pPr>
              <w:spacing w:before="137"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509DF455">
            <w:pPr>
              <w:spacing w:before="137" w:line="237" w:lineRule="auto"/>
              <w:ind w:left="807"/>
              <w:rPr>
                <w:rFonts w:ascii="宋体" w:hAnsi="宋体" w:eastAsia="宋体" w:cs="宋体"/>
                <w:sz w:val="20"/>
                <w:szCs w:val="20"/>
              </w:rPr>
            </w:pPr>
            <w:r>
              <w:rPr>
                <w:rFonts w:ascii="宋体" w:hAnsi="宋体" w:eastAsia="宋体" w:cs="宋体"/>
                <w:sz w:val="20"/>
                <w:szCs w:val="20"/>
              </w:rPr>
              <w:t>●</w:t>
            </w:r>
          </w:p>
        </w:tc>
      </w:tr>
      <w:tr w14:paraId="7BBAD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62B99A43">
            <w:pPr>
              <w:spacing w:before="120" w:line="219" w:lineRule="auto"/>
              <w:ind w:left="115"/>
              <w:rPr>
                <w:rFonts w:ascii="宋体" w:hAnsi="宋体" w:eastAsia="宋体" w:cs="宋体"/>
                <w:sz w:val="20"/>
                <w:szCs w:val="20"/>
              </w:rPr>
            </w:pPr>
            <w:r>
              <w:rPr>
                <w:rFonts w:ascii="宋体" w:hAnsi="宋体" w:eastAsia="宋体" w:cs="宋体"/>
                <w:spacing w:val="-3"/>
                <w:sz w:val="20"/>
                <w:szCs w:val="20"/>
              </w:rPr>
              <w:t>首件检验</w:t>
            </w:r>
          </w:p>
        </w:tc>
        <w:tc>
          <w:tcPr>
            <w:tcW w:w="1469" w:type="dxa"/>
            <w:vAlign w:val="top"/>
          </w:tcPr>
          <w:p w14:paraId="5294D8DA">
            <w:pPr>
              <w:spacing w:before="215"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63B92EDB">
            <w:pPr>
              <w:spacing w:before="215"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649D7B5B">
            <w:pPr>
              <w:spacing w:before="138" w:line="237" w:lineRule="auto"/>
              <w:ind w:left="807"/>
              <w:rPr>
                <w:rFonts w:ascii="宋体" w:hAnsi="宋体" w:eastAsia="宋体" w:cs="宋体"/>
                <w:sz w:val="20"/>
                <w:szCs w:val="20"/>
              </w:rPr>
            </w:pPr>
            <w:r>
              <w:rPr>
                <w:rFonts w:ascii="宋体" w:hAnsi="宋体" w:eastAsia="宋体" w:cs="宋体"/>
                <w:sz w:val="20"/>
                <w:szCs w:val="20"/>
              </w:rPr>
              <w:t>●</w:t>
            </w:r>
          </w:p>
        </w:tc>
      </w:tr>
      <w:tr w14:paraId="0329A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64EB2BC1">
            <w:pPr>
              <w:spacing w:before="120" w:line="219" w:lineRule="auto"/>
              <w:ind w:left="115"/>
              <w:rPr>
                <w:rFonts w:ascii="宋体" w:hAnsi="宋体" w:eastAsia="宋体" w:cs="宋体"/>
                <w:sz w:val="20"/>
                <w:szCs w:val="20"/>
              </w:rPr>
            </w:pPr>
            <w:r>
              <w:rPr>
                <w:rFonts w:ascii="宋体" w:hAnsi="宋体" w:eastAsia="宋体" w:cs="宋体"/>
                <w:spacing w:val="-2"/>
                <w:sz w:val="20"/>
                <w:szCs w:val="20"/>
              </w:rPr>
              <w:t>质量一致性检验</w:t>
            </w:r>
          </w:p>
        </w:tc>
        <w:tc>
          <w:tcPr>
            <w:tcW w:w="1469" w:type="dxa"/>
            <w:vAlign w:val="top"/>
          </w:tcPr>
          <w:p w14:paraId="59AB46BE">
            <w:pPr>
              <w:spacing w:before="215"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457B7A85">
            <w:pPr>
              <w:spacing w:before="215"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787B2804">
            <w:pPr>
              <w:spacing w:before="138" w:line="237" w:lineRule="auto"/>
              <w:ind w:left="807"/>
              <w:rPr>
                <w:rFonts w:ascii="宋体" w:hAnsi="宋体" w:eastAsia="宋体" w:cs="宋体"/>
                <w:sz w:val="20"/>
                <w:szCs w:val="20"/>
              </w:rPr>
            </w:pPr>
            <w:r>
              <w:rPr>
                <w:rFonts w:ascii="宋体" w:hAnsi="宋体" w:eastAsia="宋体" w:cs="宋体"/>
                <w:sz w:val="20"/>
                <w:szCs w:val="20"/>
              </w:rPr>
              <w:t>●</w:t>
            </w:r>
          </w:p>
        </w:tc>
      </w:tr>
      <w:tr w14:paraId="58A7E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2892A21C">
            <w:pPr>
              <w:spacing w:before="120" w:line="219" w:lineRule="auto"/>
              <w:ind w:left="115"/>
              <w:rPr>
                <w:rFonts w:ascii="宋体" w:hAnsi="宋体" w:eastAsia="宋体" w:cs="宋体"/>
                <w:sz w:val="20"/>
                <w:szCs w:val="20"/>
              </w:rPr>
            </w:pPr>
            <w:r>
              <w:rPr>
                <w:rFonts w:ascii="宋体" w:hAnsi="宋体" w:eastAsia="宋体" w:cs="宋体"/>
                <w:spacing w:val="-2"/>
                <w:sz w:val="20"/>
                <w:szCs w:val="20"/>
              </w:rPr>
              <w:t>包装检验</w:t>
            </w:r>
          </w:p>
        </w:tc>
        <w:tc>
          <w:tcPr>
            <w:tcW w:w="1469" w:type="dxa"/>
            <w:vAlign w:val="top"/>
          </w:tcPr>
          <w:p w14:paraId="4484A2FB">
            <w:pPr>
              <w:spacing w:before="215"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2E0D62CB">
            <w:pPr>
              <w:spacing w:before="215"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53B73458">
            <w:pPr>
              <w:spacing w:before="138" w:line="237" w:lineRule="auto"/>
              <w:ind w:left="807"/>
              <w:rPr>
                <w:rFonts w:ascii="宋体" w:hAnsi="宋体" w:eastAsia="宋体" w:cs="宋体"/>
                <w:sz w:val="20"/>
                <w:szCs w:val="20"/>
              </w:rPr>
            </w:pPr>
            <w:r>
              <w:rPr>
                <w:rFonts w:ascii="宋体" w:hAnsi="宋体" w:eastAsia="宋体" w:cs="宋体"/>
                <w:sz w:val="20"/>
                <w:szCs w:val="20"/>
              </w:rPr>
              <w:t>●</w:t>
            </w:r>
          </w:p>
        </w:tc>
      </w:tr>
      <w:tr w14:paraId="5644C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4590" w:type="dxa"/>
            <w:vAlign w:val="top"/>
          </w:tcPr>
          <w:p w14:paraId="771E974E">
            <w:pPr>
              <w:spacing w:before="110" w:line="219" w:lineRule="auto"/>
              <w:ind w:left="115"/>
              <w:rPr>
                <w:rFonts w:ascii="宋体" w:hAnsi="宋体" w:eastAsia="宋体" w:cs="宋体"/>
                <w:sz w:val="20"/>
                <w:szCs w:val="20"/>
              </w:rPr>
            </w:pPr>
            <w:r>
              <w:rPr>
                <w:rFonts w:ascii="宋体" w:hAnsi="宋体" w:eastAsia="宋体" w:cs="宋体"/>
                <w:spacing w:val="-2"/>
                <w:sz w:val="20"/>
                <w:szCs w:val="20"/>
              </w:rPr>
              <w:t>抽样</w:t>
            </w:r>
          </w:p>
        </w:tc>
        <w:tc>
          <w:tcPr>
            <w:tcW w:w="1469" w:type="dxa"/>
            <w:vAlign w:val="top"/>
          </w:tcPr>
          <w:p w14:paraId="68BD57A1">
            <w:pPr>
              <w:spacing w:before="205"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7E54B2F1">
            <w:pPr>
              <w:spacing w:before="205"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318C7B69">
            <w:pPr>
              <w:spacing w:before="128" w:line="237" w:lineRule="auto"/>
              <w:ind w:left="807"/>
              <w:rPr>
                <w:rFonts w:ascii="宋体" w:hAnsi="宋体" w:eastAsia="宋体" w:cs="宋体"/>
                <w:sz w:val="20"/>
                <w:szCs w:val="20"/>
              </w:rPr>
            </w:pPr>
            <w:r>
              <w:rPr>
                <w:rFonts w:ascii="宋体" w:hAnsi="宋体" w:eastAsia="宋体" w:cs="宋体"/>
                <w:sz w:val="20"/>
                <w:szCs w:val="20"/>
              </w:rPr>
              <w:t>●</w:t>
            </w:r>
          </w:p>
        </w:tc>
      </w:tr>
      <w:tr w14:paraId="11B99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17184A0D">
            <w:pPr>
              <w:spacing w:before="120" w:line="219" w:lineRule="auto"/>
              <w:ind w:left="115"/>
              <w:rPr>
                <w:rFonts w:ascii="宋体" w:hAnsi="宋体" w:eastAsia="宋体" w:cs="宋体"/>
                <w:sz w:val="20"/>
                <w:szCs w:val="20"/>
              </w:rPr>
            </w:pPr>
            <w:r>
              <w:rPr>
                <w:rFonts w:ascii="宋体" w:hAnsi="宋体" w:eastAsia="宋体" w:cs="宋体"/>
                <w:spacing w:val="-2"/>
                <w:sz w:val="20"/>
                <w:szCs w:val="20"/>
              </w:rPr>
              <w:t>缺陷分类</w:t>
            </w:r>
          </w:p>
        </w:tc>
        <w:tc>
          <w:tcPr>
            <w:tcW w:w="1469" w:type="dxa"/>
            <w:vAlign w:val="top"/>
          </w:tcPr>
          <w:p w14:paraId="7B58D56C">
            <w:pPr>
              <w:spacing w:before="215"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5816FB9B">
            <w:pPr>
              <w:spacing w:before="215"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73B68CC9">
            <w:pPr>
              <w:spacing w:before="138" w:line="237" w:lineRule="auto"/>
              <w:ind w:left="807"/>
              <w:rPr>
                <w:rFonts w:ascii="宋体" w:hAnsi="宋体" w:eastAsia="宋体" w:cs="宋体"/>
                <w:sz w:val="20"/>
                <w:szCs w:val="20"/>
              </w:rPr>
            </w:pPr>
            <w:r>
              <w:rPr>
                <w:rFonts w:ascii="宋体" w:hAnsi="宋体" w:eastAsia="宋体" w:cs="宋体"/>
                <w:sz w:val="20"/>
                <w:szCs w:val="20"/>
              </w:rPr>
              <w:t>●</w:t>
            </w:r>
          </w:p>
        </w:tc>
      </w:tr>
      <w:tr w14:paraId="3CEAE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4590" w:type="dxa"/>
            <w:vAlign w:val="top"/>
          </w:tcPr>
          <w:p w14:paraId="4B960B58">
            <w:pPr>
              <w:spacing w:before="120" w:line="219" w:lineRule="auto"/>
              <w:ind w:left="115"/>
              <w:rPr>
                <w:rFonts w:ascii="宋体" w:hAnsi="宋体" w:eastAsia="宋体" w:cs="宋体"/>
                <w:sz w:val="20"/>
                <w:szCs w:val="20"/>
              </w:rPr>
            </w:pPr>
            <w:r>
              <w:rPr>
                <w:rFonts w:ascii="宋体" w:hAnsi="宋体" w:eastAsia="宋体" w:cs="宋体"/>
                <w:spacing w:val="-2"/>
                <w:sz w:val="20"/>
                <w:szCs w:val="20"/>
              </w:rPr>
              <w:t>检验方法</w:t>
            </w:r>
          </w:p>
        </w:tc>
        <w:tc>
          <w:tcPr>
            <w:tcW w:w="1469" w:type="dxa"/>
            <w:vAlign w:val="top"/>
          </w:tcPr>
          <w:p w14:paraId="4363C4BC">
            <w:pPr>
              <w:spacing w:before="138"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6C6E76B7">
            <w:pPr>
              <w:spacing w:before="138"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24CE0B74">
            <w:pPr>
              <w:spacing w:before="138" w:line="237" w:lineRule="auto"/>
              <w:ind w:left="807"/>
              <w:rPr>
                <w:rFonts w:ascii="宋体" w:hAnsi="宋体" w:eastAsia="宋体" w:cs="宋体"/>
                <w:sz w:val="20"/>
                <w:szCs w:val="20"/>
              </w:rPr>
            </w:pPr>
            <w:r>
              <w:rPr>
                <w:rFonts w:ascii="宋体" w:hAnsi="宋体" w:eastAsia="宋体" w:cs="宋体"/>
                <w:sz w:val="20"/>
                <w:szCs w:val="20"/>
              </w:rPr>
              <w:t>●</w:t>
            </w:r>
          </w:p>
        </w:tc>
      </w:tr>
      <w:tr w14:paraId="5556E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4590" w:type="dxa"/>
            <w:vAlign w:val="top"/>
          </w:tcPr>
          <w:p w14:paraId="136C2743">
            <w:pPr>
              <w:spacing w:before="131" w:line="219" w:lineRule="auto"/>
              <w:ind w:left="115"/>
              <w:rPr>
                <w:rFonts w:ascii="宋体" w:hAnsi="宋体" w:eastAsia="宋体" w:cs="宋体"/>
                <w:sz w:val="20"/>
                <w:szCs w:val="20"/>
              </w:rPr>
            </w:pPr>
            <w:r>
              <w:rPr>
                <w:rFonts w:ascii="宋体" w:hAnsi="宋体" w:eastAsia="宋体" w:cs="宋体"/>
                <w:sz w:val="20"/>
                <w:szCs w:val="20"/>
              </w:rPr>
              <w:t>5包装、运输与贮存</w:t>
            </w:r>
          </w:p>
        </w:tc>
        <w:tc>
          <w:tcPr>
            <w:tcW w:w="1469" w:type="dxa"/>
            <w:vAlign w:val="top"/>
          </w:tcPr>
          <w:p w14:paraId="46447B63">
            <w:pPr>
              <w:spacing w:before="226"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2F3B5DFA">
            <w:pPr>
              <w:spacing w:before="226"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67FB2DDD">
            <w:pPr>
              <w:spacing w:before="182" w:line="183" w:lineRule="auto"/>
              <w:ind w:left="857"/>
              <w:rPr>
                <w:rFonts w:ascii="宋体" w:hAnsi="宋体" w:eastAsia="宋体" w:cs="宋体"/>
                <w:sz w:val="20"/>
                <w:szCs w:val="20"/>
              </w:rPr>
            </w:pPr>
            <w:r>
              <w:rPr>
                <w:rFonts w:ascii="宋体" w:hAnsi="宋体" w:eastAsia="宋体" w:cs="宋体"/>
                <w:sz w:val="20"/>
                <w:szCs w:val="20"/>
              </w:rPr>
              <w:t>O</w:t>
            </w:r>
          </w:p>
        </w:tc>
      </w:tr>
      <w:tr w14:paraId="139C0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4590" w:type="dxa"/>
            <w:vAlign w:val="top"/>
          </w:tcPr>
          <w:p w14:paraId="168FF34E">
            <w:pPr>
              <w:spacing w:before="121" w:line="220" w:lineRule="auto"/>
              <w:ind w:left="115"/>
              <w:rPr>
                <w:rFonts w:ascii="宋体" w:hAnsi="宋体" w:eastAsia="宋体" w:cs="宋体"/>
                <w:sz w:val="20"/>
                <w:szCs w:val="20"/>
              </w:rPr>
            </w:pPr>
            <w:r>
              <w:rPr>
                <w:rFonts w:ascii="宋体" w:hAnsi="宋体" w:eastAsia="宋体" w:cs="宋体"/>
                <w:spacing w:val="2"/>
                <w:sz w:val="20"/>
                <w:szCs w:val="20"/>
              </w:rPr>
              <w:t>防护包装</w:t>
            </w:r>
          </w:p>
        </w:tc>
        <w:tc>
          <w:tcPr>
            <w:tcW w:w="1469" w:type="dxa"/>
            <w:vAlign w:val="top"/>
          </w:tcPr>
          <w:p w14:paraId="06CFA242">
            <w:pPr>
              <w:spacing w:before="216"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41E01294">
            <w:pPr>
              <w:spacing w:before="216"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52258DB5">
            <w:pPr>
              <w:spacing w:before="139" w:line="237" w:lineRule="auto"/>
              <w:ind w:left="807"/>
              <w:rPr>
                <w:rFonts w:ascii="宋体" w:hAnsi="宋体" w:eastAsia="宋体" w:cs="宋体"/>
                <w:sz w:val="20"/>
                <w:szCs w:val="20"/>
              </w:rPr>
            </w:pPr>
            <w:r>
              <w:rPr>
                <w:rFonts w:ascii="宋体" w:hAnsi="宋体" w:eastAsia="宋体" w:cs="宋体"/>
                <w:sz w:val="20"/>
                <w:szCs w:val="20"/>
              </w:rPr>
              <w:t>●</w:t>
            </w:r>
          </w:p>
        </w:tc>
      </w:tr>
      <w:tr w14:paraId="7E3F0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712F9AC3">
            <w:pPr>
              <w:spacing w:before="122" w:line="220" w:lineRule="auto"/>
              <w:ind w:left="115"/>
              <w:rPr>
                <w:rFonts w:ascii="宋体" w:hAnsi="宋体" w:eastAsia="宋体" w:cs="宋体"/>
                <w:sz w:val="20"/>
                <w:szCs w:val="20"/>
              </w:rPr>
            </w:pPr>
            <w:r>
              <w:rPr>
                <w:rFonts w:ascii="宋体" w:hAnsi="宋体" w:eastAsia="宋体" w:cs="宋体"/>
                <w:spacing w:val="-2"/>
                <w:sz w:val="20"/>
                <w:szCs w:val="20"/>
              </w:rPr>
              <w:t>装箱</w:t>
            </w:r>
          </w:p>
        </w:tc>
        <w:tc>
          <w:tcPr>
            <w:tcW w:w="1469" w:type="dxa"/>
            <w:vAlign w:val="top"/>
          </w:tcPr>
          <w:p w14:paraId="65E4039E">
            <w:pPr>
              <w:spacing w:before="217"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0F8A2173">
            <w:pPr>
              <w:spacing w:before="217"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3D42AA5F">
            <w:pPr>
              <w:spacing w:before="140" w:line="237" w:lineRule="auto"/>
              <w:ind w:left="807"/>
              <w:rPr>
                <w:rFonts w:ascii="宋体" w:hAnsi="宋体" w:eastAsia="宋体" w:cs="宋体"/>
                <w:sz w:val="20"/>
                <w:szCs w:val="20"/>
              </w:rPr>
            </w:pPr>
            <w:r>
              <w:rPr>
                <w:rFonts w:ascii="宋体" w:hAnsi="宋体" w:eastAsia="宋体" w:cs="宋体"/>
                <w:sz w:val="20"/>
                <w:szCs w:val="20"/>
              </w:rPr>
              <w:t>●</w:t>
            </w:r>
          </w:p>
        </w:tc>
      </w:tr>
      <w:tr w14:paraId="444CB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4590" w:type="dxa"/>
            <w:vAlign w:val="top"/>
          </w:tcPr>
          <w:p w14:paraId="2BF3B271">
            <w:pPr>
              <w:spacing w:before="122" w:line="219" w:lineRule="auto"/>
              <w:ind w:left="115"/>
              <w:rPr>
                <w:rFonts w:ascii="宋体" w:hAnsi="宋体" w:eastAsia="宋体" w:cs="宋体"/>
                <w:sz w:val="20"/>
                <w:szCs w:val="20"/>
              </w:rPr>
            </w:pPr>
            <w:r>
              <w:rPr>
                <w:rFonts w:ascii="宋体" w:hAnsi="宋体" w:eastAsia="宋体" w:cs="宋体"/>
                <w:spacing w:val="-2"/>
                <w:sz w:val="20"/>
                <w:szCs w:val="20"/>
              </w:rPr>
              <w:t>运输和贮存</w:t>
            </w:r>
          </w:p>
        </w:tc>
        <w:tc>
          <w:tcPr>
            <w:tcW w:w="1469" w:type="dxa"/>
            <w:vAlign w:val="top"/>
          </w:tcPr>
          <w:p w14:paraId="09E89953">
            <w:pPr>
              <w:spacing w:before="217"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4399C5C9">
            <w:pPr>
              <w:spacing w:before="217"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31F04F65">
            <w:pPr>
              <w:spacing w:before="140" w:line="237" w:lineRule="auto"/>
              <w:ind w:left="807"/>
              <w:rPr>
                <w:rFonts w:ascii="宋体" w:hAnsi="宋体" w:eastAsia="宋体" w:cs="宋体"/>
                <w:sz w:val="20"/>
                <w:szCs w:val="20"/>
              </w:rPr>
            </w:pPr>
            <w:r>
              <w:rPr>
                <w:rFonts w:ascii="宋体" w:hAnsi="宋体" w:eastAsia="宋体" w:cs="宋体"/>
                <w:sz w:val="20"/>
                <w:szCs w:val="20"/>
              </w:rPr>
              <w:t>●</w:t>
            </w:r>
          </w:p>
        </w:tc>
      </w:tr>
      <w:tr w14:paraId="498E3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4590" w:type="dxa"/>
            <w:vAlign w:val="top"/>
          </w:tcPr>
          <w:p w14:paraId="15BA737A">
            <w:pPr>
              <w:spacing w:before="123" w:line="220" w:lineRule="auto"/>
              <w:ind w:left="115"/>
              <w:rPr>
                <w:rFonts w:ascii="宋体" w:hAnsi="宋体" w:eastAsia="宋体" w:cs="宋体"/>
                <w:sz w:val="20"/>
                <w:szCs w:val="20"/>
              </w:rPr>
            </w:pPr>
            <w:r>
              <w:rPr>
                <w:rFonts w:ascii="宋体" w:hAnsi="宋体" w:eastAsia="宋体" w:cs="宋体"/>
                <w:spacing w:val="6"/>
                <w:sz w:val="20"/>
                <w:szCs w:val="20"/>
              </w:rPr>
              <w:t>标志</w:t>
            </w:r>
          </w:p>
        </w:tc>
        <w:tc>
          <w:tcPr>
            <w:tcW w:w="1469" w:type="dxa"/>
            <w:vAlign w:val="top"/>
          </w:tcPr>
          <w:p w14:paraId="68AEFA69">
            <w:pPr>
              <w:spacing w:before="218" w:line="155" w:lineRule="exact"/>
              <w:ind w:left="625"/>
              <w:rPr>
                <w:rFonts w:ascii="宋体" w:hAnsi="宋体" w:eastAsia="宋体" w:cs="宋体"/>
                <w:sz w:val="20"/>
                <w:szCs w:val="20"/>
              </w:rPr>
            </w:pPr>
            <w:r>
              <w:rPr>
                <w:rFonts w:ascii="宋体" w:hAnsi="宋体" w:eastAsia="宋体" w:cs="宋体"/>
                <w:position w:val="-4"/>
                <w:sz w:val="20"/>
                <w:szCs w:val="20"/>
              </w:rPr>
              <w:t>一</w:t>
            </w:r>
          </w:p>
        </w:tc>
        <w:tc>
          <w:tcPr>
            <w:tcW w:w="1468" w:type="dxa"/>
            <w:vAlign w:val="top"/>
          </w:tcPr>
          <w:p w14:paraId="18D22790">
            <w:pPr>
              <w:spacing w:before="218" w:line="155" w:lineRule="exact"/>
              <w:ind w:left="626"/>
              <w:rPr>
                <w:rFonts w:ascii="宋体" w:hAnsi="宋体" w:eastAsia="宋体" w:cs="宋体"/>
                <w:sz w:val="20"/>
                <w:szCs w:val="20"/>
              </w:rPr>
            </w:pPr>
            <w:r>
              <w:rPr>
                <w:rFonts w:ascii="宋体" w:hAnsi="宋体" w:eastAsia="宋体" w:cs="宋体"/>
                <w:position w:val="-4"/>
                <w:sz w:val="20"/>
                <w:szCs w:val="20"/>
              </w:rPr>
              <w:t>一</w:t>
            </w:r>
          </w:p>
        </w:tc>
        <w:tc>
          <w:tcPr>
            <w:tcW w:w="1833" w:type="dxa"/>
            <w:vAlign w:val="top"/>
          </w:tcPr>
          <w:p w14:paraId="0E97C2CE">
            <w:pPr>
              <w:spacing w:before="141" w:line="237" w:lineRule="auto"/>
              <w:ind w:left="807"/>
              <w:rPr>
                <w:rFonts w:ascii="宋体" w:hAnsi="宋体" w:eastAsia="宋体" w:cs="宋体"/>
                <w:sz w:val="20"/>
                <w:szCs w:val="20"/>
              </w:rPr>
            </w:pPr>
            <w:r>
              <w:rPr>
                <w:rFonts w:ascii="宋体" w:hAnsi="宋体" w:eastAsia="宋体" w:cs="宋体"/>
                <w:sz w:val="20"/>
                <w:szCs w:val="20"/>
              </w:rPr>
              <w:t>●</w:t>
            </w:r>
          </w:p>
        </w:tc>
      </w:tr>
      <w:tr w14:paraId="17385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4590" w:type="dxa"/>
            <w:vAlign w:val="top"/>
          </w:tcPr>
          <w:p w14:paraId="66C2240A">
            <w:pPr>
              <w:spacing w:before="134" w:line="219" w:lineRule="auto"/>
              <w:ind w:left="115"/>
              <w:rPr>
                <w:rFonts w:ascii="宋体" w:hAnsi="宋体" w:eastAsia="宋体" w:cs="宋体"/>
                <w:sz w:val="20"/>
                <w:szCs w:val="20"/>
              </w:rPr>
            </w:pPr>
            <w:r>
              <w:rPr>
                <w:rFonts w:ascii="宋体" w:hAnsi="宋体" w:eastAsia="宋体" w:cs="宋体"/>
                <w:spacing w:val="2"/>
                <w:sz w:val="20"/>
                <w:szCs w:val="20"/>
              </w:rPr>
              <w:t>6说明事项</w:t>
            </w:r>
          </w:p>
        </w:tc>
        <w:tc>
          <w:tcPr>
            <w:tcW w:w="1469" w:type="dxa"/>
            <w:vAlign w:val="top"/>
          </w:tcPr>
          <w:p w14:paraId="792D0F83">
            <w:pPr>
              <w:spacing w:before="185" w:line="183" w:lineRule="auto"/>
              <w:ind w:left="675"/>
              <w:rPr>
                <w:rFonts w:ascii="宋体" w:hAnsi="宋体" w:eastAsia="宋体" w:cs="宋体"/>
                <w:sz w:val="20"/>
                <w:szCs w:val="20"/>
              </w:rPr>
            </w:pPr>
            <w:r>
              <w:rPr>
                <w:rFonts w:ascii="宋体" w:hAnsi="宋体" w:eastAsia="宋体" w:cs="宋体"/>
                <w:sz w:val="20"/>
                <w:szCs w:val="20"/>
              </w:rPr>
              <w:t>O</w:t>
            </w:r>
          </w:p>
        </w:tc>
        <w:tc>
          <w:tcPr>
            <w:tcW w:w="1468" w:type="dxa"/>
            <w:vAlign w:val="top"/>
          </w:tcPr>
          <w:p w14:paraId="66439773">
            <w:pPr>
              <w:spacing w:before="185" w:line="183" w:lineRule="auto"/>
              <w:ind w:left="675"/>
              <w:rPr>
                <w:rFonts w:ascii="宋体" w:hAnsi="宋体" w:eastAsia="宋体" w:cs="宋体"/>
                <w:sz w:val="20"/>
                <w:szCs w:val="20"/>
              </w:rPr>
            </w:pPr>
            <w:r>
              <w:rPr>
                <w:rFonts w:ascii="宋体" w:hAnsi="宋体" w:eastAsia="宋体" w:cs="宋体"/>
                <w:sz w:val="20"/>
                <w:szCs w:val="20"/>
              </w:rPr>
              <w:t>O</w:t>
            </w:r>
          </w:p>
        </w:tc>
        <w:tc>
          <w:tcPr>
            <w:tcW w:w="1833" w:type="dxa"/>
            <w:vAlign w:val="top"/>
          </w:tcPr>
          <w:p w14:paraId="26228A41">
            <w:pPr>
              <w:spacing w:before="185" w:line="183" w:lineRule="auto"/>
              <w:ind w:left="857"/>
              <w:rPr>
                <w:rFonts w:ascii="宋体" w:hAnsi="宋体" w:eastAsia="宋体" w:cs="宋体"/>
                <w:sz w:val="20"/>
                <w:szCs w:val="20"/>
              </w:rPr>
            </w:pPr>
            <w:r>
              <w:rPr>
                <w:rFonts w:ascii="宋体" w:hAnsi="宋体" w:eastAsia="宋体" w:cs="宋体"/>
                <w:sz w:val="20"/>
                <w:szCs w:val="20"/>
              </w:rPr>
              <w:t>O</w:t>
            </w:r>
          </w:p>
        </w:tc>
      </w:tr>
      <w:tr w14:paraId="3BF94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4590" w:type="dxa"/>
            <w:vAlign w:val="top"/>
          </w:tcPr>
          <w:p w14:paraId="38B90E01">
            <w:pPr>
              <w:spacing w:before="124" w:line="220" w:lineRule="auto"/>
              <w:ind w:left="115"/>
              <w:rPr>
                <w:rFonts w:ascii="宋体" w:hAnsi="宋体" w:eastAsia="宋体" w:cs="宋体"/>
                <w:sz w:val="20"/>
                <w:szCs w:val="20"/>
              </w:rPr>
            </w:pPr>
            <w:r>
              <w:rPr>
                <w:rFonts w:ascii="宋体" w:hAnsi="宋体" w:eastAsia="宋体" w:cs="宋体"/>
                <w:spacing w:val="-2"/>
                <w:sz w:val="20"/>
                <w:szCs w:val="20"/>
              </w:rPr>
              <w:t>预定用途</w:t>
            </w:r>
          </w:p>
        </w:tc>
        <w:tc>
          <w:tcPr>
            <w:tcW w:w="1469" w:type="dxa"/>
            <w:vAlign w:val="top"/>
          </w:tcPr>
          <w:p w14:paraId="719D68DD">
            <w:pPr>
              <w:spacing w:before="142"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3059C521">
            <w:pPr>
              <w:spacing w:before="142"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20D78496">
            <w:pPr>
              <w:spacing w:before="142" w:line="237" w:lineRule="auto"/>
              <w:ind w:left="807"/>
              <w:rPr>
                <w:rFonts w:ascii="宋体" w:hAnsi="宋体" w:eastAsia="宋体" w:cs="宋体"/>
                <w:sz w:val="20"/>
                <w:szCs w:val="20"/>
              </w:rPr>
            </w:pPr>
            <w:r>
              <w:rPr>
                <w:rFonts w:ascii="宋体" w:hAnsi="宋体" w:eastAsia="宋体" w:cs="宋体"/>
                <w:sz w:val="20"/>
                <w:szCs w:val="20"/>
              </w:rPr>
              <w:t>●</w:t>
            </w:r>
          </w:p>
        </w:tc>
      </w:tr>
      <w:tr w14:paraId="7FABE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4590" w:type="dxa"/>
            <w:vAlign w:val="top"/>
          </w:tcPr>
          <w:p w14:paraId="3D5D2AD0">
            <w:pPr>
              <w:spacing w:before="125" w:line="219" w:lineRule="auto"/>
              <w:ind w:left="115"/>
              <w:rPr>
                <w:rFonts w:ascii="宋体" w:hAnsi="宋体" w:eastAsia="宋体" w:cs="宋体"/>
                <w:sz w:val="20"/>
                <w:szCs w:val="20"/>
              </w:rPr>
            </w:pPr>
            <w:r>
              <w:rPr>
                <w:rFonts w:ascii="宋体" w:hAnsi="宋体" w:eastAsia="宋体" w:cs="宋体"/>
                <w:spacing w:val="-3"/>
                <w:sz w:val="20"/>
                <w:szCs w:val="20"/>
              </w:rPr>
              <w:t>分类</w:t>
            </w:r>
          </w:p>
        </w:tc>
        <w:tc>
          <w:tcPr>
            <w:tcW w:w="1469" w:type="dxa"/>
            <w:vAlign w:val="top"/>
          </w:tcPr>
          <w:p w14:paraId="01BE9C0A">
            <w:pPr>
              <w:spacing w:before="143"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0F85D5D9">
            <w:pPr>
              <w:spacing w:before="143"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4A02AA54">
            <w:pPr>
              <w:spacing w:before="143" w:line="237" w:lineRule="auto"/>
              <w:ind w:left="807"/>
              <w:rPr>
                <w:rFonts w:ascii="宋体" w:hAnsi="宋体" w:eastAsia="宋体" w:cs="宋体"/>
                <w:sz w:val="20"/>
                <w:szCs w:val="20"/>
              </w:rPr>
            </w:pPr>
            <w:r>
              <w:rPr>
                <w:rFonts w:ascii="宋体" w:hAnsi="宋体" w:eastAsia="宋体" w:cs="宋体"/>
                <w:sz w:val="20"/>
                <w:szCs w:val="20"/>
              </w:rPr>
              <w:t>●</w:t>
            </w:r>
          </w:p>
        </w:tc>
      </w:tr>
      <w:tr w14:paraId="641DA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4590" w:type="dxa"/>
            <w:vAlign w:val="top"/>
          </w:tcPr>
          <w:p w14:paraId="56691467">
            <w:pPr>
              <w:spacing w:before="126" w:line="219" w:lineRule="auto"/>
              <w:ind w:left="115"/>
              <w:rPr>
                <w:rFonts w:ascii="宋体" w:hAnsi="宋体" w:eastAsia="宋体" w:cs="宋体"/>
                <w:sz w:val="20"/>
                <w:szCs w:val="20"/>
              </w:rPr>
            </w:pPr>
            <w:r>
              <w:rPr>
                <w:rFonts w:ascii="宋体" w:hAnsi="宋体" w:eastAsia="宋体" w:cs="宋体"/>
                <w:sz w:val="20"/>
                <w:szCs w:val="20"/>
              </w:rPr>
              <w:t>订购文件中应明确的内容</w:t>
            </w:r>
          </w:p>
        </w:tc>
        <w:tc>
          <w:tcPr>
            <w:tcW w:w="1469" w:type="dxa"/>
            <w:vAlign w:val="top"/>
          </w:tcPr>
          <w:p w14:paraId="7B9E4134">
            <w:pPr>
              <w:spacing w:before="144"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38D3EC76">
            <w:pPr>
              <w:spacing w:before="144"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7F3DB108">
            <w:pPr>
              <w:spacing w:before="144" w:line="237" w:lineRule="auto"/>
              <w:ind w:left="807"/>
              <w:rPr>
                <w:rFonts w:ascii="宋体" w:hAnsi="宋体" w:eastAsia="宋体" w:cs="宋体"/>
                <w:sz w:val="20"/>
                <w:szCs w:val="20"/>
              </w:rPr>
            </w:pPr>
            <w:r>
              <w:rPr>
                <w:rFonts w:ascii="宋体" w:hAnsi="宋体" w:eastAsia="宋体" w:cs="宋体"/>
                <w:sz w:val="20"/>
                <w:szCs w:val="20"/>
              </w:rPr>
              <w:t>●</w:t>
            </w:r>
          </w:p>
        </w:tc>
      </w:tr>
      <w:tr w14:paraId="45F6B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5D50E9D0">
            <w:pPr>
              <w:spacing w:before="126" w:line="219" w:lineRule="auto"/>
              <w:ind w:left="115"/>
              <w:rPr>
                <w:rFonts w:ascii="宋体" w:hAnsi="宋体" w:eastAsia="宋体" w:cs="宋体"/>
                <w:sz w:val="20"/>
                <w:szCs w:val="20"/>
              </w:rPr>
            </w:pPr>
            <w:r>
              <w:rPr>
                <w:rFonts w:ascii="宋体" w:hAnsi="宋体" w:eastAsia="宋体" w:cs="宋体"/>
                <w:spacing w:val="-2"/>
                <w:sz w:val="20"/>
                <w:szCs w:val="20"/>
              </w:rPr>
              <w:t>术语和定义</w:t>
            </w:r>
          </w:p>
        </w:tc>
        <w:tc>
          <w:tcPr>
            <w:tcW w:w="1469" w:type="dxa"/>
            <w:vAlign w:val="top"/>
          </w:tcPr>
          <w:p w14:paraId="056D46A8">
            <w:pPr>
              <w:spacing w:before="144"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47E49240">
            <w:pPr>
              <w:spacing w:before="144"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7F389F3C">
            <w:pPr>
              <w:spacing w:before="144" w:line="237" w:lineRule="auto"/>
              <w:ind w:left="807"/>
              <w:rPr>
                <w:rFonts w:ascii="宋体" w:hAnsi="宋体" w:eastAsia="宋体" w:cs="宋体"/>
                <w:sz w:val="20"/>
                <w:szCs w:val="20"/>
              </w:rPr>
            </w:pPr>
            <w:r>
              <w:rPr>
                <w:rFonts w:ascii="宋体" w:hAnsi="宋体" w:eastAsia="宋体" w:cs="宋体"/>
                <w:sz w:val="20"/>
                <w:szCs w:val="20"/>
              </w:rPr>
              <w:t>●</w:t>
            </w:r>
          </w:p>
        </w:tc>
      </w:tr>
      <w:tr w14:paraId="2F5CA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4590" w:type="dxa"/>
            <w:vAlign w:val="top"/>
          </w:tcPr>
          <w:p w14:paraId="77AB8D83">
            <w:pPr>
              <w:spacing w:before="124" w:line="219" w:lineRule="auto"/>
              <w:ind w:left="115"/>
              <w:rPr>
                <w:rFonts w:ascii="宋体" w:hAnsi="宋体" w:eastAsia="宋体" w:cs="宋体"/>
                <w:sz w:val="20"/>
                <w:szCs w:val="20"/>
              </w:rPr>
            </w:pPr>
            <w:r>
              <w:rPr>
                <w:rFonts w:ascii="宋体" w:hAnsi="宋体" w:eastAsia="宋体" w:cs="宋体"/>
                <w:spacing w:val="-1"/>
                <w:sz w:val="20"/>
                <w:szCs w:val="20"/>
              </w:rPr>
              <w:t>符号、代号和缩略语</w:t>
            </w:r>
          </w:p>
        </w:tc>
        <w:tc>
          <w:tcPr>
            <w:tcW w:w="1469" w:type="dxa"/>
            <w:vAlign w:val="top"/>
          </w:tcPr>
          <w:p w14:paraId="0AECA4A2">
            <w:pPr>
              <w:spacing w:before="144"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74E61725">
            <w:pPr>
              <w:spacing w:before="144"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3D55F864">
            <w:pPr>
              <w:spacing w:before="144" w:line="237" w:lineRule="auto"/>
              <w:ind w:left="807"/>
              <w:rPr>
                <w:rFonts w:ascii="宋体" w:hAnsi="宋体" w:eastAsia="宋体" w:cs="宋体"/>
                <w:sz w:val="20"/>
                <w:szCs w:val="20"/>
              </w:rPr>
            </w:pPr>
            <w:r>
              <w:rPr>
                <w:rFonts w:ascii="宋体" w:hAnsi="宋体" w:eastAsia="宋体" w:cs="宋体"/>
                <w:sz w:val="20"/>
                <w:szCs w:val="20"/>
              </w:rPr>
              <w:t>●</w:t>
            </w:r>
          </w:p>
        </w:tc>
      </w:tr>
      <w:tr w14:paraId="4A8BE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590" w:type="dxa"/>
            <w:vAlign w:val="top"/>
          </w:tcPr>
          <w:p w14:paraId="33109DC7">
            <w:pPr>
              <w:spacing w:before="127" w:line="220" w:lineRule="auto"/>
              <w:ind w:left="115"/>
              <w:rPr>
                <w:rFonts w:ascii="宋体" w:hAnsi="宋体" w:eastAsia="宋体" w:cs="宋体"/>
                <w:sz w:val="20"/>
                <w:szCs w:val="20"/>
              </w:rPr>
            </w:pPr>
            <w:r>
              <w:rPr>
                <w:rFonts w:ascii="宋体" w:hAnsi="宋体" w:eastAsia="宋体" w:cs="宋体"/>
                <w:spacing w:val="-3"/>
                <w:sz w:val="20"/>
                <w:szCs w:val="20"/>
              </w:rPr>
              <w:t>其他</w:t>
            </w:r>
          </w:p>
        </w:tc>
        <w:tc>
          <w:tcPr>
            <w:tcW w:w="1469" w:type="dxa"/>
            <w:vAlign w:val="top"/>
          </w:tcPr>
          <w:p w14:paraId="5CEE06FF">
            <w:pPr>
              <w:spacing w:before="145" w:line="237" w:lineRule="auto"/>
              <w:ind w:left="625"/>
              <w:rPr>
                <w:rFonts w:ascii="宋体" w:hAnsi="宋体" w:eastAsia="宋体" w:cs="宋体"/>
                <w:sz w:val="20"/>
                <w:szCs w:val="20"/>
              </w:rPr>
            </w:pPr>
            <w:r>
              <w:rPr>
                <w:rFonts w:ascii="宋体" w:hAnsi="宋体" w:eastAsia="宋体" w:cs="宋体"/>
                <w:sz w:val="20"/>
                <w:szCs w:val="20"/>
              </w:rPr>
              <w:t>●</w:t>
            </w:r>
          </w:p>
        </w:tc>
        <w:tc>
          <w:tcPr>
            <w:tcW w:w="1468" w:type="dxa"/>
            <w:vAlign w:val="top"/>
          </w:tcPr>
          <w:p w14:paraId="6F9B8357">
            <w:pPr>
              <w:spacing w:before="145" w:line="237" w:lineRule="auto"/>
              <w:ind w:left="626"/>
              <w:rPr>
                <w:rFonts w:ascii="宋体" w:hAnsi="宋体" w:eastAsia="宋体" w:cs="宋体"/>
                <w:sz w:val="20"/>
                <w:szCs w:val="20"/>
              </w:rPr>
            </w:pPr>
            <w:r>
              <w:rPr>
                <w:rFonts w:ascii="宋体" w:hAnsi="宋体" w:eastAsia="宋体" w:cs="宋体"/>
                <w:sz w:val="20"/>
                <w:szCs w:val="20"/>
              </w:rPr>
              <w:t>●</w:t>
            </w:r>
          </w:p>
        </w:tc>
        <w:tc>
          <w:tcPr>
            <w:tcW w:w="1833" w:type="dxa"/>
            <w:vAlign w:val="top"/>
          </w:tcPr>
          <w:p w14:paraId="206A0F63">
            <w:pPr>
              <w:spacing w:before="145" w:line="237" w:lineRule="auto"/>
              <w:ind w:left="807"/>
              <w:rPr>
                <w:rFonts w:ascii="宋体" w:hAnsi="宋体" w:eastAsia="宋体" w:cs="宋体"/>
                <w:sz w:val="20"/>
                <w:szCs w:val="20"/>
              </w:rPr>
            </w:pPr>
            <w:r>
              <w:rPr>
                <w:rFonts w:ascii="宋体" w:hAnsi="宋体" w:eastAsia="宋体" w:cs="宋体"/>
                <w:sz w:val="20"/>
                <w:szCs w:val="20"/>
              </w:rPr>
              <w:t>●</w:t>
            </w:r>
          </w:p>
        </w:tc>
      </w:tr>
      <w:tr w14:paraId="47E8E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3" w:hRule="atLeast"/>
        </w:trPr>
        <w:tc>
          <w:tcPr>
            <w:tcW w:w="9360" w:type="dxa"/>
            <w:gridSpan w:val="4"/>
            <w:vAlign w:val="top"/>
          </w:tcPr>
          <w:p w14:paraId="4D8797A9">
            <w:pPr>
              <w:spacing w:before="245" w:line="219" w:lineRule="auto"/>
              <w:ind w:left="135"/>
              <w:rPr>
                <w:rFonts w:ascii="宋体" w:hAnsi="宋体" w:eastAsia="宋体" w:cs="宋体"/>
                <w:sz w:val="20"/>
                <w:szCs w:val="20"/>
              </w:rPr>
            </w:pPr>
            <w:r>
              <w:rPr>
                <w:rFonts w:ascii="宋体" w:hAnsi="宋体" w:eastAsia="宋体" w:cs="宋体"/>
                <w:sz w:val="20"/>
                <w:szCs w:val="20"/>
              </w:rPr>
              <w:t>注1:●可能需要包含的要素；○章的规定标题；一不需包含的要素或标题。</w:t>
            </w:r>
          </w:p>
          <w:p w14:paraId="1A9EB6BE">
            <w:pPr>
              <w:spacing w:before="101" w:line="320" w:lineRule="auto"/>
              <w:ind w:left="584" w:right="355" w:hanging="459"/>
              <w:rPr>
                <w:rFonts w:ascii="宋体" w:hAnsi="宋体" w:eastAsia="宋体" w:cs="宋体"/>
                <w:sz w:val="20"/>
                <w:szCs w:val="20"/>
              </w:rPr>
            </w:pPr>
            <w:r>
              <w:rPr>
                <w:rFonts w:ascii="宋体" w:hAnsi="宋体" w:eastAsia="宋体" w:cs="宋体"/>
                <w:sz w:val="20"/>
                <w:szCs w:val="20"/>
              </w:rPr>
              <w:t>注2:本表仅是一个示例，并没有包括系统规范、研制规范和产品规范各章中的所</w:t>
            </w:r>
            <w:r>
              <w:rPr>
                <w:rFonts w:ascii="宋体" w:hAnsi="宋体" w:eastAsia="宋体" w:cs="宋体"/>
                <w:spacing w:val="-1"/>
                <w:sz w:val="20"/>
                <w:szCs w:val="20"/>
              </w:rPr>
              <w:t>有要素，也不要求每</w:t>
            </w:r>
            <w:r>
              <w:rPr>
                <w:rFonts w:ascii="宋体" w:hAnsi="宋体" w:eastAsia="宋体" w:cs="宋体"/>
                <w:sz w:val="20"/>
                <w:szCs w:val="20"/>
              </w:rPr>
              <w:t xml:space="preserve"> 项系统规范、研制规范和产品规范都必须包括本表中列出的各章的所有要素。每项系统规范、研</w:t>
            </w:r>
            <w:r>
              <w:rPr>
                <w:rFonts w:ascii="宋体" w:hAnsi="宋体" w:eastAsia="宋体" w:cs="宋体"/>
                <w:spacing w:val="8"/>
                <w:sz w:val="20"/>
                <w:szCs w:val="20"/>
              </w:rPr>
              <w:t xml:space="preserve"> </w:t>
            </w:r>
            <w:r>
              <w:rPr>
                <w:rFonts w:ascii="宋体" w:hAnsi="宋体" w:eastAsia="宋体" w:cs="宋体"/>
                <w:sz w:val="20"/>
                <w:szCs w:val="20"/>
              </w:rPr>
              <w:t>制规范和产品规范可根据其规定实体的具体情况剪裁本表列出的各章的要素。</w:t>
            </w:r>
          </w:p>
          <w:p w14:paraId="125F47D0">
            <w:pPr>
              <w:spacing w:line="219" w:lineRule="auto"/>
              <w:ind w:left="125"/>
              <w:rPr>
                <w:rFonts w:ascii="宋体" w:hAnsi="宋体" w:eastAsia="宋体" w:cs="宋体"/>
                <w:sz w:val="20"/>
                <w:szCs w:val="20"/>
              </w:rPr>
            </w:pPr>
            <w:r>
              <w:rPr>
                <w:rFonts w:ascii="宋体" w:hAnsi="宋体" w:eastAsia="宋体" w:cs="宋体"/>
                <w:sz w:val="20"/>
                <w:szCs w:val="20"/>
              </w:rPr>
              <w:t>注3:第6章无条文时，该章应省略；第5章和第6章均无条</w:t>
            </w:r>
            <w:r>
              <w:rPr>
                <w:rFonts w:ascii="宋体" w:hAnsi="宋体" w:eastAsia="宋体" w:cs="宋体"/>
                <w:spacing w:val="-1"/>
                <w:sz w:val="20"/>
                <w:szCs w:val="20"/>
              </w:rPr>
              <w:t>文时，两章均应省略</w:t>
            </w:r>
          </w:p>
        </w:tc>
      </w:tr>
    </w:tbl>
    <w:p w14:paraId="1DD6080C">
      <w:pPr>
        <w:pStyle w:val="2"/>
      </w:pPr>
    </w:p>
    <w:p w14:paraId="7FA45620">
      <w:pPr>
        <w:sectPr>
          <w:footerReference r:id="rId61" w:type="default"/>
          <w:pgSz w:w="11910" w:h="17130"/>
          <w:pgMar w:top="400" w:right="984" w:bottom="1664" w:left="1554" w:header="0" w:footer="1448" w:gutter="0"/>
          <w:cols w:space="720" w:num="1"/>
        </w:sectPr>
      </w:pPr>
    </w:p>
    <w:p w14:paraId="0398A8ED">
      <w:pPr>
        <w:pStyle w:val="2"/>
        <w:spacing w:line="272" w:lineRule="auto"/>
      </w:pPr>
    </w:p>
    <w:p w14:paraId="67A3692F">
      <w:pPr>
        <w:pStyle w:val="2"/>
        <w:spacing w:line="273" w:lineRule="auto"/>
      </w:pPr>
    </w:p>
    <w:p w14:paraId="20E9EB76">
      <w:pPr>
        <w:pStyle w:val="2"/>
        <w:spacing w:line="273" w:lineRule="auto"/>
      </w:pPr>
    </w:p>
    <w:p w14:paraId="4ABAE4DC">
      <w:pPr>
        <w:pStyle w:val="2"/>
        <w:spacing w:line="273" w:lineRule="auto"/>
      </w:pPr>
    </w:p>
    <w:p w14:paraId="1ED57244">
      <w:pPr>
        <w:pStyle w:val="2"/>
        <w:spacing w:line="273" w:lineRule="auto"/>
      </w:pPr>
    </w:p>
    <w:p w14:paraId="62414475">
      <w:pPr>
        <w:spacing w:before="117" w:line="219" w:lineRule="auto"/>
        <w:ind w:left="2509"/>
        <w:outlineLvl w:val="1"/>
        <w:rPr>
          <w:rFonts w:ascii="宋体" w:hAnsi="宋体" w:eastAsia="宋体" w:cs="宋体"/>
          <w:sz w:val="36"/>
          <w:szCs w:val="36"/>
        </w:rPr>
      </w:pPr>
      <w:bookmarkStart w:id="28" w:name="bookmark15"/>
      <w:bookmarkEnd w:id="28"/>
      <w:bookmarkStart w:id="29" w:name="bookmark320"/>
      <w:bookmarkEnd w:id="29"/>
      <w:r>
        <w:rPr>
          <w:rFonts w:ascii="宋体" w:hAnsi="宋体" w:eastAsia="宋体" w:cs="宋体"/>
          <w:spacing w:val="4"/>
          <w:sz w:val="36"/>
          <w:szCs w:val="36"/>
        </w:rPr>
        <w:t xml:space="preserve">1.13  </w:t>
      </w:r>
      <w:r>
        <w:rPr>
          <w:rFonts w:ascii="宋体" w:hAnsi="宋体" w:eastAsia="宋体" w:cs="宋体"/>
          <w:b/>
          <w:bCs/>
          <w:spacing w:val="4"/>
          <w:sz w:val="36"/>
          <w:szCs w:val="36"/>
        </w:rPr>
        <w:t>研制规范(</w:t>
      </w:r>
      <w:r>
        <w:rPr>
          <w:rFonts w:ascii="Times New Roman" w:hAnsi="Times New Roman" w:eastAsia="Times New Roman" w:cs="Times New Roman"/>
          <w:b/>
          <w:bCs/>
          <w:spacing w:val="4"/>
          <w:sz w:val="36"/>
          <w:szCs w:val="36"/>
        </w:rPr>
        <w:t>B</w:t>
      </w:r>
      <w:r>
        <w:rPr>
          <w:rFonts w:ascii="Times New Roman" w:hAnsi="Times New Roman" w:eastAsia="Times New Roman" w:cs="Times New Roman"/>
          <w:b/>
          <w:bCs/>
          <w:spacing w:val="-6"/>
          <w:sz w:val="36"/>
          <w:szCs w:val="36"/>
        </w:rPr>
        <w:t xml:space="preserve"> </w:t>
      </w:r>
      <w:r>
        <w:rPr>
          <w:rFonts w:ascii="宋体" w:hAnsi="宋体" w:eastAsia="宋体" w:cs="宋体"/>
          <w:b/>
          <w:bCs/>
          <w:spacing w:val="4"/>
          <w:sz w:val="36"/>
          <w:szCs w:val="36"/>
        </w:rPr>
        <w:t>类规范)</w:t>
      </w:r>
    </w:p>
    <w:p w14:paraId="3FB3CA47">
      <w:pPr>
        <w:pStyle w:val="2"/>
        <w:spacing w:line="318" w:lineRule="auto"/>
      </w:pPr>
    </w:p>
    <w:p w14:paraId="13A3FA45">
      <w:pPr>
        <w:spacing w:before="91" w:line="279" w:lineRule="auto"/>
        <w:ind w:right="66" w:firstLine="560"/>
        <w:rPr>
          <w:rFonts w:ascii="楷体" w:hAnsi="楷体" w:eastAsia="楷体" w:cs="楷体"/>
          <w:sz w:val="28"/>
          <w:szCs w:val="28"/>
        </w:rPr>
      </w:pPr>
      <w:r>
        <w:rPr>
          <w:rFonts w:ascii="楷体" w:hAnsi="楷体" w:eastAsia="楷体" w:cs="楷体"/>
          <w:spacing w:val="-4"/>
          <w:sz w:val="28"/>
          <w:szCs w:val="28"/>
        </w:rPr>
        <w:t>研制规范(</w:t>
      </w:r>
      <w:r>
        <w:rPr>
          <w:rFonts w:ascii="Times New Roman" w:hAnsi="Times New Roman" w:eastAsia="Times New Roman" w:cs="Times New Roman"/>
          <w:spacing w:val="-4"/>
          <w:sz w:val="28"/>
          <w:szCs w:val="28"/>
        </w:rPr>
        <w:t xml:space="preserve">B </w:t>
      </w:r>
      <w:r>
        <w:rPr>
          <w:rFonts w:ascii="楷体" w:hAnsi="楷体" w:eastAsia="楷体" w:cs="楷体"/>
          <w:spacing w:val="-4"/>
          <w:sz w:val="28"/>
          <w:szCs w:val="28"/>
        </w:rPr>
        <w:t>类规范)按照</w:t>
      </w:r>
      <w:r>
        <w:rPr>
          <w:rFonts w:ascii="Times New Roman" w:hAnsi="Times New Roman" w:eastAsia="Times New Roman" w:cs="Times New Roman"/>
          <w:spacing w:val="-4"/>
          <w:sz w:val="28"/>
          <w:szCs w:val="28"/>
        </w:rPr>
        <w:t>GJB 6387—2008</w:t>
      </w:r>
      <w:r>
        <w:rPr>
          <w:rFonts w:ascii="宋体" w:hAnsi="宋体" w:eastAsia="宋体" w:cs="宋体"/>
          <w:spacing w:val="-4"/>
          <w:sz w:val="28"/>
          <w:szCs w:val="28"/>
        </w:rPr>
        <w:t>《</w:t>
      </w:r>
      <w:r>
        <w:rPr>
          <w:rFonts w:ascii="楷体" w:hAnsi="楷体" w:eastAsia="楷体" w:cs="楷体"/>
          <w:spacing w:val="-4"/>
          <w:sz w:val="28"/>
          <w:szCs w:val="28"/>
        </w:rPr>
        <w:t>武器装备研制项目专用规范编</w:t>
      </w:r>
      <w:r>
        <w:rPr>
          <w:rFonts w:ascii="楷体" w:hAnsi="楷体" w:eastAsia="楷体" w:cs="楷体"/>
          <w:spacing w:val="6"/>
          <w:sz w:val="28"/>
          <w:szCs w:val="28"/>
        </w:rPr>
        <w:t xml:space="preserve"> </w:t>
      </w:r>
      <w:r>
        <w:rPr>
          <w:rFonts w:ascii="楷体" w:hAnsi="楷体" w:eastAsia="楷体" w:cs="楷体"/>
          <w:spacing w:val="-26"/>
          <w:sz w:val="28"/>
          <w:szCs w:val="28"/>
        </w:rPr>
        <w:t>写规定》编写。</w:t>
      </w:r>
    </w:p>
    <w:p w14:paraId="73F5FDF3">
      <w:pPr>
        <w:spacing w:before="3" w:line="276" w:lineRule="auto"/>
        <w:ind w:right="42" w:firstLine="560"/>
        <w:jc w:val="both"/>
        <w:rPr>
          <w:rFonts w:ascii="楷体" w:hAnsi="楷体" w:eastAsia="楷体" w:cs="楷体"/>
          <w:sz w:val="27"/>
          <w:szCs w:val="27"/>
        </w:rPr>
      </w:pPr>
      <w:r>
        <w:rPr>
          <w:rFonts w:ascii="楷体" w:hAnsi="楷体" w:eastAsia="楷体" w:cs="楷体"/>
          <w:spacing w:val="5"/>
          <w:sz w:val="27"/>
          <w:szCs w:val="27"/>
        </w:rPr>
        <w:t>研制规范描述系统级之下技术状态项目的功能特性、接口要</w:t>
      </w:r>
      <w:r>
        <w:rPr>
          <w:rFonts w:ascii="楷体" w:hAnsi="楷体" w:eastAsia="楷体" w:cs="楷体"/>
          <w:spacing w:val="4"/>
          <w:sz w:val="27"/>
          <w:szCs w:val="27"/>
        </w:rPr>
        <w:t>求和验证要求</w:t>
      </w:r>
      <w:r>
        <w:rPr>
          <w:rFonts w:ascii="楷体" w:hAnsi="楷体" w:eastAsia="楷体" w:cs="楷体"/>
          <w:sz w:val="27"/>
          <w:szCs w:val="27"/>
        </w:rPr>
        <w:t xml:space="preserve"> </w:t>
      </w:r>
      <w:r>
        <w:rPr>
          <w:rFonts w:ascii="楷体" w:hAnsi="楷体" w:eastAsia="楷体" w:cs="楷体"/>
          <w:spacing w:val="5"/>
          <w:sz w:val="27"/>
          <w:szCs w:val="27"/>
        </w:rPr>
        <w:t>等；属研制规范范畴的软件规范(软件需求规格说明)描述软件配置项</w:t>
      </w:r>
      <w:r>
        <w:rPr>
          <w:rFonts w:ascii="楷体" w:hAnsi="楷体" w:eastAsia="楷体" w:cs="楷体"/>
          <w:spacing w:val="4"/>
          <w:sz w:val="27"/>
          <w:szCs w:val="27"/>
        </w:rPr>
        <w:t>的需求及</w:t>
      </w:r>
      <w:r>
        <w:rPr>
          <w:rFonts w:ascii="楷体" w:hAnsi="楷体" w:eastAsia="楷体" w:cs="楷体"/>
          <w:sz w:val="27"/>
          <w:szCs w:val="27"/>
        </w:rPr>
        <w:t xml:space="preserve"> </w:t>
      </w:r>
      <w:r>
        <w:rPr>
          <w:rFonts w:ascii="楷体" w:hAnsi="楷体" w:eastAsia="楷体" w:cs="楷体"/>
          <w:spacing w:val="5"/>
          <w:sz w:val="27"/>
          <w:szCs w:val="27"/>
        </w:rPr>
        <w:t>合格性规定等。它们需与其装备研制项目的“研制总要求”的技术内容协调一</w:t>
      </w:r>
      <w:r>
        <w:rPr>
          <w:rFonts w:ascii="楷体" w:hAnsi="楷体" w:eastAsia="楷体" w:cs="楷体"/>
          <w:spacing w:val="13"/>
          <w:sz w:val="27"/>
          <w:szCs w:val="27"/>
        </w:rPr>
        <w:t xml:space="preserve"> </w:t>
      </w:r>
      <w:r>
        <w:rPr>
          <w:rFonts w:ascii="楷体" w:hAnsi="楷体" w:eastAsia="楷体" w:cs="楷体"/>
          <w:spacing w:val="-3"/>
          <w:sz w:val="27"/>
          <w:szCs w:val="27"/>
        </w:rPr>
        <w:t>致。研制规范一般从方案阶段开始编制，随着研制工作的进展逐步完善，到工程</w:t>
      </w:r>
      <w:r>
        <w:rPr>
          <w:rFonts w:ascii="楷体" w:hAnsi="楷体" w:eastAsia="楷体" w:cs="楷体"/>
          <w:spacing w:val="7"/>
          <w:sz w:val="27"/>
          <w:szCs w:val="27"/>
        </w:rPr>
        <w:t xml:space="preserve"> </w:t>
      </w:r>
      <w:r>
        <w:rPr>
          <w:rFonts w:ascii="楷体" w:hAnsi="楷体" w:eastAsia="楷体" w:cs="楷体"/>
          <w:spacing w:val="6"/>
          <w:sz w:val="27"/>
          <w:szCs w:val="27"/>
        </w:rPr>
        <w:t>研制阶段详细设计开始前批准定稿。批准的研制规范体现武</w:t>
      </w:r>
      <w:r>
        <w:rPr>
          <w:rFonts w:ascii="楷体" w:hAnsi="楷体" w:eastAsia="楷体" w:cs="楷体"/>
          <w:spacing w:val="5"/>
          <w:sz w:val="27"/>
          <w:szCs w:val="27"/>
        </w:rPr>
        <w:t>器装备研制项目的</w:t>
      </w:r>
      <w:r>
        <w:rPr>
          <w:rFonts w:ascii="楷体" w:hAnsi="楷体" w:eastAsia="楷体" w:cs="楷体"/>
          <w:sz w:val="27"/>
          <w:szCs w:val="27"/>
        </w:rPr>
        <w:t xml:space="preserve"> </w:t>
      </w:r>
      <w:r>
        <w:rPr>
          <w:rFonts w:ascii="楷体" w:hAnsi="楷体" w:eastAsia="楷体" w:cs="楷体"/>
          <w:spacing w:val="-9"/>
          <w:sz w:val="27"/>
          <w:szCs w:val="27"/>
        </w:rPr>
        <w:t>分配基线，是技术状态控制的依据，未经原批准机关批准，不得更改。</w:t>
      </w:r>
    </w:p>
    <w:p w14:paraId="0EBFD515">
      <w:pPr>
        <w:spacing w:before="2" w:line="265" w:lineRule="auto"/>
        <w:ind w:right="16" w:firstLine="590"/>
        <w:jc w:val="both"/>
        <w:rPr>
          <w:rFonts w:ascii="楷体" w:hAnsi="楷体" w:eastAsia="楷体" w:cs="楷体"/>
          <w:sz w:val="28"/>
          <w:szCs w:val="28"/>
        </w:rPr>
      </w:pPr>
      <w:r>
        <w:rPr>
          <w:rFonts w:ascii="楷体" w:hAnsi="楷体" w:eastAsia="楷体" w:cs="楷体"/>
          <w:spacing w:val="-6"/>
          <w:sz w:val="28"/>
          <w:szCs w:val="28"/>
        </w:rPr>
        <w:t>在</w:t>
      </w:r>
      <w:r>
        <w:rPr>
          <w:rFonts w:ascii="Times New Roman" w:hAnsi="Times New Roman" w:eastAsia="Times New Roman" w:cs="Times New Roman"/>
          <w:spacing w:val="-6"/>
          <w:sz w:val="28"/>
          <w:szCs w:val="28"/>
        </w:rPr>
        <w:t xml:space="preserve">GJB6387—2008  </w:t>
      </w:r>
      <w:r>
        <w:rPr>
          <w:rFonts w:ascii="楷体" w:hAnsi="楷体" w:eastAsia="楷体" w:cs="楷体"/>
          <w:spacing w:val="-6"/>
          <w:sz w:val="28"/>
          <w:szCs w:val="28"/>
        </w:rPr>
        <w:t>中，系统规范、研制规范和产品规范的编写说明是一样</w:t>
      </w:r>
      <w:r>
        <w:rPr>
          <w:rFonts w:ascii="楷体" w:hAnsi="楷体" w:eastAsia="楷体" w:cs="楷体"/>
          <w:spacing w:val="7"/>
          <w:sz w:val="28"/>
          <w:szCs w:val="28"/>
        </w:rPr>
        <w:t xml:space="preserve"> </w:t>
      </w:r>
      <w:r>
        <w:rPr>
          <w:rFonts w:ascii="楷体" w:hAnsi="楷体" w:eastAsia="楷体" w:cs="楷体"/>
          <w:spacing w:val="-14"/>
          <w:sz w:val="28"/>
          <w:szCs w:val="28"/>
        </w:rPr>
        <w:t>的，详见本书1.29《产品规范(</w:t>
      </w:r>
      <w:r>
        <w:rPr>
          <w:rFonts w:ascii="楷体" w:hAnsi="楷体" w:eastAsia="楷体" w:cs="楷体"/>
          <w:spacing w:val="-58"/>
          <w:sz w:val="28"/>
          <w:szCs w:val="28"/>
        </w:rPr>
        <w:t xml:space="preserve"> </w:t>
      </w:r>
      <w:r>
        <w:rPr>
          <w:rFonts w:ascii="Times New Roman" w:hAnsi="Times New Roman" w:eastAsia="Times New Roman" w:cs="Times New Roman"/>
          <w:spacing w:val="-14"/>
          <w:sz w:val="28"/>
          <w:szCs w:val="28"/>
        </w:rPr>
        <w:t>C</w:t>
      </w:r>
      <w:r>
        <w:rPr>
          <w:rFonts w:ascii="Times New Roman" w:hAnsi="Times New Roman" w:eastAsia="Times New Roman" w:cs="Times New Roman"/>
          <w:spacing w:val="33"/>
          <w:w w:val="101"/>
          <w:sz w:val="28"/>
          <w:szCs w:val="28"/>
        </w:rPr>
        <w:t xml:space="preserve"> </w:t>
      </w:r>
      <w:r>
        <w:rPr>
          <w:rFonts w:ascii="楷体" w:hAnsi="楷体" w:eastAsia="楷体" w:cs="楷体"/>
          <w:spacing w:val="-14"/>
          <w:sz w:val="28"/>
          <w:szCs w:val="28"/>
        </w:rPr>
        <w:t>类规范)》的编写说明。区别在于系统规范、研</w:t>
      </w:r>
      <w:r>
        <w:rPr>
          <w:rFonts w:ascii="楷体" w:hAnsi="楷体" w:eastAsia="楷体" w:cs="楷体"/>
          <w:sz w:val="28"/>
          <w:szCs w:val="28"/>
        </w:rPr>
        <w:t xml:space="preserve"> </w:t>
      </w:r>
      <w:r>
        <w:rPr>
          <w:rFonts w:ascii="楷体" w:hAnsi="楷体" w:eastAsia="楷体" w:cs="楷体"/>
          <w:spacing w:val="-8"/>
          <w:sz w:val="28"/>
          <w:szCs w:val="28"/>
        </w:rPr>
        <w:t>制规范和产品规范的各章要素有些差别，见表1.2。</w:t>
      </w:r>
    </w:p>
    <w:p w14:paraId="00B85DC8">
      <w:pPr>
        <w:pStyle w:val="2"/>
        <w:spacing w:line="273" w:lineRule="auto"/>
      </w:pPr>
    </w:p>
    <w:p w14:paraId="6B6C6A5B">
      <w:pPr>
        <w:spacing w:before="117" w:line="220" w:lineRule="auto"/>
        <w:ind w:left="3250"/>
        <w:outlineLvl w:val="1"/>
        <w:rPr>
          <w:rFonts w:ascii="宋体" w:hAnsi="宋体" w:eastAsia="宋体" w:cs="宋体"/>
          <w:sz w:val="36"/>
          <w:szCs w:val="36"/>
        </w:rPr>
      </w:pPr>
      <w:bookmarkStart w:id="30" w:name="bookmark16"/>
      <w:bookmarkEnd w:id="30"/>
      <w:r>
        <w:rPr>
          <w:rFonts w:ascii="宋体" w:hAnsi="宋体" w:eastAsia="宋体" w:cs="宋体"/>
          <w:spacing w:val="-14"/>
          <w:sz w:val="36"/>
          <w:szCs w:val="36"/>
        </w:rPr>
        <w:t>1.</w:t>
      </w:r>
      <w:r>
        <w:rPr>
          <w:rFonts w:ascii="宋体" w:hAnsi="宋体" w:eastAsia="宋体" w:cs="宋体"/>
          <w:b/>
          <w:bCs/>
          <w:spacing w:val="-14"/>
          <w:sz w:val="36"/>
          <w:szCs w:val="36"/>
        </w:rPr>
        <w:t>14</w:t>
      </w:r>
      <w:r>
        <w:rPr>
          <w:rFonts w:ascii="宋体" w:hAnsi="宋体" w:eastAsia="宋体" w:cs="宋体"/>
          <w:spacing w:val="25"/>
          <w:sz w:val="36"/>
          <w:szCs w:val="36"/>
        </w:rPr>
        <w:t xml:space="preserve">  </w:t>
      </w:r>
      <w:r>
        <w:rPr>
          <w:rFonts w:ascii="宋体" w:hAnsi="宋体" w:eastAsia="宋体" w:cs="宋体"/>
          <w:b/>
          <w:bCs/>
          <w:spacing w:val="-14"/>
          <w:sz w:val="36"/>
          <w:szCs w:val="36"/>
        </w:rPr>
        <w:t>研</w:t>
      </w:r>
      <w:r>
        <w:rPr>
          <w:rFonts w:ascii="宋体" w:hAnsi="宋体" w:eastAsia="宋体" w:cs="宋体"/>
          <w:spacing w:val="-25"/>
          <w:sz w:val="36"/>
          <w:szCs w:val="36"/>
        </w:rPr>
        <w:t xml:space="preserve"> </w:t>
      </w:r>
      <w:r>
        <w:rPr>
          <w:rFonts w:ascii="宋体" w:hAnsi="宋体" w:eastAsia="宋体" w:cs="宋体"/>
          <w:b/>
          <w:bCs/>
          <w:spacing w:val="-14"/>
          <w:sz w:val="36"/>
          <w:szCs w:val="36"/>
        </w:rPr>
        <w:t>制</w:t>
      </w:r>
      <w:r>
        <w:rPr>
          <w:rFonts w:ascii="宋体" w:hAnsi="宋体" w:eastAsia="宋体" w:cs="宋体"/>
          <w:spacing w:val="-26"/>
          <w:sz w:val="36"/>
          <w:szCs w:val="36"/>
        </w:rPr>
        <w:t xml:space="preserve"> </w:t>
      </w:r>
      <w:r>
        <w:rPr>
          <w:rFonts w:ascii="宋体" w:hAnsi="宋体" w:eastAsia="宋体" w:cs="宋体"/>
          <w:b/>
          <w:bCs/>
          <w:spacing w:val="-14"/>
          <w:sz w:val="36"/>
          <w:szCs w:val="36"/>
        </w:rPr>
        <w:t>计</w:t>
      </w:r>
      <w:r>
        <w:rPr>
          <w:rFonts w:ascii="宋体" w:hAnsi="宋体" w:eastAsia="宋体" w:cs="宋体"/>
          <w:spacing w:val="-27"/>
          <w:sz w:val="36"/>
          <w:szCs w:val="36"/>
        </w:rPr>
        <w:t xml:space="preserve"> </w:t>
      </w:r>
      <w:r>
        <w:rPr>
          <w:rFonts w:ascii="宋体" w:hAnsi="宋体" w:eastAsia="宋体" w:cs="宋体"/>
          <w:b/>
          <w:bCs/>
          <w:spacing w:val="-14"/>
          <w:sz w:val="36"/>
          <w:szCs w:val="36"/>
        </w:rPr>
        <w:t>划</w:t>
      </w:r>
    </w:p>
    <w:p w14:paraId="7359B6D8">
      <w:pPr>
        <w:pStyle w:val="2"/>
        <w:spacing w:line="318" w:lineRule="auto"/>
      </w:pPr>
    </w:p>
    <w:p w14:paraId="27C27310">
      <w:pPr>
        <w:spacing w:before="92" w:line="269" w:lineRule="auto"/>
        <w:ind w:right="21" w:firstLine="59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2993—1997</w:t>
      </w:r>
      <w:r>
        <w:rPr>
          <w:rFonts w:ascii="宋体" w:hAnsi="宋体" w:eastAsia="宋体" w:cs="宋体"/>
          <w:spacing w:val="-11"/>
          <w:sz w:val="28"/>
          <w:szCs w:val="28"/>
        </w:rPr>
        <w:t>《</w:t>
      </w:r>
      <w:r>
        <w:rPr>
          <w:rFonts w:ascii="楷体" w:hAnsi="楷体" w:eastAsia="楷体" w:cs="楷体"/>
          <w:spacing w:val="-11"/>
          <w:sz w:val="28"/>
          <w:szCs w:val="28"/>
        </w:rPr>
        <w:t>武器装备研制项目管理》</w:t>
      </w:r>
      <w:r>
        <w:rPr>
          <w:rFonts w:ascii="楷体" w:hAnsi="楷体" w:eastAsia="楷体" w:cs="楷体"/>
          <w:spacing w:val="-12"/>
          <w:sz w:val="28"/>
          <w:szCs w:val="28"/>
        </w:rPr>
        <w:t>要求，参照《系统工程管理</w:t>
      </w:r>
      <w:r>
        <w:rPr>
          <w:rFonts w:ascii="楷体" w:hAnsi="楷体" w:eastAsia="楷体" w:cs="楷体"/>
          <w:sz w:val="28"/>
          <w:szCs w:val="28"/>
        </w:rPr>
        <w:t xml:space="preserve"> </w:t>
      </w:r>
      <w:r>
        <w:rPr>
          <w:rFonts w:ascii="楷体" w:hAnsi="楷体" w:eastAsia="楷体" w:cs="楷体"/>
          <w:spacing w:val="-30"/>
          <w:sz w:val="28"/>
          <w:szCs w:val="28"/>
        </w:rPr>
        <w:t>指南》编写。</w:t>
      </w:r>
    </w:p>
    <w:p w14:paraId="16913691">
      <w:pPr>
        <w:spacing w:before="12" w:line="222" w:lineRule="auto"/>
        <w:rPr>
          <w:rFonts w:ascii="黑体" w:hAnsi="黑体" w:eastAsia="黑体" w:cs="黑体"/>
          <w:sz w:val="27"/>
          <w:szCs w:val="27"/>
        </w:rPr>
      </w:pPr>
      <w:r>
        <w:rPr>
          <w:rFonts w:ascii="黑体" w:hAnsi="黑体" w:eastAsia="黑体" w:cs="黑体"/>
          <w:spacing w:val="2"/>
          <w:sz w:val="27"/>
          <w:szCs w:val="27"/>
        </w:rPr>
        <w:t>1</w:t>
      </w:r>
      <w:r>
        <w:rPr>
          <w:rFonts w:ascii="黑体" w:hAnsi="黑体" w:eastAsia="黑体" w:cs="黑体"/>
          <w:spacing w:val="31"/>
          <w:sz w:val="27"/>
          <w:szCs w:val="27"/>
        </w:rPr>
        <w:t xml:space="preserve">  </w:t>
      </w:r>
      <w:r>
        <w:rPr>
          <w:rFonts w:ascii="黑体" w:hAnsi="黑体" w:eastAsia="黑体" w:cs="黑体"/>
          <w:spacing w:val="2"/>
          <w:sz w:val="27"/>
          <w:szCs w:val="27"/>
        </w:rPr>
        <w:t>工程项目技术规划和控制</w:t>
      </w:r>
    </w:p>
    <w:p w14:paraId="671F68FB">
      <w:pPr>
        <w:spacing w:before="94" w:line="221" w:lineRule="auto"/>
        <w:rPr>
          <w:rFonts w:ascii="黑体" w:hAnsi="黑体" w:eastAsia="黑体" w:cs="黑体"/>
          <w:sz w:val="27"/>
          <w:szCs w:val="27"/>
        </w:rPr>
      </w:pPr>
      <w:r>
        <w:rPr>
          <w:rFonts w:ascii="黑体" w:hAnsi="黑体" w:eastAsia="黑体" w:cs="黑体"/>
          <w:spacing w:val="1"/>
          <w:sz w:val="27"/>
          <w:szCs w:val="27"/>
        </w:rPr>
        <w:t>1.1</w:t>
      </w:r>
      <w:r>
        <w:rPr>
          <w:rFonts w:ascii="黑体" w:hAnsi="黑体" w:eastAsia="黑体" w:cs="黑体"/>
          <w:spacing w:val="30"/>
          <w:sz w:val="27"/>
          <w:szCs w:val="27"/>
        </w:rPr>
        <w:t xml:space="preserve">  </w:t>
      </w:r>
      <w:r>
        <w:rPr>
          <w:rFonts w:ascii="黑体" w:hAnsi="黑体" w:eastAsia="黑体" w:cs="黑体"/>
          <w:spacing w:val="1"/>
          <w:sz w:val="27"/>
          <w:szCs w:val="27"/>
        </w:rPr>
        <w:t>职责和权力</w:t>
      </w:r>
    </w:p>
    <w:p w14:paraId="34796774">
      <w:pPr>
        <w:spacing w:before="86" w:line="279" w:lineRule="auto"/>
        <w:ind w:right="37" w:firstLine="590"/>
        <w:jc w:val="both"/>
        <w:rPr>
          <w:rFonts w:ascii="宋体" w:hAnsi="宋体" w:eastAsia="宋体" w:cs="宋体"/>
          <w:sz w:val="27"/>
          <w:szCs w:val="27"/>
        </w:rPr>
      </w:pPr>
      <w:r>
        <w:rPr>
          <w:rFonts w:ascii="宋体" w:hAnsi="宋体" w:eastAsia="宋体" w:cs="宋体"/>
          <w:spacing w:val="13"/>
          <w:sz w:val="27"/>
          <w:szCs w:val="27"/>
        </w:rPr>
        <w:t>明确对项目技术工作负责的组织机构，规定资源控制与完成具体工作任</w:t>
      </w:r>
      <w:r>
        <w:rPr>
          <w:rFonts w:ascii="宋体" w:hAnsi="宋体" w:eastAsia="宋体" w:cs="宋体"/>
          <w:spacing w:val="17"/>
          <w:sz w:val="27"/>
          <w:szCs w:val="27"/>
        </w:rPr>
        <w:t xml:space="preserve"> </w:t>
      </w:r>
      <w:r>
        <w:rPr>
          <w:rFonts w:ascii="宋体" w:hAnsi="宋体" w:eastAsia="宋体" w:cs="宋体"/>
          <w:spacing w:val="9"/>
          <w:sz w:val="27"/>
          <w:szCs w:val="27"/>
        </w:rPr>
        <w:t xml:space="preserve">务部门之间的联系方式，详细的工作委任要与费用/进度控制系统相协调，并 </w:t>
      </w:r>
      <w:r>
        <w:rPr>
          <w:rFonts w:ascii="宋体" w:hAnsi="宋体" w:eastAsia="宋体" w:cs="宋体"/>
          <w:spacing w:val="14"/>
          <w:sz w:val="27"/>
          <w:szCs w:val="27"/>
        </w:rPr>
        <w:t>包括工作完成情况的技术度量。明确工作职</w:t>
      </w:r>
      <w:r>
        <w:rPr>
          <w:rFonts w:ascii="宋体" w:hAnsi="宋体" w:eastAsia="宋体" w:cs="宋体"/>
          <w:spacing w:val="13"/>
          <w:sz w:val="27"/>
          <w:szCs w:val="27"/>
        </w:rPr>
        <w:t>责和权限的更改要通知合同管理</w:t>
      </w:r>
      <w:r>
        <w:rPr>
          <w:rFonts w:ascii="宋体" w:hAnsi="宋体" w:eastAsia="宋体" w:cs="宋体"/>
          <w:sz w:val="27"/>
          <w:szCs w:val="27"/>
        </w:rPr>
        <w:t xml:space="preserve"> </w:t>
      </w:r>
      <w:r>
        <w:rPr>
          <w:rFonts w:ascii="宋体" w:hAnsi="宋体" w:eastAsia="宋体" w:cs="宋体"/>
          <w:spacing w:val="-2"/>
          <w:sz w:val="27"/>
          <w:szCs w:val="27"/>
        </w:rPr>
        <w:t>部门。</w:t>
      </w:r>
    </w:p>
    <w:p w14:paraId="4FD4090E">
      <w:pPr>
        <w:spacing w:before="1" w:line="221" w:lineRule="auto"/>
        <w:rPr>
          <w:rFonts w:ascii="黑体" w:hAnsi="黑体" w:eastAsia="黑体" w:cs="黑体"/>
          <w:sz w:val="27"/>
          <w:szCs w:val="27"/>
        </w:rPr>
      </w:pPr>
      <w:r>
        <w:rPr>
          <w:rFonts w:ascii="黑体" w:hAnsi="黑体" w:eastAsia="黑体" w:cs="黑体"/>
          <w:spacing w:val="-13"/>
          <w:sz w:val="27"/>
          <w:szCs w:val="27"/>
        </w:rPr>
        <w:t>1.2</w:t>
      </w:r>
      <w:r>
        <w:rPr>
          <w:rFonts w:ascii="黑体" w:hAnsi="黑体" w:eastAsia="黑体" w:cs="黑体"/>
          <w:spacing w:val="39"/>
          <w:sz w:val="27"/>
          <w:szCs w:val="27"/>
        </w:rPr>
        <w:t xml:space="preserve">  </w:t>
      </w:r>
      <w:r>
        <w:rPr>
          <w:rFonts w:ascii="黑体" w:hAnsi="黑体" w:eastAsia="黑体" w:cs="黑体"/>
          <w:spacing w:val="-13"/>
          <w:sz w:val="27"/>
          <w:szCs w:val="27"/>
        </w:rPr>
        <w:t>标准、程序和训练</w:t>
      </w:r>
    </w:p>
    <w:p w14:paraId="7D42B0FD">
      <w:pPr>
        <w:spacing w:before="96" w:line="272" w:lineRule="auto"/>
        <w:ind w:right="18" w:firstLine="590"/>
        <w:rPr>
          <w:rFonts w:ascii="宋体" w:hAnsi="宋体" w:eastAsia="宋体" w:cs="宋体"/>
          <w:sz w:val="27"/>
          <w:szCs w:val="27"/>
        </w:rPr>
      </w:pPr>
      <w:r>
        <w:rPr>
          <w:rFonts w:ascii="宋体" w:hAnsi="宋体" w:eastAsia="宋体" w:cs="宋体"/>
          <w:spacing w:val="-11"/>
          <w:sz w:val="27"/>
          <w:szCs w:val="27"/>
        </w:rPr>
        <w:t>明确工程项目应遵循的标准、程序，如果有必要，应制定培训计划，对相关人</w:t>
      </w:r>
      <w:r>
        <w:rPr>
          <w:rFonts w:ascii="宋体" w:hAnsi="宋体" w:eastAsia="宋体" w:cs="宋体"/>
          <w:spacing w:val="4"/>
          <w:sz w:val="27"/>
          <w:szCs w:val="27"/>
        </w:rPr>
        <w:t xml:space="preserve"> </w:t>
      </w:r>
      <w:r>
        <w:rPr>
          <w:rFonts w:ascii="宋体" w:hAnsi="宋体" w:eastAsia="宋体" w:cs="宋体"/>
          <w:sz w:val="27"/>
          <w:szCs w:val="27"/>
        </w:rPr>
        <w:t>员进行必要的培训。</w:t>
      </w:r>
    </w:p>
    <w:p w14:paraId="3FB99F58">
      <w:pPr>
        <w:pStyle w:val="2"/>
        <w:spacing w:line="328" w:lineRule="exact"/>
        <w:rPr>
          <w:rFonts w:ascii="黑体" w:hAnsi="黑体" w:eastAsia="黑体" w:cs="黑体"/>
          <w:sz w:val="24"/>
          <w:szCs w:val="24"/>
        </w:rPr>
      </w:pPr>
      <w:r>
        <w:rPr>
          <w:spacing w:val="22"/>
          <w:position w:val="1"/>
          <w:sz w:val="24"/>
          <w:szCs w:val="24"/>
        </w:rPr>
        <w:t>1.3</w:t>
      </w:r>
      <w:r>
        <w:rPr>
          <w:position w:val="1"/>
          <w:sz w:val="24"/>
          <w:szCs w:val="24"/>
        </w:rPr>
        <w:t xml:space="preserve">      </w:t>
      </w:r>
      <w:r>
        <w:rPr>
          <w:rFonts w:ascii="黑体" w:hAnsi="黑体" w:eastAsia="黑体" w:cs="黑体"/>
          <w:spacing w:val="22"/>
          <w:position w:val="1"/>
          <w:sz w:val="24"/>
          <w:szCs w:val="24"/>
        </w:rPr>
        <w:t>工程项目风险分析</w:t>
      </w:r>
    </w:p>
    <w:p w14:paraId="534D359E">
      <w:pPr>
        <w:spacing w:before="99" w:line="273" w:lineRule="auto"/>
        <w:ind w:firstLine="590"/>
        <w:jc w:val="both"/>
        <w:rPr>
          <w:rFonts w:ascii="宋体" w:hAnsi="宋体" w:eastAsia="宋体" w:cs="宋体"/>
          <w:sz w:val="27"/>
          <w:szCs w:val="27"/>
        </w:rPr>
      </w:pPr>
      <w:r>
        <w:rPr>
          <w:rFonts w:ascii="宋体" w:hAnsi="宋体" w:eastAsia="宋体" w:cs="宋体"/>
          <w:spacing w:val="-3"/>
          <w:sz w:val="27"/>
          <w:szCs w:val="27"/>
        </w:rPr>
        <w:t>应持续不断地对费用、进度和性能参数进行风险分析，通过风险分析，标明</w:t>
      </w:r>
      <w:r>
        <w:rPr>
          <w:rFonts w:ascii="宋体" w:hAnsi="宋体" w:eastAsia="宋体" w:cs="宋体"/>
          <w:spacing w:val="17"/>
          <w:sz w:val="27"/>
          <w:szCs w:val="27"/>
        </w:rPr>
        <w:t xml:space="preserve"> </w:t>
      </w:r>
      <w:r>
        <w:rPr>
          <w:rFonts w:ascii="宋体" w:hAnsi="宋体" w:eastAsia="宋体" w:cs="宋体"/>
          <w:spacing w:val="-10"/>
          <w:sz w:val="27"/>
          <w:szCs w:val="27"/>
        </w:rPr>
        <w:t>关键问题，进一步研究系统的验证、样机的制造、试验的规划、备品的研制，确定</w:t>
      </w:r>
      <w:r>
        <w:rPr>
          <w:rFonts w:ascii="宋体" w:hAnsi="宋体" w:eastAsia="宋体" w:cs="宋体"/>
          <w:spacing w:val="6"/>
          <w:sz w:val="27"/>
          <w:szCs w:val="27"/>
        </w:rPr>
        <w:t xml:space="preserve"> </w:t>
      </w:r>
      <w:r>
        <w:rPr>
          <w:rFonts w:ascii="宋体" w:hAnsi="宋体" w:eastAsia="宋体" w:cs="宋体"/>
          <w:spacing w:val="-3"/>
          <w:sz w:val="27"/>
          <w:szCs w:val="27"/>
        </w:rPr>
        <w:t>试验要求、技术性能测量参数和关键的里程碑。</w:t>
      </w:r>
    </w:p>
    <w:p w14:paraId="324731A4">
      <w:pPr>
        <w:spacing w:before="2" w:line="295" w:lineRule="auto"/>
        <w:ind w:right="17" w:firstLine="590"/>
        <w:rPr>
          <w:rFonts w:ascii="宋体" w:hAnsi="宋体" w:eastAsia="宋体" w:cs="宋体"/>
          <w:sz w:val="27"/>
          <w:szCs w:val="27"/>
        </w:rPr>
      </w:pPr>
      <w:r>
        <w:rPr>
          <w:rFonts w:ascii="宋体" w:hAnsi="宋体" w:eastAsia="宋体" w:cs="宋体"/>
          <w:spacing w:val="1"/>
          <w:sz w:val="27"/>
          <w:szCs w:val="27"/>
        </w:rPr>
        <w:t xml:space="preserve">按照本书6.1《风险管理计划》编写风险管理计划，并将主要计划内容纳入 </w:t>
      </w:r>
      <w:r>
        <w:rPr>
          <w:rFonts w:ascii="宋体" w:hAnsi="宋体" w:eastAsia="宋体" w:cs="宋体"/>
          <w:spacing w:val="-31"/>
          <w:sz w:val="27"/>
          <w:szCs w:val="27"/>
        </w:rPr>
        <w:t>本《研制计划》。</w:t>
      </w:r>
    </w:p>
    <w:p w14:paraId="307A9EE7">
      <w:pPr>
        <w:spacing w:line="295" w:lineRule="auto"/>
        <w:rPr>
          <w:rFonts w:ascii="宋体" w:hAnsi="宋体" w:eastAsia="宋体" w:cs="宋体"/>
          <w:sz w:val="27"/>
          <w:szCs w:val="27"/>
        </w:rPr>
        <w:sectPr>
          <w:footerReference r:id="rId62" w:type="default"/>
          <w:pgSz w:w="11910" w:h="17130"/>
          <w:pgMar w:top="400" w:right="1340" w:bottom="1624" w:left="1150" w:header="0" w:footer="1434" w:gutter="0"/>
          <w:cols w:space="720" w:num="1"/>
        </w:sectPr>
      </w:pPr>
    </w:p>
    <w:p w14:paraId="72608C7F">
      <w:pPr>
        <w:pStyle w:val="2"/>
        <w:spacing w:line="278" w:lineRule="auto"/>
      </w:pPr>
    </w:p>
    <w:p w14:paraId="1E0BF6AB">
      <w:pPr>
        <w:pStyle w:val="2"/>
        <w:spacing w:line="278" w:lineRule="auto"/>
      </w:pPr>
    </w:p>
    <w:p w14:paraId="58ED78D0">
      <w:pPr>
        <w:pStyle w:val="2"/>
        <w:spacing w:line="278" w:lineRule="auto"/>
      </w:pPr>
    </w:p>
    <w:p w14:paraId="318DE16E">
      <w:pPr>
        <w:pStyle w:val="2"/>
        <w:spacing w:line="279" w:lineRule="auto"/>
      </w:pPr>
    </w:p>
    <w:p w14:paraId="5A12B043">
      <w:pPr>
        <w:spacing w:before="78" w:line="222" w:lineRule="auto"/>
        <w:rPr>
          <w:rFonts w:ascii="黑体" w:hAnsi="黑体" w:eastAsia="黑体" w:cs="黑体"/>
          <w:sz w:val="24"/>
          <w:szCs w:val="24"/>
        </w:rPr>
      </w:pPr>
      <w:r>
        <w:rPr>
          <w:rFonts w:ascii="黑体" w:hAnsi="黑体" w:eastAsia="黑体" w:cs="黑体"/>
          <w:spacing w:val="23"/>
          <w:sz w:val="24"/>
          <w:szCs w:val="24"/>
        </w:rPr>
        <w:t>1.4</w:t>
      </w:r>
      <w:r>
        <w:rPr>
          <w:rFonts w:ascii="黑体" w:hAnsi="黑体" w:eastAsia="黑体" w:cs="黑体"/>
          <w:spacing w:val="43"/>
          <w:sz w:val="24"/>
          <w:szCs w:val="24"/>
        </w:rPr>
        <w:t xml:space="preserve">  </w:t>
      </w:r>
      <w:r>
        <w:rPr>
          <w:rFonts w:ascii="黑体" w:hAnsi="黑体" w:eastAsia="黑体" w:cs="黑体"/>
          <w:spacing w:val="23"/>
          <w:sz w:val="24"/>
          <w:szCs w:val="24"/>
        </w:rPr>
        <w:t>工作分解结构</w:t>
      </w:r>
    </w:p>
    <w:p w14:paraId="7EAFF9C7">
      <w:pPr>
        <w:spacing w:before="74" w:line="290" w:lineRule="auto"/>
        <w:ind w:right="9" w:firstLine="550"/>
        <w:rPr>
          <w:rFonts w:ascii="宋体" w:hAnsi="宋体" w:eastAsia="宋体" w:cs="宋体"/>
          <w:sz w:val="27"/>
          <w:szCs w:val="27"/>
        </w:rPr>
      </w:pPr>
      <w:r>
        <w:rPr>
          <w:rFonts w:ascii="宋体" w:hAnsi="宋体" w:eastAsia="宋体" w:cs="宋体"/>
          <w:spacing w:val="5"/>
          <w:sz w:val="27"/>
          <w:szCs w:val="27"/>
        </w:rPr>
        <w:t>按照</w:t>
      </w:r>
      <w:r>
        <w:rPr>
          <w:rFonts w:ascii="Times New Roman" w:hAnsi="Times New Roman" w:eastAsia="Times New Roman" w:cs="Times New Roman"/>
          <w:sz w:val="27"/>
          <w:szCs w:val="27"/>
        </w:rPr>
        <w:t>GJB</w:t>
      </w:r>
      <w:r>
        <w:rPr>
          <w:rFonts w:ascii="Times New Roman" w:hAnsi="Times New Roman" w:eastAsia="Times New Roman" w:cs="Times New Roman"/>
          <w:spacing w:val="5"/>
          <w:sz w:val="27"/>
          <w:szCs w:val="27"/>
        </w:rPr>
        <w:t xml:space="preserve"> 2116—1994</w:t>
      </w:r>
      <w:r>
        <w:rPr>
          <w:rFonts w:ascii="宋体" w:hAnsi="宋体" w:eastAsia="宋体" w:cs="宋体"/>
          <w:spacing w:val="5"/>
          <w:sz w:val="27"/>
          <w:szCs w:val="27"/>
        </w:rPr>
        <w:t>《武器装备研制项目工作分解结构》对研制项目进行</w:t>
      </w:r>
      <w:r>
        <w:rPr>
          <w:rFonts w:ascii="宋体" w:hAnsi="宋体" w:eastAsia="宋体" w:cs="宋体"/>
          <w:sz w:val="27"/>
          <w:szCs w:val="27"/>
        </w:rPr>
        <w:t xml:space="preserve"> </w:t>
      </w:r>
      <w:r>
        <w:rPr>
          <w:rFonts w:ascii="宋体" w:hAnsi="宋体" w:eastAsia="宋体" w:cs="宋体"/>
          <w:spacing w:val="-6"/>
          <w:sz w:val="27"/>
          <w:szCs w:val="27"/>
        </w:rPr>
        <w:t>工作分解，得到工作分解结构。</w:t>
      </w:r>
    </w:p>
    <w:p w14:paraId="2856EFC2">
      <w:pPr>
        <w:spacing w:line="221" w:lineRule="auto"/>
        <w:rPr>
          <w:rFonts w:ascii="黑体" w:hAnsi="黑体" w:eastAsia="黑体" w:cs="黑体"/>
          <w:sz w:val="25"/>
          <w:szCs w:val="25"/>
        </w:rPr>
      </w:pPr>
      <w:r>
        <w:rPr>
          <w:rFonts w:ascii="黑体" w:hAnsi="黑体" w:eastAsia="黑体" w:cs="黑体"/>
          <w:spacing w:val="13"/>
          <w:sz w:val="25"/>
          <w:szCs w:val="25"/>
        </w:rPr>
        <w:t>1.5</w:t>
      </w:r>
      <w:r>
        <w:rPr>
          <w:rFonts w:ascii="黑体" w:hAnsi="黑体" w:eastAsia="黑体" w:cs="黑体"/>
          <w:spacing w:val="43"/>
          <w:sz w:val="25"/>
          <w:szCs w:val="25"/>
        </w:rPr>
        <w:t xml:space="preserve">  </w:t>
      </w:r>
      <w:r>
        <w:rPr>
          <w:rFonts w:ascii="黑体" w:hAnsi="黑体" w:eastAsia="黑体" w:cs="黑体"/>
          <w:spacing w:val="13"/>
          <w:sz w:val="25"/>
          <w:szCs w:val="25"/>
        </w:rPr>
        <w:t>工程项目审查</w:t>
      </w:r>
    </w:p>
    <w:p w14:paraId="47E774B1">
      <w:pPr>
        <w:spacing w:before="90" w:line="284" w:lineRule="auto"/>
        <w:ind w:firstLine="550"/>
        <w:rPr>
          <w:rFonts w:ascii="宋体" w:hAnsi="宋体" w:eastAsia="宋体" w:cs="宋体"/>
          <w:sz w:val="27"/>
          <w:szCs w:val="27"/>
        </w:rPr>
      </w:pPr>
      <w:r>
        <w:rPr>
          <w:rFonts w:ascii="宋体" w:hAnsi="宋体" w:eastAsia="宋体" w:cs="宋体"/>
          <w:spacing w:val="-2"/>
          <w:sz w:val="27"/>
          <w:szCs w:val="27"/>
        </w:rPr>
        <w:t>按照</w:t>
      </w:r>
      <w:r>
        <w:rPr>
          <w:rFonts w:ascii="Times New Roman" w:hAnsi="Times New Roman" w:eastAsia="Times New Roman" w:cs="Times New Roman"/>
          <w:spacing w:val="-2"/>
          <w:sz w:val="27"/>
          <w:szCs w:val="27"/>
        </w:rPr>
        <w:t>GJB 2993—1997</w:t>
      </w:r>
      <w:r>
        <w:rPr>
          <w:rFonts w:ascii="宋体" w:hAnsi="宋体" w:eastAsia="宋体" w:cs="宋体"/>
          <w:spacing w:val="-2"/>
          <w:sz w:val="27"/>
          <w:szCs w:val="27"/>
        </w:rPr>
        <w:t>《武器装备研制项目管理》进行工程</w:t>
      </w:r>
      <w:r>
        <w:rPr>
          <w:rFonts w:ascii="宋体" w:hAnsi="宋体" w:eastAsia="宋体" w:cs="宋体"/>
          <w:spacing w:val="-3"/>
          <w:sz w:val="27"/>
          <w:szCs w:val="27"/>
        </w:rPr>
        <w:t>项目审查，提出审</w:t>
      </w:r>
      <w:r>
        <w:rPr>
          <w:rFonts w:ascii="宋体" w:hAnsi="宋体" w:eastAsia="宋体" w:cs="宋体"/>
          <w:sz w:val="27"/>
          <w:szCs w:val="27"/>
        </w:rPr>
        <w:t xml:space="preserve"> </w:t>
      </w:r>
      <w:r>
        <w:rPr>
          <w:rFonts w:ascii="宋体" w:hAnsi="宋体" w:eastAsia="宋体" w:cs="宋体"/>
          <w:spacing w:val="2"/>
          <w:sz w:val="27"/>
          <w:szCs w:val="27"/>
        </w:rPr>
        <w:t>查的建议计划和进度。</w:t>
      </w:r>
    </w:p>
    <w:p w14:paraId="07F5D395">
      <w:pPr>
        <w:spacing w:before="10" w:line="222" w:lineRule="auto"/>
        <w:rPr>
          <w:rFonts w:ascii="黑体" w:hAnsi="黑体" w:eastAsia="黑体" w:cs="黑体"/>
          <w:sz w:val="25"/>
          <w:szCs w:val="25"/>
        </w:rPr>
      </w:pPr>
      <w:r>
        <w:rPr>
          <w:rFonts w:ascii="黑体" w:hAnsi="黑体" w:eastAsia="黑体" w:cs="黑体"/>
          <w:spacing w:val="11"/>
          <w:sz w:val="25"/>
          <w:szCs w:val="25"/>
        </w:rPr>
        <w:t>1.6</w:t>
      </w:r>
      <w:r>
        <w:rPr>
          <w:rFonts w:ascii="黑体" w:hAnsi="黑体" w:eastAsia="黑体" w:cs="黑体"/>
          <w:spacing w:val="43"/>
          <w:sz w:val="25"/>
          <w:szCs w:val="25"/>
        </w:rPr>
        <w:t xml:space="preserve">  </w:t>
      </w:r>
      <w:r>
        <w:rPr>
          <w:rFonts w:ascii="黑体" w:hAnsi="黑体" w:eastAsia="黑体" w:cs="黑体"/>
          <w:spacing w:val="11"/>
          <w:sz w:val="25"/>
          <w:szCs w:val="25"/>
        </w:rPr>
        <w:t>技术审查</w:t>
      </w:r>
    </w:p>
    <w:p w14:paraId="4A7C14EC">
      <w:pPr>
        <w:spacing w:before="57" w:line="285" w:lineRule="auto"/>
        <w:ind w:firstLine="550"/>
        <w:jc w:val="both"/>
        <w:rPr>
          <w:rFonts w:ascii="宋体" w:hAnsi="宋体" w:eastAsia="宋体" w:cs="宋体"/>
          <w:sz w:val="27"/>
          <w:szCs w:val="27"/>
        </w:rPr>
      </w:pPr>
      <w:r>
        <w:rPr>
          <w:rFonts w:ascii="宋体" w:hAnsi="宋体" w:eastAsia="宋体" w:cs="宋体"/>
          <w:spacing w:val="-2"/>
          <w:sz w:val="27"/>
          <w:szCs w:val="27"/>
        </w:rPr>
        <w:t>按照</w:t>
      </w:r>
      <w:r>
        <w:rPr>
          <w:rFonts w:ascii="Times New Roman" w:hAnsi="Times New Roman" w:eastAsia="Times New Roman" w:cs="Times New Roman"/>
          <w:spacing w:val="-2"/>
          <w:sz w:val="27"/>
          <w:szCs w:val="27"/>
        </w:rPr>
        <w:t>GJB 3273—1998</w:t>
      </w:r>
      <w:r>
        <w:rPr>
          <w:rFonts w:ascii="宋体" w:hAnsi="宋体" w:eastAsia="宋体" w:cs="宋体"/>
          <w:spacing w:val="-2"/>
          <w:sz w:val="27"/>
          <w:szCs w:val="27"/>
        </w:rPr>
        <w:t>《研制阶段技术审查》规划系统要求</w:t>
      </w:r>
      <w:r>
        <w:rPr>
          <w:rFonts w:ascii="宋体" w:hAnsi="宋体" w:eastAsia="宋体" w:cs="宋体"/>
          <w:spacing w:val="-3"/>
          <w:sz w:val="27"/>
          <w:szCs w:val="27"/>
        </w:rPr>
        <w:t>审查、系统设计审</w:t>
      </w:r>
      <w:r>
        <w:rPr>
          <w:rFonts w:ascii="宋体" w:hAnsi="宋体" w:eastAsia="宋体" w:cs="宋体"/>
          <w:sz w:val="27"/>
          <w:szCs w:val="27"/>
        </w:rPr>
        <w:t xml:space="preserve"> </w:t>
      </w:r>
      <w:r>
        <w:rPr>
          <w:rFonts w:ascii="宋体" w:hAnsi="宋体" w:eastAsia="宋体" w:cs="宋体"/>
          <w:spacing w:val="-10"/>
          <w:sz w:val="27"/>
          <w:szCs w:val="27"/>
        </w:rPr>
        <w:t>查、软件规格说明审查、初步设计审查、关键设计审查、测试准备审查、功能技术</w:t>
      </w:r>
      <w:r>
        <w:rPr>
          <w:rFonts w:ascii="宋体" w:hAnsi="宋体" w:eastAsia="宋体" w:cs="宋体"/>
          <w:spacing w:val="11"/>
          <w:sz w:val="27"/>
          <w:szCs w:val="27"/>
        </w:rPr>
        <w:t xml:space="preserve"> </w:t>
      </w:r>
      <w:r>
        <w:rPr>
          <w:rFonts w:ascii="宋体" w:hAnsi="宋体" w:eastAsia="宋体" w:cs="宋体"/>
          <w:spacing w:val="-9"/>
          <w:sz w:val="27"/>
          <w:szCs w:val="27"/>
        </w:rPr>
        <w:t>状态审核、物理技术状态审核、生产准备审查，并制定计划和进度。</w:t>
      </w:r>
    </w:p>
    <w:p w14:paraId="49945366">
      <w:pPr>
        <w:spacing w:before="1" w:line="221" w:lineRule="auto"/>
        <w:rPr>
          <w:rFonts w:ascii="黑体" w:hAnsi="黑体" w:eastAsia="黑体" w:cs="黑体"/>
          <w:sz w:val="25"/>
          <w:szCs w:val="25"/>
        </w:rPr>
      </w:pPr>
      <w:r>
        <w:rPr>
          <w:rFonts w:ascii="黑体" w:hAnsi="黑体" w:eastAsia="黑体" w:cs="黑体"/>
          <w:spacing w:val="16"/>
          <w:sz w:val="25"/>
          <w:szCs w:val="25"/>
        </w:rPr>
        <w:t>1.7</w:t>
      </w:r>
      <w:r>
        <w:rPr>
          <w:rFonts w:ascii="黑体" w:hAnsi="黑体" w:eastAsia="黑体" w:cs="黑体"/>
          <w:spacing w:val="42"/>
          <w:sz w:val="25"/>
          <w:szCs w:val="25"/>
        </w:rPr>
        <w:t xml:space="preserve">  </w:t>
      </w:r>
      <w:r>
        <w:rPr>
          <w:rFonts w:ascii="黑体" w:hAnsi="黑体" w:eastAsia="黑体" w:cs="黑体"/>
          <w:spacing w:val="16"/>
          <w:sz w:val="25"/>
          <w:szCs w:val="25"/>
        </w:rPr>
        <w:t>技术性能度量</w:t>
      </w:r>
    </w:p>
    <w:p w14:paraId="70C6A869">
      <w:pPr>
        <w:spacing w:before="92" w:line="219" w:lineRule="auto"/>
        <w:ind w:left="550"/>
        <w:rPr>
          <w:rFonts w:ascii="宋体" w:hAnsi="宋体" w:eastAsia="宋体" w:cs="宋体"/>
          <w:sz w:val="27"/>
          <w:szCs w:val="27"/>
        </w:rPr>
      </w:pPr>
      <w:r>
        <w:rPr>
          <w:rFonts w:ascii="宋体" w:hAnsi="宋体" w:eastAsia="宋体" w:cs="宋体"/>
          <w:spacing w:val="-4"/>
          <w:sz w:val="27"/>
          <w:szCs w:val="27"/>
        </w:rPr>
        <w:t>应制定技术性能度量计划，包括下述内容：</w:t>
      </w:r>
    </w:p>
    <w:p w14:paraId="6A67D203">
      <w:pPr>
        <w:spacing w:before="89" w:line="219" w:lineRule="auto"/>
        <w:ind w:left="550"/>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宋体" w:hAnsi="宋体" w:eastAsia="宋体" w:cs="宋体"/>
          <w:spacing w:val="11"/>
          <w:sz w:val="27"/>
          <w:szCs w:val="27"/>
        </w:rPr>
        <w:t>)验证技术性能的概述；</w:t>
      </w:r>
    </w:p>
    <w:p w14:paraId="3BBC97D4">
      <w:pPr>
        <w:spacing w:before="8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82"/>
          <w:sz w:val="27"/>
          <w:szCs w:val="27"/>
        </w:rPr>
        <w:t xml:space="preserve"> </w:t>
      </w:r>
      <w:r>
        <w:rPr>
          <w:rFonts w:ascii="宋体" w:hAnsi="宋体" w:eastAsia="宋体" w:cs="宋体"/>
          <w:spacing w:val="3"/>
          <w:sz w:val="27"/>
          <w:szCs w:val="27"/>
        </w:rPr>
        <w:t>关键技术状态项目(</w:t>
      </w:r>
      <w:r>
        <w:rPr>
          <w:rFonts w:ascii="宋体" w:hAnsi="宋体" w:eastAsia="宋体" w:cs="宋体"/>
          <w:spacing w:val="-72"/>
          <w:sz w:val="27"/>
          <w:szCs w:val="27"/>
        </w:rPr>
        <w:t xml:space="preserve"> </w:t>
      </w:r>
      <w:r>
        <w:rPr>
          <w:rFonts w:ascii="Times New Roman" w:hAnsi="Times New Roman" w:eastAsia="Times New Roman" w:cs="Times New Roman"/>
          <w:sz w:val="27"/>
          <w:szCs w:val="27"/>
        </w:rPr>
        <w:t>CI</w:t>
      </w:r>
      <w:r>
        <w:rPr>
          <w:rFonts w:ascii="Times New Roman" w:hAnsi="Times New Roman" w:eastAsia="Times New Roman" w:cs="Times New Roman"/>
          <w:spacing w:val="3"/>
          <w:sz w:val="27"/>
          <w:szCs w:val="27"/>
        </w:rPr>
        <w:t xml:space="preserve">) </w:t>
      </w:r>
      <w:r>
        <w:rPr>
          <w:rFonts w:ascii="宋体" w:hAnsi="宋体" w:eastAsia="宋体" w:cs="宋体"/>
          <w:spacing w:val="3"/>
          <w:sz w:val="27"/>
          <w:szCs w:val="27"/>
        </w:rPr>
        <w:t>清单及其</w:t>
      </w:r>
      <w:r>
        <w:rPr>
          <w:rFonts w:ascii="Times New Roman" w:hAnsi="Times New Roman" w:eastAsia="Times New Roman" w:cs="Times New Roman"/>
          <w:sz w:val="27"/>
          <w:szCs w:val="27"/>
        </w:rPr>
        <w:t>WBS</w:t>
      </w:r>
      <w:r>
        <w:rPr>
          <w:rFonts w:ascii="Times New Roman" w:hAnsi="Times New Roman" w:eastAsia="Times New Roman" w:cs="Times New Roman"/>
          <w:spacing w:val="3"/>
          <w:sz w:val="27"/>
          <w:szCs w:val="27"/>
        </w:rPr>
        <w:t xml:space="preserve"> </w:t>
      </w:r>
      <w:r>
        <w:rPr>
          <w:rFonts w:ascii="宋体" w:hAnsi="宋体" w:eastAsia="宋体" w:cs="宋体"/>
          <w:spacing w:val="3"/>
          <w:sz w:val="27"/>
          <w:szCs w:val="27"/>
        </w:rPr>
        <w:t>单元编号和规范号；</w:t>
      </w:r>
    </w:p>
    <w:p w14:paraId="527355EB">
      <w:pPr>
        <w:spacing w:before="90" w:line="260" w:lineRule="auto"/>
        <w:ind w:right="1" w:firstLine="550"/>
        <w:rPr>
          <w:rFonts w:ascii="宋体" w:hAnsi="宋体" w:eastAsia="宋体" w:cs="宋体"/>
          <w:sz w:val="27"/>
          <w:szCs w:val="27"/>
        </w:rPr>
      </w:pPr>
      <w:r>
        <w:rPr>
          <w:rFonts w:ascii="Times New Roman" w:hAnsi="Times New Roman" w:eastAsia="Times New Roman" w:cs="Times New Roman"/>
          <w:spacing w:val="18"/>
          <w:sz w:val="27"/>
          <w:szCs w:val="27"/>
        </w:rPr>
        <w:t>c)</w:t>
      </w:r>
      <w:r>
        <w:rPr>
          <w:rFonts w:ascii="Times New Roman" w:hAnsi="Times New Roman" w:eastAsia="Times New Roman" w:cs="Times New Roman"/>
          <w:spacing w:val="7"/>
          <w:sz w:val="27"/>
          <w:szCs w:val="27"/>
        </w:rPr>
        <w:t xml:space="preserve">  </w:t>
      </w:r>
      <w:r>
        <w:rPr>
          <w:rFonts w:ascii="宋体" w:hAnsi="宋体" w:eastAsia="宋体" w:cs="宋体"/>
          <w:spacing w:val="18"/>
          <w:sz w:val="27"/>
          <w:szCs w:val="27"/>
        </w:rPr>
        <w:t>每个</w:t>
      </w:r>
      <w:r>
        <w:rPr>
          <w:rFonts w:ascii="Times New Roman" w:hAnsi="Times New Roman" w:eastAsia="Times New Roman" w:cs="Times New Roman"/>
          <w:sz w:val="27"/>
          <w:szCs w:val="27"/>
        </w:rPr>
        <w:t>CI</w:t>
      </w:r>
      <w:r>
        <w:rPr>
          <w:rFonts w:ascii="Times New Roman" w:hAnsi="Times New Roman" w:eastAsia="Times New Roman" w:cs="Times New Roman"/>
          <w:spacing w:val="33"/>
          <w:w w:val="101"/>
          <w:sz w:val="27"/>
          <w:szCs w:val="27"/>
        </w:rPr>
        <w:t xml:space="preserve"> </w:t>
      </w:r>
      <w:r>
        <w:rPr>
          <w:rFonts w:ascii="宋体" w:hAnsi="宋体" w:eastAsia="宋体" w:cs="宋体"/>
          <w:spacing w:val="18"/>
          <w:sz w:val="27"/>
          <w:szCs w:val="27"/>
        </w:rPr>
        <w:t>选定的度量参数，规范中描述这些参数及其定量要求条款的</w:t>
      </w:r>
      <w:r>
        <w:rPr>
          <w:rFonts w:ascii="宋体" w:hAnsi="宋体" w:eastAsia="宋体" w:cs="宋体"/>
          <w:sz w:val="27"/>
          <w:szCs w:val="27"/>
        </w:rPr>
        <w:t xml:space="preserve"> </w:t>
      </w:r>
      <w:r>
        <w:rPr>
          <w:rFonts w:ascii="宋体" w:hAnsi="宋体" w:eastAsia="宋体" w:cs="宋体"/>
          <w:spacing w:val="-8"/>
          <w:sz w:val="27"/>
          <w:szCs w:val="27"/>
        </w:rPr>
        <w:t>内容；</w:t>
      </w:r>
    </w:p>
    <w:p w14:paraId="1E4E9A60">
      <w:pPr>
        <w:spacing w:before="5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系统和分系统性能要求达标的进度安排；</w:t>
      </w:r>
    </w:p>
    <w:p w14:paraId="65397444">
      <w:pPr>
        <w:spacing w:before="10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验证性能要求达标的试验清单。</w:t>
      </w:r>
    </w:p>
    <w:p w14:paraId="3D921B31">
      <w:pPr>
        <w:spacing w:before="138" w:line="222" w:lineRule="auto"/>
        <w:rPr>
          <w:rFonts w:ascii="黑体" w:hAnsi="黑体" w:eastAsia="黑体" w:cs="黑体"/>
          <w:sz w:val="24"/>
          <w:szCs w:val="24"/>
        </w:rPr>
      </w:pPr>
      <w:r>
        <w:rPr>
          <w:rFonts w:ascii="黑体" w:hAnsi="黑体" w:eastAsia="黑体" w:cs="黑体"/>
          <w:spacing w:val="23"/>
          <w:sz w:val="24"/>
          <w:szCs w:val="24"/>
        </w:rPr>
        <w:t>1.8</w:t>
      </w:r>
      <w:r>
        <w:rPr>
          <w:rFonts w:ascii="黑体" w:hAnsi="黑体" w:eastAsia="黑体" w:cs="黑体"/>
          <w:spacing w:val="43"/>
          <w:sz w:val="24"/>
          <w:szCs w:val="24"/>
        </w:rPr>
        <w:t xml:space="preserve">  </w:t>
      </w:r>
      <w:r>
        <w:rPr>
          <w:rFonts w:ascii="黑体" w:hAnsi="黑体" w:eastAsia="黑体" w:cs="黑体"/>
          <w:spacing w:val="23"/>
          <w:sz w:val="24"/>
          <w:szCs w:val="24"/>
        </w:rPr>
        <w:t>更改控制程序</w:t>
      </w:r>
    </w:p>
    <w:p w14:paraId="303E2A05">
      <w:pPr>
        <w:spacing w:before="98" w:line="277" w:lineRule="auto"/>
        <w:ind w:right="1" w:firstLine="550"/>
        <w:rPr>
          <w:rFonts w:ascii="宋体" w:hAnsi="宋体" w:eastAsia="宋体" w:cs="宋体"/>
          <w:sz w:val="27"/>
          <w:szCs w:val="27"/>
        </w:rPr>
      </w:pPr>
      <w:r>
        <w:rPr>
          <w:rFonts w:ascii="宋体" w:hAnsi="宋体" w:eastAsia="宋体" w:cs="宋体"/>
          <w:spacing w:val="3"/>
          <w:sz w:val="27"/>
          <w:szCs w:val="27"/>
        </w:rPr>
        <w:t>应按照</w:t>
      </w:r>
      <w:r>
        <w:rPr>
          <w:rFonts w:ascii="Times New Roman" w:hAnsi="Times New Roman" w:eastAsia="Times New Roman" w:cs="Times New Roman"/>
          <w:sz w:val="27"/>
          <w:szCs w:val="27"/>
        </w:rPr>
        <w:t>GJB</w:t>
      </w:r>
      <w:r>
        <w:rPr>
          <w:rFonts w:ascii="Times New Roman" w:hAnsi="Times New Roman" w:eastAsia="Times New Roman" w:cs="Times New Roman"/>
          <w:spacing w:val="3"/>
          <w:sz w:val="27"/>
          <w:szCs w:val="27"/>
        </w:rPr>
        <w:t xml:space="preserve"> 3206A—2010</w:t>
      </w:r>
      <w:r>
        <w:rPr>
          <w:rFonts w:ascii="宋体" w:hAnsi="宋体" w:eastAsia="宋体" w:cs="宋体"/>
          <w:spacing w:val="3"/>
          <w:sz w:val="27"/>
          <w:szCs w:val="27"/>
        </w:rPr>
        <w:t>《技术状态管理》,制定技术状态管理计划，明确</w:t>
      </w:r>
      <w:r>
        <w:rPr>
          <w:rFonts w:ascii="宋体" w:hAnsi="宋体" w:eastAsia="宋体" w:cs="宋体"/>
          <w:spacing w:val="14"/>
          <w:sz w:val="27"/>
          <w:szCs w:val="27"/>
        </w:rPr>
        <w:t xml:space="preserve"> </w:t>
      </w:r>
      <w:r>
        <w:rPr>
          <w:rFonts w:ascii="宋体" w:hAnsi="宋体" w:eastAsia="宋体" w:cs="宋体"/>
          <w:spacing w:val="3"/>
          <w:sz w:val="27"/>
          <w:szCs w:val="27"/>
        </w:rPr>
        <w:t>对产品设计更改的控制程序。</w:t>
      </w:r>
    </w:p>
    <w:p w14:paraId="012A6F26">
      <w:pPr>
        <w:pStyle w:val="2"/>
        <w:spacing w:line="327" w:lineRule="exact"/>
        <w:rPr>
          <w:rFonts w:ascii="黑体" w:hAnsi="黑体" w:eastAsia="黑体" w:cs="黑体"/>
          <w:sz w:val="24"/>
          <w:szCs w:val="24"/>
        </w:rPr>
      </w:pPr>
      <w:r>
        <w:rPr>
          <w:spacing w:val="16"/>
          <w:position w:val="1"/>
          <w:sz w:val="24"/>
          <w:szCs w:val="24"/>
        </w:rPr>
        <w:t xml:space="preserve">1.9     </w:t>
      </w:r>
      <w:r>
        <w:rPr>
          <w:rFonts w:ascii="黑体" w:hAnsi="黑体" w:eastAsia="黑体" w:cs="黑体"/>
          <w:spacing w:val="16"/>
          <w:position w:val="1"/>
          <w:sz w:val="24"/>
          <w:szCs w:val="24"/>
        </w:rPr>
        <w:t>工程大纲综合</w:t>
      </w:r>
    </w:p>
    <w:p w14:paraId="5ABEF0CA">
      <w:pPr>
        <w:spacing w:before="88" w:line="284" w:lineRule="auto"/>
        <w:ind w:right="13" w:firstLine="550"/>
        <w:rPr>
          <w:rFonts w:ascii="宋体" w:hAnsi="宋体" w:eastAsia="宋体" w:cs="宋体"/>
          <w:sz w:val="27"/>
          <w:szCs w:val="27"/>
        </w:rPr>
      </w:pPr>
      <w:r>
        <w:rPr>
          <w:rFonts w:ascii="宋体" w:hAnsi="宋体" w:eastAsia="宋体" w:cs="宋体"/>
          <w:spacing w:val="-11"/>
          <w:sz w:val="27"/>
          <w:szCs w:val="27"/>
        </w:rPr>
        <w:t>根据实际情况综合考虑可靠性、维修性、测试性、保障性、安全性等专业工程</w:t>
      </w:r>
      <w:r>
        <w:rPr>
          <w:rFonts w:ascii="宋体" w:hAnsi="宋体" w:eastAsia="宋体" w:cs="宋体"/>
          <w:spacing w:val="12"/>
          <w:sz w:val="27"/>
          <w:szCs w:val="27"/>
        </w:rPr>
        <w:t xml:space="preserve"> </w:t>
      </w:r>
      <w:r>
        <w:rPr>
          <w:rFonts w:ascii="宋体" w:hAnsi="宋体" w:eastAsia="宋体" w:cs="宋体"/>
          <w:spacing w:val="-10"/>
          <w:sz w:val="27"/>
          <w:szCs w:val="27"/>
        </w:rPr>
        <w:t>大纲，纳入研制计划。</w:t>
      </w:r>
    </w:p>
    <w:p w14:paraId="3399E72B">
      <w:pPr>
        <w:spacing w:before="9" w:line="222" w:lineRule="auto"/>
        <w:rPr>
          <w:rFonts w:ascii="黑体" w:hAnsi="黑体" w:eastAsia="黑体" w:cs="黑体"/>
          <w:sz w:val="24"/>
          <w:szCs w:val="24"/>
        </w:rPr>
      </w:pPr>
      <w:r>
        <w:rPr>
          <w:rFonts w:ascii="黑体" w:hAnsi="黑体" w:eastAsia="黑体" w:cs="黑体"/>
          <w:spacing w:val="13"/>
          <w:sz w:val="24"/>
          <w:szCs w:val="24"/>
        </w:rPr>
        <w:t>1.10</w:t>
      </w:r>
      <w:r>
        <w:rPr>
          <w:rFonts w:ascii="黑体" w:hAnsi="黑体" w:eastAsia="黑体" w:cs="黑体"/>
          <w:spacing w:val="8"/>
          <w:sz w:val="24"/>
          <w:szCs w:val="24"/>
        </w:rPr>
        <w:t xml:space="preserve">   </w:t>
      </w:r>
      <w:r>
        <w:rPr>
          <w:rFonts w:ascii="黑体" w:hAnsi="黑体" w:eastAsia="黑体" w:cs="黑体"/>
          <w:spacing w:val="13"/>
          <w:sz w:val="24"/>
          <w:szCs w:val="24"/>
        </w:rPr>
        <w:t>接口控制</w:t>
      </w:r>
    </w:p>
    <w:p w14:paraId="114275F6">
      <w:pPr>
        <w:spacing w:before="112" w:line="270" w:lineRule="auto"/>
        <w:ind w:left="49" w:right="12" w:firstLine="500"/>
        <w:rPr>
          <w:rFonts w:ascii="宋体" w:hAnsi="宋体" w:eastAsia="宋体" w:cs="宋体"/>
          <w:sz w:val="27"/>
          <w:szCs w:val="27"/>
        </w:rPr>
      </w:pPr>
      <w:r>
        <w:rPr>
          <w:rFonts w:ascii="宋体" w:hAnsi="宋体" w:eastAsia="宋体" w:cs="宋体"/>
          <w:spacing w:val="-3"/>
          <w:sz w:val="27"/>
          <w:szCs w:val="27"/>
        </w:rPr>
        <w:t>按照</w:t>
      </w:r>
      <w:r>
        <w:rPr>
          <w:rFonts w:ascii="Times New Roman" w:hAnsi="Times New Roman" w:eastAsia="Times New Roman" w:cs="Times New Roman"/>
          <w:spacing w:val="-3"/>
          <w:sz w:val="27"/>
          <w:szCs w:val="27"/>
        </w:rPr>
        <w:t>GJB 2737—1996</w:t>
      </w:r>
      <w:r>
        <w:rPr>
          <w:rFonts w:ascii="宋体" w:hAnsi="宋体" w:eastAsia="宋体" w:cs="宋体"/>
          <w:spacing w:val="-3"/>
          <w:sz w:val="27"/>
          <w:szCs w:val="27"/>
        </w:rPr>
        <w:t>《武器装备系统接口控制要求》进行接口控制，明确接</w:t>
      </w:r>
      <w:r>
        <w:rPr>
          <w:rFonts w:ascii="宋体" w:hAnsi="宋体" w:eastAsia="宋体" w:cs="宋体"/>
          <w:spacing w:val="18"/>
          <w:sz w:val="27"/>
          <w:szCs w:val="27"/>
        </w:rPr>
        <w:t xml:space="preserve"> </w:t>
      </w:r>
      <w:r>
        <w:rPr>
          <w:rFonts w:ascii="宋体" w:hAnsi="宋体" w:eastAsia="宋体" w:cs="宋体"/>
          <w:spacing w:val="-7"/>
          <w:sz w:val="27"/>
          <w:szCs w:val="27"/>
        </w:rPr>
        <w:t>口控制组织，制定接口控制程序，规定接口控制时间进度。</w:t>
      </w:r>
    </w:p>
    <w:p w14:paraId="58946E60">
      <w:pPr>
        <w:spacing w:before="38" w:line="222" w:lineRule="auto"/>
        <w:rPr>
          <w:rFonts w:ascii="黑体" w:hAnsi="黑体" w:eastAsia="黑体" w:cs="黑体"/>
          <w:sz w:val="25"/>
          <w:szCs w:val="25"/>
        </w:rPr>
      </w:pPr>
      <w:r>
        <w:rPr>
          <w:rFonts w:ascii="黑体" w:hAnsi="黑体" w:eastAsia="黑体" w:cs="黑体"/>
          <w:spacing w:val="8"/>
          <w:sz w:val="25"/>
          <w:szCs w:val="25"/>
        </w:rPr>
        <w:t>1.11</w:t>
      </w:r>
      <w:r>
        <w:rPr>
          <w:rFonts w:ascii="黑体" w:hAnsi="黑体" w:eastAsia="黑体" w:cs="黑体"/>
          <w:spacing w:val="56"/>
          <w:sz w:val="25"/>
          <w:szCs w:val="25"/>
        </w:rPr>
        <w:t xml:space="preserve">  </w:t>
      </w:r>
      <w:r>
        <w:rPr>
          <w:rFonts w:ascii="黑体" w:hAnsi="黑体" w:eastAsia="黑体" w:cs="黑体"/>
          <w:spacing w:val="8"/>
          <w:sz w:val="25"/>
          <w:szCs w:val="25"/>
        </w:rPr>
        <w:t>里程碑/进度</w:t>
      </w:r>
    </w:p>
    <w:p w14:paraId="724ADFC4">
      <w:pPr>
        <w:spacing w:before="102" w:line="219" w:lineRule="auto"/>
        <w:ind w:left="550"/>
        <w:rPr>
          <w:rFonts w:ascii="宋体" w:hAnsi="宋体" w:eastAsia="宋体" w:cs="宋体"/>
          <w:sz w:val="27"/>
          <w:szCs w:val="27"/>
        </w:rPr>
      </w:pPr>
      <w:r>
        <w:rPr>
          <w:rFonts w:ascii="宋体" w:hAnsi="宋体" w:eastAsia="宋体" w:cs="宋体"/>
          <w:spacing w:val="3"/>
          <w:sz w:val="27"/>
          <w:szCs w:val="27"/>
        </w:rPr>
        <w:t>分析确定产品研制的里程碑/进度。</w:t>
      </w:r>
    </w:p>
    <w:p w14:paraId="338DD608">
      <w:pPr>
        <w:spacing w:before="80" w:line="222" w:lineRule="auto"/>
        <w:rPr>
          <w:rFonts w:ascii="黑体" w:hAnsi="黑体" w:eastAsia="黑体" w:cs="黑体"/>
          <w:sz w:val="27"/>
          <w:szCs w:val="27"/>
        </w:rPr>
      </w:pPr>
      <w:r>
        <w:rPr>
          <w:rFonts w:ascii="黑体" w:hAnsi="黑体" w:eastAsia="黑体" w:cs="黑体"/>
          <w:spacing w:val="-1"/>
          <w:sz w:val="27"/>
          <w:szCs w:val="27"/>
        </w:rPr>
        <w:t>1.12</w:t>
      </w:r>
      <w:r>
        <w:rPr>
          <w:rFonts w:ascii="黑体" w:hAnsi="黑体" w:eastAsia="黑体" w:cs="黑体"/>
          <w:spacing w:val="36"/>
          <w:sz w:val="27"/>
          <w:szCs w:val="27"/>
        </w:rPr>
        <w:t xml:space="preserve">  </w:t>
      </w:r>
      <w:r>
        <w:rPr>
          <w:rFonts w:ascii="黑体" w:hAnsi="黑体" w:eastAsia="黑体" w:cs="黑体"/>
          <w:spacing w:val="-1"/>
          <w:sz w:val="27"/>
          <w:szCs w:val="27"/>
        </w:rPr>
        <w:t>其他计划和控制</w:t>
      </w:r>
    </w:p>
    <w:p w14:paraId="4703C23E">
      <w:pPr>
        <w:spacing w:before="105" w:line="219" w:lineRule="auto"/>
        <w:ind w:left="550"/>
        <w:rPr>
          <w:rFonts w:ascii="宋体" w:hAnsi="宋体" w:eastAsia="宋体" w:cs="宋体"/>
          <w:sz w:val="27"/>
          <w:szCs w:val="27"/>
        </w:rPr>
      </w:pPr>
      <w:r>
        <w:rPr>
          <w:rFonts w:ascii="宋体" w:hAnsi="宋体" w:eastAsia="宋体" w:cs="宋体"/>
          <w:spacing w:val="4"/>
          <w:sz w:val="27"/>
          <w:szCs w:val="27"/>
        </w:rPr>
        <w:t>提出产品研制过程中必要的其他计划和控制程序。</w:t>
      </w:r>
    </w:p>
    <w:p w14:paraId="33F142EF">
      <w:pPr>
        <w:pStyle w:val="2"/>
        <w:spacing w:before="57" w:line="221" w:lineRule="auto"/>
        <w:rPr>
          <w:rFonts w:ascii="黑体" w:hAnsi="黑体" w:eastAsia="黑体" w:cs="黑体"/>
          <w:sz w:val="27"/>
          <w:szCs w:val="27"/>
        </w:rPr>
      </w:pPr>
      <w:r>
        <w:rPr>
          <w:sz w:val="27"/>
          <w:szCs w:val="27"/>
        </w:rPr>
        <w:t>2</w:t>
      </w:r>
      <w:r>
        <w:rPr>
          <w:spacing w:val="24"/>
          <w:sz w:val="27"/>
          <w:szCs w:val="27"/>
        </w:rPr>
        <w:t xml:space="preserve">   </w:t>
      </w:r>
      <w:r>
        <w:rPr>
          <w:rFonts w:ascii="黑体" w:hAnsi="黑体" w:eastAsia="黑体" w:cs="黑体"/>
          <w:sz w:val="27"/>
          <w:szCs w:val="27"/>
        </w:rPr>
        <w:t>系统工程过程</w:t>
      </w:r>
    </w:p>
    <w:p w14:paraId="4609B3F8">
      <w:pPr>
        <w:spacing w:before="116" w:line="221" w:lineRule="auto"/>
        <w:rPr>
          <w:rFonts w:ascii="黑体" w:hAnsi="黑体" w:eastAsia="黑体" w:cs="黑体"/>
          <w:sz w:val="24"/>
          <w:szCs w:val="24"/>
        </w:rPr>
      </w:pPr>
      <w:r>
        <w:rPr>
          <w:rFonts w:ascii="黑体" w:hAnsi="黑体" w:eastAsia="黑体" w:cs="黑体"/>
          <w:spacing w:val="23"/>
          <w:sz w:val="24"/>
          <w:szCs w:val="24"/>
        </w:rPr>
        <w:t>2.1</w:t>
      </w:r>
      <w:r>
        <w:rPr>
          <w:rFonts w:ascii="黑体" w:hAnsi="黑体" w:eastAsia="黑体" w:cs="黑体"/>
          <w:spacing w:val="44"/>
          <w:sz w:val="24"/>
          <w:szCs w:val="24"/>
        </w:rPr>
        <w:t xml:space="preserve">  </w:t>
      </w:r>
      <w:r>
        <w:rPr>
          <w:rFonts w:ascii="黑体" w:hAnsi="黑体" w:eastAsia="黑体" w:cs="黑体"/>
          <w:spacing w:val="23"/>
          <w:sz w:val="24"/>
          <w:szCs w:val="24"/>
        </w:rPr>
        <w:t>任务和要求分析</w:t>
      </w:r>
    </w:p>
    <w:p w14:paraId="50E335DF">
      <w:pPr>
        <w:spacing w:before="155" w:line="219" w:lineRule="auto"/>
        <w:ind w:right="10"/>
        <w:jc w:val="right"/>
        <w:rPr>
          <w:rFonts w:ascii="宋体" w:hAnsi="宋体" w:eastAsia="宋体" w:cs="宋体"/>
          <w:sz w:val="25"/>
          <w:szCs w:val="25"/>
        </w:rPr>
      </w:pPr>
      <w:r>
        <w:rPr>
          <w:rFonts w:ascii="宋体" w:hAnsi="宋体" w:eastAsia="宋体" w:cs="宋体"/>
          <w:spacing w:val="17"/>
          <w:sz w:val="25"/>
          <w:szCs w:val="25"/>
        </w:rPr>
        <w:t>应从当前工艺技术水平、资源状况、寿命周期费用等限制条件出发，分析威</w:t>
      </w:r>
    </w:p>
    <w:p w14:paraId="6A6F454C">
      <w:pPr>
        <w:spacing w:line="219" w:lineRule="auto"/>
        <w:rPr>
          <w:rFonts w:ascii="宋体" w:hAnsi="宋体" w:eastAsia="宋体" w:cs="宋体"/>
          <w:sz w:val="25"/>
          <w:szCs w:val="25"/>
        </w:rPr>
        <w:sectPr>
          <w:footerReference r:id="rId63" w:type="default"/>
          <w:pgSz w:w="11910" w:h="17130"/>
          <w:pgMar w:top="400" w:right="1056" w:bottom="1553" w:left="1470" w:header="0" w:footer="1355" w:gutter="0"/>
          <w:cols w:space="720" w:num="1"/>
        </w:sectPr>
      </w:pPr>
    </w:p>
    <w:p w14:paraId="380A6853">
      <w:pPr>
        <w:pStyle w:val="2"/>
        <w:spacing w:line="309" w:lineRule="auto"/>
      </w:pPr>
    </w:p>
    <w:p w14:paraId="0CEB2215">
      <w:pPr>
        <w:pStyle w:val="2"/>
        <w:spacing w:line="309" w:lineRule="auto"/>
      </w:pPr>
    </w:p>
    <w:p w14:paraId="1B3C1F59">
      <w:pPr>
        <w:pStyle w:val="2"/>
        <w:spacing w:line="310" w:lineRule="auto"/>
      </w:pPr>
    </w:p>
    <w:p w14:paraId="1B2D0EA2">
      <w:pPr>
        <w:spacing w:before="88" w:line="286" w:lineRule="auto"/>
        <w:ind w:right="23"/>
        <w:jc w:val="both"/>
        <w:rPr>
          <w:rFonts w:ascii="宋体" w:hAnsi="宋体" w:eastAsia="宋体" w:cs="宋体"/>
          <w:sz w:val="27"/>
          <w:szCs w:val="27"/>
        </w:rPr>
      </w:pPr>
      <w:bookmarkStart w:id="31" w:name="bookmark321"/>
      <w:bookmarkEnd w:id="31"/>
      <w:r>
        <w:rPr>
          <w:rFonts w:ascii="宋体" w:hAnsi="宋体" w:eastAsia="宋体" w:cs="宋体"/>
          <w:spacing w:val="-10"/>
          <w:sz w:val="27"/>
          <w:szCs w:val="27"/>
        </w:rPr>
        <w:t>胁、任务环境、任务目标、最低可接受的系统功能要求、技术性能的影响、系统目</w:t>
      </w:r>
      <w:r>
        <w:rPr>
          <w:rFonts w:ascii="宋体" w:hAnsi="宋体" w:eastAsia="宋体" w:cs="宋体"/>
          <w:spacing w:val="18"/>
          <w:sz w:val="27"/>
          <w:szCs w:val="27"/>
        </w:rPr>
        <w:t xml:space="preserve"> </w:t>
      </w:r>
      <w:r>
        <w:rPr>
          <w:rFonts w:ascii="宋体" w:hAnsi="宋体" w:eastAsia="宋体" w:cs="宋体"/>
          <w:spacing w:val="14"/>
          <w:sz w:val="27"/>
          <w:szCs w:val="27"/>
        </w:rPr>
        <w:t>标值的影响。分析的结果是验证现有要求的合理</w:t>
      </w:r>
      <w:r>
        <w:rPr>
          <w:rFonts w:ascii="宋体" w:hAnsi="宋体" w:eastAsia="宋体" w:cs="宋体"/>
          <w:spacing w:val="13"/>
          <w:sz w:val="27"/>
          <w:szCs w:val="27"/>
        </w:rPr>
        <w:t>性或提出更适合该任务的新</w:t>
      </w:r>
      <w:r>
        <w:rPr>
          <w:rFonts w:ascii="宋体" w:hAnsi="宋体" w:eastAsia="宋体" w:cs="宋体"/>
          <w:sz w:val="27"/>
          <w:szCs w:val="27"/>
        </w:rPr>
        <w:t xml:space="preserve"> </w:t>
      </w:r>
      <w:r>
        <w:rPr>
          <w:rFonts w:ascii="宋体" w:hAnsi="宋体" w:eastAsia="宋体" w:cs="宋体"/>
          <w:spacing w:val="-6"/>
          <w:sz w:val="27"/>
          <w:szCs w:val="27"/>
        </w:rPr>
        <w:t>要求。</w:t>
      </w:r>
    </w:p>
    <w:p w14:paraId="7B086128">
      <w:pPr>
        <w:spacing w:line="222" w:lineRule="auto"/>
        <w:rPr>
          <w:rFonts w:ascii="黑体" w:hAnsi="黑体" w:eastAsia="黑体" w:cs="黑体"/>
          <w:sz w:val="27"/>
          <w:szCs w:val="27"/>
        </w:rPr>
      </w:pPr>
      <w:r>
        <w:rPr>
          <w:rFonts w:ascii="黑体" w:hAnsi="黑体" w:eastAsia="黑体" w:cs="黑体"/>
          <w:spacing w:val="2"/>
          <w:sz w:val="27"/>
          <w:szCs w:val="27"/>
        </w:rPr>
        <w:t xml:space="preserve">2.2  </w:t>
      </w:r>
      <w:r>
        <w:rPr>
          <w:rFonts w:ascii="黑体" w:hAnsi="黑体" w:eastAsia="黑体" w:cs="黑体"/>
          <w:b/>
          <w:bCs/>
          <w:spacing w:val="2"/>
          <w:sz w:val="27"/>
          <w:szCs w:val="27"/>
        </w:rPr>
        <w:t>功能分析</w:t>
      </w:r>
    </w:p>
    <w:p w14:paraId="0AEE53D2">
      <w:pPr>
        <w:spacing w:before="87" w:line="282" w:lineRule="auto"/>
        <w:ind w:right="2" w:firstLine="570"/>
        <w:jc w:val="both"/>
        <w:rPr>
          <w:rFonts w:ascii="宋体" w:hAnsi="宋体" w:eastAsia="宋体" w:cs="宋体"/>
          <w:sz w:val="27"/>
          <w:szCs w:val="27"/>
        </w:rPr>
      </w:pPr>
      <w:r>
        <w:rPr>
          <w:rFonts w:ascii="宋体" w:hAnsi="宋体" w:eastAsia="宋体" w:cs="宋体"/>
          <w:spacing w:val="6"/>
          <w:sz w:val="27"/>
          <w:szCs w:val="27"/>
        </w:rPr>
        <w:t>应进行功能分析，利用功能流程框图表示系统级使用和保障功能的逻</w:t>
      </w:r>
      <w:r>
        <w:rPr>
          <w:rFonts w:ascii="宋体" w:hAnsi="宋体" w:eastAsia="宋体" w:cs="宋体"/>
          <w:spacing w:val="5"/>
          <w:sz w:val="27"/>
          <w:szCs w:val="27"/>
        </w:rPr>
        <w:t>辑顺</w:t>
      </w:r>
      <w:r>
        <w:rPr>
          <w:rFonts w:ascii="宋体" w:hAnsi="宋体" w:eastAsia="宋体" w:cs="宋体"/>
          <w:sz w:val="27"/>
          <w:szCs w:val="27"/>
        </w:rPr>
        <w:t xml:space="preserve"> </w:t>
      </w:r>
      <w:r>
        <w:rPr>
          <w:rFonts w:ascii="宋体" w:hAnsi="宋体" w:eastAsia="宋体" w:cs="宋体"/>
          <w:spacing w:val="5"/>
          <w:sz w:val="27"/>
          <w:szCs w:val="27"/>
        </w:rPr>
        <w:t>序和相互关系，利用</w:t>
      </w:r>
      <w:r>
        <w:rPr>
          <w:rFonts w:ascii="Times New Roman" w:hAnsi="Times New Roman" w:eastAsia="Times New Roman" w:cs="Times New Roman"/>
          <w:spacing w:val="5"/>
          <w:sz w:val="27"/>
          <w:szCs w:val="27"/>
        </w:rPr>
        <w:t>N²</w:t>
      </w:r>
      <w:r>
        <w:rPr>
          <w:rFonts w:ascii="宋体" w:hAnsi="宋体" w:eastAsia="宋体" w:cs="宋体"/>
          <w:spacing w:val="5"/>
          <w:sz w:val="27"/>
          <w:szCs w:val="27"/>
        </w:rPr>
        <w:t>图展示数据接口，利用时线分析表明时间关键功能的时</w:t>
      </w:r>
      <w:r>
        <w:rPr>
          <w:rFonts w:ascii="宋体" w:hAnsi="宋体" w:eastAsia="宋体" w:cs="宋体"/>
          <w:spacing w:val="3"/>
          <w:sz w:val="27"/>
          <w:szCs w:val="27"/>
        </w:rPr>
        <w:t xml:space="preserve"> </w:t>
      </w:r>
      <w:r>
        <w:rPr>
          <w:rFonts w:ascii="宋体" w:hAnsi="宋体" w:eastAsia="宋体" w:cs="宋体"/>
          <w:spacing w:val="-5"/>
          <w:sz w:val="27"/>
          <w:szCs w:val="27"/>
        </w:rPr>
        <w:t>间顺序。</w:t>
      </w:r>
    </w:p>
    <w:p w14:paraId="5D17981E">
      <w:pPr>
        <w:spacing w:line="222" w:lineRule="auto"/>
        <w:rPr>
          <w:rFonts w:ascii="黑体" w:hAnsi="黑体" w:eastAsia="黑体" w:cs="黑体"/>
          <w:sz w:val="25"/>
          <w:szCs w:val="25"/>
        </w:rPr>
      </w:pPr>
      <w:r>
        <w:rPr>
          <w:rFonts w:ascii="黑体" w:hAnsi="黑体" w:eastAsia="黑体" w:cs="黑体"/>
          <w:spacing w:val="11"/>
          <w:sz w:val="25"/>
          <w:szCs w:val="25"/>
        </w:rPr>
        <w:t>2.3</w:t>
      </w:r>
      <w:r>
        <w:rPr>
          <w:rFonts w:ascii="黑体" w:hAnsi="黑体" w:eastAsia="黑体" w:cs="黑体"/>
          <w:spacing w:val="35"/>
          <w:sz w:val="25"/>
          <w:szCs w:val="25"/>
        </w:rPr>
        <w:t xml:space="preserve">  </w:t>
      </w:r>
      <w:r>
        <w:rPr>
          <w:rFonts w:ascii="黑体" w:hAnsi="黑体" w:eastAsia="黑体" w:cs="黑体"/>
          <w:b/>
          <w:bCs/>
          <w:spacing w:val="11"/>
          <w:sz w:val="25"/>
          <w:szCs w:val="25"/>
        </w:rPr>
        <w:t>要求分配</w:t>
      </w:r>
    </w:p>
    <w:p w14:paraId="2557208D">
      <w:pPr>
        <w:spacing w:before="63" w:line="286" w:lineRule="auto"/>
        <w:ind w:firstLine="570"/>
        <w:jc w:val="both"/>
        <w:rPr>
          <w:rFonts w:ascii="宋体" w:hAnsi="宋体" w:eastAsia="宋体" w:cs="宋体"/>
          <w:sz w:val="27"/>
          <w:szCs w:val="27"/>
        </w:rPr>
      </w:pPr>
      <w:r>
        <w:rPr>
          <w:rFonts w:ascii="宋体" w:hAnsi="宋体" w:eastAsia="宋体" w:cs="宋体"/>
          <w:spacing w:val="6"/>
          <w:sz w:val="27"/>
          <w:szCs w:val="27"/>
        </w:rPr>
        <w:t>要求分配是将系统级要求层层分解，直到具体的硬件项目或软件程序能完</w:t>
      </w:r>
      <w:r>
        <w:rPr>
          <w:rFonts w:ascii="宋体" w:hAnsi="宋体" w:eastAsia="宋体" w:cs="宋体"/>
          <w:sz w:val="27"/>
          <w:szCs w:val="27"/>
        </w:rPr>
        <w:t xml:space="preserve"> </w:t>
      </w:r>
      <w:r>
        <w:rPr>
          <w:rFonts w:ascii="宋体" w:hAnsi="宋体" w:eastAsia="宋体" w:cs="宋体"/>
          <w:spacing w:val="5"/>
          <w:sz w:val="27"/>
          <w:szCs w:val="27"/>
        </w:rPr>
        <w:t>全满足所需的功能或性能要求的程度。要求分配过程的最终结果是编制系统规</w:t>
      </w:r>
      <w:r>
        <w:rPr>
          <w:rFonts w:ascii="宋体" w:hAnsi="宋体" w:eastAsia="宋体" w:cs="宋体"/>
          <w:spacing w:val="10"/>
          <w:sz w:val="27"/>
          <w:szCs w:val="27"/>
        </w:rPr>
        <w:t xml:space="preserve"> </w:t>
      </w:r>
      <w:r>
        <w:rPr>
          <w:rFonts w:ascii="宋体" w:hAnsi="宋体" w:eastAsia="宋体" w:cs="宋体"/>
          <w:sz w:val="27"/>
          <w:szCs w:val="27"/>
        </w:rPr>
        <w:t>范和研制规范。</w:t>
      </w:r>
    </w:p>
    <w:p w14:paraId="1775D1EE">
      <w:pPr>
        <w:spacing w:line="221" w:lineRule="auto"/>
        <w:rPr>
          <w:rFonts w:ascii="黑体" w:hAnsi="黑体" w:eastAsia="黑体" w:cs="黑体"/>
          <w:sz w:val="25"/>
          <w:szCs w:val="25"/>
        </w:rPr>
      </w:pPr>
      <w:r>
        <w:rPr>
          <w:rFonts w:ascii="黑体" w:hAnsi="黑体" w:eastAsia="黑体" w:cs="黑体"/>
          <w:spacing w:val="11"/>
          <w:sz w:val="25"/>
          <w:szCs w:val="25"/>
        </w:rPr>
        <w:t>2.4</w:t>
      </w:r>
      <w:r>
        <w:rPr>
          <w:rFonts w:ascii="黑体" w:hAnsi="黑体" w:eastAsia="黑体" w:cs="黑体"/>
          <w:spacing w:val="35"/>
          <w:sz w:val="25"/>
          <w:szCs w:val="25"/>
        </w:rPr>
        <w:t xml:space="preserve">  </w:t>
      </w:r>
      <w:r>
        <w:rPr>
          <w:rFonts w:ascii="黑体" w:hAnsi="黑体" w:eastAsia="黑体" w:cs="黑体"/>
          <w:b/>
          <w:bCs/>
          <w:spacing w:val="11"/>
          <w:sz w:val="25"/>
          <w:szCs w:val="25"/>
        </w:rPr>
        <w:t>权衡研究</w:t>
      </w:r>
    </w:p>
    <w:p w14:paraId="10378948">
      <w:pPr>
        <w:spacing w:before="103" w:line="275" w:lineRule="auto"/>
        <w:ind w:right="11" w:firstLine="570"/>
        <w:jc w:val="both"/>
        <w:rPr>
          <w:rFonts w:ascii="宋体" w:hAnsi="宋体" w:eastAsia="宋体" w:cs="宋体"/>
          <w:sz w:val="27"/>
          <w:szCs w:val="27"/>
        </w:rPr>
      </w:pPr>
      <w:r>
        <w:rPr>
          <w:rFonts w:ascii="宋体" w:hAnsi="宋体" w:eastAsia="宋体" w:cs="宋体"/>
          <w:spacing w:val="6"/>
          <w:sz w:val="27"/>
          <w:szCs w:val="27"/>
        </w:rPr>
        <w:t>在研制过程中进行权衡研究，对各种设计要求和</w:t>
      </w:r>
      <w:r>
        <w:rPr>
          <w:rFonts w:ascii="宋体" w:hAnsi="宋体" w:eastAsia="宋体" w:cs="宋体"/>
          <w:spacing w:val="5"/>
          <w:sz w:val="27"/>
          <w:szCs w:val="27"/>
        </w:rPr>
        <w:t>工程专业要求进行综合和</w:t>
      </w:r>
      <w:r>
        <w:rPr>
          <w:rFonts w:ascii="宋体" w:hAnsi="宋体" w:eastAsia="宋体" w:cs="宋体"/>
          <w:sz w:val="27"/>
          <w:szCs w:val="27"/>
        </w:rPr>
        <w:t xml:space="preserve"> </w:t>
      </w:r>
      <w:r>
        <w:rPr>
          <w:rFonts w:ascii="宋体" w:hAnsi="宋体" w:eastAsia="宋体" w:cs="宋体"/>
          <w:spacing w:val="-3"/>
          <w:sz w:val="27"/>
          <w:szCs w:val="27"/>
        </w:rPr>
        <w:t>平衡，用于解决存在不止一种选择的场合提出的复杂问题，并为上级决策机构提</w:t>
      </w:r>
      <w:r>
        <w:rPr>
          <w:rFonts w:ascii="宋体" w:hAnsi="宋体" w:eastAsia="宋体" w:cs="宋体"/>
          <w:spacing w:val="15"/>
          <w:sz w:val="27"/>
          <w:szCs w:val="27"/>
        </w:rPr>
        <w:t xml:space="preserve"> </w:t>
      </w:r>
      <w:r>
        <w:rPr>
          <w:rFonts w:ascii="宋体" w:hAnsi="宋体" w:eastAsia="宋体" w:cs="宋体"/>
          <w:spacing w:val="4"/>
          <w:sz w:val="27"/>
          <w:szCs w:val="27"/>
        </w:rPr>
        <w:t>供书面决策依据。</w:t>
      </w:r>
    </w:p>
    <w:p w14:paraId="073E92AC">
      <w:pPr>
        <w:spacing w:before="9" w:line="221" w:lineRule="auto"/>
        <w:rPr>
          <w:rFonts w:ascii="黑体" w:hAnsi="黑体" w:eastAsia="黑体" w:cs="黑体"/>
          <w:sz w:val="25"/>
          <w:szCs w:val="25"/>
        </w:rPr>
      </w:pPr>
      <w:r>
        <w:rPr>
          <w:rFonts w:ascii="黑体" w:hAnsi="黑体" w:eastAsia="黑体" w:cs="黑体"/>
          <w:spacing w:val="16"/>
          <w:sz w:val="25"/>
          <w:szCs w:val="25"/>
        </w:rPr>
        <w:t>2.5</w:t>
      </w:r>
      <w:r>
        <w:rPr>
          <w:rFonts w:ascii="黑体" w:hAnsi="黑体" w:eastAsia="黑体" w:cs="黑体"/>
          <w:spacing w:val="37"/>
          <w:sz w:val="25"/>
          <w:szCs w:val="25"/>
        </w:rPr>
        <w:t xml:space="preserve">  </w:t>
      </w:r>
      <w:r>
        <w:rPr>
          <w:rFonts w:ascii="黑体" w:hAnsi="黑体" w:eastAsia="黑体" w:cs="黑体"/>
          <w:b/>
          <w:bCs/>
          <w:spacing w:val="16"/>
          <w:sz w:val="25"/>
          <w:szCs w:val="25"/>
        </w:rPr>
        <w:t>设计优化/效能兼容性</w:t>
      </w:r>
    </w:p>
    <w:p w14:paraId="080BFD9D">
      <w:pPr>
        <w:spacing w:before="116" w:line="267" w:lineRule="auto"/>
        <w:ind w:right="23" w:firstLine="570"/>
        <w:rPr>
          <w:rFonts w:ascii="宋体" w:hAnsi="宋体" w:eastAsia="宋体" w:cs="宋体"/>
          <w:sz w:val="27"/>
          <w:szCs w:val="27"/>
        </w:rPr>
      </w:pPr>
      <w:r>
        <w:rPr>
          <w:rFonts w:ascii="宋体" w:hAnsi="宋体" w:eastAsia="宋体" w:cs="宋体"/>
          <w:spacing w:val="14"/>
          <w:sz w:val="27"/>
          <w:szCs w:val="27"/>
        </w:rPr>
        <w:t>对设计优化与费用效能进行权衡。通过费用与性能的比较来评估备选方</w:t>
      </w:r>
      <w:r>
        <w:rPr>
          <w:rFonts w:ascii="宋体" w:hAnsi="宋体" w:eastAsia="宋体" w:cs="宋体"/>
          <w:spacing w:val="5"/>
          <w:sz w:val="27"/>
          <w:szCs w:val="27"/>
        </w:rPr>
        <w:t xml:space="preserve"> </w:t>
      </w:r>
      <w:r>
        <w:rPr>
          <w:rFonts w:ascii="宋体" w:hAnsi="宋体" w:eastAsia="宋体" w:cs="宋体"/>
          <w:spacing w:val="-27"/>
          <w:sz w:val="27"/>
          <w:szCs w:val="27"/>
        </w:rPr>
        <w:t>案，用于：</w:t>
      </w:r>
    </w:p>
    <w:p w14:paraId="31E40C29">
      <w:pPr>
        <w:spacing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a)</w:t>
      </w:r>
      <w:r>
        <w:rPr>
          <w:rFonts w:ascii="Times New Roman" w:hAnsi="Times New Roman" w:eastAsia="Times New Roman" w:cs="Times New Roman"/>
          <w:spacing w:val="77"/>
          <w:w w:val="101"/>
          <w:sz w:val="27"/>
          <w:szCs w:val="27"/>
        </w:rPr>
        <w:t xml:space="preserve"> </w:t>
      </w:r>
      <w:r>
        <w:rPr>
          <w:rFonts w:ascii="宋体" w:hAnsi="宋体" w:eastAsia="宋体" w:cs="宋体"/>
          <w:spacing w:val="-2"/>
          <w:sz w:val="27"/>
          <w:szCs w:val="27"/>
        </w:rPr>
        <w:t>支持确定经费可承受性、最佳任务费用和性能要求；</w:t>
      </w:r>
    </w:p>
    <w:p w14:paraId="74FAC4FD">
      <w:pPr>
        <w:spacing w:before="100"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69"/>
          <w:w w:val="101"/>
          <w:sz w:val="27"/>
          <w:szCs w:val="27"/>
        </w:rPr>
        <w:t xml:space="preserve"> </w:t>
      </w:r>
      <w:r>
        <w:rPr>
          <w:rFonts w:ascii="宋体" w:hAnsi="宋体" w:eastAsia="宋体" w:cs="宋体"/>
          <w:spacing w:val="4"/>
          <w:sz w:val="27"/>
          <w:szCs w:val="27"/>
        </w:rPr>
        <w:t>支持将性能分配给最佳的功能结构；</w:t>
      </w:r>
    </w:p>
    <w:p w14:paraId="60076DC1">
      <w:pPr>
        <w:spacing w:before="100"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68"/>
          <w:sz w:val="27"/>
          <w:szCs w:val="27"/>
        </w:rPr>
        <w:t xml:space="preserve"> </w:t>
      </w:r>
      <w:r>
        <w:rPr>
          <w:rFonts w:ascii="宋体" w:hAnsi="宋体" w:eastAsia="宋体" w:cs="宋体"/>
          <w:spacing w:val="2"/>
          <w:sz w:val="27"/>
          <w:szCs w:val="27"/>
        </w:rPr>
        <w:t>提供选择备选方案的准则；</w:t>
      </w:r>
    </w:p>
    <w:p w14:paraId="35B1302F">
      <w:pPr>
        <w:spacing w:before="110" w:line="212" w:lineRule="auto"/>
        <w:ind w:left="570"/>
        <w:rPr>
          <w:rFonts w:ascii="宋体" w:hAnsi="宋体" w:eastAsia="宋体" w:cs="宋体"/>
          <w:sz w:val="27"/>
          <w:szCs w:val="27"/>
        </w:rPr>
      </w:pPr>
      <w:r>
        <w:rPr>
          <w:rFonts w:ascii="Times New Roman" w:hAnsi="Times New Roman" w:eastAsia="Times New Roman" w:cs="Times New Roman"/>
          <w:sz w:val="27"/>
          <w:szCs w:val="27"/>
        </w:rPr>
        <w:t xml:space="preserve">d)  </w:t>
      </w:r>
      <w:r>
        <w:rPr>
          <w:rFonts w:ascii="宋体" w:hAnsi="宋体" w:eastAsia="宋体" w:cs="宋体"/>
          <w:sz w:val="27"/>
          <w:szCs w:val="27"/>
        </w:rPr>
        <w:t>提供分析证据，证明设计能否在费用约束内满足</w:t>
      </w:r>
      <w:r>
        <w:rPr>
          <w:rFonts w:ascii="宋体" w:hAnsi="宋体" w:eastAsia="宋体" w:cs="宋体"/>
          <w:spacing w:val="-1"/>
          <w:sz w:val="27"/>
          <w:szCs w:val="27"/>
        </w:rPr>
        <w:t>用户的要求；</w:t>
      </w:r>
    </w:p>
    <w:p w14:paraId="557F9FFA">
      <w:pPr>
        <w:spacing w:before="122" w:line="212" w:lineRule="auto"/>
        <w:ind w:left="570"/>
        <w:rPr>
          <w:rFonts w:ascii="宋体" w:hAnsi="宋体" w:eastAsia="宋体" w:cs="宋体"/>
          <w:sz w:val="24"/>
          <w:szCs w:val="24"/>
        </w:rPr>
      </w:pPr>
      <w:r>
        <w:rPr>
          <w:rFonts w:ascii="Times New Roman" w:hAnsi="Times New Roman" w:eastAsia="Times New Roman" w:cs="Times New Roman"/>
          <w:spacing w:val="26"/>
          <w:sz w:val="24"/>
          <w:szCs w:val="24"/>
        </w:rPr>
        <w:t xml:space="preserve">e)  </w:t>
      </w:r>
      <w:r>
        <w:rPr>
          <w:rFonts w:ascii="宋体" w:hAnsi="宋体" w:eastAsia="宋体" w:cs="宋体"/>
          <w:spacing w:val="26"/>
          <w:sz w:val="24"/>
          <w:szCs w:val="24"/>
        </w:rPr>
        <w:t>支持产品和过程的验证。</w:t>
      </w:r>
    </w:p>
    <w:p w14:paraId="3F0B83FF">
      <w:pPr>
        <w:spacing w:before="147" w:line="222" w:lineRule="auto"/>
        <w:rPr>
          <w:rFonts w:ascii="黑体" w:hAnsi="黑体" w:eastAsia="黑体" w:cs="黑体"/>
          <w:sz w:val="25"/>
          <w:szCs w:val="25"/>
        </w:rPr>
      </w:pPr>
      <w:r>
        <w:rPr>
          <w:rFonts w:ascii="黑体" w:hAnsi="黑体" w:eastAsia="黑体" w:cs="黑体"/>
          <w:spacing w:val="2"/>
          <w:sz w:val="25"/>
          <w:szCs w:val="25"/>
        </w:rPr>
        <w:t>2.6</w:t>
      </w:r>
      <w:r>
        <w:rPr>
          <w:rFonts w:ascii="黑体" w:hAnsi="黑体" w:eastAsia="黑体" w:cs="黑体"/>
          <w:spacing w:val="33"/>
          <w:sz w:val="25"/>
          <w:szCs w:val="25"/>
        </w:rPr>
        <w:t xml:space="preserve">  </w:t>
      </w:r>
      <w:r>
        <w:rPr>
          <w:rFonts w:ascii="黑体" w:hAnsi="黑体" w:eastAsia="黑体" w:cs="黑体"/>
          <w:b/>
          <w:bCs/>
          <w:spacing w:val="2"/>
          <w:sz w:val="25"/>
          <w:szCs w:val="25"/>
        </w:rPr>
        <w:t>综合</w:t>
      </w:r>
    </w:p>
    <w:p w14:paraId="4712FFCB">
      <w:pPr>
        <w:spacing w:before="116" w:line="272" w:lineRule="auto"/>
        <w:ind w:right="23" w:firstLine="570"/>
        <w:jc w:val="both"/>
        <w:rPr>
          <w:rFonts w:ascii="宋体" w:hAnsi="宋体" w:eastAsia="宋体" w:cs="宋体"/>
          <w:sz w:val="27"/>
          <w:szCs w:val="27"/>
        </w:rPr>
      </w:pPr>
      <w:r>
        <w:rPr>
          <w:rFonts w:ascii="宋体" w:hAnsi="宋体" w:eastAsia="宋体" w:cs="宋体"/>
          <w:spacing w:val="5"/>
          <w:sz w:val="27"/>
          <w:szCs w:val="27"/>
        </w:rPr>
        <w:t>综合是指提出设计方案的过程。在系统工程过程中，综合就是将工程创造</w:t>
      </w:r>
      <w:r>
        <w:rPr>
          <w:rFonts w:ascii="宋体" w:hAnsi="宋体" w:eastAsia="宋体" w:cs="宋体"/>
          <w:spacing w:val="9"/>
          <w:sz w:val="27"/>
          <w:szCs w:val="27"/>
        </w:rPr>
        <w:t xml:space="preserve"> </w:t>
      </w:r>
      <w:r>
        <w:rPr>
          <w:rFonts w:ascii="宋体" w:hAnsi="宋体" w:eastAsia="宋体" w:cs="宋体"/>
          <w:spacing w:val="5"/>
          <w:sz w:val="27"/>
          <w:szCs w:val="27"/>
        </w:rPr>
        <w:t>力和技术引导到建立最符合既定系统要求的设计方案上来</w:t>
      </w:r>
      <w:r>
        <w:rPr>
          <w:rFonts w:ascii="宋体" w:hAnsi="宋体" w:eastAsia="宋体" w:cs="宋体"/>
          <w:spacing w:val="4"/>
          <w:sz w:val="27"/>
          <w:szCs w:val="27"/>
        </w:rPr>
        <w:t>。综合要考虑的是各</w:t>
      </w:r>
      <w:r>
        <w:rPr>
          <w:rFonts w:ascii="宋体" w:hAnsi="宋体" w:eastAsia="宋体" w:cs="宋体"/>
          <w:sz w:val="27"/>
          <w:szCs w:val="27"/>
        </w:rPr>
        <w:t xml:space="preserve"> </w:t>
      </w:r>
      <w:r>
        <w:rPr>
          <w:rFonts w:ascii="宋体" w:hAnsi="宋体" w:eastAsia="宋体" w:cs="宋体"/>
          <w:spacing w:val="6"/>
          <w:sz w:val="27"/>
          <w:szCs w:val="27"/>
        </w:rPr>
        <w:t>种技术和研究成果及功能分析得出的要求，从影响设计方案的各</w:t>
      </w:r>
      <w:r>
        <w:rPr>
          <w:rFonts w:ascii="宋体" w:hAnsi="宋体" w:eastAsia="宋体" w:cs="宋体"/>
          <w:spacing w:val="5"/>
          <w:sz w:val="27"/>
          <w:szCs w:val="27"/>
        </w:rPr>
        <w:t>个技术和工程</w:t>
      </w:r>
      <w:r>
        <w:rPr>
          <w:rFonts w:ascii="宋体" w:hAnsi="宋体" w:eastAsia="宋体" w:cs="宋体"/>
          <w:sz w:val="27"/>
          <w:szCs w:val="27"/>
        </w:rPr>
        <w:t xml:space="preserve"> </w:t>
      </w:r>
      <w:r>
        <w:rPr>
          <w:rFonts w:ascii="宋体" w:hAnsi="宋体" w:eastAsia="宋体" w:cs="宋体"/>
          <w:spacing w:val="1"/>
          <w:sz w:val="27"/>
          <w:szCs w:val="27"/>
        </w:rPr>
        <w:t>专业领域汲取最新技术成果。</w:t>
      </w:r>
    </w:p>
    <w:p w14:paraId="6D627966">
      <w:pPr>
        <w:spacing w:before="50" w:line="271" w:lineRule="auto"/>
        <w:ind w:right="20" w:firstLine="570"/>
        <w:jc w:val="both"/>
        <w:rPr>
          <w:rFonts w:ascii="宋体" w:hAnsi="宋体" w:eastAsia="宋体" w:cs="宋体"/>
          <w:sz w:val="27"/>
          <w:szCs w:val="27"/>
        </w:rPr>
      </w:pPr>
      <w:r>
        <w:rPr>
          <w:rFonts w:ascii="宋体" w:hAnsi="宋体" w:eastAsia="宋体" w:cs="宋体"/>
          <w:spacing w:val="-3"/>
          <w:sz w:val="27"/>
          <w:szCs w:val="27"/>
        </w:rPr>
        <w:t>综合从利用功能分析结果提出可能的技术途径入手，为保障各技术途径，要</w:t>
      </w:r>
      <w:r>
        <w:rPr>
          <w:rFonts w:ascii="宋体" w:hAnsi="宋体" w:eastAsia="宋体" w:cs="宋体"/>
          <w:spacing w:val="1"/>
          <w:sz w:val="27"/>
          <w:szCs w:val="27"/>
        </w:rPr>
        <w:t xml:space="preserve"> </w:t>
      </w:r>
      <w:r>
        <w:rPr>
          <w:rFonts w:ascii="宋体" w:hAnsi="宋体" w:eastAsia="宋体" w:cs="宋体"/>
          <w:spacing w:val="-2"/>
          <w:sz w:val="27"/>
          <w:szCs w:val="27"/>
        </w:rPr>
        <w:t>提出一个或数个系统研制方案，然后，通过系统工程过程反复迭代，为每个系统</w:t>
      </w:r>
      <w:r>
        <w:rPr>
          <w:rFonts w:ascii="宋体" w:hAnsi="宋体" w:eastAsia="宋体" w:cs="宋体"/>
          <w:spacing w:val="1"/>
          <w:sz w:val="27"/>
          <w:szCs w:val="27"/>
        </w:rPr>
        <w:t xml:space="preserve"> </w:t>
      </w:r>
      <w:r>
        <w:rPr>
          <w:rFonts w:ascii="宋体" w:hAnsi="宋体" w:eastAsia="宋体" w:cs="宋体"/>
          <w:spacing w:val="3"/>
          <w:sz w:val="27"/>
          <w:szCs w:val="27"/>
        </w:rPr>
        <w:t>方案综合出一个或数个设计方案。</w:t>
      </w:r>
    </w:p>
    <w:p w14:paraId="75E266D0">
      <w:pPr>
        <w:spacing w:before="15" w:line="222" w:lineRule="auto"/>
        <w:rPr>
          <w:rFonts w:ascii="黑体" w:hAnsi="黑体" w:eastAsia="黑体" w:cs="黑体"/>
          <w:sz w:val="25"/>
          <w:szCs w:val="25"/>
        </w:rPr>
      </w:pPr>
      <w:r>
        <w:rPr>
          <w:rFonts w:ascii="黑体" w:hAnsi="黑体" w:eastAsia="黑体" w:cs="黑体"/>
          <w:spacing w:val="13"/>
          <w:sz w:val="25"/>
          <w:szCs w:val="25"/>
        </w:rPr>
        <w:t>2.7</w:t>
      </w:r>
      <w:r>
        <w:rPr>
          <w:rFonts w:ascii="黑体" w:hAnsi="黑体" w:eastAsia="黑体" w:cs="黑体"/>
          <w:spacing w:val="43"/>
          <w:sz w:val="25"/>
          <w:szCs w:val="25"/>
        </w:rPr>
        <w:t xml:space="preserve">  </w:t>
      </w:r>
      <w:r>
        <w:rPr>
          <w:rFonts w:ascii="黑体" w:hAnsi="黑体" w:eastAsia="黑体" w:cs="黑体"/>
          <w:b/>
          <w:bCs/>
          <w:spacing w:val="13"/>
          <w:sz w:val="25"/>
          <w:szCs w:val="25"/>
        </w:rPr>
        <w:t>技术接口兼容性</w:t>
      </w:r>
    </w:p>
    <w:p w14:paraId="4317C577">
      <w:pPr>
        <w:spacing w:before="123" w:line="297" w:lineRule="auto"/>
        <w:ind w:right="22" w:firstLine="570"/>
        <w:rPr>
          <w:rFonts w:ascii="宋体" w:hAnsi="宋体" w:eastAsia="宋体" w:cs="宋体"/>
          <w:sz w:val="25"/>
          <w:szCs w:val="25"/>
        </w:rPr>
      </w:pPr>
      <w:r>
        <w:rPr>
          <w:rFonts w:ascii="宋体" w:hAnsi="宋体" w:eastAsia="宋体" w:cs="宋体"/>
          <w:spacing w:val="17"/>
          <w:sz w:val="25"/>
          <w:szCs w:val="25"/>
        </w:rPr>
        <w:t>分析系统的功能和结构接口，确定接口的技术要求，并保证在最终设计</w:t>
      </w:r>
      <w:r>
        <w:rPr>
          <w:rFonts w:ascii="宋体" w:hAnsi="宋体" w:eastAsia="宋体" w:cs="宋体"/>
          <w:spacing w:val="16"/>
          <w:sz w:val="25"/>
          <w:szCs w:val="25"/>
        </w:rPr>
        <w:t>中这</w:t>
      </w:r>
      <w:r>
        <w:rPr>
          <w:rFonts w:ascii="宋体" w:hAnsi="宋体" w:eastAsia="宋体" w:cs="宋体"/>
          <w:sz w:val="25"/>
          <w:szCs w:val="25"/>
        </w:rPr>
        <w:t xml:space="preserve"> </w:t>
      </w:r>
      <w:r>
        <w:rPr>
          <w:rFonts w:ascii="宋体" w:hAnsi="宋体" w:eastAsia="宋体" w:cs="宋体"/>
          <w:spacing w:val="21"/>
          <w:sz w:val="25"/>
          <w:szCs w:val="25"/>
        </w:rPr>
        <w:t>些功能和结构接口的兼容性。</w:t>
      </w:r>
    </w:p>
    <w:p w14:paraId="37B364A4">
      <w:pPr>
        <w:spacing w:line="297" w:lineRule="auto"/>
        <w:rPr>
          <w:rFonts w:ascii="宋体" w:hAnsi="宋体" w:eastAsia="宋体" w:cs="宋体"/>
          <w:sz w:val="25"/>
          <w:szCs w:val="25"/>
        </w:rPr>
        <w:sectPr>
          <w:footerReference r:id="rId64" w:type="default"/>
          <w:pgSz w:w="11910" w:h="17130"/>
          <w:pgMar w:top="400" w:right="1396" w:bottom="1707" w:left="1110" w:header="0" w:footer="1526" w:gutter="0"/>
          <w:cols w:space="720" w:num="1"/>
        </w:sectPr>
      </w:pPr>
    </w:p>
    <w:p w14:paraId="0760FC05">
      <w:pPr>
        <w:pStyle w:val="2"/>
        <w:spacing w:line="268" w:lineRule="auto"/>
      </w:pPr>
    </w:p>
    <w:p w14:paraId="303F6D48">
      <w:pPr>
        <w:pStyle w:val="2"/>
        <w:spacing w:line="269" w:lineRule="auto"/>
      </w:pPr>
    </w:p>
    <w:p w14:paraId="022E2952">
      <w:pPr>
        <w:pStyle w:val="2"/>
        <w:spacing w:line="269" w:lineRule="auto"/>
      </w:pPr>
    </w:p>
    <w:p w14:paraId="10C95D2D">
      <w:pPr>
        <w:pStyle w:val="2"/>
        <w:spacing w:line="269" w:lineRule="auto"/>
      </w:pPr>
    </w:p>
    <w:p w14:paraId="55291382">
      <w:pPr>
        <w:spacing w:before="78" w:line="222" w:lineRule="auto"/>
        <w:rPr>
          <w:rFonts w:ascii="黑体" w:hAnsi="黑体" w:eastAsia="黑体" w:cs="黑体"/>
          <w:sz w:val="24"/>
          <w:szCs w:val="24"/>
        </w:rPr>
      </w:pPr>
      <w:bookmarkStart w:id="32" w:name="bookmark322"/>
      <w:bookmarkEnd w:id="32"/>
      <w:r>
        <w:rPr>
          <w:rFonts w:ascii="黑体" w:hAnsi="黑体" w:eastAsia="黑体" w:cs="黑体"/>
          <w:spacing w:val="22"/>
          <w:sz w:val="24"/>
          <w:szCs w:val="24"/>
        </w:rPr>
        <w:t>2.8</w:t>
      </w:r>
      <w:r>
        <w:rPr>
          <w:rFonts w:ascii="黑体" w:hAnsi="黑体" w:eastAsia="黑体" w:cs="黑体"/>
          <w:spacing w:val="55"/>
          <w:sz w:val="24"/>
          <w:szCs w:val="24"/>
        </w:rPr>
        <w:t xml:space="preserve">  </w:t>
      </w:r>
      <w:r>
        <w:rPr>
          <w:rFonts w:ascii="黑体" w:hAnsi="黑体" w:eastAsia="黑体" w:cs="黑体"/>
          <w:spacing w:val="22"/>
          <w:sz w:val="24"/>
          <w:szCs w:val="24"/>
        </w:rPr>
        <w:t>后勤保障分析</w:t>
      </w:r>
    </w:p>
    <w:p w14:paraId="16062B61">
      <w:pPr>
        <w:spacing w:before="42" w:line="297" w:lineRule="auto"/>
        <w:ind w:right="115" w:firstLine="560"/>
        <w:rPr>
          <w:rFonts w:ascii="宋体" w:hAnsi="宋体" w:eastAsia="宋体" w:cs="宋体"/>
          <w:sz w:val="27"/>
          <w:szCs w:val="27"/>
        </w:rPr>
      </w:pPr>
      <w:r>
        <w:rPr>
          <w:rFonts w:ascii="宋体" w:hAnsi="宋体" w:eastAsia="宋体" w:cs="宋体"/>
          <w:spacing w:val="-1"/>
          <w:sz w:val="27"/>
          <w:szCs w:val="27"/>
        </w:rPr>
        <w:t>在整个研制过程中，按照</w:t>
      </w:r>
      <w:r>
        <w:rPr>
          <w:rFonts w:ascii="Times New Roman" w:hAnsi="Times New Roman" w:eastAsia="Times New Roman" w:cs="Times New Roman"/>
          <w:spacing w:val="-1"/>
          <w:sz w:val="27"/>
          <w:szCs w:val="27"/>
        </w:rPr>
        <w:t>GJB1371—1992</w:t>
      </w:r>
      <w:r>
        <w:rPr>
          <w:rFonts w:ascii="宋体" w:hAnsi="宋体" w:eastAsia="宋体" w:cs="宋体"/>
          <w:spacing w:val="-1"/>
          <w:sz w:val="27"/>
          <w:szCs w:val="27"/>
        </w:rPr>
        <w:t>《装备保障性分析》进行后勤保障</w:t>
      </w:r>
      <w:r>
        <w:rPr>
          <w:rFonts w:ascii="宋体" w:hAnsi="宋体" w:eastAsia="宋体" w:cs="宋体"/>
          <w:spacing w:val="16"/>
          <w:sz w:val="27"/>
          <w:szCs w:val="27"/>
        </w:rPr>
        <w:t xml:space="preserve"> </w:t>
      </w:r>
      <w:r>
        <w:rPr>
          <w:rFonts w:ascii="宋体" w:hAnsi="宋体" w:eastAsia="宋体" w:cs="宋体"/>
          <w:spacing w:val="-2"/>
          <w:sz w:val="27"/>
          <w:szCs w:val="27"/>
        </w:rPr>
        <w:t>分析。</w:t>
      </w:r>
    </w:p>
    <w:p w14:paraId="3558CEE9">
      <w:pPr>
        <w:spacing w:line="222" w:lineRule="auto"/>
        <w:rPr>
          <w:rFonts w:ascii="黑体" w:hAnsi="黑体" w:eastAsia="黑体" w:cs="黑体"/>
          <w:sz w:val="24"/>
          <w:szCs w:val="24"/>
        </w:rPr>
      </w:pPr>
      <w:r>
        <w:rPr>
          <w:rFonts w:ascii="黑体" w:hAnsi="黑体" w:eastAsia="黑体" w:cs="黑体"/>
          <w:spacing w:val="20"/>
          <w:sz w:val="24"/>
          <w:szCs w:val="24"/>
        </w:rPr>
        <w:t>2.9</w:t>
      </w:r>
      <w:r>
        <w:rPr>
          <w:rFonts w:ascii="黑体" w:hAnsi="黑体" w:eastAsia="黑体" w:cs="黑体"/>
          <w:spacing w:val="54"/>
          <w:sz w:val="24"/>
          <w:szCs w:val="24"/>
        </w:rPr>
        <w:t xml:space="preserve">  </w:t>
      </w:r>
      <w:r>
        <w:rPr>
          <w:rFonts w:ascii="黑体" w:hAnsi="黑体" w:eastAsia="黑体" w:cs="黑体"/>
          <w:spacing w:val="20"/>
          <w:sz w:val="24"/>
          <w:szCs w:val="24"/>
        </w:rPr>
        <w:t>生产性分析</w:t>
      </w:r>
    </w:p>
    <w:p w14:paraId="6E6EE536">
      <w:pPr>
        <w:spacing w:before="61" w:line="285" w:lineRule="auto"/>
        <w:ind w:firstLine="560"/>
        <w:jc w:val="both"/>
        <w:rPr>
          <w:rFonts w:ascii="宋体" w:hAnsi="宋体" w:eastAsia="宋体" w:cs="宋体"/>
          <w:sz w:val="27"/>
          <w:szCs w:val="27"/>
        </w:rPr>
      </w:pPr>
      <w:r>
        <w:rPr>
          <w:rFonts w:ascii="宋体" w:hAnsi="宋体" w:eastAsia="宋体" w:cs="宋体"/>
          <w:spacing w:val="1"/>
          <w:sz w:val="27"/>
          <w:szCs w:val="27"/>
        </w:rPr>
        <w:t xml:space="preserve">生产性分析是指在满足性能和生产率要求的前提下，对备选的设计、材料、 </w:t>
      </w:r>
      <w:r>
        <w:rPr>
          <w:rFonts w:ascii="宋体" w:hAnsi="宋体" w:eastAsia="宋体" w:cs="宋体"/>
          <w:spacing w:val="15"/>
          <w:sz w:val="27"/>
          <w:szCs w:val="27"/>
        </w:rPr>
        <w:t>工艺和制造技术方案进行比较，以确定最经</w:t>
      </w:r>
      <w:r>
        <w:rPr>
          <w:rFonts w:ascii="宋体" w:hAnsi="宋体" w:eastAsia="宋体" w:cs="宋体"/>
          <w:spacing w:val="14"/>
          <w:sz w:val="27"/>
          <w:szCs w:val="27"/>
        </w:rPr>
        <w:t>济地生产该产品用的制造工艺和</w:t>
      </w:r>
      <w:r>
        <w:rPr>
          <w:rFonts w:ascii="宋体" w:hAnsi="宋体" w:eastAsia="宋体" w:cs="宋体"/>
          <w:sz w:val="27"/>
          <w:szCs w:val="27"/>
        </w:rPr>
        <w:t xml:space="preserve"> </w:t>
      </w:r>
      <w:r>
        <w:rPr>
          <w:rFonts w:ascii="宋体" w:hAnsi="宋体" w:eastAsia="宋体" w:cs="宋体"/>
          <w:spacing w:val="-2"/>
          <w:sz w:val="27"/>
          <w:szCs w:val="27"/>
        </w:rPr>
        <w:t>材料。</w:t>
      </w:r>
    </w:p>
    <w:p w14:paraId="65B0B929">
      <w:pPr>
        <w:spacing w:before="2" w:line="280" w:lineRule="auto"/>
        <w:ind w:right="120" w:firstLine="560"/>
        <w:jc w:val="both"/>
        <w:rPr>
          <w:rFonts w:ascii="宋体" w:hAnsi="宋体" w:eastAsia="宋体" w:cs="宋体"/>
          <w:sz w:val="27"/>
          <w:szCs w:val="27"/>
        </w:rPr>
      </w:pPr>
      <w:r>
        <w:rPr>
          <w:rFonts w:ascii="宋体" w:hAnsi="宋体" w:eastAsia="宋体" w:cs="宋体"/>
          <w:spacing w:val="6"/>
          <w:sz w:val="27"/>
          <w:szCs w:val="27"/>
        </w:rPr>
        <w:t>生产性分析的目的是保证武器装备研制过程中，</w:t>
      </w:r>
      <w:r>
        <w:rPr>
          <w:rFonts w:ascii="宋体" w:hAnsi="宋体" w:eastAsia="宋体" w:cs="宋体"/>
          <w:spacing w:val="5"/>
          <w:sz w:val="27"/>
          <w:szCs w:val="27"/>
        </w:rPr>
        <w:t>不仅能设计出具有良好生</w:t>
      </w:r>
      <w:r>
        <w:rPr>
          <w:rFonts w:ascii="宋体" w:hAnsi="宋体" w:eastAsia="宋体" w:cs="宋体"/>
          <w:sz w:val="27"/>
          <w:szCs w:val="27"/>
        </w:rPr>
        <w:t xml:space="preserve"> </w:t>
      </w:r>
      <w:r>
        <w:rPr>
          <w:rFonts w:ascii="宋体" w:hAnsi="宋体" w:eastAsia="宋体" w:cs="宋体"/>
          <w:spacing w:val="-2"/>
          <w:sz w:val="27"/>
          <w:szCs w:val="27"/>
        </w:rPr>
        <w:t>产性的产品，而且会形成适用于生产该产品的工艺和工装，使产品达到最佳的经</w:t>
      </w:r>
      <w:r>
        <w:rPr>
          <w:rFonts w:ascii="宋体" w:hAnsi="宋体" w:eastAsia="宋体" w:cs="宋体"/>
          <w:sz w:val="27"/>
          <w:szCs w:val="27"/>
        </w:rPr>
        <w:t xml:space="preserve"> </w:t>
      </w:r>
      <w:r>
        <w:rPr>
          <w:rFonts w:ascii="宋体" w:hAnsi="宋体" w:eastAsia="宋体" w:cs="宋体"/>
          <w:spacing w:val="-9"/>
          <w:sz w:val="27"/>
          <w:szCs w:val="27"/>
        </w:rPr>
        <w:t>济效果，以便降低产品成本，缩短研制周期，提高产</w:t>
      </w:r>
      <w:r>
        <w:rPr>
          <w:rFonts w:ascii="宋体" w:hAnsi="宋体" w:eastAsia="宋体" w:cs="宋体"/>
          <w:spacing w:val="-10"/>
          <w:sz w:val="27"/>
          <w:szCs w:val="27"/>
        </w:rPr>
        <w:t>品质量，节约原材料，提高劳</w:t>
      </w:r>
      <w:r>
        <w:rPr>
          <w:rFonts w:ascii="宋体" w:hAnsi="宋体" w:eastAsia="宋体" w:cs="宋体"/>
          <w:sz w:val="27"/>
          <w:szCs w:val="27"/>
        </w:rPr>
        <w:t xml:space="preserve"> </w:t>
      </w:r>
      <w:r>
        <w:rPr>
          <w:rFonts w:ascii="宋体" w:hAnsi="宋体" w:eastAsia="宋体" w:cs="宋体"/>
          <w:spacing w:val="-5"/>
          <w:sz w:val="27"/>
          <w:szCs w:val="27"/>
        </w:rPr>
        <w:t>动生产率，改善操作人员的工作条件。</w:t>
      </w:r>
    </w:p>
    <w:p w14:paraId="7A348C76">
      <w:pPr>
        <w:spacing w:before="1" w:line="279" w:lineRule="auto"/>
        <w:ind w:right="20" w:firstLine="560"/>
        <w:jc w:val="both"/>
        <w:rPr>
          <w:rFonts w:ascii="宋体" w:hAnsi="宋体" w:eastAsia="宋体" w:cs="宋体"/>
          <w:sz w:val="27"/>
          <w:szCs w:val="27"/>
        </w:rPr>
      </w:pPr>
      <w:r>
        <w:rPr>
          <w:rFonts w:ascii="宋体" w:hAnsi="宋体" w:eastAsia="宋体" w:cs="宋体"/>
          <w:spacing w:val="6"/>
          <w:sz w:val="27"/>
          <w:szCs w:val="27"/>
        </w:rPr>
        <w:t>生产性分析工作应贯穿于武器装备研制工作的全</w:t>
      </w:r>
      <w:r>
        <w:rPr>
          <w:rFonts w:ascii="宋体" w:hAnsi="宋体" w:eastAsia="宋体" w:cs="宋体"/>
          <w:spacing w:val="5"/>
          <w:sz w:val="27"/>
          <w:szCs w:val="27"/>
        </w:rPr>
        <w:t>过程，每个阶段的分析重</w:t>
      </w:r>
      <w:r>
        <w:rPr>
          <w:rFonts w:ascii="宋体" w:hAnsi="宋体" w:eastAsia="宋体" w:cs="宋体"/>
          <w:sz w:val="27"/>
          <w:szCs w:val="27"/>
        </w:rPr>
        <w:t xml:space="preserve"> </w:t>
      </w:r>
      <w:r>
        <w:rPr>
          <w:rFonts w:ascii="宋体" w:hAnsi="宋体" w:eastAsia="宋体" w:cs="宋体"/>
          <w:spacing w:val="-5"/>
          <w:sz w:val="27"/>
          <w:szCs w:val="27"/>
        </w:rPr>
        <w:t>点不同，应按照</w:t>
      </w:r>
      <w:r>
        <w:rPr>
          <w:rFonts w:ascii="Times New Roman" w:hAnsi="Times New Roman" w:eastAsia="Times New Roman" w:cs="Times New Roman"/>
          <w:spacing w:val="-5"/>
          <w:sz w:val="27"/>
          <w:szCs w:val="27"/>
        </w:rPr>
        <w:t>GJB 3363—1998</w:t>
      </w:r>
      <w:r>
        <w:rPr>
          <w:rFonts w:ascii="宋体" w:hAnsi="宋体" w:eastAsia="宋体" w:cs="宋体"/>
          <w:spacing w:val="-6"/>
          <w:sz w:val="27"/>
          <w:szCs w:val="27"/>
        </w:rPr>
        <w:t>《生产性分析》,由粗到细不断深化反复迭代，形</w:t>
      </w:r>
      <w:r>
        <w:rPr>
          <w:rFonts w:ascii="宋体" w:hAnsi="宋体" w:eastAsia="宋体" w:cs="宋体"/>
          <w:sz w:val="27"/>
          <w:szCs w:val="27"/>
        </w:rPr>
        <w:t xml:space="preserve">  </w:t>
      </w:r>
      <w:r>
        <w:rPr>
          <w:rFonts w:ascii="宋体" w:hAnsi="宋体" w:eastAsia="宋体" w:cs="宋体"/>
          <w:spacing w:val="6"/>
          <w:sz w:val="27"/>
          <w:szCs w:val="27"/>
        </w:rPr>
        <w:t>成各研制阶段的生产性分析报告。在各研制阶段技术审查中，应提供</w:t>
      </w:r>
      <w:r>
        <w:rPr>
          <w:rFonts w:ascii="宋体" w:hAnsi="宋体" w:eastAsia="宋体" w:cs="宋体"/>
          <w:spacing w:val="5"/>
          <w:sz w:val="27"/>
          <w:szCs w:val="27"/>
        </w:rPr>
        <w:t>产品设计</w:t>
      </w:r>
      <w:r>
        <w:rPr>
          <w:rFonts w:ascii="宋体" w:hAnsi="宋体" w:eastAsia="宋体" w:cs="宋体"/>
          <w:sz w:val="27"/>
          <w:szCs w:val="27"/>
        </w:rPr>
        <w:t xml:space="preserve"> </w:t>
      </w:r>
      <w:r>
        <w:rPr>
          <w:rFonts w:ascii="宋体" w:hAnsi="宋体" w:eastAsia="宋体" w:cs="宋体"/>
          <w:spacing w:val="1"/>
          <w:sz w:val="27"/>
          <w:szCs w:val="27"/>
        </w:rPr>
        <w:t>的生产性分析资料，包括承制方取得良好生产性的措施，准备采用的生产方</w:t>
      </w:r>
      <w:r>
        <w:rPr>
          <w:rFonts w:ascii="宋体" w:hAnsi="宋体" w:eastAsia="宋体" w:cs="宋体"/>
          <w:sz w:val="27"/>
          <w:szCs w:val="27"/>
        </w:rPr>
        <w:t xml:space="preserve">法、 </w:t>
      </w:r>
      <w:r>
        <w:rPr>
          <w:rFonts w:ascii="宋体" w:hAnsi="宋体" w:eastAsia="宋体" w:cs="宋体"/>
          <w:spacing w:val="-6"/>
          <w:sz w:val="27"/>
          <w:szCs w:val="27"/>
        </w:rPr>
        <w:t>制造工艺与技术设备、材料等。</w:t>
      </w:r>
    </w:p>
    <w:p w14:paraId="10839974">
      <w:pPr>
        <w:spacing w:before="8" w:line="223" w:lineRule="auto"/>
        <w:rPr>
          <w:rFonts w:ascii="黑体" w:hAnsi="黑体" w:eastAsia="黑体" w:cs="黑体"/>
          <w:sz w:val="25"/>
          <w:szCs w:val="25"/>
        </w:rPr>
      </w:pPr>
      <w:r>
        <w:rPr>
          <w:rFonts w:ascii="黑体" w:hAnsi="黑体" w:eastAsia="黑体" w:cs="黑体"/>
          <w:spacing w:val="14"/>
          <w:sz w:val="25"/>
          <w:szCs w:val="25"/>
        </w:rPr>
        <w:t>2.10</w:t>
      </w:r>
      <w:r>
        <w:rPr>
          <w:rFonts w:ascii="黑体" w:hAnsi="黑体" w:eastAsia="黑体" w:cs="黑体"/>
          <w:spacing w:val="53"/>
          <w:sz w:val="25"/>
          <w:szCs w:val="25"/>
        </w:rPr>
        <w:t xml:space="preserve">  </w:t>
      </w:r>
      <w:r>
        <w:rPr>
          <w:rFonts w:ascii="黑体" w:hAnsi="黑体" w:eastAsia="黑体" w:cs="黑体"/>
          <w:spacing w:val="14"/>
          <w:sz w:val="25"/>
          <w:szCs w:val="25"/>
        </w:rPr>
        <w:t>规范树/规范</w:t>
      </w:r>
    </w:p>
    <w:p w14:paraId="57AAF240">
      <w:pPr>
        <w:spacing w:before="106" w:line="296" w:lineRule="auto"/>
        <w:ind w:right="114" w:firstLine="560"/>
        <w:rPr>
          <w:rFonts w:ascii="宋体" w:hAnsi="宋体" w:eastAsia="宋体" w:cs="宋体"/>
          <w:sz w:val="25"/>
          <w:szCs w:val="25"/>
        </w:rPr>
      </w:pPr>
      <w:r>
        <w:rPr>
          <w:rFonts w:ascii="宋体" w:hAnsi="宋体" w:eastAsia="宋体" w:cs="宋体"/>
          <w:spacing w:val="26"/>
          <w:sz w:val="25"/>
          <w:szCs w:val="25"/>
        </w:rPr>
        <w:t>规范树是按照系统的层次结构原理制定并赖以确定型号产品的所有</w:t>
      </w:r>
      <w:r>
        <w:rPr>
          <w:rFonts w:ascii="宋体" w:hAnsi="宋体" w:eastAsia="宋体" w:cs="宋体"/>
          <w:spacing w:val="25"/>
          <w:sz w:val="25"/>
          <w:szCs w:val="25"/>
        </w:rPr>
        <w:t>硬件和</w:t>
      </w:r>
      <w:r>
        <w:rPr>
          <w:rFonts w:ascii="宋体" w:hAnsi="宋体" w:eastAsia="宋体" w:cs="宋体"/>
          <w:sz w:val="25"/>
          <w:szCs w:val="25"/>
        </w:rPr>
        <w:t xml:space="preserve"> </w:t>
      </w:r>
      <w:r>
        <w:rPr>
          <w:rFonts w:ascii="宋体" w:hAnsi="宋体" w:eastAsia="宋体" w:cs="宋体"/>
          <w:spacing w:val="21"/>
          <w:sz w:val="25"/>
          <w:szCs w:val="25"/>
        </w:rPr>
        <w:t>软件项目技术规范之间的关系。</w:t>
      </w:r>
    </w:p>
    <w:p w14:paraId="29DEA1E9">
      <w:pPr>
        <w:spacing w:before="2" w:line="274" w:lineRule="auto"/>
        <w:ind w:right="123" w:firstLine="560"/>
        <w:rPr>
          <w:rFonts w:ascii="宋体" w:hAnsi="宋体" w:eastAsia="宋体" w:cs="宋体"/>
          <w:sz w:val="27"/>
          <w:szCs w:val="27"/>
        </w:rPr>
      </w:pPr>
      <w:r>
        <w:rPr>
          <w:rFonts w:ascii="宋体" w:hAnsi="宋体" w:eastAsia="宋体" w:cs="宋体"/>
          <w:spacing w:val="5"/>
          <w:sz w:val="27"/>
          <w:szCs w:val="27"/>
        </w:rPr>
        <w:t>按照</w:t>
      </w:r>
      <w:r>
        <w:rPr>
          <w:rFonts w:ascii="Times New Roman" w:hAnsi="Times New Roman" w:eastAsia="Times New Roman" w:cs="Times New Roman"/>
          <w:sz w:val="27"/>
          <w:szCs w:val="27"/>
        </w:rPr>
        <w:t>GJB</w:t>
      </w:r>
      <w:r>
        <w:rPr>
          <w:rFonts w:ascii="Times New Roman" w:hAnsi="Times New Roman" w:eastAsia="Times New Roman" w:cs="Times New Roman"/>
          <w:spacing w:val="5"/>
          <w:sz w:val="27"/>
          <w:szCs w:val="27"/>
        </w:rPr>
        <w:t xml:space="preserve"> 6387—2008</w:t>
      </w:r>
      <w:r>
        <w:rPr>
          <w:rFonts w:ascii="宋体" w:hAnsi="宋体" w:eastAsia="宋体" w:cs="宋体"/>
          <w:spacing w:val="5"/>
          <w:sz w:val="27"/>
          <w:szCs w:val="27"/>
        </w:rPr>
        <w:t>《武器装备研制项目专用规范编写规定》编写</w:t>
      </w:r>
      <w:r>
        <w:rPr>
          <w:rFonts w:ascii="宋体" w:hAnsi="宋体" w:eastAsia="宋体" w:cs="宋体"/>
          <w:spacing w:val="4"/>
          <w:sz w:val="27"/>
          <w:szCs w:val="27"/>
        </w:rPr>
        <w:t>系统规</w:t>
      </w:r>
      <w:r>
        <w:rPr>
          <w:rFonts w:ascii="宋体" w:hAnsi="宋体" w:eastAsia="宋体" w:cs="宋体"/>
          <w:sz w:val="27"/>
          <w:szCs w:val="27"/>
        </w:rPr>
        <w:t xml:space="preserve"> </w:t>
      </w:r>
      <w:r>
        <w:rPr>
          <w:rFonts w:ascii="宋体" w:hAnsi="宋体" w:eastAsia="宋体" w:cs="宋体"/>
          <w:spacing w:val="-15"/>
          <w:sz w:val="27"/>
          <w:szCs w:val="27"/>
        </w:rPr>
        <w:t>范、研制规范、产品规范、工艺规范和材料规范。</w:t>
      </w:r>
    </w:p>
    <w:p w14:paraId="08644DAB">
      <w:pPr>
        <w:pStyle w:val="2"/>
        <w:spacing w:before="35" w:line="222" w:lineRule="auto"/>
        <w:rPr>
          <w:rFonts w:ascii="黑体" w:hAnsi="黑体" w:eastAsia="黑体" w:cs="黑体"/>
          <w:sz w:val="24"/>
          <w:szCs w:val="24"/>
        </w:rPr>
      </w:pPr>
      <w:r>
        <w:rPr>
          <w:spacing w:val="-2"/>
          <w:sz w:val="24"/>
          <w:szCs w:val="24"/>
        </w:rPr>
        <w:t xml:space="preserve">2.11      </w:t>
      </w:r>
      <w:r>
        <w:rPr>
          <w:rFonts w:ascii="黑体" w:hAnsi="黑体" w:eastAsia="黑体" w:cs="黑体"/>
          <w:spacing w:val="-2"/>
          <w:sz w:val="24"/>
          <w:szCs w:val="24"/>
        </w:rPr>
        <w:t>文</w:t>
      </w:r>
      <w:r>
        <w:rPr>
          <w:rFonts w:ascii="黑体" w:hAnsi="黑体" w:eastAsia="黑体" w:cs="黑体"/>
          <w:spacing w:val="-36"/>
          <w:sz w:val="24"/>
          <w:szCs w:val="24"/>
        </w:rPr>
        <w:t xml:space="preserve"> </w:t>
      </w:r>
      <w:r>
        <w:rPr>
          <w:rFonts w:ascii="黑体" w:hAnsi="黑体" w:eastAsia="黑体" w:cs="黑体"/>
          <w:spacing w:val="-2"/>
          <w:sz w:val="24"/>
          <w:szCs w:val="24"/>
        </w:rPr>
        <w:t>件</w:t>
      </w:r>
    </w:p>
    <w:p w14:paraId="74E0EE9E">
      <w:pPr>
        <w:spacing w:before="81" w:line="280" w:lineRule="auto"/>
        <w:ind w:right="122" w:firstLine="560"/>
        <w:jc w:val="both"/>
        <w:rPr>
          <w:rFonts w:ascii="宋体" w:hAnsi="宋体" w:eastAsia="宋体" w:cs="宋体"/>
          <w:sz w:val="27"/>
          <w:szCs w:val="27"/>
        </w:rPr>
      </w:pPr>
      <w:r>
        <w:rPr>
          <w:rFonts w:ascii="宋体" w:hAnsi="宋体" w:eastAsia="宋体" w:cs="宋体"/>
          <w:spacing w:val="-1"/>
          <w:sz w:val="27"/>
          <w:szCs w:val="27"/>
        </w:rPr>
        <w:t>按照</w:t>
      </w:r>
      <w:r>
        <w:rPr>
          <w:rFonts w:ascii="Times New Roman" w:hAnsi="Times New Roman" w:eastAsia="Times New Roman" w:cs="Times New Roman"/>
          <w:spacing w:val="-1"/>
          <w:sz w:val="27"/>
          <w:szCs w:val="27"/>
        </w:rPr>
        <w:t>GJB 2993—1997</w:t>
      </w:r>
      <w:r>
        <w:rPr>
          <w:rFonts w:ascii="宋体" w:hAnsi="宋体" w:eastAsia="宋体" w:cs="宋体"/>
          <w:spacing w:val="-1"/>
          <w:sz w:val="27"/>
          <w:szCs w:val="27"/>
        </w:rPr>
        <w:t>《武器装备研制项目</w:t>
      </w:r>
      <w:r>
        <w:rPr>
          <w:rFonts w:ascii="宋体" w:hAnsi="宋体" w:eastAsia="宋体" w:cs="宋体"/>
          <w:spacing w:val="-2"/>
          <w:sz w:val="27"/>
          <w:szCs w:val="27"/>
        </w:rPr>
        <w:t>管理》、</w:t>
      </w:r>
      <w:r>
        <w:rPr>
          <w:rFonts w:ascii="Times New Roman" w:hAnsi="Times New Roman" w:eastAsia="Times New Roman" w:cs="Times New Roman"/>
          <w:spacing w:val="-2"/>
          <w:sz w:val="27"/>
          <w:szCs w:val="27"/>
        </w:rPr>
        <w:t>GJB</w:t>
      </w:r>
      <w:r>
        <w:rPr>
          <w:rFonts w:ascii="Times New Roman" w:hAnsi="Times New Roman" w:eastAsia="Times New Roman" w:cs="Times New Roman"/>
          <w:spacing w:val="35"/>
          <w:sz w:val="27"/>
          <w:szCs w:val="27"/>
        </w:rPr>
        <w:t xml:space="preserve"> </w:t>
      </w:r>
      <w:r>
        <w:rPr>
          <w:rFonts w:ascii="Times New Roman" w:hAnsi="Times New Roman" w:eastAsia="Times New Roman" w:cs="Times New Roman"/>
          <w:spacing w:val="-2"/>
          <w:sz w:val="27"/>
          <w:szCs w:val="27"/>
        </w:rPr>
        <w:t>3206A—2010</w:t>
      </w:r>
      <w:r>
        <w:rPr>
          <w:rFonts w:ascii="宋体" w:hAnsi="宋体" w:eastAsia="宋体" w:cs="宋体"/>
          <w:spacing w:val="-2"/>
          <w:sz w:val="27"/>
          <w:szCs w:val="27"/>
        </w:rPr>
        <w:t>《技术</w:t>
      </w:r>
      <w:r>
        <w:rPr>
          <w:rFonts w:ascii="宋体" w:hAnsi="宋体" w:eastAsia="宋体" w:cs="宋体"/>
          <w:sz w:val="27"/>
          <w:szCs w:val="27"/>
        </w:rPr>
        <w:t xml:space="preserve"> </w:t>
      </w:r>
      <w:r>
        <w:rPr>
          <w:rFonts w:ascii="宋体" w:hAnsi="宋体" w:eastAsia="宋体" w:cs="宋体"/>
          <w:spacing w:val="4"/>
          <w:sz w:val="27"/>
          <w:szCs w:val="27"/>
        </w:rPr>
        <w:t>状态管理》、</w:t>
      </w:r>
      <w:r>
        <w:rPr>
          <w:rFonts w:ascii="Times New Roman" w:hAnsi="Times New Roman" w:eastAsia="Times New Roman" w:cs="Times New Roman"/>
          <w:sz w:val="27"/>
          <w:szCs w:val="27"/>
        </w:rPr>
        <w:t>GJB</w:t>
      </w:r>
      <w:r>
        <w:rPr>
          <w:rFonts w:ascii="Times New Roman" w:hAnsi="Times New Roman" w:eastAsia="Times New Roman" w:cs="Times New Roman"/>
          <w:spacing w:val="60"/>
          <w:sz w:val="27"/>
          <w:szCs w:val="27"/>
        </w:rPr>
        <w:t xml:space="preserve"> </w:t>
      </w:r>
      <w:r>
        <w:rPr>
          <w:rFonts w:ascii="Times New Roman" w:hAnsi="Times New Roman" w:eastAsia="Times New Roman" w:cs="Times New Roman"/>
          <w:spacing w:val="4"/>
          <w:sz w:val="27"/>
          <w:szCs w:val="27"/>
        </w:rPr>
        <w:t>6387—2008</w:t>
      </w:r>
      <w:r>
        <w:rPr>
          <w:rFonts w:ascii="宋体" w:hAnsi="宋体" w:eastAsia="宋体" w:cs="宋体"/>
          <w:spacing w:val="4"/>
          <w:sz w:val="27"/>
          <w:szCs w:val="27"/>
        </w:rPr>
        <w:t>《武器装备研制项目专用规范编</w:t>
      </w:r>
      <w:r>
        <w:rPr>
          <w:rFonts w:ascii="宋体" w:hAnsi="宋体" w:eastAsia="宋体" w:cs="宋体"/>
          <w:spacing w:val="3"/>
          <w:sz w:val="27"/>
          <w:szCs w:val="27"/>
        </w:rPr>
        <w:t>写规定》、</w:t>
      </w:r>
      <w:r>
        <w:rPr>
          <w:rFonts w:ascii="Times New Roman" w:hAnsi="Times New Roman" w:eastAsia="Times New Roman" w:cs="Times New Roman"/>
          <w:sz w:val="27"/>
          <w:szCs w:val="27"/>
        </w:rPr>
        <w:t xml:space="preserve">GJB  </w:t>
      </w:r>
      <w:r>
        <w:rPr>
          <w:rFonts w:ascii="宋体" w:hAnsi="宋体" w:eastAsia="宋体" w:cs="宋体"/>
          <w:spacing w:val="-3"/>
          <w:sz w:val="27"/>
          <w:szCs w:val="27"/>
        </w:rPr>
        <w:t>1362</w:t>
      </w:r>
      <w:r>
        <w:rPr>
          <w:rFonts w:ascii="Times New Roman" w:hAnsi="Times New Roman" w:eastAsia="Times New Roman" w:cs="Times New Roman"/>
          <w:spacing w:val="-3"/>
          <w:sz w:val="27"/>
          <w:szCs w:val="27"/>
        </w:rPr>
        <w:t>A—2007</w:t>
      </w:r>
      <w:r>
        <w:rPr>
          <w:rFonts w:ascii="宋体" w:hAnsi="宋体" w:eastAsia="宋体" w:cs="宋体"/>
          <w:spacing w:val="-3"/>
          <w:sz w:val="27"/>
          <w:szCs w:val="27"/>
        </w:rPr>
        <w:t>《军工产品定型程序和要求》,</w:t>
      </w:r>
      <w:r>
        <w:rPr>
          <w:rFonts w:ascii="Times New Roman" w:hAnsi="Times New Roman" w:eastAsia="Times New Roman" w:cs="Times New Roman"/>
          <w:spacing w:val="-3"/>
          <w:sz w:val="27"/>
          <w:szCs w:val="27"/>
        </w:rPr>
        <w:t>GJ</w:t>
      </w:r>
      <w:r>
        <w:rPr>
          <w:rFonts w:ascii="Times New Roman" w:hAnsi="Times New Roman" w:eastAsia="Times New Roman" w:cs="Times New Roman"/>
          <w:spacing w:val="-4"/>
          <w:sz w:val="27"/>
          <w:szCs w:val="27"/>
        </w:rPr>
        <w:t>B 5882—2006</w:t>
      </w:r>
      <w:r>
        <w:rPr>
          <w:rFonts w:ascii="宋体" w:hAnsi="宋体" w:eastAsia="宋体" w:cs="宋体"/>
          <w:spacing w:val="-4"/>
          <w:sz w:val="27"/>
          <w:szCs w:val="27"/>
        </w:rPr>
        <w:t>《产品技术文件分类</w:t>
      </w:r>
      <w:r>
        <w:rPr>
          <w:rFonts w:ascii="宋体" w:hAnsi="宋体" w:eastAsia="宋体" w:cs="宋体"/>
          <w:sz w:val="27"/>
          <w:szCs w:val="27"/>
        </w:rPr>
        <w:t xml:space="preserve"> </w:t>
      </w:r>
      <w:r>
        <w:rPr>
          <w:rFonts w:ascii="宋体" w:hAnsi="宋体" w:eastAsia="宋体" w:cs="宋体"/>
          <w:spacing w:val="-2"/>
          <w:sz w:val="27"/>
          <w:szCs w:val="27"/>
        </w:rPr>
        <w:t>与代码》、</w:t>
      </w:r>
      <w:r>
        <w:rPr>
          <w:rFonts w:ascii="Times New Roman" w:hAnsi="Times New Roman" w:eastAsia="Times New Roman" w:cs="Times New Roman"/>
          <w:spacing w:val="-2"/>
          <w:sz w:val="27"/>
          <w:szCs w:val="27"/>
        </w:rPr>
        <w:t>GJB 5881—2006</w:t>
      </w:r>
      <w:r>
        <w:rPr>
          <w:rFonts w:ascii="宋体" w:hAnsi="宋体" w:eastAsia="宋体" w:cs="宋体"/>
          <w:spacing w:val="-2"/>
          <w:sz w:val="27"/>
          <w:szCs w:val="27"/>
        </w:rPr>
        <w:t>《技术文件版</w:t>
      </w:r>
      <w:r>
        <w:rPr>
          <w:rFonts w:ascii="宋体" w:hAnsi="宋体" w:eastAsia="宋体" w:cs="宋体"/>
          <w:spacing w:val="-3"/>
          <w:sz w:val="27"/>
          <w:szCs w:val="27"/>
        </w:rPr>
        <w:t>本标识及管理要求》等要求和研制单位</w:t>
      </w:r>
      <w:r>
        <w:rPr>
          <w:rFonts w:ascii="宋体" w:hAnsi="宋体" w:eastAsia="宋体" w:cs="宋体"/>
          <w:sz w:val="27"/>
          <w:szCs w:val="27"/>
        </w:rPr>
        <w:t xml:space="preserve"> </w:t>
      </w:r>
      <w:r>
        <w:rPr>
          <w:rFonts w:ascii="宋体" w:hAnsi="宋体" w:eastAsia="宋体" w:cs="宋体"/>
          <w:spacing w:val="14"/>
          <w:sz w:val="27"/>
          <w:szCs w:val="27"/>
        </w:rPr>
        <w:t>有关技术文件管理规定，对产品研制过程中所有工作成果进行记录、上</w:t>
      </w:r>
      <w:r>
        <w:rPr>
          <w:rFonts w:ascii="宋体" w:hAnsi="宋体" w:eastAsia="宋体" w:cs="宋体"/>
          <w:spacing w:val="13"/>
          <w:sz w:val="27"/>
          <w:szCs w:val="27"/>
        </w:rPr>
        <w:t>报和</w:t>
      </w:r>
      <w:r>
        <w:rPr>
          <w:rFonts w:ascii="宋体" w:hAnsi="宋体" w:eastAsia="宋体" w:cs="宋体"/>
          <w:sz w:val="27"/>
          <w:szCs w:val="27"/>
        </w:rPr>
        <w:t xml:space="preserve"> </w:t>
      </w:r>
      <w:r>
        <w:rPr>
          <w:rFonts w:ascii="宋体" w:hAnsi="宋体" w:eastAsia="宋体" w:cs="宋体"/>
          <w:spacing w:val="-2"/>
          <w:sz w:val="27"/>
          <w:szCs w:val="27"/>
        </w:rPr>
        <w:t>归档。</w:t>
      </w:r>
    </w:p>
    <w:p w14:paraId="6E165955">
      <w:pPr>
        <w:spacing w:before="32" w:line="221" w:lineRule="auto"/>
        <w:rPr>
          <w:rFonts w:ascii="黑体" w:hAnsi="黑体" w:eastAsia="黑体" w:cs="黑体"/>
          <w:sz w:val="24"/>
          <w:szCs w:val="24"/>
        </w:rPr>
      </w:pPr>
      <w:r>
        <w:rPr>
          <w:rFonts w:ascii="黑体" w:hAnsi="黑体" w:eastAsia="黑体" w:cs="黑体"/>
          <w:spacing w:val="19"/>
          <w:sz w:val="24"/>
          <w:szCs w:val="24"/>
        </w:rPr>
        <w:t>2.12</w:t>
      </w:r>
      <w:r>
        <w:rPr>
          <w:rFonts w:ascii="黑体" w:hAnsi="黑体" w:eastAsia="黑体" w:cs="黑体"/>
          <w:spacing w:val="4"/>
          <w:sz w:val="24"/>
          <w:szCs w:val="24"/>
        </w:rPr>
        <w:t xml:space="preserve">   </w:t>
      </w:r>
      <w:r>
        <w:rPr>
          <w:rFonts w:ascii="黑体" w:hAnsi="黑体" w:eastAsia="黑体" w:cs="黑体"/>
          <w:spacing w:val="19"/>
          <w:sz w:val="24"/>
          <w:szCs w:val="24"/>
        </w:rPr>
        <w:t>系统工程工具</w:t>
      </w:r>
    </w:p>
    <w:p w14:paraId="3EE19611">
      <w:pPr>
        <w:spacing w:before="105" w:line="219" w:lineRule="auto"/>
        <w:ind w:left="560"/>
        <w:rPr>
          <w:rFonts w:ascii="宋体" w:hAnsi="宋体" w:eastAsia="宋体" w:cs="宋体"/>
          <w:sz w:val="27"/>
          <w:szCs w:val="27"/>
        </w:rPr>
      </w:pPr>
      <w:r>
        <w:rPr>
          <w:rFonts w:ascii="宋体" w:hAnsi="宋体" w:eastAsia="宋体" w:cs="宋体"/>
          <w:spacing w:val="4"/>
          <w:sz w:val="27"/>
          <w:szCs w:val="27"/>
        </w:rPr>
        <w:t>说明产品研制过程中拟采用的系统工程工具。</w:t>
      </w:r>
    </w:p>
    <w:p w14:paraId="45964479">
      <w:pPr>
        <w:pStyle w:val="2"/>
        <w:spacing w:before="51" w:line="368" w:lineRule="exact"/>
        <w:rPr>
          <w:rFonts w:ascii="黑体" w:hAnsi="黑体" w:eastAsia="黑体" w:cs="黑体"/>
          <w:sz w:val="27"/>
          <w:szCs w:val="27"/>
        </w:rPr>
      </w:pPr>
      <w:r>
        <w:rPr>
          <w:spacing w:val="2"/>
          <w:position w:val="1"/>
          <w:sz w:val="27"/>
          <w:szCs w:val="27"/>
        </w:rPr>
        <w:t xml:space="preserve">3    </w:t>
      </w:r>
      <w:r>
        <w:rPr>
          <w:rFonts w:ascii="黑体" w:hAnsi="黑体" w:eastAsia="黑体" w:cs="黑体"/>
          <w:spacing w:val="2"/>
          <w:position w:val="1"/>
          <w:sz w:val="27"/>
          <w:szCs w:val="27"/>
        </w:rPr>
        <w:t>工程专业/综合要求</w:t>
      </w:r>
    </w:p>
    <w:p w14:paraId="0A35137A">
      <w:pPr>
        <w:spacing w:before="80" w:line="222" w:lineRule="auto"/>
        <w:rPr>
          <w:rFonts w:ascii="黑体" w:hAnsi="黑体" w:eastAsia="黑体" w:cs="黑体"/>
          <w:sz w:val="27"/>
          <w:szCs w:val="27"/>
        </w:rPr>
      </w:pPr>
      <w:r>
        <w:rPr>
          <w:rFonts w:ascii="黑体" w:hAnsi="黑体" w:eastAsia="黑体" w:cs="黑体"/>
          <w:spacing w:val="1"/>
          <w:sz w:val="27"/>
          <w:szCs w:val="27"/>
        </w:rPr>
        <w:t>3.1</w:t>
      </w:r>
      <w:r>
        <w:rPr>
          <w:rFonts w:ascii="黑体" w:hAnsi="黑体" w:eastAsia="黑体" w:cs="黑体"/>
          <w:spacing w:val="27"/>
          <w:sz w:val="27"/>
          <w:szCs w:val="27"/>
        </w:rPr>
        <w:t xml:space="preserve">  </w:t>
      </w:r>
      <w:r>
        <w:rPr>
          <w:rFonts w:ascii="黑体" w:hAnsi="黑体" w:eastAsia="黑体" w:cs="黑体"/>
          <w:spacing w:val="1"/>
          <w:sz w:val="27"/>
          <w:szCs w:val="27"/>
        </w:rPr>
        <w:t>综合设计/计划</w:t>
      </w:r>
    </w:p>
    <w:p w14:paraId="1AD8DD61">
      <w:pPr>
        <w:spacing w:before="70" w:line="289" w:lineRule="auto"/>
        <w:ind w:right="117" w:firstLine="560"/>
        <w:rPr>
          <w:rFonts w:ascii="宋体" w:hAnsi="宋体" w:eastAsia="宋体" w:cs="宋体"/>
          <w:sz w:val="27"/>
          <w:szCs w:val="27"/>
        </w:rPr>
      </w:pPr>
      <w:r>
        <w:rPr>
          <w:rFonts w:ascii="宋体" w:hAnsi="宋体" w:eastAsia="宋体" w:cs="宋体"/>
          <w:spacing w:val="1"/>
          <w:sz w:val="27"/>
          <w:szCs w:val="27"/>
        </w:rPr>
        <w:t>规定3.1.1至3.1.12各工程专业的目的、活动定义、职责、进度和资源确定</w:t>
      </w:r>
      <w:r>
        <w:rPr>
          <w:rFonts w:ascii="宋体" w:hAnsi="宋体" w:eastAsia="宋体" w:cs="宋体"/>
          <w:spacing w:val="13"/>
          <w:sz w:val="27"/>
          <w:szCs w:val="27"/>
        </w:rPr>
        <w:t xml:space="preserve"> </w:t>
      </w:r>
      <w:r>
        <w:rPr>
          <w:rFonts w:ascii="宋体" w:hAnsi="宋体" w:eastAsia="宋体" w:cs="宋体"/>
          <w:spacing w:val="3"/>
          <w:sz w:val="27"/>
          <w:szCs w:val="27"/>
        </w:rPr>
        <w:t>等内容。</w:t>
      </w:r>
    </w:p>
    <w:p w14:paraId="0D6D7521">
      <w:pPr>
        <w:spacing w:line="289" w:lineRule="auto"/>
        <w:rPr>
          <w:rFonts w:ascii="宋体" w:hAnsi="宋体" w:eastAsia="宋体" w:cs="宋体"/>
          <w:sz w:val="27"/>
          <w:szCs w:val="27"/>
        </w:rPr>
        <w:sectPr>
          <w:footerReference r:id="rId65" w:type="default"/>
          <w:pgSz w:w="11910" w:h="17130"/>
          <w:pgMar w:top="400" w:right="944" w:bottom="1711" w:left="1460" w:header="0" w:footer="1397" w:gutter="0"/>
          <w:cols w:space="720" w:num="1"/>
        </w:sectPr>
      </w:pPr>
    </w:p>
    <w:p w14:paraId="122825BF">
      <w:pPr>
        <w:pStyle w:val="2"/>
        <w:spacing w:line="296" w:lineRule="auto"/>
      </w:pPr>
    </w:p>
    <w:p w14:paraId="2B81D750">
      <w:pPr>
        <w:pStyle w:val="2"/>
        <w:spacing w:line="296" w:lineRule="auto"/>
      </w:pPr>
    </w:p>
    <w:p w14:paraId="1230C07F">
      <w:pPr>
        <w:pStyle w:val="2"/>
        <w:spacing w:line="297" w:lineRule="auto"/>
      </w:pPr>
    </w:p>
    <w:p w14:paraId="67D29139">
      <w:pPr>
        <w:pStyle w:val="2"/>
        <w:spacing w:line="297" w:lineRule="auto"/>
      </w:pPr>
    </w:p>
    <w:p w14:paraId="15C79498">
      <w:pPr>
        <w:spacing w:before="88" w:line="220" w:lineRule="auto"/>
        <w:ind w:left="539"/>
        <w:rPr>
          <w:rFonts w:ascii="宋体" w:hAnsi="宋体" w:eastAsia="宋体" w:cs="宋体"/>
          <w:sz w:val="27"/>
          <w:szCs w:val="27"/>
        </w:rPr>
      </w:pPr>
      <w:bookmarkStart w:id="33" w:name="bookmark323"/>
      <w:bookmarkEnd w:id="33"/>
      <w:r>
        <w:rPr>
          <w:rFonts w:ascii="宋体" w:hAnsi="宋体" w:eastAsia="宋体" w:cs="宋体"/>
          <w:spacing w:val="-3"/>
          <w:sz w:val="27"/>
          <w:szCs w:val="27"/>
        </w:rPr>
        <w:t>目的：包括该专业的目的及其在系统工程过程中的作用范围。</w:t>
      </w:r>
    </w:p>
    <w:p w14:paraId="2CC294D4">
      <w:pPr>
        <w:spacing w:before="68" w:line="280" w:lineRule="auto"/>
        <w:ind w:right="10" w:firstLine="539"/>
        <w:rPr>
          <w:rFonts w:ascii="宋体" w:hAnsi="宋体" w:eastAsia="宋体" w:cs="宋体"/>
          <w:sz w:val="27"/>
          <w:szCs w:val="27"/>
        </w:rPr>
      </w:pPr>
      <w:r>
        <w:rPr>
          <w:rFonts w:ascii="宋体" w:hAnsi="宋体" w:eastAsia="宋体" w:cs="宋体"/>
          <w:spacing w:val="-3"/>
          <w:sz w:val="27"/>
          <w:szCs w:val="27"/>
        </w:rPr>
        <w:t>活动定义：对完成规定功能所需的全部任务、系统工程要求输入的内容、提</w:t>
      </w:r>
      <w:r>
        <w:rPr>
          <w:rFonts w:ascii="宋体" w:hAnsi="宋体" w:eastAsia="宋体" w:cs="宋体"/>
          <w:spacing w:val="9"/>
          <w:sz w:val="27"/>
          <w:szCs w:val="27"/>
        </w:rPr>
        <w:t xml:space="preserve"> </w:t>
      </w:r>
      <w:r>
        <w:rPr>
          <w:rFonts w:ascii="宋体" w:hAnsi="宋体" w:eastAsia="宋体" w:cs="宋体"/>
          <w:spacing w:val="3"/>
          <w:sz w:val="27"/>
          <w:szCs w:val="27"/>
        </w:rPr>
        <w:t>供给系统工程的预期成果等所做的概要说明。</w:t>
      </w:r>
    </w:p>
    <w:p w14:paraId="50911A40">
      <w:pPr>
        <w:spacing w:before="2" w:line="276" w:lineRule="auto"/>
        <w:ind w:right="1" w:firstLine="539"/>
        <w:rPr>
          <w:rFonts w:ascii="宋体" w:hAnsi="宋体" w:eastAsia="宋体" w:cs="宋体"/>
          <w:sz w:val="27"/>
          <w:szCs w:val="27"/>
        </w:rPr>
      </w:pPr>
      <w:r>
        <w:rPr>
          <w:rFonts w:ascii="宋体" w:hAnsi="宋体" w:eastAsia="宋体" w:cs="宋体"/>
          <w:spacing w:val="-3"/>
          <w:sz w:val="27"/>
          <w:szCs w:val="27"/>
        </w:rPr>
        <w:t>职责：确定所有保障这一活动的组织或被这一活动保障的组织，他们负责的</w:t>
      </w:r>
      <w:r>
        <w:rPr>
          <w:rFonts w:ascii="宋体" w:hAnsi="宋体" w:eastAsia="宋体" w:cs="宋体"/>
          <w:spacing w:val="18"/>
          <w:sz w:val="27"/>
          <w:szCs w:val="27"/>
        </w:rPr>
        <w:t xml:space="preserve"> </w:t>
      </w:r>
      <w:r>
        <w:rPr>
          <w:rFonts w:ascii="宋体" w:hAnsi="宋体" w:eastAsia="宋体" w:cs="宋体"/>
          <w:sz w:val="27"/>
          <w:szCs w:val="27"/>
        </w:rPr>
        <w:t>任务和权限，要特别强调系统工程组织和专业组织之间分析任务的分工。</w:t>
      </w:r>
    </w:p>
    <w:p w14:paraId="3841519F">
      <w:pPr>
        <w:spacing w:before="2" w:line="286" w:lineRule="auto"/>
        <w:ind w:right="4" w:firstLine="539"/>
        <w:rPr>
          <w:rFonts w:ascii="宋体" w:hAnsi="宋体" w:eastAsia="宋体" w:cs="宋体"/>
          <w:sz w:val="27"/>
          <w:szCs w:val="27"/>
        </w:rPr>
      </w:pPr>
      <w:r>
        <w:rPr>
          <w:rFonts w:ascii="宋体" w:hAnsi="宋体" w:eastAsia="宋体" w:cs="宋体"/>
          <w:spacing w:val="-3"/>
          <w:sz w:val="27"/>
          <w:szCs w:val="27"/>
        </w:rPr>
        <w:t>进度：与系统研制、设计的主要里程碑和从系统工程过程中各保障组织指定</w:t>
      </w:r>
      <w:r>
        <w:rPr>
          <w:rFonts w:ascii="宋体" w:hAnsi="宋体" w:eastAsia="宋体" w:cs="宋体"/>
          <w:spacing w:val="15"/>
          <w:sz w:val="27"/>
          <w:szCs w:val="27"/>
        </w:rPr>
        <w:t xml:space="preserve"> </w:t>
      </w:r>
      <w:r>
        <w:rPr>
          <w:rFonts w:ascii="宋体" w:hAnsi="宋体" w:eastAsia="宋体" w:cs="宋体"/>
          <w:spacing w:val="4"/>
          <w:sz w:val="27"/>
          <w:szCs w:val="27"/>
        </w:rPr>
        <w:t>输入有关的全部工作任务的时间和顺序。</w:t>
      </w:r>
    </w:p>
    <w:p w14:paraId="535B586E">
      <w:pPr>
        <w:spacing w:line="290" w:lineRule="auto"/>
        <w:ind w:right="17" w:firstLine="539"/>
        <w:rPr>
          <w:rFonts w:ascii="宋体" w:hAnsi="宋体" w:eastAsia="宋体" w:cs="宋体"/>
          <w:sz w:val="27"/>
          <w:szCs w:val="27"/>
        </w:rPr>
      </w:pPr>
      <w:r>
        <w:rPr>
          <w:rFonts w:ascii="宋体" w:hAnsi="宋体" w:eastAsia="宋体" w:cs="宋体"/>
          <w:spacing w:val="-3"/>
          <w:sz w:val="27"/>
          <w:szCs w:val="27"/>
        </w:rPr>
        <w:t>资源确定：确定为了按进度完成工程任务，从本专业的角度出发，对整个系</w:t>
      </w:r>
      <w:r>
        <w:rPr>
          <w:rFonts w:ascii="宋体" w:hAnsi="宋体" w:eastAsia="宋体" w:cs="宋体"/>
          <w:spacing w:val="3"/>
          <w:sz w:val="27"/>
          <w:szCs w:val="27"/>
        </w:rPr>
        <w:t xml:space="preserve"> </w:t>
      </w:r>
      <w:r>
        <w:rPr>
          <w:rFonts w:ascii="宋体" w:hAnsi="宋体" w:eastAsia="宋体" w:cs="宋体"/>
          <w:spacing w:val="-6"/>
          <w:sz w:val="27"/>
          <w:szCs w:val="27"/>
        </w:rPr>
        <w:t>统工程过程提供保障所需要的具体硬件、软件、人员和设施。</w:t>
      </w:r>
    </w:p>
    <w:p w14:paraId="4E4B833C">
      <w:pPr>
        <w:spacing w:before="1" w:line="221" w:lineRule="auto"/>
        <w:rPr>
          <w:rFonts w:ascii="黑体" w:hAnsi="黑体" w:eastAsia="黑体" w:cs="黑体"/>
          <w:sz w:val="24"/>
          <w:szCs w:val="24"/>
        </w:rPr>
      </w:pPr>
      <w:r>
        <w:rPr>
          <w:rFonts w:ascii="黑体" w:hAnsi="黑体" w:eastAsia="黑体" w:cs="黑体"/>
          <w:spacing w:val="-5"/>
          <w:sz w:val="24"/>
          <w:szCs w:val="24"/>
        </w:rPr>
        <w:t>3.1.1</w:t>
      </w:r>
      <w:r>
        <w:rPr>
          <w:rFonts w:ascii="黑体" w:hAnsi="黑体" w:eastAsia="黑体" w:cs="黑体"/>
          <w:spacing w:val="7"/>
          <w:sz w:val="24"/>
          <w:szCs w:val="24"/>
        </w:rPr>
        <w:t xml:space="preserve">   </w:t>
      </w:r>
      <w:r>
        <w:rPr>
          <w:rFonts w:ascii="黑体" w:hAnsi="黑体" w:eastAsia="黑体" w:cs="黑体"/>
          <w:spacing w:val="-5"/>
          <w:sz w:val="24"/>
          <w:szCs w:val="24"/>
        </w:rPr>
        <w:t>可</w:t>
      </w:r>
      <w:r>
        <w:rPr>
          <w:rFonts w:ascii="黑体" w:hAnsi="黑体" w:eastAsia="黑体" w:cs="黑体"/>
          <w:spacing w:val="-47"/>
          <w:sz w:val="24"/>
          <w:szCs w:val="24"/>
        </w:rPr>
        <w:t xml:space="preserve"> </w:t>
      </w:r>
      <w:r>
        <w:rPr>
          <w:rFonts w:ascii="黑体" w:hAnsi="黑体" w:eastAsia="黑体" w:cs="黑体"/>
          <w:spacing w:val="-5"/>
          <w:sz w:val="24"/>
          <w:szCs w:val="24"/>
        </w:rPr>
        <w:t>靠</w:t>
      </w:r>
      <w:r>
        <w:rPr>
          <w:rFonts w:ascii="黑体" w:hAnsi="黑体" w:eastAsia="黑体" w:cs="黑体"/>
          <w:spacing w:val="-52"/>
          <w:sz w:val="24"/>
          <w:szCs w:val="24"/>
        </w:rPr>
        <w:t xml:space="preserve"> </w:t>
      </w:r>
      <w:r>
        <w:rPr>
          <w:rFonts w:ascii="黑体" w:hAnsi="黑体" w:eastAsia="黑体" w:cs="黑体"/>
          <w:spacing w:val="-5"/>
          <w:sz w:val="24"/>
          <w:szCs w:val="24"/>
        </w:rPr>
        <w:t>性</w:t>
      </w:r>
    </w:p>
    <w:p w14:paraId="32456393">
      <w:pPr>
        <w:spacing w:before="124" w:line="295" w:lineRule="auto"/>
        <w:ind w:right="5" w:firstLine="539"/>
        <w:jc w:val="both"/>
        <w:rPr>
          <w:rFonts w:ascii="宋体" w:hAnsi="宋体" w:eastAsia="宋体" w:cs="宋体"/>
          <w:sz w:val="25"/>
          <w:szCs w:val="25"/>
        </w:rPr>
      </w:pPr>
      <w:r>
        <w:rPr>
          <w:rFonts w:ascii="宋体" w:hAnsi="宋体" w:eastAsia="宋体" w:cs="宋体"/>
          <w:spacing w:val="17"/>
          <w:sz w:val="25"/>
          <w:szCs w:val="25"/>
        </w:rPr>
        <w:t>依据研制总要求和研制合同要求，按照</w:t>
      </w:r>
      <w:r>
        <w:rPr>
          <w:rFonts w:ascii="Times New Roman" w:hAnsi="Times New Roman" w:eastAsia="Times New Roman" w:cs="Times New Roman"/>
          <w:sz w:val="25"/>
          <w:szCs w:val="25"/>
        </w:rPr>
        <w:t>GJB</w:t>
      </w:r>
      <w:r>
        <w:rPr>
          <w:rFonts w:ascii="Times New Roman" w:hAnsi="Times New Roman" w:eastAsia="Times New Roman" w:cs="Times New Roman"/>
          <w:spacing w:val="17"/>
          <w:sz w:val="25"/>
          <w:szCs w:val="25"/>
        </w:rPr>
        <w:t xml:space="preserve">   450A—2004</w:t>
      </w:r>
      <w:r>
        <w:rPr>
          <w:rFonts w:ascii="宋体" w:hAnsi="宋体" w:eastAsia="宋体" w:cs="宋体"/>
          <w:spacing w:val="17"/>
          <w:sz w:val="25"/>
          <w:szCs w:val="25"/>
        </w:rPr>
        <w:t>《装备可靠性工作</w:t>
      </w:r>
      <w:r>
        <w:rPr>
          <w:rFonts w:ascii="宋体" w:hAnsi="宋体" w:eastAsia="宋体" w:cs="宋体"/>
          <w:spacing w:val="8"/>
          <w:sz w:val="25"/>
          <w:szCs w:val="25"/>
        </w:rPr>
        <w:t xml:space="preserve"> </w:t>
      </w:r>
      <w:r>
        <w:rPr>
          <w:rFonts w:ascii="宋体" w:hAnsi="宋体" w:eastAsia="宋体" w:cs="宋体"/>
          <w:spacing w:val="21"/>
          <w:sz w:val="25"/>
          <w:szCs w:val="25"/>
        </w:rPr>
        <w:t>通用要求》,规定可靠性工程专业的目的、活动定义、职责、进度和资源确定等</w:t>
      </w:r>
      <w:r>
        <w:rPr>
          <w:rFonts w:ascii="宋体" w:hAnsi="宋体" w:eastAsia="宋体" w:cs="宋体"/>
          <w:sz w:val="25"/>
          <w:szCs w:val="25"/>
        </w:rPr>
        <w:t xml:space="preserve"> </w:t>
      </w:r>
      <w:r>
        <w:rPr>
          <w:rFonts w:ascii="宋体" w:hAnsi="宋体" w:eastAsia="宋体" w:cs="宋体"/>
          <w:spacing w:val="1"/>
          <w:sz w:val="25"/>
          <w:szCs w:val="25"/>
        </w:rPr>
        <w:t>内容。</w:t>
      </w:r>
    </w:p>
    <w:p w14:paraId="4694DFF9">
      <w:pPr>
        <w:spacing w:before="1" w:line="221" w:lineRule="auto"/>
        <w:rPr>
          <w:rFonts w:ascii="黑体" w:hAnsi="黑体" w:eastAsia="黑体" w:cs="黑体"/>
          <w:sz w:val="25"/>
          <w:szCs w:val="25"/>
        </w:rPr>
      </w:pPr>
      <w:r>
        <w:rPr>
          <w:rFonts w:ascii="黑体" w:hAnsi="黑体" w:eastAsia="黑体" w:cs="黑体"/>
          <w:spacing w:val="8"/>
          <w:sz w:val="25"/>
          <w:szCs w:val="25"/>
        </w:rPr>
        <w:t>3.1.2</w:t>
      </w:r>
      <w:r>
        <w:rPr>
          <w:rFonts w:ascii="黑体" w:hAnsi="黑体" w:eastAsia="黑体" w:cs="黑体"/>
          <w:spacing w:val="52"/>
          <w:sz w:val="25"/>
          <w:szCs w:val="25"/>
        </w:rPr>
        <w:t xml:space="preserve">  </w:t>
      </w:r>
      <w:r>
        <w:rPr>
          <w:rFonts w:ascii="黑体" w:hAnsi="黑体" w:eastAsia="黑体" w:cs="黑体"/>
          <w:spacing w:val="8"/>
          <w:sz w:val="25"/>
          <w:szCs w:val="25"/>
        </w:rPr>
        <w:t>维修性</w:t>
      </w:r>
    </w:p>
    <w:p w14:paraId="1A83F28D">
      <w:pPr>
        <w:spacing w:before="100" w:line="282" w:lineRule="auto"/>
        <w:ind w:firstLine="539"/>
        <w:jc w:val="both"/>
        <w:rPr>
          <w:rFonts w:ascii="宋体" w:hAnsi="宋体" w:eastAsia="宋体" w:cs="宋体"/>
          <w:sz w:val="27"/>
          <w:szCs w:val="27"/>
        </w:rPr>
      </w:pPr>
      <w:r>
        <w:rPr>
          <w:rFonts w:ascii="宋体" w:hAnsi="宋体" w:eastAsia="宋体" w:cs="宋体"/>
          <w:spacing w:val="4"/>
          <w:sz w:val="27"/>
          <w:szCs w:val="27"/>
        </w:rPr>
        <w:t>依据研制总要求和研制合同要求，按照</w:t>
      </w:r>
      <w:r>
        <w:rPr>
          <w:rFonts w:ascii="Times New Roman" w:hAnsi="Times New Roman" w:eastAsia="Times New Roman" w:cs="Times New Roman"/>
          <w:sz w:val="27"/>
          <w:szCs w:val="27"/>
        </w:rPr>
        <w:t>GJB</w:t>
      </w:r>
      <w:r>
        <w:rPr>
          <w:rFonts w:ascii="Times New Roman" w:hAnsi="Times New Roman" w:eastAsia="Times New Roman" w:cs="Times New Roman"/>
          <w:spacing w:val="4"/>
          <w:sz w:val="27"/>
          <w:szCs w:val="27"/>
        </w:rPr>
        <w:t xml:space="preserve"> 368B—2009</w:t>
      </w:r>
      <w:r>
        <w:rPr>
          <w:rFonts w:ascii="宋体" w:hAnsi="宋体" w:eastAsia="宋体" w:cs="宋体"/>
          <w:spacing w:val="4"/>
          <w:sz w:val="27"/>
          <w:szCs w:val="27"/>
        </w:rPr>
        <w:t>《</w:t>
      </w:r>
      <w:r>
        <w:rPr>
          <w:rFonts w:ascii="宋体" w:hAnsi="宋体" w:eastAsia="宋体" w:cs="宋体"/>
          <w:spacing w:val="3"/>
          <w:sz w:val="27"/>
          <w:szCs w:val="27"/>
        </w:rPr>
        <w:t>装备维修性工作</w:t>
      </w:r>
      <w:r>
        <w:rPr>
          <w:rFonts w:ascii="宋体" w:hAnsi="宋体" w:eastAsia="宋体" w:cs="宋体"/>
          <w:sz w:val="27"/>
          <w:szCs w:val="27"/>
        </w:rPr>
        <w:t xml:space="preserve"> </w:t>
      </w:r>
      <w:r>
        <w:rPr>
          <w:rFonts w:ascii="宋体" w:hAnsi="宋体" w:eastAsia="宋体" w:cs="宋体"/>
          <w:spacing w:val="3"/>
          <w:sz w:val="27"/>
          <w:szCs w:val="27"/>
        </w:rPr>
        <w:t>通用要求》和</w:t>
      </w:r>
      <w:r>
        <w:rPr>
          <w:rFonts w:ascii="Times New Roman" w:hAnsi="Times New Roman" w:eastAsia="Times New Roman" w:cs="Times New Roman"/>
          <w:sz w:val="27"/>
          <w:szCs w:val="27"/>
        </w:rPr>
        <w:t>GJB</w:t>
      </w:r>
      <w:r>
        <w:rPr>
          <w:rFonts w:ascii="Times New Roman" w:hAnsi="Times New Roman" w:eastAsia="Times New Roman" w:cs="Times New Roman"/>
          <w:spacing w:val="3"/>
          <w:sz w:val="27"/>
          <w:szCs w:val="27"/>
        </w:rPr>
        <w:t xml:space="preserve"> 2547A—2011</w:t>
      </w:r>
      <w:r>
        <w:rPr>
          <w:rFonts w:ascii="宋体" w:hAnsi="宋体" w:eastAsia="宋体" w:cs="宋体"/>
          <w:spacing w:val="3"/>
          <w:sz w:val="27"/>
          <w:szCs w:val="27"/>
        </w:rPr>
        <w:t>《装备测试性工作通用要求》,规定维修性和测</w:t>
      </w:r>
      <w:r>
        <w:rPr>
          <w:rFonts w:ascii="宋体" w:hAnsi="宋体" w:eastAsia="宋体" w:cs="宋体"/>
          <w:spacing w:val="9"/>
          <w:sz w:val="27"/>
          <w:szCs w:val="27"/>
        </w:rPr>
        <w:t xml:space="preserve"> </w:t>
      </w:r>
      <w:r>
        <w:rPr>
          <w:rFonts w:ascii="宋体" w:hAnsi="宋体" w:eastAsia="宋体" w:cs="宋体"/>
          <w:spacing w:val="-9"/>
          <w:sz w:val="27"/>
          <w:szCs w:val="27"/>
        </w:rPr>
        <w:t>试性工程专业的目的、活动定义、职责、进度和资源</w:t>
      </w:r>
      <w:r>
        <w:rPr>
          <w:rFonts w:ascii="宋体" w:hAnsi="宋体" w:eastAsia="宋体" w:cs="宋体"/>
          <w:spacing w:val="-10"/>
          <w:sz w:val="27"/>
          <w:szCs w:val="27"/>
        </w:rPr>
        <w:t>确定等内容。</w:t>
      </w:r>
    </w:p>
    <w:p w14:paraId="0F991747">
      <w:pPr>
        <w:spacing w:before="1" w:line="222" w:lineRule="auto"/>
        <w:rPr>
          <w:rFonts w:ascii="黑体" w:hAnsi="黑体" w:eastAsia="黑体" w:cs="黑体"/>
          <w:sz w:val="24"/>
          <w:szCs w:val="24"/>
        </w:rPr>
      </w:pPr>
      <w:r>
        <w:rPr>
          <w:rFonts w:ascii="黑体" w:hAnsi="黑体" w:eastAsia="黑体" w:cs="黑体"/>
          <w:spacing w:val="13"/>
          <w:sz w:val="24"/>
          <w:szCs w:val="24"/>
        </w:rPr>
        <w:t>3.1.3</w:t>
      </w:r>
      <w:r>
        <w:rPr>
          <w:rFonts w:ascii="黑体" w:hAnsi="黑体" w:eastAsia="黑体" w:cs="黑体"/>
          <w:spacing w:val="6"/>
          <w:sz w:val="24"/>
          <w:szCs w:val="24"/>
        </w:rPr>
        <w:t xml:space="preserve">   </w:t>
      </w:r>
      <w:r>
        <w:rPr>
          <w:rFonts w:ascii="黑体" w:hAnsi="黑体" w:eastAsia="黑体" w:cs="黑体"/>
          <w:spacing w:val="13"/>
          <w:sz w:val="24"/>
          <w:szCs w:val="24"/>
        </w:rPr>
        <w:t>人机工程</w:t>
      </w:r>
    </w:p>
    <w:p w14:paraId="22E61D9B">
      <w:pPr>
        <w:spacing w:before="94" w:line="282" w:lineRule="auto"/>
        <w:ind w:right="9" w:firstLine="539"/>
        <w:jc w:val="both"/>
        <w:rPr>
          <w:rFonts w:ascii="宋体" w:hAnsi="宋体" w:eastAsia="宋体" w:cs="宋体"/>
          <w:sz w:val="27"/>
          <w:szCs w:val="27"/>
        </w:rPr>
      </w:pPr>
      <w:r>
        <w:rPr>
          <w:rFonts w:ascii="宋体" w:hAnsi="宋体" w:eastAsia="宋体" w:cs="宋体"/>
          <w:spacing w:val="5"/>
          <w:sz w:val="27"/>
          <w:szCs w:val="27"/>
        </w:rPr>
        <w:t>依据研制总要求和研制合同要求，按照</w:t>
      </w:r>
      <w:r>
        <w:rPr>
          <w:rFonts w:ascii="Times New Roman" w:hAnsi="Times New Roman" w:eastAsia="Times New Roman" w:cs="Times New Roman"/>
          <w:sz w:val="27"/>
          <w:szCs w:val="27"/>
        </w:rPr>
        <w:t>GJB</w:t>
      </w:r>
      <w:r>
        <w:rPr>
          <w:rFonts w:ascii="Times New Roman" w:hAnsi="Times New Roman" w:eastAsia="Times New Roman" w:cs="Times New Roman"/>
          <w:spacing w:val="5"/>
          <w:sz w:val="27"/>
          <w:szCs w:val="27"/>
        </w:rPr>
        <w:t xml:space="preserve"> 3207—1998</w:t>
      </w:r>
      <w:r>
        <w:rPr>
          <w:rFonts w:ascii="宋体" w:hAnsi="宋体" w:eastAsia="宋体" w:cs="宋体"/>
          <w:spacing w:val="5"/>
          <w:sz w:val="27"/>
          <w:szCs w:val="27"/>
        </w:rPr>
        <w:t>《军事装备和</w:t>
      </w:r>
      <w:r>
        <w:rPr>
          <w:rFonts w:ascii="宋体" w:hAnsi="宋体" w:eastAsia="宋体" w:cs="宋体"/>
          <w:spacing w:val="4"/>
          <w:sz w:val="27"/>
          <w:szCs w:val="27"/>
        </w:rPr>
        <w:t>设施</w:t>
      </w:r>
      <w:r>
        <w:rPr>
          <w:rFonts w:ascii="宋体" w:hAnsi="宋体" w:eastAsia="宋体" w:cs="宋体"/>
          <w:sz w:val="27"/>
          <w:szCs w:val="27"/>
        </w:rPr>
        <w:t xml:space="preserve"> </w:t>
      </w:r>
      <w:r>
        <w:rPr>
          <w:rFonts w:ascii="宋体" w:hAnsi="宋体" w:eastAsia="宋体" w:cs="宋体"/>
          <w:spacing w:val="-3"/>
          <w:sz w:val="27"/>
          <w:szCs w:val="27"/>
        </w:rPr>
        <w:t>的人机工程要求》和</w:t>
      </w:r>
      <w:r>
        <w:rPr>
          <w:rFonts w:ascii="Times New Roman" w:hAnsi="Times New Roman" w:eastAsia="Times New Roman" w:cs="Times New Roman"/>
          <w:spacing w:val="-3"/>
          <w:sz w:val="27"/>
          <w:szCs w:val="27"/>
        </w:rPr>
        <w:t>GJB/Z  134—2002</w:t>
      </w:r>
      <w:r>
        <w:rPr>
          <w:rFonts w:ascii="宋体" w:hAnsi="宋体" w:eastAsia="宋体" w:cs="宋体"/>
          <w:spacing w:val="-3"/>
          <w:sz w:val="27"/>
          <w:szCs w:val="27"/>
        </w:rPr>
        <w:t>《人机工程实施程序指南》,规</w:t>
      </w:r>
      <w:r>
        <w:rPr>
          <w:rFonts w:ascii="宋体" w:hAnsi="宋体" w:eastAsia="宋体" w:cs="宋体"/>
          <w:spacing w:val="-4"/>
          <w:sz w:val="27"/>
          <w:szCs w:val="27"/>
        </w:rPr>
        <w:t>定人机工程</w:t>
      </w:r>
      <w:r>
        <w:rPr>
          <w:rFonts w:ascii="宋体" w:hAnsi="宋体" w:eastAsia="宋体" w:cs="宋体"/>
          <w:sz w:val="27"/>
          <w:szCs w:val="27"/>
        </w:rPr>
        <w:t xml:space="preserve"> </w:t>
      </w:r>
      <w:r>
        <w:rPr>
          <w:rFonts w:ascii="宋体" w:hAnsi="宋体" w:eastAsia="宋体" w:cs="宋体"/>
          <w:spacing w:val="-12"/>
          <w:sz w:val="27"/>
          <w:szCs w:val="27"/>
        </w:rPr>
        <w:t>专业的目的、活动定义、职责、进度和资源确定等内容。</w:t>
      </w:r>
    </w:p>
    <w:p w14:paraId="7422046B">
      <w:pPr>
        <w:spacing w:before="3" w:line="223" w:lineRule="auto"/>
        <w:rPr>
          <w:rFonts w:ascii="黑体" w:hAnsi="黑体" w:eastAsia="黑体" w:cs="黑体"/>
          <w:sz w:val="25"/>
          <w:szCs w:val="25"/>
        </w:rPr>
      </w:pPr>
      <w:r>
        <w:rPr>
          <w:rFonts w:ascii="黑体" w:hAnsi="黑体" w:eastAsia="黑体" w:cs="黑体"/>
          <w:spacing w:val="8"/>
          <w:sz w:val="25"/>
          <w:szCs w:val="25"/>
        </w:rPr>
        <w:t>3.1.4</w:t>
      </w:r>
      <w:r>
        <w:rPr>
          <w:rFonts w:ascii="黑体" w:hAnsi="黑体" w:eastAsia="黑体" w:cs="黑体"/>
          <w:spacing w:val="52"/>
          <w:sz w:val="25"/>
          <w:szCs w:val="25"/>
        </w:rPr>
        <w:t xml:space="preserve">  </w:t>
      </w:r>
      <w:r>
        <w:rPr>
          <w:rFonts w:ascii="黑体" w:hAnsi="黑体" w:eastAsia="黑体" w:cs="黑体"/>
          <w:spacing w:val="8"/>
          <w:sz w:val="25"/>
          <w:szCs w:val="25"/>
        </w:rPr>
        <w:t>安全性</w:t>
      </w:r>
    </w:p>
    <w:p w14:paraId="5B953248">
      <w:pPr>
        <w:spacing w:before="108" w:line="276" w:lineRule="auto"/>
        <w:ind w:right="9" w:firstLine="539"/>
        <w:rPr>
          <w:rFonts w:ascii="宋体" w:hAnsi="宋体" w:eastAsia="宋体" w:cs="宋体"/>
          <w:sz w:val="27"/>
          <w:szCs w:val="27"/>
        </w:rPr>
      </w:pPr>
      <w:r>
        <w:rPr>
          <w:rFonts w:ascii="宋体" w:hAnsi="宋体" w:eastAsia="宋体" w:cs="宋体"/>
          <w:spacing w:val="-2"/>
          <w:sz w:val="27"/>
          <w:szCs w:val="27"/>
        </w:rPr>
        <w:t>依据研制总要求和研制合同要求，</w:t>
      </w:r>
      <w:r>
        <w:rPr>
          <w:rFonts w:ascii="仿宋" w:hAnsi="仿宋" w:eastAsia="仿宋" w:cs="仿宋"/>
          <w:spacing w:val="-2"/>
          <w:sz w:val="27"/>
          <w:szCs w:val="27"/>
        </w:rPr>
        <w:t>按</w:t>
      </w:r>
      <w:r>
        <w:rPr>
          <w:rFonts w:ascii="仿宋" w:hAnsi="仿宋" w:eastAsia="仿宋" w:cs="仿宋"/>
          <w:spacing w:val="-20"/>
          <w:sz w:val="27"/>
          <w:szCs w:val="27"/>
        </w:rPr>
        <w:t xml:space="preserve"> </w:t>
      </w:r>
      <w:r>
        <w:rPr>
          <w:rFonts w:ascii="仿宋" w:hAnsi="仿宋" w:eastAsia="仿宋" w:cs="仿宋"/>
          <w:spacing w:val="-2"/>
          <w:sz w:val="27"/>
          <w:szCs w:val="27"/>
        </w:rPr>
        <w:t>照</w:t>
      </w:r>
      <w:r>
        <w:rPr>
          <w:rFonts w:ascii="Times New Roman" w:hAnsi="Times New Roman" w:eastAsia="Times New Roman" w:cs="Times New Roman"/>
          <w:spacing w:val="-2"/>
          <w:sz w:val="27"/>
          <w:szCs w:val="27"/>
        </w:rPr>
        <w:t>GJB 900—1990</w:t>
      </w:r>
      <w:r>
        <w:rPr>
          <w:rFonts w:ascii="宋体" w:hAnsi="宋体" w:eastAsia="宋体" w:cs="宋体"/>
          <w:spacing w:val="-2"/>
          <w:sz w:val="27"/>
          <w:szCs w:val="27"/>
        </w:rPr>
        <w:t>《系统安全性通用大</w:t>
      </w:r>
      <w:r>
        <w:rPr>
          <w:rFonts w:ascii="宋体" w:hAnsi="宋体" w:eastAsia="宋体" w:cs="宋体"/>
          <w:sz w:val="27"/>
          <w:szCs w:val="27"/>
        </w:rPr>
        <w:t xml:space="preserve"> </w:t>
      </w:r>
      <w:r>
        <w:rPr>
          <w:rFonts w:ascii="宋体" w:hAnsi="宋体" w:eastAsia="宋体" w:cs="宋体"/>
          <w:spacing w:val="-11"/>
          <w:sz w:val="27"/>
          <w:szCs w:val="27"/>
        </w:rPr>
        <w:t>纲》,规定安全性工程专业的目的、活动定义、职责、进度和资源确定等内容。</w:t>
      </w:r>
    </w:p>
    <w:p w14:paraId="746FD81C">
      <w:pPr>
        <w:spacing w:before="13" w:line="224" w:lineRule="auto"/>
        <w:rPr>
          <w:rFonts w:ascii="黑体" w:hAnsi="黑体" w:eastAsia="黑体" w:cs="黑体"/>
          <w:sz w:val="25"/>
          <w:szCs w:val="25"/>
        </w:rPr>
      </w:pPr>
      <w:r>
        <w:rPr>
          <w:rFonts w:ascii="黑体" w:hAnsi="黑体" w:eastAsia="黑体" w:cs="黑体"/>
          <w:spacing w:val="7"/>
          <w:sz w:val="25"/>
          <w:szCs w:val="25"/>
        </w:rPr>
        <w:t>3.1.5</w:t>
      </w:r>
      <w:r>
        <w:rPr>
          <w:rFonts w:ascii="黑体" w:hAnsi="黑体" w:eastAsia="黑体" w:cs="黑体"/>
          <w:spacing w:val="53"/>
          <w:sz w:val="25"/>
          <w:szCs w:val="25"/>
        </w:rPr>
        <w:t xml:space="preserve">  </w:t>
      </w:r>
      <w:r>
        <w:rPr>
          <w:rFonts w:ascii="黑体" w:hAnsi="黑体" w:eastAsia="黑体" w:cs="黑体"/>
          <w:spacing w:val="7"/>
          <w:sz w:val="25"/>
          <w:szCs w:val="25"/>
        </w:rPr>
        <w:t>标准化</w:t>
      </w:r>
    </w:p>
    <w:p w14:paraId="328D492A">
      <w:pPr>
        <w:spacing w:before="96" w:line="278" w:lineRule="auto"/>
        <w:ind w:right="1" w:firstLine="539"/>
        <w:jc w:val="both"/>
        <w:rPr>
          <w:rFonts w:ascii="宋体" w:hAnsi="宋体" w:eastAsia="宋体" w:cs="宋体"/>
          <w:sz w:val="27"/>
          <w:szCs w:val="27"/>
        </w:rPr>
      </w:pPr>
      <w:r>
        <w:rPr>
          <w:rFonts w:ascii="宋体" w:hAnsi="宋体" w:eastAsia="宋体" w:cs="宋体"/>
          <w:spacing w:val="6"/>
          <w:sz w:val="27"/>
          <w:szCs w:val="27"/>
        </w:rPr>
        <w:t>依据研制总要求和研制合同要求，按照《武器</w:t>
      </w:r>
      <w:r>
        <w:rPr>
          <w:rFonts w:ascii="宋体" w:hAnsi="宋体" w:eastAsia="宋体" w:cs="宋体"/>
          <w:spacing w:val="5"/>
          <w:sz w:val="27"/>
          <w:szCs w:val="27"/>
        </w:rPr>
        <w:t>装备研制生产标准化工作规</w:t>
      </w:r>
      <w:r>
        <w:rPr>
          <w:rFonts w:ascii="宋体" w:hAnsi="宋体" w:eastAsia="宋体" w:cs="宋体"/>
          <w:sz w:val="27"/>
          <w:szCs w:val="27"/>
        </w:rPr>
        <w:t xml:space="preserve"> </w:t>
      </w:r>
      <w:r>
        <w:rPr>
          <w:rFonts w:ascii="宋体" w:hAnsi="宋体" w:eastAsia="宋体" w:cs="宋体"/>
          <w:spacing w:val="-1"/>
          <w:sz w:val="27"/>
          <w:szCs w:val="27"/>
        </w:rPr>
        <w:t>定》和</w:t>
      </w:r>
      <w:r>
        <w:rPr>
          <w:rFonts w:ascii="Times New Roman" w:hAnsi="Times New Roman" w:eastAsia="Times New Roman" w:cs="Times New Roman"/>
          <w:spacing w:val="-1"/>
          <w:sz w:val="27"/>
          <w:szCs w:val="27"/>
        </w:rPr>
        <w:t>GJB/Z114A—2005</w:t>
      </w:r>
      <w:r>
        <w:rPr>
          <w:rFonts w:ascii="宋体" w:hAnsi="宋体" w:eastAsia="宋体" w:cs="宋体"/>
          <w:spacing w:val="-1"/>
          <w:sz w:val="27"/>
          <w:szCs w:val="27"/>
        </w:rPr>
        <w:t>《 产品标准化大纲编制指南》,规</w:t>
      </w:r>
      <w:r>
        <w:rPr>
          <w:rFonts w:ascii="宋体" w:hAnsi="宋体" w:eastAsia="宋体" w:cs="宋体"/>
          <w:spacing w:val="-2"/>
          <w:sz w:val="27"/>
          <w:szCs w:val="27"/>
        </w:rPr>
        <w:t>定标准化工程专业的</w:t>
      </w:r>
      <w:r>
        <w:rPr>
          <w:rFonts w:ascii="宋体" w:hAnsi="宋体" w:eastAsia="宋体" w:cs="宋体"/>
          <w:sz w:val="27"/>
          <w:szCs w:val="27"/>
        </w:rPr>
        <w:t xml:space="preserve"> </w:t>
      </w:r>
      <w:r>
        <w:rPr>
          <w:rFonts w:ascii="宋体" w:hAnsi="宋体" w:eastAsia="宋体" w:cs="宋体"/>
          <w:spacing w:val="-16"/>
          <w:sz w:val="27"/>
          <w:szCs w:val="27"/>
        </w:rPr>
        <w:t>目的、活动定义、职责、进度和资源确定等内容。</w:t>
      </w:r>
    </w:p>
    <w:p w14:paraId="2BD92B68">
      <w:pPr>
        <w:spacing w:before="1" w:line="221" w:lineRule="auto"/>
        <w:rPr>
          <w:rFonts w:ascii="黑体" w:hAnsi="黑体" w:eastAsia="黑体" w:cs="黑体"/>
          <w:sz w:val="27"/>
          <w:szCs w:val="27"/>
        </w:rPr>
      </w:pPr>
      <w:r>
        <w:rPr>
          <w:rFonts w:ascii="黑体" w:hAnsi="黑体" w:eastAsia="黑体" w:cs="黑体"/>
          <w:sz w:val="27"/>
          <w:szCs w:val="27"/>
        </w:rPr>
        <w:t>3.1.6</w:t>
      </w:r>
      <w:r>
        <w:rPr>
          <w:rFonts w:ascii="黑体" w:hAnsi="黑体" w:eastAsia="黑体" w:cs="黑体"/>
          <w:spacing w:val="27"/>
          <w:sz w:val="27"/>
          <w:szCs w:val="27"/>
        </w:rPr>
        <w:t xml:space="preserve">  </w:t>
      </w:r>
      <w:r>
        <w:rPr>
          <w:rFonts w:ascii="黑体" w:hAnsi="黑体" w:eastAsia="黑体" w:cs="黑体"/>
          <w:sz w:val="27"/>
          <w:szCs w:val="27"/>
        </w:rPr>
        <w:t>生存性/易损性</w:t>
      </w:r>
    </w:p>
    <w:p w14:paraId="158D4D57">
      <w:pPr>
        <w:spacing w:before="96" w:line="279" w:lineRule="auto"/>
        <w:ind w:right="6" w:firstLine="539"/>
        <w:jc w:val="both"/>
        <w:rPr>
          <w:rFonts w:ascii="宋体" w:hAnsi="宋体" w:eastAsia="宋体" w:cs="宋体"/>
          <w:sz w:val="27"/>
          <w:szCs w:val="27"/>
        </w:rPr>
      </w:pPr>
      <w:r>
        <w:rPr>
          <w:rFonts w:ascii="宋体" w:hAnsi="宋体" w:eastAsia="宋体" w:cs="宋体"/>
          <w:spacing w:val="-3"/>
          <w:sz w:val="27"/>
          <w:szCs w:val="27"/>
        </w:rPr>
        <w:t>军用系统易于受到地面或空间自然环境的损害，也易于被敌方地面部队、飞</w:t>
      </w:r>
      <w:r>
        <w:rPr>
          <w:rFonts w:ascii="宋体" w:hAnsi="宋体" w:eastAsia="宋体" w:cs="宋体"/>
          <w:spacing w:val="13"/>
          <w:sz w:val="27"/>
          <w:szCs w:val="27"/>
        </w:rPr>
        <w:t xml:space="preserve"> </w:t>
      </w:r>
      <w:r>
        <w:rPr>
          <w:rFonts w:ascii="宋体" w:hAnsi="宋体" w:eastAsia="宋体" w:cs="宋体"/>
          <w:spacing w:val="5"/>
          <w:sz w:val="27"/>
          <w:szCs w:val="27"/>
        </w:rPr>
        <w:t>机或核武器所损害。生存性和易损性工程专家从论证阶段就要分析和评价这些</w:t>
      </w:r>
      <w:r>
        <w:rPr>
          <w:rFonts w:ascii="宋体" w:hAnsi="宋体" w:eastAsia="宋体" w:cs="宋体"/>
          <w:spacing w:val="12"/>
          <w:sz w:val="27"/>
          <w:szCs w:val="27"/>
        </w:rPr>
        <w:t xml:space="preserve"> </w:t>
      </w:r>
      <w:r>
        <w:rPr>
          <w:rFonts w:ascii="宋体" w:hAnsi="宋体" w:eastAsia="宋体" w:cs="宋体"/>
          <w:spacing w:val="5"/>
          <w:sz w:val="27"/>
          <w:szCs w:val="27"/>
        </w:rPr>
        <w:t>自然的和人为的威胁，以确定满足系统生存性要求的设计途径和</w:t>
      </w:r>
      <w:r>
        <w:rPr>
          <w:rFonts w:ascii="宋体" w:hAnsi="宋体" w:eastAsia="宋体" w:cs="宋体"/>
          <w:spacing w:val="4"/>
          <w:sz w:val="27"/>
          <w:szCs w:val="27"/>
        </w:rPr>
        <w:t>方法。应当依</w:t>
      </w:r>
      <w:r>
        <w:rPr>
          <w:rFonts w:ascii="宋体" w:hAnsi="宋体" w:eastAsia="宋体" w:cs="宋体"/>
          <w:sz w:val="27"/>
          <w:szCs w:val="27"/>
        </w:rPr>
        <w:t xml:space="preserve"> </w:t>
      </w:r>
      <w:r>
        <w:rPr>
          <w:rFonts w:ascii="宋体" w:hAnsi="宋体" w:eastAsia="宋体" w:cs="宋体"/>
          <w:spacing w:val="-3"/>
          <w:sz w:val="27"/>
          <w:szCs w:val="27"/>
        </w:rPr>
        <w:t>据元器件和原材料的承受能力、防护手段、系统结构、功能和控制等方面的情况</w:t>
      </w:r>
      <w:r>
        <w:rPr>
          <w:rFonts w:ascii="宋体" w:hAnsi="宋体" w:eastAsia="宋体" w:cs="宋体"/>
          <w:spacing w:val="15"/>
          <w:sz w:val="27"/>
          <w:szCs w:val="27"/>
        </w:rPr>
        <w:t xml:space="preserve"> </w:t>
      </w:r>
      <w:r>
        <w:rPr>
          <w:rFonts w:ascii="宋体" w:hAnsi="宋体" w:eastAsia="宋体" w:cs="宋体"/>
          <w:spacing w:val="-3"/>
          <w:sz w:val="27"/>
          <w:szCs w:val="27"/>
        </w:rPr>
        <w:t>来分析系统的易损性，并对备选方案的易损性进行评估，以得出减少易损性和改</w:t>
      </w:r>
    </w:p>
    <w:p w14:paraId="18F9B5D5">
      <w:pPr>
        <w:spacing w:line="279" w:lineRule="auto"/>
        <w:rPr>
          <w:rFonts w:ascii="宋体" w:hAnsi="宋体" w:eastAsia="宋体" w:cs="宋体"/>
          <w:sz w:val="27"/>
          <w:szCs w:val="27"/>
        </w:rPr>
        <w:sectPr>
          <w:footerReference r:id="rId66" w:type="default"/>
          <w:pgSz w:w="11910" w:h="17130"/>
          <w:pgMar w:top="400" w:right="1387" w:bottom="1517" w:left="1150" w:header="0" w:footer="1300" w:gutter="0"/>
          <w:cols w:space="720" w:num="1"/>
        </w:sectPr>
      </w:pPr>
    </w:p>
    <w:p w14:paraId="1258C9CB">
      <w:pPr>
        <w:pStyle w:val="2"/>
        <w:spacing w:line="274" w:lineRule="auto"/>
      </w:pPr>
    </w:p>
    <w:p w14:paraId="562B54FE">
      <w:pPr>
        <w:pStyle w:val="2"/>
        <w:spacing w:line="274" w:lineRule="auto"/>
      </w:pPr>
    </w:p>
    <w:p w14:paraId="43E6927C">
      <w:pPr>
        <w:pStyle w:val="2"/>
        <w:spacing w:line="274" w:lineRule="auto"/>
      </w:pPr>
    </w:p>
    <w:p w14:paraId="25BCAED1">
      <w:pPr>
        <w:pStyle w:val="2"/>
        <w:spacing w:line="274" w:lineRule="auto"/>
      </w:pPr>
    </w:p>
    <w:p w14:paraId="35457474">
      <w:pPr>
        <w:spacing w:before="88" w:line="219" w:lineRule="auto"/>
        <w:rPr>
          <w:rFonts w:ascii="宋体" w:hAnsi="宋体" w:eastAsia="宋体" w:cs="宋体"/>
          <w:sz w:val="27"/>
          <w:szCs w:val="27"/>
        </w:rPr>
      </w:pPr>
      <w:r>
        <w:rPr>
          <w:rFonts w:ascii="宋体" w:hAnsi="宋体" w:eastAsia="宋体" w:cs="宋体"/>
          <w:spacing w:val="2"/>
          <w:sz w:val="27"/>
          <w:szCs w:val="27"/>
        </w:rPr>
        <w:t>进生存性所需的设计准则。</w:t>
      </w:r>
    </w:p>
    <w:p w14:paraId="13990122">
      <w:pPr>
        <w:spacing w:before="58" w:line="278" w:lineRule="auto"/>
        <w:ind w:right="36" w:firstLine="580"/>
        <w:jc w:val="both"/>
        <w:rPr>
          <w:rFonts w:ascii="宋体" w:hAnsi="宋体" w:eastAsia="宋体" w:cs="宋体"/>
          <w:sz w:val="27"/>
          <w:szCs w:val="27"/>
        </w:rPr>
      </w:pPr>
      <w:r>
        <w:rPr>
          <w:rFonts w:ascii="宋体" w:hAnsi="宋体" w:eastAsia="宋体" w:cs="宋体"/>
          <w:spacing w:val="5"/>
          <w:sz w:val="27"/>
          <w:szCs w:val="27"/>
        </w:rPr>
        <w:t>另一个与系统生存性有关的问题是电磁脉冲，电</w:t>
      </w:r>
      <w:r>
        <w:rPr>
          <w:rFonts w:ascii="宋体" w:hAnsi="宋体" w:eastAsia="宋体" w:cs="宋体"/>
          <w:spacing w:val="4"/>
          <w:sz w:val="27"/>
          <w:szCs w:val="27"/>
        </w:rPr>
        <w:t>磁脉冲是无线电射频能量</w:t>
      </w:r>
      <w:r>
        <w:rPr>
          <w:rFonts w:ascii="宋体" w:hAnsi="宋体" w:eastAsia="宋体" w:cs="宋体"/>
          <w:sz w:val="27"/>
          <w:szCs w:val="27"/>
        </w:rPr>
        <w:t xml:space="preserve"> </w:t>
      </w:r>
      <w:r>
        <w:rPr>
          <w:rFonts w:ascii="宋体" w:hAnsi="宋体" w:eastAsia="宋体" w:cs="宋体"/>
          <w:spacing w:val="-2"/>
          <w:sz w:val="27"/>
          <w:szCs w:val="27"/>
        </w:rPr>
        <w:t>的一种爆发，其影响范围取决于相对于观察点的</w:t>
      </w:r>
      <w:r>
        <w:rPr>
          <w:rFonts w:ascii="宋体" w:hAnsi="宋体" w:eastAsia="宋体" w:cs="宋体"/>
          <w:spacing w:val="-3"/>
          <w:sz w:val="27"/>
          <w:szCs w:val="27"/>
        </w:rPr>
        <w:t>高度和位置，电磁脉冲在核加固</w:t>
      </w:r>
      <w:r>
        <w:rPr>
          <w:rFonts w:ascii="宋体" w:hAnsi="宋体" w:eastAsia="宋体" w:cs="宋体"/>
          <w:sz w:val="27"/>
          <w:szCs w:val="27"/>
        </w:rPr>
        <w:t xml:space="preserve"> 计划中必须考虑，见3.1.8。</w:t>
      </w:r>
    </w:p>
    <w:p w14:paraId="4BEB764D">
      <w:pPr>
        <w:spacing w:before="18" w:line="222" w:lineRule="auto"/>
        <w:rPr>
          <w:rFonts w:ascii="黑体" w:hAnsi="黑体" w:eastAsia="黑体" w:cs="黑体"/>
          <w:sz w:val="25"/>
          <w:szCs w:val="25"/>
        </w:rPr>
      </w:pPr>
      <w:r>
        <w:rPr>
          <w:rFonts w:ascii="黑体" w:hAnsi="黑体" w:eastAsia="黑体" w:cs="黑体"/>
          <w:spacing w:val="15"/>
          <w:sz w:val="25"/>
          <w:szCs w:val="25"/>
        </w:rPr>
        <w:t>3.1.7</w:t>
      </w:r>
      <w:r>
        <w:rPr>
          <w:rFonts w:ascii="黑体" w:hAnsi="黑体" w:eastAsia="黑体" w:cs="黑体"/>
          <w:spacing w:val="64"/>
          <w:sz w:val="25"/>
          <w:szCs w:val="25"/>
        </w:rPr>
        <w:t xml:space="preserve">  </w:t>
      </w:r>
      <w:r>
        <w:rPr>
          <w:rFonts w:ascii="黑体" w:hAnsi="黑体" w:eastAsia="黑体" w:cs="黑体"/>
          <w:spacing w:val="15"/>
          <w:sz w:val="25"/>
          <w:szCs w:val="25"/>
        </w:rPr>
        <w:t>电磁兼容性/电磁干扰</w:t>
      </w:r>
    </w:p>
    <w:p w14:paraId="2EFF0E4E">
      <w:pPr>
        <w:spacing w:before="86" w:line="272" w:lineRule="auto"/>
        <w:ind w:firstLine="580"/>
        <w:jc w:val="both"/>
        <w:rPr>
          <w:rFonts w:ascii="宋体" w:hAnsi="宋体" w:eastAsia="宋体" w:cs="宋体"/>
          <w:sz w:val="27"/>
          <w:szCs w:val="27"/>
        </w:rPr>
      </w:pPr>
      <w:r>
        <w:rPr>
          <w:rFonts w:ascii="宋体" w:hAnsi="宋体" w:eastAsia="宋体" w:cs="宋体"/>
          <w:spacing w:val="2"/>
          <w:sz w:val="27"/>
          <w:szCs w:val="27"/>
        </w:rPr>
        <w:t>依据研制总要求和研制合同要求，</w:t>
      </w:r>
      <w:r>
        <w:rPr>
          <w:rFonts w:ascii="仿宋" w:hAnsi="仿宋" w:eastAsia="仿宋" w:cs="仿宋"/>
          <w:spacing w:val="2"/>
          <w:sz w:val="27"/>
          <w:szCs w:val="27"/>
        </w:rPr>
        <w:t>按</w:t>
      </w:r>
      <w:r>
        <w:rPr>
          <w:rFonts w:ascii="仿宋" w:hAnsi="仿宋" w:eastAsia="仿宋" w:cs="仿宋"/>
          <w:spacing w:val="-16"/>
          <w:sz w:val="27"/>
          <w:szCs w:val="27"/>
        </w:rPr>
        <w:t xml:space="preserve"> </w:t>
      </w:r>
      <w:r>
        <w:rPr>
          <w:rFonts w:ascii="仿宋" w:hAnsi="仿宋" w:eastAsia="仿宋" w:cs="仿宋"/>
          <w:spacing w:val="2"/>
          <w:sz w:val="27"/>
          <w:szCs w:val="27"/>
        </w:rPr>
        <w:t>照</w:t>
      </w:r>
      <w:r>
        <w:rPr>
          <w:rFonts w:ascii="Times New Roman" w:hAnsi="Times New Roman" w:eastAsia="Times New Roman" w:cs="Times New Roman"/>
          <w:sz w:val="27"/>
          <w:szCs w:val="27"/>
        </w:rPr>
        <w:t>GJB</w:t>
      </w:r>
      <w:r>
        <w:rPr>
          <w:rFonts w:ascii="Times New Roman" w:hAnsi="Times New Roman" w:eastAsia="Times New Roman" w:cs="Times New Roman"/>
          <w:spacing w:val="66"/>
          <w:sz w:val="27"/>
          <w:szCs w:val="27"/>
        </w:rPr>
        <w:t xml:space="preserve"> </w:t>
      </w:r>
      <w:r>
        <w:rPr>
          <w:rFonts w:ascii="Times New Roman" w:hAnsi="Times New Roman" w:eastAsia="Times New Roman" w:cs="Times New Roman"/>
          <w:spacing w:val="2"/>
          <w:sz w:val="27"/>
          <w:szCs w:val="27"/>
        </w:rPr>
        <w:t>1389A—2005</w:t>
      </w:r>
      <w:r>
        <w:rPr>
          <w:rFonts w:ascii="宋体" w:hAnsi="宋体" w:eastAsia="宋体" w:cs="宋体"/>
          <w:spacing w:val="2"/>
          <w:sz w:val="27"/>
          <w:szCs w:val="27"/>
        </w:rPr>
        <w:t>《</w:t>
      </w:r>
      <w:r>
        <w:rPr>
          <w:rFonts w:ascii="仿宋" w:hAnsi="仿宋" w:eastAsia="仿宋" w:cs="仿宋"/>
          <w:spacing w:val="2"/>
          <w:sz w:val="27"/>
          <w:szCs w:val="27"/>
        </w:rPr>
        <w:t>系统电磁兼容</w:t>
      </w:r>
      <w:r>
        <w:rPr>
          <w:rFonts w:ascii="仿宋" w:hAnsi="仿宋" w:eastAsia="仿宋" w:cs="仿宋"/>
          <w:sz w:val="27"/>
          <w:szCs w:val="27"/>
        </w:rPr>
        <w:t xml:space="preserve"> </w:t>
      </w:r>
      <w:r>
        <w:rPr>
          <w:rFonts w:ascii="宋体" w:hAnsi="宋体" w:eastAsia="宋体" w:cs="宋体"/>
          <w:spacing w:val="-3"/>
          <w:sz w:val="27"/>
          <w:szCs w:val="27"/>
        </w:rPr>
        <w:t>性要求》和</w:t>
      </w:r>
      <w:r>
        <w:rPr>
          <w:rFonts w:ascii="Times New Roman" w:hAnsi="Times New Roman" w:eastAsia="Times New Roman" w:cs="Times New Roman"/>
          <w:spacing w:val="-3"/>
          <w:sz w:val="27"/>
          <w:szCs w:val="27"/>
        </w:rPr>
        <w:t>GJB/Z</w:t>
      </w:r>
      <w:r>
        <w:rPr>
          <w:rFonts w:ascii="Times New Roman" w:hAnsi="Times New Roman" w:eastAsia="Times New Roman" w:cs="Times New Roman"/>
          <w:spacing w:val="61"/>
          <w:sz w:val="27"/>
          <w:szCs w:val="27"/>
        </w:rPr>
        <w:t xml:space="preserve"> </w:t>
      </w:r>
      <w:r>
        <w:rPr>
          <w:rFonts w:ascii="Times New Roman" w:hAnsi="Times New Roman" w:eastAsia="Times New Roman" w:cs="Times New Roman"/>
          <w:spacing w:val="-3"/>
          <w:sz w:val="27"/>
          <w:szCs w:val="27"/>
        </w:rPr>
        <w:t>17—1991</w:t>
      </w:r>
      <w:r>
        <w:rPr>
          <w:rFonts w:ascii="宋体" w:hAnsi="宋体" w:eastAsia="宋体" w:cs="宋体"/>
          <w:spacing w:val="-3"/>
          <w:sz w:val="27"/>
          <w:szCs w:val="27"/>
        </w:rPr>
        <w:t>《军用装备电磁兼容性管理指南》等，规</w:t>
      </w:r>
      <w:r>
        <w:rPr>
          <w:rFonts w:ascii="宋体" w:hAnsi="宋体" w:eastAsia="宋体" w:cs="宋体"/>
          <w:spacing w:val="-4"/>
          <w:sz w:val="27"/>
          <w:szCs w:val="27"/>
        </w:rPr>
        <w:t>定电磁兼容</w:t>
      </w:r>
      <w:r>
        <w:rPr>
          <w:rFonts w:ascii="宋体" w:hAnsi="宋体" w:eastAsia="宋体" w:cs="宋体"/>
          <w:sz w:val="27"/>
          <w:szCs w:val="27"/>
        </w:rPr>
        <w:t xml:space="preserve"> </w:t>
      </w:r>
      <w:r>
        <w:rPr>
          <w:rFonts w:ascii="宋体" w:hAnsi="宋体" w:eastAsia="宋体" w:cs="宋体"/>
          <w:spacing w:val="-7"/>
          <w:sz w:val="27"/>
          <w:szCs w:val="27"/>
        </w:rPr>
        <w:t>性/电磁干扰工程专业的目的、活动定义、职</w:t>
      </w:r>
      <w:r>
        <w:rPr>
          <w:rFonts w:ascii="宋体" w:hAnsi="宋体" w:eastAsia="宋体" w:cs="宋体"/>
          <w:spacing w:val="-8"/>
          <w:sz w:val="27"/>
          <w:szCs w:val="27"/>
        </w:rPr>
        <w:t>责、进度和资源确定等内容。</w:t>
      </w:r>
    </w:p>
    <w:p w14:paraId="3086B694">
      <w:pPr>
        <w:spacing w:before="29" w:line="221" w:lineRule="auto"/>
        <w:rPr>
          <w:rFonts w:ascii="黑体" w:hAnsi="黑体" w:eastAsia="黑体" w:cs="黑体"/>
          <w:sz w:val="27"/>
          <w:szCs w:val="27"/>
        </w:rPr>
      </w:pPr>
      <w:r>
        <w:rPr>
          <w:rFonts w:ascii="黑体" w:hAnsi="黑体" w:eastAsia="黑体" w:cs="黑体"/>
          <w:sz w:val="27"/>
          <w:szCs w:val="27"/>
        </w:rPr>
        <w:t>3.1.8</w:t>
      </w:r>
      <w:r>
        <w:rPr>
          <w:rFonts w:ascii="黑体" w:hAnsi="黑体" w:eastAsia="黑体" w:cs="黑体"/>
          <w:spacing w:val="31"/>
          <w:sz w:val="27"/>
          <w:szCs w:val="27"/>
        </w:rPr>
        <w:t xml:space="preserve">  </w:t>
      </w:r>
      <w:r>
        <w:rPr>
          <w:rFonts w:ascii="黑体" w:hAnsi="黑体" w:eastAsia="黑体" w:cs="黑体"/>
          <w:sz w:val="27"/>
          <w:szCs w:val="27"/>
        </w:rPr>
        <w:t>电磁脉冲防护</w:t>
      </w:r>
    </w:p>
    <w:p w14:paraId="49A1F822">
      <w:pPr>
        <w:spacing w:before="84" w:line="276" w:lineRule="auto"/>
        <w:ind w:firstLine="580"/>
        <w:jc w:val="both"/>
        <w:rPr>
          <w:rFonts w:ascii="宋体" w:hAnsi="宋体" w:eastAsia="宋体" w:cs="宋体"/>
          <w:sz w:val="27"/>
          <w:szCs w:val="27"/>
        </w:rPr>
      </w:pPr>
      <w:r>
        <w:rPr>
          <w:rFonts w:ascii="宋体" w:hAnsi="宋体" w:eastAsia="宋体" w:cs="宋体"/>
          <w:spacing w:val="3"/>
          <w:sz w:val="27"/>
          <w:szCs w:val="27"/>
        </w:rPr>
        <w:t>依据研制总要求和研制合同要求，</w:t>
      </w:r>
      <w:r>
        <w:rPr>
          <w:rFonts w:ascii="仿宋" w:hAnsi="仿宋" w:eastAsia="仿宋" w:cs="仿宋"/>
          <w:spacing w:val="3"/>
          <w:sz w:val="27"/>
          <w:szCs w:val="27"/>
        </w:rPr>
        <w:t>按</w:t>
      </w:r>
      <w:r>
        <w:rPr>
          <w:rFonts w:ascii="仿宋" w:hAnsi="仿宋" w:eastAsia="仿宋" w:cs="仿宋"/>
          <w:spacing w:val="-27"/>
          <w:sz w:val="27"/>
          <w:szCs w:val="27"/>
        </w:rPr>
        <w:t xml:space="preserve"> </w:t>
      </w:r>
      <w:r>
        <w:rPr>
          <w:rFonts w:ascii="仿宋" w:hAnsi="仿宋" w:eastAsia="仿宋" w:cs="仿宋"/>
          <w:spacing w:val="3"/>
          <w:sz w:val="27"/>
          <w:szCs w:val="27"/>
        </w:rPr>
        <w:t>照</w:t>
      </w:r>
      <w:r>
        <w:rPr>
          <w:rFonts w:ascii="Times New Roman" w:hAnsi="Times New Roman" w:eastAsia="Times New Roman" w:cs="Times New Roman"/>
          <w:sz w:val="27"/>
          <w:szCs w:val="27"/>
        </w:rPr>
        <w:t>GJB</w:t>
      </w:r>
      <w:r>
        <w:rPr>
          <w:rFonts w:ascii="Times New Roman" w:hAnsi="Times New Roman" w:eastAsia="Times New Roman" w:cs="Times New Roman"/>
          <w:spacing w:val="56"/>
          <w:sz w:val="27"/>
          <w:szCs w:val="27"/>
        </w:rPr>
        <w:t xml:space="preserve"> </w:t>
      </w:r>
      <w:r>
        <w:rPr>
          <w:rFonts w:ascii="Times New Roman" w:hAnsi="Times New Roman" w:eastAsia="Times New Roman" w:cs="Times New Roman"/>
          <w:spacing w:val="3"/>
          <w:sz w:val="27"/>
          <w:szCs w:val="27"/>
        </w:rPr>
        <w:t>1389</w:t>
      </w:r>
      <w:r>
        <w:rPr>
          <w:rFonts w:ascii="Times New Roman" w:hAnsi="Times New Roman" w:eastAsia="Times New Roman" w:cs="Times New Roman"/>
          <w:spacing w:val="2"/>
          <w:sz w:val="27"/>
          <w:szCs w:val="27"/>
        </w:rPr>
        <w:t>A—2005</w:t>
      </w:r>
      <w:r>
        <w:rPr>
          <w:rFonts w:ascii="宋体" w:hAnsi="宋体" w:eastAsia="宋体" w:cs="宋体"/>
          <w:spacing w:val="2"/>
          <w:sz w:val="27"/>
          <w:szCs w:val="27"/>
        </w:rPr>
        <w:t>《</w:t>
      </w:r>
      <w:r>
        <w:rPr>
          <w:rFonts w:ascii="仿宋" w:hAnsi="仿宋" w:eastAsia="仿宋" w:cs="仿宋"/>
          <w:spacing w:val="2"/>
          <w:sz w:val="27"/>
          <w:szCs w:val="27"/>
        </w:rPr>
        <w:t>系统电磁兼容</w:t>
      </w:r>
      <w:r>
        <w:rPr>
          <w:rFonts w:ascii="仿宋" w:hAnsi="仿宋" w:eastAsia="仿宋" w:cs="仿宋"/>
          <w:sz w:val="27"/>
          <w:szCs w:val="27"/>
        </w:rPr>
        <w:t xml:space="preserve"> </w:t>
      </w:r>
      <w:r>
        <w:rPr>
          <w:rFonts w:ascii="宋体" w:hAnsi="宋体" w:eastAsia="宋体" w:cs="宋体"/>
          <w:spacing w:val="-10"/>
          <w:sz w:val="27"/>
          <w:szCs w:val="27"/>
        </w:rPr>
        <w:t>性要求》等，规定电磁脉冲防护工程专业的目的、活动定义、职责、进度和资源确</w:t>
      </w:r>
      <w:r>
        <w:rPr>
          <w:rFonts w:ascii="宋体" w:hAnsi="宋体" w:eastAsia="宋体" w:cs="宋体"/>
          <w:sz w:val="27"/>
          <w:szCs w:val="27"/>
        </w:rPr>
        <w:t xml:space="preserve"> </w:t>
      </w:r>
      <w:r>
        <w:rPr>
          <w:rFonts w:ascii="宋体" w:hAnsi="宋体" w:eastAsia="宋体" w:cs="宋体"/>
          <w:spacing w:val="2"/>
          <w:sz w:val="27"/>
          <w:szCs w:val="27"/>
        </w:rPr>
        <w:t>定等内容。</w:t>
      </w:r>
    </w:p>
    <w:p w14:paraId="6AF7A774">
      <w:pPr>
        <w:spacing w:before="3" w:line="222" w:lineRule="auto"/>
        <w:rPr>
          <w:rFonts w:ascii="黑体" w:hAnsi="黑体" w:eastAsia="黑体" w:cs="黑体"/>
          <w:sz w:val="27"/>
          <w:szCs w:val="27"/>
        </w:rPr>
      </w:pPr>
      <w:r>
        <w:rPr>
          <w:rFonts w:ascii="黑体" w:hAnsi="黑体" w:eastAsia="黑体" w:cs="黑体"/>
          <w:spacing w:val="-2"/>
          <w:sz w:val="27"/>
          <w:szCs w:val="27"/>
        </w:rPr>
        <w:t>3.1.9</w:t>
      </w:r>
      <w:r>
        <w:rPr>
          <w:rFonts w:ascii="黑体" w:hAnsi="黑体" w:eastAsia="黑体" w:cs="黑体"/>
          <w:spacing w:val="29"/>
          <w:sz w:val="27"/>
          <w:szCs w:val="27"/>
        </w:rPr>
        <w:t xml:space="preserve">  </w:t>
      </w:r>
      <w:r>
        <w:rPr>
          <w:rFonts w:ascii="黑体" w:hAnsi="黑体" w:eastAsia="黑体" w:cs="黑体"/>
          <w:spacing w:val="-2"/>
          <w:sz w:val="27"/>
          <w:szCs w:val="27"/>
        </w:rPr>
        <w:t>综合后勤保障</w:t>
      </w:r>
    </w:p>
    <w:p w14:paraId="622ED207">
      <w:pPr>
        <w:spacing w:before="75" w:line="287" w:lineRule="auto"/>
        <w:ind w:right="6" w:firstLine="580"/>
        <w:jc w:val="both"/>
        <w:rPr>
          <w:rFonts w:ascii="宋体" w:hAnsi="宋体" w:eastAsia="宋体" w:cs="宋体"/>
          <w:sz w:val="27"/>
          <w:szCs w:val="27"/>
        </w:rPr>
      </w:pPr>
      <w:r>
        <w:rPr>
          <w:rFonts w:ascii="宋体" w:hAnsi="宋体" w:eastAsia="宋体" w:cs="宋体"/>
          <w:spacing w:val="5"/>
          <w:sz w:val="27"/>
          <w:szCs w:val="27"/>
        </w:rPr>
        <w:t>依据研制总要求和研制合同要求，按照</w:t>
      </w:r>
      <w:r>
        <w:rPr>
          <w:rFonts w:ascii="Times New Roman" w:hAnsi="Times New Roman" w:eastAsia="Times New Roman" w:cs="Times New Roman"/>
          <w:sz w:val="27"/>
          <w:szCs w:val="27"/>
        </w:rPr>
        <w:t>GJB</w:t>
      </w:r>
      <w:r>
        <w:rPr>
          <w:rFonts w:ascii="Times New Roman" w:hAnsi="Times New Roman" w:eastAsia="Times New Roman" w:cs="Times New Roman"/>
          <w:spacing w:val="5"/>
          <w:sz w:val="27"/>
          <w:szCs w:val="27"/>
        </w:rPr>
        <w:t xml:space="preserve"> 3872—1999</w:t>
      </w:r>
      <w:r>
        <w:rPr>
          <w:rFonts w:ascii="宋体" w:hAnsi="宋体" w:eastAsia="宋体" w:cs="宋体"/>
          <w:spacing w:val="5"/>
          <w:sz w:val="27"/>
          <w:szCs w:val="27"/>
        </w:rPr>
        <w:t>《装备综</w:t>
      </w:r>
      <w:r>
        <w:rPr>
          <w:rFonts w:ascii="宋体" w:hAnsi="宋体" w:eastAsia="宋体" w:cs="宋体"/>
          <w:spacing w:val="4"/>
          <w:sz w:val="27"/>
          <w:szCs w:val="27"/>
        </w:rPr>
        <w:t>合保障通</w:t>
      </w:r>
      <w:r>
        <w:rPr>
          <w:rFonts w:ascii="宋体" w:hAnsi="宋体" w:eastAsia="宋体" w:cs="宋体"/>
          <w:sz w:val="27"/>
          <w:szCs w:val="27"/>
        </w:rPr>
        <w:t xml:space="preserve"> </w:t>
      </w:r>
      <w:r>
        <w:rPr>
          <w:rFonts w:ascii="宋体" w:hAnsi="宋体" w:eastAsia="宋体" w:cs="宋体"/>
          <w:spacing w:val="1"/>
          <w:sz w:val="27"/>
          <w:szCs w:val="27"/>
        </w:rPr>
        <w:t>用要求》和</w:t>
      </w:r>
      <w:r>
        <w:rPr>
          <w:rFonts w:ascii="Times New Roman" w:hAnsi="Times New Roman" w:eastAsia="Times New Roman" w:cs="Times New Roman"/>
          <w:sz w:val="27"/>
          <w:szCs w:val="27"/>
        </w:rPr>
        <w:t>GJB</w:t>
      </w:r>
      <w:r>
        <w:rPr>
          <w:rFonts w:ascii="Times New Roman" w:hAnsi="Times New Roman" w:eastAsia="Times New Roman" w:cs="Times New Roman"/>
          <w:spacing w:val="1"/>
          <w:sz w:val="27"/>
          <w:szCs w:val="27"/>
        </w:rPr>
        <w:t xml:space="preserve"> 6388—2008</w:t>
      </w:r>
      <w:r>
        <w:rPr>
          <w:rFonts w:ascii="宋体" w:hAnsi="宋体" w:eastAsia="宋体" w:cs="宋体"/>
          <w:spacing w:val="1"/>
          <w:sz w:val="27"/>
          <w:szCs w:val="27"/>
        </w:rPr>
        <w:t>《装备综合保障计划编制要求》,规定综合后勤保障</w:t>
      </w:r>
      <w:r>
        <w:rPr>
          <w:rFonts w:ascii="宋体" w:hAnsi="宋体" w:eastAsia="宋体" w:cs="宋体"/>
          <w:spacing w:val="10"/>
          <w:sz w:val="27"/>
          <w:szCs w:val="27"/>
        </w:rPr>
        <w:t xml:space="preserve"> </w:t>
      </w:r>
      <w:r>
        <w:rPr>
          <w:rFonts w:ascii="宋体" w:hAnsi="宋体" w:eastAsia="宋体" w:cs="宋体"/>
          <w:spacing w:val="-11"/>
          <w:sz w:val="27"/>
          <w:szCs w:val="27"/>
        </w:rPr>
        <w:t>工程专业的目的、活动定义、职责、进度和资源确定等内容。</w:t>
      </w:r>
    </w:p>
    <w:p w14:paraId="386D8A78">
      <w:pPr>
        <w:spacing w:before="1" w:line="220" w:lineRule="auto"/>
        <w:rPr>
          <w:rFonts w:ascii="黑体" w:hAnsi="黑体" w:eastAsia="黑体" w:cs="黑体"/>
          <w:sz w:val="24"/>
          <w:szCs w:val="24"/>
        </w:rPr>
      </w:pPr>
      <w:r>
        <w:rPr>
          <w:rFonts w:ascii="黑体" w:hAnsi="黑体" w:eastAsia="黑体" w:cs="黑体"/>
          <w:spacing w:val="23"/>
          <w:sz w:val="24"/>
          <w:szCs w:val="24"/>
        </w:rPr>
        <w:t>3.1.10   计算机资源寿命周期管理计划</w:t>
      </w:r>
    </w:p>
    <w:p w14:paraId="1E5CD4ED">
      <w:pPr>
        <w:spacing w:before="115" w:line="283" w:lineRule="auto"/>
        <w:ind w:right="5" w:firstLine="580"/>
        <w:rPr>
          <w:rFonts w:ascii="宋体" w:hAnsi="宋体" w:eastAsia="宋体" w:cs="宋体"/>
          <w:sz w:val="27"/>
          <w:szCs w:val="27"/>
        </w:rPr>
      </w:pPr>
      <w:r>
        <w:rPr>
          <w:rFonts w:ascii="宋体" w:hAnsi="宋体" w:eastAsia="宋体" w:cs="宋体"/>
          <w:spacing w:val="-3"/>
          <w:sz w:val="27"/>
          <w:szCs w:val="27"/>
        </w:rPr>
        <w:t>依据研制总要求和研制合同要求，按照相关国家军用标准，规定计算机资源</w:t>
      </w:r>
      <w:r>
        <w:rPr>
          <w:rFonts w:ascii="宋体" w:hAnsi="宋体" w:eastAsia="宋体" w:cs="宋体"/>
          <w:spacing w:val="9"/>
          <w:sz w:val="27"/>
          <w:szCs w:val="27"/>
        </w:rPr>
        <w:t xml:space="preserve"> </w:t>
      </w:r>
      <w:r>
        <w:rPr>
          <w:rFonts w:ascii="宋体" w:hAnsi="宋体" w:eastAsia="宋体" w:cs="宋体"/>
          <w:spacing w:val="-10"/>
          <w:sz w:val="27"/>
          <w:szCs w:val="27"/>
        </w:rPr>
        <w:t>寿命周期管理的目的、活动定义、职责、进度和资源确定等内容。</w:t>
      </w:r>
    </w:p>
    <w:p w14:paraId="696DA8B4">
      <w:pPr>
        <w:spacing w:before="3" w:line="223" w:lineRule="auto"/>
        <w:rPr>
          <w:rFonts w:ascii="黑体" w:hAnsi="黑体" w:eastAsia="黑体" w:cs="黑体"/>
          <w:sz w:val="25"/>
          <w:szCs w:val="25"/>
        </w:rPr>
      </w:pPr>
      <w:r>
        <w:rPr>
          <w:rFonts w:ascii="黑体" w:hAnsi="黑体" w:eastAsia="黑体" w:cs="黑体"/>
          <w:spacing w:val="9"/>
          <w:sz w:val="25"/>
          <w:szCs w:val="25"/>
        </w:rPr>
        <w:t>3.1.11</w:t>
      </w:r>
      <w:r>
        <w:rPr>
          <w:rFonts w:ascii="黑体" w:hAnsi="黑体" w:eastAsia="黑体" w:cs="黑体"/>
          <w:spacing w:val="2"/>
          <w:sz w:val="25"/>
          <w:szCs w:val="25"/>
        </w:rPr>
        <w:t xml:space="preserve">   </w:t>
      </w:r>
      <w:r>
        <w:rPr>
          <w:rFonts w:ascii="黑体" w:hAnsi="黑体" w:eastAsia="黑体" w:cs="黑体"/>
          <w:spacing w:val="9"/>
          <w:sz w:val="25"/>
          <w:szCs w:val="25"/>
        </w:rPr>
        <w:t>生产性</w:t>
      </w:r>
    </w:p>
    <w:p w14:paraId="1CF39E08">
      <w:pPr>
        <w:spacing w:before="82" w:line="272" w:lineRule="auto"/>
        <w:ind w:right="4" w:firstLine="580"/>
        <w:rPr>
          <w:rFonts w:ascii="宋体" w:hAnsi="宋体" w:eastAsia="宋体" w:cs="宋体"/>
          <w:sz w:val="27"/>
          <w:szCs w:val="27"/>
        </w:rPr>
      </w:pPr>
      <w:r>
        <w:rPr>
          <w:rFonts w:ascii="宋体" w:hAnsi="宋体" w:eastAsia="宋体" w:cs="宋体"/>
          <w:spacing w:val="1"/>
          <w:sz w:val="27"/>
          <w:szCs w:val="27"/>
        </w:rPr>
        <w:t>依据研制总要求和研制合同要求，按照</w:t>
      </w:r>
      <w:r>
        <w:rPr>
          <w:rFonts w:ascii="Times New Roman" w:hAnsi="Times New Roman" w:eastAsia="Times New Roman" w:cs="Times New Roman"/>
          <w:sz w:val="27"/>
          <w:szCs w:val="27"/>
        </w:rPr>
        <w:t>GJB</w:t>
      </w:r>
      <w:r>
        <w:rPr>
          <w:rFonts w:ascii="Times New Roman" w:hAnsi="Times New Roman" w:eastAsia="Times New Roman" w:cs="Times New Roman"/>
          <w:spacing w:val="1"/>
          <w:sz w:val="27"/>
          <w:szCs w:val="27"/>
        </w:rPr>
        <w:t xml:space="preserve"> 3363—1998</w:t>
      </w:r>
      <w:r>
        <w:rPr>
          <w:rFonts w:ascii="宋体" w:hAnsi="宋体" w:eastAsia="宋体" w:cs="宋体"/>
          <w:spacing w:val="1"/>
          <w:sz w:val="27"/>
          <w:szCs w:val="27"/>
        </w:rPr>
        <w:t>《生产性分析》,规</w:t>
      </w:r>
      <w:r>
        <w:rPr>
          <w:rFonts w:ascii="宋体" w:hAnsi="宋体" w:eastAsia="宋体" w:cs="宋体"/>
          <w:spacing w:val="2"/>
          <w:sz w:val="27"/>
          <w:szCs w:val="27"/>
        </w:rPr>
        <w:t xml:space="preserve"> </w:t>
      </w:r>
      <w:r>
        <w:rPr>
          <w:rFonts w:ascii="宋体" w:hAnsi="宋体" w:eastAsia="宋体" w:cs="宋体"/>
          <w:spacing w:val="-10"/>
          <w:sz w:val="27"/>
          <w:szCs w:val="27"/>
        </w:rPr>
        <w:t>定生产性管理的目的、活动定义、职责、进度和资源确定等内容。</w:t>
      </w:r>
    </w:p>
    <w:p w14:paraId="17B7AA9A">
      <w:pPr>
        <w:spacing w:before="9" w:line="222" w:lineRule="auto"/>
        <w:rPr>
          <w:rFonts w:ascii="黑体" w:hAnsi="黑体" w:eastAsia="黑体" w:cs="黑体"/>
          <w:sz w:val="27"/>
          <w:szCs w:val="27"/>
        </w:rPr>
      </w:pPr>
      <w:r>
        <w:rPr>
          <w:rFonts w:ascii="黑体" w:hAnsi="黑体" w:eastAsia="黑体" w:cs="黑体"/>
          <w:spacing w:val="3"/>
          <w:sz w:val="27"/>
          <w:szCs w:val="27"/>
        </w:rPr>
        <w:t>3.1.12</w:t>
      </w:r>
      <w:r>
        <w:rPr>
          <w:rFonts w:ascii="黑体" w:hAnsi="黑体" w:eastAsia="黑体" w:cs="黑体"/>
          <w:spacing w:val="29"/>
          <w:sz w:val="27"/>
          <w:szCs w:val="27"/>
        </w:rPr>
        <w:t xml:space="preserve">  </w:t>
      </w:r>
      <w:r>
        <w:rPr>
          <w:rFonts w:ascii="黑体" w:hAnsi="黑体" w:eastAsia="黑体" w:cs="黑体"/>
          <w:spacing w:val="3"/>
          <w:sz w:val="27"/>
          <w:szCs w:val="27"/>
        </w:rPr>
        <w:t>其他工程专业要求/计划</w:t>
      </w:r>
    </w:p>
    <w:p w14:paraId="34120C30">
      <w:pPr>
        <w:spacing w:before="86" w:line="280" w:lineRule="auto"/>
        <w:ind w:right="1" w:firstLine="580"/>
        <w:rPr>
          <w:rFonts w:ascii="宋体" w:hAnsi="宋体" w:eastAsia="宋体" w:cs="宋体"/>
          <w:sz w:val="27"/>
          <w:szCs w:val="27"/>
        </w:rPr>
      </w:pPr>
      <w:r>
        <w:rPr>
          <w:rFonts w:ascii="宋体" w:hAnsi="宋体" w:eastAsia="宋体" w:cs="宋体"/>
          <w:spacing w:val="-3"/>
          <w:sz w:val="27"/>
          <w:szCs w:val="27"/>
        </w:rPr>
        <w:t>依据研制总要求和研制合同要求，按照相关国家军用标准，规定其他工程专</w:t>
      </w:r>
      <w:r>
        <w:rPr>
          <w:rFonts w:ascii="宋体" w:hAnsi="宋体" w:eastAsia="宋体" w:cs="宋体"/>
          <w:spacing w:val="12"/>
          <w:sz w:val="27"/>
          <w:szCs w:val="27"/>
        </w:rPr>
        <w:t xml:space="preserve"> </w:t>
      </w:r>
      <w:r>
        <w:rPr>
          <w:rFonts w:ascii="宋体" w:hAnsi="宋体" w:eastAsia="宋体" w:cs="宋体"/>
          <w:spacing w:val="-13"/>
          <w:sz w:val="27"/>
          <w:szCs w:val="27"/>
        </w:rPr>
        <w:t>业的目的、活动定义、职责、进度和资源确定等内容。</w:t>
      </w:r>
    </w:p>
    <w:p w14:paraId="24D86D6D">
      <w:pPr>
        <w:spacing w:before="1" w:line="220" w:lineRule="auto"/>
        <w:rPr>
          <w:rFonts w:ascii="黑体" w:hAnsi="黑体" w:eastAsia="黑体" w:cs="黑体"/>
          <w:sz w:val="27"/>
          <w:szCs w:val="27"/>
        </w:rPr>
      </w:pPr>
      <w:r>
        <w:rPr>
          <w:rFonts w:ascii="黑体" w:hAnsi="黑体" w:eastAsia="黑体" w:cs="黑体"/>
          <w:spacing w:val="3"/>
          <w:sz w:val="27"/>
          <w:szCs w:val="27"/>
        </w:rPr>
        <w:t>3.2</w:t>
      </w:r>
      <w:r>
        <w:rPr>
          <w:rFonts w:ascii="黑体" w:hAnsi="黑体" w:eastAsia="黑体" w:cs="黑体"/>
          <w:spacing w:val="38"/>
          <w:sz w:val="27"/>
          <w:szCs w:val="27"/>
        </w:rPr>
        <w:t xml:space="preserve">  </w:t>
      </w:r>
      <w:r>
        <w:rPr>
          <w:rFonts w:ascii="黑体" w:hAnsi="黑体" w:eastAsia="黑体" w:cs="黑体"/>
          <w:spacing w:val="3"/>
          <w:sz w:val="27"/>
          <w:szCs w:val="27"/>
        </w:rPr>
        <w:t>综合系统试验计划</w:t>
      </w:r>
    </w:p>
    <w:p w14:paraId="6D974A59">
      <w:pPr>
        <w:spacing w:before="99" w:line="219" w:lineRule="auto"/>
        <w:ind w:left="580"/>
        <w:rPr>
          <w:rFonts w:ascii="宋体" w:hAnsi="宋体" w:eastAsia="宋体" w:cs="宋体"/>
          <w:sz w:val="27"/>
          <w:szCs w:val="27"/>
        </w:rPr>
      </w:pPr>
      <w:r>
        <w:rPr>
          <w:rFonts w:ascii="宋体" w:hAnsi="宋体" w:eastAsia="宋体" w:cs="宋体"/>
          <w:spacing w:val="-8"/>
          <w:sz w:val="27"/>
          <w:szCs w:val="27"/>
        </w:rPr>
        <w:t>规定综合系统试验的目的、试验项目、职责、进</w:t>
      </w:r>
      <w:r>
        <w:rPr>
          <w:rFonts w:ascii="宋体" w:hAnsi="宋体" w:eastAsia="宋体" w:cs="宋体"/>
          <w:spacing w:val="-9"/>
          <w:sz w:val="27"/>
          <w:szCs w:val="27"/>
        </w:rPr>
        <w:t>度和资源确定等内容。</w:t>
      </w:r>
    </w:p>
    <w:p w14:paraId="7CCCE489">
      <w:pPr>
        <w:pStyle w:val="2"/>
        <w:spacing w:before="20" w:line="368" w:lineRule="exact"/>
        <w:rPr>
          <w:rFonts w:ascii="黑体" w:hAnsi="黑体" w:eastAsia="黑体" w:cs="黑体"/>
          <w:sz w:val="27"/>
          <w:szCs w:val="27"/>
        </w:rPr>
      </w:pPr>
      <w:r>
        <w:rPr>
          <w:spacing w:val="4"/>
          <w:position w:val="1"/>
          <w:sz w:val="27"/>
          <w:szCs w:val="27"/>
        </w:rPr>
        <w:t>3.3</w:t>
      </w:r>
      <w:r>
        <w:rPr>
          <w:position w:val="1"/>
          <w:sz w:val="27"/>
          <w:szCs w:val="27"/>
        </w:rPr>
        <w:t xml:space="preserve">     </w:t>
      </w:r>
      <w:r>
        <w:rPr>
          <w:rFonts w:ascii="黑体" w:hAnsi="黑体" w:eastAsia="黑体" w:cs="黑体"/>
          <w:spacing w:val="4"/>
          <w:position w:val="1"/>
          <w:sz w:val="27"/>
          <w:szCs w:val="27"/>
        </w:rPr>
        <w:t>保障活动的兼容性</w:t>
      </w:r>
    </w:p>
    <w:p w14:paraId="38A7D8D7">
      <w:pPr>
        <w:spacing w:before="109" w:line="221" w:lineRule="auto"/>
        <w:rPr>
          <w:rFonts w:ascii="黑体" w:hAnsi="黑体" w:eastAsia="黑体" w:cs="黑体"/>
          <w:sz w:val="25"/>
          <w:szCs w:val="25"/>
        </w:rPr>
      </w:pPr>
      <w:r>
        <w:rPr>
          <w:rFonts w:ascii="黑体" w:hAnsi="黑体" w:eastAsia="黑体" w:cs="黑体"/>
          <w:spacing w:val="11"/>
          <w:sz w:val="25"/>
          <w:szCs w:val="25"/>
        </w:rPr>
        <w:t>3.3.1</w:t>
      </w:r>
      <w:r>
        <w:rPr>
          <w:rFonts w:ascii="黑体" w:hAnsi="黑体" w:eastAsia="黑体" w:cs="黑体"/>
          <w:spacing w:val="63"/>
          <w:sz w:val="25"/>
          <w:szCs w:val="25"/>
        </w:rPr>
        <w:t xml:space="preserve">  </w:t>
      </w:r>
      <w:r>
        <w:rPr>
          <w:rFonts w:ascii="黑体" w:hAnsi="黑体" w:eastAsia="黑体" w:cs="黑体"/>
          <w:spacing w:val="11"/>
          <w:sz w:val="25"/>
          <w:szCs w:val="25"/>
        </w:rPr>
        <w:t>系统费用效能</w:t>
      </w:r>
    </w:p>
    <w:p w14:paraId="4C0FE9A5">
      <w:pPr>
        <w:spacing w:before="93" w:line="278" w:lineRule="auto"/>
        <w:ind w:right="2" w:firstLine="580"/>
        <w:jc w:val="both"/>
        <w:rPr>
          <w:rFonts w:ascii="宋体" w:hAnsi="宋体" w:eastAsia="宋体" w:cs="宋体"/>
          <w:sz w:val="27"/>
          <w:szCs w:val="27"/>
        </w:rPr>
      </w:pPr>
      <w:r>
        <w:rPr>
          <w:rFonts w:ascii="宋体" w:hAnsi="宋体" w:eastAsia="宋体" w:cs="宋体"/>
          <w:spacing w:val="4"/>
          <w:sz w:val="27"/>
          <w:szCs w:val="27"/>
        </w:rPr>
        <w:t>依据研制总要求和研制合同要求，按照</w:t>
      </w:r>
      <w:r>
        <w:rPr>
          <w:rFonts w:ascii="Times New Roman" w:hAnsi="Times New Roman" w:eastAsia="Times New Roman" w:cs="Times New Roman"/>
          <w:sz w:val="27"/>
          <w:szCs w:val="27"/>
        </w:rPr>
        <w:t>GJB</w:t>
      </w:r>
      <w:r>
        <w:rPr>
          <w:rFonts w:ascii="Times New Roman" w:hAnsi="Times New Roman" w:eastAsia="Times New Roman" w:cs="Times New Roman"/>
          <w:spacing w:val="39"/>
          <w:sz w:val="27"/>
          <w:szCs w:val="27"/>
        </w:rPr>
        <w:t xml:space="preserve"> </w:t>
      </w:r>
      <w:r>
        <w:rPr>
          <w:rFonts w:ascii="Times New Roman" w:hAnsi="Times New Roman" w:eastAsia="Times New Roman" w:cs="Times New Roman"/>
          <w:spacing w:val="4"/>
          <w:sz w:val="27"/>
          <w:szCs w:val="27"/>
        </w:rPr>
        <w:t>1364—1992</w:t>
      </w:r>
      <w:r>
        <w:rPr>
          <w:rFonts w:ascii="宋体" w:hAnsi="宋体" w:eastAsia="宋体" w:cs="宋体"/>
          <w:spacing w:val="4"/>
          <w:sz w:val="27"/>
          <w:szCs w:val="27"/>
        </w:rPr>
        <w:t>《装备费用一效能</w:t>
      </w:r>
      <w:r>
        <w:rPr>
          <w:rFonts w:ascii="宋体" w:hAnsi="宋体" w:eastAsia="宋体" w:cs="宋体"/>
          <w:sz w:val="27"/>
          <w:szCs w:val="27"/>
        </w:rPr>
        <w:t xml:space="preserve"> </w:t>
      </w:r>
      <w:r>
        <w:rPr>
          <w:rFonts w:ascii="宋体" w:hAnsi="宋体" w:eastAsia="宋体" w:cs="宋体"/>
          <w:spacing w:val="2"/>
          <w:sz w:val="27"/>
          <w:szCs w:val="27"/>
        </w:rPr>
        <w:t>分析》,在装备寿命周期各阶段中采用费用一</w:t>
      </w:r>
      <w:r>
        <w:rPr>
          <w:rFonts w:ascii="宋体" w:hAnsi="宋体" w:eastAsia="宋体" w:cs="宋体"/>
          <w:spacing w:val="1"/>
          <w:sz w:val="27"/>
          <w:szCs w:val="27"/>
        </w:rPr>
        <w:t>效能分析方法，为装备的论证、研</w:t>
      </w:r>
      <w:r>
        <w:rPr>
          <w:rFonts w:ascii="宋体" w:hAnsi="宋体" w:eastAsia="宋体" w:cs="宋体"/>
          <w:sz w:val="27"/>
          <w:szCs w:val="27"/>
        </w:rPr>
        <w:t xml:space="preserve"> </w:t>
      </w:r>
      <w:r>
        <w:rPr>
          <w:rFonts w:ascii="宋体" w:hAnsi="宋体" w:eastAsia="宋体" w:cs="宋体"/>
          <w:spacing w:val="-16"/>
          <w:sz w:val="27"/>
          <w:szCs w:val="27"/>
        </w:rPr>
        <w:t>制、生产、使用、维修和退役提供决策依据。</w:t>
      </w:r>
    </w:p>
    <w:p w14:paraId="5CB2C9D5">
      <w:pPr>
        <w:spacing w:before="18" w:line="222" w:lineRule="auto"/>
        <w:rPr>
          <w:rFonts w:ascii="黑体" w:hAnsi="黑体" w:eastAsia="黑体" w:cs="黑体"/>
          <w:sz w:val="25"/>
          <w:szCs w:val="25"/>
        </w:rPr>
      </w:pPr>
      <w:r>
        <w:rPr>
          <w:rFonts w:ascii="黑体" w:hAnsi="黑体" w:eastAsia="黑体" w:cs="黑体"/>
          <w:spacing w:val="9"/>
          <w:sz w:val="25"/>
          <w:szCs w:val="25"/>
        </w:rPr>
        <w:t>3.3.2</w:t>
      </w:r>
      <w:r>
        <w:rPr>
          <w:rFonts w:ascii="黑体" w:hAnsi="黑体" w:eastAsia="黑体" w:cs="黑体"/>
          <w:spacing w:val="65"/>
          <w:sz w:val="25"/>
          <w:szCs w:val="25"/>
        </w:rPr>
        <w:t xml:space="preserve">  </w:t>
      </w:r>
      <w:r>
        <w:rPr>
          <w:rFonts w:ascii="黑体" w:hAnsi="黑体" w:eastAsia="黑体" w:cs="黑体"/>
          <w:spacing w:val="9"/>
          <w:sz w:val="25"/>
          <w:szCs w:val="25"/>
        </w:rPr>
        <w:t>价值工程</w:t>
      </w:r>
    </w:p>
    <w:p w14:paraId="2E1FC970">
      <w:pPr>
        <w:spacing w:before="120" w:line="219" w:lineRule="auto"/>
        <w:ind w:right="2"/>
        <w:jc w:val="right"/>
        <w:rPr>
          <w:rFonts w:ascii="宋体" w:hAnsi="宋体" w:eastAsia="宋体" w:cs="宋体"/>
          <w:sz w:val="27"/>
          <w:szCs w:val="27"/>
        </w:rPr>
      </w:pPr>
      <w:r>
        <w:rPr>
          <w:rFonts w:ascii="宋体" w:hAnsi="宋体" w:eastAsia="宋体" w:cs="宋体"/>
          <w:spacing w:val="-3"/>
          <w:sz w:val="27"/>
          <w:szCs w:val="27"/>
        </w:rPr>
        <w:t>通过选择产品、进行功能分析、收集信息、开发备选方案、备选方案成本分</w:t>
      </w:r>
    </w:p>
    <w:p w14:paraId="36541E8F">
      <w:pPr>
        <w:spacing w:line="219" w:lineRule="auto"/>
        <w:rPr>
          <w:rFonts w:ascii="宋体" w:hAnsi="宋体" w:eastAsia="宋体" w:cs="宋体"/>
          <w:sz w:val="27"/>
          <w:szCs w:val="27"/>
        </w:rPr>
        <w:sectPr>
          <w:footerReference r:id="rId67" w:type="default"/>
          <w:pgSz w:w="11910" w:h="17130"/>
          <w:pgMar w:top="400" w:right="1083" w:bottom="1593" w:left="1420" w:header="0" w:footer="1395" w:gutter="0"/>
          <w:cols w:space="720" w:num="1"/>
        </w:sectPr>
      </w:pPr>
    </w:p>
    <w:p w14:paraId="48233C0D">
      <w:pPr>
        <w:pStyle w:val="2"/>
        <w:spacing w:line="258" w:lineRule="auto"/>
      </w:pPr>
    </w:p>
    <w:p w14:paraId="1F2D4F1E">
      <w:pPr>
        <w:pStyle w:val="2"/>
        <w:spacing w:line="259" w:lineRule="auto"/>
      </w:pPr>
    </w:p>
    <w:p w14:paraId="1ACBA6F9">
      <w:pPr>
        <w:pStyle w:val="2"/>
        <w:spacing w:line="259" w:lineRule="auto"/>
      </w:pPr>
    </w:p>
    <w:p w14:paraId="5A69AF8B">
      <w:pPr>
        <w:pStyle w:val="2"/>
        <w:spacing w:line="259" w:lineRule="auto"/>
      </w:pPr>
    </w:p>
    <w:p w14:paraId="065A6A65">
      <w:pPr>
        <w:spacing w:before="88" w:line="219" w:lineRule="auto"/>
        <w:ind w:left="135"/>
        <w:rPr>
          <w:rFonts w:ascii="宋体" w:hAnsi="宋体" w:eastAsia="宋体" w:cs="宋体"/>
          <w:sz w:val="27"/>
          <w:szCs w:val="27"/>
        </w:rPr>
      </w:pPr>
      <w:bookmarkStart w:id="34" w:name="bookmark324"/>
      <w:bookmarkEnd w:id="34"/>
      <w:r>
        <w:rPr>
          <w:rFonts w:ascii="宋体" w:hAnsi="宋体" w:eastAsia="宋体" w:cs="宋体"/>
          <w:spacing w:val="-5"/>
          <w:sz w:val="27"/>
          <w:szCs w:val="27"/>
        </w:rPr>
        <w:t>析、试验和验证等有组织的活动，以最低的总成本实现必要的功能。</w:t>
      </w:r>
    </w:p>
    <w:p w14:paraId="03CA347F">
      <w:pPr>
        <w:spacing w:before="77" w:line="222" w:lineRule="auto"/>
        <w:ind w:left="135"/>
        <w:rPr>
          <w:rFonts w:ascii="黑体" w:hAnsi="黑体" w:eastAsia="黑体" w:cs="黑体"/>
          <w:sz w:val="27"/>
          <w:szCs w:val="27"/>
        </w:rPr>
      </w:pPr>
      <w:r>
        <w:rPr>
          <w:rFonts w:ascii="黑体" w:hAnsi="黑体" w:eastAsia="黑体" w:cs="黑体"/>
          <w:spacing w:val="-1"/>
          <w:sz w:val="27"/>
          <w:szCs w:val="27"/>
        </w:rPr>
        <w:t>3.3.3</w:t>
      </w:r>
      <w:r>
        <w:rPr>
          <w:rFonts w:ascii="黑体" w:hAnsi="黑体" w:eastAsia="黑体" w:cs="黑体"/>
          <w:spacing w:val="29"/>
          <w:sz w:val="27"/>
          <w:szCs w:val="27"/>
        </w:rPr>
        <w:t xml:space="preserve">  </w:t>
      </w:r>
      <w:r>
        <w:rPr>
          <w:rFonts w:ascii="黑体" w:hAnsi="黑体" w:eastAsia="黑体" w:cs="黑体"/>
          <w:b/>
          <w:bCs/>
          <w:spacing w:val="-1"/>
          <w:sz w:val="27"/>
          <w:szCs w:val="27"/>
        </w:rPr>
        <w:t>全面质量管理/质量保证</w:t>
      </w:r>
    </w:p>
    <w:p w14:paraId="5032FD0C">
      <w:pPr>
        <w:spacing w:before="47" w:line="293" w:lineRule="auto"/>
        <w:ind w:left="135" w:right="87" w:firstLine="550"/>
        <w:rPr>
          <w:rFonts w:ascii="宋体" w:hAnsi="宋体" w:eastAsia="宋体" w:cs="宋体"/>
          <w:sz w:val="27"/>
          <w:szCs w:val="27"/>
        </w:rPr>
      </w:pPr>
      <w:r>
        <w:rPr>
          <w:rFonts w:ascii="仿宋" w:hAnsi="仿宋" w:eastAsia="仿宋" w:cs="仿宋"/>
          <w:spacing w:val="1"/>
          <w:sz w:val="27"/>
          <w:szCs w:val="27"/>
        </w:rPr>
        <w:t>按照</w:t>
      </w:r>
      <w:r>
        <w:rPr>
          <w:rFonts w:ascii="Times New Roman" w:hAnsi="Times New Roman" w:eastAsia="Times New Roman" w:cs="Times New Roman"/>
          <w:sz w:val="27"/>
          <w:szCs w:val="27"/>
        </w:rPr>
        <w:t>GJB</w:t>
      </w:r>
      <w:r>
        <w:rPr>
          <w:rFonts w:ascii="Times New Roman" w:hAnsi="Times New Roman" w:eastAsia="Times New Roman" w:cs="Times New Roman"/>
          <w:spacing w:val="1"/>
          <w:sz w:val="27"/>
          <w:szCs w:val="27"/>
        </w:rPr>
        <w:t xml:space="preserve"> 9001B—2009</w:t>
      </w:r>
      <w:r>
        <w:rPr>
          <w:rFonts w:ascii="宋体" w:hAnsi="宋体" w:eastAsia="宋体" w:cs="宋体"/>
          <w:spacing w:val="1"/>
          <w:sz w:val="27"/>
          <w:szCs w:val="27"/>
        </w:rPr>
        <w:t>《</w:t>
      </w:r>
      <w:r>
        <w:rPr>
          <w:rFonts w:ascii="仿宋" w:hAnsi="仿宋" w:eastAsia="仿宋" w:cs="仿宋"/>
          <w:spacing w:val="1"/>
          <w:sz w:val="27"/>
          <w:szCs w:val="27"/>
        </w:rPr>
        <w:t>质量管理体系要求》和</w:t>
      </w:r>
      <w:r>
        <w:rPr>
          <w:rFonts w:ascii="Times New Roman" w:hAnsi="Times New Roman" w:eastAsia="Times New Roman" w:cs="Times New Roman"/>
          <w:sz w:val="27"/>
          <w:szCs w:val="27"/>
        </w:rPr>
        <w:t>GJB</w:t>
      </w:r>
      <w:r>
        <w:rPr>
          <w:rFonts w:ascii="Times New Roman" w:hAnsi="Times New Roman" w:eastAsia="Times New Roman" w:cs="Times New Roman"/>
          <w:spacing w:val="48"/>
          <w:sz w:val="27"/>
          <w:szCs w:val="27"/>
        </w:rPr>
        <w:t xml:space="preserve"> </w:t>
      </w:r>
      <w:r>
        <w:rPr>
          <w:rFonts w:ascii="Times New Roman" w:hAnsi="Times New Roman" w:eastAsia="Times New Roman" w:cs="Times New Roman"/>
          <w:spacing w:val="1"/>
          <w:sz w:val="27"/>
          <w:szCs w:val="27"/>
        </w:rPr>
        <w:t>1406A—2005</w:t>
      </w:r>
      <w:r>
        <w:rPr>
          <w:rFonts w:ascii="宋体" w:hAnsi="宋体" w:eastAsia="宋体" w:cs="宋体"/>
          <w:spacing w:val="1"/>
          <w:sz w:val="27"/>
          <w:szCs w:val="27"/>
        </w:rPr>
        <w:t>《</w:t>
      </w:r>
      <w:r>
        <w:rPr>
          <w:rFonts w:ascii="仿宋" w:hAnsi="仿宋" w:eastAsia="仿宋" w:cs="仿宋"/>
          <w:spacing w:val="1"/>
          <w:sz w:val="27"/>
          <w:szCs w:val="27"/>
        </w:rPr>
        <w:t>产品质</w:t>
      </w:r>
      <w:r>
        <w:rPr>
          <w:rFonts w:ascii="仿宋" w:hAnsi="仿宋" w:eastAsia="仿宋" w:cs="仿宋"/>
          <w:sz w:val="27"/>
          <w:szCs w:val="27"/>
        </w:rPr>
        <w:t xml:space="preserve"> </w:t>
      </w:r>
      <w:r>
        <w:rPr>
          <w:rFonts w:ascii="宋体" w:hAnsi="宋体" w:eastAsia="宋体" w:cs="宋体"/>
          <w:spacing w:val="-2"/>
          <w:sz w:val="27"/>
          <w:szCs w:val="27"/>
        </w:rPr>
        <w:t>量保证大纲要求》,进行全面质量管理/质量</w:t>
      </w:r>
      <w:r>
        <w:rPr>
          <w:rFonts w:ascii="宋体" w:hAnsi="宋体" w:eastAsia="宋体" w:cs="宋体"/>
          <w:spacing w:val="-3"/>
          <w:sz w:val="27"/>
          <w:szCs w:val="27"/>
        </w:rPr>
        <w:t>保证。</w:t>
      </w:r>
    </w:p>
    <w:p w14:paraId="7233E4F7">
      <w:pPr>
        <w:spacing w:line="222" w:lineRule="auto"/>
        <w:ind w:left="135"/>
        <w:rPr>
          <w:rFonts w:ascii="黑体" w:hAnsi="黑体" w:eastAsia="黑体" w:cs="黑体"/>
          <w:sz w:val="25"/>
          <w:szCs w:val="25"/>
        </w:rPr>
      </w:pPr>
      <w:r>
        <w:rPr>
          <w:rFonts w:ascii="黑体" w:hAnsi="黑体" w:eastAsia="黑体" w:cs="黑体"/>
          <w:spacing w:val="10"/>
          <w:sz w:val="25"/>
          <w:szCs w:val="25"/>
        </w:rPr>
        <w:t>3.3.4</w:t>
      </w:r>
      <w:r>
        <w:rPr>
          <w:rFonts w:ascii="黑体" w:hAnsi="黑体" w:eastAsia="黑体" w:cs="黑体"/>
          <w:spacing w:val="60"/>
          <w:sz w:val="25"/>
          <w:szCs w:val="25"/>
        </w:rPr>
        <w:t xml:space="preserve">  </w:t>
      </w:r>
      <w:r>
        <w:rPr>
          <w:rFonts w:ascii="黑体" w:hAnsi="黑体" w:eastAsia="黑体" w:cs="黑体"/>
          <w:b/>
          <w:bCs/>
          <w:spacing w:val="10"/>
          <w:sz w:val="25"/>
          <w:szCs w:val="25"/>
        </w:rPr>
        <w:t>材料和工艺</w:t>
      </w:r>
    </w:p>
    <w:p w14:paraId="1675A319">
      <w:pPr>
        <w:spacing w:before="94" w:line="280" w:lineRule="auto"/>
        <w:ind w:left="135" w:right="101" w:firstLine="550"/>
        <w:jc w:val="both"/>
        <w:rPr>
          <w:rFonts w:ascii="宋体" w:hAnsi="宋体" w:eastAsia="宋体" w:cs="宋体"/>
          <w:sz w:val="27"/>
          <w:szCs w:val="27"/>
        </w:rPr>
      </w:pPr>
      <w:r>
        <w:rPr>
          <w:rFonts w:ascii="宋体" w:hAnsi="宋体" w:eastAsia="宋体" w:cs="宋体"/>
          <w:spacing w:val="2"/>
          <w:sz w:val="27"/>
          <w:szCs w:val="27"/>
        </w:rPr>
        <w:t>依据研制总要求和研制合同要求，按照</w:t>
      </w:r>
      <w:r>
        <w:rPr>
          <w:rFonts w:ascii="Times New Roman" w:hAnsi="Times New Roman" w:eastAsia="Times New Roman" w:cs="Times New Roman"/>
          <w:sz w:val="27"/>
          <w:szCs w:val="27"/>
        </w:rPr>
        <w:t>GJB</w:t>
      </w:r>
      <w:r>
        <w:rPr>
          <w:rFonts w:ascii="Times New Roman" w:hAnsi="Times New Roman" w:eastAsia="Times New Roman" w:cs="Times New Roman"/>
          <w:spacing w:val="2"/>
          <w:sz w:val="27"/>
          <w:szCs w:val="27"/>
        </w:rPr>
        <w:t>/Z 215—2004</w:t>
      </w:r>
      <w:r>
        <w:rPr>
          <w:rFonts w:ascii="宋体" w:hAnsi="宋体" w:eastAsia="宋体" w:cs="宋体"/>
          <w:spacing w:val="2"/>
          <w:sz w:val="27"/>
          <w:szCs w:val="27"/>
        </w:rPr>
        <w:t>《军工材料管理要</w:t>
      </w:r>
      <w:r>
        <w:rPr>
          <w:rFonts w:ascii="宋体" w:hAnsi="宋体" w:eastAsia="宋体" w:cs="宋体"/>
          <w:spacing w:val="8"/>
          <w:sz w:val="27"/>
          <w:szCs w:val="27"/>
        </w:rPr>
        <w:t xml:space="preserve"> </w:t>
      </w:r>
      <w:r>
        <w:rPr>
          <w:rFonts w:ascii="宋体" w:hAnsi="宋体" w:eastAsia="宋体" w:cs="宋体"/>
          <w:spacing w:val="-6"/>
          <w:sz w:val="27"/>
          <w:szCs w:val="27"/>
        </w:rPr>
        <w:t>求》,规定军工产品所需新材料的研制、选用、采购和已有材料改进的</w:t>
      </w:r>
      <w:r>
        <w:rPr>
          <w:rFonts w:ascii="宋体" w:hAnsi="宋体" w:eastAsia="宋体" w:cs="宋体"/>
          <w:spacing w:val="-7"/>
          <w:sz w:val="27"/>
          <w:szCs w:val="27"/>
        </w:rPr>
        <w:t>原则、程序</w:t>
      </w:r>
      <w:r>
        <w:rPr>
          <w:rFonts w:ascii="宋体" w:hAnsi="宋体" w:eastAsia="宋体" w:cs="宋体"/>
          <w:sz w:val="27"/>
          <w:szCs w:val="27"/>
        </w:rPr>
        <w:t xml:space="preserve"> </w:t>
      </w:r>
      <w:r>
        <w:rPr>
          <w:rFonts w:ascii="宋体" w:hAnsi="宋体" w:eastAsia="宋体" w:cs="宋体"/>
          <w:spacing w:val="-1"/>
          <w:sz w:val="27"/>
          <w:szCs w:val="27"/>
        </w:rPr>
        <w:t>与内容。</w:t>
      </w:r>
    </w:p>
    <w:p w14:paraId="7887817F">
      <w:pPr>
        <w:spacing w:before="2" w:line="274" w:lineRule="auto"/>
        <w:ind w:right="102" w:firstLine="685"/>
        <w:jc w:val="both"/>
        <w:rPr>
          <w:rFonts w:ascii="宋体" w:hAnsi="宋体" w:eastAsia="宋体" w:cs="宋体"/>
          <w:sz w:val="27"/>
          <w:szCs w:val="27"/>
        </w:rPr>
      </w:pPr>
      <w:r>
        <w:rPr>
          <w:rFonts w:ascii="宋体" w:hAnsi="宋体" w:eastAsia="宋体" w:cs="宋体"/>
          <w:spacing w:val="2"/>
          <w:sz w:val="27"/>
          <w:szCs w:val="27"/>
        </w:rPr>
        <w:t>依据研制总要求和研制合同要求，按照</w:t>
      </w:r>
      <w:r>
        <w:rPr>
          <w:rFonts w:ascii="Times New Roman" w:hAnsi="Times New Roman" w:eastAsia="Times New Roman" w:cs="Times New Roman"/>
          <w:sz w:val="27"/>
          <w:szCs w:val="27"/>
        </w:rPr>
        <w:t>GJB</w:t>
      </w:r>
      <w:r>
        <w:rPr>
          <w:rFonts w:ascii="Times New Roman" w:hAnsi="Times New Roman" w:eastAsia="Times New Roman" w:cs="Times New Roman"/>
          <w:spacing w:val="2"/>
          <w:sz w:val="27"/>
          <w:szCs w:val="27"/>
        </w:rPr>
        <w:t>/Z  106A—2005</w:t>
      </w:r>
      <w:r>
        <w:rPr>
          <w:rFonts w:ascii="宋体" w:hAnsi="宋体" w:eastAsia="宋体" w:cs="宋体"/>
          <w:spacing w:val="2"/>
          <w:sz w:val="27"/>
          <w:szCs w:val="27"/>
        </w:rPr>
        <w:t>《工艺标准化大</w:t>
      </w:r>
      <w:r>
        <w:rPr>
          <w:rFonts w:ascii="宋体" w:hAnsi="宋体" w:eastAsia="宋体" w:cs="宋体"/>
          <w:spacing w:val="12"/>
          <w:sz w:val="27"/>
          <w:szCs w:val="27"/>
        </w:rPr>
        <w:t xml:space="preserve"> </w:t>
      </w:r>
      <w:r>
        <w:rPr>
          <w:rFonts w:ascii="宋体" w:hAnsi="宋体" w:eastAsia="宋体" w:cs="宋体"/>
          <w:spacing w:val="1"/>
          <w:sz w:val="27"/>
          <w:szCs w:val="27"/>
        </w:rPr>
        <w:t>纲编制指南》编制《工艺标准化大纲》,开展工艺设计；按照</w:t>
      </w:r>
      <w:r>
        <w:rPr>
          <w:rFonts w:ascii="宋体" w:hAnsi="宋体" w:eastAsia="宋体" w:cs="宋体"/>
          <w:spacing w:val="-64"/>
          <w:sz w:val="27"/>
          <w:szCs w:val="27"/>
        </w:rPr>
        <w:t xml:space="preserve"> </w:t>
      </w:r>
      <w:r>
        <w:rPr>
          <w:rFonts w:ascii="Times New Roman" w:hAnsi="Times New Roman" w:eastAsia="Times New Roman" w:cs="Times New Roman"/>
          <w:sz w:val="27"/>
          <w:szCs w:val="27"/>
        </w:rPr>
        <w:t>GJB</w:t>
      </w:r>
      <w:r>
        <w:rPr>
          <w:rFonts w:ascii="Times New Roman" w:hAnsi="Times New Roman" w:eastAsia="Times New Roman" w:cs="Times New Roman"/>
          <w:spacing w:val="1"/>
          <w:sz w:val="27"/>
          <w:szCs w:val="27"/>
        </w:rPr>
        <w:t xml:space="preserve">   1269A—2000</w:t>
      </w:r>
      <w:r>
        <w:rPr>
          <w:rFonts w:ascii="Times New Roman" w:hAnsi="Times New Roman" w:eastAsia="Times New Roman" w:cs="Times New Roman"/>
          <w:sz w:val="27"/>
          <w:szCs w:val="27"/>
        </w:rPr>
        <w:t xml:space="preserve"> </w:t>
      </w:r>
      <w:r>
        <w:rPr>
          <w:rFonts w:ascii="宋体" w:hAnsi="宋体" w:eastAsia="宋体" w:cs="宋体"/>
          <w:spacing w:val="1"/>
          <w:sz w:val="27"/>
          <w:szCs w:val="27"/>
        </w:rPr>
        <w:t>《工艺评审》开展研制过程工艺评审和生产过程重大工艺更改的工艺评审，规定</w:t>
      </w:r>
      <w:r>
        <w:rPr>
          <w:rFonts w:ascii="宋体" w:hAnsi="宋体" w:eastAsia="宋体" w:cs="宋体"/>
          <w:sz w:val="27"/>
          <w:szCs w:val="27"/>
        </w:rPr>
        <w:t xml:space="preserve"> </w:t>
      </w:r>
      <w:r>
        <w:rPr>
          <w:rFonts w:ascii="宋体" w:hAnsi="宋体" w:eastAsia="宋体" w:cs="宋体"/>
          <w:spacing w:val="-1"/>
          <w:sz w:val="27"/>
          <w:szCs w:val="27"/>
        </w:rPr>
        <w:t>工艺评审的基本要求、评审内容、组织管理和</w:t>
      </w:r>
      <w:r>
        <w:rPr>
          <w:rFonts w:ascii="宋体" w:hAnsi="宋体" w:eastAsia="宋体" w:cs="宋体"/>
          <w:spacing w:val="-2"/>
          <w:sz w:val="27"/>
          <w:szCs w:val="27"/>
        </w:rPr>
        <w:t>评审程序。</w:t>
      </w:r>
    </w:p>
    <w:p w14:paraId="67D1CAF8">
      <w:pPr>
        <w:pStyle w:val="2"/>
        <w:spacing w:line="263" w:lineRule="auto"/>
      </w:pPr>
    </w:p>
    <w:p w14:paraId="3A25DF9D">
      <w:pPr>
        <w:spacing w:before="117" w:line="218" w:lineRule="auto"/>
        <w:ind w:left="2094"/>
        <w:outlineLvl w:val="1"/>
        <w:rPr>
          <w:rFonts w:ascii="宋体" w:hAnsi="宋体" w:eastAsia="宋体" w:cs="宋体"/>
          <w:sz w:val="36"/>
          <w:szCs w:val="36"/>
        </w:rPr>
      </w:pPr>
      <w:bookmarkStart w:id="35" w:name="bookmark17"/>
      <w:bookmarkEnd w:id="35"/>
      <w:r>
        <w:rPr>
          <w:rFonts w:ascii="Times New Roman" w:hAnsi="Times New Roman" w:eastAsia="Times New Roman" w:cs="Times New Roman"/>
          <w:b/>
          <w:bCs/>
          <w:spacing w:val="3"/>
          <w:sz w:val="36"/>
          <w:szCs w:val="36"/>
        </w:rPr>
        <w:t xml:space="preserve">1.15     </w:t>
      </w:r>
      <w:r>
        <w:rPr>
          <w:rFonts w:ascii="宋体" w:hAnsi="宋体" w:eastAsia="宋体" w:cs="宋体"/>
          <w:b/>
          <w:bCs/>
          <w:spacing w:val="3"/>
          <w:sz w:val="36"/>
          <w:szCs w:val="36"/>
        </w:rPr>
        <w:t>生产性分析报告(方案阶段)</w:t>
      </w:r>
    </w:p>
    <w:p w14:paraId="48FCF5CB">
      <w:pPr>
        <w:pStyle w:val="2"/>
        <w:spacing w:line="371" w:lineRule="auto"/>
      </w:pPr>
    </w:p>
    <w:p w14:paraId="5BE37942">
      <w:pPr>
        <w:spacing w:before="78" w:line="223" w:lineRule="auto"/>
        <w:ind w:left="685"/>
        <w:rPr>
          <w:rFonts w:ascii="楷体" w:hAnsi="楷体" w:eastAsia="楷体" w:cs="楷体"/>
          <w:sz w:val="24"/>
          <w:szCs w:val="24"/>
        </w:rPr>
      </w:pPr>
      <w:r>
        <w:rPr>
          <w:rFonts w:ascii="楷体" w:hAnsi="楷体" w:eastAsia="楷体" w:cs="楷体"/>
          <w:spacing w:val="6"/>
          <w:sz w:val="24"/>
          <w:szCs w:val="24"/>
        </w:rPr>
        <w:t>按</w:t>
      </w:r>
      <w:r>
        <w:rPr>
          <w:rFonts w:ascii="楷体" w:hAnsi="楷体" w:eastAsia="楷体" w:cs="楷体"/>
          <w:spacing w:val="-8"/>
          <w:sz w:val="24"/>
          <w:szCs w:val="24"/>
        </w:rPr>
        <w:t xml:space="preserve"> </w:t>
      </w:r>
      <w:r>
        <w:rPr>
          <w:rFonts w:ascii="楷体" w:hAnsi="楷体" w:eastAsia="楷体" w:cs="楷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3363—1998</w:t>
      </w:r>
      <w:r>
        <w:rPr>
          <w:rFonts w:ascii="宋体" w:hAnsi="宋体" w:eastAsia="宋体" w:cs="宋体"/>
          <w:spacing w:val="6"/>
          <w:sz w:val="24"/>
          <w:szCs w:val="24"/>
        </w:rPr>
        <w:t>《</w:t>
      </w:r>
      <w:r>
        <w:rPr>
          <w:rFonts w:ascii="楷体" w:hAnsi="楷体" w:eastAsia="楷体" w:cs="楷体"/>
          <w:spacing w:val="6"/>
          <w:sz w:val="24"/>
          <w:szCs w:val="24"/>
        </w:rPr>
        <w:t>生产性分析》编写。</w:t>
      </w:r>
    </w:p>
    <w:p w14:paraId="17B55ADC">
      <w:pPr>
        <w:spacing w:before="114" w:line="223" w:lineRule="auto"/>
        <w:ind w:left="135"/>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21"/>
          <w:sz w:val="27"/>
          <w:szCs w:val="27"/>
        </w:rPr>
        <w:t xml:space="preserve">  </w:t>
      </w:r>
      <w:r>
        <w:rPr>
          <w:rFonts w:ascii="黑体" w:hAnsi="黑体" w:eastAsia="黑体" w:cs="黑体"/>
          <w:b/>
          <w:bCs/>
          <w:spacing w:val="-4"/>
          <w:sz w:val="27"/>
          <w:szCs w:val="27"/>
        </w:rPr>
        <w:t>范围</w:t>
      </w:r>
    </w:p>
    <w:p w14:paraId="765F4150">
      <w:pPr>
        <w:spacing w:before="62" w:line="222" w:lineRule="auto"/>
        <w:ind w:left="135"/>
        <w:rPr>
          <w:rFonts w:ascii="黑体" w:hAnsi="黑体" w:eastAsia="黑体" w:cs="黑体"/>
          <w:sz w:val="27"/>
          <w:szCs w:val="27"/>
        </w:rPr>
      </w:pPr>
      <w:r>
        <w:rPr>
          <w:rFonts w:ascii="黑体" w:hAnsi="黑体" w:eastAsia="黑体" w:cs="黑体"/>
          <w:spacing w:val="-5"/>
          <w:sz w:val="27"/>
          <w:szCs w:val="27"/>
        </w:rPr>
        <w:t>2</w:t>
      </w:r>
      <w:r>
        <w:rPr>
          <w:rFonts w:ascii="黑体" w:hAnsi="黑体" w:eastAsia="黑体" w:cs="黑体"/>
          <w:spacing w:val="13"/>
          <w:sz w:val="27"/>
          <w:szCs w:val="27"/>
        </w:rPr>
        <w:t xml:space="preserve">  </w:t>
      </w:r>
      <w:r>
        <w:rPr>
          <w:rFonts w:ascii="黑体" w:hAnsi="黑体" w:eastAsia="黑体" w:cs="黑体"/>
          <w:b/>
          <w:bCs/>
          <w:spacing w:val="-5"/>
          <w:sz w:val="27"/>
          <w:szCs w:val="27"/>
        </w:rPr>
        <w:t>引用文件</w:t>
      </w:r>
    </w:p>
    <w:p w14:paraId="0C3D3C4C">
      <w:pPr>
        <w:spacing w:before="77" w:line="222" w:lineRule="auto"/>
        <w:ind w:left="135"/>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5"/>
          <w:sz w:val="27"/>
          <w:szCs w:val="27"/>
        </w:rPr>
        <w:t xml:space="preserve">  </w:t>
      </w:r>
      <w:r>
        <w:rPr>
          <w:rFonts w:ascii="黑体" w:hAnsi="黑体" w:eastAsia="黑体" w:cs="黑体"/>
          <w:b/>
          <w:bCs/>
          <w:spacing w:val="-1"/>
          <w:sz w:val="27"/>
          <w:szCs w:val="27"/>
        </w:rPr>
        <w:t>生产性分析目的</w:t>
      </w:r>
    </w:p>
    <w:p w14:paraId="574A53E8">
      <w:pPr>
        <w:spacing w:before="120" w:line="272" w:lineRule="auto"/>
        <w:ind w:left="135" w:right="111" w:firstLine="550"/>
        <w:jc w:val="both"/>
        <w:rPr>
          <w:rFonts w:ascii="宋体" w:hAnsi="宋体" w:eastAsia="宋体" w:cs="宋体"/>
          <w:sz w:val="27"/>
          <w:szCs w:val="27"/>
        </w:rPr>
      </w:pPr>
      <w:r>
        <w:rPr>
          <w:rFonts w:ascii="宋体" w:hAnsi="宋体" w:eastAsia="宋体" w:cs="宋体"/>
          <w:spacing w:val="-3"/>
          <w:sz w:val="27"/>
          <w:szCs w:val="27"/>
        </w:rPr>
        <w:t>对产品设计进行生产性分析，在满足性能和生产率要求的前提下，对备选的</w:t>
      </w:r>
      <w:r>
        <w:rPr>
          <w:rFonts w:ascii="宋体" w:hAnsi="宋体" w:eastAsia="宋体" w:cs="宋体"/>
          <w:spacing w:val="8"/>
          <w:sz w:val="27"/>
          <w:szCs w:val="27"/>
        </w:rPr>
        <w:t xml:space="preserve"> </w:t>
      </w:r>
      <w:r>
        <w:rPr>
          <w:rFonts w:ascii="宋体" w:hAnsi="宋体" w:eastAsia="宋体" w:cs="宋体"/>
          <w:spacing w:val="-2"/>
          <w:sz w:val="27"/>
          <w:szCs w:val="27"/>
        </w:rPr>
        <w:t>设计、材料、工艺和制造技术方案进行比较，以确定最经济</w:t>
      </w:r>
      <w:r>
        <w:rPr>
          <w:rFonts w:ascii="宋体" w:hAnsi="宋体" w:eastAsia="宋体" w:cs="宋体"/>
          <w:spacing w:val="-3"/>
          <w:sz w:val="27"/>
          <w:szCs w:val="27"/>
        </w:rPr>
        <w:t>地生产该产品用的制</w:t>
      </w:r>
      <w:r>
        <w:rPr>
          <w:rFonts w:ascii="宋体" w:hAnsi="宋体" w:eastAsia="宋体" w:cs="宋体"/>
          <w:sz w:val="27"/>
          <w:szCs w:val="27"/>
        </w:rPr>
        <w:t xml:space="preserve"> </w:t>
      </w:r>
      <w:r>
        <w:rPr>
          <w:rFonts w:ascii="宋体" w:hAnsi="宋体" w:eastAsia="宋体" w:cs="宋体"/>
          <w:spacing w:val="-1"/>
          <w:sz w:val="27"/>
          <w:szCs w:val="27"/>
        </w:rPr>
        <w:t>造工艺和材料，确保承制方设计出具有良好生产性的产品。</w:t>
      </w:r>
    </w:p>
    <w:p w14:paraId="29E69DAF">
      <w:pPr>
        <w:spacing w:before="1" w:line="221" w:lineRule="auto"/>
        <w:ind w:left="135"/>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生产性分析准则</w:t>
      </w:r>
    </w:p>
    <w:p w14:paraId="43E22E9A">
      <w:pPr>
        <w:spacing w:before="100" w:line="277" w:lineRule="auto"/>
        <w:ind w:left="135" w:right="101" w:firstLine="550"/>
        <w:rPr>
          <w:rFonts w:ascii="宋体" w:hAnsi="宋体" w:eastAsia="宋体" w:cs="宋体"/>
          <w:sz w:val="27"/>
          <w:szCs w:val="27"/>
        </w:rPr>
      </w:pPr>
      <w:r>
        <w:rPr>
          <w:rFonts w:ascii="宋体" w:hAnsi="宋体" w:eastAsia="宋体" w:cs="宋体"/>
          <w:spacing w:val="-2"/>
          <w:sz w:val="27"/>
          <w:szCs w:val="27"/>
        </w:rPr>
        <w:t>承制方对论证阶段形成的《生产性分析准则》进</w:t>
      </w:r>
      <w:r>
        <w:rPr>
          <w:rFonts w:ascii="宋体" w:hAnsi="宋体" w:eastAsia="宋体" w:cs="宋体"/>
          <w:spacing w:val="-3"/>
          <w:sz w:val="27"/>
          <w:szCs w:val="27"/>
        </w:rPr>
        <w:t>行更新，提出更加具有可操</w:t>
      </w:r>
      <w:r>
        <w:rPr>
          <w:rFonts w:ascii="宋体" w:hAnsi="宋体" w:eastAsia="宋体" w:cs="宋体"/>
          <w:sz w:val="27"/>
          <w:szCs w:val="27"/>
        </w:rPr>
        <w:t xml:space="preserve"> 作性的准则。</w:t>
      </w:r>
    </w:p>
    <w:p w14:paraId="2945B7EA">
      <w:pPr>
        <w:spacing w:before="9" w:line="276" w:lineRule="auto"/>
        <w:ind w:left="135" w:right="122" w:firstLine="550"/>
        <w:rPr>
          <w:rFonts w:ascii="宋体" w:hAnsi="宋体" w:eastAsia="宋体" w:cs="宋体"/>
          <w:sz w:val="27"/>
          <w:szCs w:val="27"/>
        </w:rPr>
      </w:pPr>
      <w:r>
        <w:rPr>
          <w:rFonts w:ascii="宋体" w:hAnsi="宋体" w:eastAsia="宋体" w:cs="宋体"/>
          <w:spacing w:val="5"/>
          <w:sz w:val="27"/>
          <w:szCs w:val="27"/>
        </w:rPr>
        <w:t>在方案阶段，应重点分析产品设计在满足产品性能要求的前提下对产品生</w:t>
      </w:r>
      <w:r>
        <w:rPr>
          <w:rFonts w:ascii="宋体" w:hAnsi="宋体" w:eastAsia="宋体" w:cs="宋体"/>
          <w:spacing w:val="11"/>
          <w:sz w:val="27"/>
          <w:szCs w:val="27"/>
        </w:rPr>
        <w:t xml:space="preserve"> </w:t>
      </w:r>
      <w:r>
        <w:rPr>
          <w:rFonts w:ascii="宋体" w:hAnsi="宋体" w:eastAsia="宋体" w:cs="宋体"/>
          <w:sz w:val="27"/>
          <w:szCs w:val="27"/>
        </w:rPr>
        <w:t>产性的影响。</w:t>
      </w:r>
    </w:p>
    <w:p w14:paraId="15A2034A">
      <w:pPr>
        <w:spacing w:before="5" w:line="276" w:lineRule="auto"/>
        <w:ind w:left="134" w:firstLine="550"/>
        <w:jc w:val="both"/>
        <w:rPr>
          <w:rFonts w:ascii="宋体" w:hAnsi="宋体" w:eastAsia="宋体" w:cs="宋体"/>
          <w:sz w:val="27"/>
          <w:szCs w:val="27"/>
        </w:rPr>
      </w:pPr>
      <w:r>
        <w:rPr>
          <w:rFonts w:ascii="Times New Roman" w:hAnsi="Times New Roman" w:eastAsia="Times New Roman" w:cs="Times New Roman"/>
          <w:spacing w:val="6"/>
          <w:sz w:val="27"/>
          <w:szCs w:val="27"/>
        </w:rPr>
        <w:t xml:space="preserve">a)  </w:t>
      </w:r>
      <w:r>
        <w:rPr>
          <w:rFonts w:ascii="宋体" w:hAnsi="宋体" w:eastAsia="宋体" w:cs="宋体"/>
          <w:spacing w:val="6"/>
          <w:sz w:val="27"/>
          <w:szCs w:val="27"/>
        </w:rPr>
        <w:t>设计简化。1)应力求使产品设计简单化、产品的几何形状尽可能简单，</w:t>
      </w:r>
      <w:r>
        <w:rPr>
          <w:rFonts w:ascii="宋体" w:hAnsi="宋体" w:eastAsia="宋体" w:cs="宋体"/>
          <w:spacing w:val="3"/>
          <w:sz w:val="27"/>
          <w:szCs w:val="27"/>
        </w:rPr>
        <w:t xml:space="preserve"> </w:t>
      </w:r>
      <w:r>
        <w:rPr>
          <w:rFonts w:ascii="宋体" w:hAnsi="宋体" w:eastAsia="宋体" w:cs="宋体"/>
          <w:spacing w:val="-2"/>
          <w:sz w:val="27"/>
          <w:szCs w:val="27"/>
        </w:rPr>
        <w:t>加工要求合理，尽可能做到在通用设备上能够加工、检验；2)尽量减少产品</w:t>
      </w:r>
      <w:r>
        <w:rPr>
          <w:rFonts w:ascii="宋体" w:hAnsi="宋体" w:eastAsia="宋体" w:cs="宋体"/>
          <w:spacing w:val="-3"/>
          <w:sz w:val="27"/>
          <w:szCs w:val="27"/>
        </w:rPr>
        <w:t>的品</w:t>
      </w:r>
      <w:r>
        <w:rPr>
          <w:rFonts w:ascii="宋体" w:hAnsi="宋体" w:eastAsia="宋体" w:cs="宋体"/>
          <w:sz w:val="27"/>
          <w:szCs w:val="27"/>
        </w:rPr>
        <w:t xml:space="preserve"> </w:t>
      </w:r>
      <w:r>
        <w:rPr>
          <w:rFonts w:ascii="宋体" w:hAnsi="宋体" w:eastAsia="宋体" w:cs="宋体"/>
          <w:spacing w:val="-6"/>
          <w:sz w:val="27"/>
          <w:szCs w:val="27"/>
        </w:rPr>
        <w:t>种规格，提高产品通用化、系列化、组合化(模块化)水平；3)</w:t>
      </w:r>
      <w:r>
        <w:rPr>
          <w:rFonts w:ascii="宋体" w:hAnsi="宋体" w:eastAsia="宋体" w:cs="宋体"/>
          <w:spacing w:val="-7"/>
          <w:sz w:val="27"/>
          <w:szCs w:val="27"/>
        </w:rPr>
        <w:t>提高产品的继承性，</w:t>
      </w:r>
      <w:r>
        <w:rPr>
          <w:rFonts w:ascii="宋体" w:hAnsi="宋体" w:eastAsia="宋体" w:cs="宋体"/>
          <w:sz w:val="27"/>
          <w:szCs w:val="27"/>
        </w:rPr>
        <w:t xml:space="preserve"> </w:t>
      </w:r>
      <w:r>
        <w:rPr>
          <w:rFonts w:ascii="宋体" w:hAnsi="宋体" w:eastAsia="宋体" w:cs="宋体"/>
          <w:spacing w:val="6"/>
          <w:sz w:val="27"/>
          <w:szCs w:val="27"/>
        </w:rPr>
        <w:t>尽量利用已批生产产品的零部件；4)在可</w:t>
      </w:r>
      <w:r>
        <w:rPr>
          <w:rFonts w:ascii="宋体" w:hAnsi="宋体" w:eastAsia="宋体" w:cs="宋体"/>
          <w:spacing w:val="5"/>
          <w:sz w:val="27"/>
          <w:szCs w:val="27"/>
        </w:rPr>
        <w:t>能的条件下优先选用无切削或少切削</w:t>
      </w:r>
      <w:r>
        <w:rPr>
          <w:rFonts w:ascii="宋体" w:hAnsi="宋体" w:eastAsia="宋体" w:cs="宋体"/>
          <w:sz w:val="27"/>
          <w:szCs w:val="27"/>
        </w:rPr>
        <w:t xml:space="preserve"> </w:t>
      </w:r>
      <w:r>
        <w:rPr>
          <w:rFonts w:ascii="宋体" w:hAnsi="宋体" w:eastAsia="宋体" w:cs="宋体"/>
          <w:spacing w:val="-9"/>
          <w:sz w:val="27"/>
          <w:szCs w:val="27"/>
        </w:rPr>
        <w:t>的加工工艺，如精锻、精铸、粉末冶金、冷</w:t>
      </w:r>
      <w:r>
        <w:rPr>
          <w:rFonts w:ascii="宋体" w:hAnsi="宋体" w:eastAsia="宋体" w:cs="宋体"/>
          <w:spacing w:val="-10"/>
          <w:sz w:val="27"/>
          <w:szCs w:val="27"/>
        </w:rPr>
        <w:t>挤压等；5)采用有利于降低装配费用的</w:t>
      </w:r>
      <w:r>
        <w:rPr>
          <w:rFonts w:ascii="宋体" w:hAnsi="宋体" w:eastAsia="宋体" w:cs="宋体"/>
          <w:sz w:val="27"/>
          <w:szCs w:val="27"/>
        </w:rPr>
        <w:t xml:space="preserve"> </w:t>
      </w:r>
      <w:r>
        <w:rPr>
          <w:rFonts w:ascii="宋体" w:hAnsi="宋体" w:eastAsia="宋体" w:cs="宋体"/>
          <w:spacing w:val="5"/>
          <w:sz w:val="27"/>
          <w:szCs w:val="27"/>
        </w:rPr>
        <w:t>设计，如减少装配件中的零件数量或把一个零件的功能合并到另一个构件中去</w:t>
      </w:r>
      <w:r>
        <w:rPr>
          <w:rFonts w:ascii="宋体" w:hAnsi="宋体" w:eastAsia="宋体" w:cs="宋体"/>
          <w:spacing w:val="7"/>
          <w:sz w:val="27"/>
          <w:szCs w:val="27"/>
        </w:rPr>
        <w:t xml:space="preserve">  </w:t>
      </w:r>
      <w:r>
        <w:rPr>
          <w:rFonts w:ascii="宋体" w:hAnsi="宋体" w:eastAsia="宋体" w:cs="宋体"/>
          <w:spacing w:val="-5"/>
          <w:sz w:val="27"/>
          <w:szCs w:val="27"/>
        </w:rPr>
        <w:t>等；6)尽量采用设计制造一体化技术。</w:t>
      </w:r>
    </w:p>
    <w:p w14:paraId="6D1E753F">
      <w:pPr>
        <w:spacing w:line="276" w:lineRule="auto"/>
        <w:rPr>
          <w:rFonts w:ascii="宋体" w:hAnsi="宋体" w:eastAsia="宋体" w:cs="宋体"/>
          <w:sz w:val="27"/>
          <w:szCs w:val="27"/>
        </w:rPr>
        <w:sectPr>
          <w:footerReference r:id="rId68" w:type="default"/>
          <w:pgSz w:w="11910" w:h="17130"/>
          <w:pgMar w:top="400" w:right="1235" w:bottom="1667" w:left="1055" w:header="0" w:footer="1450" w:gutter="0"/>
          <w:cols w:space="720" w:num="1"/>
        </w:sectPr>
      </w:pPr>
    </w:p>
    <w:p w14:paraId="56968792">
      <w:pPr>
        <w:pStyle w:val="2"/>
        <w:spacing w:line="283" w:lineRule="auto"/>
      </w:pPr>
    </w:p>
    <w:p w14:paraId="18824BF6">
      <w:pPr>
        <w:pStyle w:val="2"/>
        <w:spacing w:line="283" w:lineRule="auto"/>
      </w:pPr>
    </w:p>
    <w:p w14:paraId="22AD42FE">
      <w:pPr>
        <w:pStyle w:val="2"/>
        <w:spacing w:line="283" w:lineRule="auto"/>
      </w:pPr>
    </w:p>
    <w:p w14:paraId="56C8ECEA">
      <w:pPr>
        <w:pStyle w:val="2"/>
        <w:spacing w:line="284" w:lineRule="auto"/>
      </w:pPr>
    </w:p>
    <w:p w14:paraId="0E23C2C9">
      <w:pPr>
        <w:spacing w:before="88" w:line="283" w:lineRule="auto"/>
        <w:ind w:firstLine="539"/>
        <w:jc w:val="both"/>
        <w:rPr>
          <w:rFonts w:ascii="宋体" w:hAnsi="宋体" w:eastAsia="宋体" w:cs="宋体"/>
          <w:sz w:val="27"/>
          <w:szCs w:val="27"/>
        </w:rPr>
      </w:pPr>
      <w:r>
        <w:rPr>
          <w:rFonts w:ascii="Times New Roman" w:hAnsi="Times New Roman" w:eastAsia="Times New Roman" w:cs="Times New Roman"/>
          <w:spacing w:val="2"/>
          <w:sz w:val="27"/>
          <w:szCs w:val="27"/>
        </w:rPr>
        <w:t>b)</w:t>
      </w:r>
      <w:r>
        <w:rPr>
          <w:rFonts w:ascii="Times New Roman" w:hAnsi="Times New Roman" w:eastAsia="Times New Roman" w:cs="Times New Roman"/>
          <w:spacing w:val="79"/>
          <w:sz w:val="27"/>
          <w:szCs w:val="27"/>
        </w:rPr>
        <w:t xml:space="preserve"> </w:t>
      </w:r>
      <w:r>
        <w:rPr>
          <w:rFonts w:ascii="宋体" w:hAnsi="宋体" w:eastAsia="宋体" w:cs="宋体"/>
          <w:spacing w:val="2"/>
          <w:sz w:val="27"/>
          <w:szCs w:val="27"/>
        </w:rPr>
        <w:t>材料选择。1)材料选择除依据其物理的、机械的和化学性能外，还应考</w:t>
      </w:r>
      <w:r>
        <w:rPr>
          <w:rFonts w:ascii="宋体" w:hAnsi="宋体" w:eastAsia="宋体" w:cs="宋体"/>
          <w:sz w:val="27"/>
          <w:szCs w:val="27"/>
        </w:rPr>
        <w:t xml:space="preserve">  </w:t>
      </w:r>
      <w:r>
        <w:rPr>
          <w:rFonts w:ascii="宋体" w:hAnsi="宋体" w:eastAsia="宋体" w:cs="宋体"/>
          <w:spacing w:val="-10"/>
          <w:sz w:val="27"/>
          <w:szCs w:val="27"/>
        </w:rPr>
        <w:t>虑材料的成形性、切削性及连接性，以及热处理、表面处理等因素；2)材料应有稳</w:t>
      </w:r>
      <w:r>
        <w:rPr>
          <w:rFonts w:ascii="宋体" w:hAnsi="宋体" w:eastAsia="宋体" w:cs="宋体"/>
          <w:spacing w:val="1"/>
          <w:sz w:val="27"/>
          <w:szCs w:val="27"/>
        </w:rPr>
        <w:t xml:space="preserve">  </w:t>
      </w:r>
      <w:r>
        <w:rPr>
          <w:rFonts w:ascii="宋体" w:hAnsi="宋体" w:eastAsia="宋体" w:cs="宋体"/>
          <w:spacing w:val="-7"/>
          <w:sz w:val="27"/>
          <w:szCs w:val="27"/>
        </w:rPr>
        <w:t>定的、充足的供应，避免或控制使用关键材料；3)尽量选用标准材料品种和规格；</w:t>
      </w:r>
    </w:p>
    <w:p w14:paraId="57E4D9DA">
      <w:pPr>
        <w:spacing w:before="9" w:line="219" w:lineRule="auto"/>
        <w:rPr>
          <w:rFonts w:ascii="宋体" w:hAnsi="宋体" w:eastAsia="宋体" w:cs="宋体"/>
          <w:sz w:val="27"/>
          <w:szCs w:val="27"/>
        </w:rPr>
      </w:pPr>
      <w:r>
        <w:rPr>
          <w:rFonts w:ascii="宋体" w:hAnsi="宋体" w:eastAsia="宋体" w:cs="宋体"/>
          <w:spacing w:val="-1"/>
          <w:sz w:val="27"/>
          <w:szCs w:val="27"/>
        </w:rPr>
        <w:t>4)设计上应规定代用材料；5)优先选用低成本材料。</w:t>
      </w:r>
    </w:p>
    <w:p w14:paraId="143DAF83">
      <w:pPr>
        <w:spacing w:before="40" w:line="267" w:lineRule="auto"/>
        <w:ind w:right="117" w:firstLine="539"/>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66"/>
          <w:sz w:val="27"/>
          <w:szCs w:val="27"/>
        </w:rPr>
        <w:t xml:space="preserve"> </w:t>
      </w:r>
      <w:r>
        <w:rPr>
          <w:rFonts w:ascii="宋体" w:hAnsi="宋体" w:eastAsia="宋体" w:cs="宋体"/>
          <w:spacing w:val="3"/>
          <w:sz w:val="27"/>
          <w:szCs w:val="27"/>
        </w:rPr>
        <w:t>设计灵活性。在产品研制过程中，设计师应与材料工程师、制造工程师</w:t>
      </w:r>
      <w:r>
        <w:rPr>
          <w:rFonts w:ascii="宋体" w:hAnsi="宋体" w:eastAsia="宋体" w:cs="宋体"/>
          <w:sz w:val="27"/>
          <w:szCs w:val="27"/>
        </w:rPr>
        <w:t xml:space="preserve"> </w:t>
      </w:r>
      <w:r>
        <w:rPr>
          <w:rFonts w:ascii="宋体" w:hAnsi="宋体" w:eastAsia="宋体" w:cs="宋体"/>
          <w:spacing w:val="-3"/>
          <w:sz w:val="27"/>
          <w:szCs w:val="27"/>
        </w:rPr>
        <w:t>紧密合作，以便使该项设计能够提供尽可能多的备选材料和备选工艺方法，以期</w:t>
      </w:r>
      <w:r>
        <w:rPr>
          <w:rFonts w:ascii="宋体" w:hAnsi="宋体" w:eastAsia="宋体" w:cs="宋体"/>
          <w:spacing w:val="11"/>
          <w:sz w:val="27"/>
          <w:szCs w:val="27"/>
        </w:rPr>
        <w:t xml:space="preserve"> </w:t>
      </w:r>
      <w:r>
        <w:rPr>
          <w:rFonts w:ascii="宋体" w:hAnsi="宋体" w:eastAsia="宋体" w:cs="宋体"/>
          <w:spacing w:val="1"/>
          <w:sz w:val="27"/>
          <w:szCs w:val="27"/>
        </w:rPr>
        <w:t>获得良好的生产性。</w:t>
      </w:r>
    </w:p>
    <w:p w14:paraId="036C3EE7">
      <w:pPr>
        <w:spacing w:before="87" w:line="260" w:lineRule="auto"/>
        <w:ind w:right="123" w:firstLine="539"/>
        <w:rPr>
          <w:rFonts w:ascii="宋体" w:hAnsi="宋体" w:eastAsia="宋体" w:cs="宋体"/>
          <w:sz w:val="27"/>
          <w:szCs w:val="27"/>
        </w:rPr>
      </w:pPr>
      <w:r>
        <w:rPr>
          <w:rFonts w:ascii="Times New Roman" w:hAnsi="Times New Roman" w:eastAsia="Times New Roman" w:cs="Times New Roman"/>
          <w:spacing w:val="11"/>
          <w:sz w:val="27"/>
          <w:szCs w:val="27"/>
        </w:rPr>
        <w:t>d)</w:t>
      </w:r>
      <w:r>
        <w:rPr>
          <w:rFonts w:ascii="Times New Roman" w:hAnsi="Times New Roman" w:eastAsia="Times New Roman" w:cs="Times New Roman"/>
          <w:spacing w:val="57"/>
          <w:sz w:val="27"/>
          <w:szCs w:val="27"/>
        </w:rPr>
        <w:t xml:space="preserve"> </w:t>
      </w:r>
      <w:r>
        <w:rPr>
          <w:rFonts w:ascii="宋体" w:hAnsi="宋体" w:eastAsia="宋体" w:cs="宋体"/>
          <w:spacing w:val="11"/>
          <w:sz w:val="27"/>
          <w:szCs w:val="27"/>
        </w:rPr>
        <w:t>公差要求。1)应按产品的结构特点，承制厂现有的和规划中的生</w:t>
      </w:r>
      <w:r>
        <w:rPr>
          <w:rFonts w:ascii="宋体" w:hAnsi="宋体" w:eastAsia="宋体" w:cs="宋体"/>
          <w:spacing w:val="10"/>
          <w:sz w:val="27"/>
          <w:szCs w:val="27"/>
        </w:rPr>
        <w:t>产条</w:t>
      </w:r>
      <w:r>
        <w:rPr>
          <w:rFonts w:ascii="宋体" w:hAnsi="宋体" w:eastAsia="宋体" w:cs="宋体"/>
          <w:sz w:val="27"/>
          <w:szCs w:val="27"/>
        </w:rPr>
        <w:t xml:space="preserve"> </w:t>
      </w:r>
      <w:r>
        <w:rPr>
          <w:rFonts w:ascii="宋体" w:hAnsi="宋体" w:eastAsia="宋体" w:cs="宋体"/>
          <w:spacing w:val="-4"/>
          <w:sz w:val="27"/>
          <w:szCs w:val="27"/>
        </w:rPr>
        <w:t>件，规定合理的制造公差；2)公差确定应与所选材料和加工工艺相符。</w:t>
      </w:r>
    </w:p>
    <w:p w14:paraId="1DA9B16D">
      <w:pPr>
        <w:spacing w:before="63" w:line="271" w:lineRule="auto"/>
        <w:ind w:right="10" w:firstLine="539"/>
        <w:rPr>
          <w:rFonts w:ascii="宋体" w:hAnsi="宋体" w:eastAsia="宋体" w:cs="宋体"/>
          <w:sz w:val="25"/>
          <w:szCs w:val="25"/>
        </w:rPr>
      </w:pPr>
      <w:r>
        <w:rPr>
          <w:rFonts w:ascii="Times New Roman" w:hAnsi="Times New Roman" w:eastAsia="Times New Roman" w:cs="Times New Roman"/>
          <w:spacing w:val="17"/>
          <w:sz w:val="25"/>
          <w:szCs w:val="25"/>
        </w:rPr>
        <w:t xml:space="preserve">e)  </w:t>
      </w:r>
      <w:r>
        <w:rPr>
          <w:rFonts w:ascii="宋体" w:hAnsi="宋体" w:eastAsia="宋体" w:cs="宋体"/>
          <w:spacing w:val="17"/>
          <w:sz w:val="25"/>
          <w:szCs w:val="25"/>
        </w:rPr>
        <w:t>技术数据的准确性。图样、技术规范所提供的数据应是</w:t>
      </w:r>
      <w:r>
        <w:rPr>
          <w:rFonts w:ascii="宋体" w:hAnsi="宋体" w:eastAsia="宋体" w:cs="宋体"/>
          <w:spacing w:val="16"/>
          <w:sz w:val="25"/>
          <w:szCs w:val="25"/>
        </w:rPr>
        <w:t>有效的、准确的、</w:t>
      </w:r>
      <w:r>
        <w:rPr>
          <w:rFonts w:ascii="宋体" w:hAnsi="宋体" w:eastAsia="宋体" w:cs="宋体"/>
          <w:sz w:val="25"/>
          <w:szCs w:val="25"/>
        </w:rPr>
        <w:t xml:space="preserve"> </w:t>
      </w:r>
      <w:r>
        <w:rPr>
          <w:rFonts w:ascii="宋体" w:hAnsi="宋体" w:eastAsia="宋体" w:cs="宋体"/>
          <w:spacing w:val="4"/>
          <w:sz w:val="25"/>
          <w:szCs w:val="25"/>
        </w:rPr>
        <w:t>清晰的、协调的、解释唯一的。</w:t>
      </w:r>
    </w:p>
    <w:p w14:paraId="5782E6FD">
      <w:pPr>
        <w:spacing w:before="78" w:line="222" w:lineRule="auto"/>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spacing w:val="23"/>
          <w:sz w:val="27"/>
          <w:szCs w:val="27"/>
        </w:rPr>
        <w:t xml:space="preserve">  </w:t>
      </w:r>
      <w:r>
        <w:rPr>
          <w:rFonts w:ascii="黑体" w:hAnsi="黑体" w:eastAsia="黑体" w:cs="黑体"/>
          <w:b/>
          <w:bCs/>
          <w:spacing w:val="2"/>
          <w:sz w:val="27"/>
          <w:szCs w:val="27"/>
        </w:rPr>
        <w:t>生产性分析工作内容</w:t>
      </w:r>
    </w:p>
    <w:p w14:paraId="1B6349D9">
      <w:pPr>
        <w:spacing w:before="91" w:line="219" w:lineRule="auto"/>
        <w:ind w:left="539"/>
        <w:rPr>
          <w:rFonts w:ascii="宋体" w:hAnsi="宋体" w:eastAsia="宋体" w:cs="宋体"/>
          <w:sz w:val="27"/>
          <w:szCs w:val="27"/>
        </w:rPr>
      </w:pPr>
      <w:r>
        <w:rPr>
          <w:rFonts w:ascii="宋体" w:hAnsi="宋体" w:eastAsia="宋体" w:cs="宋体"/>
          <w:spacing w:val="4"/>
          <w:sz w:val="27"/>
          <w:szCs w:val="27"/>
        </w:rPr>
        <w:t>方案阶段生产性分析包括但不限于下列方面。</w:t>
      </w:r>
    </w:p>
    <w:p w14:paraId="4CEFA9A9">
      <w:pPr>
        <w:spacing w:before="76" w:line="222" w:lineRule="auto"/>
        <w:rPr>
          <w:rFonts w:ascii="黑体" w:hAnsi="黑体" w:eastAsia="黑体" w:cs="黑体"/>
          <w:sz w:val="27"/>
          <w:szCs w:val="27"/>
        </w:rPr>
      </w:pPr>
      <w:r>
        <w:rPr>
          <w:rFonts w:ascii="黑体" w:hAnsi="黑体" w:eastAsia="黑体" w:cs="黑体"/>
          <w:spacing w:val="2"/>
          <w:sz w:val="27"/>
          <w:szCs w:val="27"/>
        </w:rPr>
        <w:t>5.1</w:t>
      </w:r>
      <w:r>
        <w:rPr>
          <w:rFonts w:ascii="黑体" w:hAnsi="黑体" w:eastAsia="黑体" w:cs="黑体"/>
          <w:spacing w:val="17"/>
          <w:sz w:val="27"/>
          <w:szCs w:val="27"/>
        </w:rPr>
        <w:t xml:space="preserve">  </w:t>
      </w:r>
      <w:r>
        <w:rPr>
          <w:rFonts w:ascii="黑体" w:hAnsi="黑体" w:eastAsia="黑体" w:cs="黑体"/>
          <w:b/>
          <w:bCs/>
          <w:spacing w:val="2"/>
          <w:sz w:val="27"/>
          <w:szCs w:val="27"/>
        </w:rPr>
        <w:t>材料分析</w:t>
      </w:r>
    </w:p>
    <w:p w14:paraId="7AAD8D36">
      <w:pPr>
        <w:spacing w:before="69"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设计所需材料(包括备选材料)供应情况；</w:t>
      </w:r>
    </w:p>
    <w:p w14:paraId="0A03B288">
      <w:pPr>
        <w:spacing w:before="8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71"/>
          <w:sz w:val="27"/>
          <w:szCs w:val="27"/>
        </w:rPr>
        <w:t xml:space="preserve"> </w:t>
      </w:r>
      <w:r>
        <w:rPr>
          <w:rFonts w:ascii="宋体" w:hAnsi="宋体" w:eastAsia="宋体" w:cs="宋体"/>
          <w:spacing w:val="3"/>
          <w:sz w:val="27"/>
          <w:szCs w:val="27"/>
        </w:rPr>
        <w:t>材料标准化程度；</w:t>
      </w:r>
    </w:p>
    <w:p w14:paraId="1CE09B0C">
      <w:pPr>
        <w:spacing w:before="100" w:line="212" w:lineRule="auto"/>
        <w:ind w:left="539"/>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67"/>
          <w:w w:val="101"/>
          <w:sz w:val="27"/>
          <w:szCs w:val="27"/>
        </w:rPr>
        <w:t xml:space="preserve"> </w:t>
      </w:r>
      <w:r>
        <w:rPr>
          <w:rFonts w:ascii="宋体" w:hAnsi="宋体" w:eastAsia="宋体" w:cs="宋体"/>
          <w:spacing w:val="1"/>
          <w:sz w:val="27"/>
          <w:szCs w:val="27"/>
        </w:rPr>
        <w:t>材料交付周期。</w:t>
      </w:r>
    </w:p>
    <w:p w14:paraId="278ECA2D">
      <w:pPr>
        <w:spacing w:before="124" w:line="221" w:lineRule="auto"/>
        <w:rPr>
          <w:rFonts w:ascii="黑体" w:hAnsi="黑体" w:eastAsia="黑体" w:cs="黑体"/>
          <w:sz w:val="27"/>
          <w:szCs w:val="27"/>
        </w:rPr>
      </w:pPr>
      <w:r>
        <w:rPr>
          <w:rFonts w:ascii="黑体" w:hAnsi="黑体" w:eastAsia="黑体" w:cs="黑体"/>
          <w:sz w:val="27"/>
          <w:szCs w:val="27"/>
        </w:rPr>
        <w:t>5.</w:t>
      </w:r>
      <w:r>
        <w:rPr>
          <w:rFonts w:ascii="黑体" w:hAnsi="黑体" w:eastAsia="黑体" w:cs="黑体"/>
          <w:b/>
          <w:bCs/>
          <w:sz w:val="27"/>
          <w:szCs w:val="27"/>
        </w:rPr>
        <w:t>2</w:t>
      </w:r>
      <w:r>
        <w:rPr>
          <w:rFonts w:ascii="黑体" w:hAnsi="黑体" w:eastAsia="黑体" w:cs="黑体"/>
          <w:spacing w:val="20"/>
          <w:sz w:val="27"/>
          <w:szCs w:val="27"/>
        </w:rPr>
        <w:t xml:space="preserve">  </w:t>
      </w:r>
      <w:r>
        <w:rPr>
          <w:rFonts w:ascii="黑体" w:hAnsi="黑体" w:eastAsia="黑体" w:cs="黑体"/>
          <w:b/>
          <w:bCs/>
          <w:sz w:val="27"/>
          <w:szCs w:val="27"/>
        </w:rPr>
        <w:t>制造方法分析</w:t>
      </w:r>
    </w:p>
    <w:p w14:paraId="2659E8C2">
      <w:pPr>
        <w:spacing w:before="82"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规划中的制造技术研究项目可否实现；</w:t>
      </w:r>
    </w:p>
    <w:p w14:paraId="0B8BBDA0">
      <w:pPr>
        <w:spacing w:before="10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生产可行性风险分析完成状况；</w:t>
      </w:r>
    </w:p>
    <w:p w14:paraId="52CAA651">
      <w:pPr>
        <w:spacing w:before="100"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 xml:space="preserve">c)  </w:t>
      </w:r>
      <w:r>
        <w:rPr>
          <w:rFonts w:ascii="宋体" w:hAnsi="宋体" w:eastAsia="宋体" w:cs="宋体"/>
          <w:spacing w:val="2"/>
          <w:sz w:val="27"/>
          <w:szCs w:val="27"/>
        </w:rPr>
        <w:t>关键工艺验证计划的确切性；</w:t>
      </w:r>
    </w:p>
    <w:p w14:paraId="2BBFE282">
      <w:pPr>
        <w:spacing w:before="8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工装验证计划的确切性；</w:t>
      </w:r>
    </w:p>
    <w:p w14:paraId="3433FE80">
      <w:pPr>
        <w:spacing w:before="121" w:line="220" w:lineRule="auto"/>
        <w:ind w:left="539"/>
        <w:rPr>
          <w:rFonts w:ascii="宋体" w:hAnsi="宋体" w:eastAsia="宋体" w:cs="宋体"/>
          <w:sz w:val="27"/>
          <w:szCs w:val="27"/>
        </w:rPr>
      </w:pPr>
      <w:r>
        <w:rPr>
          <w:rFonts w:ascii="Times New Roman" w:hAnsi="Times New Roman" w:eastAsia="Times New Roman" w:cs="Times New Roman"/>
          <w:spacing w:val="5"/>
          <w:sz w:val="27"/>
          <w:szCs w:val="27"/>
        </w:rPr>
        <w:t>e</w:t>
      </w:r>
      <w:r>
        <w:rPr>
          <w:rFonts w:ascii="Times New Roman" w:hAnsi="Times New Roman" w:eastAsia="Times New Roman" w:cs="Times New Roman"/>
          <w:spacing w:val="-4"/>
          <w:sz w:val="27"/>
          <w:szCs w:val="27"/>
        </w:rPr>
        <w:t xml:space="preserve"> </w:t>
      </w:r>
      <w:r>
        <w:rPr>
          <w:rFonts w:ascii="宋体" w:hAnsi="宋体" w:eastAsia="宋体" w:cs="宋体"/>
          <w:spacing w:val="5"/>
          <w:sz w:val="27"/>
          <w:szCs w:val="27"/>
        </w:rPr>
        <w:t>)试验设备验证计划的确切性；</w:t>
      </w:r>
    </w:p>
    <w:p w14:paraId="2620B585">
      <w:pPr>
        <w:spacing w:before="67"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f)  </w:t>
      </w:r>
      <w:r>
        <w:rPr>
          <w:rFonts w:ascii="宋体" w:hAnsi="宋体" w:eastAsia="宋体" w:cs="宋体"/>
          <w:spacing w:val="3"/>
          <w:sz w:val="27"/>
          <w:szCs w:val="27"/>
        </w:rPr>
        <w:t>规划中的制造工艺是否可行。</w:t>
      </w:r>
    </w:p>
    <w:p w14:paraId="049EB05D">
      <w:pPr>
        <w:spacing w:before="115" w:line="222" w:lineRule="auto"/>
        <w:rPr>
          <w:rFonts w:ascii="黑体" w:hAnsi="黑体" w:eastAsia="黑体" w:cs="黑体"/>
          <w:sz w:val="27"/>
          <w:szCs w:val="27"/>
        </w:rPr>
      </w:pPr>
      <w:r>
        <w:rPr>
          <w:rFonts w:ascii="黑体" w:hAnsi="黑体" w:eastAsia="黑体" w:cs="黑体"/>
          <w:spacing w:val="1"/>
          <w:sz w:val="27"/>
          <w:szCs w:val="27"/>
        </w:rPr>
        <w:t>5.3</w:t>
      </w:r>
      <w:r>
        <w:rPr>
          <w:rFonts w:ascii="黑体" w:hAnsi="黑体" w:eastAsia="黑体" w:cs="黑体"/>
          <w:spacing w:val="17"/>
          <w:sz w:val="27"/>
          <w:szCs w:val="27"/>
        </w:rPr>
        <w:t xml:space="preserve">  </w:t>
      </w:r>
      <w:r>
        <w:rPr>
          <w:rFonts w:ascii="黑体" w:hAnsi="黑体" w:eastAsia="黑体" w:cs="黑体"/>
          <w:b/>
          <w:bCs/>
          <w:spacing w:val="1"/>
          <w:sz w:val="27"/>
          <w:szCs w:val="27"/>
        </w:rPr>
        <w:t>设计过程分析</w:t>
      </w:r>
    </w:p>
    <w:p w14:paraId="56BC6DD0">
      <w:pPr>
        <w:spacing w:before="109" w:line="219" w:lineRule="auto"/>
        <w:ind w:left="539"/>
        <w:rPr>
          <w:rFonts w:ascii="宋体" w:hAnsi="宋体" w:eastAsia="宋体" w:cs="宋体"/>
          <w:sz w:val="27"/>
          <w:szCs w:val="27"/>
        </w:rPr>
      </w:pPr>
      <w:r>
        <w:rPr>
          <w:rFonts w:ascii="Times New Roman" w:hAnsi="Times New Roman" w:eastAsia="Times New Roman" w:cs="Times New Roman"/>
          <w:sz w:val="27"/>
          <w:szCs w:val="27"/>
        </w:rPr>
        <w:t>a</w:t>
      </w:r>
      <w:r>
        <w:rPr>
          <w:rFonts w:ascii="Times New Roman" w:hAnsi="Times New Roman" w:eastAsia="Times New Roman" w:cs="Times New Roman"/>
          <w:spacing w:val="-15"/>
          <w:sz w:val="27"/>
          <w:szCs w:val="27"/>
        </w:rPr>
        <w:t xml:space="preserve"> </w:t>
      </w:r>
      <w:r>
        <w:rPr>
          <w:rFonts w:ascii="宋体" w:hAnsi="宋体" w:eastAsia="宋体" w:cs="宋体"/>
          <w:sz w:val="27"/>
          <w:szCs w:val="27"/>
        </w:rPr>
        <w:t>)</w:t>
      </w:r>
      <w:r>
        <w:rPr>
          <w:rFonts w:ascii="宋体" w:hAnsi="宋体" w:eastAsia="宋体" w:cs="宋体"/>
          <w:spacing w:val="-49"/>
          <w:sz w:val="27"/>
          <w:szCs w:val="27"/>
        </w:rPr>
        <w:t xml:space="preserve"> </w:t>
      </w:r>
      <w:r>
        <w:rPr>
          <w:rFonts w:ascii="宋体" w:hAnsi="宋体" w:eastAsia="宋体" w:cs="宋体"/>
          <w:sz w:val="27"/>
          <w:szCs w:val="27"/>
        </w:rPr>
        <w:t>结构件和材料标准化程度；</w:t>
      </w:r>
    </w:p>
    <w:p w14:paraId="2705FDF3">
      <w:pPr>
        <w:spacing w:before="71" w:line="212" w:lineRule="auto"/>
        <w:ind w:left="539"/>
        <w:rPr>
          <w:rFonts w:ascii="宋体" w:hAnsi="宋体" w:eastAsia="宋体" w:cs="宋体"/>
          <w:sz w:val="27"/>
          <w:szCs w:val="27"/>
        </w:rPr>
      </w:pPr>
      <w:r>
        <w:rPr>
          <w:rFonts w:ascii="Times New Roman" w:hAnsi="Times New Roman" w:eastAsia="Times New Roman" w:cs="Times New Roman"/>
          <w:spacing w:val="-10"/>
          <w:sz w:val="27"/>
          <w:szCs w:val="27"/>
        </w:rPr>
        <w:t xml:space="preserve">b)  </w:t>
      </w:r>
      <w:r>
        <w:rPr>
          <w:rFonts w:ascii="宋体" w:hAnsi="宋体" w:eastAsia="宋体" w:cs="宋体"/>
          <w:spacing w:val="-10"/>
          <w:sz w:val="27"/>
          <w:szCs w:val="27"/>
        </w:rPr>
        <w:t>新结构、新材料、新工艺应用状况；</w:t>
      </w:r>
    </w:p>
    <w:p w14:paraId="1FE65F76">
      <w:pPr>
        <w:spacing w:before="9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4"/>
          <w:sz w:val="27"/>
          <w:szCs w:val="27"/>
        </w:rPr>
        <w:t>关键结构设计合理性证明程度；</w:t>
      </w:r>
    </w:p>
    <w:p w14:paraId="075E18F7">
      <w:pPr>
        <w:spacing w:before="12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生产性权衡研究成果在设计中的反映情况；</w:t>
      </w:r>
    </w:p>
    <w:p w14:paraId="1029B091">
      <w:pPr>
        <w:spacing w:before="8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e)</w:t>
      </w:r>
      <w:r>
        <w:rPr>
          <w:rFonts w:ascii="Times New Roman" w:hAnsi="Times New Roman" w:eastAsia="Times New Roman" w:cs="Times New Roman"/>
          <w:spacing w:val="74"/>
          <w:w w:val="101"/>
          <w:sz w:val="27"/>
          <w:szCs w:val="27"/>
        </w:rPr>
        <w:t xml:space="preserve"> </w:t>
      </w:r>
      <w:r>
        <w:rPr>
          <w:rFonts w:ascii="宋体" w:hAnsi="宋体" w:eastAsia="宋体" w:cs="宋体"/>
          <w:spacing w:val="3"/>
          <w:sz w:val="27"/>
          <w:szCs w:val="27"/>
        </w:rPr>
        <w:t>关键材料类型和数量状况；</w:t>
      </w:r>
    </w:p>
    <w:p w14:paraId="6963D0AB">
      <w:pPr>
        <w:spacing w:before="90"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 xml:space="preserve">f)  </w:t>
      </w:r>
      <w:r>
        <w:rPr>
          <w:rFonts w:ascii="宋体" w:hAnsi="宋体" w:eastAsia="宋体" w:cs="宋体"/>
          <w:spacing w:val="2"/>
          <w:sz w:val="27"/>
          <w:szCs w:val="27"/>
        </w:rPr>
        <w:t>制造和装配限制情况；</w:t>
      </w:r>
    </w:p>
    <w:p w14:paraId="18E5207A">
      <w:pPr>
        <w:spacing w:before="11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g)  </w:t>
      </w:r>
      <w:r>
        <w:rPr>
          <w:rFonts w:ascii="宋体" w:hAnsi="宋体" w:eastAsia="宋体" w:cs="宋体"/>
          <w:spacing w:val="4"/>
          <w:sz w:val="27"/>
          <w:szCs w:val="27"/>
        </w:rPr>
        <w:t>利用现存的和新的工艺资源的验证情况；</w:t>
      </w:r>
    </w:p>
    <w:p w14:paraId="6E797E23">
      <w:pPr>
        <w:spacing w:before="9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h)  </w:t>
      </w:r>
      <w:r>
        <w:rPr>
          <w:rFonts w:ascii="宋体" w:hAnsi="宋体" w:eastAsia="宋体" w:cs="宋体"/>
          <w:spacing w:val="4"/>
          <w:sz w:val="27"/>
          <w:szCs w:val="27"/>
        </w:rPr>
        <w:t>管理部门的设置及其运作状况。</w:t>
      </w:r>
    </w:p>
    <w:p w14:paraId="3F13538A">
      <w:pPr>
        <w:spacing w:line="212" w:lineRule="auto"/>
        <w:rPr>
          <w:rFonts w:ascii="宋体" w:hAnsi="宋体" w:eastAsia="宋体" w:cs="宋体"/>
          <w:sz w:val="27"/>
          <w:szCs w:val="27"/>
        </w:rPr>
        <w:sectPr>
          <w:footerReference r:id="rId69" w:type="default"/>
          <w:pgSz w:w="11910" w:h="17130"/>
          <w:pgMar w:top="400" w:right="1005" w:bottom="1443" w:left="1430" w:header="0" w:footer="1245" w:gutter="0"/>
          <w:cols w:space="720" w:num="1"/>
        </w:sectPr>
      </w:pPr>
    </w:p>
    <w:p w14:paraId="75BA37F4">
      <w:pPr>
        <w:pStyle w:val="2"/>
        <w:spacing w:line="260" w:lineRule="auto"/>
      </w:pPr>
    </w:p>
    <w:p w14:paraId="41461341">
      <w:pPr>
        <w:pStyle w:val="2"/>
        <w:spacing w:line="261" w:lineRule="auto"/>
      </w:pPr>
    </w:p>
    <w:p w14:paraId="4199E823">
      <w:pPr>
        <w:pStyle w:val="2"/>
        <w:spacing w:line="261" w:lineRule="auto"/>
      </w:pPr>
    </w:p>
    <w:p w14:paraId="37B8A9A2">
      <w:pPr>
        <w:pStyle w:val="2"/>
        <w:spacing w:line="261" w:lineRule="auto"/>
      </w:pPr>
    </w:p>
    <w:p w14:paraId="3AA54D54">
      <w:pPr>
        <w:spacing w:before="87" w:line="222"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9"/>
          <w:sz w:val="27"/>
          <w:szCs w:val="27"/>
        </w:rPr>
        <w:t xml:space="preserve">  </w:t>
      </w:r>
      <w:r>
        <w:rPr>
          <w:rFonts w:ascii="黑体" w:hAnsi="黑体" w:eastAsia="黑体" w:cs="黑体"/>
          <w:b/>
          <w:bCs/>
          <w:spacing w:val="-1"/>
          <w:sz w:val="27"/>
          <w:szCs w:val="27"/>
        </w:rPr>
        <w:t>生产性分析结论</w:t>
      </w:r>
    </w:p>
    <w:p w14:paraId="596F622F">
      <w:pPr>
        <w:spacing w:before="58" w:line="310" w:lineRule="auto"/>
        <w:ind w:firstLine="560"/>
        <w:rPr>
          <w:rFonts w:ascii="宋体" w:hAnsi="宋体" w:eastAsia="宋体" w:cs="宋体"/>
          <w:sz w:val="27"/>
          <w:szCs w:val="27"/>
        </w:rPr>
      </w:pPr>
      <w:r>
        <w:rPr>
          <w:rFonts w:ascii="宋体" w:hAnsi="宋体" w:eastAsia="宋体" w:cs="宋体"/>
          <w:spacing w:val="-3"/>
          <w:sz w:val="27"/>
          <w:szCs w:val="27"/>
        </w:rPr>
        <w:t>在对材料、制造方法和设计过程等方面进行生产性分析后，给出产品设计是</w:t>
      </w:r>
      <w:r>
        <w:rPr>
          <w:rFonts w:ascii="宋体" w:hAnsi="宋体" w:eastAsia="宋体" w:cs="宋体"/>
          <w:spacing w:val="1"/>
          <w:sz w:val="27"/>
          <w:szCs w:val="27"/>
        </w:rPr>
        <w:t xml:space="preserve"> </w:t>
      </w:r>
      <w:r>
        <w:rPr>
          <w:rFonts w:ascii="宋体" w:hAnsi="宋体" w:eastAsia="宋体" w:cs="宋体"/>
          <w:spacing w:val="2"/>
          <w:sz w:val="27"/>
          <w:szCs w:val="27"/>
        </w:rPr>
        <w:t>否符合生产性要求的结论性意见。</w:t>
      </w:r>
    </w:p>
    <w:p w14:paraId="02D43EDC">
      <w:pPr>
        <w:spacing w:before="270" w:line="223" w:lineRule="auto"/>
        <w:ind w:left="3239"/>
        <w:outlineLvl w:val="1"/>
        <w:rPr>
          <w:rFonts w:ascii="仿宋" w:hAnsi="仿宋" w:eastAsia="仿宋" w:cs="仿宋"/>
          <w:sz w:val="37"/>
          <w:szCs w:val="37"/>
        </w:rPr>
      </w:pPr>
      <w:bookmarkStart w:id="36" w:name="bookmark18"/>
      <w:bookmarkEnd w:id="36"/>
      <w:r>
        <w:rPr>
          <w:rFonts w:ascii="宋体" w:hAnsi="宋体" w:eastAsia="宋体" w:cs="宋体"/>
          <w:spacing w:val="-16"/>
          <w:sz w:val="37"/>
          <w:szCs w:val="37"/>
        </w:rPr>
        <w:t>1.</w:t>
      </w:r>
      <w:r>
        <w:rPr>
          <w:rFonts w:ascii="宋体" w:hAnsi="宋体" w:eastAsia="宋体" w:cs="宋体"/>
          <w:b/>
          <w:bCs/>
          <w:spacing w:val="-16"/>
          <w:sz w:val="37"/>
          <w:szCs w:val="37"/>
        </w:rPr>
        <w:t>16</w:t>
      </w:r>
      <w:r>
        <w:rPr>
          <w:rFonts w:ascii="宋体" w:hAnsi="宋体" w:eastAsia="宋体" w:cs="宋体"/>
          <w:spacing w:val="16"/>
          <w:sz w:val="37"/>
          <w:szCs w:val="37"/>
        </w:rPr>
        <w:t xml:space="preserve">  </w:t>
      </w:r>
      <w:r>
        <w:rPr>
          <w:rFonts w:ascii="宋体" w:hAnsi="宋体" w:eastAsia="宋体" w:cs="宋体"/>
          <w:b/>
          <w:bCs/>
          <w:spacing w:val="-16"/>
          <w:sz w:val="37"/>
          <w:szCs w:val="37"/>
        </w:rPr>
        <w:t>研</w:t>
      </w:r>
      <w:r>
        <w:rPr>
          <w:rFonts w:ascii="宋体" w:hAnsi="宋体" w:eastAsia="宋体" w:cs="宋体"/>
          <w:spacing w:val="-45"/>
          <w:sz w:val="37"/>
          <w:szCs w:val="37"/>
        </w:rPr>
        <w:t xml:space="preserve"> </w:t>
      </w:r>
      <w:r>
        <w:rPr>
          <w:rFonts w:ascii="宋体" w:hAnsi="宋体" w:eastAsia="宋体" w:cs="宋体"/>
          <w:b/>
          <w:bCs/>
          <w:spacing w:val="-16"/>
          <w:sz w:val="37"/>
          <w:szCs w:val="37"/>
        </w:rPr>
        <w:t>制</w:t>
      </w:r>
      <w:r>
        <w:rPr>
          <w:rFonts w:ascii="宋体" w:hAnsi="宋体" w:eastAsia="宋体" w:cs="宋体"/>
          <w:spacing w:val="-45"/>
          <w:sz w:val="37"/>
          <w:szCs w:val="37"/>
        </w:rPr>
        <w:t xml:space="preserve"> </w:t>
      </w:r>
      <w:r>
        <w:rPr>
          <w:rFonts w:ascii="宋体" w:hAnsi="宋体" w:eastAsia="宋体" w:cs="宋体"/>
          <w:b/>
          <w:bCs/>
          <w:spacing w:val="-16"/>
          <w:sz w:val="37"/>
          <w:szCs w:val="37"/>
        </w:rPr>
        <w:t>方</w:t>
      </w:r>
      <w:r>
        <w:rPr>
          <w:rFonts w:ascii="宋体" w:hAnsi="宋体" w:eastAsia="宋体" w:cs="宋体"/>
          <w:spacing w:val="-49"/>
          <w:sz w:val="37"/>
          <w:szCs w:val="37"/>
        </w:rPr>
        <w:t xml:space="preserve"> </w:t>
      </w:r>
      <w:r>
        <w:rPr>
          <w:rFonts w:ascii="仿宋" w:hAnsi="仿宋" w:eastAsia="仿宋" w:cs="仿宋"/>
          <w:b/>
          <w:bCs/>
          <w:spacing w:val="-16"/>
          <w:sz w:val="37"/>
          <w:szCs w:val="37"/>
        </w:rPr>
        <w:t>案</w:t>
      </w:r>
    </w:p>
    <w:p w14:paraId="6009AA30">
      <w:pPr>
        <w:pStyle w:val="2"/>
        <w:spacing w:line="368" w:lineRule="auto"/>
      </w:pPr>
    </w:p>
    <w:p w14:paraId="63E78F2D">
      <w:pPr>
        <w:spacing w:before="82"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42"/>
          <w:sz w:val="25"/>
          <w:szCs w:val="25"/>
        </w:rPr>
        <w:t xml:space="preserve">  </w:t>
      </w:r>
      <w:r>
        <w:rPr>
          <w:rFonts w:ascii="黑体" w:hAnsi="黑体" w:eastAsia="黑体" w:cs="黑体"/>
          <w:b/>
          <w:bCs/>
          <w:spacing w:val="14"/>
          <w:sz w:val="25"/>
          <w:szCs w:val="25"/>
        </w:rPr>
        <w:t>适用范围</w:t>
      </w:r>
    </w:p>
    <w:p w14:paraId="007057A0">
      <w:pPr>
        <w:spacing w:before="102" w:line="219" w:lineRule="auto"/>
        <w:ind w:left="560"/>
        <w:rPr>
          <w:rFonts w:ascii="宋体" w:hAnsi="宋体" w:eastAsia="宋体" w:cs="宋体"/>
          <w:sz w:val="27"/>
          <w:szCs w:val="27"/>
        </w:rPr>
      </w:pPr>
      <w:r>
        <w:rPr>
          <w:rFonts w:ascii="宋体" w:hAnsi="宋体" w:eastAsia="宋体" w:cs="宋体"/>
          <w:spacing w:val="-1"/>
          <w:sz w:val="27"/>
          <w:szCs w:val="27"/>
        </w:rPr>
        <w:t>说明该研制方案的适用范围，包括适用对象和适用阶段等。</w:t>
      </w:r>
    </w:p>
    <w:p w14:paraId="0EE0EA49">
      <w:pPr>
        <w:spacing w:before="74"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8"/>
          <w:sz w:val="27"/>
          <w:szCs w:val="27"/>
        </w:rPr>
        <w:t xml:space="preserve">  </w:t>
      </w:r>
      <w:r>
        <w:rPr>
          <w:rFonts w:ascii="黑体" w:hAnsi="黑体" w:eastAsia="黑体" w:cs="黑体"/>
          <w:b/>
          <w:bCs/>
          <w:spacing w:val="-1"/>
          <w:sz w:val="27"/>
          <w:szCs w:val="27"/>
        </w:rPr>
        <w:t>研制依据</w:t>
      </w:r>
    </w:p>
    <w:p w14:paraId="54DBF096">
      <w:pPr>
        <w:spacing w:before="89" w:line="219" w:lineRule="auto"/>
        <w:ind w:left="560"/>
        <w:rPr>
          <w:rFonts w:ascii="宋体" w:hAnsi="宋体" w:eastAsia="宋体" w:cs="宋体"/>
          <w:sz w:val="27"/>
          <w:szCs w:val="27"/>
        </w:rPr>
      </w:pPr>
      <w:r>
        <w:rPr>
          <w:rFonts w:ascii="宋体" w:hAnsi="宋体" w:eastAsia="宋体" w:cs="宋体"/>
          <w:sz w:val="27"/>
          <w:szCs w:val="27"/>
        </w:rPr>
        <w:t>列出经过批复的研制依据，以及相关的国家军用</w:t>
      </w:r>
      <w:r>
        <w:rPr>
          <w:rFonts w:ascii="宋体" w:hAnsi="宋体" w:eastAsia="宋体" w:cs="宋体"/>
          <w:spacing w:val="-1"/>
          <w:sz w:val="27"/>
          <w:szCs w:val="27"/>
        </w:rPr>
        <w:t>标准和规范。</w:t>
      </w:r>
    </w:p>
    <w:p w14:paraId="6E5351C1">
      <w:pPr>
        <w:spacing w:before="95" w:line="221"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22"/>
          <w:sz w:val="27"/>
          <w:szCs w:val="27"/>
        </w:rPr>
        <w:t xml:space="preserve">  </w:t>
      </w:r>
      <w:r>
        <w:rPr>
          <w:rFonts w:ascii="黑体" w:hAnsi="黑体" w:eastAsia="黑体" w:cs="黑体"/>
          <w:b/>
          <w:bCs/>
          <w:spacing w:val="-2"/>
          <w:sz w:val="27"/>
          <w:szCs w:val="27"/>
        </w:rPr>
        <w:t>系统组成和工作原理</w:t>
      </w:r>
    </w:p>
    <w:p w14:paraId="3BE21162">
      <w:pPr>
        <w:spacing w:before="116" w:line="221" w:lineRule="auto"/>
        <w:rPr>
          <w:rFonts w:ascii="黑体" w:hAnsi="黑体" w:eastAsia="黑体" w:cs="黑体"/>
          <w:sz w:val="24"/>
          <w:szCs w:val="24"/>
        </w:rPr>
      </w:pPr>
      <w:r>
        <w:rPr>
          <w:rFonts w:ascii="黑体" w:hAnsi="黑体" w:eastAsia="黑体" w:cs="黑体"/>
          <w:spacing w:val="17"/>
          <w:sz w:val="24"/>
          <w:szCs w:val="24"/>
        </w:rPr>
        <w:t>3.</w:t>
      </w:r>
      <w:r>
        <w:rPr>
          <w:rFonts w:ascii="黑体" w:hAnsi="黑体" w:eastAsia="黑体" w:cs="黑体"/>
          <w:b/>
          <w:bCs/>
          <w:spacing w:val="17"/>
          <w:sz w:val="24"/>
          <w:szCs w:val="24"/>
        </w:rPr>
        <w:t>1</w:t>
      </w:r>
      <w:r>
        <w:rPr>
          <w:rFonts w:ascii="黑体" w:hAnsi="黑体" w:eastAsia="黑体" w:cs="黑体"/>
          <w:spacing w:val="51"/>
          <w:sz w:val="24"/>
          <w:szCs w:val="24"/>
        </w:rPr>
        <w:t xml:space="preserve">  </w:t>
      </w:r>
      <w:r>
        <w:rPr>
          <w:rFonts w:ascii="黑体" w:hAnsi="黑体" w:eastAsia="黑体" w:cs="黑体"/>
          <w:b/>
          <w:bCs/>
          <w:spacing w:val="17"/>
          <w:sz w:val="24"/>
          <w:szCs w:val="24"/>
        </w:rPr>
        <w:t>系统组成</w:t>
      </w:r>
    </w:p>
    <w:p w14:paraId="58DC3B60">
      <w:pPr>
        <w:spacing w:before="98" w:line="219" w:lineRule="auto"/>
        <w:ind w:left="560"/>
        <w:rPr>
          <w:rFonts w:ascii="宋体" w:hAnsi="宋体" w:eastAsia="宋体" w:cs="宋体"/>
          <w:sz w:val="27"/>
          <w:szCs w:val="27"/>
        </w:rPr>
      </w:pPr>
      <w:r>
        <w:rPr>
          <w:rFonts w:ascii="宋体" w:hAnsi="宋体" w:eastAsia="宋体" w:cs="宋体"/>
          <w:spacing w:val="-5"/>
          <w:sz w:val="27"/>
          <w:szCs w:val="27"/>
        </w:rPr>
        <w:t>简要说明系统的组成，在文字说明的基础上，可列表</w:t>
      </w:r>
      <w:r>
        <w:rPr>
          <w:rFonts w:ascii="宋体" w:hAnsi="宋体" w:eastAsia="宋体" w:cs="宋体"/>
          <w:spacing w:val="-6"/>
          <w:sz w:val="27"/>
          <w:szCs w:val="27"/>
        </w:rPr>
        <w:t>或图示说明。</w:t>
      </w:r>
    </w:p>
    <w:p w14:paraId="588DB88F">
      <w:pPr>
        <w:spacing w:before="105" w:line="221" w:lineRule="auto"/>
        <w:rPr>
          <w:rFonts w:ascii="黑体" w:hAnsi="黑体" w:eastAsia="黑体" w:cs="黑体"/>
          <w:sz w:val="24"/>
          <w:szCs w:val="24"/>
        </w:rPr>
      </w:pPr>
      <w:r>
        <w:rPr>
          <w:rFonts w:ascii="黑体" w:hAnsi="黑体" w:eastAsia="黑体" w:cs="黑体"/>
          <w:spacing w:val="21"/>
          <w:sz w:val="24"/>
          <w:szCs w:val="24"/>
        </w:rPr>
        <w:t>3.</w:t>
      </w:r>
      <w:r>
        <w:rPr>
          <w:rFonts w:ascii="黑体" w:hAnsi="黑体" w:eastAsia="黑体" w:cs="黑体"/>
          <w:b/>
          <w:bCs/>
          <w:spacing w:val="21"/>
          <w:sz w:val="24"/>
          <w:szCs w:val="24"/>
        </w:rPr>
        <w:t>2</w:t>
      </w:r>
      <w:r>
        <w:rPr>
          <w:rFonts w:ascii="黑体" w:hAnsi="黑体" w:eastAsia="黑体" w:cs="黑体"/>
          <w:spacing w:val="49"/>
          <w:sz w:val="24"/>
          <w:szCs w:val="24"/>
        </w:rPr>
        <w:t xml:space="preserve">  </w:t>
      </w:r>
      <w:r>
        <w:rPr>
          <w:rFonts w:ascii="黑体" w:hAnsi="黑体" w:eastAsia="黑体" w:cs="黑体"/>
          <w:b/>
          <w:bCs/>
          <w:spacing w:val="21"/>
          <w:sz w:val="24"/>
          <w:szCs w:val="24"/>
        </w:rPr>
        <w:t>系统工作原理</w:t>
      </w:r>
    </w:p>
    <w:p w14:paraId="095F8F79">
      <w:pPr>
        <w:spacing w:before="98" w:line="219" w:lineRule="auto"/>
        <w:ind w:left="560"/>
        <w:rPr>
          <w:rFonts w:ascii="宋体" w:hAnsi="宋体" w:eastAsia="宋体" w:cs="宋体"/>
          <w:sz w:val="27"/>
          <w:szCs w:val="27"/>
        </w:rPr>
      </w:pPr>
      <w:r>
        <w:rPr>
          <w:rFonts w:ascii="宋体" w:hAnsi="宋体" w:eastAsia="宋体" w:cs="宋体"/>
          <w:spacing w:val="-3"/>
          <w:sz w:val="27"/>
          <w:szCs w:val="27"/>
        </w:rPr>
        <w:t>简要说明系统的工作原理，各组成部分完成的功能。</w:t>
      </w:r>
    </w:p>
    <w:p w14:paraId="4F5E5CA3">
      <w:pPr>
        <w:pStyle w:val="2"/>
        <w:spacing w:before="85" w:line="222" w:lineRule="auto"/>
        <w:rPr>
          <w:rFonts w:ascii="黑体" w:hAnsi="黑体" w:eastAsia="黑体" w:cs="黑体"/>
          <w:sz w:val="27"/>
          <w:szCs w:val="27"/>
        </w:rPr>
      </w:pPr>
      <w:r>
        <w:rPr>
          <w:b/>
          <w:bCs/>
          <w:spacing w:val="1"/>
          <w:sz w:val="27"/>
          <w:szCs w:val="27"/>
        </w:rPr>
        <w:t>4</w:t>
      </w:r>
      <w:r>
        <w:rPr>
          <w:b/>
          <w:bCs/>
          <w:spacing w:val="21"/>
          <w:sz w:val="27"/>
          <w:szCs w:val="27"/>
        </w:rPr>
        <w:t xml:space="preserve">   </w:t>
      </w:r>
      <w:r>
        <w:rPr>
          <w:rFonts w:ascii="黑体" w:hAnsi="黑体" w:eastAsia="黑体" w:cs="黑体"/>
          <w:b/>
          <w:bCs/>
          <w:spacing w:val="1"/>
          <w:sz w:val="27"/>
          <w:szCs w:val="27"/>
        </w:rPr>
        <w:t>主要战术技术指标及使用要求</w:t>
      </w:r>
    </w:p>
    <w:p w14:paraId="21951B0D">
      <w:pPr>
        <w:spacing w:before="88" w:line="222" w:lineRule="auto"/>
        <w:rPr>
          <w:rFonts w:ascii="黑体" w:hAnsi="黑体" w:eastAsia="黑体" w:cs="黑体"/>
          <w:sz w:val="27"/>
          <w:szCs w:val="27"/>
        </w:rPr>
      </w:pPr>
      <w:r>
        <w:rPr>
          <w:rFonts w:ascii="黑体" w:hAnsi="黑体" w:eastAsia="黑体" w:cs="黑体"/>
          <w:sz w:val="27"/>
          <w:szCs w:val="27"/>
        </w:rPr>
        <w:t>4.1</w:t>
      </w:r>
      <w:r>
        <w:rPr>
          <w:rFonts w:ascii="黑体" w:hAnsi="黑体" w:eastAsia="黑体" w:cs="黑体"/>
          <w:spacing w:val="16"/>
          <w:sz w:val="27"/>
          <w:szCs w:val="27"/>
        </w:rPr>
        <w:t xml:space="preserve">  </w:t>
      </w:r>
      <w:r>
        <w:rPr>
          <w:rFonts w:ascii="黑体" w:hAnsi="黑体" w:eastAsia="黑体" w:cs="黑体"/>
          <w:b/>
          <w:bCs/>
          <w:sz w:val="27"/>
          <w:szCs w:val="27"/>
        </w:rPr>
        <w:t>主要战术指标</w:t>
      </w:r>
    </w:p>
    <w:p w14:paraId="67798718">
      <w:pPr>
        <w:spacing w:before="89" w:line="219" w:lineRule="auto"/>
        <w:ind w:left="560"/>
        <w:rPr>
          <w:rFonts w:ascii="宋体" w:hAnsi="宋体" w:eastAsia="宋体" w:cs="宋体"/>
          <w:sz w:val="27"/>
          <w:szCs w:val="27"/>
        </w:rPr>
      </w:pPr>
      <w:r>
        <w:rPr>
          <w:rFonts w:ascii="宋体" w:hAnsi="宋体" w:eastAsia="宋体" w:cs="宋体"/>
          <w:spacing w:val="-2"/>
          <w:sz w:val="27"/>
          <w:szCs w:val="27"/>
        </w:rPr>
        <w:t>按照研制总要求或研制合同，逐项列出主要战术</w:t>
      </w:r>
      <w:r>
        <w:rPr>
          <w:rFonts w:ascii="宋体" w:hAnsi="宋体" w:eastAsia="宋体" w:cs="宋体"/>
          <w:spacing w:val="-3"/>
          <w:sz w:val="27"/>
          <w:szCs w:val="27"/>
        </w:rPr>
        <w:t>指标。</w:t>
      </w:r>
    </w:p>
    <w:p w14:paraId="38625094">
      <w:pPr>
        <w:spacing w:before="66" w:line="222" w:lineRule="auto"/>
        <w:rPr>
          <w:rFonts w:ascii="黑体" w:hAnsi="黑体" w:eastAsia="黑体" w:cs="黑体"/>
          <w:sz w:val="27"/>
          <w:szCs w:val="27"/>
        </w:rPr>
      </w:pPr>
      <w:r>
        <w:rPr>
          <w:rFonts w:ascii="黑体" w:hAnsi="黑体" w:eastAsia="黑体" w:cs="黑体"/>
          <w:sz w:val="27"/>
          <w:szCs w:val="27"/>
        </w:rPr>
        <w:t>4.2</w:t>
      </w:r>
      <w:r>
        <w:rPr>
          <w:rFonts w:ascii="黑体" w:hAnsi="黑体" w:eastAsia="黑体" w:cs="黑体"/>
          <w:spacing w:val="25"/>
          <w:sz w:val="27"/>
          <w:szCs w:val="27"/>
        </w:rPr>
        <w:t xml:space="preserve">  </w:t>
      </w:r>
      <w:r>
        <w:rPr>
          <w:rFonts w:ascii="黑体" w:hAnsi="黑体" w:eastAsia="黑体" w:cs="黑体"/>
          <w:b/>
          <w:bCs/>
          <w:sz w:val="27"/>
          <w:szCs w:val="27"/>
        </w:rPr>
        <w:t>主要技术指标</w:t>
      </w:r>
    </w:p>
    <w:p w14:paraId="1DBB6860">
      <w:pPr>
        <w:spacing w:before="99" w:line="219" w:lineRule="auto"/>
        <w:ind w:left="560"/>
        <w:rPr>
          <w:rFonts w:ascii="宋体" w:hAnsi="宋体" w:eastAsia="宋体" w:cs="宋体"/>
          <w:sz w:val="27"/>
          <w:szCs w:val="27"/>
        </w:rPr>
      </w:pPr>
      <w:r>
        <w:rPr>
          <w:rFonts w:ascii="宋体" w:hAnsi="宋体" w:eastAsia="宋体" w:cs="宋体"/>
          <w:spacing w:val="-2"/>
          <w:sz w:val="27"/>
          <w:szCs w:val="27"/>
        </w:rPr>
        <w:t>按照研制总要求或研制合同，逐项列出主要技术</w:t>
      </w:r>
      <w:r>
        <w:rPr>
          <w:rFonts w:ascii="宋体" w:hAnsi="宋体" w:eastAsia="宋体" w:cs="宋体"/>
          <w:spacing w:val="-3"/>
          <w:sz w:val="27"/>
          <w:szCs w:val="27"/>
        </w:rPr>
        <w:t>指标。</w:t>
      </w:r>
    </w:p>
    <w:p w14:paraId="5636B0D5">
      <w:pPr>
        <w:spacing w:before="64" w:line="222" w:lineRule="auto"/>
        <w:rPr>
          <w:rFonts w:ascii="黑体" w:hAnsi="黑体" w:eastAsia="黑体" w:cs="黑体"/>
          <w:sz w:val="27"/>
          <w:szCs w:val="27"/>
        </w:rPr>
      </w:pPr>
      <w:r>
        <w:rPr>
          <w:rFonts w:ascii="黑体" w:hAnsi="黑体" w:eastAsia="黑体" w:cs="黑体"/>
          <w:sz w:val="27"/>
          <w:szCs w:val="27"/>
        </w:rPr>
        <w:t>4.3</w:t>
      </w:r>
      <w:r>
        <w:rPr>
          <w:rFonts w:ascii="黑体" w:hAnsi="黑体" w:eastAsia="黑体" w:cs="黑体"/>
          <w:spacing w:val="18"/>
          <w:sz w:val="27"/>
          <w:szCs w:val="27"/>
        </w:rPr>
        <w:t xml:space="preserve">  </w:t>
      </w:r>
      <w:r>
        <w:rPr>
          <w:rFonts w:ascii="黑体" w:hAnsi="黑体" w:eastAsia="黑体" w:cs="黑体"/>
          <w:b/>
          <w:bCs/>
          <w:sz w:val="27"/>
          <w:szCs w:val="27"/>
        </w:rPr>
        <w:t>主要使用要求</w:t>
      </w:r>
    </w:p>
    <w:p w14:paraId="3CF5BCD2">
      <w:pPr>
        <w:spacing w:before="91" w:line="219" w:lineRule="auto"/>
        <w:ind w:left="560"/>
        <w:rPr>
          <w:rFonts w:ascii="宋体" w:hAnsi="宋体" w:eastAsia="宋体" w:cs="宋体"/>
          <w:sz w:val="27"/>
          <w:szCs w:val="27"/>
        </w:rPr>
      </w:pPr>
      <w:r>
        <w:rPr>
          <w:rFonts w:ascii="宋体" w:hAnsi="宋体" w:eastAsia="宋体" w:cs="宋体"/>
          <w:spacing w:val="-2"/>
          <w:sz w:val="27"/>
          <w:szCs w:val="27"/>
        </w:rPr>
        <w:t>按照研制总要求或研制合同，逐项列出主要使用</w:t>
      </w:r>
      <w:r>
        <w:rPr>
          <w:rFonts w:ascii="宋体" w:hAnsi="宋体" w:eastAsia="宋体" w:cs="宋体"/>
          <w:spacing w:val="-3"/>
          <w:sz w:val="27"/>
          <w:szCs w:val="27"/>
        </w:rPr>
        <w:t>要求。</w:t>
      </w:r>
    </w:p>
    <w:p w14:paraId="5C5F2BFD">
      <w:pPr>
        <w:spacing w:before="93" w:line="221" w:lineRule="auto"/>
        <w:rPr>
          <w:rFonts w:ascii="黑体" w:hAnsi="黑体" w:eastAsia="黑体" w:cs="黑体"/>
          <w:sz w:val="27"/>
          <w:szCs w:val="27"/>
        </w:rPr>
      </w:pPr>
      <w:r>
        <w:rPr>
          <w:rFonts w:ascii="黑体" w:hAnsi="黑体" w:eastAsia="黑体" w:cs="黑体"/>
          <w:sz w:val="27"/>
          <w:szCs w:val="27"/>
        </w:rPr>
        <w:t>5</w:t>
      </w:r>
      <w:r>
        <w:rPr>
          <w:rFonts w:ascii="黑体" w:hAnsi="黑体" w:eastAsia="黑体" w:cs="黑体"/>
          <w:spacing w:val="17"/>
          <w:sz w:val="27"/>
          <w:szCs w:val="27"/>
        </w:rPr>
        <w:t xml:space="preserve">  </w:t>
      </w:r>
      <w:r>
        <w:rPr>
          <w:rFonts w:ascii="黑体" w:hAnsi="黑体" w:eastAsia="黑体" w:cs="黑体"/>
          <w:b/>
          <w:bCs/>
          <w:sz w:val="27"/>
          <w:szCs w:val="27"/>
        </w:rPr>
        <w:t>总体技术方案</w:t>
      </w:r>
    </w:p>
    <w:p w14:paraId="20E2DB99">
      <w:pPr>
        <w:spacing w:before="88" w:line="222" w:lineRule="auto"/>
        <w:rPr>
          <w:rFonts w:ascii="黑体" w:hAnsi="黑体" w:eastAsia="黑体" w:cs="黑体"/>
          <w:sz w:val="27"/>
          <w:szCs w:val="27"/>
        </w:rPr>
      </w:pPr>
      <w:r>
        <w:rPr>
          <w:rFonts w:ascii="黑体" w:hAnsi="黑体" w:eastAsia="黑体" w:cs="黑体"/>
          <w:spacing w:val="-1"/>
          <w:sz w:val="27"/>
          <w:szCs w:val="27"/>
        </w:rPr>
        <w:t>5.1</w:t>
      </w:r>
      <w:r>
        <w:rPr>
          <w:rFonts w:ascii="黑体" w:hAnsi="黑体" w:eastAsia="黑体" w:cs="黑体"/>
          <w:spacing w:val="20"/>
          <w:sz w:val="27"/>
          <w:szCs w:val="27"/>
        </w:rPr>
        <w:t xml:space="preserve">  </w:t>
      </w:r>
      <w:r>
        <w:rPr>
          <w:rFonts w:ascii="黑体" w:hAnsi="黑体" w:eastAsia="黑体" w:cs="黑体"/>
          <w:b/>
          <w:bCs/>
          <w:spacing w:val="-1"/>
          <w:sz w:val="27"/>
          <w:szCs w:val="27"/>
        </w:rPr>
        <w:t>总体设计思路</w:t>
      </w:r>
    </w:p>
    <w:p w14:paraId="0988EEBE">
      <w:pPr>
        <w:spacing w:before="111" w:line="219" w:lineRule="auto"/>
        <w:ind w:left="560"/>
        <w:rPr>
          <w:rFonts w:ascii="宋体" w:hAnsi="宋体" w:eastAsia="宋体" w:cs="宋体"/>
          <w:sz w:val="27"/>
          <w:szCs w:val="27"/>
        </w:rPr>
      </w:pPr>
      <w:r>
        <w:rPr>
          <w:rFonts w:ascii="宋体" w:hAnsi="宋体" w:eastAsia="宋体" w:cs="宋体"/>
          <w:spacing w:val="-10"/>
          <w:sz w:val="27"/>
          <w:szCs w:val="27"/>
        </w:rPr>
        <w:t>描述总体设计原则、设计思路、技术方案等。</w:t>
      </w:r>
    </w:p>
    <w:p w14:paraId="1116A309">
      <w:pPr>
        <w:pStyle w:val="2"/>
        <w:spacing w:before="63" w:line="221" w:lineRule="auto"/>
        <w:rPr>
          <w:rFonts w:ascii="黑体" w:hAnsi="黑体" w:eastAsia="黑体" w:cs="黑体"/>
          <w:sz w:val="27"/>
          <w:szCs w:val="27"/>
        </w:rPr>
      </w:pPr>
      <w:r>
        <w:rPr>
          <w:b/>
          <w:bCs/>
          <w:spacing w:val="-2"/>
          <w:sz w:val="27"/>
          <w:szCs w:val="27"/>
        </w:rPr>
        <w:t>5.2</w:t>
      </w:r>
      <w:r>
        <w:rPr>
          <w:b/>
          <w:bCs/>
          <w:spacing w:val="10"/>
          <w:sz w:val="27"/>
          <w:szCs w:val="27"/>
        </w:rPr>
        <w:t xml:space="preserve">    </w:t>
      </w:r>
      <w:r>
        <w:rPr>
          <w:rFonts w:ascii="黑体" w:hAnsi="黑体" w:eastAsia="黑体" w:cs="黑体"/>
          <w:b/>
          <w:bCs/>
          <w:spacing w:val="-2"/>
          <w:sz w:val="27"/>
          <w:szCs w:val="27"/>
        </w:rPr>
        <w:t>结构方案</w:t>
      </w:r>
    </w:p>
    <w:p w14:paraId="3ED7A7DF">
      <w:pPr>
        <w:spacing w:before="103" w:line="275" w:lineRule="auto"/>
        <w:ind w:right="2" w:firstLine="560"/>
        <w:rPr>
          <w:rFonts w:ascii="宋体" w:hAnsi="宋体" w:eastAsia="宋体" w:cs="宋体"/>
          <w:sz w:val="27"/>
          <w:szCs w:val="27"/>
        </w:rPr>
      </w:pPr>
      <w:r>
        <w:rPr>
          <w:rFonts w:ascii="宋体" w:hAnsi="宋体" w:eastAsia="宋体" w:cs="宋体"/>
          <w:spacing w:val="14"/>
          <w:sz w:val="27"/>
          <w:szCs w:val="27"/>
        </w:rPr>
        <w:t>按照研制总要求对结构的要求，进行结构设计，提出拟采取的结构设计</w:t>
      </w:r>
      <w:r>
        <w:rPr>
          <w:rFonts w:ascii="宋体" w:hAnsi="宋体" w:eastAsia="宋体" w:cs="宋体"/>
          <w:spacing w:val="6"/>
          <w:sz w:val="27"/>
          <w:szCs w:val="27"/>
        </w:rPr>
        <w:t xml:space="preserve"> </w:t>
      </w:r>
      <w:r>
        <w:rPr>
          <w:rFonts w:ascii="宋体" w:hAnsi="宋体" w:eastAsia="宋体" w:cs="宋体"/>
          <w:spacing w:val="-4"/>
          <w:sz w:val="27"/>
          <w:szCs w:val="27"/>
        </w:rPr>
        <w:t>方案。</w:t>
      </w:r>
    </w:p>
    <w:p w14:paraId="764C7225">
      <w:pPr>
        <w:pStyle w:val="2"/>
        <w:spacing w:before="1" w:line="220" w:lineRule="auto"/>
        <w:rPr>
          <w:rFonts w:ascii="黑体" w:hAnsi="黑体" w:eastAsia="黑体" w:cs="黑体"/>
          <w:sz w:val="27"/>
          <w:szCs w:val="27"/>
        </w:rPr>
      </w:pPr>
      <w:r>
        <w:rPr>
          <w:b/>
          <w:bCs/>
          <w:spacing w:val="-2"/>
          <w:sz w:val="27"/>
          <w:szCs w:val="27"/>
        </w:rPr>
        <w:t>5.3</w:t>
      </w:r>
      <w:r>
        <w:rPr>
          <w:b/>
          <w:bCs/>
          <w:spacing w:val="10"/>
          <w:sz w:val="27"/>
          <w:szCs w:val="27"/>
        </w:rPr>
        <w:t xml:space="preserve">    </w:t>
      </w:r>
      <w:r>
        <w:rPr>
          <w:rFonts w:ascii="黑体" w:hAnsi="黑体" w:eastAsia="黑体" w:cs="黑体"/>
          <w:b/>
          <w:bCs/>
          <w:spacing w:val="-2"/>
          <w:sz w:val="27"/>
          <w:szCs w:val="27"/>
        </w:rPr>
        <w:t>硬件方案</w:t>
      </w:r>
    </w:p>
    <w:p w14:paraId="5D15ECFF">
      <w:pPr>
        <w:spacing w:before="91" w:line="219" w:lineRule="auto"/>
        <w:ind w:left="560"/>
        <w:rPr>
          <w:rFonts w:ascii="宋体" w:hAnsi="宋体" w:eastAsia="宋体" w:cs="宋体"/>
          <w:sz w:val="27"/>
          <w:szCs w:val="27"/>
        </w:rPr>
      </w:pPr>
      <w:r>
        <w:rPr>
          <w:rFonts w:ascii="宋体" w:hAnsi="宋体" w:eastAsia="宋体" w:cs="宋体"/>
          <w:spacing w:val="1"/>
          <w:sz w:val="27"/>
          <w:szCs w:val="27"/>
        </w:rPr>
        <w:t>提出拟采取的硬件设计方案。</w:t>
      </w:r>
    </w:p>
    <w:p w14:paraId="3BF690D6">
      <w:pPr>
        <w:spacing w:before="95" w:line="221" w:lineRule="auto"/>
        <w:rPr>
          <w:rFonts w:ascii="黑体" w:hAnsi="黑体" w:eastAsia="黑体" w:cs="黑体"/>
          <w:sz w:val="27"/>
          <w:szCs w:val="27"/>
        </w:rPr>
      </w:pPr>
      <w:r>
        <w:rPr>
          <w:rFonts w:ascii="黑体" w:hAnsi="黑体" w:eastAsia="黑体" w:cs="黑体"/>
          <w:spacing w:val="3"/>
          <w:sz w:val="27"/>
          <w:szCs w:val="27"/>
        </w:rPr>
        <w:t>5.4</w:t>
      </w:r>
      <w:r>
        <w:rPr>
          <w:rFonts w:ascii="黑体" w:hAnsi="黑体" w:eastAsia="黑体" w:cs="黑体"/>
          <w:spacing w:val="21"/>
          <w:sz w:val="27"/>
          <w:szCs w:val="27"/>
        </w:rPr>
        <w:t xml:space="preserve">  </w:t>
      </w:r>
      <w:r>
        <w:rPr>
          <w:rFonts w:ascii="黑体" w:hAnsi="黑体" w:eastAsia="黑体" w:cs="黑体"/>
          <w:b/>
          <w:bCs/>
          <w:spacing w:val="3"/>
          <w:sz w:val="27"/>
          <w:szCs w:val="27"/>
        </w:rPr>
        <w:t>软件方案(适用时)</w:t>
      </w:r>
    </w:p>
    <w:p w14:paraId="4AE2B175">
      <w:pPr>
        <w:spacing w:before="92" w:line="219" w:lineRule="auto"/>
        <w:ind w:left="560"/>
        <w:rPr>
          <w:rFonts w:ascii="宋体" w:hAnsi="宋体" w:eastAsia="宋体" w:cs="宋体"/>
          <w:sz w:val="27"/>
          <w:szCs w:val="27"/>
        </w:rPr>
      </w:pPr>
      <w:r>
        <w:rPr>
          <w:rFonts w:ascii="宋体" w:hAnsi="宋体" w:eastAsia="宋体" w:cs="宋体"/>
          <w:spacing w:val="1"/>
          <w:sz w:val="27"/>
          <w:szCs w:val="27"/>
        </w:rPr>
        <w:t>提出拟采取的软件设计方案。</w:t>
      </w:r>
    </w:p>
    <w:p w14:paraId="3CA78242">
      <w:pPr>
        <w:spacing w:before="114" w:line="221" w:lineRule="auto"/>
        <w:rPr>
          <w:rFonts w:ascii="黑体" w:hAnsi="黑体" w:eastAsia="黑体" w:cs="黑体"/>
          <w:sz w:val="24"/>
          <w:szCs w:val="24"/>
        </w:rPr>
      </w:pPr>
      <w:r>
        <w:rPr>
          <w:rFonts w:ascii="黑体" w:hAnsi="黑体" w:eastAsia="黑体" w:cs="黑体"/>
          <w:spacing w:val="23"/>
          <w:sz w:val="24"/>
          <w:szCs w:val="24"/>
        </w:rPr>
        <w:t>5.5</w:t>
      </w:r>
      <w:r>
        <w:rPr>
          <w:rFonts w:ascii="黑体" w:hAnsi="黑体" w:eastAsia="黑体" w:cs="黑体"/>
          <w:spacing w:val="56"/>
          <w:sz w:val="24"/>
          <w:szCs w:val="24"/>
        </w:rPr>
        <w:t xml:space="preserve">  </w:t>
      </w:r>
      <w:r>
        <w:rPr>
          <w:rFonts w:ascii="黑体" w:hAnsi="黑体" w:eastAsia="黑体" w:cs="黑体"/>
          <w:b/>
          <w:bCs/>
          <w:spacing w:val="23"/>
          <w:sz w:val="24"/>
          <w:szCs w:val="24"/>
        </w:rPr>
        <w:t>电源方案(适用时)</w:t>
      </w:r>
    </w:p>
    <w:p w14:paraId="1549BB3A">
      <w:pPr>
        <w:spacing w:before="88" w:line="219" w:lineRule="auto"/>
        <w:ind w:left="560"/>
        <w:rPr>
          <w:rFonts w:ascii="宋体" w:hAnsi="宋体" w:eastAsia="宋体" w:cs="宋体"/>
          <w:sz w:val="27"/>
          <w:szCs w:val="27"/>
        </w:rPr>
      </w:pPr>
      <w:r>
        <w:rPr>
          <w:rFonts w:ascii="宋体" w:hAnsi="宋体" w:eastAsia="宋体" w:cs="宋体"/>
          <w:spacing w:val="1"/>
          <w:sz w:val="27"/>
          <w:szCs w:val="27"/>
        </w:rPr>
        <w:t>提出拟采取的电源设计方案。</w:t>
      </w:r>
    </w:p>
    <w:p w14:paraId="24FA6799">
      <w:pPr>
        <w:spacing w:line="219" w:lineRule="auto"/>
        <w:rPr>
          <w:rFonts w:ascii="宋体" w:hAnsi="宋体" w:eastAsia="宋体" w:cs="宋体"/>
          <w:sz w:val="27"/>
          <w:szCs w:val="27"/>
        </w:rPr>
        <w:sectPr>
          <w:footerReference r:id="rId70" w:type="default"/>
          <w:pgSz w:w="11910" w:h="17130"/>
          <w:pgMar w:top="400" w:right="1366" w:bottom="1613" w:left="1170" w:header="0" w:footer="1414" w:gutter="0"/>
          <w:cols w:space="720" w:num="1"/>
        </w:sectPr>
      </w:pPr>
    </w:p>
    <w:p w14:paraId="7AD9D58D">
      <w:pPr>
        <w:pStyle w:val="2"/>
        <w:spacing w:line="256" w:lineRule="auto"/>
      </w:pPr>
    </w:p>
    <w:p w14:paraId="5BD36B2D">
      <w:pPr>
        <w:pStyle w:val="2"/>
        <w:spacing w:line="256" w:lineRule="auto"/>
      </w:pPr>
    </w:p>
    <w:p w14:paraId="1B6AA0D2">
      <w:pPr>
        <w:pStyle w:val="2"/>
        <w:spacing w:line="256" w:lineRule="auto"/>
      </w:pPr>
    </w:p>
    <w:p w14:paraId="45A7E2F4">
      <w:pPr>
        <w:pStyle w:val="2"/>
        <w:spacing w:line="256" w:lineRule="auto"/>
      </w:pPr>
    </w:p>
    <w:p w14:paraId="264333B0">
      <w:pPr>
        <w:spacing w:before="88" w:line="221" w:lineRule="auto"/>
        <w:rPr>
          <w:rFonts w:ascii="黑体" w:hAnsi="黑体" w:eastAsia="黑体" w:cs="黑体"/>
          <w:sz w:val="27"/>
          <w:szCs w:val="27"/>
        </w:rPr>
      </w:pPr>
      <w:r>
        <w:rPr>
          <w:rFonts w:ascii="黑体" w:hAnsi="黑体" w:eastAsia="黑体" w:cs="黑体"/>
          <w:spacing w:val="1"/>
          <w:sz w:val="27"/>
          <w:szCs w:val="27"/>
        </w:rPr>
        <w:t>5.6</w:t>
      </w:r>
      <w:r>
        <w:rPr>
          <w:rFonts w:ascii="黑体" w:hAnsi="黑体" w:eastAsia="黑体" w:cs="黑体"/>
          <w:spacing w:val="9"/>
          <w:sz w:val="27"/>
          <w:szCs w:val="27"/>
        </w:rPr>
        <w:t xml:space="preserve">  </w:t>
      </w:r>
      <w:r>
        <w:rPr>
          <w:rFonts w:ascii="黑体" w:hAnsi="黑体" w:eastAsia="黑体" w:cs="黑体"/>
          <w:spacing w:val="1"/>
          <w:sz w:val="27"/>
          <w:szCs w:val="27"/>
        </w:rPr>
        <w:t>接口方案</w:t>
      </w:r>
    </w:p>
    <w:p w14:paraId="69F20CA0">
      <w:pPr>
        <w:spacing w:before="47" w:line="301" w:lineRule="auto"/>
        <w:ind w:right="10" w:firstLine="560"/>
        <w:rPr>
          <w:rFonts w:ascii="宋体" w:hAnsi="宋体" w:eastAsia="宋体" w:cs="宋体"/>
          <w:sz w:val="27"/>
          <w:szCs w:val="27"/>
        </w:rPr>
      </w:pPr>
      <w:r>
        <w:rPr>
          <w:rFonts w:ascii="宋体" w:hAnsi="宋体" w:eastAsia="宋体" w:cs="宋体"/>
          <w:spacing w:val="6"/>
          <w:sz w:val="27"/>
          <w:szCs w:val="27"/>
        </w:rPr>
        <w:t>提出拟采取的接口设计方案。按照接口控制</w:t>
      </w:r>
      <w:r>
        <w:rPr>
          <w:rFonts w:ascii="宋体" w:hAnsi="宋体" w:eastAsia="宋体" w:cs="宋体"/>
          <w:spacing w:val="5"/>
          <w:sz w:val="27"/>
          <w:szCs w:val="27"/>
        </w:rPr>
        <w:t>文件，明确功能接口和物理接</w:t>
      </w:r>
      <w:r>
        <w:rPr>
          <w:rFonts w:ascii="宋体" w:hAnsi="宋体" w:eastAsia="宋体" w:cs="宋体"/>
          <w:sz w:val="27"/>
          <w:szCs w:val="27"/>
        </w:rPr>
        <w:t xml:space="preserve"> </w:t>
      </w:r>
      <w:r>
        <w:rPr>
          <w:rFonts w:ascii="宋体" w:hAnsi="宋体" w:eastAsia="宋体" w:cs="宋体"/>
          <w:spacing w:val="-7"/>
          <w:sz w:val="27"/>
          <w:szCs w:val="27"/>
        </w:rPr>
        <w:t>口设计。</w:t>
      </w:r>
    </w:p>
    <w:p w14:paraId="0A94F497">
      <w:pPr>
        <w:spacing w:line="221" w:lineRule="auto"/>
        <w:rPr>
          <w:rFonts w:ascii="黑体" w:hAnsi="黑体" w:eastAsia="黑体" w:cs="黑体"/>
          <w:sz w:val="27"/>
          <w:szCs w:val="27"/>
        </w:rPr>
      </w:pPr>
      <w:r>
        <w:rPr>
          <w:rFonts w:ascii="黑体" w:hAnsi="黑体" w:eastAsia="黑体" w:cs="黑体"/>
          <w:spacing w:val="4"/>
          <w:sz w:val="27"/>
          <w:szCs w:val="27"/>
        </w:rPr>
        <w:t>5.7  环境适应性设计措施</w:t>
      </w:r>
    </w:p>
    <w:p w14:paraId="665E62F6">
      <w:pPr>
        <w:spacing w:before="85" w:line="219" w:lineRule="auto"/>
        <w:ind w:left="560"/>
        <w:rPr>
          <w:rFonts w:ascii="宋体" w:hAnsi="宋体" w:eastAsia="宋体" w:cs="宋体"/>
          <w:sz w:val="27"/>
          <w:szCs w:val="27"/>
        </w:rPr>
      </w:pPr>
      <w:r>
        <w:rPr>
          <w:rFonts w:ascii="宋体" w:hAnsi="宋体" w:eastAsia="宋体" w:cs="宋体"/>
          <w:spacing w:val="5"/>
          <w:sz w:val="27"/>
          <w:szCs w:val="27"/>
        </w:rPr>
        <w:t>提出为适应工作环境拟采取的环境适应性设计措施。</w:t>
      </w:r>
    </w:p>
    <w:p w14:paraId="471B7C3F">
      <w:pPr>
        <w:spacing w:before="148" w:line="222" w:lineRule="auto"/>
        <w:rPr>
          <w:rFonts w:ascii="黑体" w:hAnsi="黑体" w:eastAsia="黑体" w:cs="黑体"/>
          <w:sz w:val="24"/>
          <w:szCs w:val="24"/>
        </w:rPr>
      </w:pPr>
      <w:r>
        <w:rPr>
          <w:rFonts w:ascii="黑体" w:hAnsi="黑体" w:eastAsia="黑体" w:cs="黑体"/>
          <w:spacing w:val="23"/>
          <w:sz w:val="24"/>
          <w:szCs w:val="24"/>
        </w:rPr>
        <w:t>5.8</w:t>
      </w:r>
      <w:r>
        <w:rPr>
          <w:rFonts w:ascii="黑体" w:hAnsi="黑体" w:eastAsia="黑体" w:cs="黑体"/>
          <w:spacing w:val="50"/>
          <w:sz w:val="24"/>
          <w:szCs w:val="24"/>
        </w:rPr>
        <w:t xml:space="preserve">  </w:t>
      </w:r>
      <w:r>
        <w:rPr>
          <w:rFonts w:ascii="黑体" w:hAnsi="黑体" w:eastAsia="黑体" w:cs="黑体"/>
          <w:spacing w:val="23"/>
          <w:sz w:val="24"/>
          <w:szCs w:val="24"/>
        </w:rPr>
        <w:t>可靠性设计措施</w:t>
      </w:r>
    </w:p>
    <w:p w14:paraId="0A4C594D">
      <w:pPr>
        <w:spacing w:before="93" w:line="219" w:lineRule="auto"/>
        <w:ind w:left="560"/>
        <w:rPr>
          <w:rFonts w:ascii="宋体" w:hAnsi="宋体" w:eastAsia="宋体" w:cs="宋体"/>
          <w:sz w:val="27"/>
          <w:szCs w:val="27"/>
        </w:rPr>
      </w:pPr>
      <w:r>
        <w:rPr>
          <w:rFonts w:ascii="宋体" w:hAnsi="宋体" w:eastAsia="宋体" w:cs="宋体"/>
          <w:spacing w:val="4"/>
          <w:sz w:val="27"/>
          <w:szCs w:val="27"/>
        </w:rPr>
        <w:t>提出为实现可靠性要求拟采取的可靠性设计措施。</w:t>
      </w:r>
    </w:p>
    <w:p w14:paraId="13F31C57">
      <w:pPr>
        <w:spacing w:before="119" w:line="222" w:lineRule="auto"/>
        <w:rPr>
          <w:rFonts w:ascii="黑体" w:hAnsi="黑体" w:eastAsia="黑体" w:cs="黑体"/>
          <w:sz w:val="27"/>
          <w:szCs w:val="27"/>
        </w:rPr>
      </w:pPr>
      <w:r>
        <w:rPr>
          <w:rFonts w:ascii="黑体" w:hAnsi="黑体" w:eastAsia="黑体" w:cs="黑体"/>
          <w:spacing w:val="3"/>
          <w:sz w:val="27"/>
          <w:szCs w:val="27"/>
        </w:rPr>
        <w:t>5.9  维修性设计措施</w:t>
      </w:r>
    </w:p>
    <w:p w14:paraId="05746AE1">
      <w:pPr>
        <w:spacing w:before="76" w:line="219" w:lineRule="auto"/>
        <w:ind w:left="560"/>
        <w:rPr>
          <w:rFonts w:ascii="宋体" w:hAnsi="宋体" w:eastAsia="宋体" w:cs="宋体"/>
          <w:sz w:val="27"/>
          <w:szCs w:val="27"/>
        </w:rPr>
      </w:pPr>
      <w:r>
        <w:rPr>
          <w:rFonts w:ascii="宋体" w:hAnsi="宋体" w:eastAsia="宋体" w:cs="宋体"/>
          <w:spacing w:val="4"/>
          <w:sz w:val="27"/>
          <w:szCs w:val="27"/>
        </w:rPr>
        <w:t>提出为实现维修性要求拟采取的维修性设计措施。</w:t>
      </w:r>
    </w:p>
    <w:p w14:paraId="29C94877">
      <w:pPr>
        <w:spacing w:before="119" w:line="221" w:lineRule="auto"/>
        <w:rPr>
          <w:rFonts w:ascii="黑体" w:hAnsi="黑体" w:eastAsia="黑体" w:cs="黑体"/>
          <w:sz w:val="27"/>
          <w:szCs w:val="27"/>
        </w:rPr>
      </w:pPr>
      <w:r>
        <w:rPr>
          <w:rFonts w:ascii="黑体" w:hAnsi="黑体" w:eastAsia="黑体" w:cs="黑体"/>
          <w:spacing w:val="5"/>
          <w:sz w:val="27"/>
          <w:szCs w:val="27"/>
        </w:rPr>
        <w:t>5.10  测试性设计措施</w:t>
      </w:r>
    </w:p>
    <w:p w14:paraId="3EB680EE">
      <w:pPr>
        <w:spacing w:before="107" w:line="219" w:lineRule="auto"/>
        <w:ind w:left="560"/>
        <w:rPr>
          <w:rFonts w:ascii="宋体" w:hAnsi="宋体" w:eastAsia="宋体" w:cs="宋体"/>
          <w:sz w:val="27"/>
          <w:szCs w:val="27"/>
        </w:rPr>
      </w:pPr>
      <w:r>
        <w:rPr>
          <w:rFonts w:ascii="宋体" w:hAnsi="宋体" w:eastAsia="宋体" w:cs="宋体"/>
          <w:spacing w:val="4"/>
          <w:sz w:val="27"/>
          <w:szCs w:val="27"/>
        </w:rPr>
        <w:t>提出为实现测试性要求拟采取的测试性设计措施。</w:t>
      </w:r>
    </w:p>
    <w:p w14:paraId="2FC6AD6F">
      <w:pPr>
        <w:spacing w:before="100" w:line="222" w:lineRule="auto"/>
        <w:rPr>
          <w:rFonts w:ascii="黑体" w:hAnsi="黑体" w:eastAsia="黑体" w:cs="黑体"/>
          <w:sz w:val="27"/>
          <w:szCs w:val="27"/>
        </w:rPr>
      </w:pPr>
      <w:r>
        <w:rPr>
          <w:rFonts w:ascii="黑体" w:hAnsi="黑体" w:eastAsia="黑体" w:cs="黑体"/>
          <w:spacing w:val="2"/>
          <w:sz w:val="27"/>
          <w:szCs w:val="27"/>
        </w:rPr>
        <w:t>5.11</w:t>
      </w:r>
      <w:r>
        <w:rPr>
          <w:rFonts w:ascii="黑体" w:hAnsi="黑体" w:eastAsia="黑体" w:cs="黑体"/>
          <w:spacing w:val="24"/>
          <w:sz w:val="27"/>
          <w:szCs w:val="27"/>
        </w:rPr>
        <w:t xml:space="preserve">  </w:t>
      </w:r>
      <w:r>
        <w:rPr>
          <w:rFonts w:ascii="黑体" w:hAnsi="黑体" w:eastAsia="黑体" w:cs="黑体"/>
          <w:spacing w:val="2"/>
          <w:sz w:val="27"/>
          <w:szCs w:val="27"/>
        </w:rPr>
        <w:t>保障性设计措施</w:t>
      </w:r>
    </w:p>
    <w:p w14:paraId="04C55407">
      <w:pPr>
        <w:spacing w:before="96" w:line="283" w:lineRule="auto"/>
        <w:ind w:right="9" w:firstLine="560"/>
        <w:rPr>
          <w:rFonts w:ascii="宋体" w:hAnsi="宋体" w:eastAsia="宋体" w:cs="宋体"/>
          <w:sz w:val="27"/>
          <w:szCs w:val="27"/>
        </w:rPr>
      </w:pPr>
      <w:r>
        <w:rPr>
          <w:rFonts w:ascii="宋体" w:hAnsi="宋体" w:eastAsia="宋体" w:cs="宋体"/>
          <w:spacing w:val="-3"/>
          <w:sz w:val="27"/>
          <w:szCs w:val="27"/>
        </w:rPr>
        <w:t>提出为实现保障性要求拟采取的保障性设计措施，规划保障资源，提出拟研</w:t>
      </w:r>
      <w:r>
        <w:rPr>
          <w:rFonts w:ascii="宋体" w:hAnsi="宋体" w:eastAsia="宋体" w:cs="宋体"/>
          <w:spacing w:val="9"/>
          <w:sz w:val="27"/>
          <w:szCs w:val="27"/>
        </w:rPr>
        <w:t xml:space="preserve"> </w:t>
      </w:r>
      <w:r>
        <w:rPr>
          <w:rFonts w:ascii="宋体" w:hAnsi="宋体" w:eastAsia="宋体" w:cs="宋体"/>
          <w:spacing w:val="2"/>
          <w:sz w:val="27"/>
          <w:szCs w:val="27"/>
        </w:rPr>
        <w:t>制的保障设备。</w:t>
      </w:r>
    </w:p>
    <w:p w14:paraId="730C13A5">
      <w:pPr>
        <w:spacing w:before="12" w:line="222" w:lineRule="auto"/>
        <w:rPr>
          <w:rFonts w:ascii="黑体" w:hAnsi="黑体" w:eastAsia="黑体" w:cs="黑体"/>
          <w:sz w:val="27"/>
          <w:szCs w:val="27"/>
        </w:rPr>
      </w:pPr>
      <w:r>
        <w:rPr>
          <w:rFonts w:ascii="黑体" w:hAnsi="黑体" w:eastAsia="黑体" w:cs="黑体"/>
          <w:spacing w:val="3"/>
          <w:sz w:val="27"/>
          <w:szCs w:val="27"/>
        </w:rPr>
        <w:t>5.12</w:t>
      </w:r>
      <w:r>
        <w:rPr>
          <w:rFonts w:ascii="黑体" w:hAnsi="黑体" w:eastAsia="黑体" w:cs="黑体"/>
          <w:spacing w:val="19"/>
          <w:sz w:val="27"/>
          <w:szCs w:val="27"/>
        </w:rPr>
        <w:t xml:space="preserve">  </w:t>
      </w:r>
      <w:r>
        <w:rPr>
          <w:rFonts w:ascii="黑体" w:hAnsi="黑体" w:eastAsia="黑体" w:cs="黑体"/>
          <w:spacing w:val="3"/>
          <w:sz w:val="27"/>
          <w:szCs w:val="27"/>
        </w:rPr>
        <w:t>安全性设计措施</w:t>
      </w:r>
    </w:p>
    <w:p w14:paraId="1C87E381">
      <w:pPr>
        <w:spacing w:before="85" w:line="219" w:lineRule="auto"/>
        <w:ind w:left="560"/>
        <w:rPr>
          <w:rFonts w:ascii="宋体" w:hAnsi="宋体" w:eastAsia="宋体" w:cs="宋体"/>
          <w:sz w:val="27"/>
          <w:szCs w:val="27"/>
        </w:rPr>
      </w:pPr>
      <w:r>
        <w:rPr>
          <w:rFonts w:ascii="宋体" w:hAnsi="宋体" w:eastAsia="宋体" w:cs="宋体"/>
          <w:spacing w:val="4"/>
          <w:sz w:val="27"/>
          <w:szCs w:val="27"/>
        </w:rPr>
        <w:t>提出为实现安全性要求拟采取的安全性设计措施。</w:t>
      </w:r>
    </w:p>
    <w:p w14:paraId="1D6F02B7">
      <w:pPr>
        <w:spacing w:before="120" w:line="222" w:lineRule="auto"/>
        <w:rPr>
          <w:rFonts w:ascii="黑体" w:hAnsi="黑体" w:eastAsia="黑体" w:cs="黑体"/>
          <w:sz w:val="27"/>
          <w:szCs w:val="27"/>
        </w:rPr>
      </w:pPr>
      <w:r>
        <w:rPr>
          <w:rFonts w:ascii="黑体" w:hAnsi="黑体" w:eastAsia="黑体" w:cs="黑体"/>
          <w:spacing w:val="4"/>
          <w:sz w:val="27"/>
          <w:szCs w:val="27"/>
        </w:rPr>
        <w:t>5.13</w:t>
      </w:r>
      <w:r>
        <w:rPr>
          <w:rFonts w:ascii="黑体" w:hAnsi="黑体" w:eastAsia="黑体" w:cs="黑体"/>
          <w:spacing w:val="25"/>
          <w:sz w:val="27"/>
          <w:szCs w:val="27"/>
        </w:rPr>
        <w:t xml:space="preserve">  </w:t>
      </w:r>
      <w:r>
        <w:rPr>
          <w:rFonts w:ascii="黑体" w:hAnsi="黑体" w:eastAsia="黑体" w:cs="黑体"/>
          <w:spacing w:val="4"/>
          <w:sz w:val="27"/>
          <w:szCs w:val="27"/>
        </w:rPr>
        <w:t>电磁兼容性设计措施(适用时)</w:t>
      </w:r>
    </w:p>
    <w:p w14:paraId="662180F7">
      <w:pPr>
        <w:spacing w:before="84" w:line="291" w:lineRule="auto"/>
        <w:ind w:right="1686" w:firstLine="560"/>
        <w:rPr>
          <w:rFonts w:ascii="黑体" w:hAnsi="黑体" w:eastAsia="黑体" w:cs="黑体"/>
          <w:sz w:val="27"/>
          <w:szCs w:val="27"/>
        </w:rPr>
      </w:pPr>
      <w:r>
        <w:rPr>
          <w:rFonts w:ascii="宋体" w:hAnsi="宋体" w:eastAsia="宋体" w:cs="宋体"/>
          <w:spacing w:val="5"/>
          <w:sz w:val="27"/>
          <w:szCs w:val="27"/>
        </w:rPr>
        <w:t>提出为实现电磁兼容性要求拟采取的电磁兼</w:t>
      </w:r>
      <w:r>
        <w:rPr>
          <w:rFonts w:ascii="宋体" w:hAnsi="宋体" w:eastAsia="宋体" w:cs="宋体"/>
          <w:spacing w:val="4"/>
          <w:sz w:val="27"/>
          <w:szCs w:val="27"/>
        </w:rPr>
        <w:t>容性设计措施。</w:t>
      </w:r>
      <w:r>
        <w:rPr>
          <w:rFonts w:ascii="宋体" w:hAnsi="宋体" w:eastAsia="宋体" w:cs="宋体"/>
          <w:sz w:val="27"/>
          <w:szCs w:val="27"/>
        </w:rPr>
        <w:t xml:space="preserve"> </w:t>
      </w:r>
      <w:r>
        <w:rPr>
          <w:rFonts w:ascii="黑体" w:hAnsi="黑体" w:eastAsia="黑体" w:cs="黑体"/>
          <w:spacing w:val="7"/>
          <w:sz w:val="27"/>
          <w:szCs w:val="27"/>
        </w:rPr>
        <w:t>5.14  人机工程设计措施(适用时)</w:t>
      </w:r>
    </w:p>
    <w:p w14:paraId="4D6F6B9D">
      <w:pPr>
        <w:spacing w:before="1" w:line="218" w:lineRule="auto"/>
        <w:ind w:left="560"/>
        <w:rPr>
          <w:rFonts w:ascii="宋体" w:hAnsi="宋体" w:eastAsia="宋体" w:cs="宋体"/>
          <w:sz w:val="27"/>
          <w:szCs w:val="27"/>
        </w:rPr>
      </w:pPr>
      <w:r>
        <w:rPr>
          <w:rFonts w:ascii="宋体" w:hAnsi="宋体" w:eastAsia="宋体" w:cs="宋体"/>
          <w:spacing w:val="4"/>
          <w:sz w:val="27"/>
          <w:szCs w:val="27"/>
        </w:rPr>
        <w:t>提出为实现人机工程要求拟采取的人机工程设计措施。</w:t>
      </w:r>
    </w:p>
    <w:p w14:paraId="68B5A064">
      <w:pPr>
        <w:pStyle w:val="2"/>
        <w:spacing w:before="61" w:line="368" w:lineRule="exact"/>
        <w:rPr>
          <w:rFonts w:ascii="黑体" w:hAnsi="黑体" w:eastAsia="黑体" w:cs="黑体"/>
          <w:sz w:val="27"/>
          <w:szCs w:val="27"/>
        </w:rPr>
      </w:pPr>
      <w:r>
        <w:rPr>
          <w:spacing w:val="2"/>
          <w:position w:val="1"/>
          <w:sz w:val="27"/>
          <w:szCs w:val="27"/>
        </w:rPr>
        <w:t>6</w:t>
      </w:r>
      <w:r>
        <w:rPr>
          <w:spacing w:val="19"/>
          <w:position w:val="1"/>
          <w:sz w:val="27"/>
          <w:szCs w:val="27"/>
        </w:rPr>
        <w:t xml:space="preserve">   </w:t>
      </w:r>
      <w:r>
        <w:rPr>
          <w:rFonts w:ascii="黑体" w:hAnsi="黑体" w:eastAsia="黑体" w:cs="黑体"/>
          <w:spacing w:val="2"/>
          <w:position w:val="1"/>
          <w:sz w:val="27"/>
          <w:szCs w:val="27"/>
        </w:rPr>
        <w:t>试验验证初步考虑</w:t>
      </w:r>
    </w:p>
    <w:p w14:paraId="1F1AAD82">
      <w:pPr>
        <w:spacing w:before="93" w:line="287" w:lineRule="auto"/>
        <w:ind w:right="10" w:firstLine="560"/>
        <w:rPr>
          <w:rFonts w:ascii="宋体" w:hAnsi="宋体" w:eastAsia="宋体" w:cs="宋体"/>
          <w:sz w:val="27"/>
          <w:szCs w:val="27"/>
        </w:rPr>
      </w:pPr>
      <w:r>
        <w:rPr>
          <w:rFonts w:ascii="宋体" w:hAnsi="宋体" w:eastAsia="宋体" w:cs="宋体"/>
          <w:spacing w:val="-3"/>
          <w:sz w:val="27"/>
          <w:szCs w:val="27"/>
        </w:rPr>
        <w:t>规划需要开展的试验验证工作，提出对产品进行试验验证的初步考虑，包括</w:t>
      </w:r>
      <w:r>
        <w:rPr>
          <w:rFonts w:ascii="宋体" w:hAnsi="宋体" w:eastAsia="宋体" w:cs="宋体"/>
          <w:spacing w:val="8"/>
          <w:sz w:val="27"/>
          <w:szCs w:val="27"/>
        </w:rPr>
        <w:t xml:space="preserve"> </w:t>
      </w:r>
      <w:r>
        <w:rPr>
          <w:rFonts w:ascii="宋体" w:hAnsi="宋体" w:eastAsia="宋体" w:cs="宋体"/>
          <w:spacing w:val="-3"/>
          <w:sz w:val="27"/>
          <w:szCs w:val="27"/>
        </w:rPr>
        <w:t>研制试验、设计定型(鉴定)试验和部队试用。</w:t>
      </w:r>
    </w:p>
    <w:p w14:paraId="2B0969EB">
      <w:pPr>
        <w:pStyle w:val="2"/>
        <w:spacing w:line="222" w:lineRule="auto"/>
        <w:rPr>
          <w:rFonts w:ascii="黑体" w:hAnsi="黑体" w:eastAsia="黑体" w:cs="黑体"/>
          <w:sz w:val="27"/>
          <w:szCs w:val="27"/>
        </w:rPr>
      </w:pPr>
      <w:r>
        <w:rPr>
          <w:spacing w:val="2"/>
          <w:sz w:val="27"/>
          <w:szCs w:val="27"/>
        </w:rPr>
        <w:t>7</w:t>
      </w:r>
      <w:r>
        <w:rPr>
          <w:spacing w:val="21"/>
          <w:sz w:val="27"/>
          <w:szCs w:val="27"/>
        </w:rPr>
        <w:t xml:space="preserve">   </w:t>
      </w:r>
      <w:r>
        <w:rPr>
          <w:rFonts w:ascii="黑体" w:hAnsi="黑体" w:eastAsia="黑体" w:cs="黑体"/>
          <w:spacing w:val="2"/>
          <w:sz w:val="27"/>
          <w:szCs w:val="27"/>
        </w:rPr>
        <w:t>质量和标准化控制措施</w:t>
      </w:r>
    </w:p>
    <w:p w14:paraId="28D226AB">
      <w:pPr>
        <w:spacing w:before="106" w:line="222" w:lineRule="auto"/>
        <w:rPr>
          <w:rFonts w:ascii="黑体" w:hAnsi="黑体" w:eastAsia="黑体" w:cs="黑体"/>
          <w:sz w:val="27"/>
          <w:szCs w:val="27"/>
        </w:rPr>
      </w:pPr>
      <w:r>
        <w:rPr>
          <w:rFonts w:ascii="黑体" w:hAnsi="黑体" w:eastAsia="黑体" w:cs="黑体"/>
          <w:spacing w:val="4"/>
          <w:sz w:val="27"/>
          <w:szCs w:val="27"/>
        </w:rPr>
        <w:t>7.1</w:t>
      </w:r>
      <w:r>
        <w:rPr>
          <w:rFonts w:ascii="黑体" w:hAnsi="黑体" w:eastAsia="黑体" w:cs="黑体"/>
          <w:spacing w:val="15"/>
          <w:sz w:val="27"/>
          <w:szCs w:val="27"/>
        </w:rPr>
        <w:t xml:space="preserve">  </w:t>
      </w:r>
      <w:r>
        <w:rPr>
          <w:rFonts w:ascii="黑体" w:hAnsi="黑体" w:eastAsia="黑体" w:cs="黑体"/>
          <w:spacing w:val="4"/>
          <w:sz w:val="27"/>
          <w:szCs w:val="27"/>
        </w:rPr>
        <w:t>质量控制措施</w:t>
      </w:r>
    </w:p>
    <w:p w14:paraId="528A00E1">
      <w:pPr>
        <w:spacing w:before="84" w:line="291" w:lineRule="auto"/>
        <w:ind w:firstLine="560"/>
        <w:rPr>
          <w:rFonts w:ascii="宋体" w:hAnsi="宋体" w:eastAsia="宋体" w:cs="宋体"/>
          <w:sz w:val="27"/>
          <w:szCs w:val="27"/>
        </w:rPr>
      </w:pPr>
      <w:r>
        <w:rPr>
          <w:rFonts w:ascii="宋体" w:hAnsi="宋体" w:eastAsia="宋体" w:cs="宋体"/>
          <w:spacing w:val="6"/>
          <w:sz w:val="27"/>
          <w:szCs w:val="27"/>
        </w:rPr>
        <w:t>说明为完成研制任务，在研制过程中拟采取的质量控制措施。可从</w:t>
      </w:r>
      <w:r>
        <w:rPr>
          <w:rFonts w:ascii="宋体" w:hAnsi="宋体" w:eastAsia="宋体" w:cs="宋体"/>
          <w:spacing w:val="5"/>
          <w:sz w:val="27"/>
          <w:szCs w:val="27"/>
        </w:rPr>
        <w:t>拟制的</w:t>
      </w:r>
      <w:r>
        <w:rPr>
          <w:rFonts w:ascii="宋体" w:hAnsi="宋体" w:eastAsia="宋体" w:cs="宋体"/>
          <w:sz w:val="27"/>
          <w:szCs w:val="27"/>
        </w:rPr>
        <w:t xml:space="preserve"> </w:t>
      </w:r>
      <w:r>
        <w:rPr>
          <w:rFonts w:ascii="宋体" w:hAnsi="宋体" w:eastAsia="宋体" w:cs="宋体"/>
          <w:spacing w:val="4"/>
          <w:sz w:val="27"/>
          <w:szCs w:val="27"/>
        </w:rPr>
        <w:t>质量保证大纲(质量计划)中摘要质量工作内容。</w:t>
      </w:r>
    </w:p>
    <w:p w14:paraId="1A83D4E9">
      <w:pPr>
        <w:pStyle w:val="2"/>
        <w:spacing w:line="223" w:lineRule="auto"/>
        <w:rPr>
          <w:rFonts w:ascii="黑体" w:hAnsi="黑体" w:eastAsia="黑体" w:cs="黑体"/>
          <w:sz w:val="27"/>
          <w:szCs w:val="27"/>
        </w:rPr>
      </w:pPr>
      <w:r>
        <w:rPr>
          <w:spacing w:val="1"/>
          <w:sz w:val="27"/>
          <w:szCs w:val="27"/>
        </w:rPr>
        <w:t>7.2</w:t>
      </w:r>
      <w:r>
        <w:rPr>
          <w:spacing w:val="9"/>
          <w:sz w:val="27"/>
          <w:szCs w:val="27"/>
        </w:rPr>
        <w:t xml:space="preserve">    </w:t>
      </w:r>
      <w:r>
        <w:rPr>
          <w:rFonts w:ascii="黑体" w:hAnsi="黑体" w:eastAsia="黑体" w:cs="黑体"/>
          <w:spacing w:val="1"/>
          <w:sz w:val="27"/>
          <w:szCs w:val="27"/>
        </w:rPr>
        <w:t>标准化控制措施</w:t>
      </w:r>
    </w:p>
    <w:p w14:paraId="2D74795E">
      <w:pPr>
        <w:spacing w:before="92" w:line="289" w:lineRule="auto"/>
        <w:ind w:right="10" w:firstLine="560"/>
        <w:rPr>
          <w:rFonts w:ascii="宋体" w:hAnsi="宋体" w:eastAsia="宋体" w:cs="宋体"/>
          <w:sz w:val="27"/>
          <w:szCs w:val="27"/>
        </w:rPr>
      </w:pPr>
      <w:r>
        <w:rPr>
          <w:rFonts w:ascii="宋体" w:hAnsi="宋体" w:eastAsia="宋体" w:cs="宋体"/>
          <w:spacing w:val="-3"/>
          <w:sz w:val="27"/>
          <w:szCs w:val="27"/>
        </w:rPr>
        <w:t>说明为完成研制任务，在研制过程中贯彻落实标准化工作规定，拟采取的标</w:t>
      </w:r>
      <w:r>
        <w:rPr>
          <w:rFonts w:ascii="宋体" w:hAnsi="宋体" w:eastAsia="宋体" w:cs="宋体"/>
          <w:spacing w:val="8"/>
          <w:sz w:val="27"/>
          <w:szCs w:val="27"/>
        </w:rPr>
        <w:t xml:space="preserve"> </w:t>
      </w:r>
      <w:r>
        <w:rPr>
          <w:rFonts w:ascii="宋体" w:hAnsi="宋体" w:eastAsia="宋体" w:cs="宋体"/>
          <w:spacing w:val="5"/>
          <w:sz w:val="27"/>
          <w:szCs w:val="27"/>
        </w:rPr>
        <w:t>准化控制措施。可从拟制的标准化大纲中摘要标准化工作内容。</w:t>
      </w:r>
    </w:p>
    <w:p w14:paraId="735D95E9">
      <w:pPr>
        <w:spacing w:before="3" w:line="222" w:lineRule="auto"/>
        <w:rPr>
          <w:rFonts w:ascii="黑体" w:hAnsi="黑体" w:eastAsia="黑体" w:cs="黑体"/>
          <w:sz w:val="24"/>
          <w:szCs w:val="24"/>
        </w:rPr>
      </w:pPr>
      <w:r>
        <w:rPr>
          <w:rFonts w:ascii="黑体" w:hAnsi="黑体" w:eastAsia="黑体" w:cs="黑体"/>
          <w:spacing w:val="30"/>
          <w:sz w:val="24"/>
          <w:szCs w:val="24"/>
        </w:rPr>
        <w:t>8</w:t>
      </w:r>
      <w:r>
        <w:rPr>
          <w:rFonts w:ascii="黑体" w:hAnsi="黑体" w:eastAsia="黑体" w:cs="黑体"/>
          <w:spacing w:val="34"/>
          <w:sz w:val="24"/>
          <w:szCs w:val="24"/>
        </w:rPr>
        <w:t xml:space="preserve">  </w:t>
      </w:r>
      <w:r>
        <w:rPr>
          <w:rFonts w:ascii="黑体" w:hAnsi="黑体" w:eastAsia="黑体" w:cs="黑体"/>
          <w:spacing w:val="30"/>
          <w:sz w:val="24"/>
          <w:szCs w:val="24"/>
        </w:rPr>
        <w:t>研制进度安排</w:t>
      </w:r>
    </w:p>
    <w:p w14:paraId="7BBB73E8">
      <w:pPr>
        <w:spacing w:before="113" w:line="222" w:lineRule="auto"/>
        <w:rPr>
          <w:rFonts w:ascii="黑体" w:hAnsi="黑体" w:eastAsia="黑体" w:cs="黑体"/>
          <w:sz w:val="27"/>
          <w:szCs w:val="27"/>
        </w:rPr>
      </w:pPr>
      <w:r>
        <w:rPr>
          <w:rFonts w:ascii="黑体" w:hAnsi="黑体" w:eastAsia="黑体" w:cs="黑体"/>
          <w:spacing w:val="1"/>
          <w:sz w:val="27"/>
          <w:szCs w:val="27"/>
        </w:rPr>
        <w:t>8.1</w:t>
      </w:r>
      <w:r>
        <w:rPr>
          <w:rFonts w:ascii="黑体" w:hAnsi="黑体" w:eastAsia="黑体" w:cs="黑体"/>
          <w:spacing w:val="12"/>
          <w:sz w:val="27"/>
          <w:szCs w:val="27"/>
        </w:rPr>
        <w:t xml:space="preserve">  </w:t>
      </w:r>
      <w:r>
        <w:rPr>
          <w:rFonts w:ascii="黑体" w:hAnsi="黑体" w:eastAsia="黑体" w:cs="黑体"/>
          <w:spacing w:val="1"/>
          <w:sz w:val="27"/>
          <w:szCs w:val="27"/>
        </w:rPr>
        <w:t>项目周期</w:t>
      </w:r>
    </w:p>
    <w:p w14:paraId="5D32884B">
      <w:pPr>
        <w:spacing w:before="87" w:line="219" w:lineRule="auto"/>
        <w:ind w:left="560"/>
        <w:rPr>
          <w:rFonts w:ascii="宋体" w:hAnsi="宋体" w:eastAsia="宋体" w:cs="宋体"/>
          <w:sz w:val="27"/>
          <w:szCs w:val="27"/>
        </w:rPr>
      </w:pPr>
      <w:r>
        <w:rPr>
          <w:rFonts w:ascii="宋体" w:hAnsi="宋体" w:eastAsia="宋体" w:cs="宋体"/>
          <w:spacing w:val="2"/>
          <w:sz w:val="27"/>
          <w:szCs w:val="27"/>
        </w:rPr>
        <w:t>说明项目研制所需总时间。</w:t>
      </w:r>
    </w:p>
    <w:p w14:paraId="5B7A258C">
      <w:pPr>
        <w:spacing w:line="219" w:lineRule="auto"/>
        <w:rPr>
          <w:rFonts w:ascii="宋体" w:hAnsi="宋体" w:eastAsia="宋体" w:cs="宋体"/>
          <w:sz w:val="27"/>
          <w:szCs w:val="27"/>
        </w:rPr>
        <w:sectPr>
          <w:footerReference r:id="rId71" w:type="default"/>
          <w:pgSz w:w="11910" w:h="17130"/>
          <w:pgMar w:top="400" w:right="1099" w:bottom="1619" w:left="1420" w:header="0" w:footer="1439" w:gutter="0"/>
          <w:cols w:space="720" w:num="1"/>
        </w:sectPr>
      </w:pPr>
    </w:p>
    <w:p w14:paraId="5B214957">
      <w:pPr>
        <w:pStyle w:val="2"/>
        <w:spacing w:line="257" w:lineRule="auto"/>
      </w:pPr>
    </w:p>
    <w:p w14:paraId="615DAAAE">
      <w:pPr>
        <w:pStyle w:val="2"/>
        <w:spacing w:line="258" w:lineRule="auto"/>
      </w:pPr>
    </w:p>
    <w:p w14:paraId="6C2C8E3A">
      <w:pPr>
        <w:pStyle w:val="2"/>
        <w:spacing w:line="258" w:lineRule="auto"/>
      </w:pPr>
    </w:p>
    <w:p w14:paraId="4869358E">
      <w:pPr>
        <w:pStyle w:val="2"/>
        <w:spacing w:line="258" w:lineRule="auto"/>
      </w:pPr>
    </w:p>
    <w:p w14:paraId="2053F7B4">
      <w:pPr>
        <w:spacing w:before="88" w:line="222" w:lineRule="auto"/>
        <w:rPr>
          <w:rFonts w:ascii="黑体" w:hAnsi="黑体" w:eastAsia="黑体" w:cs="黑体"/>
          <w:sz w:val="27"/>
          <w:szCs w:val="27"/>
        </w:rPr>
      </w:pPr>
      <w:r>
        <w:rPr>
          <w:rFonts w:ascii="黑体" w:hAnsi="黑体" w:eastAsia="黑体" w:cs="黑体"/>
          <w:spacing w:val="1"/>
          <w:sz w:val="27"/>
          <w:szCs w:val="27"/>
        </w:rPr>
        <w:t xml:space="preserve">8.2  </w:t>
      </w:r>
      <w:r>
        <w:rPr>
          <w:rFonts w:ascii="黑体" w:hAnsi="黑体" w:eastAsia="黑体" w:cs="黑体"/>
          <w:b/>
          <w:bCs/>
          <w:spacing w:val="1"/>
          <w:sz w:val="27"/>
          <w:szCs w:val="27"/>
        </w:rPr>
        <w:t>进度安排</w:t>
      </w:r>
    </w:p>
    <w:p w14:paraId="18D919CA">
      <w:pPr>
        <w:spacing w:before="101" w:line="275" w:lineRule="auto"/>
        <w:ind w:right="119" w:firstLine="560"/>
        <w:rPr>
          <w:rFonts w:ascii="宋体" w:hAnsi="宋体" w:eastAsia="宋体" w:cs="宋体"/>
          <w:sz w:val="27"/>
          <w:szCs w:val="27"/>
        </w:rPr>
      </w:pPr>
      <w:r>
        <w:rPr>
          <w:rFonts w:ascii="宋体" w:hAnsi="宋体" w:eastAsia="宋体" w:cs="宋体"/>
          <w:spacing w:val="-3"/>
          <w:sz w:val="27"/>
          <w:szCs w:val="27"/>
        </w:rPr>
        <w:t>从产品研制任务开始到结束，按照研制阶段和主要工作节点，说明时间进度</w:t>
      </w:r>
      <w:r>
        <w:rPr>
          <w:rFonts w:ascii="宋体" w:hAnsi="宋体" w:eastAsia="宋体" w:cs="宋体"/>
          <w:spacing w:val="13"/>
          <w:sz w:val="27"/>
          <w:szCs w:val="27"/>
        </w:rPr>
        <w:t xml:space="preserve"> </w:t>
      </w:r>
      <w:r>
        <w:rPr>
          <w:rFonts w:ascii="宋体" w:hAnsi="宋体" w:eastAsia="宋体" w:cs="宋体"/>
          <w:spacing w:val="-6"/>
          <w:sz w:val="27"/>
          <w:szCs w:val="27"/>
        </w:rPr>
        <w:t>安排。</w:t>
      </w:r>
    </w:p>
    <w:p w14:paraId="769D9375">
      <w:pPr>
        <w:spacing w:line="221" w:lineRule="auto"/>
        <w:rPr>
          <w:rFonts w:ascii="黑体" w:hAnsi="黑体" w:eastAsia="黑体" w:cs="黑体"/>
          <w:sz w:val="27"/>
          <w:szCs w:val="27"/>
        </w:rPr>
      </w:pPr>
      <w:r>
        <w:rPr>
          <w:rFonts w:ascii="黑体" w:hAnsi="黑体" w:eastAsia="黑体" w:cs="黑体"/>
          <w:spacing w:val="-2"/>
          <w:sz w:val="27"/>
          <w:szCs w:val="27"/>
        </w:rPr>
        <w:t>9</w:t>
      </w:r>
      <w:r>
        <w:rPr>
          <w:rFonts w:ascii="黑体" w:hAnsi="黑体" w:eastAsia="黑体" w:cs="黑体"/>
          <w:spacing w:val="23"/>
          <w:sz w:val="27"/>
          <w:szCs w:val="27"/>
        </w:rPr>
        <w:t xml:space="preserve">  </w:t>
      </w:r>
      <w:r>
        <w:rPr>
          <w:rFonts w:ascii="黑体" w:hAnsi="黑体" w:eastAsia="黑体" w:cs="黑体"/>
          <w:b/>
          <w:bCs/>
          <w:spacing w:val="-2"/>
          <w:sz w:val="27"/>
          <w:szCs w:val="27"/>
        </w:rPr>
        <w:t>研制风险分析</w:t>
      </w:r>
    </w:p>
    <w:p w14:paraId="2B858776">
      <w:pPr>
        <w:spacing w:before="75" w:line="222" w:lineRule="auto"/>
        <w:rPr>
          <w:rFonts w:ascii="黑体" w:hAnsi="黑体" w:eastAsia="黑体" w:cs="黑体"/>
          <w:sz w:val="27"/>
          <w:szCs w:val="27"/>
        </w:rPr>
      </w:pPr>
      <w:r>
        <w:rPr>
          <w:rFonts w:ascii="黑体" w:hAnsi="黑体" w:eastAsia="黑体" w:cs="黑体"/>
          <w:sz w:val="27"/>
          <w:szCs w:val="27"/>
        </w:rPr>
        <w:t xml:space="preserve">9.1  </w:t>
      </w:r>
      <w:r>
        <w:rPr>
          <w:rFonts w:ascii="黑体" w:hAnsi="黑体" w:eastAsia="黑体" w:cs="黑体"/>
          <w:b/>
          <w:bCs/>
          <w:sz w:val="27"/>
          <w:szCs w:val="27"/>
        </w:rPr>
        <w:t>技术风险</w:t>
      </w:r>
    </w:p>
    <w:p w14:paraId="1FC7635B">
      <w:pPr>
        <w:spacing w:before="79" w:line="219" w:lineRule="auto"/>
        <w:ind w:left="560"/>
        <w:rPr>
          <w:rFonts w:ascii="宋体" w:hAnsi="宋体" w:eastAsia="宋体" w:cs="宋体"/>
          <w:sz w:val="27"/>
          <w:szCs w:val="27"/>
        </w:rPr>
      </w:pPr>
      <w:r>
        <w:rPr>
          <w:rFonts w:ascii="宋体" w:hAnsi="宋体" w:eastAsia="宋体" w:cs="宋体"/>
          <w:spacing w:val="-3"/>
          <w:sz w:val="27"/>
          <w:szCs w:val="27"/>
        </w:rPr>
        <w:t>主要考虑以下方面：</w:t>
      </w:r>
    </w:p>
    <w:p w14:paraId="2880E901">
      <w:pPr>
        <w:spacing w:before="101" w:line="219" w:lineRule="auto"/>
        <w:ind w:left="560"/>
        <w:rPr>
          <w:rFonts w:ascii="宋体" w:hAnsi="宋体" w:eastAsia="宋体" w:cs="宋体"/>
          <w:sz w:val="27"/>
          <w:szCs w:val="27"/>
        </w:rPr>
      </w:pPr>
      <w:r>
        <w:rPr>
          <w:rFonts w:ascii="Times New Roman" w:hAnsi="Times New Roman" w:eastAsia="Times New Roman" w:cs="Times New Roman"/>
          <w:spacing w:val="1"/>
          <w:sz w:val="27"/>
          <w:szCs w:val="27"/>
        </w:rPr>
        <w:t>a</w:t>
      </w:r>
      <w:r>
        <w:rPr>
          <w:rFonts w:ascii="宋体" w:hAnsi="宋体" w:eastAsia="宋体" w:cs="宋体"/>
          <w:spacing w:val="1"/>
          <w:sz w:val="27"/>
          <w:szCs w:val="27"/>
        </w:rPr>
        <w:t>)引起技术风险的主要因素(包括指标量化、技术难度、研制难易等因素);</w:t>
      </w:r>
    </w:p>
    <w:p w14:paraId="39555E46">
      <w:pPr>
        <w:spacing w:before="49"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b)</w:t>
      </w:r>
      <w:r>
        <w:rPr>
          <w:rFonts w:ascii="Times New Roman" w:hAnsi="Times New Roman" w:eastAsia="Times New Roman" w:cs="Times New Roman"/>
          <w:spacing w:val="72"/>
          <w:sz w:val="27"/>
          <w:szCs w:val="27"/>
        </w:rPr>
        <w:t xml:space="preserve"> </w:t>
      </w:r>
      <w:r>
        <w:rPr>
          <w:rFonts w:ascii="宋体" w:hAnsi="宋体" w:eastAsia="宋体" w:cs="宋体"/>
          <w:spacing w:val="2"/>
          <w:sz w:val="27"/>
          <w:szCs w:val="27"/>
        </w:rPr>
        <w:t>技术风险的表示方法(包括风险百分数、新技术项目采用比等因素);</w:t>
      </w:r>
    </w:p>
    <w:p w14:paraId="5E461BD5">
      <w:pPr>
        <w:spacing w:before="110"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 xml:space="preserve">c)  </w:t>
      </w:r>
      <w:r>
        <w:rPr>
          <w:rFonts w:ascii="宋体" w:hAnsi="宋体" w:eastAsia="宋体" w:cs="宋体"/>
          <w:spacing w:val="-6"/>
          <w:sz w:val="27"/>
          <w:szCs w:val="27"/>
        </w:rPr>
        <w:t>技术风险的估算(包括高、中、低三类风险的估算)。</w:t>
      </w:r>
    </w:p>
    <w:p w14:paraId="1A08F8C6">
      <w:pPr>
        <w:spacing w:before="144" w:line="222" w:lineRule="auto"/>
        <w:rPr>
          <w:rFonts w:ascii="黑体" w:hAnsi="黑体" w:eastAsia="黑体" w:cs="黑体"/>
          <w:sz w:val="24"/>
          <w:szCs w:val="24"/>
        </w:rPr>
      </w:pPr>
      <w:r>
        <w:rPr>
          <w:rFonts w:ascii="黑体" w:hAnsi="黑体" w:eastAsia="黑体" w:cs="黑体"/>
          <w:spacing w:val="16"/>
          <w:sz w:val="24"/>
          <w:szCs w:val="24"/>
        </w:rPr>
        <w:t>9.2</w:t>
      </w:r>
      <w:r>
        <w:rPr>
          <w:rFonts w:ascii="黑体" w:hAnsi="黑体" w:eastAsia="黑体" w:cs="黑体"/>
          <w:spacing w:val="45"/>
          <w:sz w:val="24"/>
          <w:szCs w:val="24"/>
        </w:rPr>
        <w:t xml:space="preserve">  </w:t>
      </w:r>
      <w:r>
        <w:rPr>
          <w:rFonts w:ascii="黑体" w:hAnsi="黑体" w:eastAsia="黑体" w:cs="黑体"/>
          <w:b/>
          <w:bCs/>
          <w:spacing w:val="16"/>
          <w:sz w:val="24"/>
          <w:szCs w:val="24"/>
        </w:rPr>
        <w:t>进度风险</w:t>
      </w:r>
    </w:p>
    <w:p w14:paraId="2C28E371">
      <w:pPr>
        <w:spacing w:before="96" w:line="219" w:lineRule="auto"/>
        <w:ind w:left="560"/>
        <w:rPr>
          <w:rFonts w:ascii="宋体" w:hAnsi="宋体" w:eastAsia="宋体" w:cs="宋体"/>
          <w:sz w:val="27"/>
          <w:szCs w:val="27"/>
        </w:rPr>
      </w:pPr>
      <w:r>
        <w:rPr>
          <w:rFonts w:ascii="宋体" w:hAnsi="宋体" w:eastAsia="宋体" w:cs="宋体"/>
          <w:sz w:val="27"/>
          <w:szCs w:val="27"/>
        </w:rPr>
        <w:t>主要考虑以下方面：</w:t>
      </w:r>
    </w:p>
    <w:p w14:paraId="11C6B568">
      <w:pPr>
        <w:spacing w:before="101" w:line="246" w:lineRule="auto"/>
        <w:ind w:right="114" w:firstLine="560"/>
        <w:rPr>
          <w:rFonts w:ascii="宋体" w:hAnsi="宋体" w:eastAsia="宋体" w:cs="宋体"/>
          <w:sz w:val="27"/>
          <w:szCs w:val="27"/>
        </w:rPr>
      </w:pPr>
      <w:r>
        <w:rPr>
          <w:rFonts w:ascii="Times New Roman" w:hAnsi="Times New Roman" w:eastAsia="Times New Roman" w:cs="Times New Roman"/>
          <w:spacing w:val="10"/>
          <w:sz w:val="27"/>
          <w:szCs w:val="27"/>
        </w:rPr>
        <w:t>a</w:t>
      </w:r>
      <w:r>
        <w:rPr>
          <w:rFonts w:ascii="宋体" w:hAnsi="宋体" w:eastAsia="宋体" w:cs="宋体"/>
          <w:spacing w:val="10"/>
          <w:sz w:val="27"/>
          <w:szCs w:val="27"/>
        </w:rPr>
        <w:t>)引起进度风险的主要因素(包括预研工作和可行性论证是否充分、计划</w:t>
      </w:r>
      <w:r>
        <w:rPr>
          <w:rFonts w:ascii="宋体" w:hAnsi="宋体" w:eastAsia="宋体" w:cs="宋体"/>
          <w:spacing w:val="9"/>
          <w:sz w:val="27"/>
          <w:szCs w:val="27"/>
        </w:rPr>
        <w:t xml:space="preserve"> </w:t>
      </w:r>
      <w:r>
        <w:rPr>
          <w:rFonts w:ascii="宋体" w:hAnsi="宋体" w:eastAsia="宋体" w:cs="宋体"/>
          <w:spacing w:val="-3"/>
          <w:sz w:val="27"/>
          <w:szCs w:val="27"/>
        </w:rPr>
        <w:t>进度考虑不周、投资强度不够、战术技术指标更改以及其他因素);</w:t>
      </w:r>
    </w:p>
    <w:p w14:paraId="2CDED704">
      <w:pPr>
        <w:spacing w:before="61"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b)</w:t>
      </w:r>
      <w:r>
        <w:rPr>
          <w:rFonts w:ascii="Times New Roman" w:hAnsi="Times New Roman" w:eastAsia="Times New Roman" w:cs="Times New Roman"/>
          <w:spacing w:val="76"/>
          <w:sz w:val="27"/>
          <w:szCs w:val="27"/>
        </w:rPr>
        <w:t xml:space="preserve"> </w:t>
      </w:r>
      <w:r>
        <w:rPr>
          <w:rFonts w:ascii="宋体" w:hAnsi="宋体" w:eastAsia="宋体" w:cs="宋体"/>
          <w:spacing w:val="6"/>
          <w:sz w:val="27"/>
          <w:szCs w:val="27"/>
        </w:rPr>
        <w:t>进度风险的表示方法(可用完成研制任务的概率表示);</w:t>
      </w:r>
    </w:p>
    <w:p w14:paraId="14BA6BDA">
      <w:pPr>
        <w:spacing w:before="90" w:line="260" w:lineRule="auto"/>
        <w:ind w:firstLine="56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3"/>
          <w:sz w:val="27"/>
          <w:szCs w:val="27"/>
        </w:rPr>
        <w:t>进度风险的估算(计算每个工序的平均完成时间、方差、期望完成</w:t>
      </w:r>
      <w:r>
        <w:rPr>
          <w:rFonts w:ascii="宋体" w:hAnsi="宋体" w:eastAsia="宋体" w:cs="宋体"/>
          <w:spacing w:val="2"/>
          <w:sz w:val="27"/>
          <w:szCs w:val="27"/>
        </w:rPr>
        <w:t>时间、</w:t>
      </w:r>
      <w:r>
        <w:rPr>
          <w:rFonts w:ascii="宋体" w:hAnsi="宋体" w:eastAsia="宋体" w:cs="宋体"/>
          <w:sz w:val="27"/>
          <w:szCs w:val="27"/>
        </w:rPr>
        <w:t xml:space="preserve"> </w:t>
      </w:r>
      <w:r>
        <w:rPr>
          <w:rFonts w:ascii="宋体" w:hAnsi="宋体" w:eastAsia="宋体" w:cs="宋体"/>
          <w:spacing w:val="-13"/>
          <w:sz w:val="27"/>
          <w:szCs w:val="27"/>
        </w:rPr>
        <w:t>必须完成时间、松弛时间、关键路线、完成</w:t>
      </w:r>
      <w:r>
        <w:rPr>
          <w:rFonts w:ascii="宋体" w:hAnsi="宋体" w:eastAsia="宋体" w:cs="宋体"/>
          <w:spacing w:val="-14"/>
          <w:sz w:val="27"/>
          <w:szCs w:val="27"/>
        </w:rPr>
        <w:t>概率等。</w:t>
      </w:r>
    </w:p>
    <w:p w14:paraId="4C2B2911">
      <w:pPr>
        <w:spacing w:before="94" w:line="222" w:lineRule="auto"/>
        <w:rPr>
          <w:rFonts w:ascii="黑体" w:hAnsi="黑体" w:eastAsia="黑体" w:cs="黑体"/>
          <w:sz w:val="25"/>
          <w:szCs w:val="25"/>
        </w:rPr>
      </w:pPr>
      <w:r>
        <w:rPr>
          <w:rFonts w:ascii="黑体" w:hAnsi="黑体" w:eastAsia="黑体" w:cs="黑体"/>
          <w:spacing w:val="11"/>
          <w:sz w:val="25"/>
          <w:szCs w:val="25"/>
        </w:rPr>
        <w:t>9.3</w:t>
      </w:r>
      <w:r>
        <w:rPr>
          <w:rFonts w:ascii="黑体" w:hAnsi="黑体" w:eastAsia="黑体" w:cs="黑体"/>
          <w:spacing w:val="30"/>
          <w:sz w:val="25"/>
          <w:szCs w:val="25"/>
        </w:rPr>
        <w:t xml:space="preserve">  </w:t>
      </w:r>
      <w:r>
        <w:rPr>
          <w:rFonts w:ascii="黑体" w:hAnsi="黑体" w:eastAsia="黑体" w:cs="黑体"/>
          <w:b/>
          <w:bCs/>
          <w:spacing w:val="11"/>
          <w:sz w:val="25"/>
          <w:szCs w:val="25"/>
        </w:rPr>
        <w:t>经费风险</w:t>
      </w:r>
    </w:p>
    <w:p w14:paraId="164C93DA">
      <w:pPr>
        <w:spacing w:before="83" w:line="219" w:lineRule="auto"/>
        <w:ind w:left="560"/>
        <w:rPr>
          <w:rFonts w:ascii="宋体" w:hAnsi="宋体" w:eastAsia="宋体" w:cs="宋体"/>
          <w:sz w:val="27"/>
          <w:szCs w:val="27"/>
        </w:rPr>
      </w:pPr>
      <w:r>
        <w:rPr>
          <w:rFonts w:ascii="宋体" w:hAnsi="宋体" w:eastAsia="宋体" w:cs="宋体"/>
          <w:sz w:val="27"/>
          <w:szCs w:val="27"/>
        </w:rPr>
        <w:t>主要考虑以下方面：</w:t>
      </w:r>
    </w:p>
    <w:p w14:paraId="2558AB83">
      <w:pPr>
        <w:spacing w:before="91" w:line="212" w:lineRule="auto"/>
        <w:ind w:left="560"/>
        <w:rPr>
          <w:rFonts w:ascii="宋体" w:hAnsi="宋体" w:eastAsia="宋体" w:cs="宋体"/>
          <w:sz w:val="27"/>
          <w:szCs w:val="27"/>
        </w:rPr>
      </w:pPr>
      <w:r>
        <w:rPr>
          <w:rFonts w:ascii="Times New Roman" w:hAnsi="Times New Roman" w:eastAsia="Times New Roman" w:cs="Times New Roman"/>
          <w:spacing w:val="-14"/>
          <w:sz w:val="27"/>
          <w:szCs w:val="27"/>
        </w:rPr>
        <w:t xml:space="preserve">a)  </w:t>
      </w:r>
      <w:r>
        <w:rPr>
          <w:rFonts w:ascii="宋体" w:hAnsi="宋体" w:eastAsia="宋体" w:cs="宋体"/>
          <w:spacing w:val="-14"/>
          <w:sz w:val="27"/>
          <w:szCs w:val="27"/>
        </w:rPr>
        <w:t>引起费用风险的主要因素(如费用评估和预测不准</w:t>
      </w:r>
      <w:r>
        <w:rPr>
          <w:rFonts w:ascii="宋体" w:hAnsi="宋体" w:eastAsia="宋体" w:cs="宋体"/>
          <w:spacing w:val="-15"/>
          <w:sz w:val="27"/>
          <w:szCs w:val="27"/>
        </w:rPr>
        <w:t>、进度后拖，物价上涨等);</w:t>
      </w:r>
    </w:p>
    <w:p w14:paraId="0FF5AC68">
      <w:pPr>
        <w:spacing w:before="90"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费用风险的表示方法(可用费用风险度、研制总费用等);</w:t>
      </w:r>
    </w:p>
    <w:p w14:paraId="0402B94D">
      <w:pPr>
        <w:spacing w:before="137" w:line="244" w:lineRule="auto"/>
        <w:ind w:right="122" w:firstLine="560"/>
        <w:rPr>
          <w:rFonts w:ascii="宋体" w:hAnsi="宋体" w:eastAsia="宋体" w:cs="宋体"/>
          <w:sz w:val="27"/>
          <w:szCs w:val="27"/>
        </w:rPr>
      </w:pPr>
      <w:r>
        <w:rPr>
          <w:rFonts w:ascii="Times New Roman" w:hAnsi="Times New Roman" w:eastAsia="Times New Roman" w:cs="Times New Roman"/>
          <w:spacing w:val="7"/>
          <w:sz w:val="27"/>
          <w:szCs w:val="27"/>
        </w:rPr>
        <w:t>c</w:t>
      </w:r>
      <w:r>
        <w:rPr>
          <w:rFonts w:ascii="宋体" w:hAnsi="宋体" w:eastAsia="宋体" w:cs="宋体"/>
          <w:spacing w:val="7"/>
          <w:sz w:val="27"/>
          <w:szCs w:val="27"/>
        </w:rPr>
        <w:t>)</w:t>
      </w:r>
      <w:r>
        <w:rPr>
          <w:rFonts w:ascii="宋体" w:hAnsi="宋体" w:eastAsia="宋体" w:cs="宋体"/>
          <w:spacing w:val="-29"/>
          <w:sz w:val="27"/>
          <w:szCs w:val="27"/>
        </w:rPr>
        <w:t xml:space="preserve"> </w:t>
      </w:r>
      <w:r>
        <w:rPr>
          <w:rFonts w:ascii="宋体" w:hAnsi="宋体" w:eastAsia="宋体" w:cs="宋体"/>
          <w:spacing w:val="7"/>
          <w:sz w:val="27"/>
          <w:szCs w:val="27"/>
        </w:rPr>
        <w:t>费用风险的估算(包括各分系统的费用均值和方差，预定</w:t>
      </w:r>
      <w:r>
        <w:rPr>
          <w:rFonts w:ascii="宋体" w:hAnsi="宋体" w:eastAsia="宋体" w:cs="宋体"/>
          <w:spacing w:val="6"/>
          <w:sz w:val="27"/>
          <w:szCs w:val="27"/>
        </w:rPr>
        <w:t>费用完成任务</w:t>
      </w:r>
      <w:r>
        <w:rPr>
          <w:rFonts w:ascii="宋体" w:hAnsi="宋体" w:eastAsia="宋体" w:cs="宋体"/>
          <w:sz w:val="27"/>
          <w:szCs w:val="27"/>
        </w:rPr>
        <w:t xml:space="preserve"> </w:t>
      </w:r>
      <w:r>
        <w:rPr>
          <w:rFonts w:ascii="宋体" w:hAnsi="宋体" w:eastAsia="宋体" w:cs="宋体"/>
          <w:spacing w:val="-10"/>
          <w:sz w:val="27"/>
          <w:szCs w:val="27"/>
        </w:rPr>
        <w:t>的概率、费用风险等)。</w:t>
      </w:r>
    </w:p>
    <w:p w14:paraId="72EFE348">
      <w:pPr>
        <w:spacing w:before="64" w:line="221" w:lineRule="auto"/>
        <w:rPr>
          <w:rFonts w:ascii="黑体" w:hAnsi="黑体" w:eastAsia="黑体" w:cs="黑体"/>
          <w:sz w:val="27"/>
          <w:szCs w:val="27"/>
        </w:rPr>
      </w:pPr>
      <w:r>
        <w:rPr>
          <w:rFonts w:ascii="黑体" w:hAnsi="黑体" w:eastAsia="黑体" w:cs="黑体"/>
          <w:spacing w:val="-8"/>
          <w:sz w:val="27"/>
          <w:szCs w:val="27"/>
        </w:rPr>
        <w:t>10</w:t>
      </w:r>
      <w:r>
        <w:rPr>
          <w:rFonts w:ascii="黑体" w:hAnsi="黑体" w:eastAsia="黑体" w:cs="黑体"/>
          <w:spacing w:val="26"/>
          <w:sz w:val="27"/>
          <w:szCs w:val="27"/>
        </w:rPr>
        <w:t xml:space="preserve">  </w:t>
      </w:r>
      <w:r>
        <w:rPr>
          <w:rFonts w:ascii="黑体" w:hAnsi="黑体" w:eastAsia="黑体" w:cs="黑体"/>
          <w:b/>
          <w:bCs/>
          <w:spacing w:val="-8"/>
          <w:sz w:val="27"/>
          <w:szCs w:val="27"/>
        </w:rPr>
        <w:t>任务分工</w:t>
      </w:r>
    </w:p>
    <w:p w14:paraId="42958FC6">
      <w:pPr>
        <w:spacing w:before="101" w:line="276" w:lineRule="auto"/>
        <w:ind w:right="113" w:firstLine="560"/>
        <w:rPr>
          <w:rFonts w:ascii="宋体" w:hAnsi="宋体" w:eastAsia="宋体" w:cs="宋体"/>
          <w:sz w:val="27"/>
          <w:szCs w:val="27"/>
        </w:rPr>
      </w:pPr>
      <w:r>
        <w:rPr>
          <w:rFonts w:ascii="宋体" w:hAnsi="宋体" w:eastAsia="宋体" w:cs="宋体"/>
          <w:spacing w:val="6"/>
          <w:sz w:val="27"/>
          <w:szCs w:val="27"/>
        </w:rPr>
        <w:t>按照工作分解结构，明确各项工作任务的责任单位。或者按照参与研</w:t>
      </w:r>
      <w:r>
        <w:rPr>
          <w:rFonts w:ascii="宋体" w:hAnsi="宋体" w:eastAsia="宋体" w:cs="宋体"/>
          <w:spacing w:val="5"/>
          <w:sz w:val="27"/>
          <w:szCs w:val="27"/>
        </w:rPr>
        <w:t>制的</w:t>
      </w:r>
      <w:r>
        <w:rPr>
          <w:rFonts w:ascii="宋体" w:hAnsi="宋体" w:eastAsia="宋体" w:cs="宋体"/>
          <w:sz w:val="27"/>
          <w:szCs w:val="27"/>
        </w:rPr>
        <w:t xml:space="preserve"> </w:t>
      </w:r>
      <w:r>
        <w:rPr>
          <w:rFonts w:ascii="宋体" w:hAnsi="宋体" w:eastAsia="宋体" w:cs="宋体"/>
          <w:spacing w:val="-7"/>
          <w:sz w:val="27"/>
          <w:szCs w:val="27"/>
        </w:rPr>
        <w:t>单位，明确其承担的工作任务。</w:t>
      </w:r>
    </w:p>
    <w:p w14:paraId="2E1909D7">
      <w:pPr>
        <w:spacing w:before="8" w:line="221" w:lineRule="auto"/>
        <w:rPr>
          <w:rFonts w:ascii="黑体" w:hAnsi="黑体" w:eastAsia="黑体" w:cs="黑体"/>
          <w:sz w:val="27"/>
          <w:szCs w:val="27"/>
        </w:rPr>
      </w:pPr>
      <w:r>
        <w:rPr>
          <w:rFonts w:ascii="黑体" w:hAnsi="黑体" w:eastAsia="黑体" w:cs="黑体"/>
          <w:spacing w:val="2"/>
          <w:sz w:val="27"/>
          <w:szCs w:val="27"/>
        </w:rPr>
        <w:t>11</w:t>
      </w:r>
      <w:r>
        <w:rPr>
          <w:rFonts w:ascii="黑体" w:hAnsi="黑体" w:eastAsia="黑体" w:cs="黑体"/>
          <w:spacing w:val="26"/>
          <w:sz w:val="27"/>
          <w:szCs w:val="27"/>
        </w:rPr>
        <w:t xml:space="preserve">  </w:t>
      </w:r>
      <w:r>
        <w:rPr>
          <w:rFonts w:ascii="黑体" w:hAnsi="黑体" w:eastAsia="黑体" w:cs="黑体"/>
          <w:b/>
          <w:bCs/>
          <w:spacing w:val="2"/>
          <w:sz w:val="27"/>
          <w:szCs w:val="27"/>
        </w:rPr>
        <w:t>研制经费概算(可视情省略)</w:t>
      </w:r>
    </w:p>
    <w:p w14:paraId="726AD895">
      <w:pPr>
        <w:spacing w:before="77" w:line="221" w:lineRule="auto"/>
        <w:rPr>
          <w:rFonts w:ascii="黑体" w:hAnsi="黑体" w:eastAsia="黑体" w:cs="黑体"/>
          <w:sz w:val="27"/>
          <w:szCs w:val="27"/>
        </w:rPr>
      </w:pPr>
      <w:r>
        <w:rPr>
          <w:rFonts w:ascii="黑体" w:hAnsi="黑体" w:eastAsia="黑体" w:cs="黑体"/>
          <w:spacing w:val="-1"/>
          <w:sz w:val="27"/>
          <w:szCs w:val="27"/>
        </w:rPr>
        <w:t>11.1</w:t>
      </w:r>
      <w:r>
        <w:rPr>
          <w:rFonts w:ascii="黑体" w:hAnsi="黑体" w:eastAsia="黑体" w:cs="黑体"/>
          <w:spacing w:val="29"/>
          <w:sz w:val="27"/>
          <w:szCs w:val="27"/>
        </w:rPr>
        <w:t xml:space="preserve">  </w:t>
      </w:r>
      <w:r>
        <w:rPr>
          <w:rFonts w:ascii="黑体" w:hAnsi="黑体" w:eastAsia="黑体" w:cs="黑体"/>
          <w:b/>
          <w:bCs/>
          <w:spacing w:val="-1"/>
          <w:sz w:val="27"/>
          <w:szCs w:val="27"/>
        </w:rPr>
        <w:t>科研经费概算</w:t>
      </w:r>
    </w:p>
    <w:p w14:paraId="7A68C587">
      <w:pPr>
        <w:spacing w:before="131" w:line="219" w:lineRule="auto"/>
        <w:ind w:left="560"/>
        <w:rPr>
          <w:rFonts w:ascii="宋体" w:hAnsi="宋体" w:eastAsia="宋体" w:cs="宋体"/>
          <w:sz w:val="27"/>
          <w:szCs w:val="27"/>
        </w:rPr>
      </w:pPr>
      <w:r>
        <w:rPr>
          <w:rFonts w:ascii="宋体" w:hAnsi="宋体" w:eastAsia="宋体" w:cs="宋体"/>
          <w:spacing w:val="-1"/>
          <w:sz w:val="27"/>
          <w:szCs w:val="27"/>
        </w:rPr>
        <w:t>对完成产品研制任务所需经费进行概算，提供概算明细表。</w:t>
      </w:r>
    </w:p>
    <w:p w14:paraId="7DFF9FAF">
      <w:pPr>
        <w:spacing w:before="56" w:line="221" w:lineRule="auto"/>
        <w:rPr>
          <w:rFonts w:ascii="黑体" w:hAnsi="黑体" w:eastAsia="黑体" w:cs="黑体"/>
          <w:sz w:val="27"/>
          <w:szCs w:val="27"/>
        </w:rPr>
      </w:pPr>
      <w:r>
        <w:rPr>
          <w:rFonts w:ascii="黑体" w:hAnsi="黑体" w:eastAsia="黑体" w:cs="黑体"/>
          <w:spacing w:val="-1"/>
          <w:sz w:val="27"/>
          <w:szCs w:val="27"/>
        </w:rPr>
        <w:t>11.2</w:t>
      </w:r>
      <w:r>
        <w:rPr>
          <w:rFonts w:ascii="黑体" w:hAnsi="黑体" w:eastAsia="黑体" w:cs="黑体"/>
          <w:spacing w:val="29"/>
          <w:sz w:val="27"/>
          <w:szCs w:val="27"/>
        </w:rPr>
        <w:t xml:space="preserve">  </w:t>
      </w:r>
      <w:r>
        <w:rPr>
          <w:rFonts w:ascii="黑体" w:hAnsi="黑体" w:eastAsia="黑体" w:cs="黑体"/>
          <w:b/>
          <w:bCs/>
          <w:spacing w:val="-1"/>
          <w:sz w:val="27"/>
          <w:szCs w:val="27"/>
        </w:rPr>
        <w:t>生产经费概算</w:t>
      </w:r>
    </w:p>
    <w:p w14:paraId="4231BCAA">
      <w:pPr>
        <w:spacing w:before="111" w:line="219" w:lineRule="auto"/>
        <w:ind w:left="560"/>
        <w:rPr>
          <w:rFonts w:ascii="宋体" w:hAnsi="宋体" w:eastAsia="宋体" w:cs="宋体"/>
          <w:sz w:val="27"/>
          <w:szCs w:val="27"/>
        </w:rPr>
      </w:pPr>
      <w:r>
        <w:rPr>
          <w:rFonts w:ascii="宋体" w:hAnsi="宋体" w:eastAsia="宋体" w:cs="宋体"/>
          <w:spacing w:val="-1"/>
          <w:sz w:val="27"/>
          <w:szCs w:val="27"/>
        </w:rPr>
        <w:t>对产品批量生产所需经费进行概算，提供概算明细</w:t>
      </w:r>
      <w:r>
        <w:rPr>
          <w:rFonts w:ascii="宋体" w:hAnsi="宋体" w:eastAsia="宋体" w:cs="宋体"/>
          <w:spacing w:val="-2"/>
          <w:sz w:val="27"/>
          <w:szCs w:val="27"/>
        </w:rPr>
        <w:t>表。</w:t>
      </w:r>
    </w:p>
    <w:p w14:paraId="73C90895">
      <w:pPr>
        <w:pStyle w:val="2"/>
        <w:spacing w:line="331" w:lineRule="auto"/>
      </w:pPr>
    </w:p>
    <w:p w14:paraId="3AB50665">
      <w:pPr>
        <w:spacing w:before="117" w:line="219" w:lineRule="auto"/>
        <w:ind w:left="2679"/>
        <w:outlineLvl w:val="1"/>
        <w:rPr>
          <w:rFonts w:ascii="宋体" w:hAnsi="宋体" w:eastAsia="宋体" w:cs="宋体"/>
          <w:sz w:val="36"/>
          <w:szCs w:val="36"/>
        </w:rPr>
      </w:pPr>
      <w:bookmarkStart w:id="37" w:name="bookmark19"/>
      <w:bookmarkEnd w:id="37"/>
      <w:r>
        <w:rPr>
          <w:rFonts w:ascii="宋体" w:hAnsi="宋体" w:eastAsia="宋体" w:cs="宋体"/>
          <w:spacing w:val="-3"/>
          <w:sz w:val="36"/>
          <w:szCs w:val="36"/>
        </w:rPr>
        <w:t>1.</w:t>
      </w:r>
      <w:r>
        <w:rPr>
          <w:rFonts w:ascii="宋体" w:hAnsi="宋体" w:eastAsia="宋体" w:cs="宋体"/>
          <w:b/>
          <w:bCs/>
          <w:spacing w:val="-3"/>
          <w:sz w:val="36"/>
          <w:szCs w:val="36"/>
        </w:rPr>
        <w:t>17</w:t>
      </w:r>
      <w:r>
        <w:rPr>
          <w:rFonts w:ascii="宋体" w:hAnsi="宋体" w:eastAsia="宋体" w:cs="宋体"/>
          <w:spacing w:val="34"/>
          <w:sz w:val="36"/>
          <w:szCs w:val="36"/>
        </w:rPr>
        <w:t xml:space="preserve">  </w:t>
      </w:r>
      <w:r>
        <w:rPr>
          <w:rFonts w:ascii="宋体" w:hAnsi="宋体" w:eastAsia="宋体" w:cs="宋体"/>
          <w:b/>
          <w:bCs/>
          <w:spacing w:val="-3"/>
          <w:sz w:val="36"/>
          <w:szCs w:val="36"/>
        </w:rPr>
        <w:t>技术状态管理计划</w:t>
      </w:r>
    </w:p>
    <w:p w14:paraId="5A3E4A0A">
      <w:pPr>
        <w:pStyle w:val="2"/>
        <w:spacing w:line="356" w:lineRule="auto"/>
      </w:pPr>
    </w:p>
    <w:p w14:paraId="43FB1C9C">
      <w:pPr>
        <w:spacing w:before="79" w:line="223" w:lineRule="auto"/>
        <w:ind w:left="560"/>
        <w:rPr>
          <w:rFonts w:ascii="楷体" w:hAnsi="楷体" w:eastAsia="楷体" w:cs="楷体"/>
          <w:sz w:val="24"/>
          <w:szCs w:val="24"/>
        </w:rPr>
      </w:pPr>
      <w:r>
        <w:rPr>
          <w:rFonts w:ascii="楷体" w:hAnsi="楷体" w:eastAsia="楷体" w:cs="楷体"/>
          <w:spacing w:val="6"/>
          <w:sz w:val="24"/>
          <w:szCs w:val="24"/>
        </w:rPr>
        <w:t>按</w:t>
      </w:r>
      <w:r>
        <w:rPr>
          <w:rFonts w:ascii="楷体" w:hAnsi="楷体" w:eastAsia="楷体" w:cs="楷体"/>
          <w:spacing w:val="-20"/>
          <w:sz w:val="24"/>
          <w:szCs w:val="24"/>
        </w:rPr>
        <w:t xml:space="preserve"> </w:t>
      </w:r>
      <w:r>
        <w:rPr>
          <w:rFonts w:ascii="楷体" w:hAnsi="楷体" w:eastAsia="楷体" w:cs="楷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3206A—2010</w:t>
      </w:r>
      <w:r>
        <w:rPr>
          <w:rFonts w:ascii="宋体" w:hAnsi="宋体" w:eastAsia="宋体" w:cs="宋体"/>
          <w:spacing w:val="6"/>
          <w:sz w:val="24"/>
          <w:szCs w:val="24"/>
        </w:rPr>
        <w:t>《</w:t>
      </w:r>
      <w:r>
        <w:rPr>
          <w:rFonts w:ascii="楷体" w:hAnsi="楷体" w:eastAsia="楷体" w:cs="楷体"/>
          <w:spacing w:val="6"/>
          <w:sz w:val="24"/>
          <w:szCs w:val="24"/>
        </w:rPr>
        <w:t>技术状态管理》编写。</w:t>
      </w:r>
    </w:p>
    <w:p w14:paraId="007CF6F6">
      <w:pPr>
        <w:spacing w:line="223" w:lineRule="auto"/>
        <w:rPr>
          <w:rFonts w:ascii="楷体" w:hAnsi="楷体" w:eastAsia="楷体" w:cs="楷体"/>
          <w:sz w:val="24"/>
          <w:szCs w:val="24"/>
        </w:rPr>
        <w:sectPr>
          <w:footerReference r:id="rId72" w:type="default"/>
          <w:pgSz w:w="11910" w:h="17130"/>
          <w:pgMar w:top="400" w:right="1215" w:bottom="1720" w:left="1190" w:header="0" w:footer="1434" w:gutter="0"/>
          <w:cols w:space="720" w:num="1"/>
        </w:sectPr>
      </w:pPr>
    </w:p>
    <w:p w14:paraId="3D4F2CDA">
      <w:pPr>
        <w:pStyle w:val="2"/>
        <w:spacing w:line="288" w:lineRule="auto"/>
      </w:pPr>
    </w:p>
    <w:p w14:paraId="2C1E2810">
      <w:pPr>
        <w:pStyle w:val="2"/>
        <w:spacing w:line="288" w:lineRule="auto"/>
      </w:pPr>
    </w:p>
    <w:p w14:paraId="04AA18D5">
      <w:pPr>
        <w:pStyle w:val="2"/>
        <w:spacing w:line="288" w:lineRule="auto"/>
      </w:pPr>
    </w:p>
    <w:p w14:paraId="3E3C8DC4">
      <w:pPr>
        <w:pStyle w:val="2"/>
        <w:spacing w:line="288" w:lineRule="auto"/>
      </w:pPr>
    </w:p>
    <w:p w14:paraId="7E3E5365">
      <w:pPr>
        <w:spacing w:before="78" w:line="223" w:lineRule="auto"/>
        <w:rPr>
          <w:rFonts w:ascii="黑体" w:hAnsi="黑体" w:eastAsia="黑体" w:cs="黑体"/>
          <w:sz w:val="24"/>
          <w:szCs w:val="24"/>
        </w:rPr>
      </w:pPr>
      <w:r>
        <w:rPr>
          <w:rFonts w:ascii="黑体" w:hAnsi="黑体" w:eastAsia="黑体" w:cs="黑体"/>
          <w:spacing w:val="-17"/>
          <w:sz w:val="24"/>
          <w:szCs w:val="24"/>
        </w:rPr>
        <w:t>1</w:t>
      </w:r>
      <w:r>
        <w:rPr>
          <w:rFonts w:ascii="黑体" w:hAnsi="黑体" w:eastAsia="黑体" w:cs="黑体"/>
          <w:spacing w:val="38"/>
          <w:sz w:val="24"/>
          <w:szCs w:val="24"/>
        </w:rPr>
        <w:t xml:space="preserve">  </w:t>
      </w:r>
      <w:r>
        <w:rPr>
          <w:rFonts w:ascii="黑体" w:hAnsi="黑体" w:eastAsia="黑体" w:cs="黑体"/>
          <w:b/>
          <w:bCs/>
          <w:spacing w:val="-17"/>
          <w:sz w:val="24"/>
          <w:szCs w:val="24"/>
        </w:rPr>
        <w:t>引</w:t>
      </w:r>
      <w:r>
        <w:rPr>
          <w:rFonts w:ascii="黑体" w:hAnsi="黑体" w:eastAsia="黑体" w:cs="黑体"/>
          <w:spacing w:val="-17"/>
          <w:sz w:val="24"/>
          <w:szCs w:val="24"/>
        </w:rPr>
        <w:t xml:space="preserve"> </w:t>
      </w:r>
      <w:r>
        <w:rPr>
          <w:rFonts w:ascii="黑体" w:hAnsi="黑体" w:eastAsia="黑体" w:cs="黑体"/>
          <w:b/>
          <w:bCs/>
          <w:spacing w:val="-17"/>
          <w:sz w:val="24"/>
          <w:szCs w:val="24"/>
        </w:rPr>
        <w:t>言</w:t>
      </w:r>
    </w:p>
    <w:p w14:paraId="0BEE5ECD">
      <w:pPr>
        <w:spacing w:before="90" w:line="223" w:lineRule="auto"/>
        <w:rPr>
          <w:rFonts w:ascii="黑体" w:hAnsi="黑体" w:eastAsia="黑体" w:cs="黑体"/>
          <w:sz w:val="27"/>
          <w:szCs w:val="27"/>
        </w:rPr>
      </w:pPr>
      <w:r>
        <w:rPr>
          <w:rFonts w:ascii="黑体" w:hAnsi="黑体" w:eastAsia="黑体" w:cs="黑体"/>
          <w:sz w:val="27"/>
          <w:szCs w:val="27"/>
        </w:rPr>
        <w:t>1.1</w:t>
      </w:r>
      <w:r>
        <w:rPr>
          <w:rFonts w:ascii="黑体" w:hAnsi="黑体" w:eastAsia="黑体" w:cs="黑体"/>
          <w:spacing w:val="26"/>
          <w:sz w:val="27"/>
          <w:szCs w:val="27"/>
        </w:rPr>
        <w:t xml:space="preserve">  </w:t>
      </w:r>
      <w:r>
        <w:rPr>
          <w:rFonts w:ascii="黑体" w:hAnsi="黑体" w:eastAsia="黑体" w:cs="黑体"/>
          <w:b/>
          <w:bCs/>
          <w:sz w:val="27"/>
          <w:szCs w:val="27"/>
        </w:rPr>
        <w:t>目的和范围</w:t>
      </w:r>
    </w:p>
    <w:p w14:paraId="7989DF29">
      <w:pPr>
        <w:spacing w:before="77" w:line="219" w:lineRule="auto"/>
        <w:ind w:left="560"/>
        <w:rPr>
          <w:rFonts w:ascii="宋体" w:hAnsi="宋体" w:eastAsia="宋体" w:cs="宋体"/>
          <w:sz w:val="27"/>
          <w:szCs w:val="27"/>
        </w:rPr>
      </w:pPr>
      <w:r>
        <w:rPr>
          <w:rFonts w:ascii="宋体" w:hAnsi="宋体" w:eastAsia="宋体" w:cs="宋体"/>
          <w:spacing w:val="3"/>
          <w:sz w:val="27"/>
          <w:szCs w:val="27"/>
        </w:rPr>
        <w:t>说明技术状态管理的目的和范围。</w:t>
      </w:r>
    </w:p>
    <w:p w14:paraId="69A2BB94">
      <w:pPr>
        <w:spacing w:before="73" w:line="221" w:lineRule="auto"/>
        <w:rPr>
          <w:rFonts w:ascii="黑体" w:hAnsi="黑体" w:eastAsia="黑体" w:cs="黑体"/>
          <w:sz w:val="27"/>
          <w:szCs w:val="27"/>
        </w:rPr>
      </w:pPr>
      <w:r>
        <w:rPr>
          <w:rFonts w:ascii="黑体" w:hAnsi="黑体" w:eastAsia="黑体" w:cs="黑体"/>
          <w:sz w:val="27"/>
          <w:szCs w:val="27"/>
        </w:rPr>
        <w:t>1.2</w:t>
      </w:r>
      <w:r>
        <w:rPr>
          <w:rFonts w:ascii="黑体" w:hAnsi="黑体" w:eastAsia="黑体" w:cs="黑体"/>
          <w:spacing w:val="18"/>
          <w:sz w:val="27"/>
          <w:szCs w:val="27"/>
        </w:rPr>
        <w:t xml:space="preserve">  </w:t>
      </w:r>
      <w:r>
        <w:rPr>
          <w:rFonts w:ascii="黑体" w:hAnsi="黑体" w:eastAsia="黑体" w:cs="黑体"/>
          <w:b/>
          <w:bCs/>
          <w:sz w:val="27"/>
          <w:szCs w:val="27"/>
        </w:rPr>
        <w:t>技术状态项说明</w:t>
      </w:r>
    </w:p>
    <w:p w14:paraId="6E1C16FF">
      <w:pPr>
        <w:spacing w:before="101" w:line="219" w:lineRule="auto"/>
        <w:ind w:left="560"/>
        <w:rPr>
          <w:rFonts w:ascii="宋体" w:hAnsi="宋体" w:eastAsia="宋体" w:cs="宋体"/>
          <w:sz w:val="27"/>
          <w:szCs w:val="27"/>
        </w:rPr>
      </w:pPr>
      <w:r>
        <w:rPr>
          <w:rFonts w:ascii="宋体" w:hAnsi="宋体" w:eastAsia="宋体" w:cs="宋体"/>
          <w:spacing w:val="3"/>
          <w:sz w:val="27"/>
          <w:szCs w:val="27"/>
        </w:rPr>
        <w:t>简要说明所适用的产品或技术状态项。</w:t>
      </w:r>
    </w:p>
    <w:p w14:paraId="30CA3EC2">
      <w:pPr>
        <w:spacing w:before="75" w:line="222" w:lineRule="auto"/>
        <w:rPr>
          <w:rFonts w:ascii="黑体" w:hAnsi="黑体" w:eastAsia="黑体" w:cs="黑体"/>
          <w:sz w:val="27"/>
          <w:szCs w:val="27"/>
        </w:rPr>
      </w:pPr>
      <w:r>
        <w:rPr>
          <w:rFonts w:ascii="黑体" w:hAnsi="黑体" w:eastAsia="黑体" w:cs="黑体"/>
          <w:spacing w:val="-3"/>
          <w:sz w:val="27"/>
          <w:szCs w:val="27"/>
        </w:rPr>
        <w:t>1.3</w:t>
      </w:r>
      <w:r>
        <w:rPr>
          <w:rFonts w:ascii="黑体" w:hAnsi="黑体" w:eastAsia="黑体" w:cs="黑体"/>
          <w:spacing w:val="16"/>
          <w:sz w:val="27"/>
          <w:szCs w:val="27"/>
        </w:rPr>
        <w:t xml:space="preserve">  </w:t>
      </w:r>
      <w:r>
        <w:rPr>
          <w:rFonts w:ascii="黑体" w:hAnsi="黑体" w:eastAsia="黑体" w:cs="黑体"/>
          <w:b/>
          <w:bCs/>
          <w:spacing w:val="-3"/>
          <w:sz w:val="27"/>
          <w:szCs w:val="27"/>
        </w:rPr>
        <w:t>主要特点</w:t>
      </w:r>
    </w:p>
    <w:p w14:paraId="765B30A8">
      <w:pPr>
        <w:spacing w:before="91" w:line="219" w:lineRule="auto"/>
        <w:ind w:left="560"/>
        <w:rPr>
          <w:rFonts w:ascii="宋体" w:hAnsi="宋体" w:eastAsia="宋体" w:cs="宋体"/>
          <w:sz w:val="27"/>
          <w:szCs w:val="27"/>
        </w:rPr>
      </w:pPr>
      <w:r>
        <w:rPr>
          <w:rFonts w:ascii="宋体" w:hAnsi="宋体" w:eastAsia="宋体" w:cs="宋体"/>
          <w:spacing w:val="3"/>
          <w:sz w:val="27"/>
          <w:szCs w:val="27"/>
        </w:rPr>
        <w:t>概述技术状态管理计划的主要特点及实施方法。</w:t>
      </w:r>
    </w:p>
    <w:p w14:paraId="13EAAF55">
      <w:pPr>
        <w:spacing w:before="74"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引用文件</w:t>
      </w:r>
    </w:p>
    <w:p w14:paraId="46030F86">
      <w:pPr>
        <w:spacing w:before="100" w:line="282" w:lineRule="auto"/>
        <w:ind w:right="8" w:firstLine="560"/>
        <w:rPr>
          <w:rFonts w:ascii="宋体" w:hAnsi="宋体" w:eastAsia="宋体" w:cs="宋体"/>
          <w:sz w:val="27"/>
          <w:szCs w:val="27"/>
        </w:rPr>
      </w:pPr>
      <w:r>
        <w:rPr>
          <w:rFonts w:ascii="宋体" w:hAnsi="宋体" w:eastAsia="宋体" w:cs="宋体"/>
          <w:spacing w:val="6"/>
          <w:sz w:val="27"/>
          <w:szCs w:val="27"/>
        </w:rPr>
        <w:t>列出技术状态管理计划中所涉及到的标准化文件</w:t>
      </w:r>
      <w:r>
        <w:rPr>
          <w:rFonts w:ascii="宋体" w:hAnsi="宋体" w:eastAsia="宋体" w:cs="宋体"/>
          <w:spacing w:val="5"/>
          <w:sz w:val="27"/>
          <w:szCs w:val="27"/>
        </w:rPr>
        <w:t>、规章制度等。给出所列</w:t>
      </w:r>
      <w:r>
        <w:rPr>
          <w:rFonts w:ascii="宋体" w:hAnsi="宋体" w:eastAsia="宋体" w:cs="宋体"/>
          <w:sz w:val="27"/>
          <w:szCs w:val="27"/>
        </w:rPr>
        <w:t xml:space="preserve"> </w:t>
      </w:r>
      <w:r>
        <w:rPr>
          <w:rFonts w:ascii="宋体" w:hAnsi="宋体" w:eastAsia="宋体" w:cs="宋体"/>
          <w:spacing w:val="-17"/>
          <w:sz w:val="27"/>
          <w:szCs w:val="27"/>
        </w:rPr>
        <w:t>文件的编号、名称、版次、发布机构等信息。</w:t>
      </w:r>
    </w:p>
    <w:p w14:paraId="72DEE3FA">
      <w:pPr>
        <w:spacing w:before="1" w:line="220" w:lineRule="auto"/>
        <w:rPr>
          <w:rFonts w:ascii="黑体" w:hAnsi="黑体" w:eastAsia="黑体" w:cs="黑体"/>
          <w:sz w:val="24"/>
          <w:szCs w:val="24"/>
        </w:rPr>
      </w:pPr>
      <w:r>
        <w:rPr>
          <w:rFonts w:ascii="黑体" w:hAnsi="黑体" w:eastAsia="黑体" w:cs="黑体"/>
          <w:spacing w:val="-8"/>
          <w:sz w:val="24"/>
          <w:szCs w:val="24"/>
        </w:rPr>
        <w:t>3</w:t>
      </w:r>
      <w:r>
        <w:rPr>
          <w:rFonts w:ascii="黑体" w:hAnsi="黑体" w:eastAsia="黑体" w:cs="黑体"/>
          <w:spacing w:val="31"/>
          <w:sz w:val="24"/>
          <w:szCs w:val="24"/>
        </w:rPr>
        <w:t xml:space="preserve">  </w:t>
      </w:r>
      <w:r>
        <w:rPr>
          <w:rFonts w:ascii="黑体" w:hAnsi="黑体" w:eastAsia="黑体" w:cs="黑体"/>
          <w:b/>
          <w:bCs/>
          <w:spacing w:val="-8"/>
          <w:sz w:val="24"/>
          <w:szCs w:val="24"/>
        </w:rPr>
        <w:t>职</w:t>
      </w:r>
      <w:r>
        <w:rPr>
          <w:rFonts w:ascii="黑体" w:hAnsi="黑体" w:eastAsia="黑体" w:cs="黑体"/>
          <w:spacing w:val="-40"/>
          <w:sz w:val="24"/>
          <w:szCs w:val="24"/>
        </w:rPr>
        <w:t xml:space="preserve"> </w:t>
      </w:r>
      <w:r>
        <w:rPr>
          <w:rFonts w:ascii="黑体" w:hAnsi="黑体" w:eastAsia="黑体" w:cs="黑体"/>
          <w:b/>
          <w:bCs/>
          <w:spacing w:val="-8"/>
          <w:sz w:val="24"/>
          <w:szCs w:val="24"/>
        </w:rPr>
        <w:t>责</w:t>
      </w:r>
    </w:p>
    <w:p w14:paraId="12A86A2F">
      <w:pPr>
        <w:spacing w:before="93" w:line="221" w:lineRule="auto"/>
        <w:rPr>
          <w:rFonts w:ascii="黑体" w:hAnsi="黑体" w:eastAsia="黑体" w:cs="黑体"/>
          <w:sz w:val="27"/>
          <w:szCs w:val="27"/>
        </w:rPr>
      </w:pPr>
      <w:r>
        <w:rPr>
          <w:rFonts w:ascii="黑体" w:hAnsi="黑体" w:eastAsia="黑体" w:cs="黑体"/>
          <w:spacing w:val="-5"/>
          <w:sz w:val="27"/>
          <w:szCs w:val="27"/>
        </w:rPr>
        <w:t xml:space="preserve">3.1  </w:t>
      </w:r>
      <w:r>
        <w:rPr>
          <w:rFonts w:ascii="黑体" w:hAnsi="黑体" w:eastAsia="黑体" w:cs="黑体"/>
          <w:b/>
          <w:bCs/>
          <w:spacing w:val="-5"/>
          <w:sz w:val="27"/>
          <w:szCs w:val="27"/>
        </w:rPr>
        <w:t>技术状态管理人员、部门和机构</w:t>
      </w:r>
    </w:p>
    <w:p w14:paraId="4A16C184">
      <w:pPr>
        <w:spacing w:before="111" w:line="219" w:lineRule="auto"/>
        <w:ind w:left="560"/>
        <w:rPr>
          <w:rFonts w:ascii="宋体" w:hAnsi="宋体" w:eastAsia="宋体" w:cs="宋体"/>
          <w:sz w:val="27"/>
          <w:szCs w:val="27"/>
        </w:rPr>
      </w:pPr>
      <w:r>
        <w:rPr>
          <w:rFonts w:ascii="宋体" w:hAnsi="宋体" w:eastAsia="宋体" w:cs="宋体"/>
          <w:spacing w:val="-8"/>
          <w:sz w:val="27"/>
          <w:szCs w:val="27"/>
        </w:rPr>
        <w:t>说明参与技术状态管理活动的人员、部门和机构，需要时，用简图说明。</w:t>
      </w:r>
    </w:p>
    <w:p w14:paraId="5686E52D">
      <w:pPr>
        <w:spacing w:before="65" w:line="221" w:lineRule="auto"/>
        <w:rPr>
          <w:rFonts w:ascii="黑体" w:hAnsi="黑体" w:eastAsia="黑体" w:cs="黑体"/>
          <w:sz w:val="27"/>
          <w:szCs w:val="27"/>
        </w:rPr>
      </w:pPr>
      <w:r>
        <w:rPr>
          <w:rFonts w:ascii="黑体" w:hAnsi="黑体" w:eastAsia="黑体" w:cs="黑体"/>
          <w:spacing w:val="-4"/>
          <w:sz w:val="27"/>
          <w:szCs w:val="27"/>
        </w:rPr>
        <w:t xml:space="preserve">3.2  </w:t>
      </w:r>
      <w:r>
        <w:rPr>
          <w:rFonts w:ascii="黑体" w:hAnsi="黑体" w:eastAsia="黑体" w:cs="黑体"/>
          <w:b/>
          <w:bCs/>
          <w:spacing w:val="-4"/>
          <w:sz w:val="27"/>
          <w:szCs w:val="27"/>
        </w:rPr>
        <w:t>技术状态管理人员、部门和机构的职责</w:t>
      </w:r>
    </w:p>
    <w:p w14:paraId="56ED0504">
      <w:pPr>
        <w:spacing w:before="101" w:line="276" w:lineRule="auto"/>
        <w:ind w:firstLine="560"/>
        <w:rPr>
          <w:rFonts w:ascii="宋体" w:hAnsi="宋体" w:eastAsia="宋体" w:cs="宋体"/>
          <w:sz w:val="27"/>
          <w:szCs w:val="27"/>
        </w:rPr>
      </w:pPr>
      <w:r>
        <w:rPr>
          <w:rFonts w:ascii="宋体" w:hAnsi="宋体" w:eastAsia="宋体" w:cs="宋体"/>
          <w:spacing w:val="6"/>
          <w:sz w:val="27"/>
          <w:szCs w:val="27"/>
        </w:rPr>
        <w:t>说明各参与方在技术状态管理中的职责，包括在技术状态控制委员会</w:t>
      </w:r>
      <w:r>
        <w:rPr>
          <w:rFonts w:ascii="宋体" w:hAnsi="宋体" w:eastAsia="宋体" w:cs="宋体"/>
          <w:spacing w:val="5"/>
          <w:sz w:val="27"/>
          <w:szCs w:val="27"/>
        </w:rPr>
        <w:t>中起</w:t>
      </w:r>
      <w:r>
        <w:rPr>
          <w:rFonts w:ascii="宋体" w:hAnsi="宋体" w:eastAsia="宋体" w:cs="宋体"/>
          <w:sz w:val="27"/>
          <w:szCs w:val="27"/>
        </w:rPr>
        <w:t xml:space="preserve"> </w:t>
      </w:r>
      <w:r>
        <w:rPr>
          <w:rFonts w:ascii="宋体" w:hAnsi="宋体" w:eastAsia="宋体" w:cs="宋体"/>
          <w:spacing w:val="-3"/>
          <w:sz w:val="27"/>
          <w:szCs w:val="27"/>
        </w:rPr>
        <w:t>到的作用。</w:t>
      </w:r>
    </w:p>
    <w:p w14:paraId="440C7950">
      <w:pPr>
        <w:spacing w:before="1" w:line="221" w:lineRule="auto"/>
        <w:rPr>
          <w:rFonts w:ascii="黑体" w:hAnsi="黑体" w:eastAsia="黑体" w:cs="黑体"/>
          <w:sz w:val="27"/>
          <w:szCs w:val="27"/>
        </w:rPr>
      </w:pPr>
      <w:r>
        <w:rPr>
          <w:rFonts w:ascii="黑体" w:hAnsi="黑体" w:eastAsia="黑体" w:cs="黑体"/>
          <w:spacing w:val="-3"/>
          <w:sz w:val="27"/>
          <w:szCs w:val="27"/>
        </w:rPr>
        <w:t xml:space="preserve">3.3  </w:t>
      </w:r>
      <w:r>
        <w:rPr>
          <w:rFonts w:ascii="黑体" w:hAnsi="黑体" w:eastAsia="黑体" w:cs="黑体"/>
          <w:b/>
          <w:bCs/>
          <w:spacing w:val="-3"/>
          <w:sz w:val="27"/>
          <w:szCs w:val="27"/>
        </w:rPr>
        <w:t>技术状态管理与技术审查、定型工作的关系</w:t>
      </w:r>
    </w:p>
    <w:p w14:paraId="4D4C449D">
      <w:pPr>
        <w:spacing w:before="99" w:line="219" w:lineRule="auto"/>
        <w:ind w:left="560"/>
        <w:rPr>
          <w:rFonts w:ascii="宋体" w:hAnsi="宋体" w:eastAsia="宋体" w:cs="宋体"/>
          <w:sz w:val="27"/>
          <w:szCs w:val="27"/>
        </w:rPr>
      </w:pPr>
      <w:r>
        <w:rPr>
          <w:rFonts w:ascii="宋体" w:hAnsi="宋体" w:eastAsia="宋体" w:cs="宋体"/>
          <w:sz w:val="27"/>
          <w:szCs w:val="27"/>
        </w:rPr>
        <w:t>说明技术状态管理职能与技术审查、定型工作等方面</w:t>
      </w:r>
      <w:r>
        <w:rPr>
          <w:rFonts w:ascii="宋体" w:hAnsi="宋体" w:eastAsia="宋体" w:cs="宋体"/>
          <w:spacing w:val="-1"/>
          <w:sz w:val="27"/>
          <w:szCs w:val="27"/>
        </w:rPr>
        <w:t>的有机联系。</w:t>
      </w:r>
    </w:p>
    <w:p w14:paraId="3A56E54E">
      <w:pPr>
        <w:spacing w:before="66" w:line="222" w:lineRule="auto"/>
        <w:rPr>
          <w:rFonts w:ascii="黑体" w:hAnsi="黑体" w:eastAsia="黑体" w:cs="黑体"/>
          <w:sz w:val="27"/>
          <w:szCs w:val="27"/>
        </w:rPr>
      </w:pPr>
      <w:r>
        <w:rPr>
          <w:rFonts w:ascii="黑体" w:hAnsi="黑体" w:eastAsia="黑体" w:cs="黑体"/>
          <w:spacing w:val="3"/>
          <w:sz w:val="27"/>
          <w:szCs w:val="27"/>
        </w:rPr>
        <w:t xml:space="preserve">4  </w:t>
      </w:r>
      <w:r>
        <w:rPr>
          <w:rFonts w:ascii="黑体" w:hAnsi="黑体" w:eastAsia="黑体" w:cs="黑体"/>
          <w:b/>
          <w:bCs/>
          <w:spacing w:val="3"/>
          <w:sz w:val="27"/>
          <w:szCs w:val="27"/>
        </w:rPr>
        <w:t>技术状态管理重大事项</w:t>
      </w:r>
    </w:p>
    <w:p w14:paraId="6E5CEB1D">
      <w:pPr>
        <w:spacing w:before="92" w:line="276" w:lineRule="auto"/>
        <w:ind w:right="1" w:firstLine="560"/>
        <w:jc w:val="both"/>
        <w:rPr>
          <w:rFonts w:ascii="宋体" w:hAnsi="宋体" w:eastAsia="宋体" w:cs="宋体"/>
          <w:sz w:val="27"/>
          <w:szCs w:val="27"/>
        </w:rPr>
      </w:pPr>
      <w:r>
        <w:rPr>
          <w:rFonts w:ascii="宋体" w:hAnsi="宋体" w:eastAsia="宋体" w:cs="宋体"/>
          <w:spacing w:val="6"/>
          <w:sz w:val="27"/>
          <w:szCs w:val="27"/>
        </w:rPr>
        <w:t>说明产品或技术状态项寿命周期的阶段划分，并按阶段说明技术</w:t>
      </w:r>
      <w:r>
        <w:rPr>
          <w:rFonts w:ascii="宋体" w:hAnsi="宋体" w:eastAsia="宋体" w:cs="宋体"/>
          <w:spacing w:val="5"/>
          <w:sz w:val="27"/>
          <w:szCs w:val="27"/>
        </w:rPr>
        <w:t>状态管理</w:t>
      </w:r>
      <w:r>
        <w:rPr>
          <w:rFonts w:ascii="宋体" w:hAnsi="宋体" w:eastAsia="宋体" w:cs="宋体"/>
          <w:sz w:val="27"/>
          <w:szCs w:val="27"/>
        </w:rPr>
        <w:t xml:space="preserve"> </w:t>
      </w:r>
      <w:r>
        <w:rPr>
          <w:rFonts w:ascii="宋体" w:hAnsi="宋体" w:eastAsia="宋体" w:cs="宋体"/>
          <w:spacing w:val="6"/>
          <w:sz w:val="27"/>
          <w:szCs w:val="27"/>
        </w:rPr>
        <w:t>重大事项的安排。重大事项包括成立技术状态控制委员会、确</w:t>
      </w:r>
      <w:r>
        <w:rPr>
          <w:rFonts w:ascii="宋体" w:hAnsi="宋体" w:eastAsia="宋体" w:cs="宋体"/>
          <w:spacing w:val="5"/>
          <w:sz w:val="27"/>
          <w:szCs w:val="27"/>
        </w:rPr>
        <w:t>立技术状态基线</w:t>
      </w:r>
      <w:r>
        <w:rPr>
          <w:rFonts w:ascii="宋体" w:hAnsi="宋体" w:eastAsia="宋体" w:cs="宋体"/>
          <w:sz w:val="27"/>
          <w:szCs w:val="27"/>
        </w:rPr>
        <w:t xml:space="preserve"> </w:t>
      </w:r>
      <w:r>
        <w:rPr>
          <w:rFonts w:ascii="宋体" w:hAnsi="宋体" w:eastAsia="宋体" w:cs="宋体"/>
          <w:spacing w:val="5"/>
          <w:sz w:val="27"/>
          <w:szCs w:val="27"/>
        </w:rPr>
        <w:t>(包括内部控制的基线)、准备用于项目技术审查或技术状态审核的技术状态文</w:t>
      </w:r>
      <w:r>
        <w:rPr>
          <w:rFonts w:ascii="宋体" w:hAnsi="宋体" w:eastAsia="宋体" w:cs="宋体"/>
          <w:spacing w:val="18"/>
          <w:sz w:val="27"/>
          <w:szCs w:val="27"/>
        </w:rPr>
        <w:t xml:space="preserve"> </w:t>
      </w:r>
      <w:r>
        <w:rPr>
          <w:rFonts w:ascii="宋体" w:hAnsi="宋体" w:eastAsia="宋体" w:cs="宋体"/>
          <w:spacing w:val="-4"/>
          <w:sz w:val="27"/>
          <w:szCs w:val="27"/>
        </w:rPr>
        <w:t>档等。</w:t>
      </w:r>
    </w:p>
    <w:p w14:paraId="560F04A3">
      <w:pPr>
        <w:pStyle w:val="2"/>
        <w:spacing w:before="1" w:line="222" w:lineRule="auto"/>
        <w:rPr>
          <w:rFonts w:ascii="黑体" w:hAnsi="黑体" w:eastAsia="黑体" w:cs="黑体"/>
          <w:sz w:val="27"/>
          <w:szCs w:val="27"/>
        </w:rPr>
      </w:pPr>
      <w:r>
        <w:rPr>
          <w:b/>
          <w:bCs/>
          <w:spacing w:val="2"/>
          <w:sz w:val="27"/>
          <w:szCs w:val="27"/>
        </w:rPr>
        <w:t>5</w:t>
      </w:r>
      <w:r>
        <w:rPr>
          <w:b/>
          <w:bCs/>
          <w:spacing w:val="16"/>
          <w:sz w:val="27"/>
          <w:szCs w:val="27"/>
        </w:rPr>
        <w:t xml:space="preserve">   </w:t>
      </w:r>
      <w:r>
        <w:rPr>
          <w:rFonts w:ascii="黑体" w:hAnsi="黑体" w:eastAsia="黑体" w:cs="黑体"/>
          <w:b/>
          <w:bCs/>
          <w:spacing w:val="2"/>
          <w:sz w:val="27"/>
          <w:szCs w:val="27"/>
        </w:rPr>
        <w:t>技术状态标识</w:t>
      </w:r>
    </w:p>
    <w:p w14:paraId="4944FBE3">
      <w:pPr>
        <w:spacing w:before="93" w:line="222" w:lineRule="auto"/>
        <w:rPr>
          <w:rFonts w:ascii="黑体" w:hAnsi="黑体" w:eastAsia="黑体" w:cs="黑体"/>
          <w:sz w:val="27"/>
          <w:szCs w:val="27"/>
        </w:rPr>
      </w:pPr>
      <w:r>
        <w:rPr>
          <w:rFonts w:ascii="黑体" w:hAnsi="黑体" w:eastAsia="黑体" w:cs="黑体"/>
          <w:spacing w:val="4"/>
          <w:sz w:val="27"/>
          <w:szCs w:val="27"/>
        </w:rPr>
        <w:t xml:space="preserve">5.1  </w:t>
      </w:r>
      <w:r>
        <w:rPr>
          <w:rFonts w:ascii="黑体" w:hAnsi="黑体" w:eastAsia="黑体" w:cs="黑体"/>
          <w:b/>
          <w:bCs/>
          <w:spacing w:val="4"/>
          <w:sz w:val="27"/>
          <w:szCs w:val="27"/>
        </w:rPr>
        <w:t>技术状态项</w:t>
      </w:r>
    </w:p>
    <w:p w14:paraId="2B3D5FCA">
      <w:pPr>
        <w:spacing w:before="101" w:line="219" w:lineRule="auto"/>
        <w:ind w:left="560"/>
        <w:rPr>
          <w:rFonts w:ascii="宋体" w:hAnsi="宋体" w:eastAsia="宋体" w:cs="宋体"/>
          <w:sz w:val="27"/>
          <w:szCs w:val="27"/>
        </w:rPr>
      </w:pPr>
      <w:r>
        <w:rPr>
          <w:rFonts w:ascii="宋体" w:hAnsi="宋体" w:eastAsia="宋体" w:cs="宋体"/>
          <w:spacing w:val="3"/>
          <w:sz w:val="27"/>
          <w:szCs w:val="27"/>
        </w:rPr>
        <w:t>列出选取的技术状态项。</w:t>
      </w:r>
    </w:p>
    <w:p w14:paraId="15398E2B">
      <w:pPr>
        <w:spacing w:before="102" w:line="219" w:lineRule="auto"/>
        <w:rPr>
          <w:rFonts w:ascii="黑体" w:hAnsi="黑体" w:eastAsia="黑体" w:cs="黑体"/>
          <w:sz w:val="27"/>
          <w:szCs w:val="27"/>
        </w:rPr>
      </w:pPr>
      <w:r>
        <w:rPr>
          <w:rFonts w:ascii="黑体" w:hAnsi="黑体" w:eastAsia="黑体" w:cs="黑体"/>
          <w:spacing w:val="3"/>
          <w:sz w:val="27"/>
          <w:szCs w:val="27"/>
        </w:rPr>
        <w:t xml:space="preserve">5.2  </w:t>
      </w:r>
      <w:r>
        <w:rPr>
          <w:rFonts w:ascii="黑体" w:hAnsi="黑体" w:eastAsia="黑体" w:cs="黑体"/>
          <w:b/>
          <w:bCs/>
          <w:spacing w:val="3"/>
          <w:sz w:val="27"/>
          <w:szCs w:val="27"/>
        </w:rPr>
        <w:t>技术状态基线所需的技术状态文档(规范树)</w:t>
      </w:r>
    </w:p>
    <w:p w14:paraId="6B04F666">
      <w:pPr>
        <w:spacing w:before="78" w:line="278" w:lineRule="auto"/>
        <w:ind w:right="19" w:firstLine="560"/>
        <w:rPr>
          <w:rFonts w:ascii="宋体" w:hAnsi="宋体" w:eastAsia="宋体" w:cs="宋体"/>
          <w:sz w:val="27"/>
          <w:szCs w:val="27"/>
        </w:rPr>
      </w:pPr>
      <w:r>
        <w:rPr>
          <w:rFonts w:ascii="宋体" w:hAnsi="宋体" w:eastAsia="宋体" w:cs="宋体"/>
          <w:spacing w:val="5"/>
          <w:sz w:val="27"/>
          <w:szCs w:val="27"/>
        </w:rPr>
        <w:t>建立每一条技术状态基线所需的技术状态文档，需要时用图示方式来表示</w:t>
      </w:r>
      <w:r>
        <w:rPr>
          <w:rFonts w:ascii="宋体" w:hAnsi="宋体" w:eastAsia="宋体" w:cs="宋体"/>
          <w:spacing w:val="10"/>
          <w:sz w:val="27"/>
          <w:szCs w:val="27"/>
        </w:rPr>
        <w:t xml:space="preserve"> </w:t>
      </w:r>
      <w:r>
        <w:rPr>
          <w:rFonts w:ascii="宋体" w:hAnsi="宋体" w:eastAsia="宋体" w:cs="宋体"/>
          <w:spacing w:val="-3"/>
          <w:sz w:val="27"/>
          <w:szCs w:val="27"/>
        </w:rPr>
        <w:t>各技术状态文档之间的关系，例如用规范树来表示。</w:t>
      </w:r>
    </w:p>
    <w:p w14:paraId="0EDE89D6">
      <w:pPr>
        <w:spacing w:before="2" w:line="220" w:lineRule="auto"/>
        <w:rPr>
          <w:rFonts w:ascii="黑体" w:hAnsi="黑体" w:eastAsia="黑体" w:cs="黑体"/>
          <w:sz w:val="27"/>
          <w:szCs w:val="27"/>
        </w:rPr>
      </w:pPr>
      <w:r>
        <w:rPr>
          <w:rFonts w:ascii="黑体" w:hAnsi="黑体" w:eastAsia="黑体" w:cs="黑体"/>
          <w:spacing w:val="-3"/>
          <w:sz w:val="27"/>
          <w:szCs w:val="27"/>
        </w:rPr>
        <w:t xml:space="preserve">5.3  </w:t>
      </w:r>
      <w:r>
        <w:rPr>
          <w:rFonts w:ascii="黑体" w:hAnsi="黑体" w:eastAsia="黑体" w:cs="黑体"/>
          <w:b/>
          <w:bCs/>
          <w:spacing w:val="-3"/>
          <w:sz w:val="27"/>
          <w:szCs w:val="27"/>
        </w:rPr>
        <w:t>技术状态项及其下级产品的标识、技术状态文档的标识</w:t>
      </w:r>
    </w:p>
    <w:p w14:paraId="2864C715">
      <w:pPr>
        <w:spacing w:before="82" w:line="270" w:lineRule="auto"/>
        <w:ind w:right="10" w:firstLine="560"/>
        <w:rPr>
          <w:rFonts w:ascii="宋体" w:hAnsi="宋体" w:eastAsia="宋体" w:cs="宋体"/>
          <w:sz w:val="27"/>
          <w:szCs w:val="27"/>
        </w:rPr>
      </w:pPr>
      <w:r>
        <w:rPr>
          <w:rFonts w:ascii="宋体" w:hAnsi="宋体" w:eastAsia="宋体" w:cs="宋体"/>
          <w:spacing w:val="14"/>
          <w:sz w:val="27"/>
          <w:szCs w:val="27"/>
        </w:rPr>
        <w:t>说明标识制度，包括技术状态项及其下级产品的标识、技术状态文档的</w:t>
      </w:r>
      <w:r>
        <w:rPr>
          <w:rFonts w:ascii="宋体" w:hAnsi="宋体" w:eastAsia="宋体" w:cs="宋体"/>
          <w:spacing w:val="16"/>
          <w:sz w:val="27"/>
          <w:szCs w:val="27"/>
        </w:rPr>
        <w:t xml:space="preserve"> </w:t>
      </w:r>
      <w:r>
        <w:rPr>
          <w:rFonts w:ascii="宋体" w:hAnsi="宋体" w:eastAsia="宋体" w:cs="宋体"/>
          <w:spacing w:val="-4"/>
          <w:sz w:val="27"/>
          <w:szCs w:val="27"/>
        </w:rPr>
        <w:t>标识。</w:t>
      </w:r>
    </w:p>
    <w:p w14:paraId="219CC574">
      <w:pPr>
        <w:pStyle w:val="2"/>
        <w:spacing w:before="15" w:line="221" w:lineRule="auto"/>
        <w:rPr>
          <w:rFonts w:ascii="黑体" w:hAnsi="黑体" w:eastAsia="黑体" w:cs="黑体"/>
          <w:sz w:val="27"/>
          <w:szCs w:val="27"/>
        </w:rPr>
      </w:pPr>
      <w:r>
        <w:rPr>
          <w:b/>
          <w:bCs/>
          <w:spacing w:val="1"/>
          <w:sz w:val="27"/>
          <w:szCs w:val="27"/>
        </w:rPr>
        <w:t xml:space="preserve">5.4    </w:t>
      </w:r>
      <w:r>
        <w:rPr>
          <w:rFonts w:ascii="黑体" w:hAnsi="黑体" w:eastAsia="黑体" w:cs="黑体"/>
          <w:b/>
          <w:bCs/>
          <w:spacing w:val="1"/>
          <w:sz w:val="27"/>
          <w:szCs w:val="27"/>
        </w:rPr>
        <w:t>技术状态文档发放程序</w:t>
      </w:r>
    </w:p>
    <w:p w14:paraId="3369C6B4">
      <w:pPr>
        <w:spacing w:before="113" w:line="219" w:lineRule="auto"/>
        <w:ind w:left="560"/>
        <w:rPr>
          <w:rFonts w:ascii="宋体" w:hAnsi="宋体" w:eastAsia="宋体" w:cs="宋体"/>
          <w:sz w:val="27"/>
          <w:szCs w:val="27"/>
        </w:rPr>
      </w:pPr>
      <w:r>
        <w:rPr>
          <w:rFonts w:ascii="宋体" w:hAnsi="宋体" w:eastAsia="宋体" w:cs="宋体"/>
          <w:spacing w:val="3"/>
          <w:sz w:val="27"/>
          <w:szCs w:val="27"/>
        </w:rPr>
        <w:t>说明技术状态文档的发放程序。</w:t>
      </w:r>
    </w:p>
    <w:p w14:paraId="0B4AA857">
      <w:pPr>
        <w:spacing w:line="219" w:lineRule="auto"/>
        <w:rPr>
          <w:rFonts w:ascii="宋体" w:hAnsi="宋体" w:eastAsia="宋体" w:cs="宋体"/>
          <w:sz w:val="27"/>
          <w:szCs w:val="27"/>
        </w:rPr>
        <w:sectPr>
          <w:footerReference r:id="rId73" w:type="default"/>
          <w:pgSz w:w="11910" w:h="17130"/>
          <w:pgMar w:top="400" w:right="928" w:bottom="1533" w:left="1589" w:header="0" w:footer="1334" w:gutter="0"/>
          <w:cols w:space="720" w:num="1"/>
        </w:sectPr>
      </w:pPr>
    </w:p>
    <w:p w14:paraId="64CF0B07">
      <w:pPr>
        <w:pStyle w:val="2"/>
        <w:spacing w:line="275" w:lineRule="auto"/>
      </w:pPr>
    </w:p>
    <w:p w14:paraId="1B96473E">
      <w:pPr>
        <w:pStyle w:val="2"/>
        <w:spacing w:line="275" w:lineRule="auto"/>
      </w:pPr>
    </w:p>
    <w:p w14:paraId="2CA71A57">
      <w:pPr>
        <w:pStyle w:val="2"/>
        <w:spacing w:line="276" w:lineRule="auto"/>
      </w:pPr>
    </w:p>
    <w:p w14:paraId="28A84E35">
      <w:pPr>
        <w:pStyle w:val="2"/>
        <w:spacing w:line="276" w:lineRule="auto"/>
      </w:pPr>
    </w:p>
    <w:p w14:paraId="2C754759">
      <w:pPr>
        <w:pStyle w:val="2"/>
        <w:spacing w:before="88" w:line="222" w:lineRule="auto"/>
        <w:rPr>
          <w:rFonts w:ascii="黑体" w:hAnsi="黑体" w:eastAsia="黑体" w:cs="黑体"/>
          <w:sz w:val="27"/>
          <w:szCs w:val="27"/>
        </w:rPr>
      </w:pPr>
      <w:bookmarkStart w:id="38" w:name="bookmark325"/>
      <w:bookmarkEnd w:id="38"/>
      <w:r>
        <w:rPr>
          <w:b/>
          <w:bCs/>
          <w:spacing w:val="2"/>
          <w:sz w:val="27"/>
          <w:szCs w:val="27"/>
        </w:rPr>
        <w:t>6</w:t>
      </w:r>
      <w:r>
        <w:rPr>
          <w:b/>
          <w:bCs/>
          <w:spacing w:val="17"/>
          <w:sz w:val="27"/>
          <w:szCs w:val="27"/>
        </w:rPr>
        <w:t xml:space="preserve">   </w:t>
      </w:r>
      <w:r>
        <w:rPr>
          <w:rFonts w:ascii="黑体" w:hAnsi="黑体" w:eastAsia="黑体" w:cs="黑体"/>
          <w:b/>
          <w:bCs/>
          <w:spacing w:val="2"/>
          <w:sz w:val="27"/>
          <w:szCs w:val="27"/>
        </w:rPr>
        <w:t>技术状态控制</w:t>
      </w:r>
    </w:p>
    <w:p w14:paraId="28F0C3AE">
      <w:pPr>
        <w:spacing w:before="132" w:line="221" w:lineRule="auto"/>
        <w:rPr>
          <w:rFonts w:ascii="黑体" w:hAnsi="黑体" w:eastAsia="黑体" w:cs="黑体"/>
          <w:sz w:val="24"/>
          <w:szCs w:val="24"/>
        </w:rPr>
      </w:pPr>
      <w:r>
        <w:rPr>
          <w:rFonts w:ascii="黑体" w:hAnsi="黑体" w:eastAsia="黑体" w:cs="黑体"/>
          <w:spacing w:val="23"/>
          <w:sz w:val="24"/>
          <w:szCs w:val="24"/>
        </w:rPr>
        <w:t>6.1</w:t>
      </w:r>
      <w:r>
        <w:rPr>
          <w:rFonts w:ascii="黑体" w:hAnsi="黑体" w:eastAsia="黑体" w:cs="黑体"/>
          <w:spacing w:val="52"/>
          <w:sz w:val="24"/>
          <w:szCs w:val="24"/>
        </w:rPr>
        <w:t xml:space="preserve">  </w:t>
      </w:r>
      <w:r>
        <w:rPr>
          <w:rFonts w:ascii="黑体" w:hAnsi="黑体" w:eastAsia="黑体" w:cs="黑体"/>
          <w:b/>
          <w:bCs/>
          <w:spacing w:val="23"/>
          <w:sz w:val="24"/>
          <w:szCs w:val="24"/>
        </w:rPr>
        <w:t>技术状态更改分类</w:t>
      </w:r>
    </w:p>
    <w:p w14:paraId="397706CD">
      <w:pPr>
        <w:spacing w:before="89" w:line="283" w:lineRule="auto"/>
        <w:ind w:right="93" w:firstLine="570"/>
        <w:jc w:val="both"/>
        <w:rPr>
          <w:rFonts w:ascii="宋体" w:hAnsi="宋体" w:eastAsia="宋体" w:cs="宋体"/>
          <w:sz w:val="27"/>
          <w:szCs w:val="27"/>
        </w:rPr>
      </w:pPr>
      <w:r>
        <w:rPr>
          <w:rFonts w:ascii="宋体" w:hAnsi="宋体" w:eastAsia="宋体" w:cs="宋体"/>
          <w:spacing w:val="7"/>
          <w:sz w:val="27"/>
          <w:szCs w:val="27"/>
        </w:rPr>
        <w:t>应明确技术状态更改的类别。技术状态更改一般分为</w:t>
      </w:r>
      <w:r>
        <w:rPr>
          <w:rFonts w:ascii="Times New Roman" w:hAnsi="Times New Roman" w:eastAsia="Times New Roman" w:cs="Times New Roman"/>
          <w:spacing w:val="7"/>
          <w:sz w:val="27"/>
          <w:szCs w:val="27"/>
        </w:rPr>
        <w:t xml:space="preserve">I  </w:t>
      </w:r>
      <w:r>
        <w:rPr>
          <w:rFonts w:ascii="宋体" w:hAnsi="宋体" w:eastAsia="宋体" w:cs="宋体"/>
          <w:spacing w:val="7"/>
          <w:sz w:val="27"/>
          <w:szCs w:val="27"/>
        </w:rPr>
        <w:t>类、Ⅱ类。</w:t>
      </w:r>
      <w:r>
        <w:rPr>
          <w:rFonts w:ascii="Times New Roman" w:hAnsi="Times New Roman" w:eastAsia="Times New Roman" w:cs="Times New Roman"/>
          <w:spacing w:val="7"/>
          <w:sz w:val="27"/>
          <w:szCs w:val="27"/>
        </w:rPr>
        <w:t xml:space="preserve">I  </w:t>
      </w:r>
      <w:r>
        <w:rPr>
          <w:rFonts w:ascii="宋体" w:hAnsi="宋体" w:eastAsia="宋体" w:cs="宋体"/>
          <w:spacing w:val="7"/>
          <w:sz w:val="27"/>
          <w:szCs w:val="27"/>
        </w:rPr>
        <w:t>类技</w:t>
      </w:r>
      <w:r>
        <w:rPr>
          <w:rFonts w:ascii="宋体" w:hAnsi="宋体" w:eastAsia="宋体" w:cs="宋体"/>
          <w:spacing w:val="18"/>
          <w:sz w:val="27"/>
          <w:szCs w:val="27"/>
        </w:rPr>
        <w:t xml:space="preserve"> </w:t>
      </w:r>
      <w:r>
        <w:rPr>
          <w:rFonts w:ascii="宋体" w:hAnsi="宋体" w:eastAsia="宋体" w:cs="宋体"/>
          <w:spacing w:val="7"/>
          <w:sz w:val="27"/>
          <w:szCs w:val="27"/>
        </w:rPr>
        <w:t>术状态更改由订购方控制，Ⅱ类技术状态更改由承制方自行控制。除</w:t>
      </w:r>
      <w:r>
        <w:rPr>
          <w:rFonts w:ascii="Times New Roman" w:hAnsi="Times New Roman" w:eastAsia="Times New Roman" w:cs="Times New Roman"/>
          <w:spacing w:val="7"/>
          <w:sz w:val="27"/>
          <w:szCs w:val="27"/>
        </w:rPr>
        <w:t>I</w:t>
      </w:r>
      <w:r>
        <w:rPr>
          <w:rFonts w:ascii="Times New Roman" w:hAnsi="Times New Roman" w:eastAsia="Times New Roman" w:cs="Times New Roman"/>
          <w:spacing w:val="60"/>
          <w:sz w:val="27"/>
          <w:szCs w:val="27"/>
        </w:rPr>
        <w:t xml:space="preserve"> </w:t>
      </w:r>
      <w:r>
        <w:rPr>
          <w:rFonts w:ascii="宋体" w:hAnsi="宋体" w:eastAsia="宋体" w:cs="宋体"/>
          <w:spacing w:val="7"/>
          <w:sz w:val="27"/>
          <w:szCs w:val="27"/>
        </w:rPr>
        <w:t>类之外</w:t>
      </w:r>
      <w:r>
        <w:rPr>
          <w:rFonts w:ascii="宋体" w:hAnsi="宋体" w:eastAsia="宋体" w:cs="宋体"/>
          <w:sz w:val="27"/>
          <w:szCs w:val="27"/>
        </w:rPr>
        <w:t xml:space="preserve"> </w:t>
      </w:r>
      <w:r>
        <w:rPr>
          <w:rFonts w:ascii="宋体" w:hAnsi="宋体" w:eastAsia="宋体" w:cs="宋体"/>
          <w:spacing w:val="14"/>
          <w:sz w:val="27"/>
          <w:szCs w:val="27"/>
        </w:rPr>
        <w:t>的更改均属Ⅱ类技术状态更改。承制方可根据行</w:t>
      </w:r>
      <w:r>
        <w:rPr>
          <w:rFonts w:ascii="宋体" w:hAnsi="宋体" w:eastAsia="宋体" w:cs="宋体"/>
          <w:spacing w:val="13"/>
          <w:sz w:val="27"/>
          <w:szCs w:val="27"/>
        </w:rPr>
        <w:t>业习惯细化技术状态更改类</w:t>
      </w:r>
      <w:r>
        <w:rPr>
          <w:rFonts w:ascii="宋体" w:hAnsi="宋体" w:eastAsia="宋体" w:cs="宋体"/>
          <w:sz w:val="27"/>
          <w:szCs w:val="27"/>
        </w:rPr>
        <w:t xml:space="preserve"> </w:t>
      </w:r>
      <w:r>
        <w:rPr>
          <w:rFonts w:ascii="宋体" w:hAnsi="宋体" w:eastAsia="宋体" w:cs="宋体"/>
          <w:spacing w:val="-2"/>
          <w:sz w:val="27"/>
          <w:szCs w:val="27"/>
        </w:rPr>
        <w:t>别，但应经订购方认可。当订购方和承制方</w:t>
      </w:r>
      <w:r>
        <w:rPr>
          <w:rFonts w:ascii="宋体" w:hAnsi="宋体" w:eastAsia="宋体" w:cs="宋体"/>
          <w:spacing w:val="-3"/>
          <w:sz w:val="27"/>
          <w:szCs w:val="27"/>
        </w:rPr>
        <w:t>对技术状态更改归类有分歧时，经双</w:t>
      </w:r>
      <w:r>
        <w:rPr>
          <w:rFonts w:ascii="宋体" w:hAnsi="宋体" w:eastAsia="宋体" w:cs="宋体"/>
          <w:sz w:val="27"/>
          <w:szCs w:val="27"/>
        </w:rPr>
        <w:t xml:space="preserve"> </w:t>
      </w:r>
      <w:r>
        <w:rPr>
          <w:rFonts w:ascii="宋体" w:hAnsi="宋体" w:eastAsia="宋体" w:cs="宋体"/>
          <w:spacing w:val="6"/>
          <w:sz w:val="27"/>
          <w:szCs w:val="27"/>
        </w:rPr>
        <w:t>方充分协商后由订购方最后决定。下列更改均属</w:t>
      </w:r>
      <w:r>
        <w:rPr>
          <w:rFonts w:ascii="Times New Roman" w:hAnsi="Times New Roman" w:eastAsia="Times New Roman" w:cs="Times New Roman"/>
          <w:spacing w:val="6"/>
          <w:sz w:val="27"/>
          <w:szCs w:val="27"/>
        </w:rPr>
        <w:t>I</w:t>
      </w:r>
      <w:r>
        <w:rPr>
          <w:rFonts w:ascii="Times New Roman" w:hAnsi="Times New Roman" w:eastAsia="Times New Roman" w:cs="Times New Roman"/>
          <w:spacing w:val="1"/>
          <w:sz w:val="27"/>
          <w:szCs w:val="27"/>
        </w:rPr>
        <w:t xml:space="preserve">  </w:t>
      </w:r>
      <w:r>
        <w:rPr>
          <w:rFonts w:ascii="宋体" w:hAnsi="宋体" w:eastAsia="宋体" w:cs="宋体"/>
          <w:spacing w:val="6"/>
          <w:sz w:val="27"/>
          <w:szCs w:val="27"/>
        </w:rPr>
        <w:t>类技术状态</w:t>
      </w:r>
      <w:r>
        <w:rPr>
          <w:rFonts w:ascii="宋体" w:hAnsi="宋体" w:eastAsia="宋体" w:cs="宋体"/>
          <w:spacing w:val="5"/>
          <w:sz w:val="27"/>
          <w:szCs w:val="27"/>
        </w:rPr>
        <w:t>更改。</w:t>
      </w:r>
    </w:p>
    <w:p w14:paraId="0F21B37F">
      <w:pPr>
        <w:spacing w:line="260" w:lineRule="auto"/>
        <w:ind w:right="80" w:firstLine="57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63"/>
          <w:w w:val="101"/>
          <w:sz w:val="27"/>
          <w:szCs w:val="27"/>
        </w:rPr>
        <w:t xml:space="preserve"> </w:t>
      </w:r>
      <w:r>
        <w:rPr>
          <w:rFonts w:ascii="宋体" w:hAnsi="宋体" w:eastAsia="宋体" w:cs="宋体"/>
          <w:spacing w:val="-4"/>
          <w:sz w:val="27"/>
          <w:szCs w:val="27"/>
        </w:rPr>
        <w:t>更改涉及合同，影响合同中下列任一个或多个要素：1)合同经费；</w:t>
      </w:r>
      <w:r>
        <w:rPr>
          <w:rFonts w:ascii="宋体" w:hAnsi="宋体" w:eastAsia="宋体" w:cs="宋体"/>
          <w:spacing w:val="-5"/>
          <w:sz w:val="27"/>
          <w:szCs w:val="27"/>
        </w:rPr>
        <w:t>2)合同</w:t>
      </w:r>
      <w:r>
        <w:rPr>
          <w:rFonts w:ascii="宋体" w:hAnsi="宋体" w:eastAsia="宋体" w:cs="宋体"/>
          <w:sz w:val="27"/>
          <w:szCs w:val="27"/>
        </w:rPr>
        <w:t xml:space="preserve"> </w:t>
      </w:r>
      <w:r>
        <w:rPr>
          <w:rFonts w:ascii="宋体" w:hAnsi="宋体" w:eastAsia="宋体" w:cs="宋体"/>
          <w:spacing w:val="-5"/>
          <w:sz w:val="27"/>
          <w:szCs w:val="27"/>
        </w:rPr>
        <w:t>保证或担保；3)合同规定的交付要求；4)合同重</w:t>
      </w:r>
      <w:r>
        <w:rPr>
          <w:rFonts w:ascii="宋体" w:hAnsi="宋体" w:eastAsia="宋体" w:cs="宋体"/>
          <w:spacing w:val="-6"/>
          <w:sz w:val="27"/>
          <w:szCs w:val="27"/>
        </w:rPr>
        <w:t>大事件安排。</w:t>
      </w:r>
    </w:p>
    <w:p w14:paraId="189DA9F0">
      <w:pPr>
        <w:spacing w:before="59" w:line="212" w:lineRule="auto"/>
        <w:jc w:val="right"/>
        <w:rPr>
          <w:rFonts w:ascii="宋体" w:hAnsi="宋体" w:eastAsia="宋体" w:cs="宋体"/>
          <w:sz w:val="27"/>
          <w:szCs w:val="27"/>
        </w:rPr>
      </w:pPr>
      <w:r>
        <w:rPr>
          <w:rFonts w:ascii="Times New Roman" w:hAnsi="Times New Roman" w:eastAsia="Times New Roman" w:cs="Times New Roman"/>
          <w:spacing w:val="-2"/>
          <w:sz w:val="27"/>
          <w:szCs w:val="27"/>
        </w:rPr>
        <w:t>b)</w:t>
      </w:r>
      <w:r>
        <w:rPr>
          <w:rFonts w:ascii="Times New Roman" w:hAnsi="Times New Roman" w:eastAsia="Times New Roman" w:cs="Times New Roman"/>
          <w:spacing w:val="57"/>
          <w:sz w:val="27"/>
          <w:szCs w:val="27"/>
        </w:rPr>
        <w:t xml:space="preserve"> </w:t>
      </w:r>
      <w:r>
        <w:rPr>
          <w:rFonts w:ascii="宋体" w:hAnsi="宋体" w:eastAsia="宋体" w:cs="宋体"/>
          <w:spacing w:val="-2"/>
          <w:sz w:val="27"/>
          <w:szCs w:val="27"/>
        </w:rPr>
        <w:t>更改涉及功能基线、分配基线或产品基线，影响下列任一</w:t>
      </w:r>
      <w:r>
        <w:rPr>
          <w:rFonts w:ascii="宋体" w:hAnsi="宋体" w:eastAsia="宋体" w:cs="宋体"/>
          <w:spacing w:val="-3"/>
          <w:sz w:val="27"/>
          <w:szCs w:val="27"/>
        </w:rPr>
        <w:t>要求：1)性能；</w:t>
      </w:r>
    </w:p>
    <w:p w14:paraId="69933B23">
      <w:pPr>
        <w:spacing w:before="128" w:line="279" w:lineRule="auto"/>
        <w:jc w:val="both"/>
        <w:rPr>
          <w:rFonts w:ascii="宋体" w:hAnsi="宋体" w:eastAsia="宋体" w:cs="宋体"/>
          <w:sz w:val="27"/>
          <w:szCs w:val="27"/>
        </w:rPr>
      </w:pPr>
      <w:r>
        <w:rPr>
          <w:rFonts w:ascii="宋体" w:hAnsi="宋体" w:eastAsia="宋体" w:cs="宋体"/>
          <w:spacing w:val="-17"/>
          <w:sz w:val="27"/>
          <w:szCs w:val="27"/>
        </w:rPr>
        <w:t>2)可靠性、维修性、测试性、安全性、保障性、生存性、环境适应性、电磁兼容性等</w:t>
      </w:r>
      <w:r>
        <w:rPr>
          <w:rFonts w:ascii="宋体" w:hAnsi="宋体" w:eastAsia="宋体" w:cs="宋体"/>
          <w:spacing w:val="8"/>
          <w:sz w:val="27"/>
          <w:szCs w:val="27"/>
        </w:rPr>
        <w:t xml:space="preserve">  </w:t>
      </w:r>
      <w:r>
        <w:rPr>
          <w:rFonts w:ascii="宋体" w:hAnsi="宋体" w:eastAsia="宋体" w:cs="宋体"/>
          <w:spacing w:val="-16"/>
          <w:sz w:val="27"/>
          <w:szCs w:val="27"/>
        </w:rPr>
        <w:t>特性；3)重量、重心、惯性矩；4)接口特性；5)技术状态项及其零部件、组件的互换</w:t>
      </w:r>
      <w:r>
        <w:rPr>
          <w:rFonts w:ascii="宋体" w:hAnsi="宋体" w:eastAsia="宋体" w:cs="宋体"/>
          <w:spacing w:val="4"/>
          <w:sz w:val="27"/>
          <w:szCs w:val="27"/>
        </w:rPr>
        <w:t xml:space="preserve">  </w:t>
      </w:r>
      <w:r>
        <w:rPr>
          <w:rFonts w:ascii="宋体" w:hAnsi="宋体" w:eastAsia="宋体" w:cs="宋体"/>
          <w:spacing w:val="-13"/>
          <w:sz w:val="27"/>
          <w:szCs w:val="27"/>
        </w:rPr>
        <w:t>性；6)已交付的使用手册、维修手册；7)与保障设备、训练器材(装置)、保障软件、</w:t>
      </w:r>
      <w:r>
        <w:rPr>
          <w:rFonts w:ascii="宋体" w:hAnsi="宋体" w:eastAsia="宋体" w:cs="宋体"/>
          <w:spacing w:val="13"/>
          <w:sz w:val="27"/>
          <w:szCs w:val="27"/>
        </w:rPr>
        <w:t xml:space="preserve"> </w:t>
      </w:r>
      <w:r>
        <w:rPr>
          <w:rFonts w:ascii="宋体" w:hAnsi="宋体" w:eastAsia="宋体" w:cs="宋体"/>
          <w:spacing w:val="-10"/>
          <w:sz w:val="27"/>
          <w:szCs w:val="27"/>
        </w:rPr>
        <w:t>零备件等的兼容性；8)技能、人员配备、训练、生物医学因素或人</w:t>
      </w:r>
      <w:r>
        <w:rPr>
          <w:rFonts w:ascii="宋体" w:hAnsi="宋体" w:eastAsia="宋体" w:cs="宋体"/>
          <w:spacing w:val="-11"/>
          <w:sz w:val="27"/>
          <w:szCs w:val="27"/>
        </w:rPr>
        <w:t>机工程设计。</w:t>
      </w:r>
    </w:p>
    <w:p w14:paraId="205FB31C">
      <w:pPr>
        <w:spacing w:before="34" w:line="222" w:lineRule="auto"/>
        <w:rPr>
          <w:rFonts w:ascii="黑体" w:hAnsi="黑体" w:eastAsia="黑体" w:cs="黑体"/>
          <w:sz w:val="27"/>
          <w:szCs w:val="27"/>
        </w:rPr>
      </w:pPr>
      <w:r>
        <w:rPr>
          <w:rFonts w:ascii="黑体" w:hAnsi="黑体" w:eastAsia="黑体" w:cs="黑体"/>
          <w:spacing w:val="2"/>
          <w:sz w:val="27"/>
          <w:szCs w:val="27"/>
        </w:rPr>
        <w:t xml:space="preserve">6.2  </w:t>
      </w:r>
      <w:r>
        <w:rPr>
          <w:rFonts w:ascii="黑体" w:hAnsi="黑体" w:eastAsia="黑体" w:cs="黑体"/>
          <w:b/>
          <w:bCs/>
          <w:spacing w:val="2"/>
          <w:sz w:val="27"/>
          <w:szCs w:val="27"/>
        </w:rPr>
        <w:t>技术状态更改审批权限</w:t>
      </w:r>
    </w:p>
    <w:p w14:paraId="1879199E">
      <w:pPr>
        <w:spacing w:before="81" w:line="219" w:lineRule="auto"/>
        <w:ind w:left="570"/>
        <w:rPr>
          <w:rFonts w:ascii="宋体" w:hAnsi="宋体" w:eastAsia="宋体" w:cs="宋体"/>
          <w:sz w:val="27"/>
          <w:szCs w:val="27"/>
        </w:rPr>
      </w:pPr>
      <w:r>
        <w:rPr>
          <w:rFonts w:ascii="宋体" w:hAnsi="宋体" w:eastAsia="宋体" w:cs="宋体"/>
          <w:spacing w:val="3"/>
          <w:sz w:val="27"/>
          <w:szCs w:val="27"/>
        </w:rPr>
        <w:t>明确技术状态更改的审批权限。</w:t>
      </w:r>
    </w:p>
    <w:p w14:paraId="54550B82">
      <w:pPr>
        <w:spacing w:before="124" w:line="222" w:lineRule="auto"/>
        <w:rPr>
          <w:rFonts w:ascii="黑体" w:hAnsi="黑体" w:eastAsia="黑体" w:cs="黑体"/>
          <w:sz w:val="27"/>
          <w:szCs w:val="27"/>
        </w:rPr>
      </w:pPr>
      <w:r>
        <w:rPr>
          <w:rFonts w:ascii="黑体" w:hAnsi="黑体" w:eastAsia="黑体" w:cs="黑体"/>
          <w:spacing w:val="2"/>
          <w:sz w:val="27"/>
          <w:szCs w:val="27"/>
        </w:rPr>
        <w:t xml:space="preserve">6.3  </w:t>
      </w:r>
      <w:r>
        <w:rPr>
          <w:rFonts w:ascii="黑体" w:hAnsi="黑体" w:eastAsia="黑体" w:cs="黑体"/>
          <w:b/>
          <w:bCs/>
          <w:spacing w:val="2"/>
          <w:sz w:val="27"/>
          <w:szCs w:val="27"/>
        </w:rPr>
        <w:t>技术状态更改建议的处理程序</w:t>
      </w:r>
    </w:p>
    <w:p w14:paraId="6B331B7E">
      <w:pPr>
        <w:spacing w:before="101" w:line="219" w:lineRule="auto"/>
        <w:ind w:left="570"/>
        <w:rPr>
          <w:rFonts w:ascii="宋体" w:hAnsi="宋体" w:eastAsia="宋体" w:cs="宋体"/>
          <w:sz w:val="27"/>
          <w:szCs w:val="27"/>
        </w:rPr>
      </w:pPr>
      <w:r>
        <w:rPr>
          <w:rFonts w:ascii="宋体" w:hAnsi="宋体" w:eastAsia="宋体" w:cs="宋体"/>
          <w:spacing w:val="-12"/>
          <w:sz w:val="27"/>
          <w:szCs w:val="27"/>
        </w:rPr>
        <w:t>明确技术状态更改建议的提出、编制、评审、审批的程序。</w:t>
      </w:r>
    </w:p>
    <w:p w14:paraId="42906B25">
      <w:pPr>
        <w:spacing w:before="124" w:line="222" w:lineRule="auto"/>
        <w:rPr>
          <w:rFonts w:ascii="黑体" w:hAnsi="黑体" w:eastAsia="黑体" w:cs="黑体"/>
          <w:sz w:val="27"/>
          <w:szCs w:val="27"/>
        </w:rPr>
      </w:pPr>
      <w:r>
        <w:rPr>
          <w:rFonts w:ascii="黑体" w:hAnsi="黑体" w:eastAsia="黑体" w:cs="黑体"/>
          <w:spacing w:val="-6"/>
          <w:sz w:val="27"/>
          <w:szCs w:val="27"/>
        </w:rPr>
        <w:t xml:space="preserve">6.4  </w:t>
      </w:r>
      <w:r>
        <w:rPr>
          <w:rFonts w:ascii="黑体" w:hAnsi="黑体" w:eastAsia="黑体" w:cs="黑体"/>
          <w:b/>
          <w:bCs/>
          <w:spacing w:val="-6"/>
          <w:sz w:val="27"/>
          <w:szCs w:val="27"/>
        </w:rPr>
        <w:t>偏离、超差申请的处理程序</w:t>
      </w:r>
    </w:p>
    <w:p w14:paraId="3D0A47F4">
      <w:pPr>
        <w:spacing w:before="101" w:line="219" w:lineRule="auto"/>
        <w:ind w:left="570"/>
        <w:rPr>
          <w:rFonts w:ascii="宋体" w:hAnsi="宋体" w:eastAsia="宋体" w:cs="宋体"/>
          <w:sz w:val="27"/>
          <w:szCs w:val="27"/>
        </w:rPr>
      </w:pPr>
      <w:r>
        <w:rPr>
          <w:rFonts w:ascii="宋体" w:hAnsi="宋体" w:eastAsia="宋体" w:cs="宋体"/>
          <w:spacing w:val="-12"/>
          <w:sz w:val="27"/>
          <w:szCs w:val="27"/>
        </w:rPr>
        <w:t>明确偏离、超差申请的编制、审批、实施和纠正</w:t>
      </w:r>
      <w:r>
        <w:rPr>
          <w:rFonts w:ascii="宋体" w:hAnsi="宋体" w:eastAsia="宋体" w:cs="宋体"/>
          <w:spacing w:val="-13"/>
          <w:sz w:val="27"/>
          <w:szCs w:val="27"/>
        </w:rPr>
        <w:t>的程序。</w:t>
      </w:r>
    </w:p>
    <w:p w14:paraId="108539AC">
      <w:pPr>
        <w:spacing w:before="124" w:line="222" w:lineRule="auto"/>
        <w:rPr>
          <w:rFonts w:ascii="黑体" w:hAnsi="黑体" w:eastAsia="黑体" w:cs="黑体"/>
          <w:sz w:val="24"/>
          <w:szCs w:val="24"/>
        </w:rPr>
      </w:pPr>
      <w:r>
        <w:rPr>
          <w:rFonts w:ascii="黑体" w:hAnsi="黑体" w:eastAsia="黑体" w:cs="黑体"/>
          <w:spacing w:val="26"/>
          <w:sz w:val="24"/>
          <w:szCs w:val="24"/>
        </w:rPr>
        <w:t>6.5</w:t>
      </w:r>
      <w:r>
        <w:rPr>
          <w:rFonts w:ascii="黑体" w:hAnsi="黑体" w:eastAsia="黑体" w:cs="黑体"/>
          <w:spacing w:val="50"/>
          <w:sz w:val="24"/>
          <w:szCs w:val="24"/>
        </w:rPr>
        <w:t xml:space="preserve">  </w:t>
      </w:r>
      <w:r>
        <w:rPr>
          <w:rFonts w:ascii="黑体" w:hAnsi="黑体" w:eastAsia="黑体" w:cs="黑体"/>
          <w:b/>
          <w:bCs/>
          <w:spacing w:val="26"/>
          <w:sz w:val="24"/>
          <w:szCs w:val="24"/>
        </w:rPr>
        <w:t>技术状态更改通知的处理程序</w:t>
      </w:r>
    </w:p>
    <w:p w14:paraId="7C400B04">
      <w:pPr>
        <w:spacing w:before="87" w:line="289" w:lineRule="auto"/>
        <w:ind w:right="113" w:firstLine="570"/>
        <w:rPr>
          <w:rFonts w:ascii="宋体" w:hAnsi="宋体" w:eastAsia="宋体" w:cs="宋体"/>
          <w:sz w:val="27"/>
          <w:szCs w:val="27"/>
        </w:rPr>
      </w:pPr>
      <w:r>
        <w:rPr>
          <w:rFonts w:ascii="宋体" w:hAnsi="宋体" w:eastAsia="宋体" w:cs="宋体"/>
          <w:spacing w:val="-3"/>
          <w:sz w:val="27"/>
          <w:szCs w:val="27"/>
        </w:rPr>
        <w:t>明确技术状态更改建议批准后形成技术状态更改通</w:t>
      </w:r>
      <w:r>
        <w:rPr>
          <w:rFonts w:ascii="宋体" w:hAnsi="宋体" w:eastAsia="宋体" w:cs="宋体"/>
          <w:spacing w:val="-4"/>
          <w:sz w:val="27"/>
          <w:szCs w:val="27"/>
        </w:rPr>
        <w:t>知的编制、下发、实施和</w:t>
      </w:r>
      <w:r>
        <w:rPr>
          <w:rFonts w:ascii="宋体" w:hAnsi="宋体" w:eastAsia="宋体" w:cs="宋体"/>
          <w:sz w:val="27"/>
          <w:szCs w:val="27"/>
        </w:rPr>
        <w:t xml:space="preserve"> 检查的程序。</w:t>
      </w:r>
    </w:p>
    <w:p w14:paraId="67331782">
      <w:pPr>
        <w:spacing w:before="1" w:line="221" w:lineRule="auto"/>
        <w:rPr>
          <w:rFonts w:ascii="黑体" w:hAnsi="黑体" w:eastAsia="黑体" w:cs="黑体"/>
          <w:sz w:val="27"/>
          <w:szCs w:val="27"/>
        </w:rPr>
      </w:pPr>
      <w:r>
        <w:rPr>
          <w:rFonts w:ascii="黑体" w:hAnsi="黑体" w:eastAsia="黑体" w:cs="黑体"/>
          <w:spacing w:val="3"/>
          <w:sz w:val="27"/>
          <w:szCs w:val="27"/>
        </w:rPr>
        <w:t xml:space="preserve">7  </w:t>
      </w:r>
      <w:r>
        <w:rPr>
          <w:rFonts w:ascii="黑体" w:hAnsi="黑体" w:eastAsia="黑体" w:cs="黑体"/>
          <w:b/>
          <w:bCs/>
          <w:spacing w:val="3"/>
          <w:sz w:val="27"/>
          <w:szCs w:val="27"/>
        </w:rPr>
        <w:t>技术状态记实</w:t>
      </w:r>
    </w:p>
    <w:p w14:paraId="522C18DE">
      <w:pPr>
        <w:spacing w:before="144" w:line="222" w:lineRule="auto"/>
        <w:rPr>
          <w:rFonts w:ascii="黑体" w:hAnsi="黑体" w:eastAsia="黑体" w:cs="黑体"/>
          <w:sz w:val="24"/>
          <w:szCs w:val="24"/>
        </w:rPr>
      </w:pPr>
      <w:r>
        <w:rPr>
          <w:rFonts w:ascii="黑体" w:hAnsi="黑体" w:eastAsia="黑体" w:cs="黑体"/>
          <w:spacing w:val="11"/>
          <w:sz w:val="24"/>
          <w:szCs w:val="24"/>
        </w:rPr>
        <w:t>7.1</w:t>
      </w:r>
      <w:r>
        <w:rPr>
          <w:rFonts w:ascii="黑体" w:hAnsi="黑体" w:eastAsia="黑体" w:cs="黑体"/>
          <w:spacing w:val="52"/>
          <w:sz w:val="24"/>
          <w:szCs w:val="24"/>
        </w:rPr>
        <w:t xml:space="preserve">  </w:t>
      </w:r>
      <w:r>
        <w:rPr>
          <w:rFonts w:ascii="黑体" w:hAnsi="黑体" w:eastAsia="黑体" w:cs="黑体"/>
          <w:b/>
          <w:bCs/>
          <w:spacing w:val="11"/>
          <w:sz w:val="24"/>
          <w:szCs w:val="24"/>
        </w:rPr>
        <w:t>资料收集、记录、处理和保持程序</w:t>
      </w:r>
    </w:p>
    <w:p w14:paraId="6A62279E">
      <w:pPr>
        <w:spacing w:before="116" w:line="218" w:lineRule="auto"/>
        <w:ind w:left="570"/>
        <w:rPr>
          <w:rFonts w:ascii="宋体" w:hAnsi="宋体" w:eastAsia="宋体" w:cs="宋体"/>
          <w:sz w:val="27"/>
          <w:szCs w:val="27"/>
        </w:rPr>
      </w:pPr>
      <w:r>
        <w:rPr>
          <w:rFonts w:ascii="宋体" w:hAnsi="宋体" w:eastAsia="宋体" w:cs="宋体"/>
          <w:spacing w:val="-4"/>
          <w:sz w:val="27"/>
          <w:szCs w:val="27"/>
        </w:rPr>
        <w:t>说明为形成技术状态记实报告所需资料的收集、记录、处理和保持的程序。</w:t>
      </w:r>
    </w:p>
    <w:p w14:paraId="2025B26D">
      <w:pPr>
        <w:spacing w:before="110" w:line="222" w:lineRule="auto"/>
        <w:rPr>
          <w:rFonts w:ascii="黑体" w:hAnsi="黑体" w:eastAsia="黑体" w:cs="黑体"/>
          <w:sz w:val="27"/>
          <w:szCs w:val="27"/>
        </w:rPr>
      </w:pPr>
      <w:r>
        <w:rPr>
          <w:rFonts w:ascii="黑体" w:hAnsi="黑体" w:eastAsia="黑体" w:cs="黑体"/>
          <w:spacing w:val="2"/>
          <w:sz w:val="27"/>
          <w:szCs w:val="27"/>
        </w:rPr>
        <w:t xml:space="preserve">7.2  </w:t>
      </w:r>
      <w:r>
        <w:rPr>
          <w:rFonts w:ascii="黑体" w:hAnsi="黑体" w:eastAsia="黑体" w:cs="黑体"/>
          <w:b/>
          <w:bCs/>
          <w:spacing w:val="2"/>
          <w:sz w:val="27"/>
          <w:szCs w:val="27"/>
        </w:rPr>
        <w:t>技术状态管理报告内容和形式</w:t>
      </w:r>
    </w:p>
    <w:p w14:paraId="51CA87E9">
      <w:pPr>
        <w:spacing w:before="86" w:line="218" w:lineRule="auto"/>
        <w:ind w:left="570"/>
        <w:rPr>
          <w:rFonts w:ascii="宋体" w:hAnsi="宋体" w:eastAsia="宋体" w:cs="宋体"/>
          <w:sz w:val="27"/>
          <w:szCs w:val="27"/>
        </w:rPr>
      </w:pPr>
      <w:r>
        <w:rPr>
          <w:rFonts w:ascii="宋体" w:hAnsi="宋体" w:eastAsia="宋体" w:cs="宋体"/>
          <w:spacing w:val="4"/>
          <w:sz w:val="27"/>
          <w:szCs w:val="27"/>
        </w:rPr>
        <w:t>说明所有技术状态管理报告内容和形式的规定。</w:t>
      </w:r>
    </w:p>
    <w:p w14:paraId="4AF93FE4">
      <w:pPr>
        <w:spacing w:before="90" w:line="222" w:lineRule="auto"/>
        <w:rPr>
          <w:rFonts w:ascii="黑体" w:hAnsi="黑体" w:eastAsia="黑体" w:cs="黑体"/>
          <w:sz w:val="27"/>
          <w:szCs w:val="27"/>
        </w:rPr>
      </w:pPr>
      <w:r>
        <w:rPr>
          <w:rFonts w:ascii="黑体" w:hAnsi="黑体" w:eastAsia="黑体" w:cs="黑体"/>
          <w:spacing w:val="2"/>
          <w:sz w:val="27"/>
          <w:szCs w:val="27"/>
        </w:rPr>
        <w:t xml:space="preserve">8  </w:t>
      </w:r>
      <w:r>
        <w:rPr>
          <w:rFonts w:ascii="黑体" w:hAnsi="黑体" w:eastAsia="黑体" w:cs="黑体"/>
          <w:b/>
          <w:bCs/>
          <w:spacing w:val="2"/>
          <w:sz w:val="27"/>
          <w:szCs w:val="27"/>
        </w:rPr>
        <w:t>技术状态审核</w:t>
      </w:r>
    </w:p>
    <w:p w14:paraId="481D404E">
      <w:pPr>
        <w:spacing w:before="103" w:line="222" w:lineRule="auto"/>
        <w:rPr>
          <w:rFonts w:ascii="黑体" w:hAnsi="黑体" w:eastAsia="黑体" w:cs="黑体"/>
          <w:sz w:val="27"/>
          <w:szCs w:val="27"/>
        </w:rPr>
      </w:pPr>
      <w:r>
        <w:rPr>
          <w:rFonts w:ascii="黑体" w:hAnsi="黑体" w:eastAsia="黑体" w:cs="黑体"/>
          <w:spacing w:val="-3"/>
          <w:sz w:val="27"/>
          <w:szCs w:val="27"/>
        </w:rPr>
        <w:t xml:space="preserve">8.1  </w:t>
      </w:r>
      <w:r>
        <w:rPr>
          <w:rFonts w:ascii="黑体" w:hAnsi="黑体" w:eastAsia="黑体" w:cs="黑体"/>
          <w:b/>
          <w:bCs/>
          <w:spacing w:val="-3"/>
          <w:sz w:val="27"/>
          <w:szCs w:val="27"/>
        </w:rPr>
        <w:t>技术状态审核的计划、程序和文档</w:t>
      </w:r>
    </w:p>
    <w:p w14:paraId="458FD065">
      <w:pPr>
        <w:spacing w:before="112" w:line="219" w:lineRule="auto"/>
        <w:ind w:left="570"/>
        <w:rPr>
          <w:rFonts w:ascii="宋体" w:hAnsi="宋体" w:eastAsia="宋体" w:cs="宋体"/>
          <w:sz w:val="27"/>
          <w:szCs w:val="27"/>
        </w:rPr>
      </w:pPr>
      <w:r>
        <w:rPr>
          <w:rFonts w:ascii="宋体" w:hAnsi="宋体" w:eastAsia="宋体" w:cs="宋体"/>
          <w:sz w:val="27"/>
          <w:szCs w:val="27"/>
        </w:rPr>
        <w:t>说明功能技术状态审核和物理技术状态审核的计划、程序和文档。</w:t>
      </w:r>
    </w:p>
    <w:p w14:paraId="622ED279">
      <w:pPr>
        <w:spacing w:before="105" w:line="222" w:lineRule="auto"/>
        <w:rPr>
          <w:rFonts w:ascii="黑体" w:hAnsi="黑体" w:eastAsia="黑体" w:cs="黑体"/>
          <w:sz w:val="27"/>
          <w:szCs w:val="27"/>
        </w:rPr>
      </w:pPr>
      <w:r>
        <w:rPr>
          <w:rFonts w:ascii="黑体" w:hAnsi="黑体" w:eastAsia="黑体" w:cs="黑体"/>
          <w:spacing w:val="2"/>
          <w:sz w:val="27"/>
          <w:szCs w:val="27"/>
        </w:rPr>
        <w:t xml:space="preserve">8.2  </w:t>
      </w:r>
      <w:r>
        <w:rPr>
          <w:rFonts w:ascii="黑体" w:hAnsi="黑体" w:eastAsia="黑体" w:cs="黑体"/>
          <w:b/>
          <w:bCs/>
          <w:spacing w:val="2"/>
          <w:sz w:val="27"/>
          <w:szCs w:val="27"/>
        </w:rPr>
        <w:t>技术状态审核报告的格式</w:t>
      </w:r>
    </w:p>
    <w:p w14:paraId="26B1C96B">
      <w:pPr>
        <w:spacing w:before="117" w:line="218" w:lineRule="auto"/>
        <w:ind w:left="570"/>
        <w:rPr>
          <w:rFonts w:ascii="宋体" w:hAnsi="宋体" w:eastAsia="宋体" w:cs="宋体"/>
          <w:sz w:val="27"/>
          <w:szCs w:val="27"/>
        </w:rPr>
      </w:pPr>
      <w:r>
        <w:rPr>
          <w:rFonts w:ascii="宋体" w:hAnsi="宋体" w:eastAsia="宋体" w:cs="宋体"/>
          <w:spacing w:val="4"/>
          <w:sz w:val="27"/>
          <w:szCs w:val="27"/>
        </w:rPr>
        <w:t>说明功能技术状态审核报告和物理技术状态审核报告的格式要求等。</w:t>
      </w:r>
    </w:p>
    <w:p w14:paraId="172BE2FE">
      <w:pPr>
        <w:spacing w:line="218" w:lineRule="auto"/>
        <w:rPr>
          <w:rFonts w:ascii="宋体" w:hAnsi="宋体" w:eastAsia="宋体" w:cs="宋体"/>
          <w:sz w:val="27"/>
          <w:szCs w:val="27"/>
        </w:rPr>
        <w:sectPr>
          <w:footerReference r:id="rId74" w:type="default"/>
          <w:pgSz w:w="11910" w:h="17130"/>
          <w:pgMar w:top="400" w:right="1295" w:bottom="1593" w:left="1130" w:header="0" w:footer="1394" w:gutter="0"/>
          <w:cols w:space="720" w:num="1"/>
        </w:sectPr>
      </w:pPr>
    </w:p>
    <w:p w14:paraId="09F8BE99">
      <w:pPr>
        <w:pStyle w:val="2"/>
        <w:spacing w:line="265" w:lineRule="auto"/>
      </w:pPr>
    </w:p>
    <w:p w14:paraId="42BEE18B">
      <w:pPr>
        <w:pStyle w:val="2"/>
        <w:spacing w:line="265" w:lineRule="auto"/>
      </w:pPr>
    </w:p>
    <w:p w14:paraId="2FCF89A1">
      <w:pPr>
        <w:pStyle w:val="2"/>
        <w:spacing w:line="265" w:lineRule="auto"/>
      </w:pPr>
    </w:p>
    <w:p w14:paraId="2182BC06">
      <w:pPr>
        <w:pStyle w:val="2"/>
        <w:spacing w:line="265" w:lineRule="auto"/>
      </w:pPr>
    </w:p>
    <w:p w14:paraId="7EC37641">
      <w:pPr>
        <w:pStyle w:val="2"/>
        <w:spacing w:before="78" w:line="327" w:lineRule="exact"/>
        <w:rPr>
          <w:rFonts w:ascii="黑体" w:hAnsi="黑体" w:eastAsia="黑体" w:cs="黑体"/>
          <w:sz w:val="24"/>
          <w:szCs w:val="24"/>
        </w:rPr>
      </w:pPr>
      <w:bookmarkStart w:id="39" w:name="bookmark326"/>
      <w:bookmarkEnd w:id="39"/>
      <w:r>
        <w:rPr>
          <w:spacing w:val="29"/>
          <w:position w:val="1"/>
          <w:sz w:val="24"/>
          <w:szCs w:val="24"/>
        </w:rPr>
        <w:t>9</w:t>
      </w:r>
      <w:r>
        <w:rPr>
          <w:spacing w:val="7"/>
          <w:position w:val="1"/>
          <w:sz w:val="24"/>
          <w:szCs w:val="24"/>
        </w:rPr>
        <w:t xml:space="preserve">    </w:t>
      </w:r>
      <w:r>
        <w:rPr>
          <w:rFonts w:ascii="黑体" w:hAnsi="黑体" w:eastAsia="黑体" w:cs="黑体"/>
          <w:spacing w:val="29"/>
          <w:position w:val="1"/>
          <w:sz w:val="24"/>
          <w:szCs w:val="24"/>
        </w:rPr>
        <w:t>分承制方/供应商控制</w:t>
      </w:r>
    </w:p>
    <w:p w14:paraId="6EFD08A9">
      <w:pPr>
        <w:spacing w:before="57" w:line="291" w:lineRule="auto"/>
        <w:ind w:right="122" w:firstLine="550"/>
        <w:rPr>
          <w:rFonts w:ascii="宋体" w:hAnsi="宋体" w:eastAsia="宋体" w:cs="宋体"/>
          <w:sz w:val="27"/>
          <w:szCs w:val="27"/>
        </w:rPr>
      </w:pPr>
      <w:r>
        <w:rPr>
          <w:rFonts w:ascii="宋体" w:hAnsi="宋体" w:eastAsia="宋体" w:cs="宋体"/>
          <w:spacing w:val="7"/>
          <w:sz w:val="27"/>
          <w:szCs w:val="27"/>
        </w:rPr>
        <w:t>说明承制方为保证分承制方或供应商符合</w:t>
      </w:r>
      <w:r>
        <w:rPr>
          <w:rFonts w:ascii="宋体" w:hAnsi="宋体" w:eastAsia="宋体" w:cs="宋体"/>
          <w:spacing w:val="-66"/>
          <w:sz w:val="27"/>
          <w:szCs w:val="27"/>
        </w:rPr>
        <w:t xml:space="preserve"> </w:t>
      </w:r>
      <w:r>
        <w:rPr>
          <w:rFonts w:ascii="Times New Roman" w:hAnsi="Times New Roman" w:eastAsia="Times New Roman" w:cs="Times New Roman"/>
          <w:sz w:val="27"/>
          <w:szCs w:val="27"/>
        </w:rPr>
        <w:t>GJB</w:t>
      </w:r>
      <w:r>
        <w:rPr>
          <w:rFonts w:ascii="Times New Roman" w:hAnsi="Times New Roman" w:eastAsia="Times New Roman" w:cs="Times New Roman"/>
          <w:spacing w:val="25"/>
          <w:sz w:val="27"/>
          <w:szCs w:val="27"/>
        </w:rPr>
        <w:t xml:space="preserve">  </w:t>
      </w:r>
      <w:r>
        <w:rPr>
          <w:rFonts w:ascii="Times New Roman" w:hAnsi="Times New Roman" w:eastAsia="Times New Roman" w:cs="Times New Roman"/>
          <w:spacing w:val="7"/>
          <w:sz w:val="27"/>
          <w:szCs w:val="27"/>
        </w:rPr>
        <w:t>3206A—2010</w:t>
      </w:r>
      <w:r>
        <w:rPr>
          <w:rFonts w:ascii="Times New Roman" w:hAnsi="Times New Roman" w:eastAsia="Times New Roman" w:cs="Times New Roman"/>
          <w:spacing w:val="24"/>
          <w:sz w:val="27"/>
          <w:szCs w:val="27"/>
        </w:rPr>
        <w:t xml:space="preserve"> </w:t>
      </w:r>
      <w:r>
        <w:rPr>
          <w:rFonts w:ascii="宋体" w:hAnsi="宋体" w:eastAsia="宋体" w:cs="宋体"/>
          <w:spacing w:val="7"/>
          <w:sz w:val="27"/>
          <w:szCs w:val="27"/>
        </w:rPr>
        <w:t>规定所采取</w:t>
      </w:r>
      <w:r>
        <w:rPr>
          <w:rFonts w:ascii="宋体" w:hAnsi="宋体" w:eastAsia="宋体" w:cs="宋体"/>
          <w:sz w:val="27"/>
          <w:szCs w:val="27"/>
        </w:rPr>
        <w:t xml:space="preserve"> </w:t>
      </w:r>
      <w:r>
        <w:rPr>
          <w:rFonts w:ascii="宋体" w:hAnsi="宋体" w:eastAsia="宋体" w:cs="宋体"/>
          <w:spacing w:val="1"/>
          <w:sz w:val="27"/>
          <w:szCs w:val="27"/>
        </w:rPr>
        <w:t>的方法。</w:t>
      </w:r>
    </w:p>
    <w:p w14:paraId="424FEC69">
      <w:pPr>
        <w:spacing w:line="222" w:lineRule="auto"/>
        <w:rPr>
          <w:rFonts w:ascii="黑体" w:hAnsi="黑体" w:eastAsia="黑体" w:cs="黑体"/>
          <w:sz w:val="27"/>
          <w:szCs w:val="27"/>
        </w:rPr>
      </w:pPr>
      <w:r>
        <w:rPr>
          <w:rFonts w:ascii="黑体" w:hAnsi="黑体" w:eastAsia="黑体" w:cs="黑体"/>
          <w:spacing w:val="-3"/>
          <w:sz w:val="27"/>
          <w:szCs w:val="27"/>
        </w:rPr>
        <w:t>10</w:t>
      </w:r>
      <w:r>
        <w:rPr>
          <w:rFonts w:ascii="黑体" w:hAnsi="黑体" w:eastAsia="黑体" w:cs="黑体"/>
          <w:spacing w:val="18"/>
          <w:sz w:val="27"/>
          <w:szCs w:val="27"/>
        </w:rPr>
        <w:t xml:space="preserve">  </w:t>
      </w:r>
      <w:r>
        <w:rPr>
          <w:rFonts w:ascii="黑体" w:hAnsi="黑体" w:eastAsia="黑体" w:cs="黑体"/>
          <w:spacing w:val="-3"/>
          <w:sz w:val="27"/>
          <w:szCs w:val="27"/>
        </w:rPr>
        <w:t>数据管理</w:t>
      </w:r>
    </w:p>
    <w:p w14:paraId="0CB971D4">
      <w:pPr>
        <w:spacing w:before="101" w:line="221" w:lineRule="auto"/>
        <w:rPr>
          <w:rFonts w:ascii="黑体" w:hAnsi="黑体" w:eastAsia="黑体" w:cs="黑体"/>
          <w:sz w:val="24"/>
          <w:szCs w:val="24"/>
        </w:rPr>
      </w:pPr>
      <w:r>
        <w:rPr>
          <w:rFonts w:ascii="黑体" w:hAnsi="黑体" w:eastAsia="黑体" w:cs="黑体"/>
          <w:spacing w:val="9"/>
          <w:sz w:val="24"/>
          <w:szCs w:val="24"/>
        </w:rPr>
        <w:t>10.1</w:t>
      </w:r>
      <w:r>
        <w:rPr>
          <w:rFonts w:ascii="黑体" w:hAnsi="黑体" w:eastAsia="黑体" w:cs="黑体"/>
          <w:spacing w:val="2"/>
          <w:sz w:val="24"/>
          <w:szCs w:val="24"/>
        </w:rPr>
        <w:t xml:space="preserve">   </w:t>
      </w:r>
      <w:r>
        <w:rPr>
          <w:rFonts w:ascii="黑体" w:hAnsi="黑体" w:eastAsia="黑体" w:cs="黑体"/>
          <w:spacing w:val="9"/>
          <w:sz w:val="24"/>
          <w:szCs w:val="24"/>
        </w:rPr>
        <w:t>数据访问、传递、存储方法</w:t>
      </w:r>
    </w:p>
    <w:p w14:paraId="4DFCB941">
      <w:pPr>
        <w:spacing w:before="104" w:line="219" w:lineRule="auto"/>
        <w:ind w:left="550"/>
        <w:rPr>
          <w:rFonts w:ascii="宋体" w:hAnsi="宋体" w:eastAsia="宋体" w:cs="宋体"/>
          <w:sz w:val="27"/>
          <w:szCs w:val="27"/>
        </w:rPr>
      </w:pPr>
      <w:r>
        <w:rPr>
          <w:rFonts w:ascii="宋体" w:hAnsi="宋体" w:eastAsia="宋体" w:cs="宋体"/>
          <w:spacing w:val="-6"/>
          <w:sz w:val="27"/>
          <w:szCs w:val="27"/>
        </w:rPr>
        <w:t>说明在技术状态数据访问、传递、存储等方面所采取的方法。</w:t>
      </w:r>
    </w:p>
    <w:p w14:paraId="6B6F494C">
      <w:pPr>
        <w:spacing w:before="80" w:line="222" w:lineRule="auto"/>
        <w:rPr>
          <w:rFonts w:ascii="黑体" w:hAnsi="黑体" w:eastAsia="黑体" w:cs="黑体"/>
          <w:sz w:val="27"/>
          <w:szCs w:val="27"/>
        </w:rPr>
      </w:pPr>
      <w:r>
        <w:rPr>
          <w:rFonts w:ascii="黑体" w:hAnsi="黑体" w:eastAsia="黑体" w:cs="黑体"/>
          <w:sz w:val="27"/>
          <w:szCs w:val="27"/>
        </w:rPr>
        <w:t>10.2</w:t>
      </w:r>
      <w:r>
        <w:rPr>
          <w:rFonts w:ascii="黑体" w:hAnsi="黑体" w:eastAsia="黑体" w:cs="黑体"/>
          <w:spacing w:val="32"/>
          <w:sz w:val="27"/>
          <w:szCs w:val="27"/>
        </w:rPr>
        <w:t xml:space="preserve">  </w:t>
      </w:r>
      <w:r>
        <w:rPr>
          <w:rFonts w:ascii="黑体" w:hAnsi="黑体" w:eastAsia="黑体" w:cs="黑体"/>
          <w:sz w:val="27"/>
          <w:szCs w:val="27"/>
        </w:rPr>
        <w:t>数据保存计划</w:t>
      </w:r>
    </w:p>
    <w:p w14:paraId="3962D89F">
      <w:pPr>
        <w:spacing w:before="77" w:line="219" w:lineRule="auto"/>
        <w:ind w:left="550"/>
        <w:rPr>
          <w:rFonts w:ascii="宋体" w:hAnsi="宋体" w:eastAsia="宋体" w:cs="宋体"/>
          <w:sz w:val="27"/>
          <w:szCs w:val="27"/>
        </w:rPr>
      </w:pPr>
      <w:r>
        <w:rPr>
          <w:rFonts w:ascii="宋体" w:hAnsi="宋体" w:eastAsia="宋体" w:cs="宋体"/>
          <w:spacing w:val="2"/>
          <w:sz w:val="27"/>
          <w:szCs w:val="27"/>
        </w:rPr>
        <w:t>说明技术状态数据保存计划。</w:t>
      </w:r>
    </w:p>
    <w:p w14:paraId="35A2C43A">
      <w:pPr>
        <w:pStyle w:val="2"/>
        <w:spacing w:line="319" w:lineRule="auto"/>
      </w:pPr>
    </w:p>
    <w:p w14:paraId="6285EF65">
      <w:pPr>
        <w:spacing w:before="118" w:line="219" w:lineRule="auto"/>
        <w:ind w:left="3070"/>
        <w:outlineLvl w:val="1"/>
        <w:rPr>
          <w:rFonts w:ascii="宋体" w:hAnsi="宋体" w:eastAsia="宋体" w:cs="宋体"/>
          <w:sz w:val="36"/>
          <w:szCs w:val="36"/>
        </w:rPr>
      </w:pPr>
      <w:bookmarkStart w:id="40" w:name="bookmark20"/>
      <w:bookmarkEnd w:id="40"/>
      <w:r>
        <w:rPr>
          <w:rFonts w:ascii="宋体" w:hAnsi="宋体" w:eastAsia="宋体" w:cs="宋体"/>
          <w:spacing w:val="-5"/>
          <w:sz w:val="36"/>
          <w:szCs w:val="36"/>
        </w:rPr>
        <w:t>1.</w:t>
      </w:r>
      <w:r>
        <w:rPr>
          <w:rFonts w:ascii="宋体" w:hAnsi="宋体" w:eastAsia="宋体" w:cs="宋体"/>
          <w:b/>
          <w:bCs/>
          <w:spacing w:val="-5"/>
          <w:sz w:val="36"/>
          <w:szCs w:val="36"/>
        </w:rPr>
        <w:t>18</w:t>
      </w:r>
      <w:r>
        <w:rPr>
          <w:rFonts w:ascii="宋体" w:hAnsi="宋体" w:eastAsia="宋体" w:cs="宋体"/>
          <w:spacing w:val="44"/>
          <w:sz w:val="36"/>
          <w:szCs w:val="36"/>
        </w:rPr>
        <w:t xml:space="preserve">  </w:t>
      </w:r>
      <w:r>
        <w:rPr>
          <w:rFonts w:ascii="宋体" w:hAnsi="宋体" w:eastAsia="宋体" w:cs="宋体"/>
          <w:b/>
          <w:bCs/>
          <w:spacing w:val="-5"/>
          <w:sz w:val="36"/>
          <w:szCs w:val="36"/>
        </w:rPr>
        <w:t>接口控制文件</w:t>
      </w:r>
    </w:p>
    <w:p w14:paraId="037EB94F">
      <w:pPr>
        <w:pStyle w:val="2"/>
        <w:spacing w:line="344" w:lineRule="auto"/>
      </w:pPr>
    </w:p>
    <w:p w14:paraId="20BECADA">
      <w:pPr>
        <w:spacing w:before="91" w:line="223" w:lineRule="auto"/>
        <w:ind w:left="554"/>
        <w:rPr>
          <w:rFonts w:ascii="楷体" w:hAnsi="楷体" w:eastAsia="楷体" w:cs="楷体"/>
          <w:sz w:val="28"/>
          <w:szCs w:val="28"/>
        </w:rPr>
      </w:pPr>
      <w:r>
        <w:rPr>
          <w:rFonts w:ascii="楷体" w:hAnsi="楷体" w:eastAsia="楷体" w:cs="楷体"/>
          <w:b/>
          <w:bCs/>
          <w:spacing w:val="-10"/>
          <w:sz w:val="28"/>
          <w:szCs w:val="28"/>
        </w:rPr>
        <w:t>按照</w:t>
      </w:r>
      <w:r>
        <w:rPr>
          <w:rFonts w:ascii="Times New Roman" w:hAnsi="Times New Roman" w:eastAsia="Times New Roman" w:cs="Times New Roman"/>
          <w:spacing w:val="-10"/>
          <w:sz w:val="28"/>
          <w:szCs w:val="28"/>
        </w:rPr>
        <w:t>GJB 2737—1996</w:t>
      </w:r>
      <w:r>
        <w:rPr>
          <w:rFonts w:ascii="宋体" w:hAnsi="宋体" w:eastAsia="宋体" w:cs="宋体"/>
          <w:spacing w:val="-10"/>
          <w:sz w:val="28"/>
          <w:szCs w:val="28"/>
        </w:rPr>
        <w:t>《</w:t>
      </w:r>
      <w:r>
        <w:rPr>
          <w:rFonts w:ascii="楷体" w:hAnsi="楷体" w:eastAsia="楷体" w:cs="楷体"/>
          <w:spacing w:val="-10"/>
          <w:sz w:val="28"/>
          <w:szCs w:val="28"/>
        </w:rPr>
        <w:t>武器装备系统接口控制</w:t>
      </w:r>
      <w:r>
        <w:rPr>
          <w:rFonts w:ascii="楷体" w:hAnsi="楷体" w:eastAsia="楷体" w:cs="楷体"/>
          <w:spacing w:val="-11"/>
          <w:sz w:val="28"/>
          <w:szCs w:val="28"/>
        </w:rPr>
        <w:t>要求》编写。</w:t>
      </w:r>
    </w:p>
    <w:p w14:paraId="3E83F6DB">
      <w:pPr>
        <w:spacing w:before="7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365AD86A">
      <w:pPr>
        <w:spacing w:before="106" w:line="222" w:lineRule="auto"/>
        <w:rPr>
          <w:rFonts w:ascii="黑体" w:hAnsi="黑体" w:eastAsia="黑体" w:cs="黑体"/>
          <w:sz w:val="24"/>
          <w:szCs w:val="24"/>
        </w:rPr>
      </w:pPr>
      <w:r>
        <w:rPr>
          <w:rFonts w:ascii="黑体" w:hAnsi="黑体" w:eastAsia="黑体" w:cs="黑体"/>
          <w:spacing w:val="11"/>
          <w:sz w:val="24"/>
          <w:szCs w:val="24"/>
        </w:rPr>
        <w:t>1.</w:t>
      </w:r>
      <w:r>
        <w:rPr>
          <w:rFonts w:ascii="黑体" w:hAnsi="黑体" w:eastAsia="黑体" w:cs="黑体"/>
          <w:spacing w:val="-69"/>
          <w:sz w:val="24"/>
          <w:szCs w:val="24"/>
        </w:rPr>
        <w:t xml:space="preserve"> </w:t>
      </w:r>
      <w:r>
        <w:rPr>
          <w:rFonts w:ascii="黑体" w:hAnsi="黑体" w:eastAsia="黑体" w:cs="黑体"/>
          <w:spacing w:val="11"/>
          <w:sz w:val="24"/>
          <w:szCs w:val="24"/>
        </w:rPr>
        <w:t>1</w:t>
      </w:r>
      <w:r>
        <w:rPr>
          <w:rFonts w:ascii="黑体" w:hAnsi="黑体" w:eastAsia="黑体" w:cs="黑体"/>
          <w:spacing w:val="41"/>
          <w:sz w:val="24"/>
          <w:szCs w:val="24"/>
        </w:rPr>
        <w:t xml:space="preserve">  </w:t>
      </w:r>
      <w:r>
        <w:rPr>
          <w:rFonts w:ascii="黑体" w:hAnsi="黑体" w:eastAsia="黑体" w:cs="黑体"/>
          <w:spacing w:val="11"/>
          <w:sz w:val="24"/>
          <w:szCs w:val="24"/>
        </w:rPr>
        <w:t>主题内容</w:t>
      </w:r>
    </w:p>
    <w:p w14:paraId="0ADD4CA2">
      <w:pPr>
        <w:spacing w:before="81" w:line="280" w:lineRule="auto"/>
        <w:ind w:right="122" w:firstLine="550"/>
        <w:rPr>
          <w:rFonts w:ascii="宋体" w:hAnsi="宋体" w:eastAsia="宋体" w:cs="宋体"/>
          <w:sz w:val="27"/>
          <w:szCs w:val="27"/>
        </w:rPr>
      </w:pPr>
      <w:r>
        <w:rPr>
          <w:rFonts w:ascii="宋体" w:hAnsi="宋体" w:eastAsia="宋体" w:cs="宋体"/>
          <w:spacing w:val="5"/>
          <w:sz w:val="27"/>
          <w:szCs w:val="27"/>
        </w:rPr>
        <w:t>主题内容起摘要作用，应简要说明接口控制文件的主题内容或目的。建议</w:t>
      </w:r>
      <w:r>
        <w:rPr>
          <w:rFonts w:ascii="宋体" w:hAnsi="宋体" w:eastAsia="宋体" w:cs="宋体"/>
          <w:spacing w:val="11"/>
          <w:sz w:val="27"/>
          <w:szCs w:val="27"/>
        </w:rPr>
        <w:t xml:space="preserve"> </w:t>
      </w:r>
      <w:r>
        <w:rPr>
          <w:rFonts w:ascii="宋体" w:hAnsi="宋体" w:eastAsia="宋体" w:cs="宋体"/>
          <w:spacing w:val="1"/>
          <w:sz w:val="27"/>
          <w:szCs w:val="27"/>
        </w:rPr>
        <w:t>采用下列典型用语：</w:t>
      </w:r>
    </w:p>
    <w:p w14:paraId="4B9C7F52">
      <w:pPr>
        <w:spacing w:before="1" w:line="222" w:lineRule="auto"/>
        <w:ind w:left="415"/>
        <w:rPr>
          <w:rFonts w:ascii="仿宋" w:hAnsi="仿宋" w:eastAsia="仿宋" w:cs="仿宋"/>
          <w:sz w:val="27"/>
          <w:szCs w:val="27"/>
        </w:rPr>
      </w:pPr>
      <w:r>
        <w:rPr>
          <w:rFonts w:ascii="仿宋" w:hAnsi="仿宋" w:eastAsia="仿宋" w:cs="仿宋"/>
          <w:spacing w:val="4"/>
          <w:sz w:val="27"/>
          <w:szCs w:val="27"/>
        </w:rPr>
        <w:t>“本文件规定了××产品的接口内容。”</w:t>
      </w:r>
    </w:p>
    <w:p w14:paraId="19F4A099">
      <w:pPr>
        <w:spacing w:before="106" w:line="223" w:lineRule="auto"/>
        <w:rPr>
          <w:rFonts w:ascii="黑体" w:hAnsi="黑体" w:eastAsia="黑体" w:cs="黑体"/>
          <w:sz w:val="24"/>
          <w:szCs w:val="24"/>
        </w:rPr>
      </w:pPr>
      <w:r>
        <w:rPr>
          <w:rFonts w:ascii="黑体" w:hAnsi="黑体" w:eastAsia="黑体" w:cs="黑体"/>
          <w:spacing w:val="15"/>
          <w:sz w:val="24"/>
          <w:szCs w:val="24"/>
        </w:rPr>
        <w:t>1.2</w:t>
      </w:r>
      <w:r>
        <w:rPr>
          <w:rFonts w:ascii="黑体" w:hAnsi="黑体" w:eastAsia="黑体" w:cs="黑体"/>
          <w:spacing w:val="58"/>
          <w:sz w:val="24"/>
          <w:szCs w:val="24"/>
        </w:rPr>
        <w:t xml:space="preserve">  </w:t>
      </w:r>
      <w:r>
        <w:rPr>
          <w:rFonts w:ascii="黑体" w:hAnsi="黑体" w:eastAsia="黑体" w:cs="黑体"/>
          <w:spacing w:val="15"/>
          <w:sz w:val="24"/>
          <w:szCs w:val="24"/>
        </w:rPr>
        <w:t>适用范围</w:t>
      </w:r>
    </w:p>
    <w:p w14:paraId="7C98FCE1">
      <w:pPr>
        <w:spacing w:before="79" w:line="287" w:lineRule="auto"/>
        <w:ind w:left="415" w:firstLine="134"/>
        <w:rPr>
          <w:rFonts w:ascii="仿宋" w:hAnsi="仿宋" w:eastAsia="仿宋" w:cs="仿宋"/>
          <w:sz w:val="27"/>
          <w:szCs w:val="27"/>
        </w:rPr>
      </w:pPr>
      <w:r>
        <w:rPr>
          <w:rFonts w:ascii="宋体" w:hAnsi="宋体" w:eastAsia="宋体" w:cs="宋体"/>
          <w:spacing w:val="1"/>
          <w:sz w:val="27"/>
          <w:szCs w:val="27"/>
        </w:rPr>
        <w:t>主要说明接口控制文件的适用范围、应用领域等。建议</w:t>
      </w:r>
      <w:r>
        <w:rPr>
          <w:rFonts w:ascii="宋体" w:hAnsi="宋体" w:eastAsia="宋体" w:cs="宋体"/>
          <w:sz w:val="27"/>
          <w:szCs w:val="27"/>
        </w:rPr>
        <w:t xml:space="preserve">采用下列典型用语： </w:t>
      </w:r>
      <w:r>
        <w:rPr>
          <w:rFonts w:ascii="仿宋" w:hAnsi="仿宋" w:eastAsia="仿宋" w:cs="仿宋"/>
          <w:spacing w:val="-9"/>
          <w:sz w:val="27"/>
          <w:szCs w:val="27"/>
        </w:rPr>
        <w:t>“本文件适用于……。”</w:t>
      </w:r>
    </w:p>
    <w:p w14:paraId="36E2146C">
      <w:pPr>
        <w:spacing w:before="1" w:line="222" w:lineRule="auto"/>
        <w:ind w:left="415"/>
        <w:rPr>
          <w:rFonts w:ascii="仿宋" w:hAnsi="仿宋" w:eastAsia="仿宋" w:cs="仿宋"/>
          <w:sz w:val="27"/>
          <w:szCs w:val="27"/>
        </w:rPr>
      </w:pPr>
      <w:r>
        <w:rPr>
          <w:rFonts w:ascii="仿宋" w:hAnsi="仿宋" w:eastAsia="仿宋" w:cs="仿宋"/>
          <w:spacing w:val="-4"/>
          <w:sz w:val="27"/>
          <w:szCs w:val="27"/>
        </w:rPr>
        <w:t>“本文件适用于……,也适用于……。”</w:t>
      </w:r>
    </w:p>
    <w:p w14:paraId="792908E4">
      <w:pPr>
        <w:spacing w:before="84" w:line="222" w:lineRule="auto"/>
        <w:rPr>
          <w:rFonts w:ascii="黑体" w:hAnsi="黑体" w:eastAsia="黑体" w:cs="黑体"/>
          <w:sz w:val="25"/>
          <w:szCs w:val="25"/>
        </w:rPr>
      </w:pPr>
      <w:r>
        <w:rPr>
          <w:rFonts w:ascii="黑体" w:hAnsi="黑体" w:eastAsia="黑体" w:cs="黑体"/>
          <w:spacing w:val="18"/>
          <w:sz w:val="25"/>
          <w:szCs w:val="25"/>
        </w:rPr>
        <w:t>2</w:t>
      </w:r>
      <w:r>
        <w:rPr>
          <w:rFonts w:ascii="黑体" w:hAnsi="黑体" w:eastAsia="黑体" w:cs="黑体"/>
          <w:spacing w:val="27"/>
          <w:sz w:val="25"/>
          <w:szCs w:val="25"/>
        </w:rPr>
        <w:t xml:space="preserve">  </w:t>
      </w:r>
      <w:r>
        <w:rPr>
          <w:rFonts w:ascii="黑体" w:hAnsi="黑体" w:eastAsia="黑体" w:cs="黑体"/>
          <w:spacing w:val="18"/>
          <w:sz w:val="25"/>
          <w:szCs w:val="25"/>
        </w:rPr>
        <w:t>引用文件</w:t>
      </w:r>
    </w:p>
    <w:p w14:paraId="7C5075E5">
      <w:pPr>
        <w:spacing w:before="92" w:line="219" w:lineRule="auto"/>
        <w:ind w:left="550"/>
        <w:rPr>
          <w:rFonts w:ascii="宋体" w:hAnsi="宋体" w:eastAsia="宋体" w:cs="宋体"/>
          <w:sz w:val="27"/>
          <w:szCs w:val="27"/>
        </w:rPr>
      </w:pPr>
      <w:r>
        <w:rPr>
          <w:rFonts w:ascii="宋体" w:hAnsi="宋体" w:eastAsia="宋体" w:cs="宋体"/>
          <w:spacing w:val="1"/>
          <w:sz w:val="27"/>
          <w:szCs w:val="27"/>
        </w:rPr>
        <w:t>列出所引用的接口标准或文件。</w:t>
      </w:r>
    </w:p>
    <w:p w14:paraId="127F2636">
      <w:pPr>
        <w:spacing w:before="90" w:line="222" w:lineRule="auto"/>
        <w:rPr>
          <w:rFonts w:ascii="黑体" w:hAnsi="黑体" w:eastAsia="黑体" w:cs="黑体"/>
          <w:sz w:val="27"/>
          <w:szCs w:val="27"/>
        </w:rPr>
      </w:pPr>
      <w:r>
        <w:rPr>
          <w:rFonts w:ascii="黑体" w:hAnsi="黑体" w:eastAsia="黑体" w:cs="黑体"/>
          <w:spacing w:val="-5"/>
          <w:sz w:val="27"/>
          <w:szCs w:val="27"/>
        </w:rPr>
        <w:t>3</w:t>
      </w:r>
      <w:r>
        <w:rPr>
          <w:rFonts w:ascii="黑体" w:hAnsi="黑体" w:eastAsia="黑体" w:cs="黑体"/>
          <w:spacing w:val="12"/>
          <w:sz w:val="27"/>
          <w:szCs w:val="27"/>
        </w:rPr>
        <w:t xml:space="preserve">  </w:t>
      </w:r>
      <w:r>
        <w:rPr>
          <w:rFonts w:ascii="黑体" w:hAnsi="黑体" w:eastAsia="黑体" w:cs="黑体"/>
          <w:spacing w:val="-5"/>
          <w:sz w:val="27"/>
          <w:szCs w:val="27"/>
        </w:rPr>
        <w:t>要求</w:t>
      </w:r>
    </w:p>
    <w:p w14:paraId="4FAD24FC">
      <w:pPr>
        <w:spacing w:before="96" w:line="220" w:lineRule="auto"/>
        <w:ind w:left="550"/>
        <w:rPr>
          <w:rFonts w:ascii="宋体" w:hAnsi="宋体" w:eastAsia="宋体" w:cs="宋体"/>
          <w:sz w:val="27"/>
          <w:szCs w:val="27"/>
        </w:rPr>
      </w:pPr>
      <w:r>
        <w:rPr>
          <w:rFonts w:ascii="宋体" w:hAnsi="宋体" w:eastAsia="宋体" w:cs="宋体"/>
          <w:spacing w:val="2"/>
          <w:sz w:val="27"/>
          <w:szCs w:val="27"/>
        </w:rPr>
        <w:t>应规定涉及到的所有接口控制要求。</w:t>
      </w:r>
    </w:p>
    <w:p w14:paraId="126B4B16">
      <w:pPr>
        <w:spacing w:before="77" w:line="270" w:lineRule="auto"/>
        <w:ind w:right="122" w:firstLine="550"/>
        <w:rPr>
          <w:rFonts w:ascii="宋体" w:hAnsi="宋体" w:eastAsia="宋体" w:cs="宋体"/>
          <w:sz w:val="27"/>
          <w:szCs w:val="27"/>
        </w:rPr>
      </w:pPr>
      <w:r>
        <w:rPr>
          <w:rFonts w:ascii="宋体" w:hAnsi="宋体" w:eastAsia="宋体" w:cs="宋体"/>
          <w:spacing w:val="1"/>
          <w:sz w:val="27"/>
          <w:szCs w:val="27"/>
        </w:rPr>
        <w:t>接口(</w:t>
      </w:r>
      <w:r>
        <w:rPr>
          <w:rFonts w:ascii="宋体" w:hAnsi="宋体" w:eastAsia="宋体" w:cs="宋体"/>
          <w:spacing w:val="-68"/>
          <w:sz w:val="27"/>
          <w:szCs w:val="27"/>
        </w:rPr>
        <w:t xml:space="preserve"> </w:t>
      </w:r>
      <w:r>
        <w:rPr>
          <w:rFonts w:ascii="Times New Roman" w:hAnsi="Times New Roman" w:eastAsia="Times New Roman" w:cs="Times New Roman"/>
          <w:sz w:val="27"/>
          <w:szCs w:val="27"/>
        </w:rPr>
        <w:t>interface</w:t>
      </w:r>
      <w:r>
        <w:rPr>
          <w:rFonts w:ascii="Times New Roman" w:hAnsi="Times New Roman" w:eastAsia="Times New Roman" w:cs="Times New Roman"/>
          <w:spacing w:val="1"/>
          <w:sz w:val="27"/>
          <w:szCs w:val="27"/>
        </w:rPr>
        <w:t>),</w:t>
      </w:r>
      <w:r>
        <w:rPr>
          <w:rFonts w:ascii="Times New Roman" w:hAnsi="Times New Roman" w:eastAsia="Times New Roman" w:cs="Times New Roman"/>
          <w:spacing w:val="26"/>
          <w:sz w:val="27"/>
          <w:szCs w:val="27"/>
        </w:rPr>
        <w:t xml:space="preserve">  </w:t>
      </w:r>
      <w:r>
        <w:rPr>
          <w:rFonts w:ascii="宋体" w:hAnsi="宋体" w:eastAsia="宋体" w:cs="宋体"/>
          <w:spacing w:val="1"/>
          <w:sz w:val="27"/>
          <w:szCs w:val="27"/>
        </w:rPr>
        <w:t xml:space="preserve">是对两个或者两个以上系统、分系统、设备或者计算机软 </w:t>
      </w:r>
      <w:r>
        <w:rPr>
          <w:rFonts w:ascii="宋体" w:hAnsi="宋体" w:eastAsia="宋体" w:cs="宋体"/>
          <w:spacing w:val="-2"/>
          <w:sz w:val="27"/>
          <w:szCs w:val="27"/>
        </w:rPr>
        <w:t>件产品之间共同边界的功能特性、物理特性的要</w:t>
      </w:r>
      <w:r>
        <w:rPr>
          <w:rFonts w:ascii="宋体" w:hAnsi="宋体" w:eastAsia="宋体" w:cs="宋体"/>
          <w:spacing w:val="-3"/>
          <w:sz w:val="27"/>
          <w:szCs w:val="27"/>
        </w:rPr>
        <w:t>求。</w:t>
      </w:r>
    </w:p>
    <w:p w14:paraId="76978A41">
      <w:pPr>
        <w:spacing w:before="1" w:line="287" w:lineRule="auto"/>
        <w:ind w:right="103" w:firstLine="550"/>
        <w:rPr>
          <w:rFonts w:ascii="宋体" w:hAnsi="宋体" w:eastAsia="宋体" w:cs="宋体"/>
          <w:sz w:val="27"/>
          <w:szCs w:val="27"/>
        </w:rPr>
      </w:pPr>
      <w:r>
        <w:rPr>
          <w:rFonts w:ascii="宋体" w:hAnsi="宋体" w:eastAsia="宋体" w:cs="宋体"/>
          <w:spacing w:val="7"/>
          <w:sz w:val="27"/>
          <w:szCs w:val="27"/>
        </w:rPr>
        <w:t>接口控制(</w:t>
      </w:r>
      <w:r>
        <w:rPr>
          <w:rFonts w:ascii="Times New Roman" w:hAnsi="Times New Roman" w:eastAsia="Times New Roman" w:cs="Times New Roman"/>
          <w:sz w:val="27"/>
          <w:szCs w:val="27"/>
        </w:rPr>
        <w:t>interface</w:t>
      </w:r>
      <w:r>
        <w:rPr>
          <w:rFonts w:ascii="Times New Roman" w:hAnsi="Times New Roman" w:eastAsia="Times New Roman" w:cs="Times New Roman"/>
          <w:spacing w:val="7"/>
          <w:sz w:val="27"/>
          <w:szCs w:val="27"/>
        </w:rPr>
        <w:t xml:space="preserve">      </w:t>
      </w:r>
      <w:r>
        <w:rPr>
          <w:rFonts w:ascii="Times New Roman" w:hAnsi="Times New Roman" w:eastAsia="Times New Roman" w:cs="Times New Roman"/>
          <w:sz w:val="27"/>
          <w:szCs w:val="27"/>
        </w:rPr>
        <w:t>control</w:t>
      </w:r>
      <w:r>
        <w:rPr>
          <w:rFonts w:ascii="Times New Roman" w:hAnsi="Times New Roman" w:eastAsia="Times New Roman" w:cs="Times New Roman"/>
          <w:spacing w:val="7"/>
          <w:sz w:val="27"/>
          <w:szCs w:val="27"/>
        </w:rPr>
        <w:t>),</w:t>
      </w:r>
      <w:r>
        <w:rPr>
          <w:rFonts w:ascii="宋体" w:hAnsi="宋体" w:eastAsia="宋体" w:cs="宋体"/>
          <w:spacing w:val="7"/>
          <w:sz w:val="27"/>
          <w:szCs w:val="27"/>
        </w:rPr>
        <w:t>是标识、记载接口的</w:t>
      </w:r>
      <w:r>
        <w:rPr>
          <w:rFonts w:ascii="宋体" w:hAnsi="宋体" w:eastAsia="宋体" w:cs="宋体"/>
          <w:spacing w:val="6"/>
          <w:sz w:val="27"/>
          <w:szCs w:val="27"/>
        </w:rPr>
        <w:t>功能特性和物理特性并</w:t>
      </w:r>
      <w:r>
        <w:rPr>
          <w:rFonts w:ascii="宋体" w:hAnsi="宋体" w:eastAsia="宋体" w:cs="宋体"/>
          <w:sz w:val="27"/>
          <w:szCs w:val="27"/>
        </w:rPr>
        <w:t xml:space="preserve"> </w:t>
      </w:r>
      <w:r>
        <w:rPr>
          <w:rFonts w:ascii="宋体" w:hAnsi="宋体" w:eastAsia="宋体" w:cs="宋体"/>
          <w:spacing w:val="1"/>
          <w:sz w:val="27"/>
          <w:szCs w:val="27"/>
        </w:rPr>
        <w:t>控制其更改的过程。</w:t>
      </w:r>
    </w:p>
    <w:p w14:paraId="003978F5">
      <w:pPr>
        <w:spacing w:before="1" w:line="290" w:lineRule="auto"/>
        <w:ind w:right="122" w:firstLine="550"/>
        <w:rPr>
          <w:rFonts w:ascii="宋体" w:hAnsi="宋体" w:eastAsia="宋体" w:cs="宋体"/>
          <w:sz w:val="27"/>
          <w:szCs w:val="27"/>
        </w:rPr>
      </w:pPr>
      <w:r>
        <w:rPr>
          <w:rFonts w:ascii="宋体" w:hAnsi="宋体" w:eastAsia="宋体" w:cs="宋体"/>
          <w:spacing w:val="-1"/>
          <w:sz w:val="27"/>
          <w:szCs w:val="27"/>
        </w:rPr>
        <w:t>接口控制文件(</w:t>
      </w:r>
      <w:r>
        <w:rPr>
          <w:rFonts w:ascii="Times New Roman" w:hAnsi="Times New Roman" w:eastAsia="Times New Roman" w:cs="Times New Roman"/>
          <w:spacing w:val="-1"/>
          <w:sz w:val="27"/>
          <w:szCs w:val="27"/>
        </w:rPr>
        <w:t xml:space="preserve">interface    control    document,ICD),  </w:t>
      </w:r>
      <w:r>
        <w:rPr>
          <w:rFonts w:ascii="宋体" w:hAnsi="宋体" w:eastAsia="宋体" w:cs="宋体"/>
          <w:spacing w:val="-1"/>
          <w:sz w:val="27"/>
          <w:szCs w:val="27"/>
        </w:rPr>
        <w:t>规定系统、分系统或者设</w:t>
      </w:r>
      <w:r>
        <w:rPr>
          <w:rFonts w:ascii="宋体" w:hAnsi="宋体" w:eastAsia="宋体" w:cs="宋体"/>
          <w:spacing w:val="5"/>
          <w:sz w:val="27"/>
          <w:szCs w:val="27"/>
        </w:rPr>
        <w:t xml:space="preserve"> </w:t>
      </w:r>
      <w:r>
        <w:rPr>
          <w:rFonts w:ascii="宋体" w:hAnsi="宋体" w:eastAsia="宋体" w:cs="宋体"/>
          <w:spacing w:val="4"/>
          <w:sz w:val="27"/>
          <w:szCs w:val="27"/>
        </w:rPr>
        <w:t>备之间功能和物理接口要求的控制图样或者其他文</w:t>
      </w:r>
      <w:r>
        <w:rPr>
          <w:rFonts w:ascii="宋体" w:hAnsi="宋体" w:eastAsia="宋体" w:cs="宋体"/>
          <w:spacing w:val="3"/>
          <w:sz w:val="27"/>
          <w:szCs w:val="27"/>
        </w:rPr>
        <w:t>件。</w:t>
      </w:r>
    </w:p>
    <w:p w14:paraId="6E1C9D0E">
      <w:pPr>
        <w:spacing w:line="222" w:lineRule="auto"/>
        <w:rPr>
          <w:rFonts w:ascii="黑体" w:hAnsi="黑体" w:eastAsia="黑体" w:cs="黑体"/>
          <w:sz w:val="24"/>
          <w:szCs w:val="24"/>
        </w:rPr>
      </w:pPr>
      <w:r>
        <w:rPr>
          <w:rFonts w:ascii="黑体" w:hAnsi="黑体" w:eastAsia="黑体" w:cs="黑体"/>
          <w:spacing w:val="19"/>
          <w:sz w:val="24"/>
          <w:szCs w:val="24"/>
        </w:rPr>
        <w:t>3.1</w:t>
      </w:r>
      <w:r>
        <w:rPr>
          <w:rFonts w:ascii="黑体" w:hAnsi="黑体" w:eastAsia="黑体" w:cs="黑体"/>
          <w:spacing w:val="51"/>
          <w:sz w:val="24"/>
          <w:szCs w:val="24"/>
        </w:rPr>
        <w:t xml:space="preserve">  </w:t>
      </w:r>
      <w:r>
        <w:rPr>
          <w:rFonts w:ascii="黑体" w:hAnsi="黑体" w:eastAsia="黑体" w:cs="黑体"/>
          <w:spacing w:val="19"/>
          <w:sz w:val="24"/>
          <w:szCs w:val="24"/>
        </w:rPr>
        <w:t>物理接口</w:t>
      </w:r>
    </w:p>
    <w:p w14:paraId="053DC1F9">
      <w:pPr>
        <w:spacing w:before="111" w:line="222" w:lineRule="auto"/>
        <w:rPr>
          <w:rFonts w:ascii="黑体" w:hAnsi="黑体" w:eastAsia="黑体" w:cs="黑体"/>
          <w:sz w:val="24"/>
          <w:szCs w:val="24"/>
        </w:rPr>
      </w:pPr>
      <w:r>
        <w:rPr>
          <w:rFonts w:ascii="黑体" w:hAnsi="黑体" w:eastAsia="黑体" w:cs="黑体"/>
          <w:spacing w:val="12"/>
          <w:sz w:val="24"/>
          <w:szCs w:val="24"/>
        </w:rPr>
        <w:t>3.1.</w:t>
      </w:r>
      <w:r>
        <w:rPr>
          <w:rFonts w:ascii="黑体" w:hAnsi="黑体" w:eastAsia="黑体" w:cs="黑体"/>
          <w:spacing w:val="-58"/>
          <w:sz w:val="24"/>
          <w:szCs w:val="24"/>
        </w:rPr>
        <w:t xml:space="preserve"> </w:t>
      </w:r>
      <w:r>
        <w:rPr>
          <w:rFonts w:ascii="黑体" w:hAnsi="黑体" w:eastAsia="黑体" w:cs="黑体"/>
          <w:spacing w:val="12"/>
          <w:sz w:val="24"/>
          <w:szCs w:val="24"/>
        </w:rPr>
        <w:t>1</w:t>
      </w:r>
      <w:r>
        <w:rPr>
          <w:rFonts w:ascii="黑体" w:hAnsi="黑体" w:eastAsia="黑体" w:cs="黑体"/>
          <w:spacing w:val="51"/>
          <w:sz w:val="24"/>
          <w:szCs w:val="24"/>
        </w:rPr>
        <w:t xml:space="preserve">  </w:t>
      </w:r>
      <w:r>
        <w:rPr>
          <w:rFonts w:ascii="黑体" w:hAnsi="黑体" w:eastAsia="黑体" w:cs="黑体"/>
          <w:spacing w:val="12"/>
          <w:sz w:val="24"/>
          <w:szCs w:val="24"/>
        </w:rPr>
        <w:t>机械要求</w:t>
      </w:r>
    </w:p>
    <w:p w14:paraId="10C642D1">
      <w:pPr>
        <w:spacing w:before="130" w:line="219" w:lineRule="auto"/>
        <w:ind w:left="550"/>
        <w:rPr>
          <w:rFonts w:ascii="宋体" w:hAnsi="宋体" w:eastAsia="宋体" w:cs="宋体"/>
          <w:sz w:val="25"/>
          <w:szCs w:val="25"/>
        </w:rPr>
      </w:pPr>
      <w:r>
        <w:rPr>
          <w:rFonts w:ascii="宋体" w:hAnsi="宋体" w:eastAsia="宋体" w:cs="宋体"/>
          <w:spacing w:val="3"/>
          <w:sz w:val="25"/>
          <w:szCs w:val="25"/>
        </w:rPr>
        <w:t>规定产品的机械接口要求，包括外壳、附件、</w:t>
      </w:r>
      <w:r>
        <w:rPr>
          <w:rFonts w:ascii="宋体" w:hAnsi="宋体" w:eastAsia="宋体" w:cs="宋体"/>
          <w:spacing w:val="2"/>
          <w:sz w:val="25"/>
          <w:szCs w:val="25"/>
        </w:rPr>
        <w:t>遮蔽、调整等。</w:t>
      </w:r>
    </w:p>
    <w:p w14:paraId="190769E1">
      <w:pPr>
        <w:spacing w:line="219" w:lineRule="auto"/>
        <w:rPr>
          <w:rFonts w:ascii="宋体" w:hAnsi="宋体" w:eastAsia="宋体" w:cs="宋体"/>
          <w:sz w:val="25"/>
          <w:szCs w:val="25"/>
        </w:rPr>
        <w:sectPr>
          <w:footerReference r:id="rId75" w:type="default"/>
          <w:pgSz w:w="11910" w:h="17130"/>
          <w:pgMar w:top="400" w:right="864" w:bottom="1670" w:left="1559" w:header="0" w:footer="1384" w:gutter="0"/>
          <w:cols w:space="720" w:num="1"/>
        </w:sectPr>
      </w:pPr>
    </w:p>
    <w:p w14:paraId="5CAC0331">
      <w:pPr>
        <w:pStyle w:val="2"/>
        <w:spacing w:line="282" w:lineRule="auto"/>
      </w:pPr>
    </w:p>
    <w:p w14:paraId="7561D000">
      <w:pPr>
        <w:pStyle w:val="2"/>
        <w:spacing w:line="282" w:lineRule="auto"/>
      </w:pPr>
    </w:p>
    <w:p w14:paraId="70906025">
      <w:pPr>
        <w:pStyle w:val="2"/>
        <w:spacing w:line="282" w:lineRule="auto"/>
      </w:pPr>
    </w:p>
    <w:p w14:paraId="5CB72E37">
      <w:pPr>
        <w:pStyle w:val="2"/>
        <w:spacing w:line="282" w:lineRule="auto"/>
      </w:pPr>
    </w:p>
    <w:p w14:paraId="023775FE">
      <w:pPr>
        <w:spacing w:before="81" w:line="222" w:lineRule="auto"/>
        <w:rPr>
          <w:rFonts w:ascii="黑体" w:hAnsi="黑体" w:eastAsia="黑体" w:cs="黑体"/>
          <w:sz w:val="25"/>
          <w:szCs w:val="25"/>
        </w:rPr>
      </w:pPr>
      <w:bookmarkStart w:id="41" w:name="bookmark327"/>
      <w:bookmarkEnd w:id="41"/>
      <w:r>
        <w:rPr>
          <w:rFonts w:ascii="黑体" w:hAnsi="黑体" w:eastAsia="黑体" w:cs="黑体"/>
          <w:spacing w:val="8"/>
          <w:sz w:val="25"/>
          <w:szCs w:val="25"/>
        </w:rPr>
        <w:t>3.1.2</w:t>
      </w:r>
      <w:r>
        <w:rPr>
          <w:rFonts w:ascii="黑体" w:hAnsi="黑体" w:eastAsia="黑体" w:cs="黑体"/>
          <w:spacing w:val="60"/>
          <w:sz w:val="25"/>
          <w:szCs w:val="25"/>
        </w:rPr>
        <w:t xml:space="preserve">  </w:t>
      </w:r>
      <w:r>
        <w:rPr>
          <w:rFonts w:ascii="黑体" w:hAnsi="黑体" w:eastAsia="黑体" w:cs="黑体"/>
          <w:b/>
          <w:bCs/>
          <w:spacing w:val="8"/>
          <w:sz w:val="25"/>
          <w:szCs w:val="25"/>
        </w:rPr>
        <w:t>主要工具</w:t>
      </w:r>
    </w:p>
    <w:p w14:paraId="56AC6195">
      <w:pPr>
        <w:spacing w:before="107" w:line="222" w:lineRule="auto"/>
        <w:rPr>
          <w:rFonts w:ascii="黑体" w:hAnsi="黑体" w:eastAsia="黑体" w:cs="黑体"/>
          <w:sz w:val="25"/>
          <w:szCs w:val="25"/>
        </w:rPr>
      </w:pPr>
      <w:r>
        <w:rPr>
          <w:rFonts w:ascii="黑体" w:hAnsi="黑体" w:eastAsia="黑体" w:cs="黑体"/>
          <w:spacing w:val="8"/>
          <w:sz w:val="25"/>
          <w:szCs w:val="25"/>
        </w:rPr>
        <w:t>3.1.3</w:t>
      </w:r>
      <w:r>
        <w:rPr>
          <w:rFonts w:ascii="黑体" w:hAnsi="黑体" w:eastAsia="黑体" w:cs="黑体"/>
          <w:spacing w:val="61"/>
          <w:sz w:val="25"/>
          <w:szCs w:val="25"/>
        </w:rPr>
        <w:t xml:space="preserve">  </w:t>
      </w:r>
      <w:r>
        <w:rPr>
          <w:rFonts w:ascii="黑体" w:hAnsi="黑体" w:eastAsia="黑体" w:cs="黑体"/>
          <w:b/>
          <w:bCs/>
          <w:spacing w:val="8"/>
          <w:sz w:val="25"/>
          <w:szCs w:val="25"/>
        </w:rPr>
        <w:t>机械特性</w:t>
      </w:r>
    </w:p>
    <w:p w14:paraId="122F7E19">
      <w:pPr>
        <w:spacing w:before="54" w:line="296" w:lineRule="auto"/>
        <w:ind w:right="2" w:firstLine="560"/>
        <w:rPr>
          <w:rFonts w:ascii="宋体" w:hAnsi="宋体" w:eastAsia="宋体" w:cs="宋体"/>
          <w:sz w:val="27"/>
          <w:szCs w:val="27"/>
        </w:rPr>
      </w:pPr>
      <w:r>
        <w:rPr>
          <w:rFonts w:ascii="宋体" w:hAnsi="宋体" w:eastAsia="宋体" w:cs="宋体"/>
          <w:spacing w:val="-7"/>
          <w:sz w:val="27"/>
          <w:szCs w:val="27"/>
        </w:rPr>
        <w:t>规定产品的机械特性要求，包括重量、惯性矩及重心位置、轴、模式交换(数</w:t>
      </w:r>
      <w:r>
        <w:rPr>
          <w:rFonts w:ascii="宋体" w:hAnsi="宋体" w:eastAsia="宋体" w:cs="宋体"/>
          <w:spacing w:val="3"/>
          <w:sz w:val="27"/>
          <w:szCs w:val="27"/>
        </w:rPr>
        <w:t xml:space="preserve"> </w:t>
      </w:r>
      <w:r>
        <w:rPr>
          <w:rFonts w:ascii="宋体" w:hAnsi="宋体" w:eastAsia="宋体" w:cs="宋体"/>
          <w:spacing w:val="2"/>
          <w:sz w:val="27"/>
          <w:szCs w:val="27"/>
        </w:rPr>
        <w:t>字/物理)等。</w:t>
      </w:r>
    </w:p>
    <w:p w14:paraId="06A96EB5">
      <w:pPr>
        <w:spacing w:line="222" w:lineRule="auto"/>
        <w:rPr>
          <w:rFonts w:ascii="黑体" w:hAnsi="黑体" w:eastAsia="黑体" w:cs="黑体"/>
          <w:sz w:val="25"/>
          <w:szCs w:val="25"/>
        </w:rPr>
      </w:pPr>
      <w:r>
        <w:rPr>
          <w:rFonts w:ascii="黑体" w:hAnsi="黑体" w:eastAsia="黑体" w:cs="黑体"/>
          <w:spacing w:val="8"/>
          <w:sz w:val="25"/>
          <w:szCs w:val="25"/>
        </w:rPr>
        <w:t>3.2</w:t>
      </w:r>
      <w:r>
        <w:rPr>
          <w:rFonts w:ascii="黑体" w:hAnsi="黑体" w:eastAsia="黑体" w:cs="黑体"/>
          <w:spacing w:val="55"/>
          <w:sz w:val="25"/>
          <w:szCs w:val="25"/>
        </w:rPr>
        <w:t xml:space="preserve">  </w:t>
      </w:r>
      <w:r>
        <w:rPr>
          <w:rFonts w:ascii="黑体" w:hAnsi="黑体" w:eastAsia="黑体" w:cs="黑体"/>
          <w:b/>
          <w:bCs/>
          <w:spacing w:val="8"/>
          <w:sz w:val="25"/>
          <w:szCs w:val="25"/>
        </w:rPr>
        <w:t>电子接口</w:t>
      </w:r>
    </w:p>
    <w:p w14:paraId="7E3FE06B">
      <w:pPr>
        <w:spacing w:before="123" w:line="219" w:lineRule="auto"/>
        <w:ind w:left="560"/>
        <w:rPr>
          <w:rFonts w:ascii="宋体" w:hAnsi="宋体" w:eastAsia="宋体" w:cs="宋体"/>
          <w:sz w:val="24"/>
          <w:szCs w:val="24"/>
        </w:rPr>
      </w:pPr>
      <w:r>
        <w:rPr>
          <w:rFonts w:ascii="宋体" w:hAnsi="宋体" w:eastAsia="宋体" w:cs="宋体"/>
          <w:spacing w:val="30"/>
          <w:sz w:val="24"/>
          <w:szCs w:val="24"/>
        </w:rPr>
        <w:t>规定产品的电子接口要求。</w:t>
      </w:r>
    </w:p>
    <w:p w14:paraId="6EC88D67">
      <w:pPr>
        <w:spacing w:before="85" w:line="219" w:lineRule="auto"/>
        <w:ind w:left="560"/>
        <w:rPr>
          <w:rFonts w:ascii="宋体" w:hAnsi="宋体" w:eastAsia="宋体" w:cs="宋体"/>
          <w:sz w:val="27"/>
          <w:szCs w:val="27"/>
        </w:rPr>
      </w:pPr>
      <w:r>
        <w:rPr>
          <w:rFonts w:ascii="宋体" w:hAnsi="宋体" w:eastAsia="宋体" w:cs="宋体"/>
          <w:spacing w:val="-18"/>
          <w:sz w:val="27"/>
          <w:szCs w:val="27"/>
        </w:rPr>
        <w:t>对于命令信号：规定格式、速率、标识等；</w:t>
      </w:r>
    </w:p>
    <w:p w14:paraId="5113B1CC">
      <w:pPr>
        <w:spacing w:before="81" w:line="219" w:lineRule="auto"/>
        <w:ind w:left="560"/>
        <w:rPr>
          <w:rFonts w:ascii="宋体" w:hAnsi="宋体" w:eastAsia="宋体" w:cs="宋体"/>
          <w:sz w:val="27"/>
          <w:szCs w:val="27"/>
        </w:rPr>
      </w:pPr>
      <w:r>
        <w:rPr>
          <w:rFonts w:ascii="宋体" w:hAnsi="宋体" w:eastAsia="宋体" w:cs="宋体"/>
          <w:spacing w:val="-13"/>
          <w:sz w:val="27"/>
          <w:szCs w:val="27"/>
        </w:rPr>
        <w:t>对于数据信号：规定无线电频率特性、格式、速率等；</w:t>
      </w:r>
    </w:p>
    <w:p w14:paraId="4940972C">
      <w:pPr>
        <w:spacing w:before="90" w:line="219" w:lineRule="auto"/>
        <w:ind w:left="560"/>
        <w:rPr>
          <w:rFonts w:ascii="宋体" w:hAnsi="宋体" w:eastAsia="宋体" w:cs="宋体"/>
          <w:sz w:val="27"/>
          <w:szCs w:val="27"/>
        </w:rPr>
      </w:pPr>
      <w:r>
        <w:rPr>
          <w:rFonts w:ascii="宋体" w:hAnsi="宋体" w:eastAsia="宋体" w:cs="宋体"/>
          <w:spacing w:val="-21"/>
          <w:sz w:val="27"/>
          <w:szCs w:val="27"/>
        </w:rPr>
        <w:t>对于计时信号：规定格式、时标、标识、记录等。</w:t>
      </w:r>
    </w:p>
    <w:p w14:paraId="33ABA84C">
      <w:pPr>
        <w:spacing w:before="91" w:line="282" w:lineRule="auto"/>
        <w:ind w:firstLine="560"/>
        <w:rPr>
          <w:rFonts w:ascii="宋体" w:hAnsi="宋体" w:eastAsia="宋体" w:cs="宋体"/>
          <w:sz w:val="27"/>
          <w:szCs w:val="27"/>
        </w:rPr>
      </w:pPr>
      <w:r>
        <w:rPr>
          <w:rFonts w:ascii="宋体" w:hAnsi="宋体" w:eastAsia="宋体" w:cs="宋体"/>
          <w:spacing w:val="5"/>
          <w:sz w:val="27"/>
          <w:szCs w:val="27"/>
        </w:rPr>
        <w:t>对于航空电子接口，按照</w:t>
      </w:r>
      <w:r>
        <w:rPr>
          <w:rFonts w:ascii="Times New Roman" w:hAnsi="Times New Roman" w:eastAsia="Times New Roman" w:cs="Times New Roman"/>
          <w:sz w:val="27"/>
          <w:szCs w:val="27"/>
        </w:rPr>
        <w:t>GJB</w:t>
      </w:r>
      <w:r>
        <w:rPr>
          <w:rFonts w:ascii="Times New Roman" w:hAnsi="Times New Roman" w:eastAsia="Times New Roman" w:cs="Times New Roman"/>
          <w:spacing w:val="5"/>
          <w:sz w:val="27"/>
          <w:szCs w:val="27"/>
        </w:rPr>
        <w:t xml:space="preserve"> 5439—2005</w:t>
      </w:r>
      <w:r>
        <w:rPr>
          <w:rFonts w:ascii="宋体" w:hAnsi="宋体" w:eastAsia="宋体" w:cs="宋体"/>
          <w:spacing w:val="5"/>
          <w:sz w:val="27"/>
          <w:szCs w:val="27"/>
        </w:rPr>
        <w:t>《航空电</w:t>
      </w:r>
      <w:r>
        <w:rPr>
          <w:rFonts w:ascii="宋体" w:hAnsi="宋体" w:eastAsia="宋体" w:cs="宋体"/>
          <w:spacing w:val="4"/>
          <w:sz w:val="27"/>
          <w:szCs w:val="27"/>
        </w:rPr>
        <w:t>子接口控制文件编制要</w:t>
      </w:r>
      <w:r>
        <w:rPr>
          <w:rFonts w:ascii="宋体" w:hAnsi="宋体" w:eastAsia="宋体" w:cs="宋体"/>
          <w:sz w:val="27"/>
          <w:szCs w:val="27"/>
        </w:rPr>
        <w:t xml:space="preserve"> </w:t>
      </w:r>
      <w:r>
        <w:rPr>
          <w:rFonts w:ascii="宋体" w:hAnsi="宋体" w:eastAsia="宋体" w:cs="宋体"/>
          <w:spacing w:val="-4"/>
          <w:sz w:val="27"/>
          <w:szCs w:val="27"/>
        </w:rPr>
        <w:t>求》执行。对于其他电子接口，可参照</w:t>
      </w:r>
      <w:r>
        <w:rPr>
          <w:rFonts w:ascii="Times New Roman" w:hAnsi="Times New Roman" w:eastAsia="Times New Roman" w:cs="Times New Roman"/>
          <w:spacing w:val="-4"/>
          <w:sz w:val="27"/>
          <w:szCs w:val="27"/>
        </w:rPr>
        <w:t xml:space="preserve">GJB5439—2005   </w:t>
      </w:r>
      <w:r>
        <w:rPr>
          <w:rFonts w:ascii="宋体" w:hAnsi="宋体" w:eastAsia="宋体" w:cs="宋体"/>
          <w:spacing w:val="-4"/>
          <w:sz w:val="27"/>
          <w:szCs w:val="27"/>
        </w:rPr>
        <w:t>执行。</w:t>
      </w:r>
    </w:p>
    <w:p w14:paraId="0BC0AA37">
      <w:pPr>
        <w:spacing w:before="9" w:line="222" w:lineRule="auto"/>
        <w:rPr>
          <w:rFonts w:ascii="黑体" w:hAnsi="黑体" w:eastAsia="黑体" w:cs="黑体"/>
          <w:sz w:val="25"/>
          <w:szCs w:val="25"/>
        </w:rPr>
      </w:pPr>
      <w:r>
        <w:rPr>
          <w:rFonts w:ascii="黑体" w:hAnsi="黑体" w:eastAsia="黑体" w:cs="黑体"/>
          <w:spacing w:val="8"/>
          <w:sz w:val="25"/>
          <w:szCs w:val="25"/>
        </w:rPr>
        <w:t>3.3</w:t>
      </w:r>
      <w:r>
        <w:rPr>
          <w:rFonts w:ascii="黑体" w:hAnsi="黑体" w:eastAsia="黑体" w:cs="黑体"/>
          <w:spacing w:val="45"/>
          <w:sz w:val="25"/>
          <w:szCs w:val="25"/>
        </w:rPr>
        <w:t xml:space="preserve">  </w:t>
      </w:r>
      <w:r>
        <w:rPr>
          <w:rFonts w:ascii="黑体" w:hAnsi="黑体" w:eastAsia="黑体" w:cs="黑体"/>
          <w:b/>
          <w:bCs/>
          <w:spacing w:val="8"/>
          <w:sz w:val="25"/>
          <w:szCs w:val="25"/>
        </w:rPr>
        <w:t>电气接口</w:t>
      </w:r>
    </w:p>
    <w:p w14:paraId="3603366E">
      <w:pPr>
        <w:spacing w:before="78" w:line="222" w:lineRule="auto"/>
        <w:rPr>
          <w:rFonts w:ascii="黑体" w:hAnsi="黑体" w:eastAsia="黑体" w:cs="黑体"/>
          <w:sz w:val="25"/>
          <w:szCs w:val="25"/>
        </w:rPr>
      </w:pPr>
      <w:r>
        <w:rPr>
          <w:rFonts w:ascii="黑体" w:hAnsi="黑体" w:eastAsia="黑体" w:cs="黑体"/>
          <w:spacing w:val="-5"/>
          <w:sz w:val="25"/>
          <w:szCs w:val="25"/>
        </w:rPr>
        <w:t xml:space="preserve">3.3.1   </w:t>
      </w:r>
      <w:r>
        <w:rPr>
          <w:rFonts w:ascii="黑体" w:hAnsi="黑体" w:eastAsia="黑体" w:cs="黑体"/>
          <w:b/>
          <w:bCs/>
          <w:spacing w:val="-5"/>
          <w:sz w:val="25"/>
          <w:szCs w:val="25"/>
        </w:rPr>
        <w:t>电</w:t>
      </w:r>
      <w:r>
        <w:rPr>
          <w:rFonts w:ascii="黑体" w:hAnsi="黑体" w:eastAsia="黑体" w:cs="黑体"/>
          <w:spacing w:val="-46"/>
          <w:sz w:val="25"/>
          <w:szCs w:val="25"/>
        </w:rPr>
        <w:t xml:space="preserve"> </w:t>
      </w:r>
      <w:r>
        <w:rPr>
          <w:rFonts w:ascii="黑体" w:hAnsi="黑体" w:eastAsia="黑体" w:cs="黑体"/>
          <w:b/>
          <w:bCs/>
          <w:spacing w:val="-5"/>
          <w:sz w:val="25"/>
          <w:szCs w:val="25"/>
        </w:rPr>
        <w:t>力</w:t>
      </w:r>
    </w:p>
    <w:p w14:paraId="36ECD2F1">
      <w:pPr>
        <w:spacing w:before="116" w:line="219" w:lineRule="auto"/>
        <w:ind w:left="560"/>
        <w:rPr>
          <w:rFonts w:ascii="宋体" w:hAnsi="宋体" w:eastAsia="宋体" w:cs="宋体"/>
          <w:sz w:val="27"/>
          <w:szCs w:val="27"/>
        </w:rPr>
      </w:pPr>
      <w:r>
        <w:rPr>
          <w:rFonts w:ascii="宋体" w:hAnsi="宋体" w:eastAsia="宋体" w:cs="宋体"/>
          <w:spacing w:val="-11"/>
          <w:sz w:val="27"/>
          <w:szCs w:val="27"/>
        </w:rPr>
        <w:t>规定产品所使用的电力类型、电压、电力分配图、保护等。</w:t>
      </w:r>
    </w:p>
    <w:p w14:paraId="6F59B93B">
      <w:pPr>
        <w:spacing w:before="83" w:line="222" w:lineRule="auto"/>
        <w:rPr>
          <w:rFonts w:ascii="黑体" w:hAnsi="黑体" w:eastAsia="黑体" w:cs="黑体"/>
          <w:sz w:val="27"/>
          <w:szCs w:val="27"/>
        </w:rPr>
      </w:pPr>
      <w:r>
        <w:rPr>
          <w:rFonts w:ascii="黑体" w:hAnsi="黑体" w:eastAsia="黑体" w:cs="黑体"/>
          <w:spacing w:val="-2"/>
          <w:sz w:val="27"/>
          <w:szCs w:val="27"/>
        </w:rPr>
        <w:t>3.3.</w:t>
      </w:r>
      <w:r>
        <w:rPr>
          <w:rFonts w:ascii="黑体" w:hAnsi="黑体" w:eastAsia="黑体" w:cs="黑体"/>
          <w:b/>
          <w:bCs/>
          <w:spacing w:val="-2"/>
          <w:sz w:val="27"/>
          <w:szCs w:val="27"/>
        </w:rPr>
        <w:t>2</w:t>
      </w:r>
      <w:r>
        <w:rPr>
          <w:rFonts w:ascii="黑体" w:hAnsi="黑体" w:eastAsia="黑体" w:cs="黑体"/>
          <w:spacing w:val="25"/>
          <w:sz w:val="27"/>
          <w:szCs w:val="27"/>
        </w:rPr>
        <w:t xml:space="preserve">  </w:t>
      </w:r>
      <w:r>
        <w:rPr>
          <w:rFonts w:ascii="黑体" w:hAnsi="黑体" w:eastAsia="黑体" w:cs="黑体"/>
          <w:b/>
          <w:bCs/>
          <w:spacing w:val="-2"/>
          <w:sz w:val="27"/>
          <w:szCs w:val="27"/>
        </w:rPr>
        <w:t>接口插座分配</w:t>
      </w:r>
    </w:p>
    <w:p w14:paraId="43438767">
      <w:pPr>
        <w:spacing w:before="92" w:line="219" w:lineRule="auto"/>
        <w:ind w:left="560"/>
        <w:rPr>
          <w:rFonts w:ascii="宋体" w:hAnsi="宋体" w:eastAsia="宋体" w:cs="宋体"/>
          <w:sz w:val="27"/>
          <w:szCs w:val="27"/>
        </w:rPr>
      </w:pPr>
      <w:r>
        <w:rPr>
          <w:rFonts w:ascii="宋体" w:hAnsi="宋体" w:eastAsia="宋体" w:cs="宋体"/>
          <w:spacing w:val="4"/>
          <w:sz w:val="27"/>
          <w:szCs w:val="27"/>
        </w:rPr>
        <w:t>规定产品所使用的电力的接口插座及其分配。</w:t>
      </w:r>
    </w:p>
    <w:p w14:paraId="2F1FA17E">
      <w:pPr>
        <w:spacing w:before="83" w:line="222" w:lineRule="auto"/>
        <w:rPr>
          <w:rFonts w:ascii="黑体" w:hAnsi="黑体" w:eastAsia="黑体" w:cs="黑体"/>
          <w:sz w:val="27"/>
          <w:szCs w:val="27"/>
        </w:rPr>
      </w:pPr>
      <w:r>
        <w:rPr>
          <w:rFonts w:ascii="黑体" w:hAnsi="黑体" w:eastAsia="黑体" w:cs="黑体"/>
          <w:spacing w:val="-1"/>
          <w:sz w:val="27"/>
          <w:szCs w:val="27"/>
        </w:rPr>
        <w:t>3.3.3</w:t>
      </w:r>
      <w:r>
        <w:rPr>
          <w:rFonts w:ascii="黑体" w:hAnsi="黑体" w:eastAsia="黑体" w:cs="黑体"/>
          <w:spacing w:val="25"/>
          <w:sz w:val="27"/>
          <w:szCs w:val="27"/>
        </w:rPr>
        <w:t xml:space="preserve">  </w:t>
      </w:r>
      <w:r>
        <w:rPr>
          <w:rFonts w:ascii="黑体" w:hAnsi="黑体" w:eastAsia="黑体" w:cs="黑体"/>
          <w:b/>
          <w:bCs/>
          <w:spacing w:val="-1"/>
          <w:sz w:val="27"/>
          <w:szCs w:val="27"/>
        </w:rPr>
        <w:t>电磁兼容性</w:t>
      </w:r>
    </w:p>
    <w:p w14:paraId="3FC4B1EE">
      <w:pPr>
        <w:spacing w:before="82" w:line="219" w:lineRule="auto"/>
        <w:ind w:left="560"/>
        <w:rPr>
          <w:rFonts w:ascii="宋体" w:hAnsi="宋体" w:eastAsia="宋体" w:cs="宋体"/>
          <w:sz w:val="27"/>
          <w:szCs w:val="27"/>
        </w:rPr>
      </w:pPr>
      <w:r>
        <w:rPr>
          <w:rFonts w:ascii="宋体" w:hAnsi="宋体" w:eastAsia="宋体" w:cs="宋体"/>
          <w:spacing w:val="3"/>
          <w:sz w:val="27"/>
          <w:szCs w:val="27"/>
        </w:rPr>
        <w:t>规定产品的电磁兼容性要求。</w:t>
      </w:r>
    </w:p>
    <w:p w14:paraId="197903C4">
      <w:pPr>
        <w:spacing w:before="93" w:line="222" w:lineRule="auto"/>
        <w:rPr>
          <w:rFonts w:ascii="黑体" w:hAnsi="黑体" w:eastAsia="黑体" w:cs="黑体"/>
          <w:sz w:val="25"/>
          <w:szCs w:val="25"/>
        </w:rPr>
      </w:pPr>
      <w:r>
        <w:rPr>
          <w:rFonts w:ascii="黑体" w:hAnsi="黑体" w:eastAsia="黑体" w:cs="黑体"/>
          <w:spacing w:val="16"/>
          <w:sz w:val="25"/>
          <w:szCs w:val="25"/>
        </w:rPr>
        <w:t>3.4</w:t>
      </w:r>
      <w:r>
        <w:rPr>
          <w:rFonts w:ascii="黑体" w:hAnsi="黑体" w:eastAsia="黑体" w:cs="黑体"/>
          <w:spacing w:val="35"/>
          <w:sz w:val="25"/>
          <w:szCs w:val="25"/>
        </w:rPr>
        <w:t xml:space="preserve">  </w:t>
      </w:r>
      <w:r>
        <w:rPr>
          <w:rFonts w:ascii="黑体" w:hAnsi="黑体" w:eastAsia="黑体" w:cs="黑体"/>
          <w:b/>
          <w:bCs/>
          <w:spacing w:val="16"/>
          <w:sz w:val="25"/>
          <w:szCs w:val="25"/>
        </w:rPr>
        <w:t>液压或气压接口</w:t>
      </w:r>
    </w:p>
    <w:p w14:paraId="5F5DBF0A">
      <w:pPr>
        <w:spacing w:before="96" w:line="219" w:lineRule="auto"/>
        <w:ind w:left="560"/>
        <w:rPr>
          <w:rFonts w:ascii="宋体" w:hAnsi="宋体" w:eastAsia="宋体" w:cs="宋体"/>
          <w:sz w:val="27"/>
          <w:szCs w:val="27"/>
        </w:rPr>
      </w:pPr>
      <w:r>
        <w:rPr>
          <w:rFonts w:ascii="宋体" w:hAnsi="宋体" w:eastAsia="宋体" w:cs="宋体"/>
          <w:spacing w:val="-13"/>
          <w:sz w:val="27"/>
          <w:szCs w:val="27"/>
        </w:rPr>
        <w:t>规定产品的液压或气压接口要求，包括类型、流速、温度、压</w:t>
      </w:r>
      <w:r>
        <w:rPr>
          <w:rFonts w:ascii="宋体" w:hAnsi="宋体" w:eastAsia="宋体" w:cs="宋体"/>
          <w:spacing w:val="-14"/>
          <w:sz w:val="27"/>
          <w:szCs w:val="27"/>
        </w:rPr>
        <w:t>力等。</w:t>
      </w:r>
    </w:p>
    <w:p w14:paraId="293051DD">
      <w:pPr>
        <w:spacing w:before="95" w:line="222" w:lineRule="auto"/>
        <w:rPr>
          <w:rFonts w:ascii="黑体" w:hAnsi="黑体" w:eastAsia="黑体" w:cs="黑体"/>
          <w:sz w:val="25"/>
          <w:szCs w:val="25"/>
        </w:rPr>
      </w:pPr>
      <w:r>
        <w:rPr>
          <w:rFonts w:ascii="黑体" w:hAnsi="黑体" w:eastAsia="黑体" w:cs="黑体"/>
          <w:spacing w:val="-6"/>
          <w:sz w:val="25"/>
          <w:szCs w:val="25"/>
        </w:rPr>
        <w:t>3.5</w:t>
      </w:r>
      <w:r>
        <w:rPr>
          <w:rFonts w:ascii="黑体" w:hAnsi="黑体" w:eastAsia="黑体" w:cs="黑体"/>
          <w:spacing w:val="45"/>
          <w:sz w:val="25"/>
          <w:szCs w:val="25"/>
        </w:rPr>
        <w:t xml:space="preserve">  </w:t>
      </w:r>
      <w:r>
        <w:rPr>
          <w:rFonts w:ascii="黑体" w:hAnsi="黑体" w:eastAsia="黑体" w:cs="黑体"/>
          <w:b/>
          <w:bCs/>
          <w:spacing w:val="-6"/>
          <w:sz w:val="25"/>
          <w:szCs w:val="25"/>
        </w:rPr>
        <w:t>软</w:t>
      </w:r>
      <w:r>
        <w:rPr>
          <w:rFonts w:ascii="黑体" w:hAnsi="黑体" w:eastAsia="黑体" w:cs="黑体"/>
          <w:spacing w:val="-51"/>
          <w:sz w:val="25"/>
          <w:szCs w:val="25"/>
        </w:rPr>
        <w:t xml:space="preserve"> </w:t>
      </w:r>
      <w:r>
        <w:rPr>
          <w:rFonts w:ascii="黑体" w:hAnsi="黑体" w:eastAsia="黑体" w:cs="黑体"/>
          <w:b/>
          <w:bCs/>
          <w:spacing w:val="-6"/>
          <w:sz w:val="25"/>
          <w:szCs w:val="25"/>
        </w:rPr>
        <w:t>件</w:t>
      </w:r>
    </w:p>
    <w:p w14:paraId="036DF484">
      <w:pPr>
        <w:spacing w:before="109" w:line="222" w:lineRule="auto"/>
        <w:rPr>
          <w:rFonts w:ascii="黑体" w:hAnsi="黑体" w:eastAsia="黑体" w:cs="黑体"/>
          <w:sz w:val="25"/>
          <w:szCs w:val="25"/>
        </w:rPr>
      </w:pPr>
      <w:r>
        <w:rPr>
          <w:rFonts w:ascii="黑体" w:hAnsi="黑体" w:eastAsia="黑体" w:cs="黑体"/>
          <w:spacing w:val="8"/>
          <w:sz w:val="25"/>
          <w:szCs w:val="25"/>
        </w:rPr>
        <w:t>3.5.1</w:t>
      </w:r>
      <w:r>
        <w:rPr>
          <w:rFonts w:ascii="黑体" w:hAnsi="黑体" w:eastAsia="黑体" w:cs="黑体"/>
          <w:spacing w:val="45"/>
          <w:sz w:val="25"/>
          <w:szCs w:val="25"/>
        </w:rPr>
        <w:t xml:space="preserve">  </w:t>
      </w:r>
      <w:r>
        <w:rPr>
          <w:rFonts w:ascii="黑体" w:hAnsi="黑体" w:eastAsia="黑体" w:cs="黑体"/>
          <w:b/>
          <w:bCs/>
          <w:spacing w:val="8"/>
          <w:sz w:val="25"/>
          <w:szCs w:val="25"/>
        </w:rPr>
        <w:t>数据</w:t>
      </w:r>
    </w:p>
    <w:p w14:paraId="34C0F652">
      <w:pPr>
        <w:spacing w:before="131" w:line="219" w:lineRule="auto"/>
        <w:ind w:left="560"/>
        <w:rPr>
          <w:rFonts w:ascii="宋体" w:hAnsi="宋体" w:eastAsia="宋体" w:cs="宋体"/>
          <w:sz w:val="24"/>
          <w:szCs w:val="24"/>
        </w:rPr>
      </w:pPr>
      <w:r>
        <w:rPr>
          <w:rFonts w:ascii="宋体" w:hAnsi="宋体" w:eastAsia="宋体" w:cs="宋体"/>
          <w:spacing w:val="9"/>
          <w:sz w:val="24"/>
          <w:szCs w:val="24"/>
        </w:rPr>
        <w:t>规定数据的输入、输出、速率、精度等。</w:t>
      </w:r>
    </w:p>
    <w:p w14:paraId="3A339919">
      <w:pPr>
        <w:spacing w:before="95" w:line="223" w:lineRule="auto"/>
        <w:rPr>
          <w:rFonts w:ascii="黑体" w:hAnsi="黑体" w:eastAsia="黑体" w:cs="黑体"/>
          <w:sz w:val="27"/>
          <w:szCs w:val="27"/>
        </w:rPr>
      </w:pPr>
      <w:r>
        <w:rPr>
          <w:rFonts w:ascii="黑体" w:hAnsi="黑体" w:eastAsia="黑体" w:cs="黑体"/>
          <w:spacing w:val="-4"/>
          <w:sz w:val="27"/>
          <w:szCs w:val="27"/>
        </w:rPr>
        <w:t>3.5.2</w:t>
      </w:r>
      <w:r>
        <w:rPr>
          <w:rFonts w:ascii="黑体" w:hAnsi="黑体" w:eastAsia="黑体" w:cs="黑体"/>
          <w:spacing w:val="27"/>
          <w:sz w:val="27"/>
          <w:szCs w:val="27"/>
        </w:rPr>
        <w:t xml:space="preserve">  </w:t>
      </w:r>
      <w:r>
        <w:rPr>
          <w:rFonts w:ascii="黑体" w:hAnsi="黑体" w:eastAsia="黑体" w:cs="黑体"/>
          <w:b/>
          <w:bCs/>
          <w:spacing w:val="-4"/>
          <w:sz w:val="27"/>
          <w:szCs w:val="27"/>
        </w:rPr>
        <w:t>信息</w:t>
      </w:r>
    </w:p>
    <w:p w14:paraId="4238E395">
      <w:pPr>
        <w:spacing w:before="97" w:line="219" w:lineRule="auto"/>
        <w:ind w:left="560"/>
        <w:rPr>
          <w:rFonts w:ascii="宋体" w:hAnsi="宋体" w:eastAsia="宋体" w:cs="宋体"/>
          <w:sz w:val="27"/>
          <w:szCs w:val="27"/>
        </w:rPr>
      </w:pPr>
      <w:r>
        <w:rPr>
          <w:rFonts w:ascii="宋体" w:hAnsi="宋体" w:eastAsia="宋体" w:cs="宋体"/>
          <w:spacing w:val="-15"/>
          <w:sz w:val="27"/>
          <w:szCs w:val="27"/>
        </w:rPr>
        <w:t>规定信息的格式、内容、存储等。</w:t>
      </w:r>
    </w:p>
    <w:p w14:paraId="47C7F2FE">
      <w:pPr>
        <w:spacing w:before="74" w:line="222" w:lineRule="auto"/>
        <w:rPr>
          <w:rFonts w:ascii="黑体" w:hAnsi="黑体" w:eastAsia="黑体" w:cs="黑体"/>
          <w:sz w:val="27"/>
          <w:szCs w:val="27"/>
        </w:rPr>
      </w:pPr>
      <w:r>
        <w:rPr>
          <w:rFonts w:ascii="黑体" w:hAnsi="黑体" w:eastAsia="黑体" w:cs="黑体"/>
          <w:spacing w:val="-3"/>
          <w:sz w:val="27"/>
          <w:szCs w:val="27"/>
        </w:rPr>
        <w:t>3.5.3</w:t>
      </w:r>
      <w:r>
        <w:rPr>
          <w:rFonts w:ascii="黑体" w:hAnsi="黑体" w:eastAsia="黑体" w:cs="黑体"/>
          <w:spacing w:val="24"/>
          <w:sz w:val="27"/>
          <w:szCs w:val="27"/>
        </w:rPr>
        <w:t xml:space="preserve">  </w:t>
      </w:r>
      <w:r>
        <w:rPr>
          <w:rFonts w:ascii="黑体" w:hAnsi="黑体" w:eastAsia="黑体" w:cs="黑体"/>
          <w:b/>
          <w:bCs/>
          <w:spacing w:val="-3"/>
          <w:sz w:val="27"/>
          <w:szCs w:val="27"/>
        </w:rPr>
        <w:t>协议</w:t>
      </w:r>
    </w:p>
    <w:p w14:paraId="1913824E">
      <w:pPr>
        <w:spacing w:before="91" w:line="219" w:lineRule="auto"/>
        <w:ind w:left="560"/>
        <w:rPr>
          <w:rFonts w:ascii="宋体" w:hAnsi="宋体" w:eastAsia="宋体" w:cs="宋体"/>
          <w:sz w:val="27"/>
          <w:szCs w:val="27"/>
        </w:rPr>
      </w:pPr>
      <w:r>
        <w:rPr>
          <w:rFonts w:ascii="宋体" w:hAnsi="宋体" w:eastAsia="宋体" w:cs="宋体"/>
          <w:spacing w:val="-19"/>
          <w:sz w:val="27"/>
          <w:szCs w:val="27"/>
        </w:rPr>
        <w:t>规定协议的权限、处理、确认、错误检测、恢复等。</w:t>
      </w:r>
    </w:p>
    <w:p w14:paraId="7977C325">
      <w:pPr>
        <w:spacing w:before="74" w:line="222" w:lineRule="auto"/>
        <w:rPr>
          <w:rFonts w:ascii="黑体" w:hAnsi="黑体" w:eastAsia="黑体" w:cs="黑体"/>
          <w:sz w:val="27"/>
          <w:szCs w:val="27"/>
        </w:rPr>
      </w:pPr>
      <w:r>
        <w:rPr>
          <w:rFonts w:ascii="黑体" w:hAnsi="黑体" w:eastAsia="黑体" w:cs="黑体"/>
          <w:sz w:val="27"/>
          <w:szCs w:val="27"/>
        </w:rPr>
        <w:t>3.6</w:t>
      </w:r>
      <w:r>
        <w:rPr>
          <w:rFonts w:ascii="黑体" w:hAnsi="黑体" w:eastAsia="黑体" w:cs="黑体"/>
          <w:spacing w:val="19"/>
          <w:sz w:val="27"/>
          <w:szCs w:val="27"/>
        </w:rPr>
        <w:t xml:space="preserve">  </w:t>
      </w:r>
      <w:r>
        <w:rPr>
          <w:rFonts w:ascii="黑体" w:hAnsi="黑体" w:eastAsia="黑体" w:cs="黑体"/>
          <w:b/>
          <w:bCs/>
          <w:sz w:val="27"/>
          <w:szCs w:val="27"/>
        </w:rPr>
        <w:t>硬件或软件</w:t>
      </w:r>
    </w:p>
    <w:p w14:paraId="46162A66">
      <w:pPr>
        <w:spacing w:before="91" w:line="219" w:lineRule="auto"/>
        <w:ind w:left="560"/>
        <w:rPr>
          <w:rFonts w:ascii="宋体" w:hAnsi="宋体" w:eastAsia="宋体" w:cs="宋体"/>
          <w:sz w:val="27"/>
          <w:szCs w:val="27"/>
        </w:rPr>
      </w:pPr>
      <w:r>
        <w:rPr>
          <w:rFonts w:ascii="宋体" w:hAnsi="宋体" w:eastAsia="宋体" w:cs="宋体"/>
          <w:spacing w:val="3"/>
          <w:sz w:val="27"/>
          <w:szCs w:val="27"/>
        </w:rPr>
        <w:t>规定产品的硬件或软件要求。</w:t>
      </w:r>
    </w:p>
    <w:p w14:paraId="4AF496D7">
      <w:pPr>
        <w:spacing w:before="88" w:line="219" w:lineRule="auto"/>
        <w:ind w:left="560"/>
        <w:rPr>
          <w:rFonts w:ascii="宋体" w:hAnsi="宋体" w:eastAsia="宋体" w:cs="宋体"/>
          <w:sz w:val="27"/>
          <w:szCs w:val="27"/>
        </w:rPr>
      </w:pPr>
      <w:r>
        <w:rPr>
          <w:rFonts w:ascii="宋体" w:hAnsi="宋体" w:eastAsia="宋体" w:cs="宋体"/>
          <w:spacing w:val="-19"/>
          <w:sz w:val="27"/>
          <w:szCs w:val="27"/>
        </w:rPr>
        <w:t>接口：图形、标准和惯例；</w:t>
      </w:r>
    </w:p>
    <w:p w14:paraId="469DFE11">
      <w:pPr>
        <w:spacing w:before="90" w:line="219" w:lineRule="auto"/>
        <w:ind w:left="560"/>
        <w:rPr>
          <w:rFonts w:ascii="宋体" w:hAnsi="宋体" w:eastAsia="宋体" w:cs="宋体"/>
          <w:sz w:val="27"/>
          <w:szCs w:val="27"/>
        </w:rPr>
      </w:pPr>
      <w:r>
        <w:rPr>
          <w:rFonts w:ascii="宋体" w:hAnsi="宋体" w:eastAsia="宋体" w:cs="宋体"/>
          <w:spacing w:val="-12"/>
          <w:sz w:val="27"/>
          <w:szCs w:val="27"/>
        </w:rPr>
        <w:t>定时和排序：控制和逻辑关系、数据传输、输入判断等。</w:t>
      </w:r>
    </w:p>
    <w:p w14:paraId="7F795BAC">
      <w:pPr>
        <w:spacing w:before="105" w:line="222" w:lineRule="auto"/>
        <w:rPr>
          <w:rFonts w:ascii="黑体" w:hAnsi="黑体" w:eastAsia="黑体" w:cs="黑体"/>
          <w:sz w:val="24"/>
          <w:szCs w:val="24"/>
        </w:rPr>
      </w:pPr>
      <w:r>
        <w:rPr>
          <w:rFonts w:ascii="黑体" w:hAnsi="黑体" w:eastAsia="黑体" w:cs="黑体"/>
          <w:spacing w:val="-4"/>
          <w:sz w:val="24"/>
          <w:szCs w:val="24"/>
        </w:rPr>
        <w:t xml:space="preserve">3.7   </w:t>
      </w:r>
      <w:r>
        <w:rPr>
          <w:rFonts w:ascii="黑体" w:hAnsi="黑体" w:eastAsia="黑体" w:cs="黑体"/>
          <w:b/>
          <w:bCs/>
          <w:spacing w:val="-4"/>
          <w:sz w:val="24"/>
          <w:szCs w:val="24"/>
        </w:rPr>
        <w:t>环</w:t>
      </w:r>
      <w:r>
        <w:rPr>
          <w:rFonts w:ascii="黑体" w:hAnsi="黑体" w:eastAsia="黑体" w:cs="黑体"/>
          <w:spacing w:val="-29"/>
          <w:sz w:val="24"/>
          <w:szCs w:val="24"/>
        </w:rPr>
        <w:t xml:space="preserve"> </w:t>
      </w:r>
      <w:r>
        <w:rPr>
          <w:rFonts w:ascii="黑体" w:hAnsi="黑体" w:eastAsia="黑体" w:cs="黑体"/>
          <w:b/>
          <w:bCs/>
          <w:spacing w:val="-4"/>
          <w:sz w:val="24"/>
          <w:szCs w:val="24"/>
        </w:rPr>
        <w:t>境</w:t>
      </w:r>
    </w:p>
    <w:p w14:paraId="42BCC277">
      <w:pPr>
        <w:spacing w:before="118" w:line="226" w:lineRule="auto"/>
        <w:rPr>
          <w:rFonts w:ascii="黑体" w:hAnsi="黑体" w:eastAsia="黑体" w:cs="黑体"/>
          <w:sz w:val="25"/>
          <w:szCs w:val="25"/>
        </w:rPr>
      </w:pPr>
      <w:r>
        <w:rPr>
          <w:rFonts w:ascii="黑体" w:hAnsi="黑体" w:eastAsia="黑体" w:cs="黑体"/>
          <w:spacing w:val="4"/>
          <w:sz w:val="25"/>
          <w:szCs w:val="25"/>
        </w:rPr>
        <w:t>3.7.1</w:t>
      </w:r>
      <w:r>
        <w:rPr>
          <w:rFonts w:ascii="黑体" w:hAnsi="黑体" w:eastAsia="黑体" w:cs="黑体"/>
          <w:spacing w:val="60"/>
          <w:sz w:val="25"/>
          <w:szCs w:val="25"/>
        </w:rPr>
        <w:t xml:space="preserve">  </w:t>
      </w:r>
      <w:r>
        <w:rPr>
          <w:rFonts w:ascii="黑体" w:hAnsi="黑体" w:eastAsia="黑体" w:cs="黑体"/>
          <w:b/>
          <w:bCs/>
          <w:spacing w:val="4"/>
          <w:sz w:val="25"/>
          <w:szCs w:val="25"/>
        </w:rPr>
        <w:t>结构</w:t>
      </w:r>
    </w:p>
    <w:p w14:paraId="3A482325">
      <w:pPr>
        <w:spacing w:before="124" w:line="219" w:lineRule="auto"/>
        <w:ind w:left="560"/>
        <w:rPr>
          <w:rFonts w:ascii="宋体" w:hAnsi="宋体" w:eastAsia="宋体" w:cs="宋体"/>
          <w:sz w:val="27"/>
          <w:szCs w:val="27"/>
        </w:rPr>
      </w:pPr>
      <w:r>
        <w:rPr>
          <w:rFonts w:ascii="宋体" w:hAnsi="宋体" w:eastAsia="宋体" w:cs="宋体"/>
          <w:spacing w:val="-15"/>
          <w:sz w:val="27"/>
          <w:szCs w:val="27"/>
        </w:rPr>
        <w:t>规定产品的结构环境要求，包括振动、冲击、噪声、</w:t>
      </w:r>
      <w:r>
        <w:rPr>
          <w:rFonts w:ascii="宋体" w:hAnsi="宋体" w:eastAsia="宋体" w:cs="宋体"/>
          <w:spacing w:val="-16"/>
          <w:sz w:val="27"/>
          <w:szCs w:val="27"/>
        </w:rPr>
        <w:t>加载、动态模式形状等。</w:t>
      </w:r>
    </w:p>
    <w:p w14:paraId="4D3995A5">
      <w:pPr>
        <w:spacing w:line="219" w:lineRule="auto"/>
        <w:rPr>
          <w:rFonts w:ascii="宋体" w:hAnsi="宋体" w:eastAsia="宋体" w:cs="宋体"/>
          <w:sz w:val="27"/>
          <w:szCs w:val="27"/>
        </w:rPr>
        <w:sectPr>
          <w:footerReference r:id="rId76" w:type="default"/>
          <w:pgSz w:w="11910" w:h="17130"/>
          <w:pgMar w:top="400" w:right="1536" w:bottom="1650" w:left="999" w:header="0" w:footer="1364" w:gutter="0"/>
          <w:cols w:space="720" w:num="1"/>
        </w:sectPr>
      </w:pPr>
    </w:p>
    <w:p w14:paraId="3A93B9B9">
      <w:pPr>
        <w:pStyle w:val="2"/>
        <w:spacing w:line="280" w:lineRule="auto"/>
      </w:pPr>
    </w:p>
    <w:p w14:paraId="034748E6">
      <w:pPr>
        <w:pStyle w:val="2"/>
        <w:spacing w:line="280" w:lineRule="auto"/>
      </w:pPr>
    </w:p>
    <w:p w14:paraId="05F402D0">
      <w:pPr>
        <w:pStyle w:val="2"/>
        <w:spacing w:line="280" w:lineRule="auto"/>
      </w:pPr>
    </w:p>
    <w:p w14:paraId="6E3467AD">
      <w:pPr>
        <w:pStyle w:val="2"/>
        <w:spacing w:line="281" w:lineRule="auto"/>
      </w:pPr>
    </w:p>
    <w:p w14:paraId="4E4C9F33">
      <w:pPr>
        <w:spacing w:before="87" w:line="225" w:lineRule="auto"/>
        <w:rPr>
          <w:rFonts w:ascii="宋体" w:hAnsi="宋体" w:eastAsia="宋体" w:cs="宋体"/>
          <w:sz w:val="27"/>
          <w:szCs w:val="27"/>
        </w:rPr>
      </w:pPr>
      <w:r>
        <w:rPr>
          <w:rFonts w:ascii="Times New Roman" w:hAnsi="Times New Roman" w:eastAsia="Times New Roman" w:cs="Times New Roman"/>
          <w:b/>
          <w:bCs/>
          <w:spacing w:val="-2"/>
          <w:sz w:val="27"/>
          <w:szCs w:val="27"/>
        </w:rPr>
        <w:t>3.7.2</w:t>
      </w:r>
      <w:r>
        <w:rPr>
          <w:rFonts w:ascii="Times New Roman" w:hAnsi="Times New Roman" w:eastAsia="Times New Roman" w:cs="Times New Roman"/>
          <w:b/>
          <w:bCs/>
          <w:spacing w:val="6"/>
          <w:sz w:val="27"/>
          <w:szCs w:val="27"/>
        </w:rPr>
        <w:t xml:space="preserve">      </w:t>
      </w:r>
      <w:r>
        <w:rPr>
          <w:rFonts w:ascii="宋体" w:hAnsi="宋体" w:eastAsia="宋体" w:cs="宋体"/>
          <w:b/>
          <w:bCs/>
          <w:spacing w:val="-2"/>
          <w:sz w:val="27"/>
          <w:szCs w:val="27"/>
        </w:rPr>
        <w:t>热</w:t>
      </w:r>
    </w:p>
    <w:p w14:paraId="04D0F981">
      <w:pPr>
        <w:spacing w:before="66" w:line="219" w:lineRule="auto"/>
        <w:ind w:left="580"/>
        <w:rPr>
          <w:rFonts w:ascii="宋体" w:hAnsi="宋体" w:eastAsia="宋体" w:cs="宋体"/>
          <w:sz w:val="27"/>
          <w:szCs w:val="27"/>
        </w:rPr>
      </w:pPr>
      <w:r>
        <w:rPr>
          <w:rFonts w:ascii="宋体" w:hAnsi="宋体" w:eastAsia="宋体" w:cs="宋体"/>
          <w:spacing w:val="-9"/>
          <w:sz w:val="27"/>
          <w:szCs w:val="27"/>
        </w:rPr>
        <w:t>规定产品的热环境要求，包括温度范围、加热速率、</w:t>
      </w:r>
      <w:r>
        <w:rPr>
          <w:rFonts w:ascii="宋体" w:hAnsi="宋体" w:eastAsia="宋体" w:cs="宋体"/>
          <w:spacing w:val="-10"/>
          <w:sz w:val="27"/>
          <w:szCs w:val="27"/>
        </w:rPr>
        <w:t>热交换面等。</w:t>
      </w:r>
    </w:p>
    <w:p w14:paraId="2E98587D">
      <w:pPr>
        <w:spacing w:before="94" w:line="225" w:lineRule="auto"/>
        <w:rPr>
          <w:rFonts w:ascii="宋体" w:hAnsi="宋体" w:eastAsia="宋体" w:cs="宋体"/>
          <w:sz w:val="27"/>
          <w:szCs w:val="27"/>
        </w:rPr>
      </w:pPr>
      <w:r>
        <w:rPr>
          <w:rFonts w:ascii="Times New Roman" w:hAnsi="Times New Roman" w:eastAsia="Times New Roman" w:cs="Times New Roman"/>
          <w:b/>
          <w:bCs/>
          <w:spacing w:val="-2"/>
          <w:sz w:val="27"/>
          <w:szCs w:val="27"/>
        </w:rPr>
        <w:t>3.7.3</w:t>
      </w:r>
      <w:r>
        <w:rPr>
          <w:rFonts w:ascii="Times New Roman" w:hAnsi="Times New Roman" w:eastAsia="Times New Roman" w:cs="Times New Roman"/>
          <w:b/>
          <w:bCs/>
          <w:spacing w:val="6"/>
          <w:sz w:val="27"/>
          <w:szCs w:val="27"/>
        </w:rPr>
        <w:t xml:space="preserve">      </w:t>
      </w:r>
      <w:r>
        <w:rPr>
          <w:rFonts w:ascii="宋体" w:hAnsi="宋体" w:eastAsia="宋体" w:cs="宋体"/>
          <w:b/>
          <w:bCs/>
          <w:spacing w:val="-2"/>
          <w:sz w:val="27"/>
          <w:szCs w:val="27"/>
        </w:rPr>
        <w:t>磁</w:t>
      </w:r>
    </w:p>
    <w:p w14:paraId="14DB87A2">
      <w:pPr>
        <w:spacing w:before="76" w:line="219" w:lineRule="auto"/>
        <w:ind w:left="580"/>
        <w:rPr>
          <w:rFonts w:ascii="宋体" w:hAnsi="宋体" w:eastAsia="宋体" w:cs="宋体"/>
          <w:sz w:val="27"/>
          <w:szCs w:val="27"/>
        </w:rPr>
      </w:pPr>
      <w:r>
        <w:rPr>
          <w:rFonts w:ascii="宋体" w:hAnsi="宋体" w:eastAsia="宋体" w:cs="宋体"/>
          <w:spacing w:val="-7"/>
          <w:sz w:val="27"/>
          <w:szCs w:val="27"/>
        </w:rPr>
        <w:t>规定产品的磁环境要求，包括磁力线密度、变化率等。</w:t>
      </w:r>
    </w:p>
    <w:p w14:paraId="70AAEBFF">
      <w:pPr>
        <w:spacing w:before="105" w:line="222" w:lineRule="auto"/>
        <w:rPr>
          <w:rFonts w:ascii="黑体" w:hAnsi="黑体" w:eastAsia="黑体" w:cs="黑体"/>
          <w:sz w:val="25"/>
          <w:szCs w:val="25"/>
        </w:rPr>
      </w:pPr>
      <w:r>
        <w:rPr>
          <w:rFonts w:ascii="黑体" w:hAnsi="黑体" w:eastAsia="黑体" w:cs="黑体"/>
          <w:spacing w:val="3"/>
          <w:sz w:val="25"/>
          <w:szCs w:val="25"/>
        </w:rPr>
        <w:t>3.7.4</w:t>
      </w:r>
      <w:r>
        <w:rPr>
          <w:rFonts w:ascii="黑体" w:hAnsi="黑体" w:eastAsia="黑体" w:cs="黑体"/>
          <w:spacing w:val="56"/>
          <w:sz w:val="25"/>
          <w:szCs w:val="25"/>
        </w:rPr>
        <w:t xml:space="preserve">  </w:t>
      </w:r>
      <w:r>
        <w:rPr>
          <w:rFonts w:ascii="黑体" w:hAnsi="黑体" w:eastAsia="黑体" w:cs="黑体"/>
          <w:b/>
          <w:bCs/>
          <w:spacing w:val="3"/>
          <w:sz w:val="25"/>
          <w:szCs w:val="25"/>
        </w:rPr>
        <w:t>辐射</w:t>
      </w:r>
    </w:p>
    <w:p w14:paraId="24B1FCD6">
      <w:pPr>
        <w:spacing w:before="84" w:line="219" w:lineRule="auto"/>
        <w:ind w:left="580"/>
        <w:rPr>
          <w:rFonts w:ascii="宋体" w:hAnsi="宋体" w:eastAsia="宋体" w:cs="宋体"/>
          <w:sz w:val="27"/>
          <w:szCs w:val="27"/>
        </w:rPr>
      </w:pPr>
      <w:r>
        <w:rPr>
          <w:rFonts w:ascii="宋体" w:hAnsi="宋体" w:eastAsia="宋体" w:cs="宋体"/>
          <w:spacing w:val="-8"/>
          <w:sz w:val="27"/>
          <w:szCs w:val="27"/>
        </w:rPr>
        <w:t>规定产品的辐射环境要求，包括辐射类型、射线密</w:t>
      </w:r>
      <w:r>
        <w:rPr>
          <w:rFonts w:ascii="宋体" w:hAnsi="宋体" w:eastAsia="宋体" w:cs="宋体"/>
          <w:spacing w:val="-9"/>
          <w:sz w:val="27"/>
          <w:szCs w:val="27"/>
        </w:rPr>
        <w:t>度、射线总量等。</w:t>
      </w:r>
    </w:p>
    <w:p w14:paraId="31785AFC">
      <w:pPr>
        <w:spacing w:before="75" w:line="222" w:lineRule="auto"/>
        <w:rPr>
          <w:rFonts w:ascii="黑体" w:hAnsi="黑体" w:eastAsia="黑体" w:cs="黑体"/>
          <w:sz w:val="27"/>
          <w:szCs w:val="27"/>
        </w:rPr>
      </w:pPr>
      <w:r>
        <w:rPr>
          <w:rFonts w:ascii="黑体" w:hAnsi="黑体" w:eastAsia="黑体" w:cs="黑体"/>
          <w:spacing w:val="1"/>
          <w:sz w:val="27"/>
          <w:szCs w:val="27"/>
        </w:rPr>
        <w:t>3.7.5</w:t>
      </w:r>
      <w:r>
        <w:rPr>
          <w:rFonts w:ascii="黑体" w:hAnsi="黑体" w:eastAsia="黑体" w:cs="黑体"/>
          <w:spacing w:val="22"/>
          <w:sz w:val="27"/>
          <w:szCs w:val="27"/>
        </w:rPr>
        <w:t xml:space="preserve">  </w:t>
      </w:r>
      <w:r>
        <w:rPr>
          <w:rFonts w:ascii="黑体" w:hAnsi="黑体" w:eastAsia="黑体" w:cs="黑体"/>
          <w:b/>
          <w:bCs/>
          <w:spacing w:val="1"/>
          <w:sz w:val="27"/>
          <w:szCs w:val="27"/>
        </w:rPr>
        <w:t>环绕空间</w:t>
      </w:r>
    </w:p>
    <w:p w14:paraId="7F684D09">
      <w:pPr>
        <w:spacing w:before="100" w:line="219" w:lineRule="auto"/>
        <w:ind w:left="580"/>
        <w:rPr>
          <w:rFonts w:ascii="宋体" w:hAnsi="宋体" w:eastAsia="宋体" w:cs="宋体"/>
          <w:sz w:val="27"/>
          <w:szCs w:val="27"/>
        </w:rPr>
      </w:pPr>
      <w:r>
        <w:rPr>
          <w:rFonts w:ascii="宋体" w:hAnsi="宋体" w:eastAsia="宋体" w:cs="宋体"/>
          <w:spacing w:val="-13"/>
          <w:sz w:val="27"/>
          <w:szCs w:val="27"/>
        </w:rPr>
        <w:t>规定产品的环绕空间要求，包括压力、温度、容量等。</w:t>
      </w:r>
    </w:p>
    <w:p w14:paraId="0EDC6B35">
      <w:pPr>
        <w:spacing w:before="105" w:line="222" w:lineRule="auto"/>
        <w:rPr>
          <w:rFonts w:ascii="黑体" w:hAnsi="黑体" w:eastAsia="黑体" w:cs="黑体"/>
          <w:sz w:val="25"/>
          <w:szCs w:val="25"/>
        </w:rPr>
      </w:pPr>
      <w:r>
        <w:rPr>
          <w:rFonts w:ascii="黑体" w:hAnsi="黑体" w:eastAsia="黑体" w:cs="黑体"/>
          <w:spacing w:val="2"/>
          <w:sz w:val="25"/>
          <w:szCs w:val="25"/>
        </w:rPr>
        <w:t>3.7.6</w:t>
      </w:r>
      <w:r>
        <w:rPr>
          <w:rFonts w:ascii="黑体" w:hAnsi="黑体" w:eastAsia="黑体" w:cs="黑体"/>
          <w:spacing w:val="54"/>
          <w:sz w:val="25"/>
          <w:szCs w:val="25"/>
        </w:rPr>
        <w:t xml:space="preserve">  </w:t>
      </w:r>
      <w:r>
        <w:rPr>
          <w:rFonts w:ascii="黑体" w:hAnsi="黑体" w:eastAsia="黑体" w:cs="黑体"/>
          <w:b/>
          <w:bCs/>
          <w:spacing w:val="2"/>
          <w:sz w:val="25"/>
          <w:szCs w:val="25"/>
        </w:rPr>
        <w:t>空调</w:t>
      </w:r>
    </w:p>
    <w:p w14:paraId="12D0E27B">
      <w:pPr>
        <w:spacing w:before="103" w:line="219" w:lineRule="auto"/>
        <w:ind w:left="580"/>
        <w:rPr>
          <w:rFonts w:ascii="宋体" w:hAnsi="宋体" w:eastAsia="宋体" w:cs="宋体"/>
          <w:sz w:val="25"/>
          <w:szCs w:val="25"/>
        </w:rPr>
      </w:pPr>
      <w:r>
        <w:rPr>
          <w:rFonts w:ascii="宋体" w:hAnsi="宋体" w:eastAsia="宋体" w:cs="宋体"/>
          <w:spacing w:val="13"/>
          <w:sz w:val="25"/>
          <w:szCs w:val="25"/>
        </w:rPr>
        <w:t>规定产品的空调(环境控制)要求，包括温度、流动速率等。</w:t>
      </w:r>
    </w:p>
    <w:p w14:paraId="4A99000D">
      <w:pPr>
        <w:spacing w:before="101" w:line="223" w:lineRule="auto"/>
        <w:rPr>
          <w:rFonts w:ascii="黑体" w:hAnsi="黑体" w:eastAsia="黑体" w:cs="黑体"/>
          <w:sz w:val="27"/>
          <w:szCs w:val="27"/>
        </w:rPr>
      </w:pPr>
      <w:r>
        <w:rPr>
          <w:rFonts w:ascii="黑体" w:hAnsi="黑体" w:eastAsia="黑体" w:cs="黑体"/>
          <w:spacing w:val="-6"/>
          <w:sz w:val="27"/>
          <w:szCs w:val="27"/>
        </w:rPr>
        <w:t>3.8</w:t>
      </w:r>
      <w:r>
        <w:rPr>
          <w:rFonts w:ascii="黑体" w:hAnsi="黑体" w:eastAsia="黑体" w:cs="黑体"/>
          <w:spacing w:val="25"/>
          <w:sz w:val="27"/>
          <w:szCs w:val="27"/>
        </w:rPr>
        <w:t xml:space="preserve">  </w:t>
      </w:r>
      <w:r>
        <w:rPr>
          <w:rFonts w:ascii="黑体" w:hAnsi="黑体" w:eastAsia="黑体" w:cs="黑体"/>
          <w:b/>
          <w:bCs/>
          <w:spacing w:val="-6"/>
          <w:sz w:val="27"/>
          <w:szCs w:val="27"/>
        </w:rPr>
        <w:t>安全性</w:t>
      </w:r>
    </w:p>
    <w:p w14:paraId="06C0102A">
      <w:pPr>
        <w:spacing w:before="87" w:line="219" w:lineRule="auto"/>
        <w:ind w:left="580"/>
        <w:rPr>
          <w:rFonts w:ascii="宋体" w:hAnsi="宋体" w:eastAsia="宋体" w:cs="宋体"/>
          <w:sz w:val="27"/>
          <w:szCs w:val="27"/>
        </w:rPr>
      </w:pPr>
      <w:r>
        <w:rPr>
          <w:rFonts w:ascii="宋体" w:hAnsi="宋体" w:eastAsia="宋体" w:cs="宋体"/>
          <w:spacing w:val="2"/>
          <w:sz w:val="27"/>
          <w:szCs w:val="27"/>
        </w:rPr>
        <w:t>规定产品的安全性要求。</w:t>
      </w:r>
    </w:p>
    <w:p w14:paraId="4D17EA5B">
      <w:pPr>
        <w:spacing w:before="93" w:line="222" w:lineRule="auto"/>
        <w:rPr>
          <w:rFonts w:ascii="黑体" w:hAnsi="黑体" w:eastAsia="黑体" w:cs="黑体"/>
          <w:sz w:val="24"/>
          <w:szCs w:val="24"/>
        </w:rPr>
      </w:pPr>
      <w:r>
        <w:rPr>
          <w:rFonts w:ascii="黑体" w:hAnsi="黑体" w:eastAsia="黑体" w:cs="黑体"/>
          <w:spacing w:val="17"/>
          <w:sz w:val="24"/>
          <w:szCs w:val="24"/>
        </w:rPr>
        <w:t>3.9</w:t>
      </w:r>
      <w:r>
        <w:rPr>
          <w:rFonts w:ascii="黑体" w:hAnsi="黑体" w:eastAsia="黑体" w:cs="黑体"/>
          <w:spacing w:val="2"/>
          <w:sz w:val="24"/>
          <w:szCs w:val="24"/>
        </w:rPr>
        <w:t xml:space="preserve">   </w:t>
      </w:r>
      <w:r>
        <w:rPr>
          <w:rFonts w:ascii="黑体" w:hAnsi="黑体" w:eastAsia="黑体" w:cs="黑体"/>
          <w:b/>
          <w:bCs/>
          <w:spacing w:val="17"/>
          <w:sz w:val="24"/>
          <w:szCs w:val="24"/>
        </w:rPr>
        <w:t>使用限制</w:t>
      </w:r>
    </w:p>
    <w:p w14:paraId="7568A078">
      <w:pPr>
        <w:spacing w:before="118" w:line="219" w:lineRule="auto"/>
        <w:ind w:left="580"/>
        <w:rPr>
          <w:rFonts w:ascii="宋体" w:hAnsi="宋体" w:eastAsia="宋体" w:cs="宋体"/>
          <w:sz w:val="27"/>
          <w:szCs w:val="27"/>
        </w:rPr>
      </w:pPr>
      <w:r>
        <w:rPr>
          <w:rFonts w:ascii="宋体" w:hAnsi="宋体" w:eastAsia="宋体" w:cs="宋体"/>
          <w:spacing w:val="2"/>
          <w:sz w:val="27"/>
          <w:szCs w:val="27"/>
        </w:rPr>
        <w:t>规定产品的使用限制要求。</w:t>
      </w:r>
    </w:p>
    <w:p w14:paraId="49FDD03B">
      <w:pPr>
        <w:spacing w:before="74"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26"/>
          <w:sz w:val="27"/>
          <w:szCs w:val="27"/>
        </w:rPr>
        <w:t xml:space="preserve">  </w:t>
      </w:r>
      <w:r>
        <w:rPr>
          <w:rFonts w:ascii="黑体" w:hAnsi="黑体" w:eastAsia="黑体" w:cs="黑体"/>
          <w:b/>
          <w:bCs/>
          <w:spacing w:val="-5"/>
          <w:sz w:val="27"/>
          <w:szCs w:val="27"/>
        </w:rPr>
        <w:t>验证</w:t>
      </w:r>
    </w:p>
    <w:p w14:paraId="66C23CA3">
      <w:pPr>
        <w:spacing w:before="82" w:line="220" w:lineRule="auto"/>
        <w:ind w:left="580"/>
        <w:rPr>
          <w:rFonts w:ascii="宋体" w:hAnsi="宋体" w:eastAsia="宋体" w:cs="宋体"/>
          <w:sz w:val="27"/>
          <w:szCs w:val="27"/>
        </w:rPr>
      </w:pPr>
      <w:r>
        <w:rPr>
          <w:rFonts w:ascii="宋体" w:hAnsi="宋体" w:eastAsia="宋体" w:cs="宋体"/>
          <w:spacing w:val="3"/>
          <w:sz w:val="27"/>
          <w:szCs w:val="27"/>
        </w:rPr>
        <w:t>应规定验证有关接口要求的正确性的要求。</w:t>
      </w:r>
    </w:p>
    <w:p w14:paraId="4D4006D9">
      <w:pPr>
        <w:spacing w:before="93" w:line="222" w:lineRule="auto"/>
        <w:rPr>
          <w:rFonts w:ascii="黑体" w:hAnsi="黑体" w:eastAsia="黑体" w:cs="黑体"/>
          <w:sz w:val="25"/>
          <w:szCs w:val="25"/>
        </w:rPr>
      </w:pPr>
      <w:r>
        <w:rPr>
          <w:rFonts w:ascii="黑体" w:hAnsi="黑体" w:eastAsia="黑体" w:cs="黑体"/>
          <w:spacing w:val="8"/>
          <w:sz w:val="25"/>
          <w:szCs w:val="25"/>
        </w:rPr>
        <w:t>4.1</w:t>
      </w:r>
      <w:r>
        <w:rPr>
          <w:rFonts w:ascii="黑体" w:hAnsi="黑体" w:eastAsia="黑体" w:cs="黑体"/>
          <w:spacing w:val="56"/>
          <w:sz w:val="25"/>
          <w:szCs w:val="25"/>
        </w:rPr>
        <w:t xml:space="preserve">  </w:t>
      </w:r>
      <w:r>
        <w:rPr>
          <w:rFonts w:ascii="黑体" w:hAnsi="黑体" w:eastAsia="黑体" w:cs="黑体"/>
          <w:b/>
          <w:bCs/>
          <w:spacing w:val="8"/>
          <w:sz w:val="25"/>
          <w:szCs w:val="25"/>
        </w:rPr>
        <w:t>质量保证</w:t>
      </w:r>
    </w:p>
    <w:p w14:paraId="19471965">
      <w:pPr>
        <w:spacing w:before="90" w:line="222" w:lineRule="auto"/>
        <w:rPr>
          <w:rFonts w:ascii="黑体" w:hAnsi="黑体" w:eastAsia="黑体" w:cs="黑体"/>
          <w:sz w:val="27"/>
          <w:szCs w:val="27"/>
        </w:rPr>
      </w:pPr>
      <w:r>
        <w:rPr>
          <w:rFonts w:ascii="黑体" w:hAnsi="黑体" w:eastAsia="黑体" w:cs="黑体"/>
          <w:spacing w:val="-2"/>
          <w:sz w:val="27"/>
          <w:szCs w:val="27"/>
        </w:rPr>
        <w:t>4.1.1</w:t>
      </w:r>
      <w:r>
        <w:rPr>
          <w:rFonts w:ascii="黑体" w:hAnsi="黑体" w:eastAsia="黑体" w:cs="黑体"/>
          <w:spacing w:val="25"/>
          <w:sz w:val="27"/>
          <w:szCs w:val="27"/>
        </w:rPr>
        <w:t xml:space="preserve">  </w:t>
      </w:r>
      <w:r>
        <w:rPr>
          <w:rFonts w:ascii="黑体" w:hAnsi="黑体" w:eastAsia="黑体" w:cs="黑体"/>
          <w:b/>
          <w:bCs/>
          <w:spacing w:val="-2"/>
          <w:sz w:val="27"/>
          <w:szCs w:val="27"/>
        </w:rPr>
        <w:t>质量保证要求</w:t>
      </w:r>
    </w:p>
    <w:p w14:paraId="5048E0A0">
      <w:pPr>
        <w:spacing w:before="89" w:line="219" w:lineRule="auto"/>
        <w:ind w:left="580"/>
        <w:rPr>
          <w:rFonts w:ascii="宋体" w:hAnsi="宋体" w:eastAsia="宋体" w:cs="宋体"/>
          <w:sz w:val="27"/>
          <w:szCs w:val="27"/>
        </w:rPr>
      </w:pPr>
      <w:r>
        <w:rPr>
          <w:rFonts w:ascii="宋体" w:hAnsi="宋体" w:eastAsia="宋体" w:cs="宋体"/>
          <w:spacing w:val="2"/>
          <w:sz w:val="27"/>
          <w:szCs w:val="27"/>
        </w:rPr>
        <w:t>规定产品的质量保证要求。</w:t>
      </w:r>
    </w:p>
    <w:p w14:paraId="7907572A">
      <w:pPr>
        <w:spacing w:before="113" w:line="222" w:lineRule="auto"/>
        <w:rPr>
          <w:rFonts w:ascii="黑体" w:hAnsi="黑体" w:eastAsia="黑体" w:cs="黑体"/>
          <w:sz w:val="24"/>
          <w:szCs w:val="24"/>
        </w:rPr>
      </w:pPr>
      <w:r>
        <w:rPr>
          <w:rFonts w:ascii="黑体" w:hAnsi="黑体" w:eastAsia="黑体" w:cs="黑体"/>
          <w:spacing w:val="15"/>
          <w:sz w:val="24"/>
          <w:szCs w:val="24"/>
        </w:rPr>
        <w:t>4.1.</w:t>
      </w:r>
      <w:r>
        <w:rPr>
          <w:rFonts w:ascii="黑体" w:hAnsi="黑体" w:eastAsia="黑体" w:cs="黑体"/>
          <w:spacing w:val="-55"/>
          <w:sz w:val="24"/>
          <w:szCs w:val="24"/>
        </w:rPr>
        <w:t xml:space="preserve"> </w:t>
      </w:r>
      <w:r>
        <w:rPr>
          <w:rFonts w:ascii="黑体" w:hAnsi="黑体" w:eastAsia="黑体" w:cs="黑体"/>
          <w:spacing w:val="15"/>
          <w:sz w:val="24"/>
          <w:szCs w:val="24"/>
        </w:rPr>
        <w:t>2</w:t>
      </w:r>
      <w:r>
        <w:rPr>
          <w:rFonts w:ascii="黑体" w:hAnsi="黑体" w:eastAsia="黑体" w:cs="黑体"/>
          <w:spacing w:val="45"/>
          <w:sz w:val="24"/>
          <w:szCs w:val="24"/>
        </w:rPr>
        <w:t xml:space="preserve">  </w:t>
      </w:r>
      <w:r>
        <w:rPr>
          <w:rFonts w:ascii="黑体" w:hAnsi="黑体" w:eastAsia="黑体" w:cs="黑体"/>
          <w:b/>
          <w:bCs/>
          <w:spacing w:val="15"/>
          <w:sz w:val="24"/>
          <w:szCs w:val="24"/>
        </w:rPr>
        <w:t>接口控制文件要求验证：矩阵</w:t>
      </w:r>
    </w:p>
    <w:p w14:paraId="6E394966">
      <w:pPr>
        <w:spacing w:before="108" w:line="219" w:lineRule="auto"/>
        <w:ind w:left="580"/>
        <w:rPr>
          <w:rFonts w:ascii="宋体" w:hAnsi="宋体" w:eastAsia="宋体" w:cs="宋体"/>
          <w:sz w:val="27"/>
          <w:szCs w:val="27"/>
        </w:rPr>
      </w:pPr>
      <w:r>
        <w:rPr>
          <w:rFonts w:ascii="宋体" w:hAnsi="宋体" w:eastAsia="宋体" w:cs="宋体"/>
          <w:spacing w:val="-3"/>
          <w:sz w:val="27"/>
          <w:szCs w:val="27"/>
        </w:rPr>
        <w:t>以矩阵形式，规定产品接口控制文件要求的验证要求。</w:t>
      </w:r>
    </w:p>
    <w:p w14:paraId="586A61FC">
      <w:pPr>
        <w:spacing w:before="103" w:line="221" w:lineRule="auto"/>
        <w:rPr>
          <w:rFonts w:ascii="黑体" w:hAnsi="黑体" w:eastAsia="黑体" w:cs="黑体"/>
          <w:sz w:val="25"/>
          <w:szCs w:val="25"/>
        </w:rPr>
      </w:pPr>
      <w:r>
        <w:rPr>
          <w:rFonts w:ascii="黑体" w:hAnsi="黑体" w:eastAsia="黑体" w:cs="黑体"/>
          <w:spacing w:val="11"/>
          <w:sz w:val="25"/>
          <w:szCs w:val="25"/>
        </w:rPr>
        <w:t>4.2</w:t>
      </w:r>
      <w:r>
        <w:rPr>
          <w:rFonts w:ascii="黑体" w:hAnsi="黑体" w:eastAsia="黑体" w:cs="黑体"/>
          <w:spacing w:val="46"/>
          <w:sz w:val="25"/>
          <w:szCs w:val="25"/>
        </w:rPr>
        <w:t xml:space="preserve">  </w:t>
      </w:r>
      <w:r>
        <w:rPr>
          <w:rFonts w:ascii="黑体" w:hAnsi="黑体" w:eastAsia="黑体" w:cs="黑体"/>
          <w:b/>
          <w:bCs/>
          <w:spacing w:val="11"/>
          <w:sz w:val="25"/>
          <w:szCs w:val="25"/>
        </w:rPr>
        <w:t>工厂试验</w:t>
      </w:r>
    </w:p>
    <w:p w14:paraId="557F0A5E">
      <w:pPr>
        <w:spacing w:before="111" w:line="222" w:lineRule="auto"/>
        <w:rPr>
          <w:rFonts w:ascii="黑体" w:hAnsi="黑体" w:eastAsia="黑体" w:cs="黑体"/>
          <w:sz w:val="24"/>
          <w:szCs w:val="24"/>
        </w:rPr>
      </w:pPr>
      <w:r>
        <w:rPr>
          <w:rFonts w:ascii="黑体" w:hAnsi="黑体" w:eastAsia="黑体" w:cs="黑体"/>
          <w:spacing w:val="12"/>
          <w:sz w:val="24"/>
          <w:szCs w:val="24"/>
        </w:rPr>
        <w:t>4.2.</w:t>
      </w:r>
      <w:r>
        <w:rPr>
          <w:rFonts w:ascii="黑体" w:hAnsi="黑体" w:eastAsia="黑体" w:cs="黑体"/>
          <w:spacing w:val="-65"/>
          <w:sz w:val="24"/>
          <w:szCs w:val="24"/>
        </w:rPr>
        <w:t xml:space="preserve"> </w:t>
      </w:r>
      <w:r>
        <w:rPr>
          <w:rFonts w:ascii="黑体" w:hAnsi="黑体" w:eastAsia="黑体" w:cs="黑体"/>
          <w:spacing w:val="12"/>
          <w:sz w:val="24"/>
          <w:szCs w:val="24"/>
        </w:rPr>
        <w:t>1</w:t>
      </w:r>
      <w:r>
        <w:rPr>
          <w:rFonts w:ascii="黑体" w:hAnsi="黑体" w:eastAsia="黑体" w:cs="黑体"/>
          <w:spacing w:val="52"/>
          <w:sz w:val="24"/>
          <w:szCs w:val="24"/>
        </w:rPr>
        <w:t xml:space="preserve">  </w:t>
      </w:r>
      <w:r>
        <w:rPr>
          <w:rFonts w:ascii="黑体" w:hAnsi="黑体" w:eastAsia="黑体" w:cs="黑体"/>
          <w:b/>
          <w:bCs/>
          <w:spacing w:val="12"/>
          <w:sz w:val="24"/>
          <w:szCs w:val="24"/>
        </w:rPr>
        <w:t>设施要求</w:t>
      </w:r>
    </w:p>
    <w:p w14:paraId="397A7670">
      <w:pPr>
        <w:spacing w:before="108" w:line="219" w:lineRule="auto"/>
        <w:ind w:left="580"/>
        <w:rPr>
          <w:rFonts w:ascii="宋体" w:hAnsi="宋体" w:eastAsia="宋体" w:cs="宋体"/>
          <w:sz w:val="27"/>
          <w:szCs w:val="27"/>
        </w:rPr>
      </w:pPr>
      <w:r>
        <w:rPr>
          <w:rFonts w:ascii="宋体" w:hAnsi="宋体" w:eastAsia="宋体" w:cs="宋体"/>
          <w:spacing w:val="3"/>
          <w:sz w:val="27"/>
          <w:szCs w:val="27"/>
        </w:rPr>
        <w:t>规定产品进行工厂试验时对试验设施的要求。</w:t>
      </w:r>
    </w:p>
    <w:p w14:paraId="37DBB6CF">
      <w:pPr>
        <w:spacing w:before="95" w:line="222" w:lineRule="auto"/>
        <w:rPr>
          <w:rFonts w:ascii="黑体" w:hAnsi="黑体" w:eastAsia="黑体" w:cs="黑体"/>
          <w:sz w:val="25"/>
          <w:szCs w:val="25"/>
        </w:rPr>
      </w:pPr>
      <w:r>
        <w:rPr>
          <w:rFonts w:ascii="黑体" w:hAnsi="黑体" w:eastAsia="黑体" w:cs="黑体"/>
          <w:spacing w:val="10"/>
          <w:sz w:val="25"/>
          <w:szCs w:val="25"/>
        </w:rPr>
        <w:t>4.2.2</w:t>
      </w:r>
      <w:r>
        <w:rPr>
          <w:rFonts w:ascii="黑体" w:hAnsi="黑体" w:eastAsia="黑体" w:cs="黑体"/>
          <w:spacing w:val="50"/>
          <w:sz w:val="25"/>
          <w:szCs w:val="25"/>
        </w:rPr>
        <w:t xml:space="preserve">  </w:t>
      </w:r>
      <w:r>
        <w:rPr>
          <w:rFonts w:ascii="黑体" w:hAnsi="黑体" w:eastAsia="黑体" w:cs="黑体"/>
          <w:b/>
          <w:bCs/>
          <w:spacing w:val="10"/>
          <w:sz w:val="25"/>
          <w:szCs w:val="25"/>
        </w:rPr>
        <w:t>接收检查</w:t>
      </w:r>
    </w:p>
    <w:p w14:paraId="4783D374">
      <w:pPr>
        <w:spacing w:before="104" w:line="219" w:lineRule="auto"/>
        <w:ind w:left="580"/>
        <w:rPr>
          <w:rFonts w:ascii="宋体" w:hAnsi="宋体" w:eastAsia="宋体" w:cs="宋体"/>
          <w:sz w:val="27"/>
          <w:szCs w:val="27"/>
        </w:rPr>
      </w:pPr>
      <w:r>
        <w:rPr>
          <w:rFonts w:ascii="宋体" w:hAnsi="宋体" w:eastAsia="宋体" w:cs="宋体"/>
          <w:spacing w:val="-8"/>
          <w:sz w:val="27"/>
          <w:szCs w:val="27"/>
        </w:rPr>
        <w:t>规定产品接收检查的要求，包括接收条件、检查内</w:t>
      </w:r>
      <w:r>
        <w:rPr>
          <w:rFonts w:ascii="宋体" w:hAnsi="宋体" w:eastAsia="宋体" w:cs="宋体"/>
          <w:spacing w:val="-9"/>
          <w:sz w:val="27"/>
          <w:szCs w:val="27"/>
        </w:rPr>
        <w:t>容、检查方法等。</w:t>
      </w:r>
    </w:p>
    <w:p w14:paraId="3616A4EA">
      <w:pPr>
        <w:spacing w:before="86" w:line="222" w:lineRule="auto"/>
        <w:rPr>
          <w:rFonts w:ascii="黑体" w:hAnsi="黑体" w:eastAsia="黑体" w:cs="黑体"/>
          <w:sz w:val="27"/>
          <w:szCs w:val="27"/>
        </w:rPr>
      </w:pPr>
      <w:r>
        <w:rPr>
          <w:rFonts w:ascii="黑体" w:hAnsi="黑体" w:eastAsia="黑体" w:cs="黑体"/>
          <w:spacing w:val="1"/>
          <w:sz w:val="27"/>
          <w:szCs w:val="27"/>
        </w:rPr>
        <w:t>4.2.3</w:t>
      </w:r>
      <w:r>
        <w:rPr>
          <w:rFonts w:ascii="黑体" w:hAnsi="黑体" w:eastAsia="黑体" w:cs="黑体"/>
          <w:spacing w:val="17"/>
          <w:sz w:val="27"/>
          <w:szCs w:val="27"/>
        </w:rPr>
        <w:t xml:space="preserve">  </w:t>
      </w:r>
      <w:r>
        <w:rPr>
          <w:rFonts w:ascii="黑体" w:hAnsi="黑体" w:eastAsia="黑体" w:cs="黑体"/>
          <w:b/>
          <w:bCs/>
          <w:spacing w:val="1"/>
          <w:sz w:val="27"/>
          <w:szCs w:val="27"/>
        </w:rPr>
        <w:t>安装要求</w:t>
      </w:r>
    </w:p>
    <w:p w14:paraId="06DAE786">
      <w:pPr>
        <w:spacing w:before="89" w:line="219" w:lineRule="auto"/>
        <w:ind w:left="580"/>
        <w:rPr>
          <w:rFonts w:ascii="宋体" w:hAnsi="宋体" w:eastAsia="宋体" w:cs="宋体"/>
          <w:sz w:val="27"/>
          <w:szCs w:val="27"/>
        </w:rPr>
      </w:pPr>
      <w:r>
        <w:rPr>
          <w:rFonts w:ascii="宋体" w:hAnsi="宋体" w:eastAsia="宋体" w:cs="宋体"/>
          <w:spacing w:val="4"/>
          <w:sz w:val="27"/>
          <w:szCs w:val="27"/>
        </w:rPr>
        <w:t>规定产品进行工厂试验时对产品安装的要求。</w:t>
      </w:r>
    </w:p>
    <w:p w14:paraId="47DE7099">
      <w:pPr>
        <w:spacing w:before="73" w:line="221" w:lineRule="auto"/>
        <w:rPr>
          <w:rFonts w:ascii="黑体" w:hAnsi="黑体" w:eastAsia="黑体" w:cs="黑体"/>
          <w:sz w:val="27"/>
          <w:szCs w:val="27"/>
        </w:rPr>
      </w:pPr>
      <w:r>
        <w:rPr>
          <w:rFonts w:ascii="黑体" w:hAnsi="黑体" w:eastAsia="黑体" w:cs="黑体"/>
          <w:spacing w:val="-2"/>
          <w:sz w:val="27"/>
          <w:szCs w:val="27"/>
        </w:rPr>
        <w:t>4.2.</w:t>
      </w:r>
      <w:r>
        <w:rPr>
          <w:rFonts w:ascii="黑体" w:hAnsi="黑体" w:eastAsia="黑体" w:cs="黑体"/>
          <w:b/>
          <w:bCs/>
          <w:spacing w:val="-2"/>
          <w:sz w:val="27"/>
          <w:szCs w:val="27"/>
        </w:rPr>
        <w:t>4</w:t>
      </w:r>
      <w:r>
        <w:rPr>
          <w:rFonts w:ascii="黑体" w:hAnsi="黑体" w:eastAsia="黑体" w:cs="黑体"/>
          <w:spacing w:val="22"/>
          <w:sz w:val="27"/>
          <w:szCs w:val="27"/>
        </w:rPr>
        <w:t xml:space="preserve">  </w:t>
      </w:r>
      <w:r>
        <w:rPr>
          <w:rFonts w:ascii="黑体" w:hAnsi="黑体" w:eastAsia="黑体" w:cs="黑体"/>
          <w:b/>
          <w:bCs/>
          <w:spacing w:val="-2"/>
          <w:sz w:val="27"/>
          <w:szCs w:val="27"/>
        </w:rPr>
        <w:t>测试约束条件</w:t>
      </w:r>
    </w:p>
    <w:p w14:paraId="6D11228D">
      <w:pPr>
        <w:spacing w:before="94" w:line="219" w:lineRule="auto"/>
        <w:ind w:left="580"/>
        <w:rPr>
          <w:rFonts w:ascii="宋体" w:hAnsi="宋体" w:eastAsia="宋体" w:cs="宋体"/>
          <w:sz w:val="27"/>
          <w:szCs w:val="27"/>
        </w:rPr>
      </w:pPr>
      <w:r>
        <w:rPr>
          <w:rFonts w:ascii="宋体" w:hAnsi="宋体" w:eastAsia="宋体" w:cs="宋体"/>
          <w:spacing w:val="3"/>
          <w:sz w:val="27"/>
          <w:szCs w:val="27"/>
        </w:rPr>
        <w:t>规定产品进行工厂试验时的测试约束条件。</w:t>
      </w:r>
    </w:p>
    <w:p w14:paraId="35FF86D8">
      <w:pPr>
        <w:spacing w:before="87" w:line="221" w:lineRule="auto"/>
        <w:rPr>
          <w:rFonts w:ascii="黑体" w:hAnsi="黑体" w:eastAsia="黑体" w:cs="黑体"/>
          <w:sz w:val="27"/>
          <w:szCs w:val="27"/>
        </w:rPr>
      </w:pPr>
      <w:r>
        <w:rPr>
          <w:rFonts w:ascii="黑体" w:hAnsi="黑体" w:eastAsia="黑体" w:cs="黑体"/>
          <w:spacing w:val="3"/>
          <w:sz w:val="27"/>
          <w:szCs w:val="27"/>
        </w:rPr>
        <w:t>4.2.5</w:t>
      </w:r>
      <w:r>
        <w:rPr>
          <w:rFonts w:ascii="黑体" w:hAnsi="黑体" w:eastAsia="黑体" w:cs="黑体"/>
          <w:spacing w:val="16"/>
          <w:sz w:val="27"/>
          <w:szCs w:val="27"/>
        </w:rPr>
        <w:t xml:space="preserve">  </w:t>
      </w:r>
      <w:r>
        <w:rPr>
          <w:rFonts w:ascii="黑体" w:hAnsi="黑体" w:eastAsia="黑体" w:cs="黑体"/>
          <w:spacing w:val="3"/>
          <w:sz w:val="27"/>
          <w:szCs w:val="27"/>
        </w:rPr>
        <w:t>测试顺序</w:t>
      </w:r>
    </w:p>
    <w:p w14:paraId="0B164246">
      <w:pPr>
        <w:spacing w:before="79" w:line="219" w:lineRule="auto"/>
        <w:ind w:left="580"/>
        <w:rPr>
          <w:rFonts w:ascii="宋体" w:hAnsi="宋体" w:eastAsia="宋体" w:cs="宋体"/>
          <w:sz w:val="27"/>
          <w:szCs w:val="27"/>
        </w:rPr>
      </w:pPr>
      <w:r>
        <w:rPr>
          <w:rFonts w:ascii="宋体" w:hAnsi="宋体" w:eastAsia="宋体" w:cs="宋体"/>
          <w:spacing w:val="3"/>
          <w:sz w:val="27"/>
          <w:szCs w:val="27"/>
        </w:rPr>
        <w:t>规定产品进行工厂试验时的测试顺序。</w:t>
      </w:r>
    </w:p>
    <w:p w14:paraId="0158D056">
      <w:pPr>
        <w:spacing w:before="97" w:line="223" w:lineRule="auto"/>
        <w:rPr>
          <w:rFonts w:ascii="黑体" w:hAnsi="黑体" w:eastAsia="黑体" w:cs="黑体"/>
          <w:sz w:val="27"/>
          <w:szCs w:val="27"/>
        </w:rPr>
      </w:pPr>
      <w:r>
        <w:rPr>
          <w:rFonts w:ascii="黑体" w:hAnsi="黑体" w:eastAsia="黑体" w:cs="黑体"/>
          <w:sz w:val="27"/>
          <w:szCs w:val="27"/>
        </w:rPr>
        <w:t>4.2.6</w:t>
      </w:r>
      <w:r>
        <w:rPr>
          <w:rFonts w:ascii="黑体" w:hAnsi="黑体" w:eastAsia="黑体" w:cs="黑体"/>
          <w:spacing w:val="19"/>
          <w:sz w:val="27"/>
          <w:szCs w:val="27"/>
        </w:rPr>
        <w:t xml:space="preserve">  </w:t>
      </w:r>
      <w:r>
        <w:rPr>
          <w:rFonts w:ascii="黑体" w:hAnsi="黑体" w:eastAsia="黑体" w:cs="黑体"/>
          <w:b/>
          <w:bCs/>
          <w:sz w:val="27"/>
          <w:szCs w:val="27"/>
        </w:rPr>
        <w:t>装运准备</w:t>
      </w:r>
    </w:p>
    <w:p w14:paraId="68B04B08">
      <w:pPr>
        <w:spacing w:before="97" w:line="219" w:lineRule="auto"/>
        <w:ind w:left="580"/>
        <w:rPr>
          <w:rFonts w:ascii="宋体" w:hAnsi="宋体" w:eastAsia="宋体" w:cs="宋体"/>
          <w:sz w:val="27"/>
          <w:szCs w:val="27"/>
        </w:rPr>
      </w:pPr>
      <w:r>
        <w:rPr>
          <w:rFonts w:ascii="宋体" w:hAnsi="宋体" w:eastAsia="宋体" w:cs="宋体"/>
          <w:spacing w:val="3"/>
          <w:sz w:val="27"/>
          <w:szCs w:val="27"/>
        </w:rPr>
        <w:t>规定产品进行工厂试验后的装运准备要求。</w:t>
      </w:r>
    </w:p>
    <w:p w14:paraId="063E40FF">
      <w:pPr>
        <w:spacing w:line="219" w:lineRule="auto"/>
        <w:rPr>
          <w:rFonts w:ascii="宋体" w:hAnsi="宋体" w:eastAsia="宋体" w:cs="宋体"/>
          <w:sz w:val="27"/>
          <w:szCs w:val="27"/>
        </w:rPr>
        <w:sectPr>
          <w:footerReference r:id="rId77" w:type="default"/>
          <w:pgSz w:w="11910" w:h="17130"/>
          <w:pgMar w:top="400" w:right="1165" w:bottom="1600" w:left="1579" w:header="0" w:footer="1314" w:gutter="0"/>
          <w:cols w:space="720" w:num="1"/>
        </w:sectPr>
      </w:pPr>
    </w:p>
    <w:p w14:paraId="1E4E2C44">
      <w:pPr>
        <w:pStyle w:val="2"/>
        <w:spacing w:line="283" w:lineRule="auto"/>
      </w:pPr>
    </w:p>
    <w:p w14:paraId="2CA8AF04">
      <w:pPr>
        <w:pStyle w:val="2"/>
        <w:spacing w:line="283" w:lineRule="auto"/>
      </w:pPr>
    </w:p>
    <w:p w14:paraId="4306D2B5">
      <w:pPr>
        <w:pStyle w:val="2"/>
        <w:spacing w:line="283" w:lineRule="auto"/>
      </w:pPr>
    </w:p>
    <w:p w14:paraId="6432AD2E">
      <w:pPr>
        <w:pStyle w:val="2"/>
        <w:spacing w:line="283" w:lineRule="auto"/>
      </w:pPr>
    </w:p>
    <w:p w14:paraId="747CD97E">
      <w:pPr>
        <w:pStyle w:val="2"/>
        <w:spacing w:line="283" w:lineRule="auto"/>
      </w:pPr>
    </w:p>
    <w:p w14:paraId="1C5382DB">
      <w:pPr>
        <w:spacing w:before="117" w:line="220" w:lineRule="auto"/>
        <w:ind w:left="2679"/>
        <w:outlineLvl w:val="1"/>
        <w:rPr>
          <w:rFonts w:ascii="宋体" w:hAnsi="宋体" w:eastAsia="宋体" w:cs="宋体"/>
          <w:sz w:val="36"/>
          <w:szCs w:val="36"/>
        </w:rPr>
      </w:pPr>
      <w:bookmarkStart w:id="42" w:name="bookmark328"/>
      <w:bookmarkEnd w:id="42"/>
      <w:bookmarkStart w:id="43" w:name="bookmark21"/>
      <w:bookmarkEnd w:id="43"/>
      <w:r>
        <w:rPr>
          <w:rFonts w:ascii="宋体" w:hAnsi="宋体" w:eastAsia="宋体" w:cs="宋体"/>
          <w:spacing w:val="-3"/>
          <w:sz w:val="36"/>
          <w:szCs w:val="36"/>
        </w:rPr>
        <w:t>1.</w:t>
      </w:r>
      <w:r>
        <w:rPr>
          <w:rFonts w:ascii="宋体" w:hAnsi="宋体" w:eastAsia="宋体" w:cs="宋体"/>
          <w:b/>
          <w:bCs/>
          <w:spacing w:val="-3"/>
          <w:sz w:val="36"/>
          <w:szCs w:val="36"/>
        </w:rPr>
        <w:t>19</w:t>
      </w:r>
      <w:r>
        <w:rPr>
          <w:rFonts w:ascii="宋体" w:hAnsi="宋体" w:eastAsia="宋体" w:cs="宋体"/>
          <w:spacing w:val="29"/>
          <w:sz w:val="36"/>
          <w:szCs w:val="36"/>
        </w:rPr>
        <w:t xml:space="preserve">  </w:t>
      </w:r>
      <w:r>
        <w:rPr>
          <w:rFonts w:ascii="宋体" w:hAnsi="宋体" w:eastAsia="宋体" w:cs="宋体"/>
          <w:b/>
          <w:bCs/>
          <w:spacing w:val="-3"/>
          <w:sz w:val="36"/>
          <w:szCs w:val="36"/>
        </w:rPr>
        <w:t>试验与评定总计划</w:t>
      </w:r>
    </w:p>
    <w:p w14:paraId="2D2E888B">
      <w:pPr>
        <w:pStyle w:val="2"/>
        <w:spacing w:line="351" w:lineRule="auto"/>
      </w:pPr>
    </w:p>
    <w:p w14:paraId="4A55F3D7">
      <w:pPr>
        <w:spacing w:before="91" w:line="223" w:lineRule="auto"/>
        <w:ind w:left="580"/>
        <w:rPr>
          <w:rFonts w:ascii="楷体" w:hAnsi="楷体" w:eastAsia="楷体" w:cs="楷体"/>
          <w:sz w:val="28"/>
          <w:szCs w:val="28"/>
        </w:rPr>
      </w:pPr>
      <w:r>
        <w:rPr>
          <w:rFonts w:ascii="楷体" w:hAnsi="楷体" w:eastAsia="楷体" w:cs="楷体"/>
          <w:spacing w:val="-17"/>
          <w:sz w:val="28"/>
          <w:szCs w:val="28"/>
        </w:rPr>
        <w:t>参考美国国防系统管理学院《系统工程管理指南》编写。</w:t>
      </w:r>
    </w:p>
    <w:p w14:paraId="4C238FAA">
      <w:pPr>
        <w:spacing w:before="91" w:line="221" w:lineRule="auto"/>
        <w:rPr>
          <w:rFonts w:ascii="黑体" w:hAnsi="黑体" w:eastAsia="黑体" w:cs="黑体"/>
          <w:sz w:val="24"/>
          <w:szCs w:val="24"/>
        </w:rPr>
      </w:pPr>
      <w:r>
        <w:rPr>
          <w:rFonts w:ascii="黑体" w:hAnsi="黑体" w:eastAsia="黑体" w:cs="黑体"/>
          <w:spacing w:val="20"/>
          <w:sz w:val="24"/>
          <w:szCs w:val="24"/>
        </w:rPr>
        <w:t>1</w:t>
      </w:r>
      <w:r>
        <w:rPr>
          <w:rFonts w:ascii="黑体" w:hAnsi="黑体" w:eastAsia="黑体" w:cs="黑体"/>
          <w:spacing w:val="49"/>
          <w:sz w:val="24"/>
          <w:szCs w:val="24"/>
        </w:rPr>
        <w:t xml:space="preserve">  </w:t>
      </w:r>
      <w:r>
        <w:rPr>
          <w:rFonts w:ascii="黑体" w:hAnsi="黑体" w:eastAsia="黑体" w:cs="黑体"/>
          <w:b/>
          <w:bCs/>
          <w:spacing w:val="20"/>
          <w:sz w:val="24"/>
          <w:szCs w:val="24"/>
        </w:rPr>
        <w:t>系统说明</w:t>
      </w:r>
    </w:p>
    <w:p w14:paraId="6A578616">
      <w:pPr>
        <w:spacing w:before="83" w:line="221" w:lineRule="auto"/>
        <w:rPr>
          <w:rFonts w:ascii="黑体" w:hAnsi="黑体" w:eastAsia="黑体" w:cs="黑体"/>
          <w:sz w:val="27"/>
          <w:szCs w:val="27"/>
        </w:rPr>
      </w:pPr>
      <w:r>
        <w:rPr>
          <w:rFonts w:ascii="黑体" w:hAnsi="黑体" w:eastAsia="黑体" w:cs="黑体"/>
          <w:spacing w:val="-7"/>
          <w:sz w:val="27"/>
          <w:szCs w:val="27"/>
        </w:rPr>
        <w:t>1.1</w:t>
      </w:r>
      <w:r>
        <w:rPr>
          <w:rFonts w:ascii="黑体" w:hAnsi="黑体" w:eastAsia="黑体" w:cs="黑体"/>
          <w:spacing w:val="24"/>
          <w:sz w:val="27"/>
          <w:szCs w:val="27"/>
        </w:rPr>
        <w:t xml:space="preserve">  </w:t>
      </w:r>
      <w:r>
        <w:rPr>
          <w:rFonts w:ascii="黑体" w:hAnsi="黑体" w:eastAsia="黑体" w:cs="黑体"/>
          <w:b/>
          <w:bCs/>
          <w:spacing w:val="-7"/>
          <w:sz w:val="27"/>
          <w:szCs w:val="27"/>
        </w:rPr>
        <w:t>任务描述</w:t>
      </w:r>
    </w:p>
    <w:p w14:paraId="51A37641">
      <w:pPr>
        <w:spacing w:before="92" w:line="279" w:lineRule="auto"/>
        <w:ind w:right="12" w:firstLine="580"/>
        <w:rPr>
          <w:rFonts w:ascii="宋体" w:hAnsi="宋体" w:eastAsia="宋体" w:cs="宋体"/>
          <w:sz w:val="27"/>
          <w:szCs w:val="27"/>
        </w:rPr>
      </w:pPr>
      <w:r>
        <w:rPr>
          <w:rFonts w:ascii="宋体" w:hAnsi="宋体" w:eastAsia="宋体" w:cs="宋体"/>
          <w:spacing w:val="6"/>
          <w:sz w:val="27"/>
          <w:szCs w:val="27"/>
        </w:rPr>
        <w:t>描述系统的任务。应与研制立项综合论证报告和</w:t>
      </w:r>
      <w:r>
        <w:rPr>
          <w:rFonts w:ascii="宋体" w:hAnsi="宋体" w:eastAsia="宋体" w:cs="宋体"/>
          <w:spacing w:val="5"/>
          <w:sz w:val="27"/>
          <w:szCs w:val="27"/>
        </w:rPr>
        <w:t>研制总要求中的内容基本</w:t>
      </w:r>
      <w:r>
        <w:rPr>
          <w:rFonts w:ascii="宋体" w:hAnsi="宋体" w:eastAsia="宋体" w:cs="宋体"/>
          <w:sz w:val="27"/>
          <w:szCs w:val="27"/>
        </w:rPr>
        <w:t xml:space="preserve"> </w:t>
      </w:r>
      <w:r>
        <w:rPr>
          <w:rFonts w:ascii="宋体" w:hAnsi="宋体" w:eastAsia="宋体" w:cs="宋体"/>
          <w:spacing w:val="2"/>
          <w:sz w:val="27"/>
          <w:szCs w:val="27"/>
        </w:rPr>
        <w:t>保持一致。</w:t>
      </w:r>
    </w:p>
    <w:p w14:paraId="0DC316A1">
      <w:pPr>
        <w:spacing w:line="221"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23"/>
          <w:sz w:val="27"/>
          <w:szCs w:val="27"/>
        </w:rPr>
        <w:t xml:space="preserve">  </w:t>
      </w:r>
      <w:r>
        <w:rPr>
          <w:rFonts w:ascii="黑体" w:hAnsi="黑体" w:eastAsia="黑体" w:cs="黑体"/>
          <w:b/>
          <w:bCs/>
          <w:spacing w:val="-7"/>
          <w:sz w:val="27"/>
          <w:szCs w:val="27"/>
        </w:rPr>
        <w:t>威胁评估</w:t>
      </w:r>
    </w:p>
    <w:p w14:paraId="18EB771A">
      <w:pPr>
        <w:spacing w:before="80" w:line="282" w:lineRule="auto"/>
        <w:ind w:right="15" w:firstLine="580"/>
        <w:rPr>
          <w:rFonts w:ascii="宋体" w:hAnsi="宋体" w:eastAsia="宋体" w:cs="宋体"/>
          <w:sz w:val="27"/>
          <w:szCs w:val="27"/>
        </w:rPr>
      </w:pPr>
      <w:r>
        <w:rPr>
          <w:rFonts w:ascii="宋体" w:hAnsi="宋体" w:eastAsia="宋体" w:cs="宋体"/>
          <w:spacing w:val="5"/>
          <w:sz w:val="27"/>
          <w:szCs w:val="27"/>
        </w:rPr>
        <w:t>描述系统面临的威胁，主要包括系统预期的作战环境、敌进攻武器性能特</w:t>
      </w:r>
      <w:r>
        <w:rPr>
          <w:rFonts w:ascii="宋体" w:hAnsi="宋体" w:eastAsia="宋体" w:cs="宋体"/>
          <w:spacing w:val="18"/>
          <w:sz w:val="27"/>
          <w:szCs w:val="27"/>
        </w:rPr>
        <w:t xml:space="preserve"> </w:t>
      </w:r>
      <w:r>
        <w:rPr>
          <w:rFonts w:ascii="宋体" w:hAnsi="宋体" w:eastAsia="宋体" w:cs="宋体"/>
          <w:spacing w:val="-2"/>
          <w:sz w:val="27"/>
          <w:szCs w:val="27"/>
        </w:rPr>
        <w:t>点等。</w:t>
      </w:r>
    </w:p>
    <w:p w14:paraId="26E9DCB2">
      <w:pPr>
        <w:spacing w:before="1" w:line="220" w:lineRule="auto"/>
        <w:rPr>
          <w:rFonts w:ascii="黑体" w:hAnsi="黑体" w:eastAsia="黑体" w:cs="黑体"/>
          <w:sz w:val="27"/>
          <w:szCs w:val="27"/>
        </w:rPr>
      </w:pPr>
      <w:r>
        <w:rPr>
          <w:rFonts w:ascii="黑体" w:hAnsi="黑体" w:eastAsia="黑体" w:cs="黑体"/>
          <w:sz w:val="27"/>
          <w:szCs w:val="27"/>
        </w:rPr>
        <w:t>1.3</w:t>
      </w:r>
      <w:r>
        <w:rPr>
          <w:rFonts w:ascii="黑体" w:hAnsi="黑体" w:eastAsia="黑体" w:cs="黑体"/>
          <w:spacing w:val="22"/>
          <w:sz w:val="27"/>
          <w:szCs w:val="27"/>
        </w:rPr>
        <w:t xml:space="preserve">  </w:t>
      </w:r>
      <w:r>
        <w:rPr>
          <w:rFonts w:ascii="黑体" w:hAnsi="黑体" w:eastAsia="黑体" w:cs="黑体"/>
          <w:b/>
          <w:bCs/>
          <w:sz w:val="27"/>
          <w:szCs w:val="27"/>
        </w:rPr>
        <w:t>效能测量</w:t>
      </w:r>
    </w:p>
    <w:p w14:paraId="0A248BC6">
      <w:pPr>
        <w:spacing w:before="102" w:line="267" w:lineRule="auto"/>
        <w:ind w:right="13" w:firstLine="580"/>
        <w:rPr>
          <w:rFonts w:ascii="宋体" w:hAnsi="宋体" w:eastAsia="宋体" w:cs="宋体"/>
          <w:sz w:val="27"/>
          <w:szCs w:val="27"/>
        </w:rPr>
      </w:pPr>
      <w:r>
        <w:rPr>
          <w:rFonts w:ascii="宋体" w:hAnsi="宋体" w:eastAsia="宋体" w:cs="宋体"/>
          <w:spacing w:val="-3"/>
          <w:sz w:val="27"/>
          <w:szCs w:val="27"/>
        </w:rPr>
        <w:t>根据装备的主要性能指标、作战使用方式、打击目标特性和可能的对抗情况</w:t>
      </w:r>
      <w:r>
        <w:rPr>
          <w:rFonts w:ascii="宋体" w:hAnsi="宋体" w:eastAsia="宋体" w:cs="宋体"/>
          <w:spacing w:val="9"/>
          <w:sz w:val="27"/>
          <w:szCs w:val="27"/>
        </w:rPr>
        <w:t xml:space="preserve"> </w:t>
      </w:r>
      <w:r>
        <w:rPr>
          <w:rFonts w:ascii="宋体" w:hAnsi="宋体" w:eastAsia="宋体" w:cs="宋体"/>
          <w:spacing w:val="-3"/>
          <w:sz w:val="27"/>
          <w:szCs w:val="27"/>
        </w:rPr>
        <w:t>等建立效能评估指标体系，提出效能测量要求。</w:t>
      </w:r>
    </w:p>
    <w:p w14:paraId="67BEBCD2">
      <w:pPr>
        <w:spacing w:before="18" w:line="273" w:lineRule="auto"/>
        <w:ind w:right="11" w:firstLine="580"/>
        <w:rPr>
          <w:rFonts w:ascii="宋体" w:hAnsi="宋体" w:eastAsia="宋体" w:cs="宋体"/>
          <w:sz w:val="27"/>
          <w:szCs w:val="27"/>
        </w:rPr>
      </w:pPr>
      <w:r>
        <w:rPr>
          <w:rFonts w:ascii="宋体" w:hAnsi="宋体" w:eastAsia="宋体" w:cs="宋体"/>
          <w:spacing w:val="-3"/>
          <w:sz w:val="27"/>
          <w:szCs w:val="27"/>
        </w:rPr>
        <w:t>效能是指系统在全面考虑操作人员编制、原则和技术、生存力、易损性和威</w:t>
      </w:r>
      <w:r>
        <w:rPr>
          <w:rFonts w:ascii="宋体" w:hAnsi="宋体" w:eastAsia="宋体" w:cs="宋体"/>
          <w:spacing w:val="11"/>
          <w:sz w:val="27"/>
          <w:szCs w:val="27"/>
        </w:rPr>
        <w:t xml:space="preserve"> </w:t>
      </w:r>
      <w:r>
        <w:rPr>
          <w:rFonts w:ascii="宋体" w:hAnsi="宋体" w:eastAsia="宋体" w:cs="宋体"/>
          <w:spacing w:val="5"/>
          <w:sz w:val="27"/>
          <w:szCs w:val="27"/>
        </w:rPr>
        <w:t>胁特性等作战使用环境的情况下成功完成任</w:t>
      </w:r>
      <w:r>
        <w:rPr>
          <w:rFonts w:ascii="宋体" w:hAnsi="宋体" w:eastAsia="宋体" w:cs="宋体"/>
          <w:spacing w:val="4"/>
          <w:sz w:val="27"/>
          <w:szCs w:val="27"/>
        </w:rPr>
        <w:t>务能力的大小。</w:t>
      </w:r>
    </w:p>
    <w:p w14:paraId="66F610E0">
      <w:pPr>
        <w:spacing w:line="223" w:lineRule="auto"/>
        <w:rPr>
          <w:rFonts w:ascii="黑体" w:hAnsi="黑体" w:eastAsia="黑体" w:cs="黑体"/>
          <w:sz w:val="27"/>
          <w:szCs w:val="27"/>
        </w:rPr>
      </w:pPr>
      <w:r>
        <w:rPr>
          <w:rFonts w:ascii="黑体" w:hAnsi="黑体" w:eastAsia="黑体" w:cs="黑体"/>
          <w:spacing w:val="-2"/>
          <w:sz w:val="27"/>
          <w:szCs w:val="27"/>
        </w:rPr>
        <w:t>1.4</w:t>
      </w:r>
      <w:r>
        <w:rPr>
          <w:rFonts w:ascii="黑体" w:hAnsi="黑体" w:eastAsia="黑体" w:cs="黑体"/>
          <w:spacing w:val="24"/>
          <w:sz w:val="27"/>
          <w:szCs w:val="27"/>
        </w:rPr>
        <w:t xml:space="preserve">  </w:t>
      </w:r>
      <w:r>
        <w:rPr>
          <w:rFonts w:ascii="黑体" w:hAnsi="黑体" w:eastAsia="黑体" w:cs="黑体"/>
          <w:b/>
          <w:bCs/>
          <w:spacing w:val="-2"/>
          <w:sz w:val="27"/>
          <w:szCs w:val="27"/>
        </w:rPr>
        <w:t>适用性测量</w:t>
      </w:r>
    </w:p>
    <w:p w14:paraId="3ABC7825">
      <w:pPr>
        <w:spacing w:before="95" w:line="218" w:lineRule="auto"/>
        <w:ind w:left="580"/>
        <w:rPr>
          <w:rFonts w:ascii="宋体" w:hAnsi="宋体" w:eastAsia="宋体" w:cs="宋体"/>
          <w:sz w:val="27"/>
          <w:szCs w:val="27"/>
        </w:rPr>
      </w:pPr>
      <w:r>
        <w:rPr>
          <w:rFonts w:ascii="宋体" w:hAnsi="宋体" w:eastAsia="宋体" w:cs="宋体"/>
          <w:spacing w:val="-2"/>
          <w:sz w:val="27"/>
          <w:szCs w:val="27"/>
        </w:rPr>
        <w:t>本节说明适用性评估指标体系，提出适用性测量要</w:t>
      </w:r>
      <w:r>
        <w:rPr>
          <w:rFonts w:ascii="宋体" w:hAnsi="宋体" w:eastAsia="宋体" w:cs="宋体"/>
          <w:spacing w:val="-3"/>
          <w:sz w:val="27"/>
          <w:szCs w:val="27"/>
        </w:rPr>
        <w:t>求。</w:t>
      </w:r>
    </w:p>
    <w:p w14:paraId="75380987">
      <w:pPr>
        <w:spacing w:before="91" w:line="275" w:lineRule="auto"/>
        <w:ind w:firstLine="580"/>
        <w:rPr>
          <w:rFonts w:ascii="宋体" w:hAnsi="宋体" w:eastAsia="宋体" w:cs="宋体"/>
          <w:sz w:val="27"/>
          <w:szCs w:val="27"/>
        </w:rPr>
      </w:pPr>
      <w:r>
        <w:rPr>
          <w:rFonts w:ascii="宋体" w:hAnsi="宋体" w:eastAsia="宋体" w:cs="宋体"/>
          <w:spacing w:val="6"/>
          <w:sz w:val="27"/>
          <w:szCs w:val="27"/>
        </w:rPr>
        <w:t>适用性测量是指判断系统与作战使用环境充分结合的程度。适用性是指系</w:t>
      </w:r>
      <w:r>
        <w:rPr>
          <w:rFonts w:ascii="宋体" w:hAnsi="宋体" w:eastAsia="宋体" w:cs="宋体"/>
          <w:spacing w:val="2"/>
          <w:sz w:val="27"/>
          <w:szCs w:val="27"/>
        </w:rPr>
        <w:t xml:space="preserve"> </w:t>
      </w:r>
      <w:r>
        <w:rPr>
          <w:rFonts w:ascii="宋体" w:hAnsi="宋体" w:eastAsia="宋体" w:cs="宋体"/>
          <w:spacing w:val="-24"/>
          <w:sz w:val="27"/>
          <w:szCs w:val="27"/>
        </w:rPr>
        <w:t>统在考虑可用性、兼容性、运输性、互操作性、可靠性、利用率、维修性、安全性、人</w:t>
      </w:r>
      <w:r>
        <w:rPr>
          <w:rFonts w:ascii="宋体" w:hAnsi="宋体" w:eastAsia="宋体" w:cs="宋体"/>
          <w:spacing w:val="1"/>
          <w:sz w:val="27"/>
          <w:szCs w:val="27"/>
        </w:rPr>
        <w:t xml:space="preserve"> </w:t>
      </w:r>
      <w:r>
        <w:rPr>
          <w:rFonts w:ascii="宋体" w:hAnsi="宋体" w:eastAsia="宋体" w:cs="宋体"/>
          <w:spacing w:val="-10"/>
          <w:sz w:val="27"/>
          <w:szCs w:val="27"/>
        </w:rPr>
        <w:t>的因素、文件、训练、人力、保障性、后勤和环境的影响等因素的情</w:t>
      </w:r>
      <w:r>
        <w:rPr>
          <w:rFonts w:ascii="宋体" w:hAnsi="宋体" w:eastAsia="宋体" w:cs="宋体"/>
          <w:spacing w:val="-11"/>
          <w:sz w:val="27"/>
          <w:szCs w:val="27"/>
        </w:rPr>
        <w:t>况下投入作战</w:t>
      </w:r>
      <w:r>
        <w:rPr>
          <w:rFonts w:ascii="宋体" w:hAnsi="宋体" w:eastAsia="宋体" w:cs="宋体"/>
          <w:sz w:val="27"/>
          <w:szCs w:val="27"/>
        </w:rPr>
        <w:t xml:space="preserve"> </w:t>
      </w:r>
      <w:r>
        <w:rPr>
          <w:rFonts w:ascii="宋体" w:hAnsi="宋体" w:eastAsia="宋体" w:cs="宋体"/>
          <w:spacing w:val="1"/>
          <w:sz w:val="27"/>
          <w:szCs w:val="27"/>
        </w:rPr>
        <w:t>使用的满意程度。</w:t>
      </w:r>
    </w:p>
    <w:p w14:paraId="76A0890C">
      <w:pPr>
        <w:spacing w:before="8" w:line="221" w:lineRule="auto"/>
        <w:rPr>
          <w:rFonts w:ascii="黑体" w:hAnsi="黑体" w:eastAsia="黑体" w:cs="黑体"/>
          <w:sz w:val="27"/>
          <w:szCs w:val="27"/>
        </w:rPr>
      </w:pPr>
      <w:r>
        <w:rPr>
          <w:rFonts w:ascii="黑体" w:hAnsi="黑体" w:eastAsia="黑体" w:cs="黑体"/>
          <w:spacing w:val="-7"/>
          <w:sz w:val="27"/>
          <w:szCs w:val="27"/>
        </w:rPr>
        <w:t>1.5</w:t>
      </w:r>
      <w:r>
        <w:rPr>
          <w:rFonts w:ascii="黑体" w:hAnsi="黑体" w:eastAsia="黑体" w:cs="黑体"/>
          <w:spacing w:val="21"/>
          <w:sz w:val="27"/>
          <w:szCs w:val="27"/>
        </w:rPr>
        <w:t xml:space="preserve">  </w:t>
      </w:r>
      <w:r>
        <w:rPr>
          <w:rFonts w:ascii="黑体" w:hAnsi="黑体" w:eastAsia="黑体" w:cs="黑体"/>
          <w:b/>
          <w:bCs/>
          <w:spacing w:val="-7"/>
          <w:sz w:val="27"/>
          <w:szCs w:val="27"/>
        </w:rPr>
        <w:t>系统描述</w:t>
      </w:r>
    </w:p>
    <w:p w14:paraId="109FE302">
      <w:pPr>
        <w:spacing w:before="82" w:line="286" w:lineRule="auto"/>
        <w:ind w:right="8" w:firstLine="580"/>
        <w:rPr>
          <w:rFonts w:ascii="宋体" w:hAnsi="宋体" w:eastAsia="宋体" w:cs="宋体"/>
          <w:sz w:val="27"/>
          <w:szCs w:val="27"/>
        </w:rPr>
      </w:pPr>
      <w:r>
        <w:rPr>
          <w:rFonts w:ascii="宋体" w:hAnsi="宋体" w:eastAsia="宋体" w:cs="宋体"/>
          <w:spacing w:val="-3"/>
          <w:sz w:val="27"/>
          <w:szCs w:val="27"/>
        </w:rPr>
        <w:t>简要描述系统预期提供的新的或改进的能力，说明关键功能，系统内部和外</w:t>
      </w:r>
      <w:r>
        <w:rPr>
          <w:rFonts w:ascii="宋体" w:hAnsi="宋体" w:eastAsia="宋体" w:cs="宋体"/>
          <w:spacing w:val="14"/>
          <w:sz w:val="27"/>
          <w:szCs w:val="27"/>
        </w:rPr>
        <w:t xml:space="preserve"> </w:t>
      </w:r>
      <w:r>
        <w:rPr>
          <w:rFonts w:ascii="宋体" w:hAnsi="宋体" w:eastAsia="宋体" w:cs="宋体"/>
          <w:spacing w:val="2"/>
          <w:sz w:val="27"/>
          <w:szCs w:val="27"/>
        </w:rPr>
        <w:t>部接口及系统特点。</w:t>
      </w:r>
    </w:p>
    <w:p w14:paraId="656A2E76">
      <w:pPr>
        <w:spacing w:line="222" w:lineRule="auto"/>
        <w:rPr>
          <w:rFonts w:ascii="黑体" w:hAnsi="黑体" w:eastAsia="黑体" w:cs="黑体"/>
          <w:sz w:val="27"/>
          <w:szCs w:val="27"/>
        </w:rPr>
      </w:pPr>
      <w:r>
        <w:rPr>
          <w:rFonts w:ascii="黑体" w:hAnsi="黑体" w:eastAsia="黑体" w:cs="黑体"/>
          <w:spacing w:val="-3"/>
          <w:sz w:val="27"/>
          <w:szCs w:val="27"/>
        </w:rPr>
        <w:t>1.6</w:t>
      </w:r>
      <w:r>
        <w:rPr>
          <w:rFonts w:ascii="黑体" w:hAnsi="黑体" w:eastAsia="黑体" w:cs="黑体"/>
          <w:spacing w:val="23"/>
          <w:sz w:val="27"/>
          <w:szCs w:val="27"/>
        </w:rPr>
        <w:t xml:space="preserve">  </w:t>
      </w:r>
      <w:r>
        <w:rPr>
          <w:rFonts w:ascii="黑体" w:hAnsi="黑体" w:eastAsia="黑体" w:cs="黑体"/>
          <w:b/>
          <w:bCs/>
          <w:spacing w:val="-3"/>
          <w:sz w:val="27"/>
          <w:szCs w:val="27"/>
        </w:rPr>
        <w:t>关键性能参数</w:t>
      </w:r>
    </w:p>
    <w:p w14:paraId="3B903D30">
      <w:pPr>
        <w:spacing w:before="88" w:line="272" w:lineRule="auto"/>
        <w:ind w:right="12" w:firstLine="580"/>
        <w:rPr>
          <w:rFonts w:ascii="宋体" w:hAnsi="宋体" w:eastAsia="宋体" w:cs="宋体"/>
          <w:sz w:val="27"/>
          <w:szCs w:val="27"/>
        </w:rPr>
      </w:pPr>
      <w:r>
        <w:rPr>
          <w:rFonts w:ascii="宋体" w:hAnsi="宋体" w:eastAsia="宋体" w:cs="宋体"/>
          <w:spacing w:val="-3"/>
          <w:sz w:val="27"/>
          <w:szCs w:val="27"/>
        </w:rPr>
        <w:t>说明产品的关键性能参数，即必须由设计实现的性能特征，包括使用和技术</w:t>
      </w:r>
      <w:r>
        <w:rPr>
          <w:rFonts w:ascii="宋体" w:hAnsi="宋体" w:eastAsia="宋体" w:cs="宋体"/>
          <w:spacing w:val="10"/>
          <w:sz w:val="27"/>
          <w:szCs w:val="27"/>
        </w:rPr>
        <w:t xml:space="preserve"> </w:t>
      </w:r>
      <w:r>
        <w:rPr>
          <w:rFonts w:ascii="宋体" w:hAnsi="宋体" w:eastAsia="宋体" w:cs="宋体"/>
          <w:spacing w:val="3"/>
          <w:sz w:val="27"/>
          <w:szCs w:val="27"/>
        </w:rPr>
        <w:t>指标及其门限值的说明。</w:t>
      </w:r>
    </w:p>
    <w:p w14:paraId="6A1211BE">
      <w:pPr>
        <w:spacing w:before="1" w:line="220"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28"/>
          <w:sz w:val="27"/>
          <w:szCs w:val="27"/>
        </w:rPr>
        <w:t xml:space="preserve">  </w:t>
      </w:r>
      <w:r>
        <w:rPr>
          <w:rFonts w:ascii="黑体" w:hAnsi="黑体" w:eastAsia="黑体" w:cs="黑体"/>
          <w:b/>
          <w:bCs/>
          <w:sz w:val="27"/>
          <w:szCs w:val="27"/>
        </w:rPr>
        <w:t>综合试验工作提要</w:t>
      </w:r>
    </w:p>
    <w:p w14:paraId="7E94EEA8">
      <w:pPr>
        <w:spacing w:before="97" w:line="221" w:lineRule="auto"/>
        <w:rPr>
          <w:rFonts w:ascii="黑体" w:hAnsi="黑体" w:eastAsia="黑体" w:cs="黑体"/>
          <w:sz w:val="27"/>
          <w:szCs w:val="27"/>
        </w:rPr>
      </w:pPr>
      <w:r>
        <w:rPr>
          <w:rFonts w:ascii="黑体" w:hAnsi="黑体" w:eastAsia="黑体" w:cs="黑体"/>
          <w:spacing w:val="1"/>
          <w:sz w:val="27"/>
          <w:szCs w:val="27"/>
        </w:rPr>
        <w:t>2.1</w:t>
      </w:r>
      <w:r>
        <w:rPr>
          <w:rFonts w:ascii="黑体" w:hAnsi="黑体" w:eastAsia="黑体" w:cs="黑体"/>
          <w:spacing w:val="16"/>
          <w:sz w:val="27"/>
          <w:szCs w:val="27"/>
        </w:rPr>
        <w:t xml:space="preserve">  </w:t>
      </w:r>
      <w:r>
        <w:rPr>
          <w:rFonts w:ascii="黑体" w:hAnsi="黑体" w:eastAsia="黑体" w:cs="黑体"/>
          <w:b/>
          <w:bCs/>
          <w:spacing w:val="1"/>
          <w:sz w:val="27"/>
          <w:szCs w:val="27"/>
        </w:rPr>
        <w:t>试验管理过程</w:t>
      </w:r>
    </w:p>
    <w:p w14:paraId="3A78899E">
      <w:pPr>
        <w:spacing w:before="124" w:line="272" w:lineRule="auto"/>
        <w:ind w:right="9" w:firstLine="580"/>
        <w:jc w:val="both"/>
        <w:rPr>
          <w:rFonts w:ascii="宋体" w:hAnsi="宋体" w:eastAsia="宋体" w:cs="宋体"/>
          <w:sz w:val="27"/>
          <w:szCs w:val="27"/>
        </w:rPr>
      </w:pPr>
      <w:r>
        <w:rPr>
          <w:rFonts w:ascii="宋体" w:hAnsi="宋体" w:eastAsia="宋体" w:cs="宋体"/>
          <w:spacing w:val="-11"/>
          <w:sz w:val="27"/>
          <w:szCs w:val="27"/>
        </w:rPr>
        <w:t>进行试验与评定管理，保证及时、有效、全面和完整地进行试验，并将试验结</w:t>
      </w:r>
      <w:r>
        <w:rPr>
          <w:rFonts w:ascii="宋体" w:hAnsi="宋体" w:eastAsia="宋体" w:cs="宋体"/>
          <w:spacing w:val="18"/>
          <w:sz w:val="27"/>
          <w:szCs w:val="27"/>
        </w:rPr>
        <w:t xml:space="preserve"> </w:t>
      </w:r>
      <w:r>
        <w:rPr>
          <w:rFonts w:ascii="宋体" w:hAnsi="宋体" w:eastAsia="宋体" w:cs="宋体"/>
          <w:spacing w:val="-3"/>
          <w:sz w:val="27"/>
          <w:szCs w:val="27"/>
        </w:rPr>
        <w:t>果用于产品改进。本节说明试验与评定策略，明确试验与评定的责任机构，确定</w:t>
      </w:r>
      <w:r>
        <w:rPr>
          <w:rFonts w:ascii="宋体" w:hAnsi="宋体" w:eastAsia="宋体" w:cs="宋体"/>
          <w:spacing w:val="11"/>
          <w:sz w:val="27"/>
          <w:szCs w:val="27"/>
        </w:rPr>
        <w:t xml:space="preserve"> </w:t>
      </w:r>
      <w:r>
        <w:rPr>
          <w:rFonts w:ascii="宋体" w:hAnsi="宋体" w:eastAsia="宋体" w:cs="宋体"/>
          <w:spacing w:val="-3"/>
          <w:sz w:val="27"/>
          <w:szCs w:val="27"/>
        </w:rPr>
        <w:t>保障试验与评定所需要生产件的数量，考虑可能影响试验与评定工作的进度、预</w:t>
      </w:r>
      <w:r>
        <w:rPr>
          <w:rFonts w:ascii="宋体" w:hAnsi="宋体" w:eastAsia="宋体" w:cs="宋体"/>
          <w:spacing w:val="5"/>
          <w:sz w:val="27"/>
          <w:szCs w:val="27"/>
        </w:rPr>
        <w:t xml:space="preserve"> </w:t>
      </w:r>
      <w:r>
        <w:rPr>
          <w:rFonts w:ascii="宋体" w:hAnsi="宋体" w:eastAsia="宋体" w:cs="宋体"/>
          <w:spacing w:val="2"/>
          <w:sz w:val="27"/>
          <w:szCs w:val="27"/>
        </w:rPr>
        <w:t>算或其他资源方面的约束。</w:t>
      </w:r>
    </w:p>
    <w:p w14:paraId="03BBD122">
      <w:pPr>
        <w:spacing w:line="272" w:lineRule="auto"/>
        <w:rPr>
          <w:rFonts w:ascii="宋体" w:hAnsi="宋体" w:eastAsia="宋体" w:cs="宋体"/>
          <w:sz w:val="27"/>
          <w:szCs w:val="27"/>
        </w:rPr>
        <w:sectPr>
          <w:footerReference r:id="rId78" w:type="default"/>
          <w:pgSz w:w="11910" w:h="17130"/>
          <w:pgMar w:top="400" w:right="1474" w:bottom="1603" w:left="1019" w:header="0" w:footer="1405" w:gutter="0"/>
          <w:cols w:space="720" w:num="1"/>
        </w:sectPr>
      </w:pPr>
    </w:p>
    <w:p w14:paraId="3433C78A">
      <w:pPr>
        <w:pStyle w:val="2"/>
        <w:spacing w:line="277" w:lineRule="auto"/>
      </w:pPr>
    </w:p>
    <w:p w14:paraId="16EB2F12">
      <w:pPr>
        <w:pStyle w:val="2"/>
        <w:spacing w:line="277" w:lineRule="auto"/>
      </w:pPr>
    </w:p>
    <w:p w14:paraId="65D7DAC6">
      <w:pPr>
        <w:pStyle w:val="2"/>
        <w:spacing w:line="277" w:lineRule="auto"/>
      </w:pPr>
    </w:p>
    <w:p w14:paraId="75E42E68">
      <w:pPr>
        <w:pStyle w:val="2"/>
        <w:spacing w:line="278" w:lineRule="auto"/>
      </w:pPr>
    </w:p>
    <w:p w14:paraId="43D037BF">
      <w:pPr>
        <w:spacing w:before="78" w:line="221" w:lineRule="auto"/>
        <w:rPr>
          <w:rFonts w:ascii="黑体" w:hAnsi="黑体" w:eastAsia="黑体" w:cs="黑体"/>
          <w:sz w:val="24"/>
          <w:szCs w:val="24"/>
        </w:rPr>
      </w:pPr>
      <w:bookmarkStart w:id="44" w:name="bookmark329"/>
      <w:bookmarkEnd w:id="44"/>
      <w:r>
        <w:rPr>
          <w:rFonts w:ascii="黑体" w:hAnsi="黑体" w:eastAsia="黑体" w:cs="黑体"/>
          <w:spacing w:val="23"/>
          <w:sz w:val="24"/>
          <w:szCs w:val="24"/>
        </w:rPr>
        <w:t>2.2</w:t>
      </w:r>
      <w:r>
        <w:rPr>
          <w:rFonts w:ascii="黑体" w:hAnsi="黑体" w:eastAsia="黑体" w:cs="黑体"/>
          <w:spacing w:val="50"/>
          <w:sz w:val="24"/>
          <w:szCs w:val="24"/>
        </w:rPr>
        <w:t xml:space="preserve">  </w:t>
      </w:r>
      <w:r>
        <w:rPr>
          <w:rFonts w:ascii="黑体" w:hAnsi="黑体" w:eastAsia="黑体" w:cs="黑体"/>
          <w:b/>
          <w:bCs/>
          <w:spacing w:val="23"/>
          <w:sz w:val="24"/>
          <w:szCs w:val="24"/>
        </w:rPr>
        <w:t>综合试验工作进度安排</w:t>
      </w:r>
    </w:p>
    <w:p w14:paraId="7E534D10">
      <w:pPr>
        <w:spacing w:before="69" w:line="279" w:lineRule="auto"/>
        <w:ind w:right="124" w:firstLine="580"/>
        <w:jc w:val="both"/>
        <w:rPr>
          <w:rFonts w:ascii="宋体" w:hAnsi="宋体" w:eastAsia="宋体" w:cs="宋体"/>
          <w:sz w:val="27"/>
          <w:szCs w:val="27"/>
        </w:rPr>
      </w:pPr>
      <w:r>
        <w:rPr>
          <w:rFonts w:ascii="宋体" w:hAnsi="宋体" w:eastAsia="宋体" w:cs="宋体"/>
          <w:spacing w:val="6"/>
          <w:sz w:val="27"/>
          <w:szCs w:val="27"/>
        </w:rPr>
        <w:t>可以用列表的方式，提供主要的研制试验和</w:t>
      </w:r>
      <w:r>
        <w:rPr>
          <w:rFonts w:ascii="宋体" w:hAnsi="宋体" w:eastAsia="宋体" w:cs="宋体"/>
          <w:spacing w:val="5"/>
          <w:sz w:val="27"/>
          <w:szCs w:val="27"/>
        </w:rPr>
        <w:t>使用试验的周期以及它们与决</w:t>
      </w:r>
      <w:r>
        <w:rPr>
          <w:rFonts w:ascii="宋体" w:hAnsi="宋体" w:eastAsia="宋体" w:cs="宋体"/>
          <w:sz w:val="27"/>
          <w:szCs w:val="27"/>
        </w:rPr>
        <w:t xml:space="preserve"> </w:t>
      </w:r>
      <w:r>
        <w:rPr>
          <w:rFonts w:ascii="宋体" w:hAnsi="宋体" w:eastAsia="宋体" w:cs="宋体"/>
          <w:spacing w:val="6"/>
          <w:sz w:val="27"/>
          <w:szCs w:val="27"/>
        </w:rPr>
        <w:t>策里程碑、试验件可用性和产品交付的关系。</w:t>
      </w:r>
      <w:r>
        <w:rPr>
          <w:rFonts w:ascii="宋体" w:hAnsi="宋体" w:eastAsia="宋体" w:cs="宋体"/>
          <w:spacing w:val="5"/>
          <w:sz w:val="27"/>
          <w:szCs w:val="27"/>
        </w:rPr>
        <w:t>进度应反映配以合适时间安排的</w:t>
      </w:r>
      <w:r>
        <w:rPr>
          <w:rFonts w:ascii="宋体" w:hAnsi="宋体" w:eastAsia="宋体" w:cs="宋体"/>
          <w:sz w:val="27"/>
          <w:szCs w:val="27"/>
        </w:rPr>
        <w:t xml:space="preserve"> </w:t>
      </w:r>
      <w:r>
        <w:rPr>
          <w:rFonts w:ascii="宋体" w:hAnsi="宋体" w:eastAsia="宋体" w:cs="宋体"/>
          <w:spacing w:val="-1"/>
          <w:sz w:val="27"/>
          <w:szCs w:val="27"/>
        </w:rPr>
        <w:t>事件的实际顺序，以便能够编写文件并有必要的审查周期。</w:t>
      </w:r>
    </w:p>
    <w:p w14:paraId="48132289">
      <w:pPr>
        <w:spacing w:before="1" w:line="220"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22"/>
          <w:sz w:val="27"/>
          <w:szCs w:val="27"/>
        </w:rPr>
        <w:t xml:space="preserve">  </w:t>
      </w:r>
      <w:r>
        <w:rPr>
          <w:rFonts w:ascii="黑体" w:hAnsi="黑体" w:eastAsia="黑体" w:cs="黑体"/>
          <w:b/>
          <w:bCs/>
          <w:sz w:val="27"/>
          <w:szCs w:val="27"/>
        </w:rPr>
        <w:t>研制试验与评定概述</w:t>
      </w:r>
    </w:p>
    <w:p w14:paraId="57CECCBE">
      <w:pPr>
        <w:spacing w:before="86" w:line="221" w:lineRule="auto"/>
        <w:rPr>
          <w:rFonts w:ascii="黑体" w:hAnsi="黑体" w:eastAsia="黑体" w:cs="黑体"/>
          <w:sz w:val="27"/>
          <w:szCs w:val="27"/>
        </w:rPr>
      </w:pPr>
      <w:r>
        <w:rPr>
          <w:rFonts w:ascii="黑体" w:hAnsi="黑体" w:eastAsia="黑体" w:cs="黑体"/>
          <w:spacing w:val="-1"/>
          <w:sz w:val="27"/>
          <w:szCs w:val="27"/>
        </w:rPr>
        <w:t>3.1</w:t>
      </w:r>
      <w:r>
        <w:rPr>
          <w:rFonts w:ascii="黑体" w:hAnsi="黑体" w:eastAsia="黑体" w:cs="黑体"/>
          <w:spacing w:val="26"/>
          <w:sz w:val="27"/>
          <w:szCs w:val="27"/>
        </w:rPr>
        <w:t xml:space="preserve">  </w:t>
      </w:r>
      <w:r>
        <w:rPr>
          <w:rFonts w:ascii="黑体" w:hAnsi="黑体" w:eastAsia="黑体" w:cs="黑体"/>
          <w:b/>
          <w:bCs/>
          <w:spacing w:val="-1"/>
          <w:sz w:val="27"/>
          <w:szCs w:val="27"/>
        </w:rPr>
        <w:t>研制试验与评定工作概述</w:t>
      </w:r>
    </w:p>
    <w:p w14:paraId="4B2F161B">
      <w:pPr>
        <w:spacing w:before="83" w:line="219" w:lineRule="auto"/>
        <w:ind w:left="580"/>
        <w:rPr>
          <w:rFonts w:ascii="宋体" w:hAnsi="宋体" w:eastAsia="宋体" w:cs="宋体"/>
          <w:sz w:val="27"/>
          <w:szCs w:val="27"/>
        </w:rPr>
      </w:pPr>
      <w:r>
        <w:rPr>
          <w:rFonts w:ascii="宋体" w:hAnsi="宋体" w:eastAsia="宋体" w:cs="宋体"/>
          <w:spacing w:val="4"/>
          <w:sz w:val="27"/>
          <w:szCs w:val="27"/>
        </w:rPr>
        <w:t>研制试验与评定的主要任务是确认技术是否满足研制总要求。</w:t>
      </w:r>
    </w:p>
    <w:p w14:paraId="137B4DCF">
      <w:pPr>
        <w:spacing w:before="87" w:line="278" w:lineRule="auto"/>
        <w:ind w:firstLine="580"/>
        <w:rPr>
          <w:rFonts w:ascii="宋体" w:hAnsi="宋体" w:eastAsia="宋体" w:cs="宋体"/>
          <w:sz w:val="27"/>
          <w:szCs w:val="27"/>
        </w:rPr>
      </w:pPr>
      <w:r>
        <w:rPr>
          <w:rFonts w:ascii="宋体" w:hAnsi="宋体" w:eastAsia="宋体" w:cs="宋体"/>
          <w:spacing w:val="1"/>
          <w:sz w:val="27"/>
          <w:szCs w:val="27"/>
        </w:rPr>
        <w:t xml:space="preserve">本节应包括每个主要研制试验周期的说明，简要叙述受试产品的技术状态、 </w:t>
      </w:r>
      <w:r>
        <w:rPr>
          <w:rFonts w:ascii="宋体" w:hAnsi="宋体" w:eastAsia="宋体" w:cs="宋体"/>
          <w:spacing w:val="6"/>
          <w:sz w:val="27"/>
          <w:szCs w:val="27"/>
        </w:rPr>
        <w:t>试验周期的目标和试验范围。为了简便起见，可</w:t>
      </w:r>
      <w:r>
        <w:rPr>
          <w:rFonts w:ascii="宋体" w:hAnsi="宋体" w:eastAsia="宋体" w:cs="宋体"/>
          <w:spacing w:val="5"/>
          <w:sz w:val="27"/>
          <w:szCs w:val="27"/>
        </w:rPr>
        <w:t>以结合说明一些过去的试验与</w:t>
      </w:r>
      <w:r>
        <w:rPr>
          <w:rFonts w:ascii="宋体" w:hAnsi="宋体" w:eastAsia="宋体" w:cs="宋体"/>
          <w:sz w:val="27"/>
          <w:szCs w:val="27"/>
        </w:rPr>
        <w:t xml:space="preserve">  </w:t>
      </w:r>
      <w:r>
        <w:rPr>
          <w:rFonts w:ascii="宋体" w:hAnsi="宋体" w:eastAsia="宋体" w:cs="宋体"/>
          <w:spacing w:val="5"/>
          <w:sz w:val="27"/>
          <w:szCs w:val="27"/>
        </w:rPr>
        <w:t>评定周期，并且不需要强调试验范围的定量。应包括已实现的目标和摘要性结</w:t>
      </w:r>
      <w:r>
        <w:rPr>
          <w:rFonts w:ascii="宋体" w:hAnsi="宋体" w:eastAsia="宋体" w:cs="宋体"/>
          <w:spacing w:val="7"/>
          <w:sz w:val="27"/>
          <w:szCs w:val="27"/>
        </w:rPr>
        <w:t xml:space="preserve">  </w:t>
      </w:r>
      <w:r>
        <w:rPr>
          <w:rFonts w:ascii="宋体" w:hAnsi="宋体" w:eastAsia="宋体" w:cs="宋体"/>
          <w:spacing w:val="1"/>
          <w:sz w:val="27"/>
          <w:szCs w:val="27"/>
        </w:rPr>
        <w:t>论的描述。</w:t>
      </w:r>
    </w:p>
    <w:p w14:paraId="3DC90E12">
      <w:pPr>
        <w:spacing w:before="1" w:line="220" w:lineRule="auto"/>
        <w:rPr>
          <w:rFonts w:ascii="黑体" w:hAnsi="黑体" w:eastAsia="黑体" w:cs="黑体"/>
          <w:sz w:val="27"/>
          <w:szCs w:val="27"/>
        </w:rPr>
      </w:pPr>
      <w:r>
        <w:rPr>
          <w:rFonts w:ascii="黑体" w:hAnsi="黑体" w:eastAsia="黑体" w:cs="黑体"/>
          <w:spacing w:val="3"/>
          <w:sz w:val="27"/>
          <w:szCs w:val="27"/>
        </w:rPr>
        <w:t xml:space="preserve">3.2  </w:t>
      </w:r>
      <w:r>
        <w:rPr>
          <w:rFonts w:ascii="黑体" w:hAnsi="黑体" w:eastAsia="黑体" w:cs="黑体"/>
          <w:b/>
          <w:bCs/>
          <w:spacing w:val="3"/>
          <w:sz w:val="27"/>
          <w:szCs w:val="27"/>
        </w:rPr>
        <w:t>后续研制试验与评定说明</w:t>
      </w:r>
    </w:p>
    <w:p w14:paraId="2F1BEE54">
      <w:pPr>
        <w:spacing w:before="112" w:line="269" w:lineRule="auto"/>
        <w:ind w:right="122" w:firstLine="580"/>
        <w:rPr>
          <w:rFonts w:ascii="宋体" w:hAnsi="宋体" w:eastAsia="宋体" w:cs="宋体"/>
          <w:sz w:val="27"/>
          <w:szCs w:val="27"/>
        </w:rPr>
      </w:pPr>
      <w:r>
        <w:rPr>
          <w:rFonts w:ascii="宋体" w:hAnsi="宋体" w:eastAsia="宋体" w:cs="宋体"/>
          <w:spacing w:val="-3"/>
          <w:sz w:val="27"/>
          <w:szCs w:val="27"/>
        </w:rPr>
        <w:t>说明计划安排的试生产鉴定试验与评定、生产鉴定试验与评定，以及系统或</w:t>
      </w:r>
      <w:r>
        <w:rPr>
          <w:rFonts w:ascii="宋体" w:hAnsi="宋体" w:eastAsia="宋体" w:cs="宋体"/>
          <w:spacing w:val="10"/>
          <w:sz w:val="27"/>
          <w:szCs w:val="27"/>
        </w:rPr>
        <w:t xml:space="preserve"> </w:t>
      </w:r>
      <w:r>
        <w:rPr>
          <w:rFonts w:ascii="宋体" w:hAnsi="宋体" w:eastAsia="宋体" w:cs="宋体"/>
          <w:spacing w:val="3"/>
          <w:sz w:val="27"/>
          <w:szCs w:val="27"/>
        </w:rPr>
        <w:t>分系统重新试验的任何要求。</w:t>
      </w:r>
    </w:p>
    <w:p w14:paraId="41BA8EC0">
      <w:pPr>
        <w:pStyle w:val="2"/>
        <w:spacing w:before="8" w:line="221" w:lineRule="auto"/>
        <w:rPr>
          <w:rFonts w:ascii="黑体" w:hAnsi="黑体" w:eastAsia="黑体" w:cs="黑体"/>
          <w:sz w:val="27"/>
          <w:szCs w:val="27"/>
        </w:rPr>
      </w:pPr>
      <w:r>
        <w:rPr>
          <w:b/>
          <w:bCs/>
          <w:spacing w:val="1"/>
          <w:sz w:val="27"/>
          <w:szCs w:val="27"/>
        </w:rPr>
        <w:t>4</w:t>
      </w:r>
      <w:r>
        <w:rPr>
          <w:b/>
          <w:bCs/>
          <w:spacing w:val="21"/>
          <w:sz w:val="27"/>
          <w:szCs w:val="27"/>
        </w:rPr>
        <w:t xml:space="preserve">   </w:t>
      </w:r>
      <w:r>
        <w:rPr>
          <w:rFonts w:ascii="黑体" w:hAnsi="黑体" w:eastAsia="黑体" w:cs="黑体"/>
          <w:b/>
          <w:bCs/>
          <w:spacing w:val="1"/>
          <w:sz w:val="27"/>
          <w:szCs w:val="27"/>
        </w:rPr>
        <w:t>使用试验与评定概述</w:t>
      </w:r>
    </w:p>
    <w:p w14:paraId="11C62D60">
      <w:pPr>
        <w:spacing w:before="77" w:line="221" w:lineRule="auto"/>
        <w:rPr>
          <w:rFonts w:ascii="黑体" w:hAnsi="黑体" w:eastAsia="黑体" w:cs="黑体"/>
          <w:sz w:val="27"/>
          <w:szCs w:val="27"/>
        </w:rPr>
      </w:pPr>
      <w:r>
        <w:rPr>
          <w:rFonts w:ascii="黑体" w:hAnsi="黑体" w:eastAsia="黑体" w:cs="黑体"/>
          <w:spacing w:val="3"/>
          <w:sz w:val="27"/>
          <w:szCs w:val="27"/>
        </w:rPr>
        <w:t xml:space="preserve">4.1  </w:t>
      </w:r>
      <w:r>
        <w:rPr>
          <w:rFonts w:ascii="黑体" w:hAnsi="黑体" w:eastAsia="黑体" w:cs="黑体"/>
          <w:b/>
          <w:bCs/>
          <w:spacing w:val="3"/>
          <w:sz w:val="27"/>
          <w:szCs w:val="27"/>
        </w:rPr>
        <w:t>使用试验与评定概述</w:t>
      </w:r>
    </w:p>
    <w:p w14:paraId="40A98EB1">
      <w:pPr>
        <w:spacing w:before="120" w:line="273" w:lineRule="auto"/>
        <w:ind w:right="115" w:firstLine="580"/>
        <w:jc w:val="both"/>
        <w:rPr>
          <w:rFonts w:ascii="宋体" w:hAnsi="宋体" w:eastAsia="宋体" w:cs="宋体"/>
          <w:sz w:val="27"/>
          <w:szCs w:val="27"/>
        </w:rPr>
      </w:pPr>
      <w:r>
        <w:rPr>
          <w:rFonts w:ascii="宋体" w:hAnsi="宋体" w:eastAsia="宋体" w:cs="宋体"/>
          <w:spacing w:val="6"/>
          <w:sz w:val="27"/>
          <w:szCs w:val="27"/>
        </w:rPr>
        <w:t>使用试验与评定的主要任务是确认使用效能和适</w:t>
      </w:r>
      <w:r>
        <w:rPr>
          <w:rFonts w:ascii="宋体" w:hAnsi="宋体" w:eastAsia="宋体" w:cs="宋体"/>
          <w:spacing w:val="5"/>
          <w:sz w:val="27"/>
          <w:szCs w:val="27"/>
        </w:rPr>
        <w:t>用性是否满足研制总要求</w:t>
      </w:r>
      <w:r>
        <w:rPr>
          <w:rFonts w:ascii="宋体" w:hAnsi="宋体" w:eastAsia="宋体" w:cs="宋体"/>
          <w:sz w:val="27"/>
          <w:szCs w:val="27"/>
        </w:rPr>
        <w:t xml:space="preserve"> </w:t>
      </w:r>
      <w:r>
        <w:rPr>
          <w:rFonts w:ascii="宋体" w:hAnsi="宋体" w:eastAsia="宋体" w:cs="宋体"/>
          <w:spacing w:val="-2"/>
          <w:sz w:val="27"/>
          <w:szCs w:val="27"/>
        </w:rPr>
        <w:t>和部队使用要求。只要可行，使用试验与评</w:t>
      </w:r>
      <w:r>
        <w:rPr>
          <w:rFonts w:ascii="宋体" w:hAnsi="宋体" w:eastAsia="宋体" w:cs="宋体"/>
          <w:spacing w:val="-3"/>
          <w:sz w:val="27"/>
          <w:szCs w:val="27"/>
        </w:rPr>
        <w:t>定就应模拟威胁条件，并在模拟平时</w:t>
      </w:r>
      <w:r>
        <w:rPr>
          <w:rFonts w:ascii="宋体" w:hAnsi="宋体" w:eastAsia="宋体" w:cs="宋体"/>
          <w:sz w:val="27"/>
          <w:szCs w:val="27"/>
        </w:rPr>
        <w:t xml:space="preserve"> </w:t>
      </w:r>
      <w:r>
        <w:rPr>
          <w:rFonts w:ascii="宋体" w:hAnsi="宋体" w:eastAsia="宋体" w:cs="宋体"/>
          <w:spacing w:val="6"/>
          <w:sz w:val="27"/>
          <w:szCs w:val="27"/>
        </w:rPr>
        <w:t>和战时这两种条件下由典型的操作人员使用和维</w:t>
      </w:r>
      <w:r>
        <w:rPr>
          <w:rFonts w:ascii="宋体" w:hAnsi="宋体" w:eastAsia="宋体" w:cs="宋体"/>
          <w:spacing w:val="5"/>
          <w:sz w:val="27"/>
          <w:szCs w:val="27"/>
        </w:rPr>
        <w:t>修产品。本节说明使用试验与</w:t>
      </w:r>
      <w:r>
        <w:rPr>
          <w:rFonts w:ascii="宋体" w:hAnsi="宋体" w:eastAsia="宋体" w:cs="宋体"/>
          <w:sz w:val="27"/>
          <w:szCs w:val="27"/>
        </w:rPr>
        <w:t xml:space="preserve"> </w:t>
      </w:r>
      <w:r>
        <w:rPr>
          <w:rFonts w:ascii="宋体" w:hAnsi="宋体" w:eastAsia="宋体" w:cs="宋体"/>
          <w:spacing w:val="-1"/>
          <w:sz w:val="27"/>
          <w:szCs w:val="27"/>
        </w:rPr>
        <w:t>评定(早期使用评估、使用评估、初始使用试验与评定、后续使用试</w:t>
      </w:r>
      <w:r>
        <w:rPr>
          <w:rFonts w:ascii="宋体" w:hAnsi="宋体" w:eastAsia="宋体" w:cs="宋体"/>
          <w:spacing w:val="-2"/>
          <w:sz w:val="27"/>
          <w:szCs w:val="27"/>
        </w:rPr>
        <w:t>验与评定等)</w:t>
      </w:r>
      <w:r>
        <w:rPr>
          <w:rFonts w:ascii="宋体" w:hAnsi="宋体" w:eastAsia="宋体" w:cs="宋体"/>
          <w:sz w:val="27"/>
          <w:szCs w:val="27"/>
        </w:rPr>
        <w:t xml:space="preserve"> </w:t>
      </w:r>
      <w:r>
        <w:rPr>
          <w:rFonts w:ascii="宋体" w:hAnsi="宋体" w:eastAsia="宋体" w:cs="宋体"/>
          <w:spacing w:val="-13"/>
          <w:sz w:val="27"/>
          <w:szCs w:val="27"/>
        </w:rPr>
        <w:t>的目的、活动定义、职责、进度和资源确定</w:t>
      </w:r>
      <w:r>
        <w:rPr>
          <w:rFonts w:ascii="宋体" w:hAnsi="宋体" w:eastAsia="宋体" w:cs="宋体"/>
          <w:spacing w:val="-14"/>
          <w:sz w:val="27"/>
          <w:szCs w:val="27"/>
        </w:rPr>
        <w:t>等内容。</w:t>
      </w:r>
    </w:p>
    <w:p w14:paraId="51D3EC62">
      <w:pPr>
        <w:spacing w:before="11" w:line="222" w:lineRule="auto"/>
        <w:rPr>
          <w:rFonts w:ascii="黑体" w:hAnsi="黑体" w:eastAsia="黑体" w:cs="黑体"/>
          <w:sz w:val="27"/>
          <w:szCs w:val="27"/>
        </w:rPr>
      </w:pPr>
      <w:r>
        <w:rPr>
          <w:rFonts w:ascii="黑体" w:hAnsi="黑体" w:eastAsia="黑体" w:cs="黑体"/>
          <w:sz w:val="27"/>
          <w:szCs w:val="27"/>
        </w:rPr>
        <w:t>4.</w:t>
      </w:r>
      <w:r>
        <w:rPr>
          <w:rFonts w:ascii="黑体" w:hAnsi="黑体" w:eastAsia="黑体" w:cs="黑体"/>
          <w:b/>
          <w:bCs/>
          <w:sz w:val="27"/>
          <w:szCs w:val="27"/>
        </w:rPr>
        <w:t>2</w:t>
      </w:r>
      <w:r>
        <w:rPr>
          <w:rFonts w:ascii="黑体" w:hAnsi="黑体" w:eastAsia="黑体" w:cs="黑体"/>
          <w:sz w:val="27"/>
          <w:szCs w:val="27"/>
        </w:rPr>
        <w:t xml:space="preserve">  </w:t>
      </w:r>
      <w:r>
        <w:rPr>
          <w:rFonts w:ascii="黑体" w:hAnsi="黑体" w:eastAsia="黑体" w:cs="黑体"/>
          <w:b/>
          <w:bCs/>
          <w:sz w:val="27"/>
          <w:szCs w:val="27"/>
        </w:rPr>
        <w:t>关键的使用问题</w:t>
      </w:r>
    </w:p>
    <w:p w14:paraId="706C2539">
      <w:pPr>
        <w:spacing w:before="121" w:line="219" w:lineRule="auto"/>
        <w:ind w:left="580"/>
        <w:rPr>
          <w:rFonts w:ascii="宋体" w:hAnsi="宋体" w:eastAsia="宋体" w:cs="宋体"/>
          <w:sz w:val="27"/>
          <w:szCs w:val="27"/>
        </w:rPr>
      </w:pPr>
      <w:r>
        <w:rPr>
          <w:rFonts w:ascii="宋体" w:hAnsi="宋体" w:eastAsia="宋体" w:cs="宋体"/>
          <w:spacing w:val="5"/>
          <w:sz w:val="27"/>
          <w:szCs w:val="27"/>
        </w:rPr>
        <w:t>说明需要在使用试验与评定中进行验证的关键</w:t>
      </w:r>
      <w:r>
        <w:rPr>
          <w:rFonts w:ascii="宋体" w:hAnsi="宋体" w:eastAsia="宋体" w:cs="宋体"/>
          <w:spacing w:val="4"/>
          <w:sz w:val="27"/>
          <w:szCs w:val="27"/>
        </w:rPr>
        <w:t>的使用问题。</w:t>
      </w:r>
    </w:p>
    <w:p w14:paraId="37BA2E15">
      <w:pPr>
        <w:spacing w:before="53" w:line="221" w:lineRule="auto"/>
        <w:rPr>
          <w:rFonts w:ascii="黑体" w:hAnsi="黑体" w:eastAsia="黑体" w:cs="黑体"/>
          <w:sz w:val="27"/>
          <w:szCs w:val="27"/>
        </w:rPr>
      </w:pPr>
      <w:r>
        <w:rPr>
          <w:rFonts w:ascii="黑体" w:hAnsi="黑体" w:eastAsia="黑体" w:cs="黑体"/>
          <w:spacing w:val="3"/>
          <w:sz w:val="27"/>
          <w:szCs w:val="27"/>
        </w:rPr>
        <w:t xml:space="preserve">4.3  </w:t>
      </w:r>
      <w:r>
        <w:rPr>
          <w:rFonts w:ascii="黑体" w:hAnsi="黑体" w:eastAsia="黑体" w:cs="黑体"/>
          <w:b/>
          <w:bCs/>
          <w:spacing w:val="3"/>
          <w:sz w:val="27"/>
          <w:szCs w:val="27"/>
        </w:rPr>
        <w:t>后续使用试验与评定说明</w:t>
      </w:r>
    </w:p>
    <w:p w14:paraId="075E9441">
      <w:pPr>
        <w:spacing w:before="124" w:line="219" w:lineRule="auto"/>
        <w:ind w:left="580"/>
        <w:rPr>
          <w:rFonts w:ascii="宋体" w:hAnsi="宋体" w:eastAsia="宋体" w:cs="宋体"/>
          <w:sz w:val="27"/>
          <w:szCs w:val="27"/>
        </w:rPr>
      </w:pPr>
      <w:r>
        <w:rPr>
          <w:rFonts w:ascii="宋体" w:hAnsi="宋体" w:eastAsia="宋体" w:cs="宋体"/>
          <w:spacing w:val="4"/>
          <w:sz w:val="27"/>
          <w:szCs w:val="27"/>
        </w:rPr>
        <w:t>说明计划安排的所有后续使用试验与评定要求。</w:t>
      </w:r>
    </w:p>
    <w:p w14:paraId="07202344">
      <w:pPr>
        <w:spacing w:before="63" w:line="221" w:lineRule="auto"/>
        <w:rPr>
          <w:rFonts w:ascii="黑体" w:hAnsi="黑体" w:eastAsia="黑体" w:cs="黑体"/>
          <w:sz w:val="27"/>
          <w:szCs w:val="27"/>
        </w:rPr>
      </w:pPr>
      <w:r>
        <w:rPr>
          <w:rFonts w:ascii="黑体" w:hAnsi="黑体" w:eastAsia="黑体" w:cs="黑体"/>
          <w:spacing w:val="3"/>
          <w:sz w:val="27"/>
          <w:szCs w:val="27"/>
        </w:rPr>
        <w:t xml:space="preserve">4.4  </w:t>
      </w:r>
      <w:r>
        <w:rPr>
          <w:rFonts w:ascii="黑体" w:hAnsi="黑体" w:eastAsia="黑体" w:cs="黑体"/>
          <w:b/>
          <w:bCs/>
          <w:spacing w:val="3"/>
          <w:sz w:val="27"/>
          <w:szCs w:val="27"/>
        </w:rPr>
        <w:t>实弹试验与评定说明</w:t>
      </w:r>
    </w:p>
    <w:p w14:paraId="5E9DF38C">
      <w:pPr>
        <w:spacing w:before="120" w:line="273" w:lineRule="auto"/>
        <w:ind w:right="39" w:firstLine="580"/>
        <w:jc w:val="both"/>
        <w:rPr>
          <w:rFonts w:ascii="宋体" w:hAnsi="宋体" w:eastAsia="宋体" w:cs="宋体"/>
          <w:sz w:val="27"/>
          <w:szCs w:val="27"/>
        </w:rPr>
      </w:pPr>
      <w:r>
        <w:rPr>
          <w:rFonts w:ascii="宋体" w:hAnsi="宋体" w:eastAsia="宋体" w:cs="宋体"/>
          <w:spacing w:val="-3"/>
          <w:sz w:val="27"/>
          <w:szCs w:val="27"/>
        </w:rPr>
        <w:t>对于某些武器系统，包括在战斗中保护武器系统或其操作人员的装置，应进</w:t>
      </w:r>
      <w:r>
        <w:rPr>
          <w:rFonts w:ascii="宋体" w:hAnsi="宋体" w:eastAsia="宋体" w:cs="宋体"/>
          <w:spacing w:val="8"/>
          <w:sz w:val="27"/>
          <w:szCs w:val="27"/>
        </w:rPr>
        <w:t xml:space="preserve"> </w:t>
      </w:r>
      <w:r>
        <w:rPr>
          <w:rFonts w:ascii="宋体" w:hAnsi="宋体" w:eastAsia="宋体" w:cs="宋体"/>
          <w:spacing w:val="6"/>
          <w:sz w:val="27"/>
          <w:szCs w:val="27"/>
        </w:rPr>
        <w:t>行实弹试验与评定。为提供与操作人员潜在伤</w:t>
      </w:r>
      <w:r>
        <w:rPr>
          <w:rFonts w:ascii="宋体" w:hAnsi="宋体" w:eastAsia="宋体" w:cs="宋体"/>
          <w:spacing w:val="5"/>
          <w:sz w:val="27"/>
          <w:szCs w:val="27"/>
        </w:rPr>
        <w:t>害事故、易损性和杀伤力有关的</w:t>
      </w:r>
      <w:r>
        <w:rPr>
          <w:rFonts w:ascii="宋体" w:hAnsi="宋体" w:eastAsia="宋体" w:cs="宋体"/>
          <w:sz w:val="27"/>
          <w:szCs w:val="27"/>
        </w:rPr>
        <w:t xml:space="preserve"> </w:t>
      </w:r>
      <w:r>
        <w:rPr>
          <w:rFonts w:ascii="宋体" w:hAnsi="宋体" w:eastAsia="宋体" w:cs="宋体"/>
          <w:spacing w:val="5"/>
          <w:sz w:val="27"/>
          <w:szCs w:val="27"/>
        </w:rPr>
        <w:t xml:space="preserve">信息，应使用属于生产技术状态的试验件进行实弹试验与评定。利用实弹试验  </w:t>
      </w:r>
      <w:r>
        <w:rPr>
          <w:rFonts w:ascii="宋体" w:hAnsi="宋体" w:eastAsia="宋体" w:cs="宋体"/>
          <w:spacing w:val="9"/>
          <w:sz w:val="27"/>
          <w:szCs w:val="27"/>
        </w:rPr>
        <w:t>与评定提供的数据可以确定系统在实际战斗环境下的性能和对攻击的敏感</w:t>
      </w:r>
      <w:r>
        <w:rPr>
          <w:rFonts w:ascii="宋体" w:hAnsi="宋体" w:eastAsia="宋体" w:cs="宋体"/>
          <w:spacing w:val="8"/>
          <w:sz w:val="27"/>
          <w:szCs w:val="27"/>
        </w:rPr>
        <w:t>性。</w:t>
      </w:r>
      <w:r>
        <w:rPr>
          <w:rFonts w:ascii="宋体" w:hAnsi="宋体" w:eastAsia="宋体" w:cs="宋体"/>
          <w:sz w:val="27"/>
          <w:szCs w:val="27"/>
        </w:rPr>
        <w:t xml:space="preserve"> </w:t>
      </w:r>
      <w:r>
        <w:rPr>
          <w:rFonts w:ascii="宋体" w:hAnsi="宋体" w:eastAsia="宋体" w:cs="宋体"/>
          <w:spacing w:val="-7"/>
          <w:sz w:val="27"/>
          <w:szCs w:val="27"/>
        </w:rPr>
        <w:t>本节说明进行实弹试验与评定的目的、活动定义、职责、进度和资源确定等内容。</w:t>
      </w:r>
    </w:p>
    <w:p w14:paraId="5480B0F6">
      <w:pPr>
        <w:pStyle w:val="2"/>
        <w:spacing w:before="2" w:line="220" w:lineRule="auto"/>
        <w:rPr>
          <w:rFonts w:ascii="黑体" w:hAnsi="黑体" w:eastAsia="黑体" w:cs="黑体"/>
          <w:sz w:val="27"/>
          <w:szCs w:val="27"/>
        </w:rPr>
      </w:pPr>
      <w:r>
        <w:rPr>
          <w:b/>
          <w:bCs/>
          <w:spacing w:val="2"/>
          <w:sz w:val="27"/>
          <w:szCs w:val="27"/>
        </w:rPr>
        <w:t>5</w:t>
      </w:r>
      <w:r>
        <w:rPr>
          <w:b/>
          <w:bCs/>
          <w:spacing w:val="25"/>
          <w:sz w:val="27"/>
          <w:szCs w:val="27"/>
        </w:rPr>
        <w:t xml:space="preserve">   </w:t>
      </w:r>
      <w:r>
        <w:rPr>
          <w:rFonts w:ascii="黑体" w:hAnsi="黑体" w:eastAsia="黑体" w:cs="黑体"/>
          <w:b/>
          <w:bCs/>
          <w:spacing w:val="2"/>
          <w:sz w:val="27"/>
          <w:szCs w:val="27"/>
        </w:rPr>
        <w:t>试验与评定资源提要</w:t>
      </w:r>
    </w:p>
    <w:p w14:paraId="794DA52F">
      <w:pPr>
        <w:spacing w:before="96" w:line="221" w:lineRule="auto"/>
        <w:rPr>
          <w:rFonts w:ascii="黑体" w:hAnsi="黑体" w:eastAsia="黑体" w:cs="黑体"/>
          <w:sz w:val="27"/>
          <w:szCs w:val="27"/>
        </w:rPr>
      </w:pPr>
      <w:r>
        <w:rPr>
          <w:rFonts w:ascii="黑体" w:hAnsi="黑体" w:eastAsia="黑体" w:cs="黑体"/>
          <w:spacing w:val="-3"/>
          <w:sz w:val="27"/>
          <w:szCs w:val="27"/>
        </w:rPr>
        <w:t>5.1</w:t>
      </w:r>
      <w:r>
        <w:rPr>
          <w:rFonts w:ascii="黑体" w:hAnsi="黑体" w:eastAsia="黑体" w:cs="黑体"/>
          <w:spacing w:val="21"/>
          <w:sz w:val="27"/>
          <w:szCs w:val="27"/>
        </w:rPr>
        <w:t xml:space="preserve">  </w:t>
      </w:r>
      <w:r>
        <w:rPr>
          <w:rFonts w:ascii="黑体" w:hAnsi="黑体" w:eastAsia="黑体" w:cs="黑体"/>
          <w:b/>
          <w:bCs/>
          <w:spacing w:val="-3"/>
          <w:sz w:val="27"/>
          <w:szCs w:val="27"/>
        </w:rPr>
        <w:t>试验件</w:t>
      </w:r>
    </w:p>
    <w:p w14:paraId="620DB2EE">
      <w:pPr>
        <w:spacing w:before="122" w:line="219" w:lineRule="auto"/>
        <w:ind w:left="580"/>
        <w:rPr>
          <w:rFonts w:ascii="宋体" w:hAnsi="宋体" w:eastAsia="宋体" w:cs="宋体"/>
          <w:sz w:val="27"/>
          <w:szCs w:val="27"/>
        </w:rPr>
      </w:pPr>
      <w:r>
        <w:rPr>
          <w:rFonts w:ascii="宋体" w:hAnsi="宋体" w:eastAsia="宋体" w:cs="宋体"/>
          <w:spacing w:val="-3"/>
          <w:sz w:val="27"/>
          <w:szCs w:val="27"/>
        </w:rPr>
        <w:t>确定试验与评定所需的试验件的数量、类型、技术状态、提供渠道和交接方</w:t>
      </w:r>
    </w:p>
    <w:p w14:paraId="6C056E94">
      <w:pPr>
        <w:spacing w:line="219" w:lineRule="auto"/>
        <w:rPr>
          <w:rFonts w:ascii="宋体" w:hAnsi="宋体" w:eastAsia="宋体" w:cs="宋体"/>
          <w:sz w:val="27"/>
          <w:szCs w:val="27"/>
        </w:rPr>
        <w:sectPr>
          <w:footerReference r:id="rId79" w:type="default"/>
          <w:pgSz w:w="11910" w:h="17130"/>
          <w:pgMar w:top="400" w:right="855" w:bottom="1640" w:left="1529" w:header="0" w:footer="1354" w:gutter="0"/>
          <w:cols w:space="720" w:num="1"/>
        </w:sectPr>
      </w:pPr>
    </w:p>
    <w:p w14:paraId="70816467">
      <w:pPr>
        <w:pStyle w:val="2"/>
        <w:spacing w:line="266" w:lineRule="auto"/>
      </w:pPr>
    </w:p>
    <w:p w14:paraId="64176E5A">
      <w:pPr>
        <w:pStyle w:val="2"/>
        <w:spacing w:line="267" w:lineRule="auto"/>
      </w:pPr>
    </w:p>
    <w:p w14:paraId="48B11C48">
      <w:pPr>
        <w:pStyle w:val="2"/>
        <w:spacing w:line="267" w:lineRule="auto"/>
      </w:pPr>
    </w:p>
    <w:p w14:paraId="14E02393">
      <w:pPr>
        <w:pStyle w:val="2"/>
        <w:spacing w:line="267" w:lineRule="auto"/>
      </w:pPr>
    </w:p>
    <w:p w14:paraId="50C752C9">
      <w:pPr>
        <w:spacing w:before="87" w:line="219" w:lineRule="auto"/>
        <w:rPr>
          <w:rFonts w:ascii="宋体" w:hAnsi="宋体" w:eastAsia="宋体" w:cs="宋体"/>
          <w:sz w:val="27"/>
          <w:szCs w:val="27"/>
        </w:rPr>
      </w:pPr>
      <w:r>
        <w:rPr>
          <w:rFonts w:ascii="宋体" w:hAnsi="宋体" w:eastAsia="宋体" w:cs="宋体"/>
          <w:spacing w:val="-4"/>
          <w:sz w:val="27"/>
          <w:szCs w:val="27"/>
        </w:rPr>
        <w:t>法等。</w:t>
      </w:r>
    </w:p>
    <w:p w14:paraId="0C4D6975">
      <w:pPr>
        <w:spacing w:before="63" w:line="221" w:lineRule="auto"/>
        <w:rPr>
          <w:rFonts w:ascii="黑体" w:hAnsi="黑体" w:eastAsia="黑体" w:cs="黑体"/>
          <w:sz w:val="27"/>
          <w:szCs w:val="27"/>
        </w:rPr>
      </w:pPr>
      <w:r>
        <w:rPr>
          <w:rFonts w:ascii="黑体" w:hAnsi="黑体" w:eastAsia="黑体" w:cs="黑体"/>
          <w:spacing w:val="1"/>
          <w:sz w:val="27"/>
          <w:szCs w:val="27"/>
        </w:rPr>
        <w:t>5.2</w:t>
      </w:r>
      <w:r>
        <w:rPr>
          <w:rFonts w:ascii="黑体" w:hAnsi="黑体" w:eastAsia="黑体" w:cs="黑体"/>
          <w:spacing w:val="13"/>
          <w:sz w:val="27"/>
          <w:szCs w:val="27"/>
        </w:rPr>
        <w:t xml:space="preserve">  </w:t>
      </w:r>
      <w:r>
        <w:rPr>
          <w:rFonts w:ascii="黑体" w:hAnsi="黑体" w:eastAsia="黑体" w:cs="黑体"/>
          <w:b/>
          <w:bCs/>
          <w:spacing w:val="1"/>
          <w:sz w:val="27"/>
          <w:szCs w:val="27"/>
        </w:rPr>
        <w:t>试验场地和装置</w:t>
      </w:r>
    </w:p>
    <w:p w14:paraId="00A35C14">
      <w:pPr>
        <w:spacing w:before="51" w:line="289" w:lineRule="auto"/>
        <w:ind w:right="125" w:firstLine="550"/>
        <w:rPr>
          <w:rFonts w:ascii="宋体" w:hAnsi="宋体" w:eastAsia="宋体" w:cs="宋体"/>
          <w:sz w:val="27"/>
          <w:szCs w:val="27"/>
        </w:rPr>
      </w:pPr>
      <w:r>
        <w:rPr>
          <w:rFonts w:ascii="宋体" w:hAnsi="宋体" w:eastAsia="宋体" w:cs="宋体"/>
          <w:spacing w:val="-3"/>
          <w:sz w:val="27"/>
          <w:szCs w:val="27"/>
        </w:rPr>
        <w:t>确定试验与评定所需的重要基地试验场、气候试验室、专用靶场、试</w:t>
      </w:r>
      <w:r>
        <w:rPr>
          <w:rFonts w:ascii="宋体" w:hAnsi="宋体" w:eastAsia="宋体" w:cs="宋体"/>
          <w:spacing w:val="-4"/>
          <w:sz w:val="27"/>
          <w:szCs w:val="27"/>
        </w:rPr>
        <w:t>验装置</w:t>
      </w:r>
      <w:r>
        <w:rPr>
          <w:rFonts w:ascii="宋体" w:hAnsi="宋体" w:eastAsia="宋体" w:cs="宋体"/>
          <w:sz w:val="27"/>
          <w:szCs w:val="27"/>
        </w:rPr>
        <w:t xml:space="preserve"> </w:t>
      </w:r>
      <w:r>
        <w:rPr>
          <w:rFonts w:ascii="宋体" w:hAnsi="宋体" w:eastAsia="宋体" w:cs="宋体"/>
          <w:spacing w:val="2"/>
          <w:sz w:val="27"/>
          <w:szCs w:val="27"/>
        </w:rPr>
        <w:t>和仪器设备等。</w:t>
      </w:r>
    </w:p>
    <w:p w14:paraId="6F5D4D3B">
      <w:pPr>
        <w:pStyle w:val="2"/>
        <w:spacing w:before="1" w:line="220" w:lineRule="auto"/>
        <w:rPr>
          <w:rFonts w:ascii="黑体" w:hAnsi="黑体" w:eastAsia="黑体" w:cs="黑体"/>
          <w:sz w:val="27"/>
          <w:szCs w:val="27"/>
        </w:rPr>
      </w:pPr>
      <w:r>
        <w:rPr>
          <w:b/>
          <w:bCs/>
          <w:spacing w:val="-2"/>
          <w:sz w:val="27"/>
          <w:szCs w:val="27"/>
        </w:rPr>
        <w:t>5.3</w:t>
      </w:r>
      <w:r>
        <w:rPr>
          <w:b/>
          <w:bCs/>
          <w:spacing w:val="5"/>
          <w:sz w:val="27"/>
          <w:szCs w:val="27"/>
        </w:rPr>
        <w:t xml:space="preserve">    </w:t>
      </w:r>
      <w:r>
        <w:rPr>
          <w:rFonts w:ascii="黑体" w:hAnsi="黑体" w:eastAsia="黑体" w:cs="黑体"/>
          <w:b/>
          <w:bCs/>
          <w:spacing w:val="-2"/>
          <w:sz w:val="27"/>
          <w:szCs w:val="27"/>
        </w:rPr>
        <w:t>试验保障设备</w:t>
      </w:r>
    </w:p>
    <w:p w14:paraId="3009D014">
      <w:pPr>
        <w:spacing w:before="72" w:line="292" w:lineRule="auto"/>
        <w:ind w:right="123" w:firstLine="550"/>
        <w:rPr>
          <w:rFonts w:ascii="宋体" w:hAnsi="宋体" w:eastAsia="宋体" w:cs="宋体"/>
          <w:sz w:val="27"/>
          <w:szCs w:val="27"/>
        </w:rPr>
      </w:pPr>
      <w:r>
        <w:rPr>
          <w:rFonts w:ascii="宋体" w:hAnsi="宋体" w:eastAsia="宋体" w:cs="宋体"/>
          <w:spacing w:val="-3"/>
          <w:sz w:val="27"/>
          <w:szCs w:val="27"/>
        </w:rPr>
        <w:t>确定试验与评定所需的试验保障设备数量、类型、技术状态、提供渠道和交</w:t>
      </w:r>
      <w:r>
        <w:rPr>
          <w:rFonts w:ascii="宋体" w:hAnsi="宋体" w:eastAsia="宋体" w:cs="宋体"/>
          <w:sz w:val="27"/>
          <w:szCs w:val="27"/>
        </w:rPr>
        <w:t xml:space="preserve"> </w:t>
      </w:r>
      <w:r>
        <w:rPr>
          <w:rFonts w:ascii="宋体" w:hAnsi="宋体" w:eastAsia="宋体" w:cs="宋体"/>
          <w:spacing w:val="5"/>
          <w:sz w:val="27"/>
          <w:szCs w:val="27"/>
        </w:rPr>
        <w:t>接方法等。</w:t>
      </w:r>
    </w:p>
    <w:p w14:paraId="2733FFC4">
      <w:pPr>
        <w:spacing w:before="1" w:line="220" w:lineRule="auto"/>
        <w:rPr>
          <w:rFonts w:ascii="黑体" w:hAnsi="黑体" w:eastAsia="黑体" w:cs="黑体"/>
          <w:sz w:val="24"/>
          <w:szCs w:val="24"/>
        </w:rPr>
      </w:pPr>
      <w:r>
        <w:rPr>
          <w:rFonts w:ascii="黑体" w:hAnsi="黑体" w:eastAsia="黑体" w:cs="黑体"/>
          <w:spacing w:val="16"/>
          <w:sz w:val="24"/>
          <w:szCs w:val="24"/>
        </w:rPr>
        <w:t>5.4</w:t>
      </w:r>
      <w:r>
        <w:rPr>
          <w:rFonts w:ascii="黑体" w:hAnsi="黑体" w:eastAsia="黑体" w:cs="黑体"/>
          <w:spacing w:val="46"/>
          <w:sz w:val="24"/>
          <w:szCs w:val="24"/>
        </w:rPr>
        <w:t xml:space="preserve">  </w:t>
      </w:r>
      <w:r>
        <w:rPr>
          <w:rFonts w:ascii="黑体" w:hAnsi="黑体" w:eastAsia="黑体" w:cs="黑体"/>
          <w:b/>
          <w:bCs/>
          <w:spacing w:val="16"/>
          <w:sz w:val="24"/>
          <w:szCs w:val="24"/>
        </w:rPr>
        <w:t>威胁系统</w:t>
      </w:r>
    </w:p>
    <w:p w14:paraId="4EB5E6B4">
      <w:pPr>
        <w:spacing w:before="97" w:line="279" w:lineRule="auto"/>
        <w:ind w:right="123" w:firstLine="550"/>
        <w:rPr>
          <w:rFonts w:ascii="宋体" w:hAnsi="宋体" w:eastAsia="宋体" w:cs="宋体"/>
          <w:sz w:val="27"/>
          <w:szCs w:val="27"/>
        </w:rPr>
      </w:pPr>
      <w:r>
        <w:rPr>
          <w:rFonts w:ascii="宋体" w:hAnsi="宋体" w:eastAsia="宋体" w:cs="宋体"/>
          <w:spacing w:val="5"/>
          <w:sz w:val="27"/>
          <w:szCs w:val="27"/>
        </w:rPr>
        <w:t xml:space="preserve">确定试验与评定所需的战场威胁模拟器、为了使用真实性需要的(模拟)敌 </w:t>
      </w:r>
      <w:r>
        <w:rPr>
          <w:rFonts w:ascii="宋体" w:hAnsi="宋体" w:eastAsia="宋体" w:cs="宋体"/>
          <w:spacing w:val="-7"/>
          <w:sz w:val="27"/>
          <w:szCs w:val="27"/>
        </w:rPr>
        <w:t>方威胁飞机等威胁系统的数量、类型、技术状态、提供渠</w:t>
      </w:r>
      <w:r>
        <w:rPr>
          <w:rFonts w:ascii="宋体" w:hAnsi="宋体" w:eastAsia="宋体" w:cs="宋体"/>
          <w:spacing w:val="-8"/>
          <w:sz w:val="27"/>
          <w:szCs w:val="27"/>
        </w:rPr>
        <w:t>道和交接方法等。</w:t>
      </w:r>
    </w:p>
    <w:p w14:paraId="74EFF9DE">
      <w:pPr>
        <w:spacing w:before="2" w:line="220" w:lineRule="auto"/>
        <w:rPr>
          <w:rFonts w:ascii="黑体" w:hAnsi="黑体" w:eastAsia="黑体" w:cs="黑体"/>
          <w:sz w:val="27"/>
          <w:szCs w:val="27"/>
        </w:rPr>
      </w:pPr>
      <w:r>
        <w:rPr>
          <w:rFonts w:ascii="黑体" w:hAnsi="黑体" w:eastAsia="黑体" w:cs="黑体"/>
          <w:sz w:val="27"/>
          <w:szCs w:val="27"/>
        </w:rPr>
        <w:t xml:space="preserve">5.5  </w:t>
      </w:r>
      <w:r>
        <w:rPr>
          <w:rFonts w:ascii="黑体" w:hAnsi="黑体" w:eastAsia="黑体" w:cs="黑体"/>
          <w:b/>
          <w:bCs/>
          <w:sz w:val="27"/>
          <w:szCs w:val="27"/>
        </w:rPr>
        <w:t>试验目标</w:t>
      </w:r>
    </w:p>
    <w:p w14:paraId="70CD0063">
      <w:pPr>
        <w:spacing w:before="110" w:line="262" w:lineRule="auto"/>
        <w:ind w:firstLine="550"/>
        <w:rPr>
          <w:rFonts w:ascii="宋体" w:hAnsi="宋体" w:eastAsia="宋体" w:cs="宋体"/>
          <w:sz w:val="27"/>
          <w:szCs w:val="27"/>
        </w:rPr>
      </w:pPr>
      <w:r>
        <w:rPr>
          <w:rFonts w:ascii="宋体" w:hAnsi="宋体" w:eastAsia="宋体" w:cs="宋体"/>
          <w:spacing w:val="-7"/>
          <w:sz w:val="27"/>
          <w:szCs w:val="27"/>
        </w:rPr>
        <w:t>确定试验与评定所需的空中、地面、水面和水下目标(靶标)等的数量、类型、</w:t>
      </w:r>
      <w:r>
        <w:rPr>
          <w:rFonts w:ascii="宋体" w:hAnsi="宋体" w:eastAsia="宋体" w:cs="宋体"/>
          <w:sz w:val="27"/>
          <w:szCs w:val="27"/>
        </w:rPr>
        <w:t xml:space="preserve"> </w:t>
      </w:r>
      <w:r>
        <w:rPr>
          <w:rFonts w:ascii="宋体" w:hAnsi="宋体" w:eastAsia="宋体" w:cs="宋体"/>
          <w:spacing w:val="-3"/>
          <w:sz w:val="27"/>
          <w:szCs w:val="27"/>
        </w:rPr>
        <w:t>技术状态、提供渠道和交接方法等。</w:t>
      </w:r>
    </w:p>
    <w:p w14:paraId="4487801E">
      <w:pPr>
        <w:spacing w:before="20" w:line="221" w:lineRule="auto"/>
        <w:rPr>
          <w:rFonts w:ascii="黑体" w:hAnsi="黑体" w:eastAsia="黑体" w:cs="黑体"/>
          <w:sz w:val="27"/>
          <w:szCs w:val="27"/>
        </w:rPr>
      </w:pPr>
      <w:r>
        <w:rPr>
          <w:rFonts w:ascii="黑体" w:hAnsi="黑体" w:eastAsia="黑体" w:cs="黑体"/>
          <w:spacing w:val="1"/>
          <w:sz w:val="27"/>
          <w:szCs w:val="27"/>
        </w:rPr>
        <w:t xml:space="preserve">5.6  </w:t>
      </w:r>
      <w:r>
        <w:rPr>
          <w:rFonts w:ascii="黑体" w:hAnsi="黑体" w:eastAsia="黑体" w:cs="黑体"/>
          <w:b/>
          <w:bCs/>
          <w:spacing w:val="1"/>
          <w:sz w:val="27"/>
          <w:szCs w:val="27"/>
        </w:rPr>
        <w:t>使用部队试验保障</w:t>
      </w:r>
    </w:p>
    <w:p w14:paraId="070352FC">
      <w:pPr>
        <w:spacing w:before="93" w:line="219" w:lineRule="auto"/>
        <w:ind w:left="550"/>
        <w:rPr>
          <w:rFonts w:ascii="宋体" w:hAnsi="宋体" w:eastAsia="宋体" w:cs="宋体"/>
          <w:sz w:val="27"/>
          <w:szCs w:val="27"/>
        </w:rPr>
      </w:pPr>
      <w:r>
        <w:rPr>
          <w:rFonts w:ascii="宋体" w:hAnsi="宋体" w:eastAsia="宋体" w:cs="宋体"/>
          <w:spacing w:val="3"/>
          <w:sz w:val="27"/>
          <w:szCs w:val="27"/>
        </w:rPr>
        <w:t>确定试验与评定所需的使用部队试验保障条件。</w:t>
      </w:r>
    </w:p>
    <w:p w14:paraId="43F5214D">
      <w:pPr>
        <w:spacing w:before="93" w:line="221" w:lineRule="auto"/>
        <w:rPr>
          <w:rFonts w:ascii="黑体" w:hAnsi="黑体" w:eastAsia="黑体" w:cs="黑体"/>
          <w:sz w:val="27"/>
          <w:szCs w:val="27"/>
        </w:rPr>
      </w:pPr>
      <w:r>
        <w:rPr>
          <w:rFonts w:ascii="黑体" w:hAnsi="黑体" w:eastAsia="黑体" w:cs="黑体"/>
          <w:spacing w:val="-7"/>
          <w:sz w:val="27"/>
          <w:szCs w:val="27"/>
        </w:rPr>
        <w:t>5.</w:t>
      </w:r>
      <w:r>
        <w:rPr>
          <w:rFonts w:ascii="黑体" w:hAnsi="黑体" w:eastAsia="黑体" w:cs="黑体"/>
          <w:b/>
          <w:bCs/>
          <w:spacing w:val="-7"/>
          <w:sz w:val="27"/>
          <w:szCs w:val="27"/>
        </w:rPr>
        <w:t>7</w:t>
      </w:r>
      <w:r>
        <w:rPr>
          <w:rFonts w:ascii="黑体" w:hAnsi="黑体" w:eastAsia="黑体" w:cs="黑体"/>
          <w:spacing w:val="-7"/>
          <w:sz w:val="27"/>
          <w:szCs w:val="27"/>
        </w:rPr>
        <w:t xml:space="preserve">  </w:t>
      </w:r>
      <w:r>
        <w:rPr>
          <w:rFonts w:ascii="黑体" w:hAnsi="黑体" w:eastAsia="黑体" w:cs="黑体"/>
          <w:b/>
          <w:bCs/>
          <w:spacing w:val="-7"/>
          <w:sz w:val="27"/>
          <w:szCs w:val="27"/>
        </w:rPr>
        <w:t>模拟器、样机和试验台</w:t>
      </w:r>
    </w:p>
    <w:p w14:paraId="5480FFBE">
      <w:pPr>
        <w:spacing w:before="103" w:line="269" w:lineRule="auto"/>
        <w:ind w:right="125" w:firstLine="550"/>
        <w:rPr>
          <w:rFonts w:ascii="宋体" w:hAnsi="宋体" w:eastAsia="宋体" w:cs="宋体"/>
          <w:sz w:val="27"/>
          <w:szCs w:val="27"/>
        </w:rPr>
      </w:pPr>
      <w:r>
        <w:rPr>
          <w:rFonts w:ascii="宋体" w:hAnsi="宋体" w:eastAsia="宋体" w:cs="宋体"/>
          <w:spacing w:val="-11"/>
          <w:sz w:val="27"/>
          <w:szCs w:val="27"/>
        </w:rPr>
        <w:t>确定试验与评定所需的模拟器、样机和试验台的数量、类型、技术状态、提供</w:t>
      </w:r>
      <w:r>
        <w:rPr>
          <w:rFonts w:ascii="宋体" w:hAnsi="宋体" w:eastAsia="宋体" w:cs="宋体"/>
          <w:spacing w:val="2"/>
          <w:sz w:val="27"/>
          <w:szCs w:val="27"/>
        </w:rPr>
        <w:t xml:space="preserve"> </w:t>
      </w:r>
      <w:r>
        <w:rPr>
          <w:rFonts w:ascii="宋体" w:hAnsi="宋体" w:eastAsia="宋体" w:cs="宋体"/>
          <w:spacing w:val="1"/>
          <w:sz w:val="27"/>
          <w:szCs w:val="27"/>
        </w:rPr>
        <w:t>渠道和交接方法等。</w:t>
      </w:r>
    </w:p>
    <w:p w14:paraId="67F9263B">
      <w:pPr>
        <w:spacing w:before="10" w:line="222" w:lineRule="auto"/>
        <w:rPr>
          <w:rFonts w:ascii="黑体" w:hAnsi="黑体" w:eastAsia="黑体" w:cs="黑体"/>
          <w:sz w:val="27"/>
          <w:szCs w:val="27"/>
        </w:rPr>
      </w:pPr>
      <w:r>
        <w:rPr>
          <w:rFonts w:ascii="黑体" w:hAnsi="黑体" w:eastAsia="黑体" w:cs="黑体"/>
          <w:spacing w:val="1"/>
          <w:sz w:val="27"/>
          <w:szCs w:val="27"/>
        </w:rPr>
        <w:t xml:space="preserve">5.8  </w:t>
      </w:r>
      <w:r>
        <w:rPr>
          <w:rFonts w:ascii="黑体" w:hAnsi="黑体" w:eastAsia="黑体" w:cs="黑体"/>
          <w:b/>
          <w:bCs/>
          <w:spacing w:val="1"/>
          <w:sz w:val="27"/>
          <w:szCs w:val="27"/>
        </w:rPr>
        <w:t>专用要求</w:t>
      </w:r>
    </w:p>
    <w:p w14:paraId="6D1FC9BF">
      <w:pPr>
        <w:spacing w:before="97" w:line="272" w:lineRule="auto"/>
        <w:ind w:right="121" w:firstLine="550"/>
        <w:rPr>
          <w:rFonts w:ascii="宋体" w:hAnsi="宋体" w:eastAsia="宋体" w:cs="宋体"/>
          <w:sz w:val="27"/>
          <w:szCs w:val="27"/>
        </w:rPr>
      </w:pPr>
      <w:r>
        <w:rPr>
          <w:rFonts w:ascii="宋体" w:hAnsi="宋体" w:eastAsia="宋体" w:cs="宋体"/>
          <w:spacing w:val="5"/>
          <w:sz w:val="27"/>
          <w:szCs w:val="27"/>
        </w:rPr>
        <w:t>明确试验与评定所需的其他特殊的和专用的固定资产等要求，包括专用设</w:t>
      </w:r>
      <w:r>
        <w:rPr>
          <w:rFonts w:ascii="宋体" w:hAnsi="宋体" w:eastAsia="宋体" w:cs="宋体"/>
          <w:spacing w:val="12"/>
          <w:sz w:val="27"/>
          <w:szCs w:val="27"/>
        </w:rPr>
        <w:t xml:space="preserve"> </w:t>
      </w:r>
      <w:r>
        <w:rPr>
          <w:rFonts w:ascii="宋体" w:hAnsi="宋体" w:eastAsia="宋体" w:cs="宋体"/>
          <w:spacing w:val="3"/>
          <w:sz w:val="27"/>
          <w:szCs w:val="27"/>
        </w:rPr>
        <w:t>备的安装和拆卸计划等。</w:t>
      </w:r>
    </w:p>
    <w:p w14:paraId="73009A5D">
      <w:pPr>
        <w:pStyle w:val="2"/>
        <w:spacing w:before="2" w:line="220" w:lineRule="auto"/>
        <w:rPr>
          <w:rFonts w:ascii="黑体" w:hAnsi="黑体" w:eastAsia="黑体" w:cs="黑体"/>
          <w:sz w:val="27"/>
          <w:szCs w:val="27"/>
        </w:rPr>
      </w:pPr>
      <w:r>
        <w:rPr>
          <w:b/>
          <w:bCs/>
          <w:sz w:val="27"/>
          <w:szCs w:val="27"/>
        </w:rPr>
        <w:t xml:space="preserve">5.9    </w:t>
      </w:r>
      <w:r>
        <w:rPr>
          <w:rFonts w:ascii="黑体" w:hAnsi="黑体" w:eastAsia="黑体" w:cs="黑体"/>
          <w:b/>
          <w:bCs/>
          <w:sz w:val="27"/>
          <w:szCs w:val="27"/>
        </w:rPr>
        <w:t>试验与评定资金要求</w:t>
      </w:r>
    </w:p>
    <w:p w14:paraId="12C4A736">
      <w:pPr>
        <w:spacing w:before="93" w:line="219" w:lineRule="auto"/>
        <w:ind w:left="550"/>
        <w:rPr>
          <w:rFonts w:ascii="宋体" w:hAnsi="宋体" w:eastAsia="宋体" w:cs="宋体"/>
          <w:sz w:val="27"/>
          <w:szCs w:val="27"/>
        </w:rPr>
      </w:pPr>
      <w:r>
        <w:rPr>
          <w:rFonts w:ascii="宋体" w:hAnsi="宋体" w:eastAsia="宋体" w:cs="宋体"/>
          <w:spacing w:val="-3"/>
          <w:sz w:val="27"/>
          <w:szCs w:val="27"/>
        </w:rPr>
        <w:t>提出试验与评定所需的资金要求，列出明细。</w:t>
      </w:r>
    </w:p>
    <w:p w14:paraId="4A281A7A">
      <w:pPr>
        <w:spacing w:before="103" w:line="221" w:lineRule="auto"/>
        <w:rPr>
          <w:rFonts w:ascii="黑体" w:hAnsi="黑体" w:eastAsia="黑体" w:cs="黑体"/>
          <w:sz w:val="25"/>
          <w:szCs w:val="25"/>
        </w:rPr>
      </w:pPr>
      <w:r>
        <w:rPr>
          <w:rFonts w:ascii="黑体" w:hAnsi="黑体" w:eastAsia="黑体" w:cs="黑体"/>
          <w:spacing w:val="10"/>
          <w:sz w:val="25"/>
          <w:szCs w:val="25"/>
        </w:rPr>
        <w:t>5.10</w:t>
      </w:r>
      <w:r>
        <w:rPr>
          <w:rFonts w:ascii="黑体" w:hAnsi="黑体" w:eastAsia="黑体" w:cs="黑体"/>
          <w:spacing w:val="53"/>
          <w:sz w:val="25"/>
          <w:szCs w:val="25"/>
        </w:rPr>
        <w:t xml:space="preserve">  </w:t>
      </w:r>
      <w:r>
        <w:rPr>
          <w:rFonts w:ascii="黑体" w:hAnsi="黑体" w:eastAsia="黑体" w:cs="黑体"/>
          <w:b/>
          <w:bCs/>
          <w:spacing w:val="10"/>
          <w:sz w:val="25"/>
          <w:szCs w:val="25"/>
        </w:rPr>
        <w:t>资源进度</w:t>
      </w:r>
    </w:p>
    <w:p w14:paraId="0CAC0226">
      <w:pPr>
        <w:spacing w:before="108" w:line="220" w:lineRule="auto"/>
        <w:ind w:left="550"/>
        <w:rPr>
          <w:rFonts w:ascii="宋体" w:hAnsi="宋体" w:eastAsia="宋体" w:cs="宋体"/>
          <w:sz w:val="27"/>
          <w:szCs w:val="27"/>
        </w:rPr>
      </w:pPr>
      <w:r>
        <w:rPr>
          <w:rFonts w:ascii="宋体" w:hAnsi="宋体" w:eastAsia="宋体" w:cs="宋体"/>
          <w:spacing w:val="3"/>
          <w:sz w:val="27"/>
          <w:szCs w:val="27"/>
        </w:rPr>
        <w:t>确定试验与评定所需各项资源的时间进度。</w:t>
      </w:r>
    </w:p>
    <w:p w14:paraId="3FDC67D4">
      <w:pPr>
        <w:spacing w:before="101" w:line="222" w:lineRule="auto"/>
        <w:rPr>
          <w:rFonts w:ascii="黑体" w:hAnsi="黑体" w:eastAsia="黑体" w:cs="黑体"/>
          <w:sz w:val="25"/>
          <w:szCs w:val="25"/>
        </w:rPr>
      </w:pPr>
      <w:r>
        <w:rPr>
          <w:rFonts w:ascii="黑体" w:hAnsi="黑体" w:eastAsia="黑体" w:cs="黑体"/>
          <w:spacing w:val="8"/>
          <w:sz w:val="25"/>
          <w:szCs w:val="25"/>
        </w:rPr>
        <w:t>5.11</w:t>
      </w:r>
      <w:r>
        <w:rPr>
          <w:rFonts w:ascii="黑体" w:hAnsi="黑体" w:eastAsia="黑体" w:cs="黑体"/>
          <w:spacing w:val="61"/>
          <w:sz w:val="25"/>
          <w:szCs w:val="25"/>
        </w:rPr>
        <w:t xml:space="preserve">  </w:t>
      </w:r>
      <w:r>
        <w:rPr>
          <w:rFonts w:ascii="黑体" w:hAnsi="黑体" w:eastAsia="黑体" w:cs="黑体"/>
          <w:b/>
          <w:bCs/>
          <w:spacing w:val="8"/>
          <w:sz w:val="25"/>
          <w:szCs w:val="25"/>
        </w:rPr>
        <w:t>人力/训练</w:t>
      </w:r>
    </w:p>
    <w:p w14:paraId="21A1ADED">
      <w:pPr>
        <w:spacing w:before="107" w:line="220" w:lineRule="auto"/>
        <w:ind w:left="550"/>
        <w:rPr>
          <w:rFonts w:ascii="宋体" w:hAnsi="宋体" w:eastAsia="宋体" w:cs="宋体"/>
          <w:sz w:val="27"/>
          <w:szCs w:val="27"/>
        </w:rPr>
      </w:pPr>
      <w:r>
        <w:rPr>
          <w:rFonts w:ascii="宋体" w:hAnsi="宋体" w:eastAsia="宋体" w:cs="宋体"/>
          <w:spacing w:val="3"/>
          <w:sz w:val="27"/>
          <w:szCs w:val="27"/>
        </w:rPr>
        <w:t>确定试验与评定所需的人员及其调配和培训要求。</w:t>
      </w:r>
    </w:p>
    <w:p w14:paraId="50EEEFD5">
      <w:pPr>
        <w:spacing w:before="71" w:line="222" w:lineRule="auto"/>
        <w:ind w:left="3"/>
        <w:rPr>
          <w:rFonts w:ascii="黑体" w:hAnsi="黑体" w:eastAsia="黑体" w:cs="黑体"/>
          <w:sz w:val="27"/>
          <w:szCs w:val="27"/>
        </w:rPr>
      </w:pPr>
      <w:r>
        <w:rPr>
          <w:rFonts w:ascii="黑体" w:hAnsi="黑体" w:eastAsia="黑体" w:cs="黑体"/>
          <w:b/>
          <w:bCs/>
          <w:spacing w:val="-10"/>
          <w:sz w:val="27"/>
          <w:szCs w:val="27"/>
        </w:rPr>
        <w:t>附录</w:t>
      </w:r>
    </w:p>
    <w:p w14:paraId="5C04759F">
      <w:pPr>
        <w:spacing w:before="100" w:line="219" w:lineRule="auto"/>
        <w:ind w:left="550"/>
        <w:rPr>
          <w:rFonts w:ascii="宋体" w:hAnsi="宋体" w:eastAsia="宋体" w:cs="宋体"/>
          <w:sz w:val="27"/>
          <w:szCs w:val="27"/>
        </w:rPr>
      </w:pPr>
      <w:r>
        <w:rPr>
          <w:rFonts w:ascii="宋体" w:hAnsi="宋体" w:eastAsia="宋体" w:cs="宋体"/>
          <w:sz w:val="27"/>
          <w:szCs w:val="27"/>
        </w:rPr>
        <w:t>提供必要的附录。</w:t>
      </w:r>
    </w:p>
    <w:p w14:paraId="3FA7A73A">
      <w:pPr>
        <w:pStyle w:val="2"/>
        <w:spacing w:line="308" w:lineRule="auto"/>
      </w:pPr>
    </w:p>
    <w:p w14:paraId="14C764B3">
      <w:pPr>
        <w:spacing w:before="117" w:line="219" w:lineRule="auto"/>
        <w:ind w:left="3260"/>
        <w:outlineLvl w:val="1"/>
        <w:rPr>
          <w:rFonts w:ascii="宋体" w:hAnsi="宋体" w:eastAsia="宋体" w:cs="宋体"/>
          <w:sz w:val="36"/>
          <w:szCs w:val="36"/>
        </w:rPr>
      </w:pPr>
      <w:bookmarkStart w:id="45" w:name="bookmark22"/>
      <w:bookmarkEnd w:id="45"/>
      <w:r>
        <w:rPr>
          <w:rFonts w:ascii="宋体" w:hAnsi="宋体" w:eastAsia="宋体" w:cs="宋体"/>
          <w:spacing w:val="1"/>
          <w:sz w:val="36"/>
          <w:szCs w:val="36"/>
        </w:rPr>
        <w:t>1.2</w:t>
      </w:r>
      <w:r>
        <w:rPr>
          <w:rFonts w:ascii="宋体" w:hAnsi="宋体" w:eastAsia="宋体" w:cs="宋体"/>
          <w:b/>
          <w:bCs/>
          <w:spacing w:val="1"/>
          <w:sz w:val="36"/>
          <w:szCs w:val="36"/>
        </w:rPr>
        <w:t>0</w:t>
      </w:r>
      <w:r>
        <w:rPr>
          <w:rFonts w:ascii="宋体" w:hAnsi="宋体" w:eastAsia="宋体" w:cs="宋体"/>
          <w:spacing w:val="1"/>
          <w:sz w:val="36"/>
          <w:szCs w:val="36"/>
        </w:rPr>
        <w:t xml:space="preserve">  </w:t>
      </w:r>
      <w:r>
        <w:rPr>
          <w:rFonts w:ascii="宋体" w:hAnsi="宋体" w:eastAsia="宋体" w:cs="宋体"/>
          <w:b/>
          <w:bCs/>
          <w:spacing w:val="1"/>
          <w:sz w:val="36"/>
          <w:szCs w:val="36"/>
        </w:rPr>
        <w:t>研制任务书</w:t>
      </w:r>
    </w:p>
    <w:p w14:paraId="79A78C38">
      <w:pPr>
        <w:pStyle w:val="2"/>
        <w:spacing w:line="343" w:lineRule="auto"/>
      </w:pPr>
    </w:p>
    <w:p w14:paraId="1B483D9C">
      <w:pPr>
        <w:spacing w:before="88" w:line="222" w:lineRule="auto"/>
        <w:rPr>
          <w:rFonts w:ascii="黑体" w:hAnsi="黑体" w:eastAsia="黑体" w:cs="黑体"/>
          <w:sz w:val="27"/>
          <w:szCs w:val="27"/>
        </w:rPr>
      </w:pPr>
      <w:r>
        <w:rPr>
          <w:rFonts w:ascii="黑体" w:hAnsi="黑体" w:eastAsia="黑体" w:cs="黑体"/>
          <w:spacing w:val="-5"/>
          <w:sz w:val="27"/>
          <w:szCs w:val="27"/>
        </w:rPr>
        <w:t>1</w:t>
      </w:r>
      <w:r>
        <w:rPr>
          <w:rFonts w:ascii="黑体" w:hAnsi="黑体" w:eastAsia="黑体" w:cs="黑体"/>
          <w:spacing w:val="36"/>
          <w:sz w:val="27"/>
          <w:szCs w:val="27"/>
        </w:rPr>
        <w:t xml:space="preserve">  </w:t>
      </w:r>
      <w:r>
        <w:rPr>
          <w:rFonts w:ascii="黑体" w:hAnsi="黑体" w:eastAsia="黑体" w:cs="黑体"/>
          <w:b/>
          <w:bCs/>
          <w:spacing w:val="-5"/>
          <w:sz w:val="27"/>
          <w:szCs w:val="27"/>
        </w:rPr>
        <w:t>前言</w:t>
      </w:r>
    </w:p>
    <w:p w14:paraId="7489983F">
      <w:pPr>
        <w:spacing w:before="98" w:line="219" w:lineRule="auto"/>
        <w:ind w:left="550"/>
        <w:rPr>
          <w:rFonts w:ascii="宋体" w:hAnsi="宋体" w:eastAsia="宋体" w:cs="宋体"/>
          <w:sz w:val="27"/>
          <w:szCs w:val="27"/>
        </w:rPr>
      </w:pPr>
      <w:r>
        <w:rPr>
          <w:rFonts w:ascii="宋体" w:hAnsi="宋体" w:eastAsia="宋体" w:cs="宋体"/>
          <w:spacing w:val="1"/>
          <w:sz w:val="27"/>
          <w:szCs w:val="27"/>
        </w:rPr>
        <w:t>阐明任务的来源(依据)及目的。</w:t>
      </w:r>
    </w:p>
    <w:p w14:paraId="14C70B16">
      <w:pPr>
        <w:spacing w:line="219" w:lineRule="auto"/>
        <w:rPr>
          <w:rFonts w:ascii="宋体" w:hAnsi="宋体" w:eastAsia="宋体" w:cs="宋体"/>
          <w:sz w:val="27"/>
          <w:szCs w:val="27"/>
        </w:rPr>
        <w:sectPr>
          <w:footerReference r:id="rId80" w:type="default"/>
          <w:pgSz w:w="11910" w:h="17130"/>
          <w:pgMar w:top="400" w:right="1414" w:bottom="1617" w:left="1009" w:header="0" w:footer="1400" w:gutter="0"/>
          <w:cols w:space="720" w:num="1"/>
        </w:sectPr>
      </w:pPr>
    </w:p>
    <w:p w14:paraId="579280C2">
      <w:pPr>
        <w:pStyle w:val="2"/>
        <w:spacing w:line="260" w:lineRule="auto"/>
      </w:pPr>
    </w:p>
    <w:p w14:paraId="2BEF8422">
      <w:pPr>
        <w:pStyle w:val="2"/>
        <w:spacing w:line="260" w:lineRule="auto"/>
      </w:pPr>
    </w:p>
    <w:p w14:paraId="576D6CF0">
      <w:pPr>
        <w:pStyle w:val="2"/>
        <w:spacing w:line="260" w:lineRule="auto"/>
      </w:pPr>
    </w:p>
    <w:p w14:paraId="2673232B">
      <w:pPr>
        <w:pStyle w:val="2"/>
        <w:spacing w:line="260" w:lineRule="auto"/>
      </w:pPr>
    </w:p>
    <w:p w14:paraId="04909410">
      <w:pPr>
        <w:spacing w:before="91" w:line="222" w:lineRule="auto"/>
        <w:ind w:left="134"/>
        <w:rPr>
          <w:rFonts w:ascii="黑体" w:hAnsi="黑体" w:eastAsia="黑体" w:cs="黑体"/>
          <w:sz w:val="28"/>
          <w:szCs w:val="28"/>
        </w:rPr>
      </w:pPr>
      <w:r>
        <w:rPr>
          <w:rFonts w:ascii="黑体" w:hAnsi="黑体" w:eastAsia="黑体" w:cs="黑体"/>
          <w:spacing w:val="-6"/>
          <w:sz w:val="28"/>
          <w:szCs w:val="28"/>
        </w:rPr>
        <w:t>2</w:t>
      </w:r>
      <w:r>
        <w:rPr>
          <w:rFonts w:ascii="黑体" w:hAnsi="黑体" w:eastAsia="黑体" w:cs="黑体"/>
          <w:spacing w:val="6"/>
          <w:sz w:val="28"/>
          <w:szCs w:val="28"/>
        </w:rPr>
        <w:t xml:space="preserve">  </w:t>
      </w:r>
      <w:r>
        <w:rPr>
          <w:rFonts w:ascii="黑体" w:hAnsi="黑体" w:eastAsia="黑体" w:cs="黑体"/>
          <w:b/>
          <w:bCs/>
          <w:spacing w:val="-6"/>
          <w:sz w:val="28"/>
          <w:szCs w:val="28"/>
        </w:rPr>
        <w:t>技术要求</w:t>
      </w:r>
    </w:p>
    <w:p w14:paraId="06600BEF">
      <w:pPr>
        <w:spacing w:before="102" w:line="222" w:lineRule="auto"/>
        <w:ind w:left="134"/>
        <w:rPr>
          <w:rFonts w:ascii="黑体" w:hAnsi="黑体" w:eastAsia="黑体" w:cs="黑体"/>
          <w:sz w:val="27"/>
          <w:szCs w:val="27"/>
        </w:rPr>
      </w:pPr>
      <w:r>
        <w:rPr>
          <w:rFonts w:ascii="黑体" w:hAnsi="黑体" w:eastAsia="黑体" w:cs="黑体"/>
          <w:sz w:val="27"/>
          <w:szCs w:val="27"/>
        </w:rPr>
        <w:t>2.1</w:t>
      </w:r>
      <w:r>
        <w:rPr>
          <w:rFonts w:ascii="黑体" w:hAnsi="黑体" w:eastAsia="黑体" w:cs="黑体"/>
          <w:spacing w:val="15"/>
          <w:sz w:val="27"/>
          <w:szCs w:val="27"/>
        </w:rPr>
        <w:t xml:space="preserve">  </w:t>
      </w:r>
      <w:r>
        <w:rPr>
          <w:rFonts w:ascii="黑体" w:hAnsi="黑体" w:eastAsia="黑体" w:cs="黑体"/>
          <w:b/>
          <w:bCs/>
          <w:sz w:val="27"/>
          <w:szCs w:val="27"/>
        </w:rPr>
        <w:t>产品用途与组成</w:t>
      </w:r>
    </w:p>
    <w:p w14:paraId="409F65CF">
      <w:pPr>
        <w:spacing w:before="99" w:line="219" w:lineRule="auto"/>
        <w:ind w:left="694"/>
        <w:rPr>
          <w:rFonts w:ascii="宋体" w:hAnsi="宋体" w:eastAsia="宋体" w:cs="宋体"/>
          <w:sz w:val="27"/>
          <w:szCs w:val="27"/>
        </w:rPr>
      </w:pPr>
      <w:r>
        <w:rPr>
          <w:rFonts w:ascii="宋体" w:hAnsi="宋体" w:eastAsia="宋体" w:cs="宋体"/>
          <w:spacing w:val="1"/>
          <w:sz w:val="27"/>
          <w:szCs w:val="27"/>
        </w:rPr>
        <w:t>阐明产品的用途与组成。</w:t>
      </w:r>
    </w:p>
    <w:p w14:paraId="60EFB280">
      <w:pPr>
        <w:spacing w:before="124" w:line="222" w:lineRule="auto"/>
        <w:ind w:left="134"/>
        <w:rPr>
          <w:rFonts w:ascii="黑体" w:hAnsi="黑体" w:eastAsia="黑体" w:cs="黑体"/>
          <w:sz w:val="24"/>
          <w:szCs w:val="24"/>
        </w:rPr>
      </w:pPr>
      <w:r>
        <w:rPr>
          <w:rFonts w:ascii="黑体" w:hAnsi="黑体" w:eastAsia="黑体" w:cs="黑体"/>
          <w:spacing w:val="16"/>
          <w:sz w:val="24"/>
          <w:szCs w:val="24"/>
        </w:rPr>
        <w:t>2.2</w:t>
      </w:r>
      <w:r>
        <w:rPr>
          <w:rFonts w:ascii="黑体" w:hAnsi="黑体" w:eastAsia="黑体" w:cs="黑体"/>
          <w:spacing w:val="53"/>
          <w:sz w:val="24"/>
          <w:szCs w:val="24"/>
        </w:rPr>
        <w:t xml:space="preserve">  </w:t>
      </w:r>
      <w:r>
        <w:rPr>
          <w:rFonts w:ascii="黑体" w:hAnsi="黑体" w:eastAsia="黑体" w:cs="黑体"/>
          <w:b/>
          <w:bCs/>
          <w:spacing w:val="16"/>
          <w:sz w:val="24"/>
          <w:szCs w:val="24"/>
        </w:rPr>
        <w:t>性能要求</w:t>
      </w:r>
    </w:p>
    <w:p w14:paraId="3E174FA0">
      <w:pPr>
        <w:spacing w:before="74" w:line="331" w:lineRule="auto"/>
        <w:ind w:left="134" w:right="4" w:firstLine="559"/>
        <w:rPr>
          <w:rFonts w:ascii="宋体" w:hAnsi="宋体" w:eastAsia="宋体" w:cs="宋体"/>
          <w:sz w:val="25"/>
          <w:szCs w:val="25"/>
        </w:rPr>
      </w:pPr>
      <w:r>
        <w:rPr>
          <w:rFonts w:ascii="宋体" w:hAnsi="宋体" w:eastAsia="宋体" w:cs="宋体"/>
          <w:spacing w:val="17"/>
          <w:sz w:val="25"/>
          <w:szCs w:val="25"/>
        </w:rPr>
        <w:t>应包括产品功能特性及技术参数，可靠性、维修性、安全性及电磁兼容性定</w:t>
      </w:r>
      <w:r>
        <w:rPr>
          <w:rFonts w:ascii="宋体" w:hAnsi="宋体" w:eastAsia="宋体" w:cs="宋体"/>
          <w:spacing w:val="4"/>
          <w:sz w:val="25"/>
          <w:szCs w:val="25"/>
        </w:rPr>
        <w:t xml:space="preserve"> </w:t>
      </w:r>
      <w:r>
        <w:rPr>
          <w:rFonts w:ascii="宋体" w:hAnsi="宋体" w:eastAsia="宋体" w:cs="宋体"/>
          <w:spacing w:val="19"/>
          <w:sz w:val="25"/>
          <w:szCs w:val="25"/>
        </w:rPr>
        <w:t>量指标要求。</w:t>
      </w:r>
    </w:p>
    <w:p w14:paraId="0C2535DC">
      <w:pPr>
        <w:spacing w:before="1" w:line="221" w:lineRule="auto"/>
        <w:ind w:left="134"/>
        <w:rPr>
          <w:rFonts w:ascii="黑体" w:hAnsi="黑体" w:eastAsia="黑体" w:cs="黑体"/>
          <w:sz w:val="24"/>
          <w:szCs w:val="24"/>
        </w:rPr>
      </w:pPr>
      <w:r>
        <w:rPr>
          <w:rFonts w:ascii="黑体" w:hAnsi="黑体" w:eastAsia="黑体" w:cs="黑体"/>
          <w:spacing w:val="16"/>
          <w:sz w:val="24"/>
          <w:szCs w:val="24"/>
        </w:rPr>
        <w:t>2.3</w:t>
      </w:r>
      <w:r>
        <w:rPr>
          <w:rFonts w:ascii="黑体" w:hAnsi="黑体" w:eastAsia="黑体" w:cs="黑体"/>
          <w:spacing w:val="53"/>
          <w:sz w:val="24"/>
          <w:szCs w:val="24"/>
        </w:rPr>
        <w:t xml:space="preserve">  </w:t>
      </w:r>
      <w:r>
        <w:rPr>
          <w:rFonts w:ascii="黑体" w:hAnsi="黑体" w:eastAsia="黑体" w:cs="黑体"/>
          <w:b/>
          <w:bCs/>
          <w:spacing w:val="16"/>
          <w:sz w:val="24"/>
          <w:szCs w:val="24"/>
        </w:rPr>
        <w:t>使用要求</w:t>
      </w:r>
    </w:p>
    <w:p w14:paraId="27BE8CB8">
      <w:pPr>
        <w:spacing w:before="87" w:line="219" w:lineRule="auto"/>
        <w:ind w:left="694"/>
        <w:rPr>
          <w:rFonts w:ascii="宋体" w:hAnsi="宋体" w:eastAsia="宋体" w:cs="宋体"/>
          <w:sz w:val="27"/>
          <w:szCs w:val="27"/>
        </w:rPr>
      </w:pPr>
      <w:r>
        <w:rPr>
          <w:rFonts w:ascii="宋体" w:hAnsi="宋体" w:eastAsia="宋体" w:cs="宋体"/>
          <w:spacing w:val="-17"/>
          <w:sz w:val="27"/>
          <w:szCs w:val="27"/>
        </w:rPr>
        <w:t>应包括产品的操作、停放、安装、贮存、运输等要求。</w:t>
      </w:r>
    </w:p>
    <w:p w14:paraId="07BFB0DD">
      <w:pPr>
        <w:spacing w:before="114" w:line="222" w:lineRule="auto"/>
        <w:ind w:left="134"/>
        <w:rPr>
          <w:rFonts w:ascii="黑体" w:hAnsi="黑体" w:eastAsia="黑体" w:cs="黑体"/>
          <w:sz w:val="27"/>
          <w:szCs w:val="27"/>
        </w:rPr>
      </w:pPr>
      <w:r>
        <w:rPr>
          <w:rFonts w:ascii="黑体" w:hAnsi="黑体" w:eastAsia="黑体" w:cs="黑体"/>
          <w:spacing w:val="-1"/>
          <w:sz w:val="27"/>
          <w:szCs w:val="27"/>
        </w:rPr>
        <w:t>2.4</w:t>
      </w:r>
      <w:r>
        <w:rPr>
          <w:rFonts w:ascii="黑体" w:hAnsi="黑体" w:eastAsia="黑体" w:cs="黑体"/>
          <w:spacing w:val="15"/>
          <w:sz w:val="27"/>
          <w:szCs w:val="27"/>
        </w:rPr>
        <w:t xml:space="preserve">  </w:t>
      </w:r>
      <w:r>
        <w:rPr>
          <w:rFonts w:ascii="黑体" w:hAnsi="黑体" w:eastAsia="黑体" w:cs="黑体"/>
          <w:b/>
          <w:bCs/>
          <w:spacing w:val="-1"/>
          <w:sz w:val="27"/>
          <w:szCs w:val="27"/>
        </w:rPr>
        <w:t>环境要求</w:t>
      </w:r>
    </w:p>
    <w:p w14:paraId="3CF749CD">
      <w:pPr>
        <w:spacing w:before="101" w:line="219" w:lineRule="auto"/>
        <w:ind w:left="694"/>
        <w:rPr>
          <w:rFonts w:ascii="宋体" w:hAnsi="宋体" w:eastAsia="宋体" w:cs="宋体"/>
          <w:sz w:val="27"/>
          <w:szCs w:val="27"/>
        </w:rPr>
      </w:pPr>
      <w:r>
        <w:rPr>
          <w:rFonts w:ascii="宋体" w:hAnsi="宋体" w:eastAsia="宋体" w:cs="宋体"/>
          <w:spacing w:val="-5"/>
          <w:sz w:val="27"/>
          <w:szCs w:val="27"/>
        </w:rPr>
        <w:t>应包括力学环境、自然环境、电磁环境及其他特</w:t>
      </w:r>
      <w:r>
        <w:rPr>
          <w:rFonts w:ascii="宋体" w:hAnsi="宋体" w:eastAsia="宋体" w:cs="宋体"/>
          <w:spacing w:val="-6"/>
          <w:sz w:val="27"/>
          <w:szCs w:val="27"/>
        </w:rPr>
        <w:t>殊环境要求。</w:t>
      </w:r>
    </w:p>
    <w:p w14:paraId="447F0BF1">
      <w:pPr>
        <w:spacing w:before="114" w:line="222" w:lineRule="auto"/>
        <w:ind w:left="134"/>
        <w:rPr>
          <w:rFonts w:ascii="黑体" w:hAnsi="黑体" w:eastAsia="黑体" w:cs="黑体"/>
          <w:sz w:val="27"/>
          <w:szCs w:val="27"/>
        </w:rPr>
      </w:pPr>
      <w:r>
        <w:rPr>
          <w:rFonts w:ascii="黑体" w:hAnsi="黑体" w:eastAsia="黑体" w:cs="黑体"/>
          <w:spacing w:val="-1"/>
          <w:sz w:val="27"/>
          <w:szCs w:val="27"/>
        </w:rPr>
        <w:t>2.5</w:t>
      </w:r>
      <w:r>
        <w:rPr>
          <w:rFonts w:ascii="黑体" w:hAnsi="黑体" w:eastAsia="黑体" w:cs="黑体"/>
          <w:spacing w:val="15"/>
          <w:sz w:val="27"/>
          <w:szCs w:val="27"/>
        </w:rPr>
        <w:t xml:space="preserve">  </w:t>
      </w:r>
      <w:r>
        <w:rPr>
          <w:rFonts w:ascii="黑体" w:hAnsi="黑体" w:eastAsia="黑体" w:cs="黑体"/>
          <w:b/>
          <w:bCs/>
          <w:spacing w:val="-1"/>
          <w:sz w:val="27"/>
          <w:szCs w:val="27"/>
        </w:rPr>
        <w:t>设计要求</w:t>
      </w:r>
    </w:p>
    <w:p w14:paraId="68EC6171">
      <w:pPr>
        <w:spacing w:before="79" w:line="290" w:lineRule="auto"/>
        <w:ind w:left="134" w:right="12" w:firstLine="559"/>
        <w:rPr>
          <w:rFonts w:ascii="宋体" w:hAnsi="宋体" w:eastAsia="宋体" w:cs="宋体"/>
          <w:sz w:val="27"/>
          <w:szCs w:val="27"/>
        </w:rPr>
      </w:pPr>
      <w:r>
        <w:rPr>
          <w:rFonts w:ascii="宋体" w:hAnsi="宋体" w:eastAsia="宋体" w:cs="宋体"/>
          <w:spacing w:val="-11"/>
          <w:sz w:val="27"/>
          <w:szCs w:val="27"/>
        </w:rPr>
        <w:t>应包括产品工作原理、电气结构要求、互换性要求、接口要求、零部件和材料</w:t>
      </w:r>
      <w:r>
        <w:rPr>
          <w:rFonts w:ascii="宋体" w:hAnsi="宋体" w:eastAsia="宋体" w:cs="宋体"/>
          <w:spacing w:val="2"/>
          <w:sz w:val="27"/>
          <w:szCs w:val="27"/>
        </w:rPr>
        <w:t xml:space="preserve"> </w:t>
      </w:r>
      <w:r>
        <w:rPr>
          <w:rFonts w:ascii="宋体" w:hAnsi="宋体" w:eastAsia="宋体" w:cs="宋体"/>
          <w:spacing w:val="-7"/>
          <w:sz w:val="27"/>
          <w:szCs w:val="27"/>
        </w:rPr>
        <w:t>要求以及安装、保护等要求。</w:t>
      </w:r>
    </w:p>
    <w:p w14:paraId="73328041">
      <w:pPr>
        <w:spacing w:line="222" w:lineRule="auto"/>
        <w:ind w:left="134"/>
        <w:rPr>
          <w:rFonts w:ascii="黑体" w:hAnsi="黑体" w:eastAsia="黑体" w:cs="黑体"/>
          <w:sz w:val="27"/>
          <w:szCs w:val="27"/>
        </w:rPr>
      </w:pPr>
      <w:r>
        <w:rPr>
          <w:rFonts w:ascii="黑体" w:hAnsi="黑体" w:eastAsia="黑体" w:cs="黑体"/>
          <w:spacing w:val="9"/>
          <w:sz w:val="27"/>
          <w:szCs w:val="27"/>
        </w:rPr>
        <w:t xml:space="preserve">3  </w:t>
      </w:r>
      <w:r>
        <w:rPr>
          <w:rFonts w:ascii="黑体" w:hAnsi="黑体" w:eastAsia="黑体" w:cs="黑体"/>
          <w:b/>
          <w:bCs/>
          <w:spacing w:val="9"/>
          <w:sz w:val="27"/>
          <w:szCs w:val="27"/>
        </w:rPr>
        <w:t>质量保证与控制要求</w:t>
      </w:r>
    </w:p>
    <w:p w14:paraId="2E0DF40F">
      <w:pPr>
        <w:spacing w:before="115" w:line="222" w:lineRule="auto"/>
        <w:ind w:left="134"/>
        <w:rPr>
          <w:rFonts w:ascii="黑体" w:hAnsi="黑体" w:eastAsia="黑体" w:cs="黑体"/>
          <w:sz w:val="25"/>
          <w:szCs w:val="25"/>
        </w:rPr>
      </w:pPr>
      <w:r>
        <w:rPr>
          <w:rFonts w:ascii="黑体" w:hAnsi="黑体" w:eastAsia="黑体" w:cs="黑体"/>
          <w:spacing w:val="10"/>
          <w:sz w:val="25"/>
          <w:szCs w:val="25"/>
        </w:rPr>
        <w:t>3.1</w:t>
      </w:r>
      <w:r>
        <w:rPr>
          <w:rFonts w:ascii="黑体" w:hAnsi="黑体" w:eastAsia="黑体" w:cs="黑体"/>
          <w:spacing w:val="41"/>
          <w:sz w:val="25"/>
          <w:szCs w:val="25"/>
        </w:rPr>
        <w:t xml:space="preserve">  </w:t>
      </w:r>
      <w:r>
        <w:rPr>
          <w:rFonts w:ascii="黑体" w:hAnsi="黑体" w:eastAsia="黑体" w:cs="黑体"/>
          <w:b/>
          <w:bCs/>
          <w:spacing w:val="10"/>
          <w:sz w:val="25"/>
          <w:szCs w:val="25"/>
        </w:rPr>
        <w:t>质量要求</w:t>
      </w:r>
    </w:p>
    <w:p w14:paraId="722AA93A">
      <w:pPr>
        <w:spacing w:before="73" w:line="293" w:lineRule="auto"/>
        <w:ind w:left="134" w:right="4" w:firstLine="559"/>
        <w:rPr>
          <w:rFonts w:ascii="宋体" w:hAnsi="宋体" w:eastAsia="宋体" w:cs="宋体"/>
          <w:sz w:val="27"/>
          <w:szCs w:val="27"/>
        </w:rPr>
      </w:pPr>
      <w:r>
        <w:rPr>
          <w:rFonts w:ascii="宋体" w:hAnsi="宋体" w:eastAsia="宋体" w:cs="宋体"/>
          <w:spacing w:val="5"/>
          <w:sz w:val="27"/>
          <w:szCs w:val="27"/>
        </w:rPr>
        <w:t>规定任务应达到的质量方面的要求。质量要求应符合任务所指产品的上层</w:t>
      </w:r>
      <w:r>
        <w:rPr>
          <w:rFonts w:ascii="宋体" w:hAnsi="宋体" w:eastAsia="宋体" w:cs="宋体"/>
          <w:spacing w:val="15"/>
          <w:sz w:val="27"/>
          <w:szCs w:val="27"/>
        </w:rPr>
        <w:t xml:space="preserve"> </w:t>
      </w:r>
      <w:r>
        <w:rPr>
          <w:rFonts w:ascii="宋体" w:hAnsi="宋体" w:eastAsia="宋体" w:cs="宋体"/>
          <w:spacing w:val="-13"/>
          <w:sz w:val="27"/>
          <w:szCs w:val="27"/>
        </w:rPr>
        <w:t>次产品的《质量保证大纲》的要求。</w:t>
      </w:r>
    </w:p>
    <w:p w14:paraId="6546A572">
      <w:pPr>
        <w:spacing w:line="222" w:lineRule="auto"/>
        <w:ind w:left="134"/>
        <w:rPr>
          <w:rFonts w:ascii="黑体" w:hAnsi="黑体" w:eastAsia="黑体" w:cs="黑体"/>
          <w:sz w:val="27"/>
          <w:szCs w:val="27"/>
        </w:rPr>
      </w:pPr>
      <w:r>
        <w:rPr>
          <w:rFonts w:ascii="黑体" w:hAnsi="黑体" w:eastAsia="黑体" w:cs="黑体"/>
          <w:spacing w:val="-1"/>
          <w:sz w:val="27"/>
          <w:szCs w:val="27"/>
        </w:rPr>
        <w:t>3.2</w:t>
      </w:r>
      <w:r>
        <w:rPr>
          <w:rFonts w:ascii="黑体" w:hAnsi="黑体" w:eastAsia="黑体" w:cs="黑体"/>
          <w:spacing w:val="14"/>
          <w:sz w:val="27"/>
          <w:szCs w:val="27"/>
        </w:rPr>
        <w:t xml:space="preserve">  </w:t>
      </w:r>
      <w:r>
        <w:rPr>
          <w:rFonts w:ascii="黑体" w:hAnsi="黑体" w:eastAsia="黑体" w:cs="黑体"/>
          <w:b/>
          <w:bCs/>
          <w:spacing w:val="-1"/>
          <w:sz w:val="27"/>
          <w:szCs w:val="27"/>
        </w:rPr>
        <w:t>标准化要求</w:t>
      </w:r>
    </w:p>
    <w:p w14:paraId="10E081EB">
      <w:pPr>
        <w:spacing w:before="90" w:line="295" w:lineRule="auto"/>
        <w:ind w:left="134" w:firstLine="559"/>
        <w:rPr>
          <w:rFonts w:ascii="宋体" w:hAnsi="宋体" w:eastAsia="宋体" w:cs="宋体"/>
          <w:sz w:val="27"/>
          <w:szCs w:val="27"/>
        </w:rPr>
      </w:pPr>
      <w:r>
        <w:rPr>
          <w:rFonts w:ascii="宋体" w:hAnsi="宋体" w:eastAsia="宋体" w:cs="宋体"/>
          <w:spacing w:val="6"/>
          <w:sz w:val="27"/>
          <w:szCs w:val="27"/>
        </w:rPr>
        <w:t>规定任务应达到的标准化方面的要求。标准化</w:t>
      </w:r>
      <w:r>
        <w:rPr>
          <w:rFonts w:ascii="宋体" w:hAnsi="宋体" w:eastAsia="宋体" w:cs="宋体"/>
          <w:spacing w:val="5"/>
          <w:sz w:val="27"/>
          <w:szCs w:val="27"/>
        </w:rPr>
        <w:t>要求应符合任务所指产品的</w:t>
      </w:r>
      <w:r>
        <w:rPr>
          <w:rFonts w:ascii="宋体" w:hAnsi="宋体" w:eastAsia="宋体" w:cs="宋体"/>
          <w:sz w:val="27"/>
          <w:szCs w:val="27"/>
        </w:rPr>
        <w:t xml:space="preserve"> </w:t>
      </w:r>
      <w:r>
        <w:rPr>
          <w:rFonts w:ascii="宋体" w:hAnsi="宋体" w:eastAsia="宋体" w:cs="宋体"/>
          <w:spacing w:val="-13"/>
          <w:sz w:val="27"/>
          <w:szCs w:val="27"/>
        </w:rPr>
        <w:t>上层次产品《标准化大纲》的要求。</w:t>
      </w:r>
    </w:p>
    <w:p w14:paraId="64047C7C">
      <w:pPr>
        <w:spacing w:before="1" w:line="220" w:lineRule="auto"/>
        <w:ind w:left="134"/>
        <w:rPr>
          <w:rFonts w:ascii="黑体" w:hAnsi="黑体" w:eastAsia="黑体" w:cs="黑体"/>
          <w:sz w:val="27"/>
          <w:szCs w:val="27"/>
        </w:rPr>
      </w:pPr>
      <w:r>
        <w:rPr>
          <w:rFonts w:ascii="黑体" w:hAnsi="黑体" w:eastAsia="黑体" w:cs="黑体"/>
          <w:spacing w:val="3"/>
          <w:sz w:val="27"/>
          <w:szCs w:val="27"/>
        </w:rPr>
        <w:t xml:space="preserve">3.3  </w:t>
      </w:r>
      <w:r>
        <w:rPr>
          <w:rFonts w:ascii="黑体" w:hAnsi="黑体" w:eastAsia="黑体" w:cs="黑体"/>
          <w:b/>
          <w:bCs/>
          <w:spacing w:val="3"/>
          <w:sz w:val="27"/>
          <w:szCs w:val="27"/>
        </w:rPr>
        <w:t>可靠性维修性测试性保障性安全性要求</w:t>
      </w:r>
    </w:p>
    <w:p w14:paraId="58EF0671">
      <w:pPr>
        <w:spacing w:before="96" w:line="284" w:lineRule="auto"/>
        <w:ind w:right="10" w:firstLine="694"/>
        <w:jc w:val="both"/>
        <w:rPr>
          <w:rFonts w:ascii="宋体" w:hAnsi="宋体" w:eastAsia="宋体" w:cs="宋体"/>
          <w:sz w:val="27"/>
          <w:szCs w:val="27"/>
        </w:rPr>
      </w:pPr>
      <w:r>
        <w:rPr>
          <w:rFonts w:ascii="宋体" w:hAnsi="宋体" w:eastAsia="宋体" w:cs="宋体"/>
          <w:spacing w:val="-11"/>
          <w:sz w:val="27"/>
          <w:szCs w:val="27"/>
        </w:rPr>
        <w:t>规定任务应达到的可靠性、维修性、测试性、保障性、安全性方面的要求；可</w:t>
      </w:r>
      <w:r>
        <w:rPr>
          <w:rFonts w:ascii="宋体" w:hAnsi="宋体" w:eastAsia="宋体" w:cs="宋体"/>
          <w:spacing w:val="4"/>
          <w:sz w:val="27"/>
          <w:szCs w:val="27"/>
        </w:rPr>
        <w:t xml:space="preserve"> </w:t>
      </w:r>
      <w:r>
        <w:rPr>
          <w:rFonts w:ascii="宋体" w:hAnsi="宋体" w:eastAsia="宋体" w:cs="宋体"/>
          <w:spacing w:val="-6"/>
          <w:sz w:val="27"/>
          <w:szCs w:val="27"/>
        </w:rPr>
        <w:t>靠性、维修性、测试性、保障性、安全性要求应符合任务所</w:t>
      </w:r>
      <w:r>
        <w:rPr>
          <w:rFonts w:ascii="宋体" w:hAnsi="宋体" w:eastAsia="宋体" w:cs="宋体"/>
          <w:spacing w:val="-7"/>
          <w:sz w:val="27"/>
          <w:szCs w:val="27"/>
        </w:rPr>
        <w:t>指产品的上层次产品的</w:t>
      </w:r>
      <w:r>
        <w:rPr>
          <w:rFonts w:ascii="宋体" w:hAnsi="宋体" w:eastAsia="宋体" w:cs="宋体"/>
          <w:sz w:val="27"/>
          <w:szCs w:val="27"/>
        </w:rPr>
        <w:t xml:space="preserve"> </w:t>
      </w:r>
      <w:r>
        <w:rPr>
          <w:rFonts w:ascii="宋体" w:hAnsi="宋体" w:eastAsia="宋体" w:cs="宋体"/>
          <w:spacing w:val="-33"/>
          <w:sz w:val="27"/>
          <w:szCs w:val="27"/>
        </w:rPr>
        <w:t>《可靠性大纲》、《维修性大纲》、《测试性大纲》、《保障性大纲》、《安全性大纲》的</w:t>
      </w:r>
      <w:r>
        <w:rPr>
          <w:rFonts w:ascii="宋体" w:hAnsi="宋体" w:eastAsia="宋体" w:cs="宋体"/>
          <w:spacing w:val="13"/>
          <w:sz w:val="27"/>
          <w:szCs w:val="27"/>
        </w:rPr>
        <w:t xml:space="preserve"> </w:t>
      </w:r>
      <w:r>
        <w:rPr>
          <w:rFonts w:ascii="宋体" w:hAnsi="宋体" w:eastAsia="宋体" w:cs="宋体"/>
          <w:spacing w:val="43"/>
          <w:sz w:val="27"/>
          <w:szCs w:val="27"/>
        </w:rPr>
        <w:t>要求。</w:t>
      </w:r>
    </w:p>
    <w:p w14:paraId="3F158A4D">
      <w:pPr>
        <w:pStyle w:val="2"/>
        <w:spacing w:before="1" w:line="220" w:lineRule="auto"/>
        <w:ind w:left="134"/>
        <w:rPr>
          <w:rFonts w:ascii="黑体" w:hAnsi="黑体" w:eastAsia="黑体" w:cs="黑体"/>
          <w:sz w:val="27"/>
          <w:szCs w:val="27"/>
        </w:rPr>
      </w:pPr>
      <w:r>
        <w:rPr>
          <w:b/>
          <w:bCs/>
          <w:spacing w:val="2"/>
          <w:sz w:val="27"/>
          <w:szCs w:val="27"/>
        </w:rPr>
        <w:t>4</w:t>
      </w:r>
      <w:r>
        <w:rPr>
          <w:b/>
          <w:bCs/>
          <w:spacing w:val="20"/>
          <w:sz w:val="27"/>
          <w:szCs w:val="27"/>
        </w:rPr>
        <w:t xml:space="preserve">   </w:t>
      </w:r>
      <w:r>
        <w:rPr>
          <w:rFonts w:ascii="黑体" w:hAnsi="黑体" w:eastAsia="黑体" w:cs="黑体"/>
          <w:b/>
          <w:bCs/>
          <w:spacing w:val="2"/>
          <w:sz w:val="27"/>
          <w:szCs w:val="27"/>
        </w:rPr>
        <w:t>其他要求及说明事项</w:t>
      </w:r>
    </w:p>
    <w:p w14:paraId="784CDBAB">
      <w:pPr>
        <w:spacing w:before="93" w:line="219" w:lineRule="auto"/>
        <w:ind w:left="694"/>
        <w:rPr>
          <w:rFonts w:ascii="宋体" w:hAnsi="宋体" w:eastAsia="宋体" w:cs="宋体"/>
          <w:sz w:val="27"/>
          <w:szCs w:val="27"/>
        </w:rPr>
      </w:pPr>
      <w:r>
        <w:rPr>
          <w:rFonts w:ascii="宋体" w:hAnsi="宋体" w:eastAsia="宋体" w:cs="宋体"/>
          <w:spacing w:val="5"/>
          <w:sz w:val="27"/>
          <w:szCs w:val="27"/>
        </w:rPr>
        <w:t>应包括上述内容未包括的其他特殊要求及需要说明</w:t>
      </w:r>
      <w:r>
        <w:rPr>
          <w:rFonts w:ascii="宋体" w:hAnsi="宋体" w:eastAsia="宋体" w:cs="宋体"/>
          <w:spacing w:val="4"/>
          <w:sz w:val="27"/>
          <w:szCs w:val="27"/>
        </w:rPr>
        <w:t>的有关事项。</w:t>
      </w:r>
    </w:p>
    <w:p w14:paraId="1375D346">
      <w:pPr>
        <w:spacing w:before="124" w:line="222" w:lineRule="auto"/>
        <w:ind w:left="134"/>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13"/>
          <w:sz w:val="27"/>
          <w:szCs w:val="27"/>
        </w:rPr>
        <w:t xml:space="preserve">  </w:t>
      </w:r>
      <w:r>
        <w:rPr>
          <w:rFonts w:ascii="黑体" w:hAnsi="黑体" w:eastAsia="黑体" w:cs="黑体"/>
          <w:b/>
          <w:bCs/>
          <w:spacing w:val="-1"/>
          <w:sz w:val="27"/>
          <w:szCs w:val="27"/>
        </w:rPr>
        <w:t>验收与交付</w:t>
      </w:r>
    </w:p>
    <w:p w14:paraId="24B91EFB">
      <w:pPr>
        <w:spacing w:before="92" w:line="219" w:lineRule="auto"/>
        <w:ind w:left="694"/>
        <w:rPr>
          <w:rFonts w:ascii="宋体" w:hAnsi="宋体" w:eastAsia="宋体" w:cs="宋体"/>
          <w:sz w:val="27"/>
          <w:szCs w:val="27"/>
        </w:rPr>
      </w:pPr>
      <w:r>
        <w:rPr>
          <w:rFonts w:ascii="宋体" w:hAnsi="宋体" w:eastAsia="宋体" w:cs="宋体"/>
          <w:spacing w:val="-6"/>
          <w:sz w:val="27"/>
          <w:szCs w:val="27"/>
        </w:rPr>
        <w:t>应包括验收规则、程序及交付的产品、文件等方面的要求。</w:t>
      </w:r>
    </w:p>
    <w:p w14:paraId="104FCEDF">
      <w:pPr>
        <w:spacing w:before="122" w:line="221" w:lineRule="auto"/>
        <w:ind w:left="134"/>
        <w:rPr>
          <w:rFonts w:ascii="黑体" w:hAnsi="黑体" w:eastAsia="黑体" w:cs="黑体"/>
          <w:sz w:val="25"/>
          <w:szCs w:val="25"/>
        </w:rPr>
      </w:pPr>
      <w:r>
        <w:rPr>
          <w:rFonts w:ascii="黑体" w:hAnsi="黑体" w:eastAsia="黑体" w:cs="黑体"/>
          <w:spacing w:val="14"/>
          <w:sz w:val="25"/>
          <w:szCs w:val="25"/>
        </w:rPr>
        <w:t>6</w:t>
      </w:r>
      <w:r>
        <w:rPr>
          <w:rFonts w:ascii="黑体" w:hAnsi="黑体" w:eastAsia="黑体" w:cs="黑体"/>
          <w:spacing w:val="29"/>
          <w:sz w:val="25"/>
          <w:szCs w:val="25"/>
        </w:rPr>
        <w:t xml:space="preserve">  </w:t>
      </w:r>
      <w:r>
        <w:rPr>
          <w:rFonts w:ascii="黑体" w:hAnsi="黑体" w:eastAsia="黑体" w:cs="黑体"/>
          <w:b/>
          <w:bCs/>
          <w:spacing w:val="14"/>
          <w:sz w:val="25"/>
          <w:szCs w:val="25"/>
        </w:rPr>
        <w:t>完成形式</w:t>
      </w:r>
    </w:p>
    <w:p w14:paraId="1F2B0CE2">
      <w:pPr>
        <w:spacing w:before="118" w:line="219" w:lineRule="auto"/>
        <w:ind w:left="694"/>
        <w:rPr>
          <w:rFonts w:ascii="宋体" w:hAnsi="宋体" w:eastAsia="宋体" w:cs="宋体"/>
          <w:sz w:val="27"/>
          <w:szCs w:val="27"/>
        </w:rPr>
      </w:pPr>
      <w:r>
        <w:rPr>
          <w:rFonts w:ascii="宋体" w:hAnsi="宋体" w:eastAsia="宋体" w:cs="宋体"/>
          <w:spacing w:val="1"/>
          <w:sz w:val="27"/>
          <w:szCs w:val="27"/>
        </w:rPr>
        <w:t>说明完成任务的标志。</w:t>
      </w:r>
    </w:p>
    <w:p w14:paraId="248E7537">
      <w:pPr>
        <w:spacing w:before="93" w:line="221" w:lineRule="auto"/>
        <w:ind w:left="134"/>
        <w:rPr>
          <w:rFonts w:ascii="黑体" w:hAnsi="黑体" w:eastAsia="黑体" w:cs="黑体"/>
          <w:sz w:val="27"/>
          <w:szCs w:val="27"/>
        </w:rPr>
      </w:pPr>
      <w:r>
        <w:rPr>
          <w:rFonts w:ascii="黑体" w:hAnsi="黑体" w:eastAsia="黑体" w:cs="黑体"/>
          <w:spacing w:val="4"/>
          <w:sz w:val="27"/>
          <w:szCs w:val="27"/>
        </w:rPr>
        <w:t xml:space="preserve">7  </w:t>
      </w:r>
      <w:r>
        <w:rPr>
          <w:rFonts w:ascii="黑体" w:hAnsi="黑体" w:eastAsia="黑体" w:cs="黑体"/>
          <w:b/>
          <w:bCs/>
          <w:spacing w:val="4"/>
          <w:sz w:val="27"/>
          <w:szCs w:val="27"/>
        </w:rPr>
        <w:t>任务周期和研制经费</w:t>
      </w:r>
    </w:p>
    <w:p w14:paraId="1708B1AE">
      <w:pPr>
        <w:spacing w:before="103" w:line="219" w:lineRule="auto"/>
        <w:ind w:left="694"/>
        <w:rPr>
          <w:rFonts w:ascii="宋体" w:hAnsi="宋体" w:eastAsia="宋体" w:cs="宋体"/>
          <w:sz w:val="27"/>
          <w:szCs w:val="27"/>
        </w:rPr>
      </w:pPr>
      <w:r>
        <w:rPr>
          <w:rFonts w:ascii="宋体" w:hAnsi="宋体" w:eastAsia="宋体" w:cs="宋体"/>
          <w:spacing w:val="-5"/>
          <w:sz w:val="27"/>
          <w:szCs w:val="27"/>
        </w:rPr>
        <w:t>说明研制任务的时间周期、计划进度；说明完成研制所需的经费。</w:t>
      </w:r>
    </w:p>
    <w:p w14:paraId="7C533F53">
      <w:pPr>
        <w:spacing w:line="219" w:lineRule="auto"/>
        <w:rPr>
          <w:rFonts w:ascii="宋体" w:hAnsi="宋体" w:eastAsia="宋体" w:cs="宋体"/>
          <w:sz w:val="27"/>
          <w:szCs w:val="27"/>
        </w:rPr>
        <w:sectPr>
          <w:footerReference r:id="rId81" w:type="default"/>
          <w:pgSz w:w="11910" w:h="17130"/>
          <w:pgMar w:top="400" w:right="1048" w:bottom="1593" w:left="1345" w:header="0" w:footer="1394" w:gutter="0"/>
          <w:cols w:space="720" w:num="1"/>
        </w:sectPr>
      </w:pPr>
    </w:p>
    <w:p w14:paraId="777A9435">
      <w:pPr>
        <w:pStyle w:val="2"/>
        <w:spacing w:line="249" w:lineRule="auto"/>
      </w:pPr>
    </w:p>
    <w:p w14:paraId="71D650D8">
      <w:pPr>
        <w:pStyle w:val="2"/>
        <w:spacing w:line="249" w:lineRule="auto"/>
      </w:pPr>
    </w:p>
    <w:p w14:paraId="6A88F54A">
      <w:pPr>
        <w:pStyle w:val="2"/>
        <w:spacing w:line="250" w:lineRule="auto"/>
      </w:pPr>
    </w:p>
    <w:p w14:paraId="3964FCAA">
      <w:pPr>
        <w:pStyle w:val="2"/>
        <w:spacing w:line="250" w:lineRule="auto"/>
      </w:pPr>
    </w:p>
    <w:p w14:paraId="018F43F0">
      <w:pPr>
        <w:pStyle w:val="2"/>
        <w:spacing w:line="250" w:lineRule="auto"/>
      </w:pPr>
    </w:p>
    <w:p w14:paraId="1FDE7B9E">
      <w:pPr>
        <w:spacing w:before="126" w:line="221" w:lineRule="auto"/>
        <w:ind w:left="3229"/>
        <w:outlineLvl w:val="1"/>
        <w:rPr>
          <w:rFonts w:ascii="宋体" w:hAnsi="宋体" w:eastAsia="宋体" w:cs="宋体"/>
          <w:sz w:val="39"/>
          <w:szCs w:val="39"/>
        </w:rPr>
      </w:pPr>
      <w:bookmarkStart w:id="46" w:name="bookmark23"/>
      <w:bookmarkEnd w:id="46"/>
      <w:r>
        <w:rPr>
          <w:rFonts w:ascii="宋体" w:hAnsi="宋体" w:eastAsia="宋体" w:cs="宋体"/>
          <w:spacing w:val="-15"/>
          <w:sz w:val="39"/>
          <w:szCs w:val="39"/>
        </w:rPr>
        <w:t>1.21</w:t>
      </w:r>
      <w:r>
        <w:rPr>
          <w:rFonts w:ascii="宋体" w:hAnsi="宋体" w:eastAsia="宋体" w:cs="宋体"/>
          <w:spacing w:val="165"/>
          <w:sz w:val="39"/>
          <w:szCs w:val="39"/>
        </w:rPr>
        <w:t xml:space="preserve"> </w:t>
      </w:r>
      <w:r>
        <w:rPr>
          <w:rFonts w:ascii="宋体" w:hAnsi="宋体" w:eastAsia="宋体" w:cs="宋体"/>
          <w:b/>
          <w:bCs/>
          <w:spacing w:val="-15"/>
          <w:sz w:val="39"/>
          <w:szCs w:val="39"/>
        </w:rPr>
        <w:t>详</w:t>
      </w:r>
      <w:r>
        <w:rPr>
          <w:rFonts w:ascii="宋体" w:hAnsi="宋体" w:eastAsia="宋体" w:cs="宋体"/>
          <w:spacing w:val="-80"/>
          <w:sz w:val="39"/>
          <w:szCs w:val="39"/>
        </w:rPr>
        <w:t xml:space="preserve"> </w:t>
      </w:r>
      <w:r>
        <w:rPr>
          <w:rFonts w:ascii="宋体" w:hAnsi="宋体" w:eastAsia="宋体" w:cs="宋体"/>
          <w:b/>
          <w:bCs/>
          <w:spacing w:val="-15"/>
          <w:sz w:val="39"/>
          <w:szCs w:val="39"/>
        </w:rPr>
        <w:t>细</w:t>
      </w:r>
      <w:r>
        <w:rPr>
          <w:rFonts w:ascii="宋体" w:hAnsi="宋体" w:eastAsia="宋体" w:cs="宋体"/>
          <w:spacing w:val="-75"/>
          <w:sz w:val="39"/>
          <w:szCs w:val="39"/>
        </w:rPr>
        <w:t xml:space="preserve"> </w:t>
      </w:r>
      <w:r>
        <w:rPr>
          <w:rFonts w:ascii="宋体" w:hAnsi="宋体" w:eastAsia="宋体" w:cs="宋体"/>
          <w:b/>
          <w:bCs/>
          <w:spacing w:val="-15"/>
          <w:sz w:val="39"/>
          <w:szCs w:val="39"/>
        </w:rPr>
        <w:t>设</w:t>
      </w:r>
      <w:r>
        <w:rPr>
          <w:rFonts w:ascii="宋体" w:hAnsi="宋体" w:eastAsia="宋体" w:cs="宋体"/>
          <w:spacing w:val="-81"/>
          <w:sz w:val="39"/>
          <w:szCs w:val="39"/>
        </w:rPr>
        <w:t xml:space="preserve"> </w:t>
      </w:r>
      <w:r>
        <w:rPr>
          <w:rFonts w:ascii="宋体" w:hAnsi="宋体" w:eastAsia="宋体" w:cs="宋体"/>
          <w:b/>
          <w:bCs/>
          <w:spacing w:val="-15"/>
          <w:sz w:val="39"/>
          <w:szCs w:val="39"/>
        </w:rPr>
        <w:t>计</w:t>
      </w:r>
    </w:p>
    <w:p w14:paraId="297C839A">
      <w:pPr>
        <w:pStyle w:val="2"/>
        <w:spacing w:line="354" w:lineRule="auto"/>
      </w:pPr>
    </w:p>
    <w:p w14:paraId="4C9F43E3">
      <w:pPr>
        <w:spacing w:before="81" w:line="223" w:lineRule="auto"/>
        <w:rPr>
          <w:rFonts w:ascii="黑体" w:hAnsi="黑体" w:eastAsia="黑体" w:cs="黑体"/>
          <w:sz w:val="25"/>
          <w:szCs w:val="25"/>
        </w:rPr>
      </w:pPr>
      <w:r>
        <w:rPr>
          <w:rFonts w:ascii="黑体" w:hAnsi="黑体" w:eastAsia="黑体" w:cs="黑体"/>
          <w:spacing w:val="8"/>
          <w:sz w:val="25"/>
          <w:szCs w:val="25"/>
        </w:rPr>
        <w:t>1</w:t>
      </w:r>
      <w:r>
        <w:rPr>
          <w:rFonts w:ascii="黑体" w:hAnsi="黑体" w:eastAsia="黑体" w:cs="黑体"/>
          <w:spacing w:val="42"/>
          <w:sz w:val="25"/>
          <w:szCs w:val="25"/>
        </w:rPr>
        <w:t xml:space="preserve">  </w:t>
      </w:r>
      <w:r>
        <w:rPr>
          <w:rFonts w:ascii="黑体" w:hAnsi="黑体" w:eastAsia="黑体" w:cs="黑体"/>
          <w:b/>
          <w:bCs/>
          <w:spacing w:val="8"/>
          <w:sz w:val="25"/>
          <w:szCs w:val="25"/>
        </w:rPr>
        <w:t>适用范围</w:t>
      </w:r>
    </w:p>
    <w:p w14:paraId="6BE00128">
      <w:pPr>
        <w:spacing w:before="101" w:line="219" w:lineRule="auto"/>
        <w:ind w:left="550"/>
        <w:rPr>
          <w:rFonts w:ascii="宋体" w:hAnsi="宋体" w:eastAsia="宋体" w:cs="宋体"/>
          <w:sz w:val="27"/>
          <w:szCs w:val="27"/>
        </w:rPr>
      </w:pPr>
      <w:r>
        <w:rPr>
          <w:rFonts w:ascii="宋体" w:hAnsi="宋体" w:eastAsia="宋体" w:cs="宋体"/>
          <w:spacing w:val="-2"/>
          <w:sz w:val="27"/>
          <w:szCs w:val="27"/>
        </w:rPr>
        <w:t>说明该研制方案的适用范围，包括适用对象和适用阶段等。</w:t>
      </w:r>
    </w:p>
    <w:p w14:paraId="47226528">
      <w:pPr>
        <w:spacing w:before="64"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8"/>
          <w:sz w:val="27"/>
          <w:szCs w:val="27"/>
        </w:rPr>
        <w:t xml:space="preserve">  </w:t>
      </w:r>
      <w:r>
        <w:rPr>
          <w:rFonts w:ascii="黑体" w:hAnsi="黑体" w:eastAsia="黑体" w:cs="黑体"/>
          <w:b/>
          <w:bCs/>
          <w:spacing w:val="-1"/>
          <w:sz w:val="27"/>
          <w:szCs w:val="27"/>
        </w:rPr>
        <w:t>研制依据</w:t>
      </w:r>
    </w:p>
    <w:p w14:paraId="5FB2E3F9">
      <w:pPr>
        <w:spacing w:before="109" w:line="219" w:lineRule="auto"/>
        <w:ind w:left="550"/>
        <w:rPr>
          <w:rFonts w:ascii="宋体" w:hAnsi="宋体" w:eastAsia="宋体" w:cs="宋体"/>
          <w:sz w:val="27"/>
          <w:szCs w:val="27"/>
        </w:rPr>
      </w:pPr>
      <w:r>
        <w:rPr>
          <w:rFonts w:ascii="宋体" w:hAnsi="宋体" w:eastAsia="宋体" w:cs="宋体"/>
          <w:sz w:val="27"/>
          <w:szCs w:val="27"/>
        </w:rPr>
        <w:t>列出经过批复的研制依据，以及相关的国家军用</w:t>
      </w:r>
      <w:r>
        <w:rPr>
          <w:rFonts w:ascii="宋体" w:hAnsi="宋体" w:eastAsia="宋体" w:cs="宋体"/>
          <w:spacing w:val="-1"/>
          <w:sz w:val="27"/>
          <w:szCs w:val="27"/>
        </w:rPr>
        <w:t>标准和规范。</w:t>
      </w:r>
    </w:p>
    <w:p w14:paraId="731E72B6">
      <w:pPr>
        <w:pStyle w:val="2"/>
        <w:spacing w:before="105" w:line="221" w:lineRule="auto"/>
        <w:rPr>
          <w:rFonts w:ascii="黑体" w:hAnsi="黑体" w:eastAsia="黑体" w:cs="黑体"/>
          <w:sz w:val="24"/>
          <w:szCs w:val="24"/>
        </w:rPr>
      </w:pPr>
      <w:r>
        <w:rPr>
          <w:b/>
          <w:bCs/>
          <w:spacing w:val="24"/>
          <w:sz w:val="24"/>
          <w:szCs w:val="24"/>
        </w:rPr>
        <w:t>3</w:t>
      </w:r>
      <w:r>
        <w:rPr>
          <w:b/>
          <w:bCs/>
          <w:spacing w:val="15"/>
          <w:sz w:val="24"/>
          <w:szCs w:val="24"/>
        </w:rPr>
        <w:t xml:space="preserve">    </w:t>
      </w:r>
      <w:r>
        <w:rPr>
          <w:rFonts w:ascii="黑体" w:hAnsi="黑体" w:eastAsia="黑体" w:cs="黑体"/>
          <w:b/>
          <w:bCs/>
          <w:spacing w:val="24"/>
          <w:sz w:val="24"/>
          <w:szCs w:val="24"/>
        </w:rPr>
        <w:t>系统组成和工作原理</w:t>
      </w:r>
    </w:p>
    <w:p w14:paraId="3BDD150D">
      <w:pPr>
        <w:spacing w:before="112" w:line="221" w:lineRule="auto"/>
        <w:rPr>
          <w:rFonts w:ascii="黑体" w:hAnsi="黑体" w:eastAsia="黑体" w:cs="黑体"/>
          <w:sz w:val="24"/>
          <w:szCs w:val="24"/>
        </w:rPr>
      </w:pPr>
      <w:r>
        <w:rPr>
          <w:rFonts w:ascii="黑体" w:hAnsi="黑体" w:eastAsia="黑体" w:cs="黑体"/>
          <w:spacing w:val="13"/>
          <w:sz w:val="24"/>
          <w:szCs w:val="24"/>
        </w:rPr>
        <w:t>3.1</w:t>
      </w:r>
      <w:r>
        <w:rPr>
          <w:rFonts w:ascii="黑体" w:hAnsi="黑体" w:eastAsia="黑体" w:cs="黑体"/>
          <w:spacing w:val="56"/>
          <w:sz w:val="24"/>
          <w:szCs w:val="24"/>
        </w:rPr>
        <w:t xml:space="preserve">  </w:t>
      </w:r>
      <w:r>
        <w:rPr>
          <w:rFonts w:ascii="黑体" w:hAnsi="黑体" w:eastAsia="黑体" w:cs="黑体"/>
          <w:b/>
          <w:bCs/>
          <w:spacing w:val="13"/>
          <w:sz w:val="24"/>
          <w:szCs w:val="24"/>
        </w:rPr>
        <w:t>系统组成</w:t>
      </w:r>
    </w:p>
    <w:p w14:paraId="4F680129">
      <w:pPr>
        <w:spacing w:before="98" w:line="219" w:lineRule="auto"/>
        <w:ind w:left="550"/>
        <w:rPr>
          <w:rFonts w:ascii="宋体" w:hAnsi="宋体" w:eastAsia="宋体" w:cs="宋体"/>
          <w:sz w:val="27"/>
          <w:szCs w:val="27"/>
        </w:rPr>
      </w:pPr>
      <w:r>
        <w:rPr>
          <w:rFonts w:ascii="宋体" w:hAnsi="宋体" w:eastAsia="宋体" w:cs="宋体"/>
          <w:spacing w:val="-5"/>
          <w:sz w:val="27"/>
          <w:szCs w:val="27"/>
        </w:rPr>
        <w:t>简要说明系统的组成，在文字说明的基础上，可列表或图示说明。</w:t>
      </w:r>
    </w:p>
    <w:p w14:paraId="316334C3">
      <w:pPr>
        <w:spacing w:before="115" w:line="221" w:lineRule="auto"/>
        <w:rPr>
          <w:rFonts w:ascii="黑体" w:hAnsi="黑体" w:eastAsia="黑体" w:cs="黑体"/>
          <w:sz w:val="24"/>
          <w:szCs w:val="24"/>
        </w:rPr>
      </w:pPr>
      <w:r>
        <w:rPr>
          <w:rFonts w:ascii="黑体" w:hAnsi="黑体" w:eastAsia="黑体" w:cs="黑体"/>
          <w:spacing w:val="19"/>
          <w:sz w:val="24"/>
          <w:szCs w:val="24"/>
        </w:rPr>
        <w:t>3.2</w:t>
      </w:r>
      <w:r>
        <w:rPr>
          <w:rFonts w:ascii="黑体" w:hAnsi="黑体" w:eastAsia="黑体" w:cs="黑体"/>
          <w:spacing w:val="59"/>
          <w:sz w:val="24"/>
          <w:szCs w:val="24"/>
        </w:rPr>
        <w:t xml:space="preserve">  </w:t>
      </w:r>
      <w:r>
        <w:rPr>
          <w:rFonts w:ascii="黑体" w:hAnsi="黑体" w:eastAsia="黑体" w:cs="黑体"/>
          <w:b/>
          <w:bCs/>
          <w:spacing w:val="19"/>
          <w:sz w:val="24"/>
          <w:szCs w:val="24"/>
        </w:rPr>
        <w:t>系统工作原理</w:t>
      </w:r>
    </w:p>
    <w:p w14:paraId="535DE1D1">
      <w:pPr>
        <w:spacing w:before="88" w:line="219" w:lineRule="auto"/>
        <w:ind w:left="550"/>
        <w:rPr>
          <w:rFonts w:ascii="宋体" w:hAnsi="宋体" w:eastAsia="宋体" w:cs="宋体"/>
          <w:sz w:val="27"/>
          <w:szCs w:val="27"/>
        </w:rPr>
      </w:pPr>
      <w:r>
        <w:rPr>
          <w:rFonts w:ascii="宋体" w:hAnsi="宋体" w:eastAsia="宋体" w:cs="宋体"/>
          <w:spacing w:val="-2"/>
          <w:sz w:val="27"/>
          <w:szCs w:val="27"/>
        </w:rPr>
        <w:t>简要说明系统的工作原理，各组成部分完成的功能。</w:t>
      </w:r>
    </w:p>
    <w:p w14:paraId="69B7E637">
      <w:pPr>
        <w:pStyle w:val="2"/>
        <w:spacing w:before="96" w:line="222" w:lineRule="auto"/>
        <w:rPr>
          <w:rFonts w:ascii="黑体" w:hAnsi="黑体" w:eastAsia="黑体" w:cs="黑体"/>
          <w:sz w:val="27"/>
          <w:szCs w:val="27"/>
        </w:rPr>
      </w:pPr>
      <w:r>
        <w:rPr>
          <w:b/>
          <w:bCs/>
          <w:sz w:val="27"/>
          <w:szCs w:val="27"/>
        </w:rPr>
        <w:t>4</w:t>
      </w:r>
      <w:r>
        <w:rPr>
          <w:b/>
          <w:bCs/>
          <w:spacing w:val="22"/>
          <w:sz w:val="27"/>
          <w:szCs w:val="27"/>
        </w:rPr>
        <w:t xml:space="preserve">   </w:t>
      </w:r>
      <w:r>
        <w:rPr>
          <w:rFonts w:ascii="黑体" w:hAnsi="黑体" w:eastAsia="黑体" w:cs="黑体"/>
          <w:b/>
          <w:bCs/>
          <w:sz w:val="27"/>
          <w:szCs w:val="27"/>
        </w:rPr>
        <w:t>主要战术技术指标及使用要求</w:t>
      </w:r>
    </w:p>
    <w:p w14:paraId="094AF6E9">
      <w:pPr>
        <w:spacing w:before="87" w:line="222" w:lineRule="auto"/>
        <w:rPr>
          <w:rFonts w:ascii="黑体" w:hAnsi="黑体" w:eastAsia="黑体" w:cs="黑体"/>
          <w:sz w:val="27"/>
          <w:szCs w:val="27"/>
        </w:rPr>
      </w:pPr>
      <w:r>
        <w:rPr>
          <w:rFonts w:ascii="黑体" w:hAnsi="黑体" w:eastAsia="黑体" w:cs="黑体"/>
          <w:sz w:val="27"/>
          <w:szCs w:val="27"/>
        </w:rPr>
        <w:t>4.1</w:t>
      </w:r>
      <w:r>
        <w:rPr>
          <w:rFonts w:ascii="黑体" w:hAnsi="黑体" w:eastAsia="黑体" w:cs="黑体"/>
          <w:spacing w:val="16"/>
          <w:sz w:val="27"/>
          <w:szCs w:val="27"/>
        </w:rPr>
        <w:t xml:space="preserve">  </w:t>
      </w:r>
      <w:r>
        <w:rPr>
          <w:rFonts w:ascii="黑体" w:hAnsi="黑体" w:eastAsia="黑体" w:cs="黑体"/>
          <w:b/>
          <w:bCs/>
          <w:sz w:val="27"/>
          <w:szCs w:val="27"/>
        </w:rPr>
        <w:t>主要战术指标</w:t>
      </w:r>
    </w:p>
    <w:p w14:paraId="3D49EBDC">
      <w:pPr>
        <w:spacing w:before="79" w:line="219" w:lineRule="auto"/>
        <w:ind w:left="550"/>
        <w:rPr>
          <w:rFonts w:ascii="宋体" w:hAnsi="宋体" w:eastAsia="宋体" w:cs="宋体"/>
          <w:sz w:val="27"/>
          <w:szCs w:val="27"/>
        </w:rPr>
      </w:pPr>
      <w:r>
        <w:rPr>
          <w:rFonts w:ascii="宋体" w:hAnsi="宋体" w:eastAsia="宋体" w:cs="宋体"/>
          <w:spacing w:val="-1"/>
          <w:sz w:val="27"/>
          <w:szCs w:val="27"/>
        </w:rPr>
        <w:t>按照研制总要求或研制合同，逐项列出主要战术指</w:t>
      </w:r>
      <w:r>
        <w:rPr>
          <w:rFonts w:ascii="宋体" w:hAnsi="宋体" w:eastAsia="宋体" w:cs="宋体"/>
          <w:spacing w:val="-2"/>
          <w:sz w:val="27"/>
          <w:szCs w:val="27"/>
        </w:rPr>
        <w:t>标。</w:t>
      </w:r>
    </w:p>
    <w:p w14:paraId="7E4D5742">
      <w:pPr>
        <w:spacing w:before="86" w:line="222" w:lineRule="auto"/>
        <w:rPr>
          <w:rFonts w:ascii="黑体" w:hAnsi="黑体" w:eastAsia="黑体" w:cs="黑体"/>
          <w:sz w:val="27"/>
          <w:szCs w:val="27"/>
        </w:rPr>
      </w:pPr>
      <w:r>
        <w:rPr>
          <w:rFonts w:ascii="黑体" w:hAnsi="黑体" w:eastAsia="黑体" w:cs="黑体"/>
          <w:spacing w:val="-1"/>
          <w:sz w:val="27"/>
          <w:szCs w:val="27"/>
        </w:rPr>
        <w:t>4.2</w:t>
      </w:r>
      <w:r>
        <w:rPr>
          <w:rFonts w:ascii="黑体" w:hAnsi="黑体" w:eastAsia="黑体" w:cs="黑体"/>
          <w:spacing w:val="20"/>
          <w:sz w:val="27"/>
          <w:szCs w:val="27"/>
        </w:rPr>
        <w:t xml:space="preserve">  </w:t>
      </w:r>
      <w:r>
        <w:rPr>
          <w:rFonts w:ascii="黑体" w:hAnsi="黑体" w:eastAsia="黑体" w:cs="黑体"/>
          <w:b/>
          <w:bCs/>
          <w:spacing w:val="-1"/>
          <w:sz w:val="27"/>
          <w:szCs w:val="27"/>
        </w:rPr>
        <w:t>主要技术指标</w:t>
      </w:r>
    </w:p>
    <w:p w14:paraId="0C481645">
      <w:pPr>
        <w:spacing w:before="79" w:line="219" w:lineRule="auto"/>
        <w:ind w:left="550"/>
        <w:rPr>
          <w:rFonts w:ascii="宋体" w:hAnsi="宋体" w:eastAsia="宋体" w:cs="宋体"/>
          <w:sz w:val="27"/>
          <w:szCs w:val="27"/>
        </w:rPr>
      </w:pPr>
      <w:r>
        <w:rPr>
          <w:rFonts w:ascii="宋体" w:hAnsi="宋体" w:eastAsia="宋体" w:cs="宋体"/>
          <w:spacing w:val="-1"/>
          <w:sz w:val="27"/>
          <w:szCs w:val="27"/>
        </w:rPr>
        <w:t>按照研制总要求或研制合同，逐项列出主要技术指</w:t>
      </w:r>
      <w:r>
        <w:rPr>
          <w:rFonts w:ascii="宋体" w:hAnsi="宋体" w:eastAsia="宋体" w:cs="宋体"/>
          <w:spacing w:val="-2"/>
          <w:sz w:val="27"/>
          <w:szCs w:val="27"/>
        </w:rPr>
        <w:t>标。</w:t>
      </w:r>
    </w:p>
    <w:p w14:paraId="69624ECE">
      <w:pPr>
        <w:spacing w:before="104" w:line="222" w:lineRule="auto"/>
        <w:rPr>
          <w:rFonts w:ascii="黑体" w:hAnsi="黑体" w:eastAsia="黑体" w:cs="黑体"/>
          <w:sz w:val="25"/>
          <w:szCs w:val="25"/>
        </w:rPr>
      </w:pPr>
      <w:r>
        <w:rPr>
          <w:rFonts w:ascii="黑体" w:hAnsi="黑体" w:eastAsia="黑体" w:cs="黑体"/>
          <w:spacing w:val="14"/>
          <w:sz w:val="25"/>
          <w:szCs w:val="25"/>
        </w:rPr>
        <w:t>4.3</w:t>
      </w:r>
      <w:r>
        <w:rPr>
          <w:rFonts w:ascii="黑体" w:hAnsi="黑体" w:eastAsia="黑体" w:cs="黑体"/>
          <w:spacing w:val="41"/>
          <w:sz w:val="25"/>
          <w:szCs w:val="25"/>
        </w:rPr>
        <w:t xml:space="preserve">  </w:t>
      </w:r>
      <w:r>
        <w:rPr>
          <w:rFonts w:ascii="黑体" w:hAnsi="黑体" w:eastAsia="黑体" w:cs="黑体"/>
          <w:b/>
          <w:bCs/>
          <w:spacing w:val="14"/>
          <w:sz w:val="25"/>
          <w:szCs w:val="25"/>
        </w:rPr>
        <w:t>主要使用要求</w:t>
      </w:r>
    </w:p>
    <w:p w14:paraId="6E1B1D37">
      <w:pPr>
        <w:spacing w:before="95" w:line="219" w:lineRule="auto"/>
        <w:ind w:left="550"/>
        <w:rPr>
          <w:rFonts w:ascii="宋体" w:hAnsi="宋体" w:eastAsia="宋体" w:cs="宋体"/>
          <w:sz w:val="27"/>
          <w:szCs w:val="27"/>
        </w:rPr>
      </w:pPr>
      <w:r>
        <w:rPr>
          <w:rFonts w:ascii="宋体" w:hAnsi="宋体" w:eastAsia="宋体" w:cs="宋体"/>
          <w:spacing w:val="-1"/>
          <w:sz w:val="27"/>
          <w:szCs w:val="27"/>
        </w:rPr>
        <w:t>按照研制总要求或研制合同，逐项列出主要使用要</w:t>
      </w:r>
      <w:r>
        <w:rPr>
          <w:rFonts w:ascii="宋体" w:hAnsi="宋体" w:eastAsia="宋体" w:cs="宋体"/>
          <w:spacing w:val="-2"/>
          <w:sz w:val="27"/>
          <w:szCs w:val="27"/>
        </w:rPr>
        <w:t>求。</w:t>
      </w:r>
    </w:p>
    <w:p w14:paraId="0CD285EC">
      <w:pPr>
        <w:pStyle w:val="2"/>
        <w:spacing w:before="83" w:line="221" w:lineRule="auto"/>
        <w:rPr>
          <w:rFonts w:ascii="黑体" w:hAnsi="黑体" w:eastAsia="黑体" w:cs="黑体"/>
          <w:sz w:val="27"/>
          <w:szCs w:val="27"/>
        </w:rPr>
      </w:pPr>
      <w:r>
        <w:rPr>
          <w:b/>
          <w:bCs/>
          <w:spacing w:val="-3"/>
          <w:sz w:val="27"/>
          <w:szCs w:val="27"/>
        </w:rPr>
        <w:t>5</w:t>
      </w:r>
      <w:r>
        <w:rPr>
          <w:b/>
          <w:bCs/>
          <w:spacing w:val="25"/>
          <w:sz w:val="27"/>
          <w:szCs w:val="27"/>
        </w:rPr>
        <w:t xml:space="preserve">   </w:t>
      </w:r>
      <w:r>
        <w:rPr>
          <w:rFonts w:ascii="黑体" w:hAnsi="黑体" w:eastAsia="黑体" w:cs="黑体"/>
          <w:b/>
          <w:bCs/>
          <w:spacing w:val="-3"/>
          <w:sz w:val="27"/>
          <w:szCs w:val="27"/>
        </w:rPr>
        <w:t>详细设计方案</w:t>
      </w:r>
    </w:p>
    <w:p w14:paraId="3279F8DF">
      <w:pPr>
        <w:spacing w:before="68" w:line="222" w:lineRule="auto"/>
        <w:rPr>
          <w:rFonts w:ascii="黑体" w:hAnsi="黑体" w:eastAsia="黑体" w:cs="黑体"/>
          <w:sz w:val="27"/>
          <w:szCs w:val="27"/>
        </w:rPr>
      </w:pPr>
      <w:r>
        <w:rPr>
          <w:rFonts w:ascii="黑体" w:hAnsi="黑体" w:eastAsia="黑体" w:cs="黑体"/>
          <w:spacing w:val="-4"/>
          <w:sz w:val="27"/>
          <w:szCs w:val="27"/>
        </w:rPr>
        <w:t>5.1</w:t>
      </w:r>
      <w:r>
        <w:rPr>
          <w:rFonts w:ascii="黑体" w:hAnsi="黑体" w:eastAsia="黑体" w:cs="黑体"/>
          <w:spacing w:val="16"/>
          <w:sz w:val="27"/>
          <w:szCs w:val="27"/>
        </w:rPr>
        <w:t xml:space="preserve">  </w:t>
      </w:r>
      <w:r>
        <w:rPr>
          <w:rFonts w:ascii="黑体" w:hAnsi="黑体" w:eastAsia="黑体" w:cs="黑体"/>
          <w:b/>
          <w:bCs/>
          <w:spacing w:val="-4"/>
          <w:sz w:val="27"/>
          <w:szCs w:val="27"/>
        </w:rPr>
        <w:t>总体设计</w:t>
      </w:r>
    </w:p>
    <w:p w14:paraId="0A538B13">
      <w:pPr>
        <w:spacing w:before="91" w:line="219" w:lineRule="auto"/>
        <w:ind w:left="550"/>
        <w:rPr>
          <w:rFonts w:ascii="宋体" w:hAnsi="宋体" w:eastAsia="宋体" w:cs="宋体"/>
          <w:sz w:val="27"/>
          <w:szCs w:val="27"/>
        </w:rPr>
      </w:pPr>
      <w:r>
        <w:rPr>
          <w:rFonts w:ascii="宋体" w:hAnsi="宋体" w:eastAsia="宋体" w:cs="宋体"/>
          <w:spacing w:val="-10"/>
          <w:sz w:val="27"/>
          <w:szCs w:val="27"/>
        </w:rPr>
        <w:t>描述总体设计原则，设计思路，技术方案等。</w:t>
      </w:r>
    </w:p>
    <w:p w14:paraId="106C509F">
      <w:pPr>
        <w:spacing w:before="84" w:line="222" w:lineRule="auto"/>
        <w:rPr>
          <w:rFonts w:ascii="黑体" w:hAnsi="黑体" w:eastAsia="黑体" w:cs="黑体"/>
          <w:sz w:val="27"/>
          <w:szCs w:val="27"/>
        </w:rPr>
      </w:pPr>
      <w:r>
        <w:rPr>
          <w:rFonts w:ascii="黑体" w:hAnsi="黑体" w:eastAsia="黑体" w:cs="黑体"/>
          <w:spacing w:val="1"/>
          <w:sz w:val="27"/>
          <w:szCs w:val="27"/>
        </w:rPr>
        <w:t>5.2</w:t>
      </w:r>
      <w:r>
        <w:rPr>
          <w:rFonts w:ascii="黑体" w:hAnsi="黑体" w:eastAsia="黑体" w:cs="黑体"/>
          <w:spacing w:val="17"/>
          <w:sz w:val="27"/>
          <w:szCs w:val="27"/>
        </w:rPr>
        <w:t xml:space="preserve">  </w:t>
      </w:r>
      <w:r>
        <w:rPr>
          <w:rFonts w:ascii="黑体" w:hAnsi="黑体" w:eastAsia="黑体" w:cs="黑体"/>
          <w:b/>
          <w:bCs/>
          <w:spacing w:val="1"/>
          <w:sz w:val="27"/>
          <w:szCs w:val="27"/>
        </w:rPr>
        <w:t>结构设计</w:t>
      </w:r>
    </w:p>
    <w:p w14:paraId="7BB96CDA">
      <w:pPr>
        <w:spacing w:before="100" w:line="279" w:lineRule="auto"/>
        <w:ind w:right="2" w:firstLine="550"/>
        <w:rPr>
          <w:rFonts w:ascii="宋体" w:hAnsi="宋体" w:eastAsia="宋体" w:cs="宋体"/>
          <w:sz w:val="27"/>
          <w:szCs w:val="27"/>
        </w:rPr>
      </w:pPr>
      <w:r>
        <w:rPr>
          <w:rFonts w:ascii="宋体" w:hAnsi="宋体" w:eastAsia="宋体" w:cs="宋体"/>
          <w:spacing w:val="-3"/>
          <w:sz w:val="27"/>
          <w:szCs w:val="27"/>
        </w:rPr>
        <w:t>按照研制总要求对结构的要求，进行结构设计，提出拟采取的结构详细设计</w:t>
      </w:r>
      <w:r>
        <w:rPr>
          <w:rFonts w:ascii="宋体" w:hAnsi="宋体" w:eastAsia="宋体" w:cs="宋体"/>
          <w:sz w:val="27"/>
          <w:szCs w:val="27"/>
        </w:rPr>
        <w:t xml:space="preserve"> </w:t>
      </w:r>
      <w:r>
        <w:rPr>
          <w:rFonts w:ascii="宋体" w:hAnsi="宋体" w:eastAsia="宋体" w:cs="宋体"/>
          <w:spacing w:val="-4"/>
          <w:sz w:val="27"/>
          <w:szCs w:val="27"/>
        </w:rPr>
        <w:t>方案。</w:t>
      </w:r>
    </w:p>
    <w:p w14:paraId="48ECBA0C">
      <w:pPr>
        <w:spacing w:before="1" w:line="221" w:lineRule="auto"/>
        <w:rPr>
          <w:rFonts w:ascii="黑体" w:hAnsi="黑体" w:eastAsia="黑体" w:cs="黑体"/>
          <w:sz w:val="27"/>
          <w:szCs w:val="27"/>
        </w:rPr>
      </w:pPr>
      <w:r>
        <w:rPr>
          <w:rFonts w:ascii="黑体" w:hAnsi="黑体" w:eastAsia="黑体" w:cs="黑体"/>
          <w:spacing w:val="1"/>
          <w:sz w:val="27"/>
          <w:szCs w:val="27"/>
        </w:rPr>
        <w:t>5.3</w:t>
      </w:r>
      <w:r>
        <w:rPr>
          <w:rFonts w:ascii="黑体" w:hAnsi="黑体" w:eastAsia="黑体" w:cs="黑体"/>
          <w:spacing w:val="17"/>
          <w:sz w:val="27"/>
          <w:szCs w:val="27"/>
        </w:rPr>
        <w:t xml:space="preserve">  </w:t>
      </w:r>
      <w:r>
        <w:rPr>
          <w:rFonts w:ascii="黑体" w:hAnsi="黑体" w:eastAsia="黑体" w:cs="黑体"/>
          <w:b/>
          <w:bCs/>
          <w:spacing w:val="1"/>
          <w:sz w:val="27"/>
          <w:szCs w:val="27"/>
        </w:rPr>
        <w:t>硬件设计</w:t>
      </w:r>
    </w:p>
    <w:p w14:paraId="070D4257">
      <w:pPr>
        <w:spacing w:before="79" w:line="219" w:lineRule="auto"/>
        <w:ind w:left="550"/>
        <w:rPr>
          <w:rFonts w:ascii="宋体" w:hAnsi="宋体" w:eastAsia="宋体" w:cs="宋体"/>
          <w:sz w:val="27"/>
          <w:szCs w:val="27"/>
        </w:rPr>
      </w:pPr>
      <w:r>
        <w:rPr>
          <w:rFonts w:ascii="宋体" w:hAnsi="宋体" w:eastAsia="宋体" w:cs="宋体"/>
          <w:spacing w:val="3"/>
          <w:sz w:val="27"/>
          <w:szCs w:val="27"/>
        </w:rPr>
        <w:t>提出拟采取的硬件详细设计方案。</w:t>
      </w:r>
    </w:p>
    <w:p w14:paraId="67662516">
      <w:pPr>
        <w:spacing w:before="115" w:line="222" w:lineRule="auto"/>
        <w:rPr>
          <w:rFonts w:ascii="黑体" w:hAnsi="黑体" w:eastAsia="黑体" w:cs="黑体"/>
          <w:sz w:val="24"/>
          <w:szCs w:val="24"/>
        </w:rPr>
      </w:pPr>
      <w:r>
        <w:rPr>
          <w:rFonts w:ascii="黑体" w:hAnsi="黑体" w:eastAsia="黑体" w:cs="黑体"/>
          <w:spacing w:val="23"/>
          <w:sz w:val="24"/>
          <w:szCs w:val="24"/>
        </w:rPr>
        <w:t>5.4</w:t>
      </w:r>
      <w:r>
        <w:rPr>
          <w:rFonts w:ascii="黑体" w:hAnsi="黑体" w:eastAsia="黑体" w:cs="黑体"/>
          <w:spacing w:val="57"/>
          <w:sz w:val="24"/>
          <w:szCs w:val="24"/>
        </w:rPr>
        <w:t xml:space="preserve">  </w:t>
      </w:r>
      <w:r>
        <w:rPr>
          <w:rFonts w:ascii="黑体" w:hAnsi="黑体" w:eastAsia="黑体" w:cs="黑体"/>
          <w:b/>
          <w:bCs/>
          <w:spacing w:val="23"/>
          <w:sz w:val="24"/>
          <w:szCs w:val="24"/>
        </w:rPr>
        <w:t>软件设计(适用时)</w:t>
      </w:r>
    </w:p>
    <w:p w14:paraId="7EA9D6E1">
      <w:pPr>
        <w:spacing w:before="106" w:line="219" w:lineRule="auto"/>
        <w:ind w:left="550"/>
        <w:rPr>
          <w:rFonts w:ascii="宋体" w:hAnsi="宋体" w:eastAsia="宋体" w:cs="宋体"/>
          <w:sz w:val="27"/>
          <w:szCs w:val="27"/>
        </w:rPr>
      </w:pPr>
      <w:r>
        <w:rPr>
          <w:rFonts w:ascii="宋体" w:hAnsi="宋体" w:eastAsia="宋体" w:cs="宋体"/>
          <w:spacing w:val="3"/>
          <w:sz w:val="27"/>
          <w:szCs w:val="27"/>
        </w:rPr>
        <w:t>(适用时)提出拟采取的软件详细设计方案。</w:t>
      </w:r>
    </w:p>
    <w:p w14:paraId="59141315">
      <w:pPr>
        <w:spacing w:before="105" w:line="221" w:lineRule="auto"/>
        <w:rPr>
          <w:rFonts w:ascii="黑体" w:hAnsi="黑体" w:eastAsia="黑体" w:cs="黑体"/>
          <w:sz w:val="24"/>
          <w:szCs w:val="24"/>
        </w:rPr>
      </w:pPr>
      <w:r>
        <w:rPr>
          <w:rFonts w:ascii="黑体" w:hAnsi="黑体" w:eastAsia="黑体" w:cs="黑体"/>
          <w:spacing w:val="21"/>
          <w:sz w:val="24"/>
          <w:szCs w:val="24"/>
        </w:rPr>
        <w:t>5.5</w:t>
      </w:r>
      <w:r>
        <w:rPr>
          <w:rFonts w:ascii="黑体" w:hAnsi="黑体" w:eastAsia="黑体" w:cs="黑体"/>
          <w:spacing w:val="59"/>
          <w:sz w:val="24"/>
          <w:szCs w:val="24"/>
        </w:rPr>
        <w:t xml:space="preserve">  </w:t>
      </w:r>
      <w:r>
        <w:rPr>
          <w:rFonts w:ascii="黑体" w:hAnsi="黑体" w:eastAsia="黑体" w:cs="黑体"/>
          <w:b/>
          <w:bCs/>
          <w:spacing w:val="21"/>
          <w:sz w:val="24"/>
          <w:szCs w:val="24"/>
        </w:rPr>
        <w:t>电源设计(适用时)</w:t>
      </w:r>
    </w:p>
    <w:p w14:paraId="6C68D422">
      <w:pPr>
        <w:spacing w:before="107" w:line="219" w:lineRule="auto"/>
        <w:ind w:left="550"/>
        <w:rPr>
          <w:rFonts w:ascii="宋体" w:hAnsi="宋体" w:eastAsia="宋体" w:cs="宋体"/>
          <w:sz w:val="27"/>
          <w:szCs w:val="27"/>
        </w:rPr>
      </w:pPr>
      <w:r>
        <w:rPr>
          <w:rFonts w:ascii="宋体" w:hAnsi="宋体" w:eastAsia="宋体" w:cs="宋体"/>
          <w:spacing w:val="3"/>
          <w:sz w:val="27"/>
          <w:szCs w:val="27"/>
        </w:rPr>
        <w:t>(适用时)提出拟采取的电源详细设计方案。</w:t>
      </w:r>
    </w:p>
    <w:p w14:paraId="0FD56E72">
      <w:pPr>
        <w:spacing w:before="96" w:line="222" w:lineRule="auto"/>
        <w:rPr>
          <w:rFonts w:ascii="黑体" w:hAnsi="黑体" w:eastAsia="黑体" w:cs="黑体"/>
          <w:sz w:val="24"/>
          <w:szCs w:val="24"/>
        </w:rPr>
      </w:pPr>
      <w:r>
        <w:rPr>
          <w:rFonts w:ascii="黑体" w:hAnsi="黑体" w:eastAsia="黑体" w:cs="黑体"/>
          <w:spacing w:val="18"/>
          <w:sz w:val="24"/>
          <w:szCs w:val="24"/>
        </w:rPr>
        <w:t>5.6</w:t>
      </w:r>
      <w:r>
        <w:rPr>
          <w:rFonts w:ascii="黑体" w:hAnsi="黑体" w:eastAsia="黑体" w:cs="黑体"/>
          <w:spacing w:val="55"/>
          <w:sz w:val="24"/>
          <w:szCs w:val="24"/>
        </w:rPr>
        <w:t xml:space="preserve">  </w:t>
      </w:r>
      <w:r>
        <w:rPr>
          <w:rFonts w:ascii="黑体" w:hAnsi="黑体" w:eastAsia="黑体" w:cs="黑体"/>
          <w:b/>
          <w:bCs/>
          <w:spacing w:val="18"/>
          <w:sz w:val="24"/>
          <w:szCs w:val="24"/>
        </w:rPr>
        <w:t>接口设计</w:t>
      </w:r>
    </w:p>
    <w:p w14:paraId="6E193422">
      <w:pPr>
        <w:spacing w:before="96" w:line="285" w:lineRule="auto"/>
        <w:ind w:firstLine="550"/>
        <w:rPr>
          <w:rFonts w:ascii="宋体" w:hAnsi="宋体" w:eastAsia="宋体" w:cs="宋体"/>
          <w:sz w:val="27"/>
          <w:szCs w:val="27"/>
        </w:rPr>
      </w:pPr>
      <w:r>
        <w:rPr>
          <w:rFonts w:ascii="宋体" w:hAnsi="宋体" w:eastAsia="宋体" w:cs="宋体"/>
          <w:spacing w:val="5"/>
          <w:sz w:val="27"/>
          <w:szCs w:val="27"/>
        </w:rPr>
        <w:t>提出拟采取的接口详细设计方案。按照接口控制文件，明确功能接口和物</w:t>
      </w:r>
      <w:r>
        <w:rPr>
          <w:rFonts w:ascii="宋体" w:hAnsi="宋体" w:eastAsia="宋体" w:cs="宋体"/>
          <w:spacing w:val="12"/>
          <w:sz w:val="27"/>
          <w:szCs w:val="27"/>
        </w:rPr>
        <w:t xml:space="preserve"> </w:t>
      </w:r>
      <w:r>
        <w:rPr>
          <w:rFonts w:ascii="宋体" w:hAnsi="宋体" w:eastAsia="宋体" w:cs="宋体"/>
          <w:sz w:val="27"/>
          <w:szCs w:val="27"/>
        </w:rPr>
        <w:t>理接口设计。</w:t>
      </w:r>
    </w:p>
    <w:p w14:paraId="5FBEFCA9">
      <w:pPr>
        <w:spacing w:line="285" w:lineRule="auto"/>
        <w:rPr>
          <w:rFonts w:ascii="宋体" w:hAnsi="宋体" w:eastAsia="宋体" w:cs="宋体"/>
          <w:sz w:val="27"/>
          <w:szCs w:val="27"/>
        </w:rPr>
        <w:sectPr>
          <w:footerReference r:id="rId82" w:type="default"/>
          <w:pgSz w:w="11910" w:h="17130"/>
          <w:pgMar w:top="400" w:right="1556" w:bottom="1723" w:left="989" w:header="0" w:footer="1524" w:gutter="0"/>
          <w:cols w:space="720" w:num="1"/>
        </w:sectPr>
      </w:pPr>
    </w:p>
    <w:p w14:paraId="535AD5EF">
      <w:pPr>
        <w:pStyle w:val="2"/>
        <w:spacing w:line="317" w:lineRule="auto"/>
      </w:pPr>
    </w:p>
    <w:p w14:paraId="4A41C7C7">
      <w:pPr>
        <w:pStyle w:val="2"/>
        <w:spacing w:line="317" w:lineRule="auto"/>
      </w:pPr>
    </w:p>
    <w:p w14:paraId="403CF14A">
      <w:pPr>
        <w:pStyle w:val="2"/>
        <w:spacing w:line="317" w:lineRule="auto"/>
      </w:pPr>
    </w:p>
    <w:p w14:paraId="5F3593D2">
      <w:pPr>
        <w:spacing w:before="88" w:line="222" w:lineRule="auto"/>
        <w:rPr>
          <w:rFonts w:ascii="黑体" w:hAnsi="黑体" w:eastAsia="黑体" w:cs="黑体"/>
          <w:sz w:val="27"/>
          <w:szCs w:val="27"/>
        </w:rPr>
      </w:pPr>
      <w:r>
        <w:rPr>
          <w:rFonts w:ascii="黑体" w:hAnsi="黑体" w:eastAsia="黑体" w:cs="黑体"/>
          <w:spacing w:val="-2"/>
          <w:sz w:val="27"/>
          <w:szCs w:val="27"/>
        </w:rPr>
        <w:t>5.7</w:t>
      </w:r>
      <w:r>
        <w:rPr>
          <w:rFonts w:ascii="黑体" w:hAnsi="黑体" w:eastAsia="黑体" w:cs="黑体"/>
          <w:spacing w:val="22"/>
          <w:sz w:val="27"/>
          <w:szCs w:val="27"/>
        </w:rPr>
        <w:t xml:space="preserve">  </w:t>
      </w:r>
      <w:r>
        <w:rPr>
          <w:rFonts w:ascii="黑体" w:hAnsi="黑体" w:eastAsia="黑体" w:cs="黑体"/>
          <w:b/>
          <w:bCs/>
          <w:spacing w:val="-2"/>
          <w:sz w:val="27"/>
          <w:szCs w:val="27"/>
        </w:rPr>
        <w:t>环境适应性设计</w:t>
      </w:r>
    </w:p>
    <w:p w14:paraId="0D60D29E">
      <w:pPr>
        <w:spacing w:line="218" w:lineRule="auto"/>
        <w:ind w:left="560"/>
        <w:rPr>
          <w:rFonts w:ascii="宋体" w:hAnsi="宋体" w:eastAsia="宋体" w:cs="宋体"/>
          <w:sz w:val="27"/>
          <w:szCs w:val="27"/>
        </w:rPr>
      </w:pPr>
      <w:r>
        <w:rPr>
          <w:rFonts w:ascii="宋体" w:hAnsi="宋体" w:eastAsia="宋体" w:cs="宋体"/>
          <w:spacing w:val="5"/>
          <w:sz w:val="27"/>
          <w:szCs w:val="27"/>
        </w:rPr>
        <w:t>提出为适应工作环境拟采取的环境适应性详细设计方</w:t>
      </w:r>
      <w:r>
        <w:rPr>
          <w:rFonts w:ascii="宋体" w:hAnsi="宋体" w:eastAsia="宋体" w:cs="宋体"/>
          <w:spacing w:val="4"/>
          <w:sz w:val="27"/>
          <w:szCs w:val="27"/>
        </w:rPr>
        <w:t>案。</w:t>
      </w:r>
    </w:p>
    <w:p w14:paraId="2492F585">
      <w:pPr>
        <w:spacing w:before="95" w:line="222" w:lineRule="auto"/>
        <w:rPr>
          <w:rFonts w:ascii="黑体" w:hAnsi="黑体" w:eastAsia="黑体" w:cs="黑体"/>
          <w:sz w:val="25"/>
          <w:szCs w:val="25"/>
        </w:rPr>
      </w:pPr>
      <w:r>
        <w:rPr>
          <w:rFonts w:ascii="黑体" w:hAnsi="黑体" w:eastAsia="黑体" w:cs="黑体"/>
          <w:spacing w:val="11"/>
          <w:sz w:val="25"/>
          <w:szCs w:val="25"/>
        </w:rPr>
        <w:t>5.8</w:t>
      </w:r>
      <w:r>
        <w:rPr>
          <w:rFonts w:ascii="黑体" w:hAnsi="黑体" w:eastAsia="黑体" w:cs="黑体"/>
          <w:spacing w:val="51"/>
          <w:sz w:val="25"/>
          <w:szCs w:val="25"/>
        </w:rPr>
        <w:t xml:space="preserve">  </w:t>
      </w:r>
      <w:r>
        <w:rPr>
          <w:rFonts w:ascii="黑体" w:hAnsi="黑体" w:eastAsia="黑体" w:cs="黑体"/>
          <w:b/>
          <w:bCs/>
          <w:spacing w:val="11"/>
          <w:sz w:val="25"/>
          <w:szCs w:val="25"/>
        </w:rPr>
        <w:t>可靠性设计</w:t>
      </w:r>
    </w:p>
    <w:p w14:paraId="68079485">
      <w:pPr>
        <w:spacing w:before="23" w:line="219" w:lineRule="auto"/>
        <w:ind w:left="560"/>
        <w:rPr>
          <w:rFonts w:ascii="宋体" w:hAnsi="宋体" w:eastAsia="宋体" w:cs="宋体"/>
          <w:sz w:val="27"/>
          <w:szCs w:val="27"/>
        </w:rPr>
      </w:pPr>
      <w:r>
        <w:rPr>
          <w:rFonts w:ascii="宋体" w:hAnsi="宋体" w:eastAsia="宋体" w:cs="宋体"/>
          <w:spacing w:val="4"/>
          <w:sz w:val="27"/>
          <w:szCs w:val="27"/>
        </w:rPr>
        <w:t>提出为实现可靠性要求拟采取的可靠性详细设计方案。</w:t>
      </w:r>
    </w:p>
    <w:p w14:paraId="2E110158">
      <w:pPr>
        <w:spacing w:before="66" w:line="222" w:lineRule="auto"/>
        <w:rPr>
          <w:rFonts w:ascii="黑体" w:hAnsi="黑体" w:eastAsia="黑体" w:cs="黑体"/>
          <w:sz w:val="27"/>
          <w:szCs w:val="27"/>
        </w:rPr>
      </w:pPr>
      <w:r>
        <w:rPr>
          <w:rFonts w:ascii="黑体" w:hAnsi="黑体" w:eastAsia="黑体" w:cs="黑体"/>
          <w:sz w:val="27"/>
          <w:szCs w:val="27"/>
        </w:rPr>
        <w:t>5.9</w:t>
      </w:r>
      <w:r>
        <w:rPr>
          <w:rFonts w:ascii="黑体" w:hAnsi="黑体" w:eastAsia="黑体" w:cs="黑体"/>
          <w:spacing w:val="19"/>
          <w:sz w:val="27"/>
          <w:szCs w:val="27"/>
        </w:rPr>
        <w:t xml:space="preserve">  </w:t>
      </w:r>
      <w:r>
        <w:rPr>
          <w:rFonts w:ascii="黑体" w:hAnsi="黑体" w:eastAsia="黑体" w:cs="黑体"/>
          <w:b/>
          <w:bCs/>
          <w:sz w:val="27"/>
          <w:szCs w:val="27"/>
        </w:rPr>
        <w:t>维修性设计</w:t>
      </w:r>
    </w:p>
    <w:p w14:paraId="2E33C916">
      <w:pPr>
        <w:spacing w:before="19" w:line="219" w:lineRule="auto"/>
        <w:ind w:left="560"/>
        <w:rPr>
          <w:rFonts w:ascii="宋体" w:hAnsi="宋体" w:eastAsia="宋体" w:cs="宋体"/>
          <w:sz w:val="27"/>
          <w:szCs w:val="27"/>
        </w:rPr>
      </w:pPr>
      <w:r>
        <w:rPr>
          <w:rFonts w:ascii="宋体" w:hAnsi="宋体" w:eastAsia="宋体" w:cs="宋体"/>
          <w:spacing w:val="4"/>
          <w:sz w:val="27"/>
          <w:szCs w:val="27"/>
        </w:rPr>
        <w:t>提出为实现维修性要求拟采取的维修性详细设计方案。</w:t>
      </w:r>
    </w:p>
    <w:p w14:paraId="7A63A1FF">
      <w:pPr>
        <w:spacing w:before="55" w:line="221" w:lineRule="auto"/>
        <w:rPr>
          <w:rFonts w:ascii="黑体" w:hAnsi="黑体" w:eastAsia="黑体" w:cs="黑体"/>
          <w:sz w:val="27"/>
          <w:szCs w:val="27"/>
        </w:rPr>
      </w:pPr>
      <w:r>
        <w:rPr>
          <w:rFonts w:ascii="黑体" w:hAnsi="黑体" w:eastAsia="黑体" w:cs="黑体"/>
          <w:spacing w:val="-1"/>
          <w:sz w:val="27"/>
          <w:szCs w:val="27"/>
        </w:rPr>
        <w:t>5.10</w:t>
      </w:r>
      <w:r>
        <w:rPr>
          <w:rFonts w:ascii="黑体" w:hAnsi="黑体" w:eastAsia="黑体" w:cs="黑体"/>
          <w:spacing w:val="21"/>
          <w:sz w:val="27"/>
          <w:szCs w:val="27"/>
        </w:rPr>
        <w:t xml:space="preserve">  </w:t>
      </w:r>
      <w:r>
        <w:rPr>
          <w:rFonts w:ascii="黑体" w:hAnsi="黑体" w:eastAsia="黑体" w:cs="黑体"/>
          <w:b/>
          <w:bCs/>
          <w:spacing w:val="-1"/>
          <w:sz w:val="27"/>
          <w:szCs w:val="27"/>
        </w:rPr>
        <w:t>测试性设计</w:t>
      </w:r>
    </w:p>
    <w:p w14:paraId="3E675064">
      <w:pPr>
        <w:spacing w:before="32" w:line="219" w:lineRule="auto"/>
        <w:ind w:left="560"/>
        <w:rPr>
          <w:rFonts w:ascii="宋体" w:hAnsi="宋体" w:eastAsia="宋体" w:cs="宋体"/>
          <w:sz w:val="27"/>
          <w:szCs w:val="27"/>
        </w:rPr>
      </w:pPr>
      <w:r>
        <w:rPr>
          <w:rFonts w:ascii="宋体" w:hAnsi="宋体" w:eastAsia="宋体" w:cs="宋体"/>
          <w:spacing w:val="4"/>
          <w:sz w:val="27"/>
          <w:szCs w:val="27"/>
        </w:rPr>
        <w:t>提出为实现测试性要求拟采取的测试性详细设计方案。</w:t>
      </w:r>
    </w:p>
    <w:p w14:paraId="06FEF398">
      <w:pPr>
        <w:spacing w:before="75" w:line="222" w:lineRule="auto"/>
        <w:rPr>
          <w:rFonts w:ascii="黑体" w:hAnsi="黑体" w:eastAsia="黑体" w:cs="黑体"/>
          <w:sz w:val="25"/>
          <w:szCs w:val="25"/>
        </w:rPr>
      </w:pPr>
      <w:r>
        <w:rPr>
          <w:rFonts w:ascii="黑体" w:hAnsi="黑体" w:eastAsia="黑体" w:cs="黑体"/>
          <w:spacing w:val="10"/>
          <w:sz w:val="25"/>
          <w:szCs w:val="25"/>
        </w:rPr>
        <w:t>5.11</w:t>
      </w:r>
      <w:r>
        <w:rPr>
          <w:rFonts w:ascii="黑体" w:hAnsi="黑体" w:eastAsia="黑体" w:cs="黑体"/>
          <w:spacing w:val="52"/>
          <w:sz w:val="25"/>
          <w:szCs w:val="25"/>
        </w:rPr>
        <w:t xml:space="preserve">  </w:t>
      </w:r>
      <w:r>
        <w:rPr>
          <w:rFonts w:ascii="黑体" w:hAnsi="黑体" w:eastAsia="黑体" w:cs="黑体"/>
          <w:b/>
          <w:bCs/>
          <w:spacing w:val="10"/>
          <w:sz w:val="25"/>
          <w:szCs w:val="25"/>
        </w:rPr>
        <w:t>保障性设计</w:t>
      </w:r>
    </w:p>
    <w:p w14:paraId="3831CF10">
      <w:pPr>
        <w:spacing w:before="13" w:line="276" w:lineRule="auto"/>
        <w:ind w:right="122" w:firstLine="560"/>
        <w:rPr>
          <w:rFonts w:ascii="宋体" w:hAnsi="宋体" w:eastAsia="宋体" w:cs="宋体"/>
          <w:sz w:val="27"/>
          <w:szCs w:val="27"/>
        </w:rPr>
      </w:pPr>
      <w:r>
        <w:rPr>
          <w:rFonts w:ascii="宋体" w:hAnsi="宋体" w:eastAsia="宋体" w:cs="宋体"/>
          <w:spacing w:val="-3"/>
          <w:sz w:val="27"/>
          <w:szCs w:val="27"/>
        </w:rPr>
        <w:t>提出为实现保障性要求拟采取的保障性详细设计方案，规划保障资源，提出</w:t>
      </w:r>
      <w:r>
        <w:rPr>
          <w:rFonts w:ascii="宋体" w:hAnsi="宋体" w:eastAsia="宋体" w:cs="宋体"/>
          <w:spacing w:val="10"/>
          <w:sz w:val="27"/>
          <w:szCs w:val="27"/>
        </w:rPr>
        <w:t xml:space="preserve"> </w:t>
      </w:r>
      <w:r>
        <w:rPr>
          <w:rFonts w:ascii="宋体" w:hAnsi="宋体" w:eastAsia="宋体" w:cs="宋体"/>
          <w:spacing w:val="3"/>
          <w:sz w:val="27"/>
          <w:szCs w:val="27"/>
        </w:rPr>
        <w:t>拟研制的保障设备方案。</w:t>
      </w:r>
    </w:p>
    <w:p w14:paraId="33166E97">
      <w:pPr>
        <w:spacing w:before="1" w:line="221" w:lineRule="auto"/>
        <w:rPr>
          <w:rFonts w:ascii="黑体" w:hAnsi="黑体" w:eastAsia="黑体" w:cs="黑体"/>
          <w:sz w:val="27"/>
          <w:szCs w:val="27"/>
        </w:rPr>
      </w:pPr>
      <w:r>
        <w:rPr>
          <w:rFonts w:ascii="黑体" w:hAnsi="黑体" w:eastAsia="黑体" w:cs="黑体"/>
          <w:spacing w:val="-1"/>
          <w:sz w:val="27"/>
          <w:szCs w:val="27"/>
        </w:rPr>
        <w:t>5.12</w:t>
      </w:r>
      <w:r>
        <w:rPr>
          <w:rFonts w:ascii="黑体" w:hAnsi="黑体" w:eastAsia="黑体" w:cs="黑体"/>
          <w:spacing w:val="21"/>
          <w:sz w:val="27"/>
          <w:szCs w:val="27"/>
        </w:rPr>
        <w:t xml:space="preserve">  </w:t>
      </w:r>
      <w:r>
        <w:rPr>
          <w:rFonts w:ascii="黑体" w:hAnsi="黑体" w:eastAsia="黑体" w:cs="黑体"/>
          <w:b/>
          <w:bCs/>
          <w:spacing w:val="-1"/>
          <w:sz w:val="27"/>
          <w:szCs w:val="27"/>
        </w:rPr>
        <w:t>安全性设计</w:t>
      </w:r>
    </w:p>
    <w:p w14:paraId="2EAC25FE">
      <w:pPr>
        <w:spacing w:before="9" w:line="219" w:lineRule="auto"/>
        <w:ind w:left="560"/>
        <w:rPr>
          <w:rFonts w:ascii="宋体" w:hAnsi="宋体" w:eastAsia="宋体" w:cs="宋体"/>
          <w:sz w:val="27"/>
          <w:szCs w:val="27"/>
        </w:rPr>
      </w:pPr>
      <w:r>
        <w:rPr>
          <w:rFonts w:ascii="宋体" w:hAnsi="宋体" w:eastAsia="宋体" w:cs="宋体"/>
          <w:spacing w:val="4"/>
          <w:sz w:val="27"/>
          <w:szCs w:val="27"/>
        </w:rPr>
        <w:t>提出为实现安全性要求拟采取的安全性详细设计方案。</w:t>
      </w:r>
    </w:p>
    <w:p w14:paraId="2847934F">
      <w:pPr>
        <w:spacing w:before="96" w:line="222" w:lineRule="auto"/>
        <w:rPr>
          <w:rFonts w:ascii="黑体" w:hAnsi="黑体" w:eastAsia="黑体" w:cs="黑体"/>
          <w:sz w:val="27"/>
          <w:szCs w:val="27"/>
        </w:rPr>
      </w:pPr>
      <w:r>
        <w:rPr>
          <w:rFonts w:ascii="黑体" w:hAnsi="黑体" w:eastAsia="黑体" w:cs="黑体"/>
          <w:spacing w:val="1"/>
          <w:sz w:val="27"/>
          <w:szCs w:val="27"/>
        </w:rPr>
        <w:t>5.13</w:t>
      </w:r>
      <w:r>
        <w:rPr>
          <w:rFonts w:ascii="黑体" w:hAnsi="黑体" w:eastAsia="黑体" w:cs="黑体"/>
          <w:spacing w:val="29"/>
          <w:sz w:val="27"/>
          <w:szCs w:val="27"/>
        </w:rPr>
        <w:t xml:space="preserve">  </w:t>
      </w:r>
      <w:r>
        <w:rPr>
          <w:rFonts w:ascii="黑体" w:hAnsi="黑体" w:eastAsia="黑体" w:cs="黑体"/>
          <w:b/>
          <w:bCs/>
          <w:spacing w:val="1"/>
          <w:sz w:val="27"/>
          <w:szCs w:val="27"/>
        </w:rPr>
        <w:t>电磁兼容性设计(适用时)</w:t>
      </w:r>
    </w:p>
    <w:p w14:paraId="27D8625F">
      <w:pPr>
        <w:spacing w:before="18" w:line="250" w:lineRule="auto"/>
        <w:ind w:right="150" w:firstLine="560"/>
        <w:rPr>
          <w:rFonts w:ascii="黑体" w:hAnsi="黑体" w:eastAsia="黑体" w:cs="黑体"/>
          <w:sz w:val="27"/>
          <w:szCs w:val="27"/>
        </w:rPr>
      </w:pPr>
      <w:r>
        <w:rPr>
          <w:rFonts w:ascii="宋体" w:hAnsi="宋体" w:eastAsia="宋体" w:cs="宋体"/>
          <w:spacing w:val="5"/>
          <w:sz w:val="27"/>
          <w:szCs w:val="27"/>
        </w:rPr>
        <w:t>(适用时)提出为实现电磁兼容性要求拟采取的</w:t>
      </w:r>
      <w:r>
        <w:rPr>
          <w:rFonts w:ascii="宋体" w:hAnsi="宋体" w:eastAsia="宋体" w:cs="宋体"/>
          <w:spacing w:val="4"/>
          <w:sz w:val="27"/>
          <w:szCs w:val="27"/>
        </w:rPr>
        <w:t>电磁兼容性详细设计方案。</w:t>
      </w:r>
      <w:r>
        <w:rPr>
          <w:rFonts w:ascii="宋体" w:hAnsi="宋体" w:eastAsia="宋体" w:cs="宋体"/>
          <w:sz w:val="27"/>
          <w:szCs w:val="27"/>
        </w:rPr>
        <w:t xml:space="preserve"> </w:t>
      </w:r>
      <w:r>
        <w:rPr>
          <w:rFonts w:ascii="黑体" w:hAnsi="黑体" w:eastAsia="黑体" w:cs="黑体"/>
          <w:spacing w:val="2"/>
          <w:sz w:val="27"/>
          <w:szCs w:val="27"/>
        </w:rPr>
        <w:t>5.14</w:t>
      </w:r>
      <w:r>
        <w:rPr>
          <w:rFonts w:ascii="黑体" w:hAnsi="黑体" w:eastAsia="黑体" w:cs="黑体"/>
          <w:spacing w:val="24"/>
          <w:sz w:val="27"/>
          <w:szCs w:val="27"/>
        </w:rPr>
        <w:t xml:space="preserve">  </w:t>
      </w:r>
      <w:r>
        <w:rPr>
          <w:rFonts w:ascii="黑体" w:hAnsi="黑体" w:eastAsia="黑体" w:cs="黑体"/>
          <w:b/>
          <w:bCs/>
          <w:spacing w:val="2"/>
          <w:sz w:val="27"/>
          <w:szCs w:val="27"/>
        </w:rPr>
        <w:t>人机工程设计(适用时)</w:t>
      </w:r>
    </w:p>
    <w:p w14:paraId="460CC4CE">
      <w:pPr>
        <w:spacing w:before="1" w:line="218" w:lineRule="auto"/>
        <w:ind w:left="560"/>
        <w:rPr>
          <w:rFonts w:ascii="宋体" w:hAnsi="宋体" w:eastAsia="宋体" w:cs="宋体"/>
          <w:sz w:val="27"/>
          <w:szCs w:val="27"/>
        </w:rPr>
      </w:pPr>
      <w:r>
        <w:rPr>
          <w:rFonts w:ascii="宋体" w:hAnsi="宋体" w:eastAsia="宋体" w:cs="宋体"/>
          <w:spacing w:val="5"/>
          <w:sz w:val="27"/>
          <w:szCs w:val="27"/>
        </w:rPr>
        <w:t>提出为实现人机工程要求拟采取的人机工程</w:t>
      </w:r>
      <w:r>
        <w:rPr>
          <w:rFonts w:ascii="宋体" w:hAnsi="宋体" w:eastAsia="宋体" w:cs="宋体"/>
          <w:spacing w:val="4"/>
          <w:sz w:val="27"/>
          <w:szCs w:val="27"/>
        </w:rPr>
        <w:t>详细设计方案。</w:t>
      </w:r>
    </w:p>
    <w:p w14:paraId="6EF57969">
      <w:pPr>
        <w:spacing w:before="56" w:line="222"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24"/>
          <w:sz w:val="27"/>
          <w:szCs w:val="27"/>
        </w:rPr>
        <w:t xml:space="preserve">  </w:t>
      </w:r>
      <w:r>
        <w:rPr>
          <w:rFonts w:ascii="黑体" w:hAnsi="黑体" w:eastAsia="黑体" w:cs="黑体"/>
          <w:b/>
          <w:bCs/>
          <w:spacing w:val="-2"/>
          <w:sz w:val="27"/>
          <w:szCs w:val="27"/>
        </w:rPr>
        <w:t>研制风险分析</w:t>
      </w:r>
    </w:p>
    <w:p w14:paraId="7E164503">
      <w:pPr>
        <w:spacing w:before="85" w:line="222" w:lineRule="auto"/>
        <w:rPr>
          <w:rFonts w:ascii="黑体" w:hAnsi="黑体" w:eastAsia="黑体" w:cs="黑体"/>
          <w:sz w:val="27"/>
          <w:szCs w:val="27"/>
        </w:rPr>
      </w:pPr>
      <w:r>
        <w:rPr>
          <w:rFonts w:ascii="黑体" w:hAnsi="黑体" w:eastAsia="黑体" w:cs="黑体"/>
          <w:spacing w:val="-2"/>
          <w:sz w:val="27"/>
          <w:szCs w:val="27"/>
        </w:rPr>
        <w:t>6.1</w:t>
      </w:r>
      <w:r>
        <w:rPr>
          <w:rFonts w:ascii="黑体" w:hAnsi="黑体" w:eastAsia="黑体" w:cs="黑体"/>
          <w:spacing w:val="20"/>
          <w:sz w:val="27"/>
          <w:szCs w:val="27"/>
        </w:rPr>
        <w:t xml:space="preserve">  </w:t>
      </w:r>
      <w:r>
        <w:rPr>
          <w:rFonts w:ascii="黑体" w:hAnsi="黑体" w:eastAsia="黑体" w:cs="黑体"/>
          <w:b/>
          <w:bCs/>
          <w:spacing w:val="-2"/>
          <w:sz w:val="27"/>
          <w:szCs w:val="27"/>
        </w:rPr>
        <w:t>技术风险</w:t>
      </w:r>
    </w:p>
    <w:p w14:paraId="5CF9DB83">
      <w:pPr>
        <w:spacing w:before="80" w:line="219" w:lineRule="auto"/>
        <w:ind w:left="560"/>
        <w:rPr>
          <w:rFonts w:ascii="宋体" w:hAnsi="宋体" w:eastAsia="宋体" w:cs="宋体"/>
          <w:sz w:val="27"/>
          <w:szCs w:val="27"/>
        </w:rPr>
      </w:pPr>
      <w:r>
        <w:rPr>
          <w:rFonts w:ascii="宋体" w:hAnsi="宋体" w:eastAsia="宋体" w:cs="宋体"/>
          <w:spacing w:val="1"/>
          <w:sz w:val="27"/>
          <w:szCs w:val="27"/>
        </w:rPr>
        <w:t>主要考虑以下方面：</w:t>
      </w:r>
    </w:p>
    <w:p w14:paraId="3D19B6A0">
      <w:pPr>
        <w:spacing w:before="91" w:line="219" w:lineRule="auto"/>
        <w:ind w:left="560"/>
        <w:rPr>
          <w:rFonts w:ascii="宋体" w:hAnsi="宋体" w:eastAsia="宋体" w:cs="宋体"/>
          <w:sz w:val="27"/>
          <w:szCs w:val="27"/>
        </w:rPr>
      </w:pPr>
      <w:r>
        <w:rPr>
          <w:rFonts w:ascii="Times New Roman" w:hAnsi="Times New Roman" w:eastAsia="Times New Roman" w:cs="Times New Roman"/>
          <w:sz w:val="27"/>
          <w:szCs w:val="27"/>
        </w:rPr>
        <w:t>a</w:t>
      </w:r>
      <w:r>
        <w:rPr>
          <w:rFonts w:ascii="Times New Roman" w:hAnsi="Times New Roman" w:eastAsia="Times New Roman" w:cs="Times New Roman"/>
          <w:spacing w:val="-17"/>
          <w:sz w:val="27"/>
          <w:szCs w:val="27"/>
        </w:rPr>
        <w:t xml:space="preserve"> </w:t>
      </w:r>
      <w:r>
        <w:rPr>
          <w:rFonts w:ascii="宋体" w:hAnsi="宋体" w:eastAsia="宋体" w:cs="宋体"/>
          <w:sz w:val="27"/>
          <w:szCs w:val="27"/>
        </w:rPr>
        <w:t>)引起技术风险的主要因素(包括指标量化</w:t>
      </w:r>
      <w:r>
        <w:rPr>
          <w:rFonts w:ascii="宋体" w:hAnsi="宋体" w:eastAsia="宋体" w:cs="宋体"/>
          <w:spacing w:val="-1"/>
          <w:sz w:val="27"/>
          <w:szCs w:val="27"/>
        </w:rPr>
        <w:t>、技术难度、研制难易等因素);</w:t>
      </w:r>
    </w:p>
    <w:p w14:paraId="718A234F">
      <w:pPr>
        <w:spacing w:before="49"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技术风险的表示方法(包括风险百分数、新技术项</w:t>
      </w:r>
      <w:r>
        <w:rPr>
          <w:rFonts w:ascii="宋体" w:hAnsi="宋体" w:eastAsia="宋体" w:cs="宋体"/>
          <w:spacing w:val="1"/>
          <w:sz w:val="27"/>
          <w:szCs w:val="27"/>
        </w:rPr>
        <w:t>目采用比等因素);</w:t>
      </w:r>
    </w:p>
    <w:p w14:paraId="6FDE84CA">
      <w:pPr>
        <w:spacing w:before="100"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6"/>
          <w:sz w:val="27"/>
          <w:szCs w:val="27"/>
        </w:rPr>
        <w:t>技术风险的估算(包括高、中、低三类风险的估</w:t>
      </w:r>
      <w:r>
        <w:rPr>
          <w:rFonts w:ascii="宋体" w:hAnsi="宋体" w:eastAsia="宋体" w:cs="宋体"/>
          <w:spacing w:val="-7"/>
          <w:sz w:val="27"/>
          <w:szCs w:val="27"/>
        </w:rPr>
        <w:t>算)。</w:t>
      </w:r>
    </w:p>
    <w:p w14:paraId="025B3F09">
      <w:pPr>
        <w:spacing w:before="134" w:line="222" w:lineRule="auto"/>
        <w:rPr>
          <w:rFonts w:ascii="黑体" w:hAnsi="黑体" w:eastAsia="黑体" w:cs="黑体"/>
          <w:sz w:val="24"/>
          <w:szCs w:val="24"/>
        </w:rPr>
      </w:pPr>
      <w:r>
        <w:rPr>
          <w:rFonts w:ascii="黑体" w:hAnsi="黑体" w:eastAsia="黑体" w:cs="黑体"/>
          <w:spacing w:val="16"/>
          <w:sz w:val="24"/>
          <w:szCs w:val="24"/>
        </w:rPr>
        <w:t>6.2</w:t>
      </w:r>
      <w:r>
        <w:rPr>
          <w:rFonts w:ascii="黑体" w:hAnsi="黑体" w:eastAsia="黑体" w:cs="黑体"/>
          <w:spacing w:val="55"/>
          <w:sz w:val="24"/>
          <w:szCs w:val="24"/>
        </w:rPr>
        <w:t xml:space="preserve">  </w:t>
      </w:r>
      <w:r>
        <w:rPr>
          <w:rFonts w:ascii="黑体" w:hAnsi="黑体" w:eastAsia="黑体" w:cs="黑体"/>
          <w:b/>
          <w:bCs/>
          <w:spacing w:val="16"/>
          <w:sz w:val="24"/>
          <w:szCs w:val="24"/>
        </w:rPr>
        <w:t>进度风险</w:t>
      </w:r>
    </w:p>
    <w:p w14:paraId="75CB582F">
      <w:pPr>
        <w:spacing w:before="96" w:line="219" w:lineRule="auto"/>
        <w:ind w:left="560"/>
        <w:rPr>
          <w:rFonts w:ascii="宋体" w:hAnsi="宋体" w:eastAsia="宋体" w:cs="宋体"/>
          <w:sz w:val="27"/>
          <w:szCs w:val="27"/>
        </w:rPr>
      </w:pPr>
      <w:r>
        <w:rPr>
          <w:rFonts w:ascii="宋体" w:hAnsi="宋体" w:eastAsia="宋体" w:cs="宋体"/>
          <w:spacing w:val="1"/>
          <w:sz w:val="27"/>
          <w:szCs w:val="27"/>
        </w:rPr>
        <w:t>主要考虑以下方面：</w:t>
      </w:r>
    </w:p>
    <w:p w14:paraId="5E05D4A9">
      <w:pPr>
        <w:spacing w:before="70" w:line="253" w:lineRule="auto"/>
        <w:ind w:right="114" w:firstLine="560"/>
        <w:rPr>
          <w:rFonts w:ascii="宋体" w:hAnsi="宋体" w:eastAsia="宋体" w:cs="宋体"/>
          <w:sz w:val="27"/>
          <w:szCs w:val="27"/>
        </w:rPr>
      </w:pPr>
      <w:r>
        <w:rPr>
          <w:rFonts w:ascii="Times New Roman" w:hAnsi="Times New Roman" w:eastAsia="Times New Roman" w:cs="Times New Roman"/>
          <w:spacing w:val="9"/>
          <w:sz w:val="27"/>
          <w:szCs w:val="27"/>
        </w:rPr>
        <w:t>a</w:t>
      </w:r>
      <w:r>
        <w:rPr>
          <w:rFonts w:ascii="Times New Roman" w:hAnsi="Times New Roman" w:eastAsia="Times New Roman" w:cs="Times New Roman"/>
          <w:spacing w:val="-26"/>
          <w:sz w:val="27"/>
          <w:szCs w:val="27"/>
        </w:rPr>
        <w:t xml:space="preserve"> </w:t>
      </w:r>
      <w:r>
        <w:rPr>
          <w:rFonts w:ascii="宋体" w:hAnsi="宋体" w:eastAsia="宋体" w:cs="宋体"/>
          <w:spacing w:val="9"/>
          <w:sz w:val="27"/>
          <w:szCs w:val="27"/>
        </w:rPr>
        <w:t>)引起进度风险的主要因素(包括预研工作和可行性论证是否充分、计划</w:t>
      </w:r>
      <w:r>
        <w:rPr>
          <w:rFonts w:ascii="宋体" w:hAnsi="宋体" w:eastAsia="宋体" w:cs="宋体"/>
          <w:sz w:val="27"/>
          <w:szCs w:val="27"/>
        </w:rPr>
        <w:t xml:space="preserve"> </w:t>
      </w:r>
      <w:r>
        <w:rPr>
          <w:rFonts w:ascii="宋体" w:hAnsi="宋体" w:eastAsia="宋体" w:cs="宋体"/>
          <w:spacing w:val="-3"/>
          <w:sz w:val="27"/>
          <w:szCs w:val="27"/>
        </w:rPr>
        <w:t>进度考虑不周、投资强度不够、战术技术指标更改以及其他因素);</w:t>
      </w:r>
    </w:p>
    <w:p w14:paraId="7BFDE2F4">
      <w:pPr>
        <w:spacing w:before="61"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b)</w:t>
      </w:r>
      <w:r>
        <w:rPr>
          <w:rFonts w:ascii="Times New Roman" w:hAnsi="Times New Roman" w:eastAsia="Times New Roman" w:cs="Times New Roman"/>
          <w:spacing w:val="76"/>
          <w:sz w:val="27"/>
          <w:szCs w:val="27"/>
        </w:rPr>
        <w:t xml:space="preserve"> </w:t>
      </w:r>
      <w:r>
        <w:rPr>
          <w:rFonts w:ascii="宋体" w:hAnsi="宋体" w:eastAsia="宋体" w:cs="宋体"/>
          <w:spacing w:val="6"/>
          <w:sz w:val="27"/>
          <w:szCs w:val="27"/>
        </w:rPr>
        <w:t>进度风险的表示方法(可用完成研制任务的概率表示);</w:t>
      </w:r>
    </w:p>
    <w:p w14:paraId="54AB47CE">
      <w:pPr>
        <w:spacing w:before="89" w:line="264" w:lineRule="auto"/>
        <w:ind w:firstLine="56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62"/>
          <w:w w:val="101"/>
          <w:sz w:val="27"/>
          <w:szCs w:val="27"/>
        </w:rPr>
        <w:t xml:space="preserve"> </w:t>
      </w:r>
      <w:r>
        <w:rPr>
          <w:rFonts w:ascii="宋体" w:hAnsi="宋体" w:eastAsia="宋体" w:cs="宋体"/>
          <w:spacing w:val="3"/>
          <w:sz w:val="27"/>
          <w:szCs w:val="27"/>
        </w:rPr>
        <w:t>进度风险的估算(计算每个工序的平均完成时间、方差、期望完成</w:t>
      </w:r>
      <w:r>
        <w:rPr>
          <w:rFonts w:ascii="宋体" w:hAnsi="宋体" w:eastAsia="宋体" w:cs="宋体"/>
          <w:spacing w:val="2"/>
          <w:sz w:val="27"/>
          <w:szCs w:val="27"/>
        </w:rPr>
        <w:t>时间、</w:t>
      </w:r>
      <w:r>
        <w:rPr>
          <w:rFonts w:ascii="宋体" w:hAnsi="宋体" w:eastAsia="宋体" w:cs="宋体"/>
          <w:sz w:val="27"/>
          <w:szCs w:val="27"/>
        </w:rPr>
        <w:t xml:space="preserve"> </w:t>
      </w:r>
      <w:r>
        <w:rPr>
          <w:rFonts w:ascii="宋体" w:hAnsi="宋体" w:eastAsia="宋体" w:cs="宋体"/>
          <w:spacing w:val="-13"/>
          <w:sz w:val="27"/>
          <w:szCs w:val="27"/>
        </w:rPr>
        <w:t>必须完成时间、松弛时间、关键路线、完成概率等)。</w:t>
      </w:r>
    </w:p>
    <w:p w14:paraId="1A5311AF">
      <w:pPr>
        <w:pStyle w:val="2"/>
        <w:spacing w:line="266" w:lineRule="auto"/>
      </w:pPr>
    </w:p>
    <w:p w14:paraId="194449D1">
      <w:pPr>
        <w:spacing w:before="117" w:line="218" w:lineRule="auto"/>
        <w:ind w:left="3059"/>
        <w:outlineLvl w:val="1"/>
        <w:rPr>
          <w:rFonts w:ascii="宋体" w:hAnsi="宋体" w:eastAsia="宋体" w:cs="宋体"/>
          <w:sz w:val="36"/>
          <w:szCs w:val="36"/>
        </w:rPr>
      </w:pPr>
      <w:bookmarkStart w:id="47" w:name="bookmark24"/>
      <w:bookmarkEnd w:id="47"/>
      <w:r>
        <w:rPr>
          <w:rFonts w:ascii="宋体" w:hAnsi="宋体" w:eastAsia="宋体" w:cs="宋体"/>
          <w:sz w:val="36"/>
          <w:szCs w:val="36"/>
        </w:rPr>
        <w:t>1.22</w:t>
      </w:r>
      <w:r>
        <w:rPr>
          <w:rFonts w:ascii="宋体" w:hAnsi="宋体" w:eastAsia="宋体" w:cs="宋体"/>
          <w:spacing w:val="18"/>
          <w:sz w:val="36"/>
          <w:szCs w:val="36"/>
        </w:rPr>
        <w:t xml:space="preserve">  </w:t>
      </w:r>
      <w:r>
        <w:rPr>
          <w:rFonts w:ascii="宋体" w:hAnsi="宋体" w:eastAsia="宋体" w:cs="宋体"/>
          <w:b/>
          <w:bCs/>
          <w:sz w:val="36"/>
          <w:szCs w:val="36"/>
        </w:rPr>
        <w:t>设计计算报告</w:t>
      </w:r>
    </w:p>
    <w:p w14:paraId="67B5CDDD">
      <w:pPr>
        <w:pStyle w:val="2"/>
        <w:spacing w:line="283" w:lineRule="auto"/>
      </w:pPr>
    </w:p>
    <w:p w14:paraId="058DD9A1">
      <w:pPr>
        <w:spacing w:before="89" w:line="221"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6"/>
          <w:sz w:val="27"/>
          <w:szCs w:val="27"/>
        </w:rPr>
        <w:t xml:space="preserve">  </w:t>
      </w:r>
      <w:r>
        <w:rPr>
          <w:rFonts w:ascii="黑体" w:hAnsi="黑体" w:eastAsia="黑体" w:cs="黑体"/>
          <w:b/>
          <w:bCs/>
          <w:spacing w:val="-3"/>
          <w:sz w:val="27"/>
          <w:szCs w:val="27"/>
        </w:rPr>
        <w:t>任务来源</w:t>
      </w:r>
    </w:p>
    <w:p w14:paraId="72C32247">
      <w:pPr>
        <w:spacing w:before="97" w:line="222" w:lineRule="auto"/>
        <w:rPr>
          <w:rFonts w:ascii="黑体" w:hAnsi="黑体" w:eastAsia="黑体" w:cs="黑体"/>
          <w:sz w:val="25"/>
          <w:szCs w:val="25"/>
        </w:rPr>
      </w:pPr>
      <w:r>
        <w:rPr>
          <w:rFonts w:ascii="黑体" w:hAnsi="黑体" w:eastAsia="黑体" w:cs="黑体"/>
          <w:spacing w:val="8"/>
          <w:sz w:val="25"/>
          <w:szCs w:val="25"/>
        </w:rPr>
        <w:t>1.1</w:t>
      </w:r>
      <w:r>
        <w:rPr>
          <w:rFonts w:ascii="黑体" w:hAnsi="黑体" w:eastAsia="黑体" w:cs="黑体"/>
          <w:spacing w:val="51"/>
          <w:sz w:val="25"/>
          <w:szCs w:val="25"/>
        </w:rPr>
        <w:t xml:space="preserve">  </w:t>
      </w:r>
      <w:r>
        <w:rPr>
          <w:rFonts w:ascii="黑体" w:hAnsi="黑体" w:eastAsia="黑体" w:cs="黑体"/>
          <w:b/>
          <w:bCs/>
          <w:spacing w:val="8"/>
          <w:sz w:val="25"/>
          <w:szCs w:val="25"/>
        </w:rPr>
        <w:t>计算对象</w:t>
      </w:r>
    </w:p>
    <w:p w14:paraId="29227DCE">
      <w:pPr>
        <w:spacing w:before="105" w:line="219" w:lineRule="auto"/>
        <w:ind w:left="560"/>
        <w:rPr>
          <w:rFonts w:ascii="宋体" w:hAnsi="宋体" w:eastAsia="宋体" w:cs="宋体"/>
          <w:sz w:val="27"/>
          <w:szCs w:val="27"/>
        </w:rPr>
      </w:pPr>
      <w:r>
        <w:rPr>
          <w:rFonts w:ascii="宋体" w:hAnsi="宋体" w:eastAsia="宋体" w:cs="宋体"/>
          <w:spacing w:val="1"/>
          <w:sz w:val="27"/>
          <w:szCs w:val="27"/>
        </w:rPr>
        <w:t>说明设计计算的对象。</w:t>
      </w:r>
    </w:p>
    <w:p w14:paraId="63B4975A">
      <w:pPr>
        <w:spacing w:line="219" w:lineRule="auto"/>
        <w:rPr>
          <w:rFonts w:ascii="宋体" w:hAnsi="宋体" w:eastAsia="宋体" w:cs="宋体"/>
          <w:sz w:val="27"/>
          <w:szCs w:val="27"/>
        </w:rPr>
        <w:sectPr>
          <w:footerReference r:id="rId83" w:type="default"/>
          <w:pgSz w:w="11910" w:h="17130"/>
          <w:pgMar w:top="400" w:right="994" w:bottom="1779" w:left="1410" w:header="0" w:footer="1520" w:gutter="0"/>
          <w:cols w:space="720" w:num="1"/>
        </w:sectPr>
      </w:pPr>
    </w:p>
    <w:p w14:paraId="41D10EF3">
      <w:pPr>
        <w:pStyle w:val="2"/>
        <w:spacing w:line="255" w:lineRule="auto"/>
      </w:pPr>
    </w:p>
    <w:p w14:paraId="314FB497">
      <w:pPr>
        <w:pStyle w:val="2"/>
        <w:spacing w:line="255" w:lineRule="auto"/>
      </w:pPr>
    </w:p>
    <w:p w14:paraId="05D8C0FA">
      <w:pPr>
        <w:pStyle w:val="2"/>
        <w:spacing w:line="255" w:lineRule="auto"/>
      </w:pPr>
    </w:p>
    <w:p w14:paraId="24F94EF9">
      <w:pPr>
        <w:pStyle w:val="2"/>
        <w:spacing w:line="256" w:lineRule="auto"/>
      </w:pPr>
    </w:p>
    <w:p w14:paraId="5C75FCCF">
      <w:pPr>
        <w:spacing w:before="88" w:line="222" w:lineRule="auto"/>
        <w:rPr>
          <w:rFonts w:ascii="黑体" w:hAnsi="黑体" w:eastAsia="黑体" w:cs="黑体"/>
          <w:sz w:val="27"/>
          <w:szCs w:val="27"/>
        </w:rPr>
      </w:pPr>
      <w:r>
        <w:rPr>
          <w:rFonts w:ascii="黑体" w:hAnsi="黑体" w:eastAsia="黑体" w:cs="黑体"/>
          <w:sz w:val="27"/>
          <w:szCs w:val="27"/>
        </w:rPr>
        <w:t xml:space="preserve">1.2  </w:t>
      </w:r>
      <w:r>
        <w:rPr>
          <w:rFonts w:ascii="黑体" w:hAnsi="黑体" w:eastAsia="黑体" w:cs="黑体"/>
          <w:b/>
          <w:bCs/>
          <w:sz w:val="27"/>
          <w:szCs w:val="27"/>
        </w:rPr>
        <w:t>计算目的</w:t>
      </w:r>
    </w:p>
    <w:p w14:paraId="2BF6C4AF">
      <w:pPr>
        <w:spacing w:before="81" w:line="219" w:lineRule="auto"/>
        <w:ind w:left="550"/>
        <w:rPr>
          <w:rFonts w:ascii="宋体" w:hAnsi="宋体" w:eastAsia="宋体" w:cs="宋体"/>
          <w:sz w:val="27"/>
          <w:szCs w:val="27"/>
        </w:rPr>
      </w:pPr>
      <w:r>
        <w:rPr>
          <w:rFonts w:ascii="宋体" w:hAnsi="宋体" w:eastAsia="宋体" w:cs="宋体"/>
          <w:spacing w:val="2"/>
          <w:sz w:val="27"/>
          <w:szCs w:val="27"/>
        </w:rPr>
        <w:t>说明设计计算的目的。</w:t>
      </w:r>
    </w:p>
    <w:p w14:paraId="61987339">
      <w:pPr>
        <w:spacing w:before="123"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8"/>
          <w:sz w:val="27"/>
          <w:szCs w:val="27"/>
        </w:rPr>
        <w:t xml:space="preserve">  </w:t>
      </w:r>
      <w:r>
        <w:rPr>
          <w:rFonts w:ascii="黑体" w:hAnsi="黑体" w:eastAsia="黑体" w:cs="黑体"/>
          <w:b/>
          <w:bCs/>
          <w:spacing w:val="-3"/>
          <w:sz w:val="27"/>
          <w:szCs w:val="27"/>
        </w:rPr>
        <w:t>引用文件</w:t>
      </w:r>
    </w:p>
    <w:p w14:paraId="76AFA02A">
      <w:pPr>
        <w:spacing w:before="69" w:line="219" w:lineRule="auto"/>
        <w:ind w:left="550"/>
        <w:rPr>
          <w:rFonts w:ascii="宋体" w:hAnsi="宋体" w:eastAsia="宋体" w:cs="宋体"/>
          <w:sz w:val="27"/>
          <w:szCs w:val="27"/>
        </w:rPr>
      </w:pPr>
      <w:r>
        <w:rPr>
          <w:rFonts w:ascii="宋体" w:hAnsi="宋体" w:eastAsia="宋体" w:cs="宋体"/>
          <w:spacing w:val="2"/>
          <w:sz w:val="27"/>
          <w:szCs w:val="27"/>
        </w:rPr>
        <w:t>列出设计计算的依据和引用文件。</w:t>
      </w:r>
    </w:p>
    <w:p w14:paraId="0792162C">
      <w:pPr>
        <w:spacing w:before="95" w:line="222" w:lineRule="auto"/>
        <w:rPr>
          <w:rFonts w:ascii="黑体" w:hAnsi="黑体" w:eastAsia="黑体" w:cs="黑体"/>
          <w:sz w:val="27"/>
          <w:szCs w:val="27"/>
        </w:rPr>
      </w:pPr>
      <w:r>
        <w:rPr>
          <w:rFonts w:ascii="黑体" w:hAnsi="黑体" w:eastAsia="黑体" w:cs="黑体"/>
          <w:spacing w:val="-7"/>
          <w:sz w:val="27"/>
          <w:szCs w:val="27"/>
        </w:rPr>
        <w:t>3</w:t>
      </w:r>
      <w:r>
        <w:rPr>
          <w:rFonts w:ascii="黑体" w:hAnsi="黑体" w:eastAsia="黑体" w:cs="黑体"/>
          <w:spacing w:val="11"/>
          <w:sz w:val="27"/>
          <w:szCs w:val="27"/>
        </w:rPr>
        <w:t xml:space="preserve">  </w:t>
      </w:r>
      <w:r>
        <w:rPr>
          <w:rFonts w:ascii="黑体" w:hAnsi="黑体" w:eastAsia="黑体" w:cs="黑体"/>
          <w:b/>
          <w:bCs/>
          <w:spacing w:val="-7"/>
          <w:sz w:val="27"/>
          <w:szCs w:val="27"/>
        </w:rPr>
        <w:t>计算要求</w:t>
      </w:r>
    </w:p>
    <w:p w14:paraId="1102553B">
      <w:pPr>
        <w:spacing w:before="136" w:line="222" w:lineRule="auto"/>
        <w:rPr>
          <w:rFonts w:ascii="黑体" w:hAnsi="黑体" w:eastAsia="黑体" w:cs="黑体"/>
          <w:sz w:val="24"/>
          <w:szCs w:val="24"/>
        </w:rPr>
      </w:pPr>
      <w:r>
        <w:rPr>
          <w:rFonts w:ascii="黑体" w:hAnsi="黑体" w:eastAsia="黑体" w:cs="黑体"/>
          <w:spacing w:val="18"/>
          <w:sz w:val="24"/>
          <w:szCs w:val="24"/>
        </w:rPr>
        <w:t>3.1</w:t>
      </w:r>
      <w:r>
        <w:rPr>
          <w:rFonts w:ascii="黑体" w:hAnsi="黑体" w:eastAsia="黑体" w:cs="黑体"/>
          <w:spacing w:val="59"/>
          <w:sz w:val="24"/>
          <w:szCs w:val="24"/>
        </w:rPr>
        <w:t xml:space="preserve">  </w:t>
      </w:r>
      <w:r>
        <w:rPr>
          <w:rFonts w:ascii="黑体" w:hAnsi="黑体" w:eastAsia="黑体" w:cs="黑体"/>
          <w:b/>
          <w:bCs/>
          <w:spacing w:val="18"/>
          <w:sz w:val="24"/>
          <w:szCs w:val="24"/>
        </w:rPr>
        <w:t>已知参数和数据</w:t>
      </w:r>
    </w:p>
    <w:p w14:paraId="2BE259DF">
      <w:pPr>
        <w:spacing w:before="86" w:line="219" w:lineRule="auto"/>
        <w:ind w:left="550"/>
        <w:rPr>
          <w:rFonts w:ascii="宋体" w:hAnsi="宋体" w:eastAsia="宋体" w:cs="宋体"/>
          <w:sz w:val="27"/>
          <w:szCs w:val="27"/>
        </w:rPr>
      </w:pPr>
      <w:r>
        <w:rPr>
          <w:rFonts w:ascii="宋体" w:hAnsi="宋体" w:eastAsia="宋体" w:cs="宋体"/>
          <w:spacing w:val="2"/>
          <w:sz w:val="27"/>
          <w:szCs w:val="27"/>
        </w:rPr>
        <w:t>详细说明已知参数和数据。</w:t>
      </w:r>
    </w:p>
    <w:p w14:paraId="4F3C1230">
      <w:pPr>
        <w:spacing w:before="124" w:line="222" w:lineRule="auto"/>
        <w:rPr>
          <w:rFonts w:ascii="黑体" w:hAnsi="黑体" w:eastAsia="黑体" w:cs="黑体"/>
          <w:sz w:val="27"/>
          <w:szCs w:val="27"/>
        </w:rPr>
      </w:pPr>
      <w:r>
        <w:rPr>
          <w:rFonts w:ascii="黑体" w:hAnsi="黑体" w:eastAsia="黑体" w:cs="黑体"/>
          <w:spacing w:val="-2"/>
          <w:sz w:val="27"/>
          <w:szCs w:val="27"/>
        </w:rPr>
        <w:t>3.2</w:t>
      </w:r>
      <w:r>
        <w:rPr>
          <w:rFonts w:ascii="黑体" w:hAnsi="黑体" w:eastAsia="黑体" w:cs="黑体"/>
          <w:spacing w:val="20"/>
          <w:sz w:val="27"/>
          <w:szCs w:val="27"/>
        </w:rPr>
        <w:t xml:space="preserve">  </w:t>
      </w:r>
      <w:r>
        <w:rPr>
          <w:rFonts w:ascii="黑体" w:hAnsi="黑体" w:eastAsia="黑体" w:cs="黑体"/>
          <w:b/>
          <w:bCs/>
          <w:spacing w:val="-2"/>
          <w:sz w:val="27"/>
          <w:szCs w:val="27"/>
        </w:rPr>
        <w:t>设计状态参数和数据</w:t>
      </w:r>
    </w:p>
    <w:p w14:paraId="4A5EB4DD">
      <w:pPr>
        <w:spacing w:before="81" w:line="219" w:lineRule="auto"/>
        <w:ind w:left="550"/>
        <w:rPr>
          <w:rFonts w:ascii="宋体" w:hAnsi="宋体" w:eastAsia="宋体" w:cs="宋体"/>
          <w:sz w:val="27"/>
          <w:szCs w:val="27"/>
        </w:rPr>
      </w:pPr>
      <w:r>
        <w:rPr>
          <w:rFonts w:ascii="宋体" w:hAnsi="宋体" w:eastAsia="宋体" w:cs="宋体"/>
          <w:spacing w:val="3"/>
          <w:sz w:val="27"/>
          <w:szCs w:val="27"/>
        </w:rPr>
        <w:t>详细说明设计状态参数和数据。</w:t>
      </w:r>
    </w:p>
    <w:p w14:paraId="09330683">
      <w:pPr>
        <w:spacing w:before="116" w:line="222" w:lineRule="auto"/>
        <w:rPr>
          <w:rFonts w:ascii="黑体" w:hAnsi="黑体" w:eastAsia="黑体" w:cs="黑体"/>
          <w:sz w:val="27"/>
          <w:szCs w:val="27"/>
        </w:rPr>
      </w:pPr>
      <w:r>
        <w:rPr>
          <w:rFonts w:ascii="黑体" w:hAnsi="黑体" w:eastAsia="黑体" w:cs="黑体"/>
          <w:sz w:val="27"/>
          <w:szCs w:val="27"/>
        </w:rPr>
        <w:t>3.3</w:t>
      </w:r>
      <w:r>
        <w:rPr>
          <w:rFonts w:ascii="黑体" w:hAnsi="黑体" w:eastAsia="黑体" w:cs="黑体"/>
          <w:spacing w:val="21"/>
          <w:sz w:val="27"/>
          <w:szCs w:val="27"/>
        </w:rPr>
        <w:t xml:space="preserve">  </w:t>
      </w:r>
      <w:r>
        <w:rPr>
          <w:rFonts w:ascii="黑体" w:hAnsi="黑体" w:eastAsia="黑体" w:cs="黑体"/>
          <w:b/>
          <w:bCs/>
          <w:sz w:val="27"/>
          <w:szCs w:val="27"/>
        </w:rPr>
        <w:t>待定参数和数据</w:t>
      </w:r>
    </w:p>
    <w:p w14:paraId="10E27515">
      <w:pPr>
        <w:spacing w:before="89" w:line="219" w:lineRule="auto"/>
        <w:ind w:left="550"/>
        <w:rPr>
          <w:rFonts w:ascii="宋体" w:hAnsi="宋体" w:eastAsia="宋体" w:cs="宋体"/>
          <w:sz w:val="27"/>
          <w:szCs w:val="27"/>
        </w:rPr>
      </w:pPr>
      <w:r>
        <w:rPr>
          <w:rFonts w:ascii="宋体" w:hAnsi="宋体" w:eastAsia="宋体" w:cs="宋体"/>
          <w:spacing w:val="4"/>
          <w:sz w:val="27"/>
          <w:szCs w:val="27"/>
        </w:rPr>
        <w:t>提出设计计算的待定参数和数据。</w:t>
      </w:r>
    </w:p>
    <w:p w14:paraId="69BD8343">
      <w:pPr>
        <w:spacing w:before="104"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6"/>
          <w:sz w:val="27"/>
          <w:szCs w:val="27"/>
        </w:rPr>
        <w:t xml:space="preserve">  </w:t>
      </w:r>
      <w:r>
        <w:rPr>
          <w:rFonts w:ascii="黑体" w:hAnsi="黑体" w:eastAsia="黑体" w:cs="黑体"/>
          <w:b/>
          <w:bCs/>
          <w:spacing w:val="-5"/>
          <w:sz w:val="27"/>
          <w:szCs w:val="27"/>
        </w:rPr>
        <w:t>计算内容</w:t>
      </w:r>
    </w:p>
    <w:p w14:paraId="75A7AC0E">
      <w:pPr>
        <w:spacing w:before="115" w:line="221" w:lineRule="auto"/>
        <w:rPr>
          <w:rFonts w:ascii="黑体" w:hAnsi="黑体" w:eastAsia="黑体" w:cs="黑体"/>
          <w:sz w:val="25"/>
          <w:szCs w:val="25"/>
        </w:rPr>
      </w:pPr>
      <w:r>
        <w:rPr>
          <w:rFonts w:ascii="黑体" w:hAnsi="黑体" w:eastAsia="黑体" w:cs="黑体"/>
          <w:spacing w:val="13"/>
          <w:sz w:val="25"/>
          <w:szCs w:val="25"/>
        </w:rPr>
        <w:t>4.1</w:t>
      </w:r>
      <w:r>
        <w:rPr>
          <w:rFonts w:ascii="黑体" w:hAnsi="黑体" w:eastAsia="黑体" w:cs="黑体"/>
          <w:spacing w:val="40"/>
          <w:sz w:val="25"/>
          <w:szCs w:val="25"/>
        </w:rPr>
        <w:t xml:space="preserve">  </w:t>
      </w:r>
      <w:r>
        <w:rPr>
          <w:rFonts w:ascii="黑体" w:hAnsi="黑体" w:eastAsia="黑体" w:cs="黑体"/>
          <w:b/>
          <w:bCs/>
          <w:spacing w:val="13"/>
          <w:sz w:val="25"/>
          <w:szCs w:val="25"/>
        </w:rPr>
        <w:t>计算方法</w:t>
      </w:r>
    </w:p>
    <w:p w14:paraId="5E2D0748">
      <w:pPr>
        <w:spacing w:before="75" w:line="219" w:lineRule="auto"/>
        <w:ind w:left="550"/>
        <w:rPr>
          <w:rFonts w:ascii="宋体" w:hAnsi="宋体" w:eastAsia="宋体" w:cs="宋体"/>
          <w:sz w:val="27"/>
          <w:szCs w:val="27"/>
        </w:rPr>
      </w:pPr>
      <w:r>
        <w:rPr>
          <w:rFonts w:ascii="宋体" w:hAnsi="宋体" w:eastAsia="宋体" w:cs="宋体"/>
          <w:spacing w:val="-9"/>
          <w:sz w:val="27"/>
          <w:szCs w:val="27"/>
        </w:rPr>
        <w:t>以定理、公式、曲线、图表或程序等形式说明所采用</w:t>
      </w:r>
      <w:r>
        <w:rPr>
          <w:rFonts w:ascii="宋体" w:hAnsi="宋体" w:eastAsia="宋体" w:cs="宋体"/>
          <w:spacing w:val="-10"/>
          <w:sz w:val="27"/>
          <w:szCs w:val="27"/>
        </w:rPr>
        <w:t>的设计计算方法。</w:t>
      </w:r>
    </w:p>
    <w:p w14:paraId="31DDD83B">
      <w:pPr>
        <w:spacing w:before="136" w:line="222" w:lineRule="auto"/>
        <w:rPr>
          <w:rFonts w:ascii="黑体" w:hAnsi="黑体" w:eastAsia="黑体" w:cs="黑体"/>
          <w:sz w:val="25"/>
          <w:szCs w:val="25"/>
        </w:rPr>
      </w:pPr>
      <w:r>
        <w:rPr>
          <w:rFonts w:ascii="黑体" w:hAnsi="黑体" w:eastAsia="黑体" w:cs="黑体"/>
          <w:spacing w:val="12"/>
          <w:sz w:val="25"/>
          <w:szCs w:val="25"/>
        </w:rPr>
        <w:t>4.2</w:t>
      </w:r>
      <w:r>
        <w:rPr>
          <w:rFonts w:ascii="黑体" w:hAnsi="黑体" w:eastAsia="黑体" w:cs="黑体"/>
          <w:spacing w:val="42"/>
          <w:sz w:val="25"/>
          <w:szCs w:val="25"/>
        </w:rPr>
        <w:t xml:space="preserve">  </w:t>
      </w:r>
      <w:r>
        <w:rPr>
          <w:rFonts w:ascii="黑体" w:hAnsi="黑体" w:eastAsia="黑体" w:cs="黑体"/>
          <w:b/>
          <w:bCs/>
          <w:spacing w:val="12"/>
          <w:sz w:val="25"/>
          <w:szCs w:val="25"/>
        </w:rPr>
        <w:t>计算过程</w:t>
      </w:r>
    </w:p>
    <w:p w14:paraId="02E3D6C6">
      <w:pPr>
        <w:spacing w:before="93" w:line="219" w:lineRule="auto"/>
        <w:ind w:left="550"/>
        <w:rPr>
          <w:rFonts w:ascii="宋体" w:hAnsi="宋体" w:eastAsia="宋体" w:cs="宋体"/>
          <w:sz w:val="27"/>
          <w:szCs w:val="27"/>
        </w:rPr>
      </w:pPr>
      <w:r>
        <w:rPr>
          <w:rFonts w:ascii="宋体" w:hAnsi="宋体" w:eastAsia="宋体" w:cs="宋体"/>
          <w:sz w:val="27"/>
          <w:szCs w:val="27"/>
        </w:rPr>
        <w:t>依据所采用的设计计算方法，详细说明计算过程及相关数据。</w:t>
      </w:r>
    </w:p>
    <w:p w14:paraId="385FB72D">
      <w:pPr>
        <w:spacing w:before="116" w:line="222"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18"/>
          <w:sz w:val="27"/>
          <w:szCs w:val="27"/>
        </w:rPr>
        <w:t xml:space="preserve">  </w:t>
      </w:r>
      <w:r>
        <w:rPr>
          <w:rFonts w:ascii="黑体" w:hAnsi="黑体" w:eastAsia="黑体" w:cs="黑体"/>
          <w:b/>
          <w:bCs/>
          <w:spacing w:val="1"/>
          <w:sz w:val="27"/>
          <w:szCs w:val="27"/>
        </w:rPr>
        <w:t>计算结果</w:t>
      </w:r>
    </w:p>
    <w:p w14:paraId="047D4ED9">
      <w:pPr>
        <w:spacing w:before="91" w:line="219" w:lineRule="auto"/>
        <w:ind w:left="550"/>
        <w:rPr>
          <w:rFonts w:ascii="宋体" w:hAnsi="宋体" w:eastAsia="宋体" w:cs="宋体"/>
          <w:sz w:val="27"/>
          <w:szCs w:val="27"/>
        </w:rPr>
      </w:pPr>
      <w:r>
        <w:rPr>
          <w:rFonts w:ascii="宋体" w:hAnsi="宋体" w:eastAsia="宋体" w:cs="宋体"/>
          <w:spacing w:val="2"/>
          <w:sz w:val="27"/>
          <w:szCs w:val="27"/>
        </w:rPr>
        <w:t>给出最终的计算结果。</w:t>
      </w:r>
    </w:p>
    <w:p w14:paraId="24997A51">
      <w:pPr>
        <w:spacing w:before="94" w:line="222" w:lineRule="auto"/>
        <w:rPr>
          <w:rFonts w:ascii="黑体" w:hAnsi="黑体" w:eastAsia="黑体" w:cs="黑体"/>
          <w:sz w:val="27"/>
          <w:szCs w:val="27"/>
        </w:rPr>
      </w:pPr>
      <w:r>
        <w:rPr>
          <w:rFonts w:ascii="黑体" w:hAnsi="黑体" w:eastAsia="黑体" w:cs="黑体"/>
          <w:spacing w:val="2"/>
          <w:sz w:val="27"/>
          <w:szCs w:val="27"/>
        </w:rPr>
        <w:t xml:space="preserve">5  </w:t>
      </w:r>
      <w:r>
        <w:rPr>
          <w:rFonts w:ascii="黑体" w:hAnsi="黑体" w:eastAsia="黑体" w:cs="黑体"/>
          <w:b/>
          <w:bCs/>
          <w:spacing w:val="2"/>
          <w:sz w:val="27"/>
          <w:szCs w:val="27"/>
        </w:rPr>
        <w:t>计算结果分析和结论</w:t>
      </w:r>
    </w:p>
    <w:p w14:paraId="6953543B">
      <w:pPr>
        <w:spacing w:before="115" w:line="222" w:lineRule="auto"/>
        <w:rPr>
          <w:rFonts w:ascii="黑体" w:hAnsi="黑体" w:eastAsia="黑体" w:cs="黑体"/>
          <w:sz w:val="27"/>
          <w:szCs w:val="27"/>
        </w:rPr>
      </w:pPr>
      <w:r>
        <w:rPr>
          <w:rFonts w:ascii="黑体" w:hAnsi="黑体" w:eastAsia="黑体" w:cs="黑体"/>
          <w:spacing w:val="-1"/>
          <w:sz w:val="27"/>
          <w:szCs w:val="27"/>
        </w:rPr>
        <w:t>5.1</w:t>
      </w:r>
      <w:r>
        <w:rPr>
          <w:rFonts w:ascii="黑体" w:hAnsi="黑体" w:eastAsia="黑体" w:cs="黑体"/>
          <w:spacing w:val="26"/>
          <w:sz w:val="27"/>
          <w:szCs w:val="27"/>
        </w:rPr>
        <w:t xml:space="preserve">  </w:t>
      </w:r>
      <w:r>
        <w:rPr>
          <w:rFonts w:ascii="黑体" w:hAnsi="黑体" w:eastAsia="黑体" w:cs="黑体"/>
          <w:b/>
          <w:bCs/>
          <w:spacing w:val="-1"/>
          <w:sz w:val="27"/>
          <w:szCs w:val="27"/>
        </w:rPr>
        <w:t>计算结果分析</w:t>
      </w:r>
    </w:p>
    <w:p w14:paraId="6147171C">
      <w:pPr>
        <w:spacing w:before="82" w:line="219" w:lineRule="auto"/>
        <w:ind w:left="550"/>
        <w:rPr>
          <w:rFonts w:ascii="宋体" w:hAnsi="宋体" w:eastAsia="宋体" w:cs="宋体"/>
          <w:sz w:val="27"/>
          <w:szCs w:val="27"/>
        </w:rPr>
      </w:pPr>
      <w:r>
        <w:rPr>
          <w:rFonts w:ascii="宋体" w:hAnsi="宋体" w:eastAsia="宋体" w:cs="宋体"/>
          <w:spacing w:val="-5"/>
          <w:sz w:val="27"/>
          <w:szCs w:val="27"/>
        </w:rPr>
        <w:t>对计算结果进行分析，说明是否符合预期，是否与客观实际吻合。</w:t>
      </w:r>
    </w:p>
    <w:p w14:paraId="743840CE">
      <w:pPr>
        <w:pStyle w:val="2"/>
        <w:spacing w:before="110" w:line="226" w:lineRule="auto"/>
        <w:rPr>
          <w:rFonts w:ascii="黑体" w:hAnsi="黑体" w:eastAsia="黑体" w:cs="黑体"/>
          <w:sz w:val="27"/>
          <w:szCs w:val="27"/>
        </w:rPr>
      </w:pPr>
      <w:r>
        <w:rPr>
          <w:b/>
          <w:bCs/>
          <w:spacing w:val="-5"/>
          <w:sz w:val="27"/>
          <w:szCs w:val="27"/>
        </w:rPr>
        <w:t>5.2</w:t>
      </w:r>
      <w:r>
        <w:rPr>
          <w:b/>
          <w:bCs/>
          <w:spacing w:val="10"/>
          <w:sz w:val="27"/>
          <w:szCs w:val="27"/>
        </w:rPr>
        <w:t xml:space="preserve">    </w:t>
      </w:r>
      <w:r>
        <w:rPr>
          <w:rFonts w:ascii="黑体" w:hAnsi="黑体" w:eastAsia="黑体" w:cs="黑体"/>
          <w:b/>
          <w:bCs/>
          <w:spacing w:val="-5"/>
          <w:sz w:val="27"/>
          <w:szCs w:val="27"/>
        </w:rPr>
        <w:t>结论</w:t>
      </w:r>
    </w:p>
    <w:p w14:paraId="18C3C289">
      <w:pPr>
        <w:spacing w:before="99" w:line="219" w:lineRule="auto"/>
        <w:ind w:left="550"/>
        <w:rPr>
          <w:rFonts w:ascii="宋体" w:hAnsi="宋体" w:eastAsia="宋体" w:cs="宋体"/>
          <w:sz w:val="27"/>
          <w:szCs w:val="27"/>
        </w:rPr>
      </w:pPr>
      <w:r>
        <w:rPr>
          <w:rFonts w:ascii="宋体" w:hAnsi="宋体" w:eastAsia="宋体" w:cs="宋体"/>
          <w:spacing w:val="3"/>
          <w:sz w:val="27"/>
          <w:szCs w:val="27"/>
        </w:rPr>
        <w:t>阐述对计算结果进行分析后的结论性意见。</w:t>
      </w:r>
    </w:p>
    <w:p w14:paraId="0EEB8237">
      <w:pPr>
        <w:spacing w:before="115" w:line="222" w:lineRule="auto"/>
        <w:rPr>
          <w:rFonts w:ascii="黑体" w:hAnsi="黑体" w:eastAsia="黑体" w:cs="黑体"/>
          <w:sz w:val="25"/>
          <w:szCs w:val="25"/>
        </w:rPr>
      </w:pPr>
      <w:r>
        <w:rPr>
          <w:rFonts w:ascii="黑体" w:hAnsi="黑体" w:eastAsia="黑体" w:cs="黑体"/>
          <w:spacing w:val="9"/>
          <w:sz w:val="25"/>
          <w:szCs w:val="25"/>
        </w:rPr>
        <w:t>6</w:t>
      </w:r>
      <w:r>
        <w:rPr>
          <w:rFonts w:ascii="黑体" w:hAnsi="黑体" w:eastAsia="黑体" w:cs="黑体"/>
          <w:spacing w:val="24"/>
          <w:sz w:val="25"/>
          <w:szCs w:val="25"/>
        </w:rPr>
        <w:t xml:space="preserve">  </w:t>
      </w:r>
      <w:r>
        <w:rPr>
          <w:rFonts w:ascii="黑体" w:hAnsi="黑体" w:eastAsia="黑体" w:cs="黑体"/>
          <w:b/>
          <w:bCs/>
          <w:spacing w:val="9"/>
          <w:sz w:val="25"/>
          <w:szCs w:val="25"/>
        </w:rPr>
        <w:t>其他</w:t>
      </w:r>
    </w:p>
    <w:p w14:paraId="3E153976">
      <w:pPr>
        <w:spacing w:before="102" w:line="219" w:lineRule="auto"/>
        <w:ind w:left="550"/>
        <w:rPr>
          <w:rFonts w:ascii="宋体" w:hAnsi="宋体" w:eastAsia="宋体" w:cs="宋体"/>
          <w:sz w:val="27"/>
          <w:szCs w:val="27"/>
        </w:rPr>
      </w:pPr>
      <w:r>
        <w:rPr>
          <w:rFonts w:ascii="宋体" w:hAnsi="宋体" w:eastAsia="宋体" w:cs="宋体"/>
          <w:spacing w:val="2"/>
          <w:sz w:val="27"/>
          <w:szCs w:val="27"/>
        </w:rPr>
        <w:t>提供计算过程中使用的相关材料。</w:t>
      </w:r>
    </w:p>
    <w:p w14:paraId="3AE383C2">
      <w:pPr>
        <w:pStyle w:val="2"/>
        <w:spacing w:line="357" w:lineRule="auto"/>
      </w:pPr>
    </w:p>
    <w:p w14:paraId="56BEEC82">
      <w:pPr>
        <w:spacing w:before="118" w:line="218" w:lineRule="auto"/>
        <w:ind w:left="3110"/>
        <w:outlineLvl w:val="1"/>
        <w:rPr>
          <w:rFonts w:ascii="宋体" w:hAnsi="宋体" w:eastAsia="宋体" w:cs="宋体"/>
          <w:sz w:val="36"/>
          <w:szCs w:val="36"/>
        </w:rPr>
      </w:pPr>
      <w:bookmarkStart w:id="48" w:name="bookmark25"/>
      <w:bookmarkEnd w:id="48"/>
      <w:r>
        <w:rPr>
          <w:rFonts w:ascii="Times New Roman" w:hAnsi="Times New Roman" w:eastAsia="Times New Roman" w:cs="Times New Roman"/>
          <w:b/>
          <w:bCs/>
          <w:spacing w:val="1"/>
          <w:sz w:val="36"/>
          <w:szCs w:val="36"/>
        </w:rPr>
        <w:t xml:space="preserve">1.23     </w:t>
      </w:r>
      <w:r>
        <w:rPr>
          <w:rFonts w:ascii="宋体" w:hAnsi="宋体" w:eastAsia="宋体" w:cs="宋体"/>
          <w:b/>
          <w:bCs/>
          <w:spacing w:val="1"/>
          <w:sz w:val="36"/>
          <w:szCs w:val="36"/>
        </w:rPr>
        <w:t>特性分析报告</w:t>
      </w:r>
    </w:p>
    <w:p w14:paraId="6532DDD1">
      <w:pPr>
        <w:pStyle w:val="2"/>
        <w:spacing w:line="395" w:lineRule="auto"/>
      </w:pPr>
    </w:p>
    <w:p w14:paraId="1E404B95">
      <w:pPr>
        <w:spacing w:before="78" w:line="226" w:lineRule="auto"/>
        <w:ind w:left="550"/>
        <w:rPr>
          <w:rFonts w:ascii="楷体" w:hAnsi="楷体" w:eastAsia="楷体" w:cs="楷体"/>
          <w:sz w:val="24"/>
          <w:szCs w:val="24"/>
        </w:rPr>
      </w:pPr>
      <w:r>
        <w:rPr>
          <w:rFonts w:ascii="楷体" w:hAnsi="楷体" w:eastAsia="楷体" w:cs="楷体"/>
          <w:spacing w:val="4"/>
          <w:sz w:val="24"/>
          <w:szCs w:val="24"/>
        </w:rPr>
        <w:t>按</w:t>
      </w:r>
      <w:r>
        <w:rPr>
          <w:rFonts w:ascii="楷体" w:hAnsi="楷体" w:eastAsia="楷体" w:cs="楷体"/>
          <w:spacing w:val="-20"/>
          <w:sz w:val="24"/>
          <w:szCs w:val="24"/>
        </w:rPr>
        <w:t xml:space="preserve"> </w:t>
      </w:r>
      <w:r>
        <w:rPr>
          <w:rFonts w:ascii="楷体" w:hAnsi="楷体" w:eastAsia="楷体" w:cs="楷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190—1986</w:t>
      </w:r>
      <w:r>
        <w:rPr>
          <w:rFonts w:ascii="宋体" w:hAnsi="宋体" w:eastAsia="宋体" w:cs="宋体"/>
          <w:spacing w:val="4"/>
          <w:sz w:val="24"/>
          <w:szCs w:val="24"/>
        </w:rPr>
        <w:t xml:space="preserve">《  </w:t>
      </w:r>
      <w:r>
        <w:rPr>
          <w:rFonts w:ascii="楷体" w:hAnsi="楷体" w:eastAsia="楷体" w:cs="楷体"/>
          <w:spacing w:val="4"/>
          <w:sz w:val="24"/>
          <w:szCs w:val="24"/>
        </w:rPr>
        <w:t>特性分类》编</w:t>
      </w:r>
      <w:r>
        <w:rPr>
          <w:rFonts w:ascii="楷体" w:hAnsi="楷体" w:eastAsia="楷体" w:cs="楷体"/>
          <w:spacing w:val="3"/>
          <w:sz w:val="24"/>
          <w:szCs w:val="24"/>
        </w:rPr>
        <w:t>写。</w:t>
      </w:r>
    </w:p>
    <w:p w14:paraId="12C7A1EA">
      <w:pPr>
        <w:spacing w:before="136" w:line="223" w:lineRule="auto"/>
        <w:rPr>
          <w:rFonts w:ascii="黑体" w:hAnsi="黑体" w:eastAsia="黑体" w:cs="黑体"/>
          <w:sz w:val="25"/>
          <w:szCs w:val="25"/>
        </w:rPr>
      </w:pPr>
      <w:r>
        <w:rPr>
          <w:rFonts w:ascii="黑体" w:hAnsi="黑体" w:eastAsia="黑体" w:cs="黑体"/>
          <w:spacing w:val="12"/>
          <w:sz w:val="25"/>
          <w:szCs w:val="25"/>
        </w:rPr>
        <w:t>1</w:t>
      </w:r>
      <w:r>
        <w:rPr>
          <w:rFonts w:ascii="黑体" w:hAnsi="黑体" w:eastAsia="黑体" w:cs="黑体"/>
          <w:spacing w:val="32"/>
          <w:sz w:val="25"/>
          <w:szCs w:val="25"/>
        </w:rPr>
        <w:t xml:space="preserve">  </w:t>
      </w:r>
      <w:r>
        <w:rPr>
          <w:rFonts w:ascii="黑体" w:hAnsi="黑体" w:eastAsia="黑体" w:cs="黑体"/>
          <w:b/>
          <w:bCs/>
          <w:spacing w:val="12"/>
          <w:sz w:val="25"/>
          <w:szCs w:val="25"/>
        </w:rPr>
        <w:t>适用范围</w:t>
      </w:r>
    </w:p>
    <w:p w14:paraId="25043463">
      <w:pPr>
        <w:spacing w:before="90" w:line="218" w:lineRule="auto"/>
        <w:ind w:left="550"/>
        <w:rPr>
          <w:rFonts w:ascii="宋体" w:hAnsi="宋体" w:eastAsia="宋体" w:cs="宋体"/>
          <w:sz w:val="27"/>
          <w:szCs w:val="27"/>
        </w:rPr>
      </w:pPr>
      <w:r>
        <w:rPr>
          <w:rFonts w:ascii="宋体" w:hAnsi="宋体" w:eastAsia="宋体" w:cs="宋体"/>
          <w:spacing w:val="-2"/>
          <w:sz w:val="27"/>
          <w:szCs w:val="27"/>
        </w:rPr>
        <w:t>说明特性分析报告的适用范围，包括适用对象和适用阶段等。</w:t>
      </w:r>
    </w:p>
    <w:p w14:paraId="5B07CB2E">
      <w:pPr>
        <w:pStyle w:val="2"/>
        <w:spacing w:before="107" w:line="222" w:lineRule="auto"/>
        <w:rPr>
          <w:rFonts w:ascii="黑体" w:hAnsi="黑体" w:eastAsia="黑体" w:cs="黑体"/>
          <w:sz w:val="27"/>
          <w:szCs w:val="27"/>
        </w:rPr>
      </w:pPr>
      <w:r>
        <w:rPr>
          <w:b/>
          <w:bCs/>
          <w:spacing w:val="-3"/>
          <w:sz w:val="27"/>
          <w:szCs w:val="27"/>
        </w:rPr>
        <w:t>2</w:t>
      </w:r>
      <w:r>
        <w:rPr>
          <w:b/>
          <w:bCs/>
          <w:spacing w:val="15"/>
          <w:sz w:val="27"/>
          <w:szCs w:val="27"/>
        </w:rPr>
        <w:t xml:space="preserve">   </w:t>
      </w:r>
      <w:r>
        <w:rPr>
          <w:rFonts w:ascii="黑体" w:hAnsi="黑体" w:eastAsia="黑体" w:cs="黑体"/>
          <w:b/>
          <w:bCs/>
          <w:spacing w:val="-3"/>
          <w:sz w:val="27"/>
          <w:szCs w:val="27"/>
        </w:rPr>
        <w:t>引用文件</w:t>
      </w:r>
    </w:p>
    <w:p w14:paraId="3A59CCEC">
      <w:pPr>
        <w:spacing w:before="90" w:line="219" w:lineRule="auto"/>
        <w:ind w:left="550"/>
        <w:rPr>
          <w:rFonts w:ascii="宋体" w:hAnsi="宋体" w:eastAsia="宋体" w:cs="宋体"/>
          <w:sz w:val="27"/>
          <w:szCs w:val="27"/>
        </w:rPr>
      </w:pPr>
      <w:r>
        <w:rPr>
          <w:rFonts w:ascii="宋体" w:hAnsi="宋体" w:eastAsia="宋体" w:cs="宋体"/>
          <w:spacing w:val="3"/>
          <w:sz w:val="27"/>
          <w:szCs w:val="27"/>
        </w:rPr>
        <w:t>列出进行特性分析所依据和引用的文件。</w:t>
      </w:r>
    </w:p>
    <w:p w14:paraId="3124681B">
      <w:pPr>
        <w:spacing w:line="219" w:lineRule="auto"/>
        <w:rPr>
          <w:rFonts w:ascii="宋体" w:hAnsi="宋体" w:eastAsia="宋体" w:cs="宋体"/>
          <w:sz w:val="27"/>
          <w:szCs w:val="27"/>
        </w:rPr>
        <w:sectPr>
          <w:footerReference r:id="rId84" w:type="default"/>
          <w:pgSz w:w="11910" w:h="17130"/>
          <w:pgMar w:top="400" w:right="1786" w:bottom="1639" w:left="1049" w:header="0" w:footer="1459" w:gutter="0"/>
          <w:cols w:space="720" w:num="1"/>
        </w:sectPr>
      </w:pPr>
    </w:p>
    <w:p w14:paraId="3B121948">
      <w:pPr>
        <w:pStyle w:val="2"/>
        <w:spacing w:line="252" w:lineRule="auto"/>
      </w:pPr>
    </w:p>
    <w:p w14:paraId="1769195F">
      <w:pPr>
        <w:pStyle w:val="2"/>
        <w:spacing w:line="253" w:lineRule="auto"/>
      </w:pPr>
    </w:p>
    <w:p w14:paraId="20945A27">
      <w:pPr>
        <w:pStyle w:val="2"/>
        <w:spacing w:line="253" w:lineRule="auto"/>
      </w:pPr>
    </w:p>
    <w:p w14:paraId="46FDE5B9">
      <w:pPr>
        <w:pStyle w:val="2"/>
        <w:spacing w:line="253" w:lineRule="auto"/>
      </w:pPr>
    </w:p>
    <w:p w14:paraId="29B5554F">
      <w:pPr>
        <w:pStyle w:val="2"/>
        <w:spacing w:before="88" w:line="222" w:lineRule="auto"/>
        <w:rPr>
          <w:rFonts w:ascii="黑体" w:hAnsi="黑体" w:eastAsia="黑体" w:cs="黑体"/>
          <w:sz w:val="27"/>
          <w:szCs w:val="27"/>
        </w:rPr>
      </w:pPr>
      <w:r>
        <w:rPr>
          <w:b/>
          <w:bCs/>
          <w:sz w:val="27"/>
          <w:szCs w:val="27"/>
        </w:rPr>
        <w:t>3</w:t>
      </w:r>
      <w:r>
        <w:rPr>
          <w:b/>
          <w:bCs/>
          <w:spacing w:val="19"/>
          <w:sz w:val="27"/>
          <w:szCs w:val="27"/>
        </w:rPr>
        <w:t xml:space="preserve">   </w:t>
      </w:r>
      <w:r>
        <w:rPr>
          <w:rFonts w:ascii="黑体" w:hAnsi="黑体" w:eastAsia="黑体" w:cs="黑体"/>
          <w:b/>
          <w:bCs/>
          <w:sz w:val="27"/>
          <w:szCs w:val="27"/>
        </w:rPr>
        <w:t>特性分析</w:t>
      </w:r>
    </w:p>
    <w:p w14:paraId="25A0B62F">
      <w:pPr>
        <w:spacing w:before="69" w:line="314" w:lineRule="auto"/>
        <w:ind w:right="126" w:firstLine="560"/>
        <w:rPr>
          <w:rFonts w:ascii="宋体" w:hAnsi="宋体" w:eastAsia="宋体" w:cs="宋体"/>
          <w:sz w:val="25"/>
          <w:szCs w:val="25"/>
        </w:rPr>
      </w:pPr>
      <w:r>
        <w:rPr>
          <w:rFonts w:ascii="宋体" w:hAnsi="宋体" w:eastAsia="宋体" w:cs="宋体"/>
          <w:spacing w:val="25"/>
          <w:sz w:val="25"/>
          <w:szCs w:val="25"/>
        </w:rPr>
        <w:t>根据产品特性(性能、参数和其他技术要求)的重要程度</w:t>
      </w:r>
      <w:r>
        <w:rPr>
          <w:rFonts w:ascii="宋体" w:hAnsi="宋体" w:eastAsia="宋体" w:cs="宋体"/>
          <w:spacing w:val="24"/>
          <w:sz w:val="25"/>
          <w:szCs w:val="25"/>
        </w:rPr>
        <w:t>，将其分为关键特</w:t>
      </w:r>
      <w:r>
        <w:rPr>
          <w:rFonts w:ascii="宋体" w:hAnsi="宋体" w:eastAsia="宋体" w:cs="宋体"/>
          <w:sz w:val="25"/>
          <w:szCs w:val="25"/>
        </w:rPr>
        <w:t xml:space="preserve"> </w:t>
      </w:r>
      <w:r>
        <w:rPr>
          <w:rFonts w:ascii="宋体" w:hAnsi="宋体" w:eastAsia="宋体" w:cs="宋体"/>
          <w:spacing w:val="11"/>
          <w:sz w:val="25"/>
          <w:szCs w:val="25"/>
        </w:rPr>
        <w:t>性、重要特性和一般特性。</w:t>
      </w:r>
    </w:p>
    <w:p w14:paraId="2C36D05E">
      <w:pPr>
        <w:spacing w:line="299" w:lineRule="auto"/>
        <w:ind w:right="122" w:firstLine="560"/>
        <w:rPr>
          <w:rFonts w:ascii="宋体" w:hAnsi="宋体" w:eastAsia="宋体" w:cs="宋体"/>
          <w:sz w:val="25"/>
          <w:szCs w:val="25"/>
        </w:rPr>
      </w:pPr>
      <w:r>
        <w:rPr>
          <w:rFonts w:ascii="宋体" w:hAnsi="宋体" w:eastAsia="宋体" w:cs="宋体"/>
          <w:spacing w:val="17"/>
          <w:sz w:val="25"/>
          <w:szCs w:val="25"/>
        </w:rPr>
        <w:t>关键特性是指如有故障，可能危及人身安全、导致武器系统或完成所要求使</w:t>
      </w:r>
      <w:r>
        <w:rPr>
          <w:rFonts w:ascii="宋体" w:hAnsi="宋体" w:eastAsia="宋体" w:cs="宋体"/>
          <w:spacing w:val="10"/>
          <w:sz w:val="25"/>
          <w:szCs w:val="25"/>
        </w:rPr>
        <w:t xml:space="preserve"> </w:t>
      </w:r>
      <w:r>
        <w:rPr>
          <w:rFonts w:ascii="宋体" w:hAnsi="宋体" w:eastAsia="宋体" w:cs="宋体"/>
          <w:spacing w:val="20"/>
          <w:sz w:val="25"/>
          <w:szCs w:val="25"/>
        </w:rPr>
        <w:t>命的主要系统失效的特性。</w:t>
      </w:r>
    </w:p>
    <w:p w14:paraId="2421F87C">
      <w:pPr>
        <w:spacing w:before="1" w:line="275" w:lineRule="auto"/>
        <w:ind w:right="125" w:firstLine="560"/>
        <w:rPr>
          <w:rFonts w:ascii="宋体" w:hAnsi="宋体" w:eastAsia="宋体" w:cs="宋体"/>
          <w:sz w:val="27"/>
          <w:szCs w:val="27"/>
        </w:rPr>
      </w:pPr>
      <w:r>
        <w:rPr>
          <w:rFonts w:ascii="宋体" w:hAnsi="宋体" w:eastAsia="宋体" w:cs="宋体"/>
          <w:spacing w:val="-3"/>
          <w:sz w:val="27"/>
          <w:szCs w:val="27"/>
        </w:rPr>
        <w:t>重要特性是指虽不是关键特性，但如有故障，可能导致最终产品不能完成所</w:t>
      </w:r>
      <w:r>
        <w:rPr>
          <w:rFonts w:ascii="宋体" w:hAnsi="宋体" w:eastAsia="宋体" w:cs="宋体"/>
          <w:spacing w:val="7"/>
          <w:sz w:val="27"/>
          <w:szCs w:val="27"/>
        </w:rPr>
        <w:t xml:space="preserve"> </w:t>
      </w:r>
      <w:r>
        <w:rPr>
          <w:rFonts w:ascii="宋体" w:hAnsi="宋体" w:eastAsia="宋体" w:cs="宋体"/>
          <w:spacing w:val="3"/>
          <w:sz w:val="27"/>
          <w:szCs w:val="27"/>
        </w:rPr>
        <w:t>要求使命的特性。</w:t>
      </w:r>
    </w:p>
    <w:p w14:paraId="0B527FCC">
      <w:pPr>
        <w:spacing w:before="3" w:line="276" w:lineRule="auto"/>
        <w:ind w:right="107" w:firstLine="560"/>
        <w:rPr>
          <w:rFonts w:ascii="宋体" w:hAnsi="宋体" w:eastAsia="宋体" w:cs="宋体"/>
          <w:sz w:val="27"/>
          <w:szCs w:val="27"/>
        </w:rPr>
      </w:pPr>
      <w:r>
        <w:rPr>
          <w:rFonts w:ascii="宋体" w:hAnsi="宋体" w:eastAsia="宋体" w:cs="宋体"/>
          <w:spacing w:val="-2"/>
          <w:sz w:val="27"/>
          <w:szCs w:val="27"/>
        </w:rPr>
        <w:t>一般特性是指虽与产品质量有重要的关系，但如有故障，</w:t>
      </w:r>
      <w:r>
        <w:rPr>
          <w:rFonts w:ascii="宋体" w:hAnsi="宋体" w:eastAsia="宋体" w:cs="宋体"/>
          <w:spacing w:val="-3"/>
          <w:sz w:val="27"/>
          <w:szCs w:val="27"/>
        </w:rPr>
        <w:t>一般不会影响产品</w:t>
      </w:r>
      <w:r>
        <w:rPr>
          <w:rFonts w:ascii="宋体" w:hAnsi="宋体" w:eastAsia="宋体" w:cs="宋体"/>
          <w:sz w:val="27"/>
          <w:szCs w:val="27"/>
        </w:rPr>
        <w:t xml:space="preserve"> </w:t>
      </w:r>
      <w:r>
        <w:rPr>
          <w:rFonts w:ascii="宋体" w:hAnsi="宋体" w:eastAsia="宋体" w:cs="宋体"/>
          <w:spacing w:val="1"/>
          <w:sz w:val="27"/>
          <w:szCs w:val="27"/>
        </w:rPr>
        <w:t>的使用性能的特性。</w:t>
      </w:r>
    </w:p>
    <w:p w14:paraId="7360F4E6">
      <w:pPr>
        <w:spacing w:line="222" w:lineRule="auto"/>
        <w:rPr>
          <w:rFonts w:ascii="黑体" w:hAnsi="黑体" w:eastAsia="黑体" w:cs="黑体"/>
          <w:sz w:val="27"/>
          <w:szCs w:val="27"/>
        </w:rPr>
      </w:pPr>
      <w:r>
        <w:rPr>
          <w:rFonts w:ascii="黑体" w:hAnsi="黑体" w:eastAsia="黑体" w:cs="黑体"/>
          <w:sz w:val="27"/>
          <w:szCs w:val="27"/>
        </w:rPr>
        <w:t>3.1</w:t>
      </w:r>
      <w:r>
        <w:rPr>
          <w:rFonts w:ascii="黑体" w:hAnsi="黑体" w:eastAsia="黑体" w:cs="黑体"/>
          <w:spacing w:val="21"/>
          <w:sz w:val="27"/>
          <w:szCs w:val="27"/>
        </w:rPr>
        <w:t xml:space="preserve">  </w:t>
      </w:r>
      <w:r>
        <w:rPr>
          <w:rFonts w:ascii="黑体" w:hAnsi="黑体" w:eastAsia="黑体" w:cs="黑体"/>
          <w:b/>
          <w:bCs/>
          <w:sz w:val="27"/>
          <w:szCs w:val="27"/>
        </w:rPr>
        <w:t>技术指标分析</w:t>
      </w:r>
    </w:p>
    <w:p w14:paraId="4C241B89">
      <w:pPr>
        <w:spacing w:before="88" w:line="219" w:lineRule="auto"/>
        <w:ind w:left="560"/>
        <w:rPr>
          <w:rFonts w:ascii="宋体" w:hAnsi="宋体" w:eastAsia="宋体" w:cs="宋体"/>
          <w:sz w:val="27"/>
          <w:szCs w:val="27"/>
        </w:rPr>
      </w:pPr>
      <w:r>
        <w:rPr>
          <w:rFonts w:ascii="宋体" w:hAnsi="宋体" w:eastAsia="宋体" w:cs="宋体"/>
          <w:sz w:val="27"/>
          <w:szCs w:val="27"/>
        </w:rPr>
        <w:t>依据产品预期的使命，对其规定的要求进行分析。</w:t>
      </w:r>
      <w:r>
        <w:rPr>
          <w:rFonts w:ascii="宋体" w:hAnsi="宋体" w:eastAsia="宋体" w:cs="宋体"/>
          <w:spacing w:val="-1"/>
          <w:sz w:val="27"/>
          <w:szCs w:val="27"/>
        </w:rPr>
        <w:t>分析内容如下：</w:t>
      </w:r>
    </w:p>
    <w:p w14:paraId="4EFDFE90">
      <w:pPr>
        <w:spacing w:before="60"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 xml:space="preserve">a)  </w:t>
      </w:r>
      <w:r>
        <w:rPr>
          <w:rFonts w:ascii="宋体" w:hAnsi="宋体" w:eastAsia="宋体" w:cs="宋体"/>
          <w:spacing w:val="5"/>
          <w:sz w:val="27"/>
          <w:szCs w:val="27"/>
        </w:rPr>
        <w:t>功能。分析该产品在执行任务期间规定完成</w:t>
      </w:r>
      <w:r>
        <w:rPr>
          <w:rFonts w:ascii="宋体" w:hAnsi="宋体" w:eastAsia="宋体" w:cs="宋体"/>
          <w:spacing w:val="4"/>
          <w:sz w:val="27"/>
          <w:szCs w:val="27"/>
        </w:rPr>
        <w:t>的全部功能。</w:t>
      </w:r>
    </w:p>
    <w:p w14:paraId="666C64EE">
      <w:pPr>
        <w:spacing w:before="110"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b)</w:t>
      </w:r>
      <w:r>
        <w:rPr>
          <w:rFonts w:ascii="Times New Roman" w:hAnsi="Times New Roman" w:eastAsia="Times New Roman" w:cs="Times New Roman"/>
          <w:spacing w:val="71"/>
          <w:sz w:val="27"/>
          <w:szCs w:val="27"/>
        </w:rPr>
        <w:t xml:space="preserve"> </w:t>
      </w:r>
      <w:r>
        <w:rPr>
          <w:rFonts w:ascii="宋体" w:hAnsi="宋体" w:eastAsia="宋体" w:cs="宋体"/>
          <w:spacing w:val="5"/>
          <w:sz w:val="27"/>
          <w:szCs w:val="27"/>
        </w:rPr>
        <w:t>持续工作时间。分析该产品每一项功能所要求的持续工作时间。</w:t>
      </w:r>
    </w:p>
    <w:p w14:paraId="75ED566D">
      <w:pPr>
        <w:spacing w:before="102" w:line="257" w:lineRule="auto"/>
        <w:ind w:right="114"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环境条件。分析适合该产品使命要求的极端环境条件，产品可能承受的</w:t>
      </w:r>
      <w:r>
        <w:rPr>
          <w:rFonts w:ascii="宋体" w:hAnsi="宋体" w:eastAsia="宋体" w:cs="宋体"/>
          <w:spacing w:val="10"/>
          <w:sz w:val="27"/>
          <w:szCs w:val="27"/>
        </w:rPr>
        <w:t xml:space="preserve"> </w:t>
      </w:r>
      <w:r>
        <w:rPr>
          <w:rFonts w:ascii="宋体" w:hAnsi="宋体" w:eastAsia="宋体" w:cs="宋体"/>
          <w:sz w:val="27"/>
          <w:szCs w:val="27"/>
        </w:rPr>
        <w:t>环境变化范围。</w:t>
      </w:r>
    </w:p>
    <w:p w14:paraId="65EE72D2">
      <w:pPr>
        <w:spacing w:before="46" w:line="257" w:lineRule="auto"/>
        <w:ind w:right="124" w:firstLine="560"/>
        <w:rPr>
          <w:rFonts w:ascii="宋体" w:hAnsi="宋体" w:eastAsia="宋体" w:cs="宋体"/>
          <w:sz w:val="27"/>
          <w:szCs w:val="27"/>
        </w:rPr>
      </w:pPr>
      <w:r>
        <w:rPr>
          <w:rFonts w:ascii="Times New Roman" w:hAnsi="Times New Roman" w:eastAsia="Times New Roman" w:cs="Times New Roman"/>
          <w:spacing w:val="11"/>
          <w:sz w:val="27"/>
          <w:szCs w:val="27"/>
        </w:rPr>
        <w:t xml:space="preserve">d)  </w:t>
      </w:r>
      <w:r>
        <w:rPr>
          <w:rFonts w:ascii="宋体" w:hAnsi="宋体" w:eastAsia="宋体" w:cs="宋体"/>
          <w:spacing w:val="11"/>
          <w:sz w:val="27"/>
          <w:szCs w:val="27"/>
        </w:rPr>
        <w:t>维修性。分析产品在使用中维修的</w:t>
      </w:r>
      <w:r>
        <w:rPr>
          <w:rFonts w:ascii="宋体" w:hAnsi="宋体" w:eastAsia="宋体" w:cs="宋体"/>
          <w:spacing w:val="10"/>
          <w:sz w:val="27"/>
          <w:szCs w:val="27"/>
        </w:rPr>
        <w:t>可能性以及产品在恶劣条件下能进</w:t>
      </w:r>
      <w:r>
        <w:rPr>
          <w:rFonts w:ascii="宋体" w:hAnsi="宋体" w:eastAsia="宋体" w:cs="宋体"/>
          <w:sz w:val="27"/>
          <w:szCs w:val="27"/>
        </w:rPr>
        <w:t xml:space="preserve"> 行哪些维修。</w:t>
      </w:r>
    </w:p>
    <w:p w14:paraId="7363B1B0">
      <w:pPr>
        <w:spacing w:before="89"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e)</w:t>
      </w:r>
      <w:r>
        <w:rPr>
          <w:rFonts w:ascii="Times New Roman" w:hAnsi="Times New Roman" w:eastAsia="Times New Roman" w:cs="Times New Roman"/>
          <w:spacing w:val="76"/>
          <w:sz w:val="27"/>
          <w:szCs w:val="27"/>
        </w:rPr>
        <w:t xml:space="preserve"> </w:t>
      </w:r>
      <w:r>
        <w:rPr>
          <w:rFonts w:ascii="宋体" w:hAnsi="宋体" w:eastAsia="宋体" w:cs="宋体"/>
          <w:spacing w:val="-6"/>
          <w:sz w:val="27"/>
          <w:szCs w:val="27"/>
        </w:rPr>
        <w:t>失效。分析产品是否允许部分或完全失效，失效对完成产品使命的影响。</w:t>
      </w:r>
    </w:p>
    <w:p w14:paraId="4F61D9CD">
      <w:pPr>
        <w:spacing w:before="124" w:line="222" w:lineRule="auto"/>
        <w:rPr>
          <w:rFonts w:ascii="黑体" w:hAnsi="黑体" w:eastAsia="黑体" w:cs="黑体"/>
          <w:sz w:val="25"/>
          <w:szCs w:val="25"/>
        </w:rPr>
      </w:pPr>
      <w:r>
        <w:rPr>
          <w:rFonts w:ascii="黑体" w:hAnsi="黑体" w:eastAsia="黑体" w:cs="黑体"/>
          <w:spacing w:val="11"/>
          <w:sz w:val="25"/>
          <w:szCs w:val="25"/>
        </w:rPr>
        <w:t>3.2</w:t>
      </w:r>
      <w:r>
        <w:rPr>
          <w:rFonts w:ascii="黑体" w:hAnsi="黑体" w:eastAsia="黑体" w:cs="黑体"/>
          <w:spacing w:val="51"/>
          <w:sz w:val="25"/>
          <w:szCs w:val="25"/>
        </w:rPr>
        <w:t xml:space="preserve">  </w:t>
      </w:r>
      <w:r>
        <w:rPr>
          <w:rFonts w:ascii="黑体" w:hAnsi="黑体" w:eastAsia="黑体" w:cs="黑体"/>
          <w:b/>
          <w:bCs/>
          <w:spacing w:val="11"/>
          <w:sz w:val="25"/>
          <w:szCs w:val="25"/>
        </w:rPr>
        <w:t>设计分析</w:t>
      </w:r>
    </w:p>
    <w:p w14:paraId="724BC316">
      <w:pPr>
        <w:spacing w:before="105" w:line="270" w:lineRule="auto"/>
        <w:ind w:right="121" w:firstLine="560"/>
        <w:rPr>
          <w:rFonts w:ascii="宋体" w:hAnsi="宋体" w:eastAsia="宋体" w:cs="宋体"/>
          <w:sz w:val="27"/>
          <w:szCs w:val="27"/>
        </w:rPr>
      </w:pPr>
      <w:r>
        <w:rPr>
          <w:rFonts w:ascii="宋体" w:hAnsi="宋体" w:eastAsia="宋体" w:cs="宋体"/>
          <w:spacing w:val="14"/>
          <w:sz w:val="27"/>
          <w:szCs w:val="27"/>
        </w:rPr>
        <w:t>对产品能否承担其使命以及有效地完成其使命所需具有的质量指标进行</w:t>
      </w:r>
      <w:r>
        <w:rPr>
          <w:rFonts w:ascii="宋体" w:hAnsi="宋体" w:eastAsia="宋体" w:cs="宋体"/>
          <w:spacing w:val="18"/>
          <w:sz w:val="27"/>
          <w:szCs w:val="27"/>
        </w:rPr>
        <w:t xml:space="preserve"> </w:t>
      </w:r>
      <w:r>
        <w:rPr>
          <w:rFonts w:ascii="宋体" w:hAnsi="宋体" w:eastAsia="宋体" w:cs="宋体"/>
          <w:spacing w:val="-4"/>
          <w:sz w:val="27"/>
          <w:szCs w:val="27"/>
        </w:rPr>
        <w:t>分析：</w:t>
      </w:r>
    </w:p>
    <w:p w14:paraId="47C72998">
      <w:pPr>
        <w:spacing w:before="3" w:line="256" w:lineRule="auto"/>
        <w:ind w:right="123"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材料。分析材料性能对产品性能和质量的影响，所选择的材料对于保证</w:t>
      </w:r>
      <w:r>
        <w:rPr>
          <w:rFonts w:ascii="宋体" w:hAnsi="宋体" w:eastAsia="宋体" w:cs="宋体"/>
          <w:spacing w:val="1"/>
          <w:sz w:val="27"/>
          <w:szCs w:val="27"/>
        </w:rPr>
        <w:t xml:space="preserve"> </w:t>
      </w:r>
      <w:r>
        <w:rPr>
          <w:rFonts w:ascii="宋体" w:hAnsi="宋体" w:eastAsia="宋体" w:cs="宋体"/>
          <w:spacing w:val="3"/>
          <w:sz w:val="27"/>
          <w:szCs w:val="27"/>
        </w:rPr>
        <w:t>完成其规定使命所起的作用。</w:t>
      </w:r>
    </w:p>
    <w:p w14:paraId="0748C381">
      <w:pPr>
        <w:spacing w:before="70" w:line="263" w:lineRule="auto"/>
        <w:ind w:right="104" w:firstLine="56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77"/>
          <w:w w:val="101"/>
          <w:sz w:val="27"/>
          <w:szCs w:val="27"/>
        </w:rPr>
        <w:t xml:space="preserve"> </w:t>
      </w:r>
      <w:r>
        <w:rPr>
          <w:rFonts w:ascii="宋体" w:hAnsi="宋体" w:eastAsia="宋体" w:cs="宋体"/>
          <w:spacing w:val="3"/>
          <w:sz w:val="27"/>
          <w:szCs w:val="27"/>
        </w:rPr>
        <w:t>工艺要求。分析加工、装配、试验和检验过程对材料性能和保证产品质</w:t>
      </w:r>
      <w:r>
        <w:rPr>
          <w:rFonts w:ascii="宋体" w:hAnsi="宋体" w:eastAsia="宋体" w:cs="宋体"/>
          <w:sz w:val="27"/>
          <w:szCs w:val="27"/>
        </w:rPr>
        <w:t xml:space="preserve"> </w:t>
      </w:r>
      <w:r>
        <w:rPr>
          <w:rFonts w:ascii="宋体" w:hAnsi="宋体" w:eastAsia="宋体" w:cs="宋体"/>
          <w:spacing w:val="5"/>
          <w:sz w:val="27"/>
          <w:szCs w:val="27"/>
        </w:rPr>
        <w:t>量的稳定性所带来的影响。除可观察到的影响外，还应注意那些不易观察和检</w:t>
      </w:r>
      <w:r>
        <w:rPr>
          <w:rFonts w:ascii="宋体" w:hAnsi="宋体" w:eastAsia="宋体" w:cs="宋体"/>
          <w:spacing w:val="10"/>
          <w:sz w:val="27"/>
          <w:szCs w:val="27"/>
        </w:rPr>
        <w:t xml:space="preserve"> </w:t>
      </w:r>
      <w:r>
        <w:rPr>
          <w:rFonts w:ascii="宋体" w:hAnsi="宋体" w:eastAsia="宋体" w:cs="宋体"/>
          <w:sz w:val="27"/>
          <w:szCs w:val="27"/>
        </w:rPr>
        <w:t>测的影响。</w:t>
      </w:r>
    </w:p>
    <w:p w14:paraId="24BBE4B8">
      <w:pPr>
        <w:spacing w:before="64" w:line="255" w:lineRule="auto"/>
        <w:ind w:right="121"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互换性。分析为了满足产品的互换性要求，哪些尺寸、参数以及公差最</w:t>
      </w:r>
      <w:r>
        <w:rPr>
          <w:rFonts w:ascii="宋体" w:hAnsi="宋体" w:eastAsia="宋体" w:cs="宋体"/>
          <w:spacing w:val="2"/>
          <w:sz w:val="27"/>
          <w:szCs w:val="27"/>
        </w:rPr>
        <w:t xml:space="preserve"> </w:t>
      </w:r>
      <w:r>
        <w:rPr>
          <w:rFonts w:ascii="宋体" w:hAnsi="宋体" w:eastAsia="宋体" w:cs="宋体"/>
          <w:spacing w:val="-1"/>
          <w:sz w:val="27"/>
          <w:szCs w:val="27"/>
        </w:rPr>
        <w:t>为重要。</w:t>
      </w:r>
    </w:p>
    <w:p w14:paraId="3B95D80E">
      <w:pPr>
        <w:spacing w:before="85" w:line="256" w:lineRule="auto"/>
        <w:ind w:firstLine="560"/>
        <w:rPr>
          <w:rFonts w:ascii="宋体" w:hAnsi="宋体" w:eastAsia="宋体" w:cs="宋体"/>
          <w:sz w:val="27"/>
          <w:szCs w:val="27"/>
        </w:rPr>
      </w:pPr>
      <w:r>
        <w:rPr>
          <w:rFonts w:ascii="Times New Roman" w:hAnsi="Times New Roman" w:eastAsia="Times New Roman" w:cs="Times New Roman"/>
          <w:spacing w:val="14"/>
          <w:sz w:val="27"/>
          <w:szCs w:val="27"/>
        </w:rPr>
        <w:t xml:space="preserve">d)  </w:t>
      </w:r>
      <w:r>
        <w:rPr>
          <w:rFonts w:ascii="宋体" w:hAnsi="宋体" w:eastAsia="宋体" w:cs="宋体"/>
          <w:spacing w:val="14"/>
          <w:sz w:val="27"/>
          <w:szCs w:val="27"/>
        </w:rPr>
        <w:t>协调性。分析为了满足较高级装配件的需要而应提出的协调性要求。</w:t>
      </w:r>
      <w:r>
        <w:rPr>
          <w:rFonts w:ascii="宋体" w:hAnsi="宋体" w:eastAsia="宋体" w:cs="宋体"/>
          <w:spacing w:val="8"/>
          <w:sz w:val="27"/>
          <w:szCs w:val="27"/>
        </w:rPr>
        <w:t xml:space="preserve"> </w:t>
      </w:r>
      <w:r>
        <w:rPr>
          <w:rFonts w:ascii="宋体" w:hAnsi="宋体" w:eastAsia="宋体" w:cs="宋体"/>
          <w:spacing w:val="-10"/>
          <w:sz w:val="27"/>
          <w:szCs w:val="27"/>
        </w:rPr>
        <w:t>如装配件之间的尺寸、重量、电源要求等。</w:t>
      </w:r>
    </w:p>
    <w:p w14:paraId="155D6CFE">
      <w:pPr>
        <w:spacing w:before="61"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寿命。分析哪些因素决定其寿命。</w:t>
      </w:r>
    </w:p>
    <w:p w14:paraId="6E8C1319">
      <w:pPr>
        <w:spacing w:before="109" w:line="251" w:lineRule="auto"/>
        <w:ind w:right="124" w:firstLine="560"/>
        <w:rPr>
          <w:rFonts w:ascii="宋体" w:hAnsi="宋体" w:eastAsia="宋体" w:cs="宋体"/>
          <w:sz w:val="27"/>
          <w:szCs w:val="27"/>
        </w:rPr>
      </w:pPr>
      <w:r>
        <w:rPr>
          <w:rFonts w:ascii="Times New Roman" w:hAnsi="Times New Roman" w:eastAsia="Times New Roman" w:cs="Times New Roman"/>
          <w:spacing w:val="4"/>
          <w:sz w:val="27"/>
          <w:szCs w:val="27"/>
        </w:rPr>
        <w:t>f)</w:t>
      </w:r>
      <w:r>
        <w:rPr>
          <w:rFonts w:ascii="Times New Roman" w:hAnsi="Times New Roman" w:eastAsia="Times New Roman" w:cs="Times New Roman"/>
          <w:spacing w:val="70"/>
          <w:sz w:val="27"/>
          <w:szCs w:val="27"/>
        </w:rPr>
        <w:t xml:space="preserve"> </w:t>
      </w:r>
      <w:r>
        <w:rPr>
          <w:rFonts w:ascii="宋体" w:hAnsi="宋体" w:eastAsia="宋体" w:cs="宋体"/>
          <w:spacing w:val="4"/>
          <w:sz w:val="27"/>
          <w:szCs w:val="27"/>
        </w:rPr>
        <w:t>失效。分析失效的类型及失效对产品性能、人身、财产的安全等方面造</w:t>
      </w:r>
      <w:r>
        <w:rPr>
          <w:rFonts w:ascii="宋体" w:hAnsi="宋体" w:eastAsia="宋体" w:cs="宋体"/>
          <w:sz w:val="27"/>
          <w:szCs w:val="27"/>
        </w:rPr>
        <w:t xml:space="preserve"> 成的危害。</w:t>
      </w:r>
    </w:p>
    <w:p w14:paraId="7CB7D5F0">
      <w:pPr>
        <w:spacing w:before="76" w:line="212" w:lineRule="auto"/>
        <w:ind w:left="560"/>
        <w:rPr>
          <w:rFonts w:ascii="宋体" w:hAnsi="宋体" w:eastAsia="宋体" w:cs="宋体"/>
          <w:sz w:val="27"/>
          <w:szCs w:val="27"/>
        </w:rPr>
      </w:pPr>
      <w:r>
        <w:rPr>
          <w:rFonts w:ascii="Times New Roman" w:hAnsi="Times New Roman" w:eastAsia="Times New Roman" w:cs="Times New Roman"/>
          <w:spacing w:val="-25"/>
          <w:sz w:val="27"/>
          <w:szCs w:val="27"/>
        </w:rPr>
        <w:t xml:space="preserve">g </w:t>
      </w:r>
      <w:r>
        <w:rPr>
          <w:rFonts w:ascii="宋体" w:hAnsi="宋体" w:eastAsia="宋体" w:cs="宋体"/>
          <w:spacing w:val="-25"/>
          <w:sz w:val="27"/>
          <w:szCs w:val="27"/>
        </w:rPr>
        <w:t>)安全。分析产品在正常使用、运输、贮存中能否对人身、财</w:t>
      </w:r>
      <w:r>
        <w:rPr>
          <w:rFonts w:ascii="宋体" w:hAnsi="宋体" w:eastAsia="宋体" w:cs="宋体"/>
          <w:spacing w:val="-26"/>
          <w:sz w:val="27"/>
          <w:szCs w:val="27"/>
        </w:rPr>
        <w:t>产的安全造成危害。</w:t>
      </w:r>
    </w:p>
    <w:p w14:paraId="61D3DC64">
      <w:pPr>
        <w:spacing w:line="212" w:lineRule="auto"/>
        <w:rPr>
          <w:rFonts w:ascii="宋体" w:hAnsi="宋体" w:eastAsia="宋体" w:cs="宋体"/>
          <w:sz w:val="27"/>
          <w:szCs w:val="27"/>
        </w:rPr>
        <w:sectPr>
          <w:footerReference r:id="rId85" w:type="default"/>
          <w:pgSz w:w="11910" w:h="17130"/>
          <w:pgMar w:top="400" w:right="984" w:bottom="1680" w:left="1420" w:header="0" w:footer="1394" w:gutter="0"/>
          <w:cols w:space="720" w:num="1"/>
        </w:sectPr>
      </w:pPr>
    </w:p>
    <w:p w14:paraId="19D83B44">
      <w:pPr>
        <w:pStyle w:val="2"/>
        <w:spacing w:line="253" w:lineRule="auto"/>
      </w:pPr>
    </w:p>
    <w:p w14:paraId="0406A137">
      <w:pPr>
        <w:pStyle w:val="2"/>
        <w:spacing w:line="254" w:lineRule="auto"/>
      </w:pPr>
    </w:p>
    <w:p w14:paraId="2AA8FDEE">
      <w:pPr>
        <w:pStyle w:val="2"/>
        <w:spacing w:line="254" w:lineRule="auto"/>
      </w:pPr>
    </w:p>
    <w:p w14:paraId="01A4BF43">
      <w:pPr>
        <w:pStyle w:val="2"/>
        <w:spacing w:line="254" w:lineRule="auto"/>
      </w:pPr>
    </w:p>
    <w:p w14:paraId="150C1D3B">
      <w:pPr>
        <w:spacing w:before="88" w:line="303" w:lineRule="auto"/>
        <w:ind w:right="89" w:firstLine="560"/>
        <w:rPr>
          <w:rFonts w:ascii="宋体" w:hAnsi="宋体" w:eastAsia="宋体" w:cs="宋体"/>
          <w:sz w:val="27"/>
          <w:szCs w:val="27"/>
        </w:rPr>
      </w:pPr>
      <w:r>
        <w:rPr>
          <w:rFonts w:ascii="Times New Roman" w:hAnsi="Times New Roman" w:eastAsia="Times New Roman" w:cs="Times New Roman"/>
          <w:spacing w:val="7"/>
          <w:sz w:val="27"/>
          <w:szCs w:val="27"/>
        </w:rPr>
        <w:t xml:space="preserve">h)  </w:t>
      </w:r>
      <w:r>
        <w:rPr>
          <w:rFonts w:ascii="宋体" w:hAnsi="宋体" w:eastAsia="宋体" w:cs="宋体"/>
          <w:spacing w:val="7"/>
          <w:sz w:val="27"/>
          <w:szCs w:val="27"/>
        </w:rPr>
        <w:t>裕度。分析产品是否采用裕度设计</w:t>
      </w:r>
      <w:r>
        <w:rPr>
          <w:rFonts w:ascii="宋体" w:hAnsi="宋体" w:eastAsia="宋体" w:cs="宋体"/>
          <w:spacing w:val="6"/>
          <w:sz w:val="27"/>
          <w:szCs w:val="27"/>
        </w:rPr>
        <w:t>(如采用并联贮备设计时，可以适当</w:t>
      </w:r>
      <w:r>
        <w:rPr>
          <w:rFonts w:ascii="宋体" w:hAnsi="宋体" w:eastAsia="宋体" w:cs="宋体"/>
          <w:sz w:val="27"/>
          <w:szCs w:val="27"/>
        </w:rPr>
        <w:t xml:space="preserve"> </w:t>
      </w:r>
      <w:r>
        <w:rPr>
          <w:rFonts w:ascii="宋体" w:hAnsi="宋体" w:eastAsia="宋体" w:cs="宋体"/>
          <w:spacing w:val="-1"/>
          <w:sz w:val="27"/>
          <w:szCs w:val="27"/>
        </w:rPr>
        <w:t>降低其特性类别)。</w:t>
      </w:r>
    </w:p>
    <w:p w14:paraId="11C4CAE4">
      <w:pPr>
        <w:spacing w:line="221"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b/>
          <w:bCs/>
          <w:spacing w:val="-2"/>
          <w:sz w:val="27"/>
          <w:szCs w:val="27"/>
        </w:rPr>
        <w:t>3</w:t>
      </w:r>
      <w:r>
        <w:rPr>
          <w:rFonts w:ascii="黑体" w:hAnsi="黑体" w:eastAsia="黑体" w:cs="黑体"/>
          <w:spacing w:val="20"/>
          <w:sz w:val="27"/>
          <w:szCs w:val="27"/>
        </w:rPr>
        <w:t xml:space="preserve">  </w:t>
      </w:r>
      <w:r>
        <w:rPr>
          <w:rFonts w:ascii="黑体" w:hAnsi="黑体" w:eastAsia="黑体" w:cs="黑体"/>
          <w:b/>
          <w:bCs/>
          <w:spacing w:val="-2"/>
          <w:sz w:val="27"/>
          <w:szCs w:val="27"/>
        </w:rPr>
        <w:t>选定检验内容</w:t>
      </w:r>
    </w:p>
    <w:p w14:paraId="37A22ABF">
      <w:pPr>
        <w:spacing w:before="99" w:line="274" w:lineRule="auto"/>
        <w:ind w:right="103" w:firstLine="560"/>
        <w:rPr>
          <w:rFonts w:ascii="宋体" w:hAnsi="宋体" w:eastAsia="宋体" w:cs="宋体"/>
          <w:sz w:val="27"/>
          <w:szCs w:val="27"/>
        </w:rPr>
      </w:pPr>
      <w:r>
        <w:rPr>
          <w:rFonts w:ascii="宋体" w:hAnsi="宋体" w:eastAsia="宋体" w:cs="宋体"/>
          <w:spacing w:val="5"/>
          <w:sz w:val="27"/>
          <w:szCs w:val="27"/>
        </w:rPr>
        <w:t>依据技术指标分析和设计分析所需保证的关键或重要特性以及该特性在零</w:t>
      </w:r>
      <w:r>
        <w:rPr>
          <w:rFonts w:ascii="宋体" w:hAnsi="宋体" w:eastAsia="宋体" w:cs="宋体"/>
          <w:spacing w:val="10"/>
          <w:sz w:val="27"/>
          <w:szCs w:val="27"/>
        </w:rPr>
        <w:t xml:space="preserve"> </w:t>
      </w:r>
      <w:r>
        <w:rPr>
          <w:rFonts w:ascii="宋体" w:hAnsi="宋体" w:eastAsia="宋体" w:cs="宋体"/>
          <w:sz w:val="27"/>
          <w:szCs w:val="27"/>
        </w:rPr>
        <w:t>件或装配件上检验的可能性和经济性，进行综合分析后选定检验内容。</w:t>
      </w:r>
    </w:p>
    <w:p w14:paraId="52A4ADE4">
      <w:pPr>
        <w:spacing w:line="219" w:lineRule="auto"/>
        <w:ind w:left="560"/>
        <w:rPr>
          <w:rFonts w:ascii="宋体" w:hAnsi="宋体" w:eastAsia="宋体" w:cs="宋体"/>
          <w:sz w:val="27"/>
          <w:szCs w:val="27"/>
        </w:rPr>
      </w:pPr>
      <w:r>
        <w:rPr>
          <w:rFonts w:ascii="宋体" w:hAnsi="宋体" w:eastAsia="宋体" w:cs="宋体"/>
          <w:spacing w:val="-4"/>
          <w:sz w:val="27"/>
          <w:szCs w:val="27"/>
        </w:rPr>
        <w:t>具备下列条件之一，可被选定为一个检验单元：</w:t>
      </w:r>
    </w:p>
    <w:p w14:paraId="2A89C351">
      <w:pPr>
        <w:spacing w:before="109" w:line="219" w:lineRule="auto"/>
        <w:ind w:left="560"/>
        <w:rPr>
          <w:rFonts w:ascii="宋体" w:hAnsi="宋体" w:eastAsia="宋体" w:cs="宋体"/>
          <w:sz w:val="27"/>
          <w:szCs w:val="27"/>
        </w:rPr>
      </w:pPr>
      <w:r>
        <w:rPr>
          <w:rFonts w:ascii="Times New Roman" w:hAnsi="Times New Roman" w:eastAsia="Times New Roman" w:cs="Times New Roman"/>
          <w:spacing w:val="-1"/>
          <w:sz w:val="27"/>
          <w:szCs w:val="27"/>
        </w:rPr>
        <w:t>a</w:t>
      </w:r>
      <w:r>
        <w:rPr>
          <w:rFonts w:ascii="宋体" w:hAnsi="宋体" w:eastAsia="宋体" w:cs="宋体"/>
          <w:spacing w:val="-1"/>
          <w:sz w:val="27"/>
          <w:szCs w:val="27"/>
        </w:rPr>
        <w:t>)</w:t>
      </w:r>
      <w:r>
        <w:rPr>
          <w:rFonts w:ascii="宋体" w:hAnsi="宋体" w:eastAsia="宋体" w:cs="宋体"/>
          <w:spacing w:val="-48"/>
          <w:sz w:val="27"/>
          <w:szCs w:val="27"/>
        </w:rPr>
        <w:t xml:space="preserve"> </w:t>
      </w:r>
      <w:r>
        <w:rPr>
          <w:rFonts w:ascii="宋体" w:hAnsi="宋体" w:eastAsia="宋体" w:cs="宋体"/>
          <w:spacing w:val="-1"/>
          <w:sz w:val="27"/>
          <w:szCs w:val="27"/>
        </w:rPr>
        <w:t>最终产品；</w:t>
      </w:r>
    </w:p>
    <w:p w14:paraId="0AD84F01">
      <w:pPr>
        <w:spacing w:before="49"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维护或修理最终产品所需的备件；</w:t>
      </w:r>
    </w:p>
    <w:p w14:paraId="258665D7">
      <w:pPr>
        <w:spacing w:before="11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63"/>
          <w:sz w:val="27"/>
          <w:szCs w:val="27"/>
        </w:rPr>
        <w:t xml:space="preserve"> </w:t>
      </w:r>
      <w:r>
        <w:rPr>
          <w:rFonts w:ascii="宋体" w:hAnsi="宋体" w:eastAsia="宋体" w:cs="宋体"/>
          <w:spacing w:val="3"/>
          <w:sz w:val="27"/>
          <w:szCs w:val="27"/>
        </w:rPr>
        <w:t>从使用或安全的角度出发要求更换的产品；</w:t>
      </w:r>
    </w:p>
    <w:p w14:paraId="10D3B8B2">
      <w:pPr>
        <w:spacing w:before="100"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 xml:space="preserve">d)  </w:t>
      </w:r>
      <w:r>
        <w:rPr>
          <w:rFonts w:ascii="宋体" w:hAnsi="宋体" w:eastAsia="宋体" w:cs="宋体"/>
          <w:spacing w:val="6"/>
          <w:sz w:val="27"/>
          <w:szCs w:val="27"/>
        </w:rPr>
        <w:t>仅在使用条件下才能决定其性能的产品(即必须进行破坏性试</w:t>
      </w:r>
      <w:r>
        <w:rPr>
          <w:rFonts w:ascii="宋体" w:hAnsi="宋体" w:eastAsia="宋体" w:cs="宋体"/>
          <w:spacing w:val="5"/>
          <w:sz w:val="27"/>
          <w:szCs w:val="27"/>
        </w:rPr>
        <w:t>验);</w:t>
      </w:r>
    </w:p>
    <w:p w14:paraId="7BD480B3">
      <w:pPr>
        <w:spacing w:before="111" w:line="253" w:lineRule="auto"/>
        <w:ind w:right="92"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在较高级装配后不能检验、修理和更换或需要高成本才能检验、修理和</w:t>
      </w:r>
      <w:r>
        <w:rPr>
          <w:rFonts w:ascii="宋体" w:hAnsi="宋体" w:eastAsia="宋体" w:cs="宋体"/>
          <w:spacing w:val="1"/>
          <w:sz w:val="27"/>
          <w:szCs w:val="27"/>
        </w:rPr>
        <w:t xml:space="preserve"> </w:t>
      </w:r>
      <w:r>
        <w:rPr>
          <w:rFonts w:ascii="宋体" w:hAnsi="宋体" w:eastAsia="宋体" w:cs="宋体"/>
          <w:sz w:val="27"/>
          <w:szCs w:val="27"/>
        </w:rPr>
        <w:t>更换的产品。</w:t>
      </w:r>
    </w:p>
    <w:p w14:paraId="48E9B69B">
      <w:pPr>
        <w:spacing w:before="96" w:line="222" w:lineRule="auto"/>
        <w:rPr>
          <w:rFonts w:ascii="黑体" w:hAnsi="黑体" w:eastAsia="黑体" w:cs="黑体"/>
          <w:sz w:val="27"/>
          <w:szCs w:val="27"/>
        </w:rPr>
      </w:pPr>
      <w:r>
        <w:rPr>
          <w:rFonts w:ascii="黑体" w:hAnsi="黑体" w:eastAsia="黑体" w:cs="黑体"/>
          <w:sz w:val="27"/>
          <w:szCs w:val="27"/>
        </w:rPr>
        <w:t>4</w:t>
      </w:r>
      <w:r>
        <w:rPr>
          <w:rFonts w:ascii="黑体" w:hAnsi="黑体" w:eastAsia="黑体" w:cs="黑体"/>
          <w:spacing w:val="17"/>
          <w:sz w:val="27"/>
          <w:szCs w:val="27"/>
        </w:rPr>
        <w:t xml:space="preserve">  </w:t>
      </w:r>
      <w:r>
        <w:rPr>
          <w:rFonts w:ascii="黑体" w:hAnsi="黑体" w:eastAsia="黑体" w:cs="黑体"/>
          <w:b/>
          <w:bCs/>
          <w:sz w:val="27"/>
          <w:szCs w:val="27"/>
        </w:rPr>
        <w:t>关键件重要件清单</w:t>
      </w:r>
    </w:p>
    <w:p w14:paraId="7C1749ED">
      <w:pPr>
        <w:spacing w:before="97" w:line="296" w:lineRule="auto"/>
        <w:ind w:right="101" w:firstLine="560"/>
        <w:rPr>
          <w:rFonts w:ascii="宋体" w:hAnsi="宋体" w:eastAsia="宋体" w:cs="宋体"/>
          <w:sz w:val="25"/>
          <w:szCs w:val="25"/>
        </w:rPr>
      </w:pPr>
      <w:r>
        <w:rPr>
          <w:rFonts w:ascii="宋体" w:hAnsi="宋体" w:eastAsia="宋体" w:cs="宋体"/>
          <w:spacing w:val="25"/>
          <w:sz w:val="25"/>
          <w:szCs w:val="25"/>
        </w:rPr>
        <w:t>具有关键特性的产品称为关键件。具有重要特性的产品称为重要件。仅有</w:t>
      </w:r>
      <w:r>
        <w:rPr>
          <w:rFonts w:ascii="宋体" w:hAnsi="宋体" w:eastAsia="宋体" w:cs="宋体"/>
          <w:spacing w:val="11"/>
          <w:sz w:val="25"/>
          <w:szCs w:val="25"/>
        </w:rPr>
        <w:t xml:space="preserve"> </w:t>
      </w:r>
      <w:r>
        <w:rPr>
          <w:rFonts w:ascii="宋体" w:hAnsi="宋体" w:eastAsia="宋体" w:cs="宋体"/>
          <w:spacing w:val="21"/>
          <w:sz w:val="25"/>
          <w:szCs w:val="25"/>
        </w:rPr>
        <w:t>一般特性的产品称为一般件。</w:t>
      </w:r>
    </w:p>
    <w:p w14:paraId="32F6FFA5">
      <w:pPr>
        <w:spacing w:line="219" w:lineRule="auto"/>
        <w:ind w:left="560"/>
        <w:rPr>
          <w:rFonts w:ascii="宋体" w:hAnsi="宋体" w:eastAsia="宋体" w:cs="宋体"/>
          <w:sz w:val="27"/>
          <w:szCs w:val="27"/>
        </w:rPr>
      </w:pPr>
      <w:r>
        <w:rPr>
          <w:rFonts w:ascii="宋体" w:hAnsi="宋体" w:eastAsia="宋体" w:cs="宋体"/>
          <w:spacing w:val="-5"/>
          <w:sz w:val="27"/>
          <w:szCs w:val="27"/>
        </w:rPr>
        <w:t>根据特性分析结果，列出关键件重要件清单，并注明特性分类符号。</w:t>
      </w:r>
    </w:p>
    <w:p w14:paraId="4D3570A1">
      <w:pPr>
        <w:spacing w:before="110" w:line="219" w:lineRule="auto"/>
        <w:ind w:left="560"/>
        <w:rPr>
          <w:rFonts w:ascii="宋体" w:hAnsi="宋体" w:eastAsia="宋体" w:cs="宋体"/>
          <w:sz w:val="27"/>
          <w:szCs w:val="27"/>
        </w:rPr>
      </w:pPr>
      <w:r>
        <w:rPr>
          <w:rFonts w:ascii="宋体" w:hAnsi="宋体" w:eastAsia="宋体" w:cs="宋体"/>
          <w:spacing w:val="-4"/>
          <w:sz w:val="27"/>
          <w:szCs w:val="27"/>
        </w:rPr>
        <w:t>特性分类符号由特性类别代号、顺序号组成，必要时</w:t>
      </w:r>
      <w:r>
        <w:rPr>
          <w:rFonts w:ascii="宋体" w:hAnsi="宋体" w:eastAsia="宋体" w:cs="宋体"/>
          <w:spacing w:val="-5"/>
          <w:sz w:val="27"/>
          <w:szCs w:val="27"/>
        </w:rPr>
        <w:t>可增加补充代号。</w:t>
      </w:r>
    </w:p>
    <w:p w14:paraId="7B818C33">
      <w:pPr>
        <w:spacing w:before="53" w:line="273" w:lineRule="auto"/>
        <w:ind w:right="139" w:firstLine="560"/>
        <w:rPr>
          <w:rFonts w:ascii="宋体" w:hAnsi="宋体" w:eastAsia="宋体" w:cs="宋体"/>
          <w:sz w:val="27"/>
          <w:szCs w:val="27"/>
        </w:rPr>
      </w:pPr>
      <w:r>
        <w:rPr>
          <w:rFonts w:ascii="宋体" w:hAnsi="宋体" w:eastAsia="宋体" w:cs="宋体"/>
          <w:spacing w:val="5"/>
          <w:sz w:val="27"/>
          <w:szCs w:val="27"/>
        </w:rPr>
        <w:t>特性类别代号用大写汉语拼音字母表示，关键特性为</w:t>
      </w:r>
      <w:r>
        <w:rPr>
          <w:rFonts w:ascii="宋体" w:hAnsi="宋体" w:eastAsia="宋体" w:cs="宋体"/>
          <w:spacing w:val="-79"/>
          <w:sz w:val="27"/>
          <w:szCs w:val="27"/>
        </w:rPr>
        <w:t xml:space="preserve"> </w:t>
      </w:r>
      <w:r>
        <w:rPr>
          <w:rFonts w:ascii="Times New Roman" w:hAnsi="Times New Roman" w:eastAsia="Times New Roman" w:cs="Times New Roman"/>
          <w:spacing w:val="5"/>
          <w:sz w:val="27"/>
          <w:szCs w:val="27"/>
        </w:rPr>
        <w:t>G,</w:t>
      </w:r>
      <w:r>
        <w:rPr>
          <w:rFonts w:ascii="Times New Roman" w:hAnsi="Times New Roman" w:eastAsia="Times New Roman" w:cs="Times New Roman"/>
          <w:spacing w:val="39"/>
          <w:w w:val="101"/>
          <w:sz w:val="27"/>
          <w:szCs w:val="27"/>
        </w:rPr>
        <w:t xml:space="preserve"> </w:t>
      </w:r>
      <w:r>
        <w:rPr>
          <w:rFonts w:ascii="宋体" w:hAnsi="宋体" w:eastAsia="宋体" w:cs="宋体"/>
          <w:spacing w:val="5"/>
          <w:sz w:val="27"/>
          <w:szCs w:val="27"/>
        </w:rPr>
        <w:t>重</w:t>
      </w:r>
      <w:r>
        <w:rPr>
          <w:rFonts w:ascii="宋体" w:hAnsi="宋体" w:eastAsia="宋体" w:cs="宋体"/>
          <w:spacing w:val="4"/>
          <w:sz w:val="27"/>
          <w:szCs w:val="27"/>
        </w:rPr>
        <w:t>要特性为</w:t>
      </w:r>
      <w:r>
        <w:rPr>
          <w:rFonts w:ascii="宋体" w:hAnsi="宋体" w:eastAsia="宋体" w:cs="宋体"/>
          <w:spacing w:val="-79"/>
          <w:sz w:val="27"/>
          <w:szCs w:val="27"/>
        </w:rPr>
        <w:t xml:space="preserve"> </w:t>
      </w:r>
      <w:r>
        <w:rPr>
          <w:rFonts w:ascii="Times New Roman" w:hAnsi="Times New Roman" w:eastAsia="Times New Roman" w:cs="Times New Roman"/>
          <w:spacing w:val="4"/>
          <w:sz w:val="27"/>
          <w:szCs w:val="27"/>
        </w:rPr>
        <w:t xml:space="preserve">Z, </w:t>
      </w:r>
      <w:r>
        <w:rPr>
          <w:rFonts w:ascii="宋体" w:hAnsi="宋体" w:eastAsia="宋体" w:cs="宋体"/>
          <w:spacing w:val="4"/>
          <w:sz w:val="27"/>
          <w:szCs w:val="27"/>
        </w:rPr>
        <w:t>一</w:t>
      </w:r>
      <w:r>
        <w:rPr>
          <w:rFonts w:ascii="宋体" w:hAnsi="宋体" w:eastAsia="宋体" w:cs="宋体"/>
          <w:sz w:val="27"/>
          <w:szCs w:val="27"/>
        </w:rPr>
        <w:t xml:space="preserve"> </w:t>
      </w:r>
      <w:r>
        <w:rPr>
          <w:rFonts w:ascii="宋体" w:hAnsi="宋体" w:eastAsia="宋体" w:cs="宋体"/>
          <w:spacing w:val="-1"/>
          <w:sz w:val="27"/>
          <w:szCs w:val="27"/>
        </w:rPr>
        <w:t>般特性不规定。</w:t>
      </w:r>
    </w:p>
    <w:p w14:paraId="6C1D52C8">
      <w:pPr>
        <w:spacing w:before="2" w:line="296" w:lineRule="auto"/>
        <w:ind w:right="261" w:firstLine="560"/>
        <w:rPr>
          <w:rFonts w:ascii="宋体" w:hAnsi="宋体" w:eastAsia="宋体" w:cs="宋体"/>
          <w:sz w:val="27"/>
          <w:szCs w:val="27"/>
        </w:rPr>
      </w:pPr>
      <w:r>
        <w:rPr>
          <w:rFonts w:ascii="宋体" w:hAnsi="宋体" w:eastAsia="宋体" w:cs="宋体"/>
          <w:spacing w:val="7"/>
          <w:sz w:val="27"/>
          <w:szCs w:val="27"/>
        </w:rPr>
        <w:t>顺序号用阿拉伯数字顺序表示在特性类别代号后，关键特</w:t>
      </w:r>
      <w:r>
        <w:rPr>
          <w:rFonts w:ascii="宋体" w:hAnsi="宋体" w:eastAsia="宋体" w:cs="宋体"/>
          <w:spacing w:val="6"/>
          <w:sz w:val="27"/>
          <w:szCs w:val="27"/>
        </w:rPr>
        <w:t>性为</w:t>
      </w:r>
      <w:r>
        <w:rPr>
          <w:rFonts w:ascii="Times New Roman" w:hAnsi="Times New Roman" w:eastAsia="Times New Roman" w:cs="Times New Roman"/>
          <w:spacing w:val="6"/>
          <w:sz w:val="27"/>
          <w:szCs w:val="27"/>
        </w:rPr>
        <w:t>G1</w:t>
      </w:r>
      <w:r>
        <w:rPr>
          <w:rFonts w:ascii="宋体" w:hAnsi="宋体" w:eastAsia="宋体" w:cs="宋体"/>
          <w:spacing w:val="6"/>
          <w:sz w:val="27"/>
          <w:szCs w:val="27"/>
        </w:rPr>
        <w:t>～</w:t>
      </w:r>
      <w:r>
        <w:rPr>
          <w:rFonts w:ascii="Times New Roman" w:hAnsi="Times New Roman" w:eastAsia="Times New Roman" w:cs="Times New Roman"/>
          <w:spacing w:val="6"/>
          <w:sz w:val="27"/>
          <w:szCs w:val="27"/>
        </w:rPr>
        <w:t>G99,</w:t>
      </w:r>
      <w:r>
        <w:rPr>
          <w:rFonts w:ascii="Times New Roman" w:hAnsi="Times New Roman" w:eastAsia="Times New Roman" w:cs="Times New Roman"/>
          <w:sz w:val="27"/>
          <w:szCs w:val="27"/>
        </w:rPr>
        <w:t xml:space="preserve"> </w:t>
      </w:r>
      <w:r>
        <w:rPr>
          <w:rFonts w:ascii="宋体" w:hAnsi="宋体" w:eastAsia="宋体" w:cs="宋体"/>
          <w:spacing w:val="2"/>
          <w:sz w:val="27"/>
          <w:szCs w:val="27"/>
        </w:rPr>
        <w:t>重要特性为</w:t>
      </w:r>
      <w:r>
        <w:rPr>
          <w:rFonts w:ascii="宋体" w:hAnsi="宋体" w:eastAsia="宋体" w:cs="宋体"/>
          <w:spacing w:val="-69"/>
          <w:sz w:val="27"/>
          <w:szCs w:val="27"/>
        </w:rPr>
        <w:t xml:space="preserve"> </w:t>
      </w:r>
      <w:r>
        <w:rPr>
          <w:rFonts w:ascii="Times New Roman" w:hAnsi="Times New Roman" w:eastAsia="Times New Roman" w:cs="Times New Roman"/>
          <w:spacing w:val="2"/>
          <w:sz w:val="27"/>
          <w:szCs w:val="27"/>
        </w:rPr>
        <w:t>Z101</w:t>
      </w:r>
      <w:r>
        <w:rPr>
          <w:rFonts w:ascii="宋体" w:hAnsi="宋体" w:eastAsia="宋体" w:cs="宋体"/>
          <w:spacing w:val="2"/>
          <w:sz w:val="27"/>
          <w:szCs w:val="27"/>
        </w:rPr>
        <w:t>～</w:t>
      </w:r>
      <w:r>
        <w:rPr>
          <w:rFonts w:ascii="Times New Roman" w:hAnsi="Times New Roman" w:eastAsia="Times New Roman" w:cs="Times New Roman"/>
          <w:spacing w:val="2"/>
          <w:sz w:val="27"/>
          <w:szCs w:val="27"/>
        </w:rPr>
        <w:t>Z199,</w:t>
      </w:r>
      <w:r>
        <w:rPr>
          <w:rFonts w:ascii="Times New Roman" w:hAnsi="Times New Roman" w:eastAsia="Times New Roman" w:cs="Times New Roman"/>
          <w:spacing w:val="30"/>
          <w:sz w:val="27"/>
          <w:szCs w:val="27"/>
        </w:rPr>
        <w:t xml:space="preserve"> </w:t>
      </w:r>
      <w:r>
        <w:rPr>
          <w:rFonts w:ascii="宋体" w:hAnsi="宋体" w:eastAsia="宋体" w:cs="宋体"/>
          <w:spacing w:val="2"/>
          <w:sz w:val="27"/>
          <w:szCs w:val="27"/>
        </w:rPr>
        <w:t>一般特性不</w:t>
      </w:r>
      <w:r>
        <w:rPr>
          <w:rFonts w:ascii="宋体" w:hAnsi="宋体" w:eastAsia="宋体" w:cs="宋体"/>
          <w:spacing w:val="1"/>
          <w:sz w:val="27"/>
          <w:szCs w:val="27"/>
        </w:rPr>
        <w:t>规定。</w:t>
      </w:r>
    </w:p>
    <w:p w14:paraId="4CFD7B2D">
      <w:pPr>
        <w:spacing w:before="11" w:line="279" w:lineRule="auto"/>
        <w:ind w:firstLine="560"/>
        <w:jc w:val="both"/>
        <w:rPr>
          <w:rFonts w:ascii="宋体" w:hAnsi="宋体" w:eastAsia="宋体" w:cs="宋体"/>
          <w:sz w:val="27"/>
          <w:szCs w:val="27"/>
        </w:rPr>
      </w:pPr>
      <w:r>
        <w:rPr>
          <w:rFonts w:ascii="宋体" w:hAnsi="宋体" w:eastAsia="宋体" w:cs="宋体"/>
          <w:spacing w:val="7"/>
          <w:sz w:val="27"/>
          <w:szCs w:val="27"/>
        </w:rPr>
        <w:t>补充代号用大写汉语拼音字母表示在顺序号后，</w:t>
      </w:r>
      <w:r>
        <w:rPr>
          <w:rFonts w:ascii="Times New Roman" w:hAnsi="Times New Roman" w:eastAsia="Times New Roman" w:cs="Times New Roman"/>
          <w:spacing w:val="7"/>
          <w:sz w:val="27"/>
          <w:szCs w:val="27"/>
        </w:rPr>
        <w:t>A</w:t>
      </w:r>
      <w:r>
        <w:rPr>
          <w:rFonts w:ascii="Times New Roman" w:hAnsi="Times New Roman" w:eastAsia="Times New Roman" w:cs="Times New Roman"/>
          <w:spacing w:val="57"/>
          <w:sz w:val="27"/>
          <w:szCs w:val="27"/>
        </w:rPr>
        <w:t xml:space="preserve"> </w:t>
      </w:r>
      <w:r>
        <w:rPr>
          <w:rFonts w:ascii="宋体" w:hAnsi="宋体" w:eastAsia="宋体" w:cs="宋体"/>
          <w:spacing w:val="7"/>
          <w:sz w:val="27"/>
          <w:szCs w:val="27"/>
        </w:rPr>
        <w:t>表示产品单独销售时，</w:t>
      </w:r>
      <w:r>
        <w:rPr>
          <w:rFonts w:ascii="宋体" w:hAnsi="宋体" w:eastAsia="宋体" w:cs="宋体"/>
          <w:sz w:val="27"/>
          <w:szCs w:val="27"/>
        </w:rPr>
        <w:t xml:space="preserve"> </w:t>
      </w:r>
      <w:r>
        <w:rPr>
          <w:rFonts w:ascii="宋体" w:hAnsi="宋体" w:eastAsia="宋体" w:cs="宋体"/>
          <w:spacing w:val="5"/>
          <w:sz w:val="27"/>
          <w:szCs w:val="27"/>
        </w:rPr>
        <w:t>该特性被分类为关键特性或重要特性，而在高一级装配中检验或试验时则为一</w:t>
      </w:r>
      <w:r>
        <w:rPr>
          <w:rFonts w:ascii="宋体" w:hAnsi="宋体" w:eastAsia="宋体" w:cs="宋体"/>
          <w:spacing w:val="1"/>
          <w:sz w:val="27"/>
          <w:szCs w:val="27"/>
        </w:rPr>
        <w:t xml:space="preserve">  </w:t>
      </w:r>
      <w:r>
        <w:rPr>
          <w:rFonts w:ascii="宋体" w:hAnsi="宋体" w:eastAsia="宋体" w:cs="宋体"/>
          <w:spacing w:val="-1"/>
          <w:sz w:val="27"/>
          <w:szCs w:val="27"/>
        </w:rPr>
        <w:t>般特性，</w:t>
      </w:r>
      <w:r>
        <w:rPr>
          <w:rFonts w:ascii="Times New Roman" w:hAnsi="Times New Roman" w:eastAsia="Times New Roman" w:cs="Times New Roman"/>
          <w:spacing w:val="-1"/>
          <w:sz w:val="27"/>
          <w:szCs w:val="27"/>
        </w:rPr>
        <w:t>B</w:t>
      </w:r>
      <w:r>
        <w:rPr>
          <w:rFonts w:ascii="Times New Roman" w:hAnsi="Times New Roman" w:eastAsia="Times New Roman" w:cs="Times New Roman"/>
          <w:spacing w:val="-13"/>
          <w:sz w:val="27"/>
          <w:szCs w:val="27"/>
        </w:rPr>
        <w:t xml:space="preserve"> </w:t>
      </w:r>
      <w:r>
        <w:rPr>
          <w:rFonts w:ascii="宋体" w:hAnsi="宋体" w:eastAsia="宋体" w:cs="宋体"/>
          <w:spacing w:val="-1"/>
          <w:sz w:val="27"/>
          <w:szCs w:val="27"/>
        </w:rPr>
        <w:t>表示装配时复验，</w:t>
      </w:r>
      <w:r>
        <w:rPr>
          <w:rFonts w:ascii="Times New Roman" w:hAnsi="Times New Roman" w:eastAsia="Times New Roman" w:cs="Times New Roman"/>
          <w:spacing w:val="-1"/>
          <w:sz w:val="27"/>
          <w:szCs w:val="27"/>
        </w:rPr>
        <w:t xml:space="preserve">C </w:t>
      </w:r>
      <w:r>
        <w:rPr>
          <w:rFonts w:ascii="宋体" w:hAnsi="宋体" w:eastAsia="宋体" w:cs="宋体"/>
          <w:spacing w:val="-1"/>
          <w:sz w:val="27"/>
          <w:szCs w:val="27"/>
        </w:rPr>
        <w:t>表示工艺过程数据作为验收数据，</w:t>
      </w: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表示要求特</w:t>
      </w:r>
      <w:r>
        <w:rPr>
          <w:rFonts w:ascii="宋体" w:hAnsi="宋体" w:eastAsia="宋体" w:cs="宋体"/>
          <w:sz w:val="27"/>
          <w:szCs w:val="27"/>
        </w:rPr>
        <w:t xml:space="preserve">  </w:t>
      </w:r>
      <w:r>
        <w:rPr>
          <w:rFonts w:ascii="宋体" w:hAnsi="宋体" w:eastAsia="宋体" w:cs="宋体"/>
          <w:spacing w:val="1"/>
          <w:sz w:val="27"/>
          <w:szCs w:val="27"/>
        </w:rPr>
        <w:t>殊的试验或检验。</w:t>
      </w:r>
    </w:p>
    <w:p w14:paraId="28E27F8B">
      <w:pPr>
        <w:spacing w:before="333" w:line="218" w:lineRule="auto"/>
        <w:ind w:left="1619"/>
        <w:outlineLvl w:val="1"/>
        <w:rPr>
          <w:rFonts w:ascii="宋体" w:hAnsi="宋体" w:eastAsia="宋体" w:cs="宋体"/>
          <w:sz w:val="36"/>
          <w:szCs w:val="36"/>
        </w:rPr>
      </w:pPr>
      <w:bookmarkStart w:id="49" w:name="bookmark26"/>
      <w:bookmarkEnd w:id="49"/>
      <w:r>
        <w:rPr>
          <w:rFonts w:ascii="Times New Roman" w:hAnsi="Times New Roman" w:eastAsia="Times New Roman" w:cs="Times New Roman"/>
          <w:b/>
          <w:bCs/>
          <w:spacing w:val="4"/>
          <w:sz w:val="36"/>
          <w:szCs w:val="36"/>
        </w:rPr>
        <w:t>1.24</w:t>
      </w:r>
      <w:r>
        <w:rPr>
          <w:rFonts w:ascii="Times New Roman" w:hAnsi="Times New Roman" w:eastAsia="Times New Roman" w:cs="Times New Roman"/>
          <w:b/>
          <w:bCs/>
          <w:spacing w:val="2"/>
          <w:sz w:val="36"/>
          <w:szCs w:val="36"/>
        </w:rPr>
        <w:t xml:space="preserve">     </w:t>
      </w:r>
      <w:r>
        <w:rPr>
          <w:rFonts w:ascii="宋体" w:hAnsi="宋体" w:eastAsia="宋体" w:cs="宋体"/>
          <w:b/>
          <w:bCs/>
          <w:spacing w:val="4"/>
          <w:sz w:val="36"/>
          <w:szCs w:val="36"/>
        </w:rPr>
        <w:t>生产性分析报告(工程研制阶段)</w:t>
      </w:r>
    </w:p>
    <w:p w14:paraId="2AA6FCA1">
      <w:pPr>
        <w:pStyle w:val="2"/>
        <w:spacing w:line="270" w:lineRule="auto"/>
      </w:pPr>
    </w:p>
    <w:p w14:paraId="047DACCD">
      <w:pPr>
        <w:spacing w:before="91" w:line="223" w:lineRule="auto"/>
        <w:ind w:left="560"/>
        <w:rPr>
          <w:rFonts w:ascii="楷体" w:hAnsi="楷体" w:eastAsia="楷体" w:cs="楷体"/>
          <w:sz w:val="28"/>
          <w:szCs w:val="28"/>
        </w:rPr>
      </w:pPr>
      <w:r>
        <w:rPr>
          <w:rFonts w:ascii="楷体" w:hAnsi="楷体" w:eastAsia="楷体" w:cs="楷体"/>
          <w:spacing w:val="-12"/>
          <w:sz w:val="28"/>
          <w:szCs w:val="28"/>
        </w:rPr>
        <w:t>按照</w:t>
      </w:r>
      <w:r>
        <w:rPr>
          <w:rFonts w:ascii="Times New Roman" w:hAnsi="Times New Roman" w:eastAsia="Times New Roman" w:cs="Times New Roman"/>
          <w:spacing w:val="-12"/>
          <w:sz w:val="28"/>
          <w:szCs w:val="28"/>
        </w:rPr>
        <w:t>GJB 3363—1998</w:t>
      </w:r>
      <w:r>
        <w:rPr>
          <w:rFonts w:ascii="宋体" w:hAnsi="宋体" w:eastAsia="宋体" w:cs="宋体"/>
          <w:spacing w:val="-12"/>
          <w:sz w:val="28"/>
          <w:szCs w:val="28"/>
        </w:rPr>
        <w:t>《</w:t>
      </w:r>
      <w:r>
        <w:rPr>
          <w:rFonts w:ascii="楷体" w:hAnsi="楷体" w:eastAsia="楷体" w:cs="楷体"/>
          <w:spacing w:val="-12"/>
          <w:sz w:val="28"/>
          <w:szCs w:val="28"/>
        </w:rPr>
        <w:t>生产性分析》编写。</w:t>
      </w:r>
    </w:p>
    <w:p w14:paraId="7E02ACE6">
      <w:pPr>
        <w:spacing w:before="85"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26"/>
          <w:sz w:val="27"/>
          <w:szCs w:val="27"/>
        </w:rPr>
        <w:t xml:space="preserve">  </w:t>
      </w:r>
      <w:r>
        <w:rPr>
          <w:rFonts w:ascii="黑体" w:hAnsi="黑体" w:eastAsia="黑体" w:cs="黑体"/>
          <w:b/>
          <w:bCs/>
          <w:spacing w:val="-4"/>
          <w:sz w:val="27"/>
          <w:szCs w:val="27"/>
        </w:rPr>
        <w:t>范围</w:t>
      </w:r>
    </w:p>
    <w:p w14:paraId="78EDBBD3">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8"/>
          <w:sz w:val="27"/>
          <w:szCs w:val="27"/>
        </w:rPr>
        <w:t xml:space="preserve">  </w:t>
      </w:r>
      <w:r>
        <w:rPr>
          <w:rFonts w:ascii="黑体" w:hAnsi="黑体" w:eastAsia="黑体" w:cs="黑体"/>
          <w:b/>
          <w:bCs/>
          <w:spacing w:val="-1"/>
          <w:sz w:val="27"/>
          <w:szCs w:val="27"/>
        </w:rPr>
        <w:t>引用文件</w:t>
      </w:r>
    </w:p>
    <w:p w14:paraId="5CDEDA9D">
      <w:pPr>
        <w:spacing w:before="78"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20"/>
          <w:sz w:val="27"/>
          <w:szCs w:val="27"/>
        </w:rPr>
        <w:t xml:space="preserve">  </w:t>
      </w:r>
      <w:r>
        <w:rPr>
          <w:rFonts w:ascii="黑体" w:hAnsi="黑体" w:eastAsia="黑体" w:cs="黑体"/>
          <w:b/>
          <w:bCs/>
          <w:spacing w:val="-1"/>
          <w:sz w:val="27"/>
          <w:szCs w:val="27"/>
        </w:rPr>
        <w:t>生产性分析目的</w:t>
      </w:r>
    </w:p>
    <w:p w14:paraId="402CF218">
      <w:pPr>
        <w:spacing w:before="120" w:line="281" w:lineRule="auto"/>
        <w:ind w:right="85" w:firstLine="560"/>
        <w:rPr>
          <w:rFonts w:ascii="宋体" w:hAnsi="宋体" w:eastAsia="宋体" w:cs="宋体"/>
          <w:sz w:val="27"/>
          <w:szCs w:val="27"/>
        </w:rPr>
      </w:pPr>
      <w:r>
        <w:rPr>
          <w:rFonts w:ascii="宋体" w:hAnsi="宋体" w:eastAsia="宋体" w:cs="宋体"/>
          <w:spacing w:val="6"/>
          <w:sz w:val="27"/>
          <w:szCs w:val="27"/>
        </w:rPr>
        <w:t>工程研制阶段生产性分析工作是标识所有硬件的关键特性，减少</w:t>
      </w:r>
      <w:r>
        <w:rPr>
          <w:rFonts w:ascii="宋体" w:hAnsi="宋体" w:eastAsia="宋体" w:cs="宋体"/>
          <w:spacing w:val="5"/>
          <w:sz w:val="27"/>
          <w:szCs w:val="27"/>
        </w:rPr>
        <w:t>生产流程</w:t>
      </w:r>
      <w:r>
        <w:rPr>
          <w:rFonts w:ascii="宋体" w:hAnsi="宋体" w:eastAsia="宋体" w:cs="宋体"/>
          <w:sz w:val="27"/>
          <w:szCs w:val="27"/>
        </w:rPr>
        <w:t xml:space="preserve"> </w:t>
      </w:r>
      <w:r>
        <w:rPr>
          <w:rFonts w:ascii="宋体" w:hAnsi="宋体" w:eastAsia="宋体" w:cs="宋体"/>
          <w:spacing w:val="-9"/>
          <w:sz w:val="27"/>
          <w:szCs w:val="27"/>
        </w:rPr>
        <w:t>时间，减少材料和工时费用，确定最佳进度要</w:t>
      </w:r>
      <w:r>
        <w:rPr>
          <w:rFonts w:ascii="宋体" w:hAnsi="宋体" w:eastAsia="宋体" w:cs="宋体"/>
          <w:spacing w:val="-10"/>
          <w:sz w:val="27"/>
          <w:szCs w:val="27"/>
        </w:rPr>
        <w:t>求，改善检验和试验程序，减少专用</w:t>
      </w:r>
    </w:p>
    <w:p w14:paraId="53584C2C">
      <w:pPr>
        <w:spacing w:line="281" w:lineRule="auto"/>
        <w:rPr>
          <w:rFonts w:ascii="宋体" w:hAnsi="宋体" w:eastAsia="宋体" w:cs="宋体"/>
          <w:sz w:val="27"/>
          <w:szCs w:val="27"/>
        </w:rPr>
        <w:sectPr>
          <w:footerReference r:id="rId86" w:type="default"/>
          <w:pgSz w:w="11910" w:h="17130"/>
          <w:pgMar w:top="400" w:right="1245" w:bottom="1627" w:left="1190" w:header="0" w:footer="1410" w:gutter="0"/>
          <w:cols w:space="720" w:num="1"/>
        </w:sectPr>
      </w:pPr>
    </w:p>
    <w:p w14:paraId="1E19F744">
      <w:pPr>
        <w:pStyle w:val="2"/>
        <w:spacing w:line="281" w:lineRule="auto"/>
      </w:pPr>
    </w:p>
    <w:p w14:paraId="3B87075E">
      <w:pPr>
        <w:pStyle w:val="2"/>
        <w:spacing w:line="281" w:lineRule="auto"/>
      </w:pPr>
    </w:p>
    <w:p w14:paraId="497B531B">
      <w:pPr>
        <w:pStyle w:val="2"/>
        <w:spacing w:line="281" w:lineRule="auto"/>
      </w:pPr>
    </w:p>
    <w:p w14:paraId="2F0C32AF">
      <w:pPr>
        <w:pStyle w:val="2"/>
        <w:spacing w:line="282" w:lineRule="auto"/>
      </w:pPr>
    </w:p>
    <w:p w14:paraId="480EC50D">
      <w:pPr>
        <w:spacing w:before="78" w:line="219" w:lineRule="auto"/>
        <w:rPr>
          <w:rFonts w:ascii="宋体" w:hAnsi="宋体" w:eastAsia="宋体" w:cs="宋体"/>
          <w:sz w:val="24"/>
          <w:szCs w:val="24"/>
        </w:rPr>
      </w:pPr>
      <w:r>
        <w:rPr>
          <w:rFonts w:ascii="宋体" w:hAnsi="宋体" w:eastAsia="宋体" w:cs="宋体"/>
          <w:spacing w:val="28"/>
          <w:sz w:val="24"/>
          <w:szCs w:val="24"/>
        </w:rPr>
        <w:t>生产工装和试验设备，以便顺利地转入试生产状态。</w:t>
      </w:r>
    </w:p>
    <w:p w14:paraId="046E45F0">
      <w:pPr>
        <w:spacing w:before="94" w:line="222"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22"/>
          <w:sz w:val="27"/>
          <w:szCs w:val="27"/>
        </w:rPr>
        <w:t xml:space="preserve">  </w:t>
      </w:r>
      <w:r>
        <w:rPr>
          <w:rFonts w:ascii="黑体" w:hAnsi="黑体" w:eastAsia="黑体" w:cs="黑体"/>
          <w:spacing w:val="2"/>
          <w:sz w:val="27"/>
          <w:szCs w:val="27"/>
        </w:rPr>
        <w:t>生产性分析准则</w:t>
      </w:r>
    </w:p>
    <w:p w14:paraId="249AC3B4">
      <w:pPr>
        <w:spacing w:before="77" w:line="275" w:lineRule="auto"/>
        <w:ind w:right="121" w:firstLine="550"/>
        <w:rPr>
          <w:rFonts w:ascii="宋体" w:hAnsi="宋体" w:eastAsia="宋体" w:cs="宋体"/>
          <w:sz w:val="27"/>
          <w:szCs w:val="27"/>
        </w:rPr>
      </w:pPr>
      <w:r>
        <w:rPr>
          <w:rFonts w:ascii="宋体" w:hAnsi="宋体" w:eastAsia="宋体" w:cs="宋体"/>
          <w:spacing w:val="-3"/>
          <w:sz w:val="27"/>
          <w:szCs w:val="27"/>
        </w:rPr>
        <w:t>承制方对方案阶段形成的《生产性分析准则》进行更新</w:t>
      </w:r>
      <w:r>
        <w:rPr>
          <w:rFonts w:ascii="宋体" w:hAnsi="宋体" w:eastAsia="宋体" w:cs="宋体"/>
          <w:spacing w:val="-4"/>
          <w:sz w:val="27"/>
          <w:szCs w:val="27"/>
        </w:rPr>
        <w:t>，提出更加具有可操</w:t>
      </w:r>
      <w:r>
        <w:rPr>
          <w:rFonts w:ascii="宋体" w:hAnsi="宋体" w:eastAsia="宋体" w:cs="宋体"/>
          <w:sz w:val="27"/>
          <w:szCs w:val="27"/>
        </w:rPr>
        <w:t xml:space="preserve"> </w:t>
      </w:r>
      <w:r>
        <w:rPr>
          <w:rFonts w:ascii="宋体" w:hAnsi="宋体" w:eastAsia="宋体" w:cs="宋体"/>
          <w:spacing w:val="4"/>
          <w:sz w:val="27"/>
          <w:szCs w:val="27"/>
        </w:rPr>
        <w:t>作性的准则。</w:t>
      </w:r>
    </w:p>
    <w:p w14:paraId="16D51FA4">
      <w:pPr>
        <w:pStyle w:val="2"/>
        <w:spacing w:line="327" w:lineRule="exact"/>
        <w:rPr>
          <w:rFonts w:ascii="黑体" w:hAnsi="黑体" w:eastAsia="黑体" w:cs="黑体"/>
          <w:sz w:val="24"/>
          <w:szCs w:val="24"/>
        </w:rPr>
      </w:pPr>
      <w:r>
        <w:rPr>
          <w:spacing w:val="24"/>
          <w:position w:val="1"/>
          <w:sz w:val="24"/>
          <w:szCs w:val="24"/>
        </w:rPr>
        <w:t xml:space="preserve">5    </w:t>
      </w:r>
      <w:r>
        <w:rPr>
          <w:rFonts w:ascii="黑体" w:hAnsi="黑体" w:eastAsia="黑体" w:cs="黑体"/>
          <w:spacing w:val="24"/>
          <w:position w:val="1"/>
          <w:sz w:val="24"/>
          <w:szCs w:val="24"/>
        </w:rPr>
        <w:t>生产性分析工作内容</w:t>
      </w:r>
    </w:p>
    <w:p w14:paraId="6E1643CF">
      <w:pPr>
        <w:spacing w:before="88" w:line="219" w:lineRule="auto"/>
        <w:ind w:left="550"/>
        <w:rPr>
          <w:rFonts w:ascii="宋体" w:hAnsi="宋体" w:eastAsia="宋体" w:cs="宋体"/>
          <w:sz w:val="27"/>
          <w:szCs w:val="27"/>
        </w:rPr>
      </w:pPr>
      <w:r>
        <w:rPr>
          <w:rFonts w:ascii="宋体" w:hAnsi="宋体" w:eastAsia="宋体" w:cs="宋体"/>
          <w:spacing w:val="-8"/>
          <w:sz w:val="27"/>
          <w:szCs w:val="27"/>
        </w:rPr>
        <w:t>应对下列技术资料进行分析评定，提出认可、不认可、需要修改的意</w:t>
      </w:r>
      <w:r>
        <w:rPr>
          <w:rFonts w:ascii="宋体" w:hAnsi="宋体" w:eastAsia="宋体" w:cs="宋体"/>
          <w:spacing w:val="-9"/>
          <w:sz w:val="27"/>
          <w:szCs w:val="27"/>
        </w:rPr>
        <w:t>见。</w:t>
      </w:r>
    </w:p>
    <w:p w14:paraId="3B8671EA">
      <w:pPr>
        <w:spacing w:before="59" w:line="212" w:lineRule="auto"/>
        <w:ind w:left="550"/>
        <w:rPr>
          <w:rFonts w:ascii="宋体" w:hAnsi="宋体" w:eastAsia="宋体" w:cs="宋体"/>
          <w:sz w:val="27"/>
          <w:szCs w:val="27"/>
        </w:rPr>
      </w:pPr>
      <w:r>
        <w:rPr>
          <w:rFonts w:ascii="Times New Roman" w:hAnsi="Times New Roman" w:eastAsia="Times New Roman" w:cs="Times New Roman"/>
          <w:spacing w:val="-14"/>
          <w:sz w:val="27"/>
          <w:szCs w:val="27"/>
        </w:rPr>
        <w:t xml:space="preserve">a)  </w:t>
      </w:r>
      <w:r>
        <w:rPr>
          <w:rFonts w:ascii="宋体" w:hAnsi="宋体" w:eastAsia="宋体" w:cs="宋体"/>
          <w:spacing w:val="-14"/>
          <w:sz w:val="27"/>
          <w:szCs w:val="27"/>
        </w:rPr>
        <w:t>技术规范，包括系统规范、研制规范、产品规范、工艺规范、材料规范等；</w:t>
      </w:r>
    </w:p>
    <w:p w14:paraId="1D5F3976">
      <w:pPr>
        <w:spacing w:before="109" w:line="250" w:lineRule="auto"/>
        <w:ind w:right="102" w:firstLine="550"/>
        <w:rPr>
          <w:rFonts w:ascii="宋体" w:hAnsi="宋体" w:eastAsia="宋体" w:cs="宋体"/>
          <w:sz w:val="27"/>
          <w:szCs w:val="27"/>
        </w:rPr>
      </w:pPr>
      <w:r>
        <w:rPr>
          <w:rFonts w:ascii="Times New Roman" w:hAnsi="Times New Roman" w:eastAsia="Times New Roman" w:cs="Times New Roman"/>
          <w:spacing w:val="-12"/>
          <w:sz w:val="27"/>
          <w:szCs w:val="27"/>
        </w:rPr>
        <w:t xml:space="preserve">b)  </w:t>
      </w:r>
      <w:r>
        <w:rPr>
          <w:rFonts w:ascii="宋体" w:hAnsi="宋体" w:eastAsia="宋体" w:cs="宋体"/>
          <w:spacing w:val="-12"/>
          <w:sz w:val="27"/>
          <w:szCs w:val="27"/>
        </w:rPr>
        <w:t>图样，包括整机及零件、部件和组件结构图、安装图、随机工具</w:t>
      </w:r>
      <w:r>
        <w:rPr>
          <w:rFonts w:ascii="宋体" w:hAnsi="宋体" w:eastAsia="宋体" w:cs="宋体"/>
          <w:spacing w:val="-13"/>
          <w:sz w:val="27"/>
          <w:szCs w:val="27"/>
        </w:rPr>
        <w:t>图、地面设</w:t>
      </w:r>
      <w:r>
        <w:rPr>
          <w:rFonts w:ascii="宋体" w:hAnsi="宋体" w:eastAsia="宋体" w:cs="宋体"/>
          <w:sz w:val="27"/>
          <w:szCs w:val="27"/>
        </w:rPr>
        <w:t xml:space="preserve"> </w:t>
      </w:r>
      <w:r>
        <w:rPr>
          <w:rFonts w:ascii="宋体" w:hAnsi="宋体" w:eastAsia="宋体" w:cs="宋体"/>
          <w:spacing w:val="-1"/>
          <w:sz w:val="27"/>
          <w:szCs w:val="27"/>
        </w:rPr>
        <w:t>备图及各类工装图等；</w:t>
      </w:r>
    </w:p>
    <w:p w14:paraId="4A31A5D8">
      <w:pPr>
        <w:spacing w:before="59"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54"/>
          <w:w w:val="101"/>
          <w:sz w:val="27"/>
          <w:szCs w:val="27"/>
        </w:rPr>
        <w:t xml:space="preserve"> </w:t>
      </w:r>
      <w:r>
        <w:rPr>
          <w:rFonts w:ascii="宋体" w:hAnsi="宋体" w:eastAsia="宋体" w:cs="宋体"/>
          <w:spacing w:val="2"/>
          <w:sz w:val="27"/>
          <w:szCs w:val="27"/>
        </w:rPr>
        <w:t>各类工艺文件资料；</w:t>
      </w:r>
    </w:p>
    <w:p w14:paraId="3831E125">
      <w:pPr>
        <w:spacing w:before="11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d)</w:t>
      </w:r>
      <w:r>
        <w:rPr>
          <w:rFonts w:ascii="Times New Roman" w:hAnsi="Times New Roman" w:eastAsia="Times New Roman" w:cs="Times New Roman"/>
          <w:spacing w:val="73"/>
          <w:sz w:val="27"/>
          <w:szCs w:val="27"/>
        </w:rPr>
        <w:t xml:space="preserve"> </w:t>
      </w:r>
      <w:r>
        <w:rPr>
          <w:rFonts w:ascii="宋体" w:hAnsi="宋体" w:eastAsia="宋体" w:cs="宋体"/>
          <w:spacing w:val="2"/>
          <w:sz w:val="27"/>
          <w:szCs w:val="27"/>
        </w:rPr>
        <w:t>各类技术资料的更改文件；</w:t>
      </w:r>
    </w:p>
    <w:p w14:paraId="1C8EB0B6">
      <w:pPr>
        <w:spacing w:before="100" w:line="212" w:lineRule="auto"/>
        <w:ind w:left="550"/>
        <w:rPr>
          <w:rFonts w:ascii="宋体" w:hAnsi="宋体" w:eastAsia="宋体" w:cs="宋体"/>
          <w:sz w:val="27"/>
          <w:szCs w:val="27"/>
        </w:rPr>
      </w:pPr>
      <w:r>
        <w:rPr>
          <w:rFonts w:ascii="Times New Roman" w:hAnsi="Times New Roman" w:eastAsia="Times New Roman" w:cs="Times New Roman"/>
          <w:spacing w:val="-9"/>
          <w:sz w:val="27"/>
          <w:szCs w:val="27"/>
        </w:rPr>
        <w:t>e)</w:t>
      </w:r>
      <w:r>
        <w:rPr>
          <w:rFonts w:ascii="Times New Roman" w:hAnsi="Times New Roman" w:eastAsia="Times New Roman" w:cs="Times New Roman"/>
          <w:spacing w:val="65"/>
          <w:w w:val="101"/>
          <w:sz w:val="27"/>
          <w:szCs w:val="27"/>
        </w:rPr>
        <w:t xml:space="preserve"> </w:t>
      </w:r>
      <w:r>
        <w:rPr>
          <w:rFonts w:ascii="宋体" w:hAnsi="宋体" w:eastAsia="宋体" w:cs="宋体"/>
          <w:spacing w:val="-9"/>
          <w:sz w:val="27"/>
          <w:szCs w:val="27"/>
        </w:rPr>
        <w:t>论证、设计、制造、试验等方面与生产性有关的其他技术文件。</w:t>
      </w:r>
    </w:p>
    <w:p w14:paraId="12A02242">
      <w:pPr>
        <w:spacing w:before="117" w:line="279" w:lineRule="auto"/>
        <w:ind w:firstLine="550"/>
        <w:jc w:val="both"/>
        <w:rPr>
          <w:rFonts w:ascii="宋体" w:hAnsi="宋体" w:eastAsia="宋体" w:cs="宋体"/>
          <w:sz w:val="27"/>
          <w:szCs w:val="27"/>
        </w:rPr>
      </w:pPr>
      <w:r>
        <w:rPr>
          <w:rFonts w:ascii="宋体" w:hAnsi="宋体" w:eastAsia="宋体" w:cs="宋体"/>
          <w:spacing w:val="-8"/>
          <w:sz w:val="27"/>
          <w:szCs w:val="27"/>
        </w:rPr>
        <w:t>在这一阶段需进行大量的工作，涉及到设计、材料、工艺、标准等各个方面，</w:t>
      </w:r>
      <w:r>
        <w:rPr>
          <w:rFonts w:ascii="宋体" w:hAnsi="宋体" w:eastAsia="宋体" w:cs="宋体"/>
          <w:spacing w:val="16"/>
          <w:sz w:val="27"/>
          <w:szCs w:val="27"/>
        </w:rPr>
        <w:t xml:space="preserve"> </w:t>
      </w:r>
      <w:r>
        <w:rPr>
          <w:rFonts w:ascii="宋体" w:hAnsi="宋体" w:eastAsia="宋体" w:cs="宋体"/>
          <w:spacing w:val="6"/>
          <w:sz w:val="27"/>
          <w:szCs w:val="27"/>
        </w:rPr>
        <w:t>可参照</w:t>
      </w:r>
      <w:r>
        <w:rPr>
          <w:rFonts w:ascii="Times New Roman" w:hAnsi="Times New Roman" w:eastAsia="Times New Roman" w:cs="Times New Roman"/>
          <w:sz w:val="27"/>
          <w:szCs w:val="27"/>
        </w:rPr>
        <w:t>GJB</w:t>
      </w:r>
      <w:r>
        <w:rPr>
          <w:rFonts w:ascii="Times New Roman" w:hAnsi="Times New Roman" w:eastAsia="Times New Roman" w:cs="Times New Roman"/>
          <w:spacing w:val="6"/>
          <w:sz w:val="27"/>
          <w:szCs w:val="27"/>
        </w:rPr>
        <w:t xml:space="preserve"> 3363—1998</w:t>
      </w:r>
      <w:r>
        <w:rPr>
          <w:rFonts w:ascii="宋体" w:hAnsi="宋体" w:eastAsia="宋体" w:cs="宋体"/>
          <w:spacing w:val="6"/>
          <w:sz w:val="27"/>
          <w:szCs w:val="27"/>
        </w:rPr>
        <w:t>《生产性分析》附录</w:t>
      </w:r>
      <w:r>
        <w:rPr>
          <w:rFonts w:ascii="Times New Roman" w:hAnsi="Times New Roman" w:eastAsia="Times New Roman" w:cs="Times New Roman"/>
          <w:spacing w:val="6"/>
          <w:sz w:val="27"/>
          <w:szCs w:val="27"/>
        </w:rPr>
        <w:t>A</w:t>
      </w:r>
      <w:r>
        <w:rPr>
          <w:rFonts w:ascii="Times New Roman" w:hAnsi="Times New Roman" w:eastAsia="Times New Roman" w:cs="Times New Roman"/>
          <w:spacing w:val="-10"/>
          <w:sz w:val="27"/>
          <w:szCs w:val="27"/>
        </w:rPr>
        <w:t xml:space="preserve"> </w:t>
      </w:r>
      <w:r>
        <w:rPr>
          <w:rFonts w:ascii="Times New Roman" w:hAnsi="Times New Roman" w:eastAsia="Times New Roman" w:cs="Times New Roman"/>
          <w:spacing w:val="6"/>
          <w:sz w:val="27"/>
          <w:szCs w:val="27"/>
        </w:rPr>
        <w:t>(</w:t>
      </w:r>
      <w:r>
        <w:rPr>
          <w:rFonts w:ascii="Times New Roman" w:hAnsi="Times New Roman" w:eastAsia="Times New Roman" w:cs="Times New Roman"/>
          <w:spacing w:val="-16"/>
          <w:sz w:val="27"/>
          <w:szCs w:val="27"/>
        </w:rPr>
        <w:t xml:space="preserve"> </w:t>
      </w:r>
      <w:r>
        <w:rPr>
          <w:rFonts w:ascii="宋体" w:hAnsi="宋体" w:eastAsia="宋体" w:cs="宋体"/>
          <w:spacing w:val="5"/>
          <w:sz w:val="27"/>
          <w:szCs w:val="27"/>
        </w:rPr>
        <w:t>参考件)列出的生产性分析细目</w:t>
      </w:r>
      <w:r>
        <w:rPr>
          <w:rFonts w:ascii="宋体" w:hAnsi="宋体" w:eastAsia="宋体" w:cs="宋体"/>
          <w:sz w:val="27"/>
          <w:szCs w:val="27"/>
        </w:rPr>
        <w:t xml:space="preserve"> </w:t>
      </w:r>
      <w:r>
        <w:rPr>
          <w:rFonts w:ascii="宋体" w:hAnsi="宋体" w:eastAsia="宋体" w:cs="宋体"/>
          <w:spacing w:val="-10"/>
          <w:sz w:val="27"/>
          <w:szCs w:val="27"/>
        </w:rPr>
        <w:t>进行，详细说明如下。</w:t>
      </w:r>
    </w:p>
    <w:p w14:paraId="4DC29D24">
      <w:pPr>
        <w:spacing w:before="7" w:line="222" w:lineRule="auto"/>
        <w:rPr>
          <w:rFonts w:ascii="黑体" w:hAnsi="黑体" w:eastAsia="黑体" w:cs="黑体"/>
          <w:sz w:val="27"/>
          <w:szCs w:val="27"/>
        </w:rPr>
      </w:pPr>
      <w:r>
        <w:rPr>
          <w:rFonts w:ascii="黑体" w:hAnsi="黑体" w:eastAsia="黑体" w:cs="黑体"/>
          <w:spacing w:val="5"/>
          <w:sz w:val="27"/>
          <w:szCs w:val="27"/>
        </w:rPr>
        <w:t>5.1  设计分析</w:t>
      </w:r>
    </w:p>
    <w:p w14:paraId="456678D0">
      <w:pPr>
        <w:spacing w:before="77"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a)</w:t>
      </w:r>
      <w:r>
        <w:rPr>
          <w:rFonts w:ascii="Times New Roman" w:hAnsi="Times New Roman" w:eastAsia="Times New Roman" w:cs="Times New Roman"/>
          <w:spacing w:val="63"/>
          <w:sz w:val="27"/>
          <w:szCs w:val="27"/>
        </w:rPr>
        <w:t xml:space="preserve"> </w:t>
      </w:r>
      <w:r>
        <w:rPr>
          <w:rFonts w:ascii="宋体" w:hAnsi="宋体" w:eastAsia="宋体" w:cs="宋体"/>
          <w:spacing w:val="6"/>
          <w:sz w:val="27"/>
          <w:szCs w:val="27"/>
        </w:rPr>
        <w:t>有没有考虑过备选设计方案?是否选择了最简单、最方便</w:t>
      </w:r>
      <w:r>
        <w:rPr>
          <w:rFonts w:ascii="宋体" w:hAnsi="宋体" w:eastAsia="宋体" w:cs="宋体"/>
          <w:spacing w:val="5"/>
          <w:sz w:val="27"/>
          <w:szCs w:val="27"/>
        </w:rPr>
        <w:t>的生产方案?</w:t>
      </w:r>
    </w:p>
    <w:p w14:paraId="3BA48745">
      <w:pPr>
        <w:spacing w:before="9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b)</w:t>
      </w:r>
      <w:r>
        <w:rPr>
          <w:rFonts w:ascii="Times New Roman" w:hAnsi="Times New Roman" w:eastAsia="Times New Roman" w:cs="Times New Roman"/>
          <w:spacing w:val="80"/>
          <w:sz w:val="27"/>
          <w:szCs w:val="27"/>
        </w:rPr>
        <w:t xml:space="preserve"> </w:t>
      </w:r>
      <w:r>
        <w:rPr>
          <w:rFonts w:ascii="宋体" w:hAnsi="宋体" w:eastAsia="宋体" w:cs="宋体"/>
          <w:spacing w:val="5"/>
          <w:sz w:val="27"/>
          <w:szCs w:val="27"/>
        </w:rPr>
        <w:t>这项设计是否超过目前制造技术水平?</w:t>
      </w:r>
    </w:p>
    <w:p w14:paraId="38ECCC0D">
      <w:pPr>
        <w:spacing w:before="8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65"/>
          <w:sz w:val="27"/>
          <w:szCs w:val="27"/>
        </w:rPr>
        <w:t xml:space="preserve"> </w:t>
      </w:r>
      <w:r>
        <w:rPr>
          <w:rFonts w:ascii="宋体" w:hAnsi="宋体" w:eastAsia="宋体" w:cs="宋体"/>
          <w:spacing w:val="5"/>
          <w:sz w:val="27"/>
          <w:szCs w:val="27"/>
        </w:rPr>
        <w:t>能否使用经济工艺方法?</w:t>
      </w:r>
    </w:p>
    <w:p w14:paraId="289D0247">
      <w:pPr>
        <w:spacing w:before="10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是否已有现成的设计?</w:t>
      </w:r>
    </w:p>
    <w:p w14:paraId="63D6C4EA">
      <w:pPr>
        <w:spacing w:before="10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e)</w:t>
      </w:r>
      <w:r>
        <w:rPr>
          <w:rFonts w:ascii="Times New Roman" w:hAnsi="Times New Roman" w:eastAsia="Times New Roman" w:cs="Times New Roman"/>
          <w:spacing w:val="73"/>
          <w:sz w:val="27"/>
          <w:szCs w:val="27"/>
        </w:rPr>
        <w:t xml:space="preserve"> </w:t>
      </w:r>
      <w:r>
        <w:rPr>
          <w:rFonts w:ascii="宋体" w:hAnsi="宋体" w:eastAsia="宋体" w:cs="宋体"/>
          <w:spacing w:val="-2"/>
          <w:sz w:val="27"/>
          <w:szCs w:val="27"/>
        </w:rPr>
        <w:t>是否规定使用专利产品、专利工艺?</w:t>
      </w:r>
    </w:p>
    <w:p w14:paraId="39082234">
      <w:pPr>
        <w:spacing w:before="12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f)  </w:t>
      </w:r>
      <w:r>
        <w:rPr>
          <w:rFonts w:ascii="宋体" w:hAnsi="宋体" w:eastAsia="宋体" w:cs="宋体"/>
          <w:spacing w:val="-1"/>
          <w:sz w:val="27"/>
          <w:szCs w:val="27"/>
        </w:rPr>
        <w:t>是偏于先进的，还是偏于保守的设计?</w:t>
      </w:r>
    </w:p>
    <w:p w14:paraId="3299AD7F">
      <w:pPr>
        <w:spacing w:before="89"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g</w:t>
      </w:r>
      <w:r>
        <w:rPr>
          <w:rFonts w:ascii="宋体" w:hAnsi="宋体" w:eastAsia="宋体" w:cs="宋体"/>
          <w:spacing w:val="5"/>
          <w:sz w:val="27"/>
          <w:szCs w:val="27"/>
        </w:rPr>
        <w:t>)</w:t>
      </w:r>
      <w:r>
        <w:rPr>
          <w:rFonts w:ascii="宋体" w:hAnsi="宋体" w:eastAsia="宋体" w:cs="宋体"/>
          <w:spacing w:val="-38"/>
          <w:sz w:val="27"/>
          <w:szCs w:val="27"/>
        </w:rPr>
        <w:t xml:space="preserve"> </w:t>
      </w:r>
      <w:r>
        <w:rPr>
          <w:rFonts w:ascii="宋体" w:hAnsi="宋体" w:eastAsia="宋体" w:cs="宋体"/>
          <w:spacing w:val="5"/>
          <w:sz w:val="27"/>
          <w:szCs w:val="27"/>
        </w:rPr>
        <w:t>如重新设计能否取消某些东西?</w:t>
      </w:r>
    </w:p>
    <w:p w14:paraId="2DD51CEF">
      <w:pPr>
        <w:spacing w:before="101"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h)</w:t>
      </w:r>
      <w:r>
        <w:rPr>
          <w:rFonts w:ascii="Times New Roman" w:hAnsi="Times New Roman" w:eastAsia="Times New Roman" w:cs="Times New Roman"/>
          <w:spacing w:val="6"/>
          <w:sz w:val="27"/>
          <w:szCs w:val="27"/>
        </w:rPr>
        <w:t xml:space="preserve">  </w:t>
      </w:r>
      <w:r>
        <w:rPr>
          <w:rFonts w:ascii="宋体" w:hAnsi="宋体" w:eastAsia="宋体" w:cs="宋体"/>
          <w:spacing w:val="5"/>
          <w:sz w:val="27"/>
          <w:szCs w:val="27"/>
        </w:rPr>
        <w:t>是否有多余运动或动力浪费?</w:t>
      </w:r>
    </w:p>
    <w:p w14:paraId="108412A0">
      <w:pPr>
        <w:spacing w:before="9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i)</w:t>
      </w:r>
      <w:r>
        <w:rPr>
          <w:rFonts w:ascii="Times New Roman" w:hAnsi="Times New Roman" w:eastAsia="Times New Roman" w:cs="Times New Roman"/>
          <w:spacing w:val="65"/>
          <w:sz w:val="27"/>
          <w:szCs w:val="27"/>
        </w:rPr>
        <w:t xml:space="preserve"> </w:t>
      </w:r>
      <w:r>
        <w:rPr>
          <w:rFonts w:ascii="宋体" w:hAnsi="宋体" w:eastAsia="宋体" w:cs="宋体"/>
          <w:spacing w:val="5"/>
          <w:sz w:val="27"/>
          <w:szCs w:val="27"/>
        </w:rPr>
        <w:t>这项设计能否进一步简化?</w:t>
      </w:r>
    </w:p>
    <w:p w14:paraId="577D1EEF">
      <w:pPr>
        <w:spacing w:before="109"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j)</w:t>
      </w:r>
      <w:r>
        <w:rPr>
          <w:rFonts w:ascii="Times New Roman" w:hAnsi="Times New Roman" w:eastAsia="Times New Roman" w:cs="Times New Roman"/>
          <w:spacing w:val="75"/>
          <w:sz w:val="27"/>
          <w:szCs w:val="27"/>
        </w:rPr>
        <w:t xml:space="preserve"> </w:t>
      </w:r>
      <w:r>
        <w:rPr>
          <w:rFonts w:ascii="宋体" w:hAnsi="宋体" w:eastAsia="宋体" w:cs="宋体"/>
          <w:spacing w:val="6"/>
          <w:sz w:val="27"/>
          <w:szCs w:val="27"/>
        </w:rPr>
        <w:t>能否使用较简单的制造工艺?</w:t>
      </w:r>
    </w:p>
    <w:p w14:paraId="4AD7223E">
      <w:pPr>
        <w:spacing w:before="10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k)  </w:t>
      </w:r>
      <w:r>
        <w:rPr>
          <w:rFonts w:ascii="宋体" w:hAnsi="宋体" w:eastAsia="宋体" w:cs="宋体"/>
          <w:spacing w:val="5"/>
          <w:sz w:val="27"/>
          <w:szCs w:val="27"/>
        </w:rPr>
        <w:t>能否将差别较小的几个零件改为同一个零件?</w:t>
      </w:r>
    </w:p>
    <w:p w14:paraId="6442D647">
      <w:pPr>
        <w:spacing w:before="121" w:line="219" w:lineRule="auto"/>
        <w:ind w:left="550"/>
        <w:rPr>
          <w:rFonts w:ascii="宋体" w:hAnsi="宋体" w:eastAsia="宋体" w:cs="宋体"/>
          <w:sz w:val="27"/>
          <w:szCs w:val="27"/>
        </w:rPr>
      </w:pPr>
      <w:r>
        <w:rPr>
          <w:rFonts w:ascii="宋体" w:hAnsi="宋体" w:eastAsia="宋体" w:cs="宋体"/>
          <w:spacing w:val="6"/>
          <w:sz w:val="27"/>
          <w:szCs w:val="27"/>
        </w:rPr>
        <w:t>1)能否较大程度地应用权衡方案?</w:t>
      </w:r>
    </w:p>
    <w:p w14:paraId="16503BC1">
      <w:pPr>
        <w:spacing w:before="59"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m)</w:t>
      </w:r>
      <w:r>
        <w:rPr>
          <w:rFonts w:ascii="Times New Roman" w:hAnsi="Times New Roman" w:eastAsia="Times New Roman" w:cs="Times New Roman"/>
          <w:spacing w:val="65"/>
          <w:sz w:val="27"/>
          <w:szCs w:val="27"/>
        </w:rPr>
        <w:t xml:space="preserve"> </w:t>
      </w:r>
      <w:r>
        <w:rPr>
          <w:rFonts w:ascii="宋体" w:hAnsi="宋体" w:eastAsia="宋体" w:cs="宋体"/>
          <w:spacing w:val="6"/>
          <w:sz w:val="27"/>
          <w:szCs w:val="27"/>
        </w:rPr>
        <w:t>有无较低成本的零件可以完成同样的功能?</w:t>
      </w:r>
    </w:p>
    <w:p w14:paraId="06E6BCEF">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n)  </w:t>
      </w:r>
      <w:r>
        <w:rPr>
          <w:rFonts w:ascii="宋体" w:hAnsi="宋体" w:eastAsia="宋体" w:cs="宋体"/>
          <w:spacing w:val="4"/>
          <w:sz w:val="27"/>
          <w:szCs w:val="27"/>
        </w:rPr>
        <w:t>可以使用其他装备设计的零件吗?</w:t>
      </w:r>
    </w:p>
    <w:p w14:paraId="794B416E">
      <w:pPr>
        <w:spacing w:before="131" w:line="219" w:lineRule="auto"/>
        <w:ind w:left="550"/>
        <w:rPr>
          <w:rFonts w:ascii="宋体" w:hAnsi="宋体" w:eastAsia="宋体" w:cs="宋体"/>
          <w:sz w:val="27"/>
          <w:szCs w:val="27"/>
        </w:rPr>
      </w:pPr>
      <w:r>
        <w:rPr>
          <w:rFonts w:ascii="Times New Roman" w:hAnsi="Times New Roman" w:eastAsia="Times New Roman" w:cs="Times New Roman"/>
          <w:spacing w:val="11"/>
          <w:sz w:val="27"/>
          <w:szCs w:val="27"/>
        </w:rPr>
        <w:t>o</w:t>
      </w:r>
      <w:r>
        <w:rPr>
          <w:rFonts w:ascii="Times New Roman" w:hAnsi="Times New Roman" w:eastAsia="Times New Roman" w:cs="Times New Roman"/>
          <w:spacing w:val="-29"/>
          <w:sz w:val="27"/>
          <w:szCs w:val="27"/>
        </w:rPr>
        <w:t xml:space="preserve"> </w:t>
      </w:r>
      <w:r>
        <w:rPr>
          <w:rFonts w:ascii="宋体" w:hAnsi="宋体" w:eastAsia="宋体" w:cs="宋体"/>
          <w:spacing w:val="11"/>
          <w:sz w:val="27"/>
          <w:szCs w:val="27"/>
        </w:rPr>
        <w:t>)能否减轻重量?</w:t>
      </w:r>
    </w:p>
    <w:p w14:paraId="1CE6FF21">
      <w:pPr>
        <w:spacing w:before="69" w:line="212" w:lineRule="auto"/>
        <w:ind w:left="550"/>
        <w:rPr>
          <w:rFonts w:ascii="宋体" w:hAnsi="宋体" w:eastAsia="宋体" w:cs="宋体"/>
          <w:sz w:val="27"/>
          <w:szCs w:val="27"/>
        </w:rPr>
      </w:pPr>
      <w:r>
        <w:rPr>
          <w:rFonts w:ascii="Times New Roman" w:hAnsi="Times New Roman" w:eastAsia="Times New Roman" w:cs="Times New Roman"/>
          <w:spacing w:val="10"/>
          <w:sz w:val="27"/>
          <w:szCs w:val="27"/>
        </w:rPr>
        <w:t>p</w:t>
      </w:r>
      <w:r>
        <w:rPr>
          <w:rFonts w:ascii="宋体" w:hAnsi="宋体" w:eastAsia="宋体" w:cs="宋体"/>
          <w:spacing w:val="10"/>
          <w:sz w:val="27"/>
          <w:szCs w:val="27"/>
        </w:rPr>
        <w:t>)是否有类似的而成本较低的设计?</w:t>
      </w:r>
    </w:p>
    <w:p w14:paraId="53297C0C">
      <w:pPr>
        <w:spacing w:before="10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q)  </w:t>
      </w:r>
      <w:r>
        <w:rPr>
          <w:rFonts w:ascii="宋体" w:hAnsi="宋体" w:eastAsia="宋体" w:cs="宋体"/>
          <w:spacing w:val="4"/>
          <w:sz w:val="27"/>
          <w:szCs w:val="27"/>
        </w:rPr>
        <w:t>能否使这项设计获得更多的功能?</w:t>
      </w:r>
    </w:p>
    <w:p w14:paraId="41B1DC5E">
      <w:pPr>
        <w:spacing w:before="10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r)  </w:t>
      </w:r>
      <w:r>
        <w:rPr>
          <w:rFonts w:ascii="宋体" w:hAnsi="宋体" w:eastAsia="宋体" w:cs="宋体"/>
          <w:spacing w:val="-1"/>
          <w:sz w:val="27"/>
          <w:szCs w:val="27"/>
        </w:rPr>
        <w:t>对设计和功能而言，质量保证措施是否适当?</w:t>
      </w:r>
    </w:p>
    <w:p w14:paraId="562DCE17">
      <w:pPr>
        <w:spacing w:line="212" w:lineRule="auto"/>
        <w:rPr>
          <w:rFonts w:ascii="宋体" w:hAnsi="宋体" w:eastAsia="宋体" w:cs="宋体"/>
          <w:sz w:val="27"/>
          <w:szCs w:val="27"/>
        </w:rPr>
        <w:sectPr>
          <w:footerReference r:id="rId87" w:type="default"/>
          <w:pgSz w:w="11910" w:h="17130"/>
          <w:pgMar w:top="400" w:right="904" w:bottom="1557" w:left="1529" w:header="0" w:footer="1341" w:gutter="0"/>
          <w:cols w:space="720" w:num="1"/>
        </w:sectPr>
      </w:pPr>
    </w:p>
    <w:p w14:paraId="719D0664">
      <w:pPr>
        <w:pStyle w:val="2"/>
        <w:spacing w:line="245" w:lineRule="auto"/>
      </w:pPr>
    </w:p>
    <w:p w14:paraId="160F87E3">
      <w:pPr>
        <w:pStyle w:val="2"/>
        <w:spacing w:line="245" w:lineRule="auto"/>
      </w:pPr>
    </w:p>
    <w:p w14:paraId="48C66B07">
      <w:pPr>
        <w:pStyle w:val="2"/>
        <w:spacing w:line="245" w:lineRule="auto"/>
      </w:pPr>
    </w:p>
    <w:p w14:paraId="4A244730">
      <w:pPr>
        <w:pStyle w:val="2"/>
        <w:spacing w:line="245" w:lineRule="auto"/>
      </w:pPr>
    </w:p>
    <w:p w14:paraId="2D67A93C">
      <w:pPr>
        <w:pStyle w:val="2"/>
        <w:spacing w:line="245" w:lineRule="auto"/>
      </w:pPr>
    </w:p>
    <w:p w14:paraId="32FC0B86">
      <w:pPr>
        <w:spacing w:before="88" w:line="222" w:lineRule="auto"/>
        <w:rPr>
          <w:rFonts w:ascii="黑体" w:hAnsi="黑体" w:eastAsia="黑体" w:cs="黑体"/>
          <w:sz w:val="27"/>
          <w:szCs w:val="27"/>
        </w:rPr>
      </w:pPr>
      <w:r>
        <w:rPr>
          <w:rFonts w:ascii="黑体" w:hAnsi="黑体" w:eastAsia="黑体" w:cs="黑体"/>
          <w:spacing w:val="4"/>
          <w:sz w:val="27"/>
          <w:szCs w:val="27"/>
        </w:rPr>
        <w:t>5.2  标准和规范分析</w:t>
      </w:r>
    </w:p>
    <w:p w14:paraId="70B3AF15">
      <w:pPr>
        <w:spacing w:before="64"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这项设计能否较大程度地标准化?</w:t>
      </w:r>
    </w:p>
    <w:p w14:paraId="2B6B7B9D">
      <w:pPr>
        <w:spacing w:before="111" w:line="212" w:lineRule="auto"/>
        <w:ind w:left="550"/>
        <w:rPr>
          <w:rFonts w:ascii="宋体" w:hAnsi="宋体" w:eastAsia="宋体" w:cs="宋体"/>
          <w:sz w:val="24"/>
          <w:szCs w:val="24"/>
        </w:rPr>
      </w:pPr>
      <w:r>
        <w:rPr>
          <w:rFonts w:ascii="Times New Roman" w:hAnsi="Times New Roman" w:eastAsia="Times New Roman" w:cs="Times New Roman"/>
          <w:spacing w:val="30"/>
          <w:sz w:val="24"/>
          <w:szCs w:val="24"/>
        </w:rPr>
        <w:t>b)</w:t>
      </w:r>
      <w:r>
        <w:rPr>
          <w:rFonts w:ascii="Times New Roman" w:hAnsi="Times New Roman" w:eastAsia="Times New Roman" w:cs="Times New Roman"/>
          <w:spacing w:val="30"/>
          <w:w w:val="101"/>
          <w:sz w:val="24"/>
          <w:szCs w:val="24"/>
        </w:rPr>
        <w:t xml:space="preserve">  </w:t>
      </w:r>
      <w:r>
        <w:rPr>
          <w:rFonts w:ascii="宋体" w:hAnsi="宋体" w:eastAsia="宋体" w:cs="宋体"/>
          <w:spacing w:val="30"/>
          <w:sz w:val="24"/>
          <w:szCs w:val="24"/>
        </w:rPr>
        <w:t>能否使用标准的切削工具?</w:t>
      </w:r>
    </w:p>
    <w:p w14:paraId="3081C962">
      <w:pPr>
        <w:spacing w:before="112"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c)  </w:t>
      </w:r>
      <w:r>
        <w:rPr>
          <w:rFonts w:ascii="宋体" w:hAnsi="宋体" w:eastAsia="宋体" w:cs="宋体"/>
          <w:spacing w:val="5"/>
          <w:sz w:val="27"/>
          <w:szCs w:val="27"/>
        </w:rPr>
        <w:t>能否找到标准件作为备选的制造产品?</w:t>
      </w:r>
    </w:p>
    <w:p w14:paraId="6D5EB173">
      <w:pPr>
        <w:spacing w:before="8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可以取消或放松某些规范要求吗?</w:t>
      </w:r>
    </w:p>
    <w:p w14:paraId="2DCA0CE5">
      <w:pPr>
        <w:spacing w:before="11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能否较大程度地使用标准的硬件?</w:t>
      </w:r>
    </w:p>
    <w:p w14:paraId="0E484EB6">
      <w:pPr>
        <w:spacing w:before="10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f)</w:t>
      </w:r>
      <w:r>
        <w:rPr>
          <w:rFonts w:ascii="Times New Roman" w:hAnsi="Times New Roman" w:eastAsia="Times New Roman" w:cs="Times New Roman"/>
          <w:spacing w:val="65"/>
          <w:sz w:val="27"/>
          <w:szCs w:val="27"/>
        </w:rPr>
        <w:t xml:space="preserve"> </w:t>
      </w:r>
      <w:r>
        <w:rPr>
          <w:rFonts w:ascii="宋体" w:hAnsi="宋体" w:eastAsia="宋体" w:cs="宋体"/>
          <w:spacing w:val="5"/>
          <w:sz w:val="27"/>
          <w:szCs w:val="27"/>
        </w:rPr>
        <w:t>能否较大程度地使用标准的量具?</w:t>
      </w:r>
    </w:p>
    <w:p w14:paraId="093C6321">
      <w:pPr>
        <w:spacing w:before="132" w:line="212" w:lineRule="auto"/>
        <w:ind w:left="550"/>
        <w:rPr>
          <w:rFonts w:ascii="宋体" w:hAnsi="宋体" w:eastAsia="宋体" w:cs="宋体"/>
          <w:sz w:val="24"/>
          <w:szCs w:val="24"/>
        </w:rPr>
      </w:pPr>
      <w:r>
        <w:rPr>
          <w:rFonts w:ascii="Times New Roman" w:hAnsi="Times New Roman" w:eastAsia="Times New Roman" w:cs="Times New Roman"/>
          <w:spacing w:val="28"/>
          <w:sz w:val="24"/>
          <w:szCs w:val="24"/>
        </w:rPr>
        <w:t>g</w:t>
      </w:r>
      <w:r>
        <w:rPr>
          <w:rFonts w:ascii="Times New Roman" w:hAnsi="Times New Roman" w:eastAsia="Times New Roman" w:cs="Times New Roman"/>
          <w:spacing w:val="-4"/>
          <w:sz w:val="24"/>
          <w:szCs w:val="24"/>
        </w:rPr>
        <w:t xml:space="preserve"> </w:t>
      </w:r>
      <w:r>
        <w:rPr>
          <w:rFonts w:ascii="宋体" w:hAnsi="宋体" w:eastAsia="宋体" w:cs="宋体"/>
          <w:spacing w:val="28"/>
          <w:sz w:val="24"/>
          <w:szCs w:val="24"/>
        </w:rPr>
        <w:t>)</w:t>
      </w:r>
      <w:r>
        <w:rPr>
          <w:rFonts w:ascii="宋体" w:hAnsi="宋体" w:eastAsia="宋体" w:cs="宋体"/>
          <w:spacing w:val="-29"/>
          <w:sz w:val="24"/>
          <w:szCs w:val="24"/>
        </w:rPr>
        <w:t xml:space="preserve"> </w:t>
      </w:r>
      <w:r>
        <w:rPr>
          <w:rFonts w:ascii="宋体" w:hAnsi="宋体" w:eastAsia="宋体" w:cs="宋体"/>
          <w:spacing w:val="28"/>
          <w:sz w:val="24"/>
          <w:szCs w:val="24"/>
        </w:rPr>
        <w:t>是否使用了非标准螺纹?</w:t>
      </w:r>
    </w:p>
    <w:p w14:paraId="5AAB723D">
      <w:pPr>
        <w:spacing w:before="114" w:line="212" w:lineRule="auto"/>
        <w:ind w:left="550"/>
        <w:rPr>
          <w:rFonts w:ascii="宋体" w:hAnsi="宋体" w:eastAsia="宋体" w:cs="宋体"/>
          <w:sz w:val="25"/>
          <w:szCs w:val="25"/>
        </w:rPr>
      </w:pPr>
      <w:r>
        <w:rPr>
          <w:rFonts w:ascii="Times New Roman" w:hAnsi="Times New Roman" w:eastAsia="Times New Roman" w:cs="Times New Roman"/>
          <w:spacing w:val="21"/>
          <w:sz w:val="25"/>
          <w:szCs w:val="25"/>
        </w:rPr>
        <w:t xml:space="preserve">h)  </w:t>
      </w:r>
      <w:r>
        <w:rPr>
          <w:rFonts w:ascii="宋体" w:hAnsi="宋体" w:eastAsia="宋体" w:cs="宋体"/>
          <w:spacing w:val="21"/>
          <w:sz w:val="25"/>
          <w:szCs w:val="25"/>
        </w:rPr>
        <w:t>能否较大程度地使用库存产品?</w:t>
      </w:r>
    </w:p>
    <w:p w14:paraId="75D2B53D">
      <w:pPr>
        <w:spacing w:before="91"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i)</w:t>
      </w:r>
      <w:r>
        <w:rPr>
          <w:rFonts w:ascii="Times New Roman" w:hAnsi="Times New Roman" w:eastAsia="Times New Roman" w:cs="Times New Roman"/>
          <w:spacing w:val="60"/>
          <w:sz w:val="27"/>
          <w:szCs w:val="27"/>
        </w:rPr>
        <w:t xml:space="preserve"> </w:t>
      </w:r>
      <w:r>
        <w:rPr>
          <w:rFonts w:ascii="宋体" w:hAnsi="宋体" w:eastAsia="宋体" w:cs="宋体"/>
          <w:spacing w:val="5"/>
          <w:sz w:val="27"/>
          <w:szCs w:val="27"/>
        </w:rPr>
        <w:t>包装规范能否放宽?</w:t>
      </w:r>
    </w:p>
    <w:p w14:paraId="2920E8AB">
      <w:pPr>
        <w:spacing w:before="142" w:line="212" w:lineRule="auto"/>
        <w:ind w:left="550"/>
        <w:rPr>
          <w:rFonts w:ascii="宋体" w:hAnsi="宋体" w:eastAsia="宋体" w:cs="宋体"/>
          <w:sz w:val="24"/>
          <w:szCs w:val="24"/>
        </w:rPr>
      </w:pPr>
      <w:r>
        <w:rPr>
          <w:rFonts w:ascii="Times New Roman" w:hAnsi="Times New Roman" w:eastAsia="Times New Roman" w:cs="Times New Roman"/>
          <w:spacing w:val="26"/>
          <w:sz w:val="24"/>
          <w:szCs w:val="24"/>
        </w:rPr>
        <w:t>j)</w:t>
      </w:r>
      <w:r>
        <w:rPr>
          <w:rFonts w:ascii="Times New Roman" w:hAnsi="Times New Roman" w:eastAsia="Times New Roman" w:cs="Times New Roman"/>
          <w:spacing w:val="5"/>
          <w:sz w:val="24"/>
          <w:szCs w:val="24"/>
        </w:rPr>
        <w:t xml:space="preserve">  </w:t>
      </w:r>
      <w:r>
        <w:rPr>
          <w:rFonts w:ascii="宋体" w:hAnsi="宋体" w:eastAsia="宋体" w:cs="宋体"/>
          <w:spacing w:val="26"/>
          <w:sz w:val="24"/>
          <w:szCs w:val="24"/>
        </w:rPr>
        <w:t>标准、规范与计划的产品环境相符吗?</w:t>
      </w:r>
    </w:p>
    <w:p w14:paraId="4F413C7B">
      <w:pPr>
        <w:pStyle w:val="2"/>
        <w:spacing w:before="74" w:line="368" w:lineRule="exact"/>
        <w:rPr>
          <w:rFonts w:ascii="黑体" w:hAnsi="黑体" w:eastAsia="黑体" w:cs="黑体"/>
          <w:sz w:val="27"/>
          <w:szCs w:val="27"/>
        </w:rPr>
      </w:pPr>
      <w:r>
        <w:rPr>
          <w:spacing w:val="1"/>
          <w:position w:val="1"/>
          <w:sz w:val="27"/>
          <w:szCs w:val="27"/>
        </w:rPr>
        <w:t>5.3</w:t>
      </w:r>
      <w:r>
        <w:rPr>
          <w:spacing w:val="9"/>
          <w:position w:val="1"/>
          <w:sz w:val="27"/>
          <w:szCs w:val="27"/>
        </w:rPr>
        <w:t xml:space="preserve">    </w:t>
      </w:r>
      <w:r>
        <w:rPr>
          <w:rFonts w:ascii="黑体" w:hAnsi="黑体" w:eastAsia="黑体" w:cs="黑体"/>
          <w:spacing w:val="1"/>
          <w:position w:val="1"/>
          <w:sz w:val="27"/>
          <w:szCs w:val="27"/>
        </w:rPr>
        <w:t>图样分析</w:t>
      </w:r>
    </w:p>
    <w:p w14:paraId="0685D88D">
      <w:pPr>
        <w:spacing w:before="80" w:line="219" w:lineRule="auto"/>
        <w:ind w:left="550"/>
        <w:rPr>
          <w:rFonts w:ascii="宋体" w:hAnsi="宋体" w:eastAsia="宋体" w:cs="宋体"/>
          <w:sz w:val="27"/>
          <w:szCs w:val="27"/>
        </w:rPr>
      </w:pPr>
      <w:r>
        <w:rPr>
          <w:rFonts w:ascii="Times New Roman" w:hAnsi="Times New Roman" w:eastAsia="Times New Roman" w:cs="Times New Roman"/>
          <w:spacing w:val="-7"/>
          <w:sz w:val="27"/>
          <w:szCs w:val="27"/>
        </w:rPr>
        <w:t>a</w:t>
      </w:r>
      <w:r>
        <w:rPr>
          <w:rFonts w:ascii="Times New Roman" w:hAnsi="Times New Roman" w:eastAsia="Times New Roman" w:cs="Times New Roman"/>
          <w:spacing w:val="-14"/>
          <w:sz w:val="27"/>
          <w:szCs w:val="27"/>
        </w:rPr>
        <w:t xml:space="preserve"> </w:t>
      </w:r>
      <w:r>
        <w:rPr>
          <w:rFonts w:ascii="宋体" w:hAnsi="宋体" w:eastAsia="宋体" w:cs="宋体"/>
          <w:spacing w:val="-7"/>
          <w:sz w:val="27"/>
          <w:szCs w:val="27"/>
        </w:rPr>
        <w:t>)</w:t>
      </w:r>
      <w:r>
        <w:rPr>
          <w:rFonts w:ascii="宋体" w:hAnsi="宋体" w:eastAsia="宋体" w:cs="宋体"/>
          <w:spacing w:val="-38"/>
          <w:sz w:val="27"/>
          <w:szCs w:val="27"/>
        </w:rPr>
        <w:t xml:space="preserve"> </w:t>
      </w:r>
      <w:r>
        <w:rPr>
          <w:rFonts w:ascii="宋体" w:hAnsi="宋体" w:eastAsia="宋体" w:cs="宋体"/>
          <w:spacing w:val="-7"/>
          <w:sz w:val="27"/>
          <w:szCs w:val="27"/>
        </w:rPr>
        <w:t>图样上尺寸是否适当、完整?</w:t>
      </w:r>
    </w:p>
    <w:p w14:paraId="07028C35">
      <w:pPr>
        <w:spacing w:before="71"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b)  </w:t>
      </w:r>
      <w:r>
        <w:rPr>
          <w:rFonts w:ascii="宋体" w:hAnsi="宋体" w:eastAsia="宋体" w:cs="宋体"/>
          <w:spacing w:val="-5"/>
          <w:sz w:val="27"/>
          <w:szCs w:val="27"/>
        </w:rPr>
        <w:t>公差是否现实、可生产，是否比功能</w:t>
      </w:r>
      <w:r>
        <w:rPr>
          <w:rFonts w:ascii="宋体" w:hAnsi="宋体" w:eastAsia="宋体" w:cs="宋体"/>
          <w:spacing w:val="-6"/>
          <w:sz w:val="27"/>
          <w:szCs w:val="27"/>
        </w:rPr>
        <w:t>要求严格?</w:t>
      </w:r>
    </w:p>
    <w:p w14:paraId="2193CEDF">
      <w:pPr>
        <w:spacing w:before="89"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c)</w:t>
      </w:r>
      <w:r>
        <w:rPr>
          <w:rFonts w:ascii="Times New Roman" w:hAnsi="Times New Roman" w:eastAsia="Times New Roman" w:cs="Times New Roman"/>
          <w:spacing w:val="64"/>
          <w:sz w:val="27"/>
          <w:szCs w:val="27"/>
        </w:rPr>
        <w:t xml:space="preserve"> </w:t>
      </w:r>
      <w:r>
        <w:rPr>
          <w:rFonts w:ascii="宋体" w:hAnsi="宋体" w:eastAsia="宋体" w:cs="宋体"/>
          <w:spacing w:val="6"/>
          <w:sz w:val="27"/>
          <w:szCs w:val="27"/>
        </w:rPr>
        <w:t>公差是否与多种制造工艺相符?</w:t>
      </w:r>
    </w:p>
    <w:p w14:paraId="4A486261">
      <w:pPr>
        <w:spacing w:before="11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表面粗糙度是否可以达到，是否比功能要求严格?</w:t>
      </w:r>
    </w:p>
    <w:p w14:paraId="5F952E02">
      <w:pPr>
        <w:spacing w:before="101" w:line="253" w:lineRule="auto"/>
        <w:ind w:firstLine="550"/>
        <w:rPr>
          <w:rFonts w:ascii="宋体" w:hAnsi="宋体" w:eastAsia="宋体" w:cs="宋体"/>
          <w:sz w:val="27"/>
          <w:szCs w:val="27"/>
        </w:rPr>
      </w:pPr>
      <w:r>
        <w:rPr>
          <w:rFonts w:ascii="Times New Roman" w:hAnsi="Times New Roman" w:eastAsia="Times New Roman" w:cs="Times New Roman"/>
          <w:spacing w:val="-18"/>
          <w:sz w:val="27"/>
          <w:szCs w:val="27"/>
        </w:rPr>
        <w:t xml:space="preserve">e)  </w:t>
      </w:r>
      <w:r>
        <w:rPr>
          <w:rFonts w:ascii="宋体" w:hAnsi="宋体" w:eastAsia="宋体" w:cs="宋体"/>
          <w:spacing w:val="-18"/>
          <w:sz w:val="27"/>
          <w:szCs w:val="27"/>
        </w:rPr>
        <w:t>零件的结构要素，如圆弧、圆角、倒角、弯曲半径、下陷、螺</w:t>
      </w:r>
      <w:r>
        <w:rPr>
          <w:rFonts w:ascii="宋体" w:hAnsi="宋体" w:eastAsia="宋体" w:cs="宋体"/>
          <w:spacing w:val="-19"/>
          <w:sz w:val="27"/>
          <w:szCs w:val="27"/>
        </w:rPr>
        <w:t>距、齿距、紧固</w:t>
      </w:r>
      <w:r>
        <w:rPr>
          <w:rFonts w:ascii="宋体" w:hAnsi="宋体" w:eastAsia="宋体" w:cs="宋体"/>
          <w:sz w:val="27"/>
          <w:szCs w:val="27"/>
        </w:rPr>
        <w:t xml:space="preserve"> </w:t>
      </w:r>
      <w:r>
        <w:rPr>
          <w:rFonts w:ascii="宋体" w:hAnsi="宋体" w:eastAsia="宋体" w:cs="宋体"/>
          <w:spacing w:val="-16"/>
          <w:sz w:val="27"/>
          <w:szCs w:val="27"/>
        </w:rPr>
        <w:t>件孔径、切削半径与锪窝等，是否标准化、典型化、规范化、通用化?</w:t>
      </w:r>
    </w:p>
    <w:p w14:paraId="5672D6DA">
      <w:pPr>
        <w:spacing w:before="81" w:line="212" w:lineRule="auto"/>
        <w:ind w:left="550"/>
        <w:rPr>
          <w:rFonts w:ascii="宋体" w:hAnsi="宋体" w:eastAsia="宋体" w:cs="宋体"/>
          <w:sz w:val="24"/>
          <w:szCs w:val="24"/>
        </w:rPr>
      </w:pPr>
      <w:r>
        <w:rPr>
          <w:rFonts w:ascii="Times New Roman" w:hAnsi="Times New Roman" w:eastAsia="Times New Roman" w:cs="Times New Roman"/>
          <w:spacing w:val="15"/>
          <w:sz w:val="24"/>
          <w:szCs w:val="24"/>
        </w:rPr>
        <w:t>f)</w:t>
      </w:r>
      <w:r>
        <w:rPr>
          <w:rFonts w:ascii="Times New Roman" w:hAnsi="Times New Roman" w:eastAsia="Times New Roman" w:cs="Times New Roman"/>
          <w:spacing w:val="33"/>
          <w:sz w:val="24"/>
          <w:szCs w:val="24"/>
        </w:rPr>
        <w:t xml:space="preserve">  </w:t>
      </w:r>
      <w:r>
        <w:rPr>
          <w:rFonts w:ascii="宋体" w:hAnsi="宋体" w:eastAsia="宋体" w:cs="宋体"/>
          <w:spacing w:val="15"/>
          <w:sz w:val="24"/>
          <w:szCs w:val="24"/>
        </w:rPr>
        <w:t>螺栓、螺母、螺钉、铆钉的拧紧力矩要求是否合适?</w:t>
      </w:r>
    </w:p>
    <w:p w14:paraId="26C9FDF2">
      <w:pPr>
        <w:spacing w:before="132" w:line="212" w:lineRule="auto"/>
        <w:ind w:left="550"/>
        <w:rPr>
          <w:rFonts w:ascii="宋体" w:hAnsi="宋体" w:eastAsia="宋体" w:cs="宋体"/>
          <w:sz w:val="27"/>
          <w:szCs w:val="27"/>
        </w:rPr>
      </w:pPr>
      <w:r>
        <w:rPr>
          <w:rFonts w:ascii="Times New Roman" w:hAnsi="Times New Roman" w:eastAsia="Times New Roman" w:cs="Times New Roman"/>
          <w:spacing w:val="-7"/>
          <w:sz w:val="27"/>
          <w:szCs w:val="27"/>
        </w:rPr>
        <w:t xml:space="preserve">g)  </w:t>
      </w:r>
      <w:r>
        <w:rPr>
          <w:rFonts w:ascii="宋体" w:hAnsi="宋体" w:eastAsia="宋体" w:cs="宋体"/>
          <w:spacing w:val="-7"/>
          <w:sz w:val="27"/>
          <w:szCs w:val="27"/>
        </w:rPr>
        <w:t>布线间隙、工具间隙、构件间隙、连接接头间隙是否符</w:t>
      </w:r>
      <w:r>
        <w:rPr>
          <w:rFonts w:ascii="宋体" w:hAnsi="宋体" w:eastAsia="宋体" w:cs="宋体"/>
          <w:spacing w:val="-8"/>
          <w:sz w:val="27"/>
          <w:szCs w:val="27"/>
        </w:rPr>
        <w:t>合要求?</w:t>
      </w:r>
    </w:p>
    <w:p w14:paraId="7B8AC845">
      <w:pPr>
        <w:spacing w:before="71"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h)  </w:t>
      </w:r>
      <w:r>
        <w:rPr>
          <w:rFonts w:ascii="宋体" w:hAnsi="宋体" w:eastAsia="宋体" w:cs="宋体"/>
          <w:spacing w:val="5"/>
          <w:sz w:val="27"/>
          <w:szCs w:val="27"/>
        </w:rPr>
        <w:t>是否正确地引用所有必需的规范?</w:t>
      </w:r>
    </w:p>
    <w:p w14:paraId="0604B77F">
      <w:pPr>
        <w:spacing w:before="111" w:line="262" w:lineRule="auto"/>
        <w:ind w:right="5" w:firstLine="550"/>
        <w:rPr>
          <w:rFonts w:ascii="宋体" w:hAnsi="宋体" w:eastAsia="宋体" w:cs="宋体"/>
          <w:sz w:val="27"/>
          <w:szCs w:val="27"/>
        </w:rPr>
      </w:pPr>
      <w:r>
        <w:rPr>
          <w:rFonts w:ascii="Times New Roman" w:hAnsi="Times New Roman" w:eastAsia="Times New Roman" w:cs="Times New Roman"/>
          <w:spacing w:val="-3"/>
          <w:sz w:val="27"/>
          <w:szCs w:val="27"/>
        </w:rPr>
        <w:t>i)</w:t>
      </w:r>
      <w:r>
        <w:rPr>
          <w:rFonts w:ascii="Times New Roman" w:hAnsi="Times New Roman" w:eastAsia="Times New Roman" w:cs="Times New Roman"/>
          <w:spacing w:val="58"/>
          <w:sz w:val="27"/>
          <w:szCs w:val="27"/>
        </w:rPr>
        <w:t xml:space="preserve"> </w:t>
      </w:r>
      <w:r>
        <w:rPr>
          <w:rFonts w:ascii="宋体" w:hAnsi="宋体" w:eastAsia="宋体" w:cs="宋体"/>
          <w:spacing w:val="-3"/>
          <w:sz w:val="27"/>
          <w:szCs w:val="27"/>
        </w:rPr>
        <w:t>胶粘剂、密封剂、复合材料、树脂、油漆、塑料、橡胶等非金属材料是否</w:t>
      </w:r>
      <w:r>
        <w:rPr>
          <w:rFonts w:ascii="宋体" w:hAnsi="宋体" w:eastAsia="宋体" w:cs="宋体"/>
          <w:sz w:val="27"/>
          <w:szCs w:val="27"/>
        </w:rPr>
        <w:t xml:space="preserve"> </w:t>
      </w:r>
      <w:r>
        <w:rPr>
          <w:rFonts w:ascii="宋体" w:hAnsi="宋体" w:eastAsia="宋体" w:cs="宋体"/>
          <w:spacing w:val="-3"/>
          <w:sz w:val="27"/>
          <w:szCs w:val="27"/>
        </w:rPr>
        <w:t>适当?</w:t>
      </w:r>
    </w:p>
    <w:p w14:paraId="33AA9C06">
      <w:pPr>
        <w:spacing w:before="62"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j)</w:t>
      </w:r>
      <w:r>
        <w:rPr>
          <w:rFonts w:ascii="Times New Roman" w:hAnsi="Times New Roman" w:eastAsia="Times New Roman" w:cs="Times New Roman"/>
          <w:spacing w:val="73"/>
          <w:sz w:val="27"/>
          <w:szCs w:val="27"/>
        </w:rPr>
        <w:t xml:space="preserve"> </w:t>
      </w:r>
      <w:r>
        <w:rPr>
          <w:rFonts w:ascii="宋体" w:hAnsi="宋体" w:eastAsia="宋体" w:cs="宋体"/>
          <w:spacing w:val="6"/>
          <w:sz w:val="27"/>
          <w:szCs w:val="27"/>
        </w:rPr>
        <w:t>是否有防止电化腐蚀和腐蚀流体聚集的措施?</w:t>
      </w:r>
    </w:p>
    <w:p w14:paraId="5E5CC1F2">
      <w:pPr>
        <w:spacing w:before="122" w:line="212" w:lineRule="auto"/>
        <w:ind w:left="550"/>
        <w:rPr>
          <w:rFonts w:ascii="宋体" w:hAnsi="宋体" w:eastAsia="宋体" w:cs="宋体"/>
          <w:sz w:val="25"/>
          <w:szCs w:val="25"/>
        </w:rPr>
      </w:pPr>
      <w:r>
        <w:rPr>
          <w:rFonts w:ascii="Times New Roman" w:hAnsi="Times New Roman" w:eastAsia="Times New Roman" w:cs="Times New Roman"/>
          <w:spacing w:val="22"/>
          <w:sz w:val="25"/>
          <w:szCs w:val="25"/>
        </w:rPr>
        <w:t xml:space="preserve">k)  </w:t>
      </w:r>
      <w:r>
        <w:rPr>
          <w:rFonts w:ascii="宋体" w:hAnsi="宋体" w:eastAsia="宋体" w:cs="宋体"/>
          <w:spacing w:val="22"/>
          <w:sz w:val="25"/>
          <w:szCs w:val="25"/>
        </w:rPr>
        <w:t>焊缝是否最少，容易接近?焊缝符号是否正确?</w:t>
      </w:r>
    </w:p>
    <w:p w14:paraId="0BABA416">
      <w:pPr>
        <w:spacing w:before="130" w:line="219" w:lineRule="auto"/>
        <w:ind w:left="550"/>
        <w:rPr>
          <w:rFonts w:ascii="宋体" w:hAnsi="宋体" w:eastAsia="宋体" w:cs="宋体"/>
          <w:sz w:val="27"/>
          <w:szCs w:val="27"/>
        </w:rPr>
      </w:pPr>
      <w:r>
        <w:rPr>
          <w:rFonts w:ascii="宋体" w:hAnsi="宋体" w:eastAsia="宋体" w:cs="宋体"/>
          <w:spacing w:val="-2"/>
          <w:sz w:val="27"/>
          <w:szCs w:val="27"/>
        </w:rPr>
        <w:t>1)对造成氢脆、应力腐蚀等设计问题或类</w:t>
      </w:r>
      <w:r>
        <w:rPr>
          <w:rFonts w:ascii="宋体" w:hAnsi="宋体" w:eastAsia="宋体" w:cs="宋体"/>
          <w:spacing w:val="-3"/>
          <w:sz w:val="27"/>
          <w:szCs w:val="27"/>
        </w:rPr>
        <w:t>似情况，是否可以避免?</w:t>
      </w:r>
    </w:p>
    <w:p w14:paraId="4EE9D67B">
      <w:pPr>
        <w:spacing w:before="51"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m)  </w:t>
      </w:r>
      <w:r>
        <w:rPr>
          <w:rFonts w:ascii="宋体" w:hAnsi="宋体" w:eastAsia="宋体" w:cs="宋体"/>
          <w:spacing w:val="5"/>
          <w:sz w:val="27"/>
          <w:szCs w:val="27"/>
        </w:rPr>
        <w:t>润滑液是否合适?</w:t>
      </w:r>
    </w:p>
    <w:p w14:paraId="6B0398B5">
      <w:pPr>
        <w:spacing w:before="11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n)  </w:t>
      </w:r>
      <w:r>
        <w:rPr>
          <w:rFonts w:ascii="宋体" w:hAnsi="宋体" w:eastAsia="宋体" w:cs="宋体"/>
          <w:spacing w:val="5"/>
          <w:sz w:val="27"/>
          <w:szCs w:val="27"/>
        </w:rPr>
        <w:t>污染控制是否合适?</w:t>
      </w:r>
    </w:p>
    <w:p w14:paraId="34DDD73B">
      <w:pPr>
        <w:spacing w:before="100" w:line="212" w:lineRule="auto"/>
        <w:ind w:left="550"/>
        <w:rPr>
          <w:rFonts w:ascii="宋体" w:hAnsi="宋体" w:eastAsia="宋体" w:cs="宋体"/>
          <w:sz w:val="27"/>
          <w:szCs w:val="27"/>
        </w:rPr>
      </w:pPr>
      <w:r>
        <w:rPr>
          <w:rFonts w:ascii="Times New Roman" w:hAnsi="Times New Roman" w:eastAsia="Times New Roman" w:cs="Times New Roman"/>
          <w:spacing w:val="10"/>
          <w:sz w:val="27"/>
          <w:szCs w:val="27"/>
        </w:rPr>
        <w:t xml:space="preserve">o)  </w:t>
      </w:r>
      <w:r>
        <w:rPr>
          <w:rFonts w:ascii="宋体" w:hAnsi="宋体" w:eastAsia="宋体" w:cs="宋体"/>
          <w:spacing w:val="10"/>
          <w:sz w:val="27"/>
          <w:szCs w:val="27"/>
        </w:rPr>
        <w:t>有寿命限制的材料是否已经标识?它们可以无困难地更换吗?</w:t>
      </w:r>
    </w:p>
    <w:p w14:paraId="0EB64243">
      <w:pPr>
        <w:spacing w:before="101" w:line="253" w:lineRule="auto"/>
        <w:ind w:right="14" w:firstLine="550"/>
        <w:rPr>
          <w:rFonts w:ascii="宋体" w:hAnsi="宋体" w:eastAsia="宋体" w:cs="宋体"/>
          <w:sz w:val="27"/>
          <w:szCs w:val="27"/>
        </w:rPr>
      </w:pPr>
      <w:r>
        <w:rPr>
          <w:rFonts w:ascii="Times New Roman" w:hAnsi="Times New Roman" w:eastAsia="Times New Roman" w:cs="Times New Roman"/>
          <w:spacing w:val="15"/>
          <w:sz w:val="27"/>
          <w:szCs w:val="27"/>
        </w:rPr>
        <w:t>p)</w:t>
      </w:r>
      <w:r>
        <w:rPr>
          <w:rFonts w:ascii="Times New Roman" w:hAnsi="Times New Roman" w:eastAsia="Times New Roman" w:cs="Times New Roman"/>
          <w:spacing w:val="82"/>
          <w:sz w:val="27"/>
          <w:szCs w:val="27"/>
        </w:rPr>
        <w:t xml:space="preserve"> </w:t>
      </w:r>
      <w:r>
        <w:rPr>
          <w:rFonts w:ascii="宋体" w:hAnsi="宋体" w:eastAsia="宋体" w:cs="宋体"/>
          <w:spacing w:val="15"/>
          <w:sz w:val="27"/>
          <w:szCs w:val="27"/>
        </w:rPr>
        <w:t>是否有防无线电频率干扰的屏蔽措施?是否提供了电的和静电的连接</w:t>
      </w:r>
      <w:r>
        <w:rPr>
          <w:rFonts w:ascii="宋体" w:hAnsi="宋体" w:eastAsia="宋体" w:cs="宋体"/>
          <w:sz w:val="27"/>
          <w:szCs w:val="27"/>
        </w:rPr>
        <w:t xml:space="preserve"> </w:t>
      </w:r>
      <w:r>
        <w:rPr>
          <w:rFonts w:ascii="宋体" w:hAnsi="宋体" w:eastAsia="宋体" w:cs="宋体"/>
          <w:spacing w:val="-3"/>
          <w:sz w:val="27"/>
          <w:szCs w:val="27"/>
        </w:rPr>
        <w:t>通路?</w:t>
      </w:r>
    </w:p>
    <w:p w14:paraId="5353462C">
      <w:pPr>
        <w:spacing w:before="7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q</w:t>
      </w:r>
      <w:r>
        <w:rPr>
          <w:rFonts w:ascii="宋体" w:hAnsi="宋体" w:eastAsia="宋体" w:cs="宋体"/>
          <w:spacing w:val="-4"/>
          <w:sz w:val="27"/>
          <w:szCs w:val="27"/>
        </w:rPr>
        <w:t>)</w:t>
      </w:r>
      <w:r>
        <w:rPr>
          <w:rFonts w:ascii="宋体" w:hAnsi="宋体" w:eastAsia="宋体" w:cs="宋体"/>
          <w:spacing w:val="-40"/>
          <w:sz w:val="27"/>
          <w:szCs w:val="27"/>
        </w:rPr>
        <w:t xml:space="preserve"> </w:t>
      </w:r>
      <w:r>
        <w:rPr>
          <w:rFonts w:ascii="宋体" w:hAnsi="宋体" w:eastAsia="宋体" w:cs="宋体"/>
          <w:spacing w:val="-4"/>
          <w:sz w:val="27"/>
          <w:szCs w:val="27"/>
        </w:rPr>
        <w:t>是否有备用的插头、接头?</w:t>
      </w:r>
    </w:p>
    <w:p w14:paraId="7F77D1E5">
      <w:pPr>
        <w:spacing w:before="98" w:line="251" w:lineRule="auto"/>
        <w:ind w:right="11" w:firstLine="550"/>
        <w:rPr>
          <w:rFonts w:ascii="宋体" w:hAnsi="宋体" w:eastAsia="宋体" w:cs="宋体"/>
          <w:sz w:val="27"/>
          <w:szCs w:val="27"/>
        </w:rPr>
      </w:pPr>
      <w:r>
        <w:rPr>
          <w:rFonts w:ascii="Times New Roman" w:hAnsi="Times New Roman" w:eastAsia="Times New Roman" w:cs="Times New Roman"/>
          <w:spacing w:val="6"/>
          <w:sz w:val="27"/>
          <w:szCs w:val="27"/>
        </w:rPr>
        <w:t xml:space="preserve">r) </w:t>
      </w:r>
      <w:r>
        <w:rPr>
          <w:rFonts w:ascii="宋体" w:hAnsi="宋体" w:eastAsia="宋体" w:cs="宋体"/>
          <w:spacing w:val="6"/>
          <w:sz w:val="27"/>
          <w:szCs w:val="27"/>
        </w:rPr>
        <w:t>图样上是否已适当地标识出最大载荷、压力、热、彩色标记、功率及危</w:t>
      </w:r>
      <w:r>
        <w:rPr>
          <w:rFonts w:ascii="宋体" w:hAnsi="宋体" w:eastAsia="宋体" w:cs="宋体"/>
          <w:spacing w:val="1"/>
          <w:sz w:val="27"/>
          <w:szCs w:val="27"/>
        </w:rPr>
        <w:t xml:space="preserve"> </w:t>
      </w:r>
      <w:r>
        <w:rPr>
          <w:rFonts w:ascii="宋体" w:hAnsi="宋体" w:eastAsia="宋体" w:cs="宋体"/>
          <w:spacing w:val="-5"/>
          <w:sz w:val="27"/>
          <w:szCs w:val="27"/>
        </w:rPr>
        <w:t>害性?</w:t>
      </w:r>
    </w:p>
    <w:p w14:paraId="2D2CE94B">
      <w:pPr>
        <w:spacing w:line="251" w:lineRule="auto"/>
        <w:rPr>
          <w:rFonts w:ascii="宋体" w:hAnsi="宋体" w:eastAsia="宋体" w:cs="宋体"/>
          <w:sz w:val="27"/>
          <w:szCs w:val="27"/>
        </w:rPr>
        <w:sectPr>
          <w:footerReference r:id="rId88" w:type="default"/>
          <w:pgSz w:w="11910" w:h="17130"/>
          <w:pgMar w:top="400" w:right="1304" w:bottom="1447" w:left="1219" w:header="0" w:footer="1230" w:gutter="0"/>
          <w:cols w:space="720" w:num="1"/>
        </w:sectPr>
      </w:pPr>
    </w:p>
    <w:p w14:paraId="351C6DEF">
      <w:pPr>
        <w:pStyle w:val="2"/>
        <w:spacing w:line="283" w:lineRule="auto"/>
      </w:pPr>
    </w:p>
    <w:p w14:paraId="5FC86CF8">
      <w:pPr>
        <w:pStyle w:val="2"/>
        <w:spacing w:line="284" w:lineRule="auto"/>
      </w:pPr>
    </w:p>
    <w:p w14:paraId="44F4BFD5">
      <w:pPr>
        <w:pStyle w:val="2"/>
        <w:spacing w:line="284" w:lineRule="auto"/>
      </w:pPr>
    </w:p>
    <w:p w14:paraId="3DAE0E6C">
      <w:pPr>
        <w:pStyle w:val="2"/>
        <w:spacing w:line="284" w:lineRule="auto"/>
      </w:pPr>
    </w:p>
    <w:p w14:paraId="3508877A">
      <w:pPr>
        <w:spacing w:before="88"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s)  </w:t>
      </w:r>
      <w:r>
        <w:rPr>
          <w:rFonts w:ascii="宋体" w:hAnsi="宋体" w:eastAsia="宋体" w:cs="宋体"/>
          <w:spacing w:val="5"/>
          <w:sz w:val="27"/>
          <w:szCs w:val="27"/>
        </w:rPr>
        <w:t>所有可能的构形方案是否都表示了?</w:t>
      </w:r>
    </w:p>
    <w:p w14:paraId="62EB12B2">
      <w:pPr>
        <w:spacing w:before="159" w:line="222" w:lineRule="auto"/>
        <w:rPr>
          <w:rFonts w:ascii="黑体" w:hAnsi="黑体" w:eastAsia="黑体" w:cs="黑体"/>
          <w:sz w:val="24"/>
          <w:szCs w:val="24"/>
        </w:rPr>
      </w:pPr>
      <w:r>
        <w:rPr>
          <w:rFonts w:ascii="黑体" w:hAnsi="黑体" w:eastAsia="黑体" w:cs="黑体"/>
          <w:spacing w:val="20"/>
          <w:sz w:val="24"/>
          <w:szCs w:val="24"/>
        </w:rPr>
        <w:t>5.4</w:t>
      </w:r>
      <w:r>
        <w:rPr>
          <w:rFonts w:ascii="黑体" w:hAnsi="黑体" w:eastAsia="黑体" w:cs="黑体"/>
          <w:spacing w:val="49"/>
          <w:sz w:val="24"/>
          <w:szCs w:val="24"/>
        </w:rPr>
        <w:t xml:space="preserve">  </w:t>
      </w:r>
      <w:r>
        <w:rPr>
          <w:rFonts w:ascii="黑体" w:hAnsi="黑体" w:eastAsia="黑体" w:cs="黑体"/>
          <w:spacing w:val="20"/>
          <w:sz w:val="24"/>
          <w:szCs w:val="24"/>
        </w:rPr>
        <w:t>材料分析</w:t>
      </w:r>
    </w:p>
    <w:p w14:paraId="6714A091">
      <w:pPr>
        <w:spacing w:before="72"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 xml:space="preserve">a)  </w:t>
      </w:r>
      <w:r>
        <w:rPr>
          <w:rFonts w:ascii="宋体" w:hAnsi="宋体" w:eastAsia="宋体" w:cs="宋体"/>
          <w:spacing w:val="6"/>
          <w:sz w:val="27"/>
          <w:szCs w:val="27"/>
        </w:rPr>
        <w:t>是否选择了超出设计要求的材料?</w:t>
      </w:r>
    </w:p>
    <w:p w14:paraId="6D303DE4">
      <w:pPr>
        <w:spacing w:before="79"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b)</w:t>
      </w:r>
      <w:r>
        <w:rPr>
          <w:rFonts w:ascii="Times New Roman" w:hAnsi="Times New Roman" w:eastAsia="Times New Roman" w:cs="Times New Roman"/>
          <w:spacing w:val="81"/>
          <w:sz w:val="27"/>
          <w:szCs w:val="27"/>
        </w:rPr>
        <w:t xml:space="preserve"> </w:t>
      </w:r>
      <w:r>
        <w:rPr>
          <w:rFonts w:ascii="宋体" w:hAnsi="宋体" w:eastAsia="宋体" w:cs="宋体"/>
          <w:spacing w:val="6"/>
          <w:sz w:val="27"/>
          <w:szCs w:val="27"/>
        </w:rPr>
        <w:t>是否能在需求的时间内获得全部材料?</w:t>
      </w:r>
    </w:p>
    <w:p w14:paraId="758F215E">
      <w:pPr>
        <w:spacing w:before="90" w:line="282" w:lineRule="auto"/>
        <w:ind w:right="115" w:firstLine="550"/>
        <w:rPr>
          <w:rFonts w:ascii="宋体" w:hAnsi="宋体" w:eastAsia="宋体" w:cs="宋体"/>
          <w:sz w:val="25"/>
          <w:szCs w:val="25"/>
        </w:rPr>
      </w:pPr>
      <w:r>
        <w:rPr>
          <w:rFonts w:ascii="Times New Roman" w:hAnsi="Times New Roman" w:eastAsia="Times New Roman" w:cs="Times New Roman"/>
          <w:spacing w:val="25"/>
          <w:sz w:val="25"/>
          <w:szCs w:val="25"/>
        </w:rPr>
        <w:t xml:space="preserve">c)  </w:t>
      </w:r>
      <w:r>
        <w:rPr>
          <w:rFonts w:ascii="宋体" w:hAnsi="宋体" w:eastAsia="宋体" w:cs="宋体"/>
          <w:spacing w:val="25"/>
          <w:sz w:val="25"/>
          <w:szCs w:val="25"/>
        </w:rPr>
        <w:t>特殊规格的材料和备选材料是否已经确定?来源是否可靠，并与有关的</w:t>
      </w:r>
      <w:r>
        <w:rPr>
          <w:rFonts w:ascii="宋体" w:hAnsi="宋体" w:eastAsia="宋体" w:cs="宋体"/>
          <w:spacing w:val="9"/>
          <w:sz w:val="25"/>
          <w:szCs w:val="25"/>
        </w:rPr>
        <w:t xml:space="preserve"> </w:t>
      </w:r>
      <w:r>
        <w:rPr>
          <w:rFonts w:ascii="宋体" w:hAnsi="宋体" w:eastAsia="宋体" w:cs="宋体"/>
          <w:spacing w:val="25"/>
          <w:sz w:val="25"/>
          <w:szCs w:val="25"/>
        </w:rPr>
        <w:t>机构进行了协调?</w:t>
      </w:r>
    </w:p>
    <w:p w14:paraId="75D2B701">
      <w:pPr>
        <w:spacing w:before="66"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d)</w:t>
      </w:r>
      <w:r>
        <w:rPr>
          <w:rFonts w:ascii="Times New Roman" w:hAnsi="Times New Roman" w:eastAsia="Times New Roman" w:cs="Times New Roman"/>
          <w:spacing w:val="77"/>
          <w:sz w:val="27"/>
          <w:szCs w:val="27"/>
        </w:rPr>
        <w:t xml:space="preserve"> </w:t>
      </w:r>
      <w:r>
        <w:rPr>
          <w:rFonts w:ascii="宋体" w:hAnsi="宋体" w:eastAsia="宋体" w:cs="宋体"/>
          <w:spacing w:val="6"/>
          <w:sz w:val="27"/>
          <w:szCs w:val="27"/>
        </w:rPr>
        <w:t>设计规范是否过分严格禁止使用新的备选材料?</w:t>
      </w:r>
    </w:p>
    <w:p w14:paraId="1B43748B">
      <w:pPr>
        <w:spacing w:before="90" w:line="260" w:lineRule="auto"/>
        <w:ind w:right="125" w:firstLine="550"/>
        <w:rPr>
          <w:rFonts w:ascii="宋体" w:hAnsi="宋体" w:eastAsia="宋体" w:cs="宋体"/>
          <w:sz w:val="27"/>
          <w:szCs w:val="27"/>
        </w:rPr>
      </w:pPr>
      <w:r>
        <w:rPr>
          <w:rFonts w:ascii="Times New Roman" w:hAnsi="Times New Roman" w:eastAsia="Times New Roman" w:cs="Times New Roman"/>
          <w:spacing w:val="11"/>
          <w:sz w:val="27"/>
          <w:szCs w:val="27"/>
        </w:rPr>
        <w:t>e)</w:t>
      </w:r>
      <w:r>
        <w:rPr>
          <w:rFonts w:ascii="Times New Roman" w:hAnsi="Times New Roman" w:eastAsia="Times New Roman" w:cs="Times New Roman"/>
          <w:spacing w:val="10"/>
          <w:sz w:val="27"/>
          <w:szCs w:val="27"/>
        </w:rPr>
        <w:t xml:space="preserve">  </w:t>
      </w:r>
      <w:r>
        <w:rPr>
          <w:rFonts w:ascii="宋体" w:hAnsi="宋体" w:eastAsia="宋体" w:cs="宋体"/>
          <w:spacing w:val="11"/>
          <w:sz w:val="27"/>
          <w:szCs w:val="27"/>
        </w:rPr>
        <w:t>设计上是否规定了需大量机械加工或用专用的生产工艺才能得到的特</w:t>
      </w:r>
      <w:r>
        <w:rPr>
          <w:rFonts w:ascii="宋体" w:hAnsi="宋体" w:eastAsia="宋体" w:cs="宋体"/>
          <w:spacing w:val="1"/>
          <w:sz w:val="27"/>
          <w:szCs w:val="27"/>
        </w:rPr>
        <w:t xml:space="preserve"> </w:t>
      </w:r>
      <w:r>
        <w:rPr>
          <w:rFonts w:ascii="宋体" w:hAnsi="宋体" w:eastAsia="宋体" w:cs="宋体"/>
          <w:spacing w:val="9"/>
          <w:sz w:val="27"/>
          <w:szCs w:val="27"/>
        </w:rPr>
        <w:t>殊形状?</w:t>
      </w:r>
    </w:p>
    <w:p w14:paraId="5F6AB60C">
      <w:pPr>
        <w:spacing w:before="59"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f)</w:t>
      </w:r>
      <w:r>
        <w:rPr>
          <w:rFonts w:ascii="Times New Roman" w:hAnsi="Times New Roman" w:eastAsia="Times New Roman" w:cs="Times New Roman"/>
          <w:spacing w:val="72"/>
          <w:sz w:val="27"/>
          <w:szCs w:val="27"/>
        </w:rPr>
        <w:t xml:space="preserve"> </w:t>
      </w:r>
      <w:r>
        <w:rPr>
          <w:rFonts w:ascii="宋体" w:hAnsi="宋体" w:eastAsia="宋体" w:cs="宋体"/>
          <w:spacing w:val="6"/>
          <w:sz w:val="27"/>
          <w:szCs w:val="27"/>
        </w:rPr>
        <w:t>规定的材料是否难以或不可能经济地制造出来?</w:t>
      </w:r>
    </w:p>
    <w:p w14:paraId="3C919B32">
      <w:pPr>
        <w:spacing w:before="120"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g)</w:t>
      </w:r>
      <w:r>
        <w:rPr>
          <w:rFonts w:ascii="Times New Roman" w:hAnsi="Times New Roman" w:eastAsia="Times New Roman" w:cs="Times New Roman"/>
          <w:spacing w:val="65"/>
          <w:w w:val="101"/>
          <w:sz w:val="27"/>
          <w:szCs w:val="27"/>
        </w:rPr>
        <w:t xml:space="preserve"> </w:t>
      </w:r>
      <w:r>
        <w:rPr>
          <w:rFonts w:ascii="宋体" w:hAnsi="宋体" w:eastAsia="宋体" w:cs="宋体"/>
          <w:spacing w:val="6"/>
          <w:sz w:val="27"/>
          <w:szCs w:val="27"/>
        </w:rPr>
        <w:t>规定的材料是否与要求的生产数量相符?</w:t>
      </w:r>
    </w:p>
    <w:p w14:paraId="5A402350">
      <w:pPr>
        <w:spacing w:before="70" w:line="260" w:lineRule="auto"/>
        <w:ind w:firstLine="550"/>
        <w:rPr>
          <w:rFonts w:ascii="宋体" w:hAnsi="宋体" w:eastAsia="宋体" w:cs="宋体"/>
          <w:sz w:val="27"/>
          <w:szCs w:val="27"/>
        </w:rPr>
      </w:pPr>
      <w:r>
        <w:rPr>
          <w:rFonts w:ascii="Times New Roman" w:hAnsi="Times New Roman" w:eastAsia="Times New Roman" w:cs="Times New Roman"/>
          <w:spacing w:val="6"/>
          <w:sz w:val="27"/>
          <w:szCs w:val="27"/>
        </w:rPr>
        <w:t xml:space="preserve">h)  </w:t>
      </w:r>
      <w:r>
        <w:rPr>
          <w:rFonts w:ascii="宋体" w:hAnsi="宋体" w:eastAsia="宋体" w:cs="宋体"/>
          <w:spacing w:val="6"/>
          <w:sz w:val="27"/>
          <w:szCs w:val="27"/>
        </w:rPr>
        <w:t>设计上是否有充分的灵活性，以便可以使用多种工艺方法和多种材料，</w:t>
      </w:r>
      <w:r>
        <w:rPr>
          <w:rFonts w:ascii="宋体" w:hAnsi="宋体" w:eastAsia="宋体" w:cs="宋体"/>
          <w:spacing w:val="4"/>
          <w:sz w:val="27"/>
          <w:szCs w:val="27"/>
        </w:rPr>
        <w:t xml:space="preserve"> </w:t>
      </w:r>
      <w:r>
        <w:rPr>
          <w:rFonts w:ascii="宋体" w:hAnsi="宋体" w:eastAsia="宋体" w:cs="宋体"/>
          <w:spacing w:val="5"/>
          <w:sz w:val="27"/>
          <w:szCs w:val="27"/>
        </w:rPr>
        <w:t>而又不降低最终产品的功能?</w:t>
      </w:r>
    </w:p>
    <w:p w14:paraId="0F275CC8">
      <w:pPr>
        <w:spacing w:before="7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i)</w:t>
      </w:r>
      <w:r>
        <w:rPr>
          <w:rFonts w:ascii="Times New Roman" w:hAnsi="Times New Roman" w:eastAsia="Times New Roman" w:cs="Times New Roman"/>
          <w:spacing w:val="75"/>
          <w:sz w:val="27"/>
          <w:szCs w:val="27"/>
        </w:rPr>
        <w:t xml:space="preserve"> </w:t>
      </w:r>
      <w:r>
        <w:rPr>
          <w:rFonts w:ascii="宋体" w:hAnsi="宋体" w:eastAsia="宋体" w:cs="宋体"/>
          <w:spacing w:val="5"/>
          <w:sz w:val="27"/>
          <w:szCs w:val="27"/>
        </w:rPr>
        <w:t>能否使用较小规格的材料?</w:t>
      </w:r>
    </w:p>
    <w:p w14:paraId="3DAC5770">
      <w:pPr>
        <w:spacing w:before="131" w:line="212" w:lineRule="auto"/>
        <w:ind w:left="550"/>
        <w:rPr>
          <w:rFonts w:ascii="宋体" w:hAnsi="宋体" w:eastAsia="宋体" w:cs="宋体"/>
          <w:sz w:val="24"/>
          <w:szCs w:val="24"/>
        </w:rPr>
      </w:pPr>
      <w:r>
        <w:rPr>
          <w:rFonts w:ascii="Times New Roman" w:hAnsi="Times New Roman" w:eastAsia="Times New Roman" w:cs="Times New Roman"/>
          <w:spacing w:val="29"/>
          <w:sz w:val="24"/>
          <w:szCs w:val="24"/>
        </w:rPr>
        <w:t xml:space="preserve">j)  </w:t>
      </w:r>
      <w:r>
        <w:rPr>
          <w:rFonts w:ascii="宋体" w:hAnsi="宋体" w:eastAsia="宋体" w:cs="宋体"/>
          <w:spacing w:val="29"/>
          <w:sz w:val="24"/>
          <w:szCs w:val="24"/>
        </w:rPr>
        <w:t>能否减少材料的品种?</w:t>
      </w:r>
    </w:p>
    <w:p w14:paraId="69CE31E9">
      <w:pPr>
        <w:spacing w:before="103"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k)  </w:t>
      </w:r>
      <w:r>
        <w:rPr>
          <w:rFonts w:ascii="宋体" w:hAnsi="宋体" w:eastAsia="宋体" w:cs="宋体"/>
          <w:spacing w:val="5"/>
          <w:sz w:val="27"/>
          <w:szCs w:val="27"/>
        </w:rPr>
        <w:t>能否使用较便宜的材料?</w:t>
      </w:r>
    </w:p>
    <w:p w14:paraId="162D73B0">
      <w:pPr>
        <w:spacing w:before="109" w:line="219" w:lineRule="auto"/>
        <w:ind w:left="550"/>
        <w:rPr>
          <w:rFonts w:ascii="宋体" w:hAnsi="宋体" w:eastAsia="宋体" w:cs="宋体"/>
          <w:sz w:val="27"/>
          <w:szCs w:val="27"/>
        </w:rPr>
      </w:pPr>
      <w:r>
        <w:rPr>
          <w:rFonts w:ascii="宋体" w:hAnsi="宋体" w:eastAsia="宋体" w:cs="宋体"/>
          <w:spacing w:val="8"/>
          <w:sz w:val="27"/>
          <w:szCs w:val="27"/>
        </w:rPr>
        <w:t>1)能否使用另一种容易加工的材料?</w:t>
      </w:r>
    </w:p>
    <w:p w14:paraId="6DC45967">
      <w:pPr>
        <w:spacing w:before="93" w:line="212" w:lineRule="auto"/>
        <w:ind w:left="550"/>
        <w:rPr>
          <w:rFonts w:ascii="宋体" w:hAnsi="宋体" w:eastAsia="宋体" w:cs="宋体"/>
          <w:sz w:val="24"/>
          <w:szCs w:val="24"/>
        </w:rPr>
      </w:pPr>
      <w:r>
        <w:rPr>
          <w:rFonts w:ascii="Times New Roman" w:hAnsi="Times New Roman" w:eastAsia="Times New Roman" w:cs="Times New Roman"/>
          <w:spacing w:val="30"/>
          <w:sz w:val="24"/>
          <w:szCs w:val="24"/>
        </w:rPr>
        <w:t>m)</w:t>
      </w:r>
      <w:r>
        <w:rPr>
          <w:rFonts w:ascii="Times New Roman" w:hAnsi="Times New Roman" w:eastAsia="Times New Roman" w:cs="Times New Roman"/>
          <w:spacing w:val="1"/>
          <w:sz w:val="24"/>
          <w:szCs w:val="24"/>
        </w:rPr>
        <w:t xml:space="preserve">   </w:t>
      </w:r>
      <w:r>
        <w:rPr>
          <w:rFonts w:ascii="宋体" w:hAnsi="宋体" w:eastAsia="宋体" w:cs="宋体"/>
          <w:spacing w:val="30"/>
          <w:sz w:val="24"/>
          <w:szCs w:val="24"/>
        </w:rPr>
        <w:t>能否避免使用关键材料?</w:t>
      </w:r>
    </w:p>
    <w:p w14:paraId="6D3697AD">
      <w:pPr>
        <w:spacing w:before="113" w:line="212" w:lineRule="auto"/>
        <w:ind w:left="550"/>
        <w:rPr>
          <w:rFonts w:ascii="宋体" w:hAnsi="宋体" w:eastAsia="宋体" w:cs="宋体"/>
          <w:sz w:val="25"/>
          <w:szCs w:val="25"/>
        </w:rPr>
      </w:pPr>
      <w:r>
        <w:rPr>
          <w:rFonts w:ascii="Times New Roman" w:hAnsi="Times New Roman" w:eastAsia="Times New Roman" w:cs="Times New Roman"/>
          <w:spacing w:val="16"/>
          <w:sz w:val="25"/>
          <w:szCs w:val="25"/>
        </w:rPr>
        <w:t xml:space="preserve">n)  </w:t>
      </w:r>
      <w:r>
        <w:rPr>
          <w:rFonts w:ascii="宋体" w:hAnsi="宋体" w:eastAsia="宋体" w:cs="宋体"/>
          <w:spacing w:val="16"/>
          <w:sz w:val="25"/>
          <w:szCs w:val="25"/>
        </w:rPr>
        <w:t>在所有可能部位，是否规定了备选材料?</w:t>
      </w:r>
    </w:p>
    <w:p w14:paraId="60E45261">
      <w:pPr>
        <w:spacing w:before="133" w:line="212" w:lineRule="auto"/>
        <w:ind w:left="550"/>
        <w:rPr>
          <w:rFonts w:ascii="宋体" w:hAnsi="宋体" w:eastAsia="宋体" w:cs="宋体"/>
          <w:sz w:val="25"/>
          <w:szCs w:val="25"/>
        </w:rPr>
      </w:pPr>
      <w:r>
        <w:rPr>
          <w:rFonts w:ascii="Times New Roman" w:hAnsi="Times New Roman" w:eastAsia="Times New Roman" w:cs="Times New Roman"/>
          <w:spacing w:val="23"/>
          <w:sz w:val="25"/>
          <w:szCs w:val="25"/>
        </w:rPr>
        <w:t xml:space="preserve">o)  </w:t>
      </w:r>
      <w:r>
        <w:rPr>
          <w:rFonts w:ascii="宋体" w:hAnsi="宋体" w:eastAsia="宋体" w:cs="宋体"/>
          <w:spacing w:val="23"/>
          <w:sz w:val="25"/>
          <w:szCs w:val="25"/>
        </w:rPr>
        <w:t>所有材料和备选材料是否都与计划使用的制造工艺相符?</w:t>
      </w:r>
    </w:p>
    <w:p w14:paraId="402EE2DA">
      <w:pPr>
        <w:spacing w:before="118" w:line="222" w:lineRule="auto"/>
        <w:rPr>
          <w:rFonts w:ascii="黑体" w:hAnsi="黑体" w:eastAsia="黑体" w:cs="黑体"/>
          <w:sz w:val="27"/>
          <w:szCs w:val="27"/>
        </w:rPr>
      </w:pPr>
      <w:r>
        <w:rPr>
          <w:rFonts w:ascii="黑体" w:hAnsi="黑体" w:eastAsia="黑体" w:cs="黑体"/>
          <w:sz w:val="27"/>
          <w:szCs w:val="27"/>
        </w:rPr>
        <w:t>5.5</w:t>
      </w:r>
      <w:r>
        <w:rPr>
          <w:rFonts w:ascii="黑体" w:hAnsi="黑体" w:eastAsia="黑体" w:cs="黑体"/>
          <w:spacing w:val="26"/>
          <w:sz w:val="27"/>
          <w:szCs w:val="27"/>
        </w:rPr>
        <w:t xml:space="preserve">  </w:t>
      </w:r>
      <w:r>
        <w:rPr>
          <w:rFonts w:ascii="黑体" w:hAnsi="黑体" w:eastAsia="黑体" w:cs="黑体"/>
          <w:b/>
          <w:bCs/>
          <w:sz w:val="27"/>
          <w:szCs w:val="27"/>
        </w:rPr>
        <w:t>制造工艺分析</w:t>
      </w:r>
    </w:p>
    <w:p w14:paraId="730DC6EA">
      <w:pPr>
        <w:spacing w:before="59"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a)  </w:t>
      </w:r>
      <w:r>
        <w:rPr>
          <w:rFonts w:ascii="宋体" w:hAnsi="宋体" w:eastAsia="宋体" w:cs="宋体"/>
          <w:spacing w:val="5"/>
          <w:sz w:val="27"/>
          <w:szCs w:val="27"/>
        </w:rPr>
        <w:t>设计是否包含不必要的机械加工要求?</w:t>
      </w:r>
    </w:p>
    <w:p w14:paraId="086F535D">
      <w:pPr>
        <w:spacing w:before="89" w:line="266" w:lineRule="auto"/>
        <w:ind w:right="124" w:firstLine="55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67"/>
          <w:w w:val="101"/>
          <w:sz w:val="27"/>
          <w:szCs w:val="27"/>
        </w:rPr>
        <w:t xml:space="preserve"> </w:t>
      </w:r>
      <w:r>
        <w:rPr>
          <w:rFonts w:ascii="宋体" w:hAnsi="宋体" w:eastAsia="宋体" w:cs="宋体"/>
          <w:spacing w:val="3"/>
          <w:sz w:val="27"/>
          <w:szCs w:val="27"/>
        </w:rPr>
        <w:t>关于金属件的结构要素，如平面度、圆角半径、</w:t>
      </w:r>
      <w:r>
        <w:rPr>
          <w:rFonts w:ascii="宋体" w:hAnsi="宋体" w:eastAsia="宋体" w:cs="宋体"/>
          <w:spacing w:val="2"/>
          <w:sz w:val="27"/>
          <w:szCs w:val="27"/>
        </w:rPr>
        <w:t>铸造类型等是否有合适</w:t>
      </w:r>
      <w:r>
        <w:rPr>
          <w:rFonts w:ascii="宋体" w:hAnsi="宋体" w:eastAsia="宋体" w:cs="宋体"/>
          <w:sz w:val="27"/>
          <w:szCs w:val="27"/>
        </w:rPr>
        <w:t xml:space="preserve"> </w:t>
      </w:r>
      <w:r>
        <w:rPr>
          <w:rFonts w:ascii="宋体" w:hAnsi="宋体" w:eastAsia="宋体" w:cs="宋体"/>
          <w:spacing w:val="2"/>
          <w:sz w:val="27"/>
          <w:szCs w:val="27"/>
        </w:rPr>
        <w:t>规范?</w:t>
      </w:r>
    </w:p>
    <w:p w14:paraId="12EAB43C">
      <w:pPr>
        <w:spacing w:before="63" w:line="212" w:lineRule="auto"/>
        <w:ind w:left="550"/>
        <w:rPr>
          <w:rFonts w:ascii="宋体" w:hAnsi="宋体" w:eastAsia="宋体" w:cs="宋体"/>
          <w:sz w:val="27"/>
          <w:szCs w:val="27"/>
        </w:rPr>
      </w:pPr>
      <w:r>
        <w:rPr>
          <w:rFonts w:ascii="Times New Roman" w:hAnsi="Times New Roman" w:eastAsia="Times New Roman" w:cs="Times New Roman"/>
          <w:spacing w:val="-7"/>
          <w:sz w:val="27"/>
          <w:szCs w:val="27"/>
        </w:rPr>
        <w:t>c)</w:t>
      </w:r>
      <w:r>
        <w:rPr>
          <w:rFonts w:ascii="Times New Roman" w:hAnsi="Times New Roman" w:eastAsia="Times New Roman" w:cs="Times New Roman"/>
          <w:spacing w:val="67"/>
          <w:w w:val="101"/>
          <w:sz w:val="27"/>
          <w:szCs w:val="27"/>
        </w:rPr>
        <w:t xml:space="preserve"> </w:t>
      </w:r>
      <w:r>
        <w:rPr>
          <w:rFonts w:ascii="宋体" w:hAnsi="宋体" w:eastAsia="宋体" w:cs="宋体"/>
          <w:spacing w:val="-7"/>
          <w:sz w:val="27"/>
          <w:szCs w:val="27"/>
        </w:rPr>
        <w:t>在锻造、铸造、机械加工和其他制造工艺中，是否有不必要的困难?</w:t>
      </w:r>
    </w:p>
    <w:p w14:paraId="6E52333C">
      <w:pPr>
        <w:spacing w:before="90"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 xml:space="preserve">d)  </w:t>
      </w:r>
      <w:r>
        <w:rPr>
          <w:rFonts w:ascii="宋体" w:hAnsi="宋体" w:eastAsia="宋体" w:cs="宋体"/>
          <w:spacing w:val="6"/>
          <w:sz w:val="27"/>
          <w:szCs w:val="27"/>
        </w:rPr>
        <w:t>设计规范是否过分地束缚生产人员于某一工</w:t>
      </w:r>
      <w:r>
        <w:rPr>
          <w:rFonts w:ascii="宋体" w:hAnsi="宋体" w:eastAsia="宋体" w:cs="宋体"/>
          <w:spacing w:val="5"/>
          <w:sz w:val="27"/>
          <w:szCs w:val="27"/>
        </w:rPr>
        <w:t>艺过程?</w:t>
      </w:r>
    </w:p>
    <w:p w14:paraId="49EE7DB4">
      <w:pPr>
        <w:spacing w:before="131" w:line="219" w:lineRule="auto"/>
        <w:ind w:left="550"/>
        <w:rPr>
          <w:rFonts w:ascii="宋体" w:hAnsi="宋体" w:eastAsia="宋体" w:cs="宋体"/>
          <w:sz w:val="27"/>
          <w:szCs w:val="27"/>
        </w:rPr>
      </w:pPr>
      <w:r>
        <w:rPr>
          <w:rFonts w:ascii="Times New Roman" w:hAnsi="Times New Roman" w:eastAsia="Times New Roman" w:cs="Times New Roman"/>
          <w:spacing w:val="14"/>
          <w:sz w:val="27"/>
          <w:szCs w:val="27"/>
        </w:rPr>
        <w:t>e</w:t>
      </w:r>
      <w:r>
        <w:rPr>
          <w:rFonts w:ascii="宋体" w:hAnsi="宋体" w:eastAsia="宋体" w:cs="宋体"/>
          <w:spacing w:val="14"/>
          <w:sz w:val="27"/>
          <w:szCs w:val="27"/>
        </w:rPr>
        <w:t>)零件能否经济组装?</w:t>
      </w:r>
    </w:p>
    <w:p w14:paraId="39CFB31E">
      <w:pPr>
        <w:spacing w:before="4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制造是否有定位与夹紧措施?</w:t>
      </w:r>
    </w:p>
    <w:p w14:paraId="113A0AB2">
      <w:pPr>
        <w:spacing w:before="129"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g)  </w:t>
      </w:r>
      <w:r>
        <w:rPr>
          <w:rFonts w:ascii="宋体" w:hAnsi="宋体" w:eastAsia="宋体" w:cs="宋体"/>
          <w:spacing w:val="5"/>
          <w:sz w:val="27"/>
          <w:szCs w:val="27"/>
        </w:rPr>
        <w:t>生产上是否需要昂贵的专用工装和设备?</w:t>
      </w:r>
    </w:p>
    <w:p w14:paraId="20B5C6EF">
      <w:pPr>
        <w:spacing w:before="71"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 xml:space="preserve">h)  </w:t>
      </w:r>
      <w:r>
        <w:rPr>
          <w:rFonts w:ascii="宋体" w:hAnsi="宋体" w:eastAsia="宋体" w:cs="宋体"/>
          <w:spacing w:val="6"/>
          <w:sz w:val="27"/>
          <w:szCs w:val="27"/>
        </w:rPr>
        <w:t>是否规定了最经济的生产方法?</w:t>
      </w:r>
    </w:p>
    <w:p w14:paraId="3203A87E">
      <w:pPr>
        <w:spacing w:before="119" w:line="257" w:lineRule="auto"/>
        <w:ind w:right="124" w:firstLine="550"/>
        <w:rPr>
          <w:rFonts w:ascii="宋体" w:hAnsi="宋体" w:eastAsia="宋体" w:cs="宋体"/>
          <w:sz w:val="27"/>
          <w:szCs w:val="27"/>
        </w:rPr>
      </w:pPr>
      <w:r>
        <w:rPr>
          <w:rFonts w:ascii="Times New Roman" w:hAnsi="Times New Roman" w:eastAsia="Times New Roman" w:cs="Times New Roman"/>
          <w:spacing w:val="5"/>
          <w:sz w:val="27"/>
          <w:szCs w:val="27"/>
        </w:rPr>
        <w:t>i)</w:t>
      </w:r>
      <w:r>
        <w:rPr>
          <w:rFonts w:ascii="Times New Roman" w:hAnsi="Times New Roman" w:eastAsia="Times New Roman" w:cs="Times New Roman"/>
          <w:spacing w:val="66"/>
          <w:sz w:val="27"/>
          <w:szCs w:val="27"/>
        </w:rPr>
        <w:t xml:space="preserve"> </w:t>
      </w:r>
      <w:r>
        <w:rPr>
          <w:rFonts w:ascii="宋体" w:hAnsi="宋体" w:eastAsia="宋体" w:cs="宋体"/>
          <w:spacing w:val="5"/>
          <w:sz w:val="27"/>
          <w:szCs w:val="27"/>
        </w:rPr>
        <w:t>制造和搬运过程中，是否有专用的搬运</w:t>
      </w:r>
      <w:r>
        <w:rPr>
          <w:rFonts w:ascii="宋体" w:hAnsi="宋体" w:eastAsia="宋体" w:cs="宋体"/>
          <w:spacing w:val="4"/>
          <w:sz w:val="27"/>
          <w:szCs w:val="27"/>
        </w:rPr>
        <w:t>装置或方法，以保护关键的和敏</w:t>
      </w:r>
      <w:r>
        <w:rPr>
          <w:rFonts w:ascii="宋体" w:hAnsi="宋体" w:eastAsia="宋体" w:cs="宋体"/>
          <w:sz w:val="27"/>
          <w:szCs w:val="27"/>
        </w:rPr>
        <w:t xml:space="preserve"> </w:t>
      </w:r>
      <w:r>
        <w:rPr>
          <w:rFonts w:ascii="宋体" w:hAnsi="宋体" w:eastAsia="宋体" w:cs="宋体"/>
          <w:spacing w:val="7"/>
          <w:sz w:val="27"/>
          <w:szCs w:val="27"/>
        </w:rPr>
        <w:t>感的产品?</w:t>
      </w:r>
    </w:p>
    <w:p w14:paraId="13CB0E58">
      <w:pPr>
        <w:spacing w:before="68" w:line="212" w:lineRule="auto"/>
        <w:ind w:left="550"/>
        <w:rPr>
          <w:rFonts w:ascii="宋体" w:hAnsi="宋体" w:eastAsia="宋体" w:cs="宋体"/>
          <w:sz w:val="27"/>
          <w:szCs w:val="27"/>
        </w:rPr>
      </w:pPr>
      <w:r>
        <w:rPr>
          <w:rFonts w:ascii="Times New Roman" w:hAnsi="Times New Roman" w:eastAsia="Times New Roman" w:cs="Times New Roman"/>
          <w:spacing w:val="-7"/>
          <w:sz w:val="27"/>
          <w:szCs w:val="27"/>
        </w:rPr>
        <w:t>j)</w:t>
      </w:r>
      <w:r>
        <w:rPr>
          <w:rFonts w:ascii="Times New Roman" w:hAnsi="Times New Roman" w:eastAsia="Times New Roman" w:cs="Times New Roman"/>
          <w:spacing w:val="58"/>
          <w:w w:val="101"/>
          <w:sz w:val="27"/>
          <w:szCs w:val="27"/>
        </w:rPr>
        <w:t xml:space="preserve"> </w:t>
      </w:r>
      <w:r>
        <w:rPr>
          <w:rFonts w:ascii="宋体" w:hAnsi="宋体" w:eastAsia="宋体" w:cs="宋体"/>
          <w:spacing w:val="-7"/>
          <w:sz w:val="27"/>
          <w:szCs w:val="27"/>
        </w:rPr>
        <w:t>专用的技艺、设备、设施是否有标识，并与有关单位协调一致?</w:t>
      </w:r>
    </w:p>
    <w:p w14:paraId="47EE7068">
      <w:pPr>
        <w:spacing w:before="101"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 xml:space="preserve">k)  </w:t>
      </w:r>
      <w:r>
        <w:rPr>
          <w:rFonts w:ascii="宋体" w:hAnsi="宋体" w:eastAsia="宋体" w:cs="宋体"/>
          <w:spacing w:val="-6"/>
          <w:sz w:val="27"/>
          <w:szCs w:val="27"/>
        </w:rPr>
        <w:t>不使用专用设备和工具，零件是否容易拆卸、分解、重新组装或安装?</w:t>
      </w:r>
    </w:p>
    <w:p w14:paraId="6500C35F">
      <w:pPr>
        <w:spacing w:line="212" w:lineRule="auto"/>
        <w:rPr>
          <w:rFonts w:ascii="宋体" w:hAnsi="宋体" w:eastAsia="宋体" w:cs="宋体"/>
          <w:sz w:val="27"/>
          <w:szCs w:val="27"/>
        </w:rPr>
        <w:sectPr>
          <w:footerReference r:id="rId89" w:type="default"/>
          <w:pgSz w:w="11910" w:h="17130"/>
          <w:pgMar w:top="400" w:right="1024" w:bottom="1473" w:left="1390" w:header="0" w:footer="1275" w:gutter="0"/>
          <w:cols w:space="720" w:num="1"/>
        </w:sectPr>
      </w:pPr>
    </w:p>
    <w:p w14:paraId="2A0E7A23">
      <w:pPr>
        <w:pStyle w:val="2"/>
        <w:spacing w:line="259" w:lineRule="auto"/>
      </w:pPr>
    </w:p>
    <w:p w14:paraId="13396C1C">
      <w:pPr>
        <w:pStyle w:val="2"/>
        <w:spacing w:line="259" w:lineRule="auto"/>
      </w:pPr>
    </w:p>
    <w:p w14:paraId="4C13F2EB">
      <w:pPr>
        <w:pStyle w:val="2"/>
        <w:spacing w:line="259" w:lineRule="auto"/>
      </w:pPr>
    </w:p>
    <w:p w14:paraId="383D33E5">
      <w:pPr>
        <w:pStyle w:val="2"/>
        <w:spacing w:line="260" w:lineRule="auto"/>
      </w:pPr>
    </w:p>
    <w:p w14:paraId="47ED2C75">
      <w:pPr>
        <w:spacing w:before="87" w:line="219" w:lineRule="auto"/>
        <w:ind w:left="550"/>
        <w:rPr>
          <w:rFonts w:ascii="宋体" w:hAnsi="宋体" w:eastAsia="宋体" w:cs="宋体"/>
          <w:sz w:val="27"/>
          <w:szCs w:val="27"/>
        </w:rPr>
      </w:pPr>
      <w:r>
        <w:rPr>
          <w:rFonts w:ascii="宋体" w:hAnsi="宋体" w:eastAsia="宋体" w:cs="宋体"/>
          <w:spacing w:val="7"/>
          <w:sz w:val="27"/>
          <w:szCs w:val="27"/>
        </w:rPr>
        <w:t>1)这项设计是否与车间正常的生产流程相符?</w:t>
      </w:r>
    </w:p>
    <w:p w14:paraId="599D71B6">
      <w:pPr>
        <w:spacing w:before="77" w:line="219" w:lineRule="auto"/>
        <w:ind w:left="550"/>
        <w:rPr>
          <w:rFonts w:ascii="宋体" w:hAnsi="宋体" w:eastAsia="宋体" w:cs="宋体"/>
          <w:sz w:val="27"/>
          <w:szCs w:val="27"/>
        </w:rPr>
      </w:pPr>
      <w:r>
        <w:rPr>
          <w:rFonts w:ascii="Times New Roman" w:hAnsi="Times New Roman" w:eastAsia="Times New Roman" w:cs="Times New Roman"/>
          <w:spacing w:val="6"/>
          <w:sz w:val="27"/>
          <w:szCs w:val="27"/>
        </w:rPr>
        <w:t>m</w:t>
      </w:r>
      <w:r>
        <w:rPr>
          <w:rFonts w:ascii="宋体" w:hAnsi="宋体" w:eastAsia="宋体" w:cs="宋体"/>
          <w:spacing w:val="6"/>
          <w:sz w:val="27"/>
          <w:szCs w:val="27"/>
        </w:rPr>
        <w:t>)</w:t>
      </w:r>
      <w:r>
        <w:rPr>
          <w:rFonts w:ascii="宋体" w:hAnsi="宋体" w:eastAsia="宋体" w:cs="宋体"/>
          <w:spacing w:val="-55"/>
          <w:sz w:val="27"/>
          <w:szCs w:val="27"/>
        </w:rPr>
        <w:t xml:space="preserve"> </w:t>
      </w:r>
      <w:r>
        <w:rPr>
          <w:rFonts w:ascii="宋体" w:hAnsi="宋体" w:eastAsia="宋体" w:cs="宋体"/>
          <w:spacing w:val="6"/>
          <w:sz w:val="27"/>
          <w:szCs w:val="27"/>
        </w:rPr>
        <w:t>是否考虑了生产过程中测量困难?</w:t>
      </w:r>
    </w:p>
    <w:p w14:paraId="24DF133A">
      <w:pPr>
        <w:spacing w:before="110" w:line="219" w:lineRule="auto"/>
        <w:ind w:left="550"/>
        <w:rPr>
          <w:rFonts w:ascii="宋体" w:hAnsi="宋体" w:eastAsia="宋体" w:cs="宋体"/>
          <w:sz w:val="25"/>
          <w:szCs w:val="25"/>
        </w:rPr>
      </w:pPr>
      <w:r>
        <w:rPr>
          <w:rFonts w:ascii="Times New Roman" w:hAnsi="Times New Roman" w:eastAsia="Times New Roman" w:cs="Times New Roman"/>
          <w:spacing w:val="25"/>
          <w:sz w:val="25"/>
          <w:szCs w:val="25"/>
        </w:rPr>
        <w:t>n</w:t>
      </w:r>
      <w:r>
        <w:rPr>
          <w:rFonts w:ascii="宋体" w:hAnsi="宋体" w:eastAsia="宋体" w:cs="宋体"/>
          <w:spacing w:val="25"/>
          <w:sz w:val="25"/>
          <w:szCs w:val="25"/>
        </w:rPr>
        <w:t>)</w:t>
      </w:r>
      <w:r>
        <w:rPr>
          <w:rFonts w:ascii="宋体" w:hAnsi="宋体" w:eastAsia="宋体" w:cs="宋体"/>
          <w:spacing w:val="-29"/>
          <w:sz w:val="25"/>
          <w:szCs w:val="25"/>
        </w:rPr>
        <w:t xml:space="preserve"> </w:t>
      </w:r>
      <w:r>
        <w:rPr>
          <w:rFonts w:ascii="宋体" w:hAnsi="宋体" w:eastAsia="宋体" w:cs="宋体"/>
          <w:spacing w:val="25"/>
          <w:sz w:val="25"/>
          <w:szCs w:val="25"/>
        </w:rPr>
        <w:t>设备和工装清单是否齐全?</w:t>
      </w:r>
    </w:p>
    <w:p w14:paraId="4412D9E8">
      <w:pPr>
        <w:spacing w:before="75" w:line="212" w:lineRule="auto"/>
        <w:ind w:left="550"/>
        <w:rPr>
          <w:rFonts w:ascii="宋体" w:hAnsi="宋体" w:eastAsia="宋体" w:cs="宋体"/>
          <w:sz w:val="25"/>
          <w:szCs w:val="25"/>
        </w:rPr>
      </w:pPr>
      <w:r>
        <w:rPr>
          <w:rFonts w:ascii="Times New Roman" w:hAnsi="Times New Roman" w:eastAsia="Times New Roman" w:cs="Times New Roman"/>
          <w:spacing w:val="19"/>
          <w:sz w:val="25"/>
          <w:szCs w:val="25"/>
        </w:rPr>
        <w:t xml:space="preserve">o)  </w:t>
      </w:r>
      <w:r>
        <w:rPr>
          <w:rFonts w:ascii="宋体" w:hAnsi="宋体" w:eastAsia="宋体" w:cs="宋体"/>
          <w:spacing w:val="19"/>
          <w:sz w:val="25"/>
          <w:szCs w:val="25"/>
        </w:rPr>
        <w:t>专用设备是否齐备?</w:t>
      </w:r>
    </w:p>
    <w:p w14:paraId="01515273">
      <w:pPr>
        <w:spacing w:before="123" w:line="212" w:lineRule="auto"/>
        <w:ind w:left="550"/>
        <w:rPr>
          <w:rFonts w:ascii="宋体" w:hAnsi="宋体" w:eastAsia="宋体" w:cs="宋体"/>
          <w:sz w:val="25"/>
          <w:szCs w:val="25"/>
        </w:rPr>
      </w:pPr>
      <w:r>
        <w:rPr>
          <w:rFonts w:ascii="Times New Roman" w:hAnsi="Times New Roman" w:eastAsia="Times New Roman" w:cs="Times New Roman"/>
          <w:spacing w:val="23"/>
          <w:sz w:val="25"/>
          <w:szCs w:val="25"/>
        </w:rPr>
        <w:t>p</w:t>
      </w:r>
      <w:r>
        <w:rPr>
          <w:rFonts w:ascii="宋体" w:hAnsi="宋体" w:eastAsia="宋体" w:cs="宋体"/>
          <w:spacing w:val="23"/>
          <w:sz w:val="25"/>
          <w:szCs w:val="25"/>
        </w:rPr>
        <w:t>)</w:t>
      </w:r>
      <w:r>
        <w:rPr>
          <w:rFonts w:ascii="宋体" w:hAnsi="宋体" w:eastAsia="宋体" w:cs="宋体"/>
          <w:spacing w:val="-28"/>
          <w:sz w:val="25"/>
          <w:szCs w:val="25"/>
        </w:rPr>
        <w:t xml:space="preserve"> </w:t>
      </w:r>
      <w:r>
        <w:rPr>
          <w:rFonts w:ascii="宋体" w:hAnsi="宋体" w:eastAsia="宋体" w:cs="宋体"/>
          <w:spacing w:val="23"/>
          <w:sz w:val="25"/>
          <w:szCs w:val="25"/>
        </w:rPr>
        <w:t>能否使用较简单的工艺?</w:t>
      </w:r>
    </w:p>
    <w:p w14:paraId="236BF548">
      <w:pPr>
        <w:spacing w:before="101"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q)</w:t>
      </w:r>
      <w:r>
        <w:rPr>
          <w:rFonts w:ascii="Times New Roman" w:hAnsi="Times New Roman" w:eastAsia="Times New Roman" w:cs="Times New Roman"/>
          <w:spacing w:val="70"/>
          <w:sz w:val="27"/>
          <w:szCs w:val="27"/>
        </w:rPr>
        <w:t xml:space="preserve"> </w:t>
      </w:r>
      <w:r>
        <w:rPr>
          <w:rFonts w:ascii="宋体" w:hAnsi="宋体" w:eastAsia="宋体" w:cs="宋体"/>
          <w:spacing w:val="5"/>
          <w:sz w:val="27"/>
          <w:szCs w:val="27"/>
        </w:rPr>
        <w:t>是否使用了尺寸奇特的孔和半径?</w:t>
      </w:r>
    </w:p>
    <w:p w14:paraId="3112AE70">
      <w:pPr>
        <w:spacing w:before="7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r)</w:t>
      </w:r>
      <w:r>
        <w:rPr>
          <w:rFonts w:ascii="Times New Roman" w:hAnsi="Times New Roman" w:eastAsia="Times New Roman" w:cs="Times New Roman"/>
          <w:spacing w:val="74"/>
          <w:sz w:val="27"/>
          <w:szCs w:val="27"/>
        </w:rPr>
        <w:t xml:space="preserve"> </w:t>
      </w:r>
      <w:r>
        <w:rPr>
          <w:rFonts w:ascii="宋体" w:hAnsi="宋体" w:eastAsia="宋体" w:cs="宋体"/>
          <w:spacing w:val="-1"/>
          <w:sz w:val="27"/>
          <w:szCs w:val="27"/>
        </w:rPr>
        <w:t>假如采用一次成型工艺，是否规定了备选工艺?</w:t>
      </w:r>
    </w:p>
    <w:p w14:paraId="3911A3F6">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s)  </w:t>
      </w:r>
      <w:r>
        <w:rPr>
          <w:rFonts w:ascii="宋体" w:hAnsi="宋体" w:eastAsia="宋体" w:cs="宋体"/>
          <w:spacing w:val="4"/>
          <w:sz w:val="27"/>
          <w:szCs w:val="27"/>
        </w:rPr>
        <w:t>能否使用紧固件代替攻丝?</w:t>
      </w:r>
    </w:p>
    <w:p w14:paraId="15CB6C22">
      <w:pPr>
        <w:spacing w:before="100"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t)</w:t>
      </w:r>
      <w:r>
        <w:rPr>
          <w:rFonts w:ascii="Times New Roman" w:hAnsi="Times New Roman" w:eastAsia="Times New Roman" w:cs="Times New Roman"/>
          <w:spacing w:val="2"/>
          <w:sz w:val="27"/>
          <w:szCs w:val="27"/>
        </w:rPr>
        <w:t xml:space="preserve">  </w:t>
      </w:r>
      <w:r>
        <w:rPr>
          <w:rFonts w:ascii="宋体" w:hAnsi="宋体" w:eastAsia="宋体" w:cs="宋体"/>
          <w:spacing w:val="6"/>
          <w:sz w:val="27"/>
          <w:szCs w:val="27"/>
        </w:rPr>
        <w:t>是否可以去掉一些机械加工表面?</w:t>
      </w:r>
    </w:p>
    <w:p w14:paraId="3AC45E3E">
      <w:pPr>
        <w:spacing w:before="112" w:line="212" w:lineRule="auto"/>
        <w:ind w:left="550"/>
        <w:rPr>
          <w:rFonts w:ascii="宋体" w:hAnsi="宋体" w:eastAsia="宋体" w:cs="宋体"/>
          <w:sz w:val="25"/>
          <w:szCs w:val="25"/>
        </w:rPr>
      </w:pPr>
      <w:r>
        <w:rPr>
          <w:rFonts w:ascii="Times New Roman" w:hAnsi="Times New Roman" w:eastAsia="Times New Roman" w:cs="Times New Roman"/>
          <w:spacing w:val="23"/>
          <w:sz w:val="25"/>
          <w:szCs w:val="25"/>
        </w:rPr>
        <w:t xml:space="preserve">u)  </w:t>
      </w:r>
      <w:r>
        <w:rPr>
          <w:rFonts w:ascii="宋体" w:hAnsi="宋体" w:eastAsia="宋体" w:cs="宋体"/>
          <w:spacing w:val="23"/>
          <w:sz w:val="25"/>
          <w:szCs w:val="25"/>
        </w:rPr>
        <w:t>是否禁止使用经济的速度和进给量进行最后表面加工?</w:t>
      </w:r>
    </w:p>
    <w:p w14:paraId="3F6EBC18">
      <w:pPr>
        <w:spacing w:before="123" w:line="212" w:lineRule="auto"/>
        <w:ind w:left="550"/>
        <w:rPr>
          <w:rFonts w:ascii="宋体" w:hAnsi="宋体" w:eastAsia="宋体" w:cs="宋体"/>
          <w:sz w:val="25"/>
          <w:szCs w:val="25"/>
        </w:rPr>
      </w:pPr>
      <w:r>
        <w:rPr>
          <w:rFonts w:ascii="Times New Roman" w:hAnsi="Times New Roman" w:eastAsia="Times New Roman" w:cs="Times New Roman"/>
          <w:spacing w:val="22"/>
          <w:sz w:val="25"/>
          <w:szCs w:val="25"/>
        </w:rPr>
        <w:t xml:space="preserve">v)  </w:t>
      </w:r>
      <w:r>
        <w:rPr>
          <w:rFonts w:ascii="宋体" w:hAnsi="宋体" w:eastAsia="宋体" w:cs="宋体"/>
          <w:spacing w:val="22"/>
          <w:sz w:val="25"/>
          <w:szCs w:val="25"/>
        </w:rPr>
        <w:t>被采用的工艺过程与生产数量的要求相符吗?</w:t>
      </w:r>
    </w:p>
    <w:p w14:paraId="465A608D">
      <w:pPr>
        <w:spacing w:before="123" w:line="212" w:lineRule="auto"/>
        <w:ind w:left="550"/>
        <w:rPr>
          <w:rFonts w:ascii="宋体" w:hAnsi="宋体" w:eastAsia="宋体" w:cs="宋体"/>
          <w:sz w:val="25"/>
          <w:szCs w:val="25"/>
        </w:rPr>
      </w:pPr>
      <w:r>
        <w:rPr>
          <w:rFonts w:ascii="Times New Roman" w:hAnsi="Times New Roman" w:eastAsia="Times New Roman" w:cs="Times New Roman"/>
          <w:spacing w:val="16"/>
          <w:sz w:val="25"/>
          <w:szCs w:val="25"/>
        </w:rPr>
        <w:t xml:space="preserve">w)  </w:t>
      </w:r>
      <w:r>
        <w:rPr>
          <w:rFonts w:ascii="宋体" w:hAnsi="宋体" w:eastAsia="宋体" w:cs="宋体"/>
          <w:spacing w:val="16"/>
          <w:sz w:val="25"/>
          <w:szCs w:val="25"/>
        </w:rPr>
        <w:t>在设计约束范围内，是否有备选工艺?</w:t>
      </w:r>
    </w:p>
    <w:p w14:paraId="6FFEC69F">
      <w:pPr>
        <w:spacing w:before="112" w:line="212" w:lineRule="auto"/>
        <w:ind w:left="550"/>
        <w:rPr>
          <w:rFonts w:ascii="宋体" w:hAnsi="宋体" w:eastAsia="宋体" w:cs="宋体"/>
          <w:sz w:val="25"/>
          <w:szCs w:val="25"/>
        </w:rPr>
      </w:pPr>
      <w:r>
        <w:rPr>
          <w:rFonts w:ascii="Times New Roman" w:hAnsi="Times New Roman" w:eastAsia="Times New Roman" w:cs="Times New Roman"/>
          <w:spacing w:val="23"/>
          <w:sz w:val="25"/>
          <w:szCs w:val="25"/>
        </w:rPr>
        <w:t>x)</w:t>
      </w:r>
      <w:r>
        <w:rPr>
          <w:rFonts w:ascii="Times New Roman" w:hAnsi="Times New Roman" w:eastAsia="Times New Roman" w:cs="Times New Roman"/>
          <w:spacing w:val="6"/>
          <w:sz w:val="25"/>
          <w:szCs w:val="25"/>
        </w:rPr>
        <w:t xml:space="preserve">  </w:t>
      </w:r>
      <w:r>
        <w:rPr>
          <w:rFonts w:ascii="宋体" w:hAnsi="宋体" w:eastAsia="宋体" w:cs="宋体"/>
          <w:spacing w:val="23"/>
          <w:sz w:val="25"/>
          <w:szCs w:val="25"/>
        </w:rPr>
        <w:t>是否采用了新的工艺并经过验证?</w:t>
      </w:r>
    </w:p>
    <w:p w14:paraId="6822BF3F">
      <w:pPr>
        <w:spacing w:before="123" w:line="212" w:lineRule="auto"/>
        <w:ind w:left="550"/>
        <w:rPr>
          <w:rFonts w:ascii="宋体" w:hAnsi="宋体" w:eastAsia="宋体" w:cs="宋体"/>
          <w:sz w:val="25"/>
          <w:szCs w:val="25"/>
        </w:rPr>
      </w:pPr>
      <w:r>
        <w:rPr>
          <w:rFonts w:ascii="Times New Roman" w:hAnsi="Times New Roman" w:eastAsia="Times New Roman" w:cs="Times New Roman"/>
          <w:spacing w:val="22"/>
          <w:sz w:val="25"/>
          <w:szCs w:val="25"/>
        </w:rPr>
        <w:t xml:space="preserve">y)  </w:t>
      </w:r>
      <w:r>
        <w:rPr>
          <w:rFonts w:ascii="宋体" w:hAnsi="宋体" w:eastAsia="宋体" w:cs="宋体"/>
          <w:spacing w:val="22"/>
          <w:sz w:val="25"/>
          <w:szCs w:val="25"/>
        </w:rPr>
        <w:t>工人和技术人员是否需要专门的技术培训?</w:t>
      </w:r>
    </w:p>
    <w:p w14:paraId="7C301057">
      <w:pPr>
        <w:spacing w:before="116" w:line="221" w:lineRule="auto"/>
        <w:rPr>
          <w:rFonts w:ascii="黑体" w:hAnsi="黑体" w:eastAsia="黑体" w:cs="黑体"/>
          <w:sz w:val="27"/>
          <w:szCs w:val="27"/>
        </w:rPr>
      </w:pPr>
      <w:r>
        <w:rPr>
          <w:rFonts w:ascii="黑体" w:hAnsi="黑体" w:eastAsia="黑体" w:cs="黑体"/>
          <w:sz w:val="27"/>
          <w:szCs w:val="27"/>
        </w:rPr>
        <w:t>5.6</w:t>
      </w:r>
      <w:r>
        <w:rPr>
          <w:rFonts w:ascii="黑体" w:hAnsi="黑体" w:eastAsia="黑体" w:cs="黑体"/>
          <w:spacing w:val="11"/>
          <w:sz w:val="27"/>
          <w:szCs w:val="27"/>
        </w:rPr>
        <w:t xml:space="preserve">  </w:t>
      </w:r>
      <w:r>
        <w:rPr>
          <w:rFonts w:ascii="黑体" w:hAnsi="黑体" w:eastAsia="黑体" w:cs="黑体"/>
          <w:b/>
          <w:bCs/>
          <w:sz w:val="27"/>
          <w:szCs w:val="27"/>
        </w:rPr>
        <w:t>连接方法分析</w:t>
      </w:r>
    </w:p>
    <w:p w14:paraId="1C99294E">
      <w:pPr>
        <w:spacing w:before="73"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a)  </w:t>
      </w:r>
      <w:r>
        <w:rPr>
          <w:rFonts w:ascii="宋体" w:hAnsi="宋体" w:eastAsia="宋体" w:cs="宋体"/>
          <w:spacing w:val="-2"/>
          <w:sz w:val="27"/>
          <w:szCs w:val="27"/>
        </w:rPr>
        <w:t>在连接过程中，是否容易接近所有零件?</w:t>
      </w:r>
    </w:p>
    <w:p w14:paraId="1FE9AF66">
      <w:pPr>
        <w:spacing w:before="110" w:line="249" w:lineRule="auto"/>
        <w:ind w:firstLine="55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67"/>
          <w:w w:val="101"/>
          <w:sz w:val="27"/>
          <w:szCs w:val="27"/>
        </w:rPr>
        <w:t xml:space="preserve"> </w:t>
      </w:r>
      <w:r>
        <w:rPr>
          <w:rFonts w:ascii="宋体" w:hAnsi="宋体" w:eastAsia="宋体" w:cs="宋体"/>
          <w:spacing w:val="3"/>
          <w:sz w:val="27"/>
          <w:szCs w:val="27"/>
        </w:rPr>
        <w:t>在装配和进行其他连接操作时，是否会因空间狭窄或其他原因造成连接</w:t>
      </w:r>
      <w:r>
        <w:rPr>
          <w:rFonts w:ascii="宋体" w:hAnsi="宋体" w:eastAsia="宋体" w:cs="宋体"/>
          <w:sz w:val="27"/>
          <w:szCs w:val="27"/>
        </w:rPr>
        <w:t xml:space="preserve"> </w:t>
      </w:r>
      <w:r>
        <w:rPr>
          <w:rFonts w:ascii="宋体" w:hAnsi="宋体" w:eastAsia="宋体" w:cs="宋体"/>
          <w:spacing w:val="3"/>
          <w:sz w:val="27"/>
          <w:szCs w:val="27"/>
        </w:rPr>
        <w:t>困难或根本不可能?</w:t>
      </w:r>
    </w:p>
    <w:p w14:paraId="06C3CB41">
      <w:pPr>
        <w:spacing w:before="81"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75"/>
          <w:sz w:val="27"/>
          <w:szCs w:val="27"/>
        </w:rPr>
        <w:t xml:space="preserve"> </w:t>
      </w:r>
      <w:r>
        <w:rPr>
          <w:rFonts w:ascii="宋体" w:hAnsi="宋体" w:eastAsia="宋体" w:cs="宋体"/>
          <w:spacing w:val="5"/>
          <w:sz w:val="27"/>
          <w:szCs w:val="27"/>
        </w:rPr>
        <w:t>是否能将两个或多个零件合并为一个零件?</w:t>
      </w:r>
    </w:p>
    <w:p w14:paraId="5DEA9CF4">
      <w:pPr>
        <w:spacing w:before="10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d)  </w:t>
      </w:r>
      <w:r>
        <w:rPr>
          <w:rFonts w:ascii="宋体" w:hAnsi="宋体" w:eastAsia="宋体" w:cs="宋体"/>
          <w:spacing w:val="5"/>
          <w:sz w:val="27"/>
          <w:szCs w:val="27"/>
        </w:rPr>
        <w:t>能否使用新研制的或另一种紧固件加快装配进度?</w:t>
      </w:r>
    </w:p>
    <w:p w14:paraId="65CA370A">
      <w:pPr>
        <w:spacing w:before="9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e)  </w:t>
      </w:r>
      <w:r>
        <w:rPr>
          <w:rFonts w:ascii="宋体" w:hAnsi="宋体" w:eastAsia="宋体" w:cs="宋体"/>
          <w:spacing w:val="5"/>
          <w:sz w:val="27"/>
          <w:szCs w:val="27"/>
        </w:rPr>
        <w:t>能否把装配硬件规格的数量减至最少?</w:t>
      </w:r>
    </w:p>
    <w:p w14:paraId="6B4FBDA1">
      <w:pPr>
        <w:spacing w:before="10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f)  </w:t>
      </w:r>
      <w:r>
        <w:rPr>
          <w:rFonts w:ascii="宋体" w:hAnsi="宋体" w:eastAsia="宋体" w:cs="宋体"/>
          <w:spacing w:val="5"/>
          <w:sz w:val="27"/>
          <w:szCs w:val="27"/>
        </w:rPr>
        <w:t>能否更改设计以改善零件的装配与分解?</w:t>
      </w:r>
    </w:p>
    <w:p w14:paraId="3A529C70">
      <w:pPr>
        <w:spacing w:before="9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g)  </w:t>
      </w:r>
      <w:r>
        <w:rPr>
          <w:rFonts w:ascii="宋体" w:hAnsi="宋体" w:eastAsia="宋体" w:cs="宋体"/>
          <w:spacing w:val="4"/>
          <w:sz w:val="27"/>
          <w:szCs w:val="27"/>
        </w:rPr>
        <w:t>能否更改设计以改善安装和维护?</w:t>
      </w:r>
    </w:p>
    <w:p w14:paraId="57144156">
      <w:pPr>
        <w:spacing w:before="81"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h)  </w:t>
      </w:r>
      <w:r>
        <w:rPr>
          <w:rFonts w:ascii="宋体" w:hAnsi="宋体" w:eastAsia="宋体" w:cs="宋体"/>
          <w:spacing w:val="-1"/>
          <w:sz w:val="27"/>
          <w:szCs w:val="27"/>
        </w:rPr>
        <w:t>当规定采用热连接时，是否考虑热影响区?</w:t>
      </w:r>
    </w:p>
    <w:p w14:paraId="677EEF8B">
      <w:pPr>
        <w:spacing w:before="124" w:line="221" w:lineRule="auto"/>
        <w:rPr>
          <w:rFonts w:ascii="黑体" w:hAnsi="黑体" w:eastAsia="黑体" w:cs="黑体"/>
          <w:sz w:val="27"/>
          <w:szCs w:val="27"/>
        </w:rPr>
      </w:pPr>
      <w:r>
        <w:rPr>
          <w:rFonts w:ascii="黑体" w:hAnsi="黑体" w:eastAsia="黑体" w:cs="黑体"/>
          <w:spacing w:val="-2"/>
          <w:sz w:val="27"/>
          <w:szCs w:val="27"/>
        </w:rPr>
        <w:t>5.7</w:t>
      </w:r>
      <w:r>
        <w:rPr>
          <w:rFonts w:ascii="黑体" w:hAnsi="黑体" w:eastAsia="黑体" w:cs="黑体"/>
          <w:spacing w:val="29"/>
          <w:sz w:val="27"/>
          <w:szCs w:val="27"/>
        </w:rPr>
        <w:t xml:space="preserve">  </w:t>
      </w:r>
      <w:r>
        <w:rPr>
          <w:rFonts w:ascii="黑体" w:hAnsi="黑体" w:eastAsia="黑体" w:cs="黑体"/>
          <w:b/>
          <w:bCs/>
          <w:spacing w:val="-2"/>
          <w:sz w:val="27"/>
          <w:szCs w:val="27"/>
        </w:rPr>
        <w:t>涂覆材料和方法分析</w:t>
      </w:r>
    </w:p>
    <w:p w14:paraId="15DEFF40">
      <w:pPr>
        <w:spacing w:before="83" w:line="219" w:lineRule="auto"/>
        <w:ind w:left="55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宋体" w:hAnsi="宋体" w:eastAsia="宋体" w:cs="宋体"/>
          <w:spacing w:val="3"/>
          <w:sz w:val="27"/>
          <w:szCs w:val="27"/>
        </w:rPr>
        <w:t>)</w:t>
      </w:r>
      <w:r>
        <w:rPr>
          <w:rFonts w:ascii="宋体" w:hAnsi="宋体" w:eastAsia="宋体" w:cs="宋体"/>
          <w:spacing w:val="-24"/>
          <w:sz w:val="27"/>
          <w:szCs w:val="27"/>
        </w:rPr>
        <w:t xml:space="preserve"> </w:t>
      </w:r>
      <w:r>
        <w:rPr>
          <w:rFonts w:ascii="宋体" w:hAnsi="宋体" w:eastAsia="宋体" w:cs="宋体"/>
          <w:spacing w:val="3"/>
          <w:sz w:val="27"/>
          <w:szCs w:val="27"/>
        </w:rPr>
        <w:t>防护涂层规定得是否合适?</w:t>
      </w:r>
    </w:p>
    <w:p w14:paraId="053EE7D9">
      <w:pPr>
        <w:spacing w:before="101" w:line="212" w:lineRule="auto"/>
        <w:ind w:left="550"/>
        <w:rPr>
          <w:rFonts w:ascii="宋体" w:hAnsi="宋体" w:eastAsia="宋体" w:cs="宋体"/>
          <w:sz w:val="25"/>
          <w:szCs w:val="25"/>
        </w:rPr>
      </w:pPr>
      <w:r>
        <w:rPr>
          <w:rFonts w:ascii="Times New Roman" w:hAnsi="Times New Roman" w:eastAsia="Times New Roman" w:cs="Times New Roman"/>
          <w:spacing w:val="11"/>
          <w:sz w:val="25"/>
          <w:szCs w:val="25"/>
        </w:rPr>
        <w:t xml:space="preserve">b)  </w:t>
      </w:r>
      <w:r>
        <w:rPr>
          <w:rFonts w:ascii="宋体" w:hAnsi="宋体" w:eastAsia="宋体" w:cs="宋体"/>
          <w:spacing w:val="11"/>
          <w:sz w:val="25"/>
          <w:szCs w:val="25"/>
        </w:rPr>
        <w:t>从材料、防护措施、制造和装配等观点，是</w:t>
      </w:r>
      <w:r>
        <w:rPr>
          <w:rFonts w:ascii="宋体" w:hAnsi="宋体" w:eastAsia="宋体" w:cs="宋体"/>
          <w:spacing w:val="10"/>
          <w:sz w:val="25"/>
          <w:szCs w:val="25"/>
        </w:rPr>
        <w:t>否考虑了防腐蚀问题?</w:t>
      </w:r>
    </w:p>
    <w:p w14:paraId="26BFE606">
      <w:pPr>
        <w:spacing w:before="91" w:line="212" w:lineRule="auto"/>
        <w:ind w:left="550"/>
        <w:rPr>
          <w:rFonts w:ascii="宋体" w:hAnsi="宋体" w:eastAsia="宋体" w:cs="宋体"/>
          <w:sz w:val="27"/>
          <w:szCs w:val="27"/>
        </w:rPr>
      </w:pPr>
      <w:r>
        <w:rPr>
          <w:rFonts w:ascii="Times New Roman" w:hAnsi="Times New Roman" w:eastAsia="Times New Roman" w:cs="Times New Roman"/>
          <w:spacing w:val="11"/>
          <w:sz w:val="27"/>
          <w:szCs w:val="27"/>
        </w:rPr>
        <w:t>c)</w:t>
      </w:r>
      <w:r>
        <w:rPr>
          <w:rFonts w:ascii="Times New Roman" w:hAnsi="Times New Roman" w:eastAsia="Times New Roman" w:cs="Times New Roman"/>
          <w:spacing w:val="62"/>
          <w:w w:val="101"/>
          <w:sz w:val="27"/>
          <w:szCs w:val="27"/>
        </w:rPr>
        <w:t xml:space="preserve"> </w:t>
      </w:r>
      <w:r>
        <w:rPr>
          <w:rFonts w:ascii="宋体" w:hAnsi="宋体" w:eastAsia="宋体" w:cs="宋体"/>
          <w:spacing w:val="11"/>
          <w:sz w:val="27"/>
          <w:szCs w:val="27"/>
        </w:rPr>
        <w:t>特殊的表面防护要求是否标识?解决方法是否已</w:t>
      </w:r>
      <w:r>
        <w:rPr>
          <w:rFonts w:ascii="宋体" w:hAnsi="宋体" w:eastAsia="宋体" w:cs="宋体"/>
          <w:spacing w:val="10"/>
          <w:sz w:val="27"/>
          <w:szCs w:val="27"/>
        </w:rPr>
        <w:t>确定?</w:t>
      </w:r>
    </w:p>
    <w:p w14:paraId="7077686C">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能否取消特殊的涂层和表面处理?</w:t>
      </w:r>
    </w:p>
    <w:p w14:paraId="50B8B63C">
      <w:pPr>
        <w:spacing w:before="10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能否采用预涂覆材料?</w:t>
      </w:r>
    </w:p>
    <w:p w14:paraId="3874280F">
      <w:pPr>
        <w:pStyle w:val="2"/>
        <w:spacing w:before="117" w:line="222" w:lineRule="auto"/>
        <w:rPr>
          <w:rFonts w:ascii="黑体" w:hAnsi="黑体" w:eastAsia="黑体" w:cs="黑体"/>
          <w:sz w:val="27"/>
          <w:szCs w:val="27"/>
        </w:rPr>
      </w:pPr>
      <w:r>
        <w:rPr>
          <w:b/>
          <w:bCs/>
          <w:spacing w:val="2"/>
          <w:sz w:val="27"/>
          <w:szCs w:val="27"/>
        </w:rPr>
        <w:t xml:space="preserve">5.8    </w:t>
      </w:r>
      <w:r>
        <w:rPr>
          <w:rFonts w:ascii="黑体" w:hAnsi="黑体" w:eastAsia="黑体" w:cs="黑体"/>
          <w:b/>
          <w:bCs/>
          <w:spacing w:val="2"/>
          <w:sz w:val="27"/>
          <w:szCs w:val="27"/>
        </w:rPr>
        <w:t>热处理和清洗工艺分析</w:t>
      </w:r>
    </w:p>
    <w:p w14:paraId="0FB4712A">
      <w:pPr>
        <w:spacing w:before="6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74"/>
          <w:sz w:val="27"/>
          <w:szCs w:val="27"/>
        </w:rPr>
        <w:t xml:space="preserve"> </w:t>
      </w:r>
      <w:r>
        <w:rPr>
          <w:rFonts w:ascii="宋体" w:hAnsi="宋体" w:eastAsia="宋体" w:cs="宋体"/>
          <w:spacing w:val="4"/>
          <w:sz w:val="27"/>
          <w:szCs w:val="27"/>
        </w:rPr>
        <w:t>规定的材料是否容易切削?</w:t>
      </w:r>
    </w:p>
    <w:p w14:paraId="0E44D4A7">
      <w:pPr>
        <w:spacing w:before="100"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b)</w:t>
      </w:r>
      <w:r>
        <w:rPr>
          <w:rFonts w:ascii="Times New Roman" w:hAnsi="Times New Roman" w:eastAsia="Times New Roman" w:cs="Times New Roman"/>
          <w:spacing w:val="69"/>
          <w:sz w:val="27"/>
          <w:szCs w:val="27"/>
        </w:rPr>
        <w:t xml:space="preserve"> </w:t>
      </w:r>
      <w:r>
        <w:rPr>
          <w:rFonts w:ascii="宋体" w:hAnsi="宋体" w:eastAsia="宋体" w:cs="宋体"/>
          <w:spacing w:val="6"/>
          <w:sz w:val="27"/>
          <w:szCs w:val="27"/>
        </w:rPr>
        <w:t>热处理后是否规定了切削工艺?</w:t>
      </w:r>
    </w:p>
    <w:p w14:paraId="535D031C">
      <w:pPr>
        <w:spacing w:before="129" w:line="212" w:lineRule="auto"/>
        <w:ind w:right="16"/>
        <w:jc w:val="right"/>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66"/>
          <w:sz w:val="27"/>
          <w:szCs w:val="27"/>
        </w:rPr>
        <w:t xml:space="preserve"> </w:t>
      </w:r>
      <w:r>
        <w:rPr>
          <w:rFonts w:ascii="宋体" w:hAnsi="宋体" w:eastAsia="宋体" w:cs="宋体"/>
          <w:spacing w:val="3"/>
          <w:sz w:val="27"/>
          <w:szCs w:val="27"/>
        </w:rPr>
        <w:t>包括热处理、清洗工艺及它们与其他生产领域关系在内的生产各方面是</w:t>
      </w:r>
    </w:p>
    <w:p w14:paraId="749D3257">
      <w:pPr>
        <w:spacing w:line="212" w:lineRule="auto"/>
        <w:rPr>
          <w:rFonts w:ascii="宋体" w:hAnsi="宋体" w:eastAsia="宋体" w:cs="宋体"/>
          <w:sz w:val="27"/>
          <w:szCs w:val="27"/>
        </w:rPr>
        <w:sectPr>
          <w:footerReference r:id="rId90" w:type="default"/>
          <w:pgSz w:w="11910" w:h="17130"/>
          <w:pgMar w:top="400" w:right="1419" w:bottom="1703" w:left="1110" w:header="0" w:footer="1505" w:gutter="0"/>
          <w:cols w:space="720" w:num="1"/>
        </w:sectPr>
      </w:pPr>
    </w:p>
    <w:p w14:paraId="7664189B">
      <w:pPr>
        <w:pStyle w:val="2"/>
        <w:spacing w:line="274" w:lineRule="auto"/>
      </w:pPr>
    </w:p>
    <w:p w14:paraId="3D522009">
      <w:pPr>
        <w:pStyle w:val="2"/>
        <w:spacing w:line="274" w:lineRule="auto"/>
      </w:pPr>
    </w:p>
    <w:p w14:paraId="27091D7F">
      <w:pPr>
        <w:pStyle w:val="2"/>
        <w:spacing w:line="274" w:lineRule="auto"/>
      </w:pPr>
    </w:p>
    <w:p w14:paraId="4849D026">
      <w:pPr>
        <w:pStyle w:val="2"/>
        <w:spacing w:line="275" w:lineRule="auto"/>
      </w:pPr>
    </w:p>
    <w:p w14:paraId="55ADD368">
      <w:pPr>
        <w:spacing w:before="88" w:line="220" w:lineRule="auto"/>
        <w:rPr>
          <w:rFonts w:ascii="宋体" w:hAnsi="宋体" w:eastAsia="宋体" w:cs="宋体"/>
          <w:sz w:val="27"/>
          <w:szCs w:val="27"/>
        </w:rPr>
      </w:pPr>
      <w:r>
        <w:rPr>
          <w:rFonts w:ascii="宋体" w:hAnsi="宋体" w:eastAsia="宋体" w:cs="宋体"/>
          <w:spacing w:val="6"/>
          <w:sz w:val="27"/>
          <w:szCs w:val="27"/>
        </w:rPr>
        <w:t>否已经评审过了?</w:t>
      </w:r>
    </w:p>
    <w:p w14:paraId="57EEB31D">
      <w:pPr>
        <w:spacing w:before="26"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热处理规定合适吗?</w:t>
      </w:r>
    </w:p>
    <w:p w14:paraId="44561604">
      <w:pPr>
        <w:spacing w:before="122" w:line="212" w:lineRule="auto"/>
        <w:ind w:left="550"/>
        <w:rPr>
          <w:rFonts w:ascii="宋体" w:hAnsi="宋体" w:eastAsia="宋体" w:cs="宋体"/>
          <w:sz w:val="24"/>
          <w:szCs w:val="24"/>
        </w:rPr>
      </w:pPr>
      <w:r>
        <w:rPr>
          <w:rFonts w:ascii="Times New Roman" w:hAnsi="Times New Roman" w:eastAsia="Times New Roman" w:cs="Times New Roman"/>
          <w:spacing w:val="27"/>
          <w:sz w:val="24"/>
          <w:szCs w:val="24"/>
        </w:rPr>
        <w:t xml:space="preserve">e)  </w:t>
      </w:r>
      <w:r>
        <w:rPr>
          <w:rFonts w:ascii="宋体" w:hAnsi="宋体" w:eastAsia="宋体" w:cs="宋体"/>
          <w:spacing w:val="27"/>
          <w:sz w:val="24"/>
          <w:szCs w:val="24"/>
        </w:rPr>
        <w:t>安排的工艺路线与制造要求(如直线度、平面度等)是否一致?</w:t>
      </w:r>
    </w:p>
    <w:p w14:paraId="471D49DF">
      <w:pPr>
        <w:spacing w:before="148" w:line="222" w:lineRule="auto"/>
        <w:rPr>
          <w:rFonts w:ascii="黑体" w:hAnsi="黑体" w:eastAsia="黑体" w:cs="黑体"/>
          <w:sz w:val="25"/>
          <w:szCs w:val="25"/>
        </w:rPr>
      </w:pPr>
      <w:r>
        <w:rPr>
          <w:rFonts w:ascii="黑体" w:hAnsi="黑体" w:eastAsia="黑体" w:cs="黑体"/>
          <w:spacing w:val="12"/>
          <w:sz w:val="25"/>
          <w:szCs w:val="25"/>
        </w:rPr>
        <w:t>5.9</w:t>
      </w:r>
      <w:r>
        <w:rPr>
          <w:rFonts w:ascii="黑体" w:hAnsi="黑体" w:eastAsia="黑体" w:cs="黑体"/>
          <w:spacing w:val="42"/>
          <w:sz w:val="25"/>
          <w:szCs w:val="25"/>
        </w:rPr>
        <w:t xml:space="preserve">  </w:t>
      </w:r>
      <w:r>
        <w:rPr>
          <w:rFonts w:ascii="黑体" w:hAnsi="黑体" w:eastAsia="黑体" w:cs="黑体"/>
          <w:b/>
          <w:bCs/>
          <w:spacing w:val="12"/>
          <w:sz w:val="25"/>
          <w:szCs w:val="25"/>
        </w:rPr>
        <w:t>安全分析</w:t>
      </w:r>
    </w:p>
    <w:p w14:paraId="53F0159C">
      <w:pPr>
        <w:spacing w:before="53"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设计中是否规定了静电接地要求?</w:t>
      </w:r>
    </w:p>
    <w:p w14:paraId="0A1A19AF">
      <w:pPr>
        <w:spacing w:before="99"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对易燃、易爆产品是否采取了必要的安全性防护措施?</w:t>
      </w:r>
    </w:p>
    <w:p w14:paraId="7B51958D">
      <w:pPr>
        <w:spacing w:before="9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3"/>
          <w:sz w:val="27"/>
          <w:szCs w:val="27"/>
        </w:rPr>
        <w:t>加工诸如镁合金、铜铍合金等材料，是否考虑必要的安全措施?</w:t>
      </w:r>
    </w:p>
    <w:p w14:paraId="203A5AC6">
      <w:pPr>
        <w:spacing w:before="100"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d)</w:t>
      </w:r>
      <w:r>
        <w:rPr>
          <w:rFonts w:ascii="Times New Roman" w:hAnsi="Times New Roman" w:eastAsia="Times New Roman" w:cs="Times New Roman"/>
          <w:spacing w:val="69"/>
          <w:sz w:val="27"/>
          <w:szCs w:val="27"/>
        </w:rPr>
        <w:t xml:space="preserve"> </w:t>
      </w:r>
      <w:r>
        <w:rPr>
          <w:rFonts w:ascii="宋体" w:hAnsi="宋体" w:eastAsia="宋体" w:cs="宋体"/>
          <w:spacing w:val="6"/>
          <w:sz w:val="27"/>
          <w:szCs w:val="27"/>
        </w:rPr>
        <w:t>设计中是否规定了防无线电频率干扰要求?</w:t>
      </w:r>
    </w:p>
    <w:p w14:paraId="569CE4AE">
      <w:pPr>
        <w:spacing w:before="100"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 xml:space="preserve">e)  </w:t>
      </w:r>
      <w:r>
        <w:rPr>
          <w:rFonts w:ascii="宋体" w:hAnsi="宋体" w:eastAsia="宋体" w:cs="宋体"/>
          <w:spacing w:val="6"/>
          <w:sz w:val="27"/>
          <w:szCs w:val="27"/>
        </w:rPr>
        <w:t>对放射性污染是否有防护措施?</w:t>
      </w:r>
    </w:p>
    <w:p w14:paraId="6585D016">
      <w:pPr>
        <w:spacing w:before="125" w:line="222" w:lineRule="auto"/>
        <w:rPr>
          <w:rFonts w:ascii="黑体" w:hAnsi="黑体" w:eastAsia="黑体" w:cs="黑体"/>
          <w:sz w:val="27"/>
          <w:szCs w:val="27"/>
        </w:rPr>
      </w:pPr>
      <w:r>
        <w:rPr>
          <w:rFonts w:ascii="黑体" w:hAnsi="黑体" w:eastAsia="黑体" w:cs="黑体"/>
          <w:spacing w:val="-1"/>
          <w:sz w:val="27"/>
          <w:szCs w:val="27"/>
        </w:rPr>
        <w:t>5.10</w:t>
      </w:r>
      <w:r>
        <w:rPr>
          <w:rFonts w:ascii="黑体" w:hAnsi="黑体" w:eastAsia="黑体" w:cs="黑体"/>
          <w:spacing w:val="34"/>
          <w:sz w:val="27"/>
          <w:szCs w:val="27"/>
        </w:rPr>
        <w:t xml:space="preserve">  </w:t>
      </w:r>
      <w:r>
        <w:rPr>
          <w:rFonts w:ascii="黑体" w:hAnsi="黑体" w:eastAsia="黑体" w:cs="黑体"/>
          <w:b/>
          <w:bCs/>
          <w:spacing w:val="-1"/>
          <w:sz w:val="27"/>
          <w:szCs w:val="27"/>
        </w:rPr>
        <w:t>环境要求分析</w:t>
      </w:r>
    </w:p>
    <w:p w14:paraId="3E3F2955">
      <w:pPr>
        <w:spacing w:before="6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a)  </w:t>
      </w:r>
      <w:r>
        <w:rPr>
          <w:rFonts w:ascii="宋体" w:hAnsi="宋体" w:eastAsia="宋体" w:cs="宋体"/>
          <w:spacing w:val="1"/>
          <w:sz w:val="27"/>
          <w:szCs w:val="27"/>
        </w:rPr>
        <w:t>对满足湿、热和其他特殊环境要求是否有适当的措施?</w:t>
      </w:r>
    </w:p>
    <w:p w14:paraId="5B2D7855">
      <w:pPr>
        <w:spacing w:before="10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适当的加热、冷却是否被标识并执行了?</w:t>
      </w:r>
    </w:p>
    <w:p w14:paraId="0197085E">
      <w:pPr>
        <w:spacing w:before="115" w:line="221" w:lineRule="auto"/>
        <w:rPr>
          <w:rFonts w:ascii="黑体" w:hAnsi="黑体" w:eastAsia="黑体" w:cs="黑体"/>
          <w:sz w:val="27"/>
          <w:szCs w:val="27"/>
        </w:rPr>
      </w:pPr>
      <w:r>
        <w:rPr>
          <w:rFonts w:ascii="黑体" w:hAnsi="黑体" w:eastAsia="黑体" w:cs="黑体"/>
          <w:spacing w:val="1"/>
          <w:sz w:val="27"/>
          <w:szCs w:val="27"/>
        </w:rPr>
        <w:t>5.11</w:t>
      </w:r>
      <w:r>
        <w:rPr>
          <w:rFonts w:ascii="黑体" w:hAnsi="黑体" w:eastAsia="黑体" w:cs="黑体"/>
          <w:spacing w:val="27"/>
          <w:sz w:val="27"/>
          <w:szCs w:val="27"/>
        </w:rPr>
        <w:t xml:space="preserve">  </w:t>
      </w:r>
      <w:r>
        <w:rPr>
          <w:rFonts w:ascii="黑体" w:hAnsi="黑体" w:eastAsia="黑体" w:cs="黑体"/>
          <w:b/>
          <w:bCs/>
          <w:spacing w:val="1"/>
          <w:sz w:val="27"/>
          <w:szCs w:val="27"/>
        </w:rPr>
        <w:t>检验和试验分析</w:t>
      </w:r>
    </w:p>
    <w:p w14:paraId="0AA2DDC4">
      <w:pPr>
        <w:spacing w:before="84" w:line="212" w:lineRule="auto"/>
        <w:ind w:left="550"/>
        <w:rPr>
          <w:rFonts w:ascii="宋体" w:hAnsi="宋体" w:eastAsia="宋体" w:cs="宋体"/>
          <w:sz w:val="24"/>
          <w:szCs w:val="24"/>
        </w:rPr>
      </w:pPr>
      <w:r>
        <w:rPr>
          <w:rFonts w:ascii="Times New Roman" w:hAnsi="Times New Roman" w:eastAsia="Times New Roman" w:cs="Times New Roman"/>
          <w:spacing w:val="29"/>
          <w:sz w:val="24"/>
          <w:szCs w:val="24"/>
        </w:rPr>
        <w:t xml:space="preserve">a)  </w:t>
      </w:r>
      <w:r>
        <w:rPr>
          <w:rFonts w:ascii="宋体" w:hAnsi="宋体" w:eastAsia="宋体" w:cs="宋体"/>
          <w:spacing w:val="29"/>
          <w:sz w:val="24"/>
          <w:szCs w:val="24"/>
        </w:rPr>
        <w:t>检验和试验要求是否适当?</w:t>
      </w:r>
    </w:p>
    <w:p w14:paraId="488DD4A1">
      <w:pPr>
        <w:spacing w:before="113" w:line="212" w:lineRule="auto"/>
        <w:ind w:left="550"/>
        <w:rPr>
          <w:rFonts w:ascii="宋体" w:hAnsi="宋体" w:eastAsia="宋体" w:cs="宋体"/>
          <w:sz w:val="27"/>
          <w:szCs w:val="27"/>
        </w:rPr>
      </w:pPr>
      <w:r>
        <w:rPr>
          <w:rFonts w:ascii="Times New Roman" w:hAnsi="Times New Roman" w:eastAsia="Times New Roman" w:cs="Times New Roman"/>
          <w:spacing w:val="7"/>
          <w:sz w:val="27"/>
          <w:szCs w:val="27"/>
        </w:rPr>
        <w:t>b)</w:t>
      </w:r>
      <w:r>
        <w:rPr>
          <w:rFonts w:ascii="Times New Roman" w:hAnsi="Times New Roman" w:eastAsia="Times New Roman" w:cs="Times New Roman"/>
          <w:spacing w:val="68"/>
          <w:sz w:val="27"/>
          <w:szCs w:val="27"/>
        </w:rPr>
        <w:t xml:space="preserve"> </w:t>
      </w:r>
      <w:r>
        <w:rPr>
          <w:rFonts w:ascii="宋体" w:hAnsi="宋体" w:eastAsia="宋体" w:cs="宋体"/>
          <w:spacing w:val="7"/>
          <w:sz w:val="27"/>
          <w:szCs w:val="27"/>
        </w:rPr>
        <w:t>是否规定了超出实际要求的特殊检验设备?</w:t>
      </w:r>
    </w:p>
    <w:p w14:paraId="01EEF6A7">
      <w:pPr>
        <w:spacing w:before="9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75"/>
          <w:sz w:val="27"/>
          <w:szCs w:val="27"/>
        </w:rPr>
        <w:t xml:space="preserve"> </w:t>
      </w:r>
      <w:r>
        <w:rPr>
          <w:rFonts w:ascii="宋体" w:hAnsi="宋体" w:eastAsia="宋体" w:cs="宋体"/>
          <w:spacing w:val="5"/>
          <w:sz w:val="27"/>
          <w:szCs w:val="27"/>
        </w:rPr>
        <w:t>能否用切实可行的方法检验产品?</w:t>
      </w:r>
    </w:p>
    <w:p w14:paraId="187645C4">
      <w:pPr>
        <w:spacing w:before="110" w:line="212" w:lineRule="auto"/>
        <w:ind w:right="45"/>
        <w:jc w:val="right"/>
        <w:rPr>
          <w:rFonts w:ascii="宋体" w:hAnsi="宋体" w:eastAsia="宋体" w:cs="宋体"/>
          <w:sz w:val="27"/>
          <w:szCs w:val="27"/>
        </w:rPr>
      </w:pPr>
      <w:r>
        <w:rPr>
          <w:rFonts w:ascii="Times New Roman" w:hAnsi="Times New Roman" w:eastAsia="Times New Roman" w:cs="Times New Roman"/>
          <w:spacing w:val="10"/>
          <w:sz w:val="27"/>
          <w:szCs w:val="27"/>
        </w:rPr>
        <w:t xml:space="preserve">d)  </w:t>
      </w:r>
      <w:r>
        <w:rPr>
          <w:rFonts w:ascii="宋体" w:hAnsi="宋体" w:eastAsia="宋体" w:cs="宋体"/>
          <w:spacing w:val="10"/>
          <w:sz w:val="27"/>
          <w:szCs w:val="27"/>
        </w:rPr>
        <w:t>预防高拒收率的情况或条件是否已标识?是否开始采取某些补救措施?</w:t>
      </w:r>
    </w:p>
    <w:p w14:paraId="287C7041">
      <w:pPr>
        <w:spacing w:before="99"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e)</w:t>
      </w:r>
      <w:r>
        <w:rPr>
          <w:rFonts w:ascii="Times New Roman" w:hAnsi="Times New Roman" w:eastAsia="Times New Roman" w:cs="Times New Roman"/>
          <w:spacing w:val="64"/>
          <w:sz w:val="27"/>
          <w:szCs w:val="27"/>
        </w:rPr>
        <w:t xml:space="preserve"> </w:t>
      </w:r>
      <w:r>
        <w:rPr>
          <w:rFonts w:ascii="宋体" w:hAnsi="宋体" w:eastAsia="宋体" w:cs="宋体"/>
          <w:spacing w:val="6"/>
          <w:sz w:val="27"/>
          <w:szCs w:val="27"/>
        </w:rPr>
        <w:t>是否提供了必要的样机和模型?</w:t>
      </w:r>
    </w:p>
    <w:p w14:paraId="6BCE18C4">
      <w:pPr>
        <w:spacing w:before="60" w:line="274" w:lineRule="auto"/>
        <w:ind w:left="60" w:right="36" w:firstLine="489"/>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专用的和标准的试验和检验设备是否到位、检定、校准、经过验证并与图</w:t>
      </w:r>
      <w:r>
        <w:rPr>
          <w:rFonts w:ascii="宋体" w:hAnsi="宋体" w:eastAsia="宋体" w:cs="宋体"/>
          <w:spacing w:val="10"/>
          <w:sz w:val="27"/>
          <w:szCs w:val="27"/>
        </w:rPr>
        <w:t xml:space="preserve"> </w:t>
      </w:r>
      <w:r>
        <w:rPr>
          <w:rFonts w:ascii="宋体" w:hAnsi="宋体" w:eastAsia="宋体" w:cs="宋体"/>
          <w:spacing w:val="6"/>
          <w:sz w:val="27"/>
          <w:szCs w:val="27"/>
        </w:rPr>
        <w:t>样要求相符?</w:t>
      </w:r>
    </w:p>
    <w:p w14:paraId="4C3C98B8">
      <w:pPr>
        <w:spacing w:before="68" w:line="212" w:lineRule="auto"/>
        <w:ind w:left="550"/>
        <w:rPr>
          <w:rFonts w:ascii="宋体" w:hAnsi="宋体" w:eastAsia="宋体" w:cs="宋体"/>
          <w:sz w:val="27"/>
          <w:szCs w:val="27"/>
        </w:rPr>
      </w:pPr>
      <w:r>
        <w:rPr>
          <w:rFonts w:ascii="Times New Roman" w:hAnsi="Times New Roman" w:eastAsia="Times New Roman" w:cs="Times New Roman"/>
          <w:spacing w:val="9"/>
          <w:sz w:val="27"/>
          <w:szCs w:val="27"/>
        </w:rPr>
        <w:t>g</w:t>
      </w:r>
      <w:r>
        <w:rPr>
          <w:rFonts w:ascii="Times New Roman" w:hAnsi="Times New Roman" w:eastAsia="Times New Roman" w:cs="Times New Roman"/>
          <w:spacing w:val="-24"/>
          <w:sz w:val="27"/>
          <w:szCs w:val="27"/>
        </w:rPr>
        <w:t xml:space="preserve"> </w:t>
      </w:r>
      <w:r>
        <w:rPr>
          <w:rFonts w:ascii="宋体" w:hAnsi="宋体" w:eastAsia="宋体" w:cs="宋体"/>
          <w:spacing w:val="9"/>
          <w:sz w:val="27"/>
          <w:szCs w:val="27"/>
        </w:rPr>
        <w:t>)标准的和专用的量具是否齐备?</w:t>
      </w:r>
    </w:p>
    <w:p w14:paraId="7420BD84">
      <w:pPr>
        <w:spacing w:before="71"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 xml:space="preserve">h)  </w:t>
      </w:r>
      <w:r>
        <w:rPr>
          <w:rFonts w:ascii="宋体" w:hAnsi="宋体" w:eastAsia="宋体" w:cs="宋体"/>
          <w:spacing w:val="6"/>
          <w:sz w:val="27"/>
          <w:szCs w:val="27"/>
        </w:rPr>
        <w:t>是否执行了无损检验方法?</w:t>
      </w:r>
    </w:p>
    <w:p w14:paraId="5710F473">
      <w:pPr>
        <w:spacing w:before="11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i)</w:t>
      </w:r>
      <w:r>
        <w:rPr>
          <w:rFonts w:ascii="Times New Roman" w:hAnsi="Times New Roman" w:eastAsia="Times New Roman" w:cs="Times New Roman"/>
          <w:spacing w:val="82"/>
          <w:sz w:val="27"/>
          <w:szCs w:val="27"/>
        </w:rPr>
        <w:t xml:space="preserve"> </w:t>
      </w:r>
      <w:r>
        <w:rPr>
          <w:rFonts w:ascii="宋体" w:hAnsi="宋体" w:eastAsia="宋体" w:cs="宋体"/>
          <w:spacing w:val="-3"/>
          <w:sz w:val="27"/>
          <w:szCs w:val="27"/>
        </w:rPr>
        <w:t>按使用程序对功能产品检查、检验、试验和验证是否有适当的措施?</w:t>
      </w:r>
    </w:p>
    <w:p w14:paraId="0C0D14C6">
      <w:pPr>
        <w:spacing w:before="99" w:line="212" w:lineRule="auto"/>
        <w:ind w:left="550"/>
        <w:rPr>
          <w:rFonts w:ascii="宋体" w:hAnsi="宋体" w:eastAsia="宋体" w:cs="宋体"/>
          <w:sz w:val="27"/>
          <w:szCs w:val="27"/>
        </w:rPr>
      </w:pPr>
      <w:r>
        <w:rPr>
          <w:rFonts w:ascii="Times New Roman" w:hAnsi="Times New Roman" w:eastAsia="Times New Roman" w:cs="Times New Roman"/>
          <w:spacing w:val="7"/>
          <w:sz w:val="27"/>
          <w:szCs w:val="27"/>
        </w:rPr>
        <w:t>j)</w:t>
      </w:r>
      <w:r>
        <w:rPr>
          <w:rFonts w:ascii="Times New Roman" w:hAnsi="Times New Roman" w:eastAsia="Times New Roman" w:cs="Times New Roman"/>
          <w:spacing w:val="70"/>
          <w:sz w:val="27"/>
          <w:szCs w:val="27"/>
        </w:rPr>
        <w:t xml:space="preserve"> </w:t>
      </w:r>
      <w:r>
        <w:rPr>
          <w:rFonts w:ascii="宋体" w:hAnsi="宋体" w:eastAsia="宋体" w:cs="宋体"/>
          <w:spacing w:val="7"/>
          <w:sz w:val="27"/>
          <w:szCs w:val="27"/>
        </w:rPr>
        <w:t>是否需要非标准化试验设备?</w:t>
      </w:r>
    </w:p>
    <w:p w14:paraId="0A59590E">
      <w:pPr>
        <w:pStyle w:val="2"/>
        <w:spacing w:before="107" w:line="222" w:lineRule="auto"/>
        <w:ind w:left="60"/>
        <w:rPr>
          <w:rFonts w:ascii="黑体" w:hAnsi="黑体" w:eastAsia="黑体" w:cs="黑体"/>
          <w:sz w:val="27"/>
          <w:szCs w:val="27"/>
        </w:rPr>
      </w:pPr>
      <w:r>
        <w:rPr>
          <w:b/>
          <w:bCs/>
          <w:spacing w:val="-1"/>
          <w:sz w:val="27"/>
          <w:szCs w:val="27"/>
        </w:rPr>
        <w:t xml:space="preserve">6    </w:t>
      </w:r>
      <w:r>
        <w:rPr>
          <w:rFonts w:ascii="黑体" w:hAnsi="黑体" w:eastAsia="黑体" w:cs="黑体"/>
          <w:b/>
          <w:bCs/>
          <w:spacing w:val="-1"/>
          <w:sz w:val="27"/>
          <w:szCs w:val="27"/>
        </w:rPr>
        <w:t>生产性分析结论</w:t>
      </w:r>
    </w:p>
    <w:p w14:paraId="2B19B30F">
      <w:pPr>
        <w:spacing w:before="110" w:line="219" w:lineRule="auto"/>
        <w:ind w:left="550"/>
        <w:rPr>
          <w:rFonts w:ascii="宋体" w:hAnsi="宋体" w:eastAsia="宋体" w:cs="宋体"/>
          <w:sz w:val="27"/>
          <w:szCs w:val="27"/>
        </w:rPr>
      </w:pPr>
      <w:r>
        <w:rPr>
          <w:rFonts w:ascii="宋体" w:hAnsi="宋体" w:eastAsia="宋体" w:cs="宋体"/>
          <w:spacing w:val="-2"/>
          <w:sz w:val="27"/>
          <w:szCs w:val="27"/>
        </w:rPr>
        <w:t>通过生产性分析，对以下各个方面给出结论性意见：</w:t>
      </w:r>
    </w:p>
    <w:p w14:paraId="7EA4C9A0">
      <w:pPr>
        <w:spacing w:before="59" w:line="260" w:lineRule="auto"/>
        <w:ind w:left="60" w:right="24" w:firstLine="489"/>
        <w:rPr>
          <w:rFonts w:ascii="宋体" w:hAnsi="宋体" w:eastAsia="宋体" w:cs="宋体"/>
          <w:sz w:val="27"/>
          <w:szCs w:val="27"/>
        </w:rPr>
      </w:pPr>
      <w:r>
        <w:rPr>
          <w:rFonts w:ascii="Times New Roman" w:hAnsi="Times New Roman" w:eastAsia="Times New Roman" w:cs="Times New Roman"/>
          <w:spacing w:val="-11"/>
          <w:sz w:val="27"/>
          <w:szCs w:val="27"/>
        </w:rPr>
        <w:t xml:space="preserve">a)  </w:t>
      </w:r>
      <w:r>
        <w:rPr>
          <w:rFonts w:ascii="宋体" w:hAnsi="宋体" w:eastAsia="宋体" w:cs="宋体"/>
          <w:spacing w:val="-11"/>
          <w:sz w:val="27"/>
          <w:szCs w:val="27"/>
        </w:rPr>
        <w:t>产品结构、系统设计合理，装配可达性好、</w:t>
      </w:r>
      <w:r>
        <w:rPr>
          <w:rFonts w:ascii="宋体" w:hAnsi="宋体" w:eastAsia="宋体" w:cs="宋体"/>
          <w:spacing w:val="-12"/>
          <w:sz w:val="27"/>
          <w:szCs w:val="27"/>
        </w:rPr>
        <w:t>连接方便、设计补偿充分、适于</w:t>
      </w:r>
      <w:r>
        <w:rPr>
          <w:rFonts w:ascii="宋体" w:hAnsi="宋体" w:eastAsia="宋体" w:cs="宋体"/>
          <w:sz w:val="27"/>
          <w:szCs w:val="27"/>
        </w:rPr>
        <w:t xml:space="preserve"> </w:t>
      </w:r>
      <w:r>
        <w:rPr>
          <w:rFonts w:ascii="宋体" w:hAnsi="宋体" w:eastAsia="宋体" w:cs="宋体"/>
          <w:spacing w:val="2"/>
          <w:sz w:val="27"/>
          <w:szCs w:val="27"/>
        </w:rPr>
        <w:t>批量生产要求；</w:t>
      </w:r>
    </w:p>
    <w:p w14:paraId="1951BD15">
      <w:pPr>
        <w:spacing w:before="59" w:line="212" w:lineRule="auto"/>
        <w:ind w:left="550"/>
        <w:rPr>
          <w:rFonts w:ascii="宋体" w:hAnsi="宋体" w:eastAsia="宋体" w:cs="宋体"/>
          <w:sz w:val="27"/>
          <w:szCs w:val="27"/>
        </w:rPr>
      </w:pPr>
      <w:r>
        <w:rPr>
          <w:rFonts w:ascii="Times New Roman" w:hAnsi="Times New Roman" w:eastAsia="Times New Roman" w:cs="Times New Roman"/>
          <w:spacing w:val="-11"/>
          <w:sz w:val="27"/>
          <w:szCs w:val="27"/>
        </w:rPr>
        <w:t xml:space="preserve">b)  </w:t>
      </w:r>
      <w:r>
        <w:rPr>
          <w:rFonts w:ascii="宋体" w:hAnsi="宋体" w:eastAsia="宋体" w:cs="宋体"/>
          <w:spacing w:val="-11"/>
          <w:sz w:val="27"/>
          <w:szCs w:val="27"/>
        </w:rPr>
        <w:t>图样尺寸齐全、协调，制造精度选择</w:t>
      </w:r>
      <w:r>
        <w:rPr>
          <w:rFonts w:ascii="宋体" w:hAnsi="宋体" w:eastAsia="宋体" w:cs="宋体"/>
          <w:spacing w:val="-12"/>
          <w:sz w:val="27"/>
          <w:szCs w:val="27"/>
        </w:rPr>
        <w:t>合理、经济；</w:t>
      </w:r>
    </w:p>
    <w:p w14:paraId="290655C8">
      <w:pPr>
        <w:spacing w:before="90" w:line="212" w:lineRule="auto"/>
        <w:ind w:left="550"/>
        <w:rPr>
          <w:rFonts w:ascii="宋体" w:hAnsi="宋体" w:eastAsia="宋体" w:cs="宋体"/>
          <w:sz w:val="27"/>
          <w:szCs w:val="27"/>
        </w:rPr>
      </w:pPr>
      <w:r>
        <w:rPr>
          <w:rFonts w:ascii="Times New Roman" w:hAnsi="Times New Roman" w:eastAsia="Times New Roman" w:cs="Times New Roman"/>
          <w:sz w:val="27"/>
          <w:szCs w:val="27"/>
        </w:rPr>
        <w:t>c)</w:t>
      </w:r>
      <w:r>
        <w:rPr>
          <w:rFonts w:ascii="Times New Roman" w:hAnsi="Times New Roman" w:eastAsia="Times New Roman" w:cs="Times New Roman"/>
          <w:spacing w:val="66"/>
          <w:w w:val="101"/>
          <w:sz w:val="27"/>
          <w:szCs w:val="27"/>
        </w:rPr>
        <w:t xml:space="preserve"> </w:t>
      </w:r>
      <w:r>
        <w:rPr>
          <w:rFonts w:ascii="宋体" w:hAnsi="宋体" w:eastAsia="宋体" w:cs="宋体"/>
          <w:sz w:val="27"/>
          <w:szCs w:val="27"/>
        </w:rPr>
        <w:t>互换性良好；</w:t>
      </w:r>
    </w:p>
    <w:p w14:paraId="595A2CD3">
      <w:pPr>
        <w:spacing w:before="99" w:line="262" w:lineRule="auto"/>
        <w:ind w:left="60" w:firstLine="489"/>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同类型零组件尺寸、规格、形状满足</w:t>
      </w:r>
      <w:r>
        <w:rPr>
          <w:rFonts w:ascii="宋体" w:hAnsi="宋体" w:eastAsia="宋体" w:cs="宋体"/>
          <w:spacing w:val="3"/>
          <w:sz w:val="27"/>
          <w:szCs w:val="27"/>
        </w:rPr>
        <w:t>标准化、系列化、组合化(模块化)</w:t>
      </w:r>
      <w:r>
        <w:rPr>
          <w:rFonts w:ascii="宋体" w:hAnsi="宋体" w:eastAsia="宋体" w:cs="宋体"/>
          <w:sz w:val="27"/>
          <w:szCs w:val="27"/>
        </w:rPr>
        <w:t xml:space="preserve"> </w:t>
      </w:r>
      <w:r>
        <w:rPr>
          <w:rFonts w:ascii="宋体" w:hAnsi="宋体" w:eastAsia="宋体" w:cs="宋体"/>
          <w:spacing w:val="-4"/>
          <w:sz w:val="27"/>
          <w:szCs w:val="27"/>
        </w:rPr>
        <w:t>要求；</w:t>
      </w:r>
    </w:p>
    <w:p w14:paraId="3124C291">
      <w:pPr>
        <w:spacing w:before="45"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e)</w:t>
      </w:r>
      <w:r>
        <w:rPr>
          <w:rFonts w:ascii="Times New Roman" w:hAnsi="Times New Roman" w:eastAsia="Times New Roman" w:cs="Times New Roman"/>
          <w:spacing w:val="54"/>
          <w:w w:val="101"/>
          <w:sz w:val="27"/>
          <w:szCs w:val="27"/>
        </w:rPr>
        <w:t xml:space="preserve"> </w:t>
      </w:r>
      <w:r>
        <w:rPr>
          <w:rFonts w:ascii="宋体" w:hAnsi="宋体" w:eastAsia="宋体" w:cs="宋体"/>
          <w:spacing w:val="2"/>
          <w:sz w:val="27"/>
          <w:szCs w:val="27"/>
        </w:rPr>
        <w:t>产品结构继承性好；</w:t>
      </w:r>
    </w:p>
    <w:p w14:paraId="298BAE06">
      <w:pPr>
        <w:spacing w:before="11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f)  </w:t>
      </w:r>
      <w:r>
        <w:rPr>
          <w:rFonts w:ascii="宋体" w:hAnsi="宋体" w:eastAsia="宋体" w:cs="宋体"/>
          <w:spacing w:val="3"/>
          <w:sz w:val="27"/>
          <w:szCs w:val="27"/>
        </w:rPr>
        <w:t>电子产品调试细则和仪器的合理性；</w:t>
      </w:r>
    </w:p>
    <w:p w14:paraId="3B8C3B40">
      <w:pPr>
        <w:spacing w:line="212" w:lineRule="auto"/>
        <w:rPr>
          <w:rFonts w:ascii="宋体" w:hAnsi="宋体" w:eastAsia="宋体" w:cs="宋体"/>
          <w:sz w:val="27"/>
          <w:szCs w:val="27"/>
        </w:rPr>
        <w:sectPr>
          <w:footerReference r:id="rId91" w:type="default"/>
          <w:pgSz w:w="11910" w:h="17130"/>
          <w:pgMar w:top="400" w:right="1090" w:bottom="1603" w:left="1410" w:header="0" w:footer="1405" w:gutter="0"/>
          <w:cols w:space="720" w:num="1"/>
        </w:sectPr>
      </w:pPr>
    </w:p>
    <w:p w14:paraId="1D2FCA80">
      <w:pPr>
        <w:pStyle w:val="2"/>
        <w:spacing w:line="276" w:lineRule="auto"/>
      </w:pPr>
    </w:p>
    <w:p w14:paraId="3FF0B7FF">
      <w:pPr>
        <w:pStyle w:val="2"/>
        <w:spacing w:line="276" w:lineRule="auto"/>
      </w:pPr>
    </w:p>
    <w:p w14:paraId="747A615D">
      <w:pPr>
        <w:pStyle w:val="2"/>
        <w:spacing w:line="276" w:lineRule="auto"/>
      </w:pPr>
    </w:p>
    <w:p w14:paraId="1CFA3621">
      <w:pPr>
        <w:pStyle w:val="2"/>
        <w:spacing w:line="277" w:lineRule="auto"/>
      </w:pPr>
    </w:p>
    <w:p w14:paraId="39AA702C">
      <w:pPr>
        <w:spacing w:before="88"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g)  </w:t>
      </w:r>
      <w:r>
        <w:rPr>
          <w:rFonts w:ascii="宋体" w:hAnsi="宋体" w:eastAsia="宋体" w:cs="宋体"/>
          <w:spacing w:val="3"/>
          <w:sz w:val="27"/>
          <w:szCs w:val="27"/>
        </w:rPr>
        <w:t>承制方现有设备的加工能力与产品匹配；</w:t>
      </w:r>
    </w:p>
    <w:p w14:paraId="6802CA99">
      <w:pPr>
        <w:spacing w:before="10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h)  </w:t>
      </w:r>
      <w:r>
        <w:rPr>
          <w:rFonts w:ascii="宋体" w:hAnsi="宋体" w:eastAsia="宋体" w:cs="宋体"/>
          <w:spacing w:val="-5"/>
          <w:sz w:val="27"/>
          <w:szCs w:val="27"/>
        </w:rPr>
        <w:t>新结构、新材料、新工艺选用与承制方技术水</w:t>
      </w:r>
      <w:r>
        <w:rPr>
          <w:rFonts w:ascii="宋体" w:hAnsi="宋体" w:eastAsia="宋体" w:cs="宋体"/>
          <w:spacing w:val="-6"/>
          <w:sz w:val="27"/>
          <w:szCs w:val="27"/>
        </w:rPr>
        <w:t>平相适应。</w:t>
      </w:r>
    </w:p>
    <w:p w14:paraId="32DD96B8">
      <w:pPr>
        <w:spacing w:before="130" w:line="219" w:lineRule="auto"/>
        <w:ind w:left="550"/>
        <w:rPr>
          <w:rFonts w:ascii="宋体" w:hAnsi="宋体" w:eastAsia="宋体" w:cs="宋体"/>
          <w:sz w:val="27"/>
          <w:szCs w:val="27"/>
        </w:rPr>
      </w:pPr>
      <w:r>
        <w:rPr>
          <w:rFonts w:ascii="宋体" w:hAnsi="宋体" w:eastAsia="宋体" w:cs="宋体"/>
          <w:spacing w:val="-10"/>
          <w:sz w:val="27"/>
          <w:szCs w:val="27"/>
        </w:rPr>
        <w:t>对技术资料进行分析评定，提出认可、不认可、需要修改的意见。</w:t>
      </w:r>
    </w:p>
    <w:p w14:paraId="2CC6BA7B">
      <w:pPr>
        <w:pStyle w:val="2"/>
        <w:spacing w:line="379" w:lineRule="auto"/>
      </w:pPr>
    </w:p>
    <w:p w14:paraId="52F0ABC7">
      <w:pPr>
        <w:spacing w:before="118" w:line="220" w:lineRule="auto"/>
        <w:ind w:left="3050"/>
        <w:outlineLvl w:val="1"/>
        <w:rPr>
          <w:rFonts w:ascii="宋体" w:hAnsi="宋体" w:eastAsia="宋体" w:cs="宋体"/>
          <w:sz w:val="36"/>
          <w:szCs w:val="36"/>
        </w:rPr>
      </w:pPr>
      <w:bookmarkStart w:id="50" w:name="bookmark27"/>
      <w:bookmarkEnd w:id="50"/>
      <w:r>
        <w:rPr>
          <w:rFonts w:ascii="Times New Roman" w:hAnsi="Times New Roman" w:eastAsia="Times New Roman" w:cs="Times New Roman"/>
          <w:b/>
          <w:bCs/>
          <w:spacing w:val="1"/>
          <w:sz w:val="36"/>
          <w:szCs w:val="36"/>
        </w:rPr>
        <w:t xml:space="preserve">1.25     </w:t>
      </w:r>
      <w:r>
        <w:rPr>
          <w:rFonts w:ascii="宋体" w:hAnsi="宋体" w:eastAsia="宋体" w:cs="宋体"/>
          <w:b/>
          <w:bCs/>
          <w:spacing w:val="1"/>
          <w:sz w:val="36"/>
          <w:szCs w:val="36"/>
        </w:rPr>
        <w:t>研制试验大纲</w:t>
      </w:r>
    </w:p>
    <w:p w14:paraId="6DB1286C">
      <w:pPr>
        <w:pStyle w:val="2"/>
        <w:spacing w:line="371" w:lineRule="auto"/>
      </w:pPr>
    </w:p>
    <w:p w14:paraId="62AC0313">
      <w:pPr>
        <w:spacing w:before="91" w:line="223" w:lineRule="auto"/>
        <w:ind w:left="55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35"/>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54AE6EE8">
      <w:pPr>
        <w:pStyle w:val="2"/>
        <w:spacing w:before="134" w:line="221" w:lineRule="auto"/>
        <w:rPr>
          <w:rFonts w:ascii="黑体" w:hAnsi="黑体" w:eastAsia="黑体" w:cs="黑体"/>
          <w:sz w:val="24"/>
          <w:szCs w:val="24"/>
        </w:rPr>
      </w:pPr>
      <w:r>
        <w:rPr>
          <w:spacing w:val="20"/>
          <w:sz w:val="24"/>
          <w:szCs w:val="24"/>
        </w:rPr>
        <w:t xml:space="preserve">1    </w:t>
      </w:r>
      <w:r>
        <w:rPr>
          <w:rFonts w:ascii="黑体" w:hAnsi="黑体" w:eastAsia="黑体" w:cs="黑体"/>
          <w:spacing w:val="20"/>
          <w:sz w:val="24"/>
          <w:szCs w:val="24"/>
        </w:rPr>
        <w:t>编制大纲的依据</w:t>
      </w:r>
    </w:p>
    <w:p w14:paraId="4B99C261">
      <w:pPr>
        <w:spacing w:before="75" w:line="297" w:lineRule="auto"/>
        <w:ind w:firstLine="550"/>
        <w:rPr>
          <w:rFonts w:ascii="宋体" w:hAnsi="宋体" w:eastAsia="宋体" w:cs="宋体"/>
          <w:sz w:val="27"/>
          <w:szCs w:val="27"/>
        </w:rPr>
      </w:pPr>
      <w:r>
        <w:rPr>
          <w:rFonts w:ascii="宋体" w:hAnsi="宋体" w:eastAsia="宋体" w:cs="宋体"/>
          <w:spacing w:val="-7"/>
          <w:sz w:val="27"/>
          <w:szCs w:val="27"/>
        </w:rPr>
        <w:t>说明编制研制试验大纲的依据，主要包括研制总要求，通用规范，产品规范，</w:t>
      </w:r>
      <w:r>
        <w:rPr>
          <w:rFonts w:ascii="宋体" w:hAnsi="宋体" w:eastAsia="宋体" w:cs="宋体"/>
          <w:spacing w:val="12"/>
          <w:sz w:val="27"/>
          <w:szCs w:val="27"/>
        </w:rPr>
        <w:t xml:space="preserve"> </w:t>
      </w:r>
      <w:r>
        <w:rPr>
          <w:rFonts w:ascii="宋体" w:hAnsi="宋体" w:eastAsia="宋体" w:cs="宋体"/>
          <w:spacing w:val="3"/>
          <w:sz w:val="27"/>
          <w:szCs w:val="27"/>
        </w:rPr>
        <w:t>有关试验规范等。</w:t>
      </w:r>
    </w:p>
    <w:p w14:paraId="25E5EB20">
      <w:pPr>
        <w:pStyle w:val="2"/>
        <w:spacing w:before="2" w:line="220" w:lineRule="auto"/>
        <w:rPr>
          <w:rFonts w:ascii="黑体" w:hAnsi="黑体" w:eastAsia="黑体" w:cs="黑体"/>
          <w:sz w:val="27"/>
          <w:szCs w:val="27"/>
        </w:rPr>
      </w:pPr>
      <w:r>
        <w:rPr>
          <w:spacing w:val="3"/>
          <w:sz w:val="27"/>
          <w:szCs w:val="27"/>
        </w:rPr>
        <w:t>2</w:t>
      </w:r>
      <w:r>
        <w:rPr>
          <w:spacing w:val="15"/>
          <w:sz w:val="27"/>
          <w:szCs w:val="27"/>
        </w:rPr>
        <w:t xml:space="preserve">   </w:t>
      </w:r>
      <w:r>
        <w:rPr>
          <w:rFonts w:ascii="黑体" w:hAnsi="黑体" w:eastAsia="黑体" w:cs="黑体"/>
          <w:spacing w:val="3"/>
          <w:sz w:val="27"/>
          <w:szCs w:val="27"/>
        </w:rPr>
        <w:t>试验目的和性质</w:t>
      </w:r>
    </w:p>
    <w:p w14:paraId="5A4C8E60">
      <w:pPr>
        <w:spacing w:before="98" w:line="305" w:lineRule="auto"/>
        <w:ind w:right="122" w:firstLine="550"/>
        <w:jc w:val="both"/>
        <w:rPr>
          <w:rFonts w:ascii="宋体" w:hAnsi="宋体" w:eastAsia="宋体" w:cs="宋体"/>
          <w:sz w:val="25"/>
          <w:szCs w:val="25"/>
        </w:rPr>
      </w:pPr>
      <w:r>
        <w:rPr>
          <w:rFonts w:ascii="宋体" w:hAnsi="宋体" w:eastAsia="宋体" w:cs="宋体"/>
          <w:spacing w:val="21"/>
          <w:sz w:val="25"/>
          <w:szCs w:val="25"/>
        </w:rPr>
        <w:t>说明研制试验的目的和性质。研制试验(如静力试验、耐久试验、环境应力</w:t>
      </w:r>
      <w:r>
        <w:rPr>
          <w:rFonts w:ascii="宋体" w:hAnsi="宋体" w:eastAsia="宋体" w:cs="宋体"/>
          <w:spacing w:val="2"/>
          <w:sz w:val="25"/>
          <w:szCs w:val="25"/>
        </w:rPr>
        <w:t xml:space="preserve"> </w:t>
      </w:r>
      <w:r>
        <w:rPr>
          <w:rFonts w:ascii="宋体" w:hAnsi="宋体" w:eastAsia="宋体" w:cs="宋体"/>
          <w:spacing w:val="22"/>
          <w:sz w:val="25"/>
          <w:szCs w:val="25"/>
        </w:rPr>
        <w:t>筛选、可靠性增长试验等)的目的通常是验证产品</w:t>
      </w:r>
      <w:r>
        <w:rPr>
          <w:rFonts w:ascii="宋体" w:hAnsi="宋体" w:eastAsia="宋体" w:cs="宋体"/>
          <w:spacing w:val="21"/>
          <w:sz w:val="25"/>
          <w:szCs w:val="25"/>
        </w:rPr>
        <w:t>研制方案在某个方面的设计是</w:t>
      </w:r>
      <w:r>
        <w:rPr>
          <w:rFonts w:ascii="宋体" w:hAnsi="宋体" w:eastAsia="宋体" w:cs="宋体"/>
          <w:sz w:val="25"/>
          <w:szCs w:val="25"/>
        </w:rPr>
        <w:t xml:space="preserve"> </w:t>
      </w:r>
      <w:r>
        <w:rPr>
          <w:rFonts w:ascii="宋体" w:hAnsi="宋体" w:eastAsia="宋体" w:cs="宋体"/>
          <w:spacing w:val="23"/>
          <w:sz w:val="25"/>
          <w:szCs w:val="25"/>
        </w:rPr>
        <w:t>否能够实现研制总要求规定的技术性能指标。</w:t>
      </w:r>
    </w:p>
    <w:p w14:paraId="0153D94E">
      <w:pPr>
        <w:spacing w:before="1" w:line="220" w:lineRule="auto"/>
        <w:rPr>
          <w:rFonts w:ascii="黑体" w:hAnsi="黑体" w:eastAsia="黑体" w:cs="黑体"/>
          <w:sz w:val="27"/>
          <w:szCs w:val="27"/>
        </w:rPr>
      </w:pPr>
      <w:r>
        <w:rPr>
          <w:rFonts w:ascii="黑体" w:hAnsi="黑体" w:eastAsia="黑体" w:cs="黑体"/>
          <w:spacing w:val="-7"/>
          <w:sz w:val="27"/>
          <w:szCs w:val="27"/>
        </w:rPr>
        <w:t>3  被试品、陪试品、配套设备的数量和技术状态</w:t>
      </w:r>
    </w:p>
    <w:p w14:paraId="457AB6EF">
      <w:pPr>
        <w:spacing w:before="97" w:line="221" w:lineRule="auto"/>
        <w:rPr>
          <w:rFonts w:ascii="黑体" w:hAnsi="黑体" w:eastAsia="黑体" w:cs="黑体"/>
          <w:sz w:val="27"/>
          <w:szCs w:val="27"/>
        </w:rPr>
      </w:pPr>
      <w:r>
        <w:rPr>
          <w:rFonts w:ascii="黑体" w:hAnsi="黑体" w:eastAsia="黑体" w:cs="黑体"/>
          <w:spacing w:val="2"/>
          <w:sz w:val="27"/>
          <w:szCs w:val="27"/>
        </w:rPr>
        <w:t>3.1</w:t>
      </w:r>
      <w:r>
        <w:rPr>
          <w:rFonts w:ascii="黑体" w:hAnsi="黑体" w:eastAsia="黑体" w:cs="黑体"/>
          <w:spacing w:val="29"/>
          <w:sz w:val="27"/>
          <w:szCs w:val="27"/>
        </w:rPr>
        <w:t xml:space="preserve">  </w:t>
      </w:r>
      <w:r>
        <w:rPr>
          <w:rFonts w:ascii="黑体" w:hAnsi="黑体" w:eastAsia="黑体" w:cs="黑体"/>
          <w:spacing w:val="2"/>
          <w:sz w:val="27"/>
          <w:szCs w:val="27"/>
        </w:rPr>
        <w:t>被试品的数量和技术状态</w:t>
      </w:r>
    </w:p>
    <w:p w14:paraId="2765038A">
      <w:pPr>
        <w:spacing w:before="106" w:line="219" w:lineRule="auto"/>
        <w:ind w:left="550"/>
        <w:rPr>
          <w:rFonts w:ascii="宋体" w:hAnsi="宋体" w:eastAsia="宋体" w:cs="宋体"/>
          <w:sz w:val="25"/>
          <w:szCs w:val="25"/>
        </w:rPr>
      </w:pPr>
      <w:r>
        <w:rPr>
          <w:rFonts w:ascii="宋体" w:hAnsi="宋体" w:eastAsia="宋体" w:cs="宋体"/>
          <w:spacing w:val="15"/>
          <w:sz w:val="25"/>
          <w:szCs w:val="25"/>
        </w:rPr>
        <w:t>规定被试品的品种、数量和技术状态，规定提供渠道和交接方法。</w:t>
      </w:r>
    </w:p>
    <w:p w14:paraId="5433E4B6">
      <w:pPr>
        <w:spacing w:before="154" w:line="221" w:lineRule="auto"/>
        <w:rPr>
          <w:rFonts w:ascii="黑体" w:hAnsi="黑体" w:eastAsia="黑体" w:cs="黑体"/>
          <w:sz w:val="27"/>
          <w:szCs w:val="27"/>
        </w:rPr>
      </w:pPr>
      <w:r>
        <w:rPr>
          <w:rFonts w:ascii="黑体" w:hAnsi="黑体" w:eastAsia="黑体" w:cs="黑体"/>
          <w:spacing w:val="5"/>
          <w:sz w:val="27"/>
          <w:szCs w:val="27"/>
        </w:rPr>
        <w:t>3.2  陪试品的数量和技术状态</w:t>
      </w:r>
    </w:p>
    <w:p w14:paraId="1278F6E0">
      <w:pPr>
        <w:spacing w:before="117" w:line="219" w:lineRule="auto"/>
        <w:ind w:left="550"/>
        <w:rPr>
          <w:rFonts w:ascii="宋体" w:hAnsi="宋体" w:eastAsia="宋体" w:cs="宋体"/>
          <w:sz w:val="27"/>
          <w:szCs w:val="27"/>
        </w:rPr>
      </w:pPr>
      <w:r>
        <w:rPr>
          <w:rFonts w:ascii="宋体" w:hAnsi="宋体" w:eastAsia="宋体" w:cs="宋体"/>
          <w:spacing w:val="-4"/>
          <w:sz w:val="27"/>
          <w:szCs w:val="27"/>
        </w:rPr>
        <w:t>规定陪试品的品种、数量和技术状态，规定提供渠道</w:t>
      </w:r>
      <w:r>
        <w:rPr>
          <w:rFonts w:ascii="宋体" w:hAnsi="宋体" w:eastAsia="宋体" w:cs="宋体"/>
          <w:spacing w:val="-5"/>
          <w:sz w:val="27"/>
          <w:szCs w:val="27"/>
        </w:rPr>
        <w:t>和交接方法。</w:t>
      </w:r>
    </w:p>
    <w:p w14:paraId="45857FC2">
      <w:pPr>
        <w:spacing w:before="160" w:line="222" w:lineRule="auto"/>
        <w:rPr>
          <w:rFonts w:ascii="黑体" w:hAnsi="黑体" w:eastAsia="黑体" w:cs="黑体"/>
          <w:sz w:val="27"/>
          <w:szCs w:val="27"/>
        </w:rPr>
      </w:pPr>
      <w:r>
        <w:rPr>
          <w:rFonts w:ascii="黑体" w:hAnsi="黑体" w:eastAsia="黑体" w:cs="黑体"/>
          <w:spacing w:val="6"/>
          <w:sz w:val="27"/>
          <w:szCs w:val="27"/>
        </w:rPr>
        <w:t>3.3  配套设备的数量和技术状态</w:t>
      </w:r>
    </w:p>
    <w:p w14:paraId="0A5369FB">
      <w:pPr>
        <w:spacing w:before="115" w:line="219" w:lineRule="auto"/>
        <w:ind w:left="550"/>
        <w:rPr>
          <w:rFonts w:ascii="宋体" w:hAnsi="宋体" w:eastAsia="宋体" w:cs="宋体"/>
          <w:sz w:val="27"/>
          <w:szCs w:val="27"/>
        </w:rPr>
      </w:pPr>
      <w:r>
        <w:rPr>
          <w:rFonts w:ascii="宋体" w:hAnsi="宋体" w:eastAsia="宋体" w:cs="宋体"/>
          <w:spacing w:val="-5"/>
          <w:sz w:val="27"/>
          <w:szCs w:val="27"/>
        </w:rPr>
        <w:t>规定配套设备的品种、数量和技术状态，规定提供渠道和交接方法。</w:t>
      </w:r>
    </w:p>
    <w:p w14:paraId="629864E6">
      <w:pPr>
        <w:spacing w:before="159" w:line="221" w:lineRule="auto"/>
        <w:rPr>
          <w:rFonts w:ascii="黑体" w:hAnsi="黑体" w:eastAsia="黑体" w:cs="黑体"/>
          <w:sz w:val="27"/>
          <w:szCs w:val="27"/>
        </w:rPr>
      </w:pPr>
      <w:r>
        <w:rPr>
          <w:rFonts w:ascii="黑体" w:hAnsi="黑体" w:eastAsia="黑体" w:cs="黑体"/>
          <w:spacing w:val="-5"/>
          <w:sz w:val="27"/>
          <w:szCs w:val="27"/>
        </w:rPr>
        <w:t>4  试验项目、内容和方法</w:t>
      </w:r>
    </w:p>
    <w:p w14:paraId="51C1B1C2">
      <w:pPr>
        <w:spacing w:before="129" w:line="278" w:lineRule="auto"/>
        <w:ind w:right="122" w:firstLine="550"/>
        <w:jc w:val="both"/>
        <w:rPr>
          <w:rFonts w:ascii="宋体" w:hAnsi="宋体" w:eastAsia="宋体" w:cs="宋体"/>
          <w:sz w:val="27"/>
          <w:szCs w:val="27"/>
        </w:rPr>
      </w:pPr>
      <w:r>
        <w:rPr>
          <w:rFonts w:ascii="宋体" w:hAnsi="宋体" w:eastAsia="宋体" w:cs="宋体"/>
          <w:spacing w:val="6"/>
          <w:sz w:val="27"/>
          <w:szCs w:val="27"/>
        </w:rPr>
        <w:t>依据研制总要求或研制合同提出的产品功能性能要求和相关国家军用标准</w:t>
      </w:r>
      <w:r>
        <w:rPr>
          <w:rFonts w:ascii="宋体" w:hAnsi="宋体" w:eastAsia="宋体" w:cs="宋体"/>
          <w:sz w:val="27"/>
          <w:szCs w:val="27"/>
        </w:rPr>
        <w:t xml:space="preserve"> </w:t>
      </w:r>
      <w:r>
        <w:rPr>
          <w:rFonts w:ascii="宋体" w:hAnsi="宋体" w:eastAsia="宋体" w:cs="宋体"/>
          <w:spacing w:val="-2"/>
          <w:sz w:val="27"/>
          <w:szCs w:val="27"/>
        </w:rPr>
        <w:t>规定的试验方法，规定研制试验项目、内容和</w:t>
      </w:r>
      <w:r>
        <w:rPr>
          <w:rFonts w:ascii="宋体" w:hAnsi="宋体" w:eastAsia="宋体" w:cs="宋体"/>
          <w:spacing w:val="-3"/>
          <w:sz w:val="27"/>
          <w:szCs w:val="27"/>
        </w:rPr>
        <w:t>方法。可根据具体情况用文字逐项</w:t>
      </w:r>
      <w:r>
        <w:rPr>
          <w:rFonts w:ascii="宋体" w:hAnsi="宋体" w:eastAsia="宋体" w:cs="宋体"/>
          <w:sz w:val="27"/>
          <w:szCs w:val="27"/>
        </w:rPr>
        <w:t xml:space="preserve"> </w:t>
      </w:r>
      <w:r>
        <w:rPr>
          <w:rFonts w:ascii="宋体" w:hAnsi="宋体" w:eastAsia="宋体" w:cs="宋体"/>
          <w:spacing w:val="2"/>
          <w:sz w:val="27"/>
          <w:szCs w:val="27"/>
        </w:rPr>
        <w:t>描述或使用表格形式。</w:t>
      </w:r>
    </w:p>
    <w:p w14:paraId="29605692">
      <w:pPr>
        <w:pStyle w:val="2"/>
        <w:spacing w:line="368" w:lineRule="exact"/>
        <w:rPr>
          <w:rFonts w:ascii="黑体" w:hAnsi="黑体" w:eastAsia="黑体" w:cs="黑体"/>
          <w:sz w:val="27"/>
          <w:szCs w:val="27"/>
        </w:rPr>
      </w:pPr>
      <w:r>
        <w:rPr>
          <w:spacing w:val="-17"/>
          <w:position w:val="1"/>
          <w:sz w:val="27"/>
          <w:szCs w:val="27"/>
        </w:rPr>
        <w:t>5</w:t>
      </w:r>
      <w:r>
        <w:rPr>
          <w:spacing w:val="19"/>
          <w:w w:val="101"/>
          <w:position w:val="1"/>
          <w:sz w:val="27"/>
          <w:szCs w:val="27"/>
        </w:rPr>
        <w:t xml:space="preserve">   </w:t>
      </w:r>
      <w:r>
        <w:rPr>
          <w:rFonts w:ascii="黑体" w:hAnsi="黑体" w:eastAsia="黑体" w:cs="黑体"/>
          <w:spacing w:val="-17"/>
          <w:position w:val="1"/>
          <w:sz w:val="27"/>
          <w:szCs w:val="27"/>
        </w:rPr>
        <w:t>主要测试、测量设备的名称、精度、数量</w:t>
      </w:r>
    </w:p>
    <w:p w14:paraId="149EDF4F">
      <w:pPr>
        <w:spacing w:before="141" w:line="219" w:lineRule="auto"/>
        <w:ind w:left="550"/>
        <w:rPr>
          <w:rFonts w:ascii="宋体" w:hAnsi="宋体" w:eastAsia="宋体" w:cs="宋体"/>
          <w:sz w:val="27"/>
          <w:szCs w:val="27"/>
        </w:rPr>
      </w:pPr>
      <w:r>
        <w:rPr>
          <w:rFonts w:ascii="宋体" w:hAnsi="宋体" w:eastAsia="宋体" w:cs="宋体"/>
          <w:spacing w:val="-9"/>
          <w:sz w:val="27"/>
          <w:szCs w:val="27"/>
        </w:rPr>
        <w:t>列表给出主要测试、测量设备的名称、精度、数量等信息，见表1.</w:t>
      </w:r>
      <w:r>
        <w:rPr>
          <w:rFonts w:ascii="宋体" w:hAnsi="宋体" w:eastAsia="宋体" w:cs="宋体"/>
          <w:spacing w:val="-10"/>
          <w:sz w:val="27"/>
          <w:szCs w:val="27"/>
        </w:rPr>
        <w:t>3。</w:t>
      </w:r>
    </w:p>
    <w:p w14:paraId="1937CB31">
      <w:pPr>
        <w:spacing w:before="111" w:line="223" w:lineRule="auto"/>
        <w:ind w:left="3060"/>
        <w:rPr>
          <w:rFonts w:ascii="仿宋" w:hAnsi="仿宋" w:eastAsia="仿宋" w:cs="仿宋"/>
          <w:sz w:val="27"/>
          <w:szCs w:val="27"/>
        </w:rPr>
      </w:pPr>
      <w:r>
        <w:rPr>
          <w:rFonts w:ascii="仿宋" w:hAnsi="仿宋" w:eastAsia="仿宋" w:cs="仿宋"/>
          <w:spacing w:val="-4"/>
          <w:sz w:val="27"/>
          <w:szCs w:val="27"/>
        </w:rPr>
        <w:t>表1.3</w:t>
      </w:r>
      <w:r>
        <w:rPr>
          <w:rFonts w:ascii="仿宋" w:hAnsi="仿宋" w:eastAsia="仿宋" w:cs="仿宋"/>
          <w:spacing w:val="18"/>
          <w:sz w:val="27"/>
          <w:szCs w:val="27"/>
        </w:rPr>
        <w:t xml:space="preserve">  </w:t>
      </w:r>
      <w:r>
        <w:rPr>
          <w:rFonts w:ascii="仿宋" w:hAnsi="仿宋" w:eastAsia="仿宋" w:cs="仿宋"/>
          <w:spacing w:val="-4"/>
          <w:sz w:val="27"/>
          <w:szCs w:val="27"/>
        </w:rPr>
        <w:t>主要测试、测量设备</w:t>
      </w:r>
    </w:p>
    <w:p w14:paraId="3D0F7865">
      <w:pPr>
        <w:spacing w:line="108" w:lineRule="exact"/>
      </w:pPr>
    </w:p>
    <w:tbl>
      <w:tblPr>
        <w:tblStyle w:val="5"/>
        <w:tblW w:w="9370"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3766"/>
        <w:gridCol w:w="1459"/>
        <w:gridCol w:w="1468"/>
        <w:gridCol w:w="1843"/>
      </w:tblGrid>
      <w:tr w14:paraId="0D961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834" w:type="dxa"/>
            <w:vAlign w:val="top"/>
          </w:tcPr>
          <w:p w14:paraId="0CC8F050">
            <w:pPr>
              <w:spacing w:before="174" w:line="221" w:lineRule="auto"/>
              <w:ind w:left="194"/>
              <w:rPr>
                <w:rFonts w:ascii="宋体" w:hAnsi="宋体" w:eastAsia="宋体" w:cs="宋体"/>
                <w:sz w:val="20"/>
                <w:szCs w:val="20"/>
              </w:rPr>
            </w:pPr>
            <w:r>
              <w:rPr>
                <w:rFonts w:ascii="宋体" w:hAnsi="宋体" w:eastAsia="宋体" w:cs="宋体"/>
                <w:spacing w:val="-2"/>
                <w:sz w:val="20"/>
                <w:szCs w:val="20"/>
              </w:rPr>
              <w:t>序号</w:t>
            </w:r>
          </w:p>
        </w:tc>
        <w:tc>
          <w:tcPr>
            <w:tcW w:w="3766" w:type="dxa"/>
            <w:vAlign w:val="top"/>
          </w:tcPr>
          <w:p w14:paraId="2A01D1A6">
            <w:pPr>
              <w:spacing w:before="174" w:line="221" w:lineRule="auto"/>
              <w:ind w:left="1371"/>
              <w:rPr>
                <w:rFonts w:ascii="宋体" w:hAnsi="宋体" w:eastAsia="宋体" w:cs="宋体"/>
                <w:sz w:val="20"/>
                <w:szCs w:val="20"/>
              </w:rPr>
            </w:pPr>
            <w:r>
              <w:rPr>
                <w:rFonts w:ascii="宋体" w:hAnsi="宋体" w:eastAsia="宋体" w:cs="宋体"/>
                <w:spacing w:val="2"/>
                <w:sz w:val="20"/>
                <w:szCs w:val="20"/>
              </w:rPr>
              <w:t>型号和名称</w:t>
            </w:r>
          </w:p>
        </w:tc>
        <w:tc>
          <w:tcPr>
            <w:tcW w:w="1459" w:type="dxa"/>
            <w:vAlign w:val="top"/>
          </w:tcPr>
          <w:p w14:paraId="47D35683">
            <w:pPr>
              <w:spacing w:before="171" w:line="219" w:lineRule="auto"/>
              <w:ind w:left="504"/>
              <w:rPr>
                <w:rFonts w:ascii="宋体" w:hAnsi="宋体" w:eastAsia="宋体" w:cs="宋体"/>
                <w:sz w:val="20"/>
                <w:szCs w:val="20"/>
              </w:rPr>
            </w:pPr>
            <w:r>
              <w:rPr>
                <w:rFonts w:ascii="宋体" w:hAnsi="宋体" w:eastAsia="宋体" w:cs="宋体"/>
                <w:spacing w:val="-2"/>
                <w:sz w:val="20"/>
                <w:szCs w:val="20"/>
              </w:rPr>
              <w:t>精度</w:t>
            </w:r>
          </w:p>
        </w:tc>
        <w:tc>
          <w:tcPr>
            <w:tcW w:w="1468" w:type="dxa"/>
            <w:vAlign w:val="top"/>
          </w:tcPr>
          <w:p w14:paraId="4E7CAAB4">
            <w:pPr>
              <w:spacing w:before="173" w:line="219" w:lineRule="auto"/>
              <w:ind w:left="506"/>
              <w:rPr>
                <w:rFonts w:ascii="宋体" w:hAnsi="宋体" w:eastAsia="宋体" w:cs="宋体"/>
                <w:sz w:val="20"/>
                <w:szCs w:val="20"/>
              </w:rPr>
            </w:pPr>
            <w:r>
              <w:rPr>
                <w:rFonts w:ascii="宋体" w:hAnsi="宋体" w:eastAsia="宋体" w:cs="宋体"/>
                <w:spacing w:val="-3"/>
                <w:sz w:val="20"/>
                <w:szCs w:val="20"/>
              </w:rPr>
              <w:t>数量</w:t>
            </w:r>
          </w:p>
        </w:tc>
        <w:tc>
          <w:tcPr>
            <w:tcW w:w="1843" w:type="dxa"/>
            <w:vAlign w:val="top"/>
          </w:tcPr>
          <w:p w14:paraId="65C4E6B4">
            <w:pPr>
              <w:spacing w:before="171" w:line="219" w:lineRule="auto"/>
              <w:ind w:left="507"/>
              <w:rPr>
                <w:rFonts w:ascii="宋体" w:hAnsi="宋体" w:eastAsia="宋体" w:cs="宋体"/>
                <w:sz w:val="20"/>
                <w:szCs w:val="20"/>
              </w:rPr>
            </w:pPr>
            <w:r>
              <w:rPr>
                <w:rFonts w:ascii="宋体" w:hAnsi="宋体" w:eastAsia="宋体" w:cs="宋体"/>
                <w:spacing w:val="-2"/>
                <w:sz w:val="20"/>
                <w:szCs w:val="20"/>
              </w:rPr>
              <w:t>提供单位</w:t>
            </w:r>
          </w:p>
        </w:tc>
      </w:tr>
      <w:tr w14:paraId="6D100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834" w:type="dxa"/>
            <w:vAlign w:val="top"/>
          </w:tcPr>
          <w:p w14:paraId="3E36D495">
            <w:pPr>
              <w:rPr>
                <w:rFonts w:ascii="Arial"/>
                <w:sz w:val="21"/>
              </w:rPr>
            </w:pPr>
          </w:p>
        </w:tc>
        <w:tc>
          <w:tcPr>
            <w:tcW w:w="3766" w:type="dxa"/>
            <w:vAlign w:val="top"/>
          </w:tcPr>
          <w:p w14:paraId="3029F6B2">
            <w:pPr>
              <w:rPr>
                <w:rFonts w:ascii="Arial"/>
                <w:sz w:val="21"/>
              </w:rPr>
            </w:pPr>
          </w:p>
        </w:tc>
        <w:tc>
          <w:tcPr>
            <w:tcW w:w="1459" w:type="dxa"/>
            <w:vAlign w:val="top"/>
          </w:tcPr>
          <w:p w14:paraId="50BD4FC9">
            <w:pPr>
              <w:rPr>
                <w:rFonts w:ascii="Arial"/>
                <w:sz w:val="21"/>
              </w:rPr>
            </w:pPr>
          </w:p>
        </w:tc>
        <w:tc>
          <w:tcPr>
            <w:tcW w:w="1468" w:type="dxa"/>
            <w:vAlign w:val="top"/>
          </w:tcPr>
          <w:p w14:paraId="154C633F">
            <w:pPr>
              <w:rPr>
                <w:rFonts w:ascii="Arial"/>
                <w:sz w:val="21"/>
              </w:rPr>
            </w:pPr>
          </w:p>
        </w:tc>
        <w:tc>
          <w:tcPr>
            <w:tcW w:w="1843" w:type="dxa"/>
            <w:vAlign w:val="top"/>
          </w:tcPr>
          <w:p w14:paraId="210655D6">
            <w:pPr>
              <w:rPr>
                <w:rFonts w:ascii="Arial"/>
                <w:sz w:val="21"/>
              </w:rPr>
            </w:pPr>
          </w:p>
        </w:tc>
      </w:tr>
      <w:tr w14:paraId="0F3FD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834" w:type="dxa"/>
            <w:vAlign w:val="top"/>
          </w:tcPr>
          <w:p w14:paraId="44FF4070">
            <w:pPr>
              <w:rPr>
                <w:rFonts w:ascii="Arial"/>
                <w:sz w:val="21"/>
              </w:rPr>
            </w:pPr>
          </w:p>
        </w:tc>
        <w:tc>
          <w:tcPr>
            <w:tcW w:w="3766" w:type="dxa"/>
            <w:vAlign w:val="top"/>
          </w:tcPr>
          <w:p w14:paraId="54938E15">
            <w:pPr>
              <w:rPr>
                <w:rFonts w:ascii="Arial"/>
                <w:sz w:val="21"/>
              </w:rPr>
            </w:pPr>
          </w:p>
        </w:tc>
        <w:tc>
          <w:tcPr>
            <w:tcW w:w="1459" w:type="dxa"/>
            <w:vAlign w:val="top"/>
          </w:tcPr>
          <w:p w14:paraId="186E7083">
            <w:pPr>
              <w:rPr>
                <w:rFonts w:ascii="Arial"/>
                <w:sz w:val="21"/>
              </w:rPr>
            </w:pPr>
          </w:p>
        </w:tc>
        <w:tc>
          <w:tcPr>
            <w:tcW w:w="1468" w:type="dxa"/>
            <w:vAlign w:val="top"/>
          </w:tcPr>
          <w:p w14:paraId="429BCAFF">
            <w:pPr>
              <w:rPr>
                <w:rFonts w:ascii="Arial"/>
                <w:sz w:val="21"/>
              </w:rPr>
            </w:pPr>
          </w:p>
        </w:tc>
        <w:tc>
          <w:tcPr>
            <w:tcW w:w="1843" w:type="dxa"/>
            <w:vAlign w:val="top"/>
          </w:tcPr>
          <w:p w14:paraId="6C9F7BD3">
            <w:pPr>
              <w:rPr>
                <w:rFonts w:ascii="Arial"/>
                <w:sz w:val="21"/>
              </w:rPr>
            </w:pPr>
          </w:p>
        </w:tc>
      </w:tr>
    </w:tbl>
    <w:p w14:paraId="7817C957">
      <w:pPr>
        <w:pStyle w:val="2"/>
        <w:spacing w:line="209" w:lineRule="exact"/>
        <w:rPr>
          <w:sz w:val="18"/>
        </w:rPr>
      </w:pPr>
    </w:p>
    <w:p w14:paraId="1CF1103F">
      <w:pPr>
        <w:spacing w:line="209" w:lineRule="exact"/>
        <w:rPr>
          <w:sz w:val="18"/>
          <w:szCs w:val="18"/>
        </w:rPr>
        <w:sectPr>
          <w:footerReference r:id="rId92" w:type="default"/>
          <w:pgSz w:w="11910" w:h="17130"/>
          <w:pgMar w:top="400" w:right="1165" w:bottom="1535" w:left="1239" w:header="0" w:footer="1347" w:gutter="0"/>
          <w:cols w:space="720" w:num="1"/>
        </w:sectPr>
      </w:pPr>
    </w:p>
    <w:p w14:paraId="7425FF8A">
      <w:pPr>
        <w:pStyle w:val="2"/>
        <w:spacing w:line="250" w:lineRule="auto"/>
      </w:pPr>
    </w:p>
    <w:p w14:paraId="6003558C">
      <w:pPr>
        <w:pStyle w:val="2"/>
        <w:spacing w:line="250" w:lineRule="auto"/>
      </w:pPr>
    </w:p>
    <w:p w14:paraId="018E9572">
      <w:pPr>
        <w:pStyle w:val="2"/>
        <w:spacing w:line="250" w:lineRule="auto"/>
      </w:pPr>
    </w:p>
    <w:p w14:paraId="63B35FE4">
      <w:pPr>
        <w:pStyle w:val="2"/>
        <w:spacing w:line="250" w:lineRule="auto"/>
      </w:pPr>
    </w:p>
    <w:p w14:paraId="438AE461">
      <w:pPr>
        <w:spacing w:before="88" w:line="221" w:lineRule="auto"/>
        <w:rPr>
          <w:rFonts w:ascii="黑体" w:hAnsi="黑体" w:eastAsia="黑体" w:cs="黑体"/>
          <w:sz w:val="27"/>
          <w:szCs w:val="27"/>
        </w:rPr>
      </w:pPr>
      <w:r>
        <w:rPr>
          <w:rFonts w:ascii="黑体" w:hAnsi="黑体" w:eastAsia="黑体" w:cs="黑体"/>
          <w:spacing w:val="-4"/>
          <w:sz w:val="27"/>
          <w:szCs w:val="27"/>
        </w:rPr>
        <w:t xml:space="preserve">6  </w:t>
      </w:r>
      <w:r>
        <w:rPr>
          <w:rFonts w:ascii="黑体" w:hAnsi="黑体" w:eastAsia="黑体" w:cs="黑体"/>
          <w:b/>
          <w:bCs/>
          <w:spacing w:val="-4"/>
          <w:sz w:val="27"/>
          <w:szCs w:val="27"/>
        </w:rPr>
        <w:t>试验数据处理原则、方法和合格判定准则</w:t>
      </w:r>
    </w:p>
    <w:p w14:paraId="6A984B56">
      <w:pPr>
        <w:spacing w:before="116" w:line="221" w:lineRule="auto"/>
        <w:rPr>
          <w:rFonts w:ascii="黑体" w:hAnsi="黑体" w:eastAsia="黑体" w:cs="黑体"/>
          <w:sz w:val="25"/>
          <w:szCs w:val="25"/>
        </w:rPr>
      </w:pPr>
      <w:r>
        <w:rPr>
          <w:rFonts w:ascii="黑体" w:hAnsi="黑体" w:eastAsia="黑体" w:cs="黑体"/>
          <w:spacing w:val="17"/>
          <w:sz w:val="25"/>
          <w:szCs w:val="25"/>
        </w:rPr>
        <w:t>6.1</w:t>
      </w:r>
      <w:r>
        <w:rPr>
          <w:rFonts w:ascii="黑体" w:hAnsi="黑体" w:eastAsia="黑体" w:cs="黑体"/>
          <w:spacing w:val="33"/>
          <w:sz w:val="25"/>
          <w:szCs w:val="25"/>
        </w:rPr>
        <w:t xml:space="preserve">  </w:t>
      </w:r>
      <w:r>
        <w:rPr>
          <w:rFonts w:ascii="黑体" w:hAnsi="黑体" w:eastAsia="黑体" w:cs="黑体"/>
          <w:b/>
          <w:bCs/>
          <w:spacing w:val="17"/>
          <w:sz w:val="25"/>
          <w:szCs w:val="25"/>
        </w:rPr>
        <w:t>试验数据处理原则</w:t>
      </w:r>
    </w:p>
    <w:p w14:paraId="059D22B8">
      <w:pPr>
        <w:spacing w:before="77" w:line="219" w:lineRule="auto"/>
        <w:ind w:left="560"/>
        <w:rPr>
          <w:rFonts w:ascii="宋体" w:hAnsi="宋体" w:eastAsia="宋体" w:cs="宋体"/>
          <w:sz w:val="27"/>
          <w:szCs w:val="27"/>
        </w:rPr>
      </w:pPr>
      <w:r>
        <w:rPr>
          <w:rFonts w:ascii="宋体" w:hAnsi="宋体" w:eastAsia="宋体" w:cs="宋体"/>
          <w:spacing w:val="2"/>
          <w:sz w:val="27"/>
          <w:szCs w:val="27"/>
        </w:rPr>
        <w:t>规定试验数据的处理原则。</w:t>
      </w:r>
    </w:p>
    <w:p w14:paraId="02B10BAF">
      <w:pPr>
        <w:spacing w:before="112" w:line="221" w:lineRule="auto"/>
        <w:rPr>
          <w:rFonts w:ascii="黑体" w:hAnsi="黑体" w:eastAsia="黑体" w:cs="黑体"/>
          <w:sz w:val="25"/>
          <w:szCs w:val="25"/>
        </w:rPr>
      </w:pPr>
      <w:r>
        <w:rPr>
          <w:rFonts w:ascii="黑体" w:hAnsi="黑体" w:eastAsia="黑体" w:cs="黑体"/>
          <w:spacing w:val="17"/>
          <w:sz w:val="25"/>
          <w:szCs w:val="25"/>
        </w:rPr>
        <w:t>6.2</w:t>
      </w:r>
      <w:r>
        <w:rPr>
          <w:rFonts w:ascii="黑体" w:hAnsi="黑体" w:eastAsia="黑体" w:cs="黑体"/>
          <w:spacing w:val="37"/>
          <w:sz w:val="25"/>
          <w:szCs w:val="25"/>
        </w:rPr>
        <w:t xml:space="preserve">  </w:t>
      </w:r>
      <w:r>
        <w:rPr>
          <w:rFonts w:ascii="黑体" w:hAnsi="黑体" w:eastAsia="黑体" w:cs="黑体"/>
          <w:b/>
          <w:bCs/>
          <w:spacing w:val="17"/>
          <w:sz w:val="25"/>
          <w:szCs w:val="25"/>
        </w:rPr>
        <w:t>试验数据处理方法</w:t>
      </w:r>
    </w:p>
    <w:p w14:paraId="5B3D8603">
      <w:pPr>
        <w:spacing w:before="106" w:line="219" w:lineRule="auto"/>
        <w:ind w:left="560"/>
        <w:rPr>
          <w:rFonts w:ascii="宋体" w:hAnsi="宋体" w:eastAsia="宋体" w:cs="宋体"/>
          <w:sz w:val="27"/>
          <w:szCs w:val="27"/>
        </w:rPr>
      </w:pPr>
      <w:r>
        <w:rPr>
          <w:rFonts w:ascii="宋体" w:hAnsi="宋体" w:eastAsia="宋体" w:cs="宋体"/>
          <w:sz w:val="27"/>
          <w:szCs w:val="27"/>
        </w:rPr>
        <w:t>依据相关国家标准或国家军用标准，规定试验数据</w:t>
      </w:r>
      <w:r>
        <w:rPr>
          <w:rFonts w:ascii="宋体" w:hAnsi="宋体" w:eastAsia="宋体" w:cs="宋体"/>
          <w:spacing w:val="-1"/>
          <w:sz w:val="27"/>
          <w:szCs w:val="27"/>
        </w:rPr>
        <w:t>的处理方法。</w:t>
      </w:r>
    </w:p>
    <w:p w14:paraId="2FC44566">
      <w:pPr>
        <w:spacing w:before="94" w:line="221" w:lineRule="auto"/>
        <w:rPr>
          <w:rFonts w:ascii="黑体" w:hAnsi="黑体" w:eastAsia="黑体" w:cs="黑体"/>
          <w:sz w:val="24"/>
          <w:szCs w:val="24"/>
        </w:rPr>
      </w:pPr>
      <w:r>
        <w:rPr>
          <w:rFonts w:ascii="黑体" w:hAnsi="黑体" w:eastAsia="黑体" w:cs="黑体"/>
          <w:spacing w:val="27"/>
          <w:sz w:val="24"/>
          <w:szCs w:val="24"/>
        </w:rPr>
        <w:t>6.3</w:t>
      </w:r>
      <w:r>
        <w:rPr>
          <w:rFonts w:ascii="黑体" w:hAnsi="黑体" w:eastAsia="黑体" w:cs="黑体"/>
          <w:spacing w:val="41"/>
          <w:sz w:val="24"/>
          <w:szCs w:val="24"/>
        </w:rPr>
        <w:t xml:space="preserve">  </w:t>
      </w:r>
      <w:r>
        <w:rPr>
          <w:rFonts w:ascii="黑体" w:hAnsi="黑体" w:eastAsia="黑体" w:cs="黑体"/>
          <w:b/>
          <w:bCs/>
          <w:spacing w:val="27"/>
          <w:sz w:val="24"/>
          <w:szCs w:val="24"/>
        </w:rPr>
        <w:t>试验数据合格判定准则</w:t>
      </w:r>
    </w:p>
    <w:p w14:paraId="7D951E4A">
      <w:pPr>
        <w:spacing w:before="127" w:line="219" w:lineRule="auto"/>
        <w:ind w:left="560"/>
        <w:rPr>
          <w:rFonts w:ascii="宋体" w:hAnsi="宋体" w:eastAsia="宋体" w:cs="宋体"/>
          <w:sz w:val="25"/>
          <w:szCs w:val="25"/>
        </w:rPr>
      </w:pPr>
      <w:r>
        <w:rPr>
          <w:rFonts w:ascii="宋体" w:hAnsi="宋体" w:eastAsia="宋体" w:cs="宋体"/>
          <w:spacing w:val="20"/>
          <w:sz w:val="25"/>
          <w:szCs w:val="25"/>
        </w:rPr>
        <w:t>依据相关国家标准或国家军用标准，规定试验数据的合格判定准则。</w:t>
      </w:r>
    </w:p>
    <w:p w14:paraId="2BA046BA">
      <w:pPr>
        <w:pStyle w:val="2"/>
        <w:spacing w:before="80" w:line="221" w:lineRule="auto"/>
        <w:rPr>
          <w:rFonts w:ascii="黑体" w:hAnsi="黑体" w:eastAsia="黑体" w:cs="黑体"/>
          <w:sz w:val="25"/>
          <w:szCs w:val="25"/>
        </w:rPr>
      </w:pPr>
      <w:r>
        <w:rPr>
          <w:b/>
          <w:bCs/>
          <w:spacing w:val="13"/>
          <w:sz w:val="25"/>
          <w:szCs w:val="25"/>
        </w:rPr>
        <w:t>7</w:t>
      </w:r>
      <w:r>
        <w:rPr>
          <w:b/>
          <w:bCs/>
          <w:spacing w:val="4"/>
          <w:sz w:val="25"/>
          <w:szCs w:val="25"/>
        </w:rPr>
        <w:t xml:space="preserve">    </w:t>
      </w:r>
      <w:r>
        <w:rPr>
          <w:rFonts w:ascii="黑体" w:hAnsi="黑体" w:eastAsia="黑体" w:cs="黑体"/>
          <w:b/>
          <w:bCs/>
          <w:spacing w:val="13"/>
          <w:sz w:val="25"/>
          <w:szCs w:val="25"/>
        </w:rPr>
        <w:t>试验组织、参试单位及试验任务分工</w:t>
      </w:r>
    </w:p>
    <w:p w14:paraId="671D31B6">
      <w:pPr>
        <w:spacing w:before="98" w:line="278" w:lineRule="auto"/>
        <w:ind w:firstLine="560"/>
        <w:rPr>
          <w:rFonts w:ascii="宋体" w:hAnsi="宋体" w:eastAsia="宋体" w:cs="宋体"/>
          <w:sz w:val="27"/>
          <w:szCs w:val="27"/>
        </w:rPr>
      </w:pPr>
      <w:r>
        <w:rPr>
          <w:rFonts w:ascii="宋体" w:hAnsi="宋体" w:eastAsia="宋体" w:cs="宋体"/>
          <w:spacing w:val="-3"/>
          <w:sz w:val="27"/>
          <w:szCs w:val="27"/>
        </w:rPr>
        <w:t>应规定试验组织的要求，通常，应根据试验规模组成试验领导组和必要的职</w:t>
      </w:r>
      <w:r>
        <w:rPr>
          <w:rFonts w:ascii="宋体" w:hAnsi="宋体" w:eastAsia="宋体" w:cs="宋体"/>
          <w:spacing w:val="12"/>
          <w:sz w:val="27"/>
          <w:szCs w:val="27"/>
        </w:rPr>
        <w:t xml:space="preserve"> </w:t>
      </w:r>
      <w:r>
        <w:rPr>
          <w:rFonts w:ascii="宋体" w:hAnsi="宋体" w:eastAsia="宋体" w:cs="宋体"/>
          <w:spacing w:val="-5"/>
          <w:sz w:val="27"/>
          <w:szCs w:val="27"/>
        </w:rPr>
        <w:t>能小组，具体负责试验的组织实施，明确参试单位及试验任务分工。</w:t>
      </w:r>
    </w:p>
    <w:p w14:paraId="7C5D686B">
      <w:pPr>
        <w:pStyle w:val="2"/>
        <w:spacing w:before="1" w:line="220" w:lineRule="auto"/>
        <w:rPr>
          <w:rFonts w:ascii="黑体" w:hAnsi="黑体" w:eastAsia="黑体" w:cs="黑体"/>
          <w:sz w:val="27"/>
          <w:szCs w:val="27"/>
        </w:rPr>
      </w:pPr>
      <w:r>
        <w:rPr>
          <w:b/>
          <w:bCs/>
          <w:spacing w:val="1"/>
          <w:sz w:val="27"/>
          <w:szCs w:val="27"/>
        </w:rPr>
        <w:t>8</w:t>
      </w:r>
      <w:r>
        <w:rPr>
          <w:b/>
          <w:bCs/>
          <w:spacing w:val="20"/>
          <w:w w:val="101"/>
          <w:sz w:val="27"/>
          <w:szCs w:val="27"/>
        </w:rPr>
        <w:t xml:space="preserve">   </w:t>
      </w:r>
      <w:r>
        <w:rPr>
          <w:rFonts w:ascii="黑体" w:hAnsi="黑体" w:eastAsia="黑体" w:cs="黑体"/>
          <w:b/>
          <w:bCs/>
          <w:spacing w:val="1"/>
          <w:sz w:val="27"/>
          <w:szCs w:val="27"/>
        </w:rPr>
        <w:t>试验网络图和试验的保障措施及要求</w:t>
      </w:r>
    </w:p>
    <w:p w14:paraId="6C427DAF">
      <w:pPr>
        <w:spacing w:before="93" w:line="219" w:lineRule="auto"/>
        <w:ind w:left="560"/>
        <w:rPr>
          <w:rFonts w:ascii="宋体" w:hAnsi="宋体" w:eastAsia="宋体" w:cs="宋体"/>
          <w:sz w:val="27"/>
          <w:szCs w:val="27"/>
        </w:rPr>
      </w:pPr>
      <w:r>
        <w:rPr>
          <w:rFonts w:ascii="宋体" w:hAnsi="宋体" w:eastAsia="宋体" w:cs="宋体"/>
          <w:spacing w:val="-4"/>
          <w:sz w:val="27"/>
          <w:szCs w:val="27"/>
        </w:rPr>
        <w:t>按照项目研制计划和实际情况，制定试验计划，给出</w:t>
      </w:r>
      <w:r>
        <w:rPr>
          <w:rFonts w:ascii="宋体" w:hAnsi="宋体" w:eastAsia="宋体" w:cs="宋体"/>
          <w:spacing w:val="-5"/>
          <w:sz w:val="27"/>
          <w:szCs w:val="27"/>
        </w:rPr>
        <w:t>试验网络图。</w:t>
      </w:r>
    </w:p>
    <w:p w14:paraId="2B542C43">
      <w:pPr>
        <w:spacing w:before="100" w:line="219" w:lineRule="auto"/>
        <w:ind w:left="560"/>
        <w:rPr>
          <w:rFonts w:ascii="宋体" w:hAnsi="宋体" w:eastAsia="宋体" w:cs="宋体"/>
          <w:sz w:val="27"/>
          <w:szCs w:val="27"/>
        </w:rPr>
      </w:pPr>
      <w:r>
        <w:rPr>
          <w:rFonts w:ascii="宋体" w:hAnsi="宋体" w:eastAsia="宋体" w:cs="宋体"/>
          <w:spacing w:val="-20"/>
          <w:sz w:val="27"/>
          <w:szCs w:val="27"/>
        </w:rPr>
        <w:t>应规定试验保障措施及要求。应规定试验场地及主要设施、仪器设</w:t>
      </w:r>
      <w:r>
        <w:rPr>
          <w:rFonts w:ascii="宋体" w:hAnsi="宋体" w:eastAsia="宋体" w:cs="宋体"/>
          <w:spacing w:val="-21"/>
          <w:sz w:val="27"/>
          <w:szCs w:val="27"/>
        </w:rPr>
        <w:t>备的保障等。</w:t>
      </w:r>
    </w:p>
    <w:p w14:paraId="59220A13">
      <w:pPr>
        <w:spacing w:before="73" w:line="221" w:lineRule="auto"/>
        <w:rPr>
          <w:rFonts w:ascii="黑体" w:hAnsi="黑体" w:eastAsia="黑体" w:cs="黑体"/>
          <w:sz w:val="27"/>
          <w:szCs w:val="27"/>
        </w:rPr>
      </w:pPr>
      <w:r>
        <w:rPr>
          <w:rFonts w:ascii="黑体" w:hAnsi="黑体" w:eastAsia="黑体" w:cs="黑体"/>
          <w:spacing w:val="3"/>
          <w:sz w:val="27"/>
          <w:szCs w:val="27"/>
        </w:rPr>
        <w:t xml:space="preserve">9  </w:t>
      </w:r>
      <w:r>
        <w:rPr>
          <w:rFonts w:ascii="黑体" w:hAnsi="黑体" w:eastAsia="黑体" w:cs="黑体"/>
          <w:b/>
          <w:bCs/>
          <w:spacing w:val="3"/>
          <w:sz w:val="27"/>
          <w:szCs w:val="27"/>
        </w:rPr>
        <w:t>试验安全保证要求</w:t>
      </w:r>
    </w:p>
    <w:p w14:paraId="29443160">
      <w:pPr>
        <w:spacing w:before="94" w:line="282" w:lineRule="auto"/>
        <w:ind w:right="1" w:firstLine="560"/>
        <w:rPr>
          <w:rFonts w:ascii="宋体" w:hAnsi="宋体" w:eastAsia="宋体" w:cs="宋体"/>
          <w:sz w:val="27"/>
          <w:szCs w:val="27"/>
        </w:rPr>
      </w:pPr>
      <w:r>
        <w:rPr>
          <w:rFonts w:ascii="宋体" w:hAnsi="宋体" w:eastAsia="宋体" w:cs="宋体"/>
          <w:spacing w:val="6"/>
          <w:sz w:val="27"/>
          <w:szCs w:val="27"/>
        </w:rPr>
        <w:t>应根据被试品的特点和使用要求，结合试验条件，</w:t>
      </w:r>
      <w:r>
        <w:rPr>
          <w:rFonts w:ascii="宋体" w:hAnsi="宋体" w:eastAsia="宋体" w:cs="宋体"/>
          <w:spacing w:val="5"/>
          <w:sz w:val="27"/>
          <w:szCs w:val="27"/>
        </w:rPr>
        <w:t>给出必要的安全保证要</w:t>
      </w:r>
      <w:r>
        <w:rPr>
          <w:rFonts w:ascii="宋体" w:hAnsi="宋体" w:eastAsia="宋体" w:cs="宋体"/>
          <w:sz w:val="27"/>
          <w:szCs w:val="27"/>
        </w:rPr>
        <w:t xml:space="preserve"> </w:t>
      </w:r>
      <w:r>
        <w:rPr>
          <w:rFonts w:ascii="宋体" w:hAnsi="宋体" w:eastAsia="宋体" w:cs="宋体"/>
          <w:spacing w:val="-7"/>
          <w:sz w:val="27"/>
          <w:szCs w:val="27"/>
        </w:rPr>
        <w:t>求，防止试验过程中出现人身、装备和财产安全问题。</w:t>
      </w:r>
    </w:p>
    <w:p w14:paraId="52CBCD8B">
      <w:pPr>
        <w:spacing w:before="350" w:line="218" w:lineRule="auto"/>
        <w:ind w:left="3070"/>
        <w:outlineLvl w:val="1"/>
        <w:rPr>
          <w:rFonts w:ascii="宋体" w:hAnsi="宋体" w:eastAsia="宋体" w:cs="宋体"/>
          <w:sz w:val="36"/>
          <w:szCs w:val="36"/>
        </w:rPr>
      </w:pPr>
      <w:bookmarkStart w:id="51" w:name="bookmark28"/>
      <w:bookmarkEnd w:id="51"/>
      <w:r>
        <w:rPr>
          <w:rFonts w:ascii="Times New Roman" w:hAnsi="Times New Roman" w:eastAsia="Times New Roman" w:cs="Times New Roman"/>
          <w:b/>
          <w:bCs/>
          <w:sz w:val="36"/>
          <w:szCs w:val="36"/>
        </w:rPr>
        <w:t>1.26</w:t>
      </w:r>
      <w:r>
        <w:rPr>
          <w:rFonts w:ascii="Times New Roman" w:hAnsi="Times New Roman" w:eastAsia="Times New Roman" w:cs="Times New Roman"/>
          <w:b/>
          <w:bCs/>
          <w:spacing w:val="9"/>
          <w:sz w:val="36"/>
          <w:szCs w:val="36"/>
        </w:rPr>
        <w:t xml:space="preserve">     </w:t>
      </w:r>
      <w:r>
        <w:rPr>
          <w:rFonts w:ascii="宋体" w:hAnsi="宋体" w:eastAsia="宋体" w:cs="宋体"/>
          <w:b/>
          <w:bCs/>
          <w:sz w:val="36"/>
          <w:szCs w:val="36"/>
        </w:rPr>
        <w:t>研制试验报告</w:t>
      </w:r>
    </w:p>
    <w:p w14:paraId="7B8EFD4B">
      <w:pPr>
        <w:pStyle w:val="2"/>
        <w:spacing w:line="339" w:lineRule="auto"/>
      </w:pPr>
    </w:p>
    <w:p w14:paraId="1C8D3EE8">
      <w:pPr>
        <w:spacing w:before="92"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44"/>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03373DCF">
      <w:pPr>
        <w:spacing w:before="62" w:line="221"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2"/>
          <w:sz w:val="27"/>
          <w:szCs w:val="27"/>
        </w:rPr>
        <w:t xml:space="preserve">  </w:t>
      </w:r>
      <w:r>
        <w:rPr>
          <w:rFonts w:ascii="黑体" w:hAnsi="黑体" w:eastAsia="黑体" w:cs="黑体"/>
          <w:b/>
          <w:bCs/>
          <w:spacing w:val="-3"/>
          <w:sz w:val="27"/>
          <w:szCs w:val="27"/>
        </w:rPr>
        <w:t>试验概况</w:t>
      </w:r>
    </w:p>
    <w:p w14:paraId="25833357">
      <w:pPr>
        <w:spacing w:before="93" w:line="219" w:lineRule="auto"/>
        <w:ind w:left="560"/>
        <w:rPr>
          <w:rFonts w:ascii="宋体" w:hAnsi="宋体" w:eastAsia="宋体" w:cs="宋体"/>
          <w:sz w:val="27"/>
          <w:szCs w:val="27"/>
        </w:rPr>
      </w:pPr>
      <w:r>
        <w:rPr>
          <w:rFonts w:ascii="宋体" w:hAnsi="宋体" w:eastAsia="宋体" w:cs="宋体"/>
          <w:spacing w:val="-4"/>
          <w:sz w:val="27"/>
          <w:szCs w:val="27"/>
        </w:rPr>
        <w:t>概要描述试验情况，通常应有以下内容：</w:t>
      </w:r>
    </w:p>
    <w:p w14:paraId="79A1A06B">
      <w:pPr>
        <w:spacing w:before="98" w:line="219" w:lineRule="auto"/>
        <w:ind w:left="560"/>
        <w:rPr>
          <w:rFonts w:ascii="宋体" w:hAnsi="宋体" w:eastAsia="宋体" w:cs="宋体"/>
          <w:sz w:val="27"/>
          <w:szCs w:val="27"/>
        </w:rPr>
      </w:pPr>
      <w:r>
        <w:rPr>
          <w:rFonts w:ascii="Times New Roman" w:hAnsi="Times New Roman" w:eastAsia="Times New Roman" w:cs="Times New Roman"/>
          <w:spacing w:val="-8"/>
          <w:sz w:val="27"/>
          <w:szCs w:val="27"/>
        </w:rPr>
        <w:t>a</w:t>
      </w:r>
      <w:r>
        <w:rPr>
          <w:rFonts w:ascii="宋体" w:hAnsi="宋体" w:eastAsia="宋体" w:cs="宋体"/>
          <w:spacing w:val="-8"/>
          <w:sz w:val="27"/>
          <w:szCs w:val="27"/>
        </w:rPr>
        <w:t>)</w:t>
      </w:r>
      <w:r>
        <w:rPr>
          <w:rFonts w:ascii="宋体" w:hAnsi="宋体" w:eastAsia="宋体" w:cs="宋体"/>
          <w:spacing w:val="-39"/>
          <w:sz w:val="27"/>
          <w:szCs w:val="27"/>
        </w:rPr>
        <w:t xml:space="preserve"> </w:t>
      </w:r>
      <w:r>
        <w:rPr>
          <w:rFonts w:ascii="宋体" w:hAnsi="宋体" w:eastAsia="宋体" w:cs="宋体"/>
          <w:spacing w:val="-8"/>
          <w:sz w:val="27"/>
          <w:szCs w:val="27"/>
        </w:rPr>
        <w:t>试验任务来源、依据；</w:t>
      </w:r>
    </w:p>
    <w:p w14:paraId="5D601282">
      <w:pPr>
        <w:spacing w:before="51"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被试品代号和名称；</w:t>
      </w:r>
    </w:p>
    <w:p w14:paraId="63D35C79">
      <w:pPr>
        <w:spacing w:before="11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承试单位和参试单位名称；</w:t>
      </w:r>
    </w:p>
    <w:p w14:paraId="6665ED10">
      <w:pPr>
        <w:spacing w:before="100"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 xml:space="preserve">d)  </w:t>
      </w:r>
      <w:r>
        <w:rPr>
          <w:rFonts w:ascii="宋体" w:hAnsi="宋体" w:eastAsia="宋体" w:cs="宋体"/>
          <w:spacing w:val="-6"/>
          <w:sz w:val="27"/>
          <w:szCs w:val="27"/>
        </w:rPr>
        <w:t>试验性质、目的和任务；</w:t>
      </w:r>
    </w:p>
    <w:p w14:paraId="1E87177E">
      <w:pPr>
        <w:spacing w:before="111" w:line="220" w:lineRule="auto"/>
        <w:ind w:left="560"/>
        <w:rPr>
          <w:rFonts w:ascii="宋体" w:hAnsi="宋体" w:eastAsia="宋体" w:cs="宋体"/>
          <w:sz w:val="27"/>
          <w:szCs w:val="27"/>
        </w:rPr>
      </w:pPr>
      <w:r>
        <w:rPr>
          <w:rFonts w:ascii="Times New Roman" w:hAnsi="Times New Roman" w:eastAsia="Times New Roman" w:cs="Times New Roman"/>
          <w:sz w:val="27"/>
          <w:szCs w:val="27"/>
        </w:rPr>
        <w:t>e</w:t>
      </w:r>
      <w:r>
        <w:rPr>
          <w:rFonts w:ascii="宋体" w:hAnsi="宋体" w:eastAsia="宋体" w:cs="宋体"/>
          <w:sz w:val="27"/>
          <w:szCs w:val="27"/>
        </w:rPr>
        <w:t>)试验地点、起止时间；</w:t>
      </w:r>
    </w:p>
    <w:p w14:paraId="0070073B">
      <w:pPr>
        <w:spacing w:before="57"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f)  </w:t>
      </w:r>
      <w:r>
        <w:rPr>
          <w:rFonts w:ascii="宋体" w:hAnsi="宋体" w:eastAsia="宋体" w:cs="宋体"/>
          <w:spacing w:val="3"/>
          <w:sz w:val="27"/>
          <w:szCs w:val="27"/>
        </w:rPr>
        <w:t>试验组织机构的设立及其职责分工情况；</w:t>
      </w:r>
    </w:p>
    <w:p w14:paraId="54437718">
      <w:pPr>
        <w:spacing w:before="119"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g)</w:t>
      </w:r>
      <w:r>
        <w:rPr>
          <w:rFonts w:ascii="Times New Roman" w:hAnsi="Times New Roman" w:eastAsia="Times New Roman" w:cs="Times New Roman"/>
          <w:spacing w:val="56"/>
          <w:sz w:val="27"/>
          <w:szCs w:val="27"/>
        </w:rPr>
        <w:t xml:space="preserve"> </w:t>
      </w:r>
      <w:r>
        <w:rPr>
          <w:rFonts w:ascii="宋体" w:hAnsi="宋体" w:eastAsia="宋体" w:cs="宋体"/>
          <w:spacing w:val="5"/>
          <w:sz w:val="27"/>
          <w:szCs w:val="27"/>
        </w:rPr>
        <w:t>试验实施计划的制定和落实情况；</w:t>
      </w:r>
    </w:p>
    <w:p w14:paraId="6CA6A238">
      <w:pPr>
        <w:spacing w:before="111" w:line="212" w:lineRule="auto"/>
        <w:ind w:left="560"/>
        <w:rPr>
          <w:rFonts w:ascii="宋体" w:hAnsi="宋体" w:eastAsia="宋体" w:cs="宋体"/>
          <w:sz w:val="27"/>
          <w:szCs w:val="27"/>
        </w:rPr>
      </w:pPr>
      <w:r>
        <w:rPr>
          <w:rFonts w:ascii="Times New Roman" w:hAnsi="Times New Roman" w:eastAsia="Times New Roman" w:cs="Times New Roman"/>
          <w:spacing w:val="-7"/>
          <w:sz w:val="27"/>
          <w:szCs w:val="27"/>
        </w:rPr>
        <w:t xml:space="preserve">h)  </w:t>
      </w:r>
      <w:r>
        <w:rPr>
          <w:rFonts w:ascii="宋体" w:hAnsi="宋体" w:eastAsia="宋体" w:cs="宋体"/>
          <w:spacing w:val="-7"/>
          <w:sz w:val="27"/>
          <w:szCs w:val="27"/>
        </w:rPr>
        <w:t>试验阶段划分，各阶段的起止时间、地点(地域)、主要工作和</w:t>
      </w:r>
      <w:r>
        <w:rPr>
          <w:rFonts w:ascii="宋体" w:hAnsi="宋体" w:eastAsia="宋体" w:cs="宋体"/>
          <w:spacing w:val="-8"/>
          <w:sz w:val="27"/>
          <w:szCs w:val="27"/>
        </w:rPr>
        <w:t>目的；</w:t>
      </w:r>
    </w:p>
    <w:p w14:paraId="76DEA61B">
      <w:pPr>
        <w:spacing w:before="7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i)</w:t>
      </w:r>
      <w:r>
        <w:rPr>
          <w:rFonts w:ascii="Times New Roman" w:hAnsi="Times New Roman" w:eastAsia="Times New Roman" w:cs="Times New Roman"/>
          <w:spacing w:val="70"/>
          <w:sz w:val="27"/>
          <w:szCs w:val="27"/>
        </w:rPr>
        <w:t xml:space="preserve"> </w:t>
      </w:r>
      <w:r>
        <w:rPr>
          <w:rFonts w:ascii="宋体" w:hAnsi="宋体" w:eastAsia="宋体" w:cs="宋体"/>
          <w:spacing w:val="3"/>
          <w:sz w:val="27"/>
          <w:szCs w:val="27"/>
        </w:rPr>
        <w:t>是否完成试验大纲规定的任务等。</w:t>
      </w:r>
    </w:p>
    <w:p w14:paraId="2F690927">
      <w:pPr>
        <w:pStyle w:val="2"/>
        <w:spacing w:before="144" w:line="221" w:lineRule="auto"/>
        <w:rPr>
          <w:rFonts w:ascii="黑体" w:hAnsi="黑体" w:eastAsia="黑体" w:cs="黑体"/>
          <w:sz w:val="27"/>
          <w:szCs w:val="27"/>
        </w:rPr>
      </w:pPr>
      <w:r>
        <w:rPr>
          <w:b/>
          <w:bCs/>
          <w:spacing w:val="-10"/>
          <w:sz w:val="27"/>
          <w:szCs w:val="27"/>
        </w:rPr>
        <w:t>2</w:t>
      </w:r>
      <w:r>
        <w:rPr>
          <w:b/>
          <w:bCs/>
          <w:spacing w:val="20"/>
          <w:w w:val="101"/>
          <w:sz w:val="27"/>
          <w:szCs w:val="27"/>
        </w:rPr>
        <w:t xml:space="preserve">   </w:t>
      </w:r>
      <w:r>
        <w:rPr>
          <w:rFonts w:ascii="黑体" w:hAnsi="黑体" w:eastAsia="黑体" w:cs="黑体"/>
          <w:b/>
          <w:bCs/>
          <w:spacing w:val="-10"/>
          <w:sz w:val="27"/>
          <w:szCs w:val="27"/>
        </w:rPr>
        <w:t>试验项目、步骤和方法</w:t>
      </w:r>
    </w:p>
    <w:p w14:paraId="2DF28305">
      <w:pPr>
        <w:pStyle w:val="2"/>
        <w:spacing w:before="63" w:line="212" w:lineRule="auto"/>
        <w:rPr>
          <w:rFonts w:ascii="黑体" w:hAnsi="黑体" w:eastAsia="黑体" w:cs="黑体"/>
          <w:sz w:val="27"/>
          <w:szCs w:val="27"/>
        </w:rPr>
      </w:pPr>
      <w:r>
        <w:rPr>
          <w:spacing w:val="5"/>
          <w:sz w:val="27"/>
          <w:szCs w:val="27"/>
        </w:rPr>
        <w:t>2.</w:t>
      </w:r>
      <w:r>
        <w:rPr>
          <w:spacing w:val="-22"/>
          <w:sz w:val="27"/>
          <w:szCs w:val="27"/>
        </w:rPr>
        <w:t xml:space="preserve"> </w:t>
      </w:r>
      <w:r>
        <w:rPr>
          <w:spacing w:val="5"/>
          <w:sz w:val="27"/>
          <w:szCs w:val="27"/>
        </w:rPr>
        <w:t xml:space="preserve">X    </w:t>
      </w:r>
      <w:r>
        <w:rPr>
          <w:rFonts w:ascii="黑体" w:hAnsi="黑体" w:eastAsia="黑体" w:cs="黑体"/>
          <w:b/>
          <w:bCs/>
          <w:spacing w:val="5"/>
          <w:sz w:val="27"/>
          <w:szCs w:val="27"/>
        </w:rPr>
        <w:t>(试验项目</w:t>
      </w:r>
      <w:r>
        <w:rPr>
          <w:b/>
          <w:bCs/>
          <w:spacing w:val="5"/>
          <w:sz w:val="27"/>
          <w:szCs w:val="27"/>
        </w:rPr>
        <w:t>X)</w:t>
      </w:r>
      <w:r>
        <w:rPr>
          <w:b/>
          <w:bCs/>
          <w:spacing w:val="-11"/>
          <w:sz w:val="27"/>
          <w:szCs w:val="27"/>
        </w:rPr>
        <w:t xml:space="preserve"> </w:t>
      </w:r>
      <w:r>
        <w:rPr>
          <w:rFonts w:ascii="黑体" w:hAnsi="黑体" w:eastAsia="黑体" w:cs="黑体"/>
          <w:b/>
          <w:bCs/>
          <w:spacing w:val="5"/>
          <w:sz w:val="27"/>
          <w:szCs w:val="27"/>
        </w:rPr>
        <w:t>的步骤和方法</w:t>
      </w:r>
    </w:p>
    <w:p w14:paraId="17C675C1">
      <w:pPr>
        <w:spacing w:before="109" w:line="212" w:lineRule="auto"/>
        <w:ind w:left="560"/>
        <w:rPr>
          <w:rFonts w:ascii="宋体" w:hAnsi="宋体" w:eastAsia="宋体" w:cs="宋体"/>
          <w:sz w:val="27"/>
          <w:szCs w:val="27"/>
        </w:rPr>
      </w:pPr>
      <w:r>
        <w:rPr>
          <w:rFonts w:ascii="宋体" w:hAnsi="宋体" w:eastAsia="宋体" w:cs="宋体"/>
          <w:spacing w:val="1"/>
          <w:sz w:val="27"/>
          <w:szCs w:val="27"/>
        </w:rPr>
        <w:t>应按试验大纲的规定，简要叙述(试验项目</w:t>
      </w:r>
      <w:r>
        <w:rPr>
          <w:rFonts w:ascii="Times New Roman" w:hAnsi="Times New Roman" w:eastAsia="Times New Roman" w:cs="Times New Roman"/>
          <w:spacing w:val="1"/>
          <w:sz w:val="27"/>
          <w:szCs w:val="27"/>
        </w:rPr>
        <w:t xml:space="preserve">X) </w:t>
      </w:r>
      <w:r>
        <w:rPr>
          <w:rFonts w:ascii="宋体" w:hAnsi="宋体" w:eastAsia="宋体" w:cs="宋体"/>
          <w:spacing w:val="1"/>
          <w:sz w:val="27"/>
          <w:szCs w:val="27"/>
        </w:rPr>
        <w:t>的实施步骤和方法。</w:t>
      </w:r>
    </w:p>
    <w:p w14:paraId="51234619">
      <w:pPr>
        <w:spacing w:line="212" w:lineRule="auto"/>
        <w:rPr>
          <w:rFonts w:ascii="宋体" w:hAnsi="宋体" w:eastAsia="宋体" w:cs="宋体"/>
          <w:sz w:val="27"/>
          <w:szCs w:val="27"/>
        </w:rPr>
        <w:sectPr>
          <w:footerReference r:id="rId93" w:type="default"/>
          <w:pgSz w:w="11910" w:h="17130"/>
          <w:pgMar w:top="400" w:right="1185" w:bottom="1700" w:left="1339" w:header="0" w:footer="1414" w:gutter="0"/>
          <w:cols w:space="720" w:num="1"/>
        </w:sectPr>
      </w:pPr>
    </w:p>
    <w:p w14:paraId="3FD9F49E">
      <w:pPr>
        <w:pStyle w:val="2"/>
        <w:spacing w:line="253" w:lineRule="auto"/>
      </w:pPr>
    </w:p>
    <w:p w14:paraId="75F1F831">
      <w:pPr>
        <w:pStyle w:val="2"/>
        <w:spacing w:line="253" w:lineRule="auto"/>
      </w:pPr>
    </w:p>
    <w:p w14:paraId="0D8A4674">
      <w:pPr>
        <w:pStyle w:val="2"/>
        <w:spacing w:line="254" w:lineRule="auto"/>
      </w:pPr>
    </w:p>
    <w:p w14:paraId="4665EDAD">
      <w:pPr>
        <w:pStyle w:val="2"/>
        <w:spacing w:line="254" w:lineRule="auto"/>
      </w:pPr>
    </w:p>
    <w:p w14:paraId="6BE571E0">
      <w:pPr>
        <w:spacing w:before="88" w:line="221" w:lineRule="auto"/>
        <w:rPr>
          <w:rFonts w:ascii="黑体" w:hAnsi="黑体" w:eastAsia="黑体" w:cs="黑体"/>
          <w:sz w:val="27"/>
          <w:szCs w:val="27"/>
        </w:rPr>
      </w:pPr>
      <w:bookmarkStart w:id="52" w:name="bookmark330"/>
      <w:bookmarkEnd w:id="52"/>
      <w:r>
        <w:rPr>
          <w:rFonts w:ascii="黑体" w:hAnsi="黑体" w:eastAsia="黑体" w:cs="黑体"/>
          <w:spacing w:val="6"/>
          <w:sz w:val="27"/>
          <w:szCs w:val="27"/>
        </w:rPr>
        <w:t>3</w:t>
      </w:r>
      <w:r>
        <w:rPr>
          <w:rFonts w:ascii="黑体" w:hAnsi="黑体" w:eastAsia="黑体" w:cs="黑体"/>
          <w:spacing w:val="13"/>
          <w:sz w:val="27"/>
          <w:szCs w:val="27"/>
        </w:rPr>
        <w:t xml:space="preserve">  </w:t>
      </w:r>
      <w:r>
        <w:rPr>
          <w:rFonts w:ascii="黑体" w:hAnsi="黑体" w:eastAsia="黑体" w:cs="黑体"/>
          <w:spacing w:val="6"/>
          <w:sz w:val="27"/>
          <w:szCs w:val="27"/>
        </w:rPr>
        <w:t>试验数据</w:t>
      </w:r>
    </w:p>
    <w:p w14:paraId="6B33E91A">
      <w:pPr>
        <w:spacing w:before="97" w:line="219" w:lineRule="auto"/>
        <w:ind w:left="580"/>
        <w:rPr>
          <w:rFonts w:ascii="宋体" w:hAnsi="宋体" w:eastAsia="宋体" w:cs="宋体"/>
          <w:sz w:val="27"/>
          <w:szCs w:val="27"/>
        </w:rPr>
      </w:pPr>
      <w:r>
        <w:rPr>
          <w:rFonts w:ascii="宋体" w:hAnsi="宋体" w:eastAsia="宋体" w:cs="宋体"/>
          <w:spacing w:val="4"/>
          <w:sz w:val="27"/>
          <w:szCs w:val="27"/>
        </w:rPr>
        <w:t>提供各项试验所获得的实测数据(必要时可采用图表形式表</w:t>
      </w:r>
      <w:r>
        <w:rPr>
          <w:rFonts w:ascii="宋体" w:hAnsi="宋体" w:eastAsia="宋体" w:cs="宋体"/>
          <w:spacing w:val="3"/>
          <w:sz w:val="27"/>
          <w:szCs w:val="27"/>
        </w:rPr>
        <w:t>示)。</w:t>
      </w:r>
    </w:p>
    <w:p w14:paraId="693D6C3E">
      <w:pPr>
        <w:pStyle w:val="2"/>
        <w:spacing w:before="88" w:line="221" w:lineRule="auto"/>
        <w:rPr>
          <w:rFonts w:ascii="黑体" w:hAnsi="黑体" w:eastAsia="黑体" w:cs="黑体"/>
          <w:sz w:val="27"/>
          <w:szCs w:val="27"/>
        </w:rPr>
      </w:pPr>
      <w:r>
        <w:rPr>
          <w:spacing w:val="6"/>
          <w:sz w:val="27"/>
          <w:szCs w:val="27"/>
        </w:rPr>
        <w:t xml:space="preserve">4   </w:t>
      </w:r>
      <w:r>
        <w:rPr>
          <w:rFonts w:ascii="黑体" w:hAnsi="黑体" w:eastAsia="黑体" w:cs="黑体"/>
          <w:spacing w:val="6"/>
          <w:sz w:val="27"/>
          <w:szCs w:val="27"/>
        </w:rPr>
        <w:t>试验中出现的主要技术问题及处理情况</w:t>
      </w:r>
    </w:p>
    <w:p w14:paraId="735DF20A">
      <w:pPr>
        <w:spacing w:before="39" w:line="273" w:lineRule="auto"/>
        <w:ind w:right="124" w:firstLine="580"/>
        <w:rPr>
          <w:rFonts w:ascii="宋体" w:hAnsi="宋体" w:eastAsia="宋体" w:cs="宋体"/>
          <w:sz w:val="27"/>
          <w:szCs w:val="27"/>
        </w:rPr>
      </w:pPr>
      <w:r>
        <w:rPr>
          <w:rFonts w:ascii="宋体" w:hAnsi="宋体" w:eastAsia="宋体" w:cs="宋体"/>
          <w:spacing w:val="1"/>
          <w:sz w:val="27"/>
          <w:szCs w:val="27"/>
        </w:rPr>
        <w:t xml:space="preserve">描述试验中出现的主要技术问题及处理情况，包括问题现象(发生时间、试 </w:t>
      </w:r>
      <w:r>
        <w:rPr>
          <w:rFonts w:ascii="宋体" w:hAnsi="宋体" w:eastAsia="宋体" w:cs="宋体"/>
          <w:spacing w:val="-16"/>
          <w:sz w:val="27"/>
          <w:szCs w:val="27"/>
        </w:rPr>
        <w:t>验项目、技术问题等)、问题原因、解决措施、验证情况等。</w:t>
      </w:r>
    </w:p>
    <w:p w14:paraId="08C858E4">
      <w:pPr>
        <w:pStyle w:val="2"/>
        <w:spacing w:line="368" w:lineRule="exact"/>
        <w:rPr>
          <w:rFonts w:ascii="黑体" w:hAnsi="黑体" w:eastAsia="黑体" w:cs="黑体"/>
          <w:sz w:val="27"/>
          <w:szCs w:val="27"/>
        </w:rPr>
      </w:pPr>
      <w:r>
        <w:rPr>
          <w:spacing w:val="-13"/>
          <w:position w:val="1"/>
          <w:sz w:val="27"/>
          <w:szCs w:val="27"/>
        </w:rPr>
        <w:t>5</w:t>
      </w:r>
      <w:r>
        <w:rPr>
          <w:spacing w:val="20"/>
          <w:position w:val="1"/>
          <w:sz w:val="27"/>
          <w:szCs w:val="27"/>
        </w:rPr>
        <w:t xml:space="preserve">   </w:t>
      </w:r>
      <w:r>
        <w:rPr>
          <w:rFonts w:ascii="黑体" w:hAnsi="黑体" w:eastAsia="黑体" w:cs="黑体"/>
          <w:spacing w:val="-13"/>
          <w:position w:val="1"/>
          <w:sz w:val="27"/>
          <w:szCs w:val="27"/>
        </w:rPr>
        <w:t>试验结果、结论</w:t>
      </w:r>
    </w:p>
    <w:p w14:paraId="2F06C716">
      <w:pPr>
        <w:spacing w:before="71" w:line="221" w:lineRule="auto"/>
        <w:rPr>
          <w:rFonts w:ascii="黑体" w:hAnsi="黑体" w:eastAsia="黑体" w:cs="黑体"/>
          <w:sz w:val="27"/>
          <w:szCs w:val="27"/>
        </w:rPr>
      </w:pPr>
      <w:r>
        <w:rPr>
          <w:rFonts w:ascii="黑体" w:hAnsi="黑体" w:eastAsia="黑体" w:cs="黑体"/>
          <w:spacing w:val="4"/>
          <w:sz w:val="27"/>
          <w:szCs w:val="27"/>
        </w:rPr>
        <w:t>5.1  试验结果</w:t>
      </w:r>
    </w:p>
    <w:p w14:paraId="708BC3A9">
      <w:pPr>
        <w:spacing w:before="85" w:line="285" w:lineRule="auto"/>
        <w:ind w:right="120" w:firstLine="580"/>
        <w:rPr>
          <w:rFonts w:ascii="宋体" w:hAnsi="宋体" w:eastAsia="宋体" w:cs="宋体"/>
          <w:sz w:val="27"/>
          <w:szCs w:val="27"/>
        </w:rPr>
      </w:pPr>
      <w:r>
        <w:rPr>
          <w:rFonts w:ascii="宋体" w:hAnsi="宋体" w:eastAsia="宋体" w:cs="宋体"/>
          <w:spacing w:val="9"/>
          <w:sz w:val="27"/>
          <w:szCs w:val="27"/>
        </w:rPr>
        <w:t>提供各项试验的结果(必要时可采用图表形式表示),包括能够实现的功能</w:t>
      </w:r>
      <w:r>
        <w:rPr>
          <w:rFonts w:ascii="宋体" w:hAnsi="宋体" w:eastAsia="宋体" w:cs="宋体"/>
          <w:spacing w:val="11"/>
          <w:sz w:val="27"/>
          <w:szCs w:val="27"/>
        </w:rPr>
        <w:t xml:space="preserve"> </w:t>
      </w:r>
      <w:r>
        <w:rPr>
          <w:rFonts w:ascii="宋体" w:hAnsi="宋体" w:eastAsia="宋体" w:cs="宋体"/>
          <w:sz w:val="27"/>
          <w:szCs w:val="27"/>
        </w:rPr>
        <w:t>或能够完成的任务及其完成的程度，未能实现的功能或未能完成的任务。</w:t>
      </w:r>
    </w:p>
    <w:p w14:paraId="2F70D07D">
      <w:pPr>
        <w:spacing w:before="7" w:line="221" w:lineRule="auto"/>
        <w:rPr>
          <w:rFonts w:ascii="黑体" w:hAnsi="黑体" w:eastAsia="黑体" w:cs="黑体"/>
          <w:sz w:val="25"/>
          <w:szCs w:val="25"/>
        </w:rPr>
      </w:pPr>
      <w:r>
        <w:rPr>
          <w:rFonts w:ascii="黑体" w:hAnsi="黑体" w:eastAsia="黑体" w:cs="黑体"/>
          <w:spacing w:val="13"/>
          <w:sz w:val="25"/>
          <w:szCs w:val="25"/>
        </w:rPr>
        <w:t>5.2</w:t>
      </w:r>
      <w:r>
        <w:rPr>
          <w:rFonts w:ascii="黑体" w:hAnsi="黑体" w:eastAsia="黑体" w:cs="黑体"/>
          <w:spacing w:val="35"/>
          <w:sz w:val="25"/>
          <w:szCs w:val="25"/>
        </w:rPr>
        <w:t xml:space="preserve">  </w:t>
      </w:r>
      <w:r>
        <w:rPr>
          <w:rFonts w:ascii="黑体" w:hAnsi="黑体" w:eastAsia="黑体" w:cs="黑体"/>
          <w:spacing w:val="13"/>
          <w:sz w:val="25"/>
          <w:szCs w:val="25"/>
        </w:rPr>
        <w:t>试验结论</w:t>
      </w:r>
    </w:p>
    <w:p w14:paraId="6FEA021F">
      <w:pPr>
        <w:spacing w:before="84" w:line="219" w:lineRule="auto"/>
        <w:ind w:left="580"/>
        <w:rPr>
          <w:rFonts w:ascii="宋体" w:hAnsi="宋体" w:eastAsia="宋体" w:cs="宋体"/>
          <w:sz w:val="27"/>
          <w:szCs w:val="27"/>
        </w:rPr>
      </w:pPr>
      <w:r>
        <w:rPr>
          <w:rFonts w:ascii="宋体" w:hAnsi="宋体" w:eastAsia="宋体" w:cs="宋体"/>
          <w:spacing w:val="-4"/>
          <w:sz w:val="27"/>
          <w:szCs w:val="27"/>
        </w:rPr>
        <w:t>阐述试验结论，明确指出是否符合预定的要求。</w:t>
      </w:r>
    </w:p>
    <w:p w14:paraId="77BFB4E2">
      <w:pPr>
        <w:spacing w:before="98" w:line="222" w:lineRule="auto"/>
        <w:rPr>
          <w:rFonts w:ascii="黑体" w:hAnsi="黑体" w:eastAsia="黑体" w:cs="黑体"/>
          <w:sz w:val="27"/>
          <w:szCs w:val="27"/>
        </w:rPr>
      </w:pPr>
      <w:r>
        <w:rPr>
          <w:rFonts w:ascii="黑体" w:hAnsi="黑体" w:eastAsia="黑体" w:cs="黑体"/>
          <w:spacing w:val="5"/>
          <w:sz w:val="27"/>
          <w:szCs w:val="27"/>
        </w:rPr>
        <w:t>6  存在的问题和改进建议</w:t>
      </w:r>
    </w:p>
    <w:p w14:paraId="2E27B6C8">
      <w:pPr>
        <w:spacing w:before="70" w:line="212" w:lineRule="auto"/>
        <w:rPr>
          <w:rFonts w:ascii="黑体" w:hAnsi="黑体" w:eastAsia="黑体" w:cs="黑体"/>
          <w:sz w:val="27"/>
          <w:szCs w:val="27"/>
        </w:rPr>
      </w:pPr>
      <w:r>
        <w:rPr>
          <w:rFonts w:ascii="黑体" w:hAnsi="黑体" w:eastAsia="黑体" w:cs="黑体"/>
          <w:spacing w:val="4"/>
          <w:sz w:val="27"/>
          <w:szCs w:val="27"/>
        </w:rPr>
        <w:t>6.</w:t>
      </w:r>
      <w:r>
        <w:rPr>
          <w:rFonts w:ascii="Times New Roman" w:hAnsi="Times New Roman" w:eastAsia="Times New Roman" w:cs="Times New Roman"/>
          <w:b/>
          <w:bCs/>
          <w:spacing w:val="4"/>
          <w:sz w:val="27"/>
          <w:szCs w:val="27"/>
        </w:rPr>
        <w:t>X    (</w:t>
      </w:r>
      <w:r>
        <w:rPr>
          <w:rFonts w:ascii="Times New Roman" w:hAnsi="Times New Roman" w:eastAsia="Times New Roman" w:cs="Times New Roman"/>
          <w:b/>
          <w:bCs/>
          <w:spacing w:val="-3"/>
          <w:sz w:val="27"/>
          <w:szCs w:val="27"/>
        </w:rPr>
        <w:t xml:space="preserve"> </w:t>
      </w:r>
      <w:r>
        <w:rPr>
          <w:rFonts w:ascii="黑体" w:hAnsi="黑体" w:eastAsia="黑体" w:cs="黑体"/>
          <w:b/>
          <w:bCs/>
          <w:spacing w:val="4"/>
          <w:sz w:val="27"/>
          <w:szCs w:val="27"/>
        </w:rPr>
        <w:t>存在的问题</w:t>
      </w:r>
      <w:r>
        <w:rPr>
          <w:rFonts w:ascii="Times New Roman" w:hAnsi="Times New Roman" w:eastAsia="Times New Roman" w:cs="Times New Roman"/>
          <w:b/>
          <w:bCs/>
          <w:spacing w:val="4"/>
          <w:sz w:val="27"/>
          <w:szCs w:val="27"/>
        </w:rPr>
        <w:t>X)</w:t>
      </w:r>
      <w:r>
        <w:rPr>
          <w:rFonts w:ascii="Times New Roman" w:hAnsi="Times New Roman" w:eastAsia="Times New Roman" w:cs="Times New Roman"/>
          <w:b/>
          <w:bCs/>
          <w:spacing w:val="-17"/>
          <w:sz w:val="27"/>
          <w:szCs w:val="27"/>
        </w:rPr>
        <w:t xml:space="preserve"> </w:t>
      </w:r>
      <w:r>
        <w:rPr>
          <w:rFonts w:ascii="黑体" w:hAnsi="黑体" w:eastAsia="黑体" w:cs="黑体"/>
          <w:b/>
          <w:bCs/>
          <w:spacing w:val="4"/>
          <w:sz w:val="27"/>
          <w:szCs w:val="27"/>
        </w:rPr>
        <w:t>改进建议</w:t>
      </w:r>
    </w:p>
    <w:p w14:paraId="66083991">
      <w:pPr>
        <w:spacing w:before="108" w:line="276" w:lineRule="auto"/>
        <w:ind w:right="113" w:firstLine="580"/>
        <w:rPr>
          <w:rFonts w:ascii="宋体" w:hAnsi="宋体" w:eastAsia="宋体" w:cs="宋体"/>
          <w:sz w:val="27"/>
          <w:szCs w:val="27"/>
        </w:rPr>
      </w:pPr>
      <w:r>
        <w:rPr>
          <w:rFonts w:ascii="宋体" w:hAnsi="宋体" w:eastAsia="宋体" w:cs="宋体"/>
          <w:spacing w:val="34"/>
          <w:sz w:val="27"/>
          <w:szCs w:val="27"/>
        </w:rPr>
        <w:t>对试验过程中出现的且尚未得到彻底解决的问题提出进一步改进的</w:t>
      </w:r>
      <w:r>
        <w:rPr>
          <w:rFonts w:ascii="宋体" w:hAnsi="宋体" w:eastAsia="宋体" w:cs="宋体"/>
          <w:spacing w:val="4"/>
          <w:sz w:val="27"/>
          <w:szCs w:val="27"/>
        </w:rPr>
        <w:t xml:space="preserve"> </w:t>
      </w:r>
      <w:r>
        <w:rPr>
          <w:rFonts w:ascii="宋体" w:hAnsi="宋体" w:eastAsia="宋体" w:cs="宋体"/>
          <w:spacing w:val="1"/>
          <w:sz w:val="27"/>
          <w:szCs w:val="27"/>
        </w:rPr>
        <w:t>建议。</w:t>
      </w:r>
    </w:p>
    <w:p w14:paraId="058D7C82">
      <w:pPr>
        <w:spacing w:before="1" w:line="220" w:lineRule="auto"/>
        <w:rPr>
          <w:rFonts w:ascii="黑体" w:hAnsi="黑体" w:eastAsia="黑体" w:cs="黑体"/>
          <w:sz w:val="27"/>
          <w:szCs w:val="27"/>
        </w:rPr>
      </w:pPr>
      <w:r>
        <w:rPr>
          <w:rFonts w:ascii="黑体" w:hAnsi="黑体" w:eastAsia="黑体" w:cs="黑体"/>
          <w:spacing w:val="4"/>
          <w:sz w:val="27"/>
          <w:szCs w:val="27"/>
        </w:rPr>
        <w:t>7</w:t>
      </w:r>
      <w:r>
        <w:rPr>
          <w:rFonts w:ascii="黑体" w:hAnsi="黑体" w:eastAsia="黑体" w:cs="黑体"/>
          <w:spacing w:val="13"/>
          <w:sz w:val="27"/>
          <w:szCs w:val="27"/>
        </w:rPr>
        <w:t xml:space="preserve">  </w:t>
      </w:r>
      <w:r>
        <w:rPr>
          <w:rFonts w:ascii="黑体" w:hAnsi="黑体" w:eastAsia="黑体" w:cs="黑体"/>
          <w:spacing w:val="4"/>
          <w:sz w:val="27"/>
          <w:szCs w:val="27"/>
        </w:rPr>
        <w:t>试验照片</w:t>
      </w:r>
    </w:p>
    <w:p w14:paraId="6F81ECA6">
      <w:pPr>
        <w:spacing w:before="86" w:line="221" w:lineRule="auto"/>
        <w:rPr>
          <w:rFonts w:ascii="黑体" w:hAnsi="黑体" w:eastAsia="黑体" w:cs="黑体"/>
          <w:sz w:val="27"/>
          <w:szCs w:val="27"/>
        </w:rPr>
      </w:pPr>
      <w:r>
        <w:rPr>
          <w:rFonts w:ascii="黑体" w:hAnsi="黑体" w:eastAsia="黑体" w:cs="黑体"/>
          <w:spacing w:val="-2"/>
          <w:sz w:val="27"/>
          <w:szCs w:val="27"/>
        </w:rPr>
        <w:t>7.1  试验样品的全貌、主要侧面照片</w:t>
      </w:r>
    </w:p>
    <w:p w14:paraId="193571FB">
      <w:pPr>
        <w:spacing w:before="108" w:line="219" w:lineRule="auto"/>
        <w:ind w:left="580"/>
        <w:rPr>
          <w:rFonts w:ascii="宋体" w:hAnsi="宋体" w:eastAsia="宋体" w:cs="宋体"/>
          <w:sz w:val="27"/>
          <w:szCs w:val="27"/>
        </w:rPr>
      </w:pPr>
      <w:r>
        <w:rPr>
          <w:rFonts w:ascii="宋体" w:hAnsi="宋体" w:eastAsia="宋体" w:cs="宋体"/>
          <w:spacing w:val="-3"/>
          <w:sz w:val="27"/>
          <w:szCs w:val="27"/>
        </w:rPr>
        <w:t>提供用于试验的试验样品的全貌、主要侧面照片。</w:t>
      </w:r>
    </w:p>
    <w:p w14:paraId="157C3310">
      <w:pPr>
        <w:spacing w:before="79" w:line="221" w:lineRule="auto"/>
        <w:rPr>
          <w:rFonts w:ascii="黑体" w:hAnsi="黑体" w:eastAsia="黑体" w:cs="黑体"/>
          <w:sz w:val="27"/>
          <w:szCs w:val="27"/>
        </w:rPr>
      </w:pPr>
      <w:r>
        <w:rPr>
          <w:rFonts w:ascii="黑体" w:hAnsi="黑体" w:eastAsia="黑体" w:cs="黑体"/>
          <w:spacing w:val="2"/>
          <w:sz w:val="27"/>
          <w:szCs w:val="27"/>
        </w:rPr>
        <w:t>7.2  主要试验项目照片</w:t>
      </w:r>
    </w:p>
    <w:p w14:paraId="67B59EF0">
      <w:pPr>
        <w:spacing w:before="78" w:line="280" w:lineRule="auto"/>
        <w:ind w:right="117" w:firstLine="580"/>
        <w:rPr>
          <w:rFonts w:ascii="宋体" w:hAnsi="宋体" w:eastAsia="宋体" w:cs="宋体"/>
          <w:sz w:val="27"/>
          <w:szCs w:val="27"/>
        </w:rPr>
      </w:pPr>
      <w:r>
        <w:rPr>
          <w:rFonts w:ascii="宋体" w:hAnsi="宋体" w:eastAsia="宋体" w:cs="宋体"/>
          <w:spacing w:val="-3"/>
          <w:sz w:val="27"/>
          <w:szCs w:val="27"/>
        </w:rPr>
        <w:t>提供试验过程中拍摄的主要试验项目的照片，特别是反映装机状态、试验显</w:t>
      </w:r>
      <w:r>
        <w:rPr>
          <w:rFonts w:ascii="宋体" w:hAnsi="宋体" w:eastAsia="宋体" w:cs="宋体"/>
          <w:spacing w:val="5"/>
          <w:sz w:val="27"/>
          <w:szCs w:val="27"/>
        </w:rPr>
        <w:t xml:space="preserve"> </w:t>
      </w:r>
      <w:r>
        <w:rPr>
          <w:rFonts w:ascii="宋体" w:hAnsi="宋体" w:eastAsia="宋体" w:cs="宋体"/>
          <w:sz w:val="27"/>
          <w:szCs w:val="27"/>
        </w:rPr>
        <w:t>示画面的照片。</w:t>
      </w:r>
    </w:p>
    <w:p w14:paraId="595AECB2">
      <w:pPr>
        <w:spacing w:before="1" w:line="220" w:lineRule="auto"/>
        <w:rPr>
          <w:rFonts w:ascii="黑体" w:hAnsi="黑体" w:eastAsia="黑体" w:cs="黑体"/>
          <w:sz w:val="27"/>
          <w:szCs w:val="27"/>
        </w:rPr>
      </w:pPr>
      <w:r>
        <w:rPr>
          <w:rFonts w:ascii="黑体" w:hAnsi="黑体" w:eastAsia="黑体" w:cs="黑体"/>
          <w:spacing w:val="5"/>
          <w:sz w:val="27"/>
          <w:szCs w:val="27"/>
        </w:rPr>
        <w:t>7.3  试验中发生的重大技术问题的特写照片</w:t>
      </w:r>
    </w:p>
    <w:p w14:paraId="6F80E3A6">
      <w:pPr>
        <w:spacing w:before="78" w:line="283" w:lineRule="auto"/>
        <w:ind w:right="104" w:firstLine="580"/>
        <w:rPr>
          <w:rFonts w:ascii="宋体" w:hAnsi="宋体" w:eastAsia="宋体" w:cs="宋体"/>
          <w:sz w:val="27"/>
          <w:szCs w:val="27"/>
        </w:rPr>
      </w:pPr>
      <w:r>
        <w:rPr>
          <w:rFonts w:ascii="宋体" w:hAnsi="宋体" w:eastAsia="宋体" w:cs="宋体"/>
          <w:spacing w:val="-3"/>
          <w:sz w:val="27"/>
          <w:szCs w:val="27"/>
        </w:rPr>
        <w:t>提供试验过程中发生重大技术问题时的特写照片，特别是试验样品损伤、试</w:t>
      </w:r>
      <w:r>
        <w:rPr>
          <w:rFonts w:ascii="宋体" w:hAnsi="宋体" w:eastAsia="宋体" w:cs="宋体"/>
          <w:spacing w:val="18"/>
          <w:sz w:val="27"/>
          <w:szCs w:val="27"/>
        </w:rPr>
        <w:t xml:space="preserve"> </w:t>
      </w:r>
      <w:r>
        <w:rPr>
          <w:rFonts w:ascii="宋体" w:hAnsi="宋体" w:eastAsia="宋体" w:cs="宋体"/>
          <w:spacing w:val="1"/>
          <w:sz w:val="27"/>
          <w:szCs w:val="27"/>
        </w:rPr>
        <w:t>验显示画面异常的照片。</w:t>
      </w:r>
    </w:p>
    <w:p w14:paraId="52F125C7">
      <w:pPr>
        <w:spacing w:before="1" w:line="221" w:lineRule="auto"/>
        <w:rPr>
          <w:rFonts w:ascii="黑体" w:hAnsi="黑体" w:eastAsia="黑体" w:cs="黑体"/>
          <w:sz w:val="27"/>
          <w:szCs w:val="27"/>
        </w:rPr>
      </w:pPr>
      <w:r>
        <w:rPr>
          <w:rFonts w:ascii="黑体" w:hAnsi="黑体" w:eastAsia="黑体" w:cs="黑体"/>
          <w:spacing w:val="5"/>
          <w:sz w:val="27"/>
          <w:szCs w:val="27"/>
        </w:rPr>
        <w:t>8  主要试验项目的实时音像资料</w:t>
      </w:r>
    </w:p>
    <w:p w14:paraId="5F21B28B">
      <w:pPr>
        <w:spacing w:before="96" w:line="278" w:lineRule="auto"/>
        <w:ind w:firstLine="580"/>
        <w:rPr>
          <w:rFonts w:ascii="宋体" w:hAnsi="宋体" w:eastAsia="宋体" w:cs="宋体"/>
          <w:sz w:val="27"/>
          <w:szCs w:val="27"/>
        </w:rPr>
      </w:pPr>
      <w:r>
        <w:rPr>
          <w:rFonts w:ascii="宋体" w:hAnsi="宋体" w:eastAsia="宋体" w:cs="宋体"/>
          <w:spacing w:val="5"/>
          <w:sz w:val="27"/>
          <w:szCs w:val="27"/>
        </w:rPr>
        <w:t>提供主要试验项目的实时音像资料(目录),包括</w:t>
      </w:r>
      <w:r>
        <w:rPr>
          <w:rFonts w:ascii="宋体" w:hAnsi="宋体" w:eastAsia="宋体" w:cs="宋体"/>
          <w:spacing w:val="4"/>
          <w:sz w:val="27"/>
          <w:szCs w:val="27"/>
        </w:rPr>
        <w:t>拍摄时间、试验项目名称、</w:t>
      </w:r>
      <w:r>
        <w:rPr>
          <w:rFonts w:ascii="宋体" w:hAnsi="宋体" w:eastAsia="宋体" w:cs="宋体"/>
          <w:sz w:val="27"/>
          <w:szCs w:val="27"/>
        </w:rPr>
        <w:t xml:space="preserve"> </w:t>
      </w:r>
      <w:r>
        <w:rPr>
          <w:rFonts w:ascii="宋体" w:hAnsi="宋体" w:eastAsia="宋体" w:cs="宋体"/>
          <w:spacing w:val="3"/>
          <w:sz w:val="27"/>
          <w:szCs w:val="27"/>
        </w:rPr>
        <w:t>音像资料名称以及试验地点等信息。</w:t>
      </w:r>
    </w:p>
    <w:p w14:paraId="11290D42">
      <w:pPr>
        <w:spacing w:before="349" w:line="219" w:lineRule="auto"/>
        <w:ind w:left="3089"/>
        <w:outlineLvl w:val="1"/>
        <w:rPr>
          <w:rFonts w:ascii="宋体" w:hAnsi="宋体" w:eastAsia="宋体" w:cs="宋体"/>
          <w:sz w:val="36"/>
          <w:szCs w:val="36"/>
        </w:rPr>
      </w:pPr>
      <w:bookmarkStart w:id="53" w:name="bookmark29"/>
      <w:bookmarkEnd w:id="53"/>
      <w:r>
        <w:rPr>
          <w:rFonts w:ascii="宋体" w:hAnsi="宋体" w:eastAsia="宋体" w:cs="宋体"/>
          <w:spacing w:val="-2"/>
          <w:sz w:val="36"/>
          <w:szCs w:val="36"/>
        </w:rPr>
        <w:t>1.</w:t>
      </w:r>
      <w:r>
        <w:rPr>
          <w:rFonts w:ascii="宋体" w:hAnsi="宋体" w:eastAsia="宋体" w:cs="宋体"/>
          <w:b/>
          <w:bCs/>
          <w:spacing w:val="-2"/>
          <w:sz w:val="36"/>
          <w:szCs w:val="36"/>
        </w:rPr>
        <w:t>27</w:t>
      </w:r>
      <w:r>
        <w:rPr>
          <w:rFonts w:ascii="宋体" w:hAnsi="宋体" w:eastAsia="宋体" w:cs="宋体"/>
          <w:spacing w:val="22"/>
          <w:sz w:val="36"/>
          <w:szCs w:val="36"/>
        </w:rPr>
        <w:t xml:space="preserve">  </w:t>
      </w:r>
      <w:r>
        <w:rPr>
          <w:rFonts w:ascii="宋体" w:hAnsi="宋体" w:eastAsia="宋体" w:cs="宋体"/>
          <w:b/>
          <w:bCs/>
          <w:spacing w:val="-2"/>
          <w:sz w:val="36"/>
          <w:szCs w:val="36"/>
        </w:rPr>
        <w:t>验收测试规范</w:t>
      </w:r>
    </w:p>
    <w:p w14:paraId="2C2AE32C">
      <w:pPr>
        <w:pStyle w:val="2"/>
        <w:spacing w:line="335" w:lineRule="auto"/>
      </w:pPr>
    </w:p>
    <w:p w14:paraId="0B969EFB">
      <w:pPr>
        <w:pStyle w:val="2"/>
        <w:spacing w:before="88" w:line="223" w:lineRule="auto"/>
        <w:rPr>
          <w:rFonts w:ascii="黑体" w:hAnsi="黑体" w:eastAsia="黑体" w:cs="黑体"/>
          <w:sz w:val="27"/>
          <w:szCs w:val="27"/>
        </w:rPr>
      </w:pPr>
      <w:r>
        <w:rPr>
          <w:spacing w:val="-2"/>
          <w:sz w:val="27"/>
          <w:szCs w:val="27"/>
        </w:rPr>
        <w:t xml:space="preserve">1    </w:t>
      </w:r>
      <w:r>
        <w:rPr>
          <w:rFonts w:ascii="黑体" w:hAnsi="黑体" w:eastAsia="黑体" w:cs="黑体"/>
          <w:spacing w:val="-2"/>
          <w:sz w:val="27"/>
          <w:szCs w:val="27"/>
        </w:rPr>
        <w:t>范围</w:t>
      </w:r>
    </w:p>
    <w:p w14:paraId="31A76820">
      <w:pPr>
        <w:spacing w:before="103" w:line="222" w:lineRule="auto"/>
        <w:rPr>
          <w:rFonts w:ascii="黑体" w:hAnsi="黑体" w:eastAsia="黑体" w:cs="黑体"/>
          <w:sz w:val="27"/>
          <w:szCs w:val="27"/>
        </w:rPr>
      </w:pPr>
      <w:r>
        <w:rPr>
          <w:rFonts w:ascii="黑体" w:hAnsi="黑体" w:eastAsia="黑体" w:cs="黑体"/>
          <w:spacing w:val="-1"/>
          <w:sz w:val="27"/>
          <w:szCs w:val="27"/>
        </w:rPr>
        <w:t>1.1</w:t>
      </w:r>
      <w:r>
        <w:rPr>
          <w:rFonts w:ascii="黑体" w:hAnsi="黑体" w:eastAsia="黑体" w:cs="黑体"/>
          <w:spacing w:val="21"/>
          <w:sz w:val="27"/>
          <w:szCs w:val="27"/>
        </w:rPr>
        <w:t xml:space="preserve">  </w:t>
      </w:r>
      <w:r>
        <w:rPr>
          <w:rFonts w:ascii="黑体" w:hAnsi="黑体" w:eastAsia="黑体" w:cs="黑体"/>
          <w:spacing w:val="-1"/>
          <w:sz w:val="27"/>
          <w:szCs w:val="27"/>
        </w:rPr>
        <w:t>主题内容</w:t>
      </w:r>
    </w:p>
    <w:p w14:paraId="20281A42">
      <w:pPr>
        <w:spacing w:before="113" w:line="219" w:lineRule="auto"/>
        <w:ind w:left="580"/>
        <w:rPr>
          <w:rFonts w:ascii="宋体" w:hAnsi="宋体" w:eastAsia="宋体" w:cs="宋体"/>
          <w:sz w:val="25"/>
          <w:szCs w:val="25"/>
        </w:rPr>
      </w:pPr>
      <w:r>
        <w:rPr>
          <w:rFonts w:ascii="宋体" w:hAnsi="宋体" w:eastAsia="宋体" w:cs="宋体"/>
          <w:spacing w:val="13"/>
          <w:sz w:val="25"/>
          <w:szCs w:val="25"/>
        </w:rPr>
        <w:t>说明本验收测试规范的主题内容。</w:t>
      </w:r>
      <w:r>
        <w:rPr>
          <w:rFonts w:ascii="宋体" w:hAnsi="宋体" w:eastAsia="宋体" w:cs="宋体"/>
          <w:spacing w:val="95"/>
          <w:sz w:val="25"/>
          <w:szCs w:val="25"/>
        </w:rPr>
        <w:t xml:space="preserve"> </w:t>
      </w:r>
      <w:r>
        <w:rPr>
          <w:rFonts w:ascii="宋体" w:hAnsi="宋体" w:eastAsia="宋体" w:cs="宋体"/>
          <w:spacing w:val="13"/>
          <w:sz w:val="25"/>
          <w:szCs w:val="25"/>
        </w:rPr>
        <w:t>一般表述为：</w:t>
      </w:r>
    </w:p>
    <w:p w14:paraId="47672393">
      <w:pPr>
        <w:spacing w:before="97" w:line="212" w:lineRule="auto"/>
        <w:ind w:left="580"/>
        <w:rPr>
          <w:rFonts w:ascii="仿宋" w:hAnsi="仿宋" w:eastAsia="仿宋" w:cs="仿宋"/>
          <w:sz w:val="25"/>
          <w:szCs w:val="25"/>
        </w:rPr>
      </w:pPr>
      <w:r>
        <w:rPr>
          <w:rFonts w:ascii="仿宋" w:hAnsi="仿宋" w:eastAsia="仿宋" w:cs="仿宋"/>
          <w:spacing w:val="21"/>
          <w:sz w:val="25"/>
          <w:szCs w:val="25"/>
        </w:rPr>
        <w:t>本验收测试规范(</w:t>
      </w:r>
      <w:r>
        <w:rPr>
          <w:rFonts w:ascii="仿宋" w:hAnsi="仿宋" w:eastAsia="仿宋" w:cs="仿宋"/>
          <w:spacing w:val="-67"/>
          <w:sz w:val="25"/>
          <w:szCs w:val="25"/>
        </w:rPr>
        <w:t xml:space="preserve"> </w:t>
      </w:r>
      <w:r>
        <w:rPr>
          <w:rFonts w:ascii="Times New Roman" w:hAnsi="Times New Roman" w:eastAsia="Times New Roman" w:cs="Times New Roman"/>
          <w:sz w:val="25"/>
          <w:szCs w:val="25"/>
        </w:rPr>
        <w:t>ATS</w:t>
      </w:r>
      <w:r>
        <w:rPr>
          <w:rFonts w:ascii="Times New Roman" w:hAnsi="Times New Roman" w:eastAsia="Times New Roman" w:cs="Times New Roman"/>
          <w:spacing w:val="21"/>
          <w:sz w:val="25"/>
          <w:szCs w:val="25"/>
        </w:rPr>
        <w:t xml:space="preserve">)  </w:t>
      </w:r>
      <w:r>
        <w:rPr>
          <w:rFonts w:ascii="仿宋" w:hAnsi="仿宋" w:eastAsia="仿宋" w:cs="仿宋"/>
          <w:spacing w:val="21"/>
          <w:sz w:val="25"/>
          <w:szCs w:val="25"/>
        </w:rPr>
        <w:t>为(产品名称)验收测</w:t>
      </w:r>
      <w:r>
        <w:rPr>
          <w:rFonts w:ascii="仿宋" w:hAnsi="仿宋" w:eastAsia="仿宋" w:cs="仿宋"/>
          <w:spacing w:val="20"/>
          <w:sz w:val="25"/>
          <w:szCs w:val="25"/>
        </w:rPr>
        <w:t>试规定了测试环境、测试方法</w:t>
      </w:r>
    </w:p>
    <w:p w14:paraId="077091C1">
      <w:pPr>
        <w:spacing w:line="212" w:lineRule="auto"/>
        <w:rPr>
          <w:rFonts w:ascii="仿宋" w:hAnsi="仿宋" w:eastAsia="仿宋" w:cs="仿宋"/>
          <w:sz w:val="25"/>
          <w:szCs w:val="25"/>
        </w:rPr>
        <w:sectPr>
          <w:footerReference r:id="rId94" w:type="default"/>
          <w:pgSz w:w="11910" w:h="17130"/>
          <w:pgMar w:top="400" w:right="1225" w:bottom="1656" w:left="1170" w:header="0" w:footer="1467" w:gutter="0"/>
          <w:cols w:space="720" w:num="1"/>
        </w:sectPr>
      </w:pPr>
    </w:p>
    <w:p w14:paraId="0A6EA4F3">
      <w:pPr>
        <w:pStyle w:val="2"/>
        <w:spacing w:line="263" w:lineRule="auto"/>
      </w:pPr>
    </w:p>
    <w:p w14:paraId="0313FE17">
      <w:pPr>
        <w:pStyle w:val="2"/>
        <w:spacing w:line="263" w:lineRule="auto"/>
      </w:pPr>
    </w:p>
    <w:p w14:paraId="4F91A5CA">
      <w:pPr>
        <w:pStyle w:val="2"/>
        <w:spacing w:line="264" w:lineRule="auto"/>
      </w:pPr>
    </w:p>
    <w:p w14:paraId="5C32BC08">
      <w:pPr>
        <w:pStyle w:val="2"/>
        <w:spacing w:line="264" w:lineRule="auto"/>
      </w:pPr>
    </w:p>
    <w:p w14:paraId="3EBCD265">
      <w:pPr>
        <w:spacing w:before="78" w:line="223" w:lineRule="auto"/>
        <w:rPr>
          <w:rFonts w:ascii="仿宋" w:hAnsi="仿宋" w:eastAsia="仿宋" w:cs="仿宋"/>
          <w:sz w:val="24"/>
          <w:szCs w:val="24"/>
        </w:rPr>
      </w:pPr>
      <w:r>
        <w:rPr>
          <w:rFonts w:ascii="仿宋" w:hAnsi="仿宋" w:eastAsia="仿宋" w:cs="仿宋"/>
          <w:spacing w:val="29"/>
          <w:sz w:val="24"/>
          <w:szCs w:val="24"/>
        </w:rPr>
        <w:t>和测试项目。</w:t>
      </w:r>
    </w:p>
    <w:p w14:paraId="76455AC4">
      <w:pPr>
        <w:spacing w:before="108" w:line="223" w:lineRule="auto"/>
        <w:rPr>
          <w:rFonts w:ascii="黑体" w:hAnsi="黑体" w:eastAsia="黑体" w:cs="黑体"/>
          <w:sz w:val="24"/>
          <w:szCs w:val="24"/>
        </w:rPr>
      </w:pPr>
      <w:r>
        <w:rPr>
          <w:rFonts w:ascii="黑体" w:hAnsi="黑体" w:eastAsia="黑体" w:cs="黑体"/>
          <w:spacing w:val="13"/>
          <w:sz w:val="24"/>
          <w:szCs w:val="24"/>
        </w:rPr>
        <w:t>1.2</w:t>
      </w:r>
      <w:r>
        <w:rPr>
          <w:rFonts w:ascii="黑体" w:hAnsi="黑体" w:eastAsia="黑体" w:cs="黑体"/>
          <w:spacing w:val="58"/>
          <w:sz w:val="24"/>
          <w:szCs w:val="24"/>
        </w:rPr>
        <w:t xml:space="preserve">  </w:t>
      </w:r>
      <w:r>
        <w:rPr>
          <w:rFonts w:ascii="黑体" w:hAnsi="黑体" w:eastAsia="黑体" w:cs="黑体"/>
          <w:b/>
          <w:bCs/>
          <w:spacing w:val="13"/>
          <w:sz w:val="24"/>
          <w:szCs w:val="24"/>
        </w:rPr>
        <w:t>适用范围</w:t>
      </w:r>
    </w:p>
    <w:p w14:paraId="37E6C08E">
      <w:pPr>
        <w:spacing w:before="111" w:line="219" w:lineRule="auto"/>
        <w:ind w:left="550"/>
        <w:rPr>
          <w:rFonts w:ascii="宋体" w:hAnsi="宋体" w:eastAsia="宋体" w:cs="宋体"/>
          <w:sz w:val="25"/>
          <w:szCs w:val="25"/>
        </w:rPr>
      </w:pPr>
      <w:r>
        <w:rPr>
          <w:rFonts w:ascii="宋体" w:hAnsi="宋体" w:eastAsia="宋体" w:cs="宋体"/>
          <w:spacing w:val="13"/>
          <w:sz w:val="25"/>
          <w:szCs w:val="25"/>
        </w:rPr>
        <w:t>说明本验收测试规范的适用范围。</w:t>
      </w:r>
      <w:r>
        <w:rPr>
          <w:rFonts w:ascii="宋体" w:hAnsi="宋体" w:eastAsia="宋体" w:cs="宋体"/>
          <w:spacing w:val="85"/>
          <w:sz w:val="25"/>
          <w:szCs w:val="25"/>
        </w:rPr>
        <w:t xml:space="preserve"> </w:t>
      </w:r>
      <w:r>
        <w:rPr>
          <w:rFonts w:ascii="宋体" w:hAnsi="宋体" w:eastAsia="宋体" w:cs="宋体"/>
          <w:spacing w:val="13"/>
          <w:sz w:val="25"/>
          <w:szCs w:val="25"/>
        </w:rPr>
        <w:t>一般表述为：</w:t>
      </w:r>
    </w:p>
    <w:p w14:paraId="6E49C3EF">
      <w:pPr>
        <w:spacing w:before="120" w:line="221" w:lineRule="auto"/>
        <w:ind w:left="550"/>
        <w:rPr>
          <w:rFonts w:ascii="仿宋" w:hAnsi="仿宋" w:eastAsia="仿宋" w:cs="仿宋"/>
          <w:sz w:val="25"/>
          <w:szCs w:val="25"/>
        </w:rPr>
      </w:pPr>
      <w:r>
        <w:rPr>
          <w:rFonts w:ascii="仿宋" w:hAnsi="仿宋" w:eastAsia="仿宋" w:cs="仿宋"/>
          <w:spacing w:val="22"/>
          <w:sz w:val="25"/>
          <w:szCs w:val="25"/>
        </w:rPr>
        <w:t>本验收测试规范适用于(产品名称)的验收测试。</w:t>
      </w:r>
    </w:p>
    <w:p w14:paraId="38DDC02C">
      <w:pPr>
        <w:spacing w:before="100"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引用文件</w:t>
      </w:r>
    </w:p>
    <w:p w14:paraId="1D53CB6A">
      <w:pPr>
        <w:spacing w:before="89" w:line="219" w:lineRule="auto"/>
        <w:ind w:left="550"/>
        <w:rPr>
          <w:rFonts w:ascii="宋体" w:hAnsi="宋体" w:eastAsia="宋体" w:cs="宋体"/>
          <w:sz w:val="27"/>
          <w:szCs w:val="27"/>
        </w:rPr>
      </w:pPr>
      <w:r>
        <w:rPr>
          <w:rFonts w:ascii="宋体" w:hAnsi="宋体" w:eastAsia="宋体" w:cs="宋体"/>
          <w:spacing w:val="5"/>
          <w:sz w:val="27"/>
          <w:szCs w:val="27"/>
        </w:rPr>
        <w:t>列出制定验收测试规范的依据文件以及各章中引</w:t>
      </w:r>
      <w:r>
        <w:rPr>
          <w:rFonts w:ascii="宋体" w:hAnsi="宋体" w:eastAsia="宋体" w:cs="宋体"/>
          <w:spacing w:val="4"/>
          <w:sz w:val="27"/>
          <w:szCs w:val="27"/>
        </w:rPr>
        <w:t>用的所有文件。</w:t>
      </w:r>
    </w:p>
    <w:p w14:paraId="64F086FA">
      <w:pPr>
        <w:pStyle w:val="2"/>
        <w:spacing w:before="98" w:line="222" w:lineRule="auto"/>
        <w:rPr>
          <w:rFonts w:ascii="黑体" w:hAnsi="黑体" w:eastAsia="黑体" w:cs="黑体"/>
          <w:sz w:val="27"/>
          <w:szCs w:val="27"/>
        </w:rPr>
      </w:pPr>
      <w:r>
        <w:rPr>
          <w:b/>
          <w:bCs/>
          <w:spacing w:val="-2"/>
          <w:sz w:val="27"/>
          <w:szCs w:val="27"/>
        </w:rPr>
        <w:t>3</w:t>
      </w:r>
      <w:r>
        <w:rPr>
          <w:b/>
          <w:bCs/>
          <w:spacing w:val="16"/>
          <w:sz w:val="27"/>
          <w:szCs w:val="27"/>
        </w:rPr>
        <w:t xml:space="preserve">   </w:t>
      </w:r>
      <w:r>
        <w:rPr>
          <w:rFonts w:ascii="黑体" w:hAnsi="黑体" w:eastAsia="黑体" w:cs="黑体"/>
          <w:b/>
          <w:bCs/>
          <w:spacing w:val="-2"/>
          <w:sz w:val="27"/>
          <w:szCs w:val="27"/>
        </w:rPr>
        <w:t>产品组成</w:t>
      </w:r>
    </w:p>
    <w:p w14:paraId="30B4FB81">
      <w:pPr>
        <w:spacing w:before="76" w:line="296" w:lineRule="auto"/>
        <w:ind w:right="32" w:firstLine="550"/>
        <w:rPr>
          <w:rFonts w:ascii="宋体" w:hAnsi="宋体" w:eastAsia="宋体" w:cs="宋体"/>
          <w:sz w:val="27"/>
          <w:szCs w:val="27"/>
        </w:rPr>
      </w:pPr>
      <w:r>
        <w:rPr>
          <w:rFonts w:ascii="宋体" w:hAnsi="宋体" w:eastAsia="宋体" w:cs="宋体"/>
          <w:spacing w:val="-3"/>
          <w:sz w:val="27"/>
          <w:szCs w:val="27"/>
        </w:rPr>
        <w:t>简要说明产品的组成以及各组成部分的功能，在文字说明的基础上，可列表</w:t>
      </w:r>
      <w:r>
        <w:rPr>
          <w:rFonts w:ascii="宋体" w:hAnsi="宋体" w:eastAsia="宋体" w:cs="宋体"/>
          <w:spacing w:val="10"/>
          <w:sz w:val="27"/>
          <w:szCs w:val="27"/>
        </w:rPr>
        <w:t xml:space="preserve"> </w:t>
      </w:r>
      <w:r>
        <w:rPr>
          <w:rFonts w:ascii="宋体" w:hAnsi="宋体" w:eastAsia="宋体" w:cs="宋体"/>
          <w:spacing w:val="2"/>
          <w:sz w:val="27"/>
          <w:szCs w:val="27"/>
        </w:rPr>
        <w:t>或图示说明。</w:t>
      </w:r>
    </w:p>
    <w:p w14:paraId="25FE874A">
      <w:pPr>
        <w:spacing w:before="2" w:line="220" w:lineRule="auto"/>
        <w:rPr>
          <w:rFonts w:ascii="黑体" w:hAnsi="黑体" w:eastAsia="黑体" w:cs="黑体"/>
          <w:sz w:val="24"/>
          <w:szCs w:val="24"/>
        </w:rPr>
      </w:pPr>
      <w:r>
        <w:rPr>
          <w:rFonts w:ascii="黑体" w:hAnsi="黑体" w:eastAsia="黑体" w:cs="黑体"/>
          <w:spacing w:val="23"/>
          <w:sz w:val="24"/>
          <w:szCs w:val="24"/>
        </w:rPr>
        <w:t>4</w:t>
      </w:r>
      <w:r>
        <w:rPr>
          <w:rFonts w:ascii="黑体" w:hAnsi="黑体" w:eastAsia="黑体" w:cs="黑体"/>
          <w:spacing w:val="29"/>
          <w:sz w:val="24"/>
          <w:szCs w:val="24"/>
        </w:rPr>
        <w:t xml:space="preserve">  </w:t>
      </w:r>
      <w:r>
        <w:rPr>
          <w:rFonts w:ascii="黑体" w:hAnsi="黑体" w:eastAsia="黑体" w:cs="黑体"/>
          <w:b/>
          <w:bCs/>
          <w:spacing w:val="23"/>
          <w:sz w:val="24"/>
          <w:szCs w:val="24"/>
        </w:rPr>
        <w:t>测试环境</w:t>
      </w:r>
    </w:p>
    <w:p w14:paraId="52864EFF">
      <w:pPr>
        <w:spacing w:before="132" w:line="221" w:lineRule="auto"/>
        <w:rPr>
          <w:rFonts w:ascii="黑体" w:hAnsi="黑体" w:eastAsia="黑体" w:cs="黑体"/>
          <w:sz w:val="24"/>
          <w:szCs w:val="24"/>
        </w:rPr>
      </w:pPr>
      <w:r>
        <w:rPr>
          <w:rFonts w:ascii="黑体" w:hAnsi="黑体" w:eastAsia="黑体" w:cs="黑体"/>
          <w:spacing w:val="-3"/>
          <w:sz w:val="24"/>
          <w:szCs w:val="24"/>
        </w:rPr>
        <w:t>4.1</w:t>
      </w:r>
      <w:r>
        <w:rPr>
          <w:rFonts w:ascii="黑体" w:hAnsi="黑体" w:eastAsia="黑体" w:cs="黑体"/>
          <w:spacing w:val="48"/>
          <w:sz w:val="24"/>
          <w:szCs w:val="24"/>
        </w:rPr>
        <w:t xml:space="preserve">  </w:t>
      </w:r>
      <w:r>
        <w:rPr>
          <w:rFonts w:ascii="黑体" w:hAnsi="黑体" w:eastAsia="黑体" w:cs="黑体"/>
          <w:b/>
          <w:bCs/>
          <w:spacing w:val="-3"/>
          <w:sz w:val="24"/>
          <w:szCs w:val="24"/>
        </w:rPr>
        <w:t>概</w:t>
      </w:r>
      <w:r>
        <w:rPr>
          <w:rFonts w:ascii="黑体" w:hAnsi="黑体" w:eastAsia="黑体" w:cs="黑体"/>
          <w:spacing w:val="-45"/>
          <w:sz w:val="24"/>
          <w:szCs w:val="24"/>
        </w:rPr>
        <w:t xml:space="preserve"> </w:t>
      </w:r>
      <w:r>
        <w:rPr>
          <w:rFonts w:ascii="黑体" w:hAnsi="黑体" w:eastAsia="黑体" w:cs="黑体"/>
          <w:b/>
          <w:bCs/>
          <w:spacing w:val="-3"/>
          <w:sz w:val="24"/>
          <w:szCs w:val="24"/>
        </w:rPr>
        <w:t>述</w:t>
      </w:r>
    </w:p>
    <w:p w14:paraId="4E2F012D">
      <w:pPr>
        <w:spacing w:before="98" w:line="219" w:lineRule="auto"/>
        <w:ind w:left="550"/>
        <w:rPr>
          <w:rFonts w:ascii="宋体" w:hAnsi="宋体" w:eastAsia="宋体" w:cs="宋体"/>
          <w:sz w:val="27"/>
          <w:szCs w:val="27"/>
        </w:rPr>
      </w:pPr>
      <w:r>
        <w:rPr>
          <w:rFonts w:ascii="宋体" w:hAnsi="宋体" w:eastAsia="宋体" w:cs="宋体"/>
          <w:spacing w:val="3"/>
          <w:sz w:val="27"/>
          <w:szCs w:val="27"/>
        </w:rPr>
        <w:t>对验收测试环境进行简要描述。</w:t>
      </w:r>
    </w:p>
    <w:p w14:paraId="10BD7F4B">
      <w:pPr>
        <w:spacing w:before="105" w:line="221" w:lineRule="auto"/>
        <w:rPr>
          <w:rFonts w:ascii="黑体" w:hAnsi="黑体" w:eastAsia="黑体" w:cs="黑体"/>
          <w:sz w:val="27"/>
          <w:szCs w:val="27"/>
        </w:rPr>
      </w:pPr>
      <w:r>
        <w:rPr>
          <w:rFonts w:ascii="黑体" w:hAnsi="黑体" w:eastAsia="黑体" w:cs="黑体"/>
          <w:spacing w:val="-1"/>
          <w:sz w:val="27"/>
          <w:szCs w:val="27"/>
        </w:rPr>
        <w:t>4.2</w:t>
      </w:r>
      <w:r>
        <w:rPr>
          <w:rFonts w:ascii="黑体" w:hAnsi="黑体" w:eastAsia="黑体" w:cs="黑体"/>
          <w:spacing w:val="11"/>
          <w:sz w:val="27"/>
          <w:szCs w:val="27"/>
        </w:rPr>
        <w:t xml:space="preserve">  </w:t>
      </w:r>
      <w:r>
        <w:rPr>
          <w:rFonts w:ascii="黑体" w:hAnsi="黑体" w:eastAsia="黑体" w:cs="黑体"/>
          <w:b/>
          <w:bCs/>
          <w:spacing w:val="-1"/>
          <w:sz w:val="27"/>
          <w:szCs w:val="27"/>
        </w:rPr>
        <w:t>受试系统组成</w:t>
      </w:r>
    </w:p>
    <w:p w14:paraId="5415B462">
      <w:pPr>
        <w:spacing w:before="103" w:line="219" w:lineRule="auto"/>
        <w:ind w:left="550"/>
        <w:rPr>
          <w:rFonts w:ascii="宋体" w:hAnsi="宋体" w:eastAsia="宋体" w:cs="宋体"/>
          <w:sz w:val="27"/>
          <w:szCs w:val="27"/>
        </w:rPr>
      </w:pPr>
      <w:r>
        <w:rPr>
          <w:rFonts w:ascii="宋体" w:hAnsi="宋体" w:eastAsia="宋体" w:cs="宋体"/>
          <w:spacing w:val="-5"/>
          <w:sz w:val="27"/>
          <w:szCs w:val="27"/>
        </w:rPr>
        <w:t>说明受试系统的组成，在文字说明的基础上，可列表或图示说明。</w:t>
      </w:r>
    </w:p>
    <w:p w14:paraId="2BEE6734">
      <w:pPr>
        <w:spacing w:before="94" w:line="221"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11"/>
          <w:sz w:val="27"/>
          <w:szCs w:val="27"/>
        </w:rPr>
        <w:t xml:space="preserve">  </w:t>
      </w:r>
      <w:r>
        <w:rPr>
          <w:rFonts w:ascii="黑体" w:hAnsi="黑体" w:eastAsia="黑体" w:cs="黑体"/>
          <w:b/>
          <w:bCs/>
          <w:spacing w:val="-1"/>
          <w:sz w:val="27"/>
          <w:szCs w:val="27"/>
        </w:rPr>
        <w:t>配试系统组成</w:t>
      </w:r>
    </w:p>
    <w:p w14:paraId="2812CAC1">
      <w:pPr>
        <w:spacing w:before="122" w:line="219" w:lineRule="auto"/>
        <w:ind w:left="550"/>
        <w:rPr>
          <w:rFonts w:ascii="宋体" w:hAnsi="宋体" w:eastAsia="宋体" w:cs="宋体"/>
          <w:sz w:val="25"/>
          <w:szCs w:val="25"/>
        </w:rPr>
      </w:pPr>
      <w:r>
        <w:rPr>
          <w:rFonts w:ascii="宋体" w:hAnsi="宋体" w:eastAsia="宋体" w:cs="宋体"/>
          <w:spacing w:val="15"/>
          <w:sz w:val="25"/>
          <w:szCs w:val="25"/>
        </w:rPr>
        <w:t>说明配试系统的组成，在文字说明的基础上，可列表或图示说明。示例：</w:t>
      </w:r>
    </w:p>
    <w:p w14:paraId="15519F63">
      <w:pPr>
        <w:spacing w:before="110" w:line="299" w:lineRule="auto"/>
        <w:ind w:right="49" w:firstLine="550"/>
        <w:jc w:val="both"/>
        <w:rPr>
          <w:rFonts w:ascii="仿宋" w:hAnsi="仿宋" w:eastAsia="仿宋" w:cs="仿宋"/>
          <w:sz w:val="25"/>
          <w:szCs w:val="25"/>
        </w:rPr>
      </w:pPr>
      <w:r>
        <w:rPr>
          <w:rFonts w:ascii="仿宋" w:hAnsi="仿宋" w:eastAsia="仿宋" w:cs="仿宋"/>
          <w:spacing w:val="16"/>
          <w:sz w:val="25"/>
          <w:szCs w:val="25"/>
        </w:rPr>
        <w:t>为完成(产品名称)的验收测试，需配备×××、×××、×××等必要的激</w:t>
      </w:r>
      <w:r>
        <w:rPr>
          <w:rFonts w:ascii="仿宋" w:hAnsi="仿宋" w:eastAsia="仿宋" w:cs="仿宋"/>
          <w:spacing w:val="10"/>
          <w:sz w:val="25"/>
          <w:szCs w:val="25"/>
        </w:rPr>
        <w:t xml:space="preserve"> </w:t>
      </w:r>
      <w:r>
        <w:rPr>
          <w:rFonts w:ascii="仿宋" w:hAnsi="仿宋" w:eastAsia="仿宋" w:cs="仿宋"/>
          <w:spacing w:val="17"/>
          <w:sz w:val="25"/>
          <w:szCs w:val="25"/>
        </w:rPr>
        <w:t>励源、测试仪器和辅材，通过电缆注入激励信号并进行测试。(</w:t>
      </w:r>
      <w:r>
        <w:rPr>
          <w:rFonts w:ascii="仿宋" w:hAnsi="仿宋" w:eastAsia="仿宋" w:cs="仿宋"/>
          <w:spacing w:val="16"/>
          <w:sz w:val="25"/>
          <w:szCs w:val="25"/>
        </w:rPr>
        <w:t>产品名称)的验收</w:t>
      </w:r>
      <w:r>
        <w:rPr>
          <w:rFonts w:ascii="仿宋" w:hAnsi="仿宋" w:eastAsia="仿宋" w:cs="仿宋"/>
          <w:sz w:val="25"/>
          <w:szCs w:val="25"/>
        </w:rPr>
        <w:t xml:space="preserve"> </w:t>
      </w:r>
      <w:r>
        <w:rPr>
          <w:rFonts w:ascii="仿宋" w:hAnsi="仿宋" w:eastAsia="仿宋" w:cs="仿宋"/>
          <w:spacing w:val="24"/>
          <w:sz w:val="25"/>
          <w:szCs w:val="25"/>
        </w:rPr>
        <w:t>测试所需测试设备清单见表1.4。</w:t>
      </w:r>
    </w:p>
    <w:p w14:paraId="76C40F5C">
      <w:pPr>
        <w:spacing w:before="44" w:line="221" w:lineRule="auto"/>
        <w:ind w:left="1709"/>
        <w:rPr>
          <w:rFonts w:ascii="仿宋" w:hAnsi="仿宋" w:eastAsia="仿宋" w:cs="仿宋"/>
          <w:sz w:val="24"/>
          <w:szCs w:val="24"/>
        </w:rPr>
      </w:pPr>
      <w:r>
        <w:rPr>
          <w:rFonts w:ascii="仿宋" w:hAnsi="仿宋" w:eastAsia="仿宋" w:cs="仿宋"/>
          <w:spacing w:val="30"/>
          <w:sz w:val="24"/>
          <w:szCs w:val="24"/>
        </w:rPr>
        <w:t>表1</w:t>
      </w:r>
      <w:r>
        <w:rPr>
          <w:rFonts w:ascii="仿宋" w:hAnsi="仿宋" w:eastAsia="仿宋" w:cs="仿宋"/>
          <w:spacing w:val="-63"/>
          <w:sz w:val="24"/>
          <w:szCs w:val="24"/>
        </w:rPr>
        <w:t xml:space="preserve"> </w:t>
      </w:r>
      <w:r>
        <w:rPr>
          <w:rFonts w:ascii="仿宋" w:hAnsi="仿宋" w:eastAsia="仿宋" w:cs="仿宋"/>
          <w:spacing w:val="30"/>
          <w:sz w:val="24"/>
          <w:szCs w:val="24"/>
        </w:rPr>
        <w:t>.</w:t>
      </w:r>
      <w:r>
        <w:rPr>
          <w:rFonts w:ascii="仿宋" w:hAnsi="仿宋" w:eastAsia="仿宋" w:cs="仿宋"/>
          <w:spacing w:val="-72"/>
          <w:sz w:val="24"/>
          <w:szCs w:val="24"/>
        </w:rPr>
        <w:t xml:space="preserve"> </w:t>
      </w:r>
      <w:r>
        <w:rPr>
          <w:rFonts w:ascii="仿宋" w:hAnsi="仿宋" w:eastAsia="仿宋" w:cs="仿宋"/>
          <w:spacing w:val="30"/>
          <w:sz w:val="24"/>
          <w:szCs w:val="24"/>
        </w:rPr>
        <w:t>4</w:t>
      </w:r>
      <w:r>
        <w:rPr>
          <w:rFonts w:ascii="仿宋" w:hAnsi="仿宋" w:eastAsia="仿宋" w:cs="仿宋"/>
          <w:spacing w:val="6"/>
          <w:sz w:val="24"/>
          <w:szCs w:val="24"/>
        </w:rPr>
        <w:t xml:space="preserve">  </w:t>
      </w:r>
      <w:r>
        <w:rPr>
          <w:rFonts w:ascii="仿宋" w:hAnsi="仿宋" w:eastAsia="仿宋" w:cs="仿宋"/>
          <w:spacing w:val="30"/>
          <w:sz w:val="24"/>
          <w:szCs w:val="24"/>
        </w:rPr>
        <w:t>(产品名称)的验收测试所需测试设</w:t>
      </w:r>
      <w:r>
        <w:rPr>
          <w:rFonts w:ascii="仿宋" w:hAnsi="仿宋" w:eastAsia="仿宋" w:cs="仿宋"/>
          <w:spacing w:val="29"/>
          <w:sz w:val="24"/>
          <w:szCs w:val="24"/>
        </w:rPr>
        <w:t>备清单</w:t>
      </w:r>
    </w:p>
    <w:p w14:paraId="63C261A5">
      <w:pPr>
        <w:spacing w:line="142" w:lineRule="exact"/>
      </w:pPr>
    </w:p>
    <w:tbl>
      <w:tblPr>
        <w:tblStyle w:val="5"/>
        <w:tblW w:w="936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4"/>
        <w:gridCol w:w="2517"/>
        <w:gridCol w:w="1049"/>
        <w:gridCol w:w="1049"/>
        <w:gridCol w:w="1458"/>
        <w:gridCol w:w="1468"/>
        <w:gridCol w:w="1004"/>
      </w:tblGrid>
      <w:tr w14:paraId="647C1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 w:hRule="atLeast"/>
        </w:trPr>
        <w:tc>
          <w:tcPr>
            <w:tcW w:w="824" w:type="dxa"/>
            <w:vAlign w:val="top"/>
          </w:tcPr>
          <w:p w14:paraId="04F2A6F9">
            <w:pPr>
              <w:spacing w:before="154" w:line="221" w:lineRule="auto"/>
              <w:ind w:left="184"/>
              <w:rPr>
                <w:rFonts w:ascii="宋体" w:hAnsi="宋体" w:eastAsia="宋体" w:cs="宋体"/>
                <w:sz w:val="21"/>
                <w:szCs w:val="21"/>
              </w:rPr>
            </w:pPr>
            <w:r>
              <w:rPr>
                <w:rFonts w:ascii="宋体" w:hAnsi="宋体" w:eastAsia="宋体" w:cs="宋体"/>
                <w:spacing w:val="6"/>
                <w:sz w:val="21"/>
                <w:szCs w:val="21"/>
              </w:rPr>
              <w:t>序号</w:t>
            </w:r>
          </w:p>
        </w:tc>
        <w:tc>
          <w:tcPr>
            <w:tcW w:w="2517" w:type="dxa"/>
            <w:vAlign w:val="top"/>
          </w:tcPr>
          <w:p w14:paraId="49469FF4">
            <w:pPr>
              <w:spacing w:before="154" w:line="221" w:lineRule="auto"/>
              <w:ind w:left="831"/>
              <w:rPr>
                <w:rFonts w:ascii="宋体" w:hAnsi="宋体" w:eastAsia="宋体" w:cs="宋体"/>
                <w:sz w:val="21"/>
                <w:szCs w:val="21"/>
              </w:rPr>
            </w:pPr>
            <w:r>
              <w:rPr>
                <w:rFonts w:ascii="宋体" w:hAnsi="宋体" w:eastAsia="宋体" w:cs="宋体"/>
                <w:spacing w:val="2"/>
                <w:sz w:val="21"/>
                <w:szCs w:val="21"/>
              </w:rPr>
              <w:t>设备名称</w:t>
            </w:r>
          </w:p>
        </w:tc>
        <w:tc>
          <w:tcPr>
            <w:tcW w:w="1049" w:type="dxa"/>
            <w:vAlign w:val="top"/>
          </w:tcPr>
          <w:p w14:paraId="29658263">
            <w:pPr>
              <w:spacing w:before="154" w:line="221" w:lineRule="auto"/>
              <w:ind w:left="303"/>
              <w:rPr>
                <w:rFonts w:ascii="宋体" w:hAnsi="宋体" w:eastAsia="宋体" w:cs="宋体"/>
                <w:sz w:val="21"/>
                <w:szCs w:val="21"/>
              </w:rPr>
            </w:pPr>
            <w:r>
              <w:rPr>
                <w:rFonts w:ascii="宋体" w:hAnsi="宋体" w:eastAsia="宋体" w:cs="宋体"/>
                <w:spacing w:val="6"/>
                <w:sz w:val="21"/>
                <w:szCs w:val="21"/>
              </w:rPr>
              <w:t>型号</w:t>
            </w:r>
          </w:p>
        </w:tc>
        <w:tc>
          <w:tcPr>
            <w:tcW w:w="1049" w:type="dxa"/>
            <w:vAlign w:val="top"/>
          </w:tcPr>
          <w:p w14:paraId="5134F29D">
            <w:pPr>
              <w:spacing w:before="153" w:line="219" w:lineRule="auto"/>
              <w:ind w:left="294"/>
              <w:rPr>
                <w:rFonts w:ascii="宋体" w:hAnsi="宋体" w:eastAsia="宋体" w:cs="宋体"/>
                <w:sz w:val="21"/>
                <w:szCs w:val="21"/>
              </w:rPr>
            </w:pPr>
            <w:r>
              <w:rPr>
                <w:rFonts w:ascii="宋体" w:hAnsi="宋体" w:eastAsia="宋体" w:cs="宋体"/>
                <w:spacing w:val="-3"/>
                <w:sz w:val="21"/>
                <w:szCs w:val="21"/>
              </w:rPr>
              <w:t>数量</w:t>
            </w:r>
          </w:p>
        </w:tc>
        <w:tc>
          <w:tcPr>
            <w:tcW w:w="1458" w:type="dxa"/>
            <w:vAlign w:val="top"/>
          </w:tcPr>
          <w:p w14:paraId="136546B8">
            <w:pPr>
              <w:spacing w:before="152" w:line="219" w:lineRule="auto"/>
              <w:ind w:left="315"/>
              <w:rPr>
                <w:rFonts w:ascii="宋体" w:hAnsi="宋体" w:eastAsia="宋体" w:cs="宋体"/>
                <w:sz w:val="21"/>
                <w:szCs w:val="21"/>
              </w:rPr>
            </w:pPr>
            <w:r>
              <w:rPr>
                <w:rFonts w:ascii="宋体" w:hAnsi="宋体" w:eastAsia="宋体" w:cs="宋体"/>
                <w:spacing w:val="3"/>
                <w:sz w:val="21"/>
                <w:szCs w:val="21"/>
              </w:rPr>
              <w:t>测试精度</w:t>
            </w:r>
          </w:p>
        </w:tc>
        <w:tc>
          <w:tcPr>
            <w:tcW w:w="1468" w:type="dxa"/>
            <w:vAlign w:val="top"/>
          </w:tcPr>
          <w:p w14:paraId="5C37FE16">
            <w:pPr>
              <w:spacing w:before="154" w:line="220" w:lineRule="auto"/>
              <w:ind w:left="418"/>
              <w:rPr>
                <w:rFonts w:ascii="宋体" w:hAnsi="宋体" w:eastAsia="宋体" w:cs="宋体"/>
                <w:sz w:val="21"/>
                <w:szCs w:val="21"/>
              </w:rPr>
            </w:pPr>
            <w:r>
              <w:rPr>
                <w:rFonts w:ascii="宋体" w:hAnsi="宋体" w:eastAsia="宋体" w:cs="宋体"/>
                <w:spacing w:val="4"/>
                <w:sz w:val="21"/>
                <w:szCs w:val="21"/>
              </w:rPr>
              <w:t>有效期</w:t>
            </w:r>
          </w:p>
        </w:tc>
        <w:tc>
          <w:tcPr>
            <w:tcW w:w="1004" w:type="dxa"/>
            <w:vAlign w:val="top"/>
          </w:tcPr>
          <w:p w14:paraId="5FAAA44A">
            <w:pPr>
              <w:spacing w:before="154" w:line="221" w:lineRule="auto"/>
              <w:ind w:left="289"/>
              <w:rPr>
                <w:rFonts w:ascii="宋体" w:hAnsi="宋体" w:eastAsia="宋体" w:cs="宋体"/>
                <w:sz w:val="21"/>
                <w:szCs w:val="21"/>
              </w:rPr>
            </w:pPr>
            <w:r>
              <w:rPr>
                <w:rFonts w:ascii="宋体" w:hAnsi="宋体" w:eastAsia="宋体" w:cs="宋体"/>
                <w:spacing w:val="5"/>
                <w:sz w:val="21"/>
                <w:szCs w:val="21"/>
              </w:rPr>
              <w:t>备注</w:t>
            </w:r>
          </w:p>
        </w:tc>
      </w:tr>
      <w:tr w14:paraId="2735C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trPr>
        <w:tc>
          <w:tcPr>
            <w:tcW w:w="824" w:type="dxa"/>
            <w:vAlign w:val="top"/>
          </w:tcPr>
          <w:p w14:paraId="1DC33847">
            <w:pPr>
              <w:rPr>
                <w:rFonts w:ascii="Arial"/>
                <w:sz w:val="21"/>
              </w:rPr>
            </w:pPr>
          </w:p>
        </w:tc>
        <w:tc>
          <w:tcPr>
            <w:tcW w:w="2517" w:type="dxa"/>
            <w:vAlign w:val="top"/>
          </w:tcPr>
          <w:p w14:paraId="349ED411">
            <w:pPr>
              <w:rPr>
                <w:rFonts w:ascii="Arial"/>
                <w:sz w:val="21"/>
              </w:rPr>
            </w:pPr>
          </w:p>
        </w:tc>
        <w:tc>
          <w:tcPr>
            <w:tcW w:w="1049" w:type="dxa"/>
            <w:vAlign w:val="top"/>
          </w:tcPr>
          <w:p w14:paraId="655F9888">
            <w:pPr>
              <w:rPr>
                <w:rFonts w:ascii="Arial"/>
                <w:sz w:val="21"/>
              </w:rPr>
            </w:pPr>
          </w:p>
        </w:tc>
        <w:tc>
          <w:tcPr>
            <w:tcW w:w="1049" w:type="dxa"/>
            <w:vAlign w:val="top"/>
          </w:tcPr>
          <w:p w14:paraId="0DB66D55">
            <w:pPr>
              <w:rPr>
                <w:rFonts w:ascii="Arial"/>
                <w:sz w:val="21"/>
              </w:rPr>
            </w:pPr>
          </w:p>
        </w:tc>
        <w:tc>
          <w:tcPr>
            <w:tcW w:w="1458" w:type="dxa"/>
            <w:vAlign w:val="top"/>
          </w:tcPr>
          <w:p w14:paraId="4C12541A">
            <w:pPr>
              <w:rPr>
                <w:rFonts w:ascii="Arial"/>
                <w:sz w:val="21"/>
              </w:rPr>
            </w:pPr>
          </w:p>
        </w:tc>
        <w:tc>
          <w:tcPr>
            <w:tcW w:w="1468" w:type="dxa"/>
            <w:vAlign w:val="top"/>
          </w:tcPr>
          <w:p w14:paraId="128F2E72">
            <w:pPr>
              <w:rPr>
                <w:rFonts w:ascii="Arial"/>
                <w:sz w:val="21"/>
              </w:rPr>
            </w:pPr>
          </w:p>
        </w:tc>
        <w:tc>
          <w:tcPr>
            <w:tcW w:w="1004" w:type="dxa"/>
            <w:vAlign w:val="top"/>
          </w:tcPr>
          <w:p w14:paraId="51BA1836">
            <w:pPr>
              <w:rPr>
                <w:rFonts w:ascii="Arial"/>
                <w:sz w:val="21"/>
              </w:rPr>
            </w:pPr>
          </w:p>
        </w:tc>
      </w:tr>
      <w:tr w14:paraId="36BD8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 w:hRule="atLeast"/>
        </w:trPr>
        <w:tc>
          <w:tcPr>
            <w:tcW w:w="824" w:type="dxa"/>
            <w:vAlign w:val="top"/>
          </w:tcPr>
          <w:p w14:paraId="00D5B7D0">
            <w:pPr>
              <w:rPr>
                <w:rFonts w:ascii="Arial"/>
                <w:sz w:val="21"/>
              </w:rPr>
            </w:pPr>
          </w:p>
        </w:tc>
        <w:tc>
          <w:tcPr>
            <w:tcW w:w="2517" w:type="dxa"/>
            <w:vAlign w:val="top"/>
          </w:tcPr>
          <w:p w14:paraId="5F5CBA92">
            <w:pPr>
              <w:rPr>
                <w:rFonts w:ascii="Arial"/>
                <w:sz w:val="21"/>
              </w:rPr>
            </w:pPr>
          </w:p>
        </w:tc>
        <w:tc>
          <w:tcPr>
            <w:tcW w:w="1049" w:type="dxa"/>
            <w:vAlign w:val="top"/>
          </w:tcPr>
          <w:p w14:paraId="1985CC9B">
            <w:pPr>
              <w:rPr>
                <w:rFonts w:ascii="Arial"/>
                <w:sz w:val="21"/>
              </w:rPr>
            </w:pPr>
          </w:p>
        </w:tc>
        <w:tc>
          <w:tcPr>
            <w:tcW w:w="1049" w:type="dxa"/>
            <w:vAlign w:val="top"/>
          </w:tcPr>
          <w:p w14:paraId="50187825">
            <w:pPr>
              <w:rPr>
                <w:rFonts w:ascii="Arial"/>
                <w:sz w:val="21"/>
              </w:rPr>
            </w:pPr>
          </w:p>
        </w:tc>
        <w:tc>
          <w:tcPr>
            <w:tcW w:w="1458" w:type="dxa"/>
            <w:vAlign w:val="top"/>
          </w:tcPr>
          <w:p w14:paraId="2B1A615E">
            <w:pPr>
              <w:rPr>
                <w:rFonts w:ascii="Arial"/>
                <w:sz w:val="21"/>
              </w:rPr>
            </w:pPr>
          </w:p>
        </w:tc>
        <w:tc>
          <w:tcPr>
            <w:tcW w:w="1468" w:type="dxa"/>
            <w:vAlign w:val="top"/>
          </w:tcPr>
          <w:p w14:paraId="08FA88A5">
            <w:pPr>
              <w:rPr>
                <w:rFonts w:ascii="Arial"/>
                <w:sz w:val="21"/>
              </w:rPr>
            </w:pPr>
          </w:p>
        </w:tc>
        <w:tc>
          <w:tcPr>
            <w:tcW w:w="1004" w:type="dxa"/>
            <w:vAlign w:val="top"/>
          </w:tcPr>
          <w:p w14:paraId="6D2A16F6">
            <w:pPr>
              <w:rPr>
                <w:rFonts w:ascii="Arial"/>
                <w:sz w:val="21"/>
              </w:rPr>
            </w:pPr>
          </w:p>
        </w:tc>
      </w:tr>
    </w:tbl>
    <w:p w14:paraId="3D1E644C">
      <w:pPr>
        <w:spacing w:before="200" w:line="221" w:lineRule="auto"/>
        <w:rPr>
          <w:rFonts w:ascii="黑体" w:hAnsi="黑体" w:eastAsia="黑体" w:cs="黑体"/>
          <w:sz w:val="27"/>
          <w:szCs w:val="27"/>
        </w:rPr>
      </w:pPr>
      <w:r>
        <w:rPr>
          <w:rFonts w:ascii="黑体" w:hAnsi="黑体" w:eastAsia="黑体" w:cs="黑体"/>
          <w:spacing w:val="2"/>
          <w:sz w:val="27"/>
          <w:szCs w:val="27"/>
        </w:rPr>
        <w:t xml:space="preserve">4.4  </w:t>
      </w:r>
      <w:r>
        <w:rPr>
          <w:rFonts w:ascii="黑体" w:hAnsi="黑体" w:eastAsia="黑体" w:cs="黑体"/>
          <w:b/>
          <w:bCs/>
          <w:spacing w:val="2"/>
          <w:sz w:val="27"/>
          <w:szCs w:val="27"/>
        </w:rPr>
        <w:t>测试环境框图</w:t>
      </w:r>
    </w:p>
    <w:p w14:paraId="19778396">
      <w:pPr>
        <w:spacing w:before="103" w:line="219" w:lineRule="auto"/>
        <w:ind w:left="550"/>
        <w:rPr>
          <w:rFonts w:ascii="宋体" w:hAnsi="宋体" w:eastAsia="宋体" w:cs="宋体"/>
          <w:sz w:val="27"/>
          <w:szCs w:val="27"/>
        </w:rPr>
      </w:pPr>
      <w:r>
        <w:rPr>
          <w:rFonts w:ascii="宋体" w:hAnsi="宋体" w:eastAsia="宋体" w:cs="宋体"/>
          <w:spacing w:val="-5"/>
          <w:sz w:val="27"/>
          <w:szCs w:val="27"/>
        </w:rPr>
        <w:t>对搭建的整个测试环境，包括受试系统和配试系统，用框图表示。</w:t>
      </w:r>
    </w:p>
    <w:p w14:paraId="20D0CA02">
      <w:pPr>
        <w:spacing w:before="103" w:line="221" w:lineRule="auto"/>
        <w:rPr>
          <w:rFonts w:ascii="黑体" w:hAnsi="黑体" w:eastAsia="黑体" w:cs="黑体"/>
          <w:sz w:val="27"/>
          <w:szCs w:val="27"/>
        </w:rPr>
      </w:pPr>
      <w:r>
        <w:rPr>
          <w:rFonts w:ascii="黑体" w:hAnsi="黑体" w:eastAsia="黑体" w:cs="黑体"/>
          <w:spacing w:val="1"/>
          <w:sz w:val="27"/>
          <w:szCs w:val="27"/>
        </w:rPr>
        <w:t xml:space="preserve">5  </w:t>
      </w:r>
      <w:r>
        <w:rPr>
          <w:rFonts w:ascii="黑体" w:hAnsi="黑体" w:eastAsia="黑体" w:cs="黑体"/>
          <w:b/>
          <w:bCs/>
          <w:spacing w:val="1"/>
          <w:sz w:val="27"/>
          <w:szCs w:val="27"/>
        </w:rPr>
        <w:t>测试方法</w:t>
      </w:r>
    </w:p>
    <w:p w14:paraId="0BA4D85C">
      <w:pPr>
        <w:spacing w:before="103" w:line="285" w:lineRule="auto"/>
        <w:ind w:right="29" w:firstLine="550"/>
        <w:rPr>
          <w:rFonts w:ascii="宋体" w:hAnsi="宋体" w:eastAsia="宋体" w:cs="宋体"/>
          <w:sz w:val="27"/>
          <w:szCs w:val="27"/>
        </w:rPr>
      </w:pPr>
      <w:r>
        <w:rPr>
          <w:rFonts w:ascii="宋体" w:hAnsi="宋体" w:eastAsia="宋体" w:cs="宋体"/>
          <w:spacing w:val="15"/>
          <w:sz w:val="27"/>
          <w:szCs w:val="27"/>
        </w:rPr>
        <w:t>规定验收测试采用的测试方法，通常依据相关</w:t>
      </w:r>
      <w:r>
        <w:rPr>
          <w:rFonts w:ascii="宋体" w:hAnsi="宋体" w:eastAsia="宋体" w:cs="宋体"/>
          <w:spacing w:val="14"/>
          <w:sz w:val="27"/>
          <w:szCs w:val="27"/>
        </w:rPr>
        <w:t>国家军用标准或产品规范</w:t>
      </w:r>
      <w:r>
        <w:rPr>
          <w:rFonts w:ascii="宋体" w:hAnsi="宋体" w:eastAsia="宋体" w:cs="宋体"/>
          <w:sz w:val="27"/>
          <w:szCs w:val="27"/>
        </w:rPr>
        <w:t xml:space="preserve"> </w:t>
      </w:r>
      <w:r>
        <w:rPr>
          <w:rFonts w:ascii="宋体" w:hAnsi="宋体" w:eastAsia="宋体" w:cs="宋体"/>
          <w:spacing w:val="-2"/>
          <w:sz w:val="27"/>
          <w:szCs w:val="27"/>
        </w:rPr>
        <w:t>制定。</w:t>
      </w:r>
    </w:p>
    <w:p w14:paraId="2D4E4ECA">
      <w:pPr>
        <w:spacing w:before="2" w:line="220" w:lineRule="auto"/>
        <w:rPr>
          <w:rFonts w:ascii="黑体" w:hAnsi="黑体" w:eastAsia="黑体" w:cs="黑体"/>
          <w:sz w:val="25"/>
          <w:szCs w:val="25"/>
        </w:rPr>
      </w:pPr>
      <w:r>
        <w:rPr>
          <w:rFonts w:ascii="黑体" w:hAnsi="黑体" w:eastAsia="黑体" w:cs="黑体"/>
          <w:spacing w:val="14"/>
          <w:sz w:val="25"/>
          <w:szCs w:val="25"/>
        </w:rPr>
        <w:t>6</w:t>
      </w:r>
      <w:r>
        <w:rPr>
          <w:rFonts w:ascii="黑体" w:hAnsi="黑体" w:eastAsia="黑体" w:cs="黑体"/>
          <w:spacing w:val="24"/>
          <w:sz w:val="25"/>
          <w:szCs w:val="25"/>
        </w:rPr>
        <w:t xml:space="preserve">  </w:t>
      </w:r>
      <w:r>
        <w:rPr>
          <w:rFonts w:ascii="黑体" w:hAnsi="黑体" w:eastAsia="黑体" w:cs="黑体"/>
          <w:b/>
          <w:bCs/>
          <w:spacing w:val="14"/>
          <w:sz w:val="25"/>
          <w:szCs w:val="25"/>
        </w:rPr>
        <w:t>测试项目</w:t>
      </w:r>
    </w:p>
    <w:p w14:paraId="454B6F5C">
      <w:pPr>
        <w:spacing w:before="98" w:line="291" w:lineRule="auto"/>
        <w:ind w:right="53" w:firstLine="550"/>
        <w:jc w:val="both"/>
        <w:rPr>
          <w:rFonts w:ascii="宋体" w:hAnsi="宋体" w:eastAsia="宋体" w:cs="宋体"/>
          <w:sz w:val="27"/>
          <w:szCs w:val="27"/>
        </w:rPr>
      </w:pPr>
      <w:r>
        <w:rPr>
          <w:rFonts w:ascii="宋体" w:hAnsi="宋体" w:eastAsia="宋体" w:cs="宋体"/>
          <w:spacing w:val="14"/>
          <w:sz w:val="27"/>
          <w:szCs w:val="27"/>
        </w:rPr>
        <w:t>依据研制总要求或研制合同提出的产品功能性能要求和相关</w:t>
      </w:r>
      <w:r>
        <w:rPr>
          <w:rFonts w:ascii="宋体" w:hAnsi="宋体" w:eastAsia="宋体" w:cs="宋体"/>
          <w:spacing w:val="13"/>
          <w:sz w:val="27"/>
          <w:szCs w:val="27"/>
        </w:rPr>
        <w:t>国家军用标</w:t>
      </w:r>
      <w:r>
        <w:rPr>
          <w:rFonts w:ascii="宋体" w:hAnsi="宋体" w:eastAsia="宋体" w:cs="宋体"/>
          <w:sz w:val="27"/>
          <w:szCs w:val="27"/>
        </w:rPr>
        <w:t xml:space="preserve"> </w:t>
      </w:r>
      <w:r>
        <w:rPr>
          <w:rFonts w:ascii="宋体" w:hAnsi="宋体" w:eastAsia="宋体" w:cs="宋体"/>
          <w:spacing w:val="22"/>
          <w:sz w:val="27"/>
          <w:szCs w:val="27"/>
        </w:rPr>
        <w:t>准规定，规定验收测试项目。可根据具体情况用文字逐项描述或使用表格</w:t>
      </w:r>
      <w:r>
        <w:rPr>
          <w:rFonts w:ascii="宋体" w:hAnsi="宋体" w:eastAsia="宋体" w:cs="宋体"/>
          <w:spacing w:val="6"/>
          <w:sz w:val="27"/>
          <w:szCs w:val="27"/>
        </w:rPr>
        <w:t xml:space="preserve"> </w:t>
      </w:r>
      <w:r>
        <w:rPr>
          <w:rFonts w:ascii="宋体" w:hAnsi="宋体" w:eastAsia="宋体" w:cs="宋体"/>
          <w:spacing w:val="-2"/>
          <w:sz w:val="27"/>
          <w:szCs w:val="27"/>
        </w:rPr>
        <w:t>形式。</w:t>
      </w:r>
    </w:p>
    <w:p w14:paraId="56FDAB4F">
      <w:pPr>
        <w:spacing w:line="291" w:lineRule="auto"/>
        <w:rPr>
          <w:rFonts w:ascii="宋体" w:hAnsi="宋体" w:eastAsia="宋体" w:cs="宋体"/>
          <w:sz w:val="27"/>
          <w:szCs w:val="27"/>
        </w:rPr>
        <w:sectPr>
          <w:footerReference r:id="rId95" w:type="default"/>
          <w:pgSz w:w="11910" w:h="17130"/>
          <w:pgMar w:top="400" w:right="1095" w:bottom="1721" w:left="1410" w:header="0" w:footer="1408" w:gutter="0"/>
          <w:cols w:space="720" w:num="1"/>
        </w:sectPr>
      </w:pPr>
    </w:p>
    <w:p w14:paraId="79D2AD2E">
      <w:pPr>
        <w:pStyle w:val="2"/>
        <w:spacing w:line="266" w:lineRule="auto"/>
      </w:pPr>
    </w:p>
    <w:p w14:paraId="5F1745DE">
      <w:pPr>
        <w:pStyle w:val="2"/>
        <w:spacing w:line="267" w:lineRule="auto"/>
      </w:pPr>
    </w:p>
    <w:p w14:paraId="4252B647">
      <w:pPr>
        <w:pStyle w:val="2"/>
        <w:spacing w:line="267" w:lineRule="auto"/>
      </w:pPr>
    </w:p>
    <w:p w14:paraId="77C8CB4D">
      <w:pPr>
        <w:pStyle w:val="2"/>
        <w:spacing w:line="267" w:lineRule="auto"/>
      </w:pPr>
    </w:p>
    <w:p w14:paraId="0E61030F">
      <w:pPr>
        <w:pStyle w:val="2"/>
        <w:spacing w:line="267" w:lineRule="auto"/>
      </w:pPr>
    </w:p>
    <w:p w14:paraId="74628E6A">
      <w:pPr>
        <w:spacing w:before="117" w:line="219" w:lineRule="auto"/>
        <w:ind w:left="3040"/>
        <w:outlineLvl w:val="1"/>
        <w:rPr>
          <w:rFonts w:ascii="宋体" w:hAnsi="宋体" w:eastAsia="宋体" w:cs="宋体"/>
          <w:sz w:val="36"/>
          <w:szCs w:val="36"/>
        </w:rPr>
      </w:pPr>
      <w:bookmarkStart w:id="54" w:name="bookmark331"/>
      <w:bookmarkEnd w:id="54"/>
      <w:bookmarkStart w:id="55" w:name="bookmark30"/>
      <w:bookmarkEnd w:id="55"/>
      <w:r>
        <w:rPr>
          <w:rFonts w:ascii="宋体" w:hAnsi="宋体" w:eastAsia="宋体" w:cs="宋体"/>
          <w:spacing w:val="-1"/>
          <w:sz w:val="36"/>
          <w:szCs w:val="36"/>
        </w:rPr>
        <w:t>1.28</w:t>
      </w:r>
      <w:r>
        <w:rPr>
          <w:rFonts w:ascii="宋体" w:hAnsi="宋体" w:eastAsia="宋体" w:cs="宋体"/>
          <w:spacing w:val="21"/>
          <w:sz w:val="36"/>
          <w:szCs w:val="36"/>
        </w:rPr>
        <w:t xml:space="preserve">  </w:t>
      </w:r>
      <w:r>
        <w:rPr>
          <w:rFonts w:ascii="宋体" w:hAnsi="宋体" w:eastAsia="宋体" w:cs="宋体"/>
          <w:b/>
          <w:bCs/>
          <w:spacing w:val="-1"/>
          <w:sz w:val="36"/>
          <w:szCs w:val="36"/>
        </w:rPr>
        <w:t>验收测试程序</w:t>
      </w:r>
    </w:p>
    <w:p w14:paraId="4103C318">
      <w:pPr>
        <w:pStyle w:val="2"/>
        <w:spacing w:line="368" w:lineRule="auto"/>
      </w:pPr>
    </w:p>
    <w:p w14:paraId="7D6EDBCF">
      <w:pPr>
        <w:spacing w:before="91" w:line="223" w:lineRule="auto"/>
        <w:rPr>
          <w:rFonts w:ascii="黑体" w:hAnsi="黑体" w:eastAsia="黑体" w:cs="黑体"/>
          <w:sz w:val="28"/>
          <w:szCs w:val="28"/>
        </w:rPr>
      </w:pPr>
      <w:r>
        <w:rPr>
          <w:rFonts w:ascii="黑体" w:hAnsi="黑体" w:eastAsia="黑体" w:cs="黑体"/>
          <w:spacing w:val="-5"/>
          <w:sz w:val="28"/>
          <w:szCs w:val="28"/>
        </w:rPr>
        <w:t xml:space="preserve">1  </w:t>
      </w:r>
      <w:r>
        <w:rPr>
          <w:rFonts w:ascii="黑体" w:hAnsi="黑体" w:eastAsia="黑体" w:cs="黑体"/>
          <w:b/>
          <w:bCs/>
          <w:spacing w:val="-5"/>
          <w:sz w:val="28"/>
          <w:szCs w:val="28"/>
        </w:rPr>
        <w:t>范围</w:t>
      </w:r>
    </w:p>
    <w:p w14:paraId="0AEF5CE9">
      <w:pPr>
        <w:spacing w:before="80" w:line="222" w:lineRule="auto"/>
        <w:rPr>
          <w:rFonts w:ascii="黑体" w:hAnsi="黑体" w:eastAsia="黑体" w:cs="黑体"/>
          <w:sz w:val="27"/>
          <w:szCs w:val="27"/>
        </w:rPr>
      </w:pPr>
      <w:r>
        <w:rPr>
          <w:rFonts w:ascii="黑体" w:hAnsi="黑体" w:eastAsia="黑体" w:cs="黑体"/>
          <w:spacing w:val="-7"/>
          <w:sz w:val="27"/>
          <w:szCs w:val="27"/>
        </w:rPr>
        <w:t>1.1</w:t>
      </w:r>
      <w:r>
        <w:rPr>
          <w:rFonts w:ascii="黑体" w:hAnsi="黑体" w:eastAsia="黑体" w:cs="黑体"/>
          <w:spacing w:val="17"/>
          <w:sz w:val="27"/>
          <w:szCs w:val="27"/>
        </w:rPr>
        <w:t xml:space="preserve">  </w:t>
      </w:r>
      <w:r>
        <w:rPr>
          <w:rFonts w:ascii="黑体" w:hAnsi="黑体" w:eastAsia="黑体" w:cs="黑体"/>
          <w:b/>
          <w:bCs/>
          <w:spacing w:val="-7"/>
          <w:sz w:val="27"/>
          <w:szCs w:val="27"/>
        </w:rPr>
        <w:t>主题内容</w:t>
      </w:r>
    </w:p>
    <w:p w14:paraId="78EE9017">
      <w:pPr>
        <w:spacing w:before="116" w:line="219" w:lineRule="auto"/>
        <w:ind w:left="550"/>
        <w:rPr>
          <w:rFonts w:ascii="宋体" w:hAnsi="宋体" w:eastAsia="宋体" w:cs="宋体"/>
          <w:sz w:val="25"/>
          <w:szCs w:val="25"/>
        </w:rPr>
      </w:pPr>
      <w:r>
        <w:rPr>
          <w:rFonts w:ascii="宋体" w:hAnsi="宋体" w:eastAsia="宋体" w:cs="宋体"/>
          <w:spacing w:val="14"/>
          <w:sz w:val="25"/>
          <w:szCs w:val="25"/>
        </w:rPr>
        <w:t>说明本验收测试程序的主题内容。</w:t>
      </w:r>
      <w:r>
        <w:rPr>
          <w:rFonts w:ascii="宋体" w:hAnsi="宋体" w:eastAsia="宋体" w:cs="宋体"/>
          <w:spacing w:val="84"/>
          <w:sz w:val="25"/>
          <w:szCs w:val="25"/>
        </w:rPr>
        <w:t xml:space="preserve"> </w:t>
      </w:r>
      <w:r>
        <w:rPr>
          <w:rFonts w:ascii="宋体" w:hAnsi="宋体" w:eastAsia="宋体" w:cs="宋体"/>
          <w:spacing w:val="14"/>
          <w:sz w:val="25"/>
          <w:szCs w:val="25"/>
        </w:rPr>
        <w:t>一般表述为：</w:t>
      </w:r>
    </w:p>
    <w:p w14:paraId="2E96BBB9">
      <w:pPr>
        <w:spacing w:before="38" w:line="330" w:lineRule="auto"/>
        <w:ind w:right="81" w:firstLine="570"/>
        <w:rPr>
          <w:rFonts w:ascii="仿宋" w:hAnsi="仿宋" w:eastAsia="仿宋" w:cs="仿宋"/>
          <w:sz w:val="25"/>
          <w:szCs w:val="25"/>
        </w:rPr>
      </w:pPr>
      <w:r>
        <w:rPr>
          <w:rFonts w:ascii="仿宋" w:hAnsi="仿宋" w:eastAsia="仿宋" w:cs="仿宋"/>
          <w:spacing w:val="20"/>
          <w:sz w:val="25"/>
          <w:szCs w:val="25"/>
        </w:rPr>
        <w:t>本验收测试程序(</w:t>
      </w:r>
      <w:r>
        <w:rPr>
          <w:rFonts w:ascii="仿宋" w:hAnsi="仿宋" w:eastAsia="仿宋" w:cs="仿宋"/>
          <w:spacing w:val="-47"/>
          <w:sz w:val="25"/>
          <w:szCs w:val="25"/>
        </w:rPr>
        <w:t xml:space="preserve"> </w:t>
      </w:r>
      <w:r>
        <w:rPr>
          <w:rFonts w:ascii="Times New Roman" w:hAnsi="Times New Roman" w:eastAsia="Times New Roman" w:cs="Times New Roman"/>
          <w:sz w:val="25"/>
          <w:szCs w:val="25"/>
        </w:rPr>
        <w:t>ATP</w:t>
      </w:r>
      <w:r>
        <w:rPr>
          <w:rFonts w:ascii="Times New Roman" w:hAnsi="Times New Roman" w:eastAsia="Times New Roman" w:cs="Times New Roman"/>
          <w:spacing w:val="20"/>
          <w:sz w:val="25"/>
          <w:szCs w:val="25"/>
        </w:rPr>
        <w:t xml:space="preserve">)  </w:t>
      </w:r>
      <w:r>
        <w:rPr>
          <w:rFonts w:ascii="仿宋" w:hAnsi="仿宋" w:eastAsia="仿宋" w:cs="仿宋"/>
          <w:spacing w:val="20"/>
          <w:sz w:val="25"/>
          <w:szCs w:val="25"/>
        </w:rPr>
        <w:t>为(产品名称)验收测试规</w:t>
      </w:r>
      <w:r>
        <w:rPr>
          <w:rFonts w:ascii="仿宋" w:hAnsi="仿宋" w:eastAsia="仿宋" w:cs="仿宋"/>
          <w:spacing w:val="19"/>
          <w:sz w:val="25"/>
          <w:szCs w:val="25"/>
        </w:rPr>
        <w:t>定了测试环境、测试项目</w:t>
      </w:r>
      <w:r>
        <w:rPr>
          <w:rFonts w:ascii="仿宋" w:hAnsi="仿宋" w:eastAsia="仿宋" w:cs="仿宋"/>
          <w:sz w:val="25"/>
          <w:szCs w:val="25"/>
        </w:rPr>
        <w:t xml:space="preserve"> </w:t>
      </w:r>
      <w:r>
        <w:rPr>
          <w:rFonts w:ascii="仿宋" w:hAnsi="仿宋" w:eastAsia="仿宋" w:cs="仿宋"/>
          <w:spacing w:val="17"/>
          <w:sz w:val="25"/>
          <w:szCs w:val="25"/>
        </w:rPr>
        <w:t>和测试步骤。</w:t>
      </w:r>
    </w:p>
    <w:p w14:paraId="73845276">
      <w:pPr>
        <w:spacing w:line="223" w:lineRule="auto"/>
        <w:rPr>
          <w:rFonts w:ascii="黑体" w:hAnsi="黑体" w:eastAsia="黑体" w:cs="黑体"/>
          <w:sz w:val="24"/>
          <w:szCs w:val="24"/>
        </w:rPr>
      </w:pPr>
      <w:r>
        <w:rPr>
          <w:rFonts w:ascii="黑体" w:hAnsi="黑体" w:eastAsia="黑体" w:cs="黑体"/>
          <w:spacing w:val="14"/>
          <w:sz w:val="24"/>
          <w:szCs w:val="24"/>
        </w:rPr>
        <w:t>1.2</w:t>
      </w:r>
      <w:r>
        <w:rPr>
          <w:rFonts w:ascii="黑体" w:hAnsi="黑体" w:eastAsia="黑体" w:cs="黑体"/>
          <w:spacing w:val="55"/>
          <w:sz w:val="24"/>
          <w:szCs w:val="24"/>
        </w:rPr>
        <w:t xml:space="preserve">  </w:t>
      </w:r>
      <w:r>
        <w:rPr>
          <w:rFonts w:ascii="黑体" w:hAnsi="黑体" w:eastAsia="黑体" w:cs="黑体"/>
          <w:b/>
          <w:bCs/>
          <w:spacing w:val="14"/>
          <w:sz w:val="24"/>
          <w:szCs w:val="24"/>
        </w:rPr>
        <w:t>适用范围</w:t>
      </w:r>
    </w:p>
    <w:p w14:paraId="5F40C3C8">
      <w:pPr>
        <w:spacing w:before="112" w:line="219" w:lineRule="auto"/>
        <w:ind w:left="570"/>
        <w:rPr>
          <w:rFonts w:ascii="宋体" w:hAnsi="宋体" w:eastAsia="宋体" w:cs="宋体"/>
          <w:sz w:val="25"/>
          <w:szCs w:val="25"/>
        </w:rPr>
      </w:pPr>
      <w:r>
        <w:rPr>
          <w:rFonts w:ascii="宋体" w:hAnsi="宋体" w:eastAsia="宋体" w:cs="宋体"/>
          <w:spacing w:val="13"/>
          <w:sz w:val="25"/>
          <w:szCs w:val="25"/>
        </w:rPr>
        <w:t>说明本验收测试程序的适用范围。</w:t>
      </w:r>
      <w:r>
        <w:rPr>
          <w:rFonts w:ascii="宋体" w:hAnsi="宋体" w:eastAsia="宋体" w:cs="宋体"/>
          <w:spacing w:val="85"/>
          <w:sz w:val="25"/>
          <w:szCs w:val="25"/>
        </w:rPr>
        <w:t xml:space="preserve"> </w:t>
      </w:r>
      <w:r>
        <w:rPr>
          <w:rFonts w:ascii="宋体" w:hAnsi="宋体" w:eastAsia="宋体" w:cs="宋体"/>
          <w:spacing w:val="13"/>
          <w:sz w:val="25"/>
          <w:szCs w:val="25"/>
        </w:rPr>
        <w:t>一般表述为：</w:t>
      </w:r>
    </w:p>
    <w:p w14:paraId="7EA57597">
      <w:pPr>
        <w:spacing w:before="130" w:line="221" w:lineRule="auto"/>
        <w:ind w:left="570"/>
        <w:rPr>
          <w:rFonts w:ascii="仿宋" w:hAnsi="仿宋" w:eastAsia="仿宋" w:cs="仿宋"/>
          <w:sz w:val="25"/>
          <w:szCs w:val="25"/>
        </w:rPr>
      </w:pPr>
      <w:r>
        <w:rPr>
          <w:rFonts w:ascii="仿宋" w:hAnsi="仿宋" w:eastAsia="仿宋" w:cs="仿宋"/>
          <w:spacing w:val="23"/>
          <w:sz w:val="25"/>
          <w:szCs w:val="25"/>
        </w:rPr>
        <w:t>本验收测试程序适用于(产品名称)的验收</w:t>
      </w:r>
      <w:r>
        <w:rPr>
          <w:rFonts w:ascii="仿宋" w:hAnsi="仿宋" w:eastAsia="仿宋" w:cs="仿宋"/>
          <w:spacing w:val="22"/>
          <w:sz w:val="25"/>
          <w:szCs w:val="25"/>
        </w:rPr>
        <w:t>测试。</w:t>
      </w:r>
    </w:p>
    <w:p w14:paraId="3D648801">
      <w:pPr>
        <w:pStyle w:val="2"/>
        <w:spacing w:before="90" w:line="222" w:lineRule="auto"/>
        <w:rPr>
          <w:rFonts w:ascii="黑体" w:hAnsi="黑体" w:eastAsia="黑体" w:cs="黑体"/>
          <w:sz w:val="27"/>
          <w:szCs w:val="27"/>
        </w:rPr>
      </w:pPr>
      <w:r>
        <w:rPr>
          <w:b/>
          <w:bCs/>
          <w:spacing w:val="-1"/>
          <w:sz w:val="27"/>
          <w:szCs w:val="27"/>
        </w:rPr>
        <w:t xml:space="preserve">2    </w:t>
      </w:r>
      <w:r>
        <w:rPr>
          <w:rFonts w:ascii="黑体" w:hAnsi="黑体" w:eastAsia="黑体" w:cs="黑体"/>
          <w:b/>
          <w:bCs/>
          <w:spacing w:val="-1"/>
          <w:sz w:val="27"/>
          <w:szCs w:val="27"/>
        </w:rPr>
        <w:t>引用文件</w:t>
      </w:r>
    </w:p>
    <w:p w14:paraId="4B339D0A">
      <w:pPr>
        <w:spacing w:before="90" w:line="219" w:lineRule="auto"/>
        <w:ind w:left="570"/>
        <w:rPr>
          <w:rFonts w:ascii="宋体" w:hAnsi="宋体" w:eastAsia="宋体" w:cs="宋体"/>
          <w:sz w:val="27"/>
          <w:szCs w:val="27"/>
        </w:rPr>
      </w:pPr>
      <w:r>
        <w:rPr>
          <w:rFonts w:ascii="宋体" w:hAnsi="宋体" w:eastAsia="宋体" w:cs="宋体"/>
          <w:spacing w:val="4"/>
          <w:sz w:val="27"/>
          <w:szCs w:val="27"/>
        </w:rPr>
        <w:t>列出制定验收测试程序的依据文件以及各章中引用的所有文件。</w:t>
      </w:r>
    </w:p>
    <w:p w14:paraId="5D3A0117">
      <w:pPr>
        <w:spacing w:before="105" w:line="222" w:lineRule="auto"/>
        <w:rPr>
          <w:rFonts w:ascii="黑体" w:hAnsi="黑体" w:eastAsia="黑体" w:cs="黑体"/>
          <w:sz w:val="25"/>
          <w:szCs w:val="25"/>
        </w:rPr>
      </w:pPr>
      <w:r>
        <w:rPr>
          <w:rFonts w:ascii="Times New Roman" w:hAnsi="Times New Roman" w:eastAsia="Times New Roman" w:cs="Times New Roman"/>
          <w:spacing w:val="11"/>
          <w:sz w:val="25"/>
          <w:szCs w:val="25"/>
        </w:rPr>
        <w:t>3</w:t>
      </w:r>
      <w:r>
        <w:rPr>
          <w:rFonts w:ascii="Times New Roman" w:hAnsi="Times New Roman" w:eastAsia="Times New Roman" w:cs="Times New Roman"/>
          <w:spacing w:val="14"/>
          <w:sz w:val="25"/>
          <w:szCs w:val="25"/>
        </w:rPr>
        <w:t xml:space="preserve">    </w:t>
      </w:r>
      <w:r>
        <w:rPr>
          <w:rFonts w:ascii="Times New Roman" w:hAnsi="Times New Roman" w:eastAsia="Times New Roman" w:cs="Times New Roman"/>
          <w:sz w:val="25"/>
          <w:szCs w:val="25"/>
        </w:rPr>
        <w:t>ATP</w:t>
      </w:r>
      <w:r>
        <w:rPr>
          <w:rFonts w:ascii="Times New Roman" w:hAnsi="Times New Roman" w:eastAsia="Times New Roman" w:cs="Times New Roman"/>
          <w:spacing w:val="63"/>
          <w:w w:val="101"/>
          <w:sz w:val="25"/>
          <w:szCs w:val="25"/>
        </w:rPr>
        <w:t xml:space="preserve"> </w:t>
      </w:r>
      <w:r>
        <w:rPr>
          <w:rFonts w:ascii="黑体" w:hAnsi="黑体" w:eastAsia="黑体" w:cs="黑体"/>
          <w:b/>
          <w:bCs/>
          <w:spacing w:val="11"/>
          <w:sz w:val="25"/>
          <w:szCs w:val="25"/>
        </w:rPr>
        <w:t>设计组成</w:t>
      </w:r>
    </w:p>
    <w:p w14:paraId="07C4BD2D">
      <w:pPr>
        <w:spacing w:before="104" w:line="219" w:lineRule="auto"/>
        <w:ind w:left="570"/>
        <w:rPr>
          <w:rFonts w:ascii="宋体" w:hAnsi="宋体" w:eastAsia="宋体" w:cs="宋体"/>
          <w:sz w:val="27"/>
          <w:szCs w:val="27"/>
        </w:rPr>
      </w:pPr>
      <w:r>
        <w:rPr>
          <w:rFonts w:ascii="宋体" w:hAnsi="宋体" w:eastAsia="宋体" w:cs="宋体"/>
          <w:spacing w:val="6"/>
          <w:sz w:val="27"/>
          <w:szCs w:val="27"/>
        </w:rPr>
        <w:t>简要说明产品</w:t>
      </w:r>
      <w:r>
        <w:rPr>
          <w:rFonts w:ascii="Times New Roman" w:hAnsi="Times New Roman" w:eastAsia="Times New Roman" w:cs="Times New Roman"/>
          <w:sz w:val="27"/>
          <w:szCs w:val="27"/>
        </w:rPr>
        <w:t>ATP</w:t>
      </w:r>
      <w:r>
        <w:rPr>
          <w:rFonts w:ascii="Times New Roman" w:hAnsi="Times New Roman" w:eastAsia="Times New Roman" w:cs="Times New Roman"/>
          <w:spacing w:val="6"/>
          <w:sz w:val="27"/>
          <w:szCs w:val="27"/>
        </w:rPr>
        <w:t xml:space="preserve">  </w:t>
      </w:r>
      <w:r>
        <w:rPr>
          <w:rFonts w:ascii="宋体" w:hAnsi="宋体" w:eastAsia="宋体" w:cs="宋体"/>
          <w:spacing w:val="6"/>
          <w:sz w:val="27"/>
          <w:szCs w:val="27"/>
        </w:rPr>
        <w:t>的组成及其完成的任务。</w:t>
      </w:r>
    </w:p>
    <w:p w14:paraId="3D67696C">
      <w:pPr>
        <w:spacing w:before="95" w:line="221" w:lineRule="auto"/>
        <w:rPr>
          <w:rFonts w:ascii="黑体" w:hAnsi="黑体" w:eastAsia="黑体" w:cs="黑体"/>
          <w:sz w:val="27"/>
          <w:szCs w:val="27"/>
        </w:rPr>
      </w:pPr>
      <w:r>
        <w:rPr>
          <w:rFonts w:ascii="Times New Roman" w:hAnsi="Times New Roman" w:eastAsia="Times New Roman" w:cs="Times New Roman"/>
          <w:spacing w:val="-2"/>
          <w:sz w:val="27"/>
          <w:szCs w:val="27"/>
        </w:rPr>
        <w:t>4    ATP</w:t>
      </w:r>
      <w:r>
        <w:rPr>
          <w:rFonts w:ascii="Times New Roman" w:hAnsi="Times New Roman" w:eastAsia="Times New Roman" w:cs="Times New Roman"/>
          <w:spacing w:val="36"/>
          <w:sz w:val="27"/>
          <w:szCs w:val="27"/>
        </w:rPr>
        <w:t xml:space="preserve"> </w:t>
      </w:r>
      <w:r>
        <w:rPr>
          <w:rFonts w:ascii="黑体" w:hAnsi="黑体" w:eastAsia="黑体" w:cs="黑体"/>
          <w:b/>
          <w:bCs/>
          <w:spacing w:val="-2"/>
          <w:sz w:val="27"/>
          <w:szCs w:val="27"/>
        </w:rPr>
        <w:t>测试环境</w:t>
      </w:r>
    </w:p>
    <w:p w14:paraId="6BEFE469">
      <w:pPr>
        <w:spacing w:before="116" w:line="221" w:lineRule="auto"/>
        <w:rPr>
          <w:rFonts w:ascii="黑体" w:hAnsi="黑体" w:eastAsia="黑体" w:cs="黑体"/>
          <w:sz w:val="24"/>
          <w:szCs w:val="24"/>
        </w:rPr>
      </w:pPr>
      <w:r>
        <w:rPr>
          <w:rFonts w:ascii="黑体" w:hAnsi="黑体" w:eastAsia="黑体" w:cs="黑体"/>
          <w:spacing w:val="-3"/>
          <w:sz w:val="24"/>
          <w:szCs w:val="24"/>
        </w:rPr>
        <w:t>4.1</w:t>
      </w:r>
      <w:r>
        <w:rPr>
          <w:rFonts w:ascii="黑体" w:hAnsi="黑体" w:eastAsia="黑体" w:cs="黑体"/>
          <w:spacing w:val="43"/>
          <w:sz w:val="24"/>
          <w:szCs w:val="24"/>
        </w:rPr>
        <w:t xml:space="preserve">  </w:t>
      </w:r>
      <w:r>
        <w:rPr>
          <w:rFonts w:ascii="黑体" w:hAnsi="黑体" w:eastAsia="黑体" w:cs="黑体"/>
          <w:b/>
          <w:bCs/>
          <w:spacing w:val="-3"/>
          <w:sz w:val="24"/>
          <w:szCs w:val="24"/>
        </w:rPr>
        <w:t>概</w:t>
      </w:r>
      <w:r>
        <w:rPr>
          <w:rFonts w:ascii="黑体" w:hAnsi="黑体" w:eastAsia="黑体" w:cs="黑体"/>
          <w:spacing w:val="-35"/>
          <w:sz w:val="24"/>
          <w:szCs w:val="24"/>
        </w:rPr>
        <w:t xml:space="preserve"> </w:t>
      </w:r>
      <w:r>
        <w:rPr>
          <w:rFonts w:ascii="黑体" w:hAnsi="黑体" w:eastAsia="黑体" w:cs="黑体"/>
          <w:b/>
          <w:bCs/>
          <w:spacing w:val="-3"/>
          <w:sz w:val="24"/>
          <w:szCs w:val="24"/>
        </w:rPr>
        <w:t>述</w:t>
      </w:r>
    </w:p>
    <w:p w14:paraId="75AA3C07">
      <w:pPr>
        <w:spacing w:before="108" w:line="219" w:lineRule="auto"/>
        <w:ind w:left="570"/>
        <w:rPr>
          <w:rFonts w:ascii="宋体" w:hAnsi="宋体" w:eastAsia="宋体" w:cs="宋体"/>
          <w:sz w:val="27"/>
          <w:szCs w:val="27"/>
        </w:rPr>
      </w:pPr>
      <w:r>
        <w:rPr>
          <w:rFonts w:ascii="宋体" w:hAnsi="宋体" w:eastAsia="宋体" w:cs="宋体"/>
          <w:spacing w:val="2"/>
          <w:sz w:val="27"/>
          <w:szCs w:val="27"/>
        </w:rPr>
        <w:t>对产品测试环境进行简要描述。</w:t>
      </w:r>
    </w:p>
    <w:p w14:paraId="43766CD3">
      <w:pPr>
        <w:spacing w:before="85" w:line="221" w:lineRule="auto"/>
        <w:rPr>
          <w:rFonts w:ascii="黑体" w:hAnsi="黑体" w:eastAsia="黑体" w:cs="黑体"/>
          <w:sz w:val="27"/>
          <w:szCs w:val="27"/>
        </w:rPr>
      </w:pPr>
      <w:r>
        <w:rPr>
          <w:rFonts w:ascii="黑体" w:hAnsi="黑体" w:eastAsia="黑体" w:cs="黑体"/>
          <w:spacing w:val="-3"/>
          <w:sz w:val="27"/>
          <w:szCs w:val="27"/>
        </w:rPr>
        <w:t>4.2</w:t>
      </w:r>
      <w:r>
        <w:rPr>
          <w:rFonts w:ascii="黑体" w:hAnsi="黑体" w:eastAsia="黑体" w:cs="黑体"/>
          <w:spacing w:val="20"/>
          <w:sz w:val="27"/>
          <w:szCs w:val="27"/>
        </w:rPr>
        <w:t xml:space="preserve">  </w:t>
      </w:r>
      <w:r>
        <w:rPr>
          <w:rFonts w:ascii="黑体" w:hAnsi="黑体" w:eastAsia="黑体" w:cs="黑体"/>
          <w:b/>
          <w:bCs/>
          <w:spacing w:val="-3"/>
          <w:sz w:val="27"/>
          <w:szCs w:val="27"/>
        </w:rPr>
        <w:t>受试系统组成</w:t>
      </w:r>
    </w:p>
    <w:p w14:paraId="314382FE">
      <w:pPr>
        <w:spacing w:before="93" w:line="219" w:lineRule="auto"/>
        <w:ind w:left="570"/>
        <w:rPr>
          <w:rFonts w:ascii="宋体" w:hAnsi="宋体" w:eastAsia="宋体" w:cs="宋体"/>
          <w:sz w:val="27"/>
          <w:szCs w:val="27"/>
        </w:rPr>
      </w:pPr>
      <w:r>
        <w:rPr>
          <w:rFonts w:ascii="宋体" w:hAnsi="宋体" w:eastAsia="宋体" w:cs="宋体"/>
          <w:spacing w:val="-5"/>
          <w:sz w:val="27"/>
          <w:szCs w:val="27"/>
        </w:rPr>
        <w:t>说明受试系统的组成，在文字说明的基础上，可列表或图示说明。</w:t>
      </w:r>
    </w:p>
    <w:p w14:paraId="777EEBEF">
      <w:pPr>
        <w:spacing w:before="84" w:line="221" w:lineRule="auto"/>
        <w:rPr>
          <w:rFonts w:ascii="黑体" w:hAnsi="黑体" w:eastAsia="黑体" w:cs="黑体"/>
          <w:sz w:val="27"/>
          <w:szCs w:val="27"/>
        </w:rPr>
      </w:pPr>
      <w:r>
        <w:rPr>
          <w:rFonts w:ascii="黑体" w:hAnsi="黑体" w:eastAsia="黑体" w:cs="黑体"/>
          <w:spacing w:val="-3"/>
          <w:sz w:val="27"/>
          <w:szCs w:val="27"/>
        </w:rPr>
        <w:t>4.3</w:t>
      </w:r>
      <w:r>
        <w:rPr>
          <w:rFonts w:ascii="黑体" w:hAnsi="黑体" w:eastAsia="黑体" w:cs="黑体"/>
          <w:spacing w:val="20"/>
          <w:sz w:val="27"/>
          <w:szCs w:val="27"/>
        </w:rPr>
        <w:t xml:space="preserve">  </w:t>
      </w:r>
      <w:r>
        <w:rPr>
          <w:rFonts w:ascii="黑体" w:hAnsi="黑体" w:eastAsia="黑体" w:cs="黑体"/>
          <w:b/>
          <w:bCs/>
          <w:spacing w:val="-3"/>
          <w:sz w:val="27"/>
          <w:szCs w:val="27"/>
        </w:rPr>
        <w:t>配试系统组成</w:t>
      </w:r>
    </w:p>
    <w:p w14:paraId="44687CA2">
      <w:pPr>
        <w:spacing w:before="113" w:line="219" w:lineRule="auto"/>
        <w:ind w:left="570"/>
        <w:rPr>
          <w:rFonts w:ascii="宋体" w:hAnsi="宋体" w:eastAsia="宋体" w:cs="宋体"/>
          <w:sz w:val="27"/>
          <w:szCs w:val="27"/>
        </w:rPr>
      </w:pPr>
      <w:r>
        <w:rPr>
          <w:rFonts w:ascii="宋体" w:hAnsi="宋体" w:eastAsia="宋体" w:cs="宋体"/>
          <w:spacing w:val="-4"/>
          <w:sz w:val="27"/>
          <w:szCs w:val="27"/>
        </w:rPr>
        <w:t>说明配试系统的组成，在文字说明的基础上，可列表或图示说明。示例：</w:t>
      </w:r>
    </w:p>
    <w:p w14:paraId="22033C21">
      <w:pPr>
        <w:spacing w:before="102" w:line="321" w:lineRule="auto"/>
        <w:ind w:right="79" w:firstLine="570"/>
        <w:jc w:val="both"/>
        <w:rPr>
          <w:rFonts w:ascii="仿宋" w:hAnsi="仿宋" w:eastAsia="仿宋" w:cs="仿宋"/>
          <w:sz w:val="24"/>
          <w:szCs w:val="24"/>
        </w:rPr>
      </w:pPr>
      <w:r>
        <w:rPr>
          <w:rFonts w:ascii="仿宋" w:hAnsi="仿宋" w:eastAsia="仿宋" w:cs="仿宋"/>
          <w:spacing w:val="26"/>
          <w:sz w:val="24"/>
          <w:szCs w:val="24"/>
        </w:rPr>
        <w:t>为完成(产品名称)的验收测试，需配备×××、×××、×××等必要的激</w:t>
      </w:r>
      <w:r>
        <w:rPr>
          <w:rFonts w:ascii="仿宋" w:hAnsi="仿宋" w:eastAsia="仿宋" w:cs="仿宋"/>
          <w:sz w:val="24"/>
          <w:szCs w:val="24"/>
        </w:rPr>
        <w:t xml:space="preserve"> </w:t>
      </w:r>
      <w:r>
        <w:rPr>
          <w:rFonts w:ascii="仿宋" w:hAnsi="仿宋" w:eastAsia="仿宋" w:cs="仿宋"/>
          <w:spacing w:val="26"/>
          <w:sz w:val="24"/>
          <w:szCs w:val="24"/>
        </w:rPr>
        <w:t>励源、测试仪器和辅材，通过电缆注入激励信号并进行测试。(产品名称)的验收</w:t>
      </w:r>
      <w:r>
        <w:rPr>
          <w:rFonts w:ascii="仿宋" w:hAnsi="仿宋" w:eastAsia="仿宋" w:cs="仿宋"/>
          <w:spacing w:val="17"/>
          <w:sz w:val="24"/>
          <w:szCs w:val="24"/>
        </w:rPr>
        <w:t xml:space="preserve"> </w:t>
      </w:r>
      <w:r>
        <w:rPr>
          <w:rFonts w:ascii="仿宋" w:hAnsi="仿宋" w:eastAsia="仿宋" w:cs="仿宋"/>
          <w:spacing w:val="26"/>
          <w:sz w:val="24"/>
          <w:szCs w:val="24"/>
        </w:rPr>
        <w:t>测试所需测试设备清单见表1</w:t>
      </w:r>
      <w:r>
        <w:rPr>
          <w:rFonts w:ascii="仿宋" w:hAnsi="仿宋" w:eastAsia="仿宋" w:cs="仿宋"/>
          <w:spacing w:val="-64"/>
          <w:sz w:val="24"/>
          <w:szCs w:val="24"/>
        </w:rPr>
        <w:t xml:space="preserve"> </w:t>
      </w:r>
      <w:r>
        <w:rPr>
          <w:rFonts w:ascii="仿宋" w:hAnsi="仿宋" w:eastAsia="仿宋" w:cs="仿宋"/>
          <w:spacing w:val="26"/>
          <w:sz w:val="24"/>
          <w:szCs w:val="24"/>
        </w:rPr>
        <w:t>.</w:t>
      </w:r>
      <w:r>
        <w:rPr>
          <w:rFonts w:ascii="仿宋" w:hAnsi="仿宋" w:eastAsia="仿宋" w:cs="仿宋"/>
          <w:spacing w:val="-69"/>
          <w:sz w:val="24"/>
          <w:szCs w:val="24"/>
        </w:rPr>
        <w:t xml:space="preserve"> </w:t>
      </w:r>
      <w:r>
        <w:rPr>
          <w:rFonts w:ascii="仿宋" w:hAnsi="仿宋" w:eastAsia="仿宋" w:cs="仿宋"/>
          <w:spacing w:val="26"/>
          <w:sz w:val="24"/>
          <w:szCs w:val="24"/>
        </w:rPr>
        <w:t>5。</w:t>
      </w:r>
    </w:p>
    <w:p w14:paraId="62C6C5B7">
      <w:pPr>
        <w:spacing w:before="2" w:line="220" w:lineRule="auto"/>
        <w:ind w:left="1739"/>
        <w:rPr>
          <w:rFonts w:ascii="仿宋" w:hAnsi="仿宋" w:eastAsia="仿宋" w:cs="仿宋"/>
          <w:sz w:val="24"/>
          <w:szCs w:val="24"/>
        </w:rPr>
      </w:pPr>
      <w:r>
        <w:rPr>
          <w:rFonts w:ascii="仿宋" w:hAnsi="仿宋" w:eastAsia="仿宋" w:cs="仿宋"/>
          <w:spacing w:val="25"/>
          <w:sz w:val="24"/>
          <w:szCs w:val="24"/>
        </w:rPr>
        <w:t>表</w:t>
      </w:r>
      <w:r>
        <w:rPr>
          <w:rFonts w:ascii="仿宋" w:hAnsi="仿宋" w:eastAsia="仿宋" w:cs="仿宋"/>
          <w:spacing w:val="-22"/>
          <w:sz w:val="24"/>
          <w:szCs w:val="24"/>
        </w:rPr>
        <w:t xml:space="preserve"> </w:t>
      </w:r>
      <w:r>
        <w:rPr>
          <w:rFonts w:ascii="仿宋" w:hAnsi="仿宋" w:eastAsia="仿宋" w:cs="仿宋"/>
          <w:spacing w:val="25"/>
          <w:sz w:val="24"/>
          <w:szCs w:val="24"/>
        </w:rPr>
        <w:t>1</w:t>
      </w:r>
      <w:r>
        <w:rPr>
          <w:rFonts w:ascii="仿宋" w:hAnsi="仿宋" w:eastAsia="仿宋" w:cs="仿宋"/>
          <w:spacing w:val="-40"/>
          <w:sz w:val="24"/>
          <w:szCs w:val="24"/>
        </w:rPr>
        <w:t xml:space="preserve"> </w:t>
      </w:r>
      <w:r>
        <w:rPr>
          <w:rFonts w:ascii="仿宋" w:hAnsi="仿宋" w:eastAsia="仿宋" w:cs="仿宋"/>
          <w:spacing w:val="25"/>
          <w:sz w:val="24"/>
          <w:szCs w:val="24"/>
        </w:rPr>
        <w:t>.</w:t>
      </w:r>
      <w:r>
        <w:rPr>
          <w:rFonts w:ascii="仿宋" w:hAnsi="仿宋" w:eastAsia="仿宋" w:cs="仿宋"/>
          <w:spacing w:val="-42"/>
          <w:sz w:val="24"/>
          <w:szCs w:val="24"/>
        </w:rPr>
        <w:t xml:space="preserve"> </w:t>
      </w:r>
      <w:r>
        <w:rPr>
          <w:rFonts w:ascii="仿宋" w:hAnsi="仿宋" w:eastAsia="仿宋" w:cs="仿宋"/>
          <w:spacing w:val="25"/>
          <w:sz w:val="24"/>
          <w:szCs w:val="24"/>
        </w:rPr>
        <w:t>5</w:t>
      </w:r>
      <w:r>
        <w:rPr>
          <w:rFonts w:ascii="仿宋" w:hAnsi="仿宋" w:eastAsia="仿宋" w:cs="仿宋"/>
          <w:spacing w:val="2"/>
          <w:sz w:val="24"/>
          <w:szCs w:val="24"/>
        </w:rPr>
        <w:t xml:space="preserve">  </w:t>
      </w:r>
      <w:r>
        <w:rPr>
          <w:rFonts w:ascii="仿宋" w:hAnsi="仿宋" w:eastAsia="仿宋" w:cs="仿宋"/>
          <w:spacing w:val="25"/>
          <w:sz w:val="24"/>
          <w:szCs w:val="24"/>
        </w:rPr>
        <w:t>(产品名称)的验收测试所需测试设备清单</w:t>
      </w:r>
    </w:p>
    <w:p w14:paraId="41A5FF13">
      <w:pPr>
        <w:spacing w:line="121" w:lineRule="exact"/>
      </w:pPr>
    </w:p>
    <w:tbl>
      <w:tblPr>
        <w:tblStyle w:val="5"/>
        <w:tblW w:w="9380" w:type="dxa"/>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2927"/>
        <w:gridCol w:w="829"/>
        <w:gridCol w:w="839"/>
        <w:gridCol w:w="1468"/>
        <w:gridCol w:w="1469"/>
        <w:gridCol w:w="1004"/>
      </w:tblGrid>
      <w:tr w14:paraId="7D83C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844" w:type="dxa"/>
            <w:vAlign w:val="top"/>
          </w:tcPr>
          <w:p w14:paraId="096272E2">
            <w:pPr>
              <w:spacing w:before="104" w:line="221" w:lineRule="auto"/>
              <w:ind w:left="185"/>
              <w:rPr>
                <w:rFonts w:ascii="宋体" w:hAnsi="宋体" w:eastAsia="宋体" w:cs="宋体"/>
                <w:sz w:val="21"/>
                <w:szCs w:val="21"/>
              </w:rPr>
            </w:pPr>
            <w:r>
              <w:rPr>
                <w:rFonts w:ascii="宋体" w:hAnsi="宋体" w:eastAsia="宋体" w:cs="宋体"/>
                <w:spacing w:val="6"/>
                <w:sz w:val="21"/>
                <w:szCs w:val="21"/>
              </w:rPr>
              <w:t>序号</w:t>
            </w:r>
          </w:p>
        </w:tc>
        <w:tc>
          <w:tcPr>
            <w:tcW w:w="2927" w:type="dxa"/>
            <w:vAlign w:val="top"/>
          </w:tcPr>
          <w:p w14:paraId="271D072B">
            <w:pPr>
              <w:spacing w:before="104" w:line="221" w:lineRule="auto"/>
              <w:ind w:left="1051"/>
              <w:rPr>
                <w:rFonts w:ascii="宋体" w:hAnsi="宋体" w:eastAsia="宋体" w:cs="宋体"/>
                <w:sz w:val="21"/>
                <w:szCs w:val="21"/>
              </w:rPr>
            </w:pPr>
            <w:r>
              <w:rPr>
                <w:rFonts w:ascii="宋体" w:hAnsi="宋体" w:eastAsia="宋体" w:cs="宋体"/>
                <w:spacing w:val="2"/>
                <w:sz w:val="21"/>
                <w:szCs w:val="21"/>
              </w:rPr>
              <w:t>设备名称</w:t>
            </w:r>
          </w:p>
        </w:tc>
        <w:tc>
          <w:tcPr>
            <w:tcW w:w="829" w:type="dxa"/>
            <w:vAlign w:val="top"/>
          </w:tcPr>
          <w:p w14:paraId="6DB2996E">
            <w:pPr>
              <w:spacing w:before="104" w:line="221" w:lineRule="auto"/>
              <w:ind w:left="194"/>
              <w:rPr>
                <w:rFonts w:ascii="宋体" w:hAnsi="宋体" w:eastAsia="宋体" w:cs="宋体"/>
                <w:sz w:val="21"/>
                <w:szCs w:val="21"/>
              </w:rPr>
            </w:pPr>
            <w:r>
              <w:rPr>
                <w:rFonts w:ascii="宋体" w:hAnsi="宋体" w:eastAsia="宋体" w:cs="宋体"/>
                <w:spacing w:val="6"/>
                <w:sz w:val="21"/>
                <w:szCs w:val="21"/>
              </w:rPr>
              <w:t>型号</w:t>
            </w:r>
          </w:p>
        </w:tc>
        <w:tc>
          <w:tcPr>
            <w:tcW w:w="839" w:type="dxa"/>
            <w:vAlign w:val="top"/>
          </w:tcPr>
          <w:p w14:paraId="7B263C6C">
            <w:pPr>
              <w:spacing w:before="103" w:line="219" w:lineRule="auto"/>
              <w:ind w:left="205"/>
              <w:rPr>
                <w:rFonts w:ascii="宋体" w:hAnsi="宋体" w:eastAsia="宋体" w:cs="宋体"/>
                <w:sz w:val="21"/>
                <w:szCs w:val="21"/>
              </w:rPr>
            </w:pPr>
            <w:r>
              <w:rPr>
                <w:rFonts w:ascii="宋体" w:hAnsi="宋体" w:eastAsia="宋体" w:cs="宋体"/>
                <w:spacing w:val="-3"/>
                <w:sz w:val="21"/>
                <w:szCs w:val="21"/>
              </w:rPr>
              <w:t>数量</w:t>
            </w:r>
          </w:p>
        </w:tc>
        <w:tc>
          <w:tcPr>
            <w:tcW w:w="1468" w:type="dxa"/>
            <w:vAlign w:val="top"/>
          </w:tcPr>
          <w:p w14:paraId="4242BE89">
            <w:pPr>
              <w:spacing w:before="102" w:line="219" w:lineRule="auto"/>
              <w:ind w:left="316"/>
              <w:rPr>
                <w:rFonts w:ascii="宋体" w:hAnsi="宋体" w:eastAsia="宋体" w:cs="宋体"/>
                <w:sz w:val="21"/>
                <w:szCs w:val="21"/>
              </w:rPr>
            </w:pPr>
            <w:r>
              <w:rPr>
                <w:rFonts w:ascii="宋体" w:hAnsi="宋体" w:eastAsia="宋体" w:cs="宋体"/>
                <w:spacing w:val="3"/>
                <w:sz w:val="21"/>
                <w:szCs w:val="21"/>
              </w:rPr>
              <w:t>测试精度</w:t>
            </w:r>
          </w:p>
        </w:tc>
        <w:tc>
          <w:tcPr>
            <w:tcW w:w="1469" w:type="dxa"/>
            <w:vAlign w:val="top"/>
          </w:tcPr>
          <w:p w14:paraId="0F2749E0">
            <w:pPr>
              <w:spacing w:before="104" w:line="220" w:lineRule="auto"/>
              <w:ind w:left="418"/>
              <w:rPr>
                <w:rFonts w:ascii="宋体" w:hAnsi="宋体" w:eastAsia="宋体" w:cs="宋体"/>
                <w:sz w:val="21"/>
                <w:szCs w:val="21"/>
              </w:rPr>
            </w:pPr>
            <w:r>
              <w:rPr>
                <w:rFonts w:ascii="宋体" w:hAnsi="宋体" w:eastAsia="宋体" w:cs="宋体"/>
                <w:spacing w:val="4"/>
                <w:sz w:val="21"/>
                <w:szCs w:val="21"/>
              </w:rPr>
              <w:t>有效期</w:t>
            </w:r>
          </w:p>
        </w:tc>
        <w:tc>
          <w:tcPr>
            <w:tcW w:w="1004" w:type="dxa"/>
            <w:vAlign w:val="top"/>
          </w:tcPr>
          <w:p w14:paraId="03BE22F5">
            <w:pPr>
              <w:spacing w:before="104" w:line="221" w:lineRule="auto"/>
              <w:ind w:left="289"/>
              <w:rPr>
                <w:rFonts w:ascii="宋体" w:hAnsi="宋体" w:eastAsia="宋体" w:cs="宋体"/>
                <w:sz w:val="21"/>
                <w:szCs w:val="21"/>
              </w:rPr>
            </w:pPr>
            <w:r>
              <w:rPr>
                <w:rFonts w:ascii="宋体" w:hAnsi="宋体" w:eastAsia="宋体" w:cs="宋体"/>
                <w:spacing w:val="5"/>
                <w:sz w:val="21"/>
                <w:szCs w:val="21"/>
              </w:rPr>
              <w:t>备注</w:t>
            </w:r>
          </w:p>
        </w:tc>
      </w:tr>
      <w:tr w14:paraId="2F47F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44" w:type="dxa"/>
            <w:vAlign w:val="top"/>
          </w:tcPr>
          <w:p w14:paraId="7D464EAA">
            <w:pPr>
              <w:rPr>
                <w:rFonts w:ascii="Arial"/>
                <w:sz w:val="21"/>
              </w:rPr>
            </w:pPr>
          </w:p>
        </w:tc>
        <w:tc>
          <w:tcPr>
            <w:tcW w:w="2927" w:type="dxa"/>
            <w:vAlign w:val="top"/>
          </w:tcPr>
          <w:p w14:paraId="69587975">
            <w:pPr>
              <w:rPr>
                <w:rFonts w:ascii="Arial"/>
                <w:sz w:val="21"/>
              </w:rPr>
            </w:pPr>
          </w:p>
        </w:tc>
        <w:tc>
          <w:tcPr>
            <w:tcW w:w="829" w:type="dxa"/>
            <w:vAlign w:val="top"/>
          </w:tcPr>
          <w:p w14:paraId="49F4943B">
            <w:pPr>
              <w:rPr>
                <w:rFonts w:ascii="Arial"/>
                <w:sz w:val="21"/>
              </w:rPr>
            </w:pPr>
          </w:p>
        </w:tc>
        <w:tc>
          <w:tcPr>
            <w:tcW w:w="839" w:type="dxa"/>
            <w:vAlign w:val="top"/>
          </w:tcPr>
          <w:p w14:paraId="55936350">
            <w:pPr>
              <w:rPr>
                <w:rFonts w:ascii="Arial"/>
                <w:sz w:val="21"/>
              </w:rPr>
            </w:pPr>
          </w:p>
        </w:tc>
        <w:tc>
          <w:tcPr>
            <w:tcW w:w="1468" w:type="dxa"/>
            <w:vAlign w:val="top"/>
          </w:tcPr>
          <w:p w14:paraId="4D59E481">
            <w:pPr>
              <w:rPr>
                <w:rFonts w:ascii="Arial"/>
                <w:sz w:val="21"/>
              </w:rPr>
            </w:pPr>
          </w:p>
        </w:tc>
        <w:tc>
          <w:tcPr>
            <w:tcW w:w="1469" w:type="dxa"/>
            <w:vAlign w:val="top"/>
          </w:tcPr>
          <w:p w14:paraId="0C48CA14">
            <w:pPr>
              <w:rPr>
                <w:rFonts w:ascii="Arial"/>
                <w:sz w:val="21"/>
              </w:rPr>
            </w:pPr>
          </w:p>
        </w:tc>
        <w:tc>
          <w:tcPr>
            <w:tcW w:w="1004" w:type="dxa"/>
            <w:vAlign w:val="top"/>
          </w:tcPr>
          <w:p w14:paraId="1675F5E5">
            <w:pPr>
              <w:rPr>
                <w:rFonts w:ascii="Arial"/>
                <w:sz w:val="21"/>
              </w:rPr>
            </w:pPr>
          </w:p>
        </w:tc>
      </w:tr>
      <w:tr w14:paraId="2B13C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844" w:type="dxa"/>
            <w:vAlign w:val="top"/>
          </w:tcPr>
          <w:p w14:paraId="49149F21">
            <w:pPr>
              <w:rPr>
                <w:rFonts w:ascii="Arial"/>
                <w:sz w:val="21"/>
              </w:rPr>
            </w:pPr>
          </w:p>
        </w:tc>
        <w:tc>
          <w:tcPr>
            <w:tcW w:w="2927" w:type="dxa"/>
            <w:vAlign w:val="top"/>
          </w:tcPr>
          <w:p w14:paraId="2C3E9375">
            <w:pPr>
              <w:rPr>
                <w:rFonts w:ascii="Arial"/>
                <w:sz w:val="21"/>
              </w:rPr>
            </w:pPr>
          </w:p>
        </w:tc>
        <w:tc>
          <w:tcPr>
            <w:tcW w:w="829" w:type="dxa"/>
            <w:vAlign w:val="top"/>
          </w:tcPr>
          <w:p w14:paraId="0F3EC8D8">
            <w:pPr>
              <w:rPr>
                <w:rFonts w:ascii="Arial"/>
                <w:sz w:val="21"/>
              </w:rPr>
            </w:pPr>
          </w:p>
        </w:tc>
        <w:tc>
          <w:tcPr>
            <w:tcW w:w="839" w:type="dxa"/>
            <w:vAlign w:val="top"/>
          </w:tcPr>
          <w:p w14:paraId="2CA60C52">
            <w:pPr>
              <w:rPr>
                <w:rFonts w:ascii="Arial"/>
                <w:sz w:val="21"/>
              </w:rPr>
            </w:pPr>
          </w:p>
        </w:tc>
        <w:tc>
          <w:tcPr>
            <w:tcW w:w="1468" w:type="dxa"/>
            <w:vAlign w:val="top"/>
          </w:tcPr>
          <w:p w14:paraId="69470841">
            <w:pPr>
              <w:rPr>
                <w:rFonts w:ascii="Arial"/>
                <w:sz w:val="21"/>
              </w:rPr>
            </w:pPr>
          </w:p>
        </w:tc>
        <w:tc>
          <w:tcPr>
            <w:tcW w:w="1469" w:type="dxa"/>
            <w:vAlign w:val="top"/>
          </w:tcPr>
          <w:p w14:paraId="4443BA94">
            <w:pPr>
              <w:rPr>
                <w:rFonts w:ascii="Arial"/>
                <w:sz w:val="21"/>
              </w:rPr>
            </w:pPr>
          </w:p>
        </w:tc>
        <w:tc>
          <w:tcPr>
            <w:tcW w:w="1004" w:type="dxa"/>
            <w:vAlign w:val="top"/>
          </w:tcPr>
          <w:p w14:paraId="097D21DD">
            <w:pPr>
              <w:rPr>
                <w:rFonts w:ascii="Arial"/>
                <w:sz w:val="21"/>
              </w:rPr>
            </w:pPr>
          </w:p>
        </w:tc>
      </w:tr>
    </w:tbl>
    <w:p w14:paraId="141D00B6">
      <w:pPr>
        <w:spacing w:before="171" w:line="222" w:lineRule="auto"/>
        <w:rPr>
          <w:rFonts w:ascii="黑体" w:hAnsi="黑体" w:eastAsia="黑体" w:cs="黑体"/>
          <w:sz w:val="28"/>
          <w:szCs w:val="28"/>
        </w:rPr>
      </w:pPr>
      <w:r>
        <w:rPr>
          <w:rFonts w:ascii="黑体" w:hAnsi="黑体" w:eastAsia="黑体" w:cs="黑体"/>
          <w:spacing w:val="-1"/>
          <w:sz w:val="28"/>
          <w:szCs w:val="28"/>
        </w:rPr>
        <w:t>4.4</w:t>
      </w:r>
      <w:r>
        <w:rPr>
          <w:rFonts w:ascii="黑体" w:hAnsi="黑体" w:eastAsia="黑体" w:cs="黑体"/>
          <w:spacing w:val="130"/>
          <w:sz w:val="28"/>
          <w:szCs w:val="28"/>
        </w:rPr>
        <w:t xml:space="preserve"> </w:t>
      </w:r>
      <w:r>
        <w:rPr>
          <w:rFonts w:ascii="Times New Roman" w:hAnsi="Times New Roman" w:eastAsia="Times New Roman" w:cs="Times New Roman"/>
          <w:b/>
          <w:bCs/>
          <w:spacing w:val="-1"/>
          <w:sz w:val="28"/>
          <w:szCs w:val="28"/>
        </w:rPr>
        <w:t>ATP</w:t>
      </w:r>
      <w:r>
        <w:rPr>
          <w:rFonts w:ascii="黑体" w:hAnsi="黑体" w:eastAsia="黑体" w:cs="黑体"/>
          <w:b/>
          <w:bCs/>
          <w:spacing w:val="-1"/>
          <w:sz w:val="28"/>
          <w:szCs w:val="28"/>
        </w:rPr>
        <w:t>环境框图</w:t>
      </w:r>
    </w:p>
    <w:p w14:paraId="3B254793">
      <w:pPr>
        <w:spacing w:before="99" w:line="219" w:lineRule="auto"/>
        <w:ind w:left="570"/>
        <w:rPr>
          <w:rFonts w:ascii="宋体" w:hAnsi="宋体" w:eastAsia="宋体" w:cs="宋体"/>
          <w:sz w:val="27"/>
          <w:szCs w:val="27"/>
        </w:rPr>
      </w:pPr>
      <w:r>
        <w:rPr>
          <w:rFonts w:ascii="宋体" w:hAnsi="宋体" w:eastAsia="宋体" w:cs="宋体"/>
          <w:spacing w:val="-5"/>
          <w:sz w:val="27"/>
          <w:szCs w:val="27"/>
        </w:rPr>
        <w:t>对搭建的整个测试环境，包括受试系统和配试系统，用框图表示。</w:t>
      </w:r>
    </w:p>
    <w:p w14:paraId="71FD0D50">
      <w:pPr>
        <w:spacing w:before="93" w:line="221"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46"/>
          <w:sz w:val="27"/>
          <w:szCs w:val="27"/>
        </w:rPr>
        <w:t xml:space="preserve">  </w:t>
      </w:r>
      <w:r>
        <w:rPr>
          <w:rFonts w:ascii="黑体" w:hAnsi="黑体" w:eastAsia="黑体" w:cs="黑体"/>
          <w:b/>
          <w:bCs/>
          <w:spacing w:val="-1"/>
          <w:sz w:val="27"/>
          <w:szCs w:val="27"/>
        </w:rPr>
        <w:t>测试步骤</w:t>
      </w:r>
    </w:p>
    <w:p w14:paraId="25A77F2B">
      <w:pPr>
        <w:pStyle w:val="2"/>
        <w:spacing w:before="35" w:line="368" w:lineRule="exact"/>
        <w:rPr>
          <w:sz w:val="27"/>
          <w:szCs w:val="27"/>
        </w:rPr>
      </w:pPr>
      <w:r>
        <w:rPr>
          <w:spacing w:val="5"/>
          <w:position w:val="3"/>
          <w:sz w:val="27"/>
          <w:szCs w:val="27"/>
        </w:rPr>
        <w:t xml:space="preserve">5.X     </w:t>
      </w:r>
      <w:r>
        <w:rPr>
          <w:rFonts w:ascii="黑体" w:hAnsi="黑体" w:eastAsia="黑体" w:cs="黑体"/>
          <w:b/>
          <w:bCs/>
          <w:spacing w:val="5"/>
          <w:position w:val="3"/>
          <w:sz w:val="27"/>
          <w:szCs w:val="27"/>
        </w:rPr>
        <w:t>(测试项目</w:t>
      </w:r>
      <w:r>
        <w:rPr>
          <w:b/>
          <w:bCs/>
          <w:spacing w:val="5"/>
          <w:position w:val="3"/>
          <w:sz w:val="27"/>
          <w:szCs w:val="27"/>
        </w:rPr>
        <w:t>X)</w:t>
      </w:r>
    </w:p>
    <w:p w14:paraId="18CA69FC">
      <w:pPr>
        <w:spacing w:line="368" w:lineRule="exact"/>
        <w:rPr>
          <w:sz w:val="27"/>
          <w:szCs w:val="27"/>
        </w:rPr>
        <w:sectPr>
          <w:footerReference r:id="rId96" w:type="default"/>
          <w:pgSz w:w="11910" w:h="17130"/>
          <w:pgMar w:top="400" w:right="1304" w:bottom="1626" w:left="1150" w:header="0" w:footer="1437" w:gutter="0"/>
          <w:cols w:space="720" w:num="1"/>
        </w:sectPr>
      </w:pPr>
    </w:p>
    <w:p w14:paraId="072B5303">
      <w:pPr>
        <w:pStyle w:val="2"/>
        <w:spacing w:line="256" w:lineRule="auto"/>
      </w:pPr>
    </w:p>
    <w:p w14:paraId="679E3528">
      <w:pPr>
        <w:pStyle w:val="2"/>
        <w:spacing w:line="256" w:lineRule="auto"/>
      </w:pPr>
    </w:p>
    <w:p w14:paraId="0CBA2539">
      <w:pPr>
        <w:pStyle w:val="2"/>
        <w:spacing w:line="257" w:lineRule="auto"/>
      </w:pPr>
    </w:p>
    <w:p w14:paraId="0A9B0036">
      <w:pPr>
        <w:pStyle w:val="2"/>
        <w:spacing w:line="257" w:lineRule="auto"/>
      </w:pPr>
    </w:p>
    <w:p w14:paraId="4668FABA">
      <w:pPr>
        <w:spacing w:before="82" w:line="221" w:lineRule="auto"/>
        <w:rPr>
          <w:rFonts w:ascii="黑体" w:hAnsi="黑体" w:eastAsia="黑体" w:cs="黑体"/>
          <w:sz w:val="25"/>
          <w:szCs w:val="25"/>
        </w:rPr>
      </w:pPr>
      <w:r>
        <w:rPr>
          <w:rFonts w:ascii="Times New Roman" w:hAnsi="Times New Roman" w:eastAsia="Times New Roman" w:cs="Times New Roman"/>
          <w:spacing w:val="2"/>
          <w:sz w:val="25"/>
          <w:szCs w:val="25"/>
        </w:rPr>
        <w:t>5.X.</w:t>
      </w:r>
      <w:r>
        <w:rPr>
          <w:rFonts w:ascii="Times New Roman" w:hAnsi="Times New Roman" w:eastAsia="Times New Roman" w:cs="Times New Roman"/>
          <w:spacing w:val="27"/>
          <w:sz w:val="25"/>
          <w:szCs w:val="25"/>
        </w:rPr>
        <w:t xml:space="preserve">  </w:t>
      </w:r>
      <w:r>
        <w:rPr>
          <w:rFonts w:ascii="黑体" w:hAnsi="黑体" w:eastAsia="黑体" w:cs="黑体"/>
          <w:spacing w:val="2"/>
          <w:sz w:val="25"/>
          <w:szCs w:val="25"/>
        </w:rPr>
        <w:t>1</w:t>
      </w:r>
      <w:r>
        <w:rPr>
          <w:rFonts w:ascii="黑体" w:hAnsi="黑体" w:eastAsia="黑体" w:cs="黑体"/>
          <w:spacing w:val="40"/>
          <w:sz w:val="25"/>
          <w:szCs w:val="25"/>
        </w:rPr>
        <w:t xml:space="preserve">  </w:t>
      </w:r>
      <w:r>
        <w:rPr>
          <w:rFonts w:ascii="黑体" w:hAnsi="黑体" w:eastAsia="黑体" w:cs="黑体"/>
          <w:b/>
          <w:bCs/>
          <w:spacing w:val="2"/>
          <w:sz w:val="25"/>
          <w:szCs w:val="25"/>
        </w:rPr>
        <w:t>测试步骤</w:t>
      </w:r>
    </w:p>
    <w:p w14:paraId="002DC859">
      <w:pPr>
        <w:spacing w:before="67" w:line="212" w:lineRule="auto"/>
        <w:ind w:left="560"/>
        <w:rPr>
          <w:rFonts w:ascii="宋体" w:hAnsi="宋体" w:eastAsia="宋体" w:cs="宋体"/>
          <w:sz w:val="27"/>
          <w:szCs w:val="27"/>
        </w:rPr>
      </w:pPr>
      <w:r>
        <w:rPr>
          <w:rFonts w:ascii="宋体" w:hAnsi="宋体" w:eastAsia="宋体" w:cs="宋体"/>
          <w:spacing w:val="5"/>
          <w:sz w:val="27"/>
          <w:szCs w:val="27"/>
        </w:rPr>
        <w:t>详细规定(测试项目</w:t>
      </w:r>
      <w:r>
        <w:rPr>
          <w:rFonts w:ascii="Times New Roman" w:hAnsi="Times New Roman" w:eastAsia="Times New Roman" w:cs="Times New Roman"/>
          <w:spacing w:val="5"/>
          <w:sz w:val="27"/>
          <w:szCs w:val="27"/>
        </w:rPr>
        <w:t xml:space="preserve">X) </w:t>
      </w:r>
      <w:r>
        <w:rPr>
          <w:rFonts w:ascii="宋体" w:hAnsi="宋体" w:eastAsia="宋体" w:cs="宋体"/>
          <w:spacing w:val="5"/>
          <w:sz w:val="27"/>
          <w:szCs w:val="27"/>
        </w:rPr>
        <w:t>的每一步操作内容。</w:t>
      </w:r>
    </w:p>
    <w:p w14:paraId="04132B9F">
      <w:pPr>
        <w:spacing w:before="146" w:line="223" w:lineRule="auto"/>
        <w:rPr>
          <w:rFonts w:ascii="黑体" w:hAnsi="黑体" w:eastAsia="黑体" w:cs="黑体"/>
          <w:sz w:val="24"/>
          <w:szCs w:val="24"/>
        </w:rPr>
      </w:pPr>
      <w:r>
        <w:rPr>
          <w:rFonts w:ascii="Times New Roman" w:hAnsi="Times New Roman" w:eastAsia="Times New Roman" w:cs="Times New Roman"/>
          <w:spacing w:val="8"/>
          <w:sz w:val="24"/>
          <w:szCs w:val="24"/>
        </w:rPr>
        <w:t xml:space="preserve">5.X.   </w:t>
      </w:r>
      <w:r>
        <w:rPr>
          <w:rFonts w:ascii="黑体" w:hAnsi="黑体" w:eastAsia="黑体" w:cs="黑体"/>
          <w:spacing w:val="8"/>
          <w:sz w:val="24"/>
          <w:szCs w:val="24"/>
        </w:rPr>
        <w:t>2</w:t>
      </w:r>
      <w:r>
        <w:rPr>
          <w:rFonts w:ascii="黑体" w:hAnsi="黑体" w:eastAsia="黑体" w:cs="黑体"/>
          <w:spacing w:val="39"/>
          <w:sz w:val="24"/>
          <w:szCs w:val="24"/>
        </w:rPr>
        <w:t xml:space="preserve">  </w:t>
      </w:r>
      <w:r>
        <w:rPr>
          <w:rFonts w:ascii="黑体" w:hAnsi="黑体" w:eastAsia="黑体" w:cs="黑体"/>
          <w:b/>
          <w:bCs/>
          <w:spacing w:val="8"/>
          <w:sz w:val="24"/>
          <w:szCs w:val="24"/>
        </w:rPr>
        <w:t>相关标准</w:t>
      </w:r>
    </w:p>
    <w:p w14:paraId="6FB4A88B">
      <w:pPr>
        <w:spacing w:before="73" w:line="212" w:lineRule="auto"/>
        <w:ind w:left="560"/>
        <w:rPr>
          <w:rFonts w:ascii="宋体" w:hAnsi="宋体" w:eastAsia="宋体" w:cs="宋体"/>
          <w:sz w:val="27"/>
          <w:szCs w:val="27"/>
        </w:rPr>
      </w:pPr>
      <w:r>
        <w:rPr>
          <w:rFonts w:ascii="宋体" w:hAnsi="宋体" w:eastAsia="宋体" w:cs="宋体"/>
          <w:spacing w:val="5"/>
          <w:sz w:val="27"/>
          <w:szCs w:val="27"/>
        </w:rPr>
        <w:t>说明(测试项目</w:t>
      </w:r>
      <w:r>
        <w:rPr>
          <w:rFonts w:ascii="Times New Roman" w:hAnsi="Times New Roman" w:eastAsia="Times New Roman" w:cs="Times New Roman"/>
          <w:spacing w:val="5"/>
          <w:sz w:val="27"/>
          <w:szCs w:val="27"/>
        </w:rPr>
        <w:t xml:space="preserve">X) </w:t>
      </w:r>
      <w:r>
        <w:rPr>
          <w:rFonts w:ascii="宋体" w:hAnsi="宋体" w:eastAsia="宋体" w:cs="宋体"/>
          <w:spacing w:val="5"/>
          <w:sz w:val="27"/>
          <w:szCs w:val="27"/>
        </w:rPr>
        <w:t>依据的相关标准。</w:t>
      </w:r>
    </w:p>
    <w:p w14:paraId="67DDA2CF">
      <w:pPr>
        <w:spacing w:before="173" w:line="221" w:lineRule="auto"/>
        <w:rPr>
          <w:rFonts w:ascii="黑体" w:hAnsi="黑体" w:eastAsia="黑体" w:cs="黑体"/>
          <w:sz w:val="24"/>
          <w:szCs w:val="24"/>
        </w:rPr>
      </w:pPr>
      <w:r>
        <w:rPr>
          <w:rFonts w:ascii="Times New Roman" w:hAnsi="Times New Roman" w:eastAsia="Times New Roman" w:cs="Times New Roman"/>
          <w:spacing w:val="11"/>
          <w:sz w:val="24"/>
          <w:szCs w:val="24"/>
        </w:rPr>
        <w:t>5.X.3</w:t>
      </w:r>
      <w:r>
        <w:rPr>
          <w:rFonts w:ascii="Times New Roman" w:hAnsi="Times New Roman" w:eastAsia="Times New Roman" w:cs="Times New Roman"/>
          <w:spacing w:val="2"/>
          <w:sz w:val="24"/>
          <w:szCs w:val="24"/>
        </w:rPr>
        <w:t xml:space="preserve">        </w:t>
      </w:r>
      <w:r>
        <w:rPr>
          <w:rFonts w:ascii="黑体" w:hAnsi="黑体" w:eastAsia="黑体" w:cs="黑体"/>
          <w:b/>
          <w:bCs/>
          <w:spacing w:val="11"/>
          <w:sz w:val="24"/>
          <w:szCs w:val="24"/>
        </w:rPr>
        <w:t>测试响应</w:t>
      </w:r>
    </w:p>
    <w:p w14:paraId="747AA75F">
      <w:pPr>
        <w:spacing w:before="78" w:line="277" w:lineRule="auto"/>
        <w:ind w:right="30" w:firstLine="560"/>
        <w:rPr>
          <w:rFonts w:ascii="宋体" w:hAnsi="宋体" w:eastAsia="宋体" w:cs="宋体"/>
          <w:sz w:val="27"/>
          <w:szCs w:val="27"/>
        </w:rPr>
      </w:pPr>
      <w:r>
        <w:rPr>
          <w:rFonts w:ascii="宋体" w:hAnsi="宋体" w:eastAsia="宋体" w:cs="宋体"/>
          <w:spacing w:val="-1"/>
          <w:sz w:val="27"/>
          <w:szCs w:val="27"/>
        </w:rPr>
        <w:t>依据产品研制总要求、产品研制方案和详细设计，规定(测试项目</w:t>
      </w:r>
      <w:r>
        <w:rPr>
          <w:rFonts w:ascii="Times New Roman" w:hAnsi="Times New Roman" w:eastAsia="Times New Roman" w:cs="Times New Roman"/>
          <w:spacing w:val="-1"/>
          <w:sz w:val="27"/>
          <w:szCs w:val="27"/>
        </w:rPr>
        <w:t xml:space="preserve">X) </w:t>
      </w:r>
      <w:r>
        <w:rPr>
          <w:rFonts w:ascii="宋体" w:hAnsi="宋体" w:eastAsia="宋体" w:cs="宋体"/>
          <w:spacing w:val="-1"/>
          <w:sz w:val="27"/>
          <w:szCs w:val="27"/>
        </w:rPr>
        <w:t>所期望</w:t>
      </w:r>
      <w:r>
        <w:rPr>
          <w:rFonts w:ascii="宋体" w:hAnsi="宋体" w:eastAsia="宋体" w:cs="宋体"/>
          <w:spacing w:val="1"/>
          <w:sz w:val="27"/>
          <w:szCs w:val="27"/>
        </w:rPr>
        <w:t xml:space="preserve"> </w:t>
      </w:r>
      <w:r>
        <w:rPr>
          <w:rFonts w:ascii="宋体" w:hAnsi="宋体" w:eastAsia="宋体" w:cs="宋体"/>
          <w:spacing w:val="-4"/>
          <w:sz w:val="27"/>
          <w:szCs w:val="27"/>
        </w:rPr>
        <w:t>的测试响应，并给出测试记录表格，详见表1.6。</w:t>
      </w:r>
    </w:p>
    <w:p w14:paraId="45DC34B0">
      <w:pPr>
        <w:spacing w:line="212" w:lineRule="auto"/>
        <w:ind w:left="2830"/>
        <w:rPr>
          <w:rFonts w:ascii="仿宋" w:hAnsi="仿宋" w:eastAsia="仿宋" w:cs="仿宋"/>
          <w:sz w:val="27"/>
          <w:szCs w:val="27"/>
        </w:rPr>
      </w:pPr>
      <w:r>
        <w:rPr>
          <w:rFonts w:ascii="仿宋" w:hAnsi="仿宋" w:eastAsia="仿宋" w:cs="仿宋"/>
          <w:spacing w:val="12"/>
          <w:sz w:val="27"/>
          <w:szCs w:val="27"/>
        </w:rPr>
        <w:t>表1.6</w:t>
      </w:r>
      <w:r>
        <w:rPr>
          <w:rFonts w:ascii="仿宋" w:hAnsi="仿宋" w:eastAsia="仿宋" w:cs="仿宋"/>
          <w:spacing w:val="117"/>
          <w:sz w:val="27"/>
          <w:szCs w:val="27"/>
        </w:rPr>
        <w:t xml:space="preserve"> </w:t>
      </w:r>
      <w:r>
        <w:rPr>
          <w:rFonts w:ascii="仿宋" w:hAnsi="仿宋" w:eastAsia="仿宋" w:cs="仿宋"/>
          <w:spacing w:val="12"/>
          <w:sz w:val="27"/>
          <w:szCs w:val="27"/>
        </w:rPr>
        <w:t>(测试项目</w:t>
      </w:r>
      <w:r>
        <w:rPr>
          <w:rFonts w:ascii="Times New Roman" w:hAnsi="Times New Roman" w:eastAsia="Times New Roman" w:cs="Times New Roman"/>
          <w:spacing w:val="12"/>
          <w:sz w:val="27"/>
          <w:szCs w:val="27"/>
        </w:rPr>
        <w:t xml:space="preserve">X) </w:t>
      </w:r>
      <w:r>
        <w:rPr>
          <w:rFonts w:ascii="仿宋" w:hAnsi="仿宋" w:eastAsia="仿宋" w:cs="仿宋"/>
          <w:spacing w:val="12"/>
          <w:sz w:val="27"/>
          <w:szCs w:val="27"/>
        </w:rPr>
        <w:t>测试记录</w:t>
      </w:r>
    </w:p>
    <w:p w14:paraId="717227C5">
      <w:pPr>
        <w:spacing w:line="154" w:lineRule="exact"/>
      </w:pPr>
    </w:p>
    <w:tbl>
      <w:tblPr>
        <w:tblStyle w:val="5"/>
        <w:tblW w:w="9380"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4"/>
        <w:gridCol w:w="2927"/>
        <w:gridCol w:w="1238"/>
        <w:gridCol w:w="1269"/>
        <w:gridCol w:w="1678"/>
        <w:gridCol w:w="1004"/>
      </w:tblGrid>
      <w:tr w14:paraId="14DDF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264" w:type="dxa"/>
            <w:vAlign w:val="top"/>
          </w:tcPr>
          <w:p w14:paraId="4E8C5C31">
            <w:pPr>
              <w:spacing w:before="94" w:line="221" w:lineRule="auto"/>
              <w:ind w:left="295"/>
              <w:rPr>
                <w:rFonts w:ascii="宋体" w:hAnsi="宋体" w:eastAsia="宋体" w:cs="宋体"/>
                <w:sz w:val="21"/>
                <w:szCs w:val="21"/>
              </w:rPr>
            </w:pPr>
            <w:r>
              <w:rPr>
                <w:rFonts w:ascii="宋体" w:hAnsi="宋体" w:eastAsia="宋体" w:cs="宋体"/>
                <w:spacing w:val="6"/>
                <w:sz w:val="21"/>
                <w:szCs w:val="21"/>
              </w:rPr>
              <w:t>测试点</w:t>
            </w:r>
          </w:p>
        </w:tc>
        <w:tc>
          <w:tcPr>
            <w:tcW w:w="2927" w:type="dxa"/>
            <w:vAlign w:val="top"/>
          </w:tcPr>
          <w:p w14:paraId="472550A4">
            <w:pPr>
              <w:spacing w:before="93" w:line="219" w:lineRule="auto"/>
              <w:ind w:left="1041"/>
              <w:rPr>
                <w:rFonts w:ascii="宋体" w:hAnsi="宋体" w:eastAsia="宋体" w:cs="宋体"/>
                <w:sz w:val="21"/>
                <w:szCs w:val="21"/>
              </w:rPr>
            </w:pPr>
            <w:r>
              <w:rPr>
                <w:rFonts w:ascii="宋体" w:hAnsi="宋体" w:eastAsia="宋体" w:cs="宋体"/>
                <w:spacing w:val="-2"/>
                <w:sz w:val="21"/>
                <w:szCs w:val="21"/>
              </w:rPr>
              <w:t>信号特征</w:t>
            </w:r>
          </w:p>
        </w:tc>
        <w:tc>
          <w:tcPr>
            <w:tcW w:w="1238" w:type="dxa"/>
            <w:vAlign w:val="top"/>
          </w:tcPr>
          <w:p w14:paraId="4C979D31">
            <w:pPr>
              <w:spacing w:before="93" w:line="219" w:lineRule="auto"/>
              <w:ind w:left="294"/>
              <w:rPr>
                <w:rFonts w:ascii="宋体" w:hAnsi="宋体" w:eastAsia="宋体" w:cs="宋体"/>
                <w:sz w:val="21"/>
                <w:szCs w:val="21"/>
              </w:rPr>
            </w:pPr>
            <w:r>
              <w:rPr>
                <w:rFonts w:ascii="宋体" w:hAnsi="宋体" w:eastAsia="宋体" w:cs="宋体"/>
                <w:spacing w:val="2"/>
                <w:sz w:val="21"/>
                <w:szCs w:val="21"/>
              </w:rPr>
              <w:t>正常值</w:t>
            </w:r>
          </w:p>
        </w:tc>
        <w:tc>
          <w:tcPr>
            <w:tcW w:w="1269" w:type="dxa"/>
            <w:vAlign w:val="top"/>
          </w:tcPr>
          <w:p w14:paraId="25E51163">
            <w:pPr>
              <w:spacing w:before="93" w:line="219" w:lineRule="auto"/>
              <w:ind w:left="326"/>
              <w:rPr>
                <w:rFonts w:ascii="宋体" w:hAnsi="宋体" w:eastAsia="宋体" w:cs="宋体"/>
                <w:sz w:val="21"/>
                <w:szCs w:val="21"/>
              </w:rPr>
            </w:pPr>
            <w:r>
              <w:rPr>
                <w:rFonts w:ascii="宋体" w:hAnsi="宋体" w:eastAsia="宋体" w:cs="宋体"/>
                <w:spacing w:val="2"/>
                <w:sz w:val="21"/>
                <w:szCs w:val="21"/>
              </w:rPr>
              <w:t>实测值</w:t>
            </w:r>
          </w:p>
        </w:tc>
        <w:tc>
          <w:tcPr>
            <w:tcW w:w="1678" w:type="dxa"/>
            <w:vAlign w:val="top"/>
          </w:tcPr>
          <w:p w14:paraId="508B74A7">
            <w:pPr>
              <w:spacing w:before="93" w:line="219" w:lineRule="auto"/>
              <w:ind w:left="417"/>
              <w:rPr>
                <w:rFonts w:ascii="宋体" w:hAnsi="宋体" w:eastAsia="宋体" w:cs="宋体"/>
                <w:sz w:val="21"/>
                <w:szCs w:val="21"/>
              </w:rPr>
            </w:pPr>
            <w:r>
              <w:rPr>
                <w:rFonts w:ascii="宋体" w:hAnsi="宋体" w:eastAsia="宋体" w:cs="宋体"/>
                <w:spacing w:val="-2"/>
                <w:sz w:val="21"/>
                <w:szCs w:val="21"/>
              </w:rPr>
              <w:t>合格结论</w:t>
            </w:r>
          </w:p>
        </w:tc>
        <w:tc>
          <w:tcPr>
            <w:tcW w:w="1004" w:type="dxa"/>
            <w:vAlign w:val="top"/>
          </w:tcPr>
          <w:p w14:paraId="1F0C671A">
            <w:pPr>
              <w:spacing w:before="94" w:line="221" w:lineRule="auto"/>
              <w:ind w:left="299"/>
              <w:rPr>
                <w:rFonts w:ascii="宋体" w:hAnsi="宋体" w:eastAsia="宋体" w:cs="宋体"/>
                <w:sz w:val="21"/>
                <w:szCs w:val="21"/>
              </w:rPr>
            </w:pPr>
            <w:r>
              <w:rPr>
                <w:rFonts w:ascii="宋体" w:hAnsi="宋体" w:eastAsia="宋体" w:cs="宋体"/>
                <w:spacing w:val="5"/>
                <w:sz w:val="21"/>
                <w:szCs w:val="21"/>
              </w:rPr>
              <w:t>备注</w:t>
            </w:r>
          </w:p>
        </w:tc>
      </w:tr>
      <w:tr w14:paraId="4697A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264" w:type="dxa"/>
            <w:vAlign w:val="top"/>
          </w:tcPr>
          <w:p w14:paraId="20E7C7EF">
            <w:pPr>
              <w:rPr>
                <w:rFonts w:ascii="Arial"/>
                <w:sz w:val="21"/>
              </w:rPr>
            </w:pPr>
          </w:p>
        </w:tc>
        <w:tc>
          <w:tcPr>
            <w:tcW w:w="2927" w:type="dxa"/>
            <w:vAlign w:val="top"/>
          </w:tcPr>
          <w:p w14:paraId="4F173974">
            <w:pPr>
              <w:rPr>
                <w:rFonts w:ascii="Arial"/>
                <w:sz w:val="21"/>
              </w:rPr>
            </w:pPr>
          </w:p>
        </w:tc>
        <w:tc>
          <w:tcPr>
            <w:tcW w:w="1238" w:type="dxa"/>
            <w:vAlign w:val="top"/>
          </w:tcPr>
          <w:p w14:paraId="2B52F8A1">
            <w:pPr>
              <w:rPr>
                <w:rFonts w:ascii="Arial"/>
                <w:sz w:val="21"/>
              </w:rPr>
            </w:pPr>
          </w:p>
        </w:tc>
        <w:tc>
          <w:tcPr>
            <w:tcW w:w="1269" w:type="dxa"/>
            <w:vAlign w:val="top"/>
          </w:tcPr>
          <w:p w14:paraId="16EC9930">
            <w:pPr>
              <w:rPr>
                <w:rFonts w:ascii="Arial"/>
                <w:sz w:val="21"/>
              </w:rPr>
            </w:pPr>
          </w:p>
        </w:tc>
        <w:tc>
          <w:tcPr>
            <w:tcW w:w="1678" w:type="dxa"/>
            <w:vAlign w:val="top"/>
          </w:tcPr>
          <w:p w14:paraId="27ECCD90">
            <w:pPr>
              <w:rPr>
                <w:rFonts w:ascii="Arial"/>
                <w:sz w:val="21"/>
              </w:rPr>
            </w:pPr>
          </w:p>
        </w:tc>
        <w:tc>
          <w:tcPr>
            <w:tcW w:w="1004" w:type="dxa"/>
            <w:vAlign w:val="top"/>
          </w:tcPr>
          <w:p w14:paraId="514B7B47">
            <w:pPr>
              <w:rPr>
                <w:rFonts w:ascii="Arial"/>
                <w:sz w:val="21"/>
              </w:rPr>
            </w:pPr>
          </w:p>
        </w:tc>
      </w:tr>
      <w:tr w14:paraId="2DF0B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264" w:type="dxa"/>
            <w:vAlign w:val="top"/>
          </w:tcPr>
          <w:p w14:paraId="57C4276F">
            <w:pPr>
              <w:rPr>
                <w:rFonts w:ascii="Arial"/>
                <w:sz w:val="21"/>
              </w:rPr>
            </w:pPr>
          </w:p>
        </w:tc>
        <w:tc>
          <w:tcPr>
            <w:tcW w:w="2927" w:type="dxa"/>
            <w:vAlign w:val="top"/>
          </w:tcPr>
          <w:p w14:paraId="63B94890">
            <w:pPr>
              <w:rPr>
                <w:rFonts w:ascii="Arial"/>
                <w:sz w:val="21"/>
              </w:rPr>
            </w:pPr>
          </w:p>
        </w:tc>
        <w:tc>
          <w:tcPr>
            <w:tcW w:w="1238" w:type="dxa"/>
            <w:vAlign w:val="top"/>
          </w:tcPr>
          <w:p w14:paraId="207374D0">
            <w:pPr>
              <w:rPr>
                <w:rFonts w:ascii="Arial"/>
                <w:sz w:val="21"/>
              </w:rPr>
            </w:pPr>
          </w:p>
        </w:tc>
        <w:tc>
          <w:tcPr>
            <w:tcW w:w="1269" w:type="dxa"/>
            <w:vAlign w:val="top"/>
          </w:tcPr>
          <w:p w14:paraId="7F4BDFF5">
            <w:pPr>
              <w:rPr>
                <w:rFonts w:ascii="Arial"/>
                <w:sz w:val="21"/>
              </w:rPr>
            </w:pPr>
          </w:p>
        </w:tc>
        <w:tc>
          <w:tcPr>
            <w:tcW w:w="1678" w:type="dxa"/>
            <w:vAlign w:val="top"/>
          </w:tcPr>
          <w:p w14:paraId="33447918">
            <w:pPr>
              <w:rPr>
                <w:rFonts w:ascii="Arial"/>
                <w:sz w:val="21"/>
              </w:rPr>
            </w:pPr>
          </w:p>
        </w:tc>
        <w:tc>
          <w:tcPr>
            <w:tcW w:w="1004" w:type="dxa"/>
            <w:vAlign w:val="top"/>
          </w:tcPr>
          <w:p w14:paraId="55624F7C">
            <w:pPr>
              <w:rPr>
                <w:rFonts w:ascii="Arial"/>
                <w:sz w:val="21"/>
              </w:rPr>
            </w:pPr>
          </w:p>
        </w:tc>
      </w:tr>
    </w:tbl>
    <w:p w14:paraId="54DFD9C0">
      <w:pPr>
        <w:pStyle w:val="2"/>
        <w:spacing w:line="455" w:lineRule="auto"/>
      </w:pPr>
    </w:p>
    <w:p w14:paraId="1A2EE2E4">
      <w:pPr>
        <w:spacing w:before="117" w:line="219" w:lineRule="auto"/>
        <w:ind w:left="2530"/>
        <w:outlineLvl w:val="1"/>
        <w:rPr>
          <w:rFonts w:ascii="宋体" w:hAnsi="宋体" w:eastAsia="宋体" w:cs="宋体"/>
          <w:sz w:val="36"/>
          <w:szCs w:val="36"/>
        </w:rPr>
      </w:pPr>
      <w:bookmarkStart w:id="56" w:name="bookmark31"/>
      <w:bookmarkEnd w:id="56"/>
      <w:r>
        <w:rPr>
          <w:rFonts w:ascii="宋体" w:hAnsi="宋体" w:eastAsia="宋体" w:cs="宋体"/>
          <w:spacing w:val="3"/>
          <w:sz w:val="36"/>
          <w:szCs w:val="36"/>
        </w:rPr>
        <w:t>1.</w:t>
      </w:r>
      <w:r>
        <w:rPr>
          <w:rFonts w:ascii="宋体" w:hAnsi="宋体" w:eastAsia="宋体" w:cs="宋体"/>
          <w:b/>
          <w:bCs/>
          <w:spacing w:val="3"/>
          <w:sz w:val="36"/>
          <w:szCs w:val="36"/>
        </w:rPr>
        <w:t>29</w:t>
      </w:r>
      <w:r>
        <w:rPr>
          <w:rFonts w:ascii="宋体" w:hAnsi="宋体" w:eastAsia="宋体" w:cs="宋体"/>
          <w:spacing w:val="3"/>
          <w:sz w:val="36"/>
          <w:szCs w:val="36"/>
        </w:rPr>
        <w:t xml:space="preserve">  </w:t>
      </w:r>
      <w:r>
        <w:rPr>
          <w:rFonts w:ascii="宋体" w:hAnsi="宋体" w:eastAsia="宋体" w:cs="宋体"/>
          <w:b/>
          <w:bCs/>
          <w:spacing w:val="3"/>
          <w:sz w:val="36"/>
          <w:szCs w:val="36"/>
        </w:rPr>
        <w:t>产品规范(</w:t>
      </w:r>
      <w:r>
        <w:rPr>
          <w:rFonts w:ascii="Times New Roman" w:hAnsi="Times New Roman" w:eastAsia="Times New Roman" w:cs="Times New Roman"/>
          <w:b/>
          <w:bCs/>
          <w:spacing w:val="3"/>
          <w:sz w:val="36"/>
          <w:szCs w:val="36"/>
        </w:rPr>
        <w:t xml:space="preserve">C </w:t>
      </w:r>
      <w:r>
        <w:rPr>
          <w:rFonts w:ascii="宋体" w:hAnsi="宋体" w:eastAsia="宋体" w:cs="宋体"/>
          <w:b/>
          <w:bCs/>
          <w:spacing w:val="3"/>
          <w:sz w:val="36"/>
          <w:szCs w:val="36"/>
        </w:rPr>
        <w:t>类规范)</w:t>
      </w:r>
    </w:p>
    <w:p w14:paraId="3FAA613A">
      <w:pPr>
        <w:pStyle w:val="2"/>
        <w:spacing w:line="325" w:lineRule="auto"/>
      </w:pPr>
    </w:p>
    <w:p w14:paraId="5217D3AC">
      <w:pPr>
        <w:spacing w:before="92" w:line="267" w:lineRule="auto"/>
        <w:ind w:right="42" w:firstLine="560"/>
        <w:rPr>
          <w:rFonts w:ascii="楷体" w:hAnsi="楷体" w:eastAsia="楷体" w:cs="楷体"/>
          <w:sz w:val="28"/>
          <w:szCs w:val="28"/>
        </w:rPr>
      </w:pPr>
      <w:r>
        <w:rPr>
          <w:rFonts w:ascii="楷体" w:hAnsi="楷体" w:eastAsia="楷体" w:cs="楷体"/>
          <w:spacing w:val="-3"/>
          <w:sz w:val="28"/>
          <w:szCs w:val="28"/>
        </w:rPr>
        <w:t>产品规范(</w:t>
      </w:r>
      <w:r>
        <w:rPr>
          <w:rFonts w:ascii="Times New Roman" w:hAnsi="Times New Roman" w:eastAsia="Times New Roman" w:cs="Times New Roman"/>
          <w:spacing w:val="-3"/>
          <w:sz w:val="28"/>
          <w:szCs w:val="28"/>
        </w:rPr>
        <w:t xml:space="preserve">C </w:t>
      </w:r>
      <w:r>
        <w:rPr>
          <w:rFonts w:ascii="楷体" w:hAnsi="楷体" w:eastAsia="楷体" w:cs="楷体"/>
          <w:spacing w:val="-3"/>
          <w:sz w:val="28"/>
          <w:szCs w:val="28"/>
        </w:rPr>
        <w:t>类规范)按照</w:t>
      </w:r>
      <w:r>
        <w:rPr>
          <w:rFonts w:ascii="Times New Roman" w:hAnsi="Times New Roman" w:eastAsia="Times New Roman" w:cs="Times New Roman"/>
          <w:spacing w:val="-3"/>
          <w:sz w:val="28"/>
          <w:szCs w:val="28"/>
        </w:rPr>
        <w:t>GJB 6387—2008</w:t>
      </w:r>
      <w:r>
        <w:rPr>
          <w:rFonts w:ascii="宋体" w:hAnsi="宋体" w:eastAsia="宋体" w:cs="宋体"/>
          <w:spacing w:val="-4"/>
          <w:sz w:val="28"/>
          <w:szCs w:val="28"/>
        </w:rPr>
        <w:t>《</w:t>
      </w:r>
      <w:r>
        <w:rPr>
          <w:rFonts w:ascii="楷体" w:hAnsi="楷体" w:eastAsia="楷体" w:cs="楷体"/>
          <w:spacing w:val="-4"/>
          <w:sz w:val="28"/>
          <w:szCs w:val="28"/>
        </w:rPr>
        <w:t>武器装备研制项目专用规范编</w:t>
      </w:r>
      <w:r>
        <w:rPr>
          <w:rFonts w:ascii="楷体" w:hAnsi="楷体" w:eastAsia="楷体" w:cs="楷体"/>
          <w:sz w:val="28"/>
          <w:szCs w:val="28"/>
        </w:rPr>
        <w:t xml:space="preserve"> </w:t>
      </w:r>
      <w:r>
        <w:rPr>
          <w:rFonts w:ascii="楷体" w:hAnsi="楷体" w:eastAsia="楷体" w:cs="楷体"/>
          <w:spacing w:val="-26"/>
          <w:sz w:val="28"/>
          <w:szCs w:val="28"/>
        </w:rPr>
        <w:t>写规定》编写。</w:t>
      </w:r>
    </w:p>
    <w:p w14:paraId="79DE38CF">
      <w:pPr>
        <w:spacing w:before="60" w:line="278" w:lineRule="auto"/>
        <w:ind w:right="34" w:firstLine="560"/>
        <w:jc w:val="both"/>
        <w:rPr>
          <w:rFonts w:ascii="楷体" w:hAnsi="楷体" w:eastAsia="楷体" w:cs="楷体"/>
          <w:sz w:val="27"/>
          <w:szCs w:val="27"/>
        </w:rPr>
      </w:pPr>
      <w:r>
        <w:rPr>
          <w:rFonts w:ascii="楷体" w:hAnsi="楷体" w:eastAsia="楷体" w:cs="楷体"/>
          <w:spacing w:val="-3"/>
          <w:sz w:val="27"/>
          <w:szCs w:val="27"/>
        </w:rPr>
        <w:t>产品规范描述产品的功能特性、物理特性和验证要求等；属产品</w:t>
      </w:r>
      <w:r>
        <w:rPr>
          <w:rFonts w:ascii="楷体" w:hAnsi="楷体" w:eastAsia="楷体" w:cs="楷体"/>
          <w:spacing w:val="-4"/>
          <w:sz w:val="27"/>
          <w:szCs w:val="27"/>
        </w:rPr>
        <w:t>规范范畴的</w:t>
      </w:r>
      <w:r>
        <w:rPr>
          <w:rFonts w:ascii="楷体" w:hAnsi="楷体" w:eastAsia="楷体" w:cs="楷体"/>
          <w:sz w:val="27"/>
          <w:szCs w:val="27"/>
        </w:rPr>
        <w:t xml:space="preserve"> </w:t>
      </w:r>
      <w:r>
        <w:rPr>
          <w:rFonts w:ascii="楷体" w:hAnsi="楷体" w:eastAsia="楷体" w:cs="楷体"/>
          <w:spacing w:val="5"/>
          <w:sz w:val="27"/>
          <w:szCs w:val="27"/>
        </w:rPr>
        <w:t>软件规范(软件产品规格说明)描述软件产品(含</w:t>
      </w:r>
      <w:r>
        <w:rPr>
          <w:rFonts w:ascii="楷体" w:hAnsi="楷体" w:eastAsia="楷体" w:cs="楷体"/>
          <w:spacing w:val="4"/>
          <w:sz w:val="27"/>
          <w:szCs w:val="27"/>
        </w:rPr>
        <w:t>用于产品中的软件)的可执行软</w:t>
      </w:r>
      <w:r>
        <w:rPr>
          <w:rFonts w:ascii="楷体" w:hAnsi="楷体" w:eastAsia="楷体" w:cs="楷体"/>
          <w:sz w:val="27"/>
          <w:szCs w:val="27"/>
        </w:rPr>
        <w:t xml:space="preserve"> </w:t>
      </w:r>
      <w:r>
        <w:rPr>
          <w:rFonts w:ascii="楷体" w:hAnsi="楷体" w:eastAsia="楷体" w:cs="楷体"/>
          <w:spacing w:val="-2"/>
          <w:sz w:val="27"/>
          <w:szCs w:val="27"/>
        </w:rPr>
        <w:t>件、源文件、包装需求和合格性规定及软件</w:t>
      </w:r>
      <w:r>
        <w:rPr>
          <w:rFonts w:ascii="楷体" w:hAnsi="楷体" w:eastAsia="楷体" w:cs="楷体"/>
          <w:spacing w:val="-3"/>
          <w:sz w:val="27"/>
          <w:szCs w:val="27"/>
        </w:rPr>
        <w:t>支持信息等。它们需与其装备研制项</w:t>
      </w:r>
      <w:r>
        <w:rPr>
          <w:rFonts w:ascii="楷体" w:hAnsi="楷体" w:eastAsia="楷体" w:cs="楷体"/>
          <w:sz w:val="27"/>
          <w:szCs w:val="27"/>
        </w:rPr>
        <w:t xml:space="preserve"> </w:t>
      </w:r>
      <w:r>
        <w:rPr>
          <w:rFonts w:ascii="楷体" w:hAnsi="楷体" w:eastAsia="楷体" w:cs="楷体"/>
          <w:spacing w:val="-2"/>
          <w:sz w:val="27"/>
          <w:szCs w:val="27"/>
        </w:rPr>
        <w:t>目的“研制总要求”的技术内容协调一致。产品规范一般从工程研制阶段早期开</w:t>
      </w:r>
      <w:r>
        <w:rPr>
          <w:rFonts w:ascii="楷体" w:hAnsi="楷体" w:eastAsia="楷体" w:cs="楷体"/>
          <w:sz w:val="27"/>
          <w:szCs w:val="27"/>
        </w:rPr>
        <w:t xml:space="preserve"> </w:t>
      </w:r>
      <w:r>
        <w:rPr>
          <w:rFonts w:ascii="楷体" w:hAnsi="楷体" w:eastAsia="楷体" w:cs="楷体"/>
          <w:spacing w:val="-2"/>
          <w:sz w:val="27"/>
          <w:szCs w:val="27"/>
        </w:rPr>
        <w:t>始编制，随着研制工作的进展逐步完善，到产品正式生产前批准定</w:t>
      </w:r>
      <w:r>
        <w:rPr>
          <w:rFonts w:ascii="楷体" w:hAnsi="楷体" w:eastAsia="楷体" w:cs="楷体"/>
          <w:spacing w:val="-3"/>
          <w:sz w:val="27"/>
          <w:szCs w:val="27"/>
        </w:rPr>
        <w:t>稿。批准的产</w:t>
      </w:r>
      <w:r>
        <w:rPr>
          <w:rFonts w:ascii="楷体" w:hAnsi="楷体" w:eastAsia="楷体" w:cs="楷体"/>
          <w:sz w:val="27"/>
          <w:szCs w:val="27"/>
        </w:rPr>
        <w:t xml:space="preserve"> </w:t>
      </w:r>
      <w:r>
        <w:rPr>
          <w:rFonts w:ascii="楷体" w:hAnsi="楷体" w:eastAsia="楷体" w:cs="楷体"/>
          <w:spacing w:val="-3"/>
          <w:sz w:val="27"/>
          <w:szCs w:val="27"/>
        </w:rPr>
        <w:t>品规范体现武器装备研制项目的产品基线，是技术状态控制的依据，未经原批准</w:t>
      </w:r>
      <w:r>
        <w:rPr>
          <w:rFonts w:ascii="楷体" w:hAnsi="楷体" w:eastAsia="楷体" w:cs="楷体"/>
          <w:spacing w:val="11"/>
          <w:sz w:val="27"/>
          <w:szCs w:val="27"/>
        </w:rPr>
        <w:t xml:space="preserve"> </w:t>
      </w:r>
      <w:r>
        <w:rPr>
          <w:rFonts w:ascii="楷体" w:hAnsi="楷体" w:eastAsia="楷体" w:cs="楷体"/>
          <w:spacing w:val="-10"/>
          <w:sz w:val="27"/>
          <w:szCs w:val="27"/>
        </w:rPr>
        <w:t>机关批准，不得更改。</w:t>
      </w:r>
    </w:p>
    <w:p w14:paraId="1CAE9C82">
      <w:pPr>
        <w:spacing w:before="19" w:line="259" w:lineRule="auto"/>
        <w:ind w:right="32" w:firstLine="560"/>
        <w:jc w:val="both"/>
        <w:rPr>
          <w:rFonts w:ascii="楷体" w:hAnsi="楷体" w:eastAsia="楷体" w:cs="楷体"/>
          <w:sz w:val="28"/>
          <w:szCs w:val="28"/>
        </w:rPr>
      </w:pPr>
      <w:r>
        <w:rPr>
          <w:rFonts w:ascii="楷体" w:hAnsi="楷体" w:eastAsia="楷体" w:cs="楷体"/>
          <w:spacing w:val="-5"/>
          <w:sz w:val="28"/>
          <w:szCs w:val="28"/>
        </w:rPr>
        <w:t>在</w:t>
      </w:r>
      <w:r>
        <w:rPr>
          <w:rFonts w:ascii="Times New Roman" w:hAnsi="Times New Roman" w:eastAsia="Times New Roman" w:cs="Times New Roman"/>
          <w:spacing w:val="-5"/>
          <w:sz w:val="28"/>
          <w:szCs w:val="28"/>
        </w:rPr>
        <w:t>GJB6387—2008</w:t>
      </w:r>
      <w:r>
        <w:rPr>
          <w:rFonts w:ascii="Times New Roman" w:hAnsi="Times New Roman" w:eastAsia="Times New Roman" w:cs="Times New Roman"/>
          <w:spacing w:val="42"/>
          <w:w w:val="101"/>
          <w:sz w:val="28"/>
          <w:szCs w:val="28"/>
        </w:rPr>
        <w:t xml:space="preserve"> </w:t>
      </w:r>
      <w:r>
        <w:rPr>
          <w:rFonts w:ascii="楷体" w:hAnsi="楷体" w:eastAsia="楷体" w:cs="楷体"/>
          <w:spacing w:val="-5"/>
          <w:sz w:val="28"/>
          <w:szCs w:val="28"/>
        </w:rPr>
        <w:t>中，系统规范、研制规范和产品规范的编写说</w:t>
      </w:r>
      <w:r>
        <w:rPr>
          <w:rFonts w:ascii="楷体" w:hAnsi="楷体" w:eastAsia="楷体" w:cs="楷体"/>
          <w:spacing w:val="-6"/>
          <w:sz w:val="28"/>
          <w:szCs w:val="28"/>
        </w:rPr>
        <w:t>明是一样</w:t>
      </w:r>
      <w:r>
        <w:rPr>
          <w:rFonts w:ascii="楷体" w:hAnsi="楷体" w:eastAsia="楷体" w:cs="楷体"/>
          <w:sz w:val="28"/>
          <w:szCs w:val="28"/>
        </w:rPr>
        <w:t xml:space="preserve"> </w:t>
      </w:r>
      <w:r>
        <w:rPr>
          <w:rFonts w:ascii="楷体" w:hAnsi="楷体" w:eastAsia="楷体" w:cs="楷体"/>
          <w:spacing w:val="-12"/>
          <w:sz w:val="28"/>
          <w:szCs w:val="28"/>
        </w:rPr>
        <w:t>的，详细说明如下。区别在于系统规范、研制规范和产品</w:t>
      </w:r>
      <w:r>
        <w:rPr>
          <w:rFonts w:ascii="楷体" w:hAnsi="楷体" w:eastAsia="楷体" w:cs="楷体"/>
          <w:spacing w:val="-13"/>
          <w:sz w:val="28"/>
          <w:szCs w:val="28"/>
        </w:rPr>
        <w:t>规范的各章要素有些差</w:t>
      </w:r>
      <w:r>
        <w:rPr>
          <w:rFonts w:ascii="楷体" w:hAnsi="楷体" w:eastAsia="楷体" w:cs="楷体"/>
          <w:sz w:val="28"/>
          <w:szCs w:val="28"/>
        </w:rPr>
        <w:t xml:space="preserve"> </w:t>
      </w:r>
      <w:r>
        <w:rPr>
          <w:rFonts w:ascii="楷体" w:hAnsi="楷体" w:eastAsia="楷体" w:cs="楷体"/>
          <w:spacing w:val="-13"/>
          <w:sz w:val="28"/>
          <w:szCs w:val="28"/>
        </w:rPr>
        <w:t>别，见表1.2。</w:t>
      </w:r>
    </w:p>
    <w:p w14:paraId="6496CB2C">
      <w:pPr>
        <w:spacing w:before="49"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7209AA6D">
      <w:pPr>
        <w:spacing w:before="103" w:line="222" w:lineRule="auto"/>
        <w:rPr>
          <w:rFonts w:ascii="黑体" w:hAnsi="黑体" w:eastAsia="黑体" w:cs="黑体"/>
          <w:sz w:val="27"/>
          <w:szCs w:val="27"/>
        </w:rPr>
      </w:pPr>
      <w:r>
        <w:rPr>
          <w:rFonts w:ascii="黑体" w:hAnsi="黑体" w:eastAsia="黑体" w:cs="黑体"/>
          <w:spacing w:val="-7"/>
          <w:sz w:val="27"/>
          <w:szCs w:val="27"/>
        </w:rPr>
        <w:t>1.1</w:t>
      </w:r>
      <w:r>
        <w:rPr>
          <w:rFonts w:ascii="黑体" w:hAnsi="黑体" w:eastAsia="黑体" w:cs="黑体"/>
          <w:spacing w:val="27"/>
          <w:sz w:val="27"/>
          <w:szCs w:val="27"/>
        </w:rPr>
        <w:t xml:space="preserve">  </w:t>
      </w:r>
      <w:r>
        <w:rPr>
          <w:rFonts w:ascii="黑体" w:hAnsi="黑体" w:eastAsia="黑体" w:cs="黑体"/>
          <w:b/>
          <w:bCs/>
          <w:spacing w:val="-7"/>
          <w:sz w:val="27"/>
          <w:szCs w:val="27"/>
        </w:rPr>
        <w:t>主题内容</w:t>
      </w:r>
    </w:p>
    <w:p w14:paraId="41E1F248">
      <w:pPr>
        <w:spacing w:before="128" w:line="272" w:lineRule="auto"/>
        <w:ind w:right="33" w:firstLine="560"/>
        <w:rPr>
          <w:rFonts w:ascii="宋体" w:hAnsi="宋体" w:eastAsia="宋体" w:cs="宋体"/>
          <w:sz w:val="27"/>
          <w:szCs w:val="27"/>
        </w:rPr>
      </w:pPr>
      <w:r>
        <w:rPr>
          <w:rFonts w:ascii="宋体" w:hAnsi="宋体" w:eastAsia="宋体" w:cs="宋体"/>
          <w:spacing w:val="-3"/>
          <w:sz w:val="27"/>
          <w:szCs w:val="27"/>
        </w:rPr>
        <w:t>针对专用规范的实体，明确其主题内容。主题内容的典型表述形式为“本规</w:t>
      </w:r>
      <w:r>
        <w:rPr>
          <w:rFonts w:ascii="宋体" w:hAnsi="宋体" w:eastAsia="宋体" w:cs="宋体"/>
          <w:spacing w:val="9"/>
          <w:sz w:val="27"/>
          <w:szCs w:val="27"/>
        </w:rPr>
        <w:t xml:space="preserve"> </w:t>
      </w:r>
      <w:r>
        <w:rPr>
          <w:rFonts w:ascii="宋体" w:hAnsi="宋体" w:eastAsia="宋体" w:cs="宋体"/>
          <w:spacing w:val="4"/>
          <w:sz w:val="27"/>
          <w:szCs w:val="27"/>
        </w:rPr>
        <w:t>范规定了××[标明实体的代号和(或)名称]的要求。”</w:t>
      </w:r>
    </w:p>
    <w:p w14:paraId="21388C9F">
      <w:pPr>
        <w:spacing w:before="1" w:line="220" w:lineRule="auto"/>
        <w:rPr>
          <w:rFonts w:ascii="黑体" w:hAnsi="黑体" w:eastAsia="黑体" w:cs="黑体"/>
          <w:sz w:val="27"/>
          <w:szCs w:val="27"/>
        </w:rPr>
      </w:pPr>
      <w:r>
        <w:rPr>
          <w:rFonts w:ascii="黑体" w:hAnsi="黑体" w:eastAsia="黑体" w:cs="黑体"/>
          <w:spacing w:val="-4"/>
          <w:sz w:val="27"/>
          <w:szCs w:val="27"/>
        </w:rPr>
        <w:t>1.2</w:t>
      </w:r>
      <w:r>
        <w:rPr>
          <w:rFonts w:ascii="黑体" w:hAnsi="黑体" w:eastAsia="黑体" w:cs="黑体"/>
          <w:spacing w:val="31"/>
          <w:sz w:val="27"/>
          <w:szCs w:val="27"/>
        </w:rPr>
        <w:t xml:space="preserve">  </w:t>
      </w:r>
      <w:r>
        <w:rPr>
          <w:rFonts w:ascii="黑体" w:hAnsi="黑体" w:eastAsia="黑体" w:cs="黑体"/>
          <w:b/>
          <w:bCs/>
          <w:spacing w:val="-4"/>
          <w:sz w:val="27"/>
          <w:szCs w:val="27"/>
        </w:rPr>
        <w:t>实体说明</w:t>
      </w:r>
    </w:p>
    <w:p w14:paraId="1281A774">
      <w:pPr>
        <w:spacing w:before="140" w:line="313" w:lineRule="auto"/>
        <w:ind w:right="54" w:firstLine="560"/>
        <w:rPr>
          <w:rFonts w:ascii="宋体" w:hAnsi="宋体" w:eastAsia="宋体" w:cs="宋体"/>
          <w:sz w:val="25"/>
          <w:szCs w:val="25"/>
        </w:rPr>
      </w:pPr>
      <w:r>
        <w:rPr>
          <w:rFonts w:ascii="宋体" w:hAnsi="宋体" w:eastAsia="宋体" w:cs="宋体"/>
          <w:spacing w:val="25"/>
          <w:sz w:val="25"/>
          <w:szCs w:val="25"/>
        </w:rPr>
        <w:t>根据需要，简要描述专用规范所针对的实体</w:t>
      </w:r>
      <w:r>
        <w:rPr>
          <w:rFonts w:ascii="宋体" w:hAnsi="宋体" w:eastAsia="宋体" w:cs="宋体"/>
          <w:spacing w:val="24"/>
          <w:sz w:val="25"/>
          <w:szCs w:val="25"/>
        </w:rPr>
        <w:t>在武器装备研制项目工作分解</w:t>
      </w:r>
      <w:r>
        <w:rPr>
          <w:rFonts w:ascii="宋体" w:hAnsi="宋体" w:eastAsia="宋体" w:cs="宋体"/>
          <w:sz w:val="25"/>
          <w:szCs w:val="25"/>
        </w:rPr>
        <w:t xml:space="preserve"> </w:t>
      </w:r>
      <w:r>
        <w:rPr>
          <w:rFonts w:ascii="宋体" w:hAnsi="宋体" w:eastAsia="宋体" w:cs="宋体"/>
          <w:spacing w:val="25"/>
          <w:sz w:val="25"/>
          <w:szCs w:val="25"/>
        </w:rPr>
        <w:t>结构中的层次。必要时，可列出组成该实体的各个下一层次组成部分的代号和</w:t>
      </w:r>
    </w:p>
    <w:p w14:paraId="57E69BC9">
      <w:pPr>
        <w:spacing w:line="313" w:lineRule="auto"/>
        <w:rPr>
          <w:rFonts w:ascii="宋体" w:hAnsi="宋体" w:eastAsia="宋体" w:cs="宋体"/>
          <w:sz w:val="25"/>
          <w:szCs w:val="25"/>
        </w:rPr>
        <w:sectPr>
          <w:footerReference r:id="rId97" w:type="default"/>
          <w:pgSz w:w="11910" w:h="17130"/>
          <w:pgMar w:top="400" w:right="974" w:bottom="1627" w:left="1519" w:header="0" w:footer="1423" w:gutter="0"/>
          <w:cols w:space="720" w:num="1"/>
        </w:sectPr>
      </w:pPr>
    </w:p>
    <w:p w14:paraId="49B65CBA">
      <w:pPr>
        <w:pStyle w:val="2"/>
        <w:spacing w:line="275" w:lineRule="auto"/>
      </w:pPr>
    </w:p>
    <w:p w14:paraId="5316E575">
      <w:pPr>
        <w:pStyle w:val="2"/>
        <w:spacing w:line="275" w:lineRule="auto"/>
      </w:pPr>
    </w:p>
    <w:p w14:paraId="11ED2602">
      <w:pPr>
        <w:pStyle w:val="2"/>
        <w:spacing w:line="275" w:lineRule="auto"/>
      </w:pPr>
    </w:p>
    <w:p w14:paraId="2850D699">
      <w:pPr>
        <w:pStyle w:val="2"/>
        <w:spacing w:line="275" w:lineRule="auto"/>
      </w:pPr>
    </w:p>
    <w:p w14:paraId="5363A0F5">
      <w:pPr>
        <w:spacing w:before="88" w:line="221" w:lineRule="auto"/>
        <w:rPr>
          <w:rFonts w:ascii="宋体" w:hAnsi="宋体" w:eastAsia="宋体" w:cs="宋体"/>
          <w:sz w:val="27"/>
          <w:szCs w:val="27"/>
        </w:rPr>
      </w:pPr>
      <w:bookmarkStart w:id="57" w:name="bookmark332"/>
      <w:bookmarkEnd w:id="57"/>
      <w:r>
        <w:rPr>
          <w:rFonts w:ascii="宋体" w:hAnsi="宋体" w:eastAsia="宋体" w:cs="宋体"/>
          <w:spacing w:val="-6"/>
          <w:sz w:val="27"/>
          <w:szCs w:val="27"/>
        </w:rPr>
        <w:t>名称。</w:t>
      </w:r>
    </w:p>
    <w:p w14:paraId="4CE5360B">
      <w:pPr>
        <w:spacing w:before="110" w:line="222" w:lineRule="auto"/>
        <w:rPr>
          <w:rFonts w:ascii="黑体" w:hAnsi="黑体" w:eastAsia="黑体" w:cs="黑体"/>
          <w:sz w:val="24"/>
          <w:szCs w:val="24"/>
        </w:rPr>
      </w:pPr>
      <w:r>
        <w:rPr>
          <w:rFonts w:ascii="黑体" w:hAnsi="黑体" w:eastAsia="黑体" w:cs="黑体"/>
          <w:spacing w:val="24"/>
          <w:sz w:val="24"/>
          <w:szCs w:val="24"/>
        </w:rPr>
        <w:t>2</w:t>
      </w:r>
      <w:r>
        <w:rPr>
          <w:rFonts w:ascii="黑体" w:hAnsi="黑体" w:eastAsia="黑体" w:cs="黑体"/>
          <w:spacing w:val="40"/>
          <w:sz w:val="24"/>
          <w:szCs w:val="24"/>
        </w:rPr>
        <w:t xml:space="preserve">  </w:t>
      </w:r>
      <w:r>
        <w:rPr>
          <w:rFonts w:ascii="黑体" w:hAnsi="黑体" w:eastAsia="黑体" w:cs="黑体"/>
          <w:spacing w:val="24"/>
          <w:sz w:val="24"/>
          <w:szCs w:val="24"/>
        </w:rPr>
        <w:t>引用文件</w:t>
      </w:r>
    </w:p>
    <w:p w14:paraId="13916867">
      <w:pPr>
        <w:spacing w:before="33" w:line="289" w:lineRule="auto"/>
        <w:ind w:firstLine="560"/>
        <w:jc w:val="both"/>
        <w:rPr>
          <w:rFonts w:ascii="宋体" w:hAnsi="宋体" w:eastAsia="宋体" w:cs="宋体"/>
          <w:sz w:val="27"/>
          <w:szCs w:val="27"/>
        </w:rPr>
      </w:pPr>
      <w:r>
        <w:rPr>
          <w:rFonts w:ascii="Times New Roman" w:hAnsi="Times New Roman" w:eastAsia="Times New Roman" w:cs="Times New Roman"/>
          <w:spacing w:val="-1"/>
          <w:sz w:val="27"/>
          <w:szCs w:val="27"/>
        </w:rPr>
        <w:t xml:space="preserve">a)  </w:t>
      </w:r>
      <w:r>
        <w:rPr>
          <w:rFonts w:ascii="宋体" w:hAnsi="宋体" w:eastAsia="宋体" w:cs="宋体"/>
          <w:spacing w:val="-1"/>
          <w:sz w:val="27"/>
          <w:szCs w:val="27"/>
        </w:rPr>
        <w:t>专用规范的第2章“引用文件”为可选要素，视专用规范有无引用文件而</w:t>
      </w:r>
      <w:r>
        <w:rPr>
          <w:rFonts w:ascii="宋体" w:hAnsi="宋体" w:eastAsia="宋体" w:cs="宋体"/>
          <w:spacing w:val="18"/>
          <w:sz w:val="27"/>
          <w:szCs w:val="27"/>
        </w:rPr>
        <w:t xml:space="preserve"> </w:t>
      </w:r>
      <w:r>
        <w:rPr>
          <w:rFonts w:ascii="宋体" w:hAnsi="宋体" w:eastAsia="宋体" w:cs="宋体"/>
          <w:spacing w:val="-2"/>
          <w:sz w:val="27"/>
          <w:szCs w:val="27"/>
        </w:rPr>
        <w:t>定。专用规范有引用文件时，应采用下述引导语，并在其下汇总</w:t>
      </w:r>
      <w:r>
        <w:rPr>
          <w:rFonts w:ascii="宋体" w:hAnsi="宋体" w:eastAsia="宋体" w:cs="宋体"/>
          <w:spacing w:val="-3"/>
          <w:sz w:val="27"/>
          <w:szCs w:val="27"/>
        </w:rPr>
        <w:t>列出引用文件一</w:t>
      </w:r>
      <w:r>
        <w:rPr>
          <w:rFonts w:ascii="宋体" w:hAnsi="宋体" w:eastAsia="宋体" w:cs="宋体"/>
          <w:sz w:val="27"/>
          <w:szCs w:val="27"/>
        </w:rPr>
        <w:t xml:space="preserve"> </w:t>
      </w:r>
      <w:r>
        <w:rPr>
          <w:rFonts w:ascii="宋体" w:hAnsi="宋体" w:eastAsia="宋体" w:cs="宋体"/>
          <w:spacing w:val="-6"/>
          <w:sz w:val="27"/>
          <w:szCs w:val="27"/>
        </w:rPr>
        <w:t>览表：</w:t>
      </w:r>
    </w:p>
    <w:p w14:paraId="7D1AF37D">
      <w:pPr>
        <w:spacing w:before="1" w:line="293" w:lineRule="auto"/>
        <w:ind w:right="37" w:firstLine="435"/>
        <w:jc w:val="both"/>
        <w:rPr>
          <w:rFonts w:ascii="仿宋" w:hAnsi="仿宋" w:eastAsia="仿宋" w:cs="仿宋"/>
          <w:sz w:val="25"/>
          <w:szCs w:val="25"/>
        </w:rPr>
      </w:pPr>
      <w:r>
        <w:rPr>
          <w:rFonts w:ascii="仿宋" w:hAnsi="仿宋" w:eastAsia="仿宋" w:cs="仿宋"/>
          <w:spacing w:val="29"/>
          <w:sz w:val="25"/>
          <w:szCs w:val="25"/>
        </w:rPr>
        <w:t>“下列文件中的有关条款通过引用而成为本规范的条款</w:t>
      </w:r>
      <w:r>
        <w:rPr>
          <w:rFonts w:ascii="仿宋" w:hAnsi="仿宋" w:eastAsia="仿宋" w:cs="仿宋"/>
          <w:spacing w:val="28"/>
          <w:sz w:val="25"/>
          <w:szCs w:val="25"/>
        </w:rPr>
        <w:t>。所有文件均应注</w:t>
      </w:r>
      <w:r>
        <w:rPr>
          <w:rFonts w:ascii="仿宋" w:hAnsi="仿宋" w:eastAsia="仿宋" w:cs="仿宋"/>
          <w:sz w:val="25"/>
          <w:szCs w:val="25"/>
        </w:rPr>
        <w:t xml:space="preserve"> </w:t>
      </w:r>
      <w:r>
        <w:rPr>
          <w:rFonts w:ascii="仿宋" w:hAnsi="仿宋" w:eastAsia="仿宋" w:cs="仿宋"/>
          <w:spacing w:val="24"/>
          <w:sz w:val="25"/>
          <w:szCs w:val="25"/>
        </w:rPr>
        <w:t>明日期或版本，其后的任何修改单(不包括勘误的内容)或修订版本都不适用于</w:t>
      </w:r>
      <w:r>
        <w:rPr>
          <w:rFonts w:ascii="仿宋" w:hAnsi="仿宋" w:eastAsia="仿宋" w:cs="仿宋"/>
          <w:sz w:val="25"/>
          <w:szCs w:val="25"/>
        </w:rPr>
        <w:t xml:space="preserve"> </w:t>
      </w:r>
      <w:r>
        <w:rPr>
          <w:rFonts w:ascii="仿宋" w:hAnsi="仿宋" w:eastAsia="仿宋" w:cs="仿宋"/>
          <w:spacing w:val="14"/>
          <w:sz w:val="25"/>
          <w:szCs w:val="25"/>
        </w:rPr>
        <w:t>本规范。”</w:t>
      </w:r>
    </w:p>
    <w:p w14:paraId="7DA2DD0D">
      <w:pPr>
        <w:spacing w:before="1" w:line="273" w:lineRule="auto"/>
        <w:ind w:right="22" w:firstLine="560"/>
        <w:rPr>
          <w:rFonts w:ascii="宋体" w:hAnsi="宋体" w:eastAsia="宋体" w:cs="宋体"/>
          <w:sz w:val="27"/>
          <w:szCs w:val="27"/>
        </w:rPr>
      </w:pPr>
      <w:r>
        <w:rPr>
          <w:rFonts w:ascii="宋体" w:hAnsi="宋体" w:eastAsia="宋体" w:cs="宋体"/>
          <w:spacing w:val="-7"/>
          <w:sz w:val="27"/>
          <w:szCs w:val="27"/>
        </w:rPr>
        <w:t>专用规范无引用文件时，应在“2引用文件”下另起一行空两字起排“本章无</w:t>
      </w:r>
      <w:r>
        <w:rPr>
          <w:rFonts w:ascii="宋体" w:hAnsi="宋体" w:eastAsia="宋体" w:cs="宋体"/>
          <w:spacing w:val="3"/>
          <w:sz w:val="27"/>
          <w:szCs w:val="27"/>
        </w:rPr>
        <w:t xml:space="preserve"> </w:t>
      </w:r>
      <w:r>
        <w:rPr>
          <w:rFonts w:ascii="宋体" w:hAnsi="宋体" w:eastAsia="宋体" w:cs="宋体"/>
          <w:spacing w:val="-33"/>
          <w:sz w:val="27"/>
          <w:szCs w:val="27"/>
        </w:rPr>
        <w:t>条文。”字样。</w:t>
      </w:r>
    </w:p>
    <w:p w14:paraId="1F048531">
      <w:pPr>
        <w:spacing w:line="264" w:lineRule="auto"/>
        <w:ind w:right="16" w:firstLine="560"/>
        <w:rPr>
          <w:rFonts w:ascii="宋体" w:hAnsi="宋体" w:eastAsia="宋体" w:cs="宋体"/>
          <w:sz w:val="27"/>
          <w:szCs w:val="27"/>
        </w:rPr>
      </w:pPr>
      <w:r>
        <w:rPr>
          <w:rFonts w:ascii="Times New Roman" w:hAnsi="Times New Roman" w:eastAsia="Times New Roman" w:cs="Times New Roman"/>
          <w:spacing w:val="12"/>
          <w:sz w:val="27"/>
          <w:szCs w:val="27"/>
        </w:rPr>
        <w:t>b)</w:t>
      </w:r>
      <w:r>
        <w:rPr>
          <w:rFonts w:ascii="Times New Roman" w:hAnsi="Times New Roman" w:eastAsia="Times New Roman" w:cs="Times New Roman"/>
          <w:spacing w:val="48"/>
          <w:sz w:val="27"/>
          <w:szCs w:val="27"/>
        </w:rPr>
        <w:t xml:space="preserve"> </w:t>
      </w:r>
      <w:r>
        <w:rPr>
          <w:rFonts w:ascii="宋体" w:hAnsi="宋体" w:eastAsia="宋体" w:cs="宋体"/>
          <w:spacing w:val="12"/>
          <w:sz w:val="27"/>
          <w:szCs w:val="27"/>
        </w:rPr>
        <w:t>专用规范下列要求性内容中引用了其他文件</w:t>
      </w:r>
      <w:r>
        <w:rPr>
          <w:rFonts w:ascii="宋体" w:hAnsi="宋体" w:eastAsia="宋体" w:cs="宋体"/>
          <w:spacing w:val="11"/>
          <w:sz w:val="27"/>
          <w:szCs w:val="27"/>
        </w:rPr>
        <w:t>时，则专用规范有引用文</w:t>
      </w:r>
      <w:r>
        <w:rPr>
          <w:rFonts w:ascii="宋体" w:hAnsi="宋体" w:eastAsia="宋体" w:cs="宋体"/>
          <w:sz w:val="27"/>
          <w:szCs w:val="27"/>
        </w:rPr>
        <w:t xml:space="preserve"> </w:t>
      </w:r>
      <w:r>
        <w:rPr>
          <w:rFonts w:ascii="宋体" w:hAnsi="宋体" w:eastAsia="宋体" w:cs="宋体"/>
          <w:spacing w:val="12"/>
          <w:sz w:val="27"/>
          <w:szCs w:val="27"/>
        </w:rPr>
        <w:t>件，否则无引用文件：1)要求(第3章),验证(第4章),包装、运输与贮存(</w:t>
      </w:r>
      <w:r>
        <w:rPr>
          <w:rFonts w:ascii="宋体" w:hAnsi="宋体" w:eastAsia="宋体" w:cs="宋体"/>
          <w:spacing w:val="11"/>
          <w:sz w:val="27"/>
          <w:szCs w:val="27"/>
        </w:rPr>
        <w:t>第5</w:t>
      </w:r>
      <w:r>
        <w:rPr>
          <w:rFonts w:ascii="宋体" w:hAnsi="宋体" w:eastAsia="宋体" w:cs="宋体"/>
          <w:sz w:val="27"/>
          <w:szCs w:val="27"/>
        </w:rPr>
        <w:t xml:space="preserve"> </w:t>
      </w:r>
      <w:r>
        <w:rPr>
          <w:rFonts w:ascii="宋体" w:hAnsi="宋体" w:eastAsia="宋体" w:cs="宋体"/>
          <w:spacing w:val="-2"/>
          <w:sz w:val="27"/>
          <w:szCs w:val="27"/>
        </w:rPr>
        <w:t>章);2)规范性附录；3)表和图中包含要求的段</w:t>
      </w:r>
      <w:r>
        <w:rPr>
          <w:rFonts w:ascii="宋体" w:hAnsi="宋体" w:eastAsia="宋体" w:cs="宋体"/>
          <w:spacing w:val="-3"/>
          <w:sz w:val="27"/>
          <w:szCs w:val="27"/>
        </w:rPr>
        <w:t>与脚注。</w:t>
      </w:r>
    </w:p>
    <w:p w14:paraId="570C313D">
      <w:pPr>
        <w:spacing w:before="95" w:line="281" w:lineRule="auto"/>
        <w:ind w:right="23" w:firstLine="560"/>
        <w:rPr>
          <w:rFonts w:ascii="宋体" w:hAnsi="宋体" w:eastAsia="宋体" w:cs="宋体"/>
          <w:sz w:val="25"/>
          <w:szCs w:val="25"/>
        </w:rPr>
      </w:pPr>
      <w:r>
        <w:rPr>
          <w:rFonts w:ascii="Times New Roman" w:hAnsi="Times New Roman" w:eastAsia="Times New Roman" w:cs="Times New Roman"/>
          <w:spacing w:val="22"/>
          <w:sz w:val="25"/>
          <w:szCs w:val="25"/>
        </w:rPr>
        <w:t>c)</w:t>
      </w:r>
      <w:r>
        <w:rPr>
          <w:rFonts w:ascii="Times New Roman" w:hAnsi="Times New Roman" w:eastAsia="Times New Roman" w:cs="Times New Roman"/>
          <w:spacing w:val="75"/>
          <w:w w:val="101"/>
          <w:sz w:val="25"/>
          <w:szCs w:val="25"/>
        </w:rPr>
        <w:t xml:space="preserve"> </w:t>
      </w:r>
      <w:r>
        <w:rPr>
          <w:rFonts w:ascii="宋体" w:hAnsi="宋体" w:eastAsia="宋体" w:cs="宋体"/>
          <w:spacing w:val="22"/>
          <w:sz w:val="25"/>
          <w:szCs w:val="25"/>
        </w:rPr>
        <w:t>专用规范下列资料性内容中提及的文件不属于引用文件，而应属于参考</w:t>
      </w:r>
      <w:r>
        <w:rPr>
          <w:rFonts w:ascii="宋体" w:hAnsi="宋体" w:eastAsia="宋体" w:cs="宋体"/>
          <w:sz w:val="25"/>
          <w:szCs w:val="25"/>
        </w:rPr>
        <w:t xml:space="preserve"> </w:t>
      </w:r>
      <w:r>
        <w:rPr>
          <w:rFonts w:ascii="宋体" w:hAnsi="宋体" w:eastAsia="宋体" w:cs="宋体"/>
          <w:spacing w:val="18"/>
          <w:sz w:val="25"/>
          <w:szCs w:val="25"/>
        </w:rPr>
        <w:t>文献：1)专用规范的前言、引言、范围(第1章)、说明事项(第6章);2)资料性附</w:t>
      </w:r>
      <w:r>
        <w:rPr>
          <w:rFonts w:ascii="宋体" w:hAnsi="宋体" w:eastAsia="宋体" w:cs="宋体"/>
          <w:spacing w:val="4"/>
          <w:sz w:val="25"/>
          <w:szCs w:val="25"/>
        </w:rPr>
        <w:t xml:space="preserve"> </w:t>
      </w:r>
      <w:r>
        <w:rPr>
          <w:rFonts w:ascii="宋体" w:hAnsi="宋体" w:eastAsia="宋体" w:cs="宋体"/>
          <w:spacing w:val="10"/>
          <w:sz w:val="25"/>
          <w:szCs w:val="25"/>
        </w:rPr>
        <w:t>录；3)条文的注、脚注和示例，表和图中的注与不包含要求的脚注。</w:t>
      </w:r>
    </w:p>
    <w:p w14:paraId="0C0DB153">
      <w:pPr>
        <w:spacing w:before="85" w:line="279" w:lineRule="auto"/>
        <w:ind w:right="1" w:firstLine="560"/>
        <w:jc w:val="both"/>
        <w:rPr>
          <w:rFonts w:ascii="宋体" w:hAnsi="宋体" w:eastAsia="宋体" w:cs="宋体"/>
          <w:sz w:val="27"/>
          <w:szCs w:val="27"/>
        </w:rPr>
      </w:pPr>
      <w:r>
        <w:rPr>
          <w:rFonts w:ascii="宋体" w:hAnsi="宋体" w:eastAsia="宋体" w:cs="宋体"/>
          <w:spacing w:val="-10"/>
          <w:sz w:val="27"/>
          <w:szCs w:val="27"/>
        </w:rPr>
        <w:t>引用文件的排列顺序一般为：国家标准，国家军用标准</w:t>
      </w:r>
      <w:r>
        <w:rPr>
          <w:rFonts w:ascii="宋体" w:hAnsi="宋体" w:eastAsia="宋体" w:cs="宋体"/>
          <w:spacing w:val="-11"/>
          <w:sz w:val="27"/>
          <w:szCs w:val="27"/>
        </w:rPr>
        <w:t>，行业标准，部门军用</w:t>
      </w:r>
      <w:r>
        <w:rPr>
          <w:rFonts w:ascii="宋体" w:hAnsi="宋体" w:eastAsia="宋体" w:cs="宋体"/>
          <w:sz w:val="27"/>
          <w:szCs w:val="27"/>
        </w:rPr>
        <w:t xml:space="preserve"> </w:t>
      </w:r>
      <w:r>
        <w:rPr>
          <w:rFonts w:ascii="宋体" w:hAnsi="宋体" w:eastAsia="宋体" w:cs="宋体"/>
          <w:spacing w:val="-16"/>
          <w:sz w:val="27"/>
          <w:szCs w:val="27"/>
        </w:rPr>
        <w:t>标准，企业标准，国家和军队的法规、条例、条令和规章，</w:t>
      </w:r>
      <w:r>
        <w:rPr>
          <w:rFonts w:ascii="Times New Roman" w:hAnsi="Times New Roman" w:eastAsia="Times New Roman" w:cs="Times New Roman"/>
          <w:spacing w:val="-16"/>
          <w:sz w:val="27"/>
          <w:szCs w:val="27"/>
        </w:rPr>
        <w:t>IS</w:t>
      </w:r>
      <w:r>
        <w:rPr>
          <w:rFonts w:ascii="Times New Roman" w:hAnsi="Times New Roman" w:eastAsia="Times New Roman" w:cs="Times New Roman"/>
          <w:spacing w:val="-17"/>
          <w:sz w:val="27"/>
          <w:szCs w:val="27"/>
        </w:rPr>
        <w:t>O</w:t>
      </w:r>
      <w:r>
        <w:rPr>
          <w:rFonts w:ascii="Times New Roman" w:hAnsi="Times New Roman" w:eastAsia="Times New Roman" w:cs="Times New Roman"/>
          <w:spacing w:val="35"/>
          <w:sz w:val="27"/>
          <w:szCs w:val="27"/>
        </w:rPr>
        <w:t xml:space="preserve"> </w:t>
      </w:r>
      <w:r>
        <w:rPr>
          <w:rFonts w:ascii="宋体" w:hAnsi="宋体" w:eastAsia="宋体" w:cs="宋体"/>
          <w:spacing w:val="-17"/>
          <w:sz w:val="27"/>
          <w:szCs w:val="27"/>
        </w:rPr>
        <w:t>标准，</w:t>
      </w:r>
      <w:r>
        <w:rPr>
          <w:rFonts w:ascii="Times New Roman" w:hAnsi="Times New Roman" w:eastAsia="Times New Roman" w:cs="Times New Roman"/>
          <w:spacing w:val="-17"/>
          <w:sz w:val="27"/>
          <w:szCs w:val="27"/>
        </w:rPr>
        <w:t>IEC</w:t>
      </w:r>
      <w:r>
        <w:rPr>
          <w:rFonts w:ascii="Times New Roman" w:hAnsi="Times New Roman" w:eastAsia="Times New Roman" w:cs="Times New Roman"/>
          <w:spacing w:val="54"/>
          <w:w w:val="101"/>
          <w:sz w:val="27"/>
          <w:szCs w:val="27"/>
        </w:rPr>
        <w:t xml:space="preserve"> </w:t>
      </w:r>
      <w:r>
        <w:rPr>
          <w:rFonts w:ascii="宋体" w:hAnsi="宋体" w:eastAsia="宋体" w:cs="宋体"/>
          <w:spacing w:val="-17"/>
          <w:sz w:val="27"/>
          <w:szCs w:val="27"/>
        </w:rPr>
        <w:t>标准，其</w:t>
      </w:r>
      <w:r>
        <w:rPr>
          <w:rFonts w:ascii="宋体" w:hAnsi="宋体" w:eastAsia="宋体" w:cs="宋体"/>
          <w:sz w:val="27"/>
          <w:szCs w:val="27"/>
        </w:rPr>
        <w:t xml:space="preserve"> </w:t>
      </w:r>
      <w:r>
        <w:rPr>
          <w:rFonts w:ascii="宋体" w:hAnsi="宋体" w:eastAsia="宋体" w:cs="宋体"/>
          <w:spacing w:val="4"/>
          <w:sz w:val="27"/>
          <w:szCs w:val="27"/>
        </w:rPr>
        <w:t>他国际标准。国家标准、国家军用标准、</w:t>
      </w:r>
      <w:r>
        <w:rPr>
          <w:rFonts w:ascii="Times New Roman" w:hAnsi="Times New Roman" w:eastAsia="Times New Roman" w:cs="Times New Roman"/>
          <w:sz w:val="27"/>
          <w:szCs w:val="27"/>
        </w:rPr>
        <w:t>ISO</w:t>
      </w:r>
      <w:r>
        <w:rPr>
          <w:rFonts w:ascii="Times New Roman" w:hAnsi="Times New Roman" w:eastAsia="Times New Roman" w:cs="Times New Roman"/>
          <w:spacing w:val="51"/>
          <w:w w:val="101"/>
          <w:sz w:val="27"/>
          <w:szCs w:val="27"/>
        </w:rPr>
        <w:t xml:space="preserve"> </w:t>
      </w:r>
      <w:r>
        <w:rPr>
          <w:rFonts w:ascii="宋体" w:hAnsi="宋体" w:eastAsia="宋体" w:cs="宋体"/>
          <w:spacing w:val="4"/>
          <w:sz w:val="27"/>
          <w:szCs w:val="27"/>
        </w:rPr>
        <w:t>标准和</w:t>
      </w:r>
      <w:r>
        <w:rPr>
          <w:rFonts w:ascii="宋体" w:hAnsi="宋体" w:eastAsia="宋体" w:cs="宋体"/>
          <w:spacing w:val="-78"/>
          <w:sz w:val="27"/>
          <w:szCs w:val="27"/>
        </w:rPr>
        <w:t xml:space="preserve"> </w:t>
      </w:r>
      <w:r>
        <w:rPr>
          <w:rFonts w:ascii="Times New Roman" w:hAnsi="Times New Roman" w:eastAsia="Times New Roman" w:cs="Times New Roman"/>
          <w:sz w:val="27"/>
          <w:szCs w:val="27"/>
        </w:rPr>
        <w:t>IEC</w:t>
      </w:r>
      <w:r>
        <w:rPr>
          <w:rFonts w:ascii="Times New Roman" w:hAnsi="Times New Roman" w:eastAsia="Times New Roman" w:cs="Times New Roman"/>
          <w:spacing w:val="35"/>
          <w:w w:val="101"/>
          <w:sz w:val="27"/>
          <w:szCs w:val="27"/>
        </w:rPr>
        <w:t xml:space="preserve"> </w:t>
      </w:r>
      <w:r>
        <w:rPr>
          <w:rFonts w:ascii="宋体" w:hAnsi="宋体" w:eastAsia="宋体" w:cs="宋体"/>
          <w:spacing w:val="4"/>
          <w:sz w:val="27"/>
          <w:szCs w:val="27"/>
        </w:rPr>
        <w:t>标准按标准顺序号排</w:t>
      </w:r>
      <w:r>
        <w:rPr>
          <w:rFonts w:ascii="宋体" w:hAnsi="宋体" w:eastAsia="宋体" w:cs="宋体"/>
          <w:sz w:val="27"/>
          <w:szCs w:val="27"/>
        </w:rPr>
        <w:t xml:space="preserve"> </w:t>
      </w:r>
      <w:r>
        <w:rPr>
          <w:rFonts w:ascii="宋体" w:hAnsi="宋体" w:eastAsia="宋体" w:cs="宋体"/>
          <w:spacing w:val="-10"/>
          <w:sz w:val="27"/>
          <w:szCs w:val="27"/>
        </w:rPr>
        <w:t>列；行业标准、部门军用标准、企业标准、其他国际标准先按</w:t>
      </w:r>
      <w:r>
        <w:rPr>
          <w:rFonts w:ascii="宋体" w:hAnsi="宋体" w:eastAsia="宋体" w:cs="宋体"/>
          <w:spacing w:val="-11"/>
          <w:sz w:val="27"/>
          <w:szCs w:val="27"/>
        </w:rPr>
        <w:t>标准代号的拉丁字母</w:t>
      </w:r>
      <w:r>
        <w:rPr>
          <w:rFonts w:ascii="宋体" w:hAnsi="宋体" w:eastAsia="宋体" w:cs="宋体"/>
          <w:sz w:val="27"/>
          <w:szCs w:val="27"/>
        </w:rPr>
        <w:t xml:space="preserve"> </w:t>
      </w:r>
      <w:r>
        <w:rPr>
          <w:rFonts w:ascii="宋体" w:hAnsi="宋体" w:eastAsia="宋体" w:cs="宋体"/>
          <w:spacing w:val="-6"/>
          <w:sz w:val="27"/>
          <w:szCs w:val="27"/>
        </w:rPr>
        <w:t>顺序排列，再按标准顺序号排列。</w:t>
      </w:r>
    </w:p>
    <w:p w14:paraId="30EF9789">
      <w:pPr>
        <w:spacing w:line="219" w:lineRule="auto"/>
        <w:ind w:left="560"/>
        <w:rPr>
          <w:rFonts w:ascii="宋体" w:hAnsi="宋体" w:eastAsia="宋体" w:cs="宋体"/>
          <w:sz w:val="27"/>
          <w:szCs w:val="27"/>
        </w:rPr>
      </w:pPr>
      <w:r>
        <w:rPr>
          <w:rFonts w:ascii="宋体" w:hAnsi="宋体" w:eastAsia="宋体" w:cs="宋体"/>
          <w:spacing w:val="-4"/>
          <w:sz w:val="27"/>
          <w:szCs w:val="27"/>
        </w:rPr>
        <w:t>每项引用文件均左起空两个字起排，回行时顶格排，结尾不加标</w:t>
      </w:r>
      <w:r>
        <w:rPr>
          <w:rFonts w:ascii="宋体" w:hAnsi="宋体" w:eastAsia="宋体" w:cs="宋体"/>
          <w:spacing w:val="-5"/>
          <w:sz w:val="27"/>
          <w:szCs w:val="27"/>
        </w:rPr>
        <w:t>点符号。</w:t>
      </w:r>
    </w:p>
    <w:p w14:paraId="1ECF34D1">
      <w:pPr>
        <w:spacing w:before="100" w:line="276" w:lineRule="auto"/>
        <w:ind w:right="15" w:firstLine="560"/>
        <w:rPr>
          <w:rFonts w:ascii="宋体" w:hAnsi="宋体" w:eastAsia="宋体" w:cs="宋体"/>
          <w:sz w:val="27"/>
          <w:szCs w:val="27"/>
        </w:rPr>
      </w:pPr>
      <w:r>
        <w:rPr>
          <w:rFonts w:ascii="宋体" w:hAnsi="宋体" w:eastAsia="宋体" w:cs="宋体"/>
          <w:spacing w:val="5"/>
          <w:sz w:val="27"/>
          <w:szCs w:val="27"/>
        </w:rPr>
        <w:t>所引用的标准应依次列出其编号和名称。标准编号和标准名称之间空一个</w:t>
      </w:r>
      <w:r>
        <w:rPr>
          <w:rFonts w:ascii="宋体" w:hAnsi="宋体" w:eastAsia="宋体" w:cs="宋体"/>
          <w:spacing w:val="10"/>
          <w:sz w:val="27"/>
          <w:szCs w:val="27"/>
        </w:rPr>
        <w:t xml:space="preserve"> </w:t>
      </w:r>
      <w:r>
        <w:rPr>
          <w:rFonts w:ascii="宋体" w:hAnsi="宋体" w:eastAsia="宋体" w:cs="宋体"/>
          <w:spacing w:val="14"/>
          <w:sz w:val="27"/>
          <w:szCs w:val="27"/>
        </w:rPr>
        <w:t>字的间隙。标准的批准年号一律用四位阿拉伯数字表示。标准的名称不加书</w:t>
      </w:r>
      <w:r>
        <w:rPr>
          <w:rFonts w:ascii="宋体" w:hAnsi="宋体" w:eastAsia="宋体" w:cs="宋体"/>
          <w:spacing w:val="4"/>
          <w:sz w:val="27"/>
          <w:szCs w:val="27"/>
        </w:rPr>
        <w:t xml:space="preserve"> </w:t>
      </w:r>
      <w:r>
        <w:rPr>
          <w:rFonts w:ascii="宋体" w:hAnsi="宋体" w:eastAsia="宋体" w:cs="宋体"/>
          <w:spacing w:val="-6"/>
          <w:sz w:val="27"/>
          <w:szCs w:val="27"/>
        </w:rPr>
        <w:t>名号。</w:t>
      </w:r>
    </w:p>
    <w:p w14:paraId="73D74898">
      <w:pPr>
        <w:spacing w:before="19" w:line="268" w:lineRule="auto"/>
        <w:ind w:right="4" w:firstLine="560"/>
        <w:rPr>
          <w:rFonts w:ascii="宋体" w:hAnsi="宋体" w:eastAsia="宋体" w:cs="宋体"/>
          <w:sz w:val="27"/>
          <w:szCs w:val="27"/>
        </w:rPr>
      </w:pPr>
      <w:r>
        <w:rPr>
          <w:rFonts w:ascii="宋体" w:hAnsi="宋体" w:eastAsia="宋体" w:cs="宋体"/>
          <w:spacing w:val="6"/>
          <w:sz w:val="27"/>
          <w:szCs w:val="27"/>
        </w:rPr>
        <w:t>所引用的国家和军队的法规性文件应依次列出其名</w:t>
      </w:r>
      <w:r>
        <w:rPr>
          <w:rFonts w:ascii="宋体" w:hAnsi="宋体" w:eastAsia="宋体" w:cs="宋体"/>
          <w:spacing w:val="5"/>
          <w:sz w:val="27"/>
          <w:szCs w:val="27"/>
        </w:rPr>
        <w:t>称(加书名号)、发布日</w:t>
      </w:r>
      <w:r>
        <w:rPr>
          <w:rFonts w:ascii="宋体" w:hAnsi="宋体" w:eastAsia="宋体" w:cs="宋体"/>
          <w:sz w:val="27"/>
          <w:szCs w:val="27"/>
        </w:rPr>
        <w:t xml:space="preserve"> </w:t>
      </w:r>
      <w:r>
        <w:rPr>
          <w:rFonts w:ascii="宋体" w:hAnsi="宋体" w:eastAsia="宋体" w:cs="宋体"/>
          <w:spacing w:val="-6"/>
          <w:sz w:val="27"/>
          <w:szCs w:val="27"/>
        </w:rPr>
        <w:t>期、发布机关及发布文号，每项内容之间空一个字的间隙。</w:t>
      </w:r>
    </w:p>
    <w:p w14:paraId="1BEF50BD">
      <w:pPr>
        <w:spacing w:before="45" w:line="222" w:lineRule="auto"/>
        <w:rPr>
          <w:rFonts w:ascii="黑体" w:hAnsi="黑体" w:eastAsia="黑体" w:cs="黑体"/>
          <w:sz w:val="24"/>
          <w:szCs w:val="24"/>
        </w:rPr>
      </w:pPr>
      <w:r>
        <w:rPr>
          <w:rFonts w:ascii="黑体" w:hAnsi="黑体" w:eastAsia="黑体" w:cs="黑体"/>
          <w:spacing w:val="-6"/>
          <w:sz w:val="24"/>
          <w:szCs w:val="24"/>
        </w:rPr>
        <w:t>3</w:t>
      </w:r>
      <w:r>
        <w:rPr>
          <w:rFonts w:ascii="黑体" w:hAnsi="黑体" w:eastAsia="黑体" w:cs="黑体"/>
          <w:spacing w:val="54"/>
          <w:sz w:val="24"/>
          <w:szCs w:val="24"/>
        </w:rPr>
        <w:t xml:space="preserve">  </w:t>
      </w:r>
      <w:r>
        <w:rPr>
          <w:rFonts w:ascii="黑体" w:hAnsi="黑体" w:eastAsia="黑体" w:cs="黑体"/>
          <w:spacing w:val="-6"/>
          <w:sz w:val="24"/>
          <w:szCs w:val="24"/>
        </w:rPr>
        <w:t>要</w:t>
      </w:r>
      <w:r>
        <w:rPr>
          <w:rFonts w:ascii="黑体" w:hAnsi="黑体" w:eastAsia="黑体" w:cs="黑体"/>
          <w:spacing w:val="-37"/>
          <w:sz w:val="24"/>
          <w:szCs w:val="24"/>
        </w:rPr>
        <w:t xml:space="preserve"> </w:t>
      </w:r>
      <w:r>
        <w:rPr>
          <w:rFonts w:ascii="黑体" w:hAnsi="黑体" w:eastAsia="黑体" w:cs="黑体"/>
          <w:spacing w:val="-6"/>
          <w:sz w:val="24"/>
          <w:szCs w:val="24"/>
        </w:rPr>
        <w:t>求</w:t>
      </w:r>
    </w:p>
    <w:p w14:paraId="48EF8A49">
      <w:pPr>
        <w:spacing w:before="81" w:line="222" w:lineRule="auto"/>
        <w:rPr>
          <w:rFonts w:ascii="黑体" w:hAnsi="黑体" w:eastAsia="黑体" w:cs="黑体"/>
          <w:sz w:val="27"/>
          <w:szCs w:val="27"/>
        </w:rPr>
      </w:pPr>
      <w:r>
        <w:rPr>
          <w:rFonts w:ascii="黑体" w:hAnsi="黑体" w:eastAsia="黑体" w:cs="黑体"/>
          <w:spacing w:val="2"/>
          <w:sz w:val="27"/>
          <w:szCs w:val="27"/>
        </w:rPr>
        <w:t>3.1</w:t>
      </w:r>
      <w:r>
        <w:rPr>
          <w:rFonts w:ascii="黑体" w:hAnsi="黑体" w:eastAsia="黑体" w:cs="黑体"/>
          <w:spacing w:val="41"/>
          <w:sz w:val="27"/>
          <w:szCs w:val="27"/>
        </w:rPr>
        <w:t xml:space="preserve">  </w:t>
      </w:r>
      <w:r>
        <w:rPr>
          <w:rFonts w:ascii="黑体" w:hAnsi="黑体" w:eastAsia="黑体" w:cs="黑体"/>
          <w:spacing w:val="2"/>
          <w:sz w:val="27"/>
          <w:szCs w:val="27"/>
        </w:rPr>
        <w:t>作战能力/功能</w:t>
      </w:r>
    </w:p>
    <w:p w14:paraId="2132F930">
      <w:pPr>
        <w:spacing w:before="117" w:line="271" w:lineRule="auto"/>
        <w:ind w:right="12" w:firstLine="560"/>
        <w:jc w:val="both"/>
        <w:rPr>
          <w:rFonts w:ascii="宋体" w:hAnsi="宋体" w:eastAsia="宋体" w:cs="宋体"/>
          <w:sz w:val="27"/>
          <w:szCs w:val="27"/>
        </w:rPr>
      </w:pPr>
      <w:r>
        <w:rPr>
          <w:rFonts w:ascii="宋体" w:hAnsi="宋体" w:eastAsia="宋体" w:cs="宋体"/>
          <w:spacing w:val="5"/>
          <w:sz w:val="27"/>
          <w:szCs w:val="27"/>
        </w:rPr>
        <w:t>作战能力是系统在一定条件下完成作战使命任务能力的综合反映和(或)度</w:t>
      </w:r>
      <w:r>
        <w:rPr>
          <w:rFonts w:ascii="宋体" w:hAnsi="宋体" w:eastAsia="宋体" w:cs="宋体"/>
          <w:spacing w:val="9"/>
          <w:sz w:val="27"/>
          <w:szCs w:val="27"/>
        </w:rPr>
        <w:t xml:space="preserve"> </w:t>
      </w:r>
      <w:r>
        <w:rPr>
          <w:rFonts w:ascii="宋体" w:hAnsi="宋体" w:eastAsia="宋体" w:cs="宋体"/>
          <w:spacing w:val="-2"/>
          <w:sz w:val="27"/>
          <w:szCs w:val="27"/>
        </w:rPr>
        <w:t>量，不涉及作战背景、作战应用、人员素质和心理状态等可变因素。作战能力的</w:t>
      </w:r>
      <w:r>
        <w:rPr>
          <w:rFonts w:ascii="宋体" w:hAnsi="宋体" w:eastAsia="宋体" w:cs="宋体"/>
          <w:sz w:val="27"/>
          <w:szCs w:val="27"/>
        </w:rPr>
        <w:t xml:space="preserve"> </w:t>
      </w:r>
      <w:r>
        <w:rPr>
          <w:rFonts w:ascii="宋体" w:hAnsi="宋体" w:eastAsia="宋体" w:cs="宋体"/>
          <w:spacing w:val="1"/>
          <w:sz w:val="27"/>
          <w:szCs w:val="27"/>
        </w:rPr>
        <w:t>通用要素主要为：</w:t>
      </w:r>
    </w:p>
    <w:p w14:paraId="0229AB84">
      <w:pPr>
        <w:spacing w:line="294" w:lineRule="auto"/>
        <w:ind w:right="20" w:firstLine="56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65"/>
          <w:sz w:val="27"/>
          <w:szCs w:val="27"/>
        </w:rPr>
        <w:t xml:space="preserve"> </w:t>
      </w:r>
      <w:r>
        <w:rPr>
          <w:rFonts w:ascii="宋体" w:hAnsi="宋体" w:eastAsia="宋体" w:cs="宋体"/>
          <w:spacing w:val="3"/>
          <w:sz w:val="27"/>
          <w:szCs w:val="27"/>
        </w:rPr>
        <w:t>打击和拦截能力，包括攻击范围和拦截区域、电子干扰能力、武器通道</w:t>
      </w:r>
      <w:r>
        <w:rPr>
          <w:rFonts w:ascii="宋体" w:hAnsi="宋体" w:eastAsia="宋体" w:cs="宋体"/>
          <w:sz w:val="27"/>
          <w:szCs w:val="27"/>
        </w:rPr>
        <w:t xml:space="preserve"> </w:t>
      </w:r>
      <w:r>
        <w:rPr>
          <w:rFonts w:ascii="宋体" w:hAnsi="宋体" w:eastAsia="宋体" w:cs="宋体"/>
          <w:spacing w:val="-12"/>
          <w:sz w:val="27"/>
          <w:szCs w:val="27"/>
        </w:rPr>
        <w:t>数、反应时间、作战持续力(含载弹量)、单发命中概率等；</w:t>
      </w:r>
    </w:p>
    <w:p w14:paraId="37F1EE20">
      <w:pPr>
        <w:spacing w:line="294" w:lineRule="auto"/>
        <w:rPr>
          <w:rFonts w:ascii="宋体" w:hAnsi="宋体" w:eastAsia="宋体" w:cs="宋体"/>
          <w:sz w:val="27"/>
          <w:szCs w:val="27"/>
        </w:rPr>
        <w:sectPr>
          <w:footerReference r:id="rId98" w:type="default"/>
          <w:pgSz w:w="11910" w:h="17130"/>
          <w:pgMar w:top="400" w:right="1376" w:bottom="1593" w:left="1140" w:header="0" w:footer="1395" w:gutter="0"/>
          <w:cols w:space="720" w:num="1"/>
        </w:sectPr>
      </w:pPr>
    </w:p>
    <w:p w14:paraId="201667A2">
      <w:pPr>
        <w:pStyle w:val="2"/>
        <w:spacing w:line="246" w:lineRule="auto"/>
      </w:pPr>
    </w:p>
    <w:p w14:paraId="2422E0A1">
      <w:pPr>
        <w:pStyle w:val="2"/>
        <w:spacing w:line="246" w:lineRule="auto"/>
      </w:pPr>
    </w:p>
    <w:p w14:paraId="4D040760">
      <w:pPr>
        <w:pStyle w:val="2"/>
        <w:spacing w:line="247" w:lineRule="auto"/>
      </w:pPr>
    </w:p>
    <w:p w14:paraId="67AF65C9">
      <w:pPr>
        <w:pStyle w:val="2"/>
        <w:spacing w:line="247" w:lineRule="auto"/>
      </w:pPr>
    </w:p>
    <w:p w14:paraId="2C79690C">
      <w:pPr>
        <w:spacing w:before="88" w:line="267" w:lineRule="auto"/>
        <w:ind w:left="10" w:right="141" w:firstLine="560"/>
        <w:rPr>
          <w:rFonts w:ascii="宋体" w:hAnsi="宋体" w:eastAsia="宋体" w:cs="宋体"/>
          <w:sz w:val="27"/>
          <w:szCs w:val="27"/>
        </w:rPr>
      </w:pPr>
      <w:r>
        <w:rPr>
          <w:rFonts w:ascii="Times New Roman" w:hAnsi="Times New Roman" w:eastAsia="Times New Roman" w:cs="Times New Roman"/>
          <w:spacing w:val="-13"/>
          <w:sz w:val="27"/>
          <w:szCs w:val="27"/>
        </w:rPr>
        <w:t>b)</w:t>
      </w:r>
      <w:r>
        <w:rPr>
          <w:rFonts w:ascii="Times New Roman" w:hAnsi="Times New Roman" w:eastAsia="Times New Roman" w:cs="Times New Roman"/>
          <w:spacing w:val="57"/>
          <w:sz w:val="27"/>
          <w:szCs w:val="27"/>
        </w:rPr>
        <w:t xml:space="preserve"> </w:t>
      </w:r>
      <w:r>
        <w:rPr>
          <w:rFonts w:ascii="宋体" w:hAnsi="宋体" w:eastAsia="宋体" w:cs="宋体"/>
          <w:spacing w:val="-13"/>
          <w:sz w:val="27"/>
          <w:szCs w:val="27"/>
        </w:rPr>
        <w:t>作战保障能力，包括警戒、情报、指挥、控制、通信、导航、抗电子</w:t>
      </w:r>
      <w:r>
        <w:rPr>
          <w:rFonts w:ascii="宋体" w:hAnsi="宋体" w:eastAsia="宋体" w:cs="宋体"/>
          <w:spacing w:val="-14"/>
          <w:sz w:val="27"/>
          <w:szCs w:val="27"/>
        </w:rPr>
        <w:t>干扰能</w:t>
      </w:r>
      <w:r>
        <w:rPr>
          <w:rFonts w:ascii="宋体" w:hAnsi="宋体" w:eastAsia="宋体" w:cs="宋体"/>
          <w:sz w:val="27"/>
          <w:szCs w:val="27"/>
        </w:rPr>
        <w:t xml:space="preserve"> </w:t>
      </w:r>
      <w:r>
        <w:rPr>
          <w:rFonts w:ascii="宋体" w:hAnsi="宋体" w:eastAsia="宋体" w:cs="宋体"/>
          <w:spacing w:val="-5"/>
          <w:sz w:val="27"/>
          <w:szCs w:val="27"/>
        </w:rPr>
        <w:t>力、对核生化武器的防护能力等；</w:t>
      </w:r>
    </w:p>
    <w:p w14:paraId="16B04250">
      <w:pPr>
        <w:spacing w:before="59" w:line="212" w:lineRule="auto"/>
        <w:ind w:left="570"/>
        <w:rPr>
          <w:rFonts w:ascii="宋体" w:hAnsi="宋体" w:eastAsia="宋体" w:cs="宋体"/>
          <w:sz w:val="27"/>
          <w:szCs w:val="27"/>
        </w:rPr>
      </w:pPr>
      <w:r>
        <w:rPr>
          <w:rFonts w:ascii="Times New Roman" w:hAnsi="Times New Roman" w:eastAsia="Times New Roman" w:cs="Times New Roman"/>
          <w:spacing w:val="-19"/>
          <w:sz w:val="27"/>
          <w:szCs w:val="27"/>
        </w:rPr>
        <w:t xml:space="preserve">c)  </w:t>
      </w:r>
      <w:r>
        <w:rPr>
          <w:rFonts w:ascii="宋体" w:hAnsi="宋体" w:eastAsia="宋体" w:cs="宋体"/>
          <w:spacing w:val="-19"/>
          <w:sz w:val="27"/>
          <w:szCs w:val="27"/>
        </w:rPr>
        <w:t>特种保障能力，包括运输、补给、救生、侦察、测量、登陆与</w:t>
      </w:r>
      <w:r>
        <w:rPr>
          <w:rFonts w:ascii="宋体" w:hAnsi="宋体" w:eastAsia="宋体" w:cs="宋体"/>
          <w:spacing w:val="-20"/>
          <w:sz w:val="27"/>
          <w:szCs w:val="27"/>
        </w:rPr>
        <w:t>训练等；</w:t>
      </w:r>
    </w:p>
    <w:p w14:paraId="04D7D9D5">
      <w:pPr>
        <w:spacing w:before="109"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一体化联合作战能力，包括作战区域、作战方式与作战协同等。</w:t>
      </w:r>
    </w:p>
    <w:p w14:paraId="78B4E3A4">
      <w:pPr>
        <w:spacing w:before="109" w:line="275" w:lineRule="auto"/>
        <w:ind w:left="10" w:right="121" w:firstLine="560"/>
        <w:jc w:val="both"/>
        <w:rPr>
          <w:rFonts w:ascii="宋体" w:hAnsi="宋体" w:eastAsia="宋体" w:cs="宋体"/>
          <w:sz w:val="27"/>
          <w:szCs w:val="27"/>
        </w:rPr>
      </w:pPr>
      <w:r>
        <w:rPr>
          <w:rFonts w:ascii="宋体" w:hAnsi="宋体" w:eastAsia="宋体" w:cs="宋体"/>
          <w:spacing w:val="5"/>
          <w:sz w:val="27"/>
          <w:szCs w:val="27"/>
        </w:rPr>
        <w:t>功能是分系统(或设备)在一定条件下能够完成系统(或分系统)内与作战使</w:t>
      </w:r>
      <w:r>
        <w:rPr>
          <w:rFonts w:ascii="宋体" w:hAnsi="宋体" w:eastAsia="宋体" w:cs="宋体"/>
          <w:spacing w:val="12"/>
          <w:sz w:val="27"/>
          <w:szCs w:val="27"/>
        </w:rPr>
        <w:t xml:space="preserve"> </w:t>
      </w:r>
      <w:r>
        <w:rPr>
          <w:rFonts w:ascii="宋体" w:hAnsi="宋体" w:eastAsia="宋体" w:cs="宋体"/>
          <w:spacing w:val="9"/>
          <w:sz w:val="27"/>
          <w:szCs w:val="27"/>
        </w:rPr>
        <w:t>用相关的某项或数项任务能力的反映和(或)度量，其组成要素由分系统(或设</w:t>
      </w:r>
      <w:r>
        <w:rPr>
          <w:rFonts w:ascii="宋体" w:hAnsi="宋体" w:eastAsia="宋体" w:cs="宋体"/>
          <w:spacing w:val="1"/>
          <w:sz w:val="27"/>
          <w:szCs w:val="27"/>
        </w:rPr>
        <w:t xml:space="preserve"> </w:t>
      </w:r>
      <w:r>
        <w:rPr>
          <w:rFonts w:ascii="宋体" w:hAnsi="宋体" w:eastAsia="宋体" w:cs="宋体"/>
          <w:spacing w:val="3"/>
          <w:sz w:val="27"/>
          <w:szCs w:val="27"/>
        </w:rPr>
        <w:t>备)与系统(或分系统)作战使用的相关性确定。</w:t>
      </w:r>
    </w:p>
    <w:p w14:paraId="2D977801">
      <w:pPr>
        <w:spacing w:before="22" w:line="274" w:lineRule="auto"/>
        <w:ind w:left="10" w:right="141" w:firstLine="560"/>
        <w:jc w:val="both"/>
        <w:rPr>
          <w:rFonts w:ascii="宋体" w:hAnsi="宋体" w:eastAsia="宋体" w:cs="宋体"/>
          <w:sz w:val="27"/>
          <w:szCs w:val="27"/>
        </w:rPr>
      </w:pPr>
      <w:r>
        <w:rPr>
          <w:rFonts w:ascii="宋体" w:hAnsi="宋体" w:eastAsia="宋体" w:cs="宋体"/>
          <w:spacing w:val="-3"/>
          <w:sz w:val="27"/>
          <w:szCs w:val="27"/>
        </w:rPr>
        <w:t>本条规定：1)作战使命任务。根据作战需求，规定实体预期完</w:t>
      </w:r>
      <w:r>
        <w:rPr>
          <w:rFonts w:ascii="宋体" w:hAnsi="宋体" w:eastAsia="宋体" w:cs="宋体"/>
          <w:spacing w:val="-4"/>
          <w:sz w:val="27"/>
          <w:szCs w:val="27"/>
        </w:rPr>
        <w:t>成的任务、行</w:t>
      </w:r>
      <w:r>
        <w:rPr>
          <w:rFonts w:ascii="宋体" w:hAnsi="宋体" w:eastAsia="宋体" w:cs="宋体"/>
          <w:sz w:val="27"/>
          <w:szCs w:val="27"/>
        </w:rPr>
        <w:t xml:space="preserve"> </w:t>
      </w:r>
      <w:r>
        <w:rPr>
          <w:rFonts w:ascii="宋体" w:hAnsi="宋体" w:eastAsia="宋体" w:cs="宋体"/>
          <w:spacing w:val="5"/>
          <w:sz w:val="27"/>
          <w:szCs w:val="27"/>
        </w:rPr>
        <w:t>动或活动。2)作战使用方式。根据作战使命任务，规定实体作战使用的指挥关</w:t>
      </w:r>
      <w:r>
        <w:rPr>
          <w:rFonts w:ascii="宋体" w:hAnsi="宋体" w:eastAsia="宋体" w:cs="宋体"/>
          <w:spacing w:val="6"/>
          <w:sz w:val="27"/>
          <w:szCs w:val="27"/>
        </w:rPr>
        <w:t xml:space="preserve"> </w:t>
      </w:r>
      <w:r>
        <w:rPr>
          <w:rFonts w:ascii="仿宋" w:hAnsi="仿宋" w:eastAsia="仿宋" w:cs="仿宋"/>
          <w:spacing w:val="-3"/>
          <w:sz w:val="27"/>
          <w:szCs w:val="27"/>
        </w:rPr>
        <w:t>系、</w:t>
      </w:r>
      <w:r>
        <w:rPr>
          <w:rFonts w:ascii="宋体" w:hAnsi="宋体" w:eastAsia="宋体" w:cs="宋体"/>
          <w:spacing w:val="-3"/>
          <w:sz w:val="27"/>
          <w:szCs w:val="27"/>
        </w:rPr>
        <w:t>协同方式、人员编成及各种状态与方式等。需要实体以一个以</w:t>
      </w:r>
      <w:r>
        <w:rPr>
          <w:rFonts w:ascii="宋体" w:hAnsi="宋体" w:eastAsia="宋体" w:cs="宋体"/>
          <w:spacing w:val="-4"/>
          <w:sz w:val="27"/>
          <w:szCs w:val="27"/>
        </w:rPr>
        <w:t>上的状态或方</w:t>
      </w:r>
      <w:r>
        <w:rPr>
          <w:rFonts w:ascii="宋体" w:hAnsi="宋体" w:eastAsia="宋体" w:cs="宋体"/>
          <w:sz w:val="27"/>
          <w:szCs w:val="27"/>
        </w:rPr>
        <w:t xml:space="preserve"> </w:t>
      </w:r>
      <w:r>
        <w:rPr>
          <w:rFonts w:ascii="宋体" w:hAnsi="宋体" w:eastAsia="宋体" w:cs="宋体"/>
          <w:spacing w:val="-17"/>
          <w:sz w:val="27"/>
          <w:szCs w:val="27"/>
        </w:rPr>
        <w:t>式运行时，还宜明确相应状态与方式，诸如空载、准备、战斗(工作)、训练、紧急备</w:t>
      </w:r>
      <w:r>
        <w:rPr>
          <w:rFonts w:ascii="宋体" w:hAnsi="宋体" w:eastAsia="宋体" w:cs="宋体"/>
          <w:spacing w:val="16"/>
          <w:sz w:val="27"/>
          <w:szCs w:val="27"/>
        </w:rPr>
        <w:t xml:space="preserve"> </w:t>
      </w:r>
      <w:r>
        <w:rPr>
          <w:rFonts w:ascii="宋体" w:hAnsi="宋体" w:eastAsia="宋体" w:cs="宋体"/>
          <w:sz w:val="27"/>
          <w:szCs w:val="27"/>
        </w:rPr>
        <w:t>用、平时与战时等。宜采用表格描述状态与方式同各项要求间的关系。</w:t>
      </w:r>
    </w:p>
    <w:p w14:paraId="43823886">
      <w:pPr>
        <w:spacing w:before="14" w:line="220" w:lineRule="auto"/>
        <w:ind w:left="570"/>
        <w:rPr>
          <w:rFonts w:ascii="楷体" w:hAnsi="楷体" w:eastAsia="楷体" w:cs="楷体"/>
          <w:sz w:val="27"/>
          <w:szCs w:val="27"/>
        </w:rPr>
      </w:pPr>
      <w:r>
        <w:rPr>
          <w:rFonts w:ascii="楷体" w:hAnsi="楷体" w:eastAsia="楷体" w:cs="楷体"/>
          <w:spacing w:val="-15"/>
          <w:sz w:val="27"/>
          <w:szCs w:val="27"/>
        </w:rPr>
        <w:t>注：产品规范中</w:t>
      </w:r>
      <w:r>
        <w:rPr>
          <w:rFonts w:ascii="楷体" w:hAnsi="楷体" w:eastAsia="楷体" w:cs="楷体"/>
          <w:b/>
          <w:bCs/>
          <w:spacing w:val="-15"/>
          <w:sz w:val="27"/>
          <w:szCs w:val="27"/>
        </w:rPr>
        <w:t>，本条为不需包含的要素。</w:t>
      </w:r>
    </w:p>
    <w:p w14:paraId="1D3AA3E8">
      <w:pPr>
        <w:spacing w:before="90" w:line="221" w:lineRule="auto"/>
        <w:ind w:left="10"/>
        <w:rPr>
          <w:rFonts w:ascii="宋体" w:hAnsi="宋体" w:eastAsia="宋体" w:cs="宋体"/>
          <w:sz w:val="27"/>
          <w:szCs w:val="27"/>
        </w:rPr>
      </w:pPr>
      <w:r>
        <w:rPr>
          <w:rFonts w:ascii="Times New Roman" w:hAnsi="Times New Roman" w:eastAsia="Times New Roman" w:cs="Times New Roman"/>
          <w:b/>
          <w:bCs/>
          <w:spacing w:val="-4"/>
          <w:sz w:val="27"/>
          <w:szCs w:val="27"/>
        </w:rPr>
        <w:t>3.2</w:t>
      </w:r>
      <w:r>
        <w:rPr>
          <w:rFonts w:ascii="Times New Roman" w:hAnsi="Times New Roman" w:eastAsia="Times New Roman" w:cs="Times New Roman"/>
          <w:b/>
          <w:bCs/>
          <w:spacing w:val="11"/>
          <w:sz w:val="27"/>
          <w:szCs w:val="27"/>
        </w:rPr>
        <w:t xml:space="preserve">     </w:t>
      </w:r>
      <w:r>
        <w:rPr>
          <w:rFonts w:ascii="宋体" w:hAnsi="宋体" w:eastAsia="宋体" w:cs="宋体"/>
          <w:b/>
          <w:bCs/>
          <w:spacing w:val="-4"/>
          <w:sz w:val="27"/>
          <w:szCs w:val="27"/>
        </w:rPr>
        <w:t>性能</w:t>
      </w:r>
    </w:p>
    <w:p w14:paraId="5E7D6544">
      <w:pPr>
        <w:spacing w:before="107" w:line="279" w:lineRule="auto"/>
        <w:ind w:left="10" w:right="140" w:firstLine="560"/>
        <w:jc w:val="both"/>
        <w:rPr>
          <w:rFonts w:ascii="宋体" w:hAnsi="宋体" w:eastAsia="宋体" w:cs="宋体"/>
          <w:sz w:val="27"/>
          <w:szCs w:val="27"/>
        </w:rPr>
      </w:pPr>
      <w:r>
        <w:rPr>
          <w:rFonts w:ascii="宋体" w:hAnsi="宋体" w:eastAsia="宋体" w:cs="宋体"/>
          <w:spacing w:val="5"/>
          <w:sz w:val="27"/>
          <w:szCs w:val="27"/>
        </w:rPr>
        <w:t>本条规定有关表征实体能力的指标要求，包括相应的参数值及其使用条件</w:t>
      </w:r>
      <w:r>
        <w:rPr>
          <w:rFonts w:ascii="宋体" w:hAnsi="宋体" w:eastAsia="宋体" w:cs="宋体"/>
          <w:sz w:val="27"/>
          <w:szCs w:val="27"/>
        </w:rPr>
        <w:t xml:space="preserve"> </w:t>
      </w:r>
      <w:r>
        <w:rPr>
          <w:rFonts w:ascii="宋体" w:hAnsi="宋体" w:eastAsia="宋体" w:cs="宋体"/>
          <w:spacing w:val="-3"/>
          <w:sz w:val="27"/>
          <w:szCs w:val="27"/>
        </w:rPr>
        <w:t>下的允许偏差，以表征实体应具备的能力。例如飞机的作战半径，雷达的射频工</w:t>
      </w:r>
      <w:r>
        <w:rPr>
          <w:rFonts w:ascii="宋体" w:hAnsi="宋体" w:eastAsia="宋体" w:cs="宋体"/>
          <w:spacing w:val="18"/>
          <w:sz w:val="27"/>
          <w:szCs w:val="27"/>
        </w:rPr>
        <w:t xml:space="preserve"> </w:t>
      </w:r>
      <w:r>
        <w:rPr>
          <w:rFonts w:ascii="宋体" w:hAnsi="宋体" w:eastAsia="宋体" w:cs="宋体"/>
          <w:spacing w:val="-10"/>
          <w:sz w:val="27"/>
          <w:szCs w:val="27"/>
        </w:rPr>
        <w:t>作频率，通信装备的地域覆盖能力，导弹的射程、命中精度和突防能力，舰船的稳</w:t>
      </w:r>
      <w:r>
        <w:rPr>
          <w:rFonts w:ascii="宋体" w:hAnsi="宋体" w:eastAsia="宋体" w:cs="宋体"/>
          <w:spacing w:val="3"/>
          <w:sz w:val="27"/>
          <w:szCs w:val="27"/>
        </w:rPr>
        <w:t xml:space="preserve"> </w:t>
      </w:r>
      <w:r>
        <w:rPr>
          <w:rFonts w:ascii="宋体" w:hAnsi="宋体" w:eastAsia="宋体" w:cs="宋体"/>
          <w:spacing w:val="-9"/>
          <w:sz w:val="27"/>
          <w:szCs w:val="27"/>
        </w:rPr>
        <w:t>性、航速和续航能力，火炮的口径与射程，坦克的装甲防护能力等。</w:t>
      </w:r>
    </w:p>
    <w:p w14:paraId="11978305">
      <w:pPr>
        <w:spacing w:before="3" w:line="271" w:lineRule="auto"/>
        <w:ind w:left="10" w:firstLine="560"/>
        <w:rPr>
          <w:rFonts w:ascii="宋体" w:hAnsi="宋体" w:eastAsia="宋体" w:cs="宋体"/>
          <w:sz w:val="27"/>
          <w:szCs w:val="27"/>
        </w:rPr>
      </w:pPr>
      <w:r>
        <w:rPr>
          <w:rFonts w:ascii="宋体" w:hAnsi="宋体" w:eastAsia="宋体" w:cs="宋体"/>
          <w:spacing w:val="1"/>
          <w:sz w:val="27"/>
          <w:szCs w:val="27"/>
        </w:rPr>
        <w:t>适用时，还要规定实体在意外条件下所需具备的运行特征、防误操作措施，</w:t>
      </w:r>
      <w:r>
        <w:rPr>
          <w:rFonts w:ascii="宋体" w:hAnsi="宋体" w:eastAsia="宋体" w:cs="宋体"/>
          <w:sz w:val="27"/>
          <w:szCs w:val="27"/>
        </w:rPr>
        <w:t xml:space="preserve"> </w:t>
      </w:r>
      <w:r>
        <w:rPr>
          <w:rFonts w:ascii="宋体" w:hAnsi="宋体" w:eastAsia="宋体" w:cs="宋体"/>
          <w:spacing w:val="4"/>
          <w:sz w:val="27"/>
          <w:szCs w:val="27"/>
        </w:rPr>
        <w:t>以及在紧急情况下保证连续运行所需要的各种预防措施。</w:t>
      </w:r>
    </w:p>
    <w:p w14:paraId="020F62E3">
      <w:pPr>
        <w:spacing w:line="221" w:lineRule="auto"/>
        <w:ind w:left="10"/>
        <w:rPr>
          <w:rFonts w:ascii="黑体" w:hAnsi="黑体" w:eastAsia="黑体" w:cs="黑体"/>
          <w:sz w:val="27"/>
          <w:szCs w:val="27"/>
        </w:rPr>
      </w:pPr>
      <w:r>
        <w:rPr>
          <w:rFonts w:ascii="黑体" w:hAnsi="黑体" w:eastAsia="黑体" w:cs="黑体"/>
          <w:sz w:val="27"/>
          <w:szCs w:val="27"/>
        </w:rPr>
        <w:t>3.3</w:t>
      </w:r>
      <w:r>
        <w:rPr>
          <w:rFonts w:ascii="黑体" w:hAnsi="黑体" w:eastAsia="黑体" w:cs="黑体"/>
          <w:spacing w:val="20"/>
          <w:sz w:val="27"/>
          <w:szCs w:val="27"/>
        </w:rPr>
        <w:t xml:space="preserve">  </w:t>
      </w:r>
      <w:r>
        <w:rPr>
          <w:rFonts w:ascii="黑体" w:hAnsi="黑体" w:eastAsia="黑体" w:cs="黑体"/>
          <w:b/>
          <w:bCs/>
          <w:sz w:val="27"/>
          <w:szCs w:val="27"/>
        </w:rPr>
        <w:t>作战适用性</w:t>
      </w:r>
    </w:p>
    <w:p w14:paraId="52931863">
      <w:pPr>
        <w:spacing w:before="100" w:line="276" w:lineRule="auto"/>
        <w:ind w:left="10" w:right="132" w:firstLine="560"/>
        <w:jc w:val="both"/>
        <w:rPr>
          <w:rFonts w:ascii="宋体" w:hAnsi="宋体" w:eastAsia="宋体" w:cs="宋体"/>
          <w:sz w:val="27"/>
          <w:szCs w:val="27"/>
        </w:rPr>
      </w:pPr>
      <w:r>
        <w:rPr>
          <w:rFonts w:ascii="宋体" w:hAnsi="宋体" w:eastAsia="宋体" w:cs="宋体"/>
          <w:spacing w:val="-3"/>
          <w:sz w:val="27"/>
          <w:szCs w:val="27"/>
        </w:rPr>
        <w:t>本条规定实体投入战场使用的满意程度。它与可靠性、维修性、保障性、测</w:t>
      </w:r>
      <w:r>
        <w:rPr>
          <w:rFonts w:ascii="宋体" w:hAnsi="宋体" w:eastAsia="宋体" w:cs="宋体"/>
          <w:sz w:val="27"/>
          <w:szCs w:val="27"/>
        </w:rPr>
        <w:t xml:space="preserve"> </w:t>
      </w:r>
      <w:r>
        <w:rPr>
          <w:rFonts w:ascii="宋体" w:hAnsi="宋体" w:eastAsia="宋体" w:cs="宋体"/>
          <w:spacing w:val="-10"/>
          <w:sz w:val="27"/>
          <w:szCs w:val="27"/>
        </w:rPr>
        <w:t>试性、耐久性、安全性、兼容性、环境适应性及综合保障等因素有关，可从下列三</w:t>
      </w:r>
      <w:r>
        <w:rPr>
          <w:rFonts w:ascii="宋体" w:hAnsi="宋体" w:eastAsia="宋体" w:cs="宋体"/>
          <w:sz w:val="27"/>
          <w:szCs w:val="27"/>
        </w:rPr>
        <w:t xml:space="preserve"> </w:t>
      </w:r>
      <w:r>
        <w:rPr>
          <w:rFonts w:ascii="宋体" w:hAnsi="宋体" w:eastAsia="宋体" w:cs="宋体"/>
          <w:spacing w:val="3"/>
          <w:sz w:val="27"/>
          <w:szCs w:val="27"/>
        </w:rPr>
        <w:t>大类参数中选择适用的参数。</w:t>
      </w:r>
    </w:p>
    <w:p w14:paraId="3D479E4A">
      <w:pPr>
        <w:spacing w:before="4" w:line="274" w:lineRule="auto"/>
        <w:ind w:right="117" w:firstLine="57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战备完好性，规定实体在平时和战时使用条件下，能随时开始执行预定</w:t>
      </w:r>
      <w:r>
        <w:rPr>
          <w:rFonts w:ascii="宋体" w:hAnsi="宋体" w:eastAsia="宋体" w:cs="宋体"/>
          <w:spacing w:val="6"/>
          <w:sz w:val="27"/>
          <w:szCs w:val="27"/>
        </w:rPr>
        <w:t xml:space="preserve"> </w:t>
      </w:r>
      <w:r>
        <w:rPr>
          <w:rFonts w:ascii="宋体" w:hAnsi="宋体" w:eastAsia="宋体" w:cs="宋体"/>
          <w:spacing w:val="-2"/>
          <w:sz w:val="27"/>
          <w:szCs w:val="27"/>
        </w:rPr>
        <w:t>任务的能力。这类参数通常有：1)可用度，规定实体在任一时刻需</w:t>
      </w:r>
      <w:r>
        <w:rPr>
          <w:rFonts w:ascii="宋体" w:hAnsi="宋体" w:eastAsia="宋体" w:cs="宋体"/>
          <w:spacing w:val="-3"/>
          <w:sz w:val="27"/>
          <w:szCs w:val="27"/>
        </w:rPr>
        <w:t>要和开始执行</w:t>
      </w:r>
      <w:r>
        <w:rPr>
          <w:rFonts w:ascii="宋体" w:hAnsi="宋体" w:eastAsia="宋体" w:cs="宋体"/>
          <w:sz w:val="27"/>
          <w:szCs w:val="27"/>
        </w:rPr>
        <w:t xml:space="preserve"> </w:t>
      </w:r>
      <w:r>
        <w:rPr>
          <w:rFonts w:ascii="宋体" w:hAnsi="宋体" w:eastAsia="宋体" w:cs="宋体"/>
          <w:spacing w:val="10"/>
          <w:sz w:val="27"/>
          <w:szCs w:val="27"/>
        </w:rPr>
        <w:t>任务时，处于可工作或可使用状态的程度，例如固有可用度</w:t>
      </w:r>
      <w:r>
        <w:rPr>
          <w:rFonts w:ascii="Times New Roman" w:hAnsi="Times New Roman" w:eastAsia="Times New Roman" w:cs="Times New Roman"/>
          <w:spacing w:val="9"/>
          <w:sz w:val="27"/>
          <w:szCs w:val="27"/>
        </w:rPr>
        <w:t>A;</w:t>
      </w:r>
      <w:r>
        <w:rPr>
          <w:rFonts w:ascii="Times New Roman" w:hAnsi="Times New Roman" w:eastAsia="Times New Roman" w:cs="Times New Roman"/>
          <w:spacing w:val="65"/>
          <w:sz w:val="27"/>
          <w:szCs w:val="27"/>
        </w:rPr>
        <w:t xml:space="preserve"> </w:t>
      </w:r>
      <w:r>
        <w:rPr>
          <w:rFonts w:ascii="宋体" w:hAnsi="宋体" w:eastAsia="宋体" w:cs="宋体"/>
          <w:spacing w:val="9"/>
          <w:sz w:val="27"/>
          <w:szCs w:val="27"/>
        </w:rPr>
        <w:t>与使用可用度</w:t>
      </w:r>
      <w:r>
        <w:rPr>
          <w:rFonts w:ascii="宋体" w:hAnsi="宋体" w:eastAsia="宋体" w:cs="宋体"/>
          <w:sz w:val="27"/>
          <w:szCs w:val="27"/>
        </w:rPr>
        <w:t xml:space="preserve"> </w:t>
      </w:r>
      <w:r>
        <w:rPr>
          <w:rFonts w:ascii="Times New Roman" w:hAnsi="Times New Roman" w:eastAsia="Times New Roman" w:cs="Times New Roman"/>
          <w:spacing w:val="6"/>
          <w:sz w:val="27"/>
          <w:szCs w:val="27"/>
        </w:rPr>
        <w:t>A</w:t>
      </w:r>
      <w:r>
        <w:rPr>
          <w:rFonts w:ascii="Times New Roman" w:hAnsi="Times New Roman" w:eastAsia="Times New Roman" w:cs="Times New Roman"/>
          <w:spacing w:val="-27"/>
          <w:sz w:val="27"/>
          <w:szCs w:val="27"/>
        </w:rPr>
        <w:t xml:space="preserve"> </w:t>
      </w:r>
      <w:r>
        <w:rPr>
          <w:rFonts w:ascii="宋体" w:hAnsi="宋体" w:eastAsia="宋体" w:cs="宋体"/>
          <w:spacing w:val="6"/>
          <w:sz w:val="27"/>
          <w:szCs w:val="27"/>
        </w:rPr>
        <w:t>。</w:t>
      </w:r>
      <w:r>
        <w:rPr>
          <w:rFonts w:ascii="Times New Roman" w:hAnsi="Times New Roman" w:eastAsia="Times New Roman" w:cs="Times New Roman"/>
          <w:spacing w:val="6"/>
          <w:sz w:val="27"/>
          <w:szCs w:val="27"/>
        </w:rPr>
        <w:t>;2)</w:t>
      </w:r>
      <w:r>
        <w:rPr>
          <w:rFonts w:ascii="宋体" w:hAnsi="宋体" w:eastAsia="宋体" w:cs="宋体"/>
          <w:spacing w:val="6"/>
          <w:sz w:val="27"/>
          <w:szCs w:val="27"/>
        </w:rPr>
        <w:t>装备完好率，规定实体能够遂行作战或训练任务的完好装备数与实有装</w:t>
      </w:r>
      <w:r>
        <w:rPr>
          <w:rFonts w:ascii="宋体" w:hAnsi="宋体" w:eastAsia="宋体" w:cs="宋体"/>
          <w:sz w:val="27"/>
          <w:szCs w:val="27"/>
        </w:rPr>
        <w:t xml:space="preserve"> </w:t>
      </w:r>
      <w:r>
        <w:rPr>
          <w:rFonts w:ascii="宋体" w:hAnsi="宋体" w:eastAsia="宋体" w:cs="宋体"/>
          <w:spacing w:val="-9"/>
          <w:sz w:val="27"/>
          <w:szCs w:val="27"/>
        </w:rPr>
        <w:t>备数之比，例如资源准备完好率、技术准备完好率、待机准备完</w:t>
      </w:r>
      <w:r>
        <w:rPr>
          <w:rFonts w:ascii="宋体" w:hAnsi="宋体" w:eastAsia="宋体" w:cs="宋体"/>
          <w:spacing w:val="-10"/>
          <w:sz w:val="27"/>
          <w:szCs w:val="27"/>
        </w:rPr>
        <w:t>好率等；3)装备利</w:t>
      </w:r>
      <w:r>
        <w:rPr>
          <w:rFonts w:ascii="宋体" w:hAnsi="宋体" w:eastAsia="宋体" w:cs="宋体"/>
          <w:sz w:val="27"/>
          <w:szCs w:val="27"/>
        </w:rPr>
        <w:t xml:space="preserve"> </w:t>
      </w:r>
      <w:r>
        <w:rPr>
          <w:rFonts w:ascii="宋体" w:hAnsi="宋体" w:eastAsia="宋体" w:cs="宋体"/>
          <w:spacing w:val="6"/>
          <w:sz w:val="27"/>
          <w:szCs w:val="27"/>
        </w:rPr>
        <w:t>用率，规定实体在规定的日历期间内所使用的</w:t>
      </w:r>
      <w:r>
        <w:rPr>
          <w:rFonts w:ascii="宋体" w:hAnsi="宋体" w:eastAsia="宋体" w:cs="宋体"/>
          <w:spacing w:val="5"/>
          <w:sz w:val="27"/>
          <w:szCs w:val="27"/>
        </w:rPr>
        <w:t>平均寿命单位数或执行的平均任</w:t>
      </w:r>
      <w:r>
        <w:rPr>
          <w:rFonts w:ascii="宋体" w:hAnsi="宋体" w:eastAsia="宋体" w:cs="宋体"/>
          <w:sz w:val="27"/>
          <w:szCs w:val="27"/>
        </w:rPr>
        <w:t xml:space="preserve"> </w:t>
      </w:r>
      <w:r>
        <w:rPr>
          <w:rFonts w:ascii="宋体" w:hAnsi="宋体" w:eastAsia="宋体" w:cs="宋体"/>
          <w:spacing w:val="-8"/>
          <w:sz w:val="27"/>
          <w:szCs w:val="27"/>
        </w:rPr>
        <w:t>务次数，例如飞机的出动架次率、舰船的在航率、坦克的年使用小时数等。</w:t>
      </w:r>
    </w:p>
    <w:p w14:paraId="05DD97ED">
      <w:pPr>
        <w:spacing w:before="70" w:line="267" w:lineRule="auto"/>
        <w:ind w:left="10" w:right="139" w:firstLine="560"/>
        <w:rPr>
          <w:rFonts w:ascii="宋体" w:hAnsi="宋体" w:eastAsia="宋体" w:cs="宋体"/>
          <w:sz w:val="27"/>
          <w:szCs w:val="27"/>
        </w:rPr>
      </w:pPr>
      <w:r>
        <w:rPr>
          <w:rFonts w:ascii="Times New Roman" w:hAnsi="Times New Roman" w:eastAsia="Times New Roman" w:cs="Times New Roman"/>
          <w:spacing w:val="2"/>
          <w:sz w:val="27"/>
          <w:szCs w:val="27"/>
        </w:rPr>
        <w:t>b)</w:t>
      </w:r>
      <w:r>
        <w:rPr>
          <w:rFonts w:ascii="Times New Roman" w:hAnsi="Times New Roman" w:eastAsia="Times New Roman" w:cs="Times New Roman"/>
          <w:spacing w:val="73"/>
          <w:sz w:val="27"/>
          <w:szCs w:val="27"/>
        </w:rPr>
        <w:t xml:space="preserve"> </w:t>
      </w:r>
      <w:r>
        <w:rPr>
          <w:rFonts w:ascii="宋体" w:hAnsi="宋体" w:eastAsia="宋体" w:cs="宋体"/>
          <w:spacing w:val="2"/>
          <w:sz w:val="27"/>
          <w:szCs w:val="27"/>
        </w:rPr>
        <w:t>任务成功性，规定实体在开始时处于可用状态的情况下，在规定的任务</w:t>
      </w:r>
      <w:r>
        <w:rPr>
          <w:rFonts w:ascii="宋体" w:hAnsi="宋体" w:eastAsia="宋体" w:cs="宋体"/>
          <w:sz w:val="27"/>
          <w:szCs w:val="27"/>
        </w:rPr>
        <w:t xml:space="preserve"> </w:t>
      </w:r>
      <w:r>
        <w:rPr>
          <w:rFonts w:ascii="宋体" w:hAnsi="宋体" w:eastAsia="宋体" w:cs="宋体"/>
          <w:spacing w:val="5"/>
          <w:sz w:val="27"/>
          <w:szCs w:val="27"/>
        </w:rPr>
        <w:t>剖面中的任一(随机)时刻，能够使用且能完成规定功能的能力。这类参数通常</w:t>
      </w:r>
      <w:r>
        <w:rPr>
          <w:rFonts w:ascii="宋体" w:hAnsi="宋体" w:eastAsia="宋体" w:cs="宋体"/>
          <w:spacing w:val="8"/>
          <w:sz w:val="27"/>
          <w:szCs w:val="27"/>
        </w:rPr>
        <w:t xml:space="preserve"> </w:t>
      </w:r>
      <w:r>
        <w:rPr>
          <w:rFonts w:ascii="宋体" w:hAnsi="宋体" w:eastAsia="宋体" w:cs="宋体"/>
          <w:spacing w:val="-2"/>
          <w:sz w:val="27"/>
          <w:szCs w:val="27"/>
        </w:rPr>
        <w:t>有：1)任务可靠度，即实体在规定的任务剖</w:t>
      </w:r>
      <w:r>
        <w:rPr>
          <w:rFonts w:ascii="宋体" w:hAnsi="宋体" w:eastAsia="宋体" w:cs="宋体"/>
          <w:spacing w:val="-3"/>
          <w:sz w:val="27"/>
          <w:szCs w:val="27"/>
        </w:rPr>
        <w:t>面条件下和规定的一个时间周期内完</w:t>
      </w:r>
    </w:p>
    <w:p w14:paraId="1C424512">
      <w:pPr>
        <w:spacing w:line="267" w:lineRule="auto"/>
        <w:rPr>
          <w:rFonts w:ascii="宋体" w:hAnsi="宋体" w:eastAsia="宋体" w:cs="宋体"/>
          <w:sz w:val="27"/>
          <w:szCs w:val="27"/>
        </w:rPr>
        <w:sectPr>
          <w:footerReference r:id="rId99" w:type="default"/>
          <w:pgSz w:w="11910" w:h="17130"/>
          <w:pgMar w:top="400" w:right="1005" w:bottom="1586" w:left="1390" w:header="0" w:footer="1397" w:gutter="0"/>
          <w:cols w:space="720" w:num="1"/>
        </w:sectPr>
      </w:pPr>
    </w:p>
    <w:p w14:paraId="183486AD">
      <w:pPr>
        <w:pStyle w:val="2"/>
        <w:spacing w:line="244" w:lineRule="auto"/>
      </w:pPr>
    </w:p>
    <w:p w14:paraId="121256C0">
      <w:pPr>
        <w:pStyle w:val="2"/>
        <w:spacing w:line="244" w:lineRule="auto"/>
      </w:pPr>
    </w:p>
    <w:p w14:paraId="728BC211">
      <w:pPr>
        <w:pStyle w:val="2"/>
        <w:spacing w:line="244" w:lineRule="auto"/>
      </w:pPr>
    </w:p>
    <w:p w14:paraId="70A589C5">
      <w:pPr>
        <w:pStyle w:val="2"/>
        <w:spacing w:line="245" w:lineRule="auto"/>
      </w:pPr>
    </w:p>
    <w:p w14:paraId="679541FA">
      <w:pPr>
        <w:spacing w:before="88" w:line="262" w:lineRule="auto"/>
        <w:ind w:right="137"/>
        <w:jc w:val="both"/>
        <w:rPr>
          <w:rFonts w:ascii="宋体" w:hAnsi="宋体" w:eastAsia="宋体" w:cs="宋体"/>
          <w:sz w:val="27"/>
          <w:szCs w:val="27"/>
        </w:rPr>
      </w:pPr>
      <w:r>
        <w:rPr>
          <w:rFonts w:ascii="宋体" w:hAnsi="宋体" w:eastAsia="宋体" w:cs="宋体"/>
          <w:spacing w:val="-3"/>
          <w:sz w:val="27"/>
          <w:szCs w:val="27"/>
        </w:rPr>
        <w:t>成基本任务功能的概率，诸如行驶可靠度、发射可靠度、飞行可靠度、运载可靠</w:t>
      </w:r>
      <w:r>
        <w:rPr>
          <w:rFonts w:ascii="宋体" w:hAnsi="宋体" w:eastAsia="宋体" w:cs="宋体"/>
          <w:spacing w:val="16"/>
          <w:sz w:val="27"/>
          <w:szCs w:val="27"/>
        </w:rPr>
        <w:t xml:space="preserve"> </w:t>
      </w:r>
      <w:r>
        <w:rPr>
          <w:rFonts w:ascii="宋体" w:hAnsi="宋体" w:eastAsia="宋体" w:cs="宋体"/>
          <w:spacing w:val="-10"/>
          <w:sz w:val="27"/>
          <w:szCs w:val="27"/>
        </w:rPr>
        <w:t>度、待命可靠度、贮存可靠度等；2)任务成功度，即实体在规定的任务剖面内完成</w:t>
      </w:r>
      <w:r>
        <w:rPr>
          <w:rFonts w:ascii="宋体" w:hAnsi="宋体" w:eastAsia="宋体" w:cs="宋体"/>
          <w:spacing w:val="11"/>
          <w:sz w:val="27"/>
          <w:szCs w:val="27"/>
        </w:rPr>
        <w:t xml:space="preserve"> </w:t>
      </w:r>
      <w:r>
        <w:rPr>
          <w:rFonts w:ascii="宋体" w:hAnsi="宋体" w:eastAsia="宋体" w:cs="宋体"/>
          <w:spacing w:val="1"/>
          <w:sz w:val="27"/>
          <w:szCs w:val="27"/>
        </w:rPr>
        <w:t>规定任务的概率。</w:t>
      </w:r>
    </w:p>
    <w:p w14:paraId="73FDAC12">
      <w:pPr>
        <w:spacing w:before="2" w:line="295" w:lineRule="auto"/>
        <w:ind w:right="15" w:firstLine="550"/>
        <w:rPr>
          <w:rFonts w:ascii="宋体" w:hAnsi="宋体" w:eastAsia="宋体" w:cs="宋体"/>
          <w:sz w:val="27"/>
          <w:szCs w:val="27"/>
        </w:rPr>
      </w:pPr>
      <w:r>
        <w:rPr>
          <w:rFonts w:ascii="Times New Roman" w:hAnsi="Times New Roman" w:eastAsia="Times New Roman" w:cs="Times New Roman"/>
          <w:spacing w:val="6"/>
          <w:sz w:val="27"/>
          <w:szCs w:val="27"/>
        </w:rPr>
        <w:t xml:space="preserve">c)  </w:t>
      </w:r>
      <w:r>
        <w:rPr>
          <w:rFonts w:ascii="宋体" w:hAnsi="宋体" w:eastAsia="宋体" w:cs="宋体"/>
          <w:spacing w:val="6"/>
          <w:sz w:val="27"/>
          <w:szCs w:val="27"/>
        </w:rPr>
        <w:t>服役期限，规定实体在规定条件下，从开始使用到退役的寿命单位数。</w:t>
      </w:r>
      <w:r>
        <w:rPr>
          <w:rFonts w:ascii="宋体" w:hAnsi="宋体" w:eastAsia="宋体" w:cs="宋体"/>
          <w:spacing w:val="9"/>
          <w:sz w:val="27"/>
          <w:szCs w:val="27"/>
        </w:rPr>
        <w:t xml:space="preserve"> </w:t>
      </w:r>
      <w:r>
        <w:rPr>
          <w:rFonts w:ascii="宋体" w:hAnsi="宋体" w:eastAsia="宋体" w:cs="宋体"/>
          <w:spacing w:val="3"/>
          <w:sz w:val="27"/>
          <w:szCs w:val="27"/>
        </w:rPr>
        <w:t>这类参数通常有时间长度或循环次数等。</w:t>
      </w:r>
    </w:p>
    <w:p w14:paraId="29A5B8A8">
      <w:pPr>
        <w:spacing w:line="221" w:lineRule="auto"/>
        <w:rPr>
          <w:rFonts w:ascii="黑体" w:hAnsi="黑体" w:eastAsia="黑体" w:cs="黑体"/>
          <w:sz w:val="27"/>
          <w:szCs w:val="27"/>
        </w:rPr>
      </w:pPr>
      <w:r>
        <w:rPr>
          <w:rFonts w:ascii="黑体" w:hAnsi="黑体" w:eastAsia="黑体" w:cs="黑体"/>
          <w:spacing w:val="4"/>
          <w:sz w:val="27"/>
          <w:szCs w:val="27"/>
        </w:rPr>
        <w:t xml:space="preserve">3.4  </w:t>
      </w:r>
      <w:r>
        <w:rPr>
          <w:rFonts w:ascii="黑体" w:hAnsi="黑体" w:eastAsia="黑体" w:cs="黑体"/>
          <w:b/>
          <w:bCs/>
          <w:spacing w:val="4"/>
          <w:sz w:val="27"/>
          <w:szCs w:val="27"/>
        </w:rPr>
        <w:t>环境适应性</w:t>
      </w:r>
    </w:p>
    <w:p w14:paraId="1C9C0483">
      <w:pPr>
        <w:spacing w:before="68" w:line="274" w:lineRule="auto"/>
        <w:ind w:right="136" w:firstLine="550"/>
        <w:rPr>
          <w:rFonts w:ascii="宋体" w:hAnsi="宋体" w:eastAsia="宋体" w:cs="宋体"/>
          <w:sz w:val="27"/>
          <w:szCs w:val="27"/>
        </w:rPr>
      </w:pPr>
      <w:r>
        <w:rPr>
          <w:rFonts w:ascii="宋体" w:hAnsi="宋体" w:eastAsia="宋体" w:cs="宋体"/>
          <w:spacing w:val="5"/>
          <w:sz w:val="27"/>
          <w:szCs w:val="27"/>
        </w:rPr>
        <w:t>本条规定实体在其寿命周期预计可能遇到的各种环境作用下能实现其所有</w:t>
      </w:r>
      <w:r>
        <w:rPr>
          <w:rFonts w:ascii="宋体" w:hAnsi="宋体" w:eastAsia="宋体" w:cs="宋体"/>
          <w:spacing w:val="12"/>
          <w:sz w:val="27"/>
          <w:szCs w:val="27"/>
        </w:rPr>
        <w:t xml:space="preserve"> </w:t>
      </w:r>
      <w:r>
        <w:rPr>
          <w:rFonts w:ascii="宋体" w:hAnsi="宋体" w:eastAsia="宋体" w:cs="宋体"/>
          <w:spacing w:val="4"/>
          <w:sz w:val="27"/>
          <w:szCs w:val="27"/>
        </w:rPr>
        <w:t>预定功能和性能和(或)不被破坏的能力。环境条件主要包括</w:t>
      </w:r>
      <w:r>
        <w:rPr>
          <w:rFonts w:ascii="宋体" w:hAnsi="宋体" w:eastAsia="宋体" w:cs="宋体"/>
          <w:spacing w:val="3"/>
          <w:sz w:val="27"/>
          <w:szCs w:val="27"/>
        </w:rPr>
        <w:t>如下几种。</w:t>
      </w:r>
    </w:p>
    <w:p w14:paraId="032B913B">
      <w:pPr>
        <w:spacing w:before="3" w:line="268" w:lineRule="auto"/>
        <w:ind w:right="15" w:firstLine="550"/>
        <w:rPr>
          <w:rFonts w:ascii="宋体" w:hAnsi="宋体" w:eastAsia="宋体" w:cs="宋体"/>
          <w:sz w:val="27"/>
          <w:szCs w:val="27"/>
        </w:rPr>
      </w:pPr>
      <w:r>
        <w:rPr>
          <w:rFonts w:ascii="Times New Roman" w:hAnsi="Times New Roman" w:eastAsia="Times New Roman" w:cs="Times New Roman"/>
          <w:spacing w:val="-18"/>
          <w:sz w:val="27"/>
          <w:szCs w:val="27"/>
        </w:rPr>
        <w:t>a)</w:t>
      </w:r>
      <w:r>
        <w:rPr>
          <w:rFonts w:ascii="Times New Roman" w:hAnsi="Times New Roman" w:eastAsia="Times New Roman" w:cs="Times New Roman"/>
          <w:spacing w:val="43"/>
          <w:sz w:val="27"/>
          <w:szCs w:val="27"/>
        </w:rPr>
        <w:t xml:space="preserve"> </w:t>
      </w:r>
      <w:r>
        <w:rPr>
          <w:rFonts w:ascii="仿宋" w:hAnsi="仿宋" w:eastAsia="仿宋" w:cs="仿宋"/>
          <w:spacing w:val="-18"/>
          <w:sz w:val="27"/>
          <w:szCs w:val="27"/>
        </w:rPr>
        <w:t>自然环境，包括：1)气象条件，诸如温度、湿度、盐雾、砂尘、</w:t>
      </w:r>
      <w:r>
        <w:rPr>
          <w:rFonts w:ascii="仿宋" w:hAnsi="仿宋" w:eastAsia="仿宋" w:cs="仿宋"/>
          <w:spacing w:val="-19"/>
          <w:sz w:val="27"/>
          <w:szCs w:val="27"/>
        </w:rPr>
        <w:t>霉菌、雨、雷</w:t>
      </w:r>
      <w:r>
        <w:rPr>
          <w:rFonts w:ascii="仿宋" w:hAnsi="仿宋" w:eastAsia="仿宋" w:cs="仿宋"/>
          <w:sz w:val="27"/>
          <w:szCs w:val="27"/>
        </w:rPr>
        <w:t xml:space="preserve"> </w:t>
      </w:r>
      <w:r>
        <w:rPr>
          <w:rFonts w:ascii="宋体" w:hAnsi="宋体" w:eastAsia="宋体" w:cs="宋体"/>
          <w:spacing w:val="-32"/>
          <w:sz w:val="27"/>
          <w:szCs w:val="27"/>
        </w:rPr>
        <w:t>电、风、压力、雪、冰、霜等；2)水文条件，诸如水深、海流、潮汐、温度与密度</w:t>
      </w:r>
      <w:r>
        <w:rPr>
          <w:rFonts w:ascii="宋体" w:hAnsi="宋体" w:eastAsia="宋体" w:cs="宋体"/>
          <w:spacing w:val="-33"/>
          <w:sz w:val="27"/>
          <w:szCs w:val="27"/>
        </w:rPr>
        <w:t>、盐度、</w:t>
      </w:r>
      <w:r>
        <w:rPr>
          <w:rFonts w:ascii="宋体" w:hAnsi="宋体" w:eastAsia="宋体" w:cs="宋体"/>
          <w:sz w:val="27"/>
          <w:szCs w:val="27"/>
        </w:rPr>
        <w:t xml:space="preserve"> </w:t>
      </w:r>
      <w:r>
        <w:rPr>
          <w:rFonts w:ascii="宋体" w:hAnsi="宋体" w:eastAsia="宋体" w:cs="宋体"/>
          <w:spacing w:val="-17"/>
          <w:sz w:val="27"/>
          <w:szCs w:val="27"/>
        </w:rPr>
        <w:t>风浪、波高与周期、表层流速及流向等；3)地理条件，诸如经纬度、江河、湖泊、地</w:t>
      </w:r>
      <w:r>
        <w:rPr>
          <w:rFonts w:ascii="宋体" w:hAnsi="宋体" w:eastAsia="宋体" w:cs="宋体"/>
          <w:spacing w:val="7"/>
          <w:sz w:val="27"/>
          <w:szCs w:val="27"/>
        </w:rPr>
        <w:t xml:space="preserve">  </w:t>
      </w:r>
      <w:r>
        <w:rPr>
          <w:rFonts w:ascii="宋体" w:hAnsi="宋体" w:eastAsia="宋体" w:cs="宋体"/>
          <w:spacing w:val="-29"/>
          <w:sz w:val="27"/>
          <w:szCs w:val="27"/>
        </w:rPr>
        <w:t>形、森林、沼泽、桥梁、道路、海拔高度等。</w:t>
      </w:r>
    </w:p>
    <w:p w14:paraId="2DE475A6">
      <w:pPr>
        <w:spacing w:before="79" w:line="257" w:lineRule="auto"/>
        <w:ind w:firstLine="550"/>
        <w:rPr>
          <w:rFonts w:ascii="宋体" w:hAnsi="宋体" w:eastAsia="宋体" w:cs="宋体"/>
          <w:sz w:val="27"/>
          <w:szCs w:val="27"/>
        </w:rPr>
      </w:pP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特殊环境，包括实体在未来战争中可能</w:t>
      </w:r>
      <w:r>
        <w:rPr>
          <w:rFonts w:ascii="宋体" w:hAnsi="宋体" w:eastAsia="宋体" w:cs="宋体"/>
          <w:spacing w:val="-2"/>
          <w:sz w:val="27"/>
          <w:szCs w:val="27"/>
        </w:rPr>
        <w:t>经受的由于使用核、化学、生物、</w:t>
      </w:r>
      <w:r>
        <w:rPr>
          <w:rFonts w:ascii="宋体" w:hAnsi="宋体" w:eastAsia="宋体" w:cs="宋体"/>
          <w:sz w:val="27"/>
          <w:szCs w:val="27"/>
        </w:rPr>
        <w:t xml:space="preserve"> </w:t>
      </w:r>
      <w:r>
        <w:rPr>
          <w:rFonts w:ascii="宋体" w:hAnsi="宋体" w:eastAsia="宋体" w:cs="宋体"/>
          <w:spacing w:val="-4"/>
          <w:sz w:val="27"/>
          <w:szCs w:val="27"/>
        </w:rPr>
        <w:t>电磁、光波与激光等武器所造成的环境效应。</w:t>
      </w:r>
    </w:p>
    <w:p w14:paraId="3CACCBBA">
      <w:pPr>
        <w:spacing w:before="58" w:line="257" w:lineRule="auto"/>
        <w:ind w:right="130" w:firstLine="550"/>
        <w:rPr>
          <w:rFonts w:ascii="宋体" w:hAnsi="宋体" w:eastAsia="宋体" w:cs="宋体"/>
          <w:sz w:val="27"/>
          <w:szCs w:val="27"/>
        </w:rPr>
      </w:pPr>
      <w:r>
        <w:rPr>
          <w:rFonts w:ascii="Times New Roman" w:hAnsi="Times New Roman" w:eastAsia="Times New Roman" w:cs="Times New Roman"/>
          <w:spacing w:val="-12"/>
          <w:sz w:val="27"/>
          <w:szCs w:val="27"/>
        </w:rPr>
        <w:t xml:space="preserve">c)  </w:t>
      </w:r>
      <w:r>
        <w:rPr>
          <w:rFonts w:ascii="宋体" w:hAnsi="宋体" w:eastAsia="宋体" w:cs="宋体"/>
          <w:spacing w:val="-12"/>
          <w:sz w:val="27"/>
          <w:szCs w:val="27"/>
        </w:rPr>
        <w:t>诱发环境，包括实体在作战、训练、试验、运输、贮存等过程中可能经受的</w:t>
      </w:r>
      <w:r>
        <w:rPr>
          <w:rFonts w:ascii="宋体" w:hAnsi="宋体" w:eastAsia="宋体" w:cs="宋体"/>
          <w:spacing w:val="8"/>
          <w:sz w:val="27"/>
          <w:szCs w:val="27"/>
        </w:rPr>
        <w:t xml:space="preserve"> </w:t>
      </w:r>
      <w:r>
        <w:rPr>
          <w:rFonts w:ascii="宋体" w:hAnsi="宋体" w:eastAsia="宋体" w:cs="宋体"/>
          <w:spacing w:val="-32"/>
          <w:sz w:val="27"/>
          <w:szCs w:val="27"/>
        </w:rPr>
        <w:t>冲击、振动、倾斜、摇摆、噪声、高温等。</w:t>
      </w:r>
    </w:p>
    <w:p w14:paraId="32437E83">
      <w:pPr>
        <w:spacing w:before="93" w:line="222" w:lineRule="auto"/>
        <w:rPr>
          <w:rFonts w:ascii="黑体" w:hAnsi="黑体" w:eastAsia="黑体" w:cs="黑体"/>
          <w:sz w:val="25"/>
          <w:szCs w:val="25"/>
        </w:rPr>
      </w:pPr>
      <w:r>
        <w:rPr>
          <w:rFonts w:ascii="黑体" w:hAnsi="黑体" w:eastAsia="黑体" w:cs="黑体"/>
          <w:spacing w:val="9"/>
          <w:sz w:val="25"/>
          <w:szCs w:val="25"/>
        </w:rPr>
        <w:t>3.5</w:t>
      </w:r>
      <w:r>
        <w:rPr>
          <w:rFonts w:ascii="黑体" w:hAnsi="黑体" w:eastAsia="黑体" w:cs="黑体"/>
          <w:spacing w:val="36"/>
          <w:sz w:val="25"/>
          <w:szCs w:val="25"/>
        </w:rPr>
        <w:t xml:space="preserve">  </w:t>
      </w:r>
      <w:r>
        <w:rPr>
          <w:rFonts w:ascii="黑体" w:hAnsi="黑体" w:eastAsia="黑体" w:cs="黑体"/>
          <w:b/>
          <w:bCs/>
          <w:spacing w:val="9"/>
          <w:sz w:val="25"/>
          <w:szCs w:val="25"/>
        </w:rPr>
        <w:t>可靠性</w:t>
      </w:r>
    </w:p>
    <w:p w14:paraId="05093275">
      <w:pPr>
        <w:spacing w:before="115" w:line="275" w:lineRule="auto"/>
        <w:ind w:right="132" w:firstLine="550"/>
        <w:jc w:val="both"/>
        <w:rPr>
          <w:rFonts w:ascii="宋体" w:hAnsi="宋体" w:eastAsia="宋体" w:cs="宋体"/>
          <w:sz w:val="27"/>
          <w:szCs w:val="27"/>
        </w:rPr>
      </w:pPr>
      <w:r>
        <w:rPr>
          <w:rFonts w:ascii="宋体" w:hAnsi="宋体" w:eastAsia="宋体" w:cs="宋体"/>
          <w:spacing w:val="5"/>
          <w:sz w:val="27"/>
          <w:szCs w:val="27"/>
        </w:rPr>
        <w:t>本条规定实体在无故障、无退化或不要求保障系统保障的情况下执行其功</w:t>
      </w:r>
      <w:r>
        <w:rPr>
          <w:rFonts w:ascii="宋体" w:hAnsi="宋体" w:eastAsia="宋体" w:cs="宋体"/>
          <w:spacing w:val="17"/>
          <w:sz w:val="27"/>
          <w:szCs w:val="27"/>
        </w:rPr>
        <w:t xml:space="preserve"> </w:t>
      </w:r>
      <w:r>
        <w:rPr>
          <w:rFonts w:ascii="宋体" w:hAnsi="宋体" w:eastAsia="宋体" w:cs="宋体"/>
          <w:spacing w:val="5"/>
          <w:sz w:val="27"/>
          <w:szCs w:val="27"/>
        </w:rPr>
        <w:t>能的能力。实体的可靠性定量要求用相应的可靠性参数指标表示。可靠性参数</w:t>
      </w:r>
      <w:r>
        <w:rPr>
          <w:rFonts w:ascii="宋体" w:hAnsi="宋体" w:eastAsia="宋体" w:cs="宋体"/>
          <w:spacing w:val="10"/>
          <w:sz w:val="27"/>
          <w:szCs w:val="27"/>
        </w:rPr>
        <w:t xml:space="preserve"> </w:t>
      </w:r>
      <w:r>
        <w:rPr>
          <w:rFonts w:ascii="宋体" w:hAnsi="宋体" w:eastAsia="宋体" w:cs="宋体"/>
          <w:spacing w:val="4"/>
          <w:sz w:val="27"/>
          <w:szCs w:val="27"/>
        </w:rPr>
        <w:t>宜按</w:t>
      </w:r>
      <w:r>
        <w:rPr>
          <w:rFonts w:ascii="Times New Roman" w:hAnsi="Times New Roman" w:eastAsia="Times New Roman" w:cs="Times New Roman"/>
          <w:sz w:val="27"/>
          <w:szCs w:val="27"/>
        </w:rPr>
        <w:t>GJB</w:t>
      </w:r>
      <w:r>
        <w:rPr>
          <w:rFonts w:ascii="Times New Roman" w:hAnsi="Times New Roman" w:eastAsia="Times New Roman" w:cs="Times New Roman"/>
          <w:spacing w:val="1"/>
          <w:sz w:val="27"/>
          <w:szCs w:val="27"/>
        </w:rPr>
        <w:t xml:space="preserve">   </w:t>
      </w:r>
      <w:r>
        <w:rPr>
          <w:rFonts w:ascii="Times New Roman" w:hAnsi="Times New Roman" w:eastAsia="Times New Roman" w:cs="Times New Roman"/>
          <w:spacing w:val="4"/>
          <w:sz w:val="27"/>
          <w:szCs w:val="27"/>
        </w:rPr>
        <w:t>1909</w:t>
      </w:r>
      <w:r>
        <w:rPr>
          <w:rFonts w:ascii="宋体" w:hAnsi="宋体" w:eastAsia="宋体" w:cs="宋体"/>
          <w:spacing w:val="4"/>
          <w:sz w:val="27"/>
          <w:szCs w:val="27"/>
        </w:rPr>
        <w:t>的规定选取。</w:t>
      </w:r>
    </w:p>
    <w:p w14:paraId="16B3A728">
      <w:pPr>
        <w:spacing w:before="14" w:line="219" w:lineRule="auto"/>
        <w:ind w:left="550"/>
        <w:rPr>
          <w:rFonts w:ascii="宋体" w:hAnsi="宋体" w:eastAsia="宋体" w:cs="宋体"/>
          <w:sz w:val="27"/>
          <w:szCs w:val="27"/>
        </w:rPr>
      </w:pPr>
      <w:r>
        <w:rPr>
          <w:rFonts w:ascii="宋体" w:hAnsi="宋体" w:eastAsia="宋体" w:cs="宋体"/>
          <w:spacing w:val="-9"/>
          <w:sz w:val="27"/>
          <w:szCs w:val="27"/>
        </w:rPr>
        <w:t>确定可靠性指标时，应明确：</w:t>
      </w:r>
    </w:p>
    <w:p w14:paraId="3DD088D8">
      <w:pPr>
        <w:spacing w:before="109" w:line="220" w:lineRule="auto"/>
        <w:ind w:left="550"/>
        <w:rPr>
          <w:rFonts w:ascii="宋体" w:hAnsi="宋体" w:eastAsia="宋体" w:cs="宋体"/>
          <w:sz w:val="24"/>
          <w:szCs w:val="24"/>
        </w:rPr>
      </w:pPr>
      <w:r>
        <w:rPr>
          <w:rFonts w:ascii="Times New Roman" w:hAnsi="Times New Roman" w:eastAsia="Times New Roman" w:cs="Times New Roman"/>
          <w:spacing w:val="15"/>
          <w:sz w:val="24"/>
          <w:szCs w:val="24"/>
        </w:rPr>
        <w:t>a</w:t>
      </w:r>
      <w:r>
        <w:rPr>
          <w:rFonts w:ascii="Times New Roman" w:hAnsi="Times New Roman" w:eastAsia="Times New Roman" w:cs="Times New Roman"/>
          <w:spacing w:val="-23"/>
          <w:sz w:val="24"/>
          <w:szCs w:val="24"/>
        </w:rPr>
        <w:t xml:space="preserve"> </w:t>
      </w:r>
      <w:r>
        <w:rPr>
          <w:rFonts w:ascii="宋体" w:hAnsi="宋体" w:eastAsia="宋体" w:cs="宋体"/>
          <w:spacing w:val="15"/>
          <w:sz w:val="24"/>
          <w:szCs w:val="24"/>
        </w:rPr>
        <w:t>)</w:t>
      </w:r>
      <w:r>
        <w:rPr>
          <w:rFonts w:ascii="宋体" w:hAnsi="宋体" w:eastAsia="宋体" w:cs="宋体"/>
          <w:spacing w:val="-10"/>
          <w:sz w:val="24"/>
          <w:szCs w:val="24"/>
        </w:rPr>
        <w:t xml:space="preserve"> </w:t>
      </w:r>
      <w:r>
        <w:rPr>
          <w:rFonts w:ascii="宋体" w:hAnsi="宋体" w:eastAsia="宋体" w:cs="宋体"/>
          <w:spacing w:val="15"/>
          <w:sz w:val="24"/>
          <w:szCs w:val="24"/>
        </w:rPr>
        <w:t>寿命剖面；</w:t>
      </w:r>
    </w:p>
    <w:p w14:paraId="2C3C7ED5">
      <w:pPr>
        <w:spacing w:before="64"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任务剖面；</w:t>
      </w:r>
    </w:p>
    <w:p w14:paraId="762C5AAA">
      <w:pPr>
        <w:spacing w:before="100" w:line="212" w:lineRule="auto"/>
        <w:ind w:left="550"/>
        <w:rPr>
          <w:rFonts w:ascii="宋体" w:hAnsi="宋体" w:eastAsia="宋体" w:cs="宋体"/>
          <w:sz w:val="27"/>
          <w:szCs w:val="27"/>
        </w:rPr>
      </w:pPr>
      <w:r>
        <w:rPr>
          <w:rFonts w:ascii="Times New Roman" w:hAnsi="Times New Roman" w:eastAsia="Times New Roman" w:cs="Times New Roman"/>
          <w:sz w:val="27"/>
          <w:szCs w:val="27"/>
        </w:rPr>
        <w:t xml:space="preserve">c)  </w:t>
      </w:r>
      <w:r>
        <w:rPr>
          <w:rFonts w:ascii="宋体" w:hAnsi="宋体" w:eastAsia="宋体" w:cs="宋体"/>
          <w:sz w:val="27"/>
          <w:szCs w:val="27"/>
        </w:rPr>
        <w:t>故障判别准则；</w:t>
      </w:r>
    </w:p>
    <w:p w14:paraId="27E90259">
      <w:pPr>
        <w:spacing w:before="9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d)</w:t>
      </w:r>
      <w:r>
        <w:rPr>
          <w:rFonts w:ascii="Times New Roman" w:hAnsi="Times New Roman" w:eastAsia="Times New Roman" w:cs="Times New Roman"/>
          <w:spacing w:val="12"/>
          <w:sz w:val="27"/>
          <w:szCs w:val="27"/>
        </w:rPr>
        <w:t xml:space="preserve">  </w:t>
      </w:r>
      <w:r>
        <w:rPr>
          <w:rFonts w:ascii="宋体" w:hAnsi="宋体" w:eastAsia="宋体" w:cs="宋体"/>
          <w:spacing w:val="-5"/>
          <w:sz w:val="27"/>
          <w:szCs w:val="27"/>
        </w:rPr>
        <w:t>维修方案；</w:t>
      </w:r>
    </w:p>
    <w:p w14:paraId="7BAD5306">
      <w:pPr>
        <w:spacing w:before="109" w:line="257" w:lineRule="auto"/>
        <w:ind w:right="139" w:firstLine="55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验证方法，如采用试验验证或使用验证，应包</w:t>
      </w:r>
      <w:r>
        <w:rPr>
          <w:rFonts w:ascii="宋体" w:hAnsi="宋体" w:eastAsia="宋体" w:cs="宋体"/>
          <w:spacing w:val="2"/>
          <w:sz w:val="27"/>
          <w:szCs w:val="27"/>
        </w:rPr>
        <w:t>括置信水平、接收和拒收</w:t>
      </w:r>
      <w:r>
        <w:rPr>
          <w:rFonts w:ascii="宋体" w:hAnsi="宋体" w:eastAsia="宋体" w:cs="宋体"/>
          <w:sz w:val="27"/>
          <w:szCs w:val="27"/>
        </w:rPr>
        <w:t xml:space="preserve"> </w:t>
      </w:r>
      <w:r>
        <w:rPr>
          <w:rFonts w:ascii="宋体" w:hAnsi="宋体" w:eastAsia="宋体" w:cs="宋体"/>
          <w:spacing w:val="-6"/>
          <w:sz w:val="27"/>
          <w:szCs w:val="27"/>
        </w:rPr>
        <w:t>判据；</w:t>
      </w:r>
    </w:p>
    <w:p w14:paraId="16765A77">
      <w:pPr>
        <w:spacing w:before="69"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f)  </w:t>
      </w:r>
      <w:r>
        <w:rPr>
          <w:rFonts w:ascii="宋体" w:hAnsi="宋体" w:eastAsia="宋体" w:cs="宋体"/>
          <w:spacing w:val="2"/>
          <w:sz w:val="27"/>
          <w:szCs w:val="27"/>
        </w:rPr>
        <w:t>达到指标的时间或阶段；</w:t>
      </w:r>
    </w:p>
    <w:p w14:paraId="34ECB3BA">
      <w:pPr>
        <w:spacing w:before="100" w:line="212" w:lineRule="auto"/>
        <w:ind w:left="550"/>
        <w:rPr>
          <w:rFonts w:ascii="宋体" w:hAnsi="宋体" w:eastAsia="宋体" w:cs="宋体"/>
          <w:sz w:val="27"/>
          <w:szCs w:val="27"/>
        </w:rPr>
      </w:pPr>
      <w:r>
        <w:rPr>
          <w:rFonts w:ascii="Times New Roman" w:hAnsi="Times New Roman" w:eastAsia="Times New Roman" w:cs="Times New Roman"/>
          <w:spacing w:val="11"/>
          <w:sz w:val="27"/>
          <w:szCs w:val="27"/>
        </w:rPr>
        <w:t>g</w:t>
      </w:r>
      <w:r>
        <w:rPr>
          <w:rFonts w:ascii="宋体" w:hAnsi="宋体" w:eastAsia="宋体" w:cs="宋体"/>
          <w:spacing w:val="11"/>
          <w:sz w:val="27"/>
          <w:szCs w:val="27"/>
        </w:rPr>
        <w:t>)其他假设或约束条件。</w:t>
      </w:r>
    </w:p>
    <w:p w14:paraId="7D6E78D8">
      <w:pPr>
        <w:spacing w:before="151" w:line="219" w:lineRule="auto"/>
        <w:ind w:left="550"/>
        <w:rPr>
          <w:rFonts w:ascii="宋体" w:hAnsi="宋体" w:eastAsia="宋体" w:cs="宋体"/>
          <w:sz w:val="27"/>
          <w:szCs w:val="27"/>
        </w:rPr>
      </w:pPr>
      <w:r>
        <w:rPr>
          <w:rFonts w:ascii="宋体" w:hAnsi="宋体" w:eastAsia="宋体" w:cs="宋体"/>
          <w:spacing w:val="-1"/>
          <w:sz w:val="27"/>
          <w:szCs w:val="27"/>
        </w:rPr>
        <w:t>规定可靠性定量要求时，可用目标值和(或)门限值表示。</w:t>
      </w:r>
    </w:p>
    <w:p w14:paraId="160D75A5">
      <w:pPr>
        <w:spacing w:before="54" w:line="222" w:lineRule="auto"/>
        <w:rPr>
          <w:rFonts w:ascii="黑体" w:hAnsi="黑体" w:eastAsia="黑体" w:cs="黑体"/>
          <w:sz w:val="27"/>
          <w:szCs w:val="27"/>
        </w:rPr>
      </w:pPr>
      <w:r>
        <w:rPr>
          <w:rFonts w:ascii="黑体" w:hAnsi="黑体" w:eastAsia="黑体" w:cs="黑体"/>
          <w:spacing w:val="-1"/>
          <w:sz w:val="27"/>
          <w:szCs w:val="27"/>
        </w:rPr>
        <w:t>3.6</w:t>
      </w:r>
      <w:r>
        <w:rPr>
          <w:rFonts w:ascii="黑体" w:hAnsi="黑体" w:eastAsia="黑体" w:cs="黑体"/>
          <w:spacing w:val="11"/>
          <w:sz w:val="27"/>
          <w:szCs w:val="27"/>
        </w:rPr>
        <w:t xml:space="preserve">  </w:t>
      </w:r>
      <w:r>
        <w:rPr>
          <w:rFonts w:ascii="黑体" w:hAnsi="黑体" w:eastAsia="黑体" w:cs="黑体"/>
          <w:b/>
          <w:bCs/>
          <w:spacing w:val="-1"/>
          <w:sz w:val="27"/>
          <w:szCs w:val="27"/>
        </w:rPr>
        <w:t>维修性</w:t>
      </w:r>
    </w:p>
    <w:p w14:paraId="7254BC8B">
      <w:pPr>
        <w:spacing w:before="120" w:line="275" w:lineRule="auto"/>
        <w:ind w:right="127" w:firstLine="550"/>
        <w:jc w:val="both"/>
        <w:rPr>
          <w:rFonts w:ascii="宋体" w:hAnsi="宋体" w:eastAsia="宋体" w:cs="宋体"/>
          <w:sz w:val="27"/>
          <w:szCs w:val="27"/>
        </w:rPr>
      </w:pPr>
      <w:r>
        <w:rPr>
          <w:rFonts w:ascii="宋体" w:hAnsi="宋体" w:eastAsia="宋体" w:cs="宋体"/>
          <w:spacing w:val="6"/>
          <w:sz w:val="27"/>
          <w:szCs w:val="27"/>
        </w:rPr>
        <w:t>本条规定实体在规定的维修条件下和规定的维修</w:t>
      </w:r>
      <w:r>
        <w:rPr>
          <w:rFonts w:ascii="宋体" w:hAnsi="宋体" w:eastAsia="宋体" w:cs="宋体"/>
          <w:spacing w:val="5"/>
          <w:sz w:val="27"/>
          <w:szCs w:val="27"/>
        </w:rPr>
        <w:t>时间内，按规定的程序和</w:t>
      </w:r>
      <w:r>
        <w:rPr>
          <w:rFonts w:ascii="宋体" w:hAnsi="宋体" w:eastAsia="宋体" w:cs="宋体"/>
          <w:sz w:val="27"/>
          <w:szCs w:val="27"/>
        </w:rPr>
        <w:t xml:space="preserve"> </w:t>
      </w:r>
      <w:r>
        <w:rPr>
          <w:rFonts w:ascii="宋体" w:hAnsi="宋体" w:eastAsia="宋体" w:cs="宋体"/>
          <w:spacing w:val="6"/>
          <w:sz w:val="27"/>
          <w:szCs w:val="27"/>
        </w:rPr>
        <w:t>方法进行维修时，保持和恢复到规定状态的能力</w:t>
      </w:r>
      <w:r>
        <w:rPr>
          <w:rFonts w:ascii="宋体" w:hAnsi="宋体" w:eastAsia="宋体" w:cs="宋体"/>
          <w:spacing w:val="5"/>
          <w:sz w:val="27"/>
          <w:szCs w:val="27"/>
        </w:rPr>
        <w:t>。实体的维修性定量要求用相</w:t>
      </w:r>
      <w:r>
        <w:rPr>
          <w:rFonts w:ascii="宋体" w:hAnsi="宋体" w:eastAsia="宋体" w:cs="宋体"/>
          <w:sz w:val="27"/>
          <w:szCs w:val="27"/>
        </w:rPr>
        <w:t xml:space="preserve"> </w:t>
      </w:r>
      <w:r>
        <w:rPr>
          <w:rFonts w:ascii="宋体" w:hAnsi="宋体" w:eastAsia="宋体" w:cs="宋体"/>
          <w:spacing w:val="5"/>
          <w:sz w:val="27"/>
          <w:szCs w:val="27"/>
        </w:rPr>
        <w:t>应的维修性参数指标表示。维修性参数宜按</w:t>
      </w:r>
      <w:r>
        <w:rPr>
          <w:rFonts w:ascii="Times New Roman" w:hAnsi="Times New Roman" w:eastAsia="Times New Roman" w:cs="Times New Roman"/>
          <w:sz w:val="27"/>
          <w:szCs w:val="27"/>
        </w:rPr>
        <w:t>GJB</w:t>
      </w:r>
      <w:r>
        <w:rPr>
          <w:rFonts w:ascii="Times New Roman" w:hAnsi="Times New Roman" w:eastAsia="Times New Roman" w:cs="Times New Roman"/>
          <w:spacing w:val="36"/>
          <w:w w:val="101"/>
          <w:sz w:val="27"/>
          <w:szCs w:val="27"/>
        </w:rPr>
        <w:t xml:space="preserve">  </w:t>
      </w:r>
      <w:r>
        <w:rPr>
          <w:rFonts w:ascii="Times New Roman" w:hAnsi="Times New Roman" w:eastAsia="Times New Roman" w:cs="Times New Roman"/>
          <w:spacing w:val="5"/>
          <w:sz w:val="27"/>
          <w:szCs w:val="27"/>
        </w:rPr>
        <w:t>1909</w:t>
      </w:r>
      <w:r>
        <w:rPr>
          <w:rFonts w:ascii="宋体" w:hAnsi="宋体" w:eastAsia="宋体" w:cs="宋体"/>
          <w:spacing w:val="5"/>
          <w:sz w:val="27"/>
          <w:szCs w:val="27"/>
        </w:rPr>
        <w:t>的规定选取。</w:t>
      </w:r>
    </w:p>
    <w:p w14:paraId="6E8047D6">
      <w:pPr>
        <w:spacing w:line="275" w:lineRule="auto"/>
        <w:rPr>
          <w:rFonts w:ascii="宋体" w:hAnsi="宋体" w:eastAsia="宋体" w:cs="宋体"/>
          <w:sz w:val="27"/>
          <w:szCs w:val="27"/>
        </w:rPr>
        <w:sectPr>
          <w:footerReference r:id="rId100" w:type="default"/>
          <w:pgSz w:w="11910" w:h="17130"/>
          <w:pgMar w:top="400" w:right="1179" w:bottom="1717" w:left="1229" w:header="0" w:footer="1500" w:gutter="0"/>
          <w:cols w:space="720" w:num="1"/>
        </w:sectPr>
      </w:pPr>
    </w:p>
    <w:p w14:paraId="31A81F12">
      <w:pPr>
        <w:pStyle w:val="2"/>
        <w:spacing w:line="268" w:lineRule="auto"/>
      </w:pPr>
    </w:p>
    <w:p w14:paraId="2CE09DC8">
      <w:pPr>
        <w:pStyle w:val="2"/>
        <w:spacing w:line="269" w:lineRule="auto"/>
      </w:pPr>
    </w:p>
    <w:p w14:paraId="44A4A03D">
      <w:pPr>
        <w:pStyle w:val="2"/>
        <w:spacing w:line="269" w:lineRule="auto"/>
      </w:pPr>
    </w:p>
    <w:p w14:paraId="298C17DB">
      <w:pPr>
        <w:pStyle w:val="2"/>
        <w:spacing w:line="269" w:lineRule="auto"/>
      </w:pPr>
    </w:p>
    <w:p w14:paraId="53C5DC3E">
      <w:pPr>
        <w:spacing w:before="88" w:line="212" w:lineRule="auto"/>
        <w:ind w:left="570"/>
        <w:rPr>
          <w:rFonts w:ascii="宋体" w:hAnsi="宋体" w:eastAsia="宋体" w:cs="宋体"/>
          <w:sz w:val="27"/>
          <w:szCs w:val="27"/>
        </w:rPr>
      </w:pPr>
      <w:r>
        <w:rPr>
          <w:rFonts w:ascii="宋体" w:hAnsi="宋体" w:eastAsia="宋体" w:cs="宋体"/>
          <w:spacing w:val="6"/>
          <w:sz w:val="27"/>
          <w:szCs w:val="27"/>
        </w:rPr>
        <w:t>确定维修性指标时，应明确3.5中</w:t>
      </w:r>
      <w:r>
        <w:rPr>
          <w:rFonts w:ascii="Times New Roman" w:hAnsi="Times New Roman" w:eastAsia="Times New Roman" w:cs="Times New Roman"/>
          <w:spacing w:val="6"/>
          <w:sz w:val="27"/>
          <w:szCs w:val="27"/>
        </w:rPr>
        <w:t xml:space="preserve">a) </w:t>
      </w:r>
      <w:r>
        <w:rPr>
          <w:rFonts w:ascii="宋体" w:hAnsi="宋体" w:eastAsia="宋体" w:cs="宋体"/>
          <w:spacing w:val="6"/>
          <w:sz w:val="27"/>
          <w:szCs w:val="27"/>
        </w:rPr>
        <w:t>至</w:t>
      </w:r>
      <w:r>
        <w:rPr>
          <w:rFonts w:ascii="Times New Roman" w:hAnsi="Times New Roman" w:eastAsia="Times New Roman" w:cs="Times New Roman"/>
          <w:spacing w:val="6"/>
          <w:sz w:val="27"/>
          <w:szCs w:val="27"/>
        </w:rPr>
        <w:t>g)</w:t>
      </w:r>
      <w:r>
        <w:rPr>
          <w:rFonts w:ascii="Times New Roman" w:hAnsi="Times New Roman" w:eastAsia="Times New Roman" w:cs="Times New Roman"/>
          <w:spacing w:val="36"/>
          <w:sz w:val="27"/>
          <w:szCs w:val="27"/>
        </w:rPr>
        <w:t xml:space="preserve"> </w:t>
      </w:r>
      <w:r>
        <w:rPr>
          <w:rFonts w:ascii="宋体" w:hAnsi="宋体" w:eastAsia="宋体" w:cs="宋体"/>
          <w:spacing w:val="6"/>
          <w:sz w:val="27"/>
          <w:szCs w:val="27"/>
        </w:rPr>
        <w:t>的</w:t>
      </w:r>
      <w:r>
        <w:rPr>
          <w:rFonts w:ascii="宋体" w:hAnsi="宋体" w:eastAsia="宋体" w:cs="宋体"/>
          <w:spacing w:val="5"/>
          <w:sz w:val="27"/>
          <w:szCs w:val="27"/>
        </w:rPr>
        <w:t>各项内容。</w:t>
      </w:r>
    </w:p>
    <w:p w14:paraId="2F541580">
      <w:pPr>
        <w:spacing w:before="151" w:line="219" w:lineRule="auto"/>
        <w:ind w:left="570"/>
        <w:rPr>
          <w:rFonts w:ascii="宋体" w:hAnsi="宋体" w:eastAsia="宋体" w:cs="宋体"/>
          <w:sz w:val="27"/>
          <w:szCs w:val="27"/>
        </w:rPr>
      </w:pPr>
      <w:r>
        <w:rPr>
          <w:rFonts w:ascii="宋体" w:hAnsi="宋体" w:eastAsia="宋体" w:cs="宋体"/>
          <w:spacing w:val="-2"/>
          <w:sz w:val="27"/>
          <w:szCs w:val="27"/>
        </w:rPr>
        <w:t>规定维修性定量要求时，可用目标值和(或)门限值表示。</w:t>
      </w:r>
    </w:p>
    <w:p w14:paraId="18B9C715">
      <w:pPr>
        <w:spacing w:before="95" w:line="223" w:lineRule="auto"/>
        <w:rPr>
          <w:rFonts w:ascii="黑体" w:hAnsi="黑体" w:eastAsia="黑体" w:cs="黑体"/>
          <w:sz w:val="25"/>
          <w:szCs w:val="25"/>
        </w:rPr>
      </w:pPr>
      <w:r>
        <w:rPr>
          <w:rFonts w:ascii="黑体" w:hAnsi="黑体" w:eastAsia="黑体" w:cs="黑体"/>
          <w:spacing w:val="8"/>
          <w:sz w:val="25"/>
          <w:szCs w:val="25"/>
        </w:rPr>
        <w:t>3.7</w:t>
      </w:r>
      <w:r>
        <w:rPr>
          <w:rFonts w:ascii="黑体" w:hAnsi="黑体" w:eastAsia="黑体" w:cs="黑体"/>
          <w:spacing w:val="44"/>
          <w:sz w:val="25"/>
          <w:szCs w:val="25"/>
        </w:rPr>
        <w:t xml:space="preserve">  </w:t>
      </w:r>
      <w:r>
        <w:rPr>
          <w:rFonts w:ascii="黑体" w:hAnsi="黑体" w:eastAsia="黑体" w:cs="黑体"/>
          <w:b/>
          <w:bCs/>
          <w:spacing w:val="8"/>
          <w:sz w:val="25"/>
          <w:szCs w:val="25"/>
        </w:rPr>
        <w:t>保障性</w:t>
      </w:r>
    </w:p>
    <w:p w14:paraId="6D5F8DBF">
      <w:pPr>
        <w:spacing w:before="89" w:line="264" w:lineRule="auto"/>
        <w:ind w:firstLine="570"/>
        <w:rPr>
          <w:rFonts w:ascii="宋体" w:hAnsi="宋体" w:eastAsia="宋体" w:cs="宋体"/>
          <w:sz w:val="27"/>
          <w:szCs w:val="27"/>
        </w:rPr>
      </w:pPr>
      <w:r>
        <w:rPr>
          <w:rFonts w:ascii="宋体" w:hAnsi="宋体" w:eastAsia="宋体" w:cs="宋体"/>
          <w:spacing w:val="5"/>
          <w:sz w:val="27"/>
          <w:szCs w:val="27"/>
        </w:rPr>
        <w:t>本条规定实体的设计特性和计划的保障资源满足平时战备完好性和战时利</w:t>
      </w:r>
      <w:r>
        <w:rPr>
          <w:rFonts w:ascii="宋体" w:hAnsi="宋体" w:eastAsia="宋体" w:cs="宋体"/>
          <w:spacing w:val="9"/>
          <w:sz w:val="27"/>
          <w:szCs w:val="27"/>
        </w:rPr>
        <w:t xml:space="preserve"> </w:t>
      </w:r>
      <w:r>
        <w:rPr>
          <w:rFonts w:ascii="宋体" w:hAnsi="宋体" w:eastAsia="宋体" w:cs="宋体"/>
          <w:sz w:val="27"/>
          <w:szCs w:val="27"/>
        </w:rPr>
        <w:t>用率要求的能力，并以相应的保障性设计参数与保障资源参数指标表示。</w:t>
      </w:r>
    </w:p>
    <w:p w14:paraId="050BD038">
      <w:pPr>
        <w:spacing w:before="1" w:line="290" w:lineRule="auto"/>
        <w:ind w:right="6" w:firstLine="570"/>
        <w:rPr>
          <w:rFonts w:ascii="宋体" w:hAnsi="宋体" w:eastAsia="宋体" w:cs="宋体"/>
          <w:sz w:val="27"/>
          <w:szCs w:val="27"/>
        </w:rPr>
      </w:pPr>
      <w:r>
        <w:rPr>
          <w:rFonts w:ascii="宋体" w:hAnsi="宋体" w:eastAsia="宋体" w:cs="宋体"/>
          <w:spacing w:val="3"/>
          <w:sz w:val="27"/>
          <w:szCs w:val="27"/>
        </w:rPr>
        <w:t>保障性设计参数及保障资源参数宜按</w:t>
      </w:r>
      <w:r>
        <w:rPr>
          <w:rFonts w:ascii="Times New Roman" w:hAnsi="Times New Roman" w:eastAsia="Times New Roman" w:cs="Times New Roman"/>
          <w:sz w:val="27"/>
          <w:szCs w:val="27"/>
        </w:rPr>
        <w:t>GJB</w:t>
      </w:r>
      <w:r>
        <w:rPr>
          <w:rFonts w:ascii="Times New Roman" w:hAnsi="Times New Roman" w:eastAsia="Times New Roman" w:cs="Times New Roman"/>
          <w:spacing w:val="3"/>
          <w:sz w:val="27"/>
          <w:szCs w:val="27"/>
        </w:rPr>
        <w:t xml:space="preserve">  3</w:t>
      </w:r>
      <w:r>
        <w:rPr>
          <w:rFonts w:ascii="Times New Roman" w:hAnsi="Times New Roman" w:eastAsia="Times New Roman" w:cs="Times New Roman"/>
          <w:spacing w:val="2"/>
          <w:sz w:val="27"/>
          <w:szCs w:val="27"/>
        </w:rPr>
        <w:t>872</w:t>
      </w:r>
      <w:r>
        <w:rPr>
          <w:rFonts w:ascii="宋体" w:hAnsi="宋体" w:eastAsia="宋体" w:cs="宋体"/>
          <w:spacing w:val="2"/>
          <w:sz w:val="27"/>
          <w:szCs w:val="27"/>
        </w:rPr>
        <w:t>的规定选取，指标从战备完</w:t>
      </w:r>
      <w:r>
        <w:rPr>
          <w:rFonts w:ascii="宋体" w:hAnsi="宋体" w:eastAsia="宋体" w:cs="宋体"/>
          <w:sz w:val="27"/>
          <w:szCs w:val="27"/>
        </w:rPr>
        <w:t xml:space="preserve"> </w:t>
      </w:r>
      <w:r>
        <w:rPr>
          <w:rFonts w:ascii="宋体" w:hAnsi="宋体" w:eastAsia="宋体" w:cs="宋体"/>
          <w:spacing w:val="3"/>
          <w:sz w:val="27"/>
          <w:szCs w:val="27"/>
        </w:rPr>
        <w:t>好性要求导出。</w:t>
      </w:r>
    </w:p>
    <w:p w14:paraId="58181A2C">
      <w:pPr>
        <w:spacing w:line="219" w:lineRule="auto"/>
        <w:ind w:left="570"/>
        <w:rPr>
          <w:rFonts w:ascii="宋体" w:hAnsi="宋体" w:eastAsia="宋体" w:cs="宋体"/>
          <w:sz w:val="27"/>
          <w:szCs w:val="27"/>
        </w:rPr>
      </w:pPr>
      <w:r>
        <w:rPr>
          <w:rFonts w:ascii="宋体" w:hAnsi="宋体" w:eastAsia="宋体" w:cs="宋体"/>
          <w:spacing w:val="-2"/>
          <w:sz w:val="27"/>
          <w:szCs w:val="27"/>
        </w:rPr>
        <w:t>规定保障性定量要求时，可用目标值和(或)门限值表示。</w:t>
      </w:r>
    </w:p>
    <w:p w14:paraId="3DED4E24">
      <w:pPr>
        <w:spacing w:before="103" w:line="221" w:lineRule="auto"/>
        <w:rPr>
          <w:rFonts w:ascii="黑体" w:hAnsi="黑体" w:eastAsia="黑体" w:cs="黑体"/>
          <w:sz w:val="25"/>
          <w:szCs w:val="25"/>
        </w:rPr>
      </w:pPr>
      <w:r>
        <w:rPr>
          <w:rFonts w:ascii="黑体" w:hAnsi="黑体" w:eastAsia="黑体" w:cs="黑体"/>
          <w:spacing w:val="8"/>
          <w:sz w:val="25"/>
          <w:szCs w:val="25"/>
        </w:rPr>
        <w:t>3.8</w:t>
      </w:r>
      <w:r>
        <w:rPr>
          <w:rFonts w:ascii="黑体" w:hAnsi="黑体" w:eastAsia="黑体" w:cs="黑体"/>
          <w:spacing w:val="44"/>
          <w:sz w:val="25"/>
          <w:szCs w:val="25"/>
        </w:rPr>
        <w:t xml:space="preserve">  </w:t>
      </w:r>
      <w:r>
        <w:rPr>
          <w:rFonts w:ascii="黑体" w:hAnsi="黑体" w:eastAsia="黑体" w:cs="黑体"/>
          <w:b/>
          <w:bCs/>
          <w:spacing w:val="8"/>
          <w:sz w:val="25"/>
          <w:szCs w:val="25"/>
        </w:rPr>
        <w:t>测试性</w:t>
      </w:r>
    </w:p>
    <w:p w14:paraId="33A7F309">
      <w:pPr>
        <w:spacing w:before="82" w:line="278" w:lineRule="auto"/>
        <w:ind w:right="8" w:firstLine="570"/>
        <w:rPr>
          <w:rFonts w:ascii="宋体" w:hAnsi="宋体" w:eastAsia="宋体" w:cs="宋体"/>
          <w:sz w:val="27"/>
          <w:szCs w:val="27"/>
        </w:rPr>
      </w:pPr>
      <w:r>
        <w:rPr>
          <w:rFonts w:ascii="宋体" w:hAnsi="宋体" w:eastAsia="宋体" w:cs="宋体"/>
          <w:spacing w:val="1"/>
          <w:sz w:val="27"/>
          <w:szCs w:val="27"/>
        </w:rPr>
        <w:t>本条规定实体及时而准确地确定其状态(可工作、不可工</w:t>
      </w:r>
      <w:r>
        <w:rPr>
          <w:rFonts w:ascii="宋体" w:hAnsi="宋体" w:eastAsia="宋体" w:cs="宋体"/>
          <w:sz w:val="27"/>
          <w:szCs w:val="27"/>
        </w:rPr>
        <w:t xml:space="preserve">作或性能下降),并 </w:t>
      </w:r>
      <w:r>
        <w:rPr>
          <w:rFonts w:ascii="宋体" w:hAnsi="宋体" w:eastAsia="宋体" w:cs="宋体"/>
          <w:spacing w:val="5"/>
          <w:sz w:val="27"/>
          <w:szCs w:val="27"/>
        </w:rPr>
        <w:t>隔离其内部故障的能力。实体的测试性参数宜按</w:t>
      </w:r>
      <w:r>
        <w:rPr>
          <w:rFonts w:ascii="Times New Roman" w:hAnsi="Times New Roman" w:eastAsia="Times New Roman" w:cs="Times New Roman"/>
          <w:sz w:val="27"/>
          <w:szCs w:val="27"/>
        </w:rPr>
        <w:t>GJB</w:t>
      </w:r>
      <w:r>
        <w:rPr>
          <w:rFonts w:ascii="Times New Roman" w:hAnsi="Times New Roman" w:eastAsia="Times New Roman" w:cs="Times New Roman"/>
          <w:spacing w:val="36"/>
          <w:w w:val="101"/>
          <w:sz w:val="27"/>
          <w:szCs w:val="27"/>
        </w:rPr>
        <w:t xml:space="preserve">  </w:t>
      </w:r>
      <w:r>
        <w:rPr>
          <w:rFonts w:ascii="Times New Roman" w:hAnsi="Times New Roman" w:eastAsia="Times New Roman" w:cs="Times New Roman"/>
          <w:spacing w:val="5"/>
          <w:sz w:val="27"/>
          <w:szCs w:val="27"/>
        </w:rPr>
        <w:t>1909</w:t>
      </w:r>
      <w:r>
        <w:rPr>
          <w:rFonts w:ascii="宋体" w:hAnsi="宋体" w:eastAsia="宋体" w:cs="宋体"/>
          <w:spacing w:val="5"/>
          <w:sz w:val="27"/>
          <w:szCs w:val="27"/>
        </w:rPr>
        <w:t>的规定选取。</w:t>
      </w:r>
    </w:p>
    <w:p w14:paraId="0B442C47">
      <w:pPr>
        <w:spacing w:before="2" w:line="290" w:lineRule="auto"/>
        <w:ind w:right="8" w:firstLine="570"/>
        <w:rPr>
          <w:rFonts w:ascii="宋体" w:hAnsi="宋体" w:eastAsia="宋体" w:cs="宋体"/>
          <w:sz w:val="27"/>
          <w:szCs w:val="27"/>
        </w:rPr>
      </w:pPr>
      <w:r>
        <w:rPr>
          <w:rFonts w:ascii="宋体" w:hAnsi="宋体" w:eastAsia="宋体" w:cs="宋体"/>
          <w:spacing w:val="-3"/>
          <w:sz w:val="27"/>
          <w:szCs w:val="27"/>
        </w:rPr>
        <w:t>确定测试性指标时，应明确与检测、隔离和报告故</w:t>
      </w:r>
      <w:r>
        <w:rPr>
          <w:rFonts w:ascii="宋体" w:hAnsi="宋体" w:eastAsia="宋体" w:cs="宋体"/>
          <w:spacing w:val="-4"/>
          <w:sz w:val="27"/>
          <w:szCs w:val="27"/>
        </w:rPr>
        <w:t>障等有关的诊断能力，其</w:t>
      </w:r>
      <w:r>
        <w:rPr>
          <w:rFonts w:ascii="宋体" w:hAnsi="宋体" w:eastAsia="宋体" w:cs="宋体"/>
          <w:sz w:val="27"/>
          <w:szCs w:val="27"/>
        </w:rPr>
        <w:t xml:space="preserve"> </w:t>
      </w:r>
      <w:r>
        <w:rPr>
          <w:rFonts w:ascii="宋体" w:hAnsi="宋体" w:eastAsia="宋体" w:cs="宋体"/>
          <w:spacing w:val="-1"/>
          <w:sz w:val="27"/>
          <w:szCs w:val="27"/>
        </w:rPr>
        <w:t>主要包括：</w:t>
      </w:r>
    </w:p>
    <w:p w14:paraId="2274C85C">
      <w:pPr>
        <w:spacing w:before="1" w:line="218" w:lineRule="auto"/>
        <w:ind w:left="570"/>
        <w:rPr>
          <w:rFonts w:ascii="宋体" w:hAnsi="宋体" w:eastAsia="宋体" w:cs="宋体"/>
          <w:sz w:val="24"/>
          <w:szCs w:val="24"/>
        </w:rPr>
      </w:pPr>
      <w:r>
        <w:rPr>
          <w:rFonts w:ascii="Times New Roman" w:hAnsi="Times New Roman" w:eastAsia="Times New Roman" w:cs="Times New Roman"/>
          <w:spacing w:val="15"/>
          <w:sz w:val="24"/>
          <w:szCs w:val="24"/>
        </w:rPr>
        <w:t>a</w:t>
      </w:r>
      <w:r>
        <w:rPr>
          <w:rFonts w:ascii="Times New Roman" w:hAnsi="Times New Roman" w:eastAsia="Times New Roman" w:cs="Times New Roman"/>
          <w:spacing w:val="-23"/>
          <w:sz w:val="24"/>
          <w:szCs w:val="24"/>
        </w:rPr>
        <w:t xml:space="preserve"> </w:t>
      </w:r>
      <w:r>
        <w:rPr>
          <w:rFonts w:ascii="宋体" w:hAnsi="宋体" w:eastAsia="宋体" w:cs="宋体"/>
          <w:spacing w:val="15"/>
          <w:sz w:val="24"/>
          <w:szCs w:val="24"/>
        </w:rPr>
        <w:t>)</w:t>
      </w:r>
      <w:r>
        <w:rPr>
          <w:rFonts w:ascii="宋体" w:hAnsi="宋体" w:eastAsia="宋体" w:cs="宋体"/>
          <w:spacing w:val="-30"/>
          <w:sz w:val="24"/>
          <w:szCs w:val="24"/>
        </w:rPr>
        <w:t xml:space="preserve"> </w:t>
      </w:r>
      <w:r>
        <w:rPr>
          <w:rFonts w:ascii="宋体" w:hAnsi="宋体" w:eastAsia="宋体" w:cs="宋体"/>
          <w:spacing w:val="15"/>
          <w:sz w:val="24"/>
          <w:szCs w:val="24"/>
        </w:rPr>
        <w:t>机内测试；</w:t>
      </w:r>
    </w:p>
    <w:p w14:paraId="5AC2A6D4">
      <w:pPr>
        <w:spacing w:before="110" w:line="212" w:lineRule="auto"/>
        <w:ind w:left="570"/>
        <w:rPr>
          <w:rFonts w:ascii="宋体" w:hAnsi="宋体" w:eastAsia="宋体" w:cs="宋体"/>
          <w:sz w:val="24"/>
          <w:szCs w:val="24"/>
        </w:rPr>
      </w:pPr>
      <w:r>
        <w:rPr>
          <w:rFonts w:ascii="Times New Roman" w:hAnsi="Times New Roman" w:eastAsia="Times New Roman" w:cs="Times New Roman"/>
          <w:spacing w:val="-12"/>
          <w:sz w:val="24"/>
          <w:szCs w:val="24"/>
        </w:rPr>
        <w:t>b)</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自</w:t>
      </w:r>
      <w:r>
        <w:rPr>
          <w:rFonts w:ascii="宋体" w:hAnsi="宋体" w:eastAsia="宋体" w:cs="宋体"/>
          <w:spacing w:val="-44"/>
          <w:sz w:val="24"/>
          <w:szCs w:val="24"/>
        </w:rPr>
        <w:t xml:space="preserve"> </w:t>
      </w:r>
      <w:r>
        <w:rPr>
          <w:rFonts w:ascii="宋体" w:hAnsi="宋体" w:eastAsia="宋体" w:cs="宋体"/>
          <w:spacing w:val="-12"/>
          <w:sz w:val="24"/>
          <w:szCs w:val="24"/>
        </w:rPr>
        <w:t>动</w:t>
      </w:r>
      <w:r>
        <w:rPr>
          <w:rFonts w:ascii="宋体" w:hAnsi="宋体" w:eastAsia="宋体" w:cs="宋体"/>
          <w:spacing w:val="-43"/>
          <w:sz w:val="24"/>
          <w:szCs w:val="24"/>
        </w:rPr>
        <w:t xml:space="preserve"> </w:t>
      </w:r>
      <w:r>
        <w:rPr>
          <w:rFonts w:ascii="宋体" w:hAnsi="宋体" w:eastAsia="宋体" w:cs="宋体"/>
          <w:spacing w:val="-12"/>
          <w:sz w:val="24"/>
          <w:szCs w:val="24"/>
        </w:rPr>
        <w:t>测</w:t>
      </w:r>
      <w:r>
        <w:rPr>
          <w:rFonts w:ascii="宋体" w:hAnsi="宋体" w:eastAsia="宋体" w:cs="宋体"/>
          <w:spacing w:val="-45"/>
          <w:sz w:val="24"/>
          <w:szCs w:val="24"/>
        </w:rPr>
        <w:t xml:space="preserve"> </w:t>
      </w:r>
      <w:r>
        <w:rPr>
          <w:rFonts w:ascii="宋体" w:hAnsi="宋体" w:eastAsia="宋体" w:cs="宋体"/>
          <w:spacing w:val="-12"/>
          <w:sz w:val="24"/>
          <w:szCs w:val="24"/>
        </w:rPr>
        <w:t>试</w:t>
      </w:r>
      <w:r>
        <w:rPr>
          <w:rFonts w:ascii="宋体" w:hAnsi="宋体" w:eastAsia="宋体" w:cs="宋体"/>
          <w:spacing w:val="-53"/>
          <w:sz w:val="24"/>
          <w:szCs w:val="24"/>
        </w:rPr>
        <w:t xml:space="preserve"> </w:t>
      </w:r>
      <w:r>
        <w:rPr>
          <w:rFonts w:ascii="宋体" w:hAnsi="宋体" w:eastAsia="宋体" w:cs="宋体"/>
          <w:spacing w:val="-12"/>
          <w:sz w:val="24"/>
          <w:szCs w:val="24"/>
        </w:rPr>
        <w:t>；</w:t>
      </w:r>
    </w:p>
    <w:p w14:paraId="252616A5">
      <w:pPr>
        <w:spacing w:before="133" w:line="220" w:lineRule="auto"/>
        <w:ind w:left="570"/>
        <w:rPr>
          <w:rFonts w:ascii="宋体" w:hAnsi="宋体" w:eastAsia="宋体" w:cs="宋体"/>
          <w:sz w:val="27"/>
          <w:szCs w:val="27"/>
        </w:rPr>
      </w:pPr>
      <w:r>
        <w:rPr>
          <w:rFonts w:ascii="Times New Roman" w:hAnsi="Times New Roman" w:eastAsia="Times New Roman" w:cs="Times New Roman"/>
          <w:spacing w:val="10"/>
          <w:sz w:val="27"/>
          <w:szCs w:val="27"/>
        </w:rPr>
        <w:t>c</w:t>
      </w:r>
      <w:r>
        <w:rPr>
          <w:rFonts w:ascii="宋体" w:hAnsi="宋体" w:eastAsia="宋体" w:cs="宋体"/>
          <w:spacing w:val="10"/>
          <w:sz w:val="27"/>
          <w:szCs w:val="27"/>
        </w:rPr>
        <w:t>)手工测试；</w:t>
      </w:r>
    </w:p>
    <w:p w14:paraId="4B59817D">
      <w:pPr>
        <w:spacing w:before="57"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d)</w:t>
      </w:r>
      <w:r>
        <w:rPr>
          <w:rFonts w:ascii="Times New Roman" w:hAnsi="Times New Roman" w:eastAsia="Times New Roman" w:cs="Times New Roman"/>
          <w:spacing w:val="73"/>
          <w:sz w:val="27"/>
          <w:szCs w:val="27"/>
        </w:rPr>
        <w:t xml:space="preserve"> </w:t>
      </w:r>
      <w:r>
        <w:rPr>
          <w:rFonts w:ascii="宋体" w:hAnsi="宋体" w:eastAsia="宋体" w:cs="宋体"/>
          <w:spacing w:val="2"/>
          <w:sz w:val="27"/>
          <w:szCs w:val="27"/>
        </w:rPr>
        <w:t>维修辅助手段和技术信息；</w:t>
      </w:r>
    </w:p>
    <w:p w14:paraId="13665501">
      <w:pPr>
        <w:spacing w:before="121" w:line="219" w:lineRule="auto"/>
        <w:ind w:left="570"/>
        <w:rPr>
          <w:rFonts w:ascii="宋体" w:hAnsi="宋体" w:eastAsia="宋体" w:cs="宋体"/>
          <w:sz w:val="27"/>
          <w:szCs w:val="27"/>
        </w:rPr>
      </w:pPr>
      <w:r>
        <w:rPr>
          <w:rFonts w:ascii="Times New Roman" w:hAnsi="Times New Roman" w:eastAsia="Times New Roman" w:cs="Times New Roman"/>
          <w:spacing w:val="10"/>
          <w:sz w:val="27"/>
          <w:szCs w:val="27"/>
        </w:rPr>
        <w:t>e</w:t>
      </w:r>
      <w:r>
        <w:rPr>
          <w:rFonts w:ascii="宋体" w:hAnsi="宋体" w:eastAsia="宋体" w:cs="宋体"/>
          <w:spacing w:val="10"/>
          <w:sz w:val="27"/>
          <w:szCs w:val="27"/>
        </w:rPr>
        <w:t>)技术资料；</w:t>
      </w:r>
    </w:p>
    <w:p w14:paraId="48AFCB8C">
      <w:pPr>
        <w:spacing w:before="59" w:line="212" w:lineRule="auto"/>
        <w:ind w:left="570"/>
        <w:rPr>
          <w:rFonts w:ascii="宋体" w:hAnsi="宋体" w:eastAsia="宋体" w:cs="宋体"/>
          <w:sz w:val="27"/>
          <w:szCs w:val="27"/>
        </w:rPr>
      </w:pPr>
      <w:r>
        <w:rPr>
          <w:rFonts w:ascii="Times New Roman" w:hAnsi="Times New Roman" w:eastAsia="Times New Roman" w:cs="Times New Roman"/>
          <w:sz w:val="27"/>
          <w:szCs w:val="27"/>
        </w:rPr>
        <w:t>f)</w:t>
      </w:r>
      <w:r>
        <w:rPr>
          <w:rFonts w:ascii="Times New Roman" w:hAnsi="Times New Roman" w:eastAsia="Times New Roman" w:cs="Times New Roman"/>
          <w:spacing w:val="66"/>
          <w:w w:val="101"/>
          <w:sz w:val="27"/>
          <w:szCs w:val="27"/>
        </w:rPr>
        <w:t xml:space="preserve"> </w:t>
      </w:r>
      <w:r>
        <w:rPr>
          <w:rFonts w:ascii="宋体" w:hAnsi="宋体" w:eastAsia="宋体" w:cs="宋体"/>
          <w:sz w:val="27"/>
          <w:szCs w:val="27"/>
        </w:rPr>
        <w:t>人员和培训；</w:t>
      </w:r>
    </w:p>
    <w:p w14:paraId="1B402A22">
      <w:pPr>
        <w:spacing w:before="119" w:line="212" w:lineRule="auto"/>
        <w:ind w:left="570"/>
        <w:rPr>
          <w:rFonts w:ascii="宋体" w:hAnsi="宋体" w:eastAsia="宋体" w:cs="宋体"/>
          <w:sz w:val="27"/>
          <w:szCs w:val="27"/>
        </w:rPr>
      </w:pPr>
      <w:r>
        <w:rPr>
          <w:rFonts w:ascii="Times New Roman" w:hAnsi="Times New Roman" w:eastAsia="Times New Roman" w:cs="Times New Roman"/>
          <w:spacing w:val="18"/>
          <w:sz w:val="27"/>
          <w:szCs w:val="27"/>
        </w:rPr>
        <w:t>g</w:t>
      </w:r>
      <w:r>
        <w:rPr>
          <w:rFonts w:ascii="宋体" w:hAnsi="宋体" w:eastAsia="宋体" w:cs="宋体"/>
          <w:spacing w:val="18"/>
          <w:sz w:val="27"/>
          <w:szCs w:val="27"/>
        </w:rPr>
        <w:t>)其他。</w:t>
      </w:r>
    </w:p>
    <w:p w14:paraId="468239CD">
      <w:pPr>
        <w:spacing w:before="110" w:line="286" w:lineRule="auto"/>
        <w:ind w:right="5" w:firstLine="570"/>
        <w:rPr>
          <w:rFonts w:ascii="宋体" w:hAnsi="宋体" w:eastAsia="宋体" w:cs="宋体"/>
          <w:sz w:val="27"/>
          <w:szCs w:val="27"/>
        </w:rPr>
      </w:pPr>
      <w:r>
        <w:rPr>
          <w:rFonts w:ascii="宋体" w:hAnsi="宋体" w:eastAsia="宋体" w:cs="宋体"/>
          <w:spacing w:val="-3"/>
          <w:sz w:val="27"/>
          <w:szCs w:val="27"/>
        </w:rPr>
        <w:t>规定测试性定量要求时，可以单个产品为对象确定相关的</w:t>
      </w:r>
      <w:r>
        <w:rPr>
          <w:rFonts w:ascii="宋体" w:hAnsi="宋体" w:eastAsia="宋体" w:cs="宋体"/>
          <w:spacing w:val="-4"/>
          <w:sz w:val="27"/>
          <w:szCs w:val="27"/>
        </w:rPr>
        <w:t>参数指标；条件具</w:t>
      </w:r>
      <w:r>
        <w:rPr>
          <w:rFonts w:ascii="宋体" w:hAnsi="宋体" w:eastAsia="宋体" w:cs="宋体"/>
          <w:sz w:val="27"/>
          <w:szCs w:val="27"/>
        </w:rPr>
        <w:t xml:space="preserve"> </w:t>
      </w:r>
      <w:r>
        <w:rPr>
          <w:rFonts w:ascii="宋体" w:hAnsi="宋体" w:eastAsia="宋体" w:cs="宋体"/>
          <w:spacing w:val="-3"/>
          <w:sz w:val="27"/>
          <w:szCs w:val="27"/>
        </w:rPr>
        <w:t>备时，可以系统为对象综合确定相关的参数</w:t>
      </w:r>
      <w:r>
        <w:rPr>
          <w:rFonts w:ascii="宋体" w:hAnsi="宋体" w:eastAsia="宋体" w:cs="宋体"/>
          <w:spacing w:val="-4"/>
          <w:sz w:val="27"/>
          <w:szCs w:val="27"/>
        </w:rPr>
        <w:t>指标，以满足系统的任务要求。</w:t>
      </w:r>
    </w:p>
    <w:p w14:paraId="52EF4CC3">
      <w:pPr>
        <w:spacing w:line="222" w:lineRule="auto"/>
        <w:rPr>
          <w:rFonts w:ascii="黑体" w:hAnsi="黑体" w:eastAsia="黑体" w:cs="黑体"/>
          <w:sz w:val="24"/>
          <w:szCs w:val="24"/>
        </w:rPr>
      </w:pPr>
      <w:r>
        <w:rPr>
          <w:rFonts w:ascii="黑体" w:hAnsi="黑体" w:eastAsia="黑体" w:cs="黑体"/>
          <w:spacing w:val="-6"/>
          <w:sz w:val="24"/>
          <w:szCs w:val="24"/>
        </w:rPr>
        <w:t xml:space="preserve">3.9   </w:t>
      </w:r>
      <w:r>
        <w:rPr>
          <w:rFonts w:ascii="黑体" w:hAnsi="黑体" w:eastAsia="黑体" w:cs="黑体"/>
          <w:b/>
          <w:bCs/>
          <w:spacing w:val="-6"/>
          <w:sz w:val="24"/>
          <w:szCs w:val="24"/>
        </w:rPr>
        <w:t>耐</w:t>
      </w:r>
      <w:r>
        <w:rPr>
          <w:rFonts w:ascii="黑体" w:hAnsi="黑体" w:eastAsia="黑体" w:cs="黑体"/>
          <w:spacing w:val="-50"/>
          <w:sz w:val="24"/>
          <w:szCs w:val="24"/>
        </w:rPr>
        <w:t xml:space="preserve"> </w:t>
      </w:r>
      <w:r>
        <w:rPr>
          <w:rFonts w:ascii="黑体" w:hAnsi="黑体" w:eastAsia="黑体" w:cs="黑体"/>
          <w:b/>
          <w:bCs/>
          <w:spacing w:val="-6"/>
          <w:sz w:val="24"/>
          <w:szCs w:val="24"/>
        </w:rPr>
        <w:t>久</w:t>
      </w:r>
      <w:r>
        <w:rPr>
          <w:rFonts w:ascii="黑体" w:hAnsi="黑体" w:eastAsia="黑体" w:cs="黑体"/>
          <w:spacing w:val="-55"/>
          <w:sz w:val="24"/>
          <w:szCs w:val="24"/>
        </w:rPr>
        <w:t xml:space="preserve"> </w:t>
      </w:r>
      <w:r>
        <w:rPr>
          <w:rFonts w:ascii="黑体" w:hAnsi="黑体" w:eastAsia="黑体" w:cs="黑体"/>
          <w:b/>
          <w:bCs/>
          <w:spacing w:val="-6"/>
          <w:sz w:val="24"/>
          <w:szCs w:val="24"/>
        </w:rPr>
        <w:t>性</w:t>
      </w:r>
    </w:p>
    <w:p w14:paraId="569DAA56">
      <w:pPr>
        <w:spacing w:before="115" w:line="275" w:lineRule="auto"/>
        <w:ind w:right="7" w:firstLine="570"/>
        <w:jc w:val="both"/>
        <w:rPr>
          <w:rFonts w:ascii="宋体" w:hAnsi="宋体" w:eastAsia="宋体" w:cs="宋体"/>
          <w:sz w:val="27"/>
          <w:szCs w:val="27"/>
        </w:rPr>
      </w:pPr>
      <w:r>
        <w:rPr>
          <w:rFonts w:ascii="宋体" w:hAnsi="宋体" w:eastAsia="宋体" w:cs="宋体"/>
          <w:spacing w:val="-3"/>
          <w:sz w:val="27"/>
          <w:szCs w:val="27"/>
        </w:rPr>
        <w:t>本条规定实体在规定的使用、贮存与维修条件下，达</w:t>
      </w:r>
      <w:r>
        <w:rPr>
          <w:rFonts w:ascii="宋体" w:hAnsi="宋体" w:eastAsia="宋体" w:cs="宋体"/>
          <w:spacing w:val="-4"/>
          <w:sz w:val="27"/>
          <w:szCs w:val="27"/>
        </w:rPr>
        <w:t>到极限状态之前，完成</w:t>
      </w:r>
      <w:r>
        <w:rPr>
          <w:rFonts w:ascii="宋体" w:hAnsi="宋体" w:eastAsia="宋体" w:cs="宋体"/>
          <w:sz w:val="27"/>
          <w:szCs w:val="27"/>
        </w:rPr>
        <w:t xml:space="preserve"> </w:t>
      </w:r>
      <w:r>
        <w:rPr>
          <w:rFonts w:ascii="宋体" w:hAnsi="宋体" w:eastAsia="宋体" w:cs="宋体"/>
          <w:spacing w:val="5"/>
          <w:sz w:val="27"/>
          <w:szCs w:val="27"/>
        </w:rPr>
        <w:t>规定功能的能力。实体的耐久性定量要求可视情采用下述多个适用的参数指标</w:t>
      </w:r>
      <w:r>
        <w:rPr>
          <w:rFonts w:ascii="宋体" w:hAnsi="宋体" w:eastAsia="宋体" w:cs="宋体"/>
          <w:sz w:val="27"/>
          <w:szCs w:val="27"/>
        </w:rPr>
        <w:t xml:space="preserve"> </w:t>
      </w:r>
      <w:r>
        <w:rPr>
          <w:rFonts w:ascii="宋体" w:hAnsi="宋体" w:eastAsia="宋体" w:cs="宋体"/>
          <w:spacing w:val="-15"/>
          <w:sz w:val="27"/>
          <w:szCs w:val="27"/>
        </w:rPr>
        <w:t>表示：有用寿命、经济寿命、贮存寿命、总寿命、首</w:t>
      </w:r>
      <w:r>
        <w:rPr>
          <w:rFonts w:ascii="宋体" w:hAnsi="宋体" w:eastAsia="宋体" w:cs="宋体"/>
          <w:spacing w:val="-16"/>
          <w:sz w:val="27"/>
          <w:szCs w:val="27"/>
        </w:rPr>
        <w:t>翻期与翻修间隔期限等。</w:t>
      </w:r>
    </w:p>
    <w:p w14:paraId="1801CCDE">
      <w:pPr>
        <w:spacing w:before="15" w:line="219" w:lineRule="auto"/>
        <w:ind w:left="570"/>
        <w:rPr>
          <w:rFonts w:ascii="宋体" w:hAnsi="宋体" w:eastAsia="宋体" w:cs="宋体"/>
          <w:sz w:val="27"/>
          <w:szCs w:val="27"/>
        </w:rPr>
      </w:pPr>
      <w:r>
        <w:rPr>
          <w:rFonts w:ascii="宋体" w:hAnsi="宋体" w:eastAsia="宋体" w:cs="宋体"/>
          <w:spacing w:val="-9"/>
          <w:sz w:val="27"/>
          <w:szCs w:val="27"/>
        </w:rPr>
        <w:t>确定耐久性指标时，应明确：</w:t>
      </w:r>
    </w:p>
    <w:p w14:paraId="04DC08C4">
      <w:pPr>
        <w:spacing w:before="59" w:line="212" w:lineRule="auto"/>
        <w:ind w:left="570"/>
        <w:rPr>
          <w:rFonts w:ascii="宋体" w:hAnsi="宋体" w:eastAsia="宋体" w:cs="宋体"/>
          <w:sz w:val="27"/>
          <w:szCs w:val="27"/>
        </w:rPr>
      </w:pPr>
      <w:r>
        <w:rPr>
          <w:rFonts w:ascii="Times New Roman" w:hAnsi="Times New Roman" w:eastAsia="Times New Roman" w:cs="Times New Roman"/>
          <w:spacing w:val="6"/>
          <w:sz w:val="27"/>
          <w:szCs w:val="27"/>
        </w:rPr>
        <w:t>a)</w:t>
      </w:r>
      <w:r>
        <w:rPr>
          <w:rFonts w:ascii="Times New Roman" w:hAnsi="Times New Roman" w:eastAsia="Times New Roman" w:cs="Times New Roman"/>
          <w:spacing w:val="73"/>
          <w:sz w:val="27"/>
          <w:szCs w:val="27"/>
        </w:rPr>
        <w:t xml:space="preserve"> </w:t>
      </w:r>
      <w:r>
        <w:rPr>
          <w:rFonts w:ascii="宋体" w:hAnsi="宋体" w:eastAsia="宋体" w:cs="宋体"/>
          <w:spacing w:val="6"/>
          <w:sz w:val="27"/>
          <w:szCs w:val="27"/>
        </w:rPr>
        <w:t>实体的类别及使用特点(例如具有耗损失效特征);</w:t>
      </w:r>
    </w:p>
    <w:p w14:paraId="00A53EAB">
      <w:pPr>
        <w:spacing w:before="100"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69"/>
          <w:sz w:val="27"/>
          <w:szCs w:val="27"/>
        </w:rPr>
        <w:t xml:space="preserve"> </w:t>
      </w:r>
      <w:r>
        <w:rPr>
          <w:rFonts w:ascii="宋体" w:hAnsi="宋体" w:eastAsia="宋体" w:cs="宋体"/>
          <w:spacing w:val="4"/>
          <w:sz w:val="27"/>
          <w:szCs w:val="27"/>
        </w:rPr>
        <w:t>实体所采取的维修方案或贮存方案。</w:t>
      </w:r>
    </w:p>
    <w:p w14:paraId="5462D4C4">
      <w:pPr>
        <w:spacing w:before="150" w:line="287" w:lineRule="auto"/>
        <w:ind w:right="9" w:firstLine="570"/>
        <w:rPr>
          <w:rFonts w:ascii="宋体" w:hAnsi="宋体" w:eastAsia="宋体" w:cs="宋体"/>
          <w:sz w:val="25"/>
          <w:szCs w:val="25"/>
        </w:rPr>
      </w:pPr>
      <w:r>
        <w:rPr>
          <w:rFonts w:ascii="宋体" w:hAnsi="宋体" w:eastAsia="宋体" w:cs="宋体"/>
          <w:spacing w:val="34"/>
          <w:sz w:val="25"/>
          <w:szCs w:val="25"/>
        </w:rPr>
        <w:t>规定耐久性寿命参数的定量要求时，还应综合权衡实体的极</w:t>
      </w:r>
      <w:r>
        <w:rPr>
          <w:rFonts w:ascii="宋体" w:hAnsi="宋体" w:eastAsia="宋体" w:cs="宋体"/>
          <w:spacing w:val="33"/>
          <w:sz w:val="25"/>
          <w:szCs w:val="25"/>
        </w:rPr>
        <w:t>限状态和经</w:t>
      </w:r>
      <w:r>
        <w:rPr>
          <w:rFonts w:ascii="宋体" w:hAnsi="宋体" w:eastAsia="宋体" w:cs="宋体"/>
          <w:sz w:val="25"/>
          <w:szCs w:val="25"/>
        </w:rPr>
        <w:t xml:space="preserve"> </w:t>
      </w:r>
      <w:r>
        <w:rPr>
          <w:rFonts w:ascii="宋体" w:hAnsi="宋体" w:eastAsia="宋体" w:cs="宋体"/>
          <w:spacing w:val="15"/>
          <w:sz w:val="25"/>
          <w:szCs w:val="25"/>
        </w:rPr>
        <w:t>济性。</w:t>
      </w:r>
    </w:p>
    <w:p w14:paraId="19DD0F22">
      <w:pPr>
        <w:spacing w:line="223" w:lineRule="auto"/>
        <w:rPr>
          <w:rFonts w:ascii="黑体" w:hAnsi="黑体" w:eastAsia="黑体" w:cs="黑体"/>
          <w:sz w:val="27"/>
          <w:szCs w:val="27"/>
        </w:rPr>
      </w:pPr>
      <w:r>
        <w:rPr>
          <w:rFonts w:ascii="黑体" w:hAnsi="黑体" w:eastAsia="黑体" w:cs="黑体"/>
          <w:spacing w:val="-1"/>
          <w:sz w:val="27"/>
          <w:szCs w:val="27"/>
        </w:rPr>
        <w:t>3.10</w:t>
      </w:r>
      <w:r>
        <w:rPr>
          <w:rFonts w:ascii="黑体" w:hAnsi="黑体" w:eastAsia="黑体" w:cs="黑体"/>
          <w:spacing w:val="29"/>
          <w:sz w:val="27"/>
          <w:szCs w:val="27"/>
        </w:rPr>
        <w:t xml:space="preserve">  </w:t>
      </w:r>
      <w:r>
        <w:rPr>
          <w:rFonts w:ascii="黑体" w:hAnsi="黑体" w:eastAsia="黑体" w:cs="黑体"/>
          <w:b/>
          <w:bCs/>
          <w:spacing w:val="-1"/>
          <w:sz w:val="27"/>
          <w:szCs w:val="27"/>
        </w:rPr>
        <w:t>安全性</w:t>
      </w:r>
    </w:p>
    <w:p w14:paraId="18F7A622">
      <w:pPr>
        <w:spacing w:before="105" w:line="219" w:lineRule="auto"/>
        <w:ind w:left="570"/>
        <w:rPr>
          <w:rFonts w:ascii="宋体" w:hAnsi="宋体" w:eastAsia="宋体" w:cs="宋体"/>
          <w:sz w:val="27"/>
          <w:szCs w:val="27"/>
        </w:rPr>
      </w:pPr>
      <w:r>
        <w:rPr>
          <w:rFonts w:ascii="宋体" w:hAnsi="宋体" w:eastAsia="宋体" w:cs="宋体"/>
          <w:sz w:val="27"/>
          <w:szCs w:val="27"/>
        </w:rPr>
        <w:t>本条规定下述内容。</w:t>
      </w:r>
    </w:p>
    <w:p w14:paraId="3AD89F86">
      <w:pPr>
        <w:spacing w:before="61" w:line="212" w:lineRule="auto"/>
        <w:ind w:right="6"/>
        <w:jc w:val="right"/>
        <w:rPr>
          <w:rFonts w:ascii="宋体" w:hAnsi="宋体" w:eastAsia="宋体" w:cs="宋体"/>
          <w:sz w:val="27"/>
          <w:szCs w:val="27"/>
        </w:rPr>
      </w:pPr>
      <w:r>
        <w:rPr>
          <w:rFonts w:ascii="Times New Roman" w:hAnsi="Times New Roman" w:eastAsia="Times New Roman" w:cs="Times New Roman"/>
          <w:spacing w:val="12"/>
          <w:sz w:val="27"/>
          <w:szCs w:val="27"/>
        </w:rPr>
        <w:t>a)</w:t>
      </w:r>
      <w:r>
        <w:rPr>
          <w:rFonts w:ascii="Times New Roman" w:hAnsi="Times New Roman" w:eastAsia="Times New Roman" w:cs="Times New Roman"/>
          <w:spacing w:val="53"/>
          <w:sz w:val="27"/>
          <w:szCs w:val="27"/>
        </w:rPr>
        <w:t xml:space="preserve"> </w:t>
      </w:r>
      <w:r>
        <w:rPr>
          <w:rFonts w:ascii="宋体" w:hAnsi="宋体" w:eastAsia="宋体" w:cs="宋体"/>
          <w:spacing w:val="12"/>
          <w:sz w:val="27"/>
          <w:szCs w:val="27"/>
        </w:rPr>
        <w:t>实体在规定条件下和规定时间内，以可接</w:t>
      </w:r>
      <w:r>
        <w:rPr>
          <w:rFonts w:ascii="宋体" w:hAnsi="宋体" w:eastAsia="宋体" w:cs="宋体"/>
          <w:spacing w:val="11"/>
          <w:sz w:val="27"/>
          <w:szCs w:val="27"/>
        </w:rPr>
        <w:t>受的风险执行规定功能的能</w:t>
      </w:r>
    </w:p>
    <w:p w14:paraId="6F2F4C06">
      <w:pPr>
        <w:spacing w:line="212" w:lineRule="auto"/>
        <w:rPr>
          <w:rFonts w:ascii="宋体" w:hAnsi="宋体" w:eastAsia="宋体" w:cs="宋体"/>
          <w:sz w:val="27"/>
          <w:szCs w:val="27"/>
        </w:rPr>
        <w:sectPr>
          <w:footerReference r:id="rId101" w:type="default"/>
          <w:pgSz w:w="11910" w:h="17130"/>
          <w:pgMar w:top="400" w:right="1019" w:bottom="1527" w:left="1509" w:header="0" w:footer="1310" w:gutter="0"/>
          <w:cols w:space="720" w:num="1"/>
        </w:sectPr>
      </w:pPr>
    </w:p>
    <w:p w14:paraId="721D7B5E">
      <w:pPr>
        <w:pStyle w:val="2"/>
        <w:spacing w:line="257" w:lineRule="auto"/>
      </w:pPr>
    </w:p>
    <w:p w14:paraId="6358417C">
      <w:pPr>
        <w:pStyle w:val="2"/>
        <w:spacing w:line="257" w:lineRule="auto"/>
      </w:pPr>
    </w:p>
    <w:p w14:paraId="56400B61">
      <w:pPr>
        <w:pStyle w:val="2"/>
        <w:spacing w:line="257" w:lineRule="auto"/>
      </w:pPr>
    </w:p>
    <w:p w14:paraId="4751E399">
      <w:pPr>
        <w:pStyle w:val="2"/>
        <w:spacing w:line="258" w:lineRule="auto"/>
      </w:pPr>
    </w:p>
    <w:p w14:paraId="1D532AEC">
      <w:pPr>
        <w:spacing w:before="88" w:line="273" w:lineRule="auto"/>
        <w:ind w:right="123"/>
        <w:jc w:val="both"/>
        <w:rPr>
          <w:rFonts w:ascii="宋体" w:hAnsi="宋体" w:eastAsia="宋体" w:cs="宋体"/>
          <w:sz w:val="27"/>
          <w:szCs w:val="27"/>
        </w:rPr>
      </w:pPr>
      <w:r>
        <w:rPr>
          <w:rFonts w:ascii="宋体" w:hAnsi="宋体" w:eastAsia="宋体" w:cs="宋体"/>
          <w:spacing w:val="5"/>
          <w:sz w:val="27"/>
          <w:szCs w:val="27"/>
        </w:rPr>
        <w:t>力。实体的安全性定量要求可用总事故风险参数指标表示。总事故风</w:t>
      </w:r>
      <w:r>
        <w:rPr>
          <w:rFonts w:ascii="宋体" w:hAnsi="宋体" w:eastAsia="宋体" w:cs="宋体"/>
          <w:spacing w:val="4"/>
          <w:sz w:val="27"/>
          <w:szCs w:val="27"/>
        </w:rPr>
        <w:t>险参数指</w:t>
      </w:r>
      <w:r>
        <w:rPr>
          <w:rFonts w:ascii="宋体" w:hAnsi="宋体" w:eastAsia="宋体" w:cs="宋体"/>
          <w:sz w:val="27"/>
          <w:szCs w:val="27"/>
        </w:rPr>
        <w:t xml:space="preserve"> </w:t>
      </w:r>
      <w:r>
        <w:rPr>
          <w:rFonts w:ascii="宋体" w:hAnsi="宋体" w:eastAsia="宋体" w:cs="宋体"/>
          <w:spacing w:val="5"/>
          <w:sz w:val="27"/>
          <w:szCs w:val="27"/>
        </w:rPr>
        <w:t>标由实体各类事故风险参数指标之和统计确定。风险参数指标不能量化时，采</w:t>
      </w:r>
      <w:r>
        <w:rPr>
          <w:rFonts w:ascii="宋体" w:hAnsi="宋体" w:eastAsia="宋体" w:cs="宋体"/>
          <w:spacing w:val="10"/>
          <w:sz w:val="27"/>
          <w:szCs w:val="27"/>
        </w:rPr>
        <w:t xml:space="preserve"> </w:t>
      </w:r>
      <w:r>
        <w:rPr>
          <w:rFonts w:ascii="宋体" w:hAnsi="宋体" w:eastAsia="宋体" w:cs="宋体"/>
          <w:spacing w:val="-3"/>
          <w:sz w:val="27"/>
          <w:szCs w:val="27"/>
        </w:rPr>
        <w:t>用风险分析方法对灾难、严重、轻度、轻微等四个危险严重性等级的事故发生概</w:t>
      </w:r>
      <w:r>
        <w:rPr>
          <w:rFonts w:ascii="宋体" w:hAnsi="宋体" w:eastAsia="宋体" w:cs="宋体"/>
          <w:spacing w:val="14"/>
          <w:sz w:val="27"/>
          <w:szCs w:val="27"/>
        </w:rPr>
        <w:t xml:space="preserve"> </w:t>
      </w:r>
      <w:r>
        <w:rPr>
          <w:rFonts w:ascii="宋体" w:hAnsi="宋体" w:eastAsia="宋体" w:cs="宋体"/>
          <w:sz w:val="27"/>
          <w:szCs w:val="27"/>
        </w:rPr>
        <w:t>率作出预估。</w:t>
      </w:r>
    </w:p>
    <w:p w14:paraId="10AE7144">
      <w:pPr>
        <w:spacing w:before="4" w:line="283" w:lineRule="auto"/>
        <w:ind w:right="109" w:firstLine="560"/>
        <w:jc w:val="both"/>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57"/>
          <w:w w:val="101"/>
          <w:sz w:val="27"/>
          <w:szCs w:val="27"/>
        </w:rPr>
        <w:t xml:space="preserve"> </w:t>
      </w:r>
      <w:r>
        <w:rPr>
          <w:rFonts w:ascii="宋体" w:hAnsi="宋体" w:eastAsia="宋体" w:cs="宋体"/>
          <w:spacing w:val="3"/>
          <w:sz w:val="27"/>
          <w:szCs w:val="27"/>
        </w:rPr>
        <w:t>实体防止危害性事故发生的设计约束条件，主要包括：</w:t>
      </w:r>
      <w:r>
        <w:rPr>
          <w:rFonts w:ascii="宋体" w:hAnsi="宋体" w:eastAsia="宋体" w:cs="宋体"/>
          <w:spacing w:val="2"/>
          <w:sz w:val="27"/>
          <w:szCs w:val="27"/>
        </w:rPr>
        <w:t>1)实体在保护自</w:t>
      </w:r>
      <w:r>
        <w:rPr>
          <w:rFonts w:ascii="宋体" w:hAnsi="宋体" w:eastAsia="宋体" w:cs="宋体"/>
          <w:sz w:val="27"/>
          <w:szCs w:val="27"/>
        </w:rPr>
        <w:t xml:space="preserve"> </w:t>
      </w:r>
      <w:r>
        <w:rPr>
          <w:rFonts w:ascii="宋体" w:hAnsi="宋体" w:eastAsia="宋体" w:cs="宋体"/>
          <w:spacing w:val="-10"/>
          <w:sz w:val="27"/>
          <w:szCs w:val="27"/>
        </w:rPr>
        <w:t>然环境、人员、设备及信息安全方面所应固有的安全性特征；2)“失效保险”和紧</w:t>
      </w:r>
      <w:r>
        <w:rPr>
          <w:rFonts w:ascii="宋体" w:hAnsi="宋体" w:eastAsia="宋体" w:cs="宋体"/>
          <w:spacing w:val="10"/>
          <w:sz w:val="27"/>
          <w:szCs w:val="27"/>
        </w:rPr>
        <w:t xml:space="preserve"> </w:t>
      </w:r>
      <w:r>
        <w:rPr>
          <w:rFonts w:ascii="宋体" w:hAnsi="宋体" w:eastAsia="宋体" w:cs="宋体"/>
          <w:spacing w:val="-2"/>
          <w:sz w:val="27"/>
          <w:szCs w:val="27"/>
        </w:rPr>
        <w:t>急操作的约束条件；3)健康与安全准则，包括</w:t>
      </w:r>
      <w:r>
        <w:rPr>
          <w:rFonts w:ascii="宋体" w:hAnsi="宋体" w:eastAsia="宋体" w:cs="宋体"/>
          <w:spacing w:val="-3"/>
          <w:sz w:val="27"/>
          <w:szCs w:val="27"/>
        </w:rPr>
        <w:t>考虑有害物质、废料与副产品的毒</w:t>
      </w:r>
      <w:r>
        <w:rPr>
          <w:rFonts w:ascii="宋体" w:hAnsi="宋体" w:eastAsia="宋体" w:cs="宋体"/>
          <w:sz w:val="27"/>
          <w:szCs w:val="27"/>
        </w:rPr>
        <w:t xml:space="preserve"> </w:t>
      </w:r>
      <w:r>
        <w:rPr>
          <w:rFonts w:ascii="宋体" w:hAnsi="宋体" w:eastAsia="宋体" w:cs="宋体"/>
          <w:spacing w:val="-2"/>
          <w:sz w:val="27"/>
          <w:szCs w:val="27"/>
        </w:rPr>
        <w:t>害效应、离子化辐射与非离子化辐射及其对环境造</w:t>
      </w:r>
      <w:r>
        <w:rPr>
          <w:rFonts w:ascii="宋体" w:hAnsi="宋体" w:eastAsia="宋体" w:cs="宋体"/>
          <w:spacing w:val="-3"/>
          <w:sz w:val="27"/>
          <w:szCs w:val="27"/>
        </w:rPr>
        <w:t>成的影响；4)软件预防无意识</w:t>
      </w:r>
      <w:r>
        <w:rPr>
          <w:rFonts w:ascii="宋体" w:hAnsi="宋体" w:eastAsia="宋体" w:cs="宋体"/>
          <w:sz w:val="27"/>
          <w:szCs w:val="27"/>
        </w:rPr>
        <w:t xml:space="preserve"> </w:t>
      </w:r>
      <w:r>
        <w:rPr>
          <w:rFonts w:ascii="宋体" w:hAnsi="宋体" w:eastAsia="宋体" w:cs="宋体"/>
          <w:spacing w:val="-2"/>
          <w:sz w:val="27"/>
          <w:szCs w:val="27"/>
        </w:rPr>
        <w:t>动作或非动作的措施；5)机械、电气设备所采</w:t>
      </w:r>
      <w:r>
        <w:rPr>
          <w:rFonts w:ascii="宋体" w:hAnsi="宋体" w:eastAsia="宋体" w:cs="宋体"/>
          <w:spacing w:val="-3"/>
          <w:sz w:val="27"/>
          <w:szCs w:val="27"/>
        </w:rPr>
        <w:t>用的探测报警、事故预防和化解措</w:t>
      </w:r>
      <w:r>
        <w:rPr>
          <w:rFonts w:ascii="宋体" w:hAnsi="宋体" w:eastAsia="宋体" w:cs="宋体"/>
          <w:sz w:val="27"/>
          <w:szCs w:val="27"/>
        </w:rPr>
        <w:t xml:space="preserve"> </w:t>
      </w:r>
      <w:r>
        <w:rPr>
          <w:rFonts w:ascii="宋体" w:hAnsi="宋体" w:eastAsia="宋体" w:cs="宋体"/>
          <w:spacing w:val="-5"/>
          <w:sz w:val="27"/>
          <w:szCs w:val="27"/>
        </w:rPr>
        <w:t>施等；6)核安全等特定的安全规则。</w:t>
      </w:r>
    </w:p>
    <w:p w14:paraId="0DEF889F">
      <w:pPr>
        <w:spacing w:before="18" w:line="223" w:lineRule="auto"/>
        <w:rPr>
          <w:rFonts w:ascii="黑体" w:hAnsi="黑体" w:eastAsia="黑体" w:cs="黑体"/>
          <w:sz w:val="25"/>
          <w:szCs w:val="25"/>
        </w:rPr>
      </w:pPr>
      <w:r>
        <w:rPr>
          <w:rFonts w:ascii="黑体" w:hAnsi="黑体" w:eastAsia="黑体" w:cs="黑体"/>
          <w:spacing w:val="11"/>
          <w:sz w:val="25"/>
          <w:szCs w:val="25"/>
        </w:rPr>
        <w:t>3.11</w:t>
      </w:r>
      <w:r>
        <w:rPr>
          <w:rFonts w:ascii="黑体" w:hAnsi="黑体" w:eastAsia="黑体" w:cs="黑体"/>
          <w:spacing w:val="48"/>
          <w:sz w:val="25"/>
          <w:szCs w:val="25"/>
        </w:rPr>
        <w:t xml:space="preserve">  </w:t>
      </w:r>
      <w:r>
        <w:rPr>
          <w:rFonts w:ascii="黑体" w:hAnsi="黑体" w:eastAsia="黑体" w:cs="黑体"/>
          <w:b/>
          <w:bCs/>
          <w:spacing w:val="11"/>
          <w:sz w:val="25"/>
          <w:szCs w:val="25"/>
        </w:rPr>
        <w:t>信息安全</w:t>
      </w:r>
    </w:p>
    <w:p w14:paraId="7990F1DE">
      <w:pPr>
        <w:spacing w:before="90" w:line="219" w:lineRule="auto"/>
        <w:ind w:left="560"/>
        <w:rPr>
          <w:rFonts w:ascii="宋体" w:hAnsi="宋体" w:eastAsia="宋体" w:cs="宋体"/>
          <w:sz w:val="27"/>
          <w:szCs w:val="27"/>
        </w:rPr>
      </w:pPr>
      <w:r>
        <w:rPr>
          <w:rFonts w:ascii="宋体" w:hAnsi="宋体" w:eastAsia="宋体" w:cs="宋体"/>
          <w:sz w:val="27"/>
          <w:szCs w:val="27"/>
        </w:rPr>
        <w:t>本条规定下述内容。</w:t>
      </w:r>
    </w:p>
    <w:p w14:paraId="5728FED6">
      <w:pPr>
        <w:spacing w:before="50" w:line="271" w:lineRule="auto"/>
        <w:ind w:right="92" w:firstLine="560"/>
        <w:rPr>
          <w:rFonts w:ascii="宋体" w:hAnsi="宋体" w:eastAsia="宋体" w:cs="宋体"/>
          <w:sz w:val="27"/>
          <w:szCs w:val="27"/>
        </w:rPr>
      </w:pPr>
      <w:r>
        <w:rPr>
          <w:rFonts w:ascii="Times New Roman" w:hAnsi="Times New Roman" w:eastAsia="Times New Roman" w:cs="Times New Roman"/>
          <w:spacing w:val="-11"/>
          <w:sz w:val="27"/>
          <w:szCs w:val="27"/>
        </w:rPr>
        <w:t xml:space="preserve">a)  </w:t>
      </w:r>
      <w:r>
        <w:rPr>
          <w:rFonts w:ascii="宋体" w:hAnsi="宋体" w:eastAsia="宋体" w:cs="宋体"/>
          <w:spacing w:val="-11"/>
          <w:sz w:val="27"/>
          <w:szCs w:val="27"/>
        </w:rPr>
        <w:t>实体在警戒、情报、指挥、控制、通</w:t>
      </w:r>
      <w:r>
        <w:rPr>
          <w:rFonts w:ascii="宋体" w:hAnsi="宋体" w:eastAsia="宋体" w:cs="宋体"/>
          <w:spacing w:val="-12"/>
          <w:sz w:val="27"/>
          <w:szCs w:val="27"/>
        </w:rPr>
        <w:t>信和对抗等重要系统中，以可接受的风</w:t>
      </w:r>
      <w:r>
        <w:rPr>
          <w:rFonts w:ascii="宋体" w:hAnsi="宋体" w:eastAsia="宋体" w:cs="宋体"/>
          <w:sz w:val="27"/>
          <w:szCs w:val="27"/>
        </w:rPr>
        <w:t xml:space="preserve"> </w:t>
      </w:r>
      <w:r>
        <w:rPr>
          <w:rFonts w:ascii="宋体" w:hAnsi="宋体" w:eastAsia="宋体" w:cs="宋体"/>
          <w:spacing w:val="5"/>
          <w:sz w:val="27"/>
          <w:szCs w:val="27"/>
        </w:rPr>
        <w:t>险执行规定功能的能力。实体信息的定量要求和定性要求可分别用信息泄露率</w:t>
      </w:r>
      <w:r>
        <w:rPr>
          <w:rFonts w:ascii="宋体" w:hAnsi="宋体" w:eastAsia="宋体" w:cs="宋体"/>
          <w:spacing w:val="11"/>
          <w:sz w:val="27"/>
          <w:szCs w:val="27"/>
        </w:rPr>
        <w:t xml:space="preserve"> </w:t>
      </w:r>
      <w:r>
        <w:rPr>
          <w:rFonts w:ascii="宋体" w:hAnsi="宋体" w:eastAsia="宋体" w:cs="宋体"/>
          <w:spacing w:val="5"/>
          <w:sz w:val="27"/>
          <w:szCs w:val="27"/>
        </w:rPr>
        <w:t>参数指标和数据完整性(表明数据未遭受以非授权方式所做的篡改或破坏)要求</w:t>
      </w:r>
      <w:r>
        <w:rPr>
          <w:rFonts w:ascii="宋体" w:hAnsi="宋体" w:eastAsia="宋体" w:cs="宋体"/>
          <w:spacing w:val="6"/>
          <w:sz w:val="27"/>
          <w:szCs w:val="27"/>
        </w:rPr>
        <w:t xml:space="preserve"> </w:t>
      </w:r>
      <w:r>
        <w:rPr>
          <w:rFonts w:ascii="宋体" w:hAnsi="宋体" w:eastAsia="宋体" w:cs="宋体"/>
          <w:spacing w:val="-6"/>
          <w:sz w:val="27"/>
          <w:szCs w:val="27"/>
        </w:rPr>
        <w:t>表示。</w:t>
      </w:r>
    </w:p>
    <w:p w14:paraId="38D7029F">
      <w:pPr>
        <w:spacing w:before="60" w:line="274" w:lineRule="auto"/>
        <w:ind w:right="91" w:firstLine="560"/>
        <w:rPr>
          <w:rFonts w:ascii="宋体" w:hAnsi="宋体" w:eastAsia="宋体" w:cs="宋体"/>
          <w:sz w:val="27"/>
          <w:szCs w:val="27"/>
        </w:rPr>
      </w:pPr>
      <w:r>
        <w:rPr>
          <w:rFonts w:ascii="Times New Roman" w:hAnsi="Times New Roman" w:eastAsia="Times New Roman" w:cs="Times New Roman"/>
          <w:spacing w:val="-5"/>
          <w:sz w:val="27"/>
          <w:szCs w:val="27"/>
        </w:rPr>
        <w:t>b)</w:t>
      </w:r>
      <w:r>
        <w:rPr>
          <w:rFonts w:ascii="Times New Roman" w:hAnsi="Times New Roman" w:eastAsia="Times New Roman" w:cs="Times New Roman"/>
          <w:spacing w:val="75"/>
          <w:sz w:val="27"/>
          <w:szCs w:val="27"/>
        </w:rPr>
        <w:t xml:space="preserve"> </w:t>
      </w:r>
      <w:r>
        <w:rPr>
          <w:rFonts w:ascii="宋体" w:hAnsi="宋体" w:eastAsia="宋体" w:cs="宋体"/>
          <w:spacing w:val="-5"/>
          <w:sz w:val="27"/>
          <w:szCs w:val="27"/>
        </w:rPr>
        <w:t>实体为确保信息安全的设计要求和措施，主要包括：1)密码保护，根据实</w:t>
      </w:r>
      <w:r>
        <w:rPr>
          <w:rFonts w:ascii="宋体" w:hAnsi="宋体" w:eastAsia="宋体" w:cs="宋体"/>
          <w:sz w:val="27"/>
          <w:szCs w:val="27"/>
        </w:rPr>
        <w:t xml:space="preserve"> </w:t>
      </w:r>
      <w:r>
        <w:rPr>
          <w:rFonts w:ascii="宋体" w:hAnsi="宋体" w:eastAsia="宋体" w:cs="宋体"/>
          <w:spacing w:val="5"/>
          <w:sz w:val="27"/>
          <w:szCs w:val="27"/>
        </w:rPr>
        <w:t>体所涉信息的密级，采取相应级别的密码保护措施及密钥管理措施；2)安全保</w:t>
      </w:r>
      <w:r>
        <w:rPr>
          <w:rFonts w:ascii="宋体" w:hAnsi="宋体" w:eastAsia="宋体" w:cs="宋体"/>
          <w:spacing w:val="3"/>
          <w:sz w:val="27"/>
          <w:szCs w:val="27"/>
        </w:rPr>
        <w:t xml:space="preserve"> </w:t>
      </w:r>
      <w:r>
        <w:rPr>
          <w:rFonts w:ascii="宋体" w:hAnsi="宋体" w:eastAsia="宋体" w:cs="宋体"/>
          <w:spacing w:val="-10"/>
          <w:sz w:val="27"/>
          <w:szCs w:val="27"/>
        </w:rPr>
        <w:t>护，根据实体所涉信息的密级，采取加扰、屏蔽等安全防护措施，防止明信息流或</w:t>
      </w:r>
      <w:r>
        <w:rPr>
          <w:rFonts w:ascii="宋体" w:hAnsi="宋体" w:eastAsia="宋体" w:cs="宋体"/>
          <w:spacing w:val="1"/>
          <w:sz w:val="27"/>
          <w:szCs w:val="27"/>
        </w:rPr>
        <w:t xml:space="preserve"> </w:t>
      </w:r>
      <w:r>
        <w:rPr>
          <w:rFonts w:ascii="宋体" w:hAnsi="宋体" w:eastAsia="宋体" w:cs="宋体"/>
          <w:spacing w:val="-2"/>
          <w:sz w:val="27"/>
          <w:szCs w:val="27"/>
        </w:rPr>
        <w:t>纯密钥流输出；3)计算机安全，根据实体</w:t>
      </w:r>
      <w:r>
        <w:rPr>
          <w:rFonts w:ascii="宋体" w:hAnsi="宋体" w:eastAsia="宋体" w:cs="宋体"/>
          <w:spacing w:val="-3"/>
          <w:sz w:val="27"/>
          <w:szCs w:val="27"/>
        </w:rPr>
        <w:t>所涉信息的密级，对实体中配置的计算</w:t>
      </w:r>
      <w:r>
        <w:rPr>
          <w:rFonts w:ascii="宋体" w:hAnsi="宋体" w:eastAsia="宋体" w:cs="宋体"/>
          <w:sz w:val="27"/>
          <w:szCs w:val="27"/>
        </w:rPr>
        <w:t xml:space="preserve"> </w:t>
      </w:r>
      <w:r>
        <w:rPr>
          <w:rFonts w:ascii="宋体" w:hAnsi="宋体" w:eastAsia="宋体" w:cs="宋体"/>
          <w:spacing w:val="-10"/>
          <w:sz w:val="27"/>
          <w:szCs w:val="27"/>
        </w:rPr>
        <w:t>机机内软件和信息进行安全隔离，并采用存储管理、容错、防病毒、防入侵、防复</w:t>
      </w:r>
      <w:r>
        <w:rPr>
          <w:rFonts w:ascii="宋体" w:hAnsi="宋体" w:eastAsia="宋体" w:cs="宋体"/>
          <w:spacing w:val="1"/>
          <w:sz w:val="27"/>
          <w:szCs w:val="27"/>
        </w:rPr>
        <w:t xml:space="preserve"> </w:t>
      </w:r>
      <w:r>
        <w:rPr>
          <w:rFonts w:ascii="宋体" w:hAnsi="宋体" w:eastAsia="宋体" w:cs="宋体"/>
          <w:spacing w:val="-2"/>
          <w:sz w:val="27"/>
          <w:szCs w:val="27"/>
        </w:rPr>
        <w:t>制等保护措施；4)访问控制，限定数据系统</w:t>
      </w:r>
      <w:r>
        <w:rPr>
          <w:rFonts w:ascii="宋体" w:hAnsi="宋体" w:eastAsia="宋体" w:cs="宋体"/>
          <w:spacing w:val="-3"/>
          <w:sz w:val="27"/>
          <w:szCs w:val="27"/>
        </w:rPr>
        <w:t>的访问权和被访问权，采取必要的访</w:t>
      </w:r>
      <w:r>
        <w:rPr>
          <w:rFonts w:ascii="宋体" w:hAnsi="宋体" w:eastAsia="宋体" w:cs="宋体"/>
          <w:sz w:val="27"/>
          <w:szCs w:val="27"/>
        </w:rPr>
        <w:t xml:space="preserve"> </w:t>
      </w:r>
      <w:r>
        <w:rPr>
          <w:rFonts w:ascii="宋体" w:hAnsi="宋体" w:eastAsia="宋体" w:cs="宋体"/>
          <w:spacing w:val="-3"/>
          <w:sz w:val="27"/>
          <w:szCs w:val="27"/>
        </w:rPr>
        <w:t>问控制手段；5)信息交换控制，根据交换信息的密级，制定相应的加密协议和数</w:t>
      </w:r>
      <w:r>
        <w:rPr>
          <w:rFonts w:ascii="宋体" w:hAnsi="宋体" w:eastAsia="宋体" w:cs="宋体"/>
          <w:spacing w:val="18"/>
          <w:sz w:val="27"/>
          <w:szCs w:val="27"/>
        </w:rPr>
        <w:t xml:space="preserve"> </w:t>
      </w:r>
      <w:r>
        <w:rPr>
          <w:rFonts w:ascii="宋体" w:hAnsi="宋体" w:eastAsia="宋体" w:cs="宋体"/>
          <w:spacing w:val="-8"/>
          <w:sz w:val="27"/>
          <w:szCs w:val="27"/>
        </w:rPr>
        <w:t>据验收协议；6)人员控制，对涉密人员进行</w:t>
      </w:r>
      <w:r>
        <w:rPr>
          <w:rFonts w:ascii="宋体" w:hAnsi="宋体" w:eastAsia="宋体" w:cs="宋体"/>
          <w:spacing w:val="-9"/>
          <w:sz w:val="27"/>
          <w:szCs w:val="27"/>
        </w:rPr>
        <w:t>必要审查，确保人员可信。</w:t>
      </w:r>
    </w:p>
    <w:p w14:paraId="3E917582">
      <w:pPr>
        <w:spacing w:before="95" w:line="222" w:lineRule="auto"/>
        <w:rPr>
          <w:rFonts w:ascii="黑体" w:hAnsi="黑体" w:eastAsia="黑体" w:cs="黑体"/>
          <w:sz w:val="25"/>
          <w:szCs w:val="25"/>
        </w:rPr>
      </w:pPr>
      <w:r>
        <w:rPr>
          <w:rFonts w:ascii="黑体" w:hAnsi="黑体" w:eastAsia="黑体" w:cs="黑体"/>
          <w:spacing w:val="5"/>
          <w:sz w:val="25"/>
          <w:szCs w:val="25"/>
        </w:rPr>
        <w:t>3.12</w:t>
      </w:r>
      <w:r>
        <w:rPr>
          <w:rFonts w:ascii="黑体" w:hAnsi="黑体" w:eastAsia="黑体" w:cs="黑体"/>
          <w:spacing w:val="48"/>
          <w:sz w:val="25"/>
          <w:szCs w:val="25"/>
        </w:rPr>
        <w:t xml:space="preserve">  </w:t>
      </w:r>
      <w:r>
        <w:rPr>
          <w:rFonts w:ascii="黑体" w:hAnsi="黑体" w:eastAsia="黑体" w:cs="黑体"/>
          <w:b/>
          <w:bCs/>
          <w:spacing w:val="5"/>
          <w:sz w:val="25"/>
          <w:szCs w:val="25"/>
        </w:rPr>
        <w:t>隐蔽性</w:t>
      </w:r>
    </w:p>
    <w:p w14:paraId="084B3189">
      <w:pPr>
        <w:spacing w:before="111" w:line="279" w:lineRule="auto"/>
        <w:ind w:firstLine="560"/>
        <w:jc w:val="both"/>
        <w:rPr>
          <w:rFonts w:ascii="宋体" w:hAnsi="宋体" w:eastAsia="宋体" w:cs="宋体"/>
          <w:sz w:val="27"/>
          <w:szCs w:val="27"/>
        </w:rPr>
      </w:pPr>
      <w:r>
        <w:rPr>
          <w:rFonts w:ascii="宋体" w:hAnsi="宋体" w:eastAsia="宋体" w:cs="宋体"/>
          <w:spacing w:val="-3"/>
          <w:sz w:val="27"/>
          <w:szCs w:val="27"/>
        </w:rPr>
        <w:t>本条规定实体的物理场不易被敌方发现、跟踪、识别的能力。实体的隐蔽性</w:t>
      </w:r>
      <w:r>
        <w:rPr>
          <w:rFonts w:ascii="宋体" w:hAnsi="宋体" w:eastAsia="宋体" w:cs="宋体"/>
          <w:spacing w:val="18"/>
          <w:sz w:val="27"/>
          <w:szCs w:val="27"/>
        </w:rPr>
        <w:t xml:space="preserve"> </w:t>
      </w:r>
      <w:r>
        <w:rPr>
          <w:rFonts w:ascii="宋体" w:hAnsi="宋体" w:eastAsia="宋体" w:cs="宋体"/>
          <w:spacing w:val="1"/>
          <w:sz w:val="27"/>
          <w:szCs w:val="27"/>
        </w:rPr>
        <w:t>定量要求可视实体的具体情况，以下述一个或数个物理场强度的参数指标表示：</w:t>
      </w:r>
      <w:r>
        <w:rPr>
          <w:rFonts w:ascii="宋体" w:hAnsi="宋体" w:eastAsia="宋体" w:cs="宋体"/>
          <w:sz w:val="27"/>
          <w:szCs w:val="27"/>
        </w:rPr>
        <w:t xml:space="preserve"> </w:t>
      </w:r>
      <w:r>
        <w:rPr>
          <w:rFonts w:ascii="宋体" w:hAnsi="宋体" w:eastAsia="宋体" w:cs="宋体"/>
          <w:spacing w:val="-17"/>
          <w:sz w:val="27"/>
          <w:szCs w:val="27"/>
        </w:rPr>
        <w:t>雷达波反射、电磁辐射、声辐射、光辐射、红外辐射、放射性辐射、磁特性、</w:t>
      </w:r>
      <w:r>
        <w:rPr>
          <w:rFonts w:ascii="宋体" w:hAnsi="宋体" w:eastAsia="宋体" w:cs="宋体"/>
          <w:spacing w:val="-18"/>
          <w:sz w:val="27"/>
          <w:szCs w:val="27"/>
        </w:rPr>
        <w:t>声目标</w:t>
      </w:r>
      <w:r>
        <w:rPr>
          <w:rFonts w:ascii="宋体" w:hAnsi="宋体" w:eastAsia="宋体" w:cs="宋体"/>
          <w:sz w:val="27"/>
          <w:szCs w:val="27"/>
        </w:rPr>
        <w:t xml:space="preserve">  </w:t>
      </w:r>
      <w:r>
        <w:rPr>
          <w:rFonts w:ascii="宋体" w:hAnsi="宋体" w:eastAsia="宋体" w:cs="宋体"/>
          <w:spacing w:val="-25"/>
          <w:sz w:val="27"/>
          <w:szCs w:val="27"/>
        </w:rPr>
        <w:t>强度、压场、流场、暴露率等。</w:t>
      </w:r>
    </w:p>
    <w:p w14:paraId="55610C60">
      <w:pPr>
        <w:spacing w:line="219" w:lineRule="auto"/>
        <w:ind w:left="560"/>
        <w:rPr>
          <w:rFonts w:ascii="宋体" w:hAnsi="宋体" w:eastAsia="宋体" w:cs="宋体"/>
          <w:sz w:val="25"/>
          <w:szCs w:val="25"/>
        </w:rPr>
      </w:pPr>
      <w:r>
        <w:rPr>
          <w:rFonts w:ascii="宋体" w:hAnsi="宋体" w:eastAsia="宋体" w:cs="宋体"/>
          <w:spacing w:val="10"/>
          <w:sz w:val="25"/>
          <w:szCs w:val="25"/>
        </w:rPr>
        <w:t>确定隐蔽性要求时，应明确：</w:t>
      </w:r>
    </w:p>
    <w:p w14:paraId="6647AEBB">
      <w:pPr>
        <w:spacing w:before="64"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a)  </w:t>
      </w:r>
      <w:r>
        <w:rPr>
          <w:rFonts w:ascii="宋体" w:hAnsi="宋体" w:eastAsia="宋体" w:cs="宋体"/>
          <w:spacing w:val="2"/>
          <w:sz w:val="27"/>
          <w:szCs w:val="27"/>
        </w:rPr>
        <w:t>实体与其相关物理场的技术状态；</w:t>
      </w:r>
    </w:p>
    <w:p w14:paraId="736003B6">
      <w:pPr>
        <w:spacing w:before="120"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71"/>
          <w:w w:val="101"/>
          <w:sz w:val="27"/>
          <w:szCs w:val="27"/>
        </w:rPr>
        <w:t xml:space="preserve"> </w:t>
      </w:r>
      <w:r>
        <w:rPr>
          <w:rFonts w:ascii="宋体" w:hAnsi="宋体" w:eastAsia="宋体" w:cs="宋体"/>
          <w:spacing w:val="4"/>
          <w:sz w:val="27"/>
          <w:szCs w:val="27"/>
        </w:rPr>
        <w:t>实体与其相关物理场的隐蔽或伪装措施。</w:t>
      </w:r>
    </w:p>
    <w:p w14:paraId="38E460C8">
      <w:pPr>
        <w:spacing w:before="116" w:line="222" w:lineRule="auto"/>
        <w:rPr>
          <w:rFonts w:ascii="黑体" w:hAnsi="黑体" w:eastAsia="黑体" w:cs="黑体"/>
          <w:sz w:val="25"/>
          <w:szCs w:val="25"/>
        </w:rPr>
      </w:pPr>
      <w:r>
        <w:rPr>
          <w:rFonts w:ascii="黑体" w:hAnsi="黑体" w:eastAsia="黑体" w:cs="黑体"/>
          <w:spacing w:val="5"/>
          <w:sz w:val="25"/>
          <w:szCs w:val="25"/>
        </w:rPr>
        <w:t>3.13</w:t>
      </w:r>
      <w:r>
        <w:rPr>
          <w:rFonts w:ascii="黑体" w:hAnsi="黑体" w:eastAsia="黑体" w:cs="黑体"/>
          <w:spacing w:val="48"/>
          <w:sz w:val="25"/>
          <w:szCs w:val="25"/>
        </w:rPr>
        <w:t xml:space="preserve">  </w:t>
      </w:r>
      <w:r>
        <w:rPr>
          <w:rFonts w:ascii="黑体" w:hAnsi="黑体" w:eastAsia="黑体" w:cs="黑体"/>
          <w:b/>
          <w:bCs/>
          <w:spacing w:val="5"/>
          <w:sz w:val="25"/>
          <w:szCs w:val="25"/>
        </w:rPr>
        <w:t>兼容性</w:t>
      </w:r>
    </w:p>
    <w:p w14:paraId="08C5826D">
      <w:pPr>
        <w:spacing w:before="112" w:line="219" w:lineRule="auto"/>
        <w:ind w:left="560"/>
        <w:rPr>
          <w:rFonts w:ascii="宋体" w:hAnsi="宋体" w:eastAsia="宋体" w:cs="宋体"/>
          <w:sz w:val="27"/>
          <w:szCs w:val="27"/>
        </w:rPr>
      </w:pPr>
      <w:r>
        <w:rPr>
          <w:rFonts w:ascii="宋体" w:hAnsi="宋体" w:eastAsia="宋体" w:cs="宋体"/>
          <w:sz w:val="27"/>
          <w:szCs w:val="27"/>
        </w:rPr>
        <w:t>本条规定下述内容。</w:t>
      </w:r>
    </w:p>
    <w:p w14:paraId="0F0368B9">
      <w:pPr>
        <w:spacing w:line="219" w:lineRule="auto"/>
        <w:rPr>
          <w:rFonts w:ascii="宋体" w:hAnsi="宋体" w:eastAsia="宋体" w:cs="宋体"/>
          <w:sz w:val="27"/>
          <w:szCs w:val="27"/>
        </w:rPr>
        <w:sectPr>
          <w:footerReference r:id="rId102" w:type="default"/>
          <w:pgSz w:w="11910" w:h="17130"/>
          <w:pgMar w:top="400" w:right="1194" w:bottom="1643" w:left="1229" w:header="0" w:footer="1444" w:gutter="0"/>
          <w:cols w:space="720" w:num="1"/>
        </w:sectPr>
      </w:pPr>
    </w:p>
    <w:p w14:paraId="287F8DD5">
      <w:pPr>
        <w:pStyle w:val="2"/>
        <w:spacing w:line="250" w:lineRule="auto"/>
      </w:pPr>
    </w:p>
    <w:p w14:paraId="3B308985">
      <w:pPr>
        <w:pStyle w:val="2"/>
        <w:spacing w:line="250" w:lineRule="auto"/>
      </w:pPr>
    </w:p>
    <w:p w14:paraId="7732FA1A">
      <w:pPr>
        <w:pStyle w:val="2"/>
        <w:spacing w:line="250" w:lineRule="auto"/>
      </w:pPr>
    </w:p>
    <w:p w14:paraId="511E6875">
      <w:pPr>
        <w:pStyle w:val="2"/>
        <w:spacing w:line="251" w:lineRule="auto"/>
      </w:pPr>
    </w:p>
    <w:p w14:paraId="1F939B30">
      <w:pPr>
        <w:spacing w:before="88" w:line="274" w:lineRule="auto"/>
        <w:ind w:right="117" w:firstLine="560"/>
        <w:rPr>
          <w:rFonts w:ascii="宋体" w:hAnsi="宋体" w:eastAsia="宋体" w:cs="宋体"/>
          <w:sz w:val="27"/>
          <w:szCs w:val="27"/>
        </w:rPr>
      </w:pPr>
      <w:bookmarkStart w:id="58" w:name="bookmark333"/>
      <w:bookmarkEnd w:id="58"/>
      <w:r>
        <w:rPr>
          <w:rFonts w:ascii="Times New Roman" w:hAnsi="Times New Roman" w:eastAsia="Times New Roman" w:cs="Times New Roman"/>
          <w:spacing w:val="11"/>
          <w:sz w:val="27"/>
          <w:szCs w:val="27"/>
        </w:rPr>
        <w:t>a)</w:t>
      </w:r>
      <w:r>
        <w:rPr>
          <w:rFonts w:ascii="Times New Roman" w:hAnsi="Times New Roman" w:eastAsia="Times New Roman" w:cs="Times New Roman"/>
          <w:spacing w:val="71"/>
          <w:sz w:val="27"/>
          <w:szCs w:val="27"/>
        </w:rPr>
        <w:t xml:space="preserve"> </w:t>
      </w:r>
      <w:r>
        <w:rPr>
          <w:rFonts w:ascii="宋体" w:hAnsi="宋体" w:eastAsia="宋体" w:cs="宋体"/>
          <w:spacing w:val="11"/>
          <w:sz w:val="27"/>
          <w:szCs w:val="27"/>
        </w:rPr>
        <w:t>实体与其处于同一系统或同一环境中的一个或多个其他实体互不干扰</w:t>
      </w:r>
      <w:r>
        <w:rPr>
          <w:rFonts w:ascii="宋体" w:hAnsi="宋体" w:eastAsia="宋体" w:cs="宋体"/>
          <w:sz w:val="27"/>
          <w:szCs w:val="27"/>
        </w:rPr>
        <w:t xml:space="preserve"> </w:t>
      </w:r>
      <w:r>
        <w:rPr>
          <w:rFonts w:ascii="宋体" w:hAnsi="宋体" w:eastAsia="宋体" w:cs="宋体"/>
          <w:spacing w:val="-3"/>
          <w:sz w:val="27"/>
          <w:szCs w:val="27"/>
        </w:rPr>
        <w:t>的能力，包括以下列相应参数指标表示的电磁兼容性定量要求、声兼容性</w:t>
      </w:r>
      <w:r>
        <w:rPr>
          <w:rFonts w:ascii="宋体" w:hAnsi="宋体" w:eastAsia="宋体" w:cs="宋体"/>
          <w:spacing w:val="-4"/>
          <w:sz w:val="27"/>
          <w:szCs w:val="27"/>
        </w:rPr>
        <w:t>定量要</w:t>
      </w:r>
      <w:r>
        <w:rPr>
          <w:rFonts w:ascii="宋体" w:hAnsi="宋体" w:eastAsia="宋体" w:cs="宋体"/>
          <w:sz w:val="27"/>
          <w:szCs w:val="27"/>
        </w:rPr>
        <w:t xml:space="preserve"> </w:t>
      </w:r>
      <w:r>
        <w:rPr>
          <w:rFonts w:ascii="宋体" w:hAnsi="宋体" w:eastAsia="宋体" w:cs="宋体"/>
          <w:spacing w:val="2"/>
          <w:sz w:val="27"/>
          <w:szCs w:val="27"/>
        </w:rPr>
        <w:t>求和火力兼容性定量要求：1)根据实体的使用环境和</w:t>
      </w:r>
      <w:r>
        <w:rPr>
          <w:rFonts w:ascii="宋体" w:hAnsi="宋体" w:eastAsia="宋体" w:cs="宋体"/>
          <w:spacing w:val="-67"/>
          <w:sz w:val="27"/>
          <w:szCs w:val="27"/>
        </w:rPr>
        <w:t xml:space="preserve"> </w:t>
      </w:r>
      <w:r>
        <w:rPr>
          <w:rFonts w:ascii="Times New Roman" w:hAnsi="Times New Roman" w:eastAsia="Times New Roman" w:cs="Times New Roman"/>
          <w:sz w:val="27"/>
          <w:szCs w:val="27"/>
        </w:rPr>
        <w:t>GJB</w:t>
      </w:r>
      <w:r>
        <w:rPr>
          <w:rFonts w:ascii="Times New Roman" w:hAnsi="Times New Roman" w:eastAsia="Times New Roman" w:cs="Times New Roman"/>
          <w:spacing w:val="43"/>
          <w:sz w:val="27"/>
          <w:szCs w:val="27"/>
        </w:rPr>
        <w:t xml:space="preserve"> </w:t>
      </w:r>
      <w:r>
        <w:rPr>
          <w:rFonts w:ascii="Times New Roman" w:hAnsi="Times New Roman" w:eastAsia="Times New Roman" w:cs="Times New Roman"/>
          <w:spacing w:val="2"/>
          <w:sz w:val="27"/>
          <w:szCs w:val="27"/>
        </w:rPr>
        <w:t>151</w:t>
      </w:r>
      <w:r>
        <w:rPr>
          <w:rFonts w:ascii="Times New Roman" w:hAnsi="Times New Roman" w:eastAsia="Times New Roman" w:cs="Times New Roman"/>
          <w:spacing w:val="-39"/>
          <w:sz w:val="27"/>
          <w:szCs w:val="27"/>
        </w:rPr>
        <w:t xml:space="preserve"> </w:t>
      </w:r>
      <w:r>
        <w:rPr>
          <w:rFonts w:ascii="宋体" w:hAnsi="宋体" w:eastAsia="宋体" w:cs="宋体"/>
          <w:spacing w:val="2"/>
          <w:sz w:val="27"/>
          <w:szCs w:val="27"/>
        </w:rPr>
        <w:t>、</w:t>
      </w:r>
      <w:r>
        <w:rPr>
          <w:rFonts w:ascii="Times New Roman" w:hAnsi="Times New Roman" w:eastAsia="Times New Roman" w:cs="Times New Roman"/>
          <w:sz w:val="27"/>
          <w:szCs w:val="27"/>
        </w:rPr>
        <w:t>GJB</w:t>
      </w:r>
      <w:r>
        <w:rPr>
          <w:rFonts w:ascii="Times New Roman" w:hAnsi="Times New Roman" w:eastAsia="Times New Roman" w:cs="Times New Roman"/>
          <w:spacing w:val="43"/>
          <w:sz w:val="27"/>
          <w:szCs w:val="27"/>
        </w:rPr>
        <w:t xml:space="preserve"> </w:t>
      </w:r>
      <w:r>
        <w:rPr>
          <w:rFonts w:ascii="Times New Roman" w:hAnsi="Times New Roman" w:eastAsia="Times New Roman" w:cs="Times New Roman"/>
          <w:spacing w:val="2"/>
          <w:sz w:val="27"/>
          <w:szCs w:val="27"/>
        </w:rPr>
        <w:t>1389</w:t>
      </w:r>
      <w:r>
        <w:rPr>
          <w:rFonts w:ascii="Times New Roman" w:hAnsi="Times New Roman" w:eastAsia="Times New Roman" w:cs="Times New Roman"/>
          <w:spacing w:val="-19"/>
          <w:sz w:val="27"/>
          <w:szCs w:val="27"/>
        </w:rPr>
        <w:t xml:space="preserve"> </w:t>
      </w:r>
      <w:r>
        <w:rPr>
          <w:rFonts w:ascii="宋体" w:hAnsi="宋体" w:eastAsia="宋体" w:cs="宋体"/>
          <w:spacing w:val="2"/>
          <w:sz w:val="27"/>
          <w:szCs w:val="27"/>
        </w:rPr>
        <w:t>等标</w:t>
      </w:r>
      <w:r>
        <w:rPr>
          <w:rFonts w:ascii="宋体" w:hAnsi="宋体" w:eastAsia="宋体" w:cs="宋体"/>
          <w:sz w:val="27"/>
          <w:szCs w:val="27"/>
        </w:rPr>
        <w:t xml:space="preserve"> </w:t>
      </w:r>
      <w:r>
        <w:rPr>
          <w:rFonts w:ascii="宋体" w:hAnsi="宋体" w:eastAsia="宋体" w:cs="宋体"/>
          <w:spacing w:val="5"/>
          <w:sz w:val="27"/>
          <w:szCs w:val="27"/>
        </w:rPr>
        <w:t>准的要求，确定实体在规定频率范围内的电磁发射和敏感度的电磁兼容性定量</w:t>
      </w:r>
      <w:r>
        <w:rPr>
          <w:rFonts w:ascii="宋体" w:hAnsi="宋体" w:eastAsia="宋体" w:cs="宋体"/>
          <w:spacing w:val="9"/>
          <w:sz w:val="27"/>
          <w:szCs w:val="27"/>
        </w:rPr>
        <w:t xml:space="preserve"> </w:t>
      </w:r>
      <w:r>
        <w:rPr>
          <w:rFonts w:ascii="宋体" w:hAnsi="宋体" w:eastAsia="宋体" w:cs="宋体"/>
          <w:spacing w:val="-3"/>
          <w:sz w:val="27"/>
          <w:szCs w:val="27"/>
        </w:rPr>
        <w:t>要求；2)根据实体的使用环境和有关的噪声检验标准的要求，确定实体在规定频</w:t>
      </w:r>
      <w:r>
        <w:rPr>
          <w:rFonts w:ascii="宋体" w:hAnsi="宋体" w:eastAsia="宋体" w:cs="宋体"/>
          <w:spacing w:val="17"/>
          <w:sz w:val="27"/>
          <w:szCs w:val="27"/>
        </w:rPr>
        <w:t xml:space="preserve"> </w:t>
      </w:r>
      <w:r>
        <w:rPr>
          <w:rFonts w:ascii="宋体" w:hAnsi="宋体" w:eastAsia="宋体" w:cs="宋体"/>
          <w:spacing w:val="5"/>
          <w:sz w:val="27"/>
          <w:szCs w:val="27"/>
        </w:rPr>
        <w:t>率范围内的噪声限值和抗背景噪声能力的声兼容性定量要求；3)根据实体的使</w:t>
      </w:r>
      <w:r>
        <w:rPr>
          <w:rFonts w:ascii="宋体" w:hAnsi="宋体" w:eastAsia="宋体" w:cs="宋体"/>
          <w:spacing w:val="7"/>
          <w:sz w:val="27"/>
          <w:szCs w:val="27"/>
        </w:rPr>
        <w:t xml:space="preserve"> </w:t>
      </w:r>
      <w:r>
        <w:rPr>
          <w:rFonts w:ascii="宋体" w:hAnsi="宋体" w:eastAsia="宋体" w:cs="宋体"/>
          <w:spacing w:val="-2"/>
          <w:sz w:val="27"/>
          <w:szCs w:val="27"/>
        </w:rPr>
        <w:t>用环境和武器、弹药的变动特性与空间状态，确</w:t>
      </w:r>
      <w:r>
        <w:rPr>
          <w:rFonts w:ascii="宋体" w:hAnsi="宋体" w:eastAsia="宋体" w:cs="宋体"/>
          <w:spacing w:val="-3"/>
          <w:sz w:val="27"/>
          <w:szCs w:val="27"/>
        </w:rPr>
        <w:t>定实体在规定的作战战术原则下</w:t>
      </w:r>
      <w:r>
        <w:rPr>
          <w:rFonts w:ascii="宋体" w:hAnsi="宋体" w:eastAsia="宋体" w:cs="宋体"/>
          <w:sz w:val="27"/>
          <w:szCs w:val="27"/>
        </w:rPr>
        <w:t xml:space="preserve"> </w:t>
      </w:r>
      <w:r>
        <w:rPr>
          <w:rFonts w:ascii="宋体" w:hAnsi="宋体" w:eastAsia="宋体" w:cs="宋体"/>
          <w:spacing w:val="4"/>
          <w:sz w:val="27"/>
          <w:szCs w:val="27"/>
        </w:rPr>
        <w:t>所需的时间安全域和空间安全域的火力兼容性定量要求。</w:t>
      </w:r>
    </w:p>
    <w:p w14:paraId="1133070C">
      <w:pPr>
        <w:spacing w:before="48" w:line="267" w:lineRule="auto"/>
        <w:ind w:right="20" w:firstLine="56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68"/>
          <w:sz w:val="27"/>
          <w:szCs w:val="27"/>
        </w:rPr>
        <w:t xml:space="preserve"> </w:t>
      </w:r>
      <w:r>
        <w:rPr>
          <w:rFonts w:ascii="宋体" w:hAnsi="宋体" w:eastAsia="宋体" w:cs="宋体"/>
          <w:spacing w:val="3"/>
          <w:sz w:val="27"/>
          <w:szCs w:val="27"/>
        </w:rPr>
        <w:t>实体与其所在系统内的其他实体同时存在或同时工</w:t>
      </w:r>
      <w:r>
        <w:rPr>
          <w:rFonts w:ascii="宋体" w:hAnsi="宋体" w:eastAsia="宋体" w:cs="宋体"/>
          <w:spacing w:val="2"/>
          <w:sz w:val="27"/>
          <w:szCs w:val="27"/>
        </w:rPr>
        <w:t>作时，不对其他实体</w:t>
      </w:r>
      <w:r>
        <w:rPr>
          <w:rFonts w:ascii="宋体" w:hAnsi="宋体" w:eastAsia="宋体" w:cs="宋体"/>
          <w:sz w:val="27"/>
          <w:szCs w:val="27"/>
        </w:rPr>
        <w:t xml:space="preserve"> </w:t>
      </w:r>
      <w:r>
        <w:rPr>
          <w:rFonts w:ascii="宋体" w:hAnsi="宋体" w:eastAsia="宋体" w:cs="宋体"/>
          <w:spacing w:val="5"/>
          <w:sz w:val="27"/>
          <w:szCs w:val="27"/>
        </w:rPr>
        <w:t>发生干扰的能力或能防止危害性事故发生的能力，以及实现这一能力所需的下</w:t>
      </w:r>
      <w:r>
        <w:rPr>
          <w:rFonts w:ascii="宋体" w:hAnsi="宋体" w:eastAsia="宋体" w:cs="宋体"/>
          <w:spacing w:val="16"/>
          <w:sz w:val="27"/>
          <w:szCs w:val="27"/>
        </w:rPr>
        <w:t xml:space="preserve"> </w:t>
      </w:r>
      <w:r>
        <w:rPr>
          <w:rFonts w:ascii="宋体" w:hAnsi="宋体" w:eastAsia="宋体" w:cs="宋体"/>
          <w:sz w:val="27"/>
          <w:szCs w:val="27"/>
        </w:rPr>
        <w:t>列设计限制条件：1)实体在不同状态与方式下开启的时间特性及频率工作范围；</w:t>
      </w:r>
    </w:p>
    <w:p w14:paraId="5F8B33F3">
      <w:pPr>
        <w:spacing w:before="94" w:line="278" w:lineRule="auto"/>
        <w:jc w:val="both"/>
        <w:rPr>
          <w:rFonts w:ascii="宋体" w:hAnsi="宋体" w:eastAsia="宋体" w:cs="宋体"/>
          <w:sz w:val="27"/>
          <w:szCs w:val="27"/>
        </w:rPr>
      </w:pPr>
      <w:r>
        <w:rPr>
          <w:rFonts w:ascii="宋体" w:hAnsi="宋体" w:eastAsia="宋体" w:cs="宋体"/>
          <w:spacing w:val="-6"/>
          <w:sz w:val="27"/>
          <w:szCs w:val="27"/>
        </w:rPr>
        <w:t>2)实体对其周围人员、装备、燃油、电子器件危害的界限；3)</w:t>
      </w:r>
      <w:r>
        <w:rPr>
          <w:rFonts w:ascii="宋体" w:hAnsi="宋体" w:eastAsia="宋体" w:cs="宋体"/>
          <w:spacing w:val="-7"/>
          <w:sz w:val="27"/>
          <w:szCs w:val="27"/>
        </w:rPr>
        <w:t>实体对其天线布置、</w:t>
      </w:r>
      <w:r>
        <w:rPr>
          <w:rFonts w:ascii="宋体" w:hAnsi="宋体" w:eastAsia="宋体" w:cs="宋体"/>
          <w:sz w:val="27"/>
          <w:szCs w:val="27"/>
        </w:rPr>
        <w:t xml:space="preserve"> </w:t>
      </w:r>
      <w:r>
        <w:rPr>
          <w:rFonts w:ascii="宋体" w:hAnsi="宋体" w:eastAsia="宋体" w:cs="宋体"/>
          <w:spacing w:val="-10"/>
          <w:sz w:val="27"/>
          <w:szCs w:val="27"/>
        </w:rPr>
        <w:t>电缆敷设、线路排列、信号处理等方面的限制；4)实体在其布置、屏蔽、隔振、阻</w:t>
      </w:r>
      <w:r>
        <w:rPr>
          <w:rFonts w:ascii="宋体" w:hAnsi="宋体" w:eastAsia="宋体" w:cs="宋体"/>
          <w:spacing w:val="4"/>
          <w:sz w:val="27"/>
          <w:szCs w:val="27"/>
        </w:rPr>
        <w:t xml:space="preserve">  </w:t>
      </w:r>
      <w:r>
        <w:rPr>
          <w:rFonts w:ascii="宋体" w:hAnsi="宋体" w:eastAsia="宋体" w:cs="宋体"/>
          <w:spacing w:val="-2"/>
          <w:sz w:val="27"/>
          <w:szCs w:val="27"/>
        </w:rPr>
        <w:t>尼、隔声、消声、吸声等方面需要采取的措施；</w:t>
      </w:r>
      <w:r>
        <w:rPr>
          <w:rFonts w:ascii="宋体" w:hAnsi="宋体" w:eastAsia="宋体" w:cs="宋体"/>
          <w:spacing w:val="-3"/>
          <w:sz w:val="27"/>
          <w:szCs w:val="27"/>
        </w:rPr>
        <w:t>5)实体对各类报警装置选用的限</w:t>
      </w:r>
      <w:r>
        <w:rPr>
          <w:rFonts w:ascii="宋体" w:hAnsi="宋体" w:eastAsia="宋体" w:cs="宋体"/>
          <w:sz w:val="27"/>
          <w:szCs w:val="27"/>
        </w:rPr>
        <w:t xml:space="preserve">  </w:t>
      </w:r>
      <w:r>
        <w:rPr>
          <w:rFonts w:ascii="宋体" w:hAnsi="宋体" w:eastAsia="宋体" w:cs="宋体"/>
          <w:spacing w:val="-2"/>
          <w:sz w:val="27"/>
          <w:szCs w:val="27"/>
        </w:rPr>
        <w:t>制；6)实体对其周围武器的使用优先级别的确定；7)实体软硬件</w:t>
      </w:r>
      <w:r>
        <w:rPr>
          <w:rFonts w:ascii="宋体" w:hAnsi="宋体" w:eastAsia="宋体" w:cs="宋体"/>
          <w:spacing w:val="-3"/>
          <w:sz w:val="27"/>
          <w:szCs w:val="27"/>
        </w:rPr>
        <w:t>需要有效采取的</w:t>
      </w:r>
      <w:r>
        <w:rPr>
          <w:rFonts w:ascii="宋体" w:hAnsi="宋体" w:eastAsia="宋体" w:cs="宋体"/>
          <w:sz w:val="27"/>
          <w:szCs w:val="27"/>
        </w:rPr>
        <w:t xml:space="preserve"> </w:t>
      </w:r>
      <w:r>
        <w:rPr>
          <w:rFonts w:ascii="宋体" w:hAnsi="宋体" w:eastAsia="宋体" w:cs="宋体"/>
          <w:spacing w:val="1"/>
          <w:sz w:val="27"/>
          <w:szCs w:val="27"/>
        </w:rPr>
        <w:t>安全控制措施等。</w:t>
      </w:r>
    </w:p>
    <w:p w14:paraId="490701E3">
      <w:pPr>
        <w:spacing w:line="221" w:lineRule="auto"/>
        <w:rPr>
          <w:rFonts w:ascii="黑体" w:hAnsi="黑体" w:eastAsia="黑体" w:cs="黑体"/>
          <w:sz w:val="25"/>
          <w:szCs w:val="25"/>
        </w:rPr>
      </w:pPr>
      <w:r>
        <w:rPr>
          <w:rFonts w:ascii="黑体" w:hAnsi="黑体" w:eastAsia="黑体" w:cs="黑体"/>
          <w:spacing w:val="7"/>
          <w:sz w:val="25"/>
          <w:szCs w:val="25"/>
        </w:rPr>
        <w:t>3.14</w:t>
      </w:r>
      <w:r>
        <w:rPr>
          <w:rFonts w:ascii="黑体" w:hAnsi="黑体" w:eastAsia="黑体" w:cs="黑体"/>
          <w:spacing w:val="52"/>
          <w:sz w:val="25"/>
          <w:szCs w:val="25"/>
        </w:rPr>
        <w:t xml:space="preserve">  </w:t>
      </w:r>
      <w:r>
        <w:rPr>
          <w:rFonts w:ascii="黑体" w:hAnsi="黑体" w:eastAsia="黑体" w:cs="黑体"/>
          <w:spacing w:val="7"/>
          <w:sz w:val="25"/>
          <w:szCs w:val="25"/>
        </w:rPr>
        <w:t>运输性</w:t>
      </w:r>
    </w:p>
    <w:p w14:paraId="389DBBE7">
      <w:pPr>
        <w:spacing w:before="132" w:line="275" w:lineRule="auto"/>
        <w:ind w:right="107" w:firstLine="560"/>
        <w:jc w:val="both"/>
        <w:rPr>
          <w:rFonts w:ascii="宋体" w:hAnsi="宋体" w:eastAsia="宋体" w:cs="宋体"/>
          <w:sz w:val="27"/>
          <w:szCs w:val="27"/>
        </w:rPr>
      </w:pPr>
      <w:r>
        <w:rPr>
          <w:rFonts w:ascii="宋体" w:hAnsi="宋体" w:eastAsia="宋体" w:cs="宋体"/>
          <w:spacing w:val="-18"/>
          <w:sz w:val="27"/>
          <w:szCs w:val="27"/>
        </w:rPr>
        <w:t>本条规定实体自行或借助牵引、运载工具，利用铁路、公路、水路、海</w:t>
      </w:r>
      <w:r>
        <w:rPr>
          <w:rFonts w:ascii="宋体" w:hAnsi="宋体" w:eastAsia="宋体" w:cs="宋体"/>
          <w:spacing w:val="-19"/>
          <w:sz w:val="27"/>
          <w:szCs w:val="27"/>
        </w:rPr>
        <w:t>上、空中</w:t>
      </w:r>
      <w:r>
        <w:rPr>
          <w:rFonts w:ascii="宋体" w:hAnsi="宋体" w:eastAsia="宋体" w:cs="宋体"/>
          <w:sz w:val="27"/>
          <w:szCs w:val="27"/>
        </w:rPr>
        <w:t xml:space="preserve"> </w:t>
      </w:r>
      <w:r>
        <w:rPr>
          <w:rFonts w:ascii="宋体" w:hAnsi="宋体" w:eastAsia="宋体" w:cs="宋体"/>
          <w:spacing w:val="5"/>
          <w:sz w:val="27"/>
          <w:szCs w:val="27"/>
        </w:rPr>
        <w:t>和空间等任何方式有效转移的能力。实体的运输性要求可用实体为实施其有效</w:t>
      </w:r>
      <w:r>
        <w:rPr>
          <w:rFonts w:ascii="宋体" w:hAnsi="宋体" w:eastAsia="宋体" w:cs="宋体"/>
          <w:spacing w:val="10"/>
          <w:sz w:val="27"/>
          <w:szCs w:val="27"/>
        </w:rPr>
        <w:t xml:space="preserve"> </w:t>
      </w:r>
      <w:r>
        <w:rPr>
          <w:rFonts w:ascii="宋体" w:hAnsi="宋体" w:eastAsia="宋体" w:cs="宋体"/>
          <w:spacing w:val="-8"/>
          <w:sz w:val="27"/>
          <w:szCs w:val="27"/>
        </w:rPr>
        <w:t>输送而需要的运输方式、运输工具、流动路线、部署地点和装卸能力表示。</w:t>
      </w:r>
    </w:p>
    <w:p w14:paraId="26AA314E">
      <w:pPr>
        <w:spacing w:before="4" w:line="219" w:lineRule="auto"/>
        <w:ind w:left="560"/>
        <w:rPr>
          <w:rFonts w:ascii="宋体" w:hAnsi="宋体" w:eastAsia="宋体" w:cs="宋体"/>
          <w:sz w:val="27"/>
          <w:szCs w:val="27"/>
        </w:rPr>
      </w:pPr>
      <w:r>
        <w:rPr>
          <w:rFonts w:ascii="宋体" w:hAnsi="宋体" w:eastAsia="宋体" w:cs="宋体"/>
          <w:spacing w:val="-8"/>
          <w:sz w:val="27"/>
          <w:szCs w:val="27"/>
        </w:rPr>
        <w:t>确定运输性要求时，应明确：</w:t>
      </w:r>
    </w:p>
    <w:p w14:paraId="4449048C">
      <w:pPr>
        <w:spacing w:before="59"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采用的运输设施；</w:t>
      </w:r>
    </w:p>
    <w:p w14:paraId="5F69A164">
      <w:pPr>
        <w:spacing w:before="110"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73"/>
          <w:sz w:val="27"/>
          <w:szCs w:val="27"/>
        </w:rPr>
        <w:t xml:space="preserve"> </w:t>
      </w:r>
      <w:r>
        <w:rPr>
          <w:rFonts w:ascii="宋体" w:hAnsi="宋体" w:eastAsia="宋体" w:cs="宋体"/>
          <w:spacing w:val="4"/>
          <w:sz w:val="27"/>
          <w:szCs w:val="27"/>
        </w:rPr>
        <w:t>实体要素和保障项目的限定条件。</w:t>
      </w:r>
    </w:p>
    <w:p w14:paraId="532673FA">
      <w:pPr>
        <w:spacing w:before="137" w:line="222" w:lineRule="auto"/>
        <w:rPr>
          <w:rFonts w:ascii="黑体" w:hAnsi="黑体" w:eastAsia="黑体" w:cs="黑体"/>
          <w:sz w:val="24"/>
          <w:szCs w:val="24"/>
        </w:rPr>
      </w:pPr>
      <w:r>
        <w:rPr>
          <w:rFonts w:ascii="黑体" w:hAnsi="黑体" w:eastAsia="黑体" w:cs="黑体"/>
          <w:spacing w:val="17"/>
          <w:sz w:val="24"/>
          <w:szCs w:val="24"/>
        </w:rPr>
        <w:t>3.15</w:t>
      </w:r>
      <w:r>
        <w:rPr>
          <w:rFonts w:ascii="黑体" w:hAnsi="黑体" w:eastAsia="黑体" w:cs="黑体"/>
          <w:spacing w:val="3"/>
          <w:sz w:val="24"/>
          <w:szCs w:val="24"/>
        </w:rPr>
        <w:t xml:space="preserve">   </w:t>
      </w:r>
      <w:r>
        <w:rPr>
          <w:rFonts w:ascii="黑体" w:hAnsi="黑体" w:eastAsia="黑体" w:cs="黑体"/>
          <w:spacing w:val="17"/>
          <w:sz w:val="24"/>
          <w:szCs w:val="24"/>
        </w:rPr>
        <w:t>人机工程</w:t>
      </w:r>
    </w:p>
    <w:p w14:paraId="61618604">
      <w:pPr>
        <w:spacing w:before="105" w:line="272" w:lineRule="auto"/>
        <w:ind w:right="92" w:firstLine="560"/>
        <w:jc w:val="both"/>
        <w:rPr>
          <w:rFonts w:ascii="宋体" w:hAnsi="宋体" w:eastAsia="宋体" w:cs="宋体"/>
          <w:sz w:val="27"/>
          <w:szCs w:val="27"/>
        </w:rPr>
      </w:pPr>
      <w:r>
        <w:rPr>
          <w:rFonts w:ascii="宋体" w:hAnsi="宋体" w:eastAsia="宋体" w:cs="宋体"/>
          <w:spacing w:val="-2"/>
          <w:sz w:val="27"/>
          <w:szCs w:val="27"/>
        </w:rPr>
        <w:t>本条规定实体和与之相关的人与环境的要求</w:t>
      </w:r>
      <w:r>
        <w:rPr>
          <w:rFonts w:ascii="宋体" w:hAnsi="宋体" w:eastAsia="宋体" w:cs="宋体"/>
          <w:spacing w:val="-3"/>
          <w:sz w:val="27"/>
          <w:szCs w:val="27"/>
        </w:rPr>
        <w:t>，以及三者之间的相互关系、相</w:t>
      </w:r>
      <w:r>
        <w:rPr>
          <w:rFonts w:ascii="宋体" w:hAnsi="宋体" w:eastAsia="宋体" w:cs="宋体"/>
          <w:sz w:val="27"/>
          <w:szCs w:val="27"/>
        </w:rPr>
        <w:t xml:space="preserve"> </w:t>
      </w:r>
      <w:r>
        <w:rPr>
          <w:rFonts w:ascii="宋体" w:hAnsi="宋体" w:eastAsia="宋体" w:cs="宋体"/>
          <w:spacing w:val="5"/>
          <w:sz w:val="27"/>
          <w:szCs w:val="27"/>
        </w:rPr>
        <w:t>互作用与相互协调的方式，以最优组合方案获取最佳综合效能。实体的人机工</w:t>
      </w:r>
      <w:r>
        <w:rPr>
          <w:rFonts w:ascii="宋体" w:hAnsi="宋体" w:eastAsia="宋体" w:cs="宋体"/>
          <w:spacing w:val="13"/>
          <w:sz w:val="27"/>
          <w:szCs w:val="27"/>
        </w:rPr>
        <w:t xml:space="preserve"> </w:t>
      </w:r>
      <w:r>
        <w:rPr>
          <w:rFonts w:ascii="宋体" w:hAnsi="宋体" w:eastAsia="宋体" w:cs="宋体"/>
          <w:spacing w:val="-5"/>
          <w:sz w:val="27"/>
          <w:szCs w:val="27"/>
        </w:rPr>
        <w:t>程要求，包括通用要求和专用要求。</w:t>
      </w:r>
    </w:p>
    <w:p w14:paraId="60747804">
      <w:pPr>
        <w:spacing w:before="34" w:line="275" w:lineRule="auto"/>
        <w:ind w:right="98" w:firstLine="560"/>
        <w:jc w:val="both"/>
        <w:rPr>
          <w:rFonts w:ascii="宋体" w:hAnsi="宋体" w:eastAsia="宋体" w:cs="宋体"/>
          <w:sz w:val="27"/>
          <w:szCs w:val="27"/>
        </w:rPr>
      </w:pPr>
      <w:r>
        <w:rPr>
          <w:rFonts w:ascii="宋体" w:hAnsi="宋体" w:eastAsia="宋体" w:cs="宋体"/>
          <w:spacing w:val="2"/>
          <w:sz w:val="27"/>
          <w:szCs w:val="27"/>
        </w:rPr>
        <w:t>根据实体的使用状况和</w:t>
      </w:r>
      <w:r>
        <w:rPr>
          <w:rFonts w:ascii="Times New Roman" w:hAnsi="Times New Roman" w:eastAsia="Times New Roman" w:cs="Times New Roman"/>
          <w:sz w:val="27"/>
          <w:szCs w:val="27"/>
        </w:rPr>
        <w:t>GJB</w:t>
      </w:r>
      <w:r>
        <w:rPr>
          <w:rFonts w:ascii="Times New Roman" w:hAnsi="Times New Roman" w:eastAsia="Times New Roman" w:cs="Times New Roman"/>
          <w:spacing w:val="2"/>
          <w:sz w:val="27"/>
          <w:szCs w:val="27"/>
        </w:rPr>
        <w:t xml:space="preserve">  2873</w:t>
      </w:r>
      <w:r>
        <w:rPr>
          <w:rFonts w:ascii="Times New Roman" w:hAnsi="Times New Roman" w:eastAsia="Times New Roman" w:cs="Times New Roman"/>
          <w:spacing w:val="-26"/>
          <w:sz w:val="27"/>
          <w:szCs w:val="27"/>
        </w:rPr>
        <w:t xml:space="preserve"> </w:t>
      </w:r>
      <w:r>
        <w:rPr>
          <w:rFonts w:ascii="宋体" w:hAnsi="宋体" w:eastAsia="宋体" w:cs="宋体"/>
          <w:spacing w:val="2"/>
          <w:sz w:val="27"/>
          <w:szCs w:val="27"/>
        </w:rPr>
        <w:t>等标准的要求，确定人机接口要求、人员</w:t>
      </w:r>
      <w:r>
        <w:rPr>
          <w:rFonts w:ascii="宋体" w:hAnsi="宋体" w:eastAsia="宋体" w:cs="宋体"/>
          <w:sz w:val="27"/>
          <w:szCs w:val="27"/>
        </w:rPr>
        <w:t xml:space="preserve"> </w:t>
      </w:r>
      <w:r>
        <w:rPr>
          <w:rFonts w:ascii="宋体" w:hAnsi="宋体" w:eastAsia="宋体" w:cs="宋体"/>
          <w:spacing w:val="-17"/>
          <w:sz w:val="27"/>
          <w:szCs w:val="27"/>
        </w:rPr>
        <w:t>工作环境(含照明、颜色、温度、湿度、噪声、冲击、振动等)要求和人员工作强度要</w:t>
      </w:r>
      <w:r>
        <w:rPr>
          <w:rFonts w:ascii="宋体" w:hAnsi="宋体" w:eastAsia="宋体" w:cs="宋体"/>
          <w:spacing w:val="17"/>
          <w:sz w:val="27"/>
          <w:szCs w:val="27"/>
        </w:rPr>
        <w:t xml:space="preserve"> </w:t>
      </w:r>
      <w:r>
        <w:rPr>
          <w:rFonts w:ascii="宋体" w:hAnsi="宋体" w:eastAsia="宋体" w:cs="宋体"/>
          <w:spacing w:val="3"/>
          <w:sz w:val="27"/>
          <w:szCs w:val="27"/>
        </w:rPr>
        <w:t>求等人机工程通用要求。</w:t>
      </w:r>
    </w:p>
    <w:p w14:paraId="16BE6027">
      <w:pPr>
        <w:spacing w:before="25" w:line="260" w:lineRule="auto"/>
        <w:ind w:right="100" w:firstLine="560"/>
        <w:rPr>
          <w:rFonts w:ascii="宋体" w:hAnsi="宋体" w:eastAsia="宋体" w:cs="宋体"/>
          <w:sz w:val="27"/>
          <w:szCs w:val="27"/>
        </w:rPr>
      </w:pPr>
      <w:r>
        <w:rPr>
          <w:rFonts w:ascii="宋体" w:hAnsi="宋体" w:eastAsia="宋体" w:cs="宋体"/>
          <w:spacing w:val="6"/>
          <w:sz w:val="27"/>
          <w:szCs w:val="27"/>
        </w:rPr>
        <w:t>对于可能引起特别严重后果的特定区域或特定实体的</w:t>
      </w:r>
      <w:r>
        <w:rPr>
          <w:rFonts w:ascii="宋体" w:hAnsi="宋体" w:eastAsia="宋体" w:cs="宋体"/>
          <w:spacing w:val="5"/>
          <w:sz w:val="27"/>
          <w:szCs w:val="27"/>
        </w:rPr>
        <w:t>下述因素提出人机工</w:t>
      </w:r>
      <w:r>
        <w:rPr>
          <w:rFonts w:ascii="宋体" w:hAnsi="宋体" w:eastAsia="宋体" w:cs="宋体"/>
          <w:sz w:val="27"/>
          <w:szCs w:val="27"/>
        </w:rPr>
        <w:t xml:space="preserve"> </w:t>
      </w:r>
      <w:r>
        <w:rPr>
          <w:rFonts w:ascii="宋体" w:hAnsi="宋体" w:eastAsia="宋体" w:cs="宋体"/>
          <w:spacing w:val="-1"/>
          <w:sz w:val="27"/>
          <w:szCs w:val="27"/>
        </w:rPr>
        <w:t>程专用要求：</w:t>
      </w:r>
    </w:p>
    <w:p w14:paraId="4E185845">
      <w:pPr>
        <w:spacing w:before="2" w:line="294" w:lineRule="auto"/>
        <w:ind w:right="103"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操作十分灵敏或功效十分关键之处对操作者的约束，对操作者的信息处</w:t>
      </w:r>
      <w:r>
        <w:rPr>
          <w:rFonts w:ascii="宋体" w:hAnsi="宋体" w:eastAsia="宋体" w:cs="宋体"/>
          <w:sz w:val="27"/>
          <w:szCs w:val="27"/>
        </w:rPr>
        <w:t xml:space="preserve"> 理能力与极限要求；</w:t>
      </w:r>
    </w:p>
    <w:p w14:paraId="15CF10F7">
      <w:pPr>
        <w:spacing w:line="294" w:lineRule="auto"/>
        <w:rPr>
          <w:rFonts w:ascii="宋体" w:hAnsi="宋体" w:eastAsia="宋体" w:cs="宋体"/>
          <w:sz w:val="27"/>
          <w:szCs w:val="27"/>
        </w:rPr>
        <w:sectPr>
          <w:footerReference r:id="rId103" w:type="default"/>
          <w:pgSz w:w="11910" w:h="17130"/>
          <w:pgMar w:top="400" w:right="965" w:bottom="1680" w:left="1460" w:header="0" w:footer="1394" w:gutter="0"/>
          <w:cols w:space="720" w:num="1"/>
        </w:sectPr>
      </w:pPr>
    </w:p>
    <w:p w14:paraId="60FF96B7">
      <w:pPr>
        <w:pStyle w:val="2"/>
        <w:spacing w:line="251" w:lineRule="auto"/>
      </w:pPr>
    </w:p>
    <w:p w14:paraId="6E94FDD8">
      <w:pPr>
        <w:pStyle w:val="2"/>
        <w:spacing w:line="252" w:lineRule="auto"/>
      </w:pPr>
    </w:p>
    <w:p w14:paraId="73159C1C">
      <w:pPr>
        <w:pStyle w:val="2"/>
        <w:spacing w:line="252" w:lineRule="auto"/>
      </w:pPr>
    </w:p>
    <w:p w14:paraId="6963D5F4">
      <w:pPr>
        <w:pStyle w:val="2"/>
        <w:spacing w:line="252" w:lineRule="auto"/>
      </w:pPr>
    </w:p>
    <w:p w14:paraId="1AB4E452">
      <w:pPr>
        <w:spacing w:before="88" w:line="277" w:lineRule="auto"/>
        <w:ind w:right="19" w:firstLine="560"/>
        <w:rPr>
          <w:rFonts w:ascii="宋体" w:hAnsi="宋体" w:eastAsia="宋体" w:cs="宋体"/>
          <w:sz w:val="27"/>
          <w:szCs w:val="27"/>
        </w:rPr>
      </w:pPr>
      <w:bookmarkStart w:id="59" w:name="bookmark334"/>
      <w:bookmarkEnd w:id="59"/>
      <w:r>
        <w:rPr>
          <w:rFonts w:ascii="Times New Roman" w:hAnsi="Times New Roman" w:eastAsia="Times New Roman" w:cs="Times New Roman"/>
          <w:spacing w:val="-1"/>
          <w:sz w:val="27"/>
          <w:szCs w:val="27"/>
        </w:rPr>
        <w:t>b)</w:t>
      </w:r>
      <w:r>
        <w:rPr>
          <w:rFonts w:ascii="Times New Roman" w:hAnsi="Times New Roman" w:eastAsia="Times New Roman" w:cs="Times New Roman"/>
          <w:spacing w:val="57"/>
          <w:sz w:val="27"/>
          <w:szCs w:val="27"/>
        </w:rPr>
        <w:t xml:space="preserve"> </w:t>
      </w:r>
      <w:r>
        <w:rPr>
          <w:rFonts w:ascii="宋体" w:hAnsi="宋体" w:eastAsia="宋体" w:cs="宋体"/>
          <w:spacing w:val="-1"/>
          <w:sz w:val="27"/>
          <w:szCs w:val="27"/>
        </w:rPr>
        <w:t>正常和极端条件下可预见错误(例如关键信息</w:t>
      </w:r>
      <w:r>
        <w:rPr>
          <w:rFonts w:ascii="宋体" w:hAnsi="宋体" w:eastAsia="宋体" w:cs="宋体"/>
          <w:spacing w:val="-2"/>
          <w:sz w:val="27"/>
          <w:szCs w:val="27"/>
        </w:rPr>
        <w:t>的输入、显示、控制、维护</w:t>
      </w:r>
      <w:r>
        <w:rPr>
          <w:rFonts w:ascii="宋体" w:hAnsi="宋体" w:eastAsia="宋体" w:cs="宋体"/>
          <w:sz w:val="27"/>
          <w:szCs w:val="27"/>
        </w:rPr>
        <w:t xml:space="preserve"> 与管理)的预防与纠正要求；</w:t>
      </w:r>
    </w:p>
    <w:p w14:paraId="62BD1EA1">
      <w:pPr>
        <w:spacing w:before="18" w:line="272" w:lineRule="auto"/>
        <w:ind w:right="28" w:firstLine="56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52"/>
          <w:sz w:val="27"/>
          <w:szCs w:val="27"/>
        </w:rPr>
        <w:t xml:space="preserve"> </w:t>
      </w:r>
      <w:r>
        <w:rPr>
          <w:rFonts w:ascii="宋体" w:hAnsi="宋体" w:eastAsia="宋体" w:cs="宋体"/>
          <w:spacing w:val="3"/>
          <w:sz w:val="27"/>
          <w:szCs w:val="27"/>
        </w:rPr>
        <w:t>实体处在特定环境(包括保障环境、训练环境和作战环境)下所需的</w:t>
      </w:r>
      <w:r>
        <w:rPr>
          <w:rFonts w:ascii="宋体" w:hAnsi="宋体" w:eastAsia="宋体" w:cs="宋体"/>
          <w:spacing w:val="2"/>
          <w:sz w:val="27"/>
          <w:szCs w:val="27"/>
        </w:rPr>
        <w:t>特殊</w:t>
      </w:r>
      <w:r>
        <w:rPr>
          <w:rFonts w:ascii="宋体" w:hAnsi="宋体" w:eastAsia="宋体" w:cs="宋体"/>
          <w:sz w:val="27"/>
          <w:szCs w:val="27"/>
        </w:rPr>
        <w:t xml:space="preserve"> </w:t>
      </w:r>
      <w:r>
        <w:rPr>
          <w:rFonts w:ascii="宋体" w:hAnsi="宋体" w:eastAsia="宋体" w:cs="宋体"/>
          <w:spacing w:val="-6"/>
          <w:sz w:val="27"/>
          <w:szCs w:val="27"/>
        </w:rPr>
        <w:t>要求。</w:t>
      </w:r>
    </w:p>
    <w:p w14:paraId="42E92EE5">
      <w:pPr>
        <w:spacing w:before="66" w:line="223" w:lineRule="auto"/>
        <w:rPr>
          <w:rFonts w:ascii="黑体" w:hAnsi="黑体" w:eastAsia="黑体" w:cs="黑体"/>
          <w:sz w:val="27"/>
          <w:szCs w:val="27"/>
        </w:rPr>
      </w:pPr>
      <w:r>
        <w:rPr>
          <w:rFonts w:ascii="黑体" w:hAnsi="黑体" w:eastAsia="黑体" w:cs="黑体"/>
          <w:sz w:val="27"/>
          <w:szCs w:val="27"/>
        </w:rPr>
        <w:t>3.16</w:t>
      </w:r>
      <w:r>
        <w:rPr>
          <w:rFonts w:ascii="黑体" w:hAnsi="黑体" w:eastAsia="黑体" w:cs="黑体"/>
          <w:spacing w:val="22"/>
          <w:sz w:val="27"/>
          <w:szCs w:val="27"/>
        </w:rPr>
        <w:t xml:space="preserve">  </w:t>
      </w:r>
      <w:r>
        <w:rPr>
          <w:rFonts w:ascii="黑体" w:hAnsi="黑体" w:eastAsia="黑体" w:cs="黑体"/>
          <w:sz w:val="27"/>
          <w:szCs w:val="27"/>
        </w:rPr>
        <w:t>互换性</w:t>
      </w:r>
    </w:p>
    <w:p w14:paraId="1F9D4B7D">
      <w:pPr>
        <w:spacing w:before="70" w:line="279" w:lineRule="auto"/>
        <w:ind w:right="22" w:firstLine="560"/>
        <w:jc w:val="both"/>
        <w:rPr>
          <w:rFonts w:ascii="宋体" w:hAnsi="宋体" w:eastAsia="宋体" w:cs="宋体"/>
          <w:sz w:val="27"/>
          <w:szCs w:val="27"/>
        </w:rPr>
      </w:pPr>
      <w:r>
        <w:rPr>
          <w:rFonts w:ascii="宋体" w:hAnsi="宋体" w:eastAsia="宋体" w:cs="宋体"/>
          <w:spacing w:val="5"/>
          <w:sz w:val="27"/>
          <w:szCs w:val="27"/>
        </w:rPr>
        <w:t>本条规定实体在尺寸和功能上与其他一个或多个产品(包括零部件)能够彼</w:t>
      </w:r>
      <w:r>
        <w:rPr>
          <w:rFonts w:ascii="宋体" w:hAnsi="宋体" w:eastAsia="宋体" w:cs="宋体"/>
          <w:sz w:val="27"/>
          <w:szCs w:val="27"/>
        </w:rPr>
        <w:t xml:space="preserve"> </w:t>
      </w:r>
      <w:r>
        <w:rPr>
          <w:rFonts w:ascii="宋体" w:hAnsi="宋体" w:eastAsia="宋体" w:cs="宋体"/>
          <w:spacing w:val="5"/>
          <w:sz w:val="27"/>
          <w:szCs w:val="27"/>
        </w:rPr>
        <w:t>此互相替换的能力。实体的互换性要求可用实体实行产品(包括零部件)互换或</w:t>
      </w:r>
      <w:r>
        <w:rPr>
          <w:rFonts w:ascii="宋体" w:hAnsi="宋体" w:eastAsia="宋体" w:cs="宋体"/>
          <w:spacing w:val="6"/>
          <w:sz w:val="27"/>
          <w:szCs w:val="27"/>
        </w:rPr>
        <w:t xml:space="preserve"> </w:t>
      </w:r>
      <w:r>
        <w:rPr>
          <w:rFonts w:ascii="宋体" w:hAnsi="宋体" w:eastAsia="宋体" w:cs="宋体"/>
          <w:spacing w:val="2"/>
          <w:sz w:val="27"/>
          <w:szCs w:val="27"/>
        </w:rPr>
        <w:t>代替的组装层次表示。</w:t>
      </w:r>
    </w:p>
    <w:p w14:paraId="12963568">
      <w:pPr>
        <w:spacing w:before="18" w:line="219" w:lineRule="auto"/>
        <w:ind w:left="560"/>
        <w:rPr>
          <w:rFonts w:ascii="宋体" w:hAnsi="宋体" w:eastAsia="宋体" w:cs="宋体"/>
          <w:sz w:val="27"/>
          <w:szCs w:val="27"/>
        </w:rPr>
      </w:pPr>
      <w:r>
        <w:rPr>
          <w:rFonts w:ascii="宋体" w:hAnsi="宋体" w:eastAsia="宋体" w:cs="宋体"/>
          <w:spacing w:val="-8"/>
          <w:sz w:val="27"/>
          <w:szCs w:val="27"/>
        </w:rPr>
        <w:t>确定互换性要求时，应明确：</w:t>
      </w:r>
    </w:p>
    <w:p w14:paraId="050C185D">
      <w:pPr>
        <w:spacing w:before="49"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66"/>
          <w:w w:val="101"/>
          <w:sz w:val="27"/>
          <w:szCs w:val="27"/>
        </w:rPr>
        <w:t xml:space="preserve"> </w:t>
      </w:r>
      <w:r>
        <w:rPr>
          <w:rFonts w:ascii="宋体" w:hAnsi="宋体" w:eastAsia="宋体" w:cs="宋体"/>
          <w:spacing w:val="3"/>
          <w:sz w:val="27"/>
          <w:szCs w:val="27"/>
        </w:rPr>
        <w:t>实体的设计条件；</w:t>
      </w:r>
    </w:p>
    <w:p w14:paraId="739AEC1A">
      <w:pPr>
        <w:spacing w:before="90"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65"/>
          <w:w w:val="101"/>
          <w:sz w:val="27"/>
          <w:szCs w:val="27"/>
        </w:rPr>
        <w:t xml:space="preserve"> </w:t>
      </w:r>
      <w:r>
        <w:rPr>
          <w:rFonts w:ascii="宋体" w:hAnsi="宋体" w:eastAsia="宋体" w:cs="宋体"/>
          <w:spacing w:val="4"/>
          <w:sz w:val="27"/>
          <w:szCs w:val="27"/>
        </w:rPr>
        <w:t>完成实体规定层次的替换所需的时间。</w:t>
      </w:r>
    </w:p>
    <w:p w14:paraId="4A7C3312">
      <w:pPr>
        <w:spacing w:before="160" w:line="223" w:lineRule="auto"/>
        <w:rPr>
          <w:rFonts w:ascii="黑体" w:hAnsi="黑体" w:eastAsia="黑体" w:cs="黑体"/>
          <w:sz w:val="25"/>
          <w:szCs w:val="25"/>
        </w:rPr>
      </w:pPr>
      <w:r>
        <w:rPr>
          <w:rFonts w:ascii="黑体" w:hAnsi="黑体" w:eastAsia="黑体" w:cs="黑体"/>
          <w:spacing w:val="9"/>
          <w:sz w:val="25"/>
          <w:szCs w:val="25"/>
        </w:rPr>
        <w:t>3.17</w:t>
      </w:r>
      <w:r>
        <w:rPr>
          <w:rFonts w:ascii="黑体" w:hAnsi="黑体" w:eastAsia="黑体" w:cs="黑体"/>
          <w:spacing w:val="50"/>
          <w:sz w:val="25"/>
          <w:szCs w:val="25"/>
        </w:rPr>
        <w:t xml:space="preserve">  </w:t>
      </w:r>
      <w:r>
        <w:rPr>
          <w:rFonts w:ascii="黑体" w:hAnsi="黑体" w:eastAsia="黑体" w:cs="黑体"/>
          <w:spacing w:val="9"/>
          <w:sz w:val="25"/>
          <w:szCs w:val="25"/>
        </w:rPr>
        <w:t>稳定性</w:t>
      </w:r>
    </w:p>
    <w:p w14:paraId="13BFBAAC">
      <w:pPr>
        <w:spacing w:before="87" w:line="276" w:lineRule="auto"/>
        <w:ind w:right="5" w:firstLine="560"/>
        <w:jc w:val="both"/>
        <w:rPr>
          <w:rFonts w:ascii="宋体" w:hAnsi="宋体" w:eastAsia="宋体" w:cs="宋体"/>
          <w:sz w:val="27"/>
          <w:szCs w:val="27"/>
        </w:rPr>
      </w:pPr>
      <w:r>
        <w:rPr>
          <w:rFonts w:ascii="宋体" w:hAnsi="宋体" w:eastAsia="宋体" w:cs="宋体"/>
          <w:spacing w:val="6"/>
          <w:sz w:val="27"/>
          <w:szCs w:val="27"/>
        </w:rPr>
        <w:t>本条规定实体控制理化性能变化以满足其预定用途</w:t>
      </w:r>
      <w:r>
        <w:rPr>
          <w:rFonts w:ascii="宋体" w:hAnsi="宋体" w:eastAsia="宋体" w:cs="宋体"/>
          <w:spacing w:val="5"/>
          <w:sz w:val="27"/>
          <w:szCs w:val="27"/>
        </w:rPr>
        <w:t>及预定寿命所必需的能</w:t>
      </w:r>
      <w:r>
        <w:rPr>
          <w:rFonts w:ascii="宋体" w:hAnsi="宋体" w:eastAsia="宋体" w:cs="宋体"/>
          <w:sz w:val="27"/>
          <w:szCs w:val="27"/>
        </w:rPr>
        <w:t xml:space="preserve"> </w:t>
      </w:r>
      <w:r>
        <w:rPr>
          <w:rFonts w:ascii="宋体" w:hAnsi="宋体" w:eastAsia="宋体" w:cs="宋体"/>
          <w:spacing w:val="14"/>
          <w:sz w:val="27"/>
          <w:szCs w:val="27"/>
        </w:rPr>
        <w:t>力。实体的稳定性定量要求可用实体的抗老化</w:t>
      </w:r>
      <w:r>
        <w:rPr>
          <w:rFonts w:ascii="宋体" w:hAnsi="宋体" w:eastAsia="宋体" w:cs="宋体"/>
          <w:spacing w:val="13"/>
          <w:sz w:val="27"/>
          <w:szCs w:val="27"/>
        </w:rPr>
        <w:t>、抗腐蚀、抗倾覆等参数指标</w:t>
      </w:r>
      <w:r>
        <w:rPr>
          <w:rFonts w:ascii="宋体" w:hAnsi="宋体" w:eastAsia="宋体" w:cs="宋体"/>
          <w:sz w:val="27"/>
          <w:szCs w:val="27"/>
        </w:rPr>
        <w:t xml:space="preserve"> </w:t>
      </w:r>
      <w:r>
        <w:rPr>
          <w:rFonts w:ascii="宋体" w:hAnsi="宋体" w:eastAsia="宋体" w:cs="宋体"/>
          <w:spacing w:val="-6"/>
          <w:sz w:val="27"/>
          <w:szCs w:val="27"/>
        </w:rPr>
        <w:t>表示。</w:t>
      </w:r>
    </w:p>
    <w:p w14:paraId="22C3E227">
      <w:pPr>
        <w:spacing w:line="219" w:lineRule="auto"/>
        <w:ind w:left="560"/>
        <w:rPr>
          <w:rFonts w:ascii="宋体" w:hAnsi="宋体" w:eastAsia="宋体" w:cs="宋体"/>
          <w:sz w:val="27"/>
          <w:szCs w:val="27"/>
        </w:rPr>
      </w:pPr>
      <w:r>
        <w:rPr>
          <w:rFonts w:ascii="宋体" w:hAnsi="宋体" w:eastAsia="宋体" w:cs="宋体"/>
          <w:spacing w:val="-7"/>
          <w:sz w:val="27"/>
          <w:szCs w:val="27"/>
        </w:rPr>
        <w:t>确定稳定性定量要求时，应明确：</w:t>
      </w:r>
    </w:p>
    <w:p w14:paraId="19B979A4">
      <w:pPr>
        <w:spacing w:before="59"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64"/>
          <w:w w:val="101"/>
          <w:sz w:val="27"/>
          <w:szCs w:val="27"/>
        </w:rPr>
        <w:t xml:space="preserve"> </w:t>
      </w:r>
      <w:r>
        <w:rPr>
          <w:rFonts w:ascii="宋体" w:hAnsi="宋体" w:eastAsia="宋体" w:cs="宋体"/>
          <w:spacing w:val="4"/>
          <w:sz w:val="27"/>
          <w:szCs w:val="27"/>
        </w:rPr>
        <w:t>实体的各种稳定性所对应的该实体的理化性能；</w:t>
      </w:r>
    </w:p>
    <w:p w14:paraId="127CF829">
      <w:pPr>
        <w:spacing w:before="100"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57"/>
          <w:sz w:val="27"/>
          <w:szCs w:val="27"/>
        </w:rPr>
        <w:t xml:space="preserve"> </w:t>
      </w:r>
      <w:r>
        <w:rPr>
          <w:rFonts w:ascii="宋体" w:hAnsi="宋体" w:eastAsia="宋体" w:cs="宋体"/>
          <w:spacing w:val="4"/>
          <w:sz w:val="27"/>
          <w:szCs w:val="27"/>
        </w:rPr>
        <w:t>实体的环境适应性；</w:t>
      </w:r>
    </w:p>
    <w:p w14:paraId="0E8882E7">
      <w:pPr>
        <w:spacing w:before="121" w:line="219" w:lineRule="auto"/>
        <w:ind w:left="560"/>
        <w:rPr>
          <w:rFonts w:ascii="宋体" w:hAnsi="宋体" w:eastAsia="宋体" w:cs="宋体"/>
          <w:sz w:val="27"/>
          <w:szCs w:val="27"/>
        </w:rPr>
      </w:pPr>
      <w:r>
        <w:rPr>
          <w:rFonts w:ascii="Times New Roman" w:hAnsi="Times New Roman" w:eastAsia="Times New Roman" w:cs="Times New Roman"/>
          <w:spacing w:val="9"/>
          <w:sz w:val="27"/>
          <w:szCs w:val="27"/>
        </w:rPr>
        <w:t>c</w:t>
      </w:r>
      <w:r>
        <w:rPr>
          <w:rFonts w:ascii="宋体" w:hAnsi="宋体" w:eastAsia="宋体" w:cs="宋体"/>
          <w:spacing w:val="9"/>
          <w:sz w:val="27"/>
          <w:szCs w:val="27"/>
        </w:rPr>
        <w:t>)实体的贮存寿命与使用寿命。</w:t>
      </w:r>
    </w:p>
    <w:p w14:paraId="347BED68">
      <w:pPr>
        <w:spacing w:before="97" w:line="222" w:lineRule="auto"/>
        <w:rPr>
          <w:rFonts w:ascii="黑体" w:hAnsi="黑体" w:eastAsia="黑体" w:cs="黑体"/>
          <w:sz w:val="25"/>
          <w:szCs w:val="25"/>
        </w:rPr>
      </w:pPr>
      <w:r>
        <w:rPr>
          <w:rFonts w:ascii="黑体" w:hAnsi="黑体" w:eastAsia="黑体" w:cs="黑体"/>
          <w:spacing w:val="11"/>
          <w:sz w:val="25"/>
          <w:szCs w:val="25"/>
        </w:rPr>
        <w:t>3.18</w:t>
      </w:r>
      <w:r>
        <w:rPr>
          <w:rFonts w:ascii="黑体" w:hAnsi="黑体" w:eastAsia="黑体" w:cs="黑体"/>
          <w:spacing w:val="49"/>
          <w:sz w:val="25"/>
          <w:szCs w:val="25"/>
        </w:rPr>
        <w:t xml:space="preserve">  </w:t>
      </w:r>
      <w:r>
        <w:rPr>
          <w:rFonts w:ascii="黑体" w:hAnsi="黑体" w:eastAsia="黑体" w:cs="黑体"/>
          <w:spacing w:val="11"/>
          <w:sz w:val="25"/>
          <w:szCs w:val="25"/>
        </w:rPr>
        <w:t>综合保障</w:t>
      </w:r>
    </w:p>
    <w:p w14:paraId="69CADB6A">
      <w:pPr>
        <w:spacing w:before="70" w:line="271" w:lineRule="auto"/>
        <w:ind w:right="9" w:firstLine="56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73"/>
          <w:sz w:val="27"/>
          <w:szCs w:val="27"/>
        </w:rPr>
        <w:t xml:space="preserve"> </w:t>
      </w:r>
      <w:r>
        <w:rPr>
          <w:rFonts w:ascii="宋体" w:hAnsi="宋体" w:eastAsia="宋体" w:cs="宋体"/>
          <w:spacing w:val="3"/>
          <w:sz w:val="27"/>
          <w:szCs w:val="27"/>
        </w:rPr>
        <w:t>本条规定在实体的寿命周期内，综合考虑装备的保障问题，确定保障性</w:t>
      </w:r>
      <w:r>
        <w:rPr>
          <w:rFonts w:ascii="宋体" w:hAnsi="宋体" w:eastAsia="宋体" w:cs="宋体"/>
          <w:sz w:val="27"/>
          <w:szCs w:val="27"/>
        </w:rPr>
        <w:t xml:space="preserve"> </w:t>
      </w:r>
      <w:r>
        <w:rPr>
          <w:rFonts w:ascii="宋体" w:hAnsi="宋体" w:eastAsia="宋体" w:cs="宋体"/>
          <w:spacing w:val="-10"/>
          <w:sz w:val="27"/>
          <w:szCs w:val="27"/>
        </w:rPr>
        <w:t>要求，影响装备设计，规划保障并研制保障资源，进行保障性试验与评价，建</w:t>
      </w:r>
      <w:r>
        <w:rPr>
          <w:rFonts w:ascii="宋体" w:hAnsi="宋体" w:eastAsia="宋体" w:cs="宋体"/>
          <w:spacing w:val="-11"/>
          <w:sz w:val="27"/>
          <w:szCs w:val="27"/>
        </w:rPr>
        <w:t>立保</w:t>
      </w:r>
      <w:r>
        <w:rPr>
          <w:rFonts w:ascii="宋体" w:hAnsi="宋体" w:eastAsia="宋体" w:cs="宋体"/>
          <w:sz w:val="27"/>
          <w:szCs w:val="27"/>
        </w:rPr>
        <w:t xml:space="preserve"> </w:t>
      </w:r>
      <w:r>
        <w:rPr>
          <w:rFonts w:ascii="宋体" w:hAnsi="宋体" w:eastAsia="宋体" w:cs="宋体"/>
          <w:spacing w:val="5"/>
          <w:sz w:val="27"/>
          <w:szCs w:val="27"/>
        </w:rPr>
        <w:t>障系统等，以最低费用提供所需保障而反复进行的一系列管理和技术活动。实</w:t>
      </w:r>
      <w:r>
        <w:rPr>
          <w:rFonts w:ascii="宋体" w:hAnsi="宋体" w:eastAsia="宋体" w:cs="宋体"/>
          <w:spacing w:val="12"/>
          <w:sz w:val="27"/>
          <w:szCs w:val="27"/>
        </w:rPr>
        <w:t xml:space="preserve"> </w:t>
      </w:r>
      <w:r>
        <w:rPr>
          <w:rFonts w:ascii="宋体" w:hAnsi="宋体" w:eastAsia="宋体" w:cs="宋体"/>
          <w:spacing w:val="6"/>
          <w:sz w:val="27"/>
          <w:szCs w:val="27"/>
        </w:rPr>
        <w:t>体的保障要求包括规划保障(含规划使用保</w:t>
      </w:r>
      <w:r>
        <w:rPr>
          <w:rFonts w:ascii="宋体" w:hAnsi="宋体" w:eastAsia="宋体" w:cs="宋体"/>
          <w:spacing w:val="5"/>
          <w:sz w:val="27"/>
          <w:szCs w:val="27"/>
        </w:rPr>
        <w:t>障与规划维修)和设计接口；保障系</w:t>
      </w:r>
      <w:r>
        <w:rPr>
          <w:rFonts w:ascii="宋体" w:hAnsi="宋体" w:eastAsia="宋体" w:cs="宋体"/>
          <w:sz w:val="27"/>
          <w:szCs w:val="27"/>
        </w:rPr>
        <w:t xml:space="preserve"> </w:t>
      </w:r>
      <w:r>
        <w:rPr>
          <w:rFonts w:ascii="宋体" w:hAnsi="宋体" w:eastAsia="宋体" w:cs="宋体"/>
          <w:spacing w:val="4"/>
          <w:sz w:val="27"/>
          <w:szCs w:val="27"/>
        </w:rPr>
        <w:t>统包括实体在其寿命周期内使用和维修所需的所有保障资源。</w:t>
      </w:r>
    </w:p>
    <w:p w14:paraId="48A5E3FB">
      <w:pPr>
        <w:spacing w:before="92" w:line="263" w:lineRule="auto"/>
        <w:ind w:right="8" w:firstLine="560"/>
        <w:rPr>
          <w:rFonts w:ascii="宋体" w:hAnsi="宋体" w:eastAsia="宋体" w:cs="宋体"/>
          <w:sz w:val="27"/>
          <w:szCs w:val="27"/>
        </w:rPr>
      </w:pPr>
      <w:r>
        <w:rPr>
          <w:rFonts w:ascii="Times New Roman" w:hAnsi="Times New Roman" w:eastAsia="Times New Roman" w:cs="Times New Roman"/>
          <w:spacing w:val="-5"/>
          <w:sz w:val="27"/>
          <w:szCs w:val="27"/>
        </w:rPr>
        <w:t xml:space="preserve">b)  </w:t>
      </w:r>
      <w:r>
        <w:rPr>
          <w:rFonts w:ascii="宋体" w:hAnsi="宋体" w:eastAsia="宋体" w:cs="宋体"/>
          <w:spacing w:val="-5"/>
          <w:sz w:val="27"/>
          <w:szCs w:val="27"/>
        </w:rPr>
        <w:t>规定实体的规划使用保障时，应明确：1)实体的使用保障方案，包括实体</w:t>
      </w:r>
      <w:r>
        <w:rPr>
          <w:rFonts w:ascii="宋体" w:hAnsi="宋体" w:eastAsia="宋体" w:cs="宋体"/>
          <w:spacing w:val="5"/>
          <w:sz w:val="27"/>
          <w:szCs w:val="27"/>
        </w:rPr>
        <w:t xml:space="preserve"> </w:t>
      </w:r>
      <w:r>
        <w:rPr>
          <w:rFonts w:ascii="宋体" w:hAnsi="宋体" w:eastAsia="宋体" w:cs="宋体"/>
          <w:spacing w:val="-10"/>
          <w:sz w:val="27"/>
          <w:szCs w:val="27"/>
        </w:rPr>
        <w:t>动用准备方案、运输方案、贮存方案、诊断方案、加注充填方案等，并应说明已知</w:t>
      </w:r>
      <w:r>
        <w:rPr>
          <w:rFonts w:ascii="宋体" w:hAnsi="宋体" w:eastAsia="宋体" w:cs="宋体"/>
          <w:spacing w:val="9"/>
          <w:sz w:val="27"/>
          <w:szCs w:val="27"/>
        </w:rPr>
        <w:t xml:space="preserve"> </w:t>
      </w:r>
      <w:r>
        <w:rPr>
          <w:rFonts w:ascii="宋体" w:hAnsi="宋体" w:eastAsia="宋体" w:cs="宋体"/>
          <w:spacing w:val="-3"/>
          <w:sz w:val="27"/>
          <w:szCs w:val="27"/>
        </w:rPr>
        <w:t>的或预计的保障资源约束条件；2)实体的使用保障计划，包括针对每项使用保障</w:t>
      </w:r>
      <w:r>
        <w:rPr>
          <w:rFonts w:ascii="宋体" w:hAnsi="宋体" w:eastAsia="宋体" w:cs="宋体"/>
          <w:spacing w:val="18"/>
          <w:sz w:val="27"/>
          <w:szCs w:val="27"/>
        </w:rPr>
        <w:t xml:space="preserve"> </w:t>
      </w:r>
      <w:r>
        <w:rPr>
          <w:rFonts w:ascii="宋体" w:hAnsi="宋体" w:eastAsia="宋体" w:cs="宋体"/>
          <w:spacing w:val="-3"/>
          <w:sz w:val="27"/>
          <w:szCs w:val="27"/>
        </w:rPr>
        <w:t>工作，说明所需的使用保障步骤以及资源。</w:t>
      </w:r>
    </w:p>
    <w:p w14:paraId="2518DFBB">
      <w:pPr>
        <w:spacing w:before="111" w:line="263" w:lineRule="auto"/>
        <w:ind w:firstLine="560"/>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52"/>
          <w:sz w:val="27"/>
          <w:szCs w:val="27"/>
        </w:rPr>
        <w:t xml:space="preserve"> </w:t>
      </w:r>
      <w:r>
        <w:rPr>
          <w:rFonts w:ascii="宋体" w:hAnsi="宋体" w:eastAsia="宋体" w:cs="宋体"/>
          <w:spacing w:val="-4"/>
          <w:sz w:val="27"/>
          <w:szCs w:val="27"/>
        </w:rPr>
        <w:t>规定实体的规划维修时，应明确：1)实体的维修方案，包括维修级别的划</w:t>
      </w:r>
      <w:r>
        <w:rPr>
          <w:rFonts w:ascii="宋体" w:hAnsi="宋体" w:eastAsia="宋体" w:cs="宋体"/>
          <w:sz w:val="27"/>
          <w:szCs w:val="27"/>
        </w:rPr>
        <w:t xml:space="preserve"> </w:t>
      </w:r>
      <w:r>
        <w:rPr>
          <w:rFonts w:ascii="宋体" w:hAnsi="宋体" w:eastAsia="宋体" w:cs="宋体"/>
          <w:spacing w:val="-3"/>
          <w:sz w:val="27"/>
          <w:szCs w:val="27"/>
        </w:rPr>
        <w:t>分、维修原则、各威胁级别的维修范围，并应说明已知的或预计的保障资源约束</w:t>
      </w:r>
      <w:r>
        <w:rPr>
          <w:rFonts w:ascii="宋体" w:hAnsi="宋体" w:eastAsia="宋体" w:cs="宋体"/>
          <w:spacing w:val="17"/>
          <w:sz w:val="27"/>
          <w:szCs w:val="27"/>
        </w:rPr>
        <w:t xml:space="preserve"> </w:t>
      </w:r>
      <w:r>
        <w:rPr>
          <w:rFonts w:ascii="宋体" w:hAnsi="宋体" w:eastAsia="宋体" w:cs="宋体"/>
          <w:spacing w:val="-3"/>
          <w:sz w:val="27"/>
          <w:szCs w:val="27"/>
        </w:rPr>
        <w:t>条件；2)实体的维修计划，包括针对每项维修工作给出维修详细步骤，确定各维</w:t>
      </w:r>
      <w:r>
        <w:rPr>
          <w:rFonts w:ascii="宋体" w:hAnsi="宋体" w:eastAsia="宋体" w:cs="宋体"/>
          <w:spacing w:val="18"/>
          <w:sz w:val="27"/>
          <w:szCs w:val="27"/>
        </w:rPr>
        <w:t xml:space="preserve"> </w:t>
      </w:r>
      <w:r>
        <w:rPr>
          <w:rFonts w:ascii="宋体" w:hAnsi="宋体" w:eastAsia="宋体" w:cs="宋体"/>
          <w:spacing w:val="3"/>
          <w:sz w:val="27"/>
          <w:szCs w:val="27"/>
        </w:rPr>
        <w:t>修级别上完成的维修工作以及所需的保障。</w:t>
      </w:r>
    </w:p>
    <w:p w14:paraId="3841FD8D">
      <w:pPr>
        <w:spacing w:before="69" w:line="212" w:lineRule="auto"/>
        <w:ind w:right="7"/>
        <w:jc w:val="right"/>
        <w:rPr>
          <w:rFonts w:ascii="宋体" w:hAnsi="宋体" w:eastAsia="宋体" w:cs="宋体"/>
          <w:sz w:val="27"/>
          <w:szCs w:val="27"/>
        </w:rPr>
      </w:pPr>
      <w:r>
        <w:rPr>
          <w:rFonts w:ascii="Times New Roman" w:hAnsi="Times New Roman" w:eastAsia="Times New Roman" w:cs="Times New Roman"/>
          <w:spacing w:val="12"/>
          <w:sz w:val="27"/>
          <w:szCs w:val="27"/>
        </w:rPr>
        <w:t>d)</w:t>
      </w:r>
      <w:r>
        <w:rPr>
          <w:rFonts w:ascii="Times New Roman" w:hAnsi="Times New Roman" w:eastAsia="Times New Roman" w:cs="Times New Roman"/>
          <w:spacing w:val="47"/>
          <w:sz w:val="27"/>
          <w:szCs w:val="27"/>
        </w:rPr>
        <w:t xml:space="preserve"> </w:t>
      </w:r>
      <w:r>
        <w:rPr>
          <w:rFonts w:ascii="宋体" w:hAnsi="宋体" w:eastAsia="宋体" w:cs="宋体"/>
          <w:spacing w:val="12"/>
          <w:sz w:val="27"/>
          <w:szCs w:val="27"/>
        </w:rPr>
        <w:t>规定实体的设计接口时，应依据实体的保障性设计参数和保障资</w:t>
      </w:r>
      <w:r>
        <w:rPr>
          <w:rFonts w:ascii="宋体" w:hAnsi="宋体" w:eastAsia="宋体" w:cs="宋体"/>
          <w:spacing w:val="11"/>
          <w:sz w:val="27"/>
          <w:szCs w:val="27"/>
        </w:rPr>
        <w:t>源参</w:t>
      </w:r>
    </w:p>
    <w:p w14:paraId="700F3689">
      <w:pPr>
        <w:spacing w:line="212" w:lineRule="auto"/>
        <w:rPr>
          <w:rFonts w:ascii="宋体" w:hAnsi="宋体" w:eastAsia="宋体" w:cs="宋体"/>
          <w:sz w:val="27"/>
          <w:szCs w:val="27"/>
        </w:rPr>
        <w:sectPr>
          <w:footerReference r:id="rId104" w:type="default"/>
          <w:pgSz w:w="11910" w:h="17130"/>
          <w:pgMar w:top="400" w:right="1410" w:bottom="1633" w:left="1110" w:header="0" w:footer="1435" w:gutter="0"/>
          <w:cols w:space="720" w:num="1"/>
        </w:sectPr>
      </w:pPr>
    </w:p>
    <w:p w14:paraId="24842DD1">
      <w:pPr>
        <w:pStyle w:val="2"/>
        <w:spacing w:line="296" w:lineRule="auto"/>
      </w:pPr>
    </w:p>
    <w:p w14:paraId="5F3184FF">
      <w:pPr>
        <w:pStyle w:val="2"/>
        <w:spacing w:line="296" w:lineRule="auto"/>
      </w:pPr>
    </w:p>
    <w:p w14:paraId="6625EEB6">
      <w:pPr>
        <w:pStyle w:val="2"/>
        <w:spacing w:line="296" w:lineRule="auto"/>
      </w:pPr>
    </w:p>
    <w:p w14:paraId="0395971C">
      <w:pPr>
        <w:pStyle w:val="2"/>
        <w:spacing w:line="296" w:lineRule="auto"/>
      </w:pPr>
    </w:p>
    <w:p w14:paraId="44830DCC">
      <w:pPr>
        <w:spacing w:before="78" w:line="219" w:lineRule="auto"/>
        <w:rPr>
          <w:rFonts w:ascii="宋体" w:hAnsi="宋体" w:eastAsia="宋体" w:cs="宋体"/>
          <w:sz w:val="24"/>
          <w:szCs w:val="24"/>
        </w:rPr>
      </w:pPr>
      <w:bookmarkStart w:id="60" w:name="bookmark335"/>
      <w:bookmarkEnd w:id="60"/>
      <w:r>
        <w:rPr>
          <w:rFonts w:ascii="宋体" w:hAnsi="宋体" w:eastAsia="宋体" w:cs="宋体"/>
          <w:spacing w:val="30"/>
          <w:sz w:val="24"/>
          <w:szCs w:val="24"/>
        </w:rPr>
        <w:t>数，提出实体的保障性设计和保障系统设计两者间的设计接口要</w:t>
      </w:r>
      <w:r>
        <w:rPr>
          <w:rFonts w:ascii="宋体" w:hAnsi="宋体" w:eastAsia="宋体" w:cs="宋体"/>
          <w:spacing w:val="29"/>
          <w:sz w:val="24"/>
          <w:szCs w:val="24"/>
        </w:rPr>
        <w:t>求。</w:t>
      </w:r>
    </w:p>
    <w:p w14:paraId="2A2DB1BA">
      <w:pPr>
        <w:spacing w:before="77" w:line="279" w:lineRule="auto"/>
        <w:ind w:firstLine="560"/>
        <w:jc w:val="both"/>
        <w:rPr>
          <w:rFonts w:ascii="宋体" w:hAnsi="宋体" w:eastAsia="宋体" w:cs="宋体"/>
          <w:sz w:val="27"/>
          <w:szCs w:val="27"/>
        </w:rPr>
      </w:pPr>
      <w:r>
        <w:rPr>
          <w:rFonts w:ascii="Times New Roman" w:hAnsi="Times New Roman" w:eastAsia="Times New Roman" w:cs="Times New Roman"/>
          <w:spacing w:val="-4"/>
          <w:sz w:val="27"/>
          <w:szCs w:val="27"/>
        </w:rPr>
        <w:t>e</w:t>
      </w:r>
      <w:r>
        <w:rPr>
          <w:rFonts w:ascii="Times New Roman" w:hAnsi="Times New Roman" w:eastAsia="Times New Roman" w:cs="Times New Roman"/>
          <w:spacing w:val="-13"/>
          <w:sz w:val="27"/>
          <w:szCs w:val="27"/>
        </w:rPr>
        <w:t xml:space="preserve"> </w:t>
      </w:r>
      <w:r>
        <w:rPr>
          <w:rFonts w:ascii="宋体" w:hAnsi="宋体" w:eastAsia="宋体" w:cs="宋体"/>
          <w:spacing w:val="-4"/>
          <w:sz w:val="27"/>
          <w:szCs w:val="27"/>
        </w:rPr>
        <w:t>)规定实体的保障资源要求时，应明确：1)保障设备要求，提出保障实体的</w:t>
      </w:r>
      <w:r>
        <w:rPr>
          <w:rFonts w:ascii="宋体" w:hAnsi="宋体" w:eastAsia="宋体" w:cs="宋体"/>
          <w:sz w:val="27"/>
          <w:szCs w:val="27"/>
        </w:rPr>
        <w:t xml:space="preserve"> </w:t>
      </w:r>
      <w:r>
        <w:rPr>
          <w:rFonts w:ascii="宋体" w:hAnsi="宋体" w:eastAsia="宋体" w:cs="宋体"/>
          <w:spacing w:val="-3"/>
          <w:sz w:val="27"/>
          <w:szCs w:val="27"/>
        </w:rPr>
        <w:t>使用和维修所需通用保障设备和专用保障设备的类型、功能、性能、数量和编配</w:t>
      </w:r>
      <w:r>
        <w:rPr>
          <w:rFonts w:ascii="宋体" w:hAnsi="宋体" w:eastAsia="宋体" w:cs="宋体"/>
          <w:spacing w:val="7"/>
          <w:sz w:val="27"/>
          <w:szCs w:val="27"/>
        </w:rPr>
        <w:t xml:space="preserve">  </w:t>
      </w:r>
      <w:r>
        <w:rPr>
          <w:rFonts w:ascii="宋体" w:hAnsi="宋体" w:eastAsia="宋体" w:cs="宋体"/>
          <w:spacing w:val="-2"/>
          <w:sz w:val="27"/>
          <w:szCs w:val="27"/>
        </w:rPr>
        <w:t>关系等要求；2)供应保障要求，针对初始供应保障和后续供应保障，提出供</w:t>
      </w:r>
      <w:r>
        <w:rPr>
          <w:rFonts w:ascii="宋体" w:hAnsi="宋体" w:eastAsia="宋体" w:cs="宋体"/>
          <w:spacing w:val="-3"/>
          <w:sz w:val="27"/>
          <w:szCs w:val="27"/>
        </w:rPr>
        <w:t>应品</w:t>
      </w:r>
      <w:r>
        <w:rPr>
          <w:rFonts w:ascii="宋体" w:hAnsi="宋体" w:eastAsia="宋体" w:cs="宋体"/>
          <w:sz w:val="27"/>
          <w:szCs w:val="27"/>
        </w:rPr>
        <w:t xml:space="preserve"> </w:t>
      </w:r>
      <w:r>
        <w:rPr>
          <w:rFonts w:ascii="宋体" w:hAnsi="宋体" w:eastAsia="宋体" w:cs="宋体"/>
          <w:spacing w:val="-10"/>
          <w:sz w:val="27"/>
          <w:szCs w:val="27"/>
        </w:rPr>
        <w:t>的供应方法、贮存地点及分布，备品、备件和专用工具的提交要求等；3)包装、装</w:t>
      </w:r>
      <w:r>
        <w:rPr>
          <w:rFonts w:ascii="宋体" w:hAnsi="宋体" w:eastAsia="宋体" w:cs="宋体"/>
          <w:spacing w:val="5"/>
          <w:sz w:val="27"/>
          <w:szCs w:val="27"/>
        </w:rPr>
        <w:t xml:space="preserve">  </w:t>
      </w:r>
      <w:r>
        <w:rPr>
          <w:rFonts w:ascii="宋体" w:hAnsi="宋体" w:eastAsia="宋体" w:cs="宋体"/>
          <w:spacing w:val="-9"/>
          <w:sz w:val="27"/>
          <w:szCs w:val="27"/>
        </w:rPr>
        <w:t>卸、贮存和运输要求，参照</w:t>
      </w:r>
      <w:r>
        <w:rPr>
          <w:rFonts w:ascii="Times New Roman" w:hAnsi="Times New Roman" w:eastAsia="Times New Roman" w:cs="Times New Roman"/>
          <w:spacing w:val="-9"/>
          <w:sz w:val="27"/>
          <w:szCs w:val="27"/>
        </w:rPr>
        <w:t>GJB1181</w:t>
      </w:r>
      <w:r>
        <w:rPr>
          <w:rFonts w:ascii="Times New Roman" w:hAnsi="Times New Roman" w:eastAsia="Times New Roman" w:cs="Times New Roman"/>
          <w:spacing w:val="22"/>
          <w:sz w:val="27"/>
          <w:szCs w:val="27"/>
        </w:rPr>
        <w:t xml:space="preserve">  </w:t>
      </w:r>
      <w:r>
        <w:rPr>
          <w:rFonts w:ascii="宋体" w:hAnsi="宋体" w:eastAsia="宋体" w:cs="宋体"/>
          <w:spacing w:val="-9"/>
          <w:sz w:val="27"/>
          <w:szCs w:val="27"/>
        </w:rPr>
        <w:t>的规定，提出关于实体及其保障设</w:t>
      </w:r>
      <w:r>
        <w:rPr>
          <w:rFonts w:ascii="宋体" w:hAnsi="宋体" w:eastAsia="宋体" w:cs="宋体"/>
          <w:spacing w:val="-10"/>
          <w:sz w:val="27"/>
          <w:szCs w:val="27"/>
        </w:rPr>
        <w:t>备、备品、</w:t>
      </w:r>
      <w:r>
        <w:rPr>
          <w:rFonts w:ascii="宋体" w:hAnsi="宋体" w:eastAsia="宋体" w:cs="宋体"/>
          <w:sz w:val="27"/>
          <w:szCs w:val="27"/>
        </w:rPr>
        <w:t xml:space="preserve"> </w:t>
      </w:r>
      <w:r>
        <w:rPr>
          <w:rFonts w:ascii="宋体" w:hAnsi="宋体" w:eastAsia="宋体" w:cs="宋体"/>
          <w:spacing w:val="-10"/>
          <w:sz w:val="27"/>
          <w:szCs w:val="27"/>
        </w:rPr>
        <w:t>供应品等的包装、装卸、贮存和运输的所需资源、过程、方法及设计等要求；4)计</w:t>
      </w:r>
      <w:r>
        <w:rPr>
          <w:rFonts w:ascii="宋体" w:hAnsi="宋体" w:eastAsia="宋体" w:cs="宋体"/>
          <w:spacing w:val="5"/>
          <w:sz w:val="27"/>
          <w:szCs w:val="27"/>
        </w:rPr>
        <w:t xml:space="preserve">  算机资源保障要求，提出保障实体中计算机系统的使用和维修所需的设施、硬  </w:t>
      </w:r>
      <w:r>
        <w:rPr>
          <w:rFonts w:ascii="宋体" w:hAnsi="宋体" w:eastAsia="宋体" w:cs="宋体"/>
          <w:spacing w:val="-10"/>
          <w:sz w:val="27"/>
          <w:szCs w:val="27"/>
        </w:rPr>
        <w:t>件、软件、人力和人员等方面的约束条件，例如采用的计算机语言、软件开发环境</w:t>
      </w:r>
      <w:r>
        <w:rPr>
          <w:rFonts w:ascii="宋体" w:hAnsi="宋体" w:eastAsia="宋体" w:cs="宋体"/>
          <w:sz w:val="27"/>
          <w:szCs w:val="27"/>
        </w:rPr>
        <w:t xml:space="preserve">  </w:t>
      </w:r>
      <w:r>
        <w:rPr>
          <w:rFonts w:ascii="宋体" w:hAnsi="宋体" w:eastAsia="宋体" w:cs="宋体"/>
          <w:spacing w:val="-2"/>
          <w:sz w:val="27"/>
          <w:szCs w:val="27"/>
        </w:rPr>
        <w:t>等；5)技术资料要求，提出保障实体的使</w:t>
      </w:r>
      <w:r>
        <w:rPr>
          <w:rFonts w:ascii="宋体" w:hAnsi="宋体" w:eastAsia="宋体" w:cs="宋体"/>
          <w:spacing w:val="-3"/>
          <w:sz w:val="27"/>
          <w:szCs w:val="27"/>
        </w:rPr>
        <w:t>用和维修所需的技术资料的要求及有关</w:t>
      </w:r>
      <w:r>
        <w:rPr>
          <w:rFonts w:ascii="宋体" w:hAnsi="宋体" w:eastAsia="宋体" w:cs="宋体"/>
          <w:sz w:val="27"/>
          <w:szCs w:val="27"/>
        </w:rPr>
        <w:t xml:space="preserve">  </w:t>
      </w:r>
      <w:r>
        <w:rPr>
          <w:rFonts w:ascii="宋体" w:hAnsi="宋体" w:eastAsia="宋体" w:cs="宋体"/>
          <w:spacing w:val="-2"/>
          <w:sz w:val="27"/>
          <w:szCs w:val="27"/>
        </w:rPr>
        <w:t>约束条件；6)保障设施要求，提出与实体的研制方案和使用方式</w:t>
      </w:r>
      <w:r>
        <w:rPr>
          <w:rFonts w:ascii="宋体" w:hAnsi="宋体" w:eastAsia="宋体" w:cs="宋体"/>
          <w:spacing w:val="-3"/>
          <w:sz w:val="27"/>
          <w:szCs w:val="27"/>
        </w:rPr>
        <w:t>相适应的各类必</w:t>
      </w:r>
      <w:r>
        <w:rPr>
          <w:rFonts w:ascii="宋体" w:hAnsi="宋体" w:eastAsia="宋体" w:cs="宋体"/>
          <w:sz w:val="27"/>
          <w:szCs w:val="27"/>
        </w:rPr>
        <w:t xml:space="preserve"> </w:t>
      </w:r>
      <w:r>
        <w:rPr>
          <w:rFonts w:ascii="宋体" w:hAnsi="宋体" w:eastAsia="宋体" w:cs="宋体"/>
          <w:spacing w:val="-2"/>
          <w:sz w:val="27"/>
          <w:szCs w:val="27"/>
        </w:rPr>
        <w:t>需的建筑物与配套装置的要求及其相关约束条件；</w:t>
      </w:r>
      <w:r>
        <w:rPr>
          <w:rFonts w:ascii="宋体" w:hAnsi="宋体" w:eastAsia="宋体" w:cs="宋体"/>
          <w:spacing w:val="-3"/>
          <w:sz w:val="27"/>
          <w:szCs w:val="27"/>
        </w:rPr>
        <w:t>7)人力和人员要求，提出平时</w:t>
      </w:r>
      <w:r>
        <w:rPr>
          <w:rFonts w:ascii="宋体" w:hAnsi="宋体" w:eastAsia="宋体" w:cs="宋体"/>
          <w:sz w:val="27"/>
          <w:szCs w:val="27"/>
        </w:rPr>
        <w:t xml:space="preserve">  </w:t>
      </w:r>
      <w:r>
        <w:rPr>
          <w:rFonts w:ascii="宋体" w:hAnsi="宋体" w:eastAsia="宋体" w:cs="宋体"/>
          <w:spacing w:val="-3"/>
          <w:sz w:val="27"/>
          <w:szCs w:val="27"/>
        </w:rPr>
        <w:t>和战时保障实体的使用、维修与管理所需人员的数量及其文化程度、专业及技能</w:t>
      </w:r>
      <w:r>
        <w:rPr>
          <w:rFonts w:ascii="宋体" w:hAnsi="宋体" w:eastAsia="宋体" w:cs="宋体"/>
          <w:spacing w:val="8"/>
          <w:sz w:val="27"/>
          <w:szCs w:val="27"/>
        </w:rPr>
        <w:t xml:space="preserve">  </w:t>
      </w:r>
      <w:r>
        <w:rPr>
          <w:rFonts w:ascii="宋体" w:hAnsi="宋体" w:eastAsia="宋体" w:cs="宋体"/>
          <w:spacing w:val="-6"/>
          <w:sz w:val="27"/>
          <w:szCs w:val="27"/>
        </w:rPr>
        <w:t>等要求；8)训练和训练保障要求，提出训练要求、</w:t>
      </w:r>
      <w:r>
        <w:rPr>
          <w:rFonts w:ascii="宋体" w:hAnsi="宋体" w:eastAsia="宋体" w:cs="宋体"/>
          <w:spacing w:val="-7"/>
          <w:sz w:val="27"/>
          <w:szCs w:val="27"/>
        </w:rPr>
        <w:t>训练器材的种类及其数量要求、</w:t>
      </w:r>
      <w:r>
        <w:rPr>
          <w:rFonts w:ascii="宋体" w:hAnsi="宋体" w:eastAsia="宋体" w:cs="宋体"/>
          <w:sz w:val="27"/>
          <w:szCs w:val="27"/>
        </w:rPr>
        <w:t xml:space="preserve"> </w:t>
      </w:r>
      <w:r>
        <w:rPr>
          <w:rFonts w:ascii="宋体" w:hAnsi="宋体" w:eastAsia="宋体" w:cs="宋体"/>
          <w:spacing w:val="2"/>
          <w:sz w:val="27"/>
          <w:szCs w:val="27"/>
        </w:rPr>
        <w:t>训练方式与训练计划等。</w:t>
      </w:r>
    </w:p>
    <w:p w14:paraId="2BEACFB2">
      <w:pPr>
        <w:spacing w:before="5" w:line="222" w:lineRule="auto"/>
        <w:rPr>
          <w:rFonts w:ascii="黑体" w:hAnsi="黑体" w:eastAsia="黑体" w:cs="黑体"/>
          <w:sz w:val="25"/>
          <w:szCs w:val="25"/>
        </w:rPr>
      </w:pPr>
      <w:r>
        <w:rPr>
          <w:rFonts w:ascii="黑体" w:hAnsi="黑体" w:eastAsia="黑体" w:cs="黑体"/>
          <w:spacing w:val="-4"/>
          <w:sz w:val="25"/>
          <w:szCs w:val="25"/>
        </w:rPr>
        <w:t>3.19</w:t>
      </w:r>
      <w:r>
        <w:rPr>
          <w:rFonts w:ascii="黑体" w:hAnsi="黑体" w:eastAsia="黑体" w:cs="黑体"/>
          <w:spacing w:val="49"/>
          <w:sz w:val="25"/>
          <w:szCs w:val="25"/>
        </w:rPr>
        <w:t xml:space="preserve">  </w:t>
      </w:r>
      <w:r>
        <w:rPr>
          <w:rFonts w:ascii="黑体" w:hAnsi="黑体" w:eastAsia="黑体" w:cs="黑体"/>
          <w:spacing w:val="-4"/>
          <w:sz w:val="25"/>
          <w:szCs w:val="25"/>
        </w:rPr>
        <w:t>接 口</w:t>
      </w:r>
    </w:p>
    <w:p w14:paraId="478DB41F">
      <w:pPr>
        <w:spacing w:before="98" w:line="219" w:lineRule="auto"/>
        <w:ind w:left="560"/>
        <w:rPr>
          <w:rFonts w:ascii="宋体" w:hAnsi="宋体" w:eastAsia="宋体" w:cs="宋体"/>
          <w:sz w:val="27"/>
          <w:szCs w:val="27"/>
        </w:rPr>
      </w:pPr>
      <w:r>
        <w:rPr>
          <w:rFonts w:ascii="宋体" w:hAnsi="宋体" w:eastAsia="宋体" w:cs="宋体"/>
          <w:sz w:val="27"/>
          <w:szCs w:val="27"/>
        </w:rPr>
        <w:t>本条规定下述内容。</w:t>
      </w:r>
    </w:p>
    <w:p w14:paraId="338E63C7">
      <w:pPr>
        <w:spacing w:before="92" w:line="278" w:lineRule="auto"/>
        <w:ind w:right="103" w:firstLine="56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74"/>
          <w:sz w:val="27"/>
          <w:szCs w:val="27"/>
        </w:rPr>
        <w:t xml:space="preserve"> </w:t>
      </w:r>
      <w:r>
        <w:rPr>
          <w:rFonts w:ascii="宋体" w:hAnsi="宋体" w:eastAsia="宋体" w:cs="宋体"/>
          <w:spacing w:val="3"/>
          <w:sz w:val="27"/>
          <w:szCs w:val="27"/>
        </w:rPr>
        <w:t>规定实体的外部接口和内部接口，即规定本实体与其他一个或数个实体</w:t>
      </w:r>
      <w:r>
        <w:rPr>
          <w:rFonts w:ascii="宋体" w:hAnsi="宋体" w:eastAsia="宋体" w:cs="宋体"/>
          <w:sz w:val="27"/>
          <w:szCs w:val="27"/>
        </w:rPr>
        <w:t xml:space="preserve"> </w:t>
      </w:r>
      <w:r>
        <w:rPr>
          <w:rFonts w:ascii="宋体" w:hAnsi="宋体" w:eastAsia="宋体" w:cs="宋体"/>
          <w:spacing w:val="-2"/>
          <w:sz w:val="27"/>
          <w:szCs w:val="27"/>
        </w:rPr>
        <w:t>之间，以及本实体内部各组成部分之间的共同边界上</w:t>
      </w:r>
      <w:r>
        <w:rPr>
          <w:rFonts w:ascii="宋体" w:hAnsi="宋体" w:eastAsia="宋体" w:cs="宋体"/>
          <w:spacing w:val="-3"/>
          <w:sz w:val="27"/>
          <w:szCs w:val="27"/>
        </w:rPr>
        <w:t>需要具备的诸多特性，诸如</w:t>
      </w:r>
      <w:r>
        <w:rPr>
          <w:rFonts w:ascii="宋体" w:hAnsi="宋体" w:eastAsia="宋体" w:cs="宋体"/>
          <w:sz w:val="27"/>
          <w:szCs w:val="27"/>
        </w:rPr>
        <w:t xml:space="preserve"> </w:t>
      </w:r>
      <w:r>
        <w:rPr>
          <w:rFonts w:ascii="宋体" w:hAnsi="宋体" w:eastAsia="宋体" w:cs="宋体"/>
          <w:spacing w:val="-2"/>
          <w:sz w:val="27"/>
          <w:szCs w:val="27"/>
        </w:rPr>
        <w:t>功能特性、电气电子特性、机械特性、介质特性、光学特性、信息特性、软</w:t>
      </w:r>
      <w:r>
        <w:rPr>
          <w:rFonts w:ascii="宋体" w:hAnsi="宋体" w:eastAsia="宋体" w:cs="宋体"/>
          <w:spacing w:val="-3"/>
          <w:sz w:val="27"/>
          <w:szCs w:val="27"/>
        </w:rPr>
        <w:t>件特</w:t>
      </w:r>
      <w:r>
        <w:rPr>
          <w:rFonts w:ascii="宋体" w:hAnsi="宋体" w:eastAsia="宋体" w:cs="宋体"/>
          <w:sz w:val="27"/>
          <w:szCs w:val="27"/>
        </w:rPr>
        <w:t xml:space="preserve"> </w:t>
      </w:r>
      <w:r>
        <w:rPr>
          <w:rFonts w:ascii="宋体" w:hAnsi="宋体" w:eastAsia="宋体" w:cs="宋体"/>
          <w:spacing w:val="1"/>
          <w:sz w:val="27"/>
          <w:szCs w:val="27"/>
        </w:rPr>
        <w:t>性等。</w:t>
      </w:r>
    </w:p>
    <w:p w14:paraId="777A48B9">
      <w:pPr>
        <w:spacing w:before="11" w:line="219" w:lineRule="auto"/>
        <w:ind w:left="560"/>
        <w:rPr>
          <w:rFonts w:ascii="宋体" w:hAnsi="宋体" w:eastAsia="宋体" w:cs="宋体"/>
          <w:sz w:val="27"/>
          <w:szCs w:val="27"/>
        </w:rPr>
      </w:pPr>
      <w:r>
        <w:rPr>
          <w:rFonts w:ascii="宋体" w:hAnsi="宋体" w:eastAsia="宋体" w:cs="宋体"/>
          <w:spacing w:val="-4"/>
          <w:sz w:val="27"/>
          <w:szCs w:val="27"/>
        </w:rPr>
        <w:t>规定接口时，应尽量采用标准接口或通用接口，必要时可采用专用接口。</w:t>
      </w:r>
    </w:p>
    <w:p w14:paraId="01F20261">
      <w:pPr>
        <w:spacing w:before="104" w:line="274" w:lineRule="auto"/>
        <w:ind w:right="102" w:firstLine="560"/>
        <w:rPr>
          <w:rFonts w:ascii="宋体" w:hAnsi="宋体" w:eastAsia="宋体" w:cs="宋体"/>
          <w:sz w:val="27"/>
          <w:szCs w:val="27"/>
        </w:rPr>
      </w:pPr>
      <w:r>
        <w:rPr>
          <w:rFonts w:ascii="宋体" w:hAnsi="宋体" w:eastAsia="宋体" w:cs="宋体"/>
          <w:spacing w:val="6"/>
          <w:sz w:val="27"/>
          <w:szCs w:val="27"/>
        </w:rPr>
        <w:t>规定接口时，应说明接口规格及要求，明确其</w:t>
      </w:r>
      <w:r>
        <w:rPr>
          <w:rFonts w:ascii="宋体" w:hAnsi="宋体" w:eastAsia="宋体" w:cs="宋体"/>
          <w:spacing w:val="5"/>
          <w:sz w:val="27"/>
          <w:szCs w:val="27"/>
        </w:rPr>
        <w:t>作用或用途。可能时，量化</w:t>
      </w:r>
      <w:r>
        <w:rPr>
          <w:rFonts w:ascii="宋体" w:hAnsi="宋体" w:eastAsia="宋体" w:cs="宋体"/>
          <w:sz w:val="27"/>
          <w:szCs w:val="27"/>
        </w:rPr>
        <w:t xml:space="preserve"> </w:t>
      </w:r>
      <w:r>
        <w:rPr>
          <w:rFonts w:ascii="宋体" w:hAnsi="宋体" w:eastAsia="宋体" w:cs="宋体"/>
          <w:spacing w:val="14"/>
          <w:sz w:val="27"/>
          <w:szCs w:val="27"/>
        </w:rPr>
        <w:t>地规定各个接口的要求。若不同的工作状态有不同的接口要求，则应对不同</w:t>
      </w:r>
      <w:r>
        <w:rPr>
          <w:rFonts w:ascii="宋体" w:hAnsi="宋体" w:eastAsia="宋体" w:cs="宋体"/>
          <w:spacing w:val="1"/>
          <w:sz w:val="27"/>
          <w:szCs w:val="27"/>
        </w:rPr>
        <w:t xml:space="preserve"> </w:t>
      </w:r>
      <w:r>
        <w:rPr>
          <w:rFonts w:ascii="宋体" w:hAnsi="宋体" w:eastAsia="宋体" w:cs="宋体"/>
          <w:spacing w:val="6"/>
          <w:sz w:val="27"/>
          <w:szCs w:val="27"/>
        </w:rPr>
        <w:t>的工作状态提出相应的接口要求。每一外部、内部接口应</w:t>
      </w:r>
      <w:r>
        <w:rPr>
          <w:rFonts w:ascii="宋体" w:hAnsi="宋体" w:eastAsia="宋体" w:cs="宋体"/>
          <w:spacing w:val="5"/>
          <w:sz w:val="27"/>
          <w:szCs w:val="27"/>
        </w:rPr>
        <w:t>以名称标明，且宜引</w:t>
      </w:r>
      <w:r>
        <w:rPr>
          <w:rFonts w:ascii="宋体" w:hAnsi="宋体" w:eastAsia="宋体" w:cs="宋体"/>
          <w:sz w:val="27"/>
          <w:szCs w:val="27"/>
        </w:rPr>
        <w:t xml:space="preserve"> </w:t>
      </w:r>
      <w:r>
        <w:rPr>
          <w:rFonts w:ascii="宋体" w:hAnsi="宋体" w:eastAsia="宋体" w:cs="宋体"/>
          <w:spacing w:val="26"/>
          <w:sz w:val="27"/>
          <w:szCs w:val="27"/>
        </w:rPr>
        <w:t>用相应的标识文件(例如接口控制文件),并可采用外部、内部接口图作出</w:t>
      </w:r>
      <w:r>
        <w:rPr>
          <w:rFonts w:ascii="宋体" w:hAnsi="宋体" w:eastAsia="宋体" w:cs="宋体"/>
          <w:spacing w:val="18"/>
          <w:sz w:val="27"/>
          <w:szCs w:val="27"/>
        </w:rPr>
        <w:t xml:space="preserve"> </w:t>
      </w:r>
      <w:r>
        <w:rPr>
          <w:rFonts w:ascii="宋体" w:hAnsi="宋体" w:eastAsia="宋体" w:cs="宋体"/>
          <w:spacing w:val="1"/>
          <w:sz w:val="27"/>
          <w:szCs w:val="27"/>
        </w:rPr>
        <w:t>说明。</w:t>
      </w:r>
    </w:p>
    <w:p w14:paraId="000CF6D6">
      <w:pPr>
        <w:spacing w:before="32" w:line="219" w:lineRule="auto"/>
        <w:ind w:left="560"/>
        <w:rPr>
          <w:rFonts w:ascii="宋体" w:hAnsi="宋体" w:eastAsia="宋体" w:cs="宋体"/>
          <w:sz w:val="27"/>
          <w:szCs w:val="27"/>
        </w:rPr>
      </w:pPr>
      <w:r>
        <w:rPr>
          <w:rFonts w:ascii="宋体" w:hAnsi="宋体" w:eastAsia="宋体" w:cs="宋体"/>
          <w:spacing w:val="-3"/>
          <w:sz w:val="27"/>
          <w:szCs w:val="27"/>
        </w:rPr>
        <w:t>接口要求也可制定为单独的文件，供本条引用。</w:t>
      </w:r>
    </w:p>
    <w:p w14:paraId="7ACE3BF2">
      <w:pPr>
        <w:spacing w:before="50" w:line="264" w:lineRule="auto"/>
        <w:ind w:right="95" w:firstLine="56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61"/>
          <w:sz w:val="27"/>
          <w:szCs w:val="27"/>
        </w:rPr>
        <w:t xml:space="preserve"> </w:t>
      </w:r>
      <w:r>
        <w:rPr>
          <w:rFonts w:ascii="宋体" w:hAnsi="宋体" w:eastAsia="宋体" w:cs="宋体"/>
          <w:spacing w:val="3"/>
          <w:sz w:val="27"/>
          <w:szCs w:val="27"/>
        </w:rPr>
        <w:t>实体外部接口的主要内容包括：1)确定实体接口优先顺序；2)有关接口</w:t>
      </w:r>
      <w:r>
        <w:rPr>
          <w:rFonts w:ascii="宋体" w:hAnsi="宋体" w:eastAsia="宋体" w:cs="宋体"/>
          <w:sz w:val="27"/>
          <w:szCs w:val="27"/>
        </w:rPr>
        <w:t xml:space="preserve"> 型式实现的要求；3)与实体相互配合所需要的各</w:t>
      </w:r>
      <w:r>
        <w:rPr>
          <w:rFonts w:ascii="宋体" w:hAnsi="宋体" w:eastAsia="宋体" w:cs="宋体"/>
          <w:spacing w:val="-1"/>
          <w:sz w:val="27"/>
          <w:szCs w:val="27"/>
        </w:rPr>
        <w:t>种接口特性。</w:t>
      </w:r>
    </w:p>
    <w:p w14:paraId="797C41AE">
      <w:pPr>
        <w:spacing w:before="106" w:line="275" w:lineRule="auto"/>
        <w:ind w:right="70" w:firstLine="560"/>
        <w:rPr>
          <w:rFonts w:ascii="宋体" w:hAnsi="宋体" w:eastAsia="宋体" w:cs="宋体"/>
          <w:sz w:val="25"/>
          <w:szCs w:val="25"/>
        </w:rPr>
      </w:pPr>
      <w:r>
        <w:rPr>
          <w:rFonts w:ascii="Times New Roman" w:hAnsi="Times New Roman" w:eastAsia="Times New Roman" w:cs="Times New Roman"/>
          <w:spacing w:val="22"/>
          <w:sz w:val="25"/>
          <w:szCs w:val="25"/>
        </w:rPr>
        <w:t>c</w:t>
      </w:r>
      <w:r>
        <w:rPr>
          <w:rFonts w:ascii="Times New Roman" w:hAnsi="Times New Roman" w:eastAsia="Times New Roman" w:cs="Times New Roman"/>
          <w:spacing w:val="-25"/>
          <w:sz w:val="25"/>
          <w:szCs w:val="25"/>
        </w:rPr>
        <w:t xml:space="preserve"> </w:t>
      </w:r>
      <w:r>
        <w:rPr>
          <w:rFonts w:ascii="宋体" w:hAnsi="宋体" w:eastAsia="宋体" w:cs="宋体"/>
          <w:spacing w:val="22"/>
          <w:sz w:val="25"/>
          <w:szCs w:val="25"/>
        </w:rPr>
        <w:t>)</w:t>
      </w:r>
      <w:r>
        <w:rPr>
          <w:rFonts w:ascii="宋体" w:hAnsi="宋体" w:eastAsia="宋体" w:cs="宋体"/>
          <w:spacing w:val="-49"/>
          <w:sz w:val="25"/>
          <w:szCs w:val="25"/>
        </w:rPr>
        <w:t xml:space="preserve"> </w:t>
      </w:r>
      <w:r>
        <w:rPr>
          <w:rFonts w:ascii="宋体" w:hAnsi="宋体" w:eastAsia="宋体" w:cs="宋体"/>
          <w:spacing w:val="22"/>
          <w:sz w:val="25"/>
          <w:szCs w:val="25"/>
        </w:rPr>
        <w:t>对由设计确定的内部接口，应说明设计确定所考虑的各</w:t>
      </w:r>
      <w:r>
        <w:rPr>
          <w:rFonts w:ascii="宋体" w:hAnsi="宋体" w:eastAsia="宋体" w:cs="宋体"/>
          <w:spacing w:val="21"/>
          <w:sz w:val="25"/>
          <w:szCs w:val="25"/>
        </w:rPr>
        <w:t>种主要因素及接</w:t>
      </w:r>
      <w:r>
        <w:rPr>
          <w:rFonts w:ascii="宋体" w:hAnsi="宋体" w:eastAsia="宋体" w:cs="宋体"/>
          <w:sz w:val="25"/>
          <w:szCs w:val="25"/>
        </w:rPr>
        <w:t xml:space="preserve"> </w:t>
      </w:r>
      <w:r>
        <w:rPr>
          <w:rFonts w:ascii="宋体" w:hAnsi="宋体" w:eastAsia="宋体" w:cs="宋体"/>
          <w:spacing w:val="18"/>
          <w:sz w:val="25"/>
          <w:szCs w:val="25"/>
        </w:rPr>
        <w:t>口型式；对由强制确定的内部接口，包括下列主要内容：1)需要执行的标准或文</w:t>
      </w:r>
      <w:r>
        <w:rPr>
          <w:rFonts w:ascii="宋体" w:hAnsi="宋体" w:eastAsia="宋体" w:cs="宋体"/>
          <w:spacing w:val="15"/>
          <w:sz w:val="25"/>
          <w:szCs w:val="25"/>
        </w:rPr>
        <w:t xml:space="preserve"> </w:t>
      </w:r>
      <w:r>
        <w:rPr>
          <w:rFonts w:ascii="宋体" w:hAnsi="宋体" w:eastAsia="宋体" w:cs="宋体"/>
          <w:spacing w:val="16"/>
          <w:sz w:val="25"/>
          <w:szCs w:val="25"/>
        </w:rPr>
        <w:t>件的名称、版次及主要相关内容；2)有关接口型式实现的要求；3)与实体内部各</w:t>
      </w:r>
      <w:r>
        <w:rPr>
          <w:rFonts w:ascii="宋体" w:hAnsi="宋体" w:eastAsia="宋体" w:cs="宋体"/>
          <w:spacing w:val="18"/>
          <w:sz w:val="25"/>
          <w:szCs w:val="25"/>
        </w:rPr>
        <w:t xml:space="preserve"> </w:t>
      </w:r>
      <w:r>
        <w:rPr>
          <w:rFonts w:ascii="宋体" w:hAnsi="宋体" w:eastAsia="宋体" w:cs="宋体"/>
          <w:spacing w:val="23"/>
          <w:sz w:val="25"/>
          <w:szCs w:val="25"/>
        </w:rPr>
        <w:t>组成部分相互配合所需要的各种接口特性。</w:t>
      </w:r>
    </w:p>
    <w:p w14:paraId="0ADC9C65">
      <w:pPr>
        <w:spacing w:line="275" w:lineRule="auto"/>
        <w:rPr>
          <w:rFonts w:ascii="宋体" w:hAnsi="宋体" w:eastAsia="宋体" w:cs="宋体"/>
          <w:sz w:val="25"/>
          <w:szCs w:val="25"/>
        </w:rPr>
        <w:sectPr>
          <w:footerReference r:id="rId105" w:type="default"/>
          <w:pgSz w:w="11910" w:h="17130"/>
          <w:pgMar w:top="400" w:right="904" w:bottom="1580" w:left="1519" w:header="0" w:footer="1294" w:gutter="0"/>
          <w:cols w:space="720" w:num="1"/>
        </w:sectPr>
      </w:pPr>
    </w:p>
    <w:p w14:paraId="6823FAE5">
      <w:pPr>
        <w:pStyle w:val="2"/>
        <w:spacing w:line="281" w:lineRule="auto"/>
      </w:pPr>
    </w:p>
    <w:p w14:paraId="59EA70BE">
      <w:pPr>
        <w:pStyle w:val="2"/>
        <w:spacing w:line="281" w:lineRule="auto"/>
      </w:pPr>
    </w:p>
    <w:p w14:paraId="721D6433">
      <w:pPr>
        <w:pStyle w:val="2"/>
        <w:spacing w:line="282" w:lineRule="auto"/>
      </w:pPr>
    </w:p>
    <w:p w14:paraId="3BFC92E7">
      <w:pPr>
        <w:pStyle w:val="2"/>
        <w:spacing w:line="282" w:lineRule="auto"/>
      </w:pPr>
    </w:p>
    <w:p w14:paraId="4FBA38BD">
      <w:pPr>
        <w:pStyle w:val="2"/>
        <w:spacing w:before="88" w:line="368" w:lineRule="exact"/>
        <w:rPr>
          <w:rFonts w:ascii="黑体" w:hAnsi="黑体" w:eastAsia="黑体" w:cs="黑体"/>
          <w:sz w:val="27"/>
          <w:szCs w:val="27"/>
        </w:rPr>
      </w:pPr>
      <w:r>
        <w:rPr>
          <w:spacing w:val="2"/>
          <w:position w:val="1"/>
          <w:sz w:val="27"/>
          <w:szCs w:val="27"/>
        </w:rPr>
        <w:t xml:space="preserve">3.20.   </w:t>
      </w:r>
      <w:r>
        <w:rPr>
          <w:rFonts w:ascii="黑体" w:hAnsi="黑体" w:eastAsia="黑体" w:cs="黑体"/>
          <w:spacing w:val="2"/>
          <w:position w:val="1"/>
          <w:sz w:val="27"/>
          <w:szCs w:val="27"/>
        </w:rPr>
        <w:t>经济可承受性</w:t>
      </w:r>
    </w:p>
    <w:p w14:paraId="42A2FA82">
      <w:pPr>
        <w:spacing w:before="120" w:line="270" w:lineRule="auto"/>
        <w:ind w:left="10" w:right="134" w:firstLine="560"/>
        <w:rPr>
          <w:rFonts w:ascii="宋体" w:hAnsi="宋体" w:eastAsia="宋体" w:cs="宋体"/>
          <w:sz w:val="25"/>
          <w:szCs w:val="25"/>
        </w:rPr>
      </w:pPr>
      <w:r>
        <w:rPr>
          <w:rFonts w:ascii="宋体" w:hAnsi="宋体" w:eastAsia="宋体" w:cs="宋体"/>
          <w:spacing w:val="13"/>
          <w:sz w:val="25"/>
          <w:szCs w:val="25"/>
        </w:rPr>
        <w:t>本条规定实体的寿命周期费用(包括论证费用、研制费用、</w:t>
      </w:r>
      <w:r>
        <w:rPr>
          <w:rFonts w:ascii="宋体" w:hAnsi="宋体" w:eastAsia="宋体" w:cs="宋体"/>
          <w:spacing w:val="12"/>
          <w:sz w:val="25"/>
          <w:szCs w:val="25"/>
        </w:rPr>
        <w:t>采购费用、使用与</w:t>
      </w:r>
      <w:r>
        <w:rPr>
          <w:rFonts w:ascii="宋体" w:hAnsi="宋体" w:eastAsia="宋体" w:cs="宋体"/>
          <w:sz w:val="25"/>
          <w:szCs w:val="25"/>
        </w:rPr>
        <w:t xml:space="preserve"> </w:t>
      </w:r>
      <w:r>
        <w:rPr>
          <w:rFonts w:ascii="宋体" w:hAnsi="宋体" w:eastAsia="宋体" w:cs="宋体"/>
          <w:spacing w:val="20"/>
          <w:sz w:val="25"/>
          <w:szCs w:val="25"/>
        </w:rPr>
        <w:t>保障费用和退役与处置费用)应在用户的经济承受能力之内，以影响设计权衡。</w:t>
      </w:r>
    </w:p>
    <w:p w14:paraId="7F348ADC">
      <w:pPr>
        <w:pStyle w:val="2"/>
        <w:spacing w:line="368" w:lineRule="exact"/>
        <w:ind w:left="10"/>
        <w:rPr>
          <w:rFonts w:ascii="黑体" w:hAnsi="黑体" w:eastAsia="黑体" w:cs="黑体"/>
          <w:sz w:val="27"/>
          <w:szCs w:val="27"/>
        </w:rPr>
      </w:pPr>
      <w:r>
        <w:rPr>
          <w:spacing w:val="5"/>
          <w:position w:val="1"/>
          <w:sz w:val="27"/>
          <w:szCs w:val="27"/>
        </w:rPr>
        <w:t>3.21</w:t>
      </w:r>
      <w:r>
        <w:rPr>
          <w:spacing w:val="23"/>
          <w:position w:val="1"/>
          <w:sz w:val="27"/>
          <w:szCs w:val="27"/>
        </w:rPr>
        <w:t xml:space="preserve">   </w:t>
      </w:r>
      <w:r>
        <w:rPr>
          <w:rFonts w:ascii="黑体" w:hAnsi="黑体" w:eastAsia="黑体" w:cs="黑体"/>
          <w:spacing w:val="5"/>
          <w:position w:val="1"/>
          <w:sz w:val="27"/>
          <w:szCs w:val="27"/>
        </w:rPr>
        <w:t>计算机硬件与软件</w:t>
      </w:r>
    </w:p>
    <w:p w14:paraId="16285E2E">
      <w:pPr>
        <w:spacing w:before="80" w:line="219" w:lineRule="auto"/>
        <w:ind w:left="570"/>
        <w:rPr>
          <w:rFonts w:ascii="宋体" w:hAnsi="宋体" w:eastAsia="宋体" w:cs="宋体"/>
          <w:sz w:val="27"/>
          <w:szCs w:val="27"/>
        </w:rPr>
      </w:pPr>
      <w:r>
        <w:rPr>
          <w:rFonts w:ascii="宋体" w:hAnsi="宋体" w:eastAsia="宋体" w:cs="宋体"/>
          <w:sz w:val="27"/>
          <w:szCs w:val="27"/>
        </w:rPr>
        <w:t>本条规定下述内容。</w:t>
      </w:r>
    </w:p>
    <w:p w14:paraId="7A738464">
      <w:pPr>
        <w:spacing w:before="40" w:line="301" w:lineRule="auto"/>
        <w:ind w:left="10" w:right="19" w:firstLine="56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53"/>
          <w:sz w:val="27"/>
          <w:szCs w:val="27"/>
        </w:rPr>
        <w:t xml:space="preserve"> </w:t>
      </w:r>
      <w:r>
        <w:rPr>
          <w:rFonts w:ascii="宋体" w:hAnsi="宋体" w:eastAsia="宋体" w:cs="宋体"/>
          <w:spacing w:val="-4"/>
          <w:sz w:val="27"/>
          <w:szCs w:val="27"/>
        </w:rPr>
        <w:t>实体对计算机硬件的要求，主要包括：1)处理器的最大许用能</w:t>
      </w:r>
      <w:r>
        <w:rPr>
          <w:rFonts w:ascii="宋体" w:hAnsi="宋体" w:eastAsia="宋体" w:cs="宋体"/>
          <w:spacing w:val="-5"/>
          <w:sz w:val="27"/>
          <w:szCs w:val="27"/>
        </w:rPr>
        <w:t>力；2)主存</w:t>
      </w:r>
      <w:r>
        <w:rPr>
          <w:rFonts w:ascii="宋体" w:hAnsi="宋体" w:eastAsia="宋体" w:cs="宋体"/>
          <w:sz w:val="27"/>
          <w:szCs w:val="27"/>
        </w:rPr>
        <w:t xml:space="preserve"> </w:t>
      </w:r>
      <w:r>
        <w:rPr>
          <w:rFonts w:ascii="宋体" w:hAnsi="宋体" w:eastAsia="宋体" w:cs="宋体"/>
          <w:spacing w:val="-6"/>
          <w:sz w:val="27"/>
          <w:szCs w:val="27"/>
        </w:rPr>
        <w:t>储器的能力；3)输入/输出设备的能力；4)辅助存储器的能力；5)通信/网络能力；</w:t>
      </w:r>
    </w:p>
    <w:p w14:paraId="376CEAC4">
      <w:pPr>
        <w:spacing w:line="219" w:lineRule="auto"/>
        <w:ind w:left="10"/>
        <w:rPr>
          <w:rFonts w:ascii="宋体" w:hAnsi="宋体" w:eastAsia="宋体" w:cs="宋体"/>
          <w:sz w:val="27"/>
          <w:szCs w:val="27"/>
        </w:rPr>
      </w:pPr>
      <w:r>
        <w:rPr>
          <w:rFonts w:ascii="宋体" w:hAnsi="宋体" w:eastAsia="宋体" w:cs="宋体"/>
          <w:spacing w:val="-9"/>
          <w:sz w:val="27"/>
          <w:szCs w:val="27"/>
        </w:rPr>
        <w:t>6)故障检测、定位、隔离以及必要的冗余能力。</w:t>
      </w:r>
    </w:p>
    <w:p w14:paraId="63BBA307">
      <w:pPr>
        <w:spacing w:before="39" w:line="269" w:lineRule="auto"/>
        <w:ind w:left="10" w:right="10" w:firstLine="560"/>
        <w:rPr>
          <w:rFonts w:ascii="宋体" w:hAnsi="宋体" w:eastAsia="宋体" w:cs="宋体"/>
          <w:sz w:val="27"/>
          <w:szCs w:val="27"/>
        </w:rPr>
      </w:pPr>
      <w:r>
        <w:rPr>
          <w:rFonts w:ascii="Times New Roman" w:hAnsi="Times New Roman" w:eastAsia="Times New Roman" w:cs="Times New Roman"/>
          <w:spacing w:val="-2"/>
          <w:sz w:val="27"/>
          <w:szCs w:val="27"/>
        </w:rPr>
        <w:t>b)</w:t>
      </w:r>
      <w:r>
        <w:rPr>
          <w:rFonts w:ascii="Times New Roman" w:hAnsi="Times New Roman" w:eastAsia="Times New Roman" w:cs="Times New Roman"/>
          <w:spacing w:val="70"/>
          <w:sz w:val="27"/>
          <w:szCs w:val="27"/>
        </w:rPr>
        <w:t xml:space="preserve"> </w:t>
      </w:r>
      <w:r>
        <w:rPr>
          <w:rFonts w:ascii="宋体" w:hAnsi="宋体" w:eastAsia="宋体" w:cs="宋体"/>
          <w:spacing w:val="-2"/>
          <w:sz w:val="27"/>
          <w:szCs w:val="27"/>
        </w:rPr>
        <w:t>实体对计算机软件的要求，主要包括：1)软件运行能力，包括响应时间、</w:t>
      </w:r>
      <w:r>
        <w:rPr>
          <w:rFonts w:ascii="宋体" w:hAnsi="宋体" w:eastAsia="宋体" w:cs="宋体"/>
          <w:sz w:val="27"/>
          <w:szCs w:val="27"/>
        </w:rPr>
        <w:t xml:space="preserve"> </w:t>
      </w:r>
      <w:r>
        <w:rPr>
          <w:rFonts w:ascii="宋体" w:hAnsi="宋体" w:eastAsia="宋体" w:cs="宋体"/>
          <w:spacing w:val="-11"/>
          <w:sz w:val="27"/>
          <w:szCs w:val="27"/>
        </w:rPr>
        <w:t>目标处理批数、数据处理精度、目标指示精度等；2)综合显示能力，以数据或标准</w:t>
      </w:r>
      <w:r>
        <w:rPr>
          <w:rFonts w:ascii="宋体" w:hAnsi="宋体" w:eastAsia="宋体" w:cs="宋体"/>
          <w:spacing w:val="9"/>
          <w:sz w:val="27"/>
          <w:szCs w:val="27"/>
        </w:rPr>
        <w:t xml:space="preserve">  </w:t>
      </w:r>
      <w:r>
        <w:rPr>
          <w:rFonts w:ascii="宋体" w:hAnsi="宋体" w:eastAsia="宋体" w:cs="宋体"/>
          <w:spacing w:val="-2"/>
          <w:sz w:val="27"/>
          <w:szCs w:val="27"/>
        </w:rPr>
        <w:t>图形符号的形式显示各种目标特性；3)运行</w:t>
      </w:r>
      <w:r>
        <w:rPr>
          <w:rFonts w:ascii="宋体" w:hAnsi="宋体" w:eastAsia="宋体" w:cs="宋体"/>
          <w:spacing w:val="-3"/>
          <w:sz w:val="27"/>
          <w:szCs w:val="27"/>
        </w:rPr>
        <w:t>周期时间，软件全功能、满负荷运行</w:t>
      </w:r>
      <w:r>
        <w:rPr>
          <w:rFonts w:ascii="宋体" w:hAnsi="宋体" w:eastAsia="宋体" w:cs="宋体"/>
          <w:sz w:val="27"/>
          <w:szCs w:val="27"/>
        </w:rPr>
        <w:t xml:space="preserve">  </w:t>
      </w:r>
      <w:r>
        <w:rPr>
          <w:rFonts w:ascii="宋体" w:hAnsi="宋体" w:eastAsia="宋体" w:cs="宋体"/>
          <w:spacing w:val="-2"/>
          <w:sz w:val="27"/>
          <w:szCs w:val="27"/>
        </w:rPr>
        <w:t>周期所需的时间；4)灵活性，当实体功能</w:t>
      </w:r>
      <w:r>
        <w:rPr>
          <w:rFonts w:ascii="宋体" w:hAnsi="宋体" w:eastAsia="宋体" w:cs="宋体"/>
          <w:spacing w:val="-3"/>
          <w:sz w:val="27"/>
          <w:szCs w:val="27"/>
        </w:rPr>
        <w:t>降级重组或某组成部分发生故障时，软</w:t>
      </w:r>
      <w:r>
        <w:rPr>
          <w:rFonts w:ascii="宋体" w:hAnsi="宋体" w:eastAsia="宋体" w:cs="宋体"/>
          <w:sz w:val="27"/>
          <w:szCs w:val="27"/>
        </w:rPr>
        <w:t xml:space="preserve">  </w:t>
      </w:r>
      <w:r>
        <w:rPr>
          <w:rFonts w:ascii="宋体" w:hAnsi="宋体" w:eastAsia="宋体" w:cs="宋体"/>
          <w:spacing w:val="-1"/>
          <w:sz w:val="27"/>
          <w:szCs w:val="27"/>
        </w:rPr>
        <w:t>件仍能支持实体降功能或全功能运行；5)实时性，不可重入的任务执行</w:t>
      </w:r>
      <w:r>
        <w:rPr>
          <w:rFonts w:ascii="宋体" w:hAnsi="宋体" w:eastAsia="宋体" w:cs="宋体"/>
          <w:spacing w:val="-2"/>
          <w:sz w:val="27"/>
          <w:szCs w:val="27"/>
        </w:rPr>
        <w:t>时间；6)</w:t>
      </w:r>
      <w:r>
        <w:rPr>
          <w:rFonts w:ascii="宋体" w:hAnsi="宋体" w:eastAsia="宋体" w:cs="宋体"/>
          <w:sz w:val="27"/>
          <w:szCs w:val="27"/>
        </w:rPr>
        <w:t xml:space="preserve"> </w:t>
      </w:r>
      <w:r>
        <w:rPr>
          <w:rFonts w:ascii="宋体" w:hAnsi="宋体" w:eastAsia="宋体" w:cs="宋体"/>
          <w:spacing w:val="-2"/>
          <w:sz w:val="27"/>
          <w:szCs w:val="27"/>
        </w:rPr>
        <w:t>可重用性，软件可在多种应用中加以利用的</w:t>
      </w:r>
      <w:r>
        <w:rPr>
          <w:rFonts w:ascii="宋体" w:hAnsi="宋体" w:eastAsia="宋体" w:cs="宋体"/>
          <w:spacing w:val="-3"/>
          <w:sz w:val="27"/>
          <w:szCs w:val="27"/>
        </w:rPr>
        <w:t>程度；7)可移植性，软件从一个计算</w:t>
      </w:r>
      <w:r>
        <w:rPr>
          <w:rFonts w:ascii="宋体" w:hAnsi="宋体" w:eastAsia="宋体" w:cs="宋体"/>
          <w:sz w:val="27"/>
          <w:szCs w:val="27"/>
        </w:rPr>
        <w:t xml:space="preserve">  </w:t>
      </w:r>
      <w:r>
        <w:rPr>
          <w:rFonts w:ascii="宋体" w:hAnsi="宋体" w:eastAsia="宋体" w:cs="宋体"/>
          <w:spacing w:val="-2"/>
          <w:sz w:val="27"/>
          <w:szCs w:val="27"/>
        </w:rPr>
        <w:t>机系统或环境转移到另一个计算机系统或环</w:t>
      </w:r>
      <w:r>
        <w:rPr>
          <w:rFonts w:ascii="宋体" w:hAnsi="宋体" w:eastAsia="宋体" w:cs="宋体"/>
          <w:spacing w:val="-3"/>
          <w:sz w:val="27"/>
          <w:szCs w:val="27"/>
        </w:rPr>
        <w:t>境的容易程度；8)可测试性，测试准</w:t>
      </w:r>
      <w:r>
        <w:rPr>
          <w:rFonts w:ascii="宋体" w:hAnsi="宋体" w:eastAsia="宋体" w:cs="宋体"/>
          <w:sz w:val="27"/>
          <w:szCs w:val="27"/>
        </w:rPr>
        <w:t xml:space="preserve">  </w:t>
      </w:r>
      <w:r>
        <w:rPr>
          <w:rFonts w:ascii="宋体" w:hAnsi="宋体" w:eastAsia="宋体" w:cs="宋体"/>
          <w:spacing w:val="-3"/>
          <w:sz w:val="27"/>
          <w:szCs w:val="27"/>
        </w:rPr>
        <w:t>则的建立及按准则对软件进行评价的程度；9)人机界面，用户与计算机之间的接</w:t>
      </w:r>
      <w:r>
        <w:rPr>
          <w:rFonts w:ascii="宋体" w:hAnsi="宋体" w:eastAsia="宋体" w:cs="宋体"/>
          <w:spacing w:val="8"/>
          <w:sz w:val="27"/>
          <w:szCs w:val="27"/>
        </w:rPr>
        <w:t xml:space="preserve">  </w:t>
      </w:r>
      <w:r>
        <w:rPr>
          <w:rFonts w:ascii="宋体" w:hAnsi="宋体" w:eastAsia="宋体" w:cs="宋体"/>
          <w:spacing w:val="-11"/>
          <w:sz w:val="27"/>
          <w:szCs w:val="27"/>
        </w:rPr>
        <w:t>口状态。</w:t>
      </w:r>
    </w:p>
    <w:p w14:paraId="6229BDBC">
      <w:pPr>
        <w:spacing w:before="140" w:line="253" w:lineRule="auto"/>
        <w:ind w:left="10" w:firstLine="560"/>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1"/>
          <w:sz w:val="27"/>
          <w:szCs w:val="27"/>
        </w:rPr>
        <w:t>实体对与计算机配套使用的相关设备的选择要求，例如服务器、适配</w:t>
      </w:r>
      <w:r>
        <w:rPr>
          <w:rFonts w:ascii="宋体" w:hAnsi="宋体" w:eastAsia="宋体" w:cs="宋体"/>
          <w:spacing w:val="-2"/>
          <w:sz w:val="27"/>
          <w:szCs w:val="27"/>
        </w:rPr>
        <w:t>器、</w:t>
      </w:r>
      <w:r>
        <w:rPr>
          <w:rFonts w:ascii="宋体" w:hAnsi="宋体" w:eastAsia="宋体" w:cs="宋体"/>
          <w:sz w:val="27"/>
          <w:szCs w:val="27"/>
        </w:rPr>
        <w:t xml:space="preserve"> </w:t>
      </w:r>
      <w:r>
        <w:rPr>
          <w:rFonts w:ascii="宋体" w:hAnsi="宋体" w:eastAsia="宋体" w:cs="宋体"/>
          <w:spacing w:val="1"/>
          <w:sz w:val="27"/>
          <w:szCs w:val="27"/>
        </w:rPr>
        <w:t>控制器和路由器等。</w:t>
      </w:r>
    </w:p>
    <w:p w14:paraId="57261EFC">
      <w:pPr>
        <w:spacing w:before="107" w:line="221" w:lineRule="auto"/>
        <w:ind w:left="10"/>
        <w:rPr>
          <w:rFonts w:ascii="黑体" w:hAnsi="黑体" w:eastAsia="黑体" w:cs="黑体"/>
          <w:sz w:val="25"/>
          <w:szCs w:val="25"/>
        </w:rPr>
      </w:pPr>
      <w:r>
        <w:rPr>
          <w:rFonts w:ascii="黑体" w:hAnsi="黑体" w:eastAsia="黑体" w:cs="黑体"/>
          <w:spacing w:val="13"/>
          <w:sz w:val="25"/>
          <w:szCs w:val="25"/>
        </w:rPr>
        <w:t>3.22</w:t>
      </w:r>
      <w:r>
        <w:rPr>
          <w:rFonts w:ascii="黑体" w:hAnsi="黑体" w:eastAsia="黑体" w:cs="黑体"/>
          <w:spacing w:val="34"/>
          <w:sz w:val="25"/>
          <w:szCs w:val="25"/>
        </w:rPr>
        <w:t xml:space="preserve">  </w:t>
      </w:r>
      <w:r>
        <w:rPr>
          <w:rFonts w:ascii="黑体" w:hAnsi="黑体" w:eastAsia="黑体" w:cs="黑体"/>
          <w:spacing w:val="13"/>
          <w:sz w:val="25"/>
          <w:szCs w:val="25"/>
        </w:rPr>
        <w:t>尺寸和体积</w:t>
      </w:r>
    </w:p>
    <w:p w14:paraId="1ED58B4A">
      <w:pPr>
        <w:spacing w:before="121" w:line="301" w:lineRule="auto"/>
        <w:ind w:left="10" w:right="142" w:firstLine="560"/>
        <w:rPr>
          <w:rFonts w:ascii="宋体" w:hAnsi="宋体" w:eastAsia="宋体" w:cs="宋体"/>
          <w:sz w:val="25"/>
          <w:szCs w:val="25"/>
        </w:rPr>
      </w:pPr>
      <w:r>
        <w:rPr>
          <w:rFonts w:ascii="宋体" w:hAnsi="宋体" w:eastAsia="宋体" w:cs="宋体"/>
          <w:spacing w:val="25"/>
          <w:sz w:val="25"/>
          <w:szCs w:val="25"/>
        </w:rPr>
        <w:t>本条规定实体在外形尺寸和体积上的限制性定量要求、允许偏差与配合要</w:t>
      </w:r>
      <w:r>
        <w:rPr>
          <w:rFonts w:ascii="宋体" w:hAnsi="宋体" w:eastAsia="宋体" w:cs="宋体"/>
          <w:spacing w:val="1"/>
          <w:sz w:val="25"/>
          <w:szCs w:val="25"/>
        </w:rPr>
        <w:t xml:space="preserve"> </w:t>
      </w:r>
      <w:r>
        <w:rPr>
          <w:rFonts w:ascii="宋体" w:hAnsi="宋体" w:eastAsia="宋体" w:cs="宋体"/>
          <w:spacing w:val="23"/>
          <w:sz w:val="25"/>
          <w:szCs w:val="25"/>
        </w:rPr>
        <w:t>求。必要时还应规定实体的体积中心位置要求。</w:t>
      </w:r>
    </w:p>
    <w:p w14:paraId="25F514B7">
      <w:pPr>
        <w:spacing w:line="228" w:lineRule="auto"/>
        <w:ind w:left="10"/>
        <w:rPr>
          <w:rFonts w:ascii="黑体" w:hAnsi="黑体" w:eastAsia="黑体" w:cs="黑体"/>
          <w:sz w:val="24"/>
          <w:szCs w:val="24"/>
        </w:rPr>
      </w:pPr>
      <w:r>
        <w:rPr>
          <w:rFonts w:ascii="黑体" w:hAnsi="黑体" w:eastAsia="黑体" w:cs="黑体"/>
          <w:spacing w:val="-5"/>
          <w:sz w:val="24"/>
          <w:szCs w:val="24"/>
        </w:rPr>
        <w:t>3.23</w:t>
      </w:r>
      <w:r>
        <w:rPr>
          <w:rFonts w:ascii="黑体" w:hAnsi="黑体" w:eastAsia="黑体" w:cs="黑体"/>
          <w:spacing w:val="51"/>
          <w:sz w:val="24"/>
          <w:szCs w:val="24"/>
        </w:rPr>
        <w:t xml:space="preserve">  </w:t>
      </w:r>
      <w:r>
        <w:rPr>
          <w:rFonts w:ascii="黑体" w:hAnsi="黑体" w:eastAsia="黑体" w:cs="黑体"/>
          <w:b/>
          <w:bCs/>
          <w:spacing w:val="-5"/>
          <w:sz w:val="24"/>
          <w:szCs w:val="24"/>
        </w:rPr>
        <w:t>重</w:t>
      </w:r>
      <w:r>
        <w:rPr>
          <w:rFonts w:ascii="黑体" w:hAnsi="黑体" w:eastAsia="黑体" w:cs="黑体"/>
          <w:spacing w:val="-35"/>
          <w:sz w:val="24"/>
          <w:szCs w:val="24"/>
        </w:rPr>
        <w:t xml:space="preserve"> </w:t>
      </w:r>
      <w:r>
        <w:rPr>
          <w:rFonts w:ascii="黑体" w:hAnsi="黑体" w:eastAsia="黑体" w:cs="黑体"/>
          <w:b/>
          <w:bCs/>
          <w:spacing w:val="-5"/>
          <w:sz w:val="24"/>
          <w:szCs w:val="24"/>
        </w:rPr>
        <w:t>量</w:t>
      </w:r>
    </w:p>
    <w:p w14:paraId="797D079C">
      <w:pPr>
        <w:spacing w:before="99" w:line="280" w:lineRule="auto"/>
        <w:ind w:left="10" w:right="123" w:firstLine="560"/>
        <w:rPr>
          <w:rFonts w:ascii="宋体" w:hAnsi="宋体" w:eastAsia="宋体" w:cs="宋体"/>
          <w:sz w:val="27"/>
          <w:szCs w:val="27"/>
        </w:rPr>
      </w:pPr>
      <w:r>
        <w:rPr>
          <w:rFonts w:ascii="宋体" w:hAnsi="宋体" w:eastAsia="宋体" w:cs="宋体"/>
          <w:spacing w:val="6"/>
          <w:sz w:val="27"/>
          <w:szCs w:val="27"/>
        </w:rPr>
        <w:t>本条规定实体在重量上的限制性定量要求与允</w:t>
      </w:r>
      <w:r>
        <w:rPr>
          <w:rFonts w:ascii="宋体" w:hAnsi="宋体" w:eastAsia="宋体" w:cs="宋体"/>
          <w:spacing w:val="5"/>
          <w:sz w:val="27"/>
          <w:szCs w:val="27"/>
        </w:rPr>
        <w:t>许偏差要求。必要时还应规</w:t>
      </w:r>
      <w:r>
        <w:rPr>
          <w:rFonts w:ascii="宋体" w:hAnsi="宋体" w:eastAsia="宋体" w:cs="宋体"/>
          <w:sz w:val="27"/>
          <w:szCs w:val="27"/>
        </w:rPr>
        <w:t xml:space="preserve"> </w:t>
      </w:r>
      <w:r>
        <w:rPr>
          <w:rFonts w:ascii="宋体" w:hAnsi="宋体" w:eastAsia="宋体" w:cs="宋体"/>
          <w:spacing w:val="4"/>
          <w:sz w:val="27"/>
          <w:szCs w:val="27"/>
        </w:rPr>
        <w:t>定实体的重心位置要求以及实体各组成部分的重量要求。</w:t>
      </w:r>
    </w:p>
    <w:p w14:paraId="51C075B7">
      <w:pPr>
        <w:spacing w:before="1" w:line="220" w:lineRule="auto"/>
        <w:ind w:left="10"/>
        <w:rPr>
          <w:rFonts w:ascii="黑体" w:hAnsi="黑体" w:eastAsia="黑体" w:cs="黑体"/>
          <w:sz w:val="25"/>
          <w:szCs w:val="25"/>
        </w:rPr>
      </w:pPr>
      <w:r>
        <w:rPr>
          <w:rFonts w:ascii="黑体" w:hAnsi="黑体" w:eastAsia="黑体" w:cs="黑体"/>
          <w:spacing w:val="6"/>
          <w:sz w:val="25"/>
          <w:szCs w:val="25"/>
        </w:rPr>
        <w:t>3.24</w:t>
      </w:r>
      <w:r>
        <w:rPr>
          <w:rFonts w:ascii="黑体" w:hAnsi="黑体" w:eastAsia="黑体" w:cs="黑体"/>
          <w:spacing w:val="35"/>
          <w:sz w:val="25"/>
          <w:szCs w:val="25"/>
        </w:rPr>
        <w:t xml:space="preserve">  </w:t>
      </w:r>
      <w:r>
        <w:rPr>
          <w:rFonts w:ascii="黑体" w:hAnsi="黑体" w:eastAsia="黑体" w:cs="黑体"/>
          <w:spacing w:val="6"/>
          <w:sz w:val="25"/>
          <w:szCs w:val="25"/>
        </w:rPr>
        <w:t>颜色</w:t>
      </w:r>
    </w:p>
    <w:p w14:paraId="709C384E">
      <w:pPr>
        <w:spacing w:before="132" w:line="265" w:lineRule="auto"/>
        <w:ind w:left="10" w:right="134" w:firstLine="560"/>
        <w:jc w:val="both"/>
        <w:rPr>
          <w:rFonts w:ascii="宋体" w:hAnsi="宋体" w:eastAsia="宋体" w:cs="宋体"/>
          <w:sz w:val="27"/>
          <w:szCs w:val="27"/>
        </w:rPr>
      </w:pPr>
      <w:r>
        <w:rPr>
          <w:rFonts w:ascii="宋体" w:hAnsi="宋体" w:eastAsia="宋体" w:cs="宋体"/>
          <w:spacing w:val="-11"/>
          <w:sz w:val="27"/>
          <w:szCs w:val="27"/>
        </w:rPr>
        <w:t>本条从安全性、警示性、隐蔽性、耐脏性、协调性、舒适性和美观性等方面的</w:t>
      </w:r>
      <w:r>
        <w:rPr>
          <w:rFonts w:ascii="宋体" w:hAnsi="宋体" w:eastAsia="宋体" w:cs="宋体"/>
          <w:spacing w:val="3"/>
          <w:sz w:val="27"/>
          <w:szCs w:val="27"/>
        </w:rPr>
        <w:t xml:space="preserve"> </w:t>
      </w:r>
      <w:r>
        <w:rPr>
          <w:rFonts w:ascii="宋体" w:hAnsi="宋体" w:eastAsia="宋体" w:cs="宋体"/>
          <w:spacing w:val="-3"/>
          <w:sz w:val="27"/>
          <w:szCs w:val="27"/>
        </w:rPr>
        <w:t>要求出发，规定实体颜色的限制性要求。可能时，规定对应的定量要求，例如孟</w:t>
      </w:r>
      <w:r>
        <w:rPr>
          <w:rFonts w:ascii="宋体" w:hAnsi="宋体" w:eastAsia="宋体" w:cs="宋体"/>
          <w:spacing w:val="15"/>
          <w:sz w:val="27"/>
          <w:szCs w:val="27"/>
        </w:rPr>
        <w:t xml:space="preserve"> </w:t>
      </w:r>
      <w:r>
        <w:rPr>
          <w:rFonts w:ascii="宋体" w:hAnsi="宋体" w:eastAsia="宋体" w:cs="宋体"/>
          <w:spacing w:val="-3"/>
          <w:sz w:val="27"/>
          <w:szCs w:val="27"/>
        </w:rPr>
        <w:t>塞尔明度。</w:t>
      </w:r>
    </w:p>
    <w:p w14:paraId="55BA5429">
      <w:pPr>
        <w:spacing w:before="36" w:line="221" w:lineRule="auto"/>
        <w:ind w:left="10"/>
        <w:rPr>
          <w:rFonts w:ascii="黑体" w:hAnsi="黑体" w:eastAsia="黑体" w:cs="黑体"/>
          <w:sz w:val="25"/>
          <w:szCs w:val="25"/>
        </w:rPr>
      </w:pPr>
      <w:r>
        <w:rPr>
          <w:rFonts w:ascii="黑体" w:hAnsi="黑体" w:eastAsia="黑体" w:cs="黑体"/>
          <w:spacing w:val="11"/>
          <w:sz w:val="25"/>
          <w:szCs w:val="25"/>
        </w:rPr>
        <w:t>3.25</w:t>
      </w:r>
      <w:r>
        <w:rPr>
          <w:rFonts w:ascii="黑体" w:hAnsi="黑体" w:eastAsia="黑体" w:cs="黑体"/>
          <w:spacing w:val="37"/>
          <w:sz w:val="25"/>
          <w:szCs w:val="25"/>
        </w:rPr>
        <w:t xml:space="preserve">  </w:t>
      </w:r>
      <w:r>
        <w:rPr>
          <w:rFonts w:ascii="黑体" w:hAnsi="黑体" w:eastAsia="黑体" w:cs="黑体"/>
          <w:spacing w:val="11"/>
          <w:sz w:val="25"/>
          <w:szCs w:val="25"/>
        </w:rPr>
        <w:t>抗核加固</w:t>
      </w:r>
    </w:p>
    <w:p w14:paraId="62C4E1F8">
      <w:pPr>
        <w:spacing w:before="132" w:line="285" w:lineRule="auto"/>
        <w:ind w:left="570" w:right="169"/>
        <w:rPr>
          <w:rFonts w:ascii="楷体" w:hAnsi="楷体" w:eastAsia="楷体" w:cs="楷体"/>
          <w:sz w:val="25"/>
          <w:szCs w:val="25"/>
        </w:rPr>
      </w:pPr>
      <w:r>
        <w:rPr>
          <w:rFonts w:ascii="宋体" w:hAnsi="宋体" w:eastAsia="宋体" w:cs="宋体"/>
          <w:spacing w:val="24"/>
          <w:sz w:val="25"/>
          <w:szCs w:val="25"/>
        </w:rPr>
        <w:t>本条规定可能在受核攻击的情况下执行关键任务的实体的抗核加固要求。</w:t>
      </w:r>
      <w:r>
        <w:rPr>
          <w:rFonts w:ascii="宋体" w:hAnsi="宋体" w:eastAsia="宋体" w:cs="宋体"/>
          <w:spacing w:val="6"/>
          <w:sz w:val="25"/>
          <w:szCs w:val="25"/>
        </w:rPr>
        <w:t xml:space="preserve"> </w:t>
      </w:r>
      <w:r>
        <w:rPr>
          <w:rFonts w:ascii="楷体" w:hAnsi="楷体" w:eastAsia="楷体" w:cs="楷体"/>
          <w:spacing w:val="6"/>
          <w:sz w:val="25"/>
          <w:szCs w:val="25"/>
        </w:rPr>
        <w:t>注：产品规范中，</w:t>
      </w:r>
      <w:r>
        <w:rPr>
          <w:rFonts w:ascii="楷体" w:hAnsi="楷体" w:eastAsia="楷体" w:cs="楷体"/>
          <w:b/>
          <w:bCs/>
          <w:spacing w:val="6"/>
          <w:sz w:val="25"/>
          <w:szCs w:val="25"/>
        </w:rPr>
        <w:t>本条为不需包含的要素。</w:t>
      </w:r>
    </w:p>
    <w:p w14:paraId="63116CC1">
      <w:pPr>
        <w:spacing w:line="222" w:lineRule="auto"/>
        <w:ind w:left="10"/>
        <w:rPr>
          <w:rFonts w:ascii="黑体" w:hAnsi="黑体" w:eastAsia="黑体" w:cs="黑体"/>
          <w:sz w:val="27"/>
          <w:szCs w:val="27"/>
        </w:rPr>
      </w:pPr>
      <w:r>
        <w:rPr>
          <w:rFonts w:ascii="黑体" w:hAnsi="黑体" w:eastAsia="黑体" w:cs="黑体"/>
          <w:spacing w:val="1"/>
          <w:sz w:val="27"/>
          <w:szCs w:val="27"/>
        </w:rPr>
        <w:t>3.26  理化性能</w:t>
      </w:r>
    </w:p>
    <w:p w14:paraId="28A9D63C">
      <w:pPr>
        <w:spacing w:before="134" w:line="219" w:lineRule="auto"/>
        <w:ind w:left="570"/>
        <w:rPr>
          <w:rFonts w:ascii="宋体" w:hAnsi="宋体" w:eastAsia="宋体" w:cs="宋体"/>
          <w:sz w:val="27"/>
          <w:szCs w:val="27"/>
        </w:rPr>
      </w:pPr>
      <w:r>
        <w:rPr>
          <w:rFonts w:ascii="宋体" w:hAnsi="宋体" w:eastAsia="宋体" w:cs="宋体"/>
          <w:spacing w:val="-18"/>
          <w:sz w:val="27"/>
          <w:szCs w:val="27"/>
        </w:rPr>
        <w:t>本条规定实体的理化性能要求，诸如成分、浓度、硬度、强度、延伸率、热膨胀</w:t>
      </w:r>
    </w:p>
    <w:p w14:paraId="55A792C4">
      <w:pPr>
        <w:spacing w:line="219" w:lineRule="auto"/>
        <w:rPr>
          <w:rFonts w:ascii="宋体" w:hAnsi="宋体" w:eastAsia="宋体" w:cs="宋体"/>
          <w:sz w:val="27"/>
          <w:szCs w:val="27"/>
        </w:rPr>
        <w:sectPr>
          <w:footerReference r:id="rId106" w:type="default"/>
          <w:pgSz w:w="11910" w:h="17130"/>
          <w:pgMar w:top="400" w:right="1355" w:bottom="1533" w:left="1039" w:header="0" w:footer="1334" w:gutter="0"/>
          <w:cols w:space="720" w:num="1"/>
        </w:sectPr>
      </w:pPr>
    </w:p>
    <w:p w14:paraId="01060396">
      <w:pPr>
        <w:pStyle w:val="2"/>
        <w:spacing w:line="261" w:lineRule="auto"/>
      </w:pPr>
    </w:p>
    <w:p w14:paraId="7B524710">
      <w:pPr>
        <w:pStyle w:val="2"/>
        <w:spacing w:line="262" w:lineRule="auto"/>
      </w:pPr>
    </w:p>
    <w:p w14:paraId="6CF40846">
      <w:pPr>
        <w:pStyle w:val="2"/>
        <w:spacing w:line="262" w:lineRule="auto"/>
      </w:pPr>
    </w:p>
    <w:p w14:paraId="75F4D834">
      <w:pPr>
        <w:pStyle w:val="2"/>
        <w:spacing w:line="262" w:lineRule="auto"/>
      </w:pPr>
    </w:p>
    <w:p w14:paraId="3FD929BD">
      <w:pPr>
        <w:spacing w:before="87" w:line="219" w:lineRule="auto"/>
        <w:rPr>
          <w:rFonts w:ascii="宋体" w:hAnsi="宋体" w:eastAsia="宋体" w:cs="宋体"/>
          <w:sz w:val="27"/>
          <w:szCs w:val="27"/>
        </w:rPr>
      </w:pPr>
      <w:r>
        <w:rPr>
          <w:rFonts w:ascii="宋体" w:hAnsi="宋体" w:eastAsia="宋体" w:cs="宋体"/>
          <w:spacing w:val="-5"/>
          <w:sz w:val="27"/>
          <w:szCs w:val="27"/>
        </w:rPr>
        <w:t>系数、电阻率以及其他类似性能等。</w:t>
      </w:r>
    </w:p>
    <w:p w14:paraId="0E106152">
      <w:pPr>
        <w:spacing w:before="88" w:line="222" w:lineRule="auto"/>
        <w:rPr>
          <w:rFonts w:ascii="黑体" w:hAnsi="黑体" w:eastAsia="黑体" w:cs="黑体"/>
          <w:sz w:val="24"/>
          <w:szCs w:val="24"/>
        </w:rPr>
      </w:pPr>
      <w:r>
        <w:rPr>
          <w:rFonts w:ascii="黑体" w:hAnsi="黑体" w:eastAsia="黑体" w:cs="黑体"/>
          <w:spacing w:val="-5"/>
          <w:sz w:val="24"/>
          <w:szCs w:val="24"/>
        </w:rPr>
        <w:t>3.27</w:t>
      </w:r>
      <w:r>
        <w:rPr>
          <w:rFonts w:ascii="黑体" w:hAnsi="黑体" w:eastAsia="黑体" w:cs="黑体"/>
          <w:spacing w:val="4"/>
          <w:sz w:val="24"/>
          <w:szCs w:val="24"/>
        </w:rPr>
        <w:t xml:space="preserve">   </w:t>
      </w:r>
      <w:r>
        <w:rPr>
          <w:rFonts w:ascii="黑体" w:hAnsi="黑体" w:eastAsia="黑体" w:cs="黑体"/>
          <w:spacing w:val="-5"/>
          <w:sz w:val="24"/>
          <w:szCs w:val="24"/>
        </w:rPr>
        <w:t>能</w:t>
      </w:r>
      <w:r>
        <w:rPr>
          <w:rFonts w:ascii="黑体" w:hAnsi="黑体" w:eastAsia="黑体" w:cs="黑体"/>
          <w:spacing w:val="-34"/>
          <w:sz w:val="24"/>
          <w:szCs w:val="24"/>
        </w:rPr>
        <w:t xml:space="preserve"> </w:t>
      </w:r>
      <w:r>
        <w:rPr>
          <w:rFonts w:ascii="黑体" w:hAnsi="黑体" w:eastAsia="黑体" w:cs="黑体"/>
          <w:spacing w:val="-5"/>
          <w:sz w:val="24"/>
          <w:szCs w:val="24"/>
        </w:rPr>
        <w:t>耗</w:t>
      </w:r>
    </w:p>
    <w:p w14:paraId="33C7C06C">
      <w:pPr>
        <w:spacing w:before="79" w:line="318" w:lineRule="auto"/>
        <w:ind w:right="31" w:firstLine="570"/>
        <w:rPr>
          <w:rFonts w:ascii="宋体" w:hAnsi="宋体" w:eastAsia="宋体" w:cs="宋体"/>
          <w:sz w:val="25"/>
          <w:szCs w:val="25"/>
        </w:rPr>
      </w:pPr>
      <w:r>
        <w:rPr>
          <w:rFonts w:ascii="宋体" w:hAnsi="宋体" w:eastAsia="宋体" w:cs="宋体"/>
          <w:spacing w:val="25"/>
          <w:sz w:val="25"/>
          <w:szCs w:val="25"/>
        </w:rPr>
        <w:t>本条规定实体直接消耗能源的品种、参数及能耗指标。必要时还规定实体</w:t>
      </w:r>
      <w:r>
        <w:rPr>
          <w:rFonts w:ascii="宋体" w:hAnsi="宋体" w:eastAsia="宋体" w:cs="宋体"/>
          <w:sz w:val="25"/>
          <w:szCs w:val="25"/>
        </w:rPr>
        <w:t xml:space="preserve"> </w:t>
      </w:r>
      <w:r>
        <w:rPr>
          <w:rFonts w:ascii="宋体" w:hAnsi="宋体" w:eastAsia="宋体" w:cs="宋体"/>
          <w:spacing w:val="22"/>
          <w:sz w:val="25"/>
          <w:szCs w:val="25"/>
        </w:rPr>
        <w:t>重要组成部分的能耗指标。</w:t>
      </w:r>
    </w:p>
    <w:p w14:paraId="342735C7">
      <w:pPr>
        <w:spacing w:line="222" w:lineRule="auto"/>
        <w:rPr>
          <w:rFonts w:ascii="黑体" w:hAnsi="黑体" w:eastAsia="黑体" w:cs="黑体"/>
          <w:sz w:val="24"/>
          <w:szCs w:val="24"/>
        </w:rPr>
      </w:pPr>
      <w:r>
        <w:rPr>
          <w:rFonts w:ascii="黑体" w:hAnsi="黑体" w:eastAsia="黑体" w:cs="黑体"/>
          <w:spacing w:val="-3"/>
          <w:sz w:val="24"/>
          <w:szCs w:val="24"/>
        </w:rPr>
        <w:t>3.28</w:t>
      </w:r>
      <w:r>
        <w:rPr>
          <w:rFonts w:ascii="黑体" w:hAnsi="黑体" w:eastAsia="黑体" w:cs="黑体"/>
          <w:spacing w:val="3"/>
          <w:sz w:val="24"/>
          <w:szCs w:val="24"/>
        </w:rPr>
        <w:t xml:space="preserve">   </w:t>
      </w:r>
      <w:r>
        <w:rPr>
          <w:rFonts w:ascii="黑体" w:hAnsi="黑体" w:eastAsia="黑体" w:cs="黑体"/>
          <w:spacing w:val="-3"/>
          <w:sz w:val="24"/>
          <w:szCs w:val="24"/>
        </w:rPr>
        <w:t>材</w:t>
      </w:r>
      <w:r>
        <w:rPr>
          <w:rFonts w:ascii="黑体" w:hAnsi="黑体" w:eastAsia="黑体" w:cs="黑体"/>
          <w:spacing w:val="-24"/>
          <w:sz w:val="24"/>
          <w:szCs w:val="24"/>
        </w:rPr>
        <w:t xml:space="preserve"> </w:t>
      </w:r>
      <w:r>
        <w:rPr>
          <w:rFonts w:ascii="黑体" w:hAnsi="黑体" w:eastAsia="黑体" w:cs="黑体"/>
          <w:spacing w:val="-3"/>
          <w:sz w:val="24"/>
          <w:szCs w:val="24"/>
        </w:rPr>
        <w:t>料</w:t>
      </w:r>
    </w:p>
    <w:p w14:paraId="34B53699">
      <w:pPr>
        <w:spacing w:before="101" w:line="281" w:lineRule="auto"/>
        <w:ind w:firstLine="570"/>
        <w:rPr>
          <w:rFonts w:ascii="宋体" w:hAnsi="宋体" w:eastAsia="宋体" w:cs="宋体"/>
          <w:sz w:val="25"/>
          <w:szCs w:val="25"/>
        </w:rPr>
      </w:pPr>
      <w:r>
        <w:rPr>
          <w:rFonts w:ascii="宋体" w:hAnsi="宋体" w:eastAsia="宋体" w:cs="宋体"/>
          <w:spacing w:val="18"/>
          <w:sz w:val="25"/>
          <w:szCs w:val="25"/>
        </w:rPr>
        <w:t>本条依据实体的预定用途与性能，以及人体健</w:t>
      </w:r>
      <w:r>
        <w:rPr>
          <w:rFonts w:ascii="宋体" w:hAnsi="宋体" w:eastAsia="宋体" w:cs="宋体"/>
          <w:spacing w:val="17"/>
          <w:sz w:val="25"/>
          <w:szCs w:val="25"/>
        </w:rPr>
        <w:t>康与环境保护的要求，规定实</w:t>
      </w:r>
      <w:r>
        <w:rPr>
          <w:rFonts w:ascii="宋体" w:hAnsi="宋体" w:eastAsia="宋体" w:cs="宋体"/>
          <w:sz w:val="25"/>
          <w:szCs w:val="25"/>
        </w:rPr>
        <w:t xml:space="preserve"> </w:t>
      </w:r>
      <w:r>
        <w:rPr>
          <w:rFonts w:ascii="宋体" w:hAnsi="宋体" w:eastAsia="宋体" w:cs="宋体"/>
          <w:spacing w:val="23"/>
          <w:sz w:val="25"/>
          <w:szCs w:val="25"/>
        </w:rPr>
        <w:t>体所用材料的下列限制性要求或预防性措施要求：</w:t>
      </w:r>
    </w:p>
    <w:p w14:paraId="5C204A0B">
      <w:pPr>
        <w:spacing w:line="212" w:lineRule="auto"/>
        <w:ind w:left="570"/>
        <w:rPr>
          <w:rFonts w:ascii="宋体" w:hAnsi="宋体" w:eastAsia="宋体" w:cs="宋体"/>
          <w:sz w:val="27"/>
          <w:szCs w:val="27"/>
        </w:rPr>
      </w:pPr>
      <w:r>
        <w:rPr>
          <w:rFonts w:ascii="Times New Roman" w:hAnsi="Times New Roman" w:eastAsia="Times New Roman" w:cs="Times New Roman"/>
          <w:spacing w:val="-16"/>
          <w:sz w:val="27"/>
          <w:szCs w:val="27"/>
        </w:rPr>
        <w:t xml:space="preserve">a)  </w:t>
      </w:r>
      <w:r>
        <w:rPr>
          <w:rFonts w:ascii="宋体" w:hAnsi="宋体" w:eastAsia="宋体" w:cs="宋体"/>
          <w:spacing w:val="-16"/>
          <w:sz w:val="27"/>
          <w:szCs w:val="27"/>
        </w:rPr>
        <w:t>性能要求，例如抗拉强度、硬度、冲击值、疲劳强度、工艺性等；</w:t>
      </w:r>
    </w:p>
    <w:p w14:paraId="21A2AABB">
      <w:pPr>
        <w:spacing w:before="142" w:line="212" w:lineRule="auto"/>
        <w:ind w:left="570"/>
        <w:rPr>
          <w:rFonts w:ascii="宋体" w:hAnsi="宋体" w:eastAsia="宋体" w:cs="宋体"/>
          <w:sz w:val="24"/>
          <w:szCs w:val="24"/>
        </w:rPr>
      </w:pPr>
      <w:r>
        <w:rPr>
          <w:rFonts w:ascii="Times New Roman" w:hAnsi="Times New Roman" w:eastAsia="Times New Roman" w:cs="Times New Roman"/>
          <w:spacing w:val="20"/>
          <w:sz w:val="24"/>
          <w:szCs w:val="24"/>
        </w:rPr>
        <w:t>b)</w:t>
      </w:r>
      <w:r>
        <w:rPr>
          <w:rFonts w:ascii="Times New Roman" w:hAnsi="Times New Roman" w:eastAsia="Times New Roman" w:cs="Times New Roman"/>
          <w:spacing w:val="24"/>
          <w:w w:val="101"/>
          <w:sz w:val="24"/>
          <w:szCs w:val="24"/>
        </w:rPr>
        <w:t xml:space="preserve">  </w:t>
      </w:r>
      <w:r>
        <w:rPr>
          <w:rFonts w:ascii="宋体" w:hAnsi="宋体" w:eastAsia="宋体" w:cs="宋体"/>
          <w:spacing w:val="20"/>
          <w:sz w:val="24"/>
          <w:szCs w:val="24"/>
        </w:rPr>
        <w:t>防腐性要求；</w:t>
      </w:r>
    </w:p>
    <w:p w14:paraId="1FCFE672">
      <w:pPr>
        <w:spacing w:before="143" w:line="221" w:lineRule="auto"/>
        <w:ind w:left="570"/>
        <w:rPr>
          <w:rFonts w:ascii="宋体" w:hAnsi="宋体" w:eastAsia="宋体" w:cs="宋体"/>
          <w:sz w:val="24"/>
          <w:szCs w:val="24"/>
        </w:rPr>
      </w:pPr>
      <w:r>
        <w:rPr>
          <w:rFonts w:ascii="Times New Roman" w:hAnsi="Times New Roman" w:eastAsia="Times New Roman" w:cs="Times New Roman"/>
          <w:spacing w:val="17"/>
          <w:sz w:val="24"/>
          <w:szCs w:val="24"/>
        </w:rPr>
        <w:t>c</w:t>
      </w:r>
      <w:r>
        <w:rPr>
          <w:rFonts w:ascii="Times New Roman" w:hAnsi="Times New Roman" w:eastAsia="Times New Roman" w:cs="Times New Roman"/>
          <w:spacing w:val="-14"/>
          <w:sz w:val="24"/>
          <w:szCs w:val="24"/>
        </w:rPr>
        <w:t xml:space="preserve"> </w:t>
      </w:r>
      <w:r>
        <w:rPr>
          <w:rFonts w:ascii="宋体" w:hAnsi="宋体" w:eastAsia="宋体" w:cs="宋体"/>
          <w:spacing w:val="17"/>
          <w:sz w:val="24"/>
          <w:szCs w:val="24"/>
        </w:rPr>
        <w:t>)</w:t>
      </w:r>
      <w:r>
        <w:rPr>
          <w:rFonts w:ascii="宋体" w:hAnsi="宋体" w:eastAsia="宋体" w:cs="宋体"/>
          <w:spacing w:val="-20"/>
          <w:sz w:val="24"/>
          <w:szCs w:val="24"/>
        </w:rPr>
        <w:t xml:space="preserve"> </w:t>
      </w:r>
      <w:r>
        <w:rPr>
          <w:rFonts w:ascii="宋体" w:hAnsi="宋体" w:eastAsia="宋体" w:cs="宋体"/>
          <w:spacing w:val="17"/>
          <w:sz w:val="24"/>
          <w:szCs w:val="24"/>
        </w:rPr>
        <w:t>阻燃性要求；</w:t>
      </w:r>
    </w:p>
    <w:p w14:paraId="43221038">
      <w:pPr>
        <w:spacing w:before="62"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防电化学腐蚀要求；</w:t>
      </w:r>
    </w:p>
    <w:p w14:paraId="2217069A">
      <w:pPr>
        <w:spacing w:before="122" w:line="212" w:lineRule="auto"/>
        <w:ind w:left="570"/>
        <w:rPr>
          <w:rFonts w:ascii="宋体" w:hAnsi="宋体" w:eastAsia="宋体" w:cs="宋体"/>
          <w:sz w:val="24"/>
          <w:szCs w:val="24"/>
        </w:rPr>
      </w:pPr>
      <w:r>
        <w:rPr>
          <w:rFonts w:ascii="Times New Roman" w:hAnsi="Times New Roman" w:eastAsia="Times New Roman" w:cs="Times New Roman"/>
          <w:spacing w:val="24"/>
          <w:sz w:val="24"/>
          <w:szCs w:val="24"/>
        </w:rPr>
        <w:t>e)</w:t>
      </w:r>
      <w:r>
        <w:rPr>
          <w:rFonts w:ascii="Times New Roman" w:hAnsi="Times New Roman" w:eastAsia="Times New Roman" w:cs="Times New Roman"/>
          <w:spacing w:val="6"/>
          <w:sz w:val="24"/>
          <w:szCs w:val="24"/>
        </w:rPr>
        <w:t xml:space="preserve">  </w:t>
      </w:r>
      <w:r>
        <w:rPr>
          <w:rFonts w:ascii="宋体" w:hAnsi="宋体" w:eastAsia="宋体" w:cs="宋体"/>
          <w:spacing w:val="24"/>
          <w:sz w:val="24"/>
          <w:szCs w:val="24"/>
        </w:rPr>
        <w:t>无毒或低毒要求；</w:t>
      </w:r>
    </w:p>
    <w:p w14:paraId="3805AD5E">
      <w:pPr>
        <w:spacing w:before="144" w:line="212" w:lineRule="auto"/>
        <w:ind w:left="570"/>
        <w:rPr>
          <w:rFonts w:ascii="宋体" w:hAnsi="宋体" w:eastAsia="宋体" w:cs="宋体"/>
          <w:sz w:val="24"/>
          <w:szCs w:val="24"/>
        </w:rPr>
      </w:pPr>
      <w:r>
        <w:rPr>
          <w:rFonts w:ascii="Times New Roman" w:hAnsi="Times New Roman" w:eastAsia="Times New Roman" w:cs="Times New Roman"/>
          <w:spacing w:val="21"/>
          <w:sz w:val="24"/>
          <w:szCs w:val="24"/>
        </w:rPr>
        <w:t>f)</w:t>
      </w:r>
      <w:r>
        <w:rPr>
          <w:rFonts w:ascii="Times New Roman" w:hAnsi="Times New Roman" w:eastAsia="Times New Roman" w:cs="Times New Roman"/>
          <w:spacing w:val="20"/>
          <w:w w:val="101"/>
          <w:sz w:val="24"/>
          <w:szCs w:val="24"/>
        </w:rPr>
        <w:t xml:space="preserve">  </w:t>
      </w:r>
      <w:r>
        <w:rPr>
          <w:rFonts w:ascii="宋体" w:hAnsi="宋体" w:eastAsia="宋体" w:cs="宋体"/>
          <w:spacing w:val="21"/>
          <w:sz w:val="24"/>
          <w:szCs w:val="24"/>
        </w:rPr>
        <w:t>时效性要求。</w:t>
      </w:r>
    </w:p>
    <w:p w14:paraId="05BBA8C8">
      <w:pPr>
        <w:spacing w:before="131" w:line="222" w:lineRule="auto"/>
        <w:rPr>
          <w:rFonts w:ascii="黑体" w:hAnsi="黑体" w:eastAsia="黑体" w:cs="黑体"/>
          <w:sz w:val="25"/>
          <w:szCs w:val="25"/>
        </w:rPr>
      </w:pPr>
      <w:r>
        <w:rPr>
          <w:rFonts w:ascii="黑体" w:hAnsi="黑体" w:eastAsia="黑体" w:cs="黑体"/>
          <w:spacing w:val="13"/>
          <w:sz w:val="25"/>
          <w:szCs w:val="25"/>
        </w:rPr>
        <w:t>3.29</w:t>
      </w:r>
      <w:r>
        <w:rPr>
          <w:rFonts w:ascii="黑体" w:hAnsi="黑体" w:eastAsia="黑体" w:cs="黑体"/>
          <w:spacing w:val="51"/>
          <w:sz w:val="25"/>
          <w:szCs w:val="25"/>
        </w:rPr>
        <w:t xml:space="preserve">  </w:t>
      </w:r>
      <w:r>
        <w:rPr>
          <w:rFonts w:ascii="黑体" w:hAnsi="黑体" w:eastAsia="黑体" w:cs="黑体"/>
          <w:spacing w:val="13"/>
          <w:sz w:val="25"/>
          <w:szCs w:val="25"/>
        </w:rPr>
        <w:t>非研制项目</w:t>
      </w:r>
    </w:p>
    <w:p w14:paraId="3B2D8098">
      <w:pPr>
        <w:spacing w:before="100" w:line="219" w:lineRule="auto"/>
        <w:ind w:left="570"/>
        <w:rPr>
          <w:rFonts w:ascii="宋体" w:hAnsi="宋体" w:eastAsia="宋体" w:cs="宋体"/>
          <w:sz w:val="27"/>
          <w:szCs w:val="27"/>
        </w:rPr>
      </w:pPr>
      <w:r>
        <w:rPr>
          <w:rFonts w:ascii="宋体" w:hAnsi="宋体" w:eastAsia="宋体" w:cs="宋体"/>
          <w:sz w:val="27"/>
          <w:szCs w:val="27"/>
        </w:rPr>
        <w:t>本条规定实体采用非研制项目(含标准零部件、组</w:t>
      </w:r>
      <w:r>
        <w:rPr>
          <w:rFonts w:ascii="宋体" w:hAnsi="宋体" w:eastAsia="宋体" w:cs="宋体"/>
          <w:spacing w:val="-1"/>
          <w:sz w:val="27"/>
          <w:szCs w:val="27"/>
        </w:rPr>
        <w:t>件)的要求。</w:t>
      </w:r>
    </w:p>
    <w:p w14:paraId="4A3DC0B8">
      <w:pPr>
        <w:spacing w:before="100" w:line="222" w:lineRule="auto"/>
        <w:rPr>
          <w:rFonts w:ascii="黑体" w:hAnsi="黑体" w:eastAsia="黑体" w:cs="黑体"/>
          <w:sz w:val="24"/>
          <w:szCs w:val="24"/>
        </w:rPr>
      </w:pPr>
      <w:r>
        <w:rPr>
          <w:rFonts w:ascii="黑体" w:hAnsi="黑体" w:eastAsia="黑体" w:cs="黑体"/>
          <w:spacing w:val="18"/>
          <w:sz w:val="24"/>
          <w:szCs w:val="24"/>
        </w:rPr>
        <w:t>3.30</w:t>
      </w:r>
      <w:r>
        <w:rPr>
          <w:rFonts w:ascii="黑体" w:hAnsi="黑体" w:eastAsia="黑体" w:cs="黑体"/>
          <w:spacing w:val="3"/>
          <w:sz w:val="24"/>
          <w:szCs w:val="24"/>
        </w:rPr>
        <w:t xml:space="preserve">   </w:t>
      </w:r>
      <w:r>
        <w:rPr>
          <w:rFonts w:ascii="黑体" w:hAnsi="黑体" w:eastAsia="黑体" w:cs="黑体"/>
          <w:spacing w:val="18"/>
          <w:sz w:val="24"/>
          <w:szCs w:val="24"/>
        </w:rPr>
        <w:t>外观质量</w:t>
      </w:r>
    </w:p>
    <w:p w14:paraId="0105CDE3">
      <w:pPr>
        <w:spacing w:before="123" w:line="290" w:lineRule="auto"/>
        <w:ind w:right="22" w:firstLine="570"/>
        <w:jc w:val="both"/>
        <w:rPr>
          <w:rFonts w:ascii="宋体" w:hAnsi="宋体" w:eastAsia="宋体" w:cs="宋体"/>
          <w:sz w:val="25"/>
          <w:szCs w:val="25"/>
        </w:rPr>
      </w:pPr>
      <w:r>
        <w:rPr>
          <w:rFonts w:ascii="宋体" w:hAnsi="宋体" w:eastAsia="宋体" w:cs="宋体"/>
          <w:spacing w:val="1"/>
          <w:sz w:val="25"/>
          <w:szCs w:val="25"/>
        </w:rPr>
        <w:t>本条规定实体的表面粗糙度、波纹度、防护涂镀层、缺陷、锈蚀、毛刺、机械伤</w:t>
      </w:r>
      <w:r>
        <w:rPr>
          <w:rFonts w:ascii="宋体" w:hAnsi="宋体" w:eastAsia="宋体" w:cs="宋体"/>
          <w:spacing w:val="16"/>
          <w:sz w:val="25"/>
          <w:szCs w:val="25"/>
        </w:rPr>
        <w:t xml:space="preserve"> </w:t>
      </w:r>
      <w:r>
        <w:rPr>
          <w:rFonts w:ascii="宋体" w:hAnsi="宋体" w:eastAsia="宋体" w:cs="宋体"/>
          <w:spacing w:val="12"/>
          <w:sz w:val="25"/>
          <w:szCs w:val="25"/>
        </w:rPr>
        <w:t>痕、裂纹、表面加工的均匀性、</w:t>
      </w:r>
      <w:r>
        <w:rPr>
          <w:rFonts w:ascii="宋体" w:hAnsi="宋体" w:eastAsia="宋体" w:cs="宋体"/>
          <w:spacing w:val="83"/>
          <w:sz w:val="25"/>
          <w:szCs w:val="25"/>
        </w:rPr>
        <w:t xml:space="preserve"> </w:t>
      </w:r>
      <w:r>
        <w:rPr>
          <w:rFonts w:ascii="宋体" w:hAnsi="宋体" w:eastAsia="宋体" w:cs="宋体"/>
          <w:spacing w:val="12"/>
          <w:sz w:val="25"/>
          <w:szCs w:val="25"/>
        </w:rPr>
        <w:t>一致性等外观质量以及感官方面的要求。提出的</w:t>
      </w:r>
      <w:r>
        <w:rPr>
          <w:rFonts w:ascii="宋体" w:hAnsi="宋体" w:eastAsia="宋体" w:cs="宋体"/>
          <w:sz w:val="25"/>
          <w:szCs w:val="25"/>
        </w:rPr>
        <w:t xml:space="preserve"> </w:t>
      </w:r>
      <w:r>
        <w:rPr>
          <w:rFonts w:ascii="宋体" w:hAnsi="宋体" w:eastAsia="宋体" w:cs="宋体"/>
          <w:spacing w:val="26"/>
          <w:sz w:val="25"/>
          <w:szCs w:val="25"/>
        </w:rPr>
        <w:t>要求应能确切反映对实体外观质量的需要，并</w:t>
      </w:r>
      <w:r>
        <w:rPr>
          <w:rFonts w:ascii="宋体" w:hAnsi="宋体" w:eastAsia="宋体" w:cs="宋体"/>
          <w:spacing w:val="25"/>
          <w:sz w:val="25"/>
          <w:szCs w:val="25"/>
        </w:rPr>
        <w:t>能作为判断实体外观质量是否合</w:t>
      </w:r>
      <w:r>
        <w:rPr>
          <w:rFonts w:ascii="宋体" w:hAnsi="宋体" w:eastAsia="宋体" w:cs="宋体"/>
          <w:sz w:val="25"/>
          <w:szCs w:val="25"/>
        </w:rPr>
        <w:t xml:space="preserve"> </w:t>
      </w:r>
      <w:r>
        <w:rPr>
          <w:rFonts w:ascii="宋体" w:hAnsi="宋体" w:eastAsia="宋体" w:cs="宋体"/>
          <w:spacing w:val="19"/>
          <w:sz w:val="25"/>
          <w:szCs w:val="25"/>
        </w:rPr>
        <w:t>格的依据。</w:t>
      </w:r>
    </w:p>
    <w:p w14:paraId="2D6B5161">
      <w:pPr>
        <w:pStyle w:val="2"/>
        <w:spacing w:line="368" w:lineRule="exact"/>
        <w:rPr>
          <w:rFonts w:ascii="黑体" w:hAnsi="黑体" w:eastAsia="黑体" w:cs="黑体"/>
          <w:sz w:val="27"/>
          <w:szCs w:val="27"/>
        </w:rPr>
      </w:pPr>
      <w:r>
        <w:rPr>
          <w:spacing w:val="3"/>
          <w:position w:val="1"/>
          <w:sz w:val="27"/>
          <w:szCs w:val="27"/>
        </w:rPr>
        <w:t>3.31</w:t>
      </w:r>
      <w:r>
        <w:rPr>
          <w:spacing w:val="8"/>
          <w:position w:val="1"/>
          <w:sz w:val="27"/>
          <w:szCs w:val="27"/>
        </w:rPr>
        <w:t xml:space="preserve">    </w:t>
      </w:r>
      <w:r>
        <w:rPr>
          <w:rFonts w:ascii="黑体" w:hAnsi="黑体" w:eastAsia="黑体" w:cs="黑体"/>
          <w:spacing w:val="3"/>
          <w:position w:val="1"/>
          <w:sz w:val="27"/>
          <w:szCs w:val="27"/>
        </w:rPr>
        <w:t>标志和代号</w:t>
      </w:r>
    </w:p>
    <w:p w14:paraId="46FEFFDB">
      <w:pPr>
        <w:spacing w:before="79" w:line="219" w:lineRule="auto"/>
        <w:ind w:left="570"/>
        <w:rPr>
          <w:rFonts w:ascii="宋体" w:hAnsi="宋体" w:eastAsia="宋体" w:cs="宋体"/>
          <w:sz w:val="27"/>
          <w:szCs w:val="27"/>
        </w:rPr>
      </w:pPr>
      <w:r>
        <w:rPr>
          <w:rFonts w:ascii="宋体" w:hAnsi="宋体" w:eastAsia="宋体" w:cs="宋体"/>
          <w:spacing w:val="-4"/>
          <w:sz w:val="27"/>
          <w:szCs w:val="27"/>
        </w:rPr>
        <w:t>本条规定实体的标志和代号的要求，包括：</w:t>
      </w:r>
    </w:p>
    <w:p w14:paraId="7C97A0D8">
      <w:pPr>
        <w:spacing w:before="82" w:line="253" w:lineRule="auto"/>
        <w:ind w:right="1" w:firstLine="57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63"/>
          <w:sz w:val="27"/>
          <w:szCs w:val="27"/>
        </w:rPr>
        <w:t xml:space="preserve"> </w:t>
      </w:r>
      <w:r>
        <w:rPr>
          <w:rFonts w:ascii="宋体" w:hAnsi="宋体" w:eastAsia="宋体" w:cs="宋体"/>
          <w:spacing w:val="4"/>
          <w:sz w:val="27"/>
          <w:szCs w:val="27"/>
        </w:rPr>
        <w:t>标志的位置、内容及其顺序和制作方面的</w:t>
      </w:r>
      <w:r>
        <w:rPr>
          <w:rFonts w:ascii="宋体" w:hAnsi="宋体" w:eastAsia="宋体" w:cs="宋体"/>
          <w:spacing w:val="3"/>
          <w:sz w:val="27"/>
          <w:szCs w:val="27"/>
        </w:rPr>
        <w:t>要求。标志的位置应明显。标</w:t>
      </w:r>
      <w:r>
        <w:rPr>
          <w:rFonts w:ascii="宋体" w:hAnsi="宋体" w:eastAsia="宋体" w:cs="宋体"/>
          <w:sz w:val="27"/>
          <w:szCs w:val="27"/>
        </w:rPr>
        <w:t xml:space="preserve"> </w:t>
      </w:r>
      <w:r>
        <w:rPr>
          <w:rFonts w:ascii="宋体" w:hAnsi="宋体" w:eastAsia="宋体" w:cs="宋体"/>
          <w:spacing w:val="-5"/>
          <w:sz w:val="27"/>
          <w:szCs w:val="27"/>
        </w:rPr>
        <w:t>志的内容主要包括：1)实体的型号或标记；2)制造日期或生产批号。</w:t>
      </w:r>
    </w:p>
    <w:p w14:paraId="40643B3A">
      <w:pPr>
        <w:spacing w:before="48" w:line="264" w:lineRule="auto"/>
        <w:ind w:right="30" w:firstLine="570"/>
        <w:rPr>
          <w:rFonts w:ascii="宋体" w:hAnsi="宋体" w:eastAsia="宋体" w:cs="宋体"/>
          <w:sz w:val="27"/>
          <w:szCs w:val="27"/>
        </w:rPr>
      </w:pPr>
      <w:r>
        <w:rPr>
          <w:rFonts w:ascii="Times New Roman" w:hAnsi="Times New Roman" w:eastAsia="Times New Roman" w:cs="Times New Roman"/>
          <w:spacing w:val="12"/>
          <w:sz w:val="27"/>
          <w:szCs w:val="27"/>
        </w:rPr>
        <w:t>b)</w:t>
      </w:r>
      <w:r>
        <w:rPr>
          <w:rFonts w:ascii="Times New Roman" w:hAnsi="Times New Roman" w:eastAsia="Times New Roman" w:cs="Times New Roman"/>
          <w:spacing w:val="62"/>
          <w:sz w:val="27"/>
          <w:szCs w:val="27"/>
        </w:rPr>
        <w:t xml:space="preserve"> </w:t>
      </w:r>
      <w:r>
        <w:rPr>
          <w:rFonts w:ascii="宋体" w:hAnsi="宋体" w:eastAsia="宋体" w:cs="宋体"/>
          <w:spacing w:val="12"/>
          <w:sz w:val="27"/>
          <w:szCs w:val="27"/>
        </w:rPr>
        <w:t>代号的编号方法、含义及印制要求。代号应简短，</w:t>
      </w:r>
      <w:r>
        <w:rPr>
          <w:rFonts w:ascii="宋体" w:hAnsi="宋体" w:eastAsia="宋体" w:cs="宋体"/>
          <w:spacing w:val="97"/>
          <w:sz w:val="27"/>
          <w:szCs w:val="27"/>
        </w:rPr>
        <w:t xml:space="preserve"> </w:t>
      </w:r>
      <w:r>
        <w:rPr>
          <w:rFonts w:ascii="宋体" w:hAnsi="宋体" w:eastAsia="宋体" w:cs="宋体"/>
          <w:spacing w:val="12"/>
          <w:sz w:val="27"/>
          <w:szCs w:val="27"/>
        </w:rPr>
        <w:t>一般不超过15个</w:t>
      </w:r>
      <w:r>
        <w:rPr>
          <w:rFonts w:ascii="宋体" w:hAnsi="宋体" w:eastAsia="宋体" w:cs="宋体"/>
          <w:sz w:val="27"/>
          <w:szCs w:val="27"/>
        </w:rPr>
        <w:t xml:space="preserve"> </w:t>
      </w:r>
      <w:r>
        <w:rPr>
          <w:rFonts w:ascii="宋体" w:hAnsi="宋体" w:eastAsia="宋体" w:cs="宋体"/>
          <w:spacing w:val="-2"/>
          <w:sz w:val="27"/>
          <w:szCs w:val="27"/>
        </w:rPr>
        <w:t>字符。</w:t>
      </w:r>
    </w:p>
    <w:p w14:paraId="7AD867D0">
      <w:pPr>
        <w:spacing w:before="59" w:line="260" w:lineRule="auto"/>
        <w:ind w:right="28" w:firstLine="570"/>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60"/>
          <w:sz w:val="27"/>
          <w:szCs w:val="27"/>
        </w:rPr>
        <w:t xml:space="preserve"> </w:t>
      </w:r>
      <w:r>
        <w:rPr>
          <w:rFonts w:ascii="宋体" w:hAnsi="宋体" w:eastAsia="宋体" w:cs="宋体"/>
          <w:spacing w:val="-5"/>
          <w:sz w:val="27"/>
          <w:szCs w:val="27"/>
        </w:rPr>
        <w:t>适用时，功能或标识码专用代号(例如有颜色的文字、线条、圆点)的含义</w:t>
      </w:r>
      <w:r>
        <w:rPr>
          <w:rFonts w:ascii="宋体" w:hAnsi="宋体" w:eastAsia="宋体" w:cs="宋体"/>
          <w:sz w:val="27"/>
          <w:szCs w:val="27"/>
        </w:rPr>
        <w:t xml:space="preserve"> </w:t>
      </w:r>
      <w:r>
        <w:rPr>
          <w:rFonts w:ascii="宋体" w:hAnsi="宋体" w:eastAsia="宋体" w:cs="宋体"/>
          <w:spacing w:val="4"/>
          <w:sz w:val="27"/>
          <w:szCs w:val="27"/>
        </w:rPr>
        <w:t>以及实体上打印或压印字符(例如标准合金牌号或条形码)的含义。</w:t>
      </w:r>
    </w:p>
    <w:p w14:paraId="47B391BB">
      <w:pPr>
        <w:spacing w:before="78" w:line="222" w:lineRule="auto"/>
        <w:rPr>
          <w:rFonts w:ascii="黑体" w:hAnsi="黑体" w:eastAsia="黑体" w:cs="黑体"/>
          <w:sz w:val="27"/>
          <w:szCs w:val="27"/>
        </w:rPr>
      </w:pPr>
      <w:r>
        <w:rPr>
          <w:rFonts w:ascii="黑体" w:hAnsi="黑体" w:eastAsia="黑体" w:cs="黑体"/>
          <w:spacing w:val="3"/>
          <w:sz w:val="27"/>
          <w:szCs w:val="27"/>
        </w:rPr>
        <w:t>3.32</w:t>
      </w:r>
      <w:r>
        <w:rPr>
          <w:rFonts w:ascii="黑体" w:hAnsi="黑体" w:eastAsia="黑体" w:cs="黑体"/>
          <w:spacing w:val="24"/>
          <w:sz w:val="27"/>
          <w:szCs w:val="27"/>
        </w:rPr>
        <w:t xml:space="preserve">  </w:t>
      </w:r>
      <w:r>
        <w:rPr>
          <w:rFonts w:ascii="黑体" w:hAnsi="黑体" w:eastAsia="黑体" w:cs="黑体"/>
          <w:spacing w:val="3"/>
          <w:sz w:val="27"/>
          <w:szCs w:val="27"/>
        </w:rPr>
        <w:t>主要组成部分特性</w:t>
      </w:r>
    </w:p>
    <w:p w14:paraId="1B9849A8">
      <w:pPr>
        <w:spacing w:before="95" w:line="276" w:lineRule="auto"/>
        <w:ind w:right="28" w:firstLine="570"/>
        <w:jc w:val="both"/>
        <w:rPr>
          <w:rFonts w:ascii="宋体" w:hAnsi="宋体" w:eastAsia="宋体" w:cs="宋体"/>
          <w:sz w:val="27"/>
          <w:szCs w:val="27"/>
        </w:rPr>
      </w:pPr>
      <w:r>
        <w:rPr>
          <w:rFonts w:ascii="宋体" w:hAnsi="宋体" w:eastAsia="宋体" w:cs="宋体"/>
          <w:spacing w:val="-3"/>
          <w:sz w:val="27"/>
          <w:szCs w:val="27"/>
        </w:rPr>
        <w:t>必要时，本条下设若干下一层次的条，分别规定实体各</w:t>
      </w:r>
      <w:r>
        <w:rPr>
          <w:rFonts w:ascii="宋体" w:hAnsi="宋体" w:eastAsia="宋体" w:cs="宋体"/>
          <w:spacing w:val="-4"/>
          <w:sz w:val="27"/>
          <w:szCs w:val="27"/>
        </w:rPr>
        <w:t>主要组成部分的性能</w:t>
      </w:r>
      <w:r>
        <w:rPr>
          <w:rFonts w:ascii="宋体" w:hAnsi="宋体" w:eastAsia="宋体" w:cs="宋体"/>
          <w:sz w:val="27"/>
          <w:szCs w:val="27"/>
        </w:rPr>
        <w:t xml:space="preserve"> </w:t>
      </w:r>
      <w:r>
        <w:rPr>
          <w:rFonts w:ascii="宋体" w:hAnsi="宋体" w:eastAsia="宋体" w:cs="宋体"/>
          <w:spacing w:val="-2"/>
          <w:sz w:val="27"/>
          <w:szCs w:val="27"/>
        </w:rPr>
        <w:t>特性要求和物理特性要求，并明确说明构成各主要组成部</w:t>
      </w:r>
      <w:r>
        <w:rPr>
          <w:rFonts w:ascii="宋体" w:hAnsi="宋体" w:eastAsia="宋体" w:cs="宋体"/>
          <w:spacing w:val="-3"/>
          <w:sz w:val="27"/>
          <w:szCs w:val="27"/>
        </w:rPr>
        <w:t>分的零部件、组件在其</w:t>
      </w:r>
      <w:r>
        <w:rPr>
          <w:rFonts w:ascii="宋体" w:hAnsi="宋体" w:eastAsia="宋体" w:cs="宋体"/>
          <w:sz w:val="27"/>
          <w:szCs w:val="27"/>
        </w:rPr>
        <w:t xml:space="preserve"> </w:t>
      </w:r>
      <w:r>
        <w:rPr>
          <w:rFonts w:ascii="宋体" w:hAnsi="宋体" w:eastAsia="宋体" w:cs="宋体"/>
          <w:spacing w:val="3"/>
          <w:sz w:val="27"/>
          <w:szCs w:val="27"/>
        </w:rPr>
        <w:t>交付和安装之后可能需要进行的检验。</w:t>
      </w:r>
    </w:p>
    <w:p w14:paraId="4F22C0B9">
      <w:pPr>
        <w:spacing w:before="1" w:line="221" w:lineRule="auto"/>
        <w:rPr>
          <w:rFonts w:ascii="黑体" w:hAnsi="黑体" w:eastAsia="黑体" w:cs="黑体"/>
          <w:sz w:val="27"/>
          <w:szCs w:val="27"/>
        </w:rPr>
      </w:pPr>
      <w:r>
        <w:rPr>
          <w:rFonts w:ascii="黑体" w:hAnsi="黑体" w:eastAsia="黑体" w:cs="黑体"/>
          <w:sz w:val="27"/>
          <w:szCs w:val="27"/>
        </w:rPr>
        <w:t>3.33</w:t>
      </w:r>
      <w:r>
        <w:rPr>
          <w:rFonts w:ascii="黑体" w:hAnsi="黑体" w:eastAsia="黑体" w:cs="黑体"/>
          <w:spacing w:val="20"/>
          <w:sz w:val="27"/>
          <w:szCs w:val="27"/>
        </w:rPr>
        <w:t xml:space="preserve">  </w:t>
      </w:r>
      <w:r>
        <w:rPr>
          <w:rFonts w:ascii="黑体" w:hAnsi="黑体" w:eastAsia="黑体" w:cs="黑体"/>
          <w:sz w:val="27"/>
          <w:szCs w:val="27"/>
        </w:rPr>
        <w:t>图样和技术文件</w:t>
      </w:r>
    </w:p>
    <w:p w14:paraId="28D53291">
      <w:pPr>
        <w:spacing w:before="105" w:line="219" w:lineRule="auto"/>
        <w:ind w:right="25"/>
        <w:jc w:val="right"/>
        <w:rPr>
          <w:rFonts w:ascii="宋体" w:hAnsi="宋体" w:eastAsia="宋体" w:cs="宋体"/>
          <w:sz w:val="27"/>
          <w:szCs w:val="27"/>
        </w:rPr>
      </w:pPr>
      <w:r>
        <w:rPr>
          <w:rFonts w:ascii="宋体" w:hAnsi="宋体" w:eastAsia="宋体" w:cs="宋体"/>
          <w:spacing w:val="5"/>
          <w:sz w:val="27"/>
          <w:szCs w:val="27"/>
        </w:rPr>
        <w:t>本条包括类似于下述的说明性内容：“应对××(实体名称)提供下列生产</w:t>
      </w:r>
    </w:p>
    <w:p w14:paraId="620F54B5">
      <w:pPr>
        <w:spacing w:line="219" w:lineRule="auto"/>
        <w:rPr>
          <w:rFonts w:ascii="宋体" w:hAnsi="宋体" w:eastAsia="宋体" w:cs="宋体"/>
          <w:sz w:val="27"/>
          <w:szCs w:val="27"/>
        </w:rPr>
        <w:sectPr>
          <w:footerReference r:id="rId107" w:type="default"/>
          <w:pgSz w:w="11910" w:h="17130"/>
          <w:pgMar w:top="400" w:right="977" w:bottom="1649" w:left="1529" w:header="0" w:footer="1469" w:gutter="0"/>
          <w:cols w:space="720" w:num="1"/>
        </w:sectPr>
      </w:pPr>
    </w:p>
    <w:p w14:paraId="1C76D393">
      <w:pPr>
        <w:pStyle w:val="2"/>
        <w:spacing w:line="256" w:lineRule="auto"/>
      </w:pPr>
    </w:p>
    <w:p w14:paraId="476EA595">
      <w:pPr>
        <w:pStyle w:val="2"/>
        <w:spacing w:line="257" w:lineRule="auto"/>
      </w:pPr>
    </w:p>
    <w:p w14:paraId="1BFB956A">
      <w:pPr>
        <w:pStyle w:val="2"/>
        <w:spacing w:line="257" w:lineRule="auto"/>
      </w:pPr>
    </w:p>
    <w:p w14:paraId="127B80E3">
      <w:pPr>
        <w:pStyle w:val="2"/>
        <w:spacing w:line="257" w:lineRule="auto"/>
      </w:pPr>
    </w:p>
    <w:p w14:paraId="35E0DC27">
      <w:pPr>
        <w:spacing w:before="87" w:line="219" w:lineRule="auto"/>
        <w:rPr>
          <w:rFonts w:ascii="宋体" w:hAnsi="宋体" w:eastAsia="宋体" w:cs="宋体"/>
          <w:sz w:val="27"/>
          <w:szCs w:val="27"/>
        </w:rPr>
      </w:pPr>
      <w:r>
        <w:rPr>
          <w:rFonts w:ascii="宋体" w:hAnsi="宋体" w:eastAsia="宋体" w:cs="宋体"/>
          <w:spacing w:val="8"/>
          <w:sz w:val="27"/>
          <w:szCs w:val="27"/>
        </w:rPr>
        <w:t>(含加工和装配)用的生产图样和技术文件(含编号及名称):”</w:t>
      </w:r>
    </w:p>
    <w:p w14:paraId="6A7EFBA2">
      <w:pPr>
        <w:spacing w:before="120" w:line="224" w:lineRule="auto"/>
        <w:rPr>
          <w:rFonts w:ascii="黑体" w:hAnsi="黑体" w:eastAsia="黑体" w:cs="黑体"/>
          <w:sz w:val="25"/>
          <w:szCs w:val="25"/>
        </w:rPr>
      </w:pPr>
      <w:r>
        <w:rPr>
          <w:rFonts w:ascii="黑体" w:hAnsi="黑体" w:eastAsia="黑体" w:cs="黑体"/>
          <w:spacing w:val="12"/>
          <w:sz w:val="25"/>
          <w:szCs w:val="25"/>
        </w:rPr>
        <w:t>3.34</w:t>
      </w:r>
      <w:r>
        <w:rPr>
          <w:rFonts w:ascii="黑体" w:hAnsi="黑体" w:eastAsia="黑体" w:cs="黑体"/>
          <w:spacing w:val="52"/>
          <w:sz w:val="25"/>
          <w:szCs w:val="25"/>
        </w:rPr>
        <w:t xml:space="preserve">  </w:t>
      </w:r>
      <w:r>
        <w:rPr>
          <w:rFonts w:ascii="黑体" w:hAnsi="黑体" w:eastAsia="黑体" w:cs="黑体"/>
          <w:spacing w:val="12"/>
          <w:sz w:val="25"/>
          <w:szCs w:val="25"/>
        </w:rPr>
        <w:t>标准样件</w:t>
      </w:r>
    </w:p>
    <w:p w14:paraId="4D0F2AE4">
      <w:pPr>
        <w:spacing w:before="47" w:line="281" w:lineRule="auto"/>
        <w:ind w:firstLine="560"/>
        <w:jc w:val="both"/>
        <w:rPr>
          <w:rFonts w:ascii="宋体" w:hAnsi="宋体" w:eastAsia="宋体" w:cs="宋体"/>
          <w:sz w:val="27"/>
          <w:szCs w:val="27"/>
        </w:rPr>
      </w:pPr>
      <w:r>
        <w:rPr>
          <w:rFonts w:ascii="宋体" w:hAnsi="宋体" w:eastAsia="宋体" w:cs="宋体"/>
          <w:spacing w:val="-3"/>
          <w:sz w:val="27"/>
          <w:szCs w:val="27"/>
        </w:rPr>
        <w:t>适用时，本条规定标准样件，说明标准样件所应展示的具体特性以及从该标</w:t>
      </w:r>
      <w:r>
        <w:rPr>
          <w:rFonts w:ascii="宋体" w:hAnsi="宋体" w:eastAsia="宋体" w:cs="宋体"/>
          <w:spacing w:val="18"/>
          <w:sz w:val="27"/>
          <w:szCs w:val="27"/>
        </w:rPr>
        <w:t xml:space="preserve"> </w:t>
      </w:r>
      <w:r>
        <w:rPr>
          <w:rFonts w:ascii="宋体" w:hAnsi="宋体" w:eastAsia="宋体" w:cs="宋体"/>
          <w:spacing w:val="5"/>
          <w:sz w:val="27"/>
          <w:szCs w:val="27"/>
        </w:rPr>
        <w:t>准样件上能观察到这些特性的程度。标准样件应尽量少用，应只用来描述或补</w:t>
      </w:r>
      <w:r>
        <w:rPr>
          <w:rFonts w:ascii="宋体" w:hAnsi="宋体" w:eastAsia="宋体" w:cs="宋体"/>
          <w:spacing w:val="18"/>
          <w:sz w:val="27"/>
          <w:szCs w:val="27"/>
        </w:rPr>
        <w:t xml:space="preserve"> </w:t>
      </w:r>
      <w:r>
        <w:rPr>
          <w:rFonts w:ascii="宋体" w:hAnsi="宋体" w:eastAsia="宋体" w:cs="宋体"/>
          <w:spacing w:val="-3"/>
          <w:sz w:val="27"/>
          <w:szCs w:val="27"/>
        </w:rPr>
        <w:t>充描述下述品质和特性：由于没有详细的试验程序或设计数据而难以描述的；或</w:t>
      </w:r>
      <w:r>
        <w:rPr>
          <w:rFonts w:ascii="宋体" w:hAnsi="宋体" w:eastAsia="宋体" w:cs="宋体"/>
          <w:spacing w:val="16"/>
          <w:sz w:val="27"/>
          <w:szCs w:val="27"/>
        </w:rPr>
        <w:t xml:space="preserve"> </w:t>
      </w:r>
      <w:r>
        <w:rPr>
          <w:rFonts w:ascii="宋体" w:hAnsi="宋体" w:eastAsia="宋体" w:cs="宋体"/>
          <w:spacing w:val="5"/>
          <w:sz w:val="27"/>
          <w:szCs w:val="27"/>
        </w:rPr>
        <w:t>难以用其他方式描述或准确表述的，例如皮毛的纹理、织物的颜色或木材的细</w:t>
      </w:r>
      <w:r>
        <w:rPr>
          <w:rFonts w:ascii="宋体" w:hAnsi="宋体" w:eastAsia="宋体" w:cs="宋体"/>
          <w:spacing w:val="15"/>
          <w:sz w:val="27"/>
          <w:szCs w:val="27"/>
        </w:rPr>
        <w:t xml:space="preserve"> </w:t>
      </w:r>
      <w:r>
        <w:rPr>
          <w:rFonts w:ascii="宋体" w:hAnsi="宋体" w:eastAsia="宋体" w:cs="宋体"/>
          <w:spacing w:val="-2"/>
          <w:sz w:val="27"/>
          <w:szCs w:val="27"/>
        </w:rPr>
        <w:t>度等。</w:t>
      </w:r>
    </w:p>
    <w:p w14:paraId="3D1EF468">
      <w:pPr>
        <w:spacing w:before="12" w:line="222" w:lineRule="auto"/>
        <w:rPr>
          <w:rFonts w:ascii="黑体" w:hAnsi="黑体" w:eastAsia="黑体" w:cs="黑体"/>
          <w:sz w:val="27"/>
          <w:szCs w:val="27"/>
        </w:rPr>
      </w:pPr>
      <w:r>
        <w:rPr>
          <w:rFonts w:ascii="黑体" w:hAnsi="黑体" w:eastAsia="黑体" w:cs="黑体"/>
          <w:spacing w:val="-3"/>
          <w:sz w:val="27"/>
          <w:szCs w:val="27"/>
        </w:rPr>
        <w:t>4</w:t>
      </w:r>
      <w:r>
        <w:rPr>
          <w:rFonts w:ascii="黑体" w:hAnsi="黑体" w:eastAsia="黑体" w:cs="黑体"/>
          <w:spacing w:val="19"/>
          <w:sz w:val="27"/>
          <w:szCs w:val="27"/>
        </w:rPr>
        <w:t xml:space="preserve">  </w:t>
      </w:r>
      <w:r>
        <w:rPr>
          <w:rFonts w:ascii="黑体" w:hAnsi="黑体" w:eastAsia="黑体" w:cs="黑体"/>
          <w:spacing w:val="-3"/>
          <w:sz w:val="27"/>
          <w:szCs w:val="27"/>
        </w:rPr>
        <w:t>验证</w:t>
      </w:r>
    </w:p>
    <w:p w14:paraId="574C99BF">
      <w:pPr>
        <w:spacing w:before="74" w:line="221" w:lineRule="auto"/>
        <w:rPr>
          <w:rFonts w:ascii="黑体" w:hAnsi="黑体" w:eastAsia="黑体" w:cs="黑体"/>
          <w:sz w:val="27"/>
          <w:szCs w:val="27"/>
        </w:rPr>
      </w:pPr>
      <w:r>
        <w:rPr>
          <w:rFonts w:ascii="黑体" w:hAnsi="黑体" w:eastAsia="黑体" w:cs="黑体"/>
          <w:spacing w:val="1"/>
          <w:sz w:val="27"/>
          <w:szCs w:val="27"/>
        </w:rPr>
        <w:t>4.1</w:t>
      </w:r>
      <w:r>
        <w:rPr>
          <w:rFonts w:ascii="黑体" w:hAnsi="黑体" w:eastAsia="黑体" w:cs="黑体"/>
          <w:spacing w:val="15"/>
          <w:sz w:val="27"/>
          <w:szCs w:val="27"/>
        </w:rPr>
        <w:t xml:space="preserve">  </w:t>
      </w:r>
      <w:r>
        <w:rPr>
          <w:rFonts w:ascii="黑体" w:hAnsi="黑体" w:eastAsia="黑体" w:cs="黑体"/>
          <w:spacing w:val="1"/>
          <w:sz w:val="27"/>
          <w:szCs w:val="27"/>
        </w:rPr>
        <w:t>检验分类</w:t>
      </w:r>
    </w:p>
    <w:p w14:paraId="6CE5B27B">
      <w:pPr>
        <w:spacing w:before="87" w:line="219" w:lineRule="auto"/>
        <w:ind w:left="560"/>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宋体" w:hAnsi="宋体" w:eastAsia="宋体" w:cs="宋体"/>
          <w:spacing w:val="11"/>
          <w:sz w:val="27"/>
          <w:szCs w:val="27"/>
        </w:rPr>
        <w:t>)确定检验分类的基本原则</w:t>
      </w:r>
    </w:p>
    <w:p w14:paraId="50D7F343">
      <w:pPr>
        <w:spacing w:before="94" w:line="273" w:lineRule="auto"/>
        <w:ind w:right="19" w:firstLine="560"/>
        <w:rPr>
          <w:rFonts w:ascii="宋体" w:hAnsi="宋体" w:eastAsia="宋体" w:cs="宋体"/>
          <w:sz w:val="27"/>
          <w:szCs w:val="27"/>
        </w:rPr>
      </w:pPr>
      <w:r>
        <w:rPr>
          <w:rFonts w:ascii="宋体" w:hAnsi="宋体" w:eastAsia="宋体" w:cs="宋体"/>
          <w:spacing w:val="-3"/>
          <w:sz w:val="27"/>
          <w:szCs w:val="27"/>
        </w:rPr>
        <w:t>应根据实体的特点、约束条件，以往检验类似实体的实践经验等选择合</w:t>
      </w:r>
      <w:r>
        <w:rPr>
          <w:rFonts w:ascii="宋体" w:hAnsi="宋体" w:eastAsia="宋体" w:cs="宋体"/>
          <w:spacing w:val="-4"/>
          <w:sz w:val="27"/>
          <w:szCs w:val="27"/>
        </w:rPr>
        <w:t>适的</w:t>
      </w:r>
      <w:r>
        <w:rPr>
          <w:rFonts w:ascii="宋体" w:hAnsi="宋体" w:eastAsia="宋体" w:cs="宋体"/>
          <w:sz w:val="27"/>
          <w:szCs w:val="27"/>
        </w:rPr>
        <w:t xml:space="preserve"> </w:t>
      </w:r>
      <w:r>
        <w:rPr>
          <w:rFonts w:ascii="宋体" w:hAnsi="宋体" w:eastAsia="宋体" w:cs="宋体"/>
          <w:spacing w:val="-2"/>
          <w:sz w:val="27"/>
          <w:szCs w:val="27"/>
        </w:rPr>
        <w:t>检验类别及其组合。确定检验分类时应遵循以</w:t>
      </w:r>
      <w:r>
        <w:rPr>
          <w:rFonts w:ascii="宋体" w:hAnsi="宋体" w:eastAsia="宋体" w:cs="宋体"/>
          <w:spacing w:val="-3"/>
          <w:sz w:val="27"/>
          <w:szCs w:val="27"/>
        </w:rPr>
        <w:t>下原则：1)具有代表性，能反映实</w:t>
      </w:r>
      <w:r>
        <w:rPr>
          <w:rFonts w:ascii="宋体" w:hAnsi="宋体" w:eastAsia="宋体" w:cs="宋体"/>
          <w:sz w:val="27"/>
          <w:szCs w:val="27"/>
        </w:rPr>
        <w:t xml:space="preserve"> </w:t>
      </w:r>
      <w:r>
        <w:rPr>
          <w:rFonts w:ascii="宋体" w:hAnsi="宋体" w:eastAsia="宋体" w:cs="宋体"/>
          <w:spacing w:val="-9"/>
          <w:sz w:val="27"/>
          <w:szCs w:val="27"/>
        </w:rPr>
        <w:t>际的质量水平；2)具有经济性，有良好的效</w:t>
      </w:r>
      <w:r>
        <w:rPr>
          <w:rFonts w:ascii="宋体" w:hAnsi="宋体" w:eastAsia="宋体" w:cs="宋体"/>
          <w:spacing w:val="-10"/>
          <w:sz w:val="27"/>
          <w:szCs w:val="27"/>
        </w:rPr>
        <w:t>费比；3)具有快速性，能及时得出检验</w:t>
      </w:r>
      <w:r>
        <w:rPr>
          <w:rFonts w:ascii="宋体" w:hAnsi="宋体" w:eastAsia="宋体" w:cs="宋体"/>
          <w:sz w:val="27"/>
          <w:szCs w:val="27"/>
        </w:rPr>
        <w:t xml:space="preserve"> </w:t>
      </w:r>
      <w:r>
        <w:rPr>
          <w:rFonts w:ascii="宋体" w:hAnsi="宋体" w:eastAsia="宋体" w:cs="宋体"/>
          <w:spacing w:val="-4"/>
          <w:sz w:val="27"/>
          <w:szCs w:val="27"/>
        </w:rPr>
        <w:t>结果；4)具有再现性，在相同条件下能重现检验结果。</w:t>
      </w:r>
    </w:p>
    <w:p w14:paraId="423CB86E">
      <w:pPr>
        <w:spacing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b)</w:t>
      </w:r>
      <w:r>
        <w:rPr>
          <w:rFonts w:ascii="Times New Roman" w:hAnsi="Times New Roman" w:eastAsia="Times New Roman" w:cs="Times New Roman"/>
          <w:spacing w:val="73"/>
          <w:sz w:val="27"/>
          <w:szCs w:val="27"/>
        </w:rPr>
        <w:t xml:space="preserve"> </w:t>
      </w:r>
      <w:r>
        <w:rPr>
          <w:rFonts w:ascii="宋体" w:hAnsi="宋体" w:eastAsia="宋体" w:cs="宋体"/>
          <w:spacing w:val="6"/>
          <w:sz w:val="27"/>
          <w:szCs w:val="27"/>
        </w:rPr>
        <w:t>检验分类的表述</w:t>
      </w:r>
    </w:p>
    <w:p w14:paraId="1D834077">
      <w:pPr>
        <w:spacing w:before="119" w:line="219" w:lineRule="auto"/>
        <w:ind w:left="560"/>
        <w:rPr>
          <w:rFonts w:ascii="宋体" w:hAnsi="宋体" w:eastAsia="宋体" w:cs="宋体"/>
          <w:sz w:val="27"/>
          <w:szCs w:val="27"/>
        </w:rPr>
      </w:pPr>
      <w:r>
        <w:rPr>
          <w:rFonts w:ascii="宋体" w:hAnsi="宋体" w:eastAsia="宋体" w:cs="宋体"/>
          <w:spacing w:val="3"/>
          <w:sz w:val="27"/>
          <w:szCs w:val="27"/>
        </w:rPr>
        <w:t>确定的检验类别及其组合应采用下述表述形式：</w:t>
      </w:r>
    </w:p>
    <w:p w14:paraId="15E516BE">
      <w:pPr>
        <w:spacing w:before="76" w:line="220" w:lineRule="auto"/>
        <w:ind w:left="425"/>
        <w:rPr>
          <w:rFonts w:ascii="仿宋" w:hAnsi="仿宋" w:eastAsia="仿宋" w:cs="仿宋"/>
          <w:sz w:val="27"/>
          <w:szCs w:val="27"/>
        </w:rPr>
      </w:pPr>
      <w:r>
        <w:rPr>
          <w:rFonts w:ascii="仿宋" w:hAnsi="仿宋" w:eastAsia="仿宋" w:cs="仿宋"/>
          <w:sz w:val="27"/>
          <w:szCs w:val="27"/>
        </w:rPr>
        <w:t>“4.1</w:t>
      </w:r>
      <w:r>
        <w:rPr>
          <w:rFonts w:ascii="仿宋" w:hAnsi="仿宋" w:eastAsia="仿宋" w:cs="仿宋"/>
          <w:spacing w:val="24"/>
          <w:sz w:val="27"/>
          <w:szCs w:val="27"/>
        </w:rPr>
        <w:t xml:space="preserve"> </w:t>
      </w:r>
      <w:r>
        <w:rPr>
          <w:rFonts w:ascii="仿宋" w:hAnsi="仿宋" w:eastAsia="仿宋" w:cs="仿宋"/>
          <w:sz w:val="27"/>
          <w:szCs w:val="27"/>
        </w:rPr>
        <w:t>检验分类</w:t>
      </w:r>
    </w:p>
    <w:p w14:paraId="1C426850">
      <w:pPr>
        <w:spacing w:before="118" w:line="220" w:lineRule="auto"/>
        <w:ind w:left="560"/>
        <w:rPr>
          <w:rFonts w:ascii="仿宋" w:hAnsi="仿宋" w:eastAsia="仿宋" w:cs="仿宋"/>
          <w:sz w:val="24"/>
          <w:szCs w:val="24"/>
        </w:rPr>
      </w:pPr>
      <w:r>
        <w:rPr>
          <w:rFonts w:ascii="仿宋" w:hAnsi="仿宋" w:eastAsia="仿宋" w:cs="仿宋"/>
          <w:spacing w:val="29"/>
          <w:sz w:val="24"/>
          <w:szCs w:val="24"/>
        </w:rPr>
        <w:t>本规范规定的检验分类如下：</w:t>
      </w:r>
    </w:p>
    <w:p w14:paraId="52A0868F">
      <w:pPr>
        <w:spacing w:before="101" w:line="212" w:lineRule="auto"/>
        <w:ind w:left="560"/>
        <w:rPr>
          <w:rFonts w:ascii="仿宋" w:hAnsi="仿宋" w:eastAsia="仿宋" w:cs="仿宋"/>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sz w:val="24"/>
          <w:szCs w:val="24"/>
        </w:rPr>
        <w:t xml:space="preserve"> </w:t>
      </w:r>
      <w:r>
        <w:rPr>
          <w:rFonts w:ascii="仿宋" w:hAnsi="仿宋" w:eastAsia="仿宋" w:cs="仿宋"/>
          <w:spacing w:val="-1"/>
          <w:sz w:val="24"/>
          <w:szCs w:val="24"/>
        </w:rPr>
        <w:t>见4</w:t>
      </w:r>
      <w:r>
        <w:rPr>
          <w:rFonts w:ascii="仿宋" w:hAnsi="仿宋" w:eastAsia="仿宋" w:cs="仿宋"/>
          <w:spacing w:val="-55"/>
          <w:sz w:val="24"/>
          <w:szCs w:val="24"/>
        </w:rPr>
        <w:t xml:space="preserve"> </w:t>
      </w:r>
      <w:r>
        <w:rPr>
          <w:rFonts w:ascii="仿宋" w:hAnsi="仿宋" w:eastAsia="仿宋" w:cs="仿宋"/>
          <w:spacing w:val="-1"/>
          <w:sz w:val="24"/>
          <w:szCs w:val="24"/>
        </w:rPr>
        <w:t>.</w:t>
      </w:r>
      <w:r>
        <w:rPr>
          <w:rFonts w:ascii="仿宋" w:hAnsi="仿宋" w:eastAsia="仿宋" w:cs="仿宋"/>
          <w:spacing w:val="-26"/>
          <w:sz w:val="24"/>
          <w:szCs w:val="24"/>
        </w:rPr>
        <w:t xml:space="preserve"> </w:t>
      </w:r>
      <w:r>
        <w:rPr>
          <w:rFonts w:ascii="仿宋" w:hAnsi="仿宋" w:eastAsia="仿宋" w:cs="仿宋"/>
          <w:spacing w:val="-1"/>
          <w:sz w:val="24"/>
          <w:szCs w:val="24"/>
        </w:rPr>
        <w:t>×);</w:t>
      </w:r>
    </w:p>
    <w:p w14:paraId="0433C217">
      <w:pPr>
        <w:spacing w:before="93" w:line="212" w:lineRule="auto"/>
        <w:ind w:left="560"/>
        <w:rPr>
          <w:rFonts w:ascii="仿宋" w:hAnsi="仿宋" w:eastAsia="仿宋" w:cs="仿宋"/>
          <w:sz w:val="27"/>
          <w:szCs w:val="27"/>
        </w:rPr>
      </w:pPr>
      <w:r>
        <w:rPr>
          <w:rFonts w:ascii="Times New Roman" w:hAnsi="Times New Roman" w:eastAsia="Times New Roman" w:cs="Times New Roman"/>
          <w:spacing w:val="-2"/>
          <w:sz w:val="27"/>
          <w:szCs w:val="27"/>
        </w:rPr>
        <w:t>b)</w:t>
      </w:r>
      <w:r>
        <w:rPr>
          <w:rFonts w:ascii="Times New Roman" w:hAnsi="Times New Roman" w:eastAsia="Times New Roman" w:cs="Times New Roman"/>
          <w:spacing w:val="-30"/>
          <w:sz w:val="27"/>
          <w:szCs w:val="27"/>
        </w:rPr>
        <w:t xml:space="preserve"> </w:t>
      </w:r>
      <w:r>
        <w:rPr>
          <w:rFonts w:ascii="Times New Roman" w:hAnsi="Times New Roman" w:eastAsia="Times New Roman" w:cs="Times New Roman"/>
          <w:spacing w:val="-2"/>
          <w:sz w:val="27"/>
          <w:szCs w:val="27"/>
        </w:rPr>
        <w:t>…</w:t>
      </w:r>
      <w:r>
        <w:rPr>
          <w:rFonts w:ascii="Times New Roman" w:hAnsi="Times New Roman" w:eastAsia="Times New Roman" w:cs="Times New Roman"/>
          <w:spacing w:val="-37"/>
          <w:sz w:val="27"/>
          <w:szCs w:val="27"/>
        </w:rPr>
        <w:t xml:space="preserve"> </w:t>
      </w:r>
      <w:r>
        <w:rPr>
          <w:rFonts w:ascii="Times New Roman" w:hAnsi="Times New Roman" w:eastAsia="Times New Roman" w:cs="Times New Roman"/>
          <w:spacing w:val="-2"/>
          <w:sz w:val="27"/>
          <w:szCs w:val="27"/>
        </w:rPr>
        <w:t xml:space="preserve">…  ( </w:t>
      </w:r>
      <w:r>
        <w:rPr>
          <w:rFonts w:ascii="仿宋" w:hAnsi="仿宋" w:eastAsia="仿宋" w:cs="仿宋"/>
          <w:spacing w:val="-2"/>
          <w:sz w:val="27"/>
          <w:szCs w:val="27"/>
        </w:rPr>
        <w:t>见4.</w:t>
      </w:r>
      <w:r>
        <w:rPr>
          <w:rFonts w:ascii="仿宋" w:hAnsi="仿宋" w:eastAsia="仿宋" w:cs="仿宋"/>
          <w:spacing w:val="-57"/>
          <w:sz w:val="27"/>
          <w:szCs w:val="27"/>
        </w:rPr>
        <w:t xml:space="preserve"> </w:t>
      </w:r>
      <w:r>
        <w:rPr>
          <w:rFonts w:ascii="仿宋" w:hAnsi="仿宋" w:eastAsia="仿宋" w:cs="仿宋"/>
          <w:spacing w:val="-2"/>
          <w:sz w:val="27"/>
          <w:szCs w:val="27"/>
        </w:rPr>
        <w:t>×);</w:t>
      </w:r>
    </w:p>
    <w:p w14:paraId="005542CF">
      <w:pPr>
        <w:spacing w:before="89" w:line="212" w:lineRule="auto"/>
        <w:ind w:left="560"/>
        <w:rPr>
          <w:rFonts w:ascii="仿宋" w:hAnsi="仿宋" w:eastAsia="仿宋" w:cs="仿宋"/>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37"/>
          <w:sz w:val="27"/>
          <w:szCs w:val="27"/>
        </w:rPr>
        <w:t xml:space="preserve"> </w:t>
      </w:r>
      <w:r>
        <w:rPr>
          <w:rFonts w:ascii="Times New Roman" w:hAnsi="Times New Roman" w:eastAsia="Times New Roman" w:cs="Times New Roman"/>
          <w:spacing w:val="-3"/>
          <w:sz w:val="27"/>
          <w:szCs w:val="27"/>
        </w:rPr>
        <w:t>…</w:t>
      </w:r>
      <w:r>
        <w:rPr>
          <w:rFonts w:ascii="Times New Roman" w:hAnsi="Times New Roman" w:eastAsia="Times New Roman" w:cs="Times New Roman"/>
          <w:spacing w:val="-37"/>
          <w:sz w:val="27"/>
          <w:szCs w:val="27"/>
        </w:rPr>
        <w:t xml:space="preserve"> </w:t>
      </w:r>
      <w:r>
        <w:rPr>
          <w:rFonts w:ascii="Times New Roman" w:hAnsi="Times New Roman" w:eastAsia="Times New Roman" w:cs="Times New Roman"/>
          <w:spacing w:val="-3"/>
          <w:sz w:val="27"/>
          <w:szCs w:val="27"/>
        </w:rPr>
        <w:t>…  (</w:t>
      </w:r>
      <w:r>
        <w:rPr>
          <w:rFonts w:ascii="Times New Roman" w:hAnsi="Times New Roman" w:eastAsia="Times New Roman" w:cs="Times New Roman"/>
          <w:spacing w:val="3"/>
          <w:sz w:val="27"/>
          <w:szCs w:val="27"/>
        </w:rPr>
        <w:t xml:space="preserve"> </w:t>
      </w:r>
      <w:r>
        <w:rPr>
          <w:rFonts w:ascii="仿宋" w:hAnsi="仿宋" w:eastAsia="仿宋" w:cs="仿宋"/>
          <w:spacing w:val="-3"/>
          <w:sz w:val="27"/>
          <w:szCs w:val="27"/>
        </w:rPr>
        <w:t>见4.</w:t>
      </w:r>
      <w:r>
        <w:rPr>
          <w:rFonts w:ascii="仿宋" w:hAnsi="仿宋" w:eastAsia="仿宋" w:cs="仿宋"/>
          <w:spacing w:val="-85"/>
          <w:sz w:val="27"/>
          <w:szCs w:val="27"/>
        </w:rPr>
        <w:t xml:space="preserve"> </w:t>
      </w:r>
      <w:r>
        <w:rPr>
          <w:rFonts w:ascii="仿宋" w:hAnsi="仿宋" w:eastAsia="仿宋" w:cs="仿宋"/>
          <w:spacing w:val="-3"/>
          <w:sz w:val="27"/>
          <w:szCs w:val="27"/>
        </w:rPr>
        <w:t>×)。”</w:t>
      </w:r>
    </w:p>
    <w:p w14:paraId="2A379C7D">
      <w:pPr>
        <w:spacing w:before="129" w:line="222" w:lineRule="auto"/>
        <w:rPr>
          <w:rFonts w:ascii="黑体" w:hAnsi="黑体" w:eastAsia="黑体" w:cs="黑体"/>
          <w:sz w:val="27"/>
          <w:szCs w:val="27"/>
        </w:rPr>
      </w:pPr>
      <w:r>
        <w:rPr>
          <w:rFonts w:ascii="黑体" w:hAnsi="黑体" w:eastAsia="黑体" w:cs="黑体"/>
          <w:spacing w:val="2"/>
          <w:sz w:val="27"/>
          <w:szCs w:val="27"/>
        </w:rPr>
        <w:t>4.2</w:t>
      </w:r>
      <w:r>
        <w:rPr>
          <w:rFonts w:ascii="黑体" w:hAnsi="黑体" w:eastAsia="黑体" w:cs="黑体"/>
          <w:spacing w:val="21"/>
          <w:sz w:val="27"/>
          <w:szCs w:val="27"/>
        </w:rPr>
        <w:t xml:space="preserve">  </w:t>
      </w:r>
      <w:r>
        <w:rPr>
          <w:rFonts w:ascii="黑体" w:hAnsi="黑体" w:eastAsia="黑体" w:cs="黑体"/>
          <w:spacing w:val="2"/>
          <w:sz w:val="27"/>
          <w:szCs w:val="27"/>
        </w:rPr>
        <w:t>检验条件</w:t>
      </w:r>
    </w:p>
    <w:p w14:paraId="4EBB67C1">
      <w:pPr>
        <w:spacing w:before="115" w:line="276" w:lineRule="auto"/>
        <w:ind w:right="22" w:firstLine="560"/>
        <w:jc w:val="both"/>
        <w:rPr>
          <w:rFonts w:ascii="宋体" w:hAnsi="宋体" w:eastAsia="宋体" w:cs="宋体"/>
          <w:sz w:val="27"/>
          <w:szCs w:val="27"/>
        </w:rPr>
      </w:pPr>
      <w:r>
        <w:rPr>
          <w:rFonts w:ascii="宋体" w:hAnsi="宋体" w:eastAsia="宋体" w:cs="宋体"/>
          <w:spacing w:val="5"/>
          <w:sz w:val="27"/>
          <w:szCs w:val="27"/>
        </w:rPr>
        <w:t>本条规定进行各种检验的环境条件。当环境条件等对检验结果有明显的影</w:t>
      </w:r>
      <w:r>
        <w:rPr>
          <w:rFonts w:ascii="宋体" w:hAnsi="宋体" w:eastAsia="宋体" w:cs="宋体"/>
          <w:sz w:val="27"/>
          <w:szCs w:val="27"/>
        </w:rPr>
        <w:t xml:space="preserve"> </w:t>
      </w:r>
      <w:r>
        <w:rPr>
          <w:rFonts w:ascii="宋体" w:hAnsi="宋体" w:eastAsia="宋体" w:cs="宋体"/>
          <w:spacing w:val="5"/>
          <w:sz w:val="27"/>
          <w:szCs w:val="27"/>
        </w:rPr>
        <w:t>响时，应规定检验条件，以保证检验结果的可靠程度和可比性，否则，可不作</w:t>
      </w:r>
      <w:r>
        <w:rPr>
          <w:rFonts w:ascii="宋体" w:hAnsi="宋体" w:eastAsia="宋体" w:cs="宋体"/>
          <w:spacing w:val="16"/>
          <w:sz w:val="27"/>
          <w:szCs w:val="27"/>
        </w:rPr>
        <w:t xml:space="preserve"> </w:t>
      </w:r>
      <w:r>
        <w:rPr>
          <w:rFonts w:ascii="宋体" w:hAnsi="宋体" w:eastAsia="宋体" w:cs="宋体"/>
          <w:spacing w:val="-2"/>
          <w:sz w:val="27"/>
          <w:szCs w:val="27"/>
        </w:rPr>
        <w:t>规定。</w:t>
      </w:r>
    </w:p>
    <w:p w14:paraId="15E254E2">
      <w:pPr>
        <w:spacing w:before="1" w:line="218" w:lineRule="auto"/>
        <w:ind w:left="560"/>
        <w:rPr>
          <w:rFonts w:ascii="宋体" w:hAnsi="宋体" w:eastAsia="宋体" w:cs="宋体"/>
          <w:sz w:val="27"/>
          <w:szCs w:val="27"/>
        </w:rPr>
      </w:pPr>
      <w:r>
        <w:rPr>
          <w:rFonts w:ascii="宋体" w:hAnsi="宋体" w:eastAsia="宋体" w:cs="宋体"/>
          <w:spacing w:val="1"/>
          <w:sz w:val="27"/>
          <w:szCs w:val="27"/>
        </w:rPr>
        <w:t>检验条件应采用下列表述形式：</w:t>
      </w:r>
    </w:p>
    <w:p w14:paraId="0237A17C">
      <w:pPr>
        <w:spacing w:before="105" w:line="220" w:lineRule="auto"/>
        <w:ind w:left="440"/>
        <w:rPr>
          <w:rFonts w:ascii="仿宋" w:hAnsi="仿宋" w:eastAsia="仿宋" w:cs="仿宋"/>
          <w:sz w:val="24"/>
          <w:szCs w:val="24"/>
        </w:rPr>
      </w:pPr>
      <w:r>
        <w:rPr>
          <w:rFonts w:ascii="仿宋" w:hAnsi="仿宋" w:eastAsia="仿宋" w:cs="仿宋"/>
          <w:spacing w:val="24"/>
          <w:sz w:val="24"/>
          <w:szCs w:val="24"/>
        </w:rPr>
        <w:t>“4</w:t>
      </w:r>
      <w:r>
        <w:rPr>
          <w:rFonts w:ascii="仿宋" w:hAnsi="仿宋" w:eastAsia="仿宋" w:cs="仿宋"/>
          <w:spacing w:val="-52"/>
          <w:sz w:val="24"/>
          <w:szCs w:val="24"/>
        </w:rPr>
        <w:t xml:space="preserve"> </w:t>
      </w:r>
      <w:r>
        <w:rPr>
          <w:rFonts w:ascii="仿宋" w:hAnsi="仿宋" w:eastAsia="仿宋" w:cs="仿宋"/>
          <w:spacing w:val="24"/>
          <w:sz w:val="24"/>
          <w:szCs w:val="24"/>
        </w:rPr>
        <w:t>.</w:t>
      </w:r>
      <w:r>
        <w:rPr>
          <w:rFonts w:ascii="仿宋" w:hAnsi="仿宋" w:eastAsia="仿宋" w:cs="仿宋"/>
          <w:spacing w:val="-26"/>
          <w:sz w:val="24"/>
          <w:szCs w:val="24"/>
        </w:rPr>
        <w:t xml:space="preserve"> </w:t>
      </w:r>
      <w:r>
        <w:rPr>
          <w:rFonts w:ascii="仿宋" w:hAnsi="仿宋" w:eastAsia="仿宋" w:cs="仿宋"/>
          <w:spacing w:val="24"/>
          <w:sz w:val="24"/>
          <w:szCs w:val="24"/>
        </w:rPr>
        <w:t>×检验条件</w:t>
      </w:r>
    </w:p>
    <w:p w14:paraId="48FA9DCE">
      <w:pPr>
        <w:spacing w:before="100" w:line="284" w:lineRule="auto"/>
        <w:ind w:right="18" w:firstLine="560"/>
        <w:rPr>
          <w:rFonts w:ascii="宋体" w:hAnsi="宋体" w:eastAsia="宋体" w:cs="宋体"/>
          <w:sz w:val="27"/>
          <w:szCs w:val="27"/>
        </w:rPr>
      </w:pPr>
      <w:r>
        <w:rPr>
          <w:rFonts w:ascii="宋体" w:hAnsi="宋体" w:eastAsia="宋体" w:cs="宋体"/>
          <w:spacing w:val="1"/>
          <w:sz w:val="27"/>
          <w:szCs w:val="27"/>
        </w:rPr>
        <w:t>除另有规定外，应按××(标明相应试验方法标准编号与章条号或本规范相</w:t>
      </w:r>
      <w:r>
        <w:rPr>
          <w:rFonts w:ascii="宋体" w:hAnsi="宋体" w:eastAsia="宋体" w:cs="宋体"/>
          <w:spacing w:val="2"/>
          <w:sz w:val="27"/>
          <w:szCs w:val="27"/>
        </w:rPr>
        <w:t xml:space="preserve"> </w:t>
      </w:r>
      <w:r>
        <w:rPr>
          <w:rFonts w:ascii="宋体" w:hAnsi="宋体" w:eastAsia="宋体" w:cs="宋体"/>
          <w:spacing w:val="4"/>
          <w:sz w:val="27"/>
          <w:szCs w:val="27"/>
        </w:rPr>
        <w:t>应的章条号)规定的条件进行所有检验。”</w:t>
      </w:r>
    </w:p>
    <w:p w14:paraId="737C5F2C">
      <w:pPr>
        <w:spacing w:line="224" w:lineRule="auto"/>
        <w:ind w:left="560"/>
        <w:rPr>
          <w:rFonts w:ascii="仿宋" w:hAnsi="仿宋" w:eastAsia="仿宋" w:cs="仿宋"/>
          <w:sz w:val="25"/>
          <w:szCs w:val="25"/>
        </w:rPr>
      </w:pPr>
      <w:r>
        <w:rPr>
          <w:rFonts w:ascii="仿宋" w:hAnsi="仿宋" w:eastAsia="仿宋" w:cs="仿宋"/>
          <w:spacing w:val="2"/>
          <w:sz w:val="25"/>
          <w:szCs w:val="25"/>
        </w:rPr>
        <w:t>或：</w:t>
      </w:r>
    </w:p>
    <w:p w14:paraId="398584E0">
      <w:pPr>
        <w:spacing w:before="71" w:line="220" w:lineRule="auto"/>
        <w:ind w:left="425"/>
        <w:rPr>
          <w:rFonts w:ascii="仿宋" w:hAnsi="仿宋" w:eastAsia="仿宋" w:cs="仿宋"/>
          <w:sz w:val="27"/>
          <w:szCs w:val="27"/>
        </w:rPr>
      </w:pPr>
      <w:r>
        <w:rPr>
          <w:rFonts w:ascii="仿宋" w:hAnsi="仿宋" w:eastAsia="仿宋" w:cs="仿宋"/>
          <w:spacing w:val="20"/>
          <w:sz w:val="27"/>
          <w:szCs w:val="27"/>
        </w:rPr>
        <w:t>“4.×检验条件</w:t>
      </w:r>
    </w:p>
    <w:p w14:paraId="6829142B">
      <w:pPr>
        <w:spacing w:before="128" w:line="219" w:lineRule="auto"/>
        <w:ind w:left="560"/>
        <w:rPr>
          <w:rFonts w:ascii="仿宋" w:hAnsi="仿宋" w:eastAsia="仿宋" w:cs="仿宋"/>
          <w:sz w:val="27"/>
          <w:szCs w:val="27"/>
        </w:rPr>
      </w:pPr>
      <w:r>
        <w:rPr>
          <w:rFonts w:ascii="仿宋" w:hAnsi="仿宋" w:eastAsia="仿宋" w:cs="仿宋"/>
          <w:spacing w:val="-5"/>
          <w:sz w:val="27"/>
          <w:szCs w:val="27"/>
        </w:rPr>
        <w:t>除另有规定外，应在下列条件下进行所有检验：</w:t>
      </w:r>
    </w:p>
    <w:p w14:paraId="38CFF160">
      <w:pPr>
        <w:spacing w:before="103" w:line="192" w:lineRule="auto"/>
        <w:ind w:left="56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a)……;</w:t>
      </w:r>
    </w:p>
    <w:p w14:paraId="519F9683">
      <w:pPr>
        <w:spacing w:before="180" w:line="192" w:lineRule="auto"/>
        <w:ind w:left="560"/>
        <w:rPr>
          <w:rFonts w:ascii="Times New Roman" w:hAnsi="Times New Roman" w:eastAsia="Times New Roman" w:cs="Times New Roman"/>
          <w:sz w:val="25"/>
          <w:szCs w:val="25"/>
        </w:rPr>
      </w:pPr>
      <w:r>
        <w:rPr>
          <w:rFonts w:ascii="Times New Roman" w:hAnsi="Times New Roman" w:eastAsia="Times New Roman" w:cs="Times New Roman"/>
          <w:sz w:val="25"/>
          <w:szCs w:val="25"/>
        </w:rPr>
        <w:t>b)……;</w:t>
      </w:r>
    </w:p>
    <w:p w14:paraId="1650FE62">
      <w:pPr>
        <w:spacing w:line="192" w:lineRule="auto"/>
        <w:rPr>
          <w:rFonts w:ascii="Times New Roman" w:hAnsi="Times New Roman" w:eastAsia="Times New Roman" w:cs="Times New Roman"/>
          <w:sz w:val="25"/>
          <w:szCs w:val="25"/>
        </w:rPr>
        <w:sectPr>
          <w:footerReference r:id="rId108" w:type="default"/>
          <w:pgSz w:w="11910" w:h="17130"/>
          <w:pgMar w:top="400" w:right="1509" w:bottom="1697" w:left="1009" w:header="0" w:footer="1480" w:gutter="0"/>
          <w:cols w:space="720" w:num="1"/>
        </w:sectPr>
      </w:pPr>
    </w:p>
    <w:p w14:paraId="41A48FDA">
      <w:pPr>
        <w:pStyle w:val="2"/>
        <w:spacing w:line="278" w:lineRule="auto"/>
      </w:pPr>
    </w:p>
    <w:p w14:paraId="71E9F3B6">
      <w:pPr>
        <w:pStyle w:val="2"/>
        <w:spacing w:line="278" w:lineRule="auto"/>
      </w:pPr>
    </w:p>
    <w:p w14:paraId="4A122557">
      <w:pPr>
        <w:pStyle w:val="2"/>
        <w:spacing w:line="278" w:lineRule="auto"/>
      </w:pPr>
    </w:p>
    <w:p w14:paraId="39AB0327">
      <w:pPr>
        <w:pStyle w:val="2"/>
        <w:spacing w:line="279" w:lineRule="auto"/>
      </w:pPr>
    </w:p>
    <w:p w14:paraId="537DFCE6">
      <w:pPr>
        <w:spacing w:before="81" w:line="183" w:lineRule="auto"/>
        <w:ind w:left="560"/>
        <w:rPr>
          <w:rFonts w:ascii="Times New Roman" w:hAnsi="Times New Roman" w:eastAsia="Times New Roman" w:cs="Times New Roman"/>
          <w:sz w:val="25"/>
          <w:szCs w:val="25"/>
        </w:rPr>
      </w:pPr>
      <w:r>
        <w:rPr>
          <w:rFonts w:ascii="Times New Roman" w:hAnsi="Times New Roman" w:eastAsia="Times New Roman" w:cs="Times New Roman"/>
          <w:spacing w:val="-8"/>
          <w:sz w:val="25"/>
          <w:szCs w:val="25"/>
        </w:rPr>
        <w:t>c)</w:t>
      </w:r>
      <w:r>
        <w:rPr>
          <w:rFonts w:ascii="Times New Roman" w:hAnsi="Times New Roman" w:eastAsia="Times New Roman" w:cs="Times New Roman"/>
          <w:spacing w:val="-32"/>
          <w:sz w:val="25"/>
          <w:szCs w:val="25"/>
        </w:rPr>
        <w:t xml:space="preserve"> </w:t>
      </w:r>
      <w:r>
        <w:rPr>
          <w:rFonts w:ascii="Times New Roman" w:hAnsi="Times New Roman" w:eastAsia="Times New Roman" w:cs="Times New Roman"/>
          <w:spacing w:val="-8"/>
          <w:sz w:val="25"/>
          <w:szCs w:val="25"/>
        </w:rPr>
        <w:t>…</w:t>
      </w:r>
      <w:r>
        <w:rPr>
          <w:rFonts w:ascii="Times New Roman" w:hAnsi="Times New Roman" w:eastAsia="Times New Roman" w:cs="Times New Roman"/>
          <w:spacing w:val="-34"/>
          <w:sz w:val="25"/>
          <w:szCs w:val="25"/>
        </w:rPr>
        <w:t xml:space="preserve"> </w:t>
      </w:r>
      <w:r>
        <w:rPr>
          <w:rFonts w:ascii="Times New Roman" w:hAnsi="Times New Roman" w:eastAsia="Times New Roman" w:cs="Times New Roman"/>
          <w:spacing w:val="-8"/>
          <w:sz w:val="25"/>
          <w:szCs w:val="25"/>
        </w:rPr>
        <w:t>…</w:t>
      </w:r>
      <w:r>
        <w:rPr>
          <w:rFonts w:ascii="Times New Roman" w:hAnsi="Times New Roman" w:eastAsia="Times New Roman" w:cs="Times New Roman"/>
          <w:spacing w:val="-28"/>
          <w:sz w:val="25"/>
          <w:szCs w:val="25"/>
        </w:rPr>
        <w:t xml:space="preserve"> </w:t>
      </w:r>
      <w:r>
        <w:rPr>
          <w:rFonts w:ascii="宋体" w:hAnsi="宋体" w:eastAsia="宋体" w:cs="宋体"/>
          <w:spacing w:val="-8"/>
          <w:sz w:val="25"/>
          <w:szCs w:val="25"/>
        </w:rPr>
        <w:t>。</w:t>
      </w:r>
      <w:r>
        <w:rPr>
          <w:rFonts w:ascii="Times New Roman" w:hAnsi="Times New Roman" w:eastAsia="Times New Roman" w:cs="Times New Roman"/>
          <w:spacing w:val="-8"/>
          <w:sz w:val="25"/>
          <w:szCs w:val="25"/>
        </w:rPr>
        <w:t>”</w:t>
      </w:r>
    </w:p>
    <w:p w14:paraId="050D9913">
      <w:pPr>
        <w:spacing w:before="145" w:line="222" w:lineRule="auto"/>
        <w:rPr>
          <w:rFonts w:ascii="黑体" w:hAnsi="黑体" w:eastAsia="黑体" w:cs="黑体"/>
          <w:sz w:val="25"/>
          <w:szCs w:val="25"/>
        </w:rPr>
      </w:pPr>
      <w:r>
        <w:rPr>
          <w:rFonts w:ascii="黑体" w:hAnsi="黑体" w:eastAsia="黑体" w:cs="黑体"/>
          <w:spacing w:val="12"/>
          <w:sz w:val="25"/>
          <w:szCs w:val="25"/>
        </w:rPr>
        <w:t>4.3</w:t>
      </w:r>
      <w:r>
        <w:rPr>
          <w:rFonts w:ascii="黑体" w:hAnsi="黑体" w:eastAsia="黑体" w:cs="黑体"/>
          <w:spacing w:val="32"/>
          <w:sz w:val="25"/>
          <w:szCs w:val="25"/>
        </w:rPr>
        <w:t xml:space="preserve">  </w:t>
      </w:r>
      <w:r>
        <w:rPr>
          <w:rFonts w:ascii="黑体" w:hAnsi="黑体" w:eastAsia="黑体" w:cs="黑体"/>
          <w:b/>
          <w:bCs/>
          <w:spacing w:val="12"/>
          <w:sz w:val="25"/>
          <w:szCs w:val="25"/>
        </w:rPr>
        <w:t>设计验证</w:t>
      </w:r>
    </w:p>
    <w:p w14:paraId="4AE83250">
      <w:pPr>
        <w:spacing w:before="112" w:line="275" w:lineRule="auto"/>
        <w:ind w:right="8" w:firstLine="560"/>
        <w:jc w:val="both"/>
        <w:rPr>
          <w:rFonts w:ascii="宋体" w:hAnsi="宋体" w:eastAsia="宋体" w:cs="宋体"/>
          <w:sz w:val="27"/>
          <w:szCs w:val="27"/>
        </w:rPr>
      </w:pPr>
      <w:r>
        <w:rPr>
          <w:rFonts w:ascii="宋体" w:hAnsi="宋体" w:eastAsia="宋体" w:cs="宋体"/>
          <w:spacing w:val="6"/>
          <w:sz w:val="27"/>
          <w:szCs w:val="27"/>
        </w:rPr>
        <w:t>若需通过设计验证来验证设计方案是否满足实体技术要求，可采用模型和</w:t>
      </w:r>
      <w:r>
        <w:rPr>
          <w:rFonts w:ascii="宋体" w:hAnsi="宋体" w:eastAsia="宋体" w:cs="宋体"/>
          <w:sz w:val="27"/>
          <w:szCs w:val="27"/>
        </w:rPr>
        <w:t xml:space="preserve"> </w:t>
      </w:r>
      <w:r>
        <w:rPr>
          <w:rFonts w:ascii="宋体" w:hAnsi="宋体" w:eastAsia="宋体" w:cs="宋体"/>
          <w:spacing w:val="-9"/>
          <w:sz w:val="27"/>
          <w:szCs w:val="27"/>
        </w:rPr>
        <w:t>仿真验证、演示验证和系统联调试验等，本条则规</w:t>
      </w:r>
      <w:r>
        <w:rPr>
          <w:rFonts w:ascii="宋体" w:hAnsi="宋体" w:eastAsia="宋体" w:cs="宋体"/>
          <w:spacing w:val="-10"/>
          <w:sz w:val="27"/>
          <w:szCs w:val="27"/>
        </w:rPr>
        <w:t>定检验项目、检验顺序、受检样</w:t>
      </w:r>
      <w:r>
        <w:rPr>
          <w:rFonts w:ascii="宋体" w:hAnsi="宋体" w:eastAsia="宋体" w:cs="宋体"/>
          <w:sz w:val="27"/>
          <w:szCs w:val="27"/>
        </w:rPr>
        <w:t xml:space="preserve"> </w:t>
      </w:r>
      <w:r>
        <w:rPr>
          <w:rFonts w:ascii="宋体" w:hAnsi="宋体" w:eastAsia="宋体" w:cs="宋体"/>
          <w:spacing w:val="14"/>
          <w:sz w:val="27"/>
          <w:szCs w:val="27"/>
        </w:rPr>
        <w:t>品数及合格判据。宜用表格列出检验项目、相应的规范第3</w:t>
      </w:r>
      <w:r>
        <w:rPr>
          <w:rFonts w:ascii="宋体" w:hAnsi="宋体" w:eastAsia="宋体" w:cs="宋体"/>
          <w:spacing w:val="13"/>
          <w:sz w:val="27"/>
          <w:szCs w:val="27"/>
        </w:rPr>
        <w:t>章要求和第4章中</w:t>
      </w:r>
      <w:r>
        <w:rPr>
          <w:rFonts w:ascii="宋体" w:hAnsi="宋体" w:eastAsia="宋体" w:cs="宋体"/>
          <w:sz w:val="27"/>
          <w:szCs w:val="27"/>
        </w:rPr>
        <w:t xml:space="preserve"> </w:t>
      </w:r>
      <w:r>
        <w:rPr>
          <w:rFonts w:ascii="宋体" w:hAnsi="宋体" w:eastAsia="宋体" w:cs="宋体"/>
          <w:spacing w:val="1"/>
          <w:sz w:val="27"/>
          <w:szCs w:val="27"/>
        </w:rPr>
        <w:t>检验方法的章条号。</w:t>
      </w:r>
    </w:p>
    <w:p w14:paraId="358D9D57">
      <w:pPr>
        <w:spacing w:line="220" w:lineRule="auto"/>
        <w:ind w:left="563"/>
        <w:rPr>
          <w:rFonts w:ascii="楷体" w:hAnsi="楷体" w:eastAsia="楷体" w:cs="楷体"/>
          <w:sz w:val="27"/>
          <w:szCs w:val="27"/>
        </w:rPr>
      </w:pPr>
      <w:r>
        <w:rPr>
          <w:rFonts w:ascii="楷体" w:hAnsi="楷体" w:eastAsia="楷体" w:cs="楷体"/>
          <w:b/>
          <w:bCs/>
          <w:spacing w:val="-15"/>
          <w:sz w:val="27"/>
          <w:szCs w:val="27"/>
        </w:rPr>
        <w:t>注：产品规范中，本条为不需包含的要素。</w:t>
      </w:r>
    </w:p>
    <w:p w14:paraId="52D55911">
      <w:pPr>
        <w:spacing w:before="106" w:line="221" w:lineRule="auto"/>
        <w:rPr>
          <w:rFonts w:ascii="黑体" w:hAnsi="黑体" w:eastAsia="黑体" w:cs="黑体"/>
          <w:sz w:val="27"/>
          <w:szCs w:val="27"/>
        </w:rPr>
      </w:pPr>
      <w:r>
        <w:rPr>
          <w:rFonts w:ascii="黑体" w:hAnsi="黑体" w:eastAsia="黑体" w:cs="黑体"/>
          <w:spacing w:val="-1"/>
          <w:sz w:val="27"/>
          <w:szCs w:val="27"/>
        </w:rPr>
        <w:t xml:space="preserve">4.4  </w:t>
      </w:r>
      <w:r>
        <w:rPr>
          <w:rFonts w:ascii="黑体" w:hAnsi="黑体" w:eastAsia="黑体" w:cs="黑体"/>
          <w:b/>
          <w:bCs/>
          <w:spacing w:val="-1"/>
          <w:sz w:val="27"/>
          <w:szCs w:val="27"/>
        </w:rPr>
        <w:t>定型(鉴定)试验</w:t>
      </w:r>
    </w:p>
    <w:p w14:paraId="7C74690D">
      <w:pPr>
        <w:spacing w:before="80" w:line="275" w:lineRule="auto"/>
        <w:ind w:right="18" w:firstLine="560"/>
        <w:jc w:val="both"/>
        <w:rPr>
          <w:rFonts w:ascii="宋体" w:hAnsi="宋体" w:eastAsia="宋体" w:cs="宋体"/>
          <w:sz w:val="27"/>
          <w:szCs w:val="27"/>
        </w:rPr>
      </w:pPr>
      <w:r>
        <w:rPr>
          <w:rFonts w:ascii="宋体" w:hAnsi="宋体" w:eastAsia="宋体" w:cs="宋体"/>
          <w:spacing w:val="-3"/>
          <w:sz w:val="27"/>
          <w:szCs w:val="27"/>
        </w:rPr>
        <w:t>若选择了定型(或鉴定)试验，本条则规定检验项目、检验顺序、受检样品数</w:t>
      </w:r>
      <w:r>
        <w:rPr>
          <w:rFonts w:ascii="宋体" w:hAnsi="宋体" w:eastAsia="宋体" w:cs="宋体"/>
          <w:spacing w:val="12"/>
          <w:sz w:val="27"/>
          <w:szCs w:val="27"/>
        </w:rPr>
        <w:t xml:space="preserve"> </w:t>
      </w:r>
      <w:r>
        <w:rPr>
          <w:rFonts w:ascii="宋体" w:hAnsi="宋体" w:eastAsia="宋体" w:cs="宋体"/>
          <w:spacing w:val="9"/>
          <w:sz w:val="27"/>
          <w:szCs w:val="27"/>
        </w:rPr>
        <w:t>及合格判据。宜用表列出定型(或鉴定)检验项目、相应的规范第3章要求和第</w:t>
      </w:r>
      <w:r>
        <w:rPr>
          <w:rFonts w:ascii="宋体" w:hAnsi="宋体" w:eastAsia="宋体" w:cs="宋体"/>
          <w:spacing w:val="7"/>
          <w:sz w:val="27"/>
          <w:szCs w:val="27"/>
        </w:rPr>
        <w:t xml:space="preserve"> </w:t>
      </w:r>
      <w:r>
        <w:rPr>
          <w:rFonts w:ascii="宋体" w:hAnsi="宋体" w:eastAsia="宋体" w:cs="宋体"/>
          <w:spacing w:val="6"/>
          <w:sz w:val="27"/>
          <w:szCs w:val="27"/>
        </w:rPr>
        <w:t>4章中检验方法的章条号。</w:t>
      </w:r>
    </w:p>
    <w:p w14:paraId="659AFF15">
      <w:pPr>
        <w:spacing w:before="10" w:line="222" w:lineRule="auto"/>
        <w:rPr>
          <w:rFonts w:ascii="黑体" w:hAnsi="黑体" w:eastAsia="黑体" w:cs="黑体"/>
          <w:sz w:val="27"/>
          <w:szCs w:val="27"/>
        </w:rPr>
      </w:pPr>
      <w:r>
        <w:rPr>
          <w:rFonts w:ascii="黑体" w:hAnsi="黑体" w:eastAsia="黑体" w:cs="黑体"/>
          <w:spacing w:val="-2"/>
          <w:sz w:val="27"/>
          <w:szCs w:val="27"/>
        </w:rPr>
        <w:t xml:space="preserve">4.5  </w:t>
      </w:r>
      <w:r>
        <w:rPr>
          <w:rFonts w:ascii="黑体" w:hAnsi="黑体" w:eastAsia="黑体" w:cs="黑体"/>
          <w:b/>
          <w:bCs/>
          <w:spacing w:val="-2"/>
          <w:sz w:val="27"/>
          <w:szCs w:val="27"/>
        </w:rPr>
        <w:t>首件检验</w:t>
      </w:r>
    </w:p>
    <w:p w14:paraId="55000818">
      <w:pPr>
        <w:spacing w:before="101" w:line="271" w:lineRule="auto"/>
        <w:ind w:right="9" w:firstLine="560"/>
        <w:jc w:val="both"/>
        <w:rPr>
          <w:rFonts w:ascii="宋体" w:hAnsi="宋体" w:eastAsia="宋体" w:cs="宋体"/>
          <w:sz w:val="27"/>
          <w:szCs w:val="27"/>
        </w:rPr>
      </w:pPr>
      <w:r>
        <w:rPr>
          <w:rFonts w:ascii="宋体" w:hAnsi="宋体" w:eastAsia="宋体" w:cs="宋体"/>
          <w:spacing w:val="-3"/>
          <w:sz w:val="27"/>
          <w:szCs w:val="27"/>
        </w:rPr>
        <w:t>若选择了首件检验，本条则规定检验项目、检验顺序、受检样品数及合格判</w:t>
      </w:r>
      <w:r>
        <w:rPr>
          <w:rFonts w:ascii="宋体" w:hAnsi="宋体" w:eastAsia="宋体" w:cs="宋体"/>
          <w:spacing w:val="17"/>
          <w:sz w:val="27"/>
          <w:szCs w:val="27"/>
        </w:rPr>
        <w:t xml:space="preserve"> </w:t>
      </w:r>
      <w:r>
        <w:rPr>
          <w:rFonts w:ascii="宋体" w:hAnsi="宋体" w:eastAsia="宋体" w:cs="宋体"/>
          <w:spacing w:val="14"/>
          <w:sz w:val="27"/>
          <w:szCs w:val="27"/>
        </w:rPr>
        <w:t>据。宜用表列出首件检验项目、相应的规范第3章要求和第4章中检验方法的</w:t>
      </w:r>
      <w:r>
        <w:rPr>
          <w:rFonts w:ascii="宋体" w:hAnsi="宋体" w:eastAsia="宋体" w:cs="宋体"/>
          <w:spacing w:val="3"/>
          <w:sz w:val="27"/>
          <w:szCs w:val="27"/>
        </w:rPr>
        <w:t xml:space="preserve"> </w:t>
      </w:r>
      <w:r>
        <w:rPr>
          <w:rFonts w:ascii="宋体" w:hAnsi="宋体" w:eastAsia="宋体" w:cs="宋体"/>
          <w:spacing w:val="-5"/>
          <w:sz w:val="27"/>
          <w:szCs w:val="27"/>
        </w:rPr>
        <w:t>章条号。</w:t>
      </w:r>
    </w:p>
    <w:p w14:paraId="33A48654">
      <w:pPr>
        <w:spacing w:before="16" w:line="222" w:lineRule="auto"/>
        <w:rPr>
          <w:rFonts w:ascii="黑体" w:hAnsi="黑体" w:eastAsia="黑体" w:cs="黑体"/>
          <w:sz w:val="27"/>
          <w:szCs w:val="27"/>
        </w:rPr>
      </w:pPr>
      <w:r>
        <w:rPr>
          <w:rFonts w:ascii="黑体" w:hAnsi="黑体" w:eastAsia="黑体" w:cs="黑体"/>
          <w:spacing w:val="-3"/>
          <w:sz w:val="27"/>
          <w:szCs w:val="27"/>
        </w:rPr>
        <w:t>4.6</w:t>
      </w:r>
      <w:r>
        <w:rPr>
          <w:rFonts w:ascii="黑体" w:hAnsi="黑体" w:eastAsia="黑体" w:cs="黑体"/>
          <w:spacing w:val="15"/>
          <w:sz w:val="27"/>
          <w:szCs w:val="27"/>
        </w:rPr>
        <w:t xml:space="preserve">  </w:t>
      </w:r>
      <w:r>
        <w:rPr>
          <w:rFonts w:ascii="黑体" w:hAnsi="黑体" w:eastAsia="黑体" w:cs="黑体"/>
          <w:b/>
          <w:bCs/>
          <w:spacing w:val="-3"/>
          <w:sz w:val="27"/>
          <w:szCs w:val="27"/>
        </w:rPr>
        <w:t>质量一致性检验</w:t>
      </w:r>
    </w:p>
    <w:p w14:paraId="1807C8BC">
      <w:pPr>
        <w:spacing w:before="111" w:line="271" w:lineRule="auto"/>
        <w:ind w:right="10" w:firstLine="560"/>
        <w:jc w:val="both"/>
        <w:rPr>
          <w:rFonts w:ascii="宋体" w:hAnsi="宋体" w:eastAsia="宋体" w:cs="宋体"/>
          <w:sz w:val="27"/>
          <w:szCs w:val="27"/>
        </w:rPr>
      </w:pPr>
      <w:r>
        <w:rPr>
          <w:rFonts w:ascii="宋体" w:hAnsi="宋体" w:eastAsia="宋体" w:cs="宋体"/>
          <w:spacing w:val="-3"/>
          <w:sz w:val="27"/>
          <w:szCs w:val="27"/>
        </w:rPr>
        <w:t>若选择了质量一致性检验，本条则规定检验项目、检验顺序、受检样品数及</w:t>
      </w:r>
      <w:r>
        <w:rPr>
          <w:rFonts w:ascii="宋体" w:hAnsi="宋体" w:eastAsia="宋体" w:cs="宋体"/>
          <w:spacing w:val="12"/>
          <w:sz w:val="27"/>
          <w:szCs w:val="27"/>
        </w:rPr>
        <w:t xml:space="preserve"> </w:t>
      </w:r>
      <w:r>
        <w:rPr>
          <w:rFonts w:ascii="宋体" w:hAnsi="宋体" w:eastAsia="宋体" w:cs="宋体"/>
          <w:spacing w:val="14"/>
          <w:sz w:val="27"/>
          <w:szCs w:val="27"/>
        </w:rPr>
        <w:t>合格判据。宜用表列出质量一致性检验项目、相应的规范第3章要求和第4章</w:t>
      </w:r>
      <w:r>
        <w:rPr>
          <w:rFonts w:ascii="宋体" w:hAnsi="宋体" w:eastAsia="宋体" w:cs="宋体"/>
          <w:spacing w:val="3"/>
          <w:sz w:val="27"/>
          <w:szCs w:val="27"/>
        </w:rPr>
        <w:t xml:space="preserve"> </w:t>
      </w:r>
      <w:r>
        <w:rPr>
          <w:rFonts w:ascii="宋体" w:hAnsi="宋体" w:eastAsia="宋体" w:cs="宋体"/>
          <w:spacing w:val="1"/>
          <w:sz w:val="27"/>
          <w:szCs w:val="27"/>
        </w:rPr>
        <w:t>中检验方法的章条号。</w:t>
      </w:r>
    </w:p>
    <w:p w14:paraId="6538C08A">
      <w:pPr>
        <w:spacing w:before="20" w:line="275" w:lineRule="auto"/>
        <w:ind w:right="10" w:firstLine="560"/>
        <w:rPr>
          <w:rFonts w:ascii="宋体" w:hAnsi="宋体" w:eastAsia="宋体" w:cs="宋体"/>
          <w:sz w:val="27"/>
          <w:szCs w:val="27"/>
        </w:rPr>
      </w:pPr>
      <w:r>
        <w:rPr>
          <w:rFonts w:ascii="宋体" w:hAnsi="宋体" w:eastAsia="宋体" w:cs="宋体"/>
          <w:spacing w:val="-3"/>
          <w:sz w:val="27"/>
          <w:szCs w:val="27"/>
        </w:rPr>
        <w:t>质量一致性检验是否分组，分几个组，应视情确定。质量一致性检验组别划</w:t>
      </w:r>
      <w:r>
        <w:rPr>
          <w:rFonts w:ascii="宋体" w:hAnsi="宋体" w:eastAsia="宋体" w:cs="宋体"/>
          <w:spacing w:val="17"/>
          <w:sz w:val="27"/>
          <w:szCs w:val="27"/>
        </w:rPr>
        <w:t xml:space="preserve"> </w:t>
      </w:r>
      <w:r>
        <w:rPr>
          <w:rFonts w:ascii="宋体" w:hAnsi="宋体" w:eastAsia="宋体" w:cs="宋体"/>
          <w:spacing w:val="6"/>
          <w:sz w:val="27"/>
          <w:szCs w:val="27"/>
        </w:rPr>
        <w:t>分的一般原则见</w:t>
      </w:r>
      <w:r>
        <w:rPr>
          <w:rFonts w:ascii="Times New Roman" w:hAnsi="Times New Roman" w:eastAsia="Times New Roman" w:cs="Times New Roman"/>
          <w:sz w:val="27"/>
          <w:szCs w:val="27"/>
        </w:rPr>
        <w:t>GJB</w:t>
      </w:r>
      <w:r>
        <w:rPr>
          <w:rFonts w:ascii="Times New Roman" w:hAnsi="Times New Roman" w:eastAsia="Times New Roman" w:cs="Times New Roman"/>
          <w:spacing w:val="6"/>
          <w:sz w:val="27"/>
          <w:szCs w:val="27"/>
        </w:rPr>
        <w:t xml:space="preserve">0.2—2001    </w:t>
      </w:r>
      <w:r>
        <w:rPr>
          <w:rFonts w:ascii="宋体" w:hAnsi="宋体" w:eastAsia="宋体" w:cs="宋体"/>
          <w:spacing w:val="6"/>
          <w:sz w:val="27"/>
          <w:szCs w:val="27"/>
        </w:rPr>
        <w:t>的附</w:t>
      </w:r>
      <w:r>
        <w:rPr>
          <w:rFonts w:ascii="宋体" w:hAnsi="宋体" w:eastAsia="宋体" w:cs="宋体"/>
          <w:spacing w:val="5"/>
          <w:sz w:val="27"/>
          <w:szCs w:val="27"/>
        </w:rPr>
        <w:t>录</w:t>
      </w:r>
      <w:r>
        <w:rPr>
          <w:rFonts w:ascii="Times New Roman" w:hAnsi="Times New Roman" w:eastAsia="Times New Roman" w:cs="Times New Roman"/>
          <w:spacing w:val="5"/>
          <w:sz w:val="27"/>
          <w:szCs w:val="27"/>
        </w:rPr>
        <w:t>C</w:t>
      </w:r>
      <w:r>
        <w:rPr>
          <w:rFonts w:ascii="宋体" w:hAnsi="宋体" w:eastAsia="宋体" w:cs="宋体"/>
          <w:spacing w:val="5"/>
          <w:sz w:val="27"/>
          <w:szCs w:val="27"/>
        </w:rPr>
        <w:t>。</w:t>
      </w:r>
    </w:p>
    <w:p w14:paraId="5E28435F">
      <w:pPr>
        <w:spacing w:before="11" w:line="222" w:lineRule="auto"/>
        <w:rPr>
          <w:rFonts w:ascii="黑体" w:hAnsi="黑体" w:eastAsia="黑体" w:cs="黑体"/>
          <w:sz w:val="27"/>
          <w:szCs w:val="27"/>
        </w:rPr>
      </w:pPr>
      <w:r>
        <w:rPr>
          <w:rFonts w:ascii="黑体" w:hAnsi="黑体" w:eastAsia="黑体" w:cs="黑体"/>
          <w:spacing w:val="-3"/>
          <w:sz w:val="27"/>
          <w:szCs w:val="27"/>
        </w:rPr>
        <w:t>4.7</w:t>
      </w:r>
      <w:r>
        <w:rPr>
          <w:rFonts w:ascii="黑体" w:hAnsi="黑体" w:eastAsia="黑体" w:cs="黑体"/>
          <w:spacing w:val="20"/>
          <w:sz w:val="27"/>
          <w:szCs w:val="27"/>
        </w:rPr>
        <w:t xml:space="preserve">  </w:t>
      </w:r>
      <w:r>
        <w:rPr>
          <w:rFonts w:ascii="黑体" w:hAnsi="黑体" w:eastAsia="黑体" w:cs="黑体"/>
          <w:b/>
          <w:bCs/>
          <w:spacing w:val="-3"/>
          <w:sz w:val="27"/>
          <w:szCs w:val="27"/>
        </w:rPr>
        <w:t>包装检验</w:t>
      </w:r>
    </w:p>
    <w:p w14:paraId="371DF294">
      <w:pPr>
        <w:spacing w:before="80" w:line="283" w:lineRule="auto"/>
        <w:ind w:right="19" w:firstLine="560"/>
        <w:rPr>
          <w:rFonts w:ascii="宋体" w:hAnsi="宋体" w:eastAsia="宋体" w:cs="宋体"/>
          <w:sz w:val="27"/>
          <w:szCs w:val="27"/>
        </w:rPr>
      </w:pPr>
      <w:r>
        <w:rPr>
          <w:rFonts w:ascii="宋体" w:hAnsi="宋体" w:eastAsia="宋体" w:cs="宋体"/>
          <w:spacing w:val="-11"/>
          <w:sz w:val="27"/>
          <w:szCs w:val="27"/>
        </w:rPr>
        <w:t>若需要对包装件进行检验，本条则规定检验项目、检验顺序、抽样方案、检验</w:t>
      </w:r>
      <w:r>
        <w:rPr>
          <w:rFonts w:ascii="宋体" w:hAnsi="宋体" w:eastAsia="宋体" w:cs="宋体"/>
          <w:spacing w:val="14"/>
          <w:sz w:val="27"/>
          <w:szCs w:val="27"/>
        </w:rPr>
        <w:t xml:space="preserve"> </w:t>
      </w:r>
      <w:r>
        <w:rPr>
          <w:rFonts w:ascii="宋体" w:hAnsi="宋体" w:eastAsia="宋体" w:cs="宋体"/>
          <w:spacing w:val="3"/>
          <w:sz w:val="27"/>
          <w:szCs w:val="27"/>
        </w:rPr>
        <w:t>方法及合格判据。</w:t>
      </w:r>
    </w:p>
    <w:p w14:paraId="1817F617">
      <w:pPr>
        <w:spacing w:before="20" w:line="224" w:lineRule="auto"/>
        <w:rPr>
          <w:rFonts w:ascii="黑体" w:hAnsi="黑体" w:eastAsia="黑体" w:cs="黑体"/>
          <w:sz w:val="25"/>
          <w:szCs w:val="25"/>
        </w:rPr>
      </w:pPr>
      <w:r>
        <w:rPr>
          <w:rFonts w:ascii="黑体" w:hAnsi="黑体" w:eastAsia="黑体" w:cs="黑体"/>
          <w:spacing w:val="7"/>
          <w:sz w:val="25"/>
          <w:szCs w:val="25"/>
        </w:rPr>
        <w:t>4.8</w:t>
      </w:r>
      <w:r>
        <w:rPr>
          <w:rFonts w:ascii="黑体" w:hAnsi="黑体" w:eastAsia="黑体" w:cs="黑体"/>
          <w:spacing w:val="30"/>
          <w:sz w:val="25"/>
          <w:szCs w:val="25"/>
        </w:rPr>
        <w:t xml:space="preserve">  </w:t>
      </w:r>
      <w:r>
        <w:rPr>
          <w:rFonts w:ascii="黑体" w:hAnsi="黑体" w:eastAsia="黑体" w:cs="黑体"/>
          <w:b/>
          <w:bCs/>
          <w:spacing w:val="7"/>
          <w:sz w:val="25"/>
          <w:szCs w:val="25"/>
        </w:rPr>
        <w:t>抽样</w:t>
      </w:r>
    </w:p>
    <w:p w14:paraId="2BDA43DC">
      <w:pPr>
        <w:spacing w:before="88" w:line="219" w:lineRule="auto"/>
        <w:ind w:left="560"/>
        <w:rPr>
          <w:rFonts w:ascii="宋体" w:hAnsi="宋体" w:eastAsia="宋体" w:cs="宋体"/>
          <w:sz w:val="27"/>
          <w:szCs w:val="27"/>
        </w:rPr>
      </w:pPr>
      <w:r>
        <w:rPr>
          <w:rFonts w:ascii="宋体" w:hAnsi="宋体" w:eastAsia="宋体" w:cs="宋体"/>
          <w:spacing w:val="-8"/>
          <w:sz w:val="27"/>
          <w:szCs w:val="27"/>
        </w:rPr>
        <w:t>若检验采用抽样，本条则确定：</w:t>
      </w:r>
    </w:p>
    <w:p w14:paraId="171E0CF0">
      <w:pPr>
        <w:spacing w:before="61" w:line="212" w:lineRule="auto"/>
        <w:ind w:left="560"/>
        <w:rPr>
          <w:rFonts w:ascii="宋体" w:hAnsi="宋体" w:eastAsia="宋体" w:cs="宋体"/>
          <w:sz w:val="27"/>
          <w:szCs w:val="27"/>
        </w:rPr>
      </w:pPr>
      <w:r>
        <w:rPr>
          <w:rFonts w:ascii="Times New Roman" w:hAnsi="Times New Roman" w:eastAsia="Times New Roman" w:cs="Times New Roman"/>
          <w:spacing w:val="-9"/>
          <w:sz w:val="27"/>
          <w:szCs w:val="27"/>
        </w:rPr>
        <w:t xml:space="preserve">a)  </w:t>
      </w:r>
      <w:r>
        <w:rPr>
          <w:rFonts w:ascii="宋体" w:hAnsi="宋体" w:eastAsia="宋体" w:cs="宋体"/>
          <w:spacing w:val="-9"/>
          <w:sz w:val="27"/>
          <w:szCs w:val="27"/>
        </w:rPr>
        <w:t>组批规则，包括组批条件、方法和批量。</w:t>
      </w:r>
    </w:p>
    <w:p w14:paraId="2AA04E7D">
      <w:pPr>
        <w:spacing w:before="89" w:line="267" w:lineRule="auto"/>
        <w:ind w:firstLine="56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67"/>
          <w:w w:val="101"/>
          <w:sz w:val="27"/>
          <w:szCs w:val="27"/>
        </w:rPr>
        <w:t xml:space="preserve"> </w:t>
      </w:r>
      <w:r>
        <w:rPr>
          <w:rFonts w:ascii="宋体" w:hAnsi="宋体" w:eastAsia="宋体" w:cs="宋体"/>
          <w:spacing w:val="1"/>
          <w:sz w:val="27"/>
          <w:szCs w:val="27"/>
        </w:rPr>
        <w:t>抽样方案，包括检查水平(</w:t>
      </w:r>
      <w:r>
        <w:rPr>
          <w:rFonts w:ascii="Times New Roman" w:hAnsi="Times New Roman" w:eastAsia="Times New Roman" w:cs="Times New Roman"/>
          <w:sz w:val="27"/>
          <w:szCs w:val="27"/>
        </w:rPr>
        <w:t>IL</w:t>
      </w:r>
      <w:r>
        <w:rPr>
          <w:rFonts w:ascii="Times New Roman" w:hAnsi="Times New Roman" w:eastAsia="Times New Roman" w:cs="Times New Roman"/>
          <w:spacing w:val="1"/>
          <w:sz w:val="27"/>
          <w:szCs w:val="27"/>
        </w:rPr>
        <w:t>)</w:t>
      </w:r>
      <w:r>
        <w:rPr>
          <w:rFonts w:ascii="宋体" w:hAnsi="宋体" w:eastAsia="宋体" w:cs="宋体"/>
          <w:spacing w:val="1"/>
          <w:sz w:val="27"/>
          <w:szCs w:val="27"/>
        </w:rPr>
        <w:t>、可接受质量水平(</w:t>
      </w:r>
      <w:r>
        <w:rPr>
          <w:rFonts w:ascii="宋体" w:hAnsi="宋体" w:eastAsia="宋体" w:cs="宋体"/>
          <w:spacing w:val="-72"/>
          <w:sz w:val="27"/>
          <w:szCs w:val="27"/>
        </w:rPr>
        <w:t xml:space="preserve"> </w:t>
      </w:r>
      <w:r>
        <w:rPr>
          <w:rFonts w:ascii="Times New Roman" w:hAnsi="Times New Roman" w:eastAsia="Times New Roman" w:cs="Times New Roman"/>
          <w:sz w:val="27"/>
          <w:szCs w:val="27"/>
        </w:rPr>
        <w:t>AQL</w:t>
      </w:r>
      <w:r>
        <w:rPr>
          <w:rFonts w:ascii="Times New Roman" w:hAnsi="Times New Roman" w:eastAsia="Times New Roman" w:cs="Times New Roman"/>
          <w:spacing w:val="1"/>
          <w:sz w:val="27"/>
          <w:szCs w:val="27"/>
        </w:rPr>
        <w:t>)</w:t>
      </w:r>
      <w:r>
        <w:rPr>
          <w:rFonts w:ascii="Times New Roman" w:hAnsi="Times New Roman" w:eastAsia="Times New Roman" w:cs="Times New Roman"/>
          <w:spacing w:val="40"/>
          <w:sz w:val="27"/>
          <w:szCs w:val="27"/>
        </w:rPr>
        <w:t xml:space="preserve"> </w:t>
      </w:r>
      <w:r>
        <w:rPr>
          <w:rFonts w:ascii="宋体" w:hAnsi="宋体" w:eastAsia="宋体" w:cs="宋体"/>
          <w:spacing w:val="1"/>
          <w:sz w:val="27"/>
          <w:szCs w:val="27"/>
        </w:rPr>
        <w:t>或其他类</w:t>
      </w:r>
      <w:r>
        <w:rPr>
          <w:rFonts w:ascii="宋体" w:hAnsi="宋体" w:eastAsia="宋体" w:cs="宋体"/>
          <w:sz w:val="27"/>
          <w:szCs w:val="27"/>
        </w:rPr>
        <w:t xml:space="preserve">型的质 </w:t>
      </w:r>
      <w:r>
        <w:rPr>
          <w:rFonts w:ascii="宋体" w:hAnsi="宋体" w:eastAsia="宋体" w:cs="宋体"/>
          <w:spacing w:val="-10"/>
          <w:sz w:val="27"/>
          <w:szCs w:val="27"/>
        </w:rPr>
        <w:t>量水平，以及缺陷分类等；若采用非标准抽样方案，应包括置信度、质量水平和缺</w:t>
      </w:r>
      <w:r>
        <w:rPr>
          <w:rFonts w:ascii="宋体" w:hAnsi="宋体" w:eastAsia="宋体" w:cs="宋体"/>
          <w:sz w:val="27"/>
          <w:szCs w:val="27"/>
        </w:rPr>
        <w:t xml:space="preserve"> </w:t>
      </w:r>
      <w:r>
        <w:rPr>
          <w:rFonts w:ascii="宋体" w:hAnsi="宋体" w:eastAsia="宋体" w:cs="宋体"/>
          <w:spacing w:val="-3"/>
          <w:sz w:val="27"/>
          <w:szCs w:val="27"/>
        </w:rPr>
        <w:t>陷分类等。</w:t>
      </w:r>
    </w:p>
    <w:p w14:paraId="33D7EC0C">
      <w:pPr>
        <w:spacing w:before="59" w:line="212" w:lineRule="auto"/>
        <w:ind w:left="560"/>
        <w:rPr>
          <w:rFonts w:ascii="宋体" w:hAnsi="宋体" w:eastAsia="宋体" w:cs="宋体"/>
          <w:sz w:val="27"/>
          <w:szCs w:val="27"/>
        </w:rPr>
      </w:pPr>
      <w:r>
        <w:rPr>
          <w:rFonts w:ascii="Times New Roman" w:hAnsi="Times New Roman" w:eastAsia="Times New Roman" w:cs="Times New Roman"/>
          <w:spacing w:val="-10"/>
          <w:sz w:val="27"/>
          <w:szCs w:val="27"/>
        </w:rPr>
        <w:t xml:space="preserve">c)  </w:t>
      </w:r>
      <w:r>
        <w:rPr>
          <w:rFonts w:ascii="宋体" w:hAnsi="宋体" w:eastAsia="宋体" w:cs="宋体"/>
          <w:spacing w:val="-10"/>
          <w:sz w:val="27"/>
          <w:szCs w:val="27"/>
        </w:rPr>
        <w:t>抽样条件(必要时),诸如过筛、筛选、磨合、时效条件等。</w:t>
      </w:r>
    </w:p>
    <w:p w14:paraId="73260988">
      <w:pPr>
        <w:spacing w:before="9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d)</w:t>
      </w:r>
      <w:r>
        <w:rPr>
          <w:rFonts w:ascii="Times New Roman" w:hAnsi="Times New Roman" w:eastAsia="Times New Roman" w:cs="Times New Roman"/>
          <w:spacing w:val="66"/>
          <w:w w:val="101"/>
          <w:sz w:val="27"/>
          <w:szCs w:val="27"/>
        </w:rPr>
        <w:t xml:space="preserve"> </w:t>
      </w:r>
      <w:r>
        <w:rPr>
          <w:rFonts w:ascii="宋体" w:hAnsi="宋体" w:eastAsia="宋体" w:cs="宋体"/>
          <w:spacing w:val="3"/>
          <w:sz w:val="27"/>
          <w:szCs w:val="27"/>
        </w:rPr>
        <w:t>抽样或取样方法(必要时)。</w:t>
      </w:r>
    </w:p>
    <w:p w14:paraId="6A9CF0DD">
      <w:pPr>
        <w:spacing w:before="120" w:line="284" w:lineRule="auto"/>
        <w:ind w:right="8" w:firstLine="560"/>
        <w:rPr>
          <w:rFonts w:ascii="宋体" w:hAnsi="宋体" w:eastAsia="宋体" w:cs="宋体"/>
          <w:sz w:val="27"/>
          <w:szCs w:val="27"/>
        </w:rPr>
      </w:pPr>
      <w:r>
        <w:rPr>
          <w:rFonts w:ascii="宋体" w:hAnsi="宋体" w:eastAsia="宋体" w:cs="宋体"/>
          <w:spacing w:val="-2"/>
          <w:sz w:val="27"/>
          <w:szCs w:val="27"/>
        </w:rPr>
        <w:t>所规定的组批规则、抽样方案、抽样条件、抽</w:t>
      </w:r>
      <w:r>
        <w:rPr>
          <w:rFonts w:ascii="宋体" w:hAnsi="宋体" w:eastAsia="宋体" w:cs="宋体"/>
          <w:spacing w:val="-3"/>
          <w:sz w:val="27"/>
          <w:szCs w:val="27"/>
        </w:rPr>
        <w:t>样或取样方法应能保证样本与</w:t>
      </w:r>
      <w:r>
        <w:rPr>
          <w:rFonts w:ascii="宋体" w:hAnsi="宋体" w:eastAsia="宋体" w:cs="宋体"/>
          <w:sz w:val="27"/>
          <w:szCs w:val="27"/>
        </w:rPr>
        <w:t xml:space="preserve"> </w:t>
      </w:r>
      <w:r>
        <w:rPr>
          <w:rFonts w:ascii="宋体" w:hAnsi="宋体" w:eastAsia="宋体" w:cs="宋体"/>
          <w:spacing w:val="-1"/>
          <w:sz w:val="27"/>
          <w:szCs w:val="27"/>
        </w:rPr>
        <w:t>总体的一致性。</w:t>
      </w:r>
    </w:p>
    <w:p w14:paraId="333A6556">
      <w:pPr>
        <w:spacing w:line="284" w:lineRule="auto"/>
        <w:rPr>
          <w:rFonts w:ascii="宋体" w:hAnsi="宋体" w:eastAsia="宋体" w:cs="宋体"/>
          <w:sz w:val="27"/>
          <w:szCs w:val="27"/>
        </w:rPr>
        <w:sectPr>
          <w:footerReference r:id="rId109" w:type="default"/>
          <w:pgSz w:w="11910" w:h="17130"/>
          <w:pgMar w:top="400" w:right="949" w:bottom="1567" w:left="1559" w:header="0" w:footer="1351" w:gutter="0"/>
          <w:cols w:space="720" w:num="1"/>
        </w:sectPr>
      </w:pPr>
    </w:p>
    <w:p w14:paraId="21B58E47">
      <w:pPr>
        <w:pStyle w:val="2"/>
        <w:spacing w:line="271" w:lineRule="auto"/>
      </w:pPr>
    </w:p>
    <w:p w14:paraId="16D0B90B">
      <w:pPr>
        <w:pStyle w:val="2"/>
        <w:spacing w:line="271" w:lineRule="auto"/>
      </w:pPr>
    </w:p>
    <w:p w14:paraId="70FBBEC4">
      <w:pPr>
        <w:pStyle w:val="2"/>
        <w:spacing w:line="271" w:lineRule="auto"/>
      </w:pPr>
    </w:p>
    <w:p w14:paraId="2B348897">
      <w:pPr>
        <w:pStyle w:val="2"/>
        <w:spacing w:line="271" w:lineRule="auto"/>
      </w:pPr>
    </w:p>
    <w:p w14:paraId="5E22D611">
      <w:pPr>
        <w:spacing w:before="88" w:line="219" w:lineRule="auto"/>
        <w:ind w:left="560"/>
        <w:rPr>
          <w:rFonts w:ascii="宋体" w:hAnsi="宋体" w:eastAsia="宋体" w:cs="宋体"/>
          <w:sz w:val="27"/>
          <w:szCs w:val="27"/>
        </w:rPr>
      </w:pPr>
      <w:bookmarkStart w:id="61" w:name="bookmark336"/>
      <w:bookmarkEnd w:id="61"/>
      <w:r>
        <w:rPr>
          <w:rFonts w:ascii="宋体" w:hAnsi="宋体" w:eastAsia="宋体" w:cs="宋体"/>
          <w:sz w:val="27"/>
          <w:szCs w:val="27"/>
        </w:rPr>
        <w:t>确定组批规则和抽样方案时应考虑实体的特点、风险的危害程度和成本。</w:t>
      </w:r>
    </w:p>
    <w:p w14:paraId="0E7ABE1E">
      <w:pPr>
        <w:spacing w:before="78" w:line="221" w:lineRule="auto"/>
        <w:rPr>
          <w:rFonts w:ascii="黑体" w:hAnsi="黑体" w:eastAsia="黑体" w:cs="黑体"/>
          <w:sz w:val="27"/>
          <w:szCs w:val="27"/>
        </w:rPr>
      </w:pPr>
      <w:r>
        <w:rPr>
          <w:rFonts w:ascii="黑体" w:hAnsi="黑体" w:eastAsia="黑体" w:cs="黑体"/>
          <w:spacing w:val="1"/>
          <w:sz w:val="27"/>
          <w:szCs w:val="27"/>
        </w:rPr>
        <w:t>4.9</w:t>
      </w:r>
      <w:r>
        <w:rPr>
          <w:rFonts w:ascii="黑体" w:hAnsi="黑体" w:eastAsia="黑体" w:cs="黑体"/>
          <w:spacing w:val="15"/>
          <w:sz w:val="27"/>
          <w:szCs w:val="27"/>
        </w:rPr>
        <w:t xml:space="preserve">  </w:t>
      </w:r>
      <w:r>
        <w:rPr>
          <w:rFonts w:ascii="黑体" w:hAnsi="黑体" w:eastAsia="黑体" w:cs="黑体"/>
          <w:spacing w:val="1"/>
          <w:sz w:val="27"/>
          <w:szCs w:val="27"/>
        </w:rPr>
        <w:t>缺陷分类</w:t>
      </w:r>
    </w:p>
    <w:p w14:paraId="14BF4BE0">
      <w:pPr>
        <w:spacing w:before="67" w:line="274" w:lineRule="auto"/>
        <w:ind w:right="122" w:firstLine="560"/>
        <w:rPr>
          <w:rFonts w:ascii="宋体" w:hAnsi="宋体" w:eastAsia="宋体" w:cs="宋体"/>
          <w:sz w:val="27"/>
          <w:szCs w:val="27"/>
        </w:rPr>
      </w:pPr>
      <w:r>
        <w:rPr>
          <w:rFonts w:ascii="宋体" w:hAnsi="宋体" w:eastAsia="宋体" w:cs="宋体"/>
          <w:spacing w:val="-3"/>
          <w:sz w:val="27"/>
          <w:szCs w:val="27"/>
        </w:rPr>
        <w:t>适用时，本条可包含缺陷分类，并按下述规定对分类的缺陷进行编码，以便</w:t>
      </w:r>
      <w:r>
        <w:rPr>
          <w:rFonts w:ascii="宋体" w:hAnsi="宋体" w:eastAsia="宋体" w:cs="宋体"/>
          <w:sz w:val="27"/>
          <w:szCs w:val="27"/>
        </w:rPr>
        <w:t xml:space="preserve"> </w:t>
      </w:r>
      <w:r>
        <w:rPr>
          <w:rFonts w:ascii="宋体" w:hAnsi="宋体" w:eastAsia="宋体" w:cs="宋体"/>
          <w:spacing w:val="1"/>
          <w:sz w:val="27"/>
          <w:szCs w:val="27"/>
        </w:rPr>
        <w:t>在报告检验结果时引用：</w:t>
      </w:r>
    </w:p>
    <w:p w14:paraId="5D6ABF45">
      <w:pPr>
        <w:spacing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a)1</w:t>
      </w:r>
      <w:r>
        <w:rPr>
          <w:rFonts w:ascii="宋体" w:hAnsi="宋体" w:eastAsia="宋体" w:cs="宋体"/>
          <w:spacing w:val="1"/>
          <w:sz w:val="27"/>
          <w:szCs w:val="27"/>
        </w:rPr>
        <w:t>～</w:t>
      </w:r>
      <w:r>
        <w:rPr>
          <w:rFonts w:ascii="Times New Roman" w:hAnsi="Times New Roman" w:eastAsia="Times New Roman" w:cs="Times New Roman"/>
          <w:spacing w:val="1"/>
          <w:sz w:val="27"/>
          <w:szCs w:val="27"/>
        </w:rPr>
        <w:t xml:space="preserve">99   </w:t>
      </w:r>
      <w:r>
        <w:rPr>
          <w:rFonts w:ascii="宋体" w:hAnsi="宋体" w:eastAsia="宋体" w:cs="宋体"/>
          <w:spacing w:val="1"/>
          <w:sz w:val="27"/>
          <w:szCs w:val="27"/>
        </w:rPr>
        <w:t>致命缺陷；</w:t>
      </w:r>
    </w:p>
    <w:p w14:paraId="7919F6DE">
      <w:pPr>
        <w:spacing w:before="122" w:line="212" w:lineRule="auto"/>
        <w:ind w:left="560"/>
        <w:rPr>
          <w:rFonts w:ascii="宋体" w:hAnsi="宋体" w:eastAsia="宋体" w:cs="宋体"/>
          <w:sz w:val="24"/>
          <w:szCs w:val="24"/>
        </w:rPr>
      </w:pPr>
      <w:r>
        <w:rPr>
          <w:rFonts w:ascii="Times New Roman" w:hAnsi="Times New Roman" w:eastAsia="Times New Roman" w:cs="Times New Roman"/>
          <w:spacing w:val="10"/>
          <w:sz w:val="24"/>
          <w:szCs w:val="24"/>
        </w:rPr>
        <w:t>b)101</w:t>
      </w:r>
      <w:r>
        <w:rPr>
          <w:rFonts w:ascii="宋体" w:hAnsi="宋体" w:eastAsia="宋体" w:cs="宋体"/>
          <w:spacing w:val="10"/>
          <w:sz w:val="24"/>
          <w:szCs w:val="24"/>
        </w:rPr>
        <w:t>～</w:t>
      </w:r>
      <w:r>
        <w:rPr>
          <w:rFonts w:ascii="Times New Roman" w:hAnsi="Times New Roman" w:eastAsia="Times New Roman" w:cs="Times New Roman"/>
          <w:spacing w:val="10"/>
          <w:sz w:val="24"/>
          <w:szCs w:val="24"/>
        </w:rPr>
        <w:t>199</w:t>
      </w:r>
      <w:r>
        <w:rPr>
          <w:rFonts w:ascii="Times New Roman" w:hAnsi="Times New Roman" w:eastAsia="Times New Roman" w:cs="Times New Roman"/>
          <w:spacing w:val="1"/>
          <w:sz w:val="24"/>
          <w:szCs w:val="24"/>
        </w:rPr>
        <w:t xml:space="preserve">      </w:t>
      </w:r>
      <w:r>
        <w:rPr>
          <w:rFonts w:ascii="宋体" w:hAnsi="宋体" w:eastAsia="宋体" w:cs="宋体"/>
          <w:spacing w:val="10"/>
          <w:sz w:val="24"/>
          <w:szCs w:val="24"/>
        </w:rPr>
        <w:t>严重缺陷；</w:t>
      </w:r>
    </w:p>
    <w:p w14:paraId="10E84E31">
      <w:pPr>
        <w:spacing w:before="134" w:line="212" w:lineRule="auto"/>
        <w:ind w:left="560"/>
        <w:rPr>
          <w:rFonts w:ascii="宋体" w:hAnsi="宋体" w:eastAsia="宋体" w:cs="宋体"/>
          <w:sz w:val="24"/>
          <w:szCs w:val="24"/>
        </w:rPr>
      </w:pPr>
      <w:r>
        <w:rPr>
          <w:rFonts w:ascii="Times New Roman" w:hAnsi="Times New Roman" w:eastAsia="Times New Roman" w:cs="Times New Roman"/>
          <w:spacing w:val="7"/>
          <w:sz w:val="24"/>
          <w:szCs w:val="24"/>
        </w:rPr>
        <w:t>c)201</w:t>
      </w:r>
      <w:r>
        <w:rPr>
          <w:rFonts w:ascii="宋体" w:hAnsi="宋体" w:eastAsia="宋体" w:cs="宋体"/>
          <w:spacing w:val="7"/>
          <w:sz w:val="24"/>
          <w:szCs w:val="24"/>
        </w:rPr>
        <w:t>～</w:t>
      </w:r>
      <w:r>
        <w:rPr>
          <w:rFonts w:ascii="Times New Roman" w:hAnsi="Times New Roman" w:eastAsia="Times New Roman" w:cs="Times New Roman"/>
          <w:spacing w:val="7"/>
          <w:sz w:val="24"/>
          <w:szCs w:val="24"/>
        </w:rPr>
        <w:t>299</w:t>
      </w:r>
      <w:r>
        <w:rPr>
          <w:rFonts w:ascii="Times New Roman" w:hAnsi="Times New Roman" w:eastAsia="Times New Roman" w:cs="Times New Roman"/>
          <w:spacing w:val="1"/>
          <w:sz w:val="24"/>
          <w:szCs w:val="24"/>
        </w:rPr>
        <w:t xml:space="preserve">      </w:t>
      </w:r>
      <w:r>
        <w:rPr>
          <w:rFonts w:ascii="宋体" w:hAnsi="宋体" w:eastAsia="宋体" w:cs="宋体"/>
          <w:spacing w:val="7"/>
          <w:sz w:val="24"/>
          <w:szCs w:val="24"/>
        </w:rPr>
        <w:t>轻缺陷。</w:t>
      </w:r>
    </w:p>
    <w:p w14:paraId="6539E998">
      <w:pPr>
        <w:spacing w:before="131" w:line="274" w:lineRule="auto"/>
        <w:ind w:right="123" w:firstLine="560"/>
        <w:rPr>
          <w:rFonts w:ascii="仿宋" w:hAnsi="仿宋" w:eastAsia="仿宋" w:cs="仿宋"/>
          <w:sz w:val="27"/>
          <w:szCs w:val="27"/>
        </w:rPr>
      </w:pPr>
      <w:r>
        <w:rPr>
          <w:rFonts w:ascii="宋体" w:hAnsi="宋体" w:eastAsia="宋体" w:cs="宋体"/>
          <w:spacing w:val="1"/>
          <w:sz w:val="27"/>
          <w:szCs w:val="27"/>
        </w:rPr>
        <w:t>如需分更多的类，可用301、401、501等数列进行编码。若某一类的缺</w:t>
      </w:r>
      <w:r>
        <w:rPr>
          <w:rFonts w:ascii="宋体" w:hAnsi="宋体" w:eastAsia="宋体" w:cs="宋体"/>
          <w:sz w:val="27"/>
          <w:szCs w:val="27"/>
        </w:rPr>
        <w:t xml:space="preserve">陷数 </w:t>
      </w:r>
      <w:r>
        <w:rPr>
          <w:rFonts w:ascii="宋体" w:hAnsi="宋体" w:eastAsia="宋体" w:cs="宋体"/>
          <w:spacing w:val="-2"/>
          <w:sz w:val="27"/>
          <w:szCs w:val="27"/>
        </w:rPr>
        <w:t>量大于99,则对超出部分用字母为后缀从头开始编码，</w:t>
      </w:r>
      <w:r>
        <w:rPr>
          <w:rFonts w:ascii="仿宋" w:hAnsi="仿宋" w:eastAsia="仿宋" w:cs="仿宋"/>
          <w:spacing w:val="-2"/>
          <w:sz w:val="27"/>
          <w:szCs w:val="27"/>
        </w:rPr>
        <w:t>如101</w:t>
      </w:r>
      <w:r>
        <w:rPr>
          <w:rFonts w:ascii="Times New Roman" w:hAnsi="Times New Roman" w:eastAsia="Times New Roman" w:cs="Times New Roman"/>
          <w:spacing w:val="-2"/>
          <w:sz w:val="27"/>
          <w:szCs w:val="27"/>
        </w:rPr>
        <w:t>a</w:t>
      </w:r>
      <w:r>
        <w:rPr>
          <w:rFonts w:ascii="宋体" w:hAnsi="宋体" w:eastAsia="宋体" w:cs="宋体"/>
          <w:spacing w:val="-2"/>
          <w:sz w:val="27"/>
          <w:szCs w:val="27"/>
        </w:rPr>
        <w:t>、</w:t>
      </w:r>
      <w:r>
        <w:rPr>
          <w:rFonts w:ascii="Times New Roman" w:hAnsi="Times New Roman" w:eastAsia="Times New Roman" w:cs="Times New Roman"/>
          <w:spacing w:val="-2"/>
          <w:sz w:val="27"/>
          <w:szCs w:val="27"/>
        </w:rPr>
        <w:t>102a</w:t>
      </w:r>
      <w:r>
        <w:rPr>
          <w:rFonts w:ascii="宋体" w:hAnsi="宋体" w:eastAsia="宋体" w:cs="宋体"/>
          <w:spacing w:val="-2"/>
          <w:sz w:val="27"/>
          <w:szCs w:val="27"/>
        </w:rPr>
        <w:t>、</w:t>
      </w:r>
      <w:r>
        <w:rPr>
          <w:rFonts w:ascii="Times New Roman" w:hAnsi="Times New Roman" w:eastAsia="Times New Roman" w:cs="Times New Roman"/>
          <w:spacing w:val="-2"/>
          <w:sz w:val="27"/>
          <w:szCs w:val="27"/>
        </w:rPr>
        <w:t xml:space="preserve">103a </w:t>
      </w:r>
      <w:r>
        <w:rPr>
          <w:rFonts w:ascii="仿宋" w:hAnsi="仿宋" w:eastAsia="仿宋" w:cs="仿宋"/>
          <w:spacing w:val="-2"/>
          <w:sz w:val="27"/>
          <w:szCs w:val="27"/>
        </w:rPr>
        <w:t>等。</w:t>
      </w:r>
    </w:p>
    <w:p w14:paraId="7017C1AF">
      <w:pPr>
        <w:spacing w:before="27" w:line="221" w:lineRule="auto"/>
        <w:rPr>
          <w:rFonts w:ascii="黑体" w:hAnsi="黑体" w:eastAsia="黑体" w:cs="黑体"/>
          <w:sz w:val="25"/>
          <w:szCs w:val="25"/>
        </w:rPr>
      </w:pPr>
      <w:r>
        <w:rPr>
          <w:rFonts w:ascii="黑体" w:hAnsi="黑体" w:eastAsia="黑体" w:cs="黑体"/>
          <w:spacing w:val="13"/>
          <w:sz w:val="25"/>
          <w:szCs w:val="25"/>
        </w:rPr>
        <w:t>4.10</w:t>
      </w:r>
      <w:r>
        <w:rPr>
          <w:rFonts w:ascii="黑体" w:hAnsi="黑体" w:eastAsia="黑体" w:cs="黑体"/>
          <w:spacing w:val="43"/>
          <w:sz w:val="25"/>
          <w:szCs w:val="25"/>
        </w:rPr>
        <w:t xml:space="preserve">  </w:t>
      </w:r>
      <w:r>
        <w:rPr>
          <w:rFonts w:ascii="黑体" w:hAnsi="黑体" w:eastAsia="黑体" w:cs="黑体"/>
          <w:spacing w:val="13"/>
          <w:sz w:val="25"/>
          <w:szCs w:val="25"/>
        </w:rPr>
        <w:t>检验方法</w:t>
      </w:r>
    </w:p>
    <w:p w14:paraId="5A72D519">
      <w:pPr>
        <w:spacing w:before="104" w:line="275" w:lineRule="auto"/>
        <w:ind w:firstLine="560"/>
        <w:rPr>
          <w:rFonts w:ascii="宋体" w:hAnsi="宋体" w:eastAsia="宋体" w:cs="宋体"/>
          <w:sz w:val="27"/>
          <w:szCs w:val="27"/>
        </w:rPr>
      </w:pPr>
      <w:r>
        <w:rPr>
          <w:rFonts w:ascii="宋体" w:hAnsi="宋体" w:eastAsia="宋体" w:cs="宋体"/>
          <w:spacing w:val="-7"/>
          <w:sz w:val="27"/>
          <w:szCs w:val="27"/>
        </w:rPr>
        <w:t>本条规定用于检验的方法，包括分析法、演示法、检查法、</w:t>
      </w:r>
      <w:r>
        <w:rPr>
          <w:rFonts w:ascii="宋体" w:hAnsi="宋体" w:eastAsia="宋体" w:cs="宋体"/>
          <w:spacing w:val="-8"/>
          <w:sz w:val="27"/>
          <w:szCs w:val="27"/>
        </w:rPr>
        <w:t>模拟法和试验法。</w:t>
      </w:r>
      <w:r>
        <w:rPr>
          <w:rFonts w:ascii="宋体" w:hAnsi="宋体" w:eastAsia="宋体" w:cs="宋体"/>
          <w:sz w:val="27"/>
          <w:szCs w:val="27"/>
        </w:rPr>
        <w:t xml:space="preserve"> </w:t>
      </w:r>
      <w:r>
        <w:rPr>
          <w:rFonts w:ascii="宋体" w:hAnsi="宋体" w:eastAsia="宋体" w:cs="宋体"/>
          <w:spacing w:val="-14"/>
          <w:sz w:val="27"/>
          <w:szCs w:val="27"/>
        </w:rPr>
        <w:t>若所用方法为分析法、演示法，本条标题也可改为“验证方法”。</w:t>
      </w:r>
    </w:p>
    <w:p w14:paraId="0F0695D7">
      <w:pPr>
        <w:spacing w:before="6" w:line="280" w:lineRule="auto"/>
        <w:ind w:right="123" w:firstLine="560"/>
        <w:rPr>
          <w:rFonts w:ascii="宋体" w:hAnsi="宋体" w:eastAsia="宋体" w:cs="宋体"/>
          <w:sz w:val="27"/>
          <w:szCs w:val="27"/>
        </w:rPr>
      </w:pPr>
      <w:r>
        <w:rPr>
          <w:rFonts w:ascii="宋体" w:hAnsi="宋体" w:eastAsia="宋体" w:cs="宋体"/>
          <w:spacing w:val="5"/>
          <w:sz w:val="27"/>
          <w:szCs w:val="27"/>
        </w:rPr>
        <w:t>若所用的检验方法已有适用的现行标准，则应直接引用或剪裁使用。若无</w:t>
      </w:r>
      <w:r>
        <w:rPr>
          <w:rFonts w:ascii="宋体" w:hAnsi="宋体" w:eastAsia="宋体" w:cs="宋体"/>
          <w:spacing w:val="10"/>
          <w:sz w:val="27"/>
          <w:szCs w:val="27"/>
        </w:rPr>
        <w:t xml:space="preserve"> </w:t>
      </w:r>
      <w:r>
        <w:rPr>
          <w:rFonts w:ascii="宋体" w:hAnsi="宋体" w:eastAsia="宋体" w:cs="宋体"/>
          <w:spacing w:val="-3"/>
          <w:sz w:val="27"/>
          <w:szCs w:val="27"/>
        </w:rPr>
        <w:t>标准可供引用，则应规定相应的检验方法。</w:t>
      </w:r>
    </w:p>
    <w:p w14:paraId="3E583BD0">
      <w:pPr>
        <w:spacing w:before="1" w:line="219" w:lineRule="auto"/>
        <w:ind w:left="560"/>
        <w:rPr>
          <w:rFonts w:ascii="宋体" w:hAnsi="宋体" w:eastAsia="宋体" w:cs="宋体"/>
          <w:sz w:val="27"/>
          <w:szCs w:val="27"/>
        </w:rPr>
      </w:pPr>
      <w:r>
        <w:rPr>
          <w:rFonts w:ascii="宋体" w:hAnsi="宋体" w:eastAsia="宋体" w:cs="宋体"/>
          <w:spacing w:val="3"/>
          <w:sz w:val="27"/>
          <w:szCs w:val="27"/>
        </w:rPr>
        <w:t>检验方法的主要构成要素及其编排顺序一般如下：</w:t>
      </w:r>
    </w:p>
    <w:p w14:paraId="5CAE1AA8">
      <w:pPr>
        <w:spacing w:before="73" w:line="221" w:lineRule="auto"/>
        <w:ind w:left="560"/>
        <w:rPr>
          <w:rFonts w:ascii="宋体" w:hAnsi="宋体" w:eastAsia="宋体" w:cs="宋体"/>
          <w:sz w:val="27"/>
          <w:szCs w:val="27"/>
        </w:rPr>
      </w:pPr>
      <w:r>
        <w:rPr>
          <w:rFonts w:ascii="Times New Roman" w:hAnsi="Times New Roman" w:eastAsia="Times New Roman" w:cs="Times New Roman"/>
          <w:spacing w:val="-1"/>
          <w:sz w:val="27"/>
          <w:szCs w:val="27"/>
        </w:rPr>
        <w:t>a</w:t>
      </w:r>
      <w:r>
        <w:rPr>
          <w:rFonts w:ascii="宋体" w:hAnsi="宋体" w:eastAsia="宋体" w:cs="宋体"/>
          <w:spacing w:val="-1"/>
          <w:sz w:val="27"/>
          <w:szCs w:val="27"/>
        </w:rPr>
        <w:t>)</w:t>
      </w:r>
      <w:r>
        <w:rPr>
          <w:rFonts w:ascii="宋体" w:hAnsi="宋体" w:eastAsia="宋体" w:cs="宋体"/>
          <w:spacing w:val="-59"/>
          <w:sz w:val="27"/>
          <w:szCs w:val="27"/>
        </w:rPr>
        <w:t xml:space="preserve"> </w:t>
      </w:r>
      <w:r>
        <w:rPr>
          <w:rFonts w:ascii="宋体" w:hAnsi="宋体" w:eastAsia="宋体" w:cs="宋体"/>
          <w:spacing w:val="-1"/>
          <w:sz w:val="27"/>
          <w:szCs w:val="27"/>
        </w:rPr>
        <w:t>原理；</w:t>
      </w:r>
    </w:p>
    <w:p w14:paraId="5940D6C9">
      <w:pPr>
        <w:spacing w:before="53"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54"/>
          <w:sz w:val="27"/>
          <w:szCs w:val="27"/>
        </w:rPr>
        <w:t xml:space="preserve"> </w:t>
      </w:r>
      <w:r>
        <w:rPr>
          <w:rFonts w:ascii="宋体" w:hAnsi="宋体" w:eastAsia="宋体" w:cs="宋体"/>
          <w:spacing w:val="-3"/>
          <w:sz w:val="27"/>
          <w:szCs w:val="27"/>
        </w:rPr>
        <w:t>检验用设备、仪器仪表或模型及其要求；</w:t>
      </w:r>
    </w:p>
    <w:p w14:paraId="3503687E">
      <w:pPr>
        <w:spacing w:before="100"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c)</w:t>
      </w:r>
      <w:r>
        <w:rPr>
          <w:rFonts w:ascii="Times New Roman" w:hAnsi="Times New Roman" w:eastAsia="Times New Roman" w:cs="Times New Roman"/>
          <w:spacing w:val="70"/>
          <w:sz w:val="27"/>
          <w:szCs w:val="27"/>
        </w:rPr>
        <w:t xml:space="preserve"> </w:t>
      </w:r>
      <w:r>
        <w:rPr>
          <w:rFonts w:ascii="宋体" w:hAnsi="宋体" w:eastAsia="宋体" w:cs="宋体"/>
          <w:spacing w:val="-6"/>
          <w:sz w:val="27"/>
          <w:szCs w:val="27"/>
        </w:rPr>
        <w:t>被试实体状态，包括技术状态、配套要求及安装调试要求；</w:t>
      </w:r>
    </w:p>
    <w:p w14:paraId="5A8DD403">
      <w:pPr>
        <w:spacing w:before="90" w:line="212" w:lineRule="auto"/>
        <w:ind w:left="560"/>
        <w:rPr>
          <w:rFonts w:ascii="宋体" w:hAnsi="宋体" w:eastAsia="宋体" w:cs="宋体"/>
          <w:sz w:val="27"/>
          <w:szCs w:val="27"/>
        </w:rPr>
      </w:pPr>
      <w:r>
        <w:rPr>
          <w:rFonts w:ascii="Times New Roman" w:hAnsi="Times New Roman" w:eastAsia="Times New Roman" w:cs="Times New Roman"/>
          <w:sz w:val="27"/>
          <w:szCs w:val="27"/>
        </w:rPr>
        <w:t xml:space="preserve">d)  </w:t>
      </w:r>
      <w:r>
        <w:rPr>
          <w:rFonts w:ascii="宋体" w:hAnsi="宋体" w:eastAsia="宋体" w:cs="宋体"/>
          <w:sz w:val="27"/>
          <w:szCs w:val="27"/>
        </w:rPr>
        <w:t>检验程序；</w:t>
      </w:r>
    </w:p>
    <w:p w14:paraId="44717E68">
      <w:pPr>
        <w:spacing w:before="130" w:line="219" w:lineRule="auto"/>
        <w:ind w:left="560"/>
        <w:rPr>
          <w:rFonts w:ascii="宋体" w:hAnsi="宋体" w:eastAsia="宋体" w:cs="宋体"/>
          <w:sz w:val="27"/>
          <w:szCs w:val="27"/>
        </w:rPr>
      </w:pPr>
      <w:r>
        <w:rPr>
          <w:rFonts w:ascii="Times New Roman" w:hAnsi="Times New Roman" w:eastAsia="Times New Roman" w:cs="Times New Roman"/>
          <w:spacing w:val="11"/>
          <w:sz w:val="27"/>
          <w:szCs w:val="27"/>
        </w:rPr>
        <w:t>e</w:t>
      </w:r>
      <w:r>
        <w:rPr>
          <w:rFonts w:ascii="宋体" w:hAnsi="宋体" w:eastAsia="宋体" w:cs="宋体"/>
          <w:spacing w:val="11"/>
          <w:sz w:val="27"/>
          <w:szCs w:val="27"/>
        </w:rPr>
        <w:t>)故障处理；</w:t>
      </w:r>
    </w:p>
    <w:p w14:paraId="50B13D37">
      <w:pPr>
        <w:spacing w:before="69" w:line="212" w:lineRule="auto"/>
        <w:ind w:left="560"/>
        <w:rPr>
          <w:rFonts w:ascii="宋体" w:hAnsi="宋体" w:eastAsia="宋体" w:cs="宋体"/>
          <w:sz w:val="27"/>
          <w:szCs w:val="27"/>
        </w:rPr>
      </w:pPr>
      <w:r>
        <w:rPr>
          <w:rFonts w:ascii="Times New Roman" w:hAnsi="Times New Roman" w:eastAsia="Times New Roman" w:cs="Times New Roman"/>
          <w:spacing w:val="-9"/>
          <w:sz w:val="27"/>
          <w:szCs w:val="27"/>
        </w:rPr>
        <w:t>f)</w:t>
      </w:r>
      <w:r>
        <w:rPr>
          <w:rFonts w:ascii="Times New Roman" w:hAnsi="Times New Roman" w:eastAsia="Times New Roman" w:cs="Times New Roman"/>
          <w:spacing w:val="54"/>
          <w:w w:val="101"/>
          <w:sz w:val="27"/>
          <w:szCs w:val="27"/>
        </w:rPr>
        <w:t xml:space="preserve"> </w:t>
      </w:r>
      <w:r>
        <w:rPr>
          <w:rFonts w:ascii="宋体" w:hAnsi="宋体" w:eastAsia="宋体" w:cs="宋体"/>
          <w:spacing w:val="-9"/>
          <w:sz w:val="27"/>
          <w:szCs w:val="27"/>
        </w:rPr>
        <w:t>结果的说明，包括计算方法、处理方法等；</w:t>
      </w:r>
    </w:p>
    <w:p w14:paraId="026CF1CE">
      <w:pPr>
        <w:spacing w:before="121" w:line="212" w:lineRule="auto"/>
        <w:ind w:left="560"/>
        <w:rPr>
          <w:rFonts w:ascii="宋体" w:hAnsi="宋体" w:eastAsia="宋体" w:cs="宋体"/>
          <w:sz w:val="25"/>
          <w:szCs w:val="25"/>
        </w:rPr>
      </w:pPr>
      <w:r>
        <w:rPr>
          <w:rFonts w:ascii="Times New Roman" w:hAnsi="Times New Roman" w:eastAsia="Times New Roman" w:cs="Times New Roman"/>
          <w:spacing w:val="-5"/>
          <w:sz w:val="25"/>
          <w:szCs w:val="25"/>
        </w:rPr>
        <w:t>g</w:t>
      </w:r>
      <w:r>
        <w:rPr>
          <w:rFonts w:ascii="Times New Roman" w:hAnsi="Times New Roman" w:eastAsia="Times New Roman" w:cs="Times New Roman"/>
          <w:spacing w:val="-19"/>
          <w:sz w:val="25"/>
          <w:szCs w:val="25"/>
        </w:rPr>
        <w:t xml:space="preserve"> </w:t>
      </w:r>
      <w:r>
        <w:rPr>
          <w:rFonts w:ascii="宋体" w:hAnsi="宋体" w:eastAsia="宋体" w:cs="宋体"/>
          <w:spacing w:val="-5"/>
          <w:sz w:val="25"/>
          <w:szCs w:val="25"/>
        </w:rPr>
        <w:t>)</w:t>
      </w:r>
      <w:r>
        <w:rPr>
          <w:rFonts w:ascii="宋体" w:hAnsi="宋体" w:eastAsia="宋体" w:cs="宋体"/>
          <w:spacing w:val="-39"/>
          <w:sz w:val="25"/>
          <w:szCs w:val="25"/>
        </w:rPr>
        <w:t xml:space="preserve"> </w:t>
      </w:r>
      <w:r>
        <w:rPr>
          <w:rFonts w:ascii="宋体" w:hAnsi="宋体" w:eastAsia="宋体" w:cs="宋体"/>
          <w:spacing w:val="-5"/>
          <w:sz w:val="25"/>
          <w:szCs w:val="25"/>
        </w:rPr>
        <w:t>报</w:t>
      </w:r>
      <w:r>
        <w:rPr>
          <w:rFonts w:ascii="宋体" w:hAnsi="宋体" w:eastAsia="宋体" w:cs="宋体"/>
          <w:spacing w:val="-50"/>
          <w:sz w:val="25"/>
          <w:szCs w:val="25"/>
        </w:rPr>
        <w:t xml:space="preserve"> </w:t>
      </w:r>
      <w:r>
        <w:rPr>
          <w:rFonts w:ascii="宋体" w:hAnsi="宋体" w:eastAsia="宋体" w:cs="宋体"/>
          <w:spacing w:val="-5"/>
          <w:sz w:val="25"/>
          <w:szCs w:val="25"/>
        </w:rPr>
        <w:t>告</w:t>
      </w:r>
      <w:r>
        <w:rPr>
          <w:rFonts w:ascii="宋体" w:hAnsi="宋体" w:eastAsia="宋体" w:cs="宋体"/>
          <w:spacing w:val="-66"/>
          <w:sz w:val="25"/>
          <w:szCs w:val="25"/>
        </w:rPr>
        <w:t xml:space="preserve"> </w:t>
      </w:r>
      <w:r>
        <w:rPr>
          <w:rFonts w:ascii="宋体" w:hAnsi="宋体" w:eastAsia="宋体" w:cs="宋体"/>
          <w:spacing w:val="-5"/>
          <w:sz w:val="25"/>
          <w:szCs w:val="25"/>
        </w:rPr>
        <w:t>，如试验报告等。</w:t>
      </w:r>
    </w:p>
    <w:p w14:paraId="7F816575">
      <w:pPr>
        <w:pStyle w:val="2"/>
        <w:spacing w:before="72" w:line="368" w:lineRule="exact"/>
        <w:rPr>
          <w:rFonts w:ascii="黑体" w:hAnsi="黑体" w:eastAsia="黑体" w:cs="黑体"/>
          <w:sz w:val="27"/>
          <w:szCs w:val="27"/>
        </w:rPr>
      </w:pPr>
      <w:r>
        <w:rPr>
          <w:spacing w:val="-8"/>
          <w:position w:val="1"/>
          <w:sz w:val="27"/>
          <w:szCs w:val="27"/>
        </w:rPr>
        <w:t xml:space="preserve">5    </w:t>
      </w:r>
      <w:r>
        <w:rPr>
          <w:rFonts w:ascii="黑体" w:hAnsi="黑体" w:eastAsia="黑体" w:cs="黑体"/>
          <w:spacing w:val="-8"/>
          <w:position w:val="1"/>
          <w:sz w:val="27"/>
          <w:szCs w:val="27"/>
        </w:rPr>
        <w:t>包装、运输与贮存</w:t>
      </w:r>
    </w:p>
    <w:p w14:paraId="368BEA0B">
      <w:pPr>
        <w:spacing w:before="100" w:line="275" w:lineRule="auto"/>
        <w:ind w:right="124" w:firstLine="560"/>
        <w:jc w:val="both"/>
        <w:rPr>
          <w:rFonts w:ascii="宋体" w:hAnsi="宋体" w:eastAsia="宋体" w:cs="宋体"/>
          <w:sz w:val="27"/>
          <w:szCs w:val="27"/>
        </w:rPr>
      </w:pPr>
      <w:r>
        <w:rPr>
          <w:rFonts w:ascii="宋体" w:hAnsi="宋体" w:eastAsia="宋体" w:cs="宋体"/>
          <w:spacing w:val="-14"/>
          <w:sz w:val="27"/>
          <w:szCs w:val="27"/>
        </w:rPr>
        <w:t>专用规范的第5章“包装、运输与贮存”为</w:t>
      </w:r>
      <w:r>
        <w:rPr>
          <w:rFonts w:ascii="宋体" w:hAnsi="宋体" w:eastAsia="宋体" w:cs="宋体"/>
          <w:spacing w:val="-15"/>
          <w:sz w:val="27"/>
          <w:szCs w:val="27"/>
        </w:rPr>
        <w:t>可选要素，规定防护包装、装箱、运</w:t>
      </w:r>
      <w:r>
        <w:rPr>
          <w:rFonts w:ascii="宋体" w:hAnsi="宋体" w:eastAsia="宋体" w:cs="宋体"/>
          <w:sz w:val="27"/>
          <w:szCs w:val="27"/>
        </w:rPr>
        <w:t xml:space="preserve"> </w:t>
      </w:r>
      <w:r>
        <w:rPr>
          <w:rFonts w:ascii="宋体" w:hAnsi="宋体" w:eastAsia="宋体" w:cs="宋体"/>
          <w:spacing w:val="-2"/>
          <w:sz w:val="27"/>
          <w:szCs w:val="27"/>
        </w:rPr>
        <w:t>输、贮存和标志要求。若有适用的现行标准，则应直接</w:t>
      </w:r>
      <w:r>
        <w:rPr>
          <w:rFonts w:ascii="宋体" w:hAnsi="宋体" w:eastAsia="宋体" w:cs="宋体"/>
          <w:spacing w:val="-3"/>
          <w:sz w:val="27"/>
          <w:szCs w:val="27"/>
        </w:rPr>
        <w:t>引用或剪裁使用。若无标</w:t>
      </w:r>
      <w:r>
        <w:rPr>
          <w:rFonts w:ascii="宋体" w:hAnsi="宋体" w:eastAsia="宋体" w:cs="宋体"/>
          <w:sz w:val="27"/>
          <w:szCs w:val="27"/>
        </w:rPr>
        <w:t xml:space="preserve"> </w:t>
      </w:r>
      <w:r>
        <w:rPr>
          <w:rFonts w:ascii="宋体" w:hAnsi="宋体" w:eastAsia="宋体" w:cs="宋体"/>
          <w:spacing w:val="-3"/>
          <w:sz w:val="27"/>
          <w:szCs w:val="27"/>
        </w:rPr>
        <w:t>准可供引用，则应根据需要规定下述要求。</w:t>
      </w:r>
    </w:p>
    <w:p w14:paraId="7F761F83">
      <w:pPr>
        <w:spacing w:before="4" w:line="221" w:lineRule="auto"/>
        <w:rPr>
          <w:rFonts w:ascii="黑体" w:hAnsi="黑体" w:eastAsia="黑体" w:cs="黑体"/>
          <w:sz w:val="27"/>
          <w:szCs w:val="27"/>
        </w:rPr>
      </w:pPr>
      <w:r>
        <w:rPr>
          <w:rFonts w:ascii="黑体" w:hAnsi="黑体" w:eastAsia="黑体" w:cs="黑体"/>
          <w:spacing w:val="-1"/>
          <w:sz w:val="27"/>
          <w:szCs w:val="27"/>
        </w:rPr>
        <w:t>5.1</w:t>
      </w:r>
      <w:r>
        <w:rPr>
          <w:rFonts w:ascii="黑体" w:hAnsi="黑体" w:eastAsia="黑体" w:cs="黑体"/>
          <w:spacing w:val="39"/>
          <w:sz w:val="27"/>
          <w:szCs w:val="27"/>
        </w:rPr>
        <w:t xml:space="preserve">  </w:t>
      </w:r>
      <w:r>
        <w:rPr>
          <w:rFonts w:ascii="黑体" w:hAnsi="黑体" w:eastAsia="黑体" w:cs="黑体"/>
          <w:spacing w:val="-1"/>
          <w:sz w:val="27"/>
          <w:szCs w:val="27"/>
        </w:rPr>
        <w:t>防护包装</w:t>
      </w:r>
    </w:p>
    <w:p w14:paraId="4F71206B">
      <w:pPr>
        <w:spacing w:before="87" w:line="283" w:lineRule="auto"/>
        <w:ind w:right="123" w:firstLine="560"/>
        <w:rPr>
          <w:rFonts w:ascii="宋体" w:hAnsi="宋体" w:eastAsia="宋体" w:cs="宋体"/>
          <w:sz w:val="27"/>
          <w:szCs w:val="27"/>
        </w:rPr>
      </w:pPr>
      <w:r>
        <w:rPr>
          <w:rFonts w:ascii="宋体" w:hAnsi="宋体" w:eastAsia="宋体" w:cs="宋体"/>
          <w:spacing w:val="-18"/>
          <w:sz w:val="27"/>
          <w:szCs w:val="27"/>
        </w:rPr>
        <w:t>规定防护包装要求，包括清洗、干燥、涂覆防护剂、裹包</w:t>
      </w:r>
      <w:r>
        <w:rPr>
          <w:rFonts w:ascii="宋体" w:hAnsi="宋体" w:eastAsia="宋体" w:cs="宋体"/>
          <w:spacing w:val="-19"/>
          <w:sz w:val="27"/>
          <w:szCs w:val="27"/>
        </w:rPr>
        <w:t>、单元包装、中间包装</w:t>
      </w:r>
      <w:r>
        <w:rPr>
          <w:rFonts w:ascii="宋体" w:hAnsi="宋体" w:eastAsia="宋体" w:cs="宋体"/>
          <w:sz w:val="27"/>
          <w:szCs w:val="27"/>
        </w:rPr>
        <w:t xml:space="preserve"> </w:t>
      </w:r>
      <w:r>
        <w:rPr>
          <w:rFonts w:ascii="宋体" w:hAnsi="宋体" w:eastAsia="宋体" w:cs="宋体"/>
          <w:spacing w:val="-5"/>
          <w:sz w:val="27"/>
          <w:szCs w:val="27"/>
        </w:rPr>
        <w:t>等要求。</w:t>
      </w:r>
    </w:p>
    <w:p w14:paraId="6730094A">
      <w:pPr>
        <w:spacing w:before="5" w:line="223" w:lineRule="auto"/>
        <w:rPr>
          <w:rFonts w:ascii="黑体" w:hAnsi="黑体" w:eastAsia="黑体" w:cs="黑体"/>
          <w:sz w:val="27"/>
          <w:szCs w:val="27"/>
        </w:rPr>
      </w:pPr>
      <w:r>
        <w:rPr>
          <w:rFonts w:ascii="黑体" w:hAnsi="黑体" w:eastAsia="黑体" w:cs="黑体"/>
          <w:spacing w:val="3"/>
          <w:sz w:val="27"/>
          <w:szCs w:val="27"/>
        </w:rPr>
        <w:t>5.2</w:t>
      </w:r>
      <w:r>
        <w:rPr>
          <w:rFonts w:ascii="黑体" w:hAnsi="黑体" w:eastAsia="黑体" w:cs="黑体"/>
          <w:spacing w:val="21"/>
          <w:sz w:val="27"/>
          <w:szCs w:val="27"/>
        </w:rPr>
        <w:t xml:space="preserve">  </w:t>
      </w:r>
      <w:r>
        <w:rPr>
          <w:rFonts w:ascii="黑体" w:hAnsi="黑体" w:eastAsia="黑体" w:cs="黑体"/>
          <w:spacing w:val="3"/>
          <w:sz w:val="27"/>
          <w:szCs w:val="27"/>
        </w:rPr>
        <w:t>装箱</w:t>
      </w:r>
    </w:p>
    <w:p w14:paraId="37B98009">
      <w:pPr>
        <w:spacing w:before="73" w:line="276" w:lineRule="auto"/>
        <w:ind w:right="122" w:firstLine="560"/>
        <w:rPr>
          <w:rFonts w:ascii="宋体" w:hAnsi="宋体" w:eastAsia="宋体" w:cs="宋体"/>
          <w:sz w:val="27"/>
          <w:szCs w:val="27"/>
        </w:rPr>
      </w:pPr>
      <w:r>
        <w:rPr>
          <w:rFonts w:ascii="宋体" w:hAnsi="宋体" w:eastAsia="宋体" w:cs="宋体"/>
          <w:spacing w:val="-11"/>
          <w:sz w:val="27"/>
          <w:szCs w:val="27"/>
        </w:rPr>
        <w:t>规定装箱要求，包括包装箱，箱内内装物的缓冲、支撑、固定、防水，封箱等</w:t>
      </w:r>
      <w:r>
        <w:rPr>
          <w:rFonts w:ascii="宋体" w:hAnsi="宋体" w:eastAsia="宋体" w:cs="宋体"/>
          <w:spacing w:val="5"/>
          <w:sz w:val="27"/>
          <w:szCs w:val="27"/>
        </w:rPr>
        <w:t xml:space="preserve"> </w:t>
      </w:r>
      <w:r>
        <w:rPr>
          <w:rFonts w:ascii="宋体" w:hAnsi="宋体" w:eastAsia="宋体" w:cs="宋体"/>
          <w:spacing w:val="1"/>
          <w:sz w:val="27"/>
          <w:szCs w:val="27"/>
        </w:rPr>
        <w:t>要求。</w:t>
      </w:r>
    </w:p>
    <w:p w14:paraId="3EC1A6CF">
      <w:pPr>
        <w:spacing w:before="2" w:line="220" w:lineRule="auto"/>
        <w:rPr>
          <w:rFonts w:ascii="黑体" w:hAnsi="黑体" w:eastAsia="黑体" w:cs="黑体"/>
          <w:sz w:val="27"/>
          <w:szCs w:val="27"/>
        </w:rPr>
      </w:pPr>
      <w:r>
        <w:rPr>
          <w:rFonts w:ascii="黑体" w:hAnsi="黑体" w:eastAsia="黑体" w:cs="黑体"/>
          <w:spacing w:val="3"/>
          <w:sz w:val="27"/>
          <w:szCs w:val="27"/>
        </w:rPr>
        <w:t>5.3</w:t>
      </w:r>
      <w:r>
        <w:rPr>
          <w:rFonts w:ascii="黑体" w:hAnsi="黑体" w:eastAsia="黑体" w:cs="黑体"/>
          <w:spacing w:val="37"/>
          <w:sz w:val="27"/>
          <w:szCs w:val="27"/>
        </w:rPr>
        <w:t xml:space="preserve">  </w:t>
      </w:r>
      <w:r>
        <w:rPr>
          <w:rFonts w:ascii="黑体" w:hAnsi="黑体" w:eastAsia="黑体" w:cs="黑体"/>
          <w:spacing w:val="3"/>
          <w:sz w:val="27"/>
          <w:szCs w:val="27"/>
        </w:rPr>
        <w:t>运输和贮存</w:t>
      </w:r>
    </w:p>
    <w:p w14:paraId="76FF9993">
      <w:pPr>
        <w:spacing w:before="129" w:line="219" w:lineRule="auto"/>
        <w:ind w:left="560"/>
        <w:rPr>
          <w:rFonts w:ascii="宋体" w:hAnsi="宋体" w:eastAsia="宋体" w:cs="宋体"/>
          <w:sz w:val="27"/>
          <w:szCs w:val="27"/>
        </w:rPr>
      </w:pPr>
      <w:r>
        <w:rPr>
          <w:rFonts w:ascii="宋体" w:hAnsi="宋体" w:eastAsia="宋体" w:cs="宋体"/>
          <w:spacing w:val="-9"/>
          <w:sz w:val="27"/>
          <w:szCs w:val="27"/>
        </w:rPr>
        <w:t>规定运输和贮存要求，包括运输和贮存方式、条件，装卸注意事项等。</w:t>
      </w:r>
    </w:p>
    <w:p w14:paraId="70F1D9F6">
      <w:pPr>
        <w:spacing w:line="219" w:lineRule="auto"/>
        <w:rPr>
          <w:rFonts w:ascii="宋体" w:hAnsi="宋体" w:eastAsia="宋体" w:cs="宋体"/>
          <w:sz w:val="27"/>
          <w:szCs w:val="27"/>
        </w:rPr>
        <w:sectPr>
          <w:footerReference r:id="rId110" w:type="default"/>
          <w:pgSz w:w="11910" w:h="17130"/>
          <w:pgMar w:top="400" w:right="1404" w:bottom="1613" w:left="1009" w:header="0" w:footer="1415" w:gutter="0"/>
          <w:cols w:space="720" w:num="1"/>
        </w:sectPr>
      </w:pPr>
    </w:p>
    <w:p w14:paraId="57C5AC48">
      <w:pPr>
        <w:pStyle w:val="2"/>
        <w:spacing w:line="260" w:lineRule="auto"/>
      </w:pPr>
    </w:p>
    <w:p w14:paraId="3B1B7886">
      <w:pPr>
        <w:pStyle w:val="2"/>
        <w:spacing w:line="260" w:lineRule="auto"/>
      </w:pPr>
    </w:p>
    <w:p w14:paraId="2CB2DE11">
      <w:pPr>
        <w:pStyle w:val="2"/>
        <w:spacing w:line="261" w:lineRule="auto"/>
      </w:pPr>
    </w:p>
    <w:p w14:paraId="4416283E">
      <w:pPr>
        <w:pStyle w:val="2"/>
        <w:spacing w:line="261" w:lineRule="auto"/>
      </w:pPr>
    </w:p>
    <w:p w14:paraId="76D1B6C4">
      <w:pPr>
        <w:spacing w:before="81" w:line="224" w:lineRule="auto"/>
        <w:rPr>
          <w:rFonts w:ascii="黑体" w:hAnsi="黑体" w:eastAsia="黑体" w:cs="黑体"/>
          <w:sz w:val="25"/>
          <w:szCs w:val="25"/>
        </w:rPr>
      </w:pPr>
      <w:bookmarkStart w:id="62" w:name="bookmark337"/>
      <w:bookmarkEnd w:id="62"/>
      <w:r>
        <w:rPr>
          <w:rFonts w:ascii="黑体" w:hAnsi="黑体" w:eastAsia="黑体" w:cs="黑体"/>
          <w:spacing w:val="-3"/>
          <w:sz w:val="25"/>
          <w:szCs w:val="25"/>
        </w:rPr>
        <w:t>5.4</w:t>
      </w:r>
      <w:r>
        <w:rPr>
          <w:rFonts w:ascii="黑体" w:hAnsi="黑体" w:eastAsia="黑体" w:cs="黑体"/>
          <w:spacing w:val="41"/>
          <w:sz w:val="25"/>
          <w:szCs w:val="25"/>
        </w:rPr>
        <w:t xml:space="preserve">  </w:t>
      </w:r>
      <w:r>
        <w:rPr>
          <w:rFonts w:ascii="黑体" w:hAnsi="黑体" w:eastAsia="黑体" w:cs="黑体"/>
          <w:b/>
          <w:bCs/>
          <w:spacing w:val="-3"/>
          <w:sz w:val="25"/>
          <w:szCs w:val="25"/>
        </w:rPr>
        <w:t>标</w:t>
      </w:r>
      <w:r>
        <w:rPr>
          <w:rFonts w:ascii="黑体" w:hAnsi="黑体" w:eastAsia="黑体" w:cs="黑体"/>
          <w:spacing w:val="-57"/>
          <w:sz w:val="25"/>
          <w:szCs w:val="25"/>
        </w:rPr>
        <w:t xml:space="preserve"> </w:t>
      </w:r>
      <w:r>
        <w:rPr>
          <w:rFonts w:ascii="黑体" w:hAnsi="黑体" w:eastAsia="黑体" w:cs="黑体"/>
          <w:b/>
          <w:bCs/>
          <w:spacing w:val="-3"/>
          <w:sz w:val="25"/>
          <w:szCs w:val="25"/>
        </w:rPr>
        <w:t>志</w:t>
      </w:r>
    </w:p>
    <w:p w14:paraId="66F8F902">
      <w:pPr>
        <w:spacing w:before="57" w:line="288" w:lineRule="auto"/>
        <w:ind w:right="24" w:firstLine="560"/>
        <w:jc w:val="both"/>
        <w:rPr>
          <w:rFonts w:ascii="宋体" w:hAnsi="宋体" w:eastAsia="宋体" w:cs="宋体"/>
          <w:sz w:val="27"/>
          <w:szCs w:val="27"/>
        </w:rPr>
      </w:pPr>
      <w:r>
        <w:rPr>
          <w:rFonts w:ascii="宋体" w:hAnsi="宋体" w:eastAsia="宋体" w:cs="宋体"/>
          <w:spacing w:val="-11"/>
          <w:sz w:val="27"/>
          <w:szCs w:val="27"/>
        </w:rPr>
        <w:t>规定标志要求，包括防护标志、识别标志、收发货标志、储运</w:t>
      </w:r>
      <w:r>
        <w:rPr>
          <w:rFonts w:ascii="宋体" w:hAnsi="宋体" w:eastAsia="宋体" w:cs="宋体"/>
          <w:spacing w:val="-12"/>
          <w:sz w:val="27"/>
          <w:szCs w:val="27"/>
        </w:rPr>
        <w:t>标志、有效期标</w:t>
      </w:r>
      <w:r>
        <w:rPr>
          <w:rFonts w:ascii="宋体" w:hAnsi="宋体" w:eastAsia="宋体" w:cs="宋体"/>
          <w:sz w:val="27"/>
          <w:szCs w:val="27"/>
        </w:rPr>
        <w:t xml:space="preserve"> </w:t>
      </w:r>
      <w:r>
        <w:rPr>
          <w:rFonts w:ascii="宋体" w:hAnsi="宋体" w:eastAsia="宋体" w:cs="宋体"/>
          <w:spacing w:val="-3"/>
          <w:sz w:val="27"/>
          <w:szCs w:val="27"/>
        </w:rPr>
        <w:t>志和其他标志，以及标志的内容、位置等。有关危险品的标志要求应符合国家有</w:t>
      </w:r>
      <w:r>
        <w:rPr>
          <w:rFonts w:ascii="宋体" w:hAnsi="宋体" w:eastAsia="宋体" w:cs="宋体"/>
          <w:spacing w:val="17"/>
          <w:sz w:val="27"/>
          <w:szCs w:val="27"/>
        </w:rPr>
        <w:t xml:space="preserve"> </w:t>
      </w:r>
      <w:r>
        <w:rPr>
          <w:rFonts w:ascii="宋体" w:hAnsi="宋体" w:eastAsia="宋体" w:cs="宋体"/>
          <w:spacing w:val="2"/>
          <w:sz w:val="27"/>
          <w:szCs w:val="27"/>
        </w:rPr>
        <w:t>关标准或条例的规定。</w:t>
      </w:r>
    </w:p>
    <w:p w14:paraId="29AD69A6">
      <w:pPr>
        <w:spacing w:before="1" w:line="220" w:lineRule="auto"/>
        <w:rPr>
          <w:rFonts w:ascii="黑体" w:hAnsi="黑体" w:eastAsia="黑体" w:cs="黑体"/>
          <w:sz w:val="24"/>
          <w:szCs w:val="24"/>
        </w:rPr>
      </w:pPr>
      <w:r>
        <w:rPr>
          <w:rFonts w:ascii="黑体" w:hAnsi="黑体" w:eastAsia="黑体" w:cs="黑体"/>
          <w:spacing w:val="23"/>
          <w:sz w:val="24"/>
          <w:szCs w:val="24"/>
        </w:rPr>
        <w:t>6</w:t>
      </w:r>
      <w:r>
        <w:rPr>
          <w:rFonts w:ascii="黑体" w:hAnsi="黑体" w:eastAsia="黑体" w:cs="黑体"/>
          <w:spacing w:val="52"/>
          <w:sz w:val="24"/>
          <w:szCs w:val="24"/>
        </w:rPr>
        <w:t xml:space="preserve">  </w:t>
      </w:r>
      <w:r>
        <w:rPr>
          <w:rFonts w:ascii="黑体" w:hAnsi="黑体" w:eastAsia="黑体" w:cs="黑体"/>
          <w:b/>
          <w:bCs/>
          <w:spacing w:val="23"/>
          <w:sz w:val="24"/>
          <w:szCs w:val="24"/>
        </w:rPr>
        <w:t>说明事项</w:t>
      </w:r>
    </w:p>
    <w:p w14:paraId="2A88D128">
      <w:pPr>
        <w:spacing w:before="77" w:line="296" w:lineRule="auto"/>
        <w:ind w:right="27" w:firstLine="560"/>
        <w:rPr>
          <w:rFonts w:ascii="宋体" w:hAnsi="宋体" w:eastAsia="宋体" w:cs="宋体"/>
          <w:sz w:val="27"/>
          <w:szCs w:val="27"/>
        </w:rPr>
      </w:pPr>
      <w:r>
        <w:rPr>
          <w:rFonts w:ascii="宋体" w:hAnsi="宋体" w:eastAsia="宋体" w:cs="宋体"/>
          <w:spacing w:val="-7"/>
          <w:sz w:val="27"/>
          <w:szCs w:val="27"/>
        </w:rPr>
        <w:t>专用规范的第6章“说明事项”为可选要素，不应规定要求</w:t>
      </w:r>
      <w:r>
        <w:rPr>
          <w:rFonts w:ascii="宋体" w:hAnsi="宋体" w:eastAsia="宋体" w:cs="宋体"/>
          <w:spacing w:val="-8"/>
          <w:sz w:val="27"/>
          <w:szCs w:val="27"/>
        </w:rPr>
        <w:t>，只应提供说明性</w:t>
      </w:r>
      <w:r>
        <w:rPr>
          <w:rFonts w:ascii="宋体" w:hAnsi="宋体" w:eastAsia="宋体" w:cs="宋体"/>
          <w:sz w:val="27"/>
          <w:szCs w:val="27"/>
        </w:rPr>
        <w:t xml:space="preserve"> </w:t>
      </w:r>
      <w:r>
        <w:rPr>
          <w:rFonts w:ascii="宋体" w:hAnsi="宋体" w:eastAsia="宋体" w:cs="宋体"/>
          <w:spacing w:val="-5"/>
          <w:sz w:val="27"/>
          <w:szCs w:val="27"/>
        </w:rPr>
        <w:t>信息，其构成及编排顺序说明如下。</w:t>
      </w:r>
    </w:p>
    <w:p w14:paraId="53799232">
      <w:pPr>
        <w:spacing w:line="221" w:lineRule="auto"/>
        <w:rPr>
          <w:rFonts w:ascii="黑体" w:hAnsi="黑体" w:eastAsia="黑体" w:cs="黑体"/>
          <w:sz w:val="24"/>
          <w:szCs w:val="24"/>
        </w:rPr>
      </w:pPr>
      <w:r>
        <w:rPr>
          <w:rFonts w:ascii="黑体" w:hAnsi="黑体" w:eastAsia="黑体" w:cs="黑体"/>
          <w:spacing w:val="16"/>
          <w:sz w:val="24"/>
          <w:szCs w:val="24"/>
        </w:rPr>
        <w:t>6.1</w:t>
      </w:r>
      <w:r>
        <w:rPr>
          <w:rFonts w:ascii="黑体" w:hAnsi="黑体" w:eastAsia="黑体" w:cs="黑体"/>
          <w:spacing w:val="55"/>
          <w:sz w:val="24"/>
          <w:szCs w:val="24"/>
        </w:rPr>
        <w:t xml:space="preserve">  </w:t>
      </w:r>
      <w:r>
        <w:rPr>
          <w:rFonts w:ascii="黑体" w:hAnsi="黑体" w:eastAsia="黑体" w:cs="黑体"/>
          <w:b/>
          <w:bCs/>
          <w:spacing w:val="16"/>
          <w:sz w:val="24"/>
          <w:szCs w:val="24"/>
        </w:rPr>
        <w:t>预定用途</w:t>
      </w:r>
    </w:p>
    <w:p w14:paraId="553B6569">
      <w:pPr>
        <w:spacing w:before="97" w:line="272" w:lineRule="auto"/>
        <w:ind w:right="20" w:firstLine="560"/>
        <w:rPr>
          <w:rFonts w:ascii="宋体" w:hAnsi="宋体" w:eastAsia="宋体" w:cs="宋体"/>
          <w:sz w:val="27"/>
          <w:szCs w:val="27"/>
        </w:rPr>
      </w:pPr>
      <w:r>
        <w:rPr>
          <w:rFonts w:ascii="宋体" w:hAnsi="宋体" w:eastAsia="宋体" w:cs="宋体"/>
          <w:spacing w:val="5"/>
          <w:sz w:val="27"/>
          <w:szCs w:val="27"/>
        </w:rPr>
        <w:t>提供与订购对象用途有关的信息。如果不能适用于某些特定的场合，应作</w:t>
      </w:r>
      <w:r>
        <w:rPr>
          <w:rFonts w:ascii="宋体" w:hAnsi="宋体" w:eastAsia="宋体" w:cs="宋体"/>
          <w:spacing w:val="6"/>
          <w:sz w:val="27"/>
          <w:szCs w:val="27"/>
        </w:rPr>
        <w:t xml:space="preserve"> </w:t>
      </w:r>
      <w:r>
        <w:rPr>
          <w:rFonts w:ascii="宋体" w:hAnsi="宋体" w:eastAsia="宋体" w:cs="宋体"/>
          <w:spacing w:val="1"/>
          <w:sz w:val="27"/>
          <w:szCs w:val="27"/>
        </w:rPr>
        <w:t>相应说明。</w:t>
      </w:r>
    </w:p>
    <w:p w14:paraId="530506D1">
      <w:pPr>
        <w:pStyle w:val="2"/>
        <w:spacing w:before="1" w:line="220" w:lineRule="auto"/>
        <w:rPr>
          <w:rFonts w:ascii="黑体" w:hAnsi="黑体" w:eastAsia="黑体" w:cs="黑体"/>
          <w:sz w:val="27"/>
          <w:szCs w:val="27"/>
        </w:rPr>
      </w:pPr>
      <w:r>
        <w:rPr>
          <w:b/>
          <w:bCs/>
          <w:spacing w:val="-1"/>
          <w:sz w:val="27"/>
          <w:szCs w:val="27"/>
        </w:rPr>
        <w:t>6.2</w:t>
      </w:r>
      <w:r>
        <w:rPr>
          <w:b/>
          <w:bCs/>
          <w:spacing w:val="10"/>
          <w:sz w:val="27"/>
          <w:szCs w:val="27"/>
        </w:rPr>
        <w:t xml:space="preserve">    </w:t>
      </w:r>
      <w:r>
        <w:rPr>
          <w:rFonts w:ascii="黑体" w:hAnsi="黑体" w:eastAsia="黑体" w:cs="黑体"/>
          <w:b/>
          <w:bCs/>
          <w:spacing w:val="-1"/>
          <w:sz w:val="27"/>
          <w:szCs w:val="27"/>
        </w:rPr>
        <w:t>分类</w:t>
      </w:r>
    </w:p>
    <w:p w14:paraId="17763881">
      <w:pPr>
        <w:spacing w:before="110" w:line="274" w:lineRule="auto"/>
        <w:ind w:firstLine="560"/>
        <w:jc w:val="both"/>
        <w:rPr>
          <w:rFonts w:ascii="宋体" w:hAnsi="宋体" w:eastAsia="宋体" w:cs="宋体"/>
          <w:sz w:val="27"/>
          <w:szCs w:val="27"/>
        </w:rPr>
      </w:pPr>
      <w:r>
        <w:rPr>
          <w:rFonts w:ascii="宋体" w:hAnsi="宋体" w:eastAsia="宋体" w:cs="宋体"/>
          <w:spacing w:val="6"/>
          <w:sz w:val="27"/>
          <w:szCs w:val="27"/>
        </w:rPr>
        <w:t>提供与订购对象分类有关的信息。只有当规范的技术要求随订</w:t>
      </w:r>
      <w:r>
        <w:rPr>
          <w:rFonts w:ascii="宋体" w:hAnsi="宋体" w:eastAsia="宋体" w:cs="宋体"/>
          <w:spacing w:val="5"/>
          <w:sz w:val="27"/>
          <w:szCs w:val="27"/>
        </w:rPr>
        <w:t>购对象的型</w:t>
      </w:r>
      <w:r>
        <w:rPr>
          <w:rFonts w:ascii="宋体" w:hAnsi="宋体" w:eastAsia="宋体" w:cs="宋体"/>
          <w:sz w:val="27"/>
          <w:szCs w:val="27"/>
        </w:rPr>
        <w:t xml:space="preserve"> </w:t>
      </w:r>
      <w:r>
        <w:rPr>
          <w:rFonts w:ascii="宋体" w:hAnsi="宋体" w:eastAsia="宋体" w:cs="宋体"/>
          <w:spacing w:val="-10"/>
          <w:sz w:val="27"/>
          <w:szCs w:val="27"/>
        </w:rPr>
        <w:t>式、类别或等级的不同而不同时，才应设置“分类”。分类应简要说明依据和类别</w:t>
      </w:r>
      <w:r>
        <w:rPr>
          <w:rFonts w:ascii="宋体" w:hAnsi="宋体" w:eastAsia="宋体" w:cs="宋体"/>
          <w:spacing w:val="10"/>
          <w:sz w:val="27"/>
          <w:szCs w:val="27"/>
        </w:rPr>
        <w:t xml:space="preserve"> </w:t>
      </w:r>
      <w:r>
        <w:rPr>
          <w:rFonts w:ascii="宋体" w:hAnsi="宋体" w:eastAsia="宋体" w:cs="宋体"/>
          <w:spacing w:val="-2"/>
          <w:sz w:val="27"/>
          <w:szCs w:val="27"/>
        </w:rPr>
        <w:t>名称。</w:t>
      </w:r>
    </w:p>
    <w:p w14:paraId="05B58B12">
      <w:pPr>
        <w:spacing w:before="28" w:line="272" w:lineRule="auto"/>
        <w:ind w:right="12" w:firstLine="560"/>
        <w:jc w:val="both"/>
        <w:rPr>
          <w:rFonts w:ascii="宋体" w:hAnsi="宋体" w:eastAsia="宋体" w:cs="宋体"/>
          <w:sz w:val="27"/>
          <w:szCs w:val="27"/>
        </w:rPr>
      </w:pPr>
      <w:r>
        <w:rPr>
          <w:rFonts w:ascii="宋体" w:hAnsi="宋体" w:eastAsia="宋体" w:cs="宋体"/>
          <w:spacing w:val="-18"/>
          <w:sz w:val="27"/>
          <w:szCs w:val="27"/>
        </w:rPr>
        <w:t>分类一般采用型式、类别或等级来表示，例如颜色、形状、重量、</w:t>
      </w:r>
      <w:r>
        <w:rPr>
          <w:rFonts w:ascii="宋体" w:hAnsi="宋体" w:eastAsia="宋体" w:cs="宋体"/>
          <w:spacing w:val="-19"/>
          <w:sz w:val="27"/>
          <w:szCs w:val="27"/>
        </w:rPr>
        <w:t>装载平台、品</w:t>
      </w:r>
      <w:r>
        <w:rPr>
          <w:rFonts w:ascii="宋体" w:hAnsi="宋体" w:eastAsia="宋体" w:cs="宋体"/>
          <w:sz w:val="27"/>
          <w:szCs w:val="27"/>
        </w:rPr>
        <w:t xml:space="preserve"> </w:t>
      </w:r>
      <w:r>
        <w:rPr>
          <w:rFonts w:ascii="宋体" w:hAnsi="宋体" w:eastAsia="宋体" w:cs="宋体"/>
          <w:spacing w:val="-24"/>
          <w:sz w:val="27"/>
          <w:szCs w:val="27"/>
        </w:rPr>
        <w:t>种规格、动力供给形式、温度等级、条件、组分、封装形式、额定值、工作方式、绝缘</w:t>
      </w:r>
      <w:r>
        <w:rPr>
          <w:rFonts w:ascii="宋体" w:hAnsi="宋体" w:eastAsia="宋体" w:cs="宋体"/>
          <w:spacing w:val="11"/>
          <w:sz w:val="27"/>
          <w:szCs w:val="27"/>
        </w:rPr>
        <w:t xml:space="preserve"> </w:t>
      </w:r>
      <w:r>
        <w:rPr>
          <w:rFonts w:ascii="宋体" w:hAnsi="宋体" w:eastAsia="宋体" w:cs="宋体"/>
          <w:sz w:val="27"/>
          <w:szCs w:val="27"/>
        </w:rPr>
        <w:t>等级等。若规范包括多种等级的可靠性要求，则应注明其所包括的等级。</w:t>
      </w:r>
    </w:p>
    <w:p w14:paraId="65FCBAAC">
      <w:pPr>
        <w:spacing w:before="28" w:line="272" w:lineRule="auto"/>
        <w:ind w:right="6" w:firstLine="560"/>
        <w:rPr>
          <w:rFonts w:ascii="宋体" w:hAnsi="宋体" w:eastAsia="宋体" w:cs="宋体"/>
          <w:sz w:val="27"/>
          <w:szCs w:val="27"/>
        </w:rPr>
      </w:pPr>
      <w:r>
        <w:rPr>
          <w:rFonts w:ascii="宋体" w:hAnsi="宋体" w:eastAsia="宋体" w:cs="宋体"/>
          <w:spacing w:val="-3"/>
          <w:sz w:val="27"/>
          <w:szCs w:val="27"/>
        </w:rPr>
        <w:t>分类在所有版次的文本中宜保持不变，必须改用新的分类时，应列出新、旧</w:t>
      </w:r>
      <w:r>
        <w:rPr>
          <w:rFonts w:ascii="宋体" w:hAnsi="宋体" w:eastAsia="宋体" w:cs="宋体"/>
          <w:spacing w:val="9"/>
          <w:sz w:val="27"/>
          <w:szCs w:val="27"/>
        </w:rPr>
        <w:t xml:space="preserve"> </w:t>
      </w:r>
      <w:r>
        <w:rPr>
          <w:rFonts w:ascii="宋体" w:hAnsi="宋体" w:eastAsia="宋体" w:cs="宋体"/>
          <w:spacing w:val="-3"/>
          <w:sz w:val="27"/>
          <w:szCs w:val="27"/>
        </w:rPr>
        <w:t>类别名称对照表，并说明代替关系和代替程度。</w:t>
      </w:r>
    </w:p>
    <w:p w14:paraId="1CEBC84D">
      <w:pPr>
        <w:spacing w:before="1" w:line="220" w:lineRule="auto"/>
        <w:rPr>
          <w:rFonts w:ascii="黑体" w:hAnsi="黑体" w:eastAsia="黑体" w:cs="黑体"/>
          <w:sz w:val="27"/>
          <w:szCs w:val="27"/>
        </w:rPr>
      </w:pPr>
      <w:r>
        <w:rPr>
          <w:rFonts w:ascii="黑体" w:hAnsi="黑体" w:eastAsia="黑体" w:cs="黑体"/>
          <w:spacing w:val="1"/>
          <w:sz w:val="27"/>
          <w:szCs w:val="27"/>
        </w:rPr>
        <w:t>6.3</w:t>
      </w:r>
      <w:r>
        <w:rPr>
          <w:rFonts w:ascii="黑体" w:hAnsi="黑体" w:eastAsia="黑体" w:cs="黑体"/>
          <w:spacing w:val="23"/>
          <w:sz w:val="27"/>
          <w:szCs w:val="27"/>
        </w:rPr>
        <w:t xml:space="preserve">  </w:t>
      </w:r>
      <w:r>
        <w:rPr>
          <w:rFonts w:ascii="黑体" w:hAnsi="黑体" w:eastAsia="黑体" w:cs="黑体"/>
          <w:b/>
          <w:bCs/>
          <w:spacing w:val="1"/>
          <w:sz w:val="27"/>
          <w:szCs w:val="27"/>
        </w:rPr>
        <w:t>订购文件中应明确的内容</w:t>
      </w:r>
    </w:p>
    <w:p w14:paraId="4093E5D5">
      <w:pPr>
        <w:spacing w:before="121" w:line="272" w:lineRule="auto"/>
        <w:ind w:right="22" w:firstLine="560"/>
        <w:jc w:val="both"/>
        <w:rPr>
          <w:rFonts w:ascii="宋体" w:hAnsi="宋体" w:eastAsia="宋体" w:cs="宋体"/>
          <w:sz w:val="27"/>
          <w:szCs w:val="27"/>
        </w:rPr>
      </w:pPr>
      <w:r>
        <w:rPr>
          <w:rFonts w:ascii="宋体" w:hAnsi="宋体" w:eastAsia="宋体" w:cs="宋体"/>
          <w:spacing w:val="-4"/>
          <w:sz w:val="27"/>
          <w:szCs w:val="27"/>
        </w:rPr>
        <w:t>当招标书、合同或其他订购文件中引用该规范时，该条应说明订购方在订购</w:t>
      </w:r>
      <w:r>
        <w:rPr>
          <w:rFonts w:ascii="宋体" w:hAnsi="宋体" w:eastAsia="宋体" w:cs="宋体"/>
          <w:spacing w:val="4"/>
          <w:sz w:val="27"/>
          <w:szCs w:val="27"/>
        </w:rPr>
        <w:t xml:space="preserve"> </w:t>
      </w:r>
      <w:r>
        <w:rPr>
          <w:rFonts w:ascii="宋体" w:hAnsi="宋体" w:eastAsia="宋体" w:cs="宋体"/>
          <w:spacing w:val="5"/>
          <w:sz w:val="27"/>
          <w:szCs w:val="27"/>
        </w:rPr>
        <w:t>文件中选定该规范中需要选择的项目。选定的项目宜按其在规范中出现的顺序</w:t>
      </w:r>
      <w:r>
        <w:rPr>
          <w:rFonts w:ascii="宋体" w:hAnsi="宋体" w:eastAsia="宋体" w:cs="宋体"/>
          <w:spacing w:val="14"/>
          <w:sz w:val="27"/>
          <w:szCs w:val="27"/>
        </w:rPr>
        <w:t xml:space="preserve"> </w:t>
      </w:r>
      <w:r>
        <w:rPr>
          <w:rFonts w:ascii="宋体" w:hAnsi="宋体" w:eastAsia="宋体" w:cs="宋体"/>
          <w:spacing w:val="-2"/>
          <w:sz w:val="27"/>
          <w:szCs w:val="27"/>
        </w:rPr>
        <w:t>列出。</w:t>
      </w:r>
    </w:p>
    <w:p w14:paraId="4BDBEA02">
      <w:pPr>
        <w:spacing w:before="1" w:line="220" w:lineRule="auto"/>
        <w:ind w:left="560"/>
        <w:rPr>
          <w:rFonts w:ascii="宋体" w:hAnsi="宋体" w:eastAsia="宋体" w:cs="宋体"/>
          <w:sz w:val="27"/>
          <w:szCs w:val="27"/>
        </w:rPr>
      </w:pPr>
      <w:r>
        <w:rPr>
          <w:rFonts w:ascii="宋体" w:hAnsi="宋体" w:eastAsia="宋体" w:cs="宋体"/>
          <w:spacing w:val="-4"/>
          <w:sz w:val="27"/>
          <w:szCs w:val="27"/>
        </w:rPr>
        <w:t>示例：</w:t>
      </w:r>
    </w:p>
    <w:p w14:paraId="349F3071">
      <w:pPr>
        <w:spacing w:before="94" w:line="222" w:lineRule="auto"/>
        <w:ind w:left="560"/>
        <w:rPr>
          <w:rFonts w:ascii="仿宋" w:hAnsi="仿宋" w:eastAsia="仿宋" w:cs="仿宋"/>
          <w:sz w:val="27"/>
          <w:szCs w:val="27"/>
        </w:rPr>
      </w:pPr>
      <w:r>
        <w:rPr>
          <w:rFonts w:ascii="Times New Roman" w:hAnsi="Times New Roman" w:eastAsia="Times New Roman" w:cs="Times New Roman"/>
          <w:spacing w:val="3"/>
          <w:sz w:val="27"/>
          <w:szCs w:val="27"/>
        </w:rPr>
        <w:t xml:space="preserve">6.3   </w:t>
      </w:r>
      <w:r>
        <w:rPr>
          <w:rFonts w:ascii="仿宋" w:hAnsi="仿宋" w:eastAsia="仿宋" w:cs="仿宋"/>
          <w:spacing w:val="3"/>
          <w:sz w:val="27"/>
          <w:szCs w:val="27"/>
        </w:rPr>
        <w:t>订购文件中应明确的内容</w:t>
      </w:r>
    </w:p>
    <w:p w14:paraId="57E89D21">
      <w:pPr>
        <w:spacing w:before="85" w:line="222" w:lineRule="auto"/>
        <w:ind w:left="560"/>
        <w:rPr>
          <w:rFonts w:ascii="仿宋" w:hAnsi="仿宋" w:eastAsia="仿宋" w:cs="仿宋"/>
          <w:sz w:val="27"/>
          <w:szCs w:val="27"/>
        </w:rPr>
      </w:pPr>
      <w:r>
        <w:rPr>
          <w:rFonts w:ascii="仿宋" w:hAnsi="仿宋" w:eastAsia="仿宋" w:cs="仿宋"/>
          <w:sz w:val="27"/>
          <w:szCs w:val="27"/>
        </w:rPr>
        <w:t>订购文件应规定下列内容：</w:t>
      </w:r>
    </w:p>
    <w:p w14:paraId="7F9D0DF1">
      <w:pPr>
        <w:spacing w:before="112" w:line="221" w:lineRule="auto"/>
        <w:ind w:left="560"/>
        <w:rPr>
          <w:rFonts w:ascii="仿宋" w:hAnsi="仿宋" w:eastAsia="仿宋" w:cs="仿宋"/>
          <w:sz w:val="24"/>
          <w:szCs w:val="24"/>
        </w:rPr>
      </w:pPr>
      <w:r>
        <w:rPr>
          <w:rFonts w:ascii="Times New Roman" w:hAnsi="Times New Roman" w:eastAsia="Times New Roman" w:cs="Times New Roman"/>
          <w:spacing w:val="10"/>
          <w:sz w:val="24"/>
          <w:szCs w:val="24"/>
        </w:rPr>
        <w:t>a</w:t>
      </w:r>
      <w:r>
        <w:rPr>
          <w:rFonts w:ascii="Times New Roman" w:hAnsi="Times New Roman" w:eastAsia="Times New Roman" w:cs="Times New Roman"/>
          <w:spacing w:val="-8"/>
          <w:sz w:val="24"/>
          <w:szCs w:val="24"/>
        </w:rPr>
        <w:t xml:space="preserve"> </w:t>
      </w:r>
      <w:r>
        <w:rPr>
          <w:rFonts w:ascii="仿宋" w:hAnsi="仿宋" w:eastAsia="仿宋" w:cs="仿宋"/>
          <w:spacing w:val="10"/>
          <w:sz w:val="24"/>
          <w:szCs w:val="24"/>
        </w:rPr>
        <w:t>) 本规范的编号、名称；</w:t>
      </w:r>
    </w:p>
    <w:p w14:paraId="439BF388">
      <w:pPr>
        <w:spacing w:before="100" w:line="212" w:lineRule="auto"/>
        <w:ind w:left="560"/>
        <w:rPr>
          <w:rFonts w:ascii="仿宋" w:hAnsi="仿宋" w:eastAsia="仿宋" w:cs="仿宋"/>
          <w:sz w:val="24"/>
          <w:szCs w:val="24"/>
        </w:rPr>
      </w:pPr>
      <w:r>
        <w:rPr>
          <w:rFonts w:ascii="Times New Roman" w:hAnsi="Times New Roman" w:eastAsia="Times New Roman" w:cs="Times New Roman"/>
          <w:spacing w:val="30"/>
          <w:sz w:val="24"/>
          <w:szCs w:val="24"/>
        </w:rPr>
        <w:t xml:space="preserve">b)  </w:t>
      </w:r>
      <w:r>
        <w:rPr>
          <w:rFonts w:ascii="仿宋" w:hAnsi="仿宋" w:eastAsia="仿宋" w:cs="仿宋"/>
          <w:spacing w:val="30"/>
          <w:sz w:val="24"/>
          <w:szCs w:val="24"/>
        </w:rPr>
        <w:t>本规范中引用文件的版次(必要时</w:t>
      </w:r>
      <w:r>
        <w:rPr>
          <w:rFonts w:ascii="仿宋" w:hAnsi="仿宋" w:eastAsia="仿宋" w:cs="仿宋"/>
          <w:spacing w:val="29"/>
          <w:sz w:val="24"/>
          <w:szCs w:val="24"/>
        </w:rPr>
        <w:t>);</w:t>
      </w:r>
    </w:p>
    <w:p w14:paraId="170CF777">
      <w:pPr>
        <w:spacing w:before="92" w:line="212" w:lineRule="auto"/>
        <w:ind w:left="560"/>
        <w:rPr>
          <w:rFonts w:ascii="仿宋" w:hAnsi="仿宋" w:eastAsia="仿宋" w:cs="仿宋"/>
          <w:sz w:val="27"/>
          <w:szCs w:val="27"/>
        </w:rPr>
      </w:pPr>
      <w:r>
        <w:rPr>
          <w:rFonts w:ascii="Times New Roman" w:hAnsi="Times New Roman" w:eastAsia="Times New Roman" w:cs="Times New Roman"/>
          <w:spacing w:val="-9"/>
          <w:sz w:val="27"/>
          <w:szCs w:val="27"/>
        </w:rPr>
        <w:t xml:space="preserve">c)  </w:t>
      </w:r>
      <w:r>
        <w:rPr>
          <w:rFonts w:ascii="仿宋" w:hAnsi="仿宋" w:eastAsia="仿宋" w:cs="仿宋"/>
          <w:spacing w:val="-9"/>
          <w:sz w:val="27"/>
          <w:szCs w:val="27"/>
        </w:rPr>
        <w:t>型式、类型或等级；</w:t>
      </w:r>
    </w:p>
    <w:p w14:paraId="19067B3C">
      <w:pPr>
        <w:spacing w:before="110" w:line="212" w:lineRule="auto"/>
        <w:ind w:left="560"/>
        <w:rPr>
          <w:rFonts w:ascii="仿宋" w:hAnsi="仿宋" w:eastAsia="仿宋" w:cs="仿宋"/>
          <w:sz w:val="27"/>
          <w:szCs w:val="27"/>
        </w:rPr>
      </w:pPr>
      <w:r>
        <w:rPr>
          <w:rFonts w:ascii="Times New Roman" w:hAnsi="Times New Roman" w:eastAsia="Times New Roman" w:cs="Times New Roman"/>
          <w:spacing w:val="-1"/>
          <w:sz w:val="27"/>
          <w:szCs w:val="27"/>
        </w:rPr>
        <w:t>d)</w:t>
      </w:r>
      <w:r>
        <w:rPr>
          <w:rFonts w:ascii="Times New Roman" w:hAnsi="Times New Roman" w:eastAsia="Times New Roman" w:cs="Times New Roman"/>
          <w:spacing w:val="10"/>
          <w:sz w:val="27"/>
          <w:szCs w:val="27"/>
        </w:rPr>
        <w:t xml:space="preserve">  </w:t>
      </w:r>
      <w:r>
        <w:rPr>
          <w:rFonts w:ascii="仿宋" w:hAnsi="仿宋" w:eastAsia="仿宋" w:cs="仿宋"/>
          <w:spacing w:val="-1"/>
          <w:sz w:val="27"/>
          <w:szCs w:val="27"/>
        </w:rPr>
        <w:t>包装等级。</w:t>
      </w:r>
    </w:p>
    <w:p w14:paraId="0C3AED32">
      <w:pPr>
        <w:spacing w:before="107" w:line="222" w:lineRule="auto"/>
        <w:rPr>
          <w:rFonts w:ascii="黑体" w:hAnsi="黑体" w:eastAsia="黑体" w:cs="黑体"/>
          <w:sz w:val="27"/>
          <w:szCs w:val="27"/>
        </w:rPr>
      </w:pPr>
      <w:r>
        <w:rPr>
          <w:rFonts w:ascii="黑体" w:hAnsi="黑体" w:eastAsia="黑体" w:cs="黑体"/>
          <w:spacing w:val="-1"/>
          <w:sz w:val="27"/>
          <w:szCs w:val="27"/>
        </w:rPr>
        <w:t>6.4</w:t>
      </w:r>
      <w:r>
        <w:rPr>
          <w:rFonts w:ascii="黑体" w:hAnsi="黑体" w:eastAsia="黑体" w:cs="黑体"/>
          <w:spacing w:val="19"/>
          <w:sz w:val="27"/>
          <w:szCs w:val="27"/>
        </w:rPr>
        <w:t xml:space="preserve">  </w:t>
      </w:r>
      <w:r>
        <w:rPr>
          <w:rFonts w:ascii="黑体" w:hAnsi="黑体" w:eastAsia="黑体" w:cs="黑体"/>
          <w:b/>
          <w:bCs/>
          <w:spacing w:val="-1"/>
          <w:sz w:val="27"/>
          <w:szCs w:val="27"/>
        </w:rPr>
        <w:t>术语和定义</w:t>
      </w:r>
    </w:p>
    <w:p w14:paraId="06C4D752">
      <w:pPr>
        <w:spacing w:before="109" w:line="219" w:lineRule="auto"/>
        <w:ind w:left="560"/>
        <w:rPr>
          <w:rFonts w:ascii="宋体" w:hAnsi="宋体" w:eastAsia="宋体" w:cs="宋体"/>
          <w:sz w:val="27"/>
          <w:szCs w:val="27"/>
        </w:rPr>
      </w:pPr>
      <w:r>
        <w:rPr>
          <w:rFonts w:ascii="宋体" w:hAnsi="宋体" w:eastAsia="宋体" w:cs="宋体"/>
          <w:spacing w:val="-2"/>
          <w:sz w:val="27"/>
          <w:szCs w:val="27"/>
        </w:rPr>
        <w:t>规范中有需要定义的术语时，可使用下述适合的引导语：</w:t>
      </w:r>
    </w:p>
    <w:p w14:paraId="7C44F5FB">
      <w:pPr>
        <w:spacing w:before="79" w:line="274" w:lineRule="auto"/>
        <w:ind w:right="20" w:firstLine="425"/>
        <w:rPr>
          <w:rFonts w:ascii="仿宋" w:hAnsi="仿宋" w:eastAsia="仿宋" w:cs="仿宋"/>
          <w:sz w:val="27"/>
          <w:szCs w:val="27"/>
        </w:rPr>
      </w:pPr>
      <w:r>
        <w:rPr>
          <w:rFonts w:ascii="仿宋" w:hAnsi="仿宋" w:eastAsia="仿宋" w:cs="仿宋"/>
          <w:spacing w:val="-4"/>
          <w:sz w:val="27"/>
          <w:szCs w:val="27"/>
        </w:rPr>
        <w:t>“下列术语和定义适用于本规范。”或“</w:t>
      </w:r>
      <w:r>
        <w:rPr>
          <w:rFonts w:ascii="Times New Roman" w:hAnsi="Times New Roman" w:eastAsia="Times New Roman" w:cs="Times New Roman"/>
          <w:spacing w:val="-4"/>
          <w:sz w:val="27"/>
          <w:szCs w:val="27"/>
        </w:rPr>
        <w:t xml:space="preserve">GJB××××           </w:t>
      </w:r>
      <w:r>
        <w:rPr>
          <w:rFonts w:ascii="仿宋" w:hAnsi="仿宋" w:eastAsia="仿宋" w:cs="仿宋"/>
          <w:spacing w:val="-4"/>
          <w:sz w:val="27"/>
          <w:szCs w:val="27"/>
        </w:rPr>
        <w:t>确立的以及下列术语</w:t>
      </w:r>
      <w:r>
        <w:rPr>
          <w:rFonts w:ascii="仿宋" w:hAnsi="仿宋" w:eastAsia="仿宋" w:cs="仿宋"/>
          <w:sz w:val="27"/>
          <w:szCs w:val="27"/>
        </w:rPr>
        <w:t xml:space="preserve"> </w:t>
      </w:r>
      <w:r>
        <w:rPr>
          <w:rFonts w:ascii="仿宋" w:hAnsi="仿宋" w:eastAsia="仿宋" w:cs="仿宋"/>
          <w:spacing w:val="2"/>
          <w:sz w:val="27"/>
          <w:szCs w:val="27"/>
        </w:rPr>
        <w:t>和定义适用于本规范。”</w:t>
      </w:r>
    </w:p>
    <w:p w14:paraId="319F5D2E">
      <w:pPr>
        <w:spacing w:line="274" w:lineRule="auto"/>
        <w:rPr>
          <w:rFonts w:ascii="仿宋" w:hAnsi="仿宋" w:eastAsia="仿宋" w:cs="仿宋"/>
          <w:sz w:val="27"/>
          <w:szCs w:val="27"/>
        </w:rPr>
        <w:sectPr>
          <w:footerReference r:id="rId111" w:type="default"/>
          <w:pgSz w:w="11910" w:h="17130"/>
          <w:pgMar w:top="400" w:right="1032" w:bottom="1623" w:left="1489" w:header="0" w:footer="1425" w:gutter="0"/>
          <w:cols w:space="720" w:num="1"/>
        </w:sectPr>
      </w:pPr>
    </w:p>
    <w:p w14:paraId="5FB574FA">
      <w:pPr>
        <w:pStyle w:val="2"/>
        <w:spacing w:line="318" w:lineRule="auto"/>
      </w:pPr>
    </w:p>
    <w:p w14:paraId="14553812">
      <w:pPr>
        <w:pStyle w:val="2"/>
        <w:spacing w:line="319" w:lineRule="auto"/>
      </w:pPr>
    </w:p>
    <w:p w14:paraId="586DABE4">
      <w:pPr>
        <w:pStyle w:val="2"/>
        <w:spacing w:line="319" w:lineRule="auto"/>
      </w:pPr>
    </w:p>
    <w:p w14:paraId="36A8CE2A">
      <w:pPr>
        <w:spacing w:before="88" w:line="287" w:lineRule="auto"/>
        <w:ind w:right="10" w:firstLine="550"/>
        <w:rPr>
          <w:rFonts w:ascii="宋体" w:hAnsi="宋体" w:eastAsia="宋体" w:cs="宋体"/>
          <w:sz w:val="27"/>
          <w:szCs w:val="27"/>
        </w:rPr>
      </w:pPr>
      <w:bookmarkStart w:id="63" w:name="bookmark338"/>
      <w:bookmarkEnd w:id="63"/>
      <w:r>
        <w:rPr>
          <w:rFonts w:ascii="宋体" w:hAnsi="宋体" w:eastAsia="宋体" w:cs="宋体"/>
          <w:spacing w:val="-3"/>
          <w:sz w:val="27"/>
          <w:szCs w:val="27"/>
        </w:rPr>
        <w:t>除引用其他标准的术语外，每条术语作为一个单独的条</w:t>
      </w:r>
      <w:r>
        <w:rPr>
          <w:rFonts w:ascii="宋体" w:hAnsi="宋体" w:eastAsia="宋体" w:cs="宋体"/>
          <w:spacing w:val="-4"/>
          <w:sz w:val="27"/>
          <w:szCs w:val="27"/>
        </w:rPr>
        <w:t>文予以编号，当只有</w:t>
      </w:r>
      <w:r>
        <w:rPr>
          <w:rFonts w:ascii="宋体" w:hAnsi="宋体" w:eastAsia="宋体" w:cs="宋体"/>
          <w:sz w:val="27"/>
          <w:szCs w:val="27"/>
        </w:rPr>
        <w:t xml:space="preserve"> </w:t>
      </w:r>
      <w:r>
        <w:rPr>
          <w:rFonts w:ascii="宋体" w:hAnsi="宋体" w:eastAsia="宋体" w:cs="宋体"/>
          <w:spacing w:val="-3"/>
          <w:sz w:val="27"/>
          <w:szCs w:val="27"/>
        </w:rPr>
        <w:t>一条术语时，不编号。每条术语的条文应包括：</w:t>
      </w:r>
    </w:p>
    <w:p w14:paraId="43A21389">
      <w:pPr>
        <w:spacing w:line="219" w:lineRule="auto"/>
        <w:ind w:left="550"/>
        <w:rPr>
          <w:rFonts w:ascii="宋体" w:hAnsi="宋体" w:eastAsia="宋体" w:cs="宋体"/>
          <w:sz w:val="24"/>
          <w:szCs w:val="24"/>
        </w:rPr>
      </w:pPr>
      <w:r>
        <w:rPr>
          <w:rFonts w:ascii="Times New Roman" w:hAnsi="Times New Roman" w:eastAsia="Times New Roman" w:cs="Times New Roman"/>
          <w:spacing w:val="22"/>
          <w:sz w:val="24"/>
          <w:szCs w:val="24"/>
        </w:rPr>
        <w:t>a</w:t>
      </w:r>
      <w:r>
        <w:rPr>
          <w:rFonts w:ascii="Times New Roman" w:hAnsi="Times New Roman" w:eastAsia="Times New Roman" w:cs="Times New Roman"/>
          <w:spacing w:val="-14"/>
          <w:sz w:val="24"/>
          <w:szCs w:val="24"/>
        </w:rPr>
        <w:t xml:space="preserve"> </w:t>
      </w:r>
      <w:r>
        <w:rPr>
          <w:rFonts w:ascii="宋体" w:hAnsi="宋体" w:eastAsia="宋体" w:cs="宋体"/>
          <w:spacing w:val="22"/>
          <w:sz w:val="24"/>
          <w:szCs w:val="24"/>
        </w:rPr>
        <w:t>)</w:t>
      </w:r>
      <w:r>
        <w:rPr>
          <w:rFonts w:ascii="宋体" w:hAnsi="宋体" w:eastAsia="宋体" w:cs="宋体"/>
          <w:spacing w:val="-40"/>
          <w:sz w:val="24"/>
          <w:szCs w:val="24"/>
        </w:rPr>
        <w:t xml:space="preserve"> </w:t>
      </w:r>
      <w:r>
        <w:rPr>
          <w:rFonts w:ascii="宋体" w:hAnsi="宋体" w:eastAsia="宋体" w:cs="宋体"/>
          <w:spacing w:val="22"/>
          <w:sz w:val="24"/>
          <w:szCs w:val="24"/>
        </w:rPr>
        <w:t>术语的编号；</w:t>
      </w:r>
    </w:p>
    <w:p w14:paraId="4E92AFDA">
      <w:pPr>
        <w:spacing w:before="55"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57"/>
          <w:sz w:val="27"/>
          <w:szCs w:val="27"/>
        </w:rPr>
        <w:t xml:space="preserve"> </w:t>
      </w:r>
      <w:r>
        <w:rPr>
          <w:rFonts w:ascii="宋体" w:hAnsi="宋体" w:eastAsia="宋体" w:cs="宋体"/>
          <w:spacing w:val="1"/>
          <w:sz w:val="27"/>
          <w:szCs w:val="27"/>
        </w:rPr>
        <w:t>术语；</w:t>
      </w:r>
    </w:p>
    <w:p w14:paraId="2E4A5521">
      <w:pPr>
        <w:spacing w:before="11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42"/>
          <w:w w:val="101"/>
          <w:sz w:val="27"/>
          <w:szCs w:val="27"/>
        </w:rPr>
        <w:t xml:space="preserve"> </w:t>
      </w:r>
      <w:r>
        <w:rPr>
          <w:rFonts w:ascii="宋体" w:hAnsi="宋体" w:eastAsia="宋体" w:cs="宋体"/>
          <w:spacing w:val="-4"/>
          <w:sz w:val="27"/>
          <w:szCs w:val="27"/>
        </w:rPr>
        <w:t>外文对应词(一般为英文，除专有名词外，均为小写);</w:t>
      </w:r>
    </w:p>
    <w:p w14:paraId="42FEA66A">
      <w:pPr>
        <w:spacing w:before="90"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d)</w:t>
      </w:r>
      <w:r>
        <w:rPr>
          <w:rFonts w:ascii="Times New Roman" w:hAnsi="Times New Roman" w:eastAsia="Times New Roman" w:cs="Times New Roman"/>
          <w:spacing w:val="54"/>
          <w:sz w:val="27"/>
          <w:szCs w:val="27"/>
        </w:rPr>
        <w:t xml:space="preserve"> </w:t>
      </w:r>
      <w:r>
        <w:rPr>
          <w:rFonts w:ascii="宋体" w:hAnsi="宋体" w:eastAsia="宋体" w:cs="宋体"/>
          <w:spacing w:val="6"/>
          <w:sz w:val="27"/>
          <w:szCs w:val="27"/>
        </w:rPr>
        <w:t>许用的同义词(必要时);</w:t>
      </w:r>
    </w:p>
    <w:p w14:paraId="65865CF0">
      <w:pPr>
        <w:spacing w:before="10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e)</w:t>
      </w:r>
      <w:r>
        <w:rPr>
          <w:rFonts w:ascii="Times New Roman" w:hAnsi="Times New Roman" w:eastAsia="Times New Roman" w:cs="Times New Roman"/>
          <w:spacing w:val="68"/>
          <w:w w:val="101"/>
          <w:sz w:val="27"/>
          <w:szCs w:val="27"/>
        </w:rPr>
        <w:t xml:space="preserve"> </w:t>
      </w:r>
      <w:r>
        <w:rPr>
          <w:rFonts w:ascii="宋体" w:hAnsi="宋体" w:eastAsia="宋体" w:cs="宋体"/>
          <w:spacing w:val="5"/>
          <w:sz w:val="27"/>
          <w:szCs w:val="27"/>
        </w:rPr>
        <w:t>拒用和被取代的术语(必要时);</w:t>
      </w:r>
    </w:p>
    <w:p w14:paraId="7B1DDF64">
      <w:pPr>
        <w:spacing w:before="90" w:line="212" w:lineRule="auto"/>
        <w:ind w:left="550"/>
        <w:rPr>
          <w:rFonts w:ascii="仿宋" w:hAnsi="仿宋" w:eastAsia="仿宋" w:cs="仿宋"/>
          <w:sz w:val="27"/>
          <w:szCs w:val="27"/>
        </w:rPr>
      </w:pPr>
      <w:r>
        <w:rPr>
          <w:rFonts w:ascii="Times New Roman" w:hAnsi="Times New Roman" w:eastAsia="Times New Roman" w:cs="Times New Roman"/>
          <w:sz w:val="27"/>
          <w:szCs w:val="27"/>
        </w:rPr>
        <w:t>f)</w:t>
      </w:r>
      <w:r>
        <w:rPr>
          <w:rFonts w:ascii="Times New Roman" w:hAnsi="Times New Roman" w:eastAsia="Times New Roman" w:cs="Times New Roman"/>
          <w:spacing w:val="66"/>
          <w:sz w:val="27"/>
          <w:szCs w:val="27"/>
        </w:rPr>
        <w:t xml:space="preserve"> </w:t>
      </w:r>
      <w:r>
        <w:rPr>
          <w:rFonts w:ascii="宋体" w:hAnsi="宋体" w:eastAsia="宋体" w:cs="宋体"/>
          <w:sz w:val="27"/>
          <w:szCs w:val="27"/>
        </w:rPr>
        <w:t>定</w:t>
      </w:r>
      <w:r>
        <w:rPr>
          <w:rFonts w:ascii="仿宋" w:hAnsi="仿宋" w:eastAsia="仿宋" w:cs="仿宋"/>
          <w:sz w:val="27"/>
          <w:szCs w:val="27"/>
        </w:rPr>
        <w:t>义。</w:t>
      </w:r>
    </w:p>
    <w:p w14:paraId="20E60922">
      <w:pPr>
        <w:spacing w:before="130" w:line="279" w:lineRule="auto"/>
        <w:ind w:right="7" w:firstLine="550"/>
        <w:jc w:val="both"/>
        <w:rPr>
          <w:rFonts w:ascii="宋体" w:hAnsi="宋体" w:eastAsia="宋体" w:cs="宋体"/>
          <w:sz w:val="27"/>
          <w:szCs w:val="27"/>
        </w:rPr>
      </w:pPr>
      <w:r>
        <w:rPr>
          <w:rFonts w:ascii="宋体" w:hAnsi="宋体" w:eastAsia="宋体" w:cs="宋体"/>
          <w:spacing w:val="-19"/>
          <w:sz w:val="27"/>
          <w:szCs w:val="27"/>
        </w:rPr>
        <w:t>每条术语的编号、术语、外文对应词依次排列，编号顶格排，编号、术语、外文</w:t>
      </w:r>
      <w:r>
        <w:rPr>
          <w:rFonts w:ascii="宋体" w:hAnsi="宋体" w:eastAsia="宋体" w:cs="宋体"/>
          <w:spacing w:val="17"/>
          <w:sz w:val="27"/>
          <w:szCs w:val="27"/>
        </w:rPr>
        <w:t xml:space="preserve"> </w:t>
      </w:r>
      <w:r>
        <w:rPr>
          <w:rFonts w:ascii="宋体" w:hAnsi="宋体" w:eastAsia="宋体" w:cs="宋体"/>
          <w:spacing w:val="1"/>
          <w:sz w:val="27"/>
          <w:szCs w:val="27"/>
        </w:rPr>
        <w:t>对应词之间各空一个字的间隙。外文对应词后面无标点符号， 一行书写不完需</w:t>
      </w:r>
      <w:r>
        <w:rPr>
          <w:rFonts w:ascii="宋体" w:hAnsi="宋体" w:eastAsia="宋体" w:cs="宋体"/>
          <w:spacing w:val="5"/>
          <w:sz w:val="27"/>
          <w:szCs w:val="27"/>
        </w:rPr>
        <w:t xml:space="preserve"> </w:t>
      </w:r>
      <w:r>
        <w:rPr>
          <w:rFonts w:ascii="宋体" w:hAnsi="宋体" w:eastAsia="宋体" w:cs="宋体"/>
          <w:spacing w:val="-3"/>
          <w:sz w:val="27"/>
          <w:szCs w:val="27"/>
        </w:rPr>
        <w:t>回行时，应顶格排。有许用的同义词或拒用和被取代的术语时，每个词另起一行</w:t>
      </w:r>
      <w:r>
        <w:rPr>
          <w:rFonts w:ascii="宋体" w:hAnsi="宋体" w:eastAsia="宋体" w:cs="宋体"/>
          <w:spacing w:val="7"/>
          <w:sz w:val="27"/>
          <w:szCs w:val="27"/>
        </w:rPr>
        <w:t xml:space="preserve"> </w:t>
      </w:r>
      <w:r>
        <w:rPr>
          <w:rFonts w:ascii="宋体" w:hAnsi="宋体" w:eastAsia="宋体" w:cs="宋体"/>
          <w:sz w:val="27"/>
          <w:szCs w:val="27"/>
        </w:rPr>
        <w:t>空两个字起排。术语的定义另起一行空两个字起排，回行</w:t>
      </w:r>
      <w:r>
        <w:rPr>
          <w:rFonts w:ascii="宋体" w:hAnsi="宋体" w:eastAsia="宋体" w:cs="宋体"/>
          <w:spacing w:val="-1"/>
          <w:sz w:val="27"/>
          <w:szCs w:val="27"/>
        </w:rPr>
        <w:t>时顶格排。</w:t>
      </w:r>
    </w:p>
    <w:p w14:paraId="6FB126ED">
      <w:pPr>
        <w:spacing w:before="1" w:line="220" w:lineRule="auto"/>
        <w:ind w:left="550"/>
        <w:rPr>
          <w:rFonts w:ascii="宋体" w:hAnsi="宋体" w:eastAsia="宋体" w:cs="宋体"/>
          <w:sz w:val="27"/>
          <w:szCs w:val="27"/>
        </w:rPr>
      </w:pPr>
      <w:r>
        <w:rPr>
          <w:rFonts w:ascii="宋体" w:hAnsi="宋体" w:eastAsia="宋体" w:cs="宋体"/>
          <w:spacing w:val="-6"/>
          <w:sz w:val="27"/>
          <w:szCs w:val="27"/>
        </w:rPr>
        <w:t>示例：</w:t>
      </w:r>
    </w:p>
    <w:p w14:paraId="6B2D10B3">
      <w:pPr>
        <w:spacing w:before="109" w:line="219" w:lineRule="auto"/>
        <w:ind w:left="550"/>
        <w:rPr>
          <w:rFonts w:ascii="Times New Roman" w:hAnsi="Times New Roman" w:eastAsia="Times New Roman" w:cs="Times New Roman"/>
          <w:sz w:val="24"/>
          <w:szCs w:val="24"/>
        </w:rPr>
      </w:pPr>
      <w:r>
        <w:rPr>
          <w:rFonts w:ascii="仿宋" w:hAnsi="仿宋" w:eastAsia="仿宋" w:cs="仿宋"/>
          <w:spacing w:val="3"/>
          <w:sz w:val="24"/>
          <w:szCs w:val="24"/>
        </w:rPr>
        <w:t>6.4.1  串行器</w:t>
      </w:r>
      <w:r>
        <w:rPr>
          <w:rFonts w:ascii="仿宋" w:hAnsi="仿宋" w:eastAsia="仿宋" w:cs="仿宋"/>
          <w:spacing w:val="33"/>
          <w:sz w:val="24"/>
          <w:szCs w:val="24"/>
        </w:rPr>
        <w:t xml:space="preserve">  </w:t>
      </w:r>
      <w:r>
        <w:rPr>
          <w:rFonts w:ascii="Times New Roman" w:hAnsi="Times New Roman" w:eastAsia="Times New Roman" w:cs="Times New Roman"/>
          <w:sz w:val="24"/>
          <w:szCs w:val="24"/>
        </w:rPr>
        <w:t>serializer</w:t>
      </w:r>
    </w:p>
    <w:p w14:paraId="4B3AF2DA">
      <w:pPr>
        <w:spacing w:before="113" w:line="212" w:lineRule="auto"/>
        <w:ind w:left="1420"/>
        <w:rPr>
          <w:rFonts w:ascii="Times New Roman" w:hAnsi="Times New Roman" w:eastAsia="Times New Roman" w:cs="Times New Roman"/>
          <w:sz w:val="25"/>
          <w:szCs w:val="25"/>
        </w:rPr>
      </w:pPr>
      <w:r>
        <w:rPr>
          <w:rFonts w:ascii="仿宋" w:hAnsi="仿宋" w:eastAsia="仿宋" w:cs="仿宋"/>
          <w:spacing w:val="8"/>
          <w:sz w:val="25"/>
          <w:szCs w:val="25"/>
        </w:rPr>
        <w:t xml:space="preserve">并串联变换器  </w:t>
      </w:r>
      <w:r>
        <w:rPr>
          <w:rFonts w:ascii="Times New Roman" w:hAnsi="Times New Roman" w:eastAsia="Times New Roman" w:cs="Times New Roman"/>
          <w:sz w:val="25"/>
          <w:szCs w:val="25"/>
        </w:rPr>
        <w:t>parallel</w:t>
      </w:r>
      <w:r>
        <w:rPr>
          <w:rFonts w:ascii="Times New Roman" w:hAnsi="Times New Roman" w:eastAsia="Times New Roman" w:cs="Times New Roman"/>
          <w:spacing w:val="8"/>
          <w:sz w:val="25"/>
          <w:szCs w:val="25"/>
        </w:rPr>
        <w:t>-</w:t>
      </w:r>
      <w:r>
        <w:rPr>
          <w:rFonts w:ascii="Times New Roman" w:hAnsi="Times New Roman" w:eastAsia="Times New Roman" w:cs="Times New Roman"/>
          <w:sz w:val="25"/>
          <w:szCs w:val="25"/>
        </w:rPr>
        <w:t>serial</w:t>
      </w:r>
      <w:r>
        <w:rPr>
          <w:rFonts w:ascii="Times New Roman" w:hAnsi="Times New Roman" w:eastAsia="Times New Roman" w:cs="Times New Roman"/>
          <w:spacing w:val="8"/>
          <w:sz w:val="25"/>
          <w:szCs w:val="25"/>
        </w:rPr>
        <w:t xml:space="preserve">        </w:t>
      </w:r>
      <w:r>
        <w:rPr>
          <w:rFonts w:ascii="Times New Roman" w:hAnsi="Times New Roman" w:eastAsia="Times New Roman" w:cs="Times New Roman"/>
          <w:sz w:val="25"/>
          <w:szCs w:val="25"/>
        </w:rPr>
        <w:t>converter</w:t>
      </w:r>
    </w:p>
    <w:p w14:paraId="2E7525D9">
      <w:pPr>
        <w:spacing w:before="122" w:line="212" w:lineRule="auto"/>
        <w:ind w:left="1420"/>
        <w:rPr>
          <w:rFonts w:ascii="Times New Roman" w:hAnsi="Times New Roman" w:eastAsia="Times New Roman" w:cs="Times New Roman"/>
          <w:sz w:val="25"/>
          <w:szCs w:val="25"/>
        </w:rPr>
      </w:pPr>
      <w:r>
        <w:rPr>
          <w:rFonts w:ascii="仿宋" w:hAnsi="仿宋" w:eastAsia="仿宋" w:cs="仿宋"/>
          <w:spacing w:val="13"/>
          <w:sz w:val="25"/>
          <w:szCs w:val="25"/>
        </w:rPr>
        <w:t xml:space="preserve">动态转换器  </w:t>
      </w:r>
      <w:r>
        <w:rPr>
          <w:rFonts w:ascii="Times New Roman" w:hAnsi="Times New Roman" w:eastAsia="Times New Roman" w:cs="Times New Roman"/>
          <w:sz w:val="25"/>
          <w:szCs w:val="25"/>
        </w:rPr>
        <w:t>dynamicizer</w:t>
      </w:r>
    </w:p>
    <w:p w14:paraId="5DEA12AB">
      <w:pPr>
        <w:spacing w:before="138" w:line="222" w:lineRule="auto"/>
        <w:ind w:left="1420"/>
        <w:rPr>
          <w:rFonts w:ascii="仿宋" w:hAnsi="仿宋" w:eastAsia="仿宋" w:cs="仿宋"/>
          <w:sz w:val="25"/>
          <w:szCs w:val="25"/>
        </w:rPr>
      </w:pPr>
      <w:r>
        <w:rPr>
          <w:rFonts w:ascii="仿宋" w:hAnsi="仿宋" w:eastAsia="仿宋" w:cs="仿宋"/>
          <w:spacing w:val="18"/>
          <w:sz w:val="25"/>
          <w:szCs w:val="25"/>
        </w:rPr>
        <w:t>功能装置，将一组同步信号变换为一个相应的时间序列信</w:t>
      </w:r>
      <w:r>
        <w:rPr>
          <w:rFonts w:ascii="仿宋" w:hAnsi="仿宋" w:eastAsia="仿宋" w:cs="仿宋"/>
          <w:spacing w:val="17"/>
          <w:sz w:val="25"/>
          <w:szCs w:val="25"/>
        </w:rPr>
        <w:t>号。</w:t>
      </w:r>
    </w:p>
    <w:p w14:paraId="71E55FB8">
      <w:pPr>
        <w:spacing w:before="78" w:line="221" w:lineRule="auto"/>
        <w:rPr>
          <w:rFonts w:ascii="黑体" w:hAnsi="黑体" w:eastAsia="黑体" w:cs="黑体"/>
          <w:sz w:val="27"/>
          <w:szCs w:val="27"/>
        </w:rPr>
      </w:pPr>
      <w:r>
        <w:rPr>
          <w:rFonts w:ascii="黑体" w:hAnsi="黑体" w:eastAsia="黑体" w:cs="黑体"/>
          <w:spacing w:val="-8"/>
          <w:sz w:val="27"/>
          <w:szCs w:val="27"/>
        </w:rPr>
        <w:t xml:space="preserve">6.5  </w:t>
      </w:r>
      <w:r>
        <w:rPr>
          <w:rFonts w:ascii="黑体" w:hAnsi="黑体" w:eastAsia="黑体" w:cs="黑体"/>
          <w:b/>
          <w:bCs/>
          <w:spacing w:val="-8"/>
          <w:sz w:val="27"/>
          <w:szCs w:val="27"/>
        </w:rPr>
        <w:t>符号、代号和缩略语</w:t>
      </w:r>
    </w:p>
    <w:p w14:paraId="60E978DB">
      <w:pPr>
        <w:spacing w:before="90" w:line="273" w:lineRule="auto"/>
        <w:ind w:firstLine="550"/>
        <w:jc w:val="both"/>
        <w:rPr>
          <w:rFonts w:ascii="宋体" w:hAnsi="宋体" w:eastAsia="宋体" w:cs="宋体"/>
          <w:sz w:val="27"/>
          <w:szCs w:val="27"/>
        </w:rPr>
      </w:pPr>
      <w:r>
        <w:rPr>
          <w:rFonts w:ascii="宋体" w:hAnsi="宋体" w:eastAsia="宋体" w:cs="宋体"/>
          <w:spacing w:val="-11"/>
          <w:sz w:val="27"/>
          <w:szCs w:val="27"/>
        </w:rPr>
        <w:t>符号、代号和缩略语可单独设一节，也可与“术语和定义”合为一节，在适当</w:t>
      </w:r>
      <w:r>
        <w:rPr>
          <w:rFonts w:ascii="宋体" w:hAnsi="宋体" w:eastAsia="宋体" w:cs="宋体"/>
          <w:spacing w:val="7"/>
          <w:sz w:val="27"/>
          <w:szCs w:val="27"/>
        </w:rPr>
        <w:t xml:space="preserve"> </w:t>
      </w:r>
      <w:r>
        <w:rPr>
          <w:rFonts w:ascii="宋体" w:hAnsi="宋体" w:eastAsia="宋体" w:cs="宋体"/>
          <w:spacing w:val="-3"/>
          <w:sz w:val="27"/>
          <w:szCs w:val="27"/>
        </w:rPr>
        <w:t>的标题下列出理解标准所必要的符号、代号和缩略语清单或表。清单按符号、代</w:t>
      </w:r>
      <w:r>
        <w:rPr>
          <w:rFonts w:ascii="宋体" w:hAnsi="宋体" w:eastAsia="宋体" w:cs="宋体"/>
          <w:spacing w:val="7"/>
          <w:sz w:val="27"/>
          <w:szCs w:val="27"/>
        </w:rPr>
        <w:t xml:space="preserve"> </w:t>
      </w:r>
      <w:r>
        <w:rPr>
          <w:rFonts w:ascii="宋体" w:hAnsi="宋体" w:eastAsia="宋体" w:cs="宋体"/>
          <w:spacing w:val="-3"/>
          <w:sz w:val="27"/>
          <w:szCs w:val="27"/>
        </w:rPr>
        <w:t>号和缩略语的第一个字母顺序编排，不编号。每条空两个字起排，符号、代号或</w:t>
      </w:r>
      <w:r>
        <w:rPr>
          <w:rFonts w:ascii="宋体" w:hAnsi="宋体" w:eastAsia="宋体" w:cs="宋体"/>
          <w:spacing w:val="6"/>
          <w:sz w:val="27"/>
          <w:szCs w:val="27"/>
        </w:rPr>
        <w:t xml:space="preserve"> </w:t>
      </w:r>
      <w:r>
        <w:rPr>
          <w:rFonts w:ascii="宋体" w:hAnsi="宋体" w:eastAsia="宋体" w:cs="宋体"/>
          <w:spacing w:val="-6"/>
          <w:sz w:val="27"/>
          <w:szCs w:val="27"/>
        </w:rPr>
        <w:t>缩略语后跟一个破折号“——”,之后标明符号、代号的名称</w:t>
      </w:r>
      <w:r>
        <w:rPr>
          <w:rFonts w:ascii="宋体" w:hAnsi="宋体" w:eastAsia="宋体" w:cs="宋体"/>
          <w:spacing w:val="-7"/>
          <w:sz w:val="27"/>
          <w:szCs w:val="27"/>
        </w:rPr>
        <w:t>或缩略语的全称，必</w:t>
      </w:r>
      <w:r>
        <w:rPr>
          <w:rFonts w:ascii="宋体" w:hAnsi="宋体" w:eastAsia="宋体" w:cs="宋体"/>
          <w:sz w:val="27"/>
          <w:szCs w:val="27"/>
        </w:rPr>
        <w:t xml:space="preserve"> </w:t>
      </w:r>
      <w:r>
        <w:rPr>
          <w:rFonts w:ascii="宋体" w:hAnsi="宋体" w:eastAsia="宋体" w:cs="宋体"/>
          <w:spacing w:val="3"/>
          <w:sz w:val="27"/>
          <w:szCs w:val="27"/>
        </w:rPr>
        <w:t>要时给出适当的说明。回行时顶格排。</w:t>
      </w:r>
    </w:p>
    <w:p w14:paraId="5703DAC4">
      <w:pPr>
        <w:spacing w:before="62" w:line="222" w:lineRule="auto"/>
        <w:rPr>
          <w:rFonts w:ascii="黑体" w:hAnsi="黑体" w:eastAsia="黑体" w:cs="黑体"/>
          <w:sz w:val="25"/>
          <w:szCs w:val="25"/>
        </w:rPr>
      </w:pPr>
      <w:r>
        <w:rPr>
          <w:rFonts w:ascii="黑体" w:hAnsi="黑体" w:eastAsia="黑体" w:cs="黑体"/>
          <w:spacing w:val="1"/>
          <w:sz w:val="25"/>
          <w:szCs w:val="25"/>
        </w:rPr>
        <w:t>6.6</w:t>
      </w:r>
      <w:r>
        <w:rPr>
          <w:rFonts w:ascii="黑体" w:hAnsi="黑体" w:eastAsia="黑体" w:cs="黑体"/>
          <w:spacing w:val="35"/>
          <w:sz w:val="25"/>
          <w:szCs w:val="25"/>
        </w:rPr>
        <w:t xml:space="preserve">  </w:t>
      </w:r>
      <w:r>
        <w:rPr>
          <w:rFonts w:ascii="黑体" w:hAnsi="黑体" w:eastAsia="黑体" w:cs="黑体"/>
          <w:b/>
          <w:bCs/>
          <w:spacing w:val="1"/>
          <w:sz w:val="25"/>
          <w:szCs w:val="25"/>
        </w:rPr>
        <w:t>其他</w:t>
      </w:r>
    </w:p>
    <w:p w14:paraId="6B56448C">
      <w:pPr>
        <w:spacing w:before="103" w:line="269" w:lineRule="auto"/>
        <w:ind w:right="10" w:firstLine="550"/>
        <w:rPr>
          <w:rFonts w:ascii="宋体" w:hAnsi="宋体" w:eastAsia="宋体" w:cs="宋体"/>
          <w:sz w:val="27"/>
          <w:szCs w:val="27"/>
        </w:rPr>
      </w:pPr>
      <w:r>
        <w:rPr>
          <w:rFonts w:ascii="宋体" w:hAnsi="宋体" w:eastAsia="宋体" w:cs="宋体"/>
          <w:spacing w:val="-3"/>
          <w:sz w:val="27"/>
          <w:szCs w:val="27"/>
        </w:rPr>
        <w:t>若有其他需要说明的事项或信息，则可根据具体内容确</w:t>
      </w:r>
      <w:r>
        <w:rPr>
          <w:rFonts w:ascii="宋体" w:hAnsi="宋体" w:eastAsia="宋体" w:cs="宋体"/>
          <w:spacing w:val="-4"/>
          <w:sz w:val="27"/>
          <w:szCs w:val="27"/>
        </w:rPr>
        <w:t>定相应标题，说明有</w:t>
      </w:r>
      <w:r>
        <w:rPr>
          <w:rFonts w:ascii="宋体" w:hAnsi="宋体" w:eastAsia="宋体" w:cs="宋体"/>
          <w:sz w:val="27"/>
          <w:szCs w:val="27"/>
        </w:rPr>
        <w:t xml:space="preserve"> </w:t>
      </w:r>
      <w:r>
        <w:rPr>
          <w:rFonts w:ascii="宋体" w:hAnsi="宋体" w:eastAsia="宋体" w:cs="宋体"/>
          <w:spacing w:val="-3"/>
          <w:sz w:val="27"/>
          <w:szCs w:val="27"/>
        </w:rPr>
        <w:t>关内容。</w:t>
      </w:r>
    </w:p>
    <w:p w14:paraId="04F38A92">
      <w:pPr>
        <w:spacing w:before="23" w:line="220" w:lineRule="auto"/>
        <w:ind w:left="550"/>
        <w:rPr>
          <w:rFonts w:ascii="楷体" w:hAnsi="楷体" w:eastAsia="楷体" w:cs="楷体"/>
          <w:sz w:val="28"/>
          <w:szCs w:val="28"/>
        </w:rPr>
      </w:pPr>
      <w:r>
        <w:rPr>
          <w:rFonts w:ascii="楷体" w:hAnsi="楷体" w:eastAsia="楷体" w:cs="楷体"/>
          <w:spacing w:val="-7"/>
          <w:sz w:val="28"/>
          <w:szCs w:val="28"/>
        </w:rPr>
        <w:t>注：第5章和第6章均无条文时，两章均应省略。</w:t>
      </w:r>
    </w:p>
    <w:p w14:paraId="3B01D6FF">
      <w:pPr>
        <w:pStyle w:val="2"/>
        <w:spacing w:line="314" w:lineRule="auto"/>
      </w:pPr>
    </w:p>
    <w:p w14:paraId="72BDC998">
      <w:pPr>
        <w:spacing w:before="118" w:line="219" w:lineRule="auto"/>
        <w:ind w:left="3239"/>
        <w:outlineLvl w:val="1"/>
        <w:rPr>
          <w:rFonts w:ascii="宋体" w:hAnsi="宋体" w:eastAsia="宋体" w:cs="宋体"/>
          <w:sz w:val="36"/>
          <w:szCs w:val="36"/>
        </w:rPr>
      </w:pPr>
      <w:bookmarkStart w:id="64" w:name="bookmark32"/>
      <w:bookmarkEnd w:id="64"/>
      <w:r>
        <w:rPr>
          <w:rFonts w:ascii="宋体" w:hAnsi="宋体" w:eastAsia="宋体" w:cs="宋体"/>
          <w:spacing w:val="-2"/>
          <w:sz w:val="36"/>
          <w:szCs w:val="36"/>
        </w:rPr>
        <w:t>1.30</w:t>
      </w:r>
      <w:r>
        <w:rPr>
          <w:rFonts w:ascii="宋体" w:hAnsi="宋体" w:eastAsia="宋体" w:cs="宋体"/>
          <w:spacing w:val="18"/>
          <w:sz w:val="36"/>
          <w:szCs w:val="36"/>
        </w:rPr>
        <w:t xml:space="preserve">  </w:t>
      </w:r>
      <w:r>
        <w:rPr>
          <w:rFonts w:ascii="宋体" w:hAnsi="宋体" w:eastAsia="宋体" w:cs="宋体"/>
          <w:b/>
          <w:bCs/>
          <w:spacing w:val="-2"/>
          <w:sz w:val="36"/>
          <w:szCs w:val="36"/>
        </w:rPr>
        <w:t>技术说明书</w:t>
      </w:r>
    </w:p>
    <w:p w14:paraId="6E0B920A">
      <w:pPr>
        <w:pStyle w:val="2"/>
        <w:spacing w:line="347" w:lineRule="auto"/>
      </w:pPr>
    </w:p>
    <w:p w14:paraId="6BE20401">
      <w:pPr>
        <w:spacing w:before="91" w:line="223" w:lineRule="auto"/>
        <w:ind w:left="550"/>
        <w:rPr>
          <w:rFonts w:ascii="楷体" w:hAnsi="楷体" w:eastAsia="楷体" w:cs="楷体"/>
          <w:sz w:val="28"/>
          <w:szCs w:val="28"/>
        </w:rPr>
      </w:pPr>
      <w:r>
        <w:rPr>
          <w:rFonts w:ascii="楷体" w:hAnsi="楷体" w:eastAsia="楷体" w:cs="楷体"/>
          <w:spacing w:val="-7"/>
          <w:sz w:val="28"/>
          <w:szCs w:val="28"/>
        </w:rPr>
        <w:t>按照</w:t>
      </w:r>
      <w:r>
        <w:rPr>
          <w:rFonts w:ascii="Times New Roman" w:hAnsi="Times New Roman" w:eastAsia="Times New Roman" w:cs="Times New Roman"/>
          <w:spacing w:val="-7"/>
          <w:sz w:val="28"/>
          <w:szCs w:val="28"/>
        </w:rPr>
        <w:t>GJB4771—1997</w:t>
      </w:r>
      <w:r>
        <w:rPr>
          <w:rFonts w:ascii="宋体" w:hAnsi="宋体" w:eastAsia="宋体" w:cs="宋体"/>
          <w:spacing w:val="-7"/>
          <w:sz w:val="28"/>
          <w:szCs w:val="28"/>
        </w:rPr>
        <w:t>《</w:t>
      </w:r>
      <w:r>
        <w:rPr>
          <w:rFonts w:ascii="楷体" w:hAnsi="楷体" w:eastAsia="楷体" w:cs="楷体"/>
          <w:spacing w:val="-7"/>
          <w:sz w:val="28"/>
          <w:szCs w:val="28"/>
        </w:rPr>
        <w:t>航空军工产</w:t>
      </w:r>
      <w:r>
        <w:rPr>
          <w:rFonts w:ascii="楷体" w:hAnsi="楷体" w:eastAsia="楷体" w:cs="楷体"/>
          <w:spacing w:val="-8"/>
          <w:sz w:val="28"/>
          <w:szCs w:val="28"/>
        </w:rPr>
        <w:t>品技术说明书编写基本要求》编写。</w:t>
      </w:r>
    </w:p>
    <w:p w14:paraId="493D8656">
      <w:pPr>
        <w:spacing w:before="54" w:line="222"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spacing w:val="16"/>
          <w:sz w:val="27"/>
          <w:szCs w:val="27"/>
        </w:rPr>
        <w:t xml:space="preserve">  </w:t>
      </w:r>
      <w:r>
        <w:rPr>
          <w:rFonts w:ascii="黑体" w:hAnsi="黑体" w:eastAsia="黑体" w:cs="黑体"/>
          <w:b/>
          <w:bCs/>
          <w:spacing w:val="-1"/>
          <w:sz w:val="27"/>
          <w:szCs w:val="27"/>
        </w:rPr>
        <w:t>产品用途和功能</w:t>
      </w:r>
    </w:p>
    <w:p w14:paraId="03D8295A">
      <w:pPr>
        <w:spacing w:before="115" w:line="223" w:lineRule="auto"/>
        <w:rPr>
          <w:rFonts w:ascii="黑体" w:hAnsi="黑体" w:eastAsia="黑体" w:cs="黑体"/>
          <w:sz w:val="24"/>
          <w:szCs w:val="24"/>
        </w:rPr>
      </w:pPr>
      <w:r>
        <w:rPr>
          <w:rFonts w:ascii="黑体" w:hAnsi="黑体" w:eastAsia="黑体" w:cs="黑体"/>
          <w:spacing w:val="15"/>
          <w:sz w:val="24"/>
          <w:szCs w:val="24"/>
        </w:rPr>
        <w:t>1.1</w:t>
      </w:r>
      <w:r>
        <w:rPr>
          <w:rFonts w:ascii="黑体" w:hAnsi="黑体" w:eastAsia="黑体" w:cs="黑体"/>
          <w:spacing w:val="53"/>
          <w:sz w:val="24"/>
          <w:szCs w:val="24"/>
        </w:rPr>
        <w:t xml:space="preserve">  </w:t>
      </w:r>
      <w:r>
        <w:rPr>
          <w:rFonts w:ascii="黑体" w:hAnsi="黑体" w:eastAsia="黑体" w:cs="黑体"/>
          <w:b/>
          <w:bCs/>
          <w:spacing w:val="15"/>
          <w:sz w:val="24"/>
          <w:szCs w:val="24"/>
        </w:rPr>
        <w:t>产品用途</w:t>
      </w:r>
    </w:p>
    <w:p w14:paraId="3E7FCD8B">
      <w:pPr>
        <w:spacing w:before="113" w:line="219" w:lineRule="auto"/>
        <w:ind w:left="550"/>
        <w:rPr>
          <w:rFonts w:ascii="宋体" w:hAnsi="宋体" w:eastAsia="宋体" w:cs="宋体"/>
          <w:sz w:val="27"/>
          <w:szCs w:val="27"/>
        </w:rPr>
      </w:pPr>
      <w:r>
        <w:rPr>
          <w:rFonts w:ascii="宋体" w:hAnsi="宋体" w:eastAsia="宋体" w:cs="宋体"/>
          <w:spacing w:val="-3"/>
          <w:sz w:val="27"/>
          <w:szCs w:val="27"/>
        </w:rPr>
        <w:t>简要说明产品(产品型号、名称)的用途。</w:t>
      </w:r>
    </w:p>
    <w:p w14:paraId="416604AC">
      <w:pPr>
        <w:spacing w:line="219" w:lineRule="auto"/>
        <w:rPr>
          <w:rFonts w:ascii="宋体" w:hAnsi="宋体" w:eastAsia="宋体" w:cs="宋体"/>
          <w:sz w:val="27"/>
          <w:szCs w:val="27"/>
        </w:rPr>
        <w:sectPr>
          <w:footerReference r:id="rId112" w:type="default"/>
          <w:pgSz w:w="11910" w:h="17130"/>
          <w:pgMar w:top="400" w:right="1465" w:bottom="1716" w:left="1079" w:header="0" w:footer="1527" w:gutter="0"/>
          <w:cols w:space="720" w:num="1"/>
        </w:sectPr>
      </w:pPr>
    </w:p>
    <w:p w14:paraId="72E9990D">
      <w:pPr>
        <w:pStyle w:val="2"/>
        <w:spacing w:line="280" w:lineRule="auto"/>
      </w:pPr>
    </w:p>
    <w:p w14:paraId="4C7685D4">
      <w:pPr>
        <w:pStyle w:val="2"/>
        <w:spacing w:line="280" w:lineRule="auto"/>
      </w:pPr>
    </w:p>
    <w:p w14:paraId="3007AC85">
      <w:pPr>
        <w:pStyle w:val="2"/>
        <w:spacing w:line="281" w:lineRule="auto"/>
      </w:pPr>
    </w:p>
    <w:p w14:paraId="13297751">
      <w:pPr>
        <w:pStyle w:val="2"/>
        <w:spacing w:line="281" w:lineRule="auto"/>
      </w:pPr>
    </w:p>
    <w:p w14:paraId="59CD129A">
      <w:pPr>
        <w:spacing w:before="88" w:line="222" w:lineRule="auto"/>
        <w:rPr>
          <w:rFonts w:ascii="黑体" w:hAnsi="黑体" w:eastAsia="黑体" w:cs="黑体"/>
          <w:sz w:val="27"/>
          <w:szCs w:val="27"/>
        </w:rPr>
      </w:pPr>
      <w:r>
        <w:rPr>
          <w:rFonts w:ascii="黑体" w:hAnsi="黑体" w:eastAsia="黑体" w:cs="黑体"/>
          <w:spacing w:val="-2"/>
          <w:sz w:val="27"/>
          <w:szCs w:val="27"/>
        </w:rPr>
        <w:t>1.2</w:t>
      </w:r>
      <w:r>
        <w:rPr>
          <w:rFonts w:ascii="黑体" w:hAnsi="黑体" w:eastAsia="黑体" w:cs="黑体"/>
          <w:spacing w:val="28"/>
          <w:sz w:val="27"/>
          <w:szCs w:val="27"/>
        </w:rPr>
        <w:t xml:space="preserve">  </w:t>
      </w:r>
      <w:r>
        <w:rPr>
          <w:rFonts w:ascii="黑体" w:hAnsi="黑体" w:eastAsia="黑体" w:cs="黑体"/>
          <w:b/>
          <w:bCs/>
          <w:spacing w:val="-2"/>
          <w:sz w:val="27"/>
          <w:szCs w:val="27"/>
        </w:rPr>
        <w:t>产品功能</w:t>
      </w:r>
    </w:p>
    <w:p w14:paraId="2762CE16">
      <w:pPr>
        <w:spacing w:before="87" w:line="219" w:lineRule="auto"/>
        <w:ind w:left="560"/>
        <w:rPr>
          <w:rFonts w:ascii="宋体" w:hAnsi="宋体" w:eastAsia="宋体" w:cs="宋体"/>
          <w:sz w:val="27"/>
          <w:szCs w:val="27"/>
        </w:rPr>
      </w:pPr>
      <w:r>
        <w:rPr>
          <w:rFonts w:ascii="宋体" w:hAnsi="宋体" w:eastAsia="宋体" w:cs="宋体"/>
          <w:spacing w:val="-3"/>
          <w:sz w:val="27"/>
          <w:szCs w:val="27"/>
        </w:rPr>
        <w:t>简要说明产品(产品型号、名称)的功能。</w:t>
      </w:r>
    </w:p>
    <w:p w14:paraId="5F735DE3">
      <w:pPr>
        <w:spacing w:before="107"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6"/>
          <w:sz w:val="27"/>
          <w:szCs w:val="27"/>
        </w:rPr>
        <w:t xml:space="preserve">  </w:t>
      </w:r>
      <w:r>
        <w:rPr>
          <w:rFonts w:ascii="黑体" w:hAnsi="黑体" w:eastAsia="黑体" w:cs="黑体"/>
          <w:b/>
          <w:bCs/>
          <w:sz w:val="27"/>
          <w:szCs w:val="27"/>
        </w:rPr>
        <w:t>产品性能和数据</w:t>
      </w:r>
    </w:p>
    <w:p w14:paraId="46327AF3">
      <w:pPr>
        <w:spacing w:before="105" w:line="222" w:lineRule="auto"/>
        <w:rPr>
          <w:rFonts w:ascii="黑体" w:hAnsi="黑体" w:eastAsia="黑体" w:cs="黑体"/>
          <w:sz w:val="27"/>
          <w:szCs w:val="27"/>
        </w:rPr>
      </w:pPr>
      <w:r>
        <w:rPr>
          <w:rFonts w:ascii="黑体" w:hAnsi="黑体" w:eastAsia="黑体" w:cs="黑体"/>
          <w:spacing w:val="6"/>
          <w:sz w:val="27"/>
          <w:szCs w:val="27"/>
        </w:rPr>
        <w:t>2.1</w:t>
      </w:r>
      <w:r>
        <w:rPr>
          <w:rFonts w:ascii="黑体" w:hAnsi="黑体" w:eastAsia="黑体" w:cs="黑体"/>
          <w:spacing w:val="20"/>
          <w:sz w:val="27"/>
          <w:szCs w:val="27"/>
        </w:rPr>
        <w:t xml:space="preserve">  </w:t>
      </w:r>
      <w:r>
        <w:rPr>
          <w:rFonts w:ascii="黑体" w:hAnsi="黑体" w:eastAsia="黑体" w:cs="黑体"/>
          <w:b/>
          <w:bCs/>
          <w:spacing w:val="6"/>
          <w:sz w:val="27"/>
          <w:szCs w:val="27"/>
        </w:rPr>
        <w:t>产品性能</w:t>
      </w:r>
    </w:p>
    <w:p w14:paraId="197371B8">
      <w:pPr>
        <w:spacing w:before="79" w:line="219" w:lineRule="auto"/>
        <w:ind w:left="560"/>
        <w:rPr>
          <w:rFonts w:ascii="宋体" w:hAnsi="宋体" w:eastAsia="宋体" w:cs="宋体"/>
          <w:sz w:val="27"/>
          <w:szCs w:val="27"/>
        </w:rPr>
      </w:pPr>
      <w:r>
        <w:rPr>
          <w:rFonts w:ascii="宋体" w:hAnsi="宋体" w:eastAsia="宋体" w:cs="宋体"/>
          <w:spacing w:val="2"/>
          <w:sz w:val="27"/>
          <w:szCs w:val="27"/>
        </w:rPr>
        <w:t>详细说明产品的战术技术性能指标。</w:t>
      </w:r>
    </w:p>
    <w:p w14:paraId="6571F710">
      <w:pPr>
        <w:spacing w:before="125" w:line="222" w:lineRule="auto"/>
        <w:rPr>
          <w:rFonts w:ascii="黑体" w:hAnsi="黑体" w:eastAsia="黑体" w:cs="黑体"/>
          <w:sz w:val="27"/>
          <w:szCs w:val="27"/>
        </w:rPr>
      </w:pPr>
      <w:r>
        <w:rPr>
          <w:rFonts w:ascii="黑体" w:hAnsi="黑体" w:eastAsia="黑体" w:cs="黑体"/>
          <w:sz w:val="27"/>
          <w:szCs w:val="27"/>
        </w:rPr>
        <w:t>2.2</w:t>
      </w:r>
      <w:r>
        <w:rPr>
          <w:rFonts w:ascii="黑体" w:hAnsi="黑体" w:eastAsia="黑体" w:cs="黑体"/>
          <w:spacing w:val="20"/>
          <w:sz w:val="27"/>
          <w:szCs w:val="27"/>
        </w:rPr>
        <w:t xml:space="preserve">  </w:t>
      </w:r>
      <w:r>
        <w:rPr>
          <w:rFonts w:ascii="黑体" w:hAnsi="黑体" w:eastAsia="黑体" w:cs="黑体"/>
          <w:b/>
          <w:bCs/>
          <w:sz w:val="27"/>
          <w:szCs w:val="27"/>
        </w:rPr>
        <w:t>产品数据</w:t>
      </w:r>
    </w:p>
    <w:p w14:paraId="3C4EC2CD">
      <w:pPr>
        <w:spacing w:before="100" w:line="219" w:lineRule="auto"/>
        <w:ind w:left="560"/>
        <w:rPr>
          <w:rFonts w:ascii="宋体" w:hAnsi="宋体" w:eastAsia="宋体" w:cs="宋体"/>
          <w:sz w:val="27"/>
          <w:szCs w:val="27"/>
        </w:rPr>
      </w:pPr>
      <w:r>
        <w:rPr>
          <w:rFonts w:ascii="宋体" w:hAnsi="宋体" w:eastAsia="宋体" w:cs="宋体"/>
          <w:sz w:val="27"/>
          <w:szCs w:val="27"/>
        </w:rPr>
        <w:t>详细说明产品的相关技术数据，包括有关的计算方式和特性曲线等。</w:t>
      </w:r>
    </w:p>
    <w:p w14:paraId="200DBA8D">
      <w:pPr>
        <w:spacing w:before="103" w:line="222" w:lineRule="auto"/>
        <w:rPr>
          <w:rFonts w:ascii="黑体" w:hAnsi="黑体" w:eastAsia="黑体" w:cs="黑体"/>
          <w:sz w:val="24"/>
          <w:szCs w:val="24"/>
        </w:rPr>
      </w:pPr>
      <w:r>
        <w:rPr>
          <w:rFonts w:ascii="黑体" w:hAnsi="黑体" w:eastAsia="黑体" w:cs="黑体"/>
          <w:spacing w:val="20"/>
          <w:sz w:val="24"/>
          <w:szCs w:val="24"/>
        </w:rPr>
        <w:t>3</w:t>
      </w:r>
      <w:r>
        <w:rPr>
          <w:rFonts w:ascii="黑体" w:hAnsi="黑体" w:eastAsia="黑体" w:cs="黑体"/>
          <w:spacing w:val="37"/>
          <w:sz w:val="24"/>
          <w:szCs w:val="24"/>
        </w:rPr>
        <w:t xml:space="preserve">  </w:t>
      </w:r>
      <w:r>
        <w:rPr>
          <w:rFonts w:ascii="黑体" w:hAnsi="黑体" w:eastAsia="黑体" w:cs="黑体"/>
          <w:b/>
          <w:bCs/>
          <w:spacing w:val="20"/>
          <w:sz w:val="24"/>
          <w:szCs w:val="24"/>
        </w:rPr>
        <w:t>产品组成、结构和工作原理</w:t>
      </w:r>
    </w:p>
    <w:p w14:paraId="1E6C9819">
      <w:pPr>
        <w:spacing w:before="114" w:line="222" w:lineRule="auto"/>
        <w:rPr>
          <w:rFonts w:ascii="黑体" w:hAnsi="黑体" w:eastAsia="黑体" w:cs="黑体"/>
          <w:sz w:val="27"/>
          <w:szCs w:val="27"/>
        </w:rPr>
      </w:pPr>
      <w:r>
        <w:rPr>
          <w:rFonts w:ascii="黑体" w:hAnsi="黑体" w:eastAsia="黑体" w:cs="黑体"/>
          <w:spacing w:val="-1"/>
          <w:sz w:val="27"/>
          <w:szCs w:val="27"/>
        </w:rPr>
        <w:t>3.1</w:t>
      </w:r>
      <w:r>
        <w:rPr>
          <w:rFonts w:ascii="黑体" w:hAnsi="黑体" w:eastAsia="黑体" w:cs="黑体"/>
          <w:spacing w:val="23"/>
          <w:sz w:val="27"/>
          <w:szCs w:val="27"/>
        </w:rPr>
        <w:t xml:space="preserve">  </w:t>
      </w:r>
      <w:r>
        <w:rPr>
          <w:rFonts w:ascii="黑体" w:hAnsi="黑体" w:eastAsia="黑体" w:cs="黑体"/>
          <w:b/>
          <w:bCs/>
          <w:spacing w:val="-1"/>
          <w:sz w:val="27"/>
          <w:szCs w:val="27"/>
        </w:rPr>
        <w:t>产品组成</w:t>
      </w:r>
    </w:p>
    <w:p w14:paraId="14380F14">
      <w:pPr>
        <w:spacing w:before="89" w:line="297" w:lineRule="auto"/>
        <w:ind w:right="112" w:firstLine="560"/>
        <w:rPr>
          <w:rFonts w:ascii="宋体" w:hAnsi="宋体" w:eastAsia="宋体" w:cs="宋体"/>
          <w:sz w:val="27"/>
          <w:szCs w:val="27"/>
        </w:rPr>
      </w:pPr>
      <w:r>
        <w:rPr>
          <w:rFonts w:ascii="宋体" w:hAnsi="宋体" w:eastAsia="宋体" w:cs="宋体"/>
          <w:spacing w:val="5"/>
          <w:sz w:val="27"/>
          <w:szCs w:val="27"/>
        </w:rPr>
        <w:t>说明产品由哪些部分组成，各组成部分完成的功能。产品组成应使用标准</w:t>
      </w:r>
      <w:r>
        <w:rPr>
          <w:rFonts w:ascii="宋体" w:hAnsi="宋体" w:eastAsia="宋体" w:cs="宋体"/>
          <w:spacing w:val="1"/>
          <w:sz w:val="27"/>
          <w:szCs w:val="27"/>
        </w:rPr>
        <w:t xml:space="preserve"> </w:t>
      </w:r>
      <w:r>
        <w:rPr>
          <w:rFonts w:ascii="宋体" w:hAnsi="宋体" w:eastAsia="宋体" w:cs="宋体"/>
          <w:spacing w:val="-9"/>
          <w:sz w:val="27"/>
          <w:szCs w:val="27"/>
        </w:rPr>
        <w:t>名称，且与实物一致。</w:t>
      </w:r>
    </w:p>
    <w:p w14:paraId="77801B5B">
      <w:pPr>
        <w:spacing w:before="7" w:line="223" w:lineRule="auto"/>
        <w:rPr>
          <w:rFonts w:ascii="黑体" w:hAnsi="黑体" w:eastAsia="黑体" w:cs="黑体"/>
          <w:sz w:val="25"/>
          <w:szCs w:val="25"/>
        </w:rPr>
      </w:pPr>
      <w:r>
        <w:rPr>
          <w:rFonts w:ascii="黑体" w:hAnsi="黑体" w:eastAsia="黑体" w:cs="黑体"/>
          <w:spacing w:val="12"/>
          <w:sz w:val="25"/>
          <w:szCs w:val="25"/>
        </w:rPr>
        <w:t>3.2</w:t>
      </w:r>
      <w:r>
        <w:rPr>
          <w:rFonts w:ascii="黑体" w:hAnsi="黑体" w:eastAsia="黑体" w:cs="黑体"/>
          <w:spacing w:val="45"/>
          <w:sz w:val="25"/>
          <w:szCs w:val="25"/>
        </w:rPr>
        <w:t xml:space="preserve">  </w:t>
      </w:r>
      <w:r>
        <w:rPr>
          <w:rFonts w:ascii="黑体" w:hAnsi="黑体" w:eastAsia="黑体" w:cs="黑体"/>
          <w:b/>
          <w:bCs/>
          <w:spacing w:val="12"/>
          <w:sz w:val="25"/>
          <w:szCs w:val="25"/>
        </w:rPr>
        <w:t>产品结构</w:t>
      </w:r>
    </w:p>
    <w:p w14:paraId="28A86A56">
      <w:pPr>
        <w:spacing w:before="81" w:line="296" w:lineRule="auto"/>
        <w:ind w:right="104" w:firstLine="560"/>
        <w:rPr>
          <w:rFonts w:ascii="宋体" w:hAnsi="宋体" w:eastAsia="宋体" w:cs="宋体"/>
          <w:sz w:val="27"/>
          <w:szCs w:val="27"/>
        </w:rPr>
      </w:pPr>
      <w:r>
        <w:rPr>
          <w:rFonts w:ascii="宋体" w:hAnsi="宋体" w:eastAsia="宋体" w:cs="宋体"/>
          <w:spacing w:val="-3"/>
          <w:sz w:val="27"/>
          <w:szCs w:val="27"/>
        </w:rPr>
        <w:t>说明产品在结构上的特点、特征。可用外形图、装配图和照片等说明产</w:t>
      </w:r>
      <w:r>
        <w:rPr>
          <w:rFonts w:ascii="宋体" w:hAnsi="宋体" w:eastAsia="宋体" w:cs="宋体"/>
          <w:spacing w:val="-4"/>
          <w:sz w:val="27"/>
          <w:szCs w:val="27"/>
        </w:rPr>
        <w:t>品的</w:t>
      </w:r>
      <w:r>
        <w:rPr>
          <w:rFonts w:ascii="宋体" w:hAnsi="宋体" w:eastAsia="宋体" w:cs="宋体"/>
          <w:sz w:val="27"/>
          <w:szCs w:val="27"/>
        </w:rPr>
        <w:t xml:space="preserve"> 主要情况。</w:t>
      </w:r>
    </w:p>
    <w:p w14:paraId="6D1B5F45">
      <w:pPr>
        <w:spacing w:line="221" w:lineRule="auto"/>
        <w:rPr>
          <w:rFonts w:ascii="黑体" w:hAnsi="黑体" w:eastAsia="黑体" w:cs="黑体"/>
          <w:sz w:val="24"/>
          <w:szCs w:val="24"/>
        </w:rPr>
      </w:pPr>
      <w:r>
        <w:rPr>
          <w:rFonts w:ascii="黑体" w:hAnsi="黑体" w:eastAsia="黑体" w:cs="黑体"/>
          <w:spacing w:val="17"/>
          <w:sz w:val="24"/>
          <w:szCs w:val="24"/>
        </w:rPr>
        <w:t>3.3</w:t>
      </w:r>
      <w:r>
        <w:rPr>
          <w:rFonts w:ascii="黑体" w:hAnsi="黑体" w:eastAsia="黑体" w:cs="黑体"/>
          <w:spacing w:val="57"/>
          <w:sz w:val="24"/>
          <w:szCs w:val="24"/>
        </w:rPr>
        <w:t xml:space="preserve">  </w:t>
      </w:r>
      <w:r>
        <w:rPr>
          <w:rFonts w:ascii="黑体" w:hAnsi="黑体" w:eastAsia="黑体" w:cs="黑体"/>
          <w:b/>
          <w:bCs/>
          <w:spacing w:val="17"/>
          <w:sz w:val="24"/>
          <w:szCs w:val="24"/>
        </w:rPr>
        <w:t>工作原理</w:t>
      </w:r>
    </w:p>
    <w:p w14:paraId="7B4C5C2B">
      <w:pPr>
        <w:spacing w:before="128" w:line="289" w:lineRule="auto"/>
        <w:ind w:right="102" w:firstLine="560"/>
        <w:rPr>
          <w:rFonts w:ascii="宋体" w:hAnsi="宋体" w:eastAsia="宋体" w:cs="宋体"/>
          <w:sz w:val="27"/>
          <w:szCs w:val="27"/>
        </w:rPr>
      </w:pPr>
      <w:r>
        <w:rPr>
          <w:rFonts w:ascii="宋体" w:hAnsi="宋体" w:eastAsia="宋体" w:cs="宋体"/>
          <w:spacing w:val="5"/>
          <w:sz w:val="27"/>
          <w:szCs w:val="27"/>
        </w:rPr>
        <w:t>应从正确使用产品出发，用通俗易懂的文字和必要的原理图或其他示意图</w:t>
      </w:r>
      <w:r>
        <w:rPr>
          <w:rFonts w:ascii="宋体" w:hAnsi="宋体" w:eastAsia="宋体" w:cs="宋体"/>
          <w:spacing w:val="11"/>
          <w:sz w:val="27"/>
          <w:szCs w:val="27"/>
        </w:rPr>
        <w:t xml:space="preserve"> </w:t>
      </w:r>
      <w:r>
        <w:rPr>
          <w:rFonts w:ascii="宋体" w:hAnsi="宋体" w:eastAsia="宋体" w:cs="宋体"/>
          <w:spacing w:val="2"/>
          <w:sz w:val="27"/>
          <w:szCs w:val="27"/>
        </w:rPr>
        <w:t>说明产品的工作原理。</w:t>
      </w:r>
    </w:p>
    <w:p w14:paraId="25235E0C">
      <w:pPr>
        <w:spacing w:before="1" w:line="221" w:lineRule="auto"/>
        <w:rPr>
          <w:rFonts w:ascii="黑体" w:hAnsi="黑体" w:eastAsia="黑体" w:cs="黑体"/>
          <w:sz w:val="27"/>
          <w:szCs w:val="27"/>
        </w:rPr>
      </w:pPr>
      <w:r>
        <w:rPr>
          <w:rFonts w:ascii="黑体" w:hAnsi="黑体" w:eastAsia="黑体" w:cs="黑体"/>
          <w:sz w:val="27"/>
          <w:szCs w:val="27"/>
        </w:rPr>
        <w:t>4</w:t>
      </w:r>
      <w:r>
        <w:rPr>
          <w:rFonts w:ascii="黑体" w:hAnsi="黑体" w:eastAsia="黑体" w:cs="黑体"/>
          <w:spacing w:val="13"/>
          <w:sz w:val="27"/>
          <w:szCs w:val="27"/>
        </w:rPr>
        <w:t xml:space="preserve">  </w:t>
      </w:r>
      <w:r>
        <w:rPr>
          <w:rFonts w:ascii="黑体" w:hAnsi="黑体" w:eastAsia="黑体" w:cs="黑体"/>
          <w:b/>
          <w:bCs/>
          <w:sz w:val="27"/>
          <w:szCs w:val="27"/>
        </w:rPr>
        <w:t>产品技术特点</w:t>
      </w:r>
    </w:p>
    <w:p w14:paraId="0C848792">
      <w:pPr>
        <w:spacing w:before="119" w:line="219" w:lineRule="auto"/>
        <w:ind w:left="560"/>
        <w:rPr>
          <w:rFonts w:ascii="宋体" w:hAnsi="宋体" w:eastAsia="宋体" w:cs="宋体"/>
          <w:sz w:val="27"/>
          <w:szCs w:val="27"/>
        </w:rPr>
      </w:pPr>
      <w:r>
        <w:rPr>
          <w:rFonts w:ascii="宋体" w:hAnsi="宋体" w:eastAsia="宋体" w:cs="宋体"/>
          <w:spacing w:val="4"/>
          <w:sz w:val="27"/>
          <w:szCs w:val="27"/>
        </w:rPr>
        <w:t>简要说明产品在技术上具有的特点。通常包括以下内容：</w:t>
      </w:r>
    </w:p>
    <w:p w14:paraId="12B650FD">
      <w:pPr>
        <w:spacing w:before="91" w:line="219" w:lineRule="auto"/>
        <w:ind w:left="560"/>
        <w:rPr>
          <w:rFonts w:ascii="宋体" w:hAnsi="宋体" w:eastAsia="宋体" w:cs="宋体"/>
          <w:sz w:val="27"/>
          <w:szCs w:val="27"/>
        </w:rPr>
      </w:pPr>
      <w:r>
        <w:rPr>
          <w:rFonts w:ascii="Times New Roman" w:hAnsi="Times New Roman" w:eastAsia="Times New Roman" w:cs="Times New Roman"/>
          <w:spacing w:val="9"/>
          <w:sz w:val="27"/>
          <w:szCs w:val="27"/>
        </w:rPr>
        <w:t>a</w:t>
      </w:r>
      <w:r>
        <w:rPr>
          <w:rFonts w:ascii="宋体" w:hAnsi="宋体" w:eastAsia="宋体" w:cs="宋体"/>
          <w:spacing w:val="9"/>
          <w:sz w:val="27"/>
          <w:szCs w:val="27"/>
        </w:rPr>
        <w:t>)战术技术性能方面的特点；</w:t>
      </w:r>
    </w:p>
    <w:p w14:paraId="1DADEC60">
      <w:pPr>
        <w:spacing w:before="6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技术体制方面的特点；</w:t>
      </w:r>
    </w:p>
    <w:p w14:paraId="4A5E2006">
      <w:pPr>
        <w:spacing w:before="110"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76"/>
          <w:sz w:val="27"/>
          <w:szCs w:val="27"/>
        </w:rPr>
        <w:t xml:space="preserve"> </w:t>
      </w:r>
      <w:r>
        <w:rPr>
          <w:rFonts w:ascii="宋体" w:hAnsi="宋体" w:eastAsia="宋体" w:cs="宋体"/>
          <w:spacing w:val="-5"/>
          <w:sz w:val="27"/>
          <w:szCs w:val="27"/>
        </w:rPr>
        <w:t>技术措施(途径、方案)方面的特点；</w:t>
      </w:r>
    </w:p>
    <w:p w14:paraId="3C5C9B8A">
      <w:pPr>
        <w:spacing w:before="99"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结构方面的特点；</w:t>
      </w:r>
    </w:p>
    <w:p w14:paraId="70A5817B">
      <w:pPr>
        <w:spacing w:before="130"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采用新材料、新工艺方面的特点；</w:t>
      </w:r>
    </w:p>
    <w:p w14:paraId="716D539D">
      <w:pPr>
        <w:spacing w:before="90"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f)  </w:t>
      </w:r>
      <w:r>
        <w:rPr>
          <w:rFonts w:ascii="宋体" w:hAnsi="宋体" w:eastAsia="宋体" w:cs="宋体"/>
          <w:spacing w:val="2"/>
          <w:sz w:val="27"/>
          <w:szCs w:val="27"/>
        </w:rPr>
        <w:t>环境适应性方面的特点；</w:t>
      </w:r>
    </w:p>
    <w:p w14:paraId="3CFA64CC">
      <w:pPr>
        <w:spacing w:before="11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g)  </w:t>
      </w:r>
      <w:r>
        <w:rPr>
          <w:rFonts w:ascii="宋体" w:hAnsi="宋体" w:eastAsia="宋体" w:cs="宋体"/>
          <w:spacing w:val="3"/>
          <w:sz w:val="27"/>
          <w:szCs w:val="27"/>
        </w:rPr>
        <w:t>可靠性维修性测试性保障性安全性方面的特点；</w:t>
      </w:r>
    </w:p>
    <w:p w14:paraId="12EB6BE4">
      <w:pPr>
        <w:spacing w:before="100"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 xml:space="preserve">h)  </w:t>
      </w:r>
      <w:r>
        <w:rPr>
          <w:rFonts w:ascii="宋体" w:hAnsi="宋体" w:eastAsia="宋体" w:cs="宋体"/>
          <w:spacing w:val="1"/>
          <w:sz w:val="27"/>
          <w:szCs w:val="27"/>
        </w:rPr>
        <w:t>其他特点。</w:t>
      </w:r>
    </w:p>
    <w:p w14:paraId="66D41304">
      <w:pPr>
        <w:pStyle w:val="2"/>
        <w:spacing w:before="135" w:line="222" w:lineRule="auto"/>
        <w:rPr>
          <w:rFonts w:ascii="黑体" w:hAnsi="黑体" w:eastAsia="黑体" w:cs="黑体"/>
          <w:sz w:val="27"/>
          <w:szCs w:val="27"/>
        </w:rPr>
      </w:pPr>
      <w:r>
        <w:rPr>
          <w:b/>
          <w:bCs/>
          <w:sz w:val="27"/>
          <w:szCs w:val="27"/>
        </w:rPr>
        <w:t>5</w:t>
      </w:r>
      <w:r>
        <w:rPr>
          <w:b/>
          <w:bCs/>
          <w:spacing w:val="23"/>
          <w:sz w:val="27"/>
          <w:szCs w:val="27"/>
        </w:rPr>
        <w:t xml:space="preserve">   </w:t>
      </w:r>
      <w:r>
        <w:rPr>
          <w:rFonts w:ascii="黑体" w:hAnsi="黑体" w:eastAsia="黑体" w:cs="黑体"/>
          <w:b/>
          <w:bCs/>
          <w:sz w:val="27"/>
          <w:szCs w:val="27"/>
        </w:rPr>
        <w:t>产品配套及其交联接口关系</w:t>
      </w:r>
    </w:p>
    <w:p w14:paraId="40929CF4">
      <w:pPr>
        <w:spacing w:before="97" w:line="222" w:lineRule="auto"/>
        <w:rPr>
          <w:rFonts w:ascii="黑体" w:hAnsi="黑体" w:eastAsia="黑体" w:cs="黑体"/>
          <w:sz w:val="27"/>
          <w:szCs w:val="27"/>
        </w:rPr>
      </w:pPr>
      <w:r>
        <w:rPr>
          <w:rFonts w:ascii="黑体" w:hAnsi="黑体" w:eastAsia="黑体" w:cs="黑体"/>
          <w:sz w:val="27"/>
          <w:szCs w:val="27"/>
        </w:rPr>
        <w:t>5.1</w:t>
      </w:r>
      <w:r>
        <w:rPr>
          <w:rFonts w:ascii="黑体" w:hAnsi="黑体" w:eastAsia="黑体" w:cs="黑体"/>
          <w:spacing w:val="18"/>
          <w:sz w:val="27"/>
          <w:szCs w:val="27"/>
        </w:rPr>
        <w:t xml:space="preserve">  </w:t>
      </w:r>
      <w:r>
        <w:rPr>
          <w:rFonts w:ascii="黑体" w:hAnsi="黑体" w:eastAsia="黑体" w:cs="黑体"/>
          <w:b/>
          <w:bCs/>
          <w:sz w:val="27"/>
          <w:szCs w:val="27"/>
        </w:rPr>
        <w:t>产品配套</w:t>
      </w:r>
    </w:p>
    <w:p w14:paraId="47F67CC4">
      <w:pPr>
        <w:spacing w:before="89" w:line="219" w:lineRule="auto"/>
        <w:ind w:left="560"/>
        <w:rPr>
          <w:rFonts w:ascii="宋体" w:hAnsi="宋体" w:eastAsia="宋体" w:cs="宋体"/>
          <w:sz w:val="27"/>
          <w:szCs w:val="27"/>
        </w:rPr>
      </w:pPr>
      <w:r>
        <w:rPr>
          <w:rFonts w:ascii="宋体" w:hAnsi="宋体" w:eastAsia="宋体" w:cs="宋体"/>
          <w:spacing w:val="2"/>
          <w:sz w:val="27"/>
          <w:szCs w:val="27"/>
        </w:rPr>
        <w:t>详细说明产品的配套情况。</w:t>
      </w:r>
    </w:p>
    <w:p w14:paraId="595875EC">
      <w:pPr>
        <w:spacing w:before="144" w:line="222" w:lineRule="auto"/>
        <w:rPr>
          <w:rFonts w:ascii="黑体" w:hAnsi="黑体" w:eastAsia="黑体" w:cs="黑体"/>
          <w:sz w:val="24"/>
          <w:szCs w:val="24"/>
        </w:rPr>
      </w:pPr>
      <w:r>
        <w:rPr>
          <w:rFonts w:ascii="黑体" w:hAnsi="黑体" w:eastAsia="黑体" w:cs="黑体"/>
          <w:spacing w:val="21"/>
          <w:sz w:val="24"/>
          <w:szCs w:val="24"/>
        </w:rPr>
        <w:t>5.</w:t>
      </w:r>
      <w:r>
        <w:rPr>
          <w:rFonts w:ascii="黑体" w:hAnsi="黑体" w:eastAsia="黑体" w:cs="黑体"/>
          <w:b/>
          <w:bCs/>
          <w:spacing w:val="21"/>
          <w:sz w:val="24"/>
          <w:szCs w:val="24"/>
        </w:rPr>
        <w:t>2</w:t>
      </w:r>
      <w:r>
        <w:rPr>
          <w:rFonts w:ascii="黑体" w:hAnsi="黑体" w:eastAsia="黑体" w:cs="黑体"/>
          <w:spacing w:val="50"/>
          <w:sz w:val="24"/>
          <w:szCs w:val="24"/>
        </w:rPr>
        <w:t xml:space="preserve">  </w:t>
      </w:r>
      <w:r>
        <w:rPr>
          <w:rFonts w:ascii="黑体" w:hAnsi="黑体" w:eastAsia="黑体" w:cs="黑体"/>
          <w:b/>
          <w:bCs/>
          <w:spacing w:val="21"/>
          <w:sz w:val="24"/>
          <w:szCs w:val="24"/>
        </w:rPr>
        <w:t>交联接口关系</w:t>
      </w:r>
    </w:p>
    <w:p w14:paraId="4B42351A">
      <w:pPr>
        <w:spacing w:before="136" w:line="301" w:lineRule="auto"/>
        <w:ind w:firstLine="560"/>
        <w:rPr>
          <w:rFonts w:ascii="宋体" w:hAnsi="宋体" w:eastAsia="宋体" w:cs="宋体"/>
          <w:sz w:val="25"/>
          <w:szCs w:val="25"/>
        </w:rPr>
      </w:pPr>
      <w:r>
        <w:rPr>
          <w:rFonts w:ascii="宋体" w:hAnsi="宋体" w:eastAsia="宋体" w:cs="宋体"/>
          <w:spacing w:val="24"/>
          <w:sz w:val="25"/>
          <w:szCs w:val="25"/>
        </w:rPr>
        <w:t>详细说明产品组成部分与配套设备之间的交联接口关系(包括机械、</w:t>
      </w:r>
      <w:r>
        <w:rPr>
          <w:rFonts w:ascii="宋体" w:hAnsi="宋体" w:eastAsia="宋体" w:cs="宋体"/>
          <w:spacing w:val="23"/>
          <w:sz w:val="25"/>
          <w:szCs w:val="25"/>
        </w:rPr>
        <w:t>电气、</w:t>
      </w:r>
      <w:r>
        <w:rPr>
          <w:rFonts w:ascii="宋体" w:hAnsi="宋体" w:eastAsia="宋体" w:cs="宋体"/>
          <w:sz w:val="25"/>
          <w:szCs w:val="25"/>
        </w:rPr>
        <w:t xml:space="preserve"> </w:t>
      </w:r>
      <w:r>
        <w:rPr>
          <w:rFonts w:ascii="宋体" w:hAnsi="宋体" w:eastAsia="宋体" w:cs="宋体"/>
          <w:spacing w:val="12"/>
          <w:sz w:val="25"/>
          <w:szCs w:val="25"/>
        </w:rPr>
        <w:t>电子、管路等),并给出定量数据。</w:t>
      </w:r>
    </w:p>
    <w:p w14:paraId="2B6A1306">
      <w:pPr>
        <w:spacing w:line="301" w:lineRule="auto"/>
        <w:rPr>
          <w:rFonts w:ascii="宋体" w:hAnsi="宋体" w:eastAsia="宋体" w:cs="宋体"/>
          <w:sz w:val="25"/>
          <w:szCs w:val="25"/>
        </w:rPr>
        <w:sectPr>
          <w:footerReference r:id="rId113" w:type="default"/>
          <w:pgSz w:w="11910" w:h="17130"/>
          <w:pgMar w:top="400" w:right="1024" w:bottom="1570" w:left="1410" w:header="0" w:footer="1284" w:gutter="0"/>
          <w:cols w:space="720" w:num="1"/>
        </w:sectPr>
      </w:pPr>
    </w:p>
    <w:p w14:paraId="2FA3BBC2">
      <w:pPr>
        <w:pStyle w:val="2"/>
        <w:spacing w:line="272" w:lineRule="auto"/>
      </w:pPr>
    </w:p>
    <w:p w14:paraId="1598372D">
      <w:pPr>
        <w:pStyle w:val="2"/>
        <w:spacing w:line="272" w:lineRule="auto"/>
      </w:pPr>
    </w:p>
    <w:p w14:paraId="529652A5">
      <w:pPr>
        <w:pStyle w:val="2"/>
        <w:spacing w:line="273" w:lineRule="auto"/>
      </w:pPr>
    </w:p>
    <w:p w14:paraId="62A090FA">
      <w:pPr>
        <w:pStyle w:val="2"/>
        <w:spacing w:line="273" w:lineRule="auto"/>
      </w:pPr>
    </w:p>
    <w:p w14:paraId="28E78B02">
      <w:pPr>
        <w:spacing w:before="78" w:line="222" w:lineRule="auto"/>
        <w:rPr>
          <w:rFonts w:ascii="黑体" w:hAnsi="黑体" w:eastAsia="黑体" w:cs="黑体"/>
          <w:sz w:val="24"/>
          <w:szCs w:val="24"/>
        </w:rPr>
      </w:pPr>
      <w:r>
        <w:rPr>
          <w:rFonts w:ascii="黑体" w:hAnsi="黑体" w:eastAsia="黑体" w:cs="黑体"/>
          <w:spacing w:val="28"/>
          <w:sz w:val="24"/>
          <w:szCs w:val="24"/>
        </w:rPr>
        <w:t>6</w:t>
      </w:r>
      <w:r>
        <w:rPr>
          <w:rFonts w:ascii="黑体" w:hAnsi="黑体" w:eastAsia="黑体" w:cs="黑体"/>
          <w:spacing w:val="33"/>
          <w:sz w:val="24"/>
          <w:szCs w:val="24"/>
        </w:rPr>
        <w:t xml:space="preserve">  </w:t>
      </w:r>
      <w:r>
        <w:rPr>
          <w:rFonts w:ascii="黑体" w:hAnsi="黑体" w:eastAsia="黑体" w:cs="黑体"/>
          <w:b/>
          <w:bCs/>
          <w:spacing w:val="28"/>
          <w:sz w:val="24"/>
          <w:szCs w:val="24"/>
        </w:rPr>
        <w:t>使用维修中注意事项</w:t>
      </w:r>
    </w:p>
    <w:p w14:paraId="1BFAF6C1">
      <w:pPr>
        <w:spacing w:before="7" w:line="299" w:lineRule="auto"/>
        <w:ind w:right="20" w:firstLine="560"/>
        <w:rPr>
          <w:rFonts w:ascii="宋体" w:hAnsi="宋体" w:eastAsia="宋体" w:cs="宋体"/>
          <w:sz w:val="27"/>
          <w:szCs w:val="27"/>
        </w:rPr>
      </w:pPr>
      <w:r>
        <w:rPr>
          <w:rFonts w:ascii="宋体" w:hAnsi="宋体" w:eastAsia="宋体" w:cs="宋体"/>
          <w:spacing w:val="-3"/>
          <w:sz w:val="27"/>
          <w:szCs w:val="27"/>
        </w:rPr>
        <w:t>详细说明使用维修中的注意事项，特别是影响</w:t>
      </w:r>
      <w:r>
        <w:rPr>
          <w:rFonts w:ascii="宋体" w:hAnsi="宋体" w:eastAsia="宋体" w:cs="宋体"/>
          <w:spacing w:val="-4"/>
          <w:sz w:val="27"/>
          <w:szCs w:val="27"/>
        </w:rPr>
        <w:t>人身安全、设备安全或技术保</w:t>
      </w:r>
      <w:r>
        <w:rPr>
          <w:rFonts w:ascii="宋体" w:hAnsi="宋体" w:eastAsia="宋体" w:cs="宋体"/>
          <w:sz w:val="27"/>
          <w:szCs w:val="27"/>
        </w:rPr>
        <w:t xml:space="preserve"> </w:t>
      </w:r>
      <w:r>
        <w:rPr>
          <w:rFonts w:ascii="宋体" w:hAnsi="宋体" w:eastAsia="宋体" w:cs="宋体"/>
          <w:spacing w:val="-1"/>
          <w:sz w:val="27"/>
          <w:szCs w:val="27"/>
        </w:rPr>
        <w:t>密的注意事项。</w:t>
      </w:r>
    </w:p>
    <w:p w14:paraId="294A0CFB">
      <w:pPr>
        <w:spacing w:line="221" w:lineRule="auto"/>
        <w:rPr>
          <w:rFonts w:ascii="黑体" w:hAnsi="黑体" w:eastAsia="黑体" w:cs="黑体"/>
          <w:sz w:val="24"/>
          <w:szCs w:val="24"/>
        </w:rPr>
      </w:pPr>
      <w:r>
        <w:rPr>
          <w:rFonts w:ascii="黑体" w:hAnsi="黑体" w:eastAsia="黑体" w:cs="黑体"/>
          <w:spacing w:val="-32"/>
          <w:sz w:val="24"/>
          <w:szCs w:val="24"/>
        </w:rPr>
        <w:t>7</w:t>
      </w:r>
      <w:r>
        <w:rPr>
          <w:rFonts w:ascii="黑体" w:hAnsi="黑体" w:eastAsia="黑体" w:cs="黑体"/>
          <w:spacing w:val="31"/>
          <w:sz w:val="24"/>
          <w:szCs w:val="24"/>
        </w:rPr>
        <w:t xml:space="preserve">  </w:t>
      </w:r>
      <w:r>
        <w:rPr>
          <w:rFonts w:ascii="黑体" w:hAnsi="黑体" w:eastAsia="黑体" w:cs="黑体"/>
          <w:b/>
          <w:bCs/>
          <w:spacing w:val="-32"/>
          <w:sz w:val="24"/>
          <w:szCs w:val="24"/>
        </w:rPr>
        <w:t>附</w:t>
      </w:r>
      <w:r>
        <w:rPr>
          <w:rFonts w:ascii="黑体" w:hAnsi="黑体" w:eastAsia="黑体" w:cs="黑体"/>
          <w:spacing w:val="-44"/>
          <w:sz w:val="24"/>
          <w:szCs w:val="24"/>
        </w:rPr>
        <w:t xml:space="preserve"> </w:t>
      </w:r>
      <w:r>
        <w:rPr>
          <w:rFonts w:ascii="黑体" w:hAnsi="黑体" w:eastAsia="黑体" w:cs="黑体"/>
          <w:b/>
          <w:bCs/>
          <w:spacing w:val="-32"/>
          <w:sz w:val="24"/>
          <w:szCs w:val="24"/>
        </w:rPr>
        <w:t>录</w:t>
      </w:r>
      <w:r>
        <w:rPr>
          <w:rFonts w:ascii="黑体" w:hAnsi="黑体" w:eastAsia="黑体" w:cs="黑体"/>
          <w:spacing w:val="-55"/>
          <w:sz w:val="24"/>
          <w:szCs w:val="24"/>
        </w:rPr>
        <w:t xml:space="preserve"> </w:t>
      </w:r>
      <w:r>
        <w:rPr>
          <w:rFonts w:ascii="黑体" w:hAnsi="黑体" w:eastAsia="黑体" w:cs="黑体"/>
          <w:b/>
          <w:bCs/>
          <w:spacing w:val="-32"/>
          <w:sz w:val="24"/>
          <w:szCs w:val="24"/>
        </w:rPr>
        <w:t>、附</w:t>
      </w:r>
      <w:r>
        <w:rPr>
          <w:rFonts w:ascii="黑体" w:hAnsi="黑体" w:eastAsia="黑体" w:cs="黑体"/>
          <w:spacing w:val="-32"/>
          <w:sz w:val="24"/>
          <w:szCs w:val="24"/>
        </w:rPr>
        <w:t xml:space="preserve"> </w:t>
      </w:r>
      <w:r>
        <w:rPr>
          <w:rFonts w:ascii="黑体" w:hAnsi="黑体" w:eastAsia="黑体" w:cs="黑体"/>
          <w:b/>
          <w:bCs/>
          <w:spacing w:val="-32"/>
          <w:sz w:val="24"/>
          <w:szCs w:val="24"/>
        </w:rPr>
        <w:t>图</w:t>
      </w:r>
    </w:p>
    <w:p w14:paraId="3E2160E4">
      <w:pPr>
        <w:spacing w:before="96" w:line="219" w:lineRule="auto"/>
        <w:ind w:left="560"/>
        <w:rPr>
          <w:rFonts w:ascii="宋体" w:hAnsi="宋体" w:eastAsia="宋体" w:cs="宋体"/>
          <w:sz w:val="27"/>
          <w:szCs w:val="27"/>
        </w:rPr>
      </w:pPr>
      <w:r>
        <w:rPr>
          <w:rFonts w:ascii="宋体" w:hAnsi="宋体" w:eastAsia="宋体" w:cs="宋体"/>
          <w:spacing w:val="3"/>
          <w:sz w:val="27"/>
          <w:szCs w:val="27"/>
        </w:rPr>
        <w:t>提供为更好地理解掌握产品所需的有关附录和附图。</w:t>
      </w:r>
    </w:p>
    <w:p w14:paraId="7BCEE8A0">
      <w:pPr>
        <w:spacing w:before="117" w:line="223" w:lineRule="auto"/>
        <w:rPr>
          <w:rFonts w:ascii="黑体" w:hAnsi="黑体" w:eastAsia="黑体" w:cs="黑体"/>
          <w:sz w:val="24"/>
          <w:szCs w:val="24"/>
        </w:rPr>
      </w:pPr>
      <w:r>
        <w:rPr>
          <w:rFonts w:ascii="黑体" w:hAnsi="黑体" w:eastAsia="黑体" w:cs="黑体"/>
          <w:spacing w:val="-9"/>
          <w:sz w:val="24"/>
          <w:szCs w:val="24"/>
        </w:rPr>
        <w:t>8</w:t>
      </w:r>
      <w:r>
        <w:rPr>
          <w:rFonts w:ascii="黑体" w:hAnsi="黑体" w:eastAsia="黑体" w:cs="黑体"/>
          <w:spacing w:val="30"/>
          <w:sz w:val="24"/>
          <w:szCs w:val="24"/>
        </w:rPr>
        <w:t xml:space="preserve">  </w:t>
      </w:r>
      <w:r>
        <w:rPr>
          <w:rFonts w:ascii="黑体" w:hAnsi="黑体" w:eastAsia="黑体" w:cs="黑体"/>
          <w:b/>
          <w:bCs/>
          <w:spacing w:val="-9"/>
          <w:sz w:val="24"/>
          <w:szCs w:val="24"/>
        </w:rPr>
        <w:t>索</w:t>
      </w:r>
      <w:r>
        <w:rPr>
          <w:rFonts w:ascii="黑体" w:hAnsi="黑体" w:eastAsia="黑体" w:cs="黑体"/>
          <w:spacing w:val="-27"/>
          <w:sz w:val="24"/>
          <w:szCs w:val="24"/>
        </w:rPr>
        <w:t xml:space="preserve"> </w:t>
      </w:r>
      <w:r>
        <w:rPr>
          <w:rFonts w:ascii="黑体" w:hAnsi="黑体" w:eastAsia="黑体" w:cs="黑体"/>
          <w:b/>
          <w:bCs/>
          <w:spacing w:val="-9"/>
          <w:sz w:val="24"/>
          <w:szCs w:val="24"/>
        </w:rPr>
        <w:t>引</w:t>
      </w:r>
    </w:p>
    <w:p w14:paraId="582416CC">
      <w:pPr>
        <w:spacing w:before="72" w:line="219" w:lineRule="auto"/>
        <w:ind w:left="560"/>
        <w:rPr>
          <w:rFonts w:ascii="宋体" w:hAnsi="宋体" w:eastAsia="宋体" w:cs="宋体"/>
          <w:sz w:val="27"/>
          <w:szCs w:val="27"/>
        </w:rPr>
      </w:pPr>
      <w:r>
        <w:rPr>
          <w:rFonts w:ascii="宋体" w:hAnsi="宋体" w:eastAsia="宋体" w:cs="宋体"/>
          <w:spacing w:val="-5"/>
          <w:sz w:val="27"/>
          <w:szCs w:val="27"/>
        </w:rPr>
        <w:t>在产品比较复杂、技术说明书内容较多时，提供索引以便于用户阅读。</w:t>
      </w:r>
    </w:p>
    <w:p w14:paraId="1192E71B">
      <w:pPr>
        <w:pStyle w:val="2"/>
        <w:spacing w:line="338" w:lineRule="auto"/>
      </w:pPr>
    </w:p>
    <w:p w14:paraId="2057757E">
      <w:pPr>
        <w:spacing w:before="117" w:line="219" w:lineRule="auto"/>
        <w:ind w:left="2859"/>
        <w:outlineLvl w:val="1"/>
        <w:rPr>
          <w:rFonts w:ascii="宋体" w:hAnsi="宋体" w:eastAsia="宋体" w:cs="宋体"/>
          <w:sz w:val="36"/>
          <w:szCs w:val="36"/>
        </w:rPr>
      </w:pPr>
      <w:bookmarkStart w:id="65" w:name="bookmark33"/>
      <w:bookmarkEnd w:id="65"/>
      <w:r>
        <w:rPr>
          <w:rFonts w:ascii="宋体" w:hAnsi="宋体" w:eastAsia="宋体" w:cs="宋体"/>
          <w:spacing w:val="-2"/>
          <w:sz w:val="36"/>
          <w:szCs w:val="36"/>
        </w:rPr>
        <w:t>1.</w:t>
      </w:r>
      <w:r>
        <w:rPr>
          <w:rFonts w:ascii="宋体" w:hAnsi="宋体" w:eastAsia="宋体" w:cs="宋体"/>
          <w:b/>
          <w:bCs/>
          <w:spacing w:val="-2"/>
          <w:sz w:val="36"/>
          <w:szCs w:val="36"/>
        </w:rPr>
        <w:t>31</w:t>
      </w:r>
      <w:r>
        <w:rPr>
          <w:rFonts w:ascii="宋体" w:hAnsi="宋体" w:eastAsia="宋体" w:cs="宋体"/>
          <w:spacing w:val="27"/>
          <w:sz w:val="36"/>
          <w:szCs w:val="36"/>
        </w:rPr>
        <w:t xml:space="preserve">  </w:t>
      </w:r>
      <w:r>
        <w:rPr>
          <w:rFonts w:ascii="宋体" w:hAnsi="宋体" w:eastAsia="宋体" w:cs="宋体"/>
          <w:b/>
          <w:bCs/>
          <w:spacing w:val="-2"/>
          <w:sz w:val="36"/>
          <w:szCs w:val="36"/>
        </w:rPr>
        <w:t>使用维护说明书</w:t>
      </w:r>
    </w:p>
    <w:p w14:paraId="391A7556">
      <w:pPr>
        <w:pStyle w:val="2"/>
        <w:spacing w:line="356" w:lineRule="auto"/>
      </w:pPr>
    </w:p>
    <w:p w14:paraId="129CD326">
      <w:pPr>
        <w:spacing w:before="82" w:line="221" w:lineRule="auto"/>
        <w:rPr>
          <w:rFonts w:ascii="黑体" w:hAnsi="黑体" w:eastAsia="黑体" w:cs="黑体"/>
          <w:sz w:val="25"/>
          <w:szCs w:val="25"/>
        </w:rPr>
      </w:pPr>
      <w:r>
        <w:rPr>
          <w:rFonts w:ascii="黑体" w:hAnsi="黑体" w:eastAsia="黑体" w:cs="黑体"/>
          <w:spacing w:val="-12"/>
          <w:sz w:val="25"/>
          <w:szCs w:val="25"/>
        </w:rPr>
        <w:t>1</w:t>
      </w:r>
      <w:r>
        <w:rPr>
          <w:rFonts w:ascii="黑体" w:hAnsi="黑体" w:eastAsia="黑体" w:cs="黑体"/>
          <w:spacing w:val="30"/>
          <w:sz w:val="25"/>
          <w:szCs w:val="25"/>
        </w:rPr>
        <w:t xml:space="preserve">  </w:t>
      </w:r>
      <w:r>
        <w:rPr>
          <w:rFonts w:ascii="黑体" w:hAnsi="黑体" w:eastAsia="黑体" w:cs="黑体"/>
          <w:b/>
          <w:bCs/>
          <w:spacing w:val="-12"/>
          <w:sz w:val="25"/>
          <w:szCs w:val="25"/>
        </w:rPr>
        <w:t>概</w:t>
      </w:r>
      <w:r>
        <w:rPr>
          <w:rFonts w:ascii="黑体" w:hAnsi="黑体" w:eastAsia="黑体" w:cs="黑体"/>
          <w:spacing w:val="-58"/>
          <w:sz w:val="25"/>
          <w:szCs w:val="25"/>
        </w:rPr>
        <w:t xml:space="preserve"> </w:t>
      </w:r>
      <w:r>
        <w:rPr>
          <w:rFonts w:ascii="黑体" w:hAnsi="黑体" w:eastAsia="黑体" w:cs="黑体"/>
          <w:b/>
          <w:bCs/>
          <w:spacing w:val="-12"/>
          <w:sz w:val="25"/>
          <w:szCs w:val="25"/>
        </w:rPr>
        <w:t>述</w:t>
      </w:r>
    </w:p>
    <w:p w14:paraId="6731BA71">
      <w:pPr>
        <w:spacing w:before="106" w:line="219" w:lineRule="auto"/>
        <w:ind w:left="560"/>
        <w:rPr>
          <w:rFonts w:ascii="宋体" w:hAnsi="宋体" w:eastAsia="宋体" w:cs="宋体"/>
          <w:sz w:val="27"/>
          <w:szCs w:val="27"/>
        </w:rPr>
      </w:pPr>
      <w:r>
        <w:rPr>
          <w:rFonts w:ascii="宋体" w:hAnsi="宋体" w:eastAsia="宋体" w:cs="宋体"/>
          <w:spacing w:val="-2"/>
          <w:sz w:val="27"/>
          <w:szCs w:val="27"/>
        </w:rPr>
        <w:t>简要说明产品的用途、组成及在系统中与其他产品的关系等。</w:t>
      </w:r>
    </w:p>
    <w:p w14:paraId="6E21FA22">
      <w:pPr>
        <w:spacing w:before="85"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03E7339D">
      <w:pPr>
        <w:spacing w:before="69" w:line="283" w:lineRule="auto"/>
        <w:ind w:firstLine="560"/>
        <w:rPr>
          <w:rFonts w:ascii="宋体" w:hAnsi="宋体" w:eastAsia="宋体" w:cs="宋体"/>
          <w:sz w:val="27"/>
          <w:szCs w:val="27"/>
        </w:rPr>
      </w:pPr>
      <w:r>
        <w:rPr>
          <w:rFonts w:ascii="宋体" w:hAnsi="宋体" w:eastAsia="宋体" w:cs="宋体"/>
          <w:spacing w:val="-11"/>
          <w:sz w:val="27"/>
          <w:szCs w:val="27"/>
        </w:rPr>
        <w:t>列出直接引用的标准和文件，按国家标准、国家军用标准、行业标准、企业标</w:t>
      </w:r>
      <w:r>
        <w:rPr>
          <w:rFonts w:ascii="宋体" w:hAnsi="宋体" w:eastAsia="宋体" w:cs="宋体"/>
          <w:spacing w:val="13"/>
          <w:sz w:val="27"/>
          <w:szCs w:val="27"/>
        </w:rPr>
        <w:t xml:space="preserve"> </w:t>
      </w:r>
      <w:r>
        <w:rPr>
          <w:rFonts w:ascii="宋体" w:hAnsi="宋体" w:eastAsia="宋体" w:cs="宋体"/>
          <w:spacing w:val="-3"/>
          <w:sz w:val="27"/>
          <w:szCs w:val="27"/>
        </w:rPr>
        <w:t>准和文件的顺序，并按标准顺序号大小递增排列。</w:t>
      </w:r>
    </w:p>
    <w:p w14:paraId="6B2CE208">
      <w:pPr>
        <w:spacing w:before="1" w:line="222"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主要技术参数</w:t>
      </w:r>
    </w:p>
    <w:p w14:paraId="3FEDC5EC">
      <w:pPr>
        <w:spacing w:before="79" w:line="219" w:lineRule="auto"/>
        <w:ind w:left="560"/>
        <w:rPr>
          <w:rFonts w:ascii="宋体" w:hAnsi="宋体" w:eastAsia="宋体" w:cs="宋体"/>
          <w:sz w:val="27"/>
          <w:szCs w:val="27"/>
        </w:rPr>
      </w:pPr>
      <w:r>
        <w:rPr>
          <w:rFonts w:ascii="宋体" w:hAnsi="宋体" w:eastAsia="宋体" w:cs="宋体"/>
          <w:spacing w:val="3"/>
          <w:sz w:val="27"/>
          <w:szCs w:val="27"/>
        </w:rPr>
        <w:t>说明产品的主要技术指标和使用环境条件。</w:t>
      </w:r>
    </w:p>
    <w:p w14:paraId="504D66BA">
      <w:pPr>
        <w:pStyle w:val="2"/>
        <w:spacing w:before="113" w:line="221" w:lineRule="auto"/>
        <w:rPr>
          <w:rFonts w:ascii="黑体" w:hAnsi="黑体" w:eastAsia="黑体" w:cs="黑体"/>
          <w:sz w:val="24"/>
          <w:szCs w:val="24"/>
        </w:rPr>
      </w:pPr>
      <w:r>
        <w:rPr>
          <w:b/>
          <w:bCs/>
          <w:spacing w:val="17"/>
          <w:sz w:val="24"/>
          <w:szCs w:val="24"/>
        </w:rPr>
        <w:t xml:space="preserve">4    </w:t>
      </w:r>
      <w:r>
        <w:rPr>
          <w:rFonts w:ascii="黑体" w:hAnsi="黑体" w:eastAsia="黑体" w:cs="黑体"/>
          <w:b/>
          <w:bCs/>
          <w:spacing w:val="17"/>
          <w:sz w:val="24"/>
          <w:szCs w:val="24"/>
        </w:rPr>
        <w:t>设备组成、结构特征及其工作原理</w:t>
      </w:r>
    </w:p>
    <w:p w14:paraId="668B8FFF">
      <w:pPr>
        <w:spacing w:before="89" w:line="277" w:lineRule="auto"/>
        <w:ind w:right="2" w:firstLine="560"/>
        <w:rPr>
          <w:rFonts w:ascii="宋体" w:hAnsi="宋体" w:eastAsia="宋体" w:cs="宋体"/>
          <w:sz w:val="27"/>
          <w:szCs w:val="27"/>
        </w:rPr>
      </w:pPr>
      <w:r>
        <w:rPr>
          <w:rFonts w:ascii="宋体" w:hAnsi="宋体" w:eastAsia="宋体" w:cs="宋体"/>
          <w:spacing w:val="5"/>
          <w:sz w:val="27"/>
          <w:szCs w:val="27"/>
        </w:rPr>
        <w:t>从产品的使用出发，通过必要的简图(原理图或其他示意图)简要说明产品</w:t>
      </w:r>
      <w:r>
        <w:rPr>
          <w:rFonts w:ascii="宋体" w:hAnsi="宋体" w:eastAsia="宋体" w:cs="宋体"/>
          <w:spacing w:val="11"/>
          <w:sz w:val="27"/>
          <w:szCs w:val="27"/>
        </w:rPr>
        <w:t xml:space="preserve"> </w:t>
      </w:r>
      <w:r>
        <w:rPr>
          <w:rFonts w:ascii="宋体" w:hAnsi="宋体" w:eastAsia="宋体" w:cs="宋体"/>
          <w:spacing w:val="-3"/>
          <w:sz w:val="27"/>
          <w:szCs w:val="27"/>
        </w:rPr>
        <w:t>的组成、结构特征及其工作原理。一般包括以下内容：</w:t>
      </w:r>
    </w:p>
    <w:p w14:paraId="4AB7640E">
      <w:pPr>
        <w:spacing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62"/>
          <w:w w:val="101"/>
          <w:sz w:val="27"/>
          <w:szCs w:val="27"/>
        </w:rPr>
        <w:t xml:space="preserve"> </w:t>
      </w:r>
      <w:r>
        <w:rPr>
          <w:rFonts w:ascii="宋体" w:hAnsi="宋体" w:eastAsia="宋体" w:cs="宋体"/>
          <w:spacing w:val="-4"/>
          <w:sz w:val="27"/>
          <w:szCs w:val="27"/>
        </w:rPr>
        <w:t>产品结构组成及其工作原理、工作特征；</w:t>
      </w:r>
    </w:p>
    <w:p w14:paraId="48924353">
      <w:pPr>
        <w:spacing w:before="90"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主要部件或功能单元的结构、作用及其工作原理；</w:t>
      </w:r>
    </w:p>
    <w:p w14:paraId="38CF5BFF">
      <w:pPr>
        <w:spacing w:before="110"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63"/>
          <w:sz w:val="27"/>
          <w:szCs w:val="27"/>
        </w:rPr>
        <w:t xml:space="preserve"> </w:t>
      </w:r>
      <w:r>
        <w:rPr>
          <w:rFonts w:ascii="宋体" w:hAnsi="宋体" w:eastAsia="宋体" w:cs="宋体"/>
          <w:spacing w:val="-5"/>
          <w:sz w:val="27"/>
          <w:szCs w:val="27"/>
        </w:rPr>
        <w:t>各单元结构之间的机电连接、系统工作原理、故</w:t>
      </w:r>
      <w:r>
        <w:rPr>
          <w:rFonts w:ascii="宋体" w:hAnsi="宋体" w:eastAsia="宋体" w:cs="宋体"/>
          <w:spacing w:val="-6"/>
          <w:sz w:val="27"/>
          <w:szCs w:val="27"/>
        </w:rPr>
        <w:t>障告警系统；</w:t>
      </w:r>
    </w:p>
    <w:p w14:paraId="55CADC2C">
      <w:pPr>
        <w:spacing w:before="90"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辅助装置的功能结构及其工作原理、工</w:t>
      </w:r>
      <w:r>
        <w:rPr>
          <w:rFonts w:ascii="宋体" w:hAnsi="宋体" w:eastAsia="宋体" w:cs="宋体"/>
          <w:spacing w:val="-3"/>
          <w:sz w:val="27"/>
          <w:szCs w:val="27"/>
        </w:rPr>
        <w:t>作特征；</w:t>
      </w:r>
    </w:p>
    <w:p w14:paraId="5F0F86B4">
      <w:pPr>
        <w:spacing w:before="118" w:line="219" w:lineRule="auto"/>
        <w:ind w:left="560"/>
        <w:rPr>
          <w:rFonts w:ascii="宋体" w:hAnsi="宋体" w:eastAsia="宋体" w:cs="宋体"/>
          <w:sz w:val="27"/>
          <w:szCs w:val="27"/>
        </w:rPr>
      </w:pPr>
      <w:r>
        <w:rPr>
          <w:rFonts w:ascii="Times New Roman" w:hAnsi="Times New Roman" w:eastAsia="Times New Roman" w:cs="Times New Roman"/>
          <w:spacing w:val="9"/>
          <w:sz w:val="27"/>
          <w:szCs w:val="27"/>
        </w:rPr>
        <w:t>e</w:t>
      </w:r>
      <w:r>
        <w:rPr>
          <w:rFonts w:ascii="Times New Roman" w:hAnsi="Times New Roman" w:eastAsia="Times New Roman" w:cs="Times New Roman"/>
          <w:spacing w:val="-26"/>
          <w:sz w:val="27"/>
          <w:szCs w:val="27"/>
        </w:rPr>
        <w:t xml:space="preserve"> </w:t>
      </w:r>
      <w:r>
        <w:rPr>
          <w:rFonts w:ascii="宋体" w:hAnsi="宋体" w:eastAsia="宋体" w:cs="宋体"/>
          <w:spacing w:val="9"/>
          <w:sz w:val="27"/>
          <w:szCs w:val="27"/>
        </w:rPr>
        <w:t>)外型及安装尺寸(也可分开);</w:t>
      </w:r>
    </w:p>
    <w:p w14:paraId="404F3EF5">
      <w:pPr>
        <w:spacing w:before="51" w:line="212" w:lineRule="auto"/>
        <w:ind w:left="560"/>
        <w:rPr>
          <w:rFonts w:ascii="宋体" w:hAnsi="宋体" w:eastAsia="宋体" w:cs="宋体"/>
          <w:sz w:val="27"/>
          <w:szCs w:val="27"/>
        </w:rPr>
      </w:pPr>
      <w:r>
        <w:rPr>
          <w:rFonts w:ascii="Times New Roman" w:hAnsi="Times New Roman" w:eastAsia="Times New Roman" w:cs="Times New Roman"/>
          <w:sz w:val="27"/>
          <w:szCs w:val="27"/>
        </w:rPr>
        <w:t>f)</w:t>
      </w:r>
      <w:r>
        <w:rPr>
          <w:rFonts w:ascii="Times New Roman" w:hAnsi="Times New Roman" w:eastAsia="Times New Roman" w:cs="Times New Roman"/>
          <w:spacing w:val="66"/>
          <w:sz w:val="27"/>
          <w:szCs w:val="27"/>
        </w:rPr>
        <w:t xml:space="preserve"> </w:t>
      </w:r>
      <w:r>
        <w:rPr>
          <w:rFonts w:ascii="宋体" w:hAnsi="宋体" w:eastAsia="宋体" w:cs="宋体"/>
          <w:sz w:val="27"/>
          <w:szCs w:val="27"/>
        </w:rPr>
        <w:t>重量。</w:t>
      </w:r>
    </w:p>
    <w:p w14:paraId="56982EA6">
      <w:pPr>
        <w:pStyle w:val="2"/>
        <w:spacing w:before="154" w:line="221" w:lineRule="auto"/>
        <w:rPr>
          <w:rFonts w:ascii="黑体" w:hAnsi="黑体" w:eastAsia="黑体" w:cs="黑体"/>
          <w:sz w:val="24"/>
          <w:szCs w:val="24"/>
        </w:rPr>
      </w:pPr>
      <w:r>
        <w:rPr>
          <w:b/>
          <w:bCs/>
          <w:spacing w:val="23"/>
          <w:sz w:val="24"/>
          <w:szCs w:val="24"/>
        </w:rPr>
        <w:t>5</w:t>
      </w:r>
      <w:r>
        <w:rPr>
          <w:b/>
          <w:bCs/>
          <w:spacing w:val="6"/>
          <w:sz w:val="24"/>
          <w:szCs w:val="24"/>
        </w:rPr>
        <w:t xml:space="preserve">    </w:t>
      </w:r>
      <w:r>
        <w:rPr>
          <w:rFonts w:ascii="黑体" w:hAnsi="黑体" w:eastAsia="黑体" w:cs="黑体"/>
          <w:b/>
          <w:bCs/>
          <w:spacing w:val="23"/>
          <w:sz w:val="24"/>
          <w:szCs w:val="24"/>
        </w:rPr>
        <w:t>安装及调试</w:t>
      </w:r>
    </w:p>
    <w:p w14:paraId="0160449D">
      <w:pPr>
        <w:spacing w:before="90" w:line="273" w:lineRule="auto"/>
        <w:ind w:right="12" w:firstLine="560"/>
        <w:rPr>
          <w:rFonts w:ascii="宋体" w:hAnsi="宋体" w:eastAsia="宋体" w:cs="宋体"/>
          <w:sz w:val="27"/>
          <w:szCs w:val="27"/>
        </w:rPr>
      </w:pPr>
      <w:r>
        <w:rPr>
          <w:rFonts w:ascii="宋体" w:hAnsi="宋体" w:eastAsia="宋体" w:cs="宋体"/>
          <w:spacing w:val="1"/>
          <w:sz w:val="27"/>
          <w:szCs w:val="27"/>
        </w:rPr>
        <w:t>说明产品在使用场地进行安装和调试的方法及其注意事项。 一般包括</w:t>
      </w:r>
      <w:r>
        <w:rPr>
          <w:rFonts w:ascii="宋体" w:hAnsi="宋体" w:eastAsia="宋体" w:cs="宋体"/>
          <w:sz w:val="27"/>
          <w:szCs w:val="27"/>
        </w:rPr>
        <w:t xml:space="preserve">以下 </w:t>
      </w:r>
      <w:r>
        <w:rPr>
          <w:rFonts w:ascii="宋体" w:hAnsi="宋体" w:eastAsia="宋体" w:cs="宋体"/>
          <w:spacing w:val="-10"/>
          <w:sz w:val="27"/>
          <w:szCs w:val="27"/>
        </w:rPr>
        <w:t>内容：</w:t>
      </w:r>
    </w:p>
    <w:p w14:paraId="45AD28A1">
      <w:pPr>
        <w:spacing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a)</w:t>
      </w:r>
      <w:r>
        <w:rPr>
          <w:rFonts w:ascii="Times New Roman" w:hAnsi="Times New Roman" w:eastAsia="Times New Roman" w:cs="Times New Roman"/>
          <w:spacing w:val="62"/>
          <w:w w:val="101"/>
          <w:sz w:val="27"/>
          <w:szCs w:val="27"/>
        </w:rPr>
        <w:t xml:space="preserve"> </w:t>
      </w:r>
      <w:r>
        <w:rPr>
          <w:rFonts w:ascii="宋体" w:hAnsi="宋体" w:eastAsia="宋体" w:cs="宋体"/>
          <w:spacing w:val="2"/>
          <w:sz w:val="27"/>
          <w:szCs w:val="27"/>
        </w:rPr>
        <w:t>开箱检查及注意事项；</w:t>
      </w:r>
    </w:p>
    <w:p w14:paraId="431D6E88">
      <w:pPr>
        <w:spacing w:before="100"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57"/>
          <w:sz w:val="27"/>
          <w:szCs w:val="27"/>
        </w:rPr>
        <w:t xml:space="preserve"> </w:t>
      </w:r>
      <w:r>
        <w:rPr>
          <w:rFonts w:ascii="宋体" w:hAnsi="宋体" w:eastAsia="宋体" w:cs="宋体"/>
          <w:spacing w:val="-1"/>
          <w:sz w:val="27"/>
          <w:szCs w:val="27"/>
        </w:rPr>
        <w:t>设备安装前的准备、安装条件及安装的技术要求；</w:t>
      </w:r>
    </w:p>
    <w:p w14:paraId="2E9EB72F">
      <w:pPr>
        <w:spacing w:before="100"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c)</w:t>
      </w:r>
      <w:r>
        <w:rPr>
          <w:rFonts w:ascii="Times New Roman" w:hAnsi="Times New Roman" w:eastAsia="Times New Roman" w:cs="Times New Roman"/>
          <w:spacing w:val="58"/>
          <w:w w:val="101"/>
          <w:sz w:val="27"/>
          <w:szCs w:val="27"/>
        </w:rPr>
        <w:t xml:space="preserve"> </w:t>
      </w:r>
      <w:r>
        <w:rPr>
          <w:rFonts w:ascii="宋体" w:hAnsi="宋体" w:eastAsia="宋体" w:cs="宋体"/>
          <w:spacing w:val="-6"/>
          <w:sz w:val="27"/>
          <w:szCs w:val="27"/>
        </w:rPr>
        <w:t>安装程序、方法及注意事项；</w:t>
      </w:r>
    </w:p>
    <w:p w14:paraId="2E669E05">
      <w:pPr>
        <w:spacing w:before="10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安装和调试后的验收试验项目、方</w:t>
      </w:r>
      <w:r>
        <w:rPr>
          <w:rFonts w:ascii="宋体" w:hAnsi="宋体" w:eastAsia="宋体" w:cs="宋体"/>
          <w:spacing w:val="-4"/>
          <w:sz w:val="27"/>
          <w:szCs w:val="27"/>
        </w:rPr>
        <w:t>法和判据；</w:t>
      </w:r>
    </w:p>
    <w:p w14:paraId="2B81F257">
      <w:pPr>
        <w:spacing w:before="90" w:line="212" w:lineRule="auto"/>
        <w:ind w:left="560"/>
        <w:rPr>
          <w:rFonts w:ascii="宋体" w:hAnsi="宋体" w:eastAsia="宋体" w:cs="宋体"/>
          <w:sz w:val="27"/>
          <w:szCs w:val="27"/>
        </w:rPr>
      </w:pPr>
      <w:r>
        <w:rPr>
          <w:rFonts w:ascii="Times New Roman" w:hAnsi="Times New Roman" w:eastAsia="Times New Roman" w:cs="Times New Roman"/>
          <w:spacing w:val="-9"/>
          <w:sz w:val="27"/>
          <w:szCs w:val="27"/>
        </w:rPr>
        <w:t xml:space="preserve">e)  </w:t>
      </w:r>
      <w:r>
        <w:rPr>
          <w:rFonts w:ascii="宋体" w:hAnsi="宋体" w:eastAsia="宋体" w:cs="宋体"/>
          <w:spacing w:val="-9"/>
          <w:sz w:val="27"/>
          <w:szCs w:val="27"/>
        </w:rPr>
        <w:t>试运行前的准备、试运行启动、试运行。</w:t>
      </w:r>
    </w:p>
    <w:p w14:paraId="2738B787">
      <w:pPr>
        <w:spacing w:line="212" w:lineRule="auto"/>
        <w:rPr>
          <w:rFonts w:ascii="宋体" w:hAnsi="宋体" w:eastAsia="宋体" w:cs="宋体"/>
          <w:sz w:val="27"/>
          <w:szCs w:val="27"/>
        </w:rPr>
        <w:sectPr>
          <w:footerReference r:id="rId114" w:type="default"/>
          <w:pgSz w:w="11910" w:h="17130"/>
          <w:pgMar w:top="400" w:right="1409" w:bottom="1679" w:left="1120" w:header="0" w:footer="1499" w:gutter="0"/>
          <w:cols w:space="720" w:num="1"/>
        </w:sectPr>
      </w:pPr>
    </w:p>
    <w:p w14:paraId="34FF7D83">
      <w:pPr>
        <w:pStyle w:val="2"/>
        <w:spacing w:line="258" w:lineRule="auto"/>
      </w:pPr>
    </w:p>
    <w:p w14:paraId="7C261814">
      <w:pPr>
        <w:pStyle w:val="2"/>
        <w:spacing w:line="258" w:lineRule="auto"/>
      </w:pPr>
    </w:p>
    <w:p w14:paraId="0C593307">
      <w:pPr>
        <w:pStyle w:val="2"/>
        <w:spacing w:line="258" w:lineRule="auto"/>
      </w:pPr>
    </w:p>
    <w:p w14:paraId="3EF94FA0">
      <w:pPr>
        <w:pStyle w:val="2"/>
        <w:spacing w:line="259" w:lineRule="auto"/>
      </w:pPr>
    </w:p>
    <w:p w14:paraId="5A27CDFB">
      <w:pPr>
        <w:spacing w:before="78" w:line="222" w:lineRule="auto"/>
        <w:rPr>
          <w:rFonts w:ascii="黑体" w:hAnsi="黑体" w:eastAsia="黑体" w:cs="黑体"/>
          <w:sz w:val="24"/>
          <w:szCs w:val="24"/>
        </w:rPr>
      </w:pPr>
      <w:r>
        <w:rPr>
          <w:rFonts w:ascii="黑体" w:hAnsi="黑体" w:eastAsia="黑体" w:cs="黑体"/>
          <w:spacing w:val="29"/>
          <w:sz w:val="24"/>
          <w:szCs w:val="24"/>
        </w:rPr>
        <w:t>6  使用及操作</w:t>
      </w:r>
    </w:p>
    <w:p w14:paraId="26F6565E">
      <w:pPr>
        <w:spacing w:before="94" w:line="219" w:lineRule="auto"/>
        <w:ind w:left="570"/>
        <w:rPr>
          <w:rFonts w:ascii="宋体" w:hAnsi="宋体" w:eastAsia="宋体" w:cs="宋体"/>
          <w:sz w:val="27"/>
          <w:szCs w:val="27"/>
        </w:rPr>
      </w:pPr>
      <w:r>
        <w:rPr>
          <w:rFonts w:ascii="宋体" w:hAnsi="宋体" w:eastAsia="宋体" w:cs="宋体"/>
          <w:spacing w:val="-3"/>
          <w:sz w:val="27"/>
          <w:szCs w:val="27"/>
        </w:rPr>
        <w:t>说明正确使用产品的方法和程序，一般包括以下内容：</w:t>
      </w:r>
    </w:p>
    <w:p w14:paraId="7DF8F356">
      <w:pPr>
        <w:spacing w:before="59"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a)</w:t>
      </w:r>
      <w:r>
        <w:rPr>
          <w:rFonts w:ascii="Times New Roman" w:hAnsi="Times New Roman" w:eastAsia="Times New Roman" w:cs="Times New Roman"/>
          <w:spacing w:val="72"/>
          <w:w w:val="101"/>
          <w:sz w:val="27"/>
          <w:szCs w:val="27"/>
        </w:rPr>
        <w:t xml:space="preserve"> </w:t>
      </w:r>
      <w:r>
        <w:rPr>
          <w:rFonts w:ascii="宋体" w:hAnsi="宋体" w:eastAsia="宋体" w:cs="宋体"/>
          <w:spacing w:val="2"/>
          <w:sz w:val="27"/>
          <w:szCs w:val="27"/>
        </w:rPr>
        <w:t>使用前的准备和检查；</w:t>
      </w:r>
    </w:p>
    <w:p w14:paraId="6052A344">
      <w:pPr>
        <w:spacing w:before="109"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47"/>
          <w:sz w:val="27"/>
          <w:szCs w:val="27"/>
        </w:rPr>
        <w:t xml:space="preserve"> </w:t>
      </w:r>
      <w:r>
        <w:rPr>
          <w:rFonts w:ascii="宋体" w:hAnsi="宋体" w:eastAsia="宋体" w:cs="宋体"/>
          <w:spacing w:val="-1"/>
          <w:sz w:val="27"/>
          <w:szCs w:val="27"/>
        </w:rPr>
        <w:t>使用前和使用中的安全防护、安全标志及说</w:t>
      </w:r>
      <w:r>
        <w:rPr>
          <w:rFonts w:ascii="宋体" w:hAnsi="宋体" w:eastAsia="宋体" w:cs="宋体"/>
          <w:spacing w:val="-2"/>
          <w:sz w:val="27"/>
          <w:szCs w:val="27"/>
        </w:rPr>
        <w:t>明；</w:t>
      </w:r>
    </w:p>
    <w:p w14:paraId="4AB9F25A">
      <w:pPr>
        <w:spacing w:before="41" w:line="281" w:lineRule="auto"/>
        <w:ind w:right="54" w:firstLine="57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73"/>
          <w:sz w:val="27"/>
          <w:szCs w:val="27"/>
        </w:rPr>
        <w:t xml:space="preserve"> </w:t>
      </w:r>
      <w:r>
        <w:rPr>
          <w:rFonts w:ascii="宋体" w:hAnsi="宋体" w:eastAsia="宋体" w:cs="宋体"/>
          <w:spacing w:val="3"/>
          <w:sz w:val="27"/>
          <w:szCs w:val="27"/>
        </w:rPr>
        <w:t>启动及运行过程中的操作程序、方法、注意事项及容易出现的误操作的</w:t>
      </w:r>
      <w:r>
        <w:rPr>
          <w:rFonts w:ascii="宋体" w:hAnsi="宋体" w:eastAsia="宋体" w:cs="宋体"/>
          <w:sz w:val="27"/>
          <w:szCs w:val="27"/>
        </w:rPr>
        <w:t xml:space="preserve"> </w:t>
      </w:r>
      <w:r>
        <w:rPr>
          <w:rFonts w:ascii="宋体" w:hAnsi="宋体" w:eastAsia="宋体" w:cs="宋体"/>
          <w:spacing w:val="-3"/>
          <w:sz w:val="27"/>
          <w:szCs w:val="27"/>
        </w:rPr>
        <w:t>防范措施；</w:t>
      </w:r>
    </w:p>
    <w:p w14:paraId="521DAA0A">
      <w:pPr>
        <w:spacing w:before="79" w:line="212" w:lineRule="auto"/>
        <w:ind w:left="570"/>
        <w:rPr>
          <w:rFonts w:ascii="宋体" w:hAnsi="宋体" w:eastAsia="宋体" w:cs="宋体"/>
          <w:sz w:val="24"/>
          <w:szCs w:val="24"/>
        </w:rPr>
      </w:pPr>
      <w:r>
        <w:rPr>
          <w:rFonts w:ascii="Times New Roman" w:hAnsi="Times New Roman" w:eastAsia="Times New Roman" w:cs="Times New Roman"/>
          <w:spacing w:val="24"/>
          <w:sz w:val="24"/>
          <w:szCs w:val="24"/>
        </w:rPr>
        <w:t xml:space="preserve">d)  </w:t>
      </w:r>
      <w:r>
        <w:rPr>
          <w:rFonts w:ascii="宋体" w:hAnsi="宋体" w:eastAsia="宋体" w:cs="宋体"/>
          <w:spacing w:val="24"/>
          <w:sz w:val="24"/>
          <w:szCs w:val="24"/>
        </w:rPr>
        <w:t>运行中的检测和记录；</w:t>
      </w:r>
    </w:p>
    <w:p w14:paraId="477B9FCC">
      <w:pPr>
        <w:spacing w:before="112" w:line="212" w:lineRule="auto"/>
        <w:ind w:left="570"/>
        <w:rPr>
          <w:rFonts w:ascii="宋体" w:hAnsi="宋体" w:eastAsia="宋体" w:cs="宋体"/>
          <w:sz w:val="27"/>
          <w:szCs w:val="27"/>
        </w:rPr>
      </w:pPr>
      <w:r>
        <w:rPr>
          <w:rFonts w:ascii="Times New Roman" w:hAnsi="Times New Roman" w:eastAsia="Times New Roman" w:cs="Times New Roman"/>
          <w:spacing w:val="-3"/>
          <w:sz w:val="27"/>
          <w:szCs w:val="27"/>
        </w:rPr>
        <w:t>e)</w:t>
      </w:r>
      <w:r>
        <w:rPr>
          <w:rFonts w:ascii="Times New Roman" w:hAnsi="Times New Roman" w:eastAsia="Times New Roman" w:cs="Times New Roman"/>
          <w:spacing w:val="59"/>
          <w:sz w:val="27"/>
          <w:szCs w:val="27"/>
        </w:rPr>
        <w:t xml:space="preserve"> </w:t>
      </w:r>
      <w:r>
        <w:rPr>
          <w:rFonts w:ascii="宋体" w:hAnsi="宋体" w:eastAsia="宋体" w:cs="宋体"/>
          <w:spacing w:val="-3"/>
          <w:sz w:val="27"/>
          <w:szCs w:val="27"/>
        </w:rPr>
        <w:t>开机与停机的操作程序、方法以及注意事项。</w:t>
      </w:r>
    </w:p>
    <w:p w14:paraId="14174395">
      <w:pPr>
        <w:spacing w:before="157" w:line="221" w:lineRule="auto"/>
        <w:rPr>
          <w:rFonts w:ascii="黑体" w:hAnsi="黑体" w:eastAsia="黑体" w:cs="黑体"/>
          <w:sz w:val="24"/>
          <w:szCs w:val="24"/>
        </w:rPr>
      </w:pPr>
      <w:r>
        <w:rPr>
          <w:rFonts w:ascii="黑体" w:hAnsi="黑体" w:eastAsia="黑体" w:cs="黑体"/>
          <w:spacing w:val="5"/>
          <w:sz w:val="24"/>
          <w:szCs w:val="24"/>
        </w:rPr>
        <w:t>7</w:t>
      </w:r>
      <w:r>
        <w:rPr>
          <w:rFonts w:ascii="黑体" w:hAnsi="黑体" w:eastAsia="黑体" w:cs="黑体"/>
          <w:spacing w:val="31"/>
          <w:sz w:val="24"/>
          <w:szCs w:val="24"/>
        </w:rPr>
        <w:t xml:space="preserve">  </w:t>
      </w:r>
      <w:r>
        <w:rPr>
          <w:rFonts w:ascii="黑体" w:hAnsi="黑体" w:eastAsia="黑体" w:cs="黑体"/>
          <w:spacing w:val="5"/>
          <w:sz w:val="24"/>
          <w:szCs w:val="24"/>
        </w:rPr>
        <w:t>维护、保养</w:t>
      </w:r>
    </w:p>
    <w:p w14:paraId="163471F7">
      <w:pPr>
        <w:spacing w:before="97" w:line="219" w:lineRule="auto"/>
        <w:ind w:left="570"/>
        <w:rPr>
          <w:rFonts w:ascii="宋体" w:hAnsi="宋体" w:eastAsia="宋体" w:cs="宋体"/>
          <w:sz w:val="27"/>
          <w:szCs w:val="27"/>
        </w:rPr>
      </w:pPr>
      <w:r>
        <w:rPr>
          <w:rFonts w:ascii="宋体" w:hAnsi="宋体" w:eastAsia="宋体" w:cs="宋体"/>
          <w:spacing w:val="-9"/>
          <w:sz w:val="27"/>
          <w:szCs w:val="27"/>
        </w:rPr>
        <w:t>说明产品的维护、保养方法，一般包括以下内容：</w:t>
      </w:r>
    </w:p>
    <w:p w14:paraId="51685D27">
      <w:pPr>
        <w:spacing w:before="101" w:line="212" w:lineRule="auto"/>
        <w:ind w:left="570"/>
        <w:rPr>
          <w:rFonts w:ascii="宋体" w:hAnsi="宋体" w:eastAsia="宋体" w:cs="宋体"/>
          <w:sz w:val="24"/>
          <w:szCs w:val="24"/>
        </w:rPr>
      </w:pPr>
      <w:r>
        <w:rPr>
          <w:rFonts w:ascii="Times New Roman" w:hAnsi="Times New Roman" w:eastAsia="Times New Roman" w:cs="Times New Roman"/>
          <w:spacing w:val="8"/>
          <w:sz w:val="24"/>
          <w:szCs w:val="24"/>
        </w:rPr>
        <w:t>a)</w:t>
      </w:r>
      <w:r>
        <w:rPr>
          <w:rFonts w:ascii="Times New Roman" w:hAnsi="Times New Roman" w:eastAsia="Times New Roman" w:cs="Times New Roman"/>
          <w:spacing w:val="26"/>
          <w:sz w:val="24"/>
          <w:szCs w:val="24"/>
        </w:rPr>
        <w:t xml:space="preserve">  </w:t>
      </w:r>
      <w:r>
        <w:rPr>
          <w:rFonts w:ascii="宋体" w:hAnsi="宋体" w:eastAsia="宋体" w:cs="宋体"/>
          <w:spacing w:val="8"/>
          <w:sz w:val="24"/>
          <w:szCs w:val="24"/>
        </w:rPr>
        <w:t>维护、保养时机；</w:t>
      </w:r>
    </w:p>
    <w:p w14:paraId="5F3A09CC">
      <w:pPr>
        <w:spacing w:before="134" w:line="212" w:lineRule="auto"/>
        <w:ind w:left="570"/>
        <w:rPr>
          <w:rFonts w:ascii="宋体" w:hAnsi="宋体" w:eastAsia="宋体" w:cs="宋体"/>
          <w:sz w:val="24"/>
          <w:szCs w:val="24"/>
        </w:rPr>
      </w:pPr>
      <w:r>
        <w:rPr>
          <w:rFonts w:ascii="Times New Roman" w:hAnsi="Times New Roman" w:eastAsia="Times New Roman" w:cs="Times New Roman"/>
          <w:spacing w:val="17"/>
          <w:sz w:val="24"/>
          <w:szCs w:val="24"/>
        </w:rPr>
        <w:t>b)</w:t>
      </w:r>
      <w:r>
        <w:rPr>
          <w:rFonts w:ascii="Times New Roman" w:hAnsi="Times New Roman" w:eastAsia="Times New Roman" w:cs="Times New Roman"/>
          <w:spacing w:val="23"/>
          <w:w w:val="101"/>
          <w:sz w:val="24"/>
          <w:szCs w:val="24"/>
        </w:rPr>
        <w:t xml:space="preserve">  </w:t>
      </w:r>
      <w:r>
        <w:rPr>
          <w:rFonts w:ascii="宋体" w:hAnsi="宋体" w:eastAsia="宋体" w:cs="宋体"/>
          <w:spacing w:val="17"/>
          <w:sz w:val="24"/>
          <w:szCs w:val="24"/>
        </w:rPr>
        <w:t>维护、保养项目和内容；</w:t>
      </w:r>
    </w:p>
    <w:p w14:paraId="109404F9">
      <w:pPr>
        <w:spacing w:before="135" w:line="212" w:lineRule="auto"/>
        <w:ind w:left="570"/>
        <w:rPr>
          <w:rFonts w:ascii="宋体" w:hAnsi="宋体" w:eastAsia="宋体" w:cs="宋体"/>
          <w:sz w:val="24"/>
          <w:szCs w:val="24"/>
        </w:rPr>
      </w:pPr>
      <w:r>
        <w:rPr>
          <w:rFonts w:ascii="Times New Roman" w:hAnsi="Times New Roman" w:eastAsia="Times New Roman" w:cs="Times New Roman"/>
          <w:spacing w:val="10"/>
          <w:sz w:val="24"/>
          <w:szCs w:val="24"/>
        </w:rPr>
        <w:t>c)</w:t>
      </w:r>
      <w:r>
        <w:rPr>
          <w:rFonts w:ascii="Times New Roman" w:hAnsi="Times New Roman" w:eastAsia="Times New Roman" w:cs="Times New Roman"/>
          <w:spacing w:val="16"/>
          <w:sz w:val="24"/>
          <w:szCs w:val="24"/>
        </w:rPr>
        <w:t xml:space="preserve">  </w:t>
      </w:r>
      <w:r>
        <w:rPr>
          <w:rFonts w:ascii="宋体" w:hAnsi="宋体" w:eastAsia="宋体" w:cs="宋体"/>
          <w:spacing w:val="10"/>
          <w:sz w:val="24"/>
          <w:szCs w:val="24"/>
        </w:rPr>
        <w:t>维护、保养周期；</w:t>
      </w:r>
    </w:p>
    <w:p w14:paraId="2C2F61FB">
      <w:pPr>
        <w:spacing w:before="134" w:line="212" w:lineRule="auto"/>
        <w:ind w:left="570"/>
        <w:rPr>
          <w:rFonts w:ascii="宋体" w:hAnsi="宋体" w:eastAsia="宋体" w:cs="宋体"/>
          <w:sz w:val="24"/>
          <w:szCs w:val="24"/>
        </w:rPr>
      </w:pPr>
      <w:r>
        <w:rPr>
          <w:rFonts w:ascii="Times New Roman" w:hAnsi="Times New Roman" w:eastAsia="Times New Roman" w:cs="Times New Roman"/>
          <w:spacing w:val="17"/>
          <w:sz w:val="24"/>
          <w:szCs w:val="24"/>
        </w:rPr>
        <w:t>d)</w:t>
      </w:r>
      <w:r>
        <w:rPr>
          <w:rFonts w:ascii="Times New Roman" w:hAnsi="Times New Roman" w:eastAsia="Times New Roman" w:cs="Times New Roman"/>
          <w:spacing w:val="24"/>
          <w:sz w:val="24"/>
          <w:szCs w:val="24"/>
        </w:rPr>
        <w:t xml:space="preserve">  </w:t>
      </w:r>
      <w:r>
        <w:rPr>
          <w:rFonts w:ascii="宋体" w:hAnsi="宋体" w:eastAsia="宋体" w:cs="宋体"/>
          <w:spacing w:val="17"/>
          <w:sz w:val="24"/>
          <w:szCs w:val="24"/>
        </w:rPr>
        <w:t>维护、保养程序及方法。</w:t>
      </w:r>
    </w:p>
    <w:p w14:paraId="5D3566B8">
      <w:pPr>
        <w:pStyle w:val="2"/>
        <w:spacing w:before="74" w:line="368" w:lineRule="exact"/>
        <w:rPr>
          <w:rFonts w:ascii="黑体" w:hAnsi="黑体" w:eastAsia="黑体" w:cs="黑体"/>
          <w:sz w:val="27"/>
          <w:szCs w:val="27"/>
        </w:rPr>
      </w:pPr>
      <w:r>
        <w:rPr>
          <w:spacing w:val="-20"/>
          <w:position w:val="1"/>
          <w:sz w:val="27"/>
          <w:szCs w:val="27"/>
        </w:rPr>
        <w:t>8</w:t>
      </w:r>
      <w:r>
        <w:rPr>
          <w:spacing w:val="17"/>
          <w:position w:val="1"/>
          <w:sz w:val="27"/>
          <w:szCs w:val="27"/>
        </w:rPr>
        <w:t xml:space="preserve">   </w:t>
      </w:r>
      <w:r>
        <w:rPr>
          <w:rFonts w:ascii="黑体" w:hAnsi="黑体" w:eastAsia="黑体" w:cs="黑体"/>
          <w:spacing w:val="-20"/>
          <w:position w:val="1"/>
          <w:sz w:val="27"/>
          <w:szCs w:val="27"/>
        </w:rPr>
        <w:t>故障检测、定位、隔离</w:t>
      </w:r>
    </w:p>
    <w:p w14:paraId="33C35723">
      <w:pPr>
        <w:spacing w:before="101" w:line="219" w:lineRule="auto"/>
        <w:ind w:left="570"/>
        <w:rPr>
          <w:rFonts w:ascii="宋体" w:hAnsi="宋体" w:eastAsia="宋体" w:cs="宋体"/>
          <w:sz w:val="27"/>
          <w:szCs w:val="27"/>
        </w:rPr>
      </w:pPr>
      <w:r>
        <w:rPr>
          <w:rFonts w:ascii="宋体" w:hAnsi="宋体" w:eastAsia="宋体" w:cs="宋体"/>
          <w:sz w:val="27"/>
          <w:szCs w:val="27"/>
        </w:rPr>
        <w:t>一般包括以下内容：</w:t>
      </w:r>
    </w:p>
    <w:p w14:paraId="7B13FDF6">
      <w:pPr>
        <w:spacing w:before="100" w:line="219" w:lineRule="auto"/>
        <w:ind w:left="570"/>
        <w:rPr>
          <w:rFonts w:ascii="宋体" w:hAnsi="宋体" w:eastAsia="宋体" w:cs="宋体"/>
          <w:sz w:val="27"/>
          <w:szCs w:val="27"/>
        </w:rPr>
      </w:pPr>
      <w:r>
        <w:rPr>
          <w:rFonts w:ascii="Times New Roman" w:hAnsi="Times New Roman" w:eastAsia="Times New Roman" w:cs="Times New Roman"/>
          <w:spacing w:val="10"/>
          <w:sz w:val="27"/>
          <w:szCs w:val="27"/>
        </w:rPr>
        <w:t>a</w:t>
      </w:r>
      <w:r>
        <w:rPr>
          <w:rFonts w:ascii="宋体" w:hAnsi="宋体" w:eastAsia="宋体" w:cs="宋体"/>
          <w:spacing w:val="10"/>
          <w:sz w:val="27"/>
          <w:szCs w:val="27"/>
        </w:rPr>
        <w:t>)故障检测和定位方法；</w:t>
      </w:r>
    </w:p>
    <w:p w14:paraId="30A10C7C">
      <w:pPr>
        <w:spacing w:before="81" w:line="212" w:lineRule="auto"/>
        <w:ind w:left="570"/>
        <w:rPr>
          <w:rFonts w:ascii="宋体" w:hAnsi="宋体" w:eastAsia="宋体" w:cs="宋体"/>
          <w:sz w:val="24"/>
          <w:szCs w:val="24"/>
        </w:rPr>
      </w:pPr>
      <w:r>
        <w:rPr>
          <w:rFonts w:ascii="Times New Roman" w:hAnsi="Times New Roman" w:eastAsia="Times New Roman" w:cs="Times New Roman"/>
          <w:spacing w:val="22"/>
          <w:sz w:val="24"/>
          <w:szCs w:val="24"/>
        </w:rPr>
        <w:t xml:space="preserve">b)  </w:t>
      </w:r>
      <w:r>
        <w:rPr>
          <w:rFonts w:ascii="宋体" w:hAnsi="宋体" w:eastAsia="宋体" w:cs="宋体"/>
          <w:spacing w:val="22"/>
          <w:sz w:val="24"/>
          <w:szCs w:val="24"/>
        </w:rPr>
        <w:t>故障隔离措施；</w:t>
      </w:r>
    </w:p>
    <w:p w14:paraId="3DCD087D">
      <w:pPr>
        <w:spacing w:before="112"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70"/>
          <w:w w:val="101"/>
          <w:sz w:val="27"/>
          <w:szCs w:val="27"/>
        </w:rPr>
        <w:t xml:space="preserve"> </w:t>
      </w:r>
      <w:r>
        <w:rPr>
          <w:rFonts w:ascii="宋体" w:hAnsi="宋体" w:eastAsia="宋体" w:cs="宋体"/>
          <w:spacing w:val="4"/>
          <w:sz w:val="27"/>
          <w:szCs w:val="27"/>
        </w:rPr>
        <w:t>故障检测设备及使用说明。</w:t>
      </w:r>
    </w:p>
    <w:p w14:paraId="70E124D9">
      <w:pPr>
        <w:spacing w:before="139" w:line="222" w:lineRule="auto"/>
        <w:rPr>
          <w:rFonts w:ascii="黑体" w:hAnsi="黑体" w:eastAsia="黑体" w:cs="黑体"/>
          <w:sz w:val="27"/>
          <w:szCs w:val="27"/>
        </w:rPr>
      </w:pPr>
      <w:r>
        <w:rPr>
          <w:rFonts w:ascii="黑体" w:hAnsi="黑体" w:eastAsia="黑体" w:cs="黑体"/>
          <w:spacing w:val="4"/>
          <w:sz w:val="27"/>
          <w:szCs w:val="27"/>
        </w:rPr>
        <w:t>9  故障分析与排除</w:t>
      </w:r>
    </w:p>
    <w:p w14:paraId="112C31B1">
      <w:pPr>
        <w:spacing w:before="87" w:line="219" w:lineRule="auto"/>
        <w:ind w:left="570"/>
        <w:rPr>
          <w:rFonts w:ascii="宋体" w:hAnsi="宋体" w:eastAsia="宋体" w:cs="宋体"/>
          <w:sz w:val="27"/>
          <w:szCs w:val="27"/>
        </w:rPr>
      </w:pPr>
      <w:r>
        <w:rPr>
          <w:rFonts w:ascii="宋体" w:hAnsi="宋体" w:eastAsia="宋体" w:cs="宋体"/>
          <w:sz w:val="27"/>
          <w:szCs w:val="27"/>
        </w:rPr>
        <w:t>一般包括以下内容：</w:t>
      </w:r>
    </w:p>
    <w:p w14:paraId="4DCC98E7">
      <w:pPr>
        <w:spacing w:before="100" w:line="219" w:lineRule="auto"/>
        <w:ind w:left="570"/>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宋体" w:hAnsi="宋体" w:eastAsia="宋体" w:cs="宋体"/>
          <w:spacing w:val="11"/>
          <w:sz w:val="27"/>
          <w:szCs w:val="27"/>
        </w:rPr>
        <w:t>)故障现象；</w:t>
      </w:r>
    </w:p>
    <w:p w14:paraId="46D42653">
      <w:pPr>
        <w:spacing w:before="49" w:line="212" w:lineRule="auto"/>
        <w:ind w:left="570"/>
        <w:rPr>
          <w:rFonts w:ascii="宋体" w:hAnsi="宋体" w:eastAsia="宋体" w:cs="宋体"/>
          <w:sz w:val="27"/>
          <w:szCs w:val="27"/>
        </w:rPr>
      </w:pPr>
      <w:r>
        <w:rPr>
          <w:rFonts w:ascii="Times New Roman" w:hAnsi="Times New Roman" w:eastAsia="Times New Roman" w:cs="Times New Roman"/>
          <w:sz w:val="27"/>
          <w:szCs w:val="27"/>
        </w:rPr>
        <w:t>b)</w:t>
      </w:r>
      <w:r>
        <w:rPr>
          <w:rFonts w:ascii="Times New Roman" w:hAnsi="Times New Roman" w:eastAsia="Times New Roman" w:cs="Times New Roman"/>
          <w:spacing w:val="71"/>
          <w:sz w:val="27"/>
          <w:szCs w:val="27"/>
        </w:rPr>
        <w:t xml:space="preserve"> </w:t>
      </w:r>
      <w:r>
        <w:rPr>
          <w:rFonts w:ascii="宋体" w:hAnsi="宋体" w:eastAsia="宋体" w:cs="宋体"/>
          <w:sz w:val="27"/>
          <w:szCs w:val="27"/>
        </w:rPr>
        <w:t>原因分析；</w:t>
      </w:r>
    </w:p>
    <w:p w14:paraId="22B39DCC">
      <w:pPr>
        <w:spacing w:before="100" w:line="212" w:lineRule="auto"/>
        <w:ind w:left="57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60"/>
          <w:sz w:val="27"/>
          <w:szCs w:val="27"/>
        </w:rPr>
        <w:t xml:space="preserve"> </w:t>
      </w:r>
      <w:r>
        <w:rPr>
          <w:rFonts w:ascii="宋体" w:hAnsi="宋体" w:eastAsia="宋体" w:cs="宋体"/>
          <w:spacing w:val="3"/>
          <w:sz w:val="27"/>
          <w:szCs w:val="27"/>
        </w:rPr>
        <w:t>排除方法及注意事项。</w:t>
      </w:r>
    </w:p>
    <w:p w14:paraId="7B92B85A">
      <w:pPr>
        <w:spacing w:before="148" w:line="219" w:lineRule="auto"/>
        <w:ind w:left="570"/>
        <w:rPr>
          <w:rFonts w:ascii="宋体" w:hAnsi="宋体" w:eastAsia="宋体" w:cs="宋体"/>
          <w:sz w:val="27"/>
          <w:szCs w:val="27"/>
        </w:rPr>
      </w:pPr>
      <w:r>
        <w:rPr>
          <w:rFonts w:ascii="宋体" w:hAnsi="宋体" w:eastAsia="宋体" w:cs="宋体"/>
          <w:spacing w:val="13"/>
          <w:sz w:val="27"/>
          <w:szCs w:val="27"/>
        </w:rPr>
        <w:t>推荐采用表1.7形式。</w:t>
      </w:r>
    </w:p>
    <w:p w14:paraId="57E2C23B">
      <w:pPr>
        <w:spacing w:before="127" w:line="222" w:lineRule="auto"/>
        <w:ind w:left="2730"/>
        <w:rPr>
          <w:rFonts w:ascii="仿宋" w:hAnsi="仿宋" w:eastAsia="仿宋" w:cs="仿宋"/>
          <w:sz w:val="24"/>
          <w:szCs w:val="24"/>
        </w:rPr>
      </w:pPr>
      <w:r>
        <w:rPr>
          <w:rFonts w:ascii="仿宋" w:hAnsi="仿宋" w:eastAsia="仿宋" w:cs="仿宋"/>
          <w:spacing w:val="24"/>
          <w:sz w:val="24"/>
          <w:szCs w:val="24"/>
        </w:rPr>
        <w:t>表1</w:t>
      </w:r>
      <w:r>
        <w:rPr>
          <w:rFonts w:ascii="仿宋" w:hAnsi="仿宋" w:eastAsia="仿宋" w:cs="仿宋"/>
          <w:spacing w:val="-49"/>
          <w:sz w:val="24"/>
          <w:szCs w:val="24"/>
        </w:rPr>
        <w:t xml:space="preserve"> </w:t>
      </w:r>
      <w:r>
        <w:rPr>
          <w:rFonts w:ascii="仿宋" w:hAnsi="仿宋" w:eastAsia="仿宋" w:cs="仿宋"/>
          <w:spacing w:val="24"/>
          <w:sz w:val="24"/>
          <w:szCs w:val="24"/>
        </w:rPr>
        <w:t>.</w:t>
      </w:r>
      <w:r>
        <w:rPr>
          <w:rFonts w:ascii="仿宋" w:hAnsi="仿宋" w:eastAsia="仿宋" w:cs="仿宋"/>
          <w:spacing w:val="-62"/>
          <w:sz w:val="24"/>
          <w:szCs w:val="24"/>
        </w:rPr>
        <w:t xml:space="preserve"> </w:t>
      </w:r>
      <w:r>
        <w:rPr>
          <w:rFonts w:ascii="仿宋" w:hAnsi="仿宋" w:eastAsia="仿宋" w:cs="仿宋"/>
          <w:spacing w:val="24"/>
          <w:sz w:val="24"/>
          <w:szCs w:val="24"/>
        </w:rPr>
        <w:t>7</w:t>
      </w:r>
      <w:r>
        <w:rPr>
          <w:rFonts w:ascii="仿宋" w:hAnsi="仿宋" w:eastAsia="仿宋" w:cs="仿宋"/>
          <w:spacing w:val="37"/>
          <w:sz w:val="24"/>
          <w:szCs w:val="24"/>
        </w:rPr>
        <w:t xml:space="preserve">  </w:t>
      </w:r>
      <w:r>
        <w:rPr>
          <w:rFonts w:ascii="仿宋" w:hAnsi="仿宋" w:eastAsia="仿宋" w:cs="仿宋"/>
          <w:spacing w:val="24"/>
          <w:sz w:val="24"/>
          <w:szCs w:val="24"/>
        </w:rPr>
        <w:t>故障原因分析与排除方法</w:t>
      </w:r>
    </w:p>
    <w:p w14:paraId="5C5F6F19">
      <w:pPr>
        <w:spacing w:line="120" w:lineRule="exact"/>
      </w:pPr>
    </w:p>
    <w:tbl>
      <w:tblPr>
        <w:tblStyle w:val="5"/>
        <w:tblW w:w="937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2"/>
        <w:gridCol w:w="2517"/>
        <w:gridCol w:w="2507"/>
        <w:gridCol w:w="1843"/>
      </w:tblGrid>
      <w:tr w14:paraId="7DE36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2512" w:type="dxa"/>
            <w:vAlign w:val="top"/>
          </w:tcPr>
          <w:p w14:paraId="411ED5FF">
            <w:pPr>
              <w:spacing w:before="103" w:line="219" w:lineRule="auto"/>
              <w:ind w:left="845"/>
              <w:rPr>
                <w:rFonts w:ascii="宋体" w:hAnsi="宋体" w:eastAsia="宋体" w:cs="宋体"/>
                <w:sz w:val="21"/>
                <w:szCs w:val="21"/>
              </w:rPr>
            </w:pPr>
            <w:r>
              <w:rPr>
                <w:rFonts w:ascii="宋体" w:hAnsi="宋体" w:eastAsia="宋体" w:cs="宋体"/>
                <w:spacing w:val="2"/>
                <w:sz w:val="21"/>
                <w:szCs w:val="21"/>
              </w:rPr>
              <w:t>故障现象</w:t>
            </w:r>
          </w:p>
        </w:tc>
        <w:tc>
          <w:tcPr>
            <w:tcW w:w="2517" w:type="dxa"/>
            <w:vAlign w:val="top"/>
          </w:tcPr>
          <w:p w14:paraId="0FD89F69">
            <w:pPr>
              <w:spacing w:before="104" w:line="220" w:lineRule="auto"/>
              <w:ind w:left="832"/>
              <w:rPr>
                <w:rFonts w:ascii="宋体" w:hAnsi="宋体" w:eastAsia="宋体" w:cs="宋体"/>
                <w:sz w:val="21"/>
                <w:szCs w:val="21"/>
              </w:rPr>
            </w:pPr>
            <w:r>
              <w:rPr>
                <w:rFonts w:ascii="宋体" w:hAnsi="宋体" w:eastAsia="宋体" w:cs="宋体"/>
                <w:spacing w:val="2"/>
                <w:sz w:val="21"/>
                <w:szCs w:val="21"/>
              </w:rPr>
              <w:t>原因分析</w:t>
            </w:r>
          </w:p>
        </w:tc>
        <w:tc>
          <w:tcPr>
            <w:tcW w:w="2507" w:type="dxa"/>
            <w:vAlign w:val="top"/>
          </w:tcPr>
          <w:p w14:paraId="2C122F11">
            <w:pPr>
              <w:spacing w:before="103" w:line="219" w:lineRule="auto"/>
              <w:ind w:left="835"/>
              <w:rPr>
                <w:rFonts w:ascii="宋体" w:hAnsi="宋体" w:eastAsia="宋体" w:cs="宋体"/>
                <w:sz w:val="21"/>
                <w:szCs w:val="21"/>
              </w:rPr>
            </w:pPr>
            <w:r>
              <w:rPr>
                <w:rFonts w:ascii="宋体" w:hAnsi="宋体" w:eastAsia="宋体" w:cs="宋体"/>
                <w:spacing w:val="-2"/>
                <w:sz w:val="21"/>
                <w:szCs w:val="21"/>
              </w:rPr>
              <w:t>排除方法</w:t>
            </w:r>
          </w:p>
        </w:tc>
        <w:tc>
          <w:tcPr>
            <w:tcW w:w="1843" w:type="dxa"/>
            <w:vAlign w:val="top"/>
          </w:tcPr>
          <w:p w14:paraId="41348960">
            <w:pPr>
              <w:spacing w:before="104" w:line="221" w:lineRule="auto"/>
              <w:ind w:left="718"/>
              <w:rPr>
                <w:rFonts w:ascii="宋体" w:hAnsi="宋体" w:eastAsia="宋体" w:cs="宋体"/>
                <w:sz w:val="21"/>
                <w:szCs w:val="21"/>
              </w:rPr>
            </w:pPr>
            <w:r>
              <w:rPr>
                <w:rFonts w:ascii="宋体" w:hAnsi="宋体" w:eastAsia="宋体" w:cs="宋体"/>
                <w:spacing w:val="5"/>
                <w:sz w:val="21"/>
                <w:szCs w:val="21"/>
              </w:rPr>
              <w:t>备注</w:t>
            </w:r>
          </w:p>
        </w:tc>
      </w:tr>
      <w:tr w14:paraId="18B6A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512" w:type="dxa"/>
            <w:vAlign w:val="top"/>
          </w:tcPr>
          <w:p w14:paraId="55849880">
            <w:pPr>
              <w:rPr>
                <w:rFonts w:ascii="Arial"/>
                <w:sz w:val="21"/>
              </w:rPr>
            </w:pPr>
          </w:p>
        </w:tc>
        <w:tc>
          <w:tcPr>
            <w:tcW w:w="2517" w:type="dxa"/>
            <w:vAlign w:val="top"/>
          </w:tcPr>
          <w:p w14:paraId="38FDAB2B">
            <w:pPr>
              <w:rPr>
                <w:rFonts w:ascii="Arial"/>
                <w:sz w:val="21"/>
              </w:rPr>
            </w:pPr>
          </w:p>
        </w:tc>
        <w:tc>
          <w:tcPr>
            <w:tcW w:w="2507" w:type="dxa"/>
            <w:vAlign w:val="top"/>
          </w:tcPr>
          <w:p w14:paraId="6E505202">
            <w:pPr>
              <w:rPr>
                <w:rFonts w:ascii="Arial"/>
                <w:sz w:val="21"/>
              </w:rPr>
            </w:pPr>
          </w:p>
        </w:tc>
        <w:tc>
          <w:tcPr>
            <w:tcW w:w="1843" w:type="dxa"/>
            <w:vAlign w:val="top"/>
          </w:tcPr>
          <w:p w14:paraId="41590696">
            <w:pPr>
              <w:rPr>
                <w:rFonts w:ascii="Arial"/>
                <w:sz w:val="21"/>
              </w:rPr>
            </w:pPr>
          </w:p>
        </w:tc>
      </w:tr>
      <w:tr w14:paraId="4EA68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2512" w:type="dxa"/>
            <w:vAlign w:val="top"/>
          </w:tcPr>
          <w:p w14:paraId="4EE55D91">
            <w:pPr>
              <w:rPr>
                <w:rFonts w:ascii="Arial"/>
                <w:sz w:val="21"/>
              </w:rPr>
            </w:pPr>
          </w:p>
        </w:tc>
        <w:tc>
          <w:tcPr>
            <w:tcW w:w="2517" w:type="dxa"/>
            <w:vAlign w:val="top"/>
          </w:tcPr>
          <w:p w14:paraId="7BC3BF62">
            <w:pPr>
              <w:rPr>
                <w:rFonts w:ascii="Arial"/>
                <w:sz w:val="21"/>
              </w:rPr>
            </w:pPr>
          </w:p>
        </w:tc>
        <w:tc>
          <w:tcPr>
            <w:tcW w:w="2507" w:type="dxa"/>
            <w:vAlign w:val="top"/>
          </w:tcPr>
          <w:p w14:paraId="5257C20A">
            <w:pPr>
              <w:rPr>
                <w:rFonts w:ascii="Arial"/>
                <w:sz w:val="21"/>
              </w:rPr>
            </w:pPr>
          </w:p>
        </w:tc>
        <w:tc>
          <w:tcPr>
            <w:tcW w:w="1843" w:type="dxa"/>
            <w:vAlign w:val="top"/>
          </w:tcPr>
          <w:p w14:paraId="0155DCD5">
            <w:pPr>
              <w:rPr>
                <w:rFonts w:ascii="Arial"/>
                <w:sz w:val="21"/>
              </w:rPr>
            </w:pPr>
          </w:p>
        </w:tc>
      </w:tr>
    </w:tbl>
    <w:p w14:paraId="0B39F3BB">
      <w:pPr>
        <w:pStyle w:val="2"/>
        <w:spacing w:before="181" w:line="327" w:lineRule="exact"/>
        <w:rPr>
          <w:rFonts w:ascii="黑体" w:hAnsi="黑体" w:eastAsia="黑体" w:cs="黑体"/>
          <w:sz w:val="24"/>
          <w:szCs w:val="24"/>
        </w:rPr>
      </w:pPr>
      <w:r>
        <w:rPr>
          <w:spacing w:val="25"/>
          <w:position w:val="1"/>
          <w:sz w:val="24"/>
          <w:szCs w:val="24"/>
        </w:rPr>
        <w:t xml:space="preserve">10    </w:t>
      </w:r>
      <w:r>
        <w:rPr>
          <w:rFonts w:ascii="黑体" w:hAnsi="黑体" w:eastAsia="黑体" w:cs="黑体"/>
          <w:spacing w:val="25"/>
          <w:position w:val="1"/>
          <w:sz w:val="24"/>
          <w:szCs w:val="24"/>
        </w:rPr>
        <w:t>安全保护措施及注意事项</w:t>
      </w:r>
    </w:p>
    <w:p w14:paraId="5FD076C5">
      <w:pPr>
        <w:spacing w:before="98" w:line="219" w:lineRule="auto"/>
        <w:ind w:left="570"/>
        <w:rPr>
          <w:rFonts w:ascii="宋体" w:hAnsi="宋体" w:eastAsia="宋体" w:cs="宋体"/>
          <w:sz w:val="27"/>
          <w:szCs w:val="27"/>
        </w:rPr>
      </w:pPr>
      <w:r>
        <w:rPr>
          <w:rFonts w:ascii="宋体" w:hAnsi="宋体" w:eastAsia="宋体" w:cs="宋体"/>
          <w:sz w:val="27"/>
          <w:szCs w:val="27"/>
        </w:rPr>
        <w:t>一般包括以下内容：</w:t>
      </w:r>
    </w:p>
    <w:p w14:paraId="3A6A825A">
      <w:pPr>
        <w:spacing w:before="70"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70"/>
          <w:sz w:val="27"/>
          <w:szCs w:val="27"/>
        </w:rPr>
        <w:t xml:space="preserve"> </w:t>
      </w:r>
      <w:r>
        <w:rPr>
          <w:rFonts w:ascii="宋体" w:hAnsi="宋体" w:eastAsia="宋体" w:cs="宋体"/>
          <w:spacing w:val="4"/>
          <w:sz w:val="27"/>
          <w:szCs w:val="27"/>
        </w:rPr>
        <w:t>安全保护措施及注意事项；</w:t>
      </w:r>
    </w:p>
    <w:p w14:paraId="34FA7C85">
      <w:pPr>
        <w:spacing w:before="99"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出现故障时的处理程序和方法。</w:t>
      </w:r>
    </w:p>
    <w:p w14:paraId="4D624E20">
      <w:pPr>
        <w:spacing w:line="212" w:lineRule="auto"/>
        <w:rPr>
          <w:rFonts w:ascii="宋体" w:hAnsi="宋体" w:eastAsia="宋体" w:cs="宋体"/>
          <w:sz w:val="27"/>
          <w:szCs w:val="27"/>
        </w:rPr>
        <w:sectPr>
          <w:footerReference r:id="rId115" w:type="default"/>
          <w:pgSz w:w="11910" w:h="17130"/>
          <w:pgMar w:top="400" w:right="825" w:bottom="1739" w:left="1640" w:header="0" w:footer="1480" w:gutter="0"/>
          <w:cols w:space="720" w:num="1"/>
        </w:sectPr>
      </w:pPr>
    </w:p>
    <w:p w14:paraId="24CF0F1A">
      <w:pPr>
        <w:pStyle w:val="2"/>
        <w:spacing w:line="275" w:lineRule="auto"/>
      </w:pPr>
    </w:p>
    <w:p w14:paraId="14F34E58">
      <w:pPr>
        <w:pStyle w:val="2"/>
        <w:spacing w:line="275" w:lineRule="auto"/>
      </w:pPr>
    </w:p>
    <w:p w14:paraId="5931CB16">
      <w:pPr>
        <w:pStyle w:val="2"/>
        <w:spacing w:line="275" w:lineRule="auto"/>
      </w:pPr>
    </w:p>
    <w:p w14:paraId="3C3669BE">
      <w:pPr>
        <w:pStyle w:val="2"/>
        <w:spacing w:line="275" w:lineRule="auto"/>
      </w:pPr>
    </w:p>
    <w:p w14:paraId="1AB98DF0">
      <w:pPr>
        <w:spacing w:before="88" w:line="221" w:lineRule="auto"/>
        <w:rPr>
          <w:rFonts w:ascii="黑体" w:hAnsi="黑体" w:eastAsia="黑体" w:cs="黑体"/>
          <w:sz w:val="27"/>
          <w:szCs w:val="27"/>
        </w:rPr>
      </w:pPr>
      <w:r>
        <w:rPr>
          <w:rFonts w:ascii="黑体" w:hAnsi="黑体" w:eastAsia="黑体" w:cs="黑体"/>
          <w:spacing w:val="-19"/>
          <w:sz w:val="27"/>
          <w:szCs w:val="27"/>
        </w:rPr>
        <w:t>11</w:t>
      </w:r>
      <w:r>
        <w:rPr>
          <w:rFonts w:ascii="黑体" w:hAnsi="黑体" w:eastAsia="黑体" w:cs="黑体"/>
          <w:spacing w:val="15"/>
          <w:sz w:val="27"/>
          <w:szCs w:val="27"/>
        </w:rPr>
        <w:t xml:space="preserve">  </w:t>
      </w:r>
      <w:r>
        <w:rPr>
          <w:rFonts w:ascii="黑体" w:hAnsi="黑体" w:eastAsia="黑体" w:cs="黑体"/>
          <w:b/>
          <w:bCs/>
          <w:spacing w:val="-19"/>
          <w:sz w:val="27"/>
          <w:szCs w:val="27"/>
        </w:rPr>
        <w:t>运输、贮存</w:t>
      </w:r>
    </w:p>
    <w:p w14:paraId="56346715">
      <w:pPr>
        <w:spacing w:before="83" w:line="219" w:lineRule="auto"/>
        <w:ind w:left="539"/>
        <w:rPr>
          <w:rFonts w:ascii="宋体" w:hAnsi="宋体" w:eastAsia="宋体" w:cs="宋体"/>
          <w:sz w:val="27"/>
          <w:szCs w:val="27"/>
        </w:rPr>
      </w:pPr>
      <w:r>
        <w:rPr>
          <w:rFonts w:ascii="宋体" w:hAnsi="宋体" w:eastAsia="宋体" w:cs="宋体"/>
          <w:spacing w:val="-1"/>
          <w:sz w:val="27"/>
          <w:szCs w:val="27"/>
        </w:rPr>
        <w:t>产品的运输和贮存按照产品规范中的规定执行。</w:t>
      </w:r>
      <w:r>
        <w:rPr>
          <w:rFonts w:ascii="宋体" w:hAnsi="宋体" w:eastAsia="宋体" w:cs="宋体"/>
          <w:spacing w:val="-2"/>
          <w:sz w:val="27"/>
          <w:szCs w:val="27"/>
        </w:rPr>
        <w:t xml:space="preserve"> 一般包括：</w:t>
      </w:r>
    </w:p>
    <w:p w14:paraId="05A271A2">
      <w:pPr>
        <w:spacing w:before="49"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67"/>
          <w:w w:val="101"/>
          <w:sz w:val="27"/>
          <w:szCs w:val="27"/>
        </w:rPr>
        <w:t xml:space="preserve"> </w:t>
      </w:r>
      <w:r>
        <w:rPr>
          <w:rFonts w:ascii="宋体" w:hAnsi="宋体" w:eastAsia="宋体" w:cs="宋体"/>
          <w:spacing w:val="-4"/>
          <w:sz w:val="27"/>
          <w:szCs w:val="27"/>
        </w:rPr>
        <w:t>产品分解步骤、方法及注意事项；</w:t>
      </w:r>
    </w:p>
    <w:p w14:paraId="7DE950DF">
      <w:pPr>
        <w:spacing w:before="89"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44"/>
          <w:sz w:val="27"/>
          <w:szCs w:val="27"/>
        </w:rPr>
        <w:t xml:space="preserve"> </w:t>
      </w:r>
      <w:r>
        <w:rPr>
          <w:rFonts w:ascii="宋体" w:hAnsi="宋体" w:eastAsia="宋体" w:cs="宋体"/>
          <w:spacing w:val="3"/>
          <w:sz w:val="27"/>
          <w:szCs w:val="27"/>
        </w:rPr>
        <w:t>产品装箱方法；</w:t>
      </w:r>
    </w:p>
    <w:p w14:paraId="262DE05A">
      <w:pPr>
        <w:spacing w:before="100" w:line="212" w:lineRule="auto"/>
        <w:ind w:left="539"/>
        <w:rPr>
          <w:rFonts w:ascii="宋体" w:hAnsi="宋体" w:eastAsia="宋体" w:cs="宋体"/>
          <w:sz w:val="27"/>
          <w:szCs w:val="27"/>
        </w:rPr>
      </w:pPr>
      <w:r>
        <w:rPr>
          <w:rFonts w:ascii="Times New Roman" w:hAnsi="Times New Roman" w:eastAsia="Times New Roman" w:cs="Times New Roman"/>
          <w:spacing w:val="-6"/>
          <w:sz w:val="27"/>
          <w:szCs w:val="27"/>
        </w:rPr>
        <w:t>c)</w:t>
      </w:r>
      <w:r>
        <w:rPr>
          <w:rFonts w:ascii="Times New Roman" w:hAnsi="Times New Roman" w:eastAsia="Times New Roman" w:cs="Times New Roman"/>
          <w:spacing w:val="32"/>
          <w:sz w:val="27"/>
          <w:szCs w:val="27"/>
        </w:rPr>
        <w:t xml:space="preserve"> </w:t>
      </w:r>
      <w:r>
        <w:rPr>
          <w:rFonts w:ascii="宋体" w:hAnsi="宋体" w:eastAsia="宋体" w:cs="宋体"/>
          <w:spacing w:val="-6"/>
          <w:sz w:val="27"/>
          <w:szCs w:val="27"/>
        </w:rPr>
        <w:t>吊装、转载方式及要求；</w:t>
      </w:r>
    </w:p>
    <w:p w14:paraId="2502288F">
      <w:pPr>
        <w:spacing w:before="109"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d)</w:t>
      </w:r>
      <w:r>
        <w:rPr>
          <w:rFonts w:ascii="Times New Roman" w:hAnsi="Times New Roman" w:eastAsia="Times New Roman" w:cs="Times New Roman"/>
          <w:spacing w:val="60"/>
          <w:sz w:val="27"/>
          <w:szCs w:val="27"/>
        </w:rPr>
        <w:t xml:space="preserve"> </w:t>
      </w:r>
      <w:r>
        <w:rPr>
          <w:rFonts w:ascii="宋体" w:hAnsi="宋体" w:eastAsia="宋体" w:cs="宋体"/>
          <w:spacing w:val="-2"/>
          <w:sz w:val="27"/>
          <w:szCs w:val="27"/>
        </w:rPr>
        <w:t>运输方式(铁路、公路或水运);</w:t>
      </w:r>
    </w:p>
    <w:p w14:paraId="0442A531">
      <w:pPr>
        <w:spacing w:before="90" w:line="212" w:lineRule="auto"/>
        <w:ind w:left="539"/>
        <w:rPr>
          <w:rFonts w:ascii="宋体" w:hAnsi="宋体" w:eastAsia="宋体" w:cs="宋体"/>
          <w:sz w:val="27"/>
          <w:szCs w:val="27"/>
        </w:rPr>
      </w:pPr>
      <w:r>
        <w:rPr>
          <w:rFonts w:ascii="Times New Roman" w:hAnsi="Times New Roman" w:eastAsia="Times New Roman" w:cs="Times New Roman"/>
          <w:spacing w:val="-1"/>
          <w:sz w:val="27"/>
          <w:szCs w:val="27"/>
        </w:rPr>
        <w:t>e)</w:t>
      </w:r>
      <w:r>
        <w:rPr>
          <w:rFonts w:ascii="Times New Roman" w:hAnsi="Times New Roman" w:eastAsia="Times New Roman" w:cs="Times New Roman"/>
          <w:spacing w:val="75"/>
          <w:sz w:val="27"/>
          <w:szCs w:val="27"/>
        </w:rPr>
        <w:t xml:space="preserve"> </w:t>
      </w:r>
      <w:r>
        <w:rPr>
          <w:rFonts w:ascii="宋体" w:hAnsi="宋体" w:eastAsia="宋体" w:cs="宋体"/>
          <w:spacing w:val="-1"/>
          <w:sz w:val="27"/>
          <w:szCs w:val="27"/>
        </w:rPr>
        <w:t>运输中的固定方法(可以用简图示意)、要求及注意事项；</w:t>
      </w:r>
    </w:p>
    <w:p w14:paraId="3717866D">
      <w:pPr>
        <w:spacing w:before="121" w:line="212" w:lineRule="auto"/>
        <w:ind w:left="539"/>
        <w:rPr>
          <w:rFonts w:ascii="宋体" w:hAnsi="宋体" w:eastAsia="宋体" w:cs="宋体"/>
          <w:sz w:val="25"/>
          <w:szCs w:val="25"/>
        </w:rPr>
      </w:pPr>
      <w:r>
        <w:rPr>
          <w:rFonts w:ascii="Times New Roman" w:hAnsi="Times New Roman" w:eastAsia="Times New Roman" w:cs="Times New Roman"/>
          <w:spacing w:val="8"/>
          <w:sz w:val="25"/>
          <w:szCs w:val="25"/>
        </w:rPr>
        <w:t xml:space="preserve">f)  </w:t>
      </w:r>
      <w:r>
        <w:rPr>
          <w:rFonts w:ascii="宋体" w:hAnsi="宋体" w:eastAsia="宋体" w:cs="宋体"/>
          <w:spacing w:val="8"/>
          <w:sz w:val="25"/>
          <w:szCs w:val="25"/>
        </w:rPr>
        <w:t>运输中固定所需的材料、附件(如铁丝、垫木、扒钉等);</w:t>
      </w:r>
    </w:p>
    <w:p w14:paraId="6F1DB3F4">
      <w:pPr>
        <w:spacing w:before="101" w:line="212" w:lineRule="auto"/>
        <w:ind w:left="539"/>
        <w:rPr>
          <w:rFonts w:ascii="宋体" w:hAnsi="宋体" w:eastAsia="宋体" w:cs="宋体"/>
          <w:sz w:val="27"/>
          <w:szCs w:val="27"/>
        </w:rPr>
      </w:pPr>
      <w:r>
        <w:rPr>
          <w:rFonts w:ascii="Times New Roman" w:hAnsi="Times New Roman" w:eastAsia="Times New Roman" w:cs="Times New Roman"/>
          <w:spacing w:val="13"/>
          <w:sz w:val="27"/>
          <w:szCs w:val="27"/>
        </w:rPr>
        <w:t>g</w:t>
      </w:r>
      <w:r>
        <w:rPr>
          <w:rFonts w:ascii="宋体" w:hAnsi="宋体" w:eastAsia="宋体" w:cs="宋体"/>
          <w:spacing w:val="13"/>
          <w:sz w:val="27"/>
          <w:szCs w:val="27"/>
        </w:rPr>
        <w:t>)安全要求。</w:t>
      </w:r>
    </w:p>
    <w:p w14:paraId="0F0EC888">
      <w:pPr>
        <w:spacing w:before="146" w:line="222" w:lineRule="auto"/>
        <w:rPr>
          <w:rFonts w:ascii="黑体" w:hAnsi="黑体" w:eastAsia="黑体" w:cs="黑体"/>
          <w:sz w:val="24"/>
          <w:szCs w:val="24"/>
        </w:rPr>
      </w:pPr>
      <w:r>
        <w:rPr>
          <w:rFonts w:ascii="黑体" w:hAnsi="黑体" w:eastAsia="黑体" w:cs="黑体"/>
          <w:spacing w:val="-10"/>
          <w:sz w:val="24"/>
          <w:szCs w:val="24"/>
        </w:rPr>
        <w:t>12</w:t>
      </w:r>
      <w:r>
        <w:rPr>
          <w:rFonts w:ascii="黑体" w:hAnsi="黑体" w:eastAsia="黑体" w:cs="黑体"/>
          <w:spacing w:val="42"/>
          <w:sz w:val="24"/>
          <w:szCs w:val="24"/>
        </w:rPr>
        <w:t xml:space="preserve">  </w:t>
      </w:r>
      <w:r>
        <w:rPr>
          <w:rFonts w:ascii="黑体" w:hAnsi="黑体" w:eastAsia="黑体" w:cs="黑体"/>
          <w:b/>
          <w:bCs/>
          <w:spacing w:val="-10"/>
          <w:sz w:val="24"/>
          <w:szCs w:val="24"/>
        </w:rPr>
        <w:t>其</w:t>
      </w:r>
      <w:r>
        <w:rPr>
          <w:rFonts w:ascii="黑体" w:hAnsi="黑体" w:eastAsia="黑体" w:cs="黑体"/>
          <w:spacing w:val="-32"/>
          <w:sz w:val="24"/>
          <w:szCs w:val="24"/>
        </w:rPr>
        <w:t xml:space="preserve"> </w:t>
      </w:r>
      <w:r>
        <w:rPr>
          <w:rFonts w:ascii="黑体" w:hAnsi="黑体" w:eastAsia="黑体" w:cs="黑体"/>
          <w:b/>
          <w:bCs/>
          <w:spacing w:val="-10"/>
          <w:sz w:val="24"/>
          <w:szCs w:val="24"/>
        </w:rPr>
        <w:t>他</w:t>
      </w:r>
    </w:p>
    <w:p w14:paraId="2035797F">
      <w:pPr>
        <w:spacing w:before="87" w:line="219" w:lineRule="auto"/>
        <w:ind w:left="539"/>
        <w:rPr>
          <w:rFonts w:ascii="宋体" w:hAnsi="宋体" w:eastAsia="宋体" w:cs="宋体"/>
          <w:sz w:val="27"/>
          <w:szCs w:val="27"/>
        </w:rPr>
      </w:pPr>
      <w:r>
        <w:rPr>
          <w:rFonts w:ascii="宋体" w:hAnsi="宋体" w:eastAsia="宋体" w:cs="宋体"/>
          <w:spacing w:val="1"/>
          <w:sz w:val="27"/>
          <w:szCs w:val="27"/>
        </w:rPr>
        <w:t>需要向用户说明的其他事项。</w:t>
      </w:r>
    </w:p>
    <w:p w14:paraId="6EA86CFB">
      <w:pPr>
        <w:pStyle w:val="2"/>
        <w:spacing w:line="314" w:lineRule="auto"/>
      </w:pPr>
    </w:p>
    <w:p w14:paraId="7F14BE90">
      <w:pPr>
        <w:spacing w:before="120" w:line="223" w:lineRule="auto"/>
        <w:ind w:left="3245"/>
        <w:outlineLvl w:val="1"/>
        <w:rPr>
          <w:rFonts w:ascii="仿宋" w:hAnsi="仿宋" w:eastAsia="仿宋" w:cs="仿宋"/>
          <w:sz w:val="37"/>
          <w:szCs w:val="37"/>
        </w:rPr>
      </w:pPr>
      <w:bookmarkStart w:id="66" w:name="bookmark34"/>
      <w:bookmarkEnd w:id="66"/>
      <w:r>
        <w:rPr>
          <w:rFonts w:ascii="宋体" w:hAnsi="宋体" w:eastAsia="宋体" w:cs="宋体"/>
          <w:b/>
          <w:bCs/>
          <w:spacing w:val="-13"/>
          <w:sz w:val="37"/>
          <w:szCs w:val="37"/>
        </w:rPr>
        <w:t>1.32</w:t>
      </w:r>
      <w:r>
        <w:rPr>
          <w:rFonts w:ascii="宋体" w:hAnsi="宋体" w:eastAsia="宋体" w:cs="宋体"/>
          <w:spacing w:val="-13"/>
          <w:sz w:val="37"/>
          <w:szCs w:val="37"/>
        </w:rPr>
        <w:t xml:space="preserve">  </w:t>
      </w:r>
      <w:r>
        <w:rPr>
          <w:rFonts w:ascii="宋体" w:hAnsi="宋体" w:eastAsia="宋体" w:cs="宋体"/>
          <w:b/>
          <w:bCs/>
          <w:spacing w:val="-13"/>
          <w:sz w:val="37"/>
          <w:szCs w:val="37"/>
        </w:rPr>
        <w:t>改</w:t>
      </w:r>
      <w:r>
        <w:rPr>
          <w:rFonts w:ascii="宋体" w:hAnsi="宋体" w:eastAsia="宋体" w:cs="宋体"/>
          <w:spacing w:val="-40"/>
          <w:sz w:val="37"/>
          <w:szCs w:val="37"/>
        </w:rPr>
        <w:t xml:space="preserve"> </w:t>
      </w:r>
      <w:r>
        <w:rPr>
          <w:rFonts w:ascii="宋体" w:hAnsi="宋体" w:eastAsia="宋体" w:cs="宋体"/>
          <w:b/>
          <w:bCs/>
          <w:spacing w:val="-13"/>
          <w:sz w:val="37"/>
          <w:szCs w:val="37"/>
        </w:rPr>
        <w:t>装</w:t>
      </w:r>
      <w:r>
        <w:rPr>
          <w:rFonts w:ascii="宋体" w:hAnsi="宋体" w:eastAsia="宋体" w:cs="宋体"/>
          <w:spacing w:val="-39"/>
          <w:sz w:val="37"/>
          <w:szCs w:val="37"/>
        </w:rPr>
        <w:t xml:space="preserve"> </w:t>
      </w:r>
      <w:r>
        <w:rPr>
          <w:rFonts w:ascii="宋体" w:hAnsi="宋体" w:eastAsia="宋体" w:cs="宋体"/>
          <w:b/>
          <w:bCs/>
          <w:spacing w:val="-13"/>
          <w:sz w:val="37"/>
          <w:szCs w:val="37"/>
        </w:rPr>
        <w:t>方</w:t>
      </w:r>
      <w:r>
        <w:rPr>
          <w:rFonts w:ascii="宋体" w:hAnsi="宋体" w:eastAsia="宋体" w:cs="宋体"/>
          <w:spacing w:val="-49"/>
          <w:sz w:val="37"/>
          <w:szCs w:val="37"/>
        </w:rPr>
        <w:t xml:space="preserve"> </w:t>
      </w:r>
      <w:r>
        <w:rPr>
          <w:rFonts w:ascii="仿宋" w:hAnsi="仿宋" w:eastAsia="仿宋" w:cs="仿宋"/>
          <w:b/>
          <w:bCs/>
          <w:spacing w:val="-13"/>
          <w:sz w:val="37"/>
          <w:szCs w:val="37"/>
        </w:rPr>
        <w:t>案</w:t>
      </w:r>
    </w:p>
    <w:p w14:paraId="11201CF9">
      <w:pPr>
        <w:pStyle w:val="2"/>
        <w:spacing w:line="371" w:lineRule="auto"/>
      </w:pPr>
    </w:p>
    <w:p w14:paraId="7D50B392">
      <w:pPr>
        <w:spacing w:before="79" w:line="223" w:lineRule="auto"/>
        <w:rPr>
          <w:rFonts w:ascii="黑体" w:hAnsi="黑体" w:eastAsia="黑体" w:cs="黑体"/>
          <w:sz w:val="24"/>
          <w:szCs w:val="24"/>
        </w:rPr>
      </w:pPr>
      <w:r>
        <w:rPr>
          <w:rFonts w:ascii="黑体" w:hAnsi="黑体" w:eastAsia="黑体" w:cs="黑体"/>
          <w:spacing w:val="-14"/>
          <w:sz w:val="24"/>
          <w:szCs w:val="24"/>
        </w:rPr>
        <w:t>1</w:t>
      </w:r>
      <w:r>
        <w:rPr>
          <w:rFonts w:ascii="黑体" w:hAnsi="黑体" w:eastAsia="黑体" w:cs="黑体"/>
          <w:spacing w:val="48"/>
          <w:sz w:val="24"/>
          <w:szCs w:val="24"/>
        </w:rPr>
        <w:t xml:space="preserve">  </w:t>
      </w:r>
      <w:r>
        <w:rPr>
          <w:rFonts w:ascii="黑体" w:hAnsi="黑体" w:eastAsia="黑体" w:cs="黑体"/>
          <w:b/>
          <w:bCs/>
          <w:spacing w:val="-14"/>
          <w:sz w:val="24"/>
          <w:szCs w:val="24"/>
        </w:rPr>
        <w:t>范</w:t>
      </w:r>
      <w:r>
        <w:rPr>
          <w:rFonts w:ascii="黑体" w:hAnsi="黑体" w:eastAsia="黑体" w:cs="黑体"/>
          <w:spacing w:val="-26"/>
          <w:sz w:val="24"/>
          <w:szCs w:val="24"/>
        </w:rPr>
        <w:t xml:space="preserve"> </w:t>
      </w:r>
      <w:r>
        <w:rPr>
          <w:rFonts w:ascii="黑体" w:hAnsi="黑体" w:eastAsia="黑体" w:cs="黑体"/>
          <w:b/>
          <w:bCs/>
          <w:spacing w:val="-14"/>
          <w:sz w:val="24"/>
          <w:szCs w:val="24"/>
        </w:rPr>
        <w:t>围</w:t>
      </w:r>
    </w:p>
    <w:p w14:paraId="5C1D96D9">
      <w:pPr>
        <w:spacing w:before="90" w:line="222" w:lineRule="auto"/>
        <w:rPr>
          <w:rFonts w:ascii="黑体" w:hAnsi="黑体" w:eastAsia="黑体" w:cs="黑体"/>
          <w:sz w:val="25"/>
          <w:szCs w:val="25"/>
        </w:rPr>
      </w:pPr>
      <w:r>
        <w:rPr>
          <w:rFonts w:ascii="黑体" w:hAnsi="黑体" w:eastAsia="黑体" w:cs="黑体"/>
          <w:spacing w:val="5"/>
          <w:sz w:val="25"/>
          <w:szCs w:val="25"/>
        </w:rPr>
        <w:t>1.1</w:t>
      </w:r>
      <w:r>
        <w:rPr>
          <w:rFonts w:ascii="黑体" w:hAnsi="黑体" w:eastAsia="黑体" w:cs="黑体"/>
          <w:spacing w:val="53"/>
          <w:sz w:val="25"/>
          <w:szCs w:val="25"/>
        </w:rPr>
        <w:t xml:space="preserve">  </w:t>
      </w:r>
      <w:r>
        <w:rPr>
          <w:rFonts w:ascii="黑体" w:hAnsi="黑体" w:eastAsia="黑体" w:cs="黑体"/>
          <w:b/>
          <w:bCs/>
          <w:spacing w:val="5"/>
          <w:sz w:val="25"/>
          <w:szCs w:val="25"/>
        </w:rPr>
        <w:t>主题内容</w:t>
      </w:r>
    </w:p>
    <w:p w14:paraId="257E2EF2">
      <w:pPr>
        <w:spacing w:before="114" w:line="219" w:lineRule="auto"/>
        <w:ind w:left="539"/>
        <w:rPr>
          <w:rFonts w:ascii="宋体" w:hAnsi="宋体" w:eastAsia="宋体" w:cs="宋体"/>
          <w:sz w:val="27"/>
          <w:szCs w:val="27"/>
        </w:rPr>
      </w:pPr>
      <w:r>
        <w:rPr>
          <w:rFonts w:ascii="宋体" w:hAnsi="宋体" w:eastAsia="宋体" w:cs="宋体"/>
          <w:spacing w:val="1"/>
          <w:sz w:val="27"/>
          <w:szCs w:val="27"/>
        </w:rPr>
        <w:t>说明改装方案的主题内容。</w:t>
      </w:r>
    </w:p>
    <w:p w14:paraId="66AD6A1B">
      <w:pPr>
        <w:spacing w:before="66" w:line="223" w:lineRule="auto"/>
        <w:rPr>
          <w:rFonts w:ascii="黑体" w:hAnsi="黑体" w:eastAsia="黑体" w:cs="黑体"/>
          <w:sz w:val="27"/>
          <w:szCs w:val="27"/>
        </w:rPr>
      </w:pPr>
      <w:r>
        <w:rPr>
          <w:rFonts w:ascii="黑体" w:hAnsi="黑体" w:eastAsia="黑体" w:cs="黑体"/>
          <w:spacing w:val="-4"/>
          <w:sz w:val="27"/>
          <w:szCs w:val="27"/>
        </w:rPr>
        <w:t>1.2</w:t>
      </w:r>
      <w:r>
        <w:rPr>
          <w:rFonts w:ascii="黑体" w:hAnsi="黑体" w:eastAsia="黑体" w:cs="黑体"/>
          <w:spacing w:val="26"/>
          <w:sz w:val="27"/>
          <w:szCs w:val="27"/>
        </w:rPr>
        <w:t xml:space="preserve">  </w:t>
      </w:r>
      <w:r>
        <w:rPr>
          <w:rFonts w:ascii="黑体" w:hAnsi="黑体" w:eastAsia="黑体" w:cs="黑体"/>
          <w:b/>
          <w:bCs/>
          <w:spacing w:val="-4"/>
          <w:sz w:val="27"/>
          <w:szCs w:val="27"/>
        </w:rPr>
        <w:t>适用范围</w:t>
      </w:r>
    </w:p>
    <w:p w14:paraId="53163A15">
      <w:pPr>
        <w:spacing w:before="107" w:line="219" w:lineRule="auto"/>
        <w:ind w:left="539"/>
        <w:rPr>
          <w:rFonts w:ascii="宋体" w:hAnsi="宋体" w:eastAsia="宋体" w:cs="宋体"/>
          <w:sz w:val="27"/>
          <w:szCs w:val="27"/>
        </w:rPr>
      </w:pPr>
      <w:r>
        <w:rPr>
          <w:rFonts w:ascii="宋体" w:hAnsi="宋体" w:eastAsia="宋体" w:cs="宋体"/>
          <w:spacing w:val="-2"/>
          <w:sz w:val="27"/>
          <w:szCs w:val="27"/>
        </w:rPr>
        <w:t>说明改装方案的适用范围，包括适用产品名称和适用阶段。</w:t>
      </w:r>
    </w:p>
    <w:p w14:paraId="1E73AC78">
      <w:pPr>
        <w:spacing w:before="94" w:line="222" w:lineRule="auto"/>
        <w:rPr>
          <w:rFonts w:ascii="黑体" w:hAnsi="黑体" w:eastAsia="黑体" w:cs="黑体"/>
          <w:sz w:val="25"/>
          <w:szCs w:val="25"/>
        </w:rPr>
      </w:pPr>
      <w:r>
        <w:rPr>
          <w:rFonts w:ascii="黑体" w:hAnsi="黑体" w:eastAsia="黑体" w:cs="黑体"/>
          <w:spacing w:val="13"/>
          <w:sz w:val="25"/>
          <w:szCs w:val="25"/>
        </w:rPr>
        <w:t>2</w:t>
      </w:r>
      <w:r>
        <w:rPr>
          <w:rFonts w:ascii="黑体" w:hAnsi="黑体" w:eastAsia="黑体" w:cs="黑体"/>
          <w:spacing w:val="33"/>
          <w:sz w:val="25"/>
          <w:szCs w:val="25"/>
        </w:rPr>
        <w:t xml:space="preserve">  </w:t>
      </w:r>
      <w:r>
        <w:rPr>
          <w:rFonts w:ascii="黑体" w:hAnsi="黑体" w:eastAsia="黑体" w:cs="黑体"/>
          <w:b/>
          <w:bCs/>
          <w:spacing w:val="13"/>
          <w:sz w:val="25"/>
          <w:szCs w:val="25"/>
        </w:rPr>
        <w:t>引用文件</w:t>
      </w:r>
    </w:p>
    <w:p w14:paraId="1EBAC238">
      <w:pPr>
        <w:spacing w:before="99" w:line="222" w:lineRule="auto"/>
        <w:rPr>
          <w:rFonts w:ascii="黑体" w:hAnsi="黑体" w:eastAsia="黑体" w:cs="黑体"/>
          <w:sz w:val="24"/>
          <w:szCs w:val="24"/>
        </w:rPr>
      </w:pPr>
      <w:r>
        <w:rPr>
          <w:rFonts w:ascii="黑体" w:hAnsi="黑体" w:eastAsia="黑体" w:cs="黑体"/>
          <w:spacing w:val="18"/>
          <w:sz w:val="24"/>
          <w:szCs w:val="24"/>
        </w:rPr>
        <w:t>2.1</w:t>
      </w:r>
      <w:r>
        <w:rPr>
          <w:rFonts w:ascii="黑体" w:hAnsi="黑体" w:eastAsia="黑体" w:cs="黑体"/>
          <w:spacing w:val="55"/>
          <w:sz w:val="24"/>
          <w:szCs w:val="24"/>
        </w:rPr>
        <w:t xml:space="preserve">  </w:t>
      </w:r>
      <w:r>
        <w:rPr>
          <w:rFonts w:ascii="黑体" w:hAnsi="黑体" w:eastAsia="黑体" w:cs="黑体"/>
          <w:b/>
          <w:bCs/>
          <w:spacing w:val="18"/>
          <w:sz w:val="24"/>
          <w:szCs w:val="24"/>
        </w:rPr>
        <w:t>依据文件</w:t>
      </w:r>
    </w:p>
    <w:p w14:paraId="3702000C">
      <w:pPr>
        <w:spacing w:before="106" w:line="282" w:lineRule="auto"/>
        <w:ind w:firstLine="539"/>
        <w:rPr>
          <w:rFonts w:ascii="宋体" w:hAnsi="宋体" w:eastAsia="宋体" w:cs="宋体"/>
          <w:sz w:val="27"/>
          <w:szCs w:val="27"/>
        </w:rPr>
      </w:pPr>
      <w:r>
        <w:rPr>
          <w:rFonts w:ascii="宋体" w:hAnsi="宋体" w:eastAsia="宋体" w:cs="宋体"/>
          <w:spacing w:val="-2"/>
          <w:sz w:val="27"/>
          <w:szCs w:val="27"/>
        </w:rPr>
        <w:t>说明编制改装方案的依据文件，包括批复的</w:t>
      </w:r>
      <w:r>
        <w:rPr>
          <w:rFonts w:ascii="宋体" w:hAnsi="宋体" w:eastAsia="宋体" w:cs="宋体"/>
          <w:spacing w:val="-3"/>
          <w:sz w:val="27"/>
          <w:szCs w:val="27"/>
        </w:rPr>
        <w:t>研制总要求、产品规范、技术说</w:t>
      </w:r>
      <w:r>
        <w:rPr>
          <w:rFonts w:ascii="宋体" w:hAnsi="宋体" w:eastAsia="宋体" w:cs="宋体"/>
          <w:sz w:val="27"/>
          <w:szCs w:val="27"/>
        </w:rPr>
        <w:t xml:space="preserve"> </w:t>
      </w:r>
      <w:r>
        <w:rPr>
          <w:rFonts w:ascii="宋体" w:hAnsi="宋体" w:eastAsia="宋体" w:cs="宋体"/>
          <w:spacing w:val="-9"/>
          <w:sz w:val="27"/>
          <w:szCs w:val="27"/>
        </w:rPr>
        <w:t>明书、使用维护说明书等。</w:t>
      </w:r>
    </w:p>
    <w:p w14:paraId="7CE86BE8">
      <w:pPr>
        <w:spacing w:before="10" w:line="222" w:lineRule="auto"/>
        <w:rPr>
          <w:rFonts w:ascii="黑体" w:hAnsi="黑体" w:eastAsia="黑体" w:cs="黑体"/>
          <w:sz w:val="24"/>
          <w:szCs w:val="24"/>
        </w:rPr>
      </w:pPr>
      <w:r>
        <w:rPr>
          <w:rFonts w:ascii="黑体" w:hAnsi="黑体" w:eastAsia="黑体" w:cs="黑体"/>
          <w:spacing w:val="13"/>
          <w:sz w:val="24"/>
          <w:szCs w:val="24"/>
        </w:rPr>
        <w:t>2.2</w:t>
      </w:r>
      <w:r>
        <w:rPr>
          <w:rFonts w:ascii="黑体" w:hAnsi="黑体" w:eastAsia="黑体" w:cs="黑体"/>
          <w:spacing w:val="57"/>
          <w:sz w:val="24"/>
          <w:szCs w:val="24"/>
        </w:rPr>
        <w:t xml:space="preserve">  </w:t>
      </w:r>
      <w:r>
        <w:rPr>
          <w:rFonts w:ascii="黑体" w:hAnsi="黑体" w:eastAsia="黑体" w:cs="黑体"/>
          <w:b/>
          <w:bCs/>
          <w:spacing w:val="13"/>
          <w:sz w:val="24"/>
          <w:szCs w:val="24"/>
        </w:rPr>
        <w:t>引用文件</w:t>
      </w:r>
    </w:p>
    <w:p w14:paraId="2DBEA0A3">
      <w:pPr>
        <w:spacing w:before="106" w:line="219" w:lineRule="auto"/>
        <w:ind w:left="539"/>
        <w:rPr>
          <w:rFonts w:ascii="宋体" w:hAnsi="宋体" w:eastAsia="宋体" w:cs="宋体"/>
          <w:sz w:val="27"/>
          <w:szCs w:val="27"/>
        </w:rPr>
      </w:pPr>
      <w:r>
        <w:rPr>
          <w:rFonts w:ascii="宋体" w:hAnsi="宋体" w:eastAsia="宋体" w:cs="宋体"/>
          <w:spacing w:val="-4"/>
          <w:sz w:val="27"/>
          <w:szCs w:val="27"/>
        </w:rPr>
        <w:t>说明编制改装方案的引用文件，包括国家标准、国家军用标准和规范等。</w:t>
      </w:r>
    </w:p>
    <w:p w14:paraId="279BA665">
      <w:pPr>
        <w:spacing w:before="76"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21"/>
          <w:sz w:val="27"/>
          <w:szCs w:val="27"/>
        </w:rPr>
        <w:t xml:space="preserve">  </w:t>
      </w:r>
      <w:r>
        <w:rPr>
          <w:rFonts w:ascii="黑体" w:hAnsi="黑体" w:eastAsia="黑体" w:cs="黑体"/>
          <w:b/>
          <w:bCs/>
          <w:spacing w:val="-2"/>
          <w:sz w:val="27"/>
          <w:szCs w:val="27"/>
        </w:rPr>
        <w:t>改装原则要求</w:t>
      </w:r>
    </w:p>
    <w:p w14:paraId="6EF1FA57">
      <w:pPr>
        <w:spacing w:before="105" w:line="222" w:lineRule="auto"/>
        <w:rPr>
          <w:rFonts w:ascii="黑体" w:hAnsi="黑体" w:eastAsia="黑体" w:cs="黑体"/>
          <w:sz w:val="25"/>
          <w:szCs w:val="25"/>
        </w:rPr>
      </w:pPr>
      <w:r>
        <w:rPr>
          <w:rFonts w:ascii="黑体" w:hAnsi="黑体" w:eastAsia="黑体" w:cs="黑体"/>
          <w:spacing w:val="15"/>
          <w:sz w:val="25"/>
          <w:szCs w:val="25"/>
        </w:rPr>
        <w:t>3.1</w:t>
      </w:r>
      <w:r>
        <w:rPr>
          <w:rFonts w:ascii="黑体" w:hAnsi="黑体" w:eastAsia="黑体" w:cs="黑体"/>
          <w:spacing w:val="49"/>
          <w:sz w:val="25"/>
          <w:szCs w:val="25"/>
        </w:rPr>
        <w:t xml:space="preserve">  </w:t>
      </w:r>
      <w:r>
        <w:rPr>
          <w:rFonts w:ascii="黑体" w:hAnsi="黑体" w:eastAsia="黑体" w:cs="黑体"/>
          <w:b/>
          <w:bCs/>
          <w:spacing w:val="15"/>
          <w:sz w:val="25"/>
          <w:szCs w:val="25"/>
        </w:rPr>
        <w:t>对改装设备的要求</w:t>
      </w:r>
    </w:p>
    <w:p w14:paraId="7675E970">
      <w:pPr>
        <w:spacing w:before="96" w:line="219" w:lineRule="auto"/>
        <w:ind w:left="539"/>
        <w:rPr>
          <w:rFonts w:ascii="宋体" w:hAnsi="宋体" w:eastAsia="宋体" w:cs="宋体"/>
          <w:sz w:val="27"/>
          <w:szCs w:val="27"/>
        </w:rPr>
      </w:pPr>
      <w:r>
        <w:rPr>
          <w:rFonts w:ascii="宋体" w:hAnsi="宋体" w:eastAsia="宋体" w:cs="宋体"/>
          <w:spacing w:val="1"/>
          <w:sz w:val="27"/>
          <w:szCs w:val="27"/>
        </w:rPr>
        <w:t>提出对改装设备的要求。示例：</w:t>
      </w:r>
    </w:p>
    <w:p w14:paraId="47393C87">
      <w:pPr>
        <w:spacing w:before="69" w:line="212" w:lineRule="auto"/>
        <w:ind w:left="539"/>
        <w:rPr>
          <w:rFonts w:ascii="仿宋" w:hAnsi="仿宋" w:eastAsia="仿宋" w:cs="仿宋"/>
          <w:sz w:val="27"/>
          <w:szCs w:val="27"/>
        </w:rPr>
      </w:pPr>
      <w:r>
        <w:rPr>
          <w:rFonts w:ascii="Times New Roman" w:hAnsi="Times New Roman" w:eastAsia="Times New Roman" w:cs="Times New Roman"/>
          <w:spacing w:val="-2"/>
          <w:sz w:val="27"/>
          <w:szCs w:val="27"/>
        </w:rPr>
        <w:t>a)</w:t>
      </w:r>
      <w:r>
        <w:rPr>
          <w:rFonts w:ascii="Times New Roman" w:hAnsi="Times New Roman" w:eastAsia="Times New Roman" w:cs="Times New Roman"/>
          <w:spacing w:val="19"/>
          <w:sz w:val="27"/>
          <w:szCs w:val="27"/>
        </w:rPr>
        <w:t xml:space="preserve">  </w:t>
      </w:r>
      <w:r>
        <w:rPr>
          <w:rFonts w:ascii="仿宋" w:hAnsi="仿宋" w:eastAsia="仿宋" w:cs="仿宋"/>
          <w:spacing w:val="-2"/>
          <w:sz w:val="27"/>
          <w:szCs w:val="27"/>
        </w:rPr>
        <w:t>改装设备应通过环境试验、电磁兼容性试验和电源特性试验；</w:t>
      </w:r>
    </w:p>
    <w:p w14:paraId="725570A3">
      <w:pPr>
        <w:spacing w:before="120" w:line="269" w:lineRule="auto"/>
        <w:ind w:right="30" w:firstLine="539"/>
        <w:rPr>
          <w:rFonts w:ascii="仿宋" w:hAnsi="仿宋" w:eastAsia="仿宋" w:cs="仿宋"/>
          <w:sz w:val="25"/>
          <w:szCs w:val="25"/>
        </w:rPr>
      </w:pPr>
      <w:r>
        <w:rPr>
          <w:rFonts w:ascii="Times New Roman" w:hAnsi="Times New Roman" w:eastAsia="Times New Roman" w:cs="Times New Roman"/>
          <w:spacing w:val="20"/>
          <w:sz w:val="25"/>
          <w:szCs w:val="25"/>
        </w:rPr>
        <w:t>b)</w:t>
      </w:r>
      <w:r>
        <w:rPr>
          <w:rFonts w:ascii="Times New Roman" w:hAnsi="Times New Roman" w:eastAsia="Times New Roman" w:cs="Times New Roman"/>
          <w:spacing w:val="28"/>
          <w:sz w:val="25"/>
          <w:szCs w:val="25"/>
        </w:rPr>
        <w:t xml:space="preserve">  </w:t>
      </w:r>
      <w:r>
        <w:rPr>
          <w:rFonts w:ascii="仿宋" w:hAnsi="仿宋" w:eastAsia="仿宋" w:cs="仿宋"/>
          <w:spacing w:val="20"/>
          <w:sz w:val="25"/>
          <w:szCs w:val="25"/>
        </w:rPr>
        <w:t>改装设备的功能和性能应符合产品规范要求，经军检验收合格，满足装</w:t>
      </w:r>
      <w:r>
        <w:rPr>
          <w:rFonts w:ascii="仿宋" w:hAnsi="仿宋" w:eastAsia="仿宋" w:cs="仿宋"/>
          <w:sz w:val="25"/>
          <w:szCs w:val="25"/>
        </w:rPr>
        <w:t xml:space="preserve"> </w:t>
      </w:r>
      <w:r>
        <w:rPr>
          <w:rFonts w:ascii="仿宋" w:hAnsi="仿宋" w:eastAsia="仿宋" w:cs="仿宋"/>
          <w:spacing w:val="11"/>
          <w:sz w:val="25"/>
          <w:szCs w:val="25"/>
        </w:rPr>
        <w:t>机条件；</w:t>
      </w:r>
    </w:p>
    <w:p w14:paraId="07A8708B">
      <w:pPr>
        <w:spacing w:before="73" w:line="212" w:lineRule="auto"/>
        <w:ind w:left="539"/>
        <w:rPr>
          <w:rFonts w:ascii="仿宋" w:hAnsi="仿宋" w:eastAsia="仿宋" w:cs="仿宋"/>
          <w:sz w:val="25"/>
          <w:szCs w:val="25"/>
        </w:rPr>
      </w:pPr>
      <w:r>
        <w:rPr>
          <w:rFonts w:ascii="Times New Roman" w:hAnsi="Times New Roman" w:eastAsia="Times New Roman" w:cs="Times New Roman"/>
          <w:spacing w:val="8"/>
          <w:sz w:val="25"/>
          <w:szCs w:val="25"/>
        </w:rPr>
        <w:t>c)</w:t>
      </w:r>
      <w:r>
        <w:rPr>
          <w:rFonts w:ascii="Times New Roman" w:hAnsi="Times New Roman" w:eastAsia="Times New Roman" w:cs="Times New Roman"/>
          <w:spacing w:val="30"/>
          <w:sz w:val="25"/>
          <w:szCs w:val="25"/>
        </w:rPr>
        <w:t xml:space="preserve">  </w:t>
      </w:r>
      <w:r>
        <w:rPr>
          <w:rFonts w:ascii="仿宋" w:hAnsi="仿宋" w:eastAsia="仿宋" w:cs="仿宋"/>
          <w:spacing w:val="8"/>
          <w:sz w:val="25"/>
          <w:szCs w:val="25"/>
        </w:rPr>
        <w:t>改装设备的标识应准确、清晰，符合有关规定；</w:t>
      </w:r>
    </w:p>
    <w:p w14:paraId="4D33FF71">
      <w:pPr>
        <w:spacing w:before="132" w:line="275" w:lineRule="auto"/>
        <w:ind w:right="35" w:firstLine="539"/>
        <w:rPr>
          <w:rFonts w:ascii="仿宋" w:hAnsi="仿宋" w:eastAsia="仿宋" w:cs="仿宋"/>
          <w:sz w:val="24"/>
          <w:szCs w:val="24"/>
        </w:rPr>
      </w:pPr>
      <w:r>
        <w:rPr>
          <w:rFonts w:ascii="Times New Roman" w:hAnsi="Times New Roman" w:eastAsia="Times New Roman" w:cs="Times New Roman"/>
          <w:spacing w:val="21"/>
          <w:sz w:val="24"/>
          <w:szCs w:val="24"/>
        </w:rPr>
        <w:t>d)</w:t>
      </w:r>
      <w:r>
        <w:rPr>
          <w:rFonts w:ascii="Times New Roman" w:hAnsi="Times New Roman" w:eastAsia="Times New Roman" w:cs="Times New Roman"/>
          <w:spacing w:val="7"/>
          <w:sz w:val="24"/>
          <w:szCs w:val="24"/>
        </w:rPr>
        <w:t xml:space="preserve">   </w:t>
      </w:r>
      <w:r>
        <w:rPr>
          <w:rFonts w:ascii="仿宋" w:hAnsi="仿宋" w:eastAsia="仿宋" w:cs="仿宋"/>
          <w:spacing w:val="21"/>
          <w:sz w:val="24"/>
          <w:szCs w:val="24"/>
        </w:rPr>
        <w:t>改装设备的用户技术资料，包括技术说明书、使用维护说明书、培训教材</w:t>
      </w:r>
      <w:r>
        <w:rPr>
          <w:rFonts w:ascii="仿宋" w:hAnsi="仿宋" w:eastAsia="仿宋" w:cs="仿宋"/>
          <w:sz w:val="24"/>
          <w:szCs w:val="24"/>
        </w:rPr>
        <w:t xml:space="preserve"> </w:t>
      </w:r>
      <w:r>
        <w:rPr>
          <w:rFonts w:ascii="仿宋" w:hAnsi="仿宋" w:eastAsia="仿宋" w:cs="仿宋"/>
          <w:spacing w:val="13"/>
          <w:sz w:val="24"/>
          <w:szCs w:val="24"/>
        </w:rPr>
        <w:t>等，应同步配发部队。</w:t>
      </w:r>
    </w:p>
    <w:p w14:paraId="04A96EC1">
      <w:pPr>
        <w:spacing w:line="275" w:lineRule="auto"/>
        <w:rPr>
          <w:rFonts w:ascii="仿宋" w:hAnsi="仿宋" w:eastAsia="仿宋" w:cs="仿宋"/>
          <w:sz w:val="24"/>
          <w:szCs w:val="24"/>
        </w:rPr>
        <w:sectPr>
          <w:footerReference r:id="rId116" w:type="default"/>
          <w:pgSz w:w="11910" w:h="17130"/>
          <w:pgMar w:top="400" w:right="1498" w:bottom="1627" w:left="1039" w:header="0" w:footer="1411" w:gutter="0"/>
          <w:cols w:space="720" w:num="1"/>
        </w:sectPr>
      </w:pPr>
    </w:p>
    <w:p w14:paraId="7013072C">
      <w:pPr>
        <w:pStyle w:val="2"/>
        <w:spacing w:line="289" w:lineRule="auto"/>
      </w:pPr>
    </w:p>
    <w:p w14:paraId="075FCA0C">
      <w:pPr>
        <w:pStyle w:val="2"/>
        <w:spacing w:line="290" w:lineRule="auto"/>
      </w:pPr>
    </w:p>
    <w:p w14:paraId="0C71B63F">
      <w:pPr>
        <w:pStyle w:val="2"/>
        <w:spacing w:line="290" w:lineRule="auto"/>
      </w:pPr>
    </w:p>
    <w:p w14:paraId="1E84239A">
      <w:pPr>
        <w:pStyle w:val="2"/>
        <w:spacing w:line="290" w:lineRule="auto"/>
      </w:pPr>
    </w:p>
    <w:p w14:paraId="61700C8A">
      <w:pPr>
        <w:spacing w:before="78" w:line="222" w:lineRule="auto"/>
        <w:rPr>
          <w:rFonts w:ascii="黑体" w:hAnsi="黑体" w:eastAsia="黑体" w:cs="黑体"/>
          <w:sz w:val="24"/>
          <w:szCs w:val="24"/>
        </w:rPr>
      </w:pPr>
      <w:r>
        <w:rPr>
          <w:rFonts w:ascii="黑体" w:hAnsi="黑体" w:eastAsia="黑体" w:cs="黑体"/>
          <w:spacing w:val="22"/>
          <w:sz w:val="24"/>
          <w:szCs w:val="24"/>
        </w:rPr>
        <w:t>3.2</w:t>
      </w:r>
      <w:r>
        <w:rPr>
          <w:rFonts w:ascii="黑体" w:hAnsi="黑体" w:eastAsia="黑体" w:cs="黑体"/>
          <w:spacing w:val="53"/>
          <w:sz w:val="24"/>
          <w:szCs w:val="24"/>
        </w:rPr>
        <w:t xml:space="preserve">  </w:t>
      </w:r>
      <w:r>
        <w:rPr>
          <w:rFonts w:ascii="黑体" w:hAnsi="黑体" w:eastAsia="黑体" w:cs="黑体"/>
          <w:b/>
          <w:bCs/>
          <w:spacing w:val="22"/>
          <w:sz w:val="24"/>
          <w:szCs w:val="24"/>
        </w:rPr>
        <w:t>对改装设计的要求</w:t>
      </w:r>
    </w:p>
    <w:p w14:paraId="01E06675">
      <w:pPr>
        <w:spacing w:before="97" w:line="219" w:lineRule="auto"/>
        <w:ind w:left="570"/>
        <w:rPr>
          <w:rFonts w:ascii="宋体" w:hAnsi="宋体" w:eastAsia="宋体" w:cs="宋体"/>
          <w:sz w:val="27"/>
          <w:szCs w:val="27"/>
        </w:rPr>
      </w:pPr>
      <w:r>
        <w:rPr>
          <w:rFonts w:ascii="宋体" w:hAnsi="宋体" w:eastAsia="宋体" w:cs="宋体"/>
          <w:spacing w:val="2"/>
          <w:sz w:val="27"/>
          <w:szCs w:val="27"/>
        </w:rPr>
        <w:t>提出对改装设计的要求。示例：</w:t>
      </w:r>
    </w:p>
    <w:p w14:paraId="23039260">
      <w:pPr>
        <w:spacing w:before="50" w:line="278" w:lineRule="auto"/>
        <w:ind w:left="30" w:right="107" w:firstLine="539"/>
        <w:rPr>
          <w:rFonts w:ascii="仿宋" w:hAnsi="仿宋" w:eastAsia="仿宋" w:cs="仿宋"/>
          <w:sz w:val="25"/>
          <w:szCs w:val="25"/>
        </w:rPr>
      </w:pPr>
      <w:r>
        <w:rPr>
          <w:rFonts w:ascii="Times New Roman" w:hAnsi="Times New Roman" w:eastAsia="Times New Roman" w:cs="Times New Roman"/>
          <w:spacing w:val="21"/>
          <w:sz w:val="25"/>
          <w:szCs w:val="25"/>
        </w:rPr>
        <w:t>a)</w:t>
      </w:r>
      <w:r>
        <w:rPr>
          <w:rFonts w:ascii="Times New Roman" w:hAnsi="Times New Roman" w:eastAsia="Times New Roman" w:cs="Times New Roman"/>
          <w:spacing w:val="27"/>
          <w:sz w:val="25"/>
          <w:szCs w:val="25"/>
        </w:rPr>
        <w:t xml:space="preserve">  </w:t>
      </w:r>
      <w:r>
        <w:rPr>
          <w:rFonts w:ascii="仿宋" w:hAnsi="仿宋" w:eastAsia="仿宋" w:cs="仿宋"/>
          <w:spacing w:val="21"/>
          <w:sz w:val="25"/>
          <w:szCs w:val="25"/>
        </w:rPr>
        <w:t>接口交联关系设计正确，保证改装设备正常工作并充分发挥战术技术性</w:t>
      </w:r>
      <w:r>
        <w:rPr>
          <w:rFonts w:ascii="仿宋" w:hAnsi="仿宋" w:eastAsia="仿宋" w:cs="仿宋"/>
          <w:sz w:val="25"/>
          <w:szCs w:val="25"/>
        </w:rPr>
        <w:t xml:space="preserve"> </w:t>
      </w:r>
      <w:r>
        <w:rPr>
          <w:rFonts w:ascii="仿宋" w:hAnsi="仿宋" w:eastAsia="仿宋" w:cs="仿宋"/>
          <w:spacing w:val="9"/>
          <w:sz w:val="25"/>
          <w:szCs w:val="25"/>
        </w:rPr>
        <w:t>能；新增电缆或改进电缆的导线、接插件，应符合国家军用标准；</w:t>
      </w:r>
    </w:p>
    <w:p w14:paraId="1A1BAF62">
      <w:pPr>
        <w:spacing w:before="77" w:line="269" w:lineRule="auto"/>
        <w:ind w:left="30" w:firstLine="539"/>
        <w:rPr>
          <w:rFonts w:ascii="仿宋" w:hAnsi="仿宋" w:eastAsia="仿宋" w:cs="仿宋"/>
          <w:sz w:val="25"/>
          <w:szCs w:val="25"/>
        </w:rPr>
      </w:pPr>
      <w:r>
        <w:rPr>
          <w:rFonts w:ascii="Times New Roman" w:hAnsi="Times New Roman" w:eastAsia="Times New Roman" w:cs="Times New Roman"/>
          <w:spacing w:val="21"/>
          <w:sz w:val="25"/>
          <w:szCs w:val="25"/>
        </w:rPr>
        <w:t>b)</w:t>
      </w:r>
      <w:r>
        <w:rPr>
          <w:rFonts w:ascii="Times New Roman" w:hAnsi="Times New Roman" w:eastAsia="Times New Roman" w:cs="Times New Roman"/>
          <w:spacing w:val="23"/>
          <w:w w:val="101"/>
          <w:sz w:val="25"/>
          <w:szCs w:val="25"/>
        </w:rPr>
        <w:t xml:space="preserve">  </w:t>
      </w:r>
      <w:r>
        <w:rPr>
          <w:rFonts w:ascii="仿宋" w:hAnsi="仿宋" w:eastAsia="仿宋" w:cs="仿宋"/>
          <w:spacing w:val="21"/>
          <w:sz w:val="25"/>
          <w:szCs w:val="25"/>
        </w:rPr>
        <w:t>总体布局设计合理，尽量利用原安装位置，确保与邻近设备在使用</w:t>
      </w:r>
      <w:r>
        <w:rPr>
          <w:rFonts w:ascii="仿宋" w:hAnsi="仿宋" w:eastAsia="仿宋" w:cs="仿宋"/>
          <w:spacing w:val="20"/>
          <w:sz w:val="25"/>
          <w:szCs w:val="25"/>
        </w:rPr>
        <w:t>中不</w:t>
      </w:r>
      <w:r>
        <w:rPr>
          <w:rFonts w:ascii="仿宋" w:hAnsi="仿宋" w:eastAsia="仿宋" w:cs="仿宋"/>
          <w:sz w:val="25"/>
          <w:szCs w:val="25"/>
        </w:rPr>
        <w:t xml:space="preserve"> </w:t>
      </w:r>
      <w:r>
        <w:rPr>
          <w:rFonts w:ascii="仿宋" w:hAnsi="仿宋" w:eastAsia="仿宋" w:cs="仿宋"/>
          <w:spacing w:val="13"/>
          <w:sz w:val="25"/>
          <w:szCs w:val="25"/>
        </w:rPr>
        <w:t>发生碰撞；并对装机平台的重量、重心变化影响尽量小，不破坏平台的</w:t>
      </w:r>
      <w:r>
        <w:rPr>
          <w:rFonts w:ascii="仿宋" w:hAnsi="仿宋" w:eastAsia="仿宋" w:cs="仿宋"/>
          <w:spacing w:val="12"/>
          <w:sz w:val="25"/>
          <w:szCs w:val="25"/>
        </w:rPr>
        <w:t>操稳性能；</w:t>
      </w:r>
    </w:p>
    <w:p w14:paraId="5F35A1B0">
      <w:pPr>
        <w:spacing w:before="101" w:line="212" w:lineRule="auto"/>
        <w:ind w:left="570"/>
        <w:rPr>
          <w:rFonts w:ascii="仿宋" w:hAnsi="仿宋" w:eastAsia="仿宋" w:cs="仿宋"/>
          <w:sz w:val="25"/>
          <w:szCs w:val="25"/>
        </w:rPr>
      </w:pPr>
      <w:r>
        <w:rPr>
          <w:rFonts w:ascii="Times New Roman" w:hAnsi="Times New Roman" w:eastAsia="Times New Roman" w:cs="Times New Roman"/>
          <w:spacing w:val="15"/>
          <w:sz w:val="25"/>
          <w:szCs w:val="25"/>
        </w:rPr>
        <w:t>c)</w:t>
      </w:r>
      <w:r>
        <w:rPr>
          <w:rFonts w:ascii="Times New Roman" w:hAnsi="Times New Roman" w:eastAsia="Times New Roman" w:cs="Times New Roman"/>
          <w:spacing w:val="27"/>
          <w:sz w:val="25"/>
          <w:szCs w:val="25"/>
        </w:rPr>
        <w:t xml:space="preserve">  </w:t>
      </w:r>
      <w:r>
        <w:rPr>
          <w:rFonts w:ascii="仿宋" w:hAnsi="仿宋" w:eastAsia="仿宋" w:cs="仿宋"/>
          <w:spacing w:val="15"/>
          <w:sz w:val="25"/>
          <w:szCs w:val="25"/>
        </w:rPr>
        <w:t>强度刚度设计合理，确保改装设备安装固定牢靠；</w:t>
      </w:r>
    </w:p>
    <w:p w14:paraId="4D563666">
      <w:pPr>
        <w:spacing w:before="124" w:line="212" w:lineRule="auto"/>
        <w:ind w:left="570"/>
        <w:rPr>
          <w:rFonts w:ascii="仿宋" w:hAnsi="仿宋" w:eastAsia="仿宋" w:cs="仿宋"/>
          <w:sz w:val="24"/>
          <w:szCs w:val="24"/>
        </w:rPr>
      </w:pPr>
      <w:r>
        <w:rPr>
          <w:rFonts w:ascii="Times New Roman" w:hAnsi="Times New Roman" w:eastAsia="Times New Roman" w:cs="Times New Roman"/>
          <w:spacing w:val="26"/>
          <w:sz w:val="24"/>
          <w:szCs w:val="24"/>
        </w:rPr>
        <w:t xml:space="preserve">d)  </w:t>
      </w:r>
      <w:r>
        <w:rPr>
          <w:rFonts w:ascii="仿宋" w:hAnsi="仿宋" w:eastAsia="仿宋" w:cs="仿宋"/>
          <w:spacing w:val="26"/>
          <w:sz w:val="24"/>
          <w:szCs w:val="24"/>
        </w:rPr>
        <w:t>供电控制设计合理，确保平台供电及其控制的安全可靠；</w:t>
      </w:r>
    </w:p>
    <w:p w14:paraId="7FFCD499">
      <w:pPr>
        <w:spacing w:before="134" w:line="212" w:lineRule="auto"/>
        <w:ind w:left="570"/>
        <w:rPr>
          <w:rFonts w:ascii="仿宋" w:hAnsi="仿宋" w:eastAsia="仿宋" w:cs="仿宋"/>
          <w:sz w:val="24"/>
          <w:szCs w:val="24"/>
        </w:rPr>
      </w:pPr>
      <w:r>
        <w:rPr>
          <w:rFonts w:ascii="Times New Roman" w:hAnsi="Times New Roman" w:eastAsia="Times New Roman" w:cs="Times New Roman"/>
          <w:spacing w:val="24"/>
          <w:sz w:val="24"/>
          <w:szCs w:val="24"/>
        </w:rPr>
        <w:t xml:space="preserve">e)  </w:t>
      </w:r>
      <w:r>
        <w:rPr>
          <w:rFonts w:ascii="仿宋" w:hAnsi="仿宋" w:eastAsia="仿宋" w:cs="仿宋"/>
          <w:spacing w:val="24"/>
          <w:sz w:val="24"/>
          <w:szCs w:val="24"/>
        </w:rPr>
        <w:t>人机工程设计合理，方便维护修理和操作观察；</w:t>
      </w:r>
    </w:p>
    <w:p w14:paraId="366AB093">
      <w:pPr>
        <w:spacing w:before="73" w:line="269" w:lineRule="auto"/>
        <w:ind w:left="30" w:right="107" w:firstLine="539"/>
        <w:rPr>
          <w:rFonts w:ascii="仿宋" w:hAnsi="仿宋" w:eastAsia="仿宋" w:cs="仿宋"/>
          <w:sz w:val="27"/>
          <w:szCs w:val="27"/>
        </w:rPr>
      </w:pPr>
      <w:r>
        <w:rPr>
          <w:rFonts w:ascii="Times New Roman" w:hAnsi="Times New Roman" w:eastAsia="Times New Roman" w:cs="Times New Roman"/>
          <w:spacing w:val="20"/>
          <w:sz w:val="27"/>
          <w:szCs w:val="27"/>
        </w:rPr>
        <w:t xml:space="preserve">f)  </w:t>
      </w:r>
      <w:r>
        <w:rPr>
          <w:rFonts w:ascii="仿宋" w:hAnsi="仿宋" w:eastAsia="仿宋" w:cs="仿宋"/>
          <w:spacing w:val="20"/>
          <w:sz w:val="27"/>
          <w:szCs w:val="27"/>
        </w:rPr>
        <w:t>在满足以上原则要求的前提下，改装设计应尽量减少改装施工的工</w:t>
      </w:r>
      <w:r>
        <w:rPr>
          <w:rFonts w:ascii="仿宋" w:hAnsi="仿宋" w:eastAsia="仿宋" w:cs="仿宋"/>
          <w:spacing w:val="11"/>
          <w:sz w:val="27"/>
          <w:szCs w:val="27"/>
        </w:rPr>
        <w:t xml:space="preserve"> </w:t>
      </w:r>
      <w:r>
        <w:rPr>
          <w:rFonts w:ascii="仿宋" w:hAnsi="仿宋" w:eastAsia="仿宋" w:cs="仿宋"/>
          <w:spacing w:val="-6"/>
          <w:sz w:val="27"/>
          <w:szCs w:val="27"/>
        </w:rPr>
        <w:t>作量。</w:t>
      </w:r>
    </w:p>
    <w:p w14:paraId="1284B85B">
      <w:pPr>
        <w:spacing w:before="77" w:line="222" w:lineRule="auto"/>
        <w:ind w:left="30"/>
        <w:rPr>
          <w:rFonts w:ascii="黑体" w:hAnsi="黑体" w:eastAsia="黑体" w:cs="黑体"/>
          <w:sz w:val="27"/>
          <w:szCs w:val="27"/>
        </w:rPr>
      </w:pPr>
      <w:r>
        <w:rPr>
          <w:rFonts w:ascii="黑体" w:hAnsi="黑体" w:eastAsia="黑体" w:cs="黑体"/>
          <w:sz w:val="27"/>
          <w:szCs w:val="27"/>
        </w:rPr>
        <w:t>3.3</w:t>
      </w:r>
      <w:r>
        <w:rPr>
          <w:rFonts w:ascii="黑体" w:hAnsi="黑体" w:eastAsia="黑体" w:cs="黑体"/>
          <w:spacing w:val="137"/>
          <w:sz w:val="27"/>
          <w:szCs w:val="27"/>
        </w:rPr>
        <w:t xml:space="preserve"> </w:t>
      </w:r>
      <w:r>
        <w:rPr>
          <w:rFonts w:ascii="黑体" w:hAnsi="黑体" w:eastAsia="黑体" w:cs="黑体"/>
          <w:b/>
          <w:bCs/>
          <w:sz w:val="27"/>
          <w:szCs w:val="27"/>
        </w:rPr>
        <w:t>对改装施工的要求</w:t>
      </w:r>
    </w:p>
    <w:p w14:paraId="78034050">
      <w:pPr>
        <w:spacing w:before="82" w:line="219" w:lineRule="auto"/>
        <w:ind w:left="570"/>
        <w:rPr>
          <w:rFonts w:ascii="宋体" w:hAnsi="宋体" w:eastAsia="宋体" w:cs="宋体"/>
          <w:sz w:val="27"/>
          <w:szCs w:val="27"/>
        </w:rPr>
      </w:pPr>
      <w:r>
        <w:rPr>
          <w:rFonts w:ascii="宋体" w:hAnsi="宋体" w:eastAsia="宋体" w:cs="宋体"/>
          <w:spacing w:val="1"/>
          <w:sz w:val="27"/>
          <w:szCs w:val="27"/>
        </w:rPr>
        <w:t>提出对改装施工的要求。示例：</w:t>
      </w:r>
    </w:p>
    <w:p w14:paraId="14158FE2">
      <w:pPr>
        <w:spacing w:before="91" w:line="212" w:lineRule="auto"/>
        <w:ind w:left="570"/>
        <w:rPr>
          <w:rFonts w:ascii="仿宋" w:hAnsi="仿宋" w:eastAsia="仿宋" w:cs="仿宋"/>
          <w:sz w:val="24"/>
          <w:szCs w:val="24"/>
        </w:rPr>
      </w:pPr>
      <w:r>
        <w:rPr>
          <w:rFonts w:ascii="Times New Roman" w:hAnsi="Times New Roman" w:eastAsia="Times New Roman" w:cs="Times New Roman"/>
          <w:spacing w:val="23"/>
          <w:sz w:val="24"/>
          <w:szCs w:val="24"/>
        </w:rPr>
        <w:t xml:space="preserve">a)  </w:t>
      </w:r>
      <w:r>
        <w:rPr>
          <w:rFonts w:ascii="仿宋" w:hAnsi="仿宋" w:eastAsia="仿宋" w:cs="仿宋"/>
          <w:spacing w:val="23"/>
          <w:sz w:val="24"/>
          <w:szCs w:val="24"/>
        </w:rPr>
        <w:t>各类电缆的连接应正确可靠，敷设合理；</w:t>
      </w:r>
    </w:p>
    <w:p w14:paraId="5BE95B25">
      <w:pPr>
        <w:spacing w:before="144" w:line="212" w:lineRule="auto"/>
        <w:ind w:left="570"/>
        <w:rPr>
          <w:rFonts w:ascii="仿宋" w:hAnsi="仿宋" w:eastAsia="仿宋" w:cs="仿宋"/>
          <w:sz w:val="24"/>
          <w:szCs w:val="24"/>
        </w:rPr>
      </w:pPr>
      <w:r>
        <w:rPr>
          <w:rFonts w:ascii="Times New Roman" w:hAnsi="Times New Roman" w:eastAsia="Times New Roman" w:cs="Times New Roman"/>
          <w:spacing w:val="23"/>
          <w:sz w:val="24"/>
          <w:szCs w:val="24"/>
        </w:rPr>
        <w:t>b)</w:t>
      </w:r>
      <w:r>
        <w:rPr>
          <w:rFonts w:ascii="Times New Roman" w:hAnsi="Times New Roman" w:eastAsia="Times New Roman" w:cs="Times New Roman"/>
          <w:spacing w:val="33"/>
          <w:sz w:val="24"/>
          <w:szCs w:val="24"/>
        </w:rPr>
        <w:t xml:space="preserve">  </w:t>
      </w:r>
      <w:r>
        <w:rPr>
          <w:rFonts w:ascii="仿宋" w:hAnsi="仿宋" w:eastAsia="仿宋" w:cs="仿宋"/>
          <w:spacing w:val="23"/>
          <w:sz w:val="24"/>
          <w:szCs w:val="24"/>
        </w:rPr>
        <w:t>注意施工安全，不要遗留多余物在平台上；</w:t>
      </w:r>
    </w:p>
    <w:p w14:paraId="2C3FB22C">
      <w:pPr>
        <w:spacing w:before="125" w:line="212" w:lineRule="auto"/>
        <w:ind w:left="570"/>
        <w:rPr>
          <w:rFonts w:ascii="仿宋" w:hAnsi="仿宋" w:eastAsia="仿宋" w:cs="仿宋"/>
          <w:sz w:val="24"/>
          <w:szCs w:val="24"/>
        </w:rPr>
      </w:pPr>
      <w:r>
        <w:rPr>
          <w:rFonts w:ascii="Times New Roman" w:hAnsi="Times New Roman" w:eastAsia="Times New Roman" w:cs="Times New Roman"/>
          <w:spacing w:val="27"/>
          <w:sz w:val="24"/>
          <w:szCs w:val="24"/>
        </w:rPr>
        <w:t>c)</w:t>
      </w:r>
      <w:r>
        <w:rPr>
          <w:rFonts w:ascii="Times New Roman" w:hAnsi="Times New Roman" w:eastAsia="Times New Roman" w:cs="Times New Roman"/>
          <w:spacing w:val="26"/>
          <w:sz w:val="24"/>
          <w:szCs w:val="24"/>
        </w:rPr>
        <w:t xml:space="preserve">  </w:t>
      </w:r>
      <w:r>
        <w:rPr>
          <w:rFonts w:ascii="仿宋" w:hAnsi="仿宋" w:eastAsia="仿宋" w:cs="仿宋"/>
          <w:spacing w:val="27"/>
          <w:sz w:val="24"/>
          <w:szCs w:val="24"/>
        </w:rPr>
        <w:t>地面通电试验前对改装工作进行仔细检查，确</w:t>
      </w:r>
      <w:r>
        <w:rPr>
          <w:rFonts w:ascii="仿宋" w:hAnsi="仿宋" w:eastAsia="仿宋" w:cs="仿宋"/>
          <w:spacing w:val="26"/>
          <w:sz w:val="24"/>
          <w:szCs w:val="24"/>
        </w:rPr>
        <w:t>保通电安全。</w:t>
      </w:r>
    </w:p>
    <w:p w14:paraId="64B21AEF">
      <w:pPr>
        <w:spacing w:before="137" w:line="222" w:lineRule="auto"/>
        <w:ind w:left="30"/>
        <w:rPr>
          <w:rFonts w:ascii="黑体" w:hAnsi="黑体" w:eastAsia="黑体" w:cs="黑体"/>
          <w:sz w:val="27"/>
          <w:szCs w:val="27"/>
        </w:rPr>
      </w:pPr>
      <w:r>
        <w:rPr>
          <w:rFonts w:ascii="黑体" w:hAnsi="黑体" w:eastAsia="黑体" w:cs="黑体"/>
          <w:sz w:val="27"/>
          <w:szCs w:val="27"/>
        </w:rPr>
        <w:t>4</w:t>
      </w:r>
      <w:r>
        <w:rPr>
          <w:rFonts w:ascii="黑体" w:hAnsi="黑体" w:eastAsia="黑体" w:cs="黑体"/>
          <w:spacing w:val="17"/>
          <w:sz w:val="27"/>
          <w:szCs w:val="27"/>
        </w:rPr>
        <w:t xml:space="preserve">  </w:t>
      </w:r>
      <w:r>
        <w:rPr>
          <w:rFonts w:ascii="黑体" w:hAnsi="黑体" w:eastAsia="黑体" w:cs="黑体"/>
          <w:b/>
          <w:bCs/>
          <w:sz w:val="27"/>
          <w:szCs w:val="27"/>
        </w:rPr>
        <w:t>改装设备简介</w:t>
      </w:r>
    </w:p>
    <w:p w14:paraId="31E6D4E4">
      <w:pPr>
        <w:spacing w:before="77" w:line="222" w:lineRule="auto"/>
        <w:ind w:left="30"/>
        <w:rPr>
          <w:rFonts w:ascii="黑体" w:hAnsi="黑体" w:eastAsia="黑体" w:cs="黑体"/>
          <w:sz w:val="27"/>
          <w:szCs w:val="27"/>
        </w:rPr>
      </w:pPr>
      <w:r>
        <w:rPr>
          <w:rFonts w:ascii="黑体" w:hAnsi="黑体" w:eastAsia="黑体" w:cs="黑体"/>
          <w:spacing w:val="-1"/>
          <w:sz w:val="27"/>
          <w:szCs w:val="27"/>
        </w:rPr>
        <w:t>4.1</w:t>
      </w:r>
      <w:r>
        <w:rPr>
          <w:rFonts w:ascii="黑体" w:hAnsi="黑体" w:eastAsia="黑体" w:cs="黑体"/>
          <w:spacing w:val="131"/>
          <w:sz w:val="27"/>
          <w:szCs w:val="27"/>
        </w:rPr>
        <w:t xml:space="preserve"> </w:t>
      </w:r>
      <w:r>
        <w:rPr>
          <w:rFonts w:ascii="黑体" w:hAnsi="黑体" w:eastAsia="黑体" w:cs="黑体"/>
          <w:b/>
          <w:bCs/>
          <w:spacing w:val="-1"/>
          <w:sz w:val="27"/>
          <w:szCs w:val="27"/>
        </w:rPr>
        <w:t>产品组成</w:t>
      </w:r>
    </w:p>
    <w:p w14:paraId="4F1275E7">
      <w:pPr>
        <w:spacing w:before="97" w:line="219" w:lineRule="auto"/>
        <w:ind w:left="570"/>
        <w:rPr>
          <w:rFonts w:ascii="宋体" w:hAnsi="宋体" w:eastAsia="宋体" w:cs="宋体"/>
          <w:sz w:val="27"/>
          <w:szCs w:val="27"/>
        </w:rPr>
      </w:pPr>
      <w:r>
        <w:rPr>
          <w:rFonts w:ascii="宋体" w:hAnsi="宋体" w:eastAsia="宋体" w:cs="宋体"/>
          <w:spacing w:val="-3"/>
          <w:sz w:val="27"/>
          <w:szCs w:val="27"/>
        </w:rPr>
        <w:t>说明产品由哪几个部分组成，可列表和图示。</w:t>
      </w:r>
    </w:p>
    <w:p w14:paraId="123A4A83">
      <w:pPr>
        <w:spacing w:before="78" w:line="222" w:lineRule="auto"/>
        <w:ind w:left="30"/>
        <w:rPr>
          <w:rFonts w:ascii="黑体" w:hAnsi="黑体" w:eastAsia="黑体" w:cs="黑体"/>
          <w:sz w:val="27"/>
          <w:szCs w:val="27"/>
        </w:rPr>
      </w:pPr>
      <w:r>
        <w:rPr>
          <w:rFonts w:ascii="黑体" w:hAnsi="黑体" w:eastAsia="黑体" w:cs="黑体"/>
          <w:sz w:val="27"/>
          <w:szCs w:val="27"/>
        </w:rPr>
        <w:t>4.2</w:t>
      </w:r>
      <w:r>
        <w:rPr>
          <w:rFonts w:ascii="黑体" w:hAnsi="黑体" w:eastAsia="黑体" w:cs="黑体"/>
          <w:spacing w:val="128"/>
          <w:sz w:val="27"/>
          <w:szCs w:val="27"/>
        </w:rPr>
        <w:t xml:space="preserve"> </w:t>
      </w:r>
      <w:r>
        <w:rPr>
          <w:rFonts w:ascii="黑体" w:hAnsi="黑体" w:eastAsia="黑体" w:cs="黑体"/>
          <w:b/>
          <w:bCs/>
          <w:sz w:val="27"/>
          <w:szCs w:val="27"/>
        </w:rPr>
        <w:t>主要功能</w:t>
      </w:r>
    </w:p>
    <w:p w14:paraId="4165720A">
      <w:pPr>
        <w:spacing w:before="99" w:line="219" w:lineRule="auto"/>
        <w:ind w:left="570"/>
        <w:rPr>
          <w:rFonts w:ascii="宋体" w:hAnsi="宋体" w:eastAsia="宋体" w:cs="宋体"/>
          <w:sz w:val="27"/>
          <w:szCs w:val="27"/>
        </w:rPr>
      </w:pPr>
      <w:r>
        <w:rPr>
          <w:rFonts w:ascii="宋体" w:hAnsi="宋体" w:eastAsia="宋体" w:cs="宋体"/>
          <w:spacing w:val="2"/>
          <w:sz w:val="27"/>
          <w:szCs w:val="27"/>
        </w:rPr>
        <w:t>说明产品的主要功能。</w:t>
      </w:r>
    </w:p>
    <w:p w14:paraId="2BE5B23E">
      <w:pPr>
        <w:spacing w:before="66" w:line="222" w:lineRule="auto"/>
        <w:ind w:left="30"/>
        <w:rPr>
          <w:rFonts w:ascii="黑体" w:hAnsi="黑体" w:eastAsia="黑体" w:cs="黑体"/>
          <w:sz w:val="27"/>
          <w:szCs w:val="27"/>
        </w:rPr>
      </w:pPr>
      <w:r>
        <w:rPr>
          <w:rFonts w:ascii="黑体" w:hAnsi="黑体" w:eastAsia="黑体" w:cs="黑体"/>
          <w:sz w:val="27"/>
          <w:szCs w:val="27"/>
        </w:rPr>
        <w:t>4.3</w:t>
      </w:r>
      <w:r>
        <w:rPr>
          <w:rFonts w:ascii="黑体" w:hAnsi="黑体" w:eastAsia="黑体" w:cs="黑体"/>
          <w:spacing w:val="128"/>
          <w:sz w:val="27"/>
          <w:szCs w:val="27"/>
        </w:rPr>
        <w:t xml:space="preserve"> </w:t>
      </w:r>
      <w:r>
        <w:rPr>
          <w:rFonts w:ascii="黑体" w:hAnsi="黑体" w:eastAsia="黑体" w:cs="黑体"/>
          <w:b/>
          <w:bCs/>
          <w:sz w:val="27"/>
          <w:szCs w:val="27"/>
        </w:rPr>
        <w:t>主要性能</w:t>
      </w:r>
    </w:p>
    <w:p w14:paraId="27714E65">
      <w:pPr>
        <w:spacing w:before="89" w:line="219" w:lineRule="auto"/>
        <w:ind w:left="570"/>
        <w:rPr>
          <w:rFonts w:ascii="宋体" w:hAnsi="宋体" w:eastAsia="宋体" w:cs="宋体"/>
          <w:sz w:val="27"/>
          <w:szCs w:val="27"/>
        </w:rPr>
      </w:pPr>
      <w:r>
        <w:rPr>
          <w:rFonts w:ascii="宋体" w:hAnsi="宋体" w:eastAsia="宋体" w:cs="宋体"/>
          <w:spacing w:val="2"/>
          <w:sz w:val="27"/>
          <w:szCs w:val="27"/>
        </w:rPr>
        <w:t>说明产品的主要性能。</w:t>
      </w:r>
    </w:p>
    <w:p w14:paraId="373D6AE4">
      <w:pPr>
        <w:spacing w:before="115" w:line="222" w:lineRule="auto"/>
        <w:ind w:left="30"/>
        <w:rPr>
          <w:rFonts w:ascii="黑体" w:hAnsi="黑体" w:eastAsia="黑体" w:cs="黑体"/>
          <w:sz w:val="25"/>
          <w:szCs w:val="25"/>
        </w:rPr>
      </w:pPr>
      <w:r>
        <w:rPr>
          <w:rFonts w:ascii="黑体" w:hAnsi="黑体" w:eastAsia="黑体" w:cs="黑体"/>
          <w:spacing w:val="11"/>
          <w:sz w:val="25"/>
          <w:szCs w:val="25"/>
        </w:rPr>
        <w:t>4.4</w:t>
      </w:r>
      <w:r>
        <w:rPr>
          <w:rFonts w:ascii="黑体" w:hAnsi="黑体" w:eastAsia="黑体" w:cs="黑体"/>
          <w:spacing w:val="22"/>
          <w:sz w:val="25"/>
          <w:szCs w:val="25"/>
        </w:rPr>
        <w:t xml:space="preserve">  </w:t>
      </w:r>
      <w:r>
        <w:rPr>
          <w:rFonts w:ascii="黑体" w:hAnsi="黑体" w:eastAsia="黑体" w:cs="黑体"/>
          <w:b/>
          <w:bCs/>
          <w:spacing w:val="11"/>
          <w:sz w:val="25"/>
          <w:szCs w:val="25"/>
        </w:rPr>
        <w:t>接口关系</w:t>
      </w:r>
    </w:p>
    <w:p w14:paraId="42AF1A1A">
      <w:pPr>
        <w:spacing w:before="83" w:line="282" w:lineRule="auto"/>
        <w:ind w:left="30" w:right="110" w:firstLine="539"/>
        <w:rPr>
          <w:rFonts w:ascii="宋体" w:hAnsi="宋体" w:eastAsia="宋体" w:cs="宋体"/>
          <w:sz w:val="27"/>
          <w:szCs w:val="27"/>
        </w:rPr>
      </w:pPr>
      <w:r>
        <w:rPr>
          <w:rFonts w:ascii="宋体" w:hAnsi="宋体" w:eastAsia="宋体" w:cs="宋体"/>
          <w:spacing w:val="-3"/>
          <w:sz w:val="27"/>
          <w:szCs w:val="27"/>
        </w:rPr>
        <w:t>说明产品的接口关系，包括与平台现有设备之间的接口，以及产品各组成部</w:t>
      </w:r>
      <w:r>
        <w:rPr>
          <w:rFonts w:ascii="宋体" w:hAnsi="宋体" w:eastAsia="宋体" w:cs="宋体"/>
          <w:spacing w:val="2"/>
          <w:sz w:val="27"/>
          <w:szCs w:val="27"/>
        </w:rPr>
        <w:t xml:space="preserve"> </w:t>
      </w:r>
      <w:r>
        <w:rPr>
          <w:rFonts w:ascii="宋体" w:hAnsi="宋体" w:eastAsia="宋体" w:cs="宋体"/>
          <w:spacing w:val="-1"/>
          <w:sz w:val="27"/>
          <w:szCs w:val="27"/>
        </w:rPr>
        <w:t>分之间的接口。</w:t>
      </w:r>
    </w:p>
    <w:p w14:paraId="0615DF1B">
      <w:pPr>
        <w:spacing w:before="1" w:line="220" w:lineRule="auto"/>
        <w:ind w:left="30"/>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spacing w:val="24"/>
          <w:sz w:val="27"/>
          <w:szCs w:val="27"/>
        </w:rPr>
        <w:t xml:space="preserve">  </w:t>
      </w:r>
      <w:r>
        <w:rPr>
          <w:rFonts w:ascii="黑体" w:hAnsi="黑体" w:eastAsia="黑体" w:cs="黑体"/>
          <w:b/>
          <w:bCs/>
          <w:spacing w:val="-2"/>
          <w:sz w:val="27"/>
          <w:szCs w:val="27"/>
        </w:rPr>
        <w:t>改装技术方案</w:t>
      </w:r>
    </w:p>
    <w:p w14:paraId="3CA8FBCC">
      <w:pPr>
        <w:spacing w:before="78" w:line="222" w:lineRule="auto"/>
        <w:ind w:left="30"/>
        <w:rPr>
          <w:rFonts w:ascii="黑体" w:hAnsi="黑体" w:eastAsia="黑体" w:cs="黑体"/>
          <w:sz w:val="27"/>
          <w:szCs w:val="27"/>
        </w:rPr>
      </w:pPr>
      <w:r>
        <w:rPr>
          <w:rFonts w:ascii="黑体" w:hAnsi="黑体" w:eastAsia="黑体" w:cs="黑体"/>
          <w:spacing w:val="-1"/>
          <w:sz w:val="27"/>
          <w:szCs w:val="27"/>
        </w:rPr>
        <w:t>5.1</w:t>
      </w:r>
      <w:r>
        <w:rPr>
          <w:rFonts w:ascii="黑体" w:hAnsi="黑体" w:eastAsia="黑体" w:cs="黑体"/>
          <w:spacing w:val="133"/>
          <w:sz w:val="27"/>
          <w:szCs w:val="27"/>
        </w:rPr>
        <w:t xml:space="preserve"> </w:t>
      </w:r>
      <w:r>
        <w:rPr>
          <w:rFonts w:ascii="黑体" w:hAnsi="黑体" w:eastAsia="黑体" w:cs="黑体"/>
          <w:b/>
          <w:bCs/>
          <w:spacing w:val="-1"/>
          <w:sz w:val="27"/>
          <w:szCs w:val="27"/>
        </w:rPr>
        <w:t>改装内容</w:t>
      </w:r>
    </w:p>
    <w:p w14:paraId="7D281F3B">
      <w:pPr>
        <w:spacing w:before="101" w:line="219" w:lineRule="auto"/>
        <w:ind w:left="570"/>
        <w:rPr>
          <w:rFonts w:ascii="宋体" w:hAnsi="宋体" w:eastAsia="宋体" w:cs="宋体"/>
          <w:sz w:val="27"/>
          <w:szCs w:val="27"/>
        </w:rPr>
      </w:pPr>
      <w:r>
        <w:rPr>
          <w:rFonts w:ascii="宋体" w:hAnsi="宋体" w:eastAsia="宋体" w:cs="宋体"/>
          <w:spacing w:val="3"/>
          <w:sz w:val="27"/>
          <w:szCs w:val="27"/>
        </w:rPr>
        <w:t>概要说明改装工作内容。</w:t>
      </w:r>
    </w:p>
    <w:p w14:paraId="26CF45E6">
      <w:pPr>
        <w:spacing w:before="83" w:line="222" w:lineRule="auto"/>
        <w:ind w:left="30"/>
        <w:rPr>
          <w:rFonts w:ascii="黑体" w:hAnsi="黑体" w:eastAsia="黑体" w:cs="黑体"/>
          <w:sz w:val="25"/>
          <w:szCs w:val="25"/>
        </w:rPr>
      </w:pPr>
      <w:r>
        <w:rPr>
          <w:rFonts w:ascii="黑体" w:hAnsi="黑体" w:eastAsia="黑体" w:cs="黑体"/>
          <w:spacing w:val="16"/>
          <w:sz w:val="25"/>
          <w:szCs w:val="25"/>
        </w:rPr>
        <w:t xml:space="preserve">5.2  </w:t>
      </w:r>
      <w:r>
        <w:rPr>
          <w:rFonts w:ascii="黑体" w:hAnsi="黑体" w:eastAsia="黑体" w:cs="黑体"/>
          <w:b/>
          <w:bCs/>
          <w:spacing w:val="16"/>
          <w:sz w:val="25"/>
          <w:szCs w:val="25"/>
        </w:rPr>
        <w:t>改装设备变化情况</w:t>
      </w:r>
    </w:p>
    <w:p w14:paraId="446C8EE8">
      <w:pPr>
        <w:spacing w:before="110" w:line="222" w:lineRule="auto"/>
        <w:ind w:left="30"/>
        <w:rPr>
          <w:rFonts w:ascii="黑体" w:hAnsi="黑体" w:eastAsia="黑体" w:cs="黑体"/>
          <w:sz w:val="24"/>
          <w:szCs w:val="24"/>
        </w:rPr>
      </w:pPr>
      <w:r>
        <w:rPr>
          <w:rFonts w:ascii="黑体" w:hAnsi="黑体" w:eastAsia="黑体" w:cs="黑体"/>
          <w:spacing w:val="9"/>
          <w:sz w:val="24"/>
          <w:szCs w:val="24"/>
        </w:rPr>
        <w:t>5.2.</w:t>
      </w:r>
      <w:r>
        <w:rPr>
          <w:rFonts w:ascii="黑体" w:hAnsi="黑体" w:eastAsia="黑体" w:cs="黑体"/>
          <w:spacing w:val="-53"/>
          <w:sz w:val="24"/>
          <w:szCs w:val="24"/>
        </w:rPr>
        <w:t xml:space="preserve"> </w:t>
      </w:r>
      <w:r>
        <w:rPr>
          <w:rFonts w:ascii="黑体" w:hAnsi="黑体" w:eastAsia="黑体" w:cs="黑体"/>
          <w:spacing w:val="9"/>
          <w:sz w:val="24"/>
          <w:szCs w:val="24"/>
        </w:rPr>
        <w:t>1</w:t>
      </w:r>
      <w:r>
        <w:rPr>
          <w:rFonts w:ascii="黑体" w:hAnsi="黑体" w:eastAsia="黑体" w:cs="黑体"/>
          <w:spacing w:val="57"/>
          <w:sz w:val="24"/>
          <w:szCs w:val="24"/>
        </w:rPr>
        <w:t xml:space="preserve">  </w:t>
      </w:r>
      <w:r>
        <w:rPr>
          <w:rFonts w:ascii="黑体" w:hAnsi="黑体" w:eastAsia="黑体" w:cs="黑体"/>
          <w:b/>
          <w:bCs/>
          <w:spacing w:val="9"/>
          <w:sz w:val="24"/>
          <w:szCs w:val="24"/>
        </w:rPr>
        <w:t>增装设备</w:t>
      </w:r>
    </w:p>
    <w:p w14:paraId="732AFC84">
      <w:pPr>
        <w:spacing w:before="126" w:line="219" w:lineRule="auto"/>
        <w:ind w:left="570"/>
        <w:rPr>
          <w:rFonts w:ascii="宋体" w:hAnsi="宋体" w:eastAsia="宋体" w:cs="宋体"/>
          <w:sz w:val="27"/>
          <w:szCs w:val="27"/>
        </w:rPr>
      </w:pPr>
      <w:r>
        <w:rPr>
          <w:rFonts w:ascii="宋体" w:hAnsi="宋体" w:eastAsia="宋体" w:cs="宋体"/>
          <w:sz w:val="27"/>
          <w:szCs w:val="27"/>
        </w:rPr>
        <w:t>说明在本次改装中需要增装的设备，增装设备数量</w:t>
      </w:r>
      <w:r>
        <w:rPr>
          <w:rFonts w:ascii="宋体" w:hAnsi="宋体" w:eastAsia="宋体" w:cs="宋体"/>
          <w:spacing w:val="-1"/>
          <w:sz w:val="27"/>
          <w:szCs w:val="27"/>
        </w:rPr>
        <w:t>较多时可列表。</w:t>
      </w:r>
    </w:p>
    <w:p w14:paraId="5BFADDAE">
      <w:pPr>
        <w:spacing w:before="75" w:line="222" w:lineRule="auto"/>
        <w:ind w:left="30"/>
        <w:rPr>
          <w:rFonts w:ascii="黑体" w:hAnsi="黑体" w:eastAsia="黑体" w:cs="黑体"/>
          <w:sz w:val="25"/>
          <w:szCs w:val="25"/>
        </w:rPr>
      </w:pPr>
      <w:r>
        <w:rPr>
          <w:rFonts w:ascii="黑体" w:hAnsi="黑体" w:eastAsia="黑体" w:cs="黑体"/>
          <w:spacing w:val="6"/>
          <w:sz w:val="25"/>
          <w:szCs w:val="25"/>
        </w:rPr>
        <w:t>5.2.2</w:t>
      </w:r>
      <w:r>
        <w:rPr>
          <w:rFonts w:ascii="黑体" w:hAnsi="黑体" w:eastAsia="黑体" w:cs="黑体"/>
          <w:spacing w:val="3"/>
          <w:sz w:val="25"/>
          <w:szCs w:val="25"/>
        </w:rPr>
        <w:t xml:space="preserve">   </w:t>
      </w:r>
      <w:r>
        <w:rPr>
          <w:rFonts w:ascii="黑体" w:hAnsi="黑体" w:eastAsia="黑体" w:cs="黑体"/>
          <w:b/>
          <w:bCs/>
          <w:spacing w:val="6"/>
          <w:sz w:val="25"/>
          <w:szCs w:val="25"/>
        </w:rPr>
        <w:t>换装设备</w:t>
      </w:r>
    </w:p>
    <w:p w14:paraId="44C78223">
      <w:pPr>
        <w:spacing w:before="133" w:line="219" w:lineRule="auto"/>
        <w:ind w:left="570"/>
        <w:rPr>
          <w:rFonts w:ascii="宋体" w:hAnsi="宋体" w:eastAsia="宋体" w:cs="宋体"/>
          <w:sz w:val="25"/>
          <w:szCs w:val="25"/>
        </w:rPr>
      </w:pPr>
      <w:r>
        <w:rPr>
          <w:rFonts w:ascii="宋体" w:hAnsi="宋体" w:eastAsia="宋体" w:cs="宋体"/>
          <w:spacing w:val="19"/>
          <w:sz w:val="25"/>
          <w:szCs w:val="25"/>
        </w:rPr>
        <w:t>说明在本次改装中需要换装的设备，换装设备数量较多时可列表。</w:t>
      </w:r>
    </w:p>
    <w:p w14:paraId="558A473F">
      <w:pPr>
        <w:spacing w:line="219" w:lineRule="auto"/>
        <w:rPr>
          <w:rFonts w:ascii="宋体" w:hAnsi="宋体" w:eastAsia="宋体" w:cs="宋体"/>
          <w:sz w:val="25"/>
          <w:szCs w:val="25"/>
        </w:rPr>
        <w:sectPr>
          <w:footerReference r:id="rId117" w:type="default"/>
          <w:pgSz w:w="11910" w:h="17130"/>
          <w:pgMar w:top="400" w:right="1005" w:bottom="1580" w:left="1410" w:header="0" w:footer="1294" w:gutter="0"/>
          <w:cols w:space="720" w:num="1"/>
        </w:sectPr>
      </w:pPr>
    </w:p>
    <w:p w14:paraId="63051343">
      <w:pPr>
        <w:pStyle w:val="2"/>
        <w:spacing w:line="273" w:lineRule="auto"/>
      </w:pPr>
    </w:p>
    <w:p w14:paraId="5581969A">
      <w:pPr>
        <w:pStyle w:val="2"/>
        <w:spacing w:line="273" w:lineRule="auto"/>
      </w:pPr>
    </w:p>
    <w:p w14:paraId="5791286C">
      <w:pPr>
        <w:pStyle w:val="2"/>
        <w:spacing w:line="273" w:lineRule="auto"/>
      </w:pPr>
    </w:p>
    <w:p w14:paraId="153C760D">
      <w:pPr>
        <w:pStyle w:val="2"/>
        <w:spacing w:line="274" w:lineRule="auto"/>
      </w:pPr>
    </w:p>
    <w:p w14:paraId="11AADF75">
      <w:pPr>
        <w:spacing w:before="78" w:line="222" w:lineRule="auto"/>
        <w:rPr>
          <w:rFonts w:ascii="黑体" w:hAnsi="黑体" w:eastAsia="黑体" w:cs="黑体"/>
          <w:sz w:val="24"/>
          <w:szCs w:val="24"/>
        </w:rPr>
      </w:pPr>
      <w:r>
        <w:rPr>
          <w:rFonts w:ascii="黑体" w:hAnsi="黑体" w:eastAsia="黑体" w:cs="黑体"/>
          <w:spacing w:val="16"/>
          <w:sz w:val="24"/>
          <w:szCs w:val="24"/>
        </w:rPr>
        <w:t>5.2.3</w:t>
      </w:r>
      <w:r>
        <w:rPr>
          <w:rFonts w:ascii="黑体" w:hAnsi="黑体" w:eastAsia="黑体" w:cs="黑体"/>
          <w:spacing w:val="56"/>
          <w:sz w:val="24"/>
          <w:szCs w:val="24"/>
        </w:rPr>
        <w:t xml:space="preserve">  </w:t>
      </w:r>
      <w:r>
        <w:rPr>
          <w:rFonts w:ascii="黑体" w:hAnsi="黑体" w:eastAsia="黑体" w:cs="黑体"/>
          <w:spacing w:val="16"/>
          <w:sz w:val="24"/>
          <w:szCs w:val="24"/>
        </w:rPr>
        <w:t>改进设备</w:t>
      </w:r>
    </w:p>
    <w:p w14:paraId="3C76E196">
      <w:pPr>
        <w:spacing w:before="72" w:line="219" w:lineRule="auto"/>
        <w:ind w:left="569"/>
        <w:rPr>
          <w:rFonts w:ascii="宋体" w:hAnsi="宋体" w:eastAsia="宋体" w:cs="宋体"/>
          <w:sz w:val="27"/>
          <w:szCs w:val="27"/>
        </w:rPr>
      </w:pPr>
      <w:r>
        <w:rPr>
          <w:rFonts w:ascii="宋体" w:hAnsi="宋体" w:eastAsia="宋体" w:cs="宋体"/>
          <w:spacing w:val="-1"/>
          <w:sz w:val="27"/>
          <w:szCs w:val="27"/>
        </w:rPr>
        <w:t>说明在本次改装中需要改进的设备，改进设备数量较多时可列表。</w:t>
      </w:r>
    </w:p>
    <w:p w14:paraId="50651CFC">
      <w:pPr>
        <w:spacing w:before="137" w:line="221" w:lineRule="auto"/>
        <w:rPr>
          <w:rFonts w:ascii="黑体" w:hAnsi="黑体" w:eastAsia="黑体" w:cs="黑体"/>
          <w:sz w:val="24"/>
          <w:szCs w:val="24"/>
        </w:rPr>
      </w:pPr>
      <w:r>
        <w:rPr>
          <w:rFonts w:ascii="黑体" w:hAnsi="黑体" w:eastAsia="黑体" w:cs="黑体"/>
          <w:spacing w:val="18"/>
          <w:sz w:val="24"/>
          <w:szCs w:val="24"/>
        </w:rPr>
        <w:t>5.2.4</w:t>
      </w:r>
      <w:r>
        <w:rPr>
          <w:rFonts w:ascii="黑体" w:hAnsi="黑体" w:eastAsia="黑体" w:cs="黑体"/>
          <w:spacing w:val="47"/>
          <w:sz w:val="24"/>
          <w:szCs w:val="24"/>
        </w:rPr>
        <w:t xml:space="preserve">  </w:t>
      </w:r>
      <w:r>
        <w:rPr>
          <w:rFonts w:ascii="黑体" w:hAnsi="黑体" w:eastAsia="黑体" w:cs="黑体"/>
          <w:spacing w:val="18"/>
          <w:sz w:val="24"/>
          <w:szCs w:val="24"/>
        </w:rPr>
        <w:t>取消设备</w:t>
      </w:r>
    </w:p>
    <w:p w14:paraId="00274720">
      <w:pPr>
        <w:spacing w:before="94" w:line="219" w:lineRule="auto"/>
        <w:ind w:left="569"/>
        <w:rPr>
          <w:rFonts w:ascii="宋体" w:hAnsi="宋体" w:eastAsia="宋体" w:cs="宋体"/>
          <w:sz w:val="27"/>
          <w:szCs w:val="27"/>
        </w:rPr>
      </w:pPr>
      <w:r>
        <w:rPr>
          <w:rFonts w:ascii="宋体" w:hAnsi="宋体" w:eastAsia="宋体" w:cs="宋体"/>
          <w:spacing w:val="-1"/>
          <w:sz w:val="27"/>
          <w:szCs w:val="27"/>
        </w:rPr>
        <w:t>说明在本次改装中需要取消的设备，取消设备数量较多时可列表。</w:t>
      </w:r>
    </w:p>
    <w:p w14:paraId="76B36F9E">
      <w:pPr>
        <w:spacing w:before="69" w:line="221" w:lineRule="auto"/>
        <w:rPr>
          <w:rFonts w:ascii="黑体" w:hAnsi="黑体" w:eastAsia="黑体" w:cs="黑体"/>
          <w:sz w:val="27"/>
          <w:szCs w:val="27"/>
        </w:rPr>
      </w:pPr>
      <w:r>
        <w:rPr>
          <w:rFonts w:ascii="黑体" w:hAnsi="黑体" w:eastAsia="黑体" w:cs="黑体"/>
          <w:spacing w:val="-3"/>
          <w:sz w:val="27"/>
          <w:szCs w:val="27"/>
        </w:rPr>
        <w:t>5.3</w:t>
      </w:r>
      <w:r>
        <w:rPr>
          <w:rFonts w:ascii="黑体" w:hAnsi="黑体" w:eastAsia="黑体" w:cs="黑体"/>
          <w:spacing w:val="41"/>
          <w:sz w:val="27"/>
          <w:szCs w:val="27"/>
        </w:rPr>
        <w:t xml:space="preserve">  </w:t>
      </w:r>
      <w:r>
        <w:rPr>
          <w:rFonts w:ascii="黑体" w:hAnsi="黑体" w:eastAsia="黑体" w:cs="黑体"/>
          <w:spacing w:val="-3"/>
          <w:sz w:val="27"/>
          <w:szCs w:val="27"/>
        </w:rPr>
        <w:t>结构改装方案</w:t>
      </w:r>
    </w:p>
    <w:p w14:paraId="1A461B84">
      <w:pPr>
        <w:spacing w:before="101" w:line="224" w:lineRule="auto"/>
        <w:rPr>
          <w:rFonts w:ascii="黑体" w:hAnsi="黑体" w:eastAsia="黑体" w:cs="黑体"/>
          <w:sz w:val="27"/>
          <w:szCs w:val="27"/>
        </w:rPr>
      </w:pPr>
      <w:r>
        <w:rPr>
          <w:rFonts w:ascii="黑体" w:hAnsi="黑体" w:eastAsia="黑体" w:cs="黑体"/>
          <w:spacing w:val="-2"/>
          <w:sz w:val="27"/>
          <w:szCs w:val="27"/>
        </w:rPr>
        <w:t>5.3.1</w:t>
      </w:r>
      <w:r>
        <w:rPr>
          <w:rFonts w:ascii="黑体" w:hAnsi="黑体" w:eastAsia="黑体" w:cs="黑体"/>
          <w:spacing w:val="30"/>
          <w:sz w:val="27"/>
          <w:szCs w:val="27"/>
        </w:rPr>
        <w:t xml:space="preserve">  </w:t>
      </w:r>
      <w:r>
        <w:rPr>
          <w:rFonts w:ascii="黑体" w:hAnsi="黑体" w:eastAsia="黑体" w:cs="黑体"/>
          <w:spacing w:val="-2"/>
          <w:sz w:val="27"/>
          <w:szCs w:val="27"/>
        </w:rPr>
        <w:t>总体结构布置</w:t>
      </w:r>
    </w:p>
    <w:p w14:paraId="3EE14051">
      <w:pPr>
        <w:spacing w:before="89" w:line="219" w:lineRule="auto"/>
        <w:ind w:right="20"/>
        <w:jc w:val="right"/>
        <w:rPr>
          <w:rFonts w:ascii="宋体" w:hAnsi="宋体" w:eastAsia="宋体" w:cs="宋体"/>
          <w:sz w:val="27"/>
          <w:szCs w:val="27"/>
        </w:rPr>
      </w:pPr>
      <w:r>
        <w:rPr>
          <w:rFonts w:ascii="宋体" w:hAnsi="宋体" w:eastAsia="宋体" w:cs="宋体"/>
          <w:spacing w:val="5"/>
          <w:sz w:val="27"/>
          <w:szCs w:val="27"/>
        </w:rPr>
        <w:t>说明总体结构布置方案。描述产品各组成部分的安装位置及其安装方式。</w:t>
      </w:r>
    </w:p>
    <w:p w14:paraId="58AE7157">
      <w:pPr>
        <w:pStyle w:val="2"/>
        <w:spacing w:before="22" w:line="368" w:lineRule="exact"/>
        <w:rPr>
          <w:rFonts w:ascii="黑体" w:hAnsi="黑体" w:eastAsia="黑体" w:cs="黑体"/>
          <w:sz w:val="27"/>
          <w:szCs w:val="27"/>
        </w:rPr>
      </w:pPr>
      <w:r>
        <w:rPr>
          <w:position w:val="1"/>
          <w:sz w:val="27"/>
          <w:szCs w:val="27"/>
        </w:rPr>
        <w:t xml:space="preserve">5.3.2     </w:t>
      </w:r>
      <w:r>
        <w:rPr>
          <w:rFonts w:ascii="黑体" w:hAnsi="黑体" w:eastAsia="黑体" w:cs="黑体"/>
          <w:position w:val="1"/>
          <w:sz w:val="27"/>
          <w:szCs w:val="27"/>
        </w:rPr>
        <w:t>强度分析</w:t>
      </w:r>
    </w:p>
    <w:p w14:paraId="5F7E559B">
      <w:pPr>
        <w:spacing w:before="50" w:line="291" w:lineRule="auto"/>
        <w:ind w:right="2" w:firstLine="569"/>
        <w:rPr>
          <w:rFonts w:ascii="宋体" w:hAnsi="宋体" w:eastAsia="宋体" w:cs="宋体"/>
          <w:sz w:val="27"/>
          <w:szCs w:val="27"/>
        </w:rPr>
      </w:pPr>
      <w:r>
        <w:rPr>
          <w:rFonts w:ascii="宋体" w:hAnsi="宋体" w:eastAsia="宋体" w:cs="宋体"/>
          <w:spacing w:val="24"/>
          <w:sz w:val="27"/>
          <w:szCs w:val="27"/>
        </w:rPr>
        <w:t>对强度进行分析，包括安装位置的结构强度和安装架强度等是否符合</w:t>
      </w:r>
      <w:r>
        <w:rPr>
          <w:rFonts w:ascii="宋体" w:hAnsi="宋体" w:eastAsia="宋体" w:cs="宋体"/>
          <w:sz w:val="27"/>
          <w:szCs w:val="27"/>
        </w:rPr>
        <w:t xml:space="preserve"> </w:t>
      </w:r>
      <w:r>
        <w:rPr>
          <w:rFonts w:ascii="宋体" w:hAnsi="宋体" w:eastAsia="宋体" w:cs="宋体"/>
          <w:spacing w:val="1"/>
          <w:sz w:val="27"/>
          <w:szCs w:val="27"/>
        </w:rPr>
        <w:t>要求。</w:t>
      </w:r>
    </w:p>
    <w:p w14:paraId="59AF02FA">
      <w:pPr>
        <w:spacing w:line="222" w:lineRule="auto"/>
        <w:rPr>
          <w:rFonts w:ascii="黑体" w:hAnsi="黑体" w:eastAsia="黑体" w:cs="黑体"/>
          <w:sz w:val="27"/>
          <w:szCs w:val="27"/>
        </w:rPr>
      </w:pPr>
      <w:r>
        <w:rPr>
          <w:rFonts w:ascii="黑体" w:hAnsi="黑体" w:eastAsia="黑体" w:cs="黑体"/>
          <w:sz w:val="27"/>
          <w:szCs w:val="27"/>
        </w:rPr>
        <w:t>5.3.3</w:t>
      </w:r>
      <w:r>
        <w:rPr>
          <w:rFonts w:ascii="黑体" w:hAnsi="黑体" w:eastAsia="黑体" w:cs="黑体"/>
          <w:spacing w:val="17"/>
          <w:sz w:val="27"/>
          <w:szCs w:val="27"/>
        </w:rPr>
        <w:t xml:space="preserve">  </w:t>
      </w:r>
      <w:r>
        <w:rPr>
          <w:rFonts w:ascii="黑体" w:hAnsi="黑体" w:eastAsia="黑体" w:cs="黑体"/>
          <w:sz w:val="27"/>
          <w:szCs w:val="27"/>
        </w:rPr>
        <w:t>重量重心分析</w:t>
      </w:r>
    </w:p>
    <w:p w14:paraId="3C611891">
      <w:pPr>
        <w:spacing w:before="87" w:line="282" w:lineRule="auto"/>
        <w:ind w:right="2" w:firstLine="569"/>
        <w:rPr>
          <w:rFonts w:ascii="宋体" w:hAnsi="宋体" w:eastAsia="宋体" w:cs="宋体"/>
          <w:sz w:val="27"/>
          <w:szCs w:val="27"/>
        </w:rPr>
      </w:pPr>
      <w:r>
        <w:rPr>
          <w:rFonts w:ascii="宋体" w:hAnsi="宋体" w:eastAsia="宋体" w:cs="宋体"/>
          <w:spacing w:val="1"/>
          <w:sz w:val="27"/>
          <w:szCs w:val="27"/>
        </w:rPr>
        <w:t>对平台改装后的重量和重心进行分析，列表给出安装件的重量变化(与改装</w:t>
      </w:r>
      <w:r>
        <w:rPr>
          <w:rFonts w:ascii="宋体" w:hAnsi="宋体" w:eastAsia="宋体" w:cs="宋体"/>
          <w:spacing w:val="13"/>
          <w:sz w:val="27"/>
          <w:szCs w:val="27"/>
        </w:rPr>
        <w:t xml:space="preserve"> </w:t>
      </w:r>
      <w:r>
        <w:rPr>
          <w:rFonts w:ascii="宋体" w:hAnsi="宋体" w:eastAsia="宋体" w:cs="宋体"/>
          <w:spacing w:val="-5"/>
          <w:sz w:val="27"/>
          <w:szCs w:val="27"/>
        </w:rPr>
        <w:t>前相比，是增重还是减重)和安装位置，计算出平台重心的变化。</w:t>
      </w:r>
    </w:p>
    <w:p w14:paraId="0B3427BF">
      <w:pPr>
        <w:spacing w:before="3" w:line="222" w:lineRule="auto"/>
        <w:rPr>
          <w:rFonts w:ascii="黑体" w:hAnsi="黑体" w:eastAsia="黑体" w:cs="黑体"/>
          <w:sz w:val="25"/>
          <w:szCs w:val="25"/>
        </w:rPr>
      </w:pPr>
      <w:r>
        <w:rPr>
          <w:rFonts w:ascii="黑体" w:hAnsi="黑体" w:eastAsia="黑体" w:cs="黑体"/>
          <w:spacing w:val="11"/>
          <w:sz w:val="25"/>
          <w:szCs w:val="25"/>
        </w:rPr>
        <w:t>5.3.4</w:t>
      </w:r>
      <w:r>
        <w:rPr>
          <w:rFonts w:ascii="黑体" w:hAnsi="黑体" w:eastAsia="黑体" w:cs="黑体"/>
          <w:spacing w:val="51"/>
          <w:sz w:val="25"/>
          <w:szCs w:val="25"/>
        </w:rPr>
        <w:t xml:space="preserve">  </w:t>
      </w:r>
      <w:r>
        <w:rPr>
          <w:rFonts w:ascii="黑体" w:hAnsi="黑体" w:eastAsia="黑体" w:cs="黑体"/>
          <w:spacing w:val="11"/>
          <w:sz w:val="25"/>
          <w:szCs w:val="25"/>
        </w:rPr>
        <w:t>平台性能分析</w:t>
      </w:r>
    </w:p>
    <w:p w14:paraId="07A96E2A">
      <w:pPr>
        <w:spacing w:before="100" w:line="219" w:lineRule="auto"/>
        <w:ind w:left="569"/>
        <w:rPr>
          <w:rFonts w:ascii="宋体" w:hAnsi="宋体" w:eastAsia="宋体" w:cs="宋体"/>
          <w:sz w:val="27"/>
          <w:szCs w:val="27"/>
        </w:rPr>
      </w:pPr>
      <w:r>
        <w:rPr>
          <w:rFonts w:ascii="宋体" w:hAnsi="宋体" w:eastAsia="宋体" w:cs="宋体"/>
          <w:sz w:val="27"/>
          <w:szCs w:val="27"/>
        </w:rPr>
        <w:t>对平台改装后的总体性能进行分析计算，与改装</w:t>
      </w:r>
      <w:r>
        <w:rPr>
          <w:rFonts w:ascii="宋体" w:hAnsi="宋体" w:eastAsia="宋体" w:cs="宋体"/>
          <w:spacing w:val="-1"/>
          <w:sz w:val="27"/>
          <w:szCs w:val="27"/>
        </w:rPr>
        <w:t>前进行对比。</w:t>
      </w:r>
    </w:p>
    <w:p w14:paraId="7D24A60F">
      <w:pPr>
        <w:spacing w:before="90" w:line="222" w:lineRule="auto"/>
        <w:rPr>
          <w:rFonts w:ascii="黑体" w:hAnsi="黑体" w:eastAsia="黑体" w:cs="黑体"/>
          <w:sz w:val="27"/>
          <w:szCs w:val="27"/>
        </w:rPr>
      </w:pPr>
      <w:r>
        <w:rPr>
          <w:rFonts w:ascii="黑体" w:hAnsi="黑体" w:eastAsia="黑体" w:cs="黑体"/>
          <w:spacing w:val="-1"/>
          <w:sz w:val="27"/>
          <w:szCs w:val="27"/>
        </w:rPr>
        <w:t>5.3.5</w:t>
      </w:r>
      <w:r>
        <w:rPr>
          <w:rFonts w:ascii="黑体" w:hAnsi="黑体" w:eastAsia="黑体" w:cs="黑体"/>
          <w:spacing w:val="21"/>
          <w:sz w:val="27"/>
          <w:szCs w:val="27"/>
        </w:rPr>
        <w:t xml:space="preserve">  </w:t>
      </w:r>
      <w:r>
        <w:rPr>
          <w:rFonts w:ascii="黑体" w:hAnsi="黑体" w:eastAsia="黑体" w:cs="黑体"/>
          <w:spacing w:val="-1"/>
          <w:sz w:val="27"/>
          <w:szCs w:val="27"/>
        </w:rPr>
        <w:t>操稳分析</w:t>
      </w:r>
    </w:p>
    <w:p w14:paraId="1012F53B">
      <w:pPr>
        <w:spacing w:before="75" w:line="219" w:lineRule="auto"/>
        <w:ind w:left="569"/>
        <w:rPr>
          <w:rFonts w:ascii="宋体" w:hAnsi="宋体" w:eastAsia="宋体" w:cs="宋体"/>
          <w:sz w:val="27"/>
          <w:szCs w:val="27"/>
        </w:rPr>
      </w:pPr>
      <w:r>
        <w:rPr>
          <w:rFonts w:ascii="宋体" w:hAnsi="宋体" w:eastAsia="宋体" w:cs="宋体"/>
          <w:sz w:val="27"/>
          <w:szCs w:val="27"/>
        </w:rPr>
        <w:t>对平台改装后的操作稳定性进行分析计算，与改装</w:t>
      </w:r>
      <w:r>
        <w:rPr>
          <w:rFonts w:ascii="宋体" w:hAnsi="宋体" w:eastAsia="宋体" w:cs="宋体"/>
          <w:spacing w:val="-1"/>
          <w:sz w:val="27"/>
          <w:szCs w:val="27"/>
        </w:rPr>
        <w:t>前进行对比。</w:t>
      </w:r>
    </w:p>
    <w:p w14:paraId="2B852831">
      <w:pPr>
        <w:spacing w:before="106" w:line="221" w:lineRule="auto"/>
        <w:rPr>
          <w:rFonts w:ascii="黑体" w:hAnsi="黑体" w:eastAsia="黑体" w:cs="黑体"/>
          <w:sz w:val="24"/>
          <w:szCs w:val="24"/>
        </w:rPr>
      </w:pPr>
      <w:r>
        <w:rPr>
          <w:rFonts w:ascii="黑体" w:hAnsi="黑体" w:eastAsia="黑体" w:cs="黑体"/>
          <w:spacing w:val="23"/>
          <w:sz w:val="24"/>
          <w:szCs w:val="24"/>
        </w:rPr>
        <w:t>5.4</w:t>
      </w:r>
      <w:r>
        <w:rPr>
          <w:rFonts w:ascii="黑体" w:hAnsi="黑体" w:eastAsia="黑体" w:cs="黑体"/>
          <w:spacing w:val="4"/>
          <w:sz w:val="24"/>
          <w:szCs w:val="24"/>
        </w:rPr>
        <w:t xml:space="preserve">   </w:t>
      </w:r>
      <w:r>
        <w:rPr>
          <w:rFonts w:ascii="黑体" w:hAnsi="黑体" w:eastAsia="黑体" w:cs="黑体"/>
          <w:spacing w:val="23"/>
          <w:sz w:val="24"/>
          <w:szCs w:val="24"/>
        </w:rPr>
        <w:t>电路改装方案</w:t>
      </w:r>
    </w:p>
    <w:p w14:paraId="44120BA1">
      <w:pPr>
        <w:spacing w:before="114" w:line="222" w:lineRule="auto"/>
        <w:rPr>
          <w:rFonts w:ascii="黑体" w:hAnsi="黑体" w:eastAsia="黑体" w:cs="黑体"/>
          <w:sz w:val="25"/>
          <w:szCs w:val="25"/>
        </w:rPr>
      </w:pPr>
      <w:r>
        <w:rPr>
          <w:rFonts w:ascii="黑体" w:hAnsi="黑体" w:eastAsia="黑体" w:cs="黑体"/>
          <w:spacing w:val="10"/>
          <w:sz w:val="25"/>
          <w:szCs w:val="25"/>
        </w:rPr>
        <w:t>5.4.1</w:t>
      </w:r>
      <w:r>
        <w:rPr>
          <w:rFonts w:ascii="黑体" w:hAnsi="黑体" w:eastAsia="黑体" w:cs="黑体"/>
          <w:spacing w:val="46"/>
          <w:sz w:val="25"/>
          <w:szCs w:val="25"/>
        </w:rPr>
        <w:t xml:space="preserve">  </w:t>
      </w:r>
      <w:r>
        <w:rPr>
          <w:rFonts w:ascii="黑体" w:hAnsi="黑体" w:eastAsia="黑体" w:cs="黑体"/>
          <w:spacing w:val="10"/>
          <w:sz w:val="25"/>
          <w:szCs w:val="25"/>
        </w:rPr>
        <w:t>改装设备</w:t>
      </w:r>
    </w:p>
    <w:p w14:paraId="5A509900">
      <w:pPr>
        <w:spacing w:before="131" w:line="219" w:lineRule="auto"/>
        <w:ind w:left="569"/>
        <w:rPr>
          <w:rFonts w:ascii="宋体" w:hAnsi="宋体" w:eastAsia="宋体" w:cs="宋体"/>
          <w:sz w:val="24"/>
          <w:szCs w:val="24"/>
        </w:rPr>
      </w:pPr>
      <w:r>
        <w:rPr>
          <w:rFonts w:ascii="宋体" w:hAnsi="宋体" w:eastAsia="宋体" w:cs="宋体"/>
          <w:spacing w:val="33"/>
          <w:sz w:val="24"/>
          <w:szCs w:val="24"/>
        </w:rPr>
        <w:t>描述改装设备的功能和主要电性能。</w:t>
      </w:r>
    </w:p>
    <w:p w14:paraId="381406F6">
      <w:pPr>
        <w:spacing w:before="123" w:line="222" w:lineRule="auto"/>
        <w:rPr>
          <w:rFonts w:ascii="黑体" w:hAnsi="黑体" w:eastAsia="黑体" w:cs="黑体"/>
          <w:sz w:val="24"/>
          <w:szCs w:val="24"/>
        </w:rPr>
      </w:pPr>
      <w:r>
        <w:rPr>
          <w:rFonts w:ascii="黑体" w:hAnsi="黑体" w:eastAsia="黑体" w:cs="黑体"/>
          <w:spacing w:val="16"/>
          <w:sz w:val="24"/>
          <w:szCs w:val="24"/>
        </w:rPr>
        <w:t>5.4.</w:t>
      </w:r>
      <w:r>
        <w:rPr>
          <w:rFonts w:ascii="黑体" w:hAnsi="黑体" w:eastAsia="黑体" w:cs="黑体"/>
          <w:spacing w:val="-63"/>
          <w:sz w:val="24"/>
          <w:szCs w:val="24"/>
        </w:rPr>
        <w:t xml:space="preserve"> </w:t>
      </w:r>
      <w:r>
        <w:rPr>
          <w:rFonts w:ascii="黑体" w:hAnsi="黑体" w:eastAsia="黑体" w:cs="黑体"/>
          <w:spacing w:val="16"/>
          <w:sz w:val="24"/>
          <w:szCs w:val="24"/>
        </w:rPr>
        <w:t>2</w:t>
      </w:r>
      <w:r>
        <w:rPr>
          <w:rFonts w:ascii="黑体" w:hAnsi="黑体" w:eastAsia="黑体" w:cs="黑体"/>
          <w:spacing w:val="44"/>
          <w:sz w:val="24"/>
          <w:szCs w:val="24"/>
        </w:rPr>
        <w:t xml:space="preserve">  </w:t>
      </w:r>
      <w:r>
        <w:rPr>
          <w:rFonts w:ascii="黑体" w:hAnsi="黑体" w:eastAsia="黑体" w:cs="黑体"/>
          <w:spacing w:val="16"/>
          <w:sz w:val="24"/>
          <w:szCs w:val="24"/>
        </w:rPr>
        <w:t>接口交联关系</w:t>
      </w:r>
    </w:p>
    <w:p w14:paraId="3B21F19D">
      <w:pPr>
        <w:spacing w:before="76" w:line="283" w:lineRule="auto"/>
        <w:ind w:right="3" w:firstLine="569"/>
        <w:rPr>
          <w:rFonts w:ascii="宋体" w:hAnsi="宋体" w:eastAsia="宋体" w:cs="宋体"/>
          <w:sz w:val="27"/>
          <w:szCs w:val="27"/>
        </w:rPr>
      </w:pPr>
      <w:r>
        <w:rPr>
          <w:rFonts w:ascii="宋体" w:hAnsi="宋体" w:eastAsia="宋体" w:cs="宋体"/>
          <w:spacing w:val="-3"/>
          <w:sz w:val="27"/>
          <w:szCs w:val="27"/>
        </w:rPr>
        <w:t>描述改装设备与平台之间、改装设备内部之间的接口交联关系，给出接口交</w:t>
      </w:r>
      <w:r>
        <w:rPr>
          <w:rFonts w:ascii="宋体" w:hAnsi="宋体" w:eastAsia="宋体" w:cs="宋体"/>
          <w:spacing w:val="9"/>
          <w:sz w:val="27"/>
          <w:szCs w:val="27"/>
        </w:rPr>
        <w:t xml:space="preserve"> </w:t>
      </w:r>
      <w:r>
        <w:rPr>
          <w:rFonts w:ascii="宋体" w:hAnsi="宋体" w:eastAsia="宋体" w:cs="宋体"/>
          <w:spacing w:val="-3"/>
          <w:sz w:val="27"/>
          <w:szCs w:val="27"/>
        </w:rPr>
        <w:t>联关系图，对接插件和信号流进行说明。</w:t>
      </w:r>
    </w:p>
    <w:p w14:paraId="090CB451">
      <w:pPr>
        <w:spacing w:line="221" w:lineRule="auto"/>
        <w:rPr>
          <w:rFonts w:ascii="黑体" w:hAnsi="黑体" w:eastAsia="黑体" w:cs="黑体"/>
          <w:sz w:val="27"/>
          <w:szCs w:val="27"/>
        </w:rPr>
      </w:pPr>
      <w:r>
        <w:rPr>
          <w:rFonts w:ascii="黑体" w:hAnsi="黑体" w:eastAsia="黑体" w:cs="黑体"/>
          <w:spacing w:val="-2"/>
          <w:sz w:val="27"/>
          <w:szCs w:val="27"/>
        </w:rPr>
        <w:t>5.4.3</w:t>
      </w:r>
      <w:r>
        <w:rPr>
          <w:rFonts w:ascii="黑体" w:hAnsi="黑体" w:eastAsia="黑体" w:cs="黑体"/>
          <w:spacing w:val="29"/>
          <w:sz w:val="27"/>
          <w:szCs w:val="27"/>
        </w:rPr>
        <w:t xml:space="preserve">  </w:t>
      </w:r>
      <w:r>
        <w:rPr>
          <w:rFonts w:ascii="黑体" w:hAnsi="黑体" w:eastAsia="黑体" w:cs="黑体"/>
          <w:spacing w:val="-2"/>
          <w:sz w:val="27"/>
          <w:szCs w:val="27"/>
        </w:rPr>
        <w:t>电缆制造和敷设</w:t>
      </w:r>
    </w:p>
    <w:p w14:paraId="17F5B6EA">
      <w:pPr>
        <w:spacing w:before="96" w:line="276" w:lineRule="auto"/>
        <w:ind w:firstLine="569"/>
        <w:rPr>
          <w:rFonts w:ascii="宋体" w:hAnsi="宋体" w:eastAsia="宋体" w:cs="宋体"/>
          <w:sz w:val="27"/>
          <w:szCs w:val="27"/>
        </w:rPr>
      </w:pPr>
      <w:r>
        <w:rPr>
          <w:rFonts w:ascii="宋体" w:hAnsi="宋体" w:eastAsia="宋体" w:cs="宋体"/>
          <w:spacing w:val="-3"/>
          <w:sz w:val="27"/>
          <w:szCs w:val="27"/>
        </w:rPr>
        <w:t>对改装所需电缆的制造加工、改装电缆在平台上的敷设和焊接进行说明，描</w:t>
      </w:r>
      <w:r>
        <w:rPr>
          <w:rFonts w:ascii="宋体" w:hAnsi="宋体" w:eastAsia="宋体" w:cs="宋体"/>
          <w:spacing w:val="12"/>
          <w:sz w:val="27"/>
          <w:szCs w:val="27"/>
        </w:rPr>
        <w:t xml:space="preserve"> </w:t>
      </w:r>
      <w:r>
        <w:rPr>
          <w:rFonts w:ascii="宋体" w:hAnsi="宋体" w:eastAsia="宋体" w:cs="宋体"/>
          <w:spacing w:val="-3"/>
          <w:sz w:val="27"/>
          <w:szCs w:val="27"/>
        </w:rPr>
        <w:t>述电缆走向和安装固定方式、必要的焊接施工等。</w:t>
      </w:r>
    </w:p>
    <w:p w14:paraId="01F4E0AE">
      <w:pPr>
        <w:spacing w:before="2" w:line="221" w:lineRule="auto"/>
        <w:rPr>
          <w:rFonts w:ascii="黑体" w:hAnsi="黑体" w:eastAsia="黑体" w:cs="黑体"/>
          <w:sz w:val="27"/>
          <w:szCs w:val="27"/>
        </w:rPr>
      </w:pPr>
      <w:r>
        <w:rPr>
          <w:rFonts w:ascii="黑体" w:hAnsi="黑体" w:eastAsia="黑体" w:cs="黑体"/>
          <w:spacing w:val="3"/>
          <w:sz w:val="27"/>
          <w:szCs w:val="27"/>
        </w:rPr>
        <w:t>5.4.4</w:t>
      </w:r>
      <w:r>
        <w:rPr>
          <w:rFonts w:ascii="黑体" w:hAnsi="黑体" w:eastAsia="黑体" w:cs="黑体"/>
          <w:spacing w:val="15"/>
          <w:sz w:val="27"/>
          <w:szCs w:val="27"/>
        </w:rPr>
        <w:t xml:space="preserve">  </w:t>
      </w:r>
      <w:r>
        <w:rPr>
          <w:rFonts w:ascii="黑体" w:hAnsi="黑体" w:eastAsia="黑体" w:cs="黑体"/>
          <w:spacing w:val="3"/>
          <w:sz w:val="27"/>
          <w:szCs w:val="27"/>
        </w:rPr>
        <w:t>供电方案分析</w:t>
      </w:r>
    </w:p>
    <w:p w14:paraId="027EE8B3">
      <w:pPr>
        <w:spacing w:before="89" w:line="273" w:lineRule="auto"/>
        <w:ind w:right="2" w:firstLine="569"/>
        <w:rPr>
          <w:rFonts w:ascii="宋体" w:hAnsi="宋体" w:eastAsia="宋体" w:cs="宋体"/>
          <w:sz w:val="27"/>
          <w:szCs w:val="27"/>
        </w:rPr>
      </w:pPr>
      <w:r>
        <w:rPr>
          <w:rFonts w:ascii="宋体" w:hAnsi="宋体" w:eastAsia="宋体" w:cs="宋体"/>
          <w:spacing w:val="-3"/>
          <w:sz w:val="27"/>
          <w:szCs w:val="27"/>
        </w:rPr>
        <w:t>对改装设备的供电方案进行分析，说明改装设备所需电源种类和耗电量，平</w:t>
      </w:r>
      <w:r>
        <w:rPr>
          <w:rFonts w:ascii="宋体" w:hAnsi="宋体" w:eastAsia="宋体" w:cs="宋体"/>
          <w:spacing w:val="10"/>
          <w:sz w:val="27"/>
          <w:szCs w:val="27"/>
        </w:rPr>
        <w:t xml:space="preserve"> </w:t>
      </w:r>
      <w:r>
        <w:rPr>
          <w:rFonts w:ascii="宋体" w:hAnsi="宋体" w:eastAsia="宋体" w:cs="宋体"/>
          <w:spacing w:val="-7"/>
          <w:sz w:val="27"/>
          <w:szCs w:val="27"/>
        </w:rPr>
        <w:t>台可供电源和电量，对用电余量进行估算，确保用电安全。</w:t>
      </w:r>
    </w:p>
    <w:p w14:paraId="2720B472">
      <w:pPr>
        <w:spacing w:before="1" w:line="221" w:lineRule="auto"/>
        <w:rPr>
          <w:rFonts w:ascii="黑体" w:hAnsi="黑体" w:eastAsia="黑体" w:cs="黑体"/>
          <w:sz w:val="27"/>
          <w:szCs w:val="27"/>
        </w:rPr>
      </w:pPr>
      <w:r>
        <w:rPr>
          <w:rFonts w:ascii="黑体" w:hAnsi="黑体" w:eastAsia="黑体" w:cs="黑体"/>
          <w:sz w:val="27"/>
          <w:szCs w:val="27"/>
        </w:rPr>
        <w:t>5.4.5</w:t>
      </w:r>
      <w:r>
        <w:rPr>
          <w:rFonts w:ascii="黑体" w:hAnsi="黑体" w:eastAsia="黑体" w:cs="黑体"/>
          <w:spacing w:val="14"/>
          <w:sz w:val="27"/>
          <w:szCs w:val="27"/>
        </w:rPr>
        <w:t xml:space="preserve">  </w:t>
      </w:r>
      <w:r>
        <w:rPr>
          <w:rFonts w:ascii="黑体" w:hAnsi="黑体" w:eastAsia="黑体" w:cs="黑体"/>
          <w:sz w:val="27"/>
          <w:szCs w:val="27"/>
        </w:rPr>
        <w:t>电磁兼容性</w:t>
      </w:r>
    </w:p>
    <w:p w14:paraId="30FF0D5F">
      <w:pPr>
        <w:spacing w:before="87" w:line="279" w:lineRule="auto"/>
        <w:ind w:right="3" w:firstLine="569"/>
        <w:jc w:val="both"/>
        <w:rPr>
          <w:rFonts w:ascii="宋体" w:hAnsi="宋体" w:eastAsia="宋体" w:cs="宋体"/>
          <w:sz w:val="27"/>
          <w:szCs w:val="27"/>
        </w:rPr>
      </w:pPr>
      <w:r>
        <w:rPr>
          <w:rFonts w:ascii="宋体" w:hAnsi="宋体" w:eastAsia="宋体" w:cs="宋体"/>
          <w:spacing w:val="6"/>
          <w:sz w:val="27"/>
          <w:szCs w:val="27"/>
        </w:rPr>
        <w:t>对改装设备与平台已有设备的电磁兼容性进行</w:t>
      </w:r>
      <w:r>
        <w:rPr>
          <w:rFonts w:ascii="宋体" w:hAnsi="宋体" w:eastAsia="宋体" w:cs="宋体"/>
          <w:spacing w:val="5"/>
          <w:sz w:val="27"/>
          <w:szCs w:val="27"/>
        </w:rPr>
        <w:t>分析。说明改装设备的电磁</w:t>
      </w:r>
      <w:r>
        <w:rPr>
          <w:rFonts w:ascii="宋体" w:hAnsi="宋体" w:eastAsia="宋体" w:cs="宋体"/>
          <w:sz w:val="27"/>
          <w:szCs w:val="27"/>
        </w:rPr>
        <w:t xml:space="preserve"> </w:t>
      </w:r>
      <w:r>
        <w:rPr>
          <w:rFonts w:ascii="宋体" w:hAnsi="宋体" w:eastAsia="宋体" w:cs="宋体"/>
          <w:spacing w:val="5"/>
          <w:sz w:val="27"/>
          <w:szCs w:val="27"/>
        </w:rPr>
        <w:t>兼容性要求和已完成的电磁兼容性试验，说明改装电缆设计中采取的电磁兼容</w:t>
      </w:r>
      <w:r>
        <w:rPr>
          <w:rFonts w:ascii="宋体" w:hAnsi="宋体" w:eastAsia="宋体" w:cs="宋体"/>
          <w:spacing w:val="2"/>
          <w:sz w:val="27"/>
          <w:szCs w:val="27"/>
        </w:rPr>
        <w:t xml:space="preserve"> </w:t>
      </w:r>
      <w:r>
        <w:rPr>
          <w:rFonts w:ascii="宋体" w:hAnsi="宋体" w:eastAsia="宋体" w:cs="宋体"/>
          <w:spacing w:val="1"/>
          <w:sz w:val="27"/>
          <w:szCs w:val="27"/>
        </w:rPr>
        <w:t>性设计措施(布线、屏蔽、接地等),说明改装设备与平台上已有的用频设备</w:t>
      </w:r>
      <w:r>
        <w:rPr>
          <w:rFonts w:ascii="宋体" w:hAnsi="宋体" w:eastAsia="宋体" w:cs="宋体"/>
          <w:sz w:val="27"/>
          <w:szCs w:val="27"/>
        </w:rPr>
        <w:t>在频 率上的兼容性等。</w:t>
      </w:r>
    </w:p>
    <w:p w14:paraId="2E831319">
      <w:pPr>
        <w:spacing w:line="279" w:lineRule="auto"/>
        <w:rPr>
          <w:rFonts w:ascii="宋体" w:hAnsi="宋体" w:eastAsia="宋体" w:cs="宋体"/>
          <w:sz w:val="27"/>
          <w:szCs w:val="27"/>
        </w:rPr>
        <w:sectPr>
          <w:footerReference r:id="rId118" w:type="default"/>
          <w:pgSz w:w="11910" w:h="17130"/>
          <w:pgMar w:top="400" w:right="1315" w:bottom="1623" w:left="1200" w:header="0" w:footer="1425" w:gutter="0"/>
          <w:cols w:space="720" w:num="1"/>
        </w:sectPr>
      </w:pPr>
    </w:p>
    <w:p w14:paraId="3CEFBCC5">
      <w:pPr>
        <w:pStyle w:val="2"/>
        <w:spacing w:line="276" w:lineRule="auto"/>
      </w:pPr>
    </w:p>
    <w:p w14:paraId="2775592A">
      <w:pPr>
        <w:pStyle w:val="2"/>
        <w:spacing w:line="276" w:lineRule="auto"/>
      </w:pPr>
    </w:p>
    <w:p w14:paraId="7CAFDB1E">
      <w:pPr>
        <w:pStyle w:val="2"/>
        <w:spacing w:line="276" w:lineRule="auto"/>
      </w:pPr>
    </w:p>
    <w:p w14:paraId="64665C72">
      <w:pPr>
        <w:pStyle w:val="2"/>
        <w:spacing w:line="276" w:lineRule="auto"/>
      </w:pPr>
    </w:p>
    <w:p w14:paraId="09213A15">
      <w:pPr>
        <w:spacing w:before="87" w:line="221" w:lineRule="auto"/>
        <w:rPr>
          <w:rFonts w:ascii="黑体" w:hAnsi="黑体" w:eastAsia="黑体" w:cs="黑体"/>
          <w:sz w:val="27"/>
          <w:szCs w:val="27"/>
        </w:rPr>
      </w:pPr>
      <w:bookmarkStart w:id="67" w:name="bookmark339"/>
      <w:bookmarkEnd w:id="67"/>
      <w:r>
        <w:rPr>
          <w:rFonts w:ascii="黑体" w:hAnsi="黑体" w:eastAsia="黑体" w:cs="黑体"/>
          <w:spacing w:val="5"/>
          <w:sz w:val="27"/>
          <w:szCs w:val="27"/>
        </w:rPr>
        <w:t>6  可靠性维修性测试性保障性安全性方案</w:t>
      </w:r>
    </w:p>
    <w:p w14:paraId="65BD0CD2">
      <w:pPr>
        <w:spacing w:before="95" w:line="221" w:lineRule="auto"/>
        <w:rPr>
          <w:rFonts w:ascii="黑体" w:hAnsi="黑体" w:eastAsia="黑体" w:cs="黑体"/>
          <w:sz w:val="24"/>
          <w:szCs w:val="24"/>
        </w:rPr>
      </w:pPr>
      <w:r>
        <w:rPr>
          <w:rFonts w:ascii="黑体" w:hAnsi="黑体" w:eastAsia="黑体" w:cs="黑体"/>
          <w:spacing w:val="20"/>
          <w:sz w:val="24"/>
          <w:szCs w:val="24"/>
        </w:rPr>
        <w:t>6.1</w:t>
      </w:r>
      <w:r>
        <w:rPr>
          <w:rFonts w:ascii="黑体" w:hAnsi="黑体" w:eastAsia="黑体" w:cs="黑体"/>
          <w:spacing w:val="59"/>
          <w:sz w:val="24"/>
          <w:szCs w:val="24"/>
        </w:rPr>
        <w:t xml:space="preserve">  </w:t>
      </w:r>
      <w:r>
        <w:rPr>
          <w:rFonts w:ascii="黑体" w:hAnsi="黑体" w:eastAsia="黑体" w:cs="黑体"/>
          <w:spacing w:val="20"/>
          <w:sz w:val="24"/>
          <w:szCs w:val="24"/>
        </w:rPr>
        <w:t>可靠性方案</w:t>
      </w:r>
    </w:p>
    <w:p w14:paraId="716D6C9A">
      <w:pPr>
        <w:spacing w:before="104" w:line="290" w:lineRule="auto"/>
        <w:ind w:right="96" w:firstLine="570"/>
        <w:rPr>
          <w:rFonts w:ascii="宋体" w:hAnsi="宋体" w:eastAsia="宋体" w:cs="宋体"/>
          <w:sz w:val="25"/>
          <w:szCs w:val="25"/>
        </w:rPr>
      </w:pPr>
      <w:r>
        <w:rPr>
          <w:rFonts w:ascii="宋体" w:hAnsi="宋体" w:eastAsia="宋体" w:cs="宋体"/>
          <w:spacing w:val="17"/>
          <w:sz w:val="25"/>
          <w:szCs w:val="25"/>
        </w:rPr>
        <w:t>说明改装设备的可靠性指标，改装后对平台可靠性的影响，重点描述为确保</w:t>
      </w:r>
      <w:r>
        <w:rPr>
          <w:rFonts w:ascii="宋体" w:hAnsi="宋体" w:eastAsia="宋体" w:cs="宋体"/>
          <w:spacing w:val="16"/>
          <w:sz w:val="25"/>
          <w:szCs w:val="25"/>
        </w:rPr>
        <w:t xml:space="preserve"> </w:t>
      </w:r>
      <w:r>
        <w:rPr>
          <w:rFonts w:ascii="宋体" w:hAnsi="宋体" w:eastAsia="宋体" w:cs="宋体"/>
          <w:spacing w:val="23"/>
          <w:sz w:val="25"/>
          <w:szCs w:val="25"/>
        </w:rPr>
        <w:t>平台可靠性采取的可靠性设计措施。</w:t>
      </w:r>
    </w:p>
    <w:p w14:paraId="5CBF75DD">
      <w:pPr>
        <w:pStyle w:val="2"/>
        <w:spacing w:line="327" w:lineRule="exact"/>
        <w:rPr>
          <w:rFonts w:ascii="黑体" w:hAnsi="黑体" w:eastAsia="黑体" w:cs="黑体"/>
          <w:sz w:val="24"/>
          <w:szCs w:val="24"/>
        </w:rPr>
      </w:pPr>
      <w:r>
        <w:rPr>
          <w:spacing w:val="20"/>
          <w:position w:val="1"/>
          <w:sz w:val="24"/>
          <w:szCs w:val="24"/>
        </w:rPr>
        <w:t>6.2</w:t>
      </w:r>
      <w:r>
        <w:rPr>
          <w:spacing w:val="10"/>
          <w:position w:val="1"/>
          <w:sz w:val="24"/>
          <w:szCs w:val="24"/>
        </w:rPr>
        <w:t xml:space="preserve">     </w:t>
      </w:r>
      <w:r>
        <w:rPr>
          <w:rFonts w:ascii="黑体" w:hAnsi="黑体" w:eastAsia="黑体" w:cs="黑体"/>
          <w:spacing w:val="20"/>
          <w:position w:val="1"/>
          <w:sz w:val="24"/>
          <w:szCs w:val="24"/>
        </w:rPr>
        <w:t>维修性方案</w:t>
      </w:r>
    </w:p>
    <w:p w14:paraId="5C06CEA4">
      <w:pPr>
        <w:spacing w:before="108" w:line="275" w:lineRule="auto"/>
        <w:ind w:right="125" w:firstLine="570"/>
        <w:jc w:val="both"/>
        <w:rPr>
          <w:rFonts w:ascii="宋体" w:hAnsi="宋体" w:eastAsia="宋体" w:cs="宋体"/>
          <w:sz w:val="27"/>
          <w:szCs w:val="27"/>
        </w:rPr>
      </w:pPr>
      <w:r>
        <w:rPr>
          <w:rFonts w:ascii="宋体" w:hAnsi="宋体" w:eastAsia="宋体" w:cs="宋体"/>
          <w:spacing w:val="-3"/>
          <w:sz w:val="27"/>
          <w:szCs w:val="27"/>
        </w:rPr>
        <w:t>说明改装设备的维修性指标，改装后对平台维</w:t>
      </w:r>
      <w:r>
        <w:rPr>
          <w:rFonts w:ascii="宋体" w:hAnsi="宋体" w:eastAsia="宋体" w:cs="宋体"/>
          <w:spacing w:val="-4"/>
          <w:sz w:val="27"/>
          <w:szCs w:val="27"/>
        </w:rPr>
        <w:t>修性的影响，重点描述为确保</w:t>
      </w:r>
      <w:r>
        <w:rPr>
          <w:rFonts w:ascii="宋体" w:hAnsi="宋体" w:eastAsia="宋体" w:cs="宋体"/>
          <w:sz w:val="27"/>
          <w:szCs w:val="27"/>
        </w:rPr>
        <w:t xml:space="preserve"> </w:t>
      </w:r>
      <w:r>
        <w:rPr>
          <w:rFonts w:ascii="宋体" w:hAnsi="宋体" w:eastAsia="宋体" w:cs="宋体"/>
          <w:spacing w:val="-3"/>
          <w:sz w:val="27"/>
          <w:szCs w:val="27"/>
        </w:rPr>
        <w:t>平台维修性采取的维修性设计措施，如使用快卸接插件、便于拆卸</w:t>
      </w:r>
      <w:r>
        <w:rPr>
          <w:rFonts w:ascii="宋体" w:hAnsi="宋体" w:eastAsia="宋体" w:cs="宋体"/>
          <w:spacing w:val="-4"/>
          <w:sz w:val="27"/>
          <w:szCs w:val="27"/>
        </w:rPr>
        <w:t>的安装固定方</w:t>
      </w:r>
      <w:r>
        <w:rPr>
          <w:rFonts w:ascii="宋体" w:hAnsi="宋体" w:eastAsia="宋体" w:cs="宋体"/>
          <w:sz w:val="27"/>
          <w:szCs w:val="27"/>
        </w:rPr>
        <w:t xml:space="preserve"> </w:t>
      </w:r>
      <w:r>
        <w:rPr>
          <w:rFonts w:ascii="宋体" w:hAnsi="宋体" w:eastAsia="宋体" w:cs="宋体"/>
          <w:spacing w:val="-4"/>
          <w:sz w:val="27"/>
          <w:szCs w:val="27"/>
        </w:rPr>
        <w:t>式等。</w:t>
      </w:r>
    </w:p>
    <w:p w14:paraId="62B6A9C0">
      <w:pPr>
        <w:spacing w:before="21" w:line="221" w:lineRule="auto"/>
        <w:rPr>
          <w:rFonts w:ascii="黑体" w:hAnsi="黑体" w:eastAsia="黑体" w:cs="黑体"/>
          <w:sz w:val="24"/>
          <w:szCs w:val="24"/>
        </w:rPr>
      </w:pPr>
      <w:r>
        <w:rPr>
          <w:rFonts w:ascii="黑体" w:hAnsi="黑体" w:eastAsia="黑体" w:cs="黑体"/>
          <w:spacing w:val="20"/>
          <w:sz w:val="24"/>
          <w:szCs w:val="24"/>
        </w:rPr>
        <w:t>6.3</w:t>
      </w:r>
      <w:r>
        <w:rPr>
          <w:rFonts w:ascii="黑体" w:hAnsi="黑体" w:eastAsia="黑体" w:cs="黑体"/>
          <w:spacing w:val="59"/>
          <w:sz w:val="24"/>
          <w:szCs w:val="24"/>
        </w:rPr>
        <w:t xml:space="preserve">  </w:t>
      </w:r>
      <w:r>
        <w:rPr>
          <w:rFonts w:ascii="黑体" w:hAnsi="黑体" w:eastAsia="黑体" w:cs="黑体"/>
          <w:spacing w:val="20"/>
          <w:sz w:val="24"/>
          <w:szCs w:val="24"/>
        </w:rPr>
        <w:t>测试性方案</w:t>
      </w:r>
    </w:p>
    <w:p w14:paraId="23B9C435">
      <w:pPr>
        <w:spacing w:before="104" w:line="272" w:lineRule="auto"/>
        <w:ind w:right="125" w:firstLine="570"/>
        <w:jc w:val="both"/>
        <w:rPr>
          <w:rFonts w:ascii="宋体" w:hAnsi="宋体" w:eastAsia="宋体" w:cs="宋体"/>
          <w:sz w:val="27"/>
          <w:szCs w:val="27"/>
        </w:rPr>
      </w:pPr>
      <w:r>
        <w:rPr>
          <w:rFonts w:ascii="宋体" w:hAnsi="宋体" w:eastAsia="宋体" w:cs="宋体"/>
          <w:spacing w:val="-3"/>
          <w:sz w:val="27"/>
          <w:szCs w:val="27"/>
        </w:rPr>
        <w:t>说明改装设备的测试性指标，改装后对平台测</w:t>
      </w:r>
      <w:r>
        <w:rPr>
          <w:rFonts w:ascii="宋体" w:hAnsi="宋体" w:eastAsia="宋体" w:cs="宋体"/>
          <w:spacing w:val="-4"/>
          <w:sz w:val="27"/>
          <w:szCs w:val="27"/>
        </w:rPr>
        <w:t>试性的影响，重点描述为确保</w:t>
      </w:r>
      <w:r>
        <w:rPr>
          <w:rFonts w:ascii="宋体" w:hAnsi="宋体" w:eastAsia="宋体" w:cs="宋体"/>
          <w:sz w:val="27"/>
          <w:szCs w:val="27"/>
        </w:rPr>
        <w:t xml:space="preserve"> </w:t>
      </w:r>
      <w:r>
        <w:rPr>
          <w:rFonts w:ascii="宋体" w:hAnsi="宋体" w:eastAsia="宋体" w:cs="宋体"/>
          <w:spacing w:val="1"/>
          <w:sz w:val="27"/>
          <w:szCs w:val="27"/>
        </w:rPr>
        <w:t>平台测试性采取的测试性设计措施，如使用机</w:t>
      </w:r>
      <w:r>
        <w:rPr>
          <w:rFonts w:ascii="宋体" w:hAnsi="宋体" w:eastAsia="宋体" w:cs="宋体"/>
          <w:sz w:val="27"/>
          <w:szCs w:val="27"/>
        </w:rPr>
        <w:t>内自检(</w:t>
      </w:r>
      <w:r>
        <w:rPr>
          <w:rFonts w:ascii="宋体" w:hAnsi="宋体" w:eastAsia="宋体" w:cs="宋体"/>
          <w:spacing w:val="-71"/>
          <w:sz w:val="27"/>
          <w:szCs w:val="27"/>
        </w:rPr>
        <w:t xml:space="preserve"> </w:t>
      </w:r>
      <w:r>
        <w:rPr>
          <w:rFonts w:ascii="Times New Roman" w:hAnsi="Times New Roman" w:eastAsia="Times New Roman" w:cs="Times New Roman"/>
          <w:sz w:val="27"/>
          <w:szCs w:val="27"/>
        </w:rPr>
        <w:t>BIT)</w:t>
      </w:r>
      <w:r>
        <w:rPr>
          <w:rFonts w:ascii="Times New Roman" w:hAnsi="Times New Roman" w:eastAsia="Times New Roman" w:cs="Times New Roman"/>
          <w:spacing w:val="42"/>
          <w:w w:val="101"/>
          <w:sz w:val="27"/>
          <w:szCs w:val="27"/>
        </w:rPr>
        <w:t xml:space="preserve"> </w:t>
      </w:r>
      <w:r>
        <w:rPr>
          <w:rFonts w:ascii="宋体" w:hAnsi="宋体" w:eastAsia="宋体" w:cs="宋体"/>
          <w:sz w:val="27"/>
          <w:szCs w:val="27"/>
        </w:rPr>
        <w:t xml:space="preserve">设计(加电自检、启 </w:t>
      </w:r>
      <w:r>
        <w:rPr>
          <w:rFonts w:ascii="宋体" w:hAnsi="宋体" w:eastAsia="宋体" w:cs="宋体"/>
          <w:spacing w:val="-10"/>
          <w:sz w:val="27"/>
          <w:szCs w:val="27"/>
        </w:rPr>
        <w:t>动自检、周期自检)等。</w:t>
      </w:r>
    </w:p>
    <w:p w14:paraId="6912F6D6">
      <w:pPr>
        <w:spacing w:before="16" w:line="221" w:lineRule="auto"/>
        <w:rPr>
          <w:rFonts w:ascii="黑体" w:hAnsi="黑体" w:eastAsia="黑体" w:cs="黑体"/>
          <w:sz w:val="27"/>
          <w:szCs w:val="27"/>
        </w:rPr>
      </w:pPr>
      <w:r>
        <w:rPr>
          <w:rFonts w:ascii="黑体" w:hAnsi="黑体" w:eastAsia="黑体" w:cs="黑体"/>
          <w:spacing w:val="1"/>
          <w:sz w:val="27"/>
          <w:szCs w:val="27"/>
        </w:rPr>
        <w:t>6.4</w:t>
      </w:r>
      <w:r>
        <w:rPr>
          <w:rFonts w:ascii="黑体" w:hAnsi="黑体" w:eastAsia="黑体" w:cs="黑体"/>
          <w:spacing w:val="23"/>
          <w:sz w:val="27"/>
          <w:szCs w:val="27"/>
        </w:rPr>
        <w:t xml:space="preserve">  </w:t>
      </w:r>
      <w:r>
        <w:rPr>
          <w:rFonts w:ascii="黑体" w:hAnsi="黑体" w:eastAsia="黑体" w:cs="黑体"/>
          <w:spacing w:val="1"/>
          <w:sz w:val="27"/>
          <w:szCs w:val="27"/>
        </w:rPr>
        <w:t>保障性方案</w:t>
      </w:r>
    </w:p>
    <w:p w14:paraId="530400CB">
      <w:pPr>
        <w:spacing w:before="116" w:line="221" w:lineRule="auto"/>
        <w:rPr>
          <w:rFonts w:ascii="黑体" w:hAnsi="黑体" w:eastAsia="黑体" w:cs="黑体"/>
          <w:sz w:val="24"/>
          <w:szCs w:val="24"/>
        </w:rPr>
      </w:pPr>
      <w:r>
        <w:rPr>
          <w:rFonts w:ascii="黑体" w:hAnsi="黑体" w:eastAsia="黑体" w:cs="黑体"/>
          <w:spacing w:val="16"/>
          <w:sz w:val="24"/>
          <w:szCs w:val="24"/>
        </w:rPr>
        <w:t>6.4.1</w:t>
      </w:r>
      <w:r>
        <w:rPr>
          <w:rFonts w:ascii="黑体" w:hAnsi="黑体" w:eastAsia="黑体" w:cs="黑体"/>
          <w:spacing w:val="10"/>
          <w:sz w:val="24"/>
          <w:szCs w:val="24"/>
        </w:rPr>
        <w:t xml:space="preserve">   </w:t>
      </w:r>
      <w:r>
        <w:rPr>
          <w:rFonts w:ascii="黑体" w:hAnsi="黑体" w:eastAsia="黑体" w:cs="黑体"/>
          <w:spacing w:val="16"/>
          <w:sz w:val="24"/>
          <w:szCs w:val="24"/>
        </w:rPr>
        <w:t>人力和人员</w:t>
      </w:r>
    </w:p>
    <w:p w14:paraId="1CA27111">
      <w:pPr>
        <w:spacing w:before="106" w:line="219" w:lineRule="auto"/>
        <w:ind w:left="570"/>
        <w:rPr>
          <w:rFonts w:ascii="宋体" w:hAnsi="宋体" w:eastAsia="宋体" w:cs="宋体"/>
          <w:sz w:val="27"/>
          <w:szCs w:val="27"/>
        </w:rPr>
      </w:pPr>
      <w:r>
        <w:rPr>
          <w:rFonts w:ascii="宋体" w:hAnsi="宋体" w:eastAsia="宋体" w:cs="宋体"/>
          <w:spacing w:val="4"/>
          <w:sz w:val="27"/>
          <w:szCs w:val="27"/>
        </w:rPr>
        <w:t>对改装后保障所需人力和人员进行说明。</w:t>
      </w:r>
    </w:p>
    <w:p w14:paraId="4CDFD2B1">
      <w:pPr>
        <w:spacing w:before="100" w:line="223" w:lineRule="auto"/>
        <w:rPr>
          <w:rFonts w:ascii="黑体" w:hAnsi="黑体" w:eastAsia="黑体" w:cs="黑体"/>
          <w:sz w:val="25"/>
          <w:szCs w:val="25"/>
        </w:rPr>
      </w:pPr>
      <w:r>
        <w:rPr>
          <w:rFonts w:ascii="黑体" w:hAnsi="黑体" w:eastAsia="黑体" w:cs="黑体"/>
          <w:spacing w:val="10"/>
          <w:sz w:val="25"/>
          <w:szCs w:val="25"/>
        </w:rPr>
        <w:t>6.4.2</w:t>
      </w:r>
      <w:r>
        <w:rPr>
          <w:rFonts w:ascii="黑体" w:hAnsi="黑体" w:eastAsia="黑体" w:cs="黑体"/>
          <w:spacing w:val="56"/>
          <w:sz w:val="25"/>
          <w:szCs w:val="25"/>
        </w:rPr>
        <w:t xml:space="preserve">  </w:t>
      </w:r>
      <w:r>
        <w:rPr>
          <w:rFonts w:ascii="黑体" w:hAnsi="黑体" w:eastAsia="黑体" w:cs="黑体"/>
          <w:spacing w:val="10"/>
          <w:sz w:val="25"/>
          <w:szCs w:val="25"/>
        </w:rPr>
        <w:t>供应保障</w:t>
      </w:r>
    </w:p>
    <w:p w14:paraId="49F96E49">
      <w:pPr>
        <w:spacing w:before="76" w:line="219" w:lineRule="auto"/>
        <w:ind w:left="570"/>
        <w:rPr>
          <w:rFonts w:ascii="宋体" w:hAnsi="宋体" w:eastAsia="宋体" w:cs="宋体"/>
          <w:sz w:val="27"/>
          <w:szCs w:val="27"/>
        </w:rPr>
      </w:pPr>
      <w:r>
        <w:rPr>
          <w:rFonts w:ascii="宋体" w:hAnsi="宋体" w:eastAsia="宋体" w:cs="宋体"/>
          <w:spacing w:val="4"/>
          <w:sz w:val="27"/>
          <w:szCs w:val="27"/>
        </w:rPr>
        <w:t>对改装后的供应保障要求进行说明。</w:t>
      </w:r>
    </w:p>
    <w:p w14:paraId="2C944C16">
      <w:pPr>
        <w:spacing w:before="109" w:line="222" w:lineRule="auto"/>
        <w:rPr>
          <w:rFonts w:ascii="黑体" w:hAnsi="黑体" w:eastAsia="黑体" w:cs="黑体"/>
          <w:sz w:val="25"/>
          <w:szCs w:val="25"/>
        </w:rPr>
      </w:pPr>
      <w:r>
        <w:rPr>
          <w:rFonts w:ascii="黑体" w:hAnsi="黑体" w:eastAsia="黑体" w:cs="黑体"/>
          <w:spacing w:val="10"/>
          <w:sz w:val="25"/>
          <w:szCs w:val="25"/>
        </w:rPr>
        <w:t>6.4.3</w:t>
      </w:r>
      <w:r>
        <w:rPr>
          <w:rFonts w:ascii="黑体" w:hAnsi="黑体" w:eastAsia="黑体" w:cs="黑体"/>
          <w:spacing w:val="56"/>
          <w:sz w:val="25"/>
          <w:szCs w:val="25"/>
        </w:rPr>
        <w:t xml:space="preserve">  </w:t>
      </w:r>
      <w:r>
        <w:rPr>
          <w:rFonts w:ascii="黑体" w:hAnsi="黑体" w:eastAsia="黑体" w:cs="黑体"/>
          <w:spacing w:val="10"/>
          <w:sz w:val="25"/>
          <w:szCs w:val="25"/>
        </w:rPr>
        <w:t>保障设备</w:t>
      </w:r>
    </w:p>
    <w:p w14:paraId="579B5B39">
      <w:pPr>
        <w:spacing w:before="112" w:line="219" w:lineRule="auto"/>
        <w:ind w:left="570"/>
        <w:rPr>
          <w:rFonts w:ascii="宋体" w:hAnsi="宋体" w:eastAsia="宋体" w:cs="宋体"/>
          <w:sz w:val="27"/>
          <w:szCs w:val="27"/>
        </w:rPr>
      </w:pPr>
      <w:r>
        <w:rPr>
          <w:rFonts w:ascii="宋体" w:hAnsi="宋体" w:eastAsia="宋体" w:cs="宋体"/>
          <w:sz w:val="27"/>
          <w:szCs w:val="27"/>
        </w:rPr>
        <w:t>对改装后所需保障设备(包括一线、二线保障设备)</w:t>
      </w:r>
      <w:r>
        <w:rPr>
          <w:rFonts w:ascii="宋体" w:hAnsi="宋体" w:eastAsia="宋体" w:cs="宋体"/>
          <w:spacing w:val="-1"/>
          <w:sz w:val="27"/>
          <w:szCs w:val="27"/>
        </w:rPr>
        <w:t>进行说明。</w:t>
      </w:r>
    </w:p>
    <w:p w14:paraId="2A861195">
      <w:pPr>
        <w:spacing w:before="87" w:line="222" w:lineRule="auto"/>
        <w:rPr>
          <w:rFonts w:ascii="黑体" w:hAnsi="黑体" w:eastAsia="黑体" w:cs="黑体"/>
          <w:sz w:val="25"/>
          <w:szCs w:val="25"/>
        </w:rPr>
      </w:pPr>
      <w:r>
        <w:rPr>
          <w:rFonts w:ascii="黑体" w:hAnsi="黑体" w:eastAsia="黑体" w:cs="黑体"/>
          <w:spacing w:val="10"/>
          <w:sz w:val="25"/>
          <w:szCs w:val="25"/>
        </w:rPr>
        <w:t>6.4.4</w:t>
      </w:r>
      <w:r>
        <w:rPr>
          <w:rFonts w:ascii="黑体" w:hAnsi="黑体" w:eastAsia="黑体" w:cs="黑体"/>
          <w:spacing w:val="56"/>
          <w:sz w:val="25"/>
          <w:szCs w:val="25"/>
        </w:rPr>
        <w:t xml:space="preserve">  </w:t>
      </w:r>
      <w:r>
        <w:rPr>
          <w:rFonts w:ascii="黑体" w:hAnsi="黑体" w:eastAsia="黑体" w:cs="黑体"/>
          <w:spacing w:val="10"/>
          <w:sz w:val="25"/>
          <w:szCs w:val="25"/>
        </w:rPr>
        <w:t>技术资料</w:t>
      </w:r>
    </w:p>
    <w:p w14:paraId="1B43EDE4">
      <w:pPr>
        <w:spacing w:before="120" w:line="271" w:lineRule="auto"/>
        <w:ind w:right="93" w:firstLine="570"/>
        <w:rPr>
          <w:rFonts w:ascii="宋体" w:hAnsi="宋体" w:eastAsia="宋体" w:cs="宋体"/>
          <w:sz w:val="27"/>
          <w:szCs w:val="27"/>
        </w:rPr>
      </w:pPr>
      <w:r>
        <w:rPr>
          <w:rFonts w:ascii="宋体" w:hAnsi="宋体" w:eastAsia="宋体" w:cs="宋体"/>
          <w:spacing w:val="-2"/>
          <w:sz w:val="27"/>
          <w:szCs w:val="27"/>
        </w:rPr>
        <w:t>对改装后所需提供的技术资料进行说明，通</w:t>
      </w:r>
      <w:r>
        <w:rPr>
          <w:rFonts w:ascii="宋体" w:hAnsi="宋体" w:eastAsia="宋体" w:cs="宋体"/>
          <w:spacing w:val="-3"/>
          <w:sz w:val="27"/>
          <w:szCs w:val="27"/>
        </w:rPr>
        <w:t>常包括技术说明书、使用维护说</w:t>
      </w:r>
      <w:r>
        <w:rPr>
          <w:rFonts w:ascii="宋体" w:hAnsi="宋体" w:eastAsia="宋体" w:cs="宋体"/>
          <w:sz w:val="27"/>
          <w:szCs w:val="27"/>
        </w:rPr>
        <w:t xml:space="preserve"> </w:t>
      </w:r>
      <w:r>
        <w:rPr>
          <w:rFonts w:ascii="宋体" w:hAnsi="宋体" w:eastAsia="宋体" w:cs="宋体"/>
          <w:spacing w:val="-16"/>
          <w:sz w:val="27"/>
          <w:szCs w:val="27"/>
        </w:rPr>
        <w:t>明书、产品图册、培训教材等。</w:t>
      </w:r>
    </w:p>
    <w:p w14:paraId="391F5D0D">
      <w:pPr>
        <w:spacing w:line="223" w:lineRule="auto"/>
        <w:rPr>
          <w:rFonts w:ascii="黑体" w:hAnsi="黑体" w:eastAsia="黑体" w:cs="黑体"/>
          <w:sz w:val="27"/>
          <w:szCs w:val="27"/>
        </w:rPr>
      </w:pPr>
      <w:r>
        <w:rPr>
          <w:rFonts w:ascii="黑体" w:hAnsi="黑体" w:eastAsia="黑体" w:cs="黑体"/>
          <w:spacing w:val="2"/>
          <w:sz w:val="27"/>
          <w:szCs w:val="27"/>
        </w:rPr>
        <w:t>6.4.5</w:t>
      </w:r>
      <w:r>
        <w:rPr>
          <w:rFonts w:ascii="黑体" w:hAnsi="黑体" w:eastAsia="黑体" w:cs="黑体"/>
          <w:spacing w:val="24"/>
          <w:sz w:val="27"/>
          <w:szCs w:val="27"/>
        </w:rPr>
        <w:t xml:space="preserve">  </w:t>
      </w:r>
      <w:r>
        <w:rPr>
          <w:rFonts w:ascii="黑体" w:hAnsi="黑体" w:eastAsia="黑体" w:cs="黑体"/>
          <w:spacing w:val="2"/>
          <w:sz w:val="27"/>
          <w:szCs w:val="27"/>
        </w:rPr>
        <w:t>训练与训练保障</w:t>
      </w:r>
    </w:p>
    <w:p w14:paraId="5292C814">
      <w:pPr>
        <w:spacing w:before="103" w:line="219" w:lineRule="auto"/>
        <w:ind w:left="570"/>
        <w:rPr>
          <w:rFonts w:ascii="宋体" w:hAnsi="宋体" w:eastAsia="宋体" w:cs="宋体"/>
          <w:sz w:val="27"/>
          <w:szCs w:val="27"/>
        </w:rPr>
      </w:pPr>
      <w:r>
        <w:rPr>
          <w:rFonts w:ascii="宋体" w:hAnsi="宋体" w:eastAsia="宋体" w:cs="宋体"/>
          <w:spacing w:val="3"/>
          <w:sz w:val="27"/>
          <w:szCs w:val="27"/>
        </w:rPr>
        <w:t>对改装后的部队训练与训练保障进行说明。</w:t>
      </w:r>
    </w:p>
    <w:p w14:paraId="4BE91EFE">
      <w:pPr>
        <w:spacing w:before="68" w:line="221" w:lineRule="auto"/>
        <w:rPr>
          <w:rFonts w:ascii="黑体" w:hAnsi="黑体" w:eastAsia="黑体" w:cs="黑体"/>
          <w:sz w:val="27"/>
          <w:szCs w:val="27"/>
        </w:rPr>
      </w:pPr>
      <w:r>
        <w:rPr>
          <w:rFonts w:ascii="黑体" w:hAnsi="黑体" w:eastAsia="黑体" w:cs="黑体"/>
          <w:spacing w:val="2"/>
          <w:sz w:val="27"/>
          <w:szCs w:val="27"/>
        </w:rPr>
        <w:t>6.4.6</w:t>
      </w:r>
      <w:r>
        <w:rPr>
          <w:rFonts w:ascii="黑体" w:hAnsi="黑体" w:eastAsia="黑体" w:cs="黑体"/>
          <w:spacing w:val="24"/>
          <w:sz w:val="27"/>
          <w:szCs w:val="27"/>
        </w:rPr>
        <w:t xml:space="preserve">  </w:t>
      </w:r>
      <w:r>
        <w:rPr>
          <w:rFonts w:ascii="黑体" w:hAnsi="黑体" w:eastAsia="黑体" w:cs="黑体"/>
          <w:spacing w:val="2"/>
          <w:sz w:val="27"/>
          <w:szCs w:val="27"/>
        </w:rPr>
        <w:t>计算机资源保障</w:t>
      </w:r>
    </w:p>
    <w:p w14:paraId="4ED784B2">
      <w:pPr>
        <w:spacing w:before="87" w:line="219" w:lineRule="auto"/>
        <w:ind w:left="570"/>
        <w:rPr>
          <w:rFonts w:ascii="宋体" w:hAnsi="宋体" w:eastAsia="宋体" w:cs="宋体"/>
          <w:sz w:val="27"/>
          <w:szCs w:val="27"/>
        </w:rPr>
      </w:pPr>
      <w:r>
        <w:rPr>
          <w:rFonts w:ascii="宋体" w:hAnsi="宋体" w:eastAsia="宋体" w:cs="宋体"/>
          <w:spacing w:val="4"/>
          <w:sz w:val="27"/>
          <w:szCs w:val="27"/>
        </w:rPr>
        <w:t>对改装后所需计算机资源保障进行说明。</w:t>
      </w:r>
    </w:p>
    <w:p w14:paraId="77DC4F05">
      <w:pPr>
        <w:spacing w:before="109" w:line="222" w:lineRule="auto"/>
        <w:rPr>
          <w:rFonts w:ascii="黑体" w:hAnsi="黑体" w:eastAsia="黑体" w:cs="黑体"/>
          <w:sz w:val="24"/>
          <w:szCs w:val="24"/>
        </w:rPr>
      </w:pPr>
      <w:r>
        <w:rPr>
          <w:rFonts w:ascii="黑体" w:hAnsi="黑体" w:eastAsia="黑体" w:cs="黑体"/>
          <w:spacing w:val="18"/>
          <w:sz w:val="24"/>
          <w:szCs w:val="24"/>
        </w:rPr>
        <w:t>6.4.7</w:t>
      </w:r>
      <w:r>
        <w:rPr>
          <w:rFonts w:ascii="黑体" w:hAnsi="黑体" w:eastAsia="黑体" w:cs="黑体"/>
          <w:spacing w:val="59"/>
          <w:sz w:val="24"/>
          <w:szCs w:val="24"/>
        </w:rPr>
        <w:t xml:space="preserve">  </w:t>
      </w:r>
      <w:r>
        <w:rPr>
          <w:rFonts w:ascii="黑体" w:hAnsi="黑体" w:eastAsia="黑体" w:cs="黑体"/>
          <w:spacing w:val="18"/>
          <w:sz w:val="24"/>
          <w:szCs w:val="24"/>
        </w:rPr>
        <w:t>保障设施</w:t>
      </w:r>
    </w:p>
    <w:p w14:paraId="588A3874">
      <w:pPr>
        <w:spacing w:before="114" w:line="219" w:lineRule="auto"/>
        <w:ind w:left="570"/>
        <w:rPr>
          <w:rFonts w:ascii="宋体" w:hAnsi="宋体" w:eastAsia="宋体" w:cs="宋体"/>
          <w:sz w:val="27"/>
          <w:szCs w:val="27"/>
        </w:rPr>
      </w:pPr>
      <w:r>
        <w:rPr>
          <w:rFonts w:ascii="宋体" w:hAnsi="宋体" w:eastAsia="宋体" w:cs="宋体"/>
          <w:spacing w:val="3"/>
          <w:sz w:val="27"/>
          <w:szCs w:val="27"/>
        </w:rPr>
        <w:t>对改装后所需保障设施要求进行说明。</w:t>
      </w:r>
    </w:p>
    <w:p w14:paraId="1C48D824">
      <w:pPr>
        <w:spacing w:before="67" w:line="221" w:lineRule="auto"/>
        <w:rPr>
          <w:rFonts w:ascii="黑体" w:hAnsi="黑体" w:eastAsia="黑体" w:cs="黑体"/>
          <w:sz w:val="27"/>
          <w:szCs w:val="27"/>
        </w:rPr>
      </w:pPr>
      <w:r>
        <w:rPr>
          <w:rFonts w:ascii="黑体" w:hAnsi="黑体" w:eastAsia="黑体" w:cs="黑体"/>
          <w:spacing w:val="1"/>
          <w:sz w:val="27"/>
          <w:szCs w:val="27"/>
        </w:rPr>
        <w:t>6.5</w:t>
      </w:r>
      <w:r>
        <w:rPr>
          <w:rFonts w:ascii="黑体" w:hAnsi="黑体" w:eastAsia="黑体" w:cs="黑体"/>
          <w:spacing w:val="23"/>
          <w:sz w:val="27"/>
          <w:szCs w:val="27"/>
        </w:rPr>
        <w:t xml:space="preserve">  </w:t>
      </w:r>
      <w:r>
        <w:rPr>
          <w:rFonts w:ascii="黑体" w:hAnsi="黑体" w:eastAsia="黑体" w:cs="黑体"/>
          <w:spacing w:val="1"/>
          <w:sz w:val="27"/>
          <w:szCs w:val="27"/>
        </w:rPr>
        <w:t>安全性方案</w:t>
      </w:r>
    </w:p>
    <w:p w14:paraId="638F677E">
      <w:pPr>
        <w:spacing w:before="118" w:line="271" w:lineRule="auto"/>
        <w:ind w:firstLine="570"/>
        <w:jc w:val="both"/>
        <w:rPr>
          <w:rFonts w:ascii="宋体" w:hAnsi="宋体" w:eastAsia="宋体" w:cs="宋体"/>
          <w:sz w:val="27"/>
          <w:szCs w:val="27"/>
        </w:rPr>
      </w:pPr>
      <w:r>
        <w:rPr>
          <w:rFonts w:ascii="宋体" w:hAnsi="宋体" w:eastAsia="宋体" w:cs="宋体"/>
          <w:sz w:val="27"/>
          <w:szCs w:val="27"/>
        </w:rPr>
        <w:t>说明改装设备的安全性指标，改装后对平台安全性的影响。说明平台重量、</w:t>
      </w:r>
      <w:r>
        <w:rPr>
          <w:rFonts w:ascii="宋体" w:hAnsi="宋体" w:eastAsia="宋体" w:cs="宋体"/>
          <w:spacing w:val="13"/>
          <w:sz w:val="27"/>
          <w:szCs w:val="27"/>
        </w:rPr>
        <w:t xml:space="preserve"> </w:t>
      </w:r>
      <w:r>
        <w:rPr>
          <w:rFonts w:ascii="宋体" w:hAnsi="宋体" w:eastAsia="宋体" w:cs="宋体"/>
          <w:spacing w:val="-2"/>
          <w:sz w:val="27"/>
          <w:szCs w:val="27"/>
        </w:rPr>
        <w:t>重心变化对操作稳定性的影响，平台外部改变(如加装天线、</w:t>
      </w:r>
      <w:r>
        <w:rPr>
          <w:rFonts w:ascii="宋体" w:hAnsi="宋体" w:eastAsia="宋体" w:cs="宋体"/>
          <w:spacing w:val="-3"/>
          <w:sz w:val="27"/>
          <w:szCs w:val="27"/>
        </w:rPr>
        <w:t>外部加装设备)导致</w:t>
      </w:r>
      <w:r>
        <w:rPr>
          <w:rFonts w:ascii="宋体" w:hAnsi="宋体" w:eastAsia="宋体" w:cs="宋体"/>
          <w:sz w:val="27"/>
          <w:szCs w:val="27"/>
        </w:rPr>
        <w:t xml:space="preserve">  </w:t>
      </w:r>
      <w:r>
        <w:rPr>
          <w:rFonts w:ascii="宋体" w:hAnsi="宋体" w:eastAsia="宋体" w:cs="宋体"/>
          <w:spacing w:val="-8"/>
          <w:sz w:val="27"/>
          <w:szCs w:val="27"/>
        </w:rPr>
        <w:t>气动特性变化对安全性的影响，确保结构安全、用电安全、运行安全</w:t>
      </w:r>
      <w:r>
        <w:rPr>
          <w:rFonts w:ascii="宋体" w:hAnsi="宋体" w:eastAsia="宋体" w:cs="宋体"/>
          <w:spacing w:val="-9"/>
          <w:sz w:val="27"/>
          <w:szCs w:val="27"/>
        </w:rPr>
        <w:t>等。</w:t>
      </w:r>
    </w:p>
    <w:p w14:paraId="5488EF9E">
      <w:pPr>
        <w:pStyle w:val="2"/>
        <w:spacing w:before="1" w:line="220" w:lineRule="auto"/>
        <w:rPr>
          <w:rFonts w:ascii="黑体" w:hAnsi="黑体" w:eastAsia="黑体" w:cs="黑体"/>
          <w:sz w:val="27"/>
          <w:szCs w:val="27"/>
        </w:rPr>
      </w:pPr>
      <w:r>
        <w:rPr>
          <w:spacing w:val="2"/>
          <w:sz w:val="27"/>
          <w:szCs w:val="27"/>
        </w:rPr>
        <w:t xml:space="preserve">7    </w:t>
      </w:r>
      <w:r>
        <w:rPr>
          <w:rFonts w:ascii="黑体" w:hAnsi="黑体" w:eastAsia="黑体" w:cs="黑体"/>
          <w:spacing w:val="2"/>
          <w:sz w:val="27"/>
          <w:szCs w:val="27"/>
        </w:rPr>
        <w:t>改装后检查与试验</w:t>
      </w:r>
    </w:p>
    <w:p w14:paraId="3AEF232D">
      <w:pPr>
        <w:spacing w:before="107" w:line="222" w:lineRule="auto"/>
        <w:rPr>
          <w:rFonts w:ascii="黑体" w:hAnsi="黑体" w:eastAsia="黑体" w:cs="黑体"/>
          <w:sz w:val="25"/>
          <w:szCs w:val="25"/>
        </w:rPr>
      </w:pPr>
      <w:r>
        <w:rPr>
          <w:rFonts w:ascii="黑体" w:hAnsi="黑体" w:eastAsia="黑体" w:cs="黑体"/>
          <w:spacing w:val="13"/>
          <w:sz w:val="25"/>
          <w:szCs w:val="25"/>
        </w:rPr>
        <w:t>7.1</w:t>
      </w:r>
      <w:r>
        <w:rPr>
          <w:rFonts w:ascii="黑体" w:hAnsi="黑体" w:eastAsia="黑体" w:cs="黑体"/>
          <w:spacing w:val="50"/>
          <w:sz w:val="25"/>
          <w:szCs w:val="25"/>
        </w:rPr>
        <w:t xml:space="preserve">  </w:t>
      </w:r>
      <w:r>
        <w:rPr>
          <w:rFonts w:ascii="黑体" w:hAnsi="黑体" w:eastAsia="黑体" w:cs="黑体"/>
          <w:spacing w:val="13"/>
          <w:sz w:val="25"/>
          <w:szCs w:val="25"/>
        </w:rPr>
        <w:t>改装后检查</w:t>
      </w:r>
    </w:p>
    <w:p w14:paraId="72AAAC50">
      <w:pPr>
        <w:spacing w:line="222" w:lineRule="auto"/>
        <w:rPr>
          <w:rFonts w:ascii="黑体" w:hAnsi="黑体" w:eastAsia="黑体" w:cs="黑体"/>
          <w:sz w:val="25"/>
          <w:szCs w:val="25"/>
        </w:rPr>
        <w:sectPr>
          <w:footerReference r:id="rId119" w:type="default"/>
          <w:pgSz w:w="11910" w:h="17130"/>
          <w:pgMar w:top="400" w:right="985" w:bottom="1539" w:left="1430" w:header="0" w:footer="1359" w:gutter="0"/>
          <w:cols w:space="720" w:num="1"/>
        </w:sectPr>
      </w:pPr>
    </w:p>
    <w:p w14:paraId="15207712">
      <w:pPr>
        <w:pStyle w:val="2"/>
        <w:spacing w:line="277" w:lineRule="auto"/>
      </w:pPr>
    </w:p>
    <w:p w14:paraId="1890B697">
      <w:pPr>
        <w:pStyle w:val="2"/>
        <w:spacing w:line="277" w:lineRule="auto"/>
      </w:pPr>
    </w:p>
    <w:p w14:paraId="7F134470">
      <w:pPr>
        <w:pStyle w:val="2"/>
        <w:spacing w:line="278" w:lineRule="auto"/>
      </w:pPr>
    </w:p>
    <w:p w14:paraId="2D41C401">
      <w:pPr>
        <w:pStyle w:val="2"/>
        <w:spacing w:line="278" w:lineRule="auto"/>
      </w:pPr>
    </w:p>
    <w:p w14:paraId="6C924FB8">
      <w:pPr>
        <w:spacing w:before="78" w:line="222" w:lineRule="auto"/>
        <w:rPr>
          <w:rFonts w:ascii="黑体" w:hAnsi="黑体" w:eastAsia="黑体" w:cs="黑体"/>
          <w:sz w:val="24"/>
          <w:szCs w:val="24"/>
        </w:rPr>
      </w:pPr>
      <w:bookmarkStart w:id="68" w:name="bookmark340"/>
      <w:bookmarkEnd w:id="68"/>
      <w:r>
        <w:rPr>
          <w:rFonts w:ascii="黑体" w:hAnsi="黑体" w:eastAsia="黑体" w:cs="黑体"/>
          <w:spacing w:val="13"/>
          <w:sz w:val="24"/>
          <w:szCs w:val="24"/>
        </w:rPr>
        <w:t>7.1.</w:t>
      </w:r>
      <w:r>
        <w:rPr>
          <w:rFonts w:ascii="黑体" w:hAnsi="黑体" w:eastAsia="黑体" w:cs="黑体"/>
          <w:spacing w:val="-47"/>
          <w:sz w:val="24"/>
          <w:szCs w:val="24"/>
        </w:rPr>
        <w:t xml:space="preserve"> </w:t>
      </w:r>
      <w:r>
        <w:rPr>
          <w:rFonts w:ascii="黑体" w:hAnsi="黑体" w:eastAsia="黑体" w:cs="黑体"/>
          <w:b/>
          <w:bCs/>
          <w:spacing w:val="13"/>
          <w:sz w:val="24"/>
          <w:szCs w:val="24"/>
        </w:rPr>
        <w:t>1</w:t>
      </w:r>
      <w:r>
        <w:rPr>
          <w:rFonts w:ascii="黑体" w:hAnsi="黑体" w:eastAsia="黑体" w:cs="黑体"/>
          <w:spacing w:val="46"/>
          <w:sz w:val="24"/>
          <w:szCs w:val="24"/>
        </w:rPr>
        <w:t xml:space="preserve">  </w:t>
      </w:r>
      <w:r>
        <w:rPr>
          <w:rFonts w:ascii="黑体" w:hAnsi="黑体" w:eastAsia="黑体" w:cs="黑体"/>
          <w:b/>
          <w:bCs/>
          <w:spacing w:val="13"/>
          <w:sz w:val="24"/>
          <w:szCs w:val="24"/>
        </w:rPr>
        <w:t>设备安装检查</w:t>
      </w:r>
    </w:p>
    <w:p w14:paraId="324F4861">
      <w:pPr>
        <w:spacing w:before="86" w:line="290" w:lineRule="auto"/>
        <w:ind w:right="93" w:firstLine="550"/>
        <w:rPr>
          <w:rFonts w:ascii="宋体" w:hAnsi="宋体" w:eastAsia="宋体" w:cs="宋体"/>
          <w:sz w:val="27"/>
          <w:szCs w:val="27"/>
        </w:rPr>
      </w:pPr>
      <w:r>
        <w:rPr>
          <w:rFonts w:ascii="宋体" w:hAnsi="宋体" w:eastAsia="宋体" w:cs="宋体"/>
          <w:spacing w:val="2"/>
          <w:sz w:val="27"/>
          <w:szCs w:val="27"/>
        </w:rPr>
        <w:t>提出对改装设备安装情况(包括设备分机安装与固</w:t>
      </w:r>
      <w:r>
        <w:rPr>
          <w:rFonts w:ascii="宋体" w:hAnsi="宋体" w:eastAsia="宋体" w:cs="宋体"/>
          <w:spacing w:val="1"/>
          <w:sz w:val="27"/>
          <w:szCs w:val="27"/>
        </w:rPr>
        <w:t>定、电缆敷设与固定、穿</w:t>
      </w:r>
      <w:r>
        <w:rPr>
          <w:rFonts w:ascii="宋体" w:hAnsi="宋体" w:eastAsia="宋体" w:cs="宋体"/>
          <w:sz w:val="27"/>
          <w:szCs w:val="27"/>
        </w:rPr>
        <w:t xml:space="preserve"> </w:t>
      </w:r>
      <w:r>
        <w:rPr>
          <w:rFonts w:ascii="宋体" w:hAnsi="宋体" w:eastAsia="宋体" w:cs="宋体"/>
          <w:spacing w:val="-5"/>
          <w:sz w:val="27"/>
          <w:szCs w:val="27"/>
        </w:rPr>
        <w:t>舱密封等)进行检查的要求，说明检查内容、检查方法和合格判据。</w:t>
      </w:r>
    </w:p>
    <w:p w14:paraId="67542B4D">
      <w:pPr>
        <w:spacing w:before="5" w:line="219" w:lineRule="auto"/>
        <w:rPr>
          <w:rFonts w:ascii="黑体" w:hAnsi="黑体" w:eastAsia="黑体" w:cs="黑体"/>
          <w:sz w:val="24"/>
          <w:szCs w:val="24"/>
        </w:rPr>
      </w:pPr>
      <w:r>
        <w:rPr>
          <w:rFonts w:ascii="黑体" w:hAnsi="黑体" w:eastAsia="黑体" w:cs="黑体"/>
          <w:spacing w:val="16"/>
          <w:sz w:val="24"/>
          <w:szCs w:val="24"/>
        </w:rPr>
        <w:t>7.1.2</w:t>
      </w:r>
      <w:r>
        <w:rPr>
          <w:rFonts w:ascii="黑体" w:hAnsi="黑体" w:eastAsia="黑体" w:cs="黑体"/>
          <w:spacing w:val="4"/>
          <w:sz w:val="24"/>
          <w:szCs w:val="24"/>
        </w:rPr>
        <w:t xml:space="preserve">   </w:t>
      </w:r>
      <w:r>
        <w:rPr>
          <w:rFonts w:ascii="黑体" w:hAnsi="黑体" w:eastAsia="黑体" w:cs="黑体"/>
          <w:b/>
          <w:bCs/>
          <w:spacing w:val="16"/>
          <w:sz w:val="24"/>
          <w:szCs w:val="24"/>
        </w:rPr>
        <w:t>线路导通检查</w:t>
      </w:r>
    </w:p>
    <w:p w14:paraId="4CCFC828">
      <w:pPr>
        <w:spacing w:before="91" w:line="296" w:lineRule="auto"/>
        <w:ind w:right="103" w:firstLine="550"/>
        <w:rPr>
          <w:rFonts w:ascii="宋体" w:hAnsi="宋体" w:eastAsia="宋体" w:cs="宋体"/>
          <w:sz w:val="27"/>
          <w:szCs w:val="27"/>
        </w:rPr>
      </w:pPr>
      <w:r>
        <w:rPr>
          <w:rFonts w:ascii="宋体" w:hAnsi="宋体" w:eastAsia="宋体" w:cs="宋体"/>
          <w:spacing w:val="5"/>
          <w:sz w:val="27"/>
          <w:szCs w:val="27"/>
        </w:rPr>
        <w:t>提出对改装设备电缆(特别是供电控制关系)进行导通检查的要求，说明检</w:t>
      </w:r>
      <w:r>
        <w:rPr>
          <w:rFonts w:ascii="宋体" w:hAnsi="宋体" w:eastAsia="宋体" w:cs="宋体"/>
          <w:spacing w:val="15"/>
          <w:sz w:val="27"/>
          <w:szCs w:val="27"/>
        </w:rPr>
        <w:t xml:space="preserve"> </w:t>
      </w:r>
      <w:r>
        <w:rPr>
          <w:rFonts w:ascii="宋体" w:hAnsi="宋体" w:eastAsia="宋体" w:cs="宋体"/>
          <w:spacing w:val="-7"/>
          <w:sz w:val="27"/>
          <w:szCs w:val="27"/>
        </w:rPr>
        <w:t>查内容、检查方法和合格判据。</w:t>
      </w:r>
    </w:p>
    <w:p w14:paraId="138CE873">
      <w:pPr>
        <w:spacing w:before="1" w:line="220" w:lineRule="auto"/>
        <w:rPr>
          <w:rFonts w:ascii="黑体" w:hAnsi="黑体" w:eastAsia="黑体" w:cs="黑体"/>
          <w:sz w:val="25"/>
          <w:szCs w:val="25"/>
        </w:rPr>
      </w:pPr>
      <w:r>
        <w:rPr>
          <w:rFonts w:ascii="黑体" w:hAnsi="黑体" w:eastAsia="黑体" w:cs="黑体"/>
          <w:spacing w:val="11"/>
          <w:sz w:val="25"/>
          <w:szCs w:val="25"/>
        </w:rPr>
        <w:t>7.2</w:t>
      </w:r>
      <w:r>
        <w:rPr>
          <w:rFonts w:ascii="黑体" w:hAnsi="黑体" w:eastAsia="黑体" w:cs="黑体"/>
          <w:spacing w:val="44"/>
          <w:sz w:val="25"/>
          <w:szCs w:val="25"/>
        </w:rPr>
        <w:t xml:space="preserve">  </w:t>
      </w:r>
      <w:r>
        <w:rPr>
          <w:rFonts w:ascii="黑体" w:hAnsi="黑体" w:eastAsia="黑体" w:cs="黑体"/>
          <w:b/>
          <w:bCs/>
          <w:spacing w:val="11"/>
          <w:sz w:val="25"/>
          <w:szCs w:val="25"/>
        </w:rPr>
        <w:t>改装后试验</w:t>
      </w:r>
    </w:p>
    <w:p w14:paraId="44BDC82B">
      <w:pPr>
        <w:spacing w:before="70" w:line="221" w:lineRule="auto"/>
        <w:rPr>
          <w:rFonts w:ascii="黑体" w:hAnsi="黑体" w:eastAsia="黑体" w:cs="黑体"/>
          <w:sz w:val="27"/>
          <w:szCs w:val="27"/>
        </w:rPr>
      </w:pPr>
      <w:r>
        <w:rPr>
          <w:rFonts w:ascii="黑体" w:hAnsi="黑体" w:eastAsia="黑体" w:cs="黑体"/>
          <w:spacing w:val="-2"/>
          <w:sz w:val="27"/>
          <w:szCs w:val="27"/>
        </w:rPr>
        <w:t>7.2.1</w:t>
      </w:r>
      <w:r>
        <w:rPr>
          <w:rFonts w:ascii="黑体" w:hAnsi="黑体" w:eastAsia="黑体" w:cs="黑体"/>
          <w:spacing w:val="22"/>
          <w:sz w:val="27"/>
          <w:szCs w:val="27"/>
        </w:rPr>
        <w:t xml:space="preserve">  </w:t>
      </w:r>
      <w:r>
        <w:rPr>
          <w:rFonts w:ascii="黑体" w:hAnsi="黑体" w:eastAsia="黑体" w:cs="黑体"/>
          <w:b/>
          <w:bCs/>
          <w:spacing w:val="-2"/>
          <w:sz w:val="27"/>
          <w:szCs w:val="27"/>
        </w:rPr>
        <w:t>单设备通电试验</w:t>
      </w:r>
    </w:p>
    <w:p w14:paraId="50BB02A3">
      <w:pPr>
        <w:spacing w:before="83" w:line="295" w:lineRule="auto"/>
        <w:ind w:right="104" w:firstLine="550"/>
        <w:rPr>
          <w:rFonts w:ascii="宋体" w:hAnsi="宋体" w:eastAsia="宋体" w:cs="宋体"/>
          <w:sz w:val="27"/>
          <w:szCs w:val="27"/>
        </w:rPr>
      </w:pPr>
      <w:r>
        <w:rPr>
          <w:rFonts w:ascii="宋体" w:hAnsi="宋体" w:eastAsia="宋体" w:cs="宋体"/>
          <w:spacing w:val="-3"/>
          <w:sz w:val="27"/>
          <w:szCs w:val="27"/>
        </w:rPr>
        <w:t>在平台其他设备断电条件下，对改装设备进行通电试验，说明试验内容、试</w:t>
      </w:r>
      <w:r>
        <w:rPr>
          <w:rFonts w:ascii="宋体" w:hAnsi="宋体" w:eastAsia="宋体" w:cs="宋体"/>
          <w:spacing w:val="8"/>
          <w:sz w:val="27"/>
          <w:szCs w:val="27"/>
        </w:rPr>
        <w:t xml:space="preserve"> </w:t>
      </w:r>
      <w:r>
        <w:rPr>
          <w:rFonts w:ascii="宋体" w:hAnsi="宋体" w:eastAsia="宋体" w:cs="宋体"/>
          <w:spacing w:val="-13"/>
          <w:sz w:val="27"/>
          <w:szCs w:val="27"/>
        </w:rPr>
        <w:t>验方法、合格判据。</w:t>
      </w:r>
    </w:p>
    <w:p w14:paraId="679C2719">
      <w:pPr>
        <w:spacing w:before="1" w:line="220" w:lineRule="auto"/>
        <w:rPr>
          <w:rFonts w:ascii="黑体" w:hAnsi="黑体" w:eastAsia="黑体" w:cs="黑体"/>
          <w:sz w:val="25"/>
          <w:szCs w:val="25"/>
        </w:rPr>
      </w:pPr>
      <w:r>
        <w:rPr>
          <w:rFonts w:ascii="黑体" w:hAnsi="黑体" w:eastAsia="黑体" w:cs="黑体"/>
          <w:spacing w:val="11"/>
          <w:sz w:val="25"/>
          <w:szCs w:val="25"/>
        </w:rPr>
        <w:t>7.2.2</w:t>
      </w:r>
      <w:r>
        <w:rPr>
          <w:rFonts w:ascii="黑体" w:hAnsi="黑体" w:eastAsia="黑体" w:cs="黑体"/>
          <w:spacing w:val="49"/>
          <w:sz w:val="25"/>
          <w:szCs w:val="25"/>
        </w:rPr>
        <w:t xml:space="preserve">  </w:t>
      </w:r>
      <w:r>
        <w:rPr>
          <w:rFonts w:ascii="黑体" w:hAnsi="黑体" w:eastAsia="黑体" w:cs="黑体"/>
          <w:b/>
          <w:bCs/>
          <w:spacing w:val="11"/>
          <w:sz w:val="25"/>
          <w:szCs w:val="25"/>
        </w:rPr>
        <w:t>全系统通电试验</w:t>
      </w:r>
    </w:p>
    <w:p w14:paraId="467A02EC">
      <w:pPr>
        <w:spacing w:before="98" w:line="278" w:lineRule="auto"/>
        <w:ind w:right="104" w:firstLine="550"/>
        <w:rPr>
          <w:rFonts w:ascii="宋体" w:hAnsi="宋体" w:eastAsia="宋体" w:cs="宋体"/>
          <w:sz w:val="27"/>
          <w:szCs w:val="27"/>
        </w:rPr>
      </w:pPr>
      <w:r>
        <w:rPr>
          <w:rFonts w:ascii="宋体" w:hAnsi="宋体" w:eastAsia="宋体" w:cs="宋体"/>
          <w:spacing w:val="-3"/>
          <w:sz w:val="27"/>
          <w:szCs w:val="27"/>
        </w:rPr>
        <w:t>在改装设备通电试验正常的情况下，逐个对平台其他设备加电，进行通电试</w:t>
      </w:r>
      <w:r>
        <w:rPr>
          <w:rFonts w:ascii="宋体" w:hAnsi="宋体" w:eastAsia="宋体" w:cs="宋体"/>
          <w:spacing w:val="8"/>
          <w:sz w:val="27"/>
          <w:szCs w:val="27"/>
        </w:rPr>
        <w:t xml:space="preserve"> </w:t>
      </w:r>
      <w:r>
        <w:rPr>
          <w:rFonts w:ascii="宋体" w:hAnsi="宋体" w:eastAsia="宋体" w:cs="宋体"/>
          <w:spacing w:val="-14"/>
          <w:sz w:val="27"/>
          <w:szCs w:val="27"/>
        </w:rPr>
        <w:t>验，说明试验内容、试验方法、合格判据，最后实现</w:t>
      </w:r>
      <w:r>
        <w:rPr>
          <w:rFonts w:ascii="宋体" w:hAnsi="宋体" w:eastAsia="宋体" w:cs="宋体"/>
          <w:spacing w:val="-15"/>
          <w:sz w:val="27"/>
          <w:szCs w:val="27"/>
        </w:rPr>
        <w:t>全系统通电。</w:t>
      </w:r>
    </w:p>
    <w:p w14:paraId="58434B92">
      <w:pPr>
        <w:pStyle w:val="2"/>
        <w:spacing w:before="2" w:line="220" w:lineRule="auto"/>
        <w:rPr>
          <w:rFonts w:ascii="黑体" w:hAnsi="黑体" w:eastAsia="黑体" w:cs="黑体"/>
          <w:sz w:val="27"/>
          <w:szCs w:val="27"/>
        </w:rPr>
      </w:pPr>
      <w:r>
        <w:rPr>
          <w:b/>
          <w:bCs/>
          <w:spacing w:val="-2"/>
          <w:sz w:val="27"/>
          <w:szCs w:val="27"/>
        </w:rPr>
        <w:t xml:space="preserve">7.2.3     </w:t>
      </w:r>
      <w:r>
        <w:rPr>
          <w:rFonts w:ascii="黑体" w:hAnsi="黑体" w:eastAsia="黑体" w:cs="黑体"/>
          <w:b/>
          <w:bCs/>
          <w:spacing w:val="-2"/>
          <w:sz w:val="27"/>
          <w:szCs w:val="27"/>
        </w:rPr>
        <w:t>电磁兼容性定性试验</w:t>
      </w:r>
    </w:p>
    <w:p w14:paraId="37449F11">
      <w:pPr>
        <w:spacing w:before="83" w:line="292" w:lineRule="auto"/>
        <w:ind w:right="78" w:firstLine="550"/>
        <w:rPr>
          <w:rFonts w:ascii="宋体" w:hAnsi="宋体" w:eastAsia="宋体" w:cs="宋体"/>
          <w:sz w:val="27"/>
          <w:szCs w:val="27"/>
        </w:rPr>
      </w:pPr>
      <w:r>
        <w:rPr>
          <w:rFonts w:ascii="宋体" w:hAnsi="宋体" w:eastAsia="宋体" w:cs="宋体"/>
          <w:spacing w:val="6"/>
          <w:sz w:val="27"/>
          <w:szCs w:val="27"/>
        </w:rPr>
        <w:t>在平台所有设备通电情况下，进行电磁兼容性定性试验检查，说明试验内</w:t>
      </w:r>
      <w:r>
        <w:rPr>
          <w:rFonts w:ascii="宋体" w:hAnsi="宋体" w:eastAsia="宋体" w:cs="宋体"/>
          <w:spacing w:val="13"/>
          <w:sz w:val="27"/>
          <w:szCs w:val="27"/>
        </w:rPr>
        <w:t xml:space="preserve"> </w:t>
      </w:r>
      <w:r>
        <w:rPr>
          <w:rFonts w:ascii="宋体" w:hAnsi="宋体" w:eastAsia="宋体" w:cs="宋体"/>
          <w:spacing w:val="-14"/>
          <w:sz w:val="27"/>
          <w:szCs w:val="27"/>
        </w:rPr>
        <w:t>容、试验方法、合格判据，确保所有设备兼容工作。</w:t>
      </w:r>
    </w:p>
    <w:p w14:paraId="2B48E10E">
      <w:pPr>
        <w:spacing w:before="1" w:line="221" w:lineRule="auto"/>
        <w:rPr>
          <w:rFonts w:ascii="黑体" w:hAnsi="黑体" w:eastAsia="黑体" w:cs="黑体"/>
          <w:sz w:val="25"/>
          <w:szCs w:val="25"/>
        </w:rPr>
      </w:pPr>
      <w:r>
        <w:rPr>
          <w:rFonts w:ascii="黑体" w:hAnsi="黑体" w:eastAsia="黑体" w:cs="黑体"/>
          <w:spacing w:val="11"/>
          <w:sz w:val="25"/>
          <w:szCs w:val="25"/>
        </w:rPr>
        <w:t>7.3</w:t>
      </w:r>
      <w:r>
        <w:rPr>
          <w:rFonts w:ascii="黑体" w:hAnsi="黑体" w:eastAsia="黑体" w:cs="黑体"/>
          <w:spacing w:val="45"/>
          <w:sz w:val="25"/>
          <w:szCs w:val="25"/>
        </w:rPr>
        <w:t xml:space="preserve">  </w:t>
      </w:r>
      <w:r>
        <w:rPr>
          <w:rFonts w:ascii="黑体" w:hAnsi="黑体" w:eastAsia="黑体" w:cs="黑体"/>
          <w:b/>
          <w:bCs/>
          <w:spacing w:val="11"/>
          <w:sz w:val="25"/>
          <w:szCs w:val="25"/>
        </w:rPr>
        <w:t>改装验收</w:t>
      </w:r>
    </w:p>
    <w:p w14:paraId="13274212">
      <w:pPr>
        <w:spacing w:before="135" w:line="297" w:lineRule="auto"/>
        <w:ind w:right="104" w:firstLine="550"/>
        <w:rPr>
          <w:rFonts w:ascii="宋体" w:hAnsi="宋体" w:eastAsia="宋体" w:cs="宋体"/>
          <w:sz w:val="25"/>
          <w:szCs w:val="25"/>
        </w:rPr>
      </w:pPr>
      <w:r>
        <w:rPr>
          <w:rFonts w:ascii="宋体" w:hAnsi="宋体" w:eastAsia="宋体" w:cs="宋体"/>
          <w:spacing w:val="25"/>
          <w:sz w:val="25"/>
          <w:szCs w:val="25"/>
        </w:rPr>
        <w:t>在完成改装后的各项试验后，改装工作组向部队(或其他用户</w:t>
      </w:r>
      <w:r>
        <w:rPr>
          <w:rFonts w:ascii="宋体" w:hAnsi="宋体" w:eastAsia="宋体" w:cs="宋体"/>
          <w:spacing w:val="24"/>
          <w:sz w:val="25"/>
          <w:szCs w:val="25"/>
        </w:rPr>
        <w:t>)提出改装验</w:t>
      </w:r>
      <w:r>
        <w:rPr>
          <w:rFonts w:ascii="宋体" w:hAnsi="宋体" w:eastAsia="宋体" w:cs="宋体"/>
          <w:sz w:val="25"/>
          <w:szCs w:val="25"/>
        </w:rPr>
        <w:t xml:space="preserve"> </w:t>
      </w:r>
      <w:r>
        <w:rPr>
          <w:rFonts w:ascii="宋体" w:hAnsi="宋体" w:eastAsia="宋体" w:cs="宋体"/>
          <w:spacing w:val="10"/>
          <w:sz w:val="25"/>
          <w:szCs w:val="25"/>
        </w:rPr>
        <w:t>收要求，说明验收试验内容、试验方法和合格判据。</w:t>
      </w:r>
    </w:p>
    <w:p w14:paraId="6585F263">
      <w:pPr>
        <w:spacing w:before="20" w:line="221" w:lineRule="auto"/>
        <w:rPr>
          <w:rFonts w:ascii="黑体" w:hAnsi="黑体" w:eastAsia="黑体" w:cs="黑体"/>
          <w:sz w:val="27"/>
          <w:szCs w:val="27"/>
        </w:rPr>
      </w:pPr>
      <w:r>
        <w:rPr>
          <w:rFonts w:ascii="黑体" w:hAnsi="黑体" w:eastAsia="黑体" w:cs="黑体"/>
          <w:spacing w:val="1"/>
          <w:sz w:val="27"/>
          <w:szCs w:val="27"/>
        </w:rPr>
        <w:t>7.4</w:t>
      </w:r>
      <w:r>
        <w:rPr>
          <w:rFonts w:ascii="黑体" w:hAnsi="黑体" w:eastAsia="黑体" w:cs="黑体"/>
          <w:spacing w:val="21"/>
          <w:sz w:val="27"/>
          <w:szCs w:val="27"/>
        </w:rPr>
        <w:t xml:space="preserve">  </w:t>
      </w:r>
      <w:r>
        <w:rPr>
          <w:rFonts w:ascii="黑体" w:hAnsi="黑体" w:eastAsia="黑体" w:cs="黑体"/>
          <w:b/>
          <w:bCs/>
          <w:spacing w:val="1"/>
          <w:sz w:val="27"/>
          <w:szCs w:val="27"/>
        </w:rPr>
        <w:t>部队试验试用</w:t>
      </w:r>
    </w:p>
    <w:p w14:paraId="1DCA38BD">
      <w:pPr>
        <w:spacing w:before="133" w:line="296" w:lineRule="auto"/>
        <w:ind w:right="104" w:firstLine="550"/>
        <w:rPr>
          <w:rFonts w:ascii="宋体" w:hAnsi="宋体" w:eastAsia="宋体" w:cs="宋体"/>
          <w:sz w:val="27"/>
          <w:szCs w:val="27"/>
        </w:rPr>
      </w:pPr>
      <w:r>
        <w:rPr>
          <w:rFonts w:ascii="宋体" w:hAnsi="宋体" w:eastAsia="宋体" w:cs="宋体"/>
          <w:spacing w:val="-3"/>
          <w:sz w:val="27"/>
          <w:szCs w:val="27"/>
        </w:rPr>
        <w:t>通过改装验收后，由部队或用户单位进行试验试用。说明试验试用时间、试</w:t>
      </w:r>
      <w:r>
        <w:rPr>
          <w:rFonts w:ascii="宋体" w:hAnsi="宋体" w:eastAsia="宋体" w:cs="宋体"/>
          <w:spacing w:val="8"/>
          <w:sz w:val="27"/>
          <w:szCs w:val="27"/>
        </w:rPr>
        <w:t xml:space="preserve"> </w:t>
      </w:r>
      <w:r>
        <w:rPr>
          <w:rFonts w:ascii="宋体" w:hAnsi="宋体" w:eastAsia="宋体" w:cs="宋体"/>
          <w:spacing w:val="-3"/>
          <w:sz w:val="27"/>
          <w:szCs w:val="27"/>
        </w:rPr>
        <w:t>验试用内容、试验试用方法和合格判据。</w:t>
      </w:r>
    </w:p>
    <w:p w14:paraId="4163DD58">
      <w:pPr>
        <w:spacing w:before="28" w:line="222" w:lineRule="auto"/>
        <w:rPr>
          <w:rFonts w:ascii="黑体" w:hAnsi="黑体" w:eastAsia="黑体" w:cs="黑体"/>
          <w:sz w:val="27"/>
          <w:szCs w:val="27"/>
        </w:rPr>
      </w:pPr>
      <w:r>
        <w:rPr>
          <w:rFonts w:ascii="黑体" w:hAnsi="黑体" w:eastAsia="黑体" w:cs="黑体"/>
          <w:spacing w:val="1"/>
          <w:sz w:val="27"/>
          <w:szCs w:val="27"/>
        </w:rPr>
        <w:t>8</w:t>
      </w:r>
      <w:r>
        <w:rPr>
          <w:rFonts w:ascii="黑体" w:hAnsi="黑体" w:eastAsia="黑体" w:cs="黑体"/>
          <w:spacing w:val="28"/>
          <w:sz w:val="27"/>
          <w:szCs w:val="27"/>
        </w:rPr>
        <w:t xml:space="preserve">  </w:t>
      </w:r>
      <w:r>
        <w:rPr>
          <w:rFonts w:ascii="黑体" w:hAnsi="黑体" w:eastAsia="黑体" w:cs="黑体"/>
          <w:b/>
          <w:bCs/>
          <w:spacing w:val="1"/>
          <w:sz w:val="27"/>
          <w:szCs w:val="27"/>
        </w:rPr>
        <w:t>改装标识</w:t>
      </w:r>
    </w:p>
    <w:p w14:paraId="5E321C07">
      <w:pPr>
        <w:spacing w:before="140" w:line="275" w:lineRule="auto"/>
        <w:ind w:right="117" w:firstLine="550"/>
        <w:rPr>
          <w:rFonts w:ascii="宋体" w:hAnsi="宋体" w:eastAsia="宋体" w:cs="宋体"/>
          <w:sz w:val="27"/>
          <w:szCs w:val="27"/>
        </w:rPr>
      </w:pPr>
      <w:r>
        <w:rPr>
          <w:rFonts w:ascii="宋体" w:hAnsi="宋体" w:eastAsia="宋体" w:cs="宋体"/>
          <w:spacing w:val="5"/>
          <w:sz w:val="27"/>
          <w:szCs w:val="27"/>
        </w:rPr>
        <w:t>说明完成平台改装后需要在平台、改装设备上添加的执行标识和平台履历</w:t>
      </w:r>
      <w:r>
        <w:rPr>
          <w:rFonts w:ascii="宋体" w:hAnsi="宋体" w:eastAsia="宋体" w:cs="宋体"/>
          <w:spacing w:val="6"/>
          <w:sz w:val="27"/>
          <w:szCs w:val="27"/>
        </w:rPr>
        <w:t xml:space="preserve"> </w:t>
      </w:r>
      <w:r>
        <w:rPr>
          <w:rFonts w:ascii="宋体" w:hAnsi="宋体" w:eastAsia="宋体" w:cs="宋体"/>
          <w:spacing w:val="-8"/>
          <w:sz w:val="27"/>
          <w:szCs w:val="27"/>
        </w:rPr>
        <w:t>书、设备履历书上的执行标识。</w:t>
      </w:r>
    </w:p>
    <w:p w14:paraId="69400BB1">
      <w:pPr>
        <w:pStyle w:val="2"/>
        <w:spacing w:before="80" w:line="221" w:lineRule="auto"/>
        <w:rPr>
          <w:rFonts w:ascii="黑体" w:hAnsi="黑体" w:eastAsia="黑体" w:cs="黑体"/>
          <w:sz w:val="24"/>
          <w:szCs w:val="24"/>
        </w:rPr>
      </w:pPr>
      <w:r>
        <w:rPr>
          <w:b/>
          <w:bCs/>
          <w:spacing w:val="27"/>
          <w:sz w:val="24"/>
          <w:szCs w:val="24"/>
        </w:rPr>
        <w:t>9</w:t>
      </w:r>
      <w:r>
        <w:rPr>
          <w:b/>
          <w:bCs/>
          <w:spacing w:val="1"/>
          <w:sz w:val="24"/>
          <w:szCs w:val="24"/>
        </w:rPr>
        <w:t xml:space="preserve">     </w:t>
      </w:r>
      <w:r>
        <w:rPr>
          <w:rFonts w:ascii="黑体" w:hAnsi="黑体" w:eastAsia="黑体" w:cs="黑体"/>
          <w:b/>
          <w:bCs/>
          <w:spacing w:val="27"/>
          <w:sz w:val="24"/>
          <w:szCs w:val="24"/>
        </w:rPr>
        <w:t>改装试验试用后的恢复</w:t>
      </w:r>
    </w:p>
    <w:p w14:paraId="72346B05">
      <w:pPr>
        <w:spacing w:before="158" w:line="279" w:lineRule="auto"/>
        <w:ind w:firstLine="550"/>
        <w:rPr>
          <w:rFonts w:ascii="宋体" w:hAnsi="宋体" w:eastAsia="宋体" w:cs="宋体"/>
          <w:sz w:val="27"/>
          <w:szCs w:val="27"/>
        </w:rPr>
      </w:pPr>
      <w:r>
        <w:rPr>
          <w:rFonts w:ascii="宋体" w:hAnsi="宋体" w:eastAsia="宋体" w:cs="宋体"/>
          <w:spacing w:val="9"/>
          <w:sz w:val="27"/>
          <w:szCs w:val="27"/>
        </w:rPr>
        <w:t>说明改装设备在完成试验试用后是否必须进行恢复工作。如果需</w:t>
      </w:r>
      <w:r>
        <w:rPr>
          <w:rFonts w:ascii="宋体" w:hAnsi="宋体" w:eastAsia="宋体" w:cs="宋体"/>
          <w:spacing w:val="8"/>
          <w:sz w:val="27"/>
          <w:szCs w:val="27"/>
        </w:rPr>
        <w:t>要恢复，</w:t>
      </w:r>
      <w:r>
        <w:rPr>
          <w:rFonts w:ascii="宋体" w:hAnsi="宋体" w:eastAsia="宋体" w:cs="宋体"/>
          <w:sz w:val="27"/>
          <w:szCs w:val="27"/>
        </w:rPr>
        <w:t xml:space="preserve"> </w:t>
      </w:r>
      <w:r>
        <w:rPr>
          <w:rFonts w:ascii="宋体" w:hAnsi="宋体" w:eastAsia="宋体" w:cs="宋体"/>
          <w:spacing w:val="1"/>
          <w:sz w:val="27"/>
          <w:szCs w:val="27"/>
        </w:rPr>
        <w:t>说明恢复的工作内容和要求。</w:t>
      </w:r>
    </w:p>
    <w:p w14:paraId="167C184A">
      <w:pPr>
        <w:spacing w:before="1" w:line="221" w:lineRule="auto"/>
        <w:rPr>
          <w:rFonts w:ascii="黑体" w:hAnsi="黑体" w:eastAsia="黑体" w:cs="黑体"/>
          <w:sz w:val="27"/>
          <w:szCs w:val="27"/>
        </w:rPr>
      </w:pPr>
      <w:r>
        <w:rPr>
          <w:rFonts w:ascii="黑体" w:hAnsi="黑体" w:eastAsia="黑体" w:cs="黑体"/>
          <w:spacing w:val="-5"/>
          <w:sz w:val="27"/>
          <w:szCs w:val="27"/>
        </w:rPr>
        <w:t>10</w:t>
      </w:r>
      <w:r>
        <w:rPr>
          <w:rFonts w:ascii="黑体" w:hAnsi="黑体" w:eastAsia="黑体" w:cs="黑体"/>
          <w:spacing w:val="19"/>
          <w:sz w:val="27"/>
          <w:szCs w:val="27"/>
        </w:rPr>
        <w:t xml:space="preserve">  </w:t>
      </w:r>
      <w:r>
        <w:rPr>
          <w:rFonts w:ascii="黑体" w:hAnsi="黑体" w:eastAsia="黑体" w:cs="黑体"/>
          <w:b/>
          <w:bCs/>
          <w:spacing w:val="-5"/>
          <w:sz w:val="27"/>
          <w:szCs w:val="27"/>
        </w:rPr>
        <w:t>改装进度安排</w:t>
      </w:r>
    </w:p>
    <w:p w14:paraId="60F37E6E">
      <w:pPr>
        <w:spacing w:before="76" w:line="222" w:lineRule="auto"/>
        <w:rPr>
          <w:rFonts w:ascii="黑体" w:hAnsi="黑体" w:eastAsia="黑体" w:cs="黑体"/>
          <w:sz w:val="27"/>
          <w:szCs w:val="27"/>
        </w:rPr>
      </w:pPr>
      <w:r>
        <w:rPr>
          <w:rFonts w:ascii="黑体" w:hAnsi="黑体" w:eastAsia="黑体" w:cs="黑体"/>
          <w:spacing w:val="-5"/>
          <w:sz w:val="27"/>
          <w:szCs w:val="27"/>
        </w:rPr>
        <w:t>10.1</w:t>
      </w:r>
      <w:r>
        <w:rPr>
          <w:rFonts w:ascii="黑体" w:hAnsi="黑体" w:eastAsia="黑体" w:cs="黑体"/>
          <w:spacing w:val="46"/>
          <w:sz w:val="27"/>
          <w:szCs w:val="27"/>
        </w:rPr>
        <w:t xml:space="preserve">  </w:t>
      </w:r>
      <w:r>
        <w:rPr>
          <w:rFonts w:ascii="黑体" w:hAnsi="黑体" w:eastAsia="黑体" w:cs="黑体"/>
          <w:b/>
          <w:bCs/>
          <w:spacing w:val="-5"/>
          <w:sz w:val="27"/>
          <w:szCs w:val="27"/>
        </w:rPr>
        <w:t>项目周期</w:t>
      </w:r>
    </w:p>
    <w:p w14:paraId="471F1624">
      <w:pPr>
        <w:spacing w:before="101" w:line="219" w:lineRule="auto"/>
        <w:ind w:left="550"/>
        <w:rPr>
          <w:rFonts w:ascii="宋体" w:hAnsi="宋体" w:eastAsia="宋体" w:cs="宋体"/>
          <w:sz w:val="27"/>
          <w:szCs w:val="27"/>
        </w:rPr>
      </w:pPr>
      <w:r>
        <w:rPr>
          <w:rFonts w:ascii="宋体" w:hAnsi="宋体" w:eastAsia="宋体" w:cs="宋体"/>
          <w:spacing w:val="1"/>
          <w:sz w:val="27"/>
          <w:szCs w:val="27"/>
        </w:rPr>
        <w:t>说明改装所需的总时间。</w:t>
      </w:r>
    </w:p>
    <w:p w14:paraId="19F5CA65">
      <w:pPr>
        <w:spacing w:before="123" w:line="222" w:lineRule="auto"/>
        <w:rPr>
          <w:rFonts w:ascii="黑体" w:hAnsi="黑体" w:eastAsia="黑体" w:cs="黑体"/>
          <w:sz w:val="24"/>
          <w:szCs w:val="24"/>
        </w:rPr>
      </w:pPr>
      <w:r>
        <w:rPr>
          <w:rFonts w:ascii="黑体" w:hAnsi="黑体" w:eastAsia="黑体" w:cs="黑体"/>
          <w:spacing w:val="16"/>
          <w:sz w:val="24"/>
          <w:szCs w:val="24"/>
        </w:rPr>
        <w:t>10.2</w:t>
      </w:r>
      <w:r>
        <w:rPr>
          <w:rFonts w:ascii="黑体" w:hAnsi="黑体" w:eastAsia="黑体" w:cs="黑体"/>
          <w:spacing w:val="2"/>
          <w:sz w:val="24"/>
          <w:szCs w:val="24"/>
        </w:rPr>
        <w:t xml:space="preserve">   </w:t>
      </w:r>
      <w:r>
        <w:rPr>
          <w:rFonts w:ascii="黑体" w:hAnsi="黑体" w:eastAsia="黑体" w:cs="黑体"/>
          <w:b/>
          <w:bCs/>
          <w:spacing w:val="16"/>
          <w:sz w:val="24"/>
          <w:szCs w:val="24"/>
        </w:rPr>
        <w:t>进度安排</w:t>
      </w:r>
    </w:p>
    <w:p w14:paraId="3401747E">
      <w:pPr>
        <w:spacing w:before="108" w:line="219" w:lineRule="auto"/>
        <w:ind w:left="550"/>
        <w:rPr>
          <w:rFonts w:ascii="宋体" w:hAnsi="宋体" w:eastAsia="宋体" w:cs="宋体"/>
          <w:sz w:val="27"/>
          <w:szCs w:val="27"/>
        </w:rPr>
      </w:pPr>
      <w:r>
        <w:rPr>
          <w:rFonts w:ascii="宋体" w:hAnsi="宋体" w:eastAsia="宋体" w:cs="宋体"/>
          <w:spacing w:val="-3"/>
          <w:sz w:val="27"/>
          <w:szCs w:val="27"/>
        </w:rPr>
        <w:t>说明改装进度安排，包括时间节点和工作内容。</w:t>
      </w:r>
    </w:p>
    <w:p w14:paraId="30ECCCA4">
      <w:pPr>
        <w:spacing w:line="219" w:lineRule="auto"/>
        <w:rPr>
          <w:rFonts w:ascii="宋体" w:hAnsi="宋体" w:eastAsia="宋体" w:cs="宋体"/>
          <w:sz w:val="27"/>
          <w:szCs w:val="27"/>
        </w:rPr>
        <w:sectPr>
          <w:footerReference r:id="rId120" w:type="default"/>
          <w:pgSz w:w="11910" w:h="17130"/>
          <w:pgMar w:top="400" w:right="1354" w:bottom="1597" w:left="1079" w:header="0" w:footer="1380" w:gutter="0"/>
          <w:cols w:space="720" w:num="1"/>
        </w:sectPr>
      </w:pPr>
    </w:p>
    <w:p w14:paraId="3221C580">
      <w:pPr>
        <w:pStyle w:val="2"/>
        <w:spacing w:line="275" w:lineRule="auto"/>
      </w:pPr>
    </w:p>
    <w:p w14:paraId="483E2EC6">
      <w:pPr>
        <w:pStyle w:val="2"/>
        <w:spacing w:line="276" w:lineRule="auto"/>
      </w:pPr>
    </w:p>
    <w:p w14:paraId="4AD65A04">
      <w:pPr>
        <w:pStyle w:val="2"/>
        <w:spacing w:line="276" w:lineRule="auto"/>
      </w:pPr>
    </w:p>
    <w:p w14:paraId="13BBA549">
      <w:pPr>
        <w:pStyle w:val="2"/>
        <w:spacing w:line="276" w:lineRule="auto"/>
      </w:pPr>
    </w:p>
    <w:p w14:paraId="4B66A37B">
      <w:pPr>
        <w:spacing w:before="78" w:line="222" w:lineRule="auto"/>
        <w:rPr>
          <w:rFonts w:ascii="黑体" w:hAnsi="黑体" w:eastAsia="黑体" w:cs="黑体"/>
          <w:sz w:val="24"/>
          <w:szCs w:val="24"/>
        </w:rPr>
      </w:pPr>
      <w:bookmarkStart w:id="69" w:name="bookmark341"/>
      <w:bookmarkEnd w:id="69"/>
      <w:r>
        <w:rPr>
          <w:rFonts w:ascii="黑体" w:hAnsi="黑体" w:eastAsia="黑体" w:cs="黑体"/>
          <w:spacing w:val="24"/>
          <w:sz w:val="24"/>
          <w:szCs w:val="24"/>
        </w:rPr>
        <w:t>11</w:t>
      </w:r>
      <w:r>
        <w:rPr>
          <w:rFonts w:ascii="黑体" w:hAnsi="黑体" w:eastAsia="黑体" w:cs="黑体"/>
          <w:spacing w:val="53"/>
          <w:sz w:val="24"/>
          <w:szCs w:val="24"/>
        </w:rPr>
        <w:t xml:space="preserve">  </w:t>
      </w:r>
      <w:r>
        <w:rPr>
          <w:rFonts w:ascii="黑体" w:hAnsi="黑体" w:eastAsia="黑体" w:cs="黑体"/>
          <w:spacing w:val="24"/>
          <w:sz w:val="24"/>
          <w:szCs w:val="24"/>
        </w:rPr>
        <w:t>改装风险分析</w:t>
      </w:r>
    </w:p>
    <w:p w14:paraId="4B0F2BB0">
      <w:pPr>
        <w:spacing w:before="111" w:line="222" w:lineRule="auto"/>
        <w:rPr>
          <w:rFonts w:ascii="黑体" w:hAnsi="黑体" w:eastAsia="黑体" w:cs="黑体"/>
          <w:sz w:val="25"/>
          <w:szCs w:val="25"/>
        </w:rPr>
      </w:pPr>
      <w:r>
        <w:rPr>
          <w:rFonts w:ascii="黑体" w:hAnsi="黑体" w:eastAsia="黑体" w:cs="黑体"/>
          <w:spacing w:val="10"/>
          <w:sz w:val="25"/>
          <w:szCs w:val="25"/>
        </w:rPr>
        <w:t>11.1</w:t>
      </w:r>
      <w:r>
        <w:rPr>
          <w:rFonts w:ascii="黑体" w:hAnsi="黑体" w:eastAsia="黑体" w:cs="黑体"/>
          <w:spacing w:val="53"/>
          <w:sz w:val="25"/>
          <w:szCs w:val="25"/>
        </w:rPr>
        <w:t xml:space="preserve">  </w:t>
      </w:r>
      <w:r>
        <w:rPr>
          <w:rFonts w:ascii="黑体" w:hAnsi="黑体" w:eastAsia="黑体" w:cs="黑体"/>
          <w:spacing w:val="10"/>
          <w:sz w:val="25"/>
          <w:szCs w:val="25"/>
        </w:rPr>
        <w:t>技术风险</w:t>
      </w:r>
    </w:p>
    <w:p w14:paraId="2A1CAEB5">
      <w:pPr>
        <w:spacing w:before="111" w:line="219" w:lineRule="auto"/>
        <w:ind w:left="560"/>
        <w:rPr>
          <w:rFonts w:ascii="宋体" w:hAnsi="宋体" w:eastAsia="宋体" w:cs="宋体"/>
          <w:sz w:val="27"/>
          <w:szCs w:val="27"/>
        </w:rPr>
      </w:pPr>
      <w:r>
        <w:rPr>
          <w:rFonts w:ascii="宋体" w:hAnsi="宋体" w:eastAsia="宋体" w:cs="宋体"/>
          <w:sz w:val="27"/>
          <w:szCs w:val="27"/>
        </w:rPr>
        <w:t>对改装工作在技术上存在的风险进行分析，指出可能存在的风险。</w:t>
      </w:r>
    </w:p>
    <w:p w14:paraId="2439D967">
      <w:pPr>
        <w:spacing w:before="137" w:line="222" w:lineRule="auto"/>
        <w:rPr>
          <w:rFonts w:ascii="黑体" w:hAnsi="黑体" w:eastAsia="黑体" w:cs="黑体"/>
          <w:sz w:val="24"/>
          <w:szCs w:val="24"/>
        </w:rPr>
      </w:pPr>
      <w:r>
        <w:rPr>
          <w:rFonts w:ascii="黑体" w:hAnsi="黑体" w:eastAsia="黑体" w:cs="黑体"/>
          <w:spacing w:val="15"/>
          <w:sz w:val="24"/>
          <w:szCs w:val="24"/>
        </w:rPr>
        <w:t>11.2</w:t>
      </w:r>
      <w:r>
        <w:rPr>
          <w:rFonts w:ascii="黑体" w:hAnsi="黑体" w:eastAsia="黑体" w:cs="黑体"/>
          <w:spacing w:val="5"/>
          <w:sz w:val="24"/>
          <w:szCs w:val="24"/>
        </w:rPr>
        <w:t xml:space="preserve">   </w:t>
      </w:r>
      <w:r>
        <w:rPr>
          <w:rFonts w:ascii="黑体" w:hAnsi="黑体" w:eastAsia="黑体" w:cs="黑体"/>
          <w:spacing w:val="15"/>
          <w:sz w:val="24"/>
          <w:szCs w:val="24"/>
        </w:rPr>
        <w:t>进度风险</w:t>
      </w:r>
    </w:p>
    <w:p w14:paraId="69356971">
      <w:pPr>
        <w:spacing w:before="95" w:line="291" w:lineRule="auto"/>
        <w:ind w:firstLine="560"/>
        <w:rPr>
          <w:rFonts w:ascii="宋体" w:hAnsi="宋体" w:eastAsia="宋体" w:cs="宋体"/>
          <w:sz w:val="27"/>
          <w:szCs w:val="27"/>
        </w:rPr>
      </w:pPr>
      <w:r>
        <w:rPr>
          <w:rFonts w:ascii="宋体" w:hAnsi="宋体" w:eastAsia="宋体" w:cs="宋体"/>
          <w:spacing w:val="6"/>
          <w:sz w:val="27"/>
          <w:szCs w:val="27"/>
        </w:rPr>
        <w:t>对改装工作在进度上存在的风险进行分析，指出哪些工</w:t>
      </w:r>
      <w:r>
        <w:rPr>
          <w:rFonts w:ascii="宋体" w:hAnsi="宋体" w:eastAsia="宋体" w:cs="宋体"/>
          <w:spacing w:val="5"/>
          <w:sz w:val="27"/>
          <w:szCs w:val="27"/>
        </w:rPr>
        <w:t>作内容可能出现延</w:t>
      </w:r>
      <w:r>
        <w:rPr>
          <w:rFonts w:ascii="宋体" w:hAnsi="宋体" w:eastAsia="宋体" w:cs="宋体"/>
          <w:sz w:val="27"/>
          <w:szCs w:val="27"/>
        </w:rPr>
        <w:t xml:space="preserve"> </w:t>
      </w:r>
      <w:r>
        <w:rPr>
          <w:rFonts w:ascii="宋体" w:hAnsi="宋体" w:eastAsia="宋体" w:cs="宋体"/>
          <w:spacing w:val="1"/>
          <w:sz w:val="27"/>
          <w:szCs w:val="27"/>
        </w:rPr>
        <w:t>误以及延误的时间。</w:t>
      </w:r>
    </w:p>
    <w:p w14:paraId="400527EE">
      <w:pPr>
        <w:spacing w:before="15" w:line="222" w:lineRule="auto"/>
        <w:rPr>
          <w:rFonts w:ascii="黑体" w:hAnsi="黑体" w:eastAsia="黑体" w:cs="黑体"/>
          <w:sz w:val="25"/>
          <w:szCs w:val="25"/>
        </w:rPr>
      </w:pPr>
      <w:r>
        <w:rPr>
          <w:rFonts w:ascii="黑体" w:hAnsi="黑体" w:eastAsia="黑体" w:cs="黑体"/>
          <w:spacing w:val="17"/>
          <w:sz w:val="25"/>
          <w:szCs w:val="25"/>
        </w:rPr>
        <w:t>11.3</w:t>
      </w:r>
      <w:r>
        <w:rPr>
          <w:rFonts w:ascii="黑体" w:hAnsi="黑体" w:eastAsia="黑体" w:cs="黑体"/>
          <w:spacing w:val="53"/>
          <w:sz w:val="25"/>
          <w:szCs w:val="25"/>
        </w:rPr>
        <w:t xml:space="preserve">  </w:t>
      </w:r>
      <w:r>
        <w:rPr>
          <w:rFonts w:ascii="黑体" w:hAnsi="黑体" w:eastAsia="黑体" w:cs="黑体"/>
          <w:spacing w:val="17"/>
          <w:sz w:val="25"/>
          <w:szCs w:val="25"/>
        </w:rPr>
        <w:t>经费风险(可省略)</w:t>
      </w:r>
    </w:p>
    <w:p w14:paraId="37581EBD">
      <w:pPr>
        <w:spacing w:before="100" w:line="276" w:lineRule="auto"/>
        <w:ind w:firstLine="560"/>
        <w:rPr>
          <w:rFonts w:ascii="宋体" w:hAnsi="宋体" w:eastAsia="宋体" w:cs="宋体"/>
          <w:sz w:val="27"/>
          <w:szCs w:val="27"/>
        </w:rPr>
      </w:pPr>
      <w:r>
        <w:rPr>
          <w:rFonts w:ascii="宋体" w:hAnsi="宋体" w:eastAsia="宋体" w:cs="宋体"/>
          <w:spacing w:val="6"/>
          <w:sz w:val="27"/>
          <w:szCs w:val="27"/>
        </w:rPr>
        <w:t>对改装工作在经费上存在的风险进行分析，指出哪些工作</w:t>
      </w:r>
      <w:r>
        <w:rPr>
          <w:rFonts w:ascii="宋体" w:hAnsi="宋体" w:eastAsia="宋体" w:cs="宋体"/>
          <w:spacing w:val="5"/>
          <w:sz w:val="27"/>
          <w:szCs w:val="27"/>
        </w:rPr>
        <w:t>内容可能在经费</w:t>
      </w:r>
      <w:r>
        <w:rPr>
          <w:rFonts w:ascii="宋体" w:hAnsi="宋体" w:eastAsia="宋体" w:cs="宋体"/>
          <w:sz w:val="27"/>
          <w:szCs w:val="27"/>
        </w:rPr>
        <w:t xml:space="preserve"> </w:t>
      </w:r>
      <w:r>
        <w:rPr>
          <w:rFonts w:ascii="宋体" w:hAnsi="宋体" w:eastAsia="宋体" w:cs="宋体"/>
          <w:spacing w:val="-1"/>
          <w:sz w:val="27"/>
          <w:szCs w:val="27"/>
        </w:rPr>
        <w:t>上超概算。</w:t>
      </w:r>
    </w:p>
    <w:p w14:paraId="30DB7BDB">
      <w:pPr>
        <w:spacing w:before="41" w:line="221" w:lineRule="auto"/>
        <w:rPr>
          <w:rFonts w:ascii="黑体" w:hAnsi="黑体" w:eastAsia="黑体" w:cs="黑体"/>
          <w:sz w:val="24"/>
          <w:szCs w:val="24"/>
        </w:rPr>
      </w:pPr>
      <w:r>
        <w:rPr>
          <w:rFonts w:ascii="黑体" w:hAnsi="黑体" w:eastAsia="黑体" w:cs="黑体"/>
          <w:spacing w:val="19"/>
          <w:sz w:val="24"/>
          <w:szCs w:val="24"/>
        </w:rPr>
        <w:t>12</w:t>
      </w:r>
      <w:r>
        <w:rPr>
          <w:rFonts w:ascii="黑体" w:hAnsi="黑体" w:eastAsia="黑体" w:cs="黑体"/>
          <w:spacing w:val="52"/>
          <w:sz w:val="24"/>
          <w:szCs w:val="24"/>
        </w:rPr>
        <w:t xml:space="preserve">  </w:t>
      </w:r>
      <w:r>
        <w:rPr>
          <w:rFonts w:ascii="黑体" w:hAnsi="黑体" w:eastAsia="黑体" w:cs="黑体"/>
          <w:spacing w:val="19"/>
          <w:sz w:val="24"/>
          <w:szCs w:val="24"/>
        </w:rPr>
        <w:t>任务分工</w:t>
      </w:r>
    </w:p>
    <w:p w14:paraId="55DBA13B">
      <w:pPr>
        <w:spacing w:before="133" w:line="221" w:lineRule="auto"/>
        <w:rPr>
          <w:rFonts w:ascii="黑体" w:hAnsi="黑体" w:eastAsia="黑体" w:cs="黑体"/>
          <w:sz w:val="24"/>
          <w:szCs w:val="24"/>
        </w:rPr>
      </w:pPr>
      <w:r>
        <w:rPr>
          <w:rFonts w:ascii="黑体" w:hAnsi="黑体" w:eastAsia="黑体" w:cs="黑体"/>
          <w:spacing w:val="12"/>
          <w:sz w:val="24"/>
          <w:szCs w:val="24"/>
        </w:rPr>
        <w:t>12.</w:t>
      </w:r>
      <w:r>
        <w:rPr>
          <w:rFonts w:ascii="黑体" w:hAnsi="黑体" w:eastAsia="黑体" w:cs="黑体"/>
          <w:spacing w:val="-19"/>
          <w:sz w:val="24"/>
          <w:szCs w:val="24"/>
        </w:rPr>
        <w:t xml:space="preserve"> </w:t>
      </w:r>
      <w:r>
        <w:rPr>
          <w:rFonts w:ascii="黑体" w:hAnsi="黑体" w:eastAsia="黑体" w:cs="黑体"/>
          <w:spacing w:val="12"/>
          <w:sz w:val="24"/>
          <w:szCs w:val="24"/>
        </w:rPr>
        <w:t>×</w:t>
      </w:r>
      <w:r>
        <w:rPr>
          <w:rFonts w:ascii="黑体" w:hAnsi="黑体" w:eastAsia="黑体" w:cs="黑体"/>
          <w:spacing w:val="47"/>
          <w:sz w:val="24"/>
          <w:szCs w:val="24"/>
        </w:rPr>
        <w:t xml:space="preserve">  </w:t>
      </w:r>
      <w:r>
        <w:rPr>
          <w:rFonts w:ascii="黑体" w:hAnsi="黑体" w:eastAsia="黑体" w:cs="黑体"/>
          <w:spacing w:val="12"/>
          <w:sz w:val="24"/>
          <w:szCs w:val="24"/>
        </w:rPr>
        <w:t>(单位×)任务</w:t>
      </w:r>
    </w:p>
    <w:p w14:paraId="4E1B62C8">
      <w:pPr>
        <w:spacing w:before="96" w:line="219" w:lineRule="auto"/>
        <w:ind w:left="560"/>
        <w:rPr>
          <w:rFonts w:ascii="宋体" w:hAnsi="宋体" w:eastAsia="宋体" w:cs="宋体"/>
          <w:sz w:val="27"/>
          <w:szCs w:val="27"/>
        </w:rPr>
      </w:pPr>
      <w:r>
        <w:rPr>
          <w:rFonts w:ascii="宋体" w:hAnsi="宋体" w:eastAsia="宋体" w:cs="宋体"/>
          <w:spacing w:val="3"/>
          <w:sz w:val="27"/>
          <w:szCs w:val="27"/>
        </w:rPr>
        <w:t>说明参与改装的(单位×)的工作任务。</w:t>
      </w:r>
    </w:p>
    <w:p w14:paraId="2806342C">
      <w:pPr>
        <w:spacing w:before="97" w:line="221" w:lineRule="auto"/>
        <w:rPr>
          <w:rFonts w:ascii="黑体" w:hAnsi="黑体" w:eastAsia="黑体" w:cs="黑体"/>
          <w:sz w:val="27"/>
          <w:szCs w:val="27"/>
        </w:rPr>
      </w:pPr>
      <w:r>
        <w:rPr>
          <w:rFonts w:ascii="黑体" w:hAnsi="黑体" w:eastAsia="黑体" w:cs="黑体"/>
          <w:spacing w:val="5"/>
          <w:sz w:val="27"/>
          <w:szCs w:val="27"/>
        </w:rPr>
        <w:t>13</w:t>
      </w:r>
      <w:r>
        <w:rPr>
          <w:rFonts w:ascii="黑体" w:hAnsi="黑体" w:eastAsia="黑体" w:cs="黑体"/>
          <w:spacing w:val="24"/>
          <w:sz w:val="27"/>
          <w:szCs w:val="27"/>
        </w:rPr>
        <w:t xml:space="preserve">  </w:t>
      </w:r>
      <w:r>
        <w:rPr>
          <w:rFonts w:ascii="黑体" w:hAnsi="黑体" w:eastAsia="黑体" w:cs="黑体"/>
          <w:spacing w:val="5"/>
          <w:sz w:val="27"/>
          <w:szCs w:val="27"/>
        </w:rPr>
        <w:t>改装经费概算(可省略)</w:t>
      </w:r>
    </w:p>
    <w:p w14:paraId="45687F08">
      <w:pPr>
        <w:spacing w:before="107" w:line="221" w:lineRule="auto"/>
        <w:rPr>
          <w:rFonts w:ascii="黑体" w:hAnsi="黑体" w:eastAsia="黑体" w:cs="黑体"/>
          <w:sz w:val="27"/>
          <w:szCs w:val="27"/>
        </w:rPr>
      </w:pPr>
      <w:r>
        <w:rPr>
          <w:rFonts w:ascii="黑体" w:hAnsi="黑体" w:eastAsia="黑体" w:cs="黑体"/>
          <w:spacing w:val="4"/>
          <w:sz w:val="27"/>
          <w:szCs w:val="27"/>
        </w:rPr>
        <w:t>13.1  科研改装经费概算</w:t>
      </w:r>
    </w:p>
    <w:p w14:paraId="414D060A">
      <w:pPr>
        <w:spacing w:before="98" w:line="219" w:lineRule="auto"/>
        <w:ind w:left="560"/>
        <w:rPr>
          <w:rFonts w:ascii="宋体" w:hAnsi="宋体" w:eastAsia="宋体" w:cs="宋体"/>
          <w:sz w:val="27"/>
          <w:szCs w:val="27"/>
        </w:rPr>
      </w:pPr>
      <w:r>
        <w:rPr>
          <w:rFonts w:ascii="宋体" w:hAnsi="宋体" w:eastAsia="宋体" w:cs="宋体"/>
          <w:spacing w:val="-3"/>
          <w:sz w:val="27"/>
          <w:szCs w:val="27"/>
        </w:rPr>
        <w:t>提供科研改装所需经费的概算，列出明细。</w:t>
      </w:r>
    </w:p>
    <w:p w14:paraId="6DA6F29D">
      <w:pPr>
        <w:spacing w:before="128" w:line="221" w:lineRule="auto"/>
        <w:rPr>
          <w:rFonts w:ascii="黑体" w:hAnsi="黑体" w:eastAsia="黑体" w:cs="黑体"/>
          <w:sz w:val="24"/>
          <w:szCs w:val="24"/>
        </w:rPr>
      </w:pPr>
      <w:r>
        <w:rPr>
          <w:rFonts w:ascii="黑体" w:hAnsi="黑体" w:eastAsia="黑体" w:cs="黑体"/>
          <w:spacing w:val="20"/>
          <w:sz w:val="24"/>
          <w:szCs w:val="24"/>
        </w:rPr>
        <w:t>13.</w:t>
      </w:r>
      <w:r>
        <w:rPr>
          <w:rFonts w:ascii="黑体" w:hAnsi="黑体" w:eastAsia="黑体" w:cs="黑体"/>
          <w:spacing w:val="-60"/>
          <w:sz w:val="24"/>
          <w:szCs w:val="24"/>
        </w:rPr>
        <w:t xml:space="preserve"> </w:t>
      </w:r>
      <w:r>
        <w:rPr>
          <w:rFonts w:ascii="黑体" w:hAnsi="黑体" w:eastAsia="黑体" w:cs="黑体"/>
          <w:spacing w:val="20"/>
          <w:sz w:val="24"/>
          <w:szCs w:val="24"/>
        </w:rPr>
        <w:t>2</w:t>
      </w:r>
      <w:r>
        <w:rPr>
          <w:rFonts w:ascii="黑体" w:hAnsi="黑体" w:eastAsia="黑体" w:cs="黑体"/>
          <w:spacing w:val="44"/>
          <w:sz w:val="24"/>
          <w:szCs w:val="24"/>
        </w:rPr>
        <w:t xml:space="preserve">  </w:t>
      </w:r>
      <w:r>
        <w:rPr>
          <w:rFonts w:ascii="黑体" w:hAnsi="黑体" w:eastAsia="黑体" w:cs="黑体"/>
          <w:spacing w:val="20"/>
          <w:sz w:val="24"/>
          <w:szCs w:val="24"/>
        </w:rPr>
        <w:t>批量改装经费概算</w:t>
      </w:r>
    </w:p>
    <w:p w14:paraId="04760968">
      <w:pPr>
        <w:spacing w:before="123" w:line="219" w:lineRule="auto"/>
        <w:ind w:left="560"/>
        <w:rPr>
          <w:rFonts w:ascii="宋体" w:hAnsi="宋体" w:eastAsia="宋体" w:cs="宋体"/>
          <w:sz w:val="25"/>
          <w:szCs w:val="25"/>
        </w:rPr>
      </w:pPr>
      <w:r>
        <w:rPr>
          <w:rFonts w:ascii="宋体" w:hAnsi="宋体" w:eastAsia="宋体" w:cs="宋体"/>
          <w:spacing w:val="16"/>
          <w:sz w:val="25"/>
          <w:szCs w:val="25"/>
        </w:rPr>
        <w:t>提供批量改装所需经费的概算，列出明细。</w:t>
      </w:r>
    </w:p>
    <w:p w14:paraId="6F8AA8F6">
      <w:pPr>
        <w:spacing w:before="120" w:line="222" w:lineRule="auto"/>
        <w:ind w:left="3"/>
        <w:rPr>
          <w:rFonts w:ascii="黑体" w:hAnsi="黑体" w:eastAsia="黑体" w:cs="黑体"/>
          <w:sz w:val="24"/>
          <w:szCs w:val="24"/>
        </w:rPr>
      </w:pPr>
      <w:r>
        <w:rPr>
          <w:rFonts w:ascii="黑体" w:hAnsi="黑体" w:eastAsia="黑体" w:cs="黑体"/>
          <w:b/>
          <w:bCs/>
          <w:spacing w:val="-14"/>
          <w:sz w:val="24"/>
          <w:szCs w:val="24"/>
        </w:rPr>
        <w:t>附</w:t>
      </w:r>
      <w:r>
        <w:rPr>
          <w:rFonts w:ascii="黑体" w:hAnsi="黑体" w:eastAsia="黑体" w:cs="黑体"/>
          <w:spacing w:val="-31"/>
          <w:sz w:val="24"/>
          <w:szCs w:val="24"/>
        </w:rPr>
        <w:t xml:space="preserve"> </w:t>
      </w:r>
      <w:r>
        <w:rPr>
          <w:rFonts w:ascii="黑体" w:hAnsi="黑体" w:eastAsia="黑体" w:cs="黑体"/>
          <w:b/>
          <w:bCs/>
          <w:spacing w:val="-14"/>
          <w:sz w:val="24"/>
          <w:szCs w:val="24"/>
        </w:rPr>
        <w:t>录</w:t>
      </w:r>
    </w:p>
    <w:p w14:paraId="6C6CF2A2">
      <w:pPr>
        <w:spacing w:before="116" w:line="222" w:lineRule="auto"/>
        <w:rPr>
          <w:rFonts w:ascii="黑体" w:hAnsi="黑体" w:eastAsia="黑体" w:cs="黑体"/>
          <w:sz w:val="27"/>
          <w:szCs w:val="27"/>
        </w:rPr>
      </w:pPr>
      <w:r>
        <w:rPr>
          <w:rFonts w:ascii="黑体" w:hAnsi="黑体" w:eastAsia="黑体" w:cs="黑体"/>
          <w:spacing w:val="2"/>
          <w:sz w:val="27"/>
          <w:szCs w:val="27"/>
        </w:rPr>
        <w:t>改装器材清单</w:t>
      </w:r>
    </w:p>
    <w:p w14:paraId="4296D14D">
      <w:pPr>
        <w:spacing w:before="85" w:line="291" w:lineRule="auto"/>
        <w:ind w:right="4" w:firstLine="560"/>
        <w:rPr>
          <w:rFonts w:ascii="宋体" w:hAnsi="宋体" w:eastAsia="宋体" w:cs="宋体"/>
          <w:sz w:val="27"/>
          <w:szCs w:val="27"/>
        </w:rPr>
      </w:pPr>
      <w:r>
        <w:rPr>
          <w:rFonts w:ascii="宋体" w:hAnsi="宋体" w:eastAsia="宋体" w:cs="宋体"/>
          <w:spacing w:val="-3"/>
          <w:sz w:val="27"/>
          <w:szCs w:val="27"/>
        </w:rPr>
        <w:t>列表给出改装所需器材清单，包括器材名称、器材型号、器材数量、提供单</w:t>
      </w:r>
      <w:r>
        <w:rPr>
          <w:rFonts w:ascii="宋体" w:hAnsi="宋体" w:eastAsia="宋体" w:cs="宋体"/>
          <w:spacing w:val="9"/>
          <w:sz w:val="27"/>
          <w:szCs w:val="27"/>
        </w:rPr>
        <w:t xml:space="preserve"> </w:t>
      </w:r>
      <w:r>
        <w:rPr>
          <w:rFonts w:ascii="宋体" w:hAnsi="宋体" w:eastAsia="宋体" w:cs="宋体"/>
          <w:spacing w:val="-11"/>
          <w:sz w:val="27"/>
          <w:szCs w:val="27"/>
        </w:rPr>
        <w:t>位、提供方式等信息。</w:t>
      </w:r>
    </w:p>
    <w:p w14:paraId="4296C6D0">
      <w:pPr>
        <w:spacing w:line="221" w:lineRule="auto"/>
        <w:rPr>
          <w:rFonts w:ascii="黑体" w:hAnsi="黑体" w:eastAsia="黑体" w:cs="黑体"/>
          <w:sz w:val="27"/>
          <w:szCs w:val="27"/>
        </w:rPr>
      </w:pPr>
      <w:r>
        <w:rPr>
          <w:rFonts w:ascii="黑体" w:hAnsi="黑体" w:eastAsia="黑体" w:cs="黑体"/>
          <w:spacing w:val="6"/>
          <w:sz w:val="27"/>
          <w:szCs w:val="27"/>
        </w:rPr>
        <w:t>改装结构布局图</w:t>
      </w:r>
    </w:p>
    <w:p w14:paraId="6AADB742">
      <w:pPr>
        <w:spacing w:before="116" w:line="297" w:lineRule="auto"/>
        <w:ind w:left="3" w:right="1821" w:firstLine="556"/>
        <w:rPr>
          <w:rFonts w:ascii="黑体" w:hAnsi="黑体" w:eastAsia="黑体" w:cs="黑体"/>
          <w:sz w:val="24"/>
          <w:szCs w:val="24"/>
        </w:rPr>
      </w:pPr>
      <w:r>
        <w:rPr>
          <w:rFonts w:ascii="宋体" w:hAnsi="宋体" w:eastAsia="宋体" w:cs="宋体"/>
          <w:spacing w:val="-1"/>
          <w:sz w:val="27"/>
          <w:szCs w:val="27"/>
        </w:rPr>
        <w:t>提供改装结构布局图，突出标识改装设备在平台上的位置。</w:t>
      </w:r>
      <w:r>
        <w:rPr>
          <w:rFonts w:ascii="宋体" w:hAnsi="宋体" w:eastAsia="宋体" w:cs="宋体"/>
          <w:spacing w:val="9"/>
          <w:sz w:val="27"/>
          <w:szCs w:val="27"/>
        </w:rPr>
        <w:t xml:space="preserve"> </w:t>
      </w:r>
      <w:r>
        <w:rPr>
          <w:rFonts w:ascii="黑体" w:hAnsi="黑体" w:eastAsia="黑体" w:cs="黑体"/>
          <w:b/>
          <w:bCs/>
          <w:spacing w:val="32"/>
          <w:sz w:val="24"/>
          <w:szCs w:val="24"/>
        </w:rPr>
        <w:t>改装交联关系图</w:t>
      </w:r>
    </w:p>
    <w:p w14:paraId="2C892F20">
      <w:pPr>
        <w:spacing w:before="1" w:line="218" w:lineRule="auto"/>
        <w:ind w:left="560"/>
        <w:rPr>
          <w:rFonts w:ascii="宋体" w:hAnsi="宋体" w:eastAsia="宋体" w:cs="宋体"/>
          <w:sz w:val="27"/>
          <w:szCs w:val="27"/>
        </w:rPr>
      </w:pPr>
      <w:r>
        <w:rPr>
          <w:rFonts w:ascii="宋体" w:hAnsi="宋体" w:eastAsia="宋体" w:cs="宋体"/>
          <w:spacing w:val="2"/>
          <w:sz w:val="27"/>
          <w:szCs w:val="27"/>
        </w:rPr>
        <w:t>提供改装交联关系图。</w:t>
      </w:r>
    </w:p>
    <w:p w14:paraId="0553805F">
      <w:pPr>
        <w:pStyle w:val="2"/>
        <w:spacing w:line="377" w:lineRule="auto"/>
      </w:pPr>
    </w:p>
    <w:p w14:paraId="174A70AC">
      <w:pPr>
        <w:spacing w:before="117" w:line="218" w:lineRule="auto"/>
        <w:ind w:left="2319"/>
        <w:outlineLvl w:val="1"/>
        <w:rPr>
          <w:rFonts w:ascii="宋体" w:hAnsi="宋体" w:eastAsia="宋体" w:cs="宋体"/>
          <w:sz w:val="36"/>
          <w:szCs w:val="36"/>
        </w:rPr>
      </w:pPr>
      <w:bookmarkStart w:id="70" w:name="bookmark35"/>
      <w:bookmarkEnd w:id="70"/>
      <w:r>
        <w:rPr>
          <w:rFonts w:ascii="Times New Roman" w:hAnsi="Times New Roman" w:eastAsia="Times New Roman" w:cs="Times New Roman"/>
          <w:b/>
          <w:bCs/>
          <w:spacing w:val="2"/>
          <w:sz w:val="36"/>
          <w:szCs w:val="36"/>
        </w:rPr>
        <w:t xml:space="preserve">1.33     </w:t>
      </w:r>
      <w:r>
        <w:rPr>
          <w:rFonts w:ascii="宋体" w:hAnsi="宋体" w:eastAsia="宋体" w:cs="宋体"/>
          <w:b/>
          <w:bCs/>
          <w:spacing w:val="2"/>
          <w:sz w:val="36"/>
          <w:szCs w:val="36"/>
        </w:rPr>
        <w:t>设计定型试验申请报告</w:t>
      </w:r>
    </w:p>
    <w:p w14:paraId="6F439DC5">
      <w:pPr>
        <w:pStyle w:val="2"/>
        <w:spacing w:line="339" w:lineRule="auto"/>
      </w:pPr>
    </w:p>
    <w:p w14:paraId="55B385B4">
      <w:pPr>
        <w:spacing w:before="88" w:line="223" w:lineRule="auto"/>
        <w:ind w:left="560"/>
        <w:rPr>
          <w:rFonts w:ascii="楷体" w:hAnsi="楷体" w:eastAsia="楷体" w:cs="楷体"/>
          <w:sz w:val="27"/>
          <w:szCs w:val="27"/>
        </w:rPr>
      </w:pPr>
      <w:r>
        <w:rPr>
          <w:rFonts w:ascii="楷体" w:hAnsi="楷体" w:eastAsia="楷体" w:cs="楷体"/>
          <w:spacing w:val="-7"/>
          <w:sz w:val="27"/>
          <w:szCs w:val="27"/>
        </w:rPr>
        <w:t>按照</w:t>
      </w:r>
      <w:r>
        <w:rPr>
          <w:rFonts w:ascii="楷体" w:hAnsi="楷体" w:eastAsia="楷体" w:cs="楷体"/>
          <w:spacing w:val="-58"/>
          <w:sz w:val="27"/>
          <w:szCs w:val="27"/>
        </w:rPr>
        <w:t xml:space="preserve"> </w:t>
      </w:r>
      <w:r>
        <w:rPr>
          <w:rFonts w:ascii="Times New Roman" w:hAnsi="Times New Roman" w:eastAsia="Times New Roman" w:cs="Times New Roman"/>
          <w:spacing w:val="-7"/>
          <w:sz w:val="27"/>
          <w:szCs w:val="27"/>
        </w:rPr>
        <w:t>GJB</w:t>
      </w:r>
      <w:r>
        <w:rPr>
          <w:rFonts w:ascii="Times New Roman" w:hAnsi="Times New Roman" w:eastAsia="Times New Roman" w:cs="Times New Roman"/>
          <w:spacing w:val="32"/>
          <w:sz w:val="27"/>
          <w:szCs w:val="27"/>
        </w:rPr>
        <w:t xml:space="preserve"> </w:t>
      </w:r>
      <w:r>
        <w:rPr>
          <w:rFonts w:ascii="Times New Roman" w:hAnsi="Times New Roman" w:eastAsia="Times New Roman" w:cs="Times New Roman"/>
          <w:spacing w:val="-7"/>
          <w:sz w:val="27"/>
          <w:szCs w:val="27"/>
        </w:rPr>
        <w:t>1362A—2007</w:t>
      </w:r>
      <w:r>
        <w:rPr>
          <w:rFonts w:ascii="宋体" w:hAnsi="宋体" w:eastAsia="宋体" w:cs="宋体"/>
          <w:spacing w:val="-7"/>
          <w:sz w:val="27"/>
          <w:szCs w:val="27"/>
        </w:rPr>
        <w:t>《</w:t>
      </w:r>
      <w:r>
        <w:rPr>
          <w:rFonts w:ascii="楷体" w:hAnsi="楷体" w:eastAsia="楷体" w:cs="楷体"/>
          <w:b/>
          <w:bCs/>
          <w:spacing w:val="-7"/>
          <w:sz w:val="27"/>
          <w:szCs w:val="27"/>
        </w:rPr>
        <w:t>军工产品定型程序和要求》编写。</w:t>
      </w:r>
    </w:p>
    <w:p w14:paraId="00BC514F">
      <w:pPr>
        <w:spacing w:before="121" w:line="221" w:lineRule="auto"/>
        <w:rPr>
          <w:rFonts w:ascii="黑体" w:hAnsi="黑体" w:eastAsia="黑体" w:cs="黑体"/>
          <w:sz w:val="24"/>
          <w:szCs w:val="24"/>
        </w:rPr>
      </w:pPr>
      <w:r>
        <w:rPr>
          <w:rFonts w:ascii="黑体" w:hAnsi="黑体" w:eastAsia="黑体" w:cs="黑体"/>
          <w:spacing w:val="26"/>
          <w:sz w:val="24"/>
          <w:szCs w:val="24"/>
        </w:rPr>
        <w:t>1</w:t>
      </w:r>
      <w:r>
        <w:rPr>
          <w:rFonts w:ascii="黑体" w:hAnsi="黑体" w:eastAsia="黑体" w:cs="黑体"/>
          <w:spacing w:val="38"/>
          <w:sz w:val="24"/>
          <w:szCs w:val="24"/>
        </w:rPr>
        <w:t xml:space="preserve">  </w:t>
      </w:r>
      <w:r>
        <w:rPr>
          <w:rFonts w:ascii="黑体" w:hAnsi="黑体" w:eastAsia="黑体" w:cs="黑体"/>
          <w:spacing w:val="26"/>
          <w:sz w:val="24"/>
          <w:szCs w:val="24"/>
        </w:rPr>
        <w:t>研制工作概况</w:t>
      </w:r>
    </w:p>
    <w:p w14:paraId="0818659D">
      <w:pPr>
        <w:spacing w:before="135" w:line="219" w:lineRule="auto"/>
        <w:ind w:left="560"/>
        <w:rPr>
          <w:rFonts w:ascii="宋体" w:hAnsi="宋体" w:eastAsia="宋体" w:cs="宋体"/>
          <w:sz w:val="27"/>
          <w:szCs w:val="27"/>
        </w:rPr>
      </w:pPr>
      <w:r>
        <w:rPr>
          <w:rFonts w:ascii="宋体" w:hAnsi="宋体" w:eastAsia="宋体" w:cs="宋体"/>
          <w:spacing w:val="-7"/>
          <w:sz w:val="27"/>
          <w:szCs w:val="27"/>
        </w:rPr>
        <w:t>简要说明研制依据、研制过程、已完成的研制工作内容。</w:t>
      </w:r>
    </w:p>
    <w:p w14:paraId="05C45869">
      <w:pPr>
        <w:spacing w:before="9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2"/>
          <w:sz w:val="27"/>
          <w:szCs w:val="27"/>
        </w:rPr>
        <w:t xml:space="preserve">  </w:t>
      </w:r>
      <w:r>
        <w:rPr>
          <w:rFonts w:ascii="黑体" w:hAnsi="黑体" w:eastAsia="黑体" w:cs="黑体"/>
          <w:spacing w:val="3"/>
          <w:sz w:val="27"/>
          <w:szCs w:val="27"/>
        </w:rPr>
        <w:t>样品数量</w:t>
      </w:r>
    </w:p>
    <w:p w14:paraId="3348A3E6">
      <w:pPr>
        <w:spacing w:before="114" w:line="219" w:lineRule="auto"/>
        <w:ind w:left="560"/>
        <w:rPr>
          <w:rFonts w:ascii="宋体" w:hAnsi="宋体" w:eastAsia="宋体" w:cs="宋体"/>
          <w:sz w:val="27"/>
          <w:szCs w:val="27"/>
        </w:rPr>
      </w:pPr>
      <w:r>
        <w:rPr>
          <w:rFonts w:ascii="宋体" w:hAnsi="宋体" w:eastAsia="宋体" w:cs="宋体"/>
          <w:spacing w:val="5"/>
          <w:sz w:val="27"/>
          <w:szCs w:val="27"/>
        </w:rPr>
        <w:t>说明已试制的样品数量和拟提交进行设计定型试</w:t>
      </w:r>
      <w:r>
        <w:rPr>
          <w:rFonts w:ascii="宋体" w:hAnsi="宋体" w:eastAsia="宋体" w:cs="宋体"/>
          <w:spacing w:val="4"/>
          <w:sz w:val="27"/>
          <w:szCs w:val="27"/>
        </w:rPr>
        <w:t>验的样品数量。</w:t>
      </w:r>
    </w:p>
    <w:p w14:paraId="14D31FAD">
      <w:pPr>
        <w:spacing w:line="219" w:lineRule="auto"/>
        <w:rPr>
          <w:rFonts w:ascii="宋体" w:hAnsi="宋体" w:eastAsia="宋体" w:cs="宋体"/>
          <w:sz w:val="27"/>
          <w:szCs w:val="27"/>
        </w:rPr>
        <w:sectPr>
          <w:footerReference r:id="rId121" w:type="default"/>
          <w:pgSz w:w="11910" w:h="17130"/>
          <w:pgMar w:top="400" w:right="1093" w:bottom="1593" w:left="1430" w:header="0" w:footer="1394" w:gutter="0"/>
          <w:cols w:space="720" w:num="1"/>
        </w:sectPr>
      </w:pPr>
    </w:p>
    <w:p w14:paraId="48AD0420">
      <w:pPr>
        <w:pStyle w:val="2"/>
        <w:spacing w:line="256" w:lineRule="auto"/>
      </w:pPr>
    </w:p>
    <w:p w14:paraId="2AA67A70">
      <w:pPr>
        <w:pStyle w:val="2"/>
        <w:spacing w:line="257" w:lineRule="auto"/>
      </w:pPr>
    </w:p>
    <w:p w14:paraId="620E23B9">
      <w:pPr>
        <w:pStyle w:val="2"/>
        <w:spacing w:line="257" w:lineRule="auto"/>
      </w:pPr>
    </w:p>
    <w:p w14:paraId="762CCF7D">
      <w:pPr>
        <w:pStyle w:val="2"/>
        <w:spacing w:line="257" w:lineRule="auto"/>
      </w:pPr>
    </w:p>
    <w:p w14:paraId="2C56399A">
      <w:pPr>
        <w:spacing w:before="87" w:line="222"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8"/>
          <w:sz w:val="27"/>
          <w:szCs w:val="27"/>
        </w:rPr>
        <w:t xml:space="preserve">  </w:t>
      </w:r>
      <w:r>
        <w:rPr>
          <w:rFonts w:ascii="黑体" w:hAnsi="黑体" w:eastAsia="黑体" w:cs="黑体"/>
          <w:sz w:val="27"/>
          <w:szCs w:val="27"/>
        </w:rPr>
        <w:t>技术状态</w:t>
      </w:r>
    </w:p>
    <w:p w14:paraId="1F99E2A3">
      <w:pPr>
        <w:spacing w:before="83" w:line="305" w:lineRule="auto"/>
        <w:ind w:left="10" w:right="18" w:firstLine="560"/>
        <w:jc w:val="both"/>
        <w:rPr>
          <w:rFonts w:ascii="宋体" w:hAnsi="宋体" w:eastAsia="宋体" w:cs="宋体"/>
          <w:sz w:val="25"/>
          <w:szCs w:val="25"/>
        </w:rPr>
      </w:pPr>
      <w:r>
        <w:rPr>
          <w:rFonts w:ascii="宋体" w:hAnsi="宋体" w:eastAsia="宋体" w:cs="宋体"/>
          <w:spacing w:val="29"/>
          <w:sz w:val="25"/>
          <w:szCs w:val="25"/>
        </w:rPr>
        <w:t>说明试制样品的技术状态，包括功能特性(产品的性能指标和设</w:t>
      </w:r>
      <w:r>
        <w:rPr>
          <w:rFonts w:ascii="宋体" w:hAnsi="宋体" w:eastAsia="宋体" w:cs="宋体"/>
          <w:spacing w:val="28"/>
          <w:sz w:val="25"/>
          <w:szCs w:val="25"/>
        </w:rPr>
        <w:t>计约束条</w:t>
      </w:r>
      <w:r>
        <w:rPr>
          <w:rFonts w:ascii="宋体" w:hAnsi="宋体" w:eastAsia="宋体" w:cs="宋体"/>
          <w:sz w:val="25"/>
          <w:szCs w:val="25"/>
        </w:rPr>
        <w:t xml:space="preserve"> </w:t>
      </w:r>
      <w:r>
        <w:rPr>
          <w:rFonts w:ascii="宋体" w:hAnsi="宋体" w:eastAsia="宋体" w:cs="宋体"/>
          <w:spacing w:val="10"/>
          <w:sz w:val="25"/>
          <w:szCs w:val="25"/>
        </w:rPr>
        <w:t>件，如战术技术指标、使用保障特性等)、物理特性(产品的形</w:t>
      </w:r>
      <w:r>
        <w:rPr>
          <w:rFonts w:ascii="宋体" w:hAnsi="宋体" w:eastAsia="宋体" w:cs="宋体"/>
          <w:spacing w:val="9"/>
          <w:sz w:val="25"/>
          <w:szCs w:val="25"/>
        </w:rPr>
        <w:t>体特征，如组成、尺</w:t>
      </w:r>
      <w:r>
        <w:rPr>
          <w:rFonts w:ascii="宋体" w:hAnsi="宋体" w:eastAsia="宋体" w:cs="宋体"/>
          <w:sz w:val="25"/>
          <w:szCs w:val="25"/>
        </w:rPr>
        <w:t xml:space="preserve"> </w:t>
      </w:r>
      <w:r>
        <w:rPr>
          <w:rFonts w:ascii="宋体" w:hAnsi="宋体" w:eastAsia="宋体" w:cs="宋体"/>
          <w:spacing w:val="-10"/>
          <w:sz w:val="25"/>
          <w:szCs w:val="25"/>
        </w:rPr>
        <w:t>寸、表面状态、形状、配合、公差、重量等)。</w:t>
      </w:r>
    </w:p>
    <w:p w14:paraId="65664507">
      <w:pPr>
        <w:pStyle w:val="2"/>
        <w:spacing w:before="1" w:line="220" w:lineRule="auto"/>
        <w:ind w:left="10"/>
        <w:rPr>
          <w:rFonts w:ascii="黑体" w:hAnsi="黑体" w:eastAsia="黑体" w:cs="黑体"/>
          <w:sz w:val="27"/>
          <w:szCs w:val="27"/>
        </w:rPr>
      </w:pPr>
      <w:r>
        <w:rPr>
          <w:spacing w:val="4"/>
          <w:sz w:val="27"/>
          <w:szCs w:val="27"/>
        </w:rPr>
        <w:t>4</w:t>
      </w:r>
      <w:r>
        <w:rPr>
          <w:spacing w:val="20"/>
          <w:sz w:val="27"/>
          <w:szCs w:val="27"/>
        </w:rPr>
        <w:t xml:space="preserve">   </w:t>
      </w:r>
      <w:r>
        <w:rPr>
          <w:rFonts w:ascii="黑体" w:hAnsi="黑体" w:eastAsia="黑体" w:cs="黑体"/>
          <w:spacing w:val="4"/>
          <w:sz w:val="27"/>
          <w:szCs w:val="27"/>
        </w:rPr>
        <w:t>研制试验或承研单位鉴定试验情况</w:t>
      </w:r>
    </w:p>
    <w:p w14:paraId="334CBB2E">
      <w:pPr>
        <w:spacing w:before="79" w:line="280" w:lineRule="auto"/>
        <w:ind w:left="10" w:right="14" w:firstLine="560"/>
        <w:rPr>
          <w:rFonts w:ascii="宋体" w:hAnsi="宋体" w:eastAsia="宋体" w:cs="宋体"/>
          <w:sz w:val="27"/>
          <w:szCs w:val="27"/>
        </w:rPr>
      </w:pPr>
      <w:r>
        <w:rPr>
          <w:rFonts w:ascii="宋体" w:hAnsi="宋体" w:eastAsia="宋体" w:cs="宋体"/>
          <w:spacing w:val="-3"/>
          <w:sz w:val="27"/>
          <w:szCs w:val="27"/>
        </w:rPr>
        <w:t>说明已完成的研制试验或鉴定试验情况，包括试验时间、试</w:t>
      </w:r>
      <w:r>
        <w:rPr>
          <w:rFonts w:ascii="宋体" w:hAnsi="宋体" w:eastAsia="宋体" w:cs="宋体"/>
          <w:spacing w:val="-4"/>
          <w:sz w:val="27"/>
          <w:szCs w:val="27"/>
        </w:rPr>
        <w:t>验地点、试验依</w:t>
      </w:r>
      <w:r>
        <w:rPr>
          <w:rFonts w:ascii="宋体" w:hAnsi="宋体" w:eastAsia="宋体" w:cs="宋体"/>
          <w:sz w:val="27"/>
          <w:szCs w:val="27"/>
        </w:rPr>
        <w:t xml:space="preserve"> </w:t>
      </w:r>
      <w:r>
        <w:rPr>
          <w:rFonts w:ascii="宋体" w:hAnsi="宋体" w:eastAsia="宋体" w:cs="宋体"/>
          <w:spacing w:val="-18"/>
          <w:sz w:val="27"/>
          <w:szCs w:val="27"/>
        </w:rPr>
        <w:t>据、试验项目、试验结果等。</w:t>
      </w:r>
    </w:p>
    <w:p w14:paraId="4244D6B5">
      <w:pPr>
        <w:pStyle w:val="2"/>
        <w:spacing w:line="368" w:lineRule="exact"/>
        <w:ind w:left="10"/>
        <w:rPr>
          <w:rFonts w:ascii="黑体" w:hAnsi="黑体" w:eastAsia="黑体" w:cs="黑体"/>
          <w:sz w:val="27"/>
          <w:szCs w:val="27"/>
        </w:rPr>
      </w:pPr>
      <w:r>
        <w:rPr>
          <w:spacing w:val="5"/>
          <w:position w:val="1"/>
          <w:sz w:val="27"/>
          <w:szCs w:val="27"/>
        </w:rPr>
        <w:t>5</w:t>
      </w:r>
      <w:r>
        <w:rPr>
          <w:spacing w:val="18"/>
          <w:position w:val="1"/>
          <w:sz w:val="27"/>
          <w:szCs w:val="27"/>
        </w:rPr>
        <w:t xml:space="preserve">   </w:t>
      </w:r>
      <w:r>
        <w:rPr>
          <w:rFonts w:ascii="黑体" w:hAnsi="黑体" w:eastAsia="黑体" w:cs="黑体"/>
          <w:spacing w:val="5"/>
          <w:position w:val="1"/>
          <w:sz w:val="27"/>
          <w:szCs w:val="27"/>
        </w:rPr>
        <w:t>对设计定型试验的要求和建议</w:t>
      </w:r>
    </w:p>
    <w:p w14:paraId="1B929251">
      <w:pPr>
        <w:spacing w:before="105" w:line="295" w:lineRule="auto"/>
        <w:ind w:left="10" w:right="13" w:firstLine="560"/>
        <w:rPr>
          <w:rFonts w:ascii="宋体" w:hAnsi="宋体" w:eastAsia="宋体" w:cs="宋体"/>
          <w:sz w:val="27"/>
          <w:szCs w:val="27"/>
        </w:rPr>
      </w:pPr>
      <w:r>
        <w:rPr>
          <w:rFonts w:ascii="宋体" w:hAnsi="宋体" w:eastAsia="宋体" w:cs="宋体"/>
          <w:spacing w:val="5"/>
          <w:sz w:val="27"/>
          <w:szCs w:val="27"/>
        </w:rPr>
        <w:t xml:space="preserve">提出对设计定型试验的要求和建议，包括设计定型试验时间要求，试验项 </w:t>
      </w:r>
      <w:r>
        <w:rPr>
          <w:rFonts w:ascii="宋体" w:hAnsi="宋体" w:eastAsia="宋体" w:cs="宋体"/>
          <w:spacing w:val="-8"/>
          <w:sz w:val="27"/>
          <w:szCs w:val="27"/>
        </w:rPr>
        <w:t>目、内容要求，试验保障措施要求和试验安全保证要求等。</w:t>
      </w:r>
    </w:p>
    <w:p w14:paraId="5A5B2D0F">
      <w:pPr>
        <w:spacing w:before="345" w:line="220" w:lineRule="auto"/>
        <w:ind w:left="2689"/>
        <w:outlineLvl w:val="1"/>
        <w:rPr>
          <w:rFonts w:ascii="宋体" w:hAnsi="宋体" w:eastAsia="宋体" w:cs="宋体"/>
          <w:sz w:val="36"/>
          <w:szCs w:val="36"/>
        </w:rPr>
      </w:pPr>
      <w:bookmarkStart w:id="71" w:name="bookmark36"/>
      <w:bookmarkEnd w:id="71"/>
      <w:r>
        <w:rPr>
          <w:rFonts w:ascii="Times New Roman" w:hAnsi="Times New Roman" w:eastAsia="Times New Roman" w:cs="Times New Roman"/>
          <w:b/>
          <w:bCs/>
          <w:spacing w:val="2"/>
          <w:sz w:val="36"/>
          <w:szCs w:val="36"/>
        </w:rPr>
        <w:t xml:space="preserve">1.34     </w:t>
      </w:r>
      <w:r>
        <w:rPr>
          <w:rFonts w:ascii="宋体" w:hAnsi="宋体" w:eastAsia="宋体" w:cs="宋体"/>
          <w:b/>
          <w:bCs/>
          <w:spacing w:val="2"/>
          <w:sz w:val="36"/>
          <w:szCs w:val="36"/>
        </w:rPr>
        <w:t>设计定型试验大纲</w:t>
      </w:r>
    </w:p>
    <w:p w14:paraId="2B5095B4">
      <w:pPr>
        <w:pStyle w:val="2"/>
        <w:spacing w:line="312" w:lineRule="auto"/>
      </w:pPr>
    </w:p>
    <w:p w14:paraId="371E19AF">
      <w:pPr>
        <w:spacing w:before="91" w:line="223" w:lineRule="auto"/>
        <w:ind w:left="57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35"/>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11F099B6">
      <w:pPr>
        <w:spacing w:before="154" w:line="221" w:lineRule="auto"/>
        <w:ind w:left="10"/>
        <w:rPr>
          <w:rFonts w:ascii="黑体" w:hAnsi="黑体" w:eastAsia="黑体" w:cs="黑体"/>
          <w:sz w:val="24"/>
          <w:szCs w:val="24"/>
        </w:rPr>
      </w:pPr>
      <w:r>
        <w:rPr>
          <w:rFonts w:ascii="黑体" w:hAnsi="黑体" w:eastAsia="黑体" w:cs="黑体"/>
          <w:spacing w:val="27"/>
          <w:sz w:val="24"/>
          <w:szCs w:val="24"/>
        </w:rPr>
        <w:t>1</w:t>
      </w:r>
      <w:r>
        <w:rPr>
          <w:rFonts w:ascii="黑体" w:hAnsi="黑体" w:eastAsia="黑体" w:cs="黑体"/>
          <w:spacing w:val="42"/>
          <w:sz w:val="24"/>
          <w:szCs w:val="24"/>
        </w:rPr>
        <w:t xml:space="preserve">  </w:t>
      </w:r>
      <w:r>
        <w:rPr>
          <w:rFonts w:ascii="黑体" w:hAnsi="黑体" w:eastAsia="黑体" w:cs="黑体"/>
          <w:spacing w:val="27"/>
          <w:sz w:val="24"/>
          <w:szCs w:val="24"/>
        </w:rPr>
        <w:t>编制大纲的依据</w:t>
      </w:r>
    </w:p>
    <w:p w14:paraId="4CA8653B">
      <w:pPr>
        <w:spacing w:before="97" w:line="283" w:lineRule="auto"/>
        <w:ind w:left="10" w:right="2" w:firstLine="560"/>
        <w:rPr>
          <w:rFonts w:ascii="宋体" w:hAnsi="宋体" w:eastAsia="宋体" w:cs="宋体"/>
          <w:sz w:val="27"/>
          <w:szCs w:val="27"/>
        </w:rPr>
      </w:pPr>
      <w:r>
        <w:rPr>
          <w:rFonts w:ascii="宋体" w:hAnsi="宋体" w:eastAsia="宋体" w:cs="宋体"/>
          <w:spacing w:val="-3"/>
          <w:sz w:val="27"/>
          <w:szCs w:val="27"/>
        </w:rPr>
        <w:t>说明编制设计定型试验大纲的依据，主要包括研制总要求，通用规范，产品</w:t>
      </w:r>
      <w:r>
        <w:rPr>
          <w:rFonts w:ascii="宋体" w:hAnsi="宋体" w:eastAsia="宋体" w:cs="宋体"/>
          <w:spacing w:val="5"/>
          <w:sz w:val="27"/>
          <w:szCs w:val="27"/>
        </w:rPr>
        <w:t xml:space="preserve"> </w:t>
      </w:r>
      <w:r>
        <w:rPr>
          <w:rFonts w:ascii="宋体" w:hAnsi="宋体" w:eastAsia="宋体" w:cs="宋体"/>
          <w:spacing w:val="-11"/>
          <w:sz w:val="27"/>
          <w:szCs w:val="27"/>
        </w:rPr>
        <w:t>规范，有关试验规范等。</w:t>
      </w:r>
    </w:p>
    <w:p w14:paraId="02987F72">
      <w:pPr>
        <w:pStyle w:val="2"/>
        <w:spacing w:before="1" w:line="220" w:lineRule="auto"/>
        <w:ind w:left="10"/>
        <w:rPr>
          <w:rFonts w:ascii="黑体" w:hAnsi="黑体" w:eastAsia="黑体" w:cs="黑体"/>
          <w:sz w:val="27"/>
          <w:szCs w:val="27"/>
        </w:rPr>
      </w:pPr>
      <w:r>
        <w:rPr>
          <w:spacing w:val="3"/>
          <w:sz w:val="27"/>
          <w:szCs w:val="27"/>
        </w:rPr>
        <w:t>2</w:t>
      </w:r>
      <w:r>
        <w:rPr>
          <w:spacing w:val="18"/>
          <w:w w:val="101"/>
          <w:sz w:val="27"/>
          <w:szCs w:val="27"/>
        </w:rPr>
        <w:t xml:space="preserve">   </w:t>
      </w:r>
      <w:r>
        <w:rPr>
          <w:rFonts w:ascii="黑体" w:hAnsi="黑体" w:eastAsia="黑体" w:cs="黑体"/>
          <w:spacing w:val="3"/>
          <w:sz w:val="27"/>
          <w:szCs w:val="27"/>
        </w:rPr>
        <w:t>试验目的和性质</w:t>
      </w:r>
    </w:p>
    <w:p w14:paraId="5DD9A86A">
      <w:pPr>
        <w:spacing w:before="121" w:line="281" w:lineRule="auto"/>
        <w:ind w:left="10" w:firstLine="560"/>
        <w:jc w:val="both"/>
        <w:rPr>
          <w:rFonts w:ascii="宋体" w:hAnsi="宋体" w:eastAsia="宋体" w:cs="宋体"/>
          <w:sz w:val="27"/>
          <w:szCs w:val="27"/>
        </w:rPr>
      </w:pPr>
      <w:r>
        <w:rPr>
          <w:rFonts w:ascii="宋体" w:hAnsi="宋体" w:eastAsia="宋体" w:cs="宋体"/>
          <w:spacing w:val="1"/>
          <w:sz w:val="27"/>
          <w:szCs w:val="27"/>
        </w:rPr>
        <w:t>设计定型试验包括试验基地(含总装备部授权或二级定委认可的试验场、试</w:t>
      </w:r>
      <w:r>
        <w:rPr>
          <w:rFonts w:ascii="宋体" w:hAnsi="宋体" w:eastAsia="宋体" w:cs="宋体"/>
          <w:spacing w:val="11"/>
          <w:sz w:val="27"/>
          <w:szCs w:val="27"/>
        </w:rPr>
        <w:t xml:space="preserve"> </w:t>
      </w:r>
      <w:r>
        <w:rPr>
          <w:rFonts w:ascii="宋体" w:hAnsi="宋体" w:eastAsia="宋体" w:cs="宋体"/>
          <w:spacing w:val="9"/>
          <w:sz w:val="27"/>
          <w:szCs w:val="27"/>
        </w:rPr>
        <w:t xml:space="preserve">验中心及其他单位)试验和部队试验。试验基地试验主要考核产品是否达到研 </w:t>
      </w:r>
      <w:r>
        <w:rPr>
          <w:rFonts w:ascii="宋体" w:hAnsi="宋体" w:eastAsia="宋体" w:cs="宋体"/>
          <w:spacing w:val="5"/>
          <w:sz w:val="27"/>
          <w:szCs w:val="27"/>
        </w:rPr>
        <w:t>制总要求规定的战术技术指标。部队试验主要考核产品作战使用性能和部队适</w:t>
      </w:r>
      <w:r>
        <w:rPr>
          <w:rFonts w:ascii="宋体" w:hAnsi="宋体" w:eastAsia="宋体" w:cs="宋体"/>
          <w:spacing w:val="9"/>
          <w:sz w:val="27"/>
          <w:szCs w:val="27"/>
        </w:rPr>
        <w:t xml:space="preserve"> </w:t>
      </w:r>
      <w:r>
        <w:rPr>
          <w:rFonts w:ascii="宋体" w:hAnsi="宋体" w:eastAsia="宋体" w:cs="宋体"/>
          <w:spacing w:val="-10"/>
          <w:sz w:val="27"/>
          <w:szCs w:val="27"/>
        </w:rPr>
        <w:t>应性，并对编配方案、训练要求等提出建议。</w:t>
      </w:r>
    </w:p>
    <w:p w14:paraId="007E926B">
      <w:pPr>
        <w:spacing w:before="41" w:line="221" w:lineRule="auto"/>
        <w:ind w:left="10"/>
        <w:rPr>
          <w:rFonts w:ascii="黑体" w:hAnsi="黑体" w:eastAsia="黑体" w:cs="黑体"/>
          <w:sz w:val="24"/>
          <w:szCs w:val="24"/>
        </w:rPr>
      </w:pPr>
      <w:r>
        <w:rPr>
          <w:rFonts w:ascii="黑体" w:hAnsi="黑体" w:eastAsia="黑体" w:cs="黑体"/>
          <w:spacing w:val="20"/>
          <w:sz w:val="24"/>
          <w:szCs w:val="24"/>
        </w:rPr>
        <w:t>3</w:t>
      </w:r>
      <w:r>
        <w:rPr>
          <w:rFonts w:ascii="黑体" w:hAnsi="黑体" w:eastAsia="黑体" w:cs="黑体"/>
          <w:spacing w:val="40"/>
          <w:sz w:val="24"/>
          <w:szCs w:val="24"/>
        </w:rPr>
        <w:t xml:space="preserve">  </w:t>
      </w:r>
      <w:r>
        <w:rPr>
          <w:rFonts w:ascii="黑体" w:hAnsi="黑体" w:eastAsia="黑体" w:cs="黑体"/>
          <w:spacing w:val="20"/>
          <w:sz w:val="24"/>
          <w:szCs w:val="24"/>
        </w:rPr>
        <w:t>被试品、陪试品、配套设备的数量和技术状态</w:t>
      </w:r>
    </w:p>
    <w:p w14:paraId="2175B20A">
      <w:pPr>
        <w:pStyle w:val="2"/>
        <w:spacing w:before="55" w:line="368" w:lineRule="exact"/>
        <w:ind w:left="10"/>
        <w:rPr>
          <w:rFonts w:ascii="黑体" w:hAnsi="黑体" w:eastAsia="黑体" w:cs="黑体"/>
          <w:sz w:val="27"/>
          <w:szCs w:val="27"/>
        </w:rPr>
      </w:pPr>
      <w:r>
        <w:rPr>
          <w:spacing w:val="2"/>
          <w:position w:val="1"/>
          <w:sz w:val="27"/>
          <w:szCs w:val="27"/>
        </w:rPr>
        <w:t>3.1</w:t>
      </w:r>
      <w:r>
        <w:rPr>
          <w:spacing w:val="12"/>
          <w:position w:val="1"/>
          <w:sz w:val="27"/>
          <w:szCs w:val="27"/>
        </w:rPr>
        <w:t xml:space="preserve">    </w:t>
      </w:r>
      <w:r>
        <w:rPr>
          <w:rFonts w:ascii="黑体" w:hAnsi="黑体" w:eastAsia="黑体" w:cs="黑体"/>
          <w:spacing w:val="2"/>
          <w:position w:val="1"/>
          <w:sz w:val="27"/>
          <w:szCs w:val="27"/>
        </w:rPr>
        <w:t>被试品的数量和技术状态</w:t>
      </w:r>
    </w:p>
    <w:p w14:paraId="0D27F362">
      <w:pPr>
        <w:spacing w:before="101" w:line="219" w:lineRule="auto"/>
        <w:ind w:left="570"/>
        <w:rPr>
          <w:rFonts w:ascii="宋体" w:hAnsi="宋体" w:eastAsia="宋体" w:cs="宋体"/>
          <w:sz w:val="27"/>
          <w:szCs w:val="27"/>
        </w:rPr>
      </w:pPr>
      <w:r>
        <w:rPr>
          <w:rFonts w:ascii="宋体" w:hAnsi="宋体" w:eastAsia="宋体" w:cs="宋体"/>
          <w:spacing w:val="-4"/>
          <w:sz w:val="27"/>
          <w:szCs w:val="27"/>
        </w:rPr>
        <w:t>规定被试品的品种、数量和技术状态，规定提供渠道</w:t>
      </w:r>
      <w:r>
        <w:rPr>
          <w:rFonts w:ascii="宋体" w:hAnsi="宋体" w:eastAsia="宋体" w:cs="宋体"/>
          <w:spacing w:val="-5"/>
          <w:sz w:val="27"/>
          <w:szCs w:val="27"/>
        </w:rPr>
        <w:t>和交接方法。</w:t>
      </w:r>
    </w:p>
    <w:p w14:paraId="10D39FCA">
      <w:pPr>
        <w:pStyle w:val="2"/>
        <w:spacing w:before="81" w:line="368" w:lineRule="exact"/>
        <w:ind w:left="10"/>
        <w:rPr>
          <w:rFonts w:ascii="黑体" w:hAnsi="黑体" w:eastAsia="黑体" w:cs="黑体"/>
          <w:sz w:val="27"/>
          <w:szCs w:val="27"/>
        </w:rPr>
      </w:pPr>
      <w:r>
        <w:rPr>
          <w:spacing w:val="3"/>
          <w:position w:val="1"/>
          <w:sz w:val="27"/>
          <w:szCs w:val="27"/>
        </w:rPr>
        <w:t>3.2</w:t>
      </w:r>
      <w:r>
        <w:rPr>
          <w:spacing w:val="13"/>
          <w:position w:val="1"/>
          <w:sz w:val="27"/>
          <w:szCs w:val="27"/>
        </w:rPr>
        <w:t xml:space="preserve">    </w:t>
      </w:r>
      <w:r>
        <w:rPr>
          <w:rFonts w:ascii="黑体" w:hAnsi="黑体" w:eastAsia="黑体" w:cs="黑体"/>
          <w:spacing w:val="3"/>
          <w:position w:val="1"/>
          <w:sz w:val="27"/>
          <w:szCs w:val="27"/>
        </w:rPr>
        <w:t>陪试品的数量和技术状态</w:t>
      </w:r>
    </w:p>
    <w:p w14:paraId="3471EB1C">
      <w:pPr>
        <w:spacing w:before="120" w:line="219" w:lineRule="auto"/>
        <w:ind w:left="570"/>
        <w:rPr>
          <w:rFonts w:ascii="宋体" w:hAnsi="宋体" w:eastAsia="宋体" w:cs="宋体"/>
          <w:sz w:val="25"/>
          <w:szCs w:val="25"/>
        </w:rPr>
      </w:pPr>
      <w:r>
        <w:rPr>
          <w:rFonts w:ascii="宋体" w:hAnsi="宋体" w:eastAsia="宋体" w:cs="宋体"/>
          <w:spacing w:val="15"/>
          <w:sz w:val="25"/>
          <w:szCs w:val="25"/>
        </w:rPr>
        <w:t>规定陪试品的品种、数量和技术状态，规定提供渠道和交接方法。</w:t>
      </w:r>
    </w:p>
    <w:p w14:paraId="398D0787">
      <w:pPr>
        <w:spacing w:before="143" w:line="222" w:lineRule="auto"/>
        <w:ind w:left="10"/>
        <w:rPr>
          <w:rFonts w:ascii="黑体" w:hAnsi="黑体" w:eastAsia="黑体" w:cs="黑体"/>
          <w:sz w:val="24"/>
          <w:szCs w:val="24"/>
        </w:rPr>
      </w:pPr>
      <w:r>
        <w:rPr>
          <w:rFonts w:ascii="黑体" w:hAnsi="黑体" w:eastAsia="黑体" w:cs="黑体"/>
          <w:spacing w:val="28"/>
          <w:sz w:val="24"/>
          <w:szCs w:val="24"/>
        </w:rPr>
        <w:t>3.3</w:t>
      </w:r>
      <w:r>
        <w:rPr>
          <w:rFonts w:ascii="黑体" w:hAnsi="黑体" w:eastAsia="黑体" w:cs="黑体"/>
          <w:spacing w:val="55"/>
          <w:sz w:val="24"/>
          <w:szCs w:val="24"/>
        </w:rPr>
        <w:t xml:space="preserve">  </w:t>
      </w:r>
      <w:r>
        <w:rPr>
          <w:rFonts w:ascii="黑体" w:hAnsi="黑体" w:eastAsia="黑体" w:cs="黑体"/>
          <w:spacing w:val="28"/>
          <w:sz w:val="24"/>
          <w:szCs w:val="24"/>
        </w:rPr>
        <w:t>配套设备的数量和技术状态</w:t>
      </w:r>
    </w:p>
    <w:p w14:paraId="53ECF1CD">
      <w:pPr>
        <w:spacing w:before="103" w:line="219" w:lineRule="auto"/>
        <w:ind w:left="570"/>
        <w:rPr>
          <w:rFonts w:ascii="宋体" w:hAnsi="宋体" w:eastAsia="宋体" w:cs="宋体"/>
          <w:sz w:val="27"/>
          <w:szCs w:val="27"/>
        </w:rPr>
      </w:pPr>
      <w:r>
        <w:rPr>
          <w:rFonts w:ascii="宋体" w:hAnsi="宋体" w:eastAsia="宋体" w:cs="宋体"/>
          <w:spacing w:val="-5"/>
          <w:sz w:val="27"/>
          <w:szCs w:val="27"/>
        </w:rPr>
        <w:t>规定配套设备的品种、数量和技术状态，规定提供渠道和交接方法。</w:t>
      </w:r>
    </w:p>
    <w:p w14:paraId="0F0B73BA">
      <w:pPr>
        <w:pStyle w:val="2"/>
        <w:spacing w:before="128" w:line="221" w:lineRule="auto"/>
        <w:ind w:left="10"/>
        <w:rPr>
          <w:rFonts w:ascii="黑体" w:hAnsi="黑体" w:eastAsia="黑体" w:cs="黑体"/>
          <w:sz w:val="24"/>
          <w:szCs w:val="24"/>
        </w:rPr>
      </w:pPr>
      <w:r>
        <w:rPr>
          <w:spacing w:val="20"/>
          <w:sz w:val="24"/>
          <w:szCs w:val="24"/>
        </w:rPr>
        <w:t>4</w:t>
      </w:r>
      <w:r>
        <w:rPr>
          <w:spacing w:val="7"/>
          <w:sz w:val="24"/>
          <w:szCs w:val="24"/>
        </w:rPr>
        <w:t xml:space="preserve">    </w:t>
      </w:r>
      <w:r>
        <w:rPr>
          <w:rFonts w:ascii="黑体" w:hAnsi="黑体" w:eastAsia="黑体" w:cs="黑体"/>
          <w:spacing w:val="20"/>
          <w:sz w:val="24"/>
          <w:szCs w:val="24"/>
        </w:rPr>
        <w:t>试验项目、内容和方法</w:t>
      </w:r>
    </w:p>
    <w:p w14:paraId="63F8E00C">
      <w:pPr>
        <w:spacing w:before="125" w:line="275" w:lineRule="auto"/>
        <w:ind w:left="10" w:right="17" w:firstLine="560"/>
        <w:jc w:val="both"/>
        <w:rPr>
          <w:rFonts w:ascii="宋体" w:hAnsi="宋体" w:eastAsia="宋体" w:cs="宋体"/>
          <w:sz w:val="27"/>
          <w:szCs w:val="27"/>
        </w:rPr>
      </w:pPr>
      <w:r>
        <w:rPr>
          <w:rFonts w:ascii="宋体" w:hAnsi="宋体" w:eastAsia="宋体" w:cs="宋体"/>
          <w:spacing w:val="5"/>
          <w:sz w:val="27"/>
          <w:szCs w:val="27"/>
        </w:rPr>
        <w:t>依据研制总要求或研制合同提出的产品功能性能要求和相关国家军用标准</w:t>
      </w:r>
      <w:r>
        <w:rPr>
          <w:rFonts w:ascii="宋体" w:hAnsi="宋体" w:eastAsia="宋体" w:cs="宋体"/>
          <w:spacing w:val="1"/>
          <w:sz w:val="27"/>
          <w:szCs w:val="27"/>
        </w:rPr>
        <w:t xml:space="preserve"> </w:t>
      </w:r>
      <w:r>
        <w:rPr>
          <w:rFonts w:ascii="宋体" w:hAnsi="宋体" w:eastAsia="宋体" w:cs="宋体"/>
          <w:spacing w:val="-3"/>
          <w:sz w:val="27"/>
          <w:szCs w:val="27"/>
        </w:rPr>
        <w:t>规定的试验方法，规定设计定型试验项目、内容和方法。可根据具体情况用文字</w:t>
      </w:r>
      <w:r>
        <w:rPr>
          <w:rFonts w:ascii="宋体" w:hAnsi="宋体" w:eastAsia="宋体" w:cs="宋体"/>
          <w:spacing w:val="16"/>
          <w:sz w:val="27"/>
          <w:szCs w:val="27"/>
        </w:rPr>
        <w:t xml:space="preserve"> </w:t>
      </w:r>
      <w:r>
        <w:rPr>
          <w:rFonts w:ascii="宋体" w:hAnsi="宋体" w:eastAsia="宋体" w:cs="宋体"/>
          <w:spacing w:val="2"/>
          <w:sz w:val="27"/>
          <w:szCs w:val="27"/>
        </w:rPr>
        <w:t>逐项描述或使用表格形式。</w:t>
      </w:r>
    </w:p>
    <w:p w14:paraId="2442B941">
      <w:pPr>
        <w:spacing w:line="275" w:lineRule="auto"/>
        <w:rPr>
          <w:rFonts w:ascii="宋体" w:hAnsi="宋体" w:eastAsia="宋体" w:cs="宋体"/>
          <w:sz w:val="27"/>
          <w:szCs w:val="27"/>
        </w:rPr>
        <w:sectPr>
          <w:footerReference r:id="rId122" w:type="default"/>
          <w:pgSz w:w="11910" w:h="17130"/>
          <w:pgMar w:top="400" w:right="1239" w:bottom="1707" w:left="1279" w:header="0" w:footer="1490" w:gutter="0"/>
          <w:cols w:space="720" w:num="1"/>
        </w:sectPr>
      </w:pPr>
    </w:p>
    <w:p w14:paraId="1AE17E15">
      <w:pPr>
        <w:pStyle w:val="2"/>
        <w:spacing w:line="280" w:lineRule="auto"/>
      </w:pPr>
    </w:p>
    <w:p w14:paraId="7A3A04A1">
      <w:pPr>
        <w:pStyle w:val="2"/>
        <w:spacing w:line="280" w:lineRule="auto"/>
      </w:pPr>
    </w:p>
    <w:p w14:paraId="4BF3F3CC">
      <w:pPr>
        <w:pStyle w:val="2"/>
        <w:spacing w:line="281" w:lineRule="auto"/>
      </w:pPr>
    </w:p>
    <w:p w14:paraId="34B7D0D1">
      <w:pPr>
        <w:pStyle w:val="2"/>
        <w:spacing w:line="281" w:lineRule="auto"/>
      </w:pPr>
    </w:p>
    <w:p w14:paraId="23A3994A">
      <w:pPr>
        <w:spacing w:before="78" w:line="221" w:lineRule="auto"/>
        <w:rPr>
          <w:rFonts w:ascii="黑体" w:hAnsi="黑体" w:eastAsia="黑体" w:cs="黑体"/>
          <w:sz w:val="24"/>
          <w:szCs w:val="24"/>
        </w:rPr>
      </w:pPr>
      <w:r>
        <w:rPr>
          <w:rFonts w:ascii="黑体" w:hAnsi="黑体" w:eastAsia="黑体" w:cs="黑体"/>
          <w:spacing w:val="7"/>
          <w:sz w:val="24"/>
          <w:szCs w:val="24"/>
        </w:rPr>
        <w:t>5</w:t>
      </w:r>
      <w:r>
        <w:rPr>
          <w:rFonts w:ascii="黑体" w:hAnsi="黑体" w:eastAsia="黑体" w:cs="黑体"/>
          <w:spacing w:val="32"/>
          <w:sz w:val="24"/>
          <w:szCs w:val="24"/>
        </w:rPr>
        <w:t xml:space="preserve">  </w:t>
      </w:r>
      <w:r>
        <w:rPr>
          <w:rFonts w:ascii="黑体" w:hAnsi="黑体" w:eastAsia="黑体" w:cs="黑体"/>
          <w:spacing w:val="7"/>
          <w:sz w:val="24"/>
          <w:szCs w:val="24"/>
        </w:rPr>
        <w:t>主要测试、测量设备的名称、精度、数</w:t>
      </w:r>
      <w:r>
        <w:rPr>
          <w:rFonts w:ascii="黑体" w:hAnsi="黑体" w:eastAsia="黑体" w:cs="黑体"/>
          <w:spacing w:val="-21"/>
          <w:sz w:val="24"/>
          <w:szCs w:val="24"/>
        </w:rPr>
        <w:t xml:space="preserve"> </w:t>
      </w:r>
      <w:r>
        <w:rPr>
          <w:rFonts w:ascii="黑体" w:hAnsi="黑体" w:eastAsia="黑体" w:cs="黑体"/>
          <w:spacing w:val="7"/>
          <w:sz w:val="24"/>
          <w:szCs w:val="24"/>
        </w:rPr>
        <w:t>量</w:t>
      </w:r>
    </w:p>
    <w:p w14:paraId="5A13AF81">
      <w:pPr>
        <w:spacing w:before="84" w:line="219" w:lineRule="auto"/>
        <w:ind w:left="560"/>
        <w:rPr>
          <w:rFonts w:ascii="宋体" w:hAnsi="宋体" w:eastAsia="宋体" w:cs="宋体"/>
          <w:sz w:val="27"/>
          <w:szCs w:val="27"/>
        </w:rPr>
      </w:pPr>
      <w:r>
        <w:rPr>
          <w:rFonts w:ascii="宋体" w:hAnsi="宋体" w:eastAsia="宋体" w:cs="宋体"/>
          <w:spacing w:val="-9"/>
          <w:sz w:val="27"/>
          <w:szCs w:val="27"/>
        </w:rPr>
        <w:t>列表给出主要测试、测量设备的名称、精度、数量等信息，见</w:t>
      </w:r>
      <w:r>
        <w:rPr>
          <w:rFonts w:ascii="宋体" w:hAnsi="宋体" w:eastAsia="宋体" w:cs="宋体"/>
          <w:spacing w:val="-10"/>
          <w:sz w:val="27"/>
          <w:szCs w:val="27"/>
        </w:rPr>
        <w:t>表1.8。</w:t>
      </w:r>
    </w:p>
    <w:p w14:paraId="312FF506">
      <w:pPr>
        <w:spacing w:before="119" w:line="223" w:lineRule="auto"/>
        <w:ind w:left="3040"/>
        <w:rPr>
          <w:rFonts w:ascii="仿宋" w:hAnsi="仿宋" w:eastAsia="仿宋" w:cs="仿宋"/>
          <w:sz w:val="24"/>
          <w:szCs w:val="24"/>
        </w:rPr>
      </w:pPr>
      <w:r>
        <w:rPr>
          <w:rFonts w:ascii="仿宋" w:hAnsi="仿宋" w:eastAsia="仿宋" w:cs="仿宋"/>
          <w:spacing w:val="13"/>
          <w:sz w:val="24"/>
          <w:szCs w:val="24"/>
        </w:rPr>
        <w:t>表1</w:t>
      </w:r>
      <w:r>
        <w:rPr>
          <w:rFonts w:ascii="仿宋" w:hAnsi="仿宋" w:eastAsia="仿宋" w:cs="仿宋"/>
          <w:spacing w:val="-56"/>
          <w:sz w:val="24"/>
          <w:szCs w:val="24"/>
        </w:rPr>
        <w:t xml:space="preserve"> </w:t>
      </w:r>
      <w:r>
        <w:rPr>
          <w:rFonts w:ascii="仿宋" w:hAnsi="仿宋" w:eastAsia="仿宋" w:cs="仿宋"/>
          <w:spacing w:val="13"/>
          <w:sz w:val="24"/>
          <w:szCs w:val="24"/>
        </w:rPr>
        <w:t>.</w:t>
      </w:r>
      <w:r>
        <w:rPr>
          <w:rFonts w:ascii="仿宋" w:hAnsi="仿宋" w:eastAsia="仿宋" w:cs="仿宋"/>
          <w:spacing w:val="-63"/>
          <w:sz w:val="24"/>
          <w:szCs w:val="24"/>
        </w:rPr>
        <w:t xml:space="preserve"> </w:t>
      </w:r>
      <w:r>
        <w:rPr>
          <w:rFonts w:ascii="仿宋" w:hAnsi="仿宋" w:eastAsia="仿宋" w:cs="仿宋"/>
          <w:spacing w:val="13"/>
          <w:sz w:val="24"/>
          <w:szCs w:val="24"/>
        </w:rPr>
        <w:t>8</w:t>
      </w:r>
      <w:r>
        <w:rPr>
          <w:rFonts w:ascii="仿宋" w:hAnsi="仿宋" w:eastAsia="仿宋" w:cs="仿宋"/>
          <w:spacing w:val="32"/>
          <w:sz w:val="24"/>
          <w:szCs w:val="24"/>
        </w:rPr>
        <w:t xml:space="preserve">  </w:t>
      </w:r>
      <w:r>
        <w:rPr>
          <w:rFonts w:ascii="仿宋" w:hAnsi="仿宋" w:eastAsia="仿宋" w:cs="仿宋"/>
          <w:spacing w:val="13"/>
          <w:sz w:val="24"/>
          <w:szCs w:val="24"/>
        </w:rPr>
        <w:t>主要测试、测量设备</w:t>
      </w:r>
    </w:p>
    <w:p w14:paraId="62679462">
      <w:pPr>
        <w:spacing w:line="106" w:lineRule="exact"/>
      </w:pPr>
    </w:p>
    <w:tbl>
      <w:tblPr>
        <w:tblStyle w:val="5"/>
        <w:tblW w:w="937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3126"/>
        <w:gridCol w:w="1878"/>
        <w:gridCol w:w="1268"/>
        <w:gridCol w:w="2263"/>
      </w:tblGrid>
      <w:tr w14:paraId="07D13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844" w:type="dxa"/>
            <w:vAlign w:val="top"/>
          </w:tcPr>
          <w:p w14:paraId="0E2EA599">
            <w:pPr>
              <w:spacing w:before="104" w:line="221" w:lineRule="auto"/>
              <w:ind w:left="194"/>
              <w:rPr>
                <w:rFonts w:ascii="宋体" w:hAnsi="宋体" w:eastAsia="宋体" w:cs="宋体"/>
                <w:sz w:val="21"/>
                <w:szCs w:val="21"/>
              </w:rPr>
            </w:pPr>
            <w:r>
              <w:rPr>
                <w:rFonts w:ascii="宋体" w:hAnsi="宋体" w:eastAsia="宋体" w:cs="宋体"/>
                <w:spacing w:val="6"/>
                <w:sz w:val="21"/>
                <w:szCs w:val="21"/>
              </w:rPr>
              <w:t>序号</w:t>
            </w:r>
          </w:p>
        </w:tc>
        <w:tc>
          <w:tcPr>
            <w:tcW w:w="3126" w:type="dxa"/>
            <w:vAlign w:val="top"/>
          </w:tcPr>
          <w:p w14:paraId="4FE467C3">
            <w:pPr>
              <w:spacing w:before="104" w:line="221" w:lineRule="auto"/>
              <w:ind w:left="1040"/>
              <w:rPr>
                <w:rFonts w:ascii="宋体" w:hAnsi="宋体" w:eastAsia="宋体" w:cs="宋体"/>
                <w:sz w:val="21"/>
                <w:szCs w:val="21"/>
              </w:rPr>
            </w:pPr>
            <w:r>
              <w:rPr>
                <w:rFonts w:ascii="宋体" w:hAnsi="宋体" w:eastAsia="宋体" w:cs="宋体"/>
                <w:spacing w:val="2"/>
                <w:sz w:val="21"/>
                <w:szCs w:val="21"/>
              </w:rPr>
              <w:t>型号和名称</w:t>
            </w:r>
          </w:p>
        </w:tc>
        <w:tc>
          <w:tcPr>
            <w:tcW w:w="1878" w:type="dxa"/>
            <w:vAlign w:val="top"/>
          </w:tcPr>
          <w:p w14:paraId="7FA334DC">
            <w:pPr>
              <w:spacing w:before="102" w:line="219" w:lineRule="auto"/>
              <w:ind w:left="714"/>
              <w:rPr>
                <w:rFonts w:ascii="宋体" w:hAnsi="宋体" w:eastAsia="宋体" w:cs="宋体"/>
                <w:sz w:val="21"/>
                <w:szCs w:val="21"/>
              </w:rPr>
            </w:pPr>
            <w:r>
              <w:rPr>
                <w:rFonts w:ascii="宋体" w:hAnsi="宋体" w:eastAsia="宋体" w:cs="宋体"/>
                <w:spacing w:val="6"/>
                <w:sz w:val="21"/>
                <w:szCs w:val="21"/>
              </w:rPr>
              <w:t>精度</w:t>
            </w:r>
          </w:p>
        </w:tc>
        <w:tc>
          <w:tcPr>
            <w:tcW w:w="1268" w:type="dxa"/>
            <w:vAlign w:val="top"/>
          </w:tcPr>
          <w:p w14:paraId="53405C8B">
            <w:pPr>
              <w:spacing w:before="103" w:line="219" w:lineRule="auto"/>
              <w:ind w:left="417"/>
              <w:rPr>
                <w:rFonts w:ascii="宋体" w:hAnsi="宋体" w:eastAsia="宋体" w:cs="宋体"/>
                <w:sz w:val="21"/>
                <w:szCs w:val="21"/>
              </w:rPr>
            </w:pPr>
            <w:r>
              <w:rPr>
                <w:rFonts w:ascii="宋体" w:hAnsi="宋体" w:eastAsia="宋体" w:cs="宋体"/>
                <w:spacing w:val="-3"/>
                <w:sz w:val="21"/>
                <w:szCs w:val="21"/>
              </w:rPr>
              <w:t>数量</w:t>
            </w:r>
          </w:p>
        </w:tc>
        <w:tc>
          <w:tcPr>
            <w:tcW w:w="2263" w:type="dxa"/>
            <w:vAlign w:val="top"/>
          </w:tcPr>
          <w:p w14:paraId="04A78857">
            <w:pPr>
              <w:spacing w:before="102" w:line="219" w:lineRule="auto"/>
              <w:ind w:left="718"/>
              <w:rPr>
                <w:rFonts w:ascii="宋体" w:hAnsi="宋体" w:eastAsia="宋体" w:cs="宋体"/>
                <w:sz w:val="21"/>
                <w:szCs w:val="21"/>
              </w:rPr>
            </w:pPr>
            <w:r>
              <w:rPr>
                <w:rFonts w:ascii="宋体" w:hAnsi="宋体" w:eastAsia="宋体" w:cs="宋体"/>
                <w:spacing w:val="-2"/>
                <w:sz w:val="21"/>
                <w:szCs w:val="21"/>
              </w:rPr>
              <w:t>提供单位</w:t>
            </w:r>
          </w:p>
        </w:tc>
      </w:tr>
      <w:tr w14:paraId="62568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44" w:type="dxa"/>
            <w:vAlign w:val="top"/>
          </w:tcPr>
          <w:p w14:paraId="7F964DA9">
            <w:pPr>
              <w:rPr>
                <w:rFonts w:ascii="Arial"/>
                <w:sz w:val="21"/>
              </w:rPr>
            </w:pPr>
          </w:p>
        </w:tc>
        <w:tc>
          <w:tcPr>
            <w:tcW w:w="3126" w:type="dxa"/>
            <w:vAlign w:val="top"/>
          </w:tcPr>
          <w:p w14:paraId="68E843F4">
            <w:pPr>
              <w:rPr>
                <w:rFonts w:ascii="Arial"/>
                <w:sz w:val="21"/>
              </w:rPr>
            </w:pPr>
          </w:p>
        </w:tc>
        <w:tc>
          <w:tcPr>
            <w:tcW w:w="1878" w:type="dxa"/>
            <w:vAlign w:val="top"/>
          </w:tcPr>
          <w:p w14:paraId="357A1BFD">
            <w:pPr>
              <w:rPr>
                <w:rFonts w:ascii="Arial"/>
                <w:sz w:val="21"/>
              </w:rPr>
            </w:pPr>
          </w:p>
        </w:tc>
        <w:tc>
          <w:tcPr>
            <w:tcW w:w="1268" w:type="dxa"/>
            <w:vAlign w:val="top"/>
          </w:tcPr>
          <w:p w14:paraId="3734C1DE">
            <w:pPr>
              <w:rPr>
                <w:rFonts w:ascii="Arial"/>
                <w:sz w:val="21"/>
              </w:rPr>
            </w:pPr>
          </w:p>
        </w:tc>
        <w:tc>
          <w:tcPr>
            <w:tcW w:w="2263" w:type="dxa"/>
            <w:vAlign w:val="top"/>
          </w:tcPr>
          <w:p w14:paraId="3CFE816C">
            <w:pPr>
              <w:rPr>
                <w:rFonts w:ascii="Arial"/>
                <w:sz w:val="21"/>
              </w:rPr>
            </w:pPr>
          </w:p>
        </w:tc>
      </w:tr>
      <w:tr w14:paraId="4C282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844" w:type="dxa"/>
            <w:vAlign w:val="top"/>
          </w:tcPr>
          <w:p w14:paraId="65CB1D34">
            <w:pPr>
              <w:rPr>
                <w:rFonts w:ascii="Arial"/>
                <w:sz w:val="21"/>
              </w:rPr>
            </w:pPr>
          </w:p>
        </w:tc>
        <w:tc>
          <w:tcPr>
            <w:tcW w:w="3126" w:type="dxa"/>
            <w:vAlign w:val="top"/>
          </w:tcPr>
          <w:p w14:paraId="017A789E">
            <w:pPr>
              <w:rPr>
                <w:rFonts w:ascii="Arial"/>
                <w:sz w:val="21"/>
              </w:rPr>
            </w:pPr>
          </w:p>
        </w:tc>
        <w:tc>
          <w:tcPr>
            <w:tcW w:w="1878" w:type="dxa"/>
            <w:vAlign w:val="top"/>
          </w:tcPr>
          <w:p w14:paraId="50A722F8">
            <w:pPr>
              <w:rPr>
                <w:rFonts w:ascii="Arial"/>
                <w:sz w:val="21"/>
              </w:rPr>
            </w:pPr>
          </w:p>
        </w:tc>
        <w:tc>
          <w:tcPr>
            <w:tcW w:w="1268" w:type="dxa"/>
            <w:vAlign w:val="top"/>
          </w:tcPr>
          <w:p w14:paraId="7E276C4C">
            <w:pPr>
              <w:rPr>
                <w:rFonts w:ascii="Arial"/>
                <w:sz w:val="21"/>
              </w:rPr>
            </w:pPr>
          </w:p>
        </w:tc>
        <w:tc>
          <w:tcPr>
            <w:tcW w:w="2263" w:type="dxa"/>
            <w:vAlign w:val="top"/>
          </w:tcPr>
          <w:p w14:paraId="7B608909">
            <w:pPr>
              <w:rPr>
                <w:rFonts w:ascii="Arial"/>
                <w:sz w:val="21"/>
              </w:rPr>
            </w:pPr>
          </w:p>
        </w:tc>
      </w:tr>
    </w:tbl>
    <w:p w14:paraId="44E657FD">
      <w:pPr>
        <w:pStyle w:val="2"/>
        <w:spacing w:before="145" w:line="368" w:lineRule="exact"/>
        <w:rPr>
          <w:rFonts w:ascii="黑体" w:hAnsi="黑体" w:eastAsia="黑体" w:cs="黑体"/>
          <w:sz w:val="27"/>
          <w:szCs w:val="27"/>
        </w:rPr>
      </w:pPr>
      <w:r>
        <w:rPr>
          <w:spacing w:val="-3"/>
          <w:position w:val="1"/>
          <w:sz w:val="27"/>
          <w:szCs w:val="27"/>
        </w:rPr>
        <w:t>6</w:t>
      </w:r>
      <w:r>
        <w:rPr>
          <w:spacing w:val="23"/>
          <w:position w:val="1"/>
          <w:sz w:val="27"/>
          <w:szCs w:val="27"/>
        </w:rPr>
        <w:t xml:space="preserve">   </w:t>
      </w:r>
      <w:r>
        <w:rPr>
          <w:rFonts w:ascii="黑体" w:hAnsi="黑体" w:eastAsia="黑体" w:cs="黑体"/>
          <w:spacing w:val="-3"/>
          <w:position w:val="1"/>
          <w:sz w:val="27"/>
          <w:szCs w:val="27"/>
        </w:rPr>
        <w:t>试验数据处理原则、方法和合格判定准则</w:t>
      </w:r>
    </w:p>
    <w:p w14:paraId="0F3F1A69">
      <w:pPr>
        <w:spacing w:before="119" w:line="221" w:lineRule="auto"/>
        <w:rPr>
          <w:rFonts w:ascii="黑体" w:hAnsi="黑体" w:eastAsia="黑体" w:cs="黑体"/>
          <w:sz w:val="24"/>
          <w:szCs w:val="24"/>
        </w:rPr>
      </w:pPr>
      <w:r>
        <w:rPr>
          <w:rFonts w:ascii="黑体" w:hAnsi="黑体" w:eastAsia="黑体" w:cs="黑体"/>
          <w:spacing w:val="25"/>
          <w:sz w:val="24"/>
          <w:szCs w:val="24"/>
        </w:rPr>
        <w:t>6.1</w:t>
      </w:r>
      <w:r>
        <w:rPr>
          <w:rFonts w:ascii="黑体" w:hAnsi="黑体" w:eastAsia="黑体" w:cs="黑体"/>
          <w:spacing w:val="58"/>
          <w:sz w:val="24"/>
          <w:szCs w:val="24"/>
        </w:rPr>
        <w:t xml:space="preserve">  </w:t>
      </w:r>
      <w:r>
        <w:rPr>
          <w:rFonts w:ascii="黑体" w:hAnsi="黑体" w:eastAsia="黑体" w:cs="黑体"/>
          <w:spacing w:val="25"/>
          <w:sz w:val="24"/>
          <w:szCs w:val="24"/>
        </w:rPr>
        <w:t>试验数据处理原则</w:t>
      </w:r>
    </w:p>
    <w:p w14:paraId="40FBA630">
      <w:pPr>
        <w:spacing w:before="96" w:line="219" w:lineRule="auto"/>
        <w:ind w:left="560"/>
        <w:rPr>
          <w:rFonts w:ascii="宋体" w:hAnsi="宋体" w:eastAsia="宋体" w:cs="宋体"/>
          <w:sz w:val="27"/>
          <w:szCs w:val="27"/>
        </w:rPr>
      </w:pPr>
      <w:r>
        <w:rPr>
          <w:rFonts w:ascii="宋体" w:hAnsi="宋体" w:eastAsia="宋体" w:cs="宋体"/>
          <w:spacing w:val="2"/>
          <w:sz w:val="27"/>
          <w:szCs w:val="27"/>
        </w:rPr>
        <w:t>规定试验数据的处理原则。</w:t>
      </w:r>
    </w:p>
    <w:p w14:paraId="415CE67E">
      <w:pPr>
        <w:spacing w:before="87" w:line="221" w:lineRule="auto"/>
        <w:rPr>
          <w:rFonts w:ascii="黑体" w:hAnsi="黑体" w:eastAsia="黑体" w:cs="黑体"/>
          <w:sz w:val="27"/>
          <w:szCs w:val="27"/>
        </w:rPr>
      </w:pPr>
      <w:r>
        <w:rPr>
          <w:rFonts w:ascii="黑体" w:hAnsi="黑体" w:eastAsia="黑体" w:cs="黑体"/>
          <w:spacing w:val="4"/>
          <w:sz w:val="27"/>
          <w:szCs w:val="27"/>
        </w:rPr>
        <w:t>6.2</w:t>
      </w:r>
      <w:r>
        <w:rPr>
          <w:rFonts w:ascii="黑体" w:hAnsi="黑体" w:eastAsia="黑体" w:cs="黑体"/>
          <w:spacing w:val="21"/>
          <w:sz w:val="27"/>
          <w:szCs w:val="27"/>
        </w:rPr>
        <w:t xml:space="preserve">  </w:t>
      </w:r>
      <w:r>
        <w:rPr>
          <w:rFonts w:ascii="黑体" w:hAnsi="黑体" w:eastAsia="黑体" w:cs="黑体"/>
          <w:spacing w:val="4"/>
          <w:sz w:val="27"/>
          <w:szCs w:val="27"/>
        </w:rPr>
        <w:t>试验数据处理方法</w:t>
      </w:r>
    </w:p>
    <w:p w14:paraId="5BBC26BB">
      <w:pPr>
        <w:spacing w:before="108" w:line="219" w:lineRule="auto"/>
        <w:ind w:left="560"/>
        <w:rPr>
          <w:rFonts w:ascii="宋体" w:hAnsi="宋体" w:eastAsia="宋体" w:cs="宋体"/>
          <w:sz w:val="27"/>
          <w:szCs w:val="27"/>
        </w:rPr>
      </w:pPr>
      <w:r>
        <w:rPr>
          <w:rFonts w:ascii="宋体" w:hAnsi="宋体" w:eastAsia="宋体" w:cs="宋体"/>
          <w:sz w:val="27"/>
          <w:szCs w:val="27"/>
        </w:rPr>
        <w:t>依据相关国家标准或国家军用标准，规定试验数据的处理方法。</w:t>
      </w:r>
    </w:p>
    <w:p w14:paraId="2568B1CC">
      <w:pPr>
        <w:pStyle w:val="2"/>
        <w:spacing w:before="40" w:line="368" w:lineRule="exact"/>
        <w:rPr>
          <w:rFonts w:ascii="黑体" w:hAnsi="黑体" w:eastAsia="黑体" w:cs="黑体"/>
          <w:sz w:val="27"/>
          <w:szCs w:val="27"/>
        </w:rPr>
      </w:pPr>
      <w:r>
        <w:rPr>
          <w:spacing w:val="5"/>
          <w:position w:val="1"/>
          <w:sz w:val="27"/>
          <w:szCs w:val="27"/>
        </w:rPr>
        <w:t xml:space="preserve">6.3    </w:t>
      </w:r>
      <w:r>
        <w:rPr>
          <w:rFonts w:ascii="黑体" w:hAnsi="黑体" w:eastAsia="黑体" w:cs="黑体"/>
          <w:spacing w:val="5"/>
          <w:position w:val="1"/>
          <w:sz w:val="27"/>
          <w:szCs w:val="27"/>
        </w:rPr>
        <w:t>试验数据合格判定准则</w:t>
      </w:r>
    </w:p>
    <w:p w14:paraId="15A31076">
      <w:pPr>
        <w:spacing w:before="121" w:line="219" w:lineRule="auto"/>
        <w:ind w:left="560"/>
        <w:rPr>
          <w:rFonts w:ascii="宋体" w:hAnsi="宋体" w:eastAsia="宋体" w:cs="宋体"/>
          <w:sz w:val="25"/>
          <w:szCs w:val="25"/>
        </w:rPr>
      </w:pPr>
      <w:r>
        <w:rPr>
          <w:rFonts w:ascii="宋体" w:hAnsi="宋体" w:eastAsia="宋体" w:cs="宋体"/>
          <w:spacing w:val="20"/>
          <w:sz w:val="25"/>
          <w:szCs w:val="25"/>
        </w:rPr>
        <w:t>依据相关国家标准或国家军用标准，规定试验数据的合格判定准则。</w:t>
      </w:r>
    </w:p>
    <w:p w14:paraId="201C73C7">
      <w:pPr>
        <w:pStyle w:val="2"/>
        <w:spacing w:before="112" w:line="221" w:lineRule="auto"/>
        <w:rPr>
          <w:rFonts w:ascii="黑体" w:hAnsi="黑体" w:eastAsia="黑体" w:cs="黑体"/>
          <w:sz w:val="25"/>
          <w:szCs w:val="25"/>
        </w:rPr>
      </w:pPr>
      <w:r>
        <w:rPr>
          <w:spacing w:val="15"/>
          <w:sz w:val="25"/>
          <w:szCs w:val="25"/>
        </w:rPr>
        <w:t>7</w:t>
      </w:r>
      <w:r>
        <w:rPr>
          <w:spacing w:val="4"/>
          <w:sz w:val="25"/>
          <w:szCs w:val="25"/>
        </w:rPr>
        <w:t xml:space="preserve">    </w:t>
      </w:r>
      <w:r>
        <w:rPr>
          <w:rFonts w:ascii="黑体" w:hAnsi="黑体" w:eastAsia="黑体" w:cs="黑体"/>
          <w:spacing w:val="15"/>
          <w:sz w:val="25"/>
          <w:szCs w:val="25"/>
        </w:rPr>
        <w:t>试验组织、参试单位及试验任务分工</w:t>
      </w:r>
    </w:p>
    <w:p w14:paraId="0C9BAEEE">
      <w:pPr>
        <w:spacing w:before="113" w:line="260" w:lineRule="auto"/>
        <w:ind w:right="79" w:firstLine="560"/>
        <w:rPr>
          <w:rFonts w:ascii="宋体" w:hAnsi="宋体" w:eastAsia="宋体" w:cs="宋体"/>
          <w:sz w:val="27"/>
          <w:szCs w:val="27"/>
        </w:rPr>
      </w:pPr>
      <w:r>
        <w:rPr>
          <w:rFonts w:ascii="宋体" w:hAnsi="宋体" w:eastAsia="宋体" w:cs="宋体"/>
          <w:spacing w:val="-3"/>
          <w:sz w:val="27"/>
          <w:szCs w:val="27"/>
        </w:rPr>
        <w:t>应规定试验组织的要求，通常，应根据试验规模组成试验领导组和必要的职</w:t>
      </w:r>
      <w:r>
        <w:rPr>
          <w:rFonts w:ascii="宋体" w:hAnsi="宋体" w:eastAsia="宋体" w:cs="宋体"/>
          <w:spacing w:val="12"/>
          <w:sz w:val="27"/>
          <w:szCs w:val="27"/>
        </w:rPr>
        <w:t xml:space="preserve"> </w:t>
      </w:r>
      <w:r>
        <w:rPr>
          <w:rFonts w:ascii="宋体" w:hAnsi="宋体" w:eastAsia="宋体" w:cs="宋体"/>
          <w:spacing w:val="-5"/>
          <w:sz w:val="27"/>
          <w:szCs w:val="27"/>
        </w:rPr>
        <w:t>能小组，具体负责试验的组织实施，明确参试单位及试验任务分工。</w:t>
      </w:r>
    </w:p>
    <w:p w14:paraId="2F1B9A75">
      <w:pPr>
        <w:pStyle w:val="2"/>
        <w:spacing w:line="368" w:lineRule="exact"/>
        <w:rPr>
          <w:rFonts w:ascii="黑体" w:hAnsi="黑体" w:eastAsia="黑体" w:cs="黑体"/>
          <w:sz w:val="27"/>
          <w:szCs w:val="27"/>
        </w:rPr>
      </w:pPr>
      <w:r>
        <w:rPr>
          <w:spacing w:val="3"/>
          <w:position w:val="1"/>
          <w:sz w:val="27"/>
          <w:szCs w:val="27"/>
        </w:rPr>
        <w:t>8</w:t>
      </w:r>
      <w:r>
        <w:rPr>
          <w:spacing w:val="22"/>
          <w:position w:val="1"/>
          <w:sz w:val="27"/>
          <w:szCs w:val="27"/>
        </w:rPr>
        <w:t xml:space="preserve">   </w:t>
      </w:r>
      <w:r>
        <w:rPr>
          <w:rFonts w:ascii="黑体" w:hAnsi="黑体" w:eastAsia="黑体" w:cs="黑体"/>
          <w:spacing w:val="3"/>
          <w:position w:val="1"/>
          <w:sz w:val="27"/>
          <w:szCs w:val="27"/>
        </w:rPr>
        <w:t>试验网络图和试验的保障措施及要求</w:t>
      </w:r>
    </w:p>
    <w:p w14:paraId="703E8E2C">
      <w:pPr>
        <w:spacing w:before="110" w:line="219" w:lineRule="auto"/>
        <w:ind w:left="560"/>
        <w:rPr>
          <w:rFonts w:ascii="宋体" w:hAnsi="宋体" w:eastAsia="宋体" w:cs="宋体"/>
          <w:sz w:val="27"/>
          <w:szCs w:val="27"/>
        </w:rPr>
      </w:pPr>
      <w:r>
        <w:rPr>
          <w:rFonts w:ascii="宋体" w:hAnsi="宋体" w:eastAsia="宋体" w:cs="宋体"/>
          <w:spacing w:val="-5"/>
          <w:sz w:val="27"/>
          <w:szCs w:val="27"/>
        </w:rPr>
        <w:t>按照项目研制计划和实际情况，</w:t>
      </w:r>
      <w:r>
        <w:rPr>
          <w:rFonts w:ascii="宋体" w:hAnsi="宋体" w:eastAsia="宋体" w:cs="宋体"/>
          <w:b/>
          <w:bCs/>
          <w:spacing w:val="-5"/>
          <w:sz w:val="27"/>
          <w:szCs w:val="27"/>
        </w:rPr>
        <w:t>制定试验计划</w:t>
      </w:r>
      <w:r>
        <w:rPr>
          <w:rFonts w:ascii="宋体" w:hAnsi="宋体" w:eastAsia="宋体" w:cs="宋体"/>
          <w:spacing w:val="-5"/>
          <w:sz w:val="27"/>
          <w:szCs w:val="27"/>
        </w:rPr>
        <w:t>，给出试验网络图。</w:t>
      </w:r>
    </w:p>
    <w:p w14:paraId="7AB65CDA">
      <w:pPr>
        <w:spacing w:before="114" w:line="271" w:lineRule="auto"/>
        <w:ind w:right="83" w:firstLine="560"/>
        <w:rPr>
          <w:rFonts w:ascii="宋体" w:hAnsi="宋体" w:eastAsia="宋体" w:cs="宋体"/>
          <w:sz w:val="27"/>
          <w:szCs w:val="27"/>
        </w:rPr>
      </w:pPr>
      <w:r>
        <w:rPr>
          <w:rFonts w:ascii="宋体" w:hAnsi="宋体" w:eastAsia="宋体" w:cs="宋体"/>
          <w:spacing w:val="-3"/>
          <w:sz w:val="27"/>
          <w:szCs w:val="27"/>
        </w:rPr>
        <w:t>应规定试验保障措施及要求。通常，试验相关的软件、技术文件、资料等应</w:t>
      </w:r>
      <w:r>
        <w:rPr>
          <w:rFonts w:ascii="宋体" w:hAnsi="宋体" w:eastAsia="宋体" w:cs="宋体"/>
          <w:spacing w:val="9"/>
          <w:sz w:val="27"/>
          <w:szCs w:val="27"/>
        </w:rPr>
        <w:t xml:space="preserve"> </w:t>
      </w:r>
      <w:r>
        <w:rPr>
          <w:rFonts w:ascii="宋体" w:hAnsi="宋体" w:eastAsia="宋体" w:cs="宋体"/>
          <w:spacing w:val="-3"/>
          <w:sz w:val="27"/>
          <w:szCs w:val="27"/>
        </w:rPr>
        <w:t>配套齐全。应规定试验场地及主要设施、仪器设备的保障；规定相关技术保障和</w:t>
      </w:r>
      <w:r>
        <w:rPr>
          <w:rFonts w:ascii="宋体" w:hAnsi="宋体" w:eastAsia="宋体" w:cs="宋体"/>
          <w:spacing w:val="15"/>
          <w:sz w:val="27"/>
          <w:szCs w:val="27"/>
        </w:rPr>
        <w:t xml:space="preserve"> </w:t>
      </w:r>
      <w:r>
        <w:rPr>
          <w:rFonts w:ascii="宋体" w:hAnsi="宋体" w:eastAsia="宋体" w:cs="宋体"/>
          <w:sz w:val="27"/>
          <w:szCs w:val="27"/>
        </w:rPr>
        <w:t>人员培训等。</w:t>
      </w:r>
    </w:p>
    <w:p w14:paraId="43CB9DAE">
      <w:pPr>
        <w:spacing w:before="17" w:line="221" w:lineRule="auto"/>
        <w:rPr>
          <w:rFonts w:ascii="黑体" w:hAnsi="黑体" w:eastAsia="黑体" w:cs="黑体"/>
          <w:sz w:val="27"/>
          <w:szCs w:val="27"/>
        </w:rPr>
      </w:pPr>
      <w:r>
        <w:rPr>
          <w:rFonts w:ascii="黑体" w:hAnsi="黑体" w:eastAsia="黑体" w:cs="黑体"/>
          <w:spacing w:val="4"/>
          <w:sz w:val="27"/>
          <w:szCs w:val="27"/>
        </w:rPr>
        <w:t>9  试验安全保证要求</w:t>
      </w:r>
    </w:p>
    <w:p w14:paraId="01DC830B">
      <w:pPr>
        <w:spacing w:before="89" w:line="296" w:lineRule="auto"/>
        <w:ind w:right="81" w:firstLine="560"/>
        <w:rPr>
          <w:rFonts w:ascii="宋体" w:hAnsi="宋体" w:eastAsia="宋体" w:cs="宋体"/>
          <w:sz w:val="27"/>
          <w:szCs w:val="27"/>
        </w:rPr>
      </w:pPr>
      <w:r>
        <w:rPr>
          <w:rFonts w:ascii="宋体" w:hAnsi="宋体" w:eastAsia="宋体" w:cs="宋体"/>
          <w:spacing w:val="6"/>
          <w:sz w:val="27"/>
          <w:szCs w:val="27"/>
        </w:rPr>
        <w:t>应根据被试品的特点和使用要求，结合试验条件，</w:t>
      </w:r>
      <w:r>
        <w:rPr>
          <w:rFonts w:ascii="宋体" w:hAnsi="宋体" w:eastAsia="宋体" w:cs="宋体"/>
          <w:spacing w:val="5"/>
          <w:sz w:val="27"/>
          <w:szCs w:val="27"/>
        </w:rPr>
        <w:t>给出必要的安全保证要</w:t>
      </w:r>
      <w:r>
        <w:rPr>
          <w:rFonts w:ascii="宋体" w:hAnsi="宋体" w:eastAsia="宋体" w:cs="宋体"/>
          <w:sz w:val="27"/>
          <w:szCs w:val="27"/>
        </w:rPr>
        <w:t xml:space="preserve"> </w:t>
      </w:r>
      <w:r>
        <w:rPr>
          <w:rFonts w:ascii="宋体" w:hAnsi="宋体" w:eastAsia="宋体" w:cs="宋体"/>
          <w:spacing w:val="-7"/>
          <w:sz w:val="27"/>
          <w:szCs w:val="27"/>
        </w:rPr>
        <w:t>求，防止试验过程中出现人身、装备和财产安全问题。</w:t>
      </w:r>
    </w:p>
    <w:p w14:paraId="70D6D9F4">
      <w:pPr>
        <w:pStyle w:val="2"/>
        <w:spacing w:line="244" w:lineRule="auto"/>
      </w:pPr>
    </w:p>
    <w:p w14:paraId="040BCA91">
      <w:pPr>
        <w:spacing w:before="118" w:line="219" w:lineRule="auto"/>
        <w:ind w:left="1799"/>
        <w:outlineLvl w:val="1"/>
        <w:rPr>
          <w:rFonts w:ascii="宋体" w:hAnsi="宋体" w:eastAsia="宋体" w:cs="宋体"/>
          <w:sz w:val="36"/>
          <w:szCs w:val="36"/>
        </w:rPr>
      </w:pPr>
      <w:bookmarkStart w:id="72" w:name="bookmark37"/>
      <w:bookmarkEnd w:id="72"/>
      <w:r>
        <w:rPr>
          <w:rFonts w:ascii="宋体" w:hAnsi="宋体" w:eastAsia="宋体" w:cs="宋体"/>
          <w:spacing w:val="4"/>
          <w:sz w:val="36"/>
          <w:szCs w:val="36"/>
        </w:rPr>
        <w:t>1.</w:t>
      </w:r>
      <w:r>
        <w:rPr>
          <w:rFonts w:ascii="宋体" w:hAnsi="宋体" w:eastAsia="宋体" w:cs="宋体"/>
          <w:b/>
          <w:bCs/>
          <w:spacing w:val="4"/>
          <w:sz w:val="36"/>
          <w:szCs w:val="36"/>
        </w:rPr>
        <w:t>35</w:t>
      </w:r>
      <w:r>
        <w:rPr>
          <w:rFonts w:ascii="宋体" w:hAnsi="宋体" w:eastAsia="宋体" w:cs="宋体"/>
          <w:spacing w:val="4"/>
          <w:sz w:val="36"/>
          <w:szCs w:val="36"/>
        </w:rPr>
        <w:t xml:space="preserve">  </w:t>
      </w:r>
      <w:r>
        <w:rPr>
          <w:rFonts w:ascii="宋体" w:hAnsi="宋体" w:eastAsia="宋体" w:cs="宋体"/>
          <w:b/>
          <w:bCs/>
          <w:spacing w:val="4"/>
          <w:sz w:val="36"/>
          <w:szCs w:val="36"/>
        </w:rPr>
        <w:t>设计定型试验大纲(部队试验)</w:t>
      </w:r>
    </w:p>
    <w:p w14:paraId="5DF5C420">
      <w:pPr>
        <w:pStyle w:val="2"/>
        <w:spacing w:line="324" w:lineRule="auto"/>
      </w:pPr>
    </w:p>
    <w:p w14:paraId="7E05524D">
      <w:pPr>
        <w:spacing w:before="91" w:line="223" w:lineRule="auto"/>
        <w:ind w:left="560"/>
        <w:rPr>
          <w:rFonts w:ascii="楷体" w:hAnsi="楷体" w:eastAsia="楷体" w:cs="楷体"/>
          <w:sz w:val="28"/>
          <w:szCs w:val="28"/>
        </w:rPr>
      </w:pPr>
      <w:r>
        <w:rPr>
          <w:rFonts w:ascii="楷体" w:hAnsi="楷体" w:eastAsia="楷体" w:cs="楷体"/>
          <w:spacing w:val="-7"/>
          <w:sz w:val="28"/>
          <w:szCs w:val="28"/>
        </w:rPr>
        <w:t>按照</w:t>
      </w:r>
      <w:r>
        <w:rPr>
          <w:rFonts w:ascii="Times New Roman" w:hAnsi="Times New Roman" w:eastAsia="Times New Roman" w:cs="Times New Roman"/>
          <w:spacing w:val="-7"/>
          <w:sz w:val="28"/>
          <w:szCs w:val="28"/>
        </w:rPr>
        <w:t>GJB6177—2007</w:t>
      </w:r>
      <w:r>
        <w:rPr>
          <w:rFonts w:ascii="宋体" w:hAnsi="宋体" w:eastAsia="宋体" w:cs="宋体"/>
          <w:spacing w:val="-7"/>
          <w:sz w:val="28"/>
          <w:szCs w:val="28"/>
        </w:rPr>
        <w:t>《</w:t>
      </w:r>
      <w:r>
        <w:rPr>
          <w:rFonts w:ascii="楷体" w:hAnsi="楷体" w:eastAsia="楷体" w:cs="楷体"/>
          <w:spacing w:val="-7"/>
          <w:sz w:val="28"/>
          <w:szCs w:val="28"/>
        </w:rPr>
        <w:t>军工产品定型部队试验试用大</w:t>
      </w:r>
      <w:r>
        <w:rPr>
          <w:rFonts w:ascii="楷体" w:hAnsi="楷体" w:eastAsia="楷体" w:cs="楷体"/>
          <w:spacing w:val="-8"/>
          <w:sz w:val="28"/>
          <w:szCs w:val="28"/>
        </w:rPr>
        <w:t>纲通用要求》编写。</w:t>
      </w:r>
    </w:p>
    <w:p w14:paraId="14E5117E">
      <w:pPr>
        <w:spacing w:before="66" w:line="221"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spacing w:val="20"/>
          <w:sz w:val="27"/>
          <w:szCs w:val="27"/>
        </w:rPr>
        <w:t xml:space="preserve">  </w:t>
      </w:r>
      <w:r>
        <w:rPr>
          <w:rFonts w:ascii="黑体" w:hAnsi="黑体" w:eastAsia="黑体" w:cs="黑体"/>
          <w:spacing w:val="1"/>
          <w:sz w:val="27"/>
          <w:szCs w:val="27"/>
        </w:rPr>
        <w:t>任务依据</w:t>
      </w:r>
    </w:p>
    <w:p w14:paraId="511EB8EF">
      <w:pPr>
        <w:spacing w:before="99" w:line="282" w:lineRule="auto"/>
        <w:ind w:right="83" w:firstLine="560"/>
        <w:rPr>
          <w:rFonts w:ascii="宋体" w:hAnsi="宋体" w:eastAsia="宋体" w:cs="宋体"/>
          <w:sz w:val="27"/>
          <w:szCs w:val="27"/>
        </w:rPr>
      </w:pPr>
      <w:r>
        <w:rPr>
          <w:rFonts w:ascii="宋体" w:hAnsi="宋体" w:eastAsia="宋体" w:cs="宋体"/>
          <w:spacing w:val="24"/>
          <w:sz w:val="27"/>
          <w:szCs w:val="27"/>
        </w:rPr>
        <w:t>说明试验任务依据。任务依据通常是装备部队试验年度计划或试验任</w:t>
      </w:r>
      <w:r>
        <w:rPr>
          <w:rFonts w:ascii="宋体" w:hAnsi="宋体" w:eastAsia="宋体" w:cs="宋体"/>
          <w:sz w:val="27"/>
          <w:szCs w:val="27"/>
        </w:rPr>
        <w:t xml:space="preserve"> </w:t>
      </w:r>
      <w:r>
        <w:rPr>
          <w:rFonts w:ascii="宋体" w:hAnsi="宋体" w:eastAsia="宋体" w:cs="宋体"/>
          <w:spacing w:val="-6"/>
          <w:sz w:val="27"/>
          <w:szCs w:val="27"/>
        </w:rPr>
        <w:t>务书。</w:t>
      </w:r>
    </w:p>
    <w:p w14:paraId="788AF005">
      <w:pPr>
        <w:spacing w:before="22" w:line="221" w:lineRule="auto"/>
        <w:rPr>
          <w:rFonts w:ascii="黑体" w:hAnsi="黑体" w:eastAsia="黑体" w:cs="黑体"/>
          <w:sz w:val="24"/>
          <w:szCs w:val="24"/>
        </w:rPr>
      </w:pPr>
      <w:r>
        <w:rPr>
          <w:rFonts w:ascii="黑体" w:hAnsi="黑体" w:eastAsia="黑体" w:cs="黑体"/>
          <w:spacing w:val="-14"/>
          <w:sz w:val="24"/>
          <w:szCs w:val="24"/>
        </w:rPr>
        <w:t>2</w:t>
      </w:r>
      <w:r>
        <w:rPr>
          <w:rFonts w:ascii="黑体" w:hAnsi="黑体" w:eastAsia="黑体" w:cs="黑体"/>
          <w:spacing w:val="35"/>
          <w:sz w:val="24"/>
          <w:szCs w:val="24"/>
        </w:rPr>
        <w:t xml:space="preserve">  </w:t>
      </w:r>
      <w:r>
        <w:rPr>
          <w:rFonts w:ascii="黑体" w:hAnsi="黑体" w:eastAsia="黑体" w:cs="黑体"/>
          <w:spacing w:val="-14"/>
          <w:sz w:val="24"/>
          <w:szCs w:val="24"/>
        </w:rPr>
        <w:t>试</w:t>
      </w:r>
      <w:r>
        <w:rPr>
          <w:rFonts w:ascii="黑体" w:hAnsi="黑体" w:eastAsia="黑体" w:cs="黑体"/>
          <w:spacing w:val="-55"/>
          <w:sz w:val="24"/>
          <w:szCs w:val="24"/>
        </w:rPr>
        <w:t xml:space="preserve"> </w:t>
      </w:r>
      <w:r>
        <w:rPr>
          <w:rFonts w:ascii="黑体" w:hAnsi="黑体" w:eastAsia="黑体" w:cs="黑体"/>
          <w:spacing w:val="-14"/>
          <w:sz w:val="24"/>
          <w:szCs w:val="24"/>
        </w:rPr>
        <w:t>验</w:t>
      </w:r>
      <w:r>
        <w:rPr>
          <w:rFonts w:ascii="黑体" w:hAnsi="黑体" w:eastAsia="黑体" w:cs="黑体"/>
          <w:spacing w:val="-23"/>
          <w:sz w:val="24"/>
          <w:szCs w:val="24"/>
        </w:rPr>
        <w:t xml:space="preserve"> </w:t>
      </w:r>
      <w:r>
        <w:rPr>
          <w:rFonts w:ascii="黑体" w:hAnsi="黑体" w:eastAsia="黑体" w:cs="黑体"/>
          <w:spacing w:val="-14"/>
          <w:sz w:val="24"/>
          <w:szCs w:val="24"/>
        </w:rPr>
        <w:t>目</w:t>
      </w:r>
      <w:r>
        <w:rPr>
          <w:rFonts w:ascii="黑体" w:hAnsi="黑体" w:eastAsia="黑体" w:cs="黑体"/>
          <w:spacing w:val="-40"/>
          <w:sz w:val="24"/>
          <w:szCs w:val="24"/>
        </w:rPr>
        <w:t xml:space="preserve"> </w:t>
      </w:r>
      <w:r>
        <w:rPr>
          <w:rFonts w:ascii="黑体" w:hAnsi="黑体" w:eastAsia="黑体" w:cs="黑体"/>
          <w:spacing w:val="-14"/>
          <w:sz w:val="24"/>
          <w:szCs w:val="24"/>
        </w:rPr>
        <w:t>的</w:t>
      </w:r>
    </w:p>
    <w:p w14:paraId="0E0F5513">
      <w:pPr>
        <w:spacing w:before="146" w:line="219" w:lineRule="auto"/>
        <w:jc w:val="right"/>
        <w:rPr>
          <w:rFonts w:ascii="宋体" w:hAnsi="宋体" w:eastAsia="宋体" w:cs="宋体"/>
          <w:sz w:val="25"/>
          <w:szCs w:val="25"/>
        </w:rPr>
      </w:pPr>
      <w:r>
        <w:rPr>
          <w:rFonts w:ascii="宋体" w:hAnsi="宋体" w:eastAsia="宋体" w:cs="宋体"/>
          <w:spacing w:val="20"/>
          <w:sz w:val="25"/>
          <w:szCs w:val="25"/>
        </w:rPr>
        <w:t>部队试验的目的通常是：在接近实战或实际使用的条件下，</w:t>
      </w:r>
      <w:r>
        <w:rPr>
          <w:rFonts w:ascii="宋体" w:hAnsi="宋体" w:eastAsia="宋体" w:cs="宋体"/>
          <w:spacing w:val="19"/>
          <w:sz w:val="25"/>
          <w:szCs w:val="25"/>
        </w:rPr>
        <w:t>通过部队试验，</w:t>
      </w:r>
    </w:p>
    <w:p w14:paraId="78AEFD59">
      <w:pPr>
        <w:spacing w:line="219" w:lineRule="auto"/>
        <w:rPr>
          <w:rFonts w:ascii="宋体" w:hAnsi="宋体" w:eastAsia="宋体" w:cs="宋体"/>
          <w:sz w:val="25"/>
          <w:szCs w:val="25"/>
        </w:rPr>
        <w:sectPr>
          <w:footerReference r:id="rId123" w:type="default"/>
          <w:pgSz w:w="11910" w:h="17130"/>
          <w:pgMar w:top="400" w:right="1035" w:bottom="1590" w:left="1410" w:header="0" w:footer="1382" w:gutter="0"/>
          <w:cols w:space="720" w:num="1"/>
        </w:sectPr>
      </w:pPr>
    </w:p>
    <w:p w14:paraId="40BFBE9B">
      <w:pPr>
        <w:pStyle w:val="2"/>
        <w:spacing w:line="262" w:lineRule="auto"/>
      </w:pPr>
    </w:p>
    <w:p w14:paraId="089FF46C">
      <w:pPr>
        <w:pStyle w:val="2"/>
        <w:spacing w:line="262" w:lineRule="auto"/>
      </w:pPr>
    </w:p>
    <w:p w14:paraId="1872E933">
      <w:pPr>
        <w:pStyle w:val="2"/>
        <w:spacing w:line="262" w:lineRule="auto"/>
      </w:pPr>
    </w:p>
    <w:p w14:paraId="505F0BBD">
      <w:pPr>
        <w:pStyle w:val="2"/>
        <w:spacing w:line="262" w:lineRule="auto"/>
      </w:pPr>
    </w:p>
    <w:p w14:paraId="61EE2D06">
      <w:pPr>
        <w:spacing w:before="87" w:line="274" w:lineRule="auto"/>
        <w:ind w:right="33"/>
        <w:jc w:val="both"/>
        <w:rPr>
          <w:rFonts w:ascii="宋体" w:hAnsi="宋体" w:eastAsia="宋体" w:cs="宋体"/>
          <w:sz w:val="27"/>
          <w:szCs w:val="27"/>
        </w:rPr>
      </w:pPr>
      <w:r>
        <w:rPr>
          <w:rFonts w:ascii="宋体" w:hAnsi="宋体" w:eastAsia="宋体" w:cs="宋体"/>
          <w:spacing w:val="1"/>
          <w:sz w:val="27"/>
          <w:szCs w:val="27"/>
        </w:rPr>
        <w:t>考核被试品是否满足批准的作战使用性能和部队适用性(含</w:t>
      </w:r>
      <w:r>
        <w:rPr>
          <w:rFonts w:ascii="宋体" w:hAnsi="宋体" w:eastAsia="宋体" w:cs="宋体"/>
          <w:sz w:val="27"/>
          <w:szCs w:val="27"/>
        </w:rPr>
        <w:t xml:space="preserve">编配方案、训练要求 </w:t>
      </w:r>
      <w:r>
        <w:rPr>
          <w:rFonts w:ascii="宋体" w:hAnsi="宋体" w:eastAsia="宋体" w:cs="宋体"/>
          <w:spacing w:val="-6"/>
          <w:sz w:val="27"/>
          <w:szCs w:val="27"/>
        </w:rPr>
        <w:t>等)要求，为其能否设计定型提供依据。同时为研究装备的作战使用、编</w:t>
      </w:r>
      <w:r>
        <w:rPr>
          <w:rFonts w:ascii="宋体" w:hAnsi="宋体" w:eastAsia="宋体" w:cs="宋体"/>
          <w:spacing w:val="-7"/>
          <w:sz w:val="27"/>
          <w:szCs w:val="27"/>
        </w:rPr>
        <w:t>制、人员</w:t>
      </w:r>
      <w:r>
        <w:rPr>
          <w:rFonts w:ascii="宋体" w:hAnsi="宋体" w:eastAsia="宋体" w:cs="宋体"/>
          <w:sz w:val="27"/>
          <w:szCs w:val="27"/>
        </w:rPr>
        <w:t xml:space="preserve"> </w:t>
      </w:r>
      <w:r>
        <w:rPr>
          <w:rFonts w:ascii="宋体" w:hAnsi="宋体" w:eastAsia="宋体" w:cs="宋体"/>
          <w:spacing w:val="-4"/>
          <w:sz w:val="27"/>
          <w:szCs w:val="27"/>
        </w:rPr>
        <w:t>要求、后勤保障以及为科研和生产等积累资料。</w:t>
      </w:r>
    </w:p>
    <w:p w14:paraId="21806C7D">
      <w:pPr>
        <w:spacing w:before="19" w:line="221" w:lineRule="auto"/>
        <w:rPr>
          <w:rFonts w:ascii="黑体" w:hAnsi="黑体" w:eastAsia="黑体" w:cs="黑体"/>
          <w:sz w:val="24"/>
          <w:szCs w:val="24"/>
        </w:rPr>
      </w:pPr>
      <w:r>
        <w:rPr>
          <w:rFonts w:ascii="黑体" w:hAnsi="黑体" w:eastAsia="黑体" w:cs="黑体"/>
          <w:spacing w:val="21"/>
          <w:sz w:val="24"/>
          <w:szCs w:val="24"/>
        </w:rPr>
        <w:t>3</w:t>
      </w:r>
      <w:r>
        <w:rPr>
          <w:rFonts w:ascii="黑体" w:hAnsi="黑体" w:eastAsia="黑体" w:cs="黑体"/>
          <w:spacing w:val="43"/>
          <w:sz w:val="24"/>
          <w:szCs w:val="24"/>
        </w:rPr>
        <w:t xml:space="preserve">  </w:t>
      </w:r>
      <w:r>
        <w:rPr>
          <w:rFonts w:ascii="黑体" w:hAnsi="黑体" w:eastAsia="黑体" w:cs="黑体"/>
          <w:b/>
          <w:bCs/>
          <w:spacing w:val="21"/>
          <w:sz w:val="24"/>
          <w:szCs w:val="24"/>
        </w:rPr>
        <w:t>被试品、陪试品及主要测试仪器设备</w:t>
      </w:r>
    </w:p>
    <w:p w14:paraId="23172D14">
      <w:pPr>
        <w:spacing w:before="67" w:line="284" w:lineRule="auto"/>
        <w:ind w:right="1" w:firstLine="570"/>
        <w:jc w:val="both"/>
        <w:rPr>
          <w:rFonts w:ascii="宋体" w:hAnsi="宋体" w:eastAsia="宋体" w:cs="宋体"/>
          <w:sz w:val="27"/>
          <w:szCs w:val="27"/>
        </w:rPr>
      </w:pPr>
      <w:r>
        <w:rPr>
          <w:rFonts w:ascii="宋体" w:hAnsi="宋体" w:eastAsia="宋体" w:cs="宋体"/>
          <w:spacing w:val="-3"/>
          <w:sz w:val="27"/>
          <w:szCs w:val="27"/>
        </w:rPr>
        <w:t>应规定被试品、陪试品及主要测试仪器设备的品种、数量和技术状态，规定</w:t>
      </w:r>
      <w:r>
        <w:rPr>
          <w:rFonts w:ascii="宋体" w:hAnsi="宋体" w:eastAsia="宋体" w:cs="宋体"/>
          <w:spacing w:val="15"/>
          <w:sz w:val="27"/>
          <w:szCs w:val="27"/>
        </w:rPr>
        <w:t xml:space="preserve"> </w:t>
      </w:r>
      <w:r>
        <w:rPr>
          <w:rFonts w:ascii="宋体" w:hAnsi="宋体" w:eastAsia="宋体" w:cs="宋体"/>
          <w:spacing w:val="-3"/>
          <w:sz w:val="27"/>
          <w:szCs w:val="27"/>
        </w:rPr>
        <w:t>提供渠道和交接方法；确定参加试验的其他装备的品种、数量和技术状态。给出</w:t>
      </w:r>
      <w:r>
        <w:rPr>
          <w:rFonts w:ascii="宋体" w:hAnsi="宋体" w:eastAsia="宋体" w:cs="宋体"/>
          <w:spacing w:val="16"/>
          <w:sz w:val="27"/>
          <w:szCs w:val="27"/>
        </w:rPr>
        <w:t xml:space="preserve"> </w:t>
      </w:r>
      <w:r>
        <w:rPr>
          <w:rFonts w:ascii="宋体" w:hAnsi="宋体" w:eastAsia="宋体" w:cs="宋体"/>
          <w:spacing w:val="-5"/>
          <w:sz w:val="27"/>
          <w:szCs w:val="27"/>
        </w:rPr>
        <w:t>主要测试仪器的型号、数量和精度的要求。</w:t>
      </w:r>
    </w:p>
    <w:p w14:paraId="2C5B41FE">
      <w:pPr>
        <w:spacing w:before="1" w:line="220" w:lineRule="auto"/>
        <w:rPr>
          <w:rFonts w:ascii="黑体" w:hAnsi="黑体" w:eastAsia="黑体" w:cs="黑体"/>
          <w:sz w:val="27"/>
          <w:szCs w:val="27"/>
        </w:rPr>
      </w:pPr>
      <w:r>
        <w:rPr>
          <w:rFonts w:ascii="黑体" w:hAnsi="黑体" w:eastAsia="黑体" w:cs="黑体"/>
          <w:sz w:val="27"/>
          <w:szCs w:val="27"/>
        </w:rPr>
        <w:t>4</w:t>
      </w:r>
      <w:r>
        <w:rPr>
          <w:rFonts w:ascii="黑体" w:hAnsi="黑体" w:eastAsia="黑体" w:cs="黑体"/>
          <w:spacing w:val="17"/>
          <w:sz w:val="27"/>
          <w:szCs w:val="27"/>
        </w:rPr>
        <w:t xml:space="preserve">  </w:t>
      </w:r>
      <w:r>
        <w:rPr>
          <w:rFonts w:ascii="黑体" w:hAnsi="黑体" w:eastAsia="黑体" w:cs="黑体"/>
          <w:b/>
          <w:bCs/>
          <w:sz w:val="27"/>
          <w:szCs w:val="27"/>
        </w:rPr>
        <w:t>试验条件和要求</w:t>
      </w:r>
    </w:p>
    <w:p w14:paraId="42B26AF5">
      <w:pPr>
        <w:spacing w:before="93" w:line="219" w:lineRule="auto"/>
        <w:ind w:left="570"/>
        <w:rPr>
          <w:rFonts w:ascii="宋体" w:hAnsi="宋体" w:eastAsia="宋体" w:cs="宋体"/>
          <w:sz w:val="27"/>
          <w:szCs w:val="27"/>
        </w:rPr>
      </w:pPr>
      <w:r>
        <w:rPr>
          <w:rFonts w:ascii="宋体" w:hAnsi="宋体" w:eastAsia="宋体" w:cs="宋体"/>
          <w:spacing w:val="1"/>
          <w:sz w:val="27"/>
          <w:szCs w:val="27"/>
        </w:rPr>
        <w:t>试验条件和要求包括以下方面：</w:t>
      </w:r>
    </w:p>
    <w:p w14:paraId="0DC21BB9">
      <w:pPr>
        <w:spacing w:before="91" w:line="212" w:lineRule="auto"/>
        <w:ind w:left="570"/>
        <w:rPr>
          <w:rFonts w:ascii="宋体" w:hAnsi="宋体" w:eastAsia="宋体" w:cs="宋体"/>
          <w:sz w:val="24"/>
          <w:szCs w:val="24"/>
        </w:rPr>
      </w:pPr>
      <w:r>
        <w:rPr>
          <w:rFonts w:ascii="Times New Roman" w:hAnsi="Times New Roman" w:eastAsia="Times New Roman" w:cs="Times New Roman"/>
          <w:spacing w:val="14"/>
          <w:sz w:val="24"/>
          <w:szCs w:val="24"/>
        </w:rPr>
        <w:t>a)</w:t>
      </w:r>
      <w:r>
        <w:rPr>
          <w:rFonts w:ascii="Times New Roman" w:hAnsi="Times New Roman" w:eastAsia="Times New Roman" w:cs="Times New Roman"/>
          <w:spacing w:val="22"/>
          <w:sz w:val="24"/>
          <w:szCs w:val="24"/>
        </w:rPr>
        <w:t xml:space="preserve">  </w:t>
      </w:r>
      <w:r>
        <w:rPr>
          <w:rFonts w:ascii="宋体" w:hAnsi="宋体" w:eastAsia="宋体" w:cs="宋体"/>
          <w:spacing w:val="14"/>
          <w:sz w:val="24"/>
          <w:szCs w:val="24"/>
        </w:rPr>
        <w:t>试验时间、试验地区；</w:t>
      </w:r>
    </w:p>
    <w:p w14:paraId="3B658FD5">
      <w:pPr>
        <w:spacing w:before="135" w:line="212" w:lineRule="auto"/>
        <w:ind w:left="570"/>
        <w:rPr>
          <w:rFonts w:ascii="宋体" w:hAnsi="宋体" w:eastAsia="宋体" w:cs="宋体"/>
          <w:sz w:val="24"/>
          <w:szCs w:val="24"/>
        </w:rPr>
      </w:pPr>
      <w:r>
        <w:rPr>
          <w:rFonts w:ascii="Times New Roman" w:hAnsi="Times New Roman" w:eastAsia="Times New Roman" w:cs="Times New Roman"/>
          <w:spacing w:val="25"/>
          <w:sz w:val="24"/>
          <w:szCs w:val="24"/>
        </w:rPr>
        <w:t xml:space="preserve">b)  </w:t>
      </w:r>
      <w:r>
        <w:rPr>
          <w:rFonts w:ascii="宋体" w:hAnsi="宋体" w:eastAsia="宋体" w:cs="宋体"/>
          <w:spacing w:val="25"/>
          <w:sz w:val="24"/>
          <w:szCs w:val="24"/>
        </w:rPr>
        <w:t>试验的战术条件和要求；</w:t>
      </w:r>
    </w:p>
    <w:p w14:paraId="0C141602">
      <w:pPr>
        <w:spacing w:before="102" w:line="212" w:lineRule="auto"/>
        <w:ind w:left="570"/>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63"/>
          <w:sz w:val="27"/>
          <w:szCs w:val="27"/>
        </w:rPr>
        <w:t xml:space="preserve"> </w:t>
      </w:r>
      <w:r>
        <w:rPr>
          <w:rFonts w:ascii="宋体" w:hAnsi="宋体" w:eastAsia="宋体" w:cs="宋体"/>
          <w:spacing w:val="-5"/>
          <w:sz w:val="27"/>
          <w:szCs w:val="27"/>
        </w:rPr>
        <w:t>试验的地理、地形条件和要求；</w:t>
      </w:r>
    </w:p>
    <w:p w14:paraId="5064C41D">
      <w:pPr>
        <w:spacing w:before="122" w:line="212" w:lineRule="auto"/>
        <w:ind w:left="570"/>
        <w:rPr>
          <w:rFonts w:ascii="宋体" w:hAnsi="宋体" w:eastAsia="宋体" w:cs="宋体"/>
          <w:sz w:val="24"/>
          <w:szCs w:val="24"/>
        </w:rPr>
      </w:pPr>
      <w:r>
        <w:rPr>
          <w:rFonts w:ascii="Times New Roman" w:hAnsi="Times New Roman" w:eastAsia="Times New Roman" w:cs="Times New Roman"/>
          <w:spacing w:val="25"/>
          <w:sz w:val="24"/>
          <w:szCs w:val="24"/>
        </w:rPr>
        <w:t>d)</w:t>
      </w:r>
      <w:r>
        <w:rPr>
          <w:rFonts w:ascii="Times New Roman" w:hAnsi="Times New Roman" w:eastAsia="Times New Roman" w:cs="Times New Roman"/>
          <w:spacing w:val="26"/>
          <w:w w:val="101"/>
          <w:sz w:val="24"/>
          <w:szCs w:val="24"/>
        </w:rPr>
        <w:t xml:space="preserve">  </w:t>
      </w:r>
      <w:r>
        <w:rPr>
          <w:rFonts w:ascii="宋体" w:hAnsi="宋体" w:eastAsia="宋体" w:cs="宋体"/>
          <w:spacing w:val="25"/>
          <w:sz w:val="24"/>
          <w:szCs w:val="24"/>
        </w:rPr>
        <w:t>试验的气象条件和要求；</w:t>
      </w:r>
    </w:p>
    <w:p w14:paraId="3C153AEE">
      <w:pPr>
        <w:spacing w:before="152" w:line="219" w:lineRule="auto"/>
        <w:ind w:left="570"/>
        <w:rPr>
          <w:rFonts w:ascii="宋体" w:hAnsi="宋体" w:eastAsia="宋体" w:cs="宋体"/>
          <w:sz w:val="24"/>
          <w:szCs w:val="24"/>
        </w:rPr>
      </w:pPr>
      <w:r>
        <w:rPr>
          <w:rFonts w:ascii="Times New Roman" w:hAnsi="Times New Roman" w:eastAsia="Times New Roman" w:cs="Times New Roman"/>
          <w:spacing w:val="25"/>
          <w:sz w:val="24"/>
          <w:szCs w:val="24"/>
        </w:rPr>
        <w:t>e</w:t>
      </w:r>
      <w:r>
        <w:rPr>
          <w:rFonts w:ascii="Times New Roman" w:hAnsi="Times New Roman" w:eastAsia="Times New Roman" w:cs="Times New Roman"/>
          <w:spacing w:val="-23"/>
          <w:sz w:val="24"/>
          <w:szCs w:val="24"/>
        </w:rPr>
        <w:t xml:space="preserve"> </w:t>
      </w:r>
      <w:r>
        <w:rPr>
          <w:rFonts w:ascii="宋体" w:hAnsi="宋体" w:eastAsia="宋体" w:cs="宋体"/>
          <w:spacing w:val="25"/>
          <w:sz w:val="24"/>
          <w:szCs w:val="24"/>
        </w:rPr>
        <w:t>)</w:t>
      </w:r>
      <w:r>
        <w:rPr>
          <w:rFonts w:ascii="宋体" w:hAnsi="宋体" w:eastAsia="宋体" w:cs="宋体"/>
          <w:spacing w:val="-30"/>
          <w:sz w:val="24"/>
          <w:szCs w:val="24"/>
        </w:rPr>
        <w:t xml:space="preserve"> </w:t>
      </w:r>
      <w:r>
        <w:rPr>
          <w:rFonts w:ascii="宋体" w:hAnsi="宋体" w:eastAsia="宋体" w:cs="宋体"/>
          <w:spacing w:val="25"/>
          <w:sz w:val="24"/>
          <w:szCs w:val="24"/>
        </w:rPr>
        <w:t>试验的水文条件和要求；</w:t>
      </w:r>
    </w:p>
    <w:p w14:paraId="5D552842">
      <w:pPr>
        <w:spacing w:before="76"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 xml:space="preserve">f)  </w:t>
      </w:r>
      <w:r>
        <w:rPr>
          <w:rFonts w:ascii="宋体" w:hAnsi="宋体" w:eastAsia="宋体" w:cs="宋体"/>
          <w:spacing w:val="2"/>
          <w:sz w:val="27"/>
          <w:szCs w:val="27"/>
        </w:rPr>
        <w:t>试验的电磁条件和要求；</w:t>
      </w:r>
    </w:p>
    <w:p w14:paraId="191C7154">
      <w:pPr>
        <w:spacing w:before="119" w:line="212" w:lineRule="auto"/>
        <w:ind w:left="570"/>
        <w:rPr>
          <w:rFonts w:ascii="宋体" w:hAnsi="宋体" w:eastAsia="宋体" w:cs="宋体"/>
          <w:sz w:val="27"/>
          <w:szCs w:val="27"/>
        </w:rPr>
      </w:pPr>
      <w:r>
        <w:rPr>
          <w:rFonts w:ascii="Times New Roman" w:hAnsi="Times New Roman" w:eastAsia="Times New Roman" w:cs="Times New Roman"/>
          <w:spacing w:val="3"/>
          <w:sz w:val="27"/>
          <w:szCs w:val="27"/>
        </w:rPr>
        <w:t>g</w:t>
      </w:r>
      <w:r>
        <w:rPr>
          <w:rFonts w:ascii="宋体" w:hAnsi="宋体" w:eastAsia="宋体" w:cs="宋体"/>
          <w:spacing w:val="3"/>
          <w:sz w:val="27"/>
          <w:szCs w:val="27"/>
        </w:rPr>
        <w:t>)</w:t>
      </w:r>
      <w:r>
        <w:rPr>
          <w:rFonts w:ascii="宋体" w:hAnsi="宋体" w:eastAsia="宋体" w:cs="宋体"/>
          <w:spacing w:val="-49"/>
          <w:sz w:val="27"/>
          <w:szCs w:val="27"/>
        </w:rPr>
        <w:t xml:space="preserve"> </w:t>
      </w:r>
      <w:r>
        <w:rPr>
          <w:rFonts w:ascii="宋体" w:hAnsi="宋体" w:eastAsia="宋体" w:cs="宋体"/>
          <w:spacing w:val="3"/>
          <w:sz w:val="27"/>
          <w:szCs w:val="27"/>
        </w:rPr>
        <w:t>其他特殊要求。</w:t>
      </w:r>
    </w:p>
    <w:p w14:paraId="5B1B7A43">
      <w:pPr>
        <w:pStyle w:val="2"/>
        <w:spacing w:before="105" w:line="221" w:lineRule="auto"/>
        <w:rPr>
          <w:rFonts w:ascii="黑体" w:hAnsi="黑体" w:eastAsia="黑体" w:cs="黑体"/>
          <w:sz w:val="27"/>
          <w:szCs w:val="27"/>
        </w:rPr>
      </w:pPr>
      <w:r>
        <w:rPr>
          <w:b/>
          <w:bCs/>
          <w:sz w:val="27"/>
          <w:szCs w:val="27"/>
        </w:rPr>
        <w:t>5</w:t>
      </w:r>
      <w:r>
        <w:rPr>
          <w:b/>
          <w:bCs/>
          <w:spacing w:val="25"/>
          <w:w w:val="101"/>
          <w:sz w:val="27"/>
          <w:szCs w:val="27"/>
        </w:rPr>
        <w:t xml:space="preserve">   </w:t>
      </w:r>
      <w:r>
        <w:rPr>
          <w:rFonts w:ascii="黑体" w:hAnsi="黑体" w:eastAsia="黑体" w:cs="黑体"/>
          <w:b/>
          <w:bCs/>
          <w:sz w:val="27"/>
          <w:szCs w:val="27"/>
        </w:rPr>
        <w:t>试验模式和试验项目</w:t>
      </w:r>
    </w:p>
    <w:p w14:paraId="76D74855">
      <w:pPr>
        <w:spacing w:before="91" w:line="300" w:lineRule="auto"/>
        <w:ind w:firstLine="570"/>
        <w:rPr>
          <w:rFonts w:ascii="宋体" w:hAnsi="宋体" w:eastAsia="宋体" w:cs="宋体"/>
          <w:sz w:val="25"/>
          <w:szCs w:val="25"/>
        </w:rPr>
      </w:pPr>
      <w:r>
        <w:rPr>
          <w:rFonts w:ascii="宋体" w:hAnsi="宋体" w:eastAsia="宋体" w:cs="宋体"/>
          <w:spacing w:val="17"/>
          <w:sz w:val="25"/>
          <w:szCs w:val="25"/>
        </w:rPr>
        <w:t>部队试验通常采用单机或分系统、多件装备或全系统、组成战斗结构试验的 模式进行。</w:t>
      </w:r>
    </w:p>
    <w:p w14:paraId="72CD75CD">
      <w:pPr>
        <w:spacing w:line="220" w:lineRule="auto"/>
        <w:ind w:left="570"/>
        <w:rPr>
          <w:rFonts w:ascii="宋体" w:hAnsi="宋体" w:eastAsia="宋体" w:cs="宋体"/>
          <w:sz w:val="27"/>
          <w:szCs w:val="27"/>
        </w:rPr>
      </w:pPr>
      <w:r>
        <w:rPr>
          <w:rFonts w:ascii="宋体" w:hAnsi="宋体" w:eastAsia="宋体" w:cs="宋体"/>
          <w:spacing w:val="1"/>
          <w:sz w:val="27"/>
          <w:szCs w:val="27"/>
        </w:rPr>
        <w:t>试验项目一般包括：</w:t>
      </w:r>
    </w:p>
    <w:p w14:paraId="33065A32">
      <w:pPr>
        <w:spacing w:before="86" w:line="219" w:lineRule="auto"/>
        <w:ind w:left="570"/>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宋体" w:hAnsi="宋体" w:eastAsia="宋体" w:cs="宋体"/>
          <w:spacing w:val="11"/>
          <w:sz w:val="27"/>
          <w:szCs w:val="27"/>
        </w:rPr>
        <w:t>)场库保管及相关勤务；</w:t>
      </w:r>
    </w:p>
    <w:p w14:paraId="4169D244">
      <w:pPr>
        <w:spacing w:before="71"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b)</w:t>
      </w:r>
      <w:r>
        <w:rPr>
          <w:rFonts w:ascii="Times New Roman" w:hAnsi="Times New Roman" w:eastAsia="Times New Roman" w:cs="Times New Roman"/>
          <w:spacing w:val="71"/>
          <w:sz w:val="27"/>
          <w:szCs w:val="27"/>
        </w:rPr>
        <w:t xml:space="preserve"> </w:t>
      </w:r>
      <w:r>
        <w:rPr>
          <w:rFonts w:ascii="宋体" w:hAnsi="宋体" w:eastAsia="宋体" w:cs="宋体"/>
          <w:spacing w:val="2"/>
          <w:sz w:val="27"/>
          <w:szCs w:val="27"/>
        </w:rPr>
        <w:t>技术检查与准备；</w:t>
      </w:r>
    </w:p>
    <w:p w14:paraId="11D5E46A">
      <w:pPr>
        <w:spacing w:before="100" w:line="212" w:lineRule="auto"/>
        <w:ind w:left="570"/>
        <w:rPr>
          <w:rFonts w:ascii="宋体" w:hAnsi="宋体" w:eastAsia="宋体" w:cs="宋体"/>
          <w:sz w:val="27"/>
          <w:szCs w:val="27"/>
        </w:rPr>
      </w:pPr>
      <w:r>
        <w:rPr>
          <w:rFonts w:ascii="Times New Roman" w:hAnsi="Times New Roman" w:eastAsia="Times New Roman" w:cs="Times New Roman"/>
          <w:spacing w:val="-9"/>
          <w:sz w:val="27"/>
          <w:szCs w:val="27"/>
        </w:rPr>
        <w:t xml:space="preserve">c)  </w:t>
      </w:r>
      <w:r>
        <w:rPr>
          <w:rFonts w:ascii="宋体" w:hAnsi="宋体" w:eastAsia="宋体" w:cs="宋体"/>
          <w:spacing w:val="-9"/>
          <w:sz w:val="27"/>
          <w:szCs w:val="27"/>
        </w:rPr>
        <w:t>机动(行军、运输、航行、行驶等及相关技术保障);</w:t>
      </w:r>
    </w:p>
    <w:p w14:paraId="78597375">
      <w:pPr>
        <w:spacing w:before="100"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展开与完成相关准备；</w:t>
      </w:r>
    </w:p>
    <w:p w14:paraId="59F2F8B5">
      <w:pPr>
        <w:spacing w:before="138" w:line="219" w:lineRule="auto"/>
        <w:ind w:left="570"/>
        <w:rPr>
          <w:rFonts w:ascii="宋体" w:hAnsi="宋体" w:eastAsia="宋体" w:cs="宋体"/>
          <w:sz w:val="27"/>
          <w:szCs w:val="27"/>
        </w:rPr>
      </w:pPr>
      <w:r>
        <w:rPr>
          <w:rFonts w:ascii="Times New Roman" w:hAnsi="Times New Roman" w:eastAsia="Times New Roman" w:cs="Times New Roman"/>
          <w:spacing w:val="-3"/>
          <w:sz w:val="27"/>
          <w:szCs w:val="27"/>
        </w:rPr>
        <w:t>e</w:t>
      </w:r>
      <w:r>
        <w:rPr>
          <w:rFonts w:ascii="宋体" w:hAnsi="宋体" w:eastAsia="宋体" w:cs="宋体"/>
          <w:spacing w:val="-3"/>
          <w:sz w:val="27"/>
          <w:szCs w:val="27"/>
        </w:rPr>
        <w:t>)基本指挥与操作，执行战斗、训练任务及相关技术保障；</w:t>
      </w:r>
    </w:p>
    <w:p w14:paraId="600B0B19">
      <w:pPr>
        <w:spacing w:before="41" w:line="212" w:lineRule="auto"/>
        <w:ind w:left="570"/>
        <w:rPr>
          <w:rFonts w:ascii="宋体" w:hAnsi="宋体" w:eastAsia="宋体" w:cs="宋体"/>
          <w:sz w:val="27"/>
          <w:szCs w:val="27"/>
        </w:rPr>
      </w:pPr>
      <w:r>
        <w:rPr>
          <w:rFonts w:ascii="Times New Roman" w:hAnsi="Times New Roman" w:eastAsia="Times New Roman" w:cs="Times New Roman"/>
          <w:sz w:val="27"/>
          <w:szCs w:val="27"/>
        </w:rPr>
        <w:t>f)</w:t>
      </w:r>
      <w:r>
        <w:rPr>
          <w:rFonts w:ascii="Times New Roman" w:hAnsi="Times New Roman" w:eastAsia="Times New Roman" w:cs="Times New Roman"/>
          <w:spacing w:val="9"/>
          <w:sz w:val="27"/>
          <w:szCs w:val="27"/>
        </w:rPr>
        <w:t xml:space="preserve">  </w:t>
      </w:r>
      <w:r>
        <w:rPr>
          <w:rFonts w:ascii="宋体" w:hAnsi="宋体" w:eastAsia="宋体" w:cs="宋体"/>
          <w:sz w:val="27"/>
          <w:szCs w:val="27"/>
        </w:rPr>
        <w:t>撤收。</w:t>
      </w:r>
    </w:p>
    <w:p w14:paraId="6C963CA3">
      <w:pPr>
        <w:pStyle w:val="2"/>
        <w:spacing w:before="144" w:line="221" w:lineRule="auto"/>
        <w:rPr>
          <w:rFonts w:ascii="黑体" w:hAnsi="黑体" w:eastAsia="黑体" w:cs="黑体"/>
          <w:sz w:val="24"/>
          <w:szCs w:val="24"/>
        </w:rPr>
      </w:pPr>
      <w:r>
        <w:rPr>
          <w:b/>
          <w:bCs/>
          <w:spacing w:val="23"/>
          <w:sz w:val="24"/>
          <w:szCs w:val="24"/>
        </w:rPr>
        <w:t xml:space="preserve">6    </w:t>
      </w:r>
      <w:r>
        <w:rPr>
          <w:rFonts w:ascii="黑体" w:hAnsi="黑体" w:eastAsia="黑体" w:cs="黑体"/>
          <w:b/>
          <w:bCs/>
          <w:spacing w:val="23"/>
          <w:sz w:val="24"/>
          <w:szCs w:val="24"/>
        </w:rPr>
        <w:t>试验流程和考核内容</w:t>
      </w:r>
    </w:p>
    <w:p w14:paraId="2A8BABEC">
      <w:pPr>
        <w:spacing w:before="113" w:line="221" w:lineRule="auto"/>
        <w:rPr>
          <w:rFonts w:ascii="黑体" w:hAnsi="黑体" w:eastAsia="黑体" w:cs="黑体"/>
          <w:sz w:val="25"/>
          <w:szCs w:val="25"/>
        </w:rPr>
      </w:pPr>
      <w:r>
        <w:rPr>
          <w:rFonts w:ascii="黑体" w:hAnsi="黑体" w:eastAsia="黑体" w:cs="黑体"/>
          <w:spacing w:val="11"/>
          <w:sz w:val="25"/>
          <w:szCs w:val="25"/>
        </w:rPr>
        <w:t>6.1</w:t>
      </w:r>
      <w:r>
        <w:rPr>
          <w:rFonts w:ascii="黑体" w:hAnsi="黑体" w:eastAsia="黑体" w:cs="黑体"/>
          <w:spacing w:val="50"/>
          <w:sz w:val="25"/>
          <w:szCs w:val="25"/>
        </w:rPr>
        <w:t xml:space="preserve">  </w:t>
      </w:r>
      <w:r>
        <w:rPr>
          <w:rFonts w:ascii="黑体" w:hAnsi="黑体" w:eastAsia="黑体" w:cs="黑体"/>
          <w:b/>
          <w:bCs/>
          <w:spacing w:val="11"/>
          <w:sz w:val="25"/>
          <w:szCs w:val="25"/>
        </w:rPr>
        <w:t>试验流程</w:t>
      </w:r>
    </w:p>
    <w:p w14:paraId="6594AF80">
      <w:pPr>
        <w:spacing w:before="117" w:line="219" w:lineRule="auto"/>
        <w:ind w:left="570"/>
        <w:rPr>
          <w:rFonts w:ascii="宋体" w:hAnsi="宋体" w:eastAsia="宋体" w:cs="宋体"/>
          <w:sz w:val="27"/>
          <w:szCs w:val="27"/>
        </w:rPr>
      </w:pPr>
      <w:r>
        <w:rPr>
          <w:rFonts w:ascii="宋体" w:hAnsi="宋体" w:eastAsia="宋体" w:cs="宋体"/>
          <w:spacing w:val="1"/>
          <w:sz w:val="27"/>
          <w:szCs w:val="27"/>
        </w:rPr>
        <w:t>应规定合理的部队试验流程，并用流程图的形式表示，如图1</w:t>
      </w:r>
      <w:r>
        <w:rPr>
          <w:rFonts w:ascii="宋体" w:hAnsi="宋体" w:eastAsia="宋体" w:cs="宋体"/>
          <w:sz w:val="27"/>
          <w:szCs w:val="27"/>
        </w:rPr>
        <w:t>.1所示。</w:t>
      </w:r>
    </w:p>
    <w:p w14:paraId="10F7A44C">
      <w:pPr>
        <w:spacing w:before="66" w:line="222" w:lineRule="auto"/>
        <w:rPr>
          <w:rFonts w:ascii="黑体" w:hAnsi="黑体" w:eastAsia="黑体" w:cs="黑体"/>
          <w:sz w:val="27"/>
          <w:szCs w:val="27"/>
        </w:rPr>
      </w:pPr>
      <w:r>
        <w:rPr>
          <w:rFonts w:ascii="黑体" w:hAnsi="黑体" w:eastAsia="黑体" w:cs="黑体"/>
          <w:sz w:val="27"/>
          <w:szCs w:val="27"/>
        </w:rPr>
        <w:t>6.2</w:t>
      </w:r>
      <w:r>
        <w:rPr>
          <w:rFonts w:ascii="黑体" w:hAnsi="黑体" w:eastAsia="黑体" w:cs="黑体"/>
          <w:spacing w:val="25"/>
          <w:sz w:val="27"/>
          <w:szCs w:val="27"/>
        </w:rPr>
        <w:t xml:space="preserve">  </w:t>
      </w:r>
      <w:r>
        <w:rPr>
          <w:rFonts w:ascii="黑体" w:hAnsi="黑体" w:eastAsia="黑体" w:cs="黑体"/>
          <w:b/>
          <w:bCs/>
          <w:sz w:val="27"/>
          <w:szCs w:val="27"/>
        </w:rPr>
        <w:t>考核内容</w:t>
      </w:r>
    </w:p>
    <w:p w14:paraId="7904B429">
      <w:pPr>
        <w:spacing w:before="111" w:line="271" w:lineRule="auto"/>
        <w:ind w:right="7" w:firstLine="570"/>
        <w:jc w:val="both"/>
        <w:rPr>
          <w:rFonts w:ascii="宋体" w:hAnsi="宋体" w:eastAsia="宋体" w:cs="宋体"/>
          <w:sz w:val="27"/>
          <w:szCs w:val="27"/>
        </w:rPr>
      </w:pPr>
      <w:r>
        <w:rPr>
          <w:rFonts w:ascii="宋体" w:hAnsi="宋体" w:eastAsia="宋体" w:cs="宋体"/>
          <w:spacing w:val="-3"/>
          <w:sz w:val="27"/>
          <w:szCs w:val="27"/>
        </w:rPr>
        <w:t>部队试验的考核内容主要包括在带有战术背景，按照被试品的作战使命、可</w:t>
      </w:r>
      <w:r>
        <w:rPr>
          <w:rFonts w:ascii="宋体" w:hAnsi="宋体" w:eastAsia="宋体" w:cs="宋体"/>
          <w:spacing w:val="9"/>
          <w:sz w:val="27"/>
          <w:szCs w:val="27"/>
        </w:rPr>
        <w:t xml:space="preserve"> </w:t>
      </w:r>
      <w:r>
        <w:rPr>
          <w:rFonts w:ascii="宋体" w:hAnsi="宋体" w:eastAsia="宋体" w:cs="宋体"/>
          <w:spacing w:val="-3"/>
          <w:sz w:val="27"/>
          <w:szCs w:val="27"/>
        </w:rPr>
        <w:t>能的编制、作战使用原则和要求、遂行作战任务的完整流程等实际使用条件下的</w:t>
      </w:r>
      <w:r>
        <w:rPr>
          <w:rFonts w:ascii="宋体" w:hAnsi="宋体" w:eastAsia="宋体" w:cs="宋体"/>
          <w:spacing w:val="4"/>
          <w:sz w:val="27"/>
          <w:szCs w:val="27"/>
        </w:rPr>
        <w:t xml:space="preserve"> 装备作战使用性能和部队适用性。</w:t>
      </w:r>
    </w:p>
    <w:p w14:paraId="2939BE0F">
      <w:pPr>
        <w:spacing w:before="29" w:line="219" w:lineRule="auto"/>
        <w:ind w:left="570"/>
        <w:rPr>
          <w:rFonts w:ascii="宋体" w:hAnsi="宋体" w:eastAsia="宋体" w:cs="宋体"/>
          <w:sz w:val="27"/>
          <w:szCs w:val="27"/>
        </w:rPr>
      </w:pPr>
      <w:r>
        <w:rPr>
          <w:rFonts w:ascii="宋体" w:hAnsi="宋体" w:eastAsia="宋体" w:cs="宋体"/>
          <w:spacing w:val="4"/>
          <w:sz w:val="27"/>
          <w:szCs w:val="27"/>
        </w:rPr>
        <w:t>作战使用性能主要考核能否完成各项任务及完成任务的程度。</w:t>
      </w:r>
    </w:p>
    <w:p w14:paraId="6022006D">
      <w:pPr>
        <w:spacing w:line="219" w:lineRule="auto"/>
        <w:rPr>
          <w:rFonts w:ascii="宋体" w:hAnsi="宋体" w:eastAsia="宋体" w:cs="宋体"/>
          <w:sz w:val="27"/>
          <w:szCs w:val="27"/>
        </w:rPr>
        <w:sectPr>
          <w:footerReference r:id="rId124" w:type="default"/>
          <w:pgSz w:w="11910" w:h="17130"/>
          <w:pgMar w:top="400" w:right="1250" w:bottom="1657" w:left="1259" w:header="0" w:footer="1440" w:gutter="0"/>
          <w:cols w:space="720" w:num="1"/>
        </w:sectPr>
      </w:pPr>
    </w:p>
    <w:p w14:paraId="003F85A3">
      <w:pPr>
        <w:pStyle w:val="2"/>
        <w:spacing w:line="246" w:lineRule="auto"/>
      </w:pPr>
    </w:p>
    <w:p w14:paraId="614F32FE">
      <w:pPr>
        <w:pStyle w:val="2"/>
        <w:spacing w:line="246" w:lineRule="auto"/>
      </w:pPr>
    </w:p>
    <w:p w14:paraId="595CEA71">
      <w:pPr>
        <w:pStyle w:val="2"/>
        <w:spacing w:line="246" w:lineRule="auto"/>
      </w:pPr>
    </w:p>
    <w:p w14:paraId="632E0323">
      <w:pPr>
        <w:pStyle w:val="2"/>
        <w:spacing w:line="247" w:lineRule="auto"/>
      </w:pPr>
    </w:p>
    <w:p w14:paraId="13D5D81D">
      <w:pPr>
        <w:pStyle w:val="2"/>
        <w:spacing w:line="247" w:lineRule="auto"/>
      </w:pPr>
    </w:p>
    <w:p w14:paraId="22A6A1B5">
      <w:pPr>
        <w:pStyle w:val="2"/>
        <w:spacing w:line="4670" w:lineRule="exact"/>
        <w:ind w:firstLine="2770"/>
      </w:pPr>
      <w:r>
        <w:rPr>
          <w:position w:val="-93"/>
        </w:rPr>
        <w:pict>
          <v:group id="_x0000_s1027" o:spid="_x0000_s1027" o:spt="203" style="height:233.5pt;width:188pt;" coordsize="3760,4670">
            <o:lock v:ext="edit"/>
            <v:shape id="_x0000_s1028" o:spid="_x0000_s1028" o:spt="75" type="#_x0000_t75" style="position:absolute;left:0;top:0;height:4670;width:3760;" filled="f" stroked="f" coordsize="21600,21600">
              <v:path/>
              <v:fill on="f" focussize="0,0"/>
              <v:stroke on="f"/>
              <v:imagedata r:id="rId686" o:title=""/>
              <o:lock v:ext="edit" aspectratio="t"/>
            </v:shape>
            <v:shape id="_x0000_s1029" o:spid="_x0000_s1029" o:spt="202" type="#_x0000_t202" style="position:absolute;left:-20;top:-20;height:4710;width:3800;" filled="f" stroked="f" coordsize="21600,21600">
              <v:path/>
              <v:fill on="f" focussize="0,0"/>
              <v:stroke on="f"/>
              <v:imagedata o:title=""/>
              <o:lock v:ext="edit" aspectratio="f"/>
              <v:textbox inset="0mm,0mm,0mm,0mm">
                <w:txbxContent>
                  <w:p w14:paraId="69D0AC21">
                    <w:pPr>
                      <w:spacing w:before="176" w:line="219" w:lineRule="auto"/>
                      <w:ind w:left="870"/>
                      <w:rPr>
                        <w:rFonts w:ascii="宋体" w:hAnsi="宋体" w:eastAsia="宋体" w:cs="宋体"/>
                        <w:sz w:val="20"/>
                        <w:szCs w:val="20"/>
                      </w:rPr>
                    </w:pPr>
                    <w:bookmarkStart w:id="142" w:name="bookmark342"/>
                    <w:bookmarkEnd w:id="142"/>
                    <w:r>
                      <w:rPr>
                        <w:rFonts w:ascii="宋体" w:hAnsi="宋体" w:eastAsia="宋体" w:cs="宋体"/>
                        <w:spacing w:val="7"/>
                        <w:sz w:val="20"/>
                        <w:szCs w:val="20"/>
                      </w:rPr>
                      <w:t>场库保管及其相关勤务</w:t>
                    </w:r>
                  </w:p>
                  <w:p w14:paraId="4130A921">
                    <w:pPr>
                      <w:spacing w:line="456" w:lineRule="auto"/>
                      <w:rPr>
                        <w:rFonts w:ascii="Arial"/>
                        <w:sz w:val="21"/>
                      </w:rPr>
                    </w:pPr>
                  </w:p>
                  <w:p w14:paraId="066DABBD">
                    <w:pPr>
                      <w:spacing w:before="65" w:line="219" w:lineRule="auto"/>
                      <w:ind w:left="1190"/>
                      <w:rPr>
                        <w:rFonts w:ascii="宋体" w:hAnsi="宋体" w:eastAsia="宋体" w:cs="宋体"/>
                        <w:sz w:val="20"/>
                        <w:szCs w:val="20"/>
                      </w:rPr>
                    </w:pPr>
                    <w:r>
                      <w:rPr>
                        <w:rFonts w:ascii="宋体" w:hAnsi="宋体" w:eastAsia="宋体" w:cs="宋体"/>
                        <w:spacing w:val="11"/>
                        <w:sz w:val="20"/>
                        <w:szCs w:val="20"/>
                      </w:rPr>
                      <w:t>技术检查与设备</w:t>
                    </w:r>
                  </w:p>
                  <w:p w14:paraId="5AE16470">
                    <w:pPr>
                      <w:spacing w:line="424" w:lineRule="auto"/>
                      <w:rPr>
                        <w:rFonts w:ascii="Arial"/>
                        <w:sz w:val="21"/>
                      </w:rPr>
                    </w:pPr>
                  </w:p>
                  <w:p w14:paraId="1EA7C504">
                    <w:pPr>
                      <w:spacing w:before="65" w:line="224" w:lineRule="auto"/>
                      <w:ind w:left="779" w:right="599" w:hanging="59"/>
                      <w:rPr>
                        <w:rFonts w:ascii="宋体" w:hAnsi="宋体" w:eastAsia="宋体" w:cs="宋体"/>
                        <w:sz w:val="20"/>
                        <w:szCs w:val="20"/>
                      </w:rPr>
                    </w:pPr>
                    <w:r>
                      <w:rPr>
                        <w:rFonts w:ascii="宋体" w:hAnsi="宋体" w:eastAsia="宋体" w:cs="宋体"/>
                        <w:spacing w:val="15"/>
                        <w:sz w:val="20"/>
                        <w:szCs w:val="20"/>
                      </w:rPr>
                      <w:t>机动(行军、运输、航行、</w:t>
                    </w:r>
                    <w:r>
                      <w:rPr>
                        <w:rFonts w:ascii="宋体" w:hAnsi="宋体" w:eastAsia="宋体" w:cs="宋体"/>
                        <w:sz w:val="20"/>
                        <w:szCs w:val="20"/>
                      </w:rPr>
                      <w:t xml:space="preserve"> </w:t>
                    </w:r>
                    <w:r>
                      <w:rPr>
                        <w:rFonts w:ascii="宋体" w:hAnsi="宋体" w:eastAsia="宋体" w:cs="宋体"/>
                        <w:spacing w:val="17"/>
                        <w:sz w:val="20"/>
                        <w:szCs w:val="20"/>
                      </w:rPr>
                      <w:t>行驶等及相关技术保障)</w:t>
                    </w:r>
                  </w:p>
                  <w:p w14:paraId="290CA3DB">
                    <w:pPr>
                      <w:spacing w:line="377" w:lineRule="auto"/>
                      <w:rPr>
                        <w:rFonts w:ascii="Arial"/>
                        <w:sz w:val="21"/>
                      </w:rPr>
                    </w:pPr>
                  </w:p>
                  <w:p w14:paraId="25C8E39D">
                    <w:pPr>
                      <w:spacing w:before="65" w:line="219" w:lineRule="auto"/>
                      <w:ind w:left="990"/>
                      <w:rPr>
                        <w:rFonts w:ascii="宋体" w:hAnsi="宋体" w:eastAsia="宋体" w:cs="宋体"/>
                        <w:sz w:val="20"/>
                        <w:szCs w:val="20"/>
                      </w:rPr>
                    </w:pPr>
                    <w:r>
                      <w:rPr>
                        <w:rFonts w:ascii="宋体" w:hAnsi="宋体" w:eastAsia="宋体" w:cs="宋体"/>
                        <w:spacing w:val="11"/>
                        <w:sz w:val="20"/>
                        <w:szCs w:val="20"/>
                      </w:rPr>
                      <w:t>展开与完成相关准备</w:t>
                    </w:r>
                  </w:p>
                  <w:p w14:paraId="026C45A8">
                    <w:pPr>
                      <w:spacing w:line="454" w:lineRule="auto"/>
                      <w:rPr>
                        <w:rFonts w:ascii="Arial"/>
                        <w:sz w:val="21"/>
                      </w:rPr>
                    </w:pPr>
                  </w:p>
                  <w:p w14:paraId="15934C6E">
                    <w:pPr>
                      <w:spacing w:before="66" w:line="216" w:lineRule="auto"/>
                      <w:ind w:left="789" w:right="489" w:hanging="179"/>
                      <w:rPr>
                        <w:rFonts w:ascii="宋体" w:hAnsi="宋体" w:eastAsia="宋体" w:cs="宋体"/>
                        <w:sz w:val="20"/>
                        <w:szCs w:val="20"/>
                      </w:rPr>
                    </w:pPr>
                    <w:r>
                      <w:rPr>
                        <w:rFonts w:ascii="宋体" w:hAnsi="宋体" w:eastAsia="宋体" w:cs="宋体"/>
                        <w:spacing w:val="7"/>
                        <w:sz w:val="20"/>
                        <w:szCs w:val="20"/>
                      </w:rPr>
                      <w:t xml:space="preserve">基本指挥与操作，执行战斗、 </w:t>
                    </w:r>
                    <w:r>
                      <w:rPr>
                        <w:rFonts w:ascii="宋体" w:hAnsi="宋体" w:eastAsia="宋体" w:cs="宋体"/>
                        <w:spacing w:val="10"/>
                        <w:sz w:val="20"/>
                        <w:szCs w:val="20"/>
                      </w:rPr>
                      <w:t>训练任务及相关技术保障</w:t>
                    </w:r>
                  </w:p>
                  <w:p w14:paraId="100103F2">
                    <w:pPr>
                      <w:spacing w:line="444" w:lineRule="auto"/>
                      <w:rPr>
                        <w:rFonts w:ascii="Arial"/>
                        <w:sz w:val="21"/>
                      </w:rPr>
                    </w:pPr>
                  </w:p>
                  <w:p w14:paraId="053DE4A3">
                    <w:pPr>
                      <w:spacing w:before="65" w:line="219" w:lineRule="auto"/>
                      <w:ind w:left="1690"/>
                      <w:rPr>
                        <w:rFonts w:ascii="宋体" w:hAnsi="宋体" w:eastAsia="宋体" w:cs="宋体"/>
                        <w:sz w:val="20"/>
                        <w:szCs w:val="20"/>
                      </w:rPr>
                    </w:pPr>
                    <w:r>
                      <w:rPr>
                        <w:rFonts w:ascii="宋体" w:hAnsi="宋体" w:eastAsia="宋体" w:cs="宋体"/>
                        <w:spacing w:val="18"/>
                        <w:sz w:val="20"/>
                        <w:szCs w:val="20"/>
                      </w:rPr>
                      <w:t>撤收</w:t>
                    </w:r>
                  </w:p>
                </w:txbxContent>
              </v:textbox>
            </v:shape>
            <w10:wrap type="none"/>
            <w10:anchorlock/>
          </v:group>
        </w:pict>
      </w:r>
    </w:p>
    <w:p w14:paraId="74773BC7">
      <w:pPr>
        <w:spacing w:before="229" w:line="219" w:lineRule="auto"/>
        <w:ind w:left="3410"/>
        <w:rPr>
          <w:rFonts w:ascii="宋体" w:hAnsi="宋体" w:eastAsia="宋体" w:cs="宋体"/>
          <w:sz w:val="22"/>
          <w:szCs w:val="22"/>
        </w:rPr>
      </w:pPr>
      <w:r>
        <w:rPr>
          <w:rFonts w:ascii="宋体" w:hAnsi="宋体" w:eastAsia="宋体" w:cs="宋体"/>
          <w:spacing w:val="8"/>
          <w:sz w:val="22"/>
          <w:szCs w:val="22"/>
        </w:rPr>
        <w:t>图1</w:t>
      </w:r>
      <w:r>
        <w:rPr>
          <w:rFonts w:ascii="宋体" w:hAnsi="宋体" w:eastAsia="宋体" w:cs="宋体"/>
          <w:spacing w:val="-47"/>
          <w:sz w:val="22"/>
          <w:szCs w:val="22"/>
        </w:rPr>
        <w:t xml:space="preserve"> </w:t>
      </w:r>
      <w:r>
        <w:rPr>
          <w:rFonts w:ascii="宋体" w:hAnsi="宋体" w:eastAsia="宋体" w:cs="宋体"/>
          <w:spacing w:val="8"/>
          <w:sz w:val="22"/>
          <w:szCs w:val="22"/>
        </w:rPr>
        <w:t>.</w:t>
      </w:r>
      <w:r>
        <w:rPr>
          <w:rFonts w:ascii="宋体" w:hAnsi="宋体" w:eastAsia="宋体" w:cs="宋体"/>
          <w:spacing w:val="-41"/>
          <w:sz w:val="22"/>
          <w:szCs w:val="22"/>
        </w:rPr>
        <w:t xml:space="preserve"> </w:t>
      </w:r>
      <w:r>
        <w:rPr>
          <w:rFonts w:ascii="宋体" w:hAnsi="宋体" w:eastAsia="宋体" w:cs="宋体"/>
          <w:spacing w:val="8"/>
          <w:sz w:val="22"/>
          <w:szCs w:val="22"/>
        </w:rPr>
        <w:t>1</w:t>
      </w:r>
      <w:r>
        <w:rPr>
          <w:rFonts w:ascii="宋体" w:hAnsi="宋体" w:eastAsia="宋体" w:cs="宋体"/>
          <w:spacing w:val="4"/>
          <w:sz w:val="22"/>
          <w:szCs w:val="22"/>
        </w:rPr>
        <w:t xml:space="preserve">  </w:t>
      </w:r>
      <w:r>
        <w:rPr>
          <w:rFonts w:ascii="宋体" w:hAnsi="宋体" w:eastAsia="宋体" w:cs="宋体"/>
          <w:spacing w:val="8"/>
          <w:sz w:val="22"/>
          <w:szCs w:val="22"/>
        </w:rPr>
        <w:t>部队试验流程图</w:t>
      </w:r>
    </w:p>
    <w:p w14:paraId="011342AB">
      <w:pPr>
        <w:spacing w:before="242" w:line="317" w:lineRule="auto"/>
        <w:ind w:right="79" w:firstLine="550"/>
        <w:rPr>
          <w:rFonts w:ascii="仿宋" w:hAnsi="仿宋" w:eastAsia="仿宋" w:cs="仿宋"/>
          <w:sz w:val="24"/>
          <w:szCs w:val="24"/>
        </w:rPr>
      </w:pPr>
      <w:r>
        <w:rPr>
          <w:rFonts w:ascii="仿宋" w:hAnsi="仿宋" w:eastAsia="仿宋" w:cs="仿宋"/>
          <w:spacing w:val="25"/>
          <w:sz w:val="24"/>
          <w:szCs w:val="24"/>
        </w:rPr>
        <w:t>示例1:火炮武器系统能否完成机动、行军与战斗状态转换、基本操作、射击</w:t>
      </w:r>
      <w:r>
        <w:rPr>
          <w:rFonts w:ascii="仿宋" w:hAnsi="仿宋" w:eastAsia="仿宋" w:cs="仿宋"/>
          <w:spacing w:val="14"/>
          <w:sz w:val="24"/>
          <w:szCs w:val="24"/>
        </w:rPr>
        <w:t xml:space="preserve"> </w:t>
      </w:r>
      <w:r>
        <w:rPr>
          <w:rFonts w:ascii="仿宋" w:hAnsi="仿宋" w:eastAsia="仿宋" w:cs="仿宋"/>
          <w:spacing w:val="30"/>
          <w:sz w:val="24"/>
          <w:szCs w:val="24"/>
        </w:rPr>
        <w:t>等任务及其完成任务的程度。</w:t>
      </w:r>
    </w:p>
    <w:p w14:paraId="477F9686">
      <w:pPr>
        <w:spacing w:line="319" w:lineRule="auto"/>
        <w:ind w:right="68" w:firstLine="550"/>
        <w:rPr>
          <w:rFonts w:ascii="仿宋" w:hAnsi="仿宋" w:eastAsia="仿宋" w:cs="仿宋"/>
          <w:sz w:val="24"/>
          <w:szCs w:val="24"/>
        </w:rPr>
      </w:pPr>
      <w:r>
        <w:rPr>
          <w:rFonts w:ascii="仿宋" w:hAnsi="仿宋" w:eastAsia="仿宋" w:cs="仿宋"/>
          <w:spacing w:val="26"/>
          <w:sz w:val="24"/>
          <w:szCs w:val="24"/>
        </w:rPr>
        <w:t>示例2:导弹武器系统能否完成机动、展开与撤收、对接</w:t>
      </w:r>
      <w:r>
        <w:rPr>
          <w:rFonts w:ascii="仿宋" w:hAnsi="仿宋" w:eastAsia="仿宋" w:cs="仿宋"/>
          <w:spacing w:val="25"/>
          <w:sz w:val="24"/>
          <w:szCs w:val="24"/>
        </w:rPr>
        <w:t>、战斗准备、发现和</w:t>
      </w:r>
      <w:r>
        <w:rPr>
          <w:rFonts w:ascii="仿宋" w:hAnsi="仿宋" w:eastAsia="仿宋" w:cs="仿宋"/>
          <w:sz w:val="24"/>
          <w:szCs w:val="24"/>
        </w:rPr>
        <w:t xml:space="preserve"> </w:t>
      </w:r>
      <w:r>
        <w:rPr>
          <w:rFonts w:ascii="仿宋" w:hAnsi="仿宋" w:eastAsia="仿宋" w:cs="仿宋"/>
          <w:spacing w:val="25"/>
          <w:sz w:val="24"/>
          <w:szCs w:val="24"/>
        </w:rPr>
        <w:t>跟踪目标、火力转移等任务及其完成任务的程度。</w:t>
      </w:r>
    </w:p>
    <w:p w14:paraId="17CEDB37">
      <w:pPr>
        <w:spacing w:before="1" w:line="296" w:lineRule="auto"/>
        <w:ind w:right="57" w:firstLine="550"/>
        <w:jc w:val="both"/>
        <w:rPr>
          <w:rFonts w:ascii="仿宋" w:hAnsi="仿宋" w:eastAsia="仿宋" w:cs="仿宋"/>
          <w:sz w:val="25"/>
          <w:szCs w:val="25"/>
        </w:rPr>
      </w:pPr>
      <w:r>
        <w:rPr>
          <w:rFonts w:ascii="仿宋" w:hAnsi="仿宋" w:eastAsia="仿宋" w:cs="仿宋"/>
          <w:spacing w:val="16"/>
          <w:sz w:val="25"/>
          <w:szCs w:val="25"/>
        </w:rPr>
        <w:t>示例3:军用飞机能否完成试飞、起飞着陆(舰)、低空空防、特技、</w:t>
      </w:r>
      <w:r>
        <w:rPr>
          <w:rFonts w:ascii="仿宋" w:hAnsi="仿宋" w:eastAsia="仿宋" w:cs="仿宋"/>
          <w:spacing w:val="15"/>
          <w:sz w:val="25"/>
          <w:szCs w:val="25"/>
        </w:rPr>
        <w:t>编队、航</w:t>
      </w:r>
      <w:r>
        <w:rPr>
          <w:rFonts w:ascii="仿宋" w:hAnsi="仿宋" w:eastAsia="仿宋" w:cs="仿宋"/>
          <w:sz w:val="25"/>
          <w:szCs w:val="25"/>
        </w:rPr>
        <w:t xml:space="preserve"> </w:t>
      </w:r>
      <w:r>
        <w:rPr>
          <w:rFonts w:ascii="仿宋" w:hAnsi="仿宋" w:eastAsia="仿宋" w:cs="仿宋"/>
          <w:spacing w:val="3"/>
          <w:sz w:val="25"/>
          <w:szCs w:val="25"/>
        </w:rPr>
        <w:t>行、对空中目标的攻击截击、对地攻击、昼复、夜航、特殊条件下的试</w:t>
      </w:r>
      <w:r>
        <w:rPr>
          <w:rFonts w:ascii="仿宋" w:hAnsi="仿宋" w:eastAsia="仿宋" w:cs="仿宋"/>
          <w:spacing w:val="2"/>
          <w:sz w:val="25"/>
          <w:szCs w:val="25"/>
        </w:rPr>
        <w:t>飞、低空大速</w:t>
      </w:r>
      <w:r>
        <w:rPr>
          <w:rFonts w:ascii="仿宋" w:hAnsi="仿宋" w:eastAsia="仿宋" w:cs="仿宋"/>
          <w:sz w:val="25"/>
          <w:szCs w:val="25"/>
        </w:rPr>
        <w:t xml:space="preserve"> </w:t>
      </w:r>
      <w:r>
        <w:rPr>
          <w:rFonts w:ascii="仿宋" w:hAnsi="仿宋" w:eastAsia="仿宋" w:cs="仿宋"/>
          <w:spacing w:val="8"/>
          <w:sz w:val="25"/>
          <w:szCs w:val="25"/>
        </w:rPr>
        <w:t>度、空中加受油、电子对抗、运输、空投空降等任</w:t>
      </w:r>
      <w:r>
        <w:rPr>
          <w:rFonts w:ascii="仿宋" w:hAnsi="仿宋" w:eastAsia="仿宋" w:cs="仿宋"/>
          <w:spacing w:val="7"/>
          <w:sz w:val="25"/>
          <w:szCs w:val="25"/>
        </w:rPr>
        <w:t>务及其完成任务的程度。</w:t>
      </w:r>
    </w:p>
    <w:p w14:paraId="2D51914A">
      <w:pPr>
        <w:spacing w:before="2" w:line="288" w:lineRule="auto"/>
        <w:ind w:right="41" w:firstLine="550"/>
        <w:jc w:val="both"/>
        <w:rPr>
          <w:rFonts w:ascii="宋体" w:hAnsi="宋体" w:eastAsia="宋体" w:cs="宋体"/>
          <w:sz w:val="27"/>
          <w:szCs w:val="27"/>
        </w:rPr>
      </w:pPr>
      <w:r>
        <w:rPr>
          <w:rFonts w:ascii="宋体" w:hAnsi="宋体" w:eastAsia="宋体" w:cs="宋体"/>
          <w:spacing w:val="-18"/>
          <w:sz w:val="27"/>
          <w:szCs w:val="27"/>
        </w:rPr>
        <w:t>部队适用性主要考核可用性、可靠性、维修性、保障性、兼容性、运输性、安全</w:t>
      </w:r>
      <w:r>
        <w:rPr>
          <w:rFonts w:ascii="宋体" w:hAnsi="宋体" w:eastAsia="宋体" w:cs="宋体"/>
          <w:sz w:val="27"/>
          <w:szCs w:val="27"/>
        </w:rPr>
        <w:t xml:space="preserve"> </w:t>
      </w:r>
      <w:r>
        <w:rPr>
          <w:rFonts w:ascii="宋体" w:hAnsi="宋体" w:eastAsia="宋体" w:cs="宋体"/>
          <w:spacing w:val="-10"/>
          <w:sz w:val="27"/>
          <w:szCs w:val="27"/>
        </w:rPr>
        <w:t>性、人机工程、生存性，装备编配方案、作战和训练要求等。各项试验的考核内容</w:t>
      </w:r>
      <w:r>
        <w:rPr>
          <w:rFonts w:ascii="宋体" w:hAnsi="宋体" w:eastAsia="宋体" w:cs="宋体"/>
          <w:spacing w:val="12"/>
          <w:sz w:val="27"/>
          <w:szCs w:val="27"/>
        </w:rPr>
        <w:t xml:space="preserve"> </w:t>
      </w:r>
      <w:r>
        <w:rPr>
          <w:rFonts w:ascii="宋体" w:hAnsi="宋体" w:eastAsia="宋体" w:cs="宋体"/>
          <w:spacing w:val="15"/>
          <w:sz w:val="27"/>
          <w:szCs w:val="27"/>
        </w:rPr>
        <w:t>见表1.9。</w:t>
      </w:r>
    </w:p>
    <w:p w14:paraId="124119F5">
      <w:pPr>
        <w:spacing w:before="2" w:line="222" w:lineRule="auto"/>
        <w:ind w:left="2950"/>
        <w:rPr>
          <w:rFonts w:ascii="仿宋" w:hAnsi="仿宋" w:eastAsia="仿宋" w:cs="仿宋"/>
          <w:sz w:val="24"/>
          <w:szCs w:val="24"/>
        </w:rPr>
      </w:pPr>
      <w:r>
        <w:rPr>
          <w:rFonts w:ascii="仿宋" w:hAnsi="仿宋" w:eastAsia="仿宋" w:cs="仿宋"/>
          <w:spacing w:val="17"/>
          <w:sz w:val="24"/>
          <w:szCs w:val="24"/>
        </w:rPr>
        <w:t>表</w:t>
      </w:r>
      <w:r>
        <w:rPr>
          <w:rFonts w:ascii="仿宋" w:hAnsi="仿宋" w:eastAsia="仿宋" w:cs="仿宋"/>
          <w:spacing w:val="-31"/>
          <w:sz w:val="24"/>
          <w:szCs w:val="24"/>
        </w:rPr>
        <w:t xml:space="preserve"> </w:t>
      </w:r>
      <w:r>
        <w:rPr>
          <w:rFonts w:ascii="仿宋" w:hAnsi="仿宋" w:eastAsia="仿宋" w:cs="仿宋"/>
          <w:spacing w:val="17"/>
          <w:sz w:val="24"/>
          <w:szCs w:val="24"/>
        </w:rPr>
        <w:t>1</w:t>
      </w:r>
      <w:r>
        <w:rPr>
          <w:rFonts w:ascii="仿宋" w:hAnsi="仿宋" w:eastAsia="仿宋" w:cs="仿宋"/>
          <w:spacing w:val="-47"/>
          <w:sz w:val="24"/>
          <w:szCs w:val="24"/>
        </w:rPr>
        <w:t xml:space="preserve"> </w:t>
      </w:r>
      <w:r>
        <w:rPr>
          <w:rFonts w:ascii="仿宋" w:hAnsi="仿宋" w:eastAsia="仿宋" w:cs="仿宋"/>
          <w:spacing w:val="17"/>
          <w:sz w:val="24"/>
          <w:szCs w:val="24"/>
        </w:rPr>
        <w:t>.</w:t>
      </w:r>
      <w:r>
        <w:rPr>
          <w:rFonts w:ascii="仿宋" w:hAnsi="仿宋" w:eastAsia="仿宋" w:cs="仿宋"/>
          <w:spacing w:val="-54"/>
          <w:sz w:val="24"/>
          <w:szCs w:val="24"/>
        </w:rPr>
        <w:t xml:space="preserve"> </w:t>
      </w:r>
      <w:r>
        <w:rPr>
          <w:rFonts w:ascii="仿宋" w:hAnsi="仿宋" w:eastAsia="仿宋" w:cs="仿宋"/>
          <w:spacing w:val="17"/>
          <w:sz w:val="24"/>
          <w:szCs w:val="24"/>
        </w:rPr>
        <w:t>9  各项试验的考核内容</w:t>
      </w:r>
    </w:p>
    <w:p w14:paraId="31E0A52A">
      <w:pPr>
        <w:spacing w:line="118" w:lineRule="exact"/>
      </w:pPr>
    </w:p>
    <w:tbl>
      <w:tblPr>
        <w:tblStyle w:val="5"/>
        <w:tblW w:w="937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3"/>
        <w:gridCol w:w="1159"/>
        <w:gridCol w:w="1039"/>
        <w:gridCol w:w="1678"/>
        <w:gridCol w:w="1259"/>
        <w:gridCol w:w="2088"/>
        <w:gridCol w:w="584"/>
      </w:tblGrid>
      <w:tr w14:paraId="785CB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1" w:hRule="atLeast"/>
        </w:trPr>
        <w:tc>
          <w:tcPr>
            <w:tcW w:w="1563" w:type="dxa"/>
            <w:vAlign w:val="top"/>
          </w:tcPr>
          <w:p w14:paraId="3654D2BD">
            <w:pPr>
              <w:spacing w:line="455" w:lineRule="auto"/>
              <w:rPr>
                <w:rFonts w:ascii="Arial"/>
                <w:sz w:val="21"/>
              </w:rPr>
            </w:pPr>
          </w:p>
          <w:p w14:paraId="1532A962">
            <w:pPr>
              <w:spacing w:before="65" w:line="219" w:lineRule="auto"/>
              <w:ind w:left="375"/>
              <w:rPr>
                <w:rFonts w:ascii="宋体" w:hAnsi="宋体" w:eastAsia="宋体" w:cs="宋体"/>
                <w:sz w:val="20"/>
                <w:szCs w:val="20"/>
              </w:rPr>
            </w:pPr>
            <w:r>
              <w:rPr>
                <w:rFonts w:ascii="宋体" w:hAnsi="宋体" w:eastAsia="宋体" w:cs="宋体"/>
                <w:spacing w:val="-2"/>
                <w:sz w:val="20"/>
                <w:szCs w:val="20"/>
              </w:rPr>
              <w:t>考核内容</w:t>
            </w:r>
          </w:p>
        </w:tc>
        <w:tc>
          <w:tcPr>
            <w:tcW w:w="1159" w:type="dxa"/>
            <w:vAlign w:val="top"/>
          </w:tcPr>
          <w:p w14:paraId="072BB4BB">
            <w:pPr>
              <w:spacing w:line="276" w:lineRule="auto"/>
              <w:rPr>
                <w:rFonts w:ascii="Arial"/>
                <w:sz w:val="21"/>
              </w:rPr>
            </w:pPr>
          </w:p>
          <w:p w14:paraId="384B26C4">
            <w:pPr>
              <w:spacing w:before="65" w:line="315" w:lineRule="auto"/>
              <w:ind w:left="172" w:right="83" w:hanging="100"/>
              <w:rPr>
                <w:rFonts w:ascii="宋体" w:hAnsi="宋体" w:eastAsia="宋体" w:cs="宋体"/>
                <w:sz w:val="20"/>
                <w:szCs w:val="20"/>
              </w:rPr>
            </w:pPr>
            <w:r>
              <w:rPr>
                <w:rFonts w:ascii="宋体" w:hAnsi="宋体" w:eastAsia="宋体" w:cs="宋体"/>
                <w:spacing w:val="-2"/>
                <w:sz w:val="20"/>
                <w:szCs w:val="20"/>
              </w:rPr>
              <w:t>场库保管及</w:t>
            </w:r>
            <w:r>
              <w:rPr>
                <w:rFonts w:ascii="宋体" w:hAnsi="宋体" w:eastAsia="宋体" w:cs="宋体"/>
                <w:spacing w:val="1"/>
                <w:sz w:val="20"/>
                <w:szCs w:val="20"/>
              </w:rPr>
              <w:t xml:space="preserve"> </w:t>
            </w:r>
            <w:r>
              <w:rPr>
                <w:rFonts w:ascii="宋体" w:hAnsi="宋体" w:eastAsia="宋体" w:cs="宋体"/>
                <w:spacing w:val="-2"/>
                <w:sz w:val="20"/>
                <w:szCs w:val="20"/>
              </w:rPr>
              <w:t>相关勤务</w:t>
            </w:r>
          </w:p>
        </w:tc>
        <w:tc>
          <w:tcPr>
            <w:tcW w:w="1039" w:type="dxa"/>
            <w:vAlign w:val="top"/>
          </w:tcPr>
          <w:p w14:paraId="6486C55E">
            <w:pPr>
              <w:spacing w:line="256" w:lineRule="auto"/>
              <w:rPr>
                <w:rFonts w:ascii="Arial"/>
                <w:sz w:val="21"/>
              </w:rPr>
            </w:pPr>
          </w:p>
          <w:p w14:paraId="50F87CC3">
            <w:pPr>
              <w:spacing w:before="65" w:line="318" w:lineRule="auto"/>
              <w:ind w:left="212" w:right="124" w:hanging="99"/>
              <w:rPr>
                <w:rFonts w:ascii="宋体" w:hAnsi="宋体" w:eastAsia="宋体" w:cs="宋体"/>
                <w:sz w:val="20"/>
                <w:szCs w:val="20"/>
              </w:rPr>
            </w:pPr>
            <w:r>
              <w:rPr>
                <w:rFonts w:ascii="宋体" w:hAnsi="宋体" w:eastAsia="宋体" w:cs="宋体"/>
                <w:spacing w:val="-3"/>
                <w:sz w:val="20"/>
                <w:szCs w:val="20"/>
              </w:rPr>
              <w:t>技术检查</w:t>
            </w:r>
            <w:r>
              <w:rPr>
                <w:rFonts w:ascii="宋体" w:hAnsi="宋体" w:eastAsia="宋体" w:cs="宋体"/>
                <w:spacing w:val="2"/>
                <w:sz w:val="20"/>
                <w:szCs w:val="20"/>
              </w:rPr>
              <w:t xml:space="preserve"> </w:t>
            </w:r>
            <w:r>
              <w:rPr>
                <w:rFonts w:ascii="宋体" w:hAnsi="宋体" w:eastAsia="宋体" w:cs="宋体"/>
                <w:spacing w:val="3"/>
                <w:sz w:val="20"/>
                <w:szCs w:val="20"/>
              </w:rPr>
              <w:t>与准备</w:t>
            </w:r>
          </w:p>
        </w:tc>
        <w:tc>
          <w:tcPr>
            <w:tcW w:w="1678" w:type="dxa"/>
            <w:vAlign w:val="top"/>
          </w:tcPr>
          <w:p w14:paraId="0D552C7F">
            <w:pPr>
              <w:spacing w:before="173" w:line="315" w:lineRule="auto"/>
              <w:ind w:left="126" w:hanging="113"/>
              <w:rPr>
                <w:rFonts w:ascii="宋体" w:hAnsi="宋体" w:eastAsia="宋体" w:cs="宋体"/>
                <w:sz w:val="20"/>
                <w:szCs w:val="20"/>
              </w:rPr>
            </w:pPr>
            <w:r>
              <w:rPr>
                <w:rFonts w:ascii="宋体" w:hAnsi="宋体" w:eastAsia="宋体" w:cs="宋体"/>
                <w:spacing w:val="-6"/>
                <w:sz w:val="20"/>
                <w:szCs w:val="20"/>
              </w:rPr>
              <w:t>机动(行军、运输、</w:t>
            </w:r>
            <w:r>
              <w:rPr>
                <w:rFonts w:ascii="宋体" w:hAnsi="宋体" w:eastAsia="宋体" w:cs="宋体"/>
                <w:spacing w:val="7"/>
                <w:sz w:val="20"/>
                <w:szCs w:val="20"/>
              </w:rPr>
              <w:t xml:space="preserve"> </w:t>
            </w:r>
            <w:r>
              <w:rPr>
                <w:rFonts w:ascii="宋体" w:hAnsi="宋体" w:eastAsia="宋体" w:cs="宋体"/>
                <w:spacing w:val="-13"/>
                <w:sz w:val="20"/>
                <w:szCs w:val="20"/>
              </w:rPr>
              <w:t>航行、行驶等及</w:t>
            </w:r>
            <w:r>
              <w:rPr>
                <w:rFonts w:ascii="宋体" w:hAnsi="宋体" w:eastAsia="宋体" w:cs="宋体"/>
                <w:spacing w:val="1"/>
                <w:sz w:val="20"/>
                <w:szCs w:val="20"/>
              </w:rPr>
              <w:t xml:space="preserve">   </w:t>
            </w:r>
            <w:r>
              <w:rPr>
                <w:rFonts w:ascii="宋体" w:hAnsi="宋体" w:eastAsia="宋体" w:cs="宋体"/>
                <w:spacing w:val="2"/>
                <w:sz w:val="20"/>
                <w:szCs w:val="20"/>
              </w:rPr>
              <w:t>相关技术保障)</w:t>
            </w:r>
          </w:p>
        </w:tc>
        <w:tc>
          <w:tcPr>
            <w:tcW w:w="1259" w:type="dxa"/>
            <w:vAlign w:val="top"/>
          </w:tcPr>
          <w:p w14:paraId="403F1096">
            <w:pPr>
              <w:spacing w:line="276" w:lineRule="auto"/>
              <w:rPr>
                <w:rFonts w:ascii="Arial"/>
                <w:sz w:val="21"/>
              </w:rPr>
            </w:pPr>
          </w:p>
          <w:p w14:paraId="653DB589">
            <w:pPr>
              <w:spacing w:before="65" w:line="317" w:lineRule="auto"/>
              <w:ind w:left="225" w:right="132" w:hanging="99"/>
              <w:rPr>
                <w:rFonts w:ascii="宋体" w:hAnsi="宋体" w:eastAsia="宋体" w:cs="宋体"/>
                <w:sz w:val="20"/>
                <w:szCs w:val="20"/>
              </w:rPr>
            </w:pPr>
            <w:r>
              <w:rPr>
                <w:rFonts w:ascii="宋体" w:hAnsi="宋体" w:eastAsia="宋体" w:cs="宋体"/>
                <w:spacing w:val="-2"/>
                <w:sz w:val="20"/>
                <w:szCs w:val="20"/>
              </w:rPr>
              <w:t>展开与完成</w:t>
            </w:r>
            <w:r>
              <w:rPr>
                <w:rFonts w:ascii="宋体" w:hAnsi="宋体" w:eastAsia="宋体" w:cs="宋体"/>
                <w:sz w:val="20"/>
                <w:szCs w:val="20"/>
              </w:rPr>
              <w:t xml:space="preserve"> </w:t>
            </w:r>
            <w:r>
              <w:rPr>
                <w:rFonts w:ascii="宋体" w:hAnsi="宋体" w:eastAsia="宋体" w:cs="宋体"/>
                <w:spacing w:val="-2"/>
                <w:sz w:val="20"/>
                <w:szCs w:val="20"/>
              </w:rPr>
              <w:t>相关准备</w:t>
            </w:r>
          </w:p>
        </w:tc>
        <w:tc>
          <w:tcPr>
            <w:tcW w:w="2088" w:type="dxa"/>
            <w:vAlign w:val="top"/>
          </w:tcPr>
          <w:p w14:paraId="75A7DA4E">
            <w:pPr>
              <w:spacing w:before="171" w:line="219" w:lineRule="auto"/>
              <w:ind w:left="36"/>
              <w:rPr>
                <w:rFonts w:ascii="宋体" w:hAnsi="宋体" w:eastAsia="宋体" w:cs="宋体"/>
                <w:sz w:val="20"/>
                <w:szCs w:val="20"/>
              </w:rPr>
            </w:pPr>
            <w:r>
              <w:rPr>
                <w:rFonts w:ascii="宋体" w:hAnsi="宋体" w:eastAsia="宋体" w:cs="宋体"/>
                <w:spacing w:val="-1"/>
                <w:sz w:val="20"/>
                <w:szCs w:val="20"/>
              </w:rPr>
              <w:t>基本指挥与操作，执行</w:t>
            </w:r>
          </w:p>
          <w:p w14:paraId="184FCCEA">
            <w:pPr>
              <w:spacing w:before="103" w:line="219" w:lineRule="auto"/>
              <w:ind w:left="237"/>
              <w:rPr>
                <w:rFonts w:ascii="宋体" w:hAnsi="宋体" w:eastAsia="宋体" w:cs="宋体"/>
                <w:sz w:val="20"/>
                <w:szCs w:val="20"/>
              </w:rPr>
            </w:pPr>
            <w:r>
              <w:rPr>
                <w:rFonts w:ascii="宋体" w:hAnsi="宋体" w:eastAsia="宋体" w:cs="宋体"/>
                <w:spacing w:val="1"/>
                <w:sz w:val="20"/>
                <w:szCs w:val="20"/>
              </w:rPr>
              <w:t>战斗、训练任务及</w:t>
            </w:r>
          </w:p>
          <w:p w14:paraId="45BA4E31">
            <w:pPr>
              <w:spacing w:before="102" w:line="219" w:lineRule="auto"/>
              <w:ind w:left="437"/>
              <w:rPr>
                <w:rFonts w:ascii="宋体" w:hAnsi="宋体" w:eastAsia="宋体" w:cs="宋体"/>
                <w:sz w:val="20"/>
                <w:szCs w:val="20"/>
              </w:rPr>
            </w:pPr>
            <w:r>
              <w:rPr>
                <w:rFonts w:ascii="宋体" w:hAnsi="宋体" w:eastAsia="宋体" w:cs="宋体"/>
                <w:spacing w:val="-2"/>
                <w:sz w:val="20"/>
                <w:szCs w:val="20"/>
              </w:rPr>
              <w:t>相关技术保障</w:t>
            </w:r>
          </w:p>
        </w:tc>
        <w:tc>
          <w:tcPr>
            <w:tcW w:w="584" w:type="dxa"/>
            <w:vAlign w:val="top"/>
          </w:tcPr>
          <w:p w14:paraId="443B7E40">
            <w:pPr>
              <w:spacing w:line="455" w:lineRule="auto"/>
              <w:rPr>
                <w:rFonts w:ascii="Arial"/>
                <w:sz w:val="21"/>
              </w:rPr>
            </w:pPr>
          </w:p>
          <w:p w14:paraId="17B81EA0">
            <w:pPr>
              <w:spacing w:before="65" w:line="219" w:lineRule="auto"/>
              <w:ind w:left="88"/>
              <w:rPr>
                <w:rFonts w:ascii="宋体" w:hAnsi="宋体" w:eastAsia="宋体" w:cs="宋体"/>
                <w:sz w:val="20"/>
                <w:szCs w:val="20"/>
              </w:rPr>
            </w:pPr>
            <w:r>
              <w:rPr>
                <w:rFonts w:ascii="宋体" w:hAnsi="宋体" w:eastAsia="宋体" w:cs="宋体"/>
                <w:spacing w:val="-2"/>
                <w:sz w:val="20"/>
                <w:szCs w:val="20"/>
              </w:rPr>
              <w:t>撤收</w:t>
            </w:r>
          </w:p>
        </w:tc>
      </w:tr>
      <w:tr w14:paraId="3B979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563" w:type="dxa"/>
            <w:vAlign w:val="top"/>
          </w:tcPr>
          <w:p w14:paraId="1B933DE6">
            <w:pPr>
              <w:spacing w:before="103" w:line="221" w:lineRule="auto"/>
              <w:ind w:left="475"/>
              <w:rPr>
                <w:rFonts w:ascii="宋体" w:hAnsi="宋体" w:eastAsia="宋体" w:cs="宋体"/>
                <w:sz w:val="20"/>
                <w:szCs w:val="20"/>
              </w:rPr>
            </w:pPr>
            <w:r>
              <w:rPr>
                <w:rFonts w:ascii="宋体" w:hAnsi="宋体" w:eastAsia="宋体" w:cs="宋体"/>
                <w:spacing w:val="-3"/>
                <w:sz w:val="20"/>
                <w:szCs w:val="20"/>
              </w:rPr>
              <w:t>可用性</w:t>
            </w:r>
          </w:p>
        </w:tc>
        <w:tc>
          <w:tcPr>
            <w:tcW w:w="1159" w:type="dxa"/>
            <w:vAlign w:val="top"/>
          </w:tcPr>
          <w:p w14:paraId="06D0ED56">
            <w:pPr>
              <w:spacing w:before="197" w:line="155" w:lineRule="exact"/>
              <w:ind w:left="472"/>
              <w:rPr>
                <w:rFonts w:ascii="宋体" w:hAnsi="宋体" w:eastAsia="宋体" w:cs="宋体"/>
                <w:sz w:val="20"/>
                <w:szCs w:val="20"/>
              </w:rPr>
            </w:pPr>
            <w:r>
              <w:rPr>
                <w:rFonts w:ascii="宋体" w:hAnsi="宋体" w:eastAsia="宋体" w:cs="宋体"/>
                <w:position w:val="-4"/>
                <w:sz w:val="20"/>
                <w:szCs w:val="20"/>
              </w:rPr>
              <w:t>一</w:t>
            </w:r>
          </w:p>
        </w:tc>
        <w:tc>
          <w:tcPr>
            <w:tcW w:w="1039" w:type="dxa"/>
            <w:vAlign w:val="top"/>
          </w:tcPr>
          <w:p w14:paraId="4FF87E26">
            <w:pPr>
              <w:spacing w:before="197" w:line="155" w:lineRule="exact"/>
              <w:ind w:left="413"/>
              <w:rPr>
                <w:rFonts w:ascii="宋体" w:hAnsi="宋体" w:eastAsia="宋体" w:cs="宋体"/>
                <w:sz w:val="20"/>
                <w:szCs w:val="20"/>
              </w:rPr>
            </w:pPr>
            <w:r>
              <w:rPr>
                <w:rFonts w:ascii="宋体" w:hAnsi="宋体" w:eastAsia="宋体" w:cs="宋体"/>
                <w:position w:val="-4"/>
                <w:sz w:val="20"/>
                <w:szCs w:val="20"/>
              </w:rPr>
              <w:t>一</w:t>
            </w:r>
          </w:p>
        </w:tc>
        <w:tc>
          <w:tcPr>
            <w:tcW w:w="1678" w:type="dxa"/>
            <w:vAlign w:val="top"/>
          </w:tcPr>
          <w:p w14:paraId="6A667D9A">
            <w:pPr>
              <w:spacing w:before="122" w:line="238" w:lineRule="auto"/>
              <w:ind w:left="734"/>
              <w:rPr>
                <w:rFonts w:ascii="宋体" w:hAnsi="宋体" w:eastAsia="宋体" w:cs="宋体"/>
                <w:sz w:val="20"/>
                <w:szCs w:val="20"/>
              </w:rPr>
            </w:pPr>
            <w:r>
              <w:rPr>
                <w:rFonts w:ascii="宋体" w:hAnsi="宋体" w:eastAsia="宋体" w:cs="宋体"/>
                <w:sz w:val="20"/>
                <w:szCs w:val="20"/>
              </w:rPr>
              <w:t>√</w:t>
            </w:r>
          </w:p>
        </w:tc>
        <w:tc>
          <w:tcPr>
            <w:tcW w:w="1259" w:type="dxa"/>
            <w:vAlign w:val="top"/>
          </w:tcPr>
          <w:p w14:paraId="363C3831">
            <w:pPr>
              <w:spacing w:before="122"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51AEB0C2">
            <w:pPr>
              <w:spacing w:before="122"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421D6B97">
            <w:pPr>
              <w:spacing w:before="122" w:line="238" w:lineRule="auto"/>
              <w:ind w:left="189"/>
              <w:rPr>
                <w:rFonts w:ascii="宋体" w:hAnsi="宋体" w:eastAsia="宋体" w:cs="宋体"/>
                <w:sz w:val="20"/>
                <w:szCs w:val="20"/>
              </w:rPr>
            </w:pPr>
            <w:r>
              <w:rPr>
                <w:rFonts w:ascii="宋体" w:hAnsi="宋体" w:eastAsia="宋体" w:cs="宋体"/>
                <w:sz w:val="20"/>
                <w:szCs w:val="20"/>
              </w:rPr>
              <w:t>√</w:t>
            </w:r>
          </w:p>
        </w:tc>
      </w:tr>
      <w:tr w14:paraId="76697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563" w:type="dxa"/>
            <w:vAlign w:val="top"/>
          </w:tcPr>
          <w:p w14:paraId="23B13B87">
            <w:pPr>
              <w:spacing w:before="104" w:line="221" w:lineRule="auto"/>
              <w:ind w:left="475"/>
              <w:rPr>
                <w:rFonts w:ascii="宋体" w:hAnsi="宋体" w:eastAsia="宋体" w:cs="宋体"/>
                <w:sz w:val="20"/>
                <w:szCs w:val="20"/>
              </w:rPr>
            </w:pPr>
            <w:r>
              <w:rPr>
                <w:rFonts w:ascii="宋体" w:hAnsi="宋体" w:eastAsia="宋体" w:cs="宋体"/>
                <w:spacing w:val="-3"/>
                <w:sz w:val="20"/>
                <w:szCs w:val="20"/>
              </w:rPr>
              <w:t>可靠性</w:t>
            </w:r>
          </w:p>
        </w:tc>
        <w:tc>
          <w:tcPr>
            <w:tcW w:w="1159" w:type="dxa"/>
            <w:vAlign w:val="top"/>
          </w:tcPr>
          <w:p w14:paraId="0AD341CB">
            <w:pPr>
              <w:spacing w:before="198" w:line="155" w:lineRule="exact"/>
              <w:ind w:left="472"/>
              <w:rPr>
                <w:rFonts w:ascii="宋体" w:hAnsi="宋体" w:eastAsia="宋体" w:cs="宋体"/>
                <w:sz w:val="20"/>
                <w:szCs w:val="20"/>
              </w:rPr>
            </w:pPr>
            <w:r>
              <w:rPr>
                <w:rFonts w:ascii="宋体" w:hAnsi="宋体" w:eastAsia="宋体" w:cs="宋体"/>
                <w:position w:val="-4"/>
                <w:sz w:val="20"/>
                <w:szCs w:val="20"/>
              </w:rPr>
              <w:t>一</w:t>
            </w:r>
          </w:p>
        </w:tc>
        <w:tc>
          <w:tcPr>
            <w:tcW w:w="1039" w:type="dxa"/>
            <w:vAlign w:val="top"/>
          </w:tcPr>
          <w:p w14:paraId="47BFE98C">
            <w:pPr>
              <w:spacing w:before="198" w:line="155" w:lineRule="exact"/>
              <w:ind w:left="413"/>
              <w:rPr>
                <w:rFonts w:ascii="宋体" w:hAnsi="宋体" w:eastAsia="宋体" w:cs="宋体"/>
                <w:sz w:val="20"/>
                <w:szCs w:val="20"/>
              </w:rPr>
            </w:pPr>
            <w:r>
              <w:rPr>
                <w:rFonts w:ascii="宋体" w:hAnsi="宋体" w:eastAsia="宋体" w:cs="宋体"/>
                <w:position w:val="-4"/>
                <w:sz w:val="20"/>
                <w:szCs w:val="20"/>
              </w:rPr>
              <w:t>一</w:t>
            </w:r>
          </w:p>
        </w:tc>
        <w:tc>
          <w:tcPr>
            <w:tcW w:w="1678" w:type="dxa"/>
            <w:vAlign w:val="top"/>
          </w:tcPr>
          <w:p w14:paraId="659BCE13">
            <w:pPr>
              <w:spacing w:before="123" w:line="238" w:lineRule="auto"/>
              <w:ind w:left="734"/>
              <w:rPr>
                <w:rFonts w:ascii="宋体" w:hAnsi="宋体" w:eastAsia="宋体" w:cs="宋体"/>
                <w:sz w:val="20"/>
                <w:szCs w:val="20"/>
              </w:rPr>
            </w:pPr>
            <w:r>
              <w:rPr>
                <w:rFonts w:ascii="宋体" w:hAnsi="宋体" w:eastAsia="宋体" w:cs="宋体"/>
                <w:sz w:val="20"/>
                <w:szCs w:val="20"/>
              </w:rPr>
              <w:t>√</w:t>
            </w:r>
          </w:p>
        </w:tc>
        <w:tc>
          <w:tcPr>
            <w:tcW w:w="1259" w:type="dxa"/>
            <w:vAlign w:val="top"/>
          </w:tcPr>
          <w:p w14:paraId="413B0848">
            <w:pPr>
              <w:spacing w:before="123"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203C6ADD">
            <w:pPr>
              <w:spacing w:before="123"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26919606">
            <w:pPr>
              <w:spacing w:before="123" w:line="238" w:lineRule="auto"/>
              <w:ind w:left="189"/>
              <w:rPr>
                <w:rFonts w:ascii="宋体" w:hAnsi="宋体" w:eastAsia="宋体" w:cs="宋体"/>
                <w:sz w:val="20"/>
                <w:szCs w:val="20"/>
              </w:rPr>
            </w:pPr>
            <w:r>
              <w:rPr>
                <w:rFonts w:ascii="宋体" w:hAnsi="宋体" w:eastAsia="宋体" w:cs="宋体"/>
                <w:sz w:val="20"/>
                <w:szCs w:val="20"/>
              </w:rPr>
              <w:t>√</w:t>
            </w:r>
          </w:p>
        </w:tc>
      </w:tr>
      <w:tr w14:paraId="74109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563" w:type="dxa"/>
            <w:vAlign w:val="top"/>
          </w:tcPr>
          <w:p w14:paraId="69A623BE">
            <w:pPr>
              <w:spacing w:before="104" w:line="219" w:lineRule="auto"/>
              <w:ind w:left="475"/>
              <w:rPr>
                <w:rFonts w:ascii="宋体" w:hAnsi="宋体" w:eastAsia="宋体" w:cs="宋体"/>
                <w:sz w:val="20"/>
                <w:szCs w:val="20"/>
              </w:rPr>
            </w:pPr>
            <w:r>
              <w:rPr>
                <w:rFonts w:ascii="宋体" w:hAnsi="宋体" w:eastAsia="宋体" w:cs="宋体"/>
                <w:spacing w:val="-3"/>
                <w:sz w:val="20"/>
                <w:szCs w:val="20"/>
              </w:rPr>
              <w:t>维修性</w:t>
            </w:r>
          </w:p>
        </w:tc>
        <w:tc>
          <w:tcPr>
            <w:tcW w:w="1159" w:type="dxa"/>
            <w:vAlign w:val="top"/>
          </w:tcPr>
          <w:p w14:paraId="3441A0AE">
            <w:pPr>
              <w:spacing w:before="124" w:line="238" w:lineRule="auto"/>
              <w:ind w:left="472"/>
              <w:rPr>
                <w:rFonts w:ascii="宋体" w:hAnsi="宋体" w:eastAsia="宋体" w:cs="宋体"/>
                <w:sz w:val="20"/>
                <w:szCs w:val="20"/>
              </w:rPr>
            </w:pPr>
            <w:r>
              <w:rPr>
                <w:rFonts w:ascii="宋体" w:hAnsi="宋体" w:eastAsia="宋体" w:cs="宋体"/>
                <w:sz w:val="20"/>
                <w:szCs w:val="20"/>
              </w:rPr>
              <w:t>√</w:t>
            </w:r>
          </w:p>
        </w:tc>
        <w:tc>
          <w:tcPr>
            <w:tcW w:w="1039" w:type="dxa"/>
            <w:vAlign w:val="top"/>
          </w:tcPr>
          <w:p w14:paraId="5D8CB060">
            <w:pPr>
              <w:spacing w:before="124" w:line="238" w:lineRule="auto"/>
              <w:ind w:left="413"/>
              <w:rPr>
                <w:rFonts w:ascii="宋体" w:hAnsi="宋体" w:eastAsia="宋体" w:cs="宋体"/>
                <w:sz w:val="20"/>
                <w:szCs w:val="20"/>
              </w:rPr>
            </w:pPr>
            <w:r>
              <w:rPr>
                <w:rFonts w:ascii="宋体" w:hAnsi="宋体" w:eastAsia="宋体" w:cs="宋体"/>
                <w:sz w:val="20"/>
                <w:szCs w:val="20"/>
              </w:rPr>
              <w:t>√</w:t>
            </w:r>
          </w:p>
        </w:tc>
        <w:tc>
          <w:tcPr>
            <w:tcW w:w="1678" w:type="dxa"/>
            <w:vAlign w:val="top"/>
          </w:tcPr>
          <w:p w14:paraId="7976EB1E">
            <w:pPr>
              <w:spacing w:before="124" w:line="238" w:lineRule="auto"/>
              <w:ind w:left="734"/>
              <w:rPr>
                <w:rFonts w:ascii="宋体" w:hAnsi="宋体" w:eastAsia="宋体" w:cs="宋体"/>
                <w:sz w:val="20"/>
                <w:szCs w:val="20"/>
              </w:rPr>
            </w:pPr>
            <w:r>
              <w:rPr>
                <w:rFonts w:ascii="宋体" w:hAnsi="宋体" w:eastAsia="宋体" w:cs="宋体"/>
                <w:sz w:val="20"/>
                <w:szCs w:val="20"/>
              </w:rPr>
              <w:t>√</w:t>
            </w:r>
          </w:p>
        </w:tc>
        <w:tc>
          <w:tcPr>
            <w:tcW w:w="1259" w:type="dxa"/>
            <w:vAlign w:val="top"/>
          </w:tcPr>
          <w:p w14:paraId="4A1CD025">
            <w:pPr>
              <w:spacing w:before="199" w:line="155" w:lineRule="exact"/>
              <w:ind w:left="526"/>
              <w:rPr>
                <w:rFonts w:ascii="宋体" w:hAnsi="宋体" w:eastAsia="宋体" w:cs="宋体"/>
                <w:sz w:val="20"/>
                <w:szCs w:val="20"/>
              </w:rPr>
            </w:pPr>
            <w:r>
              <w:rPr>
                <w:rFonts w:ascii="宋体" w:hAnsi="宋体" w:eastAsia="宋体" w:cs="宋体"/>
                <w:position w:val="-4"/>
                <w:sz w:val="20"/>
                <w:szCs w:val="20"/>
              </w:rPr>
              <w:t>一</w:t>
            </w:r>
          </w:p>
        </w:tc>
        <w:tc>
          <w:tcPr>
            <w:tcW w:w="2088" w:type="dxa"/>
            <w:vAlign w:val="top"/>
          </w:tcPr>
          <w:p w14:paraId="503AB19B">
            <w:pPr>
              <w:spacing w:before="124"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4FC5F137">
            <w:pPr>
              <w:spacing w:before="199" w:line="155" w:lineRule="exact"/>
              <w:ind w:left="189"/>
              <w:rPr>
                <w:rFonts w:ascii="宋体" w:hAnsi="宋体" w:eastAsia="宋体" w:cs="宋体"/>
                <w:sz w:val="20"/>
                <w:szCs w:val="20"/>
              </w:rPr>
            </w:pPr>
            <w:r>
              <w:rPr>
                <w:rFonts w:ascii="宋体" w:hAnsi="宋体" w:eastAsia="宋体" w:cs="宋体"/>
                <w:position w:val="-4"/>
                <w:sz w:val="20"/>
                <w:szCs w:val="20"/>
              </w:rPr>
              <w:t>一</w:t>
            </w:r>
          </w:p>
        </w:tc>
      </w:tr>
      <w:tr w14:paraId="7BDF7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563" w:type="dxa"/>
            <w:vAlign w:val="top"/>
          </w:tcPr>
          <w:p w14:paraId="5E815C7E">
            <w:pPr>
              <w:spacing w:before="115" w:line="219" w:lineRule="auto"/>
              <w:ind w:left="475"/>
              <w:rPr>
                <w:rFonts w:ascii="宋体" w:hAnsi="宋体" w:eastAsia="宋体" w:cs="宋体"/>
                <w:sz w:val="20"/>
                <w:szCs w:val="20"/>
              </w:rPr>
            </w:pPr>
            <w:r>
              <w:rPr>
                <w:rFonts w:ascii="宋体" w:hAnsi="宋体" w:eastAsia="宋体" w:cs="宋体"/>
                <w:spacing w:val="-2"/>
                <w:sz w:val="20"/>
                <w:szCs w:val="20"/>
              </w:rPr>
              <w:t>保障性</w:t>
            </w:r>
          </w:p>
        </w:tc>
        <w:tc>
          <w:tcPr>
            <w:tcW w:w="1159" w:type="dxa"/>
            <w:vAlign w:val="top"/>
          </w:tcPr>
          <w:p w14:paraId="16DE3D38">
            <w:pPr>
              <w:spacing w:before="135" w:line="238" w:lineRule="auto"/>
              <w:ind w:left="472"/>
              <w:rPr>
                <w:rFonts w:ascii="宋体" w:hAnsi="宋体" w:eastAsia="宋体" w:cs="宋体"/>
                <w:sz w:val="20"/>
                <w:szCs w:val="20"/>
              </w:rPr>
            </w:pPr>
            <w:r>
              <w:rPr>
                <w:rFonts w:ascii="宋体" w:hAnsi="宋体" w:eastAsia="宋体" w:cs="宋体"/>
                <w:sz w:val="20"/>
                <w:szCs w:val="20"/>
              </w:rPr>
              <w:t>√</w:t>
            </w:r>
          </w:p>
        </w:tc>
        <w:tc>
          <w:tcPr>
            <w:tcW w:w="1039" w:type="dxa"/>
            <w:vAlign w:val="top"/>
          </w:tcPr>
          <w:p w14:paraId="2BD81F0E">
            <w:pPr>
              <w:spacing w:before="135" w:line="238" w:lineRule="auto"/>
              <w:ind w:left="413"/>
              <w:rPr>
                <w:rFonts w:ascii="宋体" w:hAnsi="宋体" w:eastAsia="宋体" w:cs="宋体"/>
                <w:sz w:val="20"/>
                <w:szCs w:val="20"/>
              </w:rPr>
            </w:pPr>
            <w:r>
              <w:rPr>
                <w:rFonts w:ascii="宋体" w:hAnsi="宋体" w:eastAsia="宋体" w:cs="宋体"/>
                <w:sz w:val="20"/>
                <w:szCs w:val="20"/>
              </w:rPr>
              <w:t>√</w:t>
            </w:r>
          </w:p>
        </w:tc>
        <w:tc>
          <w:tcPr>
            <w:tcW w:w="1678" w:type="dxa"/>
            <w:vAlign w:val="top"/>
          </w:tcPr>
          <w:p w14:paraId="0F322571">
            <w:pPr>
              <w:spacing w:before="135" w:line="238" w:lineRule="auto"/>
              <w:ind w:left="734"/>
              <w:rPr>
                <w:rFonts w:ascii="宋体" w:hAnsi="宋体" w:eastAsia="宋体" w:cs="宋体"/>
                <w:sz w:val="20"/>
                <w:szCs w:val="20"/>
              </w:rPr>
            </w:pPr>
            <w:r>
              <w:rPr>
                <w:rFonts w:ascii="宋体" w:hAnsi="宋体" w:eastAsia="宋体" w:cs="宋体"/>
                <w:sz w:val="20"/>
                <w:szCs w:val="20"/>
              </w:rPr>
              <w:t>√</w:t>
            </w:r>
          </w:p>
        </w:tc>
        <w:tc>
          <w:tcPr>
            <w:tcW w:w="1259" w:type="dxa"/>
            <w:vAlign w:val="top"/>
          </w:tcPr>
          <w:p w14:paraId="7C1A28EA">
            <w:pPr>
              <w:spacing w:before="135"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6DC2534D">
            <w:pPr>
              <w:spacing w:before="135"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051FC5D9">
            <w:pPr>
              <w:spacing w:before="135" w:line="238" w:lineRule="auto"/>
              <w:ind w:left="189"/>
              <w:rPr>
                <w:rFonts w:ascii="宋体" w:hAnsi="宋体" w:eastAsia="宋体" w:cs="宋体"/>
                <w:sz w:val="20"/>
                <w:szCs w:val="20"/>
              </w:rPr>
            </w:pPr>
            <w:r>
              <w:rPr>
                <w:rFonts w:ascii="宋体" w:hAnsi="宋体" w:eastAsia="宋体" w:cs="宋体"/>
                <w:sz w:val="20"/>
                <w:szCs w:val="20"/>
              </w:rPr>
              <w:t>√</w:t>
            </w:r>
          </w:p>
        </w:tc>
      </w:tr>
      <w:tr w14:paraId="542C5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563" w:type="dxa"/>
            <w:vAlign w:val="top"/>
          </w:tcPr>
          <w:p w14:paraId="70D41F72">
            <w:pPr>
              <w:spacing w:before="106" w:line="219" w:lineRule="auto"/>
              <w:ind w:left="475"/>
              <w:rPr>
                <w:rFonts w:ascii="宋体" w:hAnsi="宋体" w:eastAsia="宋体" w:cs="宋体"/>
                <w:sz w:val="20"/>
                <w:szCs w:val="20"/>
              </w:rPr>
            </w:pPr>
            <w:r>
              <w:rPr>
                <w:rFonts w:ascii="宋体" w:hAnsi="宋体" w:eastAsia="宋体" w:cs="宋体"/>
                <w:spacing w:val="-3"/>
                <w:sz w:val="20"/>
                <w:szCs w:val="20"/>
              </w:rPr>
              <w:t>兼容性</w:t>
            </w:r>
          </w:p>
        </w:tc>
        <w:tc>
          <w:tcPr>
            <w:tcW w:w="1159" w:type="dxa"/>
            <w:vAlign w:val="top"/>
          </w:tcPr>
          <w:p w14:paraId="0A9663D2">
            <w:pPr>
              <w:spacing w:before="201" w:line="155" w:lineRule="exact"/>
              <w:ind w:left="472"/>
              <w:rPr>
                <w:rFonts w:ascii="宋体" w:hAnsi="宋体" w:eastAsia="宋体" w:cs="宋体"/>
                <w:sz w:val="20"/>
                <w:szCs w:val="20"/>
              </w:rPr>
            </w:pPr>
            <w:r>
              <w:rPr>
                <w:rFonts w:ascii="宋体" w:hAnsi="宋体" w:eastAsia="宋体" w:cs="宋体"/>
                <w:position w:val="-4"/>
                <w:sz w:val="20"/>
                <w:szCs w:val="20"/>
              </w:rPr>
              <w:t>一</w:t>
            </w:r>
          </w:p>
        </w:tc>
        <w:tc>
          <w:tcPr>
            <w:tcW w:w="1039" w:type="dxa"/>
            <w:vAlign w:val="top"/>
          </w:tcPr>
          <w:p w14:paraId="6CC65609">
            <w:pPr>
              <w:spacing w:before="201" w:line="155" w:lineRule="exact"/>
              <w:ind w:left="413"/>
              <w:rPr>
                <w:rFonts w:ascii="宋体" w:hAnsi="宋体" w:eastAsia="宋体" w:cs="宋体"/>
                <w:sz w:val="20"/>
                <w:szCs w:val="20"/>
              </w:rPr>
            </w:pPr>
            <w:r>
              <w:rPr>
                <w:rFonts w:ascii="宋体" w:hAnsi="宋体" w:eastAsia="宋体" w:cs="宋体"/>
                <w:position w:val="-4"/>
                <w:sz w:val="20"/>
                <w:szCs w:val="20"/>
              </w:rPr>
              <w:t>一</w:t>
            </w:r>
          </w:p>
        </w:tc>
        <w:tc>
          <w:tcPr>
            <w:tcW w:w="1678" w:type="dxa"/>
            <w:vAlign w:val="top"/>
          </w:tcPr>
          <w:p w14:paraId="7E73BF11">
            <w:pPr>
              <w:spacing w:before="201" w:line="155" w:lineRule="exact"/>
              <w:ind w:left="734"/>
              <w:rPr>
                <w:rFonts w:ascii="宋体" w:hAnsi="宋体" w:eastAsia="宋体" w:cs="宋体"/>
                <w:sz w:val="20"/>
                <w:szCs w:val="20"/>
              </w:rPr>
            </w:pPr>
            <w:r>
              <w:rPr>
                <w:rFonts w:ascii="宋体" w:hAnsi="宋体" w:eastAsia="宋体" w:cs="宋体"/>
                <w:position w:val="-4"/>
                <w:sz w:val="20"/>
                <w:szCs w:val="20"/>
              </w:rPr>
              <w:t>一</w:t>
            </w:r>
          </w:p>
        </w:tc>
        <w:tc>
          <w:tcPr>
            <w:tcW w:w="1259" w:type="dxa"/>
            <w:vAlign w:val="top"/>
          </w:tcPr>
          <w:p w14:paraId="6A97A014">
            <w:pPr>
              <w:spacing w:before="126"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207F48CE">
            <w:pPr>
              <w:spacing w:before="126"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6E33F026">
            <w:pPr>
              <w:spacing w:before="126" w:line="238" w:lineRule="auto"/>
              <w:ind w:left="189"/>
              <w:rPr>
                <w:rFonts w:ascii="宋体" w:hAnsi="宋体" w:eastAsia="宋体" w:cs="宋体"/>
                <w:sz w:val="20"/>
                <w:szCs w:val="20"/>
              </w:rPr>
            </w:pPr>
            <w:r>
              <w:rPr>
                <w:rFonts w:ascii="宋体" w:hAnsi="宋体" w:eastAsia="宋体" w:cs="宋体"/>
                <w:sz w:val="20"/>
                <w:szCs w:val="20"/>
              </w:rPr>
              <w:t>√</w:t>
            </w:r>
          </w:p>
        </w:tc>
      </w:tr>
      <w:tr w14:paraId="6825C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563" w:type="dxa"/>
            <w:vAlign w:val="top"/>
          </w:tcPr>
          <w:p w14:paraId="3B124137">
            <w:pPr>
              <w:spacing w:before="118" w:line="219" w:lineRule="auto"/>
              <w:ind w:left="475"/>
              <w:rPr>
                <w:rFonts w:ascii="宋体" w:hAnsi="宋体" w:eastAsia="宋体" w:cs="宋体"/>
                <w:sz w:val="20"/>
                <w:szCs w:val="20"/>
              </w:rPr>
            </w:pPr>
            <w:r>
              <w:rPr>
                <w:rFonts w:ascii="宋体" w:hAnsi="宋体" w:eastAsia="宋体" w:cs="宋体"/>
                <w:spacing w:val="-2"/>
                <w:sz w:val="20"/>
                <w:szCs w:val="20"/>
              </w:rPr>
              <w:t>运输性</w:t>
            </w:r>
          </w:p>
        </w:tc>
        <w:tc>
          <w:tcPr>
            <w:tcW w:w="1159" w:type="dxa"/>
            <w:vAlign w:val="top"/>
          </w:tcPr>
          <w:p w14:paraId="6DD41489">
            <w:pPr>
              <w:spacing w:before="213" w:line="155" w:lineRule="exact"/>
              <w:ind w:left="472"/>
              <w:rPr>
                <w:rFonts w:ascii="宋体" w:hAnsi="宋体" w:eastAsia="宋体" w:cs="宋体"/>
                <w:sz w:val="20"/>
                <w:szCs w:val="20"/>
              </w:rPr>
            </w:pPr>
            <w:r>
              <w:rPr>
                <w:rFonts w:ascii="宋体" w:hAnsi="宋体" w:eastAsia="宋体" w:cs="宋体"/>
                <w:position w:val="-4"/>
                <w:sz w:val="20"/>
                <w:szCs w:val="20"/>
              </w:rPr>
              <w:t>一</w:t>
            </w:r>
          </w:p>
        </w:tc>
        <w:tc>
          <w:tcPr>
            <w:tcW w:w="1039" w:type="dxa"/>
            <w:vAlign w:val="top"/>
          </w:tcPr>
          <w:p w14:paraId="7CD9C631">
            <w:pPr>
              <w:spacing w:before="213" w:line="155" w:lineRule="exact"/>
              <w:ind w:left="413"/>
              <w:rPr>
                <w:rFonts w:ascii="宋体" w:hAnsi="宋体" w:eastAsia="宋体" w:cs="宋体"/>
                <w:sz w:val="20"/>
                <w:szCs w:val="20"/>
              </w:rPr>
            </w:pPr>
            <w:r>
              <w:rPr>
                <w:rFonts w:ascii="宋体" w:hAnsi="宋体" w:eastAsia="宋体" w:cs="宋体"/>
                <w:position w:val="-4"/>
                <w:sz w:val="20"/>
                <w:szCs w:val="20"/>
              </w:rPr>
              <w:t>一</w:t>
            </w:r>
          </w:p>
        </w:tc>
        <w:tc>
          <w:tcPr>
            <w:tcW w:w="1678" w:type="dxa"/>
            <w:vAlign w:val="top"/>
          </w:tcPr>
          <w:p w14:paraId="0FDCECBF">
            <w:pPr>
              <w:spacing w:before="138" w:line="238" w:lineRule="auto"/>
              <w:ind w:left="734"/>
              <w:rPr>
                <w:rFonts w:ascii="宋体" w:hAnsi="宋体" w:eastAsia="宋体" w:cs="宋体"/>
                <w:sz w:val="20"/>
                <w:szCs w:val="20"/>
              </w:rPr>
            </w:pPr>
            <w:r>
              <w:rPr>
                <w:rFonts w:ascii="宋体" w:hAnsi="宋体" w:eastAsia="宋体" w:cs="宋体"/>
                <w:sz w:val="20"/>
                <w:szCs w:val="20"/>
              </w:rPr>
              <w:t>√</w:t>
            </w:r>
          </w:p>
        </w:tc>
        <w:tc>
          <w:tcPr>
            <w:tcW w:w="1259" w:type="dxa"/>
            <w:vAlign w:val="top"/>
          </w:tcPr>
          <w:p w14:paraId="7563ECD8">
            <w:pPr>
              <w:spacing w:before="138"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1C40E3ED">
            <w:pPr>
              <w:spacing w:before="213" w:line="155" w:lineRule="exact"/>
              <w:ind w:left="937"/>
              <w:rPr>
                <w:rFonts w:ascii="宋体" w:hAnsi="宋体" w:eastAsia="宋体" w:cs="宋体"/>
                <w:sz w:val="20"/>
                <w:szCs w:val="20"/>
              </w:rPr>
            </w:pPr>
            <w:r>
              <w:rPr>
                <w:rFonts w:ascii="宋体" w:hAnsi="宋体" w:eastAsia="宋体" w:cs="宋体"/>
                <w:position w:val="-4"/>
                <w:sz w:val="20"/>
                <w:szCs w:val="20"/>
              </w:rPr>
              <w:t>一</w:t>
            </w:r>
          </w:p>
        </w:tc>
        <w:tc>
          <w:tcPr>
            <w:tcW w:w="584" w:type="dxa"/>
            <w:vAlign w:val="top"/>
          </w:tcPr>
          <w:p w14:paraId="4F992DA9">
            <w:pPr>
              <w:spacing w:before="213" w:line="155" w:lineRule="exact"/>
              <w:ind w:left="189"/>
              <w:rPr>
                <w:rFonts w:ascii="宋体" w:hAnsi="宋体" w:eastAsia="宋体" w:cs="宋体"/>
                <w:sz w:val="20"/>
                <w:szCs w:val="20"/>
              </w:rPr>
            </w:pPr>
            <w:r>
              <w:rPr>
                <w:rFonts w:ascii="宋体" w:hAnsi="宋体" w:eastAsia="宋体" w:cs="宋体"/>
                <w:position w:val="-4"/>
                <w:sz w:val="20"/>
                <w:szCs w:val="20"/>
              </w:rPr>
              <w:t>一</w:t>
            </w:r>
          </w:p>
        </w:tc>
      </w:tr>
    </w:tbl>
    <w:p w14:paraId="38B630AB">
      <w:pPr>
        <w:pStyle w:val="2"/>
        <w:spacing w:line="134" w:lineRule="exact"/>
        <w:rPr>
          <w:sz w:val="11"/>
        </w:rPr>
      </w:pPr>
    </w:p>
    <w:p w14:paraId="359E6320">
      <w:pPr>
        <w:spacing w:line="134" w:lineRule="exact"/>
        <w:rPr>
          <w:sz w:val="11"/>
          <w:szCs w:val="11"/>
        </w:rPr>
        <w:sectPr>
          <w:footerReference r:id="rId125" w:type="default"/>
          <w:pgSz w:w="11910" w:h="17130"/>
          <w:pgMar w:top="400" w:right="984" w:bottom="1680" w:left="1509" w:header="0" w:footer="1394" w:gutter="0"/>
          <w:cols w:space="720" w:num="1"/>
        </w:sectPr>
      </w:pPr>
    </w:p>
    <w:p w14:paraId="4D06182E">
      <w:pPr>
        <w:pStyle w:val="2"/>
        <w:spacing w:line="252" w:lineRule="auto"/>
      </w:pPr>
    </w:p>
    <w:p w14:paraId="320366B2">
      <w:pPr>
        <w:pStyle w:val="2"/>
        <w:spacing w:line="253" w:lineRule="auto"/>
      </w:pPr>
    </w:p>
    <w:p w14:paraId="2FAEB2D4">
      <w:pPr>
        <w:pStyle w:val="2"/>
        <w:spacing w:line="253" w:lineRule="auto"/>
      </w:pPr>
    </w:p>
    <w:p w14:paraId="6344023A">
      <w:pPr>
        <w:pStyle w:val="2"/>
        <w:spacing w:line="253" w:lineRule="auto"/>
      </w:pPr>
    </w:p>
    <w:p w14:paraId="679F8E9E">
      <w:pPr>
        <w:spacing w:before="72" w:line="220" w:lineRule="auto"/>
        <w:ind w:left="8670"/>
        <w:rPr>
          <w:rFonts w:ascii="宋体" w:hAnsi="宋体" w:eastAsia="宋体" w:cs="宋体"/>
          <w:sz w:val="22"/>
          <w:szCs w:val="22"/>
        </w:rPr>
      </w:pPr>
      <w:bookmarkStart w:id="73" w:name="bookmark343"/>
      <w:bookmarkEnd w:id="73"/>
      <w:r>
        <w:rPr>
          <w:rFonts w:ascii="宋体" w:hAnsi="宋体" w:eastAsia="宋体" w:cs="宋体"/>
          <w:spacing w:val="16"/>
          <w:sz w:val="22"/>
          <w:szCs w:val="22"/>
        </w:rPr>
        <w:t>(续)</w:t>
      </w:r>
    </w:p>
    <w:p w14:paraId="0263FD7F">
      <w:pPr>
        <w:spacing w:line="163" w:lineRule="exact"/>
      </w:pPr>
    </w:p>
    <w:tbl>
      <w:tblPr>
        <w:tblStyle w:val="5"/>
        <w:tblW w:w="936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3"/>
        <w:gridCol w:w="1149"/>
        <w:gridCol w:w="1049"/>
        <w:gridCol w:w="1668"/>
        <w:gridCol w:w="1259"/>
        <w:gridCol w:w="2088"/>
        <w:gridCol w:w="584"/>
      </w:tblGrid>
      <w:tr w14:paraId="3E10C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1" w:hRule="atLeast"/>
        </w:trPr>
        <w:tc>
          <w:tcPr>
            <w:tcW w:w="1563" w:type="dxa"/>
            <w:vAlign w:val="top"/>
          </w:tcPr>
          <w:p w14:paraId="2FE0151D">
            <w:pPr>
              <w:spacing w:line="455" w:lineRule="auto"/>
              <w:rPr>
                <w:rFonts w:ascii="Arial"/>
                <w:sz w:val="21"/>
              </w:rPr>
            </w:pPr>
          </w:p>
          <w:p w14:paraId="3767563C">
            <w:pPr>
              <w:spacing w:before="65" w:line="219" w:lineRule="auto"/>
              <w:ind w:left="375"/>
              <w:rPr>
                <w:rFonts w:ascii="宋体" w:hAnsi="宋体" w:eastAsia="宋体" w:cs="宋体"/>
                <w:sz w:val="20"/>
                <w:szCs w:val="20"/>
              </w:rPr>
            </w:pPr>
            <w:r>
              <w:rPr>
                <w:rFonts w:ascii="宋体" w:hAnsi="宋体" w:eastAsia="宋体" w:cs="宋体"/>
                <w:spacing w:val="-2"/>
                <w:sz w:val="20"/>
                <w:szCs w:val="20"/>
              </w:rPr>
              <w:t>考核内容</w:t>
            </w:r>
          </w:p>
        </w:tc>
        <w:tc>
          <w:tcPr>
            <w:tcW w:w="1149" w:type="dxa"/>
            <w:vAlign w:val="top"/>
          </w:tcPr>
          <w:p w14:paraId="4F55F2B4">
            <w:pPr>
              <w:spacing w:line="267" w:lineRule="auto"/>
              <w:rPr>
                <w:rFonts w:ascii="Arial"/>
                <w:sz w:val="21"/>
              </w:rPr>
            </w:pPr>
          </w:p>
          <w:p w14:paraId="49843E46">
            <w:pPr>
              <w:spacing w:before="65" w:line="324" w:lineRule="auto"/>
              <w:ind w:left="162" w:right="83" w:hanging="100"/>
              <w:rPr>
                <w:rFonts w:ascii="宋体" w:hAnsi="宋体" w:eastAsia="宋体" w:cs="宋体"/>
                <w:sz w:val="20"/>
                <w:szCs w:val="20"/>
              </w:rPr>
            </w:pPr>
            <w:r>
              <w:rPr>
                <w:rFonts w:ascii="宋体" w:hAnsi="宋体" w:eastAsia="宋体" w:cs="宋体"/>
                <w:spacing w:val="-2"/>
                <w:sz w:val="20"/>
                <w:szCs w:val="20"/>
              </w:rPr>
              <w:t>场库保管及</w:t>
            </w:r>
            <w:r>
              <w:rPr>
                <w:rFonts w:ascii="宋体" w:hAnsi="宋体" w:eastAsia="宋体" w:cs="宋体"/>
                <w:spacing w:val="1"/>
                <w:sz w:val="20"/>
                <w:szCs w:val="20"/>
              </w:rPr>
              <w:t xml:space="preserve"> </w:t>
            </w:r>
            <w:r>
              <w:rPr>
                <w:rFonts w:ascii="宋体" w:hAnsi="宋体" w:eastAsia="宋体" w:cs="宋体"/>
                <w:spacing w:val="-2"/>
                <w:sz w:val="20"/>
                <w:szCs w:val="20"/>
              </w:rPr>
              <w:t>相关勤务</w:t>
            </w:r>
          </w:p>
        </w:tc>
        <w:tc>
          <w:tcPr>
            <w:tcW w:w="1049" w:type="dxa"/>
            <w:vAlign w:val="top"/>
          </w:tcPr>
          <w:p w14:paraId="3EF7A9D2">
            <w:pPr>
              <w:spacing w:line="265" w:lineRule="auto"/>
              <w:rPr>
                <w:rFonts w:ascii="Arial"/>
                <w:sz w:val="21"/>
              </w:rPr>
            </w:pPr>
          </w:p>
          <w:p w14:paraId="681345F0">
            <w:pPr>
              <w:spacing w:before="65" w:line="337" w:lineRule="auto"/>
              <w:ind w:left="213" w:right="134" w:hanging="100"/>
              <w:rPr>
                <w:rFonts w:ascii="宋体" w:hAnsi="宋体" w:eastAsia="宋体" w:cs="宋体"/>
                <w:sz w:val="20"/>
                <w:szCs w:val="20"/>
              </w:rPr>
            </w:pPr>
            <w:r>
              <w:rPr>
                <w:rFonts w:ascii="宋体" w:hAnsi="宋体" w:eastAsia="宋体" w:cs="宋体"/>
                <w:spacing w:val="-3"/>
                <w:sz w:val="20"/>
                <w:szCs w:val="20"/>
              </w:rPr>
              <w:t>技术检查</w:t>
            </w:r>
            <w:r>
              <w:rPr>
                <w:rFonts w:ascii="宋体" w:hAnsi="宋体" w:eastAsia="宋体" w:cs="宋体"/>
                <w:spacing w:val="2"/>
                <w:sz w:val="20"/>
                <w:szCs w:val="20"/>
              </w:rPr>
              <w:t xml:space="preserve"> </w:t>
            </w:r>
            <w:r>
              <w:rPr>
                <w:rFonts w:ascii="宋体" w:hAnsi="宋体" w:eastAsia="宋体" w:cs="宋体"/>
                <w:spacing w:val="3"/>
                <w:sz w:val="20"/>
                <w:szCs w:val="20"/>
              </w:rPr>
              <w:t>与准备</w:t>
            </w:r>
          </w:p>
        </w:tc>
        <w:tc>
          <w:tcPr>
            <w:tcW w:w="1668" w:type="dxa"/>
            <w:vAlign w:val="top"/>
          </w:tcPr>
          <w:p w14:paraId="20ECC806">
            <w:pPr>
              <w:spacing w:before="151" w:line="329" w:lineRule="auto"/>
              <w:ind w:left="116" w:hanging="103"/>
              <w:rPr>
                <w:rFonts w:ascii="宋体" w:hAnsi="宋体" w:eastAsia="宋体" w:cs="宋体"/>
                <w:sz w:val="20"/>
                <w:szCs w:val="20"/>
              </w:rPr>
            </w:pPr>
            <w:r>
              <w:rPr>
                <w:rFonts w:ascii="宋体" w:hAnsi="宋体" w:eastAsia="宋体" w:cs="宋体"/>
                <w:spacing w:val="-7"/>
                <w:sz w:val="20"/>
                <w:szCs w:val="20"/>
              </w:rPr>
              <w:t>机动(行军、运输、</w:t>
            </w:r>
            <w:r>
              <w:rPr>
                <w:rFonts w:ascii="宋体" w:hAnsi="宋体" w:eastAsia="宋体" w:cs="宋体"/>
                <w:spacing w:val="6"/>
                <w:sz w:val="20"/>
                <w:szCs w:val="20"/>
              </w:rPr>
              <w:t xml:space="preserve"> </w:t>
            </w:r>
            <w:r>
              <w:rPr>
                <w:rFonts w:ascii="宋体" w:hAnsi="宋体" w:eastAsia="宋体" w:cs="宋体"/>
                <w:spacing w:val="-13"/>
                <w:sz w:val="20"/>
                <w:szCs w:val="20"/>
              </w:rPr>
              <w:t>航行、行驶等及</w:t>
            </w:r>
            <w:r>
              <w:rPr>
                <w:rFonts w:ascii="宋体" w:hAnsi="宋体" w:eastAsia="宋体" w:cs="宋体"/>
                <w:spacing w:val="1"/>
                <w:sz w:val="20"/>
                <w:szCs w:val="20"/>
              </w:rPr>
              <w:t xml:space="preserve">   </w:t>
            </w:r>
            <w:r>
              <w:rPr>
                <w:rFonts w:ascii="宋体" w:hAnsi="宋体" w:eastAsia="宋体" w:cs="宋体"/>
                <w:spacing w:val="2"/>
                <w:sz w:val="20"/>
                <w:szCs w:val="20"/>
              </w:rPr>
              <w:t>相关技术保障)</w:t>
            </w:r>
          </w:p>
        </w:tc>
        <w:tc>
          <w:tcPr>
            <w:tcW w:w="1259" w:type="dxa"/>
            <w:vAlign w:val="top"/>
          </w:tcPr>
          <w:p w14:paraId="1EDC68A3">
            <w:pPr>
              <w:spacing w:line="265" w:lineRule="auto"/>
              <w:rPr>
                <w:rFonts w:ascii="Arial"/>
                <w:sz w:val="21"/>
              </w:rPr>
            </w:pPr>
          </w:p>
          <w:p w14:paraId="5FA4AF66">
            <w:pPr>
              <w:spacing w:before="65" w:line="336" w:lineRule="auto"/>
              <w:ind w:left="226" w:right="132" w:hanging="100"/>
              <w:rPr>
                <w:rFonts w:ascii="宋体" w:hAnsi="宋体" w:eastAsia="宋体" w:cs="宋体"/>
                <w:sz w:val="20"/>
                <w:szCs w:val="20"/>
              </w:rPr>
            </w:pPr>
            <w:r>
              <w:rPr>
                <w:rFonts w:ascii="宋体" w:hAnsi="宋体" w:eastAsia="宋体" w:cs="宋体"/>
                <w:spacing w:val="-2"/>
                <w:sz w:val="20"/>
                <w:szCs w:val="20"/>
              </w:rPr>
              <w:t>展开与完成</w:t>
            </w:r>
            <w:r>
              <w:rPr>
                <w:rFonts w:ascii="宋体" w:hAnsi="宋体" w:eastAsia="宋体" w:cs="宋体"/>
                <w:sz w:val="20"/>
                <w:szCs w:val="20"/>
              </w:rPr>
              <w:t xml:space="preserve"> </w:t>
            </w:r>
            <w:r>
              <w:rPr>
                <w:rFonts w:ascii="宋体" w:hAnsi="宋体" w:eastAsia="宋体" w:cs="宋体"/>
                <w:spacing w:val="-2"/>
                <w:sz w:val="20"/>
                <w:szCs w:val="20"/>
              </w:rPr>
              <w:t>相关准备</w:t>
            </w:r>
          </w:p>
        </w:tc>
        <w:tc>
          <w:tcPr>
            <w:tcW w:w="2088" w:type="dxa"/>
            <w:vAlign w:val="top"/>
          </w:tcPr>
          <w:p w14:paraId="03DF9456">
            <w:pPr>
              <w:spacing w:before="162" w:line="219" w:lineRule="auto"/>
              <w:ind w:left="37"/>
              <w:rPr>
                <w:rFonts w:ascii="宋体" w:hAnsi="宋体" w:eastAsia="宋体" w:cs="宋体"/>
                <w:sz w:val="20"/>
                <w:szCs w:val="20"/>
              </w:rPr>
            </w:pPr>
            <w:r>
              <w:rPr>
                <w:rFonts w:ascii="宋体" w:hAnsi="宋体" w:eastAsia="宋体" w:cs="宋体"/>
                <w:spacing w:val="-1"/>
                <w:sz w:val="20"/>
                <w:szCs w:val="20"/>
              </w:rPr>
              <w:t>基本指挥与操作，执行</w:t>
            </w:r>
          </w:p>
          <w:p w14:paraId="15933001">
            <w:pPr>
              <w:spacing w:before="104" w:line="219" w:lineRule="auto"/>
              <w:ind w:left="237"/>
              <w:rPr>
                <w:rFonts w:ascii="宋体" w:hAnsi="宋体" w:eastAsia="宋体" w:cs="宋体"/>
                <w:sz w:val="20"/>
                <w:szCs w:val="20"/>
              </w:rPr>
            </w:pPr>
            <w:r>
              <w:rPr>
                <w:rFonts w:ascii="宋体" w:hAnsi="宋体" w:eastAsia="宋体" w:cs="宋体"/>
                <w:spacing w:val="1"/>
                <w:sz w:val="20"/>
                <w:szCs w:val="20"/>
              </w:rPr>
              <w:t>战斗、训练任务及</w:t>
            </w:r>
          </w:p>
          <w:p w14:paraId="251AC985">
            <w:pPr>
              <w:spacing w:before="122" w:line="219" w:lineRule="auto"/>
              <w:ind w:left="437"/>
              <w:rPr>
                <w:rFonts w:ascii="宋体" w:hAnsi="宋体" w:eastAsia="宋体" w:cs="宋体"/>
                <w:sz w:val="20"/>
                <w:szCs w:val="20"/>
              </w:rPr>
            </w:pPr>
            <w:r>
              <w:rPr>
                <w:rFonts w:ascii="宋体" w:hAnsi="宋体" w:eastAsia="宋体" w:cs="宋体"/>
                <w:spacing w:val="-2"/>
                <w:sz w:val="20"/>
                <w:szCs w:val="20"/>
              </w:rPr>
              <w:t>相关技术保障</w:t>
            </w:r>
          </w:p>
        </w:tc>
        <w:tc>
          <w:tcPr>
            <w:tcW w:w="584" w:type="dxa"/>
            <w:vAlign w:val="top"/>
          </w:tcPr>
          <w:p w14:paraId="7F920A66">
            <w:pPr>
              <w:spacing w:line="455" w:lineRule="auto"/>
              <w:rPr>
                <w:rFonts w:ascii="Arial"/>
                <w:sz w:val="21"/>
              </w:rPr>
            </w:pPr>
          </w:p>
          <w:p w14:paraId="58DDFE9C">
            <w:pPr>
              <w:spacing w:before="65" w:line="219" w:lineRule="auto"/>
              <w:ind w:left="89"/>
              <w:rPr>
                <w:rFonts w:ascii="宋体" w:hAnsi="宋体" w:eastAsia="宋体" w:cs="宋体"/>
                <w:sz w:val="20"/>
                <w:szCs w:val="20"/>
              </w:rPr>
            </w:pPr>
            <w:r>
              <w:rPr>
                <w:rFonts w:ascii="宋体" w:hAnsi="宋体" w:eastAsia="宋体" w:cs="宋体"/>
                <w:spacing w:val="-2"/>
                <w:sz w:val="20"/>
                <w:szCs w:val="20"/>
              </w:rPr>
              <w:t>撤收</w:t>
            </w:r>
          </w:p>
        </w:tc>
      </w:tr>
      <w:tr w14:paraId="31E9D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563" w:type="dxa"/>
            <w:vAlign w:val="top"/>
          </w:tcPr>
          <w:p w14:paraId="299BDB04">
            <w:pPr>
              <w:spacing w:before="113" w:line="221" w:lineRule="auto"/>
              <w:ind w:left="475"/>
              <w:rPr>
                <w:rFonts w:ascii="宋体" w:hAnsi="宋体" w:eastAsia="宋体" w:cs="宋体"/>
                <w:sz w:val="20"/>
                <w:szCs w:val="20"/>
              </w:rPr>
            </w:pPr>
            <w:r>
              <w:rPr>
                <w:rFonts w:ascii="宋体" w:hAnsi="宋体" w:eastAsia="宋体" w:cs="宋体"/>
                <w:spacing w:val="-3"/>
                <w:sz w:val="20"/>
                <w:szCs w:val="20"/>
              </w:rPr>
              <w:t>安全性</w:t>
            </w:r>
          </w:p>
        </w:tc>
        <w:tc>
          <w:tcPr>
            <w:tcW w:w="1149" w:type="dxa"/>
            <w:vAlign w:val="top"/>
          </w:tcPr>
          <w:p w14:paraId="26BF94FC">
            <w:pPr>
              <w:spacing w:before="132" w:line="238" w:lineRule="auto"/>
              <w:ind w:left="462"/>
              <w:rPr>
                <w:rFonts w:ascii="宋体" w:hAnsi="宋体" w:eastAsia="宋体" w:cs="宋体"/>
                <w:sz w:val="20"/>
                <w:szCs w:val="20"/>
              </w:rPr>
            </w:pPr>
            <w:r>
              <w:rPr>
                <w:rFonts w:ascii="宋体" w:hAnsi="宋体" w:eastAsia="宋体" w:cs="宋体"/>
                <w:sz w:val="20"/>
                <w:szCs w:val="20"/>
              </w:rPr>
              <w:t>√</w:t>
            </w:r>
          </w:p>
        </w:tc>
        <w:tc>
          <w:tcPr>
            <w:tcW w:w="1049" w:type="dxa"/>
            <w:vAlign w:val="top"/>
          </w:tcPr>
          <w:p w14:paraId="119D1883">
            <w:pPr>
              <w:spacing w:before="132" w:line="238" w:lineRule="auto"/>
              <w:ind w:left="413"/>
              <w:rPr>
                <w:rFonts w:ascii="宋体" w:hAnsi="宋体" w:eastAsia="宋体" w:cs="宋体"/>
                <w:sz w:val="20"/>
                <w:szCs w:val="20"/>
              </w:rPr>
            </w:pPr>
            <w:r>
              <w:rPr>
                <w:rFonts w:ascii="宋体" w:hAnsi="宋体" w:eastAsia="宋体" w:cs="宋体"/>
                <w:sz w:val="20"/>
                <w:szCs w:val="20"/>
              </w:rPr>
              <w:t>√</w:t>
            </w:r>
          </w:p>
        </w:tc>
        <w:tc>
          <w:tcPr>
            <w:tcW w:w="1668" w:type="dxa"/>
            <w:vAlign w:val="top"/>
          </w:tcPr>
          <w:p w14:paraId="33DE9631">
            <w:pPr>
              <w:spacing w:before="132" w:line="238" w:lineRule="auto"/>
              <w:ind w:left="724"/>
              <w:rPr>
                <w:rFonts w:ascii="宋体" w:hAnsi="宋体" w:eastAsia="宋体" w:cs="宋体"/>
                <w:sz w:val="20"/>
                <w:szCs w:val="20"/>
              </w:rPr>
            </w:pPr>
            <w:r>
              <w:rPr>
                <w:rFonts w:ascii="宋体" w:hAnsi="宋体" w:eastAsia="宋体" w:cs="宋体"/>
                <w:sz w:val="20"/>
                <w:szCs w:val="20"/>
              </w:rPr>
              <w:t>√</w:t>
            </w:r>
          </w:p>
        </w:tc>
        <w:tc>
          <w:tcPr>
            <w:tcW w:w="1259" w:type="dxa"/>
            <w:vAlign w:val="top"/>
          </w:tcPr>
          <w:p w14:paraId="57CF8875">
            <w:pPr>
              <w:spacing w:before="132"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4C19820D">
            <w:pPr>
              <w:spacing w:before="132"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6E6F2592">
            <w:pPr>
              <w:spacing w:before="132" w:line="238" w:lineRule="auto"/>
              <w:ind w:left="189"/>
              <w:rPr>
                <w:rFonts w:ascii="宋体" w:hAnsi="宋体" w:eastAsia="宋体" w:cs="宋体"/>
                <w:sz w:val="20"/>
                <w:szCs w:val="20"/>
              </w:rPr>
            </w:pPr>
            <w:r>
              <w:rPr>
                <w:rFonts w:ascii="宋体" w:hAnsi="宋体" w:eastAsia="宋体" w:cs="宋体"/>
                <w:sz w:val="20"/>
                <w:szCs w:val="20"/>
              </w:rPr>
              <w:t>√</w:t>
            </w:r>
          </w:p>
        </w:tc>
      </w:tr>
      <w:tr w14:paraId="2B230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563" w:type="dxa"/>
            <w:vAlign w:val="top"/>
          </w:tcPr>
          <w:p w14:paraId="28EECA10">
            <w:pPr>
              <w:spacing w:before="101" w:line="219" w:lineRule="auto"/>
              <w:ind w:left="375"/>
              <w:rPr>
                <w:rFonts w:ascii="宋体" w:hAnsi="宋体" w:eastAsia="宋体" w:cs="宋体"/>
                <w:sz w:val="20"/>
                <w:szCs w:val="20"/>
              </w:rPr>
            </w:pPr>
            <w:r>
              <w:rPr>
                <w:rFonts w:ascii="宋体" w:hAnsi="宋体" w:eastAsia="宋体" w:cs="宋体"/>
                <w:spacing w:val="-2"/>
                <w:sz w:val="20"/>
                <w:szCs w:val="20"/>
              </w:rPr>
              <w:t>人机工程</w:t>
            </w:r>
          </w:p>
        </w:tc>
        <w:tc>
          <w:tcPr>
            <w:tcW w:w="1149" w:type="dxa"/>
            <w:vAlign w:val="top"/>
          </w:tcPr>
          <w:p w14:paraId="41CDE4F3">
            <w:pPr>
              <w:spacing w:before="123" w:line="238" w:lineRule="auto"/>
              <w:ind w:left="462"/>
              <w:rPr>
                <w:rFonts w:ascii="宋体" w:hAnsi="宋体" w:eastAsia="宋体" w:cs="宋体"/>
                <w:sz w:val="20"/>
                <w:szCs w:val="20"/>
              </w:rPr>
            </w:pPr>
            <w:r>
              <w:rPr>
                <w:rFonts w:ascii="宋体" w:hAnsi="宋体" w:eastAsia="宋体" w:cs="宋体"/>
                <w:sz w:val="20"/>
                <w:szCs w:val="20"/>
              </w:rPr>
              <w:t>√</w:t>
            </w:r>
          </w:p>
        </w:tc>
        <w:tc>
          <w:tcPr>
            <w:tcW w:w="1049" w:type="dxa"/>
            <w:vAlign w:val="top"/>
          </w:tcPr>
          <w:p w14:paraId="6489DC2D">
            <w:pPr>
              <w:spacing w:before="123" w:line="238" w:lineRule="auto"/>
              <w:ind w:left="413"/>
              <w:rPr>
                <w:rFonts w:ascii="宋体" w:hAnsi="宋体" w:eastAsia="宋体" w:cs="宋体"/>
                <w:sz w:val="20"/>
                <w:szCs w:val="20"/>
              </w:rPr>
            </w:pPr>
            <w:r>
              <w:rPr>
                <w:rFonts w:ascii="宋体" w:hAnsi="宋体" w:eastAsia="宋体" w:cs="宋体"/>
                <w:sz w:val="20"/>
                <w:szCs w:val="20"/>
              </w:rPr>
              <w:t>√</w:t>
            </w:r>
          </w:p>
        </w:tc>
        <w:tc>
          <w:tcPr>
            <w:tcW w:w="1668" w:type="dxa"/>
            <w:vAlign w:val="top"/>
          </w:tcPr>
          <w:p w14:paraId="7D405C0A">
            <w:pPr>
              <w:spacing w:before="123" w:line="238" w:lineRule="auto"/>
              <w:ind w:left="724"/>
              <w:rPr>
                <w:rFonts w:ascii="宋体" w:hAnsi="宋体" w:eastAsia="宋体" w:cs="宋体"/>
                <w:sz w:val="20"/>
                <w:szCs w:val="20"/>
              </w:rPr>
            </w:pPr>
            <w:r>
              <w:rPr>
                <w:rFonts w:ascii="宋体" w:hAnsi="宋体" w:eastAsia="宋体" w:cs="宋体"/>
                <w:sz w:val="20"/>
                <w:szCs w:val="20"/>
              </w:rPr>
              <w:t>√</w:t>
            </w:r>
          </w:p>
        </w:tc>
        <w:tc>
          <w:tcPr>
            <w:tcW w:w="1259" w:type="dxa"/>
            <w:vAlign w:val="top"/>
          </w:tcPr>
          <w:p w14:paraId="0316ED5B">
            <w:pPr>
              <w:spacing w:before="123"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2CEA2FC8">
            <w:pPr>
              <w:spacing w:before="123"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62BFA5D7">
            <w:pPr>
              <w:spacing w:before="123" w:line="238" w:lineRule="auto"/>
              <w:ind w:left="189"/>
              <w:rPr>
                <w:rFonts w:ascii="宋体" w:hAnsi="宋体" w:eastAsia="宋体" w:cs="宋体"/>
                <w:sz w:val="20"/>
                <w:szCs w:val="20"/>
              </w:rPr>
            </w:pPr>
            <w:r>
              <w:rPr>
                <w:rFonts w:ascii="宋体" w:hAnsi="宋体" w:eastAsia="宋体" w:cs="宋体"/>
                <w:sz w:val="20"/>
                <w:szCs w:val="20"/>
              </w:rPr>
              <w:t>√</w:t>
            </w:r>
          </w:p>
        </w:tc>
      </w:tr>
      <w:tr w14:paraId="1EB83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563" w:type="dxa"/>
            <w:vAlign w:val="top"/>
          </w:tcPr>
          <w:p w14:paraId="5A71960B">
            <w:pPr>
              <w:spacing w:before="104" w:line="219" w:lineRule="auto"/>
              <w:ind w:left="475"/>
              <w:rPr>
                <w:rFonts w:ascii="宋体" w:hAnsi="宋体" w:eastAsia="宋体" w:cs="宋体"/>
                <w:sz w:val="20"/>
                <w:szCs w:val="20"/>
              </w:rPr>
            </w:pPr>
            <w:r>
              <w:rPr>
                <w:rFonts w:ascii="宋体" w:hAnsi="宋体" w:eastAsia="宋体" w:cs="宋体"/>
                <w:spacing w:val="-3"/>
                <w:sz w:val="20"/>
                <w:szCs w:val="20"/>
              </w:rPr>
              <w:t>生存性</w:t>
            </w:r>
          </w:p>
        </w:tc>
        <w:tc>
          <w:tcPr>
            <w:tcW w:w="1149" w:type="dxa"/>
            <w:vAlign w:val="top"/>
          </w:tcPr>
          <w:p w14:paraId="61B5E980">
            <w:pPr>
              <w:spacing w:before="199" w:line="155" w:lineRule="exact"/>
              <w:ind w:left="462"/>
              <w:rPr>
                <w:rFonts w:ascii="宋体" w:hAnsi="宋体" w:eastAsia="宋体" w:cs="宋体"/>
                <w:sz w:val="20"/>
                <w:szCs w:val="20"/>
              </w:rPr>
            </w:pPr>
            <w:r>
              <w:rPr>
                <w:rFonts w:ascii="宋体" w:hAnsi="宋体" w:eastAsia="宋体" w:cs="宋体"/>
                <w:position w:val="-4"/>
                <w:sz w:val="20"/>
                <w:szCs w:val="20"/>
              </w:rPr>
              <w:t>一</w:t>
            </w:r>
          </w:p>
        </w:tc>
        <w:tc>
          <w:tcPr>
            <w:tcW w:w="1049" w:type="dxa"/>
            <w:vAlign w:val="top"/>
          </w:tcPr>
          <w:p w14:paraId="6ECA00B7">
            <w:pPr>
              <w:spacing w:before="199" w:line="155" w:lineRule="exact"/>
              <w:ind w:left="413"/>
              <w:rPr>
                <w:rFonts w:ascii="宋体" w:hAnsi="宋体" w:eastAsia="宋体" w:cs="宋体"/>
                <w:sz w:val="20"/>
                <w:szCs w:val="20"/>
              </w:rPr>
            </w:pPr>
            <w:r>
              <w:rPr>
                <w:rFonts w:ascii="宋体" w:hAnsi="宋体" w:eastAsia="宋体" w:cs="宋体"/>
                <w:position w:val="-4"/>
                <w:sz w:val="20"/>
                <w:szCs w:val="20"/>
              </w:rPr>
              <w:t>一</w:t>
            </w:r>
          </w:p>
        </w:tc>
        <w:tc>
          <w:tcPr>
            <w:tcW w:w="1668" w:type="dxa"/>
            <w:vAlign w:val="top"/>
          </w:tcPr>
          <w:p w14:paraId="0508EC1C">
            <w:pPr>
              <w:spacing w:before="124" w:line="238" w:lineRule="auto"/>
              <w:ind w:left="724"/>
              <w:rPr>
                <w:rFonts w:ascii="宋体" w:hAnsi="宋体" w:eastAsia="宋体" w:cs="宋体"/>
                <w:sz w:val="20"/>
                <w:szCs w:val="20"/>
              </w:rPr>
            </w:pPr>
            <w:r>
              <w:rPr>
                <w:rFonts w:ascii="宋体" w:hAnsi="宋体" w:eastAsia="宋体" w:cs="宋体"/>
                <w:sz w:val="20"/>
                <w:szCs w:val="20"/>
              </w:rPr>
              <w:t>√</w:t>
            </w:r>
          </w:p>
        </w:tc>
        <w:tc>
          <w:tcPr>
            <w:tcW w:w="1259" w:type="dxa"/>
            <w:vAlign w:val="top"/>
          </w:tcPr>
          <w:p w14:paraId="41992E2A">
            <w:pPr>
              <w:spacing w:before="124"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30070EE0">
            <w:pPr>
              <w:spacing w:before="124"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2E051A42">
            <w:pPr>
              <w:spacing w:before="124" w:line="238" w:lineRule="auto"/>
              <w:ind w:left="189"/>
              <w:rPr>
                <w:rFonts w:ascii="宋体" w:hAnsi="宋体" w:eastAsia="宋体" w:cs="宋体"/>
                <w:sz w:val="20"/>
                <w:szCs w:val="20"/>
              </w:rPr>
            </w:pPr>
            <w:r>
              <w:rPr>
                <w:rFonts w:ascii="宋体" w:hAnsi="宋体" w:eastAsia="宋体" w:cs="宋体"/>
                <w:sz w:val="20"/>
                <w:szCs w:val="20"/>
              </w:rPr>
              <w:t>√</w:t>
            </w:r>
          </w:p>
        </w:tc>
      </w:tr>
      <w:tr w14:paraId="67B0B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563" w:type="dxa"/>
            <w:vAlign w:val="top"/>
          </w:tcPr>
          <w:p w14:paraId="6173363A">
            <w:pPr>
              <w:spacing w:before="115" w:line="219" w:lineRule="auto"/>
              <w:ind w:left="375"/>
              <w:rPr>
                <w:rFonts w:ascii="宋体" w:hAnsi="宋体" w:eastAsia="宋体" w:cs="宋体"/>
                <w:sz w:val="20"/>
                <w:szCs w:val="20"/>
              </w:rPr>
            </w:pPr>
            <w:r>
              <w:rPr>
                <w:rFonts w:ascii="宋体" w:hAnsi="宋体" w:eastAsia="宋体" w:cs="宋体"/>
                <w:spacing w:val="-2"/>
                <w:sz w:val="20"/>
                <w:szCs w:val="20"/>
              </w:rPr>
              <w:t>编配方案</w:t>
            </w:r>
          </w:p>
        </w:tc>
        <w:tc>
          <w:tcPr>
            <w:tcW w:w="1149" w:type="dxa"/>
            <w:vAlign w:val="top"/>
          </w:tcPr>
          <w:p w14:paraId="6E545FD2">
            <w:pPr>
              <w:spacing w:before="210" w:line="155" w:lineRule="exact"/>
              <w:ind w:left="462"/>
              <w:rPr>
                <w:rFonts w:ascii="宋体" w:hAnsi="宋体" w:eastAsia="宋体" w:cs="宋体"/>
                <w:sz w:val="20"/>
                <w:szCs w:val="20"/>
              </w:rPr>
            </w:pPr>
            <w:r>
              <w:rPr>
                <w:rFonts w:ascii="宋体" w:hAnsi="宋体" w:eastAsia="宋体" w:cs="宋体"/>
                <w:position w:val="-4"/>
                <w:sz w:val="20"/>
                <w:szCs w:val="20"/>
              </w:rPr>
              <w:t>一</w:t>
            </w:r>
          </w:p>
        </w:tc>
        <w:tc>
          <w:tcPr>
            <w:tcW w:w="1049" w:type="dxa"/>
            <w:vAlign w:val="top"/>
          </w:tcPr>
          <w:p w14:paraId="404CB74B">
            <w:pPr>
              <w:spacing w:before="210" w:line="155" w:lineRule="exact"/>
              <w:ind w:left="413"/>
              <w:rPr>
                <w:rFonts w:ascii="宋体" w:hAnsi="宋体" w:eastAsia="宋体" w:cs="宋体"/>
                <w:sz w:val="20"/>
                <w:szCs w:val="20"/>
              </w:rPr>
            </w:pPr>
            <w:r>
              <w:rPr>
                <w:rFonts w:ascii="宋体" w:hAnsi="宋体" w:eastAsia="宋体" w:cs="宋体"/>
                <w:position w:val="-4"/>
                <w:sz w:val="20"/>
                <w:szCs w:val="20"/>
              </w:rPr>
              <w:t>一</w:t>
            </w:r>
          </w:p>
        </w:tc>
        <w:tc>
          <w:tcPr>
            <w:tcW w:w="1668" w:type="dxa"/>
            <w:vAlign w:val="top"/>
          </w:tcPr>
          <w:p w14:paraId="592A7793">
            <w:pPr>
              <w:spacing w:before="135" w:line="238" w:lineRule="auto"/>
              <w:ind w:left="724"/>
              <w:rPr>
                <w:rFonts w:ascii="宋体" w:hAnsi="宋体" w:eastAsia="宋体" w:cs="宋体"/>
                <w:sz w:val="20"/>
                <w:szCs w:val="20"/>
              </w:rPr>
            </w:pPr>
            <w:r>
              <w:rPr>
                <w:rFonts w:ascii="宋体" w:hAnsi="宋体" w:eastAsia="宋体" w:cs="宋体"/>
                <w:sz w:val="20"/>
                <w:szCs w:val="20"/>
              </w:rPr>
              <w:t>√</w:t>
            </w:r>
          </w:p>
        </w:tc>
        <w:tc>
          <w:tcPr>
            <w:tcW w:w="1259" w:type="dxa"/>
            <w:vAlign w:val="top"/>
          </w:tcPr>
          <w:p w14:paraId="7BB9A02F">
            <w:pPr>
              <w:spacing w:before="135"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29E2097B">
            <w:pPr>
              <w:spacing w:before="135"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3ADC99D6">
            <w:pPr>
              <w:spacing w:before="135" w:line="238" w:lineRule="auto"/>
              <w:ind w:left="189"/>
              <w:rPr>
                <w:rFonts w:ascii="宋体" w:hAnsi="宋体" w:eastAsia="宋体" w:cs="宋体"/>
                <w:sz w:val="20"/>
                <w:szCs w:val="20"/>
              </w:rPr>
            </w:pPr>
            <w:r>
              <w:rPr>
                <w:rFonts w:ascii="宋体" w:hAnsi="宋体" w:eastAsia="宋体" w:cs="宋体"/>
                <w:sz w:val="20"/>
                <w:szCs w:val="20"/>
              </w:rPr>
              <w:t>√</w:t>
            </w:r>
          </w:p>
        </w:tc>
      </w:tr>
      <w:tr w14:paraId="48D5C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563" w:type="dxa"/>
            <w:vAlign w:val="top"/>
          </w:tcPr>
          <w:p w14:paraId="0529A4C3">
            <w:pPr>
              <w:spacing w:before="106" w:line="220" w:lineRule="auto"/>
              <w:ind w:left="75"/>
              <w:rPr>
                <w:rFonts w:ascii="宋体" w:hAnsi="宋体" w:eastAsia="宋体" w:cs="宋体"/>
                <w:sz w:val="20"/>
                <w:szCs w:val="20"/>
              </w:rPr>
            </w:pPr>
            <w:r>
              <w:rPr>
                <w:rFonts w:ascii="宋体" w:hAnsi="宋体" w:eastAsia="宋体" w:cs="宋体"/>
                <w:spacing w:val="-2"/>
                <w:sz w:val="20"/>
                <w:szCs w:val="20"/>
              </w:rPr>
              <w:t>作战和训练要求</w:t>
            </w:r>
          </w:p>
        </w:tc>
        <w:tc>
          <w:tcPr>
            <w:tcW w:w="1149" w:type="dxa"/>
            <w:vAlign w:val="top"/>
          </w:tcPr>
          <w:p w14:paraId="03223A2F">
            <w:pPr>
              <w:spacing w:before="201" w:line="155" w:lineRule="exact"/>
              <w:ind w:left="462"/>
              <w:rPr>
                <w:rFonts w:ascii="宋体" w:hAnsi="宋体" w:eastAsia="宋体" w:cs="宋体"/>
                <w:sz w:val="20"/>
                <w:szCs w:val="20"/>
              </w:rPr>
            </w:pPr>
            <w:r>
              <w:rPr>
                <w:rFonts w:ascii="宋体" w:hAnsi="宋体" w:eastAsia="宋体" w:cs="宋体"/>
                <w:position w:val="-4"/>
                <w:sz w:val="20"/>
                <w:szCs w:val="20"/>
              </w:rPr>
              <w:t>一</w:t>
            </w:r>
          </w:p>
        </w:tc>
        <w:tc>
          <w:tcPr>
            <w:tcW w:w="1049" w:type="dxa"/>
            <w:vAlign w:val="top"/>
          </w:tcPr>
          <w:p w14:paraId="7FA9D37C">
            <w:pPr>
              <w:spacing w:before="126" w:line="233" w:lineRule="auto"/>
              <w:ind w:left="413"/>
              <w:rPr>
                <w:rFonts w:ascii="宋体" w:hAnsi="宋体" w:eastAsia="宋体" w:cs="宋体"/>
                <w:sz w:val="20"/>
                <w:szCs w:val="20"/>
              </w:rPr>
            </w:pPr>
            <w:r>
              <w:rPr>
                <w:rFonts w:ascii="宋体" w:hAnsi="宋体" w:eastAsia="宋体" w:cs="宋体"/>
                <w:sz w:val="20"/>
                <w:szCs w:val="20"/>
              </w:rPr>
              <w:t>√</w:t>
            </w:r>
          </w:p>
        </w:tc>
        <w:tc>
          <w:tcPr>
            <w:tcW w:w="1668" w:type="dxa"/>
            <w:vAlign w:val="top"/>
          </w:tcPr>
          <w:p w14:paraId="552943FD">
            <w:pPr>
              <w:spacing w:before="126" w:line="233" w:lineRule="auto"/>
              <w:ind w:left="724"/>
              <w:rPr>
                <w:rFonts w:ascii="宋体" w:hAnsi="宋体" w:eastAsia="宋体" w:cs="宋体"/>
                <w:sz w:val="20"/>
                <w:szCs w:val="20"/>
              </w:rPr>
            </w:pPr>
            <w:r>
              <w:rPr>
                <w:rFonts w:ascii="宋体" w:hAnsi="宋体" w:eastAsia="宋体" w:cs="宋体"/>
                <w:sz w:val="20"/>
                <w:szCs w:val="20"/>
              </w:rPr>
              <w:t>√</w:t>
            </w:r>
          </w:p>
        </w:tc>
        <w:tc>
          <w:tcPr>
            <w:tcW w:w="1259" w:type="dxa"/>
            <w:vAlign w:val="top"/>
          </w:tcPr>
          <w:p w14:paraId="602757E0">
            <w:pPr>
              <w:spacing w:before="126" w:line="233"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059A7F3A">
            <w:pPr>
              <w:spacing w:before="126" w:line="233"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64007D2A">
            <w:pPr>
              <w:spacing w:before="126" w:line="233" w:lineRule="auto"/>
              <w:ind w:left="189"/>
              <w:rPr>
                <w:rFonts w:ascii="宋体" w:hAnsi="宋体" w:eastAsia="宋体" w:cs="宋体"/>
                <w:sz w:val="20"/>
                <w:szCs w:val="20"/>
              </w:rPr>
            </w:pPr>
            <w:r>
              <w:rPr>
                <w:rFonts w:ascii="宋体" w:hAnsi="宋体" w:eastAsia="宋体" w:cs="宋体"/>
                <w:sz w:val="20"/>
                <w:szCs w:val="20"/>
              </w:rPr>
              <w:t>√</w:t>
            </w:r>
          </w:p>
        </w:tc>
      </w:tr>
      <w:tr w14:paraId="37F5B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563" w:type="dxa"/>
            <w:vAlign w:val="top"/>
          </w:tcPr>
          <w:p w14:paraId="4098A225">
            <w:pPr>
              <w:spacing w:before="118" w:line="220" w:lineRule="auto"/>
              <w:ind w:left="575"/>
              <w:rPr>
                <w:rFonts w:ascii="宋体" w:hAnsi="宋体" w:eastAsia="宋体" w:cs="宋体"/>
                <w:sz w:val="20"/>
                <w:szCs w:val="20"/>
              </w:rPr>
            </w:pPr>
            <w:r>
              <w:rPr>
                <w:rFonts w:ascii="宋体" w:hAnsi="宋体" w:eastAsia="宋体" w:cs="宋体"/>
                <w:spacing w:val="-3"/>
                <w:sz w:val="20"/>
                <w:szCs w:val="20"/>
              </w:rPr>
              <w:t>其他</w:t>
            </w:r>
          </w:p>
        </w:tc>
        <w:tc>
          <w:tcPr>
            <w:tcW w:w="1149" w:type="dxa"/>
            <w:vAlign w:val="top"/>
          </w:tcPr>
          <w:p w14:paraId="6C24CEB3">
            <w:pPr>
              <w:rPr>
                <w:rFonts w:ascii="Arial"/>
                <w:sz w:val="21"/>
              </w:rPr>
            </w:pPr>
          </w:p>
        </w:tc>
        <w:tc>
          <w:tcPr>
            <w:tcW w:w="1049" w:type="dxa"/>
            <w:vAlign w:val="top"/>
          </w:tcPr>
          <w:p w14:paraId="16AA0FC5">
            <w:pPr>
              <w:rPr>
                <w:rFonts w:ascii="Arial"/>
                <w:sz w:val="21"/>
              </w:rPr>
            </w:pPr>
          </w:p>
        </w:tc>
        <w:tc>
          <w:tcPr>
            <w:tcW w:w="1668" w:type="dxa"/>
            <w:vAlign w:val="top"/>
          </w:tcPr>
          <w:p w14:paraId="6B13446B">
            <w:pPr>
              <w:spacing w:before="137" w:line="238" w:lineRule="auto"/>
              <w:ind w:left="724"/>
              <w:rPr>
                <w:rFonts w:ascii="宋体" w:hAnsi="宋体" w:eastAsia="宋体" w:cs="宋体"/>
                <w:sz w:val="20"/>
                <w:szCs w:val="20"/>
              </w:rPr>
            </w:pPr>
            <w:r>
              <w:rPr>
                <w:rFonts w:ascii="宋体" w:hAnsi="宋体" w:eastAsia="宋体" w:cs="宋体"/>
                <w:sz w:val="20"/>
                <w:szCs w:val="20"/>
              </w:rPr>
              <w:t>√</w:t>
            </w:r>
          </w:p>
        </w:tc>
        <w:tc>
          <w:tcPr>
            <w:tcW w:w="1259" w:type="dxa"/>
            <w:vAlign w:val="top"/>
          </w:tcPr>
          <w:p w14:paraId="2BE3282D">
            <w:pPr>
              <w:spacing w:before="137" w:line="238" w:lineRule="auto"/>
              <w:ind w:left="526"/>
              <w:rPr>
                <w:rFonts w:ascii="宋体" w:hAnsi="宋体" w:eastAsia="宋体" w:cs="宋体"/>
                <w:sz w:val="20"/>
                <w:szCs w:val="20"/>
              </w:rPr>
            </w:pPr>
            <w:r>
              <w:rPr>
                <w:rFonts w:ascii="宋体" w:hAnsi="宋体" w:eastAsia="宋体" w:cs="宋体"/>
                <w:sz w:val="20"/>
                <w:szCs w:val="20"/>
              </w:rPr>
              <w:t>√</w:t>
            </w:r>
          </w:p>
        </w:tc>
        <w:tc>
          <w:tcPr>
            <w:tcW w:w="2088" w:type="dxa"/>
            <w:vAlign w:val="top"/>
          </w:tcPr>
          <w:p w14:paraId="5D9A93C7">
            <w:pPr>
              <w:spacing w:before="137" w:line="238" w:lineRule="auto"/>
              <w:ind w:left="937"/>
              <w:rPr>
                <w:rFonts w:ascii="宋体" w:hAnsi="宋体" w:eastAsia="宋体" w:cs="宋体"/>
                <w:sz w:val="20"/>
                <w:szCs w:val="20"/>
              </w:rPr>
            </w:pPr>
            <w:r>
              <w:rPr>
                <w:rFonts w:ascii="宋体" w:hAnsi="宋体" w:eastAsia="宋体" w:cs="宋体"/>
                <w:sz w:val="20"/>
                <w:szCs w:val="20"/>
              </w:rPr>
              <w:t>√</w:t>
            </w:r>
          </w:p>
        </w:tc>
        <w:tc>
          <w:tcPr>
            <w:tcW w:w="584" w:type="dxa"/>
            <w:vAlign w:val="top"/>
          </w:tcPr>
          <w:p w14:paraId="4858A078">
            <w:pPr>
              <w:spacing w:before="137" w:line="238" w:lineRule="auto"/>
              <w:ind w:left="189"/>
              <w:rPr>
                <w:rFonts w:ascii="宋体" w:hAnsi="宋体" w:eastAsia="宋体" w:cs="宋体"/>
                <w:sz w:val="20"/>
                <w:szCs w:val="20"/>
              </w:rPr>
            </w:pPr>
            <w:r>
              <w:rPr>
                <w:rFonts w:ascii="宋体" w:hAnsi="宋体" w:eastAsia="宋体" w:cs="宋体"/>
                <w:sz w:val="20"/>
                <w:szCs w:val="20"/>
              </w:rPr>
              <w:t>√</w:t>
            </w:r>
          </w:p>
        </w:tc>
      </w:tr>
    </w:tbl>
    <w:p w14:paraId="571B321A">
      <w:pPr>
        <w:spacing w:before="204" w:line="282" w:lineRule="auto"/>
        <w:ind w:right="112" w:firstLine="550"/>
        <w:rPr>
          <w:rFonts w:ascii="宋体" w:hAnsi="宋体" w:eastAsia="宋体" w:cs="宋体"/>
          <w:sz w:val="27"/>
          <w:szCs w:val="27"/>
        </w:rPr>
      </w:pPr>
      <w:r>
        <w:rPr>
          <w:rFonts w:ascii="宋体" w:hAnsi="宋体" w:eastAsia="宋体" w:cs="宋体"/>
          <w:spacing w:val="-3"/>
          <w:sz w:val="27"/>
          <w:szCs w:val="27"/>
        </w:rPr>
        <w:t>独立软件产品部队试验项目、考核内容，应根据被试品的使用要求，按有关</w:t>
      </w:r>
      <w:r>
        <w:rPr>
          <w:rFonts w:ascii="宋体" w:hAnsi="宋体" w:eastAsia="宋体" w:cs="宋体"/>
          <w:spacing w:val="10"/>
          <w:sz w:val="27"/>
          <w:szCs w:val="27"/>
        </w:rPr>
        <w:t xml:space="preserve"> </w:t>
      </w:r>
      <w:r>
        <w:rPr>
          <w:rFonts w:ascii="宋体" w:hAnsi="宋体" w:eastAsia="宋体" w:cs="宋体"/>
          <w:spacing w:val="-2"/>
          <w:sz w:val="27"/>
          <w:szCs w:val="27"/>
        </w:rPr>
        <w:t>法规、规定和国家军用标准确定。部队试验项目通常包括：</w:t>
      </w:r>
    </w:p>
    <w:p w14:paraId="6AC2ECC3">
      <w:pPr>
        <w:spacing w:before="25" w:line="219" w:lineRule="auto"/>
        <w:ind w:left="550"/>
        <w:rPr>
          <w:rFonts w:ascii="宋体" w:hAnsi="宋体" w:eastAsia="宋体" w:cs="宋体"/>
          <w:sz w:val="24"/>
          <w:szCs w:val="24"/>
        </w:rPr>
      </w:pPr>
      <w:r>
        <w:rPr>
          <w:rFonts w:ascii="Times New Roman" w:hAnsi="Times New Roman" w:eastAsia="Times New Roman" w:cs="Times New Roman"/>
          <w:spacing w:val="18"/>
          <w:sz w:val="24"/>
          <w:szCs w:val="24"/>
        </w:rPr>
        <w:t>a</w:t>
      </w:r>
      <w:r>
        <w:rPr>
          <w:rFonts w:ascii="Times New Roman" w:hAnsi="Times New Roman" w:eastAsia="Times New Roman" w:cs="Times New Roman"/>
          <w:spacing w:val="-12"/>
          <w:sz w:val="24"/>
          <w:szCs w:val="24"/>
        </w:rPr>
        <w:t xml:space="preserve"> </w:t>
      </w:r>
      <w:r>
        <w:rPr>
          <w:rFonts w:ascii="宋体" w:hAnsi="宋体" w:eastAsia="宋体" w:cs="宋体"/>
          <w:spacing w:val="18"/>
          <w:sz w:val="24"/>
          <w:szCs w:val="24"/>
        </w:rPr>
        <w:t>)</w:t>
      </w:r>
      <w:r>
        <w:rPr>
          <w:rFonts w:ascii="宋体" w:hAnsi="宋体" w:eastAsia="宋体" w:cs="宋体"/>
          <w:spacing w:val="-10"/>
          <w:sz w:val="24"/>
          <w:szCs w:val="24"/>
        </w:rPr>
        <w:t xml:space="preserve"> </w:t>
      </w:r>
      <w:r>
        <w:rPr>
          <w:rFonts w:ascii="宋体" w:hAnsi="宋体" w:eastAsia="宋体" w:cs="宋体"/>
          <w:spacing w:val="18"/>
          <w:sz w:val="24"/>
          <w:szCs w:val="24"/>
        </w:rPr>
        <w:t>软件的功能；</w:t>
      </w:r>
    </w:p>
    <w:p w14:paraId="3FCAF60B">
      <w:pPr>
        <w:spacing w:before="66"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软件的使用性能；</w:t>
      </w:r>
    </w:p>
    <w:p w14:paraId="61130C0F">
      <w:pPr>
        <w:spacing w:before="99" w:line="212" w:lineRule="auto"/>
        <w:ind w:left="550"/>
        <w:rPr>
          <w:rFonts w:ascii="宋体" w:hAnsi="宋体" w:eastAsia="宋体" w:cs="宋体"/>
          <w:sz w:val="27"/>
          <w:szCs w:val="27"/>
        </w:rPr>
      </w:pPr>
      <w:r>
        <w:rPr>
          <w:rFonts w:ascii="Times New Roman" w:hAnsi="Times New Roman" w:eastAsia="Times New Roman" w:cs="Times New Roman"/>
          <w:sz w:val="27"/>
          <w:szCs w:val="27"/>
        </w:rPr>
        <w:t xml:space="preserve">c)  </w:t>
      </w:r>
      <w:r>
        <w:rPr>
          <w:rFonts w:ascii="宋体" w:hAnsi="宋体" w:eastAsia="宋体" w:cs="宋体"/>
          <w:sz w:val="27"/>
          <w:szCs w:val="27"/>
        </w:rPr>
        <w:t>软件的安全性；</w:t>
      </w:r>
    </w:p>
    <w:p w14:paraId="738809D6">
      <w:pPr>
        <w:spacing w:before="12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d)</w:t>
      </w:r>
      <w:r>
        <w:rPr>
          <w:rFonts w:ascii="Times New Roman" w:hAnsi="Times New Roman" w:eastAsia="Times New Roman" w:cs="Times New Roman"/>
          <w:spacing w:val="11"/>
          <w:sz w:val="27"/>
          <w:szCs w:val="27"/>
        </w:rPr>
        <w:t xml:space="preserve">  </w:t>
      </w:r>
      <w:r>
        <w:rPr>
          <w:rFonts w:ascii="宋体" w:hAnsi="宋体" w:eastAsia="宋体" w:cs="宋体"/>
          <w:spacing w:val="-3"/>
          <w:sz w:val="27"/>
          <w:szCs w:val="27"/>
        </w:rPr>
        <w:t>软件的易用性；</w:t>
      </w:r>
    </w:p>
    <w:p w14:paraId="7CA6848A">
      <w:pPr>
        <w:spacing w:before="90" w:line="212" w:lineRule="auto"/>
        <w:ind w:left="550"/>
        <w:rPr>
          <w:rFonts w:ascii="宋体" w:hAnsi="宋体" w:eastAsia="宋体" w:cs="宋体"/>
          <w:sz w:val="27"/>
          <w:szCs w:val="27"/>
        </w:rPr>
      </w:pPr>
      <w:r>
        <w:rPr>
          <w:rFonts w:ascii="Times New Roman" w:hAnsi="Times New Roman" w:eastAsia="Times New Roman" w:cs="Times New Roman"/>
          <w:sz w:val="27"/>
          <w:szCs w:val="27"/>
        </w:rPr>
        <w:t xml:space="preserve">e)  </w:t>
      </w:r>
      <w:r>
        <w:rPr>
          <w:rFonts w:ascii="宋体" w:hAnsi="宋体" w:eastAsia="宋体" w:cs="宋体"/>
          <w:sz w:val="27"/>
          <w:szCs w:val="27"/>
        </w:rPr>
        <w:t>软件的适用性；</w:t>
      </w:r>
    </w:p>
    <w:p w14:paraId="014F7126">
      <w:pPr>
        <w:spacing w:before="120" w:line="212" w:lineRule="auto"/>
        <w:ind w:left="550"/>
        <w:rPr>
          <w:rFonts w:ascii="宋体" w:hAnsi="宋体" w:eastAsia="宋体" w:cs="宋体"/>
          <w:sz w:val="27"/>
          <w:szCs w:val="27"/>
        </w:rPr>
      </w:pPr>
      <w:r>
        <w:rPr>
          <w:rFonts w:ascii="Times New Roman" w:hAnsi="Times New Roman" w:eastAsia="Times New Roman" w:cs="Times New Roman"/>
          <w:sz w:val="27"/>
          <w:szCs w:val="27"/>
        </w:rPr>
        <w:t>f)</w:t>
      </w:r>
      <w:r>
        <w:rPr>
          <w:rFonts w:ascii="Times New Roman" w:hAnsi="Times New Roman" w:eastAsia="Times New Roman" w:cs="Times New Roman"/>
          <w:spacing w:val="66"/>
          <w:sz w:val="27"/>
          <w:szCs w:val="27"/>
        </w:rPr>
        <w:t xml:space="preserve"> </w:t>
      </w:r>
      <w:r>
        <w:rPr>
          <w:rFonts w:ascii="宋体" w:hAnsi="宋体" w:eastAsia="宋体" w:cs="宋体"/>
          <w:sz w:val="27"/>
          <w:szCs w:val="27"/>
        </w:rPr>
        <w:t>其他。</w:t>
      </w:r>
    </w:p>
    <w:p w14:paraId="2D0B8819">
      <w:pPr>
        <w:spacing w:before="134" w:line="221"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7"/>
          <w:sz w:val="27"/>
          <w:szCs w:val="27"/>
        </w:rPr>
        <w:t xml:space="preserve">  </w:t>
      </w:r>
      <w:r>
        <w:rPr>
          <w:rFonts w:ascii="黑体" w:hAnsi="黑体" w:eastAsia="黑体" w:cs="黑体"/>
          <w:b/>
          <w:bCs/>
          <w:spacing w:val="-1"/>
          <w:sz w:val="27"/>
          <w:szCs w:val="27"/>
        </w:rPr>
        <w:t>试验评定标准</w:t>
      </w:r>
    </w:p>
    <w:p w14:paraId="6686203C">
      <w:pPr>
        <w:spacing w:before="101" w:line="283" w:lineRule="auto"/>
        <w:ind w:right="112" w:firstLine="550"/>
        <w:jc w:val="both"/>
        <w:rPr>
          <w:rFonts w:ascii="宋体" w:hAnsi="宋体" w:eastAsia="宋体" w:cs="宋体"/>
          <w:sz w:val="27"/>
          <w:szCs w:val="27"/>
        </w:rPr>
      </w:pPr>
      <w:r>
        <w:rPr>
          <w:rFonts w:ascii="宋体" w:hAnsi="宋体" w:eastAsia="宋体" w:cs="宋体"/>
          <w:spacing w:val="6"/>
          <w:sz w:val="27"/>
          <w:szCs w:val="27"/>
        </w:rPr>
        <w:t>应规定明确的试验评定标准。通常，确定试验评</w:t>
      </w:r>
      <w:r>
        <w:rPr>
          <w:rFonts w:ascii="宋体" w:hAnsi="宋体" w:eastAsia="宋体" w:cs="宋体"/>
          <w:spacing w:val="5"/>
          <w:sz w:val="27"/>
          <w:szCs w:val="27"/>
        </w:rPr>
        <w:t>定标准应以被试品的战术</w:t>
      </w:r>
      <w:r>
        <w:rPr>
          <w:rFonts w:ascii="宋体" w:hAnsi="宋体" w:eastAsia="宋体" w:cs="宋体"/>
          <w:sz w:val="27"/>
          <w:szCs w:val="27"/>
        </w:rPr>
        <w:t xml:space="preserve"> </w:t>
      </w:r>
      <w:r>
        <w:rPr>
          <w:rFonts w:ascii="宋体" w:hAnsi="宋体" w:eastAsia="宋体" w:cs="宋体"/>
          <w:spacing w:val="-10"/>
          <w:sz w:val="27"/>
          <w:szCs w:val="27"/>
        </w:rPr>
        <w:t>技术指标、技术条件、使用要求、相关国家标准和国家军用标准等为基本依据，根</w:t>
      </w:r>
      <w:r>
        <w:rPr>
          <w:rFonts w:ascii="宋体" w:hAnsi="宋体" w:eastAsia="宋体" w:cs="宋体"/>
          <w:spacing w:val="9"/>
          <w:sz w:val="27"/>
          <w:szCs w:val="27"/>
        </w:rPr>
        <w:t xml:space="preserve"> </w:t>
      </w:r>
      <w:r>
        <w:rPr>
          <w:rFonts w:ascii="宋体" w:hAnsi="宋体" w:eastAsia="宋体" w:cs="宋体"/>
          <w:spacing w:val="-3"/>
          <w:sz w:val="27"/>
          <w:szCs w:val="27"/>
        </w:rPr>
        <w:t>据不同军兵种、不同武器装备的性能特点确定。</w:t>
      </w:r>
    </w:p>
    <w:p w14:paraId="42749259">
      <w:pPr>
        <w:spacing w:before="1" w:line="219" w:lineRule="auto"/>
        <w:ind w:left="550"/>
        <w:rPr>
          <w:rFonts w:ascii="宋体" w:hAnsi="宋体" w:eastAsia="宋体" w:cs="宋体"/>
          <w:sz w:val="27"/>
          <w:szCs w:val="27"/>
        </w:rPr>
      </w:pPr>
      <w:r>
        <w:rPr>
          <w:rFonts w:ascii="宋体" w:hAnsi="宋体" w:eastAsia="宋体" w:cs="宋体"/>
          <w:spacing w:val="3"/>
          <w:sz w:val="27"/>
          <w:szCs w:val="27"/>
        </w:rPr>
        <w:t>作战使用性能的评定标准一般包括：</w:t>
      </w:r>
    </w:p>
    <w:p w14:paraId="198B8DDB">
      <w:pPr>
        <w:spacing w:before="69"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a)  </w:t>
      </w:r>
      <w:r>
        <w:rPr>
          <w:rFonts w:ascii="宋体" w:hAnsi="宋体" w:eastAsia="宋体" w:cs="宋体"/>
          <w:spacing w:val="2"/>
          <w:sz w:val="27"/>
          <w:szCs w:val="27"/>
        </w:rPr>
        <w:t>完成要求的作战使用性能的程度；</w:t>
      </w:r>
    </w:p>
    <w:p w14:paraId="00543B5C">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67"/>
          <w:sz w:val="27"/>
          <w:szCs w:val="27"/>
        </w:rPr>
        <w:t xml:space="preserve"> </w:t>
      </w:r>
      <w:r>
        <w:rPr>
          <w:rFonts w:ascii="宋体" w:hAnsi="宋体" w:eastAsia="宋体" w:cs="宋体"/>
          <w:spacing w:val="4"/>
          <w:sz w:val="27"/>
          <w:szCs w:val="27"/>
        </w:rPr>
        <w:t>达到相关军事训练与考核大纲要求的程度；</w:t>
      </w:r>
    </w:p>
    <w:p w14:paraId="4A90B2CA">
      <w:pPr>
        <w:spacing w:before="100" w:line="212" w:lineRule="auto"/>
        <w:ind w:left="550"/>
        <w:rPr>
          <w:rFonts w:ascii="宋体" w:hAnsi="宋体" w:eastAsia="宋体" w:cs="宋体"/>
          <w:sz w:val="27"/>
          <w:szCs w:val="27"/>
        </w:rPr>
      </w:pPr>
      <w:r>
        <w:rPr>
          <w:rFonts w:ascii="Times New Roman" w:hAnsi="Times New Roman" w:eastAsia="Times New Roman" w:cs="Times New Roman"/>
          <w:sz w:val="27"/>
          <w:szCs w:val="27"/>
        </w:rPr>
        <w:t xml:space="preserve">c)  </w:t>
      </w:r>
      <w:r>
        <w:rPr>
          <w:rFonts w:ascii="宋体" w:hAnsi="宋体" w:eastAsia="宋体" w:cs="宋体"/>
          <w:sz w:val="27"/>
          <w:szCs w:val="27"/>
        </w:rPr>
        <w:t>使用的方便性；</w:t>
      </w:r>
    </w:p>
    <w:p w14:paraId="5099C959">
      <w:pPr>
        <w:spacing w:before="12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功能的完备性；</w:t>
      </w:r>
    </w:p>
    <w:p w14:paraId="6D99504F">
      <w:pPr>
        <w:spacing w:before="99" w:line="212" w:lineRule="auto"/>
        <w:ind w:left="550"/>
        <w:rPr>
          <w:rFonts w:ascii="宋体" w:hAnsi="宋体" w:eastAsia="宋体" w:cs="宋体"/>
          <w:sz w:val="27"/>
          <w:szCs w:val="27"/>
        </w:rPr>
      </w:pPr>
      <w:r>
        <w:rPr>
          <w:rFonts w:ascii="Times New Roman" w:hAnsi="Times New Roman" w:eastAsia="Times New Roman" w:cs="Times New Roman"/>
          <w:sz w:val="27"/>
          <w:szCs w:val="27"/>
        </w:rPr>
        <w:t xml:space="preserve">e)  </w:t>
      </w:r>
      <w:r>
        <w:rPr>
          <w:rFonts w:ascii="宋体" w:hAnsi="宋体" w:eastAsia="宋体" w:cs="宋体"/>
          <w:sz w:val="27"/>
          <w:szCs w:val="27"/>
        </w:rPr>
        <w:t>设计的合理性；</w:t>
      </w:r>
    </w:p>
    <w:p w14:paraId="6B5063BE">
      <w:pPr>
        <w:spacing w:before="121"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f)  </w:t>
      </w:r>
      <w:r>
        <w:rPr>
          <w:rFonts w:ascii="宋体" w:hAnsi="宋体" w:eastAsia="宋体" w:cs="宋体"/>
          <w:spacing w:val="3"/>
          <w:sz w:val="27"/>
          <w:szCs w:val="27"/>
        </w:rPr>
        <w:t>与战术技术指标的符合程度等。</w:t>
      </w:r>
    </w:p>
    <w:p w14:paraId="07C5C059">
      <w:pPr>
        <w:spacing w:before="110" w:line="219" w:lineRule="auto"/>
        <w:ind w:left="550"/>
        <w:rPr>
          <w:rFonts w:ascii="宋体" w:hAnsi="宋体" w:eastAsia="宋体" w:cs="宋体"/>
          <w:sz w:val="27"/>
          <w:szCs w:val="27"/>
        </w:rPr>
      </w:pPr>
      <w:r>
        <w:rPr>
          <w:rFonts w:ascii="宋体" w:hAnsi="宋体" w:eastAsia="宋体" w:cs="宋体"/>
          <w:spacing w:val="2"/>
          <w:sz w:val="27"/>
          <w:szCs w:val="27"/>
        </w:rPr>
        <w:t>部队适应性的评定标准一般包括：</w:t>
      </w:r>
    </w:p>
    <w:p w14:paraId="350C6137">
      <w:pPr>
        <w:spacing w:before="119" w:line="261" w:lineRule="auto"/>
        <w:ind w:firstLine="550"/>
        <w:rPr>
          <w:rFonts w:ascii="宋体" w:hAnsi="宋体" w:eastAsia="宋体" w:cs="宋体"/>
          <w:sz w:val="25"/>
          <w:szCs w:val="25"/>
        </w:rPr>
      </w:pPr>
      <w:r>
        <w:rPr>
          <w:rFonts w:ascii="Times New Roman" w:hAnsi="Times New Roman" w:eastAsia="Times New Roman" w:cs="Times New Roman"/>
          <w:spacing w:val="25"/>
          <w:sz w:val="25"/>
          <w:szCs w:val="25"/>
        </w:rPr>
        <w:t>a</w:t>
      </w:r>
      <w:r>
        <w:rPr>
          <w:rFonts w:ascii="Times New Roman" w:hAnsi="Times New Roman" w:eastAsia="Times New Roman" w:cs="Times New Roman"/>
          <w:spacing w:val="-25"/>
          <w:sz w:val="25"/>
          <w:szCs w:val="25"/>
        </w:rPr>
        <w:t xml:space="preserve"> </w:t>
      </w:r>
      <w:r>
        <w:rPr>
          <w:rFonts w:ascii="宋体" w:hAnsi="宋体" w:eastAsia="宋体" w:cs="宋体"/>
          <w:spacing w:val="25"/>
          <w:sz w:val="25"/>
          <w:szCs w:val="25"/>
        </w:rPr>
        <w:t>)</w:t>
      </w:r>
      <w:r>
        <w:rPr>
          <w:rFonts w:ascii="宋体" w:hAnsi="宋体" w:eastAsia="宋体" w:cs="宋体"/>
          <w:spacing w:val="-40"/>
          <w:sz w:val="25"/>
          <w:szCs w:val="25"/>
        </w:rPr>
        <w:t xml:space="preserve"> </w:t>
      </w:r>
      <w:r>
        <w:rPr>
          <w:rFonts w:ascii="宋体" w:hAnsi="宋体" w:eastAsia="宋体" w:cs="宋体"/>
          <w:spacing w:val="25"/>
          <w:sz w:val="25"/>
          <w:szCs w:val="25"/>
        </w:rPr>
        <w:t>在受领任务的任意时间内，处于能够使用并能够执行任务状态的程度，</w:t>
      </w:r>
      <w:r>
        <w:rPr>
          <w:rFonts w:ascii="宋体" w:hAnsi="宋体" w:eastAsia="宋体" w:cs="宋体"/>
          <w:sz w:val="25"/>
          <w:szCs w:val="25"/>
        </w:rPr>
        <w:t xml:space="preserve"> </w:t>
      </w:r>
      <w:r>
        <w:rPr>
          <w:rFonts w:ascii="宋体" w:hAnsi="宋体" w:eastAsia="宋体" w:cs="宋体"/>
          <w:spacing w:val="21"/>
          <w:sz w:val="25"/>
          <w:szCs w:val="25"/>
        </w:rPr>
        <w:t>即装备在需要时能否正常工作和使用；</w:t>
      </w:r>
    </w:p>
    <w:p w14:paraId="497B0893">
      <w:pPr>
        <w:spacing w:before="105" w:line="212" w:lineRule="auto"/>
        <w:ind w:left="550"/>
        <w:rPr>
          <w:rFonts w:ascii="宋体" w:hAnsi="宋体" w:eastAsia="宋体" w:cs="宋体"/>
          <w:sz w:val="25"/>
          <w:szCs w:val="25"/>
        </w:rPr>
      </w:pPr>
      <w:r>
        <w:rPr>
          <w:rFonts w:ascii="Times New Roman" w:hAnsi="Times New Roman" w:eastAsia="Times New Roman" w:cs="Times New Roman"/>
          <w:spacing w:val="29"/>
          <w:sz w:val="25"/>
          <w:szCs w:val="25"/>
        </w:rPr>
        <w:t xml:space="preserve">b)  </w:t>
      </w:r>
      <w:r>
        <w:rPr>
          <w:rFonts w:ascii="宋体" w:hAnsi="宋体" w:eastAsia="宋体" w:cs="宋体"/>
          <w:spacing w:val="29"/>
          <w:sz w:val="25"/>
          <w:szCs w:val="25"/>
        </w:rPr>
        <w:t>在规定的条件下和规定的时间期限内能否正常工作和其不发生故障的</w:t>
      </w:r>
    </w:p>
    <w:p w14:paraId="1A11B318">
      <w:pPr>
        <w:spacing w:line="212" w:lineRule="auto"/>
        <w:rPr>
          <w:rFonts w:ascii="宋体" w:hAnsi="宋体" w:eastAsia="宋体" w:cs="宋体"/>
          <w:sz w:val="25"/>
          <w:szCs w:val="25"/>
        </w:rPr>
        <w:sectPr>
          <w:footerReference r:id="rId126" w:type="default"/>
          <w:pgSz w:w="11910" w:h="17130"/>
          <w:pgMar w:top="400" w:right="1224" w:bottom="1687" w:left="1200" w:header="0" w:footer="1470" w:gutter="0"/>
          <w:cols w:space="720" w:num="1"/>
        </w:sectPr>
      </w:pPr>
    </w:p>
    <w:p w14:paraId="05DCB210">
      <w:pPr>
        <w:pStyle w:val="2"/>
        <w:spacing w:line="256" w:lineRule="auto"/>
      </w:pPr>
    </w:p>
    <w:p w14:paraId="2AFC0A94">
      <w:pPr>
        <w:pStyle w:val="2"/>
        <w:spacing w:line="257" w:lineRule="auto"/>
      </w:pPr>
    </w:p>
    <w:p w14:paraId="1D3D5210">
      <w:pPr>
        <w:pStyle w:val="2"/>
        <w:spacing w:line="257" w:lineRule="auto"/>
      </w:pPr>
    </w:p>
    <w:p w14:paraId="62D7367F">
      <w:pPr>
        <w:pStyle w:val="2"/>
        <w:spacing w:line="257" w:lineRule="auto"/>
      </w:pPr>
    </w:p>
    <w:p w14:paraId="73D3C3C5">
      <w:pPr>
        <w:spacing w:before="88" w:line="220" w:lineRule="auto"/>
        <w:rPr>
          <w:rFonts w:ascii="宋体" w:hAnsi="宋体" w:eastAsia="宋体" w:cs="宋体"/>
          <w:sz w:val="27"/>
          <w:szCs w:val="27"/>
        </w:rPr>
      </w:pPr>
      <w:r>
        <w:rPr>
          <w:rFonts w:ascii="宋体" w:hAnsi="宋体" w:eastAsia="宋体" w:cs="宋体"/>
          <w:spacing w:val="-4"/>
          <w:sz w:val="27"/>
          <w:szCs w:val="27"/>
        </w:rPr>
        <w:t>程度；</w:t>
      </w:r>
    </w:p>
    <w:p w14:paraId="40481E36">
      <w:pPr>
        <w:spacing w:before="17" w:line="269" w:lineRule="auto"/>
        <w:ind w:right="124"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在由规定技术等级的人员按照操作规程、使用预定的资源，在进行维修</w:t>
      </w:r>
      <w:r>
        <w:rPr>
          <w:rFonts w:ascii="宋体" w:hAnsi="宋体" w:eastAsia="宋体" w:cs="宋体"/>
          <w:sz w:val="27"/>
          <w:szCs w:val="27"/>
        </w:rPr>
        <w:t xml:space="preserve"> </w:t>
      </w:r>
      <w:r>
        <w:rPr>
          <w:rFonts w:ascii="宋体" w:hAnsi="宋体" w:eastAsia="宋体" w:cs="宋体"/>
          <w:spacing w:val="-3"/>
          <w:sz w:val="27"/>
          <w:szCs w:val="27"/>
        </w:rPr>
        <w:t>时，装备保持或恢复到规定状态的能力，即装备在给定的时间内能否保持或恢复</w:t>
      </w:r>
      <w:r>
        <w:rPr>
          <w:rFonts w:ascii="宋体" w:hAnsi="宋体" w:eastAsia="宋体" w:cs="宋体"/>
          <w:spacing w:val="16"/>
          <w:sz w:val="27"/>
          <w:szCs w:val="27"/>
        </w:rPr>
        <w:t xml:space="preserve"> </w:t>
      </w:r>
      <w:r>
        <w:rPr>
          <w:rFonts w:ascii="宋体" w:hAnsi="宋体" w:eastAsia="宋体" w:cs="宋体"/>
          <w:spacing w:val="-1"/>
          <w:sz w:val="27"/>
          <w:szCs w:val="27"/>
        </w:rPr>
        <w:t>到工作状态；</w:t>
      </w:r>
    </w:p>
    <w:p w14:paraId="59BC8F71">
      <w:pPr>
        <w:spacing w:before="60" w:line="267" w:lineRule="auto"/>
        <w:ind w:right="121"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测试、测量和诊断设备，备件与修理件，</w:t>
      </w:r>
      <w:r>
        <w:rPr>
          <w:rFonts w:ascii="宋体" w:hAnsi="宋体" w:eastAsia="宋体" w:cs="宋体"/>
          <w:spacing w:val="2"/>
          <w:sz w:val="27"/>
          <w:szCs w:val="27"/>
        </w:rPr>
        <w:t>技术资料，保障设施，运输要</w:t>
      </w:r>
      <w:r>
        <w:rPr>
          <w:rFonts w:ascii="宋体" w:hAnsi="宋体" w:eastAsia="宋体" w:cs="宋体"/>
          <w:sz w:val="27"/>
          <w:szCs w:val="27"/>
        </w:rPr>
        <w:t xml:space="preserve"> </w:t>
      </w:r>
      <w:r>
        <w:rPr>
          <w:rFonts w:ascii="宋体" w:hAnsi="宋体" w:eastAsia="宋体" w:cs="宋体"/>
          <w:spacing w:val="6"/>
          <w:sz w:val="27"/>
          <w:szCs w:val="27"/>
        </w:rPr>
        <w:t>求，训练方法，人员编制和软件保障等能够满</w:t>
      </w:r>
      <w:r>
        <w:rPr>
          <w:rFonts w:ascii="宋体" w:hAnsi="宋体" w:eastAsia="宋体" w:cs="宋体"/>
          <w:spacing w:val="5"/>
          <w:sz w:val="27"/>
          <w:szCs w:val="27"/>
        </w:rPr>
        <w:t>足装备可用性和战时使用要求的</w:t>
      </w:r>
      <w:r>
        <w:rPr>
          <w:rFonts w:ascii="宋体" w:hAnsi="宋体" w:eastAsia="宋体" w:cs="宋体"/>
          <w:sz w:val="27"/>
          <w:szCs w:val="27"/>
        </w:rPr>
        <w:t xml:space="preserve"> </w:t>
      </w:r>
      <w:r>
        <w:rPr>
          <w:rFonts w:ascii="宋体" w:hAnsi="宋体" w:eastAsia="宋体" w:cs="宋体"/>
          <w:spacing w:val="-4"/>
          <w:sz w:val="27"/>
          <w:szCs w:val="27"/>
        </w:rPr>
        <w:t>程度；</w:t>
      </w:r>
    </w:p>
    <w:p w14:paraId="7E81B574">
      <w:pPr>
        <w:spacing w:before="65" w:line="260" w:lineRule="auto"/>
        <w:ind w:right="122"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同类(型)被试品及其相关装备(设备)同时使用而不互相干扰的</w:t>
      </w:r>
      <w:r>
        <w:rPr>
          <w:rFonts w:ascii="宋体" w:hAnsi="宋体" w:eastAsia="宋体" w:cs="宋体"/>
          <w:spacing w:val="2"/>
          <w:sz w:val="27"/>
          <w:szCs w:val="27"/>
        </w:rPr>
        <w:t>能力，包</w:t>
      </w:r>
      <w:r>
        <w:rPr>
          <w:rFonts w:ascii="宋体" w:hAnsi="宋体" w:eastAsia="宋体" w:cs="宋体"/>
          <w:sz w:val="27"/>
          <w:szCs w:val="27"/>
        </w:rPr>
        <w:t xml:space="preserve"> </w:t>
      </w:r>
      <w:r>
        <w:rPr>
          <w:rFonts w:ascii="宋体" w:hAnsi="宋体" w:eastAsia="宋体" w:cs="宋体"/>
          <w:spacing w:val="-11"/>
          <w:sz w:val="27"/>
          <w:szCs w:val="27"/>
        </w:rPr>
        <w:t>括互用性、电气兼容性、电磁兼容性、物理兼容性、</w:t>
      </w:r>
      <w:r>
        <w:rPr>
          <w:rFonts w:ascii="宋体" w:hAnsi="宋体" w:eastAsia="宋体" w:cs="宋体"/>
          <w:spacing w:val="-12"/>
          <w:sz w:val="27"/>
          <w:szCs w:val="27"/>
        </w:rPr>
        <w:t>人机界面兼容性试验等；</w:t>
      </w:r>
    </w:p>
    <w:p w14:paraId="732E75A3">
      <w:pPr>
        <w:spacing w:before="41"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在人机工程方面是否满足作战使用和勤务要求；</w:t>
      </w:r>
    </w:p>
    <w:p w14:paraId="28EA508F">
      <w:pPr>
        <w:spacing w:before="109" w:line="212" w:lineRule="auto"/>
        <w:ind w:left="560"/>
        <w:rPr>
          <w:rFonts w:ascii="宋体" w:hAnsi="宋体" w:eastAsia="宋体" w:cs="宋体"/>
          <w:sz w:val="27"/>
          <w:szCs w:val="27"/>
        </w:rPr>
      </w:pPr>
      <w:r>
        <w:rPr>
          <w:rFonts w:ascii="Times New Roman" w:hAnsi="Times New Roman" w:eastAsia="Times New Roman" w:cs="Times New Roman"/>
          <w:spacing w:val="-15"/>
          <w:sz w:val="27"/>
          <w:szCs w:val="27"/>
        </w:rPr>
        <w:t xml:space="preserve">g)  </w:t>
      </w:r>
      <w:r>
        <w:rPr>
          <w:rFonts w:ascii="宋体" w:hAnsi="宋体" w:eastAsia="宋体" w:cs="宋体"/>
          <w:spacing w:val="-15"/>
          <w:sz w:val="27"/>
          <w:szCs w:val="27"/>
        </w:rPr>
        <w:t>靠牵引、自行，通过铁路、公路、水</w:t>
      </w:r>
      <w:r>
        <w:rPr>
          <w:rFonts w:ascii="宋体" w:hAnsi="宋体" w:eastAsia="宋体" w:cs="宋体"/>
          <w:spacing w:val="-16"/>
          <w:sz w:val="27"/>
          <w:szCs w:val="27"/>
        </w:rPr>
        <w:t>路、航空等方式调运的能力；</w:t>
      </w:r>
    </w:p>
    <w:p w14:paraId="39E3EF2E">
      <w:pPr>
        <w:spacing w:before="91"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h)  </w:t>
      </w:r>
      <w:r>
        <w:rPr>
          <w:rFonts w:ascii="宋体" w:hAnsi="宋体" w:eastAsia="宋体" w:cs="宋体"/>
          <w:spacing w:val="4"/>
          <w:sz w:val="27"/>
          <w:szCs w:val="27"/>
        </w:rPr>
        <w:t>避免可能造成人员伤亡或设备损坏的各种条件的程度；</w:t>
      </w:r>
    </w:p>
    <w:p w14:paraId="0DD1BC48">
      <w:pPr>
        <w:spacing w:before="90" w:line="260" w:lineRule="auto"/>
        <w:ind w:firstLine="560"/>
        <w:rPr>
          <w:rFonts w:ascii="宋体" w:hAnsi="宋体" w:eastAsia="宋体" w:cs="宋体"/>
          <w:sz w:val="27"/>
          <w:szCs w:val="27"/>
        </w:rPr>
      </w:pPr>
      <w:r>
        <w:rPr>
          <w:rFonts w:ascii="Times New Roman" w:hAnsi="Times New Roman" w:eastAsia="Times New Roman" w:cs="Times New Roman"/>
          <w:sz w:val="27"/>
          <w:szCs w:val="27"/>
        </w:rPr>
        <w:t>i)</w:t>
      </w:r>
      <w:r>
        <w:rPr>
          <w:rFonts w:ascii="Times New Roman" w:hAnsi="Times New Roman" w:eastAsia="Times New Roman" w:cs="Times New Roman"/>
          <w:spacing w:val="71"/>
          <w:sz w:val="27"/>
          <w:szCs w:val="27"/>
        </w:rPr>
        <w:t xml:space="preserve"> </w:t>
      </w:r>
      <w:r>
        <w:rPr>
          <w:rFonts w:ascii="宋体" w:hAnsi="宋体" w:eastAsia="宋体" w:cs="宋体"/>
          <w:sz w:val="27"/>
          <w:szCs w:val="27"/>
        </w:rPr>
        <w:t xml:space="preserve">避免或承受敌方打击或各种环境干扰的能力，包括主(被)动防御、规避、 </w:t>
      </w:r>
      <w:r>
        <w:rPr>
          <w:rFonts w:ascii="宋体" w:hAnsi="宋体" w:eastAsia="宋体" w:cs="宋体"/>
          <w:spacing w:val="-11"/>
          <w:sz w:val="27"/>
          <w:szCs w:val="27"/>
        </w:rPr>
        <w:t>修复、自救及人员逃逸、搜救等的能力；</w:t>
      </w:r>
    </w:p>
    <w:p w14:paraId="2B16BBEF">
      <w:pPr>
        <w:spacing w:before="89" w:line="269" w:lineRule="auto"/>
        <w:ind w:right="114" w:firstLine="560"/>
        <w:rPr>
          <w:rFonts w:ascii="宋体" w:hAnsi="宋体" w:eastAsia="宋体" w:cs="宋体"/>
          <w:sz w:val="25"/>
          <w:szCs w:val="25"/>
        </w:rPr>
      </w:pPr>
      <w:r>
        <w:rPr>
          <w:rFonts w:ascii="Times New Roman" w:hAnsi="Times New Roman" w:eastAsia="Times New Roman" w:cs="Times New Roman"/>
          <w:spacing w:val="16"/>
          <w:sz w:val="25"/>
          <w:szCs w:val="25"/>
        </w:rPr>
        <w:t>j)</w:t>
      </w:r>
      <w:r>
        <w:rPr>
          <w:rFonts w:ascii="Times New Roman" w:hAnsi="Times New Roman" w:eastAsia="Times New Roman" w:cs="Times New Roman"/>
          <w:spacing w:val="3"/>
          <w:sz w:val="25"/>
          <w:szCs w:val="25"/>
        </w:rPr>
        <w:t xml:space="preserve">  </w:t>
      </w:r>
      <w:r>
        <w:rPr>
          <w:rFonts w:ascii="宋体" w:hAnsi="宋体" w:eastAsia="宋体" w:cs="宋体"/>
          <w:spacing w:val="16"/>
          <w:sz w:val="25"/>
          <w:szCs w:val="25"/>
        </w:rPr>
        <w:t>装备编配方案、作战和训练要求，考核被试品按初步的编配方案、作战和</w:t>
      </w:r>
      <w:r>
        <w:rPr>
          <w:rFonts w:ascii="宋体" w:hAnsi="宋体" w:eastAsia="宋体" w:cs="宋体"/>
          <w:spacing w:val="1"/>
          <w:sz w:val="25"/>
          <w:szCs w:val="25"/>
        </w:rPr>
        <w:t xml:space="preserve"> </w:t>
      </w:r>
      <w:r>
        <w:rPr>
          <w:rFonts w:ascii="宋体" w:hAnsi="宋体" w:eastAsia="宋体" w:cs="宋体"/>
          <w:spacing w:val="18"/>
          <w:sz w:val="25"/>
          <w:szCs w:val="25"/>
        </w:rPr>
        <w:t>训练要求时的适应程度；</w:t>
      </w:r>
    </w:p>
    <w:p w14:paraId="58320E9E">
      <w:pPr>
        <w:spacing w:before="62"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k)</w:t>
      </w:r>
      <w:r>
        <w:rPr>
          <w:rFonts w:ascii="Times New Roman" w:hAnsi="Times New Roman" w:eastAsia="Times New Roman" w:cs="Times New Roman"/>
          <w:spacing w:val="5"/>
          <w:sz w:val="27"/>
          <w:szCs w:val="27"/>
        </w:rPr>
        <w:t xml:space="preserve">  </w:t>
      </w:r>
      <w:r>
        <w:rPr>
          <w:rFonts w:ascii="宋体" w:hAnsi="宋体" w:eastAsia="宋体" w:cs="宋体"/>
          <w:spacing w:val="3"/>
          <w:sz w:val="27"/>
          <w:szCs w:val="27"/>
        </w:rPr>
        <w:t>其他相关考核标准。</w:t>
      </w:r>
    </w:p>
    <w:p w14:paraId="46D5BB66">
      <w:pPr>
        <w:spacing w:before="118" w:line="222" w:lineRule="auto"/>
        <w:rPr>
          <w:rFonts w:ascii="黑体" w:hAnsi="黑体" w:eastAsia="黑体" w:cs="黑体"/>
          <w:sz w:val="27"/>
          <w:szCs w:val="27"/>
        </w:rPr>
      </w:pPr>
      <w:r>
        <w:rPr>
          <w:rFonts w:ascii="黑体" w:hAnsi="黑体" w:eastAsia="黑体" w:cs="黑体"/>
          <w:spacing w:val="-10"/>
          <w:sz w:val="27"/>
          <w:szCs w:val="27"/>
        </w:rPr>
        <w:t>8</w:t>
      </w:r>
      <w:r>
        <w:rPr>
          <w:rFonts w:ascii="黑体" w:hAnsi="黑体" w:eastAsia="黑体" w:cs="黑体"/>
          <w:spacing w:val="23"/>
          <w:sz w:val="27"/>
          <w:szCs w:val="27"/>
        </w:rPr>
        <w:t xml:space="preserve">  </w:t>
      </w:r>
      <w:r>
        <w:rPr>
          <w:rFonts w:ascii="黑体" w:hAnsi="黑体" w:eastAsia="黑体" w:cs="黑体"/>
          <w:spacing w:val="-10"/>
          <w:sz w:val="27"/>
          <w:szCs w:val="27"/>
        </w:rPr>
        <w:t>中断、中止与恢复</w:t>
      </w:r>
    </w:p>
    <w:p w14:paraId="2889791E">
      <w:pPr>
        <w:spacing w:before="108" w:line="224" w:lineRule="auto"/>
        <w:rPr>
          <w:rFonts w:ascii="黑体" w:hAnsi="黑体" w:eastAsia="黑体" w:cs="黑体"/>
          <w:sz w:val="25"/>
          <w:szCs w:val="25"/>
        </w:rPr>
      </w:pPr>
      <w:r>
        <w:rPr>
          <w:rFonts w:ascii="黑体" w:hAnsi="黑体" w:eastAsia="黑体" w:cs="黑体"/>
          <w:spacing w:val="-8"/>
          <w:sz w:val="25"/>
          <w:szCs w:val="25"/>
        </w:rPr>
        <w:t>8.1</w:t>
      </w:r>
      <w:r>
        <w:rPr>
          <w:rFonts w:ascii="黑体" w:hAnsi="黑体" w:eastAsia="黑体" w:cs="黑体"/>
          <w:spacing w:val="52"/>
          <w:sz w:val="25"/>
          <w:szCs w:val="25"/>
        </w:rPr>
        <w:t xml:space="preserve">  </w:t>
      </w:r>
      <w:r>
        <w:rPr>
          <w:rFonts w:ascii="黑体" w:hAnsi="黑体" w:eastAsia="黑体" w:cs="黑体"/>
          <w:spacing w:val="-8"/>
          <w:sz w:val="25"/>
          <w:szCs w:val="25"/>
        </w:rPr>
        <w:t>中</w:t>
      </w:r>
      <w:r>
        <w:rPr>
          <w:rFonts w:ascii="黑体" w:hAnsi="黑体" w:eastAsia="黑体" w:cs="黑体"/>
          <w:spacing w:val="-33"/>
          <w:sz w:val="25"/>
          <w:szCs w:val="25"/>
        </w:rPr>
        <w:t xml:space="preserve"> </w:t>
      </w:r>
      <w:r>
        <w:rPr>
          <w:rFonts w:ascii="黑体" w:hAnsi="黑体" w:eastAsia="黑体" w:cs="黑体"/>
          <w:spacing w:val="-8"/>
          <w:sz w:val="25"/>
          <w:szCs w:val="25"/>
        </w:rPr>
        <w:t>断</w:t>
      </w:r>
    </w:p>
    <w:p w14:paraId="45D5EC19">
      <w:pPr>
        <w:spacing w:before="95" w:line="270" w:lineRule="auto"/>
        <w:ind w:right="123" w:firstLine="560"/>
        <w:jc w:val="both"/>
        <w:rPr>
          <w:rFonts w:ascii="宋体" w:hAnsi="宋体" w:eastAsia="宋体" w:cs="宋体"/>
          <w:sz w:val="27"/>
          <w:szCs w:val="27"/>
        </w:rPr>
      </w:pPr>
      <w:r>
        <w:rPr>
          <w:rFonts w:ascii="宋体" w:hAnsi="宋体" w:eastAsia="宋体" w:cs="宋体"/>
          <w:spacing w:val="6"/>
          <w:sz w:val="27"/>
          <w:szCs w:val="27"/>
        </w:rPr>
        <w:t>应规定试验中断的条件。通常，在试验中由于</w:t>
      </w:r>
      <w:r>
        <w:rPr>
          <w:rFonts w:ascii="宋体" w:hAnsi="宋体" w:eastAsia="宋体" w:cs="宋体"/>
          <w:spacing w:val="5"/>
          <w:sz w:val="27"/>
          <w:szCs w:val="27"/>
        </w:rPr>
        <w:t>条件发生变化不能满足试验</w:t>
      </w:r>
      <w:r>
        <w:rPr>
          <w:rFonts w:ascii="宋体" w:hAnsi="宋体" w:eastAsia="宋体" w:cs="宋体"/>
          <w:sz w:val="27"/>
          <w:szCs w:val="27"/>
        </w:rPr>
        <w:t xml:space="preserve"> </w:t>
      </w:r>
      <w:r>
        <w:rPr>
          <w:rFonts w:ascii="宋体" w:hAnsi="宋体" w:eastAsia="宋体" w:cs="宋体"/>
          <w:spacing w:val="6"/>
          <w:sz w:val="27"/>
          <w:szCs w:val="27"/>
        </w:rPr>
        <w:t>要求时，应中断试验。待条件满足时再继续试验。当某项试验中断前</w:t>
      </w:r>
      <w:r>
        <w:rPr>
          <w:rFonts w:ascii="宋体" w:hAnsi="宋体" w:eastAsia="宋体" w:cs="宋体"/>
          <w:spacing w:val="5"/>
          <w:sz w:val="27"/>
          <w:szCs w:val="27"/>
        </w:rPr>
        <w:t>的试验条</w:t>
      </w:r>
      <w:r>
        <w:rPr>
          <w:rFonts w:ascii="宋体" w:hAnsi="宋体" w:eastAsia="宋体" w:cs="宋体"/>
          <w:sz w:val="27"/>
          <w:szCs w:val="27"/>
        </w:rPr>
        <w:t xml:space="preserve"> </w:t>
      </w:r>
      <w:r>
        <w:rPr>
          <w:rFonts w:ascii="宋体" w:hAnsi="宋体" w:eastAsia="宋体" w:cs="宋体"/>
          <w:spacing w:val="-3"/>
          <w:sz w:val="27"/>
          <w:szCs w:val="27"/>
        </w:rPr>
        <w:t>件没有超出规定的条件范围时，中断前的试验有效，否则应重新进行该项试验。</w:t>
      </w:r>
    </w:p>
    <w:p w14:paraId="01015931">
      <w:pPr>
        <w:pStyle w:val="2"/>
        <w:spacing w:line="368" w:lineRule="exact"/>
        <w:rPr>
          <w:rFonts w:ascii="黑体" w:hAnsi="黑体" w:eastAsia="黑体" w:cs="黑体"/>
          <w:sz w:val="27"/>
          <w:szCs w:val="27"/>
        </w:rPr>
      </w:pPr>
      <w:r>
        <w:rPr>
          <w:spacing w:val="-3"/>
          <w:position w:val="1"/>
          <w:sz w:val="27"/>
          <w:szCs w:val="27"/>
        </w:rPr>
        <w:t>8.2</w:t>
      </w:r>
      <w:r>
        <w:rPr>
          <w:spacing w:val="16"/>
          <w:position w:val="1"/>
          <w:sz w:val="27"/>
          <w:szCs w:val="27"/>
        </w:rPr>
        <w:t xml:space="preserve">    </w:t>
      </w:r>
      <w:r>
        <w:rPr>
          <w:rFonts w:ascii="黑体" w:hAnsi="黑体" w:eastAsia="黑体" w:cs="黑体"/>
          <w:spacing w:val="-3"/>
          <w:position w:val="1"/>
          <w:sz w:val="27"/>
          <w:szCs w:val="27"/>
        </w:rPr>
        <w:t>中止</w:t>
      </w:r>
    </w:p>
    <w:p w14:paraId="669D5F4E">
      <w:pPr>
        <w:spacing w:before="67" w:line="284" w:lineRule="auto"/>
        <w:ind w:right="143" w:firstLine="560"/>
        <w:rPr>
          <w:rFonts w:ascii="宋体" w:hAnsi="宋体" w:eastAsia="宋体" w:cs="宋体"/>
          <w:sz w:val="27"/>
          <w:szCs w:val="27"/>
        </w:rPr>
      </w:pPr>
      <w:r>
        <w:rPr>
          <w:rFonts w:ascii="宋体" w:hAnsi="宋体" w:eastAsia="宋体" w:cs="宋体"/>
          <w:spacing w:val="-3"/>
          <w:sz w:val="27"/>
          <w:szCs w:val="27"/>
        </w:rPr>
        <w:t>应规定试验中止的条件。通常，当出现下列情况之</w:t>
      </w:r>
      <w:r>
        <w:rPr>
          <w:rFonts w:ascii="宋体" w:hAnsi="宋体" w:eastAsia="宋体" w:cs="宋体"/>
          <w:spacing w:val="-4"/>
          <w:sz w:val="27"/>
          <w:szCs w:val="27"/>
        </w:rPr>
        <w:t>一时，按规定报批后，可</w:t>
      </w:r>
      <w:r>
        <w:rPr>
          <w:rFonts w:ascii="宋体" w:hAnsi="宋体" w:eastAsia="宋体" w:cs="宋体"/>
          <w:sz w:val="27"/>
          <w:szCs w:val="27"/>
        </w:rPr>
        <w:t xml:space="preserve"> </w:t>
      </w:r>
      <w:r>
        <w:rPr>
          <w:rFonts w:ascii="宋体" w:hAnsi="宋体" w:eastAsia="宋体" w:cs="宋体"/>
          <w:spacing w:val="-5"/>
          <w:sz w:val="27"/>
          <w:szCs w:val="27"/>
        </w:rPr>
        <w:t>中止试验：</w:t>
      </w:r>
    </w:p>
    <w:p w14:paraId="1A0B3BF5">
      <w:pPr>
        <w:spacing w:before="2" w:line="250" w:lineRule="auto"/>
        <w:ind w:right="122"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试验中，被试品由于技术状况或质量问题危及安全，不能保证试验安全</w:t>
      </w:r>
      <w:r>
        <w:rPr>
          <w:rFonts w:ascii="宋体" w:hAnsi="宋体" w:eastAsia="宋体" w:cs="宋体"/>
          <w:spacing w:val="1"/>
          <w:sz w:val="27"/>
          <w:szCs w:val="27"/>
        </w:rPr>
        <w:t xml:space="preserve"> </w:t>
      </w:r>
      <w:r>
        <w:rPr>
          <w:rFonts w:ascii="宋体" w:hAnsi="宋体" w:eastAsia="宋体" w:cs="宋体"/>
          <w:spacing w:val="-4"/>
          <w:sz w:val="27"/>
          <w:szCs w:val="27"/>
        </w:rPr>
        <w:t>进行；</w:t>
      </w:r>
    </w:p>
    <w:p w14:paraId="792E354E">
      <w:pPr>
        <w:spacing w:before="48" w:line="264" w:lineRule="auto"/>
        <w:ind w:right="122"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根据部分试验结果判定，被试品的主要</w:t>
      </w:r>
      <w:r>
        <w:rPr>
          <w:rFonts w:ascii="宋体" w:hAnsi="宋体" w:eastAsia="宋体" w:cs="宋体"/>
          <w:spacing w:val="2"/>
          <w:sz w:val="27"/>
          <w:szCs w:val="27"/>
        </w:rPr>
        <w:t>战术技术性能已达不到战术技术</w:t>
      </w:r>
      <w:r>
        <w:rPr>
          <w:rFonts w:ascii="宋体" w:hAnsi="宋体" w:eastAsia="宋体" w:cs="宋体"/>
          <w:sz w:val="27"/>
          <w:szCs w:val="27"/>
        </w:rPr>
        <w:t xml:space="preserve"> </w:t>
      </w:r>
      <w:r>
        <w:rPr>
          <w:rFonts w:ascii="宋体" w:hAnsi="宋体" w:eastAsia="宋体" w:cs="宋体"/>
          <w:spacing w:val="-4"/>
          <w:sz w:val="27"/>
          <w:szCs w:val="27"/>
        </w:rPr>
        <w:t>指标；</w:t>
      </w:r>
    </w:p>
    <w:p w14:paraId="4D2D2223">
      <w:pPr>
        <w:spacing w:before="77"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 xml:space="preserve">c)  </w:t>
      </w:r>
      <w:r>
        <w:rPr>
          <w:rFonts w:ascii="宋体" w:hAnsi="宋体" w:eastAsia="宋体" w:cs="宋体"/>
          <w:spacing w:val="-5"/>
          <w:sz w:val="27"/>
          <w:szCs w:val="27"/>
        </w:rPr>
        <w:t>被试品的可靠性差，维修工作量大，使试验无法</w:t>
      </w:r>
      <w:r>
        <w:rPr>
          <w:rFonts w:ascii="宋体" w:hAnsi="宋体" w:eastAsia="宋体" w:cs="宋体"/>
          <w:spacing w:val="-6"/>
          <w:sz w:val="27"/>
          <w:szCs w:val="27"/>
        </w:rPr>
        <w:t>正常进行；</w:t>
      </w:r>
    </w:p>
    <w:p w14:paraId="479F1620">
      <w:pPr>
        <w:spacing w:before="80"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d)</w:t>
      </w:r>
      <w:r>
        <w:rPr>
          <w:rFonts w:ascii="Times New Roman" w:hAnsi="Times New Roman" w:eastAsia="Times New Roman" w:cs="Times New Roman"/>
          <w:spacing w:val="45"/>
          <w:sz w:val="27"/>
          <w:szCs w:val="27"/>
        </w:rPr>
        <w:t xml:space="preserve"> </w:t>
      </w:r>
      <w:r>
        <w:rPr>
          <w:rFonts w:ascii="宋体" w:hAnsi="宋体" w:eastAsia="宋体" w:cs="宋体"/>
          <w:spacing w:val="6"/>
          <w:sz w:val="27"/>
          <w:szCs w:val="27"/>
        </w:rPr>
        <w:t>由于不可抗拒的因素丧失继续试验的条件。</w:t>
      </w:r>
    </w:p>
    <w:p w14:paraId="5EC04045">
      <w:pPr>
        <w:pStyle w:val="2"/>
        <w:spacing w:before="105" w:line="327" w:lineRule="exact"/>
        <w:rPr>
          <w:rFonts w:ascii="黑体" w:hAnsi="黑体" w:eastAsia="黑体" w:cs="黑体"/>
          <w:sz w:val="24"/>
          <w:szCs w:val="24"/>
        </w:rPr>
      </w:pPr>
      <w:r>
        <w:rPr>
          <w:spacing w:val="-4"/>
          <w:position w:val="1"/>
          <w:sz w:val="24"/>
          <w:szCs w:val="24"/>
        </w:rPr>
        <w:t>8.3</w:t>
      </w:r>
      <w:r>
        <w:rPr>
          <w:spacing w:val="10"/>
          <w:position w:val="1"/>
          <w:sz w:val="24"/>
          <w:szCs w:val="24"/>
        </w:rPr>
        <w:t xml:space="preserve">     </w:t>
      </w:r>
      <w:r>
        <w:rPr>
          <w:rFonts w:ascii="黑体" w:hAnsi="黑体" w:eastAsia="黑体" w:cs="黑体"/>
          <w:spacing w:val="-4"/>
          <w:position w:val="1"/>
          <w:sz w:val="24"/>
          <w:szCs w:val="24"/>
        </w:rPr>
        <w:t>恢</w:t>
      </w:r>
      <w:r>
        <w:rPr>
          <w:rFonts w:ascii="黑体" w:hAnsi="黑体" w:eastAsia="黑体" w:cs="黑体"/>
          <w:spacing w:val="-26"/>
          <w:position w:val="1"/>
          <w:sz w:val="24"/>
          <w:szCs w:val="24"/>
        </w:rPr>
        <w:t xml:space="preserve"> </w:t>
      </w:r>
      <w:r>
        <w:rPr>
          <w:rFonts w:ascii="黑体" w:hAnsi="黑体" w:eastAsia="黑体" w:cs="黑体"/>
          <w:spacing w:val="-4"/>
          <w:position w:val="1"/>
          <w:sz w:val="24"/>
          <w:szCs w:val="24"/>
        </w:rPr>
        <w:t>复</w:t>
      </w:r>
    </w:p>
    <w:p w14:paraId="5770351C">
      <w:pPr>
        <w:spacing w:before="118" w:line="219" w:lineRule="auto"/>
        <w:ind w:left="560"/>
        <w:rPr>
          <w:rFonts w:ascii="宋体" w:hAnsi="宋体" w:eastAsia="宋体" w:cs="宋体"/>
          <w:sz w:val="27"/>
          <w:szCs w:val="27"/>
        </w:rPr>
      </w:pPr>
      <w:r>
        <w:rPr>
          <w:rFonts w:ascii="宋体" w:hAnsi="宋体" w:eastAsia="宋体" w:cs="宋体"/>
          <w:sz w:val="27"/>
          <w:szCs w:val="27"/>
        </w:rPr>
        <w:t>应规定试验恢复的条件。通常，按规定报批后方</w:t>
      </w:r>
      <w:r>
        <w:rPr>
          <w:rFonts w:ascii="宋体" w:hAnsi="宋体" w:eastAsia="宋体" w:cs="宋体"/>
          <w:spacing w:val="-1"/>
          <w:sz w:val="27"/>
          <w:szCs w:val="27"/>
        </w:rPr>
        <w:t>可恢复试验。</w:t>
      </w:r>
    </w:p>
    <w:p w14:paraId="78347B83">
      <w:pPr>
        <w:spacing w:line="219" w:lineRule="auto"/>
        <w:rPr>
          <w:rFonts w:ascii="宋体" w:hAnsi="宋体" w:eastAsia="宋体" w:cs="宋体"/>
          <w:sz w:val="27"/>
          <w:szCs w:val="27"/>
        </w:rPr>
        <w:sectPr>
          <w:footerReference r:id="rId127" w:type="default"/>
          <w:pgSz w:w="11910" w:h="17130"/>
          <w:pgMar w:top="400" w:right="944" w:bottom="1637" w:left="1460" w:header="0" w:footer="1421" w:gutter="0"/>
          <w:cols w:space="720" w:num="1"/>
        </w:sectPr>
      </w:pPr>
    </w:p>
    <w:p w14:paraId="30BB7D24">
      <w:pPr>
        <w:pStyle w:val="2"/>
        <w:spacing w:line="275" w:lineRule="auto"/>
      </w:pPr>
    </w:p>
    <w:p w14:paraId="60C99AE9">
      <w:pPr>
        <w:pStyle w:val="2"/>
        <w:spacing w:line="275" w:lineRule="auto"/>
      </w:pPr>
    </w:p>
    <w:p w14:paraId="0C7DE3C9">
      <w:pPr>
        <w:pStyle w:val="2"/>
        <w:spacing w:line="275" w:lineRule="auto"/>
      </w:pPr>
    </w:p>
    <w:p w14:paraId="1D2C99B0">
      <w:pPr>
        <w:pStyle w:val="2"/>
        <w:spacing w:line="276" w:lineRule="auto"/>
      </w:pPr>
    </w:p>
    <w:p w14:paraId="5AC1EC6B">
      <w:pPr>
        <w:spacing w:before="78" w:line="222" w:lineRule="auto"/>
        <w:rPr>
          <w:rFonts w:ascii="黑体" w:hAnsi="黑体" w:eastAsia="黑体" w:cs="黑体"/>
          <w:sz w:val="24"/>
          <w:szCs w:val="24"/>
        </w:rPr>
      </w:pPr>
      <w:r>
        <w:rPr>
          <w:rFonts w:ascii="黑体" w:hAnsi="黑体" w:eastAsia="黑体" w:cs="黑体"/>
          <w:spacing w:val="20"/>
          <w:sz w:val="24"/>
          <w:szCs w:val="24"/>
        </w:rPr>
        <w:t>9</w:t>
      </w:r>
      <w:r>
        <w:rPr>
          <w:rFonts w:ascii="黑体" w:hAnsi="黑体" w:eastAsia="黑体" w:cs="黑体"/>
          <w:spacing w:val="38"/>
          <w:sz w:val="24"/>
          <w:szCs w:val="24"/>
        </w:rPr>
        <w:t xml:space="preserve">  </w:t>
      </w:r>
      <w:r>
        <w:rPr>
          <w:rFonts w:ascii="黑体" w:hAnsi="黑体" w:eastAsia="黑体" w:cs="黑体"/>
          <w:b/>
          <w:bCs/>
          <w:spacing w:val="20"/>
          <w:sz w:val="24"/>
          <w:szCs w:val="24"/>
        </w:rPr>
        <w:t>组织分工</w:t>
      </w:r>
    </w:p>
    <w:p w14:paraId="05E099B5">
      <w:pPr>
        <w:spacing w:before="75" w:line="292" w:lineRule="auto"/>
        <w:ind w:right="29" w:firstLine="529"/>
        <w:rPr>
          <w:rFonts w:ascii="宋体" w:hAnsi="宋体" w:eastAsia="宋体" w:cs="宋体"/>
          <w:sz w:val="27"/>
          <w:szCs w:val="27"/>
        </w:rPr>
      </w:pPr>
      <w:r>
        <w:rPr>
          <w:rFonts w:ascii="宋体" w:hAnsi="宋体" w:eastAsia="宋体" w:cs="宋体"/>
          <w:spacing w:val="5"/>
          <w:sz w:val="27"/>
          <w:szCs w:val="27"/>
        </w:rPr>
        <w:t>应规定试验组织的要求。通常，应根据试验规模组成试验领导组和必要的</w:t>
      </w:r>
      <w:r>
        <w:rPr>
          <w:rFonts w:ascii="宋体" w:hAnsi="宋体" w:eastAsia="宋体" w:cs="宋体"/>
          <w:spacing w:val="10"/>
          <w:sz w:val="27"/>
          <w:szCs w:val="27"/>
        </w:rPr>
        <w:t xml:space="preserve"> </w:t>
      </w:r>
      <w:r>
        <w:rPr>
          <w:rFonts w:ascii="宋体" w:hAnsi="宋体" w:eastAsia="宋体" w:cs="宋体"/>
          <w:spacing w:val="-9"/>
          <w:sz w:val="27"/>
          <w:szCs w:val="27"/>
        </w:rPr>
        <w:t>职能小组，具体负责试验的组织实施、政治思想、技术和后勤保障等。</w:t>
      </w:r>
    </w:p>
    <w:p w14:paraId="7BE6E104">
      <w:pPr>
        <w:spacing w:before="1" w:line="220" w:lineRule="auto"/>
        <w:rPr>
          <w:rFonts w:ascii="黑体" w:hAnsi="黑体" w:eastAsia="黑体" w:cs="黑体"/>
          <w:sz w:val="27"/>
          <w:szCs w:val="27"/>
        </w:rPr>
      </w:pPr>
      <w:r>
        <w:rPr>
          <w:rFonts w:ascii="黑体" w:hAnsi="黑体" w:eastAsia="黑体" w:cs="黑体"/>
          <w:spacing w:val="-1"/>
          <w:sz w:val="27"/>
          <w:szCs w:val="27"/>
        </w:rPr>
        <w:t xml:space="preserve">10  </w:t>
      </w:r>
      <w:r>
        <w:rPr>
          <w:rFonts w:ascii="黑体" w:hAnsi="黑体" w:eastAsia="黑体" w:cs="黑体"/>
          <w:b/>
          <w:bCs/>
          <w:spacing w:val="-1"/>
          <w:sz w:val="27"/>
          <w:szCs w:val="27"/>
        </w:rPr>
        <w:t>试验报告要求</w:t>
      </w:r>
    </w:p>
    <w:p w14:paraId="13ADA631">
      <w:pPr>
        <w:spacing w:before="90" w:line="218" w:lineRule="auto"/>
        <w:ind w:left="529"/>
        <w:rPr>
          <w:rFonts w:ascii="宋体" w:hAnsi="宋体" w:eastAsia="宋体" w:cs="宋体"/>
          <w:sz w:val="27"/>
          <w:szCs w:val="27"/>
        </w:rPr>
      </w:pPr>
      <w:r>
        <w:rPr>
          <w:rFonts w:ascii="宋体" w:hAnsi="宋体" w:eastAsia="宋体" w:cs="宋体"/>
          <w:spacing w:val="-7"/>
          <w:sz w:val="27"/>
          <w:szCs w:val="27"/>
        </w:rPr>
        <w:t>应规定试验报告的主要内容、上报时间、报送单位等。</w:t>
      </w:r>
    </w:p>
    <w:p w14:paraId="46B2B9AE">
      <w:pPr>
        <w:spacing w:before="127" w:line="221" w:lineRule="auto"/>
        <w:rPr>
          <w:rFonts w:ascii="黑体" w:hAnsi="黑体" w:eastAsia="黑体" w:cs="黑体"/>
          <w:sz w:val="27"/>
          <w:szCs w:val="27"/>
        </w:rPr>
      </w:pPr>
      <w:r>
        <w:rPr>
          <w:rFonts w:ascii="黑体" w:hAnsi="黑体" w:eastAsia="黑体" w:cs="黑体"/>
          <w:spacing w:val="-8"/>
          <w:sz w:val="27"/>
          <w:szCs w:val="27"/>
        </w:rPr>
        <w:t>11</w:t>
      </w:r>
      <w:r>
        <w:rPr>
          <w:rFonts w:ascii="黑体" w:hAnsi="黑体" w:eastAsia="黑体" w:cs="黑体"/>
          <w:spacing w:val="9"/>
          <w:sz w:val="27"/>
          <w:szCs w:val="27"/>
        </w:rPr>
        <w:t xml:space="preserve">  </w:t>
      </w:r>
      <w:r>
        <w:rPr>
          <w:rFonts w:ascii="黑体" w:hAnsi="黑体" w:eastAsia="黑体" w:cs="黑体"/>
          <w:b/>
          <w:bCs/>
          <w:spacing w:val="-8"/>
          <w:sz w:val="27"/>
          <w:szCs w:val="27"/>
        </w:rPr>
        <w:t>试验保障</w:t>
      </w:r>
    </w:p>
    <w:p w14:paraId="7B95AA3E">
      <w:pPr>
        <w:spacing w:before="93" w:line="286" w:lineRule="auto"/>
        <w:ind w:firstLine="529"/>
        <w:jc w:val="both"/>
        <w:rPr>
          <w:rFonts w:ascii="宋体" w:hAnsi="宋体" w:eastAsia="宋体" w:cs="宋体"/>
          <w:sz w:val="27"/>
          <w:szCs w:val="27"/>
        </w:rPr>
      </w:pPr>
      <w:r>
        <w:rPr>
          <w:rFonts w:ascii="宋体" w:hAnsi="宋体" w:eastAsia="宋体" w:cs="宋体"/>
          <w:spacing w:val="-3"/>
          <w:sz w:val="27"/>
          <w:szCs w:val="27"/>
        </w:rPr>
        <w:t>应规定试验保障的要求。通常，试验相关的软件、技术文件、资料等应配套</w:t>
      </w:r>
      <w:r>
        <w:rPr>
          <w:rFonts w:ascii="宋体" w:hAnsi="宋体" w:eastAsia="宋体" w:cs="宋体"/>
          <w:spacing w:val="11"/>
          <w:sz w:val="27"/>
          <w:szCs w:val="27"/>
        </w:rPr>
        <w:t xml:space="preserve"> </w:t>
      </w:r>
      <w:r>
        <w:rPr>
          <w:rFonts w:ascii="宋体" w:hAnsi="宋体" w:eastAsia="宋体" w:cs="宋体"/>
          <w:spacing w:val="-2"/>
          <w:sz w:val="27"/>
          <w:szCs w:val="27"/>
        </w:rPr>
        <w:t>齐全。应规定相关陆地或海上试验场地、空域、航区</w:t>
      </w:r>
      <w:r>
        <w:rPr>
          <w:rFonts w:ascii="宋体" w:hAnsi="宋体" w:eastAsia="宋体" w:cs="宋体"/>
          <w:spacing w:val="-3"/>
          <w:sz w:val="27"/>
          <w:szCs w:val="27"/>
        </w:rPr>
        <w:t>及主要设施、仪器设备的保</w:t>
      </w:r>
      <w:r>
        <w:rPr>
          <w:rFonts w:ascii="宋体" w:hAnsi="宋体" w:eastAsia="宋体" w:cs="宋体"/>
          <w:sz w:val="27"/>
          <w:szCs w:val="27"/>
        </w:rPr>
        <w:t xml:space="preserve"> </w:t>
      </w:r>
      <w:r>
        <w:rPr>
          <w:rFonts w:ascii="宋体" w:hAnsi="宋体" w:eastAsia="宋体" w:cs="宋体"/>
          <w:spacing w:val="-24"/>
          <w:sz w:val="27"/>
          <w:szCs w:val="27"/>
        </w:rPr>
        <w:t>障；规定相关通信、气象、</w:t>
      </w:r>
      <w:r>
        <w:rPr>
          <w:rFonts w:ascii="宋体" w:hAnsi="宋体" w:eastAsia="宋体" w:cs="宋体"/>
          <w:spacing w:val="-23"/>
          <w:sz w:val="27"/>
          <w:szCs w:val="27"/>
        </w:rPr>
        <w:t>航空、航海、运输、</w:t>
      </w:r>
      <w:r>
        <w:rPr>
          <w:rFonts w:ascii="宋体" w:hAnsi="宋体" w:eastAsia="宋体" w:cs="宋体"/>
          <w:spacing w:val="-24"/>
          <w:sz w:val="27"/>
          <w:szCs w:val="27"/>
        </w:rPr>
        <w:t>兵力、机要及后勤保障等；规定相关</w:t>
      </w:r>
      <w:r>
        <w:rPr>
          <w:rFonts w:ascii="宋体" w:hAnsi="宋体" w:eastAsia="宋体" w:cs="宋体"/>
          <w:spacing w:val="-12"/>
          <w:sz w:val="27"/>
          <w:szCs w:val="27"/>
        </w:rPr>
        <w:t>技</w:t>
      </w:r>
      <w:r>
        <w:rPr>
          <w:rFonts w:ascii="宋体" w:hAnsi="宋体" w:eastAsia="宋体" w:cs="宋体"/>
          <w:sz w:val="27"/>
          <w:szCs w:val="27"/>
        </w:rPr>
        <w:t xml:space="preserve"> </w:t>
      </w:r>
      <w:r>
        <w:rPr>
          <w:rFonts w:ascii="宋体" w:hAnsi="宋体" w:eastAsia="宋体" w:cs="宋体"/>
          <w:spacing w:val="2"/>
          <w:sz w:val="27"/>
          <w:szCs w:val="27"/>
        </w:rPr>
        <w:t>术保障和人员培训等。</w:t>
      </w:r>
    </w:p>
    <w:p w14:paraId="0BD2153F">
      <w:pPr>
        <w:spacing w:before="3" w:line="222" w:lineRule="auto"/>
        <w:rPr>
          <w:rFonts w:ascii="黑体" w:hAnsi="黑体" w:eastAsia="黑体" w:cs="黑体"/>
          <w:sz w:val="27"/>
          <w:szCs w:val="27"/>
        </w:rPr>
      </w:pPr>
      <w:r>
        <w:rPr>
          <w:rFonts w:ascii="黑体" w:hAnsi="黑体" w:eastAsia="黑体" w:cs="黑体"/>
          <w:spacing w:val="-5"/>
          <w:sz w:val="27"/>
          <w:szCs w:val="27"/>
        </w:rPr>
        <w:t>12</w:t>
      </w:r>
      <w:r>
        <w:rPr>
          <w:rFonts w:ascii="黑体" w:hAnsi="黑体" w:eastAsia="黑体" w:cs="黑体"/>
          <w:spacing w:val="9"/>
          <w:sz w:val="27"/>
          <w:szCs w:val="27"/>
        </w:rPr>
        <w:t xml:space="preserve">  </w:t>
      </w:r>
      <w:r>
        <w:rPr>
          <w:rFonts w:ascii="黑体" w:hAnsi="黑体" w:eastAsia="黑体" w:cs="黑体"/>
          <w:b/>
          <w:bCs/>
          <w:spacing w:val="-5"/>
          <w:sz w:val="27"/>
          <w:szCs w:val="27"/>
        </w:rPr>
        <w:t>安全要求</w:t>
      </w:r>
    </w:p>
    <w:p w14:paraId="2481216E">
      <w:pPr>
        <w:spacing w:before="80" w:line="296" w:lineRule="auto"/>
        <w:ind w:right="13" w:firstLine="529"/>
        <w:rPr>
          <w:rFonts w:ascii="宋体" w:hAnsi="宋体" w:eastAsia="宋体" w:cs="宋体"/>
          <w:sz w:val="27"/>
          <w:szCs w:val="27"/>
        </w:rPr>
      </w:pPr>
      <w:r>
        <w:rPr>
          <w:rFonts w:ascii="宋体" w:hAnsi="宋体" w:eastAsia="宋体" w:cs="宋体"/>
          <w:spacing w:val="6"/>
          <w:sz w:val="27"/>
          <w:szCs w:val="27"/>
        </w:rPr>
        <w:t>应根据被试品的特点和使用要求，结合试验条件，给出必</w:t>
      </w:r>
      <w:r>
        <w:rPr>
          <w:rFonts w:ascii="宋体" w:hAnsi="宋体" w:eastAsia="宋体" w:cs="宋体"/>
          <w:spacing w:val="5"/>
          <w:sz w:val="27"/>
          <w:szCs w:val="27"/>
        </w:rPr>
        <w:t>要的安全及保密</w:t>
      </w:r>
      <w:r>
        <w:rPr>
          <w:rFonts w:ascii="宋体" w:hAnsi="宋体" w:eastAsia="宋体" w:cs="宋体"/>
          <w:sz w:val="27"/>
          <w:szCs w:val="27"/>
        </w:rPr>
        <w:t xml:space="preserve"> </w:t>
      </w:r>
      <w:r>
        <w:rPr>
          <w:rFonts w:ascii="宋体" w:hAnsi="宋体" w:eastAsia="宋体" w:cs="宋体"/>
          <w:spacing w:val="-4"/>
          <w:sz w:val="27"/>
          <w:szCs w:val="27"/>
        </w:rPr>
        <w:t>要求。</w:t>
      </w:r>
    </w:p>
    <w:p w14:paraId="6C9349AB">
      <w:pPr>
        <w:spacing w:line="222" w:lineRule="auto"/>
        <w:rPr>
          <w:rFonts w:ascii="黑体" w:hAnsi="黑体" w:eastAsia="黑体" w:cs="黑体"/>
          <w:sz w:val="27"/>
          <w:szCs w:val="27"/>
        </w:rPr>
      </w:pPr>
      <w:r>
        <w:rPr>
          <w:rFonts w:ascii="黑体" w:hAnsi="黑体" w:eastAsia="黑体" w:cs="黑体"/>
          <w:spacing w:val="-5"/>
          <w:sz w:val="27"/>
          <w:szCs w:val="27"/>
        </w:rPr>
        <w:t>13</w:t>
      </w:r>
      <w:r>
        <w:rPr>
          <w:rFonts w:ascii="黑体" w:hAnsi="黑体" w:eastAsia="黑体" w:cs="黑体"/>
          <w:spacing w:val="9"/>
          <w:sz w:val="27"/>
          <w:szCs w:val="27"/>
        </w:rPr>
        <w:t xml:space="preserve">  </w:t>
      </w:r>
      <w:r>
        <w:rPr>
          <w:rFonts w:ascii="黑体" w:hAnsi="黑体" w:eastAsia="黑体" w:cs="黑体"/>
          <w:b/>
          <w:bCs/>
          <w:spacing w:val="-5"/>
          <w:sz w:val="27"/>
          <w:szCs w:val="27"/>
        </w:rPr>
        <w:t>其他要求</w:t>
      </w:r>
    </w:p>
    <w:p w14:paraId="4946D703">
      <w:pPr>
        <w:spacing w:before="89" w:line="219" w:lineRule="auto"/>
        <w:ind w:left="529"/>
        <w:rPr>
          <w:rFonts w:ascii="宋体" w:hAnsi="宋体" w:eastAsia="宋体" w:cs="宋体"/>
          <w:sz w:val="27"/>
          <w:szCs w:val="27"/>
        </w:rPr>
      </w:pPr>
      <w:r>
        <w:rPr>
          <w:rFonts w:ascii="宋体" w:hAnsi="宋体" w:eastAsia="宋体" w:cs="宋体"/>
          <w:spacing w:val="-4"/>
          <w:sz w:val="27"/>
          <w:szCs w:val="27"/>
        </w:rPr>
        <w:t>应根据被试品的特点和使用要求，结合试验条件，给出必要的其他要求。</w:t>
      </w:r>
    </w:p>
    <w:p w14:paraId="70445E93">
      <w:pPr>
        <w:pStyle w:val="2"/>
        <w:spacing w:line="379" w:lineRule="auto"/>
      </w:pPr>
    </w:p>
    <w:p w14:paraId="66B7C4D5">
      <w:pPr>
        <w:spacing w:before="117" w:line="219" w:lineRule="auto"/>
        <w:ind w:left="1969"/>
        <w:outlineLvl w:val="1"/>
        <w:rPr>
          <w:rFonts w:ascii="宋体" w:hAnsi="宋体" w:eastAsia="宋体" w:cs="宋体"/>
          <w:sz w:val="36"/>
          <w:szCs w:val="36"/>
        </w:rPr>
      </w:pPr>
      <w:bookmarkStart w:id="74" w:name="bookmark38"/>
      <w:bookmarkEnd w:id="74"/>
      <w:r>
        <w:rPr>
          <w:rFonts w:ascii="Times New Roman" w:hAnsi="Times New Roman" w:eastAsia="Times New Roman" w:cs="Times New Roman"/>
          <w:b/>
          <w:bCs/>
          <w:spacing w:val="1"/>
          <w:sz w:val="36"/>
          <w:szCs w:val="36"/>
        </w:rPr>
        <w:t xml:space="preserve">1.36     </w:t>
      </w:r>
      <w:r>
        <w:rPr>
          <w:rFonts w:ascii="宋体" w:hAnsi="宋体" w:eastAsia="宋体" w:cs="宋体"/>
          <w:b/>
          <w:bCs/>
          <w:spacing w:val="1"/>
          <w:sz w:val="36"/>
          <w:szCs w:val="36"/>
        </w:rPr>
        <w:t>设计定型试验大纲编制说明</w:t>
      </w:r>
    </w:p>
    <w:p w14:paraId="4CCBD2CC">
      <w:pPr>
        <w:pStyle w:val="2"/>
        <w:spacing w:line="324" w:lineRule="auto"/>
      </w:pPr>
    </w:p>
    <w:p w14:paraId="650FF334">
      <w:pPr>
        <w:spacing w:before="92" w:line="223" w:lineRule="auto"/>
        <w:ind w:right="30"/>
        <w:jc w:val="right"/>
        <w:rPr>
          <w:rFonts w:ascii="楷体" w:hAnsi="楷体" w:eastAsia="楷体" w:cs="楷体"/>
          <w:sz w:val="28"/>
          <w:szCs w:val="28"/>
        </w:rPr>
      </w:pPr>
      <w:r>
        <w:rPr>
          <w:rFonts w:ascii="楷体" w:hAnsi="楷体" w:eastAsia="楷体" w:cs="楷体"/>
          <w:spacing w:val="-8"/>
          <w:sz w:val="28"/>
          <w:szCs w:val="28"/>
        </w:rPr>
        <w:t>按照</w:t>
      </w:r>
      <w:r>
        <w:rPr>
          <w:rFonts w:ascii="Times New Roman" w:hAnsi="Times New Roman" w:eastAsia="Times New Roman" w:cs="Times New Roman"/>
          <w:spacing w:val="-8"/>
          <w:sz w:val="28"/>
          <w:szCs w:val="28"/>
        </w:rPr>
        <w:t>GJB</w:t>
      </w:r>
      <w:r>
        <w:rPr>
          <w:rFonts w:ascii="Times New Roman" w:hAnsi="Times New Roman" w:eastAsia="Times New Roman" w:cs="Times New Roman"/>
          <w:spacing w:val="44"/>
          <w:w w:val="101"/>
          <w:sz w:val="28"/>
          <w:szCs w:val="28"/>
        </w:rPr>
        <w:t xml:space="preserve"> </w:t>
      </w:r>
      <w:r>
        <w:rPr>
          <w:rFonts w:ascii="Times New Roman" w:hAnsi="Times New Roman" w:eastAsia="Times New Roman" w:cs="Times New Roman"/>
          <w:spacing w:val="-8"/>
          <w:sz w:val="28"/>
          <w:szCs w:val="28"/>
        </w:rPr>
        <w:t>1362A—2007</w:t>
      </w:r>
      <w:r>
        <w:rPr>
          <w:rFonts w:ascii="宋体" w:hAnsi="宋体" w:eastAsia="宋体" w:cs="宋体"/>
          <w:spacing w:val="-8"/>
          <w:sz w:val="28"/>
          <w:szCs w:val="28"/>
        </w:rPr>
        <w:t>《</w:t>
      </w:r>
      <w:r>
        <w:rPr>
          <w:rFonts w:ascii="楷体" w:hAnsi="楷体" w:eastAsia="楷体" w:cs="楷体"/>
          <w:spacing w:val="-8"/>
          <w:sz w:val="28"/>
          <w:szCs w:val="28"/>
        </w:rPr>
        <w:t>军工产品定型程序和要求》和</w:t>
      </w:r>
      <w:r>
        <w:rPr>
          <w:rFonts w:ascii="Times New Roman" w:hAnsi="Times New Roman" w:eastAsia="Times New Roman" w:cs="Times New Roman"/>
          <w:spacing w:val="-8"/>
          <w:sz w:val="28"/>
          <w:szCs w:val="28"/>
        </w:rPr>
        <w:t>GJB6177—2007</w:t>
      </w:r>
      <w:r>
        <w:rPr>
          <w:rFonts w:ascii="宋体" w:hAnsi="宋体" w:eastAsia="宋体" w:cs="宋体"/>
          <w:spacing w:val="-8"/>
          <w:sz w:val="28"/>
          <w:szCs w:val="28"/>
        </w:rPr>
        <w:t>《</w:t>
      </w:r>
      <w:r>
        <w:rPr>
          <w:rFonts w:ascii="楷体" w:hAnsi="楷体" w:eastAsia="楷体" w:cs="楷体"/>
          <w:spacing w:val="-8"/>
          <w:sz w:val="28"/>
          <w:szCs w:val="28"/>
        </w:rPr>
        <w:t>军</w:t>
      </w:r>
    </w:p>
    <w:p w14:paraId="6103D165">
      <w:pPr>
        <w:spacing w:before="78" w:line="223" w:lineRule="auto"/>
        <w:ind w:left="3"/>
        <w:rPr>
          <w:rFonts w:ascii="楷体" w:hAnsi="楷体" w:eastAsia="楷体" w:cs="楷体"/>
          <w:sz w:val="28"/>
          <w:szCs w:val="28"/>
        </w:rPr>
      </w:pPr>
      <w:r>
        <w:rPr>
          <w:rFonts w:ascii="楷体" w:hAnsi="楷体" w:eastAsia="楷体" w:cs="楷体"/>
          <w:b/>
          <w:bCs/>
          <w:spacing w:val="-16"/>
          <w:sz w:val="28"/>
          <w:szCs w:val="28"/>
        </w:rPr>
        <w:t>工产品定型部队试验试用大纲通用要求》编写。</w:t>
      </w:r>
    </w:p>
    <w:p w14:paraId="52C06402">
      <w:pPr>
        <w:spacing w:before="125" w:line="221"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40"/>
          <w:sz w:val="25"/>
          <w:szCs w:val="25"/>
        </w:rPr>
        <w:t xml:space="preserve">  </w:t>
      </w:r>
      <w:r>
        <w:rPr>
          <w:rFonts w:ascii="黑体" w:hAnsi="黑体" w:eastAsia="黑体" w:cs="黑体"/>
          <w:b/>
          <w:bCs/>
          <w:spacing w:val="14"/>
          <w:sz w:val="25"/>
          <w:szCs w:val="25"/>
        </w:rPr>
        <w:t>编制依据</w:t>
      </w:r>
    </w:p>
    <w:p w14:paraId="0F219773">
      <w:pPr>
        <w:spacing w:before="88" w:line="303" w:lineRule="auto"/>
        <w:ind w:right="23" w:firstLine="529"/>
        <w:rPr>
          <w:rFonts w:ascii="宋体" w:hAnsi="宋体" w:eastAsia="宋体" w:cs="宋体"/>
          <w:sz w:val="27"/>
          <w:szCs w:val="27"/>
        </w:rPr>
      </w:pPr>
      <w:r>
        <w:rPr>
          <w:rFonts w:ascii="宋体" w:hAnsi="宋体" w:eastAsia="宋体" w:cs="宋体"/>
          <w:spacing w:val="-3"/>
          <w:sz w:val="27"/>
          <w:szCs w:val="27"/>
        </w:rPr>
        <w:t>说明编制设计定型试验大纲的依据，主要包括研制总要求，通用规范，产品</w:t>
      </w:r>
      <w:r>
        <w:rPr>
          <w:rFonts w:ascii="宋体" w:hAnsi="宋体" w:eastAsia="宋体" w:cs="宋体"/>
          <w:spacing w:val="5"/>
          <w:sz w:val="27"/>
          <w:szCs w:val="27"/>
        </w:rPr>
        <w:t xml:space="preserve"> </w:t>
      </w:r>
      <w:r>
        <w:rPr>
          <w:rFonts w:ascii="宋体" w:hAnsi="宋体" w:eastAsia="宋体" w:cs="宋体"/>
          <w:spacing w:val="-10"/>
          <w:sz w:val="27"/>
          <w:szCs w:val="27"/>
        </w:rPr>
        <w:t>规范，有关试验规范等。</w:t>
      </w:r>
    </w:p>
    <w:p w14:paraId="12DB7252">
      <w:pPr>
        <w:spacing w:before="17" w:line="222" w:lineRule="auto"/>
        <w:rPr>
          <w:rFonts w:ascii="黑体" w:hAnsi="黑体" w:eastAsia="黑体" w:cs="黑体"/>
          <w:sz w:val="24"/>
          <w:szCs w:val="24"/>
        </w:rPr>
      </w:pPr>
      <w:r>
        <w:rPr>
          <w:rFonts w:ascii="黑体" w:hAnsi="黑体" w:eastAsia="黑体" w:cs="黑体"/>
          <w:spacing w:val="27"/>
          <w:sz w:val="24"/>
          <w:szCs w:val="24"/>
        </w:rPr>
        <w:t>2</w:t>
      </w:r>
      <w:r>
        <w:rPr>
          <w:rFonts w:ascii="黑体" w:hAnsi="黑体" w:eastAsia="黑体" w:cs="黑体"/>
          <w:spacing w:val="45"/>
          <w:sz w:val="24"/>
          <w:szCs w:val="24"/>
        </w:rPr>
        <w:t xml:space="preserve">  </w:t>
      </w:r>
      <w:r>
        <w:rPr>
          <w:rFonts w:ascii="黑体" w:hAnsi="黑体" w:eastAsia="黑体" w:cs="黑体"/>
          <w:b/>
          <w:bCs/>
          <w:spacing w:val="27"/>
          <w:sz w:val="24"/>
          <w:szCs w:val="24"/>
        </w:rPr>
        <w:t>确定大纲主要内容的理由</w:t>
      </w:r>
    </w:p>
    <w:p w14:paraId="59AD9872">
      <w:pPr>
        <w:spacing w:before="117" w:line="304" w:lineRule="auto"/>
        <w:ind w:right="14" w:firstLine="529"/>
        <w:jc w:val="both"/>
        <w:rPr>
          <w:rFonts w:ascii="宋体" w:hAnsi="宋体" w:eastAsia="宋体" w:cs="宋体"/>
          <w:sz w:val="25"/>
          <w:szCs w:val="25"/>
        </w:rPr>
      </w:pPr>
      <w:r>
        <w:rPr>
          <w:rFonts w:ascii="宋体" w:hAnsi="宋体" w:eastAsia="宋体" w:cs="宋体"/>
          <w:spacing w:val="35"/>
          <w:sz w:val="25"/>
          <w:szCs w:val="25"/>
        </w:rPr>
        <w:t>说明确定设计定型试验大纲主要内容的理由。</w:t>
      </w:r>
      <w:r>
        <w:rPr>
          <w:rFonts w:ascii="宋体" w:hAnsi="宋体" w:eastAsia="宋体" w:cs="宋体"/>
          <w:spacing w:val="34"/>
          <w:sz w:val="25"/>
          <w:szCs w:val="25"/>
        </w:rPr>
        <w:t>对于有明确规定的试验项</w:t>
      </w:r>
      <w:r>
        <w:rPr>
          <w:rFonts w:ascii="宋体" w:hAnsi="宋体" w:eastAsia="宋体" w:cs="宋体"/>
          <w:sz w:val="25"/>
          <w:szCs w:val="25"/>
        </w:rPr>
        <w:t xml:space="preserve"> </w:t>
      </w:r>
      <w:r>
        <w:rPr>
          <w:rFonts w:ascii="宋体" w:hAnsi="宋体" w:eastAsia="宋体" w:cs="宋体"/>
          <w:spacing w:val="9"/>
          <w:sz w:val="25"/>
          <w:szCs w:val="25"/>
        </w:rPr>
        <w:t>目、内容和方法，可简要说明依据文件；对于没有明确规定的试验项目、内容和方</w:t>
      </w:r>
      <w:r>
        <w:rPr>
          <w:rFonts w:ascii="宋体" w:hAnsi="宋体" w:eastAsia="宋体" w:cs="宋体"/>
          <w:spacing w:val="4"/>
          <w:sz w:val="25"/>
          <w:szCs w:val="25"/>
        </w:rPr>
        <w:t xml:space="preserve"> </w:t>
      </w:r>
      <w:r>
        <w:rPr>
          <w:rFonts w:ascii="宋体" w:hAnsi="宋体" w:eastAsia="宋体" w:cs="宋体"/>
          <w:spacing w:val="8"/>
          <w:sz w:val="25"/>
          <w:szCs w:val="25"/>
        </w:rPr>
        <w:t>法，应详细说明理由。</w:t>
      </w:r>
    </w:p>
    <w:p w14:paraId="062AEE7E">
      <w:pPr>
        <w:pStyle w:val="2"/>
        <w:spacing w:before="1" w:line="220" w:lineRule="auto"/>
        <w:rPr>
          <w:rFonts w:ascii="黑体" w:hAnsi="黑体" w:eastAsia="黑体" w:cs="黑体"/>
          <w:sz w:val="27"/>
          <w:szCs w:val="27"/>
        </w:rPr>
      </w:pPr>
      <w:r>
        <w:rPr>
          <w:b/>
          <w:bCs/>
          <w:spacing w:val="1"/>
          <w:sz w:val="27"/>
          <w:szCs w:val="27"/>
        </w:rPr>
        <w:t>3</w:t>
      </w:r>
      <w:r>
        <w:rPr>
          <w:b/>
          <w:bCs/>
          <w:spacing w:val="27"/>
          <w:w w:val="101"/>
          <w:sz w:val="27"/>
          <w:szCs w:val="27"/>
        </w:rPr>
        <w:t xml:space="preserve">   </w:t>
      </w:r>
      <w:r>
        <w:rPr>
          <w:rFonts w:ascii="黑体" w:hAnsi="黑体" w:eastAsia="黑体" w:cs="黑体"/>
          <w:b/>
          <w:bCs/>
          <w:spacing w:val="1"/>
          <w:sz w:val="27"/>
          <w:szCs w:val="27"/>
        </w:rPr>
        <w:t>对试验项目及考核内容进行剪裁的依据和理由</w:t>
      </w:r>
    </w:p>
    <w:p w14:paraId="65361E71">
      <w:pPr>
        <w:spacing w:before="102" w:line="299" w:lineRule="auto"/>
        <w:ind w:right="38" w:firstLine="529"/>
        <w:rPr>
          <w:rFonts w:ascii="宋体" w:hAnsi="宋体" w:eastAsia="宋体" w:cs="宋体"/>
          <w:sz w:val="27"/>
          <w:szCs w:val="27"/>
        </w:rPr>
      </w:pPr>
      <w:r>
        <w:rPr>
          <w:rFonts w:ascii="宋体" w:hAnsi="宋体" w:eastAsia="宋体" w:cs="宋体"/>
          <w:spacing w:val="-3"/>
          <w:sz w:val="27"/>
          <w:szCs w:val="27"/>
        </w:rPr>
        <w:t>当试验项目及考核内容与相关国家标准、国家军用标</w:t>
      </w:r>
      <w:r>
        <w:rPr>
          <w:rFonts w:ascii="宋体" w:hAnsi="宋体" w:eastAsia="宋体" w:cs="宋体"/>
          <w:spacing w:val="-4"/>
          <w:sz w:val="27"/>
          <w:szCs w:val="27"/>
        </w:rPr>
        <w:t>准不一致，进行了剪裁</w:t>
      </w:r>
      <w:r>
        <w:rPr>
          <w:rFonts w:ascii="宋体" w:hAnsi="宋体" w:eastAsia="宋体" w:cs="宋体"/>
          <w:sz w:val="27"/>
          <w:szCs w:val="27"/>
        </w:rPr>
        <w:t xml:space="preserve"> </w:t>
      </w:r>
      <w:r>
        <w:rPr>
          <w:rFonts w:ascii="宋体" w:hAnsi="宋体" w:eastAsia="宋体" w:cs="宋体"/>
          <w:spacing w:val="-1"/>
          <w:sz w:val="27"/>
          <w:szCs w:val="27"/>
        </w:rPr>
        <w:t>时，应说明对试验项目及考核内容进行剪裁的依据和理由。</w:t>
      </w:r>
    </w:p>
    <w:p w14:paraId="1A3BE504">
      <w:pPr>
        <w:spacing w:before="1" w:line="220" w:lineRule="auto"/>
        <w:rPr>
          <w:rFonts w:ascii="黑体" w:hAnsi="黑体" w:eastAsia="黑体" w:cs="黑体"/>
          <w:sz w:val="24"/>
          <w:szCs w:val="24"/>
        </w:rPr>
      </w:pPr>
      <w:r>
        <w:rPr>
          <w:rFonts w:ascii="黑体" w:hAnsi="黑体" w:eastAsia="黑体" w:cs="黑体"/>
          <w:spacing w:val="19"/>
          <w:sz w:val="24"/>
          <w:szCs w:val="24"/>
        </w:rPr>
        <w:t>4</w:t>
      </w:r>
      <w:r>
        <w:rPr>
          <w:rFonts w:ascii="黑体" w:hAnsi="黑体" w:eastAsia="黑体" w:cs="黑体"/>
          <w:spacing w:val="39"/>
          <w:sz w:val="24"/>
          <w:szCs w:val="24"/>
        </w:rPr>
        <w:t xml:space="preserve">  </w:t>
      </w:r>
      <w:r>
        <w:rPr>
          <w:rFonts w:ascii="黑体" w:hAnsi="黑体" w:eastAsia="黑体" w:cs="黑体"/>
          <w:b/>
          <w:bCs/>
          <w:spacing w:val="19"/>
          <w:sz w:val="24"/>
          <w:szCs w:val="24"/>
        </w:rPr>
        <w:t>编制过程</w:t>
      </w:r>
    </w:p>
    <w:p w14:paraId="3882E43F">
      <w:pPr>
        <w:spacing w:before="87" w:line="304" w:lineRule="auto"/>
        <w:ind w:right="38" w:firstLine="529"/>
        <w:rPr>
          <w:rFonts w:ascii="宋体" w:hAnsi="宋体" w:eastAsia="宋体" w:cs="宋体"/>
          <w:sz w:val="27"/>
          <w:szCs w:val="27"/>
        </w:rPr>
      </w:pPr>
      <w:r>
        <w:rPr>
          <w:rFonts w:ascii="宋体" w:hAnsi="宋体" w:eastAsia="宋体" w:cs="宋体"/>
          <w:spacing w:val="-3"/>
          <w:sz w:val="27"/>
          <w:szCs w:val="27"/>
        </w:rPr>
        <w:t>概要介绍编制过程，包括编制起止时间，组织和参与</w:t>
      </w:r>
      <w:r>
        <w:rPr>
          <w:rFonts w:ascii="宋体" w:hAnsi="宋体" w:eastAsia="宋体" w:cs="宋体"/>
          <w:spacing w:val="-4"/>
          <w:sz w:val="27"/>
          <w:szCs w:val="27"/>
        </w:rPr>
        <w:t>编制的单位，以及征求</w:t>
      </w:r>
      <w:r>
        <w:rPr>
          <w:rFonts w:ascii="宋体" w:hAnsi="宋体" w:eastAsia="宋体" w:cs="宋体"/>
          <w:sz w:val="27"/>
          <w:szCs w:val="27"/>
        </w:rPr>
        <w:t xml:space="preserve"> </w:t>
      </w:r>
      <w:r>
        <w:rPr>
          <w:rFonts w:ascii="宋体" w:hAnsi="宋体" w:eastAsia="宋体" w:cs="宋体"/>
          <w:spacing w:val="-14"/>
          <w:sz w:val="27"/>
          <w:szCs w:val="27"/>
        </w:rPr>
        <w:t>意见、修改等情况。</w:t>
      </w:r>
    </w:p>
    <w:p w14:paraId="0D16F893">
      <w:pPr>
        <w:spacing w:line="304" w:lineRule="auto"/>
        <w:rPr>
          <w:rFonts w:ascii="宋体" w:hAnsi="宋体" w:eastAsia="宋体" w:cs="宋体"/>
          <w:sz w:val="27"/>
          <w:szCs w:val="27"/>
        </w:rPr>
        <w:sectPr>
          <w:footerReference r:id="rId128" w:type="default"/>
          <w:pgSz w:w="11910" w:h="17130"/>
          <w:pgMar w:top="400" w:right="1349" w:bottom="1620" w:left="1190" w:header="0" w:footer="1412" w:gutter="0"/>
          <w:cols w:space="720" w:num="1"/>
        </w:sectPr>
      </w:pPr>
    </w:p>
    <w:p w14:paraId="20B308DC">
      <w:pPr>
        <w:pStyle w:val="2"/>
        <w:spacing w:line="254" w:lineRule="auto"/>
      </w:pPr>
    </w:p>
    <w:p w14:paraId="0D5FF864">
      <w:pPr>
        <w:pStyle w:val="2"/>
        <w:spacing w:line="254" w:lineRule="auto"/>
      </w:pPr>
    </w:p>
    <w:p w14:paraId="14E7F3A5">
      <w:pPr>
        <w:pStyle w:val="2"/>
        <w:spacing w:line="254" w:lineRule="auto"/>
      </w:pPr>
    </w:p>
    <w:p w14:paraId="7453B126">
      <w:pPr>
        <w:pStyle w:val="2"/>
        <w:spacing w:line="254" w:lineRule="auto"/>
      </w:pPr>
    </w:p>
    <w:p w14:paraId="4ADF1E26">
      <w:pPr>
        <w:pStyle w:val="2"/>
        <w:spacing w:line="255" w:lineRule="auto"/>
      </w:pPr>
    </w:p>
    <w:p w14:paraId="25C42110">
      <w:pPr>
        <w:spacing w:before="117" w:line="218" w:lineRule="auto"/>
        <w:ind w:left="2660"/>
        <w:outlineLvl w:val="1"/>
        <w:rPr>
          <w:rFonts w:ascii="宋体" w:hAnsi="宋体" w:eastAsia="宋体" w:cs="宋体"/>
          <w:sz w:val="36"/>
          <w:szCs w:val="36"/>
        </w:rPr>
      </w:pPr>
      <w:bookmarkStart w:id="75" w:name="bookmark39"/>
      <w:bookmarkEnd w:id="75"/>
      <w:r>
        <w:rPr>
          <w:rFonts w:ascii="宋体" w:hAnsi="宋体" w:eastAsia="宋体" w:cs="宋体"/>
          <w:spacing w:val="2"/>
          <w:sz w:val="36"/>
          <w:szCs w:val="36"/>
        </w:rPr>
        <w:t xml:space="preserve">1.37  </w:t>
      </w:r>
      <w:r>
        <w:rPr>
          <w:rFonts w:ascii="宋体" w:hAnsi="宋体" w:eastAsia="宋体" w:cs="宋体"/>
          <w:b/>
          <w:bCs/>
          <w:spacing w:val="2"/>
          <w:sz w:val="36"/>
          <w:szCs w:val="36"/>
        </w:rPr>
        <w:t>设计定型试验报告</w:t>
      </w:r>
    </w:p>
    <w:p w14:paraId="5C548D51">
      <w:pPr>
        <w:pStyle w:val="2"/>
        <w:spacing w:line="349" w:lineRule="auto"/>
      </w:pPr>
    </w:p>
    <w:p w14:paraId="310E7434">
      <w:pPr>
        <w:spacing w:before="91" w:line="223" w:lineRule="auto"/>
        <w:ind w:left="529"/>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35"/>
          <w:w w:val="101"/>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2C0305B1">
      <w:pPr>
        <w:spacing w:before="81" w:line="221"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7"/>
          <w:sz w:val="27"/>
          <w:szCs w:val="27"/>
        </w:rPr>
        <w:t xml:space="preserve">  </w:t>
      </w:r>
      <w:r>
        <w:rPr>
          <w:rFonts w:ascii="黑体" w:hAnsi="黑体" w:eastAsia="黑体" w:cs="黑体"/>
          <w:b/>
          <w:bCs/>
          <w:spacing w:val="-3"/>
          <w:sz w:val="27"/>
          <w:szCs w:val="27"/>
        </w:rPr>
        <w:t>试验概况</w:t>
      </w:r>
    </w:p>
    <w:p w14:paraId="6F27007B">
      <w:pPr>
        <w:spacing w:before="83" w:line="219" w:lineRule="auto"/>
        <w:ind w:left="529"/>
        <w:rPr>
          <w:rFonts w:ascii="宋体" w:hAnsi="宋体" w:eastAsia="宋体" w:cs="宋体"/>
          <w:sz w:val="27"/>
          <w:szCs w:val="27"/>
        </w:rPr>
      </w:pPr>
      <w:r>
        <w:rPr>
          <w:rFonts w:ascii="宋体" w:hAnsi="宋体" w:eastAsia="宋体" w:cs="宋体"/>
          <w:spacing w:val="-4"/>
          <w:sz w:val="27"/>
          <w:szCs w:val="27"/>
        </w:rPr>
        <w:t>概要描述试验情况，通常应有以下内容：</w:t>
      </w:r>
    </w:p>
    <w:p w14:paraId="4566CB1A">
      <w:pPr>
        <w:spacing w:before="117" w:line="219" w:lineRule="auto"/>
        <w:ind w:left="529"/>
        <w:rPr>
          <w:rFonts w:ascii="宋体" w:hAnsi="宋体" w:eastAsia="宋体" w:cs="宋体"/>
          <w:sz w:val="24"/>
          <w:szCs w:val="24"/>
        </w:rPr>
      </w:pPr>
      <w:r>
        <w:rPr>
          <w:rFonts w:ascii="Times New Roman" w:hAnsi="Times New Roman" w:eastAsia="Times New Roman" w:cs="Times New Roman"/>
          <w:spacing w:val="18"/>
          <w:sz w:val="24"/>
          <w:szCs w:val="24"/>
        </w:rPr>
        <w:t>a</w:t>
      </w:r>
      <w:r>
        <w:rPr>
          <w:rFonts w:ascii="Times New Roman" w:hAnsi="Times New Roman" w:eastAsia="Times New Roman" w:cs="Times New Roman"/>
          <w:spacing w:val="-8"/>
          <w:sz w:val="24"/>
          <w:szCs w:val="24"/>
        </w:rPr>
        <w:t xml:space="preserve"> </w:t>
      </w:r>
      <w:r>
        <w:rPr>
          <w:rFonts w:ascii="宋体" w:hAnsi="宋体" w:eastAsia="宋体" w:cs="宋体"/>
          <w:spacing w:val="18"/>
          <w:sz w:val="24"/>
          <w:szCs w:val="24"/>
        </w:rPr>
        <w:t>)</w:t>
      </w:r>
      <w:r>
        <w:rPr>
          <w:rFonts w:ascii="宋体" w:hAnsi="宋体" w:eastAsia="宋体" w:cs="宋体"/>
          <w:spacing w:val="-40"/>
          <w:sz w:val="24"/>
          <w:szCs w:val="24"/>
        </w:rPr>
        <w:t xml:space="preserve"> </w:t>
      </w:r>
      <w:r>
        <w:rPr>
          <w:rFonts w:ascii="宋体" w:hAnsi="宋体" w:eastAsia="宋体" w:cs="宋体"/>
          <w:spacing w:val="18"/>
          <w:sz w:val="24"/>
          <w:szCs w:val="24"/>
        </w:rPr>
        <w:t>试验任务来源、依据及代号；</w:t>
      </w:r>
    </w:p>
    <w:p w14:paraId="264E3B2A">
      <w:pPr>
        <w:spacing w:before="68" w:line="212" w:lineRule="auto"/>
        <w:ind w:left="529"/>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被试品代号和名称；</w:t>
      </w:r>
    </w:p>
    <w:p w14:paraId="5736E507">
      <w:pPr>
        <w:spacing w:before="100" w:line="212" w:lineRule="auto"/>
        <w:ind w:left="529"/>
        <w:rPr>
          <w:rFonts w:ascii="宋体" w:hAnsi="宋体" w:eastAsia="宋体" w:cs="宋体"/>
          <w:sz w:val="27"/>
          <w:szCs w:val="27"/>
        </w:rPr>
      </w:pPr>
      <w:r>
        <w:rPr>
          <w:rFonts w:ascii="Times New Roman" w:hAnsi="Times New Roman" w:eastAsia="Times New Roman" w:cs="Times New Roman"/>
          <w:spacing w:val="2"/>
          <w:sz w:val="27"/>
          <w:szCs w:val="27"/>
        </w:rPr>
        <w:t xml:space="preserve">c)  </w:t>
      </w:r>
      <w:r>
        <w:rPr>
          <w:rFonts w:ascii="宋体" w:hAnsi="宋体" w:eastAsia="宋体" w:cs="宋体"/>
          <w:spacing w:val="2"/>
          <w:sz w:val="27"/>
          <w:szCs w:val="27"/>
        </w:rPr>
        <w:t>承试单位和参试单位名称；</w:t>
      </w:r>
    </w:p>
    <w:p w14:paraId="4FB2973D">
      <w:pPr>
        <w:spacing w:before="90" w:line="212" w:lineRule="auto"/>
        <w:ind w:left="529"/>
        <w:rPr>
          <w:rFonts w:ascii="宋体" w:hAnsi="宋体" w:eastAsia="宋体" w:cs="宋体"/>
          <w:sz w:val="27"/>
          <w:szCs w:val="27"/>
        </w:rPr>
      </w:pPr>
      <w:r>
        <w:rPr>
          <w:rFonts w:ascii="Times New Roman" w:hAnsi="Times New Roman" w:eastAsia="Times New Roman" w:cs="Times New Roman"/>
          <w:spacing w:val="-6"/>
          <w:sz w:val="27"/>
          <w:szCs w:val="27"/>
        </w:rPr>
        <w:t xml:space="preserve">d)  </w:t>
      </w:r>
      <w:r>
        <w:rPr>
          <w:rFonts w:ascii="宋体" w:hAnsi="宋体" w:eastAsia="宋体" w:cs="宋体"/>
          <w:spacing w:val="-6"/>
          <w:sz w:val="27"/>
          <w:szCs w:val="27"/>
        </w:rPr>
        <w:t>试验性质、目的和任务；</w:t>
      </w:r>
    </w:p>
    <w:p w14:paraId="27F7944C">
      <w:pPr>
        <w:spacing w:before="131" w:line="220" w:lineRule="auto"/>
        <w:ind w:left="529"/>
        <w:rPr>
          <w:rFonts w:ascii="宋体" w:hAnsi="宋体" w:eastAsia="宋体" w:cs="宋体"/>
          <w:sz w:val="27"/>
          <w:szCs w:val="27"/>
        </w:rPr>
      </w:pPr>
      <w:r>
        <w:rPr>
          <w:rFonts w:ascii="Times New Roman" w:hAnsi="Times New Roman" w:eastAsia="Times New Roman" w:cs="Times New Roman"/>
          <w:spacing w:val="-1"/>
          <w:sz w:val="27"/>
          <w:szCs w:val="27"/>
        </w:rPr>
        <w:t>e</w:t>
      </w:r>
      <w:r>
        <w:rPr>
          <w:rFonts w:ascii="宋体" w:hAnsi="宋体" w:eastAsia="宋体" w:cs="宋体"/>
          <w:spacing w:val="-1"/>
          <w:sz w:val="27"/>
          <w:szCs w:val="27"/>
        </w:rPr>
        <w:t>)试验地点、起止时间；</w:t>
      </w:r>
    </w:p>
    <w:p w14:paraId="11105975">
      <w:pPr>
        <w:spacing w:before="67" w:line="212" w:lineRule="auto"/>
        <w:ind w:left="529"/>
        <w:rPr>
          <w:rFonts w:ascii="宋体" w:hAnsi="宋体" w:eastAsia="宋体" w:cs="宋体"/>
          <w:sz w:val="27"/>
          <w:szCs w:val="27"/>
        </w:rPr>
      </w:pPr>
      <w:r>
        <w:rPr>
          <w:rFonts w:ascii="Times New Roman" w:hAnsi="Times New Roman" w:eastAsia="Times New Roman" w:cs="Times New Roman"/>
          <w:spacing w:val="3"/>
          <w:sz w:val="27"/>
          <w:szCs w:val="27"/>
        </w:rPr>
        <w:t>f)</w:t>
      </w:r>
      <w:r>
        <w:rPr>
          <w:rFonts w:ascii="Times New Roman" w:hAnsi="Times New Roman" w:eastAsia="Times New Roman" w:cs="Times New Roman"/>
          <w:spacing w:val="76"/>
          <w:w w:val="101"/>
          <w:sz w:val="27"/>
          <w:szCs w:val="27"/>
        </w:rPr>
        <w:t xml:space="preserve"> </w:t>
      </w:r>
      <w:r>
        <w:rPr>
          <w:rFonts w:ascii="宋体" w:hAnsi="宋体" w:eastAsia="宋体" w:cs="宋体"/>
          <w:spacing w:val="3"/>
          <w:sz w:val="27"/>
          <w:szCs w:val="27"/>
        </w:rPr>
        <w:t>试验组织机构的设立及其职责分工情况；</w:t>
      </w:r>
    </w:p>
    <w:p w14:paraId="3A7DBF21">
      <w:pPr>
        <w:spacing w:before="131" w:line="212" w:lineRule="auto"/>
        <w:ind w:left="529"/>
        <w:rPr>
          <w:rFonts w:ascii="宋体" w:hAnsi="宋体" w:eastAsia="宋体" w:cs="宋体"/>
          <w:sz w:val="24"/>
          <w:szCs w:val="24"/>
        </w:rPr>
      </w:pPr>
      <w:r>
        <w:rPr>
          <w:rFonts w:ascii="Times New Roman" w:hAnsi="Times New Roman" w:eastAsia="Times New Roman" w:cs="Times New Roman"/>
          <w:spacing w:val="27"/>
          <w:sz w:val="24"/>
          <w:szCs w:val="24"/>
        </w:rPr>
        <w:t xml:space="preserve">g </w:t>
      </w:r>
      <w:r>
        <w:rPr>
          <w:rFonts w:ascii="宋体" w:hAnsi="宋体" w:eastAsia="宋体" w:cs="宋体"/>
          <w:spacing w:val="27"/>
          <w:sz w:val="24"/>
          <w:szCs w:val="24"/>
        </w:rPr>
        <w:t>)</w:t>
      </w:r>
      <w:r>
        <w:rPr>
          <w:rFonts w:ascii="宋体" w:hAnsi="宋体" w:eastAsia="宋体" w:cs="宋体"/>
          <w:spacing w:val="-38"/>
          <w:sz w:val="24"/>
          <w:szCs w:val="24"/>
        </w:rPr>
        <w:t xml:space="preserve"> </w:t>
      </w:r>
      <w:r>
        <w:rPr>
          <w:rFonts w:ascii="宋体" w:hAnsi="宋体" w:eastAsia="宋体" w:cs="宋体"/>
          <w:spacing w:val="27"/>
          <w:sz w:val="24"/>
          <w:szCs w:val="24"/>
        </w:rPr>
        <w:t>试验实施计划的制定和落实情况；</w:t>
      </w:r>
    </w:p>
    <w:p w14:paraId="3B623BA3">
      <w:pPr>
        <w:spacing w:before="93" w:line="212" w:lineRule="auto"/>
        <w:ind w:left="529"/>
        <w:rPr>
          <w:rFonts w:ascii="宋体" w:hAnsi="宋体" w:eastAsia="宋体" w:cs="宋体"/>
          <w:sz w:val="27"/>
          <w:szCs w:val="27"/>
        </w:rPr>
      </w:pPr>
      <w:r>
        <w:rPr>
          <w:rFonts w:ascii="Times New Roman" w:hAnsi="Times New Roman" w:eastAsia="Times New Roman" w:cs="Times New Roman"/>
          <w:spacing w:val="-7"/>
          <w:sz w:val="27"/>
          <w:szCs w:val="27"/>
        </w:rPr>
        <w:t xml:space="preserve">h)  </w:t>
      </w:r>
      <w:r>
        <w:rPr>
          <w:rFonts w:ascii="宋体" w:hAnsi="宋体" w:eastAsia="宋体" w:cs="宋体"/>
          <w:spacing w:val="-7"/>
          <w:sz w:val="27"/>
          <w:szCs w:val="27"/>
        </w:rPr>
        <w:t>试验阶段划分，各阶段的起止时间、地点(地域)、主要工作和</w:t>
      </w:r>
      <w:r>
        <w:rPr>
          <w:rFonts w:ascii="宋体" w:hAnsi="宋体" w:eastAsia="宋体" w:cs="宋体"/>
          <w:spacing w:val="-8"/>
          <w:sz w:val="27"/>
          <w:szCs w:val="27"/>
        </w:rPr>
        <w:t>目的；</w:t>
      </w:r>
    </w:p>
    <w:p w14:paraId="5AA68A43">
      <w:pPr>
        <w:spacing w:before="90" w:line="212" w:lineRule="auto"/>
        <w:ind w:left="529"/>
        <w:rPr>
          <w:rFonts w:ascii="宋体" w:hAnsi="宋体" w:eastAsia="宋体" w:cs="宋体"/>
          <w:sz w:val="27"/>
          <w:szCs w:val="27"/>
        </w:rPr>
      </w:pPr>
      <w:r>
        <w:rPr>
          <w:rFonts w:ascii="Times New Roman" w:hAnsi="Times New Roman" w:eastAsia="Times New Roman" w:cs="Times New Roman"/>
          <w:spacing w:val="3"/>
          <w:sz w:val="27"/>
          <w:szCs w:val="27"/>
        </w:rPr>
        <w:t>i)</w:t>
      </w:r>
      <w:r>
        <w:rPr>
          <w:rFonts w:ascii="Times New Roman" w:hAnsi="Times New Roman" w:eastAsia="Times New Roman" w:cs="Times New Roman"/>
          <w:spacing w:val="80"/>
          <w:sz w:val="27"/>
          <w:szCs w:val="27"/>
        </w:rPr>
        <w:t xml:space="preserve"> </w:t>
      </w:r>
      <w:r>
        <w:rPr>
          <w:rFonts w:ascii="宋体" w:hAnsi="宋体" w:eastAsia="宋体" w:cs="宋体"/>
          <w:spacing w:val="3"/>
          <w:sz w:val="27"/>
          <w:szCs w:val="27"/>
        </w:rPr>
        <w:t>是否完成试验大纲规定的任务等。</w:t>
      </w:r>
    </w:p>
    <w:p w14:paraId="5F1A8C70">
      <w:pPr>
        <w:spacing w:before="124" w:line="221" w:lineRule="auto"/>
        <w:rPr>
          <w:rFonts w:ascii="黑体" w:hAnsi="黑体" w:eastAsia="黑体" w:cs="黑体"/>
          <w:sz w:val="27"/>
          <w:szCs w:val="27"/>
        </w:rPr>
      </w:pPr>
      <w:r>
        <w:rPr>
          <w:rFonts w:ascii="黑体" w:hAnsi="黑体" w:eastAsia="黑体" w:cs="黑体"/>
          <w:spacing w:val="-9"/>
          <w:sz w:val="27"/>
          <w:szCs w:val="27"/>
        </w:rPr>
        <w:t xml:space="preserve">2  </w:t>
      </w:r>
      <w:r>
        <w:rPr>
          <w:rFonts w:ascii="黑体" w:hAnsi="黑体" w:eastAsia="黑体" w:cs="黑体"/>
          <w:b/>
          <w:bCs/>
          <w:spacing w:val="-9"/>
          <w:sz w:val="27"/>
          <w:szCs w:val="27"/>
        </w:rPr>
        <w:t>试验项目、步骤和方法</w:t>
      </w:r>
    </w:p>
    <w:p w14:paraId="7DE99A3E">
      <w:pPr>
        <w:pStyle w:val="2"/>
        <w:spacing w:before="74" w:line="212" w:lineRule="auto"/>
        <w:rPr>
          <w:rFonts w:ascii="黑体" w:hAnsi="黑体" w:eastAsia="黑体" w:cs="黑体"/>
          <w:sz w:val="27"/>
          <w:szCs w:val="27"/>
        </w:rPr>
      </w:pPr>
      <w:r>
        <w:rPr>
          <w:spacing w:val="4"/>
          <w:sz w:val="27"/>
          <w:szCs w:val="27"/>
        </w:rPr>
        <w:t>2.</w:t>
      </w:r>
      <w:r>
        <w:rPr>
          <w:spacing w:val="-11"/>
          <w:sz w:val="27"/>
          <w:szCs w:val="27"/>
        </w:rPr>
        <w:t xml:space="preserve"> </w:t>
      </w:r>
      <w:r>
        <w:rPr>
          <w:spacing w:val="4"/>
          <w:sz w:val="27"/>
          <w:szCs w:val="27"/>
        </w:rPr>
        <w:t>X</w:t>
      </w:r>
      <w:r>
        <w:rPr>
          <w:spacing w:val="23"/>
          <w:sz w:val="27"/>
          <w:szCs w:val="27"/>
        </w:rPr>
        <w:t xml:space="preserve">   </w:t>
      </w:r>
      <w:r>
        <w:rPr>
          <w:rFonts w:ascii="黑体" w:hAnsi="黑体" w:eastAsia="黑体" w:cs="黑体"/>
          <w:b/>
          <w:bCs/>
          <w:spacing w:val="4"/>
          <w:sz w:val="27"/>
          <w:szCs w:val="27"/>
        </w:rPr>
        <w:t>(试验项目</w:t>
      </w:r>
      <w:r>
        <w:rPr>
          <w:b/>
          <w:bCs/>
          <w:spacing w:val="4"/>
          <w:sz w:val="27"/>
          <w:szCs w:val="27"/>
        </w:rPr>
        <w:t>X)</w:t>
      </w:r>
      <w:r>
        <w:rPr>
          <w:b/>
          <w:bCs/>
          <w:spacing w:val="-10"/>
          <w:sz w:val="27"/>
          <w:szCs w:val="27"/>
        </w:rPr>
        <w:t xml:space="preserve"> </w:t>
      </w:r>
      <w:r>
        <w:rPr>
          <w:rFonts w:ascii="黑体" w:hAnsi="黑体" w:eastAsia="黑体" w:cs="黑体"/>
          <w:b/>
          <w:bCs/>
          <w:spacing w:val="4"/>
          <w:sz w:val="27"/>
          <w:szCs w:val="27"/>
        </w:rPr>
        <w:t>的步骤和方法</w:t>
      </w:r>
    </w:p>
    <w:p w14:paraId="55B9FAED">
      <w:pPr>
        <w:spacing w:before="79" w:line="212" w:lineRule="auto"/>
        <w:ind w:left="529"/>
        <w:rPr>
          <w:rFonts w:ascii="宋体" w:hAnsi="宋体" w:eastAsia="宋体" w:cs="宋体"/>
          <w:sz w:val="27"/>
          <w:szCs w:val="27"/>
        </w:rPr>
      </w:pPr>
      <w:r>
        <w:rPr>
          <w:rFonts w:ascii="宋体" w:hAnsi="宋体" w:eastAsia="宋体" w:cs="宋体"/>
          <w:spacing w:val="4"/>
          <w:sz w:val="27"/>
          <w:szCs w:val="27"/>
        </w:rPr>
        <w:t>应按试验大纲的规定，简要叙述(试验项目</w:t>
      </w:r>
      <w:r>
        <w:rPr>
          <w:rFonts w:ascii="Times New Roman" w:hAnsi="Times New Roman" w:eastAsia="Times New Roman" w:cs="Times New Roman"/>
          <w:spacing w:val="4"/>
          <w:sz w:val="27"/>
          <w:szCs w:val="27"/>
        </w:rPr>
        <w:t>X)</w:t>
      </w:r>
      <w:r>
        <w:rPr>
          <w:rFonts w:ascii="宋体" w:hAnsi="宋体" w:eastAsia="宋体" w:cs="宋体"/>
          <w:spacing w:val="4"/>
          <w:sz w:val="27"/>
          <w:szCs w:val="27"/>
        </w:rPr>
        <w:t>的实施</w:t>
      </w:r>
      <w:r>
        <w:rPr>
          <w:rFonts w:ascii="宋体" w:hAnsi="宋体" w:eastAsia="宋体" w:cs="宋体"/>
          <w:spacing w:val="3"/>
          <w:sz w:val="27"/>
          <w:szCs w:val="27"/>
        </w:rPr>
        <w:t>步骤和方法。</w:t>
      </w:r>
    </w:p>
    <w:p w14:paraId="02740865">
      <w:pPr>
        <w:spacing w:before="134"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36"/>
          <w:sz w:val="27"/>
          <w:szCs w:val="27"/>
        </w:rPr>
        <w:t xml:space="preserve"> </w:t>
      </w:r>
      <w:r>
        <w:rPr>
          <w:rFonts w:ascii="黑体" w:hAnsi="黑体" w:eastAsia="黑体" w:cs="黑体"/>
          <w:b/>
          <w:bCs/>
          <w:sz w:val="27"/>
          <w:szCs w:val="27"/>
        </w:rPr>
        <w:t>试验数据</w:t>
      </w:r>
    </w:p>
    <w:p w14:paraId="3FFFC442">
      <w:pPr>
        <w:spacing w:before="91" w:line="219" w:lineRule="auto"/>
        <w:ind w:left="529"/>
        <w:rPr>
          <w:rFonts w:ascii="宋体" w:hAnsi="宋体" w:eastAsia="宋体" w:cs="宋体"/>
          <w:sz w:val="27"/>
          <w:szCs w:val="27"/>
        </w:rPr>
      </w:pPr>
      <w:r>
        <w:rPr>
          <w:rFonts w:ascii="宋体" w:hAnsi="宋体" w:eastAsia="宋体" w:cs="宋体"/>
          <w:spacing w:val="4"/>
          <w:sz w:val="27"/>
          <w:szCs w:val="27"/>
        </w:rPr>
        <w:t>提供各项试验所获得的实测数据(必要时可采用图表形式表示)。</w:t>
      </w:r>
    </w:p>
    <w:p w14:paraId="2517AB1F">
      <w:pPr>
        <w:pStyle w:val="2"/>
        <w:spacing w:before="85" w:line="221" w:lineRule="auto"/>
        <w:rPr>
          <w:rFonts w:ascii="黑体" w:hAnsi="黑体" w:eastAsia="黑体" w:cs="黑体"/>
          <w:sz w:val="27"/>
          <w:szCs w:val="27"/>
        </w:rPr>
      </w:pPr>
      <w:r>
        <w:rPr>
          <w:b/>
          <w:bCs/>
          <w:spacing w:val="3"/>
          <w:sz w:val="27"/>
          <w:szCs w:val="27"/>
        </w:rPr>
        <w:t xml:space="preserve">4   </w:t>
      </w:r>
      <w:r>
        <w:rPr>
          <w:rFonts w:ascii="黑体" w:hAnsi="黑体" w:eastAsia="黑体" w:cs="黑体"/>
          <w:b/>
          <w:bCs/>
          <w:spacing w:val="3"/>
          <w:sz w:val="27"/>
          <w:szCs w:val="27"/>
        </w:rPr>
        <w:t>试验中出现的主要技术问题及处理情况</w:t>
      </w:r>
    </w:p>
    <w:p w14:paraId="32F5E8E1">
      <w:pPr>
        <w:spacing w:before="84" w:line="278" w:lineRule="auto"/>
        <w:ind w:right="10" w:firstLine="529"/>
        <w:rPr>
          <w:rFonts w:ascii="宋体" w:hAnsi="宋体" w:eastAsia="宋体" w:cs="宋体"/>
          <w:sz w:val="27"/>
          <w:szCs w:val="27"/>
        </w:rPr>
      </w:pPr>
      <w:r>
        <w:rPr>
          <w:rFonts w:ascii="宋体" w:hAnsi="宋体" w:eastAsia="宋体" w:cs="宋体"/>
          <w:spacing w:val="1"/>
          <w:sz w:val="27"/>
          <w:szCs w:val="27"/>
        </w:rPr>
        <w:t>描述试验中出现的主要技术问题及处理情况，包括问题现象(发生时间、试</w:t>
      </w:r>
      <w:r>
        <w:rPr>
          <w:rFonts w:ascii="宋体" w:hAnsi="宋体" w:eastAsia="宋体" w:cs="宋体"/>
          <w:spacing w:val="11"/>
          <w:sz w:val="27"/>
          <w:szCs w:val="27"/>
        </w:rPr>
        <w:t xml:space="preserve"> </w:t>
      </w:r>
      <w:r>
        <w:rPr>
          <w:rFonts w:ascii="宋体" w:hAnsi="宋体" w:eastAsia="宋体" w:cs="宋体"/>
          <w:spacing w:val="-16"/>
          <w:sz w:val="27"/>
          <w:szCs w:val="27"/>
        </w:rPr>
        <w:t>验项目、技术问题等)、问题原因、解决措施、验证情况等。</w:t>
      </w:r>
    </w:p>
    <w:p w14:paraId="1B013C3F">
      <w:pPr>
        <w:spacing w:before="2" w:line="220" w:lineRule="auto"/>
        <w:rPr>
          <w:rFonts w:ascii="黑体" w:hAnsi="黑体" w:eastAsia="黑体" w:cs="黑体"/>
          <w:sz w:val="27"/>
          <w:szCs w:val="27"/>
        </w:rPr>
      </w:pPr>
      <w:r>
        <w:rPr>
          <w:rFonts w:ascii="黑体" w:hAnsi="黑体" w:eastAsia="黑体" w:cs="黑体"/>
          <w:spacing w:val="-12"/>
          <w:sz w:val="27"/>
          <w:szCs w:val="27"/>
        </w:rPr>
        <w:t xml:space="preserve">5  </w:t>
      </w:r>
      <w:r>
        <w:rPr>
          <w:rFonts w:ascii="黑体" w:hAnsi="黑体" w:eastAsia="黑体" w:cs="黑体"/>
          <w:b/>
          <w:bCs/>
          <w:spacing w:val="-12"/>
          <w:sz w:val="27"/>
          <w:szCs w:val="27"/>
        </w:rPr>
        <w:t>试验结果、结论</w:t>
      </w:r>
    </w:p>
    <w:p w14:paraId="51FB1FD4">
      <w:pPr>
        <w:spacing w:before="76" w:line="221" w:lineRule="auto"/>
        <w:rPr>
          <w:rFonts w:ascii="黑体" w:hAnsi="黑体" w:eastAsia="黑体" w:cs="黑体"/>
          <w:sz w:val="27"/>
          <w:szCs w:val="27"/>
        </w:rPr>
      </w:pPr>
      <w:r>
        <w:rPr>
          <w:rFonts w:ascii="黑体" w:hAnsi="黑体" w:eastAsia="黑体" w:cs="黑体"/>
          <w:sz w:val="27"/>
          <w:szCs w:val="27"/>
        </w:rPr>
        <w:t>5.1</w:t>
      </w:r>
      <w:r>
        <w:rPr>
          <w:rFonts w:ascii="黑体" w:hAnsi="黑体" w:eastAsia="黑体" w:cs="黑体"/>
          <w:spacing w:val="21"/>
          <w:sz w:val="27"/>
          <w:szCs w:val="27"/>
        </w:rPr>
        <w:t xml:space="preserve">  </w:t>
      </w:r>
      <w:r>
        <w:rPr>
          <w:rFonts w:ascii="黑体" w:hAnsi="黑体" w:eastAsia="黑体" w:cs="黑体"/>
          <w:b/>
          <w:bCs/>
          <w:sz w:val="27"/>
          <w:szCs w:val="27"/>
        </w:rPr>
        <w:t>试验结果</w:t>
      </w:r>
    </w:p>
    <w:p w14:paraId="21ACA64E">
      <w:pPr>
        <w:spacing w:before="98" w:line="278" w:lineRule="auto"/>
        <w:ind w:firstLine="529"/>
        <w:jc w:val="both"/>
        <w:rPr>
          <w:rFonts w:ascii="仿宋" w:hAnsi="仿宋" w:eastAsia="仿宋" w:cs="仿宋"/>
          <w:sz w:val="27"/>
          <w:szCs w:val="27"/>
        </w:rPr>
      </w:pPr>
      <w:r>
        <w:rPr>
          <w:rFonts w:ascii="宋体" w:hAnsi="宋体" w:eastAsia="宋体" w:cs="宋体"/>
          <w:spacing w:val="27"/>
          <w:sz w:val="27"/>
          <w:szCs w:val="27"/>
        </w:rPr>
        <w:t>提供各项试验的结果(必要时可采用图表形式表示),</w:t>
      </w:r>
      <w:r>
        <w:rPr>
          <w:rFonts w:ascii="仿宋" w:hAnsi="仿宋" w:eastAsia="仿宋" w:cs="仿宋"/>
          <w:spacing w:val="27"/>
          <w:sz w:val="27"/>
          <w:szCs w:val="27"/>
        </w:rPr>
        <w:t>包括能够实现的</w:t>
      </w:r>
      <w:r>
        <w:rPr>
          <w:rFonts w:ascii="仿宋" w:hAnsi="仿宋" w:eastAsia="仿宋" w:cs="仿宋"/>
          <w:spacing w:val="13"/>
          <w:sz w:val="27"/>
          <w:szCs w:val="27"/>
        </w:rPr>
        <w:t xml:space="preserve"> </w:t>
      </w:r>
      <w:r>
        <w:rPr>
          <w:rFonts w:ascii="宋体" w:hAnsi="宋体" w:eastAsia="宋体" w:cs="宋体"/>
          <w:spacing w:val="32"/>
          <w:sz w:val="27"/>
          <w:szCs w:val="27"/>
        </w:rPr>
        <w:t>功能或能够完成的任务及其完成的程度，未能实现的功能或未能完</w:t>
      </w:r>
      <w:r>
        <w:rPr>
          <w:rFonts w:ascii="宋体" w:hAnsi="宋体" w:eastAsia="宋体" w:cs="宋体"/>
          <w:spacing w:val="31"/>
          <w:sz w:val="27"/>
          <w:szCs w:val="27"/>
        </w:rPr>
        <w:t>成的</w:t>
      </w:r>
      <w:r>
        <w:rPr>
          <w:rFonts w:ascii="宋体" w:hAnsi="宋体" w:eastAsia="宋体" w:cs="宋体"/>
          <w:sz w:val="27"/>
          <w:szCs w:val="27"/>
        </w:rPr>
        <w:t xml:space="preserve"> </w:t>
      </w:r>
      <w:r>
        <w:rPr>
          <w:rFonts w:ascii="仿宋" w:hAnsi="仿宋" w:eastAsia="仿宋" w:cs="仿宋"/>
          <w:spacing w:val="5"/>
          <w:sz w:val="27"/>
          <w:szCs w:val="27"/>
        </w:rPr>
        <w:t>任务。</w:t>
      </w:r>
    </w:p>
    <w:p w14:paraId="392DFD74">
      <w:pPr>
        <w:spacing w:before="1" w:line="220" w:lineRule="auto"/>
        <w:rPr>
          <w:rFonts w:ascii="黑体" w:hAnsi="黑体" w:eastAsia="黑体" w:cs="黑体"/>
          <w:sz w:val="27"/>
          <w:szCs w:val="27"/>
        </w:rPr>
      </w:pPr>
      <w:r>
        <w:rPr>
          <w:rFonts w:ascii="黑体" w:hAnsi="黑体" w:eastAsia="黑体" w:cs="黑体"/>
          <w:spacing w:val="-1"/>
          <w:sz w:val="27"/>
          <w:szCs w:val="27"/>
        </w:rPr>
        <w:t>5.2</w:t>
      </w:r>
      <w:r>
        <w:rPr>
          <w:rFonts w:ascii="黑体" w:hAnsi="黑体" w:eastAsia="黑体" w:cs="黑体"/>
          <w:spacing w:val="22"/>
          <w:sz w:val="27"/>
          <w:szCs w:val="27"/>
        </w:rPr>
        <w:t xml:space="preserve">  </w:t>
      </w:r>
      <w:r>
        <w:rPr>
          <w:rFonts w:ascii="黑体" w:hAnsi="黑体" w:eastAsia="黑体" w:cs="黑体"/>
          <w:b/>
          <w:bCs/>
          <w:spacing w:val="-1"/>
          <w:sz w:val="27"/>
          <w:szCs w:val="27"/>
        </w:rPr>
        <w:t>试验结论</w:t>
      </w:r>
    </w:p>
    <w:p w14:paraId="7362C82B">
      <w:pPr>
        <w:spacing w:before="113" w:line="219" w:lineRule="auto"/>
        <w:ind w:left="529"/>
        <w:rPr>
          <w:rFonts w:ascii="宋体" w:hAnsi="宋体" w:eastAsia="宋体" w:cs="宋体"/>
          <w:sz w:val="27"/>
          <w:szCs w:val="27"/>
        </w:rPr>
      </w:pPr>
      <w:r>
        <w:rPr>
          <w:rFonts w:ascii="宋体" w:hAnsi="宋体" w:eastAsia="宋体" w:cs="宋体"/>
          <w:spacing w:val="-4"/>
          <w:sz w:val="27"/>
          <w:szCs w:val="27"/>
        </w:rPr>
        <w:t>阐述试验结论，明确指出是否符合预定的要求。</w:t>
      </w:r>
    </w:p>
    <w:p w14:paraId="55161CBD">
      <w:pPr>
        <w:spacing w:before="74" w:line="222"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37"/>
          <w:sz w:val="27"/>
          <w:szCs w:val="27"/>
        </w:rPr>
        <w:t xml:space="preserve"> </w:t>
      </w:r>
      <w:r>
        <w:rPr>
          <w:rFonts w:ascii="黑体" w:hAnsi="黑体" w:eastAsia="黑体" w:cs="黑体"/>
          <w:b/>
          <w:bCs/>
          <w:spacing w:val="1"/>
          <w:sz w:val="27"/>
          <w:szCs w:val="27"/>
        </w:rPr>
        <w:t>存在的问题和改进建议</w:t>
      </w:r>
    </w:p>
    <w:p w14:paraId="097E4F83">
      <w:pPr>
        <w:spacing w:before="54" w:line="212" w:lineRule="auto"/>
        <w:rPr>
          <w:rFonts w:ascii="黑体" w:hAnsi="黑体" w:eastAsia="黑体" w:cs="黑体"/>
          <w:sz w:val="27"/>
          <w:szCs w:val="27"/>
        </w:rPr>
      </w:pPr>
      <w:r>
        <w:rPr>
          <w:rFonts w:ascii="黑体" w:hAnsi="黑体" w:eastAsia="黑体" w:cs="黑体"/>
          <w:spacing w:val="7"/>
          <w:sz w:val="27"/>
          <w:szCs w:val="27"/>
        </w:rPr>
        <w:t>6.</w:t>
      </w:r>
      <w:r>
        <w:rPr>
          <w:rFonts w:ascii="Times New Roman" w:hAnsi="Times New Roman" w:eastAsia="Times New Roman" w:cs="Times New Roman"/>
          <w:b/>
          <w:bCs/>
          <w:spacing w:val="7"/>
          <w:sz w:val="27"/>
          <w:szCs w:val="27"/>
        </w:rPr>
        <w:t>X    (</w:t>
      </w:r>
      <w:r>
        <w:rPr>
          <w:rFonts w:ascii="Times New Roman" w:hAnsi="Times New Roman" w:eastAsia="Times New Roman" w:cs="Times New Roman"/>
          <w:b/>
          <w:bCs/>
          <w:spacing w:val="-9"/>
          <w:sz w:val="27"/>
          <w:szCs w:val="27"/>
        </w:rPr>
        <w:t xml:space="preserve"> </w:t>
      </w:r>
      <w:r>
        <w:rPr>
          <w:rFonts w:ascii="黑体" w:hAnsi="黑体" w:eastAsia="黑体" w:cs="黑体"/>
          <w:b/>
          <w:bCs/>
          <w:spacing w:val="7"/>
          <w:sz w:val="27"/>
          <w:szCs w:val="27"/>
        </w:rPr>
        <w:t>存在的问题</w:t>
      </w:r>
      <w:r>
        <w:rPr>
          <w:rFonts w:ascii="Times New Roman" w:hAnsi="Times New Roman" w:eastAsia="Times New Roman" w:cs="Times New Roman"/>
          <w:b/>
          <w:bCs/>
          <w:spacing w:val="7"/>
          <w:sz w:val="27"/>
          <w:szCs w:val="27"/>
        </w:rPr>
        <w:t>X)</w:t>
      </w:r>
      <w:r>
        <w:rPr>
          <w:rFonts w:ascii="黑体" w:hAnsi="黑体" w:eastAsia="黑体" w:cs="黑体"/>
          <w:b/>
          <w:bCs/>
          <w:spacing w:val="7"/>
          <w:sz w:val="27"/>
          <w:szCs w:val="27"/>
        </w:rPr>
        <w:t>改进建议</w:t>
      </w:r>
    </w:p>
    <w:p w14:paraId="7C5DE38F">
      <w:pPr>
        <w:spacing w:before="137" w:line="313" w:lineRule="auto"/>
        <w:ind w:left="60" w:right="11" w:firstLine="469"/>
        <w:rPr>
          <w:rFonts w:ascii="宋体" w:hAnsi="宋体" w:eastAsia="宋体" w:cs="宋体"/>
          <w:sz w:val="25"/>
          <w:szCs w:val="25"/>
        </w:rPr>
      </w:pPr>
      <w:r>
        <w:rPr>
          <w:rFonts w:ascii="宋体" w:hAnsi="宋体" w:eastAsia="宋体" w:cs="宋体"/>
          <w:spacing w:val="25"/>
          <w:sz w:val="25"/>
          <w:szCs w:val="25"/>
        </w:rPr>
        <w:t>对设计定型试验过程中出现的且尚未得到彻底解决的问题提出进一步改进</w:t>
      </w:r>
      <w:r>
        <w:rPr>
          <w:rFonts w:ascii="宋体" w:hAnsi="宋体" w:eastAsia="宋体" w:cs="宋体"/>
          <w:spacing w:val="18"/>
          <w:sz w:val="25"/>
          <w:szCs w:val="25"/>
        </w:rPr>
        <w:t xml:space="preserve"> </w:t>
      </w:r>
      <w:r>
        <w:rPr>
          <w:rFonts w:ascii="宋体" w:hAnsi="宋体" w:eastAsia="宋体" w:cs="宋体"/>
          <w:spacing w:val="8"/>
          <w:sz w:val="25"/>
          <w:szCs w:val="25"/>
        </w:rPr>
        <w:t>的建议。</w:t>
      </w:r>
    </w:p>
    <w:p w14:paraId="0FF7B662">
      <w:pPr>
        <w:spacing w:line="313" w:lineRule="auto"/>
        <w:rPr>
          <w:rFonts w:ascii="宋体" w:hAnsi="宋体" w:eastAsia="宋体" w:cs="宋体"/>
          <w:sz w:val="25"/>
          <w:szCs w:val="25"/>
        </w:rPr>
        <w:sectPr>
          <w:footerReference r:id="rId129" w:type="default"/>
          <w:pgSz w:w="11910" w:h="17130"/>
          <w:pgMar w:top="400" w:right="1038" w:bottom="1710" w:left="1509" w:header="0" w:footer="1503" w:gutter="0"/>
          <w:cols w:space="720" w:num="1"/>
        </w:sectPr>
      </w:pPr>
    </w:p>
    <w:p w14:paraId="1F4B75F5">
      <w:pPr>
        <w:pStyle w:val="2"/>
        <w:spacing w:line="262" w:lineRule="auto"/>
      </w:pPr>
    </w:p>
    <w:p w14:paraId="78872AFA">
      <w:pPr>
        <w:pStyle w:val="2"/>
        <w:spacing w:line="262" w:lineRule="auto"/>
      </w:pPr>
    </w:p>
    <w:p w14:paraId="34E0DB9A">
      <w:pPr>
        <w:pStyle w:val="2"/>
        <w:spacing w:line="263" w:lineRule="auto"/>
      </w:pPr>
    </w:p>
    <w:p w14:paraId="3A66D9EE">
      <w:pPr>
        <w:pStyle w:val="2"/>
        <w:spacing w:line="263" w:lineRule="auto"/>
      </w:pPr>
    </w:p>
    <w:p w14:paraId="2679831E">
      <w:pPr>
        <w:spacing w:before="88" w:line="221" w:lineRule="auto"/>
        <w:rPr>
          <w:rFonts w:ascii="黑体" w:hAnsi="黑体" w:eastAsia="黑体" w:cs="黑体"/>
          <w:sz w:val="27"/>
          <w:szCs w:val="27"/>
        </w:rPr>
      </w:pPr>
      <w:r>
        <w:rPr>
          <w:rFonts w:ascii="黑体" w:hAnsi="黑体" w:eastAsia="黑体" w:cs="黑体"/>
          <w:spacing w:val="1"/>
          <w:sz w:val="27"/>
          <w:szCs w:val="27"/>
        </w:rPr>
        <w:t xml:space="preserve">7  </w:t>
      </w:r>
      <w:r>
        <w:rPr>
          <w:rFonts w:ascii="黑体" w:hAnsi="黑体" w:eastAsia="黑体" w:cs="黑体"/>
          <w:b/>
          <w:bCs/>
          <w:spacing w:val="1"/>
          <w:sz w:val="27"/>
          <w:szCs w:val="27"/>
        </w:rPr>
        <w:t>试验照片</w:t>
      </w:r>
    </w:p>
    <w:p w14:paraId="5314E525">
      <w:pPr>
        <w:spacing w:before="106" w:line="221" w:lineRule="auto"/>
        <w:rPr>
          <w:rFonts w:ascii="黑体" w:hAnsi="黑体" w:eastAsia="黑体" w:cs="黑体"/>
          <w:sz w:val="27"/>
          <w:szCs w:val="27"/>
        </w:rPr>
      </w:pPr>
      <w:r>
        <w:rPr>
          <w:rFonts w:ascii="黑体" w:hAnsi="黑体" w:eastAsia="黑体" w:cs="黑体"/>
          <w:spacing w:val="-4"/>
          <w:sz w:val="27"/>
          <w:szCs w:val="27"/>
        </w:rPr>
        <w:t xml:space="preserve">7.1  </w:t>
      </w:r>
      <w:r>
        <w:rPr>
          <w:rFonts w:ascii="黑体" w:hAnsi="黑体" w:eastAsia="黑体" w:cs="黑体"/>
          <w:b/>
          <w:bCs/>
          <w:spacing w:val="-4"/>
          <w:sz w:val="27"/>
          <w:szCs w:val="27"/>
        </w:rPr>
        <w:t>试验样品的全貌、主要侧面照片</w:t>
      </w:r>
    </w:p>
    <w:p w14:paraId="0C52F394">
      <w:pPr>
        <w:spacing w:before="91" w:line="219" w:lineRule="auto"/>
        <w:ind w:left="570"/>
        <w:rPr>
          <w:rFonts w:ascii="宋体" w:hAnsi="宋体" w:eastAsia="宋体" w:cs="宋体"/>
          <w:sz w:val="27"/>
          <w:szCs w:val="27"/>
        </w:rPr>
      </w:pPr>
      <w:r>
        <w:rPr>
          <w:rFonts w:ascii="宋体" w:hAnsi="宋体" w:eastAsia="宋体" w:cs="宋体"/>
          <w:spacing w:val="-1"/>
          <w:sz w:val="27"/>
          <w:szCs w:val="27"/>
        </w:rPr>
        <w:t>提供用于设计定型试验的试验样品的全貌、主要侧面照片。</w:t>
      </w:r>
    </w:p>
    <w:p w14:paraId="68EE98CA">
      <w:pPr>
        <w:spacing w:before="105" w:line="221" w:lineRule="auto"/>
        <w:rPr>
          <w:rFonts w:ascii="黑体" w:hAnsi="黑体" w:eastAsia="黑体" w:cs="黑体"/>
          <w:sz w:val="27"/>
          <w:szCs w:val="27"/>
        </w:rPr>
      </w:pPr>
      <w:r>
        <w:rPr>
          <w:rFonts w:ascii="黑体" w:hAnsi="黑体" w:eastAsia="黑体" w:cs="黑体"/>
          <w:spacing w:val="1"/>
          <w:sz w:val="27"/>
          <w:szCs w:val="27"/>
        </w:rPr>
        <w:t xml:space="preserve">7.2  </w:t>
      </w:r>
      <w:r>
        <w:rPr>
          <w:rFonts w:ascii="黑体" w:hAnsi="黑体" w:eastAsia="黑体" w:cs="黑体"/>
          <w:b/>
          <w:bCs/>
          <w:spacing w:val="1"/>
          <w:sz w:val="27"/>
          <w:szCs w:val="27"/>
        </w:rPr>
        <w:t>主要试验项目照片</w:t>
      </w:r>
    </w:p>
    <w:p w14:paraId="39511B3D">
      <w:pPr>
        <w:spacing w:before="71" w:line="296" w:lineRule="auto"/>
        <w:ind w:right="113" w:firstLine="570"/>
        <w:rPr>
          <w:rFonts w:ascii="宋体" w:hAnsi="宋体" w:eastAsia="宋体" w:cs="宋体"/>
          <w:sz w:val="27"/>
          <w:szCs w:val="27"/>
        </w:rPr>
      </w:pPr>
      <w:r>
        <w:rPr>
          <w:rFonts w:ascii="宋体" w:hAnsi="宋体" w:eastAsia="宋体" w:cs="宋体"/>
          <w:spacing w:val="6"/>
          <w:sz w:val="27"/>
          <w:szCs w:val="27"/>
        </w:rPr>
        <w:t>提供设计定型试验过程中拍摄的主要试验项目</w:t>
      </w:r>
      <w:r>
        <w:rPr>
          <w:rFonts w:ascii="宋体" w:hAnsi="宋体" w:eastAsia="宋体" w:cs="宋体"/>
          <w:spacing w:val="5"/>
          <w:sz w:val="27"/>
          <w:szCs w:val="27"/>
        </w:rPr>
        <w:t>的照片，特别是反映装机状</w:t>
      </w:r>
      <w:r>
        <w:rPr>
          <w:rFonts w:ascii="宋体" w:hAnsi="宋体" w:eastAsia="宋体" w:cs="宋体"/>
          <w:sz w:val="27"/>
          <w:szCs w:val="27"/>
        </w:rPr>
        <w:t xml:space="preserve"> </w:t>
      </w:r>
      <w:r>
        <w:rPr>
          <w:rFonts w:ascii="宋体" w:hAnsi="宋体" w:eastAsia="宋体" w:cs="宋体"/>
          <w:spacing w:val="-9"/>
          <w:sz w:val="27"/>
          <w:szCs w:val="27"/>
        </w:rPr>
        <w:t>态、试验显示画面的照片。</w:t>
      </w:r>
    </w:p>
    <w:p w14:paraId="5D6FC524">
      <w:pPr>
        <w:pStyle w:val="2"/>
        <w:spacing w:before="1" w:line="220" w:lineRule="auto"/>
        <w:rPr>
          <w:rFonts w:ascii="黑体" w:hAnsi="黑体" w:eastAsia="黑体" w:cs="黑体"/>
          <w:sz w:val="27"/>
          <w:szCs w:val="27"/>
        </w:rPr>
      </w:pPr>
      <w:r>
        <w:rPr>
          <w:b/>
          <w:bCs/>
          <w:spacing w:val="2"/>
          <w:sz w:val="27"/>
          <w:szCs w:val="27"/>
        </w:rPr>
        <w:t xml:space="preserve">7.3    </w:t>
      </w:r>
      <w:r>
        <w:rPr>
          <w:rFonts w:ascii="黑体" w:hAnsi="黑体" w:eastAsia="黑体" w:cs="黑体"/>
          <w:b/>
          <w:bCs/>
          <w:spacing w:val="2"/>
          <w:sz w:val="27"/>
          <w:szCs w:val="27"/>
        </w:rPr>
        <w:t>试验中发生的重大技术问题的</w:t>
      </w:r>
      <w:r>
        <w:rPr>
          <w:rFonts w:ascii="黑体" w:hAnsi="黑体" w:eastAsia="黑体" w:cs="黑体"/>
          <w:b/>
          <w:bCs/>
          <w:spacing w:val="1"/>
          <w:sz w:val="27"/>
          <w:szCs w:val="27"/>
        </w:rPr>
        <w:t>特写照片</w:t>
      </w:r>
    </w:p>
    <w:p w14:paraId="563A14F8">
      <w:pPr>
        <w:spacing w:before="100" w:line="309" w:lineRule="auto"/>
        <w:ind w:right="112" w:firstLine="570"/>
        <w:rPr>
          <w:rFonts w:ascii="宋体" w:hAnsi="宋体" w:eastAsia="宋体" w:cs="宋体"/>
          <w:sz w:val="25"/>
          <w:szCs w:val="25"/>
        </w:rPr>
      </w:pPr>
      <w:r>
        <w:rPr>
          <w:rFonts w:ascii="宋体" w:hAnsi="宋体" w:eastAsia="宋体" w:cs="宋体"/>
          <w:spacing w:val="26"/>
          <w:sz w:val="25"/>
          <w:szCs w:val="25"/>
        </w:rPr>
        <w:t>提供设计定型试验过程中发生重大技术问题时的</w:t>
      </w:r>
      <w:r>
        <w:rPr>
          <w:rFonts w:ascii="宋体" w:hAnsi="宋体" w:eastAsia="宋体" w:cs="宋体"/>
          <w:spacing w:val="25"/>
          <w:sz w:val="25"/>
          <w:szCs w:val="25"/>
        </w:rPr>
        <w:t>特写照片，特别是试验样</w:t>
      </w:r>
      <w:r>
        <w:rPr>
          <w:rFonts w:ascii="宋体" w:hAnsi="宋体" w:eastAsia="宋体" w:cs="宋体"/>
          <w:sz w:val="25"/>
          <w:szCs w:val="25"/>
        </w:rPr>
        <w:t xml:space="preserve"> </w:t>
      </w:r>
      <w:r>
        <w:rPr>
          <w:rFonts w:ascii="宋体" w:hAnsi="宋体" w:eastAsia="宋体" w:cs="宋体"/>
          <w:spacing w:val="13"/>
          <w:sz w:val="25"/>
          <w:szCs w:val="25"/>
        </w:rPr>
        <w:t>品损伤、试验显示画面异常的照片。</w:t>
      </w:r>
    </w:p>
    <w:p w14:paraId="67D45956">
      <w:pPr>
        <w:spacing w:before="1" w:line="220" w:lineRule="auto"/>
        <w:rPr>
          <w:rFonts w:ascii="黑体" w:hAnsi="黑体" w:eastAsia="黑体" w:cs="黑体"/>
          <w:sz w:val="27"/>
          <w:szCs w:val="27"/>
        </w:rPr>
      </w:pPr>
      <w:r>
        <w:rPr>
          <w:rFonts w:ascii="黑体" w:hAnsi="黑体" w:eastAsia="黑体" w:cs="黑体"/>
          <w:spacing w:val="4"/>
          <w:sz w:val="27"/>
          <w:szCs w:val="27"/>
        </w:rPr>
        <w:t xml:space="preserve">8  </w:t>
      </w:r>
      <w:r>
        <w:rPr>
          <w:rFonts w:ascii="黑体" w:hAnsi="黑体" w:eastAsia="黑体" w:cs="黑体"/>
          <w:b/>
          <w:bCs/>
          <w:spacing w:val="4"/>
          <w:sz w:val="27"/>
          <w:szCs w:val="27"/>
        </w:rPr>
        <w:t>主要试验项目的实时音像资料</w:t>
      </w:r>
    </w:p>
    <w:p w14:paraId="344CE570">
      <w:pPr>
        <w:spacing w:before="119" w:line="302" w:lineRule="auto"/>
        <w:ind w:firstLine="570"/>
        <w:rPr>
          <w:rFonts w:ascii="宋体" w:hAnsi="宋体" w:eastAsia="宋体" w:cs="宋体"/>
          <w:sz w:val="25"/>
          <w:szCs w:val="25"/>
        </w:rPr>
      </w:pPr>
      <w:r>
        <w:rPr>
          <w:rFonts w:ascii="宋体" w:hAnsi="宋体" w:eastAsia="宋体" w:cs="宋体"/>
          <w:spacing w:val="24"/>
          <w:sz w:val="25"/>
          <w:szCs w:val="25"/>
        </w:rPr>
        <w:t>提供主要试验项目的实时音像资料(目录),包括拍摄时间、</w:t>
      </w:r>
      <w:r>
        <w:rPr>
          <w:rFonts w:ascii="宋体" w:hAnsi="宋体" w:eastAsia="宋体" w:cs="宋体"/>
          <w:spacing w:val="23"/>
          <w:sz w:val="25"/>
          <w:szCs w:val="25"/>
        </w:rPr>
        <w:t>试验项目名称、</w:t>
      </w:r>
      <w:r>
        <w:rPr>
          <w:rFonts w:ascii="宋体" w:hAnsi="宋体" w:eastAsia="宋体" w:cs="宋体"/>
          <w:sz w:val="25"/>
          <w:szCs w:val="25"/>
        </w:rPr>
        <w:t xml:space="preserve"> </w:t>
      </w:r>
      <w:r>
        <w:rPr>
          <w:rFonts w:ascii="宋体" w:hAnsi="宋体" w:eastAsia="宋体" w:cs="宋体"/>
          <w:spacing w:val="22"/>
          <w:sz w:val="25"/>
          <w:szCs w:val="25"/>
        </w:rPr>
        <w:t>音像资料名称以及试验地点等信息。</w:t>
      </w:r>
    </w:p>
    <w:p w14:paraId="3330C9C4">
      <w:pPr>
        <w:spacing w:before="1" w:line="220" w:lineRule="auto"/>
        <w:rPr>
          <w:rFonts w:ascii="黑体" w:hAnsi="黑体" w:eastAsia="黑体" w:cs="黑体"/>
          <w:sz w:val="27"/>
          <w:szCs w:val="27"/>
        </w:rPr>
      </w:pPr>
      <w:r>
        <w:rPr>
          <w:rFonts w:ascii="黑体" w:hAnsi="黑体" w:eastAsia="黑体" w:cs="黑体"/>
          <w:spacing w:val="-6"/>
          <w:sz w:val="27"/>
          <w:szCs w:val="27"/>
        </w:rPr>
        <w:t xml:space="preserve">9  </w:t>
      </w:r>
      <w:r>
        <w:rPr>
          <w:rFonts w:ascii="黑体" w:hAnsi="黑体" w:eastAsia="黑体" w:cs="黑体"/>
          <w:b/>
          <w:bCs/>
          <w:spacing w:val="-6"/>
          <w:sz w:val="27"/>
          <w:szCs w:val="27"/>
        </w:rPr>
        <w:t>关于编制、训练、作战使用和技术保障等方面的意见和建议</w:t>
      </w:r>
    </w:p>
    <w:p w14:paraId="4E9270CB">
      <w:pPr>
        <w:spacing w:before="127" w:line="221" w:lineRule="auto"/>
        <w:rPr>
          <w:rFonts w:ascii="黑体" w:hAnsi="黑体" w:eastAsia="黑体" w:cs="黑体"/>
          <w:sz w:val="24"/>
          <w:szCs w:val="24"/>
        </w:rPr>
      </w:pPr>
      <w:r>
        <w:rPr>
          <w:rFonts w:ascii="黑体" w:hAnsi="黑体" w:eastAsia="黑体" w:cs="黑体"/>
          <w:spacing w:val="24"/>
          <w:sz w:val="24"/>
          <w:szCs w:val="24"/>
        </w:rPr>
        <w:t>9.1</w:t>
      </w:r>
      <w:r>
        <w:rPr>
          <w:rFonts w:ascii="黑体" w:hAnsi="黑体" w:eastAsia="黑体" w:cs="黑体"/>
          <w:spacing w:val="44"/>
          <w:sz w:val="24"/>
          <w:szCs w:val="24"/>
        </w:rPr>
        <w:t xml:space="preserve">  </w:t>
      </w:r>
      <w:r>
        <w:rPr>
          <w:rFonts w:ascii="黑体" w:hAnsi="黑体" w:eastAsia="黑体" w:cs="黑体"/>
          <w:b/>
          <w:bCs/>
          <w:spacing w:val="24"/>
          <w:sz w:val="24"/>
          <w:szCs w:val="24"/>
        </w:rPr>
        <w:t>关于编制的意见和建议</w:t>
      </w:r>
    </w:p>
    <w:p w14:paraId="11D2BDD3">
      <w:pPr>
        <w:spacing w:before="108" w:line="289" w:lineRule="auto"/>
        <w:ind w:right="112" w:firstLine="570"/>
        <w:rPr>
          <w:rFonts w:ascii="宋体" w:hAnsi="宋体" w:eastAsia="宋体" w:cs="宋体"/>
          <w:sz w:val="27"/>
          <w:szCs w:val="27"/>
        </w:rPr>
      </w:pPr>
      <w:r>
        <w:rPr>
          <w:rFonts w:ascii="宋体" w:hAnsi="宋体" w:eastAsia="宋体" w:cs="宋体"/>
          <w:spacing w:val="6"/>
          <w:sz w:val="27"/>
          <w:szCs w:val="27"/>
        </w:rPr>
        <w:t>提出被试品列装后需装备的部队类型、等级和部</w:t>
      </w:r>
      <w:r>
        <w:rPr>
          <w:rFonts w:ascii="宋体" w:hAnsi="宋体" w:eastAsia="宋体" w:cs="宋体"/>
          <w:spacing w:val="5"/>
          <w:sz w:val="27"/>
          <w:szCs w:val="27"/>
        </w:rPr>
        <w:t>队装备的标准及数量等装</w:t>
      </w:r>
      <w:r>
        <w:rPr>
          <w:rFonts w:ascii="宋体" w:hAnsi="宋体" w:eastAsia="宋体" w:cs="宋体"/>
          <w:sz w:val="27"/>
          <w:szCs w:val="27"/>
        </w:rPr>
        <w:t xml:space="preserve"> </w:t>
      </w:r>
      <w:r>
        <w:rPr>
          <w:rFonts w:ascii="宋体" w:hAnsi="宋体" w:eastAsia="宋体" w:cs="宋体"/>
          <w:spacing w:val="2"/>
          <w:sz w:val="27"/>
          <w:szCs w:val="27"/>
        </w:rPr>
        <w:t>备编配方案的意见和建议。</w:t>
      </w:r>
    </w:p>
    <w:p w14:paraId="223AA420">
      <w:pPr>
        <w:spacing w:before="1" w:line="220" w:lineRule="auto"/>
        <w:rPr>
          <w:rFonts w:ascii="黑体" w:hAnsi="黑体" w:eastAsia="黑体" w:cs="黑体"/>
          <w:sz w:val="27"/>
          <w:szCs w:val="27"/>
        </w:rPr>
      </w:pPr>
      <w:r>
        <w:rPr>
          <w:rFonts w:ascii="黑体" w:hAnsi="黑体" w:eastAsia="黑体" w:cs="黑体"/>
          <w:spacing w:val="1"/>
          <w:sz w:val="27"/>
          <w:szCs w:val="27"/>
        </w:rPr>
        <w:t xml:space="preserve">9.2  </w:t>
      </w:r>
      <w:r>
        <w:rPr>
          <w:rFonts w:ascii="黑体" w:hAnsi="黑体" w:eastAsia="黑体" w:cs="黑体"/>
          <w:b/>
          <w:bCs/>
          <w:spacing w:val="1"/>
          <w:sz w:val="27"/>
          <w:szCs w:val="27"/>
        </w:rPr>
        <w:t>关于训练的意见和建议</w:t>
      </w:r>
    </w:p>
    <w:p w14:paraId="6162FF64">
      <w:pPr>
        <w:spacing w:before="92" w:line="299" w:lineRule="auto"/>
        <w:ind w:right="113" w:firstLine="570"/>
        <w:rPr>
          <w:rFonts w:ascii="宋体" w:hAnsi="宋体" w:eastAsia="宋体" w:cs="宋体"/>
          <w:sz w:val="27"/>
          <w:szCs w:val="27"/>
        </w:rPr>
      </w:pPr>
      <w:r>
        <w:rPr>
          <w:rFonts w:ascii="宋体" w:hAnsi="宋体" w:eastAsia="宋体" w:cs="宋体"/>
          <w:spacing w:val="1"/>
          <w:sz w:val="27"/>
          <w:szCs w:val="27"/>
        </w:rPr>
        <w:t>提出装备部队训练(含装备使用和保障人员在训练过程中所使用的程序、规</w:t>
      </w:r>
      <w:r>
        <w:rPr>
          <w:rFonts w:ascii="宋体" w:hAnsi="宋体" w:eastAsia="宋体" w:cs="宋体"/>
          <w:spacing w:val="12"/>
          <w:sz w:val="27"/>
          <w:szCs w:val="27"/>
        </w:rPr>
        <w:t xml:space="preserve"> </w:t>
      </w:r>
      <w:r>
        <w:rPr>
          <w:rFonts w:ascii="宋体" w:hAnsi="宋体" w:eastAsia="宋体" w:cs="宋体"/>
          <w:spacing w:val="-10"/>
          <w:sz w:val="27"/>
          <w:szCs w:val="27"/>
        </w:rPr>
        <w:t>程、方法、训练设施和设备)的意见和建议。</w:t>
      </w:r>
    </w:p>
    <w:p w14:paraId="6C1467F9">
      <w:pPr>
        <w:spacing w:before="1" w:line="220" w:lineRule="auto"/>
        <w:rPr>
          <w:rFonts w:ascii="黑体" w:hAnsi="黑体" w:eastAsia="黑体" w:cs="黑体"/>
          <w:sz w:val="24"/>
          <w:szCs w:val="24"/>
        </w:rPr>
      </w:pPr>
      <w:r>
        <w:rPr>
          <w:rFonts w:ascii="黑体" w:hAnsi="黑体" w:eastAsia="黑体" w:cs="黑体"/>
          <w:spacing w:val="26"/>
          <w:sz w:val="24"/>
          <w:szCs w:val="24"/>
        </w:rPr>
        <w:t>9.3</w:t>
      </w:r>
      <w:r>
        <w:rPr>
          <w:rFonts w:ascii="黑体" w:hAnsi="黑体" w:eastAsia="黑体" w:cs="黑体"/>
          <w:spacing w:val="42"/>
          <w:sz w:val="24"/>
          <w:szCs w:val="24"/>
        </w:rPr>
        <w:t xml:space="preserve">  </w:t>
      </w:r>
      <w:r>
        <w:rPr>
          <w:rFonts w:ascii="黑体" w:hAnsi="黑体" w:eastAsia="黑体" w:cs="黑体"/>
          <w:b/>
          <w:bCs/>
          <w:spacing w:val="26"/>
          <w:sz w:val="24"/>
          <w:szCs w:val="24"/>
        </w:rPr>
        <w:t>关于作战使用的意见和建议</w:t>
      </w:r>
    </w:p>
    <w:p w14:paraId="1356E78F">
      <w:pPr>
        <w:spacing w:before="109" w:line="296" w:lineRule="auto"/>
        <w:ind w:right="113" w:firstLine="570"/>
        <w:rPr>
          <w:rFonts w:ascii="宋体" w:hAnsi="宋体" w:eastAsia="宋体" w:cs="宋体"/>
          <w:sz w:val="27"/>
          <w:szCs w:val="27"/>
        </w:rPr>
      </w:pPr>
      <w:r>
        <w:rPr>
          <w:rFonts w:ascii="宋体" w:hAnsi="宋体" w:eastAsia="宋体" w:cs="宋体"/>
          <w:spacing w:val="5"/>
          <w:sz w:val="27"/>
          <w:szCs w:val="27"/>
        </w:rPr>
        <w:t>提出装备作战使用(含使用条件和适用范围)的意见和建议，特别是需要说</w:t>
      </w:r>
      <w:r>
        <w:rPr>
          <w:rFonts w:ascii="宋体" w:hAnsi="宋体" w:eastAsia="宋体" w:cs="宋体"/>
          <w:spacing w:val="15"/>
          <w:sz w:val="27"/>
          <w:szCs w:val="27"/>
        </w:rPr>
        <w:t xml:space="preserve"> </w:t>
      </w:r>
      <w:r>
        <w:rPr>
          <w:rFonts w:ascii="宋体" w:hAnsi="宋体" w:eastAsia="宋体" w:cs="宋体"/>
          <w:spacing w:val="1"/>
          <w:sz w:val="27"/>
          <w:szCs w:val="27"/>
        </w:rPr>
        <w:t>明的使用要求和注意事项等。</w:t>
      </w:r>
    </w:p>
    <w:p w14:paraId="21D19819">
      <w:pPr>
        <w:pStyle w:val="2"/>
        <w:spacing w:before="18" w:line="221" w:lineRule="auto"/>
        <w:rPr>
          <w:rFonts w:ascii="黑体" w:hAnsi="黑体" w:eastAsia="黑体" w:cs="黑体"/>
          <w:sz w:val="24"/>
          <w:szCs w:val="24"/>
        </w:rPr>
      </w:pPr>
      <w:r>
        <w:rPr>
          <w:b/>
          <w:bCs/>
          <w:spacing w:val="25"/>
          <w:sz w:val="24"/>
          <w:szCs w:val="24"/>
        </w:rPr>
        <w:t>9.4</w:t>
      </w:r>
      <w:r>
        <w:rPr>
          <w:b/>
          <w:bCs/>
          <w:spacing w:val="6"/>
          <w:sz w:val="24"/>
          <w:szCs w:val="24"/>
        </w:rPr>
        <w:t xml:space="preserve">     </w:t>
      </w:r>
      <w:r>
        <w:rPr>
          <w:rFonts w:ascii="黑体" w:hAnsi="黑体" w:eastAsia="黑体" w:cs="黑体"/>
          <w:b/>
          <w:bCs/>
          <w:spacing w:val="25"/>
          <w:sz w:val="24"/>
          <w:szCs w:val="24"/>
        </w:rPr>
        <w:t>关于技术保障的意见和建议</w:t>
      </w:r>
    </w:p>
    <w:p w14:paraId="6B2D0338">
      <w:pPr>
        <w:spacing w:before="100" w:line="282" w:lineRule="auto"/>
        <w:ind w:right="110" w:firstLine="570"/>
        <w:rPr>
          <w:rFonts w:ascii="宋体" w:hAnsi="宋体" w:eastAsia="宋体" w:cs="宋体"/>
          <w:sz w:val="27"/>
          <w:szCs w:val="27"/>
        </w:rPr>
      </w:pPr>
      <w:r>
        <w:rPr>
          <w:rFonts w:ascii="宋体" w:hAnsi="宋体" w:eastAsia="宋体" w:cs="宋体"/>
          <w:spacing w:val="-3"/>
          <w:sz w:val="27"/>
          <w:szCs w:val="27"/>
        </w:rPr>
        <w:t>提出平时和战时使用、维修和保障装备系统所需的人员数量、类型、专业及</w:t>
      </w:r>
      <w:r>
        <w:rPr>
          <w:rFonts w:ascii="宋体" w:hAnsi="宋体" w:eastAsia="宋体" w:cs="宋体"/>
          <w:spacing w:val="12"/>
          <w:sz w:val="27"/>
          <w:szCs w:val="27"/>
        </w:rPr>
        <w:t xml:space="preserve"> </w:t>
      </w:r>
      <w:r>
        <w:rPr>
          <w:rFonts w:ascii="宋体" w:hAnsi="宋体" w:eastAsia="宋体" w:cs="宋体"/>
          <w:sz w:val="27"/>
          <w:szCs w:val="27"/>
        </w:rPr>
        <w:t>其应具备的技能和等级、人员分工和要求等人员编配方案的意见和建议。</w:t>
      </w:r>
    </w:p>
    <w:p w14:paraId="434D4D61">
      <w:pPr>
        <w:spacing w:before="12" w:line="283" w:lineRule="auto"/>
        <w:ind w:right="113" w:firstLine="570"/>
        <w:jc w:val="both"/>
        <w:rPr>
          <w:rFonts w:ascii="宋体" w:hAnsi="宋体" w:eastAsia="宋体" w:cs="宋体"/>
          <w:sz w:val="27"/>
          <w:szCs w:val="27"/>
        </w:rPr>
      </w:pPr>
      <w:r>
        <w:rPr>
          <w:rFonts w:ascii="宋体" w:hAnsi="宋体" w:eastAsia="宋体" w:cs="宋体"/>
          <w:spacing w:val="1"/>
          <w:sz w:val="27"/>
          <w:szCs w:val="27"/>
        </w:rPr>
        <w:t>提出训练装备、后勤和技术保障(含技术文件资料、维修和保障设备的编配</w:t>
      </w:r>
      <w:r>
        <w:rPr>
          <w:rFonts w:ascii="宋体" w:hAnsi="宋体" w:eastAsia="宋体" w:cs="宋体"/>
          <w:spacing w:val="12"/>
          <w:sz w:val="27"/>
          <w:szCs w:val="27"/>
        </w:rPr>
        <w:t xml:space="preserve"> </w:t>
      </w:r>
      <w:r>
        <w:rPr>
          <w:rFonts w:ascii="宋体" w:hAnsi="宋体" w:eastAsia="宋体" w:cs="宋体"/>
          <w:spacing w:val="1"/>
          <w:sz w:val="27"/>
          <w:szCs w:val="27"/>
        </w:rPr>
        <w:t xml:space="preserve">要求和数量、与训练设施和设备的采购和安装有关的保障计划)等方面的意见和 </w:t>
      </w:r>
      <w:r>
        <w:rPr>
          <w:rFonts w:ascii="宋体" w:hAnsi="宋体" w:eastAsia="宋体" w:cs="宋体"/>
          <w:spacing w:val="-4"/>
          <w:sz w:val="27"/>
          <w:szCs w:val="27"/>
        </w:rPr>
        <w:t>建议。</w:t>
      </w:r>
    </w:p>
    <w:p w14:paraId="412BD638">
      <w:pPr>
        <w:spacing w:before="31" w:line="219" w:lineRule="auto"/>
        <w:ind w:left="570"/>
        <w:rPr>
          <w:rFonts w:ascii="宋体" w:hAnsi="宋体" w:eastAsia="宋体" w:cs="宋体"/>
          <w:sz w:val="27"/>
          <w:szCs w:val="27"/>
        </w:rPr>
      </w:pPr>
      <w:r>
        <w:rPr>
          <w:rFonts w:ascii="宋体" w:hAnsi="宋体" w:eastAsia="宋体" w:cs="宋体"/>
          <w:spacing w:val="-8"/>
          <w:sz w:val="27"/>
          <w:szCs w:val="27"/>
        </w:rPr>
        <w:t>提出装备的启封、封存、保养、使用等管理方法和要求方面的意见</w:t>
      </w:r>
      <w:r>
        <w:rPr>
          <w:rFonts w:ascii="宋体" w:hAnsi="宋体" w:eastAsia="宋体" w:cs="宋体"/>
          <w:spacing w:val="-9"/>
          <w:sz w:val="27"/>
          <w:szCs w:val="27"/>
        </w:rPr>
        <w:t>和建议。</w:t>
      </w:r>
    </w:p>
    <w:p w14:paraId="5D7ED81B">
      <w:pPr>
        <w:pStyle w:val="2"/>
        <w:spacing w:line="335" w:lineRule="auto"/>
      </w:pPr>
    </w:p>
    <w:p w14:paraId="0E1176F1">
      <w:pPr>
        <w:spacing w:before="118" w:line="218" w:lineRule="auto"/>
        <w:ind w:left="1809"/>
        <w:outlineLvl w:val="1"/>
        <w:rPr>
          <w:rFonts w:ascii="宋体" w:hAnsi="宋体" w:eastAsia="宋体" w:cs="宋体"/>
          <w:sz w:val="36"/>
          <w:szCs w:val="36"/>
        </w:rPr>
      </w:pPr>
      <w:bookmarkStart w:id="76" w:name="bookmark40"/>
      <w:bookmarkEnd w:id="76"/>
      <w:r>
        <w:rPr>
          <w:rFonts w:ascii="Times New Roman" w:hAnsi="Times New Roman" w:eastAsia="Times New Roman" w:cs="Times New Roman"/>
          <w:b/>
          <w:bCs/>
          <w:spacing w:val="3"/>
          <w:sz w:val="36"/>
          <w:szCs w:val="36"/>
        </w:rPr>
        <w:t xml:space="preserve">1.38     </w:t>
      </w:r>
      <w:r>
        <w:rPr>
          <w:rFonts w:ascii="宋体" w:hAnsi="宋体" w:eastAsia="宋体" w:cs="宋体"/>
          <w:b/>
          <w:bCs/>
          <w:spacing w:val="3"/>
          <w:sz w:val="36"/>
          <w:szCs w:val="36"/>
        </w:rPr>
        <w:t>设计定型试验报告(部队试验)</w:t>
      </w:r>
    </w:p>
    <w:p w14:paraId="56495C08">
      <w:pPr>
        <w:pStyle w:val="2"/>
        <w:spacing w:line="352" w:lineRule="auto"/>
      </w:pPr>
    </w:p>
    <w:p w14:paraId="4F3D565B">
      <w:pPr>
        <w:spacing w:before="89" w:line="223" w:lineRule="auto"/>
        <w:ind w:left="570"/>
        <w:rPr>
          <w:rFonts w:ascii="楷体" w:hAnsi="楷体" w:eastAsia="楷体" w:cs="楷体"/>
          <w:sz w:val="27"/>
          <w:szCs w:val="27"/>
        </w:rPr>
      </w:pPr>
      <w:r>
        <w:rPr>
          <w:rFonts w:ascii="楷体" w:hAnsi="楷体" w:eastAsia="楷体" w:cs="楷体"/>
          <w:spacing w:val="-1"/>
          <w:sz w:val="27"/>
          <w:szCs w:val="27"/>
        </w:rPr>
        <w:t>按照</w:t>
      </w:r>
      <w:r>
        <w:rPr>
          <w:rFonts w:ascii="楷体" w:hAnsi="楷体" w:eastAsia="楷体" w:cs="楷体"/>
          <w:spacing w:val="-78"/>
          <w:sz w:val="27"/>
          <w:szCs w:val="27"/>
        </w:rPr>
        <w:t xml:space="preserve"> </w:t>
      </w:r>
      <w:r>
        <w:rPr>
          <w:rFonts w:ascii="Times New Roman" w:hAnsi="Times New Roman" w:eastAsia="Times New Roman" w:cs="Times New Roman"/>
          <w:spacing w:val="-1"/>
          <w:sz w:val="27"/>
          <w:szCs w:val="27"/>
        </w:rPr>
        <w:t>GJB6178—2007</w:t>
      </w:r>
      <w:r>
        <w:rPr>
          <w:rFonts w:ascii="宋体" w:hAnsi="宋体" w:eastAsia="宋体" w:cs="宋体"/>
          <w:spacing w:val="-1"/>
          <w:sz w:val="27"/>
          <w:szCs w:val="27"/>
        </w:rPr>
        <w:t>《</w:t>
      </w:r>
      <w:r>
        <w:rPr>
          <w:rFonts w:ascii="楷体" w:hAnsi="楷体" w:eastAsia="楷体" w:cs="楷体"/>
          <w:spacing w:val="-1"/>
          <w:sz w:val="27"/>
          <w:szCs w:val="27"/>
        </w:rPr>
        <w:t>军工产品定型部队试验试用报</w:t>
      </w:r>
      <w:r>
        <w:rPr>
          <w:rFonts w:ascii="楷体" w:hAnsi="楷体" w:eastAsia="楷体" w:cs="楷体"/>
          <w:spacing w:val="-2"/>
          <w:sz w:val="27"/>
          <w:szCs w:val="27"/>
        </w:rPr>
        <w:t>告通用要求》编写。</w:t>
      </w:r>
    </w:p>
    <w:p w14:paraId="58BE93C6">
      <w:pPr>
        <w:spacing w:line="223" w:lineRule="auto"/>
        <w:rPr>
          <w:rFonts w:ascii="楷体" w:hAnsi="楷体" w:eastAsia="楷体" w:cs="楷体"/>
          <w:sz w:val="27"/>
          <w:szCs w:val="27"/>
        </w:rPr>
        <w:sectPr>
          <w:footerReference r:id="rId130" w:type="default"/>
          <w:pgSz w:w="11910" w:h="17130"/>
          <w:pgMar w:top="400" w:right="1364" w:bottom="1678" w:left="1039" w:header="0" w:footer="1434" w:gutter="0"/>
          <w:cols w:space="720" w:num="1"/>
        </w:sectPr>
      </w:pPr>
    </w:p>
    <w:p w14:paraId="180A36D9">
      <w:pPr>
        <w:pStyle w:val="2"/>
        <w:spacing w:line="284" w:lineRule="auto"/>
      </w:pPr>
    </w:p>
    <w:p w14:paraId="57EE614C">
      <w:pPr>
        <w:pStyle w:val="2"/>
        <w:spacing w:line="284" w:lineRule="auto"/>
      </w:pPr>
    </w:p>
    <w:p w14:paraId="0AACBDE2">
      <w:pPr>
        <w:pStyle w:val="2"/>
        <w:spacing w:line="284" w:lineRule="auto"/>
      </w:pPr>
    </w:p>
    <w:p w14:paraId="1C6558C2">
      <w:pPr>
        <w:pStyle w:val="2"/>
        <w:spacing w:line="284" w:lineRule="auto"/>
      </w:pPr>
    </w:p>
    <w:p w14:paraId="1CF6503B">
      <w:pPr>
        <w:spacing w:before="81" w:line="221" w:lineRule="auto"/>
        <w:rPr>
          <w:rFonts w:ascii="黑体" w:hAnsi="黑体" w:eastAsia="黑体" w:cs="黑体"/>
          <w:sz w:val="25"/>
          <w:szCs w:val="25"/>
        </w:rPr>
      </w:pPr>
      <w:bookmarkStart w:id="77" w:name="bookmark344"/>
      <w:bookmarkEnd w:id="77"/>
      <w:r>
        <w:rPr>
          <w:rFonts w:ascii="黑体" w:hAnsi="黑体" w:eastAsia="黑体" w:cs="黑体"/>
          <w:spacing w:val="13"/>
          <w:sz w:val="25"/>
          <w:szCs w:val="25"/>
        </w:rPr>
        <w:t>1</w:t>
      </w:r>
      <w:r>
        <w:rPr>
          <w:rFonts w:ascii="黑体" w:hAnsi="黑体" w:eastAsia="黑体" w:cs="黑体"/>
          <w:spacing w:val="32"/>
          <w:sz w:val="25"/>
          <w:szCs w:val="25"/>
        </w:rPr>
        <w:t xml:space="preserve">  </w:t>
      </w:r>
      <w:r>
        <w:rPr>
          <w:rFonts w:ascii="黑体" w:hAnsi="黑体" w:eastAsia="黑体" w:cs="黑体"/>
          <w:b/>
          <w:bCs/>
          <w:spacing w:val="13"/>
          <w:sz w:val="25"/>
          <w:szCs w:val="25"/>
        </w:rPr>
        <w:t>试验概况</w:t>
      </w:r>
    </w:p>
    <w:p w14:paraId="5F8470B1">
      <w:pPr>
        <w:spacing w:before="87" w:line="219" w:lineRule="auto"/>
        <w:ind w:left="560"/>
        <w:rPr>
          <w:rFonts w:ascii="宋体" w:hAnsi="宋体" w:eastAsia="宋体" w:cs="宋体"/>
          <w:sz w:val="27"/>
          <w:szCs w:val="27"/>
        </w:rPr>
      </w:pPr>
      <w:r>
        <w:rPr>
          <w:rFonts w:ascii="宋体" w:hAnsi="宋体" w:eastAsia="宋体" w:cs="宋体"/>
          <w:spacing w:val="4"/>
          <w:sz w:val="27"/>
          <w:szCs w:val="27"/>
        </w:rPr>
        <w:t>试验概况部分通常应有以下内容：</w:t>
      </w:r>
    </w:p>
    <w:p w14:paraId="2D872E29">
      <w:pPr>
        <w:spacing w:before="97" w:line="219" w:lineRule="auto"/>
        <w:ind w:left="56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11"/>
          <w:sz w:val="27"/>
          <w:szCs w:val="27"/>
        </w:rPr>
        <w:t xml:space="preserve"> </w:t>
      </w:r>
      <w:r>
        <w:rPr>
          <w:rFonts w:ascii="宋体" w:hAnsi="宋体" w:eastAsia="宋体" w:cs="宋体"/>
          <w:spacing w:val="-3"/>
          <w:sz w:val="27"/>
          <w:szCs w:val="27"/>
        </w:rPr>
        <w:t>)试验任务来源、依据及代号；</w:t>
      </w:r>
    </w:p>
    <w:p w14:paraId="17FD584B">
      <w:pPr>
        <w:spacing w:before="61"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70"/>
          <w:sz w:val="27"/>
          <w:szCs w:val="27"/>
        </w:rPr>
        <w:t xml:space="preserve"> </w:t>
      </w:r>
      <w:r>
        <w:rPr>
          <w:rFonts w:ascii="宋体" w:hAnsi="宋体" w:eastAsia="宋体" w:cs="宋体"/>
          <w:spacing w:val="1"/>
          <w:sz w:val="27"/>
          <w:szCs w:val="27"/>
        </w:rPr>
        <w:t>被试品代号和名称；</w:t>
      </w:r>
    </w:p>
    <w:p w14:paraId="48AD05CF">
      <w:pPr>
        <w:spacing w:before="79"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 xml:space="preserve">c)  </w:t>
      </w:r>
      <w:r>
        <w:rPr>
          <w:rFonts w:ascii="宋体" w:hAnsi="宋体" w:eastAsia="宋体" w:cs="宋体"/>
          <w:spacing w:val="1"/>
          <w:sz w:val="27"/>
          <w:szCs w:val="27"/>
        </w:rPr>
        <w:t>承试单位和参试单位名称；</w:t>
      </w:r>
    </w:p>
    <w:p w14:paraId="15BA4810">
      <w:pPr>
        <w:spacing w:before="100"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d)</w:t>
      </w:r>
      <w:r>
        <w:rPr>
          <w:rFonts w:ascii="Times New Roman" w:hAnsi="Times New Roman" w:eastAsia="Times New Roman" w:cs="Times New Roman"/>
          <w:spacing w:val="57"/>
          <w:sz w:val="27"/>
          <w:szCs w:val="27"/>
        </w:rPr>
        <w:t xml:space="preserve"> </w:t>
      </w:r>
      <w:r>
        <w:rPr>
          <w:rFonts w:ascii="宋体" w:hAnsi="宋体" w:eastAsia="宋体" w:cs="宋体"/>
          <w:spacing w:val="-6"/>
          <w:sz w:val="27"/>
          <w:szCs w:val="27"/>
        </w:rPr>
        <w:t>试验性质、目的和任务；</w:t>
      </w:r>
    </w:p>
    <w:p w14:paraId="7107E33F">
      <w:pPr>
        <w:spacing w:before="121" w:line="220" w:lineRule="auto"/>
        <w:ind w:left="560"/>
        <w:rPr>
          <w:rFonts w:ascii="宋体" w:hAnsi="宋体" w:eastAsia="宋体" w:cs="宋体"/>
          <w:sz w:val="27"/>
          <w:szCs w:val="27"/>
        </w:rPr>
      </w:pPr>
      <w:r>
        <w:rPr>
          <w:rFonts w:ascii="Times New Roman" w:hAnsi="Times New Roman" w:eastAsia="Times New Roman" w:cs="Times New Roman"/>
          <w:sz w:val="27"/>
          <w:szCs w:val="27"/>
        </w:rPr>
        <w:t>e</w:t>
      </w:r>
      <w:r>
        <w:rPr>
          <w:rFonts w:ascii="宋体" w:hAnsi="宋体" w:eastAsia="宋体" w:cs="宋体"/>
          <w:sz w:val="27"/>
          <w:szCs w:val="27"/>
        </w:rPr>
        <w:t>)试验地区、起止时间；</w:t>
      </w:r>
    </w:p>
    <w:p w14:paraId="0C7CA934">
      <w:pPr>
        <w:spacing w:before="67"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试验组织机构的设立及其职责分工情况；</w:t>
      </w:r>
    </w:p>
    <w:p w14:paraId="2CE3DF56">
      <w:pPr>
        <w:spacing w:before="100" w:line="212" w:lineRule="auto"/>
        <w:ind w:left="560"/>
        <w:rPr>
          <w:rFonts w:ascii="宋体" w:hAnsi="宋体" w:eastAsia="宋体" w:cs="宋体"/>
          <w:sz w:val="27"/>
          <w:szCs w:val="27"/>
        </w:rPr>
      </w:pPr>
      <w:r>
        <w:rPr>
          <w:rFonts w:ascii="Times New Roman" w:hAnsi="Times New Roman" w:eastAsia="Times New Roman" w:cs="Times New Roman"/>
          <w:spacing w:val="7"/>
          <w:sz w:val="27"/>
          <w:szCs w:val="27"/>
        </w:rPr>
        <w:t>g</w:t>
      </w:r>
      <w:r>
        <w:rPr>
          <w:rFonts w:ascii="Times New Roman" w:hAnsi="Times New Roman" w:eastAsia="Times New Roman" w:cs="Times New Roman"/>
          <w:spacing w:val="-23"/>
          <w:sz w:val="27"/>
          <w:szCs w:val="27"/>
        </w:rPr>
        <w:t xml:space="preserve"> </w:t>
      </w:r>
      <w:r>
        <w:rPr>
          <w:rFonts w:ascii="宋体" w:hAnsi="宋体" w:eastAsia="宋体" w:cs="宋体"/>
          <w:spacing w:val="7"/>
          <w:sz w:val="27"/>
          <w:szCs w:val="27"/>
        </w:rPr>
        <w:t>)试验实施计划的制定和落实情况；</w:t>
      </w:r>
    </w:p>
    <w:p w14:paraId="05E36E7B">
      <w:pPr>
        <w:spacing w:before="80" w:line="212" w:lineRule="auto"/>
        <w:ind w:left="560"/>
        <w:rPr>
          <w:rFonts w:ascii="宋体" w:hAnsi="宋体" w:eastAsia="宋体" w:cs="宋体"/>
          <w:sz w:val="27"/>
          <w:szCs w:val="27"/>
        </w:rPr>
      </w:pPr>
      <w:r>
        <w:rPr>
          <w:rFonts w:ascii="Times New Roman" w:hAnsi="Times New Roman" w:eastAsia="Times New Roman" w:cs="Times New Roman"/>
          <w:spacing w:val="-7"/>
          <w:sz w:val="27"/>
          <w:szCs w:val="27"/>
        </w:rPr>
        <w:t xml:space="preserve">h)  </w:t>
      </w:r>
      <w:r>
        <w:rPr>
          <w:rFonts w:ascii="宋体" w:hAnsi="宋体" w:eastAsia="宋体" w:cs="宋体"/>
          <w:spacing w:val="-7"/>
          <w:sz w:val="27"/>
          <w:szCs w:val="27"/>
        </w:rPr>
        <w:t>试验阶段划分，各阶段的起止时间、地点(地域)、主要工作和</w:t>
      </w:r>
      <w:r>
        <w:rPr>
          <w:rFonts w:ascii="宋体" w:hAnsi="宋体" w:eastAsia="宋体" w:cs="宋体"/>
          <w:spacing w:val="-8"/>
          <w:sz w:val="27"/>
          <w:szCs w:val="27"/>
        </w:rPr>
        <w:t>目的；</w:t>
      </w:r>
    </w:p>
    <w:p w14:paraId="593CE292">
      <w:pPr>
        <w:spacing w:before="11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i)</w:t>
      </w:r>
      <w:r>
        <w:rPr>
          <w:rFonts w:ascii="Times New Roman" w:hAnsi="Times New Roman" w:eastAsia="Times New Roman" w:cs="Times New Roman"/>
          <w:spacing w:val="70"/>
          <w:sz w:val="27"/>
          <w:szCs w:val="27"/>
        </w:rPr>
        <w:t xml:space="preserve"> </w:t>
      </w:r>
      <w:r>
        <w:rPr>
          <w:rFonts w:ascii="宋体" w:hAnsi="宋体" w:eastAsia="宋体" w:cs="宋体"/>
          <w:spacing w:val="3"/>
          <w:sz w:val="27"/>
          <w:szCs w:val="27"/>
        </w:rPr>
        <w:t>是否完成试验大纲规定的任务等。</w:t>
      </w:r>
    </w:p>
    <w:p w14:paraId="68D6952D">
      <w:pPr>
        <w:spacing w:before="104" w:line="221"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4"/>
          <w:sz w:val="27"/>
          <w:szCs w:val="27"/>
        </w:rPr>
        <w:t xml:space="preserve">  </w:t>
      </w:r>
      <w:r>
        <w:rPr>
          <w:rFonts w:ascii="黑体" w:hAnsi="黑体" w:eastAsia="黑体" w:cs="黑体"/>
          <w:b/>
          <w:bCs/>
          <w:spacing w:val="3"/>
          <w:sz w:val="27"/>
          <w:szCs w:val="27"/>
        </w:rPr>
        <w:t>试验条件说明</w:t>
      </w:r>
    </w:p>
    <w:p w14:paraId="7171C0B8">
      <w:pPr>
        <w:spacing w:before="100" w:line="222" w:lineRule="auto"/>
        <w:rPr>
          <w:rFonts w:ascii="黑体" w:hAnsi="黑体" w:eastAsia="黑体" w:cs="黑体"/>
          <w:sz w:val="27"/>
          <w:szCs w:val="27"/>
        </w:rPr>
      </w:pPr>
      <w:r>
        <w:rPr>
          <w:rFonts w:ascii="黑体" w:hAnsi="黑体" w:eastAsia="黑体" w:cs="黑体"/>
          <w:spacing w:val="-5"/>
          <w:sz w:val="27"/>
          <w:szCs w:val="27"/>
        </w:rPr>
        <w:t>2.1</w:t>
      </w:r>
      <w:r>
        <w:rPr>
          <w:rFonts w:ascii="黑体" w:hAnsi="黑体" w:eastAsia="黑体" w:cs="黑体"/>
          <w:spacing w:val="31"/>
          <w:sz w:val="27"/>
          <w:szCs w:val="27"/>
        </w:rPr>
        <w:t xml:space="preserve">  </w:t>
      </w:r>
      <w:r>
        <w:rPr>
          <w:rFonts w:ascii="黑体" w:hAnsi="黑体" w:eastAsia="黑体" w:cs="黑体"/>
          <w:b/>
          <w:bCs/>
          <w:spacing w:val="-5"/>
          <w:sz w:val="27"/>
          <w:szCs w:val="27"/>
        </w:rPr>
        <w:t>基本要求</w:t>
      </w:r>
    </w:p>
    <w:p w14:paraId="3AC22A61">
      <w:pPr>
        <w:spacing w:before="77" w:line="274" w:lineRule="auto"/>
        <w:ind w:right="2" w:firstLine="560"/>
        <w:rPr>
          <w:rFonts w:ascii="宋体" w:hAnsi="宋体" w:eastAsia="宋体" w:cs="宋体"/>
          <w:sz w:val="27"/>
          <w:szCs w:val="27"/>
        </w:rPr>
      </w:pPr>
      <w:r>
        <w:rPr>
          <w:rFonts w:ascii="宋体" w:hAnsi="宋体" w:eastAsia="宋体" w:cs="宋体"/>
          <w:spacing w:val="-3"/>
          <w:sz w:val="27"/>
          <w:szCs w:val="27"/>
        </w:rPr>
        <w:t>应从试验的宏观角度说明试验的总体条件，内容通常包括对环境条件、被试</w:t>
      </w:r>
      <w:r>
        <w:rPr>
          <w:rFonts w:ascii="宋体" w:hAnsi="宋体" w:eastAsia="宋体" w:cs="宋体"/>
          <w:spacing w:val="8"/>
          <w:sz w:val="27"/>
          <w:szCs w:val="27"/>
        </w:rPr>
        <w:t xml:space="preserve"> </w:t>
      </w:r>
      <w:r>
        <w:rPr>
          <w:rFonts w:ascii="宋体" w:hAnsi="宋体" w:eastAsia="宋体" w:cs="宋体"/>
          <w:spacing w:val="-11"/>
          <w:sz w:val="27"/>
          <w:szCs w:val="27"/>
        </w:rPr>
        <w:t>品、陪试品、测试仪器和设备、承试部队及其他有关条件的说明，并重点阐明：</w:t>
      </w:r>
    </w:p>
    <w:p w14:paraId="26263CB3">
      <w:pPr>
        <w:spacing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试验条件是否符合或接近实际的作战使用环境和</w:t>
      </w:r>
      <w:r>
        <w:rPr>
          <w:rFonts w:ascii="宋体" w:hAnsi="宋体" w:eastAsia="宋体" w:cs="宋体"/>
          <w:spacing w:val="3"/>
          <w:sz w:val="27"/>
          <w:szCs w:val="27"/>
        </w:rPr>
        <w:t>条件；</w:t>
      </w:r>
    </w:p>
    <w:p w14:paraId="14F0593F">
      <w:pPr>
        <w:spacing w:before="90"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是否在模拟战场环境条件(战术背景)下的试验；</w:t>
      </w:r>
    </w:p>
    <w:p w14:paraId="7C968042">
      <w:pPr>
        <w:spacing w:before="80"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 xml:space="preserve">c)  </w:t>
      </w:r>
      <w:r>
        <w:rPr>
          <w:rFonts w:ascii="宋体" w:hAnsi="宋体" w:eastAsia="宋体" w:cs="宋体"/>
          <w:spacing w:val="-1"/>
          <w:sz w:val="27"/>
          <w:szCs w:val="27"/>
        </w:rPr>
        <w:t>是否按编配方案编配使用人员，具有相应的组织机</w:t>
      </w:r>
      <w:r>
        <w:rPr>
          <w:rFonts w:ascii="宋体" w:hAnsi="宋体" w:eastAsia="宋体" w:cs="宋体"/>
          <w:spacing w:val="-2"/>
          <w:sz w:val="27"/>
          <w:szCs w:val="27"/>
        </w:rPr>
        <w:t>构；</w:t>
      </w:r>
    </w:p>
    <w:p w14:paraId="15E734E8">
      <w:pPr>
        <w:spacing w:before="11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是否是被试品成系统的试验；</w:t>
      </w:r>
    </w:p>
    <w:p w14:paraId="65B703CC">
      <w:pPr>
        <w:spacing w:before="90" w:line="260" w:lineRule="auto"/>
        <w:ind w:right="1" w:firstLine="560"/>
        <w:rPr>
          <w:rFonts w:ascii="宋体" w:hAnsi="宋体" w:eastAsia="宋体" w:cs="宋体"/>
          <w:sz w:val="27"/>
          <w:szCs w:val="27"/>
        </w:rPr>
      </w:pPr>
      <w:r>
        <w:rPr>
          <w:rFonts w:ascii="Times New Roman" w:hAnsi="Times New Roman" w:eastAsia="Times New Roman" w:cs="Times New Roman"/>
          <w:spacing w:val="3"/>
          <w:sz w:val="27"/>
          <w:szCs w:val="27"/>
        </w:rPr>
        <w:t>e)</w:t>
      </w:r>
      <w:r>
        <w:rPr>
          <w:rFonts w:ascii="Times New Roman" w:hAnsi="Times New Roman" w:eastAsia="Times New Roman" w:cs="Times New Roman"/>
          <w:spacing w:val="74"/>
          <w:sz w:val="27"/>
          <w:szCs w:val="27"/>
        </w:rPr>
        <w:t xml:space="preserve"> </w:t>
      </w:r>
      <w:r>
        <w:rPr>
          <w:rFonts w:ascii="宋体" w:hAnsi="宋体" w:eastAsia="宋体" w:cs="宋体"/>
          <w:spacing w:val="3"/>
          <w:sz w:val="27"/>
          <w:szCs w:val="27"/>
        </w:rPr>
        <w:t>是否按被试品列装部队后可能的作战使用原则、遂行作战任务的完整流</w:t>
      </w:r>
      <w:r>
        <w:rPr>
          <w:rFonts w:ascii="宋体" w:hAnsi="宋体" w:eastAsia="宋体" w:cs="宋体"/>
          <w:sz w:val="27"/>
          <w:szCs w:val="27"/>
        </w:rPr>
        <w:t xml:space="preserve"> </w:t>
      </w:r>
      <w:r>
        <w:rPr>
          <w:rFonts w:ascii="宋体" w:hAnsi="宋体" w:eastAsia="宋体" w:cs="宋体"/>
          <w:spacing w:val="1"/>
          <w:sz w:val="27"/>
          <w:szCs w:val="27"/>
        </w:rPr>
        <w:t>程和想定条件进行的试验；</w:t>
      </w:r>
    </w:p>
    <w:p w14:paraId="3DE2F8F7">
      <w:pPr>
        <w:spacing w:before="68" w:line="260" w:lineRule="auto"/>
        <w:ind w:firstLine="560"/>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被试品是否进行了完成作战任务手段的试验，如以射击为完成作</w:t>
      </w:r>
      <w:r>
        <w:rPr>
          <w:rFonts w:ascii="宋体" w:hAnsi="宋体" w:eastAsia="宋体" w:cs="宋体"/>
          <w:spacing w:val="3"/>
          <w:sz w:val="27"/>
          <w:szCs w:val="27"/>
        </w:rPr>
        <w:t>战任务</w:t>
      </w:r>
      <w:r>
        <w:rPr>
          <w:rFonts w:ascii="宋体" w:hAnsi="宋体" w:eastAsia="宋体" w:cs="宋体"/>
          <w:sz w:val="27"/>
          <w:szCs w:val="27"/>
        </w:rPr>
        <w:t xml:space="preserve"> </w:t>
      </w:r>
      <w:r>
        <w:rPr>
          <w:rFonts w:ascii="宋体" w:hAnsi="宋体" w:eastAsia="宋体" w:cs="宋体"/>
          <w:spacing w:val="-4"/>
          <w:sz w:val="27"/>
          <w:szCs w:val="27"/>
        </w:rPr>
        <w:t>手段的装备，是否进行了实弹射击试验；</w:t>
      </w:r>
    </w:p>
    <w:p w14:paraId="2CF2B339">
      <w:pPr>
        <w:spacing w:before="80"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g)</w:t>
      </w:r>
      <w:r>
        <w:rPr>
          <w:rFonts w:ascii="Times New Roman" w:hAnsi="Times New Roman" w:eastAsia="Times New Roman" w:cs="Times New Roman"/>
          <w:spacing w:val="66"/>
          <w:sz w:val="27"/>
          <w:szCs w:val="27"/>
        </w:rPr>
        <w:t xml:space="preserve"> </w:t>
      </w:r>
      <w:r>
        <w:rPr>
          <w:rFonts w:ascii="宋体" w:hAnsi="宋体" w:eastAsia="宋体" w:cs="宋体"/>
          <w:spacing w:val="5"/>
          <w:sz w:val="27"/>
          <w:szCs w:val="27"/>
        </w:rPr>
        <w:t>是否完成了试验大纲要求的特定条件下</w:t>
      </w:r>
      <w:r>
        <w:rPr>
          <w:rFonts w:ascii="宋体" w:hAnsi="宋体" w:eastAsia="宋体" w:cs="宋体"/>
          <w:spacing w:val="4"/>
          <w:sz w:val="27"/>
          <w:szCs w:val="27"/>
        </w:rPr>
        <w:t>的试验等。</w:t>
      </w:r>
    </w:p>
    <w:p w14:paraId="73A22DD7">
      <w:pPr>
        <w:spacing w:before="105" w:line="222" w:lineRule="auto"/>
        <w:rPr>
          <w:rFonts w:ascii="黑体" w:hAnsi="黑体" w:eastAsia="黑体" w:cs="黑体"/>
          <w:sz w:val="27"/>
          <w:szCs w:val="27"/>
        </w:rPr>
      </w:pPr>
      <w:r>
        <w:rPr>
          <w:rFonts w:ascii="黑体" w:hAnsi="黑体" w:eastAsia="黑体" w:cs="黑体"/>
          <w:spacing w:val="2"/>
          <w:sz w:val="27"/>
          <w:szCs w:val="27"/>
        </w:rPr>
        <w:t>2.2</w:t>
      </w:r>
      <w:r>
        <w:rPr>
          <w:rFonts w:ascii="黑体" w:hAnsi="黑体" w:eastAsia="黑体" w:cs="黑体"/>
          <w:spacing w:val="28"/>
          <w:sz w:val="27"/>
          <w:szCs w:val="27"/>
        </w:rPr>
        <w:t xml:space="preserve">  </w:t>
      </w:r>
      <w:r>
        <w:rPr>
          <w:rFonts w:ascii="黑体" w:hAnsi="黑体" w:eastAsia="黑体" w:cs="黑体"/>
          <w:b/>
          <w:bCs/>
          <w:spacing w:val="2"/>
          <w:sz w:val="27"/>
          <w:szCs w:val="27"/>
        </w:rPr>
        <w:t>环境条件</w:t>
      </w:r>
    </w:p>
    <w:p w14:paraId="3C27B5DB">
      <w:pPr>
        <w:spacing w:before="86" w:line="222" w:lineRule="auto"/>
        <w:ind w:left="560"/>
        <w:rPr>
          <w:rFonts w:ascii="宋体" w:hAnsi="宋体" w:eastAsia="宋体" w:cs="宋体"/>
          <w:sz w:val="27"/>
          <w:szCs w:val="27"/>
        </w:rPr>
      </w:pPr>
      <w:r>
        <w:rPr>
          <w:rFonts w:ascii="宋体" w:hAnsi="宋体" w:eastAsia="宋体" w:cs="宋体"/>
          <w:spacing w:val="-5"/>
          <w:sz w:val="27"/>
          <w:szCs w:val="27"/>
        </w:rPr>
        <w:t>主要包括：</w:t>
      </w:r>
    </w:p>
    <w:p w14:paraId="3567BFE5">
      <w:pPr>
        <w:spacing w:before="100" w:line="219" w:lineRule="auto"/>
        <w:ind w:left="560"/>
        <w:rPr>
          <w:rFonts w:ascii="宋体" w:hAnsi="宋体" w:eastAsia="宋体" w:cs="宋体"/>
          <w:sz w:val="25"/>
          <w:szCs w:val="25"/>
        </w:rPr>
      </w:pPr>
      <w:r>
        <w:rPr>
          <w:rFonts w:ascii="Times New Roman" w:hAnsi="Times New Roman" w:eastAsia="Times New Roman" w:cs="Times New Roman"/>
          <w:spacing w:val="7"/>
          <w:sz w:val="25"/>
          <w:szCs w:val="25"/>
        </w:rPr>
        <w:t>a</w:t>
      </w:r>
      <w:r>
        <w:rPr>
          <w:rFonts w:ascii="宋体" w:hAnsi="宋体" w:eastAsia="宋体" w:cs="宋体"/>
          <w:spacing w:val="7"/>
          <w:sz w:val="25"/>
          <w:szCs w:val="25"/>
        </w:rPr>
        <w:t>)</w:t>
      </w:r>
      <w:r>
        <w:rPr>
          <w:rFonts w:ascii="宋体" w:hAnsi="宋体" w:eastAsia="宋体" w:cs="宋体"/>
          <w:spacing w:val="-37"/>
          <w:sz w:val="25"/>
          <w:szCs w:val="25"/>
        </w:rPr>
        <w:t xml:space="preserve"> </w:t>
      </w:r>
      <w:r>
        <w:rPr>
          <w:rFonts w:ascii="宋体" w:hAnsi="宋体" w:eastAsia="宋体" w:cs="宋体"/>
          <w:spacing w:val="7"/>
          <w:sz w:val="25"/>
          <w:szCs w:val="25"/>
        </w:rPr>
        <w:t>气</w:t>
      </w:r>
      <w:r>
        <w:rPr>
          <w:rFonts w:ascii="宋体" w:hAnsi="宋体" w:eastAsia="宋体" w:cs="宋体"/>
          <w:spacing w:val="-74"/>
          <w:sz w:val="25"/>
          <w:szCs w:val="25"/>
        </w:rPr>
        <w:t xml:space="preserve"> </w:t>
      </w:r>
      <w:r>
        <w:rPr>
          <w:rFonts w:ascii="宋体" w:hAnsi="宋体" w:eastAsia="宋体" w:cs="宋体"/>
          <w:spacing w:val="7"/>
          <w:sz w:val="25"/>
          <w:szCs w:val="25"/>
        </w:rPr>
        <w:t>象条件；</w:t>
      </w:r>
    </w:p>
    <w:p w14:paraId="7F7F456B">
      <w:pPr>
        <w:spacing w:before="106" w:line="212" w:lineRule="auto"/>
        <w:ind w:left="560"/>
        <w:rPr>
          <w:rFonts w:ascii="宋体" w:hAnsi="宋体" w:eastAsia="宋体" w:cs="宋体"/>
          <w:sz w:val="24"/>
          <w:szCs w:val="24"/>
        </w:rPr>
      </w:pPr>
      <w:r>
        <w:rPr>
          <w:rFonts w:ascii="Times New Roman" w:hAnsi="Times New Roman" w:eastAsia="Times New Roman" w:cs="Times New Roman"/>
          <w:spacing w:val="20"/>
          <w:sz w:val="24"/>
          <w:szCs w:val="24"/>
        </w:rPr>
        <w:t>b)</w:t>
      </w:r>
      <w:r>
        <w:rPr>
          <w:rFonts w:ascii="Times New Roman" w:hAnsi="Times New Roman" w:eastAsia="Times New Roman" w:cs="Times New Roman"/>
          <w:spacing w:val="19"/>
          <w:w w:val="101"/>
          <w:sz w:val="24"/>
          <w:szCs w:val="24"/>
        </w:rPr>
        <w:t xml:space="preserve">  </w:t>
      </w:r>
      <w:r>
        <w:rPr>
          <w:rFonts w:ascii="宋体" w:hAnsi="宋体" w:eastAsia="宋体" w:cs="宋体"/>
          <w:spacing w:val="20"/>
          <w:sz w:val="24"/>
          <w:szCs w:val="24"/>
        </w:rPr>
        <w:t>地形条件；</w:t>
      </w:r>
    </w:p>
    <w:p w14:paraId="54494C31">
      <w:pPr>
        <w:spacing w:before="124" w:line="212" w:lineRule="auto"/>
        <w:ind w:left="560"/>
        <w:rPr>
          <w:rFonts w:ascii="宋体" w:hAnsi="宋体" w:eastAsia="宋体" w:cs="宋体"/>
          <w:sz w:val="24"/>
          <w:szCs w:val="24"/>
        </w:rPr>
      </w:pPr>
      <w:r>
        <w:rPr>
          <w:rFonts w:ascii="Times New Roman" w:hAnsi="Times New Roman" w:eastAsia="Times New Roman" w:cs="Times New Roman"/>
          <w:spacing w:val="21"/>
          <w:sz w:val="24"/>
          <w:szCs w:val="24"/>
        </w:rPr>
        <w:t>c)</w:t>
      </w:r>
      <w:r>
        <w:rPr>
          <w:rFonts w:ascii="Times New Roman" w:hAnsi="Times New Roman" w:eastAsia="Times New Roman" w:cs="Times New Roman"/>
          <w:spacing w:val="21"/>
          <w:w w:val="101"/>
          <w:sz w:val="24"/>
          <w:szCs w:val="24"/>
        </w:rPr>
        <w:t xml:space="preserve">  </w:t>
      </w:r>
      <w:r>
        <w:rPr>
          <w:rFonts w:ascii="宋体" w:hAnsi="宋体" w:eastAsia="宋体" w:cs="宋体"/>
          <w:spacing w:val="21"/>
          <w:sz w:val="24"/>
          <w:szCs w:val="24"/>
        </w:rPr>
        <w:t>海域海况条件；</w:t>
      </w:r>
    </w:p>
    <w:p w14:paraId="0ADE6767">
      <w:pPr>
        <w:spacing w:before="93"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d)</w:t>
      </w:r>
      <w:r>
        <w:rPr>
          <w:rFonts w:ascii="Times New Roman" w:hAnsi="Times New Roman" w:eastAsia="Times New Roman" w:cs="Times New Roman"/>
          <w:spacing w:val="70"/>
          <w:sz w:val="27"/>
          <w:szCs w:val="27"/>
        </w:rPr>
        <w:t xml:space="preserve"> </w:t>
      </w:r>
      <w:r>
        <w:rPr>
          <w:rFonts w:ascii="宋体" w:hAnsi="宋体" w:eastAsia="宋体" w:cs="宋体"/>
          <w:spacing w:val="1"/>
          <w:sz w:val="27"/>
          <w:szCs w:val="27"/>
        </w:rPr>
        <w:t>模拟战场环境条件；</w:t>
      </w:r>
    </w:p>
    <w:p w14:paraId="783E6C81">
      <w:pPr>
        <w:spacing w:before="99"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e)</w:t>
      </w:r>
      <w:r>
        <w:rPr>
          <w:rFonts w:ascii="Times New Roman" w:hAnsi="Times New Roman" w:eastAsia="Times New Roman" w:cs="Times New Roman"/>
          <w:spacing w:val="66"/>
          <w:w w:val="101"/>
          <w:sz w:val="27"/>
          <w:szCs w:val="27"/>
        </w:rPr>
        <w:t xml:space="preserve"> </w:t>
      </w:r>
      <w:r>
        <w:rPr>
          <w:rFonts w:ascii="宋体" w:hAnsi="宋体" w:eastAsia="宋体" w:cs="宋体"/>
          <w:spacing w:val="3"/>
          <w:sz w:val="27"/>
          <w:szCs w:val="27"/>
        </w:rPr>
        <w:t>其他特定条件等。</w:t>
      </w:r>
    </w:p>
    <w:p w14:paraId="63363BCC">
      <w:pPr>
        <w:pStyle w:val="2"/>
        <w:spacing w:before="125" w:line="221" w:lineRule="auto"/>
        <w:rPr>
          <w:rFonts w:ascii="黑体" w:hAnsi="黑体" w:eastAsia="黑体" w:cs="黑体"/>
          <w:sz w:val="27"/>
          <w:szCs w:val="27"/>
        </w:rPr>
      </w:pPr>
      <w:r>
        <w:rPr>
          <w:b/>
          <w:bCs/>
          <w:spacing w:val="-1"/>
          <w:sz w:val="27"/>
          <w:szCs w:val="27"/>
        </w:rPr>
        <w:t>2.3</w:t>
      </w:r>
      <w:r>
        <w:rPr>
          <w:b/>
          <w:bCs/>
          <w:spacing w:val="15"/>
          <w:sz w:val="27"/>
          <w:szCs w:val="27"/>
        </w:rPr>
        <w:t xml:space="preserve">    </w:t>
      </w:r>
      <w:r>
        <w:rPr>
          <w:rFonts w:ascii="黑体" w:hAnsi="黑体" w:eastAsia="黑体" w:cs="黑体"/>
          <w:b/>
          <w:bCs/>
          <w:spacing w:val="-1"/>
          <w:sz w:val="27"/>
          <w:szCs w:val="27"/>
        </w:rPr>
        <w:t>被试品</w:t>
      </w:r>
    </w:p>
    <w:p w14:paraId="31E1CB56">
      <w:pPr>
        <w:spacing w:before="97" w:line="222" w:lineRule="auto"/>
        <w:ind w:left="560"/>
        <w:rPr>
          <w:rFonts w:ascii="宋体" w:hAnsi="宋体" w:eastAsia="宋体" w:cs="宋体"/>
          <w:sz w:val="27"/>
          <w:szCs w:val="27"/>
        </w:rPr>
      </w:pPr>
      <w:r>
        <w:rPr>
          <w:rFonts w:ascii="宋体" w:hAnsi="宋体" w:eastAsia="宋体" w:cs="宋体"/>
          <w:spacing w:val="-1"/>
          <w:sz w:val="27"/>
          <w:szCs w:val="27"/>
        </w:rPr>
        <w:t>主要包括：</w:t>
      </w:r>
    </w:p>
    <w:p w14:paraId="18C25455">
      <w:pPr>
        <w:spacing w:before="51" w:line="212" w:lineRule="auto"/>
        <w:ind w:left="560"/>
        <w:rPr>
          <w:rFonts w:ascii="宋体" w:hAnsi="宋体" w:eastAsia="宋体" w:cs="宋体"/>
          <w:sz w:val="27"/>
          <w:szCs w:val="27"/>
        </w:rPr>
      </w:pPr>
      <w:r>
        <w:rPr>
          <w:rFonts w:ascii="Times New Roman" w:hAnsi="Times New Roman" w:eastAsia="Times New Roman" w:cs="Times New Roman"/>
          <w:spacing w:val="-9"/>
          <w:sz w:val="27"/>
          <w:szCs w:val="27"/>
        </w:rPr>
        <w:t xml:space="preserve">a)  </w:t>
      </w:r>
      <w:r>
        <w:rPr>
          <w:rFonts w:ascii="宋体" w:hAnsi="宋体" w:eastAsia="宋体" w:cs="宋体"/>
          <w:spacing w:val="-9"/>
          <w:sz w:val="27"/>
          <w:szCs w:val="27"/>
        </w:rPr>
        <w:t>被试品的名称、型号、研制和生产单位；</w:t>
      </w:r>
    </w:p>
    <w:p w14:paraId="594E5C08">
      <w:pPr>
        <w:spacing w:line="212" w:lineRule="auto"/>
        <w:rPr>
          <w:rFonts w:ascii="宋体" w:hAnsi="宋体" w:eastAsia="宋体" w:cs="宋体"/>
          <w:sz w:val="27"/>
          <w:szCs w:val="27"/>
        </w:rPr>
        <w:sectPr>
          <w:footerReference r:id="rId131" w:type="default"/>
          <w:pgSz w:w="11910" w:h="17130"/>
          <w:pgMar w:top="400" w:right="1157" w:bottom="1595" w:left="1370" w:header="0" w:footer="1351" w:gutter="0"/>
          <w:cols w:space="720" w:num="1"/>
        </w:sectPr>
      </w:pPr>
    </w:p>
    <w:p w14:paraId="7BD5BCDC">
      <w:pPr>
        <w:pStyle w:val="2"/>
        <w:spacing w:line="249" w:lineRule="auto"/>
      </w:pPr>
    </w:p>
    <w:p w14:paraId="78ACB6E6">
      <w:pPr>
        <w:pStyle w:val="2"/>
        <w:spacing w:line="249" w:lineRule="auto"/>
      </w:pPr>
    </w:p>
    <w:p w14:paraId="1DA5DCAB">
      <w:pPr>
        <w:pStyle w:val="2"/>
        <w:spacing w:line="249" w:lineRule="auto"/>
      </w:pPr>
    </w:p>
    <w:p w14:paraId="764AE1DF">
      <w:pPr>
        <w:pStyle w:val="2"/>
        <w:spacing w:line="249" w:lineRule="auto"/>
      </w:pPr>
    </w:p>
    <w:p w14:paraId="27628558">
      <w:pPr>
        <w:spacing w:before="88" w:line="212" w:lineRule="auto"/>
        <w:ind w:left="550"/>
        <w:rPr>
          <w:rFonts w:ascii="宋体" w:hAnsi="宋体" w:eastAsia="宋体" w:cs="宋体"/>
          <w:sz w:val="27"/>
          <w:szCs w:val="27"/>
        </w:rPr>
      </w:pPr>
      <w:r>
        <w:rPr>
          <w:rFonts w:ascii="Times New Roman" w:hAnsi="Times New Roman" w:eastAsia="Times New Roman" w:cs="Times New Roman"/>
          <w:spacing w:val="-11"/>
          <w:sz w:val="27"/>
          <w:szCs w:val="27"/>
        </w:rPr>
        <w:t xml:space="preserve">b)  </w:t>
      </w:r>
      <w:r>
        <w:rPr>
          <w:rFonts w:ascii="宋体" w:hAnsi="宋体" w:eastAsia="宋体" w:cs="宋体"/>
          <w:spacing w:val="-11"/>
          <w:sz w:val="27"/>
          <w:szCs w:val="27"/>
        </w:rPr>
        <w:t>被试品的种类、数量、主要参数、技术状态、工</w:t>
      </w:r>
      <w:r>
        <w:rPr>
          <w:rFonts w:ascii="宋体" w:hAnsi="宋体" w:eastAsia="宋体" w:cs="宋体"/>
          <w:spacing w:val="-12"/>
          <w:sz w:val="27"/>
          <w:szCs w:val="27"/>
        </w:rPr>
        <w:t>作时间或消耗情况；</w:t>
      </w:r>
    </w:p>
    <w:p w14:paraId="4027117E">
      <w:pPr>
        <w:spacing w:before="89"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被试品是否符合其试验大纲和规程规定的试验应具备条件的情况等。</w:t>
      </w:r>
    </w:p>
    <w:p w14:paraId="28677913">
      <w:pPr>
        <w:spacing w:before="115" w:line="275" w:lineRule="auto"/>
        <w:ind w:left="550" w:right="5929" w:hanging="550"/>
        <w:rPr>
          <w:rFonts w:ascii="宋体" w:hAnsi="宋体" w:eastAsia="宋体" w:cs="宋体"/>
          <w:sz w:val="27"/>
          <w:szCs w:val="27"/>
        </w:rPr>
      </w:pPr>
      <w:r>
        <w:rPr>
          <w:rFonts w:ascii="黑体" w:hAnsi="黑体" w:eastAsia="黑体" w:cs="黑体"/>
          <w:spacing w:val="-7"/>
          <w:sz w:val="27"/>
          <w:szCs w:val="27"/>
        </w:rPr>
        <w:t xml:space="preserve">2.4  </w:t>
      </w:r>
      <w:r>
        <w:rPr>
          <w:rFonts w:ascii="黑体" w:hAnsi="黑体" w:eastAsia="黑体" w:cs="黑体"/>
          <w:b/>
          <w:bCs/>
          <w:spacing w:val="-7"/>
          <w:sz w:val="27"/>
          <w:szCs w:val="27"/>
        </w:rPr>
        <w:t>陪试品、测试仪器和设备</w:t>
      </w:r>
      <w:r>
        <w:rPr>
          <w:rFonts w:ascii="黑体" w:hAnsi="黑体" w:eastAsia="黑体" w:cs="黑体"/>
          <w:sz w:val="27"/>
          <w:szCs w:val="27"/>
        </w:rPr>
        <w:t xml:space="preserve"> </w:t>
      </w:r>
      <w:r>
        <w:rPr>
          <w:rFonts w:ascii="宋体" w:hAnsi="宋体" w:eastAsia="宋体" w:cs="宋体"/>
          <w:spacing w:val="-3"/>
          <w:sz w:val="27"/>
          <w:szCs w:val="27"/>
        </w:rPr>
        <w:t>主要包括：</w:t>
      </w:r>
    </w:p>
    <w:p w14:paraId="09E1C079">
      <w:pPr>
        <w:spacing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 xml:space="preserve">a)  </w:t>
      </w:r>
      <w:r>
        <w:rPr>
          <w:rFonts w:ascii="宋体" w:hAnsi="宋体" w:eastAsia="宋体" w:cs="宋体"/>
          <w:spacing w:val="-6"/>
          <w:sz w:val="27"/>
          <w:szCs w:val="27"/>
        </w:rPr>
        <w:t>陪试品、试验仪器和设备的名称、型号(规格)和数</w:t>
      </w:r>
      <w:r>
        <w:rPr>
          <w:rFonts w:ascii="宋体" w:hAnsi="宋体" w:eastAsia="宋体" w:cs="宋体"/>
          <w:spacing w:val="-7"/>
          <w:sz w:val="27"/>
          <w:szCs w:val="27"/>
        </w:rPr>
        <w:t>量；</w:t>
      </w:r>
    </w:p>
    <w:p w14:paraId="38D34682">
      <w:pPr>
        <w:spacing w:before="9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b)  </w:t>
      </w:r>
      <w:r>
        <w:rPr>
          <w:rFonts w:ascii="宋体" w:hAnsi="宋体" w:eastAsia="宋体" w:cs="宋体"/>
          <w:spacing w:val="-5"/>
          <w:sz w:val="27"/>
          <w:szCs w:val="27"/>
        </w:rPr>
        <w:t>陪试品、试验仪器和设备的技术状态、工作时间或消耗情况；</w:t>
      </w:r>
    </w:p>
    <w:p w14:paraId="686A2DC5">
      <w:pPr>
        <w:spacing w:before="109" w:line="257" w:lineRule="auto"/>
        <w:ind w:right="122" w:firstLine="55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陪试品、试验仪器和设备是否符合其试验大纲和规程规定的试验应具备</w:t>
      </w:r>
      <w:r>
        <w:rPr>
          <w:rFonts w:ascii="宋体" w:hAnsi="宋体" w:eastAsia="宋体" w:cs="宋体"/>
          <w:spacing w:val="1"/>
          <w:sz w:val="27"/>
          <w:szCs w:val="27"/>
        </w:rPr>
        <w:t xml:space="preserve"> </w:t>
      </w:r>
      <w:r>
        <w:rPr>
          <w:rFonts w:ascii="宋体" w:hAnsi="宋体" w:eastAsia="宋体" w:cs="宋体"/>
          <w:spacing w:val="-1"/>
          <w:sz w:val="27"/>
          <w:szCs w:val="27"/>
        </w:rPr>
        <w:t>条件的情况等。</w:t>
      </w:r>
    </w:p>
    <w:p w14:paraId="785D772C">
      <w:pPr>
        <w:spacing w:before="73" w:line="221" w:lineRule="auto"/>
        <w:rPr>
          <w:rFonts w:ascii="黑体" w:hAnsi="黑体" w:eastAsia="黑体" w:cs="黑体"/>
          <w:sz w:val="27"/>
          <w:szCs w:val="27"/>
        </w:rPr>
      </w:pPr>
      <w:r>
        <w:rPr>
          <w:rFonts w:ascii="黑体" w:hAnsi="黑体" w:eastAsia="黑体" w:cs="黑体"/>
          <w:spacing w:val="2"/>
          <w:sz w:val="27"/>
          <w:szCs w:val="27"/>
        </w:rPr>
        <w:t xml:space="preserve">2.5  </w:t>
      </w:r>
      <w:r>
        <w:rPr>
          <w:rFonts w:ascii="黑体" w:hAnsi="黑体" w:eastAsia="黑体" w:cs="黑体"/>
          <w:b/>
          <w:bCs/>
          <w:spacing w:val="2"/>
          <w:sz w:val="27"/>
          <w:szCs w:val="27"/>
        </w:rPr>
        <w:t>承试部队</w:t>
      </w:r>
    </w:p>
    <w:p w14:paraId="337CC608">
      <w:pPr>
        <w:spacing w:before="107" w:line="222" w:lineRule="auto"/>
        <w:ind w:left="550"/>
        <w:rPr>
          <w:rFonts w:ascii="宋体" w:hAnsi="宋体" w:eastAsia="宋体" w:cs="宋体"/>
          <w:sz w:val="27"/>
          <w:szCs w:val="27"/>
        </w:rPr>
      </w:pPr>
      <w:r>
        <w:rPr>
          <w:rFonts w:ascii="宋体" w:hAnsi="宋体" w:eastAsia="宋体" w:cs="宋体"/>
          <w:spacing w:val="-8"/>
          <w:sz w:val="27"/>
          <w:szCs w:val="27"/>
        </w:rPr>
        <w:t>主要包括：</w:t>
      </w:r>
    </w:p>
    <w:p w14:paraId="18304024">
      <w:pPr>
        <w:spacing w:before="62" w:line="212" w:lineRule="auto"/>
        <w:ind w:left="550"/>
        <w:rPr>
          <w:rFonts w:ascii="宋体" w:hAnsi="宋体" w:eastAsia="宋体" w:cs="宋体"/>
          <w:sz w:val="25"/>
          <w:szCs w:val="25"/>
        </w:rPr>
      </w:pPr>
      <w:r>
        <w:rPr>
          <w:rFonts w:ascii="Times New Roman" w:hAnsi="Times New Roman" w:eastAsia="Times New Roman" w:cs="Times New Roman"/>
          <w:spacing w:val="11"/>
          <w:sz w:val="25"/>
          <w:szCs w:val="25"/>
        </w:rPr>
        <w:t>a)</w:t>
      </w:r>
      <w:r>
        <w:rPr>
          <w:rFonts w:ascii="Times New Roman" w:hAnsi="Times New Roman" w:eastAsia="Times New Roman" w:cs="Times New Roman"/>
          <w:spacing w:val="32"/>
          <w:sz w:val="25"/>
          <w:szCs w:val="25"/>
        </w:rPr>
        <w:t xml:space="preserve">  </w:t>
      </w:r>
      <w:r>
        <w:rPr>
          <w:rFonts w:ascii="宋体" w:hAnsi="宋体" w:eastAsia="宋体" w:cs="宋体"/>
          <w:spacing w:val="11"/>
          <w:sz w:val="25"/>
          <w:szCs w:val="25"/>
        </w:rPr>
        <w:t>承试部(分)队番号、使用兵力和装备；</w:t>
      </w:r>
    </w:p>
    <w:p w14:paraId="186C9DD6">
      <w:pPr>
        <w:spacing w:before="112" w:line="212" w:lineRule="auto"/>
        <w:ind w:left="550"/>
        <w:rPr>
          <w:rFonts w:ascii="宋体" w:hAnsi="宋体" w:eastAsia="宋体" w:cs="宋体"/>
          <w:sz w:val="27"/>
          <w:szCs w:val="27"/>
        </w:rPr>
      </w:pPr>
      <w:r>
        <w:rPr>
          <w:rFonts w:ascii="Times New Roman" w:hAnsi="Times New Roman" w:eastAsia="Times New Roman" w:cs="Times New Roman"/>
          <w:spacing w:val="-12"/>
          <w:sz w:val="27"/>
          <w:szCs w:val="27"/>
        </w:rPr>
        <w:t xml:space="preserve">b)  </w:t>
      </w:r>
      <w:r>
        <w:rPr>
          <w:rFonts w:ascii="宋体" w:hAnsi="宋体" w:eastAsia="宋体" w:cs="宋体"/>
          <w:spacing w:val="-12"/>
          <w:sz w:val="27"/>
          <w:szCs w:val="27"/>
        </w:rPr>
        <w:t>承试人员的类别、数量、专业、分工和编组情况；</w:t>
      </w:r>
    </w:p>
    <w:p w14:paraId="1657CF1F">
      <w:pPr>
        <w:spacing w:before="10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c)  </w:t>
      </w:r>
      <w:r>
        <w:rPr>
          <w:rFonts w:ascii="宋体" w:hAnsi="宋体" w:eastAsia="宋体" w:cs="宋体"/>
          <w:spacing w:val="-2"/>
          <w:sz w:val="27"/>
          <w:szCs w:val="27"/>
        </w:rPr>
        <w:t>承试人员的军政素质、技术水平和身体条件；</w:t>
      </w:r>
    </w:p>
    <w:p w14:paraId="46B5EC5B">
      <w:pPr>
        <w:spacing w:before="10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承试人员的培训及培训结束时的考核情况；</w:t>
      </w:r>
    </w:p>
    <w:p w14:paraId="25643B44">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承试部(分)队、人员和器材的定位情况；</w:t>
      </w:r>
    </w:p>
    <w:p w14:paraId="506C5289">
      <w:pPr>
        <w:spacing w:before="10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f)</w:t>
      </w:r>
      <w:r>
        <w:rPr>
          <w:rFonts w:ascii="Times New Roman" w:hAnsi="Times New Roman" w:eastAsia="Times New Roman" w:cs="Times New Roman"/>
          <w:spacing w:val="66"/>
          <w:sz w:val="27"/>
          <w:szCs w:val="27"/>
        </w:rPr>
        <w:t xml:space="preserve"> </w:t>
      </w:r>
      <w:r>
        <w:rPr>
          <w:rFonts w:ascii="宋体" w:hAnsi="宋体" w:eastAsia="宋体" w:cs="宋体"/>
          <w:spacing w:val="4"/>
          <w:sz w:val="27"/>
          <w:szCs w:val="27"/>
        </w:rPr>
        <w:t>试验中途更换部(分)队和人员情况等。</w:t>
      </w:r>
    </w:p>
    <w:p w14:paraId="0FDD54F0">
      <w:pPr>
        <w:spacing w:before="126" w:line="222" w:lineRule="auto"/>
        <w:rPr>
          <w:rFonts w:ascii="黑体" w:hAnsi="黑体" w:eastAsia="黑体" w:cs="黑体"/>
          <w:sz w:val="27"/>
          <w:szCs w:val="27"/>
        </w:rPr>
      </w:pPr>
      <w:r>
        <w:rPr>
          <w:rFonts w:ascii="黑体" w:hAnsi="黑体" w:eastAsia="黑体" w:cs="黑体"/>
          <w:spacing w:val="2"/>
          <w:sz w:val="27"/>
          <w:szCs w:val="27"/>
        </w:rPr>
        <w:t xml:space="preserve">2.6  </w:t>
      </w:r>
      <w:r>
        <w:rPr>
          <w:rFonts w:ascii="黑体" w:hAnsi="黑体" w:eastAsia="黑体" w:cs="黑体"/>
          <w:b/>
          <w:bCs/>
          <w:spacing w:val="2"/>
          <w:sz w:val="27"/>
          <w:szCs w:val="27"/>
        </w:rPr>
        <w:t>其他条件</w:t>
      </w:r>
    </w:p>
    <w:p w14:paraId="0196304F">
      <w:pPr>
        <w:spacing w:before="94" w:line="222" w:lineRule="auto"/>
        <w:ind w:left="550"/>
        <w:rPr>
          <w:rFonts w:ascii="宋体" w:hAnsi="宋体" w:eastAsia="宋体" w:cs="宋体"/>
          <w:sz w:val="27"/>
          <w:szCs w:val="27"/>
        </w:rPr>
      </w:pPr>
      <w:r>
        <w:rPr>
          <w:rFonts w:ascii="宋体" w:hAnsi="宋体" w:eastAsia="宋体" w:cs="宋体"/>
          <w:spacing w:val="-3"/>
          <w:sz w:val="27"/>
          <w:szCs w:val="27"/>
        </w:rPr>
        <w:t>主要包括：</w:t>
      </w:r>
    </w:p>
    <w:p w14:paraId="44E8BF28">
      <w:pPr>
        <w:spacing w:before="5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试验大纲和规程规定的技术文件是否</w:t>
      </w:r>
      <w:r>
        <w:rPr>
          <w:rFonts w:ascii="宋体" w:hAnsi="宋体" w:eastAsia="宋体" w:cs="宋体"/>
          <w:spacing w:val="3"/>
          <w:sz w:val="27"/>
          <w:szCs w:val="27"/>
        </w:rPr>
        <w:t>齐全；</w:t>
      </w:r>
    </w:p>
    <w:p w14:paraId="0231B46C">
      <w:pPr>
        <w:spacing w:before="10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72"/>
          <w:sz w:val="27"/>
          <w:szCs w:val="27"/>
        </w:rPr>
        <w:t xml:space="preserve"> </w:t>
      </w:r>
      <w:r>
        <w:rPr>
          <w:rFonts w:ascii="宋体" w:hAnsi="宋体" w:eastAsia="宋体" w:cs="宋体"/>
          <w:spacing w:val="1"/>
          <w:sz w:val="27"/>
          <w:szCs w:val="27"/>
        </w:rPr>
        <w:t>试验保障情况；</w:t>
      </w:r>
    </w:p>
    <w:p w14:paraId="1C069962">
      <w:pPr>
        <w:spacing w:before="10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72"/>
          <w:w w:val="101"/>
          <w:sz w:val="27"/>
          <w:szCs w:val="27"/>
        </w:rPr>
        <w:t xml:space="preserve"> </w:t>
      </w:r>
      <w:r>
        <w:rPr>
          <w:rFonts w:ascii="宋体" w:hAnsi="宋体" w:eastAsia="宋体" w:cs="宋体"/>
          <w:spacing w:val="2"/>
          <w:sz w:val="27"/>
          <w:szCs w:val="27"/>
        </w:rPr>
        <w:t>其他需说明的条件等。</w:t>
      </w:r>
    </w:p>
    <w:p w14:paraId="3CDD8976">
      <w:pPr>
        <w:pStyle w:val="2"/>
        <w:spacing w:before="114" w:line="221" w:lineRule="auto"/>
        <w:rPr>
          <w:rFonts w:ascii="黑体" w:hAnsi="黑体" w:eastAsia="黑体" w:cs="黑体"/>
          <w:sz w:val="27"/>
          <w:szCs w:val="27"/>
        </w:rPr>
      </w:pPr>
      <w:r>
        <w:rPr>
          <w:b/>
          <w:bCs/>
          <w:spacing w:val="-8"/>
          <w:sz w:val="27"/>
          <w:szCs w:val="27"/>
        </w:rPr>
        <w:t>3</w:t>
      </w:r>
      <w:r>
        <w:rPr>
          <w:b/>
          <w:bCs/>
          <w:spacing w:val="25"/>
          <w:sz w:val="27"/>
          <w:szCs w:val="27"/>
        </w:rPr>
        <w:t xml:space="preserve">   </w:t>
      </w:r>
      <w:r>
        <w:rPr>
          <w:rFonts w:ascii="黑体" w:hAnsi="黑体" w:eastAsia="黑体" w:cs="黑体"/>
          <w:b/>
          <w:bCs/>
          <w:spacing w:val="-8"/>
          <w:sz w:val="27"/>
          <w:szCs w:val="27"/>
        </w:rPr>
        <w:t>试验项目、结果和必要的说明</w:t>
      </w:r>
    </w:p>
    <w:p w14:paraId="73410EC5">
      <w:pPr>
        <w:spacing w:before="112" w:line="267" w:lineRule="auto"/>
        <w:ind w:firstLine="550"/>
        <w:rPr>
          <w:rFonts w:ascii="宋体" w:hAnsi="宋体" w:eastAsia="宋体" w:cs="宋体"/>
          <w:sz w:val="27"/>
          <w:szCs w:val="27"/>
        </w:rPr>
      </w:pPr>
      <w:r>
        <w:rPr>
          <w:rFonts w:ascii="宋体" w:hAnsi="宋体" w:eastAsia="宋体" w:cs="宋体"/>
          <w:spacing w:val="1"/>
          <w:sz w:val="27"/>
          <w:szCs w:val="27"/>
        </w:rPr>
        <w:t>应按试验大纲规定的试验项目分类，简要叙述各项试验的实施情况和结果，</w:t>
      </w:r>
      <w:r>
        <w:rPr>
          <w:rFonts w:ascii="宋体" w:hAnsi="宋体" w:eastAsia="宋体" w:cs="宋体"/>
          <w:sz w:val="27"/>
          <w:szCs w:val="27"/>
        </w:rPr>
        <w:t xml:space="preserve"> </w:t>
      </w:r>
      <w:r>
        <w:rPr>
          <w:rFonts w:ascii="宋体" w:hAnsi="宋体" w:eastAsia="宋体" w:cs="宋体"/>
          <w:spacing w:val="-2"/>
          <w:sz w:val="27"/>
          <w:szCs w:val="27"/>
        </w:rPr>
        <w:t>阐明是否符合预定的要求，并作必要的说明。应有以下内容：</w:t>
      </w:r>
    </w:p>
    <w:p w14:paraId="06286372">
      <w:pPr>
        <w:spacing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a)  </w:t>
      </w:r>
      <w:r>
        <w:rPr>
          <w:rFonts w:ascii="宋体" w:hAnsi="宋体" w:eastAsia="宋体" w:cs="宋体"/>
          <w:spacing w:val="1"/>
          <w:sz w:val="27"/>
          <w:szCs w:val="27"/>
        </w:rPr>
        <w:t>试验的具体项目；</w:t>
      </w:r>
    </w:p>
    <w:p w14:paraId="3318ECBD">
      <w:pPr>
        <w:spacing w:before="100" w:line="212" w:lineRule="auto"/>
        <w:ind w:left="550"/>
        <w:rPr>
          <w:rFonts w:ascii="宋体" w:hAnsi="宋体" w:eastAsia="宋体" w:cs="宋体"/>
          <w:sz w:val="27"/>
          <w:szCs w:val="27"/>
        </w:rPr>
      </w:pPr>
      <w:r>
        <w:rPr>
          <w:rFonts w:ascii="Times New Roman" w:hAnsi="Times New Roman" w:eastAsia="Times New Roman" w:cs="Times New Roman"/>
          <w:sz w:val="27"/>
          <w:szCs w:val="27"/>
        </w:rPr>
        <w:t>b)</w:t>
      </w:r>
      <w:r>
        <w:rPr>
          <w:rFonts w:ascii="Times New Roman" w:hAnsi="Times New Roman" w:eastAsia="Times New Roman" w:cs="Times New Roman"/>
          <w:spacing w:val="78"/>
          <w:sz w:val="27"/>
          <w:szCs w:val="27"/>
        </w:rPr>
        <w:t xml:space="preserve"> </w:t>
      </w:r>
      <w:r>
        <w:rPr>
          <w:rFonts w:ascii="宋体" w:hAnsi="宋体" w:eastAsia="宋体" w:cs="宋体"/>
          <w:sz w:val="27"/>
          <w:szCs w:val="27"/>
        </w:rPr>
        <w:t>各项试验的过程简述(含步骤、内容和方法等);</w:t>
      </w:r>
    </w:p>
    <w:p w14:paraId="410BDBA6">
      <w:pPr>
        <w:spacing w:before="111" w:line="262" w:lineRule="auto"/>
        <w:ind w:right="120" w:firstLine="550"/>
        <w:rPr>
          <w:rFonts w:ascii="宋体" w:hAnsi="宋体" w:eastAsia="宋体" w:cs="宋体"/>
          <w:sz w:val="27"/>
          <w:szCs w:val="27"/>
        </w:rPr>
      </w:pPr>
      <w:r>
        <w:rPr>
          <w:rFonts w:ascii="Times New Roman" w:hAnsi="Times New Roman" w:eastAsia="Times New Roman" w:cs="Times New Roman"/>
          <w:spacing w:val="6"/>
          <w:sz w:val="27"/>
          <w:szCs w:val="27"/>
        </w:rPr>
        <w:t xml:space="preserve">c)  </w:t>
      </w:r>
      <w:r>
        <w:rPr>
          <w:rFonts w:ascii="宋体" w:hAnsi="宋体" w:eastAsia="宋体" w:cs="宋体"/>
          <w:spacing w:val="6"/>
          <w:sz w:val="27"/>
          <w:szCs w:val="27"/>
        </w:rPr>
        <w:t>各项试验的结果(必要时也可采用图表形式表示):1)使用效果；2)能够</w:t>
      </w:r>
      <w:r>
        <w:rPr>
          <w:rFonts w:ascii="宋体" w:hAnsi="宋体" w:eastAsia="宋体" w:cs="宋体"/>
          <w:spacing w:val="15"/>
          <w:sz w:val="27"/>
          <w:szCs w:val="27"/>
        </w:rPr>
        <w:t xml:space="preserve"> </w:t>
      </w:r>
      <w:r>
        <w:rPr>
          <w:rFonts w:ascii="宋体" w:hAnsi="宋体" w:eastAsia="宋体" w:cs="宋体"/>
          <w:spacing w:val="5"/>
          <w:sz w:val="27"/>
          <w:szCs w:val="27"/>
        </w:rPr>
        <w:t>实现的功能或能够完成的任务及其完成的程度；3)未能实现的功能或未能完成</w:t>
      </w:r>
      <w:r>
        <w:rPr>
          <w:rFonts w:ascii="宋体" w:hAnsi="宋体" w:eastAsia="宋体" w:cs="宋体"/>
          <w:spacing w:val="16"/>
          <w:sz w:val="27"/>
          <w:szCs w:val="27"/>
        </w:rPr>
        <w:t xml:space="preserve"> </w:t>
      </w:r>
      <w:r>
        <w:rPr>
          <w:rFonts w:ascii="宋体" w:hAnsi="宋体" w:eastAsia="宋体" w:cs="宋体"/>
          <w:spacing w:val="-5"/>
          <w:sz w:val="27"/>
          <w:szCs w:val="27"/>
        </w:rPr>
        <w:t>的任务；4)出现的故障和存在的问题；5</w:t>
      </w:r>
      <w:r>
        <w:rPr>
          <w:rFonts w:ascii="宋体" w:hAnsi="宋体" w:eastAsia="宋体" w:cs="宋体"/>
          <w:spacing w:val="-6"/>
          <w:sz w:val="27"/>
          <w:szCs w:val="27"/>
        </w:rPr>
        <w:t>)是否符合预定的要求；</w:t>
      </w:r>
    </w:p>
    <w:p w14:paraId="7D5A4297">
      <w:pPr>
        <w:spacing w:before="91" w:line="212" w:lineRule="auto"/>
        <w:ind w:left="550"/>
        <w:rPr>
          <w:rFonts w:ascii="宋体" w:hAnsi="宋体" w:eastAsia="宋体" w:cs="宋体"/>
          <w:sz w:val="24"/>
          <w:szCs w:val="24"/>
        </w:rPr>
      </w:pPr>
      <w:r>
        <w:rPr>
          <w:rFonts w:ascii="Times New Roman" w:hAnsi="Times New Roman" w:eastAsia="Times New Roman" w:cs="Times New Roman"/>
          <w:spacing w:val="26"/>
          <w:sz w:val="24"/>
          <w:szCs w:val="24"/>
        </w:rPr>
        <w:t>d)</w:t>
      </w:r>
      <w:r>
        <w:rPr>
          <w:rFonts w:ascii="Times New Roman" w:hAnsi="Times New Roman" w:eastAsia="Times New Roman" w:cs="Times New Roman"/>
          <w:spacing w:val="24"/>
          <w:sz w:val="24"/>
          <w:szCs w:val="24"/>
        </w:rPr>
        <w:t xml:space="preserve">  </w:t>
      </w:r>
      <w:r>
        <w:rPr>
          <w:rFonts w:ascii="宋体" w:hAnsi="宋体" w:eastAsia="宋体" w:cs="宋体"/>
          <w:spacing w:val="26"/>
          <w:sz w:val="24"/>
          <w:szCs w:val="24"/>
        </w:rPr>
        <w:t>各项试验必要的说明；</w:t>
      </w:r>
    </w:p>
    <w:p w14:paraId="5B0F42C5">
      <w:pPr>
        <w:spacing w:before="123"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没有完成的试验项目应说明原因和处理情况等。</w:t>
      </w:r>
    </w:p>
    <w:p w14:paraId="3D76FB8D">
      <w:pPr>
        <w:spacing w:before="94"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6"/>
          <w:sz w:val="27"/>
          <w:szCs w:val="27"/>
        </w:rPr>
        <w:t xml:space="preserve">  </w:t>
      </w:r>
      <w:r>
        <w:rPr>
          <w:rFonts w:ascii="黑体" w:hAnsi="黑体" w:eastAsia="黑体" w:cs="黑体"/>
          <w:b/>
          <w:bCs/>
          <w:spacing w:val="1"/>
          <w:sz w:val="27"/>
          <w:szCs w:val="27"/>
        </w:rPr>
        <w:t>对被试品的评价</w:t>
      </w:r>
    </w:p>
    <w:p w14:paraId="246D32ED">
      <w:pPr>
        <w:spacing w:before="117" w:line="222" w:lineRule="auto"/>
        <w:rPr>
          <w:rFonts w:ascii="黑体" w:hAnsi="黑体" w:eastAsia="黑体" w:cs="黑体"/>
          <w:sz w:val="24"/>
          <w:szCs w:val="24"/>
        </w:rPr>
      </w:pPr>
      <w:r>
        <w:rPr>
          <w:rFonts w:ascii="黑体" w:hAnsi="黑体" w:eastAsia="黑体" w:cs="黑体"/>
          <w:spacing w:val="24"/>
          <w:sz w:val="24"/>
          <w:szCs w:val="24"/>
        </w:rPr>
        <w:t>4.1</w:t>
      </w:r>
      <w:r>
        <w:rPr>
          <w:rFonts w:ascii="黑体" w:hAnsi="黑体" w:eastAsia="黑体" w:cs="黑体"/>
          <w:spacing w:val="45"/>
          <w:sz w:val="24"/>
          <w:szCs w:val="24"/>
        </w:rPr>
        <w:t xml:space="preserve">  </w:t>
      </w:r>
      <w:r>
        <w:rPr>
          <w:rFonts w:ascii="黑体" w:hAnsi="黑体" w:eastAsia="黑体" w:cs="黑体"/>
          <w:b/>
          <w:bCs/>
          <w:spacing w:val="24"/>
          <w:sz w:val="24"/>
          <w:szCs w:val="24"/>
        </w:rPr>
        <w:t>作战使用性能评价</w:t>
      </w:r>
    </w:p>
    <w:p w14:paraId="6CF6887C">
      <w:pPr>
        <w:spacing w:before="126" w:line="219" w:lineRule="auto"/>
        <w:ind w:left="550"/>
        <w:rPr>
          <w:rFonts w:ascii="宋体" w:hAnsi="宋体" w:eastAsia="宋体" w:cs="宋体"/>
          <w:sz w:val="27"/>
          <w:szCs w:val="27"/>
        </w:rPr>
      </w:pPr>
      <w:r>
        <w:rPr>
          <w:rFonts w:ascii="宋体" w:hAnsi="宋体" w:eastAsia="宋体" w:cs="宋体"/>
          <w:spacing w:val="6"/>
          <w:sz w:val="27"/>
          <w:szCs w:val="27"/>
        </w:rPr>
        <w:t>根据被试品各项作战使用性能试验项目的特点和要求，及有关军事训练与</w:t>
      </w:r>
    </w:p>
    <w:p w14:paraId="7000F106">
      <w:pPr>
        <w:spacing w:line="219" w:lineRule="auto"/>
        <w:rPr>
          <w:rFonts w:ascii="宋体" w:hAnsi="宋体" w:eastAsia="宋体" w:cs="宋体"/>
          <w:sz w:val="27"/>
          <w:szCs w:val="27"/>
        </w:rPr>
        <w:sectPr>
          <w:footerReference r:id="rId132" w:type="default"/>
          <w:pgSz w:w="11910" w:h="17130"/>
          <w:pgMar w:top="400" w:right="1065" w:bottom="1645" w:left="1349" w:header="0" w:footer="1401" w:gutter="0"/>
          <w:cols w:space="720" w:num="1"/>
        </w:sectPr>
      </w:pPr>
    </w:p>
    <w:p w14:paraId="4BB46693">
      <w:pPr>
        <w:pStyle w:val="2"/>
        <w:spacing w:line="247" w:lineRule="auto"/>
      </w:pPr>
    </w:p>
    <w:p w14:paraId="3A206185">
      <w:pPr>
        <w:pStyle w:val="2"/>
        <w:spacing w:line="247" w:lineRule="auto"/>
      </w:pPr>
    </w:p>
    <w:p w14:paraId="0F90F525">
      <w:pPr>
        <w:pStyle w:val="2"/>
        <w:spacing w:line="247" w:lineRule="auto"/>
      </w:pPr>
    </w:p>
    <w:p w14:paraId="3FD09ADB">
      <w:pPr>
        <w:pStyle w:val="2"/>
        <w:spacing w:line="247" w:lineRule="auto"/>
      </w:pPr>
    </w:p>
    <w:p w14:paraId="7C5E828E">
      <w:pPr>
        <w:spacing w:before="87" w:line="273" w:lineRule="auto"/>
        <w:ind w:right="112"/>
        <w:rPr>
          <w:rFonts w:ascii="宋体" w:hAnsi="宋体" w:eastAsia="宋体" w:cs="宋体"/>
          <w:sz w:val="27"/>
          <w:szCs w:val="27"/>
        </w:rPr>
      </w:pPr>
      <w:r>
        <w:rPr>
          <w:rFonts w:ascii="宋体" w:hAnsi="宋体" w:eastAsia="宋体" w:cs="宋体"/>
          <w:spacing w:val="6"/>
          <w:sz w:val="27"/>
          <w:szCs w:val="27"/>
        </w:rPr>
        <w:t>考核大纲的规定，对被试品的各项作战使用性能</w:t>
      </w:r>
      <w:r>
        <w:rPr>
          <w:rFonts w:ascii="宋体" w:hAnsi="宋体" w:eastAsia="宋体" w:cs="宋体"/>
          <w:spacing w:val="5"/>
          <w:sz w:val="27"/>
          <w:szCs w:val="27"/>
        </w:rPr>
        <w:t>是否满足规定指标和要求分别</w:t>
      </w:r>
      <w:r>
        <w:rPr>
          <w:rFonts w:ascii="宋体" w:hAnsi="宋体" w:eastAsia="宋体" w:cs="宋体"/>
          <w:sz w:val="27"/>
          <w:szCs w:val="27"/>
        </w:rPr>
        <w:t xml:space="preserve"> </w:t>
      </w:r>
      <w:r>
        <w:rPr>
          <w:rFonts w:ascii="宋体" w:hAnsi="宋体" w:eastAsia="宋体" w:cs="宋体"/>
          <w:spacing w:val="-8"/>
          <w:sz w:val="27"/>
          <w:szCs w:val="27"/>
        </w:rPr>
        <w:t>作出评价，主要内容应包括：</w:t>
      </w:r>
    </w:p>
    <w:p w14:paraId="650817AC">
      <w:pPr>
        <w:spacing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完成要求的作战使用性能的程度；</w:t>
      </w:r>
    </w:p>
    <w:p w14:paraId="19E247F5">
      <w:pPr>
        <w:spacing w:before="8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达到相关军事训练与考核大纲规定要求的程度；</w:t>
      </w:r>
    </w:p>
    <w:p w14:paraId="6EEA147E">
      <w:pPr>
        <w:spacing w:before="109" w:line="212" w:lineRule="auto"/>
        <w:ind w:left="550"/>
        <w:rPr>
          <w:rFonts w:ascii="宋体" w:hAnsi="宋体" w:eastAsia="宋体" w:cs="宋体"/>
          <w:sz w:val="27"/>
          <w:szCs w:val="27"/>
        </w:rPr>
      </w:pPr>
      <w:r>
        <w:rPr>
          <w:rFonts w:ascii="Times New Roman" w:hAnsi="Times New Roman" w:eastAsia="Times New Roman" w:cs="Times New Roman"/>
          <w:sz w:val="27"/>
          <w:szCs w:val="27"/>
        </w:rPr>
        <w:t>c)</w:t>
      </w:r>
      <w:r>
        <w:rPr>
          <w:rFonts w:ascii="Times New Roman" w:hAnsi="Times New Roman" w:eastAsia="Times New Roman" w:cs="Times New Roman"/>
          <w:spacing w:val="66"/>
          <w:w w:val="101"/>
          <w:sz w:val="27"/>
          <w:szCs w:val="27"/>
        </w:rPr>
        <w:t xml:space="preserve"> </w:t>
      </w:r>
      <w:r>
        <w:rPr>
          <w:rFonts w:ascii="宋体" w:hAnsi="宋体" w:eastAsia="宋体" w:cs="宋体"/>
          <w:sz w:val="27"/>
          <w:szCs w:val="27"/>
        </w:rPr>
        <w:t>使用的方便性；</w:t>
      </w:r>
    </w:p>
    <w:p w14:paraId="26FBDFEB">
      <w:pPr>
        <w:spacing w:before="9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功能的完备性；</w:t>
      </w:r>
    </w:p>
    <w:p w14:paraId="54168EE6">
      <w:pPr>
        <w:spacing w:before="90" w:line="212" w:lineRule="auto"/>
        <w:ind w:left="550"/>
        <w:rPr>
          <w:rFonts w:ascii="宋体" w:hAnsi="宋体" w:eastAsia="宋体" w:cs="宋体"/>
          <w:sz w:val="27"/>
          <w:szCs w:val="27"/>
        </w:rPr>
      </w:pPr>
      <w:r>
        <w:rPr>
          <w:rFonts w:ascii="Times New Roman" w:hAnsi="Times New Roman" w:eastAsia="Times New Roman" w:cs="Times New Roman"/>
          <w:sz w:val="27"/>
          <w:szCs w:val="27"/>
        </w:rPr>
        <w:t>e)</w:t>
      </w:r>
      <w:r>
        <w:rPr>
          <w:rFonts w:ascii="Times New Roman" w:hAnsi="Times New Roman" w:eastAsia="Times New Roman" w:cs="Times New Roman"/>
          <w:spacing w:val="66"/>
          <w:w w:val="101"/>
          <w:sz w:val="27"/>
          <w:szCs w:val="27"/>
        </w:rPr>
        <w:t xml:space="preserve"> </w:t>
      </w:r>
      <w:r>
        <w:rPr>
          <w:rFonts w:ascii="宋体" w:hAnsi="宋体" w:eastAsia="宋体" w:cs="宋体"/>
          <w:sz w:val="27"/>
          <w:szCs w:val="27"/>
        </w:rPr>
        <w:t>设计的合理性；</w:t>
      </w:r>
    </w:p>
    <w:p w14:paraId="4B9FE380">
      <w:pPr>
        <w:spacing w:before="11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f)  </w:t>
      </w:r>
      <w:r>
        <w:rPr>
          <w:rFonts w:ascii="宋体" w:hAnsi="宋体" w:eastAsia="宋体" w:cs="宋体"/>
          <w:spacing w:val="3"/>
          <w:sz w:val="27"/>
          <w:szCs w:val="27"/>
        </w:rPr>
        <w:t>与战术技术指标的符合程度等。</w:t>
      </w:r>
    </w:p>
    <w:p w14:paraId="77A978BC">
      <w:pPr>
        <w:spacing w:before="115" w:line="222" w:lineRule="auto"/>
        <w:rPr>
          <w:rFonts w:ascii="黑体" w:hAnsi="黑体" w:eastAsia="黑体" w:cs="黑体"/>
          <w:sz w:val="27"/>
          <w:szCs w:val="27"/>
        </w:rPr>
      </w:pPr>
      <w:r>
        <w:rPr>
          <w:rFonts w:ascii="黑体" w:hAnsi="黑体" w:eastAsia="黑体" w:cs="黑体"/>
          <w:spacing w:val="-2"/>
          <w:sz w:val="27"/>
          <w:szCs w:val="27"/>
        </w:rPr>
        <w:t>4.2</w:t>
      </w:r>
      <w:r>
        <w:rPr>
          <w:rFonts w:ascii="黑体" w:hAnsi="黑体" w:eastAsia="黑体" w:cs="黑体"/>
          <w:spacing w:val="30"/>
          <w:sz w:val="27"/>
          <w:szCs w:val="27"/>
        </w:rPr>
        <w:t xml:space="preserve">  </w:t>
      </w:r>
      <w:r>
        <w:rPr>
          <w:rFonts w:ascii="黑体" w:hAnsi="黑体" w:eastAsia="黑体" w:cs="黑体"/>
          <w:b/>
          <w:bCs/>
          <w:spacing w:val="-2"/>
          <w:sz w:val="27"/>
          <w:szCs w:val="27"/>
        </w:rPr>
        <w:t>部队适用性评价</w:t>
      </w:r>
    </w:p>
    <w:p w14:paraId="70EF3350">
      <w:pPr>
        <w:spacing w:before="115" w:line="222" w:lineRule="auto"/>
        <w:rPr>
          <w:rFonts w:ascii="黑体" w:hAnsi="黑体" w:eastAsia="黑体" w:cs="黑体"/>
          <w:sz w:val="25"/>
          <w:szCs w:val="25"/>
        </w:rPr>
      </w:pPr>
      <w:r>
        <w:rPr>
          <w:rFonts w:ascii="黑体" w:hAnsi="黑体" w:eastAsia="黑体" w:cs="黑体"/>
          <w:spacing w:val="8"/>
          <w:sz w:val="25"/>
          <w:szCs w:val="25"/>
        </w:rPr>
        <w:t>4.2.1</w:t>
      </w:r>
      <w:r>
        <w:rPr>
          <w:rFonts w:ascii="黑体" w:hAnsi="黑体" w:eastAsia="黑体" w:cs="黑体"/>
          <w:spacing w:val="56"/>
          <w:sz w:val="25"/>
          <w:szCs w:val="25"/>
        </w:rPr>
        <w:t xml:space="preserve">  </w:t>
      </w:r>
      <w:r>
        <w:rPr>
          <w:rFonts w:ascii="黑体" w:hAnsi="黑体" w:eastAsia="黑体" w:cs="黑体"/>
          <w:b/>
          <w:bCs/>
          <w:spacing w:val="8"/>
          <w:sz w:val="25"/>
          <w:szCs w:val="25"/>
        </w:rPr>
        <w:t>可用性</w:t>
      </w:r>
    </w:p>
    <w:p w14:paraId="3E64DC59">
      <w:pPr>
        <w:spacing w:before="73" w:line="274" w:lineRule="auto"/>
        <w:ind w:right="123" w:firstLine="550"/>
        <w:jc w:val="both"/>
        <w:rPr>
          <w:rFonts w:ascii="宋体" w:hAnsi="宋体" w:eastAsia="宋体" w:cs="宋体"/>
          <w:sz w:val="27"/>
          <w:szCs w:val="27"/>
        </w:rPr>
      </w:pPr>
      <w:r>
        <w:rPr>
          <w:rFonts w:ascii="宋体" w:hAnsi="宋体" w:eastAsia="宋体" w:cs="宋体"/>
          <w:spacing w:val="5"/>
          <w:sz w:val="27"/>
          <w:szCs w:val="27"/>
        </w:rPr>
        <w:t>评价被试品在受领任务的任意时间点上，处于能够使用并能够执行任务状</w:t>
      </w:r>
      <w:r>
        <w:rPr>
          <w:rFonts w:ascii="宋体" w:hAnsi="宋体" w:eastAsia="宋体" w:cs="宋体"/>
          <w:spacing w:val="10"/>
          <w:sz w:val="27"/>
          <w:szCs w:val="27"/>
        </w:rPr>
        <w:t xml:space="preserve"> </w:t>
      </w:r>
      <w:r>
        <w:rPr>
          <w:rFonts w:ascii="宋体" w:hAnsi="宋体" w:eastAsia="宋体" w:cs="宋体"/>
          <w:spacing w:val="5"/>
          <w:sz w:val="27"/>
          <w:szCs w:val="27"/>
        </w:rPr>
        <w:t>态的程度。评价指标一般用百分率表示，即被试品能够执行其任务的时间百分</w:t>
      </w:r>
      <w:r>
        <w:rPr>
          <w:rFonts w:ascii="宋体" w:hAnsi="宋体" w:eastAsia="宋体" w:cs="宋体"/>
          <w:spacing w:val="10"/>
          <w:sz w:val="27"/>
          <w:szCs w:val="27"/>
        </w:rPr>
        <w:t xml:space="preserve"> </w:t>
      </w:r>
      <w:r>
        <w:rPr>
          <w:rFonts w:ascii="宋体" w:hAnsi="宋体" w:eastAsia="宋体" w:cs="宋体"/>
          <w:spacing w:val="-3"/>
          <w:sz w:val="27"/>
          <w:szCs w:val="27"/>
        </w:rPr>
        <w:t>率，无法定量评价时可进行定性评价。评价依据主要包括：</w:t>
      </w:r>
    </w:p>
    <w:p w14:paraId="287E0544">
      <w:pPr>
        <w:spacing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69"/>
          <w:w w:val="101"/>
          <w:sz w:val="27"/>
          <w:szCs w:val="27"/>
        </w:rPr>
        <w:t xml:space="preserve"> </w:t>
      </w:r>
      <w:r>
        <w:rPr>
          <w:rFonts w:ascii="宋体" w:hAnsi="宋体" w:eastAsia="宋体" w:cs="宋体"/>
          <w:spacing w:val="3"/>
          <w:sz w:val="27"/>
          <w:szCs w:val="27"/>
        </w:rPr>
        <w:t>被试品在需要时能否正常工作和使用；</w:t>
      </w:r>
    </w:p>
    <w:p w14:paraId="19A0E009">
      <w:pPr>
        <w:spacing w:before="11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b)  </w:t>
      </w:r>
      <w:r>
        <w:rPr>
          <w:rFonts w:ascii="宋体" w:hAnsi="宋体" w:eastAsia="宋体" w:cs="宋体"/>
          <w:spacing w:val="5"/>
          <w:sz w:val="27"/>
          <w:szCs w:val="27"/>
        </w:rPr>
        <w:t>被试品能否在预期的战时环境中按预定的强度执行</w:t>
      </w:r>
      <w:r>
        <w:rPr>
          <w:rFonts w:ascii="宋体" w:hAnsi="宋体" w:eastAsia="宋体" w:cs="宋体"/>
          <w:spacing w:val="4"/>
          <w:sz w:val="27"/>
          <w:szCs w:val="27"/>
        </w:rPr>
        <w:t>作战任务等。</w:t>
      </w:r>
    </w:p>
    <w:p w14:paraId="647ECB18">
      <w:pPr>
        <w:spacing w:before="144" w:line="222" w:lineRule="auto"/>
        <w:rPr>
          <w:rFonts w:ascii="黑体" w:hAnsi="黑体" w:eastAsia="黑体" w:cs="黑体"/>
          <w:sz w:val="24"/>
          <w:szCs w:val="24"/>
        </w:rPr>
      </w:pPr>
      <w:r>
        <w:rPr>
          <w:rFonts w:ascii="黑体" w:hAnsi="黑体" w:eastAsia="黑体" w:cs="黑体"/>
          <w:spacing w:val="-5"/>
          <w:sz w:val="24"/>
          <w:szCs w:val="24"/>
        </w:rPr>
        <w:t>4.2.2</w:t>
      </w:r>
      <w:r>
        <w:rPr>
          <w:rFonts w:ascii="黑体" w:hAnsi="黑体" w:eastAsia="黑体" w:cs="黑体"/>
          <w:spacing w:val="9"/>
          <w:sz w:val="24"/>
          <w:szCs w:val="24"/>
        </w:rPr>
        <w:t xml:space="preserve">   </w:t>
      </w:r>
      <w:r>
        <w:rPr>
          <w:rFonts w:ascii="黑体" w:hAnsi="黑体" w:eastAsia="黑体" w:cs="黑体"/>
          <w:b/>
          <w:bCs/>
          <w:spacing w:val="-5"/>
          <w:sz w:val="24"/>
          <w:szCs w:val="24"/>
        </w:rPr>
        <w:t>可</w:t>
      </w:r>
      <w:r>
        <w:rPr>
          <w:rFonts w:ascii="黑体" w:hAnsi="黑体" w:eastAsia="黑体" w:cs="黑体"/>
          <w:spacing w:val="-46"/>
          <w:sz w:val="24"/>
          <w:szCs w:val="24"/>
        </w:rPr>
        <w:t xml:space="preserve"> </w:t>
      </w:r>
      <w:r>
        <w:rPr>
          <w:rFonts w:ascii="黑体" w:hAnsi="黑体" w:eastAsia="黑体" w:cs="黑体"/>
          <w:b/>
          <w:bCs/>
          <w:spacing w:val="-5"/>
          <w:sz w:val="24"/>
          <w:szCs w:val="24"/>
        </w:rPr>
        <w:t>靠</w:t>
      </w:r>
      <w:r>
        <w:rPr>
          <w:rFonts w:ascii="黑体" w:hAnsi="黑体" w:eastAsia="黑体" w:cs="黑体"/>
          <w:spacing w:val="-50"/>
          <w:sz w:val="24"/>
          <w:szCs w:val="24"/>
        </w:rPr>
        <w:t xml:space="preserve"> </w:t>
      </w:r>
      <w:r>
        <w:rPr>
          <w:rFonts w:ascii="黑体" w:hAnsi="黑体" w:eastAsia="黑体" w:cs="黑体"/>
          <w:b/>
          <w:bCs/>
          <w:spacing w:val="-5"/>
          <w:sz w:val="24"/>
          <w:szCs w:val="24"/>
        </w:rPr>
        <w:t>性</w:t>
      </w:r>
    </w:p>
    <w:p w14:paraId="16BF569F">
      <w:pPr>
        <w:spacing w:before="106" w:line="267" w:lineRule="auto"/>
        <w:ind w:right="112" w:firstLine="550"/>
        <w:rPr>
          <w:rFonts w:ascii="宋体" w:hAnsi="宋体" w:eastAsia="宋体" w:cs="宋体"/>
          <w:sz w:val="27"/>
          <w:szCs w:val="27"/>
        </w:rPr>
      </w:pPr>
      <w:r>
        <w:rPr>
          <w:rFonts w:ascii="宋体" w:hAnsi="宋体" w:eastAsia="宋体" w:cs="宋体"/>
          <w:spacing w:val="6"/>
          <w:sz w:val="27"/>
          <w:szCs w:val="27"/>
        </w:rPr>
        <w:t>定量评价被试品在规定的条件下和规定的时间内</w:t>
      </w:r>
      <w:r>
        <w:rPr>
          <w:rFonts w:ascii="宋体" w:hAnsi="宋体" w:eastAsia="宋体" w:cs="宋体"/>
          <w:spacing w:val="5"/>
          <w:sz w:val="27"/>
          <w:szCs w:val="27"/>
        </w:rPr>
        <w:t>执行其预定功能的概率和</w:t>
      </w:r>
      <w:r>
        <w:rPr>
          <w:rFonts w:ascii="宋体" w:hAnsi="宋体" w:eastAsia="宋体" w:cs="宋体"/>
          <w:sz w:val="27"/>
          <w:szCs w:val="27"/>
        </w:rPr>
        <w:t xml:space="preserve"> </w:t>
      </w:r>
      <w:r>
        <w:rPr>
          <w:rFonts w:ascii="宋体" w:hAnsi="宋体" w:eastAsia="宋体" w:cs="宋体"/>
          <w:spacing w:val="-12"/>
          <w:sz w:val="27"/>
          <w:szCs w:val="27"/>
        </w:rPr>
        <w:t>能力，即不发生故障的程度，主要包括：</w:t>
      </w:r>
    </w:p>
    <w:p w14:paraId="2155EB07">
      <w:pPr>
        <w:spacing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整个试验过程故障时间和数量的统计；</w:t>
      </w:r>
    </w:p>
    <w:p w14:paraId="5D1EE742">
      <w:pPr>
        <w:spacing w:before="10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b)  </w:t>
      </w:r>
      <w:r>
        <w:rPr>
          <w:rFonts w:ascii="宋体" w:hAnsi="宋体" w:eastAsia="宋体" w:cs="宋体"/>
          <w:spacing w:val="5"/>
          <w:sz w:val="27"/>
          <w:szCs w:val="27"/>
        </w:rPr>
        <w:t>按组成被试品的各分系统或对任务的影响程度所进行的故障分</w:t>
      </w:r>
      <w:r>
        <w:rPr>
          <w:rFonts w:ascii="宋体" w:hAnsi="宋体" w:eastAsia="宋体" w:cs="宋体"/>
          <w:spacing w:val="4"/>
          <w:sz w:val="27"/>
          <w:szCs w:val="27"/>
        </w:rPr>
        <w:t>类。</w:t>
      </w:r>
    </w:p>
    <w:p w14:paraId="5C357DE3">
      <w:pPr>
        <w:pStyle w:val="2"/>
        <w:spacing w:before="125" w:line="222" w:lineRule="auto"/>
        <w:rPr>
          <w:rFonts w:ascii="黑体" w:hAnsi="黑体" w:eastAsia="黑体" w:cs="黑体"/>
          <w:sz w:val="27"/>
          <w:szCs w:val="27"/>
        </w:rPr>
      </w:pPr>
      <w:r>
        <w:rPr>
          <w:b/>
          <w:bCs/>
          <w:spacing w:val="1"/>
          <w:sz w:val="27"/>
          <w:szCs w:val="27"/>
        </w:rPr>
        <w:t xml:space="preserve">4.2.3     </w:t>
      </w:r>
      <w:r>
        <w:rPr>
          <w:rFonts w:ascii="黑体" w:hAnsi="黑体" w:eastAsia="黑体" w:cs="黑体"/>
          <w:b/>
          <w:bCs/>
          <w:spacing w:val="1"/>
          <w:sz w:val="27"/>
          <w:szCs w:val="27"/>
        </w:rPr>
        <w:t>维修性</w:t>
      </w:r>
    </w:p>
    <w:p w14:paraId="6CC6874A">
      <w:pPr>
        <w:spacing w:before="117" w:line="278" w:lineRule="auto"/>
        <w:ind w:right="126" w:firstLine="550"/>
        <w:rPr>
          <w:rFonts w:ascii="宋体" w:hAnsi="宋体" w:eastAsia="宋体" w:cs="宋体"/>
          <w:sz w:val="25"/>
          <w:szCs w:val="25"/>
        </w:rPr>
      </w:pPr>
      <w:r>
        <w:rPr>
          <w:rFonts w:ascii="宋体" w:hAnsi="宋体" w:eastAsia="宋体" w:cs="宋体"/>
          <w:spacing w:val="17"/>
          <w:sz w:val="25"/>
          <w:szCs w:val="25"/>
        </w:rPr>
        <w:t>评价被试品在基层级进行维修，由具有规定技能等级的人员，使用</w:t>
      </w:r>
      <w:r>
        <w:rPr>
          <w:rFonts w:ascii="宋体" w:hAnsi="宋体" w:eastAsia="宋体" w:cs="宋体"/>
          <w:spacing w:val="16"/>
          <w:sz w:val="25"/>
          <w:szCs w:val="25"/>
        </w:rPr>
        <w:t>规定的程</w:t>
      </w:r>
      <w:r>
        <w:rPr>
          <w:rFonts w:ascii="宋体" w:hAnsi="宋体" w:eastAsia="宋体" w:cs="宋体"/>
          <w:sz w:val="25"/>
          <w:szCs w:val="25"/>
        </w:rPr>
        <w:t xml:space="preserve"> </w:t>
      </w:r>
      <w:r>
        <w:rPr>
          <w:rFonts w:ascii="宋体" w:hAnsi="宋体" w:eastAsia="宋体" w:cs="宋体"/>
          <w:spacing w:val="14"/>
          <w:sz w:val="25"/>
          <w:szCs w:val="25"/>
        </w:rPr>
        <w:t>序、方法和资源进行维修时，恢复到规定状态的能力。主要包括：</w:t>
      </w:r>
    </w:p>
    <w:p w14:paraId="31E4C4E9">
      <w:pPr>
        <w:spacing w:line="212" w:lineRule="auto"/>
        <w:jc w:val="right"/>
        <w:rPr>
          <w:rFonts w:ascii="宋体" w:hAnsi="宋体" w:eastAsia="宋体" w:cs="宋体"/>
          <w:sz w:val="27"/>
          <w:szCs w:val="27"/>
        </w:rPr>
      </w:pPr>
      <w:r>
        <w:rPr>
          <w:rFonts w:ascii="Times New Roman" w:hAnsi="Times New Roman" w:eastAsia="Times New Roman" w:cs="Times New Roman"/>
          <w:spacing w:val="7"/>
          <w:sz w:val="27"/>
          <w:szCs w:val="27"/>
        </w:rPr>
        <w:t>a)</w:t>
      </w:r>
      <w:r>
        <w:rPr>
          <w:rFonts w:ascii="Times New Roman" w:hAnsi="Times New Roman" w:eastAsia="Times New Roman" w:cs="Times New Roman"/>
          <w:spacing w:val="63"/>
          <w:sz w:val="27"/>
          <w:szCs w:val="27"/>
        </w:rPr>
        <w:t xml:space="preserve"> </w:t>
      </w:r>
      <w:r>
        <w:rPr>
          <w:rFonts w:ascii="宋体" w:hAnsi="宋体" w:eastAsia="宋体" w:cs="宋体"/>
          <w:spacing w:val="7"/>
          <w:sz w:val="27"/>
          <w:szCs w:val="27"/>
        </w:rPr>
        <w:t>定量评价。1)维修时间，指被试品保</w:t>
      </w:r>
      <w:r>
        <w:rPr>
          <w:rFonts w:ascii="宋体" w:hAnsi="宋体" w:eastAsia="宋体" w:cs="宋体"/>
          <w:spacing w:val="6"/>
          <w:sz w:val="27"/>
          <w:szCs w:val="27"/>
        </w:rPr>
        <w:t>持或恢复到工作状态所需的时间；</w:t>
      </w:r>
    </w:p>
    <w:p w14:paraId="13372B37">
      <w:pPr>
        <w:spacing w:before="132" w:line="273" w:lineRule="auto"/>
        <w:ind w:right="123"/>
        <w:rPr>
          <w:rFonts w:ascii="宋体" w:hAnsi="宋体" w:eastAsia="宋体" w:cs="宋体"/>
          <w:sz w:val="27"/>
          <w:szCs w:val="27"/>
        </w:rPr>
      </w:pPr>
      <w:r>
        <w:rPr>
          <w:rFonts w:ascii="宋体" w:hAnsi="宋体" w:eastAsia="宋体" w:cs="宋体"/>
          <w:spacing w:val="-2"/>
          <w:sz w:val="27"/>
          <w:szCs w:val="27"/>
        </w:rPr>
        <w:t>2)维修率，指规定期限内的累计维修时间与使</w:t>
      </w:r>
      <w:r>
        <w:rPr>
          <w:rFonts w:ascii="宋体" w:hAnsi="宋体" w:eastAsia="宋体" w:cs="宋体"/>
          <w:spacing w:val="-3"/>
          <w:sz w:val="27"/>
          <w:szCs w:val="27"/>
        </w:rPr>
        <w:t>用时间之比；3)所需的维修人员数</w:t>
      </w:r>
      <w:r>
        <w:rPr>
          <w:rFonts w:ascii="宋体" w:hAnsi="宋体" w:eastAsia="宋体" w:cs="宋体"/>
          <w:sz w:val="27"/>
          <w:szCs w:val="27"/>
        </w:rPr>
        <w:t xml:space="preserve"> </w:t>
      </w:r>
      <w:r>
        <w:rPr>
          <w:rFonts w:ascii="宋体" w:hAnsi="宋体" w:eastAsia="宋体" w:cs="宋体"/>
          <w:spacing w:val="1"/>
          <w:sz w:val="27"/>
          <w:szCs w:val="27"/>
        </w:rPr>
        <w:t>量和技能等级等。</w:t>
      </w:r>
    </w:p>
    <w:p w14:paraId="6B05E32D">
      <w:pPr>
        <w:spacing w:line="212" w:lineRule="auto"/>
        <w:jc w:val="right"/>
        <w:rPr>
          <w:rFonts w:ascii="宋体" w:hAnsi="宋体" w:eastAsia="宋体" w:cs="宋体"/>
          <w:sz w:val="27"/>
          <w:szCs w:val="27"/>
        </w:rPr>
      </w:pPr>
      <w:r>
        <w:rPr>
          <w:rFonts w:ascii="Times New Roman" w:hAnsi="Times New Roman" w:eastAsia="Times New Roman" w:cs="Times New Roman"/>
          <w:spacing w:val="6"/>
          <w:sz w:val="27"/>
          <w:szCs w:val="27"/>
        </w:rPr>
        <w:t>b)</w:t>
      </w:r>
      <w:r>
        <w:rPr>
          <w:rFonts w:ascii="Times New Roman" w:hAnsi="Times New Roman" w:eastAsia="Times New Roman" w:cs="Times New Roman"/>
          <w:spacing w:val="67"/>
          <w:sz w:val="27"/>
          <w:szCs w:val="27"/>
        </w:rPr>
        <w:t xml:space="preserve"> </w:t>
      </w:r>
      <w:r>
        <w:rPr>
          <w:rFonts w:ascii="宋体" w:hAnsi="宋体" w:eastAsia="宋体" w:cs="宋体"/>
          <w:spacing w:val="6"/>
          <w:sz w:val="27"/>
          <w:szCs w:val="27"/>
        </w:rPr>
        <w:t>定性评价。1)维修的可达性，即维修产品时接近维修部位的难易程度；</w:t>
      </w:r>
    </w:p>
    <w:p w14:paraId="213388F4">
      <w:pPr>
        <w:spacing w:before="138" w:line="280" w:lineRule="auto"/>
        <w:ind w:right="30"/>
        <w:jc w:val="both"/>
        <w:rPr>
          <w:rFonts w:ascii="宋体" w:hAnsi="宋体" w:eastAsia="宋体" w:cs="宋体"/>
          <w:sz w:val="27"/>
          <w:szCs w:val="27"/>
        </w:rPr>
      </w:pPr>
      <w:r>
        <w:rPr>
          <w:rFonts w:ascii="宋体" w:hAnsi="宋体" w:eastAsia="宋体" w:cs="宋体"/>
          <w:spacing w:val="-3"/>
          <w:sz w:val="27"/>
          <w:szCs w:val="27"/>
        </w:rPr>
        <w:t>2)检测诊断的方便性和快速性，如需维修单元是否有故障显示，显示方式、位置</w:t>
      </w:r>
      <w:r>
        <w:rPr>
          <w:rFonts w:ascii="宋体" w:hAnsi="宋体" w:eastAsia="宋体" w:cs="宋体"/>
          <w:spacing w:val="16"/>
          <w:sz w:val="27"/>
          <w:szCs w:val="27"/>
        </w:rPr>
        <w:t xml:space="preserve"> </w:t>
      </w:r>
      <w:r>
        <w:rPr>
          <w:rFonts w:ascii="宋体" w:hAnsi="宋体" w:eastAsia="宋体" w:cs="宋体"/>
          <w:spacing w:val="-3"/>
          <w:sz w:val="27"/>
          <w:szCs w:val="27"/>
        </w:rPr>
        <w:t>是否有效；3)零部件的标准化和互换性，需要经常维修的单元，是否设计成最快</w:t>
      </w:r>
      <w:r>
        <w:rPr>
          <w:rFonts w:ascii="宋体" w:hAnsi="宋体" w:eastAsia="宋体" w:cs="宋体"/>
          <w:spacing w:val="16"/>
          <w:sz w:val="27"/>
          <w:szCs w:val="27"/>
        </w:rPr>
        <w:t xml:space="preserve"> </w:t>
      </w:r>
      <w:r>
        <w:rPr>
          <w:rFonts w:ascii="宋体" w:hAnsi="宋体" w:eastAsia="宋体" w:cs="宋体"/>
          <w:spacing w:val="-2"/>
          <w:sz w:val="27"/>
          <w:szCs w:val="27"/>
        </w:rPr>
        <w:t>捷的维修方式；4)防差错措施与识别标记；5)工具操</w:t>
      </w:r>
      <w:r>
        <w:rPr>
          <w:rFonts w:ascii="宋体" w:hAnsi="宋体" w:eastAsia="宋体" w:cs="宋体"/>
          <w:spacing w:val="-3"/>
          <w:sz w:val="27"/>
          <w:szCs w:val="27"/>
        </w:rPr>
        <w:t>作空间和工作场地的维修安</w:t>
      </w:r>
      <w:r>
        <w:rPr>
          <w:rFonts w:ascii="宋体" w:hAnsi="宋体" w:eastAsia="宋体" w:cs="宋体"/>
          <w:sz w:val="27"/>
          <w:szCs w:val="27"/>
        </w:rPr>
        <w:t xml:space="preserve"> </w:t>
      </w:r>
      <w:r>
        <w:rPr>
          <w:rFonts w:ascii="宋体" w:hAnsi="宋体" w:eastAsia="宋体" w:cs="宋体"/>
          <w:spacing w:val="-10"/>
          <w:sz w:val="27"/>
          <w:szCs w:val="27"/>
        </w:rPr>
        <w:t>全性，如是否有会损伤人员、装备的结构；6)人机工程要求，如维修过程中是否有</w:t>
      </w:r>
      <w:r>
        <w:rPr>
          <w:rFonts w:ascii="宋体" w:hAnsi="宋体" w:eastAsia="宋体" w:cs="宋体"/>
          <w:spacing w:val="12"/>
          <w:sz w:val="27"/>
          <w:szCs w:val="27"/>
        </w:rPr>
        <w:t xml:space="preserve"> </w:t>
      </w:r>
      <w:r>
        <w:rPr>
          <w:rFonts w:ascii="宋体" w:hAnsi="宋体" w:eastAsia="宋体" w:cs="宋体"/>
          <w:spacing w:val="-2"/>
          <w:sz w:val="27"/>
          <w:szCs w:val="27"/>
        </w:rPr>
        <w:t>因过热的热源、高压、作业空间限制等而不可应急维修者；7</w:t>
      </w:r>
      <w:r>
        <w:rPr>
          <w:rFonts w:ascii="宋体" w:hAnsi="宋体" w:eastAsia="宋体" w:cs="宋体"/>
          <w:spacing w:val="-3"/>
          <w:sz w:val="27"/>
          <w:szCs w:val="27"/>
        </w:rPr>
        <w:t>)是否有难于检查的</w:t>
      </w:r>
      <w:r>
        <w:rPr>
          <w:rFonts w:ascii="宋体" w:hAnsi="宋体" w:eastAsia="宋体" w:cs="宋体"/>
          <w:sz w:val="27"/>
          <w:szCs w:val="27"/>
        </w:rPr>
        <w:t xml:space="preserve"> </w:t>
      </w:r>
      <w:r>
        <w:rPr>
          <w:rFonts w:ascii="宋体" w:hAnsi="宋体" w:eastAsia="宋体" w:cs="宋体"/>
          <w:spacing w:val="-10"/>
          <w:sz w:val="27"/>
          <w:szCs w:val="27"/>
        </w:rPr>
        <w:t>维修错误，如暗夜维修、零件安装错误等；8)影响维修人员数量、技术等级和专业</w:t>
      </w:r>
      <w:r>
        <w:rPr>
          <w:rFonts w:ascii="宋体" w:hAnsi="宋体" w:eastAsia="宋体" w:cs="宋体"/>
          <w:spacing w:val="8"/>
          <w:sz w:val="27"/>
          <w:szCs w:val="27"/>
        </w:rPr>
        <w:t xml:space="preserve"> </w:t>
      </w:r>
      <w:r>
        <w:rPr>
          <w:rFonts w:ascii="宋体" w:hAnsi="宋体" w:eastAsia="宋体" w:cs="宋体"/>
          <w:spacing w:val="-3"/>
          <w:sz w:val="27"/>
          <w:szCs w:val="27"/>
        </w:rPr>
        <w:t>以及所需维修检测设备的易修性；9)维修的</w:t>
      </w:r>
      <w:r>
        <w:rPr>
          <w:rFonts w:ascii="宋体" w:hAnsi="宋体" w:eastAsia="宋体" w:cs="宋体"/>
          <w:spacing w:val="-4"/>
          <w:sz w:val="27"/>
          <w:szCs w:val="27"/>
        </w:rPr>
        <w:t>难易程度；10)维修保障的完备程度；</w:t>
      </w:r>
    </w:p>
    <w:p w14:paraId="056BDC97">
      <w:pPr>
        <w:spacing w:line="280" w:lineRule="auto"/>
        <w:rPr>
          <w:rFonts w:ascii="宋体" w:hAnsi="宋体" w:eastAsia="宋体" w:cs="宋体"/>
          <w:sz w:val="27"/>
          <w:szCs w:val="27"/>
        </w:rPr>
        <w:sectPr>
          <w:footerReference r:id="rId133" w:type="default"/>
          <w:pgSz w:w="11910" w:h="17130"/>
          <w:pgMar w:top="400" w:right="975" w:bottom="1647" w:left="1450" w:header="0" w:footer="1430" w:gutter="0"/>
          <w:cols w:space="720" w:num="1"/>
        </w:sectPr>
      </w:pPr>
    </w:p>
    <w:p w14:paraId="513738E0">
      <w:pPr>
        <w:pStyle w:val="2"/>
        <w:spacing w:line="249" w:lineRule="auto"/>
      </w:pPr>
    </w:p>
    <w:p w14:paraId="136799BA">
      <w:pPr>
        <w:pStyle w:val="2"/>
        <w:spacing w:line="249" w:lineRule="auto"/>
      </w:pPr>
    </w:p>
    <w:p w14:paraId="20697FB4">
      <w:pPr>
        <w:pStyle w:val="2"/>
        <w:spacing w:line="249" w:lineRule="auto"/>
      </w:pPr>
    </w:p>
    <w:p w14:paraId="19C09EF6">
      <w:pPr>
        <w:pStyle w:val="2"/>
        <w:spacing w:line="250" w:lineRule="auto"/>
      </w:pPr>
    </w:p>
    <w:p w14:paraId="51E1DE4C">
      <w:pPr>
        <w:spacing w:before="88" w:line="219" w:lineRule="auto"/>
        <w:rPr>
          <w:rFonts w:ascii="宋体" w:hAnsi="宋体" w:eastAsia="宋体" w:cs="宋体"/>
          <w:sz w:val="27"/>
          <w:szCs w:val="27"/>
        </w:rPr>
      </w:pPr>
      <w:r>
        <w:rPr>
          <w:rFonts w:ascii="宋体" w:hAnsi="宋体" w:eastAsia="宋体" w:cs="宋体"/>
          <w:spacing w:val="2"/>
          <w:sz w:val="27"/>
          <w:szCs w:val="27"/>
        </w:rPr>
        <w:t>11)与维修行动有关的人力因素等。</w:t>
      </w:r>
    </w:p>
    <w:p w14:paraId="24D5D7E2">
      <w:pPr>
        <w:spacing w:before="115" w:line="223" w:lineRule="auto"/>
        <w:rPr>
          <w:rFonts w:ascii="黑体" w:hAnsi="黑体" w:eastAsia="黑体" w:cs="黑体"/>
          <w:sz w:val="25"/>
          <w:szCs w:val="25"/>
        </w:rPr>
      </w:pPr>
      <w:r>
        <w:rPr>
          <w:rFonts w:ascii="黑体" w:hAnsi="黑体" w:eastAsia="黑体" w:cs="黑体"/>
          <w:spacing w:val="7"/>
          <w:sz w:val="25"/>
          <w:szCs w:val="25"/>
        </w:rPr>
        <w:t>4.2.4</w:t>
      </w:r>
      <w:r>
        <w:rPr>
          <w:rFonts w:ascii="黑体" w:hAnsi="黑体" w:eastAsia="黑体" w:cs="黑体"/>
          <w:spacing w:val="50"/>
          <w:sz w:val="25"/>
          <w:szCs w:val="25"/>
        </w:rPr>
        <w:t xml:space="preserve">  </w:t>
      </w:r>
      <w:r>
        <w:rPr>
          <w:rFonts w:ascii="黑体" w:hAnsi="黑体" w:eastAsia="黑体" w:cs="黑体"/>
          <w:b/>
          <w:bCs/>
          <w:spacing w:val="7"/>
          <w:sz w:val="25"/>
          <w:szCs w:val="25"/>
        </w:rPr>
        <w:t>保障性</w:t>
      </w:r>
    </w:p>
    <w:p w14:paraId="3F60E370">
      <w:pPr>
        <w:spacing w:before="59" w:line="218" w:lineRule="auto"/>
        <w:ind w:left="539"/>
        <w:rPr>
          <w:rFonts w:ascii="宋体" w:hAnsi="宋体" w:eastAsia="宋体" w:cs="宋体"/>
          <w:sz w:val="27"/>
          <w:szCs w:val="27"/>
        </w:rPr>
      </w:pPr>
      <w:r>
        <w:rPr>
          <w:rFonts w:ascii="宋体" w:hAnsi="宋体" w:eastAsia="宋体" w:cs="宋体"/>
          <w:spacing w:val="4"/>
          <w:sz w:val="27"/>
          <w:szCs w:val="27"/>
        </w:rPr>
        <w:t>评价被试品在下列方面能够满足被试品可用性和战时使用要求的程度。</w:t>
      </w:r>
    </w:p>
    <w:p w14:paraId="4B2D9CA7">
      <w:pPr>
        <w:spacing w:before="72" w:line="267" w:lineRule="auto"/>
        <w:ind w:right="8" w:firstLine="539"/>
        <w:rPr>
          <w:rFonts w:ascii="宋体" w:hAnsi="宋体" w:eastAsia="宋体" w:cs="宋体"/>
          <w:sz w:val="27"/>
          <w:szCs w:val="27"/>
        </w:rPr>
      </w:pPr>
      <w:r>
        <w:rPr>
          <w:rFonts w:ascii="Times New Roman" w:hAnsi="Times New Roman" w:eastAsia="Times New Roman" w:cs="Times New Roman"/>
          <w:spacing w:val="-11"/>
          <w:sz w:val="27"/>
          <w:szCs w:val="27"/>
        </w:rPr>
        <w:t xml:space="preserve">a)  </w:t>
      </w:r>
      <w:r>
        <w:rPr>
          <w:rFonts w:ascii="宋体" w:hAnsi="宋体" w:eastAsia="宋体" w:cs="宋体"/>
          <w:spacing w:val="-11"/>
          <w:sz w:val="27"/>
          <w:szCs w:val="27"/>
        </w:rPr>
        <w:t>保障设备的完备、齐套情况，主要包括：1)测试、测量和检测设备</w:t>
      </w:r>
      <w:r>
        <w:rPr>
          <w:rFonts w:ascii="宋体" w:hAnsi="宋体" w:eastAsia="宋体" w:cs="宋体"/>
          <w:spacing w:val="-12"/>
          <w:sz w:val="27"/>
          <w:szCs w:val="27"/>
        </w:rPr>
        <w:t>；2)训练</w:t>
      </w:r>
      <w:r>
        <w:rPr>
          <w:rFonts w:ascii="宋体" w:hAnsi="宋体" w:eastAsia="宋体" w:cs="宋体"/>
          <w:sz w:val="27"/>
          <w:szCs w:val="27"/>
        </w:rPr>
        <w:t xml:space="preserve"> </w:t>
      </w:r>
      <w:r>
        <w:rPr>
          <w:rFonts w:ascii="宋体" w:hAnsi="宋体" w:eastAsia="宋体" w:cs="宋体"/>
          <w:spacing w:val="-2"/>
          <w:sz w:val="27"/>
          <w:szCs w:val="27"/>
        </w:rPr>
        <w:t>和训练保障设备；3)维修、维护设备和工具；4</w:t>
      </w:r>
      <w:r>
        <w:rPr>
          <w:rFonts w:ascii="宋体" w:hAnsi="宋体" w:eastAsia="宋体" w:cs="宋体"/>
          <w:spacing w:val="-3"/>
          <w:sz w:val="27"/>
          <w:szCs w:val="27"/>
        </w:rPr>
        <w:t>)装卸设备和工具；5)配件与修理</w:t>
      </w:r>
      <w:r>
        <w:rPr>
          <w:rFonts w:ascii="宋体" w:hAnsi="宋体" w:eastAsia="宋体" w:cs="宋体"/>
          <w:sz w:val="27"/>
          <w:szCs w:val="27"/>
        </w:rPr>
        <w:t xml:space="preserve"> </w:t>
      </w:r>
      <w:r>
        <w:rPr>
          <w:rFonts w:ascii="宋体" w:hAnsi="宋体" w:eastAsia="宋体" w:cs="宋体"/>
          <w:spacing w:val="-4"/>
          <w:sz w:val="27"/>
          <w:szCs w:val="27"/>
        </w:rPr>
        <w:t>件等。</w:t>
      </w:r>
    </w:p>
    <w:p w14:paraId="08BCD5BA">
      <w:pPr>
        <w:spacing w:before="59"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75"/>
          <w:sz w:val="27"/>
          <w:szCs w:val="27"/>
        </w:rPr>
        <w:t xml:space="preserve"> </w:t>
      </w:r>
      <w:r>
        <w:rPr>
          <w:rFonts w:ascii="宋体" w:hAnsi="宋体" w:eastAsia="宋体" w:cs="宋体"/>
          <w:spacing w:val="3"/>
          <w:sz w:val="27"/>
          <w:szCs w:val="27"/>
        </w:rPr>
        <w:t>备附件的供应满足率。</w:t>
      </w:r>
    </w:p>
    <w:p w14:paraId="118CAE52">
      <w:pPr>
        <w:spacing w:before="120" w:line="219" w:lineRule="auto"/>
        <w:ind w:left="539"/>
        <w:rPr>
          <w:rFonts w:ascii="宋体" w:hAnsi="宋体" w:eastAsia="宋体" w:cs="宋体"/>
          <w:sz w:val="27"/>
          <w:szCs w:val="27"/>
        </w:rPr>
      </w:pPr>
      <w:r>
        <w:rPr>
          <w:rFonts w:ascii="Times New Roman" w:hAnsi="Times New Roman" w:eastAsia="Times New Roman" w:cs="Times New Roman"/>
          <w:sz w:val="27"/>
          <w:szCs w:val="27"/>
        </w:rPr>
        <w:t>c</w:t>
      </w:r>
      <w:r>
        <w:rPr>
          <w:rFonts w:ascii="宋体" w:hAnsi="宋体" w:eastAsia="宋体" w:cs="宋体"/>
          <w:sz w:val="27"/>
          <w:szCs w:val="27"/>
        </w:rPr>
        <w:t>)技术资料的完整、准确和适用性。</w:t>
      </w:r>
    </w:p>
    <w:p w14:paraId="743DA0E1">
      <w:pPr>
        <w:spacing w:before="59" w:line="212" w:lineRule="auto"/>
        <w:ind w:left="539"/>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计算机资源保障。</w:t>
      </w:r>
    </w:p>
    <w:p w14:paraId="7BA704B2">
      <w:pPr>
        <w:spacing w:before="131" w:line="219" w:lineRule="auto"/>
        <w:ind w:left="539"/>
        <w:rPr>
          <w:rFonts w:ascii="宋体" w:hAnsi="宋体" w:eastAsia="宋体" w:cs="宋体"/>
          <w:sz w:val="27"/>
          <w:szCs w:val="27"/>
        </w:rPr>
      </w:pPr>
      <w:r>
        <w:rPr>
          <w:rFonts w:ascii="Times New Roman" w:hAnsi="Times New Roman" w:eastAsia="Times New Roman" w:cs="Times New Roman"/>
          <w:spacing w:val="12"/>
          <w:sz w:val="27"/>
          <w:szCs w:val="27"/>
        </w:rPr>
        <w:t>e</w:t>
      </w:r>
      <w:r>
        <w:rPr>
          <w:rFonts w:ascii="宋体" w:hAnsi="宋体" w:eastAsia="宋体" w:cs="宋体"/>
          <w:spacing w:val="12"/>
          <w:sz w:val="27"/>
          <w:szCs w:val="27"/>
        </w:rPr>
        <w:t>)保障设施。</w:t>
      </w:r>
    </w:p>
    <w:p w14:paraId="77EDD31D">
      <w:pPr>
        <w:spacing w:before="49"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f)</w:t>
      </w:r>
      <w:r>
        <w:rPr>
          <w:rFonts w:ascii="Times New Roman" w:hAnsi="Times New Roman" w:eastAsia="Times New Roman" w:cs="Times New Roman"/>
          <w:spacing w:val="48"/>
          <w:sz w:val="27"/>
          <w:szCs w:val="27"/>
        </w:rPr>
        <w:t xml:space="preserve"> </w:t>
      </w:r>
      <w:r>
        <w:rPr>
          <w:rFonts w:ascii="宋体" w:hAnsi="宋体" w:eastAsia="宋体" w:cs="宋体"/>
          <w:spacing w:val="4"/>
          <w:sz w:val="27"/>
          <w:szCs w:val="27"/>
        </w:rPr>
        <w:t>人员要求。</w:t>
      </w:r>
    </w:p>
    <w:p w14:paraId="290BEAB9">
      <w:pPr>
        <w:spacing w:before="109"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g</w:t>
      </w:r>
      <w:r>
        <w:rPr>
          <w:rFonts w:ascii="宋体" w:hAnsi="宋体" w:eastAsia="宋体" w:cs="宋体"/>
          <w:spacing w:val="4"/>
          <w:sz w:val="27"/>
          <w:szCs w:val="27"/>
        </w:rPr>
        <w:t>)</w:t>
      </w:r>
      <w:r>
        <w:rPr>
          <w:rFonts w:ascii="宋体" w:hAnsi="宋体" w:eastAsia="宋体" w:cs="宋体"/>
          <w:spacing w:val="-49"/>
          <w:sz w:val="27"/>
          <w:szCs w:val="27"/>
        </w:rPr>
        <w:t xml:space="preserve"> </w:t>
      </w:r>
      <w:r>
        <w:rPr>
          <w:rFonts w:ascii="宋体" w:hAnsi="宋体" w:eastAsia="宋体" w:cs="宋体"/>
          <w:spacing w:val="4"/>
          <w:sz w:val="27"/>
          <w:szCs w:val="27"/>
        </w:rPr>
        <w:t>运输要求。</w:t>
      </w:r>
    </w:p>
    <w:p w14:paraId="3BAECE01">
      <w:pPr>
        <w:spacing w:before="71"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h)</w:t>
      </w:r>
      <w:r>
        <w:rPr>
          <w:rFonts w:ascii="Times New Roman" w:hAnsi="Times New Roman" w:eastAsia="Times New Roman" w:cs="Times New Roman"/>
          <w:spacing w:val="1"/>
          <w:sz w:val="27"/>
          <w:szCs w:val="27"/>
        </w:rPr>
        <w:t xml:space="preserve">  </w:t>
      </w:r>
      <w:r>
        <w:rPr>
          <w:rFonts w:ascii="宋体" w:hAnsi="宋体" w:eastAsia="宋体" w:cs="宋体"/>
          <w:spacing w:val="3"/>
          <w:sz w:val="27"/>
          <w:szCs w:val="27"/>
        </w:rPr>
        <w:t>训练要求。</w:t>
      </w:r>
    </w:p>
    <w:p w14:paraId="66A6B5AA">
      <w:pPr>
        <w:spacing w:before="120" w:line="212" w:lineRule="auto"/>
        <w:ind w:left="539"/>
        <w:rPr>
          <w:rFonts w:ascii="宋体" w:hAnsi="宋体" w:eastAsia="宋体" w:cs="宋体"/>
          <w:sz w:val="27"/>
          <w:szCs w:val="27"/>
        </w:rPr>
      </w:pPr>
      <w:r>
        <w:rPr>
          <w:rFonts w:ascii="Times New Roman" w:hAnsi="Times New Roman" w:eastAsia="Times New Roman" w:cs="Times New Roman"/>
          <w:sz w:val="27"/>
          <w:szCs w:val="27"/>
        </w:rPr>
        <w:t>i)</w:t>
      </w:r>
      <w:r>
        <w:rPr>
          <w:rFonts w:ascii="Times New Roman" w:hAnsi="Times New Roman" w:eastAsia="Times New Roman" w:cs="Times New Roman"/>
          <w:spacing w:val="61"/>
          <w:sz w:val="27"/>
          <w:szCs w:val="27"/>
        </w:rPr>
        <w:t xml:space="preserve"> </w:t>
      </w:r>
      <w:r>
        <w:rPr>
          <w:rFonts w:ascii="宋体" w:hAnsi="宋体" w:eastAsia="宋体" w:cs="宋体"/>
          <w:sz w:val="27"/>
          <w:szCs w:val="27"/>
        </w:rPr>
        <w:t>软件保障性。</w:t>
      </w:r>
    </w:p>
    <w:p w14:paraId="7B836017">
      <w:pPr>
        <w:spacing w:before="109" w:line="212" w:lineRule="auto"/>
        <w:ind w:left="539"/>
        <w:rPr>
          <w:rFonts w:ascii="宋体" w:hAnsi="宋体" w:eastAsia="宋体" w:cs="宋体"/>
          <w:sz w:val="27"/>
          <w:szCs w:val="27"/>
        </w:rPr>
      </w:pPr>
      <w:r>
        <w:rPr>
          <w:rFonts w:ascii="Times New Roman" w:hAnsi="Times New Roman" w:eastAsia="Times New Roman" w:cs="Times New Roman"/>
          <w:spacing w:val="5"/>
          <w:sz w:val="27"/>
          <w:szCs w:val="27"/>
        </w:rPr>
        <w:t>j)</w:t>
      </w:r>
      <w:r>
        <w:rPr>
          <w:rFonts w:ascii="Times New Roman" w:hAnsi="Times New Roman" w:eastAsia="Times New Roman" w:cs="Times New Roman"/>
          <w:spacing w:val="66"/>
          <w:sz w:val="27"/>
          <w:szCs w:val="27"/>
        </w:rPr>
        <w:t xml:space="preserve"> </w:t>
      </w:r>
      <w:r>
        <w:rPr>
          <w:rFonts w:ascii="宋体" w:hAnsi="宋体" w:eastAsia="宋体" w:cs="宋体"/>
          <w:spacing w:val="5"/>
          <w:sz w:val="27"/>
          <w:szCs w:val="27"/>
        </w:rPr>
        <w:t>保障工作量及难易程度。</w:t>
      </w:r>
    </w:p>
    <w:p w14:paraId="7326D64A">
      <w:pPr>
        <w:spacing w:before="80" w:line="212" w:lineRule="auto"/>
        <w:ind w:left="539"/>
        <w:rPr>
          <w:rFonts w:ascii="宋体" w:hAnsi="宋体" w:eastAsia="宋体" w:cs="宋体"/>
          <w:sz w:val="27"/>
          <w:szCs w:val="27"/>
        </w:rPr>
      </w:pPr>
      <w:r>
        <w:rPr>
          <w:rFonts w:ascii="Times New Roman" w:hAnsi="Times New Roman" w:eastAsia="Times New Roman" w:cs="Times New Roman"/>
          <w:spacing w:val="-1"/>
          <w:sz w:val="27"/>
          <w:szCs w:val="27"/>
        </w:rPr>
        <w:t xml:space="preserve">k)  </w:t>
      </w:r>
      <w:r>
        <w:rPr>
          <w:rFonts w:ascii="宋体" w:hAnsi="宋体" w:eastAsia="宋体" w:cs="宋体"/>
          <w:spacing w:val="-1"/>
          <w:sz w:val="27"/>
          <w:szCs w:val="27"/>
        </w:rPr>
        <w:t>与部队对现役装备管理、保障要求符合的程度评价等。</w:t>
      </w:r>
    </w:p>
    <w:p w14:paraId="55CF49E2">
      <w:pPr>
        <w:spacing w:before="117" w:line="222" w:lineRule="auto"/>
        <w:rPr>
          <w:rFonts w:ascii="黑体" w:hAnsi="黑体" w:eastAsia="黑体" w:cs="黑体"/>
          <w:sz w:val="27"/>
          <w:szCs w:val="27"/>
        </w:rPr>
      </w:pPr>
      <w:r>
        <w:rPr>
          <w:rFonts w:ascii="黑体" w:hAnsi="黑体" w:eastAsia="黑体" w:cs="黑体"/>
          <w:spacing w:val="-1"/>
          <w:sz w:val="27"/>
          <w:szCs w:val="27"/>
        </w:rPr>
        <w:t>4.2.5</w:t>
      </w:r>
      <w:r>
        <w:rPr>
          <w:rFonts w:ascii="黑体" w:hAnsi="黑体" w:eastAsia="黑体" w:cs="黑体"/>
          <w:spacing w:val="17"/>
          <w:sz w:val="27"/>
          <w:szCs w:val="27"/>
        </w:rPr>
        <w:t xml:space="preserve">  </w:t>
      </w:r>
      <w:r>
        <w:rPr>
          <w:rFonts w:ascii="黑体" w:hAnsi="黑体" w:eastAsia="黑体" w:cs="黑体"/>
          <w:b/>
          <w:bCs/>
          <w:spacing w:val="-1"/>
          <w:sz w:val="27"/>
          <w:szCs w:val="27"/>
        </w:rPr>
        <w:t>兼容性</w:t>
      </w:r>
    </w:p>
    <w:p w14:paraId="64C4C1AB">
      <w:pPr>
        <w:spacing w:before="98" w:line="267" w:lineRule="auto"/>
        <w:ind w:right="7" w:firstLine="539"/>
        <w:rPr>
          <w:rFonts w:ascii="宋体" w:hAnsi="宋体" w:eastAsia="宋体" w:cs="宋体"/>
          <w:sz w:val="27"/>
          <w:szCs w:val="27"/>
        </w:rPr>
      </w:pPr>
      <w:r>
        <w:rPr>
          <w:rFonts w:ascii="宋体" w:hAnsi="宋体" w:eastAsia="宋体" w:cs="宋体"/>
          <w:spacing w:val="14"/>
          <w:sz w:val="27"/>
          <w:szCs w:val="27"/>
        </w:rPr>
        <w:t>评价被试品和其相关装备(设备)同时使用或相互服务而不互相干扰的能</w:t>
      </w:r>
      <w:r>
        <w:rPr>
          <w:rFonts w:ascii="宋体" w:hAnsi="宋体" w:eastAsia="宋体" w:cs="宋体"/>
          <w:spacing w:val="4"/>
          <w:sz w:val="27"/>
          <w:szCs w:val="27"/>
        </w:rPr>
        <w:t xml:space="preserve"> </w:t>
      </w:r>
      <w:r>
        <w:rPr>
          <w:rFonts w:ascii="宋体" w:hAnsi="宋体" w:eastAsia="宋体" w:cs="宋体"/>
          <w:spacing w:val="-18"/>
          <w:sz w:val="27"/>
          <w:szCs w:val="27"/>
        </w:rPr>
        <w:t>力，主要包括：</w:t>
      </w:r>
    </w:p>
    <w:p w14:paraId="624EE650">
      <w:pPr>
        <w:spacing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68"/>
          <w:sz w:val="27"/>
          <w:szCs w:val="27"/>
        </w:rPr>
        <w:t xml:space="preserve"> </w:t>
      </w:r>
      <w:r>
        <w:rPr>
          <w:rFonts w:ascii="宋体" w:hAnsi="宋体" w:eastAsia="宋体" w:cs="宋体"/>
          <w:spacing w:val="-3"/>
          <w:sz w:val="27"/>
          <w:szCs w:val="27"/>
        </w:rPr>
        <w:t>成系统试验时全系统的匹配性、协调性；</w:t>
      </w:r>
    </w:p>
    <w:p w14:paraId="32101A44">
      <w:pPr>
        <w:spacing w:before="100"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在实际的自然环境、电磁环境下正常使用的程度；</w:t>
      </w:r>
    </w:p>
    <w:p w14:paraId="6832F8D8">
      <w:pPr>
        <w:spacing w:before="10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c)  </w:t>
      </w:r>
      <w:r>
        <w:rPr>
          <w:rFonts w:ascii="宋体" w:hAnsi="宋体" w:eastAsia="宋体" w:cs="宋体"/>
          <w:spacing w:val="-4"/>
          <w:sz w:val="27"/>
          <w:szCs w:val="27"/>
        </w:rPr>
        <w:t>与现役装备间的互连、互通和互操作；</w:t>
      </w:r>
    </w:p>
    <w:p w14:paraId="4EF8DBE5">
      <w:pPr>
        <w:spacing w:before="111" w:line="253" w:lineRule="auto"/>
        <w:ind w:firstLine="539"/>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在其设计的所有气候条件下和规定的时限内，由穿戴全套</w:t>
      </w:r>
      <w:r>
        <w:rPr>
          <w:rFonts w:ascii="宋体" w:hAnsi="宋体" w:eastAsia="宋体" w:cs="宋体"/>
          <w:spacing w:val="2"/>
          <w:sz w:val="27"/>
          <w:szCs w:val="27"/>
        </w:rPr>
        <w:t>个人防护服的</w:t>
      </w:r>
      <w:r>
        <w:rPr>
          <w:rFonts w:ascii="宋体" w:hAnsi="宋体" w:eastAsia="宋体" w:cs="宋体"/>
          <w:sz w:val="27"/>
          <w:szCs w:val="27"/>
        </w:rPr>
        <w:t xml:space="preserve"> </w:t>
      </w:r>
      <w:r>
        <w:rPr>
          <w:rFonts w:ascii="宋体" w:hAnsi="宋体" w:eastAsia="宋体" w:cs="宋体"/>
          <w:spacing w:val="-6"/>
          <w:sz w:val="27"/>
          <w:szCs w:val="27"/>
        </w:rPr>
        <w:t>人员操作、维修和补给的能力等。</w:t>
      </w:r>
    </w:p>
    <w:p w14:paraId="5243B4D5">
      <w:pPr>
        <w:spacing w:before="84" w:line="222" w:lineRule="auto"/>
        <w:rPr>
          <w:rFonts w:ascii="黑体" w:hAnsi="黑体" w:eastAsia="黑体" w:cs="黑体"/>
          <w:sz w:val="27"/>
          <w:szCs w:val="27"/>
        </w:rPr>
      </w:pPr>
      <w:r>
        <w:rPr>
          <w:rFonts w:ascii="黑体" w:hAnsi="黑体" w:eastAsia="黑体" w:cs="黑体"/>
          <w:spacing w:val="-3"/>
          <w:sz w:val="27"/>
          <w:szCs w:val="27"/>
        </w:rPr>
        <w:t>4.2.6</w:t>
      </w:r>
      <w:r>
        <w:rPr>
          <w:rFonts w:ascii="黑体" w:hAnsi="黑体" w:eastAsia="黑体" w:cs="黑体"/>
          <w:spacing w:val="18"/>
          <w:sz w:val="27"/>
          <w:szCs w:val="27"/>
        </w:rPr>
        <w:t xml:space="preserve">  </w:t>
      </w:r>
      <w:r>
        <w:rPr>
          <w:rFonts w:ascii="黑体" w:hAnsi="黑体" w:eastAsia="黑体" w:cs="黑体"/>
          <w:b/>
          <w:bCs/>
          <w:spacing w:val="-3"/>
          <w:sz w:val="27"/>
          <w:szCs w:val="27"/>
        </w:rPr>
        <w:t>机动性</w:t>
      </w:r>
    </w:p>
    <w:p w14:paraId="1FFE1F44">
      <w:pPr>
        <w:spacing w:before="88" w:line="218" w:lineRule="auto"/>
        <w:ind w:left="539"/>
        <w:rPr>
          <w:rFonts w:ascii="宋体" w:hAnsi="宋体" w:eastAsia="宋体" w:cs="宋体"/>
          <w:sz w:val="27"/>
          <w:szCs w:val="27"/>
        </w:rPr>
      </w:pPr>
      <w:r>
        <w:rPr>
          <w:rFonts w:ascii="宋体" w:hAnsi="宋体" w:eastAsia="宋体" w:cs="宋体"/>
          <w:spacing w:val="-4"/>
          <w:sz w:val="27"/>
          <w:szCs w:val="27"/>
        </w:rPr>
        <w:t>评价被试品进行兵器机动的能力，主要包括：</w:t>
      </w:r>
    </w:p>
    <w:p w14:paraId="6AC10388">
      <w:pPr>
        <w:spacing w:before="94" w:line="268" w:lineRule="auto"/>
        <w:ind w:right="10" w:firstLine="539"/>
        <w:rPr>
          <w:rFonts w:ascii="宋体" w:hAnsi="宋体" w:eastAsia="宋体" w:cs="宋体"/>
          <w:sz w:val="25"/>
          <w:szCs w:val="25"/>
        </w:rPr>
      </w:pPr>
      <w:r>
        <w:rPr>
          <w:rFonts w:ascii="Times New Roman" w:hAnsi="Times New Roman" w:eastAsia="Times New Roman" w:cs="Times New Roman"/>
          <w:spacing w:val="14"/>
          <w:sz w:val="25"/>
          <w:szCs w:val="25"/>
        </w:rPr>
        <w:t xml:space="preserve">a)  </w:t>
      </w:r>
      <w:r>
        <w:rPr>
          <w:rFonts w:ascii="宋体" w:hAnsi="宋体" w:eastAsia="宋体" w:cs="宋体"/>
          <w:spacing w:val="14"/>
          <w:sz w:val="25"/>
          <w:szCs w:val="25"/>
        </w:rPr>
        <w:t>通过各种载体的运输能力，即靠人背马驮、牵引、自行或者载</w:t>
      </w:r>
      <w:r>
        <w:rPr>
          <w:rFonts w:ascii="宋体" w:hAnsi="宋体" w:eastAsia="宋体" w:cs="宋体"/>
          <w:spacing w:val="13"/>
          <w:sz w:val="25"/>
          <w:szCs w:val="25"/>
        </w:rPr>
        <w:t>体，通过铁</w:t>
      </w:r>
      <w:r>
        <w:rPr>
          <w:rFonts w:ascii="宋体" w:hAnsi="宋体" w:eastAsia="宋体" w:cs="宋体"/>
          <w:sz w:val="25"/>
          <w:szCs w:val="25"/>
        </w:rPr>
        <w:t xml:space="preserve"> </w:t>
      </w:r>
      <w:r>
        <w:rPr>
          <w:rFonts w:ascii="宋体" w:hAnsi="宋体" w:eastAsia="宋体" w:cs="宋体"/>
          <w:spacing w:val="1"/>
          <w:sz w:val="25"/>
          <w:szCs w:val="25"/>
        </w:rPr>
        <w:t>路、公路、水路、管道、海洋和航空等方式调运的能力；</w:t>
      </w:r>
    </w:p>
    <w:p w14:paraId="275B2288">
      <w:pPr>
        <w:spacing w:before="53"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实际使用中对各种地形的适行能力；</w:t>
      </w:r>
    </w:p>
    <w:p w14:paraId="083F5E41">
      <w:pPr>
        <w:spacing w:before="11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58"/>
          <w:w w:val="101"/>
          <w:sz w:val="27"/>
          <w:szCs w:val="27"/>
        </w:rPr>
        <w:t xml:space="preserve"> </w:t>
      </w:r>
      <w:r>
        <w:rPr>
          <w:rFonts w:ascii="宋体" w:hAnsi="宋体" w:eastAsia="宋体" w:cs="宋体"/>
          <w:spacing w:val="4"/>
          <w:sz w:val="27"/>
          <w:szCs w:val="27"/>
        </w:rPr>
        <w:t>行军和战斗状态间相互转换的速度和便捷性；</w:t>
      </w:r>
    </w:p>
    <w:p w14:paraId="64506528">
      <w:pPr>
        <w:spacing w:before="9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机动对其作战使用性能的影响程度等。</w:t>
      </w:r>
    </w:p>
    <w:p w14:paraId="36B4C0E9">
      <w:pPr>
        <w:spacing w:before="147" w:line="223" w:lineRule="auto"/>
        <w:rPr>
          <w:rFonts w:ascii="黑体" w:hAnsi="黑体" w:eastAsia="黑体" w:cs="黑体"/>
          <w:sz w:val="25"/>
          <w:szCs w:val="25"/>
        </w:rPr>
      </w:pPr>
      <w:r>
        <w:rPr>
          <w:rFonts w:ascii="黑体" w:hAnsi="黑体" w:eastAsia="黑体" w:cs="黑体"/>
          <w:spacing w:val="7"/>
          <w:sz w:val="25"/>
          <w:szCs w:val="25"/>
        </w:rPr>
        <w:t>4.2.7</w:t>
      </w:r>
      <w:r>
        <w:rPr>
          <w:rFonts w:ascii="黑体" w:hAnsi="黑体" w:eastAsia="黑体" w:cs="黑体"/>
          <w:spacing w:val="50"/>
          <w:sz w:val="25"/>
          <w:szCs w:val="25"/>
        </w:rPr>
        <w:t xml:space="preserve">  </w:t>
      </w:r>
      <w:r>
        <w:rPr>
          <w:rFonts w:ascii="黑体" w:hAnsi="黑体" w:eastAsia="黑体" w:cs="黑体"/>
          <w:b/>
          <w:bCs/>
          <w:spacing w:val="7"/>
          <w:sz w:val="25"/>
          <w:szCs w:val="25"/>
        </w:rPr>
        <w:t>安全性</w:t>
      </w:r>
    </w:p>
    <w:p w14:paraId="2CD08368">
      <w:pPr>
        <w:spacing w:before="99" w:line="283" w:lineRule="auto"/>
        <w:ind w:right="9" w:firstLine="539"/>
        <w:rPr>
          <w:rFonts w:ascii="宋体" w:hAnsi="宋体" w:eastAsia="宋体" w:cs="宋体"/>
          <w:sz w:val="27"/>
          <w:szCs w:val="27"/>
        </w:rPr>
      </w:pPr>
      <w:r>
        <w:rPr>
          <w:rFonts w:ascii="宋体" w:hAnsi="宋体" w:eastAsia="宋体" w:cs="宋体"/>
          <w:spacing w:val="6"/>
          <w:sz w:val="27"/>
          <w:szCs w:val="27"/>
        </w:rPr>
        <w:t>通常在进行其他部分试验的同时，通过观察被</w:t>
      </w:r>
      <w:r>
        <w:rPr>
          <w:rFonts w:ascii="宋体" w:hAnsi="宋体" w:eastAsia="宋体" w:cs="宋体"/>
          <w:spacing w:val="5"/>
          <w:sz w:val="27"/>
          <w:szCs w:val="27"/>
        </w:rPr>
        <w:t>试品的使用和维修来评价被</w:t>
      </w:r>
      <w:r>
        <w:rPr>
          <w:rFonts w:ascii="宋体" w:hAnsi="宋体" w:eastAsia="宋体" w:cs="宋体"/>
          <w:sz w:val="27"/>
          <w:szCs w:val="27"/>
        </w:rPr>
        <w:t xml:space="preserve"> </w:t>
      </w:r>
      <w:r>
        <w:rPr>
          <w:rFonts w:ascii="宋体" w:hAnsi="宋体" w:eastAsia="宋体" w:cs="宋体"/>
          <w:spacing w:val="-1"/>
          <w:sz w:val="27"/>
          <w:szCs w:val="27"/>
        </w:rPr>
        <w:t>试品在模拟战场环境条件下实际使用的安全程度，主要包括：</w:t>
      </w:r>
    </w:p>
    <w:p w14:paraId="5FAC7938">
      <w:pPr>
        <w:spacing w:line="283" w:lineRule="auto"/>
        <w:rPr>
          <w:rFonts w:ascii="宋体" w:hAnsi="宋体" w:eastAsia="宋体" w:cs="宋体"/>
          <w:sz w:val="27"/>
          <w:szCs w:val="27"/>
        </w:rPr>
        <w:sectPr>
          <w:footerReference r:id="rId134" w:type="default"/>
          <w:pgSz w:w="11910" w:h="17130"/>
          <w:pgMar w:top="400" w:right="1339" w:bottom="1725" w:left="1200" w:header="0" w:footer="1481" w:gutter="0"/>
          <w:cols w:space="720" w:num="1"/>
        </w:sectPr>
      </w:pPr>
    </w:p>
    <w:p w14:paraId="1BFBF1AE">
      <w:pPr>
        <w:pStyle w:val="2"/>
        <w:spacing w:line="256" w:lineRule="auto"/>
      </w:pPr>
    </w:p>
    <w:p w14:paraId="4DC5261B">
      <w:pPr>
        <w:pStyle w:val="2"/>
        <w:spacing w:line="256" w:lineRule="auto"/>
      </w:pPr>
    </w:p>
    <w:p w14:paraId="5537A8FA">
      <w:pPr>
        <w:pStyle w:val="2"/>
        <w:spacing w:line="257" w:lineRule="auto"/>
      </w:pPr>
    </w:p>
    <w:p w14:paraId="1615279E">
      <w:pPr>
        <w:pStyle w:val="2"/>
        <w:spacing w:line="257" w:lineRule="auto"/>
      </w:pPr>
    </w:p>
    <w:p w14:paraId="71AFD9C4">
      <w:pPr>
        <w:spacing w:before="88" w:line="212" w:lineRule="auto"/>
        <w:ind w:left="550"/>
        <w:rPr>
          <w:rFonts w:ascii="宋体" w:hAnsi="宋体" w:eastAsia="宋体" w:cs="宋体"/>
          <w:sz w:val="27"/>
          <w:szCs w:val="27"/>
        </w:rPr>
      </w:pPr>
      <w:r>
        <w:rPr>
          <w:rFonts w:ascii="Times New Roman" w:hAnsi="Times New Roman" w:eastAsia="Times New Roman" w:cs="Times New Roman"/>
          <w:spacing w:val="-6"/>
          <w:sz w:val="27"/>
          <w:szCs w:val="27"/>
        </w:rPr>
        <w:t xml:space="preserve">a)  </w:t>
      </w:r>
      <w:r>
        <w:rPr>
          <w:rFonts w:ascii="宋体" w:hAnsi="宋体" w:eastAsia="宋体" w:cs="宋体"/>
          <w:spacing w:val="-6"/>
          <w:sz w:val="27"/>
          <w:szCs w:val="27"/>
        </w:rPr>
        <w:t>可能造成部队使用人员死亡、伤害、职业疾病的程度；</w:t>
      </w:r>
    </w:p>
    <w:p w14:paraId="7C74A0DA">
      <w:pPr>
        <w:spacing w:before="132" w:line="212" w:lineRule="auto"/>
        <w:ind w:left="550"/>
        <w:rPr>
          <w:rFonts w:ascii="宋体" w:hAnsi="宋体" w:eastAsia="宋体" w:cs="宋体"/>
          <w:sz w:val="24"/>
          <w:szCs w:val="24"/>
        </w:rPr>
      </w:pPr>
      <w:r>
        <w:rPr>
          <w:rFonts w:ascii="Times New Roman" w:hAnsi="Times New Roman" w:eastAsia="Times New Roman" w:cs="Times New Roman"/>
          <w:spacing w:val="29"/>
          <w:sz w:val="24"/>
          <w:szCs w:val="24"/>
        </w:rPr>
        <w:t xml:space="preserve">b)  </w:t>
      </w:r>
      <w:r>
        <w:rPr>
          <w:rFonts w:ascii="宋体" w:hAnsi="宋体" w:eastAsia="宋体" w:cs="宋体"/>
          <w:spacing w:val="29"/>
          <w:sz w:val="24"/>
          <w:szCs w:val="24"/>
        </w:rPr>
        <w:t>可能造成设备或财产损坏或损失的程度；</w:t>
      </w:r>
    </w:p>
    <w:p w14:paraId="1C40A58D">
      <w:pPr>
        <w:spacing w:before="124" w:line="212" w:lineRule="auto"/>
        <w:ind w:left="550"/>
        <w:rPr>
          <w:rFonts w:ascii="宋体" w:hAnsi="宋体" w:eastAsia="宋体" w:cs="宋体"/>
          <w:sz w:val="24"/>
          <w:szCs w:val="24"/>
        </w:rPr>
      </w:pPr>
      <w:r>
        <w:rPr>
          <w:rFonts w:ascii="Times New Roman" w:hAnsi="Times New Roman" w:eastAsia="Times New Roman" w:cs="Times New Roman"/>
          <w:spacing w:val="25"/>
          <w:sz w:val="24"/>
          <w:szCs w:val="24"/>
        </w:rPr>
        <w:t>c)</w:t>
      </w:r>
      <w:r>
        <w:rPr>
          <w:rFonts w:ascii="Times New Roman" w:hAnsi="Times New Roman" w:eastAsia="Times New Roman" w:cs="Times New Roman"/>
          <w:spacing w:val="4"/>
          <w:sz w:val="24"/>
          <w:szCs w:val="24"/>
        </w:rPr>
        <w:t xml:space="preserve">   </w:t>
      </w:r>
      <w:r>
        <w:rPr>
          <w:rFonts w:ascii="宋体" w:hAnsi="宋体" w:eastAsia="宋体" w:cs="宋体"/>
          <w:spacing w:val="25"/>
          <w:sz w:val="24"/>
          <w:szCs w:val="24"/>
        </w:rPr>
        <w:t>可能造成危害环境的程度；</w:t>
      </w:r>
    </w:p>
    <w:p w14:paraId="172B76FD">
      <w:pPr>
        <w:spacing w:before="72" w:line="212" w:lineRule="auto"/>
        <w:ind w:left="550"/>
        <w:rPr>
          <w:rFonts w:ascii="宋体" w:hAnsi="宋体" w:eastAsia="宋体" w:cs="宋体"/>
          <w:sz w:val="27"/>
          <w:szCs w:val="27"/>
        </w:rPr>
      </w:pPr>
      <w:r>
        <w:rPr>
          <w:rFonts w:ascii="Times New Roman" w:hAnsi="Times New Roman" w:eastAsia="Times New Roman" w:cs="Times New Roman"/>
          <w:spacing w:val="10"/>
          <w:sz w:val="27"/>
          <w:szCs w:val="27"/>
        </w:rPr>
        <w:t xml:space="preserve">d)  </w:t>
      </w:r>
      <w:r>
        <w:rPr>
          <w:rFonts w:ascii="宋体" w:hAnsi="宋体" w:eastAsia="宋体" w:cs="宋体"/>
          <w:spacing w:val="10"/>
          <w:sz w:val="27"/>
          <w:szCs w:val="27"/>
        </w:rPr>
        <w:t>使用注意事项和警示标志、提示等便于使用者观察、理解和明确的程</w:t>
      </w:r>
    </w:p>
    <w:p w14:paraId="2C3624F9">
      <w:pPr>
        <w:spacing w:before="180" w:line="219" w:lineRule="auto"/>
        <w:rPr>
          <w:rFonts w:ascii="宋体" w:hAnsi="宋体" w:eastAsia="宋体" w:cs="宋体"/>
          <w:sz w:val="27"/>
          <w:szCs w:val="27"/>
        </w:rPr>
      </w:pPr>
      <w:r>
        <w:rPr>
          <w:rFonts w:ascii="宋体" w:hAnsi="宋体" w:eastAsia="宋体" w:cs="宋体"/>
          <w:spacing w:val="-2"/>
          <w:sz w:val="27"/>
          <w:szCs w:val="27"/>
        </w:rPr>
        <w:t>度等。</w:t>
      </w:r>
    </w:p>
    <w:p w14:paraId="0ACB29A4">
      <w:pPr>
        <w:spacing w:before="78" w:line="280" w:lineRule="auto"/>
        <w:ind w:right="1260" w:firstLine="550"/>
        <w:rPr>
          <w:rFonts w:ascii="黑体" w:hAnsi="黑体" w:eastAsia="黑体" w:cs="黑体"/>
          <w:sz w:val="25"/>
          <w:szCs w:val="25"/>
        </w:rPr>
      </w:pPr>
      <w:r>
        <w:rPr>
          <w:rFonts w:ascii="宋体" w:hAnsi="宋体" w:eastAsia="宋体" w:cs="宋体"/>
          <w:spacing w:val="4"/>
          <w:sz w:val="27"/>
          <w:szCs w:val="27"/>
        </w:rPr>
        <w:t>可采用规定的危险严重性等级和危险可能性等级进行综合评价。</w:t>
      </w:r>
      <w:r>
        <w:rPr>
          <w:rFonts w:ascii="宋体" w:hAnsi="宋体" w:eastAsia="宋体" w:cs="宋体"/>
          <w:spacing w:val="11"/>
          <w:sz w:val="27"/>
          <w:szCs w:val="27"/>
        </w:rPr>
        <w:t xml:space="preserve"> </w:t>
      </w:r>
      <w:r>
        <w:rPr>
          <w:rFonts w:ascii="黑体" w:hAnsi="黑体" w:eastAsia="黑体" w:cs="黑体"/>
          <w:spacing w:val="9"/>
          <w:sz w:val="25"/>
          <w:szCs w:val="25"/>
        </w:rPr>
        <w:t>4.2.8</w:t>
      </w:r>
      <w:r>
        <w:rPr>
          <w:rFonts w:ascii="黑体" w:hAnsi="黑体" w:eastAsia="黑体" w:cs="黑体"/>
          <w:spacing w:val="60"/>
          <w:sz w:val="25"/>
          <w:szCs w:val="25"/>
        </w:rPr>
        <w:t xml:space="preserve">  </w:t>
      </w:r>
      <w:r>
        <w:rPr>
          <w:rFonts w:ascii="黑体" w:hAnsi="黑体" w:eastAsia="黑体" w:cs="黑体"/>
          <w:spacing w:val="9"/>
          <w:sz w:val="25"/>
          <w:szCs w:val="25"/>
        </w:rPr>
        <w:t>人机工程</w:t>
      </w:r>
    </w:p>
    <w:p w14:paraId="52B37A35">
      <w:pPr>
        <w:spacing w:before="1" w:line="217" w:lineRule="auto"/>
        <w:ind w:left="550"/>
        <w:rPr>
          <w:rFonts w:ascii="宋体" w:hAnsi="宋体" w:eastAsia="宋体" w:cs="宋体"/>
          <w:sz w:val="27"/>
          <w:szCs w:val="27"/>
        </w:rPr>
      </w:pPr>
      <w:r>
        <w:rPr>
          <w:rFonts w:ascii="宋体" w:hAnsi="宋体" w:eastAsia="宋体" w:cs="宋体"/>
          <w:sz w:val="27"/>
          <w:szCs w:val="27"/>
        </w:rPr>
        <w:t>评价被试品在人机环境方面是否满足作战使用和勤务要求</w:t>
      </w:r>
      <w:r>
        <w:rPr>
          <w:rFonts w:ascii="宋体" w:hAnsi="宋体" w:eastAsia="宋体" w:cs="宋体"/>
          <w:spacing w:val="-1"/>
          <w:sz w:val="27"/>
          <w:szCs w:val="27"/>
        </w:rPr>
        <w:t>，主要包括：</w:t>
      </w:r>
    </w:p>
    <w:p w14:paraId="27665B7A">
      <w:pPr>
        <w:spacing w:before="73"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a)  </w:t>
      </w:r>
      <w:r>
        <w:rPr>
          <w:rFonts w:ascii="宋体" w:hAnsi="宋体" w:eastAsia="宋体" w:cs="宋体"/>
          <w:spacing w:val="5"/>
          <w:sz w:val="27"/>
          <w:szCs w:val="27"/>
        </w:rPr>
        <w:t>在野战环境条件下使用时人机环境</w:t>
      </w:r>
      <w:r>
        <w:rPr>
          <w:rFonts w:ascii="宋体" w:hAnsi="宋体" w:eastAsia="宋体" w:cs="宋体"/>
          <w:spacing w:val="4"/>
          <w:sz w:val="27"/>
          <w:szCs w:val="27"/>
        </w:rPr>
        <w:t>的舒适性和适应性程度；</w:t>
      </w:r>
    </w:p>
    <w:p w14:paraId="542D0F3A">
      <w:pPr>
        <w:spacing w:before="10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对部队操作人员、维修人员、保障人员工作能力的要求程度；</w:t>
      </w:r>
    </w:p>
    <w:p w14:paraId="7547CF39">
      <w:pPr>
        <w:spacing w:before="10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上述作业人员的工作负荷和疲劳率；</w:t>
      </w:r>
    </w:p>
    <w:p w14:paraId="46D22719">
      <w:pPr>
        <w:spacing w:before="10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信息量、信息速率和作业速率是否超过极限；</w:t>
      </w:r>
    </w:p>
    <w:p w14:paraId="56F70374">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设计原因使作业人员出现差错的程度等。</w:t>
      </w:r>
    </w:p>
    <w:p w14:paraId="1E9F5C09">
      <w:pPr>
        <w:spacing w:before="148" w:line="222" w:lineRule="auto"/>
        <w:rPr>
          <w:rFonts w:ascii="黑体" w:hAnsi="黑体" w:eastAsia="黑体" w:cs="黑体"/>
          <w:sz w:val="25"/>
          <w:szCs w:val="25"/>
        </w:rPr>
      </w:pPr>
      <w:r>
        <w:rPr>
          <w:rFonts w:ascii="黑体" w:hAnsi="黑体" w:eastAsia="黑体" w:cs="黑体"/>
          <w:spacing w:val="10"/>
          <w:sz w:val="25"/>
          <w:szCs w:val="25"/>
        </w:rPr>
        <w:t>4.2.9</w:t>
      </w:r>
      <w:r>
        <w:rPr>
          <w:rFonts w:ascii="黑体" w:hAnsi="黑体" w:eastAsia="黑体" w:cs="黑体"/>
          <w:spacing w:val="59"/>
          <w:sz w:val="25"/>
          <w:szCs w:val="25"/>
        </w:rPr>
        <w:t xml:space="preserve">  </w:t>
      </w:r>
      <w:r>
        <w:rPr>
          <w:rFonts w:ascii="黑体" w:hAnsi="黑体" w:eastAsia="黑体" w:cs="黑体"/>
          <w:spacing w:val="10"/>
          <w:sz w:val="25"/>
          <w:szCs w:val="25"/>
        </w:rPr>
        <w:t>生存性</w:t>
      </w:r>
    </w:p>
    <w:p w14:paraId="50720BCA">
      <w:pPr>
        <w:spacing w:before="80" w:line="274" w:lineRule="auto"/>
        <w:ind w:right="123" w:firstLine="550"/>
        <w:rPr>
          <w:rFonts w:ascii="宋体" w:hAnsi="宋体" w:eastAsia="宋体" w:cs="宋体"/>
          <w:sz w:val="27"/>
          <w:szCs w:val="27"/>
        </w:rPr>
      </w:pPr>
      <w:r>
        <w:rPr>
          <w:rFonts w:ascii="宋体" w:hAnsi="宋体" w:eastAsia="宋体" w:cs="宋体"/>
          <w:spacing w:val="6"/>
          <w:sz w:val="27"/>
          <w:szCs w:val="27"/>
        </w:rPr>
        <w:t>评价被试品在不损失任务能力的前提下，避免</w:t>
      </w:r>
      <w:r>
        <w:rPr>
          <w:rFonts w:ascii="宋体" w:hAnsi="宋体" w:eastAsia="宋体" w:cs="宋体"/>
          <w:spacing w:val="5"/>
          <w:sz w:val="27"/>
          <w:szCs w:val="27"/>
        </w:rPr>
        <w:t>或承受敌方打击或各种环境</w:t>
      </w:r>
      <w:r>
        <w:rPr>
          <w:rFonts w:ascii="宋体" w:hAnsi="宋体" w:eastAsia="宋体" w:cs="宋体"/>
          <w:sz w:val="27"/>
          <w:szCs w:val="27"/>
        </w:rPr>
        <w:t xml:space="preserve"> </w:t>
      </w:r>
      <w:r>
        <w:rPr>
          <w:rFonts w:ascii="宋体" w:hAnsi="宋体" w:eastAsia="宋体" w:cs="宋体"/>
          <w:spacing w:val="-11"/>
          <w:sz w:val="27"/>
          <w:szCs w:val="27"/>
        </w:rPr>
        <w:t>干扰的能力，主要包括：</w:t>
      </w:r>
    </w:p>
    <w:p w14:paraId="03772B17">
      <w:pPr>
        <w:spacing w:line="212" w:lineRule="auto"/>
        <w:ind w:left="550"/>
        <w:rPr>
          <w:rFonts w:ascii="宋体" w:hAnsi="宋体" w:eastAsia="宋体" w:cs="宋体"/>
          <w:sz w:val="27"/>
          <w:szCs w:val="27"/>
        </w:rPr>
      </w:pPr>
      <w:r>
        <w:rPr>
          <w:rFonts w:ascii="Times New Roman" w:hAnsi="Times New Roman" w:eastAsia="Times New Roman" w:cs="Times New Roman"/>
          <w:spacing w:val="-18"/>
          <w:sz w:val="27"/>
          <w:szCs w:val="27"/>
        </w:rPr>
        <w:t>a)</w:t>
      </w:r>
      <w:r>
        <w:rPr>
          <w:rFonts w:ascii="Times New Roman" w:hAnsi="Times New Roman" w:eastAsia="Times New Roman" w:cs="Times New Roman"/>
          <w:spacing w:val="24"/>
          <w:sz w:val="27"/>
          <w:szCs w:val="27"/>
        </w:rPr>
        <w:t xml:space="preserve">  </w:t>
      </w:r>
      <w:r>
        <w:rPr>
          <w:rFonts w:ascii="宋体" w:hAnsi="宋体" w:eastAsia="宋体" w:cs="宋体"/>
          <w:spacing w:val="-18"/>
          <w:sz w:val="27"/>
          <w:szCs w:val="27"/>
        </w:rPr>
        <w:t>主动防御、规避、诱骗、修复等的能力；</w:t>
      </w:r>
    </w:p>
    <w:p w14:paraId="6B2A40CB">
      <w:pPr>
        <w:spacing w:before="112" w:line="212" w:lineRule="auto"/>
        <w:ind w:left="550"/>
        <w:rPr>
          <w:rFonts w:ascii="宋体" w:hAnsi="宋体" w:eastAsia="宋体" w:cs="宋体"/>
          <w:sz w:val="24"/>
          <w:szCs w:val="24"/>
        </w:rPr>
      </w:pPr>
      <w:r>
        <w:rPr>
          <w:rFonts w:ascii="Times New Roman" w:hAnsi="Times New Roman" w:eastAsia="Times New Roman" w:cs="Times New Roman"/>
          <w:spacing w:val="-14"/>
          <w:sz w:val="24"/>
          <w:szCs w:val="24"/>
        </w:rPr>
        <w:t>b)</w:t>
      </w:r>
      <w:r>
        <w:rPr>
          <w:rFonts w:ascii="Times New Roman" w:hAnsi="Times New Roman" w:eastAsia="Times New Roman" w:cs="Times New Roman"/>
          <w:spacing w:val="5"/>
          <w:sz w:val="24"/>
          <w:szCs w:val="24"/>
        </w:rPr>
        <w:t xml:space="preserve">   </w:t>
      </w:r>
      <w:r>
        <w:rPr>
          <w:rFonts w:ascii="宋体" w:hAnsi="宋体" w:eastAsia="宋体" w:cs="宋体"/>
          <w:spacing w:val="-14"/>
          <w:sz w:val="24"/>
          <w:szCs w:val="24"/>
        </w:rPr>
        <w:t>自</w:t>
      </w:r>
      <w:r>
        <w:rPr>
          <w:rFonts w:ascii="宋体" w:hAnsi="宋体" w:eastAsia="宋体" w:cs="宋体"/>
          <w:spacing w:val="-53"/>
          <w:sz w:val="24"/>
          <w:szCs w:val="24"/>
        </w:rPr>
        <w:t xml:space="preserve"> </w:t>
      </w:r>
      <w:r>
        <w:rPr>
          <w:rFonts w:ascii="宋体" w:hAnsi="宋体" w:eastAsia="宋体" w:cs="宋体"/>
          <w:spacing w:val="-14"/>
          <w:sz w:val="24"/>
          <w:szCs w:val="24"/>
        </w:rPr>
        <w:t>救</w:t>
      </w:r>
      <w:r>
        <w:rPr>
          <w:rFonts w:ascii="宋体" w:hAnsi="宋体" w:eastAsia="宋体" w:cs="宋体"/>
          <w:spacing w:val="-46"/>
          <w:sz w:val="24"/>
          <w:szCs w:val="24"/>
        </w:rPr>
        <w:t xml:space="preserve"> </w:t>
      </w:r>
      <w:r>
        <w:rPr>
          <w:rFonts w:ascii="宋体" w:hAnsi="宋体" w:eastAsia="宋体" w:cs="宋体"/>
          <w:spacing w:val="-14"/>
          <w:sz w:val="24"/>
          <w:szCs w:val="24"/>
        </w:rPr>
        <w:t>能</w:t>
      </w:r>
      <w:r>
        <w:rPr>
          <w:rFonts w:ascii="宋体" w:hAnsi="宋体" w:eastAsia="宋体" w:cs="宋体"/>
          <w:spacing w:val="-51"/>
          <w:sz w:val="24"/>
          <w:szCs w:val="24"/>
        </w:rPr>
        <w:t xml:space="preserve"> </w:t>
      </w:r>
      <w:r>
        <w:rPr>
          <w:rFonts w:ascii="宋体" w:hAnsi="宋体" w:eastAsia="宋体" w:cs="宋体"/>
          <w:spacing w:val="-14"/>
          <w:sz w:val="24"/>
          <w:szCs w:val="24"/>
        </w:rPr>
        <w:t>力</w:t>
      </w:r>
      <w:r>
        <w:rPr>
          <w:rFonts w:ascii="宋体" w:hAnsi="宋体" w:eastAsia="宋体" w:cs="宋体"/>
          <w:spacing w:val="-64"/>
          <w:sz w:val="24"/>
          <w:szCs w:val="24"/>
        </w:rPr>
        <w:t xml:space="preserve"> </w:t>
      </w:r>
      <w:r>
        <w:rPr>
          <w:rFonts w:ascii="宋体" w:hAnsi="宋体" w:eastAsia="宋体" w:cs="宋体"/>
          <w:spacing w:val="-14"/>
          <w:sz w:val="24"/>
          <w:szCs w:val="24"/>
        </w:rPr>
        <w:t>。</w:t>
      </w:r>
    </w:p>
    <w:p w14:paraId="39EACEEA">
      <w:pPr>
        <w:spacing w:before="160" w:line="222" w:lineRule="auto"/>
        <w:rPr>
          <w:rFonts w:ascii="黑体" w:hAnsi="黑体" w:eastAsia="黑体" w:cs="黑体"/>
          <w:sz w:val="24"/>
          <w:szCs w:val="24"/>
        </w:rPr>
      </w:pPr>
      <w:r>
        <w:rPr>
          <w:rFonts w:ascii="黑体" w:hAnsi="黑体" w:eastAsia="黑体" w:cs="黑体"/>
          <w:spacing w:val="31"/>
          <w:sz w:val="24"/>
          <w:szCs w:val="24"/>
        </w:rPr>
        <w:t>5</w:t>
      </w:r>
      <w:r>
        <w:rPr>
          <w:rFonts w:ascii="黑体" w:hAnsi="黑体" w:eastAsia="黑体" w:cs="黑体"/>
          <w:spacing w:val="44"/>
          <w:sz w:val="24"/>
          <w:szCs w:val="24"/>
        </w:rPr>
        <w:t xml:space="preserve">  </w:t>
      </w:r>
      <w:r>
        <w:rPr>
          <w:rFonts w:ascii="黑体" w:hAnsi="黑体" w:eastAsia="黑体" w:cs="黑体"/>
          <w:spacing w:val="31"/>
          <w:sz w:val="24"/>
          <w:szCs w:val="24"/>
        </w:rPr>
        <w:t>问题分析和改进建议</w:t>
      </w:r>
    </w:p>
    <w:p w14:paraId="270290AE">
      <w:pPr>
        <w:spacing w:before="113" w:line="269" w:lineRule="auto"/>
        <w:ind w:right="117" w:firstLine="550"/>
        <w:jc w:val="both"/>
        <w:rPr>
          <w:rFonts w:ascii="宋体" w:hAnsi="宋体" w:eastAsia="宋体" w:cs="宋体"/>
          <w:sz w:val="27"/>
          <w:szCs w:val="27"/>
        </w:rPr>
      </w:pPr>
      <w:r>
        <w:rPr>
          <w:rFonts w:ascii="宋体" w:hAnsi="宋体" w:eastAsia="宋体" w:cs="宋体"/>
          <w:spacing w:val="-3"/>
          <w:sz w:val="27"/>
          <w:szCs w:val="27"/>
        </w:rPr>
        <w:t>试验中发现的各种问题，解决的措施及结果，应详细填写在相应的试验问题</w:t>
      </w:r>
      <w:r>
        <w:rPr>
          <w:rFonts w:ascii="宋体" w:hAnsi="宋体" w:eastAsia="宋体" w:cs="宋体"/>
          <w:spacing w:val="11"/>
          <w:sz w:val="27"/>
          <w:szCs w:val="27"/>
        </w:rPr>
        <w:t xml:space="preserve"> </w:t>
      </w:r>
      <w:r>
        <w:rPr>
          <w:rFonts w:ascii="宋体" w:hAnsi="宋体" w:eastAsia="宋体" w:cs="宋体"/>
          <w:spacing w:val="-2"/>
          <w:sz w:val="27"/>
          <w:szCs w:val="27"/>
        </w:rPr>
        <w:t>统计表中，可以文字、图表或照片的形式逐一在报告中予以反映。通常</w:t>
      </w:r>
      <w:r>
        <w:rPr>
          <w:rFonts w:ascii="宋体" w:hAnsi="宋体" w:eastAsia="宋体" w:cs="宋体"/>
          <w:spacing w:val="-3"/>
          <w:sz w:val="27"/>
          <w:szCs w:val="27"/>
        </w:rPr>
        <w:t>包括以下</w:t>
      </w:r>
      <w:r>
        <w:rPr>
          <w:rFonts w:ascii="宋体" w:hAnsi="宋体" w:eastAsia="宋体" w:cs="宋体"/>
          <w:sz w:val="27"/>
          <w:szCs w:val="27"/>
        </w:rPr>
        <w:t xml:space="preserve"> </w:t>
      </w:r>
      <w:r>
        <w:rPr>
          <w:rFonts w:ascii="宋体" w:hAnsi="宋体" w:eastAsia="宋体" w:cs="宋体"/>
          <w:spacing w:val="-8"/>
          <w:sz w:val="27"/>
          <w:szCs w:val="27"/>
        </w:rPr>
        <w:t>内容：</w:t>
      </w:r>
    </w:p>
    <w:p w14:paraId="36110A00">
      <w:pPr>
        <w:spacing w:before="3" w:line="256" w:lineRule="auto"/>
        <w:ind w:firstLine="550"/>
        <w:rPr>
          <w:rFonts w:ascii="宋体" w:hAnsi="宋体" w:eastAsia="宋体" w:cs="宋体"/>
          <w:sz w:val="27"/>
          <w:szCs w:val="27"/>
        </w:rPr>
      </w:pPr>
      <w:r>
        <w:rPr>
          <w:rFonts w:ascii="Times New Roman" w:hAnsi="Times New Roman" w:eastAsia="Times New Roman" w:cs="Times New Roman"/>
          <w:spacing w:val="7"/>
          <w:sz w:val="27"/>
          <w:szCs w:val="27"/>
        </w:rPr>
        <w:t xml:space="preserve">a)  </w:t>
      </w:r>
      <w:r>
        <w:rPr>
          <w:rFonts w:ascii="宋体" w:hAnsi="宋体" w:eastAsia="宋体" w:cs="宋体"/>
          <w:spacing w:val="7"/>
          <w:sz w:val="27"/>
          <w:szCs w:val="27"/>
        </w:rPr>
        <w:t>根据对试验实施情况和试验结果的</w:t>
      </w:r>
      <w:r>
        <w:rPr>
          <w:rFonts w:ascii="宋体" w:hAnsi="宋体" w:eastAsia="宋体" w:cs="宋体"/>
          <w:spacing w:val="6"/>
          <w:sz w:val="27"/>
          <w:szCs w:val="27"/>
        </w:rPr>
        <w:t>综合分析，从训练和实战使用出发，</w:t>
      </w:r>
      <w:r>
        <w:rPr>
          <w:rFonts w:ascii="宋体" w:hAnsi="宋体" w:eastAsia="宋体" w:cs="宋体"/>
          <w:sz w:val="27"/>
          <w:szCs w:val="27"/>
        </w:rPr>
        <w:t xml:space="preserve"> </w:t>
      </w:r>
      <w:r>
        <w:rPr>
          <w:rFonts w:ascii="宋体" w:hAnsi="宋体" w:eastAsia="宋体" w:cs="宋体"/>
          <w:spacing w:val="2"/>
          <w:sz w:val="27"/>
          <w:szCs w:val="27"/>
        </w:rPr>
        <w:t>指出被试品存在的主要问题；</w:t>
      </w:r>
    </w:p>
    <w:p w14:paraId="089A9A3B">
      <w:pPr>
        <w:spacing w:before="69"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b)</w:t>
      </w:r>
      <w:r>
        <w:rPr>
          <w:rFonts w:ascii="Times New Roman" w:hAnsi="Times New Roman" w:eastAsia="Times New Roman" w:cs="Times New Roman"/>
          <w:spacing w:val="67"/>
          <w:sz w:val="27"/>
          <w:szCs w:val="27"/>
        </w:rPr>
        <w:t xml:space="preserve"> </w:t>
      </w:r>
      <w:r>
        <w:rPr>
          <w:rFonts w:ascii="宋体" w:hAnsi="宋体" w:eastAsia="宋体" w:cs="宋体"/>
          <w:spacing w:val="5"/>
          <w:sz w:val="27"/>
          <w:szCs w:val="27"/>
        </w:rPr>
        <w:t>说明上述问题的处理情况及结果；</w:t>
      </w:r>
    </w:p>
    <w:p w14:paraId="770F5F14">
      <w:pPr>
        <w:spacing w:before="9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指出问题的产生属责任原因或技术原因；</w:t>
      </w:r>
    </w:p>
    <w:p w14:paraId="5BDD9AD6">
      <w:pPr>
        <w:spacing w:before="10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评估上述问题对被试品质量和部队使用的影响程度；</w:t>
      </w:r>
    </w:p>
    <w:p w14:paraId="1A96E7FC">
      <w:pPr>
        <w:spacing w:before="91" w:line="257" w:lineRule="auto"/>
        <w:ind w:right="123" w:firstLine="55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从训练和实战使用出发，提出被试品改进设计、保障和管理或补充试验</w:t>
      </w:r>
      <w:r>
        <w:rPr>
          <w:rFonts w:ascii="宋体" w:hAnsi="宋体" w:eastAsia="宋体" w:cs="宋体"/>
          <w:sz w:val="27"/>
          <w:szCs w:val="27"/>
        </w:rPr>
        <w:t xml:space="preserve"> </w:t>
      </w:r>
      <w:r>
        <w:rPr>
          <w:rFonts w:ascii="宋体" w:hAnsi="宋体" w:eastAsia="宋体" w:cs="宋体"/>
          <w:spacing w:val="-5"/>
          <w:sz w:val="27"/>
          <w:szCs w:val="27"/>
        </w:rPr>
        <w:t>的建议；</w:t>
      </w:r>
    </w:p>
    <w:p w14:paraId="3F7BC165">
      <w:pPr>
        <w:spacing w:before="77" w:line="260" w:lineRule="auto"/>
        <w:ind w:right="122" w:firstLine="550"/>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简要说明陪试品、测试仪器和设备出现的问题、排除的故障、备份件的更</w:t>
      </w:r>
      <w:r>
        <w:rPr>
          <w:rFonts w:ascii="宋体" w:hAnsi="宋体" w:eastAsia="宋体" w:cs="宋体"/>
          <w:spacing w:val="10"/>
          <w:sz w:val="27"/>
          <w:szCs w:val="27"/>
        </w:rPr>
        <w:t xml:space="preserve"> </w:t>
      </w:r>
      <w:r>
        <w:rPr>
          <w:rFonts w:ascii="宋体" w:hAnsi="宋体" w:eastAsia="宋体" w:cs="宋体"/>
          <w:spacing w:val="3"/>
          <w:sz w:val="27"/>
          <w:szCs w:val="27"/>
        </w:rPr>
        <w:t>换和参数的调整等情况。</w:t>
      </w:r>
    </w:p>
    <w:p w14:paraId="0FAA6EF9">
      <w:pPr>
        <w:spacing w:before="97" w:line="221" w:lineRule="auto"/>
        <w:rPr>
          <w:rFonts w:ascii="黑体" w:hAnsi="黑体" w:eastAsia="黑体" w:cs="黑体"/>
          <w:sz w:val="25"/>
          <w:szCs w:val="25"/>
        </w:rPr>
      </w:pPr>
      <w:r>
        <w:rPr>
          <w:rFonts w:ascii="黑体" w:hAnsi="黑体" w:eastAsia="黑体" w:cs="黑体"/>
          <w:spacing w:val="19"/>
          <w:sz w:val="25"/>
          <w:szCs w:val="25"/>
        </w:rPr>
        <w:t>6</w:t>
      </w:r>
      <w:r>
        <w:rPr>
          <w:rFonts w:ascii="黑体" w:hAnsi="黑体" w:eastAsia="黑体" w:cs="黑体"/>
          <w:spacing w:val="33"/>
          <w:sz w:val="25"/>
          <w:szCs w:val="25"/>
        </w:rPr>
        <w:t xml:space="preserve">  </w:t>
      </w:r>
      <w:r>
        <w:rPr>
          <w:rFonts w:ascii="黑体" w:hAnsi="黑体" w:eastAsia="黑体" w:cs="黑体"/>
          <w:spacing w:val="19"/>
          <w:sz w:val="25"/>
          <w:szCs w:val="25"/>
        </w:rPr>
        <w:t>试验结论</w:t>
      </w:r>
    </w:p>
    <w:p w14:paraId="0DF86D8F">
      <w:pPr>
        <w:spacing w:before="90" w:line="291" w:lineRule="auto"/>
        <w:ind w:right="132" w:firstLine="550"/>
        <w:rPr>
          <w:rFonts w:ascii="宋体" w:hAnsi="宋体" w:eastAsia="宋体" w:cs="宋体"/>
          <w:sz w:val="27"/>
          <w:szCs w:val="27"/>
        </w:rPr>
      </w:pPr>
      <w:r>
        <w:rPr>
          <w:rFonts w:ascii="宋体" w:hAnsi="宋体" w:eastAsia="宋体" w:cs="宋体"/>
          <w:spacing w:val="-3"/>
          <w:sz w:val="27"/>
          <w:szCs w:val="27"/>
        </w:rPr>
        <w:t>应根据试验实施情况、试验结果综合评价及存在问题，依据被试品的研制总</w:t>
      </w:r>
      <w:r>
        <w:rPr>
          <w:rFonts w:ascii="宋体" w:hAnsi="宋体" w:eastAsia="宋体" w:cs="宋体"/>
          <w:spacing w:val="1"/>
          <w:sz w:val="27"/>
          <w:szCs w:val="27"/>
        </w:rPr>
        <w:t xml:space="preserve"> </w:t>
      </w:r>
      <w:r>
        <w:rPr>
          <w:rFonts w:ascii="宋体" w:hAnsi="宋体" w:eastAsia="宋体" w:cs="宋体"/>
          <w:spacing w:val="-3"/>
          <w:sz w:val="27"/>
          <w:szCs w:val="27"/>
        </w:rPr>
        <w:t>要求、试验大纲、试验规程、试验实施计划等相关技术文件，给出综合的试验结</w:t>
      </w:r>
    </w:p>
    <w:p w14:paraId="120D8985">
      <w:pPr>
        <w:spacing w:line="291" w:lineRule="auto"/>
        <w:rPr>
          <w:rFonts w:ascii="宋体" w:hAnsi="宋体" w:eastAsia="宋体" w:cs="宋体"/>
          <w:sz w:val="27"/>
          <w:szCs w:val="27"/>
        </w:rPr>
        <w:sectPr>
          <w:footerReference r:id="rId135" w:type="default"/>
          <w:pgSz w:w="11910" w:h="17130"/>
          <w:pgMar w:top="400" w:right="904" w:bottom="1603" w:left="1509" w:header="0" w:footer="1405" w:gutter="0"/>
          <w:cols w:space="720" w:num="1"/>
        </w:sectPr>
      </w:pPr>
    </w:p>
    <w:p w14:paraId="5869BFB0">
      <w:pPr>
        <w:pStyle w:val="2"/>
        <w:spacing w:line="254" w:lineRule="auto"/>
      </w:pPr>
    </w:p>
    <w:p w14:paraId="5B6051EC">
      <w:pPr>
        <w:pStyle w:val="2"/>
        <w:spacing w:line="254" w:lineRule="auto"/>
      </w:pPr>
    </w:p>
    <w:p w14:paraId="3EE5C6E3">
      <w:pPr>
        <w:pStyle w:val="2"/>
        <w:spacing w:line="254" w:lineRule="auto"/>
      </w:pPr>
    </w:p>
    <w:p w14:paraId="45ECF23B">
      <w:pPr>
        <w:pStyle w:val="2"/>
        <w:spacing w:line="255" w:lineRule="auto"/>
      </w:pPr>
    </w:p>
    <w:p w14:paraId="6425956B">
      <w:pPr>
        <w:spacing w:before="88" w:line="220" w:lineRule="auto"/>
        <w:rPr>
          <w:rFonts w:ascii="宋体" w:hAnsi="宋体" w:eastAsia="宋体" w:cs="宋体"/>
          <w:sz w:val="27"/>
          <w:szCs w:val="27"/>
        </w:rPr>
      </w:pPr>
      <w:bookmarkStart w:id="78" w:name="bookmark345"/>
      <w:bookmarkEnd w:id="78"/>
      <w:r>
        <w:rPr>
          <w:rFonts w:ascii="宋体" w:hAnsi="宋体" w:eastAsia="宋体" w:cs="宋体"/>
          <w:spacing w:val="-21"/>
          <w:sz w:val="27"/>
          <w:szCs w:val="27"/>
        </w:rPr>
        <w:t>论，通常应：</w:t>
      </w:r>
    </w:p>
    <w:p w14:paraId="6E09A6E6">
      <w:pPr>
        <w:spacing w:before="56"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74"/>
          <w:sz w:val="27"/>
          <w:szCs w:val="27"/>
        </w:rPr>
        <w:t xml:space="preserve"> </w:t>
      </w:r>
      <w:r>
        <w:rPr>
          <w:rFonts w:ascii="宋体" w:hAnsi="宋体" w:eastAsia="宋体" w:cs="宋体"/>
          <w:spacing w:val="4"/>
          <w:sz w:val="27"/>
          <w:szCs w:val="27"/>
        </w:rPr>
        <w:t>对被试品是否满足部队训练和作战使用要求作出综合结论；</w:t>
      </w:r>
    </w:p>
    <w:p w14:paraId="6F2CF2C3">
      <w:pPr>
        <w:spacing w:before="79"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80"/>
          <w:sz w:val="27"/>
          <w:szCs w:val="27"/>
        </w:rPr>
        <w:t xml:space="preserve"> </w:t>
      </w:r>
      <w:r>
        <w:rPr>
          <w:rFonts w:ascii="宋体" w:hAnsi="宋体" w:eastAsia="宋体" w:cs="宋体"/>
          <w:spacing w:val="3"/>
          <w:sz w:val="27"/>
          <w:szCs w:val="27"/>
        </w:rPr>
        <w:t>提出被试品能否设计定型的建议。</w:t>
      </w:r>
    </w:p>
    <w:p w14:paraId="07F13714">
      <w:pPr>
        <w:spacing w:before="134" w:line="221" w:lineRule="auto"/>
        <w:rPr>
          <w:rFonts w:ascii="黑体" w:hAnsi="黑体" w:eastAsia="黑体" w:cs="黑体"/>
          <w:sz w:val="27"/>
          <w:szCs w:val="27"/>
        </w:rPr>
      </w:pPr>
      <w:r>
        <w:rPr>
          <w:rFonts w:ascii="黑体" w:hAnsi="黑体" w:eastAsia="黑体" w:cs="黑体"/>
          <w:spacing w:val="-7"/>
          <w:sz w:val="27"/>
          <w:szCs w:val="27"/>
        </w:rPr>
        <w:t xml:space="preserve">7  </w:t>
      </w:r>
      <w:r>
        <w:rPr>
          <w:rFonts w:ascii="黑体" w:hAnsi="黑体" w:eastAsia="黑体" w:cs="黑体"/>
          <w:b/>
          <w:bCs/>
          <w:spacing w:val="-7"/>
          <w:sz w:val="27"/>
          <w:szCs w:val="27"/>
        </w:rPr>
        <w:t>关于编制、训练、作战使用和技术保障等方面的意见和建议</w:t>
      </w:r>
    </w:p>
    <w:p w14:paraId="588E49D9">
      <w:pPr>
        <w:spacing w:before="74" w:line="277" w:lineRule="auto"/>
        <w:ind w:right="119" w:firstLine="550"/>
        <w:jc w:val="both"/>
        <w:rPr>
          <w:rFonts w:ascii="宋体" w:hAnsi="宋体" w:eastAsia="宋体" w:cs="宋体"/>
          <w:sz w:val="27"/>
          <w:szCs w:val="27"/>
        </w:rPr>
      </w:pPr>
      <w:r>
        <w:rPr>
          <w:rFonts w:ascii="宋体" w:hAnsi="宋体" w:eastAsia="宋体" w:cs="宋体"/>
          <w:spacing w:val="6"/>
          <w:sz w:val="27"/>
          <w:szCs w:val="27"/>
        </w:rPr>
        <w:t>通过按初步计划的编配方案、作战使用训练和技术</w:t>
      </w:r>
      <w:r>
        <w:rPr>
          <w:rFonts w:ascii="宋体" w:hAnsi="宋体" w:eastAsia="宋体" w:cs="宋体"/>
          <w:spacing w:val="5"/>
          <w:sz w:val="27"/>
          <w:szCs w:val="27"/>
        </w:rPr>
        <w:t>保障方法及要求等进行</w:t>
      </w:r>
      <w:r>
        <w:rPr>
          <w:rFonts w:ascii="宋体" w:hAnsi="宋体" w:eastAsia="宋体" w:cs="宋体"/>
          <w:sz w:val="27"/>
          <w:szCs w:val="27"/>
        </w:rPr>
        <w:t xml:space="preserve"> </w:t>
      </w:r>
      <w:r>
        <w:rPr>
          <w:rFonts w:ascii="宋体" w:hAnsi="宋体" w:eastAsia="宋体" w:cs="宋体"/>
          <w:spacing w:val="-2"/>
          <w:sz w:val="27"/>
          <w:szCs w:val="27"/>
        </w:rPr>
        <w:t>上述作战使用性能和部队适用性试验，探索并提出被试品列装后，</w:t>
      </w:r>
      <w:r>
        <w:rPr>
          <w:rFonts w:ascii="宋体" w:hAnsi="宋体" w:eastAsia="宋体" w:cs="宋体"/>
          <w:spacing w:val="-3"/>
          <w:sz w:val="27"/>
          <w:szCs w:val="27"/>
        </w:rPr>
        <w:t>使装备的作战</w:t>
      </w:r>
      <w:r>
        <w:rPr>
          <w:rFonts w:ascii="宋体" w:hAnsi="宋体" w:eastAsia="宋体" w:cs="宋体"/>
          <w:sz w:val="27"/>
          <w:szCs w:val="27"/>
        </w:rPr>
        <w:t xml:space="preserve"> </w:t>
      </w:r>
      <w:r>
        <w:rPr>
          <w:rFonts w:ascii="宋体" w:hAnsi="宋体" w:eastAsia="宋体" w:cs="宋体"/>
          <w:spacing w:val="-2"/>
          <w:sz w:val="27"/>
          <w:szCs w:val="27"/>
        </w:rPr>
        <w:t>使用性能和部队适用性达到最佳状态的编配方案、作战使用训练</w:t>
      </w:r>
      <w:r>
        <w:rPr>
          <w:rFonts w:ascii="宋体" w:hAnsi="宋体" w:eastAsia="宋体" w:cs="宋体"/>
          <w:spacing w:val="-3"/>
          <w:sz w:val="27"/>
          <w:szCs w:val="27"/>
        </w:rPr>
        <w:t>和技术保障、管</w:t>
      </w:r>
      <w:r>
        <w:rPr>
          <w:rFonts w:ascii="宋体" w:hAnsi="宋体" w:eastAsia="宋体" w:cs="宋体"/>
          <w:sz w:val="27"/>
          <w:szCs w:val="27"/>
        </w:rPr>
        <w:t xml:space="preserve"> </w:t>
      </w:r>
      <w:r>
        <w:rPr>
          <w:rFonts w:ascii="宋体" w:hAnsi="宋体" w:eastAsia="宋体" w:cs="宋体"/>
          <w:spacing w:val="3"/>
          <w:sz w:val="27"/>
          <w:szCs w:val="27"/>
        </w:rPr>
        <w:t>理方法及要求等方面的意见和建议。主要包括：</w:t>
      </w:r>
    </w:p>
    <w:p w14:paraId="0AC196B5">
      <w:pPr>
        <w:spacing w:before="1" w:line="271" w:lineRule="auto"/>
        <w:ind w:right="123" w:firstLine="550"/>
        <w:rPr>
          <w:rFonts w:ascii="宋体" w:hAnsi="宋体" w:eastAsia="宋体" w:cs="宋体"/>
          <w:sz w:val="25"/>
          <w:szCs w:val="25"/>
        </w:rPr>
      </w:pPr>
      <w:r>
        <w:rPr>
          <w:rFonts w:ascii="Times New Roman" w:hAnsi="Times New Roman" w:eastAsia="Times New Roman" w:cs="Times New Roman"/>
          <w:spacing w:val="21"/>
          <w:sz w:val="25"/>
          <w:szCs w:val="25"/>
        </w:rPr>
        <w:t xml:space="preserve">a)  </w:t>
      </w:r>
      <w:r>
        <w:rPr>
          <w:rFonts w:ascii="宋体" w:hAnsi="宋体" w:eastAsia="宋体" w:cs="宋体"/>
          <w:spacing w:val="21"/>
          <w:sz w:val="25"/>
          <w:szCs w:val="25"/>
        </w:rPr>
        <w:t>被试品列装后需装备的部队类型、等级和部队装备的标准及数量等装备</w:t>
      </w:r>
      <w:r>
        <w:rPr>
          <w:rFonts w:ascii="宋体" w:hAnsi="宋体" w:eastAsia="宋体" w:cs="宋体"/>
          <w:spacing w:val="16"/>
          <w:sz w:val="25"/>
          <w:szCs w:val="25"/>
        </w:rPr>
        <w:t xml:space="preserve"> </w:t>
      </w:r>
      <w:r>
        <w:rPr>
          <w:rFonts w:ascii="宋体" w:hAnsi="宋体" w:eastAsia="宋体" w:cs="宋体"/>
          <w:spacing w:val="19"/>
          <w:sz w:val="25"/>
          <w:szCs w:val="25"/>
        </w:rPr>
        <w:t>编配方案的意见和建议；</w:t>
      </w:r>
    </w:p>
    <w:p w14:paraId="333BC358">
      <w:pPr>
        <w:spacing w:before="52" w:line="264" w:lineRule="auto"/>
        <w:ind w:right="123" w:firstLine="550"/>
        <w:rPr>
          <w:rFonts w:ascii="宋体" w:hAnsi="宋体" w:eastAsia="宋体" w:cs="宋体"/>
          <w:sz w:val="27"/>
          <w:szCs w:val="27"/>
        </w:rPr>
      </w:pPr>
      <w:r>
        <w:rPr>
          <w:rFonts w:ascii="Times New Roman" w:hAnsi="Times New Roman" w:eastAsia="Times New Roman" w:cs="Times New Roman"/>
          <w:spacing w:val="7"/>
          <w:sz w:val="27"/>
          <w:szCs w:val="27"/>
        </w:rPr>
        <w:t>b)</w:t>
      </w:r>
      <w:r>
        <w:rPr>
          <w:rFonts w:ascii="Times New Roman" w:hAnsi="Times New Roman" w:eastAsia="Times New Roman" w:cs="Times New Roman"/>
          <w:spacing w:val="67"/>
          <w:w w:val="101"/>
          <w:sz w:val="27"/>
          <w:szCs w:val="27"/>
        </w:rPr>
        <w:t xml:space="preserve"> </w:t>
      </w:r>
      <w:r>
        <w:rPr>
          <w:rFonts w:ascii="宋体" w:hAnsi="宋体" w:eastAsia="宋体" w:cs="宋体"/>
          <w:spacing w:val="7"/>
          <w:sz w:val="27"/>
          <w:szCs w:val="27"/>
        </w:rPr>
        <w:t>装备部队训练(含装备使用和保障人员在训练过程中所使</w:t>
      </w:r>
      <w:r>
        <w:rPr>
          <w:rFonts w:ascii="宋体" w:hAnsi="宋体" w:eastAsia="宋体" w:cs="宋体"/>
          <w:spacing w:val="6"/>
          <w:sz w:val="27"/>
          <w:szCs w:val="27"/>
        </w:rPr>
        <w:t>用的程序、规</w:t>
      </w:r>
      <w:r>
        <w:rPr>
          <w:rFonts w:ascii="宋体" w:hAnsi="宋体" w:eastAsia="宋体" w:cs="宋体"/>
          <w:sz w:val="27"/>
          <w:szCs w:val="27"/>
        </w:rPr>
        <w:t xml:space="preserve"> </w:t>
      </w:r>
      <w:r>
        <w:rPr>
          <w:rFonts w:ascii="宋体" w:hAnsi="宋体" w:eastAsia="宋体" w:cs="宋体"/>
          <w:spacing w:val="-10"/>
          <w:sz w:val="27"/>
          <w:szCs w:val="27"/>
        </w:rPr>
        <w:t>程、方法、训练设施和设备)的意见和建议；</w:t>
      </w:r>
    </w:p>
    <w:p w14:paraId="22A90BDF">
      <w:pPr>
        <w:spacing w:before="5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52"/>
          <w:sz w:val="27"/>
          <w:szCs w:val="27"/>
        </w:rPr>
        <w:t xml:space="preserve"> </w:t>
      </w:r>
      <w:r>
        <w:rPr>
          <w:rFonts w:ascii="宋体" w:hAnsi="宋体" w:eastAsia="宋体" w:cs="宋体"/>
          <w:spacing w:val="4"/>
          <w:sz w:val="27"/>
          <w:szCs w:val="27"/>
        </w:rPr>
        <w:t>装备作战使用(含使用条件和适用范围)的意见</w:t>
      </w:r>
      <w:r>
        <w:rPr>
          <w:rFonts w:ascii="宋体" w:hAnsi="宋体" w:eastAsia="宋体" w:cs="宋体"/>
          <w:spacing w:val="3"/>
          <w:sz w:val="27"/>
          <w:szCs w:val="27"/>
        </w:rPr>
        <w:t>和建议；</w:t>
      </w:r>
    </w:p>
    <w:p w14:paraId="2693423C">
      <w:pPr>
        <w:spacing w:before="89" w:line="264" w:lineRule="auto"/>
        <w:ind w:right="123" w:firstLine="550"/>
        <w:rPr>
          <w:rFonts w:ascii="宋体" w:hAnsi="宋体" w:eastAsia="宋体" w:cs="宋体"/>
          <w:sz w:val="27"/>
          <w:szCs w:val="27"/>
        </w:rPr>
      </w:pPr>
      <w:r>
        <w:rPr>
          <w:rFonts w:ascii="Times New Roman" w:hAnsi="Times New Roman" w:eastAsia="Times New Roman" w:cs="Times New Roman"/>
          <w:spacing w:val="-5"/>
          <w:sz w:val="27"/>
          <w:szCs w:val="27"/>
        </w:rPr>
        <w:t>d)</w:t>
      </w:r>
      <w:r>
        <w:rPr>
          <w:rFonts w:ascii="Times New Roman" w:hAnsi="Times New Roman" w:eastAsia="Times New Roman" w:cs="Times New Roman"/>
          <w:spacing w:val="57"/>
          <w:w w:val="101"/>
          <w:sz w:val="27"/>
          <w:szCs w:val="27"/>
        </w:rPr>
        <w:t xml:space="preserve"> </w:t>
      </w:r>
      <w:r>
        <w:rPr>
          <w:rFonts w:ascii="宋体" w:hAnsi="宋体" w:eastAsia="宋体" w:cs="宋体"/>
          <w:spacing w:val="-5"/>
          <w:sz w:val="27"/>
          <w:szCs w:val="27"/>
        </w:rPr>
        <w:t>平时和战时使用、维修和保障装备系统所需的人员数量、类型、专业及其</w:t>
      </w:r>
      <w:r>
        <w:rPr>
          <w:rFonts w:ascii="宋体" w:hAnsi="宋体" w:eastAsia="宋体" w:cs="宋体"/>
          <w:sz w:val="27"/>
          <w:szCs w:val="27"/>
        </w:rPr>
        <w:t xml:space="preserve"> 应具备的技能和等级、人员分工和要求等人员编配方案</w:t>
      </w:r>
      <w:r>
        <w:rPr>
          <w:rFonts w:ascii="宋体" w:hAnsi="宋体" w:eastAsia="宋体" w:cs="宋体"/>
          <w:spacing w:val="-1"/>
          <w:sz w:val="27"/>
          <w:szCs w:val="27"/>
        </w:rPr>
        <w:t>的意见和建议；</w:t>
      </w:r>
    </w:p>
    <w:p w14:paraId="31CE4A9C">
      <w:pPr>
        <w:spacing w:before="98" w:line="254" w:lineRule="auto"/>
        <w:ind w:right="112" w:firstLine="550"/>
        <w:rPr>
          <w:rFonts w:ascii="宋体" w:hAnsi="宋体" w:eastAsia="宋体" w:cs="宋体"/>
          <w:sz w:val="27"/>
          <w:szCs w:val="27"/>
        </w:rPr>
      </w:pPr>
      <w:r>
        <w:rPr>
          <w:rFonts w:ascii="Times New Roman" w:hAnsi="Times New Roman" w:eastAsia="Times New Roman" w:cs="Times New Roman"/>
          <w:spacing w:val="1"/>
          <w:sz w:val="27"/>
          <w:szCs w:val="27"/>
        </w:rPr>
        <w:t>e</w:t>
      </w:r>
      <w:r>
        <w:rPr>
          <w:rFonts w:ascii="宋体" w:hAnsi="宋体" w:eastAsia="宋体" w:cs="宋体"/>
          <w:spacing w:val="1"/>
          <w:sz w:val="27"/>
          <w:szCs w:val="27"/>
        </w:rPr>
        <w:t>)训练装备、后勤和技术保障(含技术文件资料、维修和保障设备的编配要</w:t>
      </w:r>
      <w:r>
        <w:rPr>
          <w:rFonts w:ascii="宋体" w:hAnsi="宋体" w:eastAsia="宋体" w:cs="宋体"/>
          <w:spacing w:val="16"/>
          <w:sz w:val="27"/>
          <w:szCs w:val="27"/>
        </w:rPr>
        <w:t xml:space="preserve"> </w:t>
      </w:r>
      <w:r>
        <w:rPr>
          <w:rFonts w:ascii="宋体" w:hAnsi="宋体" w:eastAsia="宋体" w:cs="宋体"/>
          <w:spacing w:val="10"/>
          <w:sz w:val="27"/>
          <w:szCs w:val="27"/>
        </w:rPr>
        <w:t>求和数量、与训练设施和设备的采购和安装有关的保障计划)等方面</w:t>
      </w:r>
      <w:r>
        <w:rPr>
          <w:rFonts w:ascii="宋体" w:hAnsi="宋体" w:eastAsia="宋体" w:cs="宋体"/>
          <w:spacing w:val="9"/>
          <w:sz w:val="27"/>
          <w:szCs w:val="27"/>
        </w:rPr>
        <w:t>的意见和</w:t>
      </w:r>
      <w:r>
        <w:rPr>
          <w:rFonts w:ascii="宋体" w:hAnsi="宋体" w:eastAsia="宋体" w:cs="宋体"/>
          <w:sz w:val="27"/>
          <w:szCs w:val="27"/>
        </w:rPr>
        <w:t xml:space="preserve"> </w:t>
      </w:r>
      <w:r>
        <w:rPr>
          <w:rFonts w:ascii="宋体" w:hAnsi="宋体" w:eastAsia="宋体" w:cs="宋体"/>
          <w:spacing w:val="-6"/>
          <w:sz w:val="27"/>
          <w:szCs w:val="27"/>
        </w:rPr>
        <w:t>建议；</w:t>
      </w:r>
    </w:p>
    <w:p w14:paraId="1D3D147E">
      <w:pPr>
        <w:spacing w:before="67" w:line="212" w:lineRule="auto"/>
        <w:ind w:left="550"/>
        <w:rPr>
          <w:rFonts w:ascii="宋体" w:hAnsi="宋体" w:eastAsia="宋体" w:cs="宋体"/>
          <w:sz w:val="27"/>
          <w:szCs w:val="27"/>
        </w:rPr>
      </w:pPr>
      <w:r>
        <w:rPr>
          <w:rFonts w:ascii="Times New Roman" w:hAnsi="Times New Roman" w:eastAsia="Times New Roman" w:cs="Times New Roman"/>
          <w:spacing w:val="-7"/>
          <w:sz w:val="27"/>
          <w:szCs w:val="27"/>
        </w:rPr>
        <w:t>f)</w:t>
      </w:r>
      <w:r>
        <w:rPr>
          <w:rFonts w:ascii="Times New Roman" w:hAnsi="Times New Roman" w:eastAsia="Times New Roman" w:cs="Times New Roman"/>
          <w:spacing w:val="54"/>
          <w:sz w:val="27"/>
          <w:szCs w:val="27"/>
        </w:rPr>
        <w:t xml:space="preserve"> </w:t>
      </w:r>
      <w:r>
        <w:rPr>
          <w:rFonts w:ascii="宋体" w:hAnsi="宋体" w:eastAsia="宋体" w:cs="宋体"/>
          <w:spacing w:val="-7"/>
          <w:sz w:val="27"/>
          <w:szCs w:val="27"/>
        </w:rPr>
        <w:t>装备的启封、封存、保养、使用等管理方法和要求</w:t>
      </w:r>
      <w:r>
        <w:rPr>
          <w:rFonts w:ascii="宋体" w:hAnsi="宋体" w:eastAsia="宋体" w:cs="宋体"/>
          <w:spacing w:val="-8"/>
          <w:sz w:val="27"/>
          <w:szCs w:val="27"/>
        </w:rPr>
        <w:t>方面的意见和建议；</w:t>
      </w:r>
    </w:p>
    <w:p w14:paraId="2786F02D">
      <w:pPr>
        <w:spacing w:before="99"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g)  </w:t>
      </w:r>
      <w:r>
        <w:rPr>
          <w:rFonts w:ascii="宋体" w:hAnsi="宋体" w:eastAsia="宋体" w:cs="宋体"/>
          <w:spacing w:val="3"/>
          <w:sz w:val="27"/>
          <w:szCs w:val="27"/>
        </w:rPr>
        <w:t>其他需说明的使用要求和注意事项等。</w:t>
      </w:r>
    </w:p>
    <w:p w14:paraId="71BFABC8">
      <w:pPr>
        <w:spacing w:before="121" w:line="224" w:lineRule="auto"/>
        <w:ind w:left="3"/>
        <w:rPr>
          <w:rFonts w:ascii="黑体" w:hAnsi="黑体" w:eastAsia="黑体" w:cs="黑体"/>
          <w:sz w:val="27"/>
          <w:szCs w:val="27"/>
        </w:rPr>
      </w:pPr>
      <w:r>
        <w:rPr>
          <w:rFonts w:ascii="黑体" w:hAnsi="黑体" w:eastAsia="黑体" w:cs="黑体"/>
          <w:b/>
          <w:bCs/>
          <w:spacing w:val="-10"/>
          <w:sz w:val="27"/>
          <w:szCs w:val="27"/>
        </w:rPr>
        <w:t>附件</w:t>
      </w:r>
    </w:p>
    <w:p w14:paraId="235656CD">
      <w:pPr>
        <w:spacing w:before="71" w:line="276" w:lineRule="auto"/>
        <w:ind w:right="123" w:firstLine="550"/>
        <w:jc w:val="both"/>
        <w:rPr>
          <w:rFonts w:ascii="宋体" w:hAnsi="宋体" w:eastAsia="宋体" w:cs="宋体"/>
          <w:sz w:val="27"/>
          <w:szCs w:val="27"/>
        </w:rPr>
      </w:pPr>
      <w:r>
        <w:rPr>
          <w:rFonts w:ascii="宋体" w:hAnsi="宋体" w:eastAsia="宋体" w:cs="宋体"/>
          <w:spacing w:val="-3"/>
          <w:sz w:val="27"/>
          <w:szCs w:val="27"/>
        </w:rPr>
        <w:t>在报告正文基本内容中，有关需要详细说明的内容和试验的具体数据等，可</w:t>
      </w:r>
      <w:r>
        <w:rPr>
          <w:rFonts w:ascii="宋体" w:hAnsi="宋体" w:eastAsia="宋体" w:cs="宋体"/>
          <w:spacing w:val="9"/>
          <w:sz w:val="27"/>
          <w:szCs w:val="27"/>
        </w:rPr>
        <w:t xml:space="preserve"> </w:t>
      </w:r>
      <w:r>
        <w:rPr>
          <w:rFonts w:ascii="宋体" w:hAnsi="宋体" w:eastAsia="宋体" w:cs="宋体"/>
          <w:spacing w:val="-3"/>
          <w:sz w:val="27"/>
          <w:szCs w:val="27"/>
        </w:rPr>
        <w:t>用附件的形式给出。当需要给出附加信息，帮助理解试验报告的有关内容时，也</w:t>
      </w:r>
      <w:r>
        <w:rPr>
          <w:rFonts w:ascii="宋体" w:hAnsi="宋体" w:eastAsia="宋体" w:cs="宋体"/>
          <w:spacing w:val="9"/>
          <w:sz w:val="27"/>
          <w:szCs w:val="27"/>
        </w:rPr>
        <w:t xml:space="preserve"> </w:t>
      </w:r>
      <w:r>
        <w:rPr>
          <w:rFonts w:ascii="宋体" w:hAnsi="宋体" w:eastAsia="宋体" w:cs="宋体"/>
          <w:spacing w:val="3"/>
          <w:sz w:val="27"/>
          <w:szCs w:val="27"/>
        </w:rPr>
        <w:t>可以附件的形式列出有关条文的参考性资料。附件内容通常包括：</w:t>
      </w:r>
    </w:p>
    <w:p w14:paraId="730DCAA6">
      <w:pPr>
        <w:spacing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69"/>
          <w:w w:val="101"/>
          <w:sz w:val="27"/>
          <w:szCs w:val="27"/>
        </w:rPr>
        <w:t xml:space="preserve"> </w:t>
      </w:r>
      <w:r>
        <w:rPr>
          <w:rFonts w:ascii="宋体" w:hAnsi="宋体" w:eastAsia="宋体" w:cs="宋体"/>
          <w:spacing w:val="3"/>
          <w:sz w:val="27"/>
          <w:szCs w:val="27"/>
        </w:rPr>
        <w:t>被试品的研制总要求摘要及有关文件；</w:t>
      </w:r>
    </w:p>
    <w:p w14:paraId="161B4E3E">
      <w:pPr>
        <w:spacing w:before="10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75"/>
          <w:sz w:val="27"/>
          <w:szCs w:val="27"/>
        </w:rPr>
        <w:t xml:space="preserve"> </w:t>
      </w:r>
      <w:r>
        <w:rPr>
          <w:rFonts w:ascii="宋体" w:hAnsi="宋体" w:eastAsia="宋体" w:cs="宋体"/>
          <w:spacing w:val="3"/>
          <w:sz w:val="27"/>
          <w:szCs w:val="27"/>
        </w:rPr>
        <w:t>试验大纲及实施计划；</w:t>
      </w:r>
    </w:p>
    <w:p w14:paraId="3411BE40">
      <w:pPr>
        <w:spacing w:before="11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54"/>
          <w:w w:val="101"/>
          <w:sz w:val="27"/>
          <w:szCs w:val="27"/>
        </w:rPr>
        <w:t xml:space="preserve"> </w:t>
      </w:r>
      <w:r>
        <w:rPr>
          <w:rFonts w:ascii="宋体" w:hAnsi="宋体" w:eastAsia="宋体" w:cs="宋体"/>
          <w:spacing w:val="4"/>
          <w:sz w:val="27"/>
          <w:szCs w:val="27"/>
        </w:rPr>
        <w:t>战役战术作业想定等有关试验资料；</w:t>
      </w:r>
    </w:p>
    <w:p w14:paraId="388E8D65">
      <w:pPr>
        <w:spacing w:before="8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d)</w:t>
      </w:r>
      <w:r>
        <w:rPr>
          <w:rFonts w:ascii="Times New Roman" w:hAnsi="Times New Roman" w:eastAsia="Times New Roman" w:cs="Times New Roman"/>
          <w:spacing w:val="55"/>
          <w:sz w:val="27"/>
          <w:szCs w:val="27"/>
        </w:rPr>
        <w:t xml:space="preserve"> </w:t>
      </w:r>
      <w:r>
        <w:rPr>
          <w:rFonts w:ascii="宋体" w:hAnsi="宋体" w:eastAsia="宋体" w:cs="宋体"/>
          <w:spacing w:val="4"/>
          <w:sz w:val="27"/>
          <w:szCs w:val="27"/>
        </w:rPr>
        <w:t>试验人员编组及分工情况；</w:t>
      </w:r>
    </w:p>
    <w:p w14:paraId="7AB56DF2">
      <w:pPr>
        <w:spacing w:before="11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经整理汇总和统计处理的试验数据和试验结果图表；</w:t>
      </w:r>
    </w:p>
    <w:p w14:paraId="2963FF92">
      <w:pPr>
        <w:spacing w:before="111" w:line="253" w:lineRule="auto"/>
        <w:ind w:firstLine="550"/>
        <w:rPr>
          <w:rFonts w:ascii="宋体" w:hAnsi="宋体" w:eastAsia="宋体" w:cs="宋体"/>
          <w:sz w:val="27"/>
          <w:szCs w:val="27"/>
        </w:rPr>
      </w:pPr>
      <w:r>
        <w:rPr>
          <w:rFonts w:ascii="Times New Roman" w:hAnsi="Times New Roman" w:eastAsia="Times New Roman" w:cs="Times New Roman"/>
          <w:spacing w:val="12"/>
          <w:sz w:val="27"/>
          <w:szCs w:val="27"/>
        </w:rPr>
        <w:t>f)</w:t>
      </w:r>
      <w:r>
        <w:rPr>
          <w:rFonts w:ascii="Times New Roman" w:hAnsi="Times New Roman" w:eastAsia="Times New Roman" w:cs="Times New Roman"/>
          <w:spacing w:val="65"/>
          <w:w w:val="101"/>
          <w:sz w:val="27"/>
          <w:szCs w:val="27"/>
        </w:rPr>
        <w:t xml:space="preserve"> </w:t>
      </w:r>
      <w:r>
        <w:rPr>
          <w:rFonts w:ascii="宋体" w:hAnsi="宋体" w:eastAsia="宋体" w:cs="宋体"/>
          <w:spacing w:val="12"/>
          <w:sz w:val="27"/>
          <w:szCs w:val="27"/>
        </w:rPr>
        <w:t>未在正文中给出的试验问题统计表(内容包括试验中发现的各种问题、</w:t>
      </w:r>
      <w:r>
        <w:rPr>
          <w:rFonts w:ascii="宋体" w:hAnsi="宋体" w:eastAsia="宋体" w:cs="宋体"/>
          <w:sz w:val="27"/>
          <w:szCs w:val="27"/>
        </w:rPr>
        <w:t xml:space="preserve"> </w:t>
      </w:r>
      <w:r>
        <w:rPr>
          <w:rFonts w:ascii="宋体" w:hAnsi="宋体" w:eastAsia="宋体" w:cs="宋体"/>
          <w:spacing w:val="6"/>
          <w:sz w:val="27"/>
          <w:szCs w:val="27"/>
        </w:rPr>
        <w:t>解决的措施及结果);</w:t>
      </w:r>
    </w:p>
    <w:p w14:paraId="4D6935AB">
      <w:pPr>
        <w:spacing w:before="58" w:line="272" w:lineRule="auto"/>
        <w:ind w:right="124" w:firstLine="550"/>
        <w:rPr>
          <w:rFonts w:ascii="宋体" w:hAnsi="宋体" w:eastAsia="宋体" w:cs="宋体"/>
          <w:sz w:val="25"/>
          <w:szCs w:val="25"/>
        </w:rPr>
      </w:pPr>
      <w:r>
        <w:rPr>
          <w:rFonts w:ascii="Times New Roman" w:hAnsi="Times New Roman" w:eastAsia="Times New Roman" w:cs="Times New Roman"/>
          <w:spacing w:val="21"/>
          <w:sz w:val="25"/>
          <w:szCs w:val="25"/>
        </w:rPr>
        <w:t xml:space="preserve">g)  </w:t>
      </w:r>
      <w:r>
        <w:rPr>
          <w:rFonts w:ascii="宋体" w:hAnsi="宋体" w:eastAsia="宋体" w:cs="宋体"/>
          <w:spacing w:val="21"/>
          <w:sz w:val="25"/>
          <w:szCs w:val="25"/>
        </w:rPr>
        <w:t>被试品全貌和主要侧面照片，主要试验场面照片，试验中发生的重大技</w:t>
      </w:r>
      <w:r>
        <w:rPr>
          <w:rFonts w:ascii="宋体" w:hAnsi="宋体" w:eastAsia="宋体" w:cs="宋体"/>
          <w:spacing w:val="1"/>
          <w:sz w:val="25"/>
          <w:szCs w:val="25"/>
        </w:rPr>
        <w:t xml:space="preserve"> </w:t>
      </w:r>
      <w:r>
        <w:rPr>
          <w:rFonts w:ascii="宋体" w:hAnsi="宋体" w:eastAsia="宋体" w:cs="宋体"/>
          <w:spacing w:val="19"/>
          <w:sz w:val="25"/>
          <w:szCs w:val="25"/>
        </w:rPr>
        <w:t>术问题的特写照片；</w:t>
      </w:r>
    </w:p>
    <w:p w14:paraId="4615E7ED">
      <w:pPr>
        <w:spacing w:before="94"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h)  </w:t>
      </w:r>
      <w:r>
        <w:rPr>
          <w:rFonts w:ascii="宋体" w:hAnsi="宋体" w:eastAsia="宋体" w:cs="宋体"/>
          <w:spacing w:val="2"/>
          <w:sz w:val="27"/>
          <w:szCs w:val="27"/>
        </w:rPr>
        <w:t>目标靶标和目标区域照片，被击毁目标的残骸照片等(必要时列出);</w:t>
      </w:r>
    </w:p>
    <w:p w14:paraId="46C3FB61">
      <w:pPr>
        <w:spacing w:line="212" w:lineRule="auto"/>
        <w:rPr>
          <w:rFonts w:ascii="宋体" w:hAnsi="宋体" w:eastAsia="宋体" w:cs="宋体"/>
          <w:sz w:val="27"/>
          <w:szCs w:val="27"/>
        </w:rPr>
        <w:sectPr>
          <w:footerReference r:id="rId136" w:type="default"/>
          <w:pgSz w:w="11910" w:h="17130"/>
          <w:pgMar w:top="400" w:right="1234" w:bottom="1687" w:left="1180" w:header="0" w:footer="1470" w:gutter="0"/>
          <w:cols w:space="720" w:num="1"/>
        </w:sectPr>
      </w:pPr>
    </w:p>
    <w:p w14:paraId="02435F10">
      <w:pPr>
        <w:pStyle w:val="2"/>
        <w:spacing w:line="278" w:lineRule="auto"/>
      </w:pPr>
    </w:p>
    <w:p w14:paraId="4EFC2382">
      <w:pPr>
        <w:pStyle w:val="2"/>
        <w:spacing w:line="278" w:lineRule="auto"/>
      </w:pPr>
    </w:p>
    <w:p w14:paraId="7679676B">
      <w:pPr>
        <w:pStyle w:val="2"/>
        <w:spacing w:line="279" w:lineRule="auto"/>
      </w:pPr>
    </w:p>
    <w:p w14:paraId="3A931B8E">
      <w:pPr>
        <w:pStyle w:val="2"/>
        <w:spacing w:line="279" w:lineRule="auto"/>
      </w:pPr>
    </w:p>
    <w:p w14:paraId="0AF7E219">
      <w:pPr>
        <w:spacing w:before="88" w:line="277" w:lineRule="auto"/>
        <w:ind w:right="2" w:firstLine="550"/>
        <w:rPr>
          <w:rFonts w:ascii="宋体" w:hAnsi="宋体" w:eastAsia="宋体" w:cs="宋体"/>
          <w:sz w:val="27"/>
          <w:szCs w:val="27"/>
        </w:rPr>
      </w:pPr>
      <w:r>
        <w:rPr>
          <w:rFonts w:ascii="Times New Roman" w:hAnsi="Times New Roman" w:eastAsia="Times New Roman" w:cs="Times New Roman"/>
          <w:spacing w:val="13"/>
          <w:sz w:val="27"/>
          <w:szCs w:val="27"/>
        </w:rPr>
        <w:t>i)</w:t>
      </w:r>
      <w:r>
        <w:rPr>
          <w:rFonts w:ascii="Times New Roman" w:hAnsi="Times New Roman" w:eastAsia="Times New Roman" w:cs="Times New Roman"/>
          <w:spacing w:val="70"/>
          <w:sz w:val="27"/>
          <w:szCs w:val="27"/>
        </w:rPr>
        <w:t xml:space="preserve"> </w:t>
      </w:r>
      <w:r>
        <w:rPr>
          <w:rFonts w:ascii="宋体" w:hAnsi="宋体" w:eastAsia="宋体" w:cs="宋体"/>
          <w:spacing w:val="13"/>
          <w:sz w:val="27"/>
          <w:szCs w:val="27"/>
        </w:rPr>
        <w:t>全面反映试验各阶段各项目试验情况的素材录相带和必要的文字说明</w:t>
      </w:r>
      <w:r>
        <w:rPr>
          <w:rFonts w:ascii="宋体" w:hAnsi="宋体" w:eastAsia="宋体" w:cs="宋体"/>
          <w:sz w:val="27"/>
          <w:szCs w:val="27"/>
        </w:rPr>
        <w:t xml:space="preserve"> </w:t>
      </w:r>
      <w:r>
        <w:rPr>
          <w:rFonts w:ascii="宋体" w:hAnsi="宋体" w:eastAsia="宋体" w:cs="宋体"/>
          <w:spacing w:val="-6"/>
          <w:sz w:val="27"/>
          <w:szCs w:val="27"/>
        </w:rPr>
        <w:t>材料；</w:t>
      </w:r>
    </w:p>
    <w:p w14:paraId="1392DB45">
      <w:pPr>
        <w:spacing w:before="91" w:line="212" w:lineRule="auto"/>
        <w:ind w:left="550"/>
        <w:rPr>
          <w:rFonts w:ascii="宋体" w:hAnsi="宋体" w:eastAsia="宋体" w:cs="宋体"/>
          <w:sz w:val="25"/>
          <w:szCs w:val="25"/>
        </w:rPr>
      </w:pPr>
      <w:r>
        <w:rPr>
          <w:rFonts w:ascii="Times New Roman" w:hAnsi="Times New Roman" w:eastAsia="Times New Roman" w:cs="Times New Roman"/>
          <w:spacing w:val="22"/>
          <w:sz w:val="25"/>
          <w:szCs w:val="25"/>
        </w:rPr>
        <w:t>j)</w:t>
      </w:r>
      <w:r>
        <w:rPr>
          <w:rFonts w:ascii="Times New Roman" w:hAnsi="Times New Roman" w:eastAsia="Times New Roman" w:cs="Times New Roman"/>
          <w:spacing w:val="10"/>
          <w:sz w:val="25"/>
          <w:szCs w:val="25"/>
        </w:rPr>
        <w:t xml:space="preserve">  </w:t>
      </w:r>
      <w:r>
        <w:rPr>
          <w:rFonts w:ascii="宋体" w:hAnsi="宋体" w:eastAsia="宋体" w:cs="宋体"/>
          <w:spacing w:val="22"/>
          <w:sz w:val="25"/>
          <w:szCs w:val="25"/>
        </w:rPr>
        <w:t>试验磁带(必要时列出);</w:t>
      </w:r>
    </w:p>
    <w:p w14:paraId="5876F023">
      <w:pPr>
        <w:spacing w:before="71"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k)</w:t>
      </w:r>
      <w:r>
        <w:rPr>
          <w:rFonts w:ascii="Times New Roman" w:hAnsi="Times New Roman" w:eastAsia="Times New Roman" w:cs="Times New Roman"/>
          <w:spacing w:val="65"/>
          <w:w w:val="101"/>
          <w:sz w:val="27"/>
          <w:szCs w:val="27"/>
        </w:rPr>
        <w:t xml:space="preserve"> </w:t>
      </w:r>
      <w:r>
        <w:rPr>
          <w:rFonts w:ascii="宋体" w:hAnsi="宋体" w:eastAsia="宋体" w:cs="宋体"/>
          <w:spacing w:val="4"/>
          <w:sz w:val="27"/>
          <w:szCs w:val="27"/>
        </w:rPr>
        <w:t>对试验中出现的重大问题的处理报告；</w:t>
      </w:r>
    </w:p>
    <w:p w14:paraId="6C59334F">
      <w:pPr>
        <w:spacing w:before="129" w:line="219" w:lineRule="auto"/>
        <w:ind w:left="550"/>
        <w:rPr>
          <w:rFonts w:ascii="宋体" w:hAnsi="宋体" w:eastAsia="宋体" w:cs="宋体"/>
          <w:sz w:val="27"/>
          <w:szCs w:val="27"/>
        </w:rPr>
      </w:pPr>
      <w:r>
        <w:rPr>
          <w:rFonts w:ascii="宋体" w:hAnsi="宋体" w:eastAsia="宋体" w:cs="宋体"/>
          <w:spacing w:val="5"/>
          <w:sz w:val="27"/>
          <w:szCs w:val="27"/>
        </w:rPr>
        <w:t>1)主要试验设备的测试精度及最新标定后的有效日期；</w:t>
      </w:r>
    </w:p>
    <w:p w14:paraId="21A2875B">
      <w:pPr>
        <w:spacing w:before="61"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m)</w:t>
      </w:r>
      <w:r>
        <w:rPr>
          <w:rFonts w:ascii="Times New Roman" w:hAnsi="Times New Roman" w:eastAsia="Times New Roman" w:cs="Times New Roman"/>
          <w:spacing w:val="71"/>
          <w:w w:val="101"/>
          <w:sz w:val="27"/>
          <w:szCs w:val="27"/>
        </w:rPr>
        <w:t xml:space="preserve"> </w:t>
      </w:r>
      <w:r>
        <w:rPr>
          <w:rFonts w:ascii="宋体" w:hAnsi="宋体" w:eastAsia="宋体" w:cs="宋体"/>
          <w:spacing w:val="-3"/>
          <w:sz w:val="27"/>
          <w:szCs w:val="27"/>
        </w:rPr>
        <w:t>不宜写在正文中的公式和有关推导，证明；</w:t>
      </w:r>
    </w:p>
    <w:p w14:paraId="39E270B9">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n)</w:t>
      </w:r>
      <w:r>
        <w:rPr>
          <w:rFonts w:ascii="Times New Roman" w:hAnsi="Times New Roman" w:eastAsia="Times New Roman" w:cs="Times New Roman"/>
          <w:spacing w:val="65"/>
          <w:sz w:val="27"/>
          <w:szCs w:val="27"/>
        </w:rPr>
        <w:t xml:space="preserve"> </w:t>
      </w:r>
      <w:r>
        <w:rPr>
          <w:rFonts w:ascii="宋体" w:hAnsi="宋体" w:eastAsia="宋体" w:cs="宋体"/>
          <w:spacing w:val="4"/>
          <w:sz w:val="27"/>
          <w:szCs w:val="27"/>
        </w:rPr>
        <w:t>其他需要说明的问题或参考性资料等。</w:t>
      </w:r>
    </w:p>
    <w:p w14:paraId="25773E06">
      <w:pPr>
        <w:pStyle w:val="2"/>
        <w:spacing w:line="356" w:lineRule="auto"/>
      </w:pPr>
    </w:p>
    <w:p w14:paraId="378D9BFD">
      <w:pPr>
        <w:spacing w:before="117" w:line="218" w:lineRule="auto"/>
        <w:ind w:left="1770"/>
        <w:outlineLvl w:val="1"/>
        <w:rPr>
          <w:rFonts w:ascii="宋体" w:hAnsi="宋体" w:eastAsia="宋体" w:cs="宋体"/>
          <w:sz w:val="36"/>
          <w:szCs w:val="36"/>
        </w:rPr>
      </w:pPr>
      <w:bookmarkStart w:id="79" w:name="bookmark41"/>
      <w:bookmarkEnd w:id="79"/>
      <w:bookmarkStart w:id="80" w:name="bookmark346"/>
      <w:bookmarkEnd w:id="80"/>
      <w:r>
        <w:rPr>
          <w:rFonts w:ascii="Times New Roman" w:hAnsi="Times New Roman" w:eastAsia="Times New Roman" w:cs="Times New Roman"/>
          <w:b/>
          <w:bCs/>
          <w:spacing w:val="2"/>
          <w:sz w:val="36"/>
          <w:szCs w:val="36"/>
        </w:rPr>
        <w:t xml:space="preserve">1.39     </w:t>
      </w:r>
      <w:r>
        <w:rPr>
          <w:rFonts w:ascii="宋体" w:hAnsi="宋体" w:eastAsia="宋体" w:cs="宋体"/>
          <w:b/>
          <w:bCs/>
          <w:spacing w:val="2"/>
          <w:sz w:val="36"/>
          <w:szCs w:val="36"/>
        </w:rPr>
        <w:t>重大技术问题的技术攻关报告</w:t>
      </w:r>
    </w:p>
    <w:p w14:paraId="64173BB0">
      <w:pPr>
        <w:pStyle w:val="2"/>
        <w:spacing w:line="340" w:lineRule="auto"/>
      </w:pPr>
    </w:p>
    <w:p w14:paraId="07D56F99">
      <w:pPr>
        <w:spacing w:before="91" w:line="223" w:lineRule="auto"/>
        <w:ind w:left="550"/>
        <w:rPr>
          <w:rFonts w:ascii="楷体" w:hAnsi="楷体" w:eastAsia="楷体" w:cs="楷体"/>
          <w:sz w:val="28"/>
          <w:szCs w:val="28"/>
        </w:rPr>
      </w:pPr>
      <w:r>
        <w:rPr>
          <w:rFonts w:ascii="楷体" w:hAnsi="楷体" w:eastAsia="楷体" w:cs="楷体"/>
          <w:spacing w:val="-8"/>
          <w:sz w:val="28"/>
          <w:szCs w:val="28"/>
        </w:rPr>
        <w:t>按照</w:t>
      </w:r>
      <w:r>
        <w:rPr>
          <w:rFonts w:ascii="Times New Roman" w:hAnsi="Times New Roman" w:eastAsia="Times New Roman" w:cs="Times New Roman"/>
          <w:spacing w:val="-8"/>
          <w:sz w:val="28"/>
          <w:szCs w:val="28"/>
        </w:rPr>
        <w:t>GJB1362A—2007</w:t>
      </w:r>
      <w:r>
        <w:rPr>
          <w:rFonts w:ascii="宋体" w:hAnsi="宋体" w:eastAsia="宋体" w:cs="宋体"/>
          <w:spacing w:val="-8"/>
          <w:sz w:val="28"/>
          <w:szCs w:val="28"/>
        </w:rPr>
        <w:t>《</w:t>
      </w:r>
      <w:r>
        <w:rPr>
          <w:rFonts w:ascii="楷体" w:hAnsi="楷体" w:eastAsia="楷体" w:cs="楷体"/>
          <w:spacing w:val="-8"/>
          <w:sz w:val="28"/>
          <w:szCs w:val="28"/>
        </w:rPr>
        <w:t>军工产品定型程序和要求》编写。</w:t>
      </w:r>
    </w:p>
    <w:p w14:paraId="5C03AB08">
      <w:pPr>
        <w:spacing w:before="79"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5"/>
          <w:sz w:val="27"/>
          <w:szCs w:val="27"/>
        </w:rPr>
        <w:t xml:space="preserve">  </w:t>
      </w:r>
      <w:r>
        <w:rPr>
          <w:rFonts w:ascii="黑体" w:hAnsi="黑体" w:eastAsia="黑体" w:cs="黑体"/>
          <w:spacing w:val="4"/>
          <w:sz w:val="27"/>
          <w:szCs w:val="27"/>
        </w:rPr>
        <w:t>适用范围</w:t>
      </w:r>
    </w:p>
    <w:p w14:paraId="6F126AE6">
      <w:pPr>
        <w:spacing w:before="81" w:line="222" w:lineRule="auto"/>
        <w:rPr>
          <w:rFonts w:ascii="黑体" w:hAnsi="黑体" w:eastAsia="黑体" w:cs="黑体"/>
          <w:sz w:val="27"/>
          <w:szCs w:val="27"/>
        </w:rPr>
      </w:pPr>
      <w:r>
        <w:rPr>
          <w:rFonts w:ascii="黑体" w:hAnsi="黑体" w:eastAsia="黑体" w:cs="黑体"/>
          <w:spacing w:val="3"/>
          <w:sz w:val="27"/>
          <w:szCs w:val="27"/>
        </w:rPr>
        <w:t>2  引用标准及文件</w:t>
      </w:r>
    </w:p>
    <w:p w14:paraId="25E6E1FA">
      <w:pPr>
        <w:spacing w:before="98" w:line="223" w:lineRule="auto"/>
        <w:rPr>
          <w:rFonts w:ascii="黑体" w:hAnsi="黑体" w:eastAsia="黑体" w:cs="黑体"/>
          <w:sz w:val="27"/>
          <w:szCs w:val="27"/>
        </w:rPr>
      </w:pPr>
      <w:r>
        <w:rPr>
          <w:rFonts w:ascii="黑体" w:hAnsi="黑体" w:eastAsia="黑体" w:cs="黑体"/>
          <w:sz w:val="27"/>
          <w:szCs w:val="27"/>
        </w:rPr>
        <w:t>2.1</w:t>
      </w:r>
      <w:r>
        <w:rPr>
          <w:rFonts w:ascii="黑体" w:hAnsi="黑体" w:eastAsia="黑体" w:cs="黑体"/>
          <w:spacing w:val="14"/>
          <w:sz w:val="27"/>
          <w:szCs w:val="27"/>
        </w:rPr>
        <w:t xml:space="preserve">  </w:t>
      </w:r>
      <w:r>
        <w:rPr>
          <w:rFonts w:ascii="黑体" w:hAnsi="黑体" w:eastAsia="黑体" w:cs="黑体"/>
          <w:sz w:val="27"/>
          <w:szCs w:val="27"/>
        </w:rPr>
        <w:t>引用标准</w:t>
      </w:r>
    </w:p>
    <w:p w14:paraId="4B29F649">
      <w:pPr>
        <w:spacing w:before="101" w:line="222" w:lineRule="auto"/>
        <w:rPr>
          <w:rFonts w:ascii="黑体" w:hAnsi="黑体" w:eastAsia="黑体" w:cs="黑体"/>
          <w:sz w:val="24"/>
          <w:szCs w:val="24"/>
        </w:rPr>
      </w:pPr>
      <w:r>
        <w:rPr>
          <w:rFonts w:ascii="黑体" w:hAnsi="黑体" w:eastAsia="黑体" w:cs="黑体"/>
          <w:spacing w:val="17"/>
          <w:sz w:val="24"/>
          <w:szCs w:val="24"/>
        </w:rPr>
        <w:t>2.2</w:t>
      </w:r>
      <w:r>
        <w:rPr>
          <w:rFonts w:ascii="黑体" w:hAnsi="黑体" w:eastAsia="黑体" w:cs="黑体"/>
          <w:spacing w:val="50"/>
          <w:sz w:val="24"/>
          <w:szCs w:val="24"/>
        </w:rPr>
        <w:t xml:space="preserve">  </w:t>
      </w:r>
      <w:r>
        <w:rPr>
          <w:rFonts w:ascii="黑体" w:hAnsi="黑体" w:eastAsia="黑体" w:cs="黑体"/>
          <w:spacing w:val="17"/>
          <w:sz w:val="24"/>
          <w:szCs w:val="24"/>
        </w:rPr>
        <w:t>引用文件</w:t>
      </w:r>
    </w:p>
    <w:p w14:paraId="72B1BF21">
      <w:pPr>
        <w:spacing w:before="94" w:line="222" w:lineRule="auto"/>
        <w:rPr>
          <w:rFonts w:ascii="黑体" w:hAnsi="黑体" w:eastAsia="黑体" w:cs="黑体"/>
          <w:sz w:val="27"/>
          <w:szCs w:val="27"/>
        </w:rPr>
      </w:pPr>
      <w:r>
        <w:rPr>
          <w:rFonts w:ascii="黑体" w:hAnsi="黑体" w:eastAsia="黑体" w:cs="黑体"/>
          <w:spacing w:val="4"/>
          <w:sz w:val="27"/>
          <w:szCs w:val="27"/>
        </w:rPr>
        <w:t>3  重大技术问题描述</w:t>
      </w:r>
    </w:p>
    <w:p w14:paraId="248EB1E9">
      <w:pPr>
        <w:spacing w:before="95" w:line="219" w:lineRule="auto"/>
        <w:ind w:right="24"/>
        <w:jc w:val="right"/>
        <w:rPr>
          <w:rFonts w:ascii="宋体" w:hAnsi="宋体" w:eastAsia="宋体" w:cs="宋体"/>
          <w:sz w:val="27"/>
          <w:szCs w:val="27"/>
        </w:rPr>
      </w:pPr>
      <w:r>
        <w:rPr>
          <w:rFonts w:ascii="宋体" w:hAnsi="宋体" w:eastAsia="宋体" w:cs="宋体"/>
          <w:spacing w:val="-3"/>
          <w:sz w:val="27"/>
          <w:szCs w:val="27"/>
        </w:rPr>
        <w:t>应包括问题描述、问题对产品及系统性能(质量)的</w:t>
      </w:r>
      <w:r>
        <w:rPr>
          <w:rFonts w:ascii="宋体" w:hAnsi="宋体" w:eastAsia="宋体" w:cs="宋体"/>
          <w:spacing w:val="-4"/>
          <w:sz w:val="27"/>
          <w:szCs w:val="27"/>
        </w:rPr>
        <w:t>影响、问题的技术难度。</w:t>
      </w:r>
    </w:p>
    <w:p w14:paraId="1B1D204E">
      <w:pPr>
        <w:pStyle w:val="2"/>
        <w:spacing w:before="80" w:line="222" w:lineRule="auto"/>
        <w:rPr>
          <w:rFonts w:ascii="黑体" w:hAnsi="黑体" w:eastAsia="黑体" w:cs="黑体"/>
          <w:sz w:val="27"/>
          <w:szCs w:val="27"/>
        </w:rPr>
      </w:pPr>
      <w:r>
        <w:rPr>
          <w:spacing w:val="4"/>
          <w:sz w:val="27"/>
          <w:szCs w:val="27"/>
        </w:rPr>
        <w:t>4</w:t>
      </w:r>
      <w:r>
        <w:rPr>
          <w:spacing w:val="14"/>
          <w:sz w:val="27"/>
          <w:szCs w:val="27"/>
        </w:rPr>
        <w:t xml:space="preserve">   </w:t>
      </w:r>
      <w:r>
        <w:rPr>
          <w:rFonts w:ascii="黑体" w:hAnsi="黑体" w:eastAsia="黑体" w:cs="黑体"/>
          <w:spacing w:val="4"/>
          <w:sz w:val="27"/>
          <w:szCs w:val="27"/>
        </w:rPr>
        <w:t>问题分析及采用的技术措施</w:t>
      </w:r>
    </w:p>
    <w:p w14:paraId="16EAB885">
      <w:pPr>
        <w:spacing w:before="83" w:line="222" w:lineRule="auto"/>
        <w:rPr>
          <w:rFonts w:ascii="黑体" w:hAnsi="黑体" w:eastAsia="黑体" w:cs="黑体"/>
          <w:sz w:val="27"/>
          <w:szCs w:val="27"/>
        </w:rPr>
      </w:pPr>
      <w:r>
        <w:rPr>
          <w:rFonts w:ascii="黑体" w:hAnsi="黑体" w:eastAsia="黑体" w:cs="黑体"/>
          <w:spacing w:val="5"/>
          <w:sz w:val="27"/>
          <w:szCs w:val="27"/>
        </w:rPr>
        <w:t>4.1  问题详细分析</w:t>
      </w:r>
    </w:p>
    <w:p w14:paraId="2827996C">
      <w:pPr>
        <w:spacing w:before="76" w:line="284" w:lineRule="auto"/>
        <w:ind w:right="2" w:firstLine="550"/>
        <w:rPr>
          <w:rFonts w:ascii="宋体" w:hAnsi="宋体" w:eastAsia="宋体" w:cs="宋体"/>
          <w:sz w:val="27"/>
          <w:szCs w:val="27"/>
        </w:rPr>
      </w:pPr>
      <w:r>
        <w:rPr>
          <w:rFonts w:ascii="宋体" w:hAnsi="宋体" w:eastAsia="宋体" w:cs="宋体"/>
          <w:spacing w:val="6"/>
          <w:sz w:val="27"/>
          <w:szCs w:val="27"/>
        </w:rPr>
        <w:t>说明对重大技术问题的详细分析情况，按照</w:t>
      </w:r>
      <w:r>
        <w:rPr>
          <w:rFonts w:ascii="宋体" w:hAnsi="宋体" w:eastAsia="宋体" w:cs="宋体"/>
          <w:spacing w:val="5"/>
          <w:sz w:val="27"/>
          <w:szCs w:val="27"/>
        </w:rPr>
        <w:t>逻辑说明对问题原因的分析过</w:t>
      </w:r>
      <w:r>
        <w:rPr>
          <w:rFonts w:ascii="宋体" w:hAnsi="宋体" w:eastAsia="宋体" w:cs="宋体"/>
          <w:sz w:val="27"/>
          <w:szCs w:val="27"/>
        </w:rPr>
        <w:t xml:space="preserve"> </w:t>
      </w:r>
      <w:r>
        <w:rPr>
          <w:rFonts w:ascii="宋体" w:hAnsi="宋体" w:eastAsia="宋体" w:cs="宋体"/>
          <w:spacing w:val="-12"/>
          <w:sz w:val="27"/>
          <w:szCs w:val="27"/>
        </w:rPr>
        <w:t>程，给出分析结果。</w:t>
      </w:r>
    </w:p>
    <w:p w14:paraId="3A79AC84">
      <w:pPr>
        <w:spacing w:before="1" w:line="222" w:lineRule="auto"/>
        <w:rPr>
          <w:rFonts w:ascii="黑体" w:hAnsi="黑体" w:eastAsia="黑体" w:cs="黑体"/>
          <w:sz w:val="27"/>
          <w:szCs w:val="27"/>
        </w:rPr>
      </w:pPr>
      <w:r>
        <w:rPr>
          <w:rFonts w:ascii="黑体" w:hAnsi="黑体" w:eastAsia="黑体" w:cs="黑体"/>
          <w:spacing w:val="3"/>
          <w:sz w:val="27"/>
          <w:szCs w:val="27"/>
        </w:rPr>
        <w:t>4.2  采用的技术措施</w:t>
      </w:r>
    </w:p>
    <w:p w14:paraId="6D92C82C">
      <w:pPr>
        <w:spacing w:before="83" w:line="219" w:lineRule="auto"/>
        <w:ind w:left="550"/>
        <w:rPr>
          <w:rFonts w:ascii="宋体" w:hAnsi="宋体" w:eastAsia="宋体" w:cs="宋体"/>
          <w:sz w:val="27"/>
          <w:szCs w:val="27"/>
        </w:rPr>
      </w:pPr>
      <w:r>
        <w:rPr>
          <w:rFonts w:ascii="宋体" w:hAnsi="宋体" w:eastAsia="宋体" w:cs="宋体"/>
          <w:spacing w:val="4"/>
          <w:sz w:val="27"/>
          <w:szCs w:val="27"/>
        </w:rPr>
        <w:t>根据详细分析结果提出拟采用的解决措施。</w:t>
      </w:r>
    </w:p>
    <w:p w14:paraId="0AA6AFEE">
      <w:pPr>
        <w:pStyle w:val="2"/>
        <w:spacing w:before="65" w:line="328" w:lineRule="exact"/>
        <w:rPr>
          <w:rFonts w:ascii="黑体" w:hAnsi="黑体" w:eastAsia="黑体" w:cs="黑体"/>
          <w:sz w:val="24"/>
          <w:szCs w:val="24"/>
        </w:rPr>
      </w:pPr>
      <w:r>
        <w:rPr>
          <w:spacing w:val="27"/>
          <w:position w:val="1"/>
          <w:sz w:val="24"/>
          <w:szCs w:val="24"/>
        </w:rPr>
        <w:t>4.3</w:t>
      </w:r>
      <w:r>
        <w:rPr>
          <w:spacing w:val="7"/>
          <w:position w:val="1"/>
          <w:sz w:val="24"/>
          <w:szCs w:val="24"/>
        </w:rPr>
        <w:t xml:space="preserve">     </w:t>
      </w:r>
      <w:r>
        <w:rPr>
          <w:rFonts w:ascii="黑体" w:hAnsi="黑体" w:eastAsia="黑体" w:cs="黑体"/>
          <w:spacing w:val="27"/>
          <w:position w:val="1"/>
          <w:sz w:val="24"/>
          <w:szCs w:val="24"/>
        </w:rPr>
        <w:t>技术措施的效果分析</w:t>
      </w:r>
    </w:p>
    <w:p w14:paraId="642BF3EC">
      <w:pPr>
        <w:spacing w:before="87" w:line="277" w:lineRule="auto"/>
        <w:ind w:firstLine="550"/>
        <w:rPr>
          <w:rFonts w:ascii="宋体" w:hAnsi="宋体" w:eastAsia="宋体" w:cs="宋体"/>
          <w:sz w:val="27"/>
          <w:szCs w:val="27"/>
        </w:rPr>
      </w:pPr>
      <w:r>
        <w:rPr>
          <w:rFonts w:ascii="宋体" w:hAnsi="宋体" w:eastAsia="宋体" w:cs="宋体"/>
          <w:spacing w:val="-3"/>
          <w:sz w:val="27"/>
          <w:szCs w:val="27"/>
        </w:rPr>
        <w:t>对拟采用的技术措施进行分析，预计可能的效果，按照预计效果对技术措施</w:t>
      </w:r>
      <w:r>
        <w:rPr>
          <w:rFonts w:ascii="宋体" w:hAnsi="宋体" w:eastAsia="宋体" w:cs="宋体"/>
          <w:spacing w:val="10"/>
          <w:sz w:val="27"/>
          <w:szCs w:val="27"/>
        </w:rPr>
        <w:t xml:space="preserve"> </w:t>
      </w:r>
      <w:r>
        <w:rPr>
          <w:rFonts w:ascii="宋体" w:hAnsi="宋体" w:eastAsia="宋体" w:cs="宋体"/>
          <w:spacing w:val="-2"/>
          <w:sz w:val="27"/>
          <w:szCs w:val="27"/>
        </w:rPr>
        <w:t>进行优先级排序，选择最终采取的一项或多项技术措施。</w:t>
      </w:r>
    </w:p>
    <w:p w14:paraId="777153FB">
      <w:pPr>
        <w:spacing w:before="1" w:line="220" w:lineRule="auto"/>
        <w:rPr>
          <w:rFonts w:ascii="黑体" w:hAnsi="黑体" w:eastAsia="黑体" w:cs="黑体"/>
          <w:sz w:val="27"/>
          <w:szCs w:val="27"/>
        </w:rPr>
      </w:pPr>
      <w:r>
        <w:rPr>
          <w:rFonts w:ascii="黑体" w:hAnsi="黑体" w:eastAsia="黑体" w:cs="黑体"/>
          <w:spacing w:val="5"/>
          <w:sz w:val="27"/>
          <w:szCs w:val="27"/>
        </w:rPr>
        <w:t>5  试验验证情况</w:t>
      </w:r>
    </w:p>
    <w:p w14:paraId="6E69F56C">
      <w:pPr>
        <w:spacing w:before="116" w:line="221" w:lineRule="auto"/>
        <w:rPr>
          <w:rFonts w:ascii="黑体" w:hAnsi="黑体" w:eastAsia="黑体" w:cs="黑体"/>
          <w:sz w:val="25"/>
          <w:szCs w:val="25"/>
        </w:rPr>
      </w:pPr>
      <w:r>
        <w:rPr>
          <w:rFonts w:ascii="黑体" w:hAnsi="黑体" w:eastAsia="黑体" w:cs="黑体"/>
          <w:spacing w:val="15"/>
          <w:sz w:val="25"/>
          <w:szCs w:val="25"/>
        </w:rPr>
        <w:t>5.1</w:t>
      </w:r>
      <w:r>
        <w:rPr>
          <w:rFonts w:ascii="黑体" w:hAnsi="黑体" w:eastAsia="黑体" w:cs="黑体"/>
          <w:spacing w:val="34"/>
          <w:sz w:val="25"/>
          <w:szCs w:val="25"/>
        </w:rPr>
        <w:t xml:space="preserve">  </w:t>
      </w:r>
      <w:r>
        <w:rPr>
          <w:rFonts w:ascii="黑体" w:hAnsi="黑体" w:eastAsia="黑体" w:cs="黑体"/>
          <w:spacing w:val="15"/>
          <w:sz w:val="25"/>
          <w:szCs w:val="25"/>
        </w:rPr>
        <w:t>试验情况</w:t>
      </w:r>
    </w:p>
    <w:p w14:paraId="769A18FD">
      <w:pPr>
        <w:spacing w:before="103" w:line="273" w:lineRule="auto"/>
        <w:ind w:right="1" w:firstLine="550"/>
        <w:rPr>
          <w:rFonts w:ascii="宋体" w:hAnsi="宋体" w:eastAsia="宋体" w:cs="宋体"/>
          <w:sz w:val="27"/>
          <w:szCs w:val="27"/>
        </w:rPr>
      </w:pPr>
      <w:r>
        <w:rPr>
          <w:rFonts w:ascii="宋体" w:hAnsi="宋体" w:eastAsia="宋体" w:cs="宋体"/>
          <w:spacing w:val="6"/>
          <w:sz w:val="27"/>
          <w:szCs w:val="27"/>
        </w:rPr>
        <w:t>客观描述在对产品重大技术问题采取技术措</w:t>
      </w:r>
      <w:r>
        <w:rPr>
          <w:rFonts w:ascii="宋体" w:hAnsi="宋体" w:eastAsia="宋体" w:cs="宋体"/>
          <w:spacing w:val="5"/>
          <w:sz w:val="27"/>
          <w:szCs w:val="27"/>
        </w:rPr>
        <w:t>施后的试验验证情况，包括试</w:t>
      </w:r>
      <w:r>
        <w:rPr>
          <w:rFonts w:ascii="宋体" w:hAnsi="宋体" w:eastAsia="宋体" w:cs="宋体"/>
          <w:sz w:val="27"/>
          <w:szCs w:val="27"/>
        </w:rPr>
        <w:t xml:space="preserve"> </w:t>
      </w:r>
      <w:r>
        <w:rPr>
          <w:rFonts w:ascii="宋体" w:hAnsi="宋体" w:eastAsia="宋体" w:cs="宋体"/>
          <w:spacing w:val="-15"/>
          <w:sz w:val="27"/>
          <w:szCs w:val="27"/>
        </w:rPr>
        <w:t>验时间、试验地点(场合)、试验人员、试验项目、试验方法。</w:t>
      </w:r>
    </w:p>
    <w:p w14:paraId="6DA0EB91">
      <w:pPr>
        <w:spacing w:before="1" w:line="220" w:lineRule="auto"/>
        <w:rPr>
          <w:rFonts w:ascii="黑体" w:hAnsi="黑体" w:eastAsia="黑体" w:cs="黑体"/>
          <w:sz w:val="27"/>
          <w:szCs w:val="27"/>
        </w:rPr>
      </w:pPr>
      <w:r>
        <w:rPr>
          <w:rFonts w:ascii="黑体" w:hAnsi="黑体" w:eastAsia="黑体" w:cs="黑体"/>
          <w:spacing w:val="2"/>
          <w:sz w:val="27"/>
          <w:szCs w:val="27"/>
        </w:rPr>
        <w:t>5.2</w:t>
      </w:r>
      <w:r>
        <w:rPr>
          <w:rFonts w:ascii="黑体" w:hAnsi="黑体" w:eastAsia="黑体" w:cs="黑体"/>
          <w:spacing w:val="18"/>
          <w:sz w:val="27"/>
          <w:szCs w:val="27"/>
        </w:rPr>
        <w:t xml:space="preserve">  </w:t>
      </w:r>
      <w:r>
        <w:rPr>
          <w:rFonts w:ascii="黑体" w:hAnsi="黑体" w:eastAsia="黑体" w:cs="黑体"/>
          <w:spacing w:val="2"/>
          <w:sz w:val="27"/>
          <w:szCs w:val="27"/>
        </w:rPr>
        <w:t>试验结果分析</w:t>
      </w:r>
    </w:p>
    <w:p w14:paraId="227C3229">
      <w:pPr>
        <w:spacing w:before="110" w:line="220" w:lineRule="auto"/>
        <w:ind w:left="550"/>
        <w:rPr>
          <w:rFonts w:ascii="宋体" w:hAnsi="宋体" w:eastAsia="宋体" w:cs="宋体"/>
          <w:sz w:val="27"/>
          <w:szCs w:val="27"/>
        </w:rPr>
      </w:pPr>
      <w:r>
        <w:rPr>
          <w:rFonts w:ascii="宋体" w:hAnsi="宋体" w:eastAsia="宋体" w:cs="宋体"/>
          <w:spacing w:val="2"/>
          <w:sz w:val="27"/>
          <w:szCs w:val="27"/>
        </w:rPr>
        <w:t>对试验验证结果进行分析。</w:t>
      </w:r>
    </w:p>
    <w:p w14:paraId="34869271">
      <w:pPr>
        <w:spacing w:before="86" w:line="222" w:lineRule="auto"/>
        <w:rPr>
          <w:rFonts w:ascii="黑体" w:hAnsi="黑体" w:eastAsia="黑体" w:cs="黑体"/>
          <w:sz w:val="27"/>
          <w:szCs w:val="27"/>
        </w:rPr>
      </w:pPr>
      <w:r>
        <w:rPr>
          <w:rFonts w:ascii="黑体" w:hAnsi="黑体" w:eastAsia="黑体" w:cs="黑体"/>
          <w:spacing w:val="8"/>
          <w:sz w:val="27"/>
          <w:szCs w:val="27"/>
        </w:rPr>
        <w:t>6</w:t>
      </w:r>
      <w:r>
        <w:rPr>
          <w:rFonts w:ascii="黑体" w:hAnsi="黑体" w:eastAsia="黑体" w:cs="黑体"/>
          <w:spacing w:val="98"/>
          <w:sz w:val="27"/>
          <w:szCs w:val="27"/>
        </w:rPr>
        <w:t xml:space="preserve"> </w:t>
      </w:r>
      <w:r>
        <w:rPr>
          <w:rFonts w:ascii="黑体" w:hAnsi="黑体" w:eastAsia="黑体" w:cs="黑体"/>
          <w:spacing w:val="8"/>
          <w:sz w:val="27"/>
          <w:szCs w:val="27"/>
        </w:rPr>
        <w:t>(重大技术问题名称)解决结论</w:t>
      </w:r>
    </w:p>
    <w:p w14:paraId="5742B729">
      <w:pPr>
        <w:spacing w:before="87" w:line="219" w:lineRule="auto"/>
        <w:jc w:val="right"/>
        <w:rPr>
          <w:rFonts w:ascii="宋体" w:hAnsi="宋体" w:eastAsia="宋体" w:cs="宋体"/>
          <w:sz w:val="27"/>
          <w:szCs w:val="27"/>
        </w:rPr>
      </w:pPr>
      <w:r>
        <w:rPr>
          <w:rFonts w:ascii="宋体" w:hAnsi="宋体" w:eastAsia="宋体" w:cs="宋体"/>
          <w:spacing w:val="5"/>
          <w:sz w:val="27"/>
          <w:szCs w:val="27"/>
        </w:rPr>
        <w:t>对(重大技术问题名称)是否得到解决给出明确的结论，并写明取得的技术</w:t>
      </w:r>
    </w:p>
    <w:p w14:paraId="5F93D9B5">
      <w:pPr>
        <w:spacing w:line="219" w:lineRule="auto"/>
        <w:rPr>
          <w:rFonts w:ascii="宋体" w:hAnsi="宋体" w:eastAsia="宋体" w:cs="宋体"/>
          <w:sz w:val="27"/>
          <w:szCs w:val="27"/>
        </w:rPr>
        <w:sectPr>
          <w:footerReference r:id="rId137" w:type="default"/>
          <w:pgSz w:w="11910" w:h="17130"/>
          <w:pgMar w:top="400" w:right="927" w:bottom="1477" w:left="1609" w:header="0" w:footer="1261" w:gutter="0"/>
          <w:cols w:space="720" w:num="1"/>
        </w:sectPr>
      </w:pPr>
    </w:p>
    <w:p w14:paraId="2788A53A">
      <w:pPr>
        <w:pStyle w:val="2"/>
        <w:spacing w:line="289" w:lineRule="auto"/>
      </w:pPr>
    </w:p>
    <w:p w14:paraId="55CBFADF">
      <w:pPr>
        <w:pStyle w:val="2"/>
        <w:spacing w:line="289" w:lineRule="auto"/>
      </w:pPr>
    </w:p>
    <w:p w14:paraId="439FBF18">
      <w:pPr>
        <w:pStyle w:val="2"/>
        <w:spacing w:line="289" w:lineRule="auto"/>
      </w:pPr>
    </w:p>
    <w:p w14:paraId="15F8730E">
      <w:pPr>
        <w:pStyle w:val="2"/>
        <w:spacing w:line="289" w:lineRule="auto"/>
      </w:pPr>
    </w:p>
    <w:p w14:paraId="71B81EBA">
      <w:pPr>
        <w:spacing w:before="88" w:line="219" w:lineRule="auto"/>
        <w:rPr>
          <w:rFonts w:ascii="宋体" w:hAnsi="宋体" w:eastAsia="宋体" w:cs="宋体"/>
          <w:sz w:val="27"/>
          <w:szCs w:val="27"/>
        </w:rPr>
      </w:pPr>
      <w:r>
        <w:rPr>
          <w:rFonts w:ascii="宋体" w:hAnsi="宋体" w:eastAsia="宋体" w:cs="宋体"/>
          <w:spacing w:val="-10"/>
          <w:sz w:val="27"/>
          <w:szCs w:val="27"/>
        </w:rPr>
        <w:t>成果、效益及经验教训。</w:t>
      </w:r>
    </w:p>
    <w:p w14:paraId="47C30457">
      <w:pPr>
        <w:spacing w:before="103" w:line="221"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9"/>
          <w:sz w:val="27"/>
          <w:szCs w:val="27"/>
        </w:rPr>
        <w:t xml:space="preserve">  </w:t>
      </w:r>
      <w:r>
        <w:rPr>
          <w:rFonts w:ascii="黑体" w:hAnsi="黑体" w:eastAsia="黑体" w:cs="黑体"/>
          <w:b/>
          <w:bCs/>
          <w:spacing w:val="-1"/>
          <w:sz w:val="27"/>
          <w:szCs w:val="27"/>
        </w:rPr>
        <w:t>遗留问题的处理方法</w:t>
      </w:r>
    </w:p>
    <w:p w14:paraId="6EEF8C6A">
      <w:pPr>
        <w:spacing w:before="111" w:line="219" w:lineRule="auto"/>
        <w:ind w:left="560"/>
        <w:rPr>
          <w:rFonts w:ascii="宋体" w:hAnsi="宋体" w:eastAsia="宋体" w:cs="宋体"/>
          <w:sz w:val="24"/>
          <w:szCs w:val="24"/>
        </w:rPr>
      </w:pPr>
      <w:r>
        <w:rPr>
          <w:rFonts w:ascii="宋体" w:hAnsi="宋体" w:eastAsia="宋体" w:cs="宋体"/>
          <w:spacing w:val="34"/>
          <w:sz w:val="24"/>
          <w:szCs w:val="24"/>
        </w:rPr>
        <w:t>对尚未彻底解决的遗留问题或需要归零的工作提出处理方法和建</w:t>
      </w:r>
      <w:r>
        <w:rPr>
          <w:rFonts w:ascii="宋体" w:hAnsi="宋体" w:eastAsia="宋体" w:cs="宋体"/>
          <w:spacing w:val="33"/>
          <w:sz w:val="24"/>
          <w:szCs w:val="24"/>
        </w:rPr>
        <w:t>议。</w:t>
      </w:r>
    </w:p>
    <w:p w14:paraId="07AE4253">
      <w:pPr>
        <w:pStyle w:val="2"/>
        <w:spacing w:line="342" w:lineRule="auto"/>
      </w:pPr>
    </w:p>
    <w:p w14:paraId="5AB81B53">
      <w:pPr>
        <w:spacing w:before="117" w:line="218" w:lineRule="auto"/>
        <w:ind w:left="3060"/>
        <w:outlineLvl w:val="1"/>
        <w:rPr>
          <w:rFonts w:ascii="宋体" w:hAnsi="宋体" w:eastAsia="宋体" w:cs="宋体"/>
          <w:sz w:val="36"/>
          <w:szCs w:val="36"/>
        </w:rPr>
      </w:pPr>
      <w:bookmarkStart w:id="81" w:name="bookmark42"/>
      <w:bookmarkEnd w:id="81"/>
      <w:bookmarkStart w:id="82" w:name="bookmark347"/>
      <w:bookmarkEnd w:id="82"/>
      <w:r>
        <w:rPr>
          <w:rFonts w:ascii="宋体" w:hAnsi="宋体" w:eastAsia="宋体" w:cs="宋体"/>
          <w:spacing w:val="-1"/>
          <w:sz w:val="36"/>
          <w:szCs w:val="36"/>
        </w:rPr>
        <w:t>1.40</w:t>
      </w:r>
      <w:r>
        <w:rPr>
          <w:rFonts w:ascii="宋体" w:hAnsi="宋体" w:eastAsia="宋体" w:cs="宋体"/>
          <w:spacing w:val="33"/>
          <w:sz w:val="36"/>
          <w:szCs w:val="36"/>
        </w:rPr>
        <w:t xml:space="preserve">  </w:t>
      </w:r>
      <w:r>
        <w:rPr>
          <w:rFonts w:ascii="宋体" w:hAnsi="宋体" w:eastAsia="宋体" w:cs="宋体"/>
          <w:b/>
          <w:bCs/>
          <w:spacing w:val="-1"/>
          <w:sz w:val="36"/>
          <w:szCs w:val="36"/>
        </w:rPr>
        <w:t>质量问题报告</w:t>
      </w:r>
    </w:p>
    <w:p w14:paraId="10D0B648">
      <w:pPr>
        <w:pStyle w:val="2"/>
        <w:spacing w:line="340" w:lineRule="auto"/>
      </w:pPr>
    </w:p>
    <w:p w14:paraId="2793EA62">
      <w:pPr>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34"/>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720E0E0D">
      <w:pPr>
        <w:spacing w:before="171" w:line="221" w:lineRule="auto"/>
        <w:rPr>
          <w:rFonts w:ascii="黑体" w:hAnsi="黑体" w:eastAsia="黑体" w:cs="黑体"/>
          <w:sz w:val="24"/>
          <w:szCs w:val="24"/>
        </w:rPr>
      </w:pPr>
      <w:r>
        <w:rPr>
          <w:rFonts w:ascii="黑体" w:hAnsi="黑体" w:eastAsia="黑体" w:cs="黑体"/>
          <w:spacing w:val="26"/>
          <w:sz w:val="24"/>
          <w:szCs w:val="24"/>
        </w:rPr>
        <w:t>1</w:t>
      </w:r>
      <w:r>
        <w:rPr>
          <w:rFonts w:ascii="黑体" w:hAnsi="黑体" w:eastAsia="黑体" w:cs="黑体"/>
          <w:spacing w:val="43"/>
          <w:sz w:val="24"/>
          <w:szCs w:val="24"/>
        </w:rPr>
        <w:t xml:space="preserve">  </w:t>
      </w:r>
      <w:r>
        <w:rPr>
          <w:rFonts w:ascii="黑体" w:hAnsi="黑体" w:eastAsia="黑体" w:cs="黑体"/>
          <w:b/>
          <w:bCs/>
          <w:spacing w:val="26"/>
          <w:sz w:val="24"/>
          <w:szCs w:val="24"/>
        </w:rPr>
        <w:t>质量问题概况</w:t>
      </w:r>
    </w:p>
    <w:p w14:paraId="79463C1D">
      <w:pPr>
        <w:spacing w:before="100" w:line="289" w:lineRule="auto"/>
        <w:ind w:right="256" w:firstLine="560"/>
        <w:rPr>
          <w:rFonts w:ascii="宋体" w:hAnsi="宋体" w:eastAsia="宋体" w:cs="宋体"/>
          <w:sz w:val="27"/>
          <w:szCs w:val="27"/>
        </w:rPr>
      </w:pPr>
      <w:r>
        <w:rPr>
          <w:rFonts w:ascii="宋体" w:hAnsi="宋体" w:eastAsia="宋体" w:cs="宋体"/>
          <w:spacing w:val="-14"/>
          <w:sz w:val="27"/>
          <w:szCs w:val="27"/>
        </w:rPr>
        <w:t>应包括质量问题描述(质量问题发生的时间、地点、经过、现象</w:t>
      </w:r>
      <w:r>
        <w:rPr>
          <w:rFonts w:ascii="宋体" w:hAnsi="宋体" w:eastAsia="宋体" w:cs="宋体"/>
          <w:spacing w:val="-15"/>
          <w:sz w:val="27"/>
          <w:szCs w:val="27"/>
        </w:rPr>
        <w:t>、性质、严重程</w:t>
      </w:r>
      <w:r>
        <w:rPr>
          <w:rFonts w:ascii="宋体" w:hAnsi="宋体" w:eastAsia="宋体" w:cs="宋体"/>
          <w:sz w:val="27"/>
          <w:szCs w:val="27"/>
        </w:rPr>
        <w:t xml:space="preserve"> </w:t>
      </w:r>
      <w:r>
        <w:rPr>
          <w:rFonts w:ascii="宋体" w:hAnsi="宋体" w:eastAsia="宋体" w:cs="宋体"/>
          <w:spacing w:val="-4"/>
          <w:sz w:val="27"/>
          <w:szCs w:val="27"/>
        </w:rPr>
        <w:t>度)、质量问题对产品及系统性能(质量)的影响、质量问题的</w:t>
      </w:r>
      <w:r>
        <w:rPr>
          <w:rFonts w:ascii="宋体" w:hAnsi="宋体" w:eastAsia="宋体" w:cs="宋体"/>
          <w:spacing w:val="-5"/>
          <w:sz w:val="27"/>
          <w:szCs w:val="27"/>
        </w:rPr>
        <w:t>技术难度。</w:t>
      </w:r>
    </w:p>
    <w:p w14:paraId="5E8C9A7B">
      <w:pPr>
        <w:pStyle w:val="2"/>
        <w:spacing w:line="222" w:lineRule="auto"/>
        <w:rPr>
          <w:rFonts w:ascii="黑体" w:hAnsi="黑体" w:eastAsia="黑体" w:cs="黑体"/>
          <w:sz w:val="27"/>
          <w:szCs w:val="27"/>
        </w:rPr>
      </w:pPr>
      <w:r>
        <w:rPr>
          <w:b/>
          <w:bCs/>
          <w:sz w:val="27"/>
          <w:szCs w:val="27"/>
        </w:rPr>
        <w:t>2</w:t>
      </w:r>
      <w:r>
        <w:rPr>
          <w:b/>
          <w:bCs/>
          <w:spacing w:val="19"/>
          <w:sz w:val="27"/>
          <w:szCs w:val="27"/>
        </w:rPr>
        <w:t xml:space="preserve">   </w:t>
      </w:r>
      <w:r>
        <w:rPr>
          <w:rFonts w:ascii="黑体" w:hAnsi="黑体" w:eastAsia="黑体" w:cs="黑体"/>
          <w:b/>
          <w:bCs/>
          <w:sz w:val="27"/>
          <w:szCs w:val="27"/>
        </w:rPr>
        <w:t>原因分析</w:t>
      </w:r>
    </w:p>
    <w:p w14:paraId="1E3C50A7">
      <w:pPr>
        <w:spacing w:before="69" w:line="286" w:lineRule="auto"/>
        <w:ind w:right="243" w:firstLine="560"/>
        <w:jc w:val="both"/>
        <w:rPr>
          <w:rFonts w:ascii="宋体" w:hAnsi="宋体" w:eastAsia="宋体" w:cs="宋体"/>
          <w:sz w:val="27"/>
          <w:szCs w:val="27"/>
        </w:rPr>
      </w:pPr>
      <w:r>
        <w:rPr>
          <w:rFonts w:ascii="宋体" w:hAnsi="宋体" w:eastAsia="宋体" w:cs="宋体"/>
          <w:spacing w:val="-2"/>
          <w:sz w:val="27"/>
          <w:szCs w:val="27"/>
        </w:rPr>
        <w:t>说明对质量问题的详细分析情况，按照逻辑或</w:t>
      </w:r>
      <w:r>
        <w:rPr>
          <w:rFonts w:ascii="宋体" w:hAnsi="宋体" w:eastAsia="宋体" w:cs="宋体"/>
          <w:spacing w:val="-3"/>
          <w:sz w:val="27"/>
          <w:szCs w:val="27"/>
        </w:rPr>
        <w:t>者时间顺序说明分析过程，必</w:t>
      </w:r>
      <w:r>
        <w:rPr>
          <w:rFonts w:ascii="宋体" w:hAnsi="宋体" w:eastAsia="宋体" w:cs="宋体"/>
          <w:sz w:val="27"/>
          <w:szCs w:val="27"/>
        </w:rPr>
        <w:t xml:space="preserve"> </w:t>
      </w:r>
      <w:r>
        <w:rPr>
          <w:rFonts w:ascii="宋体" w:hAnsi="宋体" w:eastAsia="宋体" w:cs="宋体"/>
          <w:spacing w:val="-3"/>
          <w:sz w:val="27"/>
          <w:szCs w:val="27"/>
        </w:rPr>
        <w:t>要时可进行试验与验证，确定质量问题是属于产品设计或制造本身的问题，或是</w:t>
      </w:r>
      <w:r>
        <w:rPr>
          <w:rFonts w:ascii="宋体" w:hAnsi="宋体" w:eastAsia="宋体" w:cs="宋体"/>
          <w:spacing w:val="17"/>
          <w:sz w:val="27"/>
          <w:szCs w:val="27"/>
        </w:rPr>
        <w:t xml:space="preserve"> </w:t>
      </w:r>
      <w:r>
        <w:rPr>
          <w:rFonts w:ascii="宋体" w:hAnsi="宋体" w:eastAsia="宋体" w:cs="宋体"/>
          <w:spacing w:val="-9"/>
          <w:sz w:val="27"/>
          <w:szCs w:val="27"/>
        </w:rPr>
        <w:t>生产、试验条件问题，或是其他因素(如原材料、对外协作)造成的</w:t>
      </w:r>
      <w:r>
        <w:rPr>
          <w:rFonts w:ascii="宋体" w:hAnsi="宋体" w:eastAsia="宋体" w:cs="宋体"/>
          <w:spacing w:val="-10"/>
          <w:sz w:val="27"/>
          <w:szCs w:val="27"/>
        </w:rPr>
        <w:t>问题，最后给出</w:t>
      </w:r>
      <w:r>
        <w:rPr>
          <w:rFonts w:ascii="宋体" w:hAnsi="宋体" w:eastAsia="宋体" w:cs="宋体"/>
          <w:sz w:val="27"/>
          <w:szCs w:val="27"/>
        </w:rPr>
        <w:t xml:space="preserve"> </w:t>
      </w:r>
      <w:r>
        <w:rPr>
          <w:rFonts w:ascii="宋体" w:hAnsi="宋体" w:eastAsia="宋体" w:cs="宋体"/>
          <w:spacing w:val="-1"/>
          <w:sz w:val="27"/>
          <w:szCs w:val="27"/>
        </w:rPr>
        <w:t>明确的分析结果。</w:t>
      </w:r>
    </w:p>
    <w:p w14:paraId="52E6EE13">
      <w:pPr>
        <w:pStyle w:val="2"/>
        <w:spacing w:before="21" w:line="221" w:lineRule="auto"/>
        <w:rPr>
          <w:rFonts w:ascii="黑体" w:hAnsi="黑体" w:eastAsia="黑体" w:cs="黑体"/>
          <w:sz w:val="27"/>
          <w:szCs w:val="27"/>
        </w:rPr>
      </w:pPr>
      <w:r>
        <w:rPr>
          <w:b/>
          <w:bCs/>
          <w:spacing w:val="-2"/>
          <w:sz w:val="27"/>
          <w:szCs w:val="27"/>
        </w:rPr>
        <w:t>3</w:t>
      </w:r>
      <w:r>
        <w:rPr>
          <w:b/>
          <w:bCs/>
          <w:spacing w:val="20"/>
          <w:sz w:val="27"/>
          <w:szCs w:val="27"/>
        </w:rPr>
        <w:t xml:space="preserve">   </w:t>
      </w:r>
      <w:r>
        <w:rPr>
          <w:rFonts w:ascii="黑体" w:hAnsi="黑体" w:eastAsia="黑体" w:cs="黑体"/>
          <w:b/>
          <w:bCs/>
          <w:spacing w:val="-2"/>
          <w:sz w:val="27"/>
          <w:szCs w:val="27"/>
        </w:rPr>
        <w:t>采取的措施</w:t>
      </w:r>
    </w:p>
    <w:p w14:paraId="63306297">
      <w:pPr>
        <w:spacing w:before="92" w:line="291" w:lineRule="auto"/>
        <w:ind w:right="254" w:firstLine="560"/>
        <w:rPr>
          <w:rFonts w:ascii="宋体" w:hAnsi="宋体" w:eastAsia="宋体" w:cs="宋体"/>
          <w:sz w:val="27"/>
          <w:szCs w:val="27"/>
        </w:rPr>
      </w:pPr>
      <w:r>
        <w:rPr>
          <w:rFonts w:ascii="宋体" w:hAnsi="宋体" w:eastAsia="宋体" w:cs="宋体"/>
          <w:spacing w:val="6"/>
          <w:sz w:val="27"/>
          <w:szCs w:val="27"/>
        </w:rPr>
        <w:t>说明为解决该质量问题，研制单位已采取的各</w:t>
      </w:r>
      <w:r>
        <w:rPr>
          <w:rFonts w:ascii="宋体" w:hAnsi="宋体" w:eastAsia="宋体" w:cs="宋体"/>
          <w:spacing w:val="5"/>
          <w:sz w:val="27"/>
          <w:szCs w:val="27"/>
        </w:rPr>
        <w:t>种有针对性的解决措施及其</w:t>
      </w:r>
      <w:r>
        <w:rPr>
          <w:rFonts w:ascii="宋体" w:hAnsi="宋体" w:eastAsia="宋体" w:cs="宋体"/>
          <w:sz w:val="27"/>
          <w:szCs w:val="27"/>
        </w:rPr>
        <w:t xml:space="preserve"> </w:t>
      </w:r>
      <w:r>
        <w:rPr>
          <w:rFonts w:ascii="宋体" w:hAnsi="宋体" w:eastAsia="宋体" w:cs="宋体"/>
          <w:spacing w:val="-6"/>
          <w:sz w:val="27"/>
          <w:szCs w:val="27"/>
        </w:rPr>
        <w:t>效果。</w:t>
      </w:r>
    </w:p>
    <w:p w14:paraId="0F2B4733">
      <w:pPr>
        <w:spacing w:before="4"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1"/>
          <w:sz w:val="27"/>
          <w:szCs w:val="27"/>
        </w:rPr>
        <w:t xml:space="preserve">  </w:t>
      </w:r>
      <w:r>
        <w:rPr>
          <w:rFonts w:ascii="黑体" w:hAnsi="黑体" w:eastAsia="黑体" w:cs="黑体"/>
          <w:b/>
          <w:bCs/>
          <w:spacing w:val="-1"/>
          <w:sz w:val="27"/>
          <w:szCs w:val="27"/>
        </w:rPr>
        <w:t>结论性意见</w:t>
      </w:r>
    </w:p>
    <w:p w14:paraId="023AA680">
      <w:pPr>
        <w:spacing w:before="95" w:line="286" w:lineRule="auto"/>
        <w:ind w:right="261" w:firstLine="560"/>
        <w:jc w:val="both"/>
        <w:rPr>
          <w:rFonts w:ascii="宋体" w:hAnsi="宋体" w:eastAsia="宋体" w:cs="宋体"/>
          <w:sz w:val="27"/>
          <w:szCs w:val="27"/>
        </w:rPr>
      </w:pPr>
      <w:r>
        <w:rPr>
          <w:rFonts w:ascii="宋体" w:hAnsi="宋体" w:eastAsia="宋体" w:cs="宋体"/>
          <w:spacing w:val="23"/>
          <w:sz w:val="27"/>
          <w:szCs w:val="27"/>
        </w:rPr>
        <w:t>在承研承制单位对质量问题采取改进措施，经试验验证和军事代表机</w:t>
      </w:r>
      <w:r>
        <w:rPr>
          <w:rFonts w:ascii="宋体" w:hAnsi="宋体" w:eastAsia="宋体" w:cs="宋体"/>
          <w:spacing w:val="9"/>
          <w:sz w:val="27"/>
          <w:szCs w:val="27"/>
        </w:rPr>
        <w:t xml:space="preserve"> </w:t>
      </w:r>
      <w:r>
        <w:rPr>
          <w:rFonts w:ascii="宋体" w:hAnsi="宋体" w:eastAsia="宋体" w:cs="宋体"/>
          <w:spacing w:val="23"/>
          <w:sz w:val="27"/>
          <w:szCs w:val="27"/>
        </w:rPr>
        <w:t>构或军队其他有关单位确认问题已经完全解</w:t>
      </w:r>
      <w:r>
        <w:rPr>
          <w:rFonts w:ascii="宋体" w:hAnsi="宋体" w:eastAsia="宋体" w:cs="宋体"/>
          <w:spacing w:val="22"/>
          <w:sz w:val="27"/>
          <w:szCs w:val="27"/>
        </w:rPr>
        <w:t>决，或已部分解决且难以进行</w:t>
      </w:r>
      <w:r>
        <w:rPr>
          <w:rFonts w:ascii="宋体" w:hAnsi="宋体" w:eastAsia="宋体" w:cs="宋体"/>
          <w:sz w:val="27"/>
          <w:szCs w:val="27"/>
        </w:rPr>
        <w:t xml:space="preserve"> </w:t>
      </w:r>
      <w:r>
        <w:rPr>
          <w:rFonts w:ascii="宋体" w:hAnsi="宋体" w:eastAsia="宋体" w:cs="宋体"/>
          <w:spacing w:val="22"/>
          <w:sz w:val="27"/>
          <w:szCs w:val="27"/>
        </w:rPr>
        <w:t>进一步改进，军厂双方经过研究分析和充分协商后所提出的对该质量问题</w:t>
      </w:r>
      <w:r>
        <w:rPr>
          <w:rFonts w:ascii="宋体" w:hAnsi="宋体" w:eastAsia="宋体" w:cs="宋体"/>
          <w:spacing w:val="18"/>
          <w:sz w:val="27"/>
          <w:szCs w:val="27"/>
        </w:rPr>
        <w:t xml:space="preserve"> </w:t>
      </w:r>
      <w:r>
        <w:rPr>
          <w:rFonts w:ascii="宋体" w:hAnsi="宋体" w:eastAsia="宋体" w:cs="宋体"/>
          <w:spacing w:val="23"/>
          <w:sz w:val="27"/>
          <w:szCs w:val="27"/>
        </w:rPr>
        <w:t>的处理意见。如军厂双方的意见有不一致的部分，可分别阐述各自</w:t>
      </w:r>
      <w:r>
        <w:rPr>
          <w:rFonts w:ascii="宋体" w:hAnsi="宋体" w:eastAsia="宋体" w:cs="宋体"/>
          <w:spacing w:val="22"/>
          <w:sz w:val="27"/>
          <w:szCs w:val="27"/>
        </w:rPr>
        <w:t>的观点</w:t>
      </w:r>
      <w:r>
        <w:rPr>
          <w:rFonts w:ascii="宋体" w:hAnsi="宋体" w:eastAsia="宋体" w:cs="宋体"/>
          <w:sz w:val="27"/>
          <w:szCs w:val="27"/>
        </w:rPr>
        <w:t xml:space="preserve"> </w:t>
      </w:r>
      <w:r>
        <w:rPr>
          <w:rFonts w:ascii="宋体" w:hAnsi="宋体" w:eastAsia="宋体" w:cs="宋体"/>
          <w:spacing w:val="6"/>
          <w:sz w:val="27"/>
          <w:szCs w:val="27"/>
        </w:rPr>
        <w:t>和意见。</w:t>
      </w:r>
    </w:p>
    <w:p w14:paraId="41DF0228">
      <w:pPr>
        <w:spacing w:before="30" w:line="279" w:lineRule="auto"/>
        <w:ind w:firstLine="560"/>
        <w:rPr>
          <w:rFonts w:ascii="宋体" w:hAnsi="宋体" w:eastAsia="宋体" w:cs="宋体"/>
          <w:sz w:val="27"/>
          <w:szCs w:val="27"/>
        </w:rPr>
      </w:pPr>
      <w:r>
        <w:rPr>
          <w:rFonts w:ascii="宋体" w:hAnsi="宋体" w:eastAsia="宋体" w:cs="宋体"/>
          <w:spacing w:val="5"/>
          <w:sz w:val="27"/>
          <w:szCs w:val="27"/>
        </w:rPr>
        <w:t>为保证质量问题处理的彻底性与正确性，要求质量问题处理要达到“归零”</w:t>
      </w:r>
      <w:r>
        <w:rPr>
          <w:rFonts w:ascii="宋体" w:hAnsi="宋体" w:eastAsia="宋体" w:cs="宋体"/>
          <w:sz w:val="27"/>
          <w:szCs w:val="27"/>
        </w:rPr>
        <w:t xml:space="preserve"> </w:t>
      </w:r>
      <w:r>
        <w:rPr>
          <w:rFonts w:ascii="宋体" w:hAnsi="宋体" w:eastAsia="宋体" w:cs="宋体"/>
          <w:spacing w:val="-10"/>
          <w:sz w:val="27"/>
          <w:szCs w:val="27"/>
        </w:rPr>
        <w:t>的要求，也就是对在设计、生产、试验、使用中出现的质量问题，从技术上和</w:t>
      </w:r>
      <w:r>
        <w:rPr>
          <w:rFonts w:ascii="宋体" w:hAnsi="宋体" w:eastAsia="宋体" w:cs="宋体"/>
          <w:spacing w:val="-11"/>
          <w:sz w:val="27"/>
          <w:szCs w:val="27"/>
        </w:rPr>
        <w:t>管理</w:t>
      </w:r>
      <w:r>
        <w:rPr>
          <w:rFonts w:ascii="宋体" w:hAnsi="宋体" w:eastAsia="宋体" w:cs="宋体"/>
          <w:sz w:val="27"/>
          <w:szCs w:val="27"/>
        </w:rPr>
        <w:t xml:space="preserve">   </w:t>
      </w:r>
      <w:r>
        <w:rPr>
          <w:rFonts w:ascii="宋体" w:hAnsi="宋体" w:eastAsia="宋体" w:cs="宋体"/>
          <w:spacing w:val="-10"/>
          <w:sz w:val="27"/>
          <w:szCs w:val="27"/>
        </w:rPr>
        <w:t>上分析产生的原因、机理，并采取纠正措施、预防措施，以避免问题重复发生。在</w:t>
      </w:r>
      <w:r>
        <w:rPr>
          <w:rFonts w:ascii="宋体" w:hAnsi="宋体" w:eastAsia="宋体" w:cs="宋体"/>
          <w:spacing w:val="1"/>
          <w:sz w:val="27"/>
          <w:szCs w:val="27"/>
        </w:rPr>
        <w:t xml:space="preserve">   </w:t>
      </w:r>
      <w:r>
        <w:rPr>
          <w:rFonts w:ascii="宋体" w:hAnsi="宋体" w:eastAsia="宋体" w:cs="宋体"/>
          <w:spacing w:val="-17"/>
          <w:sz w:val="27"/>
          <w:szCs w:val="27"/>
        </w:rPr>
        <w:t>技术上，要按照“定位准确、机理清楚、问题复现、措施有效、举一反三”的五条要</w:t>
      </w:r>
      <w:r>
        <w:rPr>
          <w:rFonts w:ascii="宋体" w:hAnsi="宋体" w:eastAsia="宋体" w:cs="宋体"/>
          <w:sz w:val="27"/>
          <w:szCs w:val="27"/>
        </w:rPr>
        <w:t xml:space="preserve">   </w:t>
      </w:r>
      <w:r>
        <w:rPr>
          <w:rFonts w:ascii="宋体" w:hAnsi="宋体" w:eastAsia="宋体" w:cs="宋体"/>
          <w:spacing w:val="-17"/>
          <w:sz w:val="27"/>
          <w:szCs w:val="27"/>
        </w:rPr>
        <w:t>求逐项落实；在管理上，要按照“过程清楚、责任明确、措施落实、严肃处理、完善</w:t>
      </w:r>
      <w:r>
        <w:rPr>
          <w:rFonts w:ascii="宋体" w:hAnsi="宋体" w:eastAsia="宋体" w:cs="宋体"/>
          <w:sz w:val="27"/>
          <w:szCs w:val="27"/>
        </w:rPr>
        <w:t xml:space="preserve">   </w:t>
      </w:r>
      <w:r>
        <w:rPr>
          <w:rFonts w:ascii="宋体" w:hAnsi="宋体" w:eastAsia="宋体" w:cs="宋体"/>
          <w:spacing w:val="-8"/>
          <w:sz w:val="27"/>
          <w:szCs w:val="27"/>
        </w:rPr>
        <w:t>规章”的五条要求逐项落实。</w:t>
      </w:r>
    </w:p>
    <w:p w14:paraId="5B775D6B">
      <w:pPr>
        <w:spacing w:before="38" w:line="224" w:lineRule="auto"/>
        <w:ind w:left="3"/>
        <w:rPr>
          <w:rFonts w:ascii="黑体" w:hAnsi="黑体" w:eastAsia="黑体" w:cs="黑体"/>
          <w:sz w:val="27"/>
          <w:szCs w:val="27"/>
        </w:rPr>
      </w:pPr>
      <w:r>
        <w:rPr>
          <w:rFonts w:ascii="黑体" w:hAnsi="黑体" w:eastAsia="黑体" w:cs="黑体"/>
          <w:b/>
          <w:bCs/>
          <w:spacing w:val="-10"/>
          <w:sz w:val="27"/>
          <w:szCs w:val="27"/>
        </w:rPr>
        <w:t>附件</w:t>
      </w:r>
    </w:p>
    <w:p w14:paraId="522BA678">
      <w:pPr>
        <w:spacing w:before="90" w:line="295" w:lineRule="auto"/>
        <w:ind w:right="264" w:firstLine="560"/>
        <w:rPr>
          <w:rFonts w:ascii="宋体" w:hAnsi="宋体" w:eastAsia="宋体" w:cs="宋体"/>
          <w:sz w:val="27"/>
          <w:szCs w:val="27"/>
        </w:rPr>
      </w:pPr>
      <w:r>
        <w:rPr>
          <w:rFonts w:ascii="宋体" w:hAnsi="宋体" w:eastAsia="宋体" w:cs="宋体"/>
          <w:spacing w:val="5"/>
          <w:sz w:val="27"/>
          <w:szCs w:val="27"/>
        </w:rPr>
        <w:t>提供质量问题的原始记录，并提供为验证原因分析的准确性和解决措施的</w:t>
      </w:r>
      <w:r>
        <w:rPr>
          <w:rFonts w:ascii="宋体" w:hAnsi="宋体" w:eastAsia="宋体" w:cs="宋体"/>
          <w:spacing w:val="10"/>
          <w:sz w:val="27"/>
          <w:szCs w:val="27"/>
        </w:rPr>
        <w:t xml:space="preserve"> </w:t>
      </w:r>
      <w:r>
        <w:rPr>
          <w:rFonts w:ascii="宋体" w:hAnsi="宋体" w:eastAsia="宋体" w:cs="宋体"/>
          <w:spacing w:val="-1"/>
          <w:sz w:val="27"/>
          <w:szCs w:val="27"/>
        </w:rPr>
        <w:t>有效性所做的检测、试验的原始数据记录和试验结果报告等。</w:t>
      </w:r>
    </w:p>
    <w:p w14:paraId="15FEE236">
      <w:pPr>
        <w:spacing w:line="295" w:lineRule="auto"/>
        <w:rPr>
          <w:rFonts w:ascii="宋体" w:hAnsi="宋体" w:eastAsia="宋体" w:cs="宋体"/>
          <w:sz w:val="27"/>
          <w:szCs w:val="27"/>
        </w:rPr>
        <w:sectPr>
          <w:footerReference r:id="rId138" w:type="default"/>
          <w:pgSz w:w="11910" w:h="17130"/>
          <w:pgMar w:top="400" w:right="1233" w:bottom="1567" w:left="1039" w:header="0" w:footer="1350" w:gutter="0"/>
          <w:cols w:space="720" w:num="1"/>
        </w:sectPr>
      </w:pPr>
    </w:p>
    <w:p w14:paraId="4C89369B">
      <w:pPr>
        <w:pStyle w:val="2"/>
        <w:spacing w:line="272" w:lineRule="auto"/>
      </w:pPr>
    </w:p>
    <w:p w14:paraId="41D9AF60">
      <w:pPr>
        <w:pStyle w:val="2"/>
        <w:spacing w:line="272" w:lineRule="auto"/>
      </w:pPr>
    </w:p>
    <w:p w14:paraId="53348038">
      <w:pPr>
        <w:pStyle w:val="2"/>
        <w:spacing w:line="272" w:lineRule="auto"/>
      </w:pPr>
    </w:p>
    <w:p w14:paraId="616BF043">
      <w:pPr>
        <w:pStyle w:val="2"/>
        <w:spacing w:line="272" w:lineRule="auto"/>
      </w:pPr>
    </w:p>
    <w:p w14:paraId="572261A1">
      <w:pPr>
        <w:pStyle w:val="2"/>
        <w:spacing w:line="273" w:lineRule="auto"/>
      </w:pPr>
    </w:p>
    <w:p w14:paraId="2D106328">
      <w:pPr>
        <w:spacing w:before="117" w:line="218" w:lineRule="auto"/>
        <w:ind w:left="2139"/>
        <w:outlineLvl w:val="1"/>
        <w:rPr>
          <w:rFonts w:ascii="宋体" w:hAnsi="宋体" w:eastAsia="宋体" w:cs="宋体"/>
          <w:sz w:val="36"/>
          <w:szCs w:val="36"/>
        </w:rPr>
      </w:pPr>
      <w:bookmarkStart w:id="83" w:name="bookmark348"/>
      <w:bookmarkEnd w:id="83"/>
      <w:bookmarkStart w:id="84" w:name="bookmark43"/>
      <w:bookmarkEnd w:id="84"/>
      <w:r>
        <w:rPr>
          <w:rFonts w:ascii="Times New Roman" w:hAnsi="Times New Roman" w:eastAsia="Times New Roman" w:cs="Times New Roman"/>
          <w:b/>
          <w:bCs/>
          <w:spacing w:val="2"/>
          <w:sz w:val="36"/>
          <w:szCs w:val="36"/>
        </w:rPr>
        <w:t xml:space="preserve">1.41     </w:t>
      </w:r>
      <w:r>
        <w:rPr>
          <w:rFonts w:ascii="宋体" w:hAnsi="宋体" w:eastAsia="宋体" w:cs="宋体"/>
          <w:b/>
          <w:bCs/>
          <w:spacing w:val="2"/>
          <w:sz w:val="36"/>
          <w:szCs w:val="36"/>
        </w:rPr>
        <w:t>价值工程和成本分析报告</w:t>
      </w:r>
    </w:p>
    <w:p w14:paraId="0BFF6590">
      <w:pPr>
        <w:pStyle w:val="2"/>
        <w:spacing w:line="392" w:lineRule="auto"/>
      </w:pPr>
    </w:p>
    <w:p w14:paraId="7BDCA199">
      <w:pPr>
        <w:spacing w:before="82" w:line="221" w:lineRule="auto"/>
        <w:rPr>
          <w:rFonts w:ascii="黑体" w:hAnsi="黑体" w:eastAsia="黑体" w:cs="黑体"/>
          <w:sz w:val="25"/>
          <w:szCs w:val="25"/>
        </w:rPr>
      </w:pPr>
      <w:r>
        <w:rPr>
          <w:rFonts w:ascii="黑体" w:hAnsi="黑体" w:eastAsia="黑体" w:cs="黑体"/>
          <w:spacing w:val="8"/>
          <w:sz w:val="25"/>
          <w:szCs w:val="25"/>
        </w:rPr>
        <w:t>1</w:t>
      </w:r>
      <w:r>
        <w:rPr>
          <w:rFonts w:ascii="黑体" w:hAnsi="黑体" w:eastAsia="黑体" w:cs="黑体"/>
          <w:spacing w:val="29"/>
          <w:sz w:val="25"/>
          <w:szCs w:val="25"/>
        </w:rPr>
        <w:t xml:space="preserve">  </w:t>
      </w:r>
      <w:r>
        <w:rPr>
          <w:rFonts w:ascii="黑体" w:hAnsi="黑体" w:eastAsia="黑体" w:cs="黑体"/>
          <w:spacing w:val="8"/>
          <w:sz w:val="25"/>
          <w:szCs w:val="25"/>
        </w:rPr>
        <w:t>概述</w:t>
      </w:r>
    </w:p>
    <w:p w14:paraId="29FB61A1">
      <w:pPr>
        <w:spacing w:before="72" w:line="280" w:lineRule="auto"/>
        <w:ind w:left="560" w:right="270"/>
        <w:rPr>
          <w:rFonts w:ascii="宋体" w:hAnsi="宋体" w:eastAsia="宋体" w:cs="宋体"/>
          <w:sz w:val="27"/>
          <w:szCs w:val="27"/>
        </w:rPr>
      </w:pPr>
      <w:r>
        <w:rPr>
          <w:rFonts w:ascii="宋体" w:hAnsi="宋体" w:eastAsia="宋体" w:cs="宋体"/>
          <w:spacing w:val="-8"/>
          <w:sz w:val="27"/>
          <w:szCs w:val="27"/>
        </w:rPr>
        <w:t>介绍产品的基本情况，如产品型号名称，研制任务的由来，研制节点情况。</w:t>
      </w:r>
      <w:r>
        <w:rPr>
          <w:rFonts w:ascii="宋体" w:hAnsi="宋体" w:eastAsia="宋体" w:cs="宋体"/>
          <w:spacing w:val="8"/>
          <w:sz w:val="27"/>
          <w:szCs w:val="27"/>
        </w:rPr>
        <w:t xml:space="preserve"> </w:t>
      </w:r>
      <w:r>
        <w:rPr>
          <w:rFonts w:ascii="宋体" w:hAnsi="宋体" w:eastAsia="宋体" w:cs="宋体"/>
          <w:spacing w:val="1"/>
          <w:sz w:val="27"/>
          <w:szCs w:val="27"/>
        </w:rPr>
        <w:t>介绍价值工程和成本分析的目的和任务。</w:t>
      </w:r>
    </w:p>
    <w:p w14:paraId="2F326D3F">
      <w:pPr>
        <w:spacing w:before="2" w:line="275" w:lineRule="auto"/>
        <w:ind w:right="125" w:firstLine="560"/>
        <w:rPr>
          <w:rFonts w:ascii="宋体" w:hAnsi="宋体" w:eastAsia="宋体" w:cs="宋体"/>
          <w:sz w:val="27"/>
          <w:szCs w:val="27"/>
        </w:rPr>
      </w:pPr>
      <w:r>
        <w:rPr>
          <w:rFonts w:ascii="宋体" w:hAnsi="宋体" w:eastAsia="宋体" w:cs="宋体"/>
          <w:spacing w:val="-11"/>
          <w:sz w:val="27"/>
          <w:szCs w:val="27"/>
        </w:rPr>
        <w:t>价值工程是指通过选择产品、进行功能分析、收集信息、开发</w:t>
      </w:r>
      <w:r>
        <w:rPr>
          <w:rFonts w:ascii="宋体" w:hAnsi="宋体" w:eastAsia="宋体" w:cs="宋体"/>
          <w:spacing w:val="-12"/>
          <w:sz w:val="27"/>
          <w:szCs w:val="27"/>
        </w:rPr>
        <w:t>备选方案、备选</w:t>
      </w:r>
      <w:r>
        <w:rPr>
          <w:rFonts w:ascii="宋体" w:hAnsi="宋体" w:eastAsia="宋体" w:cs="宋体"/>
          <w:sz w:val="27"/>
          <w:szCs w:val="27"/>
        </w:rPr>
        <w:t xml:space="preserve"> </w:t>
      </w:r>
      <w:r>
        <w:rPr>
          <w:rFonts w:ascii="宋体" w:hAnsi="宋体" w:eastAsia="宋体" w:cs="宋体"/>
          <w:spacing w:val="-3"/>
          <w:sz w:val="27"/>
          <w:szCs w:val="27"/>
        </w:rPr>
        <w:t>方案成本分析、试验和验证等有组织的活动，以最低的总成本实现必要的功能。</w:t>
      </w:r>
    </w:p>
    <w:p w14:paraId="0705F19E">
      <w:pPr>
        <w:spacing w:before="32" w:line="222" w:lineRule="auto"/>
        <w:rPr>
          <w:rFonts w:ascii="黑体" w:hAnsi="黑体" w:eastAsia="黑体" w:cs="黑体"/>
          <w:sz w:val="24"/>
          <w:szCs w:val="24"/>
        </w:rPr>
      </w:pPr>
      <w:r>
        <w:rPr>
          <w:rFonts w:ascii="黑体" w:hAnsi="黑体" w:eastAsia="黑体" w:cs="黑体"/>
          <w:spacing w:val="28"/>
          <w:sz w:val="24"/>
          <w:szCs w:val="24"/>
        </w:rPr>
        <w:t>2</w:t>
      </w:r>
      <w:r>
        <w:rPr>
          <w:rFonts w:ascii="黑体" w:hAnsi="黑体" w:eastAsia="黑体" w:cs="黑体"/>
          <w:spacing w:val="40"/>
          <w:sz w:val="24"/>
          <w:szCs w:val="24"/>
        </w:rPr>
        <w:t xml:space="preserve">  </w:t>
      </w:r>
      <w:r>
        <w:rPr>
          <w:rFonts w:ascii="黑体" w:hAnsi="黑体" w:eastAsia="黑体" w:cs="黑体"/>
          <w:spacing w:val="28"/>
          <w:sz w:val="24"/>
          <w:szCs w:val="24"/>
        </w:rPr>
        <w:t>研制成本</w:t>
      </w:r>
    </w:p>
    <w:p w14:paraId="2724035D">
      <w:pPr>
        <w:spacing w:before="91" w:line="221" w:lineRule="auto"/>
        <w:rPr>
          <w:rFonts w:ascii="黑体" w:hAnsi="黑体" w:eastAsia="黑体" w:cs="黑体"/>
          <w:sz w:val="27"/>
          <w:szCs w:val="27"/>
        </w:rPr>
      </w:pPr>
      <w:r>
        <w:rPr>
          <w:rFonts w:ascii="黑体" w:hAnsi="黑体" w:eastAsia="黑体" w:cs="黑体"/>
          <w:spacing w:val="3"/>
          <w:sz w:val="27"/>
          <w:szCs w:val="27"/>
        </w:rPr>
        <w:t>2.1</w:t>
      </w:r>
      <w:r>
        <w:rPr>
          <w:rFonts w:ascii="黑体" w:hAnsi="黑体" w:eastAsia="黑体" w:cs="黑体"/>
          <w:spacing w:val="24"/>
          <w:sz w:val="27"/>
          <w:szCs w:val="27"/>
        </w:rPr>
        <w:t xml:space="preserve">  </w:t>
      </w:r>
      <w:r>
        <w:rPr>
          <w:rFonts w:ascii="黑体" w:hAnsi="黑体" w:eastAsia="黑体" w:cs="黑体"/>
          <w:spacing w:val="3"/>
          <w:sz w:val="27"/>
          <w:szCs w:val="27"/>
        </w:rPr>
        <w:t>成本计算的依据和方法</w:t>
      </w:r>
    </w:p>
    <w:p w14:paraId="5665833F">
      <w:pPr>
        <w:spacing w:before="87" w:line="222" w:lineRule="auto"/>
        <w:rPr>
          <w:rFonts w:ascii="黑体" w:hAnsi="黑体" w:eastAsia="黑体" w:cs="黑体"/>
          <w:sz w:val="27"/>
          <w:szCs w:val="27"/>
        </w:rPr>
      </w:pPr>
      <w:r>
        <w:rPr>
          <w:rFonts w:ascii="黑体" w:hAnsi="黑体" w:eastAsia="黑体" w:cs="黑体"/>
          <w:sz w:val="27"/>
          <w:szCs w:val="27"/>
        </w:rPr>
        <w:t>2.1.1</w:t>
      </w:r>
      <w:r>
        <w:rPr>
          <w:rFonts w:ascii="黑体" w:hAnsi="黑体" w:eastAsia="黑体" w:cs="黑体"/>
          <w:spacing w:val="33"/>
          <w:sz w:val="27"/>
          <w:szCs w:val="27"/>
        </w:rPr>
        <w:t xml:space="preserve">  </w:t>
      </w:r>
      <w:r>
        <w:rPr>
          <w:rFonts w:ascii="黑体" w:hAnsi="黑体" w:eastAsia="黑体" w:cs="黑体"/>
          <w:sz w:val="27"/>
          <w:szCs w:val="27"/>
        </w:rPr>
        <w:t>成本计算的依据</w:t>
      </w:r>
    </w:p>
    <w:p w14:paraId="25CFC3CD">
      <w:pPr>
        <w:spacing w:before="86" w:line="219" w:lineRule="auto"/>
        <w:ind w:left="560"/>
        <w:rPr>
          <w:rFonts w:ascii="宋体" w:hAnsi="宋体" w:eastAsia="宋体" w:cs="宋体"/>
          <w:sz w:val="27"/>
          <w:szCs w:val="27"/>
        </w:rPr>
      </w:pPr>
      <w:r>
        <w:rPr>
          <w:rFonts w:ascii="宋体" w:hAnsi="宋体" w:eastAsia="宋体" w:cs="宋体"/>
          <w:spacing w:val="3"/>
          <w:sz w:val="27"/>
          <w:szCs w:val="27"/>
        </w:rPr>
        <w:t>说明成本计算是按照下述文件规定进行的：</w:t>
      </w:r>
    </w:p>
    <w:p w14:paraId="2C5A8870">
      <w:pPr>
        <w:spacing w:before="51"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a)</w:t>
      </w:r>
      <w:r>
        <w:rPr>
          <w:rFonts w:ascii="宋体" w:hAnsi="宋体" w:eastAsia="宋体" w:cs="宋体"/>
          <w:spacing w:val="-5"/>
          <w:sz w:val="27"/>
          <w:szCs w:val="27"/>
        </w:rPr>
        <w:t>《军工科研事业单位财务制度》,财政部，1996年；</w:t>
      </w:r>
    </w:p>
    <w:p w14:paraId="6E79A1F9">
      <w:pPr>
        <w:spacing w:before="100" w:line="260" w:lineRule="auto"/>
        <w:ind w:firstLine="560"/>
        <w:rPr>
          <w:rFonts w:ascii="宋体" w:hAnsi="宋体" w:eastAsia="宋体" w:cs="宋体"/>
          <w:sz w:val="27"/>
          <w:szCs w:val="27"/>
        </w:rPr>
      </w:pPr>
      <w:r>
        <w:rPr>
          <w:rFonts w:ascii="Times New Roman" w:hAnsi="Times New Roman" w:eastAsia="Times New Roman" w:cs="Times New Roman"/>
          <w:spacing w:val="14"/>
          <w:sz w:val="27"/>
          <w:szCs w:val="27"/>
        </w:rPr>
        <w:t>b)</w:t>
      </w:r>
      <w:r>
        <w:rPr>
          <w:rFonts w:ascii="宋体" w:hAnsi="宋体" w:eastAsia="宋体" w:cs="宋体"/>
          <w:spacing w:val="14"/>
          <w:sz w:val="27"/>
          <w:szCs w:val="27"/>
        </w:rPr>
        <w:t>《国防科研项目计价管理办法》,财政部、国防科学技术工业委员会，</w:t>
      </w:r>
      <w:r>
        <w:rPr>
          <w:rFonts w:ascii="宋体" w:hAnsi="宋体" w:eastAsia="宋体" w:cs="宋体"/>
          <w:spacing w:val="2"/>
          <w:sz w:val="27"/>
          <w:szCs w:val="27"/>
        </w:rPr>
        <w:t xml:space="preserve"> </w:t>
      </w:r>
      <w:r>
        <w:rPr>
          <w:rFonts w:ascii="宋体" w:hAnsi="宋体" w:eastAsia="宋体" w:cs="宋体"/>
          <w:spacing w:val="7"/>
          <w:sz w:val="27"/>
          <w:szCs w:val="27"/>
        </w:rPr>
        <w:t>1995年；</w:t>
      </w:r>
    </w:p>
    <w:p w14:paraId="0C428E3B">
      <w:pPr>
        <w:spacing w:before="68" w:line="260" w:lineRule="auto"/>
        <w:ind w:right="123" w:firstLine="560"/>
        <w:rPr>
          <w:rFonts w:ascii="宋体" w:hAnsi="宋体" w:eastAsia="宋体" w:cs="宋体"/>
          <w:sz w:val="27"/>
          <w:szCs w:val="27"/>
        </w:rPr>
      </w:pPr>
      <w:r>
        <w:rPr>
          <w:rFonts w:ascii="Times New Roman" w:hAnsi="Times New Roman" w:eastAsia="Times New Roman" w:cs="Times New Roman"/>
          <w:spacing w:val="2"/>
          <w:sz w:val="27"/>
          <w:szCs w:val="27"/>
        </w:rPr>
        <w:t>c)</w:t>
      </w:r>
      <w:r>
        <w:rPr>
          <w:rFonts w:ascii="宋体" w:hAnsi="宋体" w:eastAsia="宋体" w:cs="宋体"/>
          <w:spacing w:val="2"/>
          <w:sz w:val="27"/>
          <w:szCs w:val="27"/>
        </w:rPr>
        <w:t>《军品价格管理办法》,中国人民解放军总参谋部、国防科学技术工业委</w:t>
      </w:r>
      <w:r>
        <w:rPr>
          <w:rFonts w:ascii="宋体" w:hAnsi="宋体" w:eastAsia="宋体" w:cs="宋体"/>
          <w:spacing w:val="18"/>
          <w:sz w:val="27"/>
          <w:szCs w:val="27"/>
        </w:rPr>
        <w:t xml:space="preserve"> </w:t>
      </w:r>
      <w:r>
        <w:rPr>
          <w:rFonts w:ascii="宋体" w:hAnsi="宋体" w:eastAsia="宋体" w:cs="宋体"/>
          <w:spacing w:val="-13"/>
          <w:sz w:val="27"/>
          <w:szCs w:val="27"/>
        </w:rPr>
        <w:t>员会、国家计划委员会、财政部，1996年。</w:t>
      </w:r>
    </w:p>
    <w:p w14:paraId="7FA42669">
      <w:pPr>
        <w:spacing w:before="98" w:line="221" w:lineRule="auto"/>
        <w:rPr>
          <w:rFonts w:ascii="黑体" w:hAnsi="黑体" w:eastAsia="黑体" w:cs="黑体"/>
          <w:sz w:val="25"/>
          <w:szCs w:val="25"/>
        </w:rPr>
      </w:pPr>
      <w:r>
        <w:rPr>
          <w:rFonts w:ascii="黑体" w:hAnsi="黑体" w:eastAsia="黑体" w:cs="黑体"/>
          <w:spacing w:val="14"/>
          <w:sz w:val="25"/>
          <w:szCs w:val="25"/>
        </w:rPr>
        <w:t>2.1.2</w:t>
      </w:r>
      <w:r>
        <w:rPr>
          <w:rFonts w:ascii="黑体" w:hAnsi="黑体" w:eastAsia="黑体" w:cs="黑体"/>
          <w:spacing w:val="54"/>
          <w:sz w:val="25"/>
          <w:szCs w:val="25"/>
        </w:rPr>
        <w:t xml:space="preserve">  </w:t>
      </w:r>
      <w:r>
        <w:rPr>
          <w:rFonts w:ascii="黑体" w:hAnsi="黑体" w:eastAsia="黑体" w:cs="黑体"/>
          <w:spacing w:val="14"/>
          <w:sz w:val="25"/>
          <w:szCs w:val="25"/>
        </w:rPr>
        <w:t>成本计算的方法</w:t>
      </w:r>
    </w:p>
    <w:p w14:paraId="644AF2B1">
      <w:pPr>
        <w:spacing w:before="92" w:line="219" w:lineRule="auto"/>
        <w:ind w:left="560"/>
        <w:rPr>
          <w:rFonts w:ascii="宋体" w:hAnsi="宋体" w:eastAsia="宋体" w:cs="宋体"/>
          <w:sz w:val="27"/>
          <w:szCs w:val="27"/>
        </w:rPr>
      </w:pPr>
      <w:r>
        <w:rPr>
          <w:rFonts w:ascii="宋体" w:hAnsi="宋体" w:eastAsia="宋体" w:cs="宋体"/>
          <w:spacing w:val="-3"/>
          <w:sz w:val="27"/>
          <w:szCs w:val="27"/>
        </w:rPr>
        <w:t>说明成本计算的方法，一般采用完全成本法计算。</w:t>
      </w:r>
    </w:p>
    <w:p w14:paraId="4C202A83">
      <w:pPr>
        <w:spacing w:before="101" w:line="222" w:lineRule="auto"/>
        <w:rPr>
          <w:rFonts w:ascii="黑体" w:hAnsi="黑体" w:eastAsia="黑体" w:cs="黑体"/>
          <w:sz w:val="25"/>
          <w:szCs w:val="25"/>
        </w:rPr>
      </w:pPr>
      <w:r>
        <w:rPr>
          <w:rFonts w:ascii="黑体" w:hAnsi="黑体" w:eastAsia="黑体" w:cs="黑体"/>
          <w:spacing w:val="18"/>
          <w:sz w:val="25"/>
          <w:szCs w:val="25"/>
        </w:rPr>
        <w:t>2.2</w:t>
      </w:r>
      <w:r>
        <w:rPr>
          <w:rFonts w:ascii="黑体" w:hAnsi="黑体" w:eastAsia="黑体" w:cs="黑体"/>
          <w:spacing w:val="44"/>
          <w:sz w:val="25"/>
          <w:szCs w:val="25"/>
        </w:rPr>
        <w:t xml:space="preserve">  </w:t>
      </w:r>
      <w:r>
        <w:rPr>
          <w:rFonts w:ascii="黑体" w:hAnsi="黑体" w:eastAsia="黑体" w:cs="黑体"/>
          <w:spacing w:val="18"/>
          <w:sz w:val="25"/>
          <w:szCs w:val="25"/>
        </w:rPr>
        <w:t>成本组成及费用</w:t>
      </w:r>
    </w:p>
    <w:p w14:paraId="454A0AE9">
      <w:pPr>
        <w:spacing w:before="98" w:line="219" w:lineRule="auto"/>
        <w:ind w:left="560"/>
        <w:rPr>
          <w:rFonts w:ascii="宋体" w:hAnsi="宋体" w:eastAsia="宋体" w:cs="宋体"/>
          <w:sz w:val="27"/>
          <w:szCs w:val="27"/>
        </w:rPr>
      </w:pPr>
      <w:r>
        <w:rPr>
          <w:rFonts w:ascii="宋体" w:hAnsi="宋体" w:eastAsia="宋体" w:cs="宋体"/>
          <w:spacing w:val="-1"/>
          <w:sz w:val="27"/>
          <w:szCs w:val="27"/>
        </w:rPr>
        <w:t>简要说明研制成本和期间费用的组成及相应的费用，通常包括：</w:t>
      </w:r>
    </w:p>
    <w:p w14:paraId="1D0E0A52">
      <w:pPr>
        <w:spacing w:before="31"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62"/>
          <w:w w:val="101"/>
          <w:sz w:val="27"/>
          <w:szCs w:val="27"/>
        </w:rPr>
        <w:t xml:space="preserve"> </w:t>
      </w:r>
      <w:r>
        <w:rPr>
          <w:rFonts w:ascii="宋体" w:hAnsi="宋体" w:eastAsia="宋体" w:cs="宋体"/>
          <w:spacing w:val="3"/>
          <w:sz w:val="27"/>
          <w:szCs w:val="27"/>
        </w:rPr>
        <w:t>直接材料费；</w:t>
      </w:r>
    </w:p>
    <w:p w14:paraId="4946D33D">
      <w:pPr>
        <w:spacing w:before="120"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63"/>
          <w:sz w:val="27"/>
          <w:szCs w:val="27"/>
        </w:rPr>
        <w:t xml:space="preserve"> </w:t>
      </w:r>
      <w:r>
        <w:rPr>
          <w:rFonts w:ascii="宋体" w:hAnsi="宋体" w:eastAsia="宋体" w:cs="宋体"/>
          <w:spacing w:val="1"/>
          <w:sz w:val="27"/>
          <w:szCs w:val="27"/>
        </w:rPr>
        <w:t>直接工资费；</w:t>
      </w:r>
    </w:p>
    <w:p w14:paraId="0A50DD88">
      <w:pPr>
        <w:spacing w:before="122" w:line="267" w:lineRule="auto"/>
        <w:ind w:right="121" w:firstLine="560"/>
        <w:rPr>
          <w:rFonts w:ascii="宋体" w:hAnsi="宋体" w:eastAsia="宋体" w:cs="宋体"/>
          <w:sz w:val="25"/>
          <w:szCs w:val="25"/>
        </w:rPr>
      </w:pPr>
      <w:r>
        <w:rPr>
          <w:rFonts w:ascii="Times New Roman" w:hAnsi="Times New Roman" w:eastAsia="Times New Roman" w:cs="Times New Roman"/>
          <w:spacing w:val="3"/>
          <w:sz w:val="25"/>
          <w:szCs w:val="25"/>
        </w:rPr>
        <w:t xml:space="preserve">c)  </w:t>
      </w:r>
      <w:r>
        <w:rPr>
          <w:rFonts w:ascii="宋体" w:hAnsi="宋体" w:eastAsia="宋体" w:cs="宋体"/>
          <w:spacing w:val="3"/>
          <w:sz w:val="25"/>
          <w:szCs w:val="25"/>
        </w:rPr>
        <w:t>其他直接支出(包括：设计费，试验费，外协费，专用设备、仪</w:t>
      </w:r>
      <w:r>
        <w:rPr>
          <w:rFonts w:ascii="宋体" w:hAnsi="宋体" w:eastAsia="宋体" w:cs="宋体"/>
          <w:spacing w:val="2"/>
          <w:sz w:val="25"/>
          <w:szCs w:val="25"/>
        </w:rPr>
        <w:t>器购置费，专</w:t>
      </w:r>
      <w:r>
        <w:rPr>
          <w:rFonts w:ascii="宋体" w:hAnsi="宋体" w:eastAsia="宋体" w:cs="宋体"/>
          <w:sz w:val="25"/>
          <w:szCs w:val="25"/>
        </w:rPr>
        <w:t xml:space="preserve"> </w:t>
      </w:r>
      <w:r>
        <w:rPr>
          <w:rFonts w:ascii="宋体" w:hAnsi="宋体" w:eastAsia="宋体" w:cs="宋体"/>
          <w:spacing w:val="12"/>
          <w:sz w:val="25"/>
          <w:szCs w:val="25"/>
        </w:rPr>
        <w:t>用工艺装备费，零星技术措施费，样品样机购置</w:t>
      </w:r>
      <w:r>
        <w:rPr>
          <w:rFonts w:ascii="宋体" w:hAnsi="宋体" w:eastAsia="宋体" w:cs="宋体"/>
          <w:spacing w:val="11"/>
          <w:sz w:val="25"/>
          <w:szCs w:val="25"/>
        </w:rPr>
        <w:t>费，技术基础费);</w:t>
      </w:r>
    </w:p>
    <w:p w14:paraId="102AE360">
      <w:pPr>
        <w:spacing w:before="45" w:line="212" w:lineRule="auto"/>
        <w:ind w:left="560"/>
        <w:rPr>
          <w:rFonts w:ascii="宋体" w:hAnsi="宋体" w:eastAsia="宋体" w:cs="宋体"/>
          <w:sz w:val="27"/>
          <w:szCs w:val="27"/>
        </w:rPr>
      </w:pPr>
      <w:r>
        <w:rPr>
          <w:rFonts w:ascii="Times New Roman" w:hAnsi="Times New Roman" w:eastAsia="Times New Roman" w:cs="Times New Roman"/>
          <w:sz w:val="27"/>
          <w:szCs w:val="27"/>
        </w:rPr>
        <w:t xml:space="preserve">d)  </w:t>
      </w:r>
      <w:r>
        <w:rPr>
          <w:rFonts w:ascii="宋体" w:hAnsi="宋体" w:eastAsia="宋体" w:cs="宋体"/>
          <w:sz w:val="27"/>
          <w:szCs w:val="27"/>
        </w:rPr>
        <w:t>研制费用；</w:t>
      </w:r>
    </w:p>
    <w:p w14:paraId="04D91EC7">
      <w:pPr>
        <w:spacing w:before="131" w:line="219" w:lineRule="auto"/>
        <w:ind w:left="560"/>
        <w:rPr>
          <w:rFonts w:ascii="宋体" w:hAnsi="宋体" w:eastAsia="宋体" w:cs="宋体"/>
          <w:sz w:val="27"/>
          <w:szCs w:val="27"/>
        </w:rPr>
      </w:pPr>
      <w:r>
        <w:rPr>
          <w:rFonts w:ascii="Times New Roman" w:hAnsi="Times New Roman" w:eastAsia="Times New Roman" w:cs="Times New Roman"/>
          <w:spacing w:val="12"/>
          <w:sz w:val="27"/>
          <w:szCs w:val="27"/>
        </w:rPr>
        <w:t>e</w:t>
      </w:r>
      <w:r>
        <w:rPr>
          <w:rFonts w:ascii="宋体" w:hAnsi="宋体" w:eastAsia="宋体" w:cs="宋体"/>
          <w:spacing w:val="12"/>
          <w:sz w:val="27"/>
          <w:szCs w:val="27"/>
        </w:rPr>
        <w:t>)管理费用；</w:t>
      </w:r>
    </w:p>
    <w:p w14:paraId="0BF396F2">
      <w:pPr>
        <w:spacing w:before="91" w:line="212" w:lineRule="auto"/>
        <w:ind w:left="560"/>
        <w:rPr>
          <w:rFonts w:ascii="宋体" w:hAnsi="宋体" w:eastAsia="宋体" w:cs="宋体"/>
          <w:sz w:val="24"/>
          <w:szCs w:val="24"/>
        </w:rPr>
      </w:pPr>
      <w:r>
        <w:rPr>
          <w:rFonts w:ascii="Times New Roman" w:hAnsi="Times New Roman" w:eastAsia="Times New Roman" w:cs="Times New Roman"/>
          <w:spacing w:val="18"/>
          <w:sz w:val="24"/>
          <w:szCs w:val="24"/>
        </w:rPr>
        <w:t>f)</w:t>
      </w:r>
      <w:r>
        <w:rPr>
          <w:rFonts w:ascii="Times New Roman" w:hAnsi="Times New Roman" w:eastAsia="Times New Roman" w:cs="Times New Roman"/>
          <w:spacing w:val="21"/>
          <w:w w:val="101"/>
          <w:sz w:val="24"/>
          <w:szCs w:val="24"/>
        </w:rPr>
        <w:t xml:space="preserve">  </w:t>
      </w:r>
      <w:r>
        <w:rPr>
          <w:rFonts w:ascii="宋体" w:hAnsi="宋体" w:eastAsia="宋体" w:cs="宋体"/>
          <w:spacing w:val="18"/>
          <w:sz w:val="24"/>
          <w:szCs w:val="24"/>
        </w:rPr>
        <w:t>财务费用；</w:t>
      </w:r>
    </w:p>
    <w:p w14:paraId="129715EA">
      <w:pPr>
        <w:spacing w:before="112" w:line="212" w:lineRule="auto"/>
        <w:ind w:left="560"/>
        <w:rPr>
          <w:rFonts w:ascii="宋体" w:hAnsi="宋体" w:eastAsia="宋体" w:cs="宋体"/>
          <w:sz w:val="27"/>
          <w:szCs w:val="27"/>
        </w:rPr>
      </w:pPr>
      <w:r>
        <w:rPr>
          <w:rFonts w:ascii="Times New Roman" w:hAnsi="Times New Roman" w:eastAsia="Times New Roman" w:cs="Times New Roman"/>
          <w:spacing w:val="13"/>
          <w:sz w:val="27"/>
          <w:szCs w:val="27"/>
        </w:rPr>
        <w:t>g</w:t>
      </w:r>
      <w:r>
        <w:rPr>
          <w:rFonts w:ascii="宋体" w:hAnsi="宋体" w:eastAsia="宋体" w:cs="宋体"/>
          <w:spacing w:val="13"/>
          <w:sz w:val="27"/>
          <w:szCs w:val="27"/>
        </w:rPr>
        <w:t>)经营费用。</w:t>
      </w:r>
    </w:p>
    <w:p w14:paraId="2E553665">
      <w:pPr>
        <w:spacing w:before="121" w:line="222" w:lineRule="auto"/>
        <w:rPr>
          <w:rFonts w:ascii="黑体" w:hAnsi="黑体" w:eastAsia="黑体" w:cs="黑体"/>
          <w:sz w:val="27"/>
          <w:szCs w:val="27"/>
        </w:rPr>
      </w:pPr>
      <w:r>
        <w:rPr>
          <w:rFonts w:ascii="黑体" w:hAnsi="黑体" w:eastAsia="黑体" w:cs="黑体"/>
          <w:spacing w:val="1"/>
          <w:sz w:val="27"/>
          <w:szCs w:val="27"/>
        </w:rPr>
        <w:t>2.3</w:t>
      </w:r>
      <w:r>
        <w:rPr>
          <w:rFonts w:ascii="黑体" w:hAnsi="黑体" w:eastAsia="黑体" w:cs="黑体"/>
          <w:spacing w:val="18"/>
          <w:sz w:val="27"/>
          <w:szCs w:val="27"/>
        </w:rPr>
        <w:t xml:space="preserve">  </w:t>
      </w:r>
      <w:r>
        <w:rPr>
          <w:rFonts w:ascii="黑体" w:hAnsi="黑体" w:eastAsia="黑体" w:cs="黑体"/>
          <w:spacing w:val="1"/>
          <w:sz w:val="27"/>
          <w:szCs w:val="27"/>
        </w:rPr>
        <w:t>成本分析</w:t>
      </w:r>
    </w:p>
    <w:p w14:paraId="522DC70D">
      <w:pPr>
        <w:spacing w:before="85" w:line="222" w:lineRule="auto"/>
        <w:rPr>
          <w:rFonts w:ascii="黑体" w:hAnsi="黑体" w:eastAsia="黑体" w:cs="黑体"/>
          <w:sz w:val="27"/>
          <w:szCs w:val="27"/>
        </w:rPr>
      </w:pPr>
      <w:r>
        <w:rPr>
          <w:rFonts w:ascii="黑体" w:hAnsi="黑体" w:eastAsia="黑体" w:cs="黑体"/>
          <w:sz w:val="27"/>
          <w:szCs w:val="27"/>
        </w:rPr>
        <w:t>2.3.1</w:t>
      </w:r>
      <w:r>
        <w:rPr>
          <w:rFonts w:ascii="黑体" w:hAnsi="黑体" w:eastAsia="黑体" w:cs="黑体"/>
          <w:spacing w:val="32"/>
          <w:sz w:val="27"/>
          <w:szCs w:val="27"/>
        </w:rPr>
        <w:t xml:space="preserve">  </w:t>
      </w:r>
      <w:r>
        <w:rPr>
          <w:rFonts w:ascii="黑体" w:hAnsi="黑体" w:eastAsia="黑体" w:cs="黑体"/>
          <w:sz w:val="27"/>
          <w:szCs w:val="27"/>
        </w:rPr>
        <w:t>直接材料费分析</w:t>
      </w:r>
    </w:p>
    <w:p w14:paraId="46498EE7">
      <w:pPr>
        <w:spacing w:before="105" w:line="275" w:lineRule="auto"/>
        <w:ind w:right="107" w:firstLine="560"/>
        <w:jc w:val="both"/>
        <w:rPr>
          <w:rFonts w:ascii="宋体" w:hAnsi="宋体" w:eastAsia="宋体" w:cs="宋体"/>
          <w:sz w:val="27"/>
          <w:szCs w:val="27"/>
        </w:rPr>
      </w:pPr>
      <w:r>
        <w:rPr>
          <w:rFonts w:ascii="宋体" w:hAnsi="宋体" w:eastAsia="宋体" w:cs="宋体"/>
          <w:spacing w:val="-3"/>
          <w:sz w:val="27"/>
          <w:szCs w:val="27"/>
        </w:rPr>
        <w:t>直接材料包括研制生产过程中实际消耗的原材料、辅助材料、外购件、备品</w:t>
      </w:r>
      <w:r>
        <w:rPr>
          <w:rFonts w:ascii="宋体" w:hAnsi="宋体" w:eastAsia="宋体" w:cs="宋体"/>
          <w:spacing w:val="5"/>
          <w:sz w:val="27"/>
          <w:szCs w:val="27"/>
        </w:rPr>
        <w:t xml:space="preserve"> </w:t>
      </w:r>
      <w:r>
        <w:rPr>
          <w:rFonts w:ascii="宋体" w:hAnsi="宋体" w:eastAsia="宋体" w:cs="宋体"/>
          <w:spacing w:val="-10"/>
          <w:sz w:val="27"/>
          <w:szCs w:val="27"/>
        </w:rPr>
        <w:t>备件、燃料、动力、包装物、电子元器件和其他直接材料以及专用新材料应用试验</w:t>
      </w:r>
      <w:r>
        <w:rPr>
          <w:rFonts w:ascii="宋体" w:hAnsi="宋体" w:eastAsia="宋体" w:cs="宋体"/>
          <w:sz w:val="27"/>
          <w:szCs w:val="27"/>
        </w:rPr>
        <w:t xml:space="preserve"> </w:t>
      </w:r>
      <w:r>
        <w:rPr>
          <w:rFonts w:ascii="宋体" w:hAnsi="宋体" w:eastAsia="宋体" w:cs="宋体"/>
          <w:spacing w:val="-6"/>
          <w:sz w:val="27"/>
          <w:szCs w:val="27"/>
        </w:rPr>
        <w:t>费、型谱专用电子元器件研制费。</w:t>
      </w:r>
    </w:p>
    <w:p w14:paraId="4F808E19">
      <w:pPr>
        <w:spacing w:line="275" w:lineRule="auto"/>
        <w:rPr>
          <w:rFonts w:ascii="宋体" w:hAnsi="宋体" w:eastAsia="宋体" w:cs="宋体"/>
          <w:sz w:val="27"/>
          <w:szCs w:val="27"/>
        </w:rPr>
        <w:sectPr>
          <w:footerReference r:id="rId139" w:type="default"/>
          <w:pgSz w:w="11910" w:h="17130"/>
          <w:pgMar w:top="400" w:right="894" w:bottom="1627" w:left="1529" w:header="0" w:footer="1411" w:gutter="0"/>
          <w:cols w:space="720" w:num="1"/>
        </w:sectPr>
      </w:pPr>
    </w:p>
    <w:p w14:paraId="354C50A0">
      <w:pPr>
        <w:pStyle w:val="2"/>
        <w:spacing w:line="257" w:lineRule="auto"/>
      </w:pPr>
    </w:p>
    <w:p w14:paraId="1C02A48A">
      <w:pPr>
        <w:pStyle w:val="2"/>
        <w:spacing w:line="258" w:lineRule="auto"/>
      </w:pPr>
    </w:p>
    <w:p w14:paraId="0A8B7A49">
      <w:pPr>
        <w:pStyle w:val="2"/>
        <w:spacing w:line="258" w:lineRule="auto"/>
      </w:pPr>
    </w:p>
    <w:p w14:paraId="4222E587">
      <w:pPr>
        <w:pStyle w:val="2"/>
        <w:spacing w:line="258" w:lineRule="auto"/>
      </w:pPr>
    </w:p>
    <w:p w14:paraId="1D4E592D">
      <w:pPr>
        <w:spacing w:before="81" w:line="292" w:lineRule="auto"/>
        <w:ind w:right="107" w:firstLine="550"/>
        <w:rPr>
          <w:rFonts w:ascii="宋体" w:hAnsi="宋体" w:eastAsia="宋体" w:cs="宋体"/>
          <w:sz w:val="25"/>
          <w:szCs w:val="25"/>
        </w:rPr>
      </w:pPr>
      <w:bookmarkStart w:id="85" w:name="bookmark349"/>
      <w:bookmarkEnd w:id="85"/>
      <w:r>
        <w:rPr>
          <w:rFonts w:ascii="宋体" w:hAnsi="宋体" w:eastAsia="宋体" w:cs="宋体"/>
          <w:spacing w:val="26"/>
          <w:sz w:val="25"/>
          <w:szCs w:val="25"/>
        </w:rPr>
        <w:t>说明对直接材料费进行分析的结果及其合理性，特别是分析</w:t>
      </w:r>
      <w:r>
        <w:rPr>
          <w:rFonts w:ascii="宋体" w:hAnsi="宋体" w:eastAsia="宋体" w:cs="宋体"/>
          <w:spacing w:val="25"/>
          <w:sz w:val="25"/>
          <w:szCs w:val="25"/>
        </w:rPr>
        <w:t>采购的价格昂</w:t>
      </w:r>
      <w:r>
        <w:rPr>
          <w:rFonts w:ascii="宋体" w:hAnsi="宋体" w:eastAsia="宋体" w:cs="宋体"/>
          <w:sz w:val="25"/>
          <w:szCs w:val="25"/>
        </w:rPr>
        <w:t xml:space="preserve"> </w:t>
      </w:r>
      <w:r>
        <w:rPr>
          <w:rFonts w:ascii="宋体" w:hAnsi="宋体" w:eastAsia="宋体" w:cs="宋体"/>
          <w:spacing w:val="22"/>
          <w:sz w:val="25"/>
          <w:szCs w:val="25"/>
        </w:rPr>
        <w:t>贵器材费用的合理性。</w:t>
      </w:r>
    </w:p>
    <w:p w14:paraId="3E23F636">
      <w:pPr>
        <w:spacing w:line="221" w:lineRule="auto"/>
        <w:rPr>
          <w:rFonts w:ascii="黑体" w:hAnsi="黑体" w:eastAsia="黑体" w:cs="黑体"/>
          <w:sz w:val="27"/>
          <w:szCs w:val="27"/>
        </w:rPr>
      </w:pPr>
      <w:r>
        <w:rPr>
          <w:rFonts w:ascii="黑体" w:hAnsi="黑体" w:eastAsia="黑体" w:cs="黑体"/>
          <w:spacing w:val="1"/>
          <w:sz w:val="27"/>
          <w:szCs w:val="27"/>
        </w:rPr>
        <w:t>2.3.2</w:t>
      </w:r>
      <w:r>
        <w:rPr>
          <w:rFonts w:ascii="黑体" w:hAnsi="黑体" w:eastAsia="黑体" w:cs="黑体"/>
          <w:spacing w:val="21"/>
          <w:sz w:val="27"/>
          <w:szCs w:val="27"/>
        </w:rPr>
        <w:t xml:space="preserve">  </w:t>
      </w:r>
      <w:r>
        <w:rPr>
          <w:rFonts w:ascii="黑体" w:hAnsi="黑体" w:eastAsia="黑体" w:cs="黑体"/>
          <w:spacing w:val="1"/>
          <w:sz w:val="27"/>
          <w:szCs w:val="27"/>
        </w:rPr>
        <w:t>直接工资费分析</w:t>
      </w:r>
    </w:p>
    <w:p w14:paraId="404CF343">
      <w:pPr>
        <w:spacing w:before="97" w:line="219" w:lineRule="auto"/>
        <w:ind w:left="550"/>
        <w:rPr>
          <w:rFonts w:ascii="宋体" w:hAnsi="宋体" w:eastAsia="宋体" w:cs="宋体"/>
          <w:sz w:val="27"/>
          <w:szCs w:val="27"/>
        </w:rPr>
      </w:pPr>
      <w:r>
        <w:rPr>
          <w:rFonts w:ascii="宋体" w:hAnsi="宋体" w:eastAsia="宋体" w:cs="宋体"/>
          <w:spacing w:val="-4"/>
          <w:sz w:val="27"/>
          <w:szCs w:val="27"/>
        </w:rPr>
        <w:t>直接工资包括直接从事产品研制和生产人员的工资、奖金、津贴和补贴。</w:t>
      </w:r>
    </w:p>
    <w:p w14:paraId="246D6D25">
      <w:pPr>
        <w:spacing w:before="89" w:line="219" w:lineRule="auto"/>
        <w:ind w:left="550"/>
        <w:rPr>
          <w:rFonts w:ascii="宋体" w:hAnsi="宋体" w:eastAsia="宋体" w:cs="宋体"/>
          <w:sz w:val="27"/>
          <w:szCs w:val="27"/>
        </w:rPr>
      </w:pPr>
      <w:r>
        <w:rPr>
          <w:rFonts w:ascii="宋体" w:hAnsi="宋体" w:eastAsia="宋体" w:cs="宋体"/>
          <w:spacing w:val="5"/>
          <w:sz w:val="27"/>
          <w:szCs w:val="27"/>
        </w:rPr>
        <w:t>说明对直接工资费进行分析的结果及其合理性。</w:t>
      </w:r>
    </w:p>
    <w:p w14:paraId="75F15654">
      <w:pPr>
        <w:spacing w:before="90" w:line="222" w:lineRule="auto"/>
        <w:rPr>
          <w:rFonts w:ascii="黑体" w:hAnsi="黑体" w:eastAsia="黑体" w:cs="黑体"/>
          <w:sz w:val="27"/>
          <w:szCs w:val="27"/>
        </w:rPr>
      </w:pPr>
      <w:r>
        <w:rPr>
          <w:rFonts w:ascii="黑体" w:hAnsi="黑体" w:eastAsia="黑体" w:cs="黑体"/>
          <w:spacing w:val="2"/>
          <w:sz w:val="27"/>
          <w:szCs w:val="27"/>
        </w:rPr>
        <w:t>2.3.3</w:t>
      </w:r>
      <w:r>
        <w:rPr>
          <w:rFonts w:ascii="黑体" w:hAnsi="黑体" w:eastAsia="黑体" w:cs="黑体"/>
          <w:spacing w:val="22"/>
          <w:sz w:val="27"/>
          <w:szCs w:val="27"/>
        </w:rPr>
        <w:t xml:space="preserve">  </w:t>
      </w:r>
      <w:r>
        <w:rPr>
          <w:rFonts w:ascii="黑体" w:hAnsi="黑体" w:eastAsia="黑体" w:cs="黑体"/>
          <w:spacing w:val="2"/>
          <w:sz w:val="27"/>
          <w:szCs w:val="27"/>
        </w:rPr>
        <w:t>其他直接支出</w:t>
      </w:r>
    </w:p>
    <w:p w14:paraId="6D9B9EEF">
      <w:pPr>
        <w:spacing w:before="84" w:line="278" w:lineRule="auto"/>
        <w:ind w:right="83" w:firstLine="550"/>
        <w:jc w:val="both"/>
        <w:rPr>
          <w:rFonts w:ascii="宋体" w:hAnsi="宋体" w:eastAsia="宋体" w:cs="宋体"/>
          <w:sz w:val="27"/>
          <w:szCs w:val="27"/>
        </w:rPr>
      </w:pPr>
      <w:r>
        <w:rPr>
          <w:rFonts w:ascii="宋体" w:hAnsi="宋体" w:eastAsia="宋体" w:cs="宋体"/>
          <w:spacing w:val="6"/>
          <w:sz w:val="27"/>
          <w:szCs w:val="27"/>
        </w:rPr>
        <w:t>其他直接支出包括直接从事产品研制和生产人员的职工福利费，研制项目</w:t>
      </w:r>
      <w:r>
        <w:rPr>
          <w:rFonts w:ascii="宋体" w:hAnsi="宋体" w:eastAsia="宋体" w:cs="宋体"/>
          <w:spacing w:val="18"/>
          <w:sz w:val="27"/>
          <w:szCs w:val="27"/>
        </w:rPr>
        <w:t xml:space="preserve"> </w:t>
      </w:r>
      <w:r>
        <w:rPr>
          <w:rFonts w:ascii="宋体" w:hAnsi="宋体" w:eastAsia="宋体" w:cs="宋体"/>
          <w:spacing w:val="-10"/>
          <w:sz w:val="27"/>
          <w:szCs w:val="27"/>
        </w:rPr>
        <w:t>发生的设计费、试验费、外协费、专用设备仪器购置费、专用工艺装备费、零星技</w:t>
      </w:r>
      <w:r>
        <w:rPr>
          <w:rFonts w:ascii="宋体" w:hAnsi="宋体" w:eastAsia="宋体" w:cs="宋体"/>
          <w:sz w:val="27"/>
          <w:szCs w:val="27"/>
        </w:rPr>
        <w:t xml:space="preserve"> </w:t>
      </w:r>
      <w:r>
        <w:rPr>
          <w:rFonts w:ascii="宋体" w:hAnsi="宋体" w:eastAsia="宋体" w:cs="宋体"/>
          <w:spacing w:val="-10"/>
          <w:sz w:val="27"/>
          <w:szCs w:val="27"/>
        </w:rPr>
        <w:t>术措施费、样品样机购置费、技术基础费等。</w:t>
      </w:r>
    </w:p>
    <w:p w14:paraId="35E55C40">
      <w:pPr>
        <w:spacing w:before="18" w:line="222" w:lineRule="auto"/>
        <w:rPr>
          <w:rFonts w:ascii="黑体" w:hAnsi="黑体" w:eastAsia="黑体" w:cs="黑体"/>
          <w:sz w:val="24"/>
          <w:szCs w:val="24"/>
        </w:rPr>
      </w:pPr>
      <w:r>
        <w:rPr>
          <w:rFonts w:ascii="黑体" w:hAnsi="黑体" w:eastAsia="黑体" w:cs="黑体"/>
          <w:spacing w:val="11"/>
          <w:sz w:val="24"/>
          <w:szCs w:val="24"/>
        </w:rPr>
        <w:t>2.3.3.</w:t>
      </w:r>
      <w:r>
        <w:rPr>
          <w:rFonts w:ascii="黑体" w:hAnsi="黑体" w:eastAsia="黑体" w:cs="黑体"/>
          <w:spacing w:val="-16"/>
          <w:sz w:val="24"/>
          <w:szCs w:val="24"/>
        </w:rPr>
        <w:t xml:space="preserve"> </w:t>
      </w:r>
      <w:r>
        <w:rPr>
          <w:rFonts w:ascii="黑体" w:hAnsi="黑体" w:eastAsia="黑体" w:cs="黑体"/>
          <w:spacing w:val="11"/>
          <w:sz w:val="24"/>
          <w:szCs w:val="24"/>
        </w:rPr>
        <w:t>1</w:t>
      </w:r>
      <w:r>
        <w:rPr>
          <w:rFonts w:ascii="黑体" w:hAnsi="黑体" w:eastAsia="黑体" w:cs="黑体"/>
          <w:spacing w:val="46"/>
          <w:sz w:val="24"/>
          <w:szCs w:val="24"/>
        </w:rPr>
        <w:t xml:space="preserve">  </w:t>
      </w:r>
      <w:r>
        <w:rPr>
          <w:rFonts w:ascii="黑体" w:hAnsi="黑体" w:eastAsia="黑体" w:cs="黑体"/>
          <w:spacing w:val="11"/>
          <w:sz w:val="24"/>
          <w:szCs w:val="24"/>
        </w:rPr>
        <w:t>设计费分析</w:t>
      </w:r>
    </w:p>
    <w:p w14:paraId="48FAADFF">
      <w:pPr>
        <w:spacing w:before="114" w:line="269" w:lineRule="auto"/>
        <w:ind w:right="122" w:firstLine="550"/>
        <w:rPr>
          <w:rFonts w:ascii="宋体" w:hAnsi="宋体" w:eastAsia="宋体" w:cs="宋体"/>
          <w:sz w:val="27"/>
          <w:szCs w:val="27"/>
        </w:rPr>
      </w:pPr>
      <w:r>
        <w:rPr>
          <w:rFonts w:ascii="宋体" w:hAnsi="宋体" w:eastAsia="宋体" w:cs="宋体"/>
          <w:spacing w:val="-7"/>
          <w:sz w:val="27"/>
          <w:szCs w:val="27"/>
        </w:rPr>
        <w:t>设计费是指研制过程中发生的论证费、调研费、计算费、技术资料(购买、复</w:t>
      </w:r>
      <w:r>
        <w:rPr>
          <w:rFonts w:ascii="宋体" w:hAnsi="宋体" w:eastAsia="宋体" w:cs="宋体"/>
          <w:spacing w:val="4"/>
          <w:sz w:val="27"/>
          <w:szCs w:val="27"/>
        </w:rPr>
        <w:t xml:space="preserve"> </w:t>
      </w:r>
      <w:r>
        <w:rPr>
          <w:rFonts w:ascii="宋体" w:hAnsi="宋体" w:eastAsia="宋体" w:cs="宋体"/>
          <w:spacing w:val="-6"/>
          <w:sz w:val="27"/>
          <w:szCs w:val="27"/>
        </w:rPr>
        <w:t>制和翻译)费、设计用品费、设计评审费以及设计跟产</w:t>
      </w:r>
      <w:r>
        <w:rPr>
          <w:rFonts w:ascii="宋体" w:hAnsi="宋体" w:eastAsia="宋体" w:cs="宋体"/>
          <w:spacing w:val="-7"/>
          <w:sz w:val="27"/>
          <w:szCs w:val="27"/>
        </w:rPr>
        <w:t>费等。</w:t>
      </w:r>
    </w:p>
    <w:p w14:paraId="0372E143">
      <w:pPr>
        <w:spacing w:before="24" w:line="219" w:lineRule="auto"/>
        <w:ind w:left="550"/>
        <w:rPr>
          <w:rFonts w:ascii="宋体" w:hAnsi="宋体" w:eastAsia="宋体" w:cs="宋体"/>
          <w:sz w:val="27"/>
          <w:szCs w:val="27"/>
        </w:rPr>
      </w:pPr>
      <w:r>
        <w:rPr>
          <w:rFonts w:ascii="宋体" w:hAnsi="宋体" w:eastAsia="宋体" w:cs="宋体"/>
          <w:spacing w:val="3"/>
          <w:sz w:val="27"/>
          <w:szCs w:val="27"/>
        </w:rPr>
        <w:t>说明对设计费进行分析的结果及其合理性。</w:t>
      </w:r>
    </w:p>
    <w:p w14:paraId="3E7D0730">
      <w:pPr>
        <w:pStyle w:val="2"/>
        <w:spacing w:before="29" w:line="368" w:lineRule="exact"/>
        <w:rPr>
          <w:rFonts w:ascii="黑体" w:hAnsi="黑体" w:eastAsia="黑体" w:cs="黑体"/>
          <w:sz w:val="27"/>
          <w:szCs w:val="27"/>
        </w:rPr>
      </w:pPr>
      <w:r>
        <w:rPr>
          <w:position w:val="1"/>
          <w:sz w:val="27"/>
          <w:szCs w:val="27"/>
        </w:rPr>
        <w:t>2.3.3.2</w:t>
      </w:r>
      <w:r>
        <w:rPr>
          <w:spacing w:val="11"/>
          <w:position w:val="1"/>
          <w:sz w:val="27"/>
          <w:szCs w:val="27"/>
        </w:rPr>
        <w:t xml:space="preserve">     </w:t>
      </w:r>
      <w:r>
        <w:rPr>
          <w:rFonts w:ascii="黑体" w:hAnsi="黑体" w:eastAsia="黑体" w:cs="黑体"/>
          <w:position w:val="1"/>
          <w:sz w:val="27"/>
          <w:szCs w:val="27"/>
        </w:rPr>
        <w:t>试验费分析</w:t>
      </w:r>
    </w:p>
    <w:p w14:paraId="3F65E369">
      <w:pPr>
        <w:spacing w:before="96" w:line="278" w:lineRule="auto"/>
        <w:ind w:firstLine="550"/>
        <w:jc w:val="both"/>
        <w:rPr>
          <w:rFonts w:ascii="宋体" w:hAnsi="宋体" w:eastAsia="宋体" w:cs="宋体"/>
          <w:sz w:val="27"/>
          <w:szCs w:val="27"/>
        </w:rPr>
      </w:pPr>
      <w:r>
        <w:rPr>
          <w:rFonts w:ascii="宋体" w:hAnsi="宋体" w:eastAsia="宋体" w:cs="宋体"/>
          <w:spacing w:val="-7"/>
          <w:sz w:val="27"/>
          <w:szCs w:val="27"/>
        </w:rPr>
        <w:t>试验费是指研制过程中用于工艺试验、仿真试验、综合匹配</w:t>
      </w:r>
      <w:r>
        <w:rPr>
          <w:rFonts w:ascii="宋体" w:hAnsi="宋体" w:eastAsia="宋体" w:cs="宋体"/>
          <w:spacing w:val="-8"/>
          <w:sz w:val="27"/>
          <w:szCs w:val="27"/>
        </w:rPr>
        <w:t>试验、例行试验、</w:t>
      </w:r>
      <w:r>
        <w:rPr>
          <w:rFonts w:ascii="宋体" w:hAnsi="宋体" w:eastAsia="宋体" w:cs="宋体"/>
          <w:sz w:val="27"/>
          <w:szCs w:val="27"/>
        </w:rPr>
        <w:t xml:space="preserve"> </w:t>
      </w:r>
      <w:r>
        <w:rPr>
          <w:rFonts w:ascii="宋体" w:hAnsi="宋体" w:eastAsia="宋体" w:cs="宋体"/>
          <w:spacing w:val="-17"/>
          <w:sz w:val="27"/>
          <w:szCs w:val="27"/>
        </w:rPr>
        <w:t>可靠性试验、阶段性试验、定型试验、贮存试验和打靶、发射、试飞、试航、试车等</w:t>
      </w:r>
      <w:r>
        <w:rPr>
          <w:rFonts w:ascii="宋体" w:hAnsi="宋体" w:eastAsia="宋体" w:cs="宋体"/>
          <w:sz w:val="27"/>
          <w:szCs w:val="27"/>
        </w:rPr>
        <w:t xml:space="preserve">  </w:t>
      </w:r>
      <w:r>
        <w:rPr>
          <w:rFonts w:ascii="宋体" w:hAnsi="宋体" w:eastAsia="宋体" w:cs="宋体"/>
          <w:spacing w:val="-7"/>
          <w:sz w:val="27"/>
          <w:szCs w:val="27"/>
        </w:rPr>
        <w:t>各种试验验证费用，包括试验过程中所消耗的动力燃料、陪试品、消耗品等费用，</w:t>
      </w:r>
      <w:r>
        <w:rPr>
          <w:rFonts w:ascii="宋体" w:hAnsi="宋体" w:eastAsia="宋体" w:cs="宋体"/>
          <w:spacing w:val="16"/>
          <w:sz w:val="27"/>
          <w:szCs w:val="27"/>
        </w:rPr>
        <w:t xml:space="preserve"> </w:t>
      </w:r>
      <w:r>
        <w:rPr>
          <w:rFonts w:ascii="宋体" w:hAnsi="宋体" w:eastAsia="宋体" w:cs="宋体"/>
          <w:spacing w:val="6"/>
          <w:sz w:val="27"/>
          <w:szCs w:val="27"/>
        </w:rPr>
        <w:t>以及研制单位外场试验的技术保障和参试人员</w:t>
      </w:r>
      <w:r>
        <w:rPr>
          <w:rFonts w:ascii="宋体" w:hAnsi="宋体" w:eastAsia="宋体" w:cs="宋体"/>
          <w:spacing w:val="5"/>
          <w:sz w:val="27"/>
          <w:szCs w:val="27"/>
        </w:rPr>
        <w:t>补助费用，支付军队试验基地和</w:t>
      </w:r>
      <w:r>
        <w:rPr>
          <w:rFonts w:ascii="宋体" w:hAnsi="宋体" w:eastAsia="宋体" w:cs="宋体"/>
          <w:sz w:val="27"/>
          <w:szCs w:val="27"/>
        </w:rPr>
        <w:t xml:space="preserve"> </w:t>
      </w:r>
      <w:r>
        <w:rPr>
          <w:rFonts w:ascii="宋体" w:hAnsi="宋体" w:eastAsia="宋体" w:cs="宋体"/>
          <w:spacing w:val="5"/>
          <w:sz w:val="27"/>
          <w:szCs w:val="27"/>
        </w:rPr>
        <w:t>其他承担试验任务单位的直接消耗性费用(包括设备仪器使用费、</w:t>
      </w:r>
      <w:r>
        <w:rPr>
          <w:rFonts w:ascii="宋体" w:hAnsi="宋体" w:eastAsia="宋体" w:cs="宋体"/>
          <w:spacing w:val="4"/>
          <w:sz w:val="27"/>
          <w:szCs w:val="27"/>
        </w:rPr>
        <w:t>消耗品费用、</w:t>
      </w:r>
      <w:r>
        <w:rPr>
          <w:rFonts w:ascii="宋体" w:hAnsi="宋体" w:eastAsia="宋体" w:cs="宋体"/>
          <w:sz w:val="27"/>
          <w:szCs w:val="27"/>
        </w:rPr>
        <w:t xml:space="preserve"> </w:t>
      </w:r>
      <w:r>
        <w:rPr>
          <w:rFonts w:ascii="宋体" w:hAnsi="宋体" w:eastAsia="宋体" w:cs="宋体"/>
          <w:spacing w:val="-2"/>
          <w:sz w:val="27"/>
          <w:szCs w:val="27"/>
        </w:rPr>
        <w:t>动力燃料及水电费等，但不包括军队试验基地的建设性费</w:t>
      </w:r>
      <w:r>
        <w:rPr>
          <w:rFonts w:ascii="宋体" w:hAnsi="宋体" w:eastAsia="宋体" w:cs="宋体"/>
          <w:spacing w:val="-3"/>
          <w:sz w:val="27"/>
          <w:szCs w:val="27"/>
        </w:rPr>
        <w:t>用、人员的正常费用和</w:t>
      </w:r>
      <w:r>
        <w:rPr>
          <w:rFonts w:ascii="宋体" w:hAnsi="宋体" w:eastAsia="宋体" w:cs="宋体"/>
          <w:sz w:val="27"/>
          <w:szCs w:val="27"/>
        </w:rPr>
        <w:t xml:space="preserve"> </w:t>
      </w:r>
      <w:r>
        <w:rPr>
          <w:rFonts w:ascii="宋体" w:hAnsi="宋体" w:eastAsia="宋体" w:cs="宋体"/>
          <w:spacing w:val="4"/>
          <w:sz w:val="27"/>
          <w:szCs w:val="27"/>
        </w:rPr>
        <w:t>结合部队训练进行试验的部队的正常费用)。</w:t>
      </w:r>
    </w:p>
    <w:p w14:paraId="40839DF7">
      <w:pPr>
        <w:spacing w:before="1" w:line="219" w:lineRule="auto"/>
        <w:ind w:left="550"/>
        <w:rPr>
          <w:rFonts w:ascii="宋体" w:hAnsi="宋体" w:eastAsia="宋体" w:cs="宋体"/>
          <w:sz w:val="27"/>
          <w:szCs w:val="27"/>
        </w:rPr>
      </w:pPr>
      <w:r>
        <w:rPr>
          <w:rFonts w:ascii="宋体" w:hAnsi="宋体" w:eastAsia="宋体" w:cs="宋体"/>
          <w:spacing w:val="3"/>
          <w:sz w:val="27"/>
          <w:szCs w:val="27"/>
        </w:rPr>
        <w:t>说明对试验费进行分析的结果及其合理性。</w:t>
      </w:r>
    </w:p>
    <w:p w14:paraId="63897E6A">
      <w:pPr>
        <w:pStyle w:val="2"/>
        <w:spacing w:before="30" w:line="368" w:lineRule="exact"/>
        <w:rPr>
          <w:rFonts w:ascii="黑体" w:hAnsi="黑体" w:eastAsia="黑体" w:cs="黑体"/>
          <w:sz w:val="27"/>
          <w:szCs w:val="27"/>
        </w:rPr>
      </w:pPr>
      <w:r>
        <w:rPr>
          <w:position w:val="1"/>
          <w:sz w:val="27"/>
          <w:szCs w:val="27"/>
        </w:rPr>
        <w:t>2.3.3.3</w:t>
      </w:r>
      <w:r>
        <w:rPr>
          <w:spacing w:val="11"/>
          <w:position w:val="1"/>
          <w:sz w:val="27"/>
          <w:szCs w:val="27"/>
        </w:rPr>
        <w:t xml:space="preserve">     </w:t>
      </w:r>
      <w:r>
        <w:rPr>
          <w:rFonts w:ascii="黑体" w:hAnsi="黑体" w:eastAsia="黑体" w:cs="黑体"/>
          <w:position w:val="1"/>
          <w:sz w:val="27"/>
          <w:szCs w:val="27"/>
        </w:rPr>
        <w:t>外协费分析</w:t>
      </w:r>
    </w:p>
    <w:p w14:paraId="01668663">
      <w:pPr>
        <w:spacing w:before="90" w:line="284" w:lineRule="auto"/>
        <w:ind w:right="100" w:firstLine="550"/>
        <w:rPr>
          <w:rFonts w:ascii="宋体" w:hAnsi="宋体" w:eastAsia="宋体" w:cs="宋体"/>
          <w:sz w:val="27"/>
          <w:szCs w:val="27"/>
        </w:rPr>
      </w:pPr>
      <w:r>
        <w:rPr>
          <w:rFonts w:ascii="宋体" w:hAnsi="宋体" w:eastAsia="宋体" w:cs="宋体"/>
          <w:spacing w:val="-2"/>
          <w:sz w:val="27"/>
          <w:szCs w:val="27"/>
        </w:rPr>
        <w:t>外协费是指研制过程中，由于研制单位自身的技术</w:t>
      </w:r>
      <w:r>
        <w:rPr>
          <w:rFonts w:ascii="宋体" w:hAnsi="宋体" w:eastAsia="宋体" w:cs="宋体"/>
          <w:spacing w:val="-3"/>
          <w:sz w:val="27"/>
          <w:szCs w:val="27"/>
        </w:rPr>
        <w:t>、工艺和设备等条件的限</w:t>
      </w:r>
      <w:r>
        <w:rPr>
          <w:rFonts w:ascii="宋体" w:hAnsi="宋体" w:eastAsia="宋体" w:cs="宋体"/>
          <w:sz w:val="27"/>
          <w:szCs w:val="27"/>
        </w:rPr>
        <w:t xml:space="preserve"> </w:t>
      </w:r>
      <w:r>
        <w:rPr>
          <w:rFonts w:ascii="宋体" w:hAnsi="宋体" w:eastAsia="宋体" w:cs="宋体"/>
          <w:spacing w:val="-3"/>
          <w:sz w:val="27"/>
          <w:szCs w:val="27"/>
        </w:rPr>
        <w:t>制，必须由外单位协作所发生的协作加工费用。</w:t>
      </w:r>
    </w:p>
    <w:p w14:paraId="0A0E04B7">
      <w:pPr>
        <w:spacing w:before="1" w:line="219" w:lineRule="auto"/>
        <w:ind w:left="550"/>
        <w:rPr>
          <w:rFonts w:ascii="宋体" w:hAnsi="宋体" w:eastAsia="宋体" w:cs="宋体"/>
          <w:sz w:val="27"/>
          <w:szCs w:val="27"/>
        </w:rPr>
      </w:pPr>
      <w:r>
        <w:rPr>
          <w:rFonts w:ascii="宋体" w:hAnsi="宋体" w:eastAsia="宋体" w:cs="宋体"/>
          <w:spacing w:val="3"/>
          <w:sz w:val="27"/>
          <w:szCs w:val="27"/>
        </w:rPr>
        <w:t>说明对外协费进行分析的结果及其合理性。</w:t>
      </w:r>
    </w:p>
    <w:p w14:paraId="061EED5D">
      <w:pPr>
        <w:spacing w:before="97" w:line="222" w:lineRule="auto"/>
        <w:rPr>
          <w:rFonts w:ascii="黑体" w:hAnsi="黑体" w:eastAsia="黑体" w:cs="黑体"/>
          <w:sz w:val="25"/>
          <w:szCs w:val="25"/>
        </w:rPr>
      </w:pPr>
      <w:r>
        <w:rPr>
          <w:rFonts w:ascii="黑体" w:hAnsi="黑体" w:eastAsia="黑体" w:cs="黑体"/>
          <w:spacing w:val="9"/>
          <w:sz w:val="25"/>
          <w:szCs w:val="25"/>
        </w:rPr>
        <w:t>2.3.3.4</w:t>
      </w:r>
      <w:r>
        <w:rPr>
          <w:rFonts w:ascii="黑体" w:hAnsi="黑体" w:eastAsia="黑体" w:cs="黑体"/>
          <w:spacing w:val="61"/>
          <w:sz w:val="25"/>
          <w:szCs w:val="25"/>
        </w:rPr>
        <w:t xml:space="preserve">  </w:t>
      </w:r>
      <w:r>
        <w:rPr>
          <w:rFonts w:ascii="黑体" w:hAnsi="黑体" w:eastAsia="黑体" w:cs="黑体"/>
          <w:spacing w:val="9"/>
          <w:sz w:val="25"/>
          <w:szCs w:val="25"/>
        </w:rPr>
        <w:t>专用设备、仪器购置费分析</w:t>
      </w:r>
    </w:p>
    <w:p w14:paraId="1CDA0A7A">
      <w:pPr>
        <w:spacing w:before="112" w:line="280" w:lineRule="auto"/>
        <w:ind w:right="123" w:firstLine="550"/>
        <w:rPr>
          <w:rFonts w:ascii="宋体" w:hAnsi="宋体" w:eastAsia="宋体" w:cs="宋体"/>
          <w:sz w:val="27"/>
          <w:szCs w:val="27"/>
        </w:rPr>
      </w:pPr>
      <w:r>
        <w:rPr>
          <w:rFonts w:ascii="宋体" w:hAnsi="宋体" w:eastAsia="宋体" w:cs="宋体"/>
          <w:spacing w:val="5"/>
          <w:sz w:val="27"/>
          <w:szCs w:val="27"/>
        </w:rPr>
        <w:t>专用设备仪器购置费是指研制过程中确需购买或自制的专用测试设备仪器</w:t>
      </w:r>
      <w:r>
        <w:rPr>
          <w:rFonts w:ascii="宋体" w:hAnsi="宋体" w:eastAsia="宋体" w:cs="宋体"/>
          <w:spacing w:val="10"/>
          <w:sz w:val="27"/>
          <w:szCs w:val="27"/>
        </w:rPr>
        <w:t xml:space="preserve"> </w:t>
      </w:r>
      <w:r>
        <w:rPr>
          <w:rFonts w:ascii="宋体" w:hAnsi="宋体" w:eastAsia="宋体" w:cs="宋体"/>
          <w:spacing w:val="-8"/>
          <w:sz w:val="27"/>
          <w:szCs w:val="27"/>
        </w:rPr>
        <w:t>的费用，包括购置费、运输费、安装调试费及</w:t>
      </w:r>
      <w:r>
        <w:rPr>
          <w:rFonts w:ascii="宋体" w:hAnsi="宋体" w:eastAsia="宋体" w:cs="宋体"/>
          <w:spacing w:val="-9"/>
          <w:sz w:val="27"/>
          <w:szCs w:val="27"/>
        </w:rPr>
        <w:t>自制设备仪器的料工费等。</w:t>
      </w:r>
    </w:p>
    <w:p w14:paraId="18BCB5FC">
      <w:pPr>
        <w:spacing w:before="1" w:line="219" w:lineRule="auto"/>
        <w:ind w:left="550"/>
        <w:rPr>
          <w:rFonts w:ascii="宋体" w:hAnsi="宋体" w:eastAsia="宋体" w:cs="宋体"/>
          <w:sz w:val="27"/>
          <w:szCs w:val="27"/>
        </w:rPr>
      </w:pPr>
      <w:r>
        <w:rPr>
          <w:rFonts w:ascii="宋体" w:hAnsi="宋体" w:eastAsia="宋体" w:cs="宋体"/>
          <w:spacing w:val="5"/>
          <w:sz w:val="27"/>
          <w:szCs w:val="27"/>
        </w:rPr>
        <w:t>说明对专用设备仪器购置费进行分析的结果及其合理性。</w:t>
      </w:r>
    </w:p>
    <w:p w14:paraId="095AA6F7">
      <w:pPr>
        <w:spacing w:before="59" w:line="222" w:lineRule="auto"/>
        <w:rPr>
          <w:rFonts w:ascii="黑体" w:hAnsi="黑体" w:eastAsia="黑体" w:cs="黑体"/>
          <w:sz w:val="27"/>
          <w:szCs w:val="27"/>
        </w:rPr>
      </w:pPr>
      <w:r>
        <w:rPr>
          <w:rFonts w:ascii="黑体" w:hAnsi="黑体" w:eastAsia="黑体" w:cs="黑体"/>
          <w:spacing w:val="4"/>
          <w:sz w:val="27"/>
          <w:szCs w:val="27"/>
        </w:rPr>
        <w:t>2.3.3.5  专用工艺装备费分析</w:t>
      </w:r>
    </w:p>
    <w:p w14:paraId="49612431">
      <w:pPr>
        <w:spacing w:before="97" w:line="283" w:lineRule="auto"/>
        <w:ind w:right="123" w:firstLine="550"/>
        <w:rPr>
          <w:rFonts w:ascii="宋体" w:hAnsi="宋体" w:eastAsia="宋体" w:cs="宋体"/>
          <w:sz w:val="27"/>
          <w:szCs w:val="27"/>
        </w:rPr>
      </w:pPr>
      <w:r>
        <w:rPr>
          <w:rFonts w:ascii="宋体" w:hAnsi="宋体" w:eastAsia="宋体" w:cs="宋体"/>
          <w:spacing w:val="5"/>
          <w:sz w:val="27"/>
          <w:szCs w:val="27"/>
        </w:rPr>
        <w:t>专用工艺装备费是指为产品研制进行工艺组织所发生的费用，包括工艺规</w:t>
      </w:r>
      <w:r>
        <w:rPr>
          <w:rFonts w:ascii="宋体" w:hAnsi="宋体" w:eastAsia="宋体" w:cs="宋体"/>
          <w:spacing w:val="10"/>
          <w:sz w:val="27"/>
          <w:szCs w:val="27"/>
        </w:rPr>
        <w:t xml:space="preserve"> </w:t>
      </w:r>
      <w:r>
        <w:rPr>
          <w:rFonts w:ascii="宋体" w:hAnsi="宋体" w:eastAsia="宋体" w:cs="宋体"/>
          <w:spacing w:val="-3"/>
          <w:sz w:val="27"/>
          <w:szCs w:val="27"/>
        </w:rPr>
        <w:t>程制定费、专用工艺研制费和工艺装备购置费。</w:t>
      </w:r>
    </w:p>
    <w:p w14:paraId="715F0F6A">
      <w:pPr>
        <w:spacing w:before="1" w:line="219" w:lineRule="auto"/>
        <w:ind w:left="550"/>
        <w:rPr>
          <w:rFonts w:ascii="宋体" w:hAnsi="宋体" w:eastAsia="宋体" w:cs="宋体"/>
          <w:sz w:val="27"/>
          <w:szCs w:val="27"/>
        </w:rPr>
      </w:pPr>
      <w:r>
        <w:rPr>
          <w:rFonts w:ascii="宋体" w:hAnsi="宋体" w:eastAsia="宋体" w:cs="宋体"/>
          <w:spacing w:val="5"/>
          <w:sz w:val="27"/>
          <w:szCs w:val="27"/>
        </w:rPr>
        <w:t>说明对专用工艺装备费进行分析的结果及其合理性。</w:t>
      </w:r>
    </w:p>
    <w:p w14:paraId="75FC074D">
      <w:pPr>
        <w:spacing w:line="219" w:lineRule="auto"/>
        <w:rPr>
          <w:rFonts w:ascii="宋体" w:hAnsi="宋体" w:eastAsia="宋体" w:cs="宋体"/>
          <w:sz w:val="27"/>
          <w:szCs w:val="27"/>
        </w:rPr>
        <w:sectPr>
          <w:footerReference r:id="rId140" w:type="default"/>
          <w:pgSz w:w="11910" w:h="17130"/>
          <w:pgMar w:top="400" w:right="1294" w:bottom="1673" w:left="1130" w:header="0" w:footer="1474" w:gutter="0"/>
          <w:cols w:space="720" w:num="1"/>
        </w:sectPr>
      </w:pPr>
    </w:p>
    <w:p w14:paraId="473B3C64">
      <w:pPr>
        <w:pStyle w:val="2"/>
        <w:spacing w:line="266" w:lineRule="auto"/>
      </w:pPr>
    </w:p>
    <w:p w14:paraId="3F9853B7">
      <w:pPr>
        <w:pStyle w:val="2"/>
        <w:spacing w:line="266" w:lineRule="auto"/>
      </w:pPr>
    </w:p>
    <w:p w14:paraId="67EC6F94">
      <w:pPr>
        <w:pStyle w:val="2"/>
        <w:spacing w:line="267" w:lineRule="auto"/>
      </w:pPr>
    </w:p>
    <w:p w14:paraId="17642D0B">
      <w:pPr>
        <w:pStyle w:val="2"/>
        <w:spacing w:line="267" w:lineRule="auto"/>
      </w:pPr>
    </w:p>
    <w:p w14:paraId="7B6C595B">
      <w:pPr>
        <w:pStyle w:val="2"/>
        <w:spacing w:before="87" w:line="368" w:lineRule="exact"/>
        <w:rPr>
          <w:rFonts w:ascii="黑体" w:hAnsi="黑体" w:eastAsia="黑体" w:cs="黑体"/>
          <w:sz w:val="27"/>
          <w:szCs w:val="27"/>
        </w:rPr>
      </w:pPr>
      <w:r>
        <w:rPr>
          <w:spacing w:val="1"/>
          <w:position w:val="1"/>
          <w:sz w:val="27"/>
          <w:szCs w:val="27"/>
        </w:rPr>
        <w:t>2.3.3.6</w:t>
      </w:r>
      <w:r>
        <w:rPr>
          <w:spacing w:val="14"/>
          <w:position w:val="1"/>
          <w:sz w:val="27"/>
          <w:szCs w:val="27"/>
        </w:rPr>
        <w:t xml:space="preserve">     </w:t>
      </w:r>
      <w:r>
        <w:rPr>
          <w:rFonts w:ascii="黑体" w:hAnsi="黑体" w:eastAsia="黑体" w:cs="黑体"/>
          <w:spacing w:val="1"/>
          <w:position w:val="1"/>
          <w:sz w:val="27"/>
          <w:szCs w:val="27"/>
        </w:rPr>
        <w:t>零星技术措施费分析</w:t>
      </w:r>
    </w:p>
    <w:p w14:paraId="6B11A76C">
      <w:pPr>
        <w:spacing w:before="38" w:line="288" w:lineRule="auto"/>
        <w:ind w:right="128" w:firstLine="560"/>
        <w:jc w:val="both"/>
        <w:rPr>
          <w:rFonts w:ascii="宋体" w:hAnsi="宋体" w:eastAsia="宋体" w:cs="宋体"/>
          <w:sz w:val="27"/>
          <w:szCs w:val="27"/>
        </w:rPr>
      </w:pPr>
      <w:r>
        <w:rPr>
          <w:rFonts w:ascii="宋体" w:hAnsi="宋体" w:eastAsia="宋体" w:cs="宋体"/>
          <w:spacing w:val="5"/>
          <w:sz w:val="27"/>
          <w:szCs w:val="27"/>
        </w:rPr>
        <w:t>零星技术措施费是指为完成研制任务而必须对现有设施条件进行的单项价</w:t>
      </w:r>
      <w:r>
        <w:rPr>
          <w:rFonts w:ascii="宋体" w:hAnsi="宋体" w:eastAsia="宋体" w:cs="宋体"/>
          <w:sz w:val="27"/>
          <w:szCs w:val="27"/>
        </w:rPr>
        <w:t xml:space="preserve"> </w:t>
      </w:r>
      <w:r>
        <w:rPr>
          <w:rFonts w:ascii="宋体" w:hAnsi="宋体" w:eastAsia="宋体" w:cs="宋体"/>
          <w:spacing w:val="6"/>
          <w:sz w:val="27"/>
          <w:szCs w:val="27"/>
        </w:rPr>
        <w:t>值在10万元以下的零星技术改造或零星土建</w:t>
      </w:r>
      <w:r>
        <w:rPr>
          <w:rFonts w:ascii="宋体" w:hAnsi="宋体" w:eastAsia="宋体" w:cs="宋体"/>
          <w:spacing w:val="5"/>
          <w:sz w:val="27"/>
          <w:szCs w:val="27"/>
        </w:rPr>
        <w:t>工程费，包括设计、施工、材料消</w:t>
      </w:r>
      <w:r>
        <w:rPr>
          <w:rFonts w:ascii="宋体" w:hAnsi="宋体" w:eastAsia="宋体" w:cs="宋体"/>
          <w:sz w:val="27"/>
          <w:szCs w:val="27"/>
        </w:rPr>
        <w:t xml:space="preserve"> </w:t>
      </w:r>
      <w:r>
        <w:rPr>
          <w:rFonts w:ascii="宋体" w:hAnsi="宋体" w:eastAsia="宋体" w:cs="宋体"/>
          <w:spacing w:val="-10"/>
          <w:sz w:val="27"/>
          <w:szCs w:val="27"/>
        </w:rPr>
        <w:t>耗、器件购置等费用。</w:t>
      </w:r>
    </w:p>
    <w:p w14:paraId="4668B262">
      <w:pPr>
        <w:spacing w:line="219" w:lineRule="auto"/>
        <w:ind w:left="560"/>
        <w:rPr>
          <w:rFonts w:ascii="宋体" w:hAnsi="宋体" w:eastAsia="宋体" w:cs="宋体"/>
          <w:sz w:val="27"/>
          <w:szCs w:val="27"/>
        </w:rPr>
      </w:pPr>
      <w:r>
        <w:rPr>
          <w:rFonts w:ascii="宋体" w:hAnsi="宋体" w:eastAsia="宋体" w:cs="宋体"/>
          <w:spacing w:val="4"/>
          <w:sz w:val="27"/>
          <w:szCs w:val="27"/>
        </w:rPr>
        <w:t>说明对零星技术措施费进行分析的结果及其合理性。</w:t>
      </w:r>
    </w:p>
    <w:p w14:paraId="633CFD72">
      <w:pPr>
        <w:spacing w:before="79" w:line="222" w:lineRule="auto"/>
        <w:rPr>
          <w:rFonts w:ascii="黑体" w:hAnsi="黑体" w:eastAsia="黑体" w:cs="黑体"/>
          <w:sz w:val="27"/>
          <w:szCs w:val="27"/>
        </w:rPr>
      </w:pPr>
      <w:r>
        <w:rPr>
          <w:rFonts w:ascii="黑体" w:hAnsi="黑体" w:eastAsia="黑体" w:cs="黑体"/>
          <w:spacing w:val="2"/>
          <w:sz w:val="27"/>
          <w:szCs w:val="27"/>
        </w:rPr>
        <w:t>2.3.3.7</w:t>
      </w:r>
      <w:r>
        <w:rPr>
          <w:rFonts w:ascii="黑体" w:hAnsi="黑体" w:eastAsia="黑体" w:cs="黑体"/>
          <w:spacing w:val="21"/>
          <w:sz w:val="27"/>
          <w:szCs w:val="27"/>
        </w:rPr>
        <w:t xml:space="preserve">  </w:t>
      </w:r>
      <w:r>
        <w:rPr>
          <w:rFonts w:ascii="黑体" w:hAnsi="黑体" w:eastAsia="黑体" w:cs="黑体"/>
          <w:spacing w:val="2"/>
          <w:sz w:val="27"/>
          <w:szCs w:val="27"/>
        </w:rPr>
        <w:t>样品样机购置费分析</w:t>
      </w:r>
    </w:p>
    <w:p w14:paraId="70540A5B">
      <w:pPr>
        <w:spacing w:before="103" w:line="296" w:lineRule="auto"/>
        <w:ind w:firstLine="560"/>
        <w:rPr>
          <w:rFonts w:ascii="宋体" w:hAnsi="宋体" w:eastAsia="宋体" w:cs="宋体"/>
          <w:sz w:val="25"/>
          <w:szCs w:val="25"/>
        </w:rPr>
      </w:pPr>
      <w:r>
        <w:rPr>
          <w:rFonts w:ascii="宋体" w:hAnsi="宋体" w:eastAsia="宋体" w:cs="宋体"/>
          <w:spacing w:val="29"/>
          <w:sz w:val="25"/>
          <w:szCs w:val="25"/>
        </w:rPr>
        <w:t>样品样机购置费是指为产品研制购置的能反映研制项目整体或部分性能、</w:t>
      </w:r>
      <w:r>
        <w:rPr>
          <w:rFonts w:ascii="宋体" w:hAnsi="宋体" w:eastAsia="宋体" w:cs="宋体"/>
          <w:spacing w:val="16"/>
          <w:sz w:val="25"/>
          <w:szCs w:val="25"/>
        </w:rPr>
        <w:t xml:space="preserve"> </w:t>
      </w:r>
      <w:r>
        <w:rPr>
          <w:rFonts w:ascii="宋体" w:hAnsi="宋体" w:eastAsia="宋体" w:cs="宋体"/>
          <w:spacing w:val="12"/>
          <w:sz w:val="25"/>
          <w:szCs w:val="25"/>
        </w:rPr>
        <w:t>特征、结构、原理及技术指标的实物所发生的</w:t>
      </w:r>
      <w:r>
        <w:rPr>
          <w:rFonts w:ascii="宋体" w:hAnsi="宋体" w:eastAsia="宋体" w:cs="宋体"/>
          <w:spacing w:val="11"/>
          <w:sz w:val="25"/>
          <w:szCs w:val="25"/>
        </w:rPr>
        <w:t>费用。</w:t>
      </w:r>
    </w:p>
    <w:p w14:paraId="0D072AC6">
      <w:pPr>
        <w:spacing w:before="1" w:line="219" w:lineRule="auto"/>
        <w:ind w:left="560"/>
        <w:rPr>
          <w:rFonts w:ascii="宋体" w:hAnsi="宋体" w:eastAsia="宋体" w:cs="宋体"/>
          <w:sz w:val="27"/>
          <w:szCs w:val="27"/>
        </w:rPr>
      </w:pPr>
      <w:r>
        <w:rPr>
          <w:rFonts w:ascii="宋体" w:hAnsi="宋体" w:eastAsia="宋体" w:cs="宋体"/>
          <w:spacing w:val="3"/>
          <w:sz w:val="27"/>
          <w:szCs w:val="27"/>
        </w:rPr>
        <w:t>说明对外协费进行分析的结果及其合理性。</w:t>
      </w:r>
    </w:p>
    <w:p w14:paraId="1E9CC4B9">
      <w:pPr>
        <w:pStyle w:val="2"/>
        <w:spacing w:before="19" w:line="368" w:lineRule="exact"/>
        <w:rPr>
          <w:rFonts w:ascii="黑体" w:hAnsi="黑体" w:eastAsia="黑体" w:cs="黑体"/>
          <w:sz w:val="27"/>
          <w:szCs w:val="27"/>
        </w:rPr>
      </w:pPr>
      <w:r>
        <w:rPr>
          <w:spacing w:val="2"/>
          <w:position w:val="1"/>
          <w:sz w:val="27"/>
          <w:szCs w:val="27"/>
        </w:rPr>
        <w:t>2.3.3.8</w:t>
      </w:r>
      <w:r>
        <w:rPr>
          <w:spacing w:val="12"/>
          <w:position w:val="1"/>
          <w:sz w:val="27"/>
          <w:szCs w:val="27"/>
        </w:rPr>
        <w:t xml:space="preserve">     </w:t>
      </w:r>
      <w:r>
        <w:rPr>
          <w:rFonts w:ascii="黑体" w:hAnsi="黑体" w:eastAsia="黑体" w:cs="黑体"/>
          <w:spacing w:val="2"/>
          <w:position w:val="1"/>
          <w:sz w:val="27"/>
          <w:szCs w:val="27"/>
        </w:rPr>
        <w:t>技术基础费分析</w:t>
      </w:r>
    </w:p>
    <w:p w14:paraId="2135F138">
      <w:pPr>
        <w:spacing w:before="112" w:line="270" w:lineRule="auto"/>
        <w:ind w:right="112" w:firstLine="560"/>
        <w:rPr>
          <w:rFonts w:ascii="宋体" w:hAnsi="宋体" w:eastAsia="宋体" w:cs="宋体"/>
          <w:sz w:val="27"/>
          <w:szCs w:val="27"/>
        </w:rPr>
      </w:pPr>
      <w:r>
        <w:rPr>
          <w:rFonts w:ascii="宋体" w:hAnsi="宋体" w:eastAsia="宋体" w:cs="宋体"/>
          <w:spacing w:val="-2"/>
          <w:sz w:val="27"/>
          <w:szCs w:val="27"/>
        </w:rPr>
        <w:t>技术基础费是指为配合产品研制需直接开支的</w:t>
      </w:r>
      <w:r>
        <w:rPr>
          <w:rFonts w:ascii="宋体" w:hAnsi="宋体" w:eastAsia="宋体" w:cs="宋体"/>
          <w:spacing w:val="-3"/>
          <w:sz w:val="27"/>
          <w:szCs w:val="27"/>
        </w:rPr>
        <w:t>标准、计量、情报资料等技术</w:t>
      </w:r>
      <w:r>
        <w:rPr>
          <w:rFonts w:ascii="宋体" w:hAnsi="宋体" w:eastAsia="宋体" w:cs="宋体"/>
          <w:sz w:val="27"/>
          <w:szCs w:val="27"/>
        </w:rPr>
        <w:t xml:space="preserve"> </w:t>
      </w:r>
      <w:r>
        <w:rPr>
          <w:rFonts w:ascii="宋体" w:hAnsi="宋体" w:eastAsia="宋体" w:cs="宋体"/>
          <w:spacing w:val="-1"/>
          <w:sz w:val="27"/>
          <w:szCs w:val="27"/>
        </w:rPr>
        <w:t>基础费用。</w:t>
      </w:r>
    </w:p>
    <w:p w14:paraId="6E4A35B8">
      <w:pPr>
        <w:spacing w:before="1" w:line="218" w:lineRule="auto"/>
        <w:ind w:left="560"/>
        <w:rPr>
          <w:rFonts w:ascii="宋体" w:hAnsi="宋体" w:eastAsia="宋体" w:cs="宋体"/>
          <w:sz w:val="27"/>
          <w:szCs w:val="27"/>
        </w:rPr>
      </w:pPr>
      <w:r>
        <w:rPr>
          <w:rFonts w:ascii="宋体" w:hAnsi="宋体" w:eastAsia="宋体" w:cs="宋体"/>
          <w:spacing w:val="4"/>
          <w:sz w:val="27"/>
          <w:szCs w:val="27"/>
        </w:rPr>
        <w:t>说明对样品样机购置费进行分析的结果及其合理性。</w:t>
      </w:r>
    </w:p>
    <w:p w14:paraId="0BDBB83F">
      <w:pPr>
        <w:spacing w:before="108" w:line="222" w:lineRule="auto"/>
        <w:rPr>
          <w:rFonts w:ascii="黑体" w:hAnsi="黑体" w:eastAsia="黑体" w:cs="黑体"/>
          <w:sz w:val="25"/>
          <w:szCs w:val="25"/>
        </w:rPr>
      </w:pPr>
      <w:r>
        <w:rPr>
          <w:rFonts w:ascii="黑体" w:hAnsi="黑体" w:eastAsia="黑体" w:cs="黑体"/>
          <w:spacing w:val="12"/>
          <w:sz w:val="25"/>
          <w:szCs w:val="25"/>
        </w:rPr>
        <w:t>2.3.4</w:t>
      </w:r>
      <w:r>
        <w:rPr>
          <w:rFonts w:ascii="黑体" w:hAnsi="黑体" w:eastAsia="黑体" w:cs="黑体"/>
          <w:spacing w:val="61"/>
          <w:sz w:val="25"/>
          <w:szCs w:val="25"/>
        </w:rPr>
        <w:t xml:space="preserve">  </w:t>
      </w:r>
      <w:r>
        <w:rPr>
          <w:rFonts w:ascii="黑体" w:hAnsi="黑体" w:eastAsia="黑体" w:cs="黑体"/>
          <w:spacing w:val="12"/>
          <w:sz w:val="25"/>
          <w:szCs w:val="25"/>
        </w:rPr>
        <w:t>研制费用分析</w:t>
      </w:r>
    </w:p>
    <w:p w14:paraId="66B7C734">
      <w:pPr>
        <w:spacing w:before="112" w:line="277" w:lineRule="auto"/>
        <w:ind w:right="109" w:firstLine="560"/>
        <w:jc w:val="both"/>
        <w:rPr>
          <w:rFonts w:ascii="宋体" w:hAnsi="宋体" w:eastAsia="宋体" w:cs="宋体"/>
          <w:sz w:val="27"/>
          <w:szCs w:val="27"/>
        </w:rPr>
      </w:pPr>
      <w:r>
        <w:rPr>
          <w:rFonts w:ascii="宋体" w:hAnsi="宋体" w:eastAsia="宋体" w:cs="宋体"/>
          <w:spacing w:val="6"/>
          <w:sz w:val="27"/>
          <w:szCs w:val="27"/>
        </w:rPr>
        <w:t>研制费用是指研究单位为组织和管理研制生产所发生的各种费用，相当于</w:t>
      </w:r>
      <w:r>
        <w:rPr>
          <w:rFonts w:ascii="宋体" w:hAnsi="宋体" w:eastAsia="宋体" w:cs="宋体"/>
          <w:spacing w:val="2"/>
          <w:sz w:val="27"/>
          <w:szCs w:val="27"/>
        </w:rPr>
        <w:t xml:space="preserve"> </w:t>
      </w:r>
      <w:r>
        <w:rPr>
          <w:rFonts w:ascii="宋体" w:hAnsi="宋体" w:eastAsia="宋体" w:cs="宋体"/>
          <w:spacing w:val="-3"/>
          <w:sz w:val="27"/>
          <w:szCs w:val="27"/>
        </w:rPr>
        <w:t>企业的制造费用。研制费用包括研制单位管理人员的工资、奖金、津贴、补贴及</w:t>
      </w:r>
      <w:r>
        <w:rPr>
          <w:rFonts w:ascii="宋体" w:hAnsi="宋体" w:eastAsia="宋体" w:cs="宋体"/>
          <w:spacing w:val="18"/>
          <w:sz w:val="27"/>
          <w:szCs w:val="27"/>
        </w:rPr>
        <w:t xml:space="preserve"> </w:t>
      </w:r>
      <w:r>
        <w:rPr>
          <w:rFonts w:ascii="宋体" w:hAnsi="宋体" w:eastAsia="宋体" w:cs="宋体"/>
          <w:spacing w:val="-17"/>
          <w:sz w:val="27"/>
          <w:szCs w:val="27"/>
        </w:rPr>
        <w:t>职工福利费、固定资产使用费、租赁费、修理费、低值易耗品、取暖费、水电费、办</w:t>
      </w:r>
      <w:r>
        <w:rPr>
          <w:rFonts w:ascii="宋体" w:hAnsi="宋体" w:eastAsia="宋体" w:cs="宋体"/>
          <w:spacing w:val="2"/>
          <w:sz w:val="27"/>
          <w:szCs w:val="27"/>
        </w:rPr>
        <w:t xml:space="preserve"> </w:t>
      </w:r>
      <w:r>
        <w:rPr>
          <w:rFonts w:ascii="宋体" w:hAnsi="宋体" w:eastAsia="宋体" w:cs="宋体"/>
          <w:spacing w:val="-17"/>
          <w:sz w:val="27"/>
          <w:szCs w:val="27"/>
        </w:rPr>
        <w:t>公费、差旅费、运输费、保险费、检验费和劳动保护费等。</w:t>
      </w:r>
    </w:p>
    <w:p w14:paraId="7EC92C66">
      <w:pPr>
        <w:spacing w:line="219" w:lineRule="auto"/>
        <w:ind w:left="560"/>
        <w:rPr>
          <w:rFonts w:ascii="宋体" w:hAnsi="宋体" w:eastAsia="宋体" w:cs="宋体"/>
          <w:sz w:val="27"/>
          <w:szCs w:val="27"/>
        </w:rPr>
      </w:pPr>
      <w:r>
        <w:rPr>
          <w:rFonts w:ascii="宋体" w:hAnsi="宋体" w:eastAsia="宋体" w:cs="宋体"/>
          <w:spacing w:val="3"/>
          <w:sz w:val="27"/>
          <w:szCs w:val="27"/>
        </w:rPr>
        <w:t>说明对研制费用进行分析的结果及其合理性。</w:t>
      </w:r>
    </w:p>
    <w:p w14:paraId="637A73FC">
      <w:pPr>
        <w:spacing w:before="90" w:line="222" w:lineRule="auto"/>
        <w:rPr>
          <w:rFonts w:ascii="黑体" w:hAnsi="黑体" w:eastAsia="黑体" w:cs="黑体"/>
          <w:sz w:val="27"/>
          <w:szCs w:val="27"/>
        </w:rPr>
      </w:pPr>
      <w:r>
        <w:rPr>
          <w:rFonts w:ascii="黑体" w:hAnsi="黑体" w:eastAsia="黑体" w:cs="黑体"/>
          <w:spacing w:val="1"/>
          <w:sz w:val="27"/>
          <w:szCs w:val="27"/>
        </w:rPr>
        <w:t>2.3.5</w:t>
      </w:r>
      <w:r>
        <w:rPr>
          <w:rFonts w:ascii="黑体" w:hAnsi="黑体" w:eastAsia="黑体" w:cs="黑体"/>
          <w:spacing w:val="26"/>
          <w:sz w:val="27"/>
          <w:szCs w:val="27"/>
        </w:rPr>
        <w:t xml:space="preserve">  </w:t>
      </w:r>
      <w:r>
        <w:rPr>
          <w:rFonts w:ascii="黑体" w:hAnsi="黑体" w:eastAsia="黑体" w:cs="黑体"/>
          <w:spacing w:val="1"/>
          <w:sz w:val="27"/>
          <w:szCs w:val="27"/>
        </w:rPr>
        <w:t>管理费用分析</w:t>
      </w:r>
    </w:p>
    <w:p w14:paraId="42B64ED1">
      <w:pPr>
        <w:spacing w:before="93" w:line="279" w:lineRule="auto"/>
        <w:ind w:right="20" w:firstLine="560"/>
        <w:jc w:val="both"/>
        <w:rPr>
          <w:rFonts w:ascii="宋体" w:hAnsi="宋体" w:eastAsia="宋体" w:cs="宋体"/>
          <w:sz w:val="27"/>
          <w:szCs w:val="27"/>
        </w:rPr>
      </w:pPr>
      <w:r>
        <w:rPr>
          <w:rFonts w:ascii="宋体" w:hAnsi="宋体" w:eastAsia="宋体" w:cs="宋体"/>
          <w:spacing w:val="9"/>
          <w:sz w:val="27"/>
          <w:szCs w:val="27"/>
        </w:rPr>
        <w:t>管理费是指行政管理部门为组织和管理研制生产活动而开支的</w:t>
      </w:r>
      <w:r>
        <w:rPr>
          <w:rFonts w:ascii="宋体" w:hAnsi="宋体" w:eastAsia="宋体" w:cs="宋体"/>
          <w:spacing w:val="8"/>
          <w:sz w:val="27"/>
          <w:szCs w:val="27"/>
        </w:rPr>
        <w:t>各项费用，</w:t>
      </w:r>
      <w:r>
        <w:rPr>
          <w:rFonts w:ascii="宋体" w:hAnsi="宋体" w:eastAsia="宋体" w:cs="宋体"/>
          <w:sz w:val="27"/>
          <w:szCs w:val="27"/>
        </w:rPr>
        <w:t xml:space="preserve"> </w:t>
      </w:r>
      <w:r>
        <w:rPr>
          <w:rFonts w:ascii="宋体" w:hAnsi="宋体" w:eastAsia="宋体" w:cs="宋体"/>
          <w:spacing w:val="-17"/>
          <w:sz w:val="27"/>
          <w:szCs w:val="27"/>
        </w:rPr>
        <w:t>包括管理人员的工资、奖金、津贴、补贴、职工福利费、工会经费、职工教育费</w:t>
      </w:r>
      <w:r>
        <w:rPr>
          <w:rFonts w:ascii="宋体" w:hAnsi="宋体" w:eastAsia="宋体" w:cs="宋体"/>
          <w:spacing w:val="-18"/>
          <w:sz w:val="27"/>
          <w:szCs w:val="27"/>
        </w:rPr>
        <w:t>、社</w:t>
      </w:r>
      <w:r>
        <w:rPr>
          <w:rFonts w:ascii="宋体" w:hAnsi="宋体" w:eastAsia="宋体" w:cs="宋体"/>
          <w:sz w:val="27"/>
          <w:szCs w:val="27"/>
        </w:rPr>
        <w:t xml:space="preserve">  </w:t>
      </w:r>
      <w:r>
        <w:rPr>
          <w:rFonts w:ascii="宋体" w:hAnsi="宋体" w:eastAsia="宋体" w:cs="宋体"/>
          <w:spacing w:val="-24"/>
          <w:sz w:val="27"/>
          <w:szCs w:val="27"/>
        </w:rPr>
        <w:t>会保障费、劳保用品费、办公费、邮电通信费、水电费、会议费、差旅费、取暖费、外</w:t>
      </w:r>
      <w:r>
        <w:rPr>
          <w:rFonts w:ascii="宋体" w:hAnsi="宋体" w:eastAsia="宋体" w:cs="宋体"/>
          <w:spacing w:val="8"/>
          <w:sz w:val="27"/>
          <w:szCs w:val="27"/>
        </w:rPr>
        <w:t xml:space="preserve">  </w:t>
      </w:r>
      <w:r>
        <w:rPr>
          <w:rFonts w:ascii="宋体" w:hAnsi="宋体" w:eastAsia="宋体" w:cs="宋体"/>
          <w:spacing w:val="-17"/>
          <w:sz w:val="27"/>
          <w:szCs w:val="27"/>
        </w:rPr>
        <w:t>事费、交通运输费、图书资料费、修理及修缮费、固定资产使用费、环境保护费</w:t>
      </w:r>
      <w:r>
        <w:rPr>
          <w:rFonts w:ascii="宋体" w:hAnsi="宋体" w:eastAsia="宋体" w:cs="宋体"/>
          <w:spacing w:val="-18"/>
          <w:sz w:val="27"/>
          <w:szCs w:val="27"/>
        </w:rPr>
        <w:t>、无</w:t>
      </w:r>
      <w:r>
        <w:rPr>
          <w:rFonts w:ascii="宋体" w:hAnsi="宋体" w:eastAsia="宋体" w:cs="宋体"/>
          <w:sz w:val="27"/>
          <w:szCs w:val="27"/>
        </w:rPr>
        <w:t xml:space="preserve">  </w:t>
      </w:r>
      <w:r>
        <w:rPr>
          <w:rFonts w:ascii="宋体" w:hAnsi="宋体" w:eastAsia="宋体" w:cs="宋体"/>
          <w:spacing w:val="-17"/>
          <w:sz w:val="27"/>
          <w:szCs w:val="27"/>
        </w:rPr>
        <w:t>形资产摊销、低值易耗品摊销、技术开发费、材料盘亏、毁损和报废、消防费、</w:t>
      </w:r>
      <w:r>
        <w:rPr>
          <w:rFonts w:ascii="宋体" w:hAnsi="宋体" w:eastAsia="宋体" w:cs="宋体"/>
          <w:spacing w:val="-18"/>
          <w:sz w:val="27"/>
          <w:szCs w:val="27"/>
        </w:rPr>
        <w:t>保险</w:t>
      </w:r>
      <w:r>
        <w:rPr>
          <w:rFonts w:ascii="宋体" w:hAnsi="宋体" w:eastAsia="宋体" w:cs="宋体"/>
          <w:sz w:val="27"/>
          <w:szCs w:val="27"/>
        </w:rPr>
        <w:t xml:space="preserve">  </w:t>
      </w:r>
      <w:r>
        <w:rPr>
          <w:rFonts w:ascii="宋体" w:hAnsi="宋体" w:eastAsia="宋体" w:cs="宋体"/>
          <w:spacing w:val="-17"/>
          <w:sz w:val="27"/>
          <w:szCs w:val="27"/>
        </w:rPr>
        <w:t>费、咨询费、团体会费(包括各种学会、协会、研究会会费)、家属委员会经费、互联</w:t>
      </w:r>
      <w:r>
        <w:rPr>
          <w:rFonts w:ascii="宋体" w:hAnsi="宋体" w:eastAsia="宋体" w:cs="宋体"/>
          <w:spacing w:val="7"/>
          <w:sz w:val="27"/>
          <w:szCs w:val="27"/>
        </w:rPr>
        <w:t xml:space="preserve">  </w:t>
      </w:r>
      <w:r>
        <w:rPr>
          <w:rFonts w:ascii="宋体" w:hAnsi="宋体" w:eastAsia="宋体" w:cs="宋体"/>
          <w:spacing w:val="-10"/>
          <w:sz w:val="27"/>
          <w:szCs w:val="27"/>
        </w:rPr>
        <w:t>网安装费、按照国家规定标准发放的独生子女保健费、审计费、诉讼费、业务招待</w:t>
      </w:r>
      <w:r>
        <w:rPr>
          <w:rFonts w:ascii="宋体" w:hAnsi="宋体" w:eastAsia="宋体" w:cs="宋体"/>
          <w:spacing w:val="1"/>
          <w:sz w:val="27"/>
          <w:szCs w:val="27"/>
        </w:rPr>
        <w:t xml:space="preserve">  </w:t>
      </w:r>
      <w:r>
        <w:rPr>
          <w:rFonts w:ascii="宋体" w:hAnsi="宋体" w:eastAsia="宋体" w:cs="宋体"/>
          <w:spacing w:val="-9"/>
          <w:sz w:val="27"/>
          <w:szCs w:val="27"/>
        </w:rPr>
        <w:t>费、税金及上缴管理费等。</w:t>
      </w:r>
    </w:p>
    <w:p w14:paraId="2332DDAE">
      <w:pPr>
        <w:spacing w:before="8" w:line="219" w:lineRule="auto"/>
        <w:ind w:left="560"/>
        <w:rPr>
          <w:rFonts w:ascii="宋体" w:hAnsi="宋体" w:eastAsia="宋体" w:cs="宋体"/>
          <w:sz w:val="27"/>
          <w:szCs w:val="27"/>
        </w:rPr>
      </w:pPr>
      <w:r>
        <w:rPr>
          <w:rFonts w:ascii="宋体" w:hAnsi="宋体" w:eastAsia="宋体" w:cs="宋体"/>
          <w:spacing w:val="3"/>
          <w:sz w:val="27"/>
          <w:szCs w:val="27"/>
        </w:rPr>
        <w:t>说明对应分摊的管理费用进行分析的结果及其合理性。</w:t>
      </w:r>
    </w:p>
    <w:p w14:paraId="275297F3">
      <w:pPr>
        <w:spacing w:before="67" w:line="221" w:lineRule="auto"/>
        <w:rPr>
          <w:rFonts w:ascii="黑体" w:hAnsi="黑体" w:eastAsia="黑体" w:cs="黑体"/>
          <w:sz w:val="27"/>
          <w:szCs w:val="27"/>
        </w:rPr>
      </w:pPr>
      <w:r>
        <w:rPr>
          <w:rFonts w:ascii="黑体" w:hAnsi="黑体" w:eastAsia="黑体" w:cs="黑体"/>
          <w:spacing w:val="1"/>
          <w:sz w:val="27"/>
          <w:szCs w:val="27"/>
        </w:rPr>
        <w:t>2.3.6</w:t>
      </w:r>
      <w:r>
        <w:rPr>
          <w:rFonts w:ascii="黑体" w:hAnsi="黑体" w:eastAsia="黑体" w:cs="黑体"/>
          <w:spacing w:val="26"/>
          <w:sz w:val="27"/>
          <w:szCs w:val="27"/>
        </w:rPr>
        <w:t xml:space="preserve">  </w:t>
      </w:r>
      <w:r>
        <w:rPr>
          <w:rFonts w:ascii="黑体" w:hAnsi="黑体" w:eastAsia="黑体" w:cs="黑体"/>
          <w:spacing w:val="1"/>
          <w:sz w:val="27"/>
          <w:szCs w:val="27"/>
        </w:rPr>
        <w:t>财务费用分析</w:t>
      </w:r>
    </w:p>
    <w:p w14:paraId="5EE6AF48">
      <w:pPr>
        <w:spacing w:before="118" w:line="268" w:lineRule="auto"/>
        <w:ind w:right="111" w:firstLine="560"/>
        <w:rPr>
          <w:rFonts w:ascii="宋体" w:hAnsi="宋体" w:eastAsia="宋体" w:cs="宋体"/>
          <w:sz w:val="27"/>
          <w:szCs w:val="27"/>
        </w:rPr>
      </w:pPr>
      <w:r>
        <w:rPr>
          <w:rFonts w:ascii="宋体" w:hAnsi="宋体" w:eastAsia="宋体" w:cs="宋体"/>
          <w:spacing w:val="-2"/>
          <w:sz w:val="27"/>
          <w:szCs w:val="27"/>
        </w:rPr>
        <w:t>财务费用是指在经营期间为筹集资金而发生的各</w:t>
      </w:r>
      <w:r>
        <w:rPr>
          <w:rFonts w:ascii="宋体" w:hAnsi="宋体" w:eastAsia="宋体" w:cs="宋体"/>
          <w:spacing w:val="-3"/>
          <w:sz w:val="27"/>
          <w:szCs w:val="27"/>
        </w:rPr>
        <w:t>项费用，包括利息支出、汇</w:t>
      </w:r>
      <w:r>
        <w:rPr>
          <w:rFonts w:ascii="宋体" w:hAnsi="宋体" w:eastAsia="宋体" w:cs="宋体"/>
          <w:sz w:val="27"/>
          <w:szCs w:val="27"/>
        </w:rPr>
        <w:t xml:space="preserve"> </w:t>
      </w:r>
      <w:r>
        <w:rPr>
          <w:rFonts w:ascii="宋体" w:hAnsi="宋体" w:eastAsia="宋体" w:cs="宋体"/>
          <w:spacing w:val="-3"/>
          <w:sz w:val="27"/>
          <w:szCs w:val="27"/>
        </w:rPr>
        <w:t>兑损益、金融机构手续费以及为筹资发生的其他费用。</w:t>
      </w:r>
    </w:p>
    <w:p w14:paraId="76864E1E">
      <w:pPr>
        <w:spacing w:before="27" w:line="219" w:lineRule="auto"/>
        <w:ind w:left="560"/>
        <w:rPr>
          <w:rFonts w:ascii="宋体" w:hAnsi="宋体" w:eastAsia="宋体" w:cs="宋体"/>
          <w:sz w:val="27"/>
          <w:szCs w:val="27"/>
        </w:rPr>
      </w:pPr>
      <w:r>
        <w:rPr>
          <w:rFonts w:ascii="宋体" w:hAnsi="宋体" w:eastAsia="宋体" w:cs="宋体"/>
          <w:spacing w:val="3"/>
          <w:sz w:val="27"/>
          <w:szCs w:val="27"/>
        </w:rPr>
        <w:t>说明对应分摊的财务费用进行分析的结果及其合理性。</w:t>
      </w:r>
    </w:p>
    <w:p w14:paraId="6B4B84AA">
      <w:pPr>
        <w:spacing w:line="219" w:lineRule="auto"/>
        <w:rPr>
          <w:rFonts w:ascii="宋体" w:hAnsi="宋体" w:eastAsia="宋体" w:cs="宋体"/>
          <w:sz w:val="27"/>
          <w:szCs w:val="27"/>
        </w:rPr>
        <w:sectPr>
          <w:footerReference r:id="rId141" w:type="default"/>
          <w:pgSz w:w="11910" w:h="17130"/>
          <w:pgMar w:top="400" w:right="754" w:bottom="1533" w:left="1650" w:header="0" w:footer="1344" w:gutter="0"/>
          <w:cols w:space="720" w:num="1"/>
        </w:sectPr>
      </w:pPr>
    </w:p>
    <w:p w14:paraId="056BFA32">
      <w:pPr>
        <w:pStyle w:val="2"/>
        <w:spacing w:line="272" w:lineRule="auto"/>
      </w:pPr>
    </w:p>
    <w:p w14:paraId="2BD5CC7B">
      <w:pPr>
        <w:pStyle w:val="2"/>
        <w:spacing w:line="273" w:lineRule="auto"/>
      </w:pPr>
    </w:p>
    <w:p w14:paraId="63728164">
      <w:pPr>
        <w:pStyle w:val="2"/>
        <w:spacing w:line="273" w:lineRule="auto"/>
      </w:pPr>
    </w:p>
    <w:p w14:paraId="515C7676">
      <w:pPr>
        <w:pStyle w:val="2"/>
        <w:spacing w:line="273" w:lineRule="auto"/>
      </w:pPr>
    </w:p>
    <w:p w14:paraId="6529E01B">
      <w:pPr>
        <w:spacing w:before="78" w:line="222" w:lineRule="auto"/>
        <w:rPr>
          <w:rFonts w:ascii="黑体" w:hAnsi="黑体" w:eastAsia="黑体" w:cs="黑体"/>
          <w:sz w:val="24"/>
          <w:szCs w:val="24"/>
        </w:rPr>
      </w:pPr>
      <w:r>
        <w:rPr>
          <w:rFonts w:ascii="黑体" w:hAnsi="黑体" w:eastAsia="黑体" w:cs="黑体"/>
          <w:spacing w:val="15"/>
          <w:sz w:val="24"/>
          <w:szCs w:val="24"/>
        </w:rPr>
        <w:t>2.3.7</w:t>
      </w:r>
      <w:r>
        <w:rPr>
          <w:rFonts w:ascii="黑体" w:hAnsi="黑体" w:eastAsia="黑体" w:cs="黑体"/>
          <w:spacing w:val="8"/>
          <w:sz w:val="24"/>
          <w:szCs w:val="24"/>
        </w:rPr>
        <w:t xml:space="preserve">   </w:t>
      </w:r>
      <w:r>
        <w:rPr>
          <w:rFonts w:ascii="黑体" w:hAnsi="黑体" w:eastAsia="黑体" w:cs="黑体"/>
          <w:b/>
          <w:bCs/>
          <w:spacing w:val="15"/>
          <w:sz w:val="24"/>
          <w:szCs w:val="24"/>
        </w:rPr>
        <w:t>经营费用分析</w:t>
      </w:r>
    </w:p>
    <w:p w14:paraId="18456E3C">
      <w:pPr>
        <w:spacing w:before="102" w:line="286" w:lineRule="auto"/>
        <w:ind w:right="1" w:firstLine="560"/>
        <w:jc w:val="both"/>
        <w:rPr>
          <w:rFonts w:ascii="宋体" w:hAnsi="宋体" w:eastAsia="宋体" w:cs="宋体"/>
          <w:sz w:val="27"/>
          <w:szCs w:val="27"/>
        </w:rPr>
      </w:pPr>
      <w:r>
        <w:rPr>
          <w:rFonts w:ascii="宋体" w:hAnsi="宋体" w:eastAsia="宋体" w:cs="宋体"/>
          <w:spacing w:val="-4"/>
          <w:sz w:val="27"/>
          <w:szCs w:val="27"/>
        </w:rPr>
        <w:t>经营费用是指在销售产品、提供劳务和其他经营活动中发生的各种费用，包</w:t>
      </w:r>
      <w:r>
        <w:rPr>
          <w:rFonts w:ascii="宋体" w:hAnsi="宋体" w:eastAsia="宋体" w:cs="宋体"/>
          <w:spacing w:val="13"/>
          <w:sz w:val="27"/>
          <w:szCs w:val="27"/>
        </w:rPr>
        <w:t xml:space="preserve"> </w:t>
      </w:r>
      <w:r>
        <w:rPr>
          <w:rFonts w:ascii="宋体" w:hAnsi="宋体" w:eastAsia="宋体" w:cs="宋体"/>
          <w:spacing w:val="-17"/>
          <w:sz w:val="27"/>
          <w:szCs w:val="27"/>
        </w:rPr>
        <w:t>括运输费、装卸费、包装费、广告费、租赁费、委托代销手续费、销售服务</w:t>
      </w:r>
      <w:r>
        <w:rPr>
          <w:rFonts w:ascii="宋体" w:hAnsi="宋体" w:eastAsia="宋体" w:cs="宋体"/>
          <w:spacing w:val="-18"/>
          <w:sz w:val="27"/>
          <w:szCs w:val="27"/>
        </w:rPr>
        <w:t>费以及销</w:t>
      </w:r>
      <w:r>
        <w:rPr>
          <w:rFonts w:ascii="宋体" w:hAnsi="宋体" w:eastAsia="宋体" w:cs="宋体"/>
          <w:sz w:val="27"/>
          <w:szCs w:val="27"/>
        </w:rPr>
        <w:t xml:space="preserve"> </w:t>
      </w:r>
      <w:r>
        <w:rPr>
          <w:rFonts w:ascii="宋体" w:hAnsi="宋体" w:eastAsia="宋体" w:cs="宋体"/>
          <w:spacing w:val="-17"/>
          <w:sz w:val="27"/>
          <w:szCs w:val="27"/>
        </w:rPr>
        <w:t>售部门的人员工资、奖金、津贴、补贴、职工福利费、差旅费</w:t>
      </w:r>
      <w:r>
        <w:rPr>
          <w:rFonts w:ascii="宋体" w:hAnsi="宋体" w:eastAsia="宋体" w:cs="宋体"/>
          <w:spacing w:val="-18"/>
          <w:sz w:val="27"/>
          <w:szCs w:val="27"/>
        </w:rPr>
        <w:t>、办公费、固定资产使</w:t>
      </w:r>
      <w:r>
        <w:rPr>
          <w:rFonts w:ascii="宋体" w:hAnsi="宋体" w:eastAsia="宋体" w:cs="宋体"/>
          <w:sz w:val="27"/>
          <w:szCs w:val="27"/>
        </w:rPr>
        <w:t xml:space="preserve"> </w:t>
      </w:r>
      <w:r>
        <w:rPr>
          <w:rFonts w:ascii="宋体" w:hAnsi="宋体" w:eastAsia="宋体" w:cs="宋体"/>
          <w:spacing w:val="-9"/>
          <w:sz w:val="27"/>
          <w:szCs w:val="27"/>
        </w:rPr>
        <w:t>用费、修理费和水电费等。</w:t>
      </w:r>
    </w:p>
    <w:p w14:paraId="046BFB8B">
      <w:pPr>
        <w:spacing w:line="219" w:lineRule="auto"/>
        <w:ind w:left="560"/>
        <w:rPr>
          <w:rFonts w:ascii="宋体" w:hAnsi="宋体" w:eastAsia="宋体" w:cs="宋体"/>
          <w:sz w:val="27"/>
          <w:szCs w:val="27"/>
        </w:rPr>
      </w:pPr>
      <w:r>
        <w:rPr>
          <w:rFonts w:ascii="宋体" w:hAnsi="宋体" w:eastAsia="宋体" w:cs="宋体"/>
          <w:spacing w:val="4"/>
          <w:sz w:val="27"/>
          <w:szCs w:val="27"/>
        </w:rPr>
        <w:t>说明对应分摊的经营费用进行分析的结果及其合理</w:t>
      </w:r>
      <w:r>
        <w:rPr>
          <w:rFonts w:ascii="宋体" w:hAnsi="宋体" w:eastAsia="宋体" w:cs="宋体"/>
          <w:spacing w:val="3"/>
          <w:sz w:val="27"/>
          <w:szCs w:val="27"/>
        </w:rPr>
        <w:t>性。</w:t>
      </w:r>
    </w:p>
    <w:p w14:paraId="77832799">
      <w:pPr>
        <w:spacing w:before="84"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20"/>
          <w:sz w:val="27"/>
          <w:szCs w:val="27"/>
        </w:rPr>
        <w:t xml:space="preserve">  </w:t>
      </w:r>
      <w:r>
        <w:rPr>
          <w:rFonts w:ascii="黑体" w:hAnsi="黑体" w:eastAsia="黑体" w:cs="黑体"/>
          <w:b/>
          <w:bCs/>
          <w:spacing w:val="-1"/>
          <w:sz w:val="27"/>
          <w:szCs w:val="27"/>
        </w:rPr>
        <w:t>生产成本估算</w:t>
      </w:r>
    </w:p>
    <w:p w14:paraId="00D95CD7">
      <w:pPr>
        <w:spacing w:before="126" w:line="222" w:lineRule="auto"/>
        <w:rPr>
          <w:rFonts w:ascii="黑体" w:hAnsi="黑体" w:eastAsia="黑体" w:cs="黑体"/>
          <w:sz w:val="25"/>
          <w:szCs w:val="25"/>
        </w:rPr>
      </w:pPr>
      <w:r>
        <w:rPr>
          <w:rFonts w:ascii="黑体" w:hAnsi="黑体" w:eastAsia="黑体" w:cs="黑体"/>
          <w:spacing w:val="13"/>
          <w:sz w:val="25"/>
          <w:szCs w:val="25"/>
        </w:rPr>
        <w:t>3.1</w:t>
      </w:r>
      <w:r>
        <w:rPr>
          <w:rFonts w:ascii="黑体" w:hAnsi="黑体" w:eastAsia="黑体" w:cs="黑体"/>
          <w:spacing w:val="40"/>
          <w:sz w:val="25"/>
          <w:szCs w:val="25"/>
        </w:rPr>
        <w:t xml:space="preserve">  </w:t>
      </w:r>
      <w:r>
        <w:rPr>
          <w:rFonts w:ascii="黑体" w:hAnsi="黑体" w:eastAsia="黑体" w:cs="黑体"/>
          <w:b/>
          <w:bCs/>
          <w:spacing w:val="13"/>
          <w:sz w:val="25"/>
          <w:szCs w:val="25"/>
        </w:rPr>
        <w:t>制造成本</w:t>
      </w:r>
    </w:p>
    <w:p w14:paraId="5EA02198">
      <w:pPr>
        <w:spacing w:before="91" w:line="218" w:lineRule="auto"/>
        <w:ind w:left="560"/>
        <w:rPr>
          <w:rFonts w:ascii="宋体" w:hAnsi="宋体" w:eastAsia="宋体" w:cs="宋体"/>
          <w:sz w:val="27"/>
          <w:szCs w:val="27"/>
        </w:rPr>
      </w:pPr>
      <w:r>
        <w:rPr>
          <w:rFonts w:ascii="宋体" w:hAnsi="宋体" w:eastAsia="宋体" w:cs="宋体"/>
          <w:spacing w:val="-9"/>
          <w:sz w:val="27"/>
          <w:szCs w:val="27"/>
        </w:rPr>
        <w:t>根据《军品价格管理办法》的有关规定，估算制造成本的情况。包括：</w:t>
      </w:r>
    </w:p>
    <w:p w14:paraId="1D1FD8AC">
      <w:pPr>
        <w:spacing w:before="92" w:line="219" w:lineRule="auto"/>
        <w:ind w:left="560"/>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宋体" w:hAnsi="宋体" w:eastAsia="宋体" w:cs="宋体"/>
          <w:spacing w:val="11"/>
          <w:sz w:val="27"/>
          <w:szCs w:val="27"/>
        </w:rPr>
        <w:t>)直接材料；</w:t>
      </w:r>
    </w:p>
    <w:p w14:paraId="62A6D69E">
      <w:pPr>
        <w:spacing w:before="71"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69"/>
          <w:sz w:val="27"/>
          <w:szCs w:val="27"/>
        </w:rPr>
        <w:t xml:space="preserve"> </w:t>
      </w:r>
      <w:r>
        <w:rPr>
          <w:rFonts w:ascii="宋体" w:hAnsi="宋体" w:eastAsia="宋体" w:cs="宋体"/>
          <w:spacing w:val="3"/>
          <w:sz w:val="27"/>
          <w:szCs w:val="27"/>
        </w:rPr>
        <w:t>直接工资和其他直接支出；</w:t>
      </w:r>
    </w:p>
    <w:p w14:paraId="077DF44E">
      <w:pPr>
        <w:spacing w:before="141" w:line="220" w:lineRule="auto"/>
        <w:ind w:left="560"/>
        <w:rPr>
          <w:rFonts w:ascii="宋体" w:hAnsi="宋体" w:eastAsia="宋体" w:cs="宋体"/>
          <w:sz w:val="27"/>
          <w:szCs w:val="27"/>
        </w:rPr>
      </w:pPr>
      <w:r>
        <w:rPr>
          <w:rFonts w:ascii="Times New Roman" w:hAnsi="Times New Roman" w:eastAsia="Times New Roman" w:cs="Times New Roman"/>
          <w:spacing w:val="11"/>
          <w:sz w:val="27"/>
          <w:szCs w:val="27"/>
        </w:rPr>
        <w:t>c</w:t>
      </w:r>
      <w:r>
        <w:rPr>
          <w:rFonts w:ascii="宋体" w:hAnsi="宋体" w:eastAsia="宋体" w:cs="宋体"/>
          <w:spacing w:val="11"/>
          <w:sz w:val="27"/>
          <w:szCs w:val="27"/>
        </w:rPr>
        <w:t>)制造费用；</w:t>
      </w:r>
    </w:p>
    <w:p w14:paraId="794A7B6B">
      <w:pPr>
        <w:spacing w:before="58" w:line="271" w:lineRule="auto"/>
        <w:ind w:right="10" w:firstLine="56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军品专项费用(含专用工装费、专用测试仪器设备费、专项试验</w:t>
      </w:r>
      <w:r>
        <w:rPr>
          <w:rFonts w:ascii="宋体" w:hAnsi="宋体" w:eastAsia="宋体" w:cs="宋体"/>
          <w:spacing w:val="-3"/>
          <w:sz w:val="27"/>
          <w:szCs w:val="27"/>
        </w:rPr>
        <w:t>费和其他</w:t>
      </w:r>
      <w:r>
        <w:rPr>
          <w:rFonts w:ascii="宋体" w:hAnsi="宋体" w:eastAsia="宋体" w:cs="宋体"/>
          <w:sz w:val="27"/>
          <w:szCs w:val="27"/>
        </w:rPr>
        <w:t xml:space="preserve"> </w:t>
      </w:r>
      <w:r>
        <w:rPr>
          <w:rFonts w:ascii="宋体" w:hAnsi="宋体" w:eastAsia="宋体" w:cs="宋体"/>
          <w:spacing w:val="-2"/>
          <w:sz w:val="27"/>
          <w:szCs w:val="27"/>
        </w:rPr>
        <w:t>专项费用)。</w:t>
      </w:r>
    </w:p>
    <w:p w14:paraId="317DDE65">
      <w:pPr>
        <w:spacing w:before="103" w:line="223" w:lineRule="auto"/>
        <w:rPr>
          <w:rFonts w:ascii="黑体" w:hAnsi="黑体" w:eastAsia="黑体" w:cs="黑体"/>
          <w:sz w:val="25"/>
          <w:szCs w:val="25"/>
        </w:rPr>
      </w:pPr>
      <w:r>
        <w:rPr>
          <w:rFonts w:ascii="黑体" w:hAnsi="黑体" w:eastAsia="黑体" w:cs="黑体"/>
          <w:spacing w:val="12"/>
          <w:sz w:val="25"/>
          <w:szCs w:val="25"/>
        </w:rPr>
        <w:t>3.2</w:t>
      </w:r>
      <w:r>
        <w:rPr>
          <w:rFonts w:ascii="黑体" w:hAnsi="黑体" w:eastAsia="黑体" w:cs="黑体"/>
          <w:spacing w:val="45"/>
          <w:sz w:val="25"/>
          <w:szCs w:val="25"/>
        </w:rPr>
        <w:t xml:space="preserve">  </w:t>
      </w:r>
      <w:r>
        <w:rPr>
          <w:rFonts w:ascii="黑体" w:hAnsi="黑体" w:eastAsia="黑体" w:cs="黑体"/>
          <w:b/>
          <w:bCs/>
          <w:spacing w:val="12"/>
          <w:sz w:val="25"/>
          <w:szCs w:val="25"/>
        </w:rPr>
        <w:t>期间费用</w:t>
      </w:r>
    </w:p>
    <w:p w14:paraId="3FFE23DD">
      <w:pPr>
        <w:spacing w:before="100" w:line="218" w:lineRule="auto"/>
        <w:ind w:left="560"/>
        <w:rPr>
          <w:rFonts w:ascii="宋体" w:hAnsi="宋体" w:eastAsia="宋体" w:cs="宋体"/>
          <w:sz w:val="27"/>
          <w:szCs w:val="27"/>
        </w:rPr>
      </w:pPr>
      <w:r>
        <w:rPr>
          <w:rFonts w:ascii="宋体" w:hAnsi="宋体" w:eastAsia="宋体" w:cs="宋体"/>
          <w:spacing w:val="-9"/>
          <w:sz w:val="27"/>
          <w:szCs w:val="27"/>
        </w:rPr>
        <w:t>根据《军品价格管理办法》的有关规定，估算期间费用的情况。包括：</w:t>
      </w:r>
    </w:p>
    <w:p w14:paraId="72A09FE0">
      <w:pPr>
        <w:spacing w:before="103" w:line="219" w:lineRule="auto"/>
        <w:ind w:left="560"/>
        <w:rPr>
          <w:rFonts w:ascii="宋体" w:hAnsi="宋体" w:eastAsia="宋体" w:cs="宋体"/>
          <w:sz w:val="27"/>
          <w:szCs w:val="27"/>
        </w:rPr>
      </w:pPr>
      <w:r>
        <w:rPr>
          <w:rFonts w:ascii="Times New Roman" w:hAnsi="Times New Roman" w:eastAsia="Times New Roman" w:cs="Times New Roman"/>
          <w:spacing w:val="-1"/>
          <w:sz w:val="27"/>
          <w:szCs w:val="27"/>
        </w:rPr>
        <w:t>a</w:t>
      </w:r>
      <w:r>
        <w:rPr>
          <w:rFonts w:ascii="宋体" w:hAnsi="宋体" w:eastAsia="宋体" w:cs="宋体"/>
          <w:spacing w:val="-1"/>
          <w:sz w:val="27"/>
          <w:szCs w:val="27"/>
        </w:rPr>
        <w:t>)</w:t>
      </w:r>
      <w:r>
        <w:rPr>
          <w:rFonts w:ascii="宋体" w:hAnsi="宋体" w:eastAsia="宋体" w:cs="宋体"/>
          <w:spacing w:val="-46"/>
          <w:sz w:val="27"/>
          <w:szCs w:val="27"/>
        </w:rPr>
        <w:t xml:space="preserve"> </w:t>
      </w:r>
      <w:r>
        <w:rPr>
          <w:rFonts w:ascii="宋体" w:hAnsi="宋体" w:eastAsia="宋体" w:cs="宋体"/>
          <w:spacing w:val="-1"/>
          <w:sz w:val="27"/>
          <w:szCs w:val="27"/>
        </w:rPr>
        <w:t>管理费用；</w:t>
      </w:r>
    </w:p>
    <w:p w14:paraId="420775AA">
      <w:pPr>
        <w:spacing w:before="71" w:line="212" w:lineRule="auto"/>
        <w:ind w:left="560"/>
        <w:rPr>
          <w:rFonts w:ascii="宋体" w:hAnsi="宋体" w:eastAsia="宋体" w:cs="宋体"/>
          <w:sz w:val="25"/>
          <w:szCs w:val="25"/>
        </w:rPr>
      </w:pPr>
      <w:r>
        <w:rPr>
          <w:rFonts w:ascii="Times New Roman" w:hAnsi="Times New Roman" w:eastAsia="Times New Roman" w:cs="Times New Roman"/>
          <w:spacing w:val="13"/>
          <w:sz w:val="25"/>
          <w:szCs w:val="25"/>
        </w:rPr>
        <w:t>b)</w:t>
      </w:r>
      <w:r>
        <w:rPr>
          <w:rFonts w:ascii="Times New Roman" w:hAnsi="Times New Roman" w:eastAsia="Times New Roman" w:cs="Times New Roman"/>
          <w:spacing w:val="14"/>
          <w:sz w:val="25"/>
          <w:szCs w:val="25"/>
        </w:rPr>
        <w:t xml:space="preserve">  </w:t>
      </w:r>
      <w:r>
        <w:rPr>
          <w:rFonts w:ascii="宋体" w:hAnsi="宋体" w:eastAsia="宋体" w:cs="宋体"/>
          <w:spacing w:val="13"/>
          <w:sz w:val="25"/>
          <w:szCs w:val="25"/>
        </w:rPr>
        <w:t>财务费用。</w:t>
      </w:r>
    </w:p>
    <w:p w14:paraId="465E86D1">
      <w:pPr>
        <w:pStyle w:val="2"/>
        <w:spacing w:before="152" w:line="224" w:lineRule="auto"/>
        <w:rPr>
          <w:rFonts w:ascii="黑体" w:hAnsi="黑体" w:eastAsia="黑体" w:cs="黑体"/>
          <w:sz w:val="27"/>
          <w:szCs w:val="27"/>
        </w:rPr>
      </w:pPr>
      <w:r>
        <w:rPr>
          <w:b/>
          <w:bCs/>
          <w:spacing w:val="-5"/>
          <w:sz w:val="27"/>
          <w:szCs w:val="27"/>
        </w:rPr>
        <w:t>3.3</w:t>
      </w:r>
      <w:r>
        <w:rPr>
          <w:b/>
          <w:bCs/>
          <w:spacing w:val="10"/>
          <w:sz w:val="27"/>
          <w:szCs w:val="27"/>
        </w:rPr>
        <w:t xml:space="preserve">    </w:t>
      </w:r>
      <w:r>
        <w:rPr>
          <w:rFonts w:ascii="黑体" w:hAnsi="黑体" w:eastAsia="黑体" w:cs="黑体"/>
          <w:b/>
          <w:bCs/>
          <w:spacing w:val="-5"/>
          <w:sz w:val="27"/>
          <w:szCs w:val="27"/>
        </w:rPr>
        <w:t>工时</w:t>
      </w:r>
    </w:p>
    <w:p w14:paraId="477489C3">
      <w:pPr>
        <w:spacing w:before="90" w:line="218" w:lineRule="auto"/>
        <w:ind w:left="560"/>
        <w:rPr>
          <w:rFonts w:ascii="宋体" w:hAnsi="宋体" w:eastAsia="宋体" w:cs="宋体"/>
          <w:sz w:val="27"/>
          <w:szCs w:val="27"/>
        </w:rPr>
      </w:pPr>
      <w:r>
        <w:rPr>
          <w:rFonts w:ascii="宋体" w:hAnsi="宋体" w:eastAsia="宋体" w:cs="宋体"/>
          <w:spacing w:val="-10"/>
          <w:sz w:val="27"/>
          <w:szCs w:val="27"/>
        </w:rPr>
        <w:t>说明根据《军品价格管理办法》的有关规定，估算</w:t>
      </w:r>
      <w:r>
        <w:rPr>
          <w:rFonts w:ascii="宋体" w:hAnsi="宋体" w:eastAsia="宋体" w:cs="宋体"/>
          <w:spacing w:val="-11"/>
          <w:sz w:val="27"/>
          <w:szCs w:val="27"/>
        </w:rPr>
        <w:t>工时的情况。</w:t>
      </w:r>
    </w:p>
    <w:p w14:paraId="625E82FC">
      <w:pPr>
        <w:spacing w:before="149" w:line="222" w:lineRule="auto"/>
        <w:rPr>
          <w:rFonts w:ascii="黑体" w:hAnsi="黑体" w:eastAsia="黑体" w:cs="黑体"/>
          <w:sz w:val="24"/>
          <w:szCs w:val="24"/>
        </w:rPr>
      </w:pPr>
      <w:r>
        <w:rPr>
          <w:rFonts w:ascii="黑体" w:hAnsi="黑体" w:eastAsia="黑体" w:cs="黑体"/>
          <w:spacing w:val="25"/>
          <w:sz w:val="24"/>
          <w:szCs w:val="24"/>
        </w:rPr>
        <w:t>4</w:t>
      </w:r>
      <w:r>
        <w:rPr>
          <w:rFonts w:ascii="黑体" w:hAnsi="黑体" w:eastAsia="黑体" w:cs="黑体"/>
          <w:spacing w:val="39"/>
          <w:sz w:val="24"/>
          <w:szCs w:val="24"/>
        </w:rPr>
        <w:t xml:space="preserve">  </w:t>
      </w:r>
      <w:r>
        <w:rPr>
          <w:rFonts w:ascii="黑体" w:hAnsi="黑体" w:eastAsia="黑体" w:cs="黑体"/>
          <w:b/>
          <w:bCs/>
          <w:spacing w:val="25"/>
          <w:sz w:val="24"/>
          <w:szCs w:val="24"/>
        </w:rPr>
        <w:t>寿命周期费用分析</w:t>
      </w:r>
    </w:p>
    <w:p w14:paraId="1BA81CBF">
      <w:pPr>
        <w:spacing w:before="93" w:line="218" w:lineRule="auto"/>
        <w:ind w:left="560"/>
        <w:rPr>
          <w:rFonts w:ascii="宋体" w:hAnsi="宋体" w:eastAsia="宋体" w:cs="宋体"/>
          <w:sz w:val="27"/>
          <w:szCs w:val="27"/>
        </w:rPr>
      </w:pPr>
      <w:r>
        <w:rPr>
          <w:rFonts w:ascii="宋体" w:hAnsi="宋体" w:eastAsia="宋体" w:cs="宋体"/>
          <w:spacing w:val="-4"/>
          <w:sz w:val="27"/>
          <w:szCs w:val="27"/>
        </w:rPr>
        <w:t>对产品使用阶段、退役阶段的费用进行分析，提出寿命周期费用估算值。</w:t>
      </w:r>
    </w:p>
    <w:p w14:paraId="2D985768">
      <w:pPr>
        <w:spacing w:before="158" w:line="222" w:lineRule="auto"/>
        <w:rPr>
          <w:rFonts w:ascii="黑体" w:hAnsi="黑体" w:eastAsia="黑体" w:cs="黑体"/>
          <w:sz w:val="24"/>
          <w:szCs w:val="24"/>
        </w:rPr>
      </w:pPr>
      <w:r>
        <w:rPr>
          <w:rFonts w:ascii="黑体" w:hAnsi="黑体" w:eastAsia="黑体" w:cs="黑体"/>
          <w:spacing w:val="22"/>
          <w:sz w:val="24"/>
          <w:szCs w:val="24"/>
        </w:rPr>
        <w:t>4.1</w:t>
      </w:r>
      <w:r>
        <w:rPr>
          <w:rFonts w:ascii="黑体" w:hAnsi="黑体" w:eastAsia="黑体" w:cs="黑体"/>
          <w:spacing w:val="56"/>
          <w:sz w:val="24"/>
          <w:szCs w:val="24"/>
        </w:rPr>
        <w:t xml:space="preserve">  </w:t>
      </w:r>
      <w:r>
        <w:rPr>
          <w:rFonts w:ascii="黑体" w:hAnsi="黑体" w:eastAsia="黑体" w:cs="黑体"/>
          <w:b/>
          <w:bCs/>
          <w:spacing w:val="22"/>
          <w:sz w:val="24"/>
          <w:szCs w:val="24"/>
        </w:rPr>
        <w:t>使用阶段费用分析</w:t>
      </w:r>
    </w:p>
    <w:p w14:paraId="3F5576D7">
      <w:pPr>
        <w:spacing w:before="96" w:line="296" w:lineRule="auto"/>
        <w:ind w:right="84" w:firstLine="560"/>
        <w:rPr>
          <w:rFonts w:ascii="宋体" w:hAnsi="宋体" w:eastAsia="宋体" w:cs="宋体"/>
          <w:sz w:val="27"/>
          <w:szCs w:val="27"/>
        </w:rPr>
      </w:pPr>
      <w:r>
        <w:rPr>
          <w:rFonts w:ascii="宋体" w:hAnsi="宋体" w:eastAsia="宋体" w:cs="宋体"/>
          <w:spacing w:val="2"/>
          <w:sz w:val="27"/>
          <w:szCs w:val="27"/>
        </w:rPr>
        <w:t>说明根据已经发生的研制成本情况和对产品的生产成本的估算，</w:t>
      </w:r>
      <w:r>
        <w:rPr>
          <w:rFonts w:ascii="宋体" w:hAnsi="宋体" w:eastAsia="宋体" w:cs="宋体"/>
          <w:spacing w:val="1"/>
          <w:sz w:val="27"/>
          <w:szCs w:val="27"/>
        </w:rPr>
        <w:t>运用</w:t>
      </w:r>
      <w:r>
        <w:rPr>
          <w:rFonts w:ascii="Times New Roman" w:hAnsi="Times New Roman" w:eastAsia="Times New Roman" w:cs="Times New Roman"/>
          <w:sz w:val="27"/>
          <w:szCs w:val="27"/>
        </w:rPr>
        <w:t>GJB</w:t>
      </w:r>
      <w:r>
        <w:rPr>
          <w:rFonts w:ascii="Times New Roman" w:hAnsi="Times New Roman" w:eastAsia="Times New Roman" w:cs="Times New Roman"/>
          <w:spacing w:val="1"/>
          <w:sz w:val="27"/>
          <w:szCs w:val="27"/>
        </w:rPr>
        <w:t>/</w:t>
      </w:r>
      <w:r>
        <w:rPr>
          <w:rFonts w:ascii="Times New Roman" w:hAnsi="Times New Roman" w:eastAsia="Times New Roman" w:cs="Times New Roman"/>
          <w:sz w:val="27"/>
          <w:szCs w:val="27"/>
        </w:rPr>
        <w:t xml:space="preserve"> </w:t>
      </w:r>
      <w:r>
        <w:rPr>
          <w:rFonts w:ascii="Times New Roman" w:hAnsi="Times New Roman" w:eastAsia="Times New Roman" w:cs="Times New Roman"/>
          <w:spacing w:val="-2"/>
          <w:sz w:val="27"/>
          <w:szCs w:val="27"/>
        </w:rPr>
        <w:t>Z</w:t>
      </w:r>
      <w:r>
        <w:rPr>
          <w:rFonts w:ascii="Times New Roman" w:hAnsi="Times New Roman" w:eastAsia="Times New Roman" w:cs="Times New Roman"/>
          <w:spacing w:val="52"/>
          <w:w w:val="101"/>
          <w:sz w:val="27"/>
          <w:szCs w:val="27"/>
        </w:rPr>
        <w:t xml:space="preserve"> </w:t>
      </w:r>
      <w:r>
        <w:rPr>
          <w:rFonts w:ascii="Times New Roman" w:hAnsi="Times New Roman" w:eastAsia="Times New Roman" w:cs="Times New Roman"/>
          <w:spacing w:val="-2"/>
          <w:sz w:val="27"/>
          <w:szCs w:val="27"/>
        </w:rPr>
        <w:t>20456</w:t>
      </w:r>
      <w:r>
        <w:rPr>
          <w:rFonts w:ascii="Times New Roman" w:hAnsi="Times New Roman" w:eastAsia="Times New Roman" w:cs="Times New Roman"/>
          <w:spacing w:val="-18"/>
          <w:sz w:val="27"/>
          <w:szCs w:val="27"/>
        </w:rPr>
        <w:t xml:space="preserve"> </w:t>
      </w:r>
      <w:r>
        <w:rPr>
          <w:rFonts w:ascii="宋体" w:hAnsi="宋体" w:eastAsia="宋体" w:cs="宋体"/>
          <w:spacing w:val="-2"/>
          <w:sz w:val="27"/>
          <w:szCs w:val="27"/>
        </w:rPr>
        <w:t>提供的方法，对产品使用阶段的费用</w:t>
      </w:r>
      <w:r>
        <w:rPr>
          <w:rFonts w:ascii="宋体" w:hAnsi="宋体" w:eastAsia="宋体" w:cs="宋体"/>
          <w:spacing w:val="-3"/>
          <w:sz w:val="27"/>
          <w:szCs w:val="27"/>
        </w:rPr>
        <w:t>进行分析。</w:t>
      </w:r>
    </w:p>
    <w:p w14:paraId="08DCFC6A">
      <w:pPr>
        <w:spacing w:before="1" w:line="222" w:lineRule="auto"/>
        <w:rPr>
          <w:rFonts w:ascii="黑体" w:hAnsi="黑体" w:eastAsia="黑体" w:cs="黑体"/>
          <w:sz w:val="24"/>
          <w:szCs w:val="24"/>
        </w:rPr>
      </w:pPr>
      <w:r>
        <w:rPr>
          <w:rFonts w:ascii="黑体" w:hAnsi="黑体" w:eastAsia="黑体" w:cs="黑体"/>
          <w:spacing w:val="22"/>
          <w:sz w:val="24"/>
          <w:szCs w:val="24"/>
        </w:rPr>
        <w:t>4.2</w:t>
      </w:r>
      <w:r>
        <w:rPr>
          <w:rFonts w:ascii="黑体" w:hAnsi="黑体" w:eastAsia="黑体" w:cs="黑体"/>
          <w:spacing w:val="56"/>
          <w:sz w:val="24"/>
          <w:szCs w:val="24"/>
        </w:rPr>
        <w:t xml:space="preserve">  </w:t>
      </w:r>
      <w:r>
        <w:rPr>
          <w:rFonts w:ascii="黑体" w:hAnsi="黑体" w:eastAsia="黑体" w:cs="黑体"/>
          <w:b/>
          <w:bCs/>
          <w:spacing w:val="22"/>
          <w:sz w:val="24"/>
          <w:szCs w:val="24"/>
        </w:rPr>
        <w:t>退役阶段费用分析</w:t>
      </w:r>
    </w:p>
    <w:p w14:paraId="6DF696F1">
      <w:pPr>
        <w:spacing w:before="95" w:line="289" w:lineRule="auto"/>
        <w:ind w:right="84" w:firstLine="560"/>
        <w:rPr>
          <w:rFonts w:ascii="宋体" w:hAnsi="宋体" w:eastAsia="宋体" w:cs="宋体"/>
          <w:sz w:val="27"/>
          <w:szCs w:val="27"/>
        </w:rPr>
      </w:pPr>
      <w:r>
        <w:rPr>
          <w:rFonts w:ascii="宋体" w:hAnsi="宋体" w:eastAsia="宋体" w:cs="宋体"/>
          <w:spacing w:val="2"/>
          <w:sz w:val="27"/>
          <w:szCs w:val="27"/>
        </w:rPr>
        <w:t>说明根据已经发生的研制成本情况和对产品的生产成本的估算，</w:t>
      </w:r>
      <w:r>
        <w:rPr>
          <w:rFonts w:ascii="宋体" w:hAnsi="宋体" w:eastAsia="宋体" w:cs="宋体"/>
          <w:spacing w:val="1"/>
          <w:sz w:val="27"/>
          <w:szCs w:val="27"/>
        </w:rPr>
        <w:t>运用</w:t>
      </w:r>
      <w:r>
        <w:rPr>
          <w:rFonts w:ascii="Times New Roman" w:hAnsi="Times New Roman" w:eastAsia="Times New Roman" w:cs="Times New Roman"/>
          <w:sz w:val="27"/>
          <w:szCs w:val="27"/>
        </w:rPr>
        <w:t>GJB</w:t>
      </w:r>
      <w:r>
        <w:rPr>
          <w:rFonts w:ascii="Times New Roman" w:hAnsi="Times New Roman" w:eastAsia="Times New Roman" w:cs="Times New Roman"/>
          <w:spacing w:val="1"/>
          <w:sz w:val="27"/>
          <w:szCs w:val="27"/>
        </w:rPr>
        <w:t>/</w:t>
      </w:r>
      <w:r>
        <w:rPr>
          <w:rFonts w:ascii="Times New Roman" w:hAnsi="Times New Roman" w:eastAsia="Times New Roman" w:cs="Times New Roman"/>
          <w:sz w:val="27"/>
          <w:szCs w:val="27"/>
        </w:rPr>
        <w:t xml:space="preserve"> </w:t>
      </w:r>
      <w:r>
        <w:rPr>
          <w:rFonts w:ascii="Times New Roman" w:hAnsi="Times New Roman" w:eastAsia="Times New Roman" w:cs="Times New Roman"/>
          <w:spacing w:val="-2"/>
          <w:sz w:val="27"/>
          <w:szCs w:val="27"/>
        </w:rPr>
        <w:t>Z</w:t>
      </w:r>
      <w:r>
        <w:rPr>
          <w:rFonts w:ascii="Times New Roman" w:hAnsi="Times New Roman" w:eastAsia="Times New Roman" w:cs="Times New Roman"/>
          <w:spacing w:val="52"/>
          <w:w w:val="101"/>
          <w:sz w:val="27"/>
          <w:szCs w:val="27"/>
        </w:rPr>
        <w:t xml:space="preserve"> </w:t>
      </w:r>
      <w:r>
        <w:rPr>
          <w:rFonts w:ascii="Times New Roman" w:hAnsi="Times New Roman" w:eastAsia="Times New Roman" w:cs="Times New Roman"/>
          <w:spacing w:val="-2"/>
          <w:sz w:val="27"/>
          <w:szCs w:val="27"/>
        </w:rPr>
        <w:t>20456</w:t>
      </w:r>
      <w:r>
        <w:rPr>
          <w:rFonts w:ascii="Times New Roman" w:hAnsi="Times New Roman" w:eastAsia="Times New Roman" w:cs="Times New Roman"/>
          <w:spacing w:val="-18"/>
          <w:sz w:val="27"/>
          <w:szCs w:val="27"/>
        </w:rPr>
        <w:t xml:space="preserve"> </w:t>
      </w:r>
      <w:r>
        <w:rPr>
          <w:rFonts w:ascii="宋体" w:hAnsi="宋体" w:eastAsia="宋体" w:cs="宋体"/>
          <w:spacing w:val="-2"/>
          <w:sz w:val="27"/>
          <w:szCs w:val="27"/>
        </w:rPr>
        <w:t>提供的方法，对产品退役阶段的费用</w:t>
      </w:r>
      <w:r>
        <w:rPr>
          <w:rFonts w:ascii="宋体" w:hAnsi="宋体" w:eastAsia="宋体" w:cs="宋体"/>
          <w:spacing w:val="-3"/>
          <w:sz w:val="27"/>
          <w:szCs w:val="27"/>
        </w:rPr>
        <w:t>进行分析。</w:t>
      </w:r>
    </w:p>
    <w:p w14:paraId="15C9933F">
      <w:pPr>
        <w:pStyle w:val="2"/>
        <w:spacing w:before="1" w:line="220" w:lineRule="auto"/>
        <w:rPr>
          <w:rFonts w:ascii="黑体" w:hAnsi="黑体" w:eastAsia="黑体" w:cs="黑体"/>
          <w:sz w:val="27"/>
          <w:szCs w:val="27"/>
        </w:rPr>
      </w:pPr>
      <w:r>
        <w:rPr>
          <w:b/>
          <w:bCs/>
          <w:spacing w:val="-1"/>
          <w:sz w:val="27"/>
          <w:szCs w:val="27"/>
        </w:rPr>
        <w:t>5</w:t>
      </w:r>
      <w:r>
        <w:rPr>
          <w:b/>
          <w:bCs/>
          <w:spacing w:val="24"/>
          <w:sz w:val="27"/>
          <w:szCs w:val="27"/>
        </w:rPr>
        <w:t xml:space="preserve">   </w:t>
      </w:r>
      <w:r>
        <w:rPr>
          <w:rFonts w:ascii="黑体" w:hAnsi="黑体" w:eastAsia="黑体" w:cs="黑体"/>
          <w:b/>
          <w:bCs/>
          <w:spacing w:val="-1"/>
          <w:sz w:val="27"/>
          <w:szCs w:val="27"/>
        </w:rPr>
        <w:t>评价意见</w:t>
      </w:r>
    </w:p>
    <w:p w14:paraId="421A2CDD">
      <w:pPr>
        <w:spacing w:before="111" w:line="218" w:lineRule="auto"/>
        <w:ind w:left="560"/>
        <w:rPr>
          <w:rFonts w:ascii="宋体" w:hAnsi="宋体" w:eastAsia="宋体" w:cs="宋体"/>
          <w:sz w:val="27"/>
          <w:szCs w:val="27"/>
        </w:rPr>
      </w:pPr>
      <w:r>
        <w:rPr>
          <w:rFonts w:ascii="宋体" w:hAnsi="宋体" w:eastAsia="宋体" w:cs="宋体"/>
          <w:spacing w:val="5"/>
          <w:sz w:val="27"/>
          <w:szCs w:val="27"/>
        </w:rPr>
        <w:t>对产品研制过程中开展价值工程和成本控制工作</w:t>
      </w:r>
      <w:r>
        <w:rPr>
          <w:rFonts w:ascii="宋体" w:hAnsi="宋体" w:eastAsia="宋体" w:cs="宋体"/>
          <w:spacing w:val="4"/>
          <w:sz w:val="27"/>
          <w:szCs w:val="27"/>
        </w:rPr>
        <w:t>给出评价意见。</w:t>
      </w:r>
    </w:p>
    <w:p w14:paraId="4D0D2F4D">
      <w:pPr>
        <w:spacing w:before="137" w:line="222" w:lineRule="auto"/>
        <w:rPr>
          <w:rFonts w:ascii="黑体" w:hAnsi="黑体" w:eastAsia="黑体" w:cs="黑体"/>
          <w:sz w:val="24"/>
          <w:szCs w:val="24"/>
        </w:rPr>
      </w:pPr>
      <w:r>
        <w:rPr>
          <w:rFonts w:ascii="黑体" w:hAnsi="黑体" w:eastAsia="黑体" w:cs="黑体"/>
          <w:spacing w:val="29"/>
          <w:sz w:val="24"/>
          <w:szCs w:val="24"/>
        </w:rPr>
        <w:t>6</w:t>
      </w:r>
      <w:r>
        <w:rPr>
          <w:rFonts w:ascii="黑体" w:hAnsi="黑体" w:eastAsia="黑体" w:cs="黑体"/>
          <w:spacing w:val="43"/>
          <w:sz w:val="24"/>
          <w:szCs w:val="24"/>
        </w:rPr>
        <w:t xml:space="preserve">  </w:t>
      </w:r>
      <w:r>
        <w:rPr>
          <w:rFonts w:ascii="黑体" w:hAnsi="黑体" w:eastAsia="黑体" w:cs="黑体"/>
          <w:b/>
          <w:bCs/>
          <w:spacing w:val="29"/>
          <w:sz w:val="24"/>
          <w:szCs w:val="24"/>
        </w:rPr>
        <w:t>存在的问题及改进工作的建议</w:t>
      </w:r>
    </w:p>
    <w:p w14:paraId="40453AAF">
      <w:pPr>
        <w:spacing w:before="86" w:line="305" w:lineRule="auto"/>
        <w:ind w:firstLine="560"/>
        <w:rPr>
          <w:rFonts w:ascii="宋体" w:hAnsi="宋体" w:eastAsia="宋体" w:cs="宋体"/>
          <w:sz w:val="27"/>
          <w:szCs w:val="27"/>
        </w:rPr>
      </w:pPr>
      <w:r>
        <w:rPr>
          <w:rFonts w:ascii="宋体" w:hAnsi="宋体" w:eastAsia="宋体" w:cs="宋体"/>
          <w:spacing w:val="14"/>
          <w:sz w:val="27"/>
          <w:szCs w:val="27"/>
        </w:rPr>
        <w:t>指出在价值工程和成本控制方面存在的问题，并提出相应的</w:t>
      </w:r>
      <w:r>
        <w:rPr>
          <w:rFonts w:ascii="宋体" w:hAnsi="宋体" w:eastAsia="宋体" w:cs="宋体"/>
          <w:spacing w:val="13"/>
          <w:sz w:val="27"/>
          <w:szCs w:val="27"/>
        </w:rPr>
        <w:t>改进工作的</w:t>
      </w:r>
      <w:r>
        <w:rPr>
          <w:rFonts w:ascii="宋体" w:hAnsi="宋体" w:eastAsia="宋体" w:cs="宋体"/>
          <w:sz w:val="27"/>
          <w:szCs w:val="27"/>
        </w:rPr>
        <w:t xml:space="preserve"> </w:t>
      </w:r>
      <w:r>
        <w:rPr>
          <w:rFonts w:ascii="宋体" w:hAnsi="宋体" w:eastAsia="宋体" w:cs="宋体"/>
          <w:spacing w:val="1"/>
          <w:sz w:val="27"/>
          <w:szCs w:val="27"/>
        </w:rPr>
        <w:t>建议。</w:t>
      </w:r>
    </w:p>
    <w:p w14:paraId="00A0506C">
      <w:pPr>
        <w:spacing w:line="305" w:lineRule="auto"/>
        <w:rPr>
          <w:rFonts w:ascii="宋体" w:hAnsi="宋体" w:eastAsia="宋体" w:cs="宋体"/>
          <w:sz w:val="27"/>
          <w:szCs w:val="27"/>
        </w:rPr>
        <w:sectPr>
          <w:footerReference r:id="rId142" w:type="default"/>
          <w:pgSz w:w="11910" w:h="17130"/>
          <w:pgMar w:top="400" w:right="1529" w:bottom="1630" w:left="1019" w:header="0" w:footer="1432" w:gutter="0"/>
          <w:cols w:space="720" w:num="1"/>
        </w:sectPr>
      </w:pPr>
    </w:p>
    <w:p w14:paraId="3BA80F58">
      <w:pPr>
        <w:pStyle w:val="2"/>
        <w:spacing w:line="246" w:lineRule="auto"/>
      </w:pPr>
    </w:p>
    <w:p w14:paraId="45663E09">
      <w:pPr>
        <w:pStyle w:val="2"/>
        <w:spacing w:line="246" w:lineRule="auto"/>
      </w:pPr>
    </w:p>
    <w:p w14:paraId="3C8342CE">
      <w:pPr>
        <w:pStyle w:val="2"/>
        <w:spacing w:line="247" w:lineRule="auto"/>
      </w:pPr>
    </w:p>
    <w:p w14:paraId="45A437AC">
      <w:pPr>
        <w:pStyle w:val="2"/>
        <w:spacing w:line="247" w:lineRule="auto"/>
      </w:pPr>
    </w:p>
    <w:p w14:paraId="3A8179FB">
      <w:pPr>
        <w:pStyle w:val="2"/>
        <w:spacing w:line="247" w:lineRule="auto"/>
      </w:pPr>
    </w:p>
    <w:p w14:paraId="113AF7BB">
      <w:pPr>
        <w:pStyle w:val="2"/>
        <w:spacing w:line="247" w:lineRule="auto"/>
      </w:pPr>
    </w:p>
    <w:p w14:paraId="65E18547">
      <w:pPr>
        <w:spacing w:before="117" w:line="218" w:lineRule="auto"/>
        <w:ind w:left="1589"/>
        <w:outlineLvl w:val="1"/>
        <w:rPr>
          <w:rFonts w:ascii="宋体" w:hAnsi="宋体" w:eastAsia="宋体" w:cs="宋体"/>
          <w:sz w:val="36"/>
          <w:szCs w:val="36"/>
        </w:rPr>
      </w:pPr>
      <w:bookmarkStart w:id="86" w:name="bookmark350"/>
      <w:bookmarkEnd w:id="86"/>
      <w:bookmarkStart w:id="87" w:name="bookmark44"/>
      <w:bookmarkEnd w:id="87"/>
      <w:r>
        <w:rPr>
          <w:rFonts w:ascii="Times New Roman" w:hAnsi="Times New Roman" w:eastAsia="Times New Roman" w:cs="Times New Roman"/>
          <w:b/>
          <w:bCs/>
          <w:spacing w:val="4"/>
          <w:sz w:val="36"/>
          <w:szCs w:val="36"/>
        </w:rPr>
        <w:t xml:space="preserve">1.42     </w:t>
      </w:r>
      <w:r>
        <w:rPr>
          <w:rFonts w:ascii="宋体" w:hAnsi="宋体" w:eastAsia="宋体" w:cs="宋体"/>
          <w:b/>
          <w:bCs/>
          <w:spacing w:val="4"/>
          <w:sz w:val="36"/>
          <w:szCs w:val="36"/>
        </w:rPr>
        <w:t>生产性分析报告(设计定型阶段)</w:t>
      </w:r>
    </w:p>
    <w:p w14:paraId="0209F7E5">
      <w:pPr>
        <w:pStyle w:val="2"/>
        <w:spacing w:line="451" w:lineRule="auto"/>
      </w:pPr>
    </w:p>
    <w:p w14:paraId="03227D19">
      <w:pPr>
        <w:spacing w:before="78" w:line="223" w:lineRule="auto"/>
        <w:ind w:left="560"/>
        <w:rPr>
          <w:rFonts w:ascii="楷体" w:hAnsi="楷体" w:eastAsia="楷体" w:cs="楷体"/>
          <w:sz w:val="24"/>
          <w:szCs w:val="24"/>
        </w:rPr>
      </w:pPr>
      <w:r>
        <w:rPr>
          <w:rFonts w:ascii="楷体" w:hAnsi="楷体" w:eastAsia="楷体" w:cs="楷体"/>
          <w:spacing w:val="6"/>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3363—1998</w:t>
      </w:r>
      <w:r>
        <w:rPr>
          <w:rFonts w:ascii="宋体" w:hAnsi="宋体" w:eastAsia="宋体" w:cs="宋体"/>
          <w:spacing w:val="6"/>
          <w:sz w:val="24"/>
          <w:szCs w:val="24"/>
        </w:rPr>
        <w:t>《</w:t>
      </w:r>
      <w:r>
        <w:rPr>
          <w:rFonts w:ascii="楷体" w:hAnsi="楷体" w:eastAsia="楷体" w:cs="楷体"/>
          <w:spacing w:val="6"/>
          <w:sz w:val="24"/>
          <w:szCs w:val="24"/>
        </w:rPr>
        <w:t>生产性分析》编写。</w:t>
      </w:r>
    </w:p>
    <w:p w14:paraId="2D993C06">
      <w:pPr>
        <w:spacing w:before="167"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9"/>
          <w:sz w:val="27"/>
          <w:szCs w:val="27"/>
        </w:rPr>
        <w:t xml:space="preserve">  </w:t>
      </w:r>
      <w:r>
        <w:rPr>
          <w:rFonts w:ascii="黑体" w:hAnsi="黑体" w:eastAsia="黑体" w:cs="黑体"/>
          <w:spacing w:val="-3"/>
          <w:sz w:val="27"/>
          <w:szCs w:val="27"/>
        </w:rPr>
        <w:t>范围</w:t>
      </w:r>
    </w:p>
    <w:p w14:paraId="63028537">
      <w:pPr>
        <w:pStyle w:val="2"/>
        <w:spacing w:before="211" w:line="222" w:lineRule="auto"/>
        <w:rPr>
          <w:rFonts w:ascii="黑体" w:hAnsi="黑体" w:eastAsia="黑体" w:cs="黑体"/>
          <w:sz w:val="27"/>
          <w:szCs w:val="27"/>
        </w:rPr>
      </w:pPr>
      <w:r>
        <w:rPr>
          <w:spacing w:val="2"/>
          <w:sz w:val="27"/>
          <w:szCs w:val="27"/>
        </w:rPr>
        <w:t>2</w:t>
      </w:r>
      <w:r>
        <w:rPr>
          <w:spacing w:val="25"/>
          <w:sz w:val="27"/>
          <w:szCs w:val="27"/>
        </w:rPr>
        <w:t xml:space="preserve">   </w:t>
      </w:r>
      <w:r>
        <w:rPr>
          <w:rFonts w:ascii="黑体" w:hAnsi="黑体" w:eastAsia="黑体" w:cs="黑体"/>
          <w:spacing w:val="2"/>
          <w:sz w:val="27"/>
          <w:szCs w:val="27"/>
        </w:rPr>
        <w:t>引用文件</w:t>
      </w:r>
    </w:p>
    <w:p w14:paraId="38640595">
      <w:pPr>
        <w:spacing w:before="217" w:line="222" w:lineRule="auto"/>
        <w:rPr>
          <w:rFonts w:ascii="黑体" w:hAnsi="黑体" w:eastAsia="黑体" w:cs="黑体"/>
          <w:sz w:val="27"/>
          <w:szCs w:val="27"/>
        </w:rPr>
      </w:pPr>
      <w:r>
        <w:rPr>
          <w:rFonts w:ascii="黑体" w:hAnsi="黑体" w:eastAsia="黑体" w:cs="黑体"/>
          <w:spacing w:val="4"/>
          <w:sz w:val="27"/>
          <w:szCs w:val="27"/>
        </w:rPr>
        <w:t>3</w:t>
      </w:r>
      <w:r>
        <w:rPr>
          <w:rFonts w:ascii="黑体" w:hAnsi="黑体" w:eastAsia="黑体" w:cs="黑体"/>
          <w:spacing w:val="22"/>
          <w:sz w:val="27"/>
          <w:szCs w:val="27"/>
        </w:rPr>
        <w:t xml:space="preserve">  </w:t>
      </w:r>
      <w:r>
        <w:rPr>
          <w:rFonts w:ascii="黑体" w:hAnsi="黑体" w:eastAsia="黑体" w:cs="黑体"/>
          <w:spacing w:val="4"/>
          <w:sz w:val="27"/>
          <w:szCs w:val="27"/>
        </w:rPr>
        <w:t>生产性分析目的</w:t>
      </w:r>
    </w:p>
    <w:p w14:paraId="4500AFB8">
      <w:pPr>
        <w:spacing w:before="164" w:line="269" w:lineRule="auto"/>
        <w:ind w:firstLine="560"/>
        <w:rPr>
          <w:rFonts w:ascii="宋体" w:hAnsi="宋体" w:eastAsia="宋体" w:cs="宋体"/>
          <w:sz w:val="27"/>
          <w:szCs w:val="27"/>
        </w:rPr>
      </w:pPr>
      <w:r>
        <w:rPr>
          <w:rFonts w:ascii="宋体" w:hAnsi="宋体" w:eastAsia="宋体" w:cs="宋体"/>
          <w:spacing w:val="5"/>
          <w:sz w:val="27"/>
          <w:szCs w:val="27"/>
        </w:rPr>
        <w:t>在设计定型阶段对设计图样和产品规范进行较大修改时，进行相应的生产</w:t>
      </w:r>
      <w:r>
        <w:rPr>
          <w:rFonts w:ascii="宋体" w:hAnsi="宋体" w:eastAsia="宋体" w:cs="宋体"/>
          <w:spacing w:val="15"/>
          <w:sz w:val="27"/>
          <w:szCs w:val="27"/>
        </w:rPr>
        <w:t xml:space="preserve"> </w:t>
      </w:r>
      <w:r>
        <w:rPr>
          <w:rFonts w:ascii="宋体" w:hAnsi="宋体" w:eastAsia="宋体" w:cs="宋体"/>
          <w:spacing w:val="-3"/>
          <w:sz w:val="27"/>
          <w:szCs w:val="27"/>
        </w:rPr>
        <w:t>性分析，以便顺利地转入试生产状态。</w:t>
      </w:r>
    </w:p>
    <w:p w14:paraId="59654C73">
      <w:pPr>
        <w:pStyle w:val="2"/>
        <w:spacing w:before="83" w:line="222" w:lineRule="auto"/>
        <w:rPr>
          <w:rFonts w:ascii="黑体" w:hAnsi="黑体" w:eastAsia="黑体" w:cs="黑体"/>
          <w:sz w:val="27"/>
          <w:szCs w:val="27"/>
        </w:rPr>
      </w:pPr>
      <w:r>
        <w:rPr>
          <w:spacing w:val="5"/>
          <w:sz w:val="27"/>
          <w:szCs w:val="27"/>
        </w:rPr>
        <w:t>4</w:t>
      </w:r>
      <w:r>
        <w:rPr>
          <w:spacing w:val="23"/>
          <w:sz w:val="27"/>
          <w:szCs w:val="27"/>
        </w:rPr>
        <w:t xml:space="preserve">   </w:t>
      </w:r>
      <w:r>
        <w:rPr>
          <w:rFonts w:ascii="黑体" w:hAnsi="黑体" w:eastAsia="黑体" w:cs="黑体"/>
          <w:spacing w:val="5"/>
          <w:sz w:val="27"/>
          <w:szCs w:val="27"/>
        </w:rPr>
        <w:t>生产性分析准则</w:t>
      </w:r>
    </w:p>
    <w:p w14:paraId="115005E9">
      <w:pPr>
        <w:spacing w:before="146" w:line="276" w:lineRule="auto"/>
        <w:ind w:right="2" w:firstLine="560"/>
        <w:rPr>
          <w:rFonts w:ascii="宋体" w:hAnsi="宋体" w:eastAsia="宋体" w:cs="宋体"/>
          <w:sz w:val="27"/>
          <w:szCs w:val="27"/>
        </w:rPr>
      </w:pPr>
      <w:r>
        <w:rPr>
          <w:rFonts w:ascii="宋体" w:hAnsi="宋体" w:eastAsia="宋体" w:cs="宋体"/>
          <w:spacing w:val="-3"/>
          <w:sz w:val="27"/>
          <w:szCs w:val="27"/>
        </w:rPr>
        <w:t>承制方对工程研制阶段形成的《生产性分析准则》进行更新，提出基本完善</w:t>
      </w:r>
      <w:r>
        <w:rPr>
          <w:rFonts w:ascii="宋体" w:hAnsi="宋体" w:eastAsia="宋体" w:cs="宋体"/>
          <w:spacing w:val="1"/>
          <w:sz w:val="27"/>
          <w:szCs w:val="27"/>
        </w:rPr>
        <w:t xml:space="preserve"> </w:t>
      </w:r>
      <w:r>
        <w:rPr>
          <w:rFonts w:ascii="宋体" w:hAnsi="宋体" w:eastAsia="宋体" w:cs="宋体"/>
          <w:spacing w:val="2"/>
          <w:sz w:val="27"/>
          <w:szCs w:val="27"/>
        </w:rPr>
        <w:t>的具有可操作性的准则。</w:t>
      </w:r>
    </w:p>
    <w:p w14:paraId="6234776E">
      <w:pPr>
        <w:spacing w:before="82" w:line="222" w:lineRule="auto"/>
        <w:rPr>
          <w:rFonts w:ascii="黑体" w:hAnsi="黑体" w:eastAsia="黑体" w:cs="黑体"/>
          <w:sz w:val="27"/>
          <w:szCs w:val="27"/>
        </w:rPr>
      </w:pPr>
      <w:r>
        <w:rPr>
          <w:rFonts w:ascii="黑体" w:hAnsi="黑体" w:eastAsia="黑体" w:cs="黑体"/>
          <w:spacing w:val="3"/>
          <w:sz w:val="27"/>
          <w:szCs w:val="27"/>
        </w:rPr>
        <w:t>5</w:t>
      </w:r>
      <w:r>
        <w:rPr>
          <w:rFonts w:ascii="黑体" w:hAnsi="黑体" w:eastAsia="黑体" w:cs="黑体"/>
          <w:spacing w:val="23"/>
          <w:sz w:val="27"/>
          <w:szCs w:val="27"/>
        </w:rPr>
        <w:t xml:space="preserve">  </w:t>
      </w:r>
      <w:r>
        <w:rPr>
          <w:rFonts w:ascii="黑体" w:hAnsi="黑体" w:eastAsia="黑体" w:cs="黑体"/>
          <w:spacing w:val="3"/>
          <w:sz w:val="27"/>
          <w:szCs w:val="27"/>
        </w:rPr>
        <w:t>生产性分析工作内容</w:t>
      </w:r>
    </w:p>
    <w:p w14:paraId="1B891428">
      <w:pPr>
        <w:spacing w:before="140" w:line="279" w:lineRule="auto"/>
        <w:ind w:right="3" w:firstLine="560"/>
        <w:jc w:val="both"/>
        <w:rPr>
          <w:rFonts w:ascii="宋体" w:hAnsi="宋体" w:eastAsia="宋体" w:cs="宋体"/>
          <w:sz w:val="27"/>
          <w:szCs w:val="27"/>
        </w:rPr>
      </w:pPr>
      <w:r>
        <w:rPr>
          <w:rFonts w:ascii="宋体" w:hAnsi="宋体" w:eastAsia="宋体" w:cs="宋体"/>
          <w:spacing w:val="1"/>
          <w:sz w:val="27"/>
          <w:szCs w:val="27"/>
        </w:rPr>
        <w:t>依据</w:t>
      </w:r>
      <w:r>
        <w:rPr>
          <w:rFonts w:ascii="Times New Roman" w:hAnsi="Times New Roman" w:eastAsia="Times New Roman" w:cs="Times New Roman"/>
          <w:sz w:val="27"/>
          <w:szCs w:val="27"/>
        </w:rPr>
        <w:t>GJB</w:t>
      </w:r>
      <w:r>
        <w:rPr>
          <w:rFonts w:ascii="Times New Roman" w:hAnsi="Times New Roman" w:eastAsia="Times New Roman" w:cs="Times New Roman"/>
          <w:spacing w:val="1"/>
          <w:sz w:val="27"/>
          <w:szCs w:val="27"/>
        </w:rPr>
        <w:t xml:space="preserve"> 3363—1998</w:t>
      </w:r>
      <w:r>
        <w:rPr>
          <w:rFonts w:ascii="宋体" w:hAnsi="宋体" w:eastAsia="宋体" w:cs="宋体"/>
          <w:spacing w:val="1"/>
          <w:sz w:val="27"/>
          <w:szCs w:val="27"/>
        </w:rPr>
        <w:t>《生产性分析》,按照方案阶段</w:t>
      </w:r>
      <w:r>
        <w:rPr>
          <w:rFonts w:ascii="宋体" w:hAnsi="宋体" w:eastAsia="宋体" w:cs="宋体"/>
          <w:sz w:val="27"/>
          <w:szCs w:val="27"/>
        </w:rPr>
        <w:t xml:space="preserve">和工程研制阶段生产性 </w:t>
      </w:r>
      <w:r>
        <w:rPr>
          <w:rFonts w:ascii="宋体" w:hAnsi="宋体" w:eastAsia="宋体" w:cs="宋体"/>
          <w:spacing w:val="5"/>
          <w:sz w:val="27"/>
          <w:szCs w:val="27"/>
        </w:rPr>
        <w:t>分析内容，重新进行生产性分析工作。具体内容可见本书1.15《生产性分析报</w:t>
      </w:r>
      <w:r>
        <w:rPr>
          <w:rFonts w:ascii="宋体" w:hAnsi="宋体" w:eastAsia="宋体" w:cs="宋体"/>
          <w:spacing w:val="11"/>
          <w:sz w:val="27"/>
          <w:szCs w:val="27"/>
        </w:rPr>
        <w:t xml:space="preserve"> </w:t>
      </w:r>
      <w:r>
        <w:rPr>
          <w:rFonts w:ascii="宋体" w:hAnsi="宋体" w:eastAsia="宋体" w:cs="宋体"/>
          <w:spacing w:val="-7"/>
          <w:sz w:val="27"/>
          <w:szCs w:val="27"/>
        </w:rPr>
        <w:t>告(方案阶段)》和1.24《生产性分析报告(工程研制阶段)》。</w:t>
      </w:r>
    </w:p>
    <w:p w14:paraId="5201EBD3">
      <w:pPr>
        <w:spacing w:before="32" w:line="274" w:lineRule="auto"/>
        <w:ind w:right="1" w:firstLine="560"/>
        <w:rPr>
          <w:rFonts w:ascii="宋体" w:hAnsi="宋体" w:eastAsia="宋体" w:cs="宋体"/>
          <w:sz w:val="27"/>
          <w:szCs w:val="27"/>
        </w:rPr>
      </w:pPr>
      <w:r>
        <w:rPr>
          <w:rFonts w:ascii="宋体" w:hAnsi="宋体" w:eastAsia="宋体" w:cs="宋体"/>
          <w:spacing w:val="-11"/>
          <w:sz w:val="27"/>
          <w:szCs w:val="27"/>
        </w:rPr>
        <w:t>在对设计、材料、工艺、标准等各个方面进行生产性分析后，按照下述章节安</w:t>
      </w:r>
      <w:r>
        <w:rPr>
          <w:rFonts w:ascii="宋体" w:hAnsi="宋体" w:eastAsia="宋体" w:cs="宋体"/>
          <w:spacing w:val="8"/>
          <w:sz w:val="27"/>
          <w:szCs w:val="27"/>
        </w:rPr>
        <w:t xml:space="preserve"> </w:t>
      </w:r>
      <w:r>
        <w:rPr>
          <w:rFonts w:ascii="宋体" w:hAnsi="宋体" w:eastAsia="宋体" w:cs="宋体"/>
          <w:spacing w:val="3"/>
          <w:sz w:val="27"/>
          <w:szCs w:val="27"/>
        </w:rPr>
        <w:t>排分别说明分析情况和分析结果。</w:t>
      </w:r>
    </w:p>
    <w:p w14:paraId="5B9CA58F">
      <w:pPr>
        <w:spacing w:line="220" w:lineRule="auto"/>
        <w:ind w:left="560"/>
        <w:rPr>
          <w:rFonts w:ascii="宋体" w:hAnsi="宋体" w:eastAsia="宋体" w:cs="宋体"/>
          <w:sz w:val="27"/>
          <w:szCs w:val="27"/>
        </w:rPr>
      </w:pPr>
      <w:r>
        <w:rPr>
          <w:rFonts w:ascii="Times New Roman" w:hAnsi="Times New Roman" w:eastAsia="Times New Roman" w:cs="Times New Roman"/>
          <w:spacing w:val="5"/>
          <w:sz w:val="27"/>
          <w:szCs w:val="27"/>
        </w:rPr>
        <w:t>5.1</w:t>
      </w:r>
      <w:r>
        <w:rPr>
          <w:rFonts w:ascii="Times New Roman" w:hAnsi="Times New Roman" w:eastAsia="Times New Roman" w:cs="Times New Roman"/>
          <w:spacing w:val="1"/>
          <w:sz w:val="27"/>
          <w:szCs w:val="27"/>
        </w:rPr>
        <w:t xml:space="preserve">   </w:t>
      </w:r>
      <w:r>
        <w:rPr>
          <w:rFonts w:ascii="宋体" w:hAnsi="宋体" w:eastAsia="宋体" w:cs="宋体"/>
          <w:spacing w:val="5"/>
          <w:sz w:val="27"/>
          <w:szCs w:val="27"/>
        </w:rPr>
        <w:t>设计分析</w:t>
      </w:r>
    </w:p>
    <w:p w14:paraId="56560FD2">
      <w:pPr>
        <w:spacing w:before="98" w:line="220" w:lineRule="auto"/>
        <w:ind w:left="560"/>
        <w:rPr>
          <w:rFonts w:ascii="宋体" w:hAnsi="宋体" w:eastAsia="宋体" w:cs="宋体"/>
          <w:sz w:val="27"/>
          <w:szCs w:val="27"/>
        </w:rPr>
      </w:pPr>
      <w:r>
        <w:rPr>
          <w:rFonts w:ascii="Times New Roman" w:hAnsi="Times New Roman" w:eastAsia="Times New Roman" w:cs="Times New Roman"/>
          <w:spacing w:val="4"/>
          <w:sz w:val="27"/>
          <w:szCs w:val="27"/>
        </w:rPr>
        <w:t>5.2</w:t>
      </w:r>
      <w:r>
        <w:rPr>
          <w:rFonts w:ascii="Times New Roman" w:hAnsi="Times New Roman" w:eastAsia="Times New Roman" w:cs="Times New Roman"/>
          <w:spacing w:val="3"/>
          <w:sz w:val="27"/>
          <w:szCs w:val="27"/>
        </w:rPr>
        <w:t xml:space="preserve">   </w:t>
      </w:r>
      <w:r>
        <w:rPr>
          <w:rFonts w:ascii="宋体" w:hAnsi="宋体" w:eastAsia="宋体" w:cs="宋体"/>
          <w:spacing w:val="4"/>
          <w:sz w:val="27"/>
          <w:szCs w:val="27"/>
        </w:rPr>
        <w:t>标准和规范分析</w:t>
      </w:r>
    </w:p>
    <w:p w14:paraId="08D1294F">
      <w:pPr>
        <w:spacing w:before="68" w:line="219" w:lineRule="auto"/>
        <w:ind w:left="560"/>
        <w:rPr>
          <w:rFonts w:ascii="宋体" w:hAnsi="宋体" w:eastAsia="宋体" w:cs="宋体"/>
          <w:sz w:val="27"/>
          <w:szCs w:val="27"/>
        </w:rPr>
      </w:pPr>
      <w:r>
        <w:rPr>
          <w:rFonts w:ascii="Times New Roman" w:hAnsi="Times New Roman" w:eastAsia="Times New Roman" w:cs="Times New Roman"/>
          <w:spacing w:val="1"/>
          <w:sz w:val="27"/>
          <w:szCs w:val="27"/>
        </w:rPr>
        <w:t>5.3</w:t>
      </w:r>
      <w:r>
        <w:rPr>
          <w:rFonts w:ascii="Times New Roman" w:hAnsi="Times New Roman" w:eastAsia="Times New Roman" w:cs="Times New Roman"/>
          <w:spacing w:val="11"/>
          <w:sz w:val="27"/>
          <w:szCs w:val="27"/>
        </w:rPr>
        <w:t xml:space="preserve">   </w:t>
      </w:r>
      <w:r>
        <w:rPr>
          <w:rFonts w:ascii="宋体" w:hAnsi="宋体" w:eastAsia="宋体" w:cs="宋体"/>
          <w:spacing w:val="1"/>
          <w:sz w:val="27"/>
          <w:szCs w:val="27"/>
        </w:rPr>
        <w:t>图样分析</w:t>
      </w:r>
    </w:p>
    <w:p w14:paraId="0E39887C">
      <w:pPr>
        <w:spacing w:before="117" w:line="219" w:lineRule="auto"/>
        <w:ind w:left="560"/>
        <w:rPr>
          <w:rFonts w:ascii="宋体" w:hAnsi="宋体" w:eastAsia="宋体" w:cs="宋体"/>
          <w:sz w:val="24"/>
          <w:szCs w:val="24"/>
        </w:rPr>
      </w:pPr>
      <w:r>
        <w:rPr>
          <w:rFonts w:ascii="Times New Roman" w:hAnsi="Times New Roman" w:eastAsia="Times New Roman" w:cs="Times New Roman"/>
          <w:spacing w:val="-4"/>
          <w:sz w:val="24"/>
          <w:szCs w:val="24"/>
        </w:rPr>
        <w:t xml:space="preserve">5.4    </w:t>
      </w:r>
      <w:r>
        <w:rPr>
          <w:rFonts w:ascii="宋体" w:hAnsi="宋体" w:eastAsia="宋体" w:cs="宋体"/>
          <w:spacing w:val="-4"/>
          <w:sz w:val="24"/>
          <w:szCs w:val="24"/>
        </w:rPr>
        <w:t>材</w:t>
      </w:r>
      <w:r>
        <w:rPr>
          <w:rFonts w:ascii="宋体" w:hAnsi="宋体" w:eastAsia="宋体" w:cs="宋体"/>
          <w:spacing w:val="-49"/>
          <w:sz w:val="24"/>
          <w:szCs w:val="24"/>
        </w:rPr>
        <w:t xml:space="preserve"> </w:t>
      </w:r>
      <w:r>
        <w:rPr>
          <w:rFonts w:ascii="宋体" w:hAnsi="宋体" w:eastAsia="宋体" w:cs="宋体"/>
          <w:spacing w:val="-4"/>
          <w:sz w:val="24"/>
          <w:szCs w:val="24"/>
        </w:rPr>
        <w:t>料</w:t>
      </w:r>
      <w:r>
        <w:rPr>
          <w:rFonts w:ascii="宋体" w:hAnsi="宋体" w:eastAsia="宋体" w:cs="宋体"/>
          <w:spacing w:val="-48"/>
          <w:sz w:val="24"/>
          <w:szCs w:val="24"/>
        </w:rPr>
        <w:t xml:space="preserve"> </w:t>
      </w:r>
      <w:r>
        <w:rPr>
          <w:rFonts w:ascii="宋体" w:hAnsi="宋体" w:eastAsia="宋体" w:cs="宋体"/>
          <w:spacing w:val="-4"/>
          <w:sz w:val="24"/>
          <w:szCs w:val="24"/>
        </w:rPr>
        <w:t>分</w:t>
      </w:r>
      <w:r>
        <w:rPr>
          <w:rFonts w:ascii="宋体" w:hAnsi="宋体" w:eastAsia="宋体" w:cs="宋体"/>
          <w:spacing w:val="-49"/>
          <w:sz w:val="24"/>
          <w:szCs w:val="24"/>
        </w:rPr>
        <w:t xml:space="preserve"> </w:t>
      </w:r>
      <w:r>
        <w:rPr>
          <w:rFonts w:ascii="宋体" w:hAnsi="宋体" w:eastAsia="宋体" w:cs="宋体"/>
          <w:spacing w:val="-4"/>
          <w:sz w:val="24"/>
          <w:szCs w:val="24"/>
        </w:rPr>
        <w:t>析</w:t>
      </w:r>
    </w:p>
    <w:p w14:paraId="15DC6043">
      <w:pPr>
        <w:spacing w:before="99" w:line="220" w:lineRule="auto"/>
        <w:ind w:left="560"/>
        <w:rPr>
          <w:rFonts w:ascii="宋体" w:hAnsi="宋体" w:eastAsia="宋体" w:cs="宋体"/>
          <w:sz w:val="27"/>
          <w:szCs w:val="27"/>
        </w:rPr>
      </w:pPr>
      <w:r>
        <w:rPr>
          <w:rFonts w:ascii="Times New Roman" w:hAnsi="Times New Roman" w:eastAsia="Times New Roman" w:cs="Times New Roman"/>
          <w:spacing w:val="3"/>
          <w:sz w:val="27"/>
          <w:szCs w:val="27"/>
        </w:rPr>
        <w:t>5.5</w:t>
      </w:r>
      <w:r>
        <w:rPr>
          <w:rFonts w:ascii="Times New Roman" w:hAnsi="Times New Roman" w:eastAsia="Times New Roman" w:cs="Times New Roman"/>
          <w:spacing w:val="7"/>
          <w:sz w:val="27"/>
          <w:szCs w:val="27"/>
        </w:rPr>
        <w:t xml:space="preserve">   </w:t>
      </w:r>
      <w:r>
        <w:rPr>
          <w:rFonts w:ascii="宋体" w:hAnsi="宋体" w:eastAsia="宋体" w:cs="宋体"/>
          <w:spacing w:val="3"/>
          <w:sz w:val="27"/>
          <w:szCs w:val="27"/>
        </w:rPr>
        <w:t>制造工艺分析</w:t>
      </w:r>
    </w:p>
    <w:p w14:paraId="142B22C8">
      <w:pPr>
        <w:spacing w:before="88" w:line="220" w:lineRule="auto"/>
        <w:ind w:left="560"/>
        <w:rPr>
          <w:rFonts w:ascii="宋体" w:hAnsi="宋体" w:eastAsia="宋体" w:cs="宋体"/>
          <w:sz w:val="27"/>
          <w:szCs w:val="27"/>
        </w:rPr>
      </w:pPr>
      <w:r>
        <w:rPr>
          <w:rFonts w:ascii="Times New Roman" w:hAnsi="Times New Roman" w:eastAsia="Times New Roman" w:cs="Times New Roman"/>
          <w:spacing w:val="3"/>
          <w:sz w:val="27"/>
          <w:szCs w:val="27"/>
        </w:rPr>
        <w:t>5.6</w:t>
      </w:r>
      <w:r>
        <w:rPr>
          <w:rFonts w:ascii="Times New Roman" w:hAnsi="Times New Roman" w:eastAsia="Times New Roman" w:cs="Times New Roman"/>
          <w:spacing w:val="7"/>
          <w:sz w:val="27"/>
          <w:szCs w:val="27"/>
        </w:rPr>
        <w:t xml:space="preserve">   </w:t>
      </w:r>
      <w:r>
        <w:rPr>
          <w:rFonts w:ascii="宋体" w:hAnsi="宋体" w:eastAsia="宋体" w:cs="宋体"/>
          <w:spacing w:val="3"/>
          <w:sz w:val="27"/>
          <w:szCs w:val="27"/>
        </w:rPr>
        <w:t>连接方法分析</w:t>
      </w:r>
    </w:p>
    <w:p w14:paraId="58222D17">
      <w:pPr>
        <w:spacing w:before="75" w:line="219"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5.7   </w:t>
      </w:r>
      <w:r>
        <w:rPr>
          <w:rFonts w:ascii="宋体" w:hAnsi="宋体" w:eastAsia="宋体" w:cs="宋体"/>
          <w:spacing w:val="4"/>
          <w:sz w:val="27"/>
          <w:szCs w:val="27"/>
        </w:rPr>
        <w:t>涂覆材料和方法分析</w:t>
      </w:r>
    </w:p>
    <w:p w14:paraId="5D3881CE">
      <w:pPr>
        <w:spacing w:before="103" w:line="220" w:lineRule="auto"/>
        <w:ind w:left="560"/>
        <w:rPr>
          <w:rFonts w:ascii="宋体" w:hAnsi="宋体" w:eastAsia="宋体" w:cs="宋体"/>
          <w:sz w:val="27"/>
          <w:szCs w:val="27"/>
        </w:rPr>
      </w:pPr>
      <w:r>
        <w:rPr>
          <w:rFonts w:ascii="Times New Roman" w:hAnsi="Times New Roman" w:eastAsia="Times New Roman" w:cs="Times New Roman"/>
          <w:spacing w:val="5"/>
          <w:sz w:val="27"/>
          <w:szCs w:val="27"/>
        </w:rPr>
        <w:t xml:space="preserve">5.8   </w:t>
      </w:r>
      <w:r>
        <w:rPr>
          <w:rFonts w:ascii="宋体" w:hAnsi="宋体" w:eastAsia="宋体" w:cs="宋体"/>
          <w:spacing w:val="5"/>
          <w:sz w:val="27"/>
          <w:szCs w:val="27"/>
        </w:rPr>
        <w:t>热处理和清洗工艺分析</w:t>
      </w:r>
    </w:p>
    <w:p w14:paraId="38F03BCC">
      <w:pPr>
        <w:spacing w:before="98" w:line="220" w:lineRule="auto"/>
        <w:ind w:left="560"/>
        <w:rPr>
          <w:rFonts w:ascii="宋体" w:hAnsi="宋体" w:eastAsia="宋体" w:cs="宋体"/>
          <w:sz w:val="27"/>
          <w:szCs w:val="27"/>
        </w:rPr>
      </w:pPr>
      <w:r>
        <w:rPr>
          <w:rFonts w:ascii="宋体" w:hAnsi="宋体" w:eastAsia="宋体" w:cs="宋体"/>
          <w:spacing w:val="25"/>
          <w:sz w:val="27"/>
          <w:szCs w:val="27"/>
        </w:rPr>
        <w:t>5.9安全分析</w:t>
      </w:r>
    </w:p>
    <w:p w14:paraId="0CAF110B">
      <w:pPr>
        <w:spacing w:before="78" w:line="220" w:lineRule="auto"/>
        <w:ind w:left="560"/>
        <w:rPr>
          <w:rFonts w:ascii="宋体" w:hAnsi="宋体" w:eastAsia="宋体" w:cs="宋体"/>
          <w:sz w:val="27"/>
          <w:szCs w:val="27"/>
        </w:rPr>
      </w:pPr>
      <w:r>
        <w:rPr>
          <w:rFonts w:ascii="宋体" w:hAnsi="宋体" w:eastAsia="宋体" w:cs="宋体"/>
          <w:spacing w:val="1"/>
          <w:sz w:val="27"/>
          <w:szCs w:val="27"/>
        </w:rPr>
        <w:t>5.10</w:t>
      </w:r>
      <w:r>
        <w:rPr>
          <w:rFonts w:ascii="宋体" w:hAnsi="宋体" w:eastAsia="宋体" w:cs="宋体"/>
          <w:spacing w:val="45"/>
          <w:sz w:val="27"/>
          <w:szCs w:val="27"/>
        </w:rPr>
        <w:t xml:space="preserve"> </w:t>
      </w:r>
      <w:r>
        <w:rPr>
          <w:rFonts w:ascii="宋体" w:hAnsi="宋体" w:eastAsia="宋体" w:cs="宋体"/>
          <w:spacing w:val="1"/>
          <w:sz w:val="27"/>
          <w:szCs w:val="27"/>
        </w:rPr>
        <w:t>环境要求分析</w:t>
      </w:r>
    </w:p>
    <w:p w14:paraId="766E9AE6">
      <w:pPr>
        <w:spacing w:before="78" w:line="219" w:lineRule="auto"/>
        <w:ind w:left="560"/>
        <w:rPr>
          <w:rFonts w:ascii="宋体" w:hAnsi="宋体" w:eastAsia="宋体" w:cs="宋体"/>
          <w:sz w:val="27"/>
          <w:szCs w:val="27"/>
        </w:rPr>
      </w:pPr>
      <w:r>
        <w:rPr>
          <w:rFonts w:ascii="Times New Roman" w:hAnsi="Times New Roman" w:eastAsia="Times New Roman" w:cs="Times New Roman"/>
          <w:spacing w:val="1"/>
          <w:sz w:val="27"/>
          <w:szCs w:val="27"/>
        </w:rPr>
        <w:t>5.11</w:t>
      </w:r>
      <w:r>
        <w:rPr>
          <w:rFonts w:ascii="Times New Roman" w:hAnsi="Times New Roman" w:eastAsia="Times New Roman" w:cs="Times New Roman"/>
          <w:spacing w:val="14"/>
          <w:sz w:val="27"/>
          <w:szCs w:val="27"/>
        </w:rPr>
        <w:t xml:space="preserve">   </w:t>
      </w:r>
      <w:r>
        <w:rPr>
          <w:rFonts w:ascii="宋体" w:hAnsi="宋体" w:eastAsia="宋体" w:cs="宋体"/>
          <w:spacing w:val="1"/>
          <w:sz w:val="27"/>
          <w:szCs w:val="27"/>
        </w:rPr>
        <w:t>检验和试验分析</w:t>
      </w:r>
    </w:p>
    <w:p w14:paraId="2DCE1ADD">
      <w:pPr>
        <w:pStyle w:val="2"/>
        <w:spacing w:before="30" w:line="368" w:lineRule="exact"/>
        <w:rPr>
          <w:rFonts w:ascii="黑体" w:hAnsi="黑体" w:eastAsia="黑体" w:cs="黑体"/>
          <w:sz w:val="27"/>
          <w:szCs w:val="27"/>
        </w:rPr>
      </w:pPr>
      <w:r>
        <w:rPr>
          <w:spacing w:val="2"/>
          <w:position w:val="1"/>
          <w:sz w:val="27"/>
          <w:szCs w:val="27"/>
        </w:rPr>
        <w:t>6</w:t>
      </w:r>
      <w:r>
        <w:rPr>
          <w:position w:val="1"/>
          <w:sz w:val="27"/>
          <w:szCs w:val="27"/>
        </w:rPr>
        <w:t xml:space="preserve">    </w:t>
      </w:r>
      <w:r>
        <w:rPr>
          <w:rFonts w:ascii="黑体" w:hAnsi="黑体" w:eastAsia="黑体" w:cs="黑体"/>
          <w:spacing w:val="2"/>
          <w:position w:val="1"/>
          <w:sz w:val="27"/>
          <w:szCs w:val="27"/>
        </w:rPr>
        <w:t>生产性分析结论</w:t>
      </w:r>
    </w:p>
    <w:p w14:paraId="2C1E9D65">
      <w:pPr>
        <w:spacing w:before="92" w:line="289" w:lineRule="auto"/>
        <w:ind w:right="6" w:firstLine="560"/>
        <w:rPr>
          <w:rFonts w:ascii="宋体" w:hAnsi="宋体" w:eastAsia="宋体" w:cs="宋体"/>
          <w:sz w:val="27"/>
          <w:szCs w:val="27"/>
        </w:rPr>
      </w:pPr>
      <w:r>
        <w:rPr>
          <w:rFonts w:ascii="宋体" w:hAnsi="宋体" w:eastAsia="宋体" w:cs="宋体"/>
          <w:spacing w:val="5"/>
          <w:sz w:val="27"/>
          <w:szCs w:val="27"/>
        </w:rPr>
        <w:t>对修改后的设计图样和产品规范进行生产性分析后，给出产品设计是否符</w:t>
      </w:r>
      <w:r>
        <w:rPr>
          <w:rFonts w:ascii="宋体" w:hAnsi="宋体" w:eastAsia="宋体" w:cs="宋体"/>
          <w:spacing w:val="9"/>
          <w:sz w:val="27"/>
          <w:szCs w:val="27"/>
        </w:rPr>
        <w:t xml:space="preserve"> </w:t>
      </w:r>
      <w:r>
        <w:rPr>
          <w:rFonts w:ascii="宋体" w:hAnsi="宋体" w:eastAsia="宋体" w:cs="宋体"/>
          <w:spacing w:val="-3"/>
          <w:sz w:val="27"/>
          <w:szCs w:val="27"/>
        </w:rPr>
        <w:t>合生产性要求，产品能否设计定型的结论性意见。</w:t>
      </w:r>
    </w:p>
    <w:p w14:paraId="3CF52C6A">
      <w:pPr>
        <w:spacing w:line="289" w:lineRule="auto"/>
        <w:rPr>
          <w:rFonts w:ascii="宋体" w:hAnsi="宋体" w:eastAsia="宋体" w:cs="宋体"/>
          <w:sz w:val="27"/>
          <w:szCs w:val="27"/>
        </w:rPr>
        <w:sectPr>
          <w:footerReference r:id="rId143" w:type="default"/>
          <w:pgSz w:w="11910" w:h="17130"/>
          <w:pgMar w:top="400" w:right="1073" w:bottom="1563" w:left="1460" w:header="0" w:footer="1364" w:gutter="0"/>
          <w:cols w:space="720" w:num="1"/>
        </w:sectPr>
      </w:pPr>
    </w:p>
    <w:p w14:paraId="4E205B09">
      <w:pPr>
        <w:pStyle w:val="2"/>
        <w:spacing w:line="280" w:lineRule="auto"/>
      </w:pPr>
    </w:p>
    <w:p w14:paraId="20325D10">
      <w:pPr>
        <w:pStyle w:val="2"/>
        <w:spacing w:line="281" w:lineRule="auto"/>
      </w:pPr>
    </w:p>
    <w:p w14:paraId="74974727">
      <w:pPr>
        <w:pStyle w:val="2"/>
        <w:spacing w:line="281" w:lineRule="auto"/>
      </w:pPr>
    </w:p>
    <w:p w14:paraId="6B1DF9F1">
      <w:pPr>
        <w:pStyle w:val="2"/>
        <w:spacing w:line="281" w:lineRule="auto"/>
      </w:pPr>
    </w:p>
    <w:p w14:paraId="5759412E">
      <w:pPr>
        <w:pStyle w:val="2"/>
        <w:spacing w:line="281" w:lineRule="auto"/>
      </w:pPr>
    </w:p>
    <w:p w14:paraId="45A3B21B">
      <w:pPr>
        <w:spacing w:before="117" w:line="219" w:lineRule="auto"/>
        <w:ind w:left="3209"/>
        <w:outlineLvl w:val="1"/>
        <w:rPr>
          <w:rFonts w:ascii="宋体" w:hAnsi="宋体" w:eastAsia="宋体" w:cs="宋体"/>
          <w:sz w:val="36"/>
          <w:szCs w:val="36"/>
        </w:rPr>
      </w:pPr>
      <w:bookmarkStart w:id="88" w:name="bookmark45"/>
      <w:bookmarkEnd w:id="88"/>
      <w:bookmarkStart w:id="89" w:name="bookmark351"/>
      <w:bookmarkEnd w:id="89"/>
      <w:r>
        <w:rPr>
          <w:rFonts w:ascii="宋体" w:hAnsi="宋体" w:eastAsia="宋体" w:cs="宋体"/>
          <w:spacing w:val="-15"/>
          <w:sz w:val="36"/>
          <w:szCs w:val="36"/>
        </w:rPr>
        <w:t>1.</w:t>
      </w:r>
      <w:r>
        <w:rPr>
          <w:rFonts w:ascii="宋体" w:hAnsi="宋体" w:eastAsia="宋体" w:cs="宋体"/>
          <w:b/>
          <w:bCs/>
          <w:spacing w:val="-15"/>
          <w:sz w:val="36"/>
          <w:szCs w:val="36"/>
        </w:rPr>
        <w:t>43</w:t>
      </w:r>
      <w:r>
        <w:rPr>
          <w:rFonts w:ascii="宋体" w:hAnsi="宋体" w:eastAsia="宋体" w:cs="宋体"/>
          <w:spacing w:val="22"/>
          <w:sz w:val="36"/>
          <w:szCs w:val="36"/>
        </w:rPr>
        <w:t xml:space="preserve">  </w:t>
      </w:r>
      <w:r>
        <w:rPr>
          <w:rFonts w:ascii="宋体" w:hAnsi="宋体" w:eastAsia="宋体" w:cs="宋体"/>
          <w:b/>
          <w:bCs/>
          <w:spacing w:val="-15"/>
          <w:sz w:val="36"/>
          <w:szCs w:val="36"/>
        </w:rPr>
        <w:t>改</w:t>
      </w:r>
      <w:r>
        <w:rPr>
          <w:rFonts w:ascii="宋体" w:hAnsi="宋体" w:eastAsia="宋体" w:cs="宋体"/>
          <w:spacing w:val="-26"/>
          <w:sz w:val="36"/>
          <w:szCs w:val="36"/>
        </w:rPr>
        <w:t xml:space="preserve"> </w:t>
      </w:r>
      <w:r>
        <w:rPr>
          <w:rFonts w:ascii="宋体" w:hAnsi="宋体" w:eastAsia="宋体" w:cs="宋体"/>
          <w:b/>
          <w:bCs/>
          <w:spacing w:val="-15"/>
          <w:sz w:val="36"/>
          <w:szCs w:val="36"/>
        </w:rPr>
        <w:t>装</w:t>
      </w:r>
      <w:r>
        <w:rPr>
          <w:rFonts w:ascii="宋体" w:hAnsi="宋体" w:eastAsia="宋体" w:cs="宋体"/>
          <w:spacing w:val="-15"/>
          <w:sz w:val="36"/>
          <w:szCs w:val="36"/>
        </w:rPr>
        <w:t xml:space="preserve"> </w:t>
      </w:r>
      <w:r>
        <w:rPr>
          <w:rFonts w:ascii="宋体" w:hAnsi="宋体" w:eastAsia="宋体" w:cs="宋体"/>
          <w:b/>
          <w:bCs/>
          <w:spacing w:val="-15"/>
          <w:sz w:val="36"/>
          <w:szCs w:val="36"/>
        </w:rPr>
        <w:t>总</w:t>
      </w:r>
      <w:r>
        <w:rPr>
          <w:rFonts w:ascii="宋体" w:hAnsi="宋体" w:eastAsia="宋体" w:cs="宋体"/>
          <w:spacing w:val="-18"/>
          <w:sz w:val="36"/>
          <w:szCs w:val="36"/>
        </w:rPr>
        <w:t xml:space="preserve"> </w:t>
      </w:r>
      <w:r>
        <w:rPr>
          <w:rFonts w:ascii="宋体" w:hAnsi="宋体" w:eastAsia="宋体" w:cs="宋体"/>
          <w:b/>
          <w:bCs/>
          <w:spacing w:val="-15"/>
          <w:sz w:val="36"/>
          <w:szCs w:val="36"/>
        </w:rPr>
        <w:t>结</w:t>
      </w:r>
    </w:p>
    <w:p w14:paraId="1F16B108">
      <w:pPr>
        <w:pStyle w:val="2"/>
        <w:spacing w:line="354" w:lineRule="auto"/>
      </w:pPr>
    </w:p>
    <w:p w14:paraId="3AAEEAC8">
      <w:pPr>
        <w:spacing w:before="91" w:line="223" w:lineRule="auto"/>
        <w:ind w:left="550"/>
        <w:rPr>
          <w:rFonts w:ascii="楷体" w:hAnsi="楷体" w:eastAsia="楷体" w:cs="楷体"/>
          <w:sz w:val="28"/>
          <w:szCs w:val="28"/>
        </w:rPr>
      </w:pPr>
      <w:r>
        <w:rPr>
          <w:rFonts w:ascii="楷体" w:hAnsi="楷体" w:eastAsia="楷体" w:cs="楷体"/>
          <w:spacing w:val="-8"/>
          <w:sz w:val="28"/>
          <w:szCs w:val="28"/>
        </w:rPr>
        <w:t>参照</w:t>
      </w:r>
      <w:r>
        <w:rPr>
          <w:rFonts w:ascii="Times New Roman" w:hAnsi="Times New Roman" w:eastAsia="Times New Roman" w:cs="Times New Roman"/>
          <w:spacing w:val="-8"/>
          <w:sz w:val="28"/>
          <w:szCs w:val="28"/>
        </w:rPr>
        <w:t>GJB1362A—2007</w:t>
      </w:r>
      <w:r>
        <w:rPr>
          <w:rFonts w:ascii="宋体" w:hAnsi="宋体" w:eastAsia="宋体" w:cs="宋体"/>
          <w:spacing w:val="-8"/>
          <w:sz w:val="28"/>
          <w:szCs w:val="28"/>
        </w:rPr>
        <w:t>《</w:t>
      </w:r>
      <w:r>
        <w:rPr>
          <w:rFonts w:ascii="楷体" w:hAnsi="楷体" w:eastAsia="楷体" w:cs="楷体"/>
          <w:spacing w:val="-8"/>
          <w:sz w:val="28"/>
          <w:szCs w:val="28"/>
        </w:rPr>
        <w:t>军工产品定型程序和要求》编写。</w:t>
      </w:r>
    </w:p>
    <w:p w14:paraId="07D24AF6">
      <w:pPr>
        <w:spacing w:before="101" w:line="221" w:lineRule="auto"/>
        <w:rPr>
          <w:rFonts w:ascii="黑体" w:hAnsi="黑体" w:eastAsia="黑体" w:cs="黑体"/>
          <w:sz w:val="27"/>
          <w:szCs w:val="27"/>
        </w:rPr>
      </w:pPr>
      <w:r>
        <w:rPr>
          <w:rFonts w:ascii="黑体" w:hAnsi="黑体" w:eastAsia="黑体" w:cs="黑体"/>
          <w:spacing w:val="-5"/>
          <w:sz w:val="27"/>
          <w:szCs w:val="27"/>
        </w:rPr>
        <w:t>1</w:t>
      </w:r>
      <w:r>
        <w:rPr>
          <w:rFonts w:ascii="黑体" w:hAnsi="黑体" w:eastAsia="黑体" w:cs="黑体"/>
          <w:spacing w:val="23"/>
          <w:sz w:val="27"/>
          <w:szCs w:val="27"/>
        </w:rPr>
        <w:t xml:space="preserve">  </w:t>
      </w:r>
      <w:r>
        <w:rPr>
          <w:rFonts w:ascii="黑体" w:hAnsi="黑体" w:eastAsia="黑体" w:cs="黑体"/>
          <w:b/>
          <w:bCs/>
          <w:spacing w:val="-5"/>
          <w:sz w:val="27"/>
          <w:szCs w:val="27"/>
        </w:rPr>
        <w:t>改装任务来源</w:t>
      </w:r>
    </w:p>
    <w:p w14:paraId="3D41BF4E">
      <w:pPr>
        <w:spacing w:before="83" w:line="219" w:lineRule="auto"/>
        <w:ind w:left="550"/>
        <w:rPr>
          <w:rFonts w:ascii="宋体" w:hAnsi="宋体" w:eastAsia="宋体" w:cs="宋体"/>
          <w:sz w:val="27"/>
          <w:szCs w:val="27"/>
        </w:rPr>
      </w:pPr>
      <w:r>
        <w:rPr>
          <w:rFonts w:ascii="宋体" w:hAnsi="宋体" w:eastAsia="宋体" w:cs="宋体"/>
          <w:sz w:val="27"/>
          <w:szCs w:val="27"/>
        </w:rPr>
        <w:t>改装任务来源应包括：</w:t>
      </w:r>
    </w:p>
    <w:p w14:paraId="6FB931DF">
      <w:pPr>
        <w:spacing w:before="68" w:line="274" w:lineRule="auto"/>
        <w:ind w:firstLine="550"/>
        <w:rPr>
          <w:rFonts w:ascii="宋体" w:hAnsi="宋体" w:eastAsia="宋体" w:cs="宋体"/>
          <w:sz w:val="27"/>
          <w:szCs w:val="27"/>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72"/>
          <w:w w:val="101"/>
          <w:sz w:val="27"/>
          <w:szCs w:val="27"/>
        </w:rPr>
        <w:t xml:space="preserve"> </w:t>
      </w:r>
      <w:r>
        <w:rPr>
          <w:rFonts w:ascii="宋体" w:hAnsi="宋体" w:eastAsia="宋体" w:cs="宋体"/>
          <w:spacing w:val="-1"/>
          <w:sz w:val="27"/>
          <w:szCs w:val="27"/>
        </w:rPr>
        <w:t>上级装备研制管理部门下达的批准改装的文件(含文件号、文件名称、正</w:t>
      </w:r>
      <w:r>
        <w:rPr>
          <w:rFonts w:ascii="宋体" w:hAnsi="宋体" w:eastAsia="宋体" w:cs="宋体"/>
          <w:sz w:val="27"/>
          <w:szCs w:val="27"/>
        </w:rPr>
        <w:t xml:space="preserve"> </w:t>
      </w:r>
      <w:r>
        <w:rPr>
          <w:rFonts w:ascii="宋体" w:hAnsi="宋体" w:eastAsia="宋体" w:cs="宋体"/>
          <w:spacing w:val="1"/>
          <w:sz w:val="27"/>
          <w:szCs w:val="27"/>
        </w:rPr>
        <w:t>式命名的装备名称)或任务安排；</w:t>
      </w:r>
    </w:p>
    <w:p w14:paraId="171F01F6">
      <w:pPr>
        <w:spacing w:before="39"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承担改装的单位、完成的时间要求；</w:t>
      </w:r>
    </w:p>
    <w:p w14:paraId="1656AA63">
      <w:pPr>
        <w:spacing w:before="12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54"/>
          <w:w w:val="101"/>
          <w:sz w:val="27"/>
          <w:szCs w:val="27"/>
        </w:rPr>
        <w:t xml:space="preserve"> </w:t>
      </w:r>
      <w:r>
        <w:rPr>
          <w:rFonts w:ascii="宋体" w:hAnsi="宋体" w:eastAsia="宋体" w:cs="宋体"/>
          <w:spacing w:val="2"/>
          <w:sz w:val="27"/>
          <w:szCs w:val="27"/>
        </w:rPr>
        <w:t>完成改装的数量等。</w:t>
      </w:r>
    </w:p>
    <w:p w14:paraId="17032FC0">
      <w:pPr>
        <w:pStyle w:val="2"/>
        <w:spacing w:before="174" w:line="222" w:lineRule="auto"/>
        <w:rPr>
          <w:rFonts w:ascii="黑体" w:hAnsi="黑体" w:eastAsia="黑体" w:cs="黑体"/>
          <w:sz w:val="24"/>
          <w:szCs w:val="24"/>
        </w:rPr>
      </w:pPr>
      <w:r>
        <w:rPr>
          <w:b/>
          <w:bCs/>
          <w:spacing w:val="21"/>
          <w:sz w:val="24"/>
          <w:szCs w:val="24"/>
        </w:rPr>
        <w:t xml:space="preserve">2    </w:t>
      </w:r>
      <w:r>
        <w:rPr>
          <w:rFonts w:ascii="黑体" w:hAnsi="黑体" w:eastAsia="黑体" w:cs="黑体"/>
          <w:b/>
          <w:bCs/>
          <w:spacing w:val="21"/>
          <w:sz w:val="24"/>
          <w:szCs w:val="24"/>
        </w:rPr>
        <w:t>改装内容和改装过程</w:t>
      </w:r>
    </w:p>
    <w:p w14:paraId="45994AC7">
      <w:pPr>
        <w:spacing w:before="72" w:line="221" w:lineRule="auto"/>
        <w:rPr>
          <w:rFonts w:ascii="黑体" w:hAnsi="黑体" w:eastAsia="黑体" w:cs="黑体"/>
          <w:sz w:val="27"/>
          <w:szCs w:val="27"/>
        </w:rPr>
      </w:pPr>
      <w:r>
        <w:rPr>
          <w:rFonts w:ascii="黑体" w:hAnsi="黑体" w:eastAsia="黑体" w:cs="黑体"/>
          <w:spacing w:val="-4"/>
          <w:sz w:val="27"/>
          <w:szCs w:val="27"/>
        </w:rPr>
        <w:t>2.1</w:t>
      </w:r>
      <w:r>
        <w:rPr>
          <w:rFonts w:ascii="黑体" w:hAnsi="黑体" w:eastAsia="黑体" w:cs="黑体"/>
          <w:spacing w:val="14"/>
          <w:sz w:val="27"/>
          <w:szCs w:val="27"/>
        </w:rPr>
        <w:t xml:space="preserve">  </w:t>
      </w:r>
      <w:r>
        <w:rPr>
          <w:rFonts w:ascii="黑体" w:hAnsi="黑体" w:eastAsia="黑体" w:cs="黑体"/>
          <w:b/>
          <w:bCs/>
          <w:spacing w:val="-4"/>
          <w:sz w:val="27"/>
          <w:szCs w:val="27"/>
        </w:rPr>
        <w:t>产品概述</w:t>
      </w:r>
    </w:p>
    <w:p w14:paraId="499D5B54">
      <w:pPr>
        <w:spacing w:before="139" w:line="223" w:lineRule="auto"/>
        <w:rPr>
          <w:rFonts w:ascii="黑体" w:hAnsi="黑体" w:eastAsia="黑体" w:cs="黑体"/>
          <w:sz w:val="24"/>
          <w:szCs w:val="24"/>
        </w:rPr>
      </w:pPr>
      <w:r>
        <w:rPr>
          <w:rFonts w:ascii="黑体" w:hAnsi="黑体" w:eastAsia="黑体" w:cs="黑体"/>
          <w:spacing w:val="12"/>
          <w:sz w:val="24"/>
          <w:szCs w:val="24"/>
        </w:rPr>
        <w:t>2.1.1</w:t>
      </w:r>
      <w:r>
        <w:rPr>
          <w:rFonts w:ascii="黑体" w:hAnsi="黑体" w:eastAsia="黑体" w:cs="黑体"/>
          <w:spacing w:val="4"/>
          <w:sz w:val="24"/>
          <w:szCs w:val="24"/>
        </w:rPr>
        <w:t xml:space="preserve">   </w:t>
      </w:r>
      <w:r>
        <w:rPr>
          <w:rFonts w:ascii="黑体" w:hAnsi="黑体" w:eastAsia="黑体" w:cs="黑体"/>
          <w:b/>
          <w:bCs/>
          <w:spacing w:val="12"/>
          <w:sz w:val="24"/>
          <w:szCs w:val="24"/>
        </w:rPr>
        <w:t>产品用途</w:t>
      </w:r>
    </w:p>
    <w:p w14:paraId="104933DC">
      <w:pPr>
        <w:spacing w:before="113" w:line="284" w:lineRule="auto"/>
        <w:ind w:right="9" w:firstLine="550"/>
        <w:rPr>
          <w:rFonts w:ascii="宋体" w:hAnsi="宋体" w:eastAsia="宋体" w:cs="宋体"/>
          <w:sz w:val="27"/>
          <w:szCs w:val="27"/>
        </w:rPr>
      </w:pPr>
      <w:r>
        <w:rPr>
          <w:rFonts w:ascii="宋体" w:hAnsi="宋体" w:eastAsia="宋体" w:cs="宋体"/>
          <w:spacing w:val="-3"/>
          <w:sz w:val="27"/>
          <w:szCs w:val="27"/>
        </w:rPr>
        <w:t>简要说明产品的使命任务和地位作用等内容，如系配套产品，则介绍在系统</w:t>
      </w:r>
      <w:r>
        <w:rPr>
          <w:rFonts w:ascii="宋体" w:hAnsi="宋体" w:eastAsia="宋体" w:cs="宋体"/>
          <w:sz w:val="27"/>
          <w:szCs w:val="27"/>
        </w:rPr>
        <w:t xml:space="preserve"> </w:t>
      </w:r>
      <w:r>
        <w:rPr>
          <w:rFonts w:ascii="宋体" w:hAnsi="宋体" w:eastAsia="宋体" w:cs="宋体"/>
          <w:spacing w:val="-22"/>
          <w:sz w:val="27"/>
          <w:szCs w:val="27"/>
        </w:rPr>
        <w:t>中的定位、属性、用途。</w:t>
      </w:r>
    </w:p>
    <w:p w14:paraId="50024DB3">
      <w:pPr>
        <w:spacing w:before="35" w:line="222" w:lineRule="auto"/>
        <w:rPr>
          <w:rFonts w:ascii="黑体" w:hAnsi="黑体" w:eastAsia="黑体" w:cs="黑体"/>
          <w:sz w:val="24"/>
          <w:szCs w:val="24"/>
        </w:rPr>
      </w:pPr>
      <w:r>
        <w:rPr>
          <w:rFonts w:ascii="黑体" w:hAnsi="黑体" w:eastAsia="黑体" w:cs="黑体"/>
          <w:spacing w:val="13"/>
          <w:sz w:val="24"/>
          <w:szCs w:val="24"/>
        </w:rPr>
        <w:t>2.1.2</w:t>
      </w:r>
      <w:r>
        <w:rPr>
          <w:rFonts w:ascii="黑体" w:hAnsi="黑体" w:eastAsia="黑体" w:cs="黑体"/>
          <w:spacing w:val="2"/>
          <w:sz w:val="24"/>
          <w:szCs w:val="24"/>
        </w:rPr>
        <w:t xml:space="preserve">   </w:t>
      </w:r>
      <w:r>
        <w:rPr>
          <w:rFonts w:ascii="黑体" w:hAnsi="黑体" w:eastAsia="黑体" w:cs="黑体"/>
          <w:b/>
          <w:bCs/>
          <w:spacing w:val="13"/>
          <w:sz w:val="24"/>
          <w:szCs w:val="24"/>
        </w:rPr>
        <w:t>产品组成</w:t>
      </w:r>
    </w:p>
    <w:p w14:paraId="2C4B3956">
      <w:pPr>
        <w:spacing w:before="104" w:line="293" w:lineRule="auto"/>
        <w:ind w:right="5" w:firstLine="550"/>
        <w:rPr>
          <w:rFonts w:ascii="宋体" w:hAnsi="宋体" w:eastAsia="宋体" w:cs="宋体"/>
          <w:sz w:val="27"/>
          <w:szCs w:val="27"/>
        </w:rPr>
      </w:pPr>
      <w:r>
        <w:rPr>
          <w:rFonts w:ascii="宋体" w:hAnsi="宋体" w:eastAsia="宋体" w:cs="宋体"/>
          <w:spacing w:val="14"/>
          <w:sz w:val="27"/>
          <w:szCs w:val="27"/>
        </w:rPr>
        <w:t>简要说明产品的组成(包括硬件组成和软件组成)以及各部分的功能</w:t>
      </w:r>
      <w:r>
        <w:rPr>
          <w:rFonts w:ascii="宋体" w:hAnsi="宋体" w:eastAsia="宋体" w:cs="宋体"/>
          <w:spacing w:val="13"/>
          <w:sz w:val="27"/>
          <w:szCs w:val="27"/>
        </w:rPr>
        <w:t>等内</w:t>
      </w:r>
      <w:r>
        <w:rPr>
          <w:rFonts w:ascii="宋体" w:hAnsi="宋体" w:eastAsia="宋体" w:cs="宋体"/>
          <w:sz w:val="27"/>
          <w:szCs w:val="27"/>
        </w:rPr>
        <w:t xml:space="preserve"> </w:t>
      </w:r>
      <w:r>
        <w:rPr>
          <w:rFonts w:ascii="宋体" w:hAnsi="宋体" w:eastAsia="宋体" w:cs="宋体"/>
          <w:spacing w:val="-9"/>
          <w:sz w:val="27"/>
          <w:szCs w:val="27"/>
        </w:rPr>
        <w:t>容，可简要介绍工作原理。</w:t>
      </w:r>
    </w:p>
    <w:p w14:paraId="40E10D53">
      <w:pPr>
        <w:spacing w:before="1" w:line="221" w:lineRule="auto"/>
        <w:rPr>
          <w:rFonts w:ascii="黑体" w:hAnsi="黑体" w:eastAsia="黑体" w:cs="黑体"/>
          <w:sz w:val="25"/>
          <w:szCs w:val="25"/>
        </w:rPr>
      </w:pPr>
      <w:r>
        <w:rPr>
          <w:rFonts w:ascii="黑体" w:hAnsi="黑体" w:eastAsia="黑体" w:cs="黑体"/>
          <w:spacing w:val="8"/>
          <w:sz w:val="25"/>
          <w:szCs w:val="25"/>
        </w:rPr>
        <w:t>2.1.3</w:t>
      </w:r>
      <w:r>
        <w:rPr>
          <w:rFonts w:ascii="黑体" w:hAnsi="黑体" w:eastAsia="黑体" w:cs="黑体"/>
          <w:spacing w:val="50"/>
          <w:sz w:val="25"/>
          <w:szCs w:val="25"/>
        </w:rPr>
        <w:t xml:space="preserve">  </w:t>
      </w:r>
      <w:r>
        <w:rPr>
          <w:rFonts w:ascii="黑体" w:hAnsi="黑体" w:eastAsia="黑体" w:cs="黑体"/>
          <w:b/>
          <w:bCs/>
          <w:spacing w:val="8"/>
          <w:sz w:val="25"/>
          <w:szCs w:val="25"/>
        </w:rPr>
        <w:t>产品特点</w:t>
      </w:r>
    </w:p>
    <w:p w14:paraId="4BC45D8A">
      <w:pPr>
        <w:spacing w:before="103" w:line="290" w:lineRule="auto"/>
        <w:ind w:right="10" w:firstLine="550"/>
        <w:rPr>
          <w:rFonts w:ascii="宋体" w:hAnsi="宋体" w:eastAsia="宋体" w:cs="宋体"/>
          <w:sz w:val="27"/>
          <w:szCs w:val="27"/>
        </w:rPr>
      </w:pPr>
      <w:r>
        <w:rPr>
          <w:rFonts w:ascii="宋体" w:hAnsi="宋体" w:eastAsia="宋体" w:cs="宋体"/>
          <w:spacing w:val="-3"/>
          <w:sz w:val="27"/>
          <w:szCs w:val="27"/>
        </w:rPr>
        <w:t>简要说明产品的作战使用特点和性能特点，其中表述性能特点时，宜说明采</w:t>
      </w:r>
      <w:r>
        <w:rPr>
          <w:rFonts w:ascii="宋体" w:hAnsi="宋体" w:eastAsia="宋体" w:cs="宋体"/>
          <w:sz w:val="27"/>
          <w:szCs w:val="27"/>
        </w:rPr>
        <w:t xml:space="preserve"> </w:t>
      </w:r>
      <w:r>
        <w:rPr>
          <w:rFonts w:ascii="宋体" w:hAnsi="宋体" w:eastAsia="宋体" w:cs="宋体"/>
          <w:spacing w:val="-4"/>
          <w:sz w:val="27"/>
          <w:szCs w:val="27"/>
        </w:rPr>
        <w:t>用了何种关键技术，达到了何种性能指标。</w:t>
      </w:r>
    </w:p>
    <w:p w14:paraId="368ED754">
      <w:pPr>
        <w:spacing w:before="28" w:line="222" w:lineRule="auto"/>
        <w:rPr>
          <w:rFonts w:ascii="黑体" w:hAnsi="黑体" w:eastAsia="黑体" w:cs="黑体"/>
          <w:sz w:val="24"/>
          <w:szCs w:val="24"/>
        </w:rPr>
      </w:pPr>
      <w:r>
        <w:rPr>
          <w:rFonts w:ascii="黑体" w:hAnsi="黑体" w:eastAsia="黑体" w:cs="黑体"/>
          <w:spacing w:val="20"/>
          <w:sz w:val="24"/>
          <w:szCs w:val="24"/>
        </w:rPr>
        <w:t>2.1.4</w:t>
      </w:r>
      <w:r>
        <w:rPr>
          <w:rFonts w:ascii="黑体" w:hAnsi="黑体" w:eastAsia="黑体" w:cs="黑体"/>
          <w:spacing w:val="44"/>
          <w:sz w:val="24"/>
          <w:szCs w:val="24"/>
        </w:rPr>
        <w:t xml:space="preserve">  </w:t>
      </w:r>
      <w:r>
        <w:rPr>
          <w:rFonts w:ascii="黑体" w:hAnsi="黑体" w:eastAsia="黑体" w:cs="黑体"/>
          <w:b/>
          <w:bCs/>
          <w:spacing w:val="20"/>
          <w:sz w:val="24"/>
          <w:szCs w:val="24"/>
        </w:rPr>
        <w:t>产品使用模式</w:t>
      </w:r>
    </w:p>
    <w:p w14:paraId="44C21CF6">
      <w:pPr>
        <w:spacing w:before="106" w:line="219" w:lineRule="auto"/>
        <w:ind w:left="550"/>
        <w:rPr>
          <w:rFonts w:ascii="宋体" w:hAnsi="宋体" w:eastAsia="宋体" w:cs="宋体"/>
          <w:sz w:val="27"/>
          <w:szCs w:val="27"/>
        </w:rPr>
      </w:pPr>
      <w:r>
        <w:rPr>
          <w:rFonts w:ascii="宋体" w:hAnsi="宋体" w:eastAsia="宋体" w:cs="宋体"/>
          <w:spacing w:val="1"/>
          <w:sz w:val="27"/>
          <w:szCs w:val="27"/>
        </w:rPr>
        <w:t>简要说明产品的典型使用模式。</w:t>
      </w:r>
    </w:p>
    <w:p w14:paraId="39DA7803">
      <w:pPr>
        <w:spacing w:before="125" w:line="222" w:lineRule="auto"/>
        <w:rPr>
          <w:rFonts w:ascii="黑体" w:hAnsi="黑体" w:eastAsia="黑体" w:cs="黑体"/>
          <w:sz w:val="27"/>
          <w:szCs w:val="27"/>
        </w:rPr>
      </w:pPr>
      <w:r>
        <w:rPr>
          <w:rFonts w:ascii="黑体" w:hAnsi="黑体" w:eastAsia="黑体" w:cs="黑体"/>
          <w:spacing w:val="-3"/>
          <w:sz w:val="27"/>
          <w:szCs w:val="27"/>
        </w:rPr>
        <w:t>2.2</w:t>
      </w:r>
      <w:r>
        <w:rPr>
          <w:rFonts w:ascii="黑体" w:hAnsi="黑体" w:eastAsia="黑体" w:cs="黑体"/>
          <w:spacing w:val="16"/>
          <w:sz w:val="27"/>
          <w:szCs w:val="27"/>
        </w:rPr>
        <w:t xml:space="preserve">  </w:t>
      </w:r>
      <w:r>
        <w:rPr>
          <w:rFonts w:ascii="黑体" w:hAnsi="黑体" w:eastAsia="黑体" w:cs="黑体"/>
          <w:b/>
          <w:bCs/>
          <w:spacing w:val="-3"/>
          <w:sz w:val="27"/>
          <w:szCs w:val="27"/>
        </w:rPr>
        <w:t>改装内容</w:t>
      </w:r>
    </w:p>
    <w:p w14:paraId="1CDB2F7F">
      <w:pPr>
        <w:spacing w:before="100" w:line="283" w:lineRule="auto"/>
        <w:ind w:right="8" w:firstLine="550"/>
        <w:rPr>
          <w:rFonts w:ascii="宋体" w:hAnsi="宋体" w:eastAsia="宋体" w:cs="宋体"/>
          <w:sz w:val="27"/>
          <w:szCs w:val="27"/>
        </w:rPr>
      </w:pPr>
      <w:r>
        <w:rPr>
          <w:rFonts w:ascii="宋体" w:hAnsi="宋体" w:eastAsia="宋体" w:cs="宋体"/>
          <w:spacing w:val="5"/>
          <w:sz w:val="27"/>
          <w:szCs w:val="27"/>
        </w:rPr>
        <w:t>简要说明改装工作内容。改装内容较多时，可列表说明在本次改装中需要</w:t>
      </w:r>
      <w:r>
        <w:rPr>
          <w:rFonts w:ascii="宋体" w:hAnsi="宋体" w:eastAsia="宋体" w:cs="宋体"/>
          <w:spacing w:val="12"/>
          <w:sz w:val="27"/>
          <w:szCs w:val="27"/>
        </w:rPr>
        <w:t xml:space="preserve"> </w:t>
      </w:r>
      <w:r>
        <w:rPr>
          <w:rFonts w:ascii="宋体" w:hAnsi="宋体" w:eastAsia="宋体" w:cs="宋体"/>
          <w:spacing w:val="-7"/>
          <w:sz w:val="27"/>
          <w:szCs w:val="27"/>
        </w:rPr>
        <w:t>增装的设备、换装的设备、改进的设备和取消的设备。</w:t>
      </w:r>
    </w:p>
    <w:p w14:paraId="21FE3D83">
      <w:pPr>
        <w:spacing w:before="8" w:line="222" w:lineRule="auto"/>
        <w:rPr>
          <w:rFonts w:ascii="黑体" w:hAnsi="黑体" w:eastAsia="黑体" w:cs="黑体"/>
          <w:sz w:val="27"/>
          <w:szCs w:val="27"/>
        </w:rPr>
      </w:pPr>
      <w:r>
        <w:rPr>
          <w:rFonts w:ascii="黑体" w:hAnsi="黑体" w:eastAsia="黑体" w:cs="黑体"/>
          <w:spacing w:val="-5"/>
          <w:sz w:val="27"/>
          <w:szCs w:val="27"/>
        </w:rPr>
        <w:t>2.3</w:t>
      </w:r>
      <w:r>
        <w:rPr>
          <w:rFonts w:ascii="黑体" w:hAnsi="黑体" w:eastAsia="黑体" w:cs="黑体"/>
          <w:spacing w:val="14"/>
          <w:sz w:val="27"/>
          <w:szCs w:val="27"/>
        </w:rPr>
        <w:t xml:space="preserve">  </w:t>
      </w:r>
      <w:r>
        <w:rPr>
          <w:rFonts w:ascii="黑体" w:hAnsi="黑体" w:eastAsia="黑体" w:cs="黑体"/>
          <w:b/>
          <w:bCs/>
          <w:spacing w:val="-5"/>
          <w:sz w:val="27"/>
          <w:szCs w:val="27"/>
        </w:rPr>
        <w:t>改装过程</w:t>
      </w:r>
    </w:p>
    <w:p w14:paraId="486215F3">
      <w:pPr>
        <w:spacing w:before="101" w:line="219" w:lineRule="auto"/>
        <w:ind w:left="550"/>
        <w:rPr>
          <w:rFonts w:ascii="宋体" w:hAnsi="宋体" w:eastAsia="宋体" w:cs="宋体"/>
          <w:sz w:val="27"/>
          <w:szCs w:val="27"/>
        </w:rPr>
      </w:pPr>
      <w:r>
        <w:rPr>
          <w:rFonts w:ascii="宋体" w:hAnsi="宋体" w:eastAsia="宋体" w:cs="宋体"/>
          <w:sz w:val="27"/>
          <w:szCs w:val="27"/>
        </w:rPr>
        <w:t>在叙述改装过程时，要把主要时间节点及其对应的事</w:t>
      </w:r>
      <w:r>
        <w:rPr>
          <w:rFonts w:ascii="宋体" w:hAnsi="宋体" w:eastAsia="宋体" w:cs="宋体"/>
          <w:spacing w:val="-1"/>
          <w:sz w:val="27"/>
          <w:szCs w:val="27"/>
        </w:rPr>
        <w:t>件交待清楚。</w:t>
      </w:r>
    </w:p>
    <w:p w14:paraId="1CB0140F">
      <w:pPr>
        <w:spacing w:before="135" w:line="222" w:lineRule="auto"/>
        <w:rPr>
          <w:rFonts w:ascii="黑体" w:hAnsi="黑体" w:eastAsia="黑体" w:cs="黑体"/>
          <w:sz w:val="24"/>
          <w:szCs w:val="24"/>
        </w:rPr>
      </w:pPr>
      <w:r>
        <w:rPr>
          <w:rFonts w:ascii="黑体" w:hAnsi="黑体" w:eastAsia="黑体" w:cs="黑体"/>
          <w:spacing w:val="12"/>
          <w:sz w:val="24"/>
          <w:szCs w:val="24"/>
        </w:rPr>
        <w:t>2.3.1</w:t>
      </w:r>
      <w:r>
        <w:rPr>
          <w:rFonts w:ascii="黑体" w:hAnsi="黑体" w:eastAsia="黑体" w:cs="黑体"/>
          <w:spacing w:val="5"/>
          <w:sz w:val="24"/>
          <w:szCs w:val="24"/>
        </w:rPr>
        <w:t xml:space="preserve">   </w:t>
      </w:r>
      <w:r>
        <w:rPr>
          <w:rFonts w:ascii="黑体" w:hAnsi="黑体" w:eastAsia="黑体" w:cs="黑体"/>
          <w:b/>
          <w:bCs/>
          <w:spacing w:val="12"/>
          <w:sz w:val="24"/>
          <w:szCs w:val="24"/>
        </w:rPr>
        <w:t>论证阶段</w:t>
      </w:r>
    </w:p>
    <w:p w14:paraId="75C54496">
      <w:pPr>
        <w:spacing w:before="104" w:line="219" w:lineRule="auto"/>
        <w:ind w:left="550"/>
        <w:rPr>
          <w:rFonts w:ascii="宋体" w:hAnsi="宋体" w:eastAsia="宋体" w:cs="宋体"/>
          <w:sz w:val="27"/>
          <w:szCs w:val="27"/>
        </w:rPr>
      </w:pPr>
      <w:r>
        <w:rPr>
          <w:rFonts w:ascii="宋体" w:hAnsi="宋体" w:eastAsia="宋体" w:cs="宋体"/>
          <w:spacing w:val="4"/>
          <w:sz w:val="27"/>
          <w:szCs w:val="27"/>
        </w:rPr>
        <w:t>简要说明论证阶段主要时间节点及其对应的事件。</w:t>
      </w:r>
    </w:p>
    <w:p w14:paraId="645BDBBE">
      <w:pPr>
        <w:spacing w:before="125" w:line="221" w:lineRule="auto"/>
        <w:rPr>
          <w:rFonts w:ascii="黑体" w:hAnsi="黑体" w:eastAsia="黑体" w:cs="黑体"/>
          <w:sz w:val="25"/>
          <w:szCs w:val="25"/>
        </w:rPr>
      </w:pPr>
      <w:r>
        <w:rPr>
          <w:rFonts w:ascii="黑体" w:hAnsi="黑体" w:eastAsia="黑体" w:cs="黑体"/>
          <w:spacing w:val="8"/>
          <w:sz w:val="25"/>
          <w:szCs w:val="25"/>
        </w:rPr>
        <w:t>2.3.2</w:t>
      </w:r>
      <w:r>
        <w:rPr>
          <w:rFonts w:ascii="黑体" w:hAnsi="黑体" w:eastAsia="黑体" w:cs="黑体"/>
          <w:spacing w:val="49"/>
          <w:sz w:val="25"/>
          <w:szCs w:val="25"/>
        </w:rPr>
        <w:t xml:space="preserve">  </w:t>
      </w:r>
      <w:r>
        <w:rPr>
          <w:rFonts w:ascii="黑体" w:hAnsi="黑体" w:eastAsia="黑体" w:cs="黑体"/>
          <w:b/>
          <w:bCs/>
          <w:spacing w:val="8"/>
          <w:sz w:val="25"/>
          <w:szCs w:val="25"/>
        </w:rPr>
        <w:t>方案阶段</w:t>
      </w:r>
    </w:p>
    <w:p w14:paraId="41D0E3FF">
      <w:pPr>
        <w:spacing w:before="98" w:line="303" w:lineRule="auto"/>
        <w:ind w:right="9" w:firstLine="550"/>
        <w:rPr>
          <w:rFonts w:ascii="宋体" w:hAnsi="宋体" w:eastAsia="宋体" w:cs="宋体"/>
          <w:sz w:val="27"/>
          <w:szCs w:val="27"/>
        </w:rPr>
      </w:pPr>
      <w:r>
        <w:rPr>
          <w:rFonts w:ascii="宋体" w:hAnsi="宋体" w:eastAsia="宋体" w:cs="宋体"/>
          <w:spacing w:val="-3"/>
          <w:sz w:val="27"/>
          <w:szCs w:val="27"/>
        </w:rPr>
        <w:t>简要说明方案阶段工作内容，包括时间节点、主要工作及完成情况、主要成</w:t>
      </w:r>
      <w:r>
        <w:rPr>
          <w:rFonts w:ascii="宋体" w:hAnsi="宋体" w:eastAsia="宋体" w:cs="宋体"/>
          <w:sz w:val="27"/>
          <w:szCs w:val="27"/>
        </w:rPr>
        <w:t xml:space="preserve"> </w:t>
      </w:r>
      <w:r>
        <w:rPr>
          <w:rFonts w:ascii="宋体" w:hAnsi="宋体" w:eastAsia="宋体" w:cs="宋体"/>
          <w:spacing w:val="-9"/>
          <w:sz w:val="27"/>
          <w:szCs w:val="27"/>
        </w:rPr>
        <w:t>果、转阶段评审情况等内容。</w:t>
      </w:r>
    </w:p>
    <w:p w14:paraId="1510F7E8">
      <w:pPr>
        <w:spacing w:line="303" w:lineRule="auto"/>
        <w:rPr>
          <w:rFonts w:ascii="宋体" w:hAnsi="宋体" w:eastAsia="宋体" w:cs="宋体"/>
          <w:sz w:val="27"/>
          <w:szCs w:val="27"/>
        </w:rPr>
        <w:sectPr>
          <w:footerReference r:id="rId144" w:type="default"/>
          <w:pgSz w:w="11910" w:h="17130"/>
          <w:pgMar w:top="400" w:right="1367" w:bottom="1584" w:left="1170" w:header="0" w:footer="1368" w:gutter="0"/>
          <w:cols w:space="720" w:num="1"/>
        </w:sectPr>
      </w:pPr>
    </w:p>
    <w:p w14:paraId="318ECA66">
      <w:pPr>
        <w:pStyle w:val="2"/>
        <w:spacing w:line="264" w:lineRule="auto"/>
      </w:pPr>
    </w:p>
    <w:p w14:paraId="68CD1FE1">
      <w:pPr>
        <w:pStyle w:val="2"/>
        <w:spacing w:line="264" w:lineRule="auto"/>
      </w:pPr>
    </w:p>
    <w:p w14:paraId="17F090F2">
      <w:pPr>
        <w:pStyle w:val="2"/>
        <w:spacing w:line="264" w:lineRule="auto"/>
      </w:pPr>
    </w:p>
    <w:p w14:paraId="0AD2C9D3">
      <w:pPr>
        <w:pStyle w:val="2"/>
        <w:spacing w:line="265" w:lineRule="auto"/>
      </w:pPr>
    </w:p>
    <w:p w14:paraId="26C60D5A">
      <w:pPr>
        <w:spacing w:before="81" w:line="222" w:lineRule="auto"/>
        <w:rPr>
          <w:rFonts w:ascii="黑体" w:hAnsi="黑体" w:eastAsia="黑体" w:cs="黑体"/>
          <w:sz w:val="25"/>
          <w:szCs w:val="25"/>
        </w:rPr>
      </w:pPr>
      <w:bookmarkStart w:id="90" w:name="bookmark352"/>
      <w:bookmarkEnd w:id="90"/>
      <w:r>
        <w:rPr>
          <w:rFonts w:ascii="黑体" w:hAnsi="黑体" w:eastAsia="黑体" w:cs="黑体"/>
          <w:spacing w:val="11"/>
          <w:sz w:val="25"/>
          <w:szCs w:val="25"/>
        </w:rPr>
        <w:t>2.3.3</w:t>
      </w:r>
      <w:r>
        <w:rPr>
          <w:rFonts w:ascii="黑体" w:hAnsi="黑体" w:eastAsia="黑体" w:cs="黑体"/>
          <w:spacing w:val="57"/>
          <w:sz w:val="25"/>
          <w:szCs w:val="25"/>
        </w:rPr>
        <w:t xml:space="preserve">  </w:t>
      </w:r>
      <w:r>
        <w:rPr>
          <w:rFonts w:ascii="黑体" w:hAnsi="黑体" w:eastAsia="黑体" w:cs="黑体"/>
          <w:b/>
          <w:bCs/>
          <w:spacing w:val="11"/>
          <w:sz w:val="25"/>
          <w:szCs w:val="25"/>
        </w:rPr>
        <w:t>工程研制阶段</w:t>
      </w:r>
    </w:p>
    <w:p w14:paraId="7A7F8719">
      <w:pPr>
        <w:spacing w:before="62" w:line="290" w:lineRule="auto"/>
        <w:ind w:right="120" w:firstLine="570"/>
        <w:rPr>
          <w:rFonts w:ascii="宋体" w:hAnsi="宋体" w:eastAsia="宋体" w:cs="宋体"/>
          <w:sz w:val="27"/>
          <w:szCs w:val="27"/>
        </w:rPr>
      </w:pPr>
      <w:r>
        <w:rPr>
          <w:rFonts w:ascii="宋体" w:hAnsi="宋体" w:eastAsia="宋体" w:cs="宋体"/>
          <w:spacing w:val="-3"/>
          <w:sz w:val="27"/>
          <w:szCs w:val="27"/>
        </w:rPr>
        <w:t>简要说明工程研制阶段工作内容，包括时间节点、主要工</w:t>
      </w:r>
      <w:r>
        <w:rPr>
          <w:rFonts w:ascii="宋体" w:hAnsi="宋体" w:eastAsia="宋体" w:cs="宋体"/>
          <w:spacing w:val="-4"/>
          <w:sz w:val="27"/>
          <w:szCs w:val="27"/>
        </w:rPr>
        <w:t>作及完成情况、主</w:t>
      </w:r>
      <w:r>
        <w:rPr>
          <w:rFonts w:ascii="宋体" w:hAnsi="宋体" w:eastAsia="宋体" w:cs="宋体"/>
          <w:sz w:val="27"/>
          <w:szCs w:val="27"/>
        </w:rPr>
        <w:t xml:space="preserve"> </w:t>
      </w:r>
      <w:r>
        <w:rPr>
          <w:rFonts w:ascii="宋体" w:hAnsi="宋体" w:eastAsia="宋体" w:cs="宋体"/>
          <w:spacing w:val="-6"/>
          <w:sz w:val="27"/>
          <w:szCs w:val="27"/>
        </w:rPr>
        <w:t>要成果、转阶段评审情况等内容。</w:t>
      </w:r>
    </w:p>
    <w:p w14:paraId="5E7BF1CE">
      <w:pPr>
        <w:spacing w:line="222" w:lineRule="auto"/>
        <w:rPr>
          <w:rFonts w:ascii="黑体" w:hAnsi="黑体" w:eastAsia="黑体" w:cs="黑体"/>
          <w:sz w:val="27"/>
          <w:szCs w:val="27"/>
        </w:rPr>
      </w:pPr>
      <w:r>
        <w:rPr>
          <w:rFonts w:ascii="黑体" w:hAnsi="黑体" w:eastAsia="黑体" w:cs="黑体"/>
          <w:spacing w:val="1"/>
          <w:sz w:val="27"/>
          <w:szCs w:val="27"/>
        </w:rPr>
        <w:t>2.3.4</w:t>
      </w:r>
      <w:r>
        <w:rPr>
          <w:rFonts w:ascii="黑体" w:hAnsi="黑体" w:eastAsia="黑体" w:cs="黑体"/>
          <w:spacing w:val="25"/>
          <w:sz w:val="27"/>
          <w:szCs w:val="27"/>
        </w:rPr>
        <w:t xml:space="preserve">  </w:t>
      </w:r>
      <w:r>
        <w:rPr>
          <w:rFonts w:ascii="黑体" w:hAnsi="黑体" w:eastAsia="黑体" w:cs="黑体"/>
          <w:b/>
          <w:bCs/>
          <w:spacing w:val="1"/>
          <w:sz w:val="27"/>
          <w:szCs w:val="27"/>
        </w:rPr>
        <w:t>鉴定阶段</w:t>
      </w:r>
    </w:p>
    <w:p w14:paraId="6DD01961">
      <w:pPr>
        <w:spacing w:before="48" w:line="299" w:lineRule="auto"/>
        <w:ind w:firstLine="570"/>
        <w:rPr>
          <w:rFonts w:ascii="宋体" w:hAnsi="宋体" w:eastAsia="宋体" w:cs="宋体"/>
          <w:sz w:val="27"/>
          <w:szCs w:val="27"/>
        </w:rPr>
      </w:pPr>
      <w:r>
        <w:rPr>
          <w:rFonts w:ascii="宋体" w:hAnsi="宋体" w:eastAsia="宋体" w:cs="宋体"/>
          <w:sz w:val="27"/>
          <w:szCs w:val="27"/>
        </w:rPr>
        <w:t>简要说明鉴定(定型)阶段工作内容，包括时间节点、主要工作及完成情况、</w:t>
      </w:r>
      <w:r>
        <w:rPr>
          <w:rFonts w:ascii="宋体" w:hAnsi="宋体" w:eastAsia="宋体" w:cs="宋体"/>
          <w:spacing w:val="13"/>
          <w:sz w:val="27"/>
          <w:szCs w:val="27"/>
        </w:rPr>
        <w:t xml:space="preserve"> </w:t>
      </w:r>
      <w:r>
        <w:rPr>
          <w:rFonts w:ascii="宋体" w:hAnsi="宋体" w:eastAsia="宋体" w:cs="宋体"/>
          <w:spacing w:val="-1"/>
          <w:sz w:val="27"/>
          <w:szCs w:val="27"/>
        </w:rPr>
        <w:t>主要成果等内容。</w:t>
      </w:r>
    </w:p>
    <w:p w14:paraId="7ABEB420">
      <w:pPr>
        <w:spacing w:before="1" w:line="220"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16"/>
          <w:sz w:val="27"/>
          <w:szCs w:val="27"/>
        </w:rPr>
        <w:t xml:space="preserve">  </w:t>
      </w:r>
      <w:r>
        <w:rPr>
          <w:rFonts w:ascii="黑体" w:hAnsi="黑体" w:eastAsia="黑体" w:cs="黑体"/>
          <w:b/>
          <w:bCs/>
          <w:spacing w:val="3"/>
          <w:sz w:val="27"/>
          <w:szCs w:val="27"/>
        </w:rPr>
        <w:t>试验试用情况</w:t>
      </w:r>
    </w:p>
    <w:p w14:paraId="4912A801">
      <w:pPr>
        <w:spacing w:before="72" w:line="282" w:lineRule="auto"/>
        <w:ind w:right="119" w:firstLine="570"/>
        <w:jc w:val="both"/>
        <w:rPr>
          <w:rFonts w:ascii="宋体" w:hAnsi="宋体" w:eastAsia="宋体" w:cs="宋体"/>
          <w:sz w:val="27"/>
          <w:szCs w:val="27"/>
        </w:rPr>
      </w:pPr>
      <w:r>
        <w:rPr>
          <w:rFonts w:ascii="宋体" w:hAnsi="宋体" w:eastAsia="宋体" w:cs="宋体"/>
          <w:spacing w:val="5"/>
          <w:sz w:val="27"/>
          <w:szCs w:val="27"/>
        </w:rPr>
        <w:t>简述平台联试情况及部队试验试用情况。包括试验时间、试验地点、组织</w:t>
      </w:r>
      <w:r>
        <w:rPr>
          <w:rFonts w:ascii="宋体" w:hAnsi="宋体" w:eastAsia="宋体" w:cs="宋体"/>
          <w:spacing w:val="4"/>
          <w:sz w:val="27"/>
          <w:szCs w:val="27"/>
        </w:rPr>
        <w:t xml:space="preserve"> </w:t>
      </w:r>
      <w:r>
        <w:rPr>
          <w:rFonts w:ascii="宋体" w:hAnsi="宋体" w:eastAsia="宋体" w:cs="宋体"/>
          <w:spacing w:val="-10"/>
          <w:sz w:val="27"/>
          <w:szCs w:val="27"/>
        </w:rPr>
        <w:t>单位、参加单位、样品数量、试验条件、试验内容、合格判据、试验结果、存在问</w:t>
      </w:r>
      <w:r>
        <w:rPr>
          <w:rFonts w:ascii="宋体" w:hAnsi="宋体" w:eastAsia="宋体" w:cs="宋体"/>
          <w:spacing w:val="9"/>
          <w:sz w:val="27"/>
          <w:szCs w:val="27"/>
        </w:rPr>
        <w:t xml:space="preserve"> </w:t>
      </w:r>
      <w:r>
        <w:rPr>
          <w:rFonts w:ascii="宋体" w:hAnsi="宋体" w:eastAsia="宋体" w:cs="宋体"/>
          <w:spacing w:val="1"/>
          <w:sz w:val="27"/>
          <w:szCs w:val="27"/>
        </w:rPr>
        <w:t>题等。</w:t>
      </w:r>
    </w:p>
    <w:p w14:paraId="23450A73">
      <w:pPr>
        <w:spacing w:before="2" w:line="286" w:lineRule="auto"/>
        <w:ind w:right="121" w:firstLine="570"/>
        <w:rPr>
          <w:rFonts w:ascii="宋体" w:hAnsi="宋体" w:eastAsia="宋体" w:cs="宋体"/>
          <w:sz w:val="27"/>
          <w:szCs w:val="27"/>
        </w:rPr>
      </w:pPr>
      <w:r>
        <w:rPr>
          <w:rFonts w:ascii="宋体" w:hAnsi="宋体" w:eastAsia="宋体" w:cs="宋体"/>
          <w:spacing w:val="5"/>
          <w:sz w:val="27"/>
          <w:szCs w:val="27"/>
        </w:rPr>
        <w:t>因为试验大纲和试验报告有专门的文件，这里可以简述，但要把问题讲清</w:t>
      </w:r>
      <w:r>
        <w:rPr>
          <w:rFonts w:ascii="宋体" w:hAnsi="宋体" w:eastAsia="宋体" w:cs="宋体"/>
          <w:spacing w:val="2"/>
          <w:sz w:val="27"/>
          <w:szCs w:val="27"/>
        </w:rPr>
        <w:t xml:space="preserve"> </w:t>
      </w:r>
      <w:r>
        <w:rPr>
          <w:rFonts w:ascii="宋体" w:hAnsi="宋体" w:eastAsia="宋体" w:cs="宋体"/>
          <w:spacing w:val="-11"/>
          <w:sz w:val="27"/>
          <w:szCs w:val="27"/>
        </w:rPr>
        <w:t>楚，特别是试验结果。</w:t>
      </w:r>
    </w:p>
    <w:p w14:paraId="6376D604">
      <w:pPr>
        <w:spacing w:line="221" w:lineRule="auto"/>
        <w:rPr>
          <w:rFonts w:ascii="黑体" w:hAnsi="黑体" w:eastAsia="黑体" w:cs="黑体"/>
          <w:sz w:val="24"/>
          <w:szCs w:val="24"/>
        </w:rPr>
      </w:pPr>
      <w:r>
        <w:rPr>
          <w:rFonts w:ascii="黑体" w:hAnsi="黑体" w:eastAsia="黑体" w:cs="黑体"/>
          <w:spacing w:val="28"/>
          <w:sz w:val="24"/>
          <w:szCs w:val="24"/>
        </w:rPr>
        <w:t>4</w:t>
      </w:r>
      <w:r>
        <w:rPr>
          <w:rFonts w:ascii="黑体" w:hAnsi="黑体" w:eastAsia="黑体" w:cs="黑体"/>
          <w:spacing w:val="39"/>
          <w:sz w:val="24"/>
          <w:szCs w:val="24"/>
        </w:rPr>
        <w:t xml:space="preserve">  </w:t>
      </w:r>
      <w:r>
        <w:rPr>
          <w:rFonts w:ascii="黑体" w:hAnsi="黑体" w:eastAsia="黑体" w:cs="黑体"/>
          <w:b/>
          <w:bCs/>
          <w:spacing w:val="28"/>
          <w:sz w:val="24"/>
          <w:szCs w:val="24"/>
        </w:rPr>
        <w:t>出现的重大技术问题及解决情况</w:t>
      </w:r>
    </w:p>
    <w:p w14:paraId="06354A0F">
      <w:pPr>
        <w:pStyle w:val="2"/>
        <w:spacing w:before="101" w:line="212" w:lineRule="auto"/>
        <w:rPr>
          <w:rFonts w:ascii="Times New Roman" w:hAnsi="Times New Roman" w:eastAsia="Times New Roman" w:cs="Times New Roman"/>
          <w:sz w:val="27"/>
          <w:szCs w:val="27"/>
        </w:rPr>
      </w:pPr>
      <w:r>
        <w:rPr>
          <w:spacing w:val="6"/>
          <w:sz w:val="27"/>
          <w:szCs w:val="27"/>
        </w:rPr>
        <w:t>4.X</w:t>
      </w:r>
      <w:r>
        <w:rPr>
          <w:spacing w:val="1"/>
          <w:sz w:val="27"/>
          <w:szCs w:val="27"/>
        </w:rPr>
        <w:t xml:space="preserve">    </w:t>
      </w:r>
      <w:r>
        <w:rPr>
          <w:rFonts w:ascii="黑体" w:hAnsi="黑体" w:eastAsia="黑体" w:cs="黑体"/>
          <w:b/>
          <w:bCs/>
          <w:spacing w:val="6"/>
          <w:sz w:val="27"/>
          <w:szCs w:val="27"/>
        </w:rPr>
        <w:t>(重大技术问题</w:t>
      </w:r>
      <w:r>
        <w:rPr>
          <w:rFonts w:ascii="Times New Roman" w:hAnsi="Times New Roman" w:eastAsia="Times New Roman" w:cs="Times New Roman"/>
          <w:b/>
          <w:bCs/>
          <w:spacing w:val="6"/>
          <w:sz w:val="27"/>
          <w:szCs w:val="27"/>
        </w:rPr>
        <w:t>X)</w:t>
      </w:r>
    </w:p>
    <w:p w14:paraId="1D91A725">
      <w:pPr>
        <w:spacing w:before="132" w:line="222" w:lineRule="auto"/>
        <w:rPr>
          <w:rFonts w:ascii="黑体" w:hAnsi="黑体" w:eastAsia="黑体" w:cs="黑体"/>
          <w:sz w:val="24"/>
          <w:szCs w:val="24"/>
        </w:rPr>
      </w:pPr>
      <w:r>
        <w:rPr>
          <w:rFonts w:ascii="Times New Roman" w:hAnsi="Times New Roman" w:eastAsia="Times New Roman" w:cs="Times New Roman"/>
          <w:spacing w:val="13"/>
          <w:sz w:val="24"/>
          <w:szCs w:val="24"/>
        </w:rPr>
        <w:t>4.X.1</w:t>
      </w:r>
      <w:r>
        <w:rPr>
          <w:rFonts w:ascii="Times New Roman" w:hAnsi="Times New Roman" w:eastAsia="Times New Roman" w:cs="Times New Roman"/>
          <w:spacing w:val="1"/>
          <w:sz w:val="24"/>
          <w:szCs w:val="24"/>
        </w:rPr>
        <w:t xml:space="preserve">        </w:t>
      </w:r>
      <w:r>
        <w:rPr>
          <w:rFonts w:ascii="黑体" w:hAnsi="黑体" w:eastAsia="黑体" w:cs="黑体"/>
          <w:b/>
          <w:bCs/>
          <w:spacing w:val="13"/>
          <w:sz w:val="24"/>
          <w:szCs w:val="24"/>
        </w:rPr>
        <w:t>问题描述</w:t>
      </w:r>
    </w:p>
    <w:p w14:paraId="7098151A">
      <w:pPr>
        <w:spacing w:before="105" w:line="219" w:lineRule="auto"/>
        <w:ind w:left="570"/>
        <w:rPr>
          <w:rFonts w:ascii="宋体" w:hAnsi="宋体" w:eastAsia="宋体" w:cs="宋体"/>
          <w:sz w:val="27"/>
          <w:szCs w:val="27"/>
        </w:rPr>
      </w:pPr>
      <w:r>
        <w:rPr>
          <w:rFonts w:ascii="宋体" w:hAnsi="宋体" w:eastAsia="宋体" w:cs="宋体"/>
          <w:spacing w:val="4"/>
          <w:sz w:val="27"/>
          <w:szCs w:val="27"/>
        </w:rPr>
        <w:t>清晰叙述改装和试验过程中出现的重大技术问题的基本情况。</w:t>
      </w:r>
    </w:p>
    <w:p w14:paraId="5A532E62">
      <w:pPr>
        <w:spacing w:before="103" w:line="271" w:lineRule="auto"/>
        <w:ind w:right="99" w:firstLine="570"/>
        <w:rPr>
          <w:rFonts w:ascii="宋体" w:hAnsi="宋体" w:eastAsia="宋体" w:cs="宋体"/>
          <w:sz w:val="27"/>
          <w:szCs w:val="27"/>
        </w:rPr>
      </w:pPr>
      <w:r>
        <w:rPr>
          <w:rFonts w:ascii="宋体" w:hAnsi="宋体" w:eastAsia="宋体" w:cs="宋体"/>
          <w:spacing w:val="6"/>
          <w:sz w:val="27"/>
          <w:szCs w:val="27"/>
        </w:rPr>
        <w:t>重大技术问题主要是指改装过程中出现的影响安全的</w:t>
      </w:r>
      <w:r>
        <w:rPr>
          <w:rFonts w:ascii="宋体" w:hAnsi="宋体" w:eastAsia="宋体" w:cs="宋体"/>
          <w:spacing w:val="5"/>
          <w:sz w:val="27"/>
          <w:szCs w:val="27"/>
        </w:rPr>
        <w:t>问题、产品功能和主</w:t>
      </w:r>
      <w:r>
        <w:rPr>
          <w:rFonts w:ascii="宋体" w:hAnsi="宋体" w:eastAsia="宋体" w:cs="宋体"/>
          <w:sz w:val="27"/>
          <w:szCs w:val="27"/>
        </w:rPr>
        <w:t xml:space="preserve"> </w:t>
      </w:r>
      <w:r>
        <w:rPr>
          <w:rFonts w:ascii="宋体" w:hAnsi="宋体" w:eastAsia="宋体" w:cs="宋体"/>
          <w:spacing w:val="6"/>
          <w:sz w:val="27"/>
          <w:szCs w:val="27"/>
        </w:rPr>
        <w:t>要战术技术指标无法实现的问题、反复出现的</w:t>
      </w:r>
      <w:r>
        <w:rPr>
          <w:rFonts w:ascii="宋体" w:hAnsi="宋体" w:eastAsia="宋体" w:cs="宋体"/>
          <w:spacing w:val="5"/>
          <w:sz w:val="27"/>
          <w:szCs w:val="27"/>
        </w:rPr>
        <w:t>影响改装进度的问题以及其他对</w:t>
      </w:r>
      <w:r>
        <w:rPr>
          <w:rFonts w:ascii="宋体" w:hAnsi="宋体" w:eastAsia="宋体" w:cs="宋体"/>
          <w:sz w:val="27"/>
          <w:szCs w:val="27"/>
        </w:rPr>
        <w:t xml:space="preserve"> </w:t>
      </w:r>
      <w:r>
        <w:rPr>
          <w:rFonts w:ascii="宋体" w:hAnsi="宋体" w:eastAsia="宋体" w:cs="宋体"/>
          <w:spacing w:val="4"/>
          <w:sz w:val="27"/>
          <w:szCs w:val="27"/>
        </w:rPr>
        <w:t>改装工作产生重大影响的技术问题。</w:t>
      </w:r>
    </w:p>
    <w:p w14:paraId="592764F3">
      <w:pPr>
        <w:spacing w:before="25" w:line="222" w:lineRule="auto"/>
        <w:rPr>
          <w:rFonts w:ascii="黑体" w:hAnsi="黑体" w:eastAsia="黑体" w:cs="黑体"/>
          <w:sz w:val="27"/>
          <w:szCs w:val="27"/>
        </w:rPr>
      </w:pPr>
      <w:r>
        <w:rPr>
          <w:rFonts w:ascii="Times New Roman" w:hAnsi="Times New Roman" w:eastAsia="Times New Roman" w:cs="Times New Roman"/>
          <w:spacing w:val="-4"/>
          <w:sz w:val="27"/>
          <w:szCs w:val="27"/>
        </w:rPr>
        <w:t>4.X.</w:t>
      </w:r>
      <w:r>
        <w:rPr>
          <w:rFonts w:ascii="Times New Roman" w:hAnsi="Times New Roman" w:eastAsia="Times New Roman" w:cs="Times New Roman"/>
          <w:spacing w:val="64"/>
          <w:sz w:val="27"/>
          <w:szCs w:val="27"/>
        </w:rPr>
        <w:t xml:space="preserve"> </w:t>
      </w:r>
      <w:r>
        <w:rPr>
          <w:rFonts w:ascii="黑体" w:hAnsi="黑体" w:eastAsia="黑体" w:cs="黑体"/>
          <w:spacing w:val="-4"/>
          <w:sz w:val="27"/>
          <w:szCs w:val="27"/>
        </w:rPr>
        <w:t>2</w:t>
      </w:r>
      <w:r>
        <w:rPr>
          <w:rFonts w:ascii="黑体" w:hAnsi="黑体" w:eastAsia="黑体" w:cs="黑体"/>
          <w:spacing w:val="18"/>
          <w:sz w:val="27"/>
          <w:szCs w:val="27"/>
        </w:rPr>
        <w:t xml:space="preserve">  </w:t>
      </w:r>
      <w:r>
        <w:rPr>
          <w:rFonts w:ascii="黑体" w:hAnsi="黑体" w:eastAsia="黑体" w:cs="黑体"/>
          <w:b/>
          <w:bCs/>
          <w:spacing w:val="-4"/>
          <w:sz w:val="27"/>
          <w:szCs w:val="27"/>
        </w:rPr>
        <w:t>原因分析</w:t>
      </w:r>
    </w:p>
    <w:p w14:paraId="42B38439">
      <w:pPr>
        <w:spacing w:before="80" w:line="219" w:lineRule="auto"/>
        <w:ind w:left="570"/>
        <w:rPr>
          <w:rFonts w:ascii="宋体" w:hAnsi="宋体" w:eastAsia="宋体" w:cs="宋体"/>
          <w:sz w:val="27"/>
          <w:szCs w:val="27"/>
        </w:rPr>
      </w:pPr>
      <w:r>
        <w:rPr>
          <w:rFonts w:ascii="宋体" w:hAnsi="宋体" w:eastAsia="宋体" w:cs="宋体"/>
          <w:spacing w:val="3"/>
          <w:sz w:val="27"/>
          <w:szCs w:val="27"/>
        </w:rPr>
        <w:t>概要描述分析查找原因情况。</w:t>
      </w:r>
    </w:p>
    <w:p w14:paraId="398C393D">
      <w:pPr>
        <w:spacing w:before="116" w:line="223" w:lineRule="auto"/>
        <w:rPr>
          <w:rFonts w:ascii="黑体" w:hAnsi="黑体" w:eastAsia="黑体" w:cs="黑体"/>
          <w:sz w:val="27"/>
          <w:szCs w:val="27"/>
        </w:rPr>
      </w:pPr>
      <w:r>
        <w:rPr>
          <w:rFonts w:ascii="Times New Roman" w:hAnsi="Times New Roman" w:eastAsia="Times New Roman" w:cs="Times New Roman"/>
          <w:spacing w:val="-3"/>
          <w:sz w:val="27"/>
          <w:szCs w:val="27"/>
        </w:rPr>
        <w:t>4.X.3</w:t>
      </w:r>
      <w:r>
        <w:rPr>
          <w:rFonts w:ascii="Times New Roman" w:hAnsi="Times New Roman" w:eastAsia="Times New Roman" w:cs="Times New Roman"/>
          <w:spacing w:val="3"/>
          <w:sz w:val="27"/>
          <w:szCs w:val="27"/>
        </w:rPr>
        <w:t xml:space="preserve">      </w:t>
      </w:r>
      <w:r>
        <w:rPr>
          <w:rFonts w:ascii="黑体" w:hAnsi="黑体" w:eastAsia="黑体" w:cs="黑体"/>
          <w:b/>
          <w:bCs/>
          <w:spacing w:val="-3"/>
          <w:sz w:val="27"/>
          <w:szCs w:val="27"/>
        </w:rPr>
        <w:t>纠正措施</w:t>
      </w:r>
    </w:p>
    <w:p w14:paraId="67CBB24B">
      <w:pPr>
        <w:spacing w:before="85" w:line="219" w:lineRule="auto"/>
        <w:ind w:left="570"/>
        <w:rPr>
          <w:rFonts w:ascii="宋体" w:hAnsi="宋体" w:eastAsia="宋体" w:cs="宋体"/>
          <w:sz w:val="27"/>
          <w:szCs w:val="27"/>
        </w:rPr>
      </w:pPr>
      <w:r>
        <w:rPr>
          <w:rFonts w:ascii="宋体" w:hAnsi="宋体" w:eastAsia="宋体" w:cs="宋体"/>
          <w:spacing w:val="-3"/>
          <w:sz w:val="27"/>
          <w:szCs w:val="27"/>
        </w:rPr>
        <w:t>针对原因分析，说明已采取的纠正措施。</w:t>
      </w:r>
    </w:p>
    <w:p w14:paraId="5A2E46DE">
      <w:pPr>
        <w:spacing w:before="86" w:line="222" w:lineRule="auto"/>
        <w:rPr>
          <w:rFonts w:ascii="黑体" w:hAnsi="黑体" w:eastAsia="黑体" w:cs="黑体"/>
          <w:sz w:val="27"/>
          <w:szCs w:val="27"/>
        </w:rPr>
      </w:pPr>
      <w:r>
        <w:rPr>
          <w:rFonts w:ascii="Times New Roman" w:hAnsi="Times New Roman" w:eastAsia="Times New Roman" w:cs="Times New Roman"/>
          <w:spacing w:val="-3"/>
          <w:sz w:val="27"/>
          <w:szCs w:val="27"/>
        </w:rPr>
        <w:t>4.X.4</w:t>
      </w:r>
      <w:r>
        <w:rPr>
          <w:rFonts w:ascii="Times New Roman" w:hAnsi="Times New Roman" w:eastAsia="Times New Roman" w:cs="Times New Roman"/>
          <w:spacing w:val="4"/>
          <w:sz w:val="27"/>
          <w:szCs w:val="27"/>
        </w:rPr>
        <w:t xml:space="preserve">      </w:t>
      </w:r>
      <w:r>
        <w:rPr>
          <w:rFonts w:ascii="黑体" w:hAnsi="黑体" w:eastAsia="黑体" w:cs="黑体"/>
          <w:b/>
          <w:bCs/>
          <w:spacing w:val="-3"/>
          <w:sz w:val="27"/>
          <w:szCs w:val="27"/>
        </w:rPr>
        <w:t>验证情况</w:t>
      </w:r>
    </w:p>
    <w:p w14:paraId="3C1CABC1">
      <w:pPr>
        <w:spacing w:before="100" w:line="283" w:lineRule="auto"/>
        <w:ind w:right="123" w:firstLine="570"/>
        <w:rPr>
          <w:rFonts w:ascii="宋体" w:hAnsi="宋体" w:eastAsia="宋体" w:cs="宋体"/>
          <w:sz w:val="27"/>
          <w:szCs w:val="27"/>
        </w:rPr>
      </w:pPr>
      <w:r>
        <w:rPr>
          <w:rFonts w:ascii="宋体" w:hAnsi="宋体" w:eastAsia="宋体" w:cs="宋体"/>
          <w:spacing w:val="-11"/>
          <w:sz w:val="27"/>
          <w:szCs w:val="27"/>
        </w:rPr>
        <w:t>简要描述纠正措施的验证归零情况，包括验证时间、验证地点、</w:t>
      </w:r>
      <w:r>
        <w:rPr>
          <w:rFonts w:ascii="宋体" w:hAnsi="宋体" w:eastAsia="宋体" w:cs="宋体"/>
          <w:spacing w:val="-12"/>
          <w:sz w:val="27"/>
          <w:szCs w:val="27"/>
        </w:rPr>
        <w:t>试验项目、验</w:t>
      </w:r>
      <w:r>
        <w:rPr>
          <w:rFonts w:ascii="宋体" w:hAnsi="宋体" w:eastAsia="宋体" w:cs="宋体"/>
          <w:sz w:val="27"/>
          <w:szCs w:val="27"/>
        </w:rPr>
        <w:t xml:space="preserve"> </w:t>
      </w:r>
      <w:r>
        <w:rPr>
          <w:rFonts w:ascii="宋体" w:hAnsi="宋体" w:eastAsia="宋体" w:cs="宋体"/>
          <w:spacing w:val="-1"/>
          <w:sz w:val="27"/>
          <w:szCs w:val="27"/>
        </w:rPr>
        <w:t>证结果等。</w:t>
      </w:r>
    </w:p>
    <w:p w14:paraId="030E4E10">
      <w:pPr>
        <w:pStyle w:val="2"/>
        <w:spacing w:before="48" w:line="222" w:lineRule="auto"/>
        <w:rPr>
          <w:rFonts w:ascii="黑体" w:hAnsi="黑体" w:eastAsia="黑体" w:cs="黑体"/>
          <w:sz w:val="27"/>
          <w:szCs w:val="27"/>
        </w:rPr>
      </w:pPr>
      <w:r>
        <w:rPr>
          <w:b/>
          <w:bCs/>
          <w:spacing w:val="-14"/>
          <w:sz w:val="27"/>
          <w:szCs w:val="27"/>
        </w:rPr>
        <w:t>5</w:t>
      </w:r>
      <w:r>
        <w:rPr>
          <w:b/>
          <w:bCs/>
          <w:spacing w:val="25"/>
          <w:sz w:val="27"/>
          <w:szCs w:val="27"/>
        </w:rPr>
        <w:t xml:space="preserve">   </w:t>
      </w:r>
      <w:r>
        <w:rPr>
          <w:rFonts w:ascii="黑体" w:hAnsi="黑体" w:eastAsia="黑体" w:cs="黑体"/>
          <w:b/>
          <w:bCs/>
          <w:spacing w:val="-14"/>
          <w:sz w:val="27"/>
          <w:szCs w:val="27"/>
        </w:rPr>
        <w:t>主要的配套成品、设备、材料的定型、鉴定和质量供货情况</w:t>
      </w:r>
    </w:p>
    <w:p w14:paraId="603596BA">
      <w:pPr>
        <w:spacing w:before="214" w:line="222" w:lineRule="auto"/>
        <w:rPr>
          <w:rFonts w:ascii="黑体" w:hAnsi="黑体" w:eastAsia="黑体" w:cs="黑体"/>
          <w:sz w:val="24"/>
          <w:szCs w:val="24"/>
        </w:rPr>
      </w:pPr>
      <w:r>
        <w:rPr>
          <w:rFonts w:ascii="黑体" w:hAnsi="黑体" w:eastAsia="黑体" w:cs="黑体"/>
          <w:spacing w:val="22"/>
          <w:sz w:val="24"/>
          <w:szCs w:val="24"/>
        </w:rPr>
        <w:t>5.1</w:t>
      </w:r>
      <w:r>
        <w:rPr>
          <w:rFonts w:ascii="黑体" w:hAnsi="黑体" w:eastAsia="黑体" w:cs="黑体"/>
          <w:spacing w:val="53"/>
          <w:sz w:val="24"/>
          <w:szCs w:val="24"/>
        </w:rPr>
        <w:t xml:space="preserve">  </w:t>
      </w:r>
      <w:r>
        <w:rPr>
          <w:rFonts w:ascii="黑体" w:hAnsi="黑体" w:eastAsia="黑体" w:cs="黑体"/>
          <w:b/>
          <w:bCs/>
          <w:spacing w:val="22"/>
          <w:sz w:val="24"/>
          <w:szCs w:val="24"/>
        </w:rPr>
        <w:t>主要配套成品的定型、鉴定情况和质量</w:t>
      </w:r>
      <w:r>
        <w:rPr>
          <w:rFonts w:ascii="黑体" w:hAnsi="黑体" w:eastAsia="黑体" w:cs="黑体"/>
          <w:b/>
          <w:bCs/>
          <w:spacing w:val="21"/>
          <w:sz w:val="24"/>
          <w:szCs w:val="24"/>
        </w:rPr>
        <w:t>供货情况</w:t>
      </w:r>
    </w:p>
    <w:p w14:paraId="76D747D8">
      <w:pPr>
        <w:spacing w:before="136" w:line="285" w:lineRule="auto"/>
        <w:ind w:right="115" w:firstLine="570"/>
        <w:jc w:val="both"/>
        <w:rPr>
          <w:rFonts w:ascii="宋体" w:hAnsi="宋体" w:eastAsia="宋体" w:cs="宋体"/>
          <w:sz w:val="27"/>
          <w:szCs w:val="27"/>
        </w:rPr>
      </w:pPr>
      <w:r>
        <w:rPr>
          <w:rFonts w:ascii="宋体" w:hAnsi="宋体" w:eastAsia="宋体" w:cs="宋体"/>
          <w:spacing w:val="-3"/>
          <w:sz w:val="27"/>
          <w:szCs w:val="27"/>
        </w:rPr>
        <w:t>列表说明主要配套成品的种类、数量、生产厂家，并说明已定型、鉴</w:t>
      </w:r>
      <w:r>
        <w:rPr>
          <w:rFonts w:ascii="宋体" w:hAnsi="宋体" w:eastAsia="宋体" w:cs="宋体"/>
          <w:spacing w:val="-4"/>
          <w:sz w:val="27"/>
          <w:szCs w:val="27"/>
        </w:rPr>
        <w:t>定的种</w:t>
      </w:r>
      <w:r>
        <w:rPr>
          <w:rFonts w:ascii="宋体" w:hAnsi="宋体" w:eastAsia="宋体" w:cs="宋体"/>
          <w:sz w:val="27"/>
          <w:szCs w:val="27"/>
        </w:rPr>
        <w:t xml:space="preserve"> </w:t>
      </w:r>
      <w:r>
        <w:rPr>
          <w:rFonts w:ascii="宋体" w:hAnsi="宋体" w:eastAsia="宋体" w:cs="宋体"/>
          <w:spacing w:val="-17"/>
          <w:sz w:val="27"/>
          <w:szCs w:val="27"/>
        </w:rPr>
        <w:t>类、数量、型号规格、采用的标准号等；有军检验收的军品种类、数量；经质量体系</w:t>
      </w:r>
      <w:r>
        <w:rPr>
          <w:rFonts w:ascii="宋体" w:hAnsi="宋体" w:eastAsia="宋体" w:cs="宋体"/>
          <w:spacing w:val="1"/>
          <w:sz w:val="27"/>
          <w:szCs w:val="27"/>
        </w:rPr>
        <w:t xml:space="preserve"> </w:t>
      </w:r>
      <w:r>
        <w:rPr>
          <w:rFonts w:ascii="宋体" w:hAnsi="宋体" w:eastAsia="宋体" w:cs="宋体"/>
          <w:spacing w:val="-6"/>
          <w:sz w:val="27"/>
          <w:szCs w:val="27"/>
        </w:rPr>
        <w:t>认证的生产厂家的种类、数量等，同时说明供货保障情况。</w:t>
      </w:r>
    </w:p>
    <w:p w14:paraId="7A9A756D">
      <w:pPr>
        <w:spacing w:before="56" w:line="222" w:lineRule="auto"/>
        <w:rPr>
          <w:rFonts w:ascii="黑体" w:hAnsi="黑体" w:eastAsia="黑体" w:cs="黑体"/>
          <w:sz w:val="25"/>
          <w:szCs w:val="25"/>
        </w:rPr>
      </w:pPr>
      <w:r>
        <w:rPr>
          <w:rFonts w:ascii="黑体" w:hAnsi="黑体" w:eastAsia="黑体" w:cs="黑体"/>
          <w:spacing w:val="14"/>
          <w:sz w:val="25"/>
          <w:szCs w:val="25"/>
        </w:rPr>
        <w:t>5.2</w:t>
      </w:r>
      <w:r>
        <w:rPr>
          <w:rFonts w:ascii="黑体" w:hAnsi="黑体" w:eastAsia="黑体" w:cs="黑体"/>
          <w:spacing w:val="41"/>
          <w:sz w:val="25"/>
          <w:szCs w:val="25"/>
        </w:rPr>
        <w:t xml:space="preserve">  </w:t>
      </w:r>
      <w:r>
        <w:rPr>
          <w:rFonts w:ascii="黑体" w:hAnsi="黑体" w:eastAsia="黑体" w:cs="黑体"/>
          <w:b/>
          <w:bCs/>
          <w:spacing w:val="14"/>
          <w:sz w:val="25"/>
          <w:szCs w:val="25"/>
        </w:rPr>
        <w:t>主要配套设备的定型、鉴定情况和质量</w:t>
      </w:r>
      <w:r>
        <w:rPr>
          <w:rFonts w:ascii="黑体" w:hAnsi="黑体" w:eastAsia="黑体" w:cs="黑体"/>
          <w:b/>
          <w:bCs/>
          <w:spacing w:val="13"/>
          <w:sz w:val="25"/>
          <w:szCs w:val="25"/>
        </w:rPr>
        <w:t>供货情况</w:t>
      </w:r>
    </w:p>
    <w:p w14:paraId="38766350">
      <w:pPr>
        <w:spacing w:before="135" w:line="219" w:lineRule="auto"/>
        <w:ind w:left="570"/>
        <w:rPr>
          <w:rFonts w:ascii="宋体" w:hAnsi="宋体" w:eastAsia="宋体" w:cs="宋体"/>
          <w:sz w:val="27"/>
          <w:szCs w:val="27"/>
        </w:rPr>
      </w:pPr>
      <w:r>
        <w:rPr>
          <w:rFonts w:ascii="宋体" w:hAnsi="宋体" w:eastAsia="宋体" w:cs="宋体"/>
          <w:spacing w:val="-2"/>
          <w:sz w:val="27"/>
          <w:szCs w:val="27"/>
        </w:rPr>
        <w:t>列表说明主要配套设备的种类、数量、生产厂</w:t>
      </w:r>
      <w:r>
        <w:rPr>
          <w:rFonts w:ascii="宋体" w:hAnsi="宋体" w:eastAsia="宋体" w:cs="宋体"/>
          <w:spacing w:val="-3"/>
          <w:sz w:val="27"/>
          <w:szCs w:val="27"/>
        </w:rPr>
        <w:t>家，并说明已定型、鉴定的种</w:t>
      </w:r>
    </w:p>
    <w:p w14:paraId="20903B6D">
      <w:pPr>
        <w:spacing w:line="219" w:lineRule="auto"/>
        <w:rPr>
          <w:rFonts w:ascii="宋体" w:hAnsi="宋体" w:eastAsia="宋体" w:cs="宋体"/>
          <w:sz w:val="27"/>
          <w:szCs w:val="27"/>
        </w:rPr>
        <w:sectPr>
          <w:footerReference r:id="rId145" w:type="default"/>
          <w:pgSz w:w="11910" w:h="17130"/>
          <w:pgMar w:top="400" w:right="815" w:bottom="1623" w:left="1599" w:header="0" w:footer="1424" w:gutter="0"/>
          <w:cols w:space="720" w:num="1"/>
        </w:sectPr>
      </w:pPr>
    </w:p>
    <w:p w14:paraId="1F7BCC77">
      <w:pPr>
        <w:pStyle w:val="2"/>
        <w:spacing w:line="311" w:lineRule="auto"/>
      </w:pPr>
    </w:p>
    <w:p w14:paraId="060C87C9">
      <w:pPr>
        <w:pStyle w:val="2"/>
        <w:spacing w:line="312" w:lineRule="auto"/>
      </w:pPr>
    </w:p>
    <w:p w14:paraId="3F570885">
      <w:pPr>
        <w:pStyle w:val="2"/>
        <w:spacing w:line="312" w:lineRule="auto"/>
      </w:pPr>
    </w:p>
    <w:p w14:paraId="35A95E5E">
      <w:pPr>
        <w:spacing w:before="87" w:line="293" w:lineRule="auto"/>
        <w:ind w:right="261"/>
        <w:rPr>
          <w:rFonts w:ascii="宋体" w:hAnsi="宋体" w:eastAsia="宋体" w:cs="宋体"/>
          <w:sz w:val="27"/>
          <w:szCs w:val="27"/>
        </w:rPr>
      </w:pPr>
      <w:bookmarkStart w:id="91" w:name="bookmark353"/>
      <w:bookmarkEnd w:id="91"/>
      <w:r>
        <w:rPr>
          <w:rFonts w:ascii="宋体" w:hAnsi="宋体" w:eastAsia="宋体" w:cs="宋体"/>
          <w:spacing w:val="-17"/>
          <w:sz w:val="27"/>
          <w:szCs w:val="27"/>
        </w:rPr>
        <w:t>类、数量、型号规格、采用的标准号等；有军检验收的军品种类、数量；经质量体系</w:t>
      </w:r>
      <w:r>
        <w:rPr>
          <w:rFonts w:ascii="宋体" w:hAnsi="宋体" w:eastAsia="宋体" w:cs="宋体"/>
          <w:spacing w:val="1"/>
          <w:sz w:val="27"/>
          <w:szCs w:val="27"/>
        </w:rPr>
        <w:t xml:space="preserve"> </w:t>
      </w:r>
      <w:r>
        <w:rPr>
          <w:rFonts w:ascii="宋体" w:hAnsi="宋体" w:eastAsia="宋体" w:cs="宋体"/>
          <w:spacing w:val="-6"/>
          <w:sz w:val="27"/>
          <w:szCs w:val="27"/>
        </w:rPr>
        <w:t>认证的生产厂家的种类、数量等，同时说明供货保</w:t>
      </w:r>
      <w:r>
        <w:rPr>
          <w:rFonts w:ascii="宋体" w:hAnsi="宋体" w:eastAsia="宋体" w:cs="宋体"/>
          <w:spacing w:val="-7"/>
          <w:sz w:val="27"/>
          <w:szCs w:val="27"/>
        </w:rPr>
        <w:t>障情况。</w:t>
      </w:r>
    </w:p>
    <w:p w14:paraId="78338531">
      <w:pPr>
        <w:pStyle w:val="2"/>
        <w:spacing w:line="221" w:lineRule="auto"/>
        <w:rPr>
          <w:rFonts w:ascii="黑体" w:hAnsi="黑体" w:eastAsia="黑体" w:cs="黑体"/>
          <w:sz w:val="25"/>
          <w:szCs w:val="25"/>
        </w:rPr>
      </w:pPr>
      <w:r>
        <w:rPr>
          <w:b/>
          <w:bCs/>
          <w:spacing w:val="13"/>
          <w:sz w:val="25"/>
          <w:szCs w:val="25"/>
        </w:rPr>
        <w:t xml:space="preserve">5.3    </w:t>
      </w:r>
      <w:r>
        <w:rPr>
          <w:rFonts w:ascii="黑体" w:hAnsi="黑体" w:eastAsia="黑体" w:cs="黑体"/>
          <w:b/>
          <w:bCs/>
          <w:spacing w:val="13"/>
          <w:sz w:val="25"/>
          <w:szCs w:val="25"/>
        </w:rPr>
        <w:t>主要配套材料的定型、鉴定情况和质量供货情况</w:t>
      </w:r>
    </w:p>
    <w:p w14:paraId="59B5510E">
      <w:pPr>
        <w:spacing w:before="94" w:line="301" w:lineRule="auto"/>
        <w:ind w:right="273" w:firstLine="560"/>
        <w:rPr>
          <w:rFonts w:ascii="宋体" w:hAnsi="宋体" w:eastAsia="宋体" w:cs="宋体"/>
          <w:sz w:val="25"/>
          <w:szCs w:val="25"/>
        </w:rPr>
      </w:pPr>
      <w:r>
        <w:rPr>
          <w:rFonts w:ascii="宋体" w:hAnsi="宋体" w:eastAsia="宋体" w:cs="宋体"/>
          <w:spacing w:val="8"/>
          <w:sz w:val="25"/>
          <w:szCs w:val="25"/>
        </w:rPr>
        <w:t>列表说明改装所需主要配套材料的种类、数量、型号规格、采用的标准号、生</w:t>
      </w:r>
      <w:r>
        <w:rPr>
          <w:rFonts w:ascii="宋体" w:hAnsi="宋体" w:eastAsia="宋体" w:cs="宋体"/>
          <w:spacing w:val="18"/>
          <w:sz w:val="25"/>
          <w:szCs w:val="25"/>
        </w:rPr>
        <w:t xml:space="preserve"> </w:t>
      </w:r>
      <w:r>
        <w:rPr>
          <w:rFonts w:ascii="宋体" w:hAnsi="宋体" w:eastAsia="宋体" w:cs="宋体"/>
          <w:spacing w:val="14"/>
          <w:sz w:val="25"/>
          <w:szCs w:val="25"/>
        </w:rPr>
        <w:t>产厂家等，同时说明供货保障情况。</w:t>
      </w:r>
    </w:p>
    <w:p w14:paraId="68C0C9B1">
      <w:pPr>
        <w:spacing w:before="1" w:line="220"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产品可靠性维修性测试性保障性安全性情况</w:t>
      </w:r>
    </w:p>
    <w:p w14:paraId="65420BD2">
      <w:pPr>
        <w:spacing w:before="77" w:line="222" w:lineRule="auto"/>
        <w:rPr>
          <w:rFonts w:ascii="黑体" w:hAnsi="黑体" w:eastAsia="黑体" w:cs="黑体"/>
          <w:sz w:val="27"/>
          <w:szCs w:val="27"/>
        </w:rPr>
      </w:pPr>
      <w:r>
        <w:rPr>
          <w:rFonts w:ascii="黑体" w:hAnsi="黑体" w:eastAsia="黑体" w:cs="黑体"/>
          <w:spacing w:val="1"/>
          <w:sz w:val="27"/>
          <w:szCs w:val="27"/>
        </w:rPr>
        <w:t xml:space="preserve">6.1  </w:t>
      </w:r>
      <w:r>
        <w:rPr>
          <w:rFonts w:ascii="黑体" w:hAnsi="黑体" w:eastAsia="黑体" w:cs="黑体"/>
          <w:b/>
          <w:bCs/>
          <w:spacing w:val="1"/>
          <w:sz w:val="27"/>
          <w:szCs w:val="27"/>
        </w:rPr>
        <w:t>产品可靠性情况</w:t>
      </w:r>
    </w:p>
    <w:p w14:paraId="51F06C5E">
      <w:pPr>
        <w:spacing w:before="89" w:line="298" w:lineRule="auto"/>
        <w:ind w:right="244" w:firstLine="560"/>
        <w:rPr>
          <w:rFonts w:ascii="宋体" w:hAnsi="宋体" w:eastAsia="宋体" w:cs="宋体"/>
          <w:sz w:val="25"/>
          <w:szCs w:val="25"/>
        </w:rPr>
      </w:pPr>
      <w:r>
        <w:rPr>
          <w:rFonts w:ascii="宋体" w:hAnsi="宋体" w:eastAsia="宋体" w:cs="宋体"/>
          <w:spacing w:val="17"/>
          <w:sz w:val="25"/>
          <w:szCs w:val="25"/>
        </w:rPr>
        <w:t>简要说明产品可靠性指标，产品在试验试用过程中的表现情况，说明产品改</w:t>
      </w:r>
      <w:r>
        <w:rPr>
          <w:rFonts w:ascii="宋体" w:hAnsi="宋体" w:eastAsia="宋体" w:cs="宋体"/>
          <w:spacing w:val="8"/>
          <w:sz w:val="25"/>
          <w:szCs w:val="25"/>
        </w:rPr>
        <w:t xml:space="preserve"> </w:t>
      </w:r>
      <w:r>
        <w:rPr>
          <w:rFonts w:ascii="宋体" w:hAnsi="宋体" w:eastAsia="宋体" w:cs="宋体"/>
          <w:spacing w:val="20"/>
          <w:sz w:val="25"/>
          <w:szCs w:val="25"/>
        </w:rPr>
        <w:t>装后对平台(系统)可靠性的影响。</w:t>
      </w:r>
    </w:p>
    <w:p w14:paraId="3719CA42">
      <w:pPr>
        <w:spacing w:before="1" w:line="221" w:lineRule="auto"/>
        <w:rPr>
          <w:rFonts w:ascii="黑体" w:hAnsi="黑体" w:eastAsia="黑体" w:cs="黑体"/>
          <w:sz w:val="27"/>
          <w:szCs w:val="27"/>
        </w:rPr>
      </w:pPr>
      <w:r>
        <w:rPr>
          <w:rFonts w:ascii="黑体" w:hAnsi="黑体" w:eastAsia="黑体" w:cs="黑体"/>
          <w:spacing w:val="1"/>
          <w:sz w:val="27"/>
          <w:szCs w:val="27"/>
        </w:rPr>
        <w:t xml:space="preserve">6.2  </w:t>
      </w:r>
      <w:r>
        <w:rPr>
          <w:rFonts w:ascii="黑体" w:hAnsi="黑体" w:eastAsia="黑体" w:cs="黑体"/>
          <w:b/>
          <w:bCs/>
          <w:spacing w:val="1"/>
          <w:sz w:val="27"/>
          <w:szCs w:val="27"/>
        </w:rPr>
        <w:t>产品维修性情况</w:t>
      </w:r>
    </w:p>
    <w:p w14:paraId="347C6141">
      <w:pPr>
        <w:spacing w:before="81" w:line="278" w:lineRule="auto"/>
        <w:ind w:right="257" w:firstLine="560"/>
        <w:jc w:val="both"/>
        <w:rPr>
          <w:rFonts w:ascii="宋体" w:hAnsi="宋体" w:eastAsia="宋体" w:cs="宋体"/>
          <w:sz w:val="27"/>
          <w:szCs w:val="27"/>
        </w:rPr>
      </w:pPr>
      <w:r>
        <w:rPr>
          <w:rFonts w:ascii="宋体" w:hAnsi="宋体" w:eastAsia="宋体" w:cs="宋体"/>
          <w:spacing w:val="5"/>
          <w:sz w:val="27"/>
          <w:szCs w:val="27"/>
        </w:rPr>
        <w:t>说明产品维修性指标，在改装方案设计方面采取的维修性设计措施，产品</w:t>
      </w:r>
      <w:r>
        <w:rPr>
          <w:rFonts w:ascii="宋体" w:hAnsi="宋体" w:eastAsia="宋体" w:cs="宋体"/>
          <w:spacing w:val="6"/>
          <w:sz w:val="27"/>
          <w:szCs w:val="27"/>
        </w:rPr>
        <w:t xml:space="preserve"> </w:t>
      </w:r>
      <w:r>
        <w:rPr>
          <w:rFonts w:ascii="宋体" w:hAnsi="宋体" w:eastAsia="宋体" w:cs="宋体"/>
          <w:spacing w:val="17"/>
          <w:sz w:val="27"/>
          <w:szCs w:val="27"/>
        </w:rPr>
        <w:t>在试验试用过程中的表现情况(故障检测时间、产品拆装时间等),是否便于</w:t>
      </w:r>
      <w:r>
        <w:rPr>
          <w:rFonts w:ascii="宋体" w:hAnsi="宋体" w:eastAsia="宋体" w:cs="宋体"/>
          <w:spacing w:val="2"/>
          <w:sz w:val="27"/>
          <w:szCs w:val="27"/>
        </w:rPr>
        <w:t xml:space="preserve"> </w:t>
      </w:r>
      <w:r>
        <w:rPr>
          <w:rFonts w:ascii="宋体" w:hAnsi="宋体" w:eastAsia="宋体" w:cs="宋体"/>
          <w:spacing w:val="-2"/>
          <w:sz w:val="27"/>
          <w:szCs w:val="27"/>
        </w:rPr>
        <w:t>维修。</w:t>
      </w:r>
    </w:p>
    <w:p w14:paraId="2F7F8A54">
      <w:pPr>
        <w:spacing w:before="1" w:line="266" w:lineRule="auto"/>
        <w:ind w:right="234" w:firstLine="560"/>
        <w:rPr>
          <w:rFonts w:ascii="宋体" w:hAnsi="宋体" w:eastAsia="宋体" w:cs="宋体"/>
          <w:sz w:val="27"/>
          <w:szCs w:val="27"/>
        </w:rPr>
      </w:pPr>
      <w:r>
        <w:rPr>
          <w:rFonts w:ascii="宋体" w:hAnsi="宋体" w:eastAsia="宋体" w:cs="宋体"/>
          <w:spacing w:val="-3"/>
          <w:sz w:val="27"/>
          <w:szCs w:val="27"/>
        </w:rPr>
        <w:t>重点说明产品在基层级进行维修，由具有规定技能等级的人员，使用规定的</w:t>
      </w:r>
      <w:r>
        <w:rPr>
          <w:rFonts w:ascii="宋体" w:hAnsi="宋体" w:eastAsia="宋体" w:cs="宋体"/>
          <w:spacing w:val="18"/>
          <w:sz w:val="27"/>
          <w:szCs w:val="27"/>
        </w:rPr>
        <w:t xml:space="preserve"> </w:t>
      </w:r>
      <w:r>
        <w:rPr>
          <w:rFonts w:ascii="宋体" w:hAnsi="宋体" w:eastAsia="宋体" w:cs="宋体"/>
          <w:spacing w:val="-5"/>
          <w:sz w:val="27"/>
          <w:szCs w:val="27"/>
        </w:rPr>
        <w:t>程序、方法和资源进行维修时，恢复到规定</w:t>
      </w:r>
      <w:r>
        <w:rPr>
          <w:rFonts w:ascii="宋体" w:hAnsi="宋体" w:eastAsia="宋体" w:cs="宋体"/>
          <w:spacing w:val="-6"/>
          <w:sz w:val="27"/>
          <w:szCs w:val="27"/>
        </w:rPr>
        <w:t>状态的能力。主要包括：</w:t>
      </w:r>
    </w:p>
    <w:p w14:paraId="104A859D">
      <w:pPr>
        <w:spacing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a)</w:t>
      </w:r>
      <w:r>
        <w:rPr>
          <w:rFonts w:ascii="Times New Roman" w:hAnsi="Times New Roman" w:eastAsia="Times New Roman" w:cs="Times New Roman"/>
          <w:spacing w:val="62"/>
          <w:sz w:val="27"/>
          <w:szCs w:val="27"/>
        </w:rPr>
        <w:t xml:space="preserve"> </w:t>
      </w:r>
      <w:r>
        <w:rPr>
          <w:rFonts w:ascii="宋体" w:hAnsi="宋体" w:eastAsia="宋体" w:cs="宋体"/>
          <w:spacing w:val="6"/>
          <w:sz w:val="27"/>
          <w:szCs w:val="27"/>
        </w:rPr>
        <w:t>定量评价。1)维修时间，指被试品保持或恢复到工作状态所需的时间；</w:t>
      </w:r>
    </w:p>
    <w:p w14:paraId="728DBC70">
      <w:pPr>
        <w:spacing w:before="139" w:line="267" w:lineRule="auto"/>
        <w:rPr>
          <w:rFonts w:ascii="宋体" w:hAnsi="宋体" w:eastAsia="宋体" w:cs="宋体"/>
          <w:sz w:val="27"/>
          <w:szCs w:val="27"/>
        </w:rPr>
      </w:pPr>
      <w:r>
        <w:rPr>
          <w:rFonts w:ascii="宋体" w:hAnsi="宋体" w:eastAsia="宋体" w:cs="宋体"/>
          <w:spacing w:val="-3"/>
          <w:sz w:val="27"/>
          <w:szCs w:val="27"/>
        </w:rPr>
        <w:t>2)维修率，指规定期限内的累计维修时间与使用时间之比；3)所需的维修人员数。</w:t>
      </w:r>
      <w:r>
        <w:rPr>
          <w:rFonts w:ascii="宋体" w:hAnsi="宋体" w:eastAsia="宋体" w:cs="宋体"/>
          <w:spacing w:val="18"/>
          <w:sz w:val="27"/>
          <w:szCs w:val="27"/>
        </w:rPr>
        <w:t xml:space="preserve"> </w:t>
      </w:r>
      <w:r>
        <w:rPr>
          <w:rFonts w:ascii="宋体" w:hAnsi="宋体" w:eastAsia="宋体" w:cs="宋体"/>
          <w:sz w:val="27"/>
          <w:szCs w:val="27"/>
        </w:rPr>
        <w:t>量和技能等级等。</w:t>
      </w:r>
    </w:p>
    <w:p w14:paraId="5A8C7DFC">
      <w:pPr>
        <w:spacing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b)</w:t>
      </w:r>
      <w:r>
        <w:rPr>
          <w:rFonts w:ascii="Times New Roman" w:hAnsi="Times New Roman" w:eastAsia="Times New Roman" w:cs="Times New Roman"/>
          <w:spacing w:val="57"/>
          <w:w w:val="101"/>
          <w:sz w:val="27"/>
          <w:szCs w:val="27"/>
        </w:rPr>
        <w:t xml:space="preserve"> </w:t>
      </w:r>
      <w:r>
        <w:rPr>
          <w:rFonts w:ascii="宋体" w:hAnsi="宋体" w:eastAsia="宋体" w:cs="宋体"/>
          <w:spacing w:val="6"/>
          <w:sz w:val="27"/>
          <w:szCs w:val="27"/>
        </w:rPr>
        <w:t>定性评价。1)维修的可达性，即维修产品时接近</w:t>
      </w:r>
      <w:r>
        <w:rPr>
          <w:rFonts w:ascii="宋体" w:hAnsi="宋体" w:eastAsia="宋体" w:cs="宋体"/>
          <w:spacing w:val="5"/>
          <w:sz w:val="27"/>
          <w:szCs w:val="27"/>
        </w:rPr>
        <w:t>维修部位的难易程度；</w:t>
      </w:r>
    </w:p>
    <w:p w14:paraId="6C00FC32">
      <w:pPr>
        <w:spacing w:before="117" w:line="270" w:lineRule="auto"/>
        <w:ind w:right="150"/>
        <w:rPr>
          <w:rFonts w:ascii="宋体" w:hAnsi="宋体" w:eastAsia="宋体" w:cs="宋体"/>
          <w:sz w:val="27"/>
          <w:szCs w:val="27"/>
        </w:rPr>
      </w:pPr>
      <w:r>
        <w:rPr>
          <w:rFonts w:ascii="宋体" w:hAnsi="宋体" w:eastAsia="宋体" w:cs="宋体"/>
          <w:spacing w:val="-3"/>
          <w:sz w:val="27"/>
          <w:szCs w:val="27"/>
        </w:rPr>
        <w:t>2)检测诊断的方便性和快速性，如需维修单元是否有故障显示，显示方式、位置</w:t>
      </w:r>
      <w:r>
        <w:rPr>
          <w:rFonts w:ascii="宋体" w:hAnsi="宋体" w:eastAsia="宋体" w:cs="宋体"/>
          <w:spacing w:val="3"/>
          <w:sz w:val="27"/>
          <w:szCs w:val="27"/>
        </w:rPr>
        <w:t xml:space="preserve">  </w:t>
      </w:r>
      <w:r>
        <w:rPr>
          <w:rFonts w:ascii="宋体" w:hAnsi="宋体" w:eastAsia="宋体" w:cs="宋体"/>
          <w:spacing w:val="-3"/>
          <w:sz w:val="27"/>
          <w:szCs w:val="27"/>
        </w:rPr>
        <w:t>是否有效；3)零部件的标准化和互换性，需要经常维修的单元，是否设计成最快</w:t>
      </w:r>
      <w:r>
        <w:rPr>
          <w:rFonts w:ascii="宋体" w:hAnsi="宋体" w:eastAsia="宋体" w:cs="宋体"/>
          <w:spacing w:val="3"/>
          <w:sz w:val="27"/>
          <w:szCs w:val="27"/>
        </w:rPr>
        <w:t xml:space="preserve">  </w:t>
      </w:r>
      <w:r>
        <w:rPr>
          <w:rFonts w:ascii="宋体" w:hAnsi="宋体" w:eastAsia="宋体" w:cs="宋体"/>
          <w:spacing w:val="-3"/>
          <w:sz w:val="27"/>
          <w:szCs w:val="27"/>
        </w:rPr>
        <w:t>捷的维修方式；4)防差错措施与识别标记；5)工具操作空间和工作场地的维修安</w:t>
      </w:r>
      <w:r>
        <w:rPr>
          <w:rFonts w:ascii="宋体" w:hAnsi="宋体" w:eastAsia="宋体" w:cs="宋体"/>
          <w:spacing w:val="7"/>
          <w:sz w:val="27"/>
          <w:szCs w:val="27"/>
        </w:rPr>
        <w:t xml:space="preserve">  </w:t>
      </w:r>
      <w:r>
        <w:rPr>
          <w:rFonts w:ascii="宋体" w:hAnsi="宋体" w:eastAsia="宋体" w:cs="宋体"/>
          <w:spacing w:val="-10"/>
          <w:sz w:val="27"/>
          <w:szCs w:val="27"/>
        </w:rPr>
        <w:t>全性，如是否有会损伤人员、装备的结构；6)人机工程要求，维修过程中是否有因</w:t>
      </w:r>
      <w:r>
        <w:rPr>
          <w:rFonts w:ascii="宋体" w:hAnsi="宋体" w:eastAsia="宋体" w:cs="宋体"/>
          <w:spacing w:val="15"/>
          <w:sz w:val="27"/>
          <w:szCs w:val="27"/>
        </w:rPr>
        <w:t xml:space="preserve"> </w:t>
      </w:r>
      <w:r>
        <w:rPr>
          <w:rFonts w:ascii="宋体" w:hAnsi="宋体" w:eastAsia="宋体" w:cs="宋体"/>
          <w:spacing w:val="-3"/>
          <w:sz w:val="27"/>
          <w:szCs w:val="27"/>
        </w:rPr>
        <w:t>过热的热源、高压、作业空间限制等而不可应急维修者；7)是否有难于检查的维</w:t>
      </w:r>
      <w:r>
        <w:rPr>
          <w:rFonts w:ascii="宋体" w:hAnsi="宋体" w:eastAsia="宋体" w:cs="宋体"/>
          <w:spacing w:val="4"/>
          <w:sz w:val="27"/>
          <w:szCs w:val="27"/>
        </w:rPr>
        <w:t xml:space="preserve">  </w:t>
      </w:r>
      <w:r>
        <w:rPr>
          <w:rFonts w:ascii="宋体" w:hAnsi="宋体" w:eastAsia="宋体" w:cs="宋体"/>
          <w:spacing w:val="-10"/>
          <w:sz w:val="27"/>
          <w:szCs w:val="27"/>
        </w:rPr>
        <w:t>修错误，如暗夜维修、零件安装错误等；8)影响维修人员数量、技术等级和专业以</w:t>
      </w:r>
      <w:r>
        <w:rPr>
          <w:rFonts w:ascii="宋体" w:hAnsi="宋体" w:eastAsia="宋体" w:cs="宋体"/>
          <w:spacing w:val="12"/>
          <w:sz w:val="27"/>
          <w:szCs w:val="27"/>
        </w:rPr>
        <w:t xml:space="preserve"> </w:t>
      </w:r>
      <w:r>
        <w:rPr>
          <w:rFonts w:ascii="宋体" w:hAnsi="宋体" w:eastAsia="宋体" w:cs="宋体"/>
          <w:spacing w:val="4"/>
          <w:sz w:val="27"/>
          <w:szCs w:val="27"/>
        </w:rPr>
        <w:t>及所需维修检测设备的易修性；9)维修的难易程度；10)维修保障的完备程度；</w:t>
      </w:r>
    </w:p>
    <w:p w14:paraId="6FFE976D">
      <w:pPr>
        <w:spacing w:before="120" w:line="219" w:lineRule="auto"/>
        <w:rPr>
          <w:rFonts w:ascii="宋体" w:hAnsi="宋体" w:eastAsia="宋体" w:cs="宋体"/>
          <w:sz w:val="27"/>
          <w:szCs w:val="27"/>
        </w:rPr>
      </w:pPr>
      <w:r>
        <w:rPr>
          <w:rFonts w:ascii="宋体" w:hAnsi="宋体" w:eastAsia="宋体" w:cs="宋体"/>
          <w:spacing w:val="1"/>
          <w:sz w:val="27"/>
          <w:szCs w:val="27"/>
        </w:rPr>
        <w:t>11)与维修行动有关的人力因素等。</w:t>
      </w:r>
    </w:p>
    <w:p w14:paraId="553E0F2A">
      <w:pPr>
        <w:spacing w:before="63" w:line="221" w:lineRule="auto"/>
        <w:rPr>
          <w:rFonts w:ascii="黑体" w:hAnsi="黑体" w:eastAsia="黑体" w:cs="黑体"/>
          <w:sz w:val="27"/>
          <w:szCs w:val="27"/>
        </w:rPr>
      </w:pPr>
      <w:r>
        <w:rPr>
          <w:rFonts w:ascii="黑体" w:hAnsi="黑体" w:eastAsia="黑体" w:cs="黑体"/>
          <w:spacing w:val="1"/>
          <w:sz w:val="27"/>
          <w:szCs w:val="27"/>
        </w:rPr>
        <w:t xml:space="preserve">6.3  </w:t>
      </w:r>
      <w:r>
        <w:rPr>
          <w:rFonts w:ascii="黑体" w:hAnsi="黑体" w:eastAsia="黑体" w:cs="黑体"/>
          <w:b/>
          <w:bCs/>
          <w:spacing w:val="1"/>
          <w:sz w:val="27"/>
          <w:szCs w:val="27"/>
        </w:rPr>
        <w:t>产品测试性情况</w:t>
      </w:r>
    </w:p>
    <w:p w14:paraId="70D55003">
      <w:pPr>
        <w:spacing w:before="104" w:line="275" w:lineRule="auto"/>
        <w:ind w:right="149" w:firstLine="560"/>
        <w:jc w:val="both"/>
        <w:rPr>
          <w:rFonts w:ascii="宋体" w:hAnsi="宋体" w:eastAsia="宋体" w:cs="宋体"/>
          <w:sz w:val="27"/>
          <w:szCs w:val="27"/>
        </w:rPr>
      </w:pPr>
      <w:r>
        <w:rPr>
          <w:rFonts w:ascii="宋体" w:hAnsi="宋体" w:eastAsia="宋体" w:cs="宋体"/>
          <w:spacing w:val="4"/>
          <w:sz w:val="27"/>
          <w:szCs w:val="27"/>
        </w:rPr>
        <w:t>简要说明产品测试性指标，产品设计采取的测试性设计措施(如机内自检、</w:t>
      </w:r>
      <w:r>
        <w:rPr>
          <w:rFonts w:ascii="宋体" w:hAnsi="宋体" w:eastAsia="宋体" w:cs="宋体"/>
          <w:spacing w:val="7"/>
          <w:sz w:val="27"/>
          <w:szCs w:val="27"/>
        </w:rPr>
        <w:t xml:space="preserve"> </w:t>
      </w:r>
      <w:r>
        <w:rPr>
          <w:rFonts w:ascii="宋体" w:hAnsi="宋体" w:eastAsia="宋体" w:cs="宋体"/>
          <w:sz w:val="27"/>
          <w:szCs w:val="27"/>
        </w:rPr>
        <w:t>自检结果指示或显示等),产品在试验试用过程中的表现情况(故障检</w:t>
      </w:r>
      <w:r>
        <w:rPr>
          <w:rFonts w:ascii="宋体" w:hAnsi="宋体" w:eastAsia="宋体" w:cs="宋体"/>
          <w:spacing w:val="-1"/>
          <w:sz w:val="27"/>
          <w:szCs w:val="27"/>
        </w:rPr>
        <w:t>测时间、故</w:t>
      </w:r>
      <w:r>
        <w:rPr>
          <w:rFonts w:ascii="宋体" w:hAnsi="宋体" w:eastAsia="宋体" w:cs="宋体"/>
          <w:sz w:val="27"/>
          <w:szCs w:val="27"/>
        </w:rPr>
        <w:t xml:space="preserve">  </w:t>
      </w:r>
      <w:r>
        <w:rPr>
          <w:rFonts w:ascii="宋体" w:hAnsi="宋体" w:eastAsia="宋体" w:cs="宋体"/>
          <w:spacing w:val="-10"/>
          <w:sz w:val="27"/>
          <w:szCs w:val="27"/>
        </w:rPr>
        <w:t>障隔离时间、虚警率等)。</w:t>
      </w:r>
    </w:p>
    <w:p w14:paraId="3A7BDE5E">
      <w:pPr>
        <w:spacing w:line="223" w:lineRule="auto"/>
        <w:rPr>
          <w:rFonts w:ascii="黑体" w:hAnsi="黑体" w:eastAsia="黑体" w:cs="黑体"/>
          <w:sz w:val="27"/>
          <w:szCs w:val="27"/>
        </w:rPr>
      </w:pPr>
      <w:r>
        <w:rPr>
          <w:rFonts w:ascii="黑体" w:hAnsi="黑体" w:eastAsia="黑体" w:cs="黑体"/>
          <w:spacing w:val="1"/>
          <w:sz w:val="27"/>
          <w:szCs w:val="27"/>
        </w:rPr>
        <w:t xml:space="preserve">6.4  </w:t>
      </w:r>
      <w:r>
        <w:rPr>
          <w:rFonts w:ascii="黑体" w:hAnsi="黑体" w:eastAsia="黑体" w:cs="黑体"/>
          <w:b/>
          <w:bCs/>
          <w:spacing w:val="1"/>
          <w:sz w:val="27"/>
          <w:szCs w:val="27"/>
        </w:rPr>
        <w:t>产品保障性情况</w:t>
      </w:r>
    </w:p>
    <w:p w14:paraId="3ECBCE3D">
      <w:pPr>
        <w:spacing w:before="94" w:line="277" w:lineRule="auto"/>
        <w:ind w:right="269" w:firstLine="560"/>
        <w:rPr>
          <w:rFonts w:ascii="宋体" w:hAnsi="宋体" w:eastAsia="宋体" w:cs="宋体"/>
          <w:sz w:val="27"/>
          <w:szCs w:val="27"/>
        </w:rPr>
      </w:pPr>
      <w:r>
        <w:rPr>
          <w:rFonts w:ascii="宋体" w:hAnsi="宋体" w:eastAsia="宋体" w:cs="宋体"/>
          <w:spacing w:val="5"/>
          <w:sz w:val="27"/>
          <w:szCs w:val="27"/>
        </w:rPr>
        <w:t>简要说明产品保障性评估结果，说明在下列方面是否能够满</w:t>
      </w:r>
      <w:r>
        <w:rPr>
          <w:rFonts w:ascii="宋体" w:hAnsi="宋体" w:eastAsia="宋体" w:cs="宋体"/>
          <w:spacing w:val="4"/>
          <w:sz w:val="27"/>
          <w:szCs w:val="27"/>
        </w:rPr>
        <w:t>足可用性和战</w:t>
      </w:r>
      <w:r>
        <w:rPr>
          <w:rFonts w:ascii="宋体" w:hAnsi="宋体" w:eastAsia="宋体" w:cs="宋体"/>
          <w:sz w:val="27"/>
          <w:szCs w:val="27"/>
        </w:rPr>
        <w:t xml:space="preserve"> </w:t>
      </w:r>
      <w:r>
        <w:rPr>
          <w:rFonts w:ascii="宋体" w:hAnsi="宋体" w:eastAsia="宋体" w:cs="宋体"/>
          <w:spacing w:val="-1"/>
          <w:sz w:val="27"/>
          <w:szCs w:val="27"/>
        </w:rPr>
        <w:t>时使用要求。</w:t>
      </w:r>
    </w:p>
    <w:p w14:paraId="3135CE23">
      <w:pPr>
        <w:spacing w:line="277" w:lineRule="auto"/>
        <w:rPr>
          <w:rFonts w:ascii="宋体" w:hAnsi="宋体" w:eastAsia="宋体" w:cs="宋体"/>
          <w:sz w:val="27"/>
          <w:szCs w:val="27"/>
        </w:rPr>
        <w:sectPr>
          <w:footerReference r:id="rId146" w:type="default"/>
          <w:pgSz w:w="11910" w:h="17130"/>
          <w:pgMar w:top="400" w:right="1214" w:bottom="1733" w:left="1069" w:header="0" w:footer="1535" w:gutter="0"/>
          <w:cols w:space="720" w:num="1"/>
        </w:sectPr>
      </w:pPr>
    </w:p>
    <w:p w14:paraId="522137BF">
      <w:pPr>
        <w:pStyle w:val="2"/>
        <w:spacing w:line="315" w:lineRule="auto"/>
      </w:pPr>
    </w:p>
    <w:p w14:paraId="2697FDD0">
      <w:pPr>
        <w:pStyle w:val="2"/>
        <w:spacing w:line="316" w:lineRule="auto"/>
      </w:pPr>
    </w:p>
    <w:p w14:paraId="63F5853C">
      <w:pPr>
        <w:pStyle w:val="2"/>
        <w:spacing w:line="316" w:lineRule="auto"/>
      </w:pPr>
    </w:p>
    <w:p w14:paraId="1E79A4A2">
      <w:pPr>
        <w:spacing w:before="88" w:line="269" w:lineRule="auto"/>
        <w:ind w:right="20" w:firstLine="539"/>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Times New Roman" w:hAnsi="Times New Roman" w:eastAsia="Times New Roman" w:cs="Times New Roman"/>
          <w:spacing w:val="42"/>
          <w:w w:val="101"/>
          <w:sz w:val="27"/>
          <w:szCs w:val="27"/>
        </w:rPr>
        <w:t xml:space="preserve"> </w:t>
      </w:r>
      <w:r>
        <w:rPr>
          <w:rFonts w:ascii="宋体" w:hAnsi="宋体" w:eastAsia="宋体" w:cs="宋体"/>
          <w:spacing w:val="-11"/>
          <w:sz w:val="27"/>
          <w:szCs w:val="27"/>
        </w:rPr>
        <w:t>保障设备的完备、齐套情况，主要包括：1)测试、</w:t>
      </w:r>
      <w:r>
        <w:rPr>
          <w:rFonts w:ascii="宋体" w:hAnsi="宋体" w:eastAsia="宋体" w:cs="宋体"/>
          <w:spacing w:val="-12"/>
          <w:sz w:val="27"/>
          <w:szCs w:val="27"/>
        </w:rPr>
        <w:t>测量和检测设备；2)训练</w:t>
      </w:r>
      <w:r>
        <w:rPr>
          <w:rFonts w:ascii="宋体" w:hAnsi="宋体" w:eastAsia="宋体" w:cs="宋体"/>
          <w:sz w:val="27"/>
          <w:szCs w:val="27"/>
        </w:rPr>
        <w:t xml:space="preserve"> </w:t>
      </w:r>
      <w:r>
        <w:rPr>
          <w:rFonts w:ascii="宋体" w:hAnsi="宋体" w:eastAsia="宋体" w:cs="宋体"/>
          <w:spacing w:val="-3"/>
          <w:sz w:val="27"/>
          <w:szCs w:val="27"/>
        </w:rPr>
        <w:t>和训练保障设备；3)维修、维护设备和工具；4)装卸设备和工具；5)配件与修理</w:t>
      </w:r>
      <w:r>
        <w:rPr>
          <w:rFonts w:ascii="宋体" w:hAnsi="宋体" w:eastAsia="宋体" w:cs="宋体"/>
          <w:spacing w:val="12"/>
          <w:sz w:val="27"/>
          <w:szCs w:val="27"/>
        </w:rPr>
        <w:t xml:space="preserve"> </w:t>
      </w:r>
      <w:r>
        <w:rPr>
          <w:rFonts w:ascii="宋体" w:hAnsi="宋体" w:eastAsia="宋体" w:cs="宋体"/>
          <w:spacing w:val="-6"/>
          <w:sz w:val="27"/>
          <w:szCs w:val="27"/>
        </w:rPr>
        <w:t>件等。</w:t>
      </w:r>
    </w:p>
    <w:p w14:paraId="5C534A89">
      <w:pPr>
        <w:spacing w:before="91" w:line="212" w:lineRule="auto"/>
        <w:ind w:left="539"/>
        <w:rPr>
          <w:rFonts w:ascii="宋体" w:hAnsi="宋体" w:eastAsia="宋体" w:cs="宋体"/>
          <w:sz w:val="24"/>
          <w:szCs w:val="24"/>
        </w:rPr>
      </w:pPr>
      <w:r>
        <w:rPr>
          <w:rFonts w:ascii="Times New Roman" w:hAnsi="Times New Roman" w:eastAsia="Times New Roman" w:cs="Times New Roman"/>
          <w:spacing w:val="25"/>
          <w:sz w:val="24"/>
          <w:szCs w:val="24"/>
        </w:rPr>
        <w:t xml:space="preserve">b)  </w:t>
      </w:r>
      <w:r>
        <w:rPr>
          <w:rFonts w:ascii="宋体" w:hAnsi="宋体" w:eastAsia="宋体" w:cs="宋体"/>
          <w:spacing w:val="25"/>
          <w:sz w:val="24"/>
          <w:szCs w:val="24"/>
        </w:rPr>
        <w:t>备附件的供应满足率。</w:t>
      </w:r>
    </w:p>
    <w:p w14:paraId="14465719">
      <w:pPr>
        <w:spacing w:before="102"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4"/>
          <w:sz w:val="27"/>
          <w:szCs w:val="27"/>
        </w:rPr>
        <w:t>技术资料的完整、准确和适用性。</w:t>
      </w:r>
    </w:p>
    <w:p w14:paraId="3A953B81">
      <w:pPr>
        <w:spacing w:before="10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d)</w:t>
      </w:r>
      <w:r>
        <w:rPr>
          <w:rFonts w:ascii="Times New Roman" w:hAnsi="Times New Roman" w:eastAsia="Times New Roman" w:cs="Times New Roman"/>
          <w:spacing w:val="51"/>
          <w:sz w:val="27"/>
          <w:szCs w:val="27"/>
        </w:rPr>
        <w:t xml:space="preserve"> </w:t>
      </w:r>
      <w:r>
        <w:rPr>
          <w:rFonts w:ascii="宋体" w:hAnsi="宋体" w:eastAsia="宋体" w:cs="宋体"/>
          <w:spacing w:val="3"/>
          <w:sz w:val="27"/>
          <w:szCs w:val="27"/>
        </w:rPr>
        <w:t>计算机资源保障。</w:t>
      </w:r>
    </w:p>
    <w:p w14:paraId="3988C420">
      <w:pPr>
        <w:spacing w:before="130" w:line="219" w:lineRule="auto"/>
        <w:ind w:left="539"/>
        <w:rPr>
          <w:rFonts w:ascii="宋体" w:hAnsi="宋体" w:eastAsia="宋体" w:cs="宋体"/>
          <w:sz w:val="27"/>
          <w:szCs w:val="27"/>
        </w:rPr>
      </w:pPr>
      <w:r>
        <w:rPr>
          <w:rFonts w:ascii="Times New Roman" w:hAnsi="Times New Roman" w:eastAsia="Times New Roman" w:cs="Times New Roman"/>
          <w:spacing w:val="7"/>
          <w:sz w:val="27"/>
          <w:szCs w:val="27"/>
        </w:rPr>
        <w:t>e</w:t>
      </w:r>
      <w:r>
        <w:rPr>
          <w:rFonts w:ascii="Times New Roman" w:hAnsi="Times New Roman" w:eastAsia="Times New Roman" w:cs="Times New Roman"/>
          <w:spacing w:val="-28"/>
          <w:sz w:val="27"/>
          <w:szCs w:val="27"/>
        </w:rPr>
        <w:t xml:space="preserve"> </w:t>
      </w:r>
      <w:r>
        <w:rPr>
          <w:rFonts w:ascii="宋体" w:hAnsi="宋体" w:eastAsia="宋体" w:cs="宋体"/>
          <w:spacing w:val="7"/>
          <w:sz w:val="27"/>
          <w:szCs w:val="27"/>
        </w:rPr>
        <w:t>)保障设施。</w:t>
      </w:r>
    </w:p>
    <w:p w14:paraId="29D76899">
      <w:pPr>
        <w:spacing w:before="49"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f)</w:t>
      </w:r>
      <w:r>
        <w:rPr>
          <w:rFonts w:ascii="Times New Roman" w:hAnsi="Times New Roman" w:eastAsia="Times New Roman" w:cs="Times New Roman"/>
          <w:spacing w:val="63"/>
          <w:sz w:val="27"/>
          <w:szCs w:val="27"/>
        </w:rPr>
        <w:t xml:space="preserve"> </w:t>
      </w:r>
      <w:r>
        <w:rPr>
          <w:rFonts w:ascii="宋体" w:hAnsi="宋体" w:eastAsia="宋体" w:cs="宋体"/>
          <w:spacing w:val="2"/>
          <w:sz w:val="27"/>
          <w:szCs w:val="27"/>
        </w:rPr>
        <w:t>人员要求。</w:t>
      </w:r>
    </w:p>
    <w:p w14:paraId="79A1DE3D">
      <w:pPr>
        <w:spacing w:before="141" w:line="212" w:lineRule="auto"/>
        <w:ind w:left="539"/>
        <w:rPr>
          <w:rFonts w:ascii="宋体" w:hAnsi="宋体" w:eastAsia="宋体" w:cs="宋体"/>
          <w:sz w:val="24"/>
          <w:szCs w:val="24"/>
        </w:rPr>
      </w:pPr>
      <w:r>
        <w:rPr>
          <w:rFonts w:ascii="Times New Roman" w:hAnsi="Times New Roman" w:eastAsia="Times New Roman" w:cs="Times New Roman"/>
          <w:spacing w:val="18"/>
          <w:sz w:val="24"/>
          <w:szCs w:val="24"/>
        </w:rPr>
        <w:t>g</w:t>
      </w:r>
      <w:r>
        <w:rPr>
          <w:rFonts w:ascii="Times New Roman" w:hAnsi="Times New Roman" w:eastAsia="Times New Roman" w:cs="Times New Roman"/>
          <w:spacing w:val="-18"/>
          <w:sz w:val="24"/>
          <w:szCs w:val="24"/>
        </w:rPr>
        <w:t xml:space="preserve"> </w:t>
      </w:r>
      <w:r>
        <w:rPr>
          <w:rFonts w:ascii="宋体" w:hAnsi="宋体" w:eastAsia="宋体" w:cs="宋体"/>
          <w:spacing w:val="18"/>
          <w:sz w:val="24"/>
          <w:szCs w:val="24"/>
        </w:rPr>
        <w:t>)</w:t>
      </w:r>
      <w:r>
        <w:rPr>
          <w:rFonts w:ascii="宋体" w:hAnsi="宋体" w:eastAsia="宋体" w:cs="宋体"/>
          <w:spacing w:val="-30"/>
          <w:sz w:val="24"/>
          <w:szCs w:val="24"/>
        </w:rPr>
        <w:t xml:space="preserve"> </w:t>
      </w:r>
      <w:r>
        <w:rPr>
          <w:rFonts w:ascii="宋体" w:hAnsi="宋体" w:eastAsia="宋体" w:cs="宋体"/>
          <w:spacing w:val="18"/>
          <w:sz w:val="24"/>
          <w:szCs w:val="24"/>
        </w:rPr>
        <w:t>运输要求。</w:t>
      </w:r>
    </w:p>
    <w:p w14:paraId="59CA9B41">
      <w:pPr>
        <w:spacing w:before="115" w:line="212" w:lineRule="auto"/>
        <w:ind w:left="539"/>
        <w:rPr>
          <w:rFonts w:ascii="宋体" w:hAnsi="宋体" w:eastAsia="宋体" w:cs="宋体"/>
          <w:sz w:val="24"/>
          <w:szCs w:val="24"/>
        </w:rPr>
      </w:pPr>
      <w:r>
        <w:rPr>
          <w:rFonts w:ascii="Times New Roman" w:hAnsi="Times New Roman" w:eastAsia="Times New Roman" w:cs="Times New Roman"/>
          <w:spacing w:val="21"/>
          <w:sz w:val="24"/>
          <w:szCs w:val="24"/>
        </w:rPr>
        <w:t>h)</w:t>
      </w:r>
      <w:r>
        <w:rPr>
          <w:rFonts w:ascii="Times New Roman" w:hAnsi="Times New Roman" w:eastAsia="Times New Roman" w:cs="Times New Roman"/>
          <w:spacing w:val="16"/>
          <w:sz w:val="24"/>
          <w:szCs w:val="24"/>
        </w:rPr>
        <w:t xml:space="preserve">  </w:t>
      </w:r>
      <w:r>
        <w:rPr>
          <w:rFonts w:ascii="宋体" w:hAnsi="宋体" w:eastAsia="宋体" w:cs="宋体"/>
          <w:spacing w:val="21"/>
          <w:sz w:val="24"/>
          <w:szCs w:val="24"/>
        </w:rPr>
        <w:t>训练要求。</w:t>
      </w:r>
    </w:p>
    <w:p w14:paraId="25007034">
      <w:pPr>
        <w:spacing w:before="92" w:line="212" w:lineRule="auto"/>
        <w:ind w:left="539"/>
        <w:rPr>
          <w:rFonts w:ascii="宋体" w:hAnsi="宋体" w:eastAsia="宋体" w:cs="宋体"/>
          <w:sz w:val="27"/>
          <w:szCs w:val="27"/>
        </w:rPr>
      </w:pPr>
      <w:r>
        <w:rPr>
          <w:rFonts w:ascii="Times New Roman" w:hAnsi="Times New Roman" w:eastAsia="Times New Roman" w:cs="Times New Roman"/>
          <w:sz w:val="27"/>
          <w:szCs w:val="27"/>
        </w:rPr>
        <w:t>i)</w:t>
      </w:r>
      <w:r>
        <w:rPr>
          <w:rFonts w:ascii="Times New Roman" w:hAnsi="Times New Roman" w:eastAsia="Times New Roman" w:cs="Times New Roman"/>
          <w:spacing w:val="61"/>
          <w:sz w:val="27"/>
          <w:szCs w:val="27"/>
        </w:rPr>
        <w:t xml:space="preserve"> </w:t>
      </w:r>
      <w:r>
        <w:rPr>
          <w:rFonts w:ascii="宋体" w:hAnsi="宋体" w:eastAsia="宋体" w:cs="宋体"/>
          <w:sz w:val="27"/>
          <w:szCs w:val="27"/>
        </w:rPr>
        <w:t>软件保障性。</w:t>
      </w:r>
    </w:p>
    <w:p w14:paraId="68173775">
      <w:pPr>
        <w:spacing w:before="119" w:line="212" w:lineRule="auto"/>
        <w:ind w:left="539"/>
        <w:rPr>
          <w:rFonts w:ascii="宋体" w:hAnsi="宋体" w:eastAsia="宋体" w:cs="宋体"/>
          <w:sz w:val="27"/>
          <w:szCs w:val="27"/>
        </w:rPr>
      </w:pPr>
      <w:r>
        <w:rPr>
          <w:rFonts w:ascii="Times New Roman" w:hAnsi="Times New Roman" w:eastAsia="Times New Roman" w:cs="Times New Roman"/>
          <w:spacing w:val="7"/>
          <w:sz w:val="27"/>
          <w:szCs w:val="27"/>
        </w:rPr>
        <w:t>j)</w:t>
      </w:r>
      <w:r>
        <w:rPr>
          <w:rFonts w:ascii="Times New Roman" w:hAnsi="Times New Roman" w:eastAsia="Times New Roman" w:cs="Times New Roman"/>
          <w:spacing w:val="40"/>
          <w:sz w:val="27"/>
          <w:szCs w:val="27"/>
        </w:rPr>
        <w:t xml:space="preserve"> </w:t>
      </w:r>
      <w:r>
        <w:rPr>
          <w:rFonts w:ascii="宋体" w:hAnsi="宋体" w:eastAsia="宋体" w:cs="宋体"/>
          <w:spacing w:val="7"/>
          <w:sz w:val="27"/>
          <w:szCs w:val="27"/>
        </w:rPr>
        <w:t>保障工作量及难易程度。</w:t>
      </w:r>
    </w:p>
    <w:p w14:paraId="2037DFFC">
      <w:pPr>
        <w:spacing w:before="91" w:line="212" w:lineRule="auto"/>
        <w:ind w:left="539"/>
        <w:rPr>
          <w:rFonts w:ascii="宋体" w:hAnsi="宋体" w:eastAsia="宋体" w:cs="宋体"/>
          <w:sz w:val="27"/>
          <w:szCs w:val="27"/>
        </w:rPr>
      </w:pPr>
      <w:r>
        <w:rPr>
          <w:rFonts w:ascii="Times New Roman" w:hAnsi="Times New Roman" w:eastAsia="Times New Roman" w:cs="Times New Roman"/>
          <w:sz w:val="27"/>
          <w:szCs w:val="27"/>
        </w:rPr>
        <w:t xml:space="preserve">k)  </w:t>
      </w:r>
      <w:r>
        <w:rPr>
          <w:rFonts w:ascii="宋体" w:hAnsi="宋体" w:eastAsia="宋体" w:cs="宋体"/>
          <w:sz w:val="27"/>
          <w:szCs w:val="27"/>
        </w:rPr>
        <w:t>与部队对现役装备管理、保障要求符合的</w:t>
      </w:r>
      <w:r>
        <w:rPr>
          <w:rFonts w:ascii="宋体" w:hAnsi="宋体" w:eastAsia="宋体" w:cs="宋体"/>
          <w:spacing w:val="-1"/>
          <w:sz w:val="27"/>
          <w:szCs w:val="27"/>
        </w:rPr>
        <w:t>程度评价等。</w:t>
      </w:r>
    </w:p>
    <w:p w14:paraId="743963EB">
      <w:pPr>
        <w:spacing w:before="107" w:line="223" w:lineRule="auto"/>
        <w:rPr>
          <w:rFonts w:ascii="黑体" w:hAnsi="黑体" w:eastAsia="黑体" w:cs="黑体"/>
          <w:sz w:val="27"/>
          <w:szCs w:val="27"/>
        </w:rPr>
      </w:pPr>
      <w:r>
        <w:rPr>
          <w:rFonts w:ascii="黑体" w:hAnsi="黑体" w:eastAsia="黑体" w:cs="黑体"/>
          <w:spacing w:val="1"/>
          <w:sz w:val="27"/>
          <w:szCs w:val="27"/>
        </w:rPr>
        <w:t xml:space="preserve">6.5  </w:t>
      </w:r>
      <w:r>
        <w:rPr>
          <w:rFonts w:ascii="黑体" w:hAnsi="黑体" w:eastAsia="黑体" w:cs="黑体"/>
          <w:b/>
          <w:bCs/>
          <w:spacing w:val="1"/>
          <w:sz w:val="27"/>
          <w:szCs w:val="27"/>
        </w:rPr>
        <w:t>产品安全性情况</w:t>
      </w:r>
    </w:p>
    <w:p w14:paraId="00A42DDA">
      <w:pPr>
        <w:spacing w:before="89" w:line="279" w:lineRule="auto"/>
        <w:ind w:right="19" w:firstLine="539"/>
        <w:jc w:val="both"/>
        <w:rPr>
          <w:rFonts w:ascii="宋体" w:hAnsi="宋体" w:eastAsia="宋体" w:cs="宋体"/>
          <w:sz w:val="27"/>
          <w:szCs w:val="27"/>
        </w:rPr>
      </w:pPr>
      <w:r>
        <w:rPr>
          <w:rFonts w:ascii="宋体" w:hAnsi="宋体" w:eastAsia="宋体" w:cs="宋体"/>
          <w:spacing w:val="5"/>
          <w:sz w:val="27"/>
          <w:szCs w:val="27"/>
        </w:rPr>
        <w:t>概括说明改装过程中按照安全性工作计划开展的安全性工作项目，包括设</w:t>
      </w:r>
      <w:r>
        <w:rPr>
          <w:rFonts w:ascii="宋体" w:hAnsi="宋体" w:eastAsia="宋体" w:cs="宋体"/>
          <w:spacing w:val="11"/>
          <w:sz w:val="27"/>
          <w:szCs w:val="27"/>
        </w:rPr>
        <w:t xml:space="preserve"> </w:t>
      </w:r>
      <w:r>
        <w:rPr>
          <w:rFonts w:ascii="宋体" w:hAnsi="宋体" w:eastAsia="宋体" w:cs="宋体"/>
          <w:spacing w:val="-3"/>
          <w:sz w:val="27"/>
          <w:szCs w:val="27"/>
        </w:rPr>
        <w:t>计与分析、试验与评价等，给出产品安全性评估结果，说明是否达到产品安全性</w:t>
      </w:r>
      <w:r>
        <w:rPr>
          <w:rFonts w:ascii="宋体" w:hAnsi="宋体" w:eastAsia="宋体" w:cs="宋体"/>
          <w:spacing w:val="4"/>
          <w:sz w:val="27"/>
          <w:szCs w:val="27"/>
        </w:rPr>
        <w:t xml:space="preserve"> </w:t>
      </w:r>
      <w:r>
        <w:rPr>
          <w:rFonts w:ascii="宋体" w:hAnsi="宋体" w:eastAsia="宋体" w:cs="宋体"/>
          <w:spacing w:val="1"/>
          <w:sz w:val="27"/>
          <w:szCs w:val="27"/>
        </w:rPr>
        <w:t>要求。</w:t>
      </w:r>
    </w:p>
    <w:p w14:paraId="475BAA5F">
      <w:pPr>
        <w:spacing w:before="2" w:line="274" w:lineRule="auto"/>
        <w:ind w:right="5" w:firstLine="539"/>
        <w:rPr>
          <w:rFonts w:ascii="宋体" w:hAnsi="宋体" w:eastAsia="宋体" w:cs="宋体"/>
          <w:sz w:val="27"/>
          <w:szCs w:val="27"/>
        </w:rPr>
      </w:pPr>
      <w:r>
        <w:rPr>
          <w:rFonts w:ascii="宋体" w:hAnsi="宋体" w:eastAsia="宋体" w:cs="宋体"/>
          <w:spacing w:val="6"/>
          <w:sz w:val="27"/>
          <w:szCs w:val="27"/>
        </w:rPr>
        <w:t>通常在进行其他部分试验的同时，通过观察产品的使用和维</w:t>
      </w:r>
      <w:r>
        <w:rPr>
          <w:rFonts w:ascii="宋体" w:hAnsi="宋体" w:eastAsia="宋体" w:cs="宋体"/>
          <w:spacing w:val="5"/>
          <w:sz w:val="27"/>
          <w:szCs w:val="27"/>
        </w:rPr>
        <w:t>修来评价产品</w:t>
      </w:r>
      <w:r>
        <w:rPr>
          <w:rFonts w:ascii="宋体" w:hAnsi="宋体" w:eastAsia="宋体" w:cs="宋体"/>
          <w:sz w:val="27"/>
          <w:szCs w:val="27"/>
        </w:rPr>
        <w:t xml:space="preserve"> </w:t>
      </w:r>
      <w:r>
        <w:rPr>
          <w:rFonts w:ascii="宋体" w:hAnsi="宋体" w:eastAsia="宋体" w:cs="宋体"/>
          <w:spacing w:val="-2"/>
          <w:sz w:val="27"/>
          <w:szCs w:val="27"/>
        </w:rPr>
        <w:t>在模拟战场环境条件下实际使用的安全程度，主要包括：</w:t>
      </w:r>
    </w:p>
    <w:p w14:paraId="497F3E8B">
      <w:pPr>
        <w:spacing w:line="212" w:lineRule="auto"/>
        <w:ind w:left="539"/>
        <w:rPr>
          <w:rFonts w:ascii="宋体" w:hAnsi="宋体" w:eastAsia="宋体" w:cs="宋体"/>
          <w:sz w:val="27"/>
          <w:szCs w:val="27"/>
        </w:rPr>
      </w:pPr>
      <w:r>
        <w:rPr>
          <w:rFonts w:ascii="Times New Roman" w:hAnsi="Times New Roman" w:eastAsia="Times New Roman" w:cs="Times New Roman"/>
          <w:spacing w:val="-6"/>
          <w:sz w:val="27"/>
          <w:szCs w:val="27"/>
        </w:rPr>
        <w:t xml:space="preserve">a)  </w:t>
      </w:r>
      <w:r>
        <w:rPr>
          <w:rFonts w:ascii="宋体" w:hAnsi="宋体" w:eastAsia="宋体" w:cs="宋体"/>
          <w:spacing w:val="-6"/>
          <w:sz w:val="27"/>
          <w:szCs w:val="27"/>
        </w:rPr>
        <w:t>可能造成部队使用人员死亡、伤害、职业疾病的程度；</w:t>
      </w:r>
    </w:p>
    <w:p w14:paraId="6281B62B">
      <w:pPr>
        <w:spacing w:before="112" w:line="212" w:lineRule="auto"/>
        <w:ind w:left="539"/>
        <w:rPr>
          <w:rFonts w:ascii="宋体" w:hAnsi="宋体" w:eastAsia="宋体" w:cs="宋体"/>
          <w:sz w:val="24"/>
          <w:szCs w:val="24"/>
        </w:rPr>
      </w:pPr>
      <w:r>
        <w:rPr>
          <w:rFonts w:ascii="Times New Roman" w:hAnsi="Times New Roman" w:eastAsia="Times New Roman" w:cs="Times New Roman"/>
          <w:spacing w:val="30"/>
          <w:sz w:val="24"/>
          <w:szCs w:val="24"/>
        </w:rPr>
        <w:t xml:space="preserve">b)  </w:t>
      </w:r>
      <w:r>
        <w:rPr>
          <w:rFonts w:ascii="宋体" w:hAnsi="宋体" w:eastAsia="宋体" w:cs="宋体"/>
          <w:spacing w:val="30"/>
          <w:sz w:val="24"/>
          <w:szCs w:val="24"/>
        </w:rPr>
        <w:t>可能造成设备或财产损坏或损失的程</w:t>
      </w:r>
      <w:r>
        <w:rPr>
          <w:rFonts w:ascii="宋体" w:hAnsi="宋体" w:eastAsia="宋体" w:cs="宋体"/>
          <w:spacing w:val="29"/>
          <w:sz w:val="24"/>
          <w:szCs w:val="24"/>
        </w:rPr>
        <w:t>度；</w:t>
      </w:r>
    </w:p>
    <w:p w14:paraId="43F993C5">
      <w:pPr>
        <w:spacing w:before="124" w:line="212" w:lineRule="auto"/>
        <w:ind w:left="539"/>
        <w:rPr>
          <w:rFonts w:ascii="宋体" w:hAnsi="宋体" w:eastAsia="宋体" w:cs="宋体"/>
          <w:sz w:val="24"/>
          <w:szCs w:val="24"/>
        </w:rPr>
      </w:pPr>
      <w:r>
        <w:rPr>
          <w:rFonts w:ascii="Times New Roman" w:hAnsi="Times New Roman" w:eastAsia="Times New Roman" w:cs="Times New Roman"/>
          <w:spacing w:val="25"/>
          <w:sz w:val="24"/>
          <w:szCs w:val="24"/>
        </w:rPr>
        <w:t xml:space="preserve">c)  </w:t>
      </w:r>
      <w:r>
        <w:rPr>
          <w:rFonts w:ascii="宋体" w:hAnsi="宋体" w:eastAsia="宋体" w:cs="宋体"/>
          <w:spacing w:val="25"/>
          <w:sz w:val="24"/>
          <w:szCs w:val="24"/>
        </w:rPr>
        <w:t>可能造成危害环境的程度；</w:t>
      </w:r>
    </w:p>
    <w:p w14:paraId="27EABF13">
      <w:pPr>
        <w:spacing w:before="112" w:line="257" w:lineRule="auto"/>
        <w:ind w:right="12" w:firstLine="539"/>
        <w:rPr>
          <w:rFonts w:ascii="宋体" w:hAnsi="宋体" w:eastAsia="宋体" w:cs="宋体"/>
          <w:sz w:val="27"/>
          <w:szCs w:val="27"/>
        </w:rPr>
      </w:pPr>
      <w:r>
        <w:rPr>
          <w:rFonts w:ascii="Times New Roman" w:hAnsi="Times New Roman" w:eastAsia="Times New Roman" w:cs="Times New Roman"/>
          <w:spacing w:val="11"/>
          <w:sz w:val="27"/>
          <w:szCs w:val="27"/>
        </w:rPr>
        <w:t>d)</w:t>
      </w:r>
      <w:r>
        <w:rPr>
          <w:rFonts w:ascii="Times New Roman" w:hAnsi="Times New Roman" w:eastAsia="Times New Roman" w:cs="Times New Roman"/>
          <w:spacing w:val="74"/>
          <w:sz w:val="27"/>
          <w:szCs w:val="27"/>
        </w:rPr>
        <w:t xml:space="preserve"> </w:t>
      </w:r>
      <w:r>
        <w:rPr>
          <w:rFonts w:ascii="宋体" w:hAnsi="宋体" w:eastAsia="宋体" w:cs="宋体"/>
          <w:spacing w:val="11"/>
          <w:sz w:val="27"/>
          <w:szCs w:val="27"/>
        </w:rPr>
        <w:t>使用注意事项和警示标志、提示等便于使用者观察、</w:t>
      </w:r>
      <w:r>
        <w:rPr>
          <w:rFonts w:ascii="仿宋" w:hAnsi="仿宋" w:eastAsia="仿宋" w:cs="仿宋"/>
          <w:spacing w:val="11"/>
          <w:sz w:val="27"/>
          <w:szCs w:val="27"/>
        </w:rPr>
        <w:t>理解和明确的程</w:t>
      </w:r>
      <w:r>
        <w:rPr>
          <w:rFonts w:ascii="仿宋" w:hAnsi="仿宋" w:eastAsia="仿宋" w:cs="仿宋"/>
          <w:sz w:val="27"/>
          <w:szCs w:val="27"/>
        </w:rPr>
        <w:t xml:space="preserve"> </w:t>
      </w:r>
      <w:r>
        <w:rPr>
          <w:rFonts w:ascii="宋体" w:hAnsi="宋体" w:eastAsia="宋体" w:cs="宋体"/>
          <w:spacing w:val="-6"/>
          <w:sz w:val="27"/>
          <w:szCs w:val="27"/>
        </w:rPr>
        <w:t>度等。</w:t>
      </w:r>
    </w:p>
    <w:p w14:paraId="3F06AB4A">
      <w:pPr>
        <w:spacing w:before="94" w:line="222" w:lineRule="auto"/>
        <w:rPr>
          <w:rFonts w:ascii="黑体" w:hAnsi="黑体" w:eastAsia="黑体" w:cs="黑体"/>
          <w:sz w:val="27"/>
          <w:szCs w:val="27"/>
        </w:rPr>
      </w:pPr>
      <w:r>
        <w:rPr>
          <w:rFonts w:ascii="黑体" w:hAnsi="黑体" w:eastAsia="黑体" w:cs="黑体"/>
          <w:spacing w:val="2"/>
          <w:sz w:val="27"/>
          <w:szCs w:val="27"/>
        </w:rPr>
        <w:t xml:space="preserve">7  </w:t>
      </w:r>
      <w:r>
        <w:rPr>
          <w:rFonts w:ascii="黑体" w:hAnsi="黑体" w:eastAsia="黑体" w:cs="黑体"/>
          <w:b/>
          <w:bCs/>
          <w:spacing w:val="2"/>
          <w:sz w:val="27"/>
          <w:szCs w:val="27"/>
        </w:rPr>
        <w:t>贯彻标准化大纲情况</w:t>
      </w:r>
    </w:p>
    <w:p w14:paraId="79DD70CA">
      <w:pPr>
        <w:spacing w:before="85" w:line="222" w:lineRule="auto"/>
        <w:rPr>
          <w:rFonts w:ascii="黑体" w:hAnsi="黑体" w:eastAsia="黑体" w:cs="黑体"/>
          <w:sz w:val="27"/>
          <w:szCs w:val="27"/>
        </w:rPr>
      </w:pPr>
      <w:r>
        <w:rPr>
          <w:rFonts w:ascii="黑体" w:hAnsi="黑体" w:eastAsia="黑体" w:cs="黑体"/>
          <w:spacing w:val="-11"/>
          <w:sz w:val="27"/>
          <w:szCs w:val="27"/>
        </w:rPr>
        <w:t>7.1</w:t>
      </w:r>
      <w:r>
        <w:rPr>
          <w:rFonts w:ascii="黑体" w:hAnsi="黑体" w:eastAsia="黑体" w:cs="黑体"/>
          <w:spacing w:val="26"/>
          <w:sz w:val="27"/>
          <w:szCs w:val="27"/>
        </w:rPr>
        <w:t xml:space="preserve">  </w:t>
      </w:r>
      <w:r>
        <w:rPr>
          <w:rFonts w:ascii="黑体" w:hAnsi="黑体" w:eastAsia="黑体" w:cs="黑体"/>
          <w:b/>
          <w:bCs/>
          <w:spacing w:val="-11"/>
          <w:sz w:val="27"/>
          <w:szCs w:val="27"/>
        </w:rPr>
        <w:t>标准的选用、实施情况</w:t>
      </w:r>
    </w:p>
    <w:p w14:paraId="4606E9C6">
      <w:pPr>
        <w:spacing w:before="91" w:line="272" w:lineRule="auto"/>
        <w:ind w:firstLine="539"/>
        <w:rPr>
          <w:rFonts w:ascii="宋体" w:hAnsi="宋体" w:eastAsia="宋体" w:cs="宋体"/>
          <w:sz w:val="27"/>
          <w:szCs w:val="27"/>
        </w:rPr>
      </w:pPr>
      <w:r>
        <w:rPr>
          <w:rFonts w:ascii="宋体" w:hAnsi="宋体" w:eastAsia="宋体" w:cs="宋体"/>
          <w:spacing w:val="2"/>
          <w:sz w:val="27"/>
          <w:szCs w:val="27"/>
        </w:rPr>
        <w:t>说明在改装设计和施工中选用并贯彻实施了哪些标准</w:t>
      </w:r>
      <w:r>
        <w:rPr>
          <w:rFonts w:ascii="宋体" w:hAnsi="宋体" w:eastAsia="宋体" w:cs="宋体"/>
          <w:spacing w:val="1"/>
          <w:sz w:val="27"/>
          <w:szCs w:val="27"/>
        </w:rPr>
        <w:t>(国家标准、国家军用</w:t>
      </w:r>
      <w:r>
        <w:rPr>
          <w:rFonts w:ascii="宋体" w:hAnsi="宋体" w:eastAsia="宋体" w:cs="宋体"/>
          <w:sz w:val="27"/>
          <w:szCs w:val="27"/>
        </w:rPr>
        <w:t xml:space="preserve"> </w:t>
      </w:r>
      <w:r>
        <w:rPr>
          <w:rFonts w:ascii="宋体" w:hAnsi="宋体" w:eastAsia="宋体" w:cs="宋体"/>
          <w:spacing w:val="-10"/>
          <w:sz w:val="27"/>
          <w:szCs w:val="27"/>
        </w:rPr>
        <w:t>标准、行业标准等)。</w:t>
      </w:r>
    </w:p>
    <w:p w14:paraId="2435A975">
      <w:pPr>
        <w:spacing w:line="221" w:lineRule="auto"/>
        <w:rPr>
          <w:rFonts w:ascii="黑体" w:hAnsi="黑体" w:eastAsia="黑体" w:cs="黑体"/>
          <w:sz w:val="27"/>
          <w:szCs w:val="27"/>
        </w:rPr>
      </w:pPr>
      <w:r>
        <w:rPr>
          <w:rFonts w:ascii="黑体" w:hAnsi="黑体" w:eastAsia="黑体" w:cs="黑体"/>
          <w:spacing w:val="1"/>
          <w:sz w:val="27"/>
          <w:szCs w:val="27"/>
        </w:rPr>
        <w:t xml:space="preserve">7.2  </w:t>
      </w:r>
      <w:r>
        <w:rPr>
          <w:rFonts w:ascii="黑体" w:hAnsi="黑体" w:eastAsia="黑体" w:cs="黑体"/>
          <w:b/>
          <w:bCs/>
          <w:spacing w:val="1"/>
          <w:sz w:val="27"/>
          <w:szCs w:val="27"/>
        </w:rPr>
        <w:t>标准化程度评价</w:t>
      </w:r>
    </w:p>
    <w:p w14:paraId="067D8578">
      <w:pPr>
        <w:spacing w:before="130" w:line="262" w:lineRule="auto"/>
        <w:ind w:right="21" w:firstLine="539"/>
        <w:rPr>
          <w:rFonts w:ascii="宋体" w:hAnsi="宋体" w:eastAsia="宋体" w:cs="宋体"/>
          <w:sz w:val="27"/>
          <w:szCs w:val="27"/>
        </w:rPr>
      </w:pPr>
      <w:r>
        <w:rPr>
          <w:rFonts w:ascii="宋体" w:hAnsi="宋体" w:eastAsia="宋体" w:cs="宋体"/>
          <w:spacing w:val="-3"/>
          <w:sz w:val="27"/>
          <w:szCs w:val="27"/>
        </w:rPr>
        <w:t>对改装图样和技术文件的完整性、准确性、协调性等作出的评价，并给出改</w:t>
      </w:r>
      <w:r>
        <w:rPr>
          <w:rFonts w:ascii="宋体" w:hAnsi="宋体" w:eastAsia="宋体" w:cs="宋体"/>
          <w:sz w:val="27"/>
          <w:szCs w:val="27"/>
        </w:rPr>
        <w:t xml:space="preserve"> </w:t>
      </w:r>
      <w:r>
        <w:rPr>
          <w:rFonts w:ascii="宋体" w:hAnsi="宋体" w:eastAsia="宋体" w:cs="宋体"/>
          <w:spacing w:val="-4"/>
          <w:sz w:val="27"/>
          <w:szCs w:val="27"/>
        </w:rPr>
        <w:t>装所使用器材的标准化系数、标准化效果分析、标准</w:t>
      </w:r>
      <w:r>
        <w:rPr>
          <w:rFonts w:ascii="宋体" w:hAnsi="宋体" w:eastAsia="宋体" w:cs="宋体"/>
          <w:spacing w:val="-5"/>
          <w:sz w:val="27"/>
          <w:szCs w:val="27"/>
        </w:rPr>
        <w:t>化程度评价结论。</w:t>
      </w:r>
    </w:p>
    <w:p w14:paraId="566F54A4">
      <w:pPr>
        <w:pStyle w:val="2"/>
        <w:spacing w:before="1" w:line="221" w:lineRule="auto"/>
        <w:rPr>
          <w:rFonts w:ascii="黑体" w:hAnsi="黑体" w:eastAsia="黑体" w:cs="黑体"/>
          <w:sz w:val="27"/>
          <w:szCs w:val="27"/>
        </w:rPr>
      </w:pPr>
      <w:r>
        <w:rPr>
          <w:b/>
          <w:bCs/>
          <w:spacing w:val="-11"/>
          <w:sz w:val="27"/>
          <w:szCs w:val="27"/>
        </w:rPr>
        <w:t>8</w:t>
      </w:r>
      <w:r>
        <w:rPr>
          <w:b/>
          <w:bCs/>
          <w:spacing w:val="23"/>
          <w:sz w:val="27"/>
          <w:szCs w:val="27"/>
        </w:rPr>
        <w:t xml:space="preserve">   </w:t>
      </w:r>
      <w:r>
        <w:rPr>
          <w:rFonts w:ascii="黑体" w:hAnsi="黑体" w:eastAsia="黑体" w:cs="黑体"/>
          <w:b/>
          <w:bCs/>
          <w:spacing w:val="-11"/>
          <w:sz w:val="27"/>
          <w:szCs w:val="27"/>
        </w:rPr>
        <w:t>改装工艺性、经济性评价</w:t>
      </w:r>
    </w:p>
    <w:p w14:paraId="47C00DEC">
      <w:pPr>
        <w:spacing w:before="75" w:line="222" w:lineRule="auto"/>
        <w:rPr>
          <w:rFonts w:ascii="黑体" w:hAnsi="黑体" w:eastAsia="黑体" w:cs="黑体"/>
          <w:sz w:val="27"/>
          <w:szCs w:val="27"/>
        </w:rPr>
      </w:pPr>
      <w:r>
        <w:rPr>
          <w:rFonts w:ascii="黑体" w:hAnsi="黑体" w:eastAsia="黑体" w:cs="黑体"/>
          <w:sz w:val="27"/>
          <w:szCs w:val="27"/>
        </w:rPr>
        <w:t xml:space="preserve">8.1  </w:t>
      </w:r>
      <w:r>
        <w:rPr>
          <w:rFonts w:ascii="黑体" w:hAnsi="黑体" w:eastAsia="黑体" w:cs="黑体"/>
          <w:b/>
          <w:bCs/>
          <w:sz w:val="27"/>
          <w:szCs w:val="27"/>
        </w:rPr>
        <w:t>改装工艺性评价</w:t>
      </w:r>
    </w:p>
    <w:p w14:paraId="3DFEC56B">
      <w:pPr>
        <w:spacing w:before="148" w:line="219" w:lineRule="auto"/>
        <w:ind w:right="19"/>
        <w:jc w:val="right"/>
        <w:rPr>
          <w:rFonts w:ascii="宋体" w:hAnsi="宋体" w:eastAsia="宋体" w:cs="宋体"/>
          <w:sz w:val="24"/>
          <w:szCs w:val="24"/>
        </w:rPr>
      </w:pPr>
      <w:r>
        <w:rPr>
          <w:rFonts w:ascii="宋体" w:hAnsi="宋体" w:eastAsia="宋体" w:cs="宋体"/>
          <w:spacing w:val="27"/>
          <w:sz w:val="24"/>
          <w:szCs w:val="24"/>
        </w:rPr>
        <w:t>一般包含改装器材试制情况、工艺主要考核项目及试验情况、试制过程中主</w:t>
      </w:r>
    </w:p>
    <w:p w14:paraId="1CF4C57D">
      <w:pPr>
        <w:spacing w:line="219" w:lineRule="auto"/>
        <w:rPr>
          <w:rFonts w:ascii="宋体" w:hAnsi="宋体" w:eastAsia="宋体" w:cs="宋体"/>
          <w:sz w:val="24"/>
          <w:szCs w:val="24"/>
        </w:rPr>
        <w:sectPr>
          <w:footerReference r:id="rId147" w:type="default"/>
          <w:pgSz w:w="11910" w:h="17130"/>
          <w:pgMar w:top="400" w:right="917" w:bottom="1673" w:left="1619" w:header="0" w:footer="1475" w:gutter="0"/>
          <w:cols w:space="720" w:num="1"/>
        </w:sectPr>
      </w:pPr>
    </w:p>
    <w:p w14:paraId="0F2FFA25">
      <w:pPr>
        <w:pStyle w:val="2"/>
        <w:spacing w:line="256" w:lineRule="auto"/>
      </w:pPr>
    </w:p>
    <w:p w14:paraId="20EF7472">
      <w:pPr>
        <w:pStyle w:val="2"/>
        <w:spacing w:line="256" w:lineRule="auto"/>
      </w:pPr>
    </w:p>
    <w:p w14:paraId="579DF094">
      <w:pPr>
        <w:pStyle w:val="2"/>
        <w:spacing w:line="256" w:lineRule="auto"/>
      </w:pPr>
    </w:p>
    <w:p w14:paraId="10CBED0E">
      <w:pPr>
        <w:pStyle w:val="2"/>
        <w:spacing w:line="256" w:lineRule="auto"/>
      </w:pPr>
    </w:p>
    <w:p w14:paraId="4362DCB0">
      <w:pPr>
        <w:spacing w:before="88" w:line="282" w:lineRule="auto"/>
        <w:ind w:left="135" w:right="16"/>
        <w:jc w:val="both"/>
        <w:rPr>
          <w:rFonts w:ascii="宋体" w:hAnsi="宋体" w:eastAsia="宋体" w:cs="宋体"/>
          <w:sz w:val="27"/>
          <w:szCs w:val="27"/>
        </w:rPr>
      </w:pPr>
      <w:r>
        <w:rPr>
          <w:rFonts w:ascii="宋体" w:hAnsi="宋体" w:eastAsia="宋体" w:cs="宋体"/>
          <w:spacing w:val="-1"/>
          <w:sz w:val="27"/>
          <w:szCs w:val="27"/>
        </w:rPr>
        <w:t>要解决的关键工艺、工艺文件的编制及配套</w:t>
      </w:r>
      <w:r>
        <w:rPr>
          <w:rFonts w:ascii="宋体" w:hAnsi="宋体" w:eastAsia="宋体" w:cs="宋体"/>
          <w:spacing w:val="-2"/>
          <w:sz w:val="27"/>
          <w:szCs w:val="27"/>
        </w:rPr>
        <w:t>情况、工艺装备和专用(检测、试验)</w:t>
      </w:r>
      <w:r>
        <w:rPr>
          <w:rFonts w:ascii="宋体" w:hAnsi="宋体" w:eastAsia="宋体" w:cs="宋体"/>
          <w:sz w:val="27"/>
          <w:szCs w:val="27"/>
        </w:rPr>
        <w:t xml:space="preserve"> </w:t>
      </w:r>
      <w:r>
        <w:rPr>
          <w:rFonts w:ascii="宋体" w:hAnsi="宋体" w:eastAsia="宋体" w:cs="宋体"/>
          <w:spacing w:val="-3"/>
          <w:sz w:val="27"/>
          <w:szCs w:val="27"/>
        </w:rPr>
        <w:t>设备配套情况、生产质量情况、工艺考核结论意见等，可根据改装复杂程度酌情</w:t>
      </w:r>
      <w:r>
        <w:rPr>
          <w:rFonts w:ascii="宋体" w:hAnsi="宋体" w:eastAsia="宋体" w:cs="宋体"/>
          <w:spacing w:val="6"/>
          <w:sz w:val="27"/>
          <w:szCs w:val="27"/>
        </w:rPr>
        <w:t xml:space="preserve"> </w:t>
      </w:r>
      <w:r>
        <w:rPr>
          <w:rFonts w:ascii="宋体" w:hAnsi="宋体" w:eastAsia="宋体" w:cs="宋体"/>
          <w:spacing w:val="-6"/>
          <w:sz w:val="27"/>
          <w:szCs w:val="27"/>
        </w:rPr>
        <w:t>裁减。</w:t>
      </w:r>
    </w:p>
    <w:p w14:paraId="4F53631A">
      <w:pPr>
        <w:spacing w:line="221" w:lineRule="auto"/>
        <w:ind w:left="135"/>
        <w:rPr>
          <w:rFonts w:ascii="黑体" w:hAnsi="黑体" w:eastAsia="黑体" w:cs="黑体"/>
          <w:sz w:val="27"/>
          <w:szCs w:val="27"/>
        </w:rPr>
      </w:pPr>
      <w:r>
        <w:rPr>
          <w:rFonts w:ascii="黑体" w:hAnsi="黑体" w:eastAsia="黑体" w:cs="黑体"/>
          <w:sz w:val="27"/>
          <w:szCs w:val="27"/>
        </w:rPr>
        <w:t>8.</w:t>
      </w:r>
      <w:r>
        <w:rPr>
          <w:rFonts w:ascii="黑体" w:hAnsi="黑体" w:eastAsia="黑体" w:cs="黑体"/>
          <w:b/>
          <w:bCs/>
          <w:sz w:val="27"/>
          <w:szCs w:val="27"/>
        </w:rPr>
        <w:t>2</w:t>
      </w:r>
      <w:r>
        <w:rPr>
          <w:rFonts w:ascii="黑体" w:hAnsi="黑体" w:eastAsia="黑体" w:cs="黑体"/>
          <w:sz w:val="27"/>
          <w:szCs w:val="27"/>
        </w:rPr>
        <w:t xml:space="preserve">  </w:t>
      </w:r>
      <w:r>
        <w:rPr>
          <w:rFonts w:ascii="黑体" w:hAnsi="黑体" w:eastAsia="黑体" w:cs="黑体"/>
          <w:b/>
          <w:bCs/>
          <w:sz w:val="27"/>
          <w:szCs w:val="27"/>
        </w:rPr>
        <w:t>改装经济性评价</w:t>
      </w:r>
    </w:p>
    <w:p w14:paraId="58FE99B7">
      <w:pPr>
        <w:spacing w:before="79" w:line="309" w:lineRule="auto"/>
        <w:ind w:left="135" w:right="33" w:firstLine="560"/>
        <w:rPr>
          <w:rFonts w:ascii="宋体" w:hAnsi="宋体" w:eastAsia="宋体" w:cs="宋体"/>
          <w:sz w:val="25"/>
          <w:szCs w:val="25"/>
        </w:rPr>
      </w:pPr>
      <w:r>
        <w:rPr>
          <w:rFonts w:ascii="宋体" w:hAnsi="宋体" w:eastAsia="宋体" w:cs="宋体"/>
          <w:spacing w:val="17"/>
          <w:sz w:val="25"/>
          <w:szCs w:val="25"/>
        </w:rPr>
        <w:t>一般包含改装经济性设计情况、经济性评价等内容，可视情增加科研改装成</w:t>
      </w:r>
      <w:r>
        <w:rPr>
          <w:rFonts w:ascii="宋体" w:hAnsi="宋体" w:eastAsia="宋体" w:cs="宋体"/>
          <w:spacing w:val="9"/>
          <w:sz w:val="25"/>
          <w:szCs w:val="25"/>
        </w:rPr>
        <w:t xml:space="preserve"> </w:t>
      </w:r>
      <w:r>
        <w:rPr>
          <w:rFonts w:ascii="宋体" w:hAnsi="宋体" w:eastAsia="宋体" w:cs="宋体"/>
          <w:spacing w:val="11"/>
          <w:sz w:val="25"/>
          <w:szCs w:val="25"/>
        </w:rPr>
        <w:t>本计算、批量成本估算等内容。</w:t>
      </w:r>
    </w:p>
    <w:p w14:paraId="6B30BAC8">
      <w:pPr>
        <w:spacing w:line="221" w:lineRule="auto"/>
        <w:ind w:left="135"/>
        <w:rPr>
          <w:rFonts w:ascii="黑体" w:hAnsi="黑体" w:eastAsia="黑体" w:cs="黑体"/>
          <w:sz w:val="27"/>
          <w:szCs w:val="27"/>
        </w:rPr>
      </w:pPr>
      <w:r>
        <w:rPr>
          <w:rFonts w:ascii="黑体" w:hAnsi="黑体" w:eastAsia="黑体" w:cs="黑体"/>
          <w:spacing w:val="3"/>
          <w:sz w:val="27"/>
          <w:szCs w:val="27"/>
        </w:rPr>
        <w:t xml:space="preserve">9  </w:t>
      </w:r>
      <w:r>
        <w:rPr>
          <w:rFonts w:ascii="黑体" w:hAnsi="黑体" w:eastAsia="黑体" w:cs="黑体"/>
          <w:b/>
          <w:bCs/>
          <w:spacing w:val="3"/>
          <w:sz w:val="27"/>
          <w:szCs w:val="27"/>
        </w:rPr>
        <w:t>改装要求满足情况及产品性能达标情况</w:t>
      </w:r>
    </w:p>
    <w:p w14:paraId="61DBE96E">
      <w:pPr>
        <w:spacing w:before="95" w:line="222" w:lineRule="auto"/>
        <w:ind w:left="135"/>
        <w:rPr>
          <w:rFonts w:ascii="黑体" w:hAnsi="黑体" w:eastAsia="黑体" w:cs="黑体"/>
          <w:sz w:val="27"/>
          <w:szCs w:val="27"/>
        </w:rPr>
      </w:pPr>
      <w:r>
        <w:rPr>
          <w:rFonts w:ascii="黑体" w:hAnsi="黑体" w:eastAsia="黑体" w:cs="黑体"/>
          <w:sz w:val="27"/>
          <w:szCs w:val="27"/>
        </w:rPr>
        <w:t xml:space="preserve">9.1  </w:t>
      </w:r>
      <w:r>
        <w:rPr>
          <w:rFonts w:ascii="黑体" w:hAnsi="黑体" w:eastAsia="黑体" w:cs="黑体"/>
          <w:b/>
          <w:bCs/>
          <w:sz w:val="27"/>
          <w:szCs w:val="27"/>
        </w:rPr>
        <w:t>改装要求满足情况</w:t>
      </w:r>
    </w:p>
    <w:p w14:paraId="08A26EFA">
      <w:pPr>
        <w:spacing w:before="89" w:line="219" w:lineRule="auto"/>
        <w:ind w:left="695"/>
        <w:rPr>
          <w:rFonts w:ascii="宋体" w:hAnsi="宋体" w:eastAsia="宋体" w:cs="宋体"/>
          <w:sz w:val="27"/>
          <w:szCs w:val="27"/>
        </w:rPr>
      </w:pPr>
      <w:r>
        <w:rPr>
          <w:rFonts w:ascii="宋体" w:hAnsi="宋体" w:eastAsia="宋体" w:cs="宋体"/>
          <w:sz w:val="27"/>
          <w:szCs w:val="27"/>
        </w:rPr>
        <w:t>简要说明改装实施是否按照规定程序进行，实施结果是否满足改装要求。</w:t>
      </w:r>
    </w:p>
    <w:p w14:paraId="6EFD12FA">
      <w:pPr>
        <w:spacing w:before="96" w:line="222" w:lineRule="auto"/>
        <w:ind w:left="135"/>
        <w:rPr>
          <w:rFonts w:ascii="黑体" w:hAnsi="黑体" w:eastAsia="黑体" w:cs="黑体"/>
          <w:sz w:val="27"/>
          <w:szCs w:val="27"/>
        </w:rPr>
      </w:pPr>
      <w:r>
        <w:rPr>
          <w:rFonts w:ascii="黑体" w:hAnsi="黑体" w:eastAsia="黑体" w:cs="黑体"/>
          <w:spacing w:val="2"/>
          <w:sz w:val="27"/>
          <w:szCs w:val="27"/>
        </w:rPr>
        <w:t xml:space="preserve">9.2  </w:t>
      </w:r>
      <w:r>
        <w:rPr>
          <w:rFonts w:ascii="黑体" w:hAnsi="黑体" w:eastAsia="黑体" w:cs="黑体"/>
          <w:b/>
          <w:bCs/>
          <w:spacing w:val="2"/>
          <w:sz w:val="27"/>
          <w:szCs w:val="27"/>
        </w:rPr>
        <w:t>产品性能达到情况</w:t>
      </w:r>
    </w:p>
    <w:p w14:paraId="16C7A037">
      <w:pPr>
        <w:spacing w:before="88" w:line="279" w:lineRule="auto"/>
        <w:ind w:left="135" w:right="31" w:firstLine="560"/>
        <w:jc w:val="both"/>
        <w:rPr>
          <w:rFonts w:ascii="宋体" w:hAnsi="宋体" w:eastAsia="宋体" w:cs="宋体"/>
          <w:sz w:val="27"/>
          <w:szCs w:val="27"/>
        </w:rPr>
      </w:pPr>
      <w:r>
        <w:rPr>
          <w:rFonts w:ascii="宋体" w:hAnsi="宋体" w:eastAsia="宋体" w:cs="宋体"/>
          <w:spacing w:val="-3"/>
          <w:sz w:val="27"/>
          <w:szCs w:val="27"/>
        </w:rPr>
        <w:t>应对照批准的研制总要求、产品设计定型技术状态、研制任务书，以表格形</w:t>
      </w:r>
      <w:r>
        <w:rPr>
          <w:rFonts w:ascii="宋体" w:hAnsi="宋体" w:eastAsia="宋体" w:cs="宋体"/>
          <w:spacing w:val="10"/>
          <w:sz w:val="27"/>
          <w:szCs w:val="27"/>
        </w:rPr>
        <w:t xml:space="preserve"> </w:t>
      </w:r>
      <w:r>
        <w:rPr>
          <w:rFonts w:ascii="宋体" w:hAnsi="宋体" w:eastAsia="宋体" w:cs="宋体"/>
          <w:spacing w:val="6"/>
          <w:sz w:val="27"/>
          <w:szCs w:val="27"/>
        </w:rPr>
        <w:t>式对比说明产品的战术技术性能要求以及实际达到的水平，实际水平应给</w:t>
      </w:r>
      <w:r>
        <w:rPr>
          <w:rFonts w:ascii="宋体" w:hAnsi="宋体" w:eastAsia="宋体" w:cs="宋体"/>
          <w:spacing w:val="5"/>
          <w:sz w:val="27"/>
          <w:szCs w:val="27"/>
        </w:rPr>
        <w:t>出实</w:t>
      </w:r>
      <w:r>
        <w:rPr>
          <w:rFonts w:ascii="宋体" w:hAnsi="宋体" w:eastAsia="宋体" w:cs="宋体"/>
          <w:sz w:val="27"/>
          <w:szCs w:val="27"/>
        </w:rPr>
        <w:t xml:space="preserve"> </w:t>
      </w:r>
      <w:r>
        <w:rPr>
          <w:rFonts w:ascii="宋体" w:hAnsi="宋体" w:eastAsia="宋体" w:cs="宋体"/>
          <w:spacing w:val="7"/>
          <w:sz w:val="27"/>
          <w:szCs w:val="27"/>
        </w:rPr>
        <w:t>测值。战术技术性能指标对照表见表1.10。</w:t>
      </w:r>
    </w:p>
    <w:p w14:paraId="624124C0">
      <w:pPr>
        <w:spacing w:before="43" w:line="220" w:lineRule="auto"/>
        <w:ind w:left="2754"/>
        <w:rPr>
          <w:rFonts w:ascii="仿宋" w:hAnsi="仿宋" w:eastAsia="仿宋" w:cs="仿宋"/>
          <w:sz w:val="24"/>
          <w:szCs w:val="24"/>
        </w:rPr>
      </w:pPr>
      <w:r>
        <w:rPr>
          <w:rFonts w:ascii="仿宋" w:hAnsi="仿宋" w:eastAsia="仿宋" w:cs="仿宋"/>
          <w:spacing w:val="27"/>
          <w:sz w:val="24"/>
          <w:szCs w:val="24"/>
        </w:rPr>
        <w:t>表1</w:t>
      </w:r>
      <w:r>
        <w:rPr>
          <w:rFonts w:ascii="仿宋" w:hAnsi="仿宋" w:eastAsia="仿宋" w:cs="仿宋"/>
          <w:spacing w:val="-59"/>
          <w:sz w:val="24"/>
          <w:szCs w:val="24"/>
        </w:rPr>
        <w:t xml:space="preserve"> </w:t>
      </w:r>
      <w:r>
        <w:rPr>
          <w:rFonts w:ascii="仿宋" w:hAnsi="仿宋" w:eastAsia="仿宋" w:cs="仿宋"/>
          <w:spacing w:val="27"/>
          <w:sz w:val="24"/>
          <w:szCs w:val="24"/>
        </w:rPr>
        <w:t>.</w:t>
      </w:r>
      <w:r>
        <w:rPr>
          <w:rFonts w:ascii="仿宋" w:hAnsi="仿宋" w:eastAsia="仿宋" w:cs="仿宋"/>
          <w:spacing w:val="-52"/>
          <w:sz w:val="24"/>
          <w:szCs w:val="24"/>
        </w:rPr>
        <w:t xml:space="preserve"> </w:t>
      </w:r>
      <w:r>
        <w:rPr>
          <w:rFonts w:ascii="仿宋" w:hAnsi="仿宋" w:eastAsia="仿宋" w:cs="仿宋"/>
          <w:spacing w:val="27"/>
          <w:sz w:val="24"/>
          <w:szCs w:val="24"/>
        </w:rPr>
        <w:t>10</w:t>
      </w:r>
      <w:r>
        <w:rPr>
          <w:rFonts w:ascii="仿宋" w:hAnsi="仿宋" w:eastAsia="仿宋" w:cs="仿宋"/>
          <w:spacing w:val="8"/>
          <w:sz w:val="24"/>
          <w:szCs w:val="24"/>
        </w:rPr>
        <w:t xml:space="preserve">  </w:t>
      </w:r>
      <w:r>
        <w:rPr>
          <w:rFonts w:ascii="仿宋" w:hAnsi="仿宋" w:eastAsia="仿宋" w:cs="仿宋"/>
          <w:spacing w:val="27"/>
          <w:sz w:val="24"/>
          <w:szCs w:val="24"/>
        </w:rPr>
        <w:t>战术技术性能指标对照表</w:t>
      </w:r>
    </w:p>
    <w:p w14:paraId="035C30F7">
      <w:pPr>
        <w:spacing w:line="124" w:lineRule="exact"/>
      </w:pPr>
    </w:p>
    <w:tbl>
      <w:tblPr>
        <w:tblStyle w:val="5"/>
        <w:tblW w:w="9379"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2497"/>
        <w:gridCol w:w="1678"/>
        <w:gridCol w:w="1678"/>
        <w:gridCol w:w="1249"/>
        <w:gridCol w:w="1223"/>
      </w:tblGrid>
      <w:tr w14:paraId="7292C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1054" w:type="dxa"/>
            <w:vAlign w:val="top"/>
          </w:tcPr>
          <w:p w14:paraId="1B615306">
            <w:pPr>
              <w:spacing w:before="104" w:line="221" w:lineRule="auto"/>
              <w:ind w:left="285"/>
              <w:rPr>
                <w:rFonts w:ascii="宋体" w:hAnsi="宋体" w:eastAsia="宋体" w:cs="宋体"/>
                <w:sz w:val="21"/>
                <w:szCs w:val="21"/>
              </w:rPr>
            </w:pPr>
            <w:r>
              <w:rPr>
                <w:rFonts w:ascii="宋体" w:hAnsi="宋体" w:eastAsia="宋体" w:cs="宋体"/>
                <w:spacing w:val="6"/>
                <w:sz w:val="21"/>
                <w:szCs w:val="21"/>
              </w:rPr>
              <w:t>序号</w:t>
            </w:r>
          </w:p>
        </w:tc>
        <w:tc>
          <w:tcPr>
            <w:tcW w:w="2497" w:type="dxa"/>
            <w:vAlign w:val="top"/>
          </w:tcPr>
          <w:p w14:paraId="55C88885">
            <w:pPr>
              <w:spacing w:before="104" w:line="220" w:lineRule="auto"/>
              <w:ind w:left="961"/>
              <w:rPr>
                <w:rFonts w:ascii="宋体" w:hAnsi="宋体" w:eastAsia="宋体" w:cs="宋体"/>
                <w:sz w:val="21"/>
                <w:szCs w:val="21"/>
              </w:rPr>
            </w:pPr>
            <w:r>
              <w:rPr>
                <w:rFonts w:ascii="宋体" w:hAnsi="宋体" w:eastAsia="宋体" w:cs="宋体"/>
                <w:spacing w:val="-6"/>
                <w:sz w:val="21"/>
                <w:szCs w:val="21"/>
              </w:rPr>
              <w:t>项</w:t>
            </w:r>
            <w:r>
              <w:rPr>
                <w:rFonts w:ascii="宋体" w:hAnsi="宋体" w:eastAsia="宋体" w:cs="宋体"/>
                <w:spacing w:val="14"/>
                <w:sz w:val="21"/>
                <w:szCs w:val="21"/>
              </w:rPr>
              <w:t xml:space="preserve">  </w:t>
            </w:r>
            <w:r>
              <w:rPr>
                <w:rFonts w:ascii="宋体" w:hAnsi="宋体" w:eastAsia="宋体" w:cs="宋体"/>
                <w:spacing w:val="-6"/>
                <w:sz w:val="21"/>
                <w:szCs w:val="21"/>
              </w:rPr>
              <w:t>目</w:t>
            </w:r>
          </w:p>
        </w:tc>
        <w:tc>
          <w:tcPr>
            <w:tcW w:w="1678" w:type="dxa"/>
            <w:vAlign w:val="top"/>
          </w:tcPr>
          <w:p w14:paraId="6D219924">
            <w:pPr>
              <w:spacing w:before="104" w:line="220" w:lineRule="auto"/>
              <w:ind w:left="413"/>
              <w:rPr>
                <w:rFonts w:ascii="宋体" w:hAnsi="宋体" w:eastAsia="宋体" w:cs="宋体"/>
                <w:sz w:val="21"/>
                <w:szCs w:val="21"/>
              </w:rPr>
            </w:pPr>
            <w:r>
              <w:rPr>
                <w:rFonts w:ascii="宋体" w:hAnsi="宋体" w:eastAsia="宋体" w:cs="宋体"/>
                <w:spacing w:val="2"/>
                <w:sz w:val="21"/>
                <w:szCs w:val="21"/>
              </w:rPr>
              <w:t>指标要求</w:t>
            </w:r>
          </w:p>
        </w:tc>
        <w:tc>
          <w:tcPr>
            <w:tcW w:w="1678" w:type="dxa"/>
            <w:vAlign w:val="top"/>
          </w:tcPr>
          <w:p w14:paraId="6EEEE0C9">
            <w:pPr>
              <w:spacing w:before="104" w:line="220" w:lineRule="auto"/>
              <w:ind w:left="325"/>
              <w:rPr>
                <w:rFonts w:ascii="宋体" w:hAnsi="宋体" w:eastAsia="宋体" w:cs="宋体"/>
                <w:sz w:val="21"/>
                <w:szCs w:val="21"/>
              </w:rPr>
            </w:pPr>
            <w:r>
              <w:rPr>
                <w:rFonts w:ascii="宋体" w:hAnsi="宋体" w:eastAsia="宋体" w:cs="宋体"/>
                <w:spacing w:val="-2"/>
                <w:sz w:val="21"/>
                <w:szCs w:val="21"/>
              </w:rPr>
              <w:t>达到的情况</w:t>
            </w:r>
          </w:p>
        </w:tc>
        <w:tc>
          <w:tcPr>
            <w:tcW w:w="1249" w:type="dxa"/>
            <w:vAlign w:val="top"/>
          </w:tcPr>
          <w:p w14:paraId="02BDAB3A">
            <w:pPr>
              <w:spacing w:before="104" w:line="221" w:lineRule="auto"/>
              <w:ind w:left="357"/>
              <w:rPr>
                <w:rFonts w:ascii="宋体" w:hAnsi="宋体" w:eastAsia="宋体" w:cs="宋体"/>
                <w:sz w:val="21"/>
                <w:szCs w:val="21"/>
              </w:rPr>
            </w:pPr>
            <w:r>
              <w:rPr>
                <w:rFonts w:ascii="宋体" w:hAnsi="宋体" w:eastAsia="宋体" w:cs="宋体"/>
                <w:spacing w:val="-7"/>
                <w:sz w:val="21"/>
                <w:szCs w:val="21"/>
              </w:rPr>
              <w:t>结</w:t>
            </w:r>
            <w:r>
              <w:rPr>
                <w:rFonts w:ascii="宋体" w:hAnsi="宋体" w:eastAsia="宋体" w:cs="宋体"/>
                <w:spacing w:val="67"/>
                <w:sz w:val="21"/>
                <w:szCs w:val="21"/>
              </w:rPr>
              <w:t xml:space="preserve"> </w:t>
            </w:r>
            <w:r>
              <w:rPr>
                <w:rFonts w:ascii="宋体" w:hAnsi="宋体" w:eastAsia="宋体" w:cs="宋体"/>
                <w:spacing w:val="-7"/>
                <w:sz w:val="21"/>
                <w:szCs w:val="21"/>
              </w:rPr>
              <w:t>论</w:t>
            </w:r>
          </w:p>
        </w:tc>
        <w:tc>
          <w:tcPr>
            <w:tcW w:w="1223" w:type="dxa"/>
            <w:vAlign w:val="top"/>
          </w:tcPr>
          <w:p w14:paraId="77C886A9">
            <w:pPr>
              <w:spacing w:before="104" w:line="221" w:lineRule="auto"/>
              <w:ind w:left="408"/>
              <w:rPr>
                <w:rFonts w:ascii="宋体" w:hAnsi="宋体" w:eastAsia="宋体" w:cs="宋体"/>
                <w:sz w:val="21"/>
                <w:szCs w:val="21"/>
              </w:rPr>
            </w:pPr>
            <w:r>
              <w:rPr>
                <w:rFonts w:ascii="宋体" w:hAnsi="宋体" w:eastAsia="宋体" w:cs="宋体"/>
                <w:spacing w:val="5"/>
                <w:sz w:val="21"/>
                <w:szCs w:val="21"/>
              </w:rPr>
              <w:t>备注</w:t>
            </w:r>
          </w:p>
        </w:tc>
      </w:tr>
      <w:tr w14:paraId="16ED8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054" w:type="dxa"/>
            <w:vAlign w:val="top"/>
          </w:tcPr>
          <w:p w14:paraId="72B07E12">
            <w:pPr>
              <w:rPr>
                <w:rFonts w:ascii="Arial"/>
                <w:sz w:val="21"/>
              </w:rPr>
            </w:pPr>
          </w:p>
        </w:tc>
        <w:tc>
          <w:tcPr>
            <w:tcW w:w="2497" w:type="dxa"/>
            <w:vAlign w:val="top"/>
          </w:tcPr>
          <w:p w14:paraId="15808F58">
            <w:pPr>
              <w:rPr>
                <w:rFonts w:ascii="Arial"/>
                <w:sz w:val="21"/>
              </w:rPr>
            </w:pPr>
          </w:p>
        </w:tc>
        <w:tc>
          <w:tcPr>
            <w:tcW w:w="1678" w:type="dxa"/>
            <w:vAlign w:val="top"/>
          </w:tcPr>
          <w:p w14:paraId="2A7B3204">
            <w:pPr>
              <w:rPr>
                <w:rFonts w:ascii="Arial"/>
                <w:sz w:val="21"/>
              </w:rPr>
            </w:pPr>
          </w:p>
        </w:tc>
        <w:tc>
          <w:tcPr>
            <w:tcW w:w="1678" w:type="dxa"/>
            <w:vAlign w:val="top"/>
          </w:tcPr>
          <w:p w14:paraId="72648EA6">
            <w:pPr>
              <w:rPr>
                <w:rFonts w:ascii="Arial"/>
                <w:sz w:val="21"/>
              </w:rPr>
            </w:pPr>
          </w:p>
        </w:tc>
        <w:tc>
          <w:tcPr>
            <w:tcW w:w="1249" w:type="dxa"/>
            <w:vAlign w:val="top"/>
          </w:tcPr>
          <w:p w14:paraId="1505BF63">
            <w:pPr>
              <w:rPr>
                <w:rFonts w:ascii="Arial"/>
                <w:sz w:val="21"/>
              </w:rPr>
            </w:pPr>
          </w:p>
        </w:tc>
        <w:tc>
          <w:tcPr>
            <w:tcW w:w="1223" w:type="dxa"/>
            <w:vAlign w:val="top"/>
          </w:tcPr>
          <w:p w14:paraId="1584AA55">
            <w:pPr>
              <w:rPr>
                <w:rFonts w:ascii="Arial"/>
                <w:sz w:val="21"/>
              </w:rPr>
            </w:pPr>
          </w:p>
        </w:tc>
      </w:tr>
      <w:tr w14:paraId="61729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1054" w:type="dxa"/>
            <w:vAlign w:val="top"/>
          </w:tcPr>
          <w:p w14:paraId="3C4C782D">
            <w:pPr>
              <w:rPr>
                <w:rFonts w:ascii="Arial"/>
                <w:sz w:val="21"/>
              </w:rPr>
            </w:pPr>
          </w:p>
        </w:tc>
        <w:tc>
          <w:tcPr>
            <w:tcW w:w="2497" w:type="dxa"/>
            <w:vAlign w:val="top"/>
          </w:tcPr>
          <w:p w14:paraId="35B8303A">
            <w:pPr>
              <w:rPr>
                <w:rFonts w:ascii="Arial"/>
                <w:sz w:val="21"/>
              </w:rPr>
            </w:pPr>
          </w:p>
        </w:tc>
        <w:tc>
          <w:tcPr>
            <w:tcW w:w="1678" w:type="dxa"/>
            <w:vAlign w:val="top"/>
          </w:tcPr>
          <w:p w14:paraId="4ED0F832">
            <w:pPr>
              <w:rPr>
                <w:rFonts w:ascii="Arial"/>
                <w:sz w:val="21"/>
              </w:rPr>
            </w:pPr>
          </w:p>
        </w:tc>
        <w:tc>
          <w:tcPr>
            <w:tcW w:w="1678" w:type="dxa"/>
            <w:vAlign w:val="top"/>
          </w:tcPr>
          <w:p w14:paraId="3206DD24">
            <w:pPr>
              <w:rPr>
                <w:rFonts w:ascii="Arial"/>
                <w:sz w:val="21"/>
              </w:rPr>
            </w:pPr>
          </w:p>
        </w:tc>
        <w:tc>
          <w:tcPr>
            <w:tcW w:w="1249" w:type="dxa"/>
            <w:vAlign w:val="top"/>
          </w:tcPr>
          <w:p w14:paraId="106B9007">
            <w:pPr>
              <w:rPr>
                <w:rFonts w:ascii="Arial"/>
                <w:sz w:val="21"/>
              </w:rPr>
            </w:pPr>
          </w:p>
        </w:tc>
        <w:tc>
          <w:tcPr>
            <w:tcW w:w="1223" w:type="dxa"/>
            <w:vAlign w:val="top"/>
          </w:tcPr>
          <w:p w14:paraId="663655AA">
            <w:pPr>
              <w:rPr>
                <w:rFonts w:ascii="Arial"/>
                <w:sz w:val="21"/>
              </w:rPr>
            </w:pPr>
          </w:p>
        </w:tc>
      </w:tr>
    </w:tbl>
    <w:p w14:paraId="134C8FC9">
      <w:pPr>
        <w:spacing w:before="196" w:line="219" w:lineRule="auto"/>
        <w:ind w:left="695"/>
        <w:rPr>
          <w:rFonts w:ascii="宋体" w:hAnsi="宋体" w:eastAsia="宋体" w:cs="宋体"/>
          <w:sz w:val="27"/>
          <w:szCs w:val="27"/>
        </w:rPr>
      </w:pPr>
      <w:r>
        <w:rPr>
          <w:rFonts w:ascii="宋体" w:hAnsi="宋体" w:eastAsia="宋体" w:cs="宋体"/>
          <w:spacing w:val="-1"/>
          <w:sz w:val="27"/>
          <w:szCs w:val="27"/>
        </w:rPr>
        <w:t>表格填写说明：</w:t>
      </w:r>
    </w:p>
    <w:p w14:paraId="1AD952E6">
      <w:pPr>
        <w:spacing w:before="98" w:line="219" w:lineRule="auto"/>
        <w:ind w:left="560"/>
        <w:rPr>
          <w:rFonts w:ascii="宋体" w:hAnsi="宋体" w:eastAsia="宋体" w:cs="宋体"/>
          <w:sz w:val="27"/>
          <w:szCs w:val="27"/>
        </w:rPr>
      </w:pPr>
      <w:r>
        <w:rPr>
          <w:rFonts w:ascii="宋体" w:hAnsi="宋体" w:eastAsia="宋体" w:cs="宋体"/>
          <w:spacing w:val="-12"/>
          <w:sz w:val="27"/>
          <w:szCs w:val="27"/>
        </w:rPr>
        <w:t>“序号”栏：用阿拉伯数字顺序填写。</w:t>
      </w:r>
    </w:p>
    <w:p w14:paraId="12A0ED36">
      <w:pPr>
        <w:spacing w:before="102" w:line="219" w:lineRule="auto"/>
        <w:ind w:left="560"/>
        <w:rPr>
          <w:rFonts w:ascii="宋体" w:hAnsi="宋体" w:eastAsia="宋体" w:cs="宋体"/>
          <w:sz w:val="27"/>
          <w:szCs w:val="27"/>
        </w:rPr>
      </w:pPr>
      <w:r>
        <w:rPr>
          <w:rFonts w:ascii="宋体" w:hAnsi="宋体" w:eastAsia="宋体" w:cs="宋体"/>
          <w:spacing w:val="-5"/>
          <w:sz w:val="27"/>
          <w:szCs w:val="27"/>
        </w:rPr>
        <w:t>“项目”栏：一般按批准的主要战术技术指标的项目及顺序填写。</w:t>
      </w:r>
    </w:p>
    <w:p w14:paraId="68BBC2FA">
      <w:pPr>
        <w:spacing w:before="99" w:line="219" w:lineRule="auto"/>
        <w:ind w:left="560"/>
        <w:rPr>
          <w:rFonts w:ascii="宋体" w:hAnsi="宋体" w:eastAsia="宋体" w:cs="宋体"/>
          <w:sz w:val="27"/>
          <w:szCs w:val="27"/>
        </w:rPr>
      </w:pPr>
      <w:r>
        <w:rPr>
          <w:rFonts w:ascii="宋体" w:hAnsi="宋体" w:eastAsia="宋体" w:cs="宋体"/>
          <w:spacing w:val="-9"/>
          <w:sz w:val="27"/>
          <w:szCs w:val="27"/>
        </w:rPr>
        <w:t>“指标要求”栏：填写批准的主要战术技术指标。</w:t>
      </w:r>
    </w:p>
    <w:p w14:paraId="31D07F1B">
      <w:pPr>
        <w:spacing w:before="77" w:line="280" w:lineRule="auto"/>
        <w:ind w:right="55" w:firstLine="560"/>
        <w:rPr>
          <w:rFonts w:ascii="宋体" w:hAnsi="宋体" w:eastAsia="宋体" w:cs="宋体"/>
          <w:sz w:val="27"/>
          <w:szCs w:val="27"/>
        </w:rPr>
      </w:pPr>
      <w:r>
        <w:rPr>
          <w:rFonts w:ascii="宋体" w:hAnsi="宋体" w:eastAsia="宋体" w:cs="宋体"/>
          <w:spacing w:val="9"/>
          <w:sz w:val="27"/>
          <w:szCs w:val="27"/>
        </w:rPr>
        <w:t>“达到的情况”栏：根据产品具体检验和试验结果填写。对定量</w:t>
      </w:r>
      <w:r>
        <w:rPr>
          <w:rFonts w:ascii="宋体" w:hAnsi="宋体" w:eastAsia="宋体" w:cs="宋体"/>
          <w:spacing w:val="8"/>
          <w:sz w:val="27"/>
          <w:szCs w:val="27"/>
        </w:rPr>
        <w:t>指标，进</w:t>
      </w:r>
      <w:r>
        <w:rPr>
          <w:rFonts w:ascii="宋体" w:hAnsi="宋体" w:eastAsia="宋体" w:cs="宋体"/>
          <w:sz w:val="27"/>
          <w:szCs w:val="27"/>
        </w:rPr>
        <w:t xml:space="preserve"> </w:t>
      </w:r>
      <w:r>
        <w:rPr>
          <w:rFonts w:ascii="宋体" w:hAnsi="宋体" w:eastAsia="宋体" w:cs="宋体"/>
          <w:spacing w:val="1"/>
          <w:sz w:val="27"/>
          <w:szCs w:val="27"/>
        </w:rPr>
        <w:t>行定量描述，采用“优于××”或“典型值为××”表示；对定性指标，填写实</w:t>
      </w:r>
      <w:r>
        <w:rPr>
          <w:rFonts w:ascii="宋体" w:hAnsi="宋体" w:eastAsia="宋体" w:cs="宋体"/>
          <w:spacing w:val="2"/>
          <w:sz w:val="27"/>
          <w:szCs w:val="27"/>
        </w:rPr>
        <w:t xml:space="preserve"> </w:t>
      </w:r>
      <w:r>
        <w:rPr>
          <w:rFonts w:ascii="宋体" w:hAnsi="宋体" w:eastAsia="宋体" w:cs="宋体"/>
          <w:spacing w:val="9"/>
          <w:sz w:val="27"/>
          <w:szCs w:val="27"/>
        </w:rPr>
        <w:t>际达到的情况，采用“能××”或“具有××功能”的典型用语，不能只填写</w:t>
      </w:r>
      <w:r>
        <w:rPr>
          <w:rFonts w:ascii="宋体" w:hAnsi="宋体" w:eastAsia="宋体" w:cs="宋体"/>
          <w:spacing w:val="7"/>
          <w:sz w:val="27"/>
          <w:szCs w:val="27"/>
        </w:rPr>
        <w:t xml:space="preserve"> </w:t>
      </w:r>
      <w:r>
        <w:rPr>
          <w:rFonts w:ascii="宋体" w:hAnsi="宋体" w:eastAsia="宋体" w:cs="宋体"/>
          <w:spacing w:val="-13"/>
          <w:sz w:val="27"/>
          <w:szCs w:val="27"/>
        </w:rPr>
        <w:t>“达到”。</w:t>
      </w:r>
    </w:p>
    <w:p w14:paraId="57F229CA">
      <w:pPr>
        <w:spacing w:before="33" w:line="218" w:lineRule="auto"/>
        <w:ind w:left="560"/>
        <w:rPr>
          <w:rFonts w:ascii="宋体" w:hAnsi="宋体" w:eastAsia="宋体" w:cs="宋体"/>
          <w:sz w:val="27"/>
          <w:szCs w:val="27"/>
        </w:rPr>
      </w:pPr>
      <w:r>
        <w:rPr>
          <w:rFonts w:ascii="宋体" w:hAnsi="宋体" w:eastAsia="宋体" w:cs="宋体"/>
          <w:spacing w:val="-32"/>
          <w:sz w:val="27"/>
          <w:szCs w:val="27"/>
        </w:rPr>
        <w:t>“结论”栏：对每一个项目进行评价，如实填写：“达到”、“未达到</w:t>
      </w:r>
      <w:r>
        <w:rPr>
          <w:rFonts w:ascii="宋体" w:hAnsi="宋体" w:eastAsia="宋体" w:cs="宋体"/>
          <w:spacing w:val="-33"/>
          <w:sz w:val="27"/>
          <w:szCs w:val="27"/>
        </w:rPr>
        <w:t>”。</w:t>
      </w:r>
    </w:p>
    <w:p w14:paraId="60F0B926">
      <w:pPr>
        <w:spacing w:before="74" w:line="280" w:lineRule="auto"/>
        <w:ind w:left="135" w:right="33" w:firstLine="425"/>
        <w:rPr>
          <w:rFonts w:ascii="宋体" w:hAnsi="宋体" w:eastAsia="宋体" w:cs="宋体"/>
          <w:sz w:val="27"/>
          <w:szCs w:val="27"/>
        </w:rPr>
      </w:pPr>
      <w:r>
        <w:rPr>
          <w:rFonts w:ascii="宋体" w:hAnsi="宋体" w:eastAsia="宋体" w:cs="宋体"/>
          <w:spacing w:val="-6"/>
          <w:sz w:val="27"/>
          <w:szCs w:val="27"/>
        </w:rPr>
        <w:t>“备注”栏：说明考核方式，是试验基地试验</w:t>
      </w:r>
      <w:r>
        <w:rPr>
          <w:rFonts w:ascii="宋体" w:hAnsi="宋体" w:eastAsia="宋体" w:cs="宋体"/>
          <w:spacing w:val="-7"/>
          <w:sz w:val="27"/>
          <w:szCs w:val="27"/>
        </w:rPr>
        <w:t>还是部队试验试用，(如有)可提</w:t>
      </w:r>
      <w:r>
        <w:rPr>
          <w:rFonts w:ascii="宋体" w:hAnsi="宋体" w:eastAsia="宋体" w:cs="宋体"/>
          <w:sz w:val="27"/>
          <w:szCs w:val="27"/>
        </w:rPr>
        <w:t xml:space="preserve"> 供试验报告编号。</w:t>
      </w:r>
    </w:p>
    <w:p w14:paraId="34345947">
      <w:pPr>
        <w:spacing w:before="34" w:line="222" w:lineRule="auto"/>
        <w:ind w:left="135"/>
        <w:rPr>
          <w:rFonts w:ascii="黑体" w:hAnsi="黑体" w:eastAsia="黑体" w:cs="黑体"/>
          <w:sz w:val="24"/>
          <w:szCs w:val="24"/>
        </w:rPr>
      </w:pPr>
      <w:r>
        <w:rPr>
          <w:rFonts w:ascii="黑体" w:hAnsi="黑体" w:eastAsia="黑体" w:cs="黑体"/>
          <w:spacing w:val="23"/>
          <w:sz w:val="24"/>
          <w:szCs w:val="24"/>
        </w:rPr>
        <w:t>10</w:t>
      </w:r>
      <w:r>
        <w:rPr>
          <w:rFonts w:ascii="黑体" w:hAnsi="黑体" w:eastAsia="黑体" w:cs="黑体"/>
          <w:spacing w:val="55"/>
          <w:sz w:val="24"/>
          <w:szCs w:val="24"/>
        </w:rPr>
        <w:t xml:space="preserve">  </w:t>
      </w:r>
      <w:r>
        <w:rPr>
          <w:rFonts w:ascii="黑体" w:hAnsi="黑体" w:eastAsia="黑体" w:cs="黑体"/>
          <w:b/>
          <w:bCs/>
          <w:spacing w:val="23"/>
          <w:sz w:val="24"/>
          <w:szCs w:val="24"/>
        </w:rPr>
        <w:t>尚存问题及解决措施</w:t>
      </w:r>
    </w:p>
    <w:p w14:paraId="084B6C2D">
      <w:pPr>
        <w:spacing w:before="111" w:line="222" w:lineRule="auto"/>
        <w:ind w:left="135"/>
        <w:rPr>
          <w:rFonts w:ascii="黑体" w:hAnsi="黑体" w:eastAsia="黑体" w:cs="黑体"/>
          <w:sz w:val="24"/>
          <w:szCs w:val="24"/>
        </w:rPr>
      </w:pPr>
      <w:r>
        <w:rPr>
          <w:rFonts w:ascii="黑体" w:hAnsi="黑体" w:eastAsia="黑体" w:cs="黑体"/>
          <w:spacing w:val="14"/>
          <w:sz w:val="24"/>
          <w:szCs w:val="24"/>
        </w:rPr>
        <w:t>10.1</w:t>
      </w:r>
      <w:r>
        <w:rPr>
          <w:rFonts w:ascii="黑体" w:hAnsi="黑体" w:eastAsia="黑体" w:cs="黑体"/>
          <w:spacing w:val="1"/>
          <w:sz w:val="24"/>
          <w:szCs w:val="24"/>
        </w:rPr>
        <w:t xml:space="preserve">   </w:t>
      </w:r>
      <w:r>
        <w:rPr>
          <w:rFonts w:ascii="黑体" w:hAnsi="黑体" w:eastAsia="黑体" w:cs="黑体"/>
          <w:b/>
          <w:bCs/>
          <w:spacing w:val="14"/>
          <w:sz w:val="24"/>
          <w:szCs w:val="24"/>
        </w:rPr>
        <w:t>尚存问题</w:t>
      </w:r>
    </w:p>
    <w:p w14:paraId="0EF301F6">
      <w:pPr>
        <w:pStyle w:val="2"/>
        <w:spacing w:before="87" w:line="327" w:lineRule="exact"/>
        <w:ind w:left="135"/>
        <w:rPr>
          <w:rFonts w:ascii="黑体" w:hAnsi="黑体" w:eastAsia="黑体" w:cs="黑体"/>
          <w:sz w:val="24"/>
          <w:szCs w:val="24"/>
        </w:rPr>
      </w:pPr>
      <w:r>
        <w:rPr>
          <w:spacing w:val="19"/>
          <w:position w:val="2"/>
          <w:sz w:val="24"/>
          <w:szCs w:val="24"/>
        </w:rPr>
        <w:t xml:space="preserve">10.1.X      </w:t>
      </w:r>
      <w:r>
        <w:rPr>
          <w:rFonts w:ascii="黑体" w:hAnsi="黑体" w:eastAsia="黑体" w:cs="黑体"/>
          <w:b/>
          <w:bCs/>
          <w:spacing w:val="19"/>
          <w:position w:val="2"/>
          <w:sz w:val="24"/>
          <w:szCs w:val="24"/>
        </w:rPr>
        <w:t>(产品尚存问题</w:t>
      </w:r>
      <w:r>
        <w:rPr>
          <w:b/>
          <w:bCs/>
          <w:spacing w:val="19"/>
          <w:position w:val="2"/>
          <w:sz w:val="24"/>
          <w:szCs w:val="24"/>
        </w:rPr>
        <w:t>X</w:t>
      </w:r>
      <w:r>
        <w:rPr>
          <w:b/>
          <w:bCs/>
          <w:spacing w:val="18"/>
          <w:position w:val="2"/>
          <w:sz w:val="24"/>
          <w:szCs w:val="24"/>
        </w:rPr>
        <w:t>)</w:t>
      </w:r>
      <w:r>
        <w:rPr>
          <w:b/>
          <w:bCs/>
          <w:spacing w:val="27"/>
          <w:w w:val="101"/>
          <w:position w:val="2"/>
          <w:sz w:val="24"/>
          <w:szCs w:val="24"/>
        </w:rPr>
        <w:t xml:space="preserve"> </w:t>
      </w:r>
      <w:r>
        <w:rPr>
          <w:rFonts w:ascii="黑体" w:hAnsi="黑体" w:eastAsia="黑体" w:cs="黑体"/>
          <w:b/>
          <w:bCs/>
          <w:spacing w:val="18"/>
          <w:position w:val="2"/>
          <w:sz w:val="24"/>
          <w:szCs w:val="24"/>
        </w:rPr>
        <w:t>及解决措施</w:t>
      </w:r>
    </w:p>
    <w:p w14:paraId="1C53933A">
      <w:pPr>
        <w:spacing w:before="102" w:line="320" w:lineRule="auto"/>
        <w:ind w:left="135" w:right="32" w:firstLine="560"/>
        <w:rPr>
          <w:rFonts w:ascii="宋体" w:hAnsi="宋体" w:eastAsia="宋体" w:cs="宋体"/>
          <w:sz w:val="25"/>
          <w:szCs w:val="25"/>
        </w:rPr>
      </w:pPr>
      <w:r>
        <w:rPr>
          <w:rFonts w:ascii="宋体" w:hAnsi="宋体" w:eastAsia="宋体" w:cs="宋体"/>
          <w:spacing w:val="17"/>
          <w:sz w:val="25"/>
          <w:szCs w:val="25"/>
        </w:rPr>
        <w:t>应将产品或改装工作尚存在的主要问题、对装备的影响、拟采取的解决措施</w:t>
      </w:r>
      <w:r>
        <w:rPr>
          <w:rFonts w:ascii="宋体" w:hAnsi="宋体" w:eastAsia="宋体" w:cs="宋体"/>
          <w:spacing w:val="10"/>
          <w:sz w:val="25"/>
          <w:szCs w:val="25"/>
        </w:rPr>
        <w:t xml:space="preserve"> </w:t>
      </w:r>
      <w:r>
        <w:rPr>
          <w:rFonts w:ascii="宋体" w:hAnsi="宋体" w:eastAsia="宋体" w:cs="宋体"/>
          <w:spacing w:val="21"/>
          <w:sz w:val="25"/>
          <w:szCs w:val="25"/>
        </w:rPr>
        <w:t>及完成的期限讲清楚。</w:t>
      </w:r>
    </w:p>
    <w:p w14:paraId="5D784E63">
      <w:pPr>
        <w:spacing w:line="320" w:lineRule="auto"/>
        <w:rPr>
          <w:rFonts w:ascii="宋体" w:hAnsi="宋体" w:eastAsia="宋体" w:cs="宋体"/>
          <w:sz w:val="25"/>
          <w:szCs w:val="25"/>
        </w:rPr>
        <w:sectPr>
          <w:footerReference r:id="rId148" w:type="default"/>
          <w:pgSz w:w="11910" w:h="17130"/>
          <w:pgMar w:top="400" w:right="1445" w:bottom="1673" w:left="914" w:header="0" w:footer="1474" w:gutter="0"/>
          <w:cols w:space="720" w:num="1"/>
        </w:sectPr>
      </w:pPr>
    </w:p>
    <w:p w14:paraId="024BD28B">
      <w:pPr>
        <w:pStyle w:val="2"/>
        <w:spacing w:line="277" w:lineRule="auto"/>
      </w:pPr>
    </w:p>
    <w:p w14:paraId="5DADA41A">
      <w:pPr>
        <w:pStyle w:val="2"/>
        <w:spacing w:line="277" w:lineRule="auto"/>
      </w:pPr>
    </w:p>
    <w:p w14:paraId="206B7F27">
      <w:pPr>
        <w:pStyle w:val="2"/>
        <w:spacing w:line="278" w:lineRule="auto"/>
      </w:pPr>
    </w:p>
    <w:p w14:paraId="0DBD9B9E">
      <w:pPr>
        <w:pStyle w:val="2"/>
        <w:spacing w:line="278" w:lineRule="auto"/>
      </w:pPr>
    </w:p>
    <w:p w14:paraId="1685865B">
      <w:pPr>
        <w:spacing w:before="88" w:line="221" w:lineRule="auto"/>
        <w:rPr>
          <w:rFonts w:ascii="黑体" w:hAnsi="黑体" w:eastAsia="黑体" w:cs="黑体"/>
          <w:sz w:val="27"/>
          <w:szCs w:val="27"/>
        </w:rPr>
      </w:pPr>
      <w:r>
        <w:rPr>
          <w:rFonts w:ascii="黑体" w:hAnsi="黑体" w:eastAsia="黑体" w:cs="黑体"/>
          <w:spacing w:val="-3"/>
          <w:sz w:val="27"/>
          <w:szCs w:val="27"/>
        </w:rPr>
        <w:t>10.</w:t>
      </w:r>
      <w:r>
        <w:rPr>
          <w:rFonts w:ascii="黑体" w:hAnsi="黑体" w:eastAsia="黑体" w:cs="黑体"/>
          <w:b/>
          <w:bCs/>
          <w:spacing w:val="-3"/>
          <w:sz w:val="27"/>
          <w:szCs w:val="27"/>
        </w:rPr>
        <w:t>2</w:t>
      </w:r>
      <w:r>
        <w:rPr>
          <w:rFonts w:ascii="黑体" w:hAnsi="黑体" w:eastAsia="黑体" w:cs="黑体"/>
          <w:spacing w:val="30"/>
          <w:sz w:val="27"/>
          <w:szCs w:val="27"/>
        </w:rPr>
        <w:t xml:space="preserve">  </w:t>
      </w:r>
      <w:r>
        <w:rPr>
          <w:rFonts w:ascii="黑体" w:hAnsi="黑体" w:eastAsia="黑体" w:cs="黑体"/>
          <w:b/>
          <w:bCs/>
          <w:spacing w:val="-3"/>
          <w:sz w:val="27"/>
          <w:szCs w:val="27"/>
        </w:rPr>
        <w:t>应继续完成的工作</w:t>
      </w:r>
    </w:p>
    <w:p w14:paraId="4C0F6977">
      <w:pPr>
        <w:spacing w:before="60" w:line="286" w:lineRule="auto"/>
        <w:ind w:right="112" w:firstLine="539"/>
        <w:rPr>
          <w:rFonts w:ascii="宋体" w:hAnsi="宋体" w:eastAsia="宋体" w:cs="宋体"/>
          <w:sz w:val="27"/>
          <w:szCs w:val="27"/>
        </w:rPr>
      </w:pPr>
      <w:r>
        <w:rPr>
          <w:rFonts w:ascii="宋体" w:hAnsi="宋体" w:eastAsia="宋体" w:cs="宋体"/>
          <w:spacing w:val="-3"/>
          <w:sz w:val="27"/>
          <w:szCs w:val="27"/>
        </w:rPr>
        <w:t>简要说明鉴定(定型)后应继续完成的工作，包括工作内容、</w:t>
      </w:r>
      <w:r>
        <w:rPr>
          <w:rFonts w:ascii="宋体" w:hAnsi="宋体" w:eastAsia="宋体" w:cs="宋体"/>
          <w:spacing w:val="-4"/>
          <w:sz w:val="27"/>
          <w:szCs w:val="27"/>
        </w:rPr>
        <w:t>责任单位、完成</w:t>
      </w:r>
      <w:r>
        <w:rPr>
          <w:rFonts w:ascii="宋体" w:hAnsi="宋体" w:eastAsia="宋体" w:cs="宋体"/>
          <w:sz w:val="27"/>
          <w:szCs w:val="27"/>
        </w:rPr>
        <w:t xml:space="preserve"> </w:t>
      </w:r>
      <w:r>
        <w:rPr>
          <w:rFonts w:ascii="宋体" w:hAnsi="宋体" w:eastAsia="宋体" w:cs="宋体"/>
          <w:spacing w:val="-3"/>
          <w:sz w:val="27"/>
          <w:szCs w:val="27"/>
        </w:rPr>
        <w:t>时限等。</w:t>
      </w:r>
    </w:p>
    <w:p w14:paraId="16A107A8">
      <w:pPr>
        <w:spacing w:before="1" w:line="220" w:lineRule="auto"/>
        <w:rPr>
          <w:rFonts w:ascii="黑体" w:hAnsi="黑体" w:eastAsia="黑体" w:cs="黑体"/>
          <w:sz w:val="27"/>
          <w:szCs w:val="27"/>
        </w:rPr>
      </w:pPr>
      <w:r>
        <w:rPr>
          <w:rFonts w:ascii="黑体" w:hAnsi="黑体" w:eastAsia="黑体" w:cs="黑体"/>
          <w:spacing w:val="-1"/>
          <w:sz w:val="27"/>
          <w:szCs w:val="27"/>
        </w:rPr>
        <w:t>11</w:t>
      </w:r>
      <w:r>
        <w:rPr>
          <w:rFonts w:ascii="黑体" w:hAnsi="黑体" w:eastAsia="黑体" w:cs="黑体"/>
          <w:spacing w:val="14"/>
          <w:sz w:val="27"/>
          <w:szCs w:val="27"/>
        </w:rPr>
        <w:t xml:space="preserve">  </w:t>
      </w:r>
      <w:r>
        <w:rPr>
          <w:rFonts w:ascii="黑体" w:hAnsi="黑体" w:eastAsia="黑体" w:cs="黑体"/>
          <w:b/>
          <w:bCs/>
          <w:spacing w:val="-1"/>
          <w:sz w:val="27"/>
          <w:szCs w:val="27"/>
        </w:rPr>
        <w:t>结论性意见</w:t>
      </w:r>
    </w:p>
    <w:p w14:paraId="79EE2273">
      <w:pPr>
        <w:spacing w:before="90" w:line="218" w:lineRule="auto"/>
        <w:ind w:left="539"/>
        <w:rPr>
          <w:rFonts w:ascii="宋体" w:hAnsi="宋体" w:eastAsia="宋体" w:cs="宋体"/>
          <w:sz w:val="27"/>
          <w:szCs w:val="27"/>
        </w:rPr>
      </w:pPr>
      <w:r>
        <w:rPr>
          <w:rFonts w:ascii="宋体" w:hAnsi="宋体" w:eastAsia="宋体" w:cs="宋体"/>
          <w:spacing w:val="-1"/>
          <w:sz w:val="27"/>
          <w:szCs w:val="27"/>
        </w:rPr>
        <w:t>综述改装单位对改装项目能否鉴定的自我评价，典型用语示例：</w:t>
      </w:r>
    </w:p>
    <w:p w14:paraId="286964A8">
      <w:pPr>
        <w:spacing w:before="84" w:line="302" w:lineRule="auto"/>
        <w:ind w:firstLine="539"/>
        <w:jc w:val="both"/>
        <w:rPr>
          <w:rFonts w:ascii="仿宋" w:hAnsi="仿宋" w:eastAsia="仿宋" w:cs="仿宋"/>
          <w:sz w:val="25"/>
          <w:szCs w:val="25"/>
        </w:rPr>
      </w:pPr>
      <w:r>
        <w:rPr>
          <w:rFonts w:ascii="仿宋" w:hAnsi="仿宋" w:eastAsia="仿宋" w:cs="仿宋"/>
          <w:spacing w:val="24"/>
          <w:sz w:val="25"/>
          <w:szCs w:val="25"/>
        </w:rPr>
        <w:t>综上所述，××(改装项目名称)已按照批复的改装方案完成了全部</w:t>
      </w:r>
      <w:r>
        <w:rPr>
          <w:rFonts w:ascii="仿宋" w:hAnsi="仿宋" w:eastAsia="仿宋" w:cs="仿宋"/>
          <w:spacing w:val="23"/>
          <w:sz w:val="25"/>
          <w:szCs w:val="25"/>
        </w:rPr>
        <w:t>的改装</w:t>
      </w:r>
      <w:r>
        <w:rPr>
          <w:rFonts w:ascii="仿宋" w:hAnsi="仿宋" w:eastAsia="仿宋" w:cs="仿宋"/>
          <w:sz w:val="25"/>
          <w:szCs w:val="25"/>
        </w:rPr>
        <w:t xml:space="preserve">  </w:t>
      </w:r>
      <w:r>
        <w:rPr>
          <w:rFonts w:ascii="仿宋" w:hAnsi="仿宋" w:eastAsia="仿宋" w:cs="仿宋"/>
          <w:spacing w:val="12"/>
          <w:sz w:val="25"/>
          <w:szCs w:val="25"/>
        </w:rPr>
        <w:t>工作，经过平台通电试验、鉴定(定型)试验表明：改装总体布局合理，平台重量、</w:t>
      </w:r>
      <w:r>
        <w:rPr>
          <w:rFonts w:ascii="仿宋" w:hAnsi="仿宋" w:eastAsia="仿宋" w:cs="仿宋"/>
          <w:spacing w:val="10"/>
          <w:sz w:val="25"/>
          <w:szCs w:val="25"/>
        </w:rPr>
        <w:t xml:space="preserve"> </w:t>
      </w:r>
      <w:r>
        <w:rPr>
          <w:rFonts w:ascii="仿宋" w:hAnsi="仿宋" w:eastAsia="仿宋" w:cs="仿宋"/>
          <w:spacing w:val="16"/>
          <w:sz w:val="25"/>
          <w:szCs w:val="25"/>
        </w:rPr>
        <w:t>重心基本保持不变；改装设备安装固定牢靠，改装件强度刚度满足要求；供电控</w:t>
      </w:r>
      <w:r>
        <w:rPr>
          <w:rFonts w:ascii="仿宋" w:hAnsi="仿宋" w:eastAsia="仿宋" w:cs="仿宋"/>
          <w:spacing w:val="7"/>
          <w:sz w:val="25"/>
          <w:szCs w:val="25"/>
        </w:rPr>
        <w:t xml:space="preserve">  </w:t>
      </w:r>
      <w:r>
        <w:rPr>
          <w:rFonts w:ascii="仿宋" w:hAnsi="仿宋" w:eastAsia="仿宋" w:cs="仿宋"/>
          <w:spacing w:val="19"/>
          <w:sz w:val="25"/>
          <w:szCs w:val="25"/>
        </w:rPr>
        <w:t>制和接口交联关系正确，可以保证改装设备正常工作并充分发挥战术技术性能；</w:t>
      </w:r>
      <w:r>
        <w:rPr>
          <w:rFonts w:ascii="仿宋" w:hAnsi="仿宋" w:eastAsia="仿宋" w:cs="仿宋"/>
          <w:spacing w:val="18"/>
          <w:sz w:val="25"/>
          <w:szCs w:val="25"/>
        </w:rPr>
        <w:t xml:space="preserve"> </w:t>
      </w:r>
      <w:r>
        <w:rPr>
          <w:rFonts w:ascii="仿宋" w:hAnsi="仿宋" w:eastAsia="仿宋" w:cs="仿宋"/>
          <w:spacing w:val="17"/>
          <w:sz w:val="25"/>
          <w:szCs w:val="25"/>
        </w:rPr>
        <w:t>人机工程设计合理，便于维护修理和操作观察；改装所需元器件、原材料有稳定</w:t>
      </w:r>
      <w:r>
        <w:rPr>
          <w:rFonts w:ascii="仿宋" w:hAnsi="仿宋" w:eastAsia="仿宋" w:cs="仿宋"/>
          <w:sz w:val="25"/>
          <w:szCs w:val="25"/>
        </w:rPr>
        <w:t xml:space="preserve">  </w:t>
      </w:r>
      <w:r>
        <w:rPr>
          <w:rFonts w:ascii="仿宋" w:hAnsi="仿宋" w:eastAsia="仿宋" w:cs="仿宋"/>
          <w:spacing w:val="17"/>
          <w:sz w:val="25"/>
          <w:szCs w:val="25"/>
        </w:rPr>
        <w:t>的供货来源；改装所需图样和技术文件齐全，符合标准化要求；改装设计和实施</w:t>
      </w:r>
      <w:r>
        <w:rPr>
          <w:rFonts w:ascii="仿宋" w:hAnsi="仿宋" w:eastAsia="仿宋" w:cs="仿宋"/>
          <w:spacing w:val="1"/>
          <w:sz w:val="25"/>
          <w:szCs w:val="25"/>
        </w:rPr>
        <w:t xml:space="preserve">  </w:t>
      </w:r>
      <w:r>
        <w:rPr>
          <w:rFonts w:ascii="仿宋" w:hAnsi="仿宋" w:eastAsia="仿宋" w:cs="仿宋"/>
          <w:spacing w:val="17"/>
          <w:sz w:val="25"/>
          <w:szCs w:val="25"/>
        </w:rPr>
        <w:t>单位通过了</w:t>
      </w:r>
      <w:r>
        <w:rPr>
          <w:rFonts w:ascii="Times New Roman" w:hAnsi="Times New Roman" w:eastAsia="Times New Roman" w:cs="Times New Roman"/>
          <w:sz w:val="25"/>
          <w:szCs w:val="25"/>
        </w:rPr>
        <w:t>GJB</w:t>
      </w:r>
      <w:r>
        <w:rPr>
          <w:rFonts w:ascii="Times New Roman" w:hAnsi="Times New Roman" w:eastAsia="Times New Roman" w:cs="Times New Roman"/>
          <w:spacing w:val="17"/>
          <w:sz w:val="25"/>
          <w:szCs w:val="25"/>
        </w:rPr>
        <w:t xml:space="preserve">9001    </w:t>
      </w:r>
      <w:r>
        <w:rPr>
          <w:rFonts w:ascii="仿宋" w:hAnsi="仿宋" w:eastAsia="仿宋" w:cs="仿宋"/>
          <w:spacing w:val="17"/>
          <w:sz w:val="25"/>
          <w:szCs w:val="25"/>
        </w:rPr>
        <w:t>质量体系认证，质量体系运行有效。(改装</w:t>
      </w:r>
      <w:r>
        <w:rPr>
          <w:rFonts w:ascii="仿宋" w:hAnsi="仿宋" w:eastAsia="仿宋" w:cs="仿宋"/>
          <w:spacing w:val="16"/>
          <w:sz w:val="25"/>
          <w:szCs w:val="25"/>
        </w:rPr>
        <w:t>项目名称)已符</w:t>
      </w:r>
      <w:r>
        <w:rPr>
          <w:rFonts w:ascii="仿宋" w:hAnsi="仿宋" w:eastAsia="仿宋" w:cs="仿宋"/>
          <w:sz w:val="25"/>
          <w:szCs w:val="25"/>
        </w:rPr>
        <w:t xml:space="preserve"> </w:t>
      </w:r>
      <w:r>
        <w:rPr>
          <w:rFonts w:ascii="仿宋" w:hAnsi="仿宋" w:eastAsia="仿宋" w:cs="仿宋"/>
          <w:spacing w:val="12"/>
          <w:sz w:val="25"/>
          <w:szCs w:val="25"/>
        </w:rPr>
        <w:t>合技术鉴定的要求，申请技术鉴定。</w:t>
      </w:r>
    </w:p>
    <w:p w14:paraId="6168E154">
      <w:pPr>
        <w:pStyle w:val="2"/>
        <w:spacing w:line="248" w:lineRule="auto"/>
      </w:pPr>
    </w:p>
    <w:p w14:paraId="5E9A5646">
      <w:pPr>
        <w:spacing w:before="117" w:line="220" w:lineRule="auto"/>
        <w:ind w:left="2329"/>
        <w:outlineLvl w:val="1"/>
        <w:rPr>
          <w:rFonts w:ascii="宋体" w:hAnsi="宋体" w:eastAsia="宋体" w:cs="宋体"/>
          <w:sz w:val="36"/>
          <w:szCs w:val="36"/>
        </w:rPr>
      </w:pPr>
      <w:bookmarkStart w:id="92" w:name="bookmark46"/>
      <w:bookmarkEnd w:id="92"/>
      <w:r>
        <w:rPr>
          <w:rFonts w:ascii="宋体" w:hAnsi="宋体" w:eastAsia="宋体" w:cs="宋体"/>
          <w:spacing w:val="3"/>
          <w:sz w:val="36"/>
          <w:szCs w:val="36"/>
        </w:rPr>
        <w:t>1.4</w:t>
      </w:r>
      <w:r>
        <w:rPr>
          <w:rFonts w:ascii="宋体" w:hAnsi="宋体" w:eastAsia="宋体" w:cs="宋体"/>
          <w:b/>
          <w:bCs/>
          <w:spacing w:val="3"/>
          <w:sz w:val="36"/>
          <w:szCs w:val="36"/>
        </w:rPr>
        <w:t>4</w:t>
      </w:r>
      <w:r>
        <w:rPr>
          <w:rFonts w:ascii="宋体" w:hAnsi="宋体" w:eastAsia="宋体" w:cs="宋体"/>
          <w:spacing w:val="6"/>
          <w:sz w:val="36"/>
          <w:szCs w:val="36"/>
        </w:rPr>
        <w:t xml:space="preserve">  </w:t>
      </w:r>
      <w:r>
        <w:rPr>
          <w:rFonts w:ascii="宋体" w:hAnsi="宋体" w:eastAsia="宋体" w:cs="宋体"/>
          <w:b/>
          <w:bCs/>
          <w:spacing w:val="3"/>
          <w:sz w:val="36"/>
          <w:szCs w:val="36"/>
        </w:rPr>
        <w:t>研制总结(设计定型用)</w:t>
      </w:r>
    </w:p>
    <w:p w14:paraId="2D2ED95F">
      <w:pPr>
        <w:pStyle w:val="2"/>
        <w:spacing w:line="321" w:lineRule="auto"/>
      </w:pPr>
    </w:p>
    <w:p w14:paraId="20EBB2C6">
      <w:pPr>
        <w:spacing w:before="92" w:line="223" w:lineRule="auto"/>
        <w:ind w:left="539"/>
        <w:rPr>
          <w:rFonts w:ascii="楷体" w:hAnsi="楷体" w:eastAsia="楷体" w:cs="楷体"/>
          <w:sz w:val="28"/>
          <w:szCs w:val="28"/>
        </w:rPr>
      </w:pPr>
      <w:r>
        <w:rPr>
          <w:rFonts w:ascii="楷体" w:hAnsi="楷体" w:eastAsia="楷体" w:cs="楷体"/>
          <w:spacing w:val="-8"/>
          <w:sz w:val="28"/>
          <w:szCs w:val="28"/>
        </w:rPr>
        <w:t>按照</w:t>
      </w:r>
      <w:r>
        <w:rPr>
          <w:rFonts w:ascii="Times New Roman" w:hAnsi="Times New Roman" w:eastAsia="Times New Roman" w:cs="Times New Roman"/>
          <w:spacing w:val="-8"/>
          <w:sz w:val="28"/>
          <w:szCs w:val="28"/>
        </w:rPr>
        <w:t>GJB1362A—2007</w:t>
      </w:r>
      <w:r>
        <w:rPr>
          <w:rFonts w:ascii="宋体" w:hAnsi="宋体" w:eastAsia="宋体" w:cs="宋体"/>
          <w:spacing w:val="-8"/>
          <w:sz w:val="28"/>
          <w:szCs w:val="28"/>
        </w:rPr>
        <w:t>《</w:t>
      </w:r>
      <w:r>
        <w:rPr>
          <w:rFonts w:ascii="楷体" w:hAnsi="楷体" w:eastAsia="楷体" w:cs="楷体"/>
          <w:spacing w:val="-8"/>
          <w:sz w:val="28"/>
          <w:szCs w:val="28"/>
        </w:rPr>
        <w:t>军工产品定型程序和要求》编写。</w:t>
      </w:r>
    </w:p>
    <w:p w14:paraId="3C1921EA">
      <w:pPr>
        <w:spacing w:before="111" w:line="221" w:lineRule="auto"/>
        <w:rPr>
          <w:rFonts w:ascii="黑体" w:hAnsi="黑体" w:eastAsia="黑体" w:cs="黑体"/>
          <w:sz w:val="24"/>
          <w:szCs w:val="24"/>
        </w:rPr>
      </w:pPr>
      <w:r>
        <w:rPr>
          <w:rFonts w:ascii="黑体" w:hAnsi="黑体" w:eastAsia="黑体" w:cs="黑体"/>
          <w:spacing w:val="23"/>
          <w:sz w:val="24"/>
          <w:szCs w:val="24"/>
        </w:rPr>
        <w:t>1</w:t>
      </w:r>
      <w:r>
        <w:rPr>
          <w:rFonts w:ascii="黑体" w:hAnsi="黑体" w:eastAsia="黑体" w:cs="黑体"/>
          <w:spacing w:val="43"/>
          <w:sz w:val="24"/>
          <w:szCs w:val="24"/>
        </w:rPr>
        <w:t xml:space="preserve">  </w:t>
      </w:r>
      <w:r>
        <w:rPr>
          <w:rFonts w:ascii="黑体" w:hAnsi="黑体" w:eastAsia="黑体" w:cs="黑体"/>
          <w:b/>
          <w:bCs/>
          <w:spacing w:val="23"/>
          <w:sz w:val="24"/>
          <w:szCs w:val="24"/>
        </w:rPr>
        <w:t>研制任务来源</w:t>
      </w:r>
    </w:p>
    <w:p w14:paraId="4D83FD5F">
      <w:pPr>
        <w:spacing w:before="100" w:line="219" w:lineRule="auto"/>
        <w:ind w:left="539"/>
        <w:rPr>
          <w:rFonts w:ascii="宋体" w:hAnsi="宋体" w:eastAsia="宋体" w:cs="宋体"/>
          <w:sz w:val="27"/>
          <w:szCs w:val="27"/>
        </w:rPr>
      </w:pPr>
      <w:r>
        <w:rPr>
          <w:rFonts w:ascii="宋体" w:hAnsi="宋体" w:eastAsia="宋体" w:cs="宋体"/>
          <w:spacing w:val="1"/>
          <w:sz w:val="27"/>
          <w:szCs w:val="27"/>
        </w:rPr>
        <w:t>研制任务来源应包括：</w:t>
      </w:r>
    </w:p>
    <w:p w14:paraId="114BDBD5">
      <w:pPr>
        <w:spacing w:before="80" w:line="219" w:lineRule="auto"/>
        <w:ind w:left="539"/>
        <w:rPr>
          <w:rFonts w:ascii="宋体" w:hAnsi="宋体" w:eastAsia="宋体" w:cs="宋体"/>
          <w:sz w:val="27"/>
          <w:szCs w:val="27"/>
        </w:rPr>
      </w:pPr>
      <w:r>
        <w:rPr>
          <w:rFonts w:ascii="Times New Roman" w:hAnsi="Times New Roman" w:eastAsia="Times New Roman" w:cs="Times New Roman"/>
          <w:spacing w:val="12"/>
          <w:sz w:val="27"/>
          <w:szCs w:val="27"/>
        </w:rPr>
        <w:t>a</w:t>
      </w:r>
      <w:r>
        <w:rPr>
          <w:rFonts w:ascii="宋体" w:hAnsi="宋体" w:eastAsia="宋体" w:cs="宋体"/>
          <w:spacing w:val="12"/>
          <w:sz w:val="27"/>
          <w:szCs w:val="27"/>
        </w:rPr>
        <w:t>)任务背景；</w:t>
      </w:r>
    </w:p>
    <w:p w14:paraId="1FC2533C">
      <w:pPr>
        <w:spacing w:before="87" w:line="260" w:lineRule="auto"/>
        <w:ind w:right="92" w:firstLine="539"/>
        <w:rPr>
          <w:rFonts w:ascii="宋体" w:hAnsi="宋体" w:eastAsia="宋体" w:cs="宋体"/>
          <w:sz w:val="27"/>
          <w:szCs w:val="27"/>
        </w:rPr>
      </w:pPr>
      <w:r>
        <w:rPr>
          <w:rFonts w:ascii="Times New Roman" w:hAnsi="Times New Roman" w:eastAsia="Times New Roman" w:cs="Times New Roman"/>
          <w:spacing w:val="6"/>
          <w:sz w:val="27"/>
          <w:szCs w:val="27"/>
        </w:rPr>
        <w:t xml:space="preserve">b)  </w:t>
      </w:r>
      <w:r>
        <w:rPr>
          <w:rFonts w:ascii="宋体" w:hAnsi="宋体" w:eastAsia="宋体" w:cs="宋体"/>
          <w:spacing w:val="6"/>
          <w:sz w:val="27"/>
          <w:szCs w:val="27"/>
        </w:rPr>
        <w:t>上级装备研制管理部门下达的批准研制装备的文件(如立项综合论证报</w:t>
      </w:r>
      <w:r>
        <w:rPr>
          <w:rFonts w:ascii="宋体" w:hAnsi="宋体" w:eastAsia="宋体" w:cs="宋体"/>
          <w:spacing w:val="16"/>
          <w:sz w:val="27"/>
          <w:szCs w:val="27"/>
        </w:rPr>
        <w:t xml:space="preserve"> </w:t>
      </w:r>
      <w:r>
        <w:rPr>
          <w:rFonts w:ascii="宋体" w:hAnsi="宋体" w:eastAsia="宋体" w:cs="宋体"/>
          <w:spacing w:val="-6"/>
          <w:sz w:val="27"/>
          <w:szCs w:val="27"/>
        </w:rPr>
        <w:t>告、研制总要求或研制任务书)的文件号、文件名称、正</w:t>
      </w:r>
      <w:r>
        <w:rPr>
          <w:rFonts w:ascii="宋体" w:hAnsi="宋体" w:eastAsia="宋体" w:cs="宋体"/>
          <w:spacing w:val="-7"/>
          <w:sz w:val="27"/>
          <w:szCs w:val="27"/>
        </w:rPr>
        <w:t>式命名的装备名称),研制</w:t>
      </w:r>
      <w:r>
        <w:rPr>
          <w:rFonts w:ascii="宋体" w:hAnsi="宋体" w:eastAsia="宋体" w:cs="宋体"/>
          <w:sz w:val="27"/>
          <w:szCs w:val="27"/>
        </w:rPr>
        <w:t xml:space="preserve"> 合同等依据性文件；</w:t>
      </w:r>
    </w:p>
    <w:p w14:paraId="33A42D81">
      <w:pPr>
        <w:spacing w:before="81" w:line="212" w:lineRule="auto"/>
        <w:ind w:left="539"/>
        <w:rPr>
          <w:rFonts w:ascii="宋体" w:hAnsi="宋体" w:eastAsia="宋体" w:cs="宋体"/>
          <w:sz w:val="27"/>
          <w:szCs w:val="27"/>
        </w:rPr>
      </w:pPr>
      <w:r>
        <w:rPr>
          <w:rFonts w:ascii="Times New Roman" w:hAnsi="Times New Roman" w:eastAsia="Times New Roman" w:cs="Times New Roman"/>
          <w:spacing w:val="-7"/>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7"/>
          <w:sz w:val="27"/>
          <w:szCs w:val="27"/>
        </w:rPr>
        <w:t>承担研制装备的单位、完成的时间要求，完成研制</w:t>
      </w:r>
      <w:r>
        <w:rPr>
          <w:rFonts w:ascii="宋体" w:hAnsi="宋体" w:eastAsia="宋体" w:cs="宋体"/>
          <w:spacing w:val="-8"/>
          <w:sz w:val="27"/>
          <w:szCs w:val="27"/>
        </w:rPr>
        <w:t>成果的形式、数量等。</w:t>
      </w:r>
    </w:p>
    <w:p w14:paraId="6DDE530E">
      <w:pPr>
        <w:spacing w:before="104" w:line="221"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22"/>
          <w:sz w:val="27"/>
          <w:szCs w:val="27"/>
        </w:rPr>
        <w:t xml:space="preserve">  </w:t>
      </w:r>
      <w:r>
        <w:rPr>
          <w:rFonts w:ascii="黑体" w:hAnsi="黑体" w:eastAsia="黑体" w:cs="黑体"/>
          <w:b/>
          <w:bCs/>
          <w:sz w:val="27"/>
          <w:szCs w:val="27"/>
        </w:rPr>
        <w:t>产品概述和研制过程</w:t>
      </w:r>
    </w:p>
    <w:p w14:paraId="20C114D1">
      <w:pPr>
        <w:spacing w:before="87" w:line="221" w:lineRule="auto"/>
        <w:rPr>
          <w:rFonts w:ascii="黑体" w:hAnsi="黑体" w:eastAsia="黑体" w:cs="黑体"/>
          <w:sz w:val="27"/>
          <w:szCs w:val="27"/>
        </w:rPr>
      </w:pPr>
      <w:r>
        <w:rPr>
          <w:rFonts w:ascii="黑体" w:hAnsi="黑体" w:eastAsia="黑体" w:cs="黑体"/>
          <w:spacing w:val="-4"/>
          <w:sz w:val="27"/>
          <w:szCs w:val="27"/>
        </w:rPr>
        <w:t>2.1</w:t>
      </w:r>
      <w:r>
        <w:rPr>
          <w:rFonts w:ascii="黑体" w:hAnsi="黑体" w:eastAsia="黑体" w:cs="黑体"/>
          <w:spacing w:val="28"/>
          <w:sz w:val="27"/>
          <w:szCs w:val="27"/>
        </w:rPr>
        <w:t xml:space="preserve">  </w:t>
      </w:r>
      <w:r>
        <w:rPr>
          <w:rFonts w:ascii="黑体" w:hAnsi="黑体" w:eastAsia="黑体" w:cs="黑体"/>
          <w:b/>
          <w:bCs/>
          <w:spacing w:val="-4"/>
          <w:sz w:val="27"/>
          <w:szCs w:val="27"/>
        </w:rPr>
        <w:t>产品概述</w:t>
      </w:r>
    </w:p>
    <w:p w14:paraId="0D34D30A">
      <w:pPr>
        <w:spacing w:before="119" w:line="223" w:lineRule="auto"/>
        <w:rPr>
          <w:rFonts w:ascii="黑体" w:hAnsi="黑体" w:eastAsia="黑体" w:cs="黑体"/>
          <w:sz w:val="25"/>
          <w:szCs w:val="25"/>
        </w:rPr>
      </w:pPr>
      <w:r>
        <w:rPr>
          <w:rFonts w:ascii="黑体" w:hAnsi="黑体" w:eastAsia="黑体" w:cs="黑体"/>
          <w:spacing w:val="9"/>
          <w:sz w:val="25"/>
          <w:szCs w:val="25"/>
        </w:rPr>
        <w:t>2.1.1</w:t>
      </w:r>
      <w:r>
        <w:rPr>
          <w:rFonts w:ascii="黑体" w:hAnsi="黑体" w:eastAsia="黑体" w:cs="黑体"/>
          <w:spacing w:val="48"/>
          <w:sz w:val="25"/>
          <w:szCs w:val="25"/>
        </w:rPr>
        <w:t xml:space="preserve">  </w:t>
      </w:r>
      <w:r>
        <w:rPr>
          <w:rFonts w:ascii="黑体" w:hAnsi="黑体" w:eastAsia="黑体" w:cs="黑体"/>
          <w:b/>
          <w:bCs/>
          <w:spacing w:val="9"/>
          <w:sz w:val="25"/>
          <w:szCs w:val="25"/>
        </w:rPr>
        <w:t>产品用途</w:t>
      </w:r>
    </w:p>
    <w:p w14:paraId="0FF066D3">
      <w:pPr>
        <w:spacing w:before="92" w:line="277" w:lineRule="auto"/>
        <w:ind w:right="112" w:firstLine="539"/>
        <w:rPr>
          <w:rFonts w:ascii="宋体" w:hAnsi="宋体" w:eastAsia="宋体" w:cs="宋体"/>
          <w:sz w:val="27"/>
          <w:szCs w:val="27"/>
        </w:rPr>
      </w:pPr>
      <w:r>
        <w:rPr>
          <w:rFonts w:ascii="宋体" w:hAnsi="宋体" w:eastAsia="宋体" w:cs="宋体"/>
          <w:spacing w:val="-3"/>
          <w:sz w:val="27"/>
          <w:szCs w:val="27"/>
        </w:rPr>
        <w:t>简要说明产品的使命任务和地位作用等内容，如系配</w:t>
      </w:r>
      <w:r>
        <w:rPr>
          <w:rFonts w:ascii="宋体" w:hAnsi="宋体" w:eastAsia="宋体" w:cs="宋体"/>
          <w:spacing w:val="-4"/>
          <w:sz w:val="27"/>
          <w:szCs w:val="27"/>
        </w:rPr>
        <w:t>套产品，则介绍在系统</w:t>
      </w:r>
      <w:r>
        <w:rPr>
          <w:rFonts w:ascii="宋体" w:hAnsi="宋体" w:eastAsia="宋体" w:cs="宋体"/>
          <w:sz w:val="27"/>
          <w:szCs w:val="27"/>
        </w:rPr>
        <w:t xml:space="preserve"> </w:t>
      </w:r>
      <w:r>
        <w:rPr>
          <w:rFonts w:ascii="宋体" w:hAnsi="宋体" w:eastAsia="宋体" w:cs="宋体"/>
          <w:spacing w:val="-22"/>
          <w:sz w:val="27"/>
          <w:szCs w:val="27"/>
        </w:rPr>
        <w:t>中的定位、属性、用途。</w:t>
      </w:r>
    </w:p>
    <w:p w14:paraId="71F5CA84">
      <w:pPr>
        <w:spacing w:before="35" w:line="222" w:lineRule="auto"/>
        <w:rPr>
          <w:rFonts w:ascii="黑体" w:hAnsi="黑体" w:eastAsia="黑体" w:cs="黑体"/>
          <w:sz w:val="24"/>
          <w:szCs w:val="24"/>
        </w:rPr>
      </w:pPr>
      <w:r>
        <w:rPr>
          <w:rFonts w:ascii="黑体" w:hAnsi="黑体" w:eastAsia="黑体" w:cs="黑体"/>
          <w:spacing w:val="12"/>
          <w:sz w:val="24"/>
          <w:szCs w:val="24"/>
        </w:rPr>
        <w:t>2.1.2</w:t>
      </w:r>
      <w:r>
        <w:rPr>
          <w:rFonts w:ascii="黑体" w:hAnsi="黑体" w:eastAsia="黑体" w:cs="黑体"/>
          <w:spacing w:val="8"/>
          <w:sz w:val="24"/>
          <w:szCs w:val="24"/>
        </w:rPr>
        <w:t xml:space="preserve">   </w:t>
      </w:r>
      <w:r>
        <w:rPr>
          <w:rFonts w:ascii="黑体" w:hAnsi="黑体" w:eastAsia="黑体" w:cs="黑体"/>
          <w:b/>
          <w:bCs/>
          <w:spacing w:val="12"/>
          <w:sz w:val="24"/>
          <w:szCs w:val="24"/>
        </w:rPr>
        <w:t>产品组成</w:t>
      </w:r>
    </w:p>
    <w:p w14:paraId="0ED47D9B">
      <w:pPr>
        <w:spacing w:before="84" w:line="286" w:lineRule="auto"/>
        <w:ind w:right="88" w:firstLine="539"/>
        <w:rPr>
          <w:rFonts w:ascii="宋体" w:hAnsi="宋体" w:eastAsia="宋体" w:cs="宋体"/>
          <w:sz w:val="27"/>
          <w:szCs w:val="27"/>
        </w:rPr>
      </w:pPr>
      <w:r>
        <w:rPr>
          <w:rFonts w:ascii="宋体" w:hAnsi="宋体" w:eastAsia="宋体" w:cs="宋体"/>
          <w:spacing w:val="14"/>
          <w:sz w:val="27"/>
          <w:szCs w:val="27"/>
        </w:rPr>
        <w:t>简要说明产品的组成(包括硬件组成和软件组成)以及各部分的功能等内</w:t>
      </w:r>
      <w:r>
        <w:rPr>
          <w:rFonts w:ascii="宋体" w:hAnsi="宋体" w:eastAsia="宋体" w:cs="宋体"/>
          <w:spacing w:val="8"/>
          <w:sz w:val="27"/>
          <w:szCs w:val="27"/>
        </w:rPr>
        <w:t xml:space="preserve"> </w:t>
      </w:r>
      <w:r>
        <w:rPr>
          <w:rFonts w:ascii="宋体" w:hAnsi="宋体" w:eastAsia="宋体" w:cs="宋体"/>
          <w:spacing w:val="-8"/>
          <w:sz w:val="27"/>
          <w:szCs w:val="27"/>
        </w:rPr>
        <w:t>容，可简要介绍工作原理。</w:t>
      </w:r>
    </w:p>
    <w:p w14:paraId="407C3AD8">
      <w:pPr>
        <w:spacing w:before="1" w:line="221" w:lineRule="auto"/>
        <w:rPr>
          <w:rFonts w:ascii="黑体" w:hAnsi="黑体" w:eastAsia="黑体" w:cs="黑体"/>
          <w:sz w:val="25"/>
          <w:szCs w:val="25"/>
        </w:rPr>
      </w:pPr>
      <w:r>
        <w:rPr>
          <w:rFonts w:ascii="黑体" w:hAnsi="黑体" w:eastAsia="黑体" w:cs="黑体"/>
          <w:spacing w:val="8"/>
          <w:sz w:val="25"/>
          <w:szCs w:val="25"/>
        </w:rPr>
        <w:t>2.1.3</w:t>
      </w:r>
      <w:r>
        <w:rPr>
          <w:rFonts w:ascii="黑体" w:hAnsi="黑体" w:eastAsia="黑体" w:cs="黑体"/>
          <w:spacing w:val="55"/>
          <w:sz w:val="25"/>
          <w:szCs w:val="25"/>
        </w:rPr>
        <w:t xml:space="preserve">  </w:t>
      </w:r>
      <w:r>
        <w:rPr>
          <w:rFonts w:ascii="黑体" w:hAnsi="黑体" w:eastAsia="黑体" w:cs="黑体"/>
          <w:b/>
          <w:bCs/>
          <w:spacing w:val="8"/>
          <w:sz w:val="25"/>
          <w:szCs w:val="25"/>
        </w:rPr>
        <w:t>产品特点</w:t>
      </w:r>
    </w:p>
    <w:p w14:paraId="7DBEEC25">
      <w:pPr>
        <w:spacing w:before="114" w:line="219" w:lineRule="auto"/>
        <w:ind w:left="539"/>
        <w:rPr>
          <w:rFonts w:ascii="宋体" w:hAnsi="宋体" w:eastAsia="宋体" w:cs="宋体"/>
          <w:sz w:val="27"/>
          <w:szCs w:val="27"/>
        </w:rPr>
      </w:pPr>
      <w:r>
        <w:rPr>
          <w:rFonts w:ascii="宋体" w:hAnsi="宋体" w:eastAsia="宋体" w:cs="宋体"/>
          <w:spacing w:val="-3"/>
          <w:sz w:val="27"/>
          <w:szCs w:val="27"/>
        </w:rPr>
        <w:t>简要说明产品的作战使用特点和性能特点，其中表述性能特点时，宜说明采</w:t>
      </w:r>
    </w:p>
    <w:p w14:paraId="4531E5D3">
      <w:pPr>
        <w:spacing w:line="219" w:lineRule="auto"/>
        <w:rPr>
          <w:rFonts w:ascii="宋体" w:hAnsi="宋体" w:eastAsia="宋体" w:cs="宋体"/>
          <w:sz w:val="27"/>
          <w:szCs w:val="27"/>
        </w:rPr>
        <w:sectPr>
          <w:footerReference r:id="rId149" w:type="default"/>
          <w:pgSz w:w="11910" w:h="17130"/>
          <w:pgMar w:top="400" w:right="1014" w:bottom="1503" w:left="1440" w:header="0" w:footer="1305" w:gutter="0"/>
          <w:cols w:space="720" w:num="1"/>
        </w:sectPr>
      </w:pPr>
    </w:p>
    <w:p w14:paraId="3A7E12E9">
      <w:pPr>
        <w:pStyle w:val="2"/>
        <w:spacing w:line="291" w:lineRule="auto"/>
      </w:pPr>
    </w:p>
    <w:p w14:paraId="080044A5">
      <w:pPr>
        <w:pStyle w:val="2"/>
        <w:spacing w:line="291" w:lineRule="auto"/>
      </w:pPr>
    </w:p>
    <w:p w14:paraId="01181956">
      <w:pPr>
        <w:pStyle w:val="2"/>
        <w:spacing w:line="291" w:lineRule="auto"/>
      </w:pPr>
    </w:p>
    <w:p w14:paraId="71B46F7A">
      <w:pPr>
        <w:pStyle w:val="2"/>
        <w:spacing w:line="291" w:lineRule="auto"/>
      </w:pPr>
    </w:p>
    <w:p w14:paraId="56ED9FAB">
      <w:pPr>
        <w:spacing w:before="78" w:line="219" w:lineRule="auto"/>
        <w:rPr>
          <w:rFonts w:ascii="宋体" w:hAnsi="宋体" w:eastAsia="宋体" w:cs="宋体"/>
          <w:sz w:val="24"/>
          <w:szCs w:val="24"/>
        </w:rPr>
      </w:pPr>
      <w:r>
        <w:rPr>
          <w:rFonts w:ascii="宋体" w:hAnsi="宋体" w:eastAsia="宋体" w:cs="宋体"/>
          <w:spacing w:val="24"/>
          <w:sz w:val="24"/>
          <w:szCs w:val="24"/>
        </w:rPr>
        <w:t>用了何种关键技术，达到了何种性能。</w:t>
      </w:r>
    </w:p>
    <w:p w14:paraId="5CA327B9">
      <w:pPr>
        <w:spacing w:before="130" w:line="222" w:lineRule="auto"/>
        <w:rPr>
          <w:rFonts w:ascii="黑体" w:hAnsi="黑体" w:eastAsia="黑体" w:cs="黑体"/>
          <w:sz w:val="24"/>
          <w:szCs w:val="24"/>
        </w:rPr>
      </w:pPr>
      <w:r>
        <w:rPr>
          <w:rFonts w:ascii="黑体" w:hAnsi="黑体" w:eastAsia="黑体" w:cs="黑体"/>
          <w:spacing w:val="20"/>
          <w:sz w:val="24"/>
          <w:szCs w:val="24"/>
        </w:rPr>
        <w:t>2.1.4</w:t>
      </w:r>
      <w:r>
        <w:rPr>
          <w:rFonts w:ascii="黑体" w:hAnsi="黑体" w:eastAsia="黑体" w:cs="黑体"/>
          <w:spacing w:val="39"/>
          <w:sz w:val="24"/>
          <w:szCs w:val="24"/>
        </w:rPr>
        <w:t xml:space="preserve">  </w:t>
      </w:r>
      <w:r>
        <w:rPr>
          <w:rFonts w:ascii="黑体" w:hAnsi="黑体" w:eastAsia="黑体" w:cs="黑体"/>
          <w:b/>
          <w:bCs/>
          <w:spacing w:val="20"/>
          <w:sz w:val="24"/>
          <w:szCs w:val="24"/>
        </w:rPr>
        <w:t>产品使用模式</w:t>
      </w:r>
    </w:p>
    <w:p w14:paraId="6F6A9F58">
      <w:pPr>
        <w:spacing w:before="85" w:line="219" w:lineRule="auto"/>
        <w:ind w:left="560"/>
        <w:rPr>
          <w:rFonts w:ascii="宋体" w:hAnsi="宋体" w:eastAsia="宋体" w:cs="宋体"/>
          <w:sz w:val="27"/>
          <w:szCs w:val="27"/>
        </w:rPr>
      </w:pPr>
      <w:r>
        <w:rPr>
          <w:rFonts w:ascii="宋体" w:hAnsi="宋体" w:eastAsia="宋体" w:cs="宋体"/>
          <w:spacing w:val="1"/>
          <w:sz w:val="27"/>
          <w:szCs w:val="27"/>
        </w:rPr>
        <w:t>简要说明产品的典型使用模式。</w:t>
      </w:r>
    </w:p>
    <w:p w14:paraId="03393B46">
      <w:pPr>
        <w:spacing w:before="125" w:line="222" w:lineRule="auto"/>
        <w:rPr>
          <w:rFonts w:ascii="黑体" w:hAnsi="黑体" w:eastAsia="黑体" w:cs="黑体"/>
          <w:sz w:val="27"/>
          <w:szCs w:val="27"/>
        </w:rPr>
      </w:pPr>
      <w:r>
        <w:rPr>
          <w:rFonts w:ascii="黑体" w:hAnsi="黑体" w:eastAsia="黑体" w:cs="黑体"/>
          <w:spacing w:val="2"/>
          <w:sz w:val="27"/>
          <w:szCs w:val="27"/>
        </w:rPr>
        <w:t xml:space="preserve">2.2  </w:t>
      </w:r>
      <w:r>
        <w:rPr>
          <w:rFonts w:ascii="黑体" w:hAnsi="黑体" w:eastAsia="黑体" w:cs="黑体"/>
          <w:b/>
          <w:bCs/>
          <w:spacing w:val="2"/>
          <w:sz w:val="27"/>
          <w:szCs w:val="27"/>
        </w:rPr>
        <w:t>研制过程</w:t>
      </w:r>
    </w:p>
    <w:p w14:paraId="3D16F5A0">
      <w:pPr>
        <w:spacing w:before="71" w:line="294" w:lineRule="auto"/>
        <w:ind w:right="83" w:firstLine="560"/>
        <w:rPr>
          <w:rFonts w:ascii="宋体" w:hAnsi="宋体" w:eastAsia="宋体" w:cs="宋体"/>
          <w:sz w:val="27"/>
          <w:szCs w:val="27"/>
        </w:rPr>
      </w:pPr>
      <w:r>
        <w:rPr>
          <w:rFonts w:ascii="宋体" w:hAnsi="宋体" w:eastAsia="宋体" w:cs="宋体"/>
          <w:spacing w:val="2"/>
          <w:sz w:val="27"/>
          <w:szCs w:val="27"/>
        </w:rPr>
        <w:t>研制过程可按常规武器装备的研制阶段划分(论证</w:t>
      </w:r>
      <w:r>
        <w:rPr>
          <w:rFonts w:ascii="宋体" w:hAnsi="宋体" w:eastAsia="宋体" w:cs="宋体"/>
          <w:spacing w:val="1"/>
          <w:sz w:val="27"/>
          <w:szCs w:val="27"/>
        </w:rPr>
        <w:t>阶段；方案阶段；工程研</w:t>
      </w:r>
      <w:r>
        <w:rPr>
          <w:rFonts w:ascii="宋体" w:hAnsi="宋体" w:eastAsia="宋体" w:cs="宋体"/>
          <w:sz w:val="27"/>
          <w:szCs w:val="27"/>
        </w:rPr>
        <w:t xml:space="preserve"> </w:t>
      </w:r>
      <w:r>
        <w:rPr>
          <w:rFonts w:ascii="宋体" w:hAnsi="宋体" w:eastAsia="宋体" w:cs="宋体"/>
          <w:spacing w:val="-7"/>
          <w:sz w:val="27"/>
          <w:szCs w:val="27"/>
        </w:rPr>
        <w:t>制阶段；设计定型阶段)详述。</w:t>
      </w:r>
    </w:p>
    <w:p w14:paraId="19904AB7">
      <w:pPr>
        <w:spacing w:before="2" w:line="275" w:lineRule="auto"/>
        <w:ind w:right="105" w:firstLine="560"/>
        <w:rPr>
          <w:rFonts w:ascii="宋体" w:hAnsi="宋体" w:eastAsia="宋体" w:cs="宋体"/>
          <w:sz w:val="27"/>
          <w:szCs w:val="27"/>
        </w:rPr>
      </w:pPr>
      <w:r>
        <w:rPr>
          <w:rFonts w:ascii="宋体" w:hAnsi="宋体" w:eastAsia="宋体" w:cs="宋体"/>
          <w:spacing w:val="-3"/>
          <w:sz w:val="27"/>
          <w:szCs w:val="27"/>
        </w:rPr>
        <w:t>在叙述研制过程时，要把主要时间节点及其对应的事件交待清楚，并</w:t>
      </w:r>
      <w:r>
        <w:rPr>
          <w:rFonts w:ascii="宋体" w:hAnsi="宋体" w:eastAsia="宋体" w:cs="宋体"/>
          <w:spacing w:val="-4"/>
          <w:sz w:val="27"/>
          <w:szCs w:val="27"/>
        </w:rPr>
        <w:t>且要保</w:t>
      </w:r>
      <w:r>
        <w:rPr>
          <w:rFonts w:ascii="宋体" w:hAnsi="宋体" w:eastAsia="宋体" w:cs="宋体"/>
          <w:sz w:val="27"/>
          <w:szCs w:val="27"/>
        </w:rPr>
        <w:t xml:space="preserve"> </w:t>
      </w:r>
      <w:r>
        <w:rPr>
          <w:rFonts w:ascii="宋体" w:hAnsi="宋体" w:eastAsia="宋体" w:cs="宋体"/>
          <w:spacing w:val="-7"/>
          <w:sz w:val="27"/>
          <w:szCs w:val="27"/>
        </w:rPr>
        <w:t>证系统、分系统和设备各自叙述的时间、内容协调一致。</w:t>
      </w:r>
    </w:p>
    <w:p w14:paraId="5CA307C2">
      <w:pPr>
        <w:spacing w:before="37" w:line="221" w:lineRule="auto"/>
        <w:rPr>
          <w:rFonts w:ascii="黑体" w:hAnsi="黑体" w:eastAsia="黑体" w:cs="黑体"/>
          <w:sz w:val="25"/>
          <w:szCs w:val="25"/>
        </w:rPr>
      </w:pPr>
      <w:r>
        <w:rPr>
          <w:rFonts w:ascii="黑体" w:hAnsi="黑体" w:eastAsia="黑体" w:cs="黑体"/>
          <w:spacing w:val="12"/>
          <w:sz w:val="25"/>
          <w:szCs w:val="25"/>
        </w:rPr>
        <w:t>2.2.</w:t>
      </w:r>
      <w:r>
        <w:rPr>
          <w:rFonts w:ascii="黑体" w:hAnsi="黑体" w:eastAsia="黑体" w:cs="黑体"/>
          <w:b/>
          <w:bCs/>
          <w:spacing w:val="12"/>
          <w:sz w:val="25"/>
          <w:szCs w:val="25"/>
        </w:rPr>
        <w:t>1</w:t>
      </w:r>
      <w:r>
        <w:rPr>
          <w:rFonts w:ascii="黑体" w:hAnsi="黑体" w:eastAsia="黑体" w:cs="黑体"/>
          <w:spacing w:val="34"/>
          <w:sz w:val="25"/>
          <w:szCs w:val="25"/>
        </w:rPr>
        <w:t xml:space="preserve">  </w:t>
      </w:r>
      <w:r>
        <w:rPr>
          <w:rFonts w:ascii="黑体" w:hAnsi="黑体" w:eastAsia="黑体" w:cs="黑体"/>
          <w:b/>
          <w:bCs/>
          <w:spacing w:val="12"/>
          <w:sz w:val="25"/>
          <w:szCs w:val="25"/>
        </w:rPr>
        <w:t>方案阶段</w:t>
      </w:r>
    </w:p>
    <w:p w14:paraId="6B5A6182">
      <w:pPr>
        <w:spacing w:before="96" w:line="283" w:lineRule="auto"/>
        <w:ind w:right="102" w:firstLine="560"/>
        <w:rPr>
          <w:rFonts w:ascii="宋体" w:hAnsi="宋体" w:eastAsia="宋体" w:cs="宋体"/>
          <w:sz w:val="27"/>
          <w:szCs w:val="27"/>
        </w:rPr>
      </w:pPr>
      <w:r>
        <w:rPr>
          <w:rFonts w:ascii="宋体" w:hAnsi="宋体" w:eastAsia="宋体" w:cs="宋体"/>
          <w:spacing w:val="-3"/>
          <w:sz w:val="27"/>
          <w:szCs w:val="27"/>
        </w:rPr>
        <w:t>简要说明方案阶段工作内容，包括时间节点、主要工作及完成情况、主要成</w:t>
      </w:r>
      <w:r>
        <w:rPr>
          <w:rFonts w:ascii="宋体" w:hAnsi="宋体" w:eastAsia="宋体" w:cs="宋体"/>
          <w:sz w:val="27"/>
          <w:szCs w:val="27"/>
        </w:rPr>
        <w:t xml:space="preserve"> </w:t>
      </w:r>
      <w:r>
        <w:rPr>
          <w:rFonts w:ascii="宋体" w:hAnsi="宋体" w:eastAsia="宋体" w:cs="宋体"/>
          <w:spacing w:val="-8"/>
          <w:sz w:val="27"/>
          <w:szCs w:val="27"/>
        </w:rPr>
        <w:t>果、转阶段评审情况等内容。</w:t>
      </w:r>
    </w:p>
    <w:p w14:paraId="5B98B3FC">
      <w:pPr>
        <w:spacing w:before="28" w:line="222" w:lineRule="auto"/>
        <w:rPr>
          <w:rFonts w:ascii="黑体" w:hAnsi="黑体" w:eastAsia="黑体" w:cs="黑体"/>
          <w:sz w:val="25"/>
          <w:szCs w:val="25"/>
        </w:rPr>
      </w:pPr>
      <w:r>
        <w:rPr>
          <w:rFonts w:ascii="黑体" w:hAnsi="黑体" w:eastAsia="黑体" w:cs="黑体"/>
          <w:spacing w:val="10"/>
          <w:sz w:val="25"/>
          <w:szCs w:val="25"/>
        </w:rPr>
        <w:t>2.2.2</w:t>
      </w:r>
      <w:r>
        <w:rPr>
          <w:rFonts w:ascii="黑体" w:hAnsi="黑体" w:eastAsia="黑体" w:cs="黑体"/>
          <w:spacing w:val="47"/>
          <w:sz w:val="25"/>
          <w:szCs w:val="25"/>
        </w:rPr>
        <w:t xml:space="preserve">  </w:t>
      </w:r>
      <w:r>
        <w:rPr>
          <w:rFonts w:ascii="黑体" w:hAnsi="黑体" w:eastAsia="黑体" w:cs="黑体"/>
          <w:b/>
          <w:bCs/>
          <w:spacing w:val="10"/>
          <w:sz w:val="25"/>
          <w:szCs w:val="25"/>
        </w:rPr>
        <w:t>工程研制阶段</w:t>
      </w:r>
    </w:p>
    <w:p w14:paraId="1C59E91C">
      <w:pPr>
        <w:spacing w:before="105" w:line="282" w:lineRule="auto"/>
        <w:ind w:right="100" w:firstLine="560"/>
        <w:rPr>
          <w:rFonts w:ascii="宋体" w:hAnsi="宋体" w:eastAsia="宋体" w:cs="宋体"/>
          <w:sz w:val="27"/>
          <w:szCs w:val="27"/>
        </w:rPr>
      </w:pPr>
      <w:r>
        <w:rPr>
          <w:rFonts w:ascii="宋体" w:hAnsi="宋体" w:eastAsia="宋体" w:cs="宋体"/>
          <w:spacing w:val="-3"/>
          <w:sz w:val="27"/>
          <w:szCs w:val="27"/>
        </w:rPr>
        <w:t>简要说明工程研制阶段工作内容，包括时间节点、主要工作及完成情况、主</w:t>
      </w:r>
      <w:r>
        <w:rPr>
          <w:rFonts w:ascii="宋体" w:hAnsi="宋体" w:eastAsia="宋体" w:cs="宋体"/>
          <w:spacing w:val="2"/>
          <w:sz w:val="27"/>
          <w:szCs w:val="27"/>
        </w:rPr>
        <w:t xml:space="preserve"> </w:t>
      </w:r>
      <w:r>
        <w:rPr>
          <w:rFonts w:ascii="宋体" w:hAnsi="宋体" w:eastAsia="宋体" w:cs="宋体"/>
          <w:spacing w:val="-6"/>
          <w:sz w:val="27"/>
          <w:szCs w:val="27"/>
        </w:rPr>
        <w:t>要成果、转阶段评审情况等内容。</w:t>
      </w:r>
    </w:p>
    <w:p w14:paraId="11C67B18">
      <w:pPr>
        <w:spacing w:before="1" w:line="221" w:lineRule="auto"/>
        <w:rPr>
          <w:rFonts w:ascii="黑体" w:hAnsi="黑体" w:eastAsia="黑体" w:cs="黑体"/>
          <w:sz w:val="27"/>
          <w:szCs w:val="27"/>
        </w:rPr>
      </w:pPr>
      <w:r>
        <w:rPr>
          <w:rFonts w:ascii="黑体" w:hAnsi="黑体" w:eastAsia="黑体" w:cs="黑体"/>
          <w:spacing w:val="-3"/>
          <w:sz w:val="27"/>
          <w:szCs w:val="27"/>
        </w:rPr>
        <w:t>2.2.</w:t>
      </w:r>
      <w:r>
        <w:rPr>
          <w:rFonts w:ascii="黑体" w:hAnsi="黑体" w:eastAsia="黑体" w:cs="黑体"/>
          <w:b/>
          <w:bCs/>
          <w:spacing w:val="-3"/>
          <w:sz w:val="27"/>
          <w:szCs w:val="27"/>
        </w:rPr>
        <w:t>3</w:t>
      </w:r>
      <w:r>
        <w:rPr>
          <w:rFonts w:ascii="黑体" w:hAnsi="黑体" w:eastAsia="黑体" w:cs="黑体"/>
          <w:spacing w:val="22"/>
          <w:sz w:val="27"/>
          <w:szCs w:val="27"/>
        </w:rPr>
        <w:t xml:space="preserve">  </w:t>
      </w:r>
      <w:r>
        <w:rPr>
          <w:rFonts w:ascii="黑体" w:hAnsi="黑体" w:eastAsia="黑体" w:cs="黑体"/>
          <w:b/>
          <w:bCs/>
          <w:spacing w:val="-3"/>
          <w:sz w:val="27"/>
          <w:szCs w:val="27"/>
        </w:rPr>
        <w:t>设计定型阶段</w:t>
      </w:r>
    </w:p>
    <w:p w14:paraId="22AE57BC">
      <w:pPr>
        <w:spacing w:before="100" w:line="289" w:lineRule="auto"/>
        <w:ind w:right="100" w:firstLine="560"/>
        <w:rPr>
          <w:rFonts w:ascii="宋体" w:hAnsi="宋体" w:eastAsia="宋体" w:cs="宋体"/>
          <w:sz w:val="27"/>
          <w:szCs w:val="27"/>
        </w:rPr>
      </w:pPr>
      <w:r>
        <w:rPr>
          <w:rFonts w:ascii="宋体" w:hAnsi="宋体" w:eastAsia="宋体" w:cs="宋体"/>
          <w:spacing w:val="-3"/>
          <w:sz w:val="27"/>
          <w:szCs w:val="27"/>
        </w:rPr>
        <w:t>简要说明设计定型阶段工作内容，包括时间节点、主要工作及完成情况、主</w:t>
      </w:r>
      <w:r>
        <w:rPr>
          <w:rFonts w:ascii="宋体" w:hAnsi="宋体" w:eastAsia="宋体" w:cs="宋体"/>
          <w:spacing w:val="2"/>
          <w:sz w:val="27"/>
          <w:szCs w:val="27"/>
        </w:rPr>
        <w:t xml:space="preserve"> </w:t>
      </w:r>
      <w:r>
        <w:rPr>
          <w:rFonts w:ascii="宋体" w:hAnsi="宋体" w:eastAsia="宋体" w:cs="宋体"/>
          <w:sz w:val="27"/>
          <w:szCs w:val="27"/>
        </w:rPr>
        <w:t>要成果等内容。</w:t>
      </w:r>
    </w:p>
    <w:p w14:paraId="2BB477A8">
      <w:pPr>
        <w:spacing w:before="1" w:line="220"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23"/>
          <w:sz w:val="27"/>
          <w:szCs w:val="27"/>
        </w:rPr>
        <w:t xml:space="preserve">  </w:t>
      </w:r>
      <w:r>
        <w:rPr>
          <w:rFonts w:ascii="黑体" w:hAnsi="黑体" w:eastAsia="黑体" w:cs="黑体"/>
          <w:b/>
          <w:bCs/>
          <w:spacing w:val="-1"/>
          <w:sz w:val="27"/>
          <w:szCs w:val="27"/>
        </w:rPr>
        <w:t>设计定型试验情况</w:t>
      </w:r>
    </w:p>
    <w:p w14:paraId="6154E957">
      <w:pPr>
        <w:spacing w:before="114" w:line="279" w:lineRule="auto"/>
        <w:ind w:firstLine="560"/>
        <w:jc w:val="both"/>
        <w:rPr>
          <w:rFonts w:ascii="宋体" w:hAnsi="宋体" w:eastAsia="宋体" w:cs="宋体"/>
          <w:sz w:val="27"/>
          <w:szCs w:val="27"/>
        </w:rPr>
      </w:pPr>
      <w:r>
        <w:rPr>
          <w:rFonts w:ascii="宋体" w:hAnsi="宋体" w:eastAsia="宋体" w:cs="宋体"/>
          <w:spacing w:val="9"/>
          <w:sz w:val="27"/>
          <w:szCs w:val="27"/>
        </w:rPr>
        <w:t>简述试验基地试验(包括环境鉴定试验、可靠性鉴定试验、设计定型试验</w:t>
      </w:r>
      <w:r>
        <w:rPr>
          <w:rFonts w:ascii="宋体" w:hAnsi="宋体" w:eastAsia="宋体" w:cs="宋体"/>
          <w:spacing w:val="17"/>
          <w:sz w:val="27"/>
          <w:szCs w:val="27"/>
        </w:rPr>
        <w:t xml:space="preserve"> </w:t>
      </w:r>
      <w:r>
        <w:rPr>
          <w:rFonts w:ascii="宋体" w:hAnsi="宋体" w:eastAsia="宋体" w:cs="宋体"/>
          <w:spacing w:val="-6"/>
          <w:sz w:val="27"/>
          <w:szCs w:val="27"/>
        </w:rPr>
        <w:t>等)、部队试验、软件定型测评等试验情况及部队试用情况。包括试验时间、试验</w:t>
      </w:r>
      <w:r>
        <w:rPr>
          <w:rFonts w:ascii="宋体" w:hAnsi="宋体" w:eastAsia="宋体" w:cs="宋体"/>
          <w:spacing w:val="1"/>
          <w:sz w:val="27"/>
          <w:szCs w:val="27"/>
        </w:rPr>
        <w:t xml:space="preserve"> </w:t>
      </w:r>
      <w:r>
        <w:rPr>
          <w:rFonts w:ascii="宋体" w:hAnsi="宋体" w:eastAsia="宋体" w:cs="宋体"/>
          <w:spacing w:val="-21"/>
          <w:sz w:val="27"/>
          <w:szCs w:val="27"/>
        </w:rPr>
        <w:t>地点、组织单位、参加单位、样品数量、试验条件、试验内容、合格判据、试验结果、</w:t>
      </w:r>
      <w:r>
        <w:rPr>
          <w:rFonts w:ascii="宋体" w:hAnsi="宋体" w:eastAsia="宋体" w:cs="宋体"/>
          <w:spacing w:val="11"/>
          <w:sz w:val="27"/>
          <w:szCs w:val="27"/>
        </w:rPr>
        <w:t xml:space="preserve"> </w:t>
      </w:r>
      <w:r>
        <w:rPr>
          <w:rFonts w:ascii="宋体" w:hAnsi="宋体" w:eastAsia="宋体" w:cs="宋体"/>
          <w:sz w:val="27"/>
          <w:szCs w:val="27"/>
        </w:rPr>
        <w:t>存在问题等。</w:t>
      </w:r>
    </w:p>
    <w:p w14:paraId="0C97803F">
      <w:pPr>
        <w:spacing w:before="35" w:line="270" w:lineRule="auto"/>
        <w:ind w:right="121" w:firstLine="560"/>
        <w:rPr>
          <w:rFonts w:ascii="宋体" w:hAnsi="宋体" w:eastAsia="宋体" w:cs="宋体"/>
          <w:sz w:val="27"/>
          <w:szCs w:val="27"/>
        </w:rPr>
      </w:pPr>
      <w:r>
        <w:rPr>
          <w:rFonts w:ascii="宋体" w:hAnsi="宋体" w:eastAsia="宋体" w:cs="宋体"/>
          <w:spacing w:val="5"/>
          <w:sz w:val="27"/>
          <w:szCs w:val="27"/>
        </w:rPr>
        <w:t>因为试验大纲和试验报告有专门的文件，这里可以简述</w:t>
      </w:r>
      <w:r>
        <w:rPr>
          <w:rFonts w:ascii="宋体" w:hAnsi="宋体" w:eastAsia="宋体" w:cs="宋体"/>
          <w:spacing w:val="4"/>
          <w:sz w:val="27"/>
          <w:szCs w:val="27"/>
        </w:rPr>
        <w:t>，但要把问题讲清</w:t>
      </w:r>
      <w:r>
        <w:rPr>
          <w:rFonts w:ascii="宋体" w:hAnsi="宋体" w:eastAsia="宋体" w:cs="宋体"/>
          <w:sz w:val="27"/>
          <w:szCs w:val="27"/>
        </w:rPr>
        <w:t xml:space="preserve"> </w:t>
      </w:r>
      <w:r>
        <w:rPr>
          <w:rFonts w:ascii="宋体" w:hAnsi="宋体" w:eastAsia="宋体" w:cs="宋体"/>
          <w:spacing w:val="-11"/>
          <w:sz w:val="27"/>
          <w:szCs w:val="27"/>
        </w:rPr>
        <w:t>楚，特别是试验结果。</w:t>
      </w:r>
    </w:p>
    <w:p w14:paraId="1D7423E3">
      <w:pPr>
        <w:pStyle w:val="2"/>
        <w:spacing w:before="27" w:line="222" w:lineRule="auto"/>
        <w:rPr>
          <w:rFonts w:ascii="黑体" w:hAnsi="黑体" w:eastAsia="黑体" w:cs="黑体"/>
          <w:sz w:val="27"/>
          <w:szCs w:val="27"/>
        </w:rPr>
      </w:pPr>
      <w:r>
        <w:rPr>
          <w:b/>
          <w:bCs/>
          <w:spacing w:val="3"/>
          <w:sz w:val="27"/>
          <w:szCs w:val="27"/>
        </w:rPr>
        <w:t xml:space="preserve">4   </w:t>
      </w:r>
      <w:r>
        <w:rPr>
          <w:rFonts w:ascii="黑体" w:hAnsi="黑体" w:eastAsia="黑体" w:cs="黑体"/>
          <w:b/>
          <w:bCs/>
          <w:spacing w:val="3"/>
          <w:sz w:val="27"/>
          <w:szCs w:val="27"/>
        </w:rPr>
        <w:t>出现的重大技术问题及解决情况</w:t>
      </w:r>
    </w:p>
    <w:p w14:paraId="737B463E">
      <w:pPr>
        <w:pStyle w:val="2"/>
        <w:spacing w:before="71" w:line="212" w:lineRule="auto"/>
        <w:rPr>
          <w:sz w:val="27"/>
          <w:szCs w:val="27"/>
        </w:rPr>
      </w:pPr>
      <w:r>
        <w:rPr>
          <w:spacing w:val="6"/>
          <w:sz w:val="27"/>
          <w:szCs w:val="27"/>
        </w:rPr>
        <w:t>4.</w:t>
      </w:r>
      <w:r>
        <w:rPr>
          <w:spacing w:val="-25"/>
          <w:sz w:val="27"/>
          <w:szCs w:val="27"/>
        </w:rPr>
        <w:t xml:space="preserve"> </w:t>
      </w:r>
      <w:r>
        <w:rPr>
          <w:spacing w:val="6"/>
          <w:sz w:val="27"/>
          <w:szCs w:val="27"/>
        </w:rPr>
        <w:t>X</w:t>
      </w:r>
      <w:r>
        <w:rPr>
          <w:spacing w:val="20"/>
          <w:sz w:val="27"/>
          <w:szCs w:val="27"/>
        </w:rPr>
        <w:t xml:space="preserve">   </w:t>
      </w:r>
      <w:r>
        <w:rPr>
          <w:rFonts w:ascii="黑体" w:hAnsi="黑体" w:eastAsia="黑体" w:cs="黑体"/>
          <w:b/>
          <w:bCs/>
          <w:spacing w:val="6"/>
          <w:sz w:val="27"/>
          <w:szCs w:val="27"/>
        </w:rPr>
        <w:t>(重大技术问题</w:t>
      </w:r>
      <w:r>
        <w:rPr>
          <w:spacing w:val="6"/>
          <w:sz w:val="27"/>
          <w:szCs w:val="27"/>
        </w:rPr>
        <w:t>X)</w:t>
      </w:r>
    </w:p>
    <w:p w14:paraId="367D9092">
      <w:pPr>
        <w:spacing w:before="135" w:line="222" w:lineRule="auto"/>
        <w:rPr>
          <w:rFonts w:ascii="黑体" w:hAnsi="黑体" w:eastAsia="黑体" w:cs="黑体"/>
          <w:sz w:val="25"/>
          <w:szCs w:val="25"/>
        </w:rPr>
      </w:pPr>
      <w:r>
        <w:rPr>
          <w:rFonts w:ascii="Times New Roman" w:hAnsi="Times New Roman" w:eastAsia="Times New Roman" w:cs="Times New Roman"/>
          <w:spacing w:val="6"/>
          <w:sz w:val="25"/>
          <w:szCs w:val="25"/>
        </w:rPr>
        <w:t>4.X.1</w:t>
      </w:r>
      <w:r>
        <w:rPr>
          <w:rFonts w:ascii="Times New Roman" w:hAnsi="Times New Roman" w:eastAsia="Times New Roman" w:cs="Times New Roman"/>
          <w:spacing w:val="8"/>
          <w:sz w:val="25"/>
          <w:szCs w:val="25"/>
        </w:rPr>
        <w:t xml:space="preserve">       </w:t>
      </w:r>
      <w:r>
        <w:rPr>
          <w:rFonts w:ascii="黑体" w:hAnsi="黑体" w:eastAsia="黑体" w:cs="黑体"/>
          <w:b/>
          <w:bCs/>
          <w:spacing w:val="6"/>
          <w:sz w:val="25"/>
          <w:szCs w:val="25"/>
        </w:rPr>
        <w:t>问题描述</w:t>
      </w:r>
    </w:p>
    <w:p w14:paraId="21B5200C">
      <w:pPr>
        <w:spacing w:before="102" w:line="219" w:lineRule="auto"/>
        <w:ind w:left="560"/>
        <w:rPr>
          <w:rFonts w:ascii="宋体" w:hAnsi="宋体" w:eastAsia="宋体" w:cs="宋体"/>
          <w:sz w:val="27"/>
          <w:szCs w:val="27"/>
        </w:rPr>
      </w:pPr>
      <w:r>
        <w:rPr>
          <w:rFonts w:ascii="宋体" w:hAnsi="宋体" w:eastAsia="宋体" w:cs="宋体"/>
          <w:spacing w:val="3"/>
          <w:sz w:val="27"/>
          <w:szCs w:val="27"/>
        </w:rPr>
        <w:t>清晰叙述出现的重大技术问题的基本情况。</w:t>
      </w:r>
    </w:p>
    <w:p w14:paraId="0D0006D6">
      <w:pPr>
        <w:spacing w:before="141" w:line="293" w:lineRule="auto"/>
        <w:ind w:right="101" w:firstLine="560"/>
        <w:rPr>
          <w:rFonts w:ascii="宋体" w:hAnsi="宋体" w:eastAsia="宋体" w:cs="宋体"/>
          <w:sz w:val="25"/>
          <w:szCs w:val="25"/>
        </w:rPr>
      </w:pPr>
      <w:r>
        <w:rPr>
          <w:rFonts w:ascii="宋体" w:hAnsi="宋体" w:eastAsia="宋体" w:cs="宋体"/>
          <w:spacing w:val="25"/>
          <w:sz w:val="25"/>
          <w:szCs w:val="25"/>
        </w:rPr>
        <w:t>重大技术问题主要是指研制过程中出现的影响安全的问题、产品功能和主</w:t>
      </w:r>
      <w:r>
        <w:rPr>
          <w:rFonts w:ascii="宋体" w:hAnsi="宋体" w:eastAsia="宋体" w:cs="宋体"/>
          <w:spacing w:val="12"/>
          <w:sz w:val="25"/>
          <w:szCs w:val="25"/>
        </w:rPr>
        <w:t xml:space="preserve"> </w:t>
      </w:r>
      <w:r>
        <w:rPr>
          <w:rFonts w:ascii="宋体" w:hAnsi="宋体" w:eastAsia="宋体" w:cs="宋体"/>
          <w:spacing w:val="26"/>
          <w:sz w:val="25"/>
          <w:szCs w:val="25"/>
        </w:rPr>
        <w:t>要战术技术指标无法实现的问题、反复出现的</w:t>
      </w:r>
      <w:r>
        <w:rPr>
          <w:rFonts w:ascii="宋体" w:hAnsi="宋体" w:eastAsia="宋体" w:cs="宋体"/>
          <w:spacing w:val="25"/>
          <w:sz w:val="25"/>
          <w:szCs w:val="25"/>
        </w:rPr>
        <w:t>影响研制进度的问题以及其他对</w:t>
      </w:r>
      <w:r>
        <w:rPr>
          <w:rFonts w:ascii="宋体" w:hAnsi="宋体" w:eastAsia="宋体" w:cs="宋体"/>
          <w:sz w:val="25"/>
          <w:szCs w:val="25"/>
        </w:rPr>
        <w:t xml:space="preserve"> </w:t>
      </w:r>
      <w:r>
        <w:rPr>
          <w:rFonts w:ascii="宋体" w:hAnsi="宋体" w:eastAsia="宋体" w:cs="宋体"/>
          <w:spacing w:val="22"/>
          <w:sz w:val="25"/>
          <w:szCs w:val="25"/>
        </w:rPr>
        <w:t>研制工作产生重大影响的技术问题。</w:t>
      </w:r>
    </w:p>
    <w:p w14:paraId="70490390">
      <w:pPr>
        <w:spacing w:before="76" w:line="222" w:lineRule="auto"/>
        <w:rPr>
          <w:rFonts w:ascii="黑体" w:hAnsi="黑体" w:eastAsia="黑体" w:cs="黑体"/>
          <w:sz w:val="25"/>
          <w:szCs w:val="25"/>
        </w:rPr>
      </w:pPr>
      <w:r>
        <w:rPr>
          <w:rFonts w:ascii="Times New Roman" w:hAnsi="Times New Roman" w:eastAsia="Times New Roman" w:cs="Times New Roman"/>
          <w:spacing w:val="6"/>
          <w:sz w:val="25"/>
          <w:szCs w:val="25"/>
        </w:rPr>
        <w:t xml:space="preserve">4.X.  </w:t>
      </w:r>
      <w:r>
        <w:rPr>
          <w:rFonts w:ascii="黑体" w:hAnsi="黑体" w:eastAsia="黑体" w:cs="黑体"/>
          <w:spacing w:val="6"/>
          <w:sz w:val="25"/>
          <w:szCs w:val="25"/>
        </w:rPr>
        <w:t>2</w:t>
      </w:r>
      <w:r>
        <w:rPr>
          <w:rFonts w:ascii="黑体" w:hAnsi="黑体" w:eastAsia="黑体" w:cs="黑体"/>
          <w:spacing w:val="54"/>
          <w:sz w:val="25"/>
          <w:szCs w:val="25"/>
        </w:rPr>
        <w:t xml:space="preserve">  </w:t>
      </w:r>
      <w:r>
        <w:rPr>
          <w:rFonts w:ascii="黑体" w:hAnsi="黑体" w:eastAsia="黑体" w:cs="黑体"/>
          <w:b/>
          <w:bCs/>
          <w:spacing w:val="6"/>
          <w:sz w:val="25"/>
          <w:szCs w:val="25"/>
        </w:rPr>
        <w:t>原因分析</w:t>
      </w:r>
    </w:p>
    <w:p w14:paraId="2BC3CEB6">
      <w:pPr>
        <w:spacing w:before="154" w:line="219" w:lineRule="auto"/>
        <w:ind w:left="560"/>
        <w:rPr>
          <w:rFonts w:ascii="宋体" w:hAnsi="宋体" w:eastAsia="宋体" w:cs="宋体"/>
          <w:sz w:val="27"/>
          <w:szCs w:val="27"/>
        </w:rPr>
      </w:pPr>
      <w:r>
        <w:rPr>
          <w:rFonts w:ascii="宋体" w:hAnsi="宋体" w:eastAsia="宋体" w:cs="宋体"/>
          <w:spacing w:val="1"/>
          <w:sz w:val="27"/>
          <w:szCs w:val="27"/>
        </w:rPr>
        <w:t>概要描述分析查找原因情况。</w:t>
      </w:r>
    </w:p>
    <w:p w14:paraId="61D5DA57">
      <w:pPr>
        <w:spacing w:line="219" w:lineRule="auto"/>
        <w:rPr>
          <w:rFonts w:ascii="宋体" w:hAnsi="宋体" w:eastAsia="宋体" w:cs="宋体"/>
          <w:sz w:val="27"/>
          <w:szCs w:val="27"/>
        </w:rPr>
        <w:sectPr>
          <w:footerReference r:id="rId150" w:type="default"/>
          <w:pgSz w:w="11910" w:h="17130"/>
          <w:pgMar w:top="400" w:right="1325" w:bottom="1573" w:left="1110" w:header="0" w:footer="1375" w:gutter="0"/>
          <w:cols w:space="720" w:num="1"/>
        </w:sectPr>
      </w:pPr>
    </w:p>
    <w:p w14:paraId="2477055D">
      <w:pPr>
        <w:pStyle w:val="2"/>
        <w:spacing w:line="296" w:lineRule="auto"/>
      </w:pPr>
    </w:p>
    <w:p w14:paraId="1A5793D1">
      <w:pPr>
        <w:pStyle w:val="2"/>
        <w:spacing w:line="296" w:lineRule="auto"/>
      </w:pPr>
    </w:p>
    <w:p w14:paraId="54516368">
      <w:pPr>
        <w:pStyle w:val="2"/>
        <w:spacing w:line="297" w:lineRule="auto"/>
      </w:pPr>
    </w:p>
    <w:p w14:paraId="611CAC9F">
      <w:pPr>
        <w:pStyle w:val="2"/>
        <w:spacing w:line="297" w:lineRule="auto"/>
      </w:pPr>
    </w:p>
    <w:p w14:paraId="05DB91AE">
      <w:pPr>
        <w:spacing w:before="88" w:line="223" w:lineRule="auto"/>
        <w:rPr>
          <w:rFonts w:ascii="黑体" w:hAnsi="黑体" w:eastAsia="黑体" w:cs="黑体"/>
          <w:sz w:val="27"/>
          <w:szCs w:val="27"/>
        </w:rPr>
      </w:pPr>
      <w:r>
        <w:rPr>
          <w:rFonts w:ascii="Times New Roman" w:hAnsi="Times New Roman" w:eastAsia="Times New Roman" w:cs="Times New Roman"/>
          <w:spacing w:val="-2"/>
          <w:sz w:val="27"/>
          <w:szCs w:val="27"/>
        </w:rPr>
        <w:t>4.X.3</w:t>
      </w:r>
      <w:r>
        <w:rPr>
          <w:rFonts w:ascii="Times New Roman" w:hAnsi="Times New Roman" w:eastAsia="Times New Roman" w:cs="Times New Roman"/>
          <w:spacing w:val="7"/>
          <w:sz w:val="27"/>
          <w:szCs w:val="27"/>
        </w:rPr>
        <w:t xml:space="preserve">      </w:t>
      </w:r>
      <w:r>
        <w:rPr>
          <w:rFonts w:ascii="黑体" w:hAnsi="黑体" w:eastAsia="黑体" w:cs="黑体"/>
          <w:spacing w:val="-2"/>
          <w:sz w:val="27"/>
          <w:szCs w:val="27"/>
        </w:rPr>
        <w:t>纠正措施</w:t>
      </w:r>
    </w:p>
    <w:p w14:paraId="0C473855">
      <w:pPr>
        <w:spacing w:before="121" w:line="219" w:lineRule="auto"/>
        <w:ind w:left="560"/>
        <w:rPr>
          <w:rFonts w:ascii="宋体" w:hAnsi="宋体" w:eastAsia="宋体" w:cs="宋体"/>
          <w:sz w:val="27"/>
          <w:szCs w:val="27"/>
        </w:rPr>
      </w:pPr>
      <w:r>
        <w:rPr>
          <w:rFonts w:ascii="宋体" w:hAnsi="宋体" w:eastAsia="宋体" w:cs="宋体"/>
          <w:spacing w:val="-4"/>
          <w:sz w:val="27"/>
          <w:szCs w:val="27"/>
        </w:rPr>
        <w:t>针对原因分析，说明已采取的纠正措施。</w:t>
      </w:r>
    </w:p>
    <w:p w14:paraId="050B9CCE">
      <w:pPr>
        <w:spacing w:before="159" w:line="222" w:lineRule="auto"/>
        <w:rPr>
          <w:rFonts w:ascii="黑体" w:hAnsi="黑体" w:eastAsia="黑体" w:cs="黑体"/>
          <w:sz w:val="27"/>
          <w:szCs w:val="27"/>
        </w:rPr>
      </w:pPr>
      <w:r>
        <w:rPr>
          <w:rFonts w:ascii="Times New Roman" w:hAnsi="Times New Roman" w:eastAsia="Times New Roman" w:cs="Times New Roman"/>
          <w:spacing w:val="-2"/>
          <w:sz w:val="27"/>
          <w:szCs w:val="27"/>
        </w:rPr>
        <w:t>4.X.</w:t>
      </w:r>
      <w:r>
        <w:rPr>
          <w:rFonts w:ascii="Times New Roman" w:hAnsi="Times New Roman" w:eastAsia="Times New Roman" w:cs="Times New Roman"/>
          <w:spacing w:val="65"/>
          <w:sz w:val="27"/>
          <w:szCs w:val="27"/>
        </w:rPr>
        <w:t xml:space="preserve"> </w:t>
      </w:r>
      <w:r>
        <w:rPr>
          <w:rFonts w:ascii="黑体" w:hAnsi="黑体" w:eastAsia="黑体" w:cs="黑体"/>
          <w:spacing w:val="-2"/>
          <w:sz w:val="27"/>
          <w:szCs w:val="27"/>
        </w:rPr>
        <w:t>4</w:t>
      </w:r>
      <w:r>
        <w:rPr>
          <w:rFonts w:ascii="黑体" w:hAnsi="黑体" w:eastAsia="黑体" w:cs="黑体"/>
          <w:spacing w:val="19"/>
          <w:sz w:val="27"/>
          <w:szCs w:val="27"/>
        </w:rPr>
        <w:t xml:space="preserve">  </w:t>
      </w:r>
      <w:r>
        <w:rPr>
          <w:rFonts w:ascii="黑体" w:hAnsi="黑体" w:eastAsia="黑体" w:cs="黑体"/>
          <w:spacing w:val="-2"/>
          <w:sz w:val="27"/>
          <w:szCs w:val="27"/>
        </w:rPr>
        <w:t>验证情况</w:t>
      </w:r>
    </w:p>
    <w:p w14:paraId="1C0A6AAD">
      <w:pPr>
        <w:spacing w:before="106" w:line="267" w:lineRule="auto"/>
        <w:ind w:right="123" w:firstLine="560"/>
        <w:rPr>
          <w:rFonts w:ascii="宋体" w:hAnsi="宋体" w:eastAsia="宋体" w:cs="宋体"/>
          <w:sz w:val="27"/>
          <w:szCs w:val="27"/>
        </w:rPr>
      </w:pPr>
      <w:r>
        <w:rPr>
          <w:rFonts w:ascii="宋体" w:hAnsi="宋体" w:eastAsia="宋体" w:cs="宋体"/>
          <w:spacing w:val="-11"/>
          <w:sz w:val="27"/>
          <w:szCs w:val="27"/>
        </w:rPr>
        <w:t>简要描述纠正措施的验证归零情况，包括验证时间、验证地点、试验项目、验</w:t>
      </w:r>
      <w:r>
        <w:rPr>
          <w:rFonts w:ascii="宋体" w:hAnsi="宋体" w:eastAsia="宋体" w:cs="宋体"/>
          <w:spacing w:val="14"/>
          <w:sz w:val="27"/>
          <w:szCs w:val="27"/>
        </w:rPr>
        <w:t xml:space="preserve"> </w:t>
      </w:r>
      <w:r>
        <w:rPr>
          <w:rFonts w:ascii="宋体" w:hAnsi="宋体" w:eastAsia="宋体" w:cs="宋体"/>
          <w:spacing w:val="1"/>
          <w:sz w:val="27"/>
          <w:szCs w:val="27"/>
        </w:rPr>
        <w:t>证结果等。</w:t>
      </w:r>
    </w:p>
    <w:p w14:paraId="2C756E73">
      <w:pPr>
        <w:pStyle w:val="2"/>
        <w:spacing w:line="368" w:lineRule="exact"/>
        <w:rPr>
          <w:rFonts w:ascii="黑体" w:hAnsi="黑体" w:eastAsia="黑体" w:cs="黑体"/>
          <w:sz w:val="27"/>
          <w:szCs w:val="27"/>
        </w:rPr>
      </w:pPr>
      <w:r>
        <w:rPr>
          <w:spacing w:val="-10"/>
          <w:position w:val="1"/>
          <w:sz w:val="27"/>
          <w:szCs w:val="27"/>
        </w:rPr>
        <w:t xml:space="preserve">5    </w:t>
      </w:r>
      <w:r>
        <w:rPr>
          <w:rFonts w:ascii="黑体" w:hAnsi="黑体" w:eastAsia="黑体" w:cs="黑体"/>
          <w:spacing w:val="-10"/>
          <w:position w:val="1"/>
          <w:sz w:val="27"/>
          <w:szCs w:val="27"/>
        </w:rPr>
        <w:t>主要配套成品、设备、材料的定型、鉴定和质量供货情况</w:t>
      </w:r>
    </w:p>
    <w:p w14:paraId="494D2130">
      <w:pPr>
        <w:spacing w:before="128" w:line="222" w:lineRule="auto"/>
        <w:rPr>
          <w:rFonts w:ascii="黑体" w:hAnsi="黑体" w:eastAsia="黑体" w:cs="黑体"/>
          <w:sz w:val="24"/>
          <w:szCs w:val="24"/>
        </w:rPr>
      </w:pPr>
      <w:r>
        <w:rPr>
          <w:rFonts w:ascii="黑体" w:hAnsi="黑体" w:eastAsia="黑体" w:cs="黑体"/>
          <w:spacing w:val="24"/>
          <w:sz w:val="24"/>
          <w:szCs w:val="24"/>
        </w:rPr>
        <w:t>5.1</w:t>
      </w:r>
      <w:r>
        <w:rPr>
          <w:rFonts w:ascii="黑体" w:hAnsi="黑体" w:eastAsia="黑体" w:cs="黑体"/>
          <w:spacing w:val="51"/>
          <w:sz w:val="24"/>
          <w:szCs w:val="24"/>
        </w:rPr>
        <w:t xml:space="preserve">  </w:t>
      </w:r>
      <w:r>
        <w:rPr>
          <w:rFonts w:ascii="黑体" w:hAnsi="黑体" w:eastAsia="黑体" w:cs="黑体"/>
          <w:spacing w:val="24"/>
          <w:sz w:val="24"/>
          <w:szCs w:val="24"/>
        </w:rPr>
        <w:t>主要配套成品的定型、鉴定情况和质量供货情况</w:t>
      </w:r>
    </w:p>
    <w:p w14:paraId="095CA577">
      <w:pPr>
        <w:spacing w:before="96" w:line="283" w:lineRule="auto"/>
        <w:ind w:right="115" w:firstLine="560"/>
        <w:jc w:val="both"/>
        <w:rPr>
          <w:rFonts w:ascii="宋体" w:hAnsi="宋体" w:eastAsia="宋体" w:cs="宋体"/>
          <w:sz w:val="27"/>
          <w:szCs w:val="27"/>
        </w:rPr>
      </w:pPr>
      <w:r>
        <w:rPr>
          <w:rFonts w:ascii="宋体" w:hAnsi="宋体" w:eastAsia="宋体" w:cs="宋体"/>
          <w:spacing w:val="-3"/>
          <w:sz w:val="27"/>
          <w:szCs w:val="27"/>
        </w:rPr>
        <w:t>列表说明主要配套成品的种类、数量、生产厂家，并说明已定型、鉴定的种</w:t>
      </w:r>
      <w:r>
        <w:rPr>
          <w:rFonts w:ascii="宋体" w:hAnsi="宋体" w:eastAsia="宋体" w:cs="宋体"/>
          <w:spacing w:val="17"/>
          <w:sz w:val="27"/>
          <w:szCs w:val="27"/>
        </w:rPr>
        <w:t xml:space="preserve"> </w:t>
      </w:r>
      <w:r>
        <w:rPr>
          <w:rFonts w:ascii="宋体" w:hAnsi="宋体" w:eastAsia="宋体" w:cs="宋体"/>
          <w:spacing w:val="-17"/>
          <w:sz w:val="27"/>
          <w:szCs w:val="27"/>
        </w:rPr>
        <w:t>类、数量、型号规格、采用的标准号等；有军检验收的军品种类、数量；经质量体系</w:t>
      </w:r>
      <w:r>
        <w:rPr>
          <w:rFonts w:ascii="宋体" w:hAnsi="宋体" w:eastAsia="宋体" w:cs="宋体"/>
          <w:spacing w:val="11"/>
          <w:sz w:val="27"/>
          <w:szCs w:val="27"/>
        </w:rPr>
        <w:t xml:space="preserve"> </w:t>
      </w:r>
      <w:r>
        <w:rPr>
          <w:rFonts w:ascii="宋体" w:hAnsi="宋体" w:eastAsia="宋体" w:cs="宋体"/>
          <w:spacing w:val="-6"/>
          <w:sz w:val="27"/>
          <w:szCs w:val="27"/>
        </w:rPr>
        <w:t>认证的生产厂家的种类、数量等，同时说明供货保障情况。</w:t>
      </w:r>
    </w:p>
    <w:p w14:paraId="2315F906">
      <w:pPr>
        <w:pStyle w:val="2"/>
        <w:spacing w:line="341" w:lineRule="exact"/>
        <w:rPr>
          <w:rFonts w:ascii="黑体" w:hAnsi="黑体" w:eastAsia="黑体" w:cs="黑体"/>
          <w:sz w:val="25"/>
          <w:szCs w:val="25"/>
        </w:rPr>
      </w:pPr>
      <w:r>
        <w:rPr>
          <w:spacing w:val="16"/>
          <w:position w:val="1"/>
          <w:sz w:val="25"/>
          <w:szCs w:val="25"/>
        </w:rPr>
        <w:t xml:space="preserve">5.2    </w:t>
      </w:r>
      <w:r>
        <w:rPr>
          <w:rFonts w:ascii="黑体" w:hAnsi="黑体" w:eastAsia="黑体" w:cs="黑体"/>
          <w:spacing w:val="16"/>
          <w:position w:val="1"/>
          <w:sz w:val="25"/>
          <w:szCs w:val="25"/>
        </w:rPr>
        <w:t>主要配套设备的定型、鉴定情况和质</w:t>
      </w:r>
      <w:r>
        <w:rPr>
          <w:rFonts w:ascii="黑体" w:hAnsi="黑体" w:eastAsia="黑体" w:cs="黑体"/>
          <w:spacing w:val="15"/>
          <w:position w:val="1"/>
          <w:sz w:val="25"/>
          <w:szCs w:val="25"/>
        </w:rPr>
        <w:t>量供货情况</w:t>
      </w:r>
    </w:p>
    <w:p w14:paraId="5B5B6C8C">
      <w:pPr>
        <w:spacing w:before="97" w:line="281" w:lineRule="auto"/>
        <w:ind w:right="111" w:firstLine="560"/>
        <w:jc w:val="both"/>
        <w:rPr>
          <w:rFonts w:ascii="宋体" w:hAnsi="宋体" w:eastAsia="宋体" w:cs="宋体"/>
          <w:sz w:val="27"/>
          <w:szCs w:val="27"/>
        </w:rPr>
      </w:pPr>
      <w:r>
        <w:rPr>
          <w:rFonts w:ascii="宋体" w:hAnsi="宋体" w:eastAsia="宋体" w:cs="宋体"/>
          <w:spacing w:val="-3"/>
          <w:sz w:val="27"/>
          <w:szCs w:val="27"/>
        </w:rPr>
        <w:t>列表说明主要配套设备的种类、数量、生产厂家，并说明已定型、鉴定的种</w:t>
      </w:r>
      <w:r>
        <w:rPr>
          <w:rFonts w:ascii="宋体" w:hAnsi="宋体" w:eastAsia="宋体" w:cs="宋体"/>
          <w:spacing w:val="17"/>
          <w:sz w:val="27"/>
          <w:szCs w:val="27"/>
        </w:rPr>
        <w:t xml:space="preserve"> </w:t>
      </w:r>
      <w:r>
        <w:rPr>
          <w:rFonts w:ascii="宋体" w:hAnsi="宋体" w:eastAsia="宋体" w:cs="宋体"/>
          <w:spacing w:val="-16"/>
          <w:sz w:val="27"/>
          <w:szCs w:val="27"/>
        </w:rPr>
        <w:t>类、数量、型号规格、采用的标准号等；有军检验收的军品种类、数量</w:t>
      </w:r>
      <w:r>
        <w:rPr>
          <w:rFonts w:ascii="宋体" w:hAnsi="宋体" w:eastAsia="宋体" w:cs="宋体"/>
          <w:spacing w:val="-17"/>
          <w:sz w:val="27"/>
          <w:szCs w:val="27"/>
        </w:rPr>
        <w:t>；经质量体系</w:t>
      </w:r>
      <w:r>
        <w:rPr>
          <w:rFonts w:ascii="宋体" w:hAnsi="宋体" w:eastAsia="宋体" w:cs="宋体"/>
          <w:sz w:val="27"/>
          <w:szCs w:val="27"/>
        </w:rPr>
        <w:t xml:space="preserve"> </w:t>
      </w:r>
      <w:r>
        <w:rPr>
          <w:rFonts w:ascii="宋体" w:hAnsi="宋体" w:eastAsia="宋体" w:cs="宋体"/>
          <w:spacing w:val="-6"/>
          <w:sz w:val="27"/>
          <w:szCs w:val="27"/>
        </w:rPr>
        <w:t>认证的生产厂家的种类、数量等，同时说明供货保障情况。</w:t>
      </w:r>
    </w:p>
    <w:p w14:paraId="07E305BB">
      <w:pPr>
        <w:spacing w:before="24" w:line="222" w:lineRule="auto"/>
        <w:rPr>
          <w:rFonts w:ascii="黑体" w:hAnsi="黑体" w:eastAsia="黑体" w:cs="黑体"/>
          <w:sz w:val="25"/>
          <w:szCs w:val="25"/>
        </w:rPr>
      </w:pPr>
      <w:r>
        <w:rPr>
          <w:rFonts w:ascii="黑体" w:hAnsi="黑体" w:eastAsia="黑体" w:cs="黑体"/>
          <w:spacing w:val="17"/>
          <w:sz w:val="25"/>
          <w:szCs w:val="25"/>
        </w:rPr>
        <w:t>5.3  主要配套材料的定型、鉴定情况和质量供货情况</w:t>
      </w:r>
    </w:p>
    <w:p w14:paraId="017AE480">
      <w:pPr>
        <w:spacing w:before="109" w:line="278" w:lineRule="auto"/>
        <w:ind w:firstLine="560"/>
        <w:jc w:val="both"/>
        <w:rPr>
          <w:rFonts w:ascii="宋体" w:hAnsi="宋体" w:eastAsia="宋体" w:cs="宋体"/>
          <w:sz w:val="27"/>
          <w:szCs w:val="27"/>
        </w:rPr>
      </w:pPr>
      <w:r>
        <w:rPr>
          <w:rFonts w:ascii="宋体" w:hAnsi="宋体" w:eastAsia="宋体" w:cs="宋体"/>
          <w:spacing w:val="-7"/>
          <w:sz w:val="27"/>
          <w:szCs w:val="27"/>
        </w:rPr>
        <w:t>列表说明主要配套元器件、原材料的种类、数量、生产厂家，并说明已定型、</w:t>
      </w:r>
      <w:r>
        <w:rPr>
          <w:rFonts w:ascii="宋体" w:hAnsi="宋体" w:eastAsia="宋体" w:cs="宋体"/>
          <w:spacing w:val="1"/>
          <w:sz w:val="27"/>
          <w:szCs w:val="27"/>
        </w:rPr>
        <w:t xml:space="preserve"> </w:t>
      </w:r>
      <w:r>
        <w:rPr>
          <w:rFonts w:ascii="宋体" w:hAnsi="宋体" w:eastAsia="宋体" w:cs="宋体"/>
          <w:spacing w:val="-17"/>
          <w:sz w:val="27"/>
          <w:szCs w:val="27"/>
        </w:rPr>
        <w:t>鉴定的种类、数量、型号规格、采用的标准号等；有军检验收的军品种类、数量</w:t>
      </w:r>
      <w:r>
        <w:rPr>
          <w:rFonts w:ascii="宋体" w:hAnsi="宋体" w:eastAsia="宋体" w:cs="宋体"/>
          <w:spacing w:val="-18"/>
          <w:sz w:val="27"/>
          <w:szCs w:val="27"/>
        </w:rPr>
        <w:t>；经</w:t>
      </w:r>
      <w:r>
        <w:rPr>
          <w:rFonts w:ascii="宋体" w:hAnsi="宋体" w:eastAsia="宋体" w:cs="宋体"/>
          <w:sz w:val="27"/>
          <w:szCs w:val="27"/>
        </w:rPr>
        <w:t xml:space="preserve">  </w:t>
      </w:r>
      <w:r>
        <w:rPr>
          <w:rFonts w:ascii="宋体" w:hAnsi="宋体" w:eastAsia="宋体" w:cs="宋体"/>
          <w:spacing w:val="-5"/>
          <w:sz w:val="27"/>
          <w:szCs w:val="27"/>
        </w:rPr>
        <w:t>质量体系认证的生产厂家的种类、数量等，同时说明供货保障情况。</w:t>
      </w:r>
    </w:p>
    <w:p w14:paraId="79D99CBF">
      <w:pPr>
        <w:spacing w:before="2" w:line="220" w:lineRule="auto"/>
        <w:rPr>
          <w:rFonts w:ascii="黑体" w:hAnsi="黑体" w:eastAsia="黑体" w:cs="黑体"/>
          <w:sz w:val="27"/>
          <w:szCs w:val="27"/>
        </w:rPr>
      </w:pPr>
      <w:r>
        <w:rPr>
          <w:rFonts w:ascii="黑体" w:hAnsi="黑体" w:eastAsia="黑体" w:cs="黑体"/>
          <w:spacing w:val="5"/>
          <w:sz w:val="27"/>
          <w:szCs w:val="27"/>
        </w:rPr>
        <w:t>6  产品可靠性维修性测试性保障性安全性情况</w:t>
      </w:r>
    </w:p>
    <w:p w14:paraId="0B333BBF">
      <w:pPr>
        <w:spacing w:before="97" w:line="222" w:lineRule="auto"/>
        <w:rPr>
          <w:rFonts w:ascii="黑体" w:hAnsi="黑体" w:eastAsia="黑体" w:cs="黑体"/>
          <w:sz w:val="27"/>
          <w:szCs w:val="27"/>
        </w:rPr>
      </w:pPr>
      <w:r>
        <w:rPr>
          <w:rFonts w:ascii="黑体" w:hAnsi="黑体" w:eastAsia="黑体" w:cs="黑体"/>
          <w:spacing w:val="3"/>
          <w:sz w:val="27"/>
          <w:szCs w:val="27"/>
        </w:rPr>
        <w:t>6.1  产品可靠性情况</w:t>
      </w:r>
    </w:p>
    <w:p w14:paraId="658E1218">
      <w:pPr>
        <w:spacing w:before="97" w:line="276" w:lineRule="auto"/>
        <w:ind w:right="122" w:firstLine="560"/>
        <w:jc w:val="both"/>
        <w:rPr>
          <w:rFonts w:ascii="宋体" w:hAnsi="宋体" w:eastAsia="宋体" w:cs="宋体"/>
          <w:sz w:val="27"/>
          <w:szCs w:val="27"/>
        </w:rPr>
      </w:pPr>
      <w:r>
        <w:rPr>
          <w:rFonts w:ascii="宋体" w:hAnsi="宋体" w:eastAsia="宋体" w:cs="宋体"/>
          <w:spacing w:val="6"/>
          <w:sz w:val="27"/>
          <w:szCs w:val="27"/>
        </w:rPr>
        <w:t>概括说明研制过程中按照可靠性工作计划开展的</w:t>
      </w:r>
      <w:r>
        <w:rPr>
          <w:rFonts w:ascii="宋体" w:hAnsi="宋体" w:eastAsia="宋体" w:cs="宋体"/>
          <w:spacing w:val="5"/>
          <w:sz w:val="27"/>
          <w:szCs w:val="27"/>
        </w:rPr>
        <w:t>可靠性工作项目，包括设</w:t>
      </w:r>
      <w:r>
        <w:rPr>
          <w:rFonts w:ascii="宋体" w:hAnsi="宋体" w:eastAsia="宋体" w:cs="宋体"/>
          <w:sz w:val="27"/>
          <w:szCs w:val="27"/>
        </w:rPr>
        <w:t xml:space="preserve"> </w:t>
      </w:r>
      <w:r>
        <w:rPr>
          <w:rFonts w:ascii="宋体" w:hAnsi="宋体" w:eastAsia="宋体" w:cs="宋体"/>
          <w:spacing w:val="-2"/>
          <w:sz w:val="27"/>
          <w:szCs w:val="27"/>
        </w:rPr>
        <w:t>计与分析、试验与评价等，给出产品可靠性评估结果，说明是否达到产品可靠性</w:t>
      </w:r>
      <w:r>
        <w:rPr>
          <w:rFonts w:ascii="宋体" w:hAnsi="宋体" w:eastAsia="宋体" w:cs="宋体"/>
          <w:sz w:val="27"/>
          <w:szCs w:val="27"/>
        </w:rPr>
        <w:t xml:space="preserve"> </w:t>
      </w:r>
      <w:r>
        <w:rPr>
          <w:rFonts w:ascii="宋体" w:hAnsi="宋体" w:eastAsia="宋体" w:cs="宋体"/>
          <w:spacing w:val="-6"/>
          <w:sz w:val="27"/>
          <w:szCs w:val="27"/>
        </w:rPr>
        <w:t>要求。</w:t>
      </w:r>
    </w:p>
    <w:p w14:paraId="34D44F4E">
      <w:pPr>
        <w:spacing w:before="28" w:line="222" w:lineRule="auto"/>
        <w:rPr>
          <w:rFonts w:ascii="黑体" w:hAnsi="黑体" w:eastAsia="黑体" w:cs="黑体"/>
          <w:sz w:val="27"/>
          <w:szCs w:val="27"/>
        </w:rPr>
      </w:pPr>
      <w:r>
        <w:rPr>
          <w:rFonts w:ascii="黑体" w:hAnsi="黑体" w:eastAsia="黑体" w:cs="黑体"/>
          <w:spacing w:val="2"/>
          <w:sz w:val="27"/>
          <w:szCs w:val="27"/>
        </w:rPr>
        <w:t>6.2  产品维修性情况</w:t>
      </w:r>
    </w:p>
    <w:p w14:paraId="2EAB8BAF">
      <w:pPr>
        <w:spacing w:before="97" w:line="282" w:lineRule="auto"/>
        <w:ind w:right="122" w:firstLine="560"/>
        <w:jc w:val="both"/>
        <w:rPr>
          <w:rFonts w:ascii="宋体" w:hAnsi="宋体" w:eastAsia="宋体" w:cs="宋体"/>
          <w:sz w:val="27"/>
          <w:szCs w:val="27"/>
        </w:rPr>
      </w:pPr>
      <w:r>
        <w:rPr>
          <w:rFonts w:ascii="宋体" w:hAnsi="宋体" w:eastAsia="宋体" w:cs="宋体"/>
          <w:spacing w:val="6"/>
          <w:sz w:val="27"/>
          <w:szCs w:val="27"/>
        </w:rPr>
        <w:t>概括说明研制过程中按照维修性工作计划开展的</w:t>
      </w:r>
      <w:r>
        <w:rPr>
          <w:rFonts w:ascii="宋体" w:hAnsi="宋体" w:eastAsia="宋体" w:cs="宋体"/>
          <w:spacing w:val="5"/>
          <w:sz w:val="27"/>
          <w:szCs w:val="27"/>
        </w:rPr>
        <w:t>维修性工作项目，包括设</w:t>
      </w:r>
      <w:r>
        <w:rPr>
          <w:rFonts w:ascii="宋体" w:hAnsi="宋体" w:eastAsia="宋体" w:cs="宋体"/>
          <w:sz w:val="27"/>
          <w:szCs w:val="27"/>
        </w:rPr>
        <w:t xml:space="preserve"> </w:t>
      </w:r>
      <w:r>
        <w:rPr>
          <w:rFonts w:ascii="宋体" w:hAnsi="宋体" w:eastAsia="宋体" w:cs="宋体"/>
          <w:spacing w:val="-2"/>
          <w:sz w:val="27"/>
          <w:szCs w:val="27"/>
        </w:rPr>
        <w:t>计与分析、试验与评价等，给出产品维修性评估结果，说明是否达到产品维修性</w:t>
      </w:r>
      <w:r>
        <w:rPr>
          <w:rFonts w:ascii="宋体" w:hAnsi="宋体" w:eastAsia="宋体" w:cs="宋体"/>
          <w:sz w:val="27"/>
          <w:szCs w:val="27"/>
        </w:rPr>
        <w:t xml:space="preserve"> </w:t>
      </w:r>
      <w:r>
        <w:rPr>
          <w:rFonts w:ascii="宋体" w:hAnsi="宋体" w:eastAsia="宋体" w:cs="宋体"/>
          <w:spacing w:val="-6"/>
          <w:sz w:val="27"/>
          <w:szCs w:val="27"/>
        </w:rPr>
        <w:t>要求。</w:t>
      </w:r>
    </w:p>
    <w:p w14:paraId="5CC30AD9">
      <w:pPr>
        <w:spacing w:before="1" w:line="220" w:lineRule="auto"/>
        <w:rPr>
          <w:rFonts w:ascii="黑体" w:hAnsi="黑体" w:eastAsia="黑体" w:cs="黑体"/>
          <w:sz w:val="27"/>
          <w:szCs w:val="27"/>
        </w:rPr>
      </w:pPr>
      <w:r>
        <w:rPr>
          <w:rFonts w:ascii="黑体" w:hAnsi="黑体" w:eastAsia="黑体" w:cs="黑体"/>
          <w:spacing w:val="1"/>
          <w:sz w:val="27"/>
          <w:szCs w:val="27"/>
        </w:rPr>
        <w:t>6.3</w:t>
      </w:r>
      <w:r>
        <w:rPr>
          <w:rFonts w:ascii="黑体" w:hAnsi="黑体" w:eastAsia="黑体" w:cs="黑体"/>
          <w:spacing w:val="17"/>
          <w:sz w:val="27"/>
          <w:szCs w:val="27"/>
        </w:rPr>
        <w:t xml:space="preserve">  </w:t>
      </w:r>
      <w:r>
        <w:rPr>
          <w:rFonts w:ascii="黑体" w:hAnsi="黑体" w:eastAsia="黑体" w:cs="黑体"/>
          <w:spacing w:val="1"/>
          <w:sz w:val="27"/>
          <w:szCs w:val="27"/>
        </w:rPr>
        <w:t>产品测试性情况</w:t>
      </w:r>
    </w:p>
    <w:p w14:paraId="1FD72847">
      <w:pPr>
        <w:spacing w:before="118" w:line="273" w:lineRule="auto"/>
        <w:ind w:right="122" w:firstLine="560"/>
        <w:jc w:val="both"/>
        <w:rPr>
          <w:rFonts w:ascii="宋体" w:hAnsi="宋体" w:eastAsia="宋体" w:cs="宋体"/>
          <w:sz w:val="27"/>
          <w:szCs w:val="27"/>
        </w:rPr>
      </w:pPr>
      <w:r>
        <w:rPr>
          <w:rFonts w:ascii="宋体" w:hAnsi="宋体" w:eastAsia="宋体" w:cs="宋体"/>
          <w:spacing w:val="6"/>
          <w:sz w:val="27"/>
          <w:szCs w:val="27"/>
        </w:rPr>
        <w:t>概括说明研制过程中按照测试性工作计划开展的</w:t>
      </w:r>
      <w:r>
        <w:rPr>
          <w:rFonts w:ascii="宋体" w:hAnsi="宋体" w:eastAsia="宋体" w:cs="宋体"/>
          <w:spacing w:val="5"/>
          <w:sz w:val="27"/>
          <w:szCs w:val="27"/>
        </w:rPr>
        <w:t>测试性工作项目，包括设</w:t>
      </w:r>
      <w:r>
        <w:rPr>
          <w:rFonts w:ascii="宋体" w:hAnsi="宋体" w:eastAsia="宋体" w:cs="宋体"/>
          <w:sz w:val="27"/>
          <w:szCs w:val="27"/>
        </w:rPr>
        <w:t xml:space="preserve"> </w:t>
      </w:r>
      <w:r>
        <w:rPr>
          <w:rFonts w:ascii="宋体" w:hAnsi="宋体" w:eastAsia="宋体" w:cs="宋体"/>
          <w:spacing w:val="-2"/>
          <w:sz w:val="27"/>
          <w:szCs w:val="27"/>
        </w:rPr>
        <w:t>计与分析、试验与评价等，给出产品测试性评估结果，说明是否达到产品测试性</w:t>
      </w:r>
      <w:r>
        <w:rPr>
          <w:rFonts w:ascii="宋体" w:hAnsi="宋体" w:eastAsia="宋体" w:cs="宋体"/>
          <w:sz w:val="27"/>
          <w:szCs w:val="27"/>
        </w:rPr>
        <w:t xml:space="preserve"> </w:t>
      </w:r>
      <w:r>
        <w:rPr>
          <w:rFonts w:ascii="宋体" w:hAnsi="宋体" w:eastAsia="宋体" w:cs="宋体"/>
          <w:spacing w:val="-6"/>
          <w:sz w:val="27"/>
          <w:szCs w:val="27"/>
        </w:rPr>
        <w:t>要求。</w:t>
      </w:r>
    </w:p>
    <w:p w14:paraId="5D12CB4E">
      <w:pPr>
        <w:spacing w:before="15" w:line="223" w:lineRule="auto"/>
        <w:rPr>
          <w:rFonts w:ascii="黑体" w:hAnsi="黑体" w:eastAsia="黑体" w:cs="黑体"/>
          <w:sz w:val="27"/>
          <w:szCs w:val="27"/>
        </w:rPr>
      </w:pPr>
      <w:r>
        <w:rPr>
          <w:rFonts w:ascii="黑体" w:hAnsi="黑体" w:eastAsia="黑体" w:cs="黑体"/>
          <w:spacing w:val="3"/>
          <w:sz w:val="27"/>
          <w:szCs w:val="27"/>
        </w:rPr>
        <w:t>6.4  产品保障性情况</w:t>
      </w:r>
    </w:p>
    <w:p w14:paraId="468F3FF7">
      <w:pPr>
        <w:spacing w:before="123" w:line="219" w:lineRule="auto"/>
        <w:ind w:left="560"/>
        <w:rPr>
          <w:rFonts w:ascii="宋体" w:hAnsi="宋体" w:eastAsia="宋体" w:cs="宋体"/>
          <w:sz w:val="27"/>
          <w:szCs w:val="27"/>
        </w:rPr>
      </w:pPr>
      <w:r>
        <w:rPr>
          <w:rFonts w:ascii="宋体" w:hAnsi="宋体" w:eastAsia="宋体" w:cs="宋体"/>
          <w:spacing w:val="6"/>
          <w:sz w:val="27"/>
          <w:szCs w:val="27"/>
        </w:rPr>
        <w:t>概括说明研制过程中按照保障性工作计划开展的</w:t>
      </w:r>
      <w:r>
        <w:rPr>
          <w:rFonts w:ascii="宋体" w:hAnsi="宋体" w:eastAsia="宋体" w:cs="宋体"/>
          <w:spacing w:val="5"/>
          <w:sz w:val="27"/>
          <w:szCs w:val="27"/>
        </w:rPr>
        <w:t>保障性工作项目，包括设</w:t>
      </w:r>
    </w:p>
    <w:p w14:paraId="5A3D368D">
      <w:pPr>
        <w:spacing w:line="219" w:lineRule="auto"/>
        <w:rPr>
          <w:rFonts w:ascii="宋体" w:hAnsi="宋体" w:eastAsia="宋体" w:cs="宋体"/>
          <w:sz w:val="27"/>
          <w:szCs w:val="27"/>
        </w:rPr>
        <w:sectPr>
          <w:footerReference r:id="rId151" w:type="default"/>
          <w:pgSz w:w="11910" w:h="17130"/>
          <w:pgMar w:top="400" w:right="1065" w:bottom="1523" w:left="1339" w:header="0" w:footer="1325" w:gutter="0"/>
          <w:cols w:space="720" w:num="1"/>
        </w:sectPr>
      </w:pPr>
    </w:p>
    <w:p w14:paraId="424C30EA">
      <w:pPr>
        <w:pStyle w:val="2"/>
        <w:spacing w:line="288" w:lineRule="auto"/>
      </w:pPr>
    </w:p>
    <w:p w14:paraId="2AA81412">
      <w:pPr>
        <w:pStyle w:val="2"/>
        <w:spacing w:line="288" w:lineRule="auto"/>
      </w:pPr>
    </w:p>
    <w:p w14:paraId="1E2F013F">
      <w:pPr>
        <w:pStyle w:val="2"/>
        <w:spacing w:line="288" w:lineRule="auto"/>
      </w:pPr>
    </w:p>
    <w:p w14:paraId="5CDBD416">
      <w:pPr>
        <w:pStyle w:val="2"/>
        <w:spacing w:line="288" w:lineRule="auto"/>
      </w:pPr>
    </w:p>
    <w:p w14:paraId="5BCC4578">
      <w:pPr>
        <w:spacing w:before="88" w:line="292" w:lineRule="auto"/>
        <w:ind w:right="104"/>
        <w:rPr>
          <w:rFonts w:ascii="宋体" w:hAnsi="宋体" w:eastAsia="宋体" w:cs="宋体"/>
          <w:sz w:val="27"/>
          <w:szCs w:val="27"/>
        </w:rPr>
      </w:pPr>
      <w:r>
        <w:rPr>
          <w:rFonts w:ascii="宋体" w:hAnsi="宋体" w:eastAsia="宋体" w:cs="宋体"/>
          <w:spacing w:val="-3"/>
          <w:sz w:val="27"/>
          <w:szCs w:val="27"/>
        </w:rPr>
        <w:t>计与分析、试验与评价等，给出产品保障性评估结果，说明是否达到产品保障性</w:t>
      </w:r>
      <w:r>
        <w:rPr>
          <w:rFonts w:ascii="宋体" w:hAnsi="宋体" w:eastAsia="宋体" w:cs="宋体"/>
          <w:spacing w:val="14"/>
          <w:sz w:val="27"/>
          <w:szCs w:val="27"/>
        </w:rPr>
        <w:t xml:space="preserve"> </w:t>
      </w:r>
      <w:r>
        <w:rPr>
          <w:rFonts w:ascii="宋体" w:hAnsi="宋体" w:eastAsia="宋体" w:cs="宋体"/>
          <w:spacing w:val="-4"/>
          <w:sz w:val="27"/>
          <w:szCs w:val="27"/>
        </w:rPr>
        <w:t>要求。</w:t>
      </w:r>
    </w:p>
    <w:p w14:paraId="4C2CFCA9">
      <w:pPr>
        <w:spacing w:line="223" w:lineRule="auto"/>
        <w:rPr>
          <w:rFonts w:ascii="黑体" w:hAnsi="黑体" w:eastAsia="黑体" w:cs="黑体"/>
          <w:sz w:val="27"/>
          <w:szCs w:val="27"/>
        </w:rPr>
      </w:pPr>
      <w:r>
        <w:rPr>
          <w:rFonts w:ascii="黑体" w:hAnsi="黑体" w:eastAsia="黑体" w:cs="黑体"/>
          <w:spacing w:val="2"/>
          <w:sz w:val="27"/>
          <w:szCs w:val="27"/>
        </w:rPr>
        <w:t>6.5  产品安全性情况</w:t>
      </w:r>
    </w:p>
    <w:p w14:paraId="5781ECAB">
      <w:pPr>
        <w:spacing w:before="70" w:line="280" w:lineRule="auto"/>
        <w:ind w:right="102" w:firstLine="560"/>
        <w:jc w:val="both"/>
        <w:rPr>
          <w:rFonts w:ascii="宋体" w:hAnsi="宋体" w:eastAsia="宋体" w:cs="宋体"/>
          <w:sz w:val="27"/>
          <w:szCs w:val="27"/>
        </w:rPr>
      </w:pPr>
      <w:r>
        <w:rPr>
          <w:rFonts w:ascii="宋体" w:hAnsi="宋体" w:eastAsia="宋体" w:cs="宋体"/>
          <w:spacing w:val="5"/>
          <w:sz w:val="27"/>
          <w:szCs w:val="27"/>
        </w:rPr>
        <w:t>概括说明研制过程中按照安全性工作计划开展的安全性工作项目，包括设</w:t>
      </w:r>
      <w:r>
        <w:rPr>
          <w:rFonts w:ascii="宋体" w:hAnsi="宋体" w:eastAsia="宋体" w:cs="宋体"/>
          <w:spacing w:val="1"/>
          <w:sz w:val="27"/>
          <w:szCs w:val="27"/>
        </w:rPr>
        <w:t xml:space="preserve"> </w:t>
      </w:r>
      <w:r>
        <w:rPr>
          <w:rFonts w:ascii="宋体" w:hAnsi="宋体" w:eastAsia="宋体" w:cs="宋体"/>
          <w:spacing w:val="-3"/>
          <w:sz w:val="27"/>
          <w:szCs w:val="27"/>
        </w:rPr>
        <w:t>计与分析、试验与评价等，给出产品安全性评估结果，说明是否达到产品安全性</w:t>
      </w:r>
      <w:r>
        <w:rPr>
          <w:rFonts w:ascii="宋体" w:hAnsi="宋体" w:eastAsia="宋体" w:cs="宋体"/>
          <w:spacing w:val="14"/>
          <w:sz w:val="27"/>
          <w:szCs w:val="27"/>
        </w:rPr>
        <w:t xml:space="preserve"> </w:t>
      </w:r>
      <w:r>
        <w:rPr>
          <w:rFonts w:ascii="宋体" w:hAnsi="宋体" w:eastAsia="宋体" w:cs="宋体"/>
          <w:spacing w:val="-4"/>
          <w:sz w:val="27"/>
          <w:szCs w:val="27"/>
        </w:rPr>
        <w:t>要求。</w:t>
      </w:r>
    </w:p>
    <w:p w14:paraId="71696186">
      <w:pPr>
        <w:spacing w:before="2" w:line="222" w:lineRule="auto"/>
        <w:rPr>
          <w:rFonts w:ascii="黑体" w:hAnsi="黑体" w:eastAsia="黑体" w:cs="黑体"/>
          <w:sz w:val="27"/>
          <w:szCs w:val="27"/>
        </w:rPr>
      </w:pPr>
      <w:r>
        <w:rPr>
          <w:rFonts w:ascii="黑体" w:hAnsi="黑体" w:eastAsia="黑体" w:cs="黑体"/>
          <w:spacing w:val="3"/>
          <w:sz w:val="27"/>
          <w:szCs w:val="27"/>
        </w:rPr>
        <w:t>7  贯彻产品标准化大纲情况</w:t>
      </w:r>
    </w:p>
    <w:p w14:paraId="35369D2D">
      <w:pPr>
        <w:spacing w:before="104" w:line="222" w:lineRule="auto"/>
        <w:rPr>
          <w:rFonts w:ascii="黑体" w:hAnsi="黑体" w:eastAsia="黑体" w:cs="黑体"/>
          <w:sz w:val="24"/>
          <w:szCs w:val="24"/>
        </w:rPr>
      </w:pPr>
      <w:r>
        <w:rPr>
          <w:rFonts w:ascii="黑体" w:hAnsi="黑体" w:eastAsia="黑体" w:cs="黑体"/>
          <w:spacing w:val="16"/>
          <w:sz w:val="24"/>
          <w:szCs w:val="24"/>
        </w:rPr>
        <w:t>7.1</w:t>
      </w:r>
      <w:r>
        <w:rPr>
          <w:rFonts w:ascii="黑体" w:hAnsi="黑体" w:eastAsia="黑体" w:cs="黑体"/>
          <w:spacing w:val="50"/>
          <w:sz w:val="24"/>
          <w:szCs w:val="24"/>
        </w:rPr>
        <w:t xml:space="preserve">  </w:t>
      </w:r>
      <w:r>
        <w:rPr>
          <w:rFonts w:ascii="黑体" w:hAnsi="黑体" w:eastAsia="黑体" w:cs="黑体"/>
          <w:spacing w:val="16"/>
          <w:sz w:val="24"/>
          <w:szCs w:val="24"/>
        </w:rPr>
        <w:t>标准的选用、实施情况</w:t>
      </w:r>
    </w:p>
    <w:p w14:paraId="3803BE5A">
      <w:pPr>
        <w:spacing w:before="72" w:line="290" w:lineRule="auto"/>
        <w:ind w:right="83" w:firstLine="560"/>
        <w:rPr>
          <w:rFonts w:ascii="宋体" w:hAnsi="宋体" w:eastAsia="宋体" w:cs="宋体"/>
          <w:sz w:val="27"/>
          <w:szCs w:val="27"/>
        </w:rPr>
      </w:pPr>
      <w:r>
        <w:rPr>
          <w:rFonts w:ascii="宋体" w:hAnsi="宋体" w:eastAsia="宋体" w:cs="宋体"/>
          <w:spacing w:val="1"/>
          <w:sz w:val="27"/>
          <w:szCs w:val="27"/>
        </w:rPr>
        <w:t>说明在产品研制过程中选用和实施标准(国家标准、国家军用标准、行业标</w:t>
      </w:r>
      <w:r>
        <w:rPr>
          <w:rFonts w:ascii="宋体" w:hAnsi="宋体" w:eastAsia="宋体" w:cs="宋体"/>
          <w:spacing w:val="11"/>
          <w:sz w:val="27"/>
          <w:szCs w:val="27"/>
        </w:rPr>
        <w:t xml:space="preserve"> </w:t>
      </w:r>
      <w:r>
        <w:rPr>
          <w:rFonts w:ascii="宋体" w:hAnsi="宋体" w:eastAsia="宋体" w:cs="宋体"/>
          <w:spacing w:val="-9"/>
          <w:sz w:val="27"/>
          <w:szCs w:val="27"/>
        </w:rPr>
        <w:t>准、国际标准等)的情况，给出具体的统计数据。</w:t>
      </w:r>
    </w:p>
    <w:p w14:paraId="66719059">
      <w:pPr>
        <w:pStyle w:val="2"/>
        <w:spacing w:before="11" w:line="222" w:lineRule="auto"/>
        <w:rPr>
          <w:rFonts w:ascii="黑体" w:hAnsi="黑体" w:eastAsia="黑体" w:cs="黑体"/>
          <w:sz w:val="24"/>
          <w:szCs w:val="24"/>
        </w:rPr>
      </w:pPr>
      <w:r>
        <w:rPr>
          <w:spacing w:val="24"/>
          <w:sz w:val="24"/>
          <w:szCs w:val="24"/>
        </w:rPr>
        <w:t>7.2</w:t>
      </w:r>
      <w:r>
        <w:rPr>
          <w:spacing w:val="6"/>
          <w:sz w:val="24"/>
          <w:szCs w:val="24"/>
        </w:rPr>
        <w:t xml:space="preserve">     </w:t>
      </w:r>
      <w:r>
        <w:rPr>
          <w:rFonts w:ascii="黑体" w:hAnsi="黑体" w:eastAsia="黑体" w:cs="黑体"/>
          <w:spacing w:val="24"/>
          <w:sz w:val="24"/>
          <w:szCs w:val="24"/>
        </w:rPr>
        <w:t>标准化程度评价</w:t>
      </w:r>
    </w:p>
    <w:p w14:paraId="6E7C1B6E">
      <w:pPr>
        <w:spacing w:before="91" w:line="277" w:lineRule="auto"/>
        <w:ind w:right="93" w:firstLine="560"/>
        <w:rPr>
          <w:rFonts w:ascii="宋体" w:hAnsi="宋体" w:eastAsia="宋体" w:cs="宋体"/>
          <w:sz w:val="27"/>
          <w:szCs w:val="27"/>
        </w:rPr>
      </w:pPr>
      <w:r>
        <w:rPr>
          <w:rFonts w:ascii="宋体" w:hAnsi="宋体" w:eastAsia="宋体" w:cs="宋体"/>
          <w:spacing w:val="5"/>
          <w:sz w:val="27"/>
          <w:szCs w:val="27"/>
        </w:rPr>
        <w:t>因已有标准化审查报告这份文件，所以在这里对照标准化大纲诸项内容的</w:t>
      </w:r>
      <w:r>
        <w:rPr>
          <w:rFonts w:ascii="宋体" w:hAnsi="宋体" w:eastAsia="宋体" w:cs="宋体"/>
          <w:spacing w:val="10"/>
          <w:sz w:val="27"/>
          <w:szCs w:val="27"/>
        </w:rPr>
        <w:t xml:space="preserve"> </w:t>
      </w:r>
      <w:r>
        <w:rPr>
          <w:rFonts w:ascii="宋体" w:hAnsi="宋体" w:eastAsia="宋体" w:cs="宋体"/>
          <w:spacing w:val="1"/>
          <w:sz w:val="27"/>
          <w:szCs w:val="27"/>
        </w:rPr>
        <w:t>实施情况进行简要说明即可。</w:t>
      </w:r>
    </w:p>
    <w:p w14:paraId="4A7977C3">
      <w:pPr>
        <w:spacing w:line="276" w:lineRule="auto"/>
        <w:ind w:right="93" w:firstLine="560"/>
        <w:jc w:val="both"/>
        <w:rPr>
          <w:rFonts w:ascii="宋体" w:hAnsi="宋体" w:eastAsia="宋体" w:cs="宋体"/>
          <w:sz w:val="27"/>
          <w:szCs w:val="27"/>
        </w:rPr>
      </w:pPr>
      <w:r>
        <w:rPr>
          <w:rFonts w:ascii="宋体" w:hAnsi="宋体" w:eastAsia="宋体" w:cs="宋体"/>
          <w:spacing w:val="-3"/>
          <w:sz w:val="27"/>
          <w:szCs w:val="27"/>
        </w:rPr>
        <w:t>可从《标准化审查报告》的内容中，摘要说明贯彻实施标准和标准化要</w:t>
      </w:r>
      <w:r>
        <w:rPr>
          <w:rFonts w:ascii="宋体" w:hAnsi="宋体" w:eastAsia="宋体" w:cs="宋体"/>
          <w:spacing w:val="-4"/>
          <w:sz w:val="27"/>
          <w:szCs w:val="27"/>
        </w:rPr>
        <w:t>求的</w:t>
      </w:r>
      <w:r>
        <w:rPr>
          <w:rFonts w:ascii="宋体" w:hAnsi="宋体" w:eastAsia="宋体" w:cs="宋体"/>
          <w:sz w:val="27"/>
          <w:szCs w:val="27"/>
        </w:rPr>
        <w:t xml:space="preserve"> </w:t>
      </w:r>
      <w:r>
        <w:rPr>
          <w:rFonts w:ascii="宋体" w:hAnsi="宋体" w:eastAsia="宋体" w:cs="宋体"/>
          <w:spacing w:val="-2"/>
          <w:sz w:val="27"/>
          <w:szCs w:val="27"/>
        </w:rPr>
        <w:t>情况以及对图样和技术文件的完整性、准确性</w:t>
      </w:r>
      <w:r>
        <w:rPr>
          <w:rFonts w:ascii="宋体" w:hAnsi="宋体" w:eastAsia="宋体" w:cs="宋体"/>
          <w:spacing w:val="-3"/>
          <w:sz w:val="27"/>
          <w:szCs w:val="27"/>
        </w:rPr>
        <w:t>、协调性等作出的评价，并给出产</w:t>
      </w:r>
      <w:r>
        <w:rPr>
          <w:rFonts w:ascii="宋体" w:hAnsi="宋体" w:eastAsia="宋体" w:cs="宋体"/>
          <w:sz w:val="27"/>
          <w:szCs w:val="27"/>
        </w:rPr>
        <w:t xml:space="preserve"> </w:t>
      </w:r>
      <w:r>
        <w:rPr>
          <w:rFonts w:ascii="宋体" w:hAnsi="宋体" w:eastAsia="宋体" w:cs="宋体"/>
          <w:spacing w:val="-7"/>
          <w:sz w:val="27"/>
          <w:szCs w:val="27"/>
        </w:rPr>
        <w:t>品标准化系数、标准化效果分析、标准化程度评</w:t>
      </w:r>
      <w:r>
        <w:rPr>
          <w:rFonts w:ascii="宋体" w:hAnsi="宋体" w:eastAsia="宋体" w:cs="宋体"/>
          <w:spacing w:val="-8"/>
          <w:sz w:val="27"/>
          <w:szCs w:val="27"/>
        </w:rPr>
        <w:t>价结论。</w:t>
      </w:r>
    </w:p>
    <w:p w14:paraId="4063DC25">
      <w:pPr>
        <w:spacing w:before="1" w:line="221" w:lineRule="auto"/>
        <w:rPr>
          <w:rFonts w:ascii="黑体" w:hAnsi="黑体" w:eastAsia="黑体" w:cs="黑体"/>
          <w:sz w:val="27"/>
          <w:szCs w:val="27"/>
        </w:rPr>
      </w:pPr>
      <w:r>
        <w:rPr>
          <w:rFonts w:ascii="黑体" w:hAnsi="黑体" w:eastAsia="黑体" w:cs="黑体"/>
          <w:spacing w:val="-5"/>
          <w:sz w:val="27"/>
          <w:szCs w:val="27"/>
        </w:rPr>
        <w:t>8  产品工艺性、经济性评价</w:t>
      </w:r>
    </w:p>
    <w:p w14:paraId="26F52B46">
      <w:pPr>
        <w:spacing w:before="115" w:line="222" w:lineRule="auto"/>
        <w:rPr>
          <w:rFonts w:ascii="黑体" w:hAnsi="黑体" w:eastAsia="黑体" w:cs="黑体"/>
          <w:sz w:val="24"/>
          <w:szCs w:val="24"/>
        </w:rPr>
      </w:pPr>
      <w:r>
        <w:rPr>
          <w:rFonts w:ascii="黑体" w:hAnsi="黑体" w:eastAsia="黑体" w:cs="黑体"/>
          <w:spacing w:val="25"/>
          <w:sz w:val="24"/>
          <w:szCs w:val="24"/>
        </w:rPr>
        <w:t>8.1</w:t>
      </w:r>
      <w:r>
        <w:rPr>
          <w:rFonts w:ascii="黑体" w:hAnsi="黑体" w:eastAsia="黑体" w:cs="黑体"/>
          <w:spacing w:val="44"/>
          <w:sz w:val="24"/>
          <w:szCs w:val="24"/>
        </w:rPr>
        <w:t xml:space="preserve">  </w:t>
      </w:r>
      <w:r>
        <w:rPr>
          <w:rFonts w:ascii="黑体" w:hAnsi="黑体" w:eastAsia="黑体" w:cs="黑体"/>
          <w:spacing w:val="25"/>
          <w:sz w:val="24"/>
          <w:szCs w:val="24"/>
        </w:rPr>
        <w:t>产品工艺性评价</w:t>
      </w:r>
    </w:p>
    <w:p w14:paraId="28AABE52">
      <w:pPr>
        <w:spacing w:before="114" w:line="273" w:lineRule="auto"/>
        <w:ind w:right="87" w:firstLine="560"/>
        <w:jc w:val="both"/>
        <w:rPr>
          <w:rFonts w:ascii="宋体" w:hAnsi="宋体" w:eastAsia="宋体" w:cs="宋体"/>
          <w:sz w:val="27"/>
          <w:szCs w:val="27"/>
        </w:rPr>
      </w:pPr>
      <w:r>
        <w:rPr>
          <w:rFonts w:ascii="宋体" w:hAnsi="宋体" w:eastAsia="宋体" w:cs="宋体"/>
          <w:spacing w:val="8"/>
          <w:sz w:val="27"/>
          <w:szCs w:val="27"/>
        </w:rPr>
        <w:t>从《关键工艺报告》中，摘要说明对产品的工艺性评价。</w:t>
      </w:r>
      <w:r>
        <w:rPr>
          <w:rFonts w:ascii="宋体" w:hAnsi="宋体" w:eastAsia="宋体" w:cs="宋体"/>
          <w:spacing w:val="69"/>
          <w:sz w:val="27"/>
          <w:szCs w:val="27"/>
        </w:rPr>
        <w:t xml:space="preserve"> </w:t>
      </w:r>
      <w:r>
        <w:rPr>
          <w:rFonts w:ascii="宋体" w:hAnsi="宋体" w:eastAsia="宋体" w:cs="宋体"/>
          <w:spacing w:val="7"/>
          <w:sz w:val="27"/>
          <w:szCs w:val="27"/>
        </w:rPr>
        <w:t>一般包含产品</w:t>
      </w:r>
      <w:r>
        <w:rPr>
          <w:rFonts w:ascii="宋体" w:hAnsi="宋体" w:eastAsia="宋体" w:cs="宋体"/>
          <w:sz w:val="27"/>
          <w:szCs w:val="27"/>
        </w:rPr>
        <w:t xml:space="preserve"> </w:t>
      </w:r>
      <w:r>
        <w:rPr>
          <w:rFonts w:ascii="宋体" w:hAnsi="宋体" w:eastAsia="宋体" w:cs="宋体"/>
          <w:spacing w:val="23"/>
          <w:sz w:val="27"/>
          <w:szCs w:val="27"/>
        </w:rPr>
        <w:t>试制情况、工艺主要考核项目及试验情况、</w:t>
      </w:r>
      <w:r>
        <w:rPr>
          <w:rFonts w:ascii="宋体" w:hAnsi="宋体" w:eastAsia="宋体" w:cs="宋体"/>
          <w:spacing w:val="22"/>
          <w:sz w:val="27"/>
          <w:szCs w:val="27"/>
        </w:rPr>
        <w:t>试制过程中主要解决的关键工</w:t>
      </w:r>
      <w:r>
        <w:rPr>
          <w:rFonts w:ascii="宋体" w:hAnsi="宋体" w:eastAsia="宋体" w:cs="宋体"/>
          <w:sz w:val="27"/>
          <w:szCs w:val="27"/>
        </w:rPr>
        <w:t xml:space="preserve"> </w:t>
      </w:r>
      <w:r>
        <w:rPr>
          <w:rFonts w:ascii="宋体" w:hAnsi="宋体" w:eastAsia="宋体" w:cs="宋体"/>
          <w:spacing w:val="13"/>
          <w:sz w:val="27"/>
          <w:szCs w:val="27"/>
        </w:rPr>
        <w:t>艺、工艺文件的编制及配套情况、工艺装备和专用(检测、试验)设备配套情</w:t>
      </w:r>
      <w:r>
        <w:rPr>
          <w:rFonts w:ascii="宋体" w:hAnsi="宋体" w:eastAsia="宋体" w:cs="宋体"/>
          <w:spacing w:val="9"/>
          <w:sz w:val="27"/>
          <w:szCs w:val="27"/>
        </w:rPr>
        <w:t xml:space="preserve"> </w:t>
      </w:r>
      <w:r>
        <w:rPr>
          <w:rFonts w:ascii="宋体" w:hAnsi="宋体" w:eastAsia="宋体" w:cs="宋体"/>
          <w:spacing w:val="13"/>
          <w:sz w:val="27"/>
          <w:szCs w:val="27"/>
        </w:rPr>
        <w:t>况、生产质量情况、试制产品工艺考核结论意见等，可根据产品复杂程度酌</w:t>
      </w:r>
      <w:r>
        <w:rPr>
          <w:rFonts w:ascii="宋体" w:hAnsi="宋体" w:eastAsia="宋体" w:cs="宋体"/>
          <w:spacing w:val="7"/>
          <w:sz w:val="27"/>
          <w:szCs w:val="27"/>
        </w:rPr>
        <w:t xml:space="preserve"> </w:t>
      </w:r>
      <w:r>
        <w:rPr>
          <w:rFonts w:ascii="宋体" w:hAnsi="宋体" w:eastAsia="宋体" w:cs="宋体"/>
          <w:spacing w:val="11"/>
          <w:sz w:val="27"/>
          <w:szCs w:val="27"/>
        </w:rPr>
        <w:t>情裁减。</w:t>
      </w:r>
    </w:p>
    <w:p w14:paraId="2E06F17A">
      <w:pPr>
        <w:spacing w:before="42" w:line="222" w:lineRule="auto"/>
        <w:rPr>
          <w:rFonts w:ascii="黑体" w:hAnsi="黑体" w:eastAsia="黑体" w:cs="黑体"/>
          <w:sz w:val="27"/>
          <w:szCs w:val="27"/>
        </w:rPr>
      </w:pPr>
      <w:r>
        <w:rPr>
          <w:rFonts w:ascii="黑体" w:hAnsi="黑体" w:eastAsia="黑体" w:cs="黑体"/>
          <w:spacing w:val="4"/>
          <w:sz w:val="27"/>
          <w:szCs w:val="27"/>
        </w:rPr>
        <w:t>8.2  产品经济性评价</w:t>
      </w:r>
    </w:p>
    <w:p w14:paraId="2D251360">
      <w:pPr>
        <w:spacing w:before="64" w:line="283" w:lineRule="auto"/>
        <w:ind w:right="84" w:firstLine="560"/>
        <w:jc w:val="both"/>
        <w:rPr>
          <w:rFonts w:ascii="宋体" w:hAnsi="宋体" w:eastAsia="宋体" w:cs="宋体"/>
          <w:sz w:val="27"/>
          <w:szCs w:val="27"/>
        </w:rPr>
      </w:pPr>
      <w:r>
        <w:rPr>
          <w:rFonts w:ascii="宋体" w:hAnsi="宋体" w:eastAsia="宋体" w:cs="宋体"/>
          <w:spacing w:val="-3"/>
          <w:sz w:val="27"/>
          <w:szCs w:val="27"/>
        </w:rPr>
        <w:t>从《经济性分析报告》中，摘要说明对产品的经济性评价。一般包含经济性</w:t>
      </w:r>
      <w:r>
        <w:rPr>
          <w:rFonts w:ascii="宋体" w:hAnsi="宋体" w:eastAsia="宋体" w:cs="宋体"/>
          <w:spacing w:val="8"/>
          <w:sz w:val="27"/>
          <w:szCs w:val="27"/>
        </w:rPr>
        <w:t xml:space="preserve"> </w:t>
      </w:r>
      <w:r>
        <w:rPr>
          <w:rFonts w:ascii="宋体" w:hAnsi="宋体" w:eastAsia="宋体" w:cs="宋体"/>
          <w:spacing w:val="-3"/>
          <w:sz w:val="27"/>
          <w:szCs w:val="27"/>
        </w:rPr>
        <w:t>设计情况、经济性评价等内容，可视情增加研制成本计算、生产成本估算和寿命</w:t>
      </w:r>
      <w:r>
        <w:rPr>
          <w:rFonts w:ascii="宋体" w:hAnsi="宋体" w:eastAsia="宋体" w:cs="宋体"/>
          <w:spacing w:val="15"/>
          <w:sz w:val="27"/>
          <w:szCs w:val="27"/>
        </w:rPr>
        <w:t xml:space="preserve"> </w:t>
      </w:r>
      <w:r>
        <w:rPr>
          <w:rFonts w:ascii="宋体" w:hAnsi="宋体" w:eastAsia="宋体" w:cs="宋体"/>
          <w:spacing w:val="2"/>
          <w:sz w:val="27"/>
          <w:szCs w:val="27"/>
        </w:rPr>
        <w:t>周期费用分析等内容。</w:t>
      </w:r>
    </w:p>
    <w:p w14:paraId="0FBA8BAF">
      <w:pPr>
        <w:spacing w:before="1" w:line="221" w:lineRule="auto"/>
        <w:rPr>
          <w:rFonts w:ascii="黑体" w:hAnsi="黑体" w:eastAsia="黑体" w:cs="黑体"/>
          <w:sz w:val="27"/>
          <w:szCs w:val="27"/>
        </w:rPr>
      </w:pPr>
      <w:r>
        <w:rPr>
          <w:rFonts w:ascii="黑体" w:hAnsi="黑体" w:eastAsia="黑体" w:cs="黑体"/>
          <w:spacing w:val="6"/>
          <w:sz w:val="27"/>
          <w:szCs w:val="27"/>
        </w:rPr>
        <w:t>9  产品达到的战术技术性能(含指标对照表)</w:t>
      </w:r>
    </w:p>
    <w:p w14:paraId="5F4D20BF">
      <w:pPr>
        <w:spacing w:before="114" w:line="222" w:lineRule="auto"/>
        <w:rPr>
          <w:rFonts w:ascii="黑体" w:hAnsi="黑体" w:eastAsia="黑体" w:cs="黑体"/>
          <w:sz w:val="24"/>
          <w:szCs w:val="24"/>
        </w:rPr>
      </w:pPr>
      <w:r>
        <w:rPr>
          <w:rFonts w:ascii="黑体" w:hAnsi="黑体" w:eastAsia="黑体" w:cs="黑体"/>
          <w:spacing w:val="27"/>
          <w:sz w:val="24"/>
          <w:szCs w:val="24"/>
        </w:rPr>
        <w:t>9.1</w:t>
      </w:r>
      <w:r>
        <w:rPr>
          <w:rFonts w:ascii="黑体" w:hAnsi="黑体" w:eastAsia="黑体" w:cs="黑体"/>
          <w:spacing w:val="41"/>
          <w:sz w:val="24"/>
          <w:szCs w:val="24"/>
        </w:rPr>
        <w:t xml:space="preserve">  </w:t>
      </w:r>
      <w:r>
        <w:rPr>
          <w:rFonts w:ascii="黑体" w:hAnsi="黑体" w:eastAsia="黑体" w:cs="黑体"/>
          <w:spacing w:val="27"/>
          <w:sz w:val="24"/>
          <w:szCs w:val="24"/>
        </w:rPr>
        <w:t>设计定型技术状态</w:t>
      </w:r>
    </w:p>
    <w:p w14:paraId="6CFBF94F">
      <w:pPr>
        <w:spacing w:before="74" w:line="287" w:lineRule="auto"/>
        <w:ind w:right="79" w:firstLine="560"/>
        <w:rPr>
          <w:rFonts w:ascii="宋体" w:hAnsi="宋体" w:eastAsia="宋体" w:cs="宋体"/>
          <w:sz w:val="27"/>
          <w:szCs w:val="27"/>
        </w:rPr>
      </w:pPr>
      <w:r>
        <w:rPr>
          <w:rFonts w:ascii="宋体" w:hAnsi="宋体" w:eastAsia="宋体" w:cs="宋体"/>
          <w:spacing w:val="-3"/>
          <w:sz w:val="27"/>
          <w:szCs w:val="27"/>
        </w:rPr>
        <w:t>简要说明产品设计定型状态，包括硬件组成及其定型状态编号、软件组成及</w:t>
      </w:r>
      <w:r>
        <w:rPr>
          <w:rFonts w:ascii="宋体" w:hAnsi="宋体" w:eastAsia="宋体" w:cs="宋体"/>
          <w:spacing w:val="12"/>
          <w:sz w:val="27"/>
          <w:szCs w:val="27"/>
        </w:rPr>
        <w:t xml:space="preserve"> </w:t>
      </w:r>
      <w:r>
        <w:rPr>
          <w:rFonts w:ascii="宋体" w:hAnsi="宋体" w:eastAsia="宋体" w:cs="宋体"/>
          <w:spacing w:val="2"/>
          <w:sz w:val="27"/>
          <w:szCs w:val="27"/>
        </w:rPr>
        <w:t>其定型状态版本号等。</w:t>
      </w:r>
    </w:p>
    <w:p w14:paraId="1B0A3648">
      <w:pPr>
        <w:spacing w:line="221" w:lineRule="auto"/>
        <w:rPr>
          <w:rFonts w:ascii="黑体" w:hAnsi="黑体" w:eastAsia="黑体" w:cs="黑体"/>
          <w:sz w:val="27"/>
          <w:szCs w:val="27"/>
        </w:rPr>
      </w:pPr>
      <w:r>
        <w:rPr>
          <w:rFonts w:ascii="黑体" w:hAnsi="黑体" w:eastAsia="黑体" w:cs="黑体"/>
          <w:spacing w:val="3"/>
          <w:sz w:val="27"/>
          <w:szCs w:val="27"/>
        </w:rPr>
        <w:t>9.2  战术技术性能达到情况</w:t>
      </w:r>
    </w:p>
    <w:p w14:paraId="386AC67C">
      <w:pPr>
        <w:spacing w:before="96" w:line="290" w:lineRule="auto"/>
        <w:ind w:firstLine="560"/>
        <w:rPr>
          <w:rFonts w:ascii="宋体" w:hAnsi="宋体" w:eastAsia="宋体" w:cs="宋体"/>
          <w:sz w:val="27"/>
          <w:szCs w:val="27"/>
        </w:rPr>
      </w:pPr>
      <w:r>
        <w:rPr>
          <w:rFonts w:ascii="宋体" w:hAnsi="宋体" w:eastAsia="宋体" w:cs="宋体"/>
          <w:spacing w:val="-3"/>
          <w:sz w:val="27"/>
          <w:szCs w:val="27"/>
        </w:rPr>
        <w:t>应对照批准的研制总要求、设计定型技术状态、研制任务书，以表格形式对</w:t>
      </w:r>
      <w:r>
        <w:rPr>
          <w:rFonts w:ascii="宋体" w:hAnsi="宋体" w:eastAsia="宋体" w:cs="宋体"/>
          <w:spacing w:val="9"/>
          <w:sz w:val="27"/>
          <w:szCs w:val="27"/>
        </w:rPr>
        <w:t xml:space="preserve"> </w:t>
      </w:r>
      <w:r>
        <w:rPr>
          <w:rFonts w:ascii="宋体" w:hAnsi="宋体" w:eastAsia="宋体" w:cs="宋体"/>
          <w:sz w:val="27"/>
          <w:szCs w:val="27"/>
        </w:rPr>
        <w:t>比说明产品的战术技术性能要求以及实际达到的水平，实际水平应给出实测值。</w:t>
      </w:r>
    </w:p>
    <w:p w14:paraId="78D1DE93">
      <w:pPr>
        <w:spacing w:line="290" w:lineRule="auto"/>
        <w:rPr>
          <w:rFonts w:ascii="宋体" w:hAnsi="宋体" w:eastAsia="宋体" w:cs="宋体"/>
          <w:sz w:val="27"/>
          <w:szCs w:val="27"/>
        </w:rPr>
        <w:sectPr>
          <w:footerReference r:id="rId152" w:type="default"/>
          <w:pgSz w:w="11910" w:h="17130"/>
          <w:pgMar w:top="400" w:right="1205" w:bottom="1517" w:left="1239" w:header="0" w:footer="1300" w:gutter="0"/>
          <w:cols w:space="720" w:num="1"/>
        </w:sectPr>
      </w:pPr>
    </w:p>
    <w:p w14:paraId="63AEA18A">
      <w:pPr>
        <w:pStyle w:val="2"/>
        <w:spacing w:line="269" w:lineRule="auto"/>
      </w:pPr>
    </w:p>
    <w:p w14:paraId="346C1DB9">
      <w:pPr>
        <w:pStyle w:val="2"/>
        <w:spacing w:line="269" w:lineRule="auto"/>
      </w:pPr>
    </w:p>
    <w:p w14:paraId="1608871F">
      <w:pPr>
        <w:pStyle w:val="2"/>
        <w:spacing w:line="269" w:lineRule="auto"/>
      </w:pPr>
    </w:p>
    <w:p w14:paraId="178E0317">
      <w:pPr>
        <w:pStyle w:val="2"/>
        <w:spacing w:line="269" w:lineRule="auto"/>
      </w:pPr>
    </w:p>
    <w:p w14:paraId="2B29008E">
      <w:pPr>
        <w:spacing w:before="88" w:line="219" w:lineRule="auto"/>
        <w:rPr>
          <w:rFonts w:ascii="宋体" w:hAnsi="宋体" w:eastAsia="宋体" w:cs="宋体"/>
          <w:sz w:val="27"/>
          <w:szCs w:val="27"/>
        </w:rPr>
      </w:pPr>
      <w:bookmarkStart w:id="93" w:name="bookmark354"/>
      <w:bookmarkEnd w:id="93"/>
      <w:r>
        <w:rPr>
          <w:rFonts w:ascii="宋体" w:hAnsi="宋体" w:eastAsia="宋体" w:cs="宋体"/>
          <w:spacing w:val="7"/>
          <w:sz w:val="27"/>
          <w:szCs w:val="27"/>
        </w:rPr>
        <w:t>战术技术性能指标对照表见表1.11。</w:t>
      </w:r>
    </w:p>
    <w:p w14:paraId="006D9D90">
      <w:pPr>
        <w:spacing w:before="103" w:line="220" w:lineRule="auto"/>
        <w:ind w:left="2629"/>
        <w:rPr>
          <w:rFonts w:ascii="仿宋" w:hAnsi="仿宋" w:eastAsia="仿宋" w:cs="仿宋"/>
          <w:sz w:val="24"/>
          <w:szCs w:val="24"/>
        </w:rPr>
      </w:pPr>
      <w:r>
        <w:rPr>
          <w:rFonts w:ascii="仿宋" w:hAnsi="仿宋" w:eastAsia="仿宋" w:cs="仿宋"/>
          <w:spacing w:val="23"/>
          <w:sz w:val="24"/>
          <w:szCs w:val="24"/>
        </w:rPr>
        <w:t>表1</w:t>
      </w:r>
      <w:r>
        <w:rPr>
          <w:rFonts w:ascii="仿宋" w:hAnsi="仿宋" w:eastAsia="仿宋" w:cs="仿宋"/>
          <w:spacing w:val="-40"/>
          <w:sz w:val="24"/>
          <w:szCs w:val="24"/>
        </w:rPr>
        <w:t xml:space="preserve"> </w:t>
      </w:r>
      <w:r>
        <w:rPr>
          <w:rFonts w:ascii="仿宋" w:hAnsi="仿宋" w:eastAsia="仿宋" w:cs="仿宋"/>
          <w:spacing w:val="23"/>
          <w:sz w:val="24"/>
          <w:szCs w:val="24"/>
        </w:rPr>
        <w:t>.</w:t>
      </w:r>
      <w:r>
        <w:rPr>
          <w:rFonts w:ascii="仿宋" w:hAnsi="仿宋" w:eastAsia="仿宋" w:cs="仿宋"/>
          <w:spacing w:val="-46"/>
          <w:sz w:val="24"/>
          <w:szCs w:val="24"/>
        </w:rPr>
        <w:t xml:space="preserve"> </w:t>
      </w:r>
      <w:r>
        <w:rPr>
          <w:rFonts w:ascii="仿宋" w:hAnsi="仿宋" w:eastAsia="仿宋" w:cs="仿宋"/>
          <w:spacing w:val="23"/>
          <w:sz w:val="24"/>
          <w:szCs w:val="24"/>
        </w:rPr>
        <w:t>11  战术技术性能指标对照表</w:t>
      </w:r>
    </w:p>
    <w:p w14:paraId="1B173346">
      <w:pPr>
        <w:spacing w:line="123" w:lineRule="exact"/>
      </w:pPr>
    </w:p>
    <w:tbl>
      <w:tblPr>
        <w:tblStyle w:val="5"/>
        <w:tblW w:w="936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4"/>
        <w:gridCol w:w="2527"/>
        <w:gridCol w:w="1768"/>
        <w:gridCol w:w="1778"/>
        <w:gridCol w:w="1258"/>
        <w:gridCol w:w="1214"/>
      </w:tblGrid>
      <w:tr w14:paraId="77DCB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824" w:type="dxa"/>
            <w:vAlign w:val="top"/>
          </w:tcPr>
          <w:p w14:paraId="0A3BAC84">
            <w:pPr>
              <w:spacing w:before="104" w:line="221" w:lineRule="auto"/>
              <w:ind w:left="184"/>
              <w:rPr>
                <w:rFonts w:ascii="宋体" w:hAnsi="宋体" w:eastAsia="宋体" w:cs="宋体"/>
                <w:sz w:val="20"/>
                <w:szCs w:val="20"/>
              </w:rPr>
            </w:pPr>
            <w:r>
              <w:rPr>
                <w:rFonts w:ascii="宋体" w:hAnsi="宋体" w:eastAsia="宋体" w:cs="宋体"/>
                <w:spacing w:val="-2"/>
                <w:sz w:val="20"/>
                <w:szCs w:val="20"/>
              </w:rPr>
              <w:t>序号</w:t>
            </w:r>
          </w:p>
        </w:tc>
        <w:tc>
          <w:tcPr>
            <w:tcW w:w="2527" w:type="dxa"/>
            <w:vAlign w:val="top"/>
          </w:tcPr>
          <w:p w14:paraId="3D6309C2">
            <w:pPr>
              <w:spacing w:before="103" w:line="220" w:lineRule="auto"/>
              <w:ind w:left="990"/>
              <w:rPr>
                <w:rFonts w:ascii="宋体" w:hAnsi="宋体" w:eastAsia="宋体" w:cs="宋体"/>
                <w:sz w:val="20"/>
                <w:szCs w:val="20"/>
              </w:rPr>
            </w:pPr>
            <w:r>
              <w:rPr>
                <w:rFonts w:ascii="宋体" w:hAnsi="宋体" w:eastAsia="宋体" w:cs="宋体"/>
                <w:spacing w:val="-6"/>
                <w:sz w:val="20"/>
                <w:szCs w:val="20"/>
              </w:rPr>
              <w:t>项</w:t>
            </w:r>
            <w:r>
              <w:rPr>
                <w:rFonts w:ascii="宋体" w:hAnsi="宋体" w:eastAsia="宋体" w:cs="宋体"/>
                <w:spacing w:val="7"/>
                <w:sz w:val="20"/>
                <w:szCs w:val="20"/>
              </w:rPr>
              <w:t xml:space="preserve">  </w:t>
            </w:r>
            <w:r>
              <w:rPr>
                <w:rFonts w:ascii="宋体" w:hAnsi="宋体" w:eastAsia="宋体" w:cs="宋体"/>
                <w:spacing w:val="-6"/>
                <w:sz w:val="20"/>
                <w:szCs w:val="20"/>
              </w:rPr>
              <w:t>目</w:t>
            </w:r>
          </w:p>
        </w:tc>
        <w:tc>
          <w:tcPr>
            <w:tcW w:w="1768" w:type="dxa"/>
            <w:vAlign w:val="top"/>
          </w:tcPr>
          <w:p w14:paraId="626DDA43">
            <w:pPr>
              <w:spacing w:before="103" w:line="220" w:lineRule="auto"/>
              <w:ind w:left="463"/>
              <w:rPr>
                <w:rFonts w:ascii="宋体" w:hAnsi="宋体" w:eastAsia="宋体" w:cs="宋体"/>
                <w:sz w:val="20"/>
                <w:szCs w:val="20"/>
              </w:rPr>
            </w:pPr>
            <w:r>
              <w:rPr>
                <w:rFonts w:ascii="宋体" w:hAnsi="宋体" w:eastAsia="宋体" w:cs="宋体"/>
                <w:spacing w:val="-2"/>
                <w:sz w:val="20"/>
                <w:szCs w:val="20"/>
              </w:rPr>
              <w:t>指标要求</w:t>
            </w:r>
          </w:p>
        </w:tc>
        <w:tc>
          <w:tcPr>
            <w:tcW w:w="1778" w:type="dxa"/>
            <w:vAlign w:val="top"/>
          </w:tcPr>
          <w:p w14:paraId="60BC0E8B">
            <w:pPr>
              <w:spacing w:before="103" w:line="220" w:lineRule="auto"/>
              <w:ind w:left="375"/>
              <w:rPr>
                <w:rFonts w:ascii="宋体" w:hAnsi="宋体" w:eastAsia="宋体" w:cs="宋体"/>
                <w:sz w:val="20"/>
                <w:szCs w:val="20"/>
              </w:rPr>
            </w:pPr>
            <w:r>
              <w:rPr>
                <w:rFonts w:ascii="宋体" w:hAnsi="宋体" w:eastAsia="宋体" w:cs="宋体"/>
                <w:spacing w:val="-2"/>
                <w:sz w:val="20"/>
                <w:szCs w:val="20"/>
              </w:rPr>
              <w:t>达到的情况</w:t>
            </w:r>
          </w:p>
        </w:tc>
        <w:tc>
          <w:tcPr>
            <w:tcW w:w="1258" w:type="dxa"/>
            <w:vAlign w:val="top"/>
          </w:tcPr>
          <w:p w14:paraId="2E9FE936">
            <w:pPr>
              <w:spacing w:before="104" w:line="221" w:lineRule="auto"/>
              <w:ind w:left="357"/>
              <w:rPr>
                <w:rFonts w:ascii="宋体" w:hAnsi="宋体" w:eastAsia="宋体" w:cs="宋体"/>
                <w:sz w:val="20"/>
                <w:szCs w:val="20"/>
              </w:rPr>
            </w:pPr>
            <w:r>
              <w:rPr>
                <w:rFonts w:ascii="宋体" w:hAnsi="宋体" w:eastAsia="宋体" w:cs="宋体"/>
                <w:spacing w:val="-7"/>
                <w:sz w:val="20"/>
                <w:szCs w:val="20"/>
              </w:rPr>
              <w:t>结</w:t>
            </w:r>
            <w:r>
              <w:rPr>
                <w:rFonts w:ascii="宋体" w:hAnsi="宋体" w:eastAsia="宋体" w:cs="宋体"/>
                <w:spacing w:val="71"/>
                <w:sz w:val="20"/>
                <w:szCs w:val="20"/>
              </w:rPr>
              <w:t xml:space="preserve"> </w:t>
            </w:r>
            <w:r>
              <w:rPr>
                <w:rFonts w:ascii="宋体" w:hAnsi="宋体" w:eastAsia="宋体" w:cs="宋体"/>
                <w:spacing w:val="-7"/>
                <w:sz w:val="20"/>
                <w:szCs w:val="20"/>
              </w:rPr>
              <w:t>论</w:t>
            </w:r>
          </w:p>
        </w:tc>
        <w:tc>
          <w:tcPr>
            <w:tcW w:w="1214" w:type="dxa"/>
            <w:vAlign w:val="top"/>
          </w:tcPr>
          <w:p w14:paraId="57AD5B27">
            <w:pPr>
              <w:spacing w:before="104" w:line="221" w:lineRule="auto"/>
              <w:ind w:left="409"/>
              <w:rPr>
                <w:rFonts w:ascii="宋体" w:hAnsi="宋体" w:eastAsia="宋体" w:cs="宋体"/>
                <w:sz w:val="20"/>
                <w:szCs w:val="20"/>
              </w:rPr>
            </w:pPr>
            <w:r>
              <w:rPr>
                <w:rFonts w:ascii="宋体" w:hAnsi="宋体" w:eastAsia="宋体" w:cs="宋体"/>
                <w:spacing w:val="5"/>
                <w:sz w:val="20"/>
                <w:szCs w:val="20"/>
              </w:rPr>
              <w:t>备注</w:t>
            </w:r>
          </w:p>
        </w:tc>
      </w:tr>
      <w:tr w14:paraId="16636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 w:hRule="atLeast"/>
        </w:trPr>
        <w:tc>
          <w:tcPr>
            <w:tcW w:w="824" w:type="dxa"/>
            <w:vAlign w:val="top"/>
          </w:tcPr>
          <w:p w14:paraId="4B9AB35D">
            <w:pPr>
              <w:rPr>
                <w:rFonts w:ascii="Arial"/>
                <w:sz w:val="21"/>
              </w:rPr>
            </w:pPr>
          </w:p>
        </w:tc>
        <w:tc>
          <w:tcPr>
            <w:tcW w:w="2527" w:type="dxa"/>
            <w:vAlign w:val="top"/>
          </w:tcPr>
          <w:p w14:paraId="58166487">
            <w:pPr>
              <w:rPr>
                <w:rFonts w:ascii="Arial"/>
                <w:sz w:val="21"/>
              </w:rPr>
            </w:pPr>
          </w:p>
        </w:tc>
        <w:tc>
          <w:tcPr>
            <w:tcW w:w="1768" w:type="dxa"/>
            <w:vAlign w:val="top"/>
          </w:tcPr>
          <w:p w14:paraId="3ADC3912">
            <w:pPr>
              <w:rPr>
                <w:rFonts w:ascii="Arial"/>
                <w:sz w:val="21"/>
              </w:rPr>
            </w:pPr>
          </w:p>
        </w:tc>
        <w:tc>
          <w:tcPr>
            <w:tcW w:w="1778" w:type="dxa"/>
            <w:vAlign w:val="top"/>
          </w:tcPr>
          <w:p w14:paraId="005F3961">
            <w:pPr>
              <w:rPr>
                <w:rFonts w:ascii="Arial"/>
                <w:sz w:val="21"/>
              </w:rPr>
            </w:pPr>
          </w:p>
        </w:tc>
        <w:tc>
          <w:tcPr>
            <w:tcW w:w="1258" w:type="dxa"/>
            <w:vAlign w:val="top"/>
          </w:tcPr>
          <w:p w14:paraId="6E1B9C83">
            <w:pPr>
              <w:rPr>
                <w:rFonts w:ascii="Arial"/>
                <w:sz w:val="21"/>
              </w:rPr>
            </w:pPr>
          </w:p>
        </w:tc>
        <w:tc>
          <w:tcPr>
            <w:tcW w:w="1214" w:type="dxa"/>
            <w:vAlign w:val="top"/>
          </w:tcPr>
          <w:p w14:paraId="3596F492">
            <w:pPr>
              <w:rPr>
                <w:rFonts w:ascii="Arial"/>
                <w:sz w:val="21"/>
              </w:rPr>
            </w:pPr>
          </w:p>
        </w:tc>
      </w:tr>
      <w:tr w14:paraId="02E5C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824" w:type="dxa"/>
            <w:vAlign w:val="top"/>
          </w:tcPr>
          <w:p w14:paraId="1B6C4A8F">
            <w:pPr>
              <w:rPr>
                <w:rFonts w:ascii="Arial"/>
                <w:sz w:val="21"/>
              </w:rPr>
            </w:pPr>
          </w:p>
        </w:tc>
        <w:tc>
          <w:tcPr>
            <w:tcW w:w="2527" w:type="dxa"/>
            <w:vAlign w:val="top"/>
          </w:tcPr>
          <w:p w14:paraId="38151E3A">
            <w:pPr>
              <w:rPr>
                <w:rFonts w:ascii="Arial"/>
                <w:sz w:val="21"/>
              </w:rPr>
            </w:pPr>
          </w:p>
        </w:tc>
        <w:tc>
          <w:tcPr>
            <w:tcW w:w="1768" w:type="dxa"/>
            <w:vAlign w:val="top"/>
          </w:tcPr>
          <w:p w14:paraId="6C3883F9">
            <w:pPr>
              <w:rPr>
                <w:rFonts w:ascii="Arial"/>
                <w:sz w:val="21"/>
              </w:rPr>
            </w:pPr>
          </w:p>
        </w:tc>
        <w:tc>
          <w:tcPr>
            <w:tcW w:w="1778" w:type="dxa"/>
            <w:vAlign w:val="top"/>
          </w:tcPr>
          <w:p w14:paraId="21AB26DD">
            <w:pPr>
              <w:rPr>
                <w:rFonts w:ascii="Arial"/>
                <w:sz w:val="21"/>
              </w:rPr>
            </w:pPr>
          </w:p>
        </w:tc>
        <w:tc>
          <w:tcPr>
            <w:tcW w:w="1258" w:type="dxa"/>
            <w:vAlign w:val="top"/>
          </w:tcPr>
          <w:p w14:paraId="5019231A">
            <w:pPr>
              <w:rPr>
                <w:rFonts w:ascii="Arial"/>
                <w:sz w:val="21"/>
              </w:rPr>
            </w:pPr>
          </w:p>
        </w:tc>
        <w:tc>
          <w:tcPr>
            <w:tcW w:w="1214" w:type="dxa"/>
            <w:vAlign w:val="top"/>
          </w:tcPr>
          <w:p w14:paraId="7BD6E7DE">
            <w:pPr>
              <w:rPr>
                <w:rFonts w:ascii="Arial"/>
                <w:sz w:val="21"/>
              </w:rPr>
            </w:pPr>
          </w:p>
        </w:tc>
      </w:tr>
    </w:tbl>
    <w:p w14:paraId="2AEF27E5">
      <w:pPr>
        <w:spacing w:before="196" w:line="219" w:lineRule="auto"/>
        <w:ind w:left="550"/>
        <w:rPr>
          <w:rFonts w:ascii="宋体" w:hAnsi="宋体" w:eastAsia="宋体" w:cs="宋体"/>
          <w:sz w:val="27"/>
          <w:szCs w:val="27"/>
        </w:rPr>
      </w:pPr>
      <w:r>
        <w:rPr>
          <w:rFonts w:ascii="宋体" w:hAnsi="宋体" w:eastAsia="宋体" w:cs="宋体"/>
          <w:spacing w:val="-2"/>
          <w:sz w:val="27"/>
          <w:szCs w:val="27"/>
        </w:rPr>
        <w:t>表格填写说明：</w:t>
      </w:r>
    </w:p>
    <w:p w14:paraId="7C6E023B">
      <w:pPr>
        <w:spacing w:before="98" w:line="219" w:lineRule="auto"/>
        <w:ind w:left="415"/>
        <w:rPr>
          <w:rFonts w:ascii="宋体" w:hAnsi="宋体" w:eastAsia="宋体" w:cs="宋体"/>
          <w:sz w:val="27"/>
          <w:szCs w:val="27"/>
        </w:rPr>
      </w:pPr>
      <w:r>
        <w:rPr>
          <w:rFonts w:ascii="宋体" w:hAnsi="宋体" w:eastAsia="宋体" w:cs="宋体"/>
          <w:spacing w:val="-12"/>
          <w:sz w:val="27"/>
          <w:szCs w:val="27"/>
        </w:rPr>
        <w:t>“序号”栏：用阿拉伯数字顺序填写。</w:t>
      </w:r>
    </w:p>
    <w:p w14:paraId="28FC57A1">
      <w:pPr>
        <w:spacing w:before="91" w:line="219" w:lineRule="auto"/>
        <w:ind w:left="415"/>
        <w:rPr>
          <w:rFonts w:ascii="宋体" w:hAnsi="宋体" w:eastAsia="宋体" w:cs="宋体"/>
          <w:sz w:val="27"/>
          <w:szCs w:val="27"/>
        </w:rPr>
      </w:pPr>
      <w:r>
        <w:rPr>
          <w:rFonts w:ascii="宋体" w:hAnsi="宋体" w:eastAsia="宋体" w:cs="宋体"/>
          <w:spacing w:val="-4"/>
          <w:sz w:val="27"/>
          <w:szCs w:val="27"/>
        </w:rPr>
        <w:t>“项目”栏：一般按批准的主要战术技术指</w:t>
      </w:r>
      <w:r>
        <w:rPr>
          <w:rFonts w:ascii="宋体" w:hAnsi="宋体" w:eastAsia="宋体" w:cs="宋体"/>
          <w:spacing w:val="-5"/>
          <w:sz w:val="27"/>
          <w:szCs w:val="27"/>
        </w:rPr>
        <w:t>标的项目及顺序填写。</w:t>
      </w:r>
    </w:p>
    <w:p w14:paraId="45CD2804">
      <w:pPr>
        <w:spacing w:before="90" w:line="219" w:lineRule="auto"/>
        <w:ind w:left="415"/>
        <w:rPr>
          <w:rFonts w:ascii="宋体" w:hAnsi="宋体" w:eastAsia="宋体" w:cs="宋体"/>
          <w:sz w:val="27"/>
          <w:szCs w:val="27"/>
        </w:rPr>
      </w:pPr>
      <w:r>
        <w:rPr>
          <w:rFonts w:ascii="宋体" w:hAnsi="宋体" w:eastAsia="宋体" w:cs="宋体"/>
          <w:spacing w:val="-8"/>
          <w:sz w:val="27"/>
          <w:szCs w:val="27"/>
        </w:rPr>
        <w:t>“指标要求”栏：填写批准的主要战术技术指标。</w:t>
      </w:r>
    </w:p>
    <w:p w14:paraId="5E72AA9C">
      <w:pPr>
        <w:spacing w:before="129" w:line="271" w:lineRule="auto"/>
        <w:ind w:right="45" w:firstLine="415"/>
        <w:rPr>
          <w:rFonts w:ascii="宋体" w:hAnsi="宋体" w:eastAsia="宋体" w:cs="宋体"/>
          <w:sz w:val="27"/>
          <w:szCs w:val="27"/>
        </w:rPr>
      </w:pPr>
      <w:r>
        <w:rPr>
          <w:rFonts w:ascii="宋体" w:hAnsi="宋体" w:eastAsia="宋体" w:cs="宋体"/>
          <w:spacing w:val="-6"/>
          <w:sz w:val="27"/>
          <w:szCs w:val="27"/>
        </w:rPr>
        <w:t>“达到的情况”栏：根据产品具体检验和试</w:t>
      </w:r>
      <w:r>
        <w:rPr>
          <w:rFonts w:ascii="宋体" w:hAnsi="宋体" w:eastAsia="宋体" w:cs="宋体"/>
          <w:spacing w:val="-7"/>
          <w:sz w:val="27"/>
          <w:szCs w:val="27"/>
        </w:rPr>
        <w:t>验结果填写。对定量指标，进行定</w:t>
      </w:r>
      <w:r>
        <w:rPr>
          <w:rFonts w:ascii="宋体" w:hAnsi="宋体" w:eastAsia="宋体" w:cs="宋体"/>
          <w:sz w:val="27"/>
          <w:szCs w:val="27"/>
        </w:rPr>
        <w:t xml:space="preserve"> </w:t>
      </w:r>
      <w:r>
        <w:rPr>
          <w:rFonts w:ascii="宋体" w:hAnsi="宋体" w:eastAsia="宋体" w:cs="宋体"/>
          <w:spacing w:val="-17"/>
          <w:sz w:val="27"/>
          <w:szCs w:val="27"/>
        </w:rPr>
        <w:t>量描述，采用“优于××”或“典型值为××”表示；对定性指标，填写实际达到的</w:t>
      </w:r>
      <w:r>
        <w:rPr>
          <w:rFonts w:ascii="宋体" w:hAnsi="宋体" w:eastAsia="宋体" w:cs="宋体"/>
          <w:spacing w:val="17"/>
          <w:sz w:val="27"/>
          <w:szCs w:val="27"/>
        </w:rPr>
        <w:t xml:space="preserve"> </w:t>
      </w:r>
      <w:r>
        <w:rPr>
          <w:rFonts w:ascii="宋体" w:hAnsi="宋体" w:eastAsia="宋体" w:cs="宋体"/>
          <w:spacing w:val="-26"/>
          <w:sz w:val="27"/>
          <w:szCs w:val="27"/>
        </w:rPr>
        <w:t>情况，采用“能××”或“具有××功能”的典型用语，不能只填写“达到”。</w:t>
      </w:r>
    </w:p>
    <w:p w14:paraId="0C9E7A2C">
      <w:pPr>
        <w:spacing w:before="19" w:line="218" w:lineRule="auto"/>
        <w:ind w:left="415"/>
        <w:rPr>
          <w:rFonts w:ascii="宋体" w:hAnsi="宋体" w:eastAsia="宋体" w:cs="宋体"/>
          <w:sz w:val="27"/>
          <w:szCs w:val="27"/>
        </w:rPr>
      </w:pPr>
      <w:r>
        <w:rPr>
          <w:rFonts w:ascii="宋体" w:hAnsi="宋体" w:eastAsia="宋体" w:cs="宋体"/>
          <w:spacing w:val="-32"/>
          <w:sz w:val="27"/>
          <w:szCs w:val="27"/>
        </w:rPr>
        <w:t>“结论”栏：对每一个项目进行评价，如实填写：“达到”、“未达到”。</w:t>
      </w:r>
    </w:p>
    <w:p w14:paraId="785EA9DE">
      <w:pPr>
        <w:spacing w:before="113" w:line="260" w:lineRule="auto"/>
        <w:ind w:right="53" w:firstLine="415"/>
        <w:rPr>
          <w:rFonts w:ascii="宋体" w:hAnsi="宋体" w:eastAsia="宋体" w:cs="宋体"/>
          <w:sz w:val="27"/>
          <w:szCs w:val="27"/>
        </w:rPr>
      </w:pPr>
      <w:r>
        <w:rPr>
          <w:rFonts w:ascii="宋体" w:hAnsi="宋体" w:eastAsia="宋体" w:cs="宋体"/>
          <w:spacing w:val="-6"/>
          <w:sz w:val="27"/>
          <w:szCs w:val="27"/>
        </w:rPr>
        <w:t>“备注”栏：说明考核方式，是试验基地试验</w:t>
      </w:r>
      <w:r>
        <w:rPr>
          <w:rFonts w:ascii="宋体" w:hAnsi="宋体" w:eastAsia="宋体" w:cs="宋体"/>
          <w:spacing w:val="-7"/>
          <w:sz w:val="27"/>
          <w:szCs w:val="27"/>
        </w:rPr>
        <w:t>还是部队试验试用，(如有)可提</w:t>
      </w:r>
      <w:r>
        <w:rPr>
          <w:rFonts w:ascii="宋体" w:hAnsi="宋体" w:eastAsia="宋体" w:cs="宋体"/>
          <w:sz w:val="27"/>
          <w:szCs w:val="27"/>
        </w:rPr>
        <w:t xml:space="preserve"> </w:t>
      </w:r>
      <w:r>
        <w:rPr>
          <w:rFonts w:ascii="宋体" w:hAnsi="宋体" w:eastAsia="宋体" w:cs="宋体"/>
          <w:spacing w:val="1"/>
          <w:sz w:val="27"/>
          <w:szCs w:val="27"/>
        </w:rPr>
        <w:t>供试验报告编号。</w:t>
      </w:r>
    </w:p>
    <w:p w14:paraId="59D33838">
      <w:pPr>
        <w:spacing w:before="54" w:line="222" w:lineRule="auto"/>
        <w:rPr>
          <w:rFonts w:ascii="黑体" w:hAnsi="黑体" w:eastAsia="黑体" w:cs="黑体"/>
          <w:sz w:val="24"/>
          <w:szCs w:val="24"/>
        </w:rPr>
      </w:pPr>
      <w:r>
        <w:rPr>
          <w:rFonts w:ascii="黑体" w:hAnsi="黑体" w:eastAsia="黑体" w:cs="黑体"/>
          <w:spacing w:val="28"/>
          <w:sz w:val="24"/>
          <w:szCs w:val="24"/>
        </w:rPr>
        <w:t>10</w:t>
      </w:r>
      <w:r>
        <w:rPr>
          <w:rFonts w:ascii="黑体" w:hAnsi="黑体" w:eastAsia="黑体" w:cs="黑体"/>
          <w:spacing w:val="47"/>
          <w:sz w:val="24"/>
          <w:szCs w:val="24"/>
        </w:rPr>
        <w:t xml:space="preserve">  </w:t>
      </w:r>
      <w:r>
        <w:rPr>
          <w:rFonts w:ascii="黑体" w:hAnsi="黑体" w:eastAsia="黑体" w:cs="黑体"/>
          <w:b/>
          <w:bCs/>
          <w:spacing w:val="28"/>
          <w:sz w:val="24"/>
          <w:szCs w:val="24"/>
        </w:rPr>
        <w:t>产品尚存问题及解决措施</w:t>
      </w:r>
    </w:p>
    <w:p w14:paraId="3D7F91E9">
      <w:pPr>
        <w:spacing w:before="121" w:line="222" w:lineRule="auto"/>
        <w:rPr>
          <w:rFonts w:ascii="黑体" w:hAnsi="黑体" w:eastAsia="黑体" w:cs="黑体"/>
          <w:sz w:val="24"/>
          <w:szCs w:val="24"/>
        </w:rPr>
      </w:pPr>
      <w:r>
        <w:rPr>
          <w:rFonts w:ascii="黑体" w:hAnsi="黑体" w:eastAsia="黑体" w:cs="黑体"/>
          <w:spacing w:val="18"/>
          <w:sz w:val="24"/>
          <w:szCs w:val="24"/>
        </w:rPr>
        <w:t xml:space="preserve">10.1   </w:t>
      </w:r>
      <w:r>
        <w:rPr>
          <w:rFonts w:ascii="黑体" w:hAnsi="黑体" w:eastAsia="黑体" w:cs="黑体"/>
          <w:b/>
          <w:bCs/>
          <w:spacing w:val="18"/>
          <w:sz w:val="24"/>
          <w:szCs w:val="24"/>
        </w:rPr>
        <w:t>设计定型遗留问题</w:t>
      </w:r>
    </w:p>
    <w:p w14:paraId="6849CB46">
      <w:pPr>
        <w:pStyle w:val="2"/>
        <w:spacing w:before="77" w:line="328" w:lineRule="exact"/>
        <w:rPr>
          <w:rFonts w:ascii="黑体" w:hAnsi="黑体" w:eastAsia="黑体" w:cs="黑体"/>
          <w:sz w:val="24"/>
          <w:szCs w:val="24"/>
        </w:rPr>
      </w:pPr>
      <w:r>
        <w:rPr>
          <w:spacing w:val="18"/>
          <w:position w:val="2"/>
          <w:sz w:val="24"/>
          <w:szCs w:val="24"/>
        </w:rPr>
        <w:t>10.1.X</w:t>
      </w:r>
      <w:r>
        <w:rPr>
          <w:spacing w:val="2"/>
          <w:position w:val="2"/>
          <w:sz w:val="24"/>
          <w:szCs w:val="24"/>
        </w:rPr>
        <w:t xml:space="preserve">       </w:t>
      </w:r>
      <w:r>
        <w:rPr>
          <w:rFonts w:ascii="黑体" w:hAnsi="黑体" w:eastAsia="黑体" w:cs="黑体"/>
          <w:b/>
          <w:bCs/>
          <w:spacing w:val="18"/>
          <w:position w:val="2"/>
          <w:sz w:val="24"/>
          <w:szCs w:val="24"/>
        </w:rPr>
        <w:t>(产品尚存问题</w:t>
      </w:r>
      <w:r>
        <w:rPr>
          <w:rFonts w:ascii="黑体" w:hAnsi="黑体" w:eastAsia="黑体" w:cs="黑体"/>
          <w:spacing w:val="-62"/>
          <w:position w:val="2"/>
          <w:sz w:val="24"/>
          <w:szCs w:val="24"/>
        </w:rPr>
        <w:t xml:space="preserve"> </w:t>
      </w:r>
      <w:r>
        <w:rPr>
          <w:b/>
          <w:bCs/>
          <w:spacing w:val="18"/>
          <w:position w:val="2"/>
          <w:sz w:val="24"/>
          <w:szCs w:val="24"/>
        </w:rPr>
        <w:t>X)</w:t>
      </w:r>
      <w:r>
        <w:rPr>
          <w:b/>
          <w:bCs/>
          <w:spacing w:val="27"/>
          <w:position w:val="2"/>
          <w:sz w:val="24"/>
          <w:szCs w:val="24"/>
        </w:rPr>
        <w:t xml:space="preserve"> </w:t>
      </w:r>
      <w:r>
        <w:rPr>
          <w:rFonts w:ascii="黑体" w:hAnsi="黑体" w:eastAsia="黑体" w:cs="黑体"/>
          <w:b/>
          <w:bCs/>
          <w:spacing w:val="18"/>
          <w:position w:val="2"/>
          <w:sz w:val="24"/>
          <w:szCs w:val="24"/>
        </w:rPr>
        <w:t>及解决措施</w:t>
      </w:r>
    </w:p>
    <w:p w14:paraId="0901789C">
      <w:pPr>
        <w:spacing w:before="101" w:line="290" w:lineRule="auto"/>
        <w:ind w:right="47" w:firstLine="550"/>
        <w:rPr>
          <w:rFonts w:ascii="宋体" w:hAnsi="宋体" w:eastAsia="宋体" w:cs="宋体"/>
          <w:sz w:val="27"/>
          <w:szCs w:val="27"/>
        </w:rPr>
      </w:pPr>
      <w:r>
        <w:rPr>
          <w:rFonts w:ascii="宋体" w:hAnsi="宋体" w:eastAsia="宋体" w:cs="宋体"/>
          <w:spacing w:val="-3"/>
          <w:sz w:val="27"/>
          <w:szCs w:val="27"/>
        </w:rPr>
        <w:t>应将产品尚存在的主要问题、对装备的影响、拟采取的解决措施及完成的期</w:t>
      </w:r>
      <w:r>
        <w:rPr>
          <w:rFonts w:ascii="宋体" w:hAnsi="宋体" w:eastAsia="宋体" w:cs="宋体"/>
          <w:spacing w:val="15"/>
          <w:sz w:val="27"/>
          <w:szCs w:val="27"/>
        </w:rPr>
        <w:t xml:space="preserve"> </w:t>
      </w:r>
      <w:r>
        <w:rPr>
          <w:rFonts w:ascii="宋体" w:hAnsi="宋体" w:eastAsia="宋体" w:cs="宋体"/>
          <w:spacing w:val="-3"/>
          <w:sz w:val="27"/>
          <w:szCs w:val="27"/>
        </w:rPr>
        <w:t>限讲清楚。</w:t>
      </w:r>
    </w:p>
    <w:p w14:paraId="04F25E36">
      <w:pPr>
        <w:spacing w:before="8" w:line="221" w:lineRule="auto"/>
        <w:rPr>
          <w:rFonts w:ascii="黑体" w:hAnsi="黑体" w:eastAsia="黑体" w:cs="黑体"/>
          <w:sz w:val="27"/>
          <w:szCs w:val="27"/>
        </w:rPr>
      </w:pPr>
      <w:r>
        <w:rPr>
          <w:rFonts w:ascii="黑体" w:hAnsi="黑体" w:eastAsia="黑体" w:cs="黑体"/>
          <w:sz w:val="27"/>
          <w:szCs w:val="27"/>
        </w:rPr>
        <w:t>10.2</w:t>
      </w:r>
      <w:r>
        <w:rPr>
          <w:rFonts w:ascii="黑体" w:hAnsi="黑体" w:eastAsia="黑体" w:cs="黑体"/>
          <w:spacing w:val="39"/>
          <w:sz w:val="27"/>
          <w:szCs w:val="27"/>
        </w:rPr>
        <w:t xml:space="preserve">  </w:t>
      </w:r>
      <w:r>
        <w:rPr>
          <w:rFonts w:ascii="黑体" w:hAnsi="黑体" w:eastAsia="黑体" w:cs="黑体"/>
          <w:b/>
          <w:bCs/>
          <w:sz w:val="27"/>
          <w:szCs w:val="27"/>
        </w:rPr>
        <w:t>定型后应继续完成的工作</w:t>
      </w:r>
    </w:p>
    <w:p w14:paraId="23F5D8E9">
      <w:pPr>
        <w:spacing w:before="80" w:line="296" w:lineRule="auto"/>
        <w:ind w:right="52" w:firstLine="550"/>
        <w:rPr>
          <w:rFonts w:ascii="宋体" w:hAnsi="宋体" w:eastAsia="宋体" w:cs="宋体"/>
          <w:sz w:val="27"/>
          <w:szCs w:val="27"/>
        </w:rPr>
      </w:pPr>
      <w:r>
        <w:rPr>
          <w:rFonts w:ascii="宋体" w:hAnsi="宋体" w:eastAsia="宋体" w:cs="宋体"/>
          <w:spacing w:val="3"/>
          <w:sz w:val="27"/>
          <w:szCs w:val="27"/>
        </w:rPr>
        <w:t>简要说明定型后应继续完成的工作，如到部队完成产品</w:t>
      </w:r>
      <w:r>
        <w:rPr>
          <w:rFonts w:ascii="Times New Roman" w:hAnsi="Times New Roman" w:eastAsia="Times New Roman" w:cs="Times New Roman"/>
          <w:spacing w:val="2"/>
          <w:sz w:val="27"/>
          <w:szCs w:val="27"/>
        </w:rPr>
        <w:t>S</w:t>
      </w:r>
      <w:r>
        <w:rPr>
          <w:rFonts w:ascii="Times New Roman" w:hAnsi="Times New Roman" w:eastAsia="Times New Roman" w:cs="Times New Roman"/>
          <w:spacing w:val="49"/>
          <w:sz w:val="27"/>
          <w:szCs w:val="27"/>
        </w:rPr>
        <w:t xml:space="preserve"> </w:t>
      </w:r>
      <w:r>
        <w:rPr>
          <w:rFonts w:ascii="宋体" w:hAnsi="宋体" w:eastAsia="宋体" w:cs="宋体"/>
          <w:spacing w:val="2"/>
          <w:sz w:val="27"/>
          <w:szCs w:val="27"/>
        </w:rPr>
        <w:t>转</w:t>
      </w:r>
      <w:r>
        <w:rPr>
          <w:rFonts w:ascii="宋体" w:hAnsi="宋体" w:eastAsia="宋体" w:cs="宋体"/>
          <w:spacing w:val="-33"/>
          <w:sz w:val="27"/>
          <w:szCs w:val="27"/>
        </w:rPr>
        <w:t xml:space="preserve"> </w:t>
      </w: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工作等，包</w:t>
      </w:r>
      <w:r>
        <w:rPr>
          <w:rFonts w:ascii="宋体" w:hAnsi="宋体" w:eastAsia="宋体" w:cs="宋体"/>
          <w:sz w:val="27"/>
          <w:szCs w:val="27"/>
        </w:rPr>
        <w:t xml:space="preserve"> </w:t>
      </w:r>
      <w:r>
        <w:rPr>
          <w:rFonts w:ascii="宋体" w:hAnsi="宋体" w:eastAsia="宋体" w:cs="宋体"/>
          <w:spacing w:val="-12"/>
          <w:sz w:val="27"/>
          <w:szCs w:val="27"/>
        </w:rPr>
        <w:t>括工作内容、责任单位、完成时限等。</w:t>
      </w:r>
    </w:p>
    <w:p w14:paraId="324DD104">
      <w:pPr>
        <w:spacing w:before="1" w:line="220" w:lineRule="auto"/>
        <w:rPr>
          <w:rFonts w:ascii="黑体" w:hAnsi="黑体" w:eastAsia="黑体" w:cs="黑体"/>
          <w:sz w:val="24"/>
          <w:szCs w:val="24"/>
        </w:rPr>
      </w:pPr>
      <w:r>
        <w:rPr>
          <w:rFonts w:ascii="黑体" w:hAnsi="黑体" w:eastAsia="黑体" w:cs="黑体"/>
          <w:spacing w:val="26"/>
          <w:sz w:val="24"/>
          <w:szCs w:val="24"/>
        </w:rPr>
        <w:t>11</w:t>
      </w:r>
      <w:r>
        <w:rPr>
          <w:rFonts w:ascii="黑体" w:hAnsi="黑体" w:eastAsia="黑体" w:cs="黑体"/>
          <w:spacing w:val="48"/>
          <w:sz w:val="24"/>
          <w:szCs w:val="24"/>
        </w:rPr>
        <w:t xml:space="preserve">  </w:t>
      </w:r>
      <w:r>
        <w:rPr>
          <w:rFonts w:ascii="黑体" w:hAnsi="黑体" w:eastAsia="黑体" w:cs="黑体"/>
          <w:b/>
          <w:bCs/>
          <w:spacing w:val="26"/>
          <w:sz w:val="24"/>
          <w:szCs w:val="24"/>
        </w:rPr>
        <w:t>对产品设计定型的意见</w:t>
      </w:r>
    </w:p>
    <w:p w14:paraId="11CAE503">
      <w:pPr>
        <w:spacing w:before="98" w:line="274" w:lineRule="auto"/>
        <w:ind w:right="54" w:firstLine="550"/>
        <w:rPr>
          <w:rFonts w:ascii="宋体" w:hAnsi="宋体" w:eastAsia="宋体" w:cs="宋体"/>
          <w:sz w:val="27"/>
          <w:szCs w:val="27"/>
        </w:rPr>
      </w:pPr>
      <w:r>
        <w:rPr>
          <w:rFonts w:ascii="宋体" w:hAnsi="宋体" w:eastAsia="宋体" w:cs="宋体"/>
          <w:spacing w:val="6"/>
          <w:sz w:val="27"/>
          <w:szCs w:val="27"/>
        </w:rPr>
        <w:t>综述目前产品所处技术状态，承研承制单位</w:t>
      </w:r>
      <w:r>
        <w:rPr>
          <w:rFonts w:ascii="宋体" w:hAnsi="宋体" w:eastAsia="宋体" w:cs="宋体"/>
          <w:spacing w:val="5"/>
          <w:sz w:val="27"/>
          <w:szCs w:val="27"/>
        </w:rPr>
        <w:t>对产品能否设计定型的自我评</w:t>
      </w:r>
      <w:r>
        <w:rPr>
          <w:rFonts w:ascii="宋体" w:hAnsi="宋体" w:eastAsia="宋体" w:cs="宋体"/>
          <w:sz w:val="27"/>
          <w:szCs w:val="27"/>
        </w:rPr>
        <w:t xml:space="preserve"> </w:t>
      </w:r>
      <w:r>
        <w:rPr>
          <w:rFonts w:ascii="宋体" w:hAnsi="宋体" w:eastAsia="宋体" w:cs="宋体"/>
          <w:spacing w:val="-15"/>
          <w:sz w:val="27"/>
          <w:szCs w:val="27"/>
        </w:rPr>
        <w:t>价，典型用语为：</w:t>
      </w:r>
    </w:p>
    <w:p w14:paraId="590B0EED">
      <w:pPr>
        <w:spacing w:before="41" w:line="309" w:lineRule="auto"/>
        <w:ind w:right="57" w:firstLine="550"/>
        <w:jc w:val="both"/>
        <w:rPr>
          <w:rFonts w:ascii="Times New Roman" w:hAnsi="Times New Roman" w:eastAsia="Times New Roman" w:cs="Times New Roman"/>
          <w:sz w:val="25"/>
          <w:szCs w:val="25"/>
        </w:rPr>
      </w:pPr>
      <w:r>
        <w:rPr>
          <w:rFonts w:ascii="仿宋" w:hAnsi="仿宋" w:eastAsia="仿宋" w:cs="仿宋"/>
          <w:spacing w:val="17"/>
          <w:sz w:val="25"/>
          <w:szCs w:val="25"/>
        </w:rPr>
        <w:t>综上所述，××产品经过研制试验和设计定型试验表明，其战</w:t>
      </w:r>
      <w:r>
        <w:rPr>
          <w:rFonts w:ascii="仿宋" w:hAnsi="仿宋" w:eastAsia="仿宋" w:cs="仿宋"/>
          <w:spacing w:val="16"/>
          <w:sz w:val="25"/>
          <w:szCs w:val="25"/>
        </w:rPr>
        <w:t>术技术性能达</w:t>
      </w:r>
      <w:r>
        <w:rPr>
          <w:rFonts w:ascii="仿宋" w:hAnsi="仿宋" w:eastAsia="仿宋" w:cs="仿宋"/>
          <w:sz w:val="25"/>
          <w:szCs w:val="25"/>
        </w:rPr>
        <w:t xml:space="preserve"> </w:t>
      </w:r>
      <w:r>
        <w:rPr>
          <w:rFonts w:ascii="仿宋" w:hAnsi="仿宋" w:eastAsia="仿宋" w:cs="仿宋"/>
          <w:spacing w:val="20"/>
          <w:sz w:val="25"/>
          <w:szCs w:val="25"/>
        </w:rPr>
        <w:t>到了批复的研制总要求(战术技术指标要求);研制过程中，贯彻了通用化、系列</w:t>
      </w:r>
      <w:r>
        <w:rPr>
          <w:rFonts w:ascii="仿宋" w:hAnsi="仿宋" w:eastAsia="仿宋" w:cs="仿宋"/>
          <w:sz w:val="25"/>
          <w:szCs w:val="25"/>
        </w:rPr>
        <w:t xml:space="preserve"> </w:t>
      </w:r>
      <w:r>
        <w:rPr>
          <w:rFonts w:ascii="仿宋" w:hAnsi="仿宋" w:eastAsia="仿宋" w:cs="仿宋"/>
          <w:spacing w:val="3"/>
          <w:sz w:val="25"/>
          <w:szCs w:val="25"/>
        </w:rPr>
        <w:t>化、组合化要求；设计定型资料完整、准确、协调、规范，图、文与实</w:t>
      </w:r>
      <w:r>
        <w:rPr>
          <w:rFonts w:ascii="仿宋" w:hAnsi="仿宋" w:eastAsia="仿宋" w:cs="仿宋"/>
          <w:spacing w:val="2"/>
          <w:sz w:val="25"/>
          <w:szCs w:val="25"/>
        </w:rPr>
        <w:t>物相符，满足</w:t>
      </w:r>
      <w:r>
        <w:rPr>
          <w:rFonts w:ascii="仿宋" w:hAnsi="仿宋" w:eastAsia="仿宋" w:cs="仿宋"/>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pacing w:val="9"/>
          <w:sz w:val="25"/>
          <w:szCs w:val="25"/>
        </w:rPr>
        <w:t>1362A—2007</w:t>
      </w:r>
      <w:r>
        <w:rPr>
          <w:rFonts w:ascii="宋体" w:hAnsi="宋体" w:eastAsia="宋体" w:cs="宋体"/>
          <w:spacing w:val="9"/>
          <w:sz w:val="25"/>
          <w:szCs w:val="25"/>
        </w:rPr>
        <w:t>《</w:t>
      </w:r>
      <w:r>
        <w:rPr>
          <w:rFonts w:ascii="仿宋" w:hAnsi="仿宋" w:eastAsia="仿宋" w:cs="仿宋"/>
          <w:spacing w:val="9"/>
          <w:sz w:val="25"/>
          <w:szCs w:val="25"/>
        </w:rPr>
        <w:t>军工产品定型程序和要求》;软件已通过定型测评，源程序和</w:t>
      </w:r>
      <w:r>
        <w:rPr>
          <w:rFonts w:ascii="仿宋" w:hAnsi="仿宋" w:eastAsia="仿宋" w:cs="仿宋"/>
          <w:sz w:val="25"/>
          <w:szCs w:val="25"/>
        </w:rPr>
        <w:t xml:space="preserve"> </w:t>
      </w:r>
      <w:r>
        <w:rPr>
          <w:rFonts w:ascii="仿宋" w:hAnsi="仿宋" w:eastAsia="仿宋" w:cs="仿宋"/>
          <w:spacing w:val="33"/>
          <w:sz w:val="25"/>
          <w:szCs w:val="25"/>
        </w:rPr>
        <w:t>相关文档资料齐套、数据齐全，满足《军用软件产品定型</w:t>
      </w:r>
      <w:r>
        <w:rPr>
          <w:rFonts w:ascii="仿宋" w:hAnsi="仿宋" w:eastAsia="仿宋" w:cs="仿宋"/>
          <w:spacing w:val="32"/>
          <w:sz w:val="25"/>
          <w:szCs w:val="25"/>
        </w:rPr>
        <w:t>管理办法》和</w:t>
      </w:r>
      <w:r>
        <w:rPr>
          <w:rFonts w:ascii="仿宋" w:hAnsi="仿宋" w:eastAsia="仿宋" w:cs="仿宋"/>
          <w:spacing w:val="-53"/>
          <w:sz w:val="25"/>
          <w:szCs w:val="25"/>
        </w:rPr>
        <w:t xml:space="preserve"> </w:t>
      </w:r>
      <w:r>
        <w:rPr>
          <w:rFonts w:ascii="Times New Roman" w:hAnsi="Times New Roman" w:eastAsia="Times New Roman" w:cs="Times New Roman"/>
          <w:sz w:val="25"/>
          <w:szCs w:val="25"/>
        </w:rPr>
        <w:t xml:space="preserve">GJB  </w:t>
      </w:r>
      <w:r>
        <w:rPr>
          <w:rFonts w:ascii="仿宋" w:hAnsi="仿宋" w:eastAsia="仿宋" w:cs="仿宋"/>
          <w:spacing w:val="13"/>
          <w:sz w:val="25"/>
          <w:szCs w:val="25"/>
        </w:rPr>
        <w:t>438</w:t>
      </w:r>
      <w:r>
        <w:rPr>
          <w:rFonts w:ascii="仿宋" w:hAnsi="仿宋" w:eastAsia="仿宋" w:cs="仿宋"/>
          <w:spacing w:val="-69"/>
          <w:sz w:val="25"/>
          <w:szCs w:val="25"/>
        </w:rPr>
        <w:t xml:space="preserve"> </w:t>
      </w:r>
      <w:r>
        <w:rPr>
          <w:rFonts w:ascii="Times New Roman" w:hAnsi="Times New Roman" w:eastAsia="Times New Roman" w:cs="Times New Roman"/>
          <w:spacing w:val="13"/>
          <w:sz w:val="25"/>
          <w:szCs w:val="25"/>
        </w:rPr>
        <w:t>B—2009</w:t>
      </w:r>
      <w:r>
        <w:rPr>
          <w:rFonts w:ascii="宋体" w:hAnsi="宋体" w:eastAsia="宋体" w:cs="宋体"/>
          <w:spacing w:val="13"/>
          <w:sz w:val="25"/>
          <w:szCs w:val="25"/>
        </w:rPr>
        <w:t>《</w:t>
      </w:r>
      <w:r>
        <w:rPr>
          <w:rFonts w:ascii="仿宋" w:hAnsi="仿宋" w:eastAsia="仿宋" w:cs="仿宋"/>
          <w:spacing w:val="13"/>
          <w:sz w:val="25"/>
          <w:szCs w:val="25"/>
        </w:rPr>
        <w:t>军用软件开发文档通用要求》的要求；配套的设备已进行了独立考</w:t>
      </w:r>
      <w:r>
        <w:rPr>
          <w:rFonts w:ascii="仿宋" w:hAnsi="仿宋" w:eastAsia="仿宋" w:cs="仿宋"/>
          <w:sz w:val="25"/>
          <w:szCs w:val="25"/>
        </w:rPr>
        <w:t xml:space="preserve"> </w:t>
      </w:r>
      <w:r>
        <w:rPr>
          <w:rFonts w:ascii="仿宋" w:hAnsi="仿宋" w:eastAsia="仿宋" w:cs="仿宋"/>
          <w:spacing w:val="18"/>
          <w:sz w:val="25"/>
          <w:szCs w:val="25"/>
        </w:rPr>
        <w:t>核并通过了设计定型，元器件、原材料有稳定的供货来源；承研单</w:t>
      </w:r>
      <w:r>
        <w:rPr>
          <w:rFonts w:ascii="仿宋" w:hAnsi="仿宋" w:eastAsia="仿宋" w:cs="仿宋"/>
          <w:spacing w:val="17"/>
          <w:sz w:val="25"/>
          <w:szCs w:val="25"/>
        </w:rPr>
        <w:t>位通过了</w:t>
      </w:r>
      <w:r>
        <w:rPr>
          <w:rFonts w:ascii="Times New Roman" w:hAnsi="Times New Roman" w:eastAsia="Times New Roman" w:cs="Times New Roman"/>
          <w:sz w:val="25"/>
          <w:szCs w:val="25"/>
        </w:rPr>
        <w:t>GJB</w:t>
      </w:r>
    </w:p>
    <w:p w14:paraId="0D4B16D0">
      <w:pPr>
        <w:spacing w:line="309" w:lineRule="auto"/>
        <w:rPr>
          <w:rFonts w:ascii="Times New Roman" w:hAnsi="Times New Roman" w:eastAsia="Times New Roman" w:cs="Times New Roman"/>
          <w:sz w:val="25"/>
          <w:szCs w:val="25"/>
        </w:rPr>
        <w:sectPr>
          <w:footerReference r:id="rId153" w:type="default"/>
          <w:pgSz w:w="11910" w:h="17130"/>
          <w:pgMar w:top="400" w:right="1054" w:bottom="1573" w:left="1430" w:header="0" w:footer="1375" w:gutter="0"/>
          <w:cols w:space="720" w:num="1"/>
        </w:sectPr>
      </w:pPr>
    </w:p>
    <w:p w14:paraId="32631FB3">
      <w:pPr>
        <w:pStyle w:val="2"/>
        <w:spacing w:line="255" w:lineRule="auto"/>
      </w:pPr>
    </w:p>
    <w:p w14:paraId="061B42F1">
      <w:pPr>
        <w:pStyle w:val="2"/>
        <w:spacing w:line="255" w:lineRule="auto"/>
      </w:pPr>
    </w:p>
    <w:p w14:paraId="61B252F9">
      <w:pPr>
        <w:pStyle w:val="2"/>
        <w:spacing w:line="255" w:lineRule="auto"/>
      </w:pPr>
    </w:p>
    <w:p w14:paraId="7558C59A">
      <w:pPr>
        <w:pStyle w:val="2"/>
        <w:spacing w:line="255" w:lineRule="auto"/>
      </w:pPr>
    </w:p>
    <w:p w14:paraId="307E637C">
      <w:pPr>
        <w:spacing w:before="78" w:line="357" w:lineRule="auto"/>
        <w:ind w:right="98"/>
        <w:rPr>
          <w:rFonts w:ascii="仿宋" w:hAnsi="仿宋" w:eastAsia="仿宋" w:cs="仿宋"/>
          <w:sz w:val="24"/>
          <w:szCs w:val="24"/>
        </w:rPr>
      </w:pPr>
      <w:r>
        <w:rPr>
          <w:rFonts w:ascii="仿宋" w:hAnsi="仿宋" w:eastAsia="仿宋" w:cs="仿宋"/>
          <w:spacing w:val="33"/>
          <w:sz w:val="24"/>
          <w:szCs w:val="24"/>
        </w:rPr>
        <w:t>9001质量体系认证，质量体系运行有效。该产品已符合设计定型的要求，申请</w:t>
      </w:r>
      <w:r>
        <w:rPr>
          <w:rFonts w:ascii="仿宋" w:hAnsi="仿宋" w:eastAsia="仿宋" w:cs="仿宋"/>
          <w:spacing w:val="17"/>
          <w:sz w:val="24"/>
          <w:szCs w:val="24"/>
        </w:rPr>
        <w:t xml:space="preserve"> </w:t>
      </w:r>
      <w:r>
        <w:rPr>
          <w:rFonts w:ascii="仿宋" w:hAnsi="仿宋" w:eastAsia="仿宋" w:cs="仿宋"/>
          <w:spacing w:val="23"/>
          <w:sz w:val="24"/>
          <w:szCs w:val="24"/>
        </w:rPr>
        <w:t>设计定型。</w:t>
      </w:r>
    </w:p>
    <w:p w14:paraId="5D4E7A67">
      <w:pPr>
        <w:spacing w:before="256" w:line="219" w:lineRule="auto"/>
        <w:ind w:left="2299"/>
        <w:outlineLvl w:val="1"/>
        <w:rPr>
          <w:rFonts w:ascii="宋体" w:hAnsi="宋体" w:eastAsia="宋体" w:cs="宋体"/>
          <w:sz w:val="36"/>
          <w:szCs w:val="36"/>
        </w:rPr>
      </w:pPr>
      <w:bookmarkStart w:id="94" w:name="bookmark355"/>
      <w:bookmarkEnd w:id="94"/>
      <w:bookmarkStart w:id="95" w:name="bookmark47"/>
      <w:bookmarkEnd w:id="95"/>
      <w:r>
        <w:rPr>
          <w:rFonts w:ascii="宋体" w:hAnsi="宋体" w:eastAsia="宋体" w:cs="宋体"/>
          <w:spacing w:val="2"/>
          <w:sz w:val="36"/>
          <w:szCs w:val="36"/>
        </w:rPr>
        <w:t xml:space="preserve">1.45  </w:t>
      </w:r>
      <w:r>
        <w:rPr>
          <w:rFonts w:ascii="宋体" w:hAnsi="宋体" w:eastAsia="宋体" w:cs="宋体"/>
          <w:b/>
          <w:bCs/>
          <w:spacing w:val="2"/>
          <w:sz w:val="36"/>
          <w:szCs w:val="36"/>
        </w:rPr>
        <w:t>设计定型录像片解说词</w:t>
      </w:r>
    </w:p>
    <w:p w14:paraId="74F613FC">
      <w:pPr>
        <w:pStyle w:val="2"/>
        <w:spacing w:line="330" w:lineRule="auto"/>
      </w:pPr>
    </w:p>
    <w:p w14:paraId="710EDB94">
      <w:pPr>
        <w:spacing w:before="91" w:line="223" w:lineRule="auto"/>
        <w:ind w:left="563"/>
        <w:rPr>
          <w:rFonts w:ascii="楷体" w:hAnsi="楷体" w:eastAsia="楷体" w:cs="楷体"/>
          <w:sz w:val="28"/>
          <w:szCs w:val="28"/>
        </w:rPr>
      </w:pPr>
      <w:r>
        <w:rPr>
          <w:rFonts w:ascii="楷体" w:hAnsi="楷体" w:eastAsia="楷体" w:cs="楷体"/>
          <w:b/>
          <w:bCs/>
          <w:spacing w:val="-24"/>
          <w:sz w:val="28"/>
          <w:szCs w:val="28"/>
        </w:rPr>
        <w:t>按照《产品定型录像片制作要求》编写。</w:t>
      </w:r>
    </w:p>
    <w:p w14:paraId="33C883E8">
      <w:pPr>
        <w:spacing w:before="115" w:line="221" w:lineRule="auto"/>
        <w:rPr>
          <w:rFonts w:ascii="黑体" w:hAnsi="黑体" w:eastAsia="黑体" w:cs="黑体"/>
          <w:sz w:val="24"/>
          <w:szCs w:val="24"/>
        </w:rPr>
      </w:pPr>
      <w:r>
        <w:rPr>
          <w:rFonts w:ascii="黑体" w:hAnsi="黑体" w:eastAsia="黑体" w:cs="黑体"/>
          <w:spacing w:val="24"/>
          <w:sz w:val="24"/>
          <w:szCs w:val="24"/>
        </w:rPr>
        <w:t>1</w:t>
      </w:r>
      <w:r>
        <w:rPr>
          <w:rFonts w:ascii="黑体" w:hAnsi="黑体" w:eastAsia="黑体" w:cs="黑体"/>
          <w:spacing w:val="45"/>
          <w:sz w:val="24"/>
          <w:szCs w:val="24"/>
        </w:rPr>
        <w:t xml:space="preserve">  </w:t>
      </w:r>
      <w:r>
        <w:rPr>
          <w:rFonts w:ascii="黑体" w:hAnsi="黑体" w:eastAsia="黑体" w:cs="黑体"/>
          <w:b/>
          <w:bCs/>
          <w:spacing w:val="24"/>
          <w:sz w:val="24"/>
          <w:szCs w:val="24"/>
        </w:rPr>
        <w:t>任务来源及主要作战使命</w:t>
      </w:r>
    </w:p>
    <w:p w14:paraId="45AD092D">
      <w:pPr>
        <w:spacing w:before="128" w:line="219" w:lineRule="auto"/>
        <w:ind w:left="559"/>
        <w:rPr>
          <w:rFonts w:ascii="宋体" w:hAnsi="宋体" w:eastAsia="宋体" w:cs="宋体"/>
          <w:sz w:val="24"/>
          <w:szCs w:val="24"/>
        </w:rPr>
      </w:pPr>
      <w:r>
        <w:rPr>
          <w:rFonts w:ascii="宋体" w:hAnsi="宋体" w:eastAsia="宋体" w:cs="宋体"/>
          <w:spacing w:val="23"/>
          <w:sz w:val="24"/>
          <w:szCs w:val="24"/>
        </w:rPr>
        <w:t>第一段主要说明任务来源，表述为：</w:t>
      </w:r>
    </w:p>
    <w:p w14:paraId="158E262C">
      <w:pPr>
        <w:spacing w:before="104" w:line="301" w:lineRule="auto"/>
        <w:ind w:right="98" w:firstLine="559"/>
        <w:rPr>
          <w:rFonts w:ascii="仿宋" w:hAnsi="仿宋" w:eastAsia="仿宋" w:cs="仿宋"/>
          <w:sz w:val="24"/>
          <w:szCs w:val="24"/>
        </w:rPr>
      </w:pPr>
      <w:r>
        <w:rPr>
          <w:rFonts w:ascii="仿宋" w:hAnsi="仿宋" w:eastAsia="仿宋" w:cs="仿宋"/>
          <w:spacing w:val="35"/>
          <w:sz w:val="24"/>
          <w:szCs w:val="24"/>
        </w:rPr>
        <w:t>某年某月总装备部批准某装备立项研制，某年某月总装备部批准某装备研</w:t>
      </w:r>
      <w:r>
        <w:rPr>
          <w:rFonts w:ascii="仿宋" w:hAnsi="仿宋" w:eastAsia="仿宋" w:cs="仿宋"/>
          <w:spacing w:val="5"/>
          <w:sz w:val="24"/>
          <w:szCs w:val="24"/>
        </w:rPr>
        <w:t xml:space="preserve"> </w:t>
      </w:r>
      <w:r>
        <w:rPr>
          <w:rFonts w:ascii="仿宋" w:hAnsi="仿宋" w:eastAsia="仿宋" w:cs="仿宋"/>
          <w:spacing w:val="31"/>
          <w:sz w:val="24"/>
          <w:szCs w:val="24"/>
        </w:rPr>
        <w:t>制总要求。某单位为武器系统总设计师单位。</w:t>
      </w:r>
    </w:p>
    <w:p w14:paraId="789E53F1">
      <w:pPr>
        <w:spacing w:line="292" w:lineRule="auto"/>
        <w:ind w:right="104" w:firstLine="559"/>
        <w:rPr>
          <w:rFonts w:ascii="宋体" w:hAnsi="宋体" w:eastAsia="宋体" w:cs="宋体"/>
          <w:sz w:val="27"/>
          <w:szCs w:val="27"/>
        </w:rPr>
      </w:pPr>
      <w:r>
        <w:rPr>
          <w:rFonts w:ascii="宋体" w:hAnsi="宋体" w:eastAsia="宋体" w:cs="宋体"/>
          <w:spacing w:val="5"/>
          <w:sz w:val="27"/>
          <w:szCs w:val="27"/>
        </w:rPr>
        <w:t>1998年总装备部成立之前，武器装备研制程序与</w:t>
      </w:r>
      <w:r>
        <w:rPr>
          <w:rFonts w:ascii="宋体" w:hAnsi="宋体" w:eastAsia="宋体" w:cs="宋体"/>
          <w:spacing w:val="4"/>
          <w:sz w:val="27"/>
          <w:szCs w:val="27"/>
        </w:rPr>
        <w:t>现在不同，应根据实际批</w:t>
      </w:r>
      <w:r>
        <w:rPr>
          <w:rFonts w:ascii="宋体" w:hAnsi="宋体" w:eastAsia="宋体" w:cs="宋体"/>
          <w:sz w:val="27"/>
          <w:szCs w:val="27"/>
        </w:rPr>
        <w:t xml:space="preserve"> </w:t>
      </w:r>
      <w:r>
        <w:rPr>
          <w:rFonts w:ascii="宋体" w:hAnsi="宋体" w:eastAsia="宋体" w:cs="宋体"/>
          <w:spacing w:val="1"/>
          <w:sz w:val="27"/>
          <w:szCs w:val="27"/>
        </w:rPr>
        <w:t>准程序编写解说词。表述为：</w:t>
      </w:r>
    </w:p>
    <w:p w14:paraId="492E15BF">
      <w:pPr>
        <w:spacing w:before="3" w:line="303" w:lineRule="auto"/>
        <w:ind w:right="100" w:firstLine="559"/>
        <w:jc w:val="both"/>
        <w:rPr>
          <w:rFonts w:ascii="仿宋" w:hAnsi="仿宋" w:eastAsia="仿宋" w:cs="仿宋"/>
          <w:sz w:val="24"/>
          <w:szCs w:val="24"/>
        </w:rPr>
      </w:pPr>
      <w:r>
        <w:rPr>
          <w:rFonts w:ascii="仿宋" w:hAnsi="仿宋" w:eastAsia="仿宋" w:cs="仿宋"/>
          <w:spacing w:val="34"/>
          <w:sz w:val="24"/>
          <w:szCs w:val="24"/>
        </w:rPr>
        <w:t>某年某月总参谋部批准某装备主要作战使用性能，某年某月原国防科工委</w:t>
      </w:r>
      <w:r>
        <w:rPr>
          <w:rFonts w:ascii="仿宋" w:hAnsi="仿宋" w:eastAsia="仿宋" w:cs="仿宋"/>
          <w:spacing w:val="1"/>
          <w:sz w:val="24"/>
          <w:szCs w:val="24"/>
        </w:rPr>
        <w:t xml:space="preserve"> </w:t>
      </w:r>
      <w:r>
        <w:rPr>
          <w:rFonts w:ascii="仿宋" w:hAnsi="仿宋" w:eastAsia="仿宋" w:cs="仿宋"/>
          <w:spacing w:val="35"/>
          <w:sz w:val="24"/>
          <w:szCs w:val="24"/>
        </w:rPr>
        <w:t>批准某装备立项研制，某年某月总参谋部、原国防科工委批准某装备研制任务</w:t>
      </w:r>
      <w:r>
        <w:rPr>
          <w:rFonts w:ascii="仿宋" w:hAnsi="仿宋" w:eastAsia="仿宋" w:cs="仿宋"/>
          <w:spacing w:val="13"/>
          <w:sz w:val="24"/>
          <w:szCs w:val="24"/>
        </w:rPr>
        <w:t xml:space="preserve"> </w:t>
      </w:r>
      <w:r>
        <w:rPr>
          <w:rFonts w:ascii="仿宋" w:hAnsi="仿宋" w:eastAsia="仿宋" w:cs="仿宋"/>
          <w:spacing w:val="32"/>
          <w:sz w:val="24"/>
          <w:szCs w:val="24"/>
        </w:rPr>
        <w:t>书。某单位为武器系统总设计师单位。</w:t>
      </w:r>
    </w:p>
    <w:p w14:paraId="3E69150C">
      <w:pPr>
        <w:spacing w:before="1" w:line="218" w:lineRule="auto"/>
        <w:ind w:left="559"/>
        <w:rPr>
          <w:rFonts w:ascii="宋体" w:hAnsi="宋体" w:eastAsia="宋体" w:cs="宋体"/>
          <w:sz w:val="27"/>
          <w:szCs w:val="27"/>
        </w:rPr>
      </w:pPr>
      <w:r>
        <w:rPr>
          <w:rFonts w:ascii="宋体" w:hAnsi="宋体" w:eastAsia="宋体" w:cs="宋体"/>
          <w:spacing w:val="-8"/>
          <w:sz w:val="27"/>
          <w:szCs w:val="27"/>
        </w:rPr>
        <w:t>本段中还应对重点工程项目加以说明，如：“该装备是×××工程项目。”</w:t>
      </w:r>
    </w:p>
    <w:p w14:paraId="644391CD">
      <w:pPr>
        <w:spacing w:before="79" w:line="279" w:lineRule="auto"/>
        <w:ind w:right="80" w:firstLine="559"/>
        <w:rPr>
          <w:rFonts w:ascii="宋体" w:hAnsi="宋体" w:eastAsia="宋体" w:cs="宋体"/>
          <w:sz w:val="27"/>
          <w:szCs w:val="27"/>
        </w:rPr>
      </w:pPr>
      <w:r>
        <w:rPr>
          <w:rFonts w:ascii="宋体" w:hAnsi="宋体" w:eastAsia="宋体" w:cs="宋体"/>
          <w:spacing w:val="6"/>
          <w:sz w:val="27"/>
          <w:szCs w:val="27"/>
        </w:rPr>
        <w:t>第二段主要说明装备的主要作战使命。介绍装备的定</w:t>
      </w:r>
      <w:r>
        <w:rPr>
          <w:rFonts w:ascii="宋体" w:hAnsi="宋体" w:eastAsia="宋体" w:cs="宋体"/>
          <w:spacing w:val="5"/>
          <w:sz w:val="27"/>
          <w:szCs w:val="27"/>
        </w:rPr>
        <w:t>义或功能，承担的主</w:t>
      </w:r>
      <w:r>
        <w:rPr>
          <w:rFonts w:ascii="宋体" w:hAnsi="宋体" w:eastAsia="宋体" w:cs="宋体"/>
          <w:sz w:val="27"/>
          <w:szCs w:val="27"/>
        </w:rPr>
        <w:t xml:space="preserve"> </w:t>
      </w:r>
      <w:r>
        <w:rPr>
          <w:rFonts w:ascii="宋体" w:hAnsi="宋体" w:eastAsia="宋体" w:cs="宋体"/>
          <w:spacing w:val="-5"/>
          <w:sz w:val="27"/>
          <w:szCs w:val="27"/>
        </w:rPr>
        <w:t>要作战任务或打击对象，应用环境、装载平台或配套的武器系统等。</w:t>
      </w:r>
    </w:p>
    <w:p w14:paraId="54E47B90">
      <w:pPr>
        <w:spacing w:before="2" w:line="220"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25"/>
          <w:sz w:val="27"/>
          <w:szCs w:val="27"/>
        </w:rPr>
        <w:t xml:space="preserve">  </w:t>
      </w:r>
      <w:r>
        <w:rPr>
          <w:rFonts w:ascii="黑体" w:hAnsi="黑体" w:eastAsia="黑体" w:cs="黑体"/>
          <w:b/>
          <w:bCs/>
          <w:sz w:val="27"/>
          <w:szCs w:val="27"/>
        </w:rPr>
        <w:t>系统组成及主要战术技术指标</w:t>
      </w:r>
    </w:p>
    <w:p w14:paraId="393B9648">
      <w:pPr>
        <w:spacing w:before="81" w:line="284" w:lineRule="auto"/>
        <w:ind w:right="80" w:firstLine="559"/>
        <w:rPr>
          <w:rFonts w:ascii="宋体" w:hAnsi="宋体" w:eastAsia="宋体" w:cs="宋体"/>
          <w:sz w:val="27"/>
          <w:szCs w:val="27"/>
        </w:rPr>
      </w:pPr>
      <w:r>
        <w:rPr>
          <w:rFonts w:ascii="宋体" w:hAnsi="宋体" w:eastAsia="宋体" w:cs="宋体"/>
          <w:spacing w:val="6"/>
          <w:sz w:val="27"/>
          <w:szCs w:val="27"/>
        </w:rPr>
        <w:t>第一段介绍系统组成。介绍系统组成，通常是指单独</w:t>
      </w:r>
      <w:r>
        <w:rPr>
          <w:rFonts w:ascii="宋体" w:hAnsi="宋体" w:eastAsia="宋体" w:cs="宋体"/>
          <w:spacing w:val="5"/>
          <w:sz w:val="27"/>
          <w:szCs w:val="27"/>
        </w:rPr>
        <w:t>批准定型或单独命名</w:t>
      </w:r>
      <w:r>
        <w:rPr>
          <w:rFonts w:ascii="宋体" w:hAnsi="宋体" w:eastAsia="宋体" w:cs="宋体"/>
          <w:sz w:val="27"/>
          <w:szCs w:val="27"/>
        </w:rPr>
        <w:t xml:space="preserve"> </w:t>
      </w:r>
      <w:r>
        <w:rPr>
          <w:rFonts w:ascii="宋体" w:hAnsi="宋体" w:eastAsia="宋体" w:cs="宋体"/>
          <w:spacing w:val="4"/>
          <w:sz w:val="27"/>
          <w:szCs w:val="27"/>
        </w:rPr>
        <w:t>的部分。编制录像片时配合画面反映组成结构。</w:t>
      </w:r>
    </w:p>
    <w:p w14:paraId="6A541356">
      <w:pPr>
        <w:spacing w:before="1" w:line="218" w:lineRule="auto"/>
        <w:ind w:left="559"/>
        <w:rPr>
          <w:rFonts w:ascii="宋体" w:hAnsi="宋体" w:eastAsia="宋体" w:cs="宋体"/>
          <w:sz w:val="27"/>
          <w:szCs w:val="27"/>
        </w:rPr>
      </w:pPr>
      <w:r>
        <w:rPr>
          <w:rFonts w:ascii="宋体" w:hAnsi="宋体" w:eastAsia="宋体" w:cs="宋体"/>
          <w:spacing w:val="2"/>
          <w:sz w:val="27"/>
          <w:szCs w:val="27"/>
        </w:rPr>
        <w:t>第二段介绍主要战术技术指标。</w:t>
      </w:r>
    </w:p>
    <w:p w14:paraId="60F3F8E4">
      <w:pPr>
        <w:spacing w:before="83" w:line="221" w:lineRule="auto"/>
        <w:ind w:left="559"/>
        <w:rPr>
          <w:rFonts w:ascii="宋体" w:hAnsi="宋体" w:eastAsia="宋体" w:cs="宋体"/>
          <w:sz w:val="27"/>
          <w:szCs w:val="27"/>
        </w:rPr>
      </w:pPr>
      <w:r>
        <w:rPr>
          <w:rFonts w:ascii="宋体" w:hAnsi="宋体" w:eastAsia="宋体" w:cs="宋体"/>
          <w:spacing w:val="-3"/>
          <w:sz w:val="27"/>
          <w:szCs w:val="27"/>
        </w:rPr>
        <w:t>表述为：</w:t>
      </w:r>
    </w:p>
    <w:p w14:paraId="58A1F57B">
      <w:pPr>
        <w:spacing w:before="102" w:line="222" w:lineRule="auto"/>
        <w:ind w:left="559"/>
        <w:rPr>
          <w:rFonts w:ascii="仿宋" w:hAnsi="仿宋" w:eastAsia="仿宋" w:cs="仿宋"/>
          <w:sz w:val="24"/>
          <w:szCs w:val="24"/>
        </w:rPr>
      </w:pPr>
      <w:r>
        <w:rPr>
          <w:rFonts w:ascii="仿宋" w:hAnsi="仿宋" w:eastAsia="仿宋" w:cs="仿宋"/>
          <w:spacing w:val="25"/>
          <w:sz w:val="24"/>
          <w:szCs w:val="24"/>
        </w:rPr>
        <w:t>主要战术技术指标：</w:t>
      </w:r>
    </w:p>
    <w:p w14:paraId="7CFCB71E">
      <w:pPr>
        <w:spacing w:before="139" w:line="221" w:lineRule="auto"/>
        <w:ind w:left="559"/>
        <w:rPr>
          <w:rFonts w:ascii="仿宋" w:hAnsi="仿宋" w:eastAsia="仿宋" w:cs="仿宋"/>
          <w:sz w:val="24"/>
          <w:szCs w:val="24"/>
        </w:rPr>
      </w:pPr>
      <w:r>
        <w:rPr>
          <w:rFonts w:ascii="仿宋" w:hAnsi="仿宋" w:eastAsia="仿宋" w:cs="仿宋"/>
          <w:spacing w:val="33"/>
          <w:sz w:val="24"/>
          <w:szCs w:val="24"/>
        </w:rPr>
        <w:t>战术技术指标名：指标值单位</w:t>
      </w:r>
    </w:p>
    <w:p w14:paraId="7245E4FF">
      <w:pPr>
        <w:spacing w:before="96" w:line="272" w:lineRule="auto"/>
        <w:ind w:firstLine="559"/>
        <w:rPr>
          <w:rFonts w:ascii="宋体" w:hAnsi="宋体" w:eastAsia="宋体" w:cs="宋体"/>
          <w:sz w:val="27"/>
          <w:szCs w:val="27"/>
        </w:rPr>
      </w:pPr>
      <w:r>
        <w:rPr>
          <w:rFonts w:ascii="宋体" w:hAnsi="宋体" w:eastAsia="宋体" w:cs="宋体"/>
          <w:spacing w:val="5"/>
          <w:sz w:val="27"/>
          <w:szCs w:val="27"/>
        </w:rPr>
        <w:t>每一型装备的战术技术指标很多，录像片中介绍的战术技术指标是反映该</w:t>
      </w:r>
      <w:r>
        <w:rPr>
          <w:rFonts w:ascii="宋体" w:hAnsi="宋体" w:eastAsia="宋体" w:cs="宋体"/>
          <w:spacing w:val="2"/>
          <w:sz w:val="27"/>
          <w:szCs w:val="27"/>
        </w:rPr>
        <w:t xml:space="preserve"> </w:t>
      </w:r>
      <w:r>
        <w:rPr>
          <w:rFonts w:ascii="宋体" w:hAnsi="宋体" w:eastAsia="宋体" w:cs="宋体"/>
          <w:spacing w:val="8"/>
          <w:sz w:val="27"/>
          <w:szCs w:val="27"/>
        </w:rPr>
        <w:t>型装备完成作战使命最主要和最具特点的指标，应从研制总要求中适当选取。</w:t>
      </w:r>
      <w:r>
        <w:rPr>
          <w:rFonts w:ascii="宋体" w:hAnsi="宋体" w:eastAsia="宋体" w:cs="宋体"/>
          <w:spacing w:val="12"/>
          <w:sz w:val="27"/>
          <w:szCs w:val="27"/>
        </w:rPr>
        <w:t xml:space="preserve"> </w:t>
      </w:r>
      <w:r>
        <w:rPr>
          <w:rFonts w:ascii="宋体" w:hAnsi="宋体" w:eastAsia="宋体" w:cs="宋体"/>
          <w:spacing w:val="2"/>
          <w:sz w:val="27"/>
          <w:szCs w:val="27"/>
        </w:rPr>
        <w:t>指标值单位使用汉字。</w:t>
      </w:r>
    </w:p>
    <w:p w14:paraId="0C561957">
      <w:pPr>
        <w:spacing w:before="22" w:line="221" w:lineRule="auto"/>
        <w:rPr>
          <w:rFonts w:ascii="黑体" w:hAnsi="黑体" w:eastAsia="黑体" w:cs="黑体"/>
          <w:sz w:val="27"/>
          <w:szCs w:val="27"/>
        </w:rPr>
      </w:pPr>
      <w:r>
        <w:rPr>
          <w:rFonts w:ascii="黑体" w:hAnsi="黑体" w:eastAsia="黑体" w:cs="黑体"/>
          <w:spacing w:val="5"/>
          <w:sz w:val="27"/>
          <w:szCs w:val="27"/>
        </w:rPr>
        <w:t xml:space="preserve">3  </w:t>
      </w:r>
      <w:r>
        <w:rPr>
          <w:rFonts w:ascii="黑体" w:hAnsi="黑体" w:eastAsia="黑体" w:cs="黑体"/>
          <w:b/>
          <w:bCs/>
          <w:spacing w:val="5"/>
          <w:sz w:val="27"/>
          <w:szCs w:val="27"/>
        </w:rPr>
        <w:t>定型试验情况(含定型遗留问题及解决情况)</w:t>
      </w:r>
    </w:p>
    <w:p w14:paraId="7C8792C1">
      <w:pPr>
        <w:spacing w:before="101" w:line="271" w:lineRule="auto"/>
        <w:ind w:right="97" w:firstLine="559"/>
        <w:jc w:val="both"/>
        <w:rPr>
          <w:rFonts w:ascii="宋体" w:hAnsi="宋体" w:eastAsia="宋体" w:cs="宋体"/>
          <w:sz w:val="27"/>
          <w:szCs w:val="27"/>
        </w:rPr>
      </w:pPr>
      <w:r>
        <w:rPr>
          <w:rFonts w:ascii="宋体" w:hAnsi="宋体" w:eastAsia="宋体" w:cs="宋体"/>
          <w:spacing w:val="-3"/>
          <w:sz w:val="27"/>
          <w:szCs w:val="27"/>
        </w:rPr>
        <w:t>主要介绍定型试验时间、承试单位，主要试验科目，主要试</w:t>
      </w:r>
      <w:r>
        <w:rPr>
          <w:rFonts w:ascii="宋体" w:hAnsi="宋体" w:eastAsia="宋体" w:cs="宋体"/>
          <w:spacing w:val="-4"/>
          <w:sz w:val="27"/>
          <w:szCs w:val="27"/>
        </w:rPr>
        <w:t>验结果，试验结</w:t>
      </w:r>
      <w:r>
        <w:rPr>
          <w:rFonts w:ascii="宋体" w:hAnsi="宋体" w:eastAsia="宋体" w:cs="宋体"/>
          <w:sz w:val="27"/>
          <w:szCs w:val="27"/>
        </w:rPr>
        <w:t xml:space="preserve"> </w:t>
      </w:r>
      <w:r>
        <w:rPr>
          <w:rFonts w:ascii="宋体" w:hAnsi="宋体" w:eastAsia="宋体" w:cs="宋体"/>
          <w:spacing w:val="5"/>
          <w:sz w:val="27"/>
          <w:szCs w:val="27"/>
        </w:rPr>
        <w:t>论。装备定型试验中的基地试验和部队试验需分别介绍。部队试验结论可以定</w:t>
      </w:r>
      <w:r>
        <w:rPr>
          <w:rFonts w:ascii="宋体" w:hAnsi="宋体" w:eastAsia="宋体" w:cs="宋体"/>
          <w:spacing w:val="16"/>
          <w:sz w:val="27"/>
          <w:szCs w:val="27"/>
        </w:rPr>
        <w:t xml:space="preserve"> </w:t>
      </w:r>
      <w:r>
        <w:rPr>
          <w:rFonts w:ascii="宋体" w:hAnsi="宋体" w:eastAsia="宋体" w:cs="宋体"/>
          <w:spacing w:val="2"/>
          <w:sz w:val="27"/>
          <w:szCs w:val="27"/>
        </w:rPr>
        <w:t>性评价为主。表述为：</w:t>
      </w:r>
    </w:p>
    <w:p w14:paraId="7AE72A4C">
      <w:pPr>
        <w:spacing w:before="16" w:line="312" w:lineRule="auto"/>
        <w:ind w:right="119" w:firstLine="559"/>
        <w:rPr>
          <w:rFonts w:ascii="仿宋" w:hAnsi="仿宋" w:eastAsia="仿宋" w:cs="仿宋"/>
          <w:sz w:val="25"/>
          <w:szCs w:val="25"/>
        </w:rPr>
      </w:pPr>
      <w:r>
        <w:rPr>
          <w:rFonts w:ascii="仿宋" w:hAnsi="仿宋" w:eastAsia="仿宋" w:cs="仿宋"/>
          <w:spacing w:val="24"/>
          <w:sz w:val="25"/>
          <w:szCs w:val="25"/>
        </w:rPr>
        <w:t>某年某月，某装备在某试验基地进行了设计定型试验。按照设计定型试验</w:t>
      </w:r>
      <w:r>
        <w:rPr>
          <w:rFonts w:ascii="仿宋" w:hAnsi="仿宋" w:eastAsia="仿宋" w:cs="仿宋"/>
          <w:spacing w:val="16"/>
          <w:sz w:val="25"/>
          <w:szCs w:val="25"/>
        </w:rPr>
        <w:t xml:space="preserve"> </w:t>
      </w:r>
      <w:r>
        <w:rPr>
          <w:rFonts w:ascii="仿宋" w:hAnsi="仿宋" w:eastAsia="仿宋" w:cs="仿宋"/>
          <w:spacing w:val="3"/>
          <w:sz w:val="25"/>
          <w:szCs w:val="25"/>
        </w:rPr>
        <w:t>大纲，进行了</w:t>
      </w:r>
      <w:r>
        <w:rPr>
          <w:rFonts w:ascii="仿宋" w:hAnsi="仿宋" w:eastAsia="仿宋" w:cs="仿宋"/>
          <w:spacing w:val="-80"/>
          <w:sz w:val="25"/>
          <w:szCs w:val="25"/>
        </w:rPr>
        <w:t xml:space="preserve"> </w:t>
      </w:r>
      <w:r>
        <w:rPr>
          <w:rFonts w:ascii="仿宋" w:hAnsi="仿宋" w:eastAsia="仿宋" w:cs="仿宋"/>
          <w:spacing w:val="3"/>
          <w:sz w:val="25"/>
          <w:szCs w:val="25"/>
        </w:rPr>
        <w:t>……试验。</w:t>
      </w:r>
      <w:r>
        <w:rPr>
          <w:rFonts w:ascii="仿宋" w:hAnsi="仿宋" w:eastAsia="仿宋" w:cs="仿宋"/>
          <w:spacing w:val="-33"/>
          <w:sz w:val="25"/>
          <w:szCs w:val="25"/>
        </w:rPr>
        <w:t xml:space="preserve"> </w:t>
      </w:r>
      <w:r>
        <w:rPr>
          <w:rFonts w:ascii="仿宋" w:hAnsi="仿宋" w:eastAsia="仿宋" w:cs="仿宋"/>
          <w:spacing w:val="3"/>
          <w:sz w:val="25"/>
          <w:szCs w:val="25"/>
        </w:rPr>
        <w:t>……</w:t>
      </w:r>
    </w:p>
    <w:p w14:paraId="6EA79722">
      <w:pPr>
        <w:spacing w:line="312" w:lineRule="auto"/>
        <w:rPr>
          <w:rFonts w:ascii="仿宋" w:hAnsi="仿宋" w:eastAsia="仿宋" w:cs="仿宋"/>
          <w:sz w:val="25"/>
          <w:szCs w:val="25"/>
        </w:rPr>
        <w:sectPr>
          <w:footerReference r:id="rId154" w:type="default"/>
          <w:pgSz w:w="11910" w:h="17130"/>
          <w:pgMar w:top="400" w:right="1234" w:bottom="1683" w:left="1210" w:header="0" w:footer="1485" w:gutter="0"/>
          <w:cols w:space="720" w:num="1"/>
        </w:sectPr>
      </w:pPr>
    </w:p>
    <w:p w14:paraId="0078DD6F">
      <w:pPr>
        <w:pStyle w:val="2"/>
        <w:spacing w:line="251" w:lineRule="auto"/>
      </w:pPr>
    </w:p>
    <w:p w14:paraId="35DF2EC7">
      <w:pPr>
        <w:pStyle w:val="2"/>
        <w:spacing w:line="251" w:lineRule="auto"/>
      </w:pPr>
    </w:p>
    <w:p w14:paraId="72E8B6ED">
      <w:pPr>
        <w:pStyle w:val="2"/>
        <w:spacing w:line="251" w:lineRule="auto"/>
      </w:pPr>
    </w:p>
    <w:p w14:paraId="3ED3F940">
      <w:pPr>
        <w:pStyle w:val="2"/>
        <w:spacing w:line="252" w:lineRule="auto"/>
      </w:pPr>
    </w:p>
    <w:p w14:paraId="190538CA">
      <w:pPr>
        <w:pStyle w:val="2"/>
        <w:spacing w:line="252" w:lineRule="auto"/>
      </w:pPr>
    </w:p>
    <w:p w14:paraId="104C0EEA">
      <w:pPr>
        <w:spacing w:before="81" w:line="222" w:lineRule="auto"/>
        <w:ind w:left="560"/>
        <w:rPr>
          <w:rFonts w:ascii="仿宋" w:hAnsi="仿宋" w:eastAsia="仿宋" w:cs="仿宋"/>
          <w:sz w:val="25"/>
          <w:szCs w:val="25"/>
        </w:rPr>
      </w:pPr>
      <w:bookmarkStart w:id="96" w:name="bookmark356"/>
      <w:bookmarkEnd w:id="96"/>
      <w:r>
        <w:rPr>
          <w:rFonts w:ascii="仿宋" w:hAnsi="仿宋" w:eastAsia="仿宋" w:cs="仿宋"/>
          <w:spacing w:val="16"/>
          <w:sz w:val="25"/>
          <w:szCs w:val="25"/>
        </w:rPr>
        <w:t>试验结果表明，某装备满足主要战术技术指标要求，无</w:t>
      </w:r>
      <w:r>
        <w:rPr>
          <w:rFonts w:ascii="仿宋" w:hAnsi="仿宋" w:eastAsia="仿宋" w:cs="仿宋"/>
          <w:spacing w:val="15"/>
          <w:sz w:val="25"/>
          <w:szCs w:val="25"/>
        </w:rPr>
        <w:t>(有)定型遗留问题。</w:t>
      </w:r>
    </w:p>
    <w:p w14:paraId="67A1D991">
      <w:pPr>
        <w:spacing w:before="111" w:line="296" w:lineRule="auto"/>
        <w:ind w:right="82" w:firstLine="560"/>
        <w:rPr>
          <w:rFonts w:ascii="宋体" w:hAnsi="宋体" w:eastAsia="宋体" w:cs="宋体"/>
          <w:sz w:val="25"/>
          <w:szCs w:val="25"/>
        </w:rPr>
      </w:pPr>
      <w:r>
        <w:rPr>
          <w:rFonts w:ascii="宋体" w:hAnsi="宋体" w:eastAsia="宋体" w:cs="宋体"/>
          <w:spacing w:val="25"/>
          <w:sz w:val="25"/>
          <w:szCs w:val="25"/>
        </w:rPr>
        <w:t>在这部分内容中，可以反映装备主要性能的试验情况和结果。本部分内容</w:t>
      </w:r>
      <w:r>
        <w:rPr>
          <w:rFonts w:ascii="宋体" w:hAnsi="宋体" w:eastAsia="宋体" w:cs="宋体"/>
          <w:spacing w:val="11"/>
          <w:sz w:val="25"/>
          <w:szCs w:val="25"/>
        </w:rPr>
        <w:t xml:space="preserve"> </w:t>
      </w:r>
      <w:r>
        <w:rPr>
          <w:rFonts w:ascii="宋体" w:hAnsi="宋体" w:eastAsia="宋体" w:cs="宋体"/>
          <w:spacing w:val="19"/>
          <w:sz w:val="25"/>
          <w:szCs w:val="25"/>
        </w:rPr>
        <w:t>可介绍试验情况及与研制总要求指标对比情况，不进行项目水平评价。</w:t>
      </w:r>
    </w:p>
    <w:p w14:paraId="7683B58C">
      <w:pPr>
        <w:spacing w:line="224"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1"/>
          <w:sz w:val="27"/>
          <w:szCs w:val="27"/>
        </w:rPr>
        <w:t xml:space="preserve">  </w:t>
      </w:r>
      <w:r>
        <w:rPr>
          <w:rFonts w:ascii="黑体" w:hAnsi="黑体" w:eastAsia="黑体" w:cs="黑体"/>
          <w:b/>
          <w:bCs/>
          <w:spacing w:val="1"/>
          <w:sz w:val="27"/>
          <w:szCs w:val="27"/>
        </w:rPr>
        <w:t>定型结论</w:t>
      </w:r>
    </w:p>
    <w:p w14:paraId="44DC02B0">
      <w:pPr>
        <w:spacing w:before="74" w:line="221" w:lineRule="auto"/>
        <w:ind w:left="560"/>
        <w:rPr>
          <w:rFonts w:ascii="宋体" w:hAnsi="宋体" w:eastAsia="宋体" w:cs="宋体"/>
          <w:sz w:val="27"/>
          <w:szCs w:val="27"/>
        </w:rPr>
      </w:pPr>
      <w:r>
        <w:rPr>
          <w:rFonts w:ascii="宋体" w:hAnsi="宋体" w:eastAsia="宋体" w:cs="宋体"/>
          <w:spacing w:val="-3"/>
          <w:sz w:val="27"/>
          <w:szCs w:val="27"/>
        </w:rPr>
        <w:t>表述为：</w:t>
      </w:r>
    </w:p>
    <w:p w14:paraId="69AF1F41">
      <w:pPr>
        <w:spacing w:before="23" w:line="298" w:lineRule="auto"/>
        <w:ind w:right="106" w:firstLine="560"/>
        <w:rPr>
          <w:rFonts w:ascii="仿宋" w:hAnsi="仿宋" w:eastAsia="仿宋" w:cs="仿宋"/>
          <w:sz w:val="27"/>
          <w:szCs w:val="27"/>
        </w:rPr>
      </w:pPr>
      <w:r>
        <w:rPr>
          <w:rFonts w:ascii="仿宋" w:hAnsi="仿宋" w:eastAsia="仿宋" w:cs="仿宋"/>
          <w:spacing w:val="-1"/>
          <w:sz w:val="27"/>
          <w:szCs w:val="27"/>
        </w:rPr>
        <w:t>××定委审查认为，</w:t>
      </w:r>
      <w:r>
        <w:rPr>
          <w:rFonts w:ascii="仿宋" w:hAnsi="仿宋" w:eastAsia="仿宋" w:cs="仿宋"/>
          <w:spacing w:val="-90"/>
          <w:sz w:val="27"/>
          <w:szCs w:val="27"/>
        </w:rPr>
        <w:t xml:space="preserve"> </w:t>
      </w:r>
      <w:r>
        <w:rPr>
          <w:rFonts w:ascii="仿宋" w:hAnsi="仿宋" w:eastAsia="仿宋" w:cs="仿宋"/>
          <w:spacing w:val="-1"/>
          <w:sz w:val="27"/>
          <w:szCs w:val="27"/>
        </w:rPr>
        <w:t>……,具备设计定型条件，建议一级定委批准××设计</w:t>
      </w:r>
      <w:r>
        <w:rPr>
          <w:rFonts w:ascii="仿宋" w:hAnsi="仿宋" w:eastAsia="仿宋" w:cs="仿宋"/>
          <w:sz w:val="27"/>
          <w:szCs w:val="27"/>
        </w:rPr>
        <w:t xml:space="preserve"> </w:t>
      </w:r>
      <w:r>
        <w:rPr>
          <w:rFonts w:ascii="仿宋" w:hAnsi="仿宋" w:eastAsia="仿宋" w:cs="仿宋"/>
          <w:spacing w:val="-4"/>
          <w:sz w:val="27"/>
          <w:szCs w:val="27"/>
        </w:rPr>
        <w:t>定型。</w:t>
      </w:r>
    </w:p>
    <w:p w14:paraId="4A931900">
      <w:pPr>
        <w:spacing w:line="219" w:lineRule="auto"/>
        <w:ind w:left="560"/>
        <w:rPr>
          <w:rFonts w:ascii="宋体" w:hAnsi="宋体" w:eastAsia="宋体" w:cs="宋体"/>
          <w:sz w:val="27"/>
          <w:szCs w:val="27"/>
        </w:rPr>
      </w:pPr>
      <w:r>
        <w:rPr>
          <w:rFonts w:ascii="宋体" w:hAnsi="宋体" w:eastAsia="宋体" w:cs="宋体"/>
          <w:spacing w:val="4"/>
          <w:sz w:val="27"/>
          <w:szCs w:val="27"/>
        </w:rPr>
        <w:t>定型结论应按定型条例的要求把主要内容表述清楚。</w:t>
      </w:r>
    </w:p>
    <w:p w14:paraId="2C1D87FD">
      <w:pPr>
        <w:spacing w:before="78" w:line="218" w:lineRule="auto"/>
        <w:ind w:left="560"/>
        <w:rPr>
          <w:rFonts w:ascii="宋体" w:hAnsi="宋体" w:eastAsia="宋体" w:cs="宋体"/>
          <w:sz w:val="27"/>
          <w:szCs w:val="27"/>
        </w:rPr>
      </w:pPr>
      <w:r>
        <w:rPr>
          <w:rFonts w:ascii="宋体" w:hAnsi="宋体" w:eastAsia="宋体" w:cs="宋体"/>
          <w:spacing w:val="4"/>
          <w:sz w:val="27"/>
          <w:szCs w:val="27"/>
        </w:rPr>
        <w:t>在定型结论中不应有关于项目水平的评价内容。</w:t>
      </w:r>
    </w:p>
    <w:p w14:paraId="4B1FBE50">
      <w:pPr>
        <w:pStyle w:val="2"/>
        <w:spacing w:line="323" w:lineRule="auto"/>
      </w:pPr>
    </w:p>
    <w:p w14:paraId="5E4121DD">
      <w:pPr>
        <w:spacing w:before="117" w:line="219" w:lineRule="auto"/>
        <w:ind w:left="1960"/>
        <w:outlineLvl w:val="1"/>
        <w:rPr>
          <w:rFonts w:ascii="宋体" w:hAnsi="宋体" w:eastAsia="宋体" w:cs="宋体"/>
          <w:sz w:val="36"/>
          <w:szCs w:val="36"/>
        </w:rPr>
      </w:pPr>
      <w:bookmarkStart w:id="97" w:name="bookmark48"/>
      <w:bookmarkEnd w:id="97"/>
      <w:r>
        <w:rPr>
          <w:rFonts w:ascii="宋体" w:hAnsi="宋体" w:eastAsia="宋体" w:cs="宋体"/>
          <w:sz w:val="36"/>
          <w:szCs w:val="36"/>
        </w:rPr>
        <w:t>1.46</w:t>
      </w:r>
      <w:r>
        <w:rPr>
          <w:rFonts w:ascii="宋体" w:hAnsi="宋体" w:eastAsia="宋体" w:cs="宋体"/>
          <w:spacing w:val="28"/>
          <w:sz w:val="36"/>
          <w:szCs w:val="36"/>
        </w:rPr>
        <w:t xml:space="preserve">  </w:t>
      </w:r>
      <w:r>
        <w:rPr>
          <w:rFonts w:ascii="宋体" w:hAnsi="宋体" w:eastAsia="宋体" w:cs="宋体"/>
          <w:b/>
          <w:bCs/>
          <w:sz w:val="36"/>
          <w:szCs w:val="36"/>
        </w:rPr>
        <w:t>总体单位对设计定型的意见</w:t>
      </w:r>
    </w:p>
    <w:p w14:paraId="05012DB0">
      <w:pPr>
        <w:pStyle w:val="2"/>
        <w:spacing w:line="344" w:lineRule="auto"/>
      </w:pPr>
    </w:p>
    <w:p w14:paraId="49F9DD4D">
      <w:pPr>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45"/>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4D5E250D">
      <w:pPr>
        <w:spacing w:before="82" w:line="221" w:lineRule="auto"/>
        <w:rPr>
          <w:rFonts w:ascii="黑体" w:hAnsi="黑体" w:eastAsia="黑体" w:cs="黑体"/>
          <w:sz w:val="27"/>
          <w:szCs w:val="27"/>
        </w:rPr>
      </w:pPr>
      <w:r>
        <w:rPr>
          <w:rFonts w:ascii="黑体" w:hAnsi="黑体" w:eastAsia="黑体" w:cs="黑体"/>
          <w:sz w:val="27"/>
          <w:szCs w:val="27"/>
        </w:rPr>
        <w:t>1</w:t>
      </w:r>
      <w:r>
        <w:rPr>
          <w:rFonts w:ascii="黑体" w:hAnsi="黑体" w:eastAsia="黑体" w:cs="黑体"/>
          <w:spacing w:val="23"/>
          <w:sz w:val="27"/>
          <w:szCs w:val="27"/>
        </w:rPr>
        <w:t xml:space="preserve">  </w:t>
      </w:r>
      <w:r>
        <w:rPr>
          <w:rFonts w:ascii="黑体" w:hAnsi="黑体" w:eastAsia="黑体" w:cs="黑体"/>
          <w:b/>
          <w:bCs/>
          <w:sz w:val="27"/>
          <w:szCs w:val="27"/>
        </w:rPr>
        <w:t>产品研制任务的由来</w:t>
      </w:r>
    </w:p>
    <w:p w14:paraId="36AA41FB">
      <w:pPr>
        <w:spacing w:before="63" w:line="286" w:lineRule="auto"/>
        <w:ind w:right="62" w:firstLine="560"/>
        <w:jc w:val="both"/>
        <w:rPr>
          <w:rFonts w:ascii="宋体" w:hAnsi="宋体" w:eastAsia="宋体" w:cs="宋体"/>
          <w:sz w:val="27"/>
          <w:szCs w:val="27"/>
        </w:rPr>
      </w:pPr>
      <w:r>
        <w:rPr>
          <w:rFonts w:ascii="宋体" w:hAnsi="宋体" w:eastAsia="宋体" w:cs="宋体"/>
          <w:spacing w:val="6"/>
          <w:sz w:val="27"/>
          <w:szCs w:val="27"/>
        </w:rPr>
        <w:t>产品研制任务的由来应包括：上级装备研制管理部门下达的批准研制装备</w:t>
      </w:r>
      <w:r>
        <w:rPr>
          <w:rFonts w:ascii="宋体" w:hAnsi="宋体" w:eastAsia="宋体" w:cs="宋体"/>
          <w:sz w:val="27"/>
          <w:szCs w:val="27"/>
        </w:rPr>
        <w:t xml:space="preserve"> </w:t>
      </w:r>
      <w:r>
        <w:rPr>
          <w:rFonts w:ascii="宋体" w:hAnsi="宋体" w:eastAsia="宋体" w:cs="宋体"/>
          <w:spacing w:val="-6"/>
          <w:sz w:val="27"/>
          <w:szCs w:val="27"/>
        </w:rPr>
        <w:t>的文件(含文件号、文件名称、正式命名的装备名称);承担研制装备的单位、完成</w:t>
      </w:r>
      <w:r>
        <w:rPr>
          <w:rFonts w:ascii="宋体" w:hAnsi="宋体" w:eastAsia="宋体" w:cs="宋体"/>
          <w:spacing w:val="8"/>
          <w:sz w:val="27"/>
          <w:szCs w:val="27"/>
        </w:rPr>
        <w:t xml:space="preserve"> </w:t>
      </w:r>
      <w:r>
        <w:rPr>
          <w:rFonts w:ascii="宋体" w:hAnsi="宋体" w:eastAsia="宋体" w:cs="宋体"/>
          <w:spacing w:val="-10"/>
          <w:sz w:val="27"/>
          <w:szCs w:val="27"/>
        </w:rPr>
        <w:t>的时间要求；完成研制成果的形式、数量等。</w:t>
      </w:r>
    </w:p>
    <w:p w14:paraId="7DBE1EAC">
      <w:pPr>
        <w:spacing w:before="1" w:line="220" w:lineRule="auto"/>
        <w:rPr>
          <w:rFonts w:ascii="黑体" w:hAnsi="黑体" w:eastAsia="黑体" w:cs="黑体"/>
          <w:sz w:val="27"/>
          <w:szCs w:val="27"/>
        </w:rPr>
      </w:pPr>
      <w:r>
        <w:rPr>
          <w:rFonts w:ascii="黑体" w:hAnsi="黑体" w:eastAsia="黑体" w:cs="黑体"/>
          <w:spacing w:val="2"/>
          <w:sz w:val="27"/>
          <w:szCs w:val="27"/>
        </w:rPr>
        <w:t xml:space="preserve">2  </w:t>
      </w:r>
      <w:r>
        <w:rPr>
          <w:rFonts w:ascii="黑体" w:hAnsi="黑体" w:eastAsia="黑体" w:cs="黑体"/>
          <w:b/>
          <w:bCs/>
          <w:spacing w:val="2"/>
          <w:sz w:val="27"/>
          <w:szCs w:val="27"/>
        </w:rPr>
        <w:t>产品参加系统联试情况</w:t>
      </w:r>
    </w:p>
    <w:p w14:paraId="3E89B71E">
      <w:pPr>
        <w:spacing w:before="83" w:line="277" w:lineRule="auto"/>
        <w:ind w:right="82" w:firstLine="560"/>
        <w:jc w:val="both"/>
        <w:rPr>
          <w:rFonts w:ascii="宋体" w:hAnsi="宋体" w:eastAsia="宋体" w:cs="宋体"/>
          <w:sz w:val="27"/>
          <w:szCs w:val="27"/>
        </w:rPr>
      </w:pPr>
      <w:r>
        <w:rPr>
          <w:rFonts w:ascii="宋体" w:hAnsi="宋体" w:eastAsia="宋体" w:cs="宋体"/>
          <w:spacing w:val="-3"/>
          <w:sz w:val="27"/>
          <w:szCs w:val="27"/>
        </w:rPr>
        <w:t>描述产品参加总体单位组织的系统联试情况，包括联试时间、联试地点</w:t>
      </w:r>
      <w:r>
        <w:rPr>
          <w:rFonts w:ascii="宋体" w:hAnsi="宋体" w:eastAsia="宋体" w:cs="宋体"/>
          <w:spacing w:val="-4"/>
          <w:sz w:val="27"/>
          <w:szCs w:val="27"/>
        </w:rPr>
        <w:t>、联</w:t>
      </w:r>
      <w:r>
        <w:rPr>
          <w:rFonts w:ascii="宋体" w:hAnsi="宋体" w:eastAsia="宋体" w:cs="宋体"/>
          <w:sz w:val="27"/>
          <w:szCs w:val="27"/>
        </w:rPr>
        <w:t xml:space="preserve"> </w:t>
      </w:r>
      <w:r>
        <w:rPr>
          <w:rFonts w:ascii="宋体" w:hAnsi="宋体" w:eastAsia="宋体" w:cs="宋体"/>
          <w:spacing w:val="6"/>
          <w:sz w:val="27"/>
          <w:szCs w:val="27"/>
        </w:rPr>
        <w:t>试单位和人员、联试内容、联试结果、联试过程</w:t>
      </w:r>
      <w:r>
        <w:rPr>
          <w:rFonts w:ascii="宋体" w:hAnsi="宋体" w:eastAsia="宋体" w:cs="宋体"/>
          <w:spacing w:val="5"/>
          <w:sz w:val="27"/>
          <w:szCs w:val="27"/>
        </w:rPr>
        <w:t>中出现的技术问题及其解决情</w:t>
      </w:r>
      <w:r>
        <w:rPr>
          <w:rFonts w:ascii="宋体" w:hAnsi="宋体" w:eastAsia="宋体" w:cs="宋体"/>
          <w:sz w:val="27"/>
          <w:szCs w:val="27"/>
        </w:rPr>
        <w:t xml:space="preserve"> </w:t>
      </w:r>
      <w:r>
        <w:rPr>
          <w:rFonts w:ascii="宋体" w:hAnsi="宋体" w:eastAsia="宋体" w:cs="宋体"/>
          <w:spacing w:val="-4"/>
          <w:sz w:val="27"/>
          <w:szCs w:val="27"/>
        </w:rPr>
        <w:t>况等。</w:t>
      </w:r>
    </w:p>
    <w:p w14:paraId="36549FF4">
      <w:pPr>
        <w:spacing w:line="221"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设计定型阶段产品出现问题的解决情况</w:t>
      </w:r>
    </w:p>
    <w:p w14:paraId="01232545">
      <w:pPr>
        <w:spacing w:before="80" w:line="289" w:lineRule="auto"/>
        <w:ind w:right="83" w:firstLine="560"/>
        <w:rPr>
          <w:rFonts w:ascii="宋体" w:hAnsi="宋体" w:eastAsia="宋体" w:cs="宋体"/>
          <w:sz w:val="27"/>
          <w:szCs w:val="27"/>
        </w:rPr>
      </w:pPr>
      <w:r>
        <w:rPr>
          <w:rFonts w:ascii="宋体" w:hAnsi="宋体" w:eastAsia="宋体" w:cs="宋体"/>
          <w:spacing w:val="-3"/>
          <w:sz w:val="27"/>
          <w:szCs w:val="27"/>
        </w:rPr>
        <w:t>主要指设计定型试验中的环境鉴定试验、可靠性鉴定试验、电磁兼容性试验</w:t>
      </w:r>
      <w:r>
        <w:rPr>
          <w:rFonts w:ascii="宋体" w:hAnsi="宋体" w:eastAsia="宋体" w:cs="宋体"/>
          <w:sz w:val="27"/>
          <w:szCs w:val="27"/>
        </w:rPr>
        <w:t xml:space="preserve"> 和试验基地(飞行和发射)试验、部队试用中的遗留问题监督检查和解决情况。</w:t>
      </w:r>
    </w:p>
    <w:p w14:paraId="651A8E68">
      <w:pPr>
        <w:spacing w:before="1" w:line="221" w:lineRule="auto"/>
        <w:rPr>
          <w:rFonts w:ascii="黑体" w:hAnsi="黑体" w:eastAsia="黑体" w:cs="黑体"/>
          <w:sz w:val="24"/>
          <w:szCs w:val="24"/>
        </w:rPr>
      </w:pPr>
      <w:r>
        <w:rPr>
          <w:rFonts w:ascii="黑体" w:hAnsi="黑体" w:eastAsia="黑体" w:cs="黑体"/>
          <w:spacing w:val="26"/>
          <w:sz w:val="24"/>
          <w:szCs w:val="24"/>
        </w:rPr>
        <w:t>4</w:t>
      </w:r>
      <w:r>
        <w:rPr>
          <w:rFonts w:ascii="黑体" w:hAnsi="黑体" w:eastAsia="黑体" w:cs="黑体"/>
          <w:spacing w:val="33"/>
          <w:sz w:val="24"/>
          <w:szCs w:val="24"/>
        </w:rPr>
        <w:t xml:space="preserve">  </w:t>
      </w:r>
      <w:r>
        <w:rPr>
          <w:rFonts w:ascii="黑体" w:hAnsi="黑体" w:eastAsia="黑体" w:cs="黑体"/>
          <w:b/>
          <w:bCs/>
          <w:spacing w:val="26"/>
          <w:sz w:val="24"/>
          <w:szCs w:val="24"/>
        </w:rPr>
        <w:t>产品现状</w:t>
      </w:r>
    </w:p>
    <w:p w14:paraId="2B01057A">
      <w:pPr>
        <w:spacing w:before="117" w:line="298" w:lineRule="auto"/>
        <w:ind w:firstLine="560"/>
        <w:jc w:val="both"/>
        <w:rPr>
          <w:rFonts w:ascii="仿宋" w:hAnsi="仿宋" w:eastAsia="仿宋" w:cs="仿宋"/>
          <w:sz w:val="25"/>
          <w:szCs w:val="25"/>
        </w:rPr>
      </w:pPr>
      <w:r>
        <w:rPr>
          <w:rFonts w:ascii="宋体" w:hAnsi="宋体" w:eastAsia="宋体" w:cs="宋体"/>
          <w:spacing w:val="25"/>
          <w:sz w:val="25"/>
          <w:szCs w:val="25"/>
        </w:rPr>
        <w:t>描述产品的战术技术指标是否达到已批准的要求：若均已达到，可采用下</w:t>
      </w:r>
      <w:r>
        <w:rPr>
          <w:rFonts w:ascii="宋体" w:hAnsi="宋体" w:eastAsia="宋体" w:cs="宋体"/>
          <w:spacing w:val="15"/>
          <w:sz w:val="25"/>
          <w:szCs w:val="25"/>
        </w:rPr>
        <w:t xml:space="preserve"> </w:t>
      </w:r>
      <w:r>
        <w:rPr>
          <w:rFonts w:ascii="宋体" w:hAnsi="宋体" w:eastAsia="宋体" w:cs="宋体"/>
          <w:spacing w:val="22"/>
          <w:sz w:val="25"/>
          <w:szCs w:val="25"/>
        </w:rPr>
        <w:t>列典型语句：“</w:t>
      </w:r>
      <w:r>
        <w:rPr>
          <w:rFonts w:ascii="仿宋" w:hAnsi="仿宋" w:eastAsia="仿宋" w:cs="仿宋"/>
          <w:spacing w:val="22"/>
          <w:sz w:val="25"/>
          <w:szCs w:val="25"/>
        </w:rPr>
        <w:t>目前，产品的战术技术性能已达到批准的战术技术指</w:t>
      </w:r>
      <w:r>
        <w:rPr>
          <w:rFonts w:ascii="仿宋" w:hAnsi="仿宋" w:eastAsia="仿宋" w:cs="仿宋"/>
          <w:spacing w:val="21"/>
          <w:sz w:val="25"/>
          <w:szCs w:val="25"/>
        </w:rPr>
        <w:t>标要求”;</w:t>
      </w:r>
      <w:r>
        <w:rPr>
          <w:rFonts w:ascii="仿宋" w:hAnsi="仿宋" w:eastAsia="仿宋" w:cs="仿宋"/>
          <w:sz w:val="25"/>
          <w:szCs w:val="25"/>
        </w:rPr>
        <w:t xml:space="preserve"> </w:t>
      </w:r>
      <w:r>
        <w:rPr>
          <w:rFonts w:ascii="宋体" w:hAnsi="宋体" w:eastAsia="宋体" w:cs="宋体"/>
          <w:spacing w:val="15"/>
          <w:sz w:val="25"/>
          <w:szCs w:val="25"/>
        </w:rPr>
        <w:t>若有某项未达到要求，用“</w:t>
      </w:r>
      <w:r>
        <w:rPr>
          <w:rFonts w:ascii="仿宋" w:hAnsi="仿宋" w:eastAsia="仿宋" w:cs="仿宋"/>
          <w:spacing w:val="15"/>
          <w:sz w:val="25"/>
          <w:szCs w:val="25"/>
        </w:rPr>
        <w:t>目</w:t>
      </w:r>
      <w:r>
        <w:rPr>
          <w:rFonts w:ascii="仿宋" w:hAnsi="仿宋" w:eastAsia="仿宋" w:cs="仿宋"/>
          <w:spacing w:val="-20"/>
          <w:sz w:val="25"/>
          <w:szCs w:val="25"/>
        </w:rPr>
        <w:t xml:space="preserve"> </w:t>
      </w:r>
      <w:r>
        <w:rPr>
          <w:rFonts w:ascii="仿宋" w:hAnsi="仿宋" w:eastAsia="仿宋" w:cs="仿宋"/>
          <w:spacing w:val="15"/>
          <w:sz w:val="25"/>
          <w:szCs w:val="25"/>
        </w:rPr>
        <w:t>前</w:t>
      </w:r>
      <w:r>
        <w:rPr>
          <w:rFonts w:ascii="仿宋" w:hAnsi="仿宋" w:eastAsia="仿宋" w:cs="仿宋"/>
          <w:spacing w:val="-52"/>
          <w:sz w:val="25"/>
          <w:szCs w:val="25"/>
        </w:rPr>
        <w:t xml:space="preserve"> </w:t>
      </w:r>
      <w:r>
        <w:rPr>
          <w:rFonts w:ascii="仿宋" w:hAnsi="仿宋" w:eastAsia="仿宋" w:cs="仿宋"/>
          <w:spacing w:val="15"/>
          <w:sz w:val="25"/>
          <w:szCs w:val="25"/>
        </w:rPr>
        <w:t>，产品的战术技术性能除××项未达到要求外，</w:t>
      </w:r>
      <w:r>
        <w:rPr>
          <w:rFonts w:ascii="仿宋" w:hAnsi="仿宋" w:eastAsia="仿宋" w:cs="仿宋"/>
          <w:sz w:val="25"/>
          <w:szCs w:val="25"/>
        </w:rPr>
        <w:t xml:space="preserve"> </w:t>
      </w:r>
      <w:r>
        <w:rPr>
          <w:rFonts w:ascii="仿宋" w:hAnsi="仿宋" w:eastAsia="仿宋" w:cs="仿宋"/>
          <w:spacing w:val="28"/>
          <w:sz w:val="25"/>
          <w:szCs w:val="25"/>
        </w:rPr>
        <w:t>其余均已达到批准的战术技术指标要求”</w:t>
      </w:r>
      <w:r>
        <w:rPr>
          <w:rFonts w:ascii="宋体" w:hAnsi="宋体" w:eastAsia="宋体" w:cs="宋体"/>
          <w:spacing w:val="28"/>
          <w:sz w:val="25"/>
          <w:szCs w:val="25"/>
        </w:rPr>
        <w:t>;描述产品是否有遗留问题：若无遗</w:t>
      </w:r>
      <w:r>
        <w:rPr>
          <w:rFonts w:ascii="宋体" w:hAnsi="宋体" w:eastAsia="宋体" w:cs="宋体"/>
          <w:spacing w:val="5"/>
          <w:sz w:val="25"/>
          <w:szCs w:val="25"/>
        </w:rPr>
        <w:t xml:space="preserve">  </w:t>
      </w:r>
      <w:r>
        <w:rPr>
          <w:rFonts w:ascii="宋体" w:hAnsi="宋体" w:eastAsia="宋体" w:cs="宋体"/>
          <w:spacing w:val="25"/>
          <w:sz w:val="25"/>
          <w:szCs w:val="25"/>
        </w:rPr>
        <w:t>留问题，可采用下列典型语句：“</w:t>
      </w:r>
      <w:r>
        <w:rPr>
          <w:rFonts w:ascii="仿宋" w:hAnsi="仿宋" w:eastAsia="仿宋" w:cs="仿宋"/>
          <w:spacing w:val="25"/>
          <w:sz w:val="25"/>
          <w:szCs w:val="25"/>
        </w:rPr>
        <w:t>遗留问题已全部解决”或“没有任何遗留问</w:t>
      </w:r>
      <w:r>
        <w:rPr>
          <w:rFonts w:ascii="仿宋" w:hAnsi="仿宋" w:eastAsia="仿宋" w:cs="仿宋"/>
          <w:spacing w:val="17"/>
          <w:sz w:val="25"/>
          <w:szCs w:val="25"/>
        </w:rPr>
        <w:t xml:space="preserve"> </w:t>
      </w:r>
      <w:r>
        <w:rPr>
          <w:rFonts w:ascii="仿宋" w:hAnsi="仿宋" w:eastAsia="仿宋" w:cs="仿宋"/>
          <w:spacing w:val="14"/>
          <w:sz w:val="25"/>
          <w:szCs w:val="25"/>
        </w:rPr>
        <w:t>题”;</w:t>
      </w:r>
      <w:r>
        <w:rPr>
          <w:rFonts w:ascii="宋体" w:hAnsi="宋体" w:eastAsia="宋体" w:cs="宋体"/>
          <w:spacing w:val="14"/>
          <w:sz w:val="25"/>
          <w:szCs w:val="25"/>
        </w:rPr>
        <w:t>若有遗留问题，已有解决办法，可用“</w:t>
      </w:r>
      <w:r>
        <w:rPr>
          <w:rFonts w:ascii="仿宋" w:hAnsi="仿宋" w:eastAsia="仿宋" w:cs="仿宋"/>
          <w:spacing w:val="14"/>
          <w:sz w:val="25"/>
          <w:szCs w:val="25"/>
        </w:rPr>
        <w:t>遗留的问题已有解决办法，</w:t>
      </w:r>
      <w:r>
        <w:rPr>
          <w:rFonts w:ascii="仿宋" w:hAnsi="仿宋" w:eastAsia="仿宋" w:cs="仿宋"/>
          <w:spacing w:val="13"/>
          <w:sz w:val="25"/>
          <w:szCs w:val="25"/>
        </w:rPr>
        <w:t>可望在×</w:t>
      </w:r>
      <w:r>
        <w:rPr>
          <w:rFonts w:ascii="仿宋" w:hAnsi="仿宋" w:eastAsia="仿宋" w:cs="仿宋"/>
          <w:sz w:val="25"/>
          <w:szCs w:val="25"/>
        </w:rPr>
        <w:t xml:space="preserve"> </w:t>
      </w:r>
      <w:r>
        <w:rPr>
          <w:rFonts w:ascii="仿宋" w:hAnsi="仿宋" w:eastAsia="仿宋" w:cs="仿宋"/>
          <w:spacing w:val="7"/>
          <w:sz w:val="25"/>
          <w:szCs w:val="25"/>
        </w:rPr>
        <w:t>×(时间)解决”。</w:t>
      </w:r>
    </w:p>
    <w:p w14:paraId="012812DE">
      <w:pPr>
        <w:pStyle w:val="2"/>
        <w:spacing w:before="1" w:line="220" w:lineRule="auto"/>
        <w:rPr>
          <w:rFonts w:ascii="黑体" w:hAnsi="黑体" w:eastAsia="黑体" w:cs="黑体"/>
          <w:sz w:val="27"/>
          <w:szCs w:val="27"/>
        </w:rPr>
      </w:pPr>
      <w:r>
        <w:rPr>
          <w:b/>
          <w:bCs/>
          <w:sz w:val="27"/>
          <w:szCs w:val="27"/>
        </w:rPr>
        <w:t>5</w:t>
      </w:r>
      <w:r>
        <w:rPr>
          <w:b/>
          <w:bCs/>
          <w:spacing w:val="20"/>
          <w:sz w:val="27"/>
          <w:szCs w:val="27"/>
        </w:rPr>
        <w:t xml:space="preserve">   </w:t>
      </w:r>
      <w:r>
        <w:rPr>
          <w:rFonts w:ascii="黑体" w:hAnsi="黑体" w:eastAsia="黑体" w:cs="黑体"/>
          <w:b/>
          <w:bCs/>
          <w:sz w:val="27"/>
          <w:szCs w:val="27"/>
        </w:rPr>
        <w:t>对产品设计定型的意见</w:t>
      </w:r>
    </w:p>
    <w:p w14:paraId="4CE1660B">
      <w:pPr>
        <w:spacing w:before="101" w:line="219" w:lineRule="auto"/>
        <w:ind w:left="560"/>
        <w:rPr>
          <w:rFonts w:ascii="宋体" w:hAnsi="宋体" w:eastAsia="宋体" w:cs="宋体"/>
          <w:sz w:val="27"/>
          <w:szCs w:val="27"/>
        </w:rPr>
      </w:pPr>
      <w:r>
        <w:rPr>
          <w:rFonts w:ascii="宋体" w:hAnsi="宋体" w:eastAsia="宋体" w:cs="宋体"/>
          <w:sz w:val="27"/>
          <w:szCs w:val="27"/>
        </w:rPr>
        <w:t>明确提出总体单位对产品设计定型的意见，建议采用</w:t>
      </w:r>
      <w:r>
        <w:rPr>
          <w:rFonts w:ascii="宋体" w:hAnsi="宋体" w:eastAsia="宋体" w:cs="宋体"/>
          <w:spacing w:val="-1"/>
          <w:sz w:val="27"/>
          <w:szCs w:val="27"/>
        </w:rPr>
        <w:t>下述典型语句：</w:t>
      </w:r>
    </w:p>
    <w:p w14:paraId="62500096">
      <w:pPr>
        <w:spacing w:line="219" w:lineRule="auto"/>
        <w:rPr>
          <w:rFonts w:ascii="宋体" w:hAnsi="宋体" w:eastAsia="宋体" w:cs="宋体"/>
          <w:sz w:val="27"/>
          <w:szCs w:val="27"/>
        </w:rPr>
        <w:sectPr>
          <w:footerReference r:id="rId155" w:type="default"/>
          <w:pgSz w:w="11910" w:h="17130"/>
          <w:pgMar w:top="400" w:right="1035" w:bottom="1430" w:left="1420" w:header="0" w:footer="1222" w:gutter="0"/>
          <w:cols w:space="720" w:num="1"/>
        </w:sectPr>
      </w:pPr>
    </w:p>
    <w:p w14:paraId="2248FF16">
      <w:pPr>
        <w:pStyle w:val="2"/>
        <w:spacing w:line="277" w:lineRule="auto"/>
      </w:pPr>
    </w:p>
    <w:p w14:paraId="3432A2DA">
      <w:pPr>
        <w:pStyle w:val="2"/>
        <w:spacing w:line="277" w:lineRule="auto"/>
      </w:pPr>
    </w:p>
    <w:p w14:paraId="45146AA0">
      <w:pPr>
        <w:pStyle w:val="2"/>
        <w:spacing w:line="277" w:lineRule="auto"/>
      </w:pPr>
    </w:p>
    <w:p w14:paraId="3E6EFD75">
      <w:pPr>
        <w:pStyle w:val="2"/>
        <w:spacing w:line="277" w:lineRule="auto"/>
      </w:pPr>
    </w:p>
    <w:p w14:paraId="63851EF0">
      <w:pPr>
        <w:spacing w:before="81" w:line="301" w:lineRule="auto"/>
        <w:ind w:right="97" w:firstLine="579"/>
        <w:jc w:val="both"/>
        <w:rPr>
          <w:rFonts w:ascii="仿宋" w:hAnsi="仿宋" w:eastAsia="仿宋" w:cs="仿宋"/>
          <w:sz w:val="25"/>
          <w:szCs w:val="25"/>
        </w:rPr>
      </w:pPr>
      <w:bookmarkStart w:id="98" w:name="bookmark357"/>
      <w:bookmarkEnd w:id="98"/>
      <w:r>
        <w:rPr>
          <w:rFonts w:ascii="仿宋" w:hAnsi="仿宋" w:eastAsia="仿宋" w:cs="仿宋"/>
          <w:spacing w:val="16"/>
          <w:sz w:val="25"/>
          <w:szCs w:val="25"/>
        </w:rPr>
        <w:t>综上所述，××产品经过研制试验和设计定型试验表明，其战术技术性能达</w:t>
      </w:r>
      <w:r>
        <w:rPr>
          <w:rFonts w:ascii="仿宋" w:hAnsi="仿宋" w:eastAsia="仿宋" w:cs="仿宋"/>
          <w:spacing w:val="7"/>
          <w:sz w:val="25"/>
          <w:szCs w:val="25"/>
        </w:rPr>
        <w:t xml:space="preserve"> </w:t>
      </w:r>
      <w:r>
        <w:rPr>
          <w:rFonts w:ascii="仿宋" w:hAnsi="仿宋" w:eastAsia="仿宋" w:cs="仿宋"/>
          <w:spacing w:val="20"/>
          <w:sz w:val="25"/>
          <w:szCs w:val="25"/>
        </w:rPr>
        <w:t>到了批复的研制总要求(战术技术指标要求);研制过程中，贯彻了通用化、系列</w:t>
      </w:r>
      <w:r>
        <w:rPr>
          <w:rFonts w:ascii="仿宋" w:hAnsi="仿宋" w:eastAsia="仿宋" w:cs="仿宋"/>
          <w:sz w:val="25"/>
          <w:szCs w:val="25"/>
        </w:rPr>
        <w:t xml:space="preserve"> </w:t>
      </w:r>
      <w:r>
        <w:rPr>
          <w:rFonts w:ascii="仿宋" w:hAnsi="仿宋" w:eastAsia="仿宋" w:cs="仿宋"/>
          <w:spacing w:val="2"/>
          <w:sz w:val="25"/>
          <w:szCs w:val="25"/>
        </w:rPr>
        <w:t>化、组合化要求；设计定型资料完整、准确、协调、规范，图、文与实物相符，满足</w:t>
      </w:r>
      <w:r>
        <w:rPr>
          <w:rFonts w:ascii="仿宋" w:hAnsi="仿宋" w:eastAsia="仿宋" w:cs="仿宋"/>
          <w:spacing w:val="1"/>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11"/>
          <w:sz w:val="25"/>
          <w:szCs w:val="25"/>
        </w:rPr>
        <w:t xml:space="preserve">   1362A—2007</w:t>
      </w:r>
      <w:r>
        <w:rPr>
          <w:rFonts w:ascii="宋体" w:hAnsi="宋体" w:eastAsia="宋体" w:cs="宋体"/>
          <w:spacing w:val="11"/>
          <w:sz w:val="25"/>
          <w:szCs w:val="25"/>
        </w:rPr>
        <w:t>《</w:t>
      </w:r>
      <w:r>
        <w:rPr>
          <w:rFonts w:ascii="仿宋" w:hAnsi="仿宋" w:eastAsia="仿宋" w:cs="仿宋"/>
          <w:spacing w:val="11"/>
          <w:sz w:val="25"/>
          <w:szCs w:val="25"/>
        </w:rPr>
        <w:t>军工产品定型程序和要求》;软</w:t>
      </w:r>
      <w:r>
        <w:rPr>
          <w:rFonts w:ascii="仿宋" w:hAnsi="仿宋" w:eastAsia="仿宋" w:cs="仿宋"/>
          <w:spacing w:val="10"/>
          <w:sz w:val="25"/>
          <w:szCs w:val="25"/>
        </w:rPr>
        <w:t>件已通过定型测评，源程序和</w:t>
      </w:r>
      <w:r>
        <w:rPr>
          <w:rFonts w:ascii="仿宋" w:hAnsi="仿宋" w:eastAsia="仿宋" w:cs="仿宋"/>
          <w:sz w:val="25"/>
          <w:szCs w:val="25"/>
        </w:rPr>
        <w:t xml:space="preserve"> </w:t>
      </w:r>
      <w:r>
        <w:rPr>
          <w:rFonts w:ascii="仿宋" w:hAnsi="仿宋" w:eastAsia="仿宋" w:cs="仿宋"/>
          <w:spacing w:val="33"/>
          <w:sz w:val="25"/>
          <w:szCs w:val="25"/>
        </w:rPr>
        <w:t>相关文档资料齐套、数据齐全，满足《军用软件产品定型管理办法》和</w:t>
      </w:r>
      <w:r>
        <w:rPr>
          <w:rFonts w:ascii="仿宋" w:hAnsi="仿宋" w:eastAsia="仿宋" w:cs="仿宋"/>
          <w:spacing w:val="-49"/>
          <w:sz w:val="25"/>
          <w:szCs w:val="25"/>
        </w:rPr>
        <w:t xml:space="preserve"> </w:t>
      </w:r>
      <w:r>
        <w:rPr>
          <w:rFonts w:ascii="Times New Roman" w:hAnsi="Times New Roman" w:eastAsia="Times New Roman" w:cs="Times New Roman"/>
          <w:sz w:val="25"/>
          <w:szCs w:val="25"/>
        </w:rPr>
        <w:t xml:space="preserve">GJB  </w:t>
      </w:r>
      <w:r>
        <w:rPr>
          <w:rFonts w:ascii="仿宋" w:hAnsi="仿宋" w:eastAsia="仿宋" w:cs="仿宋"/>
          <w:spacing w:val="13"/>
          <w:sz w:val="25"/>
          <w:szCs w:val="25"/>
        </w:rPr>
        <w:t>438</w:t>
      </w:r>
      <w:r>
        <w:rPr>
          <w:rFonts w:ascii="仿宋" w:hAnsi="仿宋" w:eastAsia="仿宋" w:cs="仿宋"/>
          <w:spacing w:val="-59"/>
          <w:sz w:val="25"/>
          <w:szCs w:val="25"/>
        </w:rPr>
        <w:t xml:space="preserve"> </w:t>
      </w:r>
      <w:r>
        <w:rPr>
          <w:rFonts w:ascii="Times New Roman" w:hAnsi="Times New Roman" w:eastAsia="Times New Roman" w:cs="Times New Roman"/>
          <w:spacing w:val="13"/>
          <w:sz w:val="25"/>
          <w:szCs w:val="25"/>
        </w:rPr>
        <w:t>B—2009</w:t>
      </w:r>
      <w:r>
        <w:rPr>
          <w:rFonts w:ascii="宋体" w:hAnsi="宋体" w:eastAsia="宋体" w:cs="宋体"/>
          <w:spacing w:val="13"/>
          <w:sz w:val="25"/>
          <w:szCs w:val="25"/>
        </w:rPr>
        <w:t>《</w:t>
      </w:r>
      <w:r>
        <w:rPr>
          <w:rFonts w:ascii="仿宋" w:hAnsi="仿宋" w:eastAsia="仿宋" w:cs="仿宋"/>
          <w:spacing w:val="13"/>
          <w:sz w:val="25"/>
          <w:szCs w:val="25"/>
        </w:rPr>
        <w:t>军用软件开发文档通用要求》的要求；配套的设备已进行了独立考</w:t>
      </w:r>
      <w:r>
        <w:rPr>
          <w:rFonts w:ascii="仿宋" w:hAnsi="仿宋" w:eastAsia="仿宋" w:cs="仿宋"/>
          <w:sz w:val="25"/>
          <w:szCs w:val="25"/>
        </w:rPr>
        <w:t xml:space="preserve"> </w:t>
      </w:r>
      <w:r>
        <w:rPr>
          <w:rFonts w:ascii="仿宋" w:hAnsi="仿宋" w:eastAsia="仿宋" w:cs="仿宋"/>
          <w:spacing w:val="18"/>
          <w:sz w:val="25"/>
          <w:szCs w:val="25"/>
        </w:rPr>
        <w:t>核并通过了设计定型，元器件、原材料有稳定的供货来源；承研单位通过了</w:t>
      </w:r>
      <w:r>
        <w:rPr>
          <w:rFonts w:ascii="Times New Roman" w:hAnsi="Times New Roman" w:eastAsia="Times New Roman" w:cs="Times New Roman"/>
          <w:sz w:val="25"/>
          <w:szCs w:val="25"/>
        </w:rPr>
        <w:t>GJB</w:t>
      </w:r>
      <w:r>
        <w:rPr>
          <w:rFonts w:ascii="Times New Roman" w:hAnsi="Times New Roman" w:eastAsia="Times New Roman" w:cs="Times New Roman"/>
          <w:spacing w:val="2"/>
          <w:sz w:val="25"/>
          <w:szCs w:val="25"/>
        </w:rPr>
        <w:t xml:space="preserve">  </w:t>
      </w:r>
      <w:r>
        <w:rPr>
          <w:rFonts w:ascii="仿宋" w:hAnsi="仿宋" w:eastAsia="仿宋" w:cs="仿宋"/>
          <w:spacing w:val="27"/>
          <w:sz w:val="25"/>
          <w:szCs w:val="25"/>
        </w:rPr>
        <w:t>9001质量体系认证，质量体系运行有效。没有遗留问题(或遗留问题已有解决</w:t>
      </w:r>
      <w:r>
        <w:rPr>
          <w:rFonts w:ascii="仿宋" w:hAnsi="仿宋" w:eastAsia="仿宋" w:cs="仿宋"/>
          <w:spacing w:val="18"/>
          <w:sz w:val="25"/>
          <w:szCs w:val="25"/>
        </w:rPr>
        <w:t xml:space="preserve"> </w:t>
      </w:r>
      <w:r>
        <w:rPr>
          <w:rFonts w:ascii="仿宋" w:hAnsi="仿宋" w:eastAsia="仿宋" w:cs="仿宋"/>
          <w:spacing w:val="21"/>
          <w:sz w:val="25"/>
          <w:szCs w:val="25"/>
        </w:rPr>
        <w:t>措施),同意提交××(产品型号名称)设计定型。</w:t>
      </w:r>
    </w:p>
    <w:p w14:paraId="745BE4DC">
      <w:pPr>
        <w:spacing w:before="352" w:line="219" w:lineRule="auto"/>
        <w:ind w:left="1579"/>
        <w:outlineLvl w:val="1"/>
        <w:rPr>
          <w:rFonts w:ascii="宋体" w:hAnsi="宋体" w:eastAsia="宋体" w:cs="宋体"/>
          <w:sz w:val="36"/>
          <w:szCs w:val="36"/>
        </w:rPr>
      </w:pPr>
      <w:bookmarkStart w:id="99" w:name="bookmark49"/>
      <w:bookmarkEnd w:id="99"/>
      <w:r>
        <w:rPr>
          <w:rFonts w:ascii="宋体" w:hAnsi="宋体" w:eastAsia="宋体" w:cs="宋体"/>
          <w:spacing w:val="-1"/>
          <w:sz w:val="36"/>
          <w:szCs w:val="36"/>
        </w:rPr>
        <w:t>1.47</w:t>
      </w:r>
      <w:r>
        <w:rPr>
          <w:rFonts w:ascii="宋体" w:hAnsi="宋体" w:eastAsia="宋体" w:cs="宋体"/>
          <w:spacing w:val="38"/>
          <w:sz w:val="36"/>
          <w:szCs w:val="36"/>
        </w:rPr>
        <w:t xml:space="preserve">  </w:t>
      </w:r>
      <w:r>
        <w:rPr>
          <w:rFonts w:ascii="宋体" w:hAnsi="宋体" w:eastAsia="宋体" w:cs="宋体"/>
          <w:b/>
          <w:bCs/>
          <w:spacing w:val="-1"/>
          <w:sz w:val="36"/>
          <w:szCs w:val="36"/>
        </w:rPr>
        <w:t>军事代表机构对设计定型的意见</w:t>
      </w:r>
    </w:p>
    <w:p w14:paraId="39CFD7A2">
      <w:pPr>
        <w:pStyle w:val="2"/>
        <w:spacing w:line="317" w:lineRule="auto"/>
      </w:pPr>
    </w:p>
    <w:p w14:paraId="47541FE7">
      <w:pPr>
        <w:spacing w:before="91" w:line="223" w:lineRule="auto"/>
        <w:ind w:left="579"/>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35"/>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523165A3">
      <w:pPr>
        <w:spacing w:before="121" w:line="221" w:lineRule="auto"/>
        <w:rPr>
          <w:rFonts w:ascii="黑体" w:hAnsi="黑体" w:eastAsia="黑体" w:cs="黑体"/>
          <w:sz w:val="24"/>
          <w:szCs w:val="24"/>
        </w:rPr>
      </w:pPr>
      <w:r>
        <w:rPr>
          <w:rFonts w:ascii="黑体" w:hAnsi="黑体" w:eastAsia="黑体" w:cs="黑体"/>
          <w:spacing w:val="27"/>
          <w:sz w:val="24"/>
          <w:szCs w:val="24"/>
        </w:rPr>
        <w:t>1</w:t>
      </w:r>
      <w:r>
        <w:rPr>
          <w:rFonts w:ascii="黑体" w:hAnsi="黑体" w:eastAsia="黑体" w:cs="黑体"/>
          <w:spacing w:val="46"/>
          <w:sz w:val="24"/>
          <w:szCs w:val="24"/>
        </w:rPr>
        <w:t xml:space="preserve">  </w:t>
      </w:r>
      <w:r>
        <w:rPr>
          <w:rFonts w:ascii="黑体" w:hAnsi="黑体" w:eastAsia="黑体" w:cs="黑体"/>
          <w:b/>
          <w:bCs/>
          <w:spacing w:val="27"/>
          <w:sz w:val="24"/>
          <w:szCs w:val="24"/>
        </w:rPr>
        <w:t>产品研制任务的由来</w:t>
      </w:r>
    </w:p>
    <w:p w14:paraId="289FAE63">
      <w:pPr>
        <w:spacing w:before="89" w:line="219" w:lineRule="auto"/>
        <w:ind w:left="579"/>
        <w:rPr>
          <w:rFonts w:ascii="宋体" w:hAnsi="宋体" w:eastAsia="宋体" w:cs="宋体"/>
          <w:sz w:val="27"/>
          <w:szCs w:val="27"/>
        </w:rPr>
      </w:pPr>
      <w:r>
        <w:rPr>
          <w:rFonts w:ascii="宋体" w:hAnsi="宋体" w:eastAsia="宋体" w:cs="宋体"/>
          <w:spacing w:val="2"/>
          <w:sz w:val="27"/>
          <w:szCs w:val="27"/>
        </w:rPr>
        <w:t>产品研制任务的由来应包括：</w:t>
      </w:r>
    </w:p>
    <w:p w14:paraId="3BB8F69D">
      <w:pPr>
        <w:spacing w:before="80" w:line="276" w:lineRule="auto"/>
        <w:ind w:right="114" w:firstLine="579"/>
        <w:rPr>
          <w:rFonts w:ascii="宋体" w:hAnsi="宋体" w:eastAsia="宋体" w:cs="宋体"/>
          <w:sz w:val="25"/>
          <w:szCs w:val="25"/>
        </w:rPr>
      </w:pPr>
      <w:r>
        <w:rPr>
          <w:rFonts w:ascii="Times New Roman" w:hAnsi="Times New Roman" w:eastAsia="Times New Roman" w:cs="Times New Roman"/>
          <w:spacing w:val="24"/>
          <w:sz w:val="25"/>
          <w:szCs w:val="25"/>
        </w:rPr>
        <w:t>a)</w:t>
      </w:r>
      <w:r>
        <w:rPr>
          <w:rFonts w:ascii="Times New Roman" w:hAnsi="Times New Roman" w:eastAsia="Times New Roman" w:cs="Times New Roman"/>
          <w:spacing w:val="25"/>
          <w:sz w:val="25"/>
          <w:szCs w:val="25"/>
        </w:rPr>
        <w:t xml:space="preserve">  </w:t>
      </w:r>
      <w:r>
        <w:rPr>
          <w:rFonts w:ascii="宋体" w:hAnsi="宋体" w:eastAsia="宋体" w:cs="宋体"/>
          <w:spacing w:val="24"/>
          <w:sz w:val="25"/>
          <w:szCs w:val="25"/>
        </w:rPr>
        <w:t>上级装备研制管理部门下达的批准研制装备的文件(含</w:t>
      </w:r>
      <w:r>
        <w:rPr>
          <w:rFonts w:ascii="宋体" w:hAnsi="宋体" w:eastAsia="宋体" w:cs="宋体"/>
          <w:spacing w:val="23"/>
          <w:sz w:val="25"/>
          <w:szCs w:val="25"/>
        </w:rPr>
        <w:t>文件号、文件名</w:t>
      </w:r>
      <w:r>
        <w:rPr>
          <w:rFonts w:ascii="宋体" w:hAnsi="宋体" w:eastAsia="宋体" w:cs="宋体"/>
          <w:sz w:val="25"/>
          <w:szCs w:val="25"/>
        </w:rPr>
        <w:t xml:space="preserve"> </w:t>
      </w:r>
      <w:r>
        <w:rPr>
          <w:rFonts w:ascii="宋体" w:hAnsi="宋体" w:eastAsia="宋体" w:cs="宋体"/>
          <w:spacing w:val="14"/>
          <w:sz w:val="25"/>
          <w:szCs w:val="25"/>
        </w:rPr>
        <w:t>称、正式命名的装备名称);</w:t>
      </w:r>
    </w:p>
    <w:p w14:paraId="6F6252E6">
      <w:pPr>
        <w:spacing w:before="52" w:line="212" w:lineRule="auto"/>
        <w:ind w:left="579"/>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承担研制装备的单位、完成的时间要求；</w:t>
      </w:r>
    </w:p>
    <w:p w14:paraId="31B7BB07">
      <w:pPr>
        <w:spacing w:before="90" w:line="212" w:lineRule="auto"/>
        <w:ind w:left="579"/>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5"/>
          <w:sz w:val="27"/>
          <w:szCs w:val="27"/>
        </w:rPr>
        <w:t>完成研制成果的形式、数量等。</w:t>
      </w:r>
    </w:p>
    <w:p w14:paraId="21F76816">
      <w:pPr>
        <w:spacing w:before="124" w:line="221" w:lineRule="auto"/>
        <w:rPr>
          <w:rFonts w:ascii="黑体" w:hAnsi="黑体" w:eastAsia="黑体" w:cs="黑体"/>
          <w:sz w:val="27"/>
          <w:szCs w:val="27"/>
        </w:rPr>
      </w:pPr>
      <w:r>
        <w:rPr>
          <w:rFonts w:ascii="黑体" w:hAnsi="黑体" w:eastAsia="黑体" w:cs="黑体"/>
          <w:spacing w:val="3"/>
          <w:sz w:val="27"/>
          <w:szCs w:val="27"/>
        </w:rPr>
        <w:t xml:space="preserve">2  </w:t>
      </w:r>
      <w:r>
        <w:rPr>
          <w:rFonts w:ascii="黑体" w:hAnsi="黑体" w:eastAsia="黑体" w:cs="黑体"/>
          <w:b/>
          <w:bCs/>
          <w:spacing w:val="3"/>
          <w:sz w:val="27"/>
          <w:szCs w:val="27"/>
        </w:rPr>
        <w:t>军事代表机构对产品研制过程质量监督情况</w:t>
      </w:r>
    </w:p>
    <w:p w14:paraId="2A9D790B">
      <w:pPr>
        <w:spacing w:before="102" w:line="277" w:lineRule="auto"/>
        <w:ind w:right="83" w:firstLine="579"/>
        <w:jc w:val="both"/>
        <w:rPr>
          <w:rFonts w:ascii="宋体" w:hAnsi="宋体" w:eastAsia="宋体" w:cs="宋体"/>
          <w:sz w:val="27"/>
          <w:szCs w:val="27"/>
        </w:rPr>
      </w:pPr>
      <w:r>
        <w:rPr>
          <w:rFonts w:ascii="宋体" w:hAnsi="宋体" w:eastAsia="宋体" w:cs="宋体"/>
          <w:spacing w:val="-3"/>
          <w:sz w:val="27"/>
          <w:szCs w:val="27"/>
        </w:rPr>
        <w:t>包括：对所在厂(所)质量体系的监控情况、参与研制各阶段的质量监督情况</w:t>
      </w:r>
      <w:r>
        <w:rPr>
          <w:rFonts w:ascii="宋体" w:hAnsi="宋体" w:eastAsia="宋体" w:cs="宋体"/>
          <w:spacing w:val="2"/>
          <w:sz w:val="27"/>
          <w:szCs w:val="27"/>
        </w:rPr>
        <w:t xml:space="preserve"> (如参与组织产品的各种评审会、审查会情况</w:t>
      </w:r>
      <w:r>
        <w:rPr>
          <w:rFonts w:ascii="宋体" w:hAnsi="宋体" w:eastAsia="宋体" w:cs="宋体"/>
          <w:spacing w:val="1"/>
          <w:sz w:val="27"/>
          <w:szCs w:val="27"/>
        </w:rPr>
        <w:t>；参与产品设计验证和各种试验的</w:t>
      </w:r>
      <w:r>
        <w:rPr>
          <w:rFonts w:ascii="宋体" w:hAnsi="宋体" w:eastAsia="宋体" w:cs="宋体"/>
          <w:sz w:val="27"/>
          <w:szCs w:val="27"/>
        </w:rPr>
        <w:t xml:space="preserve"> </w:t>
      </w:r>
      <w:r>
        <w:rPr>
          <w:rFonts w:ascii="宋体" w:hAnsi="宋体" w:eastAsia="宋体" w:cs="宋体"/>
          <w:spacing w:val="-2"/>
          <w:sz w:val="27"/>
          <w:szCs w:val="27"/>
        </w:rPr>
        <w:t>情况等)。</w:t>
      </w:r>
    </w:p>
    <w:p w14:paraId="429A8427">
      <w:pPr>
        <w:spacing w:before="1" w:line="221"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设计定型阶段产品出现问题的解决情况</w:t>
      </w:r>
    </w:p>
    <w:p w14:paraId="2810E6BF">
      <w:pPr>
        <w:spacing w:before="99" w:line="269" w:lineRule="auto"/>
        <w:ind w:right="83" w:firstLine="579"/>
        <w:rPr>
          <w:rFonts w:ascii="宋体" w:hAnsi="宋体" w:eastAsia="宋体" w:cs="宋体"/>
          <w:sz w:val="27"/>
          <w:szCs w:val="27"/>
        </w:rPr>
      </w:pPr>
      <w:r>
        <w:rPr>
          <w:rFonts w:ascii="宋体" w:hAnsi="宋体" w:eastAsia="宋体" w:cs="宋体"/>
          <w:spacing w:val="-3"/>
          <w:sz w:val="27"/>
          <w:szCs w:val="27"/>
        </w:rPr>
        <w:t>主要指设计定型试验中的环境鉴定试验、可靠性鉴定试验、电磁兼容性试验</w:t>
      </w:r>
      <w:r>
        <w:rPr>
          <w:rFonts w:ascii="宋体" w:hAnsi="宋体" w:eastAsia="宋体" w:cs="宋体"/>
          <w:sz w:val="27"/>
          <w:szCs w:val="27"/>
        </w:rPr>
        <w:t xml:space="preserve"> 和试验基地(飞行和发射)试验、部队试用中的遗留问题监督检查和解决情况。</w:t>
      </w:r>
    </w:p>
    <w:p w14:paraId="20CCB106">
      <w:pPr>
        <w:spacing w:before="1" w:line="221" w:lineRule="auto"/>
        <w:rPr>
          <w:rFonts w:ascii="黑体" w:hAnsi="黑体" w:eastAsia="黑体" w:cs="黑体"/>
          <w:sz w:val="27"/>
          <w:szCs w:val="27"/>
        </w:rPr>
      </w:pPr>
      <w:r>
        <w:rPr>
          <w:rFonts w:ascii="黑体" w:hAnsi="黑体" w:eastAsia="黑体" w:cs="黑体"/>
          <w:spacing w:val="3"/>
          <w:sz w:val="27"/>
          <w:szCs w:val="27"/>
        </w:rPr>
        <w:t>4</w:t>
      </w:r>
      <w:r>
        <w:rPr>
          <w:rFonts w:ascii="黑体" w:hAnsi="黑体" w:eastAsia="黑体" w:cs="黑体"/>
          <w:spacing w:val="12"/>
          <w:sz w:val="27"/>
          <w:szCs w:val="27"/>
        </w:rPr>
        <w:t xml:space="preserve">  </w:t>
      </w:r>
      <w:r>
        <w:rPr>
          <w:rFonts w:ascii="黑体" w:hAnsi="黑体" w:eastAsia="黑体" w:cs="黑体"/>
          <w:b/>
          <w:bCs/>
          <w:spacing w:val="3"/>
          <w:sz w:val="27"/>
          <w:szCs w:val="27"/>
        </w:rPr>
        <w:t>产品现状</w:t>
      </w:r>
    </w:p>
    <w:p w14:paraId="084E16C1">
      <w:pPr>
        <w:spacing w:before="117" w:line="302" w:lineRule="auto"/>
        <w:ind w:firstLine="579"/>
        <w:jc w:val="both"/>
        <w:rPr>
          <w:rFonts w:ascii="仿宋" w:hAnsi="仿宋" w:eastAsia="仿宋" w:cs="仿宋"/>
          <w:sz w:val="25"/>
          <w:szCs w:val="25"/>
        </w:rPr>
      </w:pPr>
      <w:r>
        <w:rPr>
          <w:rFonts w:ascii="宋体" w:hAnsi="宋体" w:eastAsia="宋体" w:cs="宋体"/>
          <w:spacing w:val="24"/>
          <w:sz w:val="25"/>
          <w:szCs w:val="25"/>
        </w:rPr>
        <w:t>描述产品的战术技术指标是否达到已批准的要求：若均已达到，可采用下</w:t>
      </w:r>
      <w:r>
        <w:rPr>
          <w:rFonts w:ascii="宋体" w:hAnsi="宋体" w:eastAsia="宋体" w:cs="宋体"/>
          <w:spacing w:val="8"/>
          <w:sz w:val="25"/>
          <w:szCs w:val="25"/>
        </w:rPr>
        <w:t xml:space="preserve">  </w:t>
      </w:r>
      <w:r>
        <w:rPr>
          <w:rFonts w:ascii="宋体" w:hAnsi="宋体" w:eastAsia="宋体" w:cs="宋体"/>
          <w:spacing w:val="22"/>
          <w:sz w:val="25"/>
          <w:szCs w:val="25"/>
        </w:rPr>
        <w:t>列典型语句：“</w:t>
      </w:r>
      <w:r>
        <w:rPr>
          <w:rFonts w:ascii="仿宋" w:hAnsi="仿宋" w:eastAsia="仿宋" w:cs="仿宋"/>
          <w:spacing w:val="22"/>
          <w:sz w:val="25"/>
          <w:szCs w:val="25"/>
        </w:rPr>
        <w:t>目前，产品的战术技术性能已达到批准的战术技术指标要求”;</w:t>
      </w:r>
      <w:r>
        <w:rPr>
          <w:rFonts w:ascii="仿宋" w:hAnsi="仿宋" w:eastAsia="仿宋" w:cs="仿宋"/>
          <w:spacing w:val="15"/>
          <w:sz w:val="25"/>
          <w:szCs w:val="25"/>
        </w:rPr>
        <w:t xml:space="preserve"> </w:t>
      </w:r>
      <w:r>
        <w:rPr>
          <w:rFonts w:ascii="宋体" w:hAnsi="宋体" w:eastAsia="宋体" w:cs="宋体"/>
          <w:spacing w:val="15"/>
          <w:sz w:val="25"/>
          <w:szCs w:val="25"/>
        </w:rPr>
        <w:t>若有某项未达到要求，用“</w:t>
      </w:r>
      <w:r>
        <w:rPr>
          <w:rFonts w:ascii="仿宋" w:hAnsi="仿宋" w:eastAsia="仿宋" w:cs="仿宋"/>
          <w:spacing w:val="15"/>
          <w:sz w:val="25"/>
          <w:szCs w:val="25"/>
        </w:rPr>
        <w:t>目</w:t>
      </w:r>
      <w:r>
        <w:rPr>
          <w:rFonts w:ascii="仿宋" w:hAnsi="仿宋" w:eastAsia="仿宋" w:cs="仿宋"/>
          <w:spacing w:val="-10"/>
          <w:sz w:val="25"/>
          <w:szCs w:val="25"/>
        </w:rPr>
        <w:t xml:space="preserve"> </w:t>
      </w:r>
      <w:r>
        <w:rPr>
          <w:rFonts w:ascii="仿宋" w:hAnsi="仿宋" w:eastAsia="仿宋" w:cs="仿宋"/>
          <w:spacing w:val="15"/>
          <w:sz w:val="25"/>
          <w:szCs w:val="25"/>
        </w:rPr>
        <w:t>前</w:t>
      </w:r>
      <w:r>
        <w:rPr>
          <w:rFonts w:ascii="仿宋" w:hAnsi="仿宋" w:eastAsia="仿宋" w:cs="仿宋"/>
          <w:spacing w:val="-41"/>
          <w:sz w:val="25"/>
          <w:szCs w:val="25"/>
        </w:rPr>
        <w:t xml:space="preserve"> </w:t>
      </w:r>
      <w:r>
        <w:rPr>
          <w:rFonts w:ascii="仿宋" w:hAnsi="仿宋" w:eastAsia="仿宋" w:cs="仿宋"/>
          <w:spacing w:val="15"/>
          <w:sz w:val="25"/>
          <w:szCs w:val="25"/>
        </w:rPr>
        <w:t>，产品的战术技术性能除××项未达到要求外，</w:t>
      </w:r>
      <w:r>
        <w:rPr>
          <w:rFonts w:ascii="仿宋" w:hAnsi="仿宋" w:eastAsia="仿宋" w:cs="仿宋"/>
          <w:sz w:val="25"/>
          <w:szCs w:val="25"/>
        </w:rPr>
        <w:t xml:space="preserve"> </w:t>
      </w:r>
      <w:r>
        <w:rPr>
          <w:rFonts w:ascii="仿宋" w:hAnsi="仿宋" w:eastAsia="仿宋" w:cs="仿宋"/>
          <w:spacing w:val="28"/>
          <w:sz w:val="25"/>
          <w:szCs w:val="25"/>
        </w:rPr>
        <w:t>其余均已达到批准的战术技术指标要求”</w:t>
      </w:r>
      <w:r>
        <w:rPr>
          <w:rFonts w:ascii="宋体" w:hAnsi="宋体" w:eastAsia="宋体" w:cs="宋体"/>
          <w:spacing w:val="28"/>
          <w:sz w:val="25"/>
          <w:szCs w:val="25"/>
        </w:rPr>
        <w:t>;描述产品是否</w:t>
      </w:r>
      <w:r>
        <w:rPr>
          <w:rFonts w:ascii="宋体" w:hAnsi="宋体" w:eastAsia="宋体" w:cs="宋体"/>
          <w:spacing w:val="27"/>
          <w:sz w:val="25"/>
          <w:szCs w:val="25"/>
        </w:rPr>
        <w:t>有遗留问题：若无遗</w:t>
      </w:r>
      <w:r>
        <w:rPr>
          <w:rFonts w:ascii="宋体" w:hAnsi="宋体" w:eastAsia="宋体" w:cs="宋体"/>
          <w:sz w:val="25"/>
          <w:szCs w:val="25"/>
        </w:rPr>
        <w:t xml:space="preserve">  </w:t>
      </w:r>
      <w:r>
        <w:rPr>
          <w:rFonts w:ascii="宋体" w:hAnsi="宋体" w:eastAsia="宋体" w:cs="宋体"/>
          <w:spacing w:val="25"/>
          <w:sz w:val="25"/>
          <w:szCs w:val="25"/>
        </w:rPr>
        <w:t>留问题，可采用下列典型语句：“</w:t>
      </w:r>
      <w:r>
        <w:rPr>
          <w:rFonts w:ascii="仿宋" w:hAnsi="仿宋" w:eastAsia="仿宋" w:cs="仿宋"/>
          <w:spacing w:val="25"/>
          <w:sz w:val="25"/>
          <w:szCs w:val="25"/>
        </w:rPr>
        <w:t>遗留问题已全部解决”或“没有任何</w:t>
      </w:r>
      <w:r>
        <w:rPr>
          <w:rFonts w:ascii="仿宋" w:hAnsi="仿宋" w:eastAsia="仿宋" w:cs="仿宋"/>
          <w:spacing w:val="24"/>
          <w:sz w:val="25"/>
          <w:szCs w:val="25"/>
        </w:rPr>
        <w:t>遗留问</w:t>
      </w:r>
      <w:r>
        <w:rPr>
          <w:rFonts w:ascii="仿宋" w:hAnsi="仿宋" w:eastAsia="仿宋" w:cs="仿宋"/>
          <w:sz w:val="25"/>
          <w:szCs w:val="25"/>
        </w:rPr>
        <w:t xml:space="preserve">  </w:t>
      </w:r>
      <w:r>
        <w:rPr>
          <w:rFonts w:ascii="仿宋" w:hAnsi="仿宋" w:eastAsia="仿宋" w:cs="仿宋"/>
          <w:spacing w:val="13"/>
          <w:sz w:val="25"/>
          <w:szCs w:val="25"/>
        </w:rPr>
        <w:t>题”;</w:t>
      </w:r>
      <w:r>
        <w:rPr>
          <w:rFonts w:ascii="宋体" w:hAnsi="宋体" w:eastAsia="宋体" w:cs="宋体"/>
          <w:spacing w:val="13"/>
          <w:sz w:val="25"/>
          <w:szCs w:val="25"/>
        </w:rPr>
        <w:t>若有遗留问题，已有解决办法，可用“</w:t>
      </w:r>
      <w:r>
        <w:rPr>
          <w:rFonts w:ascii="仿宋" w:hAnsi="仿宋" w:eastAsia="仿宋" w:cs="仿宋"/>
          <w:spacing w:val="13"/>
          <w:sz w:val="25"/>
          <w:szCs w:val="25"/>
        </w:rPr>
        <w:t>遗留的问题已有解决办法，可望在×</w:t>
      </w:r>
      <w:r>
        <w:rPr>
          <w:rFonts w:ascii="仿宋" w:hAnsi="仿宋" w:eastAsia="仿宋" w:cs="仿宋"/>
          <w:spacing w:val="6"/>
          <w:sz w:val="25"/>
          <w:szCs w:val="25"/>
        </w:rPr>
        <w:t xml:space="preserve">  </w:t>
      </w:r>
      <w:r>
        <w:rPr>
          <w:rFonts w:ascii="仿宋" w:hAnsi="仿宋" w:eastAsia="仿宋" w:cs="仿宋"/>
          <w:spacing w:val="7"/>
          <w:sz w:val="25"/>
          <w:szCs w:val="25"/>
        </w:rPr>
        <w:t>×(时间)解决”。</w:t>
      </w:r>
    </w:p>
    <w:p w14:paraId="5A027C1F">
      <w:pPr>
        <w:spacing w:line="302" w:lineRule="auto"/>
        <w:rPr>
          <w:rFonts w:ascii="仿宋" w:hAnsi="仿宋" w:eastAsia="仿宋" w:cs="仿宋"/>
          <w:sz w:val="25"/>
          <w:szCs w:val="25"/>
        </w:rPr>
        <w:sectPr>
          <w:footerReference r:id="rId156" w:type="default"/>
          <w:pgSz w:w="11910" w:h="17130"/>
          <w:pgMar w:top="400" w:right="1244" w:bottom="1597" w:left="1190" w:header="0" w:footer="1380" w:gutter="0"/>
          <w:cols w:space="720" w:num="1"/>
        </w:sectPr>
      </w:pPr>
    </w:p>
    <w:p w14:paraId="27C806ED">
      <w:pPr>
        <w:pStyle w:val="2"/>
        <w:spacing w:line="261" w:lineRule="auto"/>
      </w:pPr>
    </w:p>
    <w:p w14:paraId="4720974E">
      <w:pPr>
        <w:pStyle w:val="2"/>
        <w:spacing w:line="261" w:lineRule="auto"/>
      </w:pPr>
    </w:p>
    <w:p w14:paraId="447FFD9E">
      <w:pPr>
        <w:pStyle w:val="2"/>
        <w:spacing w:line="261" w:lineRule="auto"/>
      </w:pPr>
    </w:p>
    <w:p w14:paraId="6DCBCC6F">
      <w:pPr>
        <w:pStyle w:val="2"/>
        <w:spacing w:line="261" w:lineRule="auto"/>
      </w:pPr>
    </w:p>
    <w:p w14:paraId="39D25D34">
      <w:pPr>
        <w:spacing w:before="88" w:line="221" w:lineRule="auto"/>
        <w:rPr>
          <w:rFonts w:ascii="黑体" w:hAnsi="黑体" w:eastAsia="黑体" w:cs="黑体"/>
          <w:sz w:val="27"/>
          <w:szCs w:val="27"/>
        </w:rPr>
      </w:pPr>
      <w:bookmarkStart w:id="100" w:name="bookmark358"/>
      <w:bookmarkEnd w:id="100"/>
      <w:r>
        <w:rPr>
          <w:rFonts w:ascii="黑体" w:hAnsi="黑体" w:eastAsia="黑体" w:cs="黑体"/>
          <w:spacing w:val="4"/>
          <w:sz w:val="27"/>
          <w:szCs w:val="27"/>
        </w:rPr>
        <w:t>5  对产品设计定型的意见</w:t>
      </w:r>
    </w:p>
    <w:p w14:paraId="4275FB64">
      <w:pPr>
        <w:spacing w:before="57" w:line="219" w:lineRule="auto"/>
        <w:ind w:left="580"/>
        <w:rPr>
          <w:rFonts w:ascii="宋体" w:hAnsi="宋体" w:eastAsia="宋体" w:cs="宋体"/>
          <w:sz w:val="27"/>
          <w:szCs w:val="27"/>
        </w:rPr>
      </w:pPr>
      <w:r>
        <w:rPr>
          <w:rFonts w:ascii="宋体" w:hAnsi="宋体" w:eastAsia="宋体" w:cs="宋体"/>
          <w:spacing w:val="-1"/>
          <w:sz w:val="27"/>
          <w:szCs w:val="27"/>
        </w:rPr>
        <w:t>明确提出军事代表机构对产品设计定型的意见，建议采用下述典型语句：</w:t>
      </w:r>
    </w:p>
    <w:p w14:paraId="0F8A5BA2">
      <w:pPr>
        <w:spacing w:before="80" w:line="295" w:lineRule="auto"/>
        <w:ind w:right="77" w:firstLine="580"/>
        <w:jc w:val="both"/>
        <w:rPr>
          <w:rFonts w:ascii="仿宋" w:hAnsi="仿宋" w:eastAsia="仿宋" w:cs="仿宋"/>
          <w:sz w:val="25"/>
          <w:szCs w:val="25"/>
        </w:rPr>
      </w:pPr>
      <w:r>
        <w:rPr>
          <w:rFonts w:ascii="仿宋" w:hAnsi="仿宋" w:eastAsia="仿宋" w:cs="仿宋"/>
          <w:spacing w:val="16"/>
          <w:sz w:val="25"/>
          <w:szCs w:val="25"/>
        </w:rPr>
        <w:t>综上所述，××产品经过研制试验和设计定型试验表明，其战术技术</w:t>
      </w:r>
      <w:r>
        <w:rPr>
          <w:rFonts w:ascii="仿宋" w:hAnsi="仿宋" w:eastAsia="仿宋" w:cs="仿宋"/>
          <w:spacing w:val="15"/>
          <w:sz w:val="25"/>
          <w:szCs w:val="25"/>
        </w:rPr>
        <w:t>性能达</w:t>
      </w:r>
      <w:r>
        <w:rPr>
          <w:rFonts w:ascii="仿宋" w:hAnsi="仿宋" w:eastAsia="仿宋" w:cs="仿宋"/>
          <w:sz w:val="25"/>
          <w:szCs w:val="25"/>
        </w:rPr>
        <w:t xml:space="preserve"> </w:t>
      </w:r>
      <w:r>
        <w:rPr>
          <w:rFonts w:ascii="仿宋" w:hAnsi="仿宋" w:eastAsia="仿宋" w:cs="仿宋"/>
          <w:spacing w:val="20"/>
          <w:sz w:val="25"/>
          <w:szCs w:val="25"/>
        </w:rPr>
        <w:t>到了批复的研制总要求(战术技术指标要求);研制过程中，贯彻了通用化、系列</w:t>
      </w:r>
      <w:r>
        <w:rPr>
          <w:rFonts w:ascii="仿宋" w:hAnsi="仿宋" w:eastAsia="仿宋" w:cs="仿宋"/>
          <w:sz w:val="25"/>
          <w:szCs w:val="25"/>
        </w:rPr>
        <w:t xml:space="preserve"> </w:t>
      </w:r>
      <w:r>
        <w:rPr>
          <w:rFonts w:ascii="仿宋" w:hAnsi="仿宋" w:eastAsia="仿宋" w:cs="仿宋"/>
          <w:spacing w:val="3"/>
          <w:sz w:val="25"/>
          <w:szCs w:val="25"/>
        </w:rPr>
        <w:t>化、组合化要求；设计定型资料完整、准确、协调、规范，图、文与实</w:t>
      </w:r>
      <w:r>
        <w:rPr>
          <w:rFonts w:ascii="仿宋" w:hAnsi="仿宋" w:eastAsia="仿宋" w:cs="仿宋"/>
          <w:spacing w:val="2"/>
          <w:sz w:val="25"/>
          <w:szCs w:val="25"/>
        </w:rPr>
        <w:t>物相符，满足</w:t>
      </w:r>
      <w:r>
        <w:rPr>
          <w:rFonts w:ascii="仿宋" w:hAnsi="仿宋" w:eastAsia="仿宋" w:cs="仿宋"/>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10"/>
          <w:sz w:val="25"/>
          <w:szCs w:val="25"/>
        </w:rPr>
        <w:t xml:space="preserve">   1362A—2007</w:t>
      </w:r>
      <w:r>
        <w:rPr>
          <w:rFonts w:ascii="宋体" w:hAnsi="宋体" w:eastAsia="宋体" w:cs="宋体"/>
          <w:spacing w:val="10"/>
          <w:sz w:val="25"/>
          <w:szCs w:val="25"/>
        </w:rPr>
        <w:t>《</w:t>
      </w:r>
      <w:r>
        <w:rPr>
          <w:rFonts w:ascii="仿宋" w:hAnsi="仿宋" w:eastAsia="仿宋" w:cs="仿宋"/>
          <w:spacing w:val="10"/>
          <w:sz w:val="25"/>
          <w:szCs w:val="25"/>
        </w:rPr>
        <w:t>军工产品定型程序和要求》;软件已通过定型测评，源程序和</w:t>
      </w:r>
      <w:r>
        <w:rPr>
          <w:rFonts w:ascii="仿宋" w:hAnsi="仿宋" w:eastAsia="仿宋" w:cs="仿宋"/>
          <w:spacing w:val="18"/>
          <w:sz w:val="25"/>
          <w:szCs w:val="25"/>
        </w:rPr>
        <w:t xml:space="preserve"> </w:t>
      </w:r>
      <w:r>
        <w:rPr>
          <w:rFonts w:ascii="仿宋" w:hAnsi="仿宋" w:eastAsia="仿宋" w:cs="仿宋"/>
          <w:spacing w:val="32"/>
          <w:sz w:val="25"/>
          <w:szCs w:val="25"/>
        </w:rPr>
        <w:t>相关文档资料齐套、数据齐全，满足《军用软件产品定型管理办法》和</w:t>
      </w:r>
      <w:r>
        <w:rPr>
          <w:rFonts w:ascii="仿宋" w:hAnsi="仿宋" w:eastAsia="仿宋" w:cs="仿宋"/>
          <w:spacing w:val="-18"/>
          <w:sz w:val="25"/>
          <w:szCs w:val="25"/>
        </w:rPr>
        <w:t xml:space="preserve"> </w:t>
      </w:r>
      <w:r>
        <w:rPr>
          <w:rFonts w:ascii="Times New Roman" w:hAnsi="Times New Roman" w:eastAsia="Times New Roman" w:cs="Times New Roman"/>
          <w:sz w:val="25"/>
          <w:szCs w:val="25"/>
        </w:rPr>
        <w:t xml:space="preserve">GJB  </w:t>
      </w:r>
      <w:r>
        <w:rPr>
          <w:rFonts w:ascii="仿宋" w:hAnsi="仿宋" w:eastAsia="仿宋" w:cs="仿宋"/>
          <w:spacing w:val="14"/>
          <w:sz w:val="25"/>
          <w:szCs w:val="25"/>
        </w:rPr>
        <w:t>438</w:t>
      </w:r>
      <w:r>
        <w:rPr>
          <w:rFonts w:ascii="Times New Roman" w:hAnsi="Times New Roman" w:eastAsia="Times New Roman" w:cs="Times New Roman"/>
          <w:spacing w:val="14"/>
          <w:sz w:val="25"/>
          <w:szCs w:val="25"/>
        </w:rPr>
        <w:t>B—2009</w:t>
      </w:r>
      <w:r>
        <w:rPr>
          <w:rFonts w:ascii="宋体" w:hAnsi="宋体" w:eastAsia="宋体" w:cs="宋体"/>
          <w:spacing w:val="14"/>
          <w:sz w:val="25"/>
          <w:szCs w:val="25"/>
        </w:rPr>
        <w:t>《</w:t>
      </w:r>
      <w:r>
        <w:rPr>
          <w:rFonts w:ascii="仿宋" w:hAnsi="仿宋" w:eastAsia="仿宋" w:cs="仿宋"/>
          <w:spacing w:val="14"/>
          <w:sz w:val="25"/>
          <w:szCs w:val="25"/>
        </w:rPr>
        <w:t>军用软件开发文档通用要求》的要求；配套的设备已进行了独立考</w:t>
      </w:r>
      <w:r>
        <w:rPr>
          <w:rFonts w:ascii="仿宋" w:hAnsi="仿宋" w:eastAsia="仿宋" w:cs="仿宋"/>
          <w:spacing w:val="17"/>
          <w:sz w:val="25"/>
          <w:szCs w:val="25"/>
        </w:rPr>
        <w:t xml:space="preserve"> </w:t>
      </w:r>
      <w:r>
        <w:rPr>
          <w:rFonts w:ascii="仿宋" w:hAnsi="仿宋" w:eastAsia="仿宋" w:cs="仿宋"/>
          <w:spacing w:val="18"/>
          <w:sz w:val="25"/>
          <w:szCs w:val="25"/>
        </w:rPr>
        <w:t>核并通过了设计定型，元器件、原材料有稳定的供货来源；承研单位通过了</w:t>
      </w:r>
      <w:r>
        <w:rPr>
          <w:rFonts w:ascii="Times New Roman" w:hAnsi="Times New Roman" w:eastAsia="Times New Roman" w:cs="Times New Roman"/>
          <w:sz w:val="25"/>
          <w:szCs w:val="25"/>
        </w:rPr>
        <w:t>GJB</w:t>
      </w:r>
      <w:r>
        <w:rPr>
          <w:rFonts w:ascii="Times New Roman" w:hAnsi="Times New Roman" w:eastAsia="Times New Roman" w:cs="Times New Roman"/>
          <w:spacing w:val="2"/>
          <w:sz w:val="25"/>
          <w:szCs w:val="25"/>
        </w:rPr>
        <w:t xml:space="preserve">  </w:t>
      </w:r>
      <w:r>
        <w:rPr>
          <w:rFonts w:ascii="仿宋" w:hAnsi="仿宋" w:eastAsia="仿宋" w:cs="仿宋"/>
          <w:spacing w:val="27"/>
          <w:sz w:val="25"/>
          <w:szCs w:val="25"/>
        </w:rPr>
        <w:t>9001质量体系认证，质量体系运行有效。没有遗留问题(或遗留问题已有解决</w:t>
      </w:r>
      <w:r>
        <w:rPr>
          <w:rFonts w:ascii="仿宋" w:hAnsi="仿宋" w:eastAsia="仿宋" w:cs="仿宋"/>
          <w:spacing w:val="8"/>
          <w:sz w:val="25"/>
          <w:szCs w:val="25"/>
        </w:rPr>
        <w:t xml:space="preserve"> </w:t>
      </w:r>
      <w:r>
        <w:rPr>
          <w:rFonts w:ascii="仿宋" w:hAnsi="仿宋" w:eastAsia="仿宋" w:cs="仿宋"/>
          <w:spacing w:val="21"/>
          <w:sz w:val="25"/>
          <w:szCs w:val="25"/>
        </w:rPr>
        <w:t>措施),同意提交××(产品型号名称)设计定型。</w:t>
      </w:r>
    </w:p>
    <w:p w14:paraId="2E2D144A">
      <w:pPr>
        <w:pStyle w:val="2"/>
        <w:spacing w:line="252" w:lineRule="auto"/>
      </w:pPr>
    </w:p>
    <w:p w14:paraId="48820707">
      <w:pPr>
        <w:spacing w:before="117" w:line="218" w:lineRule="auto"/>
        <w:ind w:left="2699"/>
        <w:outlineLvl w:val="1"/>
        <w:rPr>
          <w:rFonts w:ascii="宋体" w:hAnsi="宋体" w:eastAsia="宋体" w:cs="宋体"/>
          <w:sz w:val="36"/>
          <w:szCs w:val="36"/>
        </w:rPr>
      </w:pPr>
      <w:bookmarkStart w:id="101" w:name="bookmark50"/>
      <w:bookmarkEnd w:id="101"/>
      <w:r>
        <w:rPr>
          <w:rFonts w:ascii="Times New Roman" w:hAnsi="Times New Roman" w:eastAsia="Times New Roman" w:cs="Times New Roman"/>
          <w:b/>
          <w:bCs/>
          <w:spacing w:val="2"/>
          <w:sz w:val="36"/>
          <w:szCs w:val="36"/>
        </w:rPr>
        <w:t xml:space="preserve">1.48     </w:t>
      </w:r>
      <w:r>
        <w:rPr>
          <w:rFonts w:ascii="宋体" w:hAnsi="宋体" w:eastAsia="宋体" w:cs="宋体"/>
          <w:b/>
          <w:bCs/>
          <w:spacing w:val="2"/>
          <w:sz w:val="36"/>
          <w:szCs w:val="36"/>
        </w:rPr>
        <w:t>设计定型申请报告</w:t>
      </w:r>
    </w:p>
    <w:p w14:paraId="2BD0A892">
      <w:pPr>
        <w:pStyle w:val="2"/>
        <w:spacing w:line="330" w:lineRule="auto"/>
      </w:pPr>
    </w:p>
    <w:p w14:paraId="2789677C">
      <w:pPr>
        <w:spacing w:before="91" w:line="223" w:lineRule="auto"/>
        <w:ind w:left="58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29"/>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w:t>
      </w:r>
      <w:r>
        <w:rPr>
          <w:rFonts w:ascii="楷体" w:hAnsi="楷体" w:eastAsia="楷体" w:cs="楷体"/>
          <w:spacing w:val="-12"/>
          <w:sz w:val="28"/>
          <w:szCs w:val="28"/>
        </w:rPr>
        <w:t>求》编写。</w:t>
      </w:r>
    </w:p>
    <w:p w14:paraId="3D736336">
      <w:pPr>
        <w:pStyle w:val="2"/>
        <w:spacing w:before="75" w:line="221" w:lineRule="auto"/>
        <w:rPr>
          <w:rFonts w:ascii="黑体" w:hAnsi="黑体" w:eastAsia="黑体" w:cs="黑体"/>
          <w:sz w:val="27"/>
          <w:szCs w:val="27"/>
        </w:rPr>
      </w:pPr>
      <w:r>
        <w:rPr>
          <w:spacing w:val="2"/>
          <w:sz w:val="27"/>
          <w:szCs w:val="27"/>
        </w:rPr>
        <w:t>1</w:t>
      </w:r>
      <w:r>
        <w:rPr>
          <w:spacing w:val="21"/>
          <w:w w:val="101"/>
          <w:sz w:val="27"/>
          <w:szCs w:val="27"/>
        </w:rPr>
        <w:t xml:space="preserve">   </w:t>
      </w:r>
      <w:r>
        <w:rPr>
          <w:rFonts w:ascii="黑体" w:hAnsi="黑体" w:eastAsia="黑体" w:cs="黑体"/>
          <w:spacing w:val="2"/>
          <w:sz w:val="27"/>
          <w:szCs w:val="27"/>
        </w:rPr>
        <w:t>产品研制任务的由来</w:t>
      </w:r>
    </w:p>
    <w:p w14:paraId="7B257E35">
      <w:pPr>
        <w:spacing w:before="79" w:line="266" w:lineRule="auto"/>
        <w:ind w:right="48" w:firstLine="580"/>
        <w:rPr>
          <w:rFonts w:ascii="宋体" w:hAnsi="宋体" w:eastAsia="宋体" w:cs="宋体"/>
          <w:sz w:val="27"/>
          <w:szCs w:val="27"/>
        </w:rPr>
      </w:pPr>
      <w:r>
        <w:rPr>
          <w:rFonts w:ascii="宋体" w:hAnsi="宋体" w:eastAsia="宋体" w:cs="宋体"/>
          <w:spacing w:val="-3"/>
          <w:sz w:val="27"/>
          <w:szCs w:val="27"/>
        </w:rPr>
        <w:t>描述任务依据文件(含文件号、文件名称、正式命名的装备名称)、完成时间</w:t>
      </w:r>
      <w:r>
        <w:rPr>
          <w:rFonts w:ascii="宋体" w:hAnsi="宋体" w:eastAsia="宋体" w:cs="宋体"/>
          <w:spacing w:val="7"/>
          <w:sz w:val="27"/>
          <w:szCs w:val="27"/>
        </w:rPr>
        <w:t xml:space="preserve"> </w:t>
      </w:r>
      <w:r>
        <w:rPr>
          <w:rFonts w:ascii="宋体" w:hAnsi="宋体" w:eastAsia="宋体" w:cs="宋体"/>
          <w:spacing w:val="-8"/>
          <w:sz w:val="27"/>
          <w:szCs w:val="27"/>
        </w:rPr>
        <w:t>要求及成果形式、数量等。</w:t>
      </w:r>
    </w:p>
    <w:p w14:paraId="628C372D">
      <w:pPr>
        <w:spacing w:before="1" w:line="220" w:lineRule="auto"/>
        <w:rPr>
          <w:rFonts w:ascii="黑体" w:hAnsi="黑体" w:eastAsia="黑体" w:cs="黑体"/>
          <w:sz w:val="27"/>
          <w:szCs w:val="27"/>
        </w:rPr>
      </w:pPr>
      <w:r>
        <w:rPr>
          <w:rFonts w:ascii="黑体" w:hAnsi="黑体" w:eastAsia="黑体" w:cs="黑体"/>
          <w:spacing w:val="-2"/>
          <w:sz w:val="27"/>
          <w:szCs w:val="27"/>
        </w:rPr>
        <w:t>2  产品简介和研制、设计定型试验概况</w:t>
      </w:r>
    </w:p>
    <w:p w14:paraId="7F967112">
      <w:pPr>
        <w:spacing w:before="100" w:line="273" w:lineRule="auto"/>
        <w:ind w:right="60" w:firstLine="580"/>
        <w:rPr>
          <w:rFonts w:ascii="宋体" w:hAnsi="宋体" w:eastAsia="宋体" w:cs="宋体"/>
          <w:sz w:val="27"/>
          <w:szCs w:val="27"/>
        </w:rPr>
      </w:pPr>
      <w:r>
        <w:rPr>
          <w:rFonts w:ascii="宋体" w:hAnsi="宋体" w:eastAsia="宋体" w:cs="宋体"/>
          <w:spacing w:val="5"/>
          <w:sz w:val="27"/>
          <w:szCs w:val="27"/>
        </w:rPr>
        <w:t>用简短的语言叙述产品的组成、各研制阶段的主要工作及设计定型试验完</w:t>
      </w:r>
      <w:r>
        <w:rPr>
          <w:rFonts w:ascii="宋体" w:hAnsi="宋体" w:eastAsia="宋体" w:cs="宋体"/>
          <w:spacing w:val="3"/>
          <w:sz w:val="27"/>
          <w:szCs w:val="27"/>
        </w:rPr>
        <w:t xml:space="preserve"> </w:t>
      </w:r>
      <w:r>
        <w:rPr>
          <w:rFonts w:ascii="宋体" w:hAnsi="宋体" w:eastAsia="宋体" w:cs="宋体"/>
          <w:spacing w:val="-1"/>
          <w:sz w:val="27"/>
          <w:szCs w:val="27"/>
        </w:rPr>
        <w:t>成情况。</w:t>
      </w:r>
    </w:p>
    <w:p w14:paraId="1C9620EB">
      <w:pPr>
        <w:spacing w:before="1" w:line="221" w:lineRule="auto"/>
        <w:rPr>
          <w:rFonts w:ascii="黑体" w:hAnsi="黑体" w:eastAsia="黑体" w:cs="黑体"/>
          <w:sz w:val="27"/>
          <w:szCs w:val="27"/>
        </w:rPr>
      </w:pPr>
      <w:r>
        <w:rPr>
          <w:rFonts w:ascii="黑体" w:hAnsi="黑体" w:eastAsia="黑体" w:cs="黑体"/>
          <w:spacing w:val="4"/>
          <w:sz w:val="27"/>
          <w:szCs w:val="27"/>
        </w:rPr>
        <w:t>3  符合研制总要求和规定标准的程度</w:t>
      </w:r>
    </w:p>
    <w:p w14:paraId="69D5C13B">
      <w:pPr>
        <w:spacing w:before="87" w:line="261" w:lineRule="auto"/>
        <w:ind w:right="63" w:firstLine="580"/>
        <w:rPr>
          <w:rFonts w:ascii="宋体" w:hAnsi="宋体" w:eastAsia="宋体" w:cs="宋体"/>
          <w:sz w:val="27"/>
          <w:szCs w:val="27"/>
        </w:rPr>
      </w:pPr>
      <w:r>
        <w:rPr>
          <w:rFonts w:ascii="宋体" w:hAnsi="宋体" w:eastAsia="宋体" w:cs="宋体"/>
          <w:spacing w:val="13"/>
          <w:sz w:val="27"/>
          <w:szCs w:val="27"/>
        </w:rPr>
        <w:t>最好以表格的形式对比说明。战术技术性能指标对照表见表1.12。表格</w:t>
      </w:r>
      <w:r>
        <w:rPr>
          <w:rFonts w:ascii="宋体" w:hAnsi="宋体" w:eastAsia="宋体" w:cs="宋体"/>
          <w:spacing w:val="1"/>
          <w:sz w:val="27"/>
          <w:szCs w:val="27"/>
        </w:rPr>
        <w:t xml:space="preserve"> 填写说明见本书1.44《研制总结》编制说明第9章内容。</w:t>
      </w:r>
    </w:p>
    <w:p w14:paraId="0731510C">
      <w:pPr>
        <w:spacing w:before="40" w:line="220" w:lineRule="auto"/>
        <w:ind w:left="2649"/>
        <w:rPr>
          <w:rFonts w:ascii="仿宋" w:hAnsi="仿宋" w:eastAsia="仿宋" w:cs="仿宋"/>
          <w:sz w:val="24"/>
          <w:szCs w:val="24"/>
        </w:rPr>
      </w:pPr>
      <w:r>
        <w:rPr>
          <w:rFonts w:ascii="仿宋" w:hAnsi="仿宋" w:eastAsia="仿宋" w:cs="仿宋"/>
          <w:spacing w:val="24"/>
          <w:sz w:val="24"/>
          <w:szCs w:val="24"/>
        </w:rPr>
        <w:t>表1</w:t>
      </w:r>
      <w:r>
        <w:rPr>
          <w:rFonts w:ascii="仿宋" w:hAnsi="仿宋" w:eastAsia="仿宋" w:cs="仿宋"/>
          <w:spacing w:val="-53"/>
          <w:sz w:val="24"/>
          <w:szCs w:val="24"/>
        </w:rPr>
        <w:t xml:space="preserve"> </w:t>
      </w:r>
      <w:r>
        <w:rPr>
          <w:rFonts w:ascii="仿宋" w:hAnsi="仿宋" w:eastAsia="仿宋" w:cs="仿宋"/>
          <w:spacing w:val="24"/>
          <w:sz w:val="24"/>
          <w:szCs w:val="24"/>
        </w:rPr>
        <w:t>.</w:t>
      </w:r>
      <w:r>
        <w:rPr>
          <w:rFonts w:ascii="仿宋" w:hAnsi="仿宋" w:eastAsia="仿宋" w:cs="仿宋"/>
          <w:spacing w:val="-51"/>
          <w:sz w:val="24"/>
          <w:szCs w:val="24"/>
        </w:rPr>
        <w:t xml:space="preserve"> </w:t>
      </w:r>
      <w:r>
        <w:rPr>
          <w:rFonts w:ascii="仿宋" w:hAnsi="仿宋" w:eastAsia="仿宋" w:cs="仿宋"/>
          <w:spacing w:val="24"/>
          <w:sz w:val="24"/>
          <w:szCs w:val="24"/>
        </w:rPr>
        <w:t>12  战术技术性能指标对照表</w:t>
      </w:r>
    </w:p>
    <w:p w14:paraId="136337A9">
      <w:pPr>
        <w:spacing w:line="114" w:lineRule="exact"/>
      </w:pPr>
    </w:p>
    <w:tbl>
      <w:tblPr>
        <w:tblStyle w:val="5"/>
        <w:tblW w:w="937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2507"/>
        <w:gridCol w:w="1678"/>
        <w:gridCol w:w="1668"/>
        <w:gridCol w:w="1468"/>
        <w:gridCol w:w="1004"/>
      </w:tblGrid>
      <w:tr w14:paraId="2BCBD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54" w:type="dxa"/>
            <w:vAlign w:val="top"/>
          </w:tcPr>
          <w:p w14:paraId="26CBBCB2">
            <w:pPr>
              <w:spacing w:before="104" w:line="221" w:lineRule="auto"/>
              <w:ind w:left="295"/>
              <w:rPr>
                <w:rFonts w:ascii="宋体" w:hAnsi="宋体" w:eastAsia="宋体" w:cs="宋体"/>
                <w:sz w:val="21"/>
                <w:szCs w:val="21"/>
              </w:rPr>
            </w:pPr>
            <w:r>
              <w:rPr>
                <w:rFonts w:ascii="宋体" w:hAnsi="宋体" w:eastAsia="宋体" w:cs="宋体"/>
                <w:spacing w:val="6"/>
                <w:sz w:val="21"/>
                <w:szCs w:val="21"/>
              </w:rPr>
              <w:t>序号</w:t>
            </w:r>
          </w:p>
        </w:tc>
        <w:tc>
          <w:tcPr>
            <w:tcW w:w="2507" w:type="dxa"/>
            <w:vAlign w:val="top"/>
          </w:tcPr>
          <w:p w14:paraId="7BD0539B">
            <w:pPr>
              <w:spacing w:before="104" w:line="220" w:lineRule="auto"/>
              <w:ind w:left="960"/>
              <w:rPr>
                <w:rFonts w:ascii="宋体" w:hAnsi="宋体" w:eastAsia="宋体" w:cs="宋体"/>
                <w:sz w:val="21"/>
                <w:szCs w:val="21"/>
              </w:rPr>
            </w:pPr>
            <w:r>
              <w:rPr>
                <w:rFonts w:ascii="宋体" w:hAnsi="宋体" w:eastAsia="宋体" w:cs="宋体"/>
                <w:spacing w:val="-6"/>
                <w:sz w:val="21"/>
                <w:szCs w:val="21"/>
              </w:rPr>
              <w:t>项</w:t>
            </w:r>
            <w:r>
              <w:rPr>
                <w:rFonts w:ascii="宋体" w:hAnsi="宋体" w:eastAsia="宋体" w:cs="宋体"/>
                <w:spacing w:val="14"/>
                <w:sz w:val="21"/>
                <w:szCs w:val="21"/>
              </w:rPr>
              <w:t xml:space="preserve">  </w:t>
            </w:r>
            <w:r>
              <w:rPr>
                <w:rFonts w:ascii="宋体" w:hAnsi="宋体" w:eastAsia="宋体" w:cs="宋体"/>
                <w:spacing w:val="-6"/>
                <w:sz w:val="21"/>
                <w:szCs w:val="21"/>
              </w:rPr>
              <w:t>目</w:t>
            </w:r>
          </w:p>
        </w:tc>
        <w:tc>
          <w:tcPr>
            <w:tcW w:w="1678" w:type="dxa"/>
            <w:vAlign w:val="top"/>
          </w:tcPr>
          <w:p w14:paraId="0764226B">
            <w:pPr>
              <w:spacing w:before="104" w:line="220" w:lineRule="auto"/>
              <w:ind w:left="403"/>
              <w:rPr>
                <w:rFonts w:ascii="宋体" w:hAnsi="宋体" w:eastAsia="宋体" w:cs="宋体"/>
                <w:sz w:val="21"/>
                <w:szCs w:val="21"/>
              </w:rPr>
            </w:pPr>
            <w:r>
              <w:rPr>
                <w:rFonts w:ascii="宋体" w:hAnsi="宋体" w:eastAsia="宋体" w:cs="宋体"/>
                <w:spacing w:val="2"/>
                <w:sz w:val="21"/>
                <w:szCs w:val="21"/>
              </w:rPr>
              <w:t>指标要求</w:t>
            </w:r>
          </w:p>
        </w:tc>
        <w:tc>
          <w:tcPr>
            <w:tcW w:w="1668" w:type="dxa"/>
            <w:vAlign w:val="top"/>
          </w:tcPr>
          <w:p w14:paraId="15B74AC8">
            <w:pPr>
              <w:spacing w:before="104" w:line="220" w:lineRule="auto"/>
              <w:ind w:left="315"/>
              <w:rPr>
                <w:rFonts w:ascii="宋体" w:hAnsi="宋体" w:eastAsia="宋体" w:cs="宋体"/>
                <w:sz w:val="21"/>
                <w:szCs w:val="21"/>
              </w:rPr>
            </w:pPr>
            <w:r>
              <w:rPr>
                <w:rFonts w:ascii="宋体" w:hAnsi="宋体" w:eastAsia="宋体" w:cs="宋体"/>
                <w:spacing w:val="-2"/>
                <w:sz w:val="21"/>
                <w:szCs w:val="21"/>
              </w:rPr>
              <w:t>达到的情况</w:t>
            </w:r>
          </w:p>
        </w:tc>
        <w:tc>
          <w:tcPr>
            <w:tcW w:w="1468" w:type="dxa"/>
            <w:vAlign w:val="top"/>
          </w:tcPr>
          <w:p w14:paraId="50BECAAA">
            <w:pPr>
              <w:spacing w:before="104" w:line="221" w:lineRule="auto"/>
              <w:ind w:left="468"/>
              <w:rPr>
                <w:rFonts w:ascii="宋体" w:hAnsi="宋体" w:eastAsia="宋体" w:cs="宋体"/>
                <w:sz w:val="21"/>
                <w:szCs w:val="21"/>
              </w:rPr>
            </w:pPr>
            <w:r>
              <w:rPr>
                <w:rFonts w:ascii="宋体" w:hAnsi="宋体" w:eastAsia="宋体" w:cs="宋体"/>
                <w:spacing w:val="-7"/>
                <w:sz w:val="21"/>
                <w:szCs w:val="21"/>
              </w:rPr>
              <w:t>结</w:t>
            </w:r>
            <w:r>
              <w:rPr>
                <w:rFonts w:ascii="宋体" w:hAnsi="宋体" w:eastAsia="宋体" w:cs="宋体"/>
                <w:spacing w:val="47"/>
                <w:sz w:val="21"/>
                <w:szCs w:val="21"/>
              </w:rPr>
              <w:t xml:space="preserve"> </w:t>
            </w:r>
            <w:r>
              <w:rPr>
                <w:rFonts w:ascii="宋体" w:hAnsi="宋体" w:eastAsia="宋体" w:cs="宋体"/>
                <w:spacing w:val="-7"/>
                <w:sz w:val="21"/>
                <w:szCs w:val="21"/>
              </w:rPr>
              <w:t>论</w:t>
            </w:r>
          </w:p>
        </w:tc>
        <w:tc>
          <w:tcPr>
            <w:tcW w:w="1004" w:type="dxa"/>
            <w:vAlign w:val="top"/>
          </w:tcPr>
          <w:p w14:paraId="350802EF">
            <w:pPr>
              <w:spacing w:before="104" w:line="221" w:lineRule="auto"/>
              <w:ind w:left="290"/>
              <w:rPr>
                <w:rFonts w:ascii="宋体" w:hAnsi="宋体" w:eastAsia="宋体" w:cs="宋体"/>
                <w:sz w:val="21"/>
                <w:szCs w:val="21"/>
              </w:rPr>
            </w:pPr>
            <w:r>
              <w:rPr>
                <w:rFonts w:ascii="宋体" w:hAnsi="宋体" w:eastAsia="宋体" w:cs="宋体"/>
                <w:spacing w:val="5"/>
                <w:sz w:val="21"/>
                <w:szCs w:val="21"/>
              </w:rPr>
              <w:t>备注</w:t>
            </w:r>
          </w:p>
        </w:tc>
      </w:tr>
      <w:tr w14:paraId="0E6B7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054" w:type="dxa"/>
            <w:vAlign w:val="top"/>
          </w:tcPr>
          <w:p w14:paraId="32BD8D84">
            <w:pPr>
              <w:rPr>
                <w:rFonts w:ascii="Arial"/>
                <w:sz w:val="21"/>
              </w:rPr>
            </w:pPr>
          </w:p>
        </w:tc>
        <w:tc>
          <w:tcPr>
            <w:tcW w:w="2507" w:type="dxa"/>
            <w:vAlign w:val="top"/>
          </w:tcPr>
          <w:p w14:paraId="3F94FD03">
            <w:pPr>
              <w:rPr>
                <w:rFonts w:ascii="Arial"/>
                <w:sz w:val="21"/>
              </w:rPr>
            </w:pPr>
          </w:p>
        </w:tc>
        <w:tc>
          <w:tcPr>
            <w:tcW w:w="1678" w:type="dxa"/>
            <w:vAlign w:val="top"/>
          </w:tcPr>
          <w:p w14:paraId="46747D5A">
            <w:pPr>
              <w:rPr>
                <w:rFonts w:ascii="Arial"/>
                <w:sz w:val="21"/>
              </w:rPr>
            </w:pPr>
          </w:p>
        </w:tc>
        <w:tc>
          <w:tcPr>
            <w:tcW w:w="1668" w:type="dxa"/>
            <w:vAlign w:val="top"/>
          </w:tcPr>
          <w:p w14:paraId="4C4FA8B5">
            <w:pPr>
              <w:rPr>
                <w:rFonts w:ascii="Arial"/>
                <w:sz w:val="21"/>
              </w:rPr>
            </w:pPr>
          </w:p>
        </w:tc>
        <w:tc>
          <w:tcPr>
            <w:tcW w:w="1468" w:type="dxa"/>
            <w:vAlign w:val="top"/>
          </w:tcPr>
          <w:p w14:paraId="74A6302B">
            <w:pPr>
              <w:rPr>
                <w:rFonts w:ascii="Arial"/>
                <w:sz w:val="21"/>
              </w:rPr>
            </w:pPr>
          </w:p>
        </w:tc>
        <w:tc>
          <w:tcPr>
            <w:tcW w:w="1004" w:type="dxa"/>
            <w:vAlign w:val="top"/>
          </w:tcPr>
          <w:p w14:paraId="4AF72871">
            <w:pPr>
              <w:rPr>
                <w:rFonts w:ascii="Arial"/>
                <w:sz w:val="21"/>
              </w:rPr>
            </w:pPr>
          </w:p>
        </w:tc>
      </w:tr>
      <w:tr w14:paraId="27FDD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054" w:type="dxa"/>
            <w:vAlign w:val="top"/>
          </w:tcPr>
          <w:p w14:paraId="3D522E8B">
            <w:pPr>
              <w:rPr>
                <w:rFonts w:ascii="Arial"/>
                <w:sz w:val="21"/>
              </w:rPr>
            </w:pPr>
          </w:p>
        </w:tc>
        <w:tc>
          <w:tcPr>
            <w:tcW w:w="2507" w:type="dxa"/>
            <w:vAlign w:val="top"/>
          </w:tcPr>
          <w:p w14:paraId="06FB7021">
            <w:pPr>
              <w:rPr>
                <w:rFonts w:ascii="Arial"/>
                <w:sz w:val="21"/>
              </w:rPr>
            </w:pPr>
          </w:p>
        </w:tc>
        <w:tc>
          <w:tcPr>
            <w:tcW w:w="1678" w:type="dxa"/>
            <w:vAlign w:val="top"/>
          </w:tcPr>
          <w:p w14:paraId="7663448B">
            <w:pPr>
              <w:rPr>
                <w:rFonts w:ascii="Arial"/>
                <w:sz w:val="21"/>
              </w:rPr>
            </w:pPr>
          </w:p>
        </w:tc>
        <w:tc>
          <w:tcPr>
            <w:tcW w:w="1668" w:type="dxa"/>
            <w:vAlign w:val="top"/>
          </w:tcPr>
          <w:p w14:paraId="6FF05126">
            <w:pPr>
              <w:rPr>
                <w:rFonts w:ascii="Arial"/>
                <w:sz w:val="21"/>
              </w:rPr>
            </w:pPr>
          </w:p>
        </w:tc>
        <w:tc>
          <w:tcPr>
            <w:tcW w:w="1468" w:type="dxa"/>
            <w:vAlign w:val="top"/>
          </w:tcPr>
          <w:p w14:paraId="316B3B57">
            <w:pPr>
              <w:rPr>
                <w:rFonts w:ascii="Arial"/>
                <w:sz w:val="21"/>
              </w:rPr>
            </w:pPr>
          </w:p>
        </w:tc>
        <w:tc>
          <w:tcPr>
            <w:tcW w:w="1004" w:type="dxa"/>
            <w:vAlign w:val="top"/>
          </w:tcPr>
          <w:p w14:paraId="50DD2180">
            <w:pPr>
              <w:rPr>
                <w:rFonts w:ascii="Arial"/>
                <w:sz w:val="21"/>
              </w:rPr>
            </w:pPr>
          </w:p>
        </w:tc>
      </w:tr>
    </w:tbl>
    <w:p w14:paraId="106A85CC">
      <w:pPr>
        <w:pStyle w:val="2"/>
        <w:spacing w:before="164" w:line="222" w:lineRule="auto"/>
        <w:rPr>
          <w:rFonts w:ascii="黑体" w:hAnsi="黑体" w:eastAsia="黑体" w:cs="黑体"/>
          <w:sz w:val="27"/>
          <w:szCs w:val="27"/>
        </w:rPr>
      </w:pPr>
      <w:r>
        <w:rPr>
          <w:spacing w:val="4"/>
          <w:sz w:val="27"/>
          <w:szCs w:val="27"/>
        </w:rPr>
        <w:t>4</w:t>
      </w:r>
      <w:r>
        <w:rPr>
          <w:spacing w:val="14"/>
          <w:sz w:val="27"/>
          <w:szCs w:val="27"/>
        </w:rPr>
        <w:t xml:space="preserve">   </w:t>
      </w:r>
      <w:r>
        <w:rPr>
          <w:rFonts w:ascii="黑体" w:hAnsi="黑体" w:eastAsia="黑体" w:cs="黑体"/>
          <w:spacing w:val="4"/>
          <w:sz w:val="27"/>
          <w:szCs w:val="27"/>
        </w:rPr>
        <w:t>存在的问题和解决措施</w:t>
      </w:r>
    </w:p>
    <w:p w14:paraId="1A8C0E73">
      <w:pPr>
        <w:spacing w:before="51" w:line="212" w:lineRule="auto"/>
        <w:ind w:left="3"/>
        <w:rPr>
          <w:rFonts w:ascii="黑体" w:hAnsi="黑体" w:eastAsia="黑体" w:cs="黑体"/>
          <w:sz w:val="27"/>
          <w:szCs w:val="27"/>
        </w:rPr>
      </w:pPr>
      <w:r>
        <w:rPr>
          <w:rFonts w:ascii="黑体" w:hAnsi="黑体" w:eastAsia="黑体" w:cs="黑体"/>
          <w:b/>
          <w:bCs/>
          <w:spacing w:val="4"/>
          <w:sz w:val="27"/>
          <w:szCs w:val="27"/>
        </w:rPr>
        <w:t>4.</w:t>
      </w:r>
      <w:r>
        <w:rPr>
          <w:rFonts w:ascii="Times New Roman" w:hAnsi="Times New Roman" w:eastAsia="Times New Roman" w:cs="Times New Roman"/>
          <w:b/>
          <w:bCs/>
          <w:spacing w:val="4"/>
          <w:sz w:val="27"/>
          <w:szCs w:val="27"/>
        </w:rPr>
        <w:t>X</w:t>
      </w:r>
      <w:r>
        <w:rPr>
          <w:rFonts w:ascii="Times New Roman" w:hAnsi="Times New Roman" w:eastAsia="Times New Roman" w:cs="Times New Roman"/>
          <w:b/>
          <w:bCs/>
          <w:spacing w:val="15"/>
          <w:sz w:val="27"/>
          <w:szCs w:val="27"/>
        </w:rPr>
        <w:t xml:space="preserve">    </w:t>
      </w:r>
      <w:r>
        <w:rPr>
          <w:rFonts w:ascii="Times New Roman" w:hAnsi="Times New Roman" w:eastAsia="Times New Roman" w:cs="Times New Roman"/>
          <w:b/>
          <w:bCs/>
          <w:spacing w:val="4"/>
          <w:sz w:val="27"/>
          <w:szCs w:val="27"/>
        </w:rPr>
        <w:t>(</w:t>
      </w:r>
      <w:r>
        <w:rPr>
          <w:rFonts w:ascii="Times New Roman" w:hAnsi="Times New Roman" w:eastAsia="Times New Roman" w:cs="Times New Roman"/>
          <w:b/>
          <w:bCs/>
          <w:spacing w:val="-13"/>
          <w:sz w:val="27"/>
          <w:szCs w:val="27"/>
        </w:rPr>
        <w:t xml:space="preserve"> </w:t>
      </w:r>
      <w:r>
        <w:rPr>
          <w:rFonts w:ascii="黑体" w:hAnsi="黑体" w:eastAsia="黑体" w:cs="黑体"/>
          <w:b/>
          <w:bCs/>
          <w:spacing w:val="4"/>
          <w:sz w:val="27"/>
          <w:szCs w:val="27"/>
        </w:rPr>
        <w:t>存在的问题</w:t>
      </w:r>
      <w:r>
        <w:rPr>
          <w:rFonts w:ascii="Times New Roman" w:hAnsi="Times New Roman" w:eastAsia="Times New Roman" w:cs="Times New Roman"/>
          <w:b/>
          <w:bCs/>
          <w:spacing w:val="4"/>
          <w:sz w:val="27"/>
          <w:szCs w:val="27"/>
        </w:rPr>
        <w:t>X)</w:t>
      </w:r>
      <w:r>
        <w:rPr>
          <w:rFonts w:ascii="Times New Roman" w:hAnsi="Times New Roman" w:eastAsia="Times New Roman" w:cs="Times New Roman"/>
          <w:b/>
          <w:bCs/>
          <w:spacing w:val="-26"/>
          <w:sz w:val="27"/>
          <w:szCs w:val="27"/>
        </w:rPr>
        <w:t xml:space="preserve"> </w:t>
      </w:r>
      <w:r>
        <w:rPr>
          <w:rFonts w:ascii="黑体" w:hAnsi="黑体" w:eastAsia="黑体" w:cs="黑体"/>
          <w:b/>
          <w:bCs/>
          <w:spacing w:val="4"/>
          <w:sz w:val="27"/>
          <w:szCs w:val="27"/>
        </w:rPr>
        <w:t>及解决措施</w:t>
      </w:r>
    </w:p>
    <w:p w14:paraId="6310B92D">
      <w:pPr>
        <w:spacing w:before="144" w:line="256" w:lineRule="auto"/>
        <w:ind w:right="57" w:firstLine="580"/>
        <w:rPr>
          <w:rFonts w:ascii="宋体" w:hAnsi="宋体" w:eastAsia="宋体" w:cs="宋体"/>
          <w:sz w:val="27"/>
          <w:szCs w:val="27"/>
        </w:rPr>
      </w:pPr>
      <w:r>
        <w:rPr>
          <w:rFonts w:ascii="宋体" w:hAnsi="宋体" w:eastAsia="宋体" w:cs="宋体"/>
          <w:spacing w:val="-3"/>
          <w:sz w:val="27"/>
          <w:szCs w:val="27"/>
        </w:rPr>
        <w:t>应把产品尚存在的主要问题、对装备的影响、拟采取的解决措施</w:t>
      </w:r>
      <w:r>
        <w:rPr>
          <w:rFonts w:ascii="宋体" w:hAnsi="宋体" w:eastAsia="宋体" w:cs="宋体"/>
          <w:spacing w:val="-4"/>
          <w:sz w:val="27"/>
          <w:szCs w:val="27"/>
        </w:rPr>
        <w:t>及完成的期</w:t>
      </w:r>
      <w:r>
        <w:rPr>
          <w:rFonts w:ascii="宋体" w:hAnsi="宋体" w:eastAsia="宋体" w:cs="宋体"/>
          <w:sz w:val="27"/>
          <w:szCs w:val="27"/>
        </w:rPr>
        <w:t xml:space="preserve"> </w:t>
      </w:r>
      <w:r>
        <w:rPr>
          <w:rFonts w:ascii="宋体" w:hAnsi="宋体" w:eastAsia="宋体" w:cs="宋体"/>
          <w:spacing w:val="-3"/>
          <w:sz w:val="27"/>
          <w:szCs w:val="27"/>
        </w:rPr>
        <w:t>限讲清楚。</w:t>
      </w:r>
    </w:p>
    <w:p w14:paraId="1467657A">
      <w:pPr>
        <w:spacing w:before="11" w:line="221" w:lineRule="auto"/>
        <w:rPr>
          <w:rFonts w:ascii="黑体" w:hAnsi="黑体" w:eastAsia="黑体" w:cs="黑体"/>
          <w:sz w:val="27"/>
          <w:szCs w:val="27"/>
        </w:rPr>
      </w:pPr>
      <w:r>
        <w:rPr>
          <w:rFonts w:ascii="黑体" w:hAnsi="黑体" w:eastAsia="黑体" w:cs="黑体"/>
          <w:spacing w:val="3"/>
          <w:sz w:val="27"/>
          <w:szCs w:val="27"/>
        </w:rPr>
        <w:t>5  设计定型意见</w:t>
      </w:r>
    </w:p>
    <w:p w14:paraId="64F2DD1D">
      <w:pPr>
        <w:spacing w:before="108" w:line="219" w:lineRule="auto"/>
        <w:ind w:left="580"/>
        <w:rPr>
          <w:rFonts w:ascii="宋体" w:hAnsi="宋体" w:eastAsia="宋体" w:cs="宋体"/>
          <w:sz w:val="27"/>
          <w:szCs w:val="27"/>
        </w:rPr>
      </w:pPr>
      <w:r>
        <w:rPr>
          <w:rFonts w:ascii="宋体" w:hAnsi="宋体" w:eastAsia="宋体" w:cs="宋体"/>
          <w:spacing w:val="2"/>
          <w:sz w:val="27"/>
          <w:szCs w:val="27"/>
        </w:rPr>
        <w:t>建议采用下列典型用语：</w:t>
      </w:r>
    </w:p>
    <w:p w14:paraId="7A0B95F6">
      <w:pPr>
        <w:spacing w:line="219" w:lineRule="auto"/>
        <w:rPr>
          <w:rFonts w:ascii="宋体" w:hAnsi="宋体" w:eastAsia="宋体" w:cs="宋体"/>
          <w:sz w:val="27"/>
          <w:szCs w:val="27"/>
        </w:rPr>
        <w:sectPr>
          <w:footerReference r:id="rId157" w:type="default"/>
          <w:pgSz w:w="11910" w:h="17130"/>
          <w:pgMar w:top="400" w:right="1115" w:bottom="1626" w:left="1349" w:header="0" w:footer="1437" w:gutter="0"/>
          <w:cols w:space="720" w:num="1"/>
        </w:sectPr>
      </w:pPr>
    </w:p>
    <w:p w14:paraId="3D518A87">
      <w:pPr>
        <w:pStyle w:val="2"/>
        <w:spacing w:line="266" w:lineRule="auto"/>
      </w:pPr>
    </w:p>
    <w:p w14:paraId="1C921A98">
      <w:pPr>
        <w:pStyle w:val="2"/>
        <w:spacing w:line="266" w:lineRule="auto"/>
      </w:pPr>
    </w:p>
    <w:p w14:paraId="6C30D1F8">
      <w:pPr>
        <w:pStyle w:val="2"/>
        <w:spacing w:line="266" w:lineRule="auto"/>
      </w:pPr>
    </w:p>
    <w:p w14:paraId="0F164094">
      <w:pPr>
        <w:pStyle w:val="2"/>
        <w:spacing w:line="266" w:lineRule="auto"/>
      </w:pPr>
    </w:p>
    <w:p w14:paraId="22A30973">
      <w:pPr>
        <w:spacing w:before="78" w:line="313" w:lineRule="auto"/>
        <w:ind w:right="108" w:firstLine="570"/>
        <w:jc w:val="both"/>
        <w:rPr>
          <w:rFonts w:ascii="仿宋" w:hAnsi="仿宋" w:eastAsia="仿宋" w:cs="仿宋"/>
          <w:sz w:val="24"/>
          <w:szCs w:val="24"/>
        </w:rPr>
      </w:pPr>
      <w:bookmarkStart w:id="102" w:name="bookmark359"/>
      <w:bookmarkEnd w:id="102"/>
      <w:r>
        <w:rPr>
          <w:rFonts w:ascii="仿宋" w:hAnsi="仿宋" w:eastAsia="仿宋" w:cs="仿宋"/>
          <w:spacing w:val="26"/>
          <w:sz w:val="24"/>
          <w:szCs w:val="24"/>
        </w:rPr>
        <w:t>综上所述，××产品经过研制试验和设计定型试验表明，其战术技术性能达</w:t>
      </w:r>
      <w:r>
        <w:rPr>
          <w:rFonts w:ascii="仿宋" w:hAnsi="仿宋" w:eastAsia="仿宋" w:cs="仿宋"/>
          <w:spacing w:val="16"/>
          <w:sz w:val="24"/>
          <w:szCs w:val="24"/>
        </w:rPr>
        <w:t xml:space="preserve"> </w:t>
      </w:r>
      <w:r>
        <w:rPr>
          <w:rFonts w:ascii="仿宋" w:hAnsi="仿宋" w:eastAsia="仿宋" w:cs="仿宋"/>
          <w:spacing w:val="30"/>
          <w:sz w:val="24"/>
          <w:szCs w:val="24"/>
        </w:rPr>
        <w:t>到了批复的研制总要求(战术技术指标要求</w:t>
      </w:r>
      <w:r>
        <w:rPr>
          <w:rFonts w:ascii="仿宋" w:hAnsi="仿宋" w:eastAsia="仿宋" w:cs="仿宋"/>
          <w:spacing w:val="29"/>
          <w:sz w:val="24"/>
          <w:szCs w:val="24"/>
        </w:rPr>
        <w:t>);研制过程中，贯彻了通用化、系列</w:t>
      </w:r>
      <w:r>
        <w:rPr>
          <w:rFonts w:ascii="仿宋" w:hAnsi="仿宋" w:eastAsia="仿宋" w:cs="仿宋"/>
          <w:sz w:val="24"/>
          <w:szCs w:val="24"/>
        </w:rPr>
        <w:t xml:space="preserve"> </w:t>
      </w:r>
      <w:r>
        <w:rPr>
          <w:rFonts w:ascii="仿宋" w:hAnsi="仿宋" w:eastAsia="仿宋" w:cs="仿宋"/>
          <w:spacing w:val="12"/>
          <w:sz w:val="24"/>
          <w:szCs w:val="24"/>
        </w:rPr>
        <w:t>化、组合化要求；设计定型资料完整、准确、协调、规范，图、文与实物相符，满足</w:t>
      </w:r>
      <w:r>
        <w:rPr>
          <w:rFonts w:ascii="仿宋" w:hAnsi="仿宋" w:eastAsia="仿宋" w:cs="仿宋"/>
          <w:spacing w:val="1"/>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18"/>
          <w:sz w:val="24"/>
          <w:szCs w:val="24"/>
        </w:rPr>
        <w:t xml:space="preserve">    1362A—2007</w:t>
      </w:r>
      <w:r>
        <w:rPr>
          <w:rFonts w:ascii="宋体" w:hAnsi="宋体" w:eastAsia="宋体" w:cs="宋体"/>
          <w:spacing w:val="18"/>
          <w:sz w:val="24"/>
          <w:szCs w:val="24"/>
        </w:rPr>
        <w:t>《</w:t>
      </w:r>
      <w:r>
        <w:rPr>
          <w:rFonts w:ascii="仿宋" w:hAnsi="仿宋" w:eastAsia="仿宋" w:cs="仿宋"/>
          <w:spacing w:val="18"/>
          <w:sz w:val="24"/>
          <w:szCs w:val="24"/>
        </w:rPr>
        <w:t>军工产品定型</w:t>
      </w:r>
      <w:r>
        <w:rPr>
          <w:rFonts w:ascii="仿宋" w:hAnsi="仿宋" w:eastAsia="仿宋" w:cs="仿宋"/>
          <w:spacing w:val="17"/>
          <w:sz w:val="24"/>
          <w:szCs w:val="24"/>
        </w:rPr>
        <w:t>程序和要求》;软件已通过定型测评，源程序和</w:t>
      </w:r>
      <w:r>
        <w:rPr>
          <w:rFonts w:ascii="仿宋" w:hAnsi="仿宋" w:eastAsia="仿宋" w:cs="仿宋"/>
          <w:sz w:val="24"/>
          <w:szCs w:val="24"/>
        </w:rPr>
        <w:t xml:space="preserve"> </w:t>
      </w:r>
      <w:r>
        <w:rPr>
          <w:rFonts w:ascii="仿宋" w:hAnsi="仿宋" w:eastAsia="仿宋" w:cs="仿宋"/>
          <w:spacing w:val="42"/>
          <w:sz w:val="24"/>
          <w:szCs w:val="24"/>
        </w:rPr>
        <w:t>相关文档资料齐套、数据齐全，满足《军用软件产品定型管理办法》和</w:t>
      </w:r>
      <w:r>
        <w:rPr>
          <w:rFonts w:ascii="仿宋" w:hAnsi="仿宋" w:eastAsia="仿宋" w:cs="仿宋"/>
          <w:spacing w:val="-32"/>
          <w:sz w:val="24"/>
          <w:szCs w:val="24"/>
        </w:rPr>
        <w:t xml:space="preserve"> </w:t>
      </w:r>
      <w:r>
        <w:rPr>
          <w:rFonts w:ascii="Times New Roman" w:hAnsi="Times New Roman" w:eastAsia="Times New Roman" w:cs="Times New Roman"/>
          <w:sz w:val="24"/>
          <w:szCs w:val="24"/>
        </w:rPr>
        <w:t xml:space="preserve">GJB   </w:t>
      </w:r>
      <w:r>
        <w:rPr>
          <w:rFonts w:ascii="仿宋" w:hAnsi="仿宋" w:eastAsia="仿宋" w:cs="仿宋"/>
          <w:spacing w:val="22"/>
          <w:sz w:val="24"/>
          <w:szCs w:val="24"/>
        </w:rPr>
        <w:t>438</w:t>
      </w:r>
      <w:r>
        <w:rPr>
          <w:rFonts w:ascii="仿宋" w:hAnsi="仿宋" w:eastAsia="仿宋" w:cs="仿宋"/>
          <w:spacing w:val="-53"/>
          <w:sz w:val="24"/>
          <w:szCs w:val="24"/>
        </w:rPr>
        <w:t xml:space="preserve"> </w:t>
      </w:r>
      <w:r>
        <w:rPr>
          <w:rFonts w:ascii="Times New Roman" w:hAnsi="Times New Roman" w:eastAsia="Times New Roman" w:cs="Times New Roman"/>
          <w:spacing w:val="22"/>
          <w:sz w:val="24"/>
          <w:szCs w:val="24"/>
        </w:rPr>
        <w:t>B—2009</w:t>
      </w:r>
      <w:r>
        <w:rPr>
          <w:rFonts w:ascii="宋体" w:hAnsi="宋体" w:eastAsia="宋体" w:cs="宋体"/>
          <w:spacing w:val="22"/>
          <w:sz w:val="24"/>
          <w:szCs w:val="24"/>
        </w:rPr>
        <w:t>《</w:t>
      </w:r>
      <w:r>
        <w:rPr>
          <w:rFonts w:ascii="仿宋" w:hAnsi="仿宋" w:eastAsia="仿宋" w:cs="仿宋"/>
          <w:spacing w:val="22"/>
          <w:sz w:val="24"/>
          <w:szCs w:val="24"/>
        </w:rPr>
        <w:t>军用软件开发文档通用要求》的要求；配套的设备已进行了独立考</w:t>
      </w:r>
      <w:r>
        <w:rPr>
          <w:rFonts w:ascii="仿宋" w:hAnsi="仿宋" w:eastAsia="仿宋" w:cs="仿宋"/>
          <w:sz w:val="24"/>
          <w:szCs w:val="24"/>
        </w:rPr>
        <w:t xml:space="preserve"> </w:t>
      </w:r>
      <w:r>
        <w:rPr>
          <w:rFonts w:ascii="仿宋" w:hAnsi="仿宋" w:eastAsia="仿宋" w:cs="仿宋"/>
          <w:spacing w:val="28"/>
          <w:sz w:val="24"/>
          <w:szCs w:val="24"/>
        </w:rPr>
        <w:t>核并通过了设计定型，元器件、原材料有稳</w:t>
      </w:r>
      <w:r>
        <w:rPr>
          <w:rFonts w:ascii="仿宋" w:hAnsi="仿宋" w:eastAsia="仿宋" w:cs="仿宋"/>
          <w:spacing w:val="27"/>
          <w:sz w:val="24"/>
          <w:szCs w:val="24"/>
        </w:rPr>
        <w:t>定的供货来源；承研单位通过了</w:t>
      </w:r>
      <w:r>
        <w:rPr>
          <w:rFonts w:ascii="Times New Roman" w:hAnsi="Times New Roman" w:eastAsia="Times New Roman" w:cs="Times New Roman"/>
          <w:sz w:val="24"/>
          <w:szCs w:val="24"/>
        </w:rPr>
        <w:t xml:space="preserve">GJB   </w:t>
      </w:r>
      <w:r>
        <w:rPr>
          <w:rFonts w:ascii="仿宋" w:hAnsi="仿宋" w:eastAsia="仿宋" w:cs="仿宋"/>
          <w:spacing w:val="30"/>
          <w:sz w:val="24"/>
          <w:szCs w:val="24"/>
        </w:rPr>
        <w:t>9001质量体系认证，质量体系运行有效。该产品已具备设计定型的条件。</w:t>
      </w:r>
    </w:p>
    <w:p w14:paraId="13E0FA31">
      <w:pPr>
        <w:spacing w:before="20" w:line="284" w:lineRule="auto"/>
        <w:ind w:right="575" w:firstLine="570"/>
        <w:rPr>
          <w:rFonts w:ascii="黑体" w:hAnsi="黑体" w:eastAsia="黑体" w:cs="黑体"/>
          <w:sz w:val="27"/>
          <w:szCs w:val="27"/>
        </w:rPr>
      </w:pPr>
      <w:r>
        <w:rPr>
          <w:rFonts w:ascii="仿宋" w:hAnsi="仿宋" w:eastAsia="仿宋" w:cs="仿宋"/>
          <w:spacing w:val="28"/>
          <w:sz w:val="24"/>
          <w:szCs w:val="24"/>
        </w:rPr>
        <w:t>根据设计定型有关文件的规定，特申请××(产品型号名称)设计定型。</w:t>
      </w:r>
      <w:r>
        <w:rPr>
          <w:rFonts w:ascii="仿宋" w:hAnsi="仿宋" w:eastAsia="仿宋" w:cs="仿宋"/>
          <w:spacing w:val="2"/>
          <w:sz w:val="24"/>
          <w:szCs w:val="24"/>
        </w:rPr>
        <w:t xml:space="preserve"> </w:t>
      </w:r>
      <w:r>
        <w:rPr>
          <w:rFonts w:ascii="黑体" w:hAnsi="黑体" w:eastAsia="黑体" w:cs="黑体"/>
          <w:spacing w:val="-12"/>
          <w:sz w:val="27"/>
          <w:szCs w:val="27"/>
        </w:rPr>
        <w:t>附：申请报告附件</w:t>
      </w:r>
    </w:p>
    <w:p w14:paraId="191AE7BE">
      <w:pPr>
        <w:spacing w:before="1" w:line="217" w:lineRule="auto"/>
        <w:ind w:left="570"/>
        <w:rPr>
          <w:rFonts w:ascii="宋体" w:hAnsi="宋体" w:eastAsia="宋体" w:cs="宋体"/>
          <w:sz w:val="27"/>
          <w:szCs w:val="27"/>
        </w:rPr>
      </w:pPr>
      <w:r>
        <w:rPr>
          <w:rFonts w:ascii="宋体" w:hAnsi="宋体" w:eastAsia="宋体" w:cs="宋体"/>
          <w:spacing w:val="-13"/>
          <w:sz w:val="27"/>
          <w:szCs w:val="27"/>
        </w:rPr>
        <w:t>上报“设计定型申请报告”时，一般应包括下列附件：</w:t>
      </w:r>
    </w:p>
    <w:p w14:paraId="07079811">
      <w:pPr>
        <w:spacing w:before="110" w:line="219" w:lineRule="auto"/>
        <w:ind w:left="570"/>
        <w:rPr>
          <w:rFonts w:ascii="宋体" w:hAnsi="宋体" w:eastAsia="宋体" w:cs="宋体"/>
          <w:sz w:val="24"/>
          <w:szCs w:val="24"/>
        </w:rPr>
      </w:pPr>
      <w:r>
        <w:rPr>
          <w:rFonts w:ascii="Times New Roman" w:hAnsi="Times New Roman" w:eastAsia="Times New Roman" w:cs="Times New Roman"/>
          <w:spacing w:val="29"/>
          <w:sz w:val="24"/>
          <w:szCs w:val="24"/>
        </w:rPr>
        <w:t>a</w:t>
      </w:r>
      <w:r>
        <w:rPr>
          <w:rFonts w:ascii="宋体" w:hAnsi="宋体" w:eastAsia="宋体" w:cs="宋体"/>
          <w:spacing w:val="29"/>
          <w:sz w:val="24"/>
          <w:szCs w:val="24"/>
        </w:rPr>
        <w:t>)</w:t>
      </w:r>
      <w:r>
        <w:rPr>
          <w:rFonts w:ascii="宋体" w:hAnsi="宋体" w:eastAsia="宋体" w:cs="宋体"/>
          <w:spacing w:val="-11"/>
          <w:sz w:val="24"/>
          <w:szCs w:val="24"/>
        </w:rPr>
        <w:t xml:space="preserve"> </w:t>
      </w:r>
      <w:r>
        <w:rPr>
          <w:rFonts w:ascii="宋体" w:hAnsi="宋体" w:eastAsia="宋体" w:cs="宋体"/>
          <w:spacing w:val="29"/>
          <w:sz w:val="24"/>
          <w:szCs w:val="24"/>
        </w:rPr>
        <w:t>研制总要求(或研制任务书);</w:t>
      </w:r>
    </w:p>
    <w:p w14:paraId="36939472">
      <w:pPr>
        <w:spacing w:before="89" w:line="212" w:lineRule="auto"/>
        <w:ind w:left="570"/>
        <w:rPr>
          <w:rFonts w:ascii="宋体" w:hAnsi="宋体" w:eastAsia="宋体" w:cs="宋体"/>
          <w:sz w:val="24"/>
          <w:szCs w:val="24"/>
        </w:rPr>
      </w:pPr>
      <w:r>
        <w:rPr>
          <w:rFonts w:ascii="Times New Roman" w:hAnsi="Times New Roman" w:eastAsia="Times New Roman" w:cs="Times New Roman"/>
          <w:spacing w:val="20"/>
          <w:sz w:val="24"/>
          <w:szCs w:val="24"/>
        </w:rPr>
        <w:t>b)</w:t>
      </w:r>
      <w:r>
        <w:rPr>
          <w:rFonts w:ascii="Times New Roman" w:hAnsi="Times New Roman" w:eastAsia="Times New Roman" w:cs="Times New Roman"/>
          <w:spacing w:val="19"/>
          <w:w w:val="101"/>
          <w:sz w:val="24"/>
          <w:szCs w:val="24"/>
        </w:rPr>
        <w:t xml:space="preserve">  </w:t>
      </w:r>
      <w:r>
        <w:rPr>
          <w:rFonts w:ascii="宋体" w:hAnsi="宋体" w:eastAsia="宋体" w:cs="宋体"/>
          <w:spacing w:val="20"/>
          <w:sz w:val="24"/>
          <w:szCs w:val="24"/>
        </w:rPr>
        <w:t>研制总结；</w:t>
      </w:r>
    </w:p>
    <w:p w14:paraId="318FB0FB">
      <w:pPr>
        <w:spacing w:before="112"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 xml:space="preserve">c)  </w:t>
      </w:r>
      <w:r>
        <w:rPr>
          <w:rFonts w:ascii="宋体" w:hAnsi="宋体" w:eastAsia="宋体" w:cs="宋体"/>
          <w:spacing w:val="1"/>
          <w:sz w:val="27"/>
          <w:szCs w:val="27"/>
        </w:rPr>
        <w:t>军事代表机构质量监督报告；</w:t>
      </w:r>
    </w:p>
    <w:p w14:paraId="3BB952A8">
      <w:pPr>
        <w:spacing w:before="100"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质量分析报告；</w:t>
      </w:r>
    </w:p>
    <w:p w14:paraId="19932F62">
      <w:pPr>
        <w:spacing w:before="100" w:line="212" w:lineRule="auto"/>
        <w:ind w:left="57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价值工程和成本分析报告；</w:t>
      </w:r>
    </w:p>
    <w:p w14:paraId="44D41C0E">
      <w:pPr>
        <w:spacing w:before="100"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 xml:space="preserve">f)  </w:t>
      </w:r>
      <w:r>
        <w:rPr>
          <w:rFonts w:ascii="宋体" w:hAnsi="宋体" w:eastAsia="宋体" w:cs="宋体"/>
          <w:spacing w:val="1"/>
          <w:sz w:val="27"/>
          <w:szCs w:val="27"/>
        </w:rPr>
        <w:t>标准化工作报告；</w:t>
      </w:r>
    </w:p>
    <w:p w14:paraId="56DCE326">
      <w:pPr>
        <w:spacing w:before="110" w:line="212" w:lineRule="auto"/>
        <w:ind w:left="570"/>
        <w:rPr>
          <w:rFonts w:ascii="宋体" w:hAnsi="宋体" w:eastAsia="宋体" w:cs="宋体"/>
          <w:sz w:val="27"/>
          <w:szCs w:val="27"/>
        </w:rPr>
      </w:pPr>
      <w:r>
        <w:rPr>
          <w:rFonts w:ascii="Times New Roman" w:hAnsi="Times New Roman" w:eastAsia="Times New Roman" w:cs="Times New Roman"/>
          <w:spacing w:val="-18"/>
          <w:sz w:val="27"/>
          <w:szCs w:val="27"/>
        </w:rPr>
        <w:t>g)</w:t>
      </w:r>
      <w:r>
        <w:rPr>
          <w:rFonts w:ascii="Times New Roman" w:hAnsi="Times New Roman" w:eastAsia="Times New Roman" w:cs="Times New Roman"/>
          <w:spacing w:val="20"/>
          <w:w w:val="101"/>
          <w:sz w:val="27"/>
          <w:szCs w:val="27"/>
        </w:rPr>
        <w:t xml:space="preserve">  </w:t>
      </w:r>
      <w:r>
        <w:rPr>
          <w:rFonts w:ascii="宋体" w:hAnsi="宋体" w:eastAsia="宋体" w:cs="宋体"/>
          <w:spacing w:val="-18"/>
          <w:sz w:val="27"/>
          <w:szCs w:val="27"/>
        </w:rPr>
        <w:t>可靠性、维修性、测试性、保障性、安全性评估报告；</w:t>
      </w:r>
    </w:p>
    <w:p w14:paraId="60041DAA">
      <w:pPr>
        <w:spacing w:before="80"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 xml:space="preserve">h)  </w:t>
      </w:r>
      <w:r>
        <w:rPr>
          <w:rFonts w:ascii="宋体" w:hAnsi="宋体" w:eastAsia="宋体" w:cs="宋体"/>
          <w:spacing w:val="1"/>
          <w:sz w:val="27"/>
          <w:szCs w:val="27"/>
        </w:rPr>
        <w:t>设计定型文件清单；</w:t>
      </w:r>
    </w:p>
    <w:p w14:paraId="2B05CF8E">
      <w:pPr>
        <w:spacing w:before="110"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i)</w:t>
      </w:r>
      <w:r>
        <w:rPr>
          <w:rFonts w:ascii="Times New Roman" w:hAnsi="Times New Roman" w:eastAsia="Times New Roman" w:cs="Times New Roman"/>
          <w:spacing w:val="65"/>
          <w:sz w:val="27"/>
          <w:szCs w:val="27"/>
        </w:rPr>
        <w:t xml:space="preserve"> </w:t>
      </w:r>
      <w:r>
        <w:rPr>
          <w:rFonts w:ascii="宋体" w:hAnsi="宋体" w:eastAsia="宋体" w:cs="宋体"/>
          <w:spacing w:val="4"/>
          <w:sz w:val="27"/>
          <w:szCs w:val="27"/>
        </w:rPr>
        <w:t>二级定委规定的其他文件。</w:t>
      </w:r>
    </w:p>
    <w:p w14:paraId="6F34D633">
      <w:pPr>
        <w:pStyle w:val="2"/>
        <w:spacing w:line="357" w:lineRule="auto"/>
      </w:pPr>
    </w:p>
    <w:p w14:paraId="3A31A5AD">
      <w:pPr>
        <w:spacing w:before="117" w:line="219" w:lineRule="auto"/>
        <w:ind w:left="2520"/>
        <w:outlineLvl w:val="1"/>
        <w:rPr>
          <w:rFonts w:ascii="宋体" w:hAnsi="宋体" w:eastAsia="宋体" w:cs="宋体"/>
          <w:sz w:val="36"/>
          <w:szCs w:val="36"/>
        </w:rPr>
      </w:pPr>
      <w:bookmarkStart w:id="103" w:name="bookmark51"/>
      <w:bookmarkEnd w:id="103"/>
      <w:r>
        <w:rPr>
          <w:rFonts w:ascii="宋体" w:hAnsi="宋体" w:eastAsia="宋体" w:cs="宋体"/>
          <w:spacing w:val="2"/>
          <w:sz w:val="36"/>
          <w:szCs w:val="36"/>
        </w:rPr>
        <w:t xml:space="preserve">1.49  </w:t>
      </w:r>
      <w:r>
        <w:rPr>
          <w:rFonts w:ascii="宋体" w:hAnsi="宋体" w:eastAsia="宋体" w:cs="宋体"/>
          <w:b/>
          <w:bCs/>
          <w:spacing w:val="2"/>
          <w:sz w:val="36"/>
          <w:szCs w:val="36"/>
        </w:rPr>
        <w:t>设计定型审查意见书</w:t>
      </w:r>
    </w:p>
    <w:p w14:paraId="35445105">
      <w:pPr>
        <w:pStyle w:val="2"/>
        <w:spacing w:line="361" w:lineRule="auto"/>
      </w:pPr>
    </w:p>
    <w:p w14:paraId="50FC4552">
      <w:pPr>
        <w:spacing w:before="88" w:line="262" w:lineRule="auto"/>
        <w:ind w:right="2030" w:firstLine="570"/>
        <w:rPr>
          <w:rFonts w:ascii="黑体" w:hAnsi="黑体" w:eastAsia="黑体" w:cs="黑体"/>
          <w:sz w:val="27"/>
          <w:szCs w:val="27"/>
        </w:rPr>
      </w:pPr>
      <w:r>
        <w:rPr>
          <w:rFonts w:ascii="楷体" w:hAnsi="楷体" w:eastAsia="楷体" w:cs="楷体"/>
          <w:spacing w:val="-5"/>
          <w:sz w:val="27"/>
          <w:szCs w:val="27"/>
        </w:rPr>
        <w:t>按照</w:t>
      </w:r>
      <w:r>
        <w:rPr>
          <w:rFonts w:ascii="楷体" w:hAnsi="楷体" w:eastAsia="楷体" w:cs="楷体"/>
          <w:spacing w:val="-78"/>
          <w:sz w:val="27"/>
          <w:szCs w:val="27"/>
        </w:rPr>
        <w:t xml:space="preserve"> </w:t>
      </w:r>
      <w:r>
        <w:rPr>
          <w:rFonts w:ascii="Times New Roman" w:hAnsi="Times New Roman" w:eastAsia="Times New Roman" w:cs="Times New Roman"/>
          <w:spacing w:val="-5"/>
          <w:sz w:val="27"/>
          <w:szCs w:val="27"/>
        </w:rPr>
        <w:t>GJB</w:t>
      </w:r>
      <w:r>
        <w:rPr>
          <w:rFonts w:ascii="Times New Roman" w:hAnsi="Times New Roman" w:eastAsia="Times New Roman" w:cs="Times New Roman"/>
          <w:spacing w:val="32"/>
          <w:sz w:val="27"/>
          <w:szCs w:val="27"/>
        </w:rPr>
        <w:t xml:space="preserve"> </w:t>
      </w:r>
      <w:r>
        <w:rPr>
          <w:rFonts w:ascii="Times New Roman" w:hAnsi="Times New Roman" w:eastAsia="Times New Roman" w:cs="Times New Roman"/>
          <w:spacing w:val="-5"/>
          <w:sz w:val="27"/>
          <w:szCs w:val="27"/>
        </w:rPr>
        <w:t>1362A—2007</w:t>
      </w:r>
      <w:r>
        <w:rPr>
          <w:rFonts w:ascii="宋体" w:hAnsi="宋体" w:eastAsia="宋体" w:cs="宋体"/>
          <w:spacing w:val="-5"/>
          <w:sz w:val="27"/>
          <w:szCs w:val="27"/>
        </w:rPr>
        <w:t>《</w:t>
      </w:r>
      <w:r>
        <w:rPr>
          <w:rFonts w:ascii="楷体" w:hAnsi="楷体" w:eastAsia="楷体" w:cs="楷体"/>
          <w:spacing w:val="-5"/>
          <w:sz w:val="27"/>
          <w:szCs w:val="27"/>
        </w:rPr>
        <w:t>军工产品定型程序和要求》</w:t>
      </w:r>
      <w:r>
        <w:rPr>
          <w:rFonts w:ascii="楷体" w:hAnsi="楷体" w:eastAsia="楷体" w:cs="楷体"/>
          <w:spacing w:val="-6"/>
          <w:sz w:val="27"/>
          <w:szCs w:val="27"/>
        </w:rPr>
        <w:t>编写。</w:t>
      </w:r>
      <w:r>
        <w:rPr>
          <w:rFonts w:ascii="楷体" w:hAnsi="楷体" w:eastAsia="楷体" w:cs="楷体"/>
          <w:sz w:val="27"/>
          <w:szCs w:val="27"/>
        </w:rPr>
        <w:t xml:space="preserve"> </w:t>
      </w:r>
      <w:r>
        <w:rPr>
          <w:rFonts w:ascii="黑体" w:hAnsi="黑体" w:eastAsia="黑体" w:cs="黑体"/>
          <w:spacing w:val="-3"/>
          <w:sz w:val="27"/>
          <w:szCs w:val="27"/>
        </w:rPr>
        <w:t>审查工作简况</w:t>
      </w:r>
    </w:p>
    <w:p w14:paraId="75A59F75">
      <w:pPr>
        <w:spacing w:before="49" w:line="269" w:lineRule="auto"/>
        <w:ind w:firstLine="570"/>
        <w:rPr>
          <w:rFonts w:ascii="宋体" w:hAnsi="宋体" w:eastAsia="宋体" w:cs="宋体"/>
          <w:sz w:val="27"/>
          <w:szCs w:val="27"/>
        </w:rPr>
      </w:pPr>
      <w:r>
        <w:rPr>
          <w:rFonts w:ascii="宋体" w:hAnsi="宋体" w:eastAsia="宋体" w:cs="宋体"/>
          <w:spacing w:val="-8"/>
          <w:sz w:val="27"/>
          <w:szCs w:val="27"/>
        </w:rPr>
        <w:t>主要包括组织设计定型的依据，审查的时间、地点，参加审查的单位和人数，</w:t>
      </w:r>
      <w:r>
        <w:rPr>
          <w:rFonts w:ascii="宋体" w:hAnsi="宋体" w:eastAsia="宋体" w:cs="宋体"/>
          <w:spacing w:val="6"/>
          <w:sz w:val="27"/>
          <w:szCs w:val="27"/>
        </w:rPr>
        <w:t xml:space="preserve"> </w:t>
      </w:r>
      <w:r>
        <w:rPr>
          <w:rFonts w:ascii="宋体" w:hAnsi="宋体" w:eastAsia="宋体" w:cs="宋体"/>
          <w:spacing w:val="-1"/>
          <w:sz w:val="27"/>
          <w:szCs w:val="27"/>
        </w:rPr>
        <w:t>审查工作内容。</w:t>
      </w:r>
    </w:p>
    <w:p w14:paraId="01FAFF06">
      <w:pPr>
        <w:spacing w:before="41" w:line="222" w:lineRule="auto"/>
        <w:rPr>
          <w:rFonts w:ascii="黑体" w:hAnsi="黑体" w:eastAsia="黑体" w:cs="黑体"/>
          <w:sz w:val="24"/>
          <w:szCs w:val="24"/>
        </w:rPr>
      </w:pPr>
      <w:r>
        <w:rPr>
          <w:rFonts w:ascii="黑体" w:hAnsi="黑体" w:eastAsia="黑体" w:cs="黑体"/>
          <w:spacing w:val="25"/>
          <w:sz w:val="24"/>
          <w:szCs w:val="24"/>
        </w:rPr>
        <w:t>1</w:t>
      </w:r>
      <w:r>
        <w:rPr>
          <w:rFonts w:ascii="黑体" w:hAnsi="黑体" w:eastAsia="黑体" w:cs="黑体"/>
          <w:spacing w:val="47"/>
          <w:sz w:val="24"/>
          <w:szCs w:val="24"/>
        </w:rPr>
        <w:t xml:space="preserve">  </w:t>
      </w:r>
      <w:r>
        <w:rPr>
          <w:rFonts w:ascii="黑体" w:hAnsi="黑体" w:eastAsia="黑体" w:cs="黑体"/>
          <w:spacing w:val="25"/>
          <w:sz w:val="24"/>
          <w:szCs w:val="24"/>
        </w:rPr>
        <w:t>产品简介</w:t>
      </w:r>
    </w:p>
    <w:p w14:paraId="1B6C8AB9">
      <w:pPr>
        <w:spacing w:before="123" w:line="222" w:lineRule="auto"/>
        <w:rPr>
          <w:rFonts w:ascii="黑体" w:hAnsi="黑体" w:eastAsia="黑体" w:cs="黑体"/>
          <w:sz w:val="24"/>
          <w:szCs w:val="24"/>
        </w:rPr>
      </w:pPr>
      <w:r>
        <w:rPr>
          <w:rFonts w:ascii="黑体" w:hAnsi="黑体" w:eastAsia="黑体" w:cs="黑体"/>
          <w:spacing w:val="21"/>
          <w:sz w:val="24"/>
          <w:szCs w:val="24"/>
        </w:rPr>
        <w:t>1.1</w:t>
      </w:r>
      <w:r>
        <w:rPr>
          <w:rFonts w:ascii="黑体" w:hAnsi="黑体" w:eastAsia="黑体" w:cs="黑体"/>
          <w:spacing w:val="2"/>
          <w:sz w:val="24"/>
          <w:szCs w:val="24"/>
        </w:rPr>
        <w:t xml:space="preserve">   </w:t>
      </w:r>
      <w:r>
        <w:rPr>
          <w:rFonts w:ascii="黑体" w:hAnsi="黑体" w:eastAsia="黑体" w:cs="黑体"/>
          <w:spacing w:val="21"/>
          <w:sz w:val="24"/>
          <w:szCs w:val="24"/>
        </w:rPr>
        <w:t>产品主要用途</w:t>
      </w:r>
    </w:p>
    <w:p w14:paraId="1C70FD03">
      <w:pPr>
        <w:spacing w:before="111" w:line="219" w:lineRule="auto"/>
        <w:ind w:left="570"/>
        <w:rPr>
          <w:rFonts w:ascii="宋体" w:hAnsi="宋体" w:eastAsia="宋体" w:cs="宋体"/>
          <w:sz w:val="27"/>
          <w:szCs w:val="27"/>
        </w:rPr>
      </w:pPr>
      <w:r>
        <w:rPr>
          <w:rFonts w:ascii="宋体" w:hAnsi="宋体" w:eastAsia="宋体" w:cs="宋体"/>
          <w:spacing w:val="-8"/>
          <w:sz w:val="27"/>
          <w:szCs w:val="27"/>
        </w:rPr>
        <w:t>简要说明产品(产品型号、名称)的主要用途，包括作战使命、主要功能等。</w:t>
      </w:r>
    </w:p>
    <w:p w14:paraId="57043052">
      <w:pPr>
        <w:spacing w:before="60" w:line="222" w:lineRule="auto"/>
        <w:rPr>
          <w:rFonts w:ascii="黑体" w:hAnsi="黑体" w:eastAsia="黑体" w:cs="黑体"/>
          <w:sz w:val="25"/>
          <w:szCs w:val="25"/>
        </w:rPr>
      </w:pPr>
      <w:r>
        <w:rPr>
          <w:rFonts w:ascii="黑体" w:hAnsi="黑体" w:eastAsia="黑体" w:cs="黑体"/>
          <w:spacing w:val="14"/>
          <w:sz w:val="25"/>
          <w:szCs w:val="25"/>
        </w:rPr>
        <w:t>1.2</w:t>
      </w:r>
      <w:r>
        <w:rPr>
          <w:rFonts w:ascii="黑体" w:hAnsi="黑体" w:eastAsia="黑体" w:cs="黑体"/>
          <w:spacing w:val="53"/>
          <w:sz w:val="25"/>
          <w:szCs w:val="25"/>
        </w:rPr>
        <w:t xml:space="preserve">  </w:t>
      </w:r>
      <w:r>
        <w:rPr>
          <w:rFonts w:ascii="黑体" w:hAnsi="黑体" w:eastAsia="黑体" w:cs="黑体"/>
          <w:spacing w:val="14"/>
          <w:sz w:val="25"/>
          <w:szCs w:val="25"/>
        </w:rPr>
        <w:t>产品主要组成</w:t>
      </w:r>
    </w:p>
    <w:p w14:paraId="2A8099F5">
      <w:pPr>
        <w:spacing w:before="129" w:line="219" w:lineRule="auto"/>
        <w:ind w:left="570"/>
        <w:rPr>
          <w:rFonts w:ascii="宋体" w:hAnsi="宋体" w:eastAsia="宋体" w:cs="宋体"/>
          <w:sz w:val="27"/>
          <w:szCs w:val="27"/>
        </w:rPr>
      </w:pPr>
      <w:r>
        <w:rPr>
          <w:rFonts w:ascii="宋体" w:hAnsi="宋体" w:eastAsia="宋体" w:cs="宋体"/>
          <w:sz w:val="27"/>
          <w:szCs w:val="27"/>
        </w:rPr>
        <w:t>简要说明产品(产品型号、名称)的主要组成(部件组成或</w:t>
      </w:r>
      <w:r>
        <w:rPr>
          <w:rFonts w:ascii="宋体" w:hAnsi="宋体" w:eastAsia="宋体" w:cs="宋体"/>
          <w:spacing w:val="-1"/>
          <w:sz w:val="27"/>
          <w:szCs w:val="27"/>
        </w:rPr>
        <w:t>功能组成)。</w:t>
      </w:r>
    </w:p>
    <w:p w14:paraId="319AC842">
      <w:pPr>
        <w:pStyle w:val="2"/>
        <w:spacing w:before="11" w:line="368" w:lineRule="exact"/>
        <w:rPr>
          <w:rFonts w:ascii="黑体" w:hAnsi="黑体" w:eastAsia="黑体" w:cs="黑体"/>
          <w:sz w:val="27"/>
          <w:szCs w:val="27"/>
        </w:rPr>
      </w:pPr>
      <w:r>
        <w:rPr>
          <w:position w:val="1"/>
          <w:sz w:val="27"/>
          <w:szCs w:val="27"/>
        </w:rPr>
        <w:t>1.3</w:t>
      </w:r>
      <w:r>
        <w:rPr>
          <w:spacing w:val="16"/>
          <w:position w:val="1"/>
          <w:sz w:val="27"/>
          <w:szCs w:val="27"/>
        </w:rPr>
        <w:t xml:space="preserve">    </w:t>
      </w:r>
      <w:r>
        <w:rPr>
          <w:rFonts w:ascii="黑体" w:hAnsi="黑体" w:eastAsia="黑体" w:cs="黑体"/>
          <w:position w:val="1"/>
          <w:sz w:val="27"/>
          <w:szCs w:val="27"/>
        </w:rPr>
        <w:t>战术技术特点</w:t>
      </w:r>
    </w:p>
    <w:p w14:paraId="257BC765">
      <w:pPr>
        <w:spacing w:before="121" w:line="219" w:lineRule="auto"/>
        <w:ind w:left="570"/>
        <w:rPr>
          <w:rFonts w:ascii="宋体" w:hAnsi="宋体" w:eastAsia="宋体" w:cs="宋体"/>
          <w:sz w:val="27"/>
          <w:szCs w:val="27"/>
        </w:rPr>
      </w:pPr>
      <w:r>
        <w:rPr>
          <w:rFonts w:ascii="宋体" w:hAnsi="宋体" w:eastAsia="宋体" w:cs="宋体"/>
          <w:spacing w:val="-5"/>
          <w:sz w:val="27"/>
          <w:szCs w:val="27"/>
        </w:rPr>
        <w:t>简要说明产品的战术技术特点，含关键技术的应用、技术体制等。</w:t>
      </w:r>
    </w:p>
    <w:p w14:paraId="369E696A">
      <w:pPr>
        <w:spacing w:line="219" w:lineRule="auto"/>
        <w:rPr>
          <w:rFonts w:ascii="宋体" w:hAnsi="宋体" w:eastAsia="宋体" w:cs="宋体"/>
          <w:sz w:val="27"/>
          <w:szCs w:val="27"/>
        </w:rPr>
        <w:sectPr>
          <w:footerReference r:id="rId158" w:type="default"/>
          <w:pgSz w:w="11910" w:h="17130"/>
          <w:pgMar w:top="400" w:right="1174" w:bottom="1640" w:left="1249" w:header="0" w:footer="1432" w:gutter="0"/>
          <w:cols w:space="720" w:num="1"/>
        </w:sectPr>
      </w:pPr>
    </w:p>
    <w:p w14:paraId="3D4A6BAE">
      <w:pPr>
        <w:pStyle w:val="2"/>
        <w:spacing w:line="262" w:lineRule="auto"/>
      </w:pPr>
    </w:p>
    <w:p w14:paraId="47057AC4">
      <w:pPr>
        <w:pStyle w:val="2"/>
        <w:spacing w:line="262" w:lineRule="auto"/>
      </w:pPr>
    </w:p>
    <w:p w14:paraId="132F657F">
      <w:pPr>
        <w:pStyle w:val="2"/>
        <w:spacing w:line="262" w:lineRule="auto"/>
      </w:pPr>
    </w:p>
    <w:p w14:paraId="7A1C7AFA">
      <w:pPr>
        <w:pStyle w:val="2"/>
        <w:spacing w:line="263" w:lineRule="auto"/>
      </w:pPr>
    </w:p>
    <w:p w14:paraId="57AC17B2">
      <w:pPr>
        <w:spacing w:before="78" w:line="221" w:lineRule="auto"/>
        <w:rPr>
          <w:rFonts w:ascii="黑体" w:hAnsi="黑体" w:eastAsia="黑体" w:cs="黑体"/>
          <w:sz w:val="24"/>
          <w:szCs w:val="24"/>
        </w:rPr>
      </w:pPr>
      <w:r>
        <w:rPr>
          <w:rFonts w:ascii="黑体" w:hAnsi="黑体" w:eastAsia="黑体" w:cs="黑体"/>
          <w:spacing w:val="20"/>
          <w:sz w:val="24"/>
          <w:szCs w:val="24"/>
        </w:rPr>
        <w:t>2</w:t>
      </w:r>
      <w:r>
        <w:rPr>
          <w:rFonts w:ascii="黑体" w:hAnsi="黑体" w:eastAsia="黑体" w:cs="黑体"/>
          <w:spacing w:val="36"/>
          <w:sz w:val="24"/>
          <w:szCs w:val="24"/>
        </w:rPr>
        <w:t xml:space="preserve">  </w:t>
      </w:r>
      <w:r>
        <w:rPr>
          <w:rFonts w:ascii="黑体" w:hAnsi="黑体" w:eastAsia="黑体" w:cs="黑体"/>
          <w:b/>
          <w:bCs/>
          <w:spacing w:val="20"/>
          <w:sz w:val="24"/>
          <w:szCs w:val="24"/>
        </w:rPr>
        <w:t>产品研制、设计定型试验概况</w:t>
      </w:r>
    </w:p>
    <w:p w14:paraId="2BA4E619">
      <w:pPr>
        <w:spacing w:before="79" w:line="289" w:lineRule="auto"/>
        <w:ind w:right="16" w:firstLine="570"/>
        <w:rPr>
          <w:rFonts w:ascii="宋体" w:hAnsi="宋体" w:eastAsia="宋体" w:cs="宋体"/>
          <w:sz w:val="27"/>
          <w:szCs w:val="27"/>
        </w:rPr>
      </w:pPr>
      <w:r>
        <w:rPr>
          <w:rFonts w:ascii="宋体" w:hAnsi="宋体" w:eastAsia="宋体" w:cs="宋体"/>
          <w:spacing w:val="5"/>
          <w:sz w:val="27"/>
          <w:szCs w:val="27"/>
        </w:rPr>
        <w:t>按照产品研制过程，说明产品研制历程(主要工作及完成时间)和设计定型</w:t>
      </w:r>
      <w:r>
        <w:rPr>
          <w:rFonts w:ascii="宋体" w:hAnsi="宋体" w:eastAsia="宋体" w:cs="宋体"/>
          <w:spacing w:val="12"/>
          <w:sz w:val="27"/>
          <w:szCs w:val="27"/>
        </w:rPr>
        <w:t xml:space="preserve"> </w:t>
      </w:r>
      <w:r>
        <w:rPr>
          <w:rFonts w:ascii="宋体" w:hAnsi="宋体" w:eastAsia="宋体" w:cs="宋体"/>
          <w:spacing w:val="-11"/>
          <w:sz w:val="27"/>
          <w:szCs w:val="27"/>
        </w:rPr>
        <w:t>试验情况(试验依据，试验地点、试验时间、试验结论)。</w:t>
      </w:r>
    </w:p>
    <w:p w14:paraId="67D15995">
      <w:pPr>
        <w:spacing w:line="221" w:lineRule="auto"/>
        <w:rPr>
          <w:rFonts w:ascii="黑体" w:hAnsi="黑体" w:eastAsia="黑体" w:cs="黑体"/>
          <w:sz w:val="27"/>
          <w:szCs w:val="27"/>
        </w:rPr>
      </w:pPr>
      <w:r>
        <w:rPr>
          <w:rFonts w:ascii="黑体" w:hAnsi="黑体" w:eastAsia="黑体" w:cs="黑体"/>
          <w:spacing w:val="1"/>
          <w:sz w:val="27"/>
          <w:szCs w:val="27"/>
        </w:rPr>
        <w:t xml:space="preserve">3  </w:t>
      </w:r>
      <w:r>
        <w:rPr>
          <w:rFonts w:ascii="黑体" w:hAnsi="黑体" w:eastAsia="黑体" w:cs="黑体"/>
          <w:b/>
          <w:bCs/>
          <w:spacing w:val="1"/>
          <w:sz w:val="27"/>
          <w:szCs w:val="27"/>
        </w:rPr>
        <w:t>实际达到的性能和批准要求的对比表</w:t>
      </w:r>
    </w:p>
    <w:p w14:paraId="1E09275F">
      <w:pPr>
        <w:spacing w:before="78" w:line="286" w:lineRule="auto"/>
        <w:ind w:right="31" w:firstLine="570"/>
        <w:jc w:val="both"/>
        <w:rPr>
          <w:rFonts w:ascii="宋体" w:hAnsi="宋体" w:eastAsia="宋体" w:cs="宋体"/>
          <w:sz w:val="27"/>
          <w:szCs w:val="27"/>
        </w:rPr>
      </w:pPr>
      <w:r>
        <w:rPr>
          <w:rFonts w:ascii="宋体" w:hAnsi="宋体" w:eastAsia="宋体" w:cs="宋体"/>
          <w:spacing w:val="5"/>
          <w:sz w:val="27"/>
          <w:szCs w:val="27"/>
        </w:rPr>
        <w:t>以表格的形式对比说明批准(含正式调整)的战术技</w:t>
      </w:r>
      <w:r>
        <w:rPr>
          <w:rFonts w:ascii="宋体" w:hAnsi="宋体" w:eastAsia="宋体" w:cs="宋体"/>
          <w:spacing w:val="4"/>
          <w:sz w:val="27"/>
          <w:szCs w:val="27"/>
        </w:rPr>
        <w:t>术指标和实际达到的战</w:t>
      </w:r>
      <w:r>
        <w:rPr>
          <w:rFonts w:ascii="宋体" w:hAnsi="宋体" w:eastAsia="宋体" w:cs="宋体"/>
          <w:sz w:val="27"/>
          <w:szCs w:val="27"/>
        </w:rPr>
        <w:t xml:space="preserve"> </w:t>
      </w:r>
      <w:r>
        <w:rPr>
          <w:rFonts w:ascii="宋体" w:hAnsi="宋体" w:eastAsia="宋体" w:cs="宋体"/>
          <w:spacing w:val="-10"/>
          <w:sz w:val="27"/>
          <w:szCs w:val="27"/>
        </w:rPr>
        <w:t>术技术性能。含产品可靠性、维修性、测试性、保障性、安全性要求和实际达到的</w:t>
      </w:r>
      <w:r>
        <w:rPr>
          <w:rFonts w:ascii="宋体" w:hAnsi="宋体" w:eastAsia="宋体" w:cs="宋体"/>
          <w:spacing w:val="9"/>
          <w:sz w:val="27"/>
          <w:szCs w:val="27"/>
        </w:rPr>
        <w:t xml:space="preserve"> </w:t>
      </w:r>
      <w:r>
        <w:rPr>
          <w:rFonts w:ascii="宋体" w:hAnsi="宋体" w:eastAsia="宋体" w:cs="宋体"/>
          <w:spacing w:val="5"/>
          <w:sz w:val="27"/>
          <w:szCs w:val="27"/>
        </w:rPr>
        <w:t>性能。战术技术性能指标对照表见表1.13。表格填写说明见本书1.44《研制总</w:t>
      </w:r>
      <w:r>
        <w:rPr>
          <w:rFonts w:ascii="宋体" w:hAnsi="宋体" w:eastAsia="宋体" w:cs="宋体"/>
          <w:spacing w:val="2"/>
          <w:sz w:val="27"/>
          <w:szCs w:val="27"/>
        </w:rPr>
        <w:t xml:space="preserve"> </w:t>
      </w:r>
      <w:r>
        <w:rPr>
          <w:rFonts w:ascii="宋体" w:hAnsi="宋体" w:eastAsia="宋体" w:cs="宋体"/>
          <w:spacing w:val="3"/>
          <w:sz w:val="27"/>
          <w:szCs w:val="27"/>
        </w:rPr>
        <w:t>结》编制说明第9章内容。</w:t>
      </w:r>
    </w:p>
    <w:p w14:paraId="307B190B">
      <w:pPr>
        <w:spacing w:before="13" w:line="220" w:lineRule="auto"/>
        <w:ind w:left="2609"/>
        <w:rPr>
          <w:rFonts w:ascii="仿宋" w:hAnsi="仿宋" w:eastAsia="仿宋" w:cs="仿宋"/>
          <w:sz w:val="24"/>
          <w:szCs w:val="24"/>
        </w:rPr>
      </w:pPr>
      <w:r>
        <w:rPr>
          <w:rFonts w:ascii="仿宋" w:hAnsi="仿宋" w:eastAsia="仿宋" w:cs="仿宋"/>
          <w:spacing w:val="24"/>
          <w:sz w:val="24"/>
          <w:szCs w:val="24"/>
        </w:rPr>
        <w:t>表1</w:t>
      </w:r>
      <w:r>
        <w:rPr>
          <w:rFonts w:ascii="仿宋" w:hAnsi="仿宋" w:eastAsia="仿宋" w:cs="仿宋"/>
          <w:spacing w:val="-56"/>
          <w:sz w:val="24"/>
          <w:szCs w:val="24"/>
        </w:rPr>
        <w:t xml:space="preserve"> </w:t>
      </w:r>
      <w:r>
        <w:rPr>
          <w:rFonts w:ascii="仿宋" w:hAnsi="仿宋" w:eastAsia="仿宋" w:cs="仿宋"/>
          <w:spacing w:val="24"/>
          <w:sz w:val="24"/>
          <w:szCs w:val="24"/>
        </w:rPr>
        <w:t>.</w:t>
      </w:r>
      <w:r>
        <w:rPr>
          <w:rFonts w:ascii="仿宋" w:hAnsi="仿宋" w:eastAsia="仿宋" w:cs="仿宋"/>
          <w:spacing w:val="-48"/>
          <w:sz w:val="24"/>
          <w:szCs w:val="24"/>
        </w:rPr>
        <w:t xml:space="preserve"> </w:t>
      </w:r>
      <w:r>
        <w:rPr>
          <w:rFonts w:ascii="仿宋" w:hAnsi="仿宋" w:eastAsia="仿宋" w:cs="仿宋"/>
          <w:spacing w:val="24"/>
          <w:sz w:val="24"/>
          <w:szCs w:val="24"/>
        </w:rPr>
        <w:t>13  战术技术性能指标对照表</w:t>
      </w:r>
    </w:p>
    <w:p w14:paraId="54295E3D">
      <w:pPr>
        <w:spacing w:line="134" w:lineRule="exact"/>
      </w:pPr>
    </w:p>
    <w:tbl>
      <w:tblPr>
        <w:tblStyle w:val="5"/>
        <w:tblW w:w="936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2497"/>
        <w:gridCol w:w="1678"/>
        <w:gridCol w:w="1678"/>
        <w:gridCol w:w="1468"/>
        <w:gridCol w:w="994"/>
      </w:tblGrid>
      <w:tr w14:paraId="5BED2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054" w:type="dxa"/>
            <w:vAlign w:val="top"/>
          </w:tcPr>
          <w:p w14:paraId="382A2D3E">
            <w:pPr>
              <w:spacing w:before="94" w:line="221" w:lineRule="auto"/>
              <w:ind w:left="265"/>
              <w:rPr>
                <w:rFonts w:ascii="宋体" w:hAnsi="宋体" w:eastAsia="宋体" w:cs="宋体"/>
                <w:sz w:val="21"/>
                <w:szCs w:val="21"/>
              </w:rPr>
            </w:pPr>
            <w:r>
              <w:rPr>
                <w:rFonts w:ascii="宋体" w:hAnsi="宋体" w:eastAsia="宋体" w:cs="宋体"/>
                <w:spacing w:val="6"/>
                <w:sz w:val="21"/>
                <w:szCs w:val="21"/>
              </w:rPr>
              <w:t>序号</w:t>
            </w:r>
          </w:p>
        </w:tc>
        <w:tc>
          <w:tcPr>
            <w:tcW w:w="2497" w:type="dxa"/>
            <w:vAlign w:val="top"/>
          </w:tcPr>
          <w:p w14:paraId="79A90DBD">
            <w:pPr>
              <w:spacing w:before="94" w:line="220" w:lineRule="auto"/>
              <w:ind w:left="960"/>
              <w:rPr>
                <w:rFonts w:ascii="宋体" w:hAnsi="宋体" w:eastAsia="宋体" w:cs="宋体"/>
                <w:sz w:val="21"/>
                <w:szCs w:val="21"/>
              </w:rPr>
            </w:pPr>
            <w:r>
              <w:rPr>
                <w:rFonts w:ascii="宋体" w:hAnsi="宋体" w:eastAsia="宋体" w:cs="宋体"/>
                <w:spacing w:val="-6"/>
                <w:sz w:val="21"/>
                <w:szCs w:val="21"/>
              </w:rPr>
              <w:t>项</w:t>
            </w:r>
            <w:r>
              <w:rPr>
                <w:rFonts w:ascii="宋体" w:hAnsi="宋体" w:eastAsia="宋体" w:cs="宋体"/>
                <w:spacing w:val="14"/>
                <w:sz w:val="21"/>
                <w:szCs w:val="21"/>
              </w:rPr>
              <w:t xml:space="preserve">  </w:t>
            </w:r>
            <w:r>
              <w:rPr>
                <w:rFonts w:ascii="宋体" w:hAnsi="宋体" w:eastAsia="宋体" w:cs="宋体"/>
                <w:spacing w:val="-6"/>
                <w:sz w:val="21"/>
                <w:szCs w:val="21"/>
              </w:rPr>
              <w:t>目</w:t>
            </w:r>
          </w:p>
        </w:tc>
        <w:tc>
          <w:tcPr>
            <w:tcW w:w="1678" w:type="dxa"/>
            <w:vAlign w:val="top"/>
          </w:tcPr>
          <w:p w14:paraId="0DB263D0">
            <w:pPr>
              <w:spacing w:before="94" w:line="220" w:lineRule="auto"/>
              <w:ind w:left="413"/>
              <w:rPr>
                <w:rFonts w:ascii="宋体" w:hAnsi="宋体" w:eastAsia="宋体" w:cs="宋体"/>
                <w:sz w:val="21"/>
                <w:szCs w:val="21"/>
              </w:rPr>
            </w:pPr>
            <w:r>
              <w:rPr>
                <w:rFonts w:ascii="宋体" w:hAnsi="宋体" w:eastAsia="宋体" w:cs="宋体"/>
                <w:spacing w:val="2"/>
                <w:sz w:val="21"/>
                <w:szCs w:val="21"/>
              </w:rPr>
              <w:t>指标要求</w:t>
            </w:r>
          </w:p>
        </w:tc>
        <w:tc>
          <w:tcPr>
            <w:tcW w:w="1678" w:type="dxa"/>
            <w:vAlign w:val="top"/>
          </w:tcPr>
          <w:p w14:paraId="0524698E">
            <w:pPr>
              <w:spacing w:before="94" w:line="220" w:lineRule="auto"/>
              <w:ind w:left="315"/>
              <w:rPr>
                <w:rFonts w:ascii="宋体" w:hAnsi="宋体" w:eastAsia="宋体" w:cs="宋体"/>
                <w:sz w:val="21"/>
                <w:szCs w:val="21"/>
              </w:rPr>
            </w:pPr>
            <w:r>
              <w:rPr>
                <w:rFonts w:ascii="宋体" w:hAnsi="宋体" w:eastAsia="宋体" w:cs="宋体"/>
                <w:spacing w:val="-2"/>
                <w:sz w:val="21"/>
                <w:szCs w:val="21"/>
              </w:rPr>
              <w:t>达到的情况</w:t>
            </w:r>
          </w:p>
        </w:tc>
        <w:tc>
          <w:tcPr>
            <w:tcW w:w="1468" w:type="dxa"/>
            <w:vAlign w:val="top"/>
          </w:tcPr>
          <w:p w14:paraId="3EEA322A">
            <w:pPr>
              <w:spacing w:before="94" w:line="221" w:lineRule="auto"/>
              <w:ind w:left="458"/>
              <w:rPr>
                <w:rFonts w:ascii="宋体" w:hAnsi="宋体" w:eastAsia="宋体" w:cs="宋体"/>
                <w:sz w:val="21"/>
                <w:szCs w:val="21"/>
              </w:rPr>
            </w:pPr>
            <w:r>
              <w:rPr>
                <w:rFonts w:ascii="宋体" w:hAnsi="宋体" w:eastAsia="宋体" w:cs="宋体"/>
                <w:spacing w:val="-7"/>
                <w:sz w:val="21"/>
                <w:szCs w:val="21"/>
              </w:rPr>
              <w:t>结</w:t>
            </w:r>
            <w:r>
              <w:rPr>
                <w:rFonts w:ascii="宋体" w:hAnsi="宋体" w:eastAsia="宋体" w:cs="宋体"/>
                <w:spacing w:val="67"/>
                <w:sz w:val="21"/>
                <w:szCs w:val="21"/>
              </w:rPr>
              <w:t xml:space="preserve"> </w:t>
            </w:r>
            <w:r>
              <w:rPr>
                <w:rFonts w:ascii="宋体" w:hAnsi="宋体" w:eastAsia="宋体" w:cs="宋体"/>
                <w:spacing w:val="-7"/>
                <w:sz w:val="21"/>
                <w:szCs w:val="21"/>
              </w:rPr>
              <w:t>论</w:t>
            </w:r>
          </w:p>
        </w:tc>
        <w:tc>
          <w:tcPr>
            <w:tcW w:w="994" w:type="dxa"/>
            <w:vAlign w:val="top"/>
          </w:tcPr>
          <w:p w14:paraId="1171EE4D">
            <w:pPr>
              <w:spacing w:before="94" w:line="221" w:lineRule="auto"/>
              <w:ind w:left="300"/>
              <w:rPr>
                <w:rFonts w:ascii="宋体" w:hAnsi="宋体" w:eastAsia="宋体" w:cs="宋体"/>
                <w:sz w:val="21"/>
                <w:szCs w:val="21"/>
              </w:rPr>
            </w:pPr>
            <w:r>
              <w:rPr>
                <w:rFonts w:ascii="宋体" w:hAnsi="宋体" w:eastAsia="宋体" w:cs="宋体"/>
                <w:spacing w:val="5"/>
                <w:sz w:val="21"/>
                <w:szCs w:val="21"/>
              </w:rPr>
              <w:t>备注</w:t>
            </w:r>
          </w:p>
        </w:tc>
      </w:tr>
      <w:tr w14:paraId="78433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 w:hRule="atLeast"/>
        </w:trPr>
        <w:tc>
          <w:tcPr>
            <w:tcW w:w="1054" w:type="dxa"/>
            <w:vAlign w:val="top"/>
          </w:tcPr>
          <w:p w14:paraId="24D39E91">
            <w:pPr>
              <w:rPr>
                <w:rFonts w:ascii="Arial"/>
                <w:sz w:val="21"/>
              </w:rPr>
            </w:pPr>
          </w:p>
        </w:tc>
        <w:tc>
          <w:tcPr>
            <w:tcW w:w="2497" w:type="dxa"/>
            <w:vAlign w:val="top"/>
          </w:tcPr>
          <w:p w14:paraId="3CAB84DF">
            <w:pPr>
              <w:rPr>
                <w:rFonts w:ascii="Arial"/>
                <w:sz w:val="21"/>
              </w:rPr>
            </w:pPr>
          </w:p>
        </w:tc>
        <w:tc>
          <w:tcPr>
            <w:tcW w:w="1678" w:type="dxa"/>
            <w:vAlign w:val="top"/>
          </w:tcPr>
          <w:p w14:paraId="2046EE4B">
            <w:pPr>
              <w:rPr>
                <w:rFonts w:ascii="Arial"/>
                <w:sz w:val="21"/>
              </w:rPr>
            </w:pPr>
          </w:p>
        </w:tc>
        <w:tc>
          <w:tcPr>
            <w:tcW w:w="1678" w:type="dxa"/>
            <w:vAlign w:val="top"/>
          </w:tcPr>
          <w:p w14:paraId="4C90EEF8">
            <w:pPr>
              <w:rPr>
                <w:rFonts w:ascii="Arial"/>
                <w:sz w:val="21"/>
              </w:rPr>
            </w:pPr>
          </w:p>
        </w:tc>
        <w:tc>
          <w:tcPr>
            <w:tcW w:w="1468" w:type="dxa"/>
            <w:vAlign w:val="top"/>
          </w:tcPr>
          <w:p w14:paraId="13AB087D">
            <w:pPr>
              <w:rPr>
                <w:rFonts w:ascii="Arial"/>
                <w:sz w:val="21"/>
              </w:rPr>
            </w:pPr>
          </w:p>
        </w:tc>
        <w:tc>
          <w:tcPr>
            <w:tcW w:w="994" w:type="dxa"/>
            <w:vAlign w:val="top"/>
          </w:tcPr>
          <w:p w14:paraId="782E7E3B">
            <w:pPr>
              <w:rPr>
                <w:rFonts w:ascii="Arial"/>
                <w:sz w:val="21"/>
              </w:rPr>
            </w:pPr>
          </w:p>
        </w:tc>
      </w:tr>
      <w:tr w14:paraId="26E5C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54" w:type="dxa"/>
            <w:vAlign w:val="top"/>
          </w:tcPr>
          <w:p w14:paraId="2C6E87A9">
            <w:pPr>
              <w:rPr>
                <w:rFonts w:ascii="Arial"/>
                <w:sz w:val="21"/>
              </w:rPr>
            </w:pPr>
          </w:p>
        </w:tc>
        <w:tc>
          <w:tcPr>
            <w:tcW w:w="2497" w:type="dxa"/>
            <w:vAlign w:val="top"/>
          </w:tcPr>
          <w:p w14:paraId="60CAF16F">
            <w:pPr>
              <w:rPr>
                <w:rFonts w:ascii="Arial"/>
                <w:sz w:val="21"/>
              </w:rPr>
            </w:pPr>
          </w:p>
        </w:tc>
        <w:tc>
          <w:tcPr>
            <w:tcW w:w="1678" w:type="dxa"/>
            <w:vAlign w:val="top"/>
          </w:tcPr>
          <w:p w14:paraId="5A8F152B">
            <w:pPr>
              <w:rPr>
                <w:rFonts w:ascii="Arial"/>
                <w:sz w:val="21"/>
              </w:rPr>
            </w:pPr>
          </w:p>
        </w:tc>
        <w:tc>
          <w:tcPr>
            <w:tcW w:w="1678" w:type="dxa"/>
            <w:vAlign w:val="top"/>
          </w:tcPr>
          <w:p w14:paraId="7DA3C37C">
            <w:pPr>
              <w:rPr>
                <w:rFonts w:ascii="Arial"/>
                <w:sz w:val="21"/>
              </w:rPr>
            </w:pPr>
          </w:p>
        </w:tc>
        <w:tc>
          <w:tcPr>
            <w:tcW w:w="1468" w:type="dxa"/>
            <w:vAlign w:val="top"/>
          </w:tcPr>
          <w:p w14:paraId="63DD10DE">
            <w:pPr>
              <w:rPr>
                <w:rFonts w:ascii="Arial"/>
                <w:sz w:val="21"/>
              </w:rPr>
            </w:pPr>
          </w:p>
        </w:tc>
        <w:tc>
          <w:tcPr>
            <w:tcW w:w="994" w:type="dxa"/>
            <w:vAlign w:val="top"/>
          </w:tcPr>
          <w:p w14:paraId="659B86C1">
            <w:pPr>
              <w:rPr>
                <w:rFonts w:ascii="Arial"/>
                <w:sz w:val="21"/>
              </w:rPr>
            </w:pPr>
          </w:p>
        </w:tc>
      </w:tr>
    </w:tbl>
    <w:p w14:paraId="6F222607">
      <w:pPr>
        <w:spacing w:before="180" w:line="221"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存在问题的处理意见</w:t>
      </w:r>
    </w:p>
    <w:p w14:paraId="44177FF9">
      <w:pPr>
        <w:pStyle w:val="2"/>
        <w:spacing w:before="73" w:line="212" w:lineRule="auto"/>
        <w:rPr>
          <w:rFonts w:ascii="黑体" w:hAnsi="黑体" w:eastAsia="黑体" w:cs="黑体"/>
          <w:sz w:val="27"/>
          <w:szCs w:val="27"/>
        </w:rPr>
      </w:pPr>
      <w:r>
        <w:rPr>
          <w:spacing w:val="5"/>
          <w:sz w:val="27"/>
          <w:szCs w:val="27"/>
        </w:rPr>
        <w:t xml:space="preserve">4.X    </w:t>
      </w:r>
      <w:r>
        <w:rPr>
          <w:rFonts w:ascii="黑体" w:hAnsi="黑体" w:eastAsia="黑体" w:cs="黑体"/>
          <w:b/>
          <w:bCs/>
          <w:spacing w:val="5"/>
          <w:sz w:val="27"/>
          <w:szCs w:val="27"/>
        </w:rPr>
        <w:t>(产品存在问题</w:t>
      </w:r>
      <w:r>
        <w:rPr>
          <w:b/>
          <w:bCs/>
          <w:spacing w:val="5"/>
          <w:sz w:val="27"/>
          <w:szCs w:val="27"/>
        </w:rPr>
        <w:t>X)</w:t>
      </w:r>
      <w:r>
        <w:rPr>
          <w:b/>
          <w:bCs/>
          <w:spacing w:val="-10"/>
          <w:sz w:val="27"/>
          <w:szCs w:val="27"/>
        </w:rPr>
        <w:t xml:space="preserve"> </w:t>
      </w:r>
      <w:r>
        <w:rPr>
          <w:rFonts w:ascii="黑体" w:hAnsi="黑体" w:eastAsia="黑体" w:cs="黑体"/>
          <w:b/>
          <w:bCs/>
          <w:spacing w:val="5"/>
          <w:sz w:val="27"/>
          <w:szCs w:val="27"/>
        </w:rPr>
        <w:t>的处理意见</w:t>
      </w:r>
    </w:p>
    <w:p w14:paraId="131FD7B1">
      <w:pPr>
        <w:spacing w:before="149" w:line="269" w:lineRule="auto"/>
        <w:ind w:right="37" w:firstLine="570"/>
        <w:rPr>
          <w:rFonts w:ascii="宋体" w:hAnsi="宋体" w:eastAsia="宋体" w:cs="宋体"/>
          <w:sz w:val="27"/>
          <w:szCs w:val="27"/>
        </w:rPr>
      </w:pPr>
      <w:r>
        <w:rPr>
          <w:rFonts w:ascii="宋体" w:hAnsi="宋体" w:eastAsia="宋体" w:cs="宋体"/>
          <w:spacing w:val="-4"/>
          <w:sz w:val="27"/>
          <w:szCs w:val="27"/>
        </w:rPr>
        <w:t>说明产品尚存在的主要问题、对装备的影响，拟采取的解决措施及完成的期</w:t>
      </w:r>
      <w:r>
        <w:rPr>
          <w:rFonts w:ascii="宋体" w:hAnsi="宋体" w:eastAsia="宋体" w:cs="宋体"/>
          <w:spacing w:val="18"/>
          <w:sz w:val="27"/>
          <w:szCs w:val="27"/>
        </w:rPr>
        <w:t xml:space="preserve"> </w:t>
      </w:r>
      <w:r>
        <w:rPr>
          <w:rFonts w:ascii="宋体" w:hAnsi="宋体" w:eastAsia="宋体" w:cs="宋体"/>
          <w:spacing w:val="-8"/>
          <w:sz w:val="27"/>
          <w:szCs w:val="27"/>
        </w:rPr>
        <w:t>限，提出明确的处理意见。</w:t>
      </w:r>
    </w:p>
    <w:p w14:paraId="6E10D67B">
      <w:pPr>
        <w:pStyle w:val="2"/>
        <w:spacing w:before="18" w:line="222" w:lineRule="auto"/>
        <w:rPr>
          <w:rFonts w:ascii="黑体" w:hAnsi="黑体" w:eastAsia="黑体" w:cs="黑体"/>
          <w:sz w:val="27"/>
          <w:szCs w:val="27"/>
        </w:rPr>
      </w:pPr>
      <w:r>
        <w:rPr>
          <w:b/>
          <w:bCs/>
          <w:spacing w:val="2"/>
          <w:sz w:val="27"/>
          <w:szCs w:val="27"/>
        </w:rPr>
        <w:t>5</w:t>
      </w:r>
      <w:r>
        <w:rPr>
          <w:b/>
          <w:bCs/>
          <w:spacing w:val="18"/>
          <w:w w:val="101"/>
          <w:sz w:val="27"/>
          <w:szCs w:val="27"/>
        </w:rPr>
        <w:t xml:space="preserve">   </w:t>
      </w:r>
      <w:r>
        <w:rPr>
          <w:rFonts w:ascii="黑体" w:hAnsi="黑体" w:eastAsia="黑体" w:cs="黑体"/>
          <w:b/>
          <w:bCs/>
          <w:spacing w:val="2"/>
          <w:sz w:val="27"/>
          <w:szCs w:val="27"/>
        </w:rPr>
        <w:t>对生产定型条件和时间的建议</w:t>
      </w:r>
    </w:p>
    <w:p w14:paraId="1E67F421">
      <w:pPr>
        <w:spacing w:before="120" w:line="276" w:lineRule="auto"/>
        <w:ind w:right="22" w:firstLine="570"/>
        <w:rPr>
          <w:rFonts w:ascii="宋体" w:hAnsi="宋体" w:eastAsia="宋体" w:cs="宋体"/>
          <w:sz w:val="27"/>
          <w:szCs w:val="27"/>
        </w:rPr>
      </w:pPr>
      <w:r>
        <w:rPr>
          <w:rFonts w:ascii="宋体" w:hAnsi="宋体" w:eastAsia="宋体" w:cs="宋体"/>
          <w:spacing w:val="-3"/>
          <w:sz w:val="27"/>
          <w:szCs w:val="27"/>
        </w:rPr>
        <w:t>如产品需要生产定型，可根据产品设计定型技术状态和产品实际情况，提出</w:t>
      </w:r>
      <w:r>
        <w:rPr>
          <w:rFonts w:ascii="宋体" w:hAnsi="宋体" w:eastAsia="宋体" w:cs="宋体"/>
          <w:sz w:val="27"/>
          <w:szCs w:val="27"/>
        </w:rPr>
        <w:t xml:space="preserve"> </w:t>
      </w:r>
      <w:r>
        <w:rPr>
          <w:rFonts w:ascii="宋体" w:hAnsi="宋体" w:eastAsia="宋体" w:cs="宋体"/>
          <w:spacing w:val="3"/>
          <w:sz w:val="27"/>
          <w:szCs w:val="27"/>
        </w:rPr>
        <w:t>生产定型条件和时间的建议。</w:t>
      </w:r>
    </w:p>
    <w:p w14:paraId="58A2D348">
      <w:pPr>
        <w:spacing w:before="6" w:line="213" w:lineRule="auto"/>
        <w:rPr>
          <w:rFonts w:ascii="黑体" w:hAnsi="黑体" w:eastAsia="黑体" w:cs="黑体"/>
          <w:sz w:val="27"/>
          <w:szCs w:val="27"/>
        </w:rPr>
      </w:pPr>
      <w:r>
        <w:rPr>
          <w:rFonts w:ascii="黑体" w:hAnsi="黑体" w:eastAsia="黑体" w:cs="黑体"/>
          <w:spacing w:val="-3"/>
          <w:sz w:val="27"/>
          <w:szCs w:val="27"/>
        </w:rPr>
        <w:t xml:space="preserve">6  </w:t>
      </w:r>
      <w:r>
        <w:rPr>
          <w:rFonts w:ascii="黑体" w:hAnsi="黑体" w:eastAsia="黑体" w:cs="黑体"/>
          <w:b/>
          <w:bCs/>
          <w:spacing w:val="-3"/>
          <w:sz w:val="27"/>
          <w:szCs w:val="27"/>
        </w:rPr>
        <w:t>产品达到设计定型标准和要求的程度，审查结论意见</w:t>
      </w:r>
    </w:p>
    <w:p w14:paraId="37451F64">
      <w:pPr>
        <w:spacing w:before="126" w:line="284" w:lineRule="auto"/>
        <w:ind w:right="33" w:firstLine="570"/>
        <w:rPr>
          <w:rFonts w:ascii="宋体" w:hAnsi="宋体" w:eastAsia="宋体" w:cs="宋体"/>
          <w:sz w:val="27"/>
          <w:szCs w:val="27"/>
        </w:rPr>
      </w:pPr>
      <w:r>
        <w:rPr>
          <w:rFonts w:ascii="宋体" w:hAnsi="宋体" w:eastAsia="宋体" w:cs="宋体"/>
          <w:spacing w:val="4"/>
          <w:sz w:val="27"/>
          <w:szCs w:val="27"/>
        </w:rPr>
        <w:t>审查意见按照</w:t>
      </w:r>
      <w:r>
        <w:rPr>
          <w:rFonts w:ascii="Times New Roman" w:hAnsi="Times New Roman" w:eastAsia="Times New Roman" w:cs="Times New Roman"/>
          <w:sz w:val="27"/>
          <w:szCs w:val="27"/>
        </w:rPr>
        <w:t>GJB</w:t>
      </w:r>
      <w:r>
        <w:rPr>
          <w:rFonts w:ascii="Times New Roman" w:hAnsi="Times New Roman" w:eastAsia="Times New Roman" w:cs="Times New Roman"/>
          <w:spacing w:val="4"/>
          <w:sz w:val="27"/>
          <w:szCs w:val="27"/>
        </w:rPr>
        <w:t>1362A—2007</w:t>
      </w:r>
      <w:r>
        <w:rPr>
          <w:rFonts w:ascii="宋体" w:hAnsi="宋体" w:eastAsia="宋体" w:cs="宋体"/>
          <w:spacing w:val="4"/>
          <w:sz w:val="27"/>
          <w:szCs w:val="27"/>
        </w:rPr>
        <w:t>《军工产品定型程序和要求》第5.7.2条的</w:t>
      </w:r>
      <w:r>
        <w:rPr>
          <w:rFonts w:ascii="宋体" w:hAnsi="宋体" w:eastAsia="宋体" w:cs="宋体"/>
          <w:spacing w:val="11"/>
          <w:sz w:val="27"/>
          <w:szCs w:val="27"/>
        </w:rPr>
        <w:t xml:space="preserve"> </w:t>
      </w:r>
      <w:r>
        <w:rPr>
          <w:rFonts w:ascii="宋体" w:hAnsi="宋体" w:eastAsia="宋体" w:cs="宋体"/>
          <w:spacing w:val="-11"/>
          <w:sz w:val="27"/>
          <w:szCs w:val="27"/>
        </w:rPr>
        <w:t>规定给出，主要包括：</w:t>
      </w:r>
    </w:p>
    <w:p w14:paraId="4B796D6B">
      <w:pPr>
        <w:spacing w:before="5" w:line="294" w:lineRule="auto"/>
        <w:ind w:right="4" w:firstLine="570"/>
        <w:rPr>
          <w:rFonts w:ascii="仿宋" w:hAnsi="仿宋" w:eastAsia="仿宋" w:cs="仿宋"/>
          <w:sz w:val="25"/>
          <w:szCs w:val="25"/>
        </w:rPr>
      </w:pPr>
      <w:r>
        <w:rPr>
          <w:rFonts w:ascii="Times New Roman" w:hAnsi="Times New Roman" w:eastAsia="Times New Roman" w:cs="Times New Roman"/>
          <w:spacing w:val="22"/>
          <w:sz w:val="25"/>
          <w:szCs w:val="25"/>
        </w:rPr>
        <w:t xml:space="preserve">a)  </w:t>
      </w:r>
      <w:r>
        <w:rPr>
          <w:rFonts w:ascii="宋体" w:hAnsi="宋体" w:eastAsia="宋体" w:cs="宋体"/>
          <w:spacing w:val="22"/>
          <w:sz w:val="25"/>
          <w:szCs w:val="25"/>
        </w:rPr>
        <w:t>产品性能是否达到批准的研制总要求和规定的标</w:t>
      </w:r>
      <w:r>
        <w:rPr>
          <w:rFonts w:ascii="宋体" w:hAnsi="宋体" w:eastAsia="宋体" w:cs="宋体"/>
          <w:spacing w:val="21"/>
          <w:sz w:val="25"/>
          <w:szCs w:val="25"/>
        </w:rPr>
        <w:t>准：若产品性能都满足</w:t>
      </w:r>
      <w:r>
        <w:rPr>
          <w:rFonts w:ascii="宋体" w:hAnsi="宋体" w:eastAsia="宋体" w:cs="宋体"/>
          <w:sz w:val="25"/>
          <w:szCs w:val="25"/>
        </w:rPr>
        <w:t xml:space="preserve"> </w:t>
      </w:r>
      <w:r>
        <w:rPr>
          <w:rFonts w:ascii="宋体" w:hAnsi="宋体" w:eastAsia="宋体" w:cs="宋体"/>
          <w:spacing w:val="25"/>
          <w:sz w:val="25"/>
          <w:szCs w:val="25"/>
        </w:rPr>
        <w:t>要求时，其结论为</w:t>
      </w:r>
      <w:r>
        <w:rPr>
          <w:rFonts w:ascii="仿宋" w:hAnsi="仿宋" w:eastAsia="仿宋" w:cs="仿宋"/>
          <w:spacing w:val="25"/>
          <w:sz w:val="25"/>
          <w:szCs w:val="25"/>
        </w:rPr>
        <w:t>“产品的战术技术性能已达到批准的研制总要求和规定的标</w:t>
      </w:r>
      <w:r>
        <w:rPr>
          <w:rFonts w:ascii="仿宋" w:hAnsi="仿宋" w:eastAsia="仿宋" w:cs="仿宋"/>
          <w:spacing w:val="14"/>
          <w:sz w:val="25"/>
          <w:szCs w:val="25"/>
        </w:rPr>
        <w:t xml:space="preserve"> </w:t>
      </w:r>
      <w:r>
        <w:rPr>
          <w:rFonts w:ascii="仿宋" w:hAnsi="仿宋" w:eastAsia="仿宋" w:cs="仿宋"/>
          <w:spacing w:val="13"/>
          <w:sz w:val="25"/>
          <w:szCs w:val="25"/>
        </w:rPr>
        <w:t>准”</w:t>
      </w:r>
      <w:r>
        <w:rPr>
          <w:rFonts w:ascii="宋体" w:hAnsi="宋体" w:eastAsia="宋体" w:cs="宋体"/>
          <w:spacing w:val="13"/>
          <w:sz w:val="25"/>
          <w:szCs w:val="25"/>
        </w:rPr>
        <w:t>;若个别非主要性能没有达到要求时，其结论为</w:t>
      </w:r>
      <w:r>
        <w:rPr>
          <w:rFonts w:ascii="仿宋" w:hAnsi="仿宋" w:eastAsia="仿宋" w:cs="仿宋"/>
          <w:spacing w:val="13"/>
          <w:sz w:val="25"/>
          <w:szCs w:val="25"/>
        </w:rPr>
        <w:t>“产品的战术技术性能基本达</w:t>
      </w:r>
      <w:r>
        <w:rPr>
          <w:rFonts w:ascii="仿宋" w:hAnsi="仿宋" w:eastAsia="仿宋" w:cs="仿宋"/>
          <w:spacing w:val="2"/>
          <w:sz w:val="25"/>
          <w:szCs w:val="25"/>
        </w:rPr>
        <w:t xml:space="preserve"> </w:t>
      </w:r>
      <w:r>
        <w:rPr>
          <w:rFonts w:ascii="仿宋" w:hAnsi="仿宋" w:eastAsia="仿宋" w:cs="仿宋"/>
          <w:spacing w:val="12"/>
          <w:sz w:val="25"/>
          <w:szCs w:val="25"/>
        </w:rPr>
        <w:t>到批准的研制总要求和规定的标准”,</w:t>
      </w:r>
      <w:r>
        <w:rPr>
          <w:rFonts w:ascii="宋体" w:hAnsi="宋体" w:eastAsia="宋体" w:cs="宋体"/>
          <w:spacing w:val="12"/>
          <w:sz w:val="25"/>
          <w:szCs w:val="25"/>
        </w:rPr>
        <w:t>亦可使用典型语句</w:t>
      </w:r>
      <w:r>
        <w:rPr>
          <w:rFonts w:ascii="仿宋" w:hAnsi="仿宋" w:eastAsia="仿宋" w:cs="仿宋"/>
          <w:spacing w:val="12"/>
          <w:sz w:val="25"/>
          <w:szCs w:val="25"/>
        </w:rPr>
        <w:t>“目前，产品的战术技术</w:t>
      </w:r>
      <w:r>
        <w:rPr>
          <w:rFonts w:ascii="仿宋" w:hAnsi="仿宋" w:eastAsia="仿宋" w:cs="仿宋"/>
          <w:spacing w:val="17"/>
          <w:sz w:val="25"/>
          <w:szCs w:val="25"/>
        </w:rPr>
        <w:t xml:space="preserve"> </w:t>
      </w:r>
      <w:r>
        <w:rPr>
          <w:rFonts w:ascii="仿宋" w:hAnsi="仿宋" w:eastAsia="仿宋" w:cs="仿宋"/>
          <w:spacing w:val="25"/>
          <w:sz w:val="25"/>
          <w:szCs w:val="25"/>
        </w:rPr>
        <w:t>性能除××项非主要性能未达到要求外，其余均已达到批准的研制总要求和规</w:t>
      </w:r>
      <w:r>
        <w:rPr>
          <w:rFonts w:ascii="仿宋" w:hAnsi="仿宋" w:eastAsia="仿宋" w:cs="仿宋"/>
          <w:spacing w:val="17"/>
          <w:sz w:val="25"/>
          <w:szCs w:val="25"/>
        </w:rPr>
        <w:t xml:space="preserve"> </w:t>
      </w:r>
      <w:r>
        <w:rPr>
          <w:rFonts w:ascii="仿宋" w:hAnsi="仿宋" w:eastAsia="仿宋" w:cs="仿宋"/>
          <w:spacing w:val="20"/>
          <w:sz w:val="25"/>
          <w:szCs w:val="25"/>
        </w:rPr>
        <w:t>定的标准”,</w:t>
      </w:r>
      <w:r>
        <w:rPr>
          <w:rFonts w:ascii="宋体" w:hAnsi="宋体" w:eastAsia="宋体" w:cs="宋体"/>
          <w:spacing w:val="20"/>
          <w:sz w:val="25"/>
          <w:szCs w:val="25"/>
        </w:rPr>
        <w:t>并说明该项非主要性能实际达到的程度及对使用的影响情况；如主</w:t>
      </w:r>
      <w:r>
        <w:rPr>
          <w:rFonts w:ascii="宋体" w:hAnsi="宋体" w:eastAsia="宋体" w:cs="宋体"/>
          <w:spacing w:val="17"/>
          <w:sz w:val="25"/>
          <w:szCs w:val="25"/>
        </w:rPr>
        <w:t xml:space="preserve"> </w:t>
      </w:r>
      <w:r>
        <w:rPr>
          <w:rFonts w:ascii="宋体" w:hAnsi="宋体" w:eastAsia="宋体" w:cs="宋体"/>
          <w:spacing w:val="25"/>
          <w:sz w:val="25"/>
          <w:szCs w:val="25"/>
        </w:rPr>
        <w:t>要性能没有达到要求或非主要性能实际达到的程度与要求相差太大，影响作战</w:t>
      </w:r>
      <w:r>
        <w:rPr>
          <w:rFonts w:ascii="宋体" w:hAnsi="宋体" w:eastAsia="宋体" w:cs="宋体"/>
          <w:spacing w:val="13"/>
          <w:sz w:val="25"/>
          <w:szCs w:val="25"/>
        </w:rPr>
        <w:t xml:space="preserve"> </w:t>
      </w:r>
      <w:r>
        <w:rPr>
          <w:rFonts w:ascii="宋体" w:hAnsi="宋体" w:eastAsia="宋体" w:cs="宋体"/>
          <w:spacing w:val="25"/>
          <w:sz w:val="25"/>
          <w:szCs w:val="25"/>
        </w:rPr>
        <w:t>使用时，其结论为</w:t>
      </w:r>
      <w:r>
        <w:rPr>
          <w:rFonts w:ascii="仿宋" w:hAnsi="仿宋" w:eastAsia="仿宋" w:cs="仿宋"/>
          <w:spacing w:val="25"/>
          <w:sz w:val="25"/>
          <w:szCs w:val="25"/>
        </w:rPr>
        <w:t>“产品的战术技术性能未达到批准的研制总要求和规定的标</w:t>
      </w:r>
      <w:r>
        <w:rPr>
          <w:rFonts w:ascii="仿宋" w:hAnsi="仿宋" w:eastAsia="仿宋" w:cs="仿宋"/>
          <w:spacing w:val="14"/>
          <w:sz w:val="25"/>
          <w:szCs w:val="25"/>
        </w:rPr>
        <w:t xml:space="preserve"> </w:t>
      </w:r>
      <w:r>
        <w:rPr>
          <w:rFonts w:ascii="仿宋" w:hAnsi="仿宋" w:eastAsia="仿宋" w:cs="仿宋"/>
          <w:spacing w:val="-26"/>
          <w:sz w:val="25"/>
          <w:szCs w:val="25"/>
        </w:rPr>
        <w:t>准”。</w:t>
      </w:r>
    </w:p>
    <w:p w14:paraId="37E12F22">
      <w:pPr>
        <w:spacing w:before="111" w:line="248" w:lineRule="auto"/>
        <w:ind w:right="14" w:firstLine="570"/>
        <w:rPr>
          <w:rFonts w:ascii="宋体" w:hAnsi="宋体" w:eastAsia="宋体" w:cs="宋体"/>
          <w:sz w:val="27"/>
          <w:szCs w:val="27"/>
        </w:rPr>
      </w:pPr>
      <w:r>
        <w:rPr>
          <w:rFonts w:ascii="Times New Roman" w:hAnsi="Times New Roman" w:eastAsia="Times New Roman" w:cs="Times New Roman"/>
          <w:spacing w:val="-5"/>
          <w:sz w:val="27"/>
          <w:szCs w:val="27"/>
        </w:rPr>
        <w:t>b)</w:t>
      </w:r>
      <w:r>
        <w:rPr>
          <w:rFonts w:ascii="Times New Roman" w:hAnsi="Times New Roman" w:eastAsia="Times New Roman" w:cs="Times New Roman"/>
          <w:spacing w:val="57"/>
          <w:sz w:val="27"/>
          <w:szCs w:val="27"/>
        </w:rPr>
        <w:t xml:space="preserve"> </w:t>
      </w:r>
      <w:r>
        <w:rPr>
          <w:rFonts w:ascii="宋体" w:hAnsi="宋体" w:eastAsia="宋体" w:cs="宋体"/>
          <w:spacing w:val="-5"/>
          <w:sz w:val="27"/>
          <w:szCs w:val="27"/>
        </w:rPr>
        <w:t>产品是否符合全军装备体制、装备技术体制和通用化、系列化、组合化的</w:t>
      </w:r>
      <w:r>
        <w:rPr>
          <w:rFonts w:ascii="宋体" w:hAnsi="宋体" w:eastAsia="宋体" w:cs="宋体"/>
          <w:sz w:val="27"/>
          <w:szCs w:val="27"/>
        </w:rPr>
        <w:t xml:space="preserve"> </w:t>
      </w:r>
      <w:r>
        <w:rPr>
          <w:rFonts w:ascii="宋体" w:hAnsi="宋体" w:eastAsia="宋体" w:cs="宋体"/>
          <w:spacing w:val="-4"/>
          <w:sz w:val="27"/>
          <w:szCs w:val="27"/>
        </w:rPr>
        <w:t>要求。</w:t>
      </w:r>
    </w:p>
    <w:p w14:paraId="5F918C21">
      <w:pPr>
        <w:spacing w:line="248" w:lineRule="auto"/>
        <w:rPr>
          <w:rFonts w:ascii="宋体" w:hAnsi="宋体" w:eastAsia="宋体" w:cs="宋体"/>
          <w:sz w:val="27"/>
          <w:szCs w:val="27"/>
        </w:rPr>
        <w:sectPr>
          <w:footerReference r:id="rId159" w:type="default"/>
          <w:pgSz w:w="11910" w:h="17130"/>
          <w:pgMar w:top="400" w:right="1125" w:bottom="1626" w:left="1380" w:header="0" w:footer="1437" w:gutter="0"/>
          <w:cols w:space="720" w:num="1"/>
        </w:sectPr>
      </w:pPr>
    </w:p>
    <w:p w14:paraId="025E6350">
      <w:pPr>
        <w:pStyle w:val="2"/>
        <w:spacing w:line="251" w:lineRule="auto"/>
      </w:pPr>
    </w:p>
    <w:p w14:paraId="0E659242">
      <w:pPr>
        <w:pStyle w:val="2"/>
        <w:spacing w:line="251" w:lineRule="auto"/>
      </w:pPr>
    </w:p>
    <w:p w14:paraId="3C2E3C05">
      <w:pPr>
        <w:pStyle w:val="2"/>
        <w:spacing w:line="252" w:lineRule="auto"/>
      </w:pPr>
    </w:p>
    <w:p w14:paraId="7E5F6163">
      <w:pPr>
        <w:pStyle w:val="2"/>
        <w:spacing w:line="252" w:lineRule="auto"/>
      </w:pPr>
    </w:p>
    <w:p w14:paraId="36A54054">
      <w:pPr>
        <w:spacing w:before="88" w:line="263" w:lineRule="auto"/>
        <w:ind w:right="115" w:firstLine="519"/>
        <w:rPr>
          <w:rFonts w:ascii="宋体" w:hAnsi="宋体" w:eastAsia="宋体" w:cs="宋体"/>
          <w:sz w:val="27"/>
          <w:szCs w:val="27"/>
        </w:rPr>
      </w:pPr>
      <w:bookmarkStart w:id="104" w:name="bookmark360"/>
      <w:bookmarkEnd w:id="104"/>
      <w:r>
        <w:rPr>
          <w:rFonts w:ascii="Times New Roman" w:hAnsi="Times New Roman" w:eastAsia="Times New Roman" w:cs="Times New Roman"/>
          <w:spacing w:val="3"/>
          <w:sz w:val="27"/>
          <w:szCs w:val="27"/>
        </w:rPr>
        <w:t>c)</w:t>
      </w:r>
      <w:r>
        <w:rPr>
          <w:rFonts w:ascii="Times New Roman" w:hAnsi="Times New Roman" w:eastAsia="Times New Roman" w:cs="Times New Roman"/>
          <w:spacing w:val="69"/>
          <w:sz w:val="27"/>
          <w:szCs w:val="27"/>
        </w:rPr>
        <w:t xml:space="preserve"> </w:t>
      </w:r>
      <w:r>
        <w:rPr>
          <w:rFonts w:ascii="宋体" w:hAnsi="宋体" w:eastAsia="宋体" w:cs="宋体"/>
          <w:spacing w:val="3"/>
          <w:sz w:val="27"/>
          <w:szCs w:val="27"/>
        </w:rPr>
        <w:t>设计图样(含软件源程序)和相关的文件资料是否完整、准确，软件文档</w:t>
      </w:r>
      <w:r>
        <w:rPr>
          <w:rFonts w:ascii="宋体" w:hAnsi="宋体" w:eastAsia="宋体" w:cs="宋体"/>
          <w:sz w:val="27"/>
          <w:szCs w:val="27"/>
        </w:rPr>
        <w:t xml:space="preserve"> </w:t>
      </w:r>
      <w:r>
        <w:rPr>
          <w:rFonts w:ascii="宋体" w:hAnsi="宋体" w:eastAsia="宋体" w:cs="宋体"/>
          <w:spacing w:val="-2"/>
          <w:sz w:val="27"/>
          <w:szCs w:val="27"/>
        </w:rPr>
        <w:t>是否符合</w:t>
      </w:r>
      <w:r>
        <w:rPr>
          <w:rFonts w:ascii="Times New Roman" w:hAnsi="Times New Roman" w:eastAsia="Times New Roman" w:cs="Times New Roman"/>
          <w:spacing w:val="-2"/>
          <w:sz w:val="27"/>
          <w:szCs w:val="27"/>
        </w:rPr>
        <w:t>GJB 438B—2009</w:t>
      </w:r>
      <w:r>
        <w:rPr>
          <w:rFonts w:ascii="宋体" w:hAnsi="宋体" w:eastAsia="宋体" w:cs="宋体"/>
          <w:spacing w:val="-2"/>
          <w:sz w:val="27"/>
          <w:szCs w:val="27"/>
        </w:rPr>
        <w:t>《军用软件开发文档通用要</w:t>
      </w:r>
      <w:r>
        <w:rPr>
          <w:rFonts w:ascii="宋体" w:hAnsi="宋体" w:eastAsia="宋体" w:cs="宋体"/>
          <w:spacing w:val="-3"/>
          <w:sz w:val="27"/>
          <w:szCs w:val="27"/>
        </w:rPr>
        <w:t>求》的规定。</w:t>
      </w:r>
    </w:p>
    <w:p w14:paraId="17F282E3">
      <w:pPr>
        <w:spacing w:before="71" w:line="264" w:lineRule="auto"/>
        <w:ind w:firstLine="519"/>
        <w:rPr>
          <w:rFonts w:ascii="宋体" w:hAnsi="宋体" w:eastAsia="宋体" w:cs="宋体"/>
          <w:sz w:val="27"/>
          <w:szCs w:val="27"/>
        </w:rPr>
      </w:pPr>
      <w:r>
        <w:rPr>
          <w:rFonts w:ascii="Times New Roman" w:hAnsi="Times New Roman" w:eastAsia="Times New Roman" w:cs="Times New Roman"/>
          <w:spacing w:val="-9"/>
          <w:sz w:val="27"/>
          <w:szCs w:val="27"/>
        </w:rPr>
        <w:t xml:space="preserve">d)  </w:t>
      </w:r>
      <w:r>
        <w:rPr>
          <w:rFonts w:ascii="宋体" w:hAnsi="宋体" w:eastAsia="宋体" w:cs="宋体"/>
          <w:spacing w:val="-9"/>
          <w:sz w:val="27"/>
          <w:szCs w:val="27"/>
        </w:rPr>
        <w:t>产品配套是否齐全，若配套齐全，其结论为</w:t>
      </w:r>
      <w:r>
        <w:rPr>
          <w:rFonts w:ascii="仿宋" w:hAnsi="仿宋" w:eastAsia="仿宋" w:cs="仿宋"/>
          <w:spacing w:val="-9"/>
          <w:sz w:val="27"/>
          <w:szCs w:val="27"/>
        </w:rPr>
        <w:t>“产品配套齐全”,</w:t>
      </w:r>
      <w:r>
        <w:rPr>
          <w:rFonts w:ascii="宋体" w:hAnsi="宋体" w:eastAsia="宋体" w:cs="宋体"/>
          <w:spacing w:val="-9"/>
          <w:sz w:val="27"/>
          <w:szCs w:val="27"/>
        </w:rPr>
        <w:t>若配套不齐</w:t>
      </w:r>
      <w:r>
        <w:rPr>
          <w:rFonts w:ascii="宋体" w:hAnsi="宋体" w:eastAsia="宋体" w:cs="宋体"/>
          <w:spacing w:val="4"/>
          <w:sz w:val="27"/>
          <w:szCs w:val="27"/>
        </w:rPr>
        <w:t xml:space="preserve">  </w:t>
      </w:r>
      <w:r>
        <w:rPr>
          <w:rFonts w:ascii="宋体" w:hAnsi="宋体" w:eastAsia="宋体" w:cs="宋体"/>
          <w:sz w:val="27"/>
          <w:szCs w:val="27"/>
        </w:rPr>
        <w:t>全，应说明不配套的原因及其对产品设计定型的影响；能独立考核的配套设备、</w:t>
      </w:r>
      <w:r>
        <w:rPr>
          <w:rFonts w:ascii="宋体" w:hAnsi="宋体" w:eastAsia="宋体" w:cs="宋体"/>
          <w:spacing w:val="3"/>
          <w:sz w:val="27"/>
          <w:szCs w:val="27"/>
        </w:rPr>
        <w:t xml:space="preserve"> </w:t>
      </w:r>
      <w:r>
        <w:rPr>
          <w:rFonts w:ascii="宋体" w:hAnsi="宋体" w:eastAsia="宋体" w:cs="宋体"/>
          <w:spacing w:val="-12"/>
          <w:sz w:val="27"/>
          <w:szCs w:val="27"/>
        </w:rPr>
        <w:t>部件、器件、原材料、软件是否已完成逐级考核，关键工艺是否已通过考核。</w:t>
      </w:r>
    </w:p>
    <w:p w14:paraId="59A7687D">
      <w:pPr>
        <w:spacing w:before="40" w:line="212" w:lineRule="auto"/>
        <w:ind w:left="519"/>
        <w:rPr>
          <w:rFonts w:ascii="宋体" w:hAnsi="宋体" w:eastAsia="宋体" w:cs="宋体"/>
          <w:sz w:val="27"/>
          <w:szCs w:val="27"/>
        </w:rPr>
      </w:pPr>
      <w:r>
        <w:rPr>
          <w:rFonts w:ascii="Times New Roman" w:hAnsi="Times New Roman" w:eastAsia="Times New Roman" w:cs="Times New Roman"/>
          <w:spacing w:val="-2"/>
          <w:sz w:val="27"/>
          <w:szCs w:val="27"/>
        </w:rPr>
        <w:t xml:space="preserve">e)  </w:t>
      </w:r>
      <w:r>
        <w:rPr>
          <w:rFonts w:ascii="宋体" w:hAnsi="宋体" w:eastAsia="宋体" w:cs="宋体"/>
          <w:spacing w:val="-2"/>
          <w:sz w:val="27"/>
          <w:szCs w:val="27"/>
        </w:rPr>
        <w:t>配套产品质量是否可靠，是否有稳定的供货来</w:t>
      </w:r>
      <w:r>
        <w:rPr>
          <w:rFonts w:ascii="宋体" w:hAnsi="宋体" w:eastAsia="宋体" w:cs="宋体"/>
          <w:spacing w:val="-3"/>
          <w:sz w:val="27"/>
          <w:szCs w:val="27"/>
        </w:rPr>
        <w:t>源。</w:t>
      </w:r>
    </w:p>
    <w:p w14:paraId="2F0B65A5">
      <w:pPr>
        <w:spacing w:before="119" w:line="250" w:lineRule="auto"/>
        <w:ind w:left="519" w:right="1899"/>
        <w:rPr>
          <w:rFonts w:ascii="宋体" w:hAnsi="宋体" w:eastAsia="宋体" w:cs="宋体"/>
          <w:sz w:val="27"/>
          <w:szCs w:val="27"/>
        </w:rPr>
      </w:pPr>
      <w:r>
        <w:rPr>
          <w:rFonts w:ascii="Times New Roman" w:hAnsi="Times New Roman" w:eastAsia="Times New Roman" w:cs="Times New Roman"/>
          <w:spacing w:val="-1"/>
          <w:sz w:val="27"/>
          <w:szCs w:val="27"/>
        </w:rPr>
        <w:t xml:space="preserve">f)  </w:t>
      </w:r>
      <w:r>
        <w:rPr>
          <w:rFonts w:ascii="宋体" w:hAnsi="宋体" w:eastAsia="宋体" w:cs="宋体"/>
          <w:spacing w:val="-1"/>
          <w:sz w:val="27"/>
          <w:szCs w:val="27"/>
        </w:rPr>
        <w:t>承研承制单位是否具备国家认可的装备科研、生产</w:t>
      </w:r>
      <w:r>
        <w:rPr>
          <w:rFonts w:ascii="宋体" w:hAnsi="宋体" w:eastAsia="宋体" w:cs="宋体"/>
          <w:spacing w:val="-2"/>
          <w:sz w:val="27"/>
          <w:szCs w:val="27"/>
        </w:rPr>
        <w:t>资格。</w:t>
      </w:r>
      <w:r>
        <w:rPr>
          <w:rFonts w:ascii="宋体" w:hAnsi="宋体" w:eastAsia="宋体" w:cs="宋体"/>
          <w:sz w:val="27"/>
          <w:szCs w:val="27"/>
        </w:rPr>
        <w:t xml:space="preserve"> </w:t>
      </w:r>
      <w:r>
        <w:rPr>
          <w:rFonts w:ascii="宋体" w:hAnsi="宋体" w:eastAsia="宋体" w:cs="宋体"/>
          <w:spacing w:val="1"/>
          <w:sz w:val="27"/>
          <w:szCs w:val="27"/>
        </w:rPr>
        <w:t>审查结论的典型用语为：</w:t>
      </w:r>
    </w:p>
    <w:p w14:paraId="5F980BC9">
      <w:pPr>
        <w:spacing w:before="69" w:line="212" w:lineRule="auto"/>
        <w:ind w:left="519"/>
        <w:rPr>
          <w:rFonts w:ascii="仿宋" w:hAnsi="仿宋" w:eastAsia="仿宋" w:cs="仿宋"/>
          <w:sz w:val="27"/>
          <w:szCs w:val="27"/>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66"/>
          <w:sz w:val="27"/>
          <w:szCs w:val="27"/>
        </w:rPr>
        <w:t xml:space="preserve"> </w:t>
      </w:r>
      <w:r>
        <w:rPr>
          <w:rFonts w:ascii="仿宋" w:hAnsi="仿宋" w:eastAsia="仿宋" w:cs="仿宋"/>
          <w:spacing w:val="-1"/>
          <w:sz w:val="27"/>
          <w:szCs w:val="27"/>
        </w:rPr>
        <w:t>产品符合军工产品设计定型标准和要求，建议批准设计定型；</w:t>
      </w:r>
    </w:p>
    <w:p w14:paraId="25C084CC">
      <w:pPr>
        <w:spacing w:before="101" w:line="277" w:lineRule="auto"/>
        <w:ind w:right="123" w:firstLine="519"/>
        <w:rPr>
          <w:rFonts w:ascii="仿宋" w:hAnsi="仿宋" w:eastAsia="仿宋" w:cs="仿宋"/>
          <w:sz w:val="25"/>
          <w:szCs w:val="25"/>
        </w:rPr>
      </w:pPr>
      <w:r>
        <w:rPr>
          <w:rFonts w:ascii="Times New Roman" w:hAnsi="Times New Roman" w:eastAsia="Times New Roman" w:cs="Times New Roman"/>
          <w:spacing w:val="21"/>
          <w:sz w:val="25"/>
          <w:szCs w:val="25"/>
        </w:rPr>
        <w:t xml:space="preserve">b)  </w:t>
      </w:r>
      <w:r>
        <w:rPr>
          <w:rFonts w:ascii="仿宋" w:hAnsi="仿宋" w:eastAsia="仿宋" w:cs="仿宋"/>
          <w:spacing w:val="21"/>
          <w:sz w:val="25"/>
          <w:szCs w:val="25"/>
        </w:rPr>
        <w:t>产品基本符合军工产品设计定型标准和要求，建议</w:t>
      </w:r>
      <w:r>
        <w:rPr>
          <w:rFonts w:ascii="仿宋" w:hAnsi="仿宋" w:eastAsia="仿宋" w:cs="仿宋"/>
          <w:spacing w:val="20"/>
          <w:sz w:val="25"/>
          <w:szCs w:val="25"/>
        </w:rPr>
        <w:t>批准设计定型，产品</w:t>
      </w:r>
      <w:r>
        <w:rPr>
          <w:rFonts w:ascii="仿宋" w:hAnsi="仿宋" w:eastAsia="仿宋" w:cs="仿宋"/>
          <w:sz w:val="25"/>
          <w:szCs w:val="25"/>
        </w:rPr>
        <w:t xml:space="preserve"> </w:t>
      </w:r>
      <w:r>
        <w:rPr>
          <w:rFonts w:ascii="仿宋" w:hAnsi="仿宋" w:eastAsia="仿宋" w:cs="仿宋"/>
          <w:spacing w:val="17"/>
          <w:sz w:val="25"/>
          <w:szCs w:val="25"/>
        </w:rPr>
        <w:t>存在问题限期解决；</w:t>
      </w:r>
    </w:p>
    <w:p w14:paraId="0A8BFB31">
      <w:pPr>
        <w:spacing w:before="101" w:line="261" w:lineRule="auto"/>
        <w:ind w:right="118" w:firstLine="519"/>
        <w:rPr>
          <w:rFonts w:ascii="仿宋" w:hAnsi="仿宋" w:eastAsia="仿宋" w:cs="仿宋"/>
          <w:sz w:val="25"/>
          <w:szCs w:val="25"/>
        </w:rPr>
      </w:pPr>
      <w:r>
        <w:rPr>
          <w:rFonts w:ascii="Times New Roman" w:hAnsi="Times New Roman" w:eastAsia="Times New Roman" w:cs="Times New Roman"/>
          <w:spacing w:val="29"/>
          <w:sz w:val="25"/>
          <w:szCs w:val="25"/>
        </w:rPr>
        <w:t xml:space="preserve">c)  </w:t>
      </w:r>
      <w:r>
        <w:rPr>
          <w:rFonts w:ascii="仿宋" w:hAnsi="仿宋" w:eastAsia="仿宋" w:cs="仿宋"/>
          <w:spacing w:val="29"/>
          <w:sz w:val="25"/>
          <w:szCs w:val="25"/>
        </w:rPr>
        <w:t>产品基本符合军工产品设计定型标准和要求，建议产品存在问题解决</w:t>
      </w:r>
      <w:r>
        <w:rPr>
          <w:rFonts w:ascii="仿宋" w:hAnsi="仿宋" w:eastAsia="仿宋" w:cs="仿宋"/>
          <w:spacing w:val="10"/>
          <w:sz w:val="25"/>
          <w:szCs w:val="25"/>
        </w:rPr>
        <w:t xml:space="preserve"> </w:t>
      </w:r>
      <w:r>
        <w:rPr>
          <w:rFonts w:ascii="仿宋" w:hAnsi="仿宋" w:eastAsia="仿宋" w:cs="仿宋"/>
          <w:spacing w:val="3"/>
          <w:sz w:val="25"/>
          <w:szCs w:val="25"/>
        </w:rPr>
        <w:t>后，再批准设计定型；</w:t>
      </w:r>
    </w:p>
    <w:p w14:paraId="7A5AF50B">
      <w:pPr>
        <w:spacing w:before="91" w:line="266" w:lineRule="auto"/>
        <w:ind w:right="118" w:firstLine="519"/>
        <w:rPr>
          <w:rFonts w:ascii="仿宋" w:hAnsi="仿宋" w:eastAsia="仿宋" w:cs="仿宋"/>
          <w:sz w:val="25"/>
          <w:szCs w:val="25"/>
        </w:rPr>
      </w:pPr>
      <w:r>
        <w:rPr>
          <w:rFonts w:ascii="Times New Roman" w:hAnsi="Times New Roman" w:eastAsia="Times New Roman" w:cs="Times New Roman"/>
          <w:spacing w:val="21"/>
          <w:sz w:val="25"/>
          <w:szCs w:val="25"/>
        </w:rPr>
        <w:t xml:space="preserve">d)  </w:t>
      </w:r>
      <w:r>
        <w:rPr>
          <w:rFonts w:ascii="仿宋" w:hAnsi="仿宋" w:eastAsia="仿宋" w:cs="仿宋"/>
          <w:spacing w:val="21"/>
          <w:sz w:val="25"/>
          <w:szCs w:val="25"/>
        </w:rPr>
        <w:t>产品不符合军工产品设计定型标准和要求，建议产品承研承制单</w:t>
      </w:r>
      <w:r>
        <w:rPr>
          <w:rFonts w:ascii="仿宋" w:hAnsi="仿宋" w:eastAsia="仿宋" w:cs="仿宋"/>
          <w:spacing w:val="20"/>
          <w:sz w:val="25"/>
          <w:szCs w:val="25"/>
        </w:rPr>
        <w:t>位解决</w:t>
      </w:r>
      <w:r>
        <w:rPr>
          <w:rFonts w:ascii="仿宋" w:hAnsi="仿宋" w:eastAsia="仿宋" w:cs="仿宋"/>
          <w:sz w:val="25"/>
          <w:szCs w:val="25"/>
        </w:rPr>
        <w:t xml:space="preserve"> </w:t>
      </w:r>
      <w:r>
        <w:rPr>
          <w:rFonts w:ascii="仿宋" w:hAnsi="仿宋" w:eastAsia="仿宋" w:cs="仿宋"/>
          <w:spacing w:val="11"/>
          <w:sz w:val="25"/>
          <w:szCs w:val="25"/>
        </w:rPr>
        <w:t>存在问题后，重新申请设计定型。</w:t>
      </w:r>
    </w:p>
    <w:p w14:paraId="5F2D41DE">
      <w:pPr>
        <w:spacing w:before="109" w:line="277" w:lineRule="auto"/>
        <w:ind w:right="111" w:firstLine="519"/>
        <w:rPr>
          <w:rFonts w:ascii="宋体" w:hAnsi="宋体" w:eastAsia="宋体" w:cs="宋体"/>
          <w:sz w:val="27"/>
          <w:szCs w:val="27"/>
        </w:rPr>
      </w:pPr>
      <w:r>
        <w:rPr>
          <w:rFonts w:ascii="宋体" w:hAnsi="宋体" w:eastAsia="宋体" w:cs="宋体"/>
          <w:spacing w:val="-3"/>
          <w:sz w:val="27"/>
          <w:szCs w:val="27"/>
        </w:rPr>
        <w:t>审查组成员对审查结论有不同意见时，应以书面形式提出，作为附件附在审</w:t>
      </w:r>
      <w:r>
        <w:rPr>
          <w:rFonts w:ascii="宋体" w:hAnsi="宋体" w:eastAsia="宋体" w:cs="宋体"/>
          <w:spacing w:val="10"/>
          <w:sz w:val="27"/>
          <w:szCs w:val="27"/>
        </w:rPr>
        <w:t xml:space="preserve"> </w:t>
      </w:r>
      <w:r>
        <w:rPr>
          <w:rFonts w:ascii="宋体" w:hAnsi="宋体" w:eastAsia="宋体" w:cs="宋体"/>
          <w:spacing w:val="-3"/>
          <w:sz w:val="27"/>
          <w:szCs w:val="27"/>
        </w:rPr>
        <w:t>查结论意见之后，一并上报军工产品定型委员会。</w:t>
      </w:r>
    </w:p>
    <w:p w14:paraId="7E7C953A">
      <w:pPr>
        <w:spacing w:before="2" w:line="261" w:lineRule="auto"/>
        <w:ind w:right="103" w:firstLine="519"/>
        <w:rPr>
          <w:rFonts w:ascii="楷体" w:hAnsi="楷体" w:eastAsia="楷体" w:cs="楷体"/>
          <w:sz w:val="28"/>
          <w:szCs w:val="28"/>
        </w:rPr>
      </w:pPr>
      <w:r>
        <w:rPr>
          <w:rFonts w:ascii="楷体" w:hAnsi="楷体" w:eastAsia="楷体" w:cs="楷体"/>
          <w:spacing w:val="-4"/>
          <w:sz w:val="28"/>
          <w:szCs w:val="28"/>
        </w:rPr>
        <w:t>对于航空军工产品，可按照</w:t>
      </w:r>
      <w:r>
        <w:rPr>
          <w:rFonts w:ascii="Times New Roman" w:hAnsi="Times New Roman" w:eastAsia="Times New Roman" w:cs="Times New Roman"/>
          <w:spacing w:val="-4"/>
          <w:sz w:val="28"/>
          <w:szCs w:val="28"/>
        </w:rPr>
        <w:t>GJB 3845—1999</w:t>
      </w:r>
      <w:r>
        <w:rPr>
          <w:rFonts w:ascii="宋体" w:hAnsi="宋体" w:eastAsia="宋体" w:cs="宋体"/>
          <w:spacing w:val="-4"/>
          <w:sz w:val="28"/>
          <w:szCs w:val="28"/>
        </w:rPr>
        <w:t>《</w:t>
      </w:r>
      <w:r>
        <w:rPr>
          <w:rFonts w:ascii="楷体" w:hAnsi="楷体" w:eastAsia="楷体" w:cs="楷体"/>
          <w:spacing w:val="-4"/>
          <w:sz w:val="28"/>
          <w:szCs w:val="28"/>
        </w:rPr>
        <w:t>航空军工产品定型审查报告</w:t>
      </w:r>
      <w:r>
        <w:rPr>
          <w:rFonts w:ascii="楷体" w:hAnsi="楷体" w:eastAsia="楷体" w:cs="楷体"/>
          <w:spacing w:val="13"/>
          <w:sz w:val="28"/>
          <w:szCs w:val="28"/>
        </w:rPr>
        <w:t xml:space="preserve"> </w:t>
      </w:r>
      <w:r>
        <w:rPr>
          <w:rFonts w:ascii="楷体" w:hAnsi="楷体" w:eastAsia="楷体" w:cs="楷体"/>
          <w:spacing w:val="-14"/>
          <w:sz w:val="28"/>
          <w:szCs w:val="28"/>
        </w:rPr>
        <w:t>编写要求》第5.1条编写，目次格式如下：</w:t>
      </w:r>
    </w:p>
    <w:p w14:paraId="3ABD1701">
      <w:pPr>
        <w:spacing w:before="11" w:line="223" w:lineRule="auto"/>
        <w:ind w:left="519"/>
        <w:rPr>
          <w:rFonts w:ascii="楷体" w:hAnsi="楷体" w:eastAsia="楷体" w:cs="楷体"/>
          <w:sz w:val="28"/>
          <w:szCs w:val="28"/>
        </w:rPr>
      </w:pPr>
      <w:r>
        <w:rPr>
          <w:rFonts w:ascii="楷体" w:hAnsi="楷体" w:eastAsia="楷体" w:cs="楷体"/>
          <w:spacing w:val="-9"/>
          <w:sz w:val="28"/>
          <w:szCs w:val="28"/>
        </w:rPr>
        <w:t>审查工作概况</w:t>
      </w:r>
    </w:p>
    <w:p w14:paraId="229FD2A7">
      <w:pPr>
        <w:spacing w:before="76" w:line="227" w:lineRule="auto"/>
        <w:ind w:left="519"/>
        <w:rPr>
          <w:rFonts w:ascii="楷体" w:hAnsi="楷体" w:eastAsia="楷体" w:cs="楷体"/>
          <w:sz w:val="28"/>
          <w:szCs w:val="28"/>
        </w:rPr>
      </w:pPr>
      <w:r>
        <w:rPr>
          <w:rFonts w:ascii="Times New Roman" w:hAnsi="Times New Roman" w:eastAsia="Times New Roman" w:cs="Times New Roman"/>
          <w:spacing w:val="-6"/>
          <w:sz w:val="28"/>
          <w:szCs w:val="28"/>
        </w:rPr>
        <w:t xml:space="preserve">1  </w:t>
      </w:r>
      <w:r>
        <w:rPr>
          <w:rFonts w:ascii="楷体" w:hAnsi="楷体" w:eastAsia="楷体" w:cs="楷体"/>
          <w:spacing w:val="-6"/>
          <w:sz w:val="28"/>
          <w:szCs w:val="28"/>
        </w:rPr>
        <w:t>研制简要情况</w:t>
      </w:r>
    </w:p>
    <w:p w14:paraId="3C445317">
      <w:pPr>
        <w:spacing w:before="52" w:line="229" w:lineRule="auto"/>
        <w:ind w:left="519"/>
        <w:rPr>
          <w:rFonts w:ascii="楷体" w:hAnsi="楷体" w:eastAsia="楷体" w:cs="楷体"/>
          <w:sz w:val="28"/>
          <w:szCs w:val="28"/>
        </w:rPr>
      </w:pPr>
      <w:r>
        <w:rPr>
          <w:rFonts w:ascii="楷体" w:hAnsi="楷体" w:eastAsia="楷体" w:cs="楷体"/>
          <w:spacing w:val="-9"/>
          <w:sz w:val="28"/>
          <w:szCs w:val="28"/>
        </w:rPr>
        <w:t>1.1</w:t>
      </w:r>
      <w:r>
        <w:rPr>
          <w:rFonts w:ascii="楷体" w:hAnsi="楷体" w:eastAsia="楷体" w:cs="楷体"/>
          <w:spacing w:val="25"/>
          <w:sz w:val="28"/>
          <w:szCs w:val="28"/>
        </w:rPr>
        <w:t xml:space="preserve"> </w:t>
      </w:r>
      <w:r>
        <w:rPr>
          <w:rFonts w:ascii="楷体" w:hAnsi="楷体" w:eastAsia="楷体" w:cs="楷体"/>
          <w:spacing w:val="-9"/>
          <w:sz w:val="28"/>
          <w:szCs w:val="28"/>
        </w:rPr>
        <w:t>研制依据</w:t>
      </w:r>
    </w:p>
    <w:p w14:paraId="5D581CEA">
      <w:pPr>
        <w:spacing w:before="72" w:line="229" w:lineRule="auto"/>
        <w:ind w:left="519"/>
        <w:rPr>
          <w:rFonts w:ascii="楷体" w:hAnsi="楷体" w:eastAsia="楷体" w:cs="楷体"/>
          <w:sz w:val="28"/>
          <w:szCs w:val="28"/>
        </w:rPr>
      </w:pPr>
      <w:r>
        <w:rPr>
          <w:rFonts w:ascii="楷体" w:hAnsi="楷体" w:eastAsia="楷体" w:cs="楷体"/>
          <w:spacing w:val="-4"/>
          <w:sz w:val="28"/>
          <w:szCs w:val="28"/>
        </w:rPr>
        <w:t>1.2 研制历程</w:t>
      </w:r>
    </w:p>
    <w:p w14:paraId="53C35F4C">
      <w:pPr>
        <w:spacing w:before="50" w:line="228" w:lineRule="auto"/>
        <w:ind w:left="519"/>
        <w:rPr>
          <w:rFonts w:ascii="楷体" w:hAnsi="楷体" w:eastAsia="楷体" w:cs="楷体"/>
          <w:sz w:val="28"/>
          <w:szCs w:val="28"/>
        </w:rPr>
      </w:pPr>
      <w:r>
        <w:rPr>
          <w:rFonts w:ascii="Times New Roman" w:hAnsi="Times New Roman" w:eastAsia="Times New Roman" w:cs="Times New Roman"/>
          <w:spacing w:val="-4"/>
          <w:sz w:val="28"/>
          <w:szCs w:val="28"/>
        </w:rPr>
        <w:t xml:space="preserve">2  </w:t>
      </w:r>
      <w:r>
        <w:rPr>
          <w:rFonts w:ascii="楷体" w:hAnsi="楷体" w:eastAsia="楷体" w:cs="楷体"/>
          <w:spacing w:val="-4"/>
          <w:sz w:val="28"/>
          <w:szCs w:val="28"/>
        </w:rPr>
        <w:t>主要功用和特点</w:t>
      </w:r>
    </w:p>
    <w:p w14:paraId="25B3D360">
      <w:pPr>
        <w:spacing w:before="103" w:line="228" w:lineRule="auto"/>
        <w:ind w:left="519"/>
        <w:rPr>
          <w:rFonts w:ascii="楷体" w:hAnsi="楷体" w:eastAsia="楷体" w:cs="楷体"/>
          <w:sz w:val="24"/>
          <w:szCs w:val="24"/>
        </w:rPr>
      </w:pPr>
      <w:r>
        <w:rPr>
          <w:rFonts w:ascii="Times New Roman" w:hAnsi="Times New Roman" w:eastAsia="Times New Roman" w:cs="Times New Roman"/>
          <w:spacing w:val="17"/>
          <w:sz w:val="24"/>
          <w:szCs w:val="24"/>
        </w:rPr>
        <w:t>2.1</w:t>
      </w:r>
      <w:r>
        <w:rPr>
          <w:rFonts w:ascii="Times New Roman" w:hAnsi="Times New Roman" w:eastAsia="Times New Roman" w:cs="Times New Roman"/>
          <w:spacing w:val="4"/>
          <w:sz w:val="24"/>
          <w:szCs w:val="24"/>
        </w:rPr>
        <w:t xml:space="preserve">    </w:t>
      </w:r>
      <w:r>
        <w:rPr>
          <w:rFonts w:ascii="楷体" w:hAnsi="楷体" w:eastAsia="楷体" w:cs="楷体"/>
          <w:spacing w:val="17"/>
          <w:sz w:val="24"/>
          <w:szCs w:val="24"/>
        </w:rPr>
        <w:t>主要用途</w:t>
      </w:r>
    </w:p>
    <w:p w14:paraId="10878E98">
      <w:pPr>
        <w:spacing w:before="85" w:line="228" w:lineRule="auto"/>
        <w:ind w:left="519"/>
        <w:rPr>
          <w:rFonts w:ascii="楷体" w:hAnsi="楷体" w:eastAsia="楷体" w:cs="楷体"/>
          <w:sz w:val="28"/>
          <w:szCs w:val="28"/>
        </w:rPr>
      </w:pPr>
      <w:r>
        <w:rPr>
          <w:rFonts w:ascii="Times New Roman" w:hAnsi="Times New Roman" w:eastAsia="Times New Roman" w:cs="Times New Roman"/>
          <w:spacing w:val="-5"/>
          <w:sz w:val="28"/>
          <w:szCs w:val="28"/>
        </w:rPr>
        <w:t>2.2</w:t>
      </w:r>
      <w:r>
        <w:rPr>
          <w:rFonts w:ascii="Times New Roman" w:hAnsi="Times New Roman" w:eastAsia="Times New Roman" w:cs="Times New Roman"/>
          <w:spacing w:val="36"/>
          <w:sz w:val="28"/>
          <w:szCs w:val="28"/>
        </w:rPr>
        <w:t xml:space="preserve">  </w:t>
      </w:r>
      <w:r>
        <w:rPr>
          <w:rFonts w:ascii="楷体" w:hAnsi="楷体" w:eastAsia="楷体" w:cs="楷体"/>
          <w:spacing w:val="-5"/>
          <w:sz w:val="28"/>
          <w:szCs w:val="28"/>
        </w:rPr>
        <w:t>主要战术技术特点</w:t>
      </w:r>
    </w:p>
    <w:p w14:paraId="0363DE67">
      <w:pPr>
        <w:spacing w:before="74" w:line="228" w:lineRule="auto"/>
        <w:ind w:left="519"/>
        <w:rPr>
          <w:rFonts w:ascii="楷体" w:hAnsi="楷体" w:eastAsia="楷体" w:cs="楷体"/>
          <w:sz w:val="28"/>
          <w:szCs w:val="28"/>
        </w:rPr>
      </w:pPr>
      <w:r>
        <w:rPr>
          <w:rFonts w:ascii="Times New Roman" w:hAnsi="Times New Roman" w:eastAsia="Times New Roman" w:cs="Times New Roman"/>
          <w:spacing w:val="-6"/>
          <w:sz w:val="28"/>
          <w:szCs w:val="28"/>
        </w:rPr>
        <w:t>2.3</w:t>
      </w:r>
      <w:r>
        <w:rPr>
          <w:rFonts w:ascii="Times New Roman" w:hAnsi="Times New Roman" w:eastAsia="Times New Roman" w:cs="Times New Roman"/>
          <w:spacing w:val="6"/>
          <w:sz w:val="28"/>
          <w:szCs w:val="28"/>
        </w:rPr>
        <w:t xml:space="preserve">   </w:t>
      </w:r>
      <w:r>
        <w:rPr>
          <w:rFonts w:ascii="楷体" w:hAnsi="楷体" w:eastAsia="楷体" w:cs="楷体"/>
          <w:spacing w:val="-6"/>
          <w:sz w:val="28"/>
          <w:szCs w:val="28"/>
        </w:rPr>
        <w:t>主要组成</w:t>
      </w:r>
    </w:p>
    <w:p w14:paraId="154DEB7A">
      <w:pPr>
        <w:spacing w:before="64" w:line="228" w:lineRule="auto"/>
        <w:ind w:left="519"/>
        <w:rPr>
          <w:rFonts w:ascii="楷体" w:hAnsi="楷体" w:eastAsia="楷体" w:cs="楷体"/>
          <w:sz w:val="28"/>
          <w:szCs w:val="28"/>
        </w:rPr>
      </w:pPr>
      <w:r>
        <w:rPr>
          <w:rFonts w:ascii="Times New Roman" w:hAnsi="Times New Roman" w:eastAsia="Times New Roman" w:cs="Times New Roman"/>
          <w:spacing w:val="-6"/>
          <w:sz w:val="28"/>
          <w:szCs w:val="28"/>
        </w:rPr>
        <w:t>3</w:t>
      </w:r>
      <w:r>
        <w:rPr>
          <w:rFonts w:ascii="Times New Roman" w:hAnsi="Times New Roman" w:eastAsia="Times New Roman" w:cs="Times New Roman"/>
          <w:spacing w:val="10"/>
          <w:sz w:val="28"/>
          <w:szCs w:val="28"/>
        </w:rPr>
        <w:t xml:space="preserve">  </w:t>
      </w:r>
      <w:r>
        <w:rPr>
          <w:rFonts w:ascii="楷体" w:hAnsi="楷体" w:eastAsia="楷体" w:cs="楷体"/>
          <w:spacing w:val="-6"/>
          <w:sz w:val="28"/>
          <w:szCs w:val="28"/>
        </w:rPr>
        <w:t>主要战术技术性能</w:t>
      </w:r>
    </w:p>
    <w:p w14:paraId="387D6432">
      <w:pPr>
        <w:spacing w:before="62" w:line="227" w:lineRule="auto"/>
        <w:ind w:left="519"/>
        <w:rPr>
          <w:rFonts w:ascii="楷体" w:hAnsi="楷体" w:eastAsia="楷体" w:cs="楷体"/>
          <w:sz w:val="28"/>
          <w:szCs w:val="28"/>
        </w:rPr>
      </w:pPr>
      <w:r>
        <w:rPr>
          <w:rFonts w:ascii="Times New Roman" w:hAnsi="Times New Roman" w:eastAsia="Times New Roman" w:cs="Times New Roman"/>
          <w:spacing w:val="-3"/>
          <w:sz w:val="28"/>
          <w:szCs w:val="28"/>
        </w:rPr>
        <w:t xml:space="preserve">4  </w:t>
      </w:r>
      <w:r>
        <w:rPr>
          <w:rFonts w:ascii="楷体" w:hAnsi="楷体" w:eastAsia="楷体" w:cs="楷体"/>
          <w:spacing w:val="-3"/>
          <w:sz w:val="28"/>
          <w:szCs w:val="28"/>
        </w:rPr>
        <w:t>主要技术问题解决情况</w:t>
      </w:r>
    </w:p>
    <w:p w14:paraId="5D5991D7">
      <w:pPr>
        <w:spacing w:before="47" w:line="212" w:lineRule="auto"/>
        <w:ind w:left="519"/>
        <w:rPr>
          <w:rFonts w:ascii="楷体" w:hAnsi="楷体" w:eastAsia="楷体" w:cs="楷体"/>
          <w:sz w:val="27"/>
          <w:szCs w:val="27"/>
        </w:rPr>
      </w:pPr>
      <w:r>
        <w:rPr>
          <w:rFonts w:ascii="楷体" w:hAnsi="楷体" w:eastAsia="楷体" w:cs="楷体"/>
          <w:spacing w:val="9"/>
          <w:sz w:val="27"/>
          <w:szCs w:val="27"/>
        </w:rPr>
        <w:t>4.</w:t>
      </w:r>
      <w:r>
        <w:rPr>
          <w:rFonts w:ascii="Times New Roman" w:hAnsi="Times New Roman" w:eastAsia="Times New Roman" w:cs="Times New Roman"/>
          <w:spacing w:val="9"/>
          <w:sz w:val="27"/>
          <w:szCs w:val="27"/>
        </w:rPr>
        <w:t>X</w:t>
      </w:r>
      <w:r>
        <w:rPr>
          <w:rFonts w:ascii="Times New Roman" w:hAnsi="Times New Roman" w:eastAsia="Times New Roman" w:cs="Times New Roman"/>
          <w:spacing w:val="59"/>
          <w:w w:val="101"/>
          <w:sz w:val="27"/>
          <w:szCs w:val="27"/>
        </w:rPr>
        <w:t xml:space="preserve"> </w:t>
      </w:r>
      <w:r>
        <w:rPr>
          <w:rFonts w:ascii="Times New Roman" w:hAnsi="Times New Roman" w:eastAsia="Times New Roman" w:cs="Times New Roman"/>
          <w:spacing w:val="9"/>
          <w:sz w:val="27"/>
          <w:szCs w:val="27"/>
        </w:rPr>
        <w:t xml:space="preserve">( </w:t>
      </w:r>
      <w:r>
        <w:rPr>
          <w:rFonts w:ascii="楷体" w:hAnsi="楷体" w:eastAsia="楷体" w:cs="楷体"/>
          <w:spacing w:val="9"/>
          <w:sz w:val="27"/>
          <w:szCs w:val="27"/>
        </w:rPr>
        <w:t>主要技术问题</w:t>
      </w:r>
      <w:r>
        <w:rPr>
          <w:rFonts w:ascii="Times New Roman" w:hAnsi="Times New Roman" w:eastAsia="Times New Roman" w:cs="Times New Roman"/>
          <w:spacing w:val="9"/>
          <w:sz w:val="27"/>
          <w:szCs w:val="27"/>
        </w:rPr>
        <w:t>X)</w:t>
      </w:r>
      <w:r>
        <w:rPr>
          <w:rFonts w:ascii="楷体" w:hAnsi="楷体" w:eastAsia="楷体" w:cs="楷体"/>
          <w:spacing w:val="9"/>
          <w:sz w:val="27"/>
          <w:szCs w:val="27"/>
        </w:rPr>
        <w:t>及其解决情况</w:t>
      </w:r>
    </w:p>
    <w:p w14:paraId="3EEC6BF3">
      <w:pPr>
        <w:spacing w:before="118" w:line="227" w:lineRule="auto"/>
        <w:ind w:left="519"/>
        <w:rPr>
          <w:rFonts w:ascii="楷体" w:hAnsi="楷体" w:eastAsia="楷体" w:cs="楷体"/>
          <w:sz w:val="27"/>
          <w:szCs w:val="27"/>
        </w:rPr>
      </w:pPr>
      <w:r>
        <w:rPr>
          <w:rFonts w:ascii="Times New Roman" w:hAnsi="Times New Roman" w:eastAsia="Times New Roman" w:cs="Times New Roman"/>
          <w:spacing w:val="4"/>
          <w:sz w:val="27"/>
          <w:szCs w:val="27"/>
        </w:rPr>
        <w:t xml:space="preserve">5  </w:t>
      </w:r>
      <w:r>
        <w:rPr>
          <w:rFonts w:ascii="楷体" w:hAnsi="楷体" w:eastAsia="楷体" w:cs="楷体"/>
          <w:spacing w:val="4"/>
          <w:sz w:val="27"/>
          <w:szCs w:val="27"/>
        </w:rPr>
        <w:t>设计定型试验情况</w:t>
      </w:r>
    </w:p>
    <w:p w14:paraId="0141B097">
      <w:pPr>
        <w:spacing w:before="69" w:line="227" w:lineRule="auto"/>
        <w:ind w:left="519"/>
        <w:rPr>
          <w:rFonts w:ascii="楷体" w:hAnsi="楷体" w:eastAsia="楷体" w:cs="楷体"/>
          <w:sz w:val="28"/>
          <w:szCs w:val="28"/>
        </w:rPr>
      </w:pPr>
      <w:r>
        <w:rPr>
          <w:rFonts w:ascii="Times New Roman" w:hAnsi="Times New Roman" w:eastAsia="Times New Roman" w:cs="Times New Roman"/>
          <w:spacing w:val="-4"/>
          <w:sz w:val="28"/>
          <w:szCs w:val="28"/>
        </w:rPr>
        <w:t xml:space="preserve">5.1   </w:t>
      </w:r>
      <w:r>
        <w:rPr>
          <w:rFonts w:ascii="楷体" w:hAnsi="楷体" w:eastAsia="楷体" w:cs="楷体"/>
          <w:spacing w:val="-4"/>
          <w:sz w:val="28"/>
          <w:szCs w:val="28"/>
        </w:rPr>
        <w:t>地面试验情况</w:t>
      </w:r>
    </w:p>
    <w:p w14:paraId="4CC44254">
      <w:pPr>
        <w:spacing w:before="55" w:line="227" w:lineRule="auto"/>
        <w:ind w:left="519"/>
        <w:rPr>
          <w:rFonts w:ascii="楷体" w:hAnsi="楷体" w:eastAsia="楷体" w:cs="楷体"/>
          <w:sz w:val="27"/>
          <w:szCs w:val="27"/>
        </w:rPr>
      </w:pPr>
      <w:r>
        <w:rPr>
          <w:rFonts w:ascii="Times New Roman" w:hAnsi="Times New Roman" w:eastAsia="Times New Roman" w:cs="Times New Roman"/>
          <w:sz w:val="27"/>
          <w:szCs w:val="27"/>
        </w:rPr>
        <w:t>5.2</w:t>
      </w:r>
      <w:r>
        <w:rPr>
          <w:rFonts w:ascii="Times New Roman" w:hAnsi="Times New Roman" w:eastAsia="Times New Roman" w:cs="Times New Roman"/>
          <w:spacing w:val="8"/>
          <w:sz w:val="27"/>
          <w:szCs w:val="27"/>
        </w:rPr>
        <w:t xml:space="preserve">   </w:t>
      </w:r>
      <w:r>
        <w:rPr>
          <w:rFonts w:ascii="楷体" w:hAnsi="楷体" w:eastAsia="楷体" w:cs="楷体"/>
          <w:sz w:val="27"/>
          <w:szCs w:val="27"/>
        </w:rPr>
        <w:t>飞行试验情况</w:t>
      </w:r>
    </w:p>
    <w:p w14:paraId="2FA92EBF">
      <w:pPr>
        <w:spacing w:before="113" w:line="223" w:lineRule="auto"/>
        <w:ind w:left="519"/>
        <w:rPr>
          <w:rFonts w:ascii="楷体" w:hAnsi="楷体" w:eastAsia="楷体" w:cs="楷体"/>
          <w:sz w:val="27"/>
          <w:szCs w:val="27"/>
        </w:rPr>
      </w:pPr>
      <w:r>
        <w:rPr>
          <w:rFonts w:ascii="Times New Roman" w:hAnsi="Times New Roman" w:eastAsia="Times New Roman" w:cs="Times New Roman"/>
          <w:spacing w:val="-17"/>
          <w:sz w:val="27"/>
          <w:szCs w:val="27"/>
        </w:rPr>
        <w:t xml:space="preserve">6  </w:t>
      </w:r>
      <w:r>
        <w:rPr>
          <w:rFonts w:ascii="楷体" w:hAnsi="楷体" w:eastAsia="楷体" w:cs="楷体"/>
          <w:spacing w:val="-17"/>
          <w:sz w:val="27"/>
          <w:szCs w:val="27"/>
        </w:rPr>
        <w:t>产品可靠性、维修性、测试性、保障性、安全性情况</w:t>
      </w:r>
    </w:p>
    <w:p w14:paraId="28603FCD">
      <w:pPr>
        <w:spacing w:line="223" w:lineRule="auto"/>
        <w:rPr>
          <w:rFonts w:ascii="楷体" w:hAnsi="楷体" w:eastAsia="楷体" w:cs="楷体"/>
          <w:sz w:val="27"/>
          <w:szCs w:val="27"/>
        </w:rPr>
        <w:sectPr>
          <w:footerReference r:id="rId160" w:type="default"/>
          <w:pgSz w:w="11910" w:h="17130"/>
          <w:pgMar w:top="400" w:right="1315" w:bottom="1626" w:left="1140" w:header="0" w:footer="1437" w:gutter="0"/>
          <w:cols w:space="720" w:num="1"/>
        </w:sectPr>
      </w:pPr>
    </w:p>
    <w:p w14:paraId="12CEEEB0">
      <w:pPr>
        <w:pStyle w:val="2"/>
        <w:spacing w:line="243" w:lineRule="auto"/>
      </w:pPr>
    </w:p>
    <w:p w14:paraId="64E25D5B">
      <w:pPr>
        <w:pStyle w:val="2"/>
        <w:spacing w:line="243" w:lineRule="auto"/>
      </w:pPr>
    </w:p>
    <w:p w14:paraId="55A9822A">
      <w:pPr>
        <w:pStyle w:val="2"/>
        <w:spacing w:line="244" w:lineRule="auto"/>
      </w:pPr>
    </w:p>
    <w:p w14:paraId="381EC946">
      <w:pPr>
        <w:pStyle w:val="2"/>
        <w:spacing w:line="244" w:lineRule="auto"/>
      </w:pPr>
    </w:p>
    <w:p w14:paraId="3DFFDE30">
      <w:pPr>
        <w:pStyle w:val="2"/>
        <w:spacing w:line="244" w:lineRule="auto"/>
      </w:pPr>
    </w:p>
    <w:p w14:paraId="0B904BB4">
      <w:pPr>
        <w:spacing w:before="78" w:line="223" w:lineRule="auto"/>
        <w:ind w:left="539"/>
        <w:rPr>
          <w:rFonts w:ascii="楷体" w:hAnsi="楷体" w:eastAsia="楷体" w:cs="楷体"/>
          <w:sz w:val="24"/>
          <w:szCs w:val="24"/>
        </w:rPr>
      </w:pPr>
      <w:r>
        <w:rPr>
          <w:rFonts w:ascii="Times New Roman" w:hAnsi="Times New Roman" w:eastAsia="Times New Roman" w:cs="Times New Roman"/>
          <w:spacing w:val="22"/>
          <w:sz w:val="24"/>
          <w:szCs w:val="24"/>
        </w:rPr>
        <w:t>6.1</w:t>
      </w:r>
      <w:r>
        <w:rPr>
          <w:rFonts w:ascii="Times New Roman" w:hAnsi="Times New Roman" w:eastAsia="Times New Roman" w:cs="Times New Roman"/>
          <w:spacing w:val="5"/>
          <w:sz w:val="24"/>
          <w:szCs w:val="24"/>
        </w:rPr>
        <w:t xml:space="preserve">    </w:t>
      </w:r>
      <w:r>
        <w:rPr>
          <w:rFonts w:ascii="楷体" w:hAnsi="楷体" w:eastAsia="楷体" w:cs="楷体"/>
          <w:spacing w:val="22"/>
          <w:sz w:val="24"/>
          <w:szCs w:val="24"/>
        </w:rPr>
        <w:t>产品可靠性情况</w:t>
      </w:r>
    </w:p>
    <w:p w14:paraId="2A3A7CB4">
      <w:pPr>
        <w:spacing w:before="120" w:line="223" w:lineRule="auto"/>
        <w:ind w:left="539"/>
        <w:rPr>
          <w:rFonts w:ascii="楷体" w:hAnsi="楷体" w:eastAsia="楷体" w:cs="楷体"/>
          <w:sz w:val="24"/>
          <w:szCs w:val="24"/>
        </w:rPr>
      </w:pPr>
      <w:r>
        <w:rPr>
          <w:rFonts w:ascii="Times New Roman" w:hAnsi="Times New Roman" w:eastAsia="Times New Roman" w:cs="Times New Roman"/>
          <w:spacing w:val="22"/>
          <w:sz w:val="24"/>
          <w:szCs w:val="24"/>
        </w:rPr>
        <w:t>6.2</w:t>
      </w:r>
      <w:r>
        <w:rPr>
          <w:rFonts w:ascii="Times New Roman" w:hAnsi="Times New Roman" w:eastAsia="Times New Roman" w:cs="Times New Roman"/>
          <w:spacing w:val="5"/>
          <w:sz w:val="24"/>
          <w:szCs w:val="24"/>
        </w:rPr>
        <w:t xml:space="preserve">    </w:t>
      </w:r>
      <w:r>
        <w:rPr>
          <w:rFonts w:ascii="楷体" w:hAnsi="楷体" w:eastAsia="楷体" w:cs="楷体"/>
          <w:spacing w:val="22"/>
          <w:sz w:val="24"/>
          <w:szCs w:val="24"/>
        </w:rPr>
        <w:t>产品维修性情况</w:t>
      </w:r>
    </w:p>
    <w:p w14:paraId="520A46F9">
      <w:pPr>
        <w:spacing w:before="120" w:line="223" w:lineRule="auto"/>
        <w:ind w:left="539"/>
        <w:rPr>
          <w:rFonts w:ascii="楷体" w:hAnsi="楷体" w:eastAsia="楷体" w:cs="楷体"/>
          <w:sz w:val="24"/>
          <w:szCs w:val="24"/>
        </w:rPr>
      </w:pPr>
      <w:r>
        <w:rPr>
          <w:rFonts w:ascii="楷体" w:hAnsi="楷体" w:eastAsia="楷体" w:cs="楷体"/>
          <w:spacing w:val="30"/>
          <w:sz w:val="24"/>
          <w:szCs w:val="24"/>
        </w:rPr>
        <w:t>6</w:t>
      </w:r>
      <w:r>
        <w:rPr>
          <w:rFonts w:ascii="楷体" w:hAnsi="楷体" w:eastAsia="楷体" w:cs="楷体"/>
          <w:spacing w:val="-54"/>
          <w:sz w:val="24"/>
          <w:szCs w:val="24"/>
        </w:rPr>
        <w:t xml:space="preserve"> </w:t>
      </w:r>
      <w:r>
        <w:rPr>
          <w:rFonts w:ascii="楷体" w:hAnsi="楷体" w:eastAsia="楷体" w:cs="楷体"/>
          <w:spacing w:val="30"/>
          <w:sz w:val="24"/>
          <w:szCs w:val="24"/>
        </w:rPr>
        <w:t>.</w:t>
      </w:r>
      <w:r>
        <w:rPr>
          <w:rFonts w:ascii="楷体" w:hAnsi="楷体" w:eastAsia="楷体" w:cs="楷体"/>
          <w:spacing w:val="-63"/>
          <w:sz w:val="24"/>
          <w:szCs w:val="24"/>
        </w:rPr>
        <w:t xml:space="preserve"> </w:t>
      </w:r>
      <w:r>
        <w:rPr>
          <w:rFonts w:ascii="楷体" w:hAnsi="楷体" w:eastAsia="楷体" w:cs="楷体"/>
          <w:spacing w:val="30"/>
          <w:sz w:val="24"/>
          <w:szCs w:val="24"/>
        </w:rPr>
        <w:t>3产品测试性情况</w:t>
      </w:r>
    </w:p>
    <w:p w14:paraId="4CCAF18E">
      <w:pPr>
        <w:spacing w:before="100" w:line="223" w:lineRule="auto"/>
        <w:ind w:left="539"/>
        <w:rPr>
          <w:rFonts w:ascii="楷体" w:hAnsi="楷体" w:eastAsia="楷体" w:cs="楷体"/>
          <w:sz w:val="24"/>
          <w:szCs w:val="24"/>
        </w:rPr>
      </w:pPr>
      <w:r>
        <w:rPr>
          <w:rFonts w:ascii="楷体" w:hAnsi="楷体" w:eastAsia="楷体" w:cs="楷体"/>
          <w:spacing w:val="33"/>
          <w:sz w:val="24"/>
          <w:szCs w:val="24"/>
        </w:rPr>
        <w:t>6</w:t>
      </w:r>
      <w:r>
        <w:rPr>
          <w:rFonts w:ascii="楷体" w:hAnsi="楷体" w:eastAsia="楷体" w:cs="楷体"/>
          <w:spacing w:val="-51"/>
          <w:sz w:val="24"/>
          <w:szCs w:val="24"/>
        </w:rPr>
        <w:t xml:space="preserve"> </w:t>
      </w:r>
      <w:r>
        <w:rPr>
          <w:rFonts w:ascii="楷体" w:hAnsi="楷体" w:eastAsia="楷体" w:cs="楷体"/>
          <w:spacing w:val="33"/>
          <w:sz w:val="24"/>
          <w:szCs w:val="24"/>
        </w:rPr>
        <w:t>.</w:t>
      </w:r>
      <w:r>
        <w:rPr>
          <w:rFonts w:ascii="楷体" w:hAnsi="楷体" w:eastAsia="楷体" w:cs="楷体"/>
          <w:spacing w:val="-66"/>
          <w:sz w:val="24"/>
          <w:szCs w:val="24"/>
        </w:rPr>
        <w:t xml:space="preserve"> </w:t>
      </w:r>
      <w:r>
        <w:rPr>
          <w:rFonts w:ascii="楷体" w:hAnsi="楷体" w:eastAsia="楷体" w:cs="楷体"/>
          <w:spacing w:val="33"/>
          <w:sz w:val="24"/>
          <w:szCs w:val="24"/>
        </w:rPr>
        <w:t>4产品保障性情况</w:t>
      </w:r>
    </w:p>
    <w:p w14:paraId="50AA4D94">
      <w:pPr>
        <w:spacing w:before="120" w:line="223" w:lineRule="auto"/>
        <w:ind w:left="539"/>
        <w:rPr>
          <w:rFonts w:ascii="楷体" w:hAnsi="楷体" w:eastAsia="楷体" w:cs="楷体"/>
          <w:sz w:val="24"/>
          <w:szCs w:val="24"/>
        </w:rPr>
      </w:pPr>
      <w:r>
        <w:rPr>
          <w:rFonts w:ascii="Times New Roman" w:hAnsi="Times New Roman" w:eastAsia="Times New Roman" w:cs="Times New Roman"/>
          <w:spacing w:val="24"/>
          <w:sz w:val="24"/>
          <w:szCs w:val="24"/>
        </w:rPr>
        <w:t>6.5</w:t>
      </w:r>
      <w:r>
        <w:rPr>
          <w:rFonts w:ascii="Times New Roman" w:hAnsi="Times New Roman" w:eastAsia="Times New Roman" w:cs="Times New Roman"/>
          <w:sz w:val="24"/>
          <w:szCs w:val="24"/>
        </w:rPr>
        <w:t xml:space="preserve">    </w:t>
      </w:r>
      <w:r>
        <w:rPr>
          <w:rFonts w:ascii="楷体" w:hAnsi="楷体" w:eastAsia="楷体" w:cs="楷体"/>
          <w:spacing w:val="24"/>
          <w:sz w:val="24"/>
          <w:szCs w:val="24"/>
        </w:rPr>
        <w:t>产品安全性情况</w:t>
      </w:r>
    </w:p>
    <w:p w14:paraId="52FA7565">
      <w:pPr>
        <w:spacing w:before="70" w:line="223" w:lineRule="auto"/>
        <w:ind w:left="539"/>
        <w:rPr>
          <w:rFonts w:ascii="楷体" w:hAnsi="楷体" w:eastAsia="楷体" w:cs="楷体"/>
          <w:sz w:val="28"/>
          <w:szCs w:val="28"/>
        </w:rPr>
      </w:pPr>
      <w:r>
        <w:rPr>
          <w:rFonts w:ascii="Times New Roman" w:hAnsi="Times New Roman" w:eastAsia="Times New Roman" w:cs="Times New Roman"/>
          <w:spacing w:val="-5"/>
          <w:sz w:val="28"/>
          <w:szCs w:val="28"/>
        </w:rPr>
        <w:t xml:space="preserve">7  </w:t>
      </w:r>
      <w:r>
        <w:rPr>
          <w:rFonts w:ascii="楷体" w:hAnsi="楷体" w:eastAsia="楷体" w:cs="楷体"/>
          <w:spacing w:val="-5"/>
          <w:sz w:val="28"/>
          <w:szCs w:val="28"/>
        </w:rPr>
        <w:t>定型工作未尽事项的处理意见和建议</w:t>
      </w:r>
    </w:p>
    <w:p w14:paraId="00C3F7AB">
      <w:pPr>
        <w:spacing w:before="57" w:line="260" w:lineRule="auto"/>
        <w:ind w:left="539" w:right="3041"/>
        <w:rPr>
          <w:rFonts w:ascii="楷体" w:hAnsi="楷体" w:eastAsia="楷体" w:cs="楷体"/>
          <w:sz w:val="27"/>
          <w:szCs w:val="27"/>
        </w:rPr>
      </w:pPr>
      <w:r>
        <w:rPr>
          <w:rFonts w:ascii="楷体" w:hAnsi="楷体" w:eastAsia="楷体" w:cs="楷体"/>
          <w:spacing w:val="2"/>
          <w:sz w:val="27"/>
          <w:szCs w:val="27"/>
        </w:rPr>
        <w:t>7.</w:t>
      </w:r>
      <w:r>
        <w:rPr>
          <w:rFonts w:ascii="Times New Roman" w:hAnsi="Times New Roman" w:eastAsia="Times New Roman" w:cs="Times New Roman"/>
          <w:spacing w:val="2"/>
          <w:sz w:val="27"/>
          <w:szCs w:val="27"/>
        </w:rPr>
        <w:t>X</w:t>
      </w:r>
      <w:r>
        <w:rPr>
          <w:rFonts w:ascii="Times New Roman" w:hAnsi="Times New Roman" w:eastAsia="Times New Roman" w:cs="Times New Roman"/>
          <w:spacing w:val="64"/>
          <w:sz w:val="27"/>
          <w:szCs w:val="27"/>
        </w:rPr>
        <w:t xml:space="preserve"> </w:t>
      </w:r>
      <w:r>
        <w:rPr>
          <w:rFonts w:ascii="Times New Roman" w:hAnsi="Times New Roman" w:eastAsia="Times New Roman" w:cs="Times New Roman"/>
          <w:spacing w:val="2"/>
          <w:sz w:val="27"/>
          <w:szCs w:val="27"/>
        </w:rPr>
        <w:t xml:space="preserve">( </w:t>
      </w:r>
      <w:r>
        <w:rPr>
          <w:rFonts w:ascii="楷体" w:hAnsi="楷体" w:eastAsia="楷体" w:cs="楷体"/>
          <w:spacing w:val="2"/>
          <w:sz w:val="27"/>
          <w:szCs w:val="27"/>
        </w:rPr>
        <w:t>定型工作未尽事项</w:t>
      </w:r>
      <w:r>
        <w:rPr>
          <w:rFonts w:ascii="楷体" w:hAnsi="楷体" w:eastAsia="楷体" w:cs="楷体"/>
          <w:spacing w:val="-81"/>
          <w:sz w:val="27"/>
          <w:szCs w:val="27"/>
        </w:rPr>
        <w:t xml:space="preserve"> </w:t>
      </w:r>
      <w:r>
        <w:rPr>
          <w:rFonts w:ascii="Times New Roman" w:hAnsi="Times New Roman" w:eastAsia="Times New Roman" w:cs="Times New Roman"/>
          <w:spacing w:val="2"/>
          <w:sz w:val="27"/>
          <w:szCs w:val="27"/>
        </w:rPr>
        <w:t xml:space="preserve">X) </w:t>
      </w:r>
      <w:r>
        <w:rPr>
          <w:rFonts w:ascii="楷体" w:hAnsi="楷体" w:eastAsia="楷体" w:cs="楷体"/>
          <w:spacing w:val="2"/>
          <w:sz w:val="27"/>
          <w:szCs w:val="27"/>
        </w:rPr>
        <w:t>的处理意见和建议</w:t>
      </w:r>
      <w:r>
        <w:rPr>
          <w:rFonts w:ascii="楷体" w:hAnsi="楷体" w:eastAsia="楷体" w:cs="楷体"/>
          <w:sz w:val="27"/>
          <w:szCs w:val="27"/>
        </w:rPr>
        <w:t xml:space="preserve"> </w:t>
      </w:r>
      <w:r>
        <w:rPr>
          <w:rFonts w:ascii="楷体" w:hAnsi="楷体" w:eastAsia="楷体" w:cs="楷体"/>
          <w:spacing w:val="16"/>
          <w:sz w:val="27"/>
          <w:szCs w:val="27"/>
        </w:rPr>
        <w:t>8设计定型审查意见及结论</w:t>
      </w:r>
    </w:p>
    <w:p w14:paraId="70273BE2">
      <w:pPr>
        <w:pStyle w:val="2"/>
        <w:spacing w:line="316" w:lineRule="auto"/>
      </w:pPr>
    </w:p>
    <w:p w14:paraId="70D28E33">
      <w:pPr>
        <w:spacing w:before="117" w:line="218" w:lineRule="auto"/>
        <w:ind w:left="2679"/>
        <w:outlineLvl w:val="1"/>
        <w:rPr>
          <w:rFonts w:ascii="宋体" w:hAnsi="宋体" w:eastAsia="宋体" w:cs="宋体"/>
          <w:sz w:val="36"/>
          <w:szCs w:val="36"/>
        </w:rPr>
      </w:pPr>
      <w:bookmarkStart w:id="105" w:name="bookmark361"/>
      <w:bookmarkEnd w:id="105"/>
      <w:bookmarkStart w:id="106" w:name="bookmark52"/>
      <w:bookmarkEnd w:id="106"/>
      <w:r>
        <w:rPr>
          <w:rFonts w:ascii="Times New Roman" w:hAnsi="Times New Roman" w:eastAsia="Times New Roman" w:cs="Times New Roman"/>
          <w:b/>
          <w:bCs/>
          <w:spacing w:val="2"/>
          <w:sz w:val="36"/>
          <w:szCs w:val="36"/>
        </w:rPr>
        <w:t xml:space="preserve">1.50     </w:t>
      </w:r>
      <w:r>
        <w:rPr>
          <w:rFonts w:ascii="宋体" w:hAnsi="宋体" w:eastAsia="宋体" w:cs="宋体"/>
          <w:b/>
          <w:bCs/>
          <w:spacing w:val="2"/>
          <w:sz w:val="36"/>
          <w:szCs w:val="36"/>
        </w:rPr>
        <w:t>部队试用申请报告</w:t>
      </w:r>
    </w:p>
    <w:p w14:paraId="6CDD83C8">
      <w:pPr>
        <w:pStyle w:val="2"/>
        <w:spacing w:line="340" w:lineRule="auto"/>
      </w:pPr>
    </w:p>
    <w:p w14:paraId="35D60B25">
      <w:pPr>
        <w:spacing w:before="91" w:line="223" w:lineRule="auto"/>
        <w:ind w:left="539"/>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34"/>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3D5DD408">
      <w:pPr>
        <w:spacing w:before="102" w:line="221" w:lineRule="auto"/>
        <w:rPr>
          <w:rFonts w:ascii="黑体" w:hAnsi="黑体" w:eastAsia="黑体" w:cs="黑体"/>
          <w:sz w:val="24"/>
          <w:szCs w:val="24"/>
        </w:rPr>
      </w:pPr>
      <w:r>
        <w:rPr>
          <w:rFonts w:ascii="黑体" w:hAnsi="黑体" w:eastAsia="黑体" w:cs="黑体"/>
          <w:spacing w:val="26"/>
          <w:sz w:val="24"/>
          <w:szCs w:val="24"/>
        </w:rPr>
        <w:t>1</w:t>
      </w:r>
      <w:r>
        <w:rPr>
          <w:rFonts w:ascii="黑体" w:hAnsi="黑体" w:eastAsia="黑体" w:cs="黑体"/>
          <w:spacing w:val="39"/>
          <w:sz w:val="24"/>
          <w:szCs w:val="24"/>
        </w:rPr>
        <w:t xml:space="preserve">  </w:t>
      </w:r>
      <w:r>
        <w:rPr>
          <w:rFonts w:ascii="黑体" w:hAnsi="黑体" w:eastAsia="黑体" w:cs="黑体"/>
          <w:b/>
          <w:bCs/>
          <w:spacing w:val="26"/>
          <w:sz w:val="24"/>
          <w:szCs w:val="24"/>
        </w:rPr>
        <w:t>试生产工作概况</w:t>
      </w:r>
    </w:p>
    <w:p w14:paraId="2242425B">
      <w:pPr>
        <w:spacing w:before="108" w:line="219" w:lineRule="auto"/>
        <w:ind w:left="539"/>
        <w:rPr>
          <w:rFonts w:ascii="宋体" w:hAnsi="宋体" w:eastAsia="宋体" w:cs="宋体"/>
          <w:sz w:val="27"/>
          <w:szCs w:val="27"/>
        </w:rPr>
      </w:pPr>
      <w:r>
        <w:rPr>
          <w:rFonts w:ascii="宋体" w:hAnsi="宋体" w:eastAsia="宋体" w:cs="宋体"/>
          <w:spacing w:val="3"/>
          <w:sz w:val="27"/>
          <w:szCs w:val="27"/>
        </w:rPr>
        <w:t>对试生产全过程进行概括介绍。</w:t>
      </w:r>
    </w:p>
    <w:p w14:paraId="408A8D32">
      <w:pPr>
        <w:spacing w:before="77" w:line="222" w:lineRule="auto"/>
        <w:rPr>
          <w:rFonts w:ascii="黑体" w:hAnsi="黑体" w:eastAsia="黑体" w:cs="黑体"/>
          <w:sz w:val="27"/>
          <w:szCs w:val="27"/>
        </w:rPr>
      </w:pPr>
      <w:r>
        <w:rPr>
          <w:rFonts w:ascii="黑体" w:hAnsi="黑体" w:eastAsia="黑体" w:cs="黑体"/>
          <w:spacing w:val="3"/>
          <w:sz w:val="27"/>
          <w:szCs w:val="27"/>
        </w:rPr>
        <w:t xml:space="preserve">2  </w:t>
      </w:r>
      <w:r>
        <w:rPr>
          <w:rFonts w:ascii="黑体" w:hAnsi="黑体" w:eastAsia="黑体" w:cs="黑体"/>
          <w:b/>
          <w:bCs/>
          <w:spacing w:val="3"/>
          <w:sz w:val="27"/>
          <w:szCs w:val="27"/>
        </w:rPr>
        <w:t>产品技术状态和质量情况</w:t>
      </w:r>
    </w:p>
    <w:p w14:paraId="53917FBD">
      <w:pPr>
        <w:spacing w:before="89" w:line="219" w:lineRule="auto"/>
        <w:ind w:left="539"/>
        <w:rPr>
          <w:rFonts w:ascii="宋体" w:hAnsi="宋体" w:eastAsia="宋体" w:cs="宋体"/>
          <w:sz w:val="27"/>
          <w:szCs w:val="27"/>
        </w:rPr>
      </w:pPr>
      <w:r>
        <w:rPr>
          <w:rFonts w:ascii="宋体" w:hAnsi="宋体" w:eastAsia="宋体" w:cs="宋体"/>
          <w:spacing w:val="-3"/>
          <w:sz w:val="27"/>
          <w:szCs w:val="27"/>
        </w:rPr>
        <w:t>明确产品技术状态，说明试生产产品的质量情况。</w:t>
      </w:r>
    </w:p>
    <w:p w14:paraId="7B32D63A">
      <w:pPr>
        <w:spacing w:before="97" w:line="223"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工艺和生产条件基本情况</w:t>
      </w:r>
    </w:p>
    <w:p w14:paraId="18AE1A1A">
      <w:pPr>
        <w:spacing w:before="85" w:line="219" w:lineRule="auto"/>
        <w:ind w:left="539"/>
        <w:rPr>
          <w:rFonts w:ascii="宋体" w:hAnsi="宋体" w:eastAsia="宋体" w:cs="宋体"/>
          <w:sz w:val="27"/>
          <w:szCs w:val="27"/>
        </w:rPr>
      </w:pPr>
      <w:r>
        <w:rPr>
          <w:rFonts w:ascii="宋体" w:hAnsi="宋体" w:eastAsia="宋体" w:cs="宋体"/>
          <w:spacing w:val="4"/>
          <w:sz w:val="27"/>
          <w:szCs w:val="27"/>
        </w:rPr>
        <w:t>说明已通过考核的工艺和生产条件基本情况。主要包括：</w:t>
      </w:r>
    </w:p>
    <w:p w14:paraId="716FA088">
      <w:pPr>
        <w:spacing w:before="51"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a)</w:t>
      </w:r>
      <w:r>
        <w:rPr>
          <w:rFonts w:ascii="Times New Roman" w:hAnsi="Times New Roman" w:eastAsia="Times New Roman" w:cs="Times New Roman"/>
          <w:spacing w:val="68"/>
          <w:w w:val="101"/>
          <w:sz w:val="27"/>
          <w:szCs w:val="27"/>
        </w:rPr>
        <w:t xml:space="preserve"> </w:t>
      </w:r>
      <w:r>
        <w:rPr>
          <w:rFonts w:ascii="宋体" w:hAnsi="宋体" w:eastAsia="宋体" w:cs="宋体"/>
          <w:spacing w:val="2"/>
          <w:sz w:val="27"/>
          <w:szCs w:val="27"/>
        </w:rPr>
        <w:t>生产工艺流程；</w:t>
      </w:r>
    </w:p>
    <w:p w14:paraId="39621F35">
      <w:pPr>
        <w:spacing w:before="10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73"/>
          <w:w w:val="101"/>
          <w:sz w:val="27"/>
          <w:szCs w:val="27"/>
        </w:rPr>
        <w:t xml:space="preserve"> </w:t>
      </w:r>
      <w:r>
        <w:rPr>
          <w:rFonts w:ascii="宋体" w:hAnsi="宋体" w:eastAsia="宋体" w:cs="宋体"/>
          <w:spacing w:val="4"/>
          <w:sz w:val="27"/>
          <w:szCs w:val="27"/>
        </w:rPr>
        <w:t>工艺指令性文件和全套工艺规程；</w:t>
      </w:r>
    </w:p>
    <w:p w14:paraId="4F2863C3">
      <w:pPr>
        <w:spacing w:before="100"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54"/>
          <w:sz w:val="27"/>
          <w:szCs w:val="27"/>
        </w:rPr>
        <w:t xml:space="preserve"> </w:t>
      </w:r>
      <w:r>
        <w:rPr>
          <w:rFonts w:ascii="宋体" w:hAnsi="宋体" w:eastAsia="宋体" w:cs="宋体"/>
          <w:spacing w:val="2"/>
          <w:sz w:val="27"/>
          <w:szCs w:val="27"/>
        </w:rPr>
        <w:t>工艺装置设计图样；</w:t>
      </w:r>
    </w:p>
    <w:p w14:paraId="16C4C59A">
      <w:pPr>
        <w:spacing w:before="100"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d)</w:t>
      </w:r>
      <w:r>
        <w:rPr>
          <w:rFonts w:ascii="Times New Roman" w:hAnsi="Times New Roman" w:eastAsia="Times New Roman" w:cs="Times New Roman"/>
          <w:spacing w:val="74"/>
          <w:w w:val="101"/>
          <w:sz w:val="27"/>
          <w:szCs w:val="27"/>
        </w:rPr>
        <w:t xml:space="preserve"> </w:t>
      </w:r>
      <w:r>
        <w:rPr>
          <w:rFonts w:ascii="宋体" w:hAnsi="宋体" w:eastAsia="宋体" w:cs="宋体"/>
          <w:spacing w:val="-2"/>
          <w:sz w:val="27"/>
          <w:szCs w:val="27"/>
        </w:rPr>
        <w:t>工序、特殊工艺考核报告及工艺装置一览表；</w:t>
      </w:r>
    </w:p>
    <w:p w14:paraId="37E7C69C">
      <w:pPr>
        <w:spacing w:before="10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e)</w:t>
      </w:r>
      <w:r>
        <w:rPr>
          <w:rFonts w:ascii="Times New Roman" w:hAnsi="Times New Roman" w:eastAsia="Times New Roman" w:cs="Times New Roman"/>
          <w:spacing w:val="62"/>
          <w:w w:val="101"/>
          <w:sz w:val="27"/>
          <w:szCs w:val="27"/>
        </w:rPr>
        <w:t xml:space="preserve"> </w:t>
      </w:r>
      <w:r>
        <w:rPr>
          <w:rFonts w:ascii="宋体" w:hAnsi="宋体" w:eastAsia="宋体" w:cs="宋体"/>
          <w:spacing w:val="4"/>
          <w:sz w:val="27"/>
          <w:szCs w:val="27"/>
        </w:rPr>
        <w:t>关键和重要零部件的工艺说明；</w:t>
      </w:r>
    </w:p>
    <w:p w14:paraId="415C4A28">
      <w:pPr>
        <w:spacing w:before="100" w:line="212" w:lineRule="auto"/>
        <w:ind w:left="539"/>
        <w:rPr>
          <w:rFonts w:ascii="宋体" w:hAnsi="宋体" w:eastAsia="宋体" w:cs="宋体"/>
          <w:sz w:val="27"/>
          <w:szCs w:val="27"/>
        </w:rPr>
      </w:pPr>
      <w:r>
        <w:rPr>
          <w:rFonts w:ascii="Times New Roman" w:hAnsi="Times New Roman" w:eastAsia="Times New Roman" w:cs="Times New Roman"/>
          <w:spacing w:val="1"/>
          <w:sz w:val="27"/>
          <w:szCs w:val="27"/>
        </w:rPr>
        <w:t>f)</w:t>
      </w:r>
      <w:r>
        <w:rPr>
          <w:rFonts w:ascii="Times New Roman" w:hAnsi="Times New Roman" w:eastAsia="Times New Roman" w:cs="Times New Roman"/>
          <w:spacing w:val="67"/>
          <w:w w:val="101"/>
          <w:sz w:val="27"/>
          <w:szCs w:val="27"/>
        </w:rPr>
        <w:t xml:space="preserve"> </w:t>
      </w:r>
      <w:r>
        <w:rPr>
          <w:rFonts w:ascii="宋体" w:hAnsi="宋体" w:eastAsia="宋体" w:cs="宋体"/>
          <w:spacing w:val="1"/>
          <w:sz w:val="27"/>
          <w:szCs w:val="27"/>
        </w:rPr>
        <w:t>产品检验记录；</w:t>
      </w:r>
    </w:p>
    <w:p w14:paraId="3ED1B0AC">
      <w:pPr>
        <w:spacing w:before="99"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g)  </w:t>
      </w:r>
      <w:r>
        <w:rPr>
          <w:rFonts w:ascii="宋体" w:hAnsi="宋体" w:eastAsia="宋体" w:cs="宋体"/>
          <w:spacing w:val="4"/>
          <w:sz w:val="27"/>
          <w:szCs w:val="27"/>
        </w:rPr>
        <w:t>承研承制单位质量管理体系和产品质量保证的有关文件；</w:t>
      </w:r>
    </w:p>
    <w:p w14:paraId="44478CEC">
      <w:pPr>
        <w:spacing w:before="101"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h)</w:t>
      </w:r>
      <w:r>
        <w:rPr>
          <w:rFonts w:ascii="Times New Roman" w:hAnsi="Times New Roman" w:eastAsia="Times New Roman" w:cs="Times New Roman"/>
          <w:spacing w:val="53"/>
          <w:sz w:val="27"/>
          <w:szCs w:val="27"/>
        </w:rPr>
        <w:t xml:space="preserve"> </w:t>
      </w:r>
      <w:r>
        <w:rPr>
          <w:rFonts w:ascii="宋体" w:hAnsi="宋体" w:eastAsia="宋体" w:cs="宋体"/>
          <w:spacing w:val="-2"/>
          <w:sz w:val="27"/>
          <w:szCs w:val="27"/>
        </w:rPr>
        <w:t>元器件、原材料等生产准备的有关文件。</w:t>
      </w:r>
    </w:p>
    <w:p w14:paraId="25023FB2">
      <w:pPr>
        <w:spacing w:before="124" w:line="222" w:lineRule="auto"/>
        <w:rPr>
          <w:rFonts w:ascii="黑体" w:hAnsi="黑体" w:eastAsia="黑体" w:cs="黑体"/>
          <w:sz w:val="27"/>
          <w:szCs w:val="27"/>
        </w:rPr>
      </w:pPr>
      <w:r>
        <w:rPr>
          <w:rFonts w:ascii="黑体" w:hAnsi="黑体" w:eastAsia="黑体" w:cs="黑体"/>
          <w:spacing w:val="1"/>
          <w:sz w:val="27"/>
          <w:szCs w:val="27"/>
        </w:rPr>
        <w:t xml:space="preserve">4  </w:t>
      </w:r>
      <w:r>
        <w:rPr>
          <w:rFonts w:ascii="黑体" w:hAnsi="黑体" w:eastAsia="黑体" w:cs="黑体"/>
          <w:b/>
          <w:bCs/>
          <w:spacing w:val="1"/>
          <w:sz w:val="27"/>
          <w:szCs w:val="27"/>
        </w:rPr>
        <w:t>检验验收情况</w:t>
      </w:r>
    </w:p>
    <w:p w14:paraId="22B7125F">
      <w:pPr>
        <w:spacing w:before="82" w:line="219" w:lineRule="auto"/>
        <w:ind w:left="539"/>
        <w:rPr>
          <w:rFonts w:ascii="宋体" w:hAnsi="宋体" w:eastAsia="宋体" w:cs="宋体"/>
          <w:sz w:val="27"/>
          <w:szCs w:val="27"/>
        </w:rPr>
      </w:pPr>
      <w:r>
        <w:rPr>
          <w:rFonts w:ascii="宋体" w:hAnsi="宋体" w:eastAsia="宋体" w:cs="宋体"/>
          <w:spacing w:val="-6"/>
          <w:sz w:val="27"/>
          <w:szCs w:val="27"/>
        </w:rPr>
        <w:t>明确检验验收标准，说明试生产过程中、最终检验验收情况。</w:t>
      </w:r>
    </w:p>
    <w:p w14:paraId="3911BC47">
      <w:pPr>
        <w:pStyle w:val="2"/>
        <w:spacing w:before="93" w:line="221" w:lineRule="auto"/>
        <w:rPr>
          <w:rFonts w:ascii="黑体" w:hAnsi="黑体" w:eastAsia="黑体" w:cs="黑体"/>
          <w:sz w:val="27"/>
          <w:szCs w:val="27"/>
        </w:rPr>
      </w:pPr>
      <w:r>
        <w:rPr>
          <w:b/>
          <w:bCs/>
          <w:spacing w:val="2"/>
          <w:sz w:val="27"/>
          <w:szCs w:val="27"/>
        </w:rPr>
        <w:t>5</w:t>
      </w:r>
      <w:r>
        <w:rPr>
          <w:b/>
          <w:bCs/>
          <w:spacing w:val="18"/>
          <w:w w:val="101"/>
          <w:sz w:val="27"/>
          <w:szCs w:val="27"/>
        </w:rPr>
        <w:t xml:space="preserve">   </w:t>
      </w:r>
      <w:r>
        <w:rPr>
          <w:rFonts w:ascii="黑体" w:hAnsi="黑体" w:eastAsia="黑体" w:cs="黑体"/>
          <w:b/>
          <w:bCs/>
          <w:spacing w:val="2"/>
          <w:sz w:val="27"/>
          <w:szCs w:val="27"/>
        </w:rPr>
        <w:t>对部队试用的要求和建议</w:t>
      </w:r>
    </w:p>
    <w:p w14:paraId="2EB1D191">
      <w:pPr>
        <w:spacing w:before="81" w:line="219" w:lineRule="auto"/>
        <w:ind w:left="539"/>
        <w:rPr>
          <w:rFonts w:ascii="宋体" w:hAnsi="宋体" w:eastAsia="宋体" w:cs="宋体"/>
          <w:sz w:val="27"/>
          <w:szCs w:val="27"/>
        </w:rPr>
      </w:pPr>
      <w:r>
        <w:rPr>
          <w:rFonts w:ascii="宋体" w:hAnsi="宋体" w:eastAsia="宋体" w:cs="宋体"/>
          <w:spacing w:val="1"/>
          <w:sz w:val="27"/>
          <w:szCs w:val="27"/>
        </w:rPr>
        <w:t>主要从以下几方面提出要求和建议：</w:t>
      </w:r>
    </w:p>
    <w:p w14:paraId="1E6083C0">
      <w:pPr>
        <w:spacing w:before="103" w:line="212" w:lineRule="auto"/>
        <w:ind w:left="539"/>
        <w:rPr>
          <w:rFonts w:ascii="宋体" w:hAnsi="宋体" w:eastAsia="宋体" w:cs="宋体"/>
          <w:sz w:val="24"/>
          <w:szCs w:val="24"/>
        </w:rPr>
      </w:pPr>
      <w:r>
        <w:rPr>
          <w:rFonts w:ascii="Times New Roman" w:hAnsi="Times New Roman" w:eastAsia="Times New Roman" w:cs="Times New Roman"/>
          <w:spacing w:val="22"/>
          <w:sz w:val="24"/>
          <w:szCs w:val="24"/>
        </w:rPr>
        <w:t xml:space="preserve">a)  </w:t>
      </w:r>
      <w:r>
        <w:rPr>
          <w:rFonts w:ascii="宋体" w:hAnsi="宋体" w:eastAsia="宋体" w:cs="宋体"/>
          <w:spacing w:val="22"/>
          <w:sz w:val="24"/>
          <w:szCs w:val="24"/>
        </w:rPr>
        <w:t>考核内容和方法；</w:t>
      </w:r>
    </w:p>
    <w:p w14:paraId="2C0B21DB">
      <w:pPr>
        <w:spacing w:before="135" w:line="212" w:lineRule="auto"/>
        <w:ind w:left="539"/>
        <w:rPr>
          <w:rFonts w:ascii="宋体" w:hAnsi="宋体" w:eastAsia="宋体" w:cs="宋体"/>
          <w:sz w:val="24"/>
          <w:szCs w:val="24"/>
        </w:rPr>
      </w:pPr>
      <w:r>
        <w:rPr>
          <w:rFonts w:ascii="Times New Roman" w:hAnsi="Times New Roman" w:eastAsia="Times New Roman" w:cs="Times New Roman"/>
          <w:spacing w:val="24"/>
          <w:sz w:val="24"/>
          <w:szCs w:val="24"/>
        </w:rPr>
        <w:t>b)</w:t>
      </w:r>
      <w:r>
        <w:rPr>
          <w:rFonts w:ascii="Times New Roman" w:hAnsi="Times New Roman" w:eastAsia="Times New Roman" w:cs="Times New Roman"/>
          <w:spacing w:val="19"/>
          <w:w w:val="101"/>
          <w:sz w:val="24"/>
          <w:szCs w:val="24"/>
        </w:rPr>
        <w:t xml:space="preserve">  </w:t>
      </w:r>
      <w:r>
        <w:rPr>
          <w:rFonts w:ascii="宋体" w:hAnsi="宋体" w:eastAsia="宋体" w:cs="宋体"/>
          <w:spacing w:val="24"/>
          <w:sz w:val="24"/>
          <w:szCs w:val="24"/>
        </w:rPr>
        <w:t>试用条件与要求；</w:t>
      </w:r>
    </w:p>
    <w:p w14:paraId="2BE742A9">
      <w:pPr>
        <w:spacing w:before="102" w:line="212" w:lineRule="auto"/>
        <w:ind w:left="539"/>
        <w:rPr>
          <w:rFonts w:ascii="宋体" w:hAnsi="宋体" w:eastAsia="宋体" w:cs="宋体"/>
          <w:sz w:val="27"/>
          <w:szCs w:val="27"/>
        </w:rPr>
      </w:pPr>
      <w:r>
        <w:rPr>
          <w:rFonts w:ascii="Times New Roman" w:hAnsi="Times New Roman" w:eastAsia="Times New Roman" w:cs="Times New Roman"/>
          <w:spacing w:val="-6"/>
          <w:sz w:val="27"/>
          <w:szCs w:val="27"/>
        </w:rPr>
        <w:t>c)</w:t>
      </w:r>
      <w:r>
        <w:rPr>
          <w:rFonts w:ascii="Times New Roman" w:hAnsi="Times New Roman" w:eastAsia="Times New Roman" w:cs="Times New Roman"/>
          <w:spacing w:val="63"/>
          <w:w w:val="101"/>
          <w:sz w:val="27"/>
          <w:szCs w:val="27"/>
        </w:rPr>
        <w:t xml:space="preserve"> </w:t>
      </w:r>
      <w:r>
        <w:rPr>
          <w:rFonts w:ascii="宋体" w:hAnsi="宋体" w:eastAsia="宋体" w:cs="宋体"/>
          <w:spacing w:val="-6"/>
          <w:sz w:val="27"/>
          <w:szCs w:val="27"/>
        </w:rPr>
        <w:t>试用必须采集的资料、数据；</w:t>
      </w:r>
    </w:p>
    <w:p w14:paraId="34302908">
      <w:pPr>
        <w:spacing w:before="100" w:line="212" w:lineRule="auto"/>
        <w:ind w:left="539"/>
        <w:rPr>
          <w:rFonts w:ascii="宋体" w:hAnsi="宋体" w:eastAsia="宋体" w:cs="宋体"/>
          <w:sz w:val="27"/>
          <w:szCs w:val="27"/>
        </w:rPr>
      </w:pPr>
      <w:r>
        <w:rPr>
          <w:rFonts w:ascii="Times New Roman" w:hAnsi="Times New Roman" w:eastAsia="Times New Roman" w:cs="Times New Roman"/>
          <w:sz w:val="27"/>
          <w:szCs w:val="27"/>
        </w:rPr>
        <w:t>d)</w:t>
      </w:r>
      <w:r>
        <w:rPr>
          <w:rFonts w:ascii="Times New Roman" w:hAnsi="Times New Roman" w:eastAsia="Times New Roman" w:cs="Times New Roman"/>
          <w:spacing w:val="71"/>
          <w:sz w:val="27"/>
          <w:szCs w:val="27"/>
        </w:rPr>
        <w:t xml:space="preserve"> </w:t>
      </w:r>
      <w:r>
        <w:rPr>
          <w:rFonts w:ascii="宋体" w:hAnsi="宋体" w:eastAsia="宋体" w:cs="宋体"/>
          <w:sz w:val="27"/>
          <w:szCs w:val="27"/>
        </w:rPr>
        <w:t>试用保障。</w:t>
      </w:r>
    </w:p>
    <w:p w14:paraId="16C6F909">
      <w:pPr>
        <w:spacing w:line="212" w:lineRule="auto"/>
        <w:rPr>
          <w:rFonts w:ascii="宋体" w:hAnsi="宋体" w:eastAsia="宋体" w:cs="宋体"/>
          <w:sz w:val="27"/>
          <w:szCs w:val="27"/>
        </w:rPr>
        <w:sectPr>
          <w:footerReference r:id="rId161" w:type="default"/>
          <w:pgSz w:w="11910" w:h="17130"/>
          <w:pgMar w:top="400" w:right="1228" w:bottom="1474" w:left="1569" w:header="0" w:footer="1258" w:gutter="0"/>
          <w:cols w:space="720" w:num="1"/>
        </w:sectPr>
      </w:pPr>
    </w:p>
    <w:p w14:paraId="71217F0D">
      <w:pPr>
        <w:pStyle w:val="2"/>
        <w:spacing w:line="245" w:lineRule="auto"/>
      </w:pPr>
    </w:p>
    <w:p w14:paraId="4CEFEFE1">
      <w:pPr>
        <w:pStyle w:val="2"/>
        <w:spacing w:line="245" w:lineRule="auto"/>
      </w:pPr>
    </w:p>
    <w:p w14:paraId="075292A1">
      <w:pPr>
        <w:pStyle w:val="2"/>
        <w:spacing w:line="245" w:lineRule="auto"/>
      </w:pPr>
    </w:p>
    <w:p w14:paraId="5E738614">
      <w:pPr>
        <w:pStyle w:val="2"/>
        <w:spacing w:line="246" w:lineRule="auto"/>
      </w:pPr>
    </w:p>
    <w:p w14:paraId="50CF0C04">
      <w:pPr>
        <w:pStyle w:val="2"/>
        <w:spacing w:line="246" w:lineRule="auto"/>
      </w:pPr>
    </w:p>
    <w:p w14:paraId="5CA9E703">
      <w:pPr>
        <w:pStyle w:val="2"/>
        <w:spacing w:line="246" w:lineRule="auto"/>
      </w:pPr>
    </w:p>
    <w:p w14:paraId="67EDBBA7">
      <w:pPr>
        <w:spacing w:before="117" w:line="219" w:lineRule="auto"/>
        <w:ind w:left="3040"/>
        <w:outlineLvl w:val="1"/>
        <w:rPr>
          <w:rFonts w:ascii="宋体" w:hAnsi="宋体" w:eastAsia="宋体" w:cs="宋体"/>
          <w:sz w:val="36"/>
          <w:szCs w:val="36"/>
        </w:rPr>
      </w:pPr>
      <w:bookmarkStart w:id="107" w:name="bookmark53"/>
      <w:bookmarkEnd w:id="107"/>
      <w:r>
        <w:rPr>
          <w:rFonts w:ascii="宋体" w:hAnsi="宋体" w:eastAsia="宋体" w:cs="宋体"/>
          <w:spacing w:val="-2"/>
          <w:sz w:val="36"/>
          <w:szCs w:val="36"/>
        </w:rPr>
        <w:t>1.51</w:t>
      </w:r>
      <w:r>
        <w:rPr>
          <w:rFonts w:ascii="宋体" w:hAnsi="宋体" w:eastAsia="宋体" w:cs="宋体"/>
          <w:spacing w:val="17"/>
          <w:sz w:val="36"/>
          <w:szCs w:val="36"/>
        </w:rPr>
        <w:t xml:space="preserve">  </w:t>
      </w:r>
      <w:r>
        <w:rPr>
          <w:rFonts w:ascii="宋体" w:hAnsi="宋体" w:eastAsia="宋体" w:cs="宋体"/>
          <w:b/>
          <w:bCs/>
          <w:spacing w:val="-2"/>
          <w:sz w:val="36"/>
          <w:szCs w:val="36"/>
        </w:rPr>
        <w:t>部队试用大纲</w:t>
      </w:r>
    </w:p>
    <w:p w14:paraId="68BAA692">
      <w:pPr>
        <w:pStyle w:val="2"/>
        <w:spacing w:line="334" w:lineRule="auto"/>
      </w:pPr>
    </w:p>
    <w:p w14:paraId="7B1A11C1">
      <w:pPr>
        <w:spacing w:before="91" w:line="223" w:lineRule="auto"/>
        <w:ind w:left="550"/>
        <w:rPr>
          <w:rFonts w:ascii="楷体" w:hAnsi="楷体" w:eastAsia="楷体" w:cs="楷体"/>
          <w:sz w:val="28"/>
          <w:szCs w:val="28"/>
        </w:rPr>
      </w:pPr>
      <w:r>
        <w:rPr>
          <w:rFonts w:ascii="楷体" w:hAnsi="楷体" w:eastAsia="楷体" w:cs="楷体"/>
          <w:spacing w:val="-7"/>
          <w:sz w:val="28"/>
          <w:szCs w:val="28"/>
        </w:rPr>
        <w:t>按照</w:t>
      </w:r>
      <w:r>
        <w:rPr>
          <w:rFonts w:ascii="Times New Roman" w:hAnsi="Times New Roman" w:eastAsia="Times New Roman" w:cs="Times New Roman"/>
          <w:spacing w:val="-7"/>
          <w:sz w:val="28"/>
          <w:szCs w:val="28"/>
        </w:rPr>
        <w:t>GJB6177—2007</w:t>
      </w:r>
      <w:r>
        <w:rPr>
          <w:rFonts w:ascii="宋体" w:hAnsi="宋体" w:eastAsia="宋体" w:cs="宋体"/>
          <w:spacing w:val="-7"/>
          <w:sz w:val="28"/>
          <w:szCs w:val="28"/>
        </w:rPr>
        <w:t>《</w:t>
      </w:r>
      <w:r>
        <w:rPr>
          <w:rFonts w:ascii="楷体" w:hAnsi="楷体" w:eastAsia="楷体" w:cs="楷体"/>
          <w:spacing w:val="-7"/>
          <w:sz w:val="28"/>
          <w:szCs w:val="28"/>
        </w:rPr>
        <w:t>军工产品定型部队试验试用大</w:t>
      </w:r>
      <w:r>
        <w:rPr>
          <w:rFonts w:ascii="楷体" w:hAnsi="楷体" w:eastAsia="楷体" w:cs="楷体"/>
          <w:spacing w:val="-8"/>
          <w:sz w:val="28"/>
          <w:szCs w:val="28"/>
        </w:rPr>
        <w:t>纲通用要求》编写。</w:t>
      </w:r>
    </w:p>
    <w:p w14:paraId="080A8EB4">
      <w:pPr>
        <w:spacing w:before="81" w:line="221"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3"/>
          <w:sz w:val="27"/>
          <w:szCs w:val="27"/>
        </w:rPr>
        <w:t xml:space="preserve">  </w:t>
      </w:r>
      <w:r>
        <w:rPr>
          <w:rFonts w:ascii="黑体" w:hAnsi="黑体" w:eastAsia="黑体" w:cs="黑体"/>
          <w:b/>
          <w:bCs/>
          <w:spacing w:val="-3"/>
          <w:sz w:val="27"/>
          <w:szCs w:val="27"/>
        </w:rPr>
        <w:t>任务依据</w:t>
      </w:r>
    </w:p>
    <w:p w14:paraId="0479B35C">
      <w:pPr>
        <w:spacing w:before="101" w:line="219" w:lineRule="auto"/>
        <w:ind w:left="550"/>
        <w:rPr>
          <w:rFonts w:ascii="宋体" w:hAnsi="宋体" w:eastAsia="宋体" w:cs="宋体"/>
          <w:sz w:val="27"/>
          <w:szCs w:val="27"/>
        </w:rPr>
      </w:pPr>
      <w:r>
        <w:rPr>
          <w:rFonts w:ascii="宋体" w:hAnsi="宋体" w:eastAsia="宋体" w:cs="宋体"/>
          <w:spacing w:val="5"/>
          <w:sz w:val="27"/>
          <w:szCs w:val="27"/>
        </w:rPr>
        <w:t>说明试用任务依据。任务依据通常是部队试用</w:t>
      </w:r>
      <w:r>
        <w:rPr>
          <w:rFonts w:ascii="宋体" w:hAnsi="宋体" w:eastAsia="宋体" w:cs="宋体"/>
          <w:spacing w:val="4"/>
          <w:sz w:val="27"/>
          <w:szCs w:val="27"/>
        </w:rPr>
        <w:t>年度计划或试用任务书。</w:t>
      </w:r>
    </w:p>
    <w:p w14:paraId="7C6D4C87">
      <w:pPr>
        <w:spacing w:before="105" w:line="221" w:lineRule="auto"/>
        <w:rPr>
          <w:rFonts w:ascii="黑体" w:hAnsi="黑体" w:eastAsia="黑体" w:cs="黑体"/>
          <w:sz w:val="24"/>
          <w:szCs w:val="24"/>
        </w:rPr>
      </w:pPr>
      <w:r>
        <w:rPr>
          <w:rFonts w:ascii="黑体" w:hAnsi="黑体" w:eastAsia="黑体" w:cs="黑体"/>
          <w:spacing w:val="27"/>
          <w:sz w:val="24"/>
          <w:szCs w:val="24"/>
        </w:rPr>
        <w:t>2</w:t>
      </w:r>
      <w:r>
        <w:rPr>
          <w:rFonts w:ascii="黑体" w:hAnsi="黑体" w:eastAsia="黑体" w:cs="黑体"/>
          <w:spacing w:val="25"/>
          <w:sz w:val="24"/>
          <w:szCs w:val="24"/>
        </w:rPr>
        <w:t xml:space="preserve">  </w:t>
      </w:r>
      <w:r>
        <w:rPr>
          <w:rFonts w:ascii="黑体" w:hAnsi="黑体" w:eastAsia="黑体" w:cs="黑体"/>
          <w:b/>
          <w:bCs/>
          <w:spacing w:val="27"/>
          <w:sz w:val="24"/>
          <w:szCs w:val="24"/>
        </w:rPr>
        <w:t>试用目的</w:t>
      </w:r>
    </w:p>
    <w:p w14:paraId="1FC8E307">
      <w:pPr>
        <w:spacing w:before="101" w:line="274" w:lineRule="auto"/>
        <w:ind w:right="127" w:firstLine="550"/>
        <w:jc w:val="both"/>
        <w:rPr>
          <w:rFonts w:ascii="宋体" w:hAnsi="宋体" w:eastAsia="宋体" w:cs="宋体"/>
          <w:sz w:val="27"/>
          <w:szCs w:val="27"/>
        </w:rPr>
      </w:pPr>
      <w:r>
        <w:rPr>
          <w:rFonts w:ascii="宋体" w:hAnsi="宋体" w:eastAsia="宋体" w:cs="宋体"/>
          <w:spacing w:val="-3"/>
          <w:sz w:val="27"/>
          <w:szCs w:val="27"/>
        </w:rPr>
        <w:t>部队试用目的通常是：在部队正常使用条件下，通过部队试用，考核被试品</w:t>
      </w:r>
      <w:r>
        <w:rPr>
          <w:rFonts w:ascii="宋体" w:hAnsi="宋体" w:eastAsia="宋体" w:cs="宋体"/>
          <w:spacing w:val="15"/>
          <w:sz w:val="27"/>
          <w:szCs w:val="27"/>
        </w:rPr>
        <w:t xml:space="preserve"> </w:t>
      </w:r>
      <w:r>
        <w:rPr>
          <w:rFonts w:ascii="宋体" w:hAnsi="宋体" w:eastAsia="宋体" w:cs="宋体"/>
          <w:spacing w:val="5"/>
          <w:sz w:val="27"/>
          <w:szCs w:val="27"/>
        </w:rPr>
        <w:t>的质量稳定性和满足部队作战使用与保障要求的程度，为其能否生产定型提供</w:t>
      </w:r>
      <w:r>
        <w:rPr>
          <w:rFonts w:ascii="宋体" w:hAnsi="宋体" w:eastAsia="宋体" w:cs="宋体"/>
          <w:spacing w:val="8"/>
          <w:sz w:val="27"/>
          <w:szCs w:val="27"/>
        </w:rPr>
        <w:t xml:space="preserve"> </w:t>
      </w:r>
      <w:r>
        <w:rPr>
          <w:rFonts w:ascii="宋体" w:hAnsi="宋体" w:eastAsia="宋体" w:cs="宋体"/>
          <w:spacing w:val="-10"/>
          <w:sz w:val="27"/>
          <w:szCs w:val="27"/>
        </w:rPr>
        <w:t>依据。同时为研究装备的作战使用、装备编制、人员要求、训练要求、后勤保障以</w:t>
      </w:r>
      <w:r>
        <w:rPr>
          <w:rFonts w:ascii="宋体" w:hAnsi="宋体" w:eastAsia="宋体" w:cs="宋体"/>
          <w:spacing w:val="12"/>
          <w:sz w:val="27"/>
          <w:szCs w:val="27"/>
        </w:rPr>
        <w:t xml:space="preserve"> </w:t>
      </w:r>
      <w:r>
        <w:rPr>
          <w:rFonts w:ascii="宋体" w:hAnsi="宋体" w:eastAsia="宋体" w:cs="宋体"/>
          <w:spacing w:val="3"/>
          <w:sz w:val="27"/>
          <w:szCs w:val="27"/>
        </w:rPr>
        <w:t>及装备的科研和生产等积累资料。</w:t>
      </w:r>
    </w:p>
    <w:p w14:paraId="05EB0A09">
      <w:pPr>
        <w:spacing w:before="1" w:line="220"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试用项目</w:t>
      </w:r>
    </w:p>
    <w:p w14:paraId="4B09CA47">
      <w:pPr>
        <w:spacing w:before="113" w:line="219" w:lineRule="auto"/>
        <w:ind w:left="550"/>
        <w:rPr>
          <w:rFonts w:ascii="宋体" w:hAnsi="宋体" w:eastAsia="宋体" w:cs="宋体"/>
          <w:sz w:val="27"/>
          <w:szCs w:val="27"/>
        </w:rPr>
      </w:pPr>
      <w:r>
        <w:rPr>
          <w:rFonts w:ascii="宋体" w:hAnsi="宋体" w:eastAsia="宋体" w:cs="宋体"/>
          <w:spacing w:val="-2"/>
          <w:sz w:val="27"/>
          <w:szCs w:val="27"/>
        </w:rPr>
        <w:t>试用项目应包括被试品作战、训练任务剖面的主要方面。</w:t>
      </w:r>
    </w:p>
    <w:p w14:paraId="5BB65700">
      <w:pPr>
        <w:pStyle w:val="2"/>
        <w:spacing w:before="103" w:line="221" w:lineRule="auto"/>
        <w:rPr>
          <w:rFonts w:ascii="黑体" w:hAnsi="黑体" w:eastAsia="黑体" w:cs="黑体"/>
          <w:sz w:val="24"/>
          <w:szCs w:val="24"/>
        </w:rPr>
      </w:pPr>
      <w:r>
        <w:rPr>
          <w:b/>
          <w:bCs/>
          <w:spacing w:val="27"/>
          <w:sz w:val="24"/>
          <w:szCs w:val="24"/>
        </w:rPr>
        <w:t>4</w:t>
      </w:r>
      <w:r>
        <w:rPr>
          <w:b/>
          <w:bCs/>
          <w:spacing w:val="3"/>
          <w:sz w:val="24"/>
          <w:szCs w:val="24"/>
        </w:rPr>
        <w:t xml:space="preserve">    </w:t>
      </w:r>
      <w:r>
        <w:rPr>
          <w:rFonts w:ascii="黑体" w:hAnsi="黑体" w:eastAsia="黑体" w:cs="黑体"/>
          <w:b/>
          <w:bCs/>
          <w:spacing w:val="27"/>
          <w:sz w:val="24"/>
          <w:szCs w:val="24"/>
        </w:rPr>
        <w:t>考核内容和方法</w:t>
      </w:r>
    </w:p>
    <w:p w14:paraId="05FBDA56">
      <w:pPr>
        <w:spacing w:before="107" w:line="296" w:lineRule="auto"/>
        <w:ind w:right="143" w:firstLine="550"/>
        <w:rPr>
          <w:rFonts w:ascii="宋体" w:hAnsi="宋体" w:eastAsia="宋体" w:cs="宋体"/>
          <w:sz w:val="25"/>
          <w:szCs w:val="25"/>
        </w:rPr>
      </w:pPr>
      <w:r>
        <w:rPr>
          <w:rFonts w:ascii="宋体" w:hAnsi="宋体" w:eastAsia="宋体" w:cs="宋体"/>
          <w:spacing w:val="17"/>
          <w:sz w:val="25"/>
          <w:szCs w:val="25"/>
        </w:rPr>
        <w:t>通常根据被试品的作战使命、性能特点和使用要求，结合部队作战训练、装</w:t>
      </w:r>
      <w:r>
        <w:rPr>
          <w:rFonts w:ascii="宋体" w:hAnsi="宋体" w:eastAsia="宋体" w:cs="宋体"/>
          <w:sz w:val="25"/>
          <w:szCs w:val="25"/>
        </w:rPr>
        <w:t xml:space="preserve"> </w:t>
      </w:r>
      <w:r>
        <w:rPr>
          <w:rFonts w:ascii="宋体" w:hAnsi="宋体" w:eastAsia="宋体" w:cs="宋体"/>
          <w:spacing w:val="22"/>
          <w:sz w:val="25"/>
          <w:szCs w:val="25"/>
        </w:rPr>
        <w:t>备管理和维修工作的实际确定考核内容。</w:t>
      </w:r>
    </w:p>
    <w:p w14:paraId="0F2D33A1">
      <w:pPr>
        <w:spacing w:before="2" w:line="273" w:lineRule="auto"/>
        <w:ind w:right="122" w:firstLine="550"/>
        <w:rPr>
          <w:rFonts w:ascii="宋体" w:hAnsi="宋体" w:eastAsia="宋体" w:cs="宋体"/>
          <w:sz w:val="27"/>
          <w:szCs w:val="27"/>
        </w:rPr>
      </w:pPr>
      <w:r>
        <w:rPr>
          <w:rFonts w:ascii="宋体" w:hAnsi="宋体" w:eastAsia="宋体" w:cs="宋体"/>
          <w:spacing w:val="-2"/>
          <w:sz w:val="27"/>
          <w:szCs w:val="27"/>
        </w:rPr>
        <w:t>独立软件产品部队试用项目、考核内容，应根</w:t>
      </w:r>
      <w:r>
        <w:rPr>
          <w:rFonts w:ascii="宋体" w:hAnsi="宋体" w:eastAsia="宋体" w:cs="宋体"/>
          <w:spacing w:val="-3"/>
          <w:sz w:val="27"/>
          <w:szCs w:val="27"/>
        </w:rPr>
        <w:t>据被试品的使用要求，按有关</w:t>
      </w:r>
      <w:r>
        <w:rPr>
          <w:rFonts w:ascii="宋体" w:hAnsi="宋体" w:eastAsia="宋体" w:cs="宋体"/>
          <w:sz w:val="27"/>
          <w:szCs w:val="27"/>
        </w:rPr>
        <w:t xml:space="preserve"> </w:t>
      </w:r>
      <w:r>
        <w:rPr>
          <w:rFonts w:ascii="宋体" w:hAnsi="宋体" w:eastAsia="宋体" w:cs="宋体"/>
          <w:spacing w:val="-2"/>
          <w:sz w:val="27"/>
          <w:szCs w:val="27"/>
        </w:rPr>
        <w:t>法规、规定和国家军用标准确定。部队试用项目通常包括：</w:t>
      </w:r>
    </w:p>
    <w:p w14:paraId="2C474690">
      <w:pPr>
        <w:spacing w:line="219" w:lineRule="auto"/>
        <w:ind w:left="550"/>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宋体" w:hAnsi="宋体" w:eastAsia="宋体" w:cs="宋体"/>
          <w:spacing w:val="11"/>
          <w:sz w:val="27"/>
          <w:szCs w:val="27"/>
        </w:rPr>
        <w:t>)软件的功能；</w:t>
      </w:r>
    </w:p>
    <w:p w14:paraId="7520F900">
      <w:pPr>
        <w:spacing w:before="59"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71"/>
          <w:sz w:val="27"/>
          <w:szCs w:val="27"/>
        </w:rPr>
        <w:t xml:space="preserve"> </w:t>
      </w:r>
      <w:r>
        <w:rPr>
          <w:rFonts w:ascii="宋体" w:hAnsi="宋体" w:eastAsia="宋体" w:cs="宋体"/>
          <w:spacing w:val="1"/>
          <w:sz w:val="27"/>
          <w:szCs w:val="27"/>
        </w:rPr>
        <w:t>软件的使用性能；</w:t>
      </w:r>
    </w:p>
    <w:p w14:paraId="07FEB4D7">
      <w:pPr>
        <w:spacing w:before="110" w:line="212" w:lineRule="auto"/>
        <w:ind w:left="550"/>
        <w:rPr>
          <w:rFonts w:ascii="宋体" w:hAnsi="宋体" w:eastAsia="宋体" w:cs="宋体"/>
          <w:sz w:val="27"/>
          <w:szCs w:val="27"/>
        </w:rPr>
      </w:pPr>
      <w:r>
        <w:rPr>
          <w:rFonts w:ascii="Times New Roman" w:hAnsi="Times New Roman" w:eastAsia="Times New Roman" w:cs="Times New Roman"/>
          <w:sz w:val="27"/>
          <w:szCs w:val="27"/>
        </w:rPr>
        <w:t>c)</w:t>
      </w:r>
      <w:r>
        <w:rPr>
          <w:rFonts w:ascii="Times New Roman" w:hAnsi="Times New Roman" w:eastAsia="Times New Roman" w:cs="Times New Roman"/>
          <w:spacing w:val="66"/>
          <w:w w:val="101"/>
          <w:sz w:val="27"/>
          <w:szCs w:val="27"/>
        </w:rPr>
        <w:t xml:space="preserve"> </w:t>
      </w:r>
      <w:r>
        <w:rPr>
          <w:rFonts w:ascii="宋体" w:hAnsi="宋体" w:eastAsia="宋体" w:cs="宋体"/>
          <w:sz w:val="27"/>
          <w:szCs w:val="27"/>
        </w:rPr>
        <w:t>软件的安全性；</w:t>
      </w:r>
    </w:p>
    <w:p w14:paraId="44BFF2D9">
      <w:pPr>
        <w:spacing w:before="90"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软件的易用性；</w:t>
      </w:r>
    </w:p>
    <w:p w14:paraId="1F927B6E">
      <w:pPr>
        <w:spacing w:before="110" w:line="212" w:lineRule="auto"/>
        <w:ind w:left="550"/>
        <w:rPr>
          <w:rFonts w:ascii="宋体" w:hAnsi="宋体" w:eastAsia="宋体" w:cs="宋体"/>
          <w:sz w:val="27"/>
          <w:szCs w:val="27"/>
        </w:rPr>
      </w:pPr>
      <w:r>
        <w:rPr>
          <w:rFonts w:ascii="Times New Roman" w:hAnsi="Times New Roman" w:eastAsia="Times New Roman" w:cs="Times New Roman"/>
          <w:sz w:val="27"/>
          <w:szCs w:val="27"/>
        </w:rPr>
        <w:t xml:space="preserve">e)  </w:t>
      </w:r>
      <w:r>
        <w:rPr>
          <w:rFonts w:ascii="宋体" w:hAnsi="宋体" w:eastAsia="宋体" w:cs="宋体"/>
          <w:sz w:val="27"/>
          <w:szCs w:val="27"/>
        </w:rPr>
        <w:t>软件的适用性；</w:t>
      </w:r>
    </w:p>
    <w:p w14:paraId="168ECA29">
      <w:pPr>
        <w:spacing w:before="100" w:line="212" w:lineRule="auto"/>
        <w:ind w:left="550"/>
        <w:rPr>
          <w:rFonts w:ascii="宋体" w:hAnsi="宋体" w:eastAsia="宋体" w:cs="宋体"/>
          <w:sz w:val="27"/>
          <w:szCs w:val="27"/>
        </w:rPr>
      </w:pPr>
      <w:r>
        <w:rPr>
          <w:rFonts w:ascii="Times New Roman" w:hAnsi="Times New Roman" w:eastAsia="Times New Roman" w:cs="Times New Roman"/>
          <w:sz w:val="27"/>
          <w:szCs w:val="27"/>
        </w:rPr>
        <w:t>f)</w:t>
      </w:r>
      <w:r>
        <w:rPr>
          <w:rFonts w:ascii="Times New Roman" w:hAnsi="Times New Roman" w:eastAsia="Times New Roman" w:cs="Times New Roman"/>
          <w:spacing w:val="56"/>
          <w:w w:val="101"/>
          <w:sz w:val="27"/>
          <w:szCs w:val="27"/>
        </w:rPr>
        <w:t xml:space="preserve"> </w:t>
      </w:r>
      <w:r>
        <w:rPr>
          <w:rFonts w:ascii="宋体" w:hAnsi="宋体" w:eastAsia="宋体" w:cs="宋体"/>
          <w:sz w:val="27"/>
          <w:szCs w:val="27"/>
        </w:rPr>
        <w:t>其他。</w:t>
      </w:r>
    </w:p>
    <w:p w14:paraId="2E087A9E">
      <w:pPr>
        <w:spacing w:before="119" w:line="277" w:lineRule="auto"/>
        <w:ind w:left="50" w:firstLine="499"/>
        <w:jc w:val="both"/>
        <w:rPr>
          <w:rFonts w:ascii="宋体" w:hAnsi="宋体" w:eastAsia="宋体" w:cs="宋体"/>
          <w:sz w:val="27"/>
          <w:szCs w:val="27"/>
        </w:rPr>
      </w:pPr>
      <w:r>
        <w:rPr>
          <w:rFonts w:ascii="宋体" w:hAnsi="宋体" w:eastAsia="宋体" w:cs="宋体"/>
          <w:spacing w:val="5"/>
          <w:sz w:val="27"/>
          <w:szCs w:val="27"/>
        </w:rPr>
        <w:t xml:space="preserve">应规定部队试用方法。将被试品及陪试品列入部队正常训练。结合作战任  </w:t>
      </w:r>
      <w:r>
        <w:rPr>
          <w:rFonts w:ascii="宋体" w:hAnsi="宋体" w:eastAsia="宋体" w:cs="宋体"/>
          <w:spacing w:val="-7"/>
          <w:sz w:val="27"/>
          <w:szCs w:val="27"/>
        </w:rPr>
        <w:t>务，依据作战预案，成建制地组织训练。通常根据</w:t>
      </w:r>
      <w:r>
        <w:rPr>
          <w:rFonts w:ascii="宋体" w:hAnsi="宋体" w:eastAsia="宋体" w:cs="宋体"/>
          <w:spacing w:val="-8"/>
          <w:sz w:val="27"/>
          <w:szCs w:val="27"/>
        </w:rPr>
        <w:t>质量考核要求，加大训练强度。</w:t>
      </w:r>
      <w:r>
        <w:rPr>
          <w:rFonts w:ascii="宋体" w:hAnsi="宋体" w:eastAsia="宋体" w:cs="宋体"/>
          <w:sz w:val="27"/>
          <w:szCs w:val="27"/>
        </w:rPr>
        <w:t xml:space="preserve"> </w:t>
      </w:r>
      <w:r>
        <w:rPr>
          <w:rFonts w:ascii="宋体" w:hAnsi="宋体" w:eastAsia="宋体" w:cs="宋体"/>
          <w:spacing w:val="-12"/>
          <w:sz w:val="27"/>
          <w:szCs w:val="27"/>
        </w:rPr>
        <w:t>大型复杂装备的试用周期应包括春、夏、秋、冬四个季</w:t>
      </w:r>
      <w:r>
        <w:rPr>
          <w:rFonts w:ascii="宋体" w:hAnsi="宋体" w:eastAsia="宋体" w:cs="宋体"/>
          <w:spacing w:val="-13"/>
          <w:sz w:val="27"/>
          <w:szCs w:val="27"/>
        </w:rPr>
        <w:t>节。</w:t>
      </w:r>
    </w:p>
    <w:p w14:paraId="6C22CCAC">
      <w:pPr>
        <w:pStyle w:val="2"/>
        <w:spacing w:before="1" w:line="220" w:lineRule="auto"/>
        <w:rPr>
          <w:rFonts w:ascii="黑体" w:hAnsi="黑体" w:eastAsia="黑体" w:cs="黑体"/>
          <w:sz w:val="27"/>
          <w:szCs w:val="27"/>
        </w:rPr>
      </w:pPr>
      <w:r>
        <w:rPr>
          <w:b/>
          <w:bCs/>
          <w:sz w:val="27"/>
          <w:szCs w:val="27"/>
        </w:rPr>
        <w:t>5</w:t>
      </w:r>
      <w:r>
        <w:rPr>
          <w:b/>
          <w:bCs/>
          <w:spacing w:val="14"/>
          <w:sz w:val="27"/>
          <w:szCs w:val="27"/>
        </w:rPr>
        <w:t xml:space="preserve">   </w:t>
      </w:r>
      <w:r>
        <w:rPr>
          <w:rFonts w:ascii="黑体" w:hAnsi="黑体" w:eastAsia="黑体" w:cs="黑体"/>
          <w:b/>
          <w:bCs/>
          <w:sz w:val="27"/>
          <w:szCs w:val="27"/>
        </w:rPr>
        <w:t>试用条件与要求</w:t>
      </w:r>
    </w:p>
    <w:p w14:paraId="6BB811C0">
      <w:pPr>
        <w:spacing w:before="93" w:line="219" w:lineRule="auto"/>
        <w:ind w:left="550"/>
        <w:rPr>
          <w:rFonts w:ascii="宋体" w:hAnsi="宋体" w:eastAsia="宋体" w:cs="宋体"/>
          <w:sz w:val="27"/>
          <w:szCs w:val="27"/>
        </w:rPr>
      </w:pPr>
      <w:r>
        <w:rPr>
          <w:rFonts w:ascii="宋体" w:hAnsi="宋体" w:eastAsia="宋体" w:cs="宋体"/>
          <w:spacing w:val="1"/>
          <w:sz w:val="27"/>
          <w:szCs w:val="27"/>
        </w:rPr>
        <w:t>试用条件与要求包括以下方面：</w:t>
      </w:r>
    </w:p>
    <w:p w14:paraId="2226C2E7">
      <w:pPr>
        <w:spacing w:before="92" w:line="212" w:lineRule="auto"/>
        <w:ind w:left="550"/>
        <w:rPr>
          <w:rFonts w:ascii="宋体" w:hAnsi="宋体" w:eastAsia="宋体" w:cs="宋体"/>
          <w:sz w:val="24"/>
          <w:szCs w:val="24"/>
        </w:rPr>
      </w:pPr>
      <w:r>
        <w:rPr>
          <w:rFonts w:ascii="Times New Roman" w:hAnsi="Times New Roman" w:eastAsia="Times New Roman" w:cs="Times New Roman"/>
          <w:spacing w:val="15"/>
          <w:sz w:val="24"/>
          <w:szCs w:val="24"/>
        </w:rPr>
        <w:t xml:space="preserve">a)  </w:t>
      </w:r>
      <w:r>
        <w:rPr>
          <w:rFonts w:ascii="宋体" w:hAnsi="宋体" w:eastAsia="宋体" w:cs="宋体"/>
          <w:spacing w:val="15"/>
          <w:sz w:val="24"/>
          <w:szCs w:val="24"/>
        </w:rPr>
        <w:t>试用时间、试用地区；</w:t>
      </w:r>
    </w:p>
    <w:p w14:paraId="4D1FB0B1">
      <w:pPr>
        <w:spacing w:before="112"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62"/>
          <w:sz w:val="27"/>
          <w:szCs w:val="27"/>
        </w:rPr>
        <w:t xml:space="preserve"> </w:t>
      </w:r>
      <w:r>
        <w:rPr>
          <w:rFonts w:ascii="宋体" w:hAnsi="宋体" w:eastAsia="宋体" w:cs="宋体"/>
          <w:spacing w:val="3"/>
          <w:sz w:val="27"/>
          <w:szCs w:val="27"/>
        </w:rPr>
        <w:t>试用的战术条件和要求；</w:t>
      </w:r>
    </w:p>
    <w:p w14:paraId="3823DDB2">
      <w:pPr>
        <w:spacing w:before="131" w:line="219" w:lineRule="auto"/>
        <w:ind w:left="550"/>
        <w:rPr>
          <w:rFonts w:ascii="宋体" w:hAnsi="宋体" w:eastAsia="宋体" w:cs="宋体"/>
          <w:sz w:val="27"/>
          <w:szCs w:val="27"/>
        </w:rPr>
      </w:pPr>
      <w:r>
        <w:rPr>
          <w:rFonts w:ascii="Times New Roman" w:hAnsi="Times New Roman" w:eastAsia="Times New Roman" w:cs="Times New Roman"/>
          <w:spacing w:val="-1"/>
          <w:sz w:val="27"/>
          <w:szCs w:val="27"/>
        </w:rPr>
        <w:t>c</w:t>
      </w:r>
      <w:r>
        <w:rPr>
          <w:rFonts w:ascii="宋体" w:hAnsi="宋体" w:eastAsia="宋体" w:cs="宋体"/>
          <w:spacing w:val="-1"/>
          <w:sz w:val="27"/>
          <w:szCs w:val="27"/>
        </w:rPr>
        <w:t>)试用的地理、地形条件和要求；</w:t>
      </w:r>
    </w:p>
    <w:p w14:paraId="041EE8DF">
      <w:pPr>
        <w:spacing w:before="91" w:line="212" w:lineRule="auto"/>
        <w:ind w:left="550"/>
        <w:rPr>
          <w:rFonts w:ascii="宋体" w:hAnsi="宋体" w:eastAsia="宋体" w:cs="宋体"/>
          <w:sz w:val="24"/>
          <w:szCs w:val="24"/>
        </w:rPr>
      </w:pPr>
      <w:r>
        <w:rPr>
          <w:rFonts w:ascii="Times New Roman" w:hAnsi="Times New Roman" w:eastAsia="Times New Roman" w:cs="Times New Roman"/>
          <w:spacing w:val="25"/>
          <w:sz w:val="24"/>
          <w:szCs w:val="24"/>
        </w:rPr>
        <w:t xml:space="preserve">d)  </w:t>
      </w:r>
      <w:r>
        <w:rPr>
          <w:rFonts w:ascii="宋体" w:hAnsi="宋体" w:eastAsia="宋体" w:cs="宋体"/>
          <w:spacing w:val="25"/>
          <w:sz w:val="24"/>
          <w:szCs w:val="24"/>
        </w:rPr>
        <w:t>试用的气象条件和要求；</w:t>
      </w:r>
    </w:p>
    <w:p w14:paraId="542B7218">
      <w:pPr>
        <w:spacing w:before="114" w:line="212" w:lineRule="auto"/>
        <w:ind w:left="550"/>
        <w:rPr>
          <w:rFonts w:ascii="宋体" w:hAnsi="宋体" w:eastAsia="宋体" w:cs="宋体"/>
          <w:sz w:val="24"/>
          <w:szCs w:val="24"/>
        </w:rPr>
      </w:pPr>
      <w:r>
        <w:rPr>
          <w:rFonts w:ascii="Times New Roman" w:hAnsi="Times New Roman" w:eastAsia="Times New Roman" w:cs="Times New Roman"/>
          <w:spacing w:val="25"/>
          <w:sz w:val="24"/>
          <w:szCs w:val="24"/>
        </w:rPr>
        <w:t xml:space="preserve">e)  </w:t>
      </w:r>
      <w:r>
        <w:rPr>
          <w:rFonts w:ascii="宋体" w:hAnsi="宋体" w:eastAsia="宋体" w:cs="宋体"/>
          <w:spacing w:val="25"/>
          <w:sz w:val="24"/>
          <w:szCs w:val="24"/>
        </w:rPr>
        <w:t>试用的水文条件和要求；</w:t>
      </w:r>
    </w:p>
    <w:p w14:paraId="7A73AFF8">
      <w:pPr>
        <w:spacing w:line="212" w:lineRule="auto"/>
        <w:rPr>
          <w:rFonts w:ascii="宋体" w:hAnsi="宋体" w:eastAsia="宋体" w:cs="宋体"/>
          <w:sz w:val="24"/>
          <w:szCs w:val="24"/>
        </w:rPr>
        <w:sectPr>
          <w:footerReference r:id="rId162" w:type="default"/>
          <w:pgSz w:w="11910" w:h="17130"/>
          <w:pgMar w:top="400" w:right="1364" w:bottom="1527" w:left="1039" w:header="0" w:footer="1346" w:gutter="0"/>
          <w:cols w:space="720" w:num="1"/>
        </w:sectPr>
      </w:pPr>
    </w:p>
    <w:p w14:paraId="39541315">
      <w:pPr>
        <w:pStyle w:val="2"/>
        <w:spacing w:line="249" w:lineRule="auto"/>
      </w:pPr>
    </w:p>
    <w:p w14:paraId="0005FF34">
      <w:pPr>
        <w:pStyle w:val="2"/>
        <w:spacing w:line="249" w:lineRule="auto"/>
      </w:pPr>
    </w:p>
    <w:p w14:paraId="555D7A30">
      <w:pPr>
        <w:pStyle w:val="2"/>
        <w:spacing w:line="249" w:lineRule="auto"/>
      </w:pPr>
    </w:p>
    <w:p w14:paraId="73FBA46C">
      <w:pPr>
        <w:pStyle w:val="2"/>
        <w:spacing w:line="249" w:lineRule="auto"/>
      </w:pPr>
    </w:p>
    <w:p w14:paraId="7E4BA235">
      <w:pPr>
        <w:spacing w:before="88" w:line="212" w:lineRule="auto"/>
        <w:ind w:left="539"/>
        <w:rPr>
          <w:rFonts w:ascii="宋体" w:hAnsi="宋体" w:eastAsia="宋体" w:cs="宋体"/>
          <w:sz w:val="27"/>
          <w:szCs w:val="27"/>
        </w:rPr>
      </w:pPr>
      <w:bookmarkStart w:id="108" w:name="bookmark362"/>
      <w:bookmarkEnd w:id="108"/>
      <w:r>
        <w:rPr>
          <w:rFonts w:ascii="Times New Roman" w:hAnsi="Times New Roman" w:eastAsia="Times New Roman" w:cs="Times New Roman"/>
          <w:spacing w:val="2"/>
          <w:sz w:val="27"/>
          <w:szCs w:val="27"/>
        </w:rPr>
        <w:t xml:space="preserve">f)  </w:t>
      </w:r>
      <w:r>
        <w:rPr>
          <w:rFonts w:ascii="宋体" w:hAnsi="宋体" w:eastAsia="宋体" w:cs="宋体"/>
          <w:spacing w:val="2"/>
          <w:sz w:val="27"/>
          <w:szCs w:val="27"/>
        </w:rPr>
        <w:t>试用的电磁条件和要求；</w:t>
      </w:r>
    </w:p>
    <w:p w14:paraId="1F3EB538">
      <w:pPr>
        <w:spacing w:before="109" w:line="212" w:lineRule="auto"/>
        <w:ind w:left="539"/>
        <w:rPr>
          <w:rFonts w:ascii="宋体" w:hAnsi="宋体" w:eastAsia="宋体" w:cs="宋体"/>
          <w:sz w:val="27"/>
          <w:szCs w:val="27"/>
        </w:rPr>
      </w:pPr>
      <w:r>
        <w:rPr>
          <w:rFonts w:ascii="Times New Roman" w:hAnsi="Times New Roman" w:eastAsia="Times New Roman" w:cs="Times New Roman"/>
          <w:spacing w:val="12"/>
          <w:sz w:val="27"/>
          <w:szCs w:val="27"/>
        </w:rPr>
        <w:t>g</w:t>
      </w:r>
      <w:r>
        <w:rPr>
          <w:rFonts w:ascii="宋体" w:hAnsi="宋体" w:eastAsia="宋体" w:cs="宋体"/>
          <w:spacing w:val="12"/>
          <w:sz w:val="27"/>
          <w:szCs w:val="27"/>
        </w:rPr>
        <w:t>)其他特殊要求。</w:t>
      </w:r>
    </w:p>
    <w:p w14:paraId="54A74491">
      <w:pPr>
        <w:spacing w:before="94" w:line="221" w:lineRule="auto"/>
        <w:rPr>
          <w:rFonts w:ascii="黑体" w:hAnsi="黑体" w:eastAsia="黑体" w:cs="黑体"/>
          <w:sz w:val="27"/>
          <w:szCs w:val="27"/>
        </w:rPr>
      </w:pPr>
      <w:r>
        <w:rPr>
          <w:rFonts w:ascii="黑体" w:hAnsi="黑体" w:eastAsia="黑体" w:cs="黑体"/>
          <w:spacing w:val="-5"/>
          <w:sz w:val="27"/>
          <w:szCs w:val="27"/>
        </w:rPr>
        <w:t xml:space="preserve">6  </w:t>
      </w:r>
      <w:r>
        <w:rPr>
          <w:rFonts w:ascii="黑体" w:hAnsi="黑体" w:eastAsia="黑体" w:cs="黑体"/>
          <w:b/>
          <w:bCs/>
          <w:spacing w:val="-5"/>
          <w:sz w:val="27"/>
          <w:szCs w:val="27"/>
        </w:rPr>
        <w:t>被试品及陪试品数量、质量与编配方案</w:t>
      </w:r>
    </w:p>
    <w:p w14:paraId="04E9C9B4">
      <w:pPr>
        <w:spacing w:before="93" w:line="219" w:lineRule="auto"/>
        <w:ind w:left="539"/>
        <w:rPr>
          <w:rFonts w:ascii="宋体" w:hAnsi="宋体" w:eastAsia="宋体" w:cs="宋体"/>
          <w:sz w:val="27"/>
          <w:szCs w:val="27"/>
        </w:rPr>
      </w:pPr>
      <w:r>
        <w:rPr>
          <w:rFonts w:ascii="宋体" w:hAnsi="宋体" w:eastAsia="宋体" w:cs="宋体"/>
          <w:spacing w:val="-3"/>
          <w:sz w:val="27"/>
          <w:szCs w:val="27"/>
        </w:rPr>
        <w:t>应规定被试品及陪试品的数量、质量与编配方案。</w:t>
      </w:r>
    </w:p>
    <w:p w14:paraId="3BD68B6D">
      <w:pPr>
        <w:pStyle w:val="2"/>
        <w:spacing w:before="83" w:line="221" w:lineRule="auto"/>
        <w:rPr>
          <w:rFonts w:ascii="黑体" w:hAnsi="黑体" w:eastAsia="黑体" w:cs="黑体"/>
          <w:sz w:val="27"/>
          <w:szCs w:val="27"/>
        </w:rPr>
      </w:pPr>
      <w:r>
        <w:rPr>
          <w:b/>
          <w:bCs/>
          <w:spacing w:val="-2"/>
          <w:sz w:val="27"/>
          <w:szCs w:val="27"/>
        </w:rPr>
        <w:t xml:space="preserve">7   </w:t>
      </w:r>
      <w:r>
        <w:rPr>
          <w:rFonts w:ascii="黑体" w:hAnsi="黑体" w:eastAsia="黑体" w:cs="黑体"/>
          <w:b/>
          <w:bCs/>
          <w:spacing w:val="-2"/>
          <w:sz w:val="27"/>
          <w:szCs w:val="27"/>
        </w:rPr>
        <w:t>试用必须采集的资料、数据及处理的原则和方法</w:t>
      </w:r>
    </w:p>
    <w:p w14:paraId="70CB69EB">
      <w:pPr>
        <w:spacing w:before="101" w:line="219" w:lineRule="auto"/>
        <w:ind w:left="539"/>
        <w:rPr>
          <w:rFonts w:ascii="宋体" w:hAnsi="宋体" w:eastAsia="宋体" w:cs="宋体"/>
          <w:sz w:val="27"/>
          <w:szCs w:val="27"/>
        </w:rPr>
      </w:pPr>
      <w:r>
        <w:rPr>
          <w:rFonts w:ascii="宋体" w:hAnsi="宋体" w:eastAsia="宋体" w:cs="宋体"/>
          <w:spacing w:val="-1"/>
          <w:sz w:val="27"/>
          <w:szCs w:val="27"/>
        </w:rPr>
        <w:t>应规定试用必须采集的资料、数据及处理的原则和方法。</w:t>
      </w:r>
    </w:p>
    <w:p w14:paraId="26B8E257">
      <w:pPr>
        <w:spacing w:before="75" w:line="221" w:lineRule="auto"/>
        <w:rPr>
          <w:rFonts w:ascii="黑体" w:hAnsi="黑体" w:eastAsia="黑体" w:cs="黑体"/>
          <w:sz w:val="27"/>
          <w:szCs w:val="27"/>
        </w:rPr>
      </w:pPr>
      <w:r>
        <w:rPr>
          <w:rFonts w:ascii="黑体" w:hAnsi="黑体" w:eastAsia="黑体" w:cs="黑体"/>
          <w:spacing w:val="-5"/>
          <w:sz w:val="27"/>
          <w:szCs w:val="27"/>
        </w:rPr>
        <w:t xml:space="preserve">8  </w:t>
      </w:r>
      <w:r>
        <w:rPr>
          <w:rFonts w:ascii="黑体" w:hAnsi="黑体" w:eastAsia="黑体" w:cs="黑体"/>
          <w:b/>
          <w:bCs/>
          <w:spacing w:val="-5"/>
          <w:sz w:val="27"/>
          <w:szCs w:val="27"/>
        </w:rPr>
        <w:t>被试品的评价指标、评价方法及说明</w:t>
      </w:r>
    </w:p>
    <w:p w14:paraId="4B1C272D">
      <w:pPr>
        <w:spacing w:before="91" w:line="268" w:lineRule="auto"/>
        <w:ind w:right="114" w:firstLine="539"/>
        <w:rPr>
          <w:rFonts w:ascii="宋体" w:hAnsi="宋体" w:eastAsia="宋体" w:cs="宋体"/>
          <w:sz w:val="27"/>
          <w:szCs w:val="27"/>
        </w:rPr>
      </w:pPr>
      <w:r>
        <w:rPr>
          <w:rFonts w:ascii="宋体" w:hAnsi="宋体" w:eastAsia="宋体" w:cs="宋体"/>
          <w:spacing w:val="6"/>
          <w:sz w:val="27"/>
          <w:szCs w:val="27"/>
        </w:rPr>
        <w:t>应规定评价被试品质量稳定性和对部队作战使</w:t>
      </w:r>
      <w:r>
        <w:rPr>
          <w:rFonts w:ascii="宋体" w:hAnsi="宋体" w:eastAsia="宋体" w:cs="宋体"/>
          <w:spacing w:val="5"/>
          <w:sz w:val="27"/>
          <w:szCs w:val="27"/>
        </w:rPr>
        <w:t>用与保障要求的满足程度的</w:t>
      </w:r>
      <w:r>
        <w:rPr>
          <w:rFonts w:ascii="宋体" w:hAnsi="宋体" w:eastAsia="宋体" w:cs="宋体"/>
          <w:sz w:val="27"/>
          <w:szCs w:val="27"/>
        </w:rPr>
        <w:t xml:space="preserve"> </w:t>
      </w:r>
      <w:r>
        <w:rPr>
          <w:rFonts w:ascii="宋体" w:hAnsi="宋体" w:eastAsia="宋体" w:cs="宋体"/>
          <w:spacing w:val="-13"/>
          <w:sz w:val="27"/>
          <w:szCs w:val="27"/>
        </w:rPr>
        <w:t>指标、评价方法，并加以必要的说明。</w:t>
      </w:r>
    </w:p>
    <w:p w14:paraId="096A9E5A">
      <w:pPr>
        <w:spacing w:before="12" w:line="221" w:lineRule="auto"/>
        <w:rPr>
          <w:rFonts w:ascii="黑体" w:hAnsi="黑体" w:eastAsia="黑体" w:cs="黑体"/>
          <w:sz w:val="27"/>
          <w:szCs w:val="27"/>
        </w:rPr>
      </w:pPr>
      <w:r>
        <w:rPr>
          <w:rFonts w:ascii="黑体" w:hAnsi="黑体" w:eastAsia="黑体" w:cs="黑体"/>
          <w:spacing w:val="4"/>
          <w:sz w:val="27"/>
          <w:szCs w:val="27"/>
        </w:rPr>
        <w:t xml:space="preserve">9  </w:t>
      </w:r>
      <w:r>
        <w:rPr>
          <w:rFonts w:ascii="黑体" w:hAnsi="黑体" w:eastAsia="黑体" w:cs="黑体"/>
          <w:b/>
          <w:bCs/>
          <w:spacing w:val="4"/>
          <w:sz w:val="27"/>
          <w:szCs w:val="27"/>
        </w:rPr>
        <w:t>试用保障</w:t>
      </w:r>
    </w:p>
    <w:p w14:paraId="6C1248BE">
      <w:pPr>
        <w:spacing w:before="124" w:line="272" w:lineRule="auto"/>
        <w:ind w:right="122" w:firstLine="539"/>
        <w:jc w:val="both"/>
        <w:rPr>
          <w:rFonts w:ascii="宋体" w:hAnsi="宋体" w:eastAsia="宋体" w:cs="宋体"/>
          <w:sz w:val="27"/>
          <w:szCs w:val="27"/>
        </w:rPr>
      </w:pPr>
      <w:r>
        <w:rPr>
          <w:rFonts w:ascii="宋体" w:hAnsi="宋体" w:eastAsia="宋体" w:cs="宋体"/>
          <w:spacing w:val="-3"/>
          <w:sz w:val="27"/>
          <w:szCs w:val="27"/>
        </w:rPr>
        <w:t>应规定试用保障的要求。通常，试用相关的软件、技术文件、资料等应配套</w:t>
      </w:r>
      <w:r>
        <w:rPr>
          <w:rFonts w:ascii="宋体" w:hAnsi="宋体" w:eastAsia="宋体" w:cs="宋体"/>
          <w:spacing w:val="1"/>
          <w:sz w:val="27"/>
          <w:szCs w:val="27"/>
        </w:rPr>
        <w:t xml:space="preserve"> </w:t>
      </w:r>
      <w:r>
        <w:rPr>
          <w:rFonts w:ascii="宋体" w:hAnsi="宋体" w:eastAsia="宋体" w:cs="宋体"/>
          <w:spacing w:val="-3"/>
          <w:sz w:val="27"/>
          <w:szCs w:val="27"/>
        </w:rPr>
        <w:t>齐全。应规定相关陆地或海上试用场地、空域、航区及主要设施、仪器设备的保</w:t>
      </w:r>
      <w:r>
        <w:rPr>
          <w:rFonts w:ascii="宋体" w:hAnsi="宋体" w:eastAsia="宋体" w:cs="宋体"/>
          <w:spacing w:val="3"/>
          <w:sz w:val="27"/>
          <w:szCs w:val="27"/>
        </w:rPr>
        <w:t xml:space="preserve"> </w:t>
      </w:r>
      <w:r>
        <w:rPr>
          <w:rFonts w:ascii="宋体" w:hAnsi="宋体" w:eastAsia="宋体" w:cs="宋体"/>
          <w:spacing w:val="-24"/>
          <w:sz w:val="27"/>
          <w:szCs w:val="27"/>
        </w:rPr>
        <w:t>障；规定相关通信、气象、航空、航海、运输、兵力、机要及后勤保障等；规定相关技</w:t>
      </w:r>
      <w:r>
        <w:rPr>
          <w:rFonts w:ascii="宋体" w:hAnsi="宋体" w:eastAsia="宋体" w:cs="宋体"/>
          <w:spacing w:val="1"/>
          <w:sz w:val="27"/>
          <w:szCs w:val="27"/>
        </w:rPr>
        <w:t xml:space="preserve"> </w:t>
      </w:r>
      <w:r>
        <w:rPr>
          <w:rFonts w:ascii="宋体" w:hAnsi="宋体" w:eastAsia="宋体" w:cs="宋体"/>
          <w:spacing w:val="2"/>
          <w:sz w:val="27"/>
          <w:szCs w:val="27"/>
        </w:rPr>
        <w:t>术保障和人员培训等。</w:t>
      </w:r>
    </w:p>
    <w:p w14:paraId="76DCBAB3">
      <w:pPr>
        <w:spacing w:before="12" w:line="221" w:lineRule="auto"/>
        <w:rPr>
          <w:rFonts w:ascii="黑体" w:hAnsi="黑体" w:eastAsia="黑体" w:cs="黑体"/>
          <w:sz w:val="27"/>
          <w:szCs w:val="27"/>
        </w:rPr>
      </w:pPr>
      <w:r>
        <w:rPr>
          <w:rFonts w:ascii="黑体" w:hAnsi="黑体" w:eastAsia="黑体" w:cs="黑体"/>
          <w:spacing w:val="3"/>
          <w:sz w:val="27"/>
          <w:szCs w:val="27"/>
        </w:rPr>
        <w:t xml:space="preserve">10  </w:t>
      </w:r>
      <w:r>
        <w:rPr>
          <w:rFonts w:ascii="黑体" w:hAnsi="黑体" w:eastAsia="黑体" w:cs="黑体"/>
          <w:b/>
          <w:bCs/>
          <w:spacing w:val="3"/>
          <w:sz w:val="27"/>
          <w:szCs w:val="27"/>
        </w:rPr>
        <w:t>试用的其他要求及有关说明</w:t>
      </w:r>
    </w:p>
    <w:p w14:paraId="70711881">
      <w:pPr>
        <w:spacing w:before="113" w:line="255" w:lineRule="auto"/>
        <w:ind w:right="104" w:firstLine="539"/>
        <w:rPr>
          <w:rFonts w:ascii="宋体" w:hAnsi="宋体" w:eastAsia="宋体" w:cs="宋体"/>
          <w:sz w:val="27"/>
          <w:szCs w:val="27"/>
        </w:rPr>
      </w:pPr>
      <w:r>
        <w:rPr>
          <w:rFonts w:ascii="宋体" w:hAnsi="宋体" w:eastAsia="宋体" w:cs="宋体"/>
          <w:spacing w:val="-2"/>
          <w:sz w:val="27"/>
          <w:szCs w:val="27"/>
        </w:rPr>
        <w:t>应根据被试品的特点和使用要求，结合试用</w:t>
      </w:r>
      <w:r>
        <w:rPr>
          <w:rFonts w:ascii="宋体" w:hAnsi="宋体" w:eastAsia="宋体" w:cs="宋体"/>
          <w:spacing w:val="-3"/>
          <w:sz w:val="27"/>
          <w:szCs w:val="27"/>
        </w:rPr>
        <w:t>条件，给出必要的其他要求。对</w:t>
      </w:r>
      <w:r>
        <w:rPr>
          <w:rFonts w:ascii="宋体" w:hAnsi="宋体" w:eastAsia="宋体" w:cs="宋体"/>
          <w:sz w:val="27"/>
          <w:szCs w:val="27"/>
        </w:rPr>
        <w:t xml:space="preserve"> </w:t>
      </w:r>
      <w:r>
        <w:rPr>
          <w:rFonts w:ascii="宋体" w:hAnsi="宋体" w:eastAsia="宋体" w:cs="宋体"/>
          <w:spacing w:val="3"/>
          <w:sz w:val="27"/>
          <w:szCs w:val="27"/>
        </w:rPr>
        <w:t>需要说明的有关问题进行说明。</w:t>
      </w:r>
    </w:p>
    <w:p w14:paraId="3F7DBF89">
      <w:pPr>
        <w:spacing w:before="40" w:line="269" w:lineRule="auto"/>
        <w:ind w:left="3" w:firstLine="540"/>
        <w:rPr>
          <w:rFonts w:ascii="楷体" w:hAnsi="楷体" w:eastAsia="楷体" w:cs="楷体"/>
          <w:sz w:val="28"/>
          <w:szCs w:val="28"/>
        </w:rPr>
      </w:pPr>
      <w:r>
        <w:rPr>
          <w:rFonts w:ascii="楷体" w:hAnsi="楷体" w:eastAsia="楷体" w:cs="楷体"/>
          <w:b/>
          <w:bCs/>
          <w:spacing w:val="-9"/>
          <w:sz w:val="28"/>
          <w:szCs w:val="28"/>
        </w:rPr>
        <w:t>按照</w:t>
      </w:r>
      <w:r>
        <w:rPr>
          <w:rFonts w:ascii="Times New Roman" w:hAnsi="Times New Roman" w:eastAsia="Times New Roman" w:cs="Times New Roman"/>
          <w:b/>
          <w:bCs/>
          <w:spacing w:val="-9"/>
          <w:sz w:val="28"/>
          <w:szCs w:val="28"/>
        </w:rPr>
        <w:t>GJB 1362A—2007</w:t>
      </w:r>
      <w:r>
        <w:rPr>
          <w:rFonts w:ascii="宋体" w:hAnsi="宋体" w:eastAsia="宋体" w:cs="宋体"/>
          <w:b/>
          <w:bCs/>
          <w:spacing w:val="-9"/>
          <w:sz w:val="28"/>
          <w:szCs w:val="28"/>
        </w:rPr>
        <w:t>《</w:t>
      </w:r>
      <w:r>
        <w:rPr>
          <w:rFonts w:ascii="楷体" w:hAnsi="楷体" w:eastAsia="楷体" w:cs="楷体"/>
          <w:b/>
          <w:bCs/>
          <w:spacing w:val="-9"/>
          <w:sz w:val="28"/>
          <w:szCs w:val="28"/>
        </w:rPr>
        <w:t>军工产品定型程序和要求》编</w:t>
      </w:r>
      <w:r>
        <w:rPr>
          <w:rFonts w:ascii="楷体" w:hAnsi="楷体" w:eastAsia="楷体" w:cs="楷体"/>
          <w:b/>
          <w:bCs/>
          <w:spacing w:val="-10"/>
          <w:sz w:val="28"/>
          <w:szCs w:val="28"/>
        </w:rPr>
        <w:t>写，目次格式如下，</w:t>
      </w:r>
      <w:r>
        <w:rPr>
          <w:rFonts w:ascii="楷体" w:hAnsi="楷体" w:eastAsia="楷体" w:cs="楷体"/>
          <w:sz w:val="28"/>
          <w:szCs w:val="28"/>
        </w:rPr>
        <w:t xml:space="preserve"> </w:t>
      </w:r>
      <w:r>
        <w:rPr>
          <w:rFonts w:ascii="楷体" w:hAnsi="楷体" w:eastAsia="楷体" w:cs="楷体"/>
          <w:b/>
          <w:bCs/>
          <w:spacing w:val="-12"/>
          <w:sz w:val="28"/>
          <w:szCs w:val="28"/>
        </w:rPr>
        <w:t>内容与上述内容基本一致。</w:t>
      </w:r>
    </w:p>
    <w:p w14:paraId="3EE44345">
      <w:pPr>
        <w:spacing w:before="4" w:line="227" w:lineRule="auto"/>
        <w:ind w:left="539"/>
        <w:rPr>
          <w:rFonts w:ascii="楷体" w:hAnsi="楷体" w:eastAsia="楷体" w:cs="楷体"/>
          <w:sz w:val="27"/>
          <w:szCs w:val="27"/>
        </w:rPr>
      </w:pPr>
      <w:r>
        <w:rPr>
          <w:rFonts w:ascii="Times New Roman" w:hAnsi="Times New Roman" w:eastAsia="Times New Roman" w:cs="Times New Roman"/>
          <w:b/>
          <w:bCs/>
          <w:spacing w:val="-1"/>
          <w:sz w:val="27"/>
          <w:szCs w:val="27"/>
        </w:rPr>
        <w:t>1</w:t>
      </w:r>
      <w:r>
        <w:rPr>
          <w:rFonts w:ascii="Times New Roman" w:hAnsi="Times New Roman" w:eastAsia="Times New Roman" w:cs="Times New Roman"/>
          <w:b/>
          <w:bCs/>
          <w:spacing w:val="13"/>
          <w:sz w:val="27"/>
          <w:szCs w:val="27"/>
        </w:rPr>
        <w:t xml:space="preserve">  </w:t>
      </w:r>
      <w:r>
        <w:rPr>
          <w:rFonts w:ascii="楷体" w:hAnsi="楷体" w:eastAsia="楷体" w:cs="楷体"/>
          <w:b/>
          <w:bCs/>
          <w:spacing w:val="-1"/>
          <w:sz w:val="27"/>
          <w:szCs w:val="27"/>
        </w:rPr>
        <w:t>试用目的和性质</w:t>
      </w:r>
    </w:p>
    <w:p w14:paraId="5937EAD6">
      <w:pPr>
        <w:spacing w:before="75" w:line="225" w:lineRule="auto"/>
        <w:ind w:left="539"/>
        <w:rPr>
          <w:rFonts w:ascii="楷体" w:hAnsi="楷体" w:eastAsia="楷体" w:cs="楷体"/>
          <w:sz w:val="27"/>
          <w:szCs w:val="27"/>
        </w:rPr>
      </w:pPr>
      <w:r>
        <w:rPr>
          <w:rFonts w:ascii="Times New Roman" w:hAnsi="Times New Roman" w:eastAsia="Times New Roman" w:cs="Times New Roman"/>
          <w:b/>
          <w:bCs/>
          <w:spacing w:val="-25"/>
          <w:sz w:val="27"/>
          <w:szCs w:val="27"/>
        </w:rPr>
        <w:t>2</w:t>
      </w:r>
      <w:r>
        <w:rPr>
          <w:rFonts w:ascii="Times New Roman" w:hAnsi="Times New Roman" w:eastAsia="Times New Roman" w:cs="Times New Roman"/>
          <w:b/>
          <w:bCs/>
          <w:spacing w:val="18"/>
          <w:w w:val="101"/>
          <w:sz w:val="27"/>
          <w:szCs w:val="27"/>
        </w:rPr>
        <w:t xml:space="preserve">  </w:t>
      </w:r>
      <w:r>
        <w:rPr>
          <w:rFonts w:ascii="楷体" w:hAnsi="楷体" w:eastAsia="楷体" w:cs="楷体"/>
          <w:b/>
          <w:bCs/>
          <w:spacing w:val="-25"/>
          <w:sz w:val="27"/>
          <w:szCs w:val="27"/>
        </w:rPr>
        <w:t>试用内容、项目、方法</w:t>
      </w:r>
    </w:p>
    <w:p w14:paraId="25E96DE5">
      <w:pPr>
        <w:spacing w:before="70" w:line="224" w:lineRule="auto"/>
        <w:ind w:left="539"/>
        <w:rPr>
          <w:rFonts w:ascii="楷体" w:hAnsi="楷体" w:eastAsia="楷体" w:cs="楷体"/>
          <w:sz w:val="27"/>
          <w:szCs w:val="27"/>
        </w:rPr>
      </w:pPr>
      <w:r>
        <w:rPr>
          <w:rFonts w:ascii="Times New Roman" w:hAnsi="Times New Roman" w:eastAsia="Times New Roman" w:cs="Times New Roman"/>
          <w:b/>
          <w:bCs/>
          <w:spacing w:val="-2"/>
          <w:sz w:val="27"/>
          <w:szCs w:val="27"/>
        </w:rPr>
        <w:t xml:space="preserve">3  </w:t>
      </w:r>
      <w:r>
        <w:rPr>
          <w:rFonts w:ascii="楷体" w:hAnsi="楷体" w:eastAsia="楷体" w:cs="楷体"/>
          <w:b/>
          <w:bCs/>
          <w:spacing w:val="-2"/>
          <w:sz w:val="27"/>
          <w:szCs w:val="27"/>
        </w:rPr>
        <w:t>试用条件与要求</w:t>
      </w:r>
    </w:p>
    <w:p w14:paraId="2477B09A">
      <w:pPr>
        <w:spacing w:before="110" w:line="223" w:lineRule="auto"/>
        <w:ind w:left="539"/>
        <w:rPr>
          <w:rFonts w:ascii="楷体" w:hAnsi="楷体" w:eastAsia="楷体" w:cs="楷体"/>
          <w:sz w:val="27"/>
          <w:szCs w:val="27"/>
        </w:rPr>
      </w:pPr>
      <w:r>
        <w:rPr>
          <w:rFonts w:ascii="Times New Roman" w:hAnsi="Times New Roman" w:eastAsia="Times New Roman" w:cs="Times New Roman"/>
          <w:b/>
          <w:bCs/>
          <w:spacing w:val="-17"/>
          <w:sz w:val="27"/>
          <w:szCs w:val="27"/>
        </w:rPr>
        <w:t>4</w:t>
      </w:r>
      <w:r>
        <w:rPr>
          <w:rFonts w:ascii="Times New Roman" w:hAnsi="Times New Roman" w:eastAsia="Times New Roman" w:cs="Times New Roman"/>
          <w:b/>
          <w:bCs/>
          <w:spacing w:val="21"/>
          <w:w w:val="101"/>
          <w:sz w:val="27"/>
          <w:szCs w:val="27"/>
        </w:rPr>
        <w:t xml:space="preserve">  </w:t>
      </w:r>
      <w:r>
        <w:rPr>
          <w:rFonts w:ascii="楷体" w:hAnsi="楷体" w:eastAsia="楷体" w:cs="楷体"/>
          <w:b/>
          <w:bCs/>
          <w:spacing w:val="-17"/>
          <w:sz w:val="27"/>
          <w:szCs w:val="27"/>
        </w:rPr>
        <w:t>试用产品的数量、质量、批次、代号和技术状态</w:t>
      </w:r>
    </w:p>
    <w:p w14:paraId="53B88401">
      <w:pPr>
        <w:spacing w:before="88" w:line="226" w:lineRule="auto"/>
        <w:ind w:left="539"/>
        <w:rPr>
          <w:rFonts w:ascii="楷体" w:hAnsi="楷体" w:eastAsia="楷体" w:cs="楷体"/>
          <w:sz w:val="27"/>
          <w:szCs w:val="27"/>
        </w:rPr>
      </w:pPr>
      <w:r>
        <w:rPr>
          <w:rFonts w:ascii="Times New Roman" w:hAnsi="Times New Roman" w:eastAsia="Times New Roman" w:cs="Times New Roman"/>
          <w:b/>
          <w:bCs/>
          <w:spacing w:val="-3"/>
          <w:sz w:val="27"/>
          <w:szCs w:val="27"/>
        </w:rPr>
        <w:t xml:space="preserve">5  </w:t>
      </w:r>
      <w:r>
        <w:rPr>
          <w:rFonts w:ascii="楷体" w:hAnsi="楷体" w:eastAsia="楷体" w:cs="楷体"/>
          <w:b/>
          <w:bCs/>
          <w:spacing w:val="-3"/>
          <w:sz w:val="27"/>
          <w:szCs w:val="27"/>
        </w:rPr>
        <w:t>试用应录取和收集的资料、数据及处理的原则和方法</w:t>
      </w:r>
    </w:p>
    <w:p w14:paraId="05C373FE">
      <w:pPr>
        <w:spacing w:before="59" w:line="226" w:lineRule="auto"/>
        <w:ind w:left="539"/>
        <w:rPr>
          <w:rFonts w:ascii="楷体" w:hAnsi="楷体" w:eastAsia="楷体" w:cs="楷体"/>
          <w:sz w:val="28"/>
          <w:szCs w:val="28"/>
        </w:rPr>
      </w:pPr>
      <w:r>
        <w:rPr>
          <w:rFonts w:ascii="楷体" w:hAnsi="楷体" w:eastAsia="楷体" w:cs="楷体"/>
          <w:spacing w:val="-14"/>
          <w:sz w:val="28"/>
          <w:szCs w:val="28"/>
        </w:rPr>
        <w:t xml:space="preserve">5.1 </w:t>
      </w:r>
      <w:r>
        <w:rPr>
          <w:rFonts w:ascii="楷体" w:hAnsi="楷体" w:eastAsia="楷体" w:cs="楷体"/>
          <w:b/>
          <w:bCs/>
          <w:spacing w:val="-14"/>
          <w:sz w:val="28"/>
          <w:szCs w:val="28"/>
        </w:rPr>
        <w:t>试用应录取和收集的资料、数据</w:t>
      </w:r>
    </w:p>
    <w:p w14:paraId="4BF0BB8E">
      <w:pPr>
        <w:spacing w:before="87" w:line="226" w:lineRule="auto"/>
        <w:ind w:left="539"/>
        <w:rPr>
          <w:rFonts w:ascii="楷体" w:hAnsi="楷体" w:eastAsia="楷体" w:cs="楷体"/>
          <w:sz w:val="24"/>
          <w:szCs w:val="24"/>
        </w:rPr>
      </w:pPr>
      <w:r>
        <w:rPr>
          <w:rFonts w:ascii="Times New Roman" w:hAnsi="Times New Roman" w:eastAsia="Times New Roman" w:cs="Times New Roman"/>
          <w:b/>
          <w:bCs/>
          <w:spacing w:val="23"/>
          <w:sz w:val="24"/>
          <w:szCs w:val="24"/>
        </w:rPr>
        <w:t>5.2</w:t>
      </w:r>
      <w:r>
        <w:rPr>
          <w:rFonts w:ascii="Times New Roman" w:hAnsi="Times New Roman" w:eastAsia="Times New Roman" w:cs="Times New Roman"/>
          <w:b/>
          <w:bCs/>
          <w:spacing w:val="7"/>
          <w:sz w:val="24"/>
          <w:szCs w:val="24"/>
        </w:rPr>
        <w:t xml:space="preserve">    </w:t>
      </w:r>
      <w:r>
        <w:rPr>
          <w:rFonts w:ascii="楷体" w:hAnsi="楷体" w:eastAsia="楷体" w:cs="楷体"/>
          <w:b/>
          <w:bCs/>
          <w:spacing w:val="23"/>
          <w:sz w:val="24"/>
          <w:szCs w:val="24"/>
        </w:rPr>
        <w:t>试用数据处理原则</w:t>
      </w:r>
    </w:p>
    <w:p w14:paraId="0D62C685">
      <w:pPr>
        <w:spacing w:before="109" w:line="228" w:lineRule="auto"/>
        <w:ind w:left="543"/>
        <w:rPr>
          <w:rFonts w:ascii="楷体" w:hAnsi="楷体" w:eastAsia="楷体" w:cs="楷体"/>
          <w:sz w:val="24"/>
          <w:szCs w:val="24"/>
        </w:rPr>
      </w:pPr>
      <w:r>
        <w:rPr>
          <w:rFonts w:ascii="楷体" w:hAnsi="楷体" w:eastAsia="楷体" w:cs="楷体"/>
          <w:b/>
          <w:bCs/>
          <w:spacing w:val="27"/>
          <w:sz w:val="24"/>
          <w:szCs w:val="24"/>
        </w:rPr>
        <w:t>5</w:t>
      </w:r>
      <w:r>
        <w:rPr>
          <w:rFonts w:ascii="楷体" w:hAnsi="楷体" w:eastAsia="楷体" w:cs="楷体"/>
          <w:spacing w:val="-49"/>
          <w:sz w:val="24"/>
          <w:szCs w:val="24"/>
        </w:rPr>
        <w:t xml:space="preserve"> </w:t>
      </w:r>
      <w:r>
        <w:rPr>
          <w:rFonts w:ascii="楷体" w:hAnsi="楷体" w:eastAsia="楷体" w:cs="楷体"/>
          <w:b/>
          <w:bCs/>
          <w:spacing w:val="27"/>
          <w:sz w:val="24"/>
          <w:szCs w:val="24"/>
        </w:rPr>
        <w:t>.</w:t>
      </w:r>
      <w:r>
        <w:rPr>
          <w:rFonts w:ascii="楷体" w:hAnsi="楷体" w:eastAsia="楷体" w:cs="楷体"/>
          <w:spacing w:val="-65"/>
          <w:sz w:val="24"/>
          <w:szCs w:val="24"/>
        </w:rPr>
        <w:t xml:space="preserve"> </w:t>
      </w:r>
      <w:r>
        <w:rPr>
          <w:rFonts w:ascii="楷体" w:hAnsi="楷体" w:eastAsia="楷体" w:cs="楷体"/>
          <w:b/>
          <w:bCs/>
          <w:spacing w:val="27"/>
          <w:sz w:val="24"/>
          <w:szCs w:val="24"/>
        </w:rPr>
        <w:t>3试用数据处理方法</w:t>
      </w:r>
    </w:p>
    <w:p w14:paraId="7841B43B">
      <w:pPr>
        <w:spacing w:before="97" w:line="223" w:lineRule="auto"/>
        <w:ind w:left="539"/>
        <w:rPr>
          <w:rFonts w:ascii="楷体" w:hAnsi="楷体" w:eastAsia="楷体" w:cs="楷体"/>
          <w:sz w:val="27"/>
          <w:szCs w:val="27"/>
        </w:rPr>
      </w:pPr>
      <w:r>
        <w:rPr>
          <w:rFonts w:ascii="Times New Roman" w:hAnsi="Times New Roman" w:eastAsia="Times New Roman" w:cs="Times New Roman"/>
          <w:b/>
          <w:bCs/>
          <w:spacing w:val="-11"/>
          <w:sz w:val="27"/>
          <w:szCs w:val="27"/>
        </w:rPr>
        <w:t>6</w:t>
      </w:r>
      <w:r>
        <w:rPr>
          <w:rFonts w:ascii="Times New Roman" w:hAnsi="Times New Roman" w:eastAsia="Times New Roman" w:cs="Times New Roman"/>
          <w:b/>
          <w:bCs/>
          <w:spacing w:val="21"/>
          <w:w w:val="101"/>
          <w:sz w:val="27"/>
          <w:szCs w:val="27"/>
        </w:rPr>
        <w:t xml:space="preserve">  </w:t>
      </w:r>
      <w:r>
        <w:rPr>
          <w:rFonts w:ascii="楷体" w:hAnsi="楷体" w:eastAsia="楷体" w:cs="楷体"/>
          <w:b/>
          <w:bCs/>
          <w:spacing w:val="-11"/>
          <w:sz w:val="27"/>
          <w:szCs w:val="27"/>
        </w:rPr>
        <w:t>试用产品的评价指标、评价模型、评价方法及说明</w:t>
      </w:r>
    </w:p>
    <w:p w14:paraId="065B346A">
      <w:pPr>
        <w:spacing w:before="77" w:line="224" w:lineRule="auto"/>
        <w:ind w:left="539"/>
        <w:rPr>
          <w:rFonts w:ascii="楷体" w:hAnsi="楷体" w:eastAsia="楷体" w:cs="楷体"/>
          <w:sz w:val="27"/>
          <w:szCs w:val="27"/>
        </w:rPr>
      </w:pPr>
      <w:r>
        <w:rPr>
          <w:rFonts w:ascii="Times New Roman" w:hAnsi="Times New Roman" w:eastAsia="Times New Roman" w:cs="Times New Roman"/>
          <w:b/>
          <w:bCs/>
          <w:spacing w:val="-8"/>
          <w:sz w:val="27"/>
          <w:szCs w:val="27"/>
        </w:rPr>
        <w:t>7</w:t>
      </w:r>
      <w:r>
        <w:rPr>
          <w:rFonts w:ascii="Times New Roman" w:hAnsi="Times New Roman" w:eastAsia="Times New Roman" w:cs="Times New Roman"/>
          <w:b/>
          <w:bCs/>
          <w:spacing w:val="16"/>
          <w:sz w:val="27"/>
          <w:szCs w:val="27"/>
        </w:rPr>
        <w:t xml:space="preserve">  </w:t>
      </w:r>
      <w:r>
        <w:rPr>
          <w:rFonts w:ascii="楷体" w:hAnsi="楷体" w:eastAsia="楷体" w:cs="楷体"/>
          <w:b/>
          <w:bCs/>
          <w:spacing w:val="-8"/>
          <w:sz w:val="27"/>
          <w:szCs w:val="27"/>
        </w:rPr>
        <w:t>试用部队、保障分队的编制和要求</w:t>
      </w:r>
    </w:p>
    <w:p w14:paraId="7D08F74A">
      <w:pPr>
        <w:spacing w:before="73" w:line="225" w:lineRule="auto"/>
        <w:ind w:left="539"/>
        <w:rPr>
          <w:rFonts w:ascii="楷体" w:hAnsi="楷体" w:eastAsia="楷体" w:cs="楷体"/>
          <w:sz w:val="27"/>
          <w:szCs w:val="27"/>
        </w:rPr>
      </w:pPr>
      <w:r>
        <w:rPr>
          <w:rFonts w:ascii="Times New Roman" w:hAnsi="Times New Roman" w:eastAsia="Times New Roman" w:cs="Times New Roman"/>
          <w:b/>
          <w:bCs/>
          <w:spacing w:val="-1"/>
          <w:sz w:val="27"/>
          <w:szCs w:val="27"/>
        </w:rPr>
        <w:t>8</w:t>
      </w:r>
      <w:r>
        <w:rPr>
          <w:rFonts w:ascii="Times New Roman" w:hAnsi="Times New Roman" w:eastAsia="Times New Roman" w:cs="Times New Roman"/>
          <w:b/>
          <w:bCs/>
          <w:spacing w:val="22"/>
          <w:sz w:val="27"/>
          <w:szCs w:val="27"/>
        </w:rPr>
        <w:t xml:space="preserve">  </w:t>
      </w:r>
      <w:r>
        <w:rPr>
          <w:rFonts w:ascii="楷体" w:hAnsi="楷体" w:eastAsia="楷体" w:cs="楷体"/>
          <w:b/>
          <w:bCs/>
          <w:spacing w:val="-1"/>
          <w:sz w:val="27"/>
          <w:szCs w:val="27"/>
        </w:rPr>
        <w:t>试用的其他要求及有关说明</w:t>
      </w:r>
    </w:p>
    <w:p w14:paraId="6760CA19">
      <w:pPr>
        <w:pStyle w:val="2"/>
        <w:spacing w:line="377" w:lineRule="auto"/>
      </w:pPr>
    </w:p>
    <w:p w14:paraId="2EACBE7C">
      <w:pPr>
        <w:spacing w:before="117" w:line="219" w:lineRule="auto"/>
        <w:ind w:left="2299"/>
        <w:outlineLvl w:val="1"/>
        <w:rPr>
          <w:rFonts w:ascii="宋体" w:hAnsi="宋体" w:eastAsia="宋体" w:cs="宋体"/>
          <w:sz w:val="36"/>
          <w:szCs w:val="36"/>
        </w:rPr>
      </w:pPr>
      <w:bookmarkStart w:id="109" w:name="bookmark54"/>
      <w:bookmarkEnd w:id="109"/>
      <w:r>
        <w:rPr>
          <w:rFonts w:ascii="Times New Roman" w:hAnsi="Times New Roman" w:eastAsia="Times New Roman" w:cs="Times New Roman"/>
          <w:b/>
          <w:bCs/>
          <w:spacing w:val="1"/>
          <w:sz w:val="36"/>
          <w:szCs w:val="36"/>
        </w:rPr>
        <w:t xml:space="preserve">1.52     </w:t>
      </w:r>
      <w:r>
        <w:rPr>
          <w:rFonts w:ascii="宋体" w:hAnsi="宋体" w:eastAsia="宋体" w:cs="宋体"/>
          <w:b/>
          <w:bCs/>
          <w:spacing w:val="1"/>
          <w:sz w:val="36"/>
          <w:szCs w:val="36"/>
        </w:rPr>
        <w:t>部队试用大纲编制说明</w:t>
      </w:r>
    </w:p>
    <w:p w14:paraId="3684F363">
      <w:pPr>
        <w:pStyle w:val="2"/>
        <w:spacing w:line="320" w:lineRule="auto"/>
      </w:pPr>
    </w:p>
    <w:p w14:paraId="45B791F5">
      <w:pPr>
        <w:spacing w:before="92" w:line="223" w:lineRule="auto"/>
        <w:ind w:left="544"/>
        <w:rPr>
          <w:rFonts w:ascii="楷体" w:hAnsi="楷体" w:eastAsia="楷体" w:cs="楷体"/>
          <w:sz w:val="28"/>
          <w:szCs w:val="28"/>
        </w:rPr>
      </w:pPr>
      <w:r>
        <w:rPr>
          <w:rFonts w:ascii="楷体" w:hAnsi="楷体" w:eastAsia="楷体" w:cs="楷体"/>
          <w:b/>
          <w:bCs/>
          <w:spacing w:val="-10"/>
          <w:sz w:val="28"/>
          <w:szCs w:val="28"/>
        </w:rPr>
        <w:t>按照</w:t>
      </w:r>
      <w:r>
        <w:rPr>
          <w:rFonts w:ascii="Times New Roman" w:hAnsi="Times New Roman" w:eastAsia="Times New Roman" w:cs="Times New Roman"/>
          <w:b/>
          <w:bCs/>
          <w:spacing w:val="-10"/>
          <w:sz w:val="28"/>
          <w:szCs w:val="28"/>
        </w:rPr>
        <w:t>GJB6177—</w:t>
      </w:r>
      <w:r>
        <w:rPr>
          <w:rFonts w:ascii="Times New Roman" w:hAnsi="Times New Roman" w:eastAsia="Times New Roman" w:cs="Times New Roman"/>
          <w:b/>
          <w:bCs/>
          <w:strike/>
          <w:spacing w:val="-10"/>
          <w:sz w:val="28"/>
          <w:szCs w:val="28"/>
        </w:rPr>
        <w:t>2</w:t>
      </w:r>
      <w:r>
        <w:rPr>
          <w:rFonts w:ascii="Times New Roman" w:hAnsi="Times New Roman" w:eastAsia="Times New Roman" w:cs="Times New Roman"/>
          <w:b/>
          <w:bCs/>
          <w:spacing w:val="-10"/>
          <w:sz w:val="28"/>
          <w:szCs w:val="28"/>
        </w:rPr>
        <w:t>007</w:t>
      </w:r>
      <w:r>
        <w:rPr>
          <w:rFonts w:ascii="宋体" w:hAnsi="宋体" w:eastAsia="宋体" w:cs="宋体"/>
          <w:b/>
          <w:bCs/>
          <w:spacing w:val="-10"/>
          <w:sz w:val="28"/>
          <w:szCs w:val="28"/>
        </w:rPr>
        <w:t>《</w:t>
      </w:r>
      <w:r>
        <w:rPr>
          <w:rFonts w:ascii="楷体" w:hAnsi="楷体" w:eastAsia="楷体" w:cs="楷体"/>
          <w:b/>
          <w:bCs/>
          <w:spacing w:val="-10"/>
          <w:sz w:val="28"/>
          <w:szCs w:val="28"/>
        </w:rPr>
        <w:t>军工产品定型</w:t>
      </w:r>
      <w:r>
        <w:rPr>
          <w:rFonts w:ascii="楷体" w:hAnsi="楷体" w:eastAsia="楷体" w:cs="楷体"/>
          <w:b/>
          <w:bCs/>
          <w:spacing w:val="-11"/>
          <w:sz w:val="28"/>
          <w:szCs w:val="28"/>
        </w:rPr>
        <w:t>部队试验试用大纲通用要求》编写。</w:t>
      </w:r>
    </w:p>
    <w:p w14:paraId="6196B4FC">
      <w:pPr>
        <w:spacing w:line="223" w:lineRule="auto"/>
        <w:rPr>
          <w:rFonts w:ascii="楷体" w:hAnsi="楷体" w:eastAsia="楷体" w:cs="楷体"/>
          <w:sz w:val="28"/>
          <w:szCs w:val="28"/>
        </w:rPr>
        <w:sectPr>
          <w:footerReference r:id="rId163" w:type="default"/>
          <w:pgSz w:w="11910" w:h="17130"/>
          <w:pgMar w:top="400" w:right="1074" w:bottom="1660" w:left="1360" w:header="0" w:footer="1374" w:gutter="0"/>
          <w:cols w:space="720" w:num="1"/>
        </w:sectPr>
      </w:pPr>
    </w:p>
    <w:p w14:paraId="34D5F56B">
      <w:pPr>
        <w:pStyle w:val="2"/>
        <w:spacing w:line="269" w:lineRule="auto"/>
      </w:pPr>
    </w:p>
    <w:p w14:paraId="0F7B4476">
      <w:pPr>
        <w:pStyle w:val="2"/>
        <w:spacing w:line="269" w:lineRule="auto"/>
      </w:pPr>
    </w:p>
    <w:p w14:paraId="00020E93">
      <w:pPr>
        <w:pStyle w:val="2"/>
        <w:spacing w:line="269" w:lineRule="auto"/>
      </w:pPr>
    </w:p>
    <w:p w14:paraId="6371F3A6">
      <w:pPr>
        <w:pStyle w:val="2"/>
        <w:spacing w:line="269" w:lineRule="auto"/>
      </w:pPr>
    </w:p>
    <w:p w14:paraId="7190A07F">
      <w:pPr>
        <w:spacing w:before="81" w:line="221" w:lineRule="auto"/>
        <w:rPr>
          <w:rFonts w:ascii="黑体" w:hAnsi="黑体" w:eastAsia="黑体" w:cs="黑体"/>
          <w:sz w:val="25"/>
          <w:szCs w:val="25"/>
        </w:rPr>
      </w:pPr>
      <w:bookmarkStart w:id="110" w:name="bookmark363"/>
      <w:bookmarkEnd w:id="110"/>
      <w:r>
        <w:rPr>
          <w:rFonts w:ascii="黑体" w:hAnsi="黑体" w:eastAsia="黑体" w:cs="黑体"/>
          <w:spacing w:val="12"/>
          <w:sz w:val="25"/>
          <w:szCs w:val="25"/>
        </w:rPr>
        <w:t>1</w:t>
      </w:r>
      <w:r>
        <w:rPr>
          <w:rFonts w:ascii="黑体" w:hAnsi="黑体" w:eastAsia="黑体" w:cs="黑体"/>
          <w:spacing w:val="35"/>
          <w:sz w:val="25"/>
          <w:szCs w:val="25"/>
        </w:rPr>
        <w:t xml:space="preserve">  </w:t>
      </w:r>
      <w:r>
        <w:rPr>
          <w:rFonts w:ascii="黑体" w:hAnsi="黑体" w:eastAsia="黑体" w:cs="黑体"/>
          <w:b/>
          <w:bCs/>
          <w:spacing w:val="12"/>
          <w:sz w:val="25"/>
          <w:szCs w:val="25"/>
        </w:rPr>
        <w:t>编制依据</w:t>
      </w:r>
    </w:p>
    <w:p w14:paraId="7B06615A">
      <w:pPr>
        <w:spacing w:before="55" w:line="296" w:lineRule="auto"/>
        <w:ind w:firstLine="549"/>
        <w:rPr>
          <w:rFonts w:ascii="宋体" w:hAnsi="宋体" w:eastAsia="宋体" w:cs="宋体"/>
          <w:sz w:val="27"/>
          <w:szCs w:val="27"/>
        </w:rPr>
      </w:pPr>
      <w:r>
        <w:rPr>
          <w:rFonts w:ascii="宋体" w:hAnsi="宋体" w:eastAsia="宋体" w:cs="宋体"/>
          <w:spacing w:val="-8"/>
          <w:sz w:val="27"/>
          <w:szCs w:val="27"/>
        </w:rPr>
        <w:t>说明编制部队试用大纲的依据，主要包括研制总要求，通用规范，产品规范，</w:t>
      </w:r>
      <w:r>
        <w:rPr>
          <w:rFonts w:ascii="宋体" w:hAnsi="宋体" w:eastAsia="宋体" w:cs="宋体"/>
          <w:spacing w:val="16"/>
          <w:sz w:val="27"/>
          <w:szCs w:val="27"/>
        </w:rPr>
        <w:t xml:space="preserve"> </w:t>
      </w:r>
      <w:r>
        <w:rPr>
          <w:rFonts w:ascii="宋体" w:hAnsi="宋体" w:eastAsia="宋体" w:cs="宋体"/>
          <w:sz w:val="27"/>
          <w:szCs w:val="27"/>
        </w:rPr>
        <w:t>有关试验规范等。</w:t>
      </w:r>
    </w:p>
    <w:p w14:paraId="3969BD6A">
      <w:pPr>
        <w:spacing w:line="221" w:lineRule="auto"/>
        <w:rPr>
          <w:rFonts w:ascii="黑体" w:hAnsi="黑体" w:eastAsia="黑体" w:cs="黑体"/>
          <w:sz w:val="24"/>
          <w:szCs w:val="24"/>
        </w:rPr>
      </w:pPr>
      <w:r>
        <w:rPr>
          <w:rFonts w:ascii="黑体" w:hAnsi="黑体" w:eastAsia="黑体" w:cs="黑体"/>
          <w:spacing w:val="27"/>
          <w:sz w:val="24"/>
          <w:szCs w:val="24"/>
        </w:rPr>
        <w:t>2</w:t>
      </w:r>
      <w:r>
        <w:rPr>
          <w:rFonts w:ascii="黑体" w:hAnsi="黑体" w:eastAsia="黑体" w:cs="黑体"/>
          <w:spacing w:val="40"/>
          <w:sz w:val="24"/>
          <w:szCs w:val="24"/>
        </w:rPr>
        <w:t xml:space="preserve">  </w:t>
      </w:r>
      <w:r>
        <w:rPr>
          <w:rFonts w:ascii="黑体" w:hAnsi="黑体" w:eastAsia="黑体" w:cs="黑体"/>
          <w:b/>
          <w:bCs/>
          <w:spacing w:val="27"/>
          <w:sz w:val="24"/>
          <w:szCs w:val="24"/>
        </w:rPr>
        <w:t>确定大纲主要内容的理由</w:t>
      </w:r>
    </w:p>
    <w:p w14:paraId="1588CAB3">
      <w:pPr>
        <w:spacing w:before="86" w:line="277" w:lineRule="auto"/>
        <w:ind w:right="97" w:firstLine="549"/>
        <w:jc w:val="both"/>
        <w:rPr>
          <w:rFonts w:ascii="宋体" w:hAnsi="宋体" w:eastAsia="宋体" w:cs="宋体"/>
          <w:sz w:val="27"/>
          <w:szCs w:val="27"/>
        </w:rPr>
      </w:pPr>
      <w:r>
        <w:rPr>
          <w:rFonts w:ascii="宋体" w:hAnsi="宋体" w:eastAsia="宋体" w:cs="宋体"/>
          <w:spacing w:val="6"/>
          <w:sz w:val="27"/>
          <w:szCs w:val="27"/>
        </w:rPr>
        <w:t>说明确定部队试用大纲主要内容的理由。对于有明确规定的</w:t>
      </w:r>
      <w:r>
        <w:rPr>
          <w:rFonts w:ascii="宋体" w:hAnsi="宋体" w:eastAsia="宋体" w:cs="宋体"/>
          <w:spacing w:val="5"/>
          <w:sz w:val="27"/>
          <w:szCs w:val="27"/>
        </w:rPr>
        <w:t>试验项目、内</w:t>
      </w:r>
      <w:r>
        <w:rPr>
          <w:rFonts w:ascii="宋体" w:hAnsi="宋体" w:eastAsia="宋体" w:cs="宋体"/>
          <w:sz w:val="27"/>
          <w:szCs w:val="27"/>
        </w:rPr>
        <w:t xml:space="preserve"> </w:t>
      </w:r>
      <w:r>
        <w:rPr>
          <w:rFonts w:ascii="宋体" w:hAnsi="宋体" w:eastAsia="宋体" w:cs="宋体"/>
          <w:spacing w:val="-10"/>
          <w:sz w:val="27"/>
          <w:szCs w:val="27"/>
        </w:rPr>
        <w:t>容和方法，可简要说明依据文件；对于没有明确规定的试验</w:t>
      </w:r>
      <w:r>
        <w:rPr>
          <w:rFonts w:ascii="宋体" w:hAnsi="宋体" w:eastAsia="宋体" w:cs="宋体"/>
          <w:spacing w:val="-11"/>
          <w:sz w:val="27"/>
          <w:szCs w:val="27"/>
        </w:rPr>
        <w:t>项目、内容和方法，应</w:t>
      </w:r>
      <w:r>
        <w:rPr>
          <w:rFonts w:ascii="宋体" w:hAnsi="宋体" w:eastAsia="宋体" w:cs="宋体"/>
          <w:sz w:val="27"/>
          <w:szCs w:val="27"/>
        </w:rPr>
        <w:t xml:space="preserve"> </w:t>
      </w:r>
      <w:r>
        <w:rPr>
          <w:rFonts w:ascii="宋体" w:hAnsi="宋体" w:eastAsia="宋体" w:cs="宋体"/>
          <w:spacing w:val="-1"/>
          <w:sz w:val="27"/>
          <w:szCs w:val="27"/>
        </w:rPr>
        <w:t>详细说明理由。</w:t>
      </w:r>
    </w:p>
    <w:p w14:paraId="2CA4E8D7">
      <w:pPr>
        <w:spacing w:before="1" w:line="220" w:lineRule="auto"/>
        <w:rPr>
          <w:rFonts w:ascii="黑体" w:hAnsi="黑体" w:eastAsia="黑体" w:cs="黑体"/>
          <w:sz w:val="27"/>
          <w:szCs w:val="27"/>
        </w:rPr>
      </w:pPr>
      <w:r>
        <w:rPr>
          <w:rFonts w:ascii="黑体" w:hAnsi="黑体" w:eastAsia="黑体" w:cs="黑体"/>
          <w:spacing w:val="2"/>
          <w:sz w:val="27"/>
          <w:szCs w:val="27"/>
        </w:rPr>
        <w:t xml:space="preserve">3  </w:t>
      </w:r>
      <w:r>
        <w:rPr>
          <w:rFonts w:ascii="黑体" w:hAnsi="黑体" w:eastAsia="黑体" w:cs="黑体"/>
          <w:b/>
          <w:bCs/>
          <w:spacing w:val="2"/>
          <w:sz w:val="27"/>
          <w:szCs w:val="27"/>
        </w:rPr>
        <w:t>对试用项目及考核内容进行剪裁的依据和理由</w:t>
      </w:r>
    </w:p>
    <w:p w14:paraId="59E71DC1">
      <w:pPr>
        <w:spacing w:before="102" w:line="272" w:lineRule="auto"/>
        <w:ind w:right="102" w:firstLine="549"/>
        <w:rPr>
          <w:rFonts w:ascii="宋体" w:hAnsi="宋体" w:eastAsia="宋体" w:cs="宋体"/>
          <w:sz w:val="27"/>
          <w:szCs w:val="27"/>
        </w:rPr>
      </w:pPr>
      <w:r>
        <w:rPr>
          <w:rFonts w:ascii="宋体" w:hAnsi="宋体" w:eastAsia="宋体" w:cs="宋体"/>
          <w:spacing w:val="-3"/>
          <w:sz w:val="27"/>
          <w:szCs w:val="27"/>
        </w:rPr>
        <w:t>当试用项目及考核内容与相关国家标准、国家军用标准不一致，进行了剪裁</w:t>
      </w:r>
      <w:r>
        <w:rPr>
          <w:rFonts w:ascii="宋体" w:hAnsi="宋体" w:eastAsia="宋体" w:cs="宋体"/>
          <w:spacing w:val="10"/>
          <w:sz w:val="27"/>
          <w:szCs w:val="27"/>
        </w:rPr>
        <w:t xml:space="preserve"> </w:t>
      </w:r>
      <w:r>
        <w:rPr>
          <w:rFonts w:ascii="宋体" w:hAnsi="宋体" w:eastAsia="宋体" w:cs="宋体"/>
          <w:spacing w:val="-2"/>
          <w:sz w:val="27"/>
          <w:szCs w:val="27"/>
        </w:rPr>
        <w:t>时，应说明对试用项目及考核内容进行剪裁的依据和理由。</w:t>
      </w:r>
    </w:p>
    <w:p w14:paraId="555BA784">
      <w:pPr>
        <w:spacing w:before="1" w:line="220"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1"/>
          <w:sz w:val="27"/>
          <w:szCs w:val="27"/>
        </w:rPr>
        <w:t xml:space="preserve">  </w:t>
      </w:r>
      <w:r>
        <w:rPr>
          <w:rFonts w:ascii="黑体" w:hAnsi="黑体" w:eastAsia="黑体" w:cs="黑体"/>
          <w:b/>
          <w:bCs/>
          <w:spacing w:val="-1"/>
          <w:sz w:val="27"/>
          <w:szCs w:val="27"/>
        </w:rPr>
        <w:t>编制过程</w:t>
      </w:r>
    </w:p>
    <w:p w14:paraId="794C9528">
      <w:pPr>
        <w:spacing w:before="113" w:line="269" w:lineRule="auto"/>
        <w:ind w:right="122" w:firstLine="549"/>
        <w:rPr>
          <w:rFonts w:ascii="宋体" w:hAnsi="宋体" w:eastAsia="宋体" w:cs="宋体"/>
          <w:sz w:val="27"/>
          <w:szCs w:val="27"/>
        </w:rPr>
      </w:pPr>
      <w:r>
        <w:rPr>
          <w:rFonts w:ascii="宋体" w:hAnsi="宋体" w:eastAsia="宋体" w:cs="宋体"/>
          <w:spacing w:val="-3"/>
          <w:sz w:val="27"/>
          <w:szCs w:val="27"/>
        </w:rPr>
        <w:t>概要介绍编制过程，包括编制起止时间，组织和参与</w:t>
      </w:r>
      <w:r>
        <w:rPr>
          <w:rFonts w:ascii="宋体" w:hAnsi="宋体" w:eastAsia="宋体" w:cs="宋体"/>
          <w:spacing w:val="-4"/>
          <w:sz w:val="27"/>
          <w:szCs w:val="27"/>
        </w:rPr>
        <w:t>编制的单位，以及征求</w:t>
      </w:r>
      <w:r>
        <w:rPr>
          <w:rFonts w:ascii="宋体" w:hAnsi="宋体" w:eastAsia="宋体" w:cs="宋体"/>
          <w:sz w:val="27"/>
          <w:szCs w:val="27"/>
        </w:rPr>
        <w:t xml:space="preserve"> </w:t>
      </w:r>
      <w:r>
        <w:rPr>
          <w:rFonts w:ascii="宋体" w:hAnsi="宋体" w:eastAsia="宋体" w:cs="宋体"/>
          <w:spacing w:val="-14"/>
          <w:sz w:val="27"/>
          <w:szCs w:val="27"/>
        </w:rPr>
        <w:t>意见、修改等情况。</w:t>
      </w:r>
    </w:p>
    <w:p w14:paraId="08EB92F5">
      <w:pPr>
        <w:pStyle w:val="2"/>
        <w:spacing w:line="260" w:lineRule="auto"/>
      </w:pPr>
    </w:p>
    <w:p w14:paraId="77BEB987">
      <w:pPr>
        <w:spacing w:before="117" w:line="218" w:lineRule="auto"/>
        <w:ind w:left="3059"/>
        <w:outlineLvl w:val="1"/>
        <w:rPr>
          <w:rFonts w:ascii="宋体" w:hAnsi="宋体" w:eastAsia="宋体" w:cs="宋体"/>
          <w:sz w:val="36"/>
          <w:szCs w:val="36"/>
        </w:rPr>
      </w:pPr>
      <w:bookmarkStart w:id="111" w:name="bookmark55"/>
      <w:bookmarkEnd w:id="111"/>
      <w:r>
        <w:rPr>
          <w:rFonts w:ascii="宋体" w:hAnsi="宋体" w:eastAsia="宋体" w:cs="宋体"/>
          <w:spacing w:val="-2"/>
          <w:sz w:val="36"/>
          <w:szCs w:val="36"/>
        </w:rPr>
        <w:t>1.</w:t>
      </w:r>
      <w:r>
        <w:rPr>
          <w:rFonts w:ascii="宋体" w:hAnsi="宋体" w:eastAsia="宋体" w:cs="宋体"/>
          <w:b/>
          <w:bCs/>
          <w:spacing w:val="-2"/>
          <w:sz w:val="36"/>
          <w:szCs w:val="36"/>
        </w:rPr>
        <w:t>53</w:t>
      </w:r>
      <w:r>
        <w:rPr>
          <w:rFonts w:ascii="宋体" w:hAnsi="宋体" w:eastAsia="宋体" w:cs="宋体"/>
          <w:spacing w:val="24"/>
          <w:sz w:val="36"/>
          <w:szCs w:val="36"/>
        </w:rPr>
        <w:t xml:space="preserve">  </w:t>
      </w:r>
      <w:r>
        <w:rPr>
          <w:rFonts w:ascii="宋体" w:hAnsi="宋体" w:eastAsia="宋体" w:cs="宋体"/>
          <w:b/>
          <w:bCs/>
          <w:spacing w:val="-2"/>
          <w:sz w:val="36"/>
          <w:szCs w:val="36"/>
        </w:rPr>
        <w:t>部队试用报告</w:t>
      </w:r>
    </w:p>
    <w:p w14:paraId="1F47ECD6">
      <w:pPr>
        <w:pStyle w:val="2"/>
        <w:spacing w:line="382" w:lineRule="auto"/>
      </w:pPr>
    </w:p>
    <w:p w14:paraId="36C7ADA2">
      <w:pPr>
        <w:spacing w:before="78" w:line="223" w:lineRule="auto"/>
        <w:ind w:left="549"/>
        <w:rPr>
          <w:rFonts w:ascii="楷体" w:hAnsi="楷体" w:eastAsia="楷体" w:cs="楷体"/>
          <w:sz w:val="24"/>
          <w:szCs w:val="24"/>
        </w:rPr>
      </w:pPr>
      <w:r>
        <w:rPr>
          <w:rFonts w:ascii="楷体" w:hAnsi="楷体" w:eastAsia="楷体" w:cs="楷体"/>
          <w:spacing w:val="17"/>
          <w:sz w:val="24"/>
          <w:szCs w:val="24"/>
        </w:rPr>
        <w:t>按</w:t>
      </w:r>
      <w:r>
        <w:rPr>
          <w:rFonts w:ascii="楷体" w:hAnsi="楷体" w:eastAsia="楷体" w:cs="楷体"/>
          <w:spacing w:val="-30"/>
          <w:sz w:val="24"/>
          <w:szCs w:val="24"/>
        </w:rPr>
        <w:t xml:space="preserve"> </w:t>
      </w:r>
      <w:r>
        <w:rPr>
          <w:rFonts w:ascii="楷体" w:hAnsi="楷体" w:eastAsia="楷体" w:cs="楷体"/>
          <w:spacing w:val="17"/>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7"/>
          <w:sz w:val="24"/>
          <w:szCs w:val="24"/>
        </w:rPr>
        <w:t xml:space="preserve">    6178—2007</w:t>
      </w:r>
      <w:r>
        <w:rPr>
          <w:rFonts w:ascii="宋体" w:hAnsi="宋体" w:eastAsia="宋体" w:cs="宋体"/>
          <w:spacing w:val="17"/>
          <w:sz w:val="24"/>
          <w:szCs w:val="24"/>
        </w:rPr>
        <w:t>《</w:t>
      </w:r>
      <w:r>
        <w:rPr>
          <w:rFonts w:ascii="楷体" w:hAnsi="楷体" w:eastAsia="楷体" w:cs="楷体"/>
          <w:spacing w:val="17"/>
          <w:sz w:val="24"/>
          <w:szCs w:val="24"/>
        </w:rPr>
        <w:t>军工产品定型部队</w:t>
      </w:r>
      <w:r>
        <w:rPr>
          <w:rFonts w:ascii="楷体" w:hAnsi="楷体" w:eastAsia="楷体" w:cs="楷体"/>
          <w:spacing w:val="16"/>
          <w:sz w:val="24"/>
          <w:szCs w:val="24"/>
        </w:rPr>
        <w:t>试验试用报告通用要求》编写。</w:t>
      </w:r>
    </w:p>
    <w:p w14:paraId="3A90D79E">
      <w:pPr>
        <w:spacing w:before="100" w:line="221" w:lineRule="auto"/>
        <w:rPr>
          <w:rFonts w:ascii="黑体" w:hAnsi="黑体" w:eastAsia="黑体" w:cs="黑体"/>
          <w:sz w:val="24"/>
          <w:szCs w:val="24"/>
        </w:rPr>
      </w:pPr>
      <w:r>
        <w:rPr>
          <w:rFonts w:ascii="黑体" w:hAnsi="黑体" w:eastAsia="黑体" w:cs="黑体"/>
          <w:spacing w:val="20"/>
          <w:sz w:val="24"/>
          <w:szCs w:val="24"/>
        </w:rPr>
        <w:t>1</w:t>
      </w:r>
      <w:r>
        <w:rPr>
          <w:rFonts w:ascii="黑体" w:hAnsi="黑体" w:eastAsia="黑体" w:cs="黑体"/>
          <w:spacing w:val="42"/>
          <w:sz w:val="24"/>
          <w:szCs w:val="24"/>
        </w:rPr>
        <w:t xml:space="preserve">  </w:t>
      </w:r>
      <w:r>
        <w:rPr>
          <w:rFonts w:ascii="黑体" w:hAnsi="黑体" w:eastAsia="黑体" w:cs="黑体"/>
          <w:b/>
          <w:bCs/>
          <w:spacing w:val="20"/>
          <w:sz w:val="24"/>
          <w:szCs w:val="24"/>
        </w:rPr>
        <w:t>试用概况</w:t>
      </w:r>
    </w:p>
    <w:p w14:paraId="794446D1">
      <w:pPr>
        <w:spacing w:before="120" w:line="219" w:lineRule="auto"/>
        <w:ind w:left="549"/>
        <w:rPr>
          <w:rFonts w:ascii="宋体" w:hAnsi="宋体" w:eastAsia="宋体" w:cs="宋体"/>
          <w:sz w:val="27"/>
          <w:szCs w:val="27"/>
        </w:rPr>
      </w:pPr>
      <w:r>
        <w:rPr>
          <w:rFonts w:ascii="宋体" w:hAnsi="宋体" w:eastAsia="宋体" w:cs="宋体"/>
          <w:spacing w:val="2"/>
          <w:sz w:val="27"/>
          <w:szCs w:val="27"/>
        </w:rPr>
        <w:t>试用概况部分通常应有以下内容：</w:t>
      </w:r>
    </w:p>
    <w:p w14:paraId="4D5EA964">
      <w:pPr>
        <w:spacing w:before="78" w:line="219" w:lineRule="auto"/>
        <w:ind w:left="549"/>
        <w:rPr>
          <w:rFonts w:ascii="宋体" w:hAnsi="宋体" w:eastAsia="宋体" w:cs="宋体"/>
          <w:sz w:val="27"/>
          <w:szCs w:val="27"/>
        </w:rPr>
      </w:pPr>
      <w:r>
        <w:rPr>
          <w:rFonts w:ascii="Times New Roman" w:hAnsi="Times New Roman" w:eastAsia="Times New Roman" w:cs="Times New Roman"/>
          <w:sz w:val="27"/>
          <w:szCs w:val="27"/>
        </w:rPr>
        <w:t>a</w:t>
      </w:r>
      <w:r>
        <w:rPr>
          <w:rFonts w:ascii="宋体" w:hAnsi="宋体" w:eastAsia="宋体" w:cs="宋体"/>
          <w:sz w:val="27"/>
          <w:szCs w:val="27"/>
        </w:rPr>
        <w:t>)试用任务来源、依据及代号；</w:t>
      </w:r>
    </w:p>
    <w:p w14:paraId="4EAAD0C2">
      <w:pPr>
        <w:spacing w:before="51" w:line="212" w:lineRule="auto"/>
        <w:ind w:left="549"/>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被试品代号和名称；</w:t>
      </w:r>
    </w:p>
    <w:p w14:paraId="7B4D1507">
      <w:pPr>
        <w:spacing w:before="110" w:line="212" w:lineRule="auto"/>
        <w:ind w:left="549"/>
        <w:rPr>
          <w:rFonts w:ascii="宋体" w:hAnsi="宋体" w:eastAsia="宋体" w:cs="宋体"/>
          <w:sz w:val="27"/>
          <w:szCs w:val="27"/>
        </w:rPr>
      </w:pPr>
      <w:r>
        <w:rPr>
          <w:rFonts w:ascii="Times New Roman" w:hAnsi="Times New Roman" w:eastAsia="Times New Roman" w:cs="Times New Roman"/>
          <w:spacing w:val="2"/>
          <w:sz w:val="27"/>
          <w:szCs w:val="27"/>
        </w:rPr>
        <w:t xml:space="preserve">c)  </w:t>
      </w:r>
      <w:r>
        <w:rPr>
          <w:rFonts w:ascii="宋体" w:hAnsi="宋体" w:eastAsia="宋体" w:cs="宋体"/>
          <w:spacing w:val="2"/>
          <w:sz w:val="27"/>
          <w:szCs w:val="27"/>
        </w:rPr>
        <w:t>承试单位和参试单位名称；</w:t>
      </w:r>
    </w:p>
    <w:p w14:paraId="1FE68F8E">
      <w:pPr>
        <w:spacing w:before="132" w:line="212" w:lineRule="auto"/>
        <w:ind w:left="549"/>
        <w:rPr>
          <w:rFonts w:ascii="宋体" w:hAnsi="宋体" w:eastAsia="宋体" w:cs="宋体"/>
          <w:sz w:val="24"/>
          <w:szCs w:val="24"/>
        </w:rPr>
      </w:pPr>
      <w:r>
        <w:rPr>
          <w:rFonts w:ascii="Times New Roman" w:hAnsi="Times New Roman" w:eastAsia="Times New Roman" w:cs="Times New Roman"/>
          <w:spacing w:val="16"/>
          <w:sz w:val="24"/>
          <w:szCs w:val="24"/>
        </w:rPr>
        <w:t>d)</w:t>
      </w:r>
      <w:r>
        <w:rPr>
          <w:rFonts w:ascii="Times New Roman" w:hAnsi="Times New Roman" w:eastAsia="Times New Roman" w:cs="Times New Roman"/>
          <w:spacing w:val="25"/>
          <w:sz w:val="24"/>
          <w:szCs w:val="24"/>
        </w:rPr>
        <w:t xml:space="preserve">  </w:t>
      </w:r>
      <w:r>
        <w:rPr>
          <w:rFonts w:ascii="宋体" w:hAnsi="宋体" w:eastAsia="宋体" w:cs="宋体"/>
          <w:spacing w:val="16"/>
          <w:sz w:val="24"/>
          <w:szCs w:val="24"/>
        </w:rPr>
        <w:t>试用性质、目的和任务；</w:t>
      </w:r>
    </w:p>
    <w:p w14:paraId="6B1D6473">
      <w:pPr>
        <w:spacing w:before="142" w:line="220" w:lineRule="auto"/>
        <w:ind w:left="549"/>
        <w:rPr>
          <w:rFonts w:ascii="宋体" w:hAnsi="宋体" w:eastAsia="宋体" w:cs="宋体"/>
          <w:sz w:val="24"/>
          <w:szCs w:val="24"/>
        </w:rPr>
      </w:pPr>
      <w:r>
        <w:rPr>
          <w:rFonts w:ascii="Times New Roman" w:hAnsi="Times New Roman" w:eastAsia="Times New Roman" w:cs="Times New Roman"/>
          <w:spacing w:val="12"/>
          <w:sz w:val="24"/>
          <w:szCs w:val="24"/>
        </w:rPr>
        <w:t>e</w:t>
      </w:r>
      <w:r>
        <w:rPr>
          <w:rFonts w:ascii="Times New Roman" w:hAnsi="Times New Roman" w:eastAsia="Times New Roman" w:cs="Times New Roman"/>
          <w:spacing w:val="-2"/>
          <w:sz w:val="24"/>
          <w:szCs w:val="24"/>
        </w:rPr>
        <w:t xml:space="preserve"> </w:t>
      </w:r>
      <w:r>
        <w:rPr>
          <w:rFonts w:ascii="宋体" w:hAnsi="宋体" w:eastAsia="宋体" w:cs="宋体"/>
          <w:spacing w:val="12"/>
          <w:sz w:val="24"/>
          <w:szCs w:val="24"/>
        </w:rPr>
        <w:t>)</w:t>
      </w:r>
      <w:r>
        <w:rPr>
          <w:rFonts w:ascii="宋体" w:hAnsi="宋体" w:eastAsia="宋体" w:cs="宋体"/>
          <w:spacing w:val="-40"/>
          <w:sz w:val="24"/>
          <w:szCs w:val="24"/>
        </w:rPr>
        <w:t xml:space="preserve"> </w:t>
      </w:r>
      <w:r>
        <w:rPr>
          <w:rFonts w:ascii="宋体" w:hAnsi="宋体" w:eastAsia="宋体" w:cs="宋体"/>
          <w:spacing w:val="12"/>
          <w:sz w:val="24"/>
          <w:szCs w:val="24"/>
        </w:rPr>
        <w:t>试用地区、起止时间；</w:t>
      </w:r>
    </w:p>
    <w:p w14:paraId="07A951C6">
      <w:pPr>
        <w:spacing w:before="64" w:line="212" w:lineRule="auto"/>
        <w:ind w:left="549"/>
        <w:rPr>
          <w:rFonts w:ascii="宋体" w:hAnsi="宋体" w:eastAsia="宋体" w:cs="宋体"/>
          <w:sz w:val="27"/>
          <w:szCs w:val="27"/>
        </w:rPr>
      </w:pPr>
      <w:r>
        <w:rPr>
          <w:rFonts w:ascii="Times New Roman" w:hAnsi="Times New Roman" w:eastAsia="Times New Roman" w:cs="Times New Roman"/>
          <w:spacing w:val="4"/>
          <w:sz w:val="27"/>
          <w:szCs w:val="27"/>
        </w:rPr>
        <w:t>f)</w:t>
      </w:r>
      <w:r>
        <w:rPr>
          <w:rFonts w:ascii="Times New Roman" w:hAnsi="Times New Roman" w:eastAsia="Times New Roman" w:cs="Times New Roman"/>
          <w:spacing w:val="66"/>
          <w:w w:val="101"/>
          <w:sz w:val="27"/>
          <w:szCs w:val="27"/>
        </w:rPr>
        <w:t xml:space="preserve"> </w:t>
      </w:r>
      <w:r>
        <w:rPr>
          <w:rFonts w:ascii="宋体" w:hAnsi="宋体" w:eastAsia="宋体" w:cs="宋体"/>
          <w:spacing w:val="4"/>
          <w:sz w:val="27"/>
          <w:szCs w:val="27"/>
        </w:rPr>
        <w:t>试用组织机构的设立及其职责分工情况；</w:t>
      </w:r>
    </w:p>
    <w:p w14:paraId="11404ADC">
      <w:pPr>
        <w:spacing w:before="100" w:line="212" w:lineRule="auto"/>
        <w:ind w:left="549"/>
        <w:rPr>
          <w:rFonts w:ascii="宋体" w:hAnsi="宋体" w:eastAsia="宋体" w:cs="宋体"/>
          <w:sz w:val="27"/>
          <w:szCs w:val="27"/>
        </w:rPr>
      </w:pPr>
      <w:r>
        <w:rPr>
          <w:rFonts w:ascii="Times New Roman" w:hAnsi="Times New Roman" w:eastAsia="Times New Roman" w:cs="Times New Roman"/>
          <w:spacing w:val="8"/>
          <w:sz w:val="27"/>
          <w:szCs w:val="27"/>
        </w:rPr>
        <w:t>g</w:t>
      </w:r>
      <w:r>
        <w:rPr>
          <w:rFonts w:ascii="宋体" w:hAnsi="宋体" w:eastAsia="宋体" w:cs="宋体"/>
          <w:spacing w:val="8"/>
          <w:sz w:val="27"/>
          <w:szCs w:val="27"/>
        </w:rPr>
        <w:t>)试用实施计划的制定和落实情况；</w:t>
      </w:r>
    </w:p>
    <w:p w14:paraId="3BCB15F4">
      <w:pPr>
        <w:spacing w:before="130" w:line="212" w:lineRule="auto"/>
        <w:ind w:left="549"/>
        <w:rPr>
          <w:rFonts w:ascii="宋体" w:hAnsi="宋体" w:eastAsia="宋体" w:cs="宋体"/>
          <w:sz w:val="27"/>
          <w:szCs w:val="27"/>
        </w:rPr>
      </w:pPr>
      <w:r>
        <w:rPr>
          <w:rFonts w:ascii="Times New Roman" w:hAnsi="Times New Roman" w:eastAsia="Times New Roman" w:cs="Times New Roman"/>
          <w:spacing w:val="-8"/>
          <w:sz w:val="27"/>
          <w:szCs w:val="27"/>
        </w:rPr>
        <w:t xml:space="preserve">h)  </w:t>
      </w:r>
      <w:r>
        <w:rPr>
          <w:rFonts w:ascii="宋体" w:hAnsi="宋体" w:eastAsia="宋体" w:cs="宋体"/>
          <w:spacing w:val="-8"/>
          <w:sz w:val="27"/>
          <w:szCs w:val="27"/>
        </w:rPr>
        <w:t>试用阶段划分，各阶段的起止时间、地点(地域)、主要工作和目的；</w:t>
      </w:r>
    </w:p>
    <w:p w14:paraId="1DCB930B">
      <w:pPr>
        <w:spacing w:before="80" w:line="212" w:lineRule="auto"/>
        <w:ind w:left="549"/>
        <w:rPr>
          <w:rFonts w:ascii="宋体" w:hAnsi="宋体" w:eastAsia="宋体" w:cs="宋体"/>
          <w:sz w:val="27"/>
          <w:szCs w:val="27"/>
        </w:rPr>
      </w:pPr>
      <w:r>
        <w:rPr>
          <w:rFonts w:ascii="Times New Roman" w:hAnsi="Times New Roman" w:eastAsia="Times New Roman" w:cs="Times New Roman"/>
          <w:spacing w:val="4"/>
          <w:sz w:val="27"/>
          <w:szCs w:val="27"/>
        </w:rPr>
        <w:t>i)</w:t>
      </w:r>
      <w:r>
        <w:rPr>
          <w:rFonts w:ascii="Times New Roman" w:hAnsi="Times New Roman" w:eastAsia="Times New Roman" w:cs="Times New Roman"/>
          <w:spacing w:val="63"/>
          <w:w w:val="101"/>
          <w:sz w:val="27"/>
          <w:szCs w:val="27"/>
        </w:rPr>
        <w:t xml:space="preserve"> </w:t>
      </w:r>
      <w:r>
        <w:rPr>
          <w:rFonts w:ascii="宋体" w:hAnsi="宋体" w:eastAsia="宋体" w:cs="宋体"/>
          <w:spacing w:val="4"/>
          <w:sz w:val="27"/>
          <w:szCs w:val="27"/>
        </w:rPr>
        <w:t>是否完成试用大纲规定的任务等。</w:t>
      </w:r>
    </w:p>
    <w:p w14:paraId="21E55527">
      <w:pPr>
        <w:spacing w:before="114" w:line="221"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6"/>
          <w:sz w:val="27"/>
          <w:szCs w:val="27"/>
        </w:rPr>
        <w:t xml:space="preserve">  </w:t>
      </w:r>
      <w:r>
        <w:rPr>
          <w:rFonts w:ascii="黑体" w:hAnsi="黑体" w:eastAsia="黑体" w:cs="黑体"/>
          <w:b/>
          <w:bCs/>
          <w:spacing w:val="1"/>
          <w:sz w:val="27"/>
          <w:szCs w:val="27"/>
        </w:rPr>
        <w:t>试用条件说明</w:t>
      </w:r>
    </w:p>
    <w:p w14:paraId="1D1537C2">
      <w:pPr>
        <w:spacing w:before="90" w:line="222" w:lineRule="auto"/>
        <w:rPr>
          <w:rFonts w:ascii="黑体" w:hAnsi="黑体" w:eastAsia="黑体" w:cs="黑体"/>
          <w:sz w:val="27"/>
          <w:szCs w:val="27"/>
        </w:rPr>
      </w:pPr>
      <w:r>
        <w:rPr>
          <w:rFonts w:ascii="黑体" w:hAnsi="黑体" w:eastAsia="黑体" w:cs="黑体"/>
          <w:spacing w:val="-1"/>
          <w:sz w:val="27"/>
          <w:szCs w:val="27"/>
        </w:rPr>
        <w:t>2.1</w:t>
      </w:r>
      <w:r>
        <w:rPr>
          <w:rFonts w:ascii="黑体" w:hAnsi="黑体" w:eastAsia="黑体" w:cs="黑体"/>
          <w:spacing w:val="15"/>
          <w:sz w:val="27"/>
          <w:szCs w:val="27"/>
        </w:rPr>
        <w:t xml:space="preserve">  </w:t>
      </w:r>
      <w:r>
        <w:rPr>
          <w:rFonts w:ascii="黑体" w:hAnsi="黑体" w:eastAsia="黑体" w:cs="黑体"/>
          <w:b/>
          <w:bCs/>
          <w:spacing w:val="-1"/>
          <w:sz w:val="27"/>
          <w:szCs w:val="27"/>
        </w:rPr>
        <w:t>基本要求</w:t>
      </w:r>
    </w:p>
    <w:p w14:paraId="4CFA687E">
      <w:pPr>
        <w:spacing w:before="88" w:line="277" w:lineRule="auto"/>
        <w:ind w:right="124" w:firstLine="549"/>
        <w:rPr>
          <w:rFonts w:ascii="宋体" w:hAnsi="宋体" w:eastAsia="宋体" w:cs="宋体"/>
          <w:sz w:val="27"/>
          <w:szCs w:val="27"/>
        </w:rPr>
      </w:pPr>
      <w:r>
        <w:rPr>
          <w:rFonts w:ascii="宋体" w:hAnsi="宋体" w:eastAsia="宋体" w:cs="宋体"/>
          <w:spacing w:val="-3"/>
          <w:sz w:val="27"/>
          <w:szCs w:val="27"/>
        </w:rPr>
        <w:t>应从试用的宏观角度说明试用的总体条件，内容</w:t>
      </w:r>
      <w:r>
        <w:rPr>
          <w:rFonts w:ascii="宋体" w:hAnsi="宋体" w:eastAsia="宋体" w:cs="宋体"/>
          <w:spacing w:val="-4"/>
          <w:sz w:val="27"/>
          <w:szCs w:val="27"/>
        </w:rPr>
        <w:t>通常包括对环境条件、被试</w:t>
      </w:r>
      <w:r>
        <w:rPr>
          <w:rFonts w:ascii="宋体" w:hAnsi="宋体" w:eastAsia="宋体" w:cs="宋体"/>
          <w:sz w:val="27"/>
          <w:szCs w:val="27"/>
        </w:rPr>
        <w:t xml:space="preserve"> </w:t>
      </w:r>
      <w:r>
        <w:rPr>
          <w:rFonts w:ascii="宋体" w:hAnsi="宋体" w:eastAsia="宋体" w:cs="宋体"/>
          <w:spacing w:val="-11"/>
          <w:sz w:val="27"/>
          <w:szCs w:val="27"/>
        </w:rPr>
        <w:t>品、陪试品、测试仪器和设备、承试部队及其他有关条件</w:t>
      </w:r>
      <w:r>
        <w:rPr>
          <w:rFonts w:ascii="宋体" w:hAnsi="宋体" w:eastAsia="宋体" w:cs="宋体"/>
          <w:spacing w:val="-12"/>
          <w:sz w:val="27"/>
          <w:szCs w:val="27"/>
        </w:rPr>
        <w:t>的说明，并重点阐明：</w:t>
      </w:r>
    </w:p>
    <w:p w14:paraId="2CE7B2DF">
      <w:pPr>
        <w:spacing w:line="212" w:lineRule="auto"/>
        <w:ind w:left="549"/>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试用条件是否符合或接近实际的作战使用环境和</w:t>
      </w:r>
      <w:r>
        <w:rPr>
          <w:rFonts w:ascii="宋体" w:hAnsi="宋体" w:eastAsia="宋体" w:cs="宋体"/>
          <w:spacing w:val="3"/>
          <w:sz w:val="27"/>
          <w:szCs w:val="27"/>
        </w:rPr>
        <w:t>条件；</w:t>
      </w:r>
    </w:p>
    <w:p w14:paraId="0EA497B5">
      <w:pPr>
        <w:spacing w:before="90" w:line="212" w:lineRule="auto"/>
        <w:ind w:left="549"/>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是否在模拟战场环境条件(战术背景)下的试用；</w:t>
      </w:r>
    </w:p>
    <w:p w14:paraId="691D72C0">
      <w:pPr>
        <w:spacing w:line="212" w:lineRule="auto"/>
        <w:rPr>
          <w:rFonts w:ascii="宋体" w:hAnsi="宋体" w:eastAsia="宋体" w:cs="宋体"/>
          <w:sz w:val="27"/>
          <w:szCs w:val="27"/>
        </w:rPr>
        <w:sectPr>
          <w:footerReference r:id="rId164" w:type="default"/>
          <w:pgSz w:w="11910" w:h="17130"/>
          <w:pgMar w:top="400" w:right="1224" w:bottom="1650" w:left="1210" w:header="0" w:footer="1452" w:gutter="0"/>
          <w:cols w:space="720" w:num="1"/>
        </w:sectPr>
      </w:pPr>
    </w:p>
    <w:p w14:paraId="554E4101">
      <w:pPr>
        <w:pStyle w:val="2"/>
        <w:spacing w:line="266" w:lineRule="auto"/>
      </w:pPr>
    </w:p>
    <w:p w14:paraId="5FEA2204">
      <w:pPr>
        <w:pStyle w:val="2"/>
        <w:spacing w:line="266" w:lineRule="auto"/>
      </w:pPr>
    </w:p>
    <w:p w14:paraId="3FCF6B16">
      <w:pPr>
        <w:pStyle w:val="2"/>
        <w:spacing w:line="267" w:lineRule="auto"/>
      </w:pPr>
    </w:p>
    <w:p w14:paraId="608D1CDB">
      <w:pPr>
        <w:pStyle w:val="2"/>
        <w:spacing w:line="267" w:lineRule="auto"/>
      </w:pPr>
    </w:p>
    <w:p w14:paraId="593BFE38">
      <w:pPr>
        <w:spacing w:before="88" w:line="212" w:lineRule="auto"/>
        <w:ind w:left="539"/>
        <w:rPr>
          <w:rFonts w:ascii="宋体" w:hAnsi="宋体" w:eastAsia="宋体" w:cs="宋体"/>
          <w:sz w:val="27"/>
          <w:szCs w:val="27"/>
        </w:rPr>
      </w:pPr>
      <w:bookmarkStart w:id="112" w:name="bookmark364"/>
      <w:bookmarkEnd w:id="112"/>
      <w:r>
        <w:rPr>
          <w:rFonts w:ascii="Times New Roman" w:hAnsi="Times New Roman" w:eastAsia="Times New Roman" w:cs="Times New Roman"/>
          <w:spacing w:val="-1"/>
          <w:sz w:val="27"/>
          <w:szCs w:val="27"/>
        </w:rPr>
        <w:t>c)</w:t>
      </w:r>
      <w:r>
        <w:rPr>
          <w:rFonts w:ascii="Times New Roman" w:hAnsi="Times New Roman" w:eastAsia="Times New Roman" w:cs="Times New Roman"/>
          <w:spacing w:val="63"/>
          <w:sz w:val="27"/>
          <w:szCs w:val="27"/>
        </w:rPr>
        <w:t xml:space="preserve"> </w:t>
      </w:r>
      <w:r>
        <w:rPr>
          <w:rFonts w:ascii="宋体" w:hAnsi="宋体" w:eastAsia="宋体" w:cs="宋体"/>
          <w:spacing w:val="-1"/>
          <w:sz w:val="27"/>
          <w:szCs w:val="27"/>
        </w:rPr>
        <w:t>是否按编配方案编配使用人员，具有相应的组织机构；</w:t>
      </w:r>
    </w:p>
    <w:p w14:paraId="76DEDD38">
      <w:pPr>
        <w:spacing w:before="99"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d)</w:t>
      </w:r>
      <w:r>
        <w:rPr>
          <w:rFonts w:ascii="Times New Roman" w:hAnsi="Times New Roman" w:eastAsia="Times New Roman" w:cs="Times New Roman"/>
          <w:spacing w:val="71"/>
          <w:sz w:val="27"/>
          <w:szCs w:val="27"/>
        </w:rPr>
        <w:t xml:space="preserve"> </w:t>
      </w:r>
      <w:r>
        <w:rPr>
          <w:rFonts w:ascii="宋体" w:hAnsi="宋体" w:eastAsia="宋体" w:cs="宋体"/>
          <w:spacing w:val="4"/>
          <w:sz w:val="27"/>
          <w:szCs w:val="27"/>
        </w:rPr>
        <w:t>是否是被试品成系统的试用；</w:t>
      </w:r>
    </w:p>
    <w:p w14:paraId="2A30028D">
      <w:pPr>
        <w:spacing w:before="81" w:line="286" w:lineRule="auto"/>
        <w:ind w:right="22" w:firstLine="539"/>
        <w:rPr>
          <w:rFonts w:ascii="宋体" w:hAnsi="宋体" w:eastAsia="宋体" w:cs="宋体"/>
          <w:sz w:val="25"/>
          <w:szCs w:val="25"/>
        </w:rPr>
      </w:pPr>
      <w:r>
        <w:rPr>
          <w:rFonts w:ascii="Times New Roman" w:hAnsi="Times New Roman" w:eastAsia="Times New Roman" w:cs="Times New Roman"/>
          <w:spacing w:val="21"/>
          <w:sz w:val="25"/>
          <w:szCs w:val="25"/>
        </w:rPr>
        <w:t xml:space="preserve">e)  </w:t>
      </w:r>
      <w:r>
        <w:rPr>
          <w:rFonts w:ascii="宋体" w:hAnsi="宋体" w:eastAsia="宋体" w:cs="宋体"/>
          <w:spacing w:val="21"/>
          <w:sz w:val="25"/>
          <w:szCs w:val="25"/>
        </w:rPr>
        <w:t>是否按被试品列装部队后可能的作战使用原则、遂行作战任务的完整流</w:t>
      </w:r>
      <w:r>
        <w:rPr>
          <w:rFonts w:ascii="宋体" w:hAnsi="宋体" w:eastAsia="宋体" w:cs="宋体"/>
          <w:spacing w:val="5"/>
          <w:sz w:val="25"/>
          <w:szCs w:val="25"/>
        </w:rPr>
        <w:t xml:space="preserve"> </w:t>
      </w:r>
      <w:r>
        <w:rPr>
          <w:rFonts w:ascii="宋体" w:hAnsi="宋体" w:eastAsia="宋体" w:cs="宋体"/>
          <w:spacing w:val="21"/>
          <w:sz w:val="25"/>
          <w:szCs w:val="25"/>
        </w:rPr>
        <w:t>程和想定条件进行的试用；</w:t>
      </w:r>
    </w:p>
    <w:p w14:paraId="552FC9A9">
      <w:pPr>
        <w:spacing w:before="23" w:line="270" w:lineRule="auto"/>
        <w:ind w:right="20" w:firstLine="539"/>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被试品是否进行了完成作战任务手段的</w:t>
      </w:r>
      <w:r>
        <w:rPr>
          <w:rFonts w:ascii="宋体" w:hAnsi="宋体" w:eastAsia="宋体" w:cs="宋体"/>
          <w:spacing w:val="3"/>
          <w:sz w:val="27"/>
          <w:szCs w:val="27"/>
        </w:rPr>
        <w:t>试用，如以射击为完成作战任务</w:t>
      </w:r>
      <w:r>
        <w:rPr>
          <w:rFonts w:ascii="宋体" w:hAnsi="宋体" w:eastAsia="宋体" w:cs="宋体"/>
          <w:sz w:val="27"/>
          <w:szCs w:val="27"/>
        </w:rPr>
        <w:t xml:space="preserve"> </w:t>
      </w:r>
      <w:r>
        <w:rPr>
          <w:rFonts w:ascii="宋体" w:hAnsi="宋体" w:eastAsia="宋体" w:cs="宋体"/>
          <w:spacing w:val="-4"/>
          <w:sz w:val="27"/>
          <w:szCs w:val="27"/>
        </w:rPr>
        <w:t>手段的装备，是否进行了实弹射击试用；</w:t>
      </w:r>
    </w:p>
    <w:p w14:paraId="1E2D1041">
      <w:pPr>
        <w:spacing w:before="6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g)  </w:t>
      </w:r>
      <w:r>
        <w:rPr>
          <w:rFonts w:ascii="宋体" w:hAnsi="宋体" w:eastAsia="宋体" w:cs="宋体"/>
          <w:spacing w:val="4"/>
          <w:sz w:val="27"/>
          <w:szCs w:val="27"/>
        </w:rPr>
        <w:t>是否完成了试用大纲要求的特定条件下的试用等。</w:t>
      </w:r>
    </w:p>
    <w:p w14:paraId="5170A88F">
      <w:pPr>
        <w:spacing w:before="134" w:line="222" w:lineRule="auto"/>
        <w:rPr>
          <w:rFonts w:ascii="黑体" w:hAnsi="黑体" w:eastAsia="黑体" w:cs="黑体"/>
          <w:sz w:val="25"/>
          <w:szCs w:val="25"/>
        </w:rPr>
      </w:pPr>
      <w:r>
        <w:rPr>
          <w:rFonts w:ascii="黑体" w:hAnsi="黑体" w:eastAsia="黑体" w:cs="黑体"/>
          <w:spacing w:val="12"/>
          <w:sz w:val="25"/>
          <w:szCs w:val="25"/>
        </w:rPr>
        <w:t>2.2</w:t>
      </w:r>
      <w:r>
        <w:rPr>
          <w:rFonts w:ascii="黑体" w:hAnsi="黑体" w:eastAsia="黑体" w:cs="黑体"/>
          <w:spacing w:val="43"/>
          <w:sz w:val="25"/>
          <w:szCs w:val="25"/>
        </w:rPr>
        <w:t xml:space="preserve">  </w:t>
      </w:r>
      <w:r>
        <w:rPr>
          <w:rFonts w:ascii="黑体" w:hAnsi="黑体" w:eastAsia="黑体" w:cs="黑体"/>
          <w:b/>
          <w:bCs/>
          <w:spacing w:val="12"/>
          <w:sz w:val="25"/>
          <w:szCs w:val="25"/>
        </w:rPr>
        <w:t>环境条件</w:t>
      </w:r>
    </w:p>
    <w:p w14:paraId="203FD51F">
      <w:pPr>
        <w:spacing w:before="90" w:line="222" w:lineRule="auto"/>
        <w:ind w:left="539"/>
        <w:rPr>
          <w:rFonts w:ascii="宋体" w:hAnsi="宋体" w:eastAsia="宋体" w:cs="宋体"/>
          <w:sz w:val="27"/>
          <w:szCs w:val="27"/>
        </w:rPr>
      </w:pPr>
      <w:r>
        <w:rPr>
          <w:rFonts w:ascii="宋体" w:hAnsi="宋体" w:eastAsia="宋体" w:cs="宋体"/>
          <w:spacing w:val="-1"/>
          <w:sz w:val="27"/>
          <w:szCs w:val="27"/>
        </w:rPr>
        <w:t>主要包括：</w:t>
      </w:r>
    </w:p>
    <w:p w14:paraId="521D8E45">
      <w:pPr>
        <w:spacing w:before="100" w:line="219" w:lineRule="auto"/>
        <w:ind w:left="539"/>
        <w:rPr>
          <w:rFonts w:ascii="宋体" w:hAnsi="宋体" w:eastAsia="宋体" w:cs="宋体"/>
          <w:sz w:val="24"/>
          <w:szCs w:val="24"/>
        </w:rPr>
      </w:pPr>
      <w:r>
        <w:rPr>
          <w:rFonts w:ascii="Times New Roman" w:hAnsi="Times New Roman" w:eastAsia="Times New Roman" w:cs="Times New Roman"/>
          <w:spacing w:val="25"/>
          <w:sz w:val="24"/>
          <w:szCs w:val="24"/>
        </w:rPr>
        <w:t xml:space="preserve">a </w:t>
      </w:r>
      <w:r>
        <w:rPr>
          <w:rFonts w:ascii="宋体" w:hAnsi="宋体" w:eastAsia="宋体" w:cs="宋体"/>
          <w:spacing w:val="25"/>
          <w:sz w:val="24"/>
          <w:szCs w:val="24"/>
        </w:rPr>
        <w:t>)气象条件；</w:t>
      </w:r>
    </w:p>
    <w:p w14:paraId="0C33A62A">
      <w:pPr>
        <w:spacing w:before="66" w:line="212" w:lineRule="auto"/>
        <w:ind w:left="539"/>
        <w:rPr>
          <w:rFonts w:ascii="宋体" w:hAnsi="宋体" w:eastAsia="宋体" w:cs="宋体"/>
          <w:sz w:val="27"/>
          <w:szCs w:val="27"/>
        </w:rPr>
      </w:pP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地形条件；</w:t>
      </w:r>
    </w:p>
    <w:p w14:paraId="73D3F788">
      <w:pPr>
        <w:spacing w:before="100" w:line="212" w:lineRule="auto"/>
        <w:ind w:left="539"/>
        <w:rPr>
          <w:rFonts w:ascii="宋体" w:hAnsi="宋体" w:eastAsia="宋体" w:cs="宋体"/>
          <w:sz w:val="27"/>
          <w:szCs w:val="27"/>
        </w:rPr>
      </w:pPr>
      <w:r>
        <w:rPr>
          <w:rFonts w:ascii="Times New Roman" w:hAnsi="Times New Roman" w:eastAsia="Times New Roman" w:cs="Times New Roman"/>
          <w:sz w:val="27"/>
          <w:szCs w:val="27"/>
        </w:rPr>
        <w:t xml:space="preserve">c)  </w:t>
      </w:r>
      <w:r>
        <w:rPr>
          <w:rFonts w:ascii="宋体" w:hAnsi="宋体" w:eastAsia="宋体" w:cs="宋体"/>
          <w:sz w:val="27"/>
          <w:szCs w:val="27"/>
        </w:rPr>
        <w:t>海域海况条件；</w:t>
      </w:r>
    </w:p>
    <w:p w14:paraId="4F07C3DA">
      <w:pPr>
        <w:spacing w:before="9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d)  </w:t>
      </w:r>
      <w:r>
        <w:rPr>
          <w:rFonts w:ascii="宋体" w:hAnsi="宋体" w:eastAsia="宋体" w:cs="宋体"/>
          <w:spacing w:val="4"/>
          <w:sz w:val="27"/>
          <w:szCs w:val="27"/>
        </w:rPr>
        <w:t>模拟战场环境条件；</w:t>
      </w:r>
    </w:p>
    <w:p w14:paraId="19B758F4">
      <w:pPr>
        <w:spacing w:before="11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e)</w:t>
      </w:r>
      <w:r>
        <w:rPr>
          <w:rFonts w:ascii="Times New Roman" w:hAnsi="Times New Roman" w:eastAsia="Times New Roman" w:cs="Times New Roman"/>
          <w:spacing w:val="66"/>
          <w:w w:val="101"/>
          <w:sz w:val="27"/>
          <w:szCs w:val="27"/>
        </w:rPr>
        <w:t xml:space="preserve"> </w:t>
      </w:r>
      <w:r>
        <w:rPr>
          <w:rFonts w:ascii="宋体" w:hAnsi="宋体" w:eastAsia="宋体" w:cs="宋体"/>
          <w:spacing w:val="4"/>
          <w:sz w:val="27"/>
          <w:szCs w:val="27"/>
        </w:rPr>
        <w:t>其他特定条件等。</w:t>
      </w:r>
    </w:p>
    <w:p w14:paraId="36662767">
      <w:pPr>
        <w:spacing w:before="105" w:line="275" w:lineRule="auto"/>
        <w:ind w:left="539" w:right="7487" w:hanging="539"/>
        <w:rPr>
          <w:rFonts w:ascii="宋体" w:hAnsi="宋体" w:eastAsia="宋体" w:cs="宋体"/>
          <w:sz w:val="27"/>
          <w:szCs w:val="27"/>
        </w:rPr>
      </w:pPr>
      <w:r>
        <w:rPr>
          <w:rFonts w:ascii="黑体" w:hAnsi="黑体" w:eastAsia="黑体" w:cs="黑体"/>
          <w:spacing w:val="1"/>
          <w:sz w:val="27"/>
          <w:szCs w:val="27"/>
        </w:rPr>
        <w:t>2.3</w:t>
      </w:r>
      <w:r>
        <w:rPr>
          <w:rFonts w:ascii="黑体" w:hAnsi="黑体" w:eastAsia="黑体" w:cs="黑体"/>
          <w:spacing w:val="19"/>
          <w:sz w:val="27"/>
          <w:szCs w:val="27"/>
        </w:rPr>
        <w:t xml:space="preserve">  </w:t>
      </w:r>
      <w:r>
        <w:rPr>
          <w:rFonts w:ascii="黑体" w:hAnsi="黑体" w:eastAsia="黑体" w:cs="黑体"/>
          <w:b/>
          <w:bCs/>
          <w:spacing w:val="1"/>
          <w:sz w:val="27"/>
          <w:szCs w:val="27"/>
        </w:rPr>
        <w:t>被试品</w:t>
      </w:r>
      <w:r>
        <w:rPr>
          <w:rFonts w:ascii="黑体" w:hAnsi="黑体" w:eastAsia="黑体" w:cs="黑体"/>
          <w:sz w:val="27"/>
          <w:szCs w:val="27"/>
        </w:rPr>
        <w:t xml:space="preserve">   </w:t>
      </w:r>
      <w:r>
        <w:rPr>
          <w:rFonts w:ascii="宋体" w:hAnsi="宋体" w:eastAsia="宋体" w:cs="宋体"/>
          <w:spacing w:val="-2"/>
          <w:sz w:val="27"/>
          <w:szCs w:val="27"/>
        </w:rPr>
        <w:t>主要包括：</w:t>
      </w:r>
    </w:p>
    <w:p w14:paraId="361CEF89">
      <w:pPr>
        <w:spacing w:line="212" w:lineRule="auto"/>
        <w:ind w:left="539"/>
        <w:rPr>
          <w:rFonts w:ascii="宋体" w:hAnsi="宋体" w:eastAsia="宋体" w:cs="宋体"/>
          <w:sz w:val="27"/>
          <w:szCs w:val="27"/>
        </w:rPr>
      </w:pPr>
      <w:r>
        <w:rPr>
          <w:rFonts w:ascii="Times New Roman" w:hAnsi="Times New Roman" w:eastAsia="Times New Roman" w:cs="Times New Roman"/>
          <w:spacing w:val="-9"/>
          <w:sz w:val="27"/>
          <w:szCs w:val="27"/>
        </w:rPr>
        <w:t xml:space="preserve">a)  </w:t>
      </w:r>
      <w:r>
        <w:rPr>
          <w:rFonts w:ascii="宋体" w:hAnsi="宋体" w:eastAsia="宋体" w:cs="宋体"/>
          <w:spacing w:val="-9"/>
          <w:sz w:val="27"/>
          <w:szCs w:val="27"/>
        </w:rPr>
        <w:t>被试品的名称、型号、研制和生产单位；</w:t>
      </w:r>
    </w:p>
    <w:p w14:paraId="16983FA6">
      <w:pPr>
        <w:spacing w:before="90" w:line="212" w:lineRule="auto"/>
        <w:ind w:left="539"/>
        <w:rPr>
          <w:rFonts w:ascii="宋体" w:hAnsi="宋体" w:eastAsia="宋体" w:cs="宋体"/>
          <w:sz w:val="27"/>
          <w:szCs w:val="27"/>
        </w:rPr>
      </w:pPr>
      <w:r>
        <w:rPr>
          <w:rFonts w:ascii="Times New Roman" w:hAnsi="Times New Roman" w:eastAsia="Times New Roman" w:cs="Times New Roman"/>
          <w:spacing w:val="-11"/>
          <w:sz w:val="27"/>
          <w:szCs w:val="27"/>
        </w:rPr>
        <w:t xml:space="preserve">b)  </w:t>
      </w:r>
      <w:r>
        <w:rPr>
          <w:rFonts w:ascii="宋体" w:hAnsi="宋体" w:eastAsia="宋体" w:cs="宋体"/>
          <w:spacing w:val="-11"/>
          <w:sz w:val="27"/>
          <w:szCs w:val="27"/>
        </w:rPr>
        <w:t>被试品的种类、数量、主要参数、技术状态、工</w:t>
      </w:r>
      <w:r>
        <w:rPr>
          <w:rFonts w:ascii="宋体" w:hAnsi="宋体" w:eastAsia="宋体" w:cs="宋体"/>
          <w:spacing w:val="-12"/>
          <w:sz w:val="27"/>
          <w:szCs w:val="27"/>
        </w:rPr>
        <w:t>作时间或消耗情况；</w:t>
      </w:r>
    </w:p>
    <w:p w14:paraId="63C97F11">
      <w:pPr>
        <w:spacing w:before="110" w:line="212" w:lineRule="auto"/>
        <w:ind w:left="539"/>
        <w:rPr>
          <w:rFonts w:ascii="宋体" w:hAnsi="宋体" w:eastAsia="宋体" w:cs="宋体"/>
          <w:sz w:val="27"/>
          <w:szCs w:val="27"/>
        </w:rPr>
      </w:pPr>
      <w:r>
        <w:rPr>
          <w:rFonts w:ascii="Times New Roman" w:hAnsi="Times New Roman" w:eastAsia="Times New Roman" w:cs="Times New Roman"/>
          <w:spacing w:val="5"/>
          <w:sz w:val="27"/>
          <w:szCs w:val="27"/>
        </w:rPr>
        <w:t xml:space="preserve">c)  </w:t>
      </w:r>
      <w:r>
        <w:rPr>
          <w:rFonts w:ascii="宋体" w:hAnsi="宋体" w:eastAsia="宋体" w:cs="宋体"/>
          <w:spacing w:val="5"/>
          <w:sz w:val="27"/>
          <w:szCs w:val="27"/>
        </w:rPr>
        <w:t>被试品是否符合其试用大纲和规程规定的试</w:t>
      </w:r>
      <w:r>
        <w:rPr>
          <w:rFonts w:ascii="宋体" w:hAnsi="宋体" w:eastAsia="宋体" w:cs="宋体"/>
          <w:spacing w:val="4"/>
          <w:sz w:val="27"/>
          <w:szCs w:val="27"/>
        </w:rPr>
        <w:t>用应具备条件的情况等。</w:t>
      </w:r>
    </w:p>
    <w:p w14:paraId="647A86C6">
      <w:pPr>
        <w:spacing w:before="115" w:line="283" w:lineRule="auto"/>
        <w:ind w:left="539" w:right="5787" w:hanging="539"/>
        <w:rPr>
          <w:rFonts w:ascii="宋体" w:hAnsi="宋体" w:eastAsia="宋体" w:cs="宋体"/>
          <w:sz w:val="27"/>
          <w:szCs w:val="27"/>
        </w:rPr>
      </w:pPr>
      <w:r>
        <w:rPr>
          <w:rFonts w:ascii="黑体" w:hAnsi="黑体" w:eastAsia="黑体" w:cs="黑体"/>
          <w:spacing w:val="-10"/>
          <w:sz w:val="27"/>
          <w:szCs w:val="27"/>
        </w:rPr>
        <w:t>2.4</w:t>
      </w:r>
      <w:r>
        <w:rPr>
          <w:rFonts w:ascii="黑体" w:hAnsi="黑体" w:eastAsia="黑体" w:cs="黑体"/>
          <w:spacing w:val="24"/>
          <w:sz w:val="27"/>
          <w:szCs w:val="27"/>
        </w:rPr>
        <w:t xml:space="preserve">  </w:t>
      </w:r>
      <w:r>
        <w:rPr>
          <w:rFonts w:ascii="黑体" w:hAnsi="黑体" w:eastAsia="黑体" w:cs="黑体"/>
          <w:b/>
          <w:bCs/>
          <w:spacing w:val="-10"/>
          <w:sz w:val="27"/>
          <w:szCs w:val="27"/>
        </w:rPr>
        <w:t>陪试品、测试仪器和设备</w:t>
      </w:r>
      <w:r>
        <w:rPr>
          <w:rFonts w:ascii="黑体" w:hAnsi="黑体" w:eastAsia="黑体" w:cs="黑体"/>
          <w:sz w:val="27"/>
          <w:szCs w:val="27"/>
        </w:rPr>
        <w:t xml:space="preserve"> </w:t>
      </w:r>
      <w:r>
        <w:rPr>
          <w:rFonts w:ascii="宋体" w:hAnsi="宋体" w:eastAsia="宋体" w:cs="宋体"/>
          <w:spacing w:val="-5"/>
          <w:sz w:val="27"/>
          <w:szCs w:val="27"/>
        </w:rPr>
        <w:t>主要包括：</w:t>
      </w:r>
    </w:p>
    <w:p w14:paraId="67DD4AAC">
      <w:pPr>
        <w:spacing w:line="212" w:lineRule="auto"/>
        <w:ind w:left="539"/>
        <w:rPr>
          <w:rFonts w:ascii="宋体" w:hAnsi="宋体" w:eastAsia="宋体" w:cs="宋体"/>
          <w:sz w:val="24"/>
          <w:szCs w:val="24"/>
        </w:rPr>
      </w:pPr>
      <w:r>
        <w:rPr>
          <w:rFonts w:ascii="Times New Roman" w:hAnsi="Times New Roman" w:eastAsia="Times New Roman" w:cs="Times New Roman"/>
          <w:spacing w:val="19"/>
          <w:sz w:val="24"/>
          <w:szCs w:val="24"/>
        </w:rPr>
        <w:t>a)</w:t>
      </w:r>
      <w:r>
        <w:rPr>
          <w:rFonts w:ascii="Times New Roman" w:hAnsi="Times New Roman" w:eastAsia="Times New Roman" w:cs="Times New Roman"/>
          <w:spacing w:val="6"/>
          <w:sz w:val="24"/>
          <w:szCs w:val="24"/>
        </w:rPr>
        <w:t xml:space="preserve">   </w:t>
      </w:r>
      <w:r>
        <w:rPr>
          <w:rFonts w:ascii="宋体" w:hAnsi="宋体" w:eastAsia="宋体" w:cs="宋体"/>
          <w:spacing w:val="19"/>
          <w:sz w:val="24"/>
          <w:szCs w:val="24"/>
        </w:rPr>
        <w:t>陪试品、试用仪器和设备的名称、型号(规格)和数量；</w:t>
      </w:r>
    </w:p>
    <w:p w14:paraId="4B3EC9BF">
      <w:pPr>
        <w:spacing w:before="92"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陪试品、试用仪器和设备的技术状态、工作时</w:t>
      </w:r>
      <w:r>
        <w:rPr>
          <w:rFonts w:ascii="宋体" w:hAnsi="宋体" w:eastAsia="宋体" w:cs="宋体"/>
          <w:spacing w:val="-5"/>
          <w:sz w:val="27"/>
          <w:szCs w:val="27"/>
        </w:rPr>
        <w:t>间或消耗情况；</w:t>
      </w:r>
    </w:p>
    <w:p w14:paraId="7DC9A7BD">
      <w:pPr>
        <w:spacing w:before="90" w:line="267" w:lineRule="auto"/>
        <w:ind w:firstLine="539"/>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陪试品、试用仪器和设备是否符合其试用大纲和规程规定的试用应具备</w:t>
      </w:r>
      <w:r>
        <w:rPr>
          <w:rFonts w:ascii="宋体" w:hAnsi="宋体" w:eastAsia="宋体" w:cs="宋体"/>
          <w:spacing w:val="12"/>
          <w:sz w:val="27"/>
          <w:szCs w:val="27"/>
        </w:rPr>
        <w:t xml:space="preserve"> </w:t>
      </w:r>
      <w:r>
        <w:rPr>
          <w:rFonts w:ascii="宋体" w:hAnsi="宋体" w:eastAsia="宋体" w:cs="宋体"/>
          <w:spacing w:val="-1"/>
          <w:sz w:val="27"/>
          <w:szCs w:val="27"/>
        </w:rPr>
        <w:t>条件的情况等。</w:t>
      </w:r>
    </w:p>
    <w:p w14:paraId="6AE31D3E">
      <w:pPr>
        <w:spacing w:before="83" w:line="221" w:lineRule="auto"/>
        <w:rPr>
          <w:rFonts w:ascii="黑体" w:hAnsi="黑体" w:eastAsia="黑体" w:cs="黑体"/>
          <w:sz w:val="27"/>
          <w:szCs w:val="27"/>
        </w:rPr>
      </w:pPr>
      <w:r>
        <w:rPr>
          <w:rFonts w:ascii="黑体" w:hAnsi="黑体" w:eastAsia="黑体" w:cs="黑体"/>
          <w:sz w:val="27"/>
          <w:szCs w:val="27"/>
        </w:rPr>
        <w:t>2.5</w:t>
      </w:r>
      <w:r>
        <w:rPr>
          <w:rFonts w:ascii="黑体" w:hAnsi="黑体" w:eastAsia="黑体" w:cs="黑体"/>
          <w:spacing w:val="19"/>
          <w:sz w:val="27"/>
          <w:szCs w:val="27"/>
        </w:rPr>
        <w:t xml:space="preserve">  </w:t>
      </w:r>
      <w:r>
        <w:rPr>
          <w:rFonts w:ascii="黑体" w:hAnsi="黑体" w:eastAsia="黑体" w:cs="黑体"/>
          <w:b/>
          <w:bCs/>
          <w:sz w:val="27"/>
          <w:szCs w:val="27"/>
        </w:rPr>
        <w:t>承试部队</w:t>
      </w:r>
    </w:p>
    <w:p w14:paraId="3D396586">
      <w:pPr>
        <w:spacing w:before="88" w:line="222" w:lineRule="auto"/>
        <w:ind w:left="539"/>
        <w:rPr>
          <w:rFonts w:ascii="宋体" w:hAnsi="宋体" w:eastAsia="宋体" w:cs="宋体"/>
          <w:sz w:val="27"/>
          <w:szCs w:val="27"/>
        </w:rPr>
      </w:pPr>
      <w:r>
        <w:rPr>
          <w:rFonts w:ascii="宋体" w:hAnsi="宋体" w:eastAsia="宋体" w:cs="宋体"/>
          <w:spacing w:val="-1"/>
          <w:sz w:val="27"/>
          <w:szCs w:val="27"/>
        </w:rPr>
        <w:t>主要包括：</w:t>
      </w:r>
    </w:p>
    <w:p w14:paraId="3CB41FEC">
      <w:pPr>
        <w:spacing w:before="72" w:line="212" w:lineRule="auto"/>
        <w:ind w:left="539"/>
        <w:rPr>
          <w:rFonts w:ascii="宋体" w:hAnsi="宋体" w:eastAsia="宋体" w:cs="宋体"/>
          <w:sz w:val="25"/>
          <w:szCs w:val="25"/>
        </w:rPr>
      </w:pPr>
      <w:r>
        <w:rPr>
          <w:rFonts w:ascii="Times New Roman" w:hAnsi="Times New Roman" w:eastAsia="Times New Roman" w:cs="Times New Roman"/>
          <w:spacing w:val="12"/>
          <w:sz w:val="25"/>
          <w:szCs w:val="25"/>
        </w:rPr>
        <w:t xml:space="preserve">a)  </w:t>
      </w:r>
      <w:r>
        <w:rPr>
          <w:rFonts w:ascii="宋体" w:hAnsi="宋体" w:eastAsia="宋体" w:cs="宋体"/>
          <w:spacing w:val="12"/>
          <w:sz w:val="25"/>
          <w:szCs w:val="25"/>
        </w:rPr>
        <w:t>承试部(分)队番号、使用兵力和装备；</w:t>
      </w:r>
    </w:p>
    <w:p w14:paraId="1EA916C3">
      <w:pPr>
        <w:spacing w:before="101" w:line="212" w:lineRule="auto"/>
        <w:ind w:left="539"/>
        <w:rPr>
          <w:rFonts w:ascii="宋体" w:hAnsi="宋体" w:eastAsia="宋体" w:cs="宋体"/>
          <w:sz w:val="27"/>
          <w:szCs w:val="27"/>
        </w:rPr>
      </w:pPr>
      <w:r>
        <w:rPr>
          <w:rFonts w:ascii="Times New Roman" w:hAnsi="Times New Roman" w:eastAsia="Times New Roman" w:cs="Times New Roman"/>
          <w:spacing w:val="-11"/>
          <w:sz w:val="27"/>
          <w:szCs w:val="27"/>
        </w:rPr>
        <w:t xml:space="preserve">b)  </w:t>
      </w:r>
      <w:r>
        <w:rPr>
          <w:rFonts w:ascii="宋体" w:hAnsi="宋体" w:eastAsia="宋体" w:cs="宋体"/>
          <w:spacing w:val="-11"/>
          <w:sz w:val="27"/>
          <w:szCs w:val="27"/>
        </w:rPr>
        <w:t>承试人员的类别、数量、专业、分工</w:t>
      </w:r>
      <w:r>
        <w:rPr>
          <w:rFonts w:ascii="宋体" w:hAnsi="宋体" w:eastAsia="宋体" w:cs="宋体"/>
          <w:spacing w:val="-12"/>
          <w:sz w:val="27"/>
          <w:szCs w:val="27"/>
        </w:rPr>
        <w:t>和编组情况；</w:t>
      </w:r>
    </w:p>
    <w:p w14:paraId="6D273EB0">
      <w:pPr>
        <w:spacing w:before="110"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 xml:space="preserve">c)  </w:t>
      </w:r>
      <w:r>
        <w:rPr>
          <w:rFonts w:ascii="宋体" w:hAnsi="宋体" w:eastAsia="宋体" w:cs="宋体"/>
          <w:spacing w:val="-2"/>
          <w:sz w:val="27"/>
          <w:szCs w:val="27"/>
        </w:rPr>
        <w:t>承试人员的军政素质、技术水平和身体条件；</w:t>
      </w:r>
    </w:p>
    <w:p w14:paraId="5F2CB6AD">
      <w:pPr>
        <w:spacing w:before="9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承试人员的培训及培训结束时的考核情况；</w:t>
      </w:r>
    </w:p>
    <w:p w14:paraId="1662A0A5">
      <w:pPr>
        <w:spacing w:before="9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承试部(分)队、人员和器材的定位情况；</w:t>
      </w:r>
    </w:p>
    <w:p w14:paraId="7D225FD9">
      <w:pPr>
        <w:spacing w:before="11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f)</w:t>
      </w:r>
      <w:r>
        <w:rPr>
          <w:rFonts w:ascii="Times New Roman" w:hAnsi="Times New Roman" w:eastAsia="Times New Roman" w:cs="Times New Roman"/>
          <w:spacing w:val="76"/>
          <w:sz w:val="27"/>
          <w:szCs w:val="27"/>
        </w:rPr>
        <w:t xml:space="preserve"> </w:t>
      </w:r>
      <w:r>
        <w:rPr>
          <w:rFonts w:ascii="宋体" w:hAnsi="宋体" w:eastAsia="宋体" w:cs="宋体"/>
          <w:spacing w:val="3"/>
          <w:sz w:val="27"/>
          <w:szCs w:val="27"/>
        </w:rPr>
        <w:t>试用中途更换部(分)队和人员情况等。</w:t>
      </w:r>
    </w:p>
    <w:p w14:paraId="5F37BDBF">
      <w:pPr>
        <w:spacing w:line="212" w:lineRule="auto"/>
        <w:rPr>
          <w:rFonts w:ascii="宋体" w:hAnsi="宋体" w:eastAsia="宋体" w:cs="宋体"/>
          <w:sz w:val="27"/>
          <w:szCs w:val="27"/>
        </w:rPr>
        <w:sectPr>
          <w:footerReference r:id="rId165" w:type="default"/>
          <w:pgSz w:w="11910" w:h="17130"/>
          <w:pgMar w:top="400" w:right="1067" w:bottom="1583" w:left="1470" w:header="0" w:footer="1385" w:gutter="0"/>
          <w:cols w:space="720" w:num="1"/>
        </w:sectPr>
      </w:pPr>
    </w:p>
    <w:p w14:paraId="3687089F">
      <w:pPr>
        <w:pStyle w:val="2"/>
        <w:spacing w:line="265" w:lineRule="auto"/>
      </w:pPr>
    </w:p>
    <w:p w14:paraId="1B77EEED">
      <w:pPr>
        <w:pStyle w:val="2"/>
        <w:spacing w:line="266" w:lineRule="auto"/>
      </w:pPr>
    </w:p>
    <w:p w14:paraId="7EBC051E">
      <w:pPr>
        <w:pStyle w:val="2"/>
        <w:spacing w:line="266" w:lineRule="auto"/>
      </w:pPr>
    </w:p>
    <w:p w14:paraId="5F0535D1">
      <w:pPr>
        <w:pStyle w:val="2"/>
        <w:spacing w:line="266" w:lineRule="auto"/>
      </w:pPr>
    </w:p>
    <w:p w14:paraId="006B6064">
      <w:pPr>
        <w:spacing w:before="87" w:line="222" w:lineRule="auto"/>
        <w:rPr>
          <w:rFonts w:ascii="黑体" w:hAnsi="黑体" w:eastAsia="黑体" w:cs="黑体"/>
          <w:sz w:val="27"/>
          <w:szCs w:val="27"/>
        </w:rPr>
      </w:pPr>
      <w:bookmarkStart w:id="113" w:name="bookmark365"/>
      <w:bookmarkEnd w:id="113"/>
      <w:r>
        <w:rPr>
          <w:rFonts w:ascii="黑体" w:hAnsi="黑体" w:eastAsia="黑体" w:cs="黑体"/>
          <w:spacing w:val="2"/>
          <w:sz w:val="27"/>
          <w:szCs w:val="27"/>
        </w:rPr>
        <w:t xml:space="preserve">2.6  </w:t>
      </w:r>
      <w:r>
        <w:rPr>
          <w:rFonts w:ascii="黑体" w:hAnsi="黑体" w:eastAsia="黑体" w:cs="黑体"/>
          <w:b/>
          <w:bCs/>
          <w:spacing w:val="2"/>
          <w:sz w:val="27"/>
          <w:szCs w:val="27"/>
        </w:rPr>
        <w:t>其他条件</w:t>
      </w:r>
    </w:p>
    <w:p w14:paraId="1E29EFF1">
      <w:pPr>
        <w:spacing w:before="93" w:line="222" w:lineRule="auto"/>
        <w:ind w:left="559"/>
        <w:rPr>
          <w:rFonts w:ascii="宋体" w:hAnsi="宋体" w:eastAsia="宋体" w:cs="宋体"/>
          <w:sz w:val="27"/>
          <w:szCs w:val="27"/>
        </w:rPr>
      </w:pPr>
      <w:r>
        <w:rPr>
          <w:rFonts w:ascii="宋体" w:hAnsi="宋体" w:eastAsia="宋体" w:cs="宋体"/>
          <w:spacing w:val="-3"/>
          <w:sz w:val="27"/>
          <w:szCs w:val="27"/>
        </w:rPr>
        <w:t>主要包括：</w:t>
      </w:r>
    </w:p>
    <w:p w14:paraId="54CDDF32">
      <w:pPr>
        <w:spacing w:before="40" w:line="212" w:lineRule="auto"/>
        <w:ind w:left="559"/>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62"/>
          <w:w w:val="101"/>
          <w:sz w:val="27"/>
          <w:szCs w:val="27"/>
        </w:rPr>
        <w:t xml:space="preserve"> </w:t>
      </w:r>
      <w:r>
        <w:rPr>
          <w:rFonts w:ascii="宋体" w:hAnsi="宋体" w:eastAsia="宋体" w:cs="宋体"/>
          <w:spacing w:val="4"/>
          <w:sz w:val="27"/>
          <w:szCs w:val="27"/>
        </w:rPr>
        <w:t>试用大纲和规程规定的技术文件是否齐全；</w:t>
      </w:r>
    </w:p>
    <w:p w14:paraId="272B3640">
      <w:pPr>
        <w:spacing w:before="109" w:line="212" w:lineRule="auto"/>
        <w:ind w:left="559"/>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72"/>
          <w:w w:val="101"/>
          <w:sz w:val="27"/>
          <w:szCs w:val="27"/>
        </w:rPr>
        <w:t xml:space="preserve"> </w:t>
      </w:r>
      <w:r>
        <w:rPr>
          <w:rFonts w:ascii="宋体" w:hAnsi="宋体" w:eastAsia="宋体" w:cs="宋体"/>
          <w:spacing w:val="1"/>
          <w:sz w:val="27"/>
          <w:szCs w:val="27"/>
        </w:rPr>
        <w:t>试用保障情况；</w:t>
      </w:r>
    </w:p>
    <w:p w14:paraId="6965F7DE">
      <w:pPr>
        <w:spacing w:before="100" w:line="212" w:lineRule="auto"/>
        <w:ind w:left="559"/>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70"/>
          <w:w w:val="101"/>
          <w:sz w:val="27"/>
          <w:szCs w:val="27"/>
        </w:rPr>
        <w:t xml:space="preserve"> </w:t>
      </w:r>
      <w:r>
        <w:rPr>
          <w:rFonts w:ascii="宋体" w:hAnsi="宋体" w:eastAsia="宋体" w:cs="宋体"/>
          <w:spacing w:val="3"/>
          <w:sz w:val="27"/>
          <w:szCs w:val="27"/>
        </w:rPr>
        <w:t>其他需说明的条件等。</w:t>
      </w:r>
    </w:p>
    <w:p w14:paraId="73986BC8">
      <w:pPr>
        <w:spacing w:before="114" w:line="221" w:lineRule="auto"/>
        <w:rPr>
          <w:rFonts w:ascii="黑体" w:hAnsi="黑体" w:eastAsia="黑体" w:cs="黑体"/>
          <w:sz w:val="27"/>
          <w:szCs w:val="27"/>
        </w:rPr>
      </w:pPr>
      <w:r>
        <w:rPr>
          <w:rFonts w:ascii="黑体" w:hAnsi="黑体" w:eastAsia="黑体" w:cs="黑体"/>
          <w:spacing w:val="-5"/>
          <w:sz w:val="27"/>
          <w:szCs w:val="27"/>
        </w:rPr>
        <w:t xml:space="preserve">3  </w:t>
      </w:r>
      <w:r>
        <w:rPr>
          <w:rFonts w:ascii="黑体" w:hAnsi="黑体" w:eastAsia="黑体" w:cs="黑体"/>
          <w:b/>
          <w:bCs/>
          <w:spacing w:val="-5"/>
          <w:sz w:val="27"/>
          <w:szCs w:val="27"/>
        </w:rPr>
        <w:t>试用项目、结果和必要的说明</w:t>
      </w:r>
    </w:p>
    <w:p w14:paraId="6E32E859">
      <w:pPr>
        <w:spacing w:before="83" w:line="284" w:lineRule="auto"/>
        <w:ind w:firstLine="559"/>
        <w:rPr>
          <w:rFonts w:ascii="宋体" w:hAnsi="宋体" w:eastAsia="宋体" w:cs="宋体"/>
          <w:sz w:val="27"/>
          <w:szCs w:val="27"/>
        </w:rPr>
      </w:pPr>
      <w:r>
        <w:rPr>
          <w:rFonts w:ascii="宋体" w:hAnsi="宋体" w:eastAsia="宋体" w:cs="宋体"/>
          <w:sz w:val="27"/>
          <w:szCs w:val="27"/>
        </w:rPr>
        <w:t>应按试用大纲规定的试用项目分类，简要叙述各项试用的实施情况和结果，</w:t>
      </w:r>
      <w:r>
        <w:rPr>
          <w:rFonts w:ascii="宋体" w:hAnsi="宋体" w:eastAsia="宋体" w:cs="宋体"/>
          <w:spacing w:val="14"/>
          <w:sz w:val="27"/>
          <w:szCs w:val="27"/>
        </w:rPr>
        <w:t xml:space="preserve"> </w:t>
      </w:r>
      <w:r>
        <w:rPr>
          <w:rFonts w:ascii="宋体" w:hAnsi="宋体" w:eastAsia="宋体" w:cs="宋体"/>
          <w:spacing w:val="-2"/>
          <w:sz w:val="27"/>
          <w:szCs w:val="27"/>
        </w:rPr>
        <w:t>阐明是否符合预定的要求，并作必要的说明。应有以下内容：</w:t>
      </w:r>
    </w:p>
    <w:p w14:paraId="4E904C0A">
      <w:pPr>
        <w:spacing w:before="1" w:line="220" w:lineRule="auto"/>
        <w:ind w:left="559"/>
        <w:rPr>
          <w:rFonts w:ascii="宋体" w:hAnsi="宋体" w:eastAsia="宋体" w:cs="宋体"/>
          <w:sz w:val="27"/>
          <w:szCs w:val="27"/>
        </w:rPr>
      </w:pPr>
      <w:r>
        <w:rPr>
          <w:rFonts w:ascii="Times New Roman" w:hAnsi="Times New Roman" w:eastAsia="Times New Roman" w:cs="Times New Roman"/>
          <w:spacing w:val="10"/>
          <w:sz w:val="27"/>
          <w:szCs w:val="27"/>
        </w:rPr>
        <w:t>a</w:t>
      </w:r>
      <w:r>
        <w:rPr>
          <w:rFonts w:ascii="宋体" w:hAnsi="宋体" w:eastAsia="宋体" w:cs="宋体"/>
          <w:spacing w:val="10"/>
          <w:sz w:val="27"/>
          <w:szCs w:val="27"/>
        </w:rPr>
        <w:t>)试用的具体项目；</w:t>
      </w:r>
    </w:p>
    <w:p w14:paraId="003BF714">
      <w:pPr>
        <w:spacing w:before="56" w:line="212" w:lineRule="auto"/>
        <w:ind w:left="559"/>
        <w:rPr>
          <w:rFonts w:ascii="宋体" w:hAnsi="宋体" w:eastAsia="宋体" w:cs="宋体"/>
          <w:sz w:val="27"/>
          <w:szCs w:val="27"/>
        </w:rPr>
      </w:pPr>
      <w:r>
        <w:rPr>
          <w:rFonts w:ascii="Times New Roman" w:hAnsi="Times New Roman" w:eastAsia="Times New Roman" w:cs="Times New Roman"/>
          <w:sz w:val="27"/>
          <w:szCs w:val="27"/>
        </w:rPr>
        <w:t>b)</w:t>
      </w:r>
      <w:r>
        <w:rPr>
          <w:rFonts w:ascii="Times New Roman" w:hAnsi="Times New Roman" w:eastAsia="Times New Roman" w:cs="Times New Roman"/>
          <w:spacing w:val="78"/>
          <w:sz w:val="27"/>
          <w:szCs w:val="27"/>
        </w:rPr>
        <w:t xml:space="preserve"> </w:t>
      </w:r>
      <w:r>
        <w:rPr>
          <w:rFonts w:ascii="宋体" w:hAnsi="宋体" w:eastAsia="宋体" w:cs="宋体"/>
          <w:sz w:val="27"/>
          <w:szCs w:val="27"/>
        </w:rPr>
        <w:t>各项试用的过程简述(含步骤、内容和方法等);</w:t>
      </w:r>
    </w:p>
    <w:p w14:paraId="6EF82F5D">
      <w:pPr>
        <w:spacing w:before="99" w:line="265" w:lineRule="auto"/>
        <w:ind w:right="100" w:firstLine="559"/>
        <w:rPr>
          <w:rFonts w:ascii="宋体" w:hAnsi="宋体" w:eastAsia="宋体" w:cs="宋体"/>
          <w:sz w:val="27"/>
          <w:szCs w:val="27"/>
        </w:rPr>
      </w:pPr>
      <w:r>
        <w:rPr>
          <w:rFonts w:ascii="Times New Roman" w:hAnsi="Times New Roman" w:eastAsia="Times New Roman" w:cs="Times New Roman"/>
          <w:spacing w:val="6"/>
          <w:sz w:val="27"/>
          <w:szCs w:val="27"/>
        </w:rPr>
        <w:t xml:space="preserve">c)  </w:t>
      </w:r>
      <w:r>
        <w:rPr>
          <w:rFonts w:ascii="宋体" w:hAnsi="宋体" w:eastAsia="宋体" w:cs="宋体"/>
          <w:spacing w:val="6"/>
          <w:sz w:val="27"/>
          <w:szCs w:val="27"/>
        </w:rPr>
        <w:t>各项试用的结果(必要时也可采用图表形式表示):1)使用效果；2)能够</w:t>
      </w:r>
      <w:r>
        <w:rPr>
          <w:rFonts w:ascii="宋体" w:hAnsi="宋体" w:eastAsia="宋体" w:cs="宋体"/>
          <w:spacing w:val="15"/>
          <w:sz w:val="27"/>
          <w:szCs w:val="27"/>
        </w:rPr>
        <w:t xml:space="preserve"> </w:t>
      </w:r>
      <w:r>
        <w:rPr>
          <w:rFonts w:ascii="宋体" w:hAnsi="宋体" w:eastAsia="宋体" w:cs="宋体"/>
          <w:spacing w:val="5"/>
          <w:sz w:val="27"/>
          <w:szCs w:val="27"/>
        </w:rPr>
        <w:t>实现的功能或能够完成的任务及其完成的程度；3)未能实现的功能或未能完成</w:t>
      </w:r>
      <w:r>
        <w:rPr>
          <w:rFonts w:ascii="宋体" w:hAnsi="宋体" w:eastAsia="宋体" w:cs="宋体"/>
          <w:spacing w:val="6"/>
          <w:sz w:val="27"/>
          <w:szCs w:val="27"/>
        </w:rPr>
        <w:t xml:space="preserve"> </w:t>
      </w:r>
      <w:r>
        <w:rPr>
          <w:rFonts w:ascii="宋体" w:hAnsi="宋体" w:eastAsia="宋体" w:cs="宋体"/>
          <w:spacing w:val="-5"/>
          <w:sz w:val="27"/>
          <w:szCs w:val="27"/>
        </w:rPr>
        <w:t>的任务；4)出现的故障和存在的问题；5</w:t>
      </w:r>
      <w:r>
        <w:rPr>
          <w:rFonts w:ascii="宋体" w:hAnsi="宋体" w:eastAsia="宋体" w:cs="宋体"/>
          <w:spacing w:val="-6"/>
          <w:sz w:val="27"/>
          <w:szCs w:val="27"/>
        </w:rPr>
        <w:t>)是否符合预定的要求；</w:t>
      </w:r>
    </w:p>
    <w:p w14:paraId="7F7CF989">
      <w:pPr>
        <w:spacing w:before="101" w:line="212" w:lineRule="auto"/>
        <w:ind w:left="559"/>
        <w:rPr>
          <w:rFonts w:ascii="宋体" w:hAnsi="宋体" w:eastAsia="宋体" w:cs="宋体"/>
          <w:sz w:val="24"/>
          <w:szCs w:val="24"/>
        </w:rPr>
      </w:pPr>
      <w:r>
        <w:rPr>
          <w:rFonts w:ascii="Times New Roman" w:hAnsi="Times New Roman" w:eastAsia="Times New Roman" w:cs="Times New Roman"/>
          <w:spacing w:val="25"/>
          <w:sz w:val="24"/>
          <w:szCs w:val="24"/>
        </w:rPr>
        <w:t>d)</w:t>
      </w:r>
      <w:r>
        <w:rPr>
          <w:rFonts w:ascii="Times New Roman" w:hAnsi="Times New Roman" w:eastAsia="Times New Roman" w:cs="Times New Roman"/>
          <w:spacing w:val="24"/>
          <w:w w:val="101"/>
          <w:sz w:val="24"/>
          <w:szCs w:val="24"/>
        </w:rPr>
        <w:t xml:space="preserve">  </w:t>
      </w:r>
      <w:r>
        <w:rPr>
          <w:rFonts w:ascii="宋体" w:hAnsi="宋体" w:eastAsia="宋体" w:cs="宋体"/>
          <w:spacing w:val="25"/>
          <w:sz w:val="24"/>
          <w:szCs w:val="24"/>
        </w:rPr>
        <w:t>各项试用必要的说明；</w:t>
      </w:r>
    </w:p>
    <w:p w14:paraId="5E64CAD4">
      <w:pPr>
        <w:spacing w:before="102" w:line="212" w:lineRule="auto"/>
        <w:ind w:left="559"/>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没有完成的试用项目应说明原因和处理情况等。</w:t>
      </w:r>
    </w:p>
    <w:p w14:paraId="32F9BDA5">
      <w:pPr>
        <w:spacing w:before="124"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29"/>
          <w:sz w:val="27"/>
          <w:szCs w:val="27"/>
        </w:rPr>
        <w:t xml:space="preserve">  </w:t>
      </w:r>
      <w:r>
        <w:rPr>
          <w:rFonts w:ascii="黑体" w:hAnsi="黑体" w:eastAsia="黑体" w:cs="黑体"/>
          <w:b/>
          <w:bCs/>
          <w:spacing w:val="-1"/>
          <w:sz w:val="27"/>
          <w:szCs w:val="27"/>
        </w:rPr>
        <w:t>对被试品的评价</w:t>
      </w:r>
    </w:p>
    <w:p w14:paraId="5BCE21CF">
      <w:pPr>
        <w:spacing w:before="68" w:line="222" w:lineRule="auto"/>
        <w:rPr>
          <w:rFonts w:ascii="黑体" w:hAnsi="黑体" w:eastAsia="黑体" w:cs="黑体"/>
          <w:sz w:val="27"/>
          <w:szCs w:val="27"/>
        </w:rPr>
      </w:pPr>
      <w:r>
        <w:rPr>
          <w:rFonts w:ascii="黑体" w:hAnsi="黑体" w:eastAsia="黑体" w:cs="黑体"/>
          <w:spacing w:val="2"/>
          <w:sz w:val="27"/>
          <w:szCs w:val="27"/>
        </w:rPr>
        <w:t xml:space="preserve">4.1  </w:t>
      </w:r>
      <w:r>
        <w:rPr>
          <w:rFonts w:ascii="黑体" w:hAnsi="黑体" w:eastAsia="黑体" w:cs="黑体"/>
          <w:b/>
          <w:bCs/>
          <w:spacing w:val="2"/>
          <w:sz w:val="27"/>
          <w:szCs w:val="27"/>
        </w:rPr>
        <w:t>作战使用性能评价</w:t>
      </w:r>
    </w:p>
    <w:p w14:paraId="7ECAFEDB">
      <w:pPr>
        <w:spacing w:before="98" w:line="274" w:lineRule="auto"/>
        <w:ind w:right="112" w:firstLine="559"/>
        <w:jc w:val="both"/>
        <w:rPr>
          <w:rFonts w:ascii="宋体" w:hAnsi="宋体" w:eastAsia="宋体" w:cs="宋体"/>
          <w:sz w:val="27"/>
          <w:szCs w:val="27"/>
        </w:rPr>
      </w:pPr>
      <w:r>
        <w:rPr>
          <w:rFonts w:ascii="宋体" w:hAnsi="宋体" w:eastAsia="宋体" w:cs="宋体"/>
          <w:spacing w:val="5"/>
          <w:sz w:val="27"/>
          <w:szCs w:val="27"/>
        </w:rPr>
        <w:t>根据被试品各项作战使用性能试用项目的特点和要求，及有关军事训练与</w:t>
      </w:r>
      <w:r>
        <w:rPr>
          <w:rFonts w:ascii="宋体" w:hAnsi="宋体" w:eastAsia="宋体" w:cs="宋体"/>
          <w:spacing w:val="11"/>
          <w:sz w:val="27"/>
          <w:szCs w:val="27"/>
        </w:rPr>
        <w:t xml:space="preserve"> </w:t>
      </w:r>
      <w:r>
        <w:rPr>
          <w:rFonts w:ascii="宋体" w:hAnsi="宋体" w:eastAsia="宋体" w:cs="宋体"/>
          <w:spacing w:val="6"/>
          <w:sz w:val="27"/>
          <w:szCs w:val="27"/>
        </w:rPr>
        <w:t>考核大纲的规定，对被试品的各项作战使用性能</w:t>
      </w:r>
      <w:r>
        <w:rPr>
          <w:rFonts w:ascii="宋体" w:hAnsi="宋体" w:eastAsia="宋体" w:cs="宋体"/>
          <w:spacing w:val="5"/>
          <w:sz w:val="27"/>
          <w:szCs w:val="27"/>
        </w:rPr>
        <w:t>是否满足规定指标和要求分别</w:t>
      </w:r>
      <w:r>
        <w:rPr>
          <w:rFonts w:ascii="宋体" w:hAnsi="宋体" w:eastAsia="宋体" w:cs="宋体"/>
          <w:sz w:val="27"/>
          <w:szCs w:val="27"/>
        </w:rPr>
        <w:t xml:space="preserve"> </w:t>
      </w:r>
      <w:r>
        <w:rPr>
          <w:rFonts w:ascii="宋体" w:hAnsi="宋体" w:eastAsia="宋体" w:cs="宋体"/>
          <w:spacing w:val="-8"/>
          <w:sz w:val="27"/>
          <w:szCs w:val="27"/>
        </w:rPr>
        <w:t>作出评价，主要内容应包括：</w:t>
      </w:r>
    </w:p>
    <w:p w14:paraId="77C6FD6B">
      <w:pPr>
        <w:spacing w:line="212" w:lineRule="auto"/>
        <w:ind w:left="559"/>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完成要求的作战使用性能的程度；</w:t>
      </w:r>
    </w:p>
    <w:p w14:paraId="4083E4B0">
      <w:pPr>
        <w:spacing w:before="90" w:line="212" w:lineRule="auto"/>
        <w:ind w:left="559"/>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82"/>
          <w:sz w:val="27"/>
          <w:szCs w:val="27"/>
        </w:rPr>
        <w:t xml:space="preserve"> </w:t>
      </w:r>
      <w:r>
        <w:rPr>
          <w:rFonts w:ascii="宋体" w:hAnsi="宋体" w:eastAsia="宋体" w:cs="宋体"/>
          <w:spacing w:val="3"/>
          <w:sz w:val="27"/>
          <w:szCs w:val="27"/>
        </w:rPr>
        <w:t>达到相关军事训练与考核大纲规定要求的程度；</w:t>
      </w:r>
    </w:p>
    <w:p w14:paraId="2B86B67B">
      <w:pPr>
        <w:spacing w:before="100" w:line="212" w:lineRule="auto"/>
        <w:ind w:left="559"/>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67"/>
          <w:w w:val="101"/>
          <w:sz w:val="27"/>
          <w:szCs w:val="27"/>
        </w:rPr>
        <w:t xml:space="preserve"> </w:t>
      </w:r>
      <w:r>
        <w:rPr>
          <w:rFonts w:ascii="宋体" w:hAnsi="宋体" w:eastAsia="宋体" w:cs="宋体"/>
          <w:spacing w:val="1"/>
          <w:sz w:val="27"/>
          <w:szCs w:val="27"/>
        </w:rPr>
        <w:t>使用的方便性；</w:t>
      </w:r>
    </w:p>
    <w:p w14:paraId="6A92AB7A">
      <w:pPr>
        <w:spacing w:before="100" w:line="212" w:lineRule="auto"/>
        <w:ind w:left="559"/>
        <w:rPr>
          <w:rFonts w:ascii="宋体" w:hAnsi="宋体" w:eastAsia="宋体" w:cs="宋体"/>
          <w:sz w:val="27"/>
          <w:szCs w:val="27"/>
        </w:rPr>
      </w:pPr>
      <w:r>
        <w:rPr>
          <w:rFonts w:ascii="Times New Roman" w:hAnsi="Times New Roman" w:eastAsia="Times New Roman" w:cs="Times New Roman"/>
          <w:spacing w:val="-3"/>
          <w:sz w:val="27"/>
          <w:szCs w:val="27"/>
        </w:rPr>
        <w:t>d)</w:t>
      </w:r>
      <w:r>
        <w:rPr>
          <w:rFonts w:ascii="Times New Roman" w:hAnsi="Times New Roman" w:eastAsia="Times New Roman" w:cs="Times New Roman"/>
          <w:spacing w:val="11"/>
          <w:sz w:val="27"/>
          <w:szCs w:val="27"/>
        </w:rPr>
        <w:t xml:space="preserve">  </w:t>
      </w:r>
      <w:r>
        <w:rPr>
          <w:rFonts w:ascii="宋体" w:hAnsi="宋体" w:eastAsia="宋体" w:cs="宋体"/>
          <w:spacing w:val="-3"/>
          <w:sz w:val="27"/>
          <w:szCs w:val="27"/>
        </w:rPr>
        <w:t>功能的完备性；</w:t>
      </w:r>
    </w:p>
    <w:p w14:paraId="608BC07E">
      <w:pPr>
        <w:spacing w:before="110" w:line="212" w:lineRule="auto"/>
        <w:ind w:left="559"/>
        <w:rPr>
          <w:rFonts w:ascii="宋体" w:hAnsi="宋体" w:eastAsia="宋体" w:cs="宋体"/>
          <w:sz w:val="27"/>
          <w:szCs w:val="27"/>
        </w:rPr>
      </w:pPr>
      <w:r>
        <w:rPr>
          <w:rFonts w:ascii="Times New Roman" w:hAnsi="Times New Roman" w:eastAsia="Times New Roman" w:cs="Times New Roman"/>
          <w:sz w:val="27"/>
          <w:szCs w:val="27"/>
        </w:rPr>
        <w:t xml:space="preserve">e)  </w:t>
      </w:r>
      <w:r>
        <w:rPr>
          <w:rFonts w:ascii="宋体" w:hAnsi="宋体" w:eastAsia="宋体" w:cs="宋体"/>
          <w:sz w:val="27"/>
          <w:szCs w:val="27"/>
        </w:rPr>
        <w:t>设计的合理性；</w:t>
      </w:r>
    </w:p>
    <w:p w14:paraId="41AC36E4">
      <w:pPr>
        <w:spacing w:before="100" w:line="212" w:lineRule="auto"/>
        <w:ind w:left="559"/>
        <w:rPr>
          <w:rFonts w:ascii="宋体" w:hAnsi="宋体" w:eastAsia="宋体" w:cs="宋体"/>
          <w:sz w:val="27"/>
          <w:szCs w:val="27"/>
        </w:rPr>
      </w:pPr>
      <w:r>
        <w:rPr>
          <w:rFonts w:ascii="Times New Roman" w:hAnsi="Times New Roman" w:eastAsia="Times New Roman" w:cs="Times New Roman"/>
          <w:spacing w:val="3"/>
          <w:sz w:val="27"/>
          <w:szCs w:val="27"/>
        </w:rPr>
        <w:t xml:space="preserve">f)  </w:t>
      </w:r>
      <w:r>
        <w:rPr>
          <w:rFonts w:ascii="宋体" w:hAnsi="宋体" w:eastAsia="宋体" w:cs="宋体"/>
          <w:spacing w:val="3"/>
          <w:sz w:val="27"/>
          <w:szCs w:val="27"/>
        </w:rPr>
        <w:t>与战术技术指标的符合程度等。</w:t>
      </w:r>
    </w:p>
    <w:p w14:paraId="4AB153C0">
      <w:pPr>
        <w:spacing w:before="125" w:line="222" w:lineRule="auto"/>
        <w:rPr>
          <w:rFonts w:ascii="黑体" w:hAnsi="黑体" w:eastAsia="黑体" w:cs="黑体"/>
          <w:sz w:val="27"/>
          <w:szCs w:val="27"/>
        </w:rPr>
      </w:pPr>
      <w:r>
        <w:rPr>
          <w:rFonts w:ascii="黑体" w:hAnsi="黑体" w:eastAsia="黑体" w:cs="黑体"/>
          <w:spacing w:val="1"/>
          <w:sz w:val="27"/>
          <w:szCs w:val="27"/>
        </w:rPr>
        <w:t xml:space="preserve">4.2  </w:t>
      </w:r>
      <w:r>
        <w:rPr>
          <w:rFonts w:ascii="黑体" w:hAnsi="黑体" w:eastAsia="黑体" w:cs="黑体"/>
          <w:b/>
          <w:bCs/>
          <w:spacing w:val="1"/>
          <w:sz w:val="27"/>
          <w:szCs w:val="27"/>
        </w:rPr>
        <w:t>部队适用性评价</w:t>
      </w:r>
    </w:p>
    <w:p w14:paraId="13457B54">
      <w:pPr>
        <w:spacing w:before="104" w:line="222" w:lineRule="auto"/>
        <w:rPr>
          <w:rFonts w:ascii="黑体" w:hAnsi="黑体" w:eastAsia="黑体" w:cs="黑体"/>
          <w:sz w:val="24"/>
          <w:szCs w:val="24"/>
        </w:rPr>
      </w:pPr>
      <w:r>
        <w:rPr>
          <w:rFonts w:ascii="黑体" w:hAnsi="黑体" w:eastAsia="黑体" w:cs="黑体"/>
          <w:spacing w:val="-5"/>
          <w:sz w:val="24"/>
          <w:szCs w:val="24"/>
        </w:rPr>
        <w:t>4.2.1</w:t>
      </w:r>
      <w:r>
        <w:rPr>
          <w:rFonts w:ascii="黑体" w:hAnsi="黑体" w:eastAsia="黑体" w:cs="黑体"/>
          <w:spacing w:val="22"/>
          <w:sz w:val="24"/>
          <w:szCs w:val="24"/>
        </w:rPr>
        <w:t xml:space="preserve">   </w:t>
      </w:r>
      <w:r>
        <w:rPr>
          <w:rFonts w:ascii="黑体" w:hAnsi="黑体" w:eastAsia="黑体" w:cs="黑体"/>
          <w:b/>
          <w:bCs/>
          <w:spacing w:val="-5"/>
          <w:sz w:val="24"/>
          <w:szCs w:val="24"/>
        </w:rPr>
        <w:t>可</w:t>
      </w:r>
      <w:r>
        <w:rPr>
          <w:rFonts w:ascii="黑体" w:hAnsi="黑体" w:eastAsia="黑体" w:cs="黑体"/>
          <w:spacing w:val="-50"/>
          <w:sz w:val="24"/>
          <w:szCs w:val="24"/>
        </w:rPr>
        <w:t xml:space="preserve"> </w:t>
      </w:r>
      <w:r>
        <w:rPr>
          <w:rFonts w:ascii="黑体" w:hAnsi="黑体" w:eastAsia="黑体" w:cs="黑体"/>
          <w:b/>
          <w:bCs/>
          <w:spacing w:val="-5"/>
          <w:sz w:val="24"/>
          <w:szCs w:val="24"/>
        </w:rPr>
        <w:t>用</w:t>
      </w:r>
      <w:r>
        <w:rPr>
          <w:rFonts w:ascii="黑体" w:hAnsi="黑体" w:eastAsia="黑体" w:cs="黑体"/>
          <w:spacing w:val="-55"/>
          <w:sz w:val="24"/>
          <w:szCs w:val="24"/>
        </w:rPr>
        <w:t xml:space="preserve"> </w:t>
      </w:r>
      <w:r>
        <w:rPr>
          <w:rFonts w:ascii="黑体" w:hAnsi="黑体" w:eastAsia="黑体" w:cs="黑体"/>
          <w:b/>
          <w:bCs/>
          <w:spacing w:val="-5"/>
          <w:sz w:val="24"/>
          <w:szCs w:val="24"/>
        </w:rPr>
        <w:t>性</w:t>
      </w:r>
    </w:p>
    <w:p w14:paraId="6D4BAD47">
      <w:pPr>
        <w:spacing w:before="88" w:line="278" w:lineRule="auto"/>
        <w:ind w:right="103" w:firstLine="559"/>
        <w:jc w:val="both"/>
        <w:rPr>
          <w:rFonts w:ascii="宋体" w:hAnsi="宋体" w:eastAsia="宋体" w:cs="宋体"/>
          <w:sz w:val="27"/>
          <w:szCs w:val="27"/>
        </w:rPr>
      </w:pPr>
      <w:r>
        <w:rPr>
          <w:rFonts w:ascii="宋体" w:hAnsi="宋体" w:eastAsia="宋体" w:cs="宋体"/>
          <w:spacing w:val="6"/>
          <w:sz w:val="27"/>
          <w:szCs w:val="27"/>
        </w:rPr>
        <w:t>评价被试品在受领任务的任意时间点上，处于</w:t>
      </w:r>
      <w:r>
        <w:rPr>
          <w:rFonts w:ascii="宋体" w:hAnsi="宋体" w:eastAsia="宋体" w:cs="宋体"/>
          <w:spacing w:val="5"/>
          <w:sz w:val="27"/>
          <w:szCs w:val="27"/>
        </w:rPr>
        <w:t>能够使用并能够执行任务状</w:t>
      </w:r>
      <w:r>
        <w:rPr>
          <w:rFonts w:ascii="宋体" w:hAnsi="宋体" w:eastAsia="宋体" w:cs="宋体"/>
          <w:sz w:val="27"/>
          <w:szCs w:val="27"/>
        </w:rPr>
        <w:t xml:space="preserve"> </w:t>
      </w:r>
      <w:r>
        <w:rPr>
          <w:rFonts w:ascii="宋体" w:hAnsi="宋体" w:eastAsia="宋体" w:cs="宋体"/>
          <w:spacing w:val="5"/>
          <w:sz w:val="27"/>
          <w:szCs w:val="27"/>
        </w:rPr>
        <w:t>态的程度。评价指标一般用百分率表示，即被试品能够执行其任务的时间百分</w:t>
      </w:r>
      <w:r>
        <w:rPr>
          <w:rFonts w:ascii="宋体" w:hAnsi="宋体" w:eastAsia="宋体" w:cs="宋体"/>
          <w:spacing w:val="10"/>
          <w:sz w:val="27"/>
          <w:szCs w:val="27"/>
        </w:rPr>
        <w:t xml:space="preserve"> </w:t>
      </w:r>
      <w:r>
        <w:rPr>
          <w:rFonts w:ascii="宋体" w:hAnsi="宋体" w:eastAsia="宋体" w:cs="宋体"/>
          <w:spacing w:val="-3"/>
          <w:sz w:val="27"/>
          <w:szCs w:val="27"/>
        </w:rPr>
        <w:t>率，无法定量评价时可进行定性评价。评价依据主要包括：</w:t>
      </w:r>
    </w:p>
    <w:p w14:paraId="23EF3037">
      <w:pPr>
        <w:spacing w:line="212" w:lineRule="auto"/>
        <w:ind w:left="559"/>
        <w:rPr>
          <w:rFonts w:ascii="宋体" w:hAnsi="宋体" w:eastAsia="宋体" w:cs="宋体"/>
          <w:sz w:val="27"/>
          <w:szCs w:val="27"/>
        </w:rPr>
      </w:pPr>
      <w:r>
        <w:rPr>
          <w:rFonts w:ascii="Times New Roman" w:hAnsi="Times New Roman" w:eastAsia="Times New Roman" w:cs="Times New Roman"/>
          <w:spacing w:val="2"/>
          <w:sz w:val="27"/>
          <w:szCs w:val="27"/>
        </w:rPr>
        <w:t xml:space="preserve">a)  </w:t>
      </w:r>
      <w:r>
        <w:rPr>
          <w:rFonts w:ascii="宋体" w:hAnsi="宋体" w:eastAsia="宋体" w:cs="宋体"/>
          <w:spacing w:val="2"/>
          <w:sz w:val="27"/>
          <w:szCs w:val="27"/>
        </w:rPr>
        <w:t>被试品在需要时能否正常工作和使用；</w:t>
      </w:r>
    </w:p>
    <w:p w14:paraId="7BDD13EB">
      <w:pPr>
        <w:spacing w:before="100" w:line="212" w:lineRule="auto"/>
        <w:ind w:left="559"/>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被试品能否在预期的战时环境中按预定的强度执行作战</w:t>
      </w:r>
      <w:r>
        <w:rPr>
          <w:rFonts w:ascii="宋体" w:hAnsi="宋体" w:eastAsia="宋体" w:cs="宋体"/>
          <w:spacing w:val="3"/>
          <w:sz w:val="27"/>
          <w:szCs w:val="27"/>
        </w:rPr>
        <w:t>任务等。</w:t>
      </w:r>
    </w:p>
    <w:p w14:paraId="2F2E5879">
      <w:pPr>
        <w:spacing w:line="212" w:lineRule="auto"/>
        <w:rPr>
          <w:rFonts w:ascii="宋体" w:hAnsi="宋体" w:eastAsia="宋体" w:cs="宋体"/>
          <w:sz w:val="27"/>
          <w:szCs w:val="27"/>
        </w:rPr>
        <w:sectPr>
          <w:footerReference r:id="rId166" w:type="default"/>
          <w:pgSz w:w="11910" w:h="17130"/>
          <w:pgMar w:top="400" w:right="1225" w:bottom="1566" w:left="1200" w:header="0" w:footer="1377" w:gutter="0"/>
          <w:cols w:space="720" w:num="1"/>
        </w:sectPr>
      </w:pPr>
    </w:p>
    <w:p w14:paraId="14FFF7EB">
      <w:pPr>
        <w:pStyle w:val="2"/>
        <w:spacing w:line="262" w:lineRule="auto"/>
      </w:pPr>
    </w:p>
    <w:p w14:paraId="270FD449">
      <w:pPr>
        <w:pStyle w:val="2"/>
        <w:spacing w:line="262" w:lineRule="auto"/>
      </w:pPr>
    </w:p>
    <w:p w14:paraId="1264F723">
      <w:pPr>
        <w:pStyle w:val="2"/>
        <w:spacing w:line="263" w:lineRule="auto"/>
      </w:pPr>
    </w:p>
    <w:p w14:paraId="3E0DE69B">
      <w:pPr>
        <w:pStyle w:val="2"/>
        <w:spacing w:line="263" w:lineRule="auto"/>
      </w:pPr>
    </w:p>
    <w:p w14:paraId="11A434AA">
      <w:pPr>
        <w:spacing w:before="78" w:line="222" w:lineRule="auto"/>
        <w:rPr>
          <w:rFonts w:ascii="黑体" w:hAnsi="黑体" w:eastAsia="黑体" w:cs="黑体"/>
          <w:sz w:val="24"/>
          <w:szCs w:val="24"/>
        </w:rPr>
      </w:pPr>
      <w:r>
        <w:rPr>
          <w:rFonts w:ascii="黑体" w:hAnsi="黑体" w:eastAsia="黑体" w:cs="黑体"/>
          <w:spacing w:val="-5"/>
          <w:sz w:val="24"/>
          <w:szCs w:val="24"/>
        </w:rPr>
        <w:t>4.2.2</w:t>
      </w:r>
      <w:r>
        <w:rPr>
          <w:rFonts w:ascii="黑体" w:hAnsi="黑体" w:eastAsia="黑体" w:cs="黑体"/>
          <w:spacing w:val="9"/>
          <w:sz w:val="24"/>
          <w:szCs w:val="24"/>
        </w:rPr>
        <w:t xml:space="preserve">   </w:t>
      </w:r>
      <w:r>
        <w:rPr>
          <w:rFonts w:ascii="黑体" w:hAnsi="黑体" w:eastAsia="黑体" w:cs="黑体"/>
          <w:b/>
          <w:bCs/>
          <w:spacing w:val="-5"/>
          <w:sz w:val="24"/>
          <w:szCs w:val="24"/>
        </w:rPr>
        <w:t>可</w:t>
      </w:r>
      <w:r>
        <w:rPr>
          <w:rFonts w:ascii="黑体" w:hAnsi="黑体" w:eastAsia="黑体" w:cs="黑体"/>
          <w:spacing w:val="-46"/>
          <w:sz w:val="24"/>
          <w:szCs w:val="24"/>
        </w:rPr>
        <w:t xml:space="preserve"> </w:t>
      </w:r>
      <w:r>
        <w:rPr>
          <w:rFonts w:ascii="黑体" w:hAnsi="黑体" w:eastAsia="黑体" w:cs="黑体"/>
          <w:b/>
          <w:bCs/>
          <w:spacing w:val="-5"/>
          <w:sz w:val="24"/>
          <w:szCs w:val="24"/>
        </w:rPr>
        <w:t>靠</w:t>
      </w:r>
      <w:r>
        <w:rPr>
          <w:rFonts w:ascii="黑体" w:hAnsi="黑体" w:eastAsia="黑体" w:cs="黑体"/>
          <w:spacing w:val="-50"/>
          <w:sz w:val="24"/>
          <w:szCs w:val="24"/>
        </w:rPr>
        <w:t xml:space="preserve"> </w:t>
      </w:r>
      <w:r>
        <w:rPr>
          <w:rFonts w:ascii="黑体" w:hAnsi="黑体" w:eastAsia="黑体" w:cs="黑体"/>
          <w:b/>
          <w:bCs/>
          <w:spacing w:val="-5"/>
          <w:sz w:val="24"/>
          <w:szCs w:val="24"/>
        </w:rPr>
        <w:t>性</w:t>
      </w:r>
    </w:p>
    <w:p w14:paraId="6F933B9E">
      <w:pPr>
        <w:spacing w:before="75" w:line="274" w:lineRule="auto"/>
        <w:ind w:right="112" w:firstLine="550"/>
        <w:rPr>
          <w:rFonts w:ascii="宋体" w:hAnsi="宋体" w:eastAsia="宋体" w:cs="宋体"/>
          <w:sz w:val="27"/>
          <w:szCs w:val="27"/>
        </w:rPr>
      </w:pPr>
      <w:r>
        <w:rPr>
          <w:rFonts w:ascii="宋体" w:hAnsi="宋体" w:eastAsia="宋体" w:cs="宋体"/>
          <w:spacing w:val="6"/>
          <w:sz w:val="27"/>
          <w:szCs w:val="27"/>
        </w:rPr>
        <w:t>定量评价被试品在规定的条件下和规定的时间内</w:t>
      </w:r>
      <w:r>
        <w:rPr>
          <w:rFonts w:ascii="宋体" w:hAnsi="宋体" w:eastAsia="宋体" w:cs="宋体"/>
          <w:spacing w:val="5"/>
          <w:sz w:val="27"/>
          <w:szCs w:val="27"/>
        </w:rPr>
        <w:t>执行其预定功能的概率和</w:t>
      </w:r>
      <w:r>
        <w:rPr>
          <w:rFonts w:ascii="宋体" w:hAnsi="宋体" w:eastAsia="宋体" w:cs="宋体"/>
          <w:sz w:val="27"/>
          <w:szCs w:val="27"/>
        </w:rPr>
        <w:t xml:space="preserve"> </w:t>
      </w:r>
      <w:r>
        <w:rPr>
          <w:rFonts w:ascii="宋体" w:hAnsi="宋体" w:eastAsia="宋体" w:cs="宋体"/>
          <w:spacing w:val="-12"/>
          <w:sz w:val="27"/>
          <w:szCs w:val="27"/>
        </w:rPr>
        <w:t>能力，即不发生故障的程度，主要包括：</w:t>
      </w:r>
    </w:p>
    <w:p w14:paraId="3E23982E">
      <w:pPr>
        <w:spacing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整个试用过程故障时间和数量的统计；</w:t>
      </w:r>
    </w:p>
    <w:p w14:paraId="2189E6AB">
      <w:pPr>
        <w:spacing w:before="109"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 xml:space="preserve">b)  </w:t>
      </w:r>
      <w:r>
        <w:rPr>
          <w:rFonts w:ascii="宋体" w:hAnsi="宋体" w:eastAsia="宋体" w:cs="宋体"/>
          <w:spacing w:val="5"/>
          <w:sz w:val="27"/>
          <w:szCs w:val="27"/>
        </w:rPr>
        <w:t>按组成被试品的各分系统或对任务的影</w:t>
      </w:r>
      <w:r>
        <w:rPr>
          <w:rFonts w:ascii="宋体" w:hAnsi="宋体" w:eastAsia="宋体" w:cs="宋体"/>
          <w:spacing w:val="4"/>
          <w:sz w:val="27"/>
          <w:szCs w:val="27"/>
        </w:rPr>
        <w:t>响程度所进行的故障分类。</w:t>
      </w:r>
    </w:p>
    <w:p w14:paraId="148B1CBB">
      <w:pPr>
        <w:pStyle w:val="2"/>
        <w:spacing w:before="104" w:line="222" w:lineRule="auto"/>
        <w:rPr>
          <w:rFonts w:ascii="黑体" w:hAnsi="黑体" w:eastAsia="黑体" w:cs="黑体"/>
          <w:sz w:val="27"/>
          <w:szCs w:val="27"/>
        </w:rPr>
      </w:pPr>
      <w:r>
        <w:rPr>
          <w:b/>
          <w:bCs/>
          <w:spacing w:val="1"/>
          <w:sz w:val="27"/>
          <w:szCs w:val="27"/>
        </w:rPr>
        <w:t xml:space="preserve">4.2.3     </w:t>
      </w:r>
      <w:r>
        <w:rPr>
          <w:rFonts w:ascii="黑体" w:hAnsi="黑体" w:eastAsia="黑体" w:cs="黑体"/>
          <w:b/>
          <w:bCs/>
          <w:spacing w:val="1"/>
          <w:sz w:val="27"/>
          <w:szCs w:val="27"/>
        </w:rPr>
        <w:t>维修性</w:t>
      </w:r>
    </w:p>
    <w:p w14:paraId="0994F643">
      <w:pPr>
        <w:spacing w:before="99" w:line="264" w:lineRule="auto"/>
        <w:ind w:right="125" w:firstLine="550"/>
        <w:rPr>
          <w:rFonts w:ascii="宋体" w:hAnsi="宋体" w:eastAsia="宋体" w:cs="宋体"/>
          <w:sz w:val="27"/>
          <w:szCs w:val="27"/>
        </w:rPr>
      </w:pPr>
      <w:r>
        <w:rPr>
          <w:rFonts w:ascii="宋体" w:hAnsi="宋体" w:eastAsia="宋体" w:cs="宋体"/>
          <w:spacing w:val="-3"/>
          <w:sz w:val="27"/>
          <w:szCs w:val="27"/>
        </w:rPr>
        <w:t>评价被试品在基层级进行维修，由具有规定技能等级的人员，使用规</w:t>
      </w:r>
      <w:r>
        <w:rPr>
          <w:rFonts w:ascii="宋体" w:hAnsi="宋体" w:eastAsia="宋体" w:cs="宋体"/>
          <w:spacing w:val="-4"/>
          <w:sz w:val="27"/>
          <w:szCs w:val="27"/>
        </w:rPr>
        <w:t>定的程</w:t>
      </w:r>
      <w:r>
        <w:rPr>
          <w:rFonts w:ascii="宋体" w:hAnsi="宋体" w:eastAsia="宋体" w:cs="宋体"/>
          <w:sz w:val="27"/>
          <w:szCs w:val="27"/>
        </w:rPr>
        <w:t xml:space="preserve"> </w:t>
      </w:r>
      <w:r>
        <w:rPr>
          <w:rFonts w:ascii="宋体" w:hAnsi="宋体" w:eastAsia="宋体" w:cs="宋体"/>
          <w:spacing w:val="-5"/>
          <w:sz w:val="27"/>
          <w:szCs w:val="27"/>
        </w:rPr>
        <w:t>序、方法和资源进行维修时，恢复到规定状态的能力</w:t>
      </w:r>
      <w:r>
        <w:rPr>
          <w:rFonts w:ascii="宋体" w:hAnsi="宋体" w:eastAsia="宋体" w:cs="宋体"/>
          <w:spacing w:val="-6"/>
          <w:sz w:val="27"/>
          <w:szCs w:val="27"/>
        </w:rPr>
        <w:t>。主要包括：</w:t>
      </w:r>
    </w:p>
    <w:p w14:paraId="736C7B6C">
      <w:pPr>
        <w:spacing w:line="212" w:lineRule="auto"/>
        <w:jc w:val="right"/>
        <w:rPr>
          <w:rFonts w:ascii="宋体" w:hAnsi="宋体" w:eastAsia="宋体" w:cs="宋体"/>
          <w:sz w:val="27"/>
          <w:szCs w:val="27"/>
        </w:rPr>
      </w:pPr>
      <w:r>
        <w:rPr>
          <w:rFonts w:ascii="Times New Roman" w:hAnsi="Times New Roman" w:eastAsia="Times New Roman" w:cs="Times New Roman"/>
          <w:spacing w:val="6"/>
          <w:sz w:val="27"/>
          <w:szCs w:val="27"/>
        </w:rPr>
        <w:t xml:space="preserve">a)  </w:t>
      </w:r>
      <w:r>
        <w:rPr>
          <w:rFonts w:ascii="宋体" w:hAnsi="宋体" w:eastAsia="宋体" w:cs="宋体"/>
          <w:spacing w:val="6"/>
          <w:sz w:val="27"/>
          <w:szCs w:val="27"/>
        </w:rPr>
        <w:t>定量评价。1)维修时间，指被试品保持或恢复到工作状态所需的时间；</w:t>
      </w:r>
    </w:p>
    <w:p w14:paraId="5D4EB58A">
      <w:pPr>
        <w:spacing w:before="138" w:line="285" w:lineRule="auto"/>
        <w:ind w:right="124"/>
        <w:rPr>
          <w:rFonts w:ascii="宋体" w:hAnsi="宋体" w:eastAsia="宋体" w:cs="宋体"/>
          <w:sz w:val="25"/>
          <w:szCs w:val="25"/>
        </w:rPr>
      </w:pPr>
      <w:r>
        <w:rPr>
          <w:rFonts w:ascii="宋体" w:hAnsi="宋体" w:eastAsia="宋体" w:cs="宋体"/>
          <w:spacing w:val="16"/>
          <w:sz w:val="25"/>
          <w:szCs w:val="25"/>
        </w:rPr>
        <w:t>2)维修率，指规定期限内的累计维修时间与使用时间之比；3)所需的维修人员数</w:t>
      </w:r>
      <w:r>
        <w:rPr>
          <w:rFonts w:ascii="宋体" w:hAnsi="宋体" w:eastAsia="宋体" w:cs="宋体"/>
          <w:spacing w:val="17"/>
          <w:sz w:val="25"/>
          <w:szCs w:val="25"/>
        </w:rPr>
        <w:t xml:space="preserve"> </w:t>
      </w:r>
      <w:r>
        <w:rPr>
          <w:rFonts w:ascii="宋体" w:hAnsi="宋体" w:eastAsia="宋体" w:cs="宋体"/>
          <w:spacing w:val="20"/>
          <w:sz w:val="25"/>
          <w:szCs w:val="25"/>
        </w:rPr>
        <w:t>量和技能等级等。</w:t>
      </w:r>
    </w:p>
    <w:p w14:paraId="29E0E83B">
      <w:pPr>
        <w:spacing w:line="212" w:lineRule="auto"/>
        <w:jc w:val="right"/>
        <w:rPr>
          <w:rFonts w:ascii="宋体" w:hAnsi="宋体" w:eastAsia="宋体" w:cs="宋体"/>
          <w:sz w:val="27"/>
          <w:szCs w:val="27"/>
        </w:rPr>
      </w:pPr>
      <w:r>
        <w:rPr>
          <w:rFonts w:ascii="Times New Roman" w:hAnsi="Times New Roman" w:eastAsia="Times New Roman" w:cs="Times New Roman"/>
          <w:spacing w:val="6"/>
          <w:sz w:val="27"/>
          <w:szCs w:val="27"/>
        </w:rPr>
        <w:t>b)</w:t>
      </w:r>
      <w:r>
        <w:rPr>
          <w:rFonts w:ascii="Times New Roman" w:hAnsi="Times New Roman" w:eastAsia="Times New Roman" w:cs="Times New Roman"/>
          <w:spacing w:val="67"/>
          <w:sz w:val="27"/>
          <w:szCs w:val="27"/>
        </w:rPr>
        <w:t xml:space="preserve"> </w:t>
      </w:r>
      <w:r>
        <w:rPr>
          <w:rFonts w:ascii="宋体" w:hAnsi="宋体" w:eastAsia="宋体" w:cs="宋体"/>
          <w:spacing w:val="6"/>
          <w:sz w:val="27"/>
          <w:szCs w:val="27"/>
        </w:rPr>
        <w:t>定性评价。1)维修的可达性，即维修产品时接近维修部位的难易程度；</w:t>
      </w:r>
    </w:p>
    <w:p w14:paraId="4F02F188">
      <w:pPr>
        <w:spacing w:before="124" w:line="279" w:lineRule="auto"/>
        <w:jc w:val="both"/>
        <w:rPr>
          <w:rFonts w:ascii="宋体" w:hAnsi="宋体" w:eastAsia="宋体" w:cs="宋体"/>
          <w:sz w:val="27"/>
          <w:szCs w:val="27"/>
        </w:rPr>
      </w:pPr>
      <w:r>
        <w:rPr>
          <w:rFonts w:ascii="宋体" w:hAnsi="宋体" w:eastAsia="宋体" w:cs="宋体"/>
          <w:spacing w:val="-2"/>
          <w:sz w:val="27"/>
          <w:szCs w:val="27"/>
        </w:rPr>
        <w:t>2)检测诊断的方便性和快速性，如需维修单元是否有故障显示，显示方式、位置</w:t>
      </w:r>
      <w:r>
        <w:rPr>
          <w:rFonts w:ascii="宋体" w:hAnsi="宋体" w:eastAsia="宋体" w:cs="宋体"/>
          <w:sz w:val="27"/>
          <w:szCs w:val="27"/>
        </w:rPr>
        <w:t xml:space="preserve"> </w:t>
      </w:r>
      <w:r>
        <w:rPr>
          <w:rFonts w:ascii="宋体" w:hAnsi="宋体" w:eastAsia="宋体" w:cs="宋体"/>
          <w:spacing w:val="-3"/>
          <w:sz w:val="27"/>
          <w:szCs w:val="27"/>
        </w:rPr>
        <w:t>是否有效；3)零部件的标准化和互换性，需要经常维修的单元，是否设计成最快</w:t>
      </w:r>
      <w:r>
        <w:rPr>
          <w:rFonts w:ascii="宋体" w:hAnsi="宋体" w:eastAsia="宋体" w:cs="宋体"/>
          <w:spacing w:val="8"/>
          <w:sz w:val="27"/>
          <w:szCs w:val="27"/>
        </w:rPr>
        <w:t xml:space="preserve">  </w:t>
      </w:r>
      <w:r>
        <w:rPr>
          <w:rFonts w:ascii="宋体" w:hAnsi="宋体" w:eastAsia="宋体" w:cs="宋体"/>
          <w:spacing w:val="-2"/>
          <w:sz w:val="27"/>
          <w:szCs w:val="27"/>
        </w:rPr>
        <w:t>捷的维修方式；4)防差错措施与识别标记；5)工具操</w:t>
      </w:r>
      <w:r>
        <w:rPr>
          <w:rFonts w:ascii="宋体" w:hAnsi="宋体" w:eastAsia="宋体" w:cs="宋体"/>
          <w:spacing w:val="-3"/>
          <w:sz w:val="27"/>
          <w:szCs w:val="27"/>
        </w:rPr>
        <w:t>作空间和工作场地的维修安</w:t>
      </w:r>
      <w:r>
        <w:rPr>
          <w:rFonts w:ascii="宋体" w:hAnsi="宋体" w:eastAsia="宋体" w:cs="宋体"/>
          <w:sz w:val="27"/>
          <w:szCs w:val="27"/>
        </w:rPr>
        <w:t xml:space="preserve">  </w:t>
      </w:r>
      <w:r>
        <w:rPr>
          <w:rFonts w:ascii="宋体" w:hAnsi="宋体" w:eastAsia="宋体" w:cs="宋体"/>
          <w:spacing w:val="-9"/>
          <w:sz w:val="27"/>
          <w:szCs w:val="27"/>
        </w:rPr>
        <w:t>全性，如是否有会损伤人员、装备的结构；6)人机工程</w:t>
      </w:r>
      <w:r>
        <w:rPr>
          <w:rFonts w:ascii="宋体" w:hAnsi="宋体" w:eastAsia="宋体" w:cs="宋体"/>
          <w:spacing w:val="-10"/>
          <w:sz w:val="27"/>
          <w:szCs w:val="27"/>
        </w:rPr>
        <w:t>要求，维修过程中是否有因</w:t>
      </w:r>
      <w:r>
        <w:rPr>
          <w:rFonts w:ascii="宋体" w:hAnsi="宋体" w:eastAsia="宋体" w:cs="宋体"/>
          <w:sz w:val="27"/>
          <w:szCs w:val="27"/>
        </w:rPr>
        <w:t xml:space="preserve"> </w:t>
      </w:r>
      <w:r>
        <w:rPr>
          <w:rFonts w:ascii="宋体" w:hAnsi="宋体" w:eastAsia="宋体" w:cs="宋体"/>
          <w:spacing w:val="-3"/>
          <w:sz w:val="27"/>
          <w:szCs w:val="27"/>
        </w:rPr>
        <w:t>过热的热源、高压、作业空间限制等而不可应急维修者；7)是否有难于检查的维</w:t>
      </w:r>
      <w:r>
        <w:rPr>
          <w:rFonts w:ascii="宋体" w:hAnsi="宋体" w:eastAsia="宋体" w:cs="宋体"/>
          <w:spacing w:val="9"/>
          <w:sz w:val="27"/>
          <w:szCs w:val="27"/>
        </w:rPr>
        <w:t xml:space="preserve">  </w:t>
      </w:r>
      <w:r>
        <w:rPr>
          <w:rFonts w:ascii="宋体" w:hAnsi="宋体" w:eastAsia="宋体" w:cs="宋体"/>
          <w:spacing w:val="-9"/>
          <w:sz w:val="27"/>
          <w:szCs w:val="27"/>
        </w:rPr>
        <w:t>修错误，如暗夜维修、零件安装错误等；8)影响</w:t>
      </w:r>
      <w:r>
        <w:rPr>
          <w:rFonts w:ascii="宋体" w:hAnsi="宋体" w:eastAsia="宋体" w:cs="宋体"/>
          <w:spacing w:val="-10"/>
          <w:sz w:val="27"/>
          <w:szCs w:val="27"/>
        </w:rPr>
        <w:t>维修人员数量、技术等级和专业以</w:t>
      </w:r>
      <w:r>
        <w:rPr>
          <w:rFonts w:ascii="宋体" w:hAnsi="宋体" w:eastAsia="宋体" w:cs="宋体"/>
          <w:sz w:val="27"/>
          <w:szCs w:val="27"/>
        </w:rPr>
        <w:t xml:space="preserve"> </w:t>
      </w:r>
      <w:r>
        <w:rPr>
          <w:rFonts w:ascii="宋体" w:hAnsi="宋体" w:eastAsia="宋体" w:cs="宋体"/>
          <w:spacing w:val="5"/>
          <w:sz w:val="27"/>
          <w:szCs w:val="27"/>
        </w:rPr>
        <w:t>及所需维修检测设备的易修性；9)维修的难易</w:t>
      </w:r>
      <w:r>
        <w:rPr>
          <w:rFonts w:ascii="宋体" w:hAnsi="宋体" w:eastAsia="宋体" w:cs="宋体"/>
          <w:spacing w:val="4"/>
          <w:sz w:val="27"/>
          <w:szCs w:val="27"/>
        </w:rPr>
        <w:t>程度；10)维修保障的完备程度；</w:t>
      </w:r>
    </w:p>
    <w:p w14:paraId="629CA737">
      <w:pPr>
        <w:spacing w:line="219" w:lineRule="auto"/>
        <w:rPr>
          <w:rFonts w:ascii="宋体" w:hAnsi="宋体" w:eastAsia="宋体" w:cs="宋体"/>
          <w:sz w:val="27"/>
          <w:szCs w:val="27"/>
        </w:rPr>
      </w:pPr>
      <w:r>
        <w:rPr>
          <w:rFonts w:ascii="宋体" w:hAnsi="宋体" w:eastAsia="宋体" w:cs="宋体"/>
          <w:spacing w:val="3"/>
          <w:sz w:val="27"/>
          <w:szCs w:val="27"/>
        </w:rPr>
        <w:t>11)与维修行动有关的人力因素等。</w:t>
      </w:r>
    </w:p>
    <w:p w14:paraId="21ECBBD0">
      <w:pPr>
        <w:spacing w:before="96" w:line="223" w:lineRule="auto"/>
        <w:rPr>
          <w:rFonts w:ascii="黑体" w:hAnsi="黑体" w:eastAsia="黑体" w:cs="黑体"/>
          <w:sz w:val="27"/>
          <w:szCs w:val="27"/>
        </w:rPr>
      </w:pPr>
      <w:r>
        <w:rPr>
          <w:rFonts w:ascii="黑体" w:hAnsi="黑体" w:eastAsia="黑体" w:cs="黑体"/>
          <w:sz w:val="27"/>
          <w:szCs w:val="27"/>
        </w:rPr>
        <w:t>4.2.4</w:t>
      </w:r>
      <w:r>
        <w:rPr>
          <w:rFonts w:ascii="黑体" w:hAnsi="黑体" w:eastAsia="黑体" w:cs="黑体"/>
          <w:spacing w:val="23"/>
          <w:sz w:val="27"/>
          <w:szCs w:val="27"/>
        </w:rPr>
        <w:t xml:space="preserve">  </w:t>
      </w:r>
      <w:r>
        <w:rPr>
          <w:rFonts w:ascii="黑体" w:hAnsi="黑体" w:eastAsia="黑体" w:cs="黑体"/>
          <w:b/>
          <w:bCs/>
          <w:sz w:val="27"/>
          <w:szCs w:val="27"/>
        </w:rPr>
        <w:t>保障性</w:t>
      </w:r>
    </w:p>
    <w:p w14:paraId="4352D490">
      <w:pPr>
        <w:spacing w:before="95" w:line="218" w:lineRule="auto"/>
        <w:ind w:left="550"/>
        <w:rPr>
          <w:rFonts w:ascii="宋体" w:hAnsi="宋体" w:eastAsia="宋体" w:cs="宋体"/>
          <w:sz w:val="27"/>
          <w:szCs w:val="27"/>
        </w:rPr>
      </w:pPr>
      <w:r>
        <w:rPr>
          <w:rFonts w:ascii="宋体" w:hAnsi="宋体" w:eastAsia="宋体" w:cs="宋体"/>
          <w:spacing w:val="4"/>
          <w:sz w:val="27"/>
          <w:szCs w:val="27"/>
        </w:rPr>
        <w:t>评价被试品在下列方面能够满足被试品可用性和战时使用要求的程度：</w:t>
      </w:r>
    </w:p>
    <w:p w14:paraId="18FC09C4">
      <w:pPr>
        <w:spacing w:before="65" w:line="262" w:lineRule="auto"/>
        <w:ind w:right="102" w:firstLine="550"/>
        <w:rPr>
          <w:rFonts w:ascii="宋体" w:hAnsi="宋体" w:eastAsia="宋体" w:cs="宋体"/>
          <w:sz w:val="27"/>
          <w:szCs w:val="27"/>
        </w:rPr>
      </w:pPr>
      <w:r>
        <w:rPr>
          <w:rFonts w:ascii="Times New Roman" w:hAnsi="Times New Roman" w:eastAsia="Times New Roman" w:cs="Times New Roman"/>
          <w:spacing w:val="-11"/>
          <w:sz w:val="27"/>
          <w:szCs w:val="27"/>
        </w:rPr>
        <w:t xml:space="preserve">a)  </w:t>
      </w:r>
      <w:r>
        <w:rPr>
          <w:rFonts w:ascii="宋体" w:hAnsi="宋体" w:eastAsia="宋体" w:cs="宋体"/>
          <w:spacing w:val="-11"/>
          <w:sz w:val="27"/>
          <w:szCs w:val="27"/>
        </w:rPr>
        <w:t>保障设备的完备、齐套情况，主要包括：1)测试、测量和检测设备；2)训练</w:t>
      </w:r>
      <w:r>
        <w:rPr>
          <w:rFonts w:ascii="宋体" w:hAnsi="宋体" w:eastAsia="宋体" w:cs="宋体"/>
          <w:spacing w:val="5"/>
          <w:sz w:val="27"/>
          <w:szCs w:val="27"/>
        </w:rPr>
        <w:t xml:space="preserve"> </w:t>
      </w:r>
      <w:r>
        <w:rPr>
          <w:rFonts w:ascii="宋体" w:hAnsi="宋体" w:eastAsia="宋体" w:cs="宋体"/>
          <w:spacing w:val="-2"/>
          <w:sz w:val="27"/>
          <w:szCs w:val="27"/>
        </w:rPr>
        <w:t>和训练保障设备；3)维修、维护设备和工具；4</w:t>
      </w:r>
      <w:r>
        <w:rPr>
          <w:rFonts w:ascii="宋体" w:hAnsi="宋体" w:eastAsia="宋体" w:cs="宋体"/>
          <w:spacing w:val="-3"/>
          <w:sz w:val="27"/>
          <w:szCs w:val="27"/>
        </w:rPr>
        <w:t>)装卸设备和工具；5)配件与修理</w:t>
      </w:r>
      <w:r>
        <w:rPr>
          <w:rFonts w:ascii="宋体" w:hAnsi="宋体" w:eastAsia="宋体" w:cs="宋体"/>
          <w:sz w:val="27"/>
          <w:szCs w:val="27"/>
        </w:rPr>
        <w:t xml:space="preserve"> </w:t>
      </w:r>
      <w:r>
        <w:rPr>
          <w:rFonts w:ascii="宋体" w:hAnsi="宋体" w:eastAsia="宋体" w:cs="宋体"/>
          <w:spacing w:val="-2"/>
          <w:sz w:val="27"/>
          <w:szCs w:val="27"/>
        </w:rPr>
        <w:t>件等。</w:t>
      </w:r>
    </w:p>
    <w:p w14:paraId="2F3E2667">
      <w:pPr>
        <w:spacing w:before="59"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备附件的供应满足率。</w:t>
      </w:r>
    </w:p>
    <w:p w14:paraId="67FA0A0B">
      <w:pPr>
        <w:spacing w:before="10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72"/>
          <w:sz w:val="27"/>
          <w:szCs w:val="27"/>
        </w:rPr>
        <w:t xml:space="preserve"> </w:t>
      </w:r>
      <w:r>
        <w:rPr>
          <w:rFonts w:ascii="宋体" w:hAnsi="宋体" w:eastAsia="宋体" w:cs="宋体"/>
          <w:spacing w:val="-4"/>
          <w:sz w:val="27"/>
          <w:szCs w:val="27"/>
        </w:rPr>
        <w:t>技术资料的完整、准确和适用性。</w:t>
      </w:r>
    </w:p>
    <w:p w14:paraId="1D22B98F">
      <w:pPr>
        <w:spacing w:before="8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计算机资源保障。</w:t>
      </w:r>
    </w:p>
    <w:p w14:paraId="519EFDEF">
      <w:pPr>
        <w:spacing w:before="100" w:line="212" w:lineRule="auto"/>
        <w:ind w:left="550"/>
        <w:rPr>
          <w:rFonts w:ascii="宋体" w:hAnsi="宋体" w:eastAsia="宋体" w:cs="宋体"/>
          <w:sz w:val="27"/>
          <w:szCs w:val="27"/>
        </w:rPr>
      </w:pPr>
      <w:r>
        <w:rPr>
          <w:rFonts w:ascii="Times New Roman" w:hAnsi="Times New Roman" w:eastAsia="Times New Roman" w:cs="Times New Roman"/>
          <w:spacing w:val="2"/>
          <w:sz w:val="27"/>
          <w:szCs w:val="27"/>
        </w:rPr>
        <w:t>e)</w:t>
      </w:r>
      <w:r>
        <w:rPr>
          <w:rFonts w:ascii="Times New Roman" w:hAnsi="Times New Roman" w:eastAsia="Times New Roman" w:cs="Times New Roman"/>
          <w:spacing w:val="62"/>
          <w:w w:val="101"/>
          <w:sz w:val="27"/>
          <w:szCs w:val="27"/>
        </w:rPr>
        <w:t xml:space="preserve"> </w:t>
      </w:r>
      <w:r>
        <w:rPr>
          <w:rFonts w:ascii="宋体" w:hAnsi="宋体" w:eastAsia="宋体" w:cs="宋体"/>
          <w:spacing w:val="2"/>
          <w:sz w:val="27"/>
          <w:szCs w:val="27"/>
        </w:rPr>
        <w:t>保障设施。</w:t>
      </w:r>
    </w:p>
    <w:p w14:paraId="2DA00DC8">
      <w:pPr>
        <w:spacing w:before="142" w:line="212" w:lineRule="auto"/>
        <w:ind w:left="550"/>
        <w:rPr>
          <w:rFonts w:ascii="宋体" w:hAnsi="宋体" w:eastAsia="宋体" w:cs="宋体"/>
          <w:sz w:val="24"/>
          <w:szCs w:val="24"/>
        </w:rPr>
      </w:pPr>
      <w:r>
        <w:rPr>
          <w:rFonts w:ascii="Times New Roman" w:hAnsi="Times New Roman" w:eastAsia="Times New Roman" w:cs="Times New Roman"/>
          <w:spacing w:val="20"/>
          <w:sz w:val="24"/>
          <w:szCs w:val="24"/>
        </w:rPr>
        <w:t>f)</w:t>
      </w:r>
      <w:r>
        <w:rPr>
          <w:rFonts w:ascii="Times New Roman" w:hAnsi="Times New Roman" w:eastAsia="Times New Roman" w:cs="Times New Roman"/>
          <w:spacing w:val="24"/>
          <w:w w:val="101"/>
          <w:sz w:val="24"/>
          <w:szCs w:val="24"/>
        </w:rPr>
        <w:t xml:space="preserve">  </w:t>
      </w:r>
      <w:r>
        <w:rPr>
          <w:rFonts w:ascii="宋体" w:hAnsi="宋体" w:eastAsia="宋体" w:cs="宋体"/>
          <w:spacing w:val="20"/>
          <w:sz w:val="24"/>
          <w:szCs w:val="24"/>
        </w:rPr>
        <w:t>人员要求。</w:t>
      </w:r>
    </w:p>
    <w:p w14:paraId="19187F9C">
      <w:pPr>
        <w:spacing w:before="91" w:line="212" w:lineRule="auto"/>
        <w:ind w:left="550"/>
        <w:rPr>
          <w:rFonts w:ascii="宋体" w:hAnsi="宋体" w:eastAsia="宋体" w:cs="宋体"/>
          <w:sz w:val="27"/>
          <w:szCs w:val="27"/>
        </w:rPr>
      </w:pPr>
      <w:r>
        <w:rPr>
          <w:rFonts w:ascii="Times New Roman" w:hAnsi="Times New Roman" w:eastAsia="Times New Roman" w:cs="Times New Roman"/>
          <w:spacing w:val="8"/>
          <w:sz w:val="27"/>
          <w:szCs w:val="27"/>
        </w:rPr>
        <w:t>g</w:t>
      </w:r>
      <w:r>
        <w:rPr>
          <w:rFonts w:ascii="Times New Roman" w:hAnsi="Times New Roman" w:eastAsia="Times New Roman" w:cs="Times New Roman"/>
          <w:spacing w:val="-20"/>
          <w:sz w:val="27"/>
          <w:szCs w:val="27"/>
        </w:rPr>
        <w:t xml:space="preserve"> </w:t>
      </w:r>
      <w:r>
        <w:rPr>
          <w:rFonts w:ascii="宋体" w:hAnsi="宋体" w:eastAsia="宋体" w:cs="宋体"/>
          <w:spacing w:val="8"/>
          <w:sz w:val="27"/>
          <w:szCs w:val="27"/>
        </w:rPr>
        <w:t>)运输要求。</w:t>
      </w:r>
    </w:p>
    <w:p w14:paraId="51168170">
      <w:pPr>
        <w:spacing w:before="133" w:line="212" w:lineRule="auto"/>
        <w:ind w:left="550"/>
        <w:rPr>
          <w:rFonts w:ascii="宋体" w:hAnsi="宋体" w:eastAsia="宋体" w:cs="宋体"/>
          <w:sz w:val="24"/>
          <w:szCs w:val="24"/>
        </w:rPr>
      </w:pPr>
      <w:r>
        <w:rPr>
          <w:rFonts w:ascii="Times New Roman" w:hAnsi="Times New Roman" w:eastAsia="Times New Roman" w:cs="Times New Roman"/>
          <w:spacing w:val="19"/>
          <w:sz w:val="24"/>
          <w:szCs w:val="24"/>
        </w:rPr>
        <w:t>h)</w:t>
      </w:r>
      <w:r>
        <w:rPr>
          <w:rFonts w:ascii="Times New Roman" w:hAnsi="Times New Roman" w:eastAsia="Times New Roman" w:cs="Times New Roman"/>
          <w:spacing w:val="28"/>
          <w:sz w:val="24"/>
          <w:szCs w:val="24"/>
        </w:rPr>
        <w:t xml:space="preserve">  </w:t>
      </w:r>
      <w:r>
        <w:rPr>
          <w:rFonts w:ascii="宋体" w:hAnsi="宋体" w:eastAsia="宋体" w:cs="宋体"/>
          <w:spacing w:val="19"/>
          <w:sz w:val="24"/>
          <w:szCs w:val="24"/>
        </w:rPr>
        <w:t>训练要求。</w:t>
      </w:r>
    </w:p>
    <w:p w14:paraId="1EAF2DB7">
      <w:pPr>
        <w:spacing w:before="92" w:line="212" w:lineRule="auto"/>
        <w:ind w:left="550"/>
        <w:rPr>
          <w:rFonts w:ascii="宋体" w:hAnsi="宋体" w:eastAsia="宋体" w:cs="宋体"/>
          <w:sz w:val="27"/>
          <w:szCs w:val="27"/>
        </w:rPr>
      </w:pPr>
      <w:r>
        <w:rPr>
          <w:rFonts w:ascii="Times New Roman" w:hAnsi="Times New Roman" w:eastAsia="Times New Roman" w:cs="Times New Roman"/>
          <w:sz w:val="27"/>
          <w:szCs w:val="27"/>
        </w:rPr>
        <w:t>i)</w:t>
      </w:r>
      <w:r>
        <w:rPr>
          <w:rFonts w:ascii="Times New Roman" w:hAnsi="Times New Roman" w:eastAsia="Times New Roman" w:cs="Times New Roman"/>
          <w:spacing w:val="12"/>
          <w:sz w:val="27"/>
          <w:szCs w:val="27"/>
        </w:rPr>
        <w:t xml:space="preserve">  </w:t>
      </w:r>
      <w:r>
        <w:rPr>
          <w:rFonts w:ascii="宋体" w:hAnsi="宋体" w:eastAsia="宋体" w:cs="宋体"/>
          <w:sz w:val="27"/>
          <w:szCs w:val="27"/>
        </w:rPr>
        <w:t>软件保障性。</w:t>
      </w:r>
    </w:p>
    <w:p w14:paraId="46B581ED">
      <w:pPr>
        <w:spacing w:before="11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j)</w:t>
      </w:r>
      <w:r>
        <w:rPr>
          <w:rFonts w:ascii="Times New Roman" w:hAnsi="Times New Roman" w:eastAsia="Times New Roman" w:cs="Times New Roman"/>
          <w:spacing w:val="56"/>
          <w:sz w:val="27"/>
          <w:szCs w:val="27"/>
        </w:rPr>
        <w:t xml:space="preserve"> </w:t>
      </w:r>
      <w:r>
        <w:rPr>
          <w:rFonts w:ascii="宋体" w:hAnsi="宋体" w:eastAsia="宋体" w:cs="宋体"/>
          <w:spacing w:val="5"/>
          <w:sz w:val="27"/>
          <w:szCs w:val="27"/>
        </w:rPr>
        <w:t>保障工作量及难易程度。</w:t>
      </w:r>
    </w:p>
    <w:p w14:paraId="63778CC9">
      <w:pPr>
        <w:spacing w:line="212" w:lineRule="auto"/>
        <w:rPr>
          <w:rFonts w:ascii="宋体" w:hAnsi="宋体" w:eastAsia="宋体" w:cs="宋体"/>
          <w:sz w:val="27"/>
          <w:szCs w:val="27"/>
        </w:rPr>
        <w:sectPr>
          <w:footerReference r:id="rId167" w:type="default"/>
          <w:pgSz w:w="11910" w:h="17130"/>
          <w:pgMar w:top="400" w:right="994" w:bottom="1663" w:left="1430" w:header="0" w:footer="1465" w:gutter="0"/>
          <w:cols w:space="720" w:num="1"/>
        </w:sectPr>
      </w:pPr>
    </w:p>
    <w:p w14:paraId="6A3F81AE">
      <w:pPr>
        <w:pStyle w:val="2"/>
        <w:spacing w:line="249" w:lineRule="auto"/>
      </w:pPr>
    </w:p>
    <w:p w14:paraId="130E9A42">
      <w:pPr>
        <w:pStyle w:val="2"/>
        <w:spacing w:line="249" w:lineRule="auto"/>
      </w:pPr>
    </w:p>
    <w:p w14:paraId="193644CD">
      <w:pPr>
        <w:pStyle w:val="2"/>
        <w:spacing w:line="249" w:lineRule="auto"/>
      </w:pPr>
    </w:p>
    <w:p w14:paraId="432A387C">
      <w:pPr>
        <w:pStyle w:val="2"/>
        <w:spacing w:line="249" w:lineRule="auto"/>
      </w:pPr>
    </w:p>
    <w:p w14:paraId="67EF80C4">
      <w:pPr>
        <w:spacing w:before="88"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 xml:space="preserve">k)  </w:t>
      </w:r>
      <w:r>
        <w:rPr>
          <w:rFonts w:ascii="宋体" w:hAnsi="宋体" w:eastAsia="宋体" w:cs="宋体"/>
          <w:spacing w:val="-1"/>
          <w:sz w:val="27"/>
          <w:szCs w:val="27"/>
        </w:rPr>
        <w:t>与部队对现役装备管理、保障要求符合的</w:t>
      </w:r>
      <w:r>
        <w:rPr>
          <w:rFonts w:ascii="宋体" w:hAnsi="宋体" w:eastAsia="宋体" w:cs="宋体"/>
          <w:spacing w:val="-2"/>
          <w:sz w:val="27"/>
          <w:szCs w:val="27"/>
        </w:rPr>
        <w:t>程度评价等。</w:t>
      </w:r>
    </w:p>
    <w:p w14:paraId="4B79E8E9">
      <w:pPr>
        <w:spacing w:before="149" w:line="222" w:lineRule="auto"/>
        <w:rPr>
          <w:rFonts w:ascii="黑体" w:hAnsi="黑体" w:eastAsia="黑体" w:cs="黑体"/>
          <w:sz w:val="25"/>
          <w:szCs w:val="25"/>
        </w:rPr>
      </w:pPr>
      <w:r>
        <w:rPr>
          <w:rFonts w:ascii="黑体" w:hAnsi="黑体" w:eastAsia="黑体" w:cs="黑体"/>
          <w:spacing w:val="8"/>
          <w:sz w:val="25"/>
          <w:szCs w:val="25"/>
        </w:rPr>
        <w:t>4.2.5</w:t>
      </w:r>
      <w:r>
        <w:rPr>
          <w:rFonts w:ascii="黑体" w:hAnsi="黑体" w:eastAsia="黑体" w:cs="黑体"/>
          <w:spacing w:val="57"/>
          <w:sz w:val="25"/>
          <w:szCs w:val="25"/>
        </w:rPr>
        <w:t xml:space="preserve">  </w:t>
      </w:r>
      <w:r>
        <w:rPr>
          <w:rFonts w:ascii="黑体" w:hAnsi="黑体" w:eastAsia="黑体" w:cs="黑体"/>
          <w:spacing w:val="8"/>
          <w:sz w:val="25"/>
          <w:szCs w:val="25"/>
        </w:rPr>
        <w:t>兼容性</w:t>
      </w:r>
    </w:p>
    <w:p w14:paraId="11A6B911">
      <w:pPr>
        <w:spacing w:before="48" w:line="284" w:lineRule="auto"/>
        <w:ind w:right="7" w:firstLine="560"/>
        <w:rPr>
          <w:rFonts w:ascii="宋体" w:hAnsi="宋体" w:eastAsia="宋体" w:cs="宋体"/>
          <w:sz w:val="27"/>
          <w:szCs w:val="27"/>
        </w:rPr>
      </w:pPr>
      <w:r>
        <w:rPr>
          <w:rFonts w:ascii="宋体" w:hAnsi="宋体" w:eastAsia="宋体" w:cs="宋体"/>
          <w:spacing w:val="14"/>
          <w:sz w:val="27"/>
          <w:szCs w:val="27"/>
        </w:rPr>
        <w:t>评价被试品和其相关装备(设备)同时使用或相互服务而不互相干扰的能</w:t>
      </w:r>
      <w:r>
        <w:rPr>
          <w:rFonts w:ascii="宋体" w:hAnsi="宋体" w:eastAsia="宋体" w:cs="宋体"/>
          <w:spacing w:val="4"/>
          <w:sz w:val="27"/>
          <w:szCs w:val="27"/>
        </w:rPr>
        <w:t xml:space="preserve"> </w:t>
      </w:r>
      <w:r>
        <w:rPr>
          <w:rFonts w:ascii="宋体" w:hAnsi="宋体" w:eastAsia="宋体" w:cs="宋体"/>
          <w:spacing w:val="-18"/>
          <w:sz w:val="27"/>
          <w:szCs w:val="27"/>
        </w:rPr>
        <w:t>力，主要包括：</w:t>
      </w:r>
    </w:p>
    <w:p w14:paraId="3BD7F0D8">
      <w:pPr>
        <w:spacing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成系统试用时全系统的匹配性、协调性；</w:t>
      </w:r>
    </w:p>
    <w:p w14:paraId="6EA6D035">
      <w:pPr>
        <w:spacing w:before="90"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b)</w:t>
      </w:r>
      <w:r>
        <w:rPr>
          <w:rFonts w:ascii="Times New Roman" w:hAnsi="Times New Roman" w:eastAsia="Times New Roman" w:cs="Times New Roman"/>
          <w:spacing w:val="66"/>
          <w:sz w:val="27"/>
          <w:szCs w:val="27"/>
        </w:rPr>
        <w:t xml:space="preserve"> </w:t>
      </w:r>
      <w:r>
        <w:rPr>
          <w:rFonts w:ascii="宋体" w:hAnsi="宋体" w:eastAsia="宋体" w:cs="宋体"/>
          <w:spacing w:val="-1"/>
          <w:sz w:val="27"/>
          <w:szCs w:val="27"/>
        </w:rPr>
        <w:t>在实际的自然环境、电磁环境下正常使用的程度；</w:t>
      </w:r>
    </w:p>
    <w:p w14:paraId="519BEB0B">
      <w:pPr>
        <w:spacing w:before="90"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c)  </w:t>
      </w:r>
      <w:r>
        <w:rPr>
          <w:rFonts w:ascii="宋体" w:hAnsi="宋体" w:eastAsia="宋体" w:cs="宋体"/>
          <w:spacing w:val="-4"/>
          <w:sz w:val="27"/>
          <w:szCs w:val="27"/>
        </w:rPr>
        <w:t>与现役装备间的互连、互通和互操作；</w:t>
      </w:r>
    </w:p>
    <w:p w14:paraId="073AD482">
      <w:pPr>
        <w:spacing w:before="100" w:line="260" w:lineRule="auto"/>
        <w:ind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在其设计的所有气候条件下和规定的时限内，由穿戴全套个</w:t>
      </w:r>
      <w:r>
        <w:rPr>
          <w:rFonts w:ascii="宋体" w:hAnsi="宋体" w:eastAsia="宋体" w:cs="宋体"/>
          <w:spacing w:val="2"/>
          <w:sz w:val="27"/>
          <w:szCs w:val="27"/>
        </w:rPr>
        <w:t>人防护服的</w:t>
      </w:r>
      <w:r>
        <w:rPr>
          <w:rFonts w:ascii="宋体" w:hAnsi="宋体" w:eastAsia="宋体" w:cs="宋体"/>
          <w:sz w:val="27"/>
          <w:szCs w:val="27"/>
        </w:rPr>
        <w:t xml:space="preserve"> </w:t>
      </w:r>
      <w:r>
        <w:rPr>
          <w:rFonts w:ascii="宋体" w:hAnsi="宋体" w:eastAsia="宋体" w:cs="宋体"/>
          <w:spacing w:val="-6"/>
          <w:sz w:val="27"/>
          <w:szCs w:val="27"/>
        </w:rPr>
        <w:t>人员操作、维修和补给的能力等。</w:t>
      </w:r>
    </w:p>
    <w:p w14:paraId="1FF0668C">
      <w:pPr>
        <w:spacing w:before="97" w:line="222" w:lineRule="auto"/>
        <w:rPr>
          <w:rFonts w:ascii="黑体" w:hAnsi="黑体" w:eastAsia="黑体" w:cs="黑体"/>
          <w:sz w:val="25"/>
          <w:szCs w:val="25"/>
        </w:rPr>
      </w:pPr>
      <w:r>
        <w:rPr>
          <w:rFonts w:ascii="黑体" w:hAnsi="黑体" w:eastAsia="黑体" w:cs="黑体"/>
          <w:spacing w:val="8"/>
          <w:sz w:val="25"/>
          <w:szCs w:val="25"/>
        </w:rPr>
        <w:t>4.2.6</w:t>
      </w:r>
      <w:r>
        <w:rPr>
          <w:rFonts w:ascii="黑体" w:hAnsi="黑体" w:eastAsia="黑体" w:cs="黑体"/>
          <w:spacing w:val="57"/>
          <w:sz w:val="25"/>
          <w:szCs w:val="25"/>
        </w:rPr>
        <w:t xml:space="preserve">  </w:t>
      </w:r>
      <w:r>
        <w:rPr>
          <w:rFonts w:ascii="黑体" w:hAnsi="黑体" w:eastAsia="黑体" w:cs="黑体"/>
          <w:spacing w:val="8"/>
          <w:sz w:val="25"/>
          <w:szCs w:val="25"/>
        </w:rPr>
        <w:t>机动性</w:t>
      </w:r>
    </w:p>
    <w:p w14:paraId="5DFCD059">
      <w:pPr>
        <w:spacing w:before="90" w:line="218" w:lineRule="auto"/>
        <w:ind w:left="560"/>
        <w:rPr>
          <w:rFonts w:ascii="宋体" w:hAnsi="宋体" w:eastAsia="宋体" w:cs="宋体"/>
          <w:sz w:val="27"/>
          <w:szCs w:val="27"/>
        </w:rPr>
      </w:pPr>
      <w:r>
        <w:rPr>
          <w:rFonts w:ascii="宋体" w:hAnsi="宋体" w:eastAsia="宋体" w:cs="宋体"/>
          <w:spacing w:val="-4"/>
          <w:sz w:val="27"/>
          <w:szCs w:val="27"/>
        </w:rPr>
        <w:t>评价被试品进行兵器机动的能力，主要包括：</w:t>
      </w:r>
    </w:p>
    <w:p w14:paraId="5F16E6F3">
      <w:pPr>
        <w:spacing w:before="73" w:line="268" w:lineRule="auto"/>
        <w:ind w:right="11" w:firstLine="560"/>
        <w:rPr>
          <w:rFonts w:ascii="宋体" w:hAnsi="宋体" w:eastAsia="宋体" w:cs="宋体"/>
          <w:sz w:val="25"/>
          <w:szCs w:val="25"/>
        </w:rPr>
      </w:pPr>
      <w:r>
        <w:rPr>
          <w:rFonts w:ascii="Times New Roman" w:hAnsi="Times New Roman" w:eastAsia="Times New Roman" w:cs="Times New Roman"/>
          <w:spacing w:val="14"/>
          <w:sz w:val="25"/>
          <w:szCs w:val="25"/>
        </w:rPr>
        <w:t xml:space="preserve">a)  </w:t>
      </w:r>
      <w:r>
        <w:rPr>
          <w:rFonts w:ascii="宋体" w:hAnsi="宋体" w:eastAsia="宋体" w:cs="宋体"/>
          <w:spacing w:val="14"/>
          <w:sz w:val="25"/>
          <w:szCs w:val="25"/>
        </w:rPr>
        <w:t>通过各种载体的运输能力，即靠人背马驮、牵引、自行或者载</w:t>
      </w:r>
      <w:r>
        <w:rPr>
          <w:rFonts w:ascii="宋体" w:hAnsi="宋体" w:eastAsia="宋体" w:cs="宋体"/>
          <w:spacing w:val="13"/>
          <w:sz w:val="25"/>
          <w:szCs w:val="25"/>
        </w:rPr>
        <w:t>体，通过铁</w:t>
      </w:r>
      <w:r>
        <w:rPr>
          <w:rFonts w:ascii="宋体" w:hAnsi="宋体" w:eastAsia="宋体" w:cs="宋体"/>
          <w:sz w:val="25"/>
          <w:szCs w:val="25"/>
        </w:rPr>
        <w:t xml:space="preserve"> </w:t>
      </w:r>
      <w:r>
        <w:rPr>
          <w:rFonts w:ascii="宋体" w:hAnsi="宋体" w:eastAsia="宋体" w:cs="宋体"/>
          <w:spacing w:val="1"/>
          <w:sz w:val="25"/>
          <w:szCs w:val="25"/>
        </w:rPr>
        <w:t>路、公路、水路、管道、海洋和航空等方式调运的能力；</w:t>
      </w:r>
    </w:p>
    <w:p w14:paraId="55418AF8">
      <w:pPr>
        <w:spacing w:before="74"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69"/>
          <w:sz w:val="27"/>
          <w:szCs w:val="27"/>
        </w:rPr>
        <w:t xml:space="preserve"> </w:t>
      </w:r>
      <w:r>
        <w:rPr>
          <w:rFonts w:ascii="宋体" w:hAnsi="宋体" w:eastAsia="宋体" w:cs="宋体"/>
          <w:spacing w:val="4"/>
          <w:sz w:val="27"/>
          <w:szCs w:val="27"/>
        </w:rPr>
        <w:t>实际使用中对各种地形的适行能力；</w:t>
      </w:r>
    </w:p>
    <w:p w14:paraId="608B2C65">
      <w:pPr>
        <w:spacing w:before="9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80"/>
          <w:sz w:val="27"/>
          <w:szCs w:val="27"/>
        </w:rPr>
        <w:t xml:space="preserve"> </w:t>
      </w:r>
      <w:r>
        <w:rPr>
          <w:rFonts w:ascii="宋体" w:hAnsi="宋体" w:eastAsia="宋体" w:cs="宋体"/>
          <w:spacing w:val="3"/>
          <w:sz w:val="27"/>
          <w:szCs w:val="27"/>
        </w:rPr>
        <w:t>行军和战斗状态间相互转换的速度和便捷性；</w:t>
      </w:r>
    </w:p>
    <w:p w14:paraId="5566CC4D">
      <w:pPr>
        <w:spacing w:before="9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机动对其作战使用性能的影响程度等。</w:t>
      </w:r>
    </w:p>
    <w:p w14:paraId="7A368002">
      <w:pPr>
        <w:spacing w:before="140" w:line="223" w:lineRule="auto"/>
        <w:rPr>
          <w:rFonts w:ascii="黑体" w:hAnsi="黑体" w:eastAsia="黑体" w:cs="黑体"/>
          <w:sz w:val="25"/>
          <w:szCs w:val="25"/>
        </w:rPr>
      </w:pPr>
      <w:r>
        <w:rPr>
          <w:rFonts w:ascii="黑体" w:hAnsi="黑体" w:eastAsia="黑体" w:cs="黑体"/>
          <w:spacing w:val="8"/>
          <w:sz w:val="25"/>
          <w:szCs w:val="25"/>
        </w:rPr>
        <w:t>4.2.7</w:t>
      </w:r>
      <w:r>
        <w:rPr>
          <w:rFonts w:ascii="黑体" w:hAnsi="黑体" w:eastAsia="黑体" w:cs="黑体"/>
          <w:spacing w:val="57"/>
          <w:sz w:val="25"/>
          <w:szCs w:val="25"/>
        </w:rPr>
        <w:t xml:space="preserve">  </w:t>
      </w:r>
      <w:r>
        <w:rPr>
          <w:rFonts w:ascii="黑体" w:hAnsi="黑体" w:eastAsia="黑体" w:cs="黑体"/>
          <w:spacing w:val="8"/>
          <w:sz w:val="25"/>
          <w:szCs w:val="25"/>
        </w:rPr>
        <w:t>安全性</w:t>
      </w:r>
    </w:p>
    <w:p w14:paraId="0E1F4710">
      <w:pPr>
        <w:spacing w:before="86" w:line="274" w:lineRule="auto"/>
        <w:ind w:right="9" w:firstLine="560"/>
        <w:rPr>
          <w:rFonts w:ascii="宋体" w:hAnsi="宋体" w:eastAsia="宋体" w:cs="宋体"/>
          <w:sz w:val="27"/>
          <w:szCs w:val="27"/>
        </w:rPr>
      </w:pPr>
      <w:r>
        <w:rPr>
          <w:rFonts w:ascii="宋体" w:hAnsi="宋体" w:eastAsia="宋体" w:cs="宋体"/>
          <w:spacing w:val="6"/>
          <w:sz w:val="27"/>
          <w:szCs w:val="27"/>
        </w:rPr>
        <w:t>通常在进行其他部分试用的同时，通过观察被</w:t>
      </w:r>
      <w:r>
        <w:rPr>
          <w:rFonts w:ascii="宋体" w:hAnsi="宋体" w:eastAsia="宋体" w:cs="宋体"/>
          <w:spacing w:val="5"/>
          <w:sz w:val="27"/>
          <w:szCs w:val="27"/>
        </w:rPr>
        <w:t>试品的使用和维修来评价被</w:t>
      </w:r>
      <w:r>
        <w:rPr>
          <w:rFonts w:ascii="宋体" w:hAnsi="宋体" w:eastAsia="宋体" w:cs="宋体"/>
          <w:sz w:val="27"/>
          <w:szCs w:val="27"/>
        </w:rPr>
        <w:t xml:space="preserve"> </w:t>
      </w:r>
      <w:r>
        <w:rPr>
          <w:rFonts w:ascii="宋体" w:hAnsi="宋体" w:eastAsia="宋体" w:cs="宋体"/>
          <w:spacing w:val="-1"/>
          <w:sz w:val="27"/>
          <w:szCs w:val="27"/>
        </w:rPr>
        <w:t>试品在模拟战场环境条件下实际使用的安全程度，主要包括：</w:t>
      </w:r>
    </w:p>
    <w:p w14:paraId="74B3BCF2">
      <w:pPr>
        <w:spacing w:line="212" w:lineRule="auto"/>
        <w:ind w:left="560"/>
        <w:rPr>
          <w:rFonts w:ascii="宋体" w:hAnsi="宋体" w:eastAsia="宋体" w:cs="宋体"/>
          <w:sz w:val="27"/>
          <w:szCs w:val="27"/>
        </w:rPr>
      </w:pPr>
      <w:r>
        <w:rPr>
          <w:rFonts w:ascii="Times New Roman" w:hAnsi="Times New Roman" w:eastAsia="Times New Roman" w:cs="Times New Roman"/>
          <w:spacing w:val="-6"/>
          <w:sz w:val="27"/>
          <w:szCs w:val="27"/>
        </w:rPr>
        <w:t xml:space="preserve">a)  </w:t>
      </w:r>
      <w:r>
        <w:rPr>
          <w:rFonts w:ascii="宋体" w:hAnsi="宋体" w:eastAsia="宋体" w:cs="宋体"/>
          <w:spacing w:val="-6"/>
          <w:sz w:val="27"/>
          <w:szCs w:val="27"/>
        </w:rPr>
        <w:t>可能造成部队使用人员死亡、伤害、职业疾病的程度；</w:t>
      </w:r>
    </w:p>
    <w:p w14:paraId="0C6B6350">
      <w:pPr>
        <w:spacing w:before="8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可能造成设备或财产损坏或损失的程度；</w:t>
      </w:r>
    </w:p>
    <w:p w14:paraId="11A7DB24">
      <w:pPr>
        <w:spacing w:before="160" w:line="220" w:lineRule="auto"/>
        <w:ind w:left="560"/>
        <w:rPr>
          <w:rFonts w:ascii="宋体" w:hAnsi="宋体" w:eastAsia="宋体" w:cs="宋体"/>
          <w:sz w:val="24"/>
          <w:szCs w:val="24"/>
        </w:rPr>
      </w:pPr>
      <w:r>
        <w:rPr>
          <w:rFonts w:ascii="Times New Roman" w:hAnsi="Times New Roman" w:eastAsia="Times New Roman" w:cs="Times New Roman"/>
          <w:spacing w:val="28"/>
          <w:sz w:val="24"/>
          <w:szCs w:val="24"/>
        </w:rPr>
        <w:t>c</w:t>
      </w:r>
      <w:r>
        <w:rPr>
          <w:rFonts w:ascii="宋体" w:hAnsi="宋体" w:eastAsia="宋体" w:cs="宋体"/>
          <w:spacing w:val="28"/>
          <w:sz w:val="24"/>
          <w:szCs w:val="24"/>
        </w:rPr>
        <w:t>)</w:t>
      </w:r>
      <w:r>
        <w:rPr>
          <w:rFonts w:ascii="宋体" w:hAnsi="宋体" w:eastAsia="宋体" w:cs="宋体"/>
          <w:spacing w:val="-10"/>
          <w:sz w:val="24"/>
          <w:szCs w:val="24"/>
        </w:rPr>
        <w:t xml:space="preserve"> </w:t>
      </w:r>
      <w:r>
        <w:rPr>
          <w:rFonts w:ascii="宋体" w:hAnsi="宋体" w:eastAsia="宋体" w:cs="宋体"/>
          <w:spacing w:val="28"/>
          <w:sz w:val="24"/>
          <w:szCs w:val="24"/>
        </w:rPr>
        <w:t>可能造成危害环境的程度；</w:t>
      </w:r>
    </w:p>
    <w:p w14:paraId="778A58F4">
      <w:pPr>
        <w:spacing w:before="83" w:line="257" w:lineRule="auto"/>
        <w:ind w:right="11" w:firstLine="560"/>
        <w:rPr>
          <w:rFonts w:ascii="宋体" w:hAnsi="宋体" w:eastAsia="宋体" w:cs="宋体"/>
          <w:sz w:val="27"/>
          <w:szCs w:val="27"/>
        </w:rPr>
      </w:pPr>
      <w:r>
        <w:rPr>
          <w:rFonts w:ascii="Times New Roman" w:hAnsi="Times New Roman" w:eastAsia="Times New Roman" w:cs="Times New Roman"/>
          <w:spacing w:val="10"/>
          <w:sz w:val="27"/>
          <w:szCs w:val="27"/>
        </w:rPr>
        <w:t xml:space="preserve">d)  </w:t>
      </w:r>
      <w:r>
        <w:rPr>
          <w:rFonts w:ascii="宋体" w:hAnsi="宋体" w:eastAsia="宋体" w:cs="宋体"/>
          <w:spacing w:val="10"/>
          <w:sz w:val="27"/>
          <w:szCs w:val="27"/>
        </w:rPr>
        <w:t>使用注意事项和警示标志、提示等便于使用者观察、理解和明确的程</w:t>
      </w:r>
      <w:r>
        <w:rPr>
          <w:rFonts w:ascii="宋体" w:hAnsi="宋体" w:eastAsia="宋体" w:cs="宋体"/>
          <w:spacing w:val="18"/>
          <w:sz w:val="27"/>
          <w:szCs w:val="27"/>
        </w:rPr>
        <w:t xml:space="preserve"> </w:t>
      </w:r>
      <w:r>
        <w:rPr>
          <w:rFonts w:ascii="宋体" w:hAnsi="宋体" w:eastAsia="宋体" w:cs="宋体"/>
          <w:spacing w:val="-4"/>
          <w:sz w:val="27"/>
          <w:szCs w:val="27"/>
        </w:rPr>
        <w:t>度等。</w:t>
      </w:r>
    </w:p>
    <w:p w14:paraId="761CC604">
      <w:pPr>
        <w:spacing w:before="87" w:line="294" w:lineRule="auto"/>
        <w:ind w:right="1146" w:firstLine="560"/>
        <w:rPr>
          <w:rFonts w:ascii="黑体" w:hAnsi="黑体" w:eastAsia="黑体" w:cs="黑体"/>
          <w:sz w:val="24"/>
          <w:szCs w:val="24"/>
        </w:rPr>
      </w:pPr>
      <w:r>
        <w:rPr>
          <w:rFonts w:ascii="宋体" w:hAnsi="宋体" w:eastAsia="宋体" w:cs="宋体"/>
          <w:spacing w:val="4"/>
          <w:sz w:val="27"/>
          <w:szCs w:val="27"/>
        </w:rPr>
        <w:t>可采用规定的危险严重性等级和危险可能性等级进行综合评价。</w:t>
      </w:r>
      <w:r>
        <w:rPr>
          <w:rFonts w:ascii="宋体" w:hAnsi="宋体" w:eastAsia="宋体" w:cs="宋体"/>
          <w:spacing w:val="11"/>
          <w:sz w:val="27"/>
          <w:szCs w:val="27"/>
        </w:rPr>
        <w:t xml:space="preserve"> </w:t>
      </w:r>
      <w:r>
        <w:rPr>
          <w:rFonts w:ascii="黑体" w:hAnsi="黑体" w:eastAsia="黑体" w:cs="黑体"/>
          <w:spacing w:val="13"/>
          <w:sz w:val="24"/>
          <w:szCs w:val="24"/>
        </w:rPr>
        <w:t>4.2.8</w:t>
      </w:r>
      <w:r>
        <w:rPr>
          <w:rFonts w:ascii="黑体" w:hAnsi="黑体" w:eastAsia="黑体" w:cs="黑体"/>
          <w:spacing w:val="10"/>
          <w:sz w:val="24"/>
          <w:szCs w:val="24"/>
        </w:rPr>
        <w:t xml:space="preserve">   </w:t>
      </w:r>
      <w:r>
        <w:rPr>
          <w:rFonts w:ascii="黑体" w:hAnsi="黑体" w:eastAsia="黑体" w:cs="黑体"/>
          <w:spacing w:val="13"/>
          <w:sz w:val="24"/>
          <w:szCs w:val="24"/>
        </w:rPr>
        <w:t>人机工程</w:t>
      </w:r>
    </w:p>
    <w:p w14:paraId="1AC66980">
      <w:pPr>
        <w:spacing w:before="18" w:line="218" w:lineRule="auto"/>
        <w:ind w:left="560"/>
        <w:rPr>
          <w:rFonts w:ascii="宋体" w:hAnsi="宋体" w:eastAsia="宋体" w:cs="宋体"/>
          <w:sz w:val="27"/>
          <w:szCs w:val="27"/>
        </w:rPr>
      </w:pPr>
      <w:r>
        <w:rPr>
          <w:rFonts w:ascii="宋体" w:hAnsi="宋体" w:eastAsia="宋体" w:cs="宋体"/>
          <w:sz w:val="27"/>
          <w:szCs w:val="27"/>
        </w:rPr>
        <w:t>评价被试品在人机环境方面是否满足作战使用和勤务要求，主要包括：</w:t>
      </w:r>
    </w:p>
    <w:p w14:paraId="30022A9E">
      <w:pPr>
        <w:spacing w:before="63"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在野战环境条件下使用时人机环境</w:t>
      </w:r>
      <w:r>
        <w:rPr>
          <w:rFonts w:ascii="宋体" w:hAnsi="宋体" w:eastAsia="宋体" w:cs="宋体"/>
          <w:spacing w:val="3"/>
          <w:sz w:val="27"/>
          <w:szCs w:val="27"/>
        </w:rPr>
        <w:t>的舒适性和适应性程度；</w:t>
      </w:r>
    </w:p>
    <w:p w14:paraId="2A3DE832">
      <w:pPr>
        <w:spacing w:before="100"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 xml:space="preserve">b)  </w:t>
      </w:r>
      <w:r>
        <w:rPr>
          <w:rFonts w:ascii="宋体" w:hAnsi="宋体" w:eastAsia="宋体" w:cs="宋体"/>
          <w:spacing w:val="-5"/>
          <w:sz w:val="27"/>
          <w:szCs w:val="27"/>
        </w:rPr>
        <w:t>对部队操作人员、维修人员、保障人员工作能力的要求程度；</w:t>
      </w:r>
    </w:p>
    <w:p w14:paraId="347BAE18">
      <w:pPr>
        <w:spacing w:before="8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上述作业人员的工作负荷和疲劳率；</w:t>
      </w:r>
    </w:p>
    <w:p w14:paraId="0AABD82E">
      <w:pPr>
        <w:spacing w:before="100"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信息量、信息速率和作业速率是否超过极限；</w:t>
      </w:r>
    </w:p>
    <w:p w14:paraId="4AAD613D">
      <w:pPr>
        <w:spacing w:before="10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设计原因使作业人员出现差错的程度等。</w:t>
      </w:r>
    </w:p>
    <w:p w14:paraId="774A620F">
      <w:pPr>
        <w:pStyle w:val="2"/>
        <w:spacing w:before="51" w:line="368" w:lineRule="exact"/>
        <w:rPr>
          <w:rFonts w:ascii="黑体" w:hAnsi="黑体" w:eastAsia="黑体" w:cs="黑体"/>
          <w:sz w:val="27"/>
          <w:szCs w:val="27"/>
        </w:rPr>
      </w:pPr>
      <w:r>
        <w:rPr>
          <w:spacing w:val="1"/>
          <w:position w:val="1"/>
          <w:sz w:val="27"/>
          <w:szCs w:val="27"/>
        </w:rPr>
        <w:t xml:space="preserve">4.2.9     </w:t>
      </w:r>
      <w:r>
        <w:rPr>
          <w:rFonts w:ascii="黑体" w:hAnsi="黑体" w:eastAsia="黑体" w:cs="黑体"/>
          <w:spacing w:val="1"/>
          <w:position w:val="1"/>
          <w:sz w:val="27"/>
          <w:szCs w:val="27"/>
        </w:rPr>
        <w:t>生存性</w:t>
      </w:r>
    </w:p>
    <w:p w14:paraId="7DF4A8F6">
      <w:pPr>
        <w:spacing w:before="119" w:line="218" w:lineRule="auto"/>
        <w:ind w:right="9"/>
        <w:jc w:val="right"/>
        <w:rPr>
          <w:rFonts w:ascii="宋体" w:hAnsi="宋体" w:eastAsia="宋体" w:cs="宋体"/>
          <w:sz w:val="27"/>
          <w:szCs w:val="27"/>
        </w:rPr>
      </w:pPr>
      <w:r>
        <w:rPr>
          <w:rFonts w:ascii="宋体" w:hAnsi="宋体" w:eastAsia="宋体" w:cs="宋体"/>
          <w:spacing w:val="6"/>
          <w:sz w:val="27"/>
          <w:szCs w:val="27"/>
        </w:rPr>
        <w:t>评价被试品在不损失任务能力的前提下，避免</w:t>
      </w:r>
      <w:r>
        <w:rPr>
          <w:rFonts w:ascii="宋体" w:hAnsi="宋体" w:eastAsia="宋体" w:cs="宋体"/>
          <w:spacing w:val="5"/>
          <w:sz w:val="27"/>
          <w:szCs w:val="27"/>
        </w:rPr>
        <w:t>或承受敌方打击或各种环境</w:t>
      </w:r>
    </w:p>
    <w:p w14:paraId="304C1F41">
      <w:pPr>
        <w:spacing w:line="218" w:lineRule="auto"/>
        <w:rPr>
          <w:rFonts w:ascii="宋体" w:hAnsi="宋体" w:eastAsia="宋体" w:cs="宋体"/>
          <w:sz w:val="27"/>
          <w:szCs w:val="27"/>
        </w:rPr>
        <w:sectPr>
          <w:footerReference r:id="rId168" w:type="default"/>
          <w:pgSz w:w="11910" w:h="17130"/>
          <w:pgMar w:top="400" w:right="1258" w:bottom="1693" w:left="1259" w:header="0" w:footer="1494" w:gutter="0"/>
          <w:cols w:space="720" w:num="1"/>
        </w:sectPr>
      </w:pPr>
    </w:p>
    <w:p w14:paraId="54D55058">
      <w:pPr>
        <w:pStyle w:val="2"/>
        <w:spacing w:line="288" w:lineRule="auto"/>
      </w:pPr>
    </w:p>
    <w:p w14:paraId="1CD9E17C">
      <w:pPr>
        <w:pStyle w:val="2"/>
        <w:spacing w:line="288" w:lineRule="auto"/>
      </w:pPr>
    </w:p>
    <w:p w14:paraId="14F7FD0D">
      <w:pPr>
        <w:pStyle w:val="2"/>
        <w:spacing w:line="289" w:lineRule="auto"/>
      </w:pPr>
    </w:p>
    <w:p w14:paraId="65FBE549">
      <w:pPr>
        <w:pStyle w:val="2"/>
        <w:spacing w:line="289" w:lineRule="auto"/>
      </w:pPr>
    </w:p>
    <w:p w14:paraId="35555EB5">
      <w:pPr>
        <w:spacing w:before="88" w:line="219" w:lineRule="auto"/>
        <w:rPr>
          <w:rFonts w:ascii="宋体" w:hAnsi="宋体" w:eastAsia="宋体" w:cs="宋体"/>
          <w:sz w:val="27"/>
          <w:szCs w:val="27"/>
        </w:rPr>
      </w:pPr>
      <w:bookmarkStart w:id="114" w:name="bookmark366"/>
      <w:bookmarkEnd w:id="114"/>
      <w:r>
        <w:rPr>
          <w:rFonts w:ascii="宋体" w:hAnsi="宋体" w:eastAsia="宋体" w:cs="宋体"/>
          <w:spacing w:val="-12"/>
          <w:sz w:val="27"/>
          <w:szCs w:val="27"/>
        </w:rPr>
        <w:t>干扰的能力，主要包括：</w:t>
      </w:r>
    </w:p>
    <w:p w14:paraId="6897D13A">
      <w:pPr>
        <w:spacing w:before="62" w:line="212" w:lineRule="auto"/>
        <w:ind w:left="539"/>
        <w:rPr>
          <w:rFonts w:ascii="宋体" w:hAnsi="宋体" w:eastAsia="宋体" w:cs="宋体"/>
          <w:sz w:val="25"/>
          <w:szCs w:val="25"/>
        </w:rPr>
      </w:pPr>
      <w:r>
        <w:rPr>
          <w:rFonts w:ascii="Times New Roman" w:hAnsi="Times New Roman" w:eastAsia="Times New Roman" w:cs="Times New Roman"/>
          <w:spacing w:val="-1"/>
          <w:sz w:val="25"/>
          <w:szCs w:val="25"/>
        </w:rPr>
        <w:t>a)</w:t>
      </w:r>
      <w:r>
        <w:rPr>
          <w:rFonts w:ascii="Times New Roman" w:hAnsi="Times New Roman" w:eastAsia="Times New Roman" w:cs="Times New Roman"/>
          <w:spacing w:val="27"/>
          <w:sz w:val="25"/>
          <w:szCs w:val="25"/>
        </w:rPr>
        <w:t xml:space="preserve">  </w:t>
      </w:r>
      <w:r>
        <w:rPr>
          <w:rFonts w:ascii="宋体" w:hAnsi="宋体" w:eastAsia="宋体" w:cs="宋体"/>
          <w:spacing w:val="-1"/>
          <w:sz w:val="25"/>
          <w:szCs w:val="25"/>
        </w:rPr>
        <w:t>主动防御、规避、诱骗、修复等的能力；</w:t>
      </w:r>
    </w:p>
    <w:p w14:paraId="59BE349D">
      <w:pPr>
        <w:spacing w:before="111"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19"/>
          <w:w w:val="101"/>
          <w:sz w:val="27"/>
          <w:szCs w:val="27"/>
        </w:rPr>
        <w:t xml:space="preserve">  </w:t>
      </w:r>
      <w:r>
        <w:rPr>
          <w:rFonts w:ascii="宋体" w:hAnsi="宋体" w:eastAsia="宋体" w:cs="宋体"/>
          <w:spacing w:val="-4"/>
          <w:sz w:val="27"/>
          <w:szCs w:val="27"/>
        </w:rPr>
        <w:t>自救能力。</w:t>
      </w:r>
    </w:p>
    <w:p w14:paraId="26D0E58A">
      <w:pPr>
        <w:spacing w:before="124" w:line="222" w:lineRule="auto"/>
        <w:rPr>
          <w:rFonts w:ascii="黑体" w:hAnsi="黑体" w:eastAsia="黑体" w:cs="黑体"/>
          <w:sz w:val="24"/>
          <w:szCs w:val="24"/>
        </w:rPr>
      </w:pPr>
      <w:r>
        <w:rPr>
          <w:rFonts w:ascii="黑体" w:hAnsi="黑体" w:eastAsia="黑体" w:cs="黑体"/>
          <w:spacing w:val="26"/>
          <w:sz w:val="24"/>
          <w:szCs w:val="24"/>
        </w:rPr>
        <w:t>5</w:t>
      </w:r>
      <w:r>
        <w:rPr>
          <w:rFonts w:ascii="黑体" w:hAnsi="黑体" w:eastAsia="黑体" w:cs="黑体"/>
          <w:spacing w:val="36"/>
          <w:sz w:val="24"/>
          <w:szCs w:val="24"/>
        </w:rPr>
        <w:t xml:space="preserve">  </w:t>
      </w:r>
      <w:r>
        <w:rPr>
          <w:rFonts w:ascii="黑体" w:hAnsi="黑体" w:eastAsia="黑体" w:cs="黑体"/>
          <w:b/>
          <w:bCs/>
          <w:spacing w:val="26"/>
          <w:sz w:val="24"/>
          <w:szCs w:val="24"/>
        </w:rPr>
        <w:t>问题分析和改进建议</w:t>
      </w:r>
    </w:p>
    <w:p w14:paraId="0CD460CB">
      <w:pPr>
        <w:spacing w:before="109" w:line="273" w:lineRule="auto"/>
        <w:ind w:right="117" w:firstLine="539"/>
        <w:jc w:val="both"/>
        <w:rPr>
          <w:rFonts w:ascii="宋体" w:hAnsi="宋体" w:eastAsia="宋体" w:cs="宋体"/>
          <w:sz w:val="27"/>
          <w:szCs w:val="27"/>
        </w:rPr>
      </w:pPr>
      <w:r>
        <w:rPr>
          <w:rFonts w:ascii="宋体" w:hAnsi="宋体" w:eastAsia="宋体" w:cs="宋体"/>
          <w:spacing w:val="-3"/>
          <w:sz w:val="27"/>
          <w:szCs w:val="27"/>
        </w:rPr>
        <w:t>试用中发现的各种问题，解决的措施及结果，应详细填写在相应的试用问题</w:t>
      </w:r>
      <w:r>
        <w:rPr>
          <w:rFonts w:ascii="宋体" w:hAnsi="宋体" w:eastAsia="宋体" w:cs="宋体"/>
          <w:spacing w:val="1"/>
          <w:sz w:val="27"/>
          <w:szCs w:val="27"/>
        </w:rPr>
        <w:t xml:space="preserve"> </w:t>
      </w:r>
      <w:r>
        <w:rPr>
          <w:rFonts w:ascii="宋体" w:hAnsi="宋体" w:eastAsia="宋体" w:cs="宋体"/>
          <w:spacing w:val="-3"/>
          <w:sz w:val="27"/>
          <w:szCs w:val="27"/>
        </w:rPr>
        <w:t>统计表中，可以文字、图表或照片的形式逐一在报告中予以反映。通常包括以下</w:t>
      </w:r>
      <w:r>
        <w:rPr>
          <w:rFonts w:ascii="宋体" w:hAnsi="宋体" w:eastAsia="宋体" w:cs="宋体"/>
          <w:spacing w:val="11"/>
          <w:sz w:val="27"/>
          <w:szCs w:val="27"/>
        </w:rPr>
        <w:t xml:space="preserve"> </w:t>
      </w:r>
      <w:r>
        <w:rPr>
          <w:rFonts w:ascii="宋体" w:hAnsi="宋体" w:eastAsia="宋体" w:cs="宋体"/>
          <w:spacing w:val="-13"/>
          <w:sz w:val="27"/>
          <w:szCs w:val="27"/>
        </w:rPr>
        <w:t>内容：</w:t>
      </w:r>
    </w:p>
    <w:p w14:paraId="2F7F2E58">
      <w:pPr>
        <w:spacing w:before="2" w:line="256" w:lineRule="auto"/>
        <w:ind w:firstLine="539"/>
        <w:rPr>
          <w:rFonts w:ascii="宋体" w:hAnsi="宋体" w:eastAsia="宋体" w:cs="宋体"/>
          <w:sz w:val="27"/>
          <w:szCs w:val="27"/>
        </w:rPr>
      </w:pPr>
      <w:r>
        <w:rPr>
          <w:rFonts w:ascii="Times New Roman" w:hAnsi="Times New Roman" w:eastAsia="Times New Roman" w:cs="Times New Roman"/>
          <w:spacing w:val="6"/>
          <w:sz w:val="27"/>
          <w:szCs w:val="27"/>
        </w:rPr>
        <w:t xml:space="preserve">a)  </w:t>
      </w:r>
      <w:r>
        <w:rPr>
          <w:rFonts w:ascii="宋体" w:hAnsi="宋体" w:eastAsia="宋体" w:cs="宋体"/>
          <w:spacing w:val="6"/>
          <w:sz w:val="27"/>
          <w:szCs w:val="27"/>
        </w:rPr>
        <w:t>根据对试用实施情况和试用结果的综合分析，从训练和实战使用出发，</w:t>
      </w:r>
      <w:r>
        <w:rPr>
          <w:rFonts w:ascii="宋体" w:hAnsi="宋体" w:eastAsia="宋体" w:cs="宋体"/>
          <w:spacing w:val="9"/>
          <w:sz w:val="27"/>
          <w:szCs w:val="27"/>
        </w:rPr>
        <w:t xml:space="preserve"> </w:t>
      </w:r>
      <w:r>
        <w:rPr>
          <w:rFonts w:ascii="宋体" w:hAnsi="宋体" w:eastAsia="宋体" w:cs="宋体"/>
          <w:spacing w:val="2"/>
          <w:sz w:val="27"/>
          <w:szCs w:val="27"/>
        </w:rPr>
        <w:t>指出被试品存在的主要问题；</w:t>
      </w:r>
    </w:p>
    <w:p w14:paraId="13E1E072">
      <w:pPr>
        <w:spacing w:before="69"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80"/>
          <w:sz w:val="27"/>
          <w:szCs w:val="27"/>
        </w:rPr>
        <w:t xml:space="preserve"> </w:t>
      </w:r>
      <w:r>
        <w:rPr>
          <w:rFonts w:ascii="宋体" w:hAnsi="宋体" w:eastAsia="宋体" w:cs="宋体"/>
          <w:spacing w:val="3"/>
          <w:sz w:val="27"/>
          <w:szCs w:val="27"/>
        </w:rPr>
        <w:t>说明上述问题的处理情况及结果；</w:t>
      </w:r>
    </w:p>
    <w:p w14:paraId="503BC794">
      <w:pPr>
        <w:spacing w:before="80"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c)  </w:t>
      </w:r>
      <w:r>
        <w:rPr>
          <w:rFonts w:ascii="宋体" w:hAnsi="宋体" w:eastAsia="宋体" w:cs="宋体"/>
          <w:spacing w:val="4"/>
          <w:sz w:val="27"/>
          <w:szCs w:val="27"/>
        </w:rPr>
        <w:t>指出问题的产生属责任原因或技术原因；</w:t>
      </w:r>
    </w:p>
    <w:p w14:paraId="52D49BA5">
      <w:pPr>
        <w:spacing w:before="99"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d)</w:t>
      </w:r>
      <w:r>
        <w:rPr>
          <w:rFonts w:ascii="Times New Roman" w:hAnsi="Times New Roman" w:eastAsia="Times New Roman" w:cs="Times New Roman"/>
          <w:spacing w:val="71"/>
          <w:sz w:val="27"/>
          <w:szCs w:val="27"/>
        </w:rPr>
        <w:t xml:space="preserve"> </w:t>
      </w:r>
      <w:r>
        <w:rPr>
          <w:rFonts w:ascii="宋体" w:hAnsi="宋体" w:eastAsia="宋体" w:cs="宋体"/>
          <w:spacing w:val="4"/>
          <w:sz w:val="27"/>
          <w:szCs w:val="27"/>
        </w:rPr>
        <w:t>评估上述问题对被试品质量和部队使用的影响程度；</w:t>
      </w:r>
    </w:p>
    <w:p w14:paraId="4458FED6">
      <w:pPr>
        <w:spacing w:before="119" w:line="251" w:lineRule="auto"/>
        <w:ind w:right="102" w:firstLine="539"/>
        <w:rPr>
          <w:rFonts w:ascii="宋体" w:hAnsi="宋体" w:eastAsia="宋体" w:cs="宋体"/>
          <w:sz w:val="27"/>
          <w:szCs w:val="27"/>
        </w:rPr>
      </w:pPr>
      <w:r>
        <w:rPr>
          <w:rFonts w:ascii="Times New Roman" w:hAnsi="Times New Roman" w:eastAsia="Times New Roman" w:cs="Times New Roman"/>
          <w:spacing w:val="6"/>
          <w:sz w:val="27"/>
          <w:szCs w:val="27"/>
        </w:rPr>
        <w:t>e</w:t>
      </w:r>
      <w:r>
        <w:rPr>
          <w:rFonts w:ascii="宋体" w:hAnsi="宋体" w:eastAsia="宋体" w:cs="宋体"/>
          <w:spacing w:val="6"/>
          <w:sz w:val="27"/>
          <w:szCs w:val="27"/>
        </w:rPr>
        <w:t>)从训练和实战使用出发，提出被试品改进设计、保障和管理或补充试用</w:t>
      </w:r>
      <w:r>
        <w:rPr>
          <w:rFonts w:ascii="宋体" w:hAnsi="宋体" w:eastAsia="宋体" w:cs="宋体"/>
          <w:spacing w:val="8"/>
          <w:sz w:val="27"/>
          <w:szCs w:val="27"/>
        </w:rPr>
        <w:t xml:space="preserve"> </w:t>
      </w:r>
      <w:r>
        <w:rPr>
          <w:rFonts w:ascii="宋体" w:hAnsi="宋体" w:eastAsia="宋体" w:cs="宋体"/>
          <w:spacing w:val="-5"/>
          <w:sz w:val="27"/>
          <w:szCs w:val="27"/>
        </w:rPr>
        <w:t>的建议；</w:t>
      </w:r>
    </w:p>
    <w:p w14:paraId="45D8DFD3">
      <w:pPr>
        <w:spacing w:before="56" w:line="264" w:lineRule="auto"/>
        <w:ind w:right="102" w:firstLine="539"/>
        <w:rPr>
          <w:rFonts w:ascii="宋体" w:hAnsi="宋体" w:eastAsia="宋体" w:cs="宋体"/>
          <w:sz w:val="27"/>
          <w:szCs w:val="27"/>
        </w:rPr>
      </w:pPr>
      <w:r>
        <w:rPr>
          <w:rFonts w:ascii="Times New Roman" w:hAnsi="Times New Roman" w:eastAsia="Times New Roman" w:cs="Times New Roman"/>
          <w:spacing w:val="-3"/>
          <w:sz w:val="27"/>
          <w:szCs w:val="27"/>
        </w:rPr>
        <w:t xml:space="preserve">f)  </w:t>
      </w:r>
      <w:r>
        <w:rPr>
          <w:rFonts w:ascii="宋体" w:hAnsi="宋体" w:eastAsia="宋体" w:cs="宋体"/>
          <w:spacing w:val="-3"/>
          <w:sz w:val="27"/>
          <w:szCs w:val="27"/>
        </w:rPr>
        <w:t>简要说明陪试品、测试仪器和设备出</w:t>
      </w:r>
      <w:r>
        <w:rPr>
          <w:rFonts w:ascii="宋体" w:hAnsi="宋体" w:eastAsia="宋体" w:cs="宋体"/>
          <w:spacing w:val="-4"/>
          <w:sz w:val="27"/>
          <w:szCs w:val="27"/>
        </w:rPr>
        <w:t>现的问题、排除的故障、备份件的更</w:t>
      </w:r>
      <w:r>
        <w:rPr>
          <w:rFonts w:ascii="宋体" w:hAnsi="宋体" w:eastAsia="宋体" w:cs="宋体"/>
          <w:sz w:val="27"/>
          <w:szCs w:val="27"/>
        </w:rPr>
        <w:t xml:space="preserve"> </w:t>
      </w:r>
      <w:r>
        <w:rPr>
          <w:rFonts w:ascii="宋体" w:hAnsi="宋体" w:eastAsia="宋体" w:cs="宋体"/>
          <w:spacing w:val="3"/>
          <w:sz w:val="27"/>
          <w:szCs w:val="27"/>
        </w:rPr>
        <w:t>换和参数的调整等情况。</w:t>
      </w:r>
    </w:p>
    <w:p w14:paraId="11BDDCCC">
      <w:pPr>
        <w:spacing w:before="63" w:line="221"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4"/>
          <w:sz w:val="27"/>
          <w:szCs w:val="27"/>
        </w:rPr>
        <w:t xml:space="preserve">  </w:t>
      </w:r>
      <w:r>
        <w:rPr>
          <w:rFonts w:ascii="黑体" w:hAnsi="黑体" w:eastAsia="黑体" w:cs="黑体"/>
          <w:b/>
          <w:bCs/>
          <w:spacing w:val="2"/>
          <w:sz w:val="27"/>
          <w:szCs w:val="27"/>
        </w:rPr>
        <w:t>试用结论</w:t>
      </w:r>
    </w:p>
    <w:p w14:paraId="794ACE67">
      <w:pPr>
        <w:spacing w:before="92" w:line="276" w:lineRule="auto"/>
        <w:ind w:right="112" w:firstLine="539"/>
        <w:jc w:val="both"/>
        <w:rPr>
          <w:rFonts w:ascii="宋体" w:hAnsi="宋体" w:eastAsia="宋体" w:cs="宋体"/>
          <w:sz w:val="27"/>
          <w:szCs w:val="27"/>
        </w:rPr>
      </w:pPr>
      <w:r>
        <w:rPr>
          <w:rFonts w:ascii="宋体" w:hAnsi="宋体" w:eastAsia="宋体" w:cs="宋体"/>
          <w:spacing w:val="-3"/>
          <w:sz w:val="27"/>
          <w:szCs w:val="27"/>
        </w:rPr>
        <w:t>应根据试用实施情况、试用结果综合评价及存在问题，依据被试品的研制总</w:t>
      </w:r>
      <w:r>
        <w:rPr>
          <w:rFonts w:ascii="宋体" w:hAnsi="宋体" w:eastAsia="宋体" w:cs="宋体"/>
          <w:spacing w:val="10"/>
          <w:sz w:val="27"/>
          <w:szCs w:val="27"/>
        </w:rPr>
        <w:t xml:space="preserve"> </w:t>
      </w:r>
      <w:r>
        <w:rPr>
          <w:rFonts w:ascii="宋体" w:hAnsi="宋体" w:eastAsia="宋体" w:cs="宋体"/>
          <w:spacing w:val="-3"/>
          <w:sz w:val="27"/>
          <w:szCs w:val="27"/>
        </w:rPr>
        <w:t>要求、试用大纲、试用规程、试用实施计划等相关技术文件，给出综合的试用结</w:t>
      </w:r>
      <w:r>
        <w:rPr>
          <w:rFonts w:ascii="宋体" w:hAnsi="宋体" w:eastAsia="宋体" w:cs="宋体"/>
          <w:spacing w:val="9"/>
          <w:sz w:val="27"/>
          <w:szCs w:val="27"/>
        </w:rPr>
        <w:t xml:space="preserve"> </w:t>
      </w:r>
      <w:r>
        <w:rPr>
          <w:rFonts w:ascii="宋体" w:hAnsi="宋体" w:eastAsia="宋体" w:cs="宋体"/>
          <w:spacing w:val="-18"/>
          <w:sz w:val="27"/>
          <w:szCs w:val="27"/>
        </w:rPr>
        <w:t>论，通常应：</w:t>
      </w:r>
    </w:p>
    <w:p w14:paraId="675E773C">
      <w:pPr>
        <w:spacing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对被试品是否满足部队训练和作战使用要求作出综合结论；</w:t>
      </w:r>
    </w:p>
    <w:p w14:paraId="0D9575C1">
      <w:pPr>
        <w:spacing w:before="100"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80"/>
          <w:sz w:val="27"/>
          <w:szCs w:val="27"/>
        </w:rPr>
        <w:t xml:space="preserve"> </w:t>
      </w:r>
      <w:r>
        <w:rPr>
          <w:rFonts w:ascii="宋体" w:hAnsi="宋体" w:eastAsia="宋体" w:cs="宋体"/>
          <w:spacing w:val="3"/>
          <w:sz w:val="27"/>
          <w:szCs w:val="27"/>
        </w:rPr>
        <w:t>提出被试品能否设计定型的建议。</w:t>
      </w:r>
    </w:p>
    <w:p w14:paraId="74087CBA">
      <w:pPr>
        <w:pStyle w:val="2"/>
        <w:spacing w:before="134" w:line="221" w:lineRule="auto"/>
        <w:rPr>
          <w:rFonts w:ascii="黑体" w:hAnsi="黑体" w:eastAsia="黑体" w:cs="黑体"/>
          <w:sz w:val="25"/>
          <w:szCs w:val="25"/>
        </w:rPr>
      </w:pPr>
      <w:r>
        <w:rPr>
          <w:b/>
          <w:bCs/>
          <w:spacing w:val="10"/>
          <w:sz w:val="25"/>
          <w:szCs w:val="25"/>
        </w:rPr>
        <w:t xml:space="preserve">7    </w:t>
      </w:r>
      <w:r>
        <w:rPr>
          <w:rFonts w:ascii="黑体" w:hAnsi="黑体" w:eastAsia="黑体" w:cs="黑体"/>
          <w:b/>
          <w:bCs/>
          <w:spacing w:val="10"/>
          <w:sz w:val="25"/>
          <w:szCs w:val="25"/>
        </w:rPr>
        <w:t>关于编制、训练、作战使用和技术保</w:t>
      </w:r>
      <w:r>
        <w:rPr>
          <w:rFonts w:ascii="黑体" w:hAnsi="黑体" w:eastAsia="黑体" w:cs="黑体"/>
          <w:b/>
          <w:bCs/>
          <w:spacing w:val="9"/>
          <w:sz w:val="25"/>
          <w:szCs w:val="25"/>
        </w:rPr>
        <w:t>障等方面的意见和建议</w:t>
      </w:r>
    </w:p>
    <w:p w14:paraId="3BC99B76">
      <w:pPr>
        <w:spacing w:before="96" w:line="277" w:lineRule="auto"/>
        <w:ind w:right="119" w:firstLine="539"/>
        <w:jc w:val="both"/>
        <w:rPr>
          <w:rFonts w:ascii="宋体" w:hAnsi="宋体" w:eastAsia="宋体" w:cs="宋体"/>
          <w:sz w:val="27"/>
          <w:szCs w:val="27"/>
        </w:rPr>
      </w:pPr>
      <w:r>
        <w:rPr>
          <w:rFonts w:ascii="宋体" w:hAnsi="宋体" w:eastAsia="宋体" w:cs="宋体"/>
          <w:spacing w:val="5"/>
          <w:sz w:val="27"/>
          <w:szCs w:val="27"/>
        </w:rPr>
        <w:t>通过按初步计划的编配方案、作战使用训练和技术保障方法及要求等进行</w:t>
      </w:r>
      <w:r>
        <w:rPr>
          <w:rFonts w:ascii="宋体" w:hAnsi="宋体" w:eastAsia="宋体" w:cs="宋体"/>
          <w:spacing w:val="12"/>
          <w:sz w:val="27"/>
          <w:szCs w:val="27"/>
        </w:rPr>
        <w:t xml:space="preserve"> </w:t>
      </w:r>
      <w:r>
        <w:rPr>
          <w:rFonts w:ascii="宋体" w:hAnsi="宋体" w:eastAsia="宋体" w:cs="宋体"/>
          <w:spacing w:val="-3"/>
          <w:sz w:val="27"/>
          <w:szCs w:val="27"/>
        </w:rPr>
        <w:t>上述作战使用性能和部队适用性试用，探索并提出被试品列装后，使装备的作战</w:t>
      </w:r>
      <w:r>
        <w:rPr>
          <w:rFonts w:ascii="宋体" w:hAnsi="宋体" w:eastAsia="宋体" w:cs="宋体"/>
          <w:spacing w:val="9"/>
          <w:sz w:val="27"/>
          <w:szCs w:val="27"/>
        </w:rPr>
        <w:t xml:space="preserve"> </w:t>
      </w:r>
      <w:r>
        <w:rPr>
          <w:rFonts w:ascii="宋体" w:hAnsi="宋体" w:eastAsia="宋体" w:cs="宋体"/>
          <w:spacing w:val="-3"/>
          <w:sz w:val="27"/>
          <w:szCs w:val="27"/>
        </w:rPr>
        <w:t>使用性能和部队适用性达到最佳状态的编配方案、作战使用训练和技术保障、管</w:t>
      </w:r>
      <w:r>
        <w:rPr>
          <w:rFonts w:ascii="宋体" w:hAnsi="宋体" w:eastAsia="宋体" w:cs="宋体"/>
          <w:spacing w:val="8"/>
          <w:sz w:val="27"/>
          <w:szCs w:val="27"/>
        </w:rPr>
        <w:t xml:space="preserve"> </w:t>
      </w:r>
      <w:r>
        <w:rPr>
          <w:rFonts w:ascii="宋体" w:hAnsi="宋体" w:eastAsia="宋体" w:cs="宋体"/>
          <w:spacing w:val="4"/>
          <w:sz w:val="27"/>
          <w:szCs w:val="27"/>
        </w:rPr>
        <w:t>理方法及要求等方面的意见和建议。主要包括：</w:t>
      </w:r>
    </w:p>
    <w:p w14:paraId="53D2D071">
      <w:pPr>
        <w:spacing w:before="1" w:line="253" w:lineRule="auto"/>
        <w:ind w:right="122" w:firstLine="539"/>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被试品列装后需装备的部队类型、等级和部队装备的</w:t>
      </w:r>
      <w:r>
        <w:rPr>
          <w:rFonts w:ascii="宋体" w:hAnsi="宋体" w:eastAsia="宋体" w:cs="宋体"/>
          <w:spacing w:val="2"/>
          <w:sz w:val="27"/>
          <w:szCs w:val="27"/>
        </w:rPr>
        <w:t>标准及数量等装备</w:t>
      </w:r>
      <w:r>
        <w:rPr>
          <w:rFonts w:ascii="宋体" w:hAnsi="宋体" w:eastAsia="宋体" w:cs="宋体"/>
          <w:sz w:val="27"/>
          <w:szCs w:val="27"/>
        </w:rPr>
        <w:t xml:space="preserve"> 编配方案的意见和建议；</w:t>
      </w:r>
    </w:p>
    <w:p w14:paraId="33A575DA">
      <w:pPr>
        <w:spacing w:before="91" w:line="260" w:lineRule="auto"/>
        <w:ind w:right="124" w:firstLine="539"/>
        <w:rPr>
          <w:rFonts w:ascii="宋体" w:hAnsi="宋体" w:eastAsia="宋体" w:cs="宋体"/>
          <w:sz w:val="25"/>
          <w:szCs w:val="25"/>
        </w:rPr>
      </w:pPr>
      <w:r>
        <w:rPr>
          <w:rFonts w:ascii="Times New Roman" w:hAnsi="Times New Roman" w:eastAsia="Times New Roman" w:cs="Times New Roman"/>
          <w:spacing w:val="24"/>
          <w:sz w:val="25"/>
          <w:szCs w:val="25"/>
        </w:rPr>
        <w:t xml:space="preserve">b)  </w:t>
      </w:r>
      <w:r>
        <w:rPr>
          <w:rFonts w:ascii="宋体" w:hAnsi="宋体" w:eastAsia="宋体" w:cs="宋体"/>
          <w:spacing w:val="24"/>
          <w:sz w:val="25"/>
          <w:szCs w:val="25"/>
        </w:rPr>
        <w:t>装备部队训练(含装备使用和保障人员在训练过程中所使用的程序、规</w:t>
      </w:r>
      <w:r>
        <w:rPr>
          <w:rFonts w:ascii="宋体" w:hAnsi="宋体" w:eastAsia="宋体" w:cs="宋体"/>
          <w:spacing w:val="11"/>
          <w:sz w:val="25"/>
          <w:szCs w:val="25"/>
        </w:rPr>
        <w:t xml:space="preserve"> </w:t>
      </w:r>
      <w:r>
        <w:rPr>
          <w:rFonts w:ascii="宋体" w:hAnsi="宋体" w:eastAsia="宋体" w:cs="宋体"/>
          <w:spacing w:val="7"/>
          <w:sz w:val="25"/>
          <w:szCs w:val="25"/>
        </w:rPr>
        <w:t>程、方法、训练设施和设备)的意见和建议；</w:t>
      </w:r>
    </w:p>
    <w:p w14:paraId="2DCA9956">
      <w:pPr>
        <w:spacing w:before="84"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c)  </w:t>
      </w:r>
      <w:r>
        <w:rPr>
          <w:rFonts w:ascii="宋体" w:hAnsi="宋体" w:eastAsia="宋体" w:cs="宋体"/>
          <w:spacing w:val="3"/>
          <w:sz w:val="27"/>
          <w:szCs w:val="27"/>
        </w:rPr>
        <w:t>装备作战使用(含使用条件和适用范围)的意见和建议；</w:t>
      </w:r>
    </w:p>
    <w:p w14:paraId="478EB3D8">
      <w:pPr>
        <w:spacing w:before="100" w:line="260" w:lineRule="auto"/>
        <w:ind w:right="123" w:firstLine="539"/>
        <w:rPr>
          <w:rFonts w:ascii="宋体" w:hAnsi="宋体" w:eastAsia="宋体" w:cs="宋体"/>
          <w:sz w:val="27"/>
          <w:szCs w:val="27"/>
        </w:rPr>
      </w:pPr>
      <w:r>
        <w:rPr>
          <w:rFonts w:ascii="Times New Roman" w:hAnsi="Times New Roman" w:eastAsia="Times New Roman" w:cs="Times New Roman"/>
          <w:spacing w:val="-5"/>
          <w:sz w:val="27"/>
          <w:szCs w:val="27"/>
        </w:rPr>
        <w:t xml:space="preserve">d)  </w:t>
      </w:r>
      <w:r>
        <w:rPr>
          <w:rFonts w:ascii="宋体" w:hAnsi="宋体" w:eastAsia="宋体" w:cs="宋体"/>
          <w:spacing w:val="-5"/>
          <w:sz w:val="27"/>
          <w:szCs w:val="27"/>
        </w:rPr>
        <w:t>平时和战时使用、维修和保障装备系统所需的人员</w:t>
      </w:r>
      <w:r>
        <w:rPr>
          <w:rFonts w:ascii="宋体" w:hAnsi="宋体" w:eastAsia="宋体" w:cs="宋体"/>
          <w:spacing w:val="-6"/>
          <w:sz w:val="27"/>
          <w:szCs w:val="27"/>
        </w:rPr>
        <w:t>数量、类型、专业及其</w:t>
      </w:r>
      <w:r>
        <w:rPr>
          <w:rFonts w:ascii="宋体" w:hAnsi="宋体" w:eastAsia="宋体" w:cs="宋体"/>
          <w:sz w:val="27"/>
          <w:szCs w:val="27"/>
        </w:rPr>
        <w:t xml:space="preserve"> 应具备的技能和等级、人员分工和要求等人员编配方案</w:t>
      </w:r>
      <w:r>
        <w:rPr>
          <w:rFonts w:ascii="宋体" w:hAnsi="宋体" w:eastAsia="宋体" w:cs="宋体"/>
          <w:spacing w:val="-1"/>
          <w:sz w:val="27"/>
          <w:szCs w:val="27"/>
        </w:rPr>
        <w:t>的意见和建议；</w:t>
      </w:r>
    </w:p>
    <w:p w14:paraId="76AD24F0">
      <w:pPr>
        <w:spacing w:line="260" w:lineRule="auto"/>
        <w:rPr>
          <w:rFonts w:ascii="宋体" w:hAnsi="宋体" w:eastAsia="宋体" w:cs="宋体"/>
          <w:sz w:val="27"/>
          <w:szCs w:val="27"/>
        </w:rPr>
        <w:sectPr>
          <w:footerReference r:id="rId169" w:type="default"/>
          <w:pgSz w:w="11910" w:h="17130"/>
          <w:pgMar w:top="400" w:right="994" w:bottom="1533" w:left="1440" w:header="0" w:footer="1335" w:gutter="0"/>
          <w:cols w:space="720" w:num="1"/>
        </w:sectPr>
      </w:pPr>
    </w:p>
    <w:p w14:paraId="732C5925">
      <w:pPr>
        <w:pStyle w:val="2"/>
        <w:spacing w:line="268" w:lineRule="auto"/>
      </w:pPr>
    </w:p>
    <w:p w14:paraId="6A5CAFFA">
      <w:pPr>
        <w:pStyle w:val="2"/>
        <w:spacing w:line="268" w:lineRule="auto"/>
      </w:pPr>
    </w:p>
    <w:p w14:paraId="6A6190E2">
      <w:pPr>
        <w:pStyle w:val="2"/>
        <w:spacing w:line="269" w:lineRule="auto"/>
      </w:pPr>
    </w:p>
    <w:p w14:paraId="25E256D6">
      <w:pPr>
        <w:pStyle w:val="2"/>
        <w:spacing w:line="269" w:lineRule="auto"/>
      </w:pPr>
    </w:p>
    <w:p w14:paraId="535BC6C7">
      <w:pPr>
        <w:spacing w:before="88" w:line="270" w:lineRule="auto"/>
        <w:ind w:right="112" w:firstLine="550"/>
        <w:rPr>
          <w:rFonts w:ascii="宋体" w:hAnsi="宋体" w:eastAsia="宋体" w:cs="宋体"/>
          <w:sz w:val="27"/>
          <w:szCs w:val="27"/>
        </w:rPr>
      </w:pPr>
      <w:r>
        <w:rPr>
          <w:rFonts w:ascii="Times New Roman" w:hAnsi="Times New Roman" w:eastAsia="Times New Roman" w:cs="Times New Roman"/>
          <w:spacing w:val="1"/>
          <w:sz w:val="27"/>
          <w:szCs w:val="27"/>
        </w:rPr>
        <w:t>e</w:t>
      </w:r>
      <w:r>
        <w:rPr>
          <w:rFonts w:ascii="宋体" w:hAnsi="宋体" w:eastAsia="宋体" w:cs="宋体"/>
          <w:spacing w:val="1"/>
          <w:sz w:val="27"/>
          <w:szCs w:val="27"/>
        </w:rPr>
        <w:t>)训练装备、后勤和技术保障(含技术文件资料、维修和保障设备的编配要</w:t>
      </w:r>
      <w:r>
        <w:rPr>
          <w:rFonts w:ascii="宋体" w:hAnsi="宋体" w:eastAsia="宋体" w:cs="宋体"/>
          <w:spacing w:val="6"/>
          <w:sz w:val="27"/>
          <w:szCs w:val="27"/>
        </w:rPr>
        <w:t xml:space="preserve"> </w:t>
      </w:r>
      <w:r>
        <w:rPr>
          <w:rFonts w:ascii="宋体" w:hAnsi="宋体" w:eastAsia="宋体" w:cs="宋体"/>
          <w:spacing w:val="10"/>
          <w:sz w:val="27"/>
          <w:szCs w:val="27"/>
        </w:rPr>
        <w:t>求和数量、与训练设施和设备的采购和安装有</w:t>
      </w:r>
      <w:r>
        <w:rPr>
          <w:rFonts w:ascii="宋体" w:hAnsi="宋体" w:eastAsia="宋体" w:cs="宋体"/>
          <w:spacing w:val="9"/>
          <w:sz w:val="27"/>
          <w:szCs w:val="27"/>
        </w:rPr>
        <w:t>关的保障计划)等方面的意见和</w:t>
      </w:r>
      <w:r>
        <w:rPr>
          <w:rFonts w:ascii="宋体" w:hAnsi="宋体" w:eastAsia="宋体" w:cs="宋体"/>
          <w:sz w:val="27"/>
          <w:szCs w:val="27"/>
        </w:rPr>
        <w:t xml:space="preserve"> </w:t>
      </w:r>
      <w:r>
        <w:rPr>
          <w:rFonts w:ascii="宋体" w:hAnsi="宋体" w:eastAsia="宋体" w:cs="宋体"/>
          <w:spacing w:val="-4"/>
          <w:sz w:val="27"/>
          <w:szCs w:val="27"/>
        </w:rPr>
        <w:t>建议；</w:t>
      </w:r>
    </w:p>
    <w:p w14:paraId="21B6E232">
      <w:pPr>
        <w:spacing w:before="68" w:line="212" w:lineRule="auto"/>
        <w:ind w:left="550"/>
        <w:rPr>
          <w:rFonts w:ascii="宋体" w:hAnsi="宋体" w:eastAsia="宋体" w:cs="宋体"/>
          <w:sz w:val="25"/>
          <w:szCs w:val="25"/>
        </w:rPr>
      </w:pPr>
      <w:r>
        <w:rPr>
          <w:rFonts w:ascii="Times New Roman" w:hAnsi="Times New Roman" w:eastAsia="Times New Roman" w:cs="Times New Roman"/>
          <w:spacing w:val="11"/>
          <w:sz w:val="25"/>
          <w:szCs w:val="25"/>
        </w:rPr>
        <w:t xml:space="preserve">f)  </w:t>
      </w:r>
      <w:r>
        <w:rPr>
          <w:rFonts w:ascii="宋体" w:hAnsi="宋体" w:eastAsia="宋体" w:cs="宋体"/>
          <w:spacing w:val="11"/>
          <w:sz w:val="25"/>
          <w:szCs w:val="25"/>
        </w:rPr>
        <w:t>装备的启封、封存、保养、使用等管理方法和要求方面的意见和</w:t>
      </w:r>
      <w:r>
        <w:rPr>
          <w:rFonts w:ascii="宋体" w:hAnsi="宋体" w:eastAsia="宋体" w:cs="宋体"/>
          <w:spacing w:val="10"/>
          <w:sz w:val="25"/>
          <w:szCs w:val="25"/>
        </w:rPr>
        <w:t>建议；</w:t>
      </w:r>
    </w:p>
    <w:p w14:paraId="5294B8E4">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g)</w:t>
      </w:r>
      <w:r>
        <w:rPr>
          <w:rFonts w:ascii="Times New Roman" w:hAnsi="Times New Roman" w:eastAsia="Times New Roman" w:cs="Times New Roman"/>
          <w:spacing w:val="65"/>
          <w:sz w:val="27"/>
          <w:szCs w:val="27"/>
        </w:rPr>
        <w:t xml:space="preserve"> </w:t>
      </w:r>
      <w:r>
        <w:rPr>
          <w:rFonts w:ascii="宋体" w:hAnsi="宋体" w:eastAsia="宋体" w:cs="宋体"/>
          <w:spacing w:val="4"/>
          <w:sz w:val="27"/>
          <w:szCs w:val="27"/>
        </w:rPr>
        <w:t>其他需说明的使用要求和注意事项等。</w:t>
      </w:r>
    </w:p>
    <w:p w14:paraId="3C33B73C">
      <w:pPr>
        <w:spacing w:before="150" w:line="224" w:lineRule="auto"/>
        <w:ind w:left="3"/>
        <w:rPr>
          <w:rFonts w:ascii="黑体" w:hAnsi="黑体" w:eastAsia="黑体" w:cs="黑体"/>
          <w:sz w:val="27"/>
          <w:szCs w:val="27"/>
        </w:rPr>
      </w:pPr>
      <w:r>
        <w:rPr>
          <w:rFonts w:ascii="黑体" w:hAnsi="黑体" w:eastAsia="黑体" w:cs="黑体"/>
          <w:b/>
          <w:bCs/>
          <w:spacing w:val="-10"/>
          <w:sz w:val="27"/>
          <w:szCs w:val="27"/>
        </w:rPr>
        <w:t>附件</w:t>
      </w:r>
    </w:p>
    <w:p w14:paraId="1CFDF9F2">
      <w:pPr>
        <w:spacing w:before="70" w:line="274" w:lineRule="auto"/>
        <w:ind w:right="119" w:firstLine="550"/>
        <w:jc w:val="both"/>
        <w:rPr>
          <w:rFonts w:ascii="宋体" w:hAnsi="宋体" w:eastAsia="宋体" w:cs="宋体"/>
          <w:sz w:val="27"/>
          <w:szCs w:val="27"/>
        </w:rPr>
      </w:pPr>
      <w:r>
        <w:rPr>
          <w:rFonts w:ascii="宋体" w:hAnsi="宋体" w:eastAsia="宋体" w:cs="宋体"/>
          <w:spacing w:val="-3"/>
          <w:sz w:val="27"/>
          <w:szCs w:val="27"/>
        </w:rPr>
        <w:t>在报告正文基本内容中，有关需要详细说明的内容和试用的具体数据等，可</w:t>
      </w:r>
      <w:r>
        <w:rPr>
          <w:rFonts w:ascii="宋体" w:hAnsi="宋体" w:eastAsia="宋体" w:cs="宋体"/>
          <w:sz w:val="27"/>
          <w:szCs w:val="27"/>
        </w:rPr>
        <w:t xml:space="preserve"> </w:t>
      </w:r>
      <w:r>
        <w:rPr>
          <w:rFonts w:ascii="宋体" w:hAnsi="宋体" w:eastAsia="宋体" w:cs="宋体"/>
          <w:spacing w:val="-2"/>
          <w:sz w:val="27"/>
          <w:szCs w:val="27"/>
        </w:rPr>
        <w:t>用附件的形式给出。当需要给出附加信息，</w:t>
      </w:r>
      <w:r>
        <w:rPr>
          <w:rFonts w:ascii="宋体" w:hAnsi="宋体" w:eastAsia="宋体" w:cs="宋体"/>
          <w:spacing w:val="-3"/>
          <w:sz w:val="27"/>
          <w:szCs w:val="27"/>
        </w:rPr>
        <w:t>帮助理解试用报告的有关内容时，也</w:t>
      </w:r>
      <w:r>
        <w:rPr>
          <w:rFonts w:ascii="宋体" w:hAnsi="宋体" w:eastAsia="宋体" w:cs="宋体"/>
          <w:sz w:val="27"/>
          <w:szCs w:val="27"/>
        </w:rPr>
        <w:t xml:space="preserve"> </w:t>
      </w:r>
      <w:r>
        <w:rPr>
          <w:rFonts w:ascii="宋体" w:hAnsi="宋体" w:eastAsia="宋体" w:cs="宋体"/>
          <w:spacing w:val="3"/>
          <w:sz w:val="27"/>
          <w:szCs w:val="27"/>
        </w:rPr>
        <w:t>可以附件的形式列出有关条文的参考性资料。附件内容通常包括：</w:t>
      </w:r>
    </w:p>
    <w:p w14:paraId="203221B9">
      <w:pPr>
        <w:spacing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69"/>
          <w:w w:val="101"/>
          <w:sz w:val="27"/>
          <w:szCs w:val="27"/>
        </w:rPr>
        <w:t xml:space="preserve"> </w:t>
      </w:r>
      <w:r>
        <w:rPr>
          <w:rFonts w:ascii="宋体" w:hAnsi="宋体" w:eastAsia="宋体" w:cs="宋体"/>
          <w:spacing w:val="3"/>
          <w:sz w:val="27"/>
          <w:szCs w:val="27"/>
        </w:rPr>
        <w:t>被试品的研制总要求摘要及有关文件；</w:t>
      </w:r>
    </w:p>
    <w:p w14:paraId="342C402C">
      <w:pPr>
        <w:spacing w:before="122" w:line="212" w:lineRule="auto"/>
        <w:ind w:left="550"/>
        <w:rPr>
          <w:rFonts w:ascii="宋体" w:hAnsi="宋体" w:eastAsia="宋体" w:cs="宋体"/>
          <w:sz w:val="24"/>
          <w:szCs w:val="24"/>
        </w:rPr>
      </w:pPr>
      <w:r>
        <w:rPr>
          <w:rFonts w:ascii="Times New Roman" w:hAnsi="Times New Roman" w:eastAsia="Times New Roman" w:cs="Times New Roman"/>
          <w:spacing w:val="26"/>
          <w:sz w:val="24"/>
          <w:szCs w:val="24"/>
        </w:rPr>
        <w:t>b)</w:t>
      </w:r>
      <w:r>
        <w:rPr>
          <w:rFonts w:ascii="Times New Roman" w:hAnsi="Times New Roman" w:eastAsia="Times New Roman" w:cs="Times New Roman"/>
          <w:spacing w:val="23"/>
          <w:sz w:val="24"/>
          <w:szCs w:val="24"/>
        </w:rPr>
        <w:t xml:space="preserve">  </w:t>
      </w:r>
      <w:r>
        <w:rPr>
          <w:rFonts w:ascii="宋体" w:hAnsi="宋体" w:eastAsia="宋体" w:cs="宋体"/>
          <w:spacing w:val="26"/>
          <w:sz w:val="24"/>
          <w:szCs w:val="24"/>
        </w:rPr>
        <w:t>试用大纲及实施计划；</w:t>
      </w:r>
    </w:p>
    <w:p w14:paraId="17B66B59">
      <w:pPr>
        <w:spacing w:before="102"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72"/>
          <w:w w:val="101"/>
          <w:sz w:val="27"/>
          <w:szCs w:val="27"/>
        </w:rPr>
        <w:t xml:space="preserve"> </w:t>
      </w:r>
      <w:r>
        <w:rPr>
          <w:rFonts w:ascii="宋体" w:hAnsi="宋体" w:eastAsia="宋体" w:cs="宋体"/>
          <w:spacing w:val="3"/>
          <w:sz w:val="27"/>
          <w:szCs w:val="27"/>
        </w:rPr>
        <w:t>战役战术作业想定等有关试用资料；</w:t>
      </w:r>
    </w:p>
    <w:p w14:paraId="50E17BDE">
      <w:pPr>
        <w:spacing w:before="9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d)</w:t>
      </w:r>
      <w:r>
        <w:rPr>
          <w:rFonts w:ascii="Times New Roman" w:hAnsi="Times New Roman" w:eastAsia="Times New Roman" w:cs="Times New Roman"/>
          <w:spacing w:val="66"/>
          <w:sz w:val="27"/>
          <w:szCs w:val="27"/>
        </w:rPr>
        <w:t xml:space="preserve"> </w:t>
      </w:r>
      <w:r>
        <w:rPr>
          <w:rFonts w:ascii="宋体" w:hAnsi="宋体" w:eastAsia="宋体" w:cs="宋体"/>
          <w:spacing w:val="4"/>
          <w:sz w:val="27"/>
          <w:szCs w:val="27"/>
        </w:rPr>
        <w:t>试用人员编组及分工情况；</w:t>
      </w:r>
    </w:p>
    <w:p w14:paraId="4AF77D59">
      <w:pPr>
        <w:spacing w:before="100" w:line="212" w:lineRule="auto"/>
        <w:ind w:left="550"/>
        <w:rPr>
          <w:rFonts w:ascii="宋体" w:hAnsi="宋体" w:eastAsia="宋体" w:cs="宋体"/>
          <w:sz w:val="27"/>
          <w:szCs w:val="27"/>
        </w:rPr>
      </w:pPr>
      <w:r>
        <w:rPr>
          <w:rFonts w:ascii="Times New Roman" w:hAnsi="Times New Roman" w:eastAsia="Times New Roman" w:cs="Times New Roman"/>
          <w:spacing w:val="4"/>
          <w:sz w:val="27"/>
          <w:szCs w:val="27"/>
        </w:rPr>
        <w:t>e)</w:t>
      </w:r>
      <w:r>
        <w:rPr>
          <w:rFonts w:ascii="Times New Roman" w:hAnsi="Times New Roman" w:eastAsia="Times New Roman" w:cs="Times New Roman"/>
          <w:spacing w:val="66"/>
          <w:w w:val="101"/>
          <w:sz w:val="27"/>
          <w:szCs w:val="27"/>
        </w:rPr>
        <w:t xml:space="preserve"> </w:t>
      </w:r>
      <w:r>
        <w:rPr>
          <w:rFonts w:ascii="宋体" w:hAnsi="宋体" w:eastAsia="宋体" w:cs="宋体"/>
          <w:spacing w:val="4"/>
          <w:sz w:val="27"/>
          <w:szCs w:val="27"/>
        </w:rPr>
        <w:t>经整理汇总和统计处理的试用数据和试用结果图表；</w:t>
      </w:r>
    </w:p>
    <w:p w14:paraId="1AD2085C">
      <w:pPr>
        <w:spacing w:before="109" w:line="257" w:lineRule="auto"/>
        <w:ind w:firstLine="550"/>
        <w:rPr>
          <w:rFonts w:ascii="宋体" w:hAnsi="宋体" w:eastAsia="宋体" w:cs="宋体"/>
          <w:sz w:val="27"/>
          <w:szCs w:val="27"/>
        </w:rPr>
      </w:pPr>
      <w:r>
        <w:rPr>
          <w:rFonts w:ascii="Times New Roman" w:hAnsi="Times New Roman" w:eastAsia="Times New Roman" w:cs="Times New Roman"/>
          <w:spacing w:val="11"/>
          <w:sz w:val="27"/>
          <w:szCs w:val="27"/>
        </w:rPr>
        <w:t>f)</w:t>
      </w:r>
      <w:r>
        <w:rPr>
          <w:rFonts w:ascii="Times New Roman" w:hAnsi="Times New Roman" w:eastAsia="Times New Roman" w:cs="Times New Roman"/>
          <w:spacing w:val="10"/>
          <w:sz w:val="27"/>
          <w:szCs w:val="27"/>
        </w:rPr>
        <w:t xml:space="preserve">  </w:t>
      </w:r>
      <w:r>
        <w:rPr>
          <w:rFonts w:ascii="宋体" w:hAnsi="宋体" w:eastAsia="宋体" w:cs="宋体"/>
          <w:spacing w:val="11"/>
          <w:sz w:val="27"/>
          <w:szCs w:val="27"/>
        </w:rPr>
        <w:t>未在正文中给出的试用问题统计表(内容包括试用中发现的各种问题、</w:t>
      </w:r>
      <w:r>
        <w:rPr>
          <w:rFonts w:ascii="宋体" w:hAnsi="宋体" w:eastAsia="宋体" w:cs="宋体"/>
          <w:spacing w:val="1"/>
          <w:sz w:val="27"/>
          <w:szCs w:val="27"/>
        </w:rPr>
        <w:t xml:space="preserve"> </w:t>
      </w:r>
      <w:r>
        <w:rPr>
          <w:rFonts w:ascii="宋体" w:hAnsi="宋体" w:eastAsia="宋体" w:cs="宋体"/>
          <w:spacing w:val="7"/>
          <w:sz w:val="27"/>
          <w:szCs w:val="27"/>
        </w:rPr>
        <w:t>解决的措施及结果);</w:t>
      </w:r>
    </w:p>
    <w:p w14:paraId="00150292">
      <w:pPr>
        <w:spacing w:before="91" w:line="286" w:lineRule="auto"/>
        <w:ind w:right="124" w:firstLine="550"/>
        <w:rPr>
          <w:rFonts w:ascii="宋体" w:hAnsi="宋体" w:eastAsia="宋体" w:cs="宋体"/>
          <w:sz w:val="25"/>
          <w:szCs w:val="25"/>
        </w:rPr>
      </w:pPr>
      <w:r>
        <w:rPr>
          <w:rFonts w:ascii="Times New Roman" w:hAnsi="Times New Roman" w:eastAsia="Times New Roman" w:cs="Times New Roman"/>
          <w:spacing w:val="21"/>
          <w:sz w:val="25"/>
          <w:szCs w:val="25"/>
        </w:rPr>
        <w:t xml:space="preserve">g)  </w:t>
      </w:r>
      <w:r>
        <w:rPr>
          <w:rFonts w:ascii="宋体" w:hAnsi="宋体" w:eastAsia="宋体" w:cs="宋体"/>
          <w:spacing w:val="21"/>
          <w:sz w:val="25"/>
          <w:szCs w:val="25"/>
        </w:rPr>
        <w:t>被试品全貌和主要侧面照片，主要试用场面照片，</w:t>
      </w:r>
      <w:r>
        <w:rPr>
          <w:rFonts w:ascii="宋体" w:hAnsi="宋体" w:eastAsia="宋体" w:cs="宋体"/>
          <w:spacing w:val="20"/>
          <w:sz w:val="25"/>
          <w:szCs w:val="25"/>
        </w:rPr>
        <w:t>试用中发生的重大技</w:t>
      </w:r>
      <w:r>
        <w:rPr>
          <w:rFonts w:ascii="宋体" w:hAnsi="宋体" w:eastAsia="宋体" w:cs="宋体"/>
          <w:sz w:val="25"/>
          <w:szCs w:val="25"/>
        </w:rPr>
        <w:t xml:space="preserve"> </w:t>
      </w:r>
      <w:r>
        <w:rPr>
          <w:rFonts w:ascii="宋体" w:hAnsi="宋体" w:eastAsia="宋体" w:cs="宋体"/>
          <w:spacing w:val="18"/>
          <w:sz w:val="25"/>
          <w:szCs w:val="25"/>
        </w:rPr>
        <w:t>术问题的特写照片；</w:t>
      </w:r>
    </w:p>
    <w:p w14:paraId="6809A716">
      <w:pPr>
        <w:spacing w:before="14" w:line="212" w:lineRule="auto"/>
        <w:ind w:left="550"/>
        <w:rPr>
          <w:rFonts w:ascii="宋体" w:hAnsi="宋体" w:eastAsia="宋体" w:cs="宋体"/>
          <w:sz w:val="27"/>
          <w:szCs w:val="27"/>
        </w:rPr>
      </w:pPr>
      <w:r>
        <w:rPr>
          <w:rFonts w:ascii="Times New Roman" w:hAnsi="Times New Roman" w:eastAsia="Times New Roman" w:cs="Times New Roman"/>
          <w:spacing w:val="1"/>
          <w:sz w:val="27"/>
          <w:szCs w:val="27"/>
        </w:rPr>
        <w:t>h)</w:t>
      </w:r>
      <w:r>
        <w:rPr>
          <w:rFonts w:ascii="Times New Roman" w:hAnsi="Times New Roman" w:eastAsia="Times New Roman" w:cs="Times New Roman"/>
          <w:spacing w:val="25"/>
          <w:w w:val="101"/>
          <w:sz w:val="27"/>
          <w:szCs w:val="27"/>
        </w:rPr>
        <w:t xml:space="preserve">  </w:t>
      </w:r>
      <w:r>
        <w:rPr>
          <w:rFonts w:ascii="宋体" w:hAnsi="宋体" w:eastAsia="宋体" w:cs="宋体"/>
          <w:spacing w:val="1"/>
          <w:sz w:val="27"/>
          <w:szCs w:val="27"/>
        </w:rPr>
        <w:t>目标靶标和目标区域照片，被击毁目标</w:t>
      </w:r>
      <w:r>
        <w:rPr>
          <w:rFonts w:ascii="宋体" w:hAnsi="宋体" w:eastAsia="宋体" w:cs="宋体"/>
          <w:sz w:val="27"/>
          <w:szCs w:val="27"/>
        </w:rPr>
        <w:t>的残骸照片等(必要时列出);</w:t>
      </w:r>
    </w:p>
    <w:p w14:paraId="05D81920">
      <w:pPr>
        <w:spacing w:before="90" w:line="256" w:lineRule="auto"/>
        <w:ind w:right="105" w:firstLine="550"/>
        <w:rPr>
          <w:rFonts w:ascii="宋体" w:hAnsi="宋体" w:eastAsia="宋体" w:cs="宋体"/>
          <w:sz w:val="27"/>
          <w:szCs w:val="27"/>
        </w:rPr>
      </w:pPr>
      <w:r>
        <w:rPr>
          <w:rFonts w:ascii="Times New Roman" w:hAnsi="Times New Roman" w:eastAsia="Times New Roman" w:cs="Times New Roman"/>
          <w:spacing w:val="14"/>
          <w:sz w:val="27"/>
          <w:szCs w:val="27"/>
        </w:rPr>
        <w:t>i)</w:t>
      </w:r>
      <w:r>
        <w:rPr>
          <w:rFonts w:ascii="Times New Roman" w:hAnsi="Times New Roman" w:eastAsia="Times New Roman" w:cs="Times New Roman"/>
          <w:spacing w:val="55"/>
          <w:w w:val="101"/>
          <w:sz w:val="27"/>
          <w:szCs w:val="27"/>
        </w:rPr>
        <w:t xml:space="preserve"> </w:t>
      </w:r>
      <w:r>
        <w:rPr>
          <w:rFonts w:ascii="宋体" w:hAnsi="宋体" w:eastAsia="宋体" w:cs="宋体"/>
          <w:spacing w:val="14"/>
          <w:sz w:val="27"/>
          <w:szCs w:val="27"/>
        </w:rPr>
        <w:t>全面反映试用各阶段各项目试用情况的素材录相带</w:t>
      </w:r>
      <w:r>
        <w:rPr>
          <w:rFonts w:ascii="宋体" w:hAnsi="宋体" w:eastAsia="宋体" w:cs="宋体"/>
          <w:spacing w:val="13"/>
          <w:sz w:val="27"/>
          <w:szCs w:val="27"/>
        </w:rPr>
        <w:t>和必要的文字说明</w:t>
      </w:r>
      <w:r>
        <w:rPr>
          <w:rFonts w:ascii="宋体" w:hAnsi="宋体" w:eastAsia="宋体" w:cs="宋体"/>
          <w:sz w:val="27"/>
          <w:szCs w:val="27"/>
        </w:rPr>
        <w:t xml:space="preserve"> </w:t>
      </w:r>
      <w:r>
        <w:rPr>
          <w:rFonts w:ascii="宋体" w:hAnsi="宋体" w:eastAsia="宋体" w:cs="宋体"/>
          <w:spacing w:val="-4"/>
          <w:sz w:val="27"/>
          <w:szCs w:val="27"/>
        </w:rPr>
        <w:t>材料；</w:t>
      </w:r>
    </w:p>
    <w:p w14:paraId="380ECF40">
      <w:pPr>
        <w:spacing w:before="71" w:line="212" w:lineRule="auto"/>
        <w:ind w:left="550"/>
        <w:rPr>
          <w:rFonts w:ascii="宋体" w:hAnsi="宋体" w:eastAsia="宋体" w:cs="宋体"/>
          <w:sz w:val="27"/>
          <w:szCs w:val="27"/>
        </w:rPr>
      </w:pPr>
      <w:r>
        <w:rPr>
          <w:rFonts w:ascii="Times New Roman" w:hAnsi="Times New Roman" w:eastAsia="Times New Roman" w:cs="Times New Roman"/>
          <w:spacing w:val="8"/>
          <w:sz w:val="27"/>
          <w:szCs w:val="27"/>
        </w:rPr>
        <w:t>j)</w:t>
      </w:r>
      <w:r>
        <w:rPr>
          <w:rFonts w:ascii="Times New Roman" w:hAnsi="Times New Roman" w:eastAsia="Times New Roman" w:cs="Times New Roman"/>
          <w:spacing w:val="57"/>
          <w:sz w:val="27"/>
          <w:szCs w:val="27"/>
        </w:rPr>
        <w:t xml:space="preserve"> </w:t>
      </w:r>
      <w:r>
        <w:rPr>
          <w:rFonts w:ascii="宋体" w:hAnsi="宋体" w:eastAsia="宋体" w:cs="宋体"/>
          <w:spacing w:val="8"/>
          <w:sz w:val="27"/>
          <w:szCs w:val="27"/>
        </w:rPr>
        <w:t>试用磁带(必要时列出);</w:t>
      </w:r>
    </w:p>
    <w:p w14:paraId="0AB7AADA">
      <w:pPr>
        <w:spacing w:before="100"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k)  </w:t>
      </w:r>
      <w:r>
        <w:rPr>
          <w:rFonts w:ascii="宋体" w:hAnsi="宋体" w:eastAsia="宋体" w:cs="宋体"/>
          <w:spacing w:val="3"/>
          <w:sz w:val="27"/>
          <w:szCs w:val="27"/>
        </w:rPr>
        <w:t>对试用中出现的重大问题的处理报告；</w:t>
      </w:r>
    </w:p>
    <w:p w14:paraId="5F1DA4CA">
      <w:pPr>
        <w:spacing w:before="129" w:line="219" w:lineRule="auto"/>
        <w:ind w:left="550"/>
        <w:rPr>
          <w:rFonts w:ascii="宋体" w:hAnsi="宋体" w:eastAsia="宋体" w:cs="宋体"/>
          <w:sz w:val="27"/>
          <w:szCs w:val="27"/>
        </w:rPr>
      </w:pPr>
      <w:r>
        <w:rPr>
          <w:rFonts w:ascii="宋体" w:hAnsi="宋体" w:eastAsia="宋体" w:cs="宋体"/>
          <w:spacing w:val="1"/>
          <w:sz w:val="27"/>
          <w:szCs w:val="27"/>
        </w:rPr>
        <w:t>1)</w:t>
      </w:r>
      <w:r>
        <w:rPr>
          <w:rFonts w:ascii="宋体" w:hAnsi="宋体" w:eastAsia="宋体" w:cs="宋体"/>
          <w:spacing w:val="-46"/>
          <w:sz w:val="27"/>
          <w:szCs w:val="27"/>
        </w:rPr>
        <w:t xml:space="preserve"> </w:t>
      </w:r>
      <w:r>
        <w:rPr>
          <w:rFonts w:ascii="宋体" w:hAnsi="宋体" w:eastAsia="宋体" w:cs="宋体"/>
          <w:spacing w:val="1"/>
          <w:sz w:val="27"/>
          <w:szCs w:val="27"/>
        </w:rPr>
        <w:t>主要试用设备的测试精度及最新标定后的有效日期；</w:t>
      </w:r>
    </w:p>
    <w:p w14:paraId="2BEF10C6">
      <w:pPr>
        <w:spacing w:before="71" w:line="212" w:lineRule="auto"/>
        <w:ind w:left="550"/>
        <w:rPr>
          <w:rFonts w:ascii="宋体" w:hAnsi="宋体" w:eastAsia="宋体" w:cs="宋体"/>
          <w:sz w:val="27"/>
          <w:szCs w:val="27"/>
        </w:rPr>
      </w:pPr>
      <w:r>
        <w:rPr>
          <w:rFonts w:ascii="Times New Roman" w:hAnsi="Times New Roman" w:eastAsia="Times New Roman" w:cs="Times New Roman"/>
          <w:spacing w:val="-3"/>
          <w:sz w:val="27"/>
          <w:szCs w:val="27"/>
        </w:rPr>
        <w:t xml:space="preserve">m)  </w:t>
      </w:r>
      <w:r>
        <w:rPr>
          <w:rFonts w:ascii="宋体" w:hAnsi="宋体" w:eastAsia="宋体" w:cs="宋体"/>
          <w:spacing w:val="-3"/>
          <w:sz w:val="27"/>
          <w:szCs w:val="27"/>
        </w:rPr>
        <w:t>不宜写在正文中的公式和有关推导、证明；</w:t>
      </w:r>
    </w:p>
    <w:p w14:paraId="088567D7">
      <w:pPr>
        <w:spacing w:before="100" w:line="212" w:lineRule="auto"/>
        <w:ind w:left="550"/>
        <w:rPr>
          <w:rFonts w:ascii="宋体" w:hAnsi="宋体" w:eastAsia="宋体" w:cs="宋体"/>
          <w:sz w:val="27"/>
          <w:szCs w:val="27"/>
        </w:rPr>
      </w:pPr>
      <w:r>
        <w:rPr>
          <w:rFonts w:ascii="Times New Roman" w:hAnsi="Times New Roman" w:eastAsia="Times New Roman" w:cs="Times New Roman"/>
          <w:spacing w:val="5"/>
          <w:sz w:val="27"/>
          <w:szCs w:val="27"/>
        </w:rPr>
        <w:t>n)</w:t>
      </w:r>
      <w:r>
        <w:rPr>
          <w:rFonts w:ascii="Times New Roman" w:hAnsi="Times New Roman" w:eastAsia="Times New Roman" w:cs="Times New Roman"/>
          <w:spacing w:val="46"/>
          <w:w w:val="101"/>
          <w:sz w:val="27"/>
          <w:szCs w:val="27"/>
        </w:rPr>
        <w:t xml:space="preserve"> </w:t>
      </w:r>
      <w:r>
        <w:rPr>
          <w:rFonts w:ascii="宋体" w:hAnsi="宋体" w:eastAsia="宋体" w:cs="宋体"/>
          <w:spacing w:val="5"/>
          <w:sz w:val="27"/>
          <w:szCs w:val="27"/>
        </w:rPr>
        <w:t>其他需要说明的问题或参考性资料等。</w:t>
      </w:r>
    </w:p>
    <w:p w14:paraId="6591700C">
      <w:pPr>
        <w:spacing w:before="95" w:line="220" w:lineRule="auto"/>
        <w:ind w:left="554"/>
        <w:rPr>
          <w:rFonts w:ascii="楷体" w:hAnsi="楷体" w:eastAsia="楷体" w:cs="楷体"/>
          <w:sz w:val="28"/>
          <w:szCs w:val="28"/>
        </w:rPr>
      </w:pPr>
      <w:r>
        <w:rPr>
          <w:rFonts w:ascii="楷体" w:hAnsi="楷体" w:eastAsia="楷体" w:cs="楷体"/>
          <w:b/>
          <w:bCs/>
          <w:spacing w:val="-16"/>
          <w:sz w:val="28"/>
          <w:szCs w:val="28"/>
        </w:rPr>
        <w:t>按照</w:t>
      </w:r>
      <w:r>
        <w:rPr>
          <w:rFonts w:ascii="Times New Roman" w:hAnsi="Times New Roman" w:eastAsia="Times New Roman" w:cs="Times New Roman"/>
          <w:b/>
          <w:bCs/>
          <w:spacing w:val="-16"/>
          <w:sz w:val="28"/>
          <w:szCs w:val="28"/>
        </w:rPr>
        <w:t>GJB</w:t>
      </w:r>
      <w:r>
        <w:rPr>
          <w:rFonts w:ascii="Times New Roman" w:hAnsi="Times New Roman" w:eastAsia="Times New Roman" w:cs="Times New Roman"/>
          <w:b/>
          <w:bCs/>
          <w:spacing w:val="16"/>
          <w:sz w:val="28"/>
          <w:szCs w:val="28"/>
        </w:rPr>
        <w:t xml:space="preserve"> </w:t>
      </w:r>
      <w:r>
        <w:rPr>
          <w:rFonts w:ascii="Times New Roman" w:hAnsi="Times New Roman" w:eastAsia="Times New Roman" w:cs="Times New Roman"/>
          <w:b/>
          <w:bCs/>
          <w:spacing w:val="-16"/>
          <w:sz w:val="28"/>
          <w:szCs w:val="28"/>
        </w:rPr>
        <w:t>1362A—2007</w:t>
      </w:r>
      <w:r>
        <w:rPr>
          <w:rFonts w:ascii="宋体" w:hAnsi="宋体" w:eastAsia="宋体" w:cs="宋体"/>
          <w:b/>
          <w:bCs/>
          <w:spacing w:val="-16"/>
          <w:sz w:val="28"/>
          <w:szCs w:val="28"/>
        </w:rPr>
        <w:t>《</w:t>
      </w:r>
      <w:r>
        <w:rPr>
          <w:rFonts w:ascii="楷体" w:hAnsi="楷体" w:eastAsia="楷体" w:cs="楷体"/>
          <w:b/>
          <w:bCs/>
          <w:spacing w:val="-16"/>
          <w:sz w:val="28"/>
          <w:szCs w:val="28"/>
        </w:rPr>
        <w:t>军工产品定型程序和要求》编写，目次格式如下。</w:t>
      </w:r>
    </w:p>
    <w:p w14:paraId="4304D8D9">
      <w:pPr>
        <w:spacing w:before="101" w:line="223" w:lineRule="auto"/>
        <w:ind w:left="550"/>
        <w:rPr>
          <w:rFonts w:ascii="楷体" w:hAnsi="楷体" w:eastAsia="楷体" w:cs="楷体"/>
          <w:sz w:val="24"/>
          <w:szCs w:val="24"/>
        </w:rPr>
      </w:pPr>
      <w:r>
        <w:rPr>
          <w:rFonts w:ascii="Times New Roman" w:hAnsi="Times New Roman" w:eastAsia="Times New Roman" w:cs="Times New Roman"/>
          <w:b/>
          <w:bCs/>
          <w:spacing w:val="23"/>
          <w:sz w:val="24"/>
          <w:szCs w:val="24"/>
        </w:rPr>
        <w:t>1</w:t>
      </w:r>
      <w:r>
        <w:rPr>
          <w:rFonts w:ascii="Times New Roman" w:hAnsi="Times New Roman" w:eastAsia="Times New Roman" w:cs="Times New Roman"/>
          <w:b/>
          <w:bCs/>
          <w:spacing w:val="27"/>
          <w:sz w:val="24"/>
          <w:szCs w:val="24"/>
        </w:rPr>
        <w:t xml:space="preserve">  </w:t>
      </w:r>
      <w:r>
        <w:rPr>
          <w:rFonts w:ascii="楷体" w:hAnsi="楷体" w:eastAsia="楷体" w:cs="楷体"/>
          <w:b/>
          <w:bCs/>
          <w:spacing w:val="23"/>
          <w:sz w:val="24"/>
          <w:szCs w:val="24"/>
        </w:rPr>
        <w:t>试用工作概况</w:t>
      </w:r>
    </w:p>
    <w:p w14:paraId="5F776CF1">
      <w:pPr>
        <w:spacing w:before="122" w:line="224" w:lineRule="auto"/>
        <w:ind w:left="550"/>
        <w:rPr>
          <w:rFonts w:ascii="楷体" w:hAnsi="楷体" w:eastAsia="楷体" w:cs="楷体"/>
          <w:sz w:val="24"/>
          <w:szCs w:val="24"/>
        </w:rPr>
      </w:pPr>
      <w:r>
        <w:rPr>
          <w:rFonts w:ascii="Times New Roman" w:hAnsi="Times New Roman" w:eastAsia="Times New Roman" w:cs="Times New Roman"/>
          <w:b/>
          <w:bCs/>
          <w:spacing w:val="28"/>
          <w:sz w:val="24"/>
          <w:szCs w:val="24"/>
        </w:rPr>
        <w:t>2</w:t>
      </w:r>
      <w:r>
        <w:rPr>
          <w:rFonts w:ascii="Times New Roman" w:hAnsi="Times New Roman" w:eastAsia="Times New Roman" w:cs="Times New Roman"/>
          <w:b/>
          <w:bCs/>
          <w:spacing w:val="24"/>
          <w:sz w:val="24"/>
          <w:szCs w:val="24"/>
        </w:rPr>
        <w:t xml:space="preserve">  </w:t>
      </w:r>
      <w:r>
        <w:rPr>
          <w:rFonts w:ascii="楷体" w:hAnsi="楷体" w:eastAsia="楷体" w:cs="楷体"/>
          <w:b/>
          <w:bCs/>
          <w:spacing w:val="28"/>
          <w:sz w:val="24"/>
          <w:szCs w:val="24"/>
        </w:rPr>
        <w:t>主要试用项目及试用结果</w:t>
      </w:r>
    </w:p>
    <w:p w14:paraId="6B449E1A">
      <w:pPr>
        <w:spacing w:before="78" w:line="224" w:lineRule="auto"/>
        <w:ind w:left="550"/>
        <w:rPr>
          <w:rFonts w:ascii="楷体" w:hAnsi="楷体" w:eastAsia="楷体" w:cs="楷体"/>
          <w:sz w:val="28"/>
          <w:szCs w:val="28"/>
        </w:rPr>
      </w:pPr>
      <w:r>
        <w:rPr>
          <w:rFonts w:ascii="Times New Roman" w:hAnsi="Times New Roman" w:eastAsia="Times New Roman" w:cs="Times New Roman"/>
          <w:b/>
          <w:bCs/>
          <w:spacing w:val="-7"/>
          <w:sz w:val="28"/>
          <w:szCs w:val="28"/>
        </w:rPr>
        <w:t xml:space="preserve">3  </w:t>
      </w:r>
      <w:r>
        <w:rPr>
          <w:rFonts w:ascii="楷体" w:hAnsi="楷体" w:eastAsia="楷体" w:cs="楷体"/>
          <w:b/>
          <w:bCs/>
          <w:spacing w:val="-7"/>
          <w:sz w:val="28"/>
          <w:szCs w:val="28"/>
        </w:rPr>
        <w:t>试用中出现的主要问题及归零情况</w:t>
      </w:r>
    </w:p>
    <w:p w14:paraId="04550557">
      <w:pPr>
        <w:spacing w:before="52" w:line="212" w:lineRule="auto"/>
        <w:ind w:left="554"/>
        <w:rPr>
          <w:rFonts w:ascii="楷体" w:hAnsi="楷体" w:eastAsia="楷体" w:cs="楷体"/>
          <w:sz w:val="28"/>
          <w:szCs w:val="28"/>
        </w:rPr>
      </w:pPr>
      <w:r>
        <w:rPr>
          <w:rFonts w:ascii="楷体" w:hAnsi="楷体" w:eastAsia="楷体" w:cs="楷体"/>
          <w:b/>
          <w:bCs/>
          <w:spacing w:val="-4"/>
          <w:sz w:val="28"/>
          <w:szCs w:val="28"/>
        </w:rPr>
        <w:t>3.</w:t>
      </w:r>
      <w:r>
        <w:rPr>
          <w:rFonts w:ascii="Times New Roman" w:hAnsi="Times New Roman" w:eastAsia="Times New Roman" w:cs="Times New Roman"/>
          <w:b/>
          <w:bCs/>
          <w:spacing w:val="-4"/>
          <w:sz w:val="28"/>
          <w:szCs w:val="28"/>
        </w:rPr>
        <w:t>X</w:t>
      </w:r>
      <w:r>
        <w:rPr>
          <w:rFonts w:ascii="Times New Roman" w:hAnsi="Times New Roman" w:eastAsia="Times New Roman" w:cs="Times New Roman"/>
          <w:b/>
          <w:bCs/>
          <w:spacing w:val="75"/>
          <w:sz w:val="28"/>
          <w:szCs w:val="28"/>
        </w:rPr>
        <w:t xml:space="preserve"> </w:t>
      </w:r>
      <w:r>
        <w:rPr>
          <w:rFonts w:ascii="Times New Roman" w:hAnsi="Times New Roman" w:eastAsia="Times New Roman" w:cs="Times New Roman"/>
          <w:b/>
          <w:bCs/>
          <w:spacing w:val="-4"/>
          <w:sz w:val="28"/>
          <w:szCs w:val="28"/>
        </w:rPr>
        <w:t xml:space="preserve">( </w:t>
      </w:r>
      <w:r>
        <w:rPr>
          <w:rFonts w:ascii="楷体" w:hAnsi="楷体" w:eastAsia="楷体" w:cs="楷体"/>
          <w:b/>
          <w:bCs/>
          <w:spacing w:val="-4"/>
          <w:sz w:val="28"/>
          <w:szCs w:val="28"/>
        </w:rPr>
        <w:t>试用中出现的主要问题</w:t>
      </w:r>
      <w:r>
        <w:rPr>
          <w:rFonts w:ascii="Times New Roman" w:hAnsi="Times New Roman" w:eastAsia="Times New Roman" w:cs="Times New Roman"/>
          <w:b/>
          <w:bCs/>
          <w:spacing w:val="-4"/>
          <w:sz w:val="28"/>
          <w:szCs w:val="28"/>
        </w:rPr>
        <w:t>X)</w:t>
      </w:r>
      <w:r>
        <w:rPr>
          <w:rFonts w:ascii="楷体" w:hAnsi="楷体" w:eastAsia="楷体" w:cs="楷体"/>
          <w:b/>
          <w:bCs/>
          <w:spacing w:val="-4"/>
          <w:sz w:val="28"/>
          <w:szCs w:val="28"/>
        </w:rPr>
        <w:t>及归零情况</w:t>
      </w:r>
    </w:p>
    <w:p w14:paraId="4A3EE133">
      <w:pPr>
        <w:spacing w:before="142" w:line="228" w:lineRule="auto"/>
        <w:ind w:left="550"/>
        <w:rPr>
          <w:rFonts w:ascii="楷体" w:hAnsi="楷体" w:eastAsia="楷体" w:cs="楷体"/>
          <w:sz w:val="24"/>
          <w:szCs w:val="24"/>
        </w:rPr>
      </w:pPr>
      <w:r>
        <w:rPr>
          <w:rFonts w:ascii="Times New Roman" w:hAnsi="Times New Roman" w:eastAsia="Times New Roman" w:cs="Times New Roman"/>
          <w:b/>
          <w:bCs/>
          <w:spacing w:val="26"/>
          <w:sz w:val="24"/>
          <w:szCs w:val="24"/>
        </w:rPr>
        <w:t>4</w:t>
      </w:r>
      <w:r>
        <w:rPr>
          <w:rFonts w:ascii="Times New Roman" w:hAnsi="Times New Roman" w:eastAsia="Times New Roman" w:cs="Times New Roman"/>
          <w:b/>
          <w:bCs/>
          <w:spacing w:val="24"/>
          <w:w w:val="101"/>
          <w:sz w:val="24"/>
          <w:szCs w:val="24"/>
        </w:rPr>
        <w:t xml:space="preserve">  </w:t>
      </w:r>
      <w:r>
        <w:rPr>
          <w:rFonts w:ascii="楷体" w:hAnsi="楷体" w:eastAsia="楷体" w:cs="楷体"/>
          <w:b/>
          <w:bCs/>
          <w:spacing w:val="26"/>
          <w:sz w:val="24"/>
          <w:szCs w:val="24"/>
        </w:rPr>
        <w:t>试用结论及建议</w:t>
      </w:r>
    </w:p>
    <w:p w14:paraId="3DFB4088">
      <w:pPr>
        <w:spacing w:before="94" w:line="228" w:lineRule="auto"/>
        <w:ind w:left="553"/>
        <w:rPr>
          <w:rFonts w:ascii="楷体" w:hAnsi="楷体" w:eastAsia="楷体" w:cs="楷体"/>
          <w:sz w:val="24"/>
          <w:szCs w:val="24"/>
        </w:rPr>
      </w:pPr>
      <w:r>
        <w:rPr>
          <w:rFonts w:ascii="楷体" w:hAnsi="楷体" w:eastAsia="楷体" w:cs="楷体"/>
          <w:b/>
          <w:bCs/>
          <w:spacing w:val="21"/>
          <w:sz w:val="24"/>
          <w:szCs w:val="24"/>
        </w:rPr>
        <w:t>4</w:t>
      </w:r>
      <w:r>
        <w:rPr>
          <w:rFonts w:ascii="楷体" w:hAnsi="楷体" w:eastAsia="楷体" w:cs="楷体"/>
          <w:spacing w:val="-52"/>
          <w:sz w:val="24"/>
          <w:szCs w:val="24"/>
        </w:rPr>
        <w:t xml:space="preserve"> </w:t>
      </w:r>
      <w:r>
        <w:rPr>
          <w:rFonts w:ascii="楷体" w:hAnsi="楷体" w:eastAsia="楷体" w:cs="楷体"/>
          <w:b/>
          <w:bCs/>
          <w:spacing w:val="21"/>
          <w:sz w:val="24"/>
          <w:szCs w:val="24"/>
        </w:rPr>
        <w:t>.</w:t>
      </w:r>
      <w:r>
        <w:rPr>
          <w:rFonts w:ascii="楷体" w:hAnsi="楷体" w:eastAsia="楷体" w:cs="楷体"/>
          <w:spacing w:val="-47"/>
          <w:sz w:val="24"/>
          <w:szCs w:val="24"/>
        </w:rPr>
        <w:t xml:space="preserve"> </w:t>
      </w:r>
      <w:r>
        <w:rPr>
          <w:rFonts w:ascii="楷体" w:hAnsi="楷体" w:eastAsia="楷体" w:cs="楷体"/>
          <w:b/>
          <w:bCs/>
          <w:spacing w:val="21"/>
          <w:sz w:val="24"/>
          <w:szCs w:val="24"/>
        </w:rPr>
        <w:t>1试用结论</w:t>
      </w:r>
    </w:p>
    <w:p w14:paraId="4BB2C106">
      <w:pPr>
        <w:spacing w:before="84" w:line="228" w:lineRule="auto"/>
        <w:ind w:left="550"/>
        <w:rPr>
          <w:rFonts w:ascii="楷体" w:hAnsi="楷体" w:eastAsia="楷体" w:cs="楷体"/>
          <w:sz w:val="28"/>
          <w:szCs w:val="28"/>
        </w:rPr>
      </w:pPr>
      <w:r>
        <w:rPr>
          <w:rFonts w:ascii="楷体" w:hAnsi="楷体" w:eastAsia="楷体" w:cs="楷体"/>
          <w:spacing w:val="-9"/>
          <w:sz w:val="28"/>
          <w:szCs w:val="28"/>
        </w:rPr>
        <w:t>4.</w:t>
      </w:r>
      <w:r>
        <w:rPr>
          <w:rFonts w:ascii="楷体" w:hAnsi="楷体" w:eastAsia="楷体" w:cs="楷体"/>
          <w:b/>
          <w:bCs/>
          <w:spacing w:val="-9"/>
          <w:sz w:val="28"/>
          <w:szCs w:val="28"/>
        </w:rPr>
        <w:t>2</w:t>
      </w:r>
      <w:r>
        <w:rPr>
          <w:rFonts w:ascii="楷体" w:hAnsi="楷体" w:eastAsia="楷体" w:cs="楷体"/>
          <w:spacing w:val="20"/>
          <w:sz w:val="28"/>
          <w:szCs w:val="28"/>
        </w:rPr>
        <w:t xml:space="preserve"> </w:t>
      </w:r>
      <w:r>
        <w:rPr>
          <w:rFonts w:ascii="楷体" w:hAnsi="楷体" w:eastAsia="楷体" w:cs="楷体"/>
          <w:b/>
          <w:bCs/>
          <w:spacing w:val="-9"/>
          <w:sz w:val="28"/>
          <w:szCs w:val="28"/>
        </w:rPr>
        <w:t>试用建议</w:t>
      </w:r>
    </w:p>
    <w:p w14:paraId="70D9EF1A">
      <w:pPr>
        <w:spacing w:line="228" w:lineRule="auto"/>
        <w:rPr>
          <w:rFonts w:ascii="楷体" w:hAnsi="楷体" w:eastAsia="楷体" w:cs="楷体"/>
          <w:sz w:val="28"/>
          <w:szCs w:val="28"/>
        </w:rPr>
        <w:sectPr>
          <w:footerReference r:id="rId170" w:type="default"/>
          <w:pgSz w:w="11910" w:h="17130"/>
          <w:pgMar w:top="400" w:right="1274" w:bottom="1573" w:left="1150" w:header="0" w:footer="1375" w:gutter="0"/>
          <w:cols w:space="720" w:num="1"/>
        </w:sectPr>
      </w:pPr>
    </w:p>
    <w:p w14:paraId="0DA348B8">
      <w:pPr>
        <w:pStyle w:val="2"/>
        <w:spacing w:line="271" w:lineRule="auto"/>
      </w:pPr>
    </w:p>
    <w:p w14:paraId="09A46711">
      <w:pPr>
        <w:pStyle w:val="2"/>
        <w:spacing w:line="271" w:lineRule="auto"/>
      </w:pPr>
    </w:p>
    <w:p w14:paraId="3E27CCEC">
      <w:pPr>
        <w:pStyle w:val="2"/>
        <w:spacing w:line="271" w:lineRule="auto"/>
      </w:pPr>
    </w:p>
    <w:p w14:paraId="06DC85BE">
      <w:pPr>
        <w:pStyle w:val="2"/>
        <w:spacing w:line="272" w:lineRule="auto"/>
      </w:pPr>
    </w:p>
    <w:p w14:paraId="66A5BB62">
      <w:pPr>
        <w:spacing w:before="78" w:line="223" w:lineRule="auto"/>
        <w:ind w:left="550"/>
        <w:rPr>
          <w:rFonts w:ascii="楷体" w:hAnsi="楷体" w:eastAsia="楷体" w:cs="楷体"/>
          <w:sz w:val="24"/>
          <w:szCs w:val="24"/>
        </w:rPr>
      </w:pPr>
      <w:r>
        <w:rPr>
          <w:rFonts w:ascii="楷体" w:hAnsi="楷体" w:eastAsia="楷体" w:cs="楷体"/>
          <w:spacing w:val="27"/>
          <w:sz w:val="24"/>
          <w:szCs w:val="24"/>
        </w:rPr>
        <w:t>4.</w:t>
      </w:r>
      <w:r>
        <w:rPr>
          <w:rFonts w:ascii="楷体" w:hAnsi="楷体" w:eastAsia="楷体" w:cs="楷体"/>
          <w:b/>
          <w:bCs/>
          <w:spacing w:val="27"/>
          <w:sz w:val="24"/>
          <w:szCs w:val="24"/>
        </w:rPr>
        <w:t>2</w:t>
      </w:r>
      <w:r>
        <w:rPr>
          <w:rFonts w:ascii="楷体" w:hAnsi="楷体" w:eastAsia="楷体" w:cs="楷体"/>
          <w:spacing w:val="-49"/>
          <w:sz w:val="24"/>
          <w:szCs w:val="24"/>
        </w:rPr>
        <w:t xml:space="preserve"> </w:t>
      </w:r>
      <w:r>
        <w:rPr>
          <w:rFonts w:ascii="楷体" w:hAnsi="楷体" w:eastAsia="楷体" w:cs="楷体"/>
          <w:b/>
          <w:bCs/>
          <w:spacing w:val="27"/>
          <w:sz w:val="24"/>
          <w:szCs w:val="24"/>
        </w:rPr>
        <w:t>.</w:t>
      </w:r>
      <w:r>
        <w:rPr>
          <w:rFonts w:ascii="楷体" w:hAnsi="楷体" w:eastAsia="楷体" w:cs="楷体"/>
          <w:spacing w:val="-53"/>
          <w:sz w:val="24"/>
          <w:szCs w:val="24"/>
        </w:rPr>
        <w:t xml:space="preserve"> </w:t>
      </w:r>
      <w:r>
        <w:rPr>
          <w:rFonts w:ascii="楷体" w:hAnsi="楷体" w:eastAsia="楷体" w:cs="楷体"/>
          <w:b/>
          <w:bCs/>
          <w:spacing w:val="27"/>
          <w:sz w:val="24"/>
          <w:szCs w:val="24"/>
        </w:rPr>
        <w:t>1关于产品改进的意见和建议</w:t>
      </w:r>
    </w:p>
    <w:p w14:paraId="3AA70E94">
      <w:pPr>
        <w:spacing w:before="110" w:line="223" w:lineRule="auto"/>
        <w:ind w:left="550"/>
        <w:rPr>
          <w:rFonts w:ascii="楷体" w:hAnsi="楷体" w:eastAsia="楷体" w:cs="楷体"/>
          <w:sz w:val="24"/>
          <w:szCs w:val="24"/>
        </w:rPr>
      </w:pPr>
      <w:r>
        <w:rPr>
          <w:rFonts w:ascii="楷体" w:hAnsi="楷体" w:eastAsia="楷体" w:cs="楷体"/>
          <w:spacing w:val="20"/>
          <w:sz w:val="24"/>
          <w:szCs w:val="24"/>
        </w:rPr>
        <w:t>4.</w:t>
      </w:r>
      <w:r>
        <w:rPr>
          <w:rFonts w:ascii="楷体" w:hAnsi="楷体" w:eastAsia="楷体" w:cs="楷体"/>
          <w:b/>
          <w:bCs/>
          <w:spacing w:val="20"/>
          <w:sz w:val="24"/>
          <w:szCs w:val="24"/>
        </w:rPr>
        <w:t>2.2</w:t>
      </w:r>
      <w:r>
        <w:rPr>
          <w:rFonts w:ascii="楷体" w:hAnsi="楷体" w:eastAsia="楷体" w:cs="楷体"/>
          <w:spacing w:val="8"/>
          <w:sz w:val="24"/>
          <w:szCs w:val="24"/>
        </w:rPr>
        <w:t xml:space="preserve">  </w:t>
      </w:r>
      <w:r>
        <w:rPr>
          <w:rFonts w:ascii="楷体" w:hAnsi="楷体" w:eastAsia="楷体" w:cs="楷体"/>
          <w:b/>
          <w:bCs/>
          <w:spacing w:val="20"/>
          <w:sz w:val="24"/>
          <w:szCs w:val="24"/>
        </w:rPr>
        <w:t>关于产品编制的意见和建议</w:t>
      </w:r>
    </w:p>
    <w:p w14:paraId="4778FF79">
      <w:pPr>
        <w:spacing w:before="126" w:line="228" w:lineRule="auto"/>
        <w:ind w:left="553"/>
        <w:rPr>
          <w:rFonts w:ascii="楷体" w:hAnsi="楷体" w:eastAsia="楷体" w:cs="楷体"/>
          <w:sz w:val="24"/>
          <w:szCs w:val="24"/>
        </w:rPr>
      </w:pPr>
      <w:r>
        <w:rPr>
          <w:rFonts w:ascii="楷体" w:hAnsi="楷体" w:eastAsia="楷体" w:cs="楷体"/>
          <w:b/>
          <w:bCs/>
          <w:spacing w:val="21"/>
          <w:sz w:val="24"/>
          <w:szCs w:val="24"/>
        </w:rPr>
        <w:t>4</w:t>
      </w:r>
      <w:r>
        <w:rPr>
          <w:rFonts w:ascii="楷体" w:hAnsi="楷体" w:eastAsia="楷体" w:cs="楷体"/>
          <w:spacing w:val="-58"/>
          <w:sz w:val="24"/>
          <w:szCs w:val="24"/>
        </w:rPr>
        <w:t xml:space="preserve"> </w:t>
      </w:r>
      <w:r>
        <w:rPr>
          <w:rFonts w:ascii="楷体" w:hAnsi="楷体" w:eastAsia="楷体" w:cs="楷体"/>
          <w:b/>
          <w:bCs/>
          <w:spacing w:val="21"/>
          <w:sz w:val="24"/>
          <w:szCs w:val="24"/>
        </w:rPr>
        <w:t>.</w:t>
      </w:r>
      <w:r>
        <w:rPr>
          <w:rFonts w:ascii="楷体" w:hAnsi="楷体" w:eastAsia="楷体" w:cs="楷体"/>
          <w:spacing w:val="-71"/>
          <w:sz w:val="24"/>
          <w:szCs w:val="24"/>
        </w:rPr>
        <w:t xml:space="preserve"> </w:t>
      </w:r>
      <w:r>
        <w:rPr>
          <w:rFonts w:ascii="楷体" w:hAnsi="楷体" w:eastAsia="楷体" w:cs="楷体"/>
          <w:b/>
          <w:bCs/>
          <w:spacing w:val="21"/>
          <w:sz w:val="24"/>
          <w:szCs w:val="24"/>
        </w:rPr>
        <w:t>2</w:t>
      </w:r>
      <w:r>
        <w:rPr>
          <w:rFonts w:ascii="楷体" w:hAnsi="楷体" w:eastAsia="楷体" w:cs="楷体"/>
          <w:spacing w:val="-62"/>
          <w:sz w:val="24"/>
          <w:szCs w:val="24"/>
        </w:rPr>
        <w:t xml:space="preserve"> </w:t>
      </w:r>
      <w:r>
        <w:rPr>
          <w:rFonts w:ascii="楷体" w:hAnsi="楷体" w:eastAsia="楷体" w:cs="楷体"/>
          <w:b/>
          <w:bCs/>
          <w:spacing w:val="21"/>
          <w:sz w:val="24"/>
          <w:szCs w:val="24"/>
        </w:rPr>
        <w:t>.</w:t>
      </w:r>
      <w:r>
        <w:rPr>
          <w:rFonts w:ascii="楷体" w:hAnsi="楷体" w:eastAsia="楷体" w:cs="楷体"/>
          <w:spacing w:val="-70"/>
          <w:sz w:val="24"/>
          <w:szCs w:val="24"/>
        </w:rPr>
        <w:t xml:space="preserve"> </w:t>
      </w:r>
      <w:r>
        <w:rPr>
          <w:rFonts w:ascii="楷体" w:hAnsi="楷体" w:eastAsia="楷体" w:cs="楷体"/>
          <w:b/>
          <w:bCs/>
          <w:spacing w:val="21"/>
          <w:sz w:val="24"/>
          <w:szCs w:val="24"/>
        </w:rPr>
        <w:t>3关于训练的意见和建议</w:t>
      </w:r>
    </w:p>
    <w:p w14:paraId="3A59861A">
      <w:pPr>
        <w:spacing w:before="57" w:line="223" w:lineRule="auto"/>
        <w:ind w:left="554"/>
        <w:rPr>
          <w:rFonts w:ascii="楷体" w:hAnsi="楷体" w:eastAsia="楷体" w:cs="楷体"/>
          <w:sz w:val="28"/>
          <w:szCs w:val="28"/>
        </w:rPr>
      </w:pPr>
      <w:r>
        <w:rPr>
          <w:rFonts w:ascii="楷体" w:hAnsi="楷体" w:eastAsia="楷体" w:cs="楷体"/>
          <w:b/>
          <w:bCs/>
          <w:sz w:val="28"/>
          <w:szCs w:val="28"/>
        </w:rPr>
        <w:t>4.2.4关于作战使用的意见和建议</w:t>
      </w:r>
    </w:p>
    <w:p w14:paraId="00F3B165">
      <w:pPr>
        <w:spacing w:before="105" w:line="227" w:lineRule="auto"/>
        <w:ind w:left="550"/>
        <w:rPr>
          <w:rFonts w:ascii="楷体" w:hAnsi="楷体" w:eastAsia="楷体" w:cs="楷体"/>
          <w:sz w:val="24"/>
          <w:szCs w:val="24"/>
        </w:rPr>
      </w:pPr>
      <w:r>
        <w:rPr>
          <w:rFonts w:ascii="Times New Roman" w:hAnsi="Times New Roman" w:eastAsia="Times New Roman" w:cs="Times New Roman"/>
          <w:b/>
          <w:bCs/>
          <w:spacing w:val="19"/>
          <w:sz w:val="24"/>
          <w:szCs w:val="24"/>
        </w:rPr>
        <w:t xml:space="preserve">4.2.5     </w:t>
      </w:r>
      <w:r>
        <w:rPr>
          <w:rFonts w:ascii="楷体" w:hAnsi="楷体" w:eastAsia="楷体" w:cs="楷体"/>
          <w:b/>
          <w:bCs/>
          <w:spacing w:val="19"/>
          <w:sz w:val="24"/>
          <w:szCs w:val="24"/>
        </w:rPr>
        <w:t>关于技术保障的意见和建议</w:t>
      </w:r>
    </w:p>
    <w:p w14:paraId="3E5F606C">
      <w:pPr>
        <w:spacing w:before="131" w:line="223" w:lineRule="auto"/>
        <w:ind w:left="553"/>
        <w:rPr>
          <w:rFonts w:ascii="楷体" w:hAnsi="楷体" w:eastAsia="楷体" w:cs="楷体"/>
          <w:sz w:val="24"/>
          <w:szCs w:val="24"/>
        </w:rPr>
      </w:pPr>
      <w:r>
        <w:rPr>
          <w:rFonts w:ascii="楷体" w:hAnsi="楷体" w:eastAsia="楷体" w:cs="楷体"/>
          <w:b/>
          <w:bCs/>
          <w:spacing w:val="4"/>
          <w:sz w:val="24"/>
          <w:szCs w:val="24"/>
        </w:rPr>
        <w:t>附</w:t>
      </w:r>
      <w:r>
        <w:rPr>
          <w:rFonts w:ascii="楷体" w:hAnsi="楷体" w:eastAsia="楷体" w:cs="楷体"/>
          <w:spacing w:val="-8"/>
          <w:sz w:val="24"/>
          <w:szCs w:val="24"/>
        </w:rPr>
        <w:t xml:space="preserve"> </w:t>
      </w:r>
      <w:r>
        <w:rPr>
          <w:rFonts w:ascii="楷体" w:hAnsi="楷体" w:eastAsia="楷体" w:cs="楷体"/>
          <w:b/>
          <w:bCs/>
          <w:spacing w:val="4"/>
          <w:sz w:val="24"/>
          <w:szCs w:val="24"/>
        </w:rPr>
        <w:t>件</w:t>
      </w:r>
      <w:r>
        <w:rPr>
          <w:rFonts w:ascii="楷体" w:hAnsi="楷体" w:eastAsia="楷体" w:cs="楷体"/>
          <w:spacing w:val="4"/>
          <w:sz w:val="24"/>
          <w:szCs w:val="24"/>
        </w:rPr>
        <w:t xml:space="preserve"> </w:t>
      </w:r>
      <w:r>
        <w:rPr>
          <w:rFonts w:ascii="楷体" w:hAnsi="楷体" w:eastAsia="楷体" w:cs="楷体"/>
          <w:b/>
          <w:bCs/>
          <w:spacing w:val="4"/>
          <w:sz w:val="24"/>
          <w:szCs w:val="24"/>
        </w:rPr>
        <w:t>1</w:t>
      </w:r>
      <w:r>
        <w:rPr>
          <w:rFonts w:ascii="楷体" w:hAnsi="楷体" w:eastAsia="楷体" w:cs="楷体"/>
          <w:spacing w:val="-12"/>
          <w:sz w:val="24"/>
          <w:szCs w:val="24"/>
        </w:rPr>
        <w:t xml:space="preserve"> </w:t>
      </w:r>
      <w:r>
        <w:rPr>
          <w:rFonts w:ascii="楷体" w:hAnsi="楷体" w:eastAsia="楷体" w:cs="楷体"/>
          <w:b/>
          <w:bCs/>
          <w:spacing w:val="4"/>
          <w:sz w:val="24"/>
          <w:szCs w:val="24"/>
        </w:rPr>
        <w:t>产品全貌</w:t>
      </w:r>
    </w:p>
    <w:p w14:paraId="6EC4166F">
      <w:pPr>
        <w:spacing w:before="120" w:line="223" w:lineRule="auto"/>
        <w:ind w:left="553"/>
        <w:rPr>
          <w:rFonts w:ascii="楷体" w:hAnsi="楷体" w:eastAsia="楷体" w:cs="楷体"/>
          <w:sz w:val="24"/>
          <w:szCs w:val="24"/>
        </w:rPr>
      </w:pPr>
      <w:r>
        <w:rPr>
          <w:rFonts w:ascii="楷体" w:hAnsi="楷体" w:eastAsia="楷体" w:cs="楷体"/>
          <w:b/>
          <w:bCs/>
          <w:spacing w:val="24"/>
          <w:sz w:val="24"/>
          <w:szCs w:val="24"/>
        </w:rPr>
        <w:t>附</w:t>
      </w:r>
      <w:r>
        <w:rPr>
          <w:rFonts w:ascii="楷体" w:hAnsi="楷体" w:eastAsia="楷体" w:cs="楷体"/>
          <w:spacing w:val="-34"/>
          <w:sz w:val="24"/>
          <w:szCs w:val="24"/>
        </w:rPr>
        <w:t xml:space="preserve"> </w:t>
      </w:r>
      <w:r>
        <w:rPr>
          <w:rFonts w:ascii="楷体" w:hAnsi="楷体" w:eastAsia="楷体" w:cs="楷体"/>
          <w:b/>
          <w:bCs/>
          <w:spacing w:val="24"/>
          <w:sz w:val="24"/>
          <w:szCs w:val="24"/>
        </w:rPr>
        <w:t>件</w:t>
      </w:r>
      <w:r>
        <w:rPr>
          <w:rFonts w:ascii="楷体" w:hAnsi="楷体" w:eastAsia="楷体" w:cs="楷体"/>
          <w:spacing w:val="-46"/>
          <w:sz w:val="24"/>
          <w:szCs w:val="24"/>
        </w:rPr>
        <w:t xml:space="preserve"> </w:t>
      </w:r>
      <w:r>
        <w:rPr>
          <w:rFonts w:ascii="楷体" w:hAnsi="楷体" w:eastAsia="楷体" w:cs="楷体"/>
          <w:b/>
          <w:bCs/>
          <w:spacing w:val="24"/>
          <w:sz w:val="24"/>
          <w:szCs w:val="24"/>
        </w:rPr>
        <w:t>2</w:t>
      </w:r>
      <w:r>
        <w:rPr>
          <w:rFonts w:ascii="楷体" w:hAnsi="楷体" w:eastAsia="楷体" w:cs="楷体"/>
          <w:spacing w:val="24"/>
          <w:sz w:val="24"/>
          <w:szCs w:val="24"/>
        </w:rPr>
        <w:t xml:space="preserve"> </w:t>
      </w:r>
      <w:r>
        <w:rPr>
          <w:rFonts w:ascii="楷体" w:hAnsi="楷体" w:eastAsia="楷体" w:cs="楷体"/>
          <w:b/>
          <w:bCs/>
          <w:spacing w:val="24"/>
          <w:sz w:val="24"/>
          <w:szCs w:val="24"/>
        </w:rPr>
        <w:t>产品试用前后主要技术性能测试记录</w:t>
      </w:r>
    </w:p>
    <w:p w14:paraId="53FE20E0">
      <w:pPr>
        <w:spacing w:before="100" w:line="223" w:lineRule="auto"/>
        <w:ind w:left="553"/>
        <w:rPr>
          <w:rFonts w:ascii="楷体" w:hAnsi="楷体" w:eastAsia="楷体" w:cs="楷体"/>
          <w:sz w:val="24"/>
          <w:szCs w:val="24"/>
        </w:rPr>
      </w:pPr>
      <w:r>
        <w:rPr>
          <w:rFonts w:ascii="楷体" w:hAnsi="楷体" w:eastAsia="楷体" w:cs="楷体"/>
          <w:b/>
          <w:bCs/>
          <w:spacing w:val="15"/>
          <w:sz w:val="24"/>
          <w:szCs w:val="24"/>
        </w:rPr>
        <w:t>附</w:t>
      </w:r>
      <w:r>
        <w:rPr>
          <w:rFonts w:ascii="楷体" w:hAnsi="楷体" w:eastAsia="楷体" w:cs="楷体"/>
          <w:spacing w:val="-41"/>
          <w:sz w:val="24"/>
          <w:szCs w:val="24"/>
        </w:rPr>
        <w:t xml:space="preserve"> </w:t>
      </w:r>
      <w:r>
        <w:rPr>
          <w:rFonts w:ascii="楷体" w:hAnsi="楷体" w:eastAsia="楷体" w:cs="楷体"/>
          <w:b/>
          <w:bCs/>
          <w:spacing w:val="15"/>
          <w:sz w:val="24"/>
          <w:szCs w:val="24"/>
        </w:rPr>
        <w:t>件</w:t>
      </w:r>
      <w:r>
        <w:rPr>
          <w:rFonts w:ascii="楷体" w:hAnsi="楷体" w:eastAsia="楷体" w:cs="楷体"/>
          <w:spacing w:val="-45"/>
          <w:sz w:val="24"/>
          <w:szCs w:val="24"/>
        </w:rPr>
        <w:t xml:space="preserve"> </w:t>
      </w:r>
      <w:r>
        <w:rPr>
          <w:rFonts w:ascii="楷体" w:hAnsi="楷体" w:eastAsia="楷体" w:cs="楷体"/>
          <w:b/>
          <w:bCs/>
          <w:spacing w:val="15"/>
          <w:sz w:val="24"/>
          <w:szCs w:val="24"/>
        </w:rPr>
        <w:t>3</w:t>
      </w:r>
      <w:r>
        <w:rPr>
          <w:rFonts w:ascii="楷体" w:hAnsi="楷体" w:eastAsia="楷体" w:cs="楷体"/>
          <w:spacing w:val="55"/>
          <w:sz w:val="24"/>
          <w:szCs w:val="24"/>
        </w:rPr>
        <w:t xml:space="preserve"> </w:t>
      </w:r>
      <w:r>
        <w:rPr>
          <w:rFonts w:ascii="楷体" w:hAnsi="楷体" w:eastAsia="楷体" w:cs="楷体"/>
          <w:b/>
          <w:bCs/>
          <w:spacing w:val="15"/>
          <w:sz w:val="24"/>
          <w:szCs w:val="24"/>
        </w:rPr>
        <w:t>产品试用结果综合</w:t>
      </w:r>
    </w:p>
    <w:p w14:paraId="1F4406EB">
      <w:pPr>
        <w:spacing w:before="110" w:line="223" w:lineRule="auto"/>
        <w:ind w:left="553"/>
        <w:rPr>
          <w:rFonts w:ascii="楷体" w:hAnsi="楷体" w:eastAsia="楷体" w:cs="楷体"/>
          <w:sz w:val="24"/>
          <w:szCs w:val="24"/>
        </w:rPr>
      </w:pPr>
      <w:r>
        <w:rPr>
          <w:rFonts w:ascii="楷体" w:hAnsi="楷体" w:eastAsia="楷体" w:cs="楷体"/>
          <w:b/>
          <w:bCs/>
          <w:spacing w:val="18"/>
          <w:sz w:val="24"/>
          <w:szCs w:val="24"/>
        </w:rPr>
        <w:t>附</w:t>
      </w:r>
      <w:r>
        <w:rPr>
          <w:rFonts w:ascii="楷体" w:hAnsi="楷体" w:eastAsia="楷体" w:cs="楷体"/>
          <w:spacing w:val="-44"/>
          <w:sz w:val="24"/>
          <w:szCs w:val="24"/>
        </w:rPr>
        <w:t xml:space="preserve"> </w:t>
      </w:r>
      <w:r>
        <w:rPr>
          <w:rFonts w:ascii="楷体" w:hAnsi="楷体" w:eastAsia="楷体" w:cs="楷体"/>
          <w:b/>
          <w:bCs/>
          <w:spacing w:val="18"/>
          <w:sz w:val="24"/>
          <w:szCs w:val="24"/>
        </w:rPr>
        <w:t>件</w:t>
      </w:r>
      <w:r>
        <w:rPr>
          <w:rFonts w:ascii="楷体" w:hAnsi="楷体" w:eastAsia="楷体" w:cs="楷体"/>
          <w:spacing w:val="-55"/>
          <w:sz w:val="24"/>
          <w:szCs w:val="24"/>
        </w:rPr>
        <w:t xml:space="preserve"> </w:t>
      </w:r>
      <w:r>
        <w:rPr>
          <w:rFonts w:ascii="楷体" w:hAnsi="楷体" w:eastAsia="楷体" w:cs="楷体"/>
          <w:b/>
          <w:bCs/>
          <w:spacing w:val="18"/>
          <w:sz w:val="24"/>
          <w:szCs w:val="24"/>
        </w:rPr>
        <w:t>4</w:t>
      </w:r>
      <w:r>
        <w:rPr>
          <w:rFonts w:ascii="楷体" w:hAnsi="楷体" w:eastAsia="楷体" w:cs="楷体"/>
          <w:spacing w:val="52"/>
          <w:sz w:val="24"/>
          <w:szCs w:val="24"/>
        </w:rPr>
        <w:t xml:space="preserve"> </w:t>
      </w:r>
      <w:r>
        <w:rPr>
          <w:rFonts w:ascii="楷体" w:hAnsi="楷体" w:eastAsia="楷体" w:cs="楷体"/>
          <w:b/>
          <w:bCs/>
          <w:spacing w:val="18"/>
          <w:sz w:val="24"/>
          <w:szCs w:val="24"/>
        </w:rPr>
        <w:t>产品试用期间故障</w:t>
      </w:r>
    </w:p>
    <w:p w14:paraId="6509A31B">
      <w:pPr>
        <w:pStyle w:val="2"/>
        <w:spacing w:line="350" w:lineRule="auto"/>
      </w:pPr>
    </w:p>
    <w:p w14:paraId="0784785F">
      <w:pPr>
        <w:spacing w:before="117" w:line="219" w:lineRule="auto"/>
        <w:ind w:left="2689"/>
        <w:outlineLvl w:val="1"/>
        <w:rPr>
          <w:rFonts w:ascii="宋体" w:hAnsi="宋体" w:eastAsia="宋体" w:cs="宋体"/>
          <w:sz w:val="36"/>
          <w:szCs w:val="36"/>
        </w:rPr>
      </w:pPr>
      <w:bookmarkStart w:id="115" w:name="bookmark56"/>
      <w:bookmarkEnd w:id="115"/>
      <w:r>
        <w:rPr>
          <w:rFonts w:ascii="Times New Roman" w:hAnsi="Times New Roman" w:eastAsia="Times New Roman" w:cs="Times New Roman"/>
          <w:b/>
          <w:bCs/>
          <w:spacing w:val="3"/>
          <w:sz w:val="36"/>
          <w:szCs w:val="36"/>
        </w:rPr>
        <w:t>1.54</w:t>
      </w:r>
      <w:r>
        <w:rPr>
          <w:rFonts w:ascii="Times New Roman" w:hAnsi="Times New Roman" w:eastAsia="Times New Roman" w:cs="Times New Roman"/>
          <w:b/>
          <w:bCs/>
          <w:spacing w:val="2"/>
          <w:sz w:val="36"/>
          <w:szCs w:val="36"/>
        </w:rPr>
        <w:t xml:space="preserve">     </w:t>
      </w:r>
      <w:r>
        <w:rPr>
          <w:rFonts w:ascii="宋体" w:hAnsi="宋体" w:eastAsia="宋体" w:cs="宋体"/>
          <w:b/>
          <w:bCs/>
          <w:spacing w:val="3"/>
          <w:sz w:val="36"/>
          <w:szCs w:val="36"/>
        </w:rPr>
        <w:t>技术状态更改建议</w:t>
      </w:r>
    </w:p>
    <w:p w14:paraId="195A603E">
      <w:pPr>
        <w:pStyle w:val="2"/>
        <w:spacing w:line="320" w:lineRule="auto"/>
      </w:pPr>
    </w:p>
    <w:p w14:paraId="63EDDB5A">
      <w:pPr>
        <w:spacing w:before="92" w:line="223" w:lineRule="auto"/>
        <w:ind w:left="554"/>
        <w:rPr>
          <w:rFonts w:ascii="楷体" w:hAnsi="楷体" w:eastAsia="楷体" w:cs="楷体"/>
          <w:sz w:val="28"/>
          <w:szCs w:val="28"/>
        </w:rPr>
      </w:pPr>
      <w:r>
        <w:rPr>
          <w:rFonts w:ascii="楷体" w:hAnsi="楷体" w:eastAsia="楷体" w:cs="楷体"/>
          <w:b/>
          <w:bCs/>
          <w:spacing w:val="-14"/>
          <w:sz w:val="28"/>
          <w:szCs w:val="28"/>
        </w:rPr>
        <w:t>按照</w:t>
      </w:r>
      <w:r>
        <w:rPr>
          <w:rFonts w:ascii="Times New Roman" w:hAnsi="Times New Roman" w:eastAsia="Times New Roman" w:cs="Times New Roman"/>
          <w:b/>
          <w:bCs/>
          <w:spacing w:val="-14"/>
          <w:sz w:val="28"/>
          <w:szCs w:val="28"/>
        </w:rPr>
        <w:t>GJB 3206A—2010</w:t>
      </w:r>
      <w:r>
        <w:rPr>
          <w:rFonts w:ascii="宋体" w:hAnsi="宋体" w:eastAsia="宋体" w:cs="宋体"/>
          <w:b/>
          <w:bCs/>
          <w:spacing w:val="-14"/>
          <w:sz w:val="28"/>
          <w:szCs w:val="28"/>
        </w:rPr>
        <w:t>《</w:t>
      </w:r>
      <w:r>
        <w:rPr>
          <w:rFonts w:ascii="楷体" w:hAnsi="楷体" w:eastAsia="楷体" w:cs="楷体"/>
          <w:b/>
          <w:bCs/>
          <w:spacing w:val="-14"/>
          <w:sz w:val="28"/>
          <w:szCs w:val="28"/>
        </w:rPr>
        <w:t>技术状态管理》编写。</w:t>
      </w:r>
    </w:p>
    <w:p w14:paraId="7093A17D">
      <w:pPr>
        <w:pStyle w:val="2"/>
        <w:spacing w:before="100" w:line="222" w:lineRule="auto"/>
        <w:rPr>
          <w:rFonts w:ascii="黑体" w:hAnsi="黑体" w:eastAsia="黑体" w:cs="黑体"/>
          <w:sz w:val="24"/>
          <w:szCs w:val="24"/>
        </w:rPr>
      </w:pPr>
      <w:r>
        <w:rPr>
          <w:spacing w:val="23"/>
          <w:sz w:val="24"/>
          <w:szCs w:val="24"/>
        </w:rPr>
        <w:t xml:space="preserve">1    </w:t>
      </w:r>
      <w:r>
        <w:rPr>
          <w:rFonts w:ascii="黑体" w:hAnsi="黑体" w:eastAsia="黑体" w:cs="黑体"/>
          <w:spacing w:val="23"/>
          <w:sz w:val="24"/>
          <w:szCs w:val="24"/>
        </w:rPr>
        <w:t>更改建议的标识号</w:t>
      </w:r>
    </w:p>
    <w:p w14:paraId="2BA0B1A5">
      <w:pPr>
        <w:spacing w:before="94" w:line="280" w:lineRule="auto"/>
        <w:ind w:right="84" w:firstLine="550"/>
        <w:rPr>
          <w:rFonts w:ascii="宋体" w:hAnsi="宋体" w:eastAsia="宋体" w:cs="宋体"/>
          <w:sz w:val="27"/>
          <w:szCs w:val="27"/>
        </w:rPr>
      </w:pPr>
      <w:r>
        <w:rPr>
          <w:rFonts w:ascii="宋体" w:hAnsi="宋体" w:eastAsia="宋体" w:cs="宋体"/>
          <w:spacing w:val="6"/>
          <w:sz w:val="27"/>
          <w:szCs w:val="27"/>
        </w:rPr>
        <w:t>标出更改建议的标识号。每一份技术状态更改建议都应有标识，并</w:t>
      </w:r>
      <w:r>
        <w:rPr>
          <w:rFonts w:ascii="宋体" w:hAnsi="宋体" w:eastAsia="宋体" w:cs="宋体"/>
          <w:spacing w:val="5"/>
          <w:sz w:val="27"/>
          <w:szCs w:val="27"/>
        </w:rPr>
        <w:t>保证标</w:t>
      </w:r>
      <w:r>
        <w:rPr>
          <w:rFonts w:ascii="宋体" w:hAnsi="宋体" w:eastAsia="宋体" w:cs="宋体"/>
          <w:sz w:val="27"/>
          <w:szCs w:val="27"/>
        </w:rPr>
        <w:t xml:space="preserve"> </w:t>
      </w:r>
      <w:r>
        <w:rPr>
          <w:rFonts w:ascii="宋体" w:hAnsi="宋体" w:eastAsia="宋体" w:cs="宋体"/>
          <w:spacing w:val="2"/>
          <w:sz w:val="27"/>
          <w:szCs w:val="27"/>
        </w:rPr>
        <w:t>识的唯一性。</w:t>
      </w:r>
    </w:p>
    <w:p w14:paraId="2628BDE3">
      <w:pPr>
        <w:spacing w:line="221" w:lineRule="auto"/>
        <w:rPr>
          <w:rFonts w:ascii="黑体" w:hAnsi="黑体" w:eastAsia="黑体" w:cs="黑体"/>
          <w:sz w:val="27"/>
          <w:szCs w:val="27"/>
        </w:rPr>
      </w:pPr>
      <w:r>
        <w:rPr>
          <w:rFonts w:ascii="黑体" w:hAnsi="黑体" w:eastAsia="黑体" w:cs="黑体"/>
          <w:spacing w:val="-5"/>
          <w:sz w:val="27"/>
          <w:szCs w:val="27"/>
        </w:rPr>
        <w:t>2  更改建议提出的单位、日期</w:t>
      </w:r>
    </w:p>
    <w:p w14:paraId="483F24F2">
      <w:pPr>
        <w:spacing w:before="78" w:line="219" w:lineRule="auto"/>
        <w:ind w:left="550"/>
        <w:rPr>
          <w:rFonts w:ascii="宋体" w:hAnsi="宋体" w:eastAsia="宋体" w:cs="宋体"/>
          <w:sz w:val="27"/>
          <w:szCs w:val="27"/>
        </w:rPr>
      </w:pPr>
      <w:r>
        <w:rPr>
          <w:rFonts w:ascii="宋体" w:hAnsi="宋体" w:eastAsia="宋体" w:cs="宋体"/>
          <w:spacing w:val="2"/>
          <w:sz w:val="27"/>
          <w:szCs w:val="27"/>
        </w:rPr>
        <w:t>记录更改建议提出的单位和日期。</w:t>
      </w:r>
    </w:p>
    <w:p w14:paraId="1FB0F8F0">
      <w:pPr>
        <w:pStyle w:val="2"/>
        <w:spacing w:before="39" w:line="368" w:lineRule="exact"/>
        <w:rPr>
          <w:rFonts w:ascii="黑体" w:hAnsi="黑体" w:eastAsia="黑体" w:cs="黑体"/>
          <w:sz w:val="27"/>
          <w:szCs w:val="27"/>
        </w:rPr>
      </w:pPr>
      <w:r>
        <w:rPr>
          <w:spacing w:val="4"/>
          <w:position w:val="2"/>
          <w:sz w:val="27"/>
          <w:szCs w:val="27"/>
        </w:rPr>
        <w:t>3</w:t>
      </w:r>
      <w:r>
        <w:rPr>
          <w:spacing w:val="15"/>
          <w:position w:val="2"/>
          <w:sz w:val="27"/>
          <w:szCs w:val="27"/>
        </w:rPr>
        <w:t xml:space="preserve">   </w:t>
      </w:r>
      <w:r>
        <w:rPr>
          <w:rFonts w:ascii="黑体" w:hAnsi="黑体" w:eastAsia="黑体" w:cs="黑体"/>
          <w:spacing w:val="4"/>
          <w:position w:val="2"/>
          <w:sz w:val="27"/>
          <w:szCs w:val="27"/>
        </w:rPr>
        <w:t>更改的类别</w:t>
      </w:r>
    </w:p>
    <w:p w14:paraId="278F2002">
      <w:pPr>
        <w:spacing w:before="103" w:line="219" w:lineRule="auto"/>
        <w:ind w:left="550"/>
        <w:rPr>
          <w:rFonts w:ascii="宋体" w:hAnsi="宋体" w:eastAsia="宋体" w:cs="宋体"/>
          <w:sz w:val="27"/>
          <w:szCs w:val="27"/>
        </w:rPr>
      </w:pPr>
      <w:r>
        <w:rPr>
          <w:rFonts w:ascii="宋体" w:hAnsi="宋体" w:eastAsia="宋体" w:cs="宋体"/>
          <w:spacing w:val="1"/>
          <w:sz w:val="27"/>
          <w:szCs w:val="27"/>
        </w:rPr>
        <w:t>明确技术状态更改的类别。</w:t>
      </w:r>
    </w:p>
    <w:p w14:paraId="0464AEF6">
      <w:pPr>
        <w:spacing w:before="101" w:line="272" w:lineRule="auto"/>
        <w:ind w:right="90" w:firstLine="550"/>
        <w:rPr>
          <w:rFonts w:ascii="宋体" w:hAnsi="宋体" w:eastAsia="宋体" w:cs="宋体"/>
          <w:sz w:val="27"/>
          <w:szCs w:val="27"/>
        </w:rPr>
      </w:pPr>
      <w:r>
        <w:rPr>
          <w:rFonts w:ascii="宋体" w:hAnsi="宋体" w:eastAsia="宋体" w:cs="宋体"/>
          <w:spacing w:val="8"/>
          <w:sz w:val="27"/>
          <w:szCs w:val="27"/>
        </w:rPr>
        <w:t>技术状态更改一般分为</w:t>
      </w:r>
      <w:r>
        <w:rPr>
          <w:rFonts w:ascii="Times New Roman" w:hAnsi="Times New Roman" w:eastAsia="Times New Roman" w:cs="Times New Roman"/>
          <w:spacing w:val="8"/>
          <w:sz w:val="27"/>
          <w:szCs w:val="27"/>
        </w:rPr>
        <w:t xml:space="preserve">I  </w:t>
      </w:r>
      <w:r>
        <w:rPr>
          <w:rFonts w:ascii="宋体" w:hAnsi="宋体" w:eastAsia="宋体" w:cs="宋体"/>
          <w:spacing w:val="8"/>
          <w:sz w:val="27"/>
          <w:szCs w:val="27"/>
        </w:rPr>
        <w:t>类、Ⅱ类。</w:t>
      </w:r>
      <w:r>
        <w:rPr>
          <w:rFonts w:ascii="Times New Roman" w:hAnsi="Times New Roman" w:eastAsia="Times New Roman" w:cs="Times New Roman"/>
          <w:spacing w:val="8"/>
          <w:sz w:val="27"/>
          <w:szCs w:val="27"/>
        </w:rPr>
        <w:t>I</w:t>
      </w:r>
      <w:r>
        <w:rPr>
          <w:rFonts w:ascii="Times New Roman" w:hAnsi="Times New Roman" w:eastAsia="Times New Roman" w:cs="Times New Roman"/>
          <w:spacing w:val="60"/>
          <w:sz w:val="27"/>
          <w:szCs w:val="27"/>
        </w:rPr>
        <w:t xml:space="preserve"> </w:t>
      </w:r>
      <w:r>
        <w:rPr>
          <w:rFonts w:ascii="宋体" w:hAnsi="宋体" w:eastAsia="宋体" w:cs="宋体"/>
          <w:spacing w:val="8"/>
          <w:sz w:val="27"/>
          <w:szCs w:val="27"/>
        </w:rPr>
        <w:t>类技术状态更改由订购方控制，Ⅱ</w:t>
      </w:r>
      <w:r>
        <w:rPr>
          <w:rFonts w:ascii="宋体" w:hAnsi="宋体" w:eastAsia="宋体" w:cs="宋体"/>
          <w:sz w:val="27"/>
          <w:szCs w:val="27"/>
        </w:rPr>
        <w:t xml:space="preserve"> </w:t>
      </w:r>
      <w:r>
        <w:rPr>
          <w:rFonts w:ascii="宋体" w:hAnsi="宋体" w:eastAsia="宋体" w:cs="宋体"/>
          <w:spacing w:val="15"/>
          <w:sz w:val="27"/>
          <w:szCs w:val="27"/>
        </w:rPr>
        <w:t>类技术状态更改由承制方自行控制。除</w:t>
      </w:r>
      <w:r>
        <w:rPr>
          <w:rFonts w:ascii="Times New Roman" w:hAnsi="Times New Roman" w:eastAsia="Times New Roman" w:cs="Times New Roman"/>
          <w:spacing w:val="15"/>
          <w:sz w:val="27"/>
          <w:szCs w:val="27"/>
        </w:rPr>
        <w:t>I</w:t>
      </w:r>
      <w:r>
        <w:rPr>
          <w:rFonts w:ascii="Times New Roman" w:hAnsi="Times New Roman" w:eastAsia="Times New Roman" w:cs="Times New Roman"/>
          <w:sz w:val="27"/>
          <w:szCs w:val="27"/>
        </w:rPr>
        <w:t xml:space="preserve">  </w:t>
      </w:r>
      <w:r>
        <w:rPr>
          <w:rFonts w:ascii="宋体" w:hAnsi="宋体" w:eastAsia="宋体" w:cs="宋体"/>
          <w:spacing w:val="15"/>
          <w:sz w:val="27"/>
          <w:szCs w:val="27"/>
        </w:rPr>
        <w:t>类之外的更改均属Ⅱ类技术状态更</w:t>
      </w:r>
      <w:r>
        <w:rPr>
          <w:rFonts w:ascii="宋体" w:hAnsi="宋体" w:eastAsia="宋体" w:cs="宋体"/>
          <w:spacing w:val="1"/>
          <w:sz w:val="27"/>
          <w:szCs w:val="27"/>
        </w:rPr>
        <w:t xml:space="preserve"> </w:t>
      </w:r>
      <w:r>
        <w:rPr>
          <w:rFonts w:ascii="仿宋" w:hAnsi="仿宋" w:eastAsia="仿宋" w:cs="仿宋"/>
          <w:spacing w:val="12"/>
          <w:sz w:val="27"/>
          <w:szCs w:val="27"/>
        </w:rPr>
        <w:t>改</w:t>
      </w:r>
      <w:r>
        <w:rPr>
          <w:rFonts w:ascii="仿宋" w:hAnsi="仿宋" w:eastAsia="仿宋" w:cs="仿宋"/>
          <w:spacing w:val="-61"/>
          <w:sz w:val="27"/>
          <w:szCs w:val="27"/>
        </w:rPr>
        <w:t xml:space="preserve"> </w:t>
      </w:r>
      <w:r>
        <w:rPr>
          <w:rFonts w:ascii="仿宋" w:hAnsi="仿宋" w:eastAsia="仿宋" w:cs="仿宋"/>
          <w:spacing w:val="12"/>
          <w:sz w:val="27"/>
          <w:szCs w:val="27"/>
        </w:rPr>
        <w:t>。</w:t>
      </w:r>
      <w:r>
        <w:rPr>
          <w:rFonts w:ascii="宋体" w:hAnsi="宋体" w:eastAsia="宋体" w:cs="宋体"/>
          <w:spacing w:val="12"/>
          <w:sz w:val="27"/>
          <w:szCs w:val="27"/>
        </w:rPr>
        <w:t>承制方可根据行业习惯细化技术状态更改类别，但应经订</w:t>
      </w:r>
      <w:r>
        <w:rPr>
          <w:rFonts w:ascii="宋体" w:hAnsi="宋体" w:eastAsia="宋体" w:cs="宋体"/>
          <w:spacing w:val="11"/>
          <w:sz w:val="27"/>
          <w:szCs w:val="27"/>
        </w:rPr>
        <w:t>购方认可。当</w:t>
      </w:r>
      <w:r>
        <w:rPr>
          <w:rFonts w:ascii="宋体" w:hAnsi="宋体" w:eastAsia="宋体" w:cs="宋体"/>
          <w:sz w:val="27"/>
          <w:szCs w:val="27"/>
        </w:rPr>
        <w:t xml:space="preserve"> </w:t>
      </w:r>
      <w:r>
        <w:rPr>
          <w:rFonts w:ascii="宋体" w:hAnsi="宋体" w:eastAsia="宋体" w:cs="宋体"/>
          <w:spacing w:val="14"/>
          <w:sz w:val="27"/>
          <w:szCs w:val="27"/>
        </w:rPr>
        <w:t>订购方和承制方对技术状态更改归类有分歧时</w:t>
      </w:r>
      <w:r>
        <w:rPr>
          <w:rFonts w:ascii="宋体" w:hAnsi="宋体" w:eastAsia="宋体" w:cs="宋体"/>
          <w:spacing w:val="13"/>
          <w:sz w:val="27"/>
          <w:szCs w:val="27"/>
        </w:rPr>
        <w:t>，经双方充分协商后由订购方</w:t>
      </w:r>
      <w:r>
        <w:rPr>
          <w:rFonts w:ascii="宋体" w:hAnsi="宋体" w:eastAsia="宋体" w:cs="宋体"/>
          <w:sz w:val="27"/>
          <w:szCs w:val="27"/>
        </w:rPr>
        <w:t xml:space="preserve"> </w:t>
      </w:r>
      <w:r>
        <w:rPr>
          <w:rFonts w:ascii="宋体" w:hAnsi="宋体" w:eastAsia="宋体" w:cs="宋体"/>
          <w:spacing w:val="6"/>
          <w:sz w:val="27"/>
          <w:szCs w:val="27"/>
        </w:rPr>
        <w:t>最后决定。</w:t>
      </w:r>
    </w:p>
    <w:p w14:paraId="6044FC4A">
      <w:pPr>
        <w:spacing w:before="39" w:line="219" w:lineRule="auto"/>
        <w:ind w:left="550"/>
        <w:rPr>
          <w:rFonts w:ascii="宋体" w:hAnsi="宋体" w:eastAsia="宋体" w:cs="宋体"/>
          <w:sz w:val="27"/>
          <w:szCs w:val="27"/>
        </w:rPr>
      </w:pPr>
      <w:r>
        <w:rPr>
          <w:rFonts w:ascii="宋体" w:hAnsi="宋体" w:eastAsia="宋体" w:cs="宋体"/>
          <w:spacing w:val="6"/>
          <w:sz w:val="27"/>
          <w:szCs w:val="27"/>
        </w:rPr>
        <w:t>下列更改均属</w:t>
      </w:r>
      <w:r>
        <w:rPr>
          <w:rFonts w:ascii="Times New Roman" w:hAnsi="Times New Roman" w:eastAsia="Times New Roman" w:cs="Times New Roman"/>
          <w:spacing w:val="6"/>
          <w:sz w:val="27"/>
          <w:szCs w:val="27"/>
        </w:rPr>
        <w:t>I</w:t>
      </w:r>
      <w:r>
        <w:rPr>
          <w:rFonts w:ascii="Times New Roman" w:hAnsi="Times New Roman" w:eastAsia="Times New Roman" w:cs="Times New Roman"/>
          <w:spacing w:val="56"/>
          <w:sz w:val="27"/>
          <w:szCs w:val="27"/>
        </w:rPr>
        <w:t xml:space="preserve"> </w:t>
      </w:r>
      <w:r>
        <w:rPr>
          <w:rFonts w:ascii="宋体" w:hAnsi="宋体" w:eastAsia="宋体" w:cs="宋体"/>
          <w:spacing w:val="6"/>
          <w:sz w:val="27"/>
          <w:szCs w:val="27"/>
        </w:rPr>
        <w:t>类技术状态更改。</w:t>
      </w:r>
    </w:p>
    <w:p w14:paraId="2F88309E">
      <w:pPr>
        <w:spacing w:before="50" w:line="260" w:lineRule="auto"/>
        <w:ind w:right="91" w:firstLine="55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53"/>
          <w:w w:val="101"/>
          <w:sz w:val="27"/>
          <w:szCs w:val="27"/>
        </w:rPr>
        <w:t xml:space="preserve"> </w:t>
      </w:r>
      <w:r>
        <w:rPr>
          <w:rFonts w:ascii="宋体" w:hAnsi="宋体" w:eastAsia="宋体" w:cs="宋体"/>
          <w:spacing w:val="-4"/>
          <w:sz w:val="27"/>
          <w:szCs w:val="27"/>
        </w:rPr>
        <w:t>更改涉及合同，影响合同中下列任一个或多个要素：1)合同经费；</w:t>
      </w:r>
      <w:r>
        <w:rPr>
          <w:rFonts w:ascii="宋体" w:hAnsi="宋体" w:eastAsia="宋体" w:cs="宋体"/>
          <w:spacing w:val="-5"/>
          <w:sz w:val="27"/>
          <w:szCs w:val="27"/>
        </w:rPr>
        <w:t>2)合同</w:t>
      </w:r>
      <w:r>
        <w:rPr>
          <w:rFonts w:ascii="宋体" w:hAnsi="宋体" w:eastAsia="宋体" w:cs="宋体"/>
          <w:sz w:val="27"/>
          <w:szCs w:val="27"/>
        </w:rPr>
        <w:t xml:space="preserve"> </w:t>
      </w:r>
      <w:r>
        <w:rPr>
          <w:rFonts w:ascii="宋体" w:hAnsi="宋体" w:eastAsia="宋体" w:cs="宋体"/>
          <w:spacing w:val="-5"/>
          <w:sz w:val="27"/>
          <w:szCs w:val="27"/>
        </w:rPr>
        <w:t>保证或担保；3)合同规定的交付要求；4)合同重</w:t>
      </w:r>
      <w:r>
        <w:rPr>
          <w:rFonts w:ascii="宋体" w:hAnsi="宋体" w:eastAsia="宋体" w:cs="宋体"/>
          <w:spacing w:val="-6"/>
          <w:sz w:val="27"/>
          <w:szCs w:val="27"/>
        </w:rPr>
        <w:t>大事件安排。</w:t>
      </w:r>
    </w:p>
    <w:p w14:paraId="11BF4FF2">
      <w:pPr>
        <w:spacing w:before="55" w:line="267" w:lineRule="auto"/>
        <w:ind w:firstLine="550"/>
        <w:rPr>
          <w:rFonts w:ascii="宋体" w:hAnsi="宋体" w:eastAsia="宋体" w:cs="宋体"/>
          <w:sz w:val="27"/>
          <w:szCs w:val="27"/>
        </w:rPr>
      </w:pPr>
      <w:r>
        <w:rPr>
          <w:rFonts w:ascii="Times New Roman" w:hAnsi="Times New Roman" w:eastAsia="Times New Roman" w:cs="Times New Roman"/>
          <w:spacing w:val="11"/>
          <w:sz w:val="27"/>
          <w:szCs w:val="27"/>
        </w:rPr>
        <w:t>b)</w:t>
      </w:r>
      <w:r>
        <w:rPr>
          <w:rFonts w:ascii="Times New Roman" w:hAnsi="Times New Roman" w:eastAsia="Times New Roman" w:cs="Times New Roman"/>
          <w:spacing w:val="58"/>
          <w:sz w:val="27"/>
          <w:szCs w:val="27"/>
        </w:rPr>
        <w:t xml:space="preserve"> </w:t>
      </w:r>
      <w:r>
        <w:rPr>
          <w:rFonts w:ascii="宋体" w:hAnsi="宋体" w:eastAsia="宋体" w:cs="宋体"/>
          <w:spacing w:val="11"/>
          <w:sz w:val="27"/>
          <w:szCs w:val="27"/>
        </w:rPr>
        <w:t>更改涉及功能基线、分配基线或产品基线，影响下列任一要求</w:t>
      </w:r>
      <w:r>
        <w:rPr>
          <w:rFonts w:ascii="宋体" w:hAnsi="宋体" w:eastAsia="宋体" w:cs="宋体"/>
          <w:spacing w:val="10"/>
          <w:sz w:val="27"/>
          <w:szCs w:val="27"/>
        </w:rPr>
        <w:t>：1)性</w:t>
      </w:r>
      <w:r>
        <w:rPr>
          <w:rFonts w:ascii="宋体" w:hAnsi="宋体" w:eastAsia="宋体" w:cs="宋体"/>
          <w:sz w:val="27"/>
          <w:szCs w:val="27"/>
        </w:rPr>
        <w:t xml:space="preserve"> </w:t>
      </w:r>
      <w:r>
        <w:rPr>
          <w:rFonts w:ascii="宋体" w:hAnsi="宋体" w:eastAsia="宋体" w:cs="宋体"/>
          <w:spacing w:val="-10"/>
          <w:sz w:val="27"/>
          <w:szCs w:val="27"/>
        </w:rPr>
        <w:t>能；2)可靠性、维修性、测试性、安全性、保障性、生存性、环境适应性、电磁兼</w:t>
      </w:r>
      <w:r>
        <w:rPr>
          <w:rFonts w:ascii="宋体" w:hAnsi="宋体" w:eastAsia="宋体" w:cs="宋体"/>
          <w:spacing w:val="9"/>
          <w:sz w:val="27"/>
          <w:szCs w:val="27"/>
        </w:rPr>
        <w:t xml:space="preserve"> </w:t>
      </w:r>
      <w:r>
        <w:rPr>
          <w:rFonts w:ascii="宋体" w:hAnsi="宋体" w:eastAsia="宋体" w:cs="宋体"/>
          <w:sz w:val="27"/>
          <w:szCs w:val="27"/>
        </w:rPr>
        <w:t>容性等特性；3)重量、重心、惯性矩；4)接口特性；5)技术状态项及其零部件、</w:t>
      </w:r>
      <w:r>
        <w:rPr>
          <w:rFonts w:ascii="宋体" w:hAnsi="宋体" w:eastAsia="宋体" w:cs="宋体"/>
          <w:spacing w:val="14"/>
          <w:sz w:val="27"/>
          <w:szCs w:val="27"/>
        </w:rPr>
        <w:t xml:space="preserve"> </w:t>
      </w:r>
      <w:r>
        <w:rPr>
          <w:rFonts w:ascii="宋体" w:hAnsi="宋体" w:eastAsia="宋体" w:cs="宋体"/>
          <w:spacing w:val="1"/>
          <w:sz w:val="27"/>
          <w:szCs w:val="27"/>
        </w:rPr>
        <w:t>组件的互换性；6)已交付的使用手册、维修手册；7)与保障设备、训练器材(装</w:t>
      </w:r>
      <w:r>
        <w:rPr>
          <w:rFonts w:ascii="宋体" w:hAnsi="宋体" w:eastAsia="宋体" w:cs="宋体"/>
          <w:spacing w:val="9"/>
          <w:sz w:val="27"/>
          <w:szCs w:val="27"/>
        </w:rPr>
        <w:t xml:space="preserve"> </w:t>
      </w:r>
      <w:r>
        <w:rPr>
          <w:rFonts w:ascii="宋体" w:hAnsi="宋体" w:eastAsia="宋体" w:cs="宋体"/>
          <w:spacing w:val="-6"/>
          <w:sz w:val="27"/>
          <w:szCs w:val="27"/>
        </w:rPr>
        <w:t>置)、保障软件、零备件等的兼容性；8)技能、人员配备、训练、生物医学因</w:t>
      </w:r>
      <w:r>
        <w:rPr>
          <w:rFonts w:ascii="宋体" w:hAnsi="宋体" w:eastAsia="宋体" w:cs="宋体"/>
          <w:spacing w:val="-7"/>
          <w:sz w:val="27"/>
          <w:szCs w:val="27"/>
        </w:rPr>
        <w:t>素或</w:t>
      </w:r>
      <w:r>
        <w:rPr>
          <w:rFonts w:ascii="宋体" w:hAnsi="宋体" w:eastAsia="宋体" w:cs="宋体"/>
          <w:sz w:val="27"/>
          <w:szCs w:val="27"/>
        </w:rPr>
        <w:t xml:space="preserve"> </w:t>
      </w:r>
      <w:r>
        <w:rPr>
          <w:rFonts w:ascii="宋体" w:hAnsi="宋体" w:eastAsia="宋体" w:cs="宋体"/>
          <w:spacing w:val="7"/>
          <w:sz w:val="27"/>
          <w:szCs w:val="27"/>
        </w:rPr>
        <w:t>人机工程设计。</w:t>
      </w:r>
    </w:p>
    <w:p w14:paraId="452F89EB">
      <w:pPr>
        <w:spacing w:line="267" w:lineRule="auto"/>
        <w:rPr>
          <w:rFonts w:ascii="宋体" w:hAnsi="宋体" w:eastAsia="宋体" w:cs="宋体"/>
          <w:sz w:val="27"/>
          <w:szCs w:val="27"/>
        </w:rPr>
        <w:sectPr>
          <w:footerReference r:id="rId171" w:type="default"/>
          <w:pgSz w:w="11910" w:h="17130"/>
          <w:pgMar w:top="400" w:right="804" w:bottom="1657" w:left="1640" w:header="0" w:footer="1440" w:gutter="0"/>
          <w:cols w:space="720" w:num="1"/>
        </w:sectPr>
      </w:pPr>
    </w:p>
    <w:p w14:paraId="1D1EA1D1">
      <w:pPr>
        <w:pStyle w:val="2"/>
        <w:spacing w:line="268" w:lineRule="auto"/>
      </w:pPr>
    </w:p>
    <w:p w14:paraId="414C01B1">
      <w:pPr>
        <w:pStyle w:val="2"/>
        <w:spacing w:line="268" w:lineRule="auto"/>
      </w:pPr>
    </w:p>
    <w:p w14:paraId="36EE902D">
      <w:pPr>
        <w:pStyle w:val="2"/>
        <w:spacing w:line="269" w:lineRule="auto"/>
      </w:pPr>
    </w:p>
    <w:p w14:paraId="5EAE428C">
      <w:pPr>
        <w:pStyle w:val="2"/>
        <w:spacing w:line="269" w:lineRule="auto"/>
      </w:pPr>
    </w:p>
    <w:p w14:paraId="2CA48492">
      <w:pPr>
        <w:pStyle w:val="2"/>
        <w:spacing w:before="88" w:line="222" w:lineRule="auto"/>
        <w:rPr>
          <w:rFonts w:ascii="黑体" w:hAnsi="黑体" w:eastAsia="黑体" w:cs="黑体"/>
          <w:sz w:val="27"/>
          <w:szCs w:val="27"/>
        </w:rPr>
      </w:pPr>
      <w:bookmarkStart w:id="116" w:name="bookmark367"/>
      <w:bookmarkEnd w:id="116"/>
      <w:r>
        <w:rPr>
          <w:spacing w:val="2"/>
          <w:sz w:val="27"/>
          <w:szCs w:val="27"/>
        </w:rPr>
        <w:t>4</w:t>
      </w:r>
      <w:r>
        <w:rPr>
          <w:spacing w:val="20"/>
          <w:sz w:val="27"/>
          <w:szCs w:val="27"/>
        </w:rPr>
        <w:t xml:space="preserve">   </w:t>
      </w:r>
      <w:r>
        <w:rPr>
          <w:rFonts w:ascii="黑体" w:hAnsi="黑体" w:eastAsia="黑体" w:cs="黑体"/>
          <w:spacing w:val="2"/>
          <w:sz w:val="27"/>
          <w:szCs w:val="27"/>
        </w:rPr>
        <w:t>更改的迫切程度</w:t>
      </w:r>
    </w:p>
    <w:p w14:paraId="1F66116F">
      <w:pPr>
        <w:spacing w:before="45" w:line="296" w:lineRule="auto"/>
        <w:ind w:right="107" w:firstLine="560"/>
        <w:rPr>
          <w:rFonts w:ascii="宋体" w:hAnsi="宋体" w:eastAsia="宋体" w:cs="宋体"/>
          <w:sz w:val="27"/>
          <w:szCs w:val="27"/>
        </w:rPr>
      </w:pPr>
      <w:r>
        <w:rPr>
          <w:rFonts w:ascii="宋体" w:hAnsi="宋体" w:eastAsia="宋体" w:cs="宋体"/>
          <w:spacing w:val="6"/>
          <w:sz w:val="27"/>
          <w:szCs w:val="27"/>
        </w:rPr>
        <w:t>说明技术状态更改的迫切程度，包括不进行更改的影响和更</w:t>
      </w:r>
      <w:r>
        <w:rPr>
          <w:rFonts w:ascii="宋体" w:hAnsi="宋体" w:eastAsia="宋体" w:cs="宋体"/>
          <w:spacing w:val="5"/>
          <w:sz w:val="27"/>
          <w:szCs w:val="27"/>
        </w:rPr>
        <w:t>改可以为产品</w:t>
      </w:r>
      <w:r>
        <w:rPr>
          <w:rFonts w:ascii="宋体" w:hAnsi="宋体" w:eastAsia="宋体" w:cs="宋体"/>
          <w:sz w:val="27"/>
          <w:szCs w:val="27"/>
        </w:rPr>
        <w:t xml:space="preserve"> 带来的改进。</w:t>
      </w:r>
    </w:p>
    <w:p w14:paraId="4FC72184">
      <w:pPr>
        <w:pStyle w:val="2"/>
        <w:spacing w:before="1" w:line="220" w:lineRule="auto"/>
        <w:rPr>
          <w:rFonts w:ascii="黑体" w:hAnsi="黑体" w:eastAsia="黑体" w:cs="黑体"/>
          <w:sz w:val="24"/>
          <w:szCs w:val="24"/>
        </w:rPr>
      </w:pPr>
      <w:r>
        <w:rPr>
          <w:b/>
          <w:bCs/>
          <w:spacing w:val="14"/>
          <w:sz w:val="24"/>
          <w:szCs w:val="24"/>
        </w:rPr>
        <w:t xml:space="preserve">5    </w:t>
      </w:r>
      <w:r>
        <w:rPr>
          <w:rFonts w:ascii="黑体" w:hAnsi="黑体" w:eastAsia="黑体" w:cs="黑体"/>
          <w:b/>
          <w:bCs/>
          <w:spacing w:val="14"/>
          <w:sz w:val="24"/>
          <w:szCs w:val="24"/>
        </w:rPr>
        <w:t>更改的型号</w:t>
      </w:r>
      <w:r>
        <w:rPr>
          <w:rFonts w:ascii="黑体" w:hAnsi="黑体" w:eastAsia="黑体" w:cs="黑体"/>
          <w:spacing w:val="14"/>
          <w:sz w:val="24"/>
          <w:szCs w:val="24"/>
        </w:rPr>
        <w:t>、技术状态项的名称、</w:t>
      </w:r>
      <w:r>
        <w:rPr>
          <w:rFonts w:ascii="黑体" w:hAnsi="黑体" w:eastAsia="黑体" w:cs="黑体"/>
          <w:spacing w:val="13"/>
          <w:sz w:val="24"/>
          <w:szCs w:val="24"/>
        </w:rPr>
        <w:t>编号</w:t>
      </w:r>
    </w:p>
    <w:p w14:paraId="5D25285E">
      <w:pPr>
        <w:spacing w:before="108" w:line="219" w:lineRule="auto"/>
        <w:ind w:left="560"/>
        <w:rPr>
          <w:rFonts w:ascii="宋体" w:hAnsi="宋体" w:eastAsia="宋体" w:cs="宋体"/>
          <w:sz w:val="27"/>
          <w:szCs w:val="27"/>
        </w:rPr>
      </w:pPr>
      <w:r>
        <w:rPr>
          <w:rFonts w:ascii="宋体" w:hAnsi="宋体" w:eastAsia="宋体" w:cs="宋体"/>
          <w:spacing w:val="-4"/>
          <w:sz w:val="27"/>
          <w:szCs w:val="27"/>
        </w:rPr>
        <w:t>说明更改的型号、技术状态项的名称和编号。</w:t>
      </w:r>
    </w:p>
    <w:p w14:paraId="6CE8D2CA">
      <w:pPr>
        <w:pStyle w:val="2"/>
        <w:spacing w:before="29" w:line="368" w:lineRule="exact"/>
        <w:rPr>
          <w:rFonts w:ascii="黑体" w:hAnsi="黑体" w:eastAsia="黑体" w:cs="黑体"/>
          <w:sz w:val="27"/>
          <w:szCs w:val="27"/>
        </w:rPr>
      </w:pPr>
      <w:r>
        <w:rPr>
          <w:spacing w:val="-4"/>
          <w:position w:val="1"/>
          <w:sz w:val="27"/>
          <w:szCs w:val="27"/>
        </w:rPr>
        <w:t>6</w:t>
      </w:r>
      <w:r>
        <w:rPr>
          <w:spacing w:val="24"/>
          <w:w w:val="101"/>
          <w:position w:val="1"/>
          <w:sz w:val="27"/>
          <w:szCs w:val="27"/>
        </w:rPr>
        <w:t xml:space="preserve">   </w:t>
      </w:r>
      <w:r>
        <w:rPr>
          <w:rFonts w:ascii="黑体" w:hAnsi="黑体" w:eastAsia="黑体" w:cs="黑体"/>
          <w:spacing w:val="-4"/>
          <w:position w:val="1"/>
          <w:sz w:val="27"/>
          <w:szCs w:val="27"/>
        </w:rPr>
        <w:t>受影响的其他技术状态项的名称、编号</w:t>
      </w:r>
    </w:p>
    <w:p w14:paraId="5FA691A8">
      <w:pPr>
        <w:spacing w:before="82" w:line="219" w:lineRule="auto"/>
        <w:ind w:left="560"/>
        <w:rPr>
          <w:rFonts w:ascii="宋体" w:hAnsi="宋体" w:eastAsia="宋体" w:cs="宋体"/>
          <w:sz w:val="27"/>
          <w:szCs w:val="27"/>
        </w:rPr>
      </w:pPr>
      <w:r>
        <w:rPr>
          <w:rFonts w:ascii="宋体" w:hAnsi="宋体" w:eastAsia="宋体" w:cs="宋体"/>
          <w:spacing w:val="4"/>
          <w:sz w:val="27"/>
          <w:szCs w:val="27"/>
        </w:rPr>
        <w:t>列出所有受到技术状态更改影响的其他技术状态项的名称和编号。</w:t>
      </w:r>
    </w:p>
    <w:p w14:paraId="637A0C63">
      <w:pPr>
        <w:pStyle w:val="2"/>
        <w:spacing w:before="97" w:line="221" w:lineRule="auto"/>
        <w:rPr>
          <w:rFonts w:ascii="黑体" w:hAnsi="黑体" w:eastAsia="黑体" w:cs="黑体"/>
          <w:sz w:val="27"/>
          <w:szCs w:val="27"/>
        </w:rPr>
      </w:pPr>
      <w:r>
        <w:rPr>
          <w:spacing w:val="-4"/>
          <w:sz w:val="27"/>
          <w:szCs w:val="27"/>
        </w:rPr>
        <w:t>7</w:t>
      </w:r>
      <w:r>
        <w:rPr>
          <w:spacing w:val="23"/>
          <w:sz w:val="27"/>
          <w:szCs w:val="27"/>
        </w:rPr>
        <w:t xml:space="preserve">   </w:t>
      </w:r>
      <w:r>
        <w:rPr>
          <w:rFonts w:ascii="黑体" w:hAnsi="黑体" w:eastAsia="黑体" w:cs="黑体"/>
          <w:spacing w:val="-4"/>
          <w:sz w:val="27"/>
          <w:szCs w:val="27"/>
        </w:rPr>
        <w:t>受影响的技术状态文档的名称、编号</w:t>
      </w:r>
    </w:p>
    <w:p w14:paraId="2C76280F">
      <w:pPr>
        <w:spacing w:before="90" w:line="219" w:lineRule="auto"/>
        <w:ind w:left="560"/>
        <w:rPr>
          <w:rFonts w:ascii="宋体" w:hAnsi="宋体" w:eastAsia="宋体" w:cs="宋体"/>
          <w:sz w:val="27"/>
          <w:szCs w:val="27"/>
        </w:rPr>
      </w:pPr>
      <w:r>
        <w:rPr>
          <w:rFonts w:ascii="宋体" w:hAnsi="宋体" w:eastAsia="宋体" w:cs="宋体"/>
          <w:spacing w:val="4"/>
          <w:sz w:val="27"/>
          <w:szCs w:val="27"/>
        </w:rPr>
        <w:t>列出所有受到技术状态更改影响的技术状态文档的名称和编号。</w:t>
      </w:r>
    </w:p>
    <w:p w14:paraId="5CAB1C0E">
      <w:pPr>
        <w:pStyle w:val="2"/>
        <w:spacing w:before="65" w:line="327" w:lineRule="exact"/>
        <w:rPr>
          <w:rFonts w:ascii="黑体" w:hAnsi="黑体" w:eastAsia="黑体" w:cs="黑体"/>
          <w:sz w:val="24"/>
          <w:szCs w:val="24"/>
        </w:rPr>
      </w:pPr>
      <w:r>
        <w:rPr>
          <w:spacing w:val="23"/>
          <w:position w:val="1"/>
          <w:sz w:val="24"/>
          <w:szCs w:val="24"/>
        </w:rPr>
        <w:t xml:space="preserve">8    </w:t>
      </w:r>
      <w:r>
        <w:rPr>
          <w:rFonts w:ascii="黑体" w:hAnsi="黑体" w:eastAsia="黑体" w:cs="黑体"/>
          <w:spacing w:val="23"/>
          <w:position w:val="1"/>
          <w:sz w:val="24"/>
          <w:szCs w:val="24"/>
        </w:rPr>
        <w:t>受影响的产品的范围</w:t>
      </w:r>
    </w:p>
    <w:p w14:paraId="72A2EF14">
      <w:pPr>
        <w:spacing w:before="88" w:line="219" w:lineRule="auto"/>
        <w:jc w:val="right"/>
        <w:rPr>
          <w:rFonts w:ascii="宋体" w:hAnsi="宋体" w:eastAsia="宋体" w:cs="宋体"/>
          <w:sz w:val="27"/>
          <w:szCs w:val="27"/>
        </w:rPr>
      </w:pPr>
      <w:r>
        <w:rPr>
          <w:rFonts w:ascii="宋体" w:hAnsi="宋体" w:eastAsia="宋体" w:cs="宋体"/>
          <w:spacing w:val="-7"/>
          <w:sz w:val="27"/>
          <w:szCs w:val="27"/>
        </w:rPr>
        <w:t>列出受到技术状态更改影响的产品的范围，包括在制品、</w:t>
      </w:r>
      <w:r>
        <w:rPr>
          <w:rFonts w:ascii="宋体" w:hAnsi="宋体" w:eastAsia="宋体" w:cs="宋体"/>
          <w:spacing w:val="-8"/>
          <w:sz w:val="27"/>
          <w:szCs w:val="27"/>
        </w:rPr>
        <w:t>制成品、在役品等。</w:t>
      </w:r>
    </w:p>
    <w:p w14:paraId="39ECF79E">
      <w:pPr>
        <w:spacing w:before="116" w:line="221" w:lineRule="auto"/>
        <w:rPr>
          <w:rFonts w:ascii="黑体" w:hAnsi="黑体" w:eastAsia="黑体" w:cs="黑体"/>
          <w:sz w:val="24"/>
          <w:szCs w:val="24"/>
        </w:rPr>
      </w:pPr>
      <w:r>
        <w:rPr>
          <w:rFonts w:ascii="黑体" w:hAnsi="黑体" w:eastAsia="黑体" w:cs="黑体"/>
          <w:spacing w:val="30"/>
          <w:sz w:val="24"/>
          <w:szCs w:val="24"/>
        </w:rPr>
        <w:t>9</w:t>
      </w:r>
      <w:r>
        <w:rPr>
          <w:rFonts w:ascii="黑体" w:hAnsi="黑体" w:eastAsia="黑体" w:cs="黑体"/>
          <w:spacing w:val="36"/>
          <w:sz w:val="24"/>
          <w:szCs w:val="24"/>
        </w:rPr>
        <w:t xml:space="preserve">  </w:t>
      </w:r>
      <w:r>
        <w:rPr>
          <w:rFonts w:ascii="黑体" w:hAnsi="黑体" w:eastAsia="黑体" w:cs="黑体"/>
          <w:spacing w:val="30"/>
          <w:sz w:val="24"/>
          <w:szCs w:val="24"/>
        </w:rPr>
        <w:t>更改理由简要说明</w:t>
      </w:r>
    </w:p>
    <w:p w14:paraId="7FB1C8F6">
      <w:pPr>
        <w:spacing w:before="94" w:line="219" w:lineRule="auto"/>
        <w:ind w:left="560"/>
        <w:rPr>
          <w:rFonts w:ascii="宋体" w:hAnsi="宋体" w:eastAsia="宋体" w:cs="宋体"/>
          <w:sz w:val="27"/>
          <w:szCs w:val="27"/>
        </w:rPr>
      </w:pPr>
      <w:r>
        <w:rPr>
          <w:rFonts w:ascii="宋体" w:hAnsi="宋体" w:eastAsia="宋体" w:cs="宋体"/>
          <w:spacing w:val="3"/>
          <w:sz w:val="27"/>
          <w:szCs w:val="27"/>
        </w:rPr>
        <w:t>简要说明必须进行技术状态更改的理由。</w:t>
      </w:r>
    </w:p>
    <w:p w14:paraId="3DEF6219">
      <w:pPr>
        <w:spacing w:before="80" w:line="222" w:lineRule="auto"/>
        <w:rPr>
          <w:rFonts w:ascii="黑体" w:hAnsi="黑体" w:eastAsia="黑体" w:cs="黑体"/>
          <w:sz w:val="27"/>
          <w:szCs w:val="27"/>
        </w:rPr>
      </w:pPr>
      <w:r>
        <w:rPr>
          <w:rFonts w:ascii="黑体" w:hAnsi="黑体" w:eastAsia="黑体" w:cs="黑体"/>
          <w:spacing w:val="-1"/>
          <w:sz w:val="27"/>
          <w:szCs w:val="27"/>
        </w:rPr>
        <w:t>10</w:t>
      </w:r>
      <w:r>
        <w:rPr>
          <w:rFonts w:ascii="黑体" w:hAnsi="黑体" w:eastAsia="黑体" w:cs="黑体"/>
          <w:spacing w:val="23"/>
          <w:sz w:val="27"/>
          <w:szCs w:val="27"/>
        </w:rPr>
        <w:t xml:space="preserve">  </w:t>
      </w:r>
      <w:r>
        <w:rPr>
          <w:rFonts w:ascii="黑体" w:hAnsi="黑体" w:eastAsia="黑体" w:cs="黑体"/>
          <w:spacing w:val="-1"/>
          <w:sz w:val="27"/>
          <w:szCs w:val="27"/>
        </w:rPr>
        <w:t>更改内容</w:t>
      </w:r>
    </w:p>
    <w:p w14:paraId="78CDE796">
      <w:pPr>
        <w:spacing w:before="87" w:line="219" w:lineRule="auto"/>
        <w:ind w:left="560"/>
        <w:rPr>
          <w:rFonts w:ascii="宋体" w:hAnsi="宋体" w:eastAsia="宋体" w:cs="宋体"/>
          <w:sz w:val="27"/>
          <w:szCs w:val="27"/>
        </w:rPr>
      </w:pPr>
      <w:r>
        <w:rPr>
          <w:rFonts w:ascii="宋体" w:hAnsi="宋体" w:eastAsia="宋体" w:cs="宋体"/>
          <w:spacing w:val="2"/>
          <w:sz w:val="27"/>
          <w:szCs w:val="27"/>
        </w:rPr>
        <w:t>逐条列出技术状态更改的内容。</w:t>
      </w:r>
    </w:p>
    <w:p w14:paraId="050040ED">
      <w:pPr>
        <w:spacing w:before="68" w:line="222" w:lineRule="auto"/>
        <w:rPr>
          <w:rFonts w:ascii="黑体" w:hAnsi="黑体" w:eastAsia="黑体" w:cs="黑体"/>
          <w:sz w:val="27"/>
          <w:szCs w:val="27"/>
        </w:rPr>
      </w:pPr>
      <w:r>
        <w:rPr>
          <w:rFonts w:ascii="黑体" w:hAnsi="黑体" w:eastAsia="黑体" w:cs="黑体"/>
          <w:spacing w:val="4"/>
          <w:sz w:val="27"/>
          <w:szCs w:val="27"/>
        </w:rPr>
        <w:t>11</w:t>
      </w:r>
      <w:r>
        <w:rPr>
          <w:rFonts w:ascii="黑体" w:hAnsi="黑体" w:eastAsia="黑体" w:cs="黑体"/>
          <w:spacing w:val="22"/>
          <w:sz w:val="27"/>
          <w:szCs w:val="27"/>
        </w:rPr>
        <w:t xml:space="preserve">  </w:t>
      </w:r>
      <w:r>
        <w:rPr>
          <w:rFonts w:ascii="黑体" w:hAnsi="黑体" w:eastAsia="黑体" w:cs="黑体"/>
          <w:spacing w:val="4"/>
          <w:sz w:val="27"/>
          <w:szCs w:val="27"/>
        </w:rPr>
        <w:t>更改带来的影响</w:t>
      </w:r>
    </w:p>
    <w:p w14:paraId="3206D2B1">
      <w:pPr>
        <w:spacing w:before="96" w:line="277" w:lineRule="auto"/>
        <w:ind w:right="123" w:firstLine="560"/>
        <w:rPr>
          <w:rFonts w:ascii="宋体" w:hAnsi="宋体" w:eastAsia="宋体" w:cs="宋体"/>
          <w:sz w:val="27"/>
          <w:szCs w:val="27"/>
        </w:rPr>
      </w:pPr>
      <w:r>
        <w:rPr>
          <w:rFonts w:ascii="宋体" w:hAnsi="宋体" w:eastAsia="宋体" w:cs="宋体"/>
          <w:spacing w:val="-3"/>
          <w:sz w:val="27"/>
          <w:szCs w:val="27"/>
        </w:rPr>
        <w:t>指出技术状态更改带来的影响，包括对战术技术指标、作战使用性能、综合</w:t>
      </w:r>
      <w:r>
        <w:rPr>
          <w:rFonts w:ascii="宋体" w:hAnsi="宋体" w:eastAsia="宋体" w:cs="宋体"/>
          <w:sz w:val="27"/>
          <w:szCs w:val="27"/>
        </w:rPr>
        <w:t xml:space="preserve"> </w:t>
      </w:r>
      <w:r>
        <w:rPr>
          <w:rFonts w:ascii="宋体" w:hAnsi="宋体" w:eastAsia="宋体" w:cs="宋体"/>
          <w:spacing w:val="-7"/>
          <w:sz w:val="27"/>
          <w:szCs w:val="27"/>
        </w:rPr>
        <w:t>保障、研制进度等的影响。</w:t>
      </w:r>
    </w:p>
    <w:p w14:paraId="15E8909C">
      <w:pPr>
        <w:spacing w:line="221" w:lineRule="auto"/>
        <w:rPr>
          <w:rFonts w:ascii="黑体" w:hAnsi="黑体" w:eastAsia="黑体" w:cs="黑体"/>
          <w:sz w:val="27"/>
          <w:szCs w:val="27"/>
        </w:rPr>
      </w:pPr>
      <w:r>
        <w:rPr>
          <w:rFonts w:ascii="黑体" w:hAnsi="黑体" w:eastAsia="黑体" w:cs="黑体"/>
          <w:spacing w:val="2"/>
          <w:sz w:val="27"/>
          <w:szCs w:val="27"/>
        </w:rPr>
        <w:t>12</w:t>
      </w:r>
      <w:r>
        <w:rPr>
          <w:rFonts w:ascii="黑体" w:hAnsi="黑体" w:eastAsia="黑体" w:cs="黑体"/>
          <w:spacing w:val="24"/>
          <w:sz w:val="27"/>
          <w:szCs w:val="27"/>
        </w:rPr>
        <w:t xml:space="preserve">  </w:t>
      </w:r>
      <w:r>
        <w:rPr>
          <w:rFonts w:ascii="黑体" w:hAnsi="黑体" w:eastAsia="黑体" w:cs="黑体"/>
          <w:spacing w:val="2"/>
          <w:sz w:val="27"/>
          <w:szCs w:val="27"/>
        </w:rPr>
        <w:t>更改所需费用估算</w:t>
      </w:r>
    </w:p>
    <w:p w14:paraId="387724CC">
      <w:pPr>
        <w:spacing w:before="95" w:line="218" w:lineRule="auto"/>
        <w:ind w:left="560"/>
        <w:rPr>
          <w:rFonts w:ascii="宋体" w:hAnsi="宋体" w:eastAsia="宋体" w:cs="宋体"/>
          <w:sz w:val="27"/>
          <w:szCs w:val="27"/>
        </w:rPr>
      </w:pPr>
      <w:r>
        <w:rPr>
          <w:rFonts w:ascii="宋体" w:hAnsi="宋体" w:eastAsia="宋体" w:cs="宋体"/>
          <w:spacing w:val="-3"/>
          <w:sz w:val="27"/>
          <w:szCs w:val="27"/>
        </w:rPr>
        <w:t>对技术状态更改所需费用进行估算，列出明细。</w:t>
      </w:r>
    </w:p>
    <w:p w14:paraId="38102EEB">
      <w:pPr>
        <w:spacing w:before="91" w:line="221" w:lineRule="auto"/>
        <w:rPr>
          <w:rFonts w:ascii="黑体" w:hAnsi="黑体" w:eastAsia="黑体" w:cs="黑体"/>
          <w:sz w:val="27"/>
          <w:szCs w:val="27"/>
        </w:rPr>
      </w:pPr>
      <w:r>
        <w:rPr>
          <w:rFonts w:ascii="黑体" w:hAnsi="黑体" w:eastAsia="黑体" w:cs="黑体"/>
          <w:sz w:val="27"/>
          <w:szCs w:val="27"/>
        </w:rPr>
        <w:t>13</w:t>
      </w:r>
      <w:r>
        <w:rPr>
          <w:rFonts w:ascii="黑体" w:hAnsi="黑体" w:eastAsia="黑体" w:cs="黑体"/>
          <w:spacing w:val="25"/>
          <w:sz w:val="27"/>
          <w:szCs w:val="27"/>
        </w:rPr>
        <w:t xml:space="preserve">  </w:t>
      </w:r>
      <w:r>
        <w:rPr>
          <w:rFonts w:ascii="黑体" w:hAnsi="黑体" w:eastAsia="黑体" w:cs="黑体"/>
          <w:sz w:val="27"/>
          <w:szCs w:val="27"/>
        </w:rPr>
        <w:t>更改实施方案</w:t>
      </w:r>
    </w:p>
    <w:p w14:paraId="1045215C">
      <w:pPr>
        <w:spacing w:before="80" w:line="219" w:lineRule="auto"/>
        <w:ind w:left="560"/>
        <w:rPr>
          <w:rFonts w:ascii="宋体" w:hAnsi="宋体" w:eastAsia="宋体" w:cs="宋体"/>
          <w:sz w:val="27"/>
          <w:szCs w:val="27"/>
        </w:rPr>
      </w:pPr>
      <w:r>
        <w:rPr>
          <w:rFonts w:ascii="宋体" w:hAnsi="宋体" w:eastAsia="宋体" w:cs="宋体"/>
          <w:spacing w:val="-3"/>
          <w:sz w:val="27"/>
          <w:szCs w:val="27"/>
        </w:rPr>
        <w:t>提出技术状态更改的具体实施方案，含实施日期。</w:t>
      </w:r>
    </w:p>
    <w:p w14:paraId="4CD2D2EB">
      <w:pPr>
        <w:spacing w:before="64" w:line="222" w:lineRule="auto"/>
        <w:ind w:left="3"/>
        <w:rPr>
          <w:rFonts w:ascii="黑体" w:hAnsi="黑体" w:eastAsia="黑体" w:cs="黑体"/>
          <w:sz w:val="27"/>
          <w:szCs w:val="27"/>
        </w:rPr>
      </w:pPr>
      <w:r>
        <w:rPr>
          <w:rFonts w:ascii="黑体" w:hAnsi="黑体" w:eastAsia="黑体" w:cs="黑体"/>
          <w:b/>
          <w:bCs/>
          <w:spacing w:val="-10"/>
          <w:sz w:val="27"/>
          <w:szCs w:val="27"/>
        </w:rPr>
        <w:t>附录</w:t>
      </w:r>
    </w:p>
    <w:p w14:paraId="555D3B1C">
      <w:pPr>
        <w:pStyle w:val="2"/>
        <w:spacing w:line="360" w:lineRule="auto"/>
      </w:pPr>
    </w:p>
    <w:p w14:paraId="15505BDC">
      <w:pPr>
        <w:spacing w:before="117" w:line="219" w:lineRule="auto"/>
        <w:ind w:left="2889"/>
        <w:outlineLvl w:val="1"/>
        <w:rPr>
          <w:rFonts w:ascii="宋体" w:hAnsi="宋体" w:eastAsia="宋体" w:cs="宋体"/>
          <w:sz w:val="36"/>
          <w:szCs w:val="36"/>
        </w:rPr>
      </w:pPr>
      <w:bookmarkStart w:id="117" w:name="bookmark57"/>
      <w:bookmarkEnd w:id="117"/>
      <w:r>
        <w:rPr>
          <w:rFonts w:ascii="宋体" w:hAnsi="宋体" w:eastAsia="宋体" w:cs="宋体"/>
          <w:spacing w:val="1"/>
          <w:sz w:val="36"/>
          <w:szCs w:val="36"/>
        </w:rPr>
        <w:t>1.</w:t>
      </w:r>
      <w:r>
        <w:rPr>
          <w:rFonts w:ascii="宋体" w:hAnsi="宋体" w:eastAsia="宋体" w:cs="宋体"/>
          <w:b/>
          <w:bCs/>
          <w:spacing w:val="1"/>
          <w:sz w:val="36"/>
          <w:szCs w:val="36"/>
        </w:rPr>
        <w:t>55</w:t>
      </w:r>
      <w:r>
        <w:rPr>
          <w:rFonts w:ascii="宋体" w:hAnsi="宋体" w:eastAsia="宋体" w:cs="宋体"/>
          <w:spacing w:val="1"/>
          <w:sz w:val="36"/>
          <w:szCs w:val="36"/>
        </w:rPr>
        <w:t xml:space="preserve">  </w:t>
      </w:r>
      <w:r>
        <w:rPr>
          <w:rFonts w:ascii="宋体" w:hAnsi="宋体" w:eastAsia="宋体" w:cs="宋体"/>
          <w:b/>
          <w:bCs/>
          <w:spacing w:val="1"/>
          <w:sz w:val="36"/>
          <w:szCs w:val="36"/>
        </w:rPr>
        <w:t>偏离(超差)申请</w:t>
      </w:r>
    </w:p>
    <w:p w14:paraId="1B881E8D">
      <w:pPr>
        <w:pStyle w:val="2"/>
        <w:spacing w:line="366" w:lineRule="auto"/>
      </w:pPr>
    </w:p>
    <w:p w14:paraId="7663231C">
      <w:pPr>
        <w:spacing w:before="79" w:line="223" w:lineRule="auto"/>
        <w:ind w:left="560"/>
        <w:rPr>
          <w:rFonts w:ascii="楷体" w:hAnsi="楷体" w:eastAsia="楷体" w:cs="楷体"/>
          <w:sz w:val="24"/>
          <w:szCs w:val="24"/>
        </w:rPr>
      </w:pPr>
      <w:r>
        <w:rPr>
          <w:rFonts w:ascii="楷体" w:hAnsi="楷体" w:eastAsia="楷体" w:cs="楷体"/>
          <w:spacing w:val="7"/>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7"/>
          <w:sz w:val="24"/>
          <w:szCs w:val="24"/>
        </w:rPr>
        <w:t xml:space="preserve">    3206A—2010</w:t>
      </w:r>
      <w:r>
        <w:rPr>
          <w:rFonts w:ascii="宋体" w:hAnsi="宋体" w:eastAsia="宋体" w:cs="宋体"/>
          <w:spacing w:val="7"/>
          <w:sz w:val="24"/>
          <w:szCs w:val="24"/>
        </w:rPr>
        <w:t>《</w:t>
      </w:r>
      <w:r>
        <w:rPr>
          <w:rFonts w:ascii="楷体" w:hAnsi="楷体" w:eastAsia="楷体" w:cs="楷体"/>
          <w:spacing w:val="7"/>
          <w:sz w:val="24"/>
          <w:szCs w:val="24"/>
        </w:rPr>
        <w:t>技术状态管理》编写。</w:t>
      </w:r>
    </w:p>
    <w:p w14:paraId="33C998DA">
      <w:pPr>
        <w:spacing w:before="107" w:line="222"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5"/>
          <w:sz w:val="27"/>
          <w:szCs w:val="27"/>
        </w:rPr>
        <w:t xml:space="preserve">  </w:t>
      </w:r>
      <w:r>
        <w:rPr>
          <w:rFonts w:ascii="黑体" w:hAnsi="黑体" w:eastAsia="黑体" w:cs="黑体"/>
          <w:spacing w:val="3"/>
          <w:sz w:val="27"/>
          <w:szCs w:val="27"/>
        </w:rPr>
        <w:t>偏离(超差)申请的标识号</w:t>
      </w:r>
    </w:p>
    <w:p w14:paraId="43325ADD">
      <w:pPr>
        <w:spacing w:before="44" w:line="284" w:lineRule="auto"/>
        <w:ind w:right="125" w:firstLine="560"/>
        <w:rPr>
          <w:rFonts w:ascii="宋体" w:hAnsi="宋体" w:eastAsia="宋体" w:cs="宋体"/>
          <w:sz w:val="27"/>
          <w:szCs w:val="27"/>
        </w:rPr>
      </w:pPr>
      <w:r>
        <w:rPr>
          <w:rFonts w:ascii="宋体" w:hAnsi="宋体" w:eastAsia="宋体" w:cs="宋体"/>
          <w:spacing w:val="5"/>
          <w:sz w:val="27"/>
          <w:szCs w:val="27"/>
        </w:rPr>
        <w:t>标出偏离(超差)申请的标识号。每一份偏离(超差)申请都应有标识，</w:t>
      </w:r>
      <w:r>
        <w:rPr>
          <w:rFonts w:ascii="宋体" w:hAnsi="宋体" w:eastAsia="宋体" w:cs="宋体"/>
          <w:spacing w:val="4"/>
          <w:sz w:val="27"/>
          <w:szCs w:val="27"/>
        </w:rPr>
        <w:t>并保</w:t>
      </w:r>
      <w:r>
        <w:rPr>
          <w:rFonts w:ascii="宋体" w:hAnsi="宋体" w:eastAsia="宋体" w:cs="宋体"/>
          <w:sz w:val="27"/>
          <w:szCs w:val="27"/>
        </w:rPr>
        <w:t xml:space="preserve"> </w:t>
      </w:r>
      <w:r>
        <w:rPr>
          <w:rFonts w:ascii="宋体" w:hAnsi="宋体" w:eastAsia="宋体" w:cs="宋体"/>
          <w:spacing w:val="5"/>
          <w:sz w:val="27"/>
          <w:szCs w:val="27"/>
        </w:rPr>
        <w:t>证标识的唯一性。</w:t>
      </w:r>
    </w:p>
    <w:p w14:paraId="43B00675">
      <w:pPr>
        <w:spacing w:before="1" w:line="222" w:lineRule="auto"/>
        <w:rPr>
          <w:rFonts w:ascii="黑体" w:hAnsi="黑体" w:eastAsia="黑体" w:cs="黑体"/>
          <w:sz w:val="27"/>
          <w:szCs w:val="27"/>
        </w:rPr>
      </w:pPr>
      <w:r>
        <w:rPr>
          <w:rFonts w:ascii="黑体" w:hAnsi="黑体" w:eastAsia="黑体" w:cs="黑体"/>
          <w:spacing w:val="-12"/>
          <w:sz w:val="27"/>
          <w:szCs w:val="27"/>
        </w:rPr>
        <w:t>2</w:t>
      </w:r>
      <w:r>
        <w:rPr>
          <w:rFonts w:ascii="黑体" w:hAnsi="黑体" w:eastAsia="黑体" w:cs="黑体"/>
          <w:spacing w:val="16"/>
          <w:sz w:val="27"/>
          <w:szCs w:val="27"/>
        </w:rPr>
        <w:t xml:space="preserve">  </w:t>
      </w:r>
      <w:r>
        <w:rPr>
          <w:rFonts w:ascii="黑体" w:hAnsi="黑体" w:eastAsia="黑体" w:cs="黑体"/>
          <w:spacing w:val="-12"/>
          <w:sz w:val="27"/>
          <w:szCs w:val="27"/>
        </w:rPr>
        <w:t>申请单位、日期</w:t>
      </w:r>
    </w:p>
    <w:p w14:paraId="1AC523C7">
      <w:pPr>
        <w:spacing w:before="124" w:line="219" w:lineRule="auto"/>
        <w:ind w:left="560"/>
        <w:rPr>
          <w:rFonts w:ascii="宋体" w:hAnsi="宋体" w:eastAsia="宋体" w:cs="宋体"/>
          <w:sz w:val="24"/>
          <w:szCs w:val="24"/>
        </w:rPr>
      </w:pPr>
      <w:r>
        <w:rPr>
          <w:rFonts w:ascii="宋体" w:hAnsi="宋体" w:eastAsia="宋体" w:cs="宋体"/>
          <w:spacing w:val="30"/>
          <w:sz w:val="24"/>
          <w:szCs w:val="24"/>
        </w:rPr>
        <w:t>记录偏离(超差)申请提出的单位和日期。</w:t>
      </w:r>
    </w:p>
    <w:p w14:paraId="0420AB41">
      <w:pPr>
        <w:pStyle w:val="2"/>
        <w:spacing w:before="80" w:line="327" w:lineRule="exact"/>
        <w:rPr>
          <w:rFonts w:ascii="黑体" w:hAnsi="黑体" w:eastAsia="黑体" w:cs="黑体"/>
          <w:sz w:val="24"/>
          <w:szCs w:val="24"/>
        </w:rPr>
      </w:pPr>
      <w:r>
        <w:rPr>
          <w:spacing w:val="21"/>
          <w:position w:val="1"/>
          <w:sz w:val="24"/>
          <w:szCs w:val="24"/>
        </w:rPr>
        <w:t xml:space="preserve">3    </w:t>
      </w:r>
      <w:r>
        <w:rPr>
          <w:rFonts w:ascii="黑体" w:hAnsi="黑体" w:eastAsia="黑体" w:cs="黑体"/>
          <w:spacing w:val="21"/>
          <w:position w:val="1"/>
          <w:sz w:val="24"/>
          <w:szCs w:val="24"/>
        </w:rPr>
        <w:t>偏离(超差)的级别</w:t>
      </w:r>
    </w:p>
    <w:p w14:paraId="1F4E9635">
      <w:pPr>
        <w:spacing w:before="129" w:line="219" w:lineRule="auto"/>
        <w:ind w:left="560"/>
        <w:rPr>
          <w:rFonts w:ascii="宋体" w:hAnsi="宋体" w:eastAsia="宋体" w:cs="宋体"/>
          <w:sz w:val="25"/>
          <w:szCs w:val="25"/>
        </w:rPr>
      </w:pPr>
      <w:r>
        <w:rPr>
          <w:rFonts w:ascii="宋体" w:hAnsi="宋体" w:eastAsia="宋体" w:cs="宋体"/>
          <w:spacing w:val="24"/>
          <w:sz w:val="25"/>
          <w:szCs w:val="25"/>
        </w:rPr>
        <w:t>偏离(超差)的级别一般分为严重级和轻度级，严重级之外的属轻度级。涉</w:t>
      </w:r>
    </w:p>
    <w:p w14:paraId="789129FB">
      <w:pPr>
        <w:spacing w:line="219" w:lineRule="auto"/>
        <w:rPr>
          <w:rFonts w:ascii="宋体" w:hAnsi="宋体" w:eastAsia="宋体" w:cs="宋体"/>
          <w:sz w:val="25"/>
          <w:szCs w:val="25"/>
        </w:rPr>
        <w:sectPr>
          <w:footerReference r:id="rId172" w:type="default"/>
          <w:pgSz w:w="11910" w:h="17130"/>
          <w:pgMar w:top="400" w:right="1244" w:bottom="1664" w:left="1170" w:header="0" w:footer="1438" w:gutter="0"/>
          <w:cols w:space="720" w:num="1"/>
        </w:sectPr>
      </w:pPr>
    </w:p>
    <w:p w14:paraId="3E9BCD5B">
      <w:pPr>
        <w:pStyle w:val="2"/>
        <w:spacing w:line="284" w:lineRule="auto"/>
      </w:pPr>
    </w:p>
    <w:p w14:paraId="4645E7C3">
      <w:pPr>
        <w:pStyle w:val="2"/>
        <w:spacing w:line="284" w:lineRule="auto"/>
      </w:pPr>
    </w:p>
    <w:p w14:paraId="28D5888C">
      <w:pPr>
        <w:pStyle w:val="2"/>
        <w:spacing w:line="284" w:lineRule="auto"/>
      </w:pPr>
    </w:p>
    <w:p w14:paraId="57B624CD">
      <w:pPr>
        <w:pStyle w:val="2"/>
        <w:spacing w:line="284" w:lineRule="auto"/>
      </w:pPr>
    </w:p>
    <w:p w14:paraId="010006BD">
      <w:pPr>
        <w:spacing w:before="88" w:line="219" w:lineRule="auto"/>
        <w:rPr>
          <w:rFonts w:ascii="宋体" w:hAnsi="宋体" w:eastAsia="宋体" w:cs="宋体"/>
          <w:sz w:val="27"/>
          <w:szCs w:val="27"/>
        </w:rPr>
      </w:pPr>
      <w:r>
        <w:rPr>
          <w:rFonts w:ascii="宋体" w:hAnsi="宋体" w:eastAsia="宋体" w:cs="宋体"/>
          <w:spacing w:val="-4"/>
          <w:sz w:val="27"/>
          <w:szCs w:val="27"/>
        </w:rPr>
        <w:t>及下列任一项的偏离、超差均属严重级：</w:t>
      </w:r>
    </w:p>
    <w:p w14:paraId="7EB0F9A0">
      <w:pPr>
        <w:spacing w:before="69" w:line="219" w:lineRule="auto"/>
        <w:ind w:left="560"/>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Times New Roman" w:hAnsi="Times New Roman" w:eastAsia="Times New Roman" w:cs="Times New Roman"/>
          <w:spacing w:val="-22"/>
          <w:sz w:val="27"/>
          <w:szCs w:val="27"/>
        </w:rPr>
        <w:t xml:space="preserve"> </w:t>
      </w:r>
      <w:r>
        <w:rPr>
          <w:rFonts w:ascii="宋体" w:hAnsi="宋体" w:eastAsia="宋体" w:cs="宋体"/>
          <w:spacing w:val="-11"/>
          <w:sz w:val="27"/>
          <w:szCs w:val="27"/>
        </w:rPr>
        <w:t>)</w:t>
      </w:r>
      <w:r>
        <w:rPr>
          <w:rFonts w:ascii="宋体" w:hAnsi="宋体" w:eastAsia="宋体" w:cs="宋体"/>
          <w:spacing w:val="-48"/>
          <w:sz w:val="27"/>
          <w:szCs w:val="27"/>
        </w:rPr>
        <w:t xml:space="preserve"> </w:t>
      </w:r>
      <w:r>
        <w:rPr>
          <w:rFonts w:ascii="宋体" w:hAnsi="宋体" w:eastAsia="宋体" w:cs="宋体"/>
          <w:spacing w:val="-11"/>
          <w:sz w:val="27"/>
          <w:szCs w:val="27"/>
        </w:rPr>
        <w:t>功能特性、使用特性；</w:t>
      </w:r>
    </w:p>
    <w:p w14:paraId="714284C0">
      <w:pPr>
        <w:spacing w:before="69"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功能接口或物理接口；</w:t>
      </w:r>
    </w:p>
    <w:p w14:paraId="6778D787">
      <w:pPr>
        <w:spacing w:before="89" w:line="212" w:lineRule="auto"/>
        <w:ind w:left="560"/>
        <w:rPr>
          <w:rFonts w:ascii="宋体" w:hAnsi="宋体" w:eastAsia="宋体" w:cs="宋体"/>
          <w:sz w:val="27"/>
          <w:szCs w:val="27"/>
        </w:rPr>
      </w:pPr>
      <w:r>
        <w:rPr>
          <w:rFonts w:ascii="Times New Roman" w:hAnsi="Times New Roman" w:eastAsia="Times New Roman" w:cs="Times New Roman"/>
          <w:sz w:val="27"/>
          <w:szCs w:val="27"/>
        </w:rPr>
        <w:t xml:space="preserve">c)  </w:t>
      </w:r>
      <w:r>
        <w:rPr>
          <w:rFonts w:ascii="宋体" w:hAnsi="宋体" w:eastAsia="宋体" w:cs="宋体"/>
          <w:sz w:val="27"/>
          <w:szCs w:val="27"/>
        </w:rPr>
        <w:t>互换性；</w:t>
      </w:r>
    </w:p>
    <w:p w14:paraId="268E0788">
      <w:pPr>
        <w:spacing w:before="99" w:line="212" w:lineRule="auto"/>
        <w:ind w:left="560"/>
        <w:rPr>
          <w:rFonts w:ascii="宋体" w:hAnsi="宋体" w:eastAsia="宋体" w:cs="宋体"/>
          <w:sz w:val="27"/>
          <w:szCs w:val="27"/>
        </w:rPr>
      </w:pPr>
      <w:r>
        <w:rPr>
          <w:rFonts w:ascii="Times New Roman" w:hAnsi="Times New Roman" w:eastAsia="Times New Roman" w:cs="Times New Roman"/>
          <w:spacing w:val="-21"/>
          <w:sz w:val="27"/>
          <w:szCs w:val="27"/>
        </w:rPr>
        <w:t>d)</w:t>
      </w:r>
      <w:r>
        <w:rPr>
          <w:rFonts w:ascii="Times New Roman" w:hAnsi="Times New Roman" w:eastAsia="Times New Roman" w:cs="Times New Roman"/>
          <w:spacing w:val="11"/>
          <w:sz w:val="27"/>
          <w:szCs w:val="27"/>
        </w:rPr>
        <w:t xml:space="preserve">  </w:t>
      </w:r>
      <w:r>
        <w:rPr>
          <w:rFonts w:ascii="宋体" w:hAnsi="宋体" w:eastAsia="宋体" w:cs="宋体"/>
          <w:spacing w:val="-21"/>
          <w:sz w:val="27"/>
          <w:szCs w:val="27"/>
        </w:rPr>
        <w:t>形状、重量、重心；</w:t>
      </w:r>
    </w:p>
    <w:p w14:paraId="4955E0D7">
      <w:pPr>
        <w:spacing w:before="89" w:line="264" w:lineRule="auto"/>
        <w:ind w:right="129" w:firstLine="560"/>
        <w:rPr>
          <w:rFonts w:ascii="宋体" w:hAnsi="宋体" w:eastAsia="宋体" w:cs="宋体"/>
          <w:sz w:val="27"/>
          <w:szCs w:val="27"/>
        </w:rPr>
      </w:pPr>
      <w:r>
        <w:rPr>
          <w:rFonts w:ascii="Times New Roman" w:hAnsi="Times New Roman" w:eastAsia="Times New Roman" w:cs="Times New Roman"/>
          <w:spacing w:val="-12"/>
          <w:sz w:val="27"/>
          <w:szCs w:val="27"/>
        </w:rPr>
        <w:t xml:space="preserve">e)  </w:t>
      </w:r>
      <w:r>
        <w:rPr>
          <w:rFonts w:ascii="宋体" w:hAnsi="宋体" w:eastAsia="宋体" w:cs="宋体"/>
          <w:spacing w:val="-12"/>
          <w:sz w:val="27"/>
          <w:szCs w:val="27"/>
        </w:rPr>
        <w:t>可靠性、维修性、测试性、保障性、安全性、生存性、环境适应性和电磁兼</w:t>
      </w:r>
      <w:r>
        <w:rPr>
          <w:rFonts w:ascii="宋体" w:hAnsi="宋体" w:eastAsia="宋体" w:cs="宋体"/>
          <w:spacing w:val="8"/>
          <w:sz w:val="27"/>
          <w:szCs w:val="27"/>
        </w:rPr>
        <w:t xml:space="preserve"> </w:t>
      </w:r>
      <w:r>
        <w:rPr>
          <w:rFonts w:ascii="宋体" w:hAnsi="宋体" w:eastAsia="宋体" w:cs="宋体"/>
          <w:spacing w:val="-1"/>
          <w:sz w:val="27"/>
          <w:szCs w:val="27"/>
        </w:rPr>
        <w:t>容性等特性；</w:t>
      </w:r>
    </w:p>
    <w:p w14:paraId="48C224E4">
      <w:pPr>
        <w:spacing w:before="59"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f)  </w:t>
      </w:r>
      <w:r>
        <w:rPr>
          <w:rFonts w:ascii="宋体" w:hAnsi="宋体" w:eastAsia="宋体" w:cs="宋体"/>
          <w:spacing w:val="2"/>
          <w:sz w:val="27"/>
          <w:szCs w:val="27"/>
        </w:rPr>
        <w:t>影响人员健康与安全；</w:t>
      </w:r>
    </w:p>
    <w:p w14:paraId="333B403A">
      <w:pPr>
        <w:spacing w:before="110" w:line="212" w:lineRule="auto"/>
        <w:ind w:left="560"/>
        <w:rPr>
          <w:rFonts w:ascii="宋体" w:hAnsi="宋体" w:eastAsia="宋体" w:cs="宋体"/>
          <w:sz w:val="27"/>
          <w:szCs w:val="27"/>
        </w:rPr>
      </w:pPr>
      <w:r>
        <w:rPr>
          <w:rFonts w:ascii="Times New Roman" w:hAnsi="Times New Roman" w:eastAsia="Times New Roman" w:cs="Times New Roman"/>
          <w:spacing w:val="7"/>
          <w:sz w:val="27"/>
          <w:szCs w:val="27"/>
        </w:rPr>
        <w:t>g</w:t>
      </w:r>
      <w:r>
        <w:rPr>
          <w:rFonts w:ascii="Times New Roman" w:hAnsi="Times New Roman" w:eastAsia="Times New Roman" w:cs="Times New Roman"/>
          <w:spacing w:val="-22"/>
          <w:sz w:val="27"/>
          <w:szCs w:val="27"/>
        </w:rPr>
        <w:t xml:space="preserve"> </w:t>
      </w:r>
      <w:r>
        <w:rPr>
          <w:rFonts w:ascii="宋体" w:hAnsi="宋体" w:eastAsia="宋体" w:cs="宋体"/>
          <w:spacing w:val="7"/>
          <w:sz w:val="27"/>
          <w:szCs w:val="27"/>
        </w:rPr>
        <w:t>)造成严重后果的其他方面。</w:t>
      </w:r>
    </w:p>
    <w:p w14:paraId="49E4C58B">
      <w:pPr>
        <w:spacing w:before="110" w:line="275" w:lineRule="auto"/>
        <w:ind w:right="129" w:firstLine="560"/>
        <w:rPr>
          <w:rFonts w:ascii="宋体" w:hAnsi="宋体" w:eastAsia="宋体" w:cs="宋体"/>
          <w:sz w:val="27"/>
          <w:szCs w:val="27"/>
        </w:rPr>
      </w:pPr>
      <w:r>
        <w:rPr>
          <w:rFonts w:ascii="宋体" w:hAnsi="宋体" w:eastAsia="宋体" w:cs="宋体"/>
          <w:spacing w:val="-3"/>
          <w:sz w:val="27"/>
          <w:szCs w:val="27"/>
        </w:rPr>
        <w:t>除特殊情况外，一般不能申请严重级偏离、超差，以及影响服役使用或维修</w:t>
      </w:r>
      <w:r>
        <w:rPr>
          <w:rFonts w:ascii="宋体" w:hAnsi="宋体" w:eastAsia="宋体" w:cs="宋体"/>
          <w:spacing w:val="8"/>
          <w:sz w:val="27"/>
          <w:szCs w:val="27"/>
        </w:rPr>
        <w:t xml:space="preserve"> </w:t>
      </w:r>
      <w:r>
        <w:rPr>
          <w:rFonts w:ascii="宋体" w:hAnsi="宋体" w:eastAsia="宋体" w:cs="宋体"/>
          <w:spacing w:val="-18"/>
          <w:sz w:val="27"/>
          <w:szCs w:val="27"/>
        </w:rPr>
        <w:t>的偏离、超差。</w:t>
      </w:r>
    </w:p>
    <w:p w14:paraId="0DD24929">
      <w:pPr>
        <w:spacing w:before="1" w:line="220" w:lineRule="auto"/>
        <w:rPr>
          <w:rFonts w:ascii="黑体" w:hAnsi="黑体" w:eastAsia="黑体" w:cs="黑体"/>
          <w:sz w:val="27"/>
          <w:szCs w:val="27"/>
        </w:rPr>
      </w:pPr>
      <w:r>
        <w:rPr>
          <w:rFonts w:ascii="黑体" w:hAnsi="黑体" w:eastAsia="黑体" w:cs="黑体"/>
          <w:spacing w:val="-10"/>
          <w:sz w:val="27"/>
          <w:szCs w:val="27"/>
        </w:rPr>
        <w:t>4</w:t>
      </w:r>
      <w:r>
        <w:rPr>
          <w:rFonts w:ascii="黑体" w:hAnsi="黑体" w:eastAsia="黑体" w:cs="黑体"/>
          <w:spacing w:val="12"/>
          <w:sz w:val="27"/>
          <w:szCs w:val="27"/>
        </w:rPr>
        <w:t xml:space="preserve">  </w:t>
      </w:r>
      <w:r>
        <w:rPr>
          <w:rFonts w:ascii="黑体" w:hAnsi="黑体" w:eastAsia="黑体" w:cs="黑体"/>
          <w:b/>
          <w:bCs/>
          <w:spacing w:val="-10"/>
          <w:sz w:val="27"/>
          <w:szCs w:val="27"/>
        </w:rPr>
        <w:t>技术状态项名称、编号</w:t>
      </w:r>
    </w:p>
    <w:p w14:paraId="350C362D">
      <w:pPr>
        <w:spacing w:before="94" w:line="219" w:lineRule="auto"/>
        <w:ind w:left="560"/>
        <w:rPr>
          <w:rFonts w:ascii="宋体" w:hAnsi="宋体" w:eastAsia="宋体" w:cs="宋体"/>
          <w:sz w:val="27"/>
          <w:szCs w:val="27"/>
        </w:rPr>
      </w:pPr>
      <w:r>
        <w:rPr>
          <w:rFonts w:ascii="宋体" w:hAnsi="宋体" w:eastAsia="宋体" w:cs="宋体"/>
          <w:spacing w:val="3"/>
          <w:sz w:val="27"/>
          <w:szCs w:val="27"/>
        </w:rPr>
        <w:t>说明偏离(超差)的技术状态项的名称和编号。</w:t>
      </w:r>
    </w:p>
    <w:p w14:paraId="4D94A372">
      <w:pPr>
        <w:pStyle w:val="2"/>
        <w:spacing w:before="83" w:line="221" w:lineRule="auto"/>
        <w:rPr>
          <w:rFonts w:ascii="黑体" w:hAnsi="黑体" w:eastAsia="黑体" w:cs="黑体"/>
          <w:sz w:val="27"/>
          <w:szCs w:val="27"/>
        </w:rPr>
      </w:pPr>
      <w:r>
        <w:rPr>
          <w:b/>
          <w:bCs/>
          <w:spacing w:val="-8"/>
          <w:sz w:val="27"/>
          <w:szCs w:val="27"/>
        </w:rPr>
        <w:t>5</w:t>
      </w:r>
      <w:r>
        <w:rPr>
          <w:b/>
          <w:bCs/>
          <w:spacing w:val="21"/>
          <w:w w:val="101"/>
          <w:sz w:val="27"/>
          <w:szCs w:val="27"/>
        </w:rPr>
        <w:t xml:space="preserve">   </w:t>
      </w:r>
      <w:r>
        <w:rPr>
          <w:rFonts w:ascii="黑体" w:hAnsi="黑体" w:eastAsia="黑体" w:cs="黑体"/>
          <w:b/>
          <w:bCs/>
          <w:spacing w:val="-8"/>
          <w:sz w:val="27"/>
          <w:szCs w:val="27"/>
        </w:rPr>
        <w:t>受影响的技术状态文档名称、编号</w:t>
      </w:r>
    </w:p>
    <w:p w14:paraId="1C2EEEAC">
      <w:pPr>
        <w:spacing w:before="93" w:line="219" w:lineRule="auto"/>
        <w:ind w:left="560"/>
        <w:rPr>
          <w:rFonts w:ascii="宋体" w:hAnsi="宋体" w:eastAsia="宋体" w:cs="宋体"/>
          <w:sz w:val="27"/>
          <w:szCs w:val="27"/>
        </w:rPr>
      </w:pPr>
      <w:r>
        <w:rPr>
          <w:rFonts w:ascii="宋体" w:hAnsi="宋体" w:eastAsia="宋体" w:cs="宋体"/>
          <w:spacing w:val="4"/>
          <w:sz w:val="27"/>
          <w:szCs w:val="27"/>
        </w:rPr>
        <w:t>列出所有受到偏离(超差)影响的技术状态文档的名称和编号。</w:t>
      </w:r>
    </w:p>
    <w:p w14:paraId="7E890C0C">
      <w:pPr>
        <w:spacing w:before="66" w:line="222"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受影响的产品范围和数量</w:t>
      </w:r>
    </w:p>
    <w:p w14:paraId="01202C57">
      <w:pPr>
        <w:spacing w:before="109" w:line="219" w:lineRule="auto"/>
        <w:ind w:left="560"/>
        <w:rPr>
          <w:rFonts w:ascii="宋体" w:hAnsi="宋体" w:eastAsia="宋体" w:cs="宋体"/>
          <w:sz w:val="27"/>
          <w:szCs w:val="27"/>
        </w:rPr>
      </w:pPr>
      <w:r>
        <w:rPr>
          <w:rFonts w:ascii="宋体" w:hAnsi="宋体" w:eastAsia="宋体" w:cs="宋体"/>
          <w:spacing w:val="4"/>
          <w:sz w:val="27"/>
          <w:szCs w:val="27"/>
        </w:rPr>
        <w:t>列出受到偏离(超差)影响的产品的范围和数量。</w:t>
      </w:r>
    </w:p>
    <w:p w14:paraId="5728BBE8">
      <w:pPr>
        <w:pStyle w:val="2"/>
        <w:spacing w:before="93" w:line="221" w:lineRule="auto"/>
        <w:rPr>
          <w:rFonts w:ascii="黑体" w:hAnsi="黑体" w:eastAsia="黑体" w:cs="黑体"/>
          <w:sz w:val="24"/>
          <w:szCs w:val="24"/>
        </w:rPr>
      </w:pPr>
      <w:r>
        <w:rPr>
          <w:b/>
          <w:bCs/>
          <w:spacing w:val="26"/>
          <w:sz w:val="24"/>
          <w:szCs w:val="24"/>
        </w:rPr>
        <w:t>7</w:t>
      </w:r>
      <w:r>
        <w:rPr>
          <w:b/>
          <w:bCs/>
          <w:spacing w:val="10"/>
          <w:sz w:val="24"/>
          <w:szCs w:val="24"/>
        </w:rPr>
        <w:t xml:space="preserve">    </w:t>
      </w:r>
      <w:r>
        <w:rPr>
          <w:rFonts w:ascii="黑体" w:hAnsi="黑体" w:eastAsia="黑体" w:cs="黑体"/>
          <w:b/>
          <w:bCs/>
          <w:spacing w:val="26"/>
          <w:sz w:val="24"/>
          <w:szCs w:val="24"/>
        </w:rPr>
        <w:t>偏离(超差)原因简要说明</w:t>
      </w:r>
    </w:p>
    <w:p w14:paraId="14335E82">
      <w:pPr>
        <w:spacing w:before="88" w:line="219" w:lineRule="auto"/>
        <w:ind w:left="560"/>
        <w:rPr>
          <w:rFonts w:ascii="宋体" w:hAnsi="宋体" w:eastAsia="宋体" w:cs="宋体"/>
          <w:sz w:val="27"/>
          <w:szCs w:val="27"/>
        </w:rPr>
      </w:pPr>
      <w:r>
        <w:rPr>
          <w:rFonts w:ascii="宋体" w:hAnsi="宋体" w:eastAsia="宋体" w:cs="宋体"/>
          <w:spacing w:val="3"/>
          <w:sz w:val="27"/>
          <w:szCs w:val="27"/>
        </w:rPr>
        <w:t>简要说明必须偏离(超差)的理由。</w:t>
      </w:r>
    </w:p>
    <w:p w14:paraId="006262BF">
      <w:pPr>
        <w:spacing w:before="116" w:line="222" w:lineRule="auto"/>
        <w:rPr>
          <w:rFonts w:ascii="黑体" w:hAnsi="黑体" w:eastAsia="黑体" w:cs="黑体"/>
          <w:sz w:val="24"/>
          <w:szCs w:val="24"/>
        </w:rPr>
      </w:pPr>
      <w:r>
        <w:rPr>
          <w:rFonts w:ascii="黑体" w:hAnsi="黑体" w:eastAsia="黑体" w:cs="黑体"/>
          <w:spacing w:val="24"/>
          <w:sz w:val="24"/>
          <w:szCs w:val="24"/>
        </w:rPr>
        <w:t>8</w:t>
      </w:r>
      <w:r>
        <w:rPr>
          <w:rFonts w:ascii="黑体" w:hAnsi="黑体" w:eastAsia="黑体" w:cs="黑体"/>
          <w:spacing w:val="35"/>
          <w:sz w:val="24"/>
          <w:szCs w:val="24"/>
        </w:rPr>
        <w:t xml:space="preserve">  </w:t>
      </w:r>
      <w:r>
        <w:rPr>
          <w:rFonts w:ascii="黑体" w:hAnsi="黑体" w:eastAsia="黑体" w:cs="黑体"/>
          <w:b/>
          <w:bCs/>
          <w:spacing w:val="24"/>
          <w:sz w:val="24"/>
          <w:szCs w:val="24"/>
        </w:rPr>
        <w:t>偏离(超差)内容</w:t>
      </w:r>
    </w:p>
    <w:p w14:paraId="7FDFEFEF">
      <w:pPr>
        <w:spacing w:before="97" w:line="219" w:lineRule="auto"/>
        <w:ind w:left="560"/>
        <w:rPr>
          <w:rFonts w:ascii="宋体" w:hAnsi="宋体" w:eastAsia="宋体" w:cs="宋体"/>
          <w:sz w:val="27"/>
          <w:szCs w:val="27"/>
        </w:rPr>
      </w:pPr>
      <w:r>
        <w:rPr>
          <w:rFonts w:ascii="宋体" w:hAnsi="宋体" w:eastAsia="宋体" w:cs="宋体"/>
          <w:spacing w:val="2"/>
          <w:sz w:val="27"/>
          <w:szCs w:val="27"/>
        </w:rPr>
        <w:t>逐项列出偏离(超差)的内容。</w:t>
      </w:r>
    </w:p>
    <w:p w14:paraId="7016590B">
      <w:pPr>
        <w:pStyle w:val="2"/>
        <w:spacing w:before="125" w:line="222" w:lineRule="auto"/>
        <w:rPr>
          <w:rFonts w:ascii="黑体" w:hAnsi="黑体" w:eastAsia="黑体" w:cs="黑体"/>
          <w:sz w:val="24"/>
          <w:szCs w:val="24"/>
        </w:rPr>
      </w:pPr>
      <w:r>
        <w:rPr>
          <w:b/>
          <w:bCs/>
          <w:spacing w:val="25"/>
          <w:sz w:val="24"/>
          <w:szCs w:val="24"/>
        </w:rPr>
        <w:t>9</w:t>
      </w:r>
      <w:r>
        <w:rPr>
          <w:b/>
          <w:bCs/>
          <w:spacing w:val="9"/>
          <w:sz w:val="24"/>
          <w:szCs w:val="24"/>
        </w:rPr>
        <w:t xml:space="preserve">    </w:t>
      </w:r>
      <w:r>
        <w:rPr>
          <w:rFonts w:ascii="黑体" w:hAnsi="黑体" w:eastAsia="黑体" w:cs="黑体"/>
          <w:b/>
          <w:bCs/>
          <w:spacing w:val="25"/>
          <w:sz w:val="24"/>
          <w:szCs w:val="24"/>
        </w:rPr>
        <w:t>偏离(超差)带来的影响</w:t>
      </w:r>
    </w:p>
    <w:p w14:paraId="1713DC05">
      <w:pPr>
        <w:spacing w:before="104" w:line="219" w:lineRule="auto"/>
        <w:ind w:left="560"/>
        <w:rPr>
          <w:rFonts w:ascii="宋体" w:hAnsi="宋体" w:eastAsia="宋体" w:cs="宋体"/>
          <w:sz w:val="27"/>
          <w:szCs w:val="27"/>
        </w:rPr>
      </w:pPr>
      <w:r>
        <w:rPr>
          <w:rFonts w:ascii="宋体" w:hAnsi="宋体" w:eastAsia="宋体" w:cs="宋体"/>
          <w:spacing w:val="-5"/>
          <w:sz w:val="27"/>
          <w:szCs w:val="27"/>
        </w:rPr>
        <w:t>指出偏离(超差)带来的影响，包括对综合保障、交货进度等的影响。</w:t>
      </w:r>
    </w:p>
    <w:p w14:paraId="2DC85F27">
      <w:pPr>
        <w:spacing w:before="66" w:line="222" w:lineRule="auto"/>
        <w:rPr>
          <w:rFonts w:ascii="黑体" w:hAnsi="黑体" w:eastAsia="黑体" w:cs="黑体"/>
          <w:sz w:val="27"/>
          <w:szCs w:val="27"/>
        </w:rPr>
      </w:pPr>
      <w:r>
        <w:rPr>
          <w:rFonts w:ascii="黑体" w:hAnsi="黑体" w:eastAsia="黑体" w:cs="黑体"/>
          <w:spacing w:val="-9"/>
          <w:sz w:val="27"/>
          <w:szCs w:val="27"/>
        </w:rPr>
        <w:t>10</w:t>
      </w:r>
      <w:r>
        <w:rPr>
          <w:rFonts w:ascii="黑体" w:hAnsi="黑体" w:eastAsia="黑体" w:cs="黑体"/>
          <w:spacing w:val="26"/>
          <w:sz w:val="27"/>
          <w:szCs w:val="27"/>
        </w:rPr>
        <w:t xml:space="preserve">  </w:t>
      </w:r>
      <w:r>
        <w:rPr>
          <w:rFonts w:ascii="黑体" w:hAnsi="黑体" w:eastAsia="黑体" w:cs="黑体"/>
          <w:b/>
          <w:bCs/>
          <w:spacing w:val="-9"/>
          <w:sz w:val="27"/>
          <w:szCs w:val="27"/>
        </w:rPr>
        <w:t>实施日期</w:t>
      </w:r>
    </w:p>
    <w:p w14:paraId="3A837F8A">
      <w:pPr>
        <w:spacing w:before="120" w:line="219" w:lineRule="auto"/>
        <w:ind w:left="560"/>
        <w:rPr>
          <w:rFonts w:ascii="宋体" w:hAnsi="宋体" w:eastAsia="宋体" w:cs="宋体"/>
          <w:sz w:val="24"/>
          <w:szCs w:val="24"/>
        </w:rPr>
      </w:pPr>
      <w:r>
        <w:rPr>
          <w:rFonts w:ascii="宋体" w:hAnsi="宋体" w:eastAsia="宋体" w:cs="宋体"/>
          <w:spacing w:val="29"/>
          <w:sz w:val="24"/>
          <w:szCs w:val="24"/>
        </w:rPr>
        <w:t>提出偏离(超差)的实施日期。</w:t>
      </w:r>
    </w:p>
    <w:p w14:paraId="68F6812E">
      <w:pPr>
        <w:spacing w:before="80" w:line="222" w:lineRule="auto"/>
        <w:ind w:left="3"/>
        <w:rPr>
          <w:rFonts w:ascii="黑体" w:hAnsi="黑体" w:eastAsia="黑体" w:cs="黑体"/>
          <w:sz w:val="27"/>
          <w:szCs w:val="27"/>
        </w:rPr>
      </w:pPr>
      <w:r>
        <w:rPr>
          <w:rFonts w:ascii="黑体" w:hAnsi="黑体" w:eastAsia="黑体" w:cs="黑体"/>
          <w:b/>
          <w:bCs/>
          <w:spacing w:val="-10"/>
          <w:sz w:val="27"/>
          <w:szCs w:val="27"/>
        </w:rPr>
        <w:t>附录</w:t>
      </w:r>
    </w:p>
    <w:p w14:paraId="4456C4EB">
      <w:pPr>
        <w:spacing w:before="110" w:line="219" w:lineRule="auto"/>
        <w:ind w:left="560"/>
        <w:rPr>
          <w:rFonts w:ascii="宋体" w:hAnsi="宋体" w:eastAsia="宋体" w:cs="宋体"/>
          <w:sz w:val="27"/>
          <w:szCs w:val="27"/>
        </w:rPr>
      </w:pPr>
      <w:r>
        <w:rPr>
          <w:rFonts w:ascii="宋体" w:hAnsi="宋体" w:eastAsia="宋体" w:cs="宋体"/>
          <w:spacing w:val="-2"/>
          <w:sz w:val="27"/>
          <w:szCs w:val="27"/>
        </w:rPr>
        <w:t>提供必要的附录，特别是能够说明必须偏离(超差)的资料。</w:t>
      </w:r>
    </w:p>
    <w:p w14:paraId="100A0998">
      <w:pPr>
        <w:pStyle w:val="2"/>
        <w:spacing w:line="336" w:lineRule="auto"/>
      </w:pPr>
    </w:p>
    <w:p w14:paraId="416D4158">
      <w:pPr>
        <w:spacing w:before="117" w:line="219" w:lineRule="auto"/>
        <w:ind w:left="3229"/>
        <w:outlineLvl w:val="1"/>
        <w:rPr>
          <w:rFonts w:ascii="宋体" w:hAnsi="宋体" w:eastAsia="宋体" w:cs="宋体"/>
          <w:sz w:val="36"/>
          <w:szCs w:val="36"/>
        </w:rPr>
      </w:pPr>
      <w:bookmarkStart w:id="118" w:name="bookmark58"/>
      <w:bookmarkEnd w:id="118"/>
      <w:r>
        <w:rPr>
          <w:rFonts w:ascii="宋体" w:hAnsi="宋体" w:eastAsia="宋体" w:cs="宋体"/>
          <w:spacing w:val="-11"/>
          <w:sz w:val="36"/>
          <w:szCs w:val="36"/>
        </w:rPr>
        <w:t>1.56</w:t>
      </w:r>
      <w:r>
        <w:rPr>
          <w:rFonts w:ascii="宋体" w:hAnsi="宋体" w:eastAsia="宋体" w:cs="宋体"/>
          <w:spacing w:val="16"/>
          <w:sz w:val="36"/>
          <w:szCs w:val="36"/>
        </w:rPr>
        <w:t xml:space="preserve">  </w:t>
      </w:r>
      <w:r>
        <w:rPr>
          <w:rFonts w:ascii="宋体" w:hAnsi="宋体" w:eastAsia="宋体" w:cs="宋体"/>
          <w:spacing w:val="-11"/>
          <w:sz w:val="36"/>
          <w:szCs w:val="36"/>
        </w:rPr>
        <w:t>技 术</w:t>
      </w:r>
      <w:r>
        <w:rPr>
          <w:rFonts w:ascii="宋体" w:hAnsi="宋体" w:eastAsia="宋体" w:cs="宋体"/>
          <w:spacing w:val="-22"/>
          <w:sz w:val="36"/>
          <w:szCs w:val="36"/>
        </w:rPr>
        <w:t xml:space="preserve"> </w:t>
      </w:r>
      <w:r>
        <w:rPr>
          <w:rFonts w:ascii="宋体" w:hAnsi="宋体" w:eastAsia="宋体" w:cs="宋体"/>
          <w:spacing w:val="-11"/>
          <w:sz w:val="36"/>
          <w:szCs w:val="36"/>
        </w:rPr>
        <w:t>通</w:t>
      </w:r>
      <w:r>
        <w:rPr>
          <w:rFonts w:ascii="宋体" w:hAnsi="宋体" w:eastAsia="宋体" w:cs="宋体"/>
          <w:spacing w:val="-24"/>
          <w:sz w:val="36"/>
          <w:szCs w:val="36"/>
        </w:rPr>
        <w:t xml:space="preserve"> </w:t>
      </w:r>
      <w:r>
        <w:rPr>
          <w:rFonts w:ascii="宋体" w:hAnsi="宋体" w:eastAsia="宋体" w:cs="宋体"/>
          <w:spacing w:val="-11"/>
          <w:sz w:val="36"/>
          <w:szCs w:val="36"/>
        </w:rPr>
        <w:t>报</w:t>
      </w:r>
    </w:p>
    <w:p w14:paraId="20A79782">
      <w:pPr>
        <w:pStyle w:val="2"/>
        <w:spacing w:line="294" w:lineRule="auto"/>
      </w:pPr>
    </w:p>
    <w:p w14:paraId="41D208EA">
      <w:pPr>
        <w:spacing w:before="91" w:line="268" w:lineRule="auto"/>
        <w:ind w:firstLine="560"/>
        <w:rPr>
          <w:rFonts w:ascii="楷体" w:hAnsi="楷体" w:eastAsia="楷体" w:cs="楷体"/>
          <w:sz w:val="28"/>
          <w:szCs w:val="28"/>
        </w:rPr>
      </w:pPr>
      <w:r>
        <w:rPr>
          <w:rFonts w:ascii="楷体" w:hAnsi="楷体" w:eastAsia="楷体" w:cs="楷体"/>
          <w:spacing w:val="2"/>
          <w:sz w:val="28"/>
          <w:szCs w:val="28"/>
        </w:rPr>
        <w:t>按照</w:t>
      </w:r>
      <w:r>
        <w:rPr>
          <w:rFonts w:ascii="Times New Roman" w:hAnsi="Times New Roman" w:eastAsia="Times New Roman" w:cs="Times New Roman"/>
          <w:sz w:val="28"/>
          <w:szCs w:val="28"/>
        </w:rPr>
        <w:t>GJB</w:t>
      </w:r>
      <w:r>
        <w:rPr>
          <w:rFonts w:ascii="Times New Roman" w:hAnsi="Times New Roman" w:eastAsia="Times New Roman" w:cs="Times New Roman"/>
          <w:spacing w:val="2"/>
          <w:sz w:val="28"/>
          <w:szCs w:val="28"/>
        </w:rPr>
        <w:t xml:space="preserve"> 4757—1997(</w:t>
      </w:r>
      <w:r>
        <w:rPr>
          <w:rFonts w:ascii="Times New Roman" w:hAnsi="Times New Roman" w:eastAsia="Times New Roman" w:cs="Times New Roman"/>
          <w:sz w:val="28"/>
          <w:szCs w:val="28"/>
        </w:rPr>
        <w:t>GJBz</w:t>
      </w:r>
      <w:r>
        <w:rPr>
          <w:rFonts w:ascii="Times New Roman" w:hAnsi="Times New Roman" w:eastAsia="Times New Roman" w:cs="Times New Roman"/>
          <w:spacing w:val="2"/>
          <w:sz w:val="28"/>
          <w:szCs w:val="28"/>
        </w:rPr>
        <w:t xml:space="preserve"> 20376—1997)</w:t>
      </w:r>
      <w:r>
        <w:rPr>
          <w:rFonts w:ascii="宋体" w:hAnsi="宋体" w:eastAsia="宋体" w:cs="宋体"/>
          <w:spacing w:val="2"/>
          <w:sz w:val="28"/>
          <w:szCs w:val="28"/>
        </w:rPr>
        <w:t>《</w:t>
      </w:r>
      <w:r>
        <w:rPr>
          <w:rFonts w:ascii="楷体" w:hAnsi="楷体" w:eastAsia="楷体" w:cs="楷体"/>
          <w:spacing w:val="2"/>
          <w:sz w:val="28"/>
          <w:szCs w:val="28"/>
        </w:rPr>
        <w:t>武器装备技术通报编制规范》</w:t>
      </w:r>
      <w:r>
        <w:rPr>
          <w:rFonts w:ascii="楷体" w:hAnsi="楷体" w:eastAsia="楷体" w:cs="楷体"/>
          <w:spacing w:val="4"/>
          <w:sz w:val="28"/>
          <w:szCs w:val="28"/>
        </w:rPr>
        <w:t xml:space="preserve"> </w:t>
      </w:r>
      <w:r>
        <w:rPr>
          <w:rFonts w:ascii="楷体" w:hAnsi="楷体" w:eastAsia="楷体" w:cs="楷体"/>
          <w:spacing w:val="-12"/>
          <w:sz w:val="28"/>
          <w:szCs w:val="28"/>
        </w:rPr>
        <w:t>编写。</w:t>
      </w:r>
    </w:p>
    <w:p w14:paraId="4AF50858">
      <w:pPr>
        <w:spacing w:before="13" w:line="222" w:lineRule="auto"/>
        <w:rPr>
          <w:rFonts w:ascii="黑体" w:hAnsi="黑体" w:eastAsia="黑体" w:cs="黑体"/>
          <w:sz w:val="27"/>
          <w:szCs w:val="27"/>
        </w:rPr>
      </w:pPr>
      <w:r>
        <w:rPr>
          <w:rFonts w:ascii="黑体" w:hAnsi="黑体" w:eastAsia="黑体" w:cs="黑体"/>
          <w:spacing w:val="-28"/>
          <w:sz w:val="27"/>
          <w:szCs w:val="27"/>
        </w:rPr>
        <w:t>1</w:t>
      </w:r>
      <w:r>
        <w:rPr>
          <w:rFonts w:ascii="黑体" w:hAnsi="黑体" w:eastAsia="黑体" w:cs="黑体"/>
          <w:spacing w:val="33"/>
          <w:sz w:val="27"/>
          <w:szCs w:val="27"/>
        </w:rPr>
        <w:t xml:space="preserve">  </w:t>
      </w:r>
      <w:r>
        <w:rPr>
          <w:rFonts w:ascii="黑体" w:hAnsi="黑体" w:eastAsia="黑体" w:cs="黑体"/>
          <w:b/>
          <w:bCs/>
          <w:spacing w:val="-28"/>
          <w:sz w:val="27"/>
          <w:szCs w:val="27"/>
        </w:rPr>
        <w:t>目的、依据</w:t>
      </w:r>
    </w:p>
    <w:p w14:paraId="2C2690E3">
      <w:pPr>
        <w:spacing w:before="100" w:line="219" w:lineRule="auto"/>
        <w:ind w:left="560"/>
        <w:rPr>
          <w:rFonts w:ascii="宋体" w:hAnsi="宋体" w:eastAsia="宋体" w:cs="宋体"/>
          <w:sz w:val="27"/>
          <w:szCs w:val="27"/>
        </w:rPr>
      </w:pPr>
      <w:r>
        <w:rPr>
          <w:rFonts w:ascii="宋体" w:hAnsi="宋体" w:eastAsia="宋体" w:cs="宋体"/>
          <w:spacing w:val="3"/>
          <w:sz w:val="27"/>
          <w:szCs w:val="27"/>
        </w:rPr>
        <w:t>清晰说明制发技术通报的目的和依据。</w:t>
      </w:r>
    </w:p>
    <w:p w14:paraId="4A34777A">
      <w:pPr>
        <w:spacing w:line="219" w:lineRule="auto"/>
        <w:rPr>
          <w:rFonts w:ascii="宋体" w:hAnsi="宋体" w:eastAsia="宋体" w:cs="宋体"/>
          <w:sz w:val="27"/>
          <w:szCs w:val="27"/>
        </w:rPr>
        <w:sectPr>
          <w:footerReference r:id="rId173" w:type="default"/>
          <w:pgSz w:w="11910" w:h="17130"/>
          <w:pgMar w:top="400" w:right="970" w:bottom="1533" w:left="1430" w:header="0" w:footer="1334" w:gutter="0"/>
          <w:cols w:space="720" w:num="1"/>
        </w:sectPr>
      </w:pPr>
    </w:p>
    <w:p w14:paraId="0804DE96">
      <w:pPr>
        <w:pStyle w:val="2"/>
        <w:spacing w:line="284" w:lineRule="auto"/>
      </w:pPr>
    </w:p>
    <w:p w14:paraId="28943050">
      <w:pPr>
        <w:pStyle w:val="2"/>
        <w:spacing w:line="284" w:lineRule="auto"/>
      </w:pPr>
    </w:p>
    <w:p w14:paraId="500313D3">
      <w:pPr>
        <w:pStyle w:val="2"/>
        <w:spacing w:line="284" w:lineRule="auto"/>
      </w:pPr>
    </w:p>
    <w:p w14:paraId="26B83B9D">
      <w:pPr>
        <w:pStyle w:val="2"/>
        <w:spacing w:line="285" w:lineRule="auto"/>
      </w:pPr>
    </w:p>
    <w:p w14:paraId="4D835E9E">
      <w:pPr>
        <w:spacing w:before="87" w:line="223" w:lineRule="auto"/>
        <w:rPr>
          <w:rFonts w:ascii="黑体" w:hAnsi="黑体" w:eastAsia="黑体" w:cs="黑体"/>
          <w:sz w:val="27"/>
          <w:szCs w:val="27"/>
        </w:rPr>
      </w:pPr>
      <w:r>
        <w:rPr>
          <w:rFonts w:ascii="黑体" w:hAnsi="黑体" w:eastAsia="黑体" w:cs="黑体"/>
          <w:spacing w:val="4"/>
          <w:sz w:val="27"/>
          <w:szCs w:val="27"/>
        </w:rPr>
        <w:t>2  适用范围</w:t>
      </w:r>
    </w:p>
    <w:p w14:paraId="18C67F8E">
      <w:pPr>
        <w:spacing w:before="42" w:line="295" w:lineRule="auto"/>
        <w:ind w:right="123" w:firstLine="560"/>
        <w:rPr>
          <w:rFonts w:ascii="宋体" w:hAnsi="宋体" w:eastAsia="宋体" w:cs="宋体"/>
          <w:sz w:val="27"/>
          <w:szCs w:val="27"/>
        </w:rPr>
      </w:pPr>
      <w:r>
        <w:rPr>
          <w:rFonts w:ascii="宋体" w:hAnsi="宋体" w:eastAsia="宋体" w:cs="宋体"/>
          <w:spacing w:val="-3"/>
          <w:sz w:val="27"/>
          <w:szCs w:val="27"/>
        </w:rPr>
        <w:t>准确说明技术通报的适用范围。涉及到的产品名称</w:t>
      </w:r>
      <w:r>
        <w:rPr>
          <w:rFonts w:ascii="宋体" w:hAnsi="宋体" w:eastAsia="宋体" w:cs="宋体"/>
          <w:spacing w:val="-4"/>
          <w:sz w:val="27"/>
          <w:szCs w:val="27"/>
        </w:rPr>
        <w:t>、型号、批次、序号、数</w:t>
      </w:r>
      <w:r>
        <w:rPr>
          <w:rFonts w:ascii="宋体" w:hAnsi="宋体" w:eastAsia="宋体" w:cs="宋体"/>
          <w:sz w:val="27"/>
          <w:szCs w:val="27"/>
        </w:rPr>
        <w:t xml:space="preserve"> </w:t>
      </w:r>
      <w:r>
        <w:rPr>
          <w:rFonts w:ascii="宋体" w:hAnsi="宋体" w:eastAsia="宋体" w:cs="宋体"/>
          <w:spacing w:val="-6"/>
          <w:sz w:val="27"/>
          <w:szCs w:val="27"/>
        </w:rPr>
        <w:t>量、去向等具体事项可列表说明。</w:t>
      </w:r>
    </w:p>
    <w:p w14:paraId="661AD8AE">
      <w:pPr>
        <w:pStyle w:val="2"/>
        <w:spacing w:line="340" w:lineRule="exact"/>
        <w:rPr>
          <w:rFonts w:ascii="黑体" w:hAnsi="黑体" w:eastAsia="黑体" w:cs="黑体"/>
          <w:sz w:val="25"/>
          <w:szCs w:val="25"/>
        </w:rPr>
      </w:pPr>
      <w:r>
        <w:rPr>
          <w:spacing w:val="8"/>
          <w:position w:val="1"/>
          <w:sz w:val="25"/>
          <w:szCs w:val="25"/>
        </w:rPr>
        <w:t>3</w:t>
      </w:r>
      <w:r>
        <w:rPr>
          <w:spacing w:val="2"/>
          <w:position w:val="1"/>
          <w:sz w:val="25"/>
          <w:szCs w:val="25"/>
        </w:rPr>
        <w:t xml:space="preserve">    </w:t>
      </w:r>
      <w:r>
        <w:rPr>
          <w:rFonts w:ascii="黑体" w:hAnsi="黑体" w:eastAsia="黑体" w:cs="黑体"/>
          <w:spacing w:val="8"/>
          <w:position w:val="1"/>
          <w:sz w:val="25"/>
          <w:szCs w:val="25"/>
        </w:rPr>
        <w:t>实施方法、要求和时限</w:t>
      </w:r>
    </w:p>
    <w:p w14:paraId="66757C20">
      <w:pPr>
        <w:spacing w:before="84" w:line="289" w:lineRule="auto"/>
        <w:ind w:firstLine="560"/>
        <w:jc w:val="both"/>
        <w:rPr>
          <w:rFonts w:ascii="宋体" w:hAnsi="宋体" w:eastAsia="宋体" w:cs="宋体"/>
          <w:sz w:val="27"/>
          <w:szCs w:val="27"/>
        </w:rPr>
      </w:pPr>
      <w:r>
        <w:rPr>
          <w:rFonts w:ascii="宋体" w:hAnsi="宋体" w:eastAsia="宋体" w:cs="宋体"/>
          <w:spacing w:val="5"/>
          <w:sz w:val="27"/>
          <w:szCs w:val="27"/>
        </w:rPr>
        <w:t>具体说明技术通报的实施方法、要求和时限。负责组织落实的单位和需使</w:t>
      </w:r>
      <w:r>
        <w:rPr>
          <w:rFonts w:ascii="宋体" w:hAnsi="宋体" w:eastAsia="宋体" w:cs="宋体"/>
          <w:spacing w:val="1"/>
          <w:sz w:val="27"/>
          <w:szCs w:val="27"/>
        </w:rPr>
        <w:t xml:space="preserve">  </w:t>
      </w:r>
      <w:r>
        <w:rPr>
          <w:rFonts w:ascii="宋体" w:hAnsi="宋体" w:eastAsia="宋体" w:cs="宋体"/>
          <w:spacing w:val="-7"/>
          <w:sz w:val="27"/>
          <w:szCs w:val="27"/>
        </w:rPr>
        <w:t>用部门配合的工作要明确，工艺、检测方法及技术要求要详细，完成时限要清楚。</w:t>
      </w:r>
      <w:r>
        <w:rPr>
          <w:rFonts w:ascii="宋体" w:hAnsi="宋体" w:eastAsia="宋体" w:cs="宋体"/>
          <w:spacing w:val="16"/>
          <w:sz w:val="27"/>
          <w:szCs w:val="27"/>
        </w:rPr>
        <w:t xml:space="preserve"> </w:t>
      </w:r>
      <w:r>
        <w:rPr>
          <w:rFonts w:ascii="宋体" w:hAnsi="宋体" w:eastAsia="宋体" w:cs="宋体"/>
          <w:spacing w:val="-5"/>
          <w:sz w:val="27"/>
          <w:szCs w:val="27"/>
        </w:rPr>
        <w:t>若需要对使用部门进行技术培训，应明确培训方法、</w:t>
      </w:r>
      <w:r>
        <w:rPr>
          <w:rFonts w:ascii="宋体" w:hAnsi="宋体" w:eastAsia="宋体" w:cs="宋体"/>
          <w:spacing w:val="-6"/>
          <w:sz w:val="27"/>
          <w:szCs w:val="27"/>
        </w:rPr>
        <w:t>时间和要求。</w:t>
      </w:r>
    </w:p>
    <w:p w14:paraId="307AA6F7">
      <w:pPr>
        <w:pStyle w:val="2"/>
        <w:spacing w:before="2" w:line="221" w:lineRule="auto"/>
        <w:rPr>
          <w:rFonts w:ascii="黑体" w:hAnsi="黑体" w:eastAsia="黑体" w:cs="黑体"/>
          <w:sz w:val="27"/>
          <w:szCs w:val="27"/>
        </w:rPr>
      </w:pPr>
      <w:r>
        <w:rPr>
          <w:spacing w:val="5"/>
          <w:sz w:val="27"/>
          <w:szCs w:val="27"/>
        </w:rPr>
        <w:t>4</w:t>
      </w:r>
      <w:r>
        <w:rPr>
          <w:spacing w:val="13"/>
          <w:sz w:val="27"/>
          <w:szCs w:val="27"/>
        </w:rPr>
        <w:t xml:space="preserve">   </w:t>
      </w:r>
      <w:r>
        <w:rPr>
          <w:rFonts w:ascii="黑体" w:hAnsi="黑体" w:eastAsia="黑体" w:cs="黑体"/>
          <w:spacing w:val="5"/>
          <w:sz w:val="27"/>
          <w:szCs w:val="27"/>
        </w:rPr>
        <w:t>改(加)装件的结构说明</w:t>
      </w:r>
    </w:p>
    <w:p w14:paraId="6C166CB0">
      <w:pPr>
        <w:spacing w:before="88" w:line="219" w:lineRule="auto"/>
        <w:ind w:left="560"/>
        <w:rPr>
          <w:rFonts w:ascii="宋体" w:hAnsi="宋体" w:eastAsia="宋体" w:cs="宋体"/>
          <w:sz w:val="27"/>
          <w:szCs w:val="27"/>
        </w:rPr>
      </w:pPr>
      <w:r>
        <w:rPr>
          <w:rFonts w:ascii="宋体" w:hAnsi="宋体" w:eastAsia="宋体" w:cs="宋体"/>
          <w:spacing w:val="-2"/>
          <w:sz w:val="27"/>
          <w:szCs w:val="27"/>
        </w:rPr>
        <w:t>应提供改(加)装件的结构说明，必要时可附</w:t>
      </w:r>
      <w:r>
        <w:rPr>
          <w:rFonts w:ascii="宋体" w:hAnsi="宋体" w:eastAsia="宋体" w:cs="宋体"/>
          <w:spacing w:val="-3"/>
          <w:sz w:val="27"/>
          <w:szCs w:val="27"/>
        </w:rPr>
        <w:t>图表。</w:t>
      </w:r>
    </w:p>
    <w:p w14:paraId="5C2E7767">
      <w:pPr>
        <w:spacing w:before="138" w:line="222" w:lineRule="auto"/>
        <w:rPr>
          <w:rFonts w:ascii="黑体" w:hAnsi="黑体" w:eastAsia="黑体" w:cs="黑体"/>
          <w:sz w:val="24"/>
          <w:szCs w:val="24"/>
        </w:rPr>
      </w:pPr>
      <w:r>
        <w:rPr>
          <w:rFonts w:ascii="黑体" w:hAnsi="黑体" w:eastAsia="黑体" w:cs="黑体"/>
          <w:spacing w:val="29"/>
          <w:sz w:val="24"/>
          <w:szCs w:val="24"/>
        </w:rPr>
        <w:t>5  所用器材和工装设备</w:t>
      </w:r>
    </w:p>
    <w:p w14:paraId="471DE432">
      <w:pPr>
        <w:spacing w:before="101" w:line="216" w:lineRule="auto"/>
        <w:ind w:left="560"/>
        <w:rPr>
          <w:rFonts w:ascii="宋体" w:hAnsi="宋体" w:eastAsia="宋体" w:cs="宋体"/>
          <w:sz w:val="27"/>
          <w:szCs w:val="27"/>
        </w:rPr>
      </w:pPr>
      <w:r>
        <w:rPr>
          <w:rFonts w:ascii="宋体" w:hAnsi="宋体" w:eastAsia="宋体" w:cs="宋体"/>
          <w:spacing w:val="3"/>
          <w:sz w:val="27"/>
          <w:szCs w:val="27"/>
        </w:rPr>
        <w:t>明确所用器材和工装设备(可列表),并说明供应单位和供应方法。</w:t>
      </w:r>
    </w:p>
    <w:p w14:paraId="0BADABC0">
      <w:pPr>
        <w:pStyle w:val="2"/>
        <w:spacing w:before="67" w:line="368" w:lineRule="exact"/>
        <w:rPr>
          <w:rFonts w:ascii="黑体" w:hAnsi="黑体" w:eastAsia="黑体" w:cs="黑体"/>
          <w:sz w:val="27"/>
          <w:szCs w:val="27"/>
        </w:rPr>
      </w:pPr>
      <w:r>
        <w:rPr>
          <w:spacing w:val="-3"/>
          <w:position w:val="1"/>
          <w:sz w:val="27"/>
          <w:szCs w:val="27"/>
        </w:rPr>
        <w:t>6</w:t>
      </w:r>
      <w:r>
        <w:rPr>
          <w:spacing w:val="18"/>
          <w:position w:val="1"/>
          <w:sz w:val="27"/>
          <w:szCs w:val="27"/>
        </w:rPr>
        <w:t xml:space="preserve">   </w:t>
      </w:r>
      <w:r>
        <w:rPr>
          <w:rFonts w:ascii="黑体" w:hAnsi="黑体" w:eastAsia="黑体" w:cs="黑体"/>
          <w:spacing w:val="-3"/>
          <w:position w:val="1"/>
          <w:sz w:val="27"/>
          <w:szCs w:val="27"/>
        </w:rPr>
        <w:t>对武器装备技术状态和运输、贮存的影响</w:t>
      </w:r>
    </w:p>
    <w:p w14:paraId="6BB15768">
      <w:pPr>
        <w:spacing w:before="93" w:line="290" w:lineRule="auto"/>
        <w:ind w:firstLine="560"/>
        <w:rPr>
          <w:rFonts w:ascii="宋体" w:hAnsi="宋体" w:eastAsia="宋体" w:cs="宋体"/>
          <w:sz w:val="27"/>
          <w:szCs w:val="27"/>
        </w:rPr>
      </w:pPr>
      <w:r>
        <w:rPr>
          <w:rFonts w:ascii="宋体" w:hAnsi="宋体" w:eastAsia="宋体" w:cs="宋体"/>
          <w:sz w:val="27"/>
          <w:szCs w:val="27"/>
        </w:rPr>
        <w:t>说明贯彻落实技术通报后对武器装备技术状态的影响及其运输、贮存要求，</w:t>
      </w:r>
      <w:r>
        <w:rPr>
          <w:rFonts w:ascii="宋体" w:hAnsi="宋体" w:eastAsia="宋体" w:cs="宋体"/>
          <w:spacing w:val="13"/>
          <w:sz w:val="27"/>
          <w:szCs w:val="27"/>
        </w:rPr>
        <w:t xml:space="preserve"> </w:t>
      </w:r>
      <w:r>
        <w:rPr>
          <w:rFonts w:ascii="宋体" w:hAnsi="宋体" w:eastAsia="宋体" w:cs="宋体"/>
          <w:spacing w:val="-10"/>
          <w:sz w:val="27"/>
          <w:szCs w:val="27"/>
        </w:rPr>
        <w:t>一般应说明陆运、海运、空运的包装，放置要求或所要采取的措施。</w:t>
      </w:r>
    </w:p>
    <w:p w14:paraId="102E6619">
      <w:pPr>
        <w:spacing w:before="1" w:line="221" w:lineRule="auto"/>
        <w:rPr>
          <w:rFonts w:ascii="黑体" w:hAnsi="黑体" w:eastAsia="黑体" w:cs="黑体"/>
          <w:sz w:val="27"/>
          <w:szCs w:val="27"/>
        </w:rPr>
      </w:pPr>
      <w:r>
        <w:rPr>
          <w:rFonts w:ascii="黑体" w:hAnsi="黑体" w:eastAsia="黑体" w:cs="黑体"/>
          <w:spacing w:val="4"/>
          <w:sz w:val="27"/>
          <w:szCs w:val="27"/>
        </w:rPr>
        <w:t>7  对使用与维修的要求</w:t>
      </w:r>
    </w:p>
    <w:p w14:paraId="1662DA8C">
      <w:pPr>
        <w:spacing w:before="77" w:line="296" w:lineRule="auto"/>
        <w:ind w:right="103" w:firstLine="560"/>
        <w:jc w:val="both"/>
        <w:rPr>
          <w:rFonts w:ascii="宋体" w:hAnsi="宋体" w:eastAsia="宋体" w:cs="宋体"/>
          <w:sz w:val="27"/>
          <w:szCs w:val="27"/>
        </w:rPr>
      </w:pPr>
      <w:r>
        <w:rPr>
          <w:rFonts w:ascii="宋体" w:hAnsi="宋体" w:eastAsia="宋体" w:cs="宋体"/>
          <w:spacing w:val="5"/>
          <w:sz w:val="27"/>
          <w:szCs w:val="27"/>
        </w:rPr>
        <w:t>说明贯彻落实技术通报后对武器装备的使用与维修有哪些变化，详细说明</w:t>
      </w:r>
      <w:r>
        <w:rPr>
          <w:rFonts w:ascii="宋体" w:hAnsi="宋体" w:eastAsia="宋体" w:cs="宋体"/>
          <w:spacing w:val="18"/>
          <w:sz w:val="27"/>
          <w:szCs w:val="27"/>
        </w:rPr>
        <w:t xml:space="preserve"> </w:t>
      </w:r>
      <w:r>
        <w:rPr>
          <w:rFonts w:ascii="宋体" w:hAnsi="宋体" w:eastAsia="宋体" w:cs="宋体"/>
          <w:spacing w:val="-9"/>
          <w:sz w:val="27"/>
          <w:szCs w:val="27"/>
        </w:rPr>
        <w:t>新增设备、机件或系统在使用维护中检查、监</w:t>
      </w:r>
      <w:r>
        <w:rPr>
          <w:rFonts w:ascii="宋体" w:hAnsi="宋体" w:eastAsia="宋体" w:cs="宋体"/>
          <w:spacing w:val="-10"/>
          <w:sz w:val="27"/>
          <w:szCs w:val="27"/>
        </w:rPr>
        <w:t>控的时机、方法、技术标准以及使用</w:t>
      </w:r>
      <w:r>
        <w:rPr>
          <w:rFonts w:ascii="宋体" w:hAnsi="宋体" w:eastAsia="宋体" w:cs="宋体"/>
          <w:sz w:val="27"/>
          <w:szCs w:val="27"/>
        </w:rPr>
        <w:t xml:space="preserve"> 维护注意事项。</w:t>
      </w:r>
    </w:p>
    <w:p w14:paraId="0DC92C8C">
      <w:pPr>
        <w:spacing w:before="1" w:line="221" w:lineRule="auto"/>
        <w:rPr>
          <w:rFonts w:ascii="黑体" w:hAnsi="黑体" w:eastAsia="黑体" w:cs="黑体"/>
          <w:sz w:val="27"/>
          <w:szCs w:val="27"/>
        </w:rPr>
      </w:pPr>
      <w:r>
        <w:rPr>
          <w:rFonts w:ascii="黑体" w:hAnsi="黑体" w:eastAsia="黑体" w:cs="黑体"/>
          <w:spacing w:val="3"/>
          <w:sz w:val="27"/>
          <w:szCs w:val="27"/>
        </w:rPr>
        <w:t>8  有关技术资料的更改</w:t>
      </w:r>
    </w:p>
    <w:p w14:paraId="7DD7A312">
      <w:pPr>
        <w:spacing w:before="76" w:line="294" w:lineRule="auto"/>
        <w:ind w:right="90" w:firstLine="560"/>
        <w:rPr>
          <w:rFonts w:ascii="宋体" w:hAnsi="宋体" w:eastAsia="宋体" w:cs="宋体"/>
          <w:sz w:val="27"/>
          <w:szCs w:val="27"/>
        </w:rPr>
      </w:pPr>
      <w:r>
        <w:rPr>
          <w:rFonts w:ascii="宋体" w:hAnsi="宋体" w:eastAsia="宋体" w:cs="宋体"/>
          <w:spacing w:val="6"/>
          <w:sz w:val="27"/>
          <w:szCs w:val="27"/>
        </w:rPr>
        <w:t>详细说明武器装备有关技术资料的更改内容，并以原技术资料相同版本印</w:t>
      </w:r>
      <w:r>
        <w:rPr>
          <w:rFonts w:ascii="宋体" w:hAnsi="宋体" w:eastAsia="宋体" w:cs="宋体"/>
          <w:spacing w:val="1"/>
          <w:sz w:val="27"/>
          <w:szCs w:val="27"/>
        </w:rPr>
        <w:t xml:space="preserve"> </w:t>
      </w:r>
      <w:r>
        <w:rPr>
          <w:rFonts w:ascii="宋体" w:hAnsi="宋体" w:eastAsia="宋体" w:cs="宋体"/>
          <w:spacing w:val="-3"/>
          <w:sz w:val="27"/>
          <w:szCs w:val="27"/>
        </w:rPr>
        <w:t>刷更改的内容，随同技术通报发往使用单位。</w:t>
      </w:r>
    </w:p>
    <w:p w14:paraId="5675C0BC">
      <w:pPr>
        <w:spacing w:before="1" w:line="221" w:lineRule="auto"/>
        <w:rPr>
          <w:rFonts w:ascii="黑体" w:hAnsi="黑体" w:eastAsia="黑体" w:cs="黑体"/>
          <w:sz w:val="27"/>
          <w:szCs w:val="27"/>
        </w:rPr>
      </w:pPr>
      <w:r>
        <w:rPr>
          <w:rFonts w:ascii="黑体" w:hAnsi="黑体" w:eastAsia="黑体" w:cs="黑体"/>
          <w:spacing w:val="3"/>
          <w:sz w:val="27"/>
          <w:szCs w:val="27"/>
        </w:rPr>
        <w:t>9  注意事项</w:t>
      </w:r>
    </w:p>
    <w:p w14:paraId="497A128B">
      <w:pPr>
        <w:spacing w:before="86" w:line="286" w:lineRule="auto"/>
        <w:ind w:right="123" w:firstLine="560"/>
        <w:rPr>
          <w:rFonts w:ascii="宋体" w:hAnsi="宋体" w:eastAsia="宋体" w:cs="宋体"/>
          <w:sz w:val="27"/>
          <w:szCs w:val="27"/>
        </w:rPr>
      </w:pPr>
      <w:r>
        <w:rPr>
          <w:rFonts w:ascii="宋体" w:hAnsi="宋体" w:eastAsia="宋体" w:cs="宋体"/>
          <w:spacing w:val="-3"/>
          <w:sz w:val="27"/>
          <w:szCs w:val="27"/>
        </w:rPr>
        <w:t>具体说明在技术通报执行前、执行过程中、执行后</w:t>
      </w:r>
      <w:r>
        <w:rPr>
          <w:rFonts w:ascii="宋体" w:hAnsi="宋体" w:eastAsia="宋体" w:cs="宋体"/>
          <w:spacing w:val="-4"/>
          <w:sz w:val="27"/>
          <w:szCs w:val="27"/>
        </w:rPr>
        <w:t>，应提请执行者和使用维</w:t>
      </w:r>
      <w:r>
        <w:rPr>
          <w:rFonts w:ascii="宋体" w:hAnsi="宋体" w:eastAsia="宋体" w:cs="宋体"/>
          <w:sz w:val="27"/>
          <w:szCs w:val="27"/>
        </w:rPr>
        <w:t xml:space="preserve"> </w:t>
      </w:r>
      <w:r>
        <w:rPr>
          <w:rFonts w:ascii="宋体" w:hAnsi="宋体" w:eastAsia="宋体" w:cs="宋体"/>
          <w:spacing w:val="3"/>
          <w:sz w:val="27"/>
          <w:szCs w:val="27"/>
        </w:rPr>
        <w:t>护人员注意的有关事项。</w:t>
      </w:r>
    </w:p>
    <w:p w14:paraId="721D8009">
      <w:pPr>
        <w:spacing w:before="1" w:line="219" w:lineRule="auto"/>
        <w:rPr>
          <w:rFonts w:ascii="黑体" w:hAnsi="黑体" w:eastAsia="黑体" w:cs="黑体"/>
          <w:sz w:val="27"/>
          <w:szCs w:val="27"/>
        </w:rPr>
      </w:pPr>
      <w:r>
        <w:rPr>
          <w:rFonts w:ascii="黑体" w:hAnsi="黑体" w:eastAsia="黑体" w:cs="黑体"/>
          <w:spacing w:val="-3"/>
          <w:sz w:val="27"/>
          <w:szCs w:val="27"/>
        </w:rPr>
        <w:t>10</w:t>
      </w:r>
      <w:r>
        <w:rPr>
          <w:rFonts w:ascii="黑体" w:hAnsi="黑体" w:eastAsia="黑体" w:cs="黑体"/>
          <w:spacing w:val="24"/>
          <w:sz w:val="27"/>
          <w:szCs w:val="27"/>
        </w:rPr>
        <w:t xml:space="preserve">  </w:t>
      </w:r>
      <w:r>
        <w:rPr>
          <w:rFonts w:ascii="黑体" w:hAnsi="黑体" w:eastAsia="黑体" w:cs="黑体"/>
          <w:spacing w:val="-3"/>
          <w:sz w:val="27"/>
          <w:szCs w:val="27"/>
        </w:rPr>
        <w:t>执行标识</w:t>
      </w:r>
    </w:p>
    <w:p w14:paraId="3564EEBE">
      <w:pPr>
        <w:spacing w:before="101" w:line="298" w:lineRule="auto"/>
        <w:ind w:right="102" w:firstLine="560"/>
        <w:rPr>
          <w:rFonts w:ascii="宋体" w:hAnsi="宋体" w:eastAsia="宋体" w:cs="宋体"/>
          <w:sz w:val="27"/>
          <w:szCs w:val="27"/>
        </w:rPr>
      </w:pPr>
      <w:r>
        <w:rPr>
          <w:rFonts w:ascii="宋体" w:hAnsi="宋体" w:eastAsia="宋体" w:cs="宋体"/>
          <w:spacing w:val="-3"/>
          <w:sz w:val="27"/>
          <w:szCs w:val="27"/>
        </w:rPr>
        <w:t>说明在技术通报执行完成后，在《产品履历书》中按照相关要求填写执行记</w:t>
      </w:r>
      <w:r>
        <w:rPr>
          <w:rFonts w:ascii="宋体" w:hAnsi="宋体" w:eastAsia="宋体" w:cs="宋体"/>
          <w:spacing w:val="10"/>
          <w:sz w:val="27"/>
          <w:szCs w:val="27"/>
        </w:rPr>
        <w:t xml:space="preserve"> </w:t>
      </w:r>
      <w:r>
        <w:rPr>
          <w:rFonts w:ascii="宋体" w:hAnsi="宋体" w:eastAsia="宋体" w:cs="宋体"/>
          <w:spacing w:val="-5"/>
          <w:sz w:val="27"/>
          <w:szCs w:val="27"/>
        </w:rPr>
        <w:t>录，必要时同时在武器装备上进行标识。</w:t>
      </w:r>
    </w:p>
    <w:p w14:paraId="18F1BCB4">
      <w:pPr>
        <w:spacing w:before="13" w:line="224" w:lineRule="auto"/>
        <w:rPr>
          <w:rFonts w:ascii="黑体" w:hAnsi="黑体" w:eastAsia="黑体" w:cs="黑体"/>
          <w:sz w:val="24"/>
          <w:szCs w:val="24"/>
        </w:rPr>
      </w:pPr>
      <w:r>
        <w:rPr>
          <w:rFonts w:ascii="黑体" w:hAnsi="黑体" w:eastAsia="黑体" w:cs="黑体"/>
          <w:spacing w:val="-12"/>
          <w:sz w:val="24"/>
          <w:szCs w:val="24"/>
        </w:rPr>
        <w:t>11</w:t>
      </w:r>
      <w:r>
        <w:rPr>
          <w:rFonts w:ascii="黑体" w:hAnsi="黑体" w:eastAsia="黑体" w:cs="黑体"/>
          <w:spacing w:val="47"/>
          <w:sz w:val="24"/>
          <w:szCs w:val="24"/>
        </w:rPr>
        <w:t xml:space="preserve">  </w:t>
      </w:r>
      <w:r>
        <w:rPr>
          <w:rFonts w:ascii="黑体" w:hAnsi="黑体" w:eastAsia="黑体" w:cs="黑体"/>
          <w:spacing w:val="-12"/>
          <w:sz w:val="24"/>
          <w:szCs w:val="24"/>
        </w:rPr>
        <w:t>附</w:t>
      </w:r>
      <w:r>
        <w:rPr>
          <w:rFonts w:ascii="黑体" w:hAnsi="黑体" w:eastAsia="黑体" w:cs="黑体"/>
          <w:spacing w:val="-39"/>
          <w:sz w:val="24"/>
          <w:szCs w:val="24"/>
        </w:rPr>
        <w:t xml:space="preserve"> </w:t>
      </w:r>
      <w:r>
        <w:rPr>
          <w:rFonts w:ascii="黑体" w:hAnsi="黑体" w:eastAsia="黑体" w:cs="黑体"/>
          <w:spacing w:val="-12"/>
          <w:sz w:val="24"/>
          <w:szCs w:val="24"/>
        </w:rPr>
        <w:t>件</w:t>
      </w:r>
    </w:p>
    <w:p w14:paraId="6A6CB69F">
      <w:pPr>
        <w:spacing w:before="75" w:line="219" w:lineRule="auto"/>
        <w:ind w:left="560"/>
        <w:rPr>
          <w:rFonts w:ascii="宋体" w:hAnsi="宋体" w:eastAsia="宋体" w:cs="宋体"/>
          <w:sz w:val="27"/>
          <w:szCs w:val="27"/>
        </w:rPr>
      </w:pPr>
      <w:r>
        <w:rPr>
          <w:rFonts w:ascii="宋体" w:hAnsi="宋体" w:eastAsia="宋体" w:cs="宋体"/>
          <w:spacing w:val="-2"/>
          <w:sz w:val="27"/>
          <w:szCs w:val="27"/>
        </w:rPr>
        <w:t>提供必要的附件，特别是有助于技术通报实施的资</w:t>
      </w:r>
      <w:r>
        <w:rPr>
          <w:rFonts w:ascii="宋体" w:hAnsi="宋体" w:eastAsia="宋体" w:cs="宋体"/>
          <w:spacing w:val="-3"/>
          <w:sz w:val="27"/>
          <w:szCs w:val="27"/>
        </w:rPr>
        <w:t>料。</w:t>
      </w:r>
    </w:p>
    <w:p w14:paraId="359234F6">
      <w:pPr>
        <w:pStyle w:val="2"/>
        <w:spacing w:line="367" w:lineRule="auto"/>
      </w:pPr>
    </w:p>
    <w:p w14:paraId="2074B656">
      <w:pPr>
        <w:spacing w:before="117" w:line="218" w:lineRule="auto"/>
        <w:ind w:left="2359"/>
        <w:outlineLvl w:val="1"/>
        <w:rPr>
          <w:rFonts w:ascii="宋体" w:hAnsi="宋体" w:eastAsia="宋体" w:cs="宋体"/>
          <w:sz w:val="36"/>
          <w:szCs w:val="36"/>
        </w:rPr>
      </w:pPr>
      <w:bookmarkStart w:id="119" w:name="bookmark59"/>
      <w:bookmarkEnd w:id="119"/>
      <w:r>
        <w:rPr>
          <w:rFonts w:ascii="Times New Roman" w:hAnsi="Times New Roman" w:eastAsia="Times New Roman" w:cs="Times New Roman"/>
          <w:b/>
          <w:bCs/>
          <w:spacing w:val="2"/>
          <w:sz w:val="36"/>
          <w:szCs w:val="36"/>
        </w:rPr>
        <w:t xml:space="preserve">1.57     </w:t>
      </w:r>
      <w:r>
        <w:rPr>
          <w:rFonts w:ascii="宋体" w:hAnsi="宋体" w:eastAsia="宋体" w:cs="宋体"/>
          <w:b/>
          <w:bCs/>
          <w:spacing w:val="2"/>
          <w:sz w:val="36"/>
          <w:szCs w:val="36"/>
        </w:rPr>
        <w:t>生产定型试验申请报告</w:t>
      </w:r>
    </w:p>
    <w:p w14:paraId="62BAF66A">
      <w:pPr>
        <w:pStyle w:val="2"/>
        <w:spacing w:line="339" w:lineRule="auto"/>
      </w:pPr>
    </w:p>
    <w:p w14:paraId="193D42AD">
      <w:pPr>
        <w:spacing w:before="92"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33"/>
          <w:w w:val="101"/>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24B218A8">
      <w:pPr>
        <w:spacing w:line="223" w:lineRule="auto"/>
        <w:rPr>
          <w:rFonts w:ascii="楷体" w:hAnsi="楷体" w:eastAsia="楷体" w:cs="楷体"/>
          <w:sz w:val="28"/>
          <w:szCs w:val="28"/>
        </w:rPr>
        <w:sectPr>
          <w:footerReference r:id="rId174" w:type="default"/>
          <w:pgSz w:w="11910" w:h="17130"/>
          <w:pgMar w:top="400" w:right="1374" w:bottom="1570" w:left="1049" w:header="0" w:footer="1362" w:gutter="0"/>
          <w:cols w:space="720" w:num="1"/>
        </w:sectPr>
      </w:pPr>
    </w:p>
    <w:p w14:paraId="2E7D1F62">
      <w:pPr>
        <w:pStyle w:val="2"/>
        <w:spacing w:line="282" w:lineRule="auto"/>
      </w:pPr>
    </w:p>
    <w:p w14:paraId="5CC3B1D5">
      <w:pPr>
        <w:pStyle w:val="2"/>
        <w:spacing w:line="282" w:lineRule="auto"/>
      </w:pPr>
    </w:p>
    <w:p w14:paraId="05B852FC">
      <w:pPr>
        <w:pStyle w:val="2"/>
        <w:spacing w:line="282" w:lineRule="auto"/>
      </w:pPr>
    </w:p>
    <w:p w14:paraId="2463E9D1">
      <w:pPr>
        <w:pStyle w:val="2"/>
        <w:spacing w:line="283" w:lineRule="auto"/>
      </w:pPr>
    </w:p>
    <w:p w14:paraId="365B932C">
      <w:pPr>
        <w:spacing w:before="78" w:line="221" w:lineRule="auto"/>
        <w:rPr>
          <w:rFonts w:ascii="黑体" w:hAnsi="黑体" w:eastAsia="黑体" w:cs="黑体"/>
          <w:sz w:val="24"/>
          <w:szCs w:val="24"/>
        </w:rPr>
      </w:pPr>
      <w:r>
        <w:rPr>
          <w:rFonts w:ascii="黑体" w:hAnsi="黑体" w:eastAsia="黑体" w:cs="黑体"/>
          <w:spacing w:val="23"/>
          <w:sz w:val="24"/>
          <w:szCs w:val="24"/>
        </w:rPr>
        <w:t>1</w:t>
      </w:r>
      <w:r>
        <w:rPr>
          <w:rFonts w:ascii="黑体" w:hAnsi="黑体" w:eastAsia="黑体" w:cs="黑体"/>
          <w:spacing w:val="42"/>
          <w:sz w:val="24"/>
          <w:szCs w:val="24"/>
        </w:rPr>
        <w:t xml:space="preserve">  </w:t>
      </w:r>
      <w:r>
        <w:rPr>
          <w:rFonts w:ascii="黑体" w:hAnsi="黑体" w:eastAsia="黑体" w:cs="黑体"/>
          <w:b/>
          <w:bCs/>
          <w:spacing w:val="23"/>
          <w:sz w:val="24"/>
          <w:szCs w:val="24"/>
        </w:rPr>
        <w:t>试生产情况</w:t>
      </w:r>
    </w:p>
    <w:p w14:paraId="6D7929B5">
      <w:pPr>
        <w:spacing w:before="77" w:line="310" w:lineRule="auto"/>
        <w:ind w:right="122" w:firstLine="570"/>
        <w:rPr>
          <w:rFonts w:ascii="宋体" w:hAnsi="宋体" w:eastAsia="宋体" w:cs="宋体"/>
          <w:sz w:val="27"/>
          <w:szCs w:val="27"/>
        </w:rPr>
      </w:pPr>
      <w:r>
        <w:rPr>
          <w:rFonts w:ascii="宋体" w:hAnsi="宋体" w:eastAsia="宋体" w:cs="宋体"/>
          <w:spacing w:val="-3"/>
          <w:sz w:val="27"/>
          <w:szCs w:val="27"/>
        </w:rPr>
        <w:t>说明产品试生产概况，包括生产批次、生产批量、时间节点和生产过程有关</w:t>
      </w:r>
      <w:r>
        <w:rPr>
          <w:rFonts w:ascii="宋体" w:hAnsi="宋体" w:eastAsia="宋体" w:cs="宋体"/>
          <w:sz w:val="27"/>
          <w:szCs w:val="27"/>
        </w:rPr>
        <w:t xml:space="preserve"> </w:t>
      </w:r>
      <w:r>
        <w:rPr>
          <w:rFonts w:ascii="宋体" w:hAnsi="宋体" w:eastAsia="宋体" w:cs="宋体"/>
          <w:spacing w:val="-9"/>
          <w:sz w:val="27"/>
          <w:szCs w:val="27"/>
        </w:rPr>
        <w:t>生产准备、生产、生产质量评审等主要工作。</w:t>
      </w:r>
    </w:p>
    <w:p w14:paraId="657EC3BC">
      <w:pPr>
        <w:spacing w:line="222" w:lineRule="auto"/>
        <w:rPr>
          <w:rFonts w:ascii="黑体" w:hAnsi="黑体" w:eastAsia="黑体" w:cs="黑体"/>
          <w:sz w:val="24"/>
          <w:szCs w:val="24"/>
        </w:rPr>
      </w:pPr>
      <w:r>
        <w:rPr>
          <w:rFonts w:ascii="黑体" w:hAnsi="黑体" w:eastAsia="黑体" w:cs="黑体"/>
          <w:spacing w:val="27"/>
          <w:sz w:val="24"/>
          <w:szCs w:val="24"/>
        </w:rPr>
        <w:t>2</w:t>
      </w:r>
      <w:r>
        <w:rPr>
          <w:rFonts w:ascii="黑体" w:hAnsi="黑体" w:eastAsia="黑体" w:cs="黑体"/>
          <w:spacing w:val="35"/>
          <w:sz w:val="24"/>
          <w:szCs w:val="24"/>
        </w:rPr>
        <w:t xml:space="preserve">  </w:t>
      </w:r>
      <w:r>
        <w:rPr>
          <w:rFonts w:ascii="黑体" w:hAnsi="黑体" w:eastAsia="黑体" w:cs="黑体"/>
          <w:b/>
          <w:bCs/>
          <w:spacing w:val="27"/>
          <w:sz w:val="24"/>
          <w:szCs w:val="24"/>
        </w:rPr>
        <w:t>产品质量情况</w:t>
      </w:r>
    </w:p>
    <w:p w14:paraId="2226484B">
      <w:pPr>
        <w:spacing w:before="85" w:line="289" w:lineRule="auto"/>
        <w:ind w:right="123" w:firstLine="570"/>
        <w:rPr>
          <w:rFonts w:ascii="宋体" w:hAnsi="宋体" w:eastAsia="宋体" w:cs="宋体"/>
          <w:sz w:val="27"/>
          <w:szCs w:val="27"/>
        </w:rPr>
      </w:pPr>
      <w:r>
        <w:rPr>
          <w:rFonts w:ascii="宋体" w:hAnsi="宋体" w:eastAsia="宋体" w:cs="宋体"/>
          <w:spacing w:val="-3"/>
          <w:sz w:val="27"/>
          <w:szCs w:val="27"/>
        </w:rPr>
        <w:t>说明试生产产品的质量情况，包括产品试生产总量、产品合格率、一次交验</w:t>
      </w:r>
      <w:r>
        <w:rPr>
          <w:rFonts w:ascii="宋体" w:hAnsi="宋体" w:eastAsia="宋体" w:cs="宋体"/>
          <w:sz w:val="27"/>
          <w:szCs w:val="27"/>
        </w:rPr>
        <w:t xml:space="preserve"> </w:t>
      </w:r>
      <w:r>
        <w:rPr>
          <w:rFonts w:ascii="宋体" w:hAnsi="宋体" w:eastAsia="宋体" w:cs="宋体"/>
          <w:spacing w:val="-3"/>
          <w:sz w:val="27"/>
          <w:szCs w:val="27"/>
        </w:rPr>
        <w:t>合格率等内容，以及不合格品的处置情况。</w:t>
      </w:r>
    </w:p>
    <w:p w14:paraId="2303BF93">
      <w:pPr>
        <w:spacing w:before="1" w:line="221" w:lineRule="auto"/>
        <w:rPr>
          <w:rFonts w:ascii="黑体" w:hAnsi="黑体" w:eastAsia="黑体" w:cs="黑体"/>
          <w:sz w:val="27"/>
          <w:szCs w:val="27"/>
        </w:rPr>
      </w:pPr>
      <w:r>
        <w:rPr>
          <w:rFonts w:ascii="黑体" w:hAnsi="黑体" w:eastAsia="黑体" w:cs="黑体"/>
          <w:spacing w:val="2"/>
          <w:sz w:val="27"/>
          <w:szCs w:val="27"/>
        </w:rPr>
        <w:t xml:space="preserve">3  </w:t>
      </w:r>
      <w:r>
        <w:rPr>
          <w:rFonts w:ascii="黑体" w:hAnsi="黑体" w:eastAsia="黑体" w:cs="黑体"/>
          <w:b/>
          <w:bCs/>
          <w:spacing w:val="2"/>
          <w:sz w:val="27"/>
          <w:szCs w:val="27"/>
        </w:rPr>
        <w:t>技术问题改进及解决情况</w:t>
      </w:r>
    </w:p>
    <w:p w14:paraId="5A481F66">
      <w:pPr>
        <w:spacing w:before="115" w:line="222" w:lineRule="auto"/>
        <w:rPr>
          <w:rFonts w:ascii="黑体" w:hAnsi="黑体" w:eastAsia="黑体" w:cs="黑体"/>
          <w:sz w:val="27"/>
          <w:szCs w:val="27"/>
        </w:rPr>
      </w:pPr>
      <w:r>
        <w:rPr>
          <w:rFonts w:ascii="黑体" w:hAnsi="黑体" w:eastAsia="黑体" w:cs="黑体"/>
          <w:spacing w:val="3"/>
          <w:sz w:val="27"/>
          <w:szCs w:val="27"/>
        </w:rPr>
        <w:t xml:space="preserve">3.1  </w:t>
      </w:r>
      <w:r>
        <w:rPr>
          <w:rFonts w:ascii="黑体" w:hAnsi="黑体" w:eastAsia="黑体" w:cs="黑体"/>
          <w:b/>
          <w:bCs/>
          <w:spacing w:val="3"/>
          <w:sz w:val="27"/>
          <w:szCs w:val="27"/>
        </w:rPr>
        <w:t>对设计定型提出的有关问题的改进及解决情况</w:t>
      </w:r>
    </w:p>
    <w:p w14:paraId="6986B15B">
      <w:pPr>
        <w:spacing w:before="82" w:line="292" w:lineRule="auto"/>
        <w:ind w:right="123" w:firstLine="570"/>
        <w:rPr>
          <w:rFonts w:ascii="宋体" w:hAnsi="宋体" w:eastAsia="宋体" w:cs="宋体"/>
          <w:sz w:val="27"/>
          <w:szCs w:val="27"/>
        </w:rPr>
      </w:pPr>
      <w:r>
        <w:rPr>
          <w:rFonts w:ascii="宋体" w:hAnsi="宋体" w:eastAsia="宋体" w:cs="宋体"/>
          <w:spacing w:val="-3"/>
          <w:sz w:val="27"/>
          <w:szCs w:val="27"/>
        </w:rPr>
        <w:t>说明设计定型时提出的有关问题的改进及解决情况，包括问题描述、原因分</w:t>
      </w:r>
      <w:r>
        <w:rPr>
          <w:rFonts w:ascii="宋体" w:hAnsi="宋体" w:eastAsia="宋体" w:cs="宋体"/>
          <w:sz w:val="27"/>
          <w:szCs w:val="27"/>
        </w:rPr>
        <w:t xml:space="preserve"> </w:t>
      </w:r>
      <w:r>
        <w:rPr>
          <w:rFonts w:ascii="宋体" w:hAnsi="宋体" w:eastAsia="宋体" w:cs="宋体"/>
          <w:spacing w:val="-6"/>
          <w:sz w:val="27"/>
          <w:szCs w:val="27"/>
        </w:rPr>
        <w:t>析、解决措施和验证归零情况。</w:t>
      </w:r>
    </w:p>
    <w:p w14:paraId="5B3628D6">
      <w:pPr>
        <w:spacing w:before="1" w:line="221" w:lineRule="auto"/>
        <w:rPr>
          <w:rFonts w:ascii="黑体" w:hAnsi="黑体" w:eastAsia="黑体" w:cs="黑体"/>
          <w:sz w:val="27"/>
          <w:szCs w:val="27"/>
        </w:rPr>
      </w:pPr>
      <w:r>
        <w:rPr>
          <w:rFonts w:ascii="黑体" w:hAnsi="黑体" w:eastAsia="黑体" w:cs="黑体"/>
          <w:spacing w:val="3"/>
          <w:sz w:val="27"/>
          <w:szCs w:val="27"/>
        </w:rPr>
        <w:t xml:space="preserve">3.2  </w:t>
      </w:r>
      <w:r>
        <w:rPr>
          <w:rFonts w:ascii="黑体" w:hAnsi="黑体" w:eastAsia="黑体" w:cs="黑体"/>
          <w:b/>
          <w:bCs/>
          <w:spacing w:val="3"/>
          <w:sz w:val="27"/>
          <w:szCs w:val="27"/>
        </w:rPr>
        <w:t>对设计定型阶段尚存问题的改进及解决情况</w:t>
      </w:r>
    </w:p>
    <w:p w14:paraId="2B811CE0">
      <w:pPr>
        <w:spacing w:before="80" w:line="299" w:lineRule="auto"/>
        <w:ind w:firstLine="570"/>
        <w:rPr>
          <w:rFonts w:ascii="宋体" w:hAnsi="宋体" w:eastAsia="宋体" w:cs="宋体"/>
          <w:sz w:val="27"/>
          <w:szCs w:val="27"/>
        </w:rPr>
      </w:pPr>
      <w:r>
        <w:rPr>
          <w:rFonts w:ascii="宋体" w:hAnsi="宋体" w:eastAsia="宋体" w:cs="宋体"/>
          <w:spacing w:val="1"/>
          <w:sz w:val="27"/>
          <w:szCs w:val="27"/>
        </w:rPr>
        <w:t>说明设计定型阶段尚存问题的改进及解决情况，包括问</w:t>
      </w:r>
      <w:r>
        <w:rPr>
          <w:rFonts w:ascii="宋体" w:hAnsi="宋体" w:eastAsia="宋体" w:cs="宋体"/>
          <w:sz w:val="27"/>
          <w:szCs w:val="27"/>
        </w:rPr>
        <w:t xml:space="preserve">题描述、原因分析、 </w:t>
      </w:r>
      <w:r>
        <w:rPr>
          <w:rFonts w:ascii="宋体" w:hAnsi="宋体" w:eastAsia="宋体" w:cs="宋体"/>
          <w:spacing w:val="3"/>
          <w:sz w:val="27"/>
          <w:szCs w:val="27"/>
        </w:rPr>
        <w:t>解决措施和验证归零情况。</w:t>
      </w:r>
    </w:p>
    <w:p w14:paraId="5AF7F312">
      <w:pPr>
        <w:spacing w:before="1" w:line="220" w:lineRule="auto"/>
        <w:rPr>
          <w:rFonts w:ascii="黑体" w:hAnsi="黑体" w:eastAsia="黑体" w:cs="黑体"/>
          <w:sz w:val="27"/>
          <w:szCs w:val="27"/>
        </w:rPr>
      </w:pPr>
      <w:r>
        <w:rPr>
          <w:rFonts w:ascii="黑体" w:hAnsi="黑体" w:eastAsia="黑体" w:cs="黑体"/>
          <w:spacing w:val="4"/>
          <w:sz w:val="27"/>
          <w:szCs w:val="27"/>
        </w:rPr>
        <w:t xml:space="preserve">3.3  </w:t>
      </w:r>
      <w:r>
        <w:rPr>
          <w:rFonts w:ascii="黑体" w:hAnsi="黑体" w:eastAsia="黑体" w:cs="黑体"/>
          <w:b/>
          <w:bCs/>
          <w:spacing w:val="4"/>
          <w:sz w:val="27"/>
          <w:szCs w:val="27"/>
        </w:rPr>
        <w:t>对部队试用中发现问题的改进及解</w:t>
      </w:r>
      <w:r>
        <w:rPr>
          <w:rFonts w:ascii="黑体" w:hAnsi="黑体" w:eastAsia="黑体" w:cs="黑体"/>
          <w:b/>
          <w:bCs/>
          <w:spacing w:val="3"/>
          <w:sz w:val="27"/>
          <w:szCs w:val="27"/>
        </w:rPr>
        <w:t>决情况</w:t>
      </w:r>
    </w:p>
    <w:p w14:paraId="7B7BA05A">
      <w:pPr>
        <w:spacing w:before="83" w:line="289" w:lineRule="auto"/>
        <w:ind w:right="125" w:firstLine="570"/>
        <w:rPr>
          <w:rFonts w:ascii="宋体" w:hAnsi="宋体" w:eastAsia="宋体" w:cs="宋体"/>
          <w:sz w:val="27"/>
          <w:szCs w:val="27"/>
        </w:rPr>
      </w:pPr>
      <w:r>
        <w:rPr>
          <w:rFonts w:ascii="宋体" w:hAnsi="宋体" w:eastAsia="宋体" w:cs="宋体"/>
          <w:spacing w:val="-3"/>
          <w:sz w:val="27"/>
          <w:szCs w:val="27"/>
        </w:rPr>
        <w:t>说明部队试用中发现问题的改进及解决情况，包括问题描述、原因分</w:t>
      </w:r>
      <w:r>
        <w:rPr>
          <w:rFonts w:ascii="宋体" w:hAnsi="宋体" w:eastAsia="宋体" w:cs="宋体"/>
          <w:spacing w:val="-4"/>
          <w:sz w:val="27"/>
          <w:szCs w:val="27"/>
        </w:rPr>
        <w:t>析、解</w:t>
      </w:r>
      <w:r>
        <w:rPr>
          <w:rFonts w:ascii="宋体" w:hAnsi="宋体" w:eastAsia="宋体" w:cs="宋体"/>
          <w:sz w:val="27"/>
          <w:szCs w:val="27"/>
        </w:rPr>
        <w:t xml:space="preserve"> </w:t>
      </w:r>
      <w:r>
        <w:rPr>
          <w:rFonts w:ascii="宋体" w:hAnsi="宋体" w:eastAsia="宋体" w:cs="宋体"/>
          <w:spacing w:val="3"/>
          <w:sz w:val="27"/>
          <w:szCs w:val="27"/>
        </w:rPr>
        <w:t>决措施和验证归零情况。</w:t>
      </w:r>
    </w:p>
    <w:p w14:paraId="2EE8D6BC">
      <w:pPr>
        <w:spacing w:before="1" w:line="221"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产品检验验收情况</w:t>
      </w:r>
    </w:p>
    <w:p w14:paraId="228C3B12">
      <w:pPr>
        <w:spacing w:before="109" w:line="290" w:lineRule="auto"/>
        <w:ind w:right="124" w:firstLine="570"/>
        <w:rPr>
          <w:rFonts w:ascii="宋体" w:hAnsi="宋体" w:eastAsia="宋体" w:cs="宋体"/>
          <w:sz w:val="27"/>
          <w:szCs w:val="27"/>
        </w:rPr>
      </w:pPr>
      <w:r>
        <w:rPr>
          <w:rFonts w:ascii="宋体" w:hAnsi="宋体" w:eastAsia="宋体" w:cs="宋体"/>
          <w:spacing w:val="-11"/>
          <w:sz w:val="27"/>
          <w:szCs w:val="27"/>
        </w:rPr>
        <w:t>说明产品检验验收情况，包括验收时间、验收地点、验收依据、验收项目、验</w:t>
      </w:r>
      <w:r>
        <w:rPr>
          <w:rFonts w:ascii="宋体" w:hAnsi="宋体" w:eastAsia="宋体" w:cs="宋体"/>
          <w:spacing w:val="4"/>
          <w:sz w:val="27"/>
          <w:szCs w:val="27"/>
        </w:rPr>
        <w:t xml:space="preserve"> </w:t>
      </w:r>
      <w:r>
        <w:rPr>
          <w:rFonts w:ascii="宋体" w:hAnsi="宋体" w:eastAsia="宋体" w:cs="宋体"/>
          <w:spacing w:val="-1"/>
          <w:sz w:val="27"/>
          <w:szCs w:val="27"/>
        </w:rPr>
        <w:t>收结果等。</w:t>
      </w:r>
    </w:p>
    <w:p w14:paraId="08912320">
      <w:pPr>
        <w:pStyle w:val="2"/>
        <w:spacing w:before="7" w:line="221" w:lineRule="auto"/>
        <w:rPr>
          <w:rFonts w:ascii="黑体" w:hAnsi="黑体" w:eastAsia="黑体" w:cs="黑体"/>
          <w:sz w:val="27"/>
          <w:szCs w:val="27"/>
        </w:rPr>
      </w:pPr>
      <w:r>
        <w:rPr>
          <w:b/>
          <w:bCs/>
          <w:spacing w:val="2"/>
          <w:sz w:val="27"/>
          <w:szCs w:val="27"/>
        </w:rPr>
        <w:t>5</w:t>
      </w:r>
      <w:r>
        <w:rPr>
          <w:b/>
          <w:bCs/>
          <w:spacing w:val="22"/>
          <w:sz w:val="27"/>
          <w:szCs w:val="27"/>
        </w:rPr>
        <w:t xml:space="preserve">   </w:t>
      </w:r>
      <w:r>
        <w:rPr>
          <w:rFonts w:ascii="黑体" w:hAnsi="黑体" w:eastAsia="黑体" w:cs="黑体"/>
          <w:b/>
          <w:bCs/>
          <w:spacing w:val="2"/>
          <w:sz w:val="27"/>
          <w:szCs w:val="27"/>
        </w:rPr>
        <w:t>对试验的要求和建议</w:t>
      </w:r>
    </w:p>
    <w:p w14:paraId="63B9754C">
      <w:pPr>
        <w:spacing w:before="103" w:line="296" w:lineRule="auto"/>
        <w:ind w:right="118" w:firstLine="570"/>
        <w:rPr>
          <w:rFonts w:ascii="宋体" w:hAnsi="宋体" w:eastAsia="宋体" w:cs="宋体"/>
          <w:sz w:val="27"/>
          <w:szCs w:val="27"/>
        </w:rPr>
      </w:pPr>
      <w:r>
        <w:rPr>
          <w:rFonts w:ascii="宋体" w:hAnsi="宋体" w:eastAsia="宋体" w:cs="宋体"/>
          <w:spacing w:val="5"/>
          <w:sz w:val="27"/>
          <w:szCs w:val="27"/>
        </w:rPr>
        <w:t>提出对生产定型试验的要求和建议，包括生产定型试验时间要求，试验项</w:t>
      </w:r>
      <w:r>
        <w:rPr>
          <w:rFonts w:ascii="宋体" w:hAnsi="宋体" w:eastAsia="宋体" w:cs="宋体"/>
          <w:spacing w:val="15"/>
          <w:sz w:val="27"/>
          <w:szCs w:val="27"/>
        </w:rPr>
        <w:t xml:space="preserve"> </w:t>
      </w:r>
      <w:r>
        <w:rPr>
          <w:rFonts w:ascii="宋体" w:hAnsi="宋体" w:eastAsia="宋体" w:cs="宋体"/>
          <w:spacing w:val="-7"/>
          <w:sz w:val="27"/>
          <w:szCs w:val="27"/>
        </w:rPr>
        <w:t>目、内容要求，试验保障措施要求和试验安</w:t>
      </w:r>
      <w:r>
        <w:rPr>
          <w:rFonts w:ascii="宋体" w:hAnsi="宋体" w:eastAsia="宋体" w:cs="宋体"/>
          <w:spacing w:val="-8"/>
          <w:sz w:val="27"/>
          <w:szCs w:val="27"/>
        </w:rPr>
        <w:t>全保证要求等。</w:t>
      </w:r>
    </w:p>
    <w:p w14:paraId="0B96B5DA">
      <w:pPr>
        <w:pStyle w:val="2"/>
        <w:spacing w:line="244" w:lineRule="auto"/>
      </w:pPr>
    </w:p>
    <w:p w14:paraId="4220FC65">
      <w:pPr>
        <w:spacing w:before="118" w:line="219" w:lineRule="auto"/>
        <w:ind w:left="2710"/>
        <w:outlineLvl w:val="1"/>
        <w:rPr>
          <w:rFonts w:ascii="宋体" w:hAnsi="宋体" w:eastAsia="宋体" w:cs="宋体"/>
          <w:sz w:val="36"/>
          <w:szCs w:val="36"/>
        </w:rPr>
      </w:pPr>
      <w:bookmarkStart w:id="120" w:name="bookmark60"/>
      <w:bookmarkEnd w:id="120"/>
      <w:r>
        <w:rPr>
          <w:rFonts w:ascii="宋体" w:hAnsi="宋体" w:eastAsia="宋体" w:cs="宋体"/>
          <w:spacing w:val="2"/>
          <w:sz w:val="36"/>
          <w:szCs w:val="36"/>
        </w:rPr>
        <w:t xml:space="preserve">1.58  </w:t>
      </w:r>
      <w:r>
        <w:rPr>
          <w:rFonts w:ascii="宋体" w:hAnsi="宋体" w:eastAsia="宋体" w:cs="宋体"/>
          <w:b/>
          <w:bCs/>
          <w:spacing w:val="2"/>
          <w:sz w:val="36"/>
          <w:szCs w:val="36"/>
        </w:rPr>
        <w:t>生产定型试验大纲</w:t>
      </w:r>
    </w:p>
    <w:p w14:paraId="114227E4">
      <w:pPr>
        <w:pStyle w:val="2"/>
        <w:spacing w:line="350" w:lineRule="auto"/>
      </w:pPr>
    </w:p>
    <w:p w14:paraId="21E814D1">
      <w:pPr>
        <w:spacing w:before="91" w:line="268" w:lineRule="auto"/>
        <w:ind w:right="126" w:firstLine="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w:t>
      </w:r>
      <w:r>
        <w:rPr>
          <w:rFonts w:ascii="Times New Roman" w:hAnsi="Times New Roman" w:eastAsia="Times New Roman" w:cs="Times New Roman"/>
          <w:spacing w:val="29"/>
          <w:sz w:val="28"/>
          <w:szCs w:val="28"/>
        </w:rPr>
        <w:t xml:space="preserve"> </w:t>
      </w:r>
      <w:r>
        <w:rPr>
          <w:rFonts w:ascii="Times New Roman" w:hAnsi="Times New Roman" w:eastAsia="Times New Roman" w:cs="Times New Roman"/>
          <w:spacing w:val="-10"/>
          <w:sz w:val="28"/>
          <w:szCs w:val="28"/>
        </w:rPr>
        <w:t>1362A—2007</w:t>
      </w:r>
      <w:r>
        <w:rPr>
          <w:rFonts w:ascii="宋体" w:hAnsi="宋体" w:eastAsia="宋体" w:cs="宋体"/>
          <w:spacing w:val="-10"/>
          <w:sz w:val="28"/>
          <w:szCs w:val="28"/>
        </w:rPr>
        <w:t>《</w:t>
      </w:r>
      <w:r>
        <w:rPr>
          <w:rFonts w:ascii="楷体" w:hAnsi="楷体" w:eastAsia="楷体" w:cs="楷体"/>
          <w:spacing w:val="-10"/>
          <w:sz w:val="28"/>
          <w:szCs w:val="28"/>
        </w:rPr>
        <w:t>军工产品定型程序和要求</w:t>
      </w:r>
      <w:r>
        <w:rPr>
          <w:rFonts w:ascii="楷体" w:hAnsi="楷体" w:eastAsia="楷体" w:cs="楷体"/>
          <w:spacing w:val="-11"/>
          <w:sz w:val="28"/>
          <w:szCs w:val="28"/>
        </w:rPr>
        <w:t>》编写，目次格式和编写</w:t>
      </w:r>
      <w:r>
        <w:rPr>
          <w:rFonts w:ascii="楷体" w:hAnsi="楷体" w:eastAsia="楷体" w:cs="楷体"/>
          <w:sz w:val="28"/>
          <w:szCs w:val="28"/>
        </w:rPr>
        <w:t xml:space="preserve"> </w:t>
      </w:r>
      <w:r>
        <w:rPr>
          <w:rFonts w:ascii="楷体" w:hAnsi="楷体" w:eastAsia="楷体" w:cs="楷体"/>
          <w:spacing w:val="-18"/>
          <w:sz w:val="28"/>
          <w:szCs w:val="28"/>
        </w:rPr>
        <w:t>说明与本书1.34《设计定型试验大纲》相同，参</w:t>
      </w:r>
      <w:r>
        <w:rPr>
          <w:rFonts w:ascii="楷体" w:hAnsi="楷体" w:eastAsia="楷体" w:cs="楷体"/>
          <w:spacing w:val="-19"/>
          <w:sz w:val="28"/>
          <w:szCs w:val="28"/>
        </w:rPr>
        <w:t>见1.34《设计定型试验大纲》。</w:t>
      </w:r>
    </w:p>
    <w:p w14:paraId="455E0487">
      <w:pPr>
        <w:pStyle w:val="2"/>
        <w:spacing w:line="284" w:lineRule="auto"/>
      </w:pPr>
    </w:p>
    <w:p w14:paraId="07BA088E">
      <w:pPr>
        <w:spacing w:before="117" w:line="218" w:lineRule="auto"/>
        <w:ind w:left="2710"/>
        <w:outlineLvl w:val="1"/>
        <w:rPr>
          <w:rFonts w:ascii="宋体" w:hAnsi="宋体" w:eastAsia="宋体" w:cs="宋体"/>
          <w:sz w:val="36"/>
          <w:szCs w:val="36"/>
        </w:rPr>
      </w:pPr>
      <w:bookmarkStart w:id="121" w:name="bookmark61"/>
      <w:bookmarkEnd w:id="121"/>
      <w:r>
        <w:rPr>
          <w:rFonts w:ascii="Times New Roman" w:hAnsi="Times New Roman" w:eastAsia="Times New Roman" w:cs="Times New Roman"/>
          <w:b/>
          <w:bCs/>
          <w:spacing w:val="1"/>
          <w:sz w:val="36"/>
          <w:szCs w:val="36"/>
        </w:rPr>
        <w:t xml:space="preserve">1.59     </w:t>
      </w:r>
      <w:r>
        <w:rPr>
          <w:rFonts w:ascii="宋体" w:hAnsi="宋体" w:eastAsia="宋体" w:cs="宋体"/>
          <w:b/>
          <w:bCs/>
          <w:spacing w:val="1"/>
          <w:sz w:val="36"/>
          <w:szCs w:val="36"/>
        </w:rPr>
        <w:t>生产定型试验报告</w:t>
      </w:r>
    </w:p>
    <w:p w14:paraId="4F27024F">
      <w:pPr>
        <w:pStyle w:val="2"/>
        <w:spacing w:line="337" w:lineRule="auto"/>
      </w:pPr>
    </w:p>
    <w:p w14:paraId="141DFF39">
      <w:pPr>
        <w:spacing w:before="92" w:line="274" w:lineRule="auto"/>
        <w:ind w:right="125" w:firstLine="570"/>
        <w:jc w:val="both"/>
        <w:rPr>
          <w:rFonts w:ascii="楷体" w:hAnsi="楷体" w:eastAsia="楷体" w:cs="楷体"/>
          <w:sz w:val="28"/>
          <w:szCs w:val="28"/>
        </w:rPr>
      </w:pPr>
      <w:r>
        <w:rPr>
          <w:rFonts w:ascii="楷体" w:hAnsi="楷体" w:eastAsia="楷体" w:cs="楷体"/>
          <w:spacing w:val="2"/>
          <w:sz w:val="28"/>
          <w:szCs w:val="28"/>
        </w:rPr>
        <w:t>按照</w:t>
      </w:r>
      <w:r>
        <w:rPr>
          <w:rFonts w:ascii="楷体" w:hAnsi="楷体" w:eastAsia="楷体" w:cs="楷体"/>
          <w:spacing w:val="-35"/>
          <w:sz w:val="28"/>
          <w:szCs w:val="28"/>
        </w:rPr>
        <w:t xml:space="preserve"> </w:t>
      </w:r>
      <w:r>
        <w:rPr>
          <w:rFonts w:ascii="Times New Roman" w:hAnsi="Times New Roman" w:eastAsia="Times New Roman" w:cs="Times New Roman"/>
          <w:sz w:val="28"/>
          <w:szCs w:val="28"/>
        </w:rPr>
        <w:t>GJB</w:t>
      </w:r>
      <w:r>
        <w:rPr>
          <w:rFonts w:ascii="Times New Roman" w:hAnsi="Times New Roman" w:eastAsia="Times New Roman" w:cs="Times New Roman"/>
          <w:spacing w:val="2"/>
          <w:sz w:val="28"/>
          <w:szCs w:val="28"/>
        </w:rPr>
        <w:t>1362A—2007</w:t>
      </w:r>
      <w:r>
        <w:rPr>
          <w:rFonts w:ascii="宋体" w:hAnsi="宋体" w:eastAsia="宋体" w:cs="宋体"/>
          <w:spacing w:val="2"/>
          <w:sz w:val="28"/>
          <w:szCs w:val="28"/>
        </w:rPr>
        <w:t>《</w:t>
      </w:r>
      <w:r>
        <w:rPr>
          <w:rFonts w:ascii="宋体" w:hAnsi="宋体" w:eastAsia="宋体" w:cs="宋体"/>
          <w:spacing w:val="-43"/>
          <w:sz w:val="28"/>
          <w:szCs w:val="28"/>
        </w:rPr>
        <w:t xml:space="preserve"> </w:t>
      </w:r>
      <w:r>
        <w:rPr>
          <w:rFonts w:ascii="楷体" w:hAnsi="楷体" w:eastAsia="楷体" w:cs="楷体"/>
          <w:spacing w:val="2"/>
          <w:sz w:val="28"/>
          <w:szCs w:val="28"/>
        </w:rPr>
        <w:t>军工产品定型程序和要求》编写，目次格式和</w:t>
      </w:r>
      <w:r>
        <w:rPr>
          <w:rFonts w:ascii="楷体" w:hAnsi="楷体" w:eastAsia="楷体" w:cs="楷体"/>
          <w:sz w:val="28"/>
          <w:szCs w:val="28"/>
        </w:rPr>
        <w:t xml:space="preserve"> </w:t>
      </w:r>
      <w:r>
        <w:rPr>
          <w:rFonts w:ascii="楷体" w:hAnsi="楷体" w:eastAsia="楷体" w:cs="楷体"/>
          <w:spacing w:val="2"/>
          <w:sz w:val="28"/>
          <w:szCs w:val="28"/>
        </w:rPr>
        <w:t>编写说明与本书1.37《设计定型试验报告》相同，参见1.37《设计定型试验</w:t>
      </w:r>
      <w:r>
        <w:rPr>
          <w:rFonts w:ascii="楷体" w:hAnsi="楷体" w:eastAsia="楷体" w:cs="楷体"/>
          <w:spacing w:val="11"/>
          <w:sz w:val="28"/>
          <w:szCs w:val="28"/>
        </w:rPr>
        <w:t xml:space="preserve"> </w:t>
      </w:r>
      <w:r>
        <w:rPr>
          <w:rFonts w:ascii="楷体" w:hAnsi="楷体" w:eastAsia="楷体" w:cs="楷体"/>
          <w:spacing w:val="-25"/>
          <w:sz w:val="28"/>
          <w:szCs w:val="28"/>
        </w:rPr>
        <w:t>报告》。</w:t>
      </w:r>
    </w:p>
    <w:p w14:paraId="7873D1F2">
      <w:pPr>
        <w:spacing w:line="274" w:lineRule="auto"/>
        <w:rPr>
          <w:rFonts w:ascii="楷体" w:hAnsi="楷体" w:eastAsia="楷体" w:cs="楷体"/>
          <w:sz w:val="28"/>
          <w:szCs w:val="28"/>
        </w:rPr>
        <w:sectPr>
          <w:footerReference r:id="rId175" w:type="default"/>
          <w:pgSz w:w="11910" w:h="17130"/>
          <w:pgMar w:top="400" w:right="954" w:bottom="1600" w:left="1450" w:header="0" w:footer="1314" w:gutter="0"/>
          <w:cols w:space="720" w:num="1"/>
        </w:sectPr>
      </w:pPr>
    </w:p>
    <w:p w14:paraId="2289CD91">
      <w:pPr>
        <w:pStyle w:val="2"/>
        <w:spacing w:line="272" w:lineRule="auto"/>
      </w:pPr>
    </w:p>
    <w:p w14:paraId="17E08406">
      <w:pPr>
        <w:pStyle w:val="2"/>
        <w:spacing w:line="272" w:lineRule="auto"/>
      </w:pPr>
    </w:p>
    <w:p w14:paraId="0250085B">
      <w:pPr>
        <w:pStyle w:val="2"/>
        <w:spacing w:line="272" w:lineRule="auto"/>
      </w:pPr>
    </w:p>
    <w:p w14:paraId="55086ADD">
      <w:pPr>
        <w:pStyle w:val="2"/>
        <w:spacing w:line="272" w:lineRule="auto"/>
      </w:pPr>
    </w:p>
    <w:p w14:paraId="2B0B3ED6">
      <w:pPr>
        <w:pStyle w:val="2"/>
        <w:spacing w:line="273" w:lineRule="auto"/>
      </w:pPr>
    </w:p>
    <w:p w14:paraId="38F0EB4E">
      <w:pPr>
        <w:spacing w:before="117" w:line="218" w:lineRule="auto"/>
        <w:ind w:left="1769"/>
        <w:outlineLvl w:val="1"/>
        <w:rPr>
          <w:rFonts w:ascii="宋体" w:hAnsi="宋体" w:eastAsia="宋体" w:cs="宋体"/>
          <w:sz w:val="36"/>
          <w:szCs w:val="36"/>
        </w:rPr>
      </w:pPr>
      <w:bookmarkStart w:id="122" w:name="bookmark62"/>
      <w:bookmarkEnd w:id="122"/>
      <w:r>
        <w:rPr>
          <w:rFonts w:ascii="宋体" w:hAnsi="宋体" w:eastAsia="宋体" w:cs="宋体"/>
          <w:spacing w:val="3"/>
          <w:sz w:val="36"/>
          <w:szCs w:val="36"/>
        </w:rPr>
        <w:t xml:space="preserve">1.60  </w:t>
      </w:r>
      <w:r>
        <w:rPr>
          <w:rFonts w:ascii="宋体" w:hAnsi="宋体" w:eastAsia="宋体" w:cs="宋体"/>
          <w:b/>
          <w:bCs/>
          <w:spacing w:val="3"/>
          <w:sz w:val="36"/>
          <w:szCs w:val="36"/>
        </w:rPr>
        <w:t>价值工程分析和成本核算报告</w:t>
      </w:r>
    </w:p>
    <w:p w14:paraId="494DA92A">
      <w:pPr>
        <w:pStyle w:val="2"/>
        <w:spacing w:line="359" w:lineRule="auto"/>
      </w:pPr>
    </w:p>
    <w:p w14:paraId="0CDD1605">
      <w:pPr>
        <w:spacing w:before="81" w:line="221" w:lineRule="auto"/>
        <w:rPr>
          <w:rFonts w:ascii="黑体" w:hAnsi="黑体" w:eastAsia="黑体" w:cs="黑体"/>
          <w:sz w:val="25"/>
          <w:szCs w:val="25"/>
        </w:rPr>
      </w:pPr>
      <w:r>
        <w:rPr>
          <w:rFonts w:ascii="黑体" w:hAnsi="黑体" w:eastAsia="黑体" w:cs="黑体"/>
          <w:spacing w:val="4"/>
          <w:sz w:val="25"/>
          <w:szCs w:val="25"/>
        </w:rPr>
        <w:t>1</w:t>
      </w:r>
      <w:r>
        <w:rPr>
          <w:rFonts w:ascii="黑体" w:hAnsi="黑体" w:eastAsia="黑体" w:cs="黑体"/>
          <w:spacing w:val="35"/>
          <w:sz w:val="25"/>
          <w:szCs w:val="25"/>
        </w:rPr>
        <w:t xml:space="preserve">  </w:t>
      </w:r>
      <w:r>
        <w:rPr>
          <w:rFonts w:ascii="黑体" w:hAnsi="黑体" w:eastAsia="黑体" w:cs="黑体"/>
          <w:b/>
          <w:bCs/>
          <w:spacing w:val="4"/>
          <w:sz w:val="25"/>
          <w:szCs w:val="25"/>
        </w:rPr>
        <w:t>概述</w:t>
      </w:r>
    </w:p>
    <w:p w14:paraId="54D81A02">
      <w:pPr>
        <w:spacing w:before="75" w:line="219" w:lineRule="auto"/>
        <w:ind w:left="570"/>
        <w:rPr>
          <w:rFonts w:ascii="宋体" w:hAnsi="宋体" w:eastAsia="宋体" w:cs="宋体"/>
          <w:sz w:val="27"/>
          <w:szCs w:val="27"/>
        </w:rPr>
      </w:pPr>
      <w:r>
        <w:rPr>
          <w:rFonts w:ascii="宋体" w:hAnsi="宋体" w:eastAsia="宋体" w:cs="宋体"/>
          <w:spacing w:val="-7"/>
          <w:sz w:val="27"/>
          <w:szCs w:val="27"/>
        </w:rPr>
        <w:t>介绍产品的基本情况，如产品型号名称，研制生产情况。</w:t>
      </w:r>
    </w:p>
    <w:p w14:paraId="4CBECA87">
      <w:pPr>
        <w:spacing w:before="118" w:line="218" w:lineRule="auto"/>
        <w:ind w:left="570"/>
        <w:rPr>
          <w:rFonts w:ascii="宋体" w:hAnsi="宋体" w:eastAsia="宋体" w:cs="宋体"/>
          <w:sz w:val="27"/>
          <w:szCs w:val="27"/>
        </w:rPr>
      </w:pPr>
      <w:r>
        <w:rPr>
          <w:rFonts w:ascii="宋体" w:hAnsi="宋体" w:eastAsia="宋体" w:cs="宋体"/>
          <w:spacing w:val="2"/>
          <w:sz w:val="27"/>
          <w:szCs w:val="27"/>
        </w:rPr>
        <w:t>介绍价值工程分析和成本核算的目的和任务。</w:t>
      </w:r>
    </w:p>
    <w:p w14:paraId="256AA6DA">
      <w:pPr>
        <w:spacing w:before="87" w:line="222" w:lineRule="auto"/>
        <w:rPr>
          <w:rFonts w:ascii="黑体" w:hAnsi="黑体" w:eastAsia="黑体" w:cs="黑体"/>
          <w:sz w:val="25"/>
          <w:szCs w:val="25"/>
        </w:rPr>
      </w:pPr>
      <w:r>
        <w:rPr>
          <w:rFonts w:ascii="黑体" w:hAnsi="黑体" w:eastAsia="黑体" w:cs="黑体"/>
          <w:spacing w:val="21"/>
          <w:sz w:val="25"/>
          <w:szCs w:val="25"/>
        </w:rPr>
        <w:t>2</w:t>
      </w:r>
      <w:r>
        <w:rPr>
          <w:rFonts w:ascii="黑体" w:hAnsi="黑体" w:eastAsia="黑体" w:cs="黑体"/>
          <w:spacing w:val="23"/>
          <w:sz w:val="25"/>
          <w:szCs w:val="25"/>
        </w:rPr>
        <w:t xml:space="preserve">  </w:t>
      </w:r>
      <w:r>
        <w:rPr>
          <w:rFonts w:ascii="黑体" w:hAnsi="黑体" w:eastAsia="黑体" w:cs="黑体"/>
          <w:b/>
          <w:bCs/>
          <w:spacing w:val="21"/>
          <w:sz w:val="25"/>
          <w:szCs w:val="25"/>
        </w:rPr>
        <w:t>研制成本</w:t>
      </w:r>
    </w:p>
    <w:p w14:paraId="547AE188">
      <w:pPr>
        <w:spacing w:before="90" w:line="221" w:lineRule="auto"/>
        <w:rPr>
          <w:rFonts w:ascii="黑体" w:hAnsi="黑体" w:eastAsia="黑体" w:cs="黑体"/>
          <w:sz w:val="27"/>
          <w:szCs w:val="27"/>
        </w:rPr>
      </w:pPr>
      <w:r>
        <w:rPr>
          <w:rFonts w:ascii="黑体" w:hAnsi="黑体" w:eastAsia="黑体" w:cs="黑体"/>
          <w:spacing w:val="3"/>
          <w:sz w:val="27"/>
          <w:szCs w:val="27"/>
        </w:rPr>
        <w:t xml:space="preserve">2.1  </w:t>
      </w:r>
      <w:r>
        <w:rPr>
          <w:rFonts w:ascii="黑体" w:hAnsi="黑体" w:eastAsia="黑体" w:cs="黑体"/>
          <w:b/>
          <w:bCs/>
          <w:spacing w:val="3"/>
          <w:sz w:val="27"/>
          <w:szCs w:val="27"/>
        </w:rPr>
        <w:t>成本核算的依据和方法</w:t>
      </w:r>
    </w:p>
    <w:p w14:paraId="51283A99">
      <w:pPr>
        <w:spacing w:before="77" w:line="222" w:lineRule="auto"/>
        <w:rPr>
          <w:rFonts w:ascii="黑体" w:hAnsi="黑体" w:eastAsia="黑体" w:cs="黑体"/>
          <w:sz w:val="27"/>
          <w:szCs w:val="27"/>
        </w:rPr>
      </w:pPr>
      <w:r>
        <w:rPr>
          <w:rFonts w:ascii="黑体" w:hAnsi="黑体" w:eastAsia="黑体" w:cs="黑体"/>
          <w:spacing w:val="-2"/>
          <w:sz w:val="27"/>
          <w:szCs w:val="27"/>
        </w:rPr>
        <w:t>2.1.</w:t>
      </w:r>
      <w:r>
        <w:rPr>
          <w:rFonts w:ascii="黑体" w:hAnsi="黑体" w:eastAsia="黑体" w:cs="黑体"/>
          <w:b/>
          <w:bCs/>
          <w:spacing w:val="-2"/>
          <w:sz w:val="27"/>
          <w:szCs w:val="27"/>
        </w:rPr>
        <w:t>1</w:t>
      </w:r>
      <w:r>
        <w:rPr>
          <w:rFonts w:ascii="黑体" w:hAnsi="黑体" w:eastAsia="黑体" w:cs="黑体"/>
          <w:spacing w:val="27"/>
          <w:sz w:val="27"/>
          <w:szCs w:val="27"/>
        </w:rPr>
        <w:t xml:space="preserve">  </w:t>
      </w:r>
      <w:r>
        <w:rPr>
          <w:rFonts w:ascii="黑体" w:hAnsi="黑体" w:eastAsia="黑体" w:cs="黑体"/>
          <w:b/>
          <w:bCs/>
          <w:spacing w:val="-2"/>
          <w:sz w:val="27"/>
          <w:szCs w:val="27"/>
        </w:rPr>
        <w:t>成本核算的依据</w:t>
      </w:r>
    </w:p>
    <w:p w14:paraId="5F9B2EE1">
      <w:pPr>
        <w:spacing w:before="89" w:line="219" w:lineRule="auto"/>
        <w:ind w:left="570"/>
        <w:rPr>
          <w:rFonts w:ascii="宋体" w:hAnsi="宋体" w:eastAsia="宋体" w:cs="宋体"/>
          <w:sz w:val="27"/>
          <w:szCs w:val="27"/>
        </w:rPr>
      </w:pPr>
      <w:r>
        <w:rPr>
          <w:rFonts w:ascii="宋体" w:hAnsi="宋体" w:eastAsia="宋体" w:cs="宋体"/>
          <w:spacing w:val="2"/>
          <w:sz w:val="27"/>
          <w:szCs w:val="27"/>
        </w:rPr>
        <w:t>说明成本核算是按照下述文件规定进行的：</w:t>
      </w:r>
    </w:p>
    <w:p w14:paraId="033EED70">
      <w:pPr>
        <w:spacing w:before="71" w:line="212" w:lineRule="auto"/>
        <w:ind w:left="570"/>
        <w:rPr>
          <w:rFonts w:ascii="宋体" w:hAnsi="宋体" w:eastAsia="宋体" w:cs="宋体"/>
          <w:sz w:val="27"/>
          <w:szCs w:val="27"/>
        </w:rPr>
      </w:pPr>
      <w:r>
        <w:rPr>
          <w:rFonts w:ascii="Times New Roman" w:hAnsi="Times New Roman" w:eastAsia="Times New Roman" w:cs="Times New Roman"/>
          <w:spacing w:val="-5"/>
          <w:sz w:val="27"/>
          <w:szCs w:val="27"/>
        </w:rPr>
        <w:t>a)</w:t>
      </w:r>
      <w:r>
        <w:rPr>
          <w:rFonts w:ascii="宋体" w:hAnsi="宋体" w:eastAsia="宋体" w:cs="宋体"/>
          <w:spacing w:val="-5"/>
          <w:sz w:val="27"/>
          <w:szCs w:val="27"/>
        </w:rPr>
        <w:t>《军工科研事业单位财务制度》,财政部，1996年；</w:t>
      </w:r>
    </w:p>
    <w:p w14:paraId="0FBF3CF5">
      <w:pPr>
        <w:spacing w:before="99" w:line="257" w:lineRule="auto"/>
        <w:ind w:firstLine="570"/>
        <w:rPr>
          <w:rFonts w:ascii="宋体" w:hAnsi="宋体" w:eastAsia="宋体" w:cs="宋体"/>
          <w:sz w:val="27"/>
          <w:szCs w:val="27"/>
        </w:rPr>
      </w:pPr>
      <w:r>
        <w:rPr>
          <w:rFonts w:ascii="Times New Roman" w:hAnsi="Times New Roman" w:eastAsia="Times New Roman" w:cs="Times New Roman"/>
          <w:spacing w:val="14"/>
          <w:sz w:val="27"/>
          <w:szCs w:val="27"/>
        </w:rPr>
        <w:t>b)</w:t>
      </w:r>
      <w:r>
        <w:rPr>
          <w:rFonts w:ascii="宋体" w:hAnsi="宋体" w:eastAsia="宋体" w:cs="宋体"/>
          <w:spacing w:val="14"/>
          <w:sz w:val="27"/>
          <w:szCs w:val="27"/>
        </w:rPr>
        <w:t>《国防科研项目计价管理办法》,财政部、国防科学技术工业委会员，</w:t>
      </w:r>
      <w:r>
        <w:rPr>
          <w:rFonts w:ascii="宋体" w:hAnsi="宋体" w:eastAsia="宋体" w:cs="宋体"/>
          <w:spacing w:val="12"/>
          <w:sz w:val="27"/>
          <w:szCs w:val="27"/>
        </w:rPr>
        <w:t xml:space="preserve"> </w:t>
      </w:r>
      <w:r>
        <w:rPr>
          <w:rFonts w:ascii="宋体" w:hAnsi="宋体" w:eastAsia="宋体" w:cs="宋体"/>
          <w:spacing w:val="7"/>
          <w:sz w:val="27"/>
          <w:szCs w:val="27"/>
        </w:rPr>
        <w:t>1995年；</w:t>
      </w:r>
    </w:p>
    <w:p w14:paraId="47344343">
      <w:pPr>
        <w:spacing w:before="58" w:line="260" w:lineRule="auto"/>
        <w:ind w:right="123" w:firstLine="570"/>
        <w:rPr>
          <w:rFonts w:ascii="宋体" w:hAnsi="宋体" w:eastAsia="宋体" w:cs="宋体"/>
          <w:sz w:val="27"/>
          <w:szCs w:val="27"/>
        </w:rPr>
      </w:pPr>
      <w:r>
        <w:rPr>
          <w:rFonts w:ascii="Times New Roman" w:hAnsi="Times New Roman" w:eastAsia="Times New Roman" w:cs="Times New Roman"/>
          <w:spacing w:val="3"/>
          <w:sz w:val="27"/>
          <w:szCs w:val="27"/>
        </w:rPr>
        <w:t>c)</w:t>
      </w:r>
      <w:r>
        <w:rPr>
          <w:rFonts w:ascii="宋体" w:hAnsi="宋体" w:eastAsia="宋体" w:cs="宋体"/>
          <w:spacing w:val="3"/>
          <w:sz w:val="27"/>
          <w:szCs w:val="27"/>
        </w:rPr>
        <w:t>《军品价格管理办法》,中国人民解放军总参谋部、国防</w:t>
      </w:r>
      <w:r>
        <w:rPr>
          <w:rFonts w:ascii="宋体" w:hAnsi="宋体" w:eastAsia="宋体" w:cs="宋体"/>
          <w:spacing w:val="2"/>
          <w:sz w:val="27"/>
          <w:szCs w:val="27"/>
        </w:rPr>
        <w:t>科学技术工业委</w:t>
      </w:r>
      <w:r>
        <w:rPr>
          <w:rFonts w:ascii="宋体" w:hAnsi="宋体" w:eastAsia="宋体" w:cs="宋体"/>
          <w:sz w:val="27"/>
          <w:szCs w:val="27"/>
        </w:rPr>
        <w:t xml:space="preserve"> </w:t>
      </w:r>
      <w:r>
        <w:rPr>
          <w:rFonts w:ascii="宋体" w:hAnsi="宋体" w:eastAsia="宋体" w:cs="宋体"/>
          <w:spacing w:val="-14"/>
          <w:sz w:val="27"/>
          <w:szCs w:val="27"/>
        </w:rPr>
        <w:t>员会、国家计划委员会、财政部，1996年。</w:t>
      </w:r>
    </w:p>
    <w:p w14:paraId="16E77F76">
      <w:pPr>
        <w:spacing w:before="85" w:line="221" w:lineRule="auto"/>
        <w:rPr>
          <w:rFonts w:ascii="黑体" w:hAnsi="黑体" w:eastAsia="黑体" w:cs="黑体"/>
          <w:sz w:val="27"/>
          <w:szCs w:val="27"/>
        </w:rPr>
      </w:pPr>
      <w:r>
        <w:rPr>
          <w:rFonts w:ascii="黑体" w:hAnsi="黑体" w:eastAsia="黑体" w:cs="黑体"/>
          <w:spacing w:val="-1"/>
          <w:sz w:val="27"/>
          <w:szCs w:val="27"/>
        </w:rPr>
        <w:t>2.1.</w:t>
      </w:r>
      <w:r>
        <w:rPr>
          <w:rFonts w:ascii="黑体" w:hAnsi="黑体" w:eastAsia="黑体" w:cs="黑体"/>
          <w:b/>
          <w:bCs/>
          <w:spacing w:val="-1"/>
          <w:sz w:val="27"/>
          <w:szCs w:val="27"/>
        </w:rPr>
        <w:t>2</w:t>
      </w:r>
      <w:r>
        <w:rPr>
          <w:rFonts w:ascii="黑体" w:hAnsi="黑体" w:eastAsia="黑体" w:cs="黑体"/>
          <w:spacing w:val="21"/>
          <w:sz w:val="27"/>
          <w:szCs w:val="27"/>
        </w:rPr>
        <w:t xml:space="preserve">  </w:t>
      </w:r>
      <w:r>
        <w:rPr>
          <w:rFonts w:ascii="黑体" w:hAnsi="黑体" w:eastAsia="黑体" w:cs="黑体"/>
          <w:b/>
          <w:bCs/>
          <w:spacing w:val="-1"/>
          <w:sz w:val="27"/>
          <w:szCs w:val="27"/>
        </w:rPr>
        <w:t>成本核算的方法</w:t>
      </w:r>
    </w:p>
    <w:p w14:paraId="512DA8B1">
      <w:pPr>
        <w:spacing w:before="71" w:line="283" w:lineRule="auto"/>
        <w:ind w:right="120" w:firstLine="570"/>
        <w:rPr>
          <w:rFonts w:ascii="宋体" w:hAnsi="宋体" w:eastAsia="宋体" w:cs="宋体"/>
          <w:sz w:val="27"/>
          <w:szCs w:val="27"/>
        </w:rPr>
      </w:pPr>
      <w:r>
        <w:rPr>
          <w:rFonts w:ascii="宋体" w:hAnsi="宋体" w:eastAsia="宋体" w:cs="宋体"/>
          <w:spacing w:val="-3"/>
          <w:sz w:val="27"/>
          <w:szCs w:val="27"/>
        </w:rPr>
        <w:t>说明成本核算的方法；同时采用完全成本法和制造成本法核算，以满足国防</w:t>
      </w:r>
      <w:r>
        <w:rPr>
          <w:rFonts w:ascii="宋体" w:hAnsi="宋体" w:eastAsia="宋体" w:cs="宋体"/>
          <w:spacing w:val="2"/>
          <w:sz w:val="27"/>
          <w:szCs w:val="27"/>
        </w:rPr>
        <w:t xml:space="preserve"> </w:t>
      </w:r>
      <w:r>
        <w:rPr>
          <w:rFonts w:ascii="宋体" w:hAnsi="宋体" w:eastAsia="宋体" w:cs="宋体"/>
          <w:spacing w:val="-3"/>
          <w:sz w:val="27"/>
          <w:szCs w:val="27"/>
        </w:rPr>
        <w:t>科研项目、军民品成本管理和核算的特殊要求。</w:t>
      </w:r>
    </w:p>
    <w:p w14:paraId="45BAEFD4">
      <w:pPr>
        <w:spacing w:before="1" w:line="222" w:lineRule="auto"/>
        <w:rPr>
          <w:rFonts w:ascii="黑体" w:hAnsi="黑体" w:eastAsia="黑体" w:cs="黑体"/>
          <w:sz w:val="27"/>
          <w:szCs w:val="27"/>
        </w:rPr>
      </w:pPr>
      <w:r>
        <w:rPr>
          <w:rFonts w:ascii="黑体" w:hAnsi="黑体" w:eastAsia="黑体" w:cs="黑体"/>
          <w:spacing w:val="1"/>
          <w:sz w:val="27"/>
          <w:szCs w:val="27"/>
        </w:rPr>
        <w:t>2.2</w:t>
      </w:r>
      <w:r>
        <w:rPr>
          <w:rFonts w:ascii="黑体" w:hAnsi="黑体" w:eastAsia="黑体" w:cs="黑体"/>
          <w:spacing w:val="14"/>
          <w:sz w:val="27"/>
          <w:szCs w:val="27"/>
        </w:rPr>
        <w:t xml:space="preserve">  </w:t>
      </w:r>
      <w:r>
        <w:rPr>
          <w:rFonts w:ascii="黑体" w:hAnsi="黑体" w:eastAsia="黑体" w:cs="黑体"/>
          <w:b/>
          <w:bCs/>
          <w:spacing w:val="1"/>
          <w:sz w:val="27"/>
          <w:szCs w:val="27"/>
        </w:rPr>
        <w:t>成本组成及费用</w:t>
      </w:r>
    </w:p>
    <w:p w14:paraId="3CBE0AC4">
      <w:pPr>
        <w:spacing w:before="97" w:line="219" w:lineRule="auto"/>
        <w:ind w:left="570"/>
        <w:rPr>
          <w:rFonts w:ascii="宋体" w:hAnsi="宋体" w:eastAsia="宋体" w:cs="宋体"/>
          <w:sz w:val="27"/>
          <w:szCs w:val="27"/>
        </w:rPr>
      </w:pPr>
      <w:r>
        <w:rPr>
          <w:rFonts w:ascii="宋体" w:hAnsi="宋体" w:eastAsia="宋体" w:cs="宋体"/>
          <w:spacing w:val="-1"/>
          <w:sz w:val="27"/>
          <w:szCs w:val="27"/>
        </w:rPr>
        <w:t>简要说明研制成本和期间费用的组成及相应的费用，通常包括：</w:t>
      </w:r>
    </w:p>
    <w:p w14:paraId="6BED1E3A">
      <w:pPr>
        <w:spacing w:before="61" w:line="212" w:lineRule="auto"/>
        <w:ind w:left="570"/>
        <w:rPr>
          <w:rFonts w:ascii="宋体" w:hAnsi="宋体" w:eastAsia="宋体" w:cs="宋体"/>
          <w:sz w:val="27"/>
          <w:szCs w:val="27"/>
        </w:rPr>
      </w:pPr>
      <w:r>
        <w:rPr>
          <w:rFonts w:ascii="Times New Roman" w:hAnsi="Times New Roman" w:eastAsia="Times New Roman" w:cs="Times New Roman"/>
          <w:sz w:val="27"/>
          <w:szCs w:val="27"/>
        </w:rPr>
        <w:t>a)</w:t>
      </w:r>
      <w:r>
        <w:rPr>
          <w:rFonts w:ascii="Times New Roman" w:hAnsi="Times New Roman" w:eastAsia="Times New Roman" w:cs="Times New Roman"/>
          <w:spacing w:val="66"/>
          <w:w w:val="101"/>
          <w:sz w:val="27"/>
          <w:szCs w:val="27"/>
        </w:rPr>
        <w:t xml:space="preserve"> </w:t>
      </w:r>
      <w:r>
        <w:rPr>
          <w:rFonts w:ascii="宋体" w:hAnsi="宋体" w:eastAsia="宋体" w:cs="宋体"/>
          <w:sz w:val="27"/>
          <w:szCs w:val="27"/>
        </w:rPr>
        <w:t>直接材料费；</w:t>
      </w:r>
    </w:p>
    <w:p w14:paraId="5F9FF168">
      <w:pPr>
        <w:spacing w:before="90" w:line="212" w:lineRule="auto"/>
        <w:ind w:left="570"/>
        <w:rPr>
          <w:rFonts w:ascii="宋体" w:hAnsi="宋体" w:eastAsia="宋体" w:cs="宋体"/>
          <w:sz w:val="27"/>
          <w:szCs w:val="27"/>
        </w:rPr>
      </w:pPr>
      <w:r>
        <w:rPr>
          <w:rFonts w:ascii="Times New Roman" w:hAnsi="Times New Roman" w:eastAsia="Times New Roman" w:cs="Times New Roman"/>
          <w:sz w:val="27"/>
          <w:szCs w:val="27"/>
        </w:rPr>
        <w:t>b)</w:t>
      </w:r>
      <w:r>
        <w:rPr>
          <w:rFonts w:ascii="Times New Roman" w:hAnsi="Times New Roman" w:eastAsia="Times New Roman" w:cs="Times New Roman"/>
          <w:spacing w:val="71"/>
          <w:sz w:val="27"/>
          <w:szCs w:val="27"/>
        </w:rPr>
        <w:t xml:space="preserve"> </w:t>
      </w:r>
      <w:r>
        <w:rPr>
          <w:rFonts w:ascii="宋体" w:hAnsi="宋体" w:eastAsia="宋体" w:cs="宋体"/>
          <w:sz w:val="27"/>
          <w:szCs w:val="27"/>
        </w:rPr>
        <w:t>直接工资费；</w:t>
      </w:r>
    </w:p>
    <w:p w14:paraId="566F6E9C">
      <w:pPr>
        <w:spacing w:before="100" w:line="263" w:lineRule="auto"/>
        <w:ind w:right="121" w:firstLine="570"/>
        <w:rPr>
          <w:rFonts w:ascii="宋体" w:hAnsi="宋体" w:eastAsia="宋体" w:cs="宋体"/>
          <w:sz w:val="27"/>
          <w:szCs w:val="27"/>
        </w:rPr>
      </w:pPr>
      <w:r>
        <w:rPr>
          <w:rFonts w:ascii="Times New Roman" w:hAnsi="Times New Roman" w:eastAsia="Times New Roman" w:cs="Times New Roman"/>
          <w:spacing w:val="-15"/>
          <w:sz w:val="27"/>
          <w:szCs w:val="27"/>
        </w:rPr>
        <w:t>c)</w:t>
      </w:r>
      <w:r>
        <w:rPr>
          <w:rFonts w:ascii="Times New Roman" w:hAnsi="Times New Roman" w:eastAsia="Times New Roman" w:cs="Times New Roman"/>
          <w:spacing w:val="42"/>
          <w:w w:val="101"/>
          <w:sz w:val="27"/>
          <w:szCs w:val="27"/>
        </w:rPr>
        <w:t xml:space="preserve"> </w:t>
      </w:r>
      <w:r>
        <w:rPr>
          <w:rFonts w:ascii="宋体" w:hAnsi="宋体" w:eastAsia="宋体" w:cs="宋体"/>
          <w:spacing w:val="-15"/>
          <w:sz w:val="27"/>
          <w:szCs w:val="27"/>
        </w:rPr>
        <w:t>其他直接支出(包括：设计费，试验费，外协费，</w:t>
      </w:r>
      <w:r>
        <w:rPr>
          <w:rFonts w:ascii="宋体" w:hAnsi="宋体" w:eastAsia="宋体" w:cs="宋体"/>
          <w:spacing w:val="-16"/>
          <w:sz w:val="27"/>
          <w:szCs w:val="27"/>
        </w:rPr>
        <w:t>专用设备、仪器购置费，专</w:t>
      </w:r>
      <w:r>
        <w:rPr>
          <w:rFonts w:ascii="宋体" w:hAnsi="宋体" w:eastAsia="宋体" w:cs="宋体"/>
          <w:sz w:val="27"/>
          <w:szCs w:val="27"/>
        </w:rPr>
        <w:t xml:space="preserve"> </w:t>
      </w:r>
      <w:r>
        <w:rPr>
          <w:rFonts w:ascii="宋体" w:hAnsi="宋体" w:eastAsia="宋体" w:cs="宋体"/>
          <w:spacing w:val="-8"/>
          <w:sz w:val="27"/>
          <w:szCs w:val="27"/>
        </w:rPr>
        <w:t>用工艺装备费，零星技术措施费，样品样机购置费，技术基础费</w:t>
      </w:r>
      <w:r>
        <w:rPr>
          <w:rFonts w:ascii="宋体" w:hAnsi="宋体" w:eastAsia="宋体" w:cs="宋体"/>
          <w:spacing w:val="-9"/>
          <w:sz w:val="27"/>
          <w:szCs w:val="27"/>
        </w:rPr>
        <w:t>);</w:t>
      </w:r>
    </w:p>
    <w:p w14:paraId="7347B307">
      <w:pPr>
        <w:spacing w:before="51"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d)</w:t>
      </w:r>
      <w:r>
        <w:rPr>
          <w:rFonts w:ascii="Times New Roman" w:hAnsi="Times New Roman" w:eastAsia="Times New Roman" w:cs="Times New Roman"/>
          <w:spacing w:val="68"/>
          <w:sz w:val="27"/>
          <w:szCs w:val="27"/>
        </w:rPr>
        <w:t xml:space="preserve"> </w:t>
      </w:r>
      <w:r>
        <w:rPr>
          <w:rFonts w:ascii="宋体" w:hAnsi="宋体" w:eastAsia="宋体" w:cs="宋体"/>
          <w:spacing w:val="-1"/>
          <w:sz w:val="27"/>
          <w:szCs w:val="27"/>
        </w:rPr>
        <w:t>研制费用；</w:t>
      </w:r>
    </w:p>
    <w:p w14:paraId="2966EB1D">
      <w:pPr>
        <w:spacing w:before="130" w:line="219" w:lineRule="auto"/>
        <w:ind w:left="570"/>
        <w:rPr>
          <w:rFonts w:ascii="宋体" w:hAnsi="宋体" w:eastAsia="宋体" w:cs="宋体"/>
          <w:sz w:val="27"/>
          <w:szCs w:val="27"/>
        </w:rPr>
      </w:pPr>
      <w:r>
        <w:rPr>
          <w:rFonts w:ascii="Times New Roman" w:hAnsi="Times New Roman" w:eastAsia="Times New Roman" w:cs="Times New Roman"/>
          <w:spacing w:val="11"/>
          <w:sz w:val="27"/>
          <w:szCs w:val="27"/>
        </w:rPr>
        <w:t>e</w:t>
      </w:r>
      <w:r>
        <w:rPr>
          <w:rFonts w:ascii="宋体" w:hAnsi="宋体" w:eastAsia="宋体" w:cs="宋体"/>
          <w:spacing w:val="11"/>
          <w:sz w:val="27"/>
          <w:szCs w:val="27"/>
        </w:rPr>
        <w:t>)管理费用；</w:t>
      </w:r>
    </w:p>
    <w:p w14:paraId="7A2F17A5">
      <w:pPr>
        <w:spacing w:before="81" w:line="212" w:lineRule="auto"/>
        <w:ind w:left="570"/>
        <w:rPr>
          <w:rFonts w:ascii="宋体" w:hAnsi="宋体" w:eastAsia="宋体" w:cs="宋体"/>
          <w:sz w:val="24"/>
          <w:szCs w:val="24"/>
        </w:rPr>
      </w:pPr>
      <w:r>
        <w:rPr>
          <w:rFonts w:ascii="Times New Roman" w:hAnsi="Times New Roman" w:eastAsia="Times New Roman" w:cs="Times New Roman"/>
          <w:spacing w:val="18"/>
          <w:sz w:val="24"/>
          <w:szCs w:val="24"/>
        </w:rPr>
        <w:t>f)</w:t>
      </w:r>
      <w:r>
        <w:rPr>
          <w:rFonts w:ascii="Times New Roman" w:hAnsi="Times New Roman" w:eastAsia="Times New Roman" w:cs="Times New Roman"/>
          <w:spacing w:val="21"/>
          <w:sz w:val="24"/>
          <w:szCs w:val="24"/>
        </w:rPr>
        <w:t xml:space="preserve">  </w:t>
      </w:r>
      <w:r>
        <w:rPr>
          <w:rFonts w:ascii="宋体" w:hAnsi="宋体" w:eastAsia="宋体" w:cs="宋体"/>
          <w:spacing w:val="18"/>
          <w:sz w:val="24"/>
          <w:szCs w:val="24"/>
        </w:rPr>
        <w:t>财务费用；</w:t>
      </w:r>
    </w:p>
    <w:p w14:paraId="0B27E478">
      <w:pPr>
        <w:spacing w:before="112" w:line="212" w:lineRule="auto"/>
        <w:ind w:left="570"/>
        <w:rPr>
          <w:rFonts w:ascii="宋体" w:hAnsi="宋体" w:eastAsia="宋体" w:cs="宋体"/>
          <w:sz w:val="27"/>
          <w:szCs w:val="27"/>
        </w:rPr>
      </w:pPr>
      <w:r>
        <w:rPr>
          <w:rFonts w:ascii="Times New Roman" w:hAnsi="Times New Roman" w:eastAsia="Times New Roman" w:cs="Times New Roman"/>
          <w:spacing w:val="-1"/>
          <w:sz w:val="27"/>
          <w:szCs w:val="27"/>
        </w:rPr>
        <w:t>g</w:t>
      </w:r>
      <w:r>
        <w:rPr>
          <w:rFonts w:ascii="宋体" w:hAnsi="宋体" w:eastAsia="宋体" w:cs="宋体"/>
          <w:spacing w:val="-1"/>
          <w:sz w:val="27"/>
          <w:szCs w:val="27"/>
        </w:rPr>
        <w:t>)</w:t>
      </w:r>
      <w:r>
        <w:rPr>
          <w:rFonts w:ascii="宋体" w:hAnsi="宋体" w:eastAsia="宋体" w:cs="宋体"/>
          <w:spacing w:val="-43"/>
          <w:sz w:val="27"/>
          <w:szCs w:val="27"/>
        </w:rPr>
        <w:t xml:space="preserve"> </w:t>
      </w:r>
      <w:r>
        <w:rPr>
          <w:rFonts w:ascii="宋体" w:hAnsi="宋体" w:eastAsia="宋体" w:cs="宋体"/>
          <w:spacing w:val="-1"/>
          <w:sz w:val="27"/>
          <w:szCs w:val="27"/>
        </w:rPr>
        <w:t>经营费用。</w:t>
      </w:r>
    </w:p>
    <w:p w14:paraId="7C20BCA3">
      <w:pPr>
        <w:spacing w:before="120" w:line="274" w:lineRule="auto"/>
        <w:ind w:right="122" w:firstLine="570"/>
        <w:rPr>
          <w:rFonts w:ascii="宋体" w:hAnsi="宋体" w:eastAsia="宋体" w:cs="宋体"/>
          <w:sz w:val="27"/>
          <w:szCs w:val="27"/>
        </w:rPr>
      </w:pPr>
      <w:r>
        <w:rPr>
          <w:rFonts w:ascii="宋体" w:hAnsi="宋体" w:eastAsia="宋体" w:cs="宋体"/>
          <w:spacing w:val="-3"/>
          <w:sz w:val="27"/>
          <w:szCs w:val="27"/>
        </w:rPr>
        <w:t>各种费用的构成在《军工科研事业单位财务制度》中有明确规定，可参见本</w:t>
      </w:r>
      <w:r>
        <w:rPr>
          <w:rFonts w:ascii="宋体" w:hAnsi="宋体" w:eastAsia="宋体" w:cs="宋体"/>
          <w:sz w:val="27"/>
          <w:szCs w:val="27"/>
        </w:rPr>
        <w:t xml:space="preserve"> </w:t>
      </w:r>
      <w:r>
        <w:rPr>
          <w:rFonts w:ascii="宋体" w:hAnsi="宋体" w:eastAsia="宋体" w:cs="宋体"/>
          <w:spacing w:val="-6"/>
          <w:sz w:val="27"/>
          <w:szCs w:val="27"/>
        </w:rPr>
        <w:t>书1.41《价值工程和成本分析报告》中的简要说明。</w:t>
      </w:r>
    </w:p>
    <w:p w14:paraId="6587B392">
      <w:pPr>
        <w:spacing w:before="14" w:line="222" w:lineRule="auto"/>
        <w:rPr>
          <w:rFonts w:ascii="黑体" w:hAnsi="黑体" w:eastAsia="黑体" w:cs="黑体"/>
          <w:sz w:val="27"/>
          <w:szCs w:val="27"/>
        </w:rPr>
      </w:pPr>
      <w:r>
        <w:rPr>
          <w:rFonts w:ascii="黑体" w:hAnsi="黑体" w:eastAsia="黑体" w:cs="黑体"/>
          <w:spacing w:val="-1"/>
          <w:sz w:val="27"/>
          <w:szCs w:val="27"/>
        </w:rPr>
        <w:t>2.3</w:t>
      </w:r>
      <w:r>
        <w:rPr>
          <w:rFonts w:ascii="黑体" w:hAnsi="黑体" w:eastAsia="黑体" w:cs="黑体"/>
          <w:spacing w:val="13"/>
          <w:sz w:val="27"/>
          <w:szCs w:val="27"/>
        </w:rPr>
        <w:t xml:space="preserve">  </w:t>
      </w:r>
      <w:r>
        <w:rPr>
          <w:rFonts w:ascii="黑体" w:hAnsi="黑体" w:eastAsia="黑体" w:cs="黑体"/>
          <w:b/>
          <w:bCs/>
          <w:spacing w:val="-1"/>
          <w:sz w:val="27"/>
          <w:szCs w:val="27"/>
        </w:rPr>
        <w:t>成本核算</w:t>
      </w:r>
    </w:p>
    <w:p w14:paraId="7BFD1BFA">
      <w:pPr>
        <w:spacing w:before="75" w:line="222" w:lineRule="auto"/>
        <w:rPr>
          <w:rFonts w:ascii="黑体" w:hAnsi="黑体" w:eastAsia="黑体" w:cs="黑体"/>
          <w:sz w:val="27"/>
          <w:szCs w:val="27"/>
        </w:rPr>
      </w:pPr>
      <w:r>
        <w:rPr>
          <w:rFonts w:ascii="黑体" w:hAnsi="黑体" w:eastAsia="黑体" w:cs="黑体"/>
          <w:spacing w:val="-2"/>
          <w:sz w:val="27"/>
          <w:szCs w:val="27"/>
        </w:rPr>
        <w:t>2.3.</w:t>
      </w:r>
      <w:r>
        <w:rPr>
          <w:rFonts w:ascii="黑体" w:hAnsi="黑体" w:eastAsia="黑体" w:cs="黑体"/>
          <w:b/>
          <w:bCs/>
          <w:spacing w:val="-2"/>
          <w:sz w:val="27"/>
          <w:szCs w:val="27"/>
        </w:rPr>
        <w:t>1</w:t>
      </w:r>
      <w:r>
        <w:rPr>
          <w:rFonts w:ascii="黑体" w:hAnsi="黑体" w:eastAsia="黑体" w:cs="黑体"/>
          <w:spacing w:val="25"/>
          <w:sz w:val="27"/>
          <w:szCs w:val="27"/>
        </w:rPr>
        <w:t xml:space="preserve">  </w:t>
      </w:r>
      <w:r>
        <w:rPr>
          <w:rFonts w:ascii="黑体" w:hAnsi="黑体" w:eastAsia="黑体" w:cs="黑体"/>
          <w:b/>
          <w:bCs/>
          <w:spacing w:val="-2"/>
          <w:sz w:val="27"/>
          <w:szCs w:val="27"/>
        </w:rPr>
        <w:t>直接材料费核算</w:t>
      </w:r>
    </w:p>
    <w:p w14:paraId="410859FC">
      <w:pPr>
        <w:spacing w:before="70" w:line="296" w:lineRule="auto"/>
        <w:ind w:right="105" w:firstLine="570"/>
        <w:rPr>
          <w:rFonts w:ascii="宋体" w:hAnsi="宋体" w:eastAsia="宋体" w:cs="宋体"/>
          <w:sz w:val="27"/>
          <w:szCs w:val="27"/>
        </w:rPr>
      </w:pPr>
      <w:r>
        <w:rPr>
          <w:rFonts w:ascii="宋体" w:hAnsi="宋体" w:eastAsia="宋体" w:cs="宋体"/>
          <w:spacing w:val="6"/>
          <w:sz w:val="27"/>
          <w:szCs w:val="27"/>
        </w:rPr>
        <w:t>说明对直接材料费进行核算的结果及其合理性，特别是分析采购</w:t>
      </w:r>
      <w:r>
        <w:rPr>
          <w:rFonts w:ascii="宋体" w:hAnsi="宋体" w:eastAsia="宋体" w:cs="宋体"/>
          <w:spacing w:val="5"/>
          <w:sz w:val="27"/>
          <w:szCs w:val="27"/>
        </w:rPr>
        <w:t>的价格昂</w:t>
      </w:r>
      <w:r>
        <w:rPr>
          <w:rFonts w:ascii="宋体" w:hAnsi="宋体" w:eastAsia="宋体" w:cs="宋体"/>
          <w:sz w:val="27"/>
          <w:szCs w:val="27"/>
        </w:rPr>
        <w:t xml:space="preserve"> </w:t>
      </w:r>
      <w:r>
        <w:rPr>
          <w:rFonts w:ascii="宋体" w:hAnsi="宋体" w:eastAsia="宋体" w:cs="宋体"/>
          <w:spacing w:val="2"/>
          <w:sz w:val="27"/>
          <w:szCs w:val="27"/>
        </w:rPr>
        <w:t>贵器材费用的合理性。</w:t>
      </w:r>
    </w:p>
    <w:p w14:paraId="4753AE18">
      <w:pPr>
        <w:spacing w:line="296" w:lineRule="auto"/>
        <w:rPr>
          <w:rFonts w:ascii="宋体" w:hAnsi="宋体" w:eastAsia="宋体" w:cs="宋体"/>
          <w:sz w:val="27"/>
          <w:szCs w:val="27"/>
        </w:rPr>
        <w:sectPr>
          <w:footerReference r:id="rId176" w:type="default"/>
          <w:pgSz w:w="11910" w:h="17130"/>
          <w:pgMar w:top="400" w:right="1304" w:bottom="1667" w:left="1100" w:header="0" w:footer="1450" w:gutter="0"/>
          <w:cols w:space="720" w:num="1"/>
        </w:sectPr>
      </w:pPr>
    </w:p>
    <w:p w14:paraId="0779FA5B">
      <w:pPr>
        <w:pStyle w:val="2"/>
        <w:spacing w:line="257" w:lineRule="auto"/>
      </w:pPr>
    </w:p>
    <w:p w14:paraId="0597FDEA">
      <w:pPr>
        <w:pStyle w:val="2"/>
        <w:spacing w:line="257" w:lineRule="auto"/>
      </w:pPr>
    </w:p>
    <w:p w14:paraId="5EE30237">
      <w:pPr>
        <w:pStyle w:val="2"/>
        <w:spacing w:line="257" w:lineRule="auto"/>
      </w:pPr>
    </w:p>
    <w:p w14:paraId="40B2DA2B">
      <w:pPr>
        <w:pStyle w:val="2"/>
        <w:spacing w:line="257" w:lineRule="auto"/>
      </w:pPr>
    </w:p>
    <w:p w14:paraId="41C46060">
      <w:pPr>
        <w:spacing w:before="91" w:line="222" w:lineRule="auto"/>
        <w:rPr>
          <w:rFonts w:ascii="黑体" w:hAnsi="黑体" w:eastAsia="黑体" w:cs="黑体"/>
          <w:sz w:val="28"/>
          <w:szCs w:val="28"/>
        </w:rPr>
      </w:pPr>
      <w:r>
        <w:rPr>
          <w:rFonts w:ascii="黑体" w:hAnsi="黑体" w:eastAsia="黑体" w:cs="黑体"/>
          <w:spacing w:val="-4"/>
          <w:sz w:val="28"/>
          <w:szCs w:val="28"/>
        </w:rPr>
        <w:t xml:space="preserve">2.3.2  </w:t>
      </w:r>
      <w:r>
        <w:rPr>
          <w:rFonts w:ascii="黑体" w:hAnsi="黑体" w:eastAsia="黑体" w:cs="黑体"/>
          <w:b/>
          <w:bCs/>
          <w:spacing w:val="-4"/>
          <w:sz w:val="28"/>
          <w:szCs w:val="28"/>
        </w:rPr>
        <w:t>直接工资费核算</w:t>
      </w:r>
    </w:p>
    <w:p w14:paraId="3ED19BC1">
      <w:pPr>
        <w:spacing w:before="98" w:line="219" w:lineRule="auto"/>
        <w:ind w:left="570"/>
        <w:rPr>
          <w:rFonts w:ascii="宋体" w:hAnsi="宋体" w:eastAsia="宋体" w:cs="宋体"/>
          <w:sz w:val="27"/>
          <w:szCs w:val="27"/>
        </w:rPr>
      </w:pPr>
      <w:r>
        <w:rPr>
          <w:rFonts w:ascii="宋体" w:hAnsi="宋体" w:eastAsia="宋体" w:cs="宋体"/>
          <w:spacing w:val="4"/>
          <w:sz w:val="27"/>
          <w:szCs w:val="27"/>
        </w:rPr>
        <w:t>说明对直接工资费进行核算的结果及其合理性。</w:t>
      </w:r>
    </w:p>
    <w:p w14:paraId="6EA357DD">
      <w:pPr>
        <w:spacing w:before="79" w:line="222" w:lineRule="auto"/>
        <w:rPr>
          <w:rFonts w:ascii="黑体" w:hAnsi="黑体" w:eastAsia="黑体" w:cs="黑体"/>
          <w:sz w:val="27"/>
          <w:szCs w:val="27"/>
        </w:rPr>
      </w:pPr>
      <w:r>
        <w:rPr>
          <w:rFonts w:ascii="黑体" w:hAnsi="黑体" w:eastAsia="黑体" w:cs="黑体"/>
          <w:spacing w:val="3"/>
          <w:sz w:val="27"/>
          <w:szCs w:val="27"/>
        </w:rPr>
        <w:t>2.3.3</w:t>
      </w:r>
      <w:r>
        <w:rPr>
          <w:rFonts w:ascii="黑体" w:hAnsi="黑体" w:eastAsia="黑体" w:cs="黑体"/>
          <w:spacing w:val="21"/>
          <w:sz w:val="27"/>
          <w:szCs w:val="27"/>
        </w:rPr>
        <w:t xml:space="preserve">  </w:t>
      </w:r>
      <w:r>
        <w:rPr>
          <w:rFonts w:ascii="黑体" w:hAnsi="黑体" w:eastAsia="黑体" w:cs="黑体"/>
          <w:spacing w:val="3"/>
          <w:sz w:val="27"/>
          <w:szCs w:val="27"/>
        </w:rPr>
        <w:t>其他直接支出</w:t>
      </w:r>
    </w:p>
    <w:p w14:paraId="0C6EA487">
      <w:pPr>
        <w:spacing w:before="92" w:line="222" w:lineRule="auto"/>
        <w:rPr>
          <w:rFonts w:ascii="黑体" w:hAnsi="黑体" w:eastAsia="黑体" w:cs="黑体"/>
          <w:sz w:val="24"/>
          <w:szCs w:val="24"/>
        </w:rPr>
      </w:pPr>
      <w:r>
        <w:rPr>
          <w:rFonts w:ascii="黑体" w:hAnsi="黑体" w:eastAsia="黑体" w:cs="黑体"/>
          <w:spacing w:val="11"/>
          <w:sz w:val="24"/>
          <w:szCs w:val="24"/>
        </w:rPr>
        <w:t>2.3.3.</w:t>
      </w:r>
      <w:r>
        <w:rPr>
          <w:rFonts w:ascii="黑体" w:hAnsi="黑体" w:eastAsia="黑体" w:cs="黑体"/>
          <w:spacing w:val="-6"/>
          <w:sz w:val="24"/>
          <w:szCs w:val="24"/>
        </w:rPr>
        <w:t xml:space="preserve"> </w:t>
      </w:r>
      <w:r>
        <w:rPr>
          <w:rFonts w:ascii="黑体" w:hAnsi="黑体" w:eastAsia="黑体" w:cs="黑体"/>
          <w:spacing w:val="11"/>
          <w:sz w:val="24"/>
          <w:szCs w:val="24"/>
        </w:rPr>
        <w:t>1</w:t>
      </w:r>
      <w:r>
        <w:rPr>
          <w:rFonts w:ascii="黑体" w:hAnsi="黑体" w:eastAsia="黑体" w:cs="黑体"/>
          <w:spacing w:val="46"/>
          <w:sz w:val="24"/>
          <w:szCs w:val="24"/>
        </w:rPr>
        <w:t xml:space="preserve">  </w:t>
      </w:r>
      <w:r>
        <w:rPr>
          <w:rFonts w:ascii="黑体" w:hAnsi="黑体" w:eastAsia="黑体" w:cs="黑体"/>
          <w:spacing w:val="11"/>
          <w:sz w:val="24"/>
          <w:szCs w:val="24"/>
        </w:rPr>
        <w:t>设计费核算</w:t>
      </w:r>
    </w:p>
    <w:p w14:paraId="3FEEDA98">
      <w:pPr>
        <w:spacing w:before="114" w:line="219" w:lineRule="auto"/>
        <w:ind w:left="570"/>
        <w:rPr>
          <w:rFonts w:ascii="宋体" w:hAnsi="宋体" w:eastAsia="宋体" w:cs="宋体"/>
          <w:sz w:val="27"/>
          <w:szCs w:val="27"/>
        </w:rPr>
      </w:pPr>
      <w:r>
        <w:rPr>
          <w:rFonts w:ascii="宋体" w:hAnsi="宋体" w:eastAsia="宋体" w:cs="宋体"/>
          <w:spacing w:val="4"/>
          <w:sz w:val="27"/>
          <w:szCs w:val="27"/>
        </w:rPr>
        <w:t>说明对设计费进行核算的结果及其合理性。</w:t>
      </w:r>
    </w:p>
    <w:p w14:paraId="7CBD1AB9">
      <w:pPr>
        <w:pStyle w:val="2"/>
        <w:spacing w:before="19" w:line="368" w:lineRule="exact"/>
        <w:rPr>
          <w:rFonts w:ascii="黑体" w:hAnsi="黑体" w:eastAsia="黑体" w:cs="黑体"/>
          <w:sz w:val="27"/>
          <w:szCs w:val="27"/>
        </w:rPr>
      </w:pPr>
      <w:r>
        <w:rPr>
          <w:position w:val="1"/>
          <w:sz w:val="27"/>
          <w:szCs w:val="27"/>
        </w:rPr>
        <w:t>2.3.3.2</w:t>
      </w:r>
      <w:r>
        <w:rPr>
          <w:spacing w:val="13"/>
          <w:position w:val="1"/>
          <w:sz w:val="27"/>
          <w:szCs w:val="27"/>
        </w:rPr>
        <w:t xml:space="preserve">     </w:t>
      </w:r>
      <w:r>
        <w:rPr>
          <w:rFonts w:ascii="黑体" w:hAnsi="黑体" w:eastAsia="黑体" w:cs="黑体"/>
          <w:position w:val="1"/>
          <w:sz w:val="27"/>
          <w:szCs w:val="27"/>
        </w:rPr>
        <w:t>试验费核算</w:t>
      </w:r>
    </w:p>
    <w:p w14:paraId="62A1483A">
      <w:pPr>
        <w:spacing w:before="103" w:line="219" w:lineRule="auto"/>
        <w:ind w:left="570"/>
        <w:rPr>
          <w:rFonts w:ascii="宋体" w:hAnsi="宋体" w:eastAsia="宋体" w:cs="宋体"/>
          <w:sz w:val="27"/>
          <w:szCs w:val="27"/>
        </w:rPr>
      </w:pPr>
      <w:r>
        <w:rPr>
          <w:rFonts w:ascii="宋体" w:hAnsi="宋体" w:eastAsia="宋体" w:cs="宋体"/>
          <w:spacing w:val="4"/>
          <w:sz w:val="27"/>
          <w:szCs w:val="27"/>
        </w:rPr>
        <w:t>说明对试验费进行核算的结果及其合理性。</w:t>
      </w:r>
    </w:p>
    <w:p w14:paraId="116CDB90">
      <w:pPr>
        <w:pStyle w:val="2"/>
        <w:spacing w:before="20" w:line="368" w:lineRule="exact"/>
        <w:rPr>
          <w:rFonts w:ascii="黑体" w:hAnsi="黑体" w:eastAsia="黑体" w:cs="黑体"/>
          <w:sz w:val="27"/>
          <w:szCs w:val="27"/>
        </w:rPr>
      </w:pPr>
      <w:r>
        <w:rPr>
          <w:position w:val="1"/>
          <w:sz w:val="27"/>
          <w:szCs w:val="27"/>
        </w:rPr>
        <w:t>2.3.3.3</w:t>
      </w:r>
      <w:r>
        <w:rPr>
          <w:spacing w:val="13"/>
          <w:position w:val="1"/>
          <w:sz w:val="27"/>
          <w:szCs w:val="27"/>
        </w:rPr>
        <w:t xml:space="preserve">     </w:t>
      </w:r>
      <w:r>
        <w:rPr>
          <w:rFonts w:ascii="黑体" w:hAnsi="黑体" w:eastAsia="黑体" w:cs="黑体"/>
          <w:position w:val="1"/>
          <w:sz w:val="27"/>
          <w:szCs w:val="27"/>
        </w:rPr>
        <w:t>外协费核算</w:t>
      </w:r>
    </w:p>
    <w:p w14:paraId="23A69A1D">
      <w:pPr>
        <w:spacing w:before="102" w:line="219" w:lineRule="auto"/>
        <w:ind w:left="570"/>
        <w:rPr>
          <w:rFonts w:ascii="宋体" w:hAnsi="宋体" w:eastAsia="宋体" w:cs="宋体"/>
          <w:sz w:val="27"/>
          <w:szCs w:val="27"/>
        </w:rPr>
      </w:pPr>
      <w:r>
        <w:rPr>
          <w:rFonts w:ascii="宋体" w:hAnsi="宋体" w:eastAsia="宋体" w:cs="宋体"/>
          <w:spacing w:val="4"/>
          <w:sz w:val="27"/>
          <w:szCs w:val="27"/>
        </w:rPr>
        <w:t>说明对外协费进行核算的结果及其合理性。</w:t>
      </w:r>
    </w:p>
    <w:p w14:paraId="771833F3">
      <w:pPr>
        <w:spacing w:before="87" w:line="222" w:lineRule="auto"/>
        <w:rPr>
          <w:rFonts w:ascii="黑体" w:hAnsi="黑体" w:eastAsia="黑体" w:cs="黑体"/>
          <w:sz w:val="25"/>
          <w:szCs w:val="25"/>
        </w:rPr>
      </w:pPr>
      <w:r>
        <w:rPr>
          <w:rFonts w:ascii="黑体" w:hAnsi="黑体" w:eastAsia="黑体" w:cs="黑体"/>
          <w:spacing w:val="7"/>
          <w:sz w:val="25"/>
          <w:szCs w:val="25"/>
        </w:rPr>
        <w:t>2.3.3.</w:t>
      </w:r>
      <w:r>
        <w:rPr>
          <w:rFonts w:ascii="黑体" w:hAnsi="黑体" w:eastAsia="黑体" w:cs="黑体"/>
          <w:spacing w:val="-33"/>
          <w:sz w:val="25"/>
          <w:szCs w:val="25"/>
        </w:rPr>
        <w:t xml:space="preserve"> </w:t>
      </w:r>
      <w:r>
        <w:rPr>
          <w:rFonts w:ascii="黑体" w:hAnsi="黑体" w:eastAsia="黑体" w:cs="黑体"/>
          <w:spacing w:val="7"/>
          <w:sz w:val="25"/>
          <w:szCs w:val="25"/>
        </w:rPr>
        <w:t>4</w:t>
      </w:r>
      <w:r>
        <w:rPr>
          <w:rFonts w:ascii="黑体" w:hAnsi="黑体" w:eastAsia="黑体" w:cs="黑体"/>
          <w:spacing w:val="29"/>
          <w:sz w:val="25"/>
          <w:szCs w:val="25"/>
        </w:rPr>
        <w:t xml:space="preserve">  </w:t>
      </w:r>
      <w:r>
        <w:rPr>
          <w:rFonts w:ascii="黑体" w:hAnsi="黑体" w:eastAsia="黑体" w:cs="黑体"/>
          <w:spacing w:val="7"/>
          <w:sz w:val="25"/>
          <w:szCs w:val="25"/>
        </w:rPr>
        <w:t>专用设备、仪器购置费核算</w:t>
      </w:r>
    </w:p>
    <w:p w14:paraId="4251B985">
      <w:pPr>
        <w:spacing w:before="102" w:line="219" w:lineRule="auto"/>
        <w:ind w:left="570"/>
        <w:rPr>
          <w:rFonts w:ascii="宋体" w:hAnsi="宋体" w:eastAsia="宋体" w:cs="宋体"/>
          <w:sz w:val="27"/>
          <w:szCs w:val="27"/>
        </w:rPr>
      </w:pPr>
      <w:r>
        <w:rPr>
          <w:rFonts w:ascii="宋体" w:hAnsi="宋体" w:eastAsia="宋体" w:cs="宋体"/>
          <w:spacing w:val="-1"/>
          <w:sz w:val="27"/>
          <w:szCs w:val="27"/>
        </w:rPr>
        <w:t>说明对专用设备、仪器购置费进行核算的结果及其合理性。</w:t>
      </w:r>
    </w:p>
    <w:p w14:paraId="607C88DD">
      <w:pPr>
        <w:spacing w:before="77" w:line="222" w:lineRule="auto"/>
        <w:rPr>
          <w:rFonts w:ascii="黑体" w:hAnsi="黑体" w:eastAsia="黑体" w:cs="黑体"/>
          <w:sz w:val="27"/>
          <w:szCs w:val="27"/>
        </w:rPr>
      </w:pPr>
      <w:r>
        <w:rPr>
          <w:rFonts w:ascii="黑体" w:hAnsi="黑体" w:eastAsia="黑体" w:cs="黑体"/>
          <w:spacing w:val="1"/>
          <w:sz w:val="27"/>
          <w:szCs w:val="27"/>
        </w:rPr>
        <w:t>2.3.3.5</w:t>
      </w:r>
      <w:r>
        <w:rPr>
          <w:rFonts w:ascii="黑体" w:hAnsi="黑体" w:eastAsia="黑体" w:cs="黑体"/>
          <w:spacing w:val="24"/>
          <w:sz w:val="27"/>
          <w:szCs w:val="27"/>
        </w:rPr>
        <w:t xml:space="preserve">  </w:t>
      </w:r>
      <w:r>
        <w:rPr>
          <w:rFonts w:ascii="黑体" w:hAnsi="黑体" w:eastAsia="黑体" w:cs="黑体"/>
          <w:spacing w:val="1"/>
          <w:sz w:val="27"/>
          <w:szCs w:val="27"/>
        </w:rPr>
        <w:t>专用工艺装备费核算</w:t>
      </w:r>
    </w:p>
    <w:p w14:paraId="1A95D1C5">
      <w:pPr>
        <w:spacing w:before="88" w:line="219" w:lineRule="auto"/>
        <w:ind w:left="570"/>
        <w:rPr>
          <w:rFonts w:ascii="宋体" w:hAnsi="宋体" w:eastAsia="宋体" w:cs="宋体"/>
          <w:sz w:val="27"/>
          <w:szCs w:val="27"/>
        </w:rPr>
      </w:pPr>
      <w:r>
        <w:rPr>
          <w:rFonts w:ascii="宋体" w:hAnsi="宋体" w:eastAsia="宋体" w:cs="宋体"/>
          <w:spacing w:val="4"/>
          <w:sz w:val="27"/>
          <w:szCs w:val="27"/>
        </w:rPr>
        <w:t>说明对专用工艺装备费进行核算的结果及其合理性。</w:t>
      </w:r>
    </w:p>
    <w:p w14:paraId="6409D8DE">
      <w:pPr>
        <w:spacing w:before="77" w:line="221" w:lineRule="auto"/>
        <w:rPr>
          <w:rFonts w:ascii="黑体" w:hAnsi="黑体" w:eastAsia="黑体" w:cs="黑体"/>
          <w:sz w:val="27"/>
          <w:szCs w:val="27"/>
        </w:rPr>
      </w:pPr>
      <w:r>
        <w:rPr>
          <w:rFonts w:ascii="黑体" w:hAnsi="黑体" w:eastAsia="黑体" w:cs="黑体"/>
          <w:spacing w:val="1"/>
          <w:sz w:val="27"/>
          <w:szCs w:val="27"/>
        </w:rPr>
        <w:t>2.3.3.6</w:t>
      </w:r>
      <w:r>
        <w:rPr>
          <w:rFonts w:ascii="黑体" w:hAnsi="黑体" w:eastAsia="黑体" w:cs="黑体"/>
          <w:spacing w:val="24"/>
          <w:sz w:val="27"/>
          <w:szCs w:val="27"/>
        </w:rPr>
        <w:t xml:space="preserve">  </w:t>
      </w:r>
      <w:r>
        <w:rPr>
          <w:rFonts w:ascii="黑体" w:hAnsi="黑体" w:eastAsia="黑体" w:cs="黑体"/>
          <w:spacing w:val="1"/>
          <w:sz w:val="27"/>
          <w:szCs w:val="27"/>
        </w:rPr>
        <w:t>零星技术措施费核算</w:t>
      </w:r>
    </w:p>
    <w:p w14:paraId="3A09184B">
      <w:pPr>
        <w:spacing w:before="118" w:line="219" w:lineRule="auto"/>
        <w:ind w:left="570"/>
        <w:rPr>
          <w:rFonts w:ascii="宋体" w:hAnsi="宋体" w:eastAsia="宋体" w:cs="宋体"/>
          <w:sz w:val="24"/>
          <w:szCs w:val="24"/>
        </w:rPr>
      </w:pPr>
      <w:r>
        <w:rPr>
          <w:rFonts w:ascii="宋体" w:hAnsi="宋体" w:eastAsia="宋体" w:cs="宋体"/>
          <w:spacing w:val="34"/>
          <w:sz w:val="24"/>
          <w:szCs w:val="24"/>
        </w:rPr>
        <w:t>说明对零星技术措施费进行核算的结果及其合</w:t>
      </w:r>
      <w:r>
        <w:rPr>
          <w:rFonts w:ascii="宋体" w:hAnsi="宋体" w:eastAsia="宋体" w:cs="宋体"/>
          <w:spacing w:val="33"/>
          <w:sz w:val="24"/>
          <w:szCs w:val="24"/>
        </w:rPr>
        <w:t>理性。</w:t>
      </w:r>
    </w:p>
    <w:p w14:paraId="0216594A">
      <w:pPr>
        <w:spacing w:before="95" w:line="222" w:lineRule="auto"/>
        <w:rPr>
          <w:rFonts w:ascii="黑体" w:hAnsi="黑体" w:eastAsia="黑体" w:cs="黑体"/>
          <w:sz w:val="27"/>
          <w:szCs w:val="27"/>
        </w:rPr>
      </w:pPr>
      <w:r>
        <w:rPr>
          <w:rFonts w:ascii="黑体" w:hAnsi="黑体" w:eastAsia="黑体" w:cs="黑体"/>
          <w:spacing w:val="1"/>
          <w:sz w:val="27"/>
          <w:szCs w:val="27"/>
        </w:rPr>
        <w:t>2.3.3.7</w:t>
      </w:r>
      <w:r>
        <w:rPr>
          <w:rFonts w:ascii="黑体" w:hAnsi="黑体" w:eastAsia="黑体" w:cs="黑体"/>
          <w:spacing w:val="24"/>
          <w:sz w:val="27"/>
          <w:szCs w:val="27"/>
        </w:rPr>
        <w:t xml:space="preserve">  </w:t>
      </w:r>
      <w:r>
        <w:rPr>
          <w:rFonts w:ascii="黑体" w:hAnsi="黑体" w:eastAsia="黑体" w:cs="黑体"/>
          <w:spacing w:val="1"/>
          <w:sz w:val="27"/>
          <w:szCs w:val="27"/>
        </w:rPr>
        <w:t>样品样机购置费核算</w:t>
      </w:r>
    </w:p>
    <w:p w14:paraId="7E029A45">
      <w:pPr>
        <w:spacing w:before="85" w:line="219" w:lineRule="auto"/>
        <w:ind w:left="570"/>
        <w:rPr>
          <w:rFonts w:ascii="宋体" w:hAnsi="宋体" w:eastAsia="宋体" w:cs="宋体"/>
          <w:sz w:val="27"/>
          <w:szCs w:val="27"/>
        </w:rPr>
      </w:pPr>
      <w:r>
        <w:rPr>
          <w:rFonts w:ascii="宋体" w:hAnsi="宋体" w:eastAsia="宋体" w:cs="宋体"/>
          <w:spacing w:val="4"/>
          <w:sz w:val="27"/>
          <w:szCs w:val="27"/>
        </w:rPr>
        <w:t>说明对样品样机购置费进行核算的结果及其合理性。</w:t>
      </w:r>
    </w:p>
    <w:p w14:paraId="1A399B3E">
      <w:pPr>
        <w:spacing w:before="89" w:line="221" w:lineRule="auto"/>
        <w:rPr>
          <w:rFonts w:ascii="黑体" w:hAnsi="黑体" w:eastAsia="黑体" w:cs="黑体"/>
          <w:sz w:val="27"/>
          <w:szCs w:val="27"/>
        </w:rPr>
      </w:pPr>
      <w:r>
        <w:rPr>
          <w:rFonts w:ascii="黑体" w:hAnsi="黑体" w:eastAsia="黑体" w:cs="黑体"/>
          <w:spacing w:val="1"/>
          <w:sz w:val="27"/>
          <w:szCs w:val="27"/>
        </w:rPr>
        <w:t>2.3.3.8</w:t>
      </w:r>
      <w:r>
        <w:rPr>
          <w:rFonts w:ascii="黑体" w:hAnsi="黑体" w:eastAsia="黑体" w:cs="黑体"/>
          <w:spacing w:val="25"/>
          <w:sz w:val="27"/>
          <w:szCs w:val="27"/>
        </w:rPr>
        <w:t xml:space="preserve">  </w:t>
      </w:r>
      <w:r>
        <w:rPr>
          <w:rFonts w:ascii="黑体" w:hAnsi="黑体" w:eastAsia="黑体" w:cs="黑体"/>
          <w:spacing w:val="1"/>
          <w:sz w:val="27"/>
          <w:szCs w:val="27"/>
        </w:rPr>
        <w:t>技术基础费核算</w:t>
      </w:r>
    </w:p>
    <w:p w14:paraId="786D3A8D">
      <w:pPr>
        <w:spacing w:before="89" w:line="219" w:lineRule="auto"/>
        <w:ind w:left="570"/>
        <w:rPr>
          <w:rFonts w:ascii="宋体" w:hAnsi="宋体" w:eastAsia="宋体" w:cs="宋体"/>
          <w:sz w:val="27"/>
          <w:szCs w:val="27"/>
        </w:rPr>
      </w:pPr>
      <w:r>
        <w:rPr>
          <w:rFonts w:ascii="宋体" w:hAnsi="宋体" w:eastAsia="宋体" w:cs="宋体"/>
          <w:spacing w:val="4"/>
          <w:sz w:val="27"/>
          <w:szCs w:val="27"/>
        </w:rPr>
        <w:t>说明对技术基础费进行核算的结果及其合理性。</w:t>
      </w:r>
    </w:p>
    <w:p w14:paraId="0FE26AFD">
      <w:pPr>
        <w:spacing w:before="78" w:line="222" w:lineRule="auto"/>
        <w:rPr>
          <w:rFonts w:ascii="黑体" w:hAnsi="黑体" w:eastAsia="黑体" w:cs="黑体"/>
          <w:sz w:val="27"/>
          <w:szCs w:val="27"/>
        </w:rPr>
      </w:pPr>
      <w:r>
        <w:rPr>
          <w:rFonts w:ascii="黑体" w:hAnsi="黑体" w:eastAsia="黑体" w:cs="黑体"/>
          <w:sz w:val="27"/>
          <w:szCs w:val="27"/>
        </w:rPr>
        <w:t>2.3.4</w:t>
      </w:r>
      <w:r>
        <w:rPr>
          <w:rFonts w:ascii="黑体" w:hAnsi="黑体" w:eastAsia="黑体" w:cs="黑体"/>
          <w:spacing w:val="27"/>
          <w:sz w:val="27"/>
          <w:szCs w:val="27"/>
        </w:rPr>
        <w:t xml:space="preserve">  </w:t>
      </w:r>
      <w:r>
        <w:rPr>
          <w:rFonts w:ascii="黑体" w:hAnsi="黑体" w:eastAsia="黑体" w:cs="黑体"/>
          <w:sz w:val="27"/>
          <w:szCs w:val="27"/>
        </w:rPr>
        <w:t>研制费用核算</w:t>
      </w:r>
    </w:p>
    <w:p w14:paraId="6296F403">
      <w:pPr>
        <w:spacing w:before="77" w:line="219" w:lineRule="auto"/>
        <w:ind w:left="570"/>
        <w:rPr>
          <w:rFonts w:ascii="宋体" w:hAnsi="宋体" w:eastAsia="宋体" w:cs="宋体"/>
          <w:sz w:val="27"/>
          <w:szCs w:val="27"/>
        </w:rPr>
      </w:pPr>
      <w:r>
        <w:rPr>
          <w:rFonts w:ascii="宋体" w:hAnsi="宋体" w:eastAsia="宋体" w:cs="宋体"/>
          <w:spacing w:val="4"/>
          <w:sz w:val="27"/>
          <w:szCs w:val="27"/>
        </w:rPr>
        <w:t>说明对研制费用进行核算的结果及其合理性。</w:t>
      </w:r>
    </w:p>
    <w:p w14:paraId="69C2D9B2">
      <w:pPr>
        <w:spacing w:before="98" w:line="222" w:lineRule="auto"/>
        <w:rPr>
          <w:rFonts w:ascii="黑体" w:hAnsi="黑体" w:eastAsia="黑体" w:cs="黑体"/>
          <w:sz w:val="27"/>
          <w:szCs w:val="27"/>
        </w:rPr>
      </w:pPr>
      <w:r>
        <w:rPr>
          <w:rFonts w:ascii="黑体" w:hAnsi="黑体" w:eastAsia="黑体" w:cs="黑体"/>
          <w:spacing w:val="1"/>
          <w:sz w:val="27"/>
          <w:szCs w:val="27"/>
        </w:rPr>
        <w:t>2.3.5</w:t>
      </w:r>
      <w:r>
        <w:rPr>
          <w:rFonts w:ascii="黑体" w:hAnsi="黑体" w:eastAsia="黑体" w:cs="黑体"/>
          <w:spacing w:val="21"/>
          <w:sz w:val="27"/>
          <w:szCs w:val="27"/>
        </w:rPr>
        <w:t xml:space="preserve">  </w:t>
      </w:r>
      <w:r>
        <w:rPr>
          <w:rFonts w:ascii="黑体" w:hAnsi="黑体" w:eastAsia="黑体" w:cs="黑体"/>
          <w:spacing w:val="1"/>
          <w:sz w:val="27"/>
          <w:szCs w:val="27"/>
        </w:rPr>
        <w:t>管理费用核算</w:t>
      </w:r>
    </w:p>
    <w:p w14:paraId="340CE73F">
      <w:pPr>
        <w:spacing w:before="87" w:line="219" w:lineRule="auto"/>
        <w:ind w:left="570"/>
        <w:rPr>
          <w:rFonts w:ascii="宋体" w:hAnsi="宋体" w:eastAsia="宋体" w:cs="宋体"/>
          <w:sz w:val="27"/>
          <w:szCs w:val="27"/>
        </w:rPr>
      </w:pPr>
      <w:r>
        <w:rPr>
          <w:rFonts w:ascii="宋体" w:hAnsi="宋体" w:eastAsia="宋体" w:cs="宋体"/>
          <w:spacing w:val="4"/>
          <w:sz w:val="27"/>
          <w:szCs w:val="27"/>
        </w:rPr>
        <w:t>说明对应分摊的管理费用进行核算的结果及其合理性。</w:t>
      </w:r>
    </w:p>
    <w:p w14:paraId="496F0987">
      <w:pPr>
        <w:spacing w:before="67" w:line="221" w:lineRule="auto"/>
        <w:rPr>
          <w:rFonts w:ascii="黑体" w:hAnsi="黑体" w:eastAsia="黑体" w:cs="黑体"/>
          <w:sz w:val="27"/>
          <w:szCs w:val="27"/>
        </w:rPr>
      </w:pPr>
      <w:r>
        <w:rPr>
          <w:rFonts w:ascii="黑体" w:hAnsi="黑体" w:eastAsia="黑体" w:cs="黑体"/>
          <w:spacing w:val="1"/>
          <w:sz w:val="27"/>
          <w:szCs w:val="27"/>
        </w:rPr>
        <w:t>2.3.6</w:t>
      </w:r>
      <w:r>
        <w:rPr>
          <w:rFonts w:ascii="黑体" w:hAnsi="黑体" w:eastAsia="黑体" w:cs="黑体"/>
          <w:spacing w:val="21"/>
          <w:sz w:val="27"/>
          <w:szCs w:val="27"/>
        </w:rPr>
        <w:t xml:space="preserve">  </w:t>
      </w:r>
      <w:r>
        <w:rPr>
          <w:rFonts w:ascii="黑体" w:hAnsi="黑体" w:eastAsia="黑体" w:cs="黑体"/>
          <w:spacing w:val="1"/>
          <w:sz w:val="27"/>
          <w:szCs w:val="27"/>
        </w:rPr>
        <w:t>财务费用核算</w:t>
      </w:r>
    </w:p>
    <w:p w14:paraId="36506EEE">
      <w:pPr>
        <w:spacing w:before="100" w:line="219" w:lineRule="auto"/>
        <w:ind w:left="570"/>
        <w:rPr>
          <w:rFonts w:ascii="宋体" w:hAnsi="宋体" w:eastAsia="宋体" w:cs="宋体"/>
          <w:sz w:val="27"/>
          <w:szCs w:val="27"/>
        </w:rPr>
      </w:pPr>
      <w:r>
        <w:rPr>
          <w:rFonts w:ascii="宋体" w:hAnsi="宋体" w:eastAsia="宋体" w:cs="宋体"/>
          <w:spacing w:val="4"/>
          <w:sz w:val="27"/>
          <w:szCs w:val="27"/>
        </w:rPr>
        <w:t>说明对应分摊的财务费用进行核算的结果及其合理性。</w:t>
      </w:r>
    </w:p>
    <w:p w14:paraId="4F9077BE">
      <w:pPr>
        <w:spacing w:before="88" w:line="222" w:lineRule="auto"/>
        <w:rPr>
          <w:rFonts w:ascii="黑体" w:hAnsi="黑体" w:eastAsia="黑体" w:cs="黑体"/>
          <w:sz w:val="27"/>
          <w:szCs w:val="27"/>
        </w:rPr>
      </w:pPr>
      <w:r>
        <w:rPr>
          <w:rFonts w:ascii="黑体" w:hAnsi="黑体" w:eastAsia="黑体" w:cs="黑体"/>
          <w:spacing w:val="-1"/>
          <w:sz w:val="27"/>
          <w:szCs w:val="27"/>
        </w:rPr>
        <w:t>2.3.7</w:t>
      </w:r>
      <w:r>
        <w:rPr>
          <w:rFonts w:ascii="黑体" w:hAnsi="黑体" w:eastAsia="黑体" w:cs="黑体"/>
          <w:spacing w:val="32"/>
          <w:sz w:val="27"/>
          <w:szCs w:val="27"/>
        </w:rPr>
        <w:t xml:space="preserve">  </w:t>
      </w:r>
      <w:r>
        <w:rPr>
          <w:rFonts w:ascii="黑体" w:hAnsi="黑体" w:eastAsia="黑体" w:cs="黑体"/>
          <w:spacing w:val="-1"/>
          <w:sz w:val="27"/>
          <w:szCs w:val="27"/>
        </w:rPr>
        <w:t>经营费用核算</w:t>
      </w:r>
    </w:p>
    <w:p w14:paraId="3A5A0CFB">
      <w:pPr>
        <w:spacing w:before="97" w:line="219" w:lineRule="auto"/>
        <w:ind w:left="570"/>
        <w:rPr>
          <w:rFonts w:ascii="宋体" w:hAnsi="宋体" w:eastAsia="宋体" w:cs="宋体"/>
          <w:sz w:val="27"/>
          <w:szCs w:val="27"/>
        </w:rPr>
      </w:pPr>
      <w:r>
        <w:rPr>
          <w:rFonts w:ascii="宋体" w:hAnsi="宋体" w:eastAsia="宋体" w:cs="宋体"/>
          <w:spacing w:val="4"/>
          <w:sz w:val="27"/>
          <w:szCs w:val="27"/>
        </w:rPr>
        <w:t>说明对应分摊的经营费用进行核算的结果及其合理性。</w:t>
      </w:r>
    </w:p>
    <w:p w14:paraId="595BBF5D">
      <w:pPr>
        <w:pStyle w:val="2"/>
        <w:spacing w:before="54" w:line="327" w:lineRule="exact"/>
        <w:rPr>
          <w:rFonts w:ascii="黑体" w:hAnsi="黑体" w:eastAsia="黑体" w:cs="黑体"/>
          <w:sz w:val="24"/>
          <w:szCs w:val="24"/>
        </w:rPr>
      </w:pPr>
      <w:r>
        <w:rPr>
          <w:spacing w:val="28"/>
          <w:position w:val="1"/>
          <w:sz w:val="24"/>
          <w:szCs w:val="24"/>
        </w:rPr>
        <w:t>3</w:t>
      </w:r>
      <w:r>
        <w:rPr>
          <w:spacing w:val="1"/>
          <w:position w:val="1"/>
          <w:sz w:val="24"/>
          <w:szCs w:val="24"/>
        </w:rPr>
        <w:t xml:space="preserve">     </w:t>
      </w:r>
      <w:r>
        <w:rPr>
          <w:rFonts w:ascii="黑体" w:hAnsi="黑体" w:eastAsia="黑体" w:cs="黑体"/>
          <w:spacing w:val="28"/>
          <w:position w:val="1"/>
          <w:sz w:val="24"/>
          <w:szCs w:val="24"/>
        </w:rPr>
        <w:t>生产成本核算</w:t>
      </w:r>
    </w:p>
    <w:p w14:paraId="3A97FEF5">
      <w:pPr>
        <w:spacing w:before="118" w:line="222" w:lineRule="auto"/>
        <w:rPr>
          <w:rFonts w:ascii="黑体" w:hAnsi="黑体" w:eastAsia="黑体" w:cs="黑体"/>
          <w:sz w:val="25"/>
          <w:szCs w:val="25"/>
        </w:rPr>
      </w:pPr>
      <w:r>
        <w:rPr>
          <w:rFonts w:ascii="黑体" w:hAnsi="黑体" w:eastAsia="黑体" w:cs="黑体"/>
          <w:spacing w:val="14"/>
          <w:sz w:val="25"/>
          <w:szCs w:val="25"/>
        </w:rPr>
        <w:t>3.1</w:t>
      </w:r>
      <w:r>
        <w:rPr>
          <w:rFonts w:ascii="黑体" w:hAnsi="黑体" w:eastAsia="黑体" w:cs="黑体"/>
          <w:spacing w:val="59"/>
          <w:sz w:val="25"/>
          <w:szCs w:val="25"/>
        </w:rPr>
        <w:t xml:space="preserve">  </w:t>
      </w:r>
      <w:r>
        <w:rPr>
          <w:rFonts w:ascii="黑体" w:hAnsi="黑体" w:eastAsia="黑体" w:cs="黑体"/>
          <w:spacing w:val="14"/>
          <w:sz w:val="25"/>
          <w:szCs w:val="25"/>
        </w:rPr>
        <w:t>制造成本</w:t>
      </w:r>
    </w:p>
    <w:p w14:paraId="60E282A0">
      <w:pPr>
        <w:spacing w:before="108" w:line="218" w:lineRule="auto"/>
        <w:ind w:left="570"/>
        <w:rPr>
          <w:rFonts w:ascii="宋体" w:hAnsi="宋体" w:eastAsia="宋体" w:cs="宋体"/>
          <w:sz w:val="27"/>
          <w:szCs w:val="27"/>
        </w:rPr>
      </w:pPr>
      <w:r>
        <w:rPr>
          <w:rFonts w:ascii="宋体" w:hAnsi="宋体" w:eastAsia="宋体" w:cs="宋体"/>
          <w:spacing w:val="-8"/>
          <w:sz w:val="27"/>
          <w:szCs w:val="27"/>
        </w:rPr>
        <w:t>根据《军品价格管理办法》的有关规定，对制造</w:t>
      </w:r>
      <w:r>
        <w:rPr>
          <w:rFonts w:ascii="宋体" w:hAnsi="宋体" w:eastAsia="宋体" w:cs="宋体"/>
          <w:spacing w:val="-9"/>
          <w:sz w:val="27"/>
          <w:szCs w:val="27"/>
        </w:rPr>
        <w:t>成本进行核算。包括：</w:t>
      </w:r>
    </w:p>
    <w:p w14:paraId="649CE748">
      <w:pPr>
        <w:spacing w:before="71" w:line="219" w:lineRule="auto"/>
        <w:ind w:left="570"/>
        <w:rPr>
          <w:rFonts w:ascii="宋体" w:hAnsi="宋体" w:eastAsia="宋体" w:cs="宋体"/>
          <w:sz w:val="27"/>
          <w:szCs w:val="27"/>
        </w:rPr>
      </w:pPr>
      <w:r>
        <w:rPr>
          <w:rFonts w:ascii="Times New Roman" w:hAnsi="Times New Roman" w:eastAsia="Times New Roman" w:cs="Times New Roman"/>
          <w:spacing w:val="5"/>
          <w:sz w:val="27"/>
          <w:szCs w:val="27"/>
        </w:rPr>
        <w:t>a</w:t>
      </w:r>
      <w:r>
        <w:rPr>
          <w:rFonts w:ascii="Times New Roman" w:hAnsi="Times New Roman" w:eastAsia="Times New Roman" w:cs="Times New Roman"/>
          <w:spacing w:val="-24"/>
          <w:sz w:val="27"/>
          <w:szCs w:val="27"/>
        </w:rPr>
        <w:t xml:space="preserve"> </w:t>
      </w:r>
      <w:r>
        <w:rPr>
          <w:rFonts w:ascii="宋体" w:hAnsi="宋体" w:eastAsia="宋体" w:cs="宋体"/>
          <w:spacing w:val="5"/>
          <w:sz w:val="27"/>
          <w:szCs w:val="27"/>
        </w:rPr>
        <w:t>)直接材料；</w:t>
      </w:r>
    </w:p>
    <w:p w14:paraId="6D4F6130">
      <w:pPr>
        <w:spacing w:before="61" w:line="212" w:lineRule="auto"/>
        <w:ind w:left="570"/>
        <w:rPr>
          <w:rFonts w:ascii="宋体" w:hAnsi="宋体" w:eastAsia="宋体" w:cs="宋体"/>
          <w:sz w:val="27"/>
          <w:szCs w:val="27"/>
        </w:rPr>
      </w:pP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直接工资和其他直接支出；</w:t>
      </w:r>
    </w:p>
    <w:p w14:paraId="3DC6B4C6">
      <w:pPr>
        <w:spacing w:before="122" w:line="220" w:lineRule="auto"/>
        <w:ind w:left="570"/>
        <w:rPr>
          <w:rFonts w:ascii="宋体" w:hAnsi="宋体" w:eastAsia="宋体" w:cs="宋体"/>
          <w:sz w:val="27"/>
          <w:szCs w:val="27"/>
        </w:rPr>
      </w:pPr>
      <w:r>
        <w:rPr>
          <w:rFonts w:ascii="Times New Roman" w:hAnsi="Times New Roman" w:eastAsia="Times New Roman" w:cs="Times New Roman"/>
          <w:spacing w:val="4"/>
          <w:sz w:val="27"/>
          <w:szCs w:val="27"/>
        </w:rPr>
        <w:t>c</w:t>
      </w:r>
      <w:r>
        <w:rPr>
          <w:rFonts w:ascii="Times New Roman" w:hAnsi="Times New Roman" w:eastAsia="Times New Roman" w:cs="Times New Roman"/>
          <w:spacing w:val="-17"/>
          <w:sz w:val="27"/>
          <w:szCs w:val="27"/>
        </w:rPr>
        <w:t xml:space="preserve"> </w:t>
      </w:r>
      <w:r>
        <w:rPr>
          <w:rFonts w:ascii="宋体" w:hAnsi="宋体" w:eastAsia="宋体" w:cs="宋体"/>
          <w:spacing w:val="4"/>
          <w:sz w:val="27"/>
          <w:szCs w:val="27"/>
        </w:rPr>
        <w:t>)制造费用；</w:t>
      </w:r>
    </w:p>
    <w:p w14:paraId="5272AE0C">
      <w:pPr>
        <w:spacing w:before="76" w:line="212" w:lineRule="auto"/>
        <w:jc w:val="right"/>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军品专项费用(含专用工装费、专用测试仪器设备</w:t>
      </w:r>
      <w:r>
        <w:rPr>
          <w:rFonts w:ascii="宋体" w:hAnsi="宋体" w:eastAsia="宋体" w:cs="宋体"/>
          <w:spacing w:val="-2"/>
          <w:sz w:val="27"/>
          <w:szCs w:val="27"/>
        </w:rPr>
        <w:t>费、专项试验费和其他</w:t>
      </w:r>
    </w:p>
    <w:p w14:paraId="7FD0A456">
      <w:pPr>
        <w:spacing w:line="212" w:lineRule="auto"/>
        <w:rPr>
          <w:rFonts w:ascii="宋体" w:hAnsi="宋体" w:eastAsia="宋体" w:cs="宋体"/>
          <w:sz w:val="27"/>
          <w:szCs w:val="27"/>
        </w:rPr>
        <w:sectPr>
          <w:footerReference r:id="rId177" w:type="default"/>
          <w:pgSz w:w="11910" w:h="17130"/>
          <w:pgMar w:top="400" w:right="1089" w:bottom="1633" w:left="1430" w:header="0" w:footer="1435" w:gutter="0"/>
          <w:cols w:space="720" w:num="1"/>
        </w:sectPr>
      </w:pPr>
    </w:p>
    <w:p w14:paraId="7103F068">
      <w:pPr>
        <w:pStyle w:val="2"/>
        <w:spacing w:line="269" w:lineRule="auto"/>
      </w:pPr>
    </w:p>
    <w:p w14:paraId="1E8A64AE">
      <w:pPr>
        <w:pStyle w:val="2"/>
        <w:spacing w:line="269" w:lineRule="auto"/>
      </w:pPr>
    </w:p>
    <w:p w14:paraId="2C984260">
      <w:pPr>
        <w:pStyle w:val="2"/>
        <w:spacing w:line="269" w:lineRule="auto"/>
      </w:pPr>
    </w:p>
    <w:p w14:paraId="4D48D7B7">
      <w:pPr>
        <w:pStyle w:val="2"/>
        <w:spacing w:line="270" w:lineRule="auto"/>
      </w:pPr>
    </w:p>
    <w:p w14:paraId="031B38B9">
      <w:pPr>
        <w:spacing w:before="88" w:line="220" w:lineRule="auto"/>
        <w:rPr>
          <w:rFonts w:ascii="宋体" w:hAnsi="宋体" w:eastAsia="宋体" w:cs="宋体"/>
          <w:sz w:val="27"/>
          <w:szCs w:val="27"/>
        </w:rPr>
      </w:pPr>
      <w:bookmarkStart w:id="123" w:name="bookmark368"/>
      <w:bookmarkEnd w:id="123"/>
      <w:r>
        <w:rPr>
          <w:rFonts w:ascii="宋体" w:hAnsi="宋体" w:eastAsia="宋体" w:cs="宋体"/>
          <w:spacing w:val="-3"/>
          <w:sz w:val="27"/>
          <w:szCs w:val="27"/>
        </w:rPr>
        <w:t>专项费用)。</w:t>
      </w:r>
    </w:p>
    <w:p w14:paraId="466212B7">
      <w:pPr>
        <w:spacing w:before="93" w:line="223" w:lineRule="auto"/>
        <w:rPr>
          <w:rFonts w:ascii="黑体" w:hAnsi="黑体" w:eastAsia="黑体" w:cs="黑体"/>
          <w:sz w:val="25"/>
          <w:szCs w:val="25"/>
        </w:rPr>
      </w:pPr>
      <w:r>
        <w:rPr>
          <w:rFonts w:ascii="黑体" w:hAnsi="黑体" w:eastAsia="黑体" w:cs="黑体"/>
          <w:spacing w:val="12"/>
          <w:sz w:val="25"/>
          <w:szCs w:val="25"/>
        </w:rPr>
        <w:t>3.2</w:t>
      </w:r>
      <w:r>
        <w:rPr>
          <w:rFonts w:ascii="黑体" w:hAnsi="黑体" w:eastAsia="黑体" w:cs="黑体"/>
          <w:spacing w:val="35"/>
          <w:sz w:val="25"/>
          <w:szCs w:val="25"/>
        </w:rPr>
        <w:t xml:space="preserve">  </w:t>
      </w:r>
      <w:r>
        <w:rPr>
          <w:rFonts w:ascii="黑体" w:hAnsi="黑体" w:eastAsia="黑体" w:cs="黑体"/>
          <w:b/>
          <w:bCs/>
          <w:spacing w:val="12"/>
          <w:sz w:val="25"/>
          <w:szCs w:val="25"/>
        </w:rPr>
        <w:t>期间费用</w:t>
      </w:r>
    </w:p>
    <w:p w14:paraId="405FFF9B">
      <w:pPr>
        <w:spacing w:before="79" w:line="218" w:lineRule="auto"/>
        <w:ind w:left="559"/>
        <w:rPr>
          <w:rFonts w:ascii="宋体" w:hAnsi="宋体" w:eastAsia="宋体" w:cs="宋体"/>
          <w:sz w:val="27"/>
          <w:szCs w:val="27"/>
        </w:rPr>
      </w:pPr>
      <w:r>
        <w:rPr>
          <w:rFonts w:ascii="宋体" w:hAnsi="宋体" w:eastAsia="宋体" w:cs="宋体"/>
          <w:spacing w:val="-9"/>
          <w:sz w:val="27"/>
          <w:szCs w:val="27"/>
        </w:rPr>
        <w:t>根据《军品价格管理办法》的有关规定，对期间费用进行核算。包括：</w:t>
      </w:r>
    </w:p>
    <w:p w14:paraId="4812622F">
      <w:pPr>
        <w:spacing w:before="103" w:line="219" w:lineRule="auto"/>
        <w:ind w:left="559"/>
        <w:rPr>
          <w:rFonts w:ascii="宋体" w:hAnsi="宋体" w:eastAsia="宋体" w:cs="宋体"/>
          <w:sz w:val="27"/>
          <w:szCs w:val="27"/>
        </w:rPr>
      </w:pPr>
      <w:r>
        <w:rPr>
          <w:rFonts w:ascii="Times New Roman" w:hAnsi="Times New Roman" w:eastAsia="Times New Roman" w:cs="Times New Roman"/>
          <w:spacing w:val="-1"/>
          <w:sz w:val="27"/>
          <w:szCs w:val="27"/>
        </w:rPr>
        <w:t>a</w:t>
      </w:r>
      <w:r>
        <w:rPr>
          <w:rFonts w:ascii="宋体" w:hAnsi="宋体" w:eastAsia="宋体" w:cs="宋体"/>
          <w:spacing w:val="-1"/>
          <w:sz w:val="27"/>
          <w:szCs w:val="27"/>
        </w:rPr>
        <w:t>)</w:t>
      </w:r>
      <w:r>
        <w:rPr>
          <w:rFonts w:ascii="宋体" w:hAnsi="宋体" w:eastAsia="宋体" w:cs="宋体"/>
          <w:spacing w:val="-48"/>
          <w:sz w:val="27"/>
          <w:szCs w:val="27"/>
        </w:rPr>
        <w:t xml:space="preserve"> </w:t>
      </w:r>
      <w:r>
        <w:rPr>
          <w:rFonts w:ascii="宋体" w:hAnsi="宋体" w:eastAsia="宋体" w:cs="宋体"/>
          <w:spacing w:val="-1"/>
          <w:sz w:val="27"/>
          <w:szCs w:val="27"/>
        </w:rPr>
        <w:t>管理费用；</w:t>
      </w:r>
    </w:p>
    <w:p w14:paraId="69E5A276">
      <w:pPr>
        <w:spacing w:before="71" w:line="212" w:lineRule="auto"/>
        <w:ind w:left="559"/>
        <w:rPr>
          <w:rFonts w:ascii="宋体" w:hAnsi="宋体" w:eastAsia="宋体" w:cs="宋体"/>
          <w:sz w:val="24"/>
          <w:szCs w:val="24"/>
        </w:rPr>
      </w:pPr>
      <w:r>
        <w:rPr>
          <w:rFonts w:ascii="Times New Roman" w:hAnsi="Times New Roman" w:eastAsia="Times New Roman" w:cs="Times New Roman"/>
          <w:spacing w:val="18"/>
          <w:sz w:val="24"/>
          <w:szCs w:val="24"/>
        </w:rPr>
        <w:t>b)</w:t>
      </w:r>
      <w:r>
        <w:rPr>
          <w:rFonts w:ascii="Times New Roman" w:hAnsi="Times New Roman" w:eastAsia="Times New Roman" w:cs="Times New Roman"/>
          <w:spacing w:val="26"/>
          <w:w w:val="101"/>
          <w:sz w:val="24"/>
          <w:szCs w:val="24"/>
        </w:rPr>
        <w:t xml:space="preserve">  </w:t>
      </w:r>
      <w:r>
        <w:rPr>
          <w:rFonts w:ascii="宋体" w:hAnsi="宋体" w:eastAsia="宋体" w:cs="宋体"/>
          <w:spacing w:val="18"/>
          <w:sz w:val="24"/>
          <w:szCs w:val="24"/>
        </w:rPr>
        <w:t>财务费用。</w:t>
      </w:r>
    </w:p>
    <w:p w14:paraId="54AC3185">
      <w:pPr>
        <w:pStyle w:val="2"/>
        <w:spacing w:before="122" w:line="224" w:lineRule="auto"/>
        <w:rPr>
          <w:rFonts w:ascii="黑体" w:hAnsi="黑体" w:eastAsia="黑体" w:cs="黑体"/>
          <w:sz w:val="27"/>
          <w:szCs w:val="27"/>
        </w:rPr>
      </w:pPr>
      <w:r>
        <w:rPr>
          <w:b/>
          <w:bCs/>
          <w:spacing w:val="-5"/>
          <w:sz w:val="27"/>
          <w:szCs w:val="27"/>
        </w:rPr>
        <w:t>3.3</w:t>
      </w:r>
      <w:r>
        <w:rPr>
          <w:b/>
          <w:bCs/>
          <w:spacing w:val="5"/>
          <w:sz w:val="27"/>
          <w:szCs w:val="27"/>
        </w:rPr>
        <w:t xml:space="preserve">    </w:t>
      </w:r>
      <w:r>
        <w:rPr>
          <w:rFonts w:ascii="黑体" w:hAnsi="黑体" w:eastAsia="黑体" w:cs="黑体"/>
          <w:b/>
          <w:bCs/>
          <w:spacing w:val="-5"/>
          <w:sz w:val="27"/>
          <w:szCs w:val="27"/>
        </w:rPr>
        <w:t>工时</w:t>
      </w:r>
    </w:p>
    <w:p w14:paraId="1129191F">
      <w:pPr>
        <w:spacing w:before="81" w:line="218" w:lineRule="auto"/>
        <w:ind w:left="559"/>
        <w:rPr>
          <w:rFonts w:ascii="宋体" w:hAnsi="宋体" w:eastAsia="宋体" w:cs="宋体"/>
          <w:sz w:val="27"/>
          <w:szCs w:val="27"/>
        </w:rPr>
      </w:pPr>
      <w:r>
        <w:rPr>
          <w:rFonts w:ascii="宋体" w:hAnsi="宋体" w:eastAsia="宋体" w:cs="宋体"/>
          <w:spacing w:val="-10"/>
          <w:sz w:val="27"/>
          <w:szCs w:val="27"/>
        </w:rPr>
        <w:t>介绍根据《军品价格管理办法》的有关规定，对工</w:t>
      </w:r>
      <w:r>
        <w:rPr>
          <w:rFonts w:ascii="宋体" w:hAnsi="宋体" w:eastAsia="宋体" w:cs="宋体"/>
          <w:spacing w:val="-11"/>
          <w:sz w:val="27"/>
          <w:szCs w:val="27"/>
        </w:rPr>
        <w:t>时进行核算。</w:t>
      </w:r>
    </w:p>
    <w:p w14:paraId="5489D97E">
      <w:pPr>
        <w:spacing w:before="119" w:line="222" w:lineRule="auto"/>
        <w:rPr>
          <w:rFonts w:ascii="黑体" w:hAnsi="黑体" w:eastAsia="黑体" w:cs="黑体"/>
          <w:sz w:val="24"/>
          <w:szCs w:val="24"/>
        </w:rPr>
      </w:pPr>
      <w:r>
        <w:rPr>
          <w:rFonts w:ascii="黑体" w:hAnsi="黑体" w:eastAsia="黑体" w:cs="黑体"/>
          <w:spacing w:val="25"/>
          <w:sz w:val="24"/>
          <w:szCs w:val="24"/>
        </w:rPr>
        <w:t>4</w:t>
      </w:r>
      <w:r>
        <w:rPr>
          <w:rFonts w:ascii="黑体" w:hAnsi="黑体" w:eastAsia="黑体" w:cs="黑体"/>
          <w:spacing w:val="34"/>
          <w:sz w:val="24"/>
          <w:szCs w:val="24"/>
        </w:rPr>
        <w:t xml:space="preserve">  </w:t>
      </w:r>
      <w:r>
        <w:rPr>
          <w:rFonts w:ascii="黑体" w:hAnsi="黑体" w:eastAsia="黑体" w:cs="黑体"/>
          <w:b/>
          <w:bCs/>
          <w:spacing w:val="25"/>
          <w:sz w:val="24"/>
          <w:szCs w:val="24"/>
        </w:rPr>
        <w:t>寿命周期费用分析</w:t>
      </w:r>
    </w:p>
    <w:p w14:paraId="5029343C">
      <w:pPr>
        <w:spacing w:before="123" w:line="218" w:lineRule="auto"/>
        <w:ind w:left="559"/>
        <w:rPr>
          <w:rFonts w:ascii="宋体" w:hAnsi="宋体" w:eastAsia="宋体" w:cs="宋体"/>
          <w:sz w:val="25"/>
          <w:szCs w:val="25"/>
        </w:rPr>
      </w:pPr>
      <w:r>
        <w:rPr>
          <w:rFonts w:ascii="宋体" w:hAnsi="宋体" w:eastAsia="宋体" w:cs="宋体"/>
          <w:spacing w:val="15"/>
          <w:sz w:val="25"/>
          <w:szCs w:val="25"/>
        </w:rPr>
        <w:t>对产品使用阶段、退役阶段的费用进行分析，提出寿命周期费用估算值。</w:t>
      </w:r>
    </w:p>
    <w:p w14:paraId="7EB4EDD4">
      <w:pPr>
        <w:spacing w:before="111" w:line="222" w:lineRule="auto"/>
        <w:rPr>
          <w:rFonts w:ascii="黑体" w:hAnsi="黑体" w:eastAsia="黑体" w:cs="黑体"/>
          <w:sz w:val="24"/>
          <w:szCs w:val="24"/>
        </w:rPr>
      </w:pPr>
      <w:r>
        <w:rPr>
          <w:rFonts w:ascii="黑体" w:hAnsi="黑体" w:eastAsia="黑体" w:cs="黑体"/>
          <w:spacing w:val="22"/>
          <w:sz w:val="24"/>
          <w:szCs w:val="24"/>
        </w:rPr>
        <w:t>4.1</w:t>
      </w:r>
      <w:r>
        <w:rPr>
          <w:rFonts w:ascii="黑体" w:hAnsi="黑体" w:eastAsia="黑体" w:cs="黑体"/>
          <w:spacing w:val="46"/>
          <w:sz w:val="24"/>
          <w:szCs w:val="24"/>
        </w:rPr>
        <w:t xml:space="preserve">  </w:t>
      </w:r>
      <w:r>
        <w:rPr>
          <w:rFonts w:ascii="黑体" w:hAnsi="黑体" w:eastAsia="黑体" w:cs="黑体"/>
          <w:b/>
          <w:bCs/>
          <w:spacing w:val="22"/>
          <w:sz w:val="24"/>
          <w:szCs w:val="24"/>
        </w:rPr>
        <w:t>使用阶段费用分析</w:t>
      </w:r>
    </w:p>
    <w:p w14:paraId="5E74B1A8">
      <w:pPr>
        <w:spacing w:before="107" w:line="276" w:lineRule="auto"/>
        <w:ind w:right="126" w:firstLine="559"/>
        <w:rPr>
          <w:rFonts w:ascii="宋体" w:hAnsi="宋体" w:eastAsia="宋体" w:cs="宋体"/>
          <w:sz w:val="27"/>
          <w:szCs w:val="27"/>
        </w:rPr>
      </w:pPr>
      <w:r>
        <w:rPr>
          <w:rFonts w:ascii="宋体" w:hAnsi="宋体" w:eastAsia="宋体" w:cs="宋体"/>
          <w:spacing w:val="3"/>
          <w:sz w:val="27"/>
          <w:szCs w:val="27"/>
        </w:rPr>
        <w:t>根据对研制成本和生产成本的核算，运用</w:t>
      </w:r>
      <w:r>
        <w:rPr>
          <w:rFonts w:ascii="Times New Roman" w:hAnsi="Times New Roman" w:eastAsia="Times New Roman" w:cs="Times New Roman"/>
          <w:sz w:val="27"/>
          <w:szCs w:val="27"/>
        </w:rPr>
        <w:t>GJB</w:t>
      </w:r>
      <w:r>
        <w:rPr>
          <w:rFonts w:ascii="Times New Roman" w:hAnsi="Times New Roman" w:eastAsia="Times New Roman" w:cs="Times New Roman"/>
          <w:spacing w:val="3"/>
          <w:sz w:val="27"/>
          <w:szCs w:val="27"/>
        </w:rPr>
        <w:t xml:space="preserve">/Z   20456 </w:t>
      </w:r>
      <w:r>
        <w:rPr>
          <w:rFonts w:ascii="宋体" w:hAnsi="宋体" w:eastAsia="宋体" w:cs="宋体"/>
          <w:spacing w:val="3"/>
          <w:sz w:val="27"/>
          <w:szCs w:val="27"/>
        </w:rPr>
        <w:t>提供的方法，对产</w:t>
      </w:r>
      <w:r>
        <w:rPr>
          <w:rFonts w:ascii="宋体" w:hAnsi="宋体" w:eastAsia="宋体" w:cs="宋体"/>
          <w:spacing w:val="11"/>
          <w:sz w:val="27"/>
          <w:szCs w:val="27"/>
        </w:rPr>
        <w:t xml:space="preserve"> </w:t>
      </w:r>
      <w:r>
        <w:rPr>
          <w:rFonts w:ascii="宋体" w:hAnsi="宋体" w:eastAsia="宋体" w:cs="宋体"/>
          <w:spacing w:val="1"/>
          <w:sz w:val="27"/>
          <w:szCs w:val="27"/>
        </w:rPr>
        <w:t>品使用阶段的费用进行分析。</w:t>
      </w:r>
    </w:p>
    <w:p w14:paraId="473F6209">
      <w:pPr>
        <w:spacing w:before="9" w:line="222" w:lineRule="auto"/>
        <w:rPr>
          <w:rFonts w:ascii="黑体" w:hAnsi="黑体" w:eastAsia="黑体" w:cs="黑体"/>
          <w:sz w:val="24"/>
          <w:szCs w:val="24"/>
        </w:rPr>
      </w:pPr>
      <w:r>
        <w:rPr>
          <w:rFonts w:ascii="黑体" w:hAnsi="黑体" w:eastAsia="黑体" w:cs="黑体"/>
          <w:spacing w:val="24"/>
          <w:sz w:val="24"/>
          <w:szCs w:val="24"/>
        </w:rPr>
        <w:t>4.2</w:t>
      </w:r>
      <w:r>
        <w:rPr>
          <w:rFonts w:ascii="黑体" w:hAnsi="黑体" w:eastAsia="黑体" w:cs="黑体"/>
          <w:spacing w:val="35"/>
          <w:sz w:val="24"/>
          <w:szCs w:val="24"/>
        </w:rPr>
        <w:t xml:space="preserve">  </w:t>
      </w:r>
      <w:r>
        <w:rPr>
          <w:rFonts w:ascii="黑体" w:hAnsi="黑体" w:eastAsia="黑体" w:cs="黑体"/>
          <w:b/>
          <w:bCs/>
          <w:spacing w:val="24"/>
          <w:sz w:val="24"/>
          <w:szCs w:val="24"/>
        </w:rPr>
        <w:t>退役阶段费用分析</w:t>
      </w:r>
    </w:p>
    <w:p w14:paraId="32DD9F83">
      <w:pPr>
        <w:spacing w:before="95" w:line="282" w:lineRule="auto"/>
        <w:ind w:right="116" w:firstLine="559"/>
        <w:rPr>
          <w:rFonts w:ascii="宋体" w:hAnsi="宋体" w:eastAsia="宋体" w:cs="宋体"/>
          <w:sz w:val="27"/>
          <w:szCs w:val="27"/>
        </w:rPr>
      </w:pPr>
      <w:r>
        <w:rPr>
          <w:rFonts w:ascii="宋体" w:hAnsi="宋体" w:eastAsia="宋体" w:cs="宋体"/>
          <w:spacing w:val="2"/>
          <w:sz w:val="27"/>
          <w:szCs w:val="27"/>
        </w:rPr>
        <w:t>根据对研制成本和生产成本的核算，运用</w:t>
      </w:r>
      <w:r>
        <w:rPr>
          <w:rFonts w:ascii="宋体" w:hAnsi="宋体" w:eastAsia="宋体" w:cs="宋体"/>
          <w:spacing w:val="-77"/>
          <w:sz w:val="27"/>
          <w:szCs w:val="27"/>
        </w:rPr>
        <w:t xml:space="preserve"> </w:t>
      </w:r>
      <w:r>
        <w:rPr>
          <w:rFonts w:ascii="Times New Roman" w:hAnsi="Times New Roman" w:eastAsia="Times New Roman" w:cs="Times New Roman"/>
          <w:sz w:val="27"/>
          <w:szCs w:val="27"/>
        </w:rPr>
        <w:t>GJB</w:t>
      </w:r>
      <w:r>
        <w:rPr>
          <w:rFonts w:ascii="Times New Roman" w:hAnsi="Times New Roman" w:eastAsia="Times New Roman" w:cs="Times New Roman"/>
          <w:spacing w:val="2"/>
          <w:sz w:val="27"/>
          <w:szCs w:val="27"/>
        </w:rPr>
        <w:t xml:space="preserve">/Z   20456 </w:t>
      </w:r>
      <w:r>
        <w:rPr>
          <w:rFonts w:ascii="宋体" w:hAnsi="宋体" w:eastAsia="宋体" w:cs="宋体"/>
          <w:spacing w:val="2"/>
          <w:sz w:val="27"/>
          <w:szCs w:val="27"/>
        </w:rPr>
        <w:t>提供的方法，对产</w:t>
      </w:r>
      <w:r>
        <w:rPr>
          <w:rFonts w:ascii="宋体" w:hAnsi="宋体" w:eastAsia="宋体" w:cs="宋体"/>
          <w:sz w:val="27"/>
          <w:szCs w:val="27"/>
        </w:rPr>
        <w:t xml:space="preserve"> </w:t>
      </w:r>
      <w:r>
        <w:rPr>
          <w:rFonts w:ascii="宋体" w:hAnsi="宋体" w:eastAsia="宋体" w:cs="宋体"/>
          <w:spacing w:val="1"/>
          <w:sz w:val="27"/>
          <w:szCs w:val="27"/>
        </w:rPr>
        <w:t>品退役阶段的费用进行分析。</w:t>
      </w:r>
    </w:p>
    <w:p w14:paraId="0041E25E">
      <w:pPr>
        <w:pStyle w:val="2"/>
        <w:spacing w:before="1" w:line="220" w:lineRule="auto"/>
        <w:rPr>
          <w:rFonts w:ascii="黑体" w:hAnsi="黑体" w:eastAsia="黑体" w:cs="黑体"/>
          <w:sz w:val="27"/>
          <w:szCs w:val="27"/>
        </w:rPr>
      </w:pPr>
      <w:r>
        <w:rPr>
          <w:b/>
          <w:bCs/>
          <w:spacing w:val="-3"/>
          <w:sz w:val="27"/>
          <w:szCs w:val="27"/>
        </w:rPr>
        <w:t>5</w:t>
      </w:r>
      <w:r>
        <w:rPr>
          <w:b/>
          <w:bCs/>
          <w:spacing w:val="20"/>
          <w:w w:val="101"/>
          <w:sz w:val="27"/>
          <w:szCs w:val="27"/>
        </w:rPr>
        <w:t xml:space="preserve">   </w:t>
      </w:r>
      <w:r>
        <w:rPr>
          <w:rFonts w:ascii="黑体" w:hAnsi="黑体" w:eastAsia="黑体" w:cs="黑体"/>
          <w:b/>
          <w:bCs/>
          <w:spacing w:val="-3"/>
          <w:sz w:val="27"/>
          <w:szCs w:val="27"/>
        </w:rPr>
        <w:t>评价意见</w:t>
      </w:r>
    </w:p>
    <w:p w14:paraId="7DC0F771">
      <w:pPr>
        <w:spacing w:before="91" w:line="218" w:lineRule="auto"/>
        <w:ind w:left="559"/>
        <w:rPr>
          <w:rFonts w:ascii="宋体" w:hAnsi="宋体" w:eastAsia="宋体" w:cs="宋体"/>
          <w:sz w:val="27"/>
          <w:szCs w:val="27"/>
        </w:rPr>
      </w:pPr>
      <w:r>
        <w:rPr>
          <w:rFonts w:ascii="宋体" w:hAnsi="宋体" w:eastAsia="宋体" w:cs="宋体"/>
          <w:spacing w:val="4"/>
          <w:sz w:val="27"/>
          <w:szCs w:val="27"/>
        </w:rPr>
        <w:t>对产品研制生产过程中开展价值工程和成本控制工作给出评价意见。</w:t>
      </w:r>
    </w:p>
    <w:p w14:paraId="6FFBD210">
      <w:pPr>
        <w:spacing w:before="78" w:line="222"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存在的问题及改进工作的建议</w:t>
      </w:r>
    </w:p>
    <w:p w14:paraId="0EB83B9F">
      <w:pPr>
        <w:spacing w:before="88" w:line="218" w:lineRule="auto"/>
        <w:ind w:left="559"/>
        <w:rPr>
          <w:rFonts w:ascii="宋体" w:hAnsi="宋体" w:eastAsia="宋体" w:cs="宋体"/>
          <w:sz w:val="27"/>
          <w:szCs w:val="27"/>
        </w:rPr>
      </w:pPr>
      <w:r>
        <w:rPr>
          <w:rFonts w:ascii="宋体" w:hAnsi="宋体" w:eastAsia="宋体" w:cs="宋体"/>
          <w:sz w:val="27"/>
          <w:szCs w:val="27"/>
        </w:rPr>
        <w:t>指出在价值工程和成本控制方面存在的问题，并提出相应的改进建议。</w:t>
      </w:r>
    </w:p>
    <w:p w14:paraId="0A7C9415">
      <w:pPr>
        <w:pStyle w:val="2"/>
        <w:spacing w:line="339" w:lineRule="auto"/>
      </w:pPr>
    </w:p>
    <w:p w14:paraId="0A9A9ADB">
      <w:pPr>
        <w:spacing w:before="118" w:line="218" w:lineRule="auto"/>
        <w:ind w:left="1579"/>
        <w:outlineLvl w:val="1"/>
        <w:rPr>
          <w:rFonts w:ascii="宋体" w:hAnsi="宋体" w:eastAsia="宋体" w:cs="宋体"/>
          <w:sz w:val="36"/>
          <w:szCs w:val="36"/>
        </w:rPr>
      </w:pPr>
      <w:bookmarkStart w:id="124" w:name="bookmark63"/>
      <w:bookmarkEnd w:id="124"/>
      <w:r>
        <w:rPr>
          <w:rFonts w:ascii="Times New Roman" w:hAnsi="Times New Roman" w:eastAsia="Times New Roman" w:cs="Times New Roman"/>
          <w:b/>
          <w:bCs/>
          <w:spacing w:val="4"/>
          <w:sz w:val="36"/>
          <w:szCs w:val="36"/>
        </w:rPr>
        <w:t xml:space="preserve">1.61     </w:t>
      </w:r>
      <w:r>
        <w:rPr>
          <w:rFonts w:ascii="宋体" w:hAnsi="宋体" w:eastAsia="宋体" w:cs="宋体"/>
          <w:b/>
          <w:bCs/>
          <w:spacing w:val="4"/>
          <w:sz w:val="36"/>
          <w:szCs w:val="36"/>
        </w:rPr>
        <w:t>生产性分析报告(生产定型阶段)</w:t>
      </w:r>
    </w:p>
    <w:p w14:paraId="5A2757B0">
      <w:pPr>
        <w:pStyle w:val="2"/>
        <w:spacing w:line="382" w:lineRule="auto"/>
      </w:pPr>
    </w:p>
    <w:p w14:paraId="7325D407">
      <w:pPr>
        <w:spacing w:before="78" w:line="223" w:lineRule="auto"/>
        <w:ind w:left="559"/>
        <w:rPr>
          <w:rFonts w:ascii="楷体" w:hAnsi="楷体" w:eastAsia="楷体" w:cs="楷体"/>
          <w:sz w:val="24"/>
          <w:szCs w:val="24"/>
        </w:rPr>
      </w:pPr>
      <w:r>
        <w:rPr>
          <w:rFonts w:ascii="楷体" w:hAnsi="楷体" w:eastAsia="楷体" w:cs="楷体"/>
          <w:spacing w:val="7"/>
          <w:sz w:val="24"/>
          <w:szCs w:val="24"/>
        </w:rPr>
        <w:t>按</w:t>
      </w:r>
      <w:r>
        <w:rPr>
          <w:rFonts w:ascii="楷体" w:hAnsi="楷体" w:eastAsia="楷体" w:cs="楷体"/>
          <w:spacing w:val="-20"/>
          <w:sz w:val="24"/>
          <w:szCs w:val="24"/>
        </w:rPr>
        <w:t xml:space="preserve"> </w:t>
      </w:r>
      <w:r>
        <w:rPr>
          <w:rFonts w:ascii="楷体" w:hAnsi="楷体" w:eastAsia="楷体" w:cs="楷体"/>
          <w:spacing w:val="7"/>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7"/>
          <w:sz w:val="24"/>
          <w:szCs w:val="24"/>
        </w:rPr>
        <w:t xml:space="preserve">    3363—1998</w:t>
      </w:r>
      <w:r>
        <w:rPr>
          <w:rFonts w:ascii="宋体" w:hAnsi="宋体" w:eastAsia="宋体" w:cs="宋体"/>
          <w:spacing w:val="7"/>
          <w:sz w:val="24"/>
          <w:szCs w:val="24"/>
        </w:rPr>
        <w:t>《</w:t>
      </w:r>
      <w:r>
        <w:rPr>
          <w:rFonts w:ascii="楷体" w:hAnsi="楷体" w:eastAsia="楷体" w:cs="楷体"/>
          <w:spacing w:val="7"/>
          <w:sz w:val="24"/>
          <w:szCs w:val="24"/>
        </w:rPr>
        <w:t>生产性分析》</w:t>
      </w:r>
      <w:r>
        <w:rPr>
          <w:rFonts w:ascii="楷体" w:hAnsi="楷体" w:eastAsia="楷体" w:cs="楷体"/>
          <w:spacing w:val="6"/>
          <w:sz w:val="24"/>
          <w:szCs w:val="24"/>
        </w:rPr>
        <w:t>编写。</w:t>
      </w:r>
    </w:p>
    <w:p w14:paraId="2EF34C11">
      <w:pPr>
        <w:spacing w:before="84"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6EF962B4">
      <w:pPr>
        <w:spacing w:before="82"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34941AEA">
      <w:pPr>
        <w:spacing w:before="87"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14"/>
          <w:sz w:val="27"/>
          <w:szCs w:val="27"/>
        </w:rPr>
        <w:t xml:space="preserve">  </w:t>
      </w:r>
      <w:r>
        <w:rPr>
          <w:rFonts w:ascii="黑体" w:hAnsi="黑体" w:eastAsia="黑体" w:cs="黑体"/>
          <w:b/>
          <w:bCs/>
          <w:spacing w:val="-2"/>
          <w:sz w:val="27"/>
          <w:szCs w:val="27"/>
        </w:rPr>
        <w:t>生产性分析目的</w:t>
      </w:r>
    </w:p>
    <w:p w14:paraId="6DB6CF62">
      <w:pPr>
        <w:spacing w:before="96" w:line="275" w:lineRule="auto"/>
        <w:ind w:firstLine="559"/>
        <w:jc w:val="both"/>
        <w:rPr>
          <w:rFonts w:ascii="宋体" w:hAnsi="宋体" w:eastAsia="宋体" w:cs="宋体"/>
          <w:sz w:val="27"/>
          <w:szCs w:val="27"/>
        </w:rPr>
      </w:pPr>
      <w:r>
        <w:rPr>
          <w:rFonts w:ascii="宋体" w:hAnsi="宋体" w:eastAsia="宋体" w:cs="宋体"/>
          <w:spacing w:val="1"/>
          <w:sz w:val="27"/>
          <w:szCs w:val="27"/>
        </w:rPr>
        <w:t>保证在武器装备研制过程中，承制方不仅能设计出具</w:t>
      </w:r>
      <w:r>
        <w:rPr>
          <w:rFonts w:ascii="宋体" w:hAnsi="宋体" w:eastAsia="宋体" w:cs="宋体"/>
          <w:sz w:val="27"/>
          <w:szCs w:val="27"/>
        </w:rPr>
        <w:t xml:space="preserve">有良好生产性的产品， </w:t>
      </w:r>
      <w:r>
        <w:rPr>
          <w:rFonts w:ascii="宋体" w:hAnsi="宋体" w:eastAsia="宋体" w:cs="宋体"/>
          <w:spacing w:val="-3"/>
          <w:sz w:val="27"/>
          <w:szCs w:val="27"/>
        </w:rPr>
        <w:t>而且会形成适用于生产该产品的工艺和工装，使产品达到最佳的经济效果，以便</w:t>
      </w:r>
      <w:r>
        <w:rPr>
          <w:rFonts w:ascii="宋体" w:hAnsi="宋体" w:eastAsia="宋体" w:cs="宋体"/>
          <w:spacing w:val="3"/>
          <w:sz w:val="27"/>
          <w:szCs w:val="27"/>
        </w:rPr>
        <w:t xml:space="preserve">  </w:t>
      </w:r>
      <w:r>
        <w:rPr>
          <w:rFonts w:ascii="宋体" w:hAnsi="宋体" w:eastAsia="宋体" w:cs="宋体"/>
          <w:spacing w:val="-10"/>
          <w:sz w:val="27"/>
          <w:szCs w:val="27"/>
        </w:rPr>
        <w:t>降低产品成本，缩短研制周期，提高产品质量，节约原材料，提高劳动生产率，改</w:t>
      </w:r>
      <w:r>
        <w:rPr>
          <w:rFonts w:ascii="宋体" w:hAnsi="宋体" w:eastAsia="宋体" w:cs="宋体"/>
          <w:spacing w:val="5"/>
          <w:sz w:val="27"/>
          <w:szCs w:val="27"/>
        </w:rPr>
        <w:t xml:space="preserve">  </w:t>
      </w:r>
      <w:r>
        <w:rPr>
          <w:rFonts w:ascii="宋体" w:hAnsi="宋体" w:eastAsia="宋体" w:cs="宋体"/>
          <w:spacing w:val="-1"/>
          <w:sz w:val="27"/>
          <w:szCs w:val="27"/>
        </w:rPr>
        <w:t>善操作人员的工作条件。</w:t>
      </w:r>
    </w:p>
    <w:p w14:paraId="457BD9C4">
      <w:pPr>
        <w:spacing w:before="30" w:line="268" w:lineRule="auto"/>
        <w:ind w:right="124" w:firstLine="559"/>
        <w:rPr>
          <w:rFonts w:ascii="宋体" w:hAnsi="宋体" w:eastAsia="宋体" w:cs="宋体"/>
          <w:sz w:val="27"/>
          <w:szCs w:val="27"/>
        </w:rPr>
      </w:pPr>
      <w:r>
        <w:rPr>
          <w:rFonts w:ascii="宋体" w:hAnsi="宋体" w:eastAsia="宋体" w:cs="宋体"/>
          <w:spacing w:val="-12"/>
          <w:sz w:val="27"/>
          <w:szCs w:val="27"/>
        </w:rPr>
        <w:t>在武器装备研制过程中，通过对多种结构、工艺、</w:t>
      </w:r>
      <w:r>
        <w:rPr>
          <w:rFonts w:ascii="宋体" w:hAnsi="宋体" w:eastAsia="宋体" w:cs="宋体"/>
          <w:b/>
          <w:bCs/>
          <w:spacing w:val="-12"/>
          <w:sz w:val="27"/>
          <w:szCs w:val="27"/>
        </w:rPr>
        <w:t>材料方案的比较，</w:t>
      </w:r>
      <w:r>
        <w:rPr>
          <w:rFonts w:ascii="宋体" w:hAnsi="宋体" w:eastAsia="宋体" w:cs="宋体"/>
          <w:spacing w:val="-12"/>
          <w:sz w:val="27"/>
          <w:szCs w:val="27"/>
        </w:rPr>
        <w:t>权衡及量</w:t>
      </w:r>
      <w:r>
        <w:rPr>
          <w:rFonts w:ascii="宋体" w:hAnsi="宋体" w:eastAsia="宋体" w:cs="宋体"/>
          <w:spacing w:val="14"/>
          <w:sz w:val="27"/>
          <w:szCs w:val="27"/>
        </w:rPr>
        <w:t xml:space="preserve"> </w:t>
      </w:r>
      <w:r>
        <w:rPr>
          <w:rFonts w:ascii="宋体" w:hAnsi="宋体" w:eastAsia="宋体" w:cs="宋体"/>
          <w:spacing w:val="-3"/>
          <w:sz w:val="27"/>
          <w:szCs w:val="27"/>
        </w:rPr>
        <w:t>化分析，在满足产品性能的前提下达到下述目标。</w:t>
      </w:r>
    </w:p>
    <w:p w14:paraId="4C634200">
      <w:pPr>
        <w:spacing w:line="294" w:lineRule="auto"/>
        <w:ind w:right="103" w:firstLine="559"/>
        <w:rPr>
          <w:rFonts w:ascii="宋体" w:hAnsi="宋体" w:eastAsia="宋体" w:cs="宋体"/>
          <w:sz w:val="27"/>
          <w:szCs w:val="27"/>
        </w:rPr>
      </w:pPr>
      <w:r>
        <w:rPr>
          <w:rFonts w:ascii="Times New Roman" w:hAnsi="Times New Roman" w:eastAsia="Times New Roman" w:cs="Times New Roman"/>
          <w:spacing w:val="-4"/>
          <w:sz w:val="27"/>
          <w:szCs w:val="27"/>
        </w:rPr>
        <w:t xml:space="preserve">a)  </w:t>
      </w:r>
      <w:r>
        <w:rPr>
          <w:rFonts w:ascii="宋体" w:hAnsi="宋体" w:eastAsia="宋体" w:cs="宋体"/>
          <w:spacing w:val="-4"/>
          <w:sz w:val="27"/>
          <w:szCs w:val="27"/>
        </w:rPr>
        <w:t>应达到最大(高)程度的因素：1)设计简化；2)使用经济的材料；3)使用经</w:t>
      </w:r>
      <w:r>
        <w:rPr>
          <w:rFonts w:ascii="宋体" w:hAnsi="宋体" w:eastAsia="宋体" w:cs="宋体"/>
          <w:spacing w:val="5"/>
          <w:sz w:val="27"/>
          <w:szCs w:val="27"/>
        </w:rPr>
        <w:t xml:space="preserve"> </w:t>
      </w:r>
      <w:r>
        <w:rPr>
          <w:rFonts w:ascii="宋体" w:hAnsi="宋体" w:eastAsia="宋体" w:cs="宋体"/>
          <w:spacing w:val="-2"/>
          <w:sz w:val="27"/>
          <w:szCs w:val="27"/>
        </w:rPr>
        <w:t>济的制造技术；4)材料和结构件的标准化；5)投产前设计合理性程度；6)</w:t>
      </w:r>
      <w:r>
        <w:rPr>
          <w:rFonts w:ascii="宋体" w:hAnsi="宋体" w:eastAsia="宋体" w:cs="宋体"/>
          <w:spacing w:val="-3"/>
          <w:sz w:val="27"/>
          <w:szCs w:val="27"/>
        </w:rPr>
        <w:t>工艺方</w:t>
      </w:r>
    </w:p>
    <w:p w14:paraId="66444A94">
      <w:pPr>
        <w:spacing w:line="294" w:lineRule="auto"/>
        <w:rPr>
          <w:rFonts w:ascii="宋体" w:hAnsi="宋体" w:eastAsia="宋体" w:cs="宋体"/>
          <w:sz w:val="27"/>
          <w:szCs w:val="27"/>
        </w:rPr>
        <w:sectPr>
          <w:footerReference r:id="rId178" w:type="default"/>
          <w:pgSz w:w="11910" w:h="17130"/>
          <w:pgMar w:top="400" w:right="1205" w:bottom="1623" w:left="1210" w:header="0" w:footer="1424" w:gutter="0"/>
          <w:cols w:space="720" w:num="1"/>
        </w:sectPr>
      </w:pPr>
    </w:p>
    <w:p w14:paraId="2A11FCA6">
      <w:pPr>
        <w:pStyle w:val="2"/>
        <w:spacing w:line="260" w:lineRule="auto"/>
      </w:pPr>
    </w:p>
    <w:p w14:paraId="02524883">
      <w:pPr>
        <w:pStyle w:val="2"/>
        <w:spacing w:line="261" w:lineRule="auto"/>
      </w:pPr>
    </w:p>
    <w:p w14:paraId="5390B998">
      <w:pPr>
        <w:pStyle w:val="2"/>
        <w:spacing w:line="261" w:lineRule="auto"/>
      </w:pPr>
    </w:p>
    <w:p w14:paraId="3EF2316A">
      <w:pPr>
        <w:pStyle w:val="2"/>
        <w:spacing w:line="261" w:lineRule="auto"/>
      </w:pPr>
    </w:p>
    <w:p w14:paraId="4F6C3301">
      <w:pPr>
        <w:spacing w:before="78" w:line="219" w:lineRule="auto"/>
        <w:rPr>
          <w:rFonts w:ascii="宋体" w:hAnsi="宋体" w:eastAsia="宋体" w:cs="宋体"/>
          <w:sz w:val="24"/>
          <w:szCs w:val="24"/>
        </w:rPr>
      </w:pPr>
      <w:r>
        <w:rPr>
          <w:rFonts w:ascii="宋体" w:hAnsi="宋体" w:eastAsia="宋体" w:cs="宋体"/>
          <w:spacing w:val="23"/>
          <w:sz w:val="24"/>
          <w:szCs w:val="24"/>
        </w:rPr>
        <w:t>法的可重复性；7)产品的可检查性；8)允许使用的材料和工艺方法。</w:t>
      </w:r>
    </w:p>
    <w:p w14:paraId="488315F3">
      <w:pPr>
        <w:spacing w:before="67" w:line="283" w:lineRule="auto"/>
        <w:ind w:right="82" w:firstLine="570"/>
        <w:jc w:val="both"/>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应达到最小(低)程度的因素：1)采购时间；2)切屑、碎片和浪费；3)使用</w:t>
      </w:r>
      <w:r>
        <w:rPr>
          <w:rFonts w:ascii="宋体" w:hAnsi="宋体" w:eastAsia="宋体" w:cs="宋体"/>
          <w:spacing w:val="11"/>
          <w:sz w:val="27"/>
          <w:szCs w:val="27"/>
        </w:rPr>
        <w:t xml:space="preserve"> </w:t>
      </w:r>
      <w:r>
        <w:rPr>
          <w:rFonts w:ascii="宋体" w:hAnsi="宋体" w:eastAsia="宋体" w:cs="宋体"/>
          <w:spacing w:val="-8"/>
          <w:sz w:val="27"/>
          <w:szCs w:val="27"/>
        </w:rPr>
        <w:t>关键材料；4)能源消耗；5)专门的生产试验；</w:t>
      </w:r>
      <w:r>
        <w:rPr>
          <w:rFonts w:ascii="宋体" w:hAnsi="宋体" w:eastAsia="宋体" w:cs="宋体"/>
          <w:spacing w:val="-9"/>
          <w:sz w:val="27"/>
          <w:szCs w:val="27"/>
        </w:rPr>
        <w:t>6)专门的试验系统；7)关键工艺的使</w:t>
      </w:r>
      <w:r>
        <w:rPr>
          <w:rFonts w:ascii="宋体" w:hAnsi="宋体" w:eastAsia="宋体" w:cs="宋体"/>
          <w:sz w:val="27"/>
          <w:szCs w:val="27"/>
        </w:rPr>
        <w:t xml:space="preserve"> </w:t>
      </w:r>
      <w:r>
        <w:rPr>
          <w:rFonts w:ascii="宋体" w:hAnsi="宋体" w:eastAsia="宋体" w:cs="宋体"/>
          <w:spacing w:val="-12"/>
          <w:sz w:val="27"/>
          <w:szCs w:val="27"/>
        </w:rPr>
        <w:t>用；8)污染；9)生产人员的技艺水平；10)单件成本；11)生产中的设计更改；12)受</w:t>
      </w:r>
      <w:r>
        <w:rPr>
          <w:rFonts w:ascii="宋体" w:hAnsi="宋体" w:eastAsia="宋体" w:cs="宋体"/>
          <w:spacing w:val="10"/>
          <w:sz w:val="27"/>
          <w:szCs w:val="27"/>
        </w:rPr>
        <w:t xml:space="preserve"> </w:t>
      </w:r>
      <w:r>
        <w:rPr>
          <w:rFonts w:ascii="宋体" w:hAnsi="宋体" w:eastAsia="宋体" w:cs="宋体"/>
          <w:spacing w:val="-2"/>
          <w:sz w:val="27"/>
          <w:szCs w:val="27"/>
        </w:rPr>
        <w:t>限制使用的产品和工艺；13)使用未取得生产权的</w:t>
      </w:r>
      <w:r>
        <w:rPr>
          <w:rFonts w:ascii="宋体" w:hAnsi="宋体" w:eastAsia="宋体" w:cs="宋体"/>
          <w:spacing w:val="-3"/>
          <w:sz w:val="27"/>
          <w:szCs w:val="27"/>
        </w:rPr>
        <w:t>专利产品；14)没有备选方案的</w:t>
      </w:r>
      <w:r>
        <w:rPr>
          <w:rFonts w:ascii="宋体" w:hAnsi="宋体" w:eastAsia="宋体" w:cs="宋体"/>
          <w:sz w:val="27"/>
          <w:szCs w:val="27"/>
        </w:rPr>
        <w:t xml:space="preserve"> </w:t>
      </w:r>
      <w:r>
        <w:rPr>
          <w:rFonts w:ascii="宋体" w:hAnsi="宋体" w:eastAsia="宋体" w:cs="宋体"/>
          <w:spacing w:val="2"/>
          <w:sz w:val="27"/>
          <w:szCs w:val="27"/>
        </w:rPr>
        <w:t>单一材料和单一工艺。</w:t>
      </w:r>
    </w:p>
    <w:p w14:paraId="76ECAD11">
      <w:pPr>
        <w:pStyle w:val="2"/>
        <w:spacing w:line="221" w:lineRule="auto"/>
        <w:rPr>
          <w:rFonts w:ascii="黑体" w:hAnsi="黑体" w:eastAsia="黑体" w:cs="黑体"/>
          <w:sz w:val="27"/>
          <w:szCs w:val="27"/>
        </w:rPr>
      </w:pPr>
      <w:r>
        <w:rPr>
          <w:spacing w:val="2"/>
          <w:sz w:val="27"/>
          <w:szCs w:val="27"/>
        </w:rPr>
        <w:t>4</w:t>
      </w:r>
      <w:r>
        <w:rPr>
          <w:spacing w:val="24"/>
          <w:sz w:val="27"/>
          <w:szCs w:val="27"/>
        </w:rPr>
        <w:t xml:space="preserve">   </w:t>
      </w:r>
      <w:r>
        <w:rPr>
          <w:rFonts w:ascii="黑体" w:hAnsi="黑体" w:eastAsia="黑体" w:cs="黑体"/>
          <w:spacing w:val="2"/>
          <w:sz w:val="27"/>
          <w:szCs w:val="27"/>
        </w:rPr>
        <w:t>生产性分析准则</w:t>
      </w:r>
    </w:p>
    <w:p w14:paraId="1C736EEA">
      <w:pPr>
        <w:spacing w:before="65" w:line="279" w:lineRule="auto"/>
        <w:ind w:right="123" w:firstLine="570"/>
        <w:rPr>
          <w:rFonts w:ascii="宋体" w:hAnsi="宋体" w:eastAsia="宋体" w:cs="宋体"/>
          <w:sz w:val="27"/>
          <w:szCs w:val="27"/>
        </w:rPr>
      </w:pPr>
      <w:r>
        <w:rPr>
          <w:rFonts w:ascii="宋体" w:hAnsi="宋体" w:eastAsia="宋体" w:cs="宋体"/>
          <w:spacing w:val="-3"/>
          <w:sz w:val="27"/>
          <w:szCs w:val="27"/>
        </w:rPr>
        <w:t>承制方对设计定型阶段形成的《生产性分析准则》进行进一步优化更新，提</w:t>
      </w:r>
      <w:r>
        <w:rPr>
          <w:rFonts w:ascii="宋体" w:hAnsi="宋体" w:eastAsia="宋体" w:cs="宋体"/>
          <w:sz w:val="27"/>
          <w:szCs w:val="27"/>
        </w:rPr>
        <w:t xml:space="preserve"> </w:t>
      </w:r>
      <w:r>
        <w:rPr>
          <w:rFonts w:ascii="宋体" w:hAnsi="宋体" w:eastAsia="宋体" w:cs="宋体"/>
          <w:spacing w:val="-17"/>
          <w:sz w:val="27"/>
          <w:szCs w:val="27"/>
        </w:rPr>
        <w:t>出完善的《生产性分析准则》。</w:t>
      </w:r>
    </w:p>
    <w:p w14:paraId="22B22BC0">
      <w:pPr>
        <w:pStyle w:val="2"/>
        <w:spacing w:line="327" w:lineRule="exact"/>
        <w:rPr>
          <w:rFonts w:ascii="黑体" w:hAnsi="黑体" w:eastAsia="黑体" w:cs="黑体"/>
          <w:sz w:val="24"/>
          <w:szCs w:val="24"/>
        </w:rPr>
      </w:pPr>
      <w:r>
        <w:rPr>
          <w:spacing w:val="24"/>
          <w:position w:val="1"/>
          <w:sz w:val="24"/>
          <w:szCs w:val="24"/>
        </w:rPr>
        <w:t xml:space="preserve">5    </w:t>
      </w:r>
      <w:r>
        <w:rPr>
          <w:rFonts w:ascii="黑体" w:hAnsi="黑体" w:eastAsia="黑体" w:cs="黑体"/>
          <w:spacing w:val="24"/>
          <w:position w:val="1"/>
          <w:sz w:val="24"/>
          <w:szCs w:val="24"/>
        </w:rPr>
        <w:t>生产性分析工作内容</w:t>
      </w:r>
    </w:p>
    <w:p w14:paraId="77A9CF08">
      <w:pPr>
        <w:spacing w:before="76" w:line="221" w:lineRule="auto"/>
        <w:rPr>
          <w:rFonts w:ascii="黑体" w:hAnsi="黑体" w:eastAsia="黑体" w:cs="黑体"/>
          <w:sz w:val="27"/>
          <w:szCs w:val="27"/>
        </w:rPr>
      </w:pPr>
      <w:r>
        <w:rPr>
          <w:rFonts w:ascii="黑体" w:hAnsi="黑体" w:eastAsia="黑体" w:cs="黑体"/>
          <w:spacing w:val="5"/>
          <w:sz w:val="27"/>
          <w:szCs w:val="27"/>
        </w:rPr>
        <w:t>5.1  对生产过程和方法的分析</w:t>
      </w:r>
    </w:p>
    <w:p w14:paraId="58D004E5">
      <w:pPr>
        <w:spacing w:before="120" w:line="268" w:lineRule="auto"/>
        <w:ind w:right="123" w:firstLine="570"/>
        <w:rPr>
          <w:rFonts w:ascii="宋体" w:hAnsi="宋体" w:eastAsia="宋体" w:cs="宋体"/>
          <w:sz w:val="27"/>
          <w:szCs w:val="27"/>
        </w:rPr>
      </w:pPr>
      <w:r>
        <w:rPr>
          <w:rFonts w:ascii="宋体" w:hAnsi="宋体" w:eastAsia="宋体" w:cs="宋体"/>
          <w:spacing w:val="-3"/>
          <w:sz w:val="27"/>
          <w:szCs w:val="27"/>
        </w:rPr>
        <w:t>对生产过程和方法进行分析，以进一步减少制造成本，缩短生产周期和提高</w:t>
      </w:r>
      <w:r>
        <w:rPr>
          <w:rFonts w:ascii="宋体" w:hAnsi="宋体" w:eastAsia="宋体" w:cs="宋体"/>
          <w:sz w:val="27"/>
          <w:szCs w:val="27"/>
        </w:rPr>
        <w:t xml:space="preserve"> </w:t>
      </w:r>
      <w:r>
        <w:rPr>
          <w:rFonts w:ascii="宋体" w:hAnsi="宋体" w:eastAsia="宋体" w:cs="宋体"/>
          <w:spacing w:val="4"/>
          <w:sz w:val="27"/>
          <w:szCs w:val="27"/>
        </w:rPr>
        <w:t>产品质量。本条详细说明对生产过程和方法的分析过程及分析结果。</w:t>
      </w:r>
    </w:p>
    <w:p w14:paraId="453A0E51">
      <w:pPr>
        <w:spacing w:before="6" w:line="222" w:lineRule="auto"/>
        <w:rPr>
          <w:rFonts w:ascii="黑体" w:hAnsi="黑体" w:eastAsia="黑体" w:cs="黑体"/>
          <w:sz w:val="27"/>
          <w:szCs w:val="27"/>
        </w:rPr>
      </w:pPr>
      <w:r>
        <w:rPr>
          <w:rFonts w:ascii="黑体" w:hAnsi="黑体" w:eastAsia="黑体" w:cs="黑体"/>
          <w:spacing w:val="1"/>
          <w:sz w:val="27"/>
          <w:szCs w:val="27"/>
        </w:rPr>
        <w:t>5.2</w:t>
      </w:r>
      <w:r>
        <w:rPr>
          <w:rFonts w:ascii="黑体" w:hAnsi="黑体" w:eastAsia="黑体" w:cs="黑体"/>
          <w:spacing w:val="17"/>
          <w:sz w:val="27"/>
          <w:szCs w:val="27"/>
        </w:rPr>
        <w:t xml:space="preserve">  </w:t>
      </w:r>
      <w:r>
        <w:rPr>
          <w:rFonts w:ascii="黑体" w:hAnsi="黑体" w:eastAsia="黑体" w:cs="黑体"/>
          <w:spacing w:val="1"/>
          <w:sz w:val="27"/>
          <w:szCs w:val="27"/>
        </w:rPr>
        <w:t>备选材料的分析</w:t>
      </w:r>
    </w:p>
    <w:p w14:paraId="7D95B852">
      <w:pPr>
        <w:spacing w:before="93" w:line="219" w:lineRule="auto"/>
        <w:ind w:left="570"/>
        <w:rPr>
          <w:rFonts w:ascii="宋体" w:hAnsi="宋体" w:eastAsia="宋体" w:cs="宋体"/>
          <w:sz w:val="27"/>
          <w:szCs w:val="27"/>
        </w:rPr>
      </w:pPr>
      <w:r>
        <w:rPr>
          <w:rFonts w:ascii="宋体" w:hAnsi="宋体" w:eastAsia="宋体" w:cs="宋体"/>
          <w:spacing w:val="-3"/>
          <w:sz w:val="27"/>
          <w:szCs w:val="27"/>
        </w:rPr>
        <w:t>对备选材料进行分析，提出应用备选材料的方案。</w:t>
      </w:r>
    </w:p>
    <w:p w14:paraId="477879F3">
      <w:pPr>
        <w:spacing w:before="119" w:line="222" w:lineRule="auto"/>
        <w:rPr>
          <w:rFonts w:ascii="黑体" w:hAnsi="黑体" w:eastAsia="黑体" w:cs="黑体"/>
          <w:sz w:val="24"/>
          <w:szCs w:val="24"/>
        </w:rPr>
      </w:pPr>
      <w:r>
        <w:rPr>
          <w:rFonts w:ascii="黑体" w:hAnsi="黑体" w:eastAsia="黑体" w:cs="黑体"/>
          <w:spacing w:val="25"/>
          <w:sz w:val="24"/>
          <w:szCs w:val="24"/>
        </w:rPr>
        <w:t>5.3</w:t>
      </w:r>
      <w:r>
        <w:rPr>
          <w:rFonts w:ascii="黑体" w:hAnsi="黑体" w:eastAsia="黑体" w:cs="黑体"/>
          <w:spacing w:val="51"/>
          <w:sz w:val="24"/>
          <w:szCs w:val="24"/>
        </w:rPr>
        <w:t xml:space="preserve">  </w:t>
      </w:r>
      <w:r>
        <w:rPr>
          <w:rFonts w:ascii="黑体" w:hAnsi="黑体" w:eastAsia="黑体" w:cs="黑体"/>
          <w:spacing w:val="25"/>
          <w:sz w:val="24"/>
          <w:szCs w:val="24"/>
        </w:rPr>
        <w:t>工艺设计更改分析</w:t>
      </w:r>
    </w:p>
    <w:p w14:paraId="1D286705">
      <w:pPr>
        <w:spacing w:before="82" w:line="219" w:lineRule="auto"/>
        <w:ind w:left="570"/>
        <w:rPr>
          <w:rFonts w:ascii="宋体" w:hAnsi="宋体" w:eastAsia="宋体" w:cs="宋体"/>
          <w:sz w:val="27"/>
          <w:szCs w:val="27"/>
        </w:rPr>
      </w:pPr>
      <w:r>
        <w:rPr>
          <w:rFonts w:ascii="宋体" w:hAnsi="宋体" w:eastAsia="宋体" w:cs="宋体"/>
          <w:sz w:val="27"/>
          <w:szCs w:val="27"/>
        </w:rPr>
        <w:t>对工艺设计进行分析，研究提出降低成本的工艺设</w:t>
      </w:r>
      <w:r>
        <w:rPr>
          <w:rFonts w:ascii="宋体" w:hAnsi="宋体" w:eastAsia="宋体" w:cs="宋体"/>
          <w:spacing w:val="-1"/>
          <w:sz w:val="27"/>
          <w:szCs w:val="27"/>
        </w:rPr>
        <w:t>计更改措施。</w:t>
      </w:r>
    </w:p>
    <w:p w14:paraId="79E41092">
      <w:pPr>
        <w:spacing w:before="109" w:line="222" w:lineRule="auto"/>
        <w:rPr>
          <w:rFonts w:ascii="黑体" w:hAnsi="黑体" w:eastAsia="黑体" w:cs="黑体"/>
          <w:sz w:val="24"/>
          <w:szCs w:val="24"/>
        </w:rPr>
      </w:pPr>
      <w:r>
        <w:rPr>
          <w:rFonts w:ascii="黑体" w:hAnsi="黑体" w:eastAsia="黑体" w:cs="黑体"/>
          <w:spacing w:val="25"/>
          <w:sz w:val="24"/>
          <w:szCs w:val="24"/>
        </w:rPr>
        <w:t>5.4</w:t>
      </w:r>
      <w:r>
        <w:rPr>
          <w:rFonts w:ascii="黑体" w:hAnsi="黑体" w:eastAsia="黑体" w:cs="黑体"/>
          <w:spacing w:val="51"/>
          <w:sz w:val="24"/>
          <w:szCs w:val="24"/>
        </w:rPr>
        <w:t xml:space="preserve">  </w:t>
      </w:r>
      <w:r>
        <w:rPr>
          <w:rFonts w:ascii="黑体" w:hAnsi="黑体" w:eastAsia="黑体" w:cs="黑体"/>
          <w:spacing w:val="25"/>
          <w:sz w:val="24"/>
          <w:szCs w:val="24"/>
        </w:rPr>
        <w:t>工程更改建议分析</w:t>
      </w:r>
    </w:p>
    <w:p w14:paraId="2E258CED">
      <w:pPr>
        <w:spacing w:before="102" w:line="218" w:lineRule="auto"/>
        <w:jc w:val="right"/>
        <w:rPr>
          <w:rFonts w:ascii="宋体" w:hAnsi="宋体" w:eastAsia="宋体" w:cs="宋体"/>
          <w:sz w:val="27"/>
          <w:szCs w:val="27"/>
        </w:rPr>
      </w:pPr>
      <w:r>
        <w:rPr>
          <w:rFonts w:ascii="宋体" w:hAnsi="宋体" w:eastAsia="宋体" w:cs="宋体"/>
          <w:spacing w:val="1"/>
          <w:sz w:val="27"/>
          <w:szCs w:val="27"/>
        </w:rPr>
        <w:t>对改善生产性的工程更改建议进行分析评价，确定可</w:t>
      </w:r>
      <w:r>
        <w:rPr>
          <w:rFonts w:ascii="宋体" w:hAnsi="宋体" w:eastAsia="宋体" w:cs="宋体"/>
          <w:sz w:val="27"/>
          <w:szCs w:val="27"/>
        </w:rPr>
        <w:t>实施的工程更改建议。</w:t>
      </w:r>
    </w:p>
    <w:p w14:paraId="477A12B6">
      <w:pPr>
        <w:pStyle w:val="2"/>
        <w:spacing w:before="33" w:line="368" w:lineRule="exact"/>
        <w:rPr>
          <w:rFonts w:ascii="黑体" w:hAnsi="黑体" w:eastAsia="黑体" w:cs="黑体"/>
          <w:sz w:val="27"/>
          <w:szCs w:val="27"/>
        </w:rPr>
      </w:pPr>
      <w:r>
        <w:rPr>
          <w:spacing w:val="4"/>
          <w:position w:val="1"/>
          <w:sz w:val="27"/>
          <w:szCs w:val="27"/>
        </w:rPr>
        <w:t xml:space="preserve">5.5    </w:t>
      </w:r>
      <w:r>
        <w:rPr>
          <w:rFonts w:ascii="黑体" w:hAnsi="黑体" w:eastAsia="黑体" w:cs="黑体"/>
          <w:spacing w:val="4"/>
          <w:position w:val="1"/>
          <w:sz w:val="27"/>
          <w:szCs w:val="27"/>
        </w:rPr>
        <w:t>新的制造技术分析</w:t>
      </w:r>
    </w:p>
    <w:p w14:paraId="0216AA42">
      <w:pPr>
        <w:spacing w:before="99" w:line="258" w:lineRule="auto"/>
        <w:ind w:right="115" w:firstLine="570"/>
        <w:rPr>
          <w:rFonts w:ascii="宋体" w:hAnsi="宋体" w:eastAsia="宋体" w:cs="宋体"/>
          <w:sz w:val="27"/>
          <w:szCs w:val="27"/>
        </w:rPr>
      </w:pPr>
      <w:r>
        <w:rPr>
          <w:rFonts w:ascii="宋体" w:hAnsi="宋体" w:eastAsia="宋体" w:cs="宋体"/>
          <w:spacing w:val="5"/>
          <w:sz w:val="27"/>
          <w:szCs w:val="27"/>
        </w:rPr>
        <w:t>对国内外新的制造技术进行分析评价，将切实可行的新的制造技术应用到</w:t>
      </w:r>
      <w:r>
        <w:rPr>
          <w:rFonts w:ascii="宋体" w:hAnsi="宋体" w:eastAsia="宋体" w:cs="宋体"/>
          <w:spacing w:val="18"/>
          <w:sz w:val="27"/>
          <w:szCs w:val="27"/>
        </w:rPr>
        <w:t xml:space="preserve"> </w:t>
      </w:r>
      <w:r>
        <w:rPr>
          <w:rFonts w:ascii="宋体" w:hAnsi="宋体" w:eastAsia="宋体" w:cs="宋体"/>
          <w:sz w:val="27"/>
          <w:szCs w:val="27"/>
        </w:rPr>
        <w:t>产品生产过程。</w:t>
      </w:r>
    </w:p>
    <w:p w14:paraId="06DF0C23">
      <w:pPr>
        <w:pStyle w:val="2"/>
        <w:spacing w:line="368" w:lineRule="exact"/>
        <w:rPr>
          <w:rFonts w:ascii="黑体" w:hAnsi="黑体" w:eastAsia="黑体" w:cs="黑体"/>
          <w:sz w:val="27"/>
          <w:szCs w:val="27"/>
        </w:rPr>
      </w:pPr>
      <w:r>
        <w:rPr>
          <w:spacing w:val="2"/>
          <w:position w:val="1"/>
          <w:sz w:val="27"/>
          <w:szCs w:val="27"/>
        </w:rPr>
        <w:t>6</w:t>
      </w:r>
      <w:r>
        <w:rPr>
          <w:position w:val="1"/>
          <w:sz w:val="27"/>
          <w:szCs w:val="27"/>
        </w:rPr>
        <w:t xml:space="preserve">    </w:t>
      </w:r>
      <w:r>
        <w:rPr>
          <w:rFonts w:ascii="黑体" w:hAnsi="黑体" w:eastAsia="黑体" w:cs="黑体"/>
          <w:spacing w:val="2"/>
          <w:position w:val="1"/>
          <w:sz w:val="27"/>
          <w:szCs w:val="27"/>
        </w:rPr>
        <w:t>生产性分析结论</w:t>
      </w:r>
    </w:p>
    <w:p w14:paraId="3EB20305">
      <w:pPr>
        <w:spacing w:before="101" w:line="219" w:lineRule="auto"/>
        <w:ind w:left="570"/>
        <w:rPr>
          <w:rFonts w:ascii="宋体" w:hAnsi="宋体" w:eastAsia="宋体" w:cs="宋体"/>
          <w:sz w:val="27"/>
          <w:szCs w:val="27"/>
        </w:rPr>
      </w:pPr>
      <w:r>
        <w:rPr>
          <w:rFonts w:ascii="宋体" w:hAnsi="宋体" w:eastAsia="宋体" w:cs="宋体"/>
          <w:spacing w:val="4"/>
          <w:sz w:val="27"/>
          <w:szCs w:val="27"/>
        </w:rPr>
        <w:t>提出对产品生产过程进行优化的合理化建议和实施措施。</w:t>
      </w:r>
    </w:p>
    <w:p w14:paraId="1960C6CF">
      <w:pPr>
        <w:pStyle w:val="2"/>
        <w:spacing w:line="329" w:lineRule="auto"/>
      </w:pPr>
    </w:p>
    <w:p w14:paraId="0D894F78">
      <w:pPr>
        <w:spacing w:before="117" w:line="219" w:lineRule="auto"/>
        <w:ind w:left="3250"/>
        <w:outlineLvl w:val="1"/>
        <w:rPr>
          <w:rFonts w:ascii="宋体" w:hAnsi="宋体" w:eastAsia="宋体" w:cs="宋体"/>
          <w:sz w:val="36"/>
          <w:szCs w:val="36"/>
        </w:rPr>
      </w:pPr>
      <w:bookmarkStart w:id="125" w:name="bookmark64"/>
      <w:bookmarkEnd w:id="125"/>
      <w:r>
        <w:rPr>
          <w:rFonts w:ascii="宋体" w:hAnsi="宋体" w:eastAsia="宋体" w:cs="宋体"/>
          <w:sz w:val="36"/>
          <w:szCs w:val="36"/>
        </w:rPr>
        <w:t>1.62</w:t>
      </w:r>
      <w:r>
        <w:rPr>
          <w:rFonts w:ascii="宋体" w:hAnsi="宋体" w:eastAsia="宋体" w:cs="宋体"/>
          <w:spacing w:val="18"/>
          <w:sz w:val="36"/>
          <w:szCs w:val="36"/>
        </w:rPr>
        <w:t xml:space="preserve">  </w:t>
      </w:r>
      <w:r>
        <w:rPr>
          <w:rFonts w:ascii="宋体" w:hAnsi="宋体" w:eastAsia="宋体" w:cs="宋体"/>
          <w:b/>
          <w:bCs/>
          <w:sz w:val="36"/>
          <w:szCs w:val="36"/>
        </w:rPr>
        <w:t>试生产总结</w:t>
      </w:r>
    </w:p>
    <w:p w14:paraId="41A6695C">
      <w:pPr>
        <w:pStyle w:val="2"/>
        <w:spacing w:line="324" w:lineRule="auto"/>
      </w:pPr>
    </w:p>
    <w:p w14:paraId="389F2FC8">
      <w:pPr>
        <w:spacing w:before="92" w:line="223" w:lineRule="auto"/>
        <w:ind w:left="570"/>
        <w:rPr>
          <w:rFonts w:ascii="楷体" w:hAnsi="楷体" w:eastAsia="楷体" w:cs="楷体"/>
          <w:sz w:val="28"/>
          <w:szCs w:val="28"/>
        </w:rPr>
      </w:pPr>
      <w:r>
        <w:rPr>
          <w:rFonts w:ascii="楷体" w:hAnsi="楷体" w:eastAsia="楷体" w:cs="楷体"/>
          <w:spacing w:val="-8"/>
          <w:sz w:val="28"/>
          <w:szCs w:val="28"/>
        </w:rPr>
        <w:t>按照</w:t>
      </w:r>
      <w:r>
        <w:rPr>
          <w:rFonts w:ascii="Times New Roman" w:hAnsi="Times New Roman" w:eastAsia="Times New Roman" w:cs="Times New Roman"/>
          <w:spacing w:val="-8"/>
          <w:sz w:val="28"/>
          <w:szCs w:val="28"/>
        </w:rPr>
        <w:t>GJB1362A—2007</w:t>
      </w:r>
      <w:r>
        <w:rPr>
          <w:rFonts w:ascii="宋体" w:hAnsi="宋体" w:eastAsia="宋体" w:cs="宋体"/>
          <w:spacing w:val="-8"/>
          <w:sz w:val="28"/>
          <w:szCs w:val="28"/>
        </w:rPr>
        <w:t>《</w:t>
      </w:r>
      <w:r>
        <w:rPr>
          <w:rFonts w:ascii="楷体" w:hAnsi="楷体" w:eastAsia="楷体" w:cs="楷体"/>
          <w:spacing w:val="-8"/>
          <w:sz w:val="28"/>
          <w:szCs w:val="28"/>
        </w:rPr>
        <w:t>军工产品定型程序和要求》编写。</w:t>
      </w:r>
    </w:p>
    <w:p w14:paraId="3F54AF0F">
      <w:pPr>
        <w:spacing w:before="86" w:line="221" w:lineRule="auto"/>
        <w:rPr>
          <w:rFonts w:ascii="黑体" w:hAnsi="黑体" w:eastAsia="黑体" w:cs="黑体"/>
          <w:sz w:val="27"/>
          <w:szCs w:val="27"/>
        </w:rPr>
      </w:pPr>
      <w:r>
        <w:rPr>
          <w:rFonts w:ascii="黑体" w:hAnsi="黑体" w:eastAsia="黑体" w:cs="黑体"/>
          <w:sz w:val="27"/>
          <w:szCs w:val="27"/>
        </w:rPr>
        <w:t>1</w:t>
      </w:r>
      <w:r>
        <w:rPr>
          <w:rFonts w:ascii="黑体" w:hAnsi="黑体" w:eastAsia="黑体" w:cs="黑体"/>
          <w:spacing w:val="31"/>
          <w:sz w:val="27"/>
          <w:szCs w:val="27"/>
        </w:rPr>
        <w:t xml:space="preserve">  </w:t>
      </w:r>
      <w:r>
        <w:rPr>
          <w:rFonts w:ascii="黑体" w:hAnsi="黑体" w:eastAsia="黑体" w:cs="黑体"/>
          <w:sz w:val="27"/>
          <w:szCs w:val="27"/>
        </w:rPr>
        <w:t>产品试生产主要过程</w:t>
      </w:r>
    </w:p>
    <w:p w14:paraId="77218513">
      <w:pPr>
        <w:spacing w:before="98" w:line="276" w:lineRule="auto"/>
        <w:ind w:right="122" w:firstLine="570"/>
        <w:rPr>
          <w:rFonts w:ascii="宋体" w:hAnsi="宋体" w:eastAsia="宋体" w:cs="宋体"/>
          <w:sz w:val="27"/>
          <w:szCs w:val="27"/>
        </w:rPr>
      </w:pPr>
      <w:r>
        <w:rPr>
          <w:rFonts w:ascii="宋体" w:hAnsi="宋体" w:eastAsia="宋体" w:cs="宋体"/>
          <w:spacing w:val="-3"/>
          <w:sz w:val="27"/>
          <w:szCs w:val="27"/>
        </w:rPr>
        <w:t>概要介绍产品试生产的主要过程，包括生产批次、生产批量、时间节点和生</w:t>
      </w:r>
      <w:r>
        <w:rPr>
          <w:rFonts w:ascii="宋体" w:hAnsi="宋体" w:eastAsia="宋体" w:cs="宋体"/>
          <w:sz w:val="27"/>
          <w:szCs w:val="27"/>
        </w:rPr>
        <w:t xml:space="preserve"> </w:t>
      </w:r>
      <w:r>
        <w:rPr>
          <w:rFonts w:ascii="宋体" w:hAnsi="宋体" w:eastAsia="宋体" w:cs="宋体"/>
          <w:spacing w:val="-7"/>
          <w:sz w:val="27"/>
          <w:szCs w:val="27"/>
        </w:rPr>
        <w:t>产过程有关生产准备、生产、生产质量评审等主要工作。</w:t>
      </w:r>
    </w:p>
    <w:p w14:paraId="7FD77105">
      <w:pPr>
        <w:pStyle w:val="2"/>
        <w:spacing w:before="11" w:line="221" w:lineRule="auto"/>
        <w:rPr>
          <w:rFonts w:ascii="黑体" w:hAnsi="黑体" w:eastAsia="黑体" w:cs="黑体"/>
          <w:sz w:val="27"/>
          <w:szCs w:val="27"/>
        </w:rPr>
      </w:pPr>
      <w:r>
        <w:rPr>
          <w:spacing w:val="-5"/>
          <w:sz w:val="27"/>
          <w:szCs w:val="27"/>
        </w:rPr>
        <w:t xml:space="preserve">2    </w:t>
      </w:r>
      <w:r>
        <w:rPr>
          <w:rFonts w:ascii="黑体" w:hAnsi="黑体" w:eastAsia="黑体" w:cs="黑体"/>
          <w:spacing w:val="-5"/>
          <w:sz w:val="27"/>
          <w:szCs w:val="27"/>
        </w:rPr>
        <w:t>产品工艺和生产条件考核、部队试用、生产定型试验情况</w:t>
      </w:r>
    </w:p>
    <w:p w14:paraId="432867B5">
      <w:pPr>
        <w:pStyle w:val="2"/>
        <w:spacing w:before="70" w:line="222" w:lineRule="auto"/>
        <w:rPr>
          <w:rFonts w:ascii="黑体" w:hAnsi="黑体" w:eastAsia="黑体" w:cs="黑体"/>
          <w:sz w:val="27"/>
          <w:szCs w:val="27"/>
        </w:rPr>
      </w:pPr>
      <w:r>
        <w:rPr>
          <w:spacing w:val="4"/>
          <w:sz w:val="27"/>
          <w:szCs w:val="27"/>
        </w:rPr>
        <w:t xml:space="preserve">2.1    </w:t>
      </w:r>
      <w:r>
        <w:rPr>
          <w:rFonts w:ascii="黑体" w:hAnsi="黑体" w:eastAsia="黑体" w:cs="黑体"/>
          <w:spacing w:val="4"/>
          <w:sz w:val="27"/>
          <w:szCs w:val="27"/>
        </w:rPr>
        <w:t>产品工艺和生产条件考核情况</w:t>
      </w:r>
    </w:p>
    <w:p w14:paraId="1AF58FC0">
      <w:pPr>
        <w:spacing w:before="115" w:line="219" w:lineRule="auto"/>
        <w:ind w:left="570"/>
        <w:rPr>
          <w:rFonts w:ascii="宋体" w:hAnsi="宋体" w:eastAsia="宋体" w:cs="宋体"/>
          <w:sz w:val="27"/>
          <w:szCs w:val="27"/>
        </w:rPr>
      </w:pPr>
      <w:r>
        <w:rPr>
          <w:rFonts w:ascii="宋体" w:hAnsi="宋体" w:eastAsia="宋体" w:cs="宋体"/>
          <w:spacing w:val="-3"/>
          <w:sz w:val="27"/>
          <w:szCs w:val="27"/>
        </w:rPr>
        <w:t>说明产品工艺和生产条件考核情况，包括考核时间、考核组成员、考核内容</w:t>
      </w:r>
    </w:p>
    <w:p w14:paraId="430E2509">
      <w:pPr>
        <w:spacing w:line="219" w:lineRule="auto"/>
        <w:rPr>
          <w:rFonts w:ascii="宋体" w:hAnsi="宋体" w:eastAsia="宋体" w:cs="宋体"/>
          <w:sz w:val="27"/>
          <w:szCs w:val="27"/>
        </w:rPr>
        <w:sectPr>
          <w:footerReference r:id="rId179" w:type="default"/>
          <w:pgSz w:w="11910" w:h="17130"/>
          <w:pgMar w:top="400" w:right="744" w:bottom="1643" w:left="1660" w:header="0" w:footer="1445" w:gutter="0"/>
          <w:cols w:space="720" w:num="1"/>
        </w:sectPr>
      </w:pPr>
    </w:p>
    <w:p w14:paraId="5D794CDC">
      <w:pPr>
        <w:pStyle w:val="2"/>
        <w:spacing w:line="247" w:lineRule="auto"/>
      </w:pPr>
    </w:p>
    <w:p w14:paraId="1B74A04E">
      <w:pPr>
        <w:pStyle w:val="2"/>
        <w:spacing w:line="247" w:lineRule="auto"/>
      </w:pPr>
    </w:p>
    <w:p w14:paraId="4A1C795E">
      <w:pPr>
        <w:pStyle w:val="2"/>
        <w:spacing w:line="247" w:lineRule="auto"/>
      </w:pPr>
    </w:p>
    <w:p w14:paraId="24409D56">
      <w:pPr>
        <w:pStyle w:val="2"/>
        <w:spacing w:line="248" w:lineRule="auto"/>
      </w:pPr>
    </w:p>
    <w:p w14:paraId="64098F00">
      <w:pPr>
        <w:spacing w:before="81" w:line="302" w:lineRule="auto"/>
        <w:ind w:right="163"/>
        <w:jc w:val="both"/>
        <w:rPr>
          <w:rFonts w:ascii="宋体" w:hAnsi="宋体" w:eastAsia="宋体" w:cs="宋体"/>
          <w:sz w:val="25"/>
          <w:szCs w:val="25"/>
        </w:rPr>
      </w:pPr>
      <w:r>
        <w:rPr>
          <w:rFonts w:ascii="宋体" w:hAnsi="宋体" w:eastAsia="宋体" w:cs="宋体"/>
          <w:spacing w:val="13"/>
          <w:sz w:val="25"/>
          <w:szCs w:val="25"/>
        </w:rPr>
        <w:t>(生产工艺流程，工艺指令性文件和全套工艺规程，工艺装置设计图样，工序、特</w:t>
      </w:r>
      <w:r>
        <w:rPr>
          <w:rFonts w:ascii="宋体" w:hAnsi="宋体" w:eastAsia="宋体" w:cs="宋体"/>
          <w:spacing w:val="5"/>
          <w:sz w:val="25"/>
          <w:szCs w:val="25"/>
        </w:rPr>
        <w:t xml:space="preserve"> </w:t>
      </w:r>
      <w:r>
        <w:rPr>
          <w:rFonts w:ascii="宋体" w:hAnsi="宋体" w:eastAsia="宋体" w:cs="宋体"/>
          <w:spacing w:val="17"/>
          <w:sz w:val="25"/>
          <w:szCs w:val="25"/>
        </w:rPr>
        <w:t>殊工艺考核报告及工艺装置，关键和重要零部件的工艺说明，产品检验记录，承</w:t>
      </w:r>
      <w:r>
        <w:rPr>
          <w:rFonts w:ascii="宋体" w:hAnsi="宋体" w:eastAsia="宋体" w:cs="宋体"/>
          <w:spacing w:val="5"/>
          <w:sz w:val="25"/>
          <w:szCs w:val="25"/>
        </w:rPr>
        <w:t xml:space="preserve"> </w:t>
      </w:r>
      <w:r>
        <w:rPr>
          <w:rFonts w:ascii="宋体" w:hAnsi="宋体" w:eastAsia="宋体" w:cs="宋体"/>
          <w:spacing w:val="17"/>
          <w:sz w:val="25"/>
          <w:szCs w:val="25"/>
        </w:rPr>
        <w:t>研承制单位质量管理体系和产品质量保证的有关文件，元器件、原材料等生产准</w:t>
      </w:r>
      <w:r>
        <w:rPr>
          <w:rFonts w:ascii="宋体" w:hAnsi="宋体" w:eastAsia="宋体" w:cs="宋体"/>
          <w:spacing w:val="5"/>
          <w:sz w:val="25"/>
          <w:szCs w:val="25"/>
        </w:rPr>
        <w:t xml:space="preserve"> </w:t>
      </w:r>
      <w:r>
        <w:rPr>
          <w:rFonts w:ascii="宋体" w:hAnsi="宋体" w:eastAsia="宋体" w:cs="宋体"/>
          <w:spacing w:val="21"/>
          <w:sz w:val="25"/>
          <w:szCs w:val="25"/>
        </w:rPr>
        <w:t>备的有关文件)和考核结论性意见。</w:t>
      </w:r>
    </w:p>
    <w:p w14:paraId="3D698D9A">
      <w:pPr>
        <w:spacing w:before="1" w:line="221" w:lineRule="auto"/>
        <w:rPr>
          <w:rFonts w:ascii="黑体" w:hAnsi="黑体" w:eastAsia="黑体" w:cs="黑体"/>
          <w:sz w:val="24"/>
          <w:szCs w:val="24"/>
        </w:rPr>
      </w:pPr>
      <w:r>
        <w:rPr>
          <w:rFonts w:ascii="黑体" w:hAnsi="黑体" w:eastAsia="黑体" w:cs="黑体"/>
          <w:spacing w:val="23"/>
          <w:sz w:val="24"/>
          <w:szCs w:val="24"/>
        </w:rPr>
        <w:t>2.2</w:t>
      </w:r>
      <w:r>
        <w:rPr>
          <w:rFonts w:ascii="黑体" w:hAnsi="黑体" w:eastAsia="黑体" w:cs="黑体"/>
          <w:spacing w:val="40"/>
          <w:sz w:val="24"/>
          <w:szCs w:val="24"/>
        </w:rPr>
        <w:t xml:space="preserve">  </w:t>
      </w:r>
      <w:r>
        <w:rPr>
          <w:rFonts w:ascii="黑体" w:hAnsi="黑体" w:eastAsia="黑体" w:cs="黑体"/>
          <w:b/>
          <w:bCs/>
          <w:spacing w:val="23"/>
          <w:sz w:val="24"/>
          <w:szCs w:val="24"/>
        </w:rPr>
        <w:t>产品部队试用情况</w:t>
      </w:r>
    </w:p>
    <w:p w14:paraId="2BBBB760">
      <w:pPr>
        <w:spacing w:before="57" w:line="296" w:lineRule="auto"/>
        <w:ind w:firstLine="570"/>
        <w:rPr>
          <w:rFonts w:ascii="宋体" w:hAnsi="宋体" w:eastAsia="宋体" w:cs="宋体"/>
          <w:sz w:val="27"/>
          <w:szCs w:val="27"/>
        </w:rPr>
      </w:pPr>
      <w:r>
        <w:rPr>
          <w:rFonts w:ascii="宋体" w:hAnsi="宋体" w:eastAsia="宋体" w:cs="宋体"/>
          <w:spacing w:val="-7"/>
          <w:sz w:val="27"/>
          <w:szCs w:val="27"/>
        </w:rPr>
        <w:t>说明部队试用情况，包括试用依据及代号、承试单位和参试单位、试用地点、</w:t>
      </w:r>
      <w:r>
        <w:rPr>
          <w:rFonts w:ascii="宋体" w:hAnsi="宋体" w:eastAsia="宋体" w:cs="宋体"/>
          <w:spacing w:val="1"/>
          <w:sz w:val="27"/>
          <w:szCs w:val="27"/>
        </w:rPr>
        <w:t xml:space="preserve"> </w:t>
      </w:r>
      <w:r>
        <w:rPr>
          <w:rFonts w:ascii="宋体" w:hAnsi="宋体" w:eastAsia="宋体" w:cs="宋体"/>
          <w:spacing w:val="-3"/>
          <w:sz w:val="27"/>
          <w:szCs w:val="27"/>
        </w:rPr>
        <w:t>起止时间、试用项目和试用结论等内容。</w:t>
      </w:r>
    </w:p>
    <w:p w14:paraId="22F4BD90">
      <w:pPr>
        <w:spacing w:before="1" w:line="220" w:lineRule="auto"/>
        <w:rPr>
          <w:rFonts w:ascii="黑体" w:hAnsi="黑体" w:eastAsia="黑体" w:cs="黑体"/>
          <w:sz w:val="24"/>
          <w:szCs w:val="24"/>
        </w:rPr>
      </w:pPr>
      <w:r>
        <w:rPr>
          <w:rFonts w:ascii="黑体" w:hAnsi="黑体" w:eastAsia="黑体" w:cs="黑体"/>
          <w:spacing w:val="24"/>
          <w:sz w:val="24"/>
          <w:szCs w:val="24"/>
        </w:rPr>
        <w:t>2.3</w:t>
      </w:r>
      <w:r>
        <w:rPr>
          <w:rFonts w:ascii="黑体" w:hAnsi="黑体" w:eastAsia="黑体" w:cs="黑体"/>
          <w:spacing w:val="43"/>
          <w:sz w:val="24"/>
          <w:szCs w:val="24"/>
        </w:rPr>
        <w:t xml:space="preserve">  </w:t>
      </w:r>
      <w:r>
        <w:rPr>
          <w:rFonts w:ascii="黑体" w:hAnsi="黑体" w:eastAsia="黑体" w:cs="黑体"/>
          <w:b/>
          <w:bCs/>
          <w:spacing w:val="24"/>
          <w:sz w:val="24"/>
          <w:szCs w:val="24"/>
        </w:rPr>
        <w:t>产品生产定型试验情况</w:t>
      </w:r>
    </w:p>
    <w:p w14:paraId="4854A333">
      <w:pPr>
        <w:spacing w:before="66" w:line="286" w:lineRule="auto"/>
        <w:ind w:right="124" w:firstLine="570"/>
        <w:rPr>
          <w:rFonts w:ascii="宋体" w:hAnsi="宋体" w:eastAsia="宋体" w:cs="宋体"/>
          <w:sz w:val="27"/>
          <w:szCs w:val="27"/>
        </w:rPr>
      </w:pPr>
      <w:r>
        <w:rPr>
          <w:rFonts w:ascii="宋体" w:hAnsi="宋体" w:eastAsia="宋体" w:cs="宋体"/>
          <w:spacing w:val="-3"/>
          <w:sz w:val="27"/>
          <w:szCs w:val="27"/>
        </w:rPr>
        <w:t>说明产品生产定型试验情况，包括试验依据、承试单位和参试单位、试验地</w:t>
      </w:r>
      <w:r>
        <w:rPr>
          <w:rFonts w:ascii="宋体" w:hAnsi="宋体" w:eastAsia="宋体" w:cs="宋体"/>
          <w:spacing w:val="8"/>
          <w:sz w:val="27"/>
          <w:szCs w:val="27"/>
        </w:rPr>
        <w:t xml:space="preserve"> </w:t>
      </w:r>
      <w:r>
        <w:rPr>
          <w:rFonts w:ascii="宋体" w:hAnsi="宋体" w:eastAsia="宋体" w:cs="宋体"/>
          <w:spacing w:val="-10"/>
          <w:sz w:val="27"/>
          <w:szCs w:val="27"/>
        </w:rPr>
        <w:t>点、起止时间、试验项目和试验结论等内容。</w:t>
      </w:r>
    </w:p>
    <w:p w14:paraId="11AE3266">
      <w:pPr>
        <w:pStyle w:val="2"/>
        <w:spacing w:before="1" w:line="220" w:lineRule="auto"/>
        <w:rPr>
          <w:rFonts w:ascii="黑体" w:hAnsi="黑体" w:eastAsia="黑体" w:cs="黑体"/>
          <w:sz w:val="27"/>
          <w:szCs w:val="27"/>
        </w:rPr>
      </w:pPr>
      <w:r>
        <w:rPr>
          <w:b/>
          <w:bCs/>
          <w:spacing w:val="4"/>
          <w:sz w:val="27"/>
          <w:szCs w:val="27"/>
        </w:rPr>
        <w:t xml:space="preserve">3   </w:t>
      </w:r>
      <w:r>
        <w:rPr>
          <w:rFonts w:ascii="黑体" w:hAnsi="黑体" w:eastAsia="黑体" w:cs="黑体"/>
          <w:b/>
          <w:bCs/>
          <w:spacing w:val="4"/>
          <w:sz w:val="27"/>
          <w:szCs w:val="27"/>
        </w:rPr>
        <w:t>设计定型时提出的和试生产过程中出现的技术问题及解决情况</w:t>
      </w:r>
    </w:p>
    <w:p w14:paraId="342C9B90">
      <w:pPr>
        <w:spacing w:before="88" w:line="222" w:lineRule="auto"/>
        <w:rPr>
          <w:rFonts w:ascii="黑体" w:hAnsi="黑体" w:eastAsia="黑体" w:cs="黑体"/>
          <w:sz w:val="27"/>
          <w:szCs w:val="27"/>
        </w:rPr>
      </w:pPr>
      <w:r>
        <w:rPr>
          <w:rFonts w:ascii="黑体" w:hAnsi="黑体" w:eastAsia="黑体" w:cs="黑体"/>
          <w:spacing w:val="2"/>
          <w:sz w:val="27"/>
          <w:szCs w:val="27"/>
        </w:rPr>
        <w:t xml:space="preserve">3.1  </w:t>
      </w:r>
      <w:r>
        <w:rPr>
          <w:rFonts w:ascii="黑体" w:hAnsi="黑体" w:eastAsia="黑体" w:cs="黑体"/>
          <w:b/>
          <w:bCs/>
          <w:spacing w:val="2"/>
          <w:sz w:val="27"/>
          <w:szCs w:val="27"/>
        </w:rPr>
        <w:t>设计定型时提出的技术问题及解决</w:t>
      </w:r>
      <w:r>
        <w:rPr>
          <w:rFonts w:ascii="黑体" w:hAnsi="黑体" w:eastAsia="黑体" w:cs="黑体"/>
          <w:b/>
          <w:bCs/>
          <w:spacing w:val="1"/>
          <w:sz w:val="27"/>
          <w:szCs w:val="27"/>
        </w:rPr>
        <w:t>情况</w:t>
      </w:r>
    </w:p>
    <w:p w14:paraId="46659EC3">
      <w:pPr>
        <w:spacing w:before="80" w:line="282" w:lineRule="auto"/>
        <w:ind w:right="123" w:firstLine="570"/>
        <w:rPr>
          <w:rFonts w:ascii="宋体" w:hAnsi="宋体" w:eastAsia="宋体" w:cs="宋体"/>
          <w:sz w:val="27"/>
          <w:szCs w:val="27"/>
        </w:rPr>
      </w:pPr>
      <w:r>
        <w:rPr>
          <w:rFonts w:ascii="宋体" w:hAnsi="宋体" w:eastAsia="宋体" w:cs="宋体"/>
          <w:spacing w:val="6"/>
          <w:sz w:val="27"/>
          <w:szCs w:val="27"/>
        </w:rPr>
        <w:t>说明设计定型时提出的技术问题及解决情况，</w:t>
      </w:r>
      <w:r>
        <w:rPr>
          <w:rFonts w:ascii="宋体" w:hAnsi="宋体" w:eastAsia="宋体" w:cs="宋体"/>
          <w:spacing w:val="5"/>
          <w:sz w:val="27"/>
          <w:szCs w:val="27"/>
        </w:rPr>
        <w:t>包括技术问题描述、原因分</w:t>
      </w:r>
      <w:r>
        <w:rPr>
          <w:rFonts w:ascii="宋体" w:hAnsi="宋体" w:eastAsia="宋体" w:cs="宋体"/>
          <w:sz w:val="27"/>
          <w:szCs w:val="27"/>
        </w:rPr>
        <w:t xml:space="preserve"> </w:t>
      </w:r>
      <w:r>
        <w:rPr>
          <w:rFonts w:ascii="宋体" w:hAnsi="宋体" w:eastAsia="宋体" w:cs="宋体"/>
          <w:spacing w:val="-7"/>
          <w:sz w:val="27"/>
          <w:szCs w:val="27"/>
        </w:rPr>
        <w:t>析、解决措施和验证归零情况。</w:t>
      </w:r>
    </w:p>
    <w:p w14:paraId="3731896F">
      <w:pPr>
        <w:spacing w:before="1" w:line="220" w:lineRule="auto"/>
        <w:rPr>
          <w:rFonts w:ascii="黑体" w:hAnsi="黑体" w:eastAsia="黑体" w:cs="黑体"/>
          <w:sz w:val="27"/>
          <w:szCs w:val="27"/>
        </w:rPr>
      </w:pPr>
      <w:r>
        <w:rPr>
          <w:rFonts w:ascii="黑体" w:hAnsi="黑体" w:eastAsia="黑体" w:cs="黑体"/>
          <w:spacing w:val="1"/>
          <w:sz w:val="27"/>
          <w:szCs w:val="27"/>
        </w:rPr>
        <w:t xml:space="preserve">3.2  </w:t>
      </w:r>
      <w:r>
        <w:rPr>
          <w:rFonts w:ascii="黑体" w:hAnsi="黑体" w:eastAsia="黑体" w:cs="黑体"/>
          <w:b/>
          <w:bCs/>
          <w:spacing w:val="1"/>
          <w:sz w:val="27"/>
          <w:szCs w:val="27"/>
        </w:rPr>
        <w:t>试生产过程中出现的技术问题及解决情况</w:t>
      </w:r>
    </w:p>
    <w:p w14:paraId="51A098F7">
      <w:pPr>
        <w:spacing w:before="102" w:line="262" w:lineRule="auto"/>
        <w:ind w:right="123" w:firstLine="570"/>
        <w:rPr>
          <w:rFonts w:ascii="宋体" w:hAnsi="宋体" w:eastAsia="宋体" w:cs="宋体"/>
          <w:sz w:val="27"/>
          <w:szCs w:val="27"/>
        </w:rPr>
      </w:pPr>
      <w:r>
        <w:rPr>
          <w:rFonts w:ascii="宋体" w:hAnsi="宋体" w:eastAsia="宋体" w:cs="宋体"/>
          <w:spacing w:val="-3"/>
          <w:sz w:val="27"/>
          <w:szCs w:val="27"/>
        </w:rPr>
        <w:t>说明试生产过程中出现的技术问题及解决情况，包括技术问题描述、原因分</w:t>
      </w:r>
      <w:r>
        <w:rPr>
          <w:rFonts w:ascii="宋体" w:hAnsi="宋体" w:eastAsia="宋体" w:cs="宋体"/>
          <w:spacing w:val="9"/>
          <w:sz w:val="27"/>
          <w:szCs w:val="27"/>
        </w:rPr>
        <w:t xml:space="preserve"> </w:t>
      </w:r>
      <w:r>
        <w:rPr>
          <w:rFonts w:ascii="宋体" w:hAnsi="宋体" w:eastAsia="宋体" w:cs="宋体"/>
          <w:spacing w:val="-7"/>
          <w:sz w:val="27"/>
          <w:szCs w:val="27"/>
        </w:rPr>
        <w:t>析、解决措施和验证归零情况。</w:t>
      </w:r>
    </w:p>
    <w:p w14:paraId="03C0BFE9">
      <w:pPr>
        <w:spacing w:before="19" w:line="222" w:lineRule="auto"/>
        <w:rPr>
          <w:rFonts w:ascii="黑体" w:hAnsi="黑体" w:eastAsia="黑体" w:cs="黑体"/>
          <w:sz w:val="27"/>
          <w:szCs w:val="27"/>
        </w:rPr>
      </w:pPr>
      <w:r>
        <w:rPr>
          <w:rFonts w:ascii="黑体" w:hAnsi="黑体" w:eastAsia="黑体" w:cs="黑体"/>
          <w:spacing w:val="4"/>
          <w:sz w:val="27"/>
          <w:szCs w:val="27"/>
        </w:rPr>
        <w:t xml:space="preserve">4  </w:t>
      </w:r>
      <w:r>
        <w:rPr>
          <w:rFonts w:ascii="黑体" w:hAnsi="黑体" w:eastAsia="黑体" w:cs="黑体"/>
          <w:b/>
          <w:bCs/>
          <w:spacing w:val="4"/>
          <w:sz w:val="27"/>
          <w:szCs w:val="27"/>
        </w:rPr>
        <w:t>设计定型文件更改和增补情况</w:t>
      </w:r>
    </w:p>
    <w:p w14:paraId="6FC48AEE">
      <w:pPr>
        <w:spacing w:before="125" w:line="222" w:lineRule="auto"/>
        <w:rPr>
          <w:rFonts w:ascii="黑体" w:hAnsi="黑体" w:eastAsia="黑体" w:cs="黑体"/>
          <w:sz w:val="24"/>
          <w:szCs w:val="24"/>
        </w:rPr>
      </w:pPr>
      <w:r>
        <w:rPr>
          <w:rFonts w:ascii="黑体" w:hAnsi="黑体" w:eastAsia="黑体" w:cs="黑体"/>
          <w:spacing w:val="25"/>
          <w:sz w:val="24"/>
          <w:szCs w:val="24"/>
        </w:rPr>
        <w:t>4.1</w:t>
      </w:r>
      <w:r>
        <w:rPr>
          <w:rFonts w:ascii="黑体" w:hAnsi="黑体" w:eastAsia="黑体" w:cs="黑体"/>
          <w:spacing w:val="37"/>
          <w:sz w:val="24"/>
          <w:szCs w:val="24"/>
        </w:rPr>
        <w:t xml:space="preserve">  </w:t>
      </w:r>
      <w:r>
        <w:rPr>
          <w:rFonts w:ascii="黑体" w:hAnsi="黑体" w:eastAsia="黑体" w:cs="黑体"/>
          <w:b/>
          <w:bCs/>
          <w:spacing w:val="25"/>
          <w:sz w:val="24"/>
          <w:szCs w:val="24"/>
        </w:rPr>
        <w:t>设计定型文件更改情况</w:t>
      </w:r>
    </w:p>
    <w:p w14:paraId="6C5B8E60">
      <w:pPr>
        <w:spacing w:before="96" w:line="269" w:lineRule="auto"/>
        <w:ind w:firstLine="570"/>
        <w:rPr>
          <w:rFonts w:ascii="宋体" w:hAnsi="宋体" w:eastAsia="宋体" w:cs="宋体"/>
          <w:sz w:val="27"/>
          <w:szCs w:val="27"/>
        </w:rPr>
      </w:pPr>
      <w:r>
        <w:rPr>
          <w:rFonts w:ascii="宋体" w:hAnsi="宋体" w:eastAsia="宋体" w:cs="宋体"/>
          <w:spacing w:val="1"/>
          <w:sz w:val="27"/>
          <w:szCs w:val="27"/>
        </w:rPr>
        <w:t>说明根据需要对设计定型文件进行更改的情况，包括更改原因、更改内容、</w:t>
      </w:r>
      <w:r>
        <w:rPr>
          <w:rFonts w:ascii="宋体" w:hAnsi="宋体" w:eastAsia="宋体" w:cs="宋体"/>
          <w:sz w:val="27"/>
          <w:szCs w:val="27"/>
        </w:rPr>
        <w:t xml:space="preserve"> 涉及范围及其效果等。</w:t>
      </w:r>
    </w:p>
    <w:p w14:paraId="5F07BC51">
      <w:pPr>
        <w:spacing w:before="9" w:line="222" w:lineRule="auto"/>
        <w:rPr>
          <w:rFonts w:ascii="黑体" w:hAnsi="黑体" w:eastAsia="黑体" w:cs="黑体"/>
          <w:sz w:val="27"/>
          <w:szCs w:val="27"/>
        </w:rPr>
      </w:pPr>
      <w:r>
        <w:rPr>
          <w:rFonts w:ascii="黑体" w:hAnsi="黑体" w:eastAsia="黑体" w:cs="黑体"/>
          <w:sz w:val="27"/>
          <w:szCs w:val="27"/>
        </w:rPr>
        <w:t xml:space="preserve">4.2  </w:t>
      </w:r>
      <w:r>
        <w:rPr>
          <w:rFonts w:ascii="黑体" w:hAnsi="黑体" w:eastAsia="黑体" w:cs="黑体"/>
          <w:b/>
          <w:bCs/>
          <w:sz w:val="27"/>
          <w:szCs w:val="27"/>
        </w:rPr>
        <w:t>设计定型文件增补情况</w:t>
      </w:r>
    </w:p>
    <w:p w14:paraId="4151CFDE">
      <w:pPr>
        <w:spacing w:before="82" w:line="278" w:lineRule="auto"/>
        <w:ind w:firstLine="570"/>
        <w:rPr>
          <w:rFonts w:ascii="宋体" w:hAnsi="宋体" w:eastAsia="宋体" w:cs="宋体"/>
          <w:sz w:val="27"/>
          <w:szCs w:val="27"/>
        </w:rPr>
      </w:pPr>
      <w:r>
        <w:rPr>
          <w:rFonts w:ascii="宋体" w:hAnsi="宋体" w:eastAsia="宋体" w:cs="宋体"/>
          <w:spacing w:val="1"/>
          <w:sz w:val="27"/>
          <w:szCs w:val="27"/>
        </w:rPr>
        <w:t>说明根据需要对设计定型文件进行增补的情况，包括增补原因、增补内容、</w:t>
      </w:r>
      <w:r>
        <w:rPr>
          <w:rFonts w:ascii="宋体" w:hAnsi="宋体" w:eastAsia="宋体" w:cs="宋体"/>
          <w:sz w:val="27"/>
          <w:szCs w:val="27"/>
        </w:rPr>
        <w:t xml:space="preserve"> 涉及范围及其效果等。</w:t>
      </w:r>
    </w:p>
    <w:p w14:paraId="74D5D7E5">
      <w:pPr>
        <w:spacing w:before="1" w:line="220"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试生产产品质量情况</w:t>
      </w:r>
    </w:p>
    <w:p w14:paraId="7B411EFE">
      <w:pPr>
        <w:spacing w:before="103" w:line="272" w:lineRule="auto"/>
        <w:ind w:right="123" w:firstLine="570"/>
        <w:rPr>
          <w:rFonts w:ascii="宋体" w:hAnsi="宋体" w:eastAsia="宋体" w:cs="宋体"/>
          <w:sz w:val="27"/>
          <w:szCs w:val="27"/>
        </w:rPr>
      </w:pPr>
      <w:r>
        <w:rPr>
          <w:rFonts w:ascii="宋体" w:hAnsi="宋体" w:eastAsia="宋体" w:cs="宋体"/>
          <w:spacing w:val="-3"/>
          <w:sz w:val="27"/>
          <w:szCs w:val="27"/>
        </w:rPr>
        <w:t>说明试生产产品的质量情况，包括产品试生产总量、产品合格率、一次交验</w:t>
      </w:r>
      <w:r>
        <w:rPr>
          <w:rFonts w:ascii="宋体" w:hAnsi="宋体" w:eastAsia="宋体" w:cs="宋体"/>
          <w:spacing w:val="9"/>
          <w:sz w:val="27"/>
          <w:szCs w:val="27"/>
        </w:rPr>
        <w:t xml:space="preserve"> </w:t>
      </w:r>
      <w:r>
        <w:rPr>
          <w:rFonts w:ascii="宋体" w:hAnsi="宋体" w:eastAsia="宋体" w:cs="宋体"/>
          <w:spacing w:val="-4"/>
          <w:sz w:val="27"/>
          <w:szCs w:val="27"/>
        </w:rPr>
        <w:t>合格率等内容，以及不合格品的处置情况。</w:t>
      </w:r>
    </w:p>
    <w:p w14:paraId="5FB08FB0">
      <w:pPr>
        <w:pStyle w:val="2"/>
        <w:spacing w:before="1" w:line="222" w:lineRule="auto"/>
        <w:rPr>
          <w:rFonts w:ascii="黑体" w:hAnsi="黑体" w:eastAsia="黑体" w:cs="黑体"/>
          <w:sz w:val="27"/>
          <w:szCs w:val="27"/>
        </w:rPr>
      </w:pPr>
      <w:r>
        <w:rPr>
          <w:b/>
          <w:bCs/>
          <w:sz w:val="27"/>
          <w:szCs w:val="27"/>
        </w:rPr>
        <w:t>6</w:t>
      </w:r>
      <w:r>
        <w:rPr>
          <w:b/>
          <w:bCs/>
          <w:spacing w:val="21"/>
          <w:w w:val="101"/>
          <w:sz w:val="27"/>
          <w:szCs w:val="27"/>
        </w:rPr>
        <w:t xml:space="preserve">   </w:t>
      </w:r>
      <w:r>
        <w:rPr>
          <w:rFonts w:ascii="黑体" w:hAnsi="黑体" w:eastAsia="黑体" w:cs="黑体"/>
          <w:b/>
          <w:bCs/>
          <w:sz w:val="27"/>
          <w:szCs w:val="27"/>
        </w:rPr>
        <w:t>批量生产条件</w:t>
      </w:r>
    </w:p>
    <w:p w14:paraId="7C63D240">
      <w:pPr>
        <w:spacing w:before="117" w:line="219" w:lineRule="auto"/>
        <w:ind w:left="570"/>
        <w:rPr>
          <w:rFonts w:ascii="宋体" w:hAnsi="宋体" w:eastAsia="宋体" w:cs="宋体"/>
          <w:sz w:val="27"/>
          <w:szCs w:val="27"/>
        </w:rPr>
      </w:pPr>
      <w:r>
        <w:rPr>
          <w:rFonts w:ascii="宋体" w:hAnsi="宋体" w:eastAsia="宋体" w:cs="宋体"/>
          <w:spacing w:val="-14"/>
          <w:sz w:val="27"/>
          <w:szCs w:val="27"/>
        </w:rPr>
        <w:t>从人员、设备、材料、方法、环境和测量等方面说明批量生产条件。</w:t>
      </w:r>
    </w:p>
    <w:p w14:paraId="5B5B5A54">
      <w:pPr>
        <w:pStyle w:val="2"/>
        <w:spacing w:before="55" w:line="221" w:lineRule="auto"/>
        <w:rPr>
          <w:rFonts w:ascii="黑体" w:hAnsi="黑体" w:eastAsia="黑体" w:cs="黑体"/>
          <w:sz w:val="27"/>
          <w:szCs w:val="27"/>
        </w:rPr>
      </w:pPr>
      <w:r>
        <w:rPr>
          <w:b/>
          <w:bCs/>
          <w:sz w:val="27"/>
          <w:szCs w:val="27"/>
        </w:rPr>
        <w:t>7</w:t>
      </w:r>
      <w:r>
        <w:rPr>
          <w:b/>
          <w:bCs/>
          <w:spacing w:val="20"/>
          <w:sz w:val="27"/>
          <w:szCs w:val="27"/>
        </w:rPr>
        <w:t xml:space="preserve">   </w:t>
      </w:r>
      <w:r>
        <w:rPr>
          <w:rFonts w:ascii="黑体" w:hAnsi="黑体" w:eastAsia="黑体" w:cs="黑体"/>
          <w:b/>
          <w:bCs/>
          <w:sz w:val="27"/>
          <w:szCs w:val="27"/>
        </w:rPr>
        <w:t>对产品生产定型的意见</w:t>
      </w:r>
    </w:p>
    <w:p w14:paraId="483A5F93">
      <w:pPr>
        <w:spacing w:before="113" w:line="219" w:lineRule="auto"/>
        <w:ind w:right="39"/>
        <w:jc w:val="right"/>
        <w:rPr>
          <w:rFonts w:ascii="宋体" w:hAnsi="宋体" w:eastAsia="宋体" w:cs="宋体"/>
          <w:sz w:val="27"/>
          <w:szCs w:val="27"/>
        </w:rPr>
      </w:pPr>
      <w:r>
        <w:rPr>
          <w:rFonts w:ascii="宋体" w:hAnsi="宋体" w:eastAsia="宋体" w:cs="宋体"/>
          <w:sz w:val="27"/>
          <w:szCs w:val="27"/>
        </w:rPr>
        <w:t>根据产品是否符合下列生产定型标准和要求，提出对产品生产</w:t>
      </w:r>
      <w:r>
        <w:rPr>
          <w:rFonts w:ascii="宋体" w:hAnsi="宋体" w:eastAsia="宋体" w:cs="宋体"/>
          <w:spacing w:val="-1"/>
          <w:sz w:val="27"/>
          <w:szCs w:val="27"/>
        </w:rPr>
        <w:t>定型的意见：</w:t>
      </w:r>
    </w:p>
    <w:p w14:paraId="0E38E716">
      <w:pPr>
        <w:spacing w:before="52" w:line="271" w:lineRule="auto"/>
        <w:ind w:right="124" w:firstLine="570"/>
        <w:rPr>
          <w:rFonts w:ascii="宋体" w:hAnsi="宋体" w:eastAsia="宋体" w:cs="宋体"/>
          <w:sz w:val="25"/>
          <w:szCs w:val="25"/>
        </w:rPr>
      </w:pPr>
      <w:r>
        <w:rPr>
          <w:rFonts w:ascii="Times New Roman" w:hAnsi="Times New Roman" w:eastAsia="Times New Roman" w:cs="Times New Roman"/>
          <w:spacing w:val="7"/>
          <w:sz w:val="25"/>
          <w:szCs w:val="25"/>
        </w:rPr>
        <w:t xml:space="preserve">a)  </w:t>
      </w:r>
      <w:r>
        <w:rPr>
          <w:rFonts w:ascii="宋体" w:hAnsi="宋体" w:eastAsia="宋体" w:cs="宋体"/>
          <w:spacing w:val="7"/>
          <w:sz w:val="25"/>
          <w:szCs w:val="25"/>
        </w:rPr>
        <w:t>具备成套批量生产条件，工艺、工装、设备、检测工具</w:t>
      </w:r>
      <w:r>
        <w:rPr>
          <w:rFonts w:ascii="宋体" w:hAnsi="宋体" w:eastAsia="宋体" w:cs="宋体"/>
          <w:spacing w:val="6"/>
          <w:sz w:val="25"/>
          <w:szCs w:val="25"/>
        </w:rPr>
        <w:t>和仪器等齐全，符合</w:t>
      </w:r>
      <w:r>
        <w:rPr>
          <w:rFonts w:ascii="宋体" w:hAnsi="宋体" w:eastAsia="宋体" w:cs="宋体"/>
          <w:sz w:val="25"/>
          <w:szCs w:val="25"/>
        </w:rPr>
        <w:t xml:space="preserve"> </w:t>
      </w:r>
      <w:r>
        <w:rPr>
          <w:rFonts w:ascii="宋体" w:hAnsi="宋体" w:eastAsia="宋体" w:cs="宋体"/>
          <w:spacing w:val="13"/>
          <w:sz w:val="25"/>
          <w:szCs w:val="25"/>
        </w:rPr>
        <w:t>批量生产的要求，产品质量稳定；</w:t>
      </w:r>
    </w:p>
    <w:p w14:paraId="18957C5B">
      <w:pPr>
        <w:spacing w:before="104" w:line="212" w:lineRule="auto"/>
        <w:ind w:left="570"/>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经工艺和生产条件考核、部队试用、生产定型试验，未发现重大质量问</w:t>
      </w:r>
    </w:p>
    <w:p w14:paraId="0012A1B5">
      <w:pPr>
        <w:spacing w:line="212" w:lineRule="auto"/>
        <w:rPr>
          <w:rFonts w:ascii="宋体" w:hAnsi="宋体" w:eastAsia="宋体" w:cs="宋体"/>
          <w:sz w:val="27"/>
          <w:szCs w:val="27"/>
        </w:rPr>
        <w:sectPr>
          <w:footerReference r:id="rId180" w:type="default"/>
          <w:pgSz w:w="11910" w:h="17130"/>
          <w:pgMar w:top="400" w:right="1345" w:bottom="1750" w:left="1049" w:header="0" w:footer="1542" w:gutter="0"/>
          <w:cols w:space="720" w:num="1"/>
        </w:sectPr>
      </w:pPr>
    </w:p>
    <w:p w14:paraId="757C9AA2">
      <w:pPr>
        <w:pStyle w:val="2"/>
        <w:spacing w:line="251" w:lineRule="auto"/>
      </w:pPr>
    </w:p>
    <w:p w14:paraId="40A6FF00">
      <w:pPr>
        <w:pStyle w:val="2"/>
        <w:spacing w:line="251" w:lineRule="auto"/>
      </w:pPr>
    </w:p>
    <w:p w14:paraId="43F9BB22">
      <w:pPr>
        <w:pStyle w:val="2"/>
        <w:spacing w:line="252" w:lineRule="auto"/>
      </w:pPr>
    </w:p>
    <w:p w14:paraId="23304ACB">
      <w:pPr>
        <w:pStyle w:val="2"/>
        <w:spacing w:line="252" w:lineRule="auto"/>
      </w:pPr>
    </w:p>
    <w:p w14:paraId="334C35B7">
      <w:pPr>
        <w:spacing w:before="88" w:line="270" w:lineRule="auto"/>
        <w:ind w:right="122"/>
        <w:rPr>
          <w:rFonts w:ascii="宋体" w:hAnsi="宋体" w:eastAsia="宋体" w:cs="宋体"/>
          <w:sz w:val="27"/>
          <w:szCs w:val="27"/>
        </w:rPr>
      </w:pPr>
      <w:r>
        <w:rPr>
          <w:rFonts w:ascii="宋体" w:hAnsi="宋体" w:eastAsia="宋体" w:cs="宋体"/>
          <w:spacing w:val="-3"/>
          <w:sz w:val="27"/>
          <w:szCs w:val="27"/>
        </w:rPr>
        <w:t>题，出现的质量问题已得到解决，相关技术资料已修改完善，产品性能</w:t>
      </w:r>
      <w:r>
        <w:rPr>
          <w:rFonts w:ascii="宋体" w:hAnsi="宋体" w:eastAsia="宋体" w:cs="宋体"/>
          <w:spacing w:val="-4"/>
          <w:sz w:val="27"/>
          <w:szCs w:val="27"/>
        </w:rPr>
        <w:t>符合批准</w:t>
      </w:r>
      <w:r>
        <w:rPr>
          <w:rFonts w:ascii="宋体" w:hAnsi="宋体" w:eastAsia="宋体" w:cs="宋体"/>
          <w:sz w:val="27"/>
          <w:szCs w:val="27"/>
        </w:rPr>
        <w:t xml:space="preserve"> </w:t>
      </w:r>
      <w:r>
        <w:rPr>
          <w:rFonts w:ascii="宋体" w:hAnsi="宋体" w:eastAsia="宋体" w:cs="宋体"/>
          <w:spacing w:val="3"/>
          <w:sz w:val="27"/>
          <w:szCs w:val="27"/>
        </w:rPr>
        <w:t>设计定型时的要求和部队作战使用要求；</w:t>
      </w:r>
    </w:p>
    <w:p w14:paraId="6B8BF76B">
      <w:pPr>
        <w:spacing w:line="212" w:lineRule="auto"/>
        <w:ind w:left="560"/>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64"/>
          <w:sz w:val="27"/>
          <w:szCs w:val="27"/>
        </w:rPr>
        <w:t xml:space="preserve"> </w:t>
      </w:r>
      <w:r>
        <w:rPr>
          <w:rFonts w:ascii="宋体" w:hAnsi="宋体" w:eastAsia="宋体" w:cs="宋体"/>
          <w:spacing w:val="-1"/>
          <w:sz w:val="27"/>
          <w:szCs w:val="27"/>
        </w:rPr>
        <w:t>生产和验收的技术文件和图样齐全，符合生产定型要求；</w:t>
      </w:r>
    </w:p>
    <w:p w14:paraId="406B57A4">
      <w:pPr>
        <w:spacing w:before="99" w:line="257" w:lineRule="auto"/>
        <w:ind w:right="84" w:firstLine="560"/>
        <w:rPr>
          <w:rFonts w:ascii="宋体" w:hAnsi="宋体" w:eastAsia="宋体" w:cs="宋体"/>
          <w:sz w:val="27"/>
          <w:szCs w:val="27"/>
        </w:rPr>
      </w:pPr>
      <w:r>
        <w:rPr>
          <w:rFonts w:ascii="Times New Roman" w:hAnsi="Times New Roman" w:eastAsia="Times New Roman" w:cs="Times New Roman"/>
          <w:spacing w:val="-5"/>
          <w:sz w:val="27"/>
          <w:szCs w:val="27"/>
        </w:rPr>
        <w:t xml:space="preserve">d)  </w:t>
      </w:r>
      <w:r>
        <w:rPr>
          <w:rFonts w:ascii="宋体" w:hAnsi="宋体" w:eastAsia="宋体" w:cs="宋体"/>
          <w:spacing w:val="-5"/>
          <w:sz w:val="27"/>
          <w:szCs w:val="27"/>
        </w:rPr>
        <w:t>配套设备和零部件、元器件、原材料、软件等质量可靠，并有稳定的供货</w:t>
      </w:r>
      <w:r>
        <w:rPr>
          <w:rFonts w:ascii="宋体" w:hAnsi="宋体" w:eastAsia="宋体" w:cs="宋体"/>
          <w:sz w:val="27"/>
          <w:szCs w:val="27"/>
        </w:rPr>
        <w:t xml:space="preserve"> </w:t>
      </w:r>
      <w:r>
        <w:rPr>
          <w:rFonts w:ascii="宋体" w:hAnsi="宋体" w:eastAsia="宋体" w:cs="宋体"/>
          <w:spacing w:val="-6"/>
          <w:sz w:val="27"/>
          <w:szCs w:val="27"/>
        </w:rPr>
        <w:t>来源；</w:t>
      </w:r>
    </w:p>
    <w:p w14:paraId="6804643D">
      <w:pPr>
        <w:spacing w:before="49"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承研承制单位具备有效的质量管理体系和国家认可的装备生产资格。</w:t>
      </w:r>
    </w:p>
    <w:p w14:paraId="3C6631D0">
      <w:pPr>
        <w:pStyle w:val="2"/>
        <w:spacing w:line="379" w:lineRule="auto"/>
      </w:pPr>
    </w:p>
    <w:p w14:paraId="29ABA49A">
      <w:pPr>
        <w:spacing w:before="117" w:line="219" w:lineRule="auto"/>
        <w:ind w:left="2319"/>
        <w:outlineLvl w:val="1"/>
        <w:rPr>
          <w:rFonts w:ascii="宋体" w:hAnsi="宋体" w:eastAsia="宋体" w:cs="宋体"/>
          <w:sz w:val="36"/>
          <w:szCs w:val="36"/>
        </w:rPr>
      </w:pPr>
      <w:bookmarkStart w:id="126" w:name="bookmark65"/>
      <w:bookmarkEnd w:id="126"/>
      <w:bookmarkStart w:id="127" w:name="bookmark369"/>
      <w:bookmarkEnd w:id="127"/>
      <w:r>
        <w:rPr>
          <w:rFonts w:ascii="Times New Roman" w:hAnsi="Times New Roman" w:eastAsia="Times New Roman" w:cs="Times New Roman"/>
          <w:b/>
          <w:bCs/>
          <w:spacing w:val="2"/>
          <w:sz w:val="36"/>
          <w:szCs w:val="36"/>
        </w:rPr>
        <w:t xml:space="preserve">1.63     </w:t>
      </w:r>
      <w:r>
        <w:rPr>
          <w:rFonts w:ascii="宋体" w:hAnsi="宋体" w:eastAsia="宋体" w:cs="宋体"/>
          <w:b/>
          <w:bCs/>
          <w:spacing w:val="2"/>
          <w:sz w:val="36"/>
          <w:szCs w:val="36"/>
        </w:rPr>
        <w:t>生产定型录像片解说词</w:t>
      </w:r>
    </w:p>
    <w:p w14:paraId="224C76F0">
      <w:pPr>
        <w:pStyle w:val="2"/>
        <w:spacing w:line="373" w:lineRule="auto"/>
      </w:pPr>
    </w:p>
    <w:p w14:paraId="0F9D30EF">
      <w:pPr>
        <w:spacing w:before="78" w:line="223" w:lineRule="auto"/>
        <w:ind w:left="563"/>
        <w:rPr>
          <w:rFonts w:ascii="楷体" w:hAnsi="楷体" w:eastAsia="楷体" w:cs="楷体"/>
          <w:sz w:val="24"/>
          <w:szCs w:val="24"/>
        </w:rPr>
      </w:pPr>
      <w:r>
        <w:rPr>
          <w:rFonts w:ascii="楷体" w:hAnsi="楷体" w:eastAsia="楷体" w:cs="楷体"/>
          <w:b/>
          <w:bCs/>
          <w:spacing w:val="14"/>
          <w:sz w:val="24"/>
          <w:szCs w:val="24"/>
        </w:rPr>
        <w:t>按照《产品定型录像片制作要求》编写。</w:t>
      </w:r>
    </w:p>
    <w:p w14:paraId="03E82308">
      <w:pPr>
        <w:spacing w:before="123" w:line="221" w:lineRule="auto"/>
        <w:rPr>
          <w:rFonts w:ascii="黑体" w:hAnsi="黑体" w:eastAsia="黑体" w:cs="黑体"/>
          <w:sz w:val="24"/>
          <w:szCs w:val="24"/>
        </w:rPr>
      </w:pPr>
      <w:r>
        <w:rPr>
          <w:rFonts w:ascii="黑体" w:hAnsi="黑体" w:eastAsia="黑体" w:cs="黑体"/>
          <w:spacing w:val="26"/>
          <w:sz w:val="24"/>
          <w:szCs w:val="24"/>
        </w:rPr>
        <w:t>1</w:t>
      </w:r>
      <w:r>
        <w:rPr>
          <w:rFonts w:ascii="黑体" w:hAnsi="黑体" w:eastAsia="黑体" w:cs="黑体"/>
          <w:spacing w:val="48"/>
          <w:sz w:val="24"/>
          <w:szCs w:val="24"/>
        </w:rPr>
        <w:t xml:space="preserve">  </w:t>
      </w:r>
      <w:r>
        <w:rPr>
          <w:rFonts w:ascii="黑体" w:hAnsi="黑体" w:eastAsia="黑体" w:cs="黑体"/>
          <w:b/>
          <w:bCs/>
          <w:spacing w:val="26"/>
          <w:sz w:val="24"/>
          <w:szCs w:val="24"/>
        </w:rPr>
        <w:t>任务来源及主要作战使命</w:t>
      </w:r>
    </w:p>
    <w:p w14:paraId="4CBEE3B5">
      <w:pPr>
        <w:spacing w:before="80" w:line="219" w:lineRule="auto"/>
        <w:ind w:left="560"/>
        <w:rPr>
          <w:rFonts w:ascii="宋体" w:hAnsi="宋体" w:eastAsia="宋体" w:cs="宋体"/>
          <w:sz w:val="27"/>
          <w:szCs w:val="27"/>
        </w:rPr>
      </w:pPr>
      <w:r>
        <w:rPr>
          <w:rFonts w:ascii="宋体" w:hAnsi="宋体" w:eastAsia="宋体" w:cs="宋体"/>
          <w:spacing w:val="-6"/>
          <w:sz w:val="27"/>
          <w:szCs w:val="27"/>
        </w:rPr>
        <w:t>第一段主要说明任务来源，表述为：</w:t>
      </w:r>
    </w:p>
    <w:p w14:paraId="711AC56C">
      <w:pPr>
        <w:spacing w:before="134" w:line="302" w:lineRule="auto"/>
        <w:ind w:right="118" w:firstLine="560"/>
        <w:rPr>
          <w:rFonts w:ascii="仿宋" w:hAnsi="仿宋" w:eastAsia="仿宋" w:cs="仿宋"/>
          <w:sz w:val="24"/>
          <w:szCs w:val="24"/>
        </w:rPr>
      </w:pPr>
      <w:r>
        <w:rPr>
          <w:rFonts w:ascii="仿宋" w:hAnsi="仿宋" w:eastAsia="仿宋" w:cs="仿宋"/>
          <w:spacing w:val="34"/>
          <w:sz w:val="24"/>
          <w:szCs w:val="24"/>
        </w:rPr>
        <w:t>某年某月总装备部批准某装备立项研制，某年某月总装备部批准某装备研</w:t>
      </w:r>
      <w:r>
        <w:rPr>
          <w:rFonts w:ascii="仿宋" w:hAnsi="仿宋" w:eastAsia="仿宋" w:cs="仿宋"/>
          <w:spacing w:val="17"/>
          <w:sz w:val="24"/>
          <w:szCs w:val="24"/>
        </w:rPr>
        <w:t xml:space="preserve"> </w:t>
      </w:r>
      <w:r>
        <w:rPr>
          <w:rFonts w:ascii="仿宋" w:hAnsi="仿宋" w:eastAsia="仿宋" w:cs="仿宋"/>
          <w:spacing w:val="31"/>
          <w:sz w:val="24"/>
          <w:szCs w:val="24"/>
        </w:rPr>
        <w:t>制总要求。某单位为武器系统总设计师单位。</w:t>
      </w:r>
    </w:p>
    <w:p w14:paraId="74FFD986">
      <w:pPr>
        <w:spacing w:before="1" w:line="282" w:lineRule="auto"/>
        <w:ind w:right="94" w:firstLine="560"/>
        <w:rPr>
          <w:rFonts w:ascii="宋体" w:hAnsi="宋体" w:eastAsia="宋体" w:cs="宋体"/>
          <w:sz w:val="27"/>
          <w:szCs w:val="27"/>
        </w:rPr>
      </w:pPr>
      <w:r>
        <w:rPr>
          <w:rFonts w:ascii="宋体" w:hAnsi="宋体" w:eastAsia="宋体" w:cs="宋体"/>
          <w:spacing w:val="5"/>
          <w:sz w:val="27"/>
          <w:szCs w:val="27"/>
        </w:rPr>
        <w:t>1998年总装备部成立之前，武器装备研制程序与现在不同，应根据实际批</w:t>
      </w:r>
      <w:r>
        <w:rPr>
          <w:rFonts w:ascii="宋体" w:hAnsi="宋体" w:eastAsia="宋体" w:cs="宋体"/>
          <w:sz w:val="27"/>
          <w:szCs w:val="27"/>
        </w:rPr>
        <w:t xml:space="preserve"> </w:t>
      </w:r>
      <w:r>
        <w:rPr>
          <w:rFonts w:ascii="宋体" w:hAnsi="宋体" w:eastAsia="宋体" w:cs="宋体"/>
          <w:spacing w:val="2"/>
          <w:sz w:val="27"/>
          <w:szCs w:val="27"/>
        </w:rPr>
        <w:t>准程序编写解说词。表述为：</w:t>
      </w:r>
    </w:p>
    <w:p w14:paraId="1CD73356">
      <w:pPr>
        <w:spacing w:before="40" w:line="304" w:lineRule="auto"/>
        <w:ind w:right="114" w:firstLine="560"/>
        <w:jc w:val="both"/>
        <w:rPr>
          <w:rFonts w:ascii="仿宋" w:hAnsi="仿宋" w:eastAsia="仿宋" w:cs="仿宋"/>
          <w:sz w:val="24"/>
          <w:szCs w:val="24"/>
        </w:rPr>
      </w:pPr>
      <w:r>
        <w:rPr>
          <w:rFonts w:ascii="仿宋" w:hAnsi="仿宋" w:eastAsia="仿宋" w:cs="仿宋"/>
          <w:spacing w:val="35"/>
          <w:sz w:val="24"/>
          <w:szCs w:val="24"/>
        </w:rPr>
        <w:t>某年某月总参谋部批准某装备主要作战使用性能</w:t>
      </w:r>
      <w:r>
        <w:rPr>
          <w:rFonts w:ascii="仿宋" w:hAnsi="仿宋" w:eastAsia="仿宋" w:cs="仿宋"/>
          <w:spacing w:val="34"/>
          <w:sz w:val="24"/>
          <w:szCs w:val="24"/>
        </w:rPr>
        <w:t>，某年某月原国防科工委</w:t>
      </w:r>
      <w:r>
        <w:rPr>
          <w:rFonts w:ascii="仿宋" w:hAnsi="仿宋" w:eastAsia="仿宋" w:cs="仿宋"/>
          <w:sz w:val="24"/>
          <w:szCs w:val="24"/>
        </w:rPr>
        <w:t xml:space="preserve"> </w:t>
      </w:r>
      <w:r>
        <w:rPr>
          <w:rFonts w:ascii="仿宋" w:hAnsi="仿宋" w:eastAsia="仿宋" w:cs="仿宋"/>
          <w:spacing w:val="35"/>
          <w:sz w:val="24"/>
          <w:szCs w:val="24"/>
        </w:rPr>
        <w:t>批准某装备立项研制，某年某月总参谋部、原国防科工委批准</w:t>
      </w:r>
      <w:r>
        <w:rPr>
          <w:rFonts w:ascii="仿宋" w:hAnsi="仿宋" w:eastAsia="仿宋" w:cs="仿宋"/>
          <w:spacing w:val="34"/>
          <w:sz w:val="24"/>
          <w:szCs w:val="24"/>
        </w:rPr>
        <w:t>某装备研制任务</w:t>
      </w:r>
      <w:r>
        <w:rPr>
          <w:rFonts w:ascii="仿宋" w:hAnsi="仿宋" w:eastAsia="仿宋" w:cs="仿宋"/>
          <w:sz w:val="24"/>
          <w:szCs w:val="24"/>
        </w:rPr>
        <w:t xml:space="preserve"> </w:t>
      </w:r>
      <w:r>
        <w:rPr>
          <w:rFonts w:ascii="仿宋" w:hAnsi="仿宋" w:eastAsia="仿宋" w:cs="仿宋"/>
          <w:spacing w:val="31"/>
          <w:sz w:val="24"/>
          <w:szCs w:val="24"/>
        </w:rPr>
        <w:t>书。某单位为武器系统总设计师单位。</w:t>
      </w:r>
    </w:p>
    <w:p w14:paraId="4AA8E762">
      <w:pPr>
        <w:spacing w:before="17" w:line="223" w:lineRule="auto"/>
        <w:ind w:left="560"/>
        <w:rPr>
          <w:rFonts w:ascii="仿宋" w:hAnsi="仿宋" w:eastAsia="仿宋" w:cs="仿宋"/>
          <w:sz w:val="25"/>
          <w:szCs w:val="25"/>
        </w:rPr>
      </w:pPr>
      <w:r>
        <w:rPr>
          <w:rFonts w:ascii="宋体" w:hAnsi="宋体" w:eastAsia="宋体" w:cs="宋体"/>
          <w:spacing w:val="12"/>
          <w:sz w:val="25"/>
          <w:szCs w:val="25"/>
        </w:rPr>
        <w:t>本段中还应对重点工程项目加以说明，如：“</w:t>
      </w:r>
      <w:r>
        <w:rPr>
          <w:rFonts w:ascii="仿宋" w:hAnsi="仿宋" w:eastAsia="仿宋" w:cs="仿宋"/>
          <w:spacing w:val="12"/>
          <w:sz w:val="25"/>
          <w:szCs w:val="25"/>
        </w:rPr>
        <w:t>该装备是×××工程项</w:t>
      </w:r>
      <w:r>
        <w:rPr>
          <w:rFonts w:ascii="仿宋" w:hAnsi="仿宋" w:eastAsia="仿宋" w:cs="仿宋"/>
          <w:spacing w:val="11"/>
          <w:sz w:val="25"/>
          <w:szCs w:val="25"/>
        </w:rPr>
        <w:t>目。”</w:t>
      </w:r>
    </w:p>
    <w:p w14:paraId="4924717C">
      <w:pPr>
        <w:spacing w:before="100" w:line="268" w:lineRule="auto"/>
        <w:ind w:right="90" w:firstLine="560"/>
        <w:rPr>
          <w:rFonts w:ascii="宋体" w:hAnsi="宋体" w:eastAsia="宋体" w:cs="宋体"/>
          <w:sz w:val="27"/>
          <w:szCs w:val="27"/>
        </w:rPr>
      </w:pPr>
      <w:r>
        <w:rPr>
          <w:rFonts w:ascii="宋体" w:hAnsi="宋体" w:eastAsia="宋体" w:cs="宋体"/>
          <w:spacing w:val="5"/>
          <w:sz w:val="27"/>
          <w:szCs w:val="27"/>
        </w:rPr>
        <w:t>第二段主要说明装备的主要作战使命。介绍装备的定义或功能，承担的主</w:t>
      </w:r>
      <w:r>
        <w:rPr>
          <w:rFonts w:ascii="宋体" w:hAnsi="宋体" w:eastAsia="宋体" w:cs="宋体"/>
          <w:spacing w:val="13"/>
          <w:sz w:val="27"/>
          <w:szCs w:val="27"/>
        </w:rPr>
        <w:t xml:space="preserve"> </w:t>
      </w:r>
      <w:r>
        <w:rPr>
          <w:rFonts w:ascii="宋体" w:hAnsi="宋体" w:eastAsia="宋体" w:cs="宋体"/>
          <w:spacing w:val="-5"/>
          <w:sz w:val="27"/>
          <w:szCs w:val="27"/>
        </w:rPr>
        <w:t>要作战任务或打击对象，应用环境、装载平台或配套的武器系统等。</w:t>
      </w:r>
    </w:p>
    <w:p w14:paraId="126A229A">
      <w:pPr>
        <w:spacing w:before="1" w:line="220" w:lineRule="auto"/>
        <w:rPr>
          <w:rFonts w:ascii="黑体" w:hAnsi="黑体" w:eastAsia="黑体" w:cs="黑体"/>
          <w:sz w:val="27"/>
          <w:szCs w:val="27"/>
        </w:rPr>
      </w:pPr>
      <w:r>
        <w:rPr>
          <w:rFonts w:ascii="黑体" w:hAnsi="黑体" w:eastAsia="黑体" w:cs="黑体"/>
          <w:spacing w:val="-4"/>
          <w:sz w:val="27"/>
          <w:szCs w:val="27"/>
        </w:rPr>
        <w:t xml:space="preserve">2  </w:t>
      </w:r>
      <w:r>
        <w:rPr>
          <w:rFonts w:ascii="黑体" w:hAnsi="黑体" w:eastAsia="黑体" w:cs="黑体"/>
          <w:b/>
          <w:bCs/>
          <w:spacing w:val="-4"/>
          <w:sz w:val="27"/>
          <w:szCs w:val="27"/>
        </w:rPr>
        <w:t>系统组成、主要战术技术指标及生产纲领</w:t>
      </w:r>
    </w:p>
    <w:p w14:paraId="2F1EDCFB">
      <w:pPr>
        <w:spacing w:before="113" w:line="269" w:lineRule="auto"/>
        <w:ind w:right="70" w:firstLine="560"/>
        <w:rPr>
          <w:rFonts w:ascii="宋体" w:hAnsi="宋体" w:eastAsia="宋体" w:cs="宋体"/>
          <w:sz w:val="27"/>
          <w:szCs w:val="27"/>
        </w:rPr>
      </w:pPr>
      <w:r>
        <w:rPr>
          <w:rFonts w:ascii="宋体" w:hAnsi="宋体" w:eastAsia="宋体" w:cs="宋体"/>
          <w:spacing w:val="6"/>
          <w:sz w:val="27"/>
          <w:szCs w:val="27"/>
        </w:rPr>
        <w:t>第一段介绍系统组成。介绍系统组成，通常是指单独批准定型或单独命名</w:t>
      </w:r>
      <w:r>
        <w:rPr>
          <w:rFonts w:ascii="宋体" w:hAnsi="宋体" w:eastAsia="宋体" w:cs="宋体"/>
          <w:spacing w:val="1"/>
          <w:sz w:val="27"/>
          <w:szCs w:val="27"/>
        </w:rPr>
        <w:t xml:space="preserve"> </w:t>
      </w:r>
      <w:r>
        <w:rPr>
          <w:rFonts w:ascii="宋体" w:hAnsi="宋体" w:eastAsia="宋体" w:cs="宋体"/>
          <w:spacing w:val="4"/>
          <w:sz w:val="27"/>
          <w:szCs w:val="27"/>
        </w:rPr>
        <w:t>的部分。编制录像片时配合画面反映组成结构。</w:t>
      </w:r>
    </w:p>
    <w:p w14:paraId="7E27266E">
      <w:pPr>
        <w:spacing w:before="22" w:line="219" w:lineRule="auto"/>
        <w:ind w:left="560"/>
        <w:rPr>
          <w:rFonts w:ascii="宋体" w:hAnsi="宋体" w:eastAsia="宋体" w:cs="宋体"/>
          <w:sz w:val="27"/>
          <w:szCs w:val="27"/>
        </w:rPr>
      </w:pPr>
      <w:r>
        <w:rPr>
          <w:rFonts w:ascii="宋体" w:hAnsi="宋体" w:eastAsia="宋体" w:cs="宋体"/>
          <w:spacing w:val="3"/>
          <w:sz w:val="27"/>
          <w:szCs w:val="27"/>
        </w:rPr>
        <w:t>第二段介绍主要战术技术指标。表述为：</w:t>
      </w:r>
    </w:p>
    <w:p w14:paraId="4005BFF6">
      <w:pPr>
        <w:spacing w:before="90" w:line="222" w:lineRule="auto"/>
        <w:ind w:left="560"/>
        <w:rPr>
          <w:rFonts w:ascii="仿宋" w:hAnsi="仿宋" w:eastAsia="仿宋" w:cs="仿宋"/>
          <w:sz w:val="27"/>
          <w:szCs w:val="27"/>
        </w:rPr>
      </w:pPr>
      <w:r>
        <w:rPr>
          <w:rFonts w:ascii="仿宋" w:hAnsi="仿宋" w:eastAsia="仿宋" w:cs="仿宋"/>
          <w:spacing w:val="-2"/>
          <w:sz w:val="27"/>
          <w:szCs w:val="27"/>
        </w:rPr>
        <w:t>主要战术技术指标：</w:t>
      </w:r>
    </w:p>
    <w:p w14:paraId="448D9E70">
      <w:pPr>
        <w:spacing w:before="82" w:line="221" w:lineRule="auto"/>
        <w:ind w:left="560"/>
        <w:rPr>
          <w:rFonts w:ascii="仿宋" w:hAnsi="仿宋" w:eastAsia="仿宋" w:cs="仿宋"/>
          <w:sz w:val="27"/>
          <w:szCs w:val="27"/>
        </w:rPr>
      </w:pPr>
      <w:r>
        <w:rPr>
          <w:rFonts w:ascii="仿宋" w:hAnsi="仿宋" w:eastAsia="仿宋" w:cs="仿宋"/>
          <w:spacing w:val="3"/>
          <w:sz w:val="27"/>
          <w:szCs w:val="27"/>
        </w:rPr>
        <w:t>战术技术指标名：指标值计量单位</w:t>
      </w:r>
    </w:p>
    <w:p w14:paraId="701311AB">
      <w:pPr>
        <w:spacing w:before="100" w:line="265" w:lineRule="auto"/>
        <w:ind w:firstLine="560"/>
        <w:rPr>
          <w:rFonts w:ascii="宋体" w:hAnsi="宋体" w:eastAsia="宋体" w:cs="宋体"/>
          <w:sz w:val="27"/>
          <w:szCs w:val="27"/>
        </w:rPr>
      </w:pPr>
      <w:r>
        <w:rPr>
          <w:rFonts w:ascii="宋体" w:hAnsi="宋体" w:eastAsia="宋体" w:cs="宋体"/>
          <w:spacing w:val="5"/>
          <w:sz w:val="27"/>
          <w:szCs w:val="27"/>
        </w:rPr>
        <w:t>每一型装备的战术技术指标很多，录像片中介绍的战术技术指标是反映该</w:t>
      </w:r>
      <w:r>
        <w:rPr>
          <w:rFonts w:ascii="宋体" w:hAnsi="宋体" w:eastAsia="宋体" w:cs="宋体"/>
          <w:spacing w:val="12"/>
          <w:sz w:val="27"/>
          <w:szCs w:val="27"/>
        </w:rPr>
        <w:t xml:space="preserve"> </w:t>
      </w:r>
      <w:r>
        <w:rPr>
          <w:rFonts w:ascii="宋体" w:hAnsi="宋体" w:eastAsia="宋体" w:cs="宋体"/>
          <w:spacing w:val="8"/>
          <w:sz w:val="27"/>
          <w:szCs w:val="27"/>
        </w:rPr>
        <w:t>型装备完成作战使命最主要和最具特点的指标，应从研制总要求中适当选取。</w:t>
      </w:r>
      <w:r>
        <w:rPr>
          <w:rFonts w:ascii="宋体" w:hAnsi="宋体" w:eastAsia="宋体" w:cs="宋体"/>
          <w:spacing w:val="12"/>
          <w:sz w:val="27"/>
          <w:szCs w:val="27"/>
        </w:rPr>
        <w:t xml:space="preserve"> </w:t>
      </w:r>
      <w:r>
        <w:rPr>
          <w:rFonts w:ascii="宋体" w:hAnsi="宋体" w:eastAsia="宋体" w:cs="宋体"/>
          <w:spacing w:val="2"/>
          <w:sz w:val="27"/>
          <w:szCs w:val="27"/>
        </w:rPr>
        <w:t>指标值的计量单位使用汉字。</w:t>
      </w:r>
    </w:p>
    <w:p w14:paraId="3AEEACEB">
      <w:pPr>
        <w:spacing w:before="67" w:line="219" w:lineRule="auto"/>
        <w:ind w:left="560"/>
        <w:rPr>
          <w:rFonts w:ascii="宋体" w:hAnsi="宋体" w:eastAsia="宋体" w:cs="宋体"/>
          <w:sz w:val="27"/>
          <w:szCs w:val="27"/>
        </w:rPr>
      </w:pPr>
      <w:r>
        <w:rPr>
          <w:rFonts w:ascii="宋体" w:hAnsi="宋体" w:eastAsia="宋体" w:cs="宋体"/>
          <w:sz w:val="27"/>
          <w:szCs w:val="27"/>
        </w:rPr>
        <w:t>第三段介绍生产纲领。主要介绍生产定型情况、要求达到的生产能力。</w:t>
      </w:r>
    </w:p>
    <w:p w14:paraId="09BC2785">
      <w:pPr>
        <w:spacing w:before="85" w:line="221" w:lineRule="auto"/>
        <w:ind w:left="3"/>
        <w:rPr>
          <w:rFonts w:ascii="黑体" w:hAnsi="黑体" w:eastAsia="黑体" w:cs="黑体"/>
          <w:sz w:val="27"/>
          <w:szCs w:val="27"/>
        </w:rPr>
      </w:pPr>
      <w:r>
        <w:rPr>
          <w:rFonts w:ascii="宋体" w:hAnsi="宋体" w:eastAsia="宋体" w:cs="宋体"/>
          <w:b/>
          <w:bCs/>
          <w:spacing w:val="-3"/>
          <w:sz w:val="27"/>
          <w:szCs w:val="27"/>
        </w:rPr>
        <w:t>3</w:t>
      </w:r>
      <w:r>
        <w:rPr>
          <w:rFonts w:ascii="宋体" w:hAnsi="宋体" w:eastAsia="宋体" w:cs="宋体"/>
          <w:spacing w:val="-3"/>
          <w:sz w:val="27"/>
          <w:szCs w:val="27"/>
        </w:rPr>
        <w:t xml:space="preserve">  </w:t>
      </w:r>
      <w:r>
        <w:rPr>
          <w:rFonts w:ascii="宋体" w:hAnsi="宋体" w:eastAsia="宋体" w:cs="宋体"/>
          <w:b/>
          <w:bCs/>
          <w:spacing w:val="-3"/>
          <w:sz w:val="27"/>
          <w:szCs w:val="27"/>
        </w:rPr>
        <w:t>试</w:t>
      </w:r>
      <w:r>
        <w:rPr>
          <w:rFonts w:ascii="黑体" w:hAnsi="黑体" w:eastAsia="黑体" w:cs="黑体"/>
          <w:b/>
          <w:bCs/>
          <w:spacing w:val="-3"/>
          <w:sz w:val="27"/>
          <w:szCs w:val="27"/>
        </w:rPr>
        <w:t>生产、部队试用及定型试验情况(含定型遗留问题及解决情况)</w:t>
      </w:r>
    </w:p>
    <w:p w14:paraId="5E4068A7">
      <w:pPr>
        <w:spacing w:before="81" w:line="219" w:lineRule="auto"/>
        <w:ind w:left="560"/>
        <w:rPr>
          <w:rFonts w:ascii="宋体" w:hAnsi="宋体" w:eastAsia="宋体" w:cs="宋体"/>
          <w:sz w:val="27"/>
          <w:szCs w:val="27"/>
        </w:rPr>
      </w:pPr>
      <w:r>
        <w:rPr>
          <w:rFonts w:ascii="宋体" w:hAnsi="宋体" w:eastAsia="宋体" w:cs="宋体"/>
          <w:spacing w:val="-3"/>
          <w:sz w:val="27"/>
          <w:szCs w:val="27"/>
        </w:rPr>
        <w:t>主要介绍试生产时工艺、工装设计，生产线建设或改造情况和其他生产保障</w:t>
      </w:r>
    </w:p>
    <w:p w14:paraId="1558D59C">
      <w:pPr>
        <w:spacing w:line="219" w:lineRule="auto"/>
        <w:rPr>
          <w:rFonts w:ascii="宋体" w:hAnsi="宋体" w:eastAsia="宋体" w:cs="宋体"/>
          <w:sz w:val="27"/>
          <w:szCs w:val="27"/>
        </w:rPr>
        <w:sectPr>
          <w:footerReference r:id="rId181" w:type="default"/>
          <w:pgSz w:w="11910" w:h="17130"/>
          <w:pgMar w:top="400" w:right="1034" w:bottom="1647" w:left="1410" w:header="0" w:footer="1430" w:gutter="0"/>
          <w:cols w:space="720" w:num="1"/>
        </w:sectPr>
      </w:pPr>
    </w:p>
    <w:p w14:paraId="33E5304F">
      <w:pPr>
        <w:pStyle w:val="2"/>
        <w:spacing w:line="259" w:lineRule="auto"/>
      </w:pPr>
    </w:p>
    <w:p w14:paraId="720C88F4">
      <w:pPr>
        <w:pStyle w:val="2"/>
        <w:spacing w:line="259" w:lineRule="auto"/>
      </w:pPr>
    </w:p>
    <w:p w14:paraId="57D95460">
      <w:pPr>
        <w:pStyle w:val="2"/>
        <w:spacing w:line="259" w:lineRule="auto"/>
      </w:pPr>
    </w:p>
    <w:p w14:paraId="3D2ED0EC">
      <w:pPr>
        <w:pStyle w:val="2"/>
        <w:spacing w:line="259" w:lineRule="auto"/>
      </w:pPr>
    </w:p>
    <w:p w14:paraId="47A9D0B0">
      <w:pPr>
        <w:spacing w:before="88" w:line="287" w:lineRule="auto"/>
        <w:jc w:val="both"/>
        <w:rPr>
          <w:rFonts w:ascii="宋体" w:hAnsi="宋体" w:eastAsia="宋体" w:cs="宋体"/>
          <w:sz w:val="27"/>
          <w:szCs w:val="27"/>
        </w:rPr>
      </w:pPr>
      <w:r>
        <w:rPr>
          <w:rFonts w:ascii="宋体" w:hAnsi="宋体" w:eastAsia="宋体" w:cs="宋体"/>
          <w:spacing w:val="-3"/>
          <w:sz w:val="27"/>
          <w:szCs w:val="27"/>
        </w:rPr>
        <w:t>条件建设情况，关键原材料落实情况，形成的生产能力，生产条件鉴定等。部队</w:t>
      </w:r>
      <w:r>
        <w:rPr>
          <w:rFonts w:ascii="宋体" w:hAnsi="宋体" w:eastAsia="宋体" w:cs="宋体"/>
          <w:spacing w:val="9"/>
          <w:sz w:val="27"/>
          <w:szCs w:val="27"/>
        </w:rPr>
        <w:t xml:space="preserve">  </w:t>
      </w:r>
      <w:r>
        <w:rPr>
          <w:rFonts w:ascii="宋体" w:hAnsi="宋体" w:eastAsia="宋体" w:cs="宋体"/>
          <w:spacing w:val="-7"/>
          <w:sz w:val="27"/>
          <w:szCs w:val="27"/>
        </w:rPr>
        <w:t>试用的单位，主要试用科目，定性评价。承担定型试验的单位，试验时间、地点、</w:t>
      </w:r>
      <w:r>
        <w:rPr>
          <w:rFonts w:ascii="宋体" w:hAnsi="宋体" w:eastAsia="宋体" w:cs="宋体"/>
          <w:spacing w:val="15"/>
          <w:sz w:val="27"/>
          <w:szCs w:val="27"/>
        </w:rPr>
        <w:t xml:space="preserve"> </w:t>
      </w:r>
      <w:r>
        <w:rPr>
          <w:rFonts w:ascii="宋体" w:hAnsi="宋体" w:eastAsia="宋体" w:cs="宋体"/>
          <w:spacing w:val="-14"/>
          <w:sz w:val="27"/>
          <w:szCs w:val="27"/>
        </w:rPr>
        <w:t>主要项目，试验结论。</w:t>
      </w:r>
    </w:p>
    <w:p w14:paraId="00EA09A0">
      <w:pPr>
        <w:spacing w:line="308" w:lineRule="auto"/>
        <w:ind w:right="121" w:firstLine="550"/>
        <w:rPr>
          <w:rFonts w:ascii="宋体" w:hAnsi="宋体" w:eastAsia="宋体" w:cs="宋体"/>
          <w:sz w:val="27"/>
          <w:szCs w:val="27"/>
        </w:rPr>
      </w:pPr>
      <w:r>
        <w:rPr>
          <w:rFonts w:ascii="宋体" w:hAnsi="宋体" w:eastAsia="宋体" w:cs="宋体"/>
          <w:spacing w:val="5"/>
          <w:sz w:val="27"/>
          <w:szCs w:val="27"/>
        </w:rPr>
        <w:t>在这部分内容中，可以反映装备主要性能的试验情况和结果。本部分内容</w:t>
      </w:r>
      <w:r>
        <w:rPr>
          <w:rFonts w:ascii="宋体" w:hAnsi="宋体" w:eastAsia="宋体" w:cs="宋体"/>
          <w:spacing w:val="12"/>
          <w:sz w:val="27"/>
          <w:szCs w:val="27"/>
        </w:rPr>
        <w:t xml:space="preserve"> </w:t>
      </w:r>
      <w:r>
        <w:rPr>
          <w:rFonts w:ascii="宋体" w:hAnsi="宋体" w:eastAsia="宋体" w:cs="宋体"/>
          <w:sz w:val="27"/>
          <w:szCs w:val="27"/>
        </w:rPr>
        <w:t>可介绍试验情况及与研制总要求指标对比情况，不进行项目水平评价。</w:t>
      </w:r>
    </w:p>
    <w:p w14:paraId="56C2A06B">
      <w:pPr>
        <w:spacing w:before="48" w:line="224" w:lineRule="auto"/>
        <w:rPr>
          <w:rFonts w:ascii="黑体" w:hAnsi="黑体" w:eastAsia="黑体" w:cs="黑体"/>
          <w:sz w:val="25"/>
          <w:szCs w:val="25"/>
        </w:rPr>
      </w:pPr>
      <w:r>
        <w:rPr>
          <w:rFonts w:ascii="黑体" w:hAnsi="黑体" w:eastAsia="黑体" w:cs="黑体"/>
          <w:spacing w:val="15"/>
          <w:sz w:val="25"/>
          <w:szCs w:val="25"/>
        </w:rPr>
        <w:t>4</w:t>
      </w:r>
      <w:r>
        <w:rPr>
          <w:rFonts w:ascii="黑体" w:hAnsi="黑体" w:eastAsia="黑体" w:cs="黑体"/>
          <w:spacing w:val="31"/>
          <w:sz w:val="25"/>
          <w:szCs w:val="25"/>
        </w:rPr>
        <w:t xml:space="preserve">  </w:t>
      </w:r>
      <w:r>
        <w:rPr>
          <w:rFonts w:ascii="黑体" w:hAnsi="黑体" w:eastAsia="黑体" w:cs="黑体"/>
          <w:b/>
          <w:bCs/>
          <w:spacing w:val="15"/>
          <w:sz w:val="25"/>
          <w:szCs w:val="25"/>
        </w:rPr>
        <w:t>定型结论</w:t>
      </w:r>
    </w:p>
    <w:p w14:paraId="60E630B2">
      <w:pPr>
        <w:spacing w:before="113" w:line="336" w:lineRule="auto"/>
        <w:ind w:right="109" w:firstLine="550"/>
        <w:rPr>
          <w:rFonts w:ascii="仿宋" w:hAnsi="仿宋" w:eastAsia="仿宋" w:cs="仿宋"/>
          <w:sz w:val="24"/>
          <w:szCs w:val="24"/>
        </w:rPr>
      </w:pPr>
      <w:r>
        <w:rPr>
          <w:rFonts w:ascii="宋体" w:hAnsi="宋体" w:eastAsia="宋体" w:cs="宋体"/>
          <w:spacing w:val="7"/>
          <w:sz w:val="24"/>
          <w:szCs w:val="24"/>
        </w:rPr>
        <w:t>表</w:t>
      </w:r>
      <w:r>
        <w:rPr>
          <w:rFonts w:ascii="宋体" w:hAnsi="宋体" w:eastAsia="宋体" w:cs="宋体"/>
          <w:spacing w:val="-42"/>
          <w:sz w:val="24"/>
          <w:szCs w:val="24"/>
        </w:rPr>
        <w:t xml:space="preserve"> </w:t>
      </w:r>
      <w:r>
        <w:rPr>
          <w:rFonts w:ascii="宋体" w:hAnsi="宋体" w:eastAsia="宋体" w:cs="宋体"/>
          <w:spacing w:val="7"/>
          <w:sz w:val="24"/>
          <w:szCs w:val="24"/>
        </w:rPr>
        <w:t>述</w:t>
      </w:r>
      <w:r>
        <w:rPr>
          <w:rFonts w:ascii="宋体" w:hAnsi="宋体" w:eastAsia="宋体" w:cs="宋体"/>
          <w:spacing w:val="-50"/>
          <w:sz w:val="24"/>
          <w:szCs w:val="24"/>
        </w:rPr>
        <w:t xml:space="preserve"> </w:t>
      </w:r>
      <w:r>
        <w:rPr>
          <w:rFonts w:ascii="宋体" w:hAnsi="宋体" w:eastAsia="宋体" w:cs="宋体"/>
          <w:spacing w:val="7"/>
          <w:sz w:val="24"/>
          <w:szCs w:val="24"/>
        </w:rPr>
        <w:t>为</w:t>
      </w:r>
      <w:r>
        <w:rPr>
          <w:rFonts w:ascii="宋体" w:hAnsi="宋体" w:eastAsia="宋体" w:cs="宋体"/>
          <w:spacing w:val="-62"/>
          <w:sz w:val="24"/>
          <w:szCs w:val="24"/>
        </w:rPr>
        <w:t xml:space="preserve"> </w:t>
      </w:r>
      <w:r>
        <w:rPr>
          <w:rFonts w:ascii="宋体" w:hAnsi="宋体" w:eastAsia="宋体" w:cs="宋体"/>
          <w:spacing w:val="7"/>
          <w:sz w:val="24"/>
          <w:szCs w:val="24"/>
        </w:rPr>
        <w:t>：</w:t>
      </w:r>
      <w:r>
        <w:rPr>
          <w:rFonts w:ascii="仿宋" w:hAnsi="仿宋" w:eastAsia="仿宋" w:cs="仿宋"/>
          <w:spacing w:val="7"/>
          <w:sz w:val="24"/>
          <w:szCs w:val="24"/>
        </w:rPr>
        <w:t>××定委审查认为，</w:t>
      </w:r>
      <w:r>
        <w:rPr>
          <w:rFonts w:ascii="仿宋" w:hAnsi="仿宋" w:eastAsia="仿宋" w:cs="仿宋"/>
          <w:spacing w:val="103"/>
          <w:sz w:val="24"/>
          <w:szCs w:val="24"/>
        </w:rPr>
        <w:t xml:space="preserve"> </w:t>
      </w:r>
      <w:r>
        <w:rPr>
          <w:rFonts w:ascii="仿宋" w:hAnsi="仿宋" w:eastAsia="仿宋" w:cs="仿宋"/>
          <w:spacing w:val="7"/>
          <w:sz w:val="24"/>
          <w:szCs w:val="24"/>
        </w:rPr>
        <w:t>…</w:t>
      </w:r>
      <w:r>
        <w:rPr>
          <w:rFonts w:ascii="仿宋" w:hAnsi="仿宋" w:eastAsia="仿宋" w:cs="仿宋"/>
          <w:spacing w:val="-67"/>
          <w:sz w:val="24"/>
          <w:szCs w:val="24"/>
        </w:rPr>
        <w:t xml:space="preserve"> </w:t>
      </w:r>
      <w:r>
        <w:rPr>
          <w:rFonts w:ascii="仿宋" w:hAnsi="仿宋" w:eastAsia="仿宋" w:cs="仿宋"/>
          <w:spacing w:val="7"/>
          <w:sz w:val="24"/>
          <w:szCs w:val="24"/>
        </w:rPr>
        <w:t>…</w:t>
      </w:r>
      <w:r>
        <w:rPr>
          <w:rFonts w:ascii="仿宋" w:hAnsi="仿宋" w:eastAsia="仿宋" w:cs="仿宋"/>
          <w:spacing w:val="-57"/>
          <w:sz w:val="24"/>
          <w:szCs w:val="24"/>
        </w:rPr>
        <w:t xml:space="preserve"> </w:t>
      </w:r>
      <w:r>
        <w:rPr>
          <w:rFonts w:ascii="仿宋" w:hAnsi="仿宋" w:eastAsia="仿宋" w:cs="仿宋"/>
          <w:spacing w:val="7"/>
          <w:sz w:val="24"/>
          <w:szCs w:val="24"/>
        </w:rPr>
        <w:t>,具备生产定型条件，建议一级定委批准×</w:t>
      </w:r>
      <w:r>
        <w:rPr>
          <w:rFonts w:ascii="仿宋" w:hAnsi="仿宋" w:eastAsia="仿宋" w:cs="仿宋"/>
          <w:sz w:val="24"/>
          <w:szCs w:val="24"/>
        </w:rPr>
        <w:t xml:space="preserve"> </w:t>
      </w:r>
      <w:r>
        <w:rPr>
          <w:rFonts w:ascii="仿宋" w:hAnsi="仿宋" w:eastAsia="仿宋" w:cs="仿宋"/>
          <w:spacing w:val="23"/>
          <w:sz w:val="24"/>
          <w:szCs w:val="24"/>
        </w:rPr>
        <w:t>×生产定型。</w:t>
      </w:r>
    </w:p>
    <w:p w14:paraId="798AA67F">
      <w:pPr>
        <w:spacing w:line="219" w:lineRule="auto"/>
        <w:ind w:left="550"/>
        <w:rPr>
          <w:rFonts w:ascii="宋体" w:hAnsi="宋体" w:eastAsia="宋体" w:cs="宋体"/>
          <w:sz w:val="27"/>
          <w:szCs w:val="27"/>
        </w:rPr>
      </w:pPr>
      <w:r>
        <w:rPr>
          <w:rFonts w:ascii="宋体" w:hAnsi="宋体" w:eastAsia="宋体" w:cs="宋体"/>
          <w:spacing w:val="4"/>
          <w:sz w:val="27"/>
          <w:szCs w:val="27"/>
        </w:rPr>
        <w:t>定型结论应按定型条例的要求把主要内容表述清楚。</w:t>
      </w:r>
    </w:p>
    <w:p w14:paraId="7CA427A4">
      <w:pPr>
        <w:spacing w:before="97" w:line="218" w:lineRule="auto"/>
        <w:ind w:left="550"/>
        <w:rPr>
          <w:rFonts w:ascii="宋体" w:hAnsi="宋体" w:eastAsia="宋体" w:cs="宋体"/>
          <w:sz w:val="27"/>
          <w:szCs w:val="27"/>
        </w:rPr>
      </w:pPr>
      <w:r>
        <w:rPr>
          <w:rFonts w:ascii="宋体" w:hAnsi="宋体" w:eastAsia="宋体" w:cs="宋体"/>
          <w:spacing w:val="4"/>
          <w:sz w:val="27"/>
          <w:szCs w:val="27"/>
        </w:rPr>
        <w:t>在定型结论中不应有关于项目水平的评价内容。</w:t>
      </w:r>
    </w:p>
    <w:p w14:paraId="3F7BF962">
      <w:pPr>
        <w:pStyle w:val="2"/>
        <w:spacing w:line="410" w:lineRule="auto"/>
      </w:pPr>
    </w:p>
    <w:p w14:paraId="1B5A993E">
      <w:pPr>
        <w:spacing w:before="118" w:line="219" w:lineRule="auto"/>
        <w:ind w:left="1599"/>
        <w:outlineLvl w:val="1"/>
        <w:rPr>
          <w:rFonts w:ascii="宋体" w:hAnsi="宋体" w:eastAsia="宋体" w:cs="宋体"/>
          <w:sz w:val="36"/>
          <w:szCs w:val="36"/>
        </w:rPr>
      </w:pPr>
      <w:bookmarkStart w:id="128" w:name="bookmark66"/>
      <w:bookmarkEnd w:id="128"/>
      <w:r>
        <w:rPr>
          <w:rFonts w:ascii="宋体" w:hAnsi="宋体" w:eastAsia="宋体" w:cs="宋体"/>
          <w:spacing w:val="2"/>
          <w:sz w:val="36"/>
          <w:szCs w:val="36"/>
        </w:rPr>
        <w:t xml:space="preserve">1.64  </w:t>
      </w:r>
      <w:r>
        <w:rPr>
          <w:rFonts w:ascii="宋体" w:hAnsi="宋体" w:eastAsia="宋体" w:cs="宋体"/>
          <w:b/>
          <w:bCs/>
          <w:spacing w:val="2"/>
          <w:sz w:val="36"/>
          <w:szCs w:val="36"/>
        </w:rPr>
        <w:t>军事代表机构对生产定型的意见</w:t>
      </w:r>
    </w:p>
    <w:p w14:paraId="17D8F990">
      <w:pPr>
        <w:pStyle w:val="2"/>
        <w:spacing w:line="396" w:lineRule="auto"/>
      </w:pPr>
    </w:p>
    <w:p w14:paraId="6E05CFFF">
      <w:pPr>
        <w:spacing w:before="92" w:line="223" w:lineRule="auto"/>
        <w:ind w:left="55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34"/>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39B923E4">
      <w:pPr>
        <w:spacing w:before="191" w:line="221" w:lineRule="auto"/>
        <w:rPr>
          <w:rFonts w:ascii="黑体" w:hAnsi="黑体" w:eastAsia="黑体" w:cs="黑体"/>
          <w:sz w:val="24"/>
          <w:szCs w:val="24"/>
        </w:rPr>
      </w:pPr>
      <w:r>
        <w:rPr>
          <w:rFonts w:ascii="黑体" w:hAnsi="黑体" w:eastAsia="黑体" w:cs="黑体"/>
          <w:spacing w:val="23"/>
          <w:sz w:val="24"/>
          <w:szCs w:val="24"/>
        </w:rPr>
        <w:t>1</w:t>
      </w:r>
      <w:r>
        <w:rPr>
          <w:rFonts w:ascii="黑体" w:hAnsi="黑体" w:eastAsia="黑体" w:cs="黑体"/>
          <w:spacing w:val="47"/>
          <w:sz w:val="24"/>
          <w:szCs w:val="24"/>
        </w:rPr>
        <w:t xml:space="preserve">  </w:t>
      </w:r>
      <w:r>
        <w:rPr>
          <w:rFonts w:ascii="黑体" w:hAnsi="黑体" w:eastAsia="黑体" w:cs="黑体"/>
          <w:b/>
          <w:bCs/>
          <w:spacing w:val="23"/>
          <w:sz w:val="24"/>
          <w:szCs w:val="24"/>
        </w:rPr>
        <w:t>试生产概况</w:t>
      </w:r>
    </w:p>
    <w:p w14:paraId="0BA0A742">
      <w:pPr>
        <w:spacing w:before="180" w:line="289" w:lineRule="auto"/>
        <w:ind w:right="122" w:firstLine="550"/>
        <w:rPr>
          <w:rFonts w:ascii="宋体" w:hAnsi="宋体" w:eastAsia="宋体" w:cs="宋体"/>
          <w:sz w:val="27"/>
          <w:szCs w:val="27"/>
        </w:rPr>
      </w:pPr>
      <w:r>
        <w:rPr>
          <w:rFonts w:ascii="宋体" w:hAnsi="宋体" w:eastAsia="宋体" w:cs="宋体"/>
          <w:spacing w:val="-3"/>
          <w:sz w:val="27"/>
          <w:szCs w:val="27"/>
        </w:rPr>
        <w:t>说明产品试生产概况，包括生产批次、生产批量、时间节点和生产过程有关</w:t>
      </w:r>
      <w:r>
        <w:rPr>
          <w:rFonts w:ascii="宋体" w:hAnsi="宋体" w:eastAsia="宋体" w:cs="宋体"/>
          <w:sz w:val="27"/>
          <w:szCs w:val="27"/>
        </w:rPr>
        <w:t xml:space="preserve"> </w:t>
      </w:r>
      <w:r>
        <w:rPr>
          <w:rFonts w:ascii="宋体" w:hAnsi="宋体" w:eastAsia="宋体" w:cs="宋体"/>
          <w:spacing w:val="-10"/>
          <w:sz w:val="27"/>
          <w:szCs w:val="27"/>
        </w:rPr>
        <w:t>生产准备、生产、生产质量评审等主要工作。</w:t>
      </w:r>
    </w:p>
    <w:p w14:paraId="7F41D1A8">
      <w:pPr>
        <w:spacing w:before="48" w:line="221" w:lineRule="auto"/>
        <w:rPr>
          <w:rFonts w:ascii="黑体" w:hAnsi="黑体" w:eastAsia="黑体" w:cs="黑体"/>
          <w:sz w:val="27"/>
          <w:szCs w:val="27"/>
        </w:rPr>
      </w:pPr>
      <w:r>
        <w:rPr>
          <w:rFonts w:ascii="黑体" w:hAnsi="黑体" w:eastAsia="黑体" w:cs="黑体"/>
          <w:spacing w:val="3"/>
          <w:sz w:val="27"/>
          <w:szCs w:val="27"/>
        </w:rPr>
        <w:t xml:space="preserve">2  </w:t>
      </w:r>
      <w:r>
        <w:rPr>
          <w:rFonts w:ascii="黑体" w:hAnsi="黑体" w:eastAsia="黑体" w:cs="黑体"/>
          <w:b/>
          <w:bCs/>
          <w:spacing w:val="3"/>
          <w:sz w:val="27"/>
          <w:szCs w:val="27"/>
        </w:rPr>
        <w:t>试生产产品质量情况和试生产批验收情况</w:t>
      </w:r>
    </w:p>
    <w:p w14:paraId="006018B5">
      <w:pPr>
        <w:spacing w:before="194" w:line="282" w:lineRule="auto"/>
        <w:ind w:right="123" w:firstLine="550"/>
        <w:rPr>
          <w:rFonts w:ascii="宋体" w:hAnsi="宋体" w:eastAsia="宋体" w:cs="宋体"/>
          <w:sz w:val="27"/>
          <w:szCs w:val="27"/>
        </w:rPr>
      </w:pPr>
      <w:r>
        <w:rPr>
          <w:rFonts w:ascii="宋体" w:hAnsi="宋体" w:eastAsia="宋体" w:cs="宋体"/>
          <w:spacing w:val="5"/>
          <w:sz w:val="27"/>
          <w:szCs w:val="27"/>
        </w:rPr>
        <w:t>说明试生产产品的质量情况和验收情况，包括产品试生产总量、产品合格</w:t>
      </w:r>
      <w:r>
        <w:rPr>
          <w:rFonts w:ascii="宋体" w:hAnsi="宋体" w:eastAsia="宋体" w:cs="宋体"/>
          <w:spacing w:val="10"/>
          <w:sz w:val="27"/>
          <w:szCs w:val="27"/>
        </w:rPr>
        <w:t xml:space="preserve"> </w:t>
      </w:r>
      <w:r>
        <w:rPr>
          <w:rFonts w:ascii="宋体" w:hAnsi="宋体" w:eastAsia="宋体" w:cs="宋体"/>
          <w:spacing w:val="-7"/>
          <w:sz w:val="27"/>
          <w:szCs w:val="27"/>
        </w:rPr>
        <w:t>率、一次交验合格率等内容，以及不合格品的处</w:t>
      </w:r>
      <w:r>
        <w:rPr>
          <w:rFonts w:ascii="宋体" w:hAnsi="宋体" w:eastAsia="宋体" w:cs="宋体"/>
          <w:spacing w:val="-8"/>
          <w:sz w:val="27"/>
          <w:szCs w:val="27"/>
        </w:rPr>
        <w:t>置情况。</w:t>
      </w:r>
    </w:p>
    <w:p w14:paraId="5F086CB0">
      <w:pPr>
        <w:spacing w:before="70"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23"/>
          <w:sz w:val="27"/>
          <w:szCs w:val="27"/>
        </w:rPr>
        <w:t xml:space="preserve">  </w:t>
      </w:r>
      <w:r>
        <w:rPr>
          <w:rFonts w:ascii="黑体" w:hAnsi="黑体" w:eastAsia="黑体" w:cs="黑体"/>
          <w:b/>
          <w:bCs/>
          <w:spacing w:val="-1"/>
          <w:sz w:val="27"/>
          <w:szCs w:val="27"/>
        </w:rPr>
        <w:t>工艺问题解决情况</w:t>
      </w:r>
    </w:p>
    <w:p w14:paraId="6A82C4CD">
      <w:pPr>
        <w:spacing w:before="150" w:line="289" w:lineRule="auto"/>
        <w:ind w:right="113" w:firstLine="550"/>
        <w:rPr>
          <w:rFonts w:ascii="宋体" w:hAnsi="宋体" w:eastAsia="宋体" w:cs="宋体"/>
          <w:sz w:val="27"/>
          <w:szCs w:val="27"/>
        </w:rPr>
      </w:pPr>
      <w:r>
        <w:rPr>
          <w:rFonts w:ascii="宋体" w:hAnsi="宋体" w:eastAsia="宋体" w:cs="宋体"/>
          <w:spacing w:val="-3"/>
          <w:sz w:val="27"/>
          <w:szCs w:val="27"/>
        </w:rPr>
        <w:t>说明试生产过程中发现的主要工艺问题及解决情况，包括工艺问题描述、原</w:t>
      </w:r>
      <w:r>
        <w:rPr>
          <w:rFonts w:ascii="宋体" w:hAnsi="宋体" w:eastAsia="宋体" w:cs="宋体"/>
          <w:spacing w:val="9"/>
          <w:sz w:val="27"/>
          <w:szCs w:val="27"/>
        </w:rPr>
        <w:t xml:space="preserve"> </w:t>
      </w:r>
      <w:r>
        <w:rPr>
          <w:rFonts w:ascii="宋体" w:hAnsi="宋体" w:eastAsia="宋体" w:cs="宋体"/>
          <w:spacing w:val="-5"/>
          <w:sz w:val="27"/>
          <w:szCs w:val="27"/>
        </w:rPr>
        <w:t>因分析、解决措施和验证归零情况。</w:t>
      </w:r>
    </w:p>
    <w:p w14:paraId="3FDF0A2F">
      <w:pPr>
        <w:pStyle w:val="2"/>
        <w:spacing w:before="69" w:line="222" w:lineRule="auto"/>
        <w:rPr>
          <w:rFonts w:ascii="黑体" w:hAnsi="黑体" w:eastAsia="黑体" w:cs="黑体"/>
          <w:sz w:val="27"/>
          <w:szCs w:val="27"/>
        </w:rPr>
      </w:pPr>
      <w:r>
        <w:rPr>
          <w:b/>
          <w:bCs/>
          <w:spacing w:val="-6"/>
          <w:sz w:val="27"/>
          <w:szCs w:val="27"/>
        </w:rPr>
        <w:t>4</w:t>
      </w:r>
      <w:r>
        <w:rPr>
          <w:b/>
          <w:bCs/>
          <w:spacing w:val="25"/>
          <w:sz w:val="27"/>
          <w:szCs w:val="27"/>
        </w:rPr>
        <w:t xml:space="preserve">   </w:t>
      </w:r>
      <w:r>
        <w:rPr>
          <w:rFonts w:ascii="黑体" w:hAnsi="黑体" w:eastAsia="黑体" w:cs="黑体"/>
          <w:b/>
          <w:bCs/>
          <w:spacing w:val="-6"/>
          <w:sz w:val="27"/>
          <w:szCs w:val="27"/>
        </w:rPr>
        <w:t>产品图样技术文件及工艺、工装审查情况</w:t>
      </w:r>
    </w:p>
    <w:p w14:paraId="110AB24B">
      <w:pPr>
        <w:spacing w:before="174" w:line="279" w:lineRule="auto"/>
        <w:ind w:right="118" w:firstLine="550"/>
        <w:jc w:val="both"/>
        <w:rPr>
          <w:rFonts w:ascii="宋体" w:hAnsi="宋体" w:eastAsia="宋体" w:cs="宋体"/>
          <w:sz w:val="27"/>
          <w:szCs w:val="27"/>
        </w:rPr>
      </w:pPr>
      <w:r>
        <w:rPr>
          <w:rFonts w:ascii="宋体" w:hAnsi="宋体" w:eastAsia="宋体" w:cs="宋体"/>
          <w:spacing w:val="-3"/>
          <w:sz w:val="27"/>
          <w:szCs w:val="27"/>
        </w:rPr>
        <w:t>说明产品图样技术文件及工艺、工装审查情况，包括对生产工艺流程，工艺</w:t>
      </w:r>
      <w:r>
        <w:rPr>
          <w:rFonts w:ascii="宋体" w:hAnsi="宋体" w:eastAsia="宋体" w:cs="宋体"/>
          <w:spacing w:val="4"/>
          <w:sz w:val="27"/>
          <w:szCs w:val="27"/>
        </w:rPr>
        <w:t xml:space="preserve"> </w:t>
      </w:r>
      <w:r>
        <w:rPr>
          <w:rFonts w:ascii="宋体" w:hAnsi="宋体" w:eastAsia="宋体" w:cs="宋体"/>
          <w:spacing w:val="-3"/>
          <w:sz w:val="27"/>
          <w:szCs w:val="27"/>
        </w:rPr>
        <w:t>指令性文件和全套工艺规程，工艺装置设计图样，工序、特殊工艺考核报告及工</w:t>
      </w:r>
      <w:r>
        <w:rPr>
          <w:rFonts w:ascii="宋体" w:hAnsi="宋体" w:eastAsia="宋体" w:cs="宋体"/>
          <w:spacing w:val="18"/>
          <w:sz w:val="27"/>
          <w:szCs w:val="27"/>
        </w:rPr>
        <w:t xml:space="preserve"> </w:t>
      </w:r>
      <w:r>
        <w:rPr>
          <w:rFonts w:ascii="宋体" w:hAnsi="宋体" w:eastAsia="宋体" w:cs="宋体"/>
          <w:spacing w:val="-10"/>
          <w:sz w:val="27"/>
          <w:szCs w:val="27"/>
        </w:rPr>
        <w:t>艺装置一览表，关键和重要零部件的工艺说明，产品检验记录，元器件、原材料等</w:t>
      </w:r>
      <w:r>
        <w:rPr>
          <w:rFonts w:ascii="宋体" w:hAnsi="宋体" w:eastAsia="宋体" w:cs="宋体"/>
          <w:spacing w:val="1"/>
          <w:sz w:val="27"/>
          <w:szCs w:val="27"/>
        </w:rPr>
        <w:t xml:space="preserve"> </w:t>
      </w:r>
      <w:r>
        <w:rPr>
          <w:rFonts w:ascii="宋体" w:hAnsi="宋体" w:eastAsia="宋体" w:cs="宋体"/>
          <w:spacing w:val="5"/>
          <w:sz w:val="27"/>
          <w:szCs w:val="27"/>
        </w:rPr>
        <w:t>生产准备的有关文件，承研承制单位质量管理体系和产品质量保证的有关文件</w:t>
      </w:r>
      <w:r>
        <w:rPr>
          <w:rFonts w:ascii="宋体" w:hAnsi="宋体" w:eastAsia="宋体" w:cs="宋体"/>
          <w:spacing w:val="10"/>
          <w:sz w:val="27"/>
          <w:szCs w:val="27"/>
        </w:rPr>
        <w:t xml:space="preserve"> </w:t>
      </w:r>
      <w:r>
        <w:rPr>
          <w:rFonts w:ascii="宋体" w:hAnsi="宋体" w:eastAsia="宋体" w:cs="宋体"/>
          <w:spacing w:val="1"/>
          <w:sz w:val="27"/>
          <w:szCs w:val="27"/>
        </w:rPr>
        <w:t>等进行审查的情况和结论。</w:t>
      </w:r>
    </w:p>
    <w:p w14:paraId="16AC8F02">
      <w:pPr>
        <w:spacing w:before="110" w:line="221" w:lineRule="auto"/>
        <w:rPr>
          <w:rFonts w:ascii="黑体" w:hAnsi="黑体" w:eastAsia="黑体" w:cs="黑体"/>
          <w:sz w:val="27"/>
          <w:szCs w:val="27"/>
        </w:rPr>
      </w:pPr>
      <w:r>
        <w:rPr>
          <w:rFonts w:ascii="黑体" w:hAnsi="黑体" w:eastAsia="黑体" w:cs="黑体"/>
          <w:spacing w:val="2"/>
          <w:sz w:val="27"/>
          <w:szCs w:val="27"/>
        </w:rPr>
        <w:t xml:space="preserve">5  </w:t>
      </w:r>
      <w:r>
        <w:rPr>
          <w:rFonts w:ascii="黑体" w:hAnsi="黑体" w:eastAsia="黑体" w:cs="黑体"/>
          <w:b/>
          <w:bCs/>
          <w:spacing w:val="2"/>
          <w:sz w:val="27"/>
          <w:szCs w:val="27"/>
        </w:rPr>
        <w:t>对生产定型的意见及提高质量保证能力的建议</w:t>
      </w:r>
    </w:p>
    <w:p w14:paraId="2A4CCC6A">
      <w:pPr>
        <w:spacing w:before="171" w:line="219" w:lineRule="auto"/>
        <w:ind w:left="550"/>
        <w:rPr>
          <w:rFonts w:ascii="宋体" w:hAnsi="宋体" w:eastAsia="宋体" w:cs="宋体"/>
          <w:sz w:val="27"/>
          <w:szCs w:val="27"/>
        </w:rPr>
      </w:pPr>
      <w:r>
        <w:rPr>
          <w:rFonts w:ascii="宋体" w:hAnsi="宋体" w:eastAsia="宋体" w:cs="宋体"/>
          <w:spacing w:val="4"/>
          <w:sz w:val="27"/>
          <w:szCs w:val="27"/>
        </w:rPr>
        <w:t>明确提出军事代表机构对生产定型的意见及提高质量保证能力的建议。</w:t>
      </w:r>
    </w:p>
    <w:p w14:paraId="5917E33B">
      <w:pPr>
        <w:spacing w:line="219" w:lineRule="auto"/>
        <w:rPr>
          <w:rFonts w:ascii="宋体" w:hAnsi="宋体" w:eastAsia="宋体" w:cs="宋体"/>
          <w:sz w:val="27"/>
          <w:szCs w:val="27"/>
        </w:rPr>
        <w:sectPr>
          <w:footerReference r:id="rId182" w:type="default"/>
          <w:pgSz w:w="11910" w:h="17130"/>
          <w:pgMar w:top="400" w:right="1234" w:bottom="1606" w:left="1190" w:header="0" w:footer="1417" w:gutter="0"/>
          <w:cols w:space="720" w:num="1"/>
        </w:sectPr>
      </w:pPr>
    </w:p>
    <w:p w14:paraId="42B317C9">
      <w:pPr>
        <w:pStyle w:val="2"/>
        <w:spacing w:line="286" w:lineRule="auto"/>
      </w:pPr>
    </w:p>
    <w:p w14:paraId="7204F768">
      <w:pPr>
        <w:pStyle w:val="2"/>
        <w:spacing w:line="286" w:lineRule="auto"/>
      </w:pPr>
    </w:p>
    <w:p w14:paraId="6565044C">
      <w:pPr>
        <w:pStyle w:val="2"/>
        <w:spacing w:line="286" w:lineRule="auto"/>
      </w:pPr>
    </w:p>
    <w:p w14:paraId="04F10885">
      <w:pPr>
        <w:pStyle w:val="2"/>
        <w:spacing w:line="286" w:lineRule="auto"/>
      </w:pPr>
    </w:p>
    <w:p w14:paraId="61EBA4CD">
      <w:pPr>
        <w:pStyle w:val="2"/>
        <w:spacing w:line="286" w:lineRule="auto"/>
      </w:pPr>
    </w:p>
    <w:p w14:paraId="7EF7B4A9">
      <w:pPr>
        <w:spacing w:before="117" w:line="218" w:lineRule="auto"/>
        <w:ind w:left="2669"/>
        <w:outlineLvl w:val="1"/>
        <w:rPr>
          <w:rFonts w:ascii="宋体" w:hAnsi="宋体" w:eastAsia="宋体" w:cs="宋体"/>
          <w:sz w:val="36"/>
          <w:szCs w:val="36"/>
        </w:rPr>
      </w:pPr>
      <w:bookmarkStart w:id="129" w:name="bookmark67"/>
      <w:bookmarkEnd w:id="129"/>
      <w:r>
        <w:rPr>
          <w:rFonts w:ascii="宋体" w:hAnsi="宋体" w:eastAsia="宋体" w:cs="宋体"/>
          <w:spacing w:val="2"/>
          <w:sz w:val="36"/>
          <w:szCs w:val="36"/>
        </w:rPr>
        <w:t xml:space="preserve">1.65  </w:t>
      </w:r>
      <w:r>
        <w:rPr>
          <w:rFonts w:ascii="宋体" w:hAnsi="宋体" w:eastAsia="宋体" w:cs="宋体"/>
          <w:b/>
          <w:bCs/>
          <w:spacing w:val="2"/>
          <w:sz w:val="36"/>
          <w:szCs w:val="36"/>
        </w:rPr>
        <w:t>生产定型申请报告</w:t>
      </w:r>
    </w:p>
    <w:p w14:paraId="0BE4CD87">
      <w:pPr>
        <w:pStyle w:val="2"/>
        <w:spacing w:line="340" w:lineRule="auto"/>
      </w:pPr>
    </w:p>
    <w:p w14:paraId="6B3F1DAE">
      <w:pPr>
        <w:spacing w:before="91" w:line="223" w:lineRule="auto"/>
        <w:ind w:left="55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43"/>
          <w:w w:val="101"/>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6DEF7125">
      <w:pPr>
        <w:pStyle w:val="2"/>
        <w:spacing w:before="151" w:line="221" w:lineRule="auto"/>
        <w:rPr>
          <w:rFonts w:ascii="黑体" w:hAnsi="黑体" w:eastAsia="黑体" w:cs="黑体"/>
          <w:sz w:val="24"/>
          <w:szCs w:val="24"/>
        </w:rPr>
      </w:pPr>
      <w:r>
        <w:rPr>
          <w:b/>
          <w:bCs/>
          <w:spacing w:val="30"/>
          <w:sz w:val="24"/>
          <w:szCs w:val="24"/>
        </w:rPr>
        <w:t>1</w:t>
      </w:r>
      <w:r>
        <w:rPr>
          <w:b/>
          <w:bCs/>
          <w:spacing w:val="6"/>
          <w:sz w:val="24"/>
          <w:szCs w:val="24"/>
        </w:rPr>
        <w:t xml:space="preserve">    </w:t>
      </w:r>
      <w:r>
        <w:rPr>
          <w:rFonts w:ascii="黑体" w:hAnsi="黑体" w:eastAsia="黑体" w:cs="黑体"/>
          <w:b/>
          <w:bCs/>
          <w:spacing w:val="30"/>
          <w:sz w:val="24"/>
          <w:szCs w:val="24"/>
        </w:rPr>
        <w:t>产品试生产概况及生产纲领</w:t>
      </w:r>
    </w:p>
    <w:p w14:paraId="2786C871">
      <w:pPr>
        <w:spacing w:before="70" w:line="312" w:lineRule="auto"/>
        <w:ind w:right="122" w:firstLine="550"/>
        <w:rPr>
          <w:rFonts w:ascii="宋体" w:hAnsi="宋体" w:eastAsia="宋体" w:cs="宋体"/>
          <w:sz w:val="27"/>
          <w:szCs w:val="27"/>
        </w:rPr>
      </w:pPr>
      <w:r>
        <w:rPr>
          <w:rFonts w:ascii="宋体" w:hAnsi="宋体" w:eastAsia="宋体" w:cs="宋体"/>
          <w:spacing w:val="-3"/>
          <w:sz w:val="27"/>
          <w:szCs w:val="27"/>
        </w:rPr>
        <w:t>说明产品试生产概况及生产纲领，包括生产批次、生产批量、时间节点和生</w:t>
      </w:r>
      <w:r>
        <w:rPr>
          <w:rFonts w:ascii="宋体" w:hAnsi="宋体" w:eastAsia="宋体" w:cs="宋体"/>
          <w:sz w:val="27"/>
          <w:szCs w:val="27"/>
        </w:rPr>
        <w:t xml:space="preserve"> </w:t>
      </w:r>
      <w:r>
        <w:rPr>
          <w:rFonts w:ascii="宋体" w:hAnsi="宋体" w:eastAsia="宋体" w:cs="宋体"/>
          <w:spacing w:val="-7"/>
          <w:sz w:val="27"/>
          <w:szCs w:val="27"/>
        </w:rPr>
        <w:t>产过程有关生产准备、生产、生产质量评审等主要工作。</w:t>
      </w:r>
    </w:p>
    <w:p w14:paraId="4A81BA0F">
      <w:pPr>
        <w:spacing w:before="1" w:line="220" w:lineRule="auto"/>
        <w:rPr>
          <w:rFonts w:ascii="黑体" w:hAnsi="黑体" w:eastAsia="黑体" w:cs="黑体"/>
          <w:sz w:val="24"/>
          <w:szCs w:val="24"/>
        </w:rPr>
      </w:pPr>
      <w:r>
        <w:rPr>
          <w:rFonts w:ascii="黑体" w:hAnsi="黑体" w:eastAsia="黑体" w:cs="黑体"/>
          <w:spacing w:val="27"/>
          <w:sz w:val="24"/>
          <w:szCs w:val="24"/>
        </w:rPr>
        <w:t xml:space="preserve">2  </w:t>
      </w:r>
      <w:r>
        <w:rPr>
          <w:rFonts w:ascii="黑体" w:hAnsi="黑体" w:eastAsia="黑体" w:cs="黑体"/>
          <w:b/>
          <w:bCs/>
          <w:spacing w:val="27"/>
          <w:sz w:val="24"/>
          <w:szCs w:val="24"/>
        </w:rPr>
        <w:t>试生产产品质量情况</w:t>
      </w:r>
    </w:p>
    <w:p w14:paraId="345477A9">
      <w:pPr>
        <w:spacing w:before="79" w:line="292" w:lineRule="auto"/>
        <w:ind w:right="123" w:firstLine="550"/>
        <w:rPr>
          <w:rFonts w:ascii="宋体" w:hAnsi="宋体" w:eastAsia="宋体" w:cs="宋体"/>
          <w:sz w:val="27"/>
          <w:szCs w:val="27"/>
        </w:rPr>
      </w:pPr>
      <w:r>
        <w:rPr>
          <w:rFonts w:ascii="宋体" w:hAnsi="宋体" w:eastAsia="宋体" w:cs="宋体"/>
          <w:spacing w:val="-3"/>
          <w:sz w:val="27"/>
          <w:szCs w:val="27"/>
        </w:rPr>
        <w:t>说明试生产产品的质量情况，包括产品试生产总量、产品合格率、一次交验</w:t>
      </w:r>
      <w:r>
        <w:rPr>
          <w:rFonts w:ascii="宋体" w:hAnsi="宋体" w:eastAsia="宋体" w:cs="宋体"/>
          <w:sz w:val="27"/>
          <w:szCs w:val="27"/>
        </w:rPr>
        <w:t xml:space="preserve"> </w:t>
      </w:r>
      <w:r>
        <w:rPr>
          <w:rFonts w:ascii="宋体" w:hAnsi="宋体" w:eastAsia="宋体" w:cs="宋体"/>
          <w:spacing w:val="-4"/>
          <w:sz w:val="27"/>
          <w:szCs w:val="27"/>
        </w:rPr>
        <w:t>合格率等内容，以及不合格品的处置情况。</w:t>
      </w:r>
    </w:p>
    <w:p w14:paraId="47448DFA">
      <w:pPr>
        <w:spacing w:before="1" w:line="220" w:lineRule="auto"/>
        <w:rPr>
          <w:rFonts w:ascii="黑体" w:hAnsi="黑体" w:eastAsia="黑体" w:cs="黑体"/>
          <w:sz w:val="27"/>
          <w:szCs w:val="27"/>
        </w:rPr>
      </w:pPr>
      <w:r>
        <w:rPr>
          <w:rFonts w:ascii="黑体" w:hAnsi="黑体" w:eastAsia="黑体" w:cs="黑体"/>
          <w:spacing w:val="2"/>
          <w:sz w:val="27"/>
          <w:szCs w:val="27"/>
        </w:rPr>
        <w:t xml:space="preserve">3  </w:t>
      </w:r>
      <w:r>
        <w:rPr>
          <w:rFonts w:ascii="黑体" w:hAnsi="黑体" w:eastAsia="黑体" w:cs="黑体"/>
          <w:b/>
          <w:bCs/>
          <w:spacing w:val="2"/>
          <w:sz w:val="27"/>
          <w:szCs w:val="27"/>
        </w:rPr>
        <w:t>试生产过程中解决的主要生产技术问题</w:t>
      </w:r>
    </w:p>
    <w:p w14:paraId="3A8FAC64">
      <w:pPr>
        <w:spacing w:before="91" w:line="289" w:lineRule="auto"/>
        <w:ind w:right="103" w:firstLine="550"/>
        <w:rPr>
          <w:rFonts w:ascii="宋体" w:hAnsi="宋体" w:eastAsia="宋体" w:cs="宋体"/>
          <w:sz w:val="27"/>
          <w:szCs w:val="27"/>
        </w:rPr>
      </w:pPr>
      <w:r>
        <w:rPr>
          <w:rFonts w:ascii="宋体" w:hAnsi="宋体" w:eastAsia="宋体" w:cs="宋体"/>
          <w:spacing w:val="6"/>
          <w:sz w:val="27"/>
          <w:szCs w:val="27"/>
        </w:rPr>
        <w:t>说明试生产过程中出现的主要生产技术问题及解决情况，包括生产技</w:t>
      </w:r>
      <w:r>
        <w:rPr>
          <w:rFonts w:ascii="宋体" w:hAnsi="宋体" w:eastAsia="宋体" w:cs="宋体"/>
          <w:spacing w:val="5"/>
          <w:sz w:val="27"/>
          <w:szCs w:val="27"/>
        </w:rPr>
        <w:t>术问</w:t>
      </w:r>
      <w:r>
        <w:rPr>
          <w:rFonts w:ascii="宋体" w:hAnsi="宋体" w:eastAsia="宋体" w:cs="宋体"/>
          <w:sz w:val="27"/>
          <w:szCs w:val="27"/>
        </w:rPr>
        <w:t xml:space="preserve"> </w:t>
      </w:r>
      <w:r>
        <w:rPr>
          <w:rFonts w:ascii="宋体" w:hAnsi="宋体" w:eastAsia="宋体" w:cs="宋体"/>
          <w:spacing w:val="-9"/>
          <w:sz w:val="27"/>
          <w:szCs w:val="27"/>
        </w:rPr>
        <w:t>题描述、原因分析、解决措施和验证归零情况。</w:t>
      </w:r>
    </w:p>
    <w:p w14:paraId="00468D14">
      <w:pPr>
        <w:pStyle w:val="2"/>
        <w:spacing w:before="1" w:line="220" w:lineRule="auto"/>
        <w:rPr>
          <w:rFonts w:ascii="黑体" w:hAnsi="黑体" w:eastAsia="黑体" w:cs="黑体"/>
          <w:sz w:val="27"/>
          <w:szCs w:val="27"/>
        </w:rPr>
      </w:pPr>
      <w:r>
        <w:rPr>
          <w:b/>
          <w:bCs/>
          <w:spacing w:val="-8"/>
          <w:sz w:val="27"/>
          <w:szCs w:val="27"/>
        </w:rPr>
        <w:t xml:space="preserve">4   </w:t>
      </w:r>
      <w:r>
        <w:rPr>
          <w:rFonts w:ascii="黑体" w:hAnsi="黑体" w:eastAsia="黑体" w:cs="黑体"/>
          <w:b/>
          <w:bCs/>
          <w:spacing w:val="-8"/>
          <w:sz w:val="27"/>
          <w:szCs w:val="27"/>
        </w:rPr>
        <w:t>工艺和生产条件考核、部队试用、生产定型试验情况</w:t>
      </w:r>
    </w:p>
    <w:p w14:paraId="65529F10">
      <w:pPr>
        <w:spacing w:before="100" w:line="222" w:lineRule="auto"/>
        <w:rPr>
          <w:rFonts w:ascii="黑体" w:hAnsi="黑体" w:eastAsia="黑体" w:cs="黑体"/>
          <w:sz w:val="27"/>
          <w:szCs w:val="27"/>
        </w:rPr>
      </w:pPr>
      <w:r>
        <w:rPr>
          <w:rFonts w:ascii="黑体" w:hAnsi="黑体" w:eastAsia="黑体" w:cs="黑体"/>
          <w:spacing w:val="3"/>
          <w:sz w:val="27"/>
          <w:szCs w:val="27"/>
        </w:rPr>
        <w:t xml:space="preserve">4.1  </w:t>
      </w:r>
      <w:r>
        <w:rPr>
          <w:rFonts w:ascii="黑体" w:hAnsi="黑体" w:eastAsia="黑体" w:cs="黑体"/>
          <w:b/>
          <w:bCs/>
          <w:spacing w:val="3"/>
          <w:sz w:val="27"/>
          <w:szCs w:val="27"/>
        </w:rPr>
        <w:t>工艺和生产条件考核情况</w:t>
      </w:r>
    </w:p>
    <w:p w14:paraId="08BB3928">
      <w:pPr>
        <w:spacing w:before="101" w:line="286" w:lineRule="auto"/>
        <w:ind w:right="102" w:firstLine="550"/>
        <w:jc w:val="both"/>
        <w:rPr>
          <w:rFonts w:ascii="宋体" w:hAnsi="宋体" w:eastAsia="宋体" w:cs="宋体"/>
          <w:sz w:val="27"/>
          <w:szCs w:val="27"/>
        </w:rPr>
      </w:pPr>
      <w:r>
        <w:rPr>
          <w:rFonts w:ascii="宋体" w:hAnsi="宋体" w:eastAsia="宋体" w:cs="宋体"/>
          <w:spacing w:val="-3"/>
          <w:sz w:val="27"/>
          <w:szCs w:val="27"/>
        </w:rPr>
        <w:t>说明产品工艺和生产条件考核情况，包括考核时间、考核组成员、考核内容</w:t>
      </w:r>
      <w:r>
        <w:rPr>
          <w:rFonts w:ascii="宋体" w:hAnsi="宋体" w:eastAsia="宋体" w:cs="宋体"/>
          <w:spacing w:val="1"/>
          <w:sz w:val="27"/>
          <w:szCs w:val="27"/>
        </w:rPr>
        <w:t xml:space="preserve"> </w:t>
      </w:r>
      <w:r>
        <w:rPr>
          <w:rFonts w:ascii="宋体" w:hAnsi="宋体" w:eastAsia="宋体" w:cs="宋体"/>
          <w:spacing w:val="-6"/>
          <w:sz w:val="27"/>
          <w:szCs w:val="27"/>
        </w:rPr>
        <w:t>(生产工艺流程，工艺指令性文件和全套工艺规程，工艺</w:t>
      </w:r>
      <w:r>
        <w:rPr>
          <w:rFonts w:ascii="宋体" w:hAnsi="宋体" w:eastAsia="宋体" w:cs="宋体"/>
          <w:spacing w:val="-7"/>
          <w:sz w:val="27"/>
          <w:szCs w:val="27"/>
        </w:rPr>
        <w:t>装置设计图样，工序、特</w:t>
      </w:r>
      <w:r>
        <w:rPr>
          <w:rFonts w:ascii="宋体" w:hAnsi="宋体" w:eastAsia="宋体" w:cs="宋体"/>
          <w:sz w:val="27"/>
          <w:szCs w:val="27"/>
        </w:rPr>
        <w:t xml:space="preserve"> </w:t>
      </w:r>
      <w:r>
        <w:rPr>
          <w:rFonts w:ascii="宋体" w:hAnsi="宋体" w:eastAsia="宋体" w:cs="宋体"/>
          <w:spacing w:val="-2"/>
          <w:sz w:val="27"/>
          <w:szCs w:val="27"/>
        </w:rPr>
        <w:t>殊工艺考核报告及工艺装置，关键和重要零部件的工艺说明，产品检验记录，承</w:t>
      </w:r>
      <w:r>
        <w:rPr>
          <w:rFonts w:ascii="宋体" w:hAnsi="宋体" w:eastAsia="宋体" w:cs="宋体"/>
          <w:spacing w:val="1"/>
          <w:sz w:val="27"/>
          <w:szCs w:val="27"/>
        </w:rPr>
        <w:t xml:space="preserve"> </w:t>
      </w:r>
      <w:r>
        <w:rPr>
          <w:rFonts w:ascii="宋体" w:hAnsi="宋体" w:eastAsia="宋体" w:cs="宋体"/>
          <w:spacing w:val="-3"/>
          <w:sz w:val="27"/>
          <w:szCs w:val="27"/>
        </w:rPr>
        <w:t>研承制单位质量管理体系和产品质量保证的有关文件，元器件、原材料等生产准</w:t>
      </w:r>
      <w:r>
        <w:rPr>
          <w:rFonts w:ascii="宋体" w:hAnsi="宋体" w:eastAsia="宋体" w:cs="宋体"/>
          <w:spacing w:val="16"/>
          <w:sz w:val="27"/>
          <w:szCs w:val="27"/>
        </w:rPr>
        <w:t xml:space="preserve"> </w:t>
      </w:r>
      <w:r>
        <w:rPr>
          <w:rFonts w:ascii="宋体" w:hAnsi="宋体" w:eastAsia="宋体" w:cs="宋体"/>
          <w:spacing w:val="3"/>
          <w:sz w:val="27"/>
          <w:szCs w:val="27"/>
        </w:rPr>
        <w:t>备的有关文件)和考核结论性意见。</w:t>
      </w:r>
    </w:p>
    <w:p w14:paraId="4CA470E3">
      <w:pPr>
        <w:spacing w:before="10" w:line="221" w:lineRule="auto"/>
        <w:rPr>
          <w:rFonts w:ascii="黑体" w:hAnsi="黑体" w:eastAsia="黑体" w:cs="黑体"/>
          <w:sz w:val="27"/>
          <w:szCs w:val="27"/>
        </w:rPr>
      </w:pPr>
      <w:r>
        <w:rPr>
          <w:rFonts w:ascii="黑体" w:hAnsi="黑体" w:eastAsia="黑体" w:cs="黑体"/>
          <w:spacing w:val="1"/>
          <w:sz w:val="27"/>
          <w:szCs w:val="27"/>
        </w:rPr>
        <w:t>4.2</w:t>
      </w:r>
      <w:r>
        <w:rPr>
          <w:rFonts w:ascii="黑体" w:hAnsi="黑体" w:eastAsia="黑体" w:cs="黑体"/>
          <w:spacing w:val="17"/>
          <w:sz w:val="27"/>
          <w:szCs w:val="27"/>
        </w:rPr>
        <w:t xml:space="preserve">  </w:t>
      </w:r>
      <w:r>
        <w:rPr>
          <w:rFonts w:ascii="黑体" w:hAnsi="黑体" w:eastAsia="黑体" w:cs="黑体"/>
          <w:b/>
          <w:bCs/>
          <w:spacing w:val="1"/>
          <w:sz w:val="27"/>
          <w:szCs w:val="27"/>
        </w:rPr>
        <w:t>部队试用情况</w:t>
      </w:r>
    </w:p>
    <w:p w14:paraId="21149643">
      <w:pPr>
        <w:spacing w:before="81" w:line="296" w:lineRule="auto"/>
        <w:ind w:firstLine="550"/>
        <w:rPr>
          <w:rFonts w:ascii="宋体" w:hAnsi="宋体" w:eastAsia="宋体" w:cs="宋体"/>
          <w:sz w:val="27"/>
          <w:szCs w:val="27"/>
        </w:rPr>
      </w:pPr>
      <w:r>
        <w:rPr>
          <w:rFonts w:ascii="宋体" w:hAnsi="宋体" w:eastAsia="宋体" w:cs="宋体"/>
          <w:spacing w:val="-7"/>
          <w:sz w:val="27"/>
          <w:szCs w:val="27"/>
        </w:rPr>
        <w:t>说明部队试用情况，包括试用依据及代号、承试单位和参试</w:t>
      </w:r>
      <w:r>
        <w:rPr>
          <w:rFonts w:ascii="宋体" w:hAnsi="宋体" w:eastAsia="宋体" w:cs="宋体"/>
          <w:spacing w:val="-8"/>
          <w:sz w:val="27"/>
          <w:szCs w:val="27"/>
        </w:rPr>
        <w:t>单位、试用地点、</w:t>
      </w:r>
      <w:r>
        <w:rPr>
          <w:rFonts w:ascii="宋体" w:hAnsi="宋体" w:eastAsia="宋体" w:cs="宋体"/>
          <w:sz w:val="27"/>
          <w:szCs w:val="27"/>
        </w:rPr>
        <w:t xml:space="preserve"> </w:t>
      </w:r>
      <w:r>
        <w:rPr>
          <w:rFonts w:ascii="宋体" w:hAnsi="宋体" w:eastAsia="宋体" w:cs="宋体"/>
          <w:spacing w:val="-3"/>
          <w:sz w:val="27"/>
          <w:szCs w:val="27"/>
        </w:rPr>
        <w:t>起止时间、试用项目和试用结论等内容。</w:t>
      </w:r>
    </w:p>
    <w:p w14:paraId="2247C934">
      <w:pPr>
        <w:spacing w:before="2" w:line="220" w:lineRule="auto"/>
        <w:rPr>
          <w:rFonts w:ascii="黑体" w:hAnsi="黑体" w:eastAsia="黑体" w:cs="黑体"/>
          <w:sz w:val="27"/>
          <w:szCs w:val="27"/>
        </w:rPr>
      </w:pPr>
      <w:r>
        <w:rPr>
          <w:rFonts w:ascii="黑体" w:hAnsi="黑体" w:eastAsia="黑体" w:cs="黑体"/>
          <w:sz w:val="27"/>
          <w:szCs w:val="27"/>
        </w:rPr>
        <w:t>4.3</w:t>
      </w:r>
      <w:r>
        <w:rPr>
          <w:rFonts w:ascii="黑体" w:hAnsi="黑体" w:eastAsia="黑体" w:cs="黑体"/>
          <w:spacing w:val="18"/>
          <w:sz w:val="27"/>
          <w:szCs w:val="27"/>
        </w:rPr>
        <w:t xml:space="preserve">  </w:t>
      </w:r>
      <w:r>
        <w:rPr>
          <w:rFonts w:ascii="黑体" w:hAnsi="黑体" w:eastAsia="黑体" w:cs="黑体"/>
          <w:b/>
          <w:bCs/>
          <w:sz w:val="27"/>
          <w:szCs w:val="27"/>
        </w:rPr>
        <w:t>生产定型试验情况</w:t>
      </w:r>
    </w:p>
    <w:p w14:paraId="78E8B31A">
      <w:pPr>
        <w:spacing w:before="112" w:line="276" w:lineRule="auto"/>
        <w:ind w:right="124" w:firstLine="550"/>
        <w:rPr>
          <w:rFonts w:ascii="宋体" w:hAnsi="宋体" w:eastAsia="宋体" w:cs="宋体"/>
          <w:sz w:val="27"/>
          <w:szCs w:val="27"/>
        </w:rPr>
      </w:pPr>
      <w:r>
        <w:rPr>
          <w:rFonts w:ascii="宋体" w:hAnsi="宋体" w:eastAsia="宋体" w:cs="宋体"/>
          <w:spacing w:val="-3"/>
          <w:sz w:val="27"/>
          <w:szCs w:val="27"/>
        </w:rPr>
        <w:t>说明产品生产定型试验情况，包括试验依据、承试单位和参试单位、试</w:t>
      </w:r>
      <w:r>
        <w:rPr>
          <w:rFonts w:ascii="宋体" w:hAnsi="宋体" w:eastAsia="宋体" w:cs="宋体"/>
          <w:spacing w:val="-4"/>
          <w:sz w:val="27"/>
          <w:szCs w:val="27"/>
        </w:rPr>
        <w:t>验地</w:t>
      </w:r>
      <w:r>
        <w:rPr>
          <w:rFonts w:ascii="宋体" w:hAnsi="宋体" w:eastAsia="宋体" w:cs="宋体"/>
          <w:sz w:val="27"/>
          <w:szCs w:val="27"/>
        </w:rPr>
        <w:t xml:space="preserve"> </w:t>
      </w:r>
      <w:r>
        <w:rPr>
          <w:rFonts w:ascii="宋体" w:hAnsi="宋体" w:eastAsia="宋体" w:cs="宋体"/>
          <w:spacing w:val="-10"/>
          <w:sz w:val="27"/>
          <w:szCs w:val="27"/>
        </w:rPr>
        <w:t>点、起止时间、试验项目和试验结论等内容。</w:t>
      </w:r>
    </w:p>
    <w:p w14:paraId="03FD2AA4">
      <w:pPr>
        <w:spacing w:before="7" w:line="221"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10"/>
          <w:sz w:val="27"/>
          <w:szCs w:val="27"/>
        </w:rPr>
        <w:t xml:space="preserve">  </w:t>
      </w:r>
      <w:r>
        <w:rPr>
          <w:rFonts w:ascii="黑体" w:hAnsi="黑体" w:eastAsia="黑体" w:cs="黑体"/>
          <w:b/>
          <w:bCs/>
          <w:spacing w:val="1"/>
          <w:sz w:val="27"/>
          <w:szCs w:val="27"/>
        </w:rPr>
        <w:t>设计定型和部队试用提出的技术问题的解决程度</w:t>
      </w:r>
    </w:p>
    <w:p w14:paraId="30B6AB24">
      <w:pPr>
        <w:spacing w:before="127" w:line="222" w:lineRule="auto"/>
        <w:rPr>
          <w:rFonts w:ascii="黑体" w:hAnsi="黑体" w:eastAsia="黑体" w:cs="黑体"/>
          <w:sz w:val="24"/>
          <w:szCs w:val="24"/>
        </w:rPr>
      </w:pPr>
      <w:r>
        <w:rPr>
          <w:rFonts w:ascii="黑体" w:hAnsi="黑体" w:eastAsia="黑体" w:cs="黑体"/>
          <w:spacing w:val="27"/>
          <w:sz w:val="24"/>
          <w:szCs w:val="24"/>
        </w:rPr>
        <w:t>5.1</w:t>
      </w:r>
      <w:r>
        <w:rPr>
          <w:rFonts w:ascii="黑体" w:hAnsi="黑体" w:eastAsia="黑体" w:cs="黑体"/>
          <w:spacing w:val="62"/>
          <w:sz w:val="24"/>
          <w:szCs w:val="24"/>
        </w:rPr>
        <w:t xml:space="preserve">  </w:t>
      </w:r>
      <w:r>
        <w:rPr>
          <w:rFonts w:ascii="黑体" w:hAnsi="黑体" w:eastAsia="黑体" w:cs="黑体"/>
          <w:b/>
          <w:bCs/>
          <w:spacing w:val="27"/>
          <w:sz w:val="24"/>
          <w:szCs w:val="24"/>
        </w:rPr>
        <w:t>设计定型时提出的技术问题及解决程度</w:t>
      </w:r>
    </w:p>
    <w:p w14:paraId="4CBFE7C6">
      <w:pPr>
        <w:spacing w:before="106" w:line="289" w:lineRule="auto"/>
        <w:ind w:right="103" w:firstLine="550"/>
        <w:rPr>
          <w:rFonts w:ascii="宋体" w:hAnsi="宋体" w:eastAsia="宋体" w:cs="宋体"/>
          <w:sz w:val="27"/>
          <w:szCs w:val="27"/>
        </w:rPr>
      </w:pPr>
      <w:r>
        <w:rPr>
          <w:rFonts w:ascii="宋体" w:hAnsi="宋体" w:eastAsia="宋体" w:cs="宋体"/>
          <w:spacing w:val="6"/>
          <w:sz w:val="27"/>
          <w:szCs w:val="27"/>
        </w:rPr>
        <w:t>说明设计定型时提出的技术问题及解决情况，包括技术问题描述、原</w:t>
      </w:r>
      <w:r>
        <w:rPr>
          <w:rFonts w:ascii="宋体" w:hAnsi="宋体" w:eastAsia="宋体" w:cs="宋体"/>
          <w:spacing w:val="5"/>
          <w:sz w:val="27"/>
          <w:szCs w:val="27"/>
        </w:rPr>
        <w:t>因分</w:t>
      </w:r>
      <w:r>
        <w:rPr>
          <w:rFonts w:ascii="宋体" w:hAnsi="宋体" w:eastAsia="宋体" w:cs="宋体"/>
          <w:sz w:val="27"/>
          <w:szCs w:val="27"/>
        </w:rPr>
        <w:t xml:space="preserve"> </w:t>
      </w:r>
      <w:r>
        <w:rPr>
          <w:rFonts w:ascii="宋体" w:hAnsi="宋体" w:eastAsia="宋体" w:cs="宋体"/>
          <w:spacing w:val="-7"/>
          <w:sz w:val="27"/>
          <w:szCs w:val="27"/>
        </w:rPr>
        <w:t>析、解决措施和验证归零情况。</w:t>
      </w:r>
    </w:p>
    <w:p w14:paraId="3A7A43A3">
      <w:pPr>
        <w:spacing w:before="1" w:line="220" w:lineRule="auto"/>
        <w:rPr>
          <w:rFonts w:ascii="黑体" w:hAnsi="黑体" w:eastAsia="黑体" w:cs="黑体"/>
          <w:sz w:val="27"/>
          <w:szCs w:val="27"/>
        </w:rPr>
      </w:pPr>
      <w:r>
        <w:rPr>
          <w:rFonts w:ascii="黑体" w:hAnsi="黑体" w:eastAsia="黑体" w:cs="黑体"/>
          <w:spacing w:val="2"/>
          <w:sz w:val="27"/>
          <w:szCs w:val="27"/>
        </w:rPr>
        <w:t xml:space="preserve">5.2  </w:t>
      </w:r>
      <w:r>
        <w:rPr>
          <w:rFonts w:ascii="黑体" w:hAnsi="黑体" w:eastAsia="黑体" w:cs="黑体"/>
          <w:b/>
          <w:bCs/>
          <w:spacing w:val="2"/>
          <w:sz w:val="27"/>
          <w:szCs w:val="27"/>
        </w:rPr>
        <w:t>部队试用提出的技术问题的解决程度</w:t>
      </w:r>
    </w:p>
    <w:p w14:paraId="68BA15E3">
      <w:pPr>
        <w:spacing w:before="104" w:line="289" w:lineRule="auto"/>
        <w:ind w:firstLine="550"/>
        <w:rPr>
          <w:rFonts w:ascii="宋体" w:hAnsi="宋体" w:eastAsia="宋体" w:cs="宋体"/>
          <w:sz w:val="27"/>
          <w:szCs w:val="27"/>
        </w:rPr>
      </w:pPr>
      <w:r>
        <w:rPr>
          <w:rFonts w:ascii="宋体" w:hAnsi="宋体" w:eastAsia="宋体" w:cs="宋体"/>
          <w:spacing w:val="1"/>
          <w:sz w:val="27"/>
          <w:szCs w:val="27"/>
        </w:rPr>
        <w:t>说明部队试用提出的技术问题及解决情况，包括技术问</w:t>
      </w:r>
      <w:r>
        <w:rPr>
          <w:rFonts w:ascii="宋体" w:hAnsi="宋体" w:eastAsia="宋体" w:cs="宋体"/>
          <w:sz w:val="27"/>
          <w:szCs w:val="27"/>
        </w:rPr>
        <w:t xml:space="preserve">题描述、原因分析、 </w:t>
      </w:r>
      <w:r>
        <w:rPr>
          <w:rFonts w:ascii="宋体" w:hAnsi="宋体" w:eastAsia="宋体" w:cs="宋体"/>
          <w:spacing w:val="2"/>
          <w:sz w:val="27"/>
          <w:szCs w:val="27"/>
        </w:rPr>
        <w:t>解决措施和验证归零情况。</w:t>
      </w:r>
    </w:p>
    <w:p w14:paraId="75F4A6EB">
      <w:pPr>
        <w:spacing w:line="289" w:lineRule="auto"/>
        <w:rPr>
          <w:rFonts w:ascii="宋体" w:hAnsi="宋体" w:eastAsia="宋体" w:cs="宋体"/>
          <w:sz w:val="27"/>
          <w:szCs w:val="27"/>
        </w:rPr>
        <w:sectPr>
          <w:footerReference r:id="rId183" w:type="default"/>
          <w:pgSz w:w="11910" w:h="17130"/>
          <w:pgMar w:top="400" w:right="834" w:bottom="1553" w:left="1589" w:header="0" w:footer="1355" w:gutter="0"/>
          <w:cols w:space="720" w:num="1"/>
        </w:sectPr>
      </w:pPr>
    </w:p>
    <w:p w14:paraId="2D46BCEA">
      <w:pPr>
        <w:pStyle w:val="2"/>
        <w:spacing w:line="270" w:lineRule="auto"/>
      </w:pPr>
    </w:p>
    <w:p w14:paraId="6C125442">
      <w:pPr>
        <w:pStyle w:val="2"/>
        <w:spacing w:line="270" w:lineRule="auto"/>
      </w:pPr>
    </w:p>
    <w:p w14:paraId="02AE14A9">
      <w:pPr>
        <w:pStyle w:val="2"/>
        <w:spacing w:line="270" w:lineRule="auto"/>
      </w:pPr>
    </w:p>
    <w:p w14:paraId="20F2A41B">
      <w:pPr>
        <w:pStyle w:val="2"/>
        <w:spacing w:line="271" w:lineRule="auto"/>
      </w:pPr>
    </w:p>
    <w:p w14:paraId="40A1C1C4">
      <w:pPr>
        <w:spacing w:before="87" w:line="222"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产品批量生产条件形成的程度</w:t>
      </w:r>
    </w:p>
    <w:p w14:paraId="5B72040B">
      <w:pPr>
        <w:spacing w:before="60" w:line="292" w:lineRule="auto"/>
        <w:ind w:right="84" w:firstLine="560"/>
        <w:rPr>
          <w:rFonts w:ascii="宋体" w:hAnsi="宋体" w:eastAsia="宋体" w:cs="宋体"/>
          <w:sz w:val="27"/>
          <w:szCs w:val="27"/>
        </w:rPr>
      </w:pPr>
      <w:r>
        <w:rPr>
          <w:rFonts w:ascii="宋体" w:hAnsi="宋体" w:eastAsia="宋体" w:cs="宋体"/>
          <w:spacing w:val="5"/>
          <w:sz w:val="27"/>
          <w:szCs w:val="27"/>
        </w:rPr>
        <w:t>从人员、设备、材料、方法、环境和测量等方面说明批量生产条件形成的</w:t>
      </w:r>
      <w:r>
        <w:rPr>
          <w:rFonts w:ascii="宋体" w:hAnsi="宋体" w:eastAsia="宋体" w:cs="宋体"/>
          <w:spacing w:val="9"/>
          <w:sz w:val="27"/>
          <w:szCs w:val="27"/>
        </w:rPr>
        <w:t xml:space="preserve"> </w:t>
      </w:r>
      <w:r>
        <w:rPr>
          <w:rFonts w:ascii="宋体" w:hAnsi="宋体" w:eastAsia="宋体" w:cs="宋体"/>
          <w:spacing w:val="-4"/>
          <w:sz w:val="27"/>
          <w:szCs w:val="27"/>
        </w:rPr>
        <w:t>程度。</w:t>
      </w:r>
    </w:p>
    <w:p w14:paraId="2A7D7D99">
      <w:pPr>
        <w:spacing w:before="1" w:line="220" w:lineRule="auto"/>
        <w:rPr>
          <w:rFonts w:ascii="黑体" w:hAnsi="黑体" w:eastAsia="黑体" w:cs="黑体"/>
          <w:sz w:val="24"/>
          <w:szCs w:val="24"/>
        </w:rPr>
      </w:pPr>
      <w:r>
        <w:rPr>
          <w:rFonts w:ascii="黑体" w:hAnsi="黑体" w:eastAsia="黑体" w:cs="黑体"/>
          <w:spacing w:val="23"/>
          <w:sz w:val="24"/>
          <w:szCs w:val="24"/>
        </w:rPr>
        <w:t>7</w:t>
      </w:r>
      <w:r>
        <w:rPr>
          <w:rFonts w:ascii="黑体" w:hAnsi="黑体" w:eastAsia="黑体" w:cs="黑体"/>
          <w:spacing w:val="33"/>
          <w:sz w:val="24"/>
          <w:szCs w:val="24"/>
        </w:rPr>
        <w:t xml:space="preserve">  </w:t>
      </w:r>
      <w:r>
        <w:rPr>
          <w:rFonts w:ascii="黑体" w:hAnsi="黑体" w:eastAsia="黑体" w:cs="黑体"/>
          <w:b/>
          <w:bCs/>
          <w:spacing w:val="23"/>
          <w:sz w:val="24"/>
          <w:szCs w:val="24"/>
        </w:rPr>
        <w:t>生产定型意见</w:t>
      </w:r>
    </w:p>
    <w:p w14:paraId="19C6D222">
      <w:pPr>
        <w:spacing w:before="97" w:line="302" w:lineRule="auto"/>
        <w:ind w:right="96" w:firstLine="560"/>
        <w:rPr>
          <w:rFonts w:ascii="宋体" w:hAnsi="宋体" w:eastAsia="宋体" w:cs="宋体"/>
          <w:sz w:val="25"/>
          <w:szCs w:val="25"/>
        </w:rPr>
      </w:pPr>
      <w:r>
        <w:rPr>
          <w:rFonts w:ascii="宋体" w:hAnsi="宋体" w:eastAsia="宋体" w:cs="宋体"/>
          <w:spacing w:val="9"/>
          <w:sz w:val="25"/>
          <w:szCs w:val="25"/>
        </w:rPr>
        <w:t>简要说明生产定型审查会概况，包括审查会时间、地点、</w:t>
      </w:r>
      <w:r>
        <w:rPr>
          <w:rFonts w:ascii="宋体" w:hAnsi="宋体" w:eastAsia="宋体" w:cs="宋体"/>
          <w:spacing w:val="8"/>
          <w:sz w:val="25"/>
          <w:szCs w:val="25"/>
        </w:rPr>
        <w:t>主持单位、审查组组</w:t>
      </w:r>
      <w:r>
        <w:rPr>
          <w:rFonts w:ascii="宋体" w:hAnsi="宋体" w:eastAsia="宋体" w:cs="宋体"/>
          <w:sz w:val="25"/>
          <w:szCs w:val="25"/>
        </w:rPr>
        <w:t xml:space="preserve"> </w:t>
      </w:r>
      <w:r>
        <w:rPr>
          <w:rFonts w:ascii="宋体" w:hAnsi="宋体" w:eastAsia="宋体" w:cs="宋体"/>
          <w:spacing w:val="13"/>
          <w:sz w:val="25"/>
          <w:szCs w:val="25"/>
        </w:rPr>
        <w:t>成、审查会议程等，给出生产定型审查会形成的审查意见。</w:t>
      </w:r>
    </w:p>
    <w:p w14:paraId="675DDD88">
      <w:pPr>
        <w:spacing w:line="222" w:lineRule="auto"/>
        <w:ind w:left="3"/>
        <w:rPr>
          <w:rFonts w:ascii="黑体" w:hAnsi="黑体" w:eastAsia="黑体" w:cs="黑体"/>
          <w:sz w:val="27"/>
          <w:szCs w:val="27"/>
        </w:rPr>
      </w:pPr>
      <w:r>
        <w:rPr>
          <w:rFonts w:ascii="黑体" w:hAnsi="黑体" w:eastAsia="黑体" w:cs="黑体"/>
          <w:b/>
          <w:bCs/>
          <w:spacing w:val="-16"/>
          <w:sz w:val="27"/>
          <w:szCs w:val="27"/>
        </w:rPr>
        <w:t>附：申请报告附件</w:t>
      </w:r>
    </w:p>
    <w:p w14:paraId="6912A71F">
      <w:pPr>
        <w:spacing w:before="86" w:line="218" w:lineRule="auto"/>
        <w:ind w:left="560"/>
        <w:rPr>
          <w:rFonts w:ascii="宋体" w:hAnsi="宋体" w:eastAsia="宋体" w:cs="宋体"/>
          <w:sz w:val="27"/>
          <w:szCs w:val="27"/>
        </w:rPr>
      </w:pPr>
      <w:r>
        <w:rPr>
          <w:rFonts w:ascii="宋体" w:hAnsi="宋体" w:eastAsia="宋体" w:cs="宋体"/>
          <w:spacing w:val="1"/>
          <w:sz w:val="27"/>
          <w:szCs w:val="27"/>
        </w:rPr>
        <w:t>申请报告后应提供以下附件。</w:t>
      </w:r>
    </w:p>
    <w:p w14:paraId="43BF24F4">
      <w:pPr>
        <w:spacing w:before="53"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56"/>
          <w:w w:val="101"/>
          <w:sz w:val="27"/>
          <w:szCs w:val="27"/>
        </w:rPr>
        <w:t xml:space="preserve"> </w:t>
      </w:r>
      <w:r>
        <w:rPr>
          <w:rFonts w:ascii="宋体" w:hAnsi="宋体" w:eastAsia="宋体" w:cs="宋体"/>
          <w:spacing w:val="3"/>
          <w:sz w:val="27"/>
          <w:szCs w:val="27"/>
        </w:rPr>
        <w:t>产品试生产总结；</w:t>
      </w:r>
    </w:p>
    <w:p w14:paraId="7E5FF1F8">
      <w:pPr>
        <w:spacing w:before="9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b)</w:t>
      </w:r>
      <w:r>
        <w:rPr>
          <w:rFonts w:ascii="Times New Roman" w:hAnsi="Times New Roman" w:eastAsia="Times New Roman" w:cs="Times New Roman"/>
          <w:spacing w:val="66"/>
          <w:sz w:val="27"/>
          <w:szCs w:val="27"/>
        </w:rPr>
        <w:t xml:space="preserve"> </w:t>
      </w:r>
      <w:r>
        <w:rPr>
          <w:rFonts w:ascii="宋体" w:hAnsi="宋体" w:eastAsia="宋体" w:cs="宋体"/>
          <w:spacing w:val="3"/>
          <w:sz w:val="27"/>
          <w:szCs w:val="27"/>
        </w:rPr>
        <w:t>军事代表机构质量监督报告；</w:t>
      </w:r>
    </w:p>
    <w:p w14:paraId="0D55449B">
      <w:pPr>
        <w:spacing w:before="100" w:line="212" w:lineRule="auto"/>
        <w:ind w:left="560"/>
        <w:rPr>
          <w:rFonts w:ascii="宋体" w:hAnsi="宋体" w:eastAsia="宋体" w:cs="宋体"/>
          <w:sz w:val="27"/>
          <w:szCs w:val="27"/>
        </w:rPr>
      </w:pPr>
      <w:r>
        <w:rPr>
          <w:rFonts w:ascii="Times New Roman" w:hAnsi="Times New Roman" w:eastAsia="Times New Roman" w:cs="Times New Roman"/>
          <w:sz w:val="27"/>
          <w:szCs w:val="27"/>
        </w:rPr>
        <w:t>c)</w:t>
      </w:r>
      <w:r>
        <w:rPr>
          <w:rFonts w:ascii="Times New Roman" w:hAnsi="Times New Roman" w:eastAsia="Times New Roman" w:cs="Times New Roman"/>
          <w:spacing w:val="66"/>
          <w:w w:val="101"/>
          <w:sz w:val="27"/>
          <w:szCs w:val="27"/>
        </w:rPr>
        <w:t xml:space="preserve"> </w:t>
      </w:r>
      <w:r>
        <w:rPr>
          <w:rFonts w:ascii="宋体" w:hAnsi="宋体" w:eastAsia="宋体" w:cs="宋体"/>
          <w:sz w:val="27"/>
          <w:szCs w:val="27"/>
        </w:rPr>
        <w:t>质量分析报告；</w:t>
      </w:r>
    </w:p>
    <w:p w14:paraId="149DF155">
      <w:pPr>
        <w:spacing w:before="100"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d)</w:t>
      </w:r>
      <w:r>
        <w:rPr>
          <w:rFonts w:ascii="Times New Roman" w:hAnsi="Times New Roman" w:eastAsia="Times New Roman" w:cs="Times New Roman"/>
          <w:spacing w:val="79"/>
          <w:sz w:val="27"/>
          <w:szCs w:val="27"/>
        </w:rPr>
        <w:t xml:space="preserve"> </w:t>
      </w:r>
      <w:r>
        <w:rPr>
          <w:rFonts w:ascii="宋体" w:hAnsi="宋体" w:eastAsia="宋体" w:cs="宋体"/>
          <w:spacing w:val="2"/>
          <w:sz w:val="27"/>
          <w:szCs w:val="27"/>
        </w:rPr>
        <w:t>价值工程分析和成本核算报告；</w:t>
      </w:r>
    </w:p>
    <w:p w14:paraId="106240EA">
      <w:pPr>
        <w:spacing w:before="100"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e)</w:t>
      </w:r>
      <w:r>
        <w:rPr>
          <w:rFonts w:ascii="Times New Roman" w:hAnsi="Times New Roman" w:eastAsia="Times New Roman" w:cs="Times New Roman"/>
          <w:spacing w:val="62"/>
          <w:w w:val="101"/>
          <w:sz w:val="27"/>
          <w:szCs w:val="27"/>
        </w:rPr>
        <w:t xml:space="preserve"> </w:t>
      </w:r>
      <w:r>
        <w:rPr>
          <w:rFonts w:ascii="宋体" w:hAnsi="宋体" w:eastAsia="宋体" w:cs="宋体"/>
          <w:spacing w:val="2"/>
          <w:sz w:val="27"/>
          <w:szCs w:val="27"/>
        </w:rPr>
        <w:t>工艺标准化工作报告；</w:t>
      </w:r>
    </w:p>
    <w:p w14:paraId="6C19243F">
      <w:pPr>
        <w:spacing w:before="131" w:line="212" w:lineRule="auto"/>
        <w:ind w:left="560"/>
        <w:rPr>
          <w:rFonts w:ascii="宋体" w:hAnsi="宋体" w:eastAsia="宋体" w:cs="宋体"/>
          <w:sz w:val="25"/>
          <w:szCs w:val="25"/>
        </w:rPr>
      </w:pPr>
      <w:r>
        <w:rPr>
          <w:rFonts w:ascii="Times New Roman" w:hAnsi="Times New Roman" w:eastAsia="Times New Roman" w:cs="Times New Roman"/>
          <w:sz w:val="25"/>
          <w:szCs w:val="25"/>
        </w:rPr>
        <w:t>f)</w:t>
      </w:r>
      <w:r>
        <w:rPr>
          <w:rFonts w:ascii="Times New Roman" w:hAnsi="Times New Roman" w:eastAsia="Times New Roman" w:cs="Times New Roman"/>
          <w:spacing w:val="26"/>
          <w:sz w:val="25"/>
          <w:szCs w:val="25"/>
        </w:rPr>
        <w:t xml:space="preserve">  </w:t>
      </w:r>
      <w:r>
        <w:rPr>
          <w:rFonts w:ascii="宋体" w:hAnsi="宋体" w:eastAsia="宋体" w:cs="宋体"/>
          <w:sz w:val="25"/>
          <w:szCs w:val="25"/>
        </w:rPr>
        <w:t>可靠性、维修性、测试性、保障性、安全性评估报告；</w:t>
      </w:r>
    </w:p>
    <w:p w14:paraId="3AD28AE3">
      <w:pPr>
        <w:spacing w:before="102" w:line="212" w:lineRule="auto"/>
        <w:ind w:left="560"/>
        <w:rPr>
          <w:rFonts w:ascii="宋体" w:hAnsi="宋体" w:eastAsia="宋体" w:cs="宋体"/>
          <w:sz w:val="27"/>
          <w:szCs w:val="27"/>
        </w:rPr>
      </w:pPr>
      <w:r>
        <w:rPr>
          <w:rFonts w:ascii="Times New Roman" w:hAnsi="Times New Roman" w:eastAsia="Times New Roman" w:cs="Times New Roman"/>
          <w:spacing w:val="11"/>
          <w:sz w:val="27"/>
          <w:szCs w:val="27"/>
        </w:rPr>
        <w:t>g</w:t>
      </w:r>
      <w:r>
        <w:rPr>
          <w:rFonts w:ascii="宋体" w:hAnsi="宋体" w:eastAsia="宋体" w:cs="宋体"/>
          <w:spacing w:val="11"/>
          <w:sz w:val="27"/>
          <w:szCs w:val="27"/>
        </w:rPr>
        <w:t>)生产定型文件清单；</w:t>
      </w:r>
    </w:p>
    <w:p w14:paraId="79A6B0DD">
      <w:pPr>
        <w:spacing w:before="7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h)  </w:t>
      </w:r>
      <w:r>
        <w:rPr>
          <w:rFonts w:ascii="宋体" w:hAnsi="宋体" w:eastAsia="宋体" w:cs="宋体"/>
          <w:spacing w:val="3"/>
          <w:sz w:val="27"/>
          <w:szCs w:val="27"/>
        </w:rPr>
        <w:t>二级定委规定的其他文件。</w:t>
      </w:r>
    </w:p>
    <w:p w14:paraId="7EF0E663">
      <w:pPr>
        <w:pStyle w:val="2"/>
        <w:spacing w:line="367" w:lineRule="auto"/>
      </w:pPr>
    </w:p>
    <w:p w14:paraId="4F0442D3">
      <w:pPr>
        <w:spacing w:before="117" w:line="219" w:lineRule="auto"/>
        <w:ind w:left="2520"/>
        <w:outlineLvl w:val="1"/>
        <w:rPr>
          <w:rFonts w:ascii="宋体" w:hAnsi="宋体" w:eastAsia="宋体" w:cs="宋体"/>
          <w:sz w:val="36"/>
          <w:szCs w:val="36"/>
        </w:rPr>
      </w:pPr>
      <w:bookmarkStart w:id="130" w:name="bookmark68"/>
      <w:bookmarkEnd w:id="130"/>
      <w:r>
        <w:rPr>
          <w:rFonts w:ascii="宋体" w:hAnsi="宋体" w:eastAsia="宋体" w:cs="宋体"/>
          <w:spacing w:val="1"/>
          <w:sz w:val="36"/>
          <w:szCs w:val="36"/>
        </w:rPr>
        <w:t>1.</w:t>
      </w:r>
      <w:r>
        <w:rPr>
          <w:rFonts w:ascii="宋体" w:hAnsi="宋体" w:eastAsia="宋体" w:cs="宋体"/>
          <w:b/>
          <w:bCs/>
          <w:spacing w:val="1"/>
          <w:sz w:val="36"/>
          <w:szCs w:val="36"/>
        </w:rPr>
        <w:t>66</w:t>
      </w:r>
      <w:r>
        <w:rPr>
          <w:rFonts w:ascii="宋体" w:hAnsi="宋体" w:eastAsia="宋体" w:cs="宋体"/>
          <w:spacing w:val="1"/>
          <w:sz w:val="36"/>
          <w:szCs w:val="36"/>
        </w:rPr>
        <w:t xml:space="preserve">  </w:t>
      </w:r>
      <w:r>
        <w:rPr>
          <w:rFonts w:ascii="宋体" w:hAnsi="宋体" w:eastAsia="宋体" w:cs="宋体"/>
          <w:b/>
          <w:bCs/>
          <w:spacing w:val="1"/>
          <w:sz w:val="36"/>
          <w:szCs w:val="36"/>
        </w:rPr>
        <w:t>生产定型审查意见书</w:t>
      </w:r>
    </w:p>
    <w:p w14:paraId="48802658">
      <w:pPr>
        <w:pStyle w:val="2"/>
        <w:spacing w:line="347" w:lineRule="auto"/>
      </w:pPr>
    </w:p>
    <w:p w14:paraId="6A609496">
      <w:pPr>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34"/>
          <w:sz w:val="28"/>
          <w:szCs w:val="28"/>
        </w:rPr>
        <w:t xml:space="preserve"> </w:t>
      </w:r>
      <w:r>
        <w:rPr>
          <w:rFonts w:ascii="Times New Roman" w:hAnsi="Times New Roman" w:eastAsia="Times New Roman" w:cs="Times New Roman"/>
          <w:spacing w:val="-11"/>
          <w:sz w:val="28"/>
          <w:szCs w:val="28"/>
        </w:rPr>
        <w:t>1362A—2007</w:t>
      </w:r>
      <w:r>
        <w:rPr>
          <w:rFonts w:ascii="宋体" w:hAnsi="宋体" w:eastAsia="宋体" w:cs="宋体"/>
          <w:spacing w:val="-11"/>
          <w:sz w:val="28"/>
          <w:szCs w:val="28"/>
        </w:rPr>
        <w:t>《</w:t>
      </w:r>
      <w:r>
        <w:rPr>
          <w:rFonts w:ascii="楷体" w:hAnsi="楷体" w:eastAsia="楷体" w:cs="楷体"/>
          <w:spacing w:val="-11"/>
          <w:sz w:val="28"/>
          <w:szCs w:val="28"/>
        </w:rPr>
        <w:t>军工产品定型程序和要求》编写。</w:t>
      </w:r>
    </w:p>
    <w:p w14:paraId="04F41B9B">
      <w:pPr>
        <w:spacing w:before="92" w:line="222" w:lineRule="auto"/>
        <w:rPr>
          <w:rFonts w:ascii="黑体" w:hAnsi="黑体" w:eastAsia="黑体" w:cs="黑体"/>
          <w:sz w:val="24"/>
          <w:szCs w:val="24"/>
        </w:rPr>
      </w:pPr>
      <w:r>
        <w:rPr>
          <w:rFonts w:ascii="黑体" w:hAnsi="黑体" w:eastAsia="黑体" w:cs="黑体"/>
          <w:spacing w:val="22"/>
          <w:sz w:val="24"/>
          <w:szCs w:val="24"/>
        </w:rPr>
        <w:t>1</w:t>
      </w:r>
      <w:r>
        <w:rPr>
          <w:rFonts w:ascii="黑体" w:hAnsi="黑体" w:eastAsia="黑体" w:cs="黑体"/>
          <w:spacing w:val="37"/>
          <w:sz w:val="24"/>
          <w:szCs w:val="24"/>
        </w:rPr>
        <w:t xml:space="preserve">  </w:t>
      </w:r>
      <w:r>
        <w:rPr>
          <w:rFonts w:ascii="黑体" w:hAnsi="黑体" w:eastAsia="黑体" w:cs="黑体"/>
          <w:b/>
          <w:bCs/>
          <w:spacing w:val="22"/>
          <w:sz w:val="24"/>
          <w:szCs w:val="24"/>
        </w:rPr>
        <w:t>审查工作简况</w:t>
      </w:r>
    </w:p>
    <w:p w14:paraId="743FBA83">
      <w:pPr>
        <w:spacing w:before="118" w:line="269" w:lineRule="auto"/>
        <w:ind w:firstLine="560"/>
        <w:rPr>
          <w:rFonts w:ascii="宋体" w:hAnsi="宋体" w:eastAsia="宋体" w:cs="宋体"/>
          <w:sz w:val="27"/>
          <w:szCs w:val="27"/>
        </w:rPr>
      </w:pPr>
      <w:r>
        <w:rPr>
          <w:rFonts w:ascii="宋体" w:hAnsi="宋体" w:eastAsia="宋体" w:cs="宋体"/>
          <w:spacing w:val="-8"/>
          <w:sz w:val="27"/>
          <w:szCs w:val="27"/>
        </w:rPr>
        <w:t>主要包括组织生产定型的依据，审查的时间</w:t>
      </w:r>
      <w:r>
        <w:rPr>
          <w:rFonts w:ascii="宋体" w:hAnsi="宋体" w:eastAsia="宋体" w:cs="宋体"/>
          <w:spacing w:val="-9"/>
          <w:sz w:val="27"/>
          <w:szCs w:val="27"/>
        </w:rPr>
        <w:t>、地点，参加审查的单位和人数，</w:t>
      </w:r>
      <w:r>
        <w:rPr>
          <w:rFonts w:ascii="宋体" w:hAnsi="宋体" w:eastAsia="宋体" w:cs="宋体"/>
          <w:sz w:val="27"/>
          <w:szCs w:val="27"/>
        </w:rPr>
        <w:t xml:space="preserve"> 审查工作内容。</w:t>
      </w:r>
    </w:p>
    <w:p w14:paraId="6449BEEF">
      <w:pPr>
        <w:pStyle w:val="2"/>
        <w:spacing w:before="37" w:line="222" w:lineRule="auto"/>
        <w:rPr>
          <w:rFonts w:ascii="黑体" w:hAnsi="黑体" w:eastAsia="黑体" w:cs="黑体"/>
          <w:sz w:val="24"/>
          <w:szCs w:val="24"/>
        </w:rPr>
      </w:pPr>
      <w:r>
        <w:rPr>
          <w:b/>
          <w:bCs/>
          <w:spacing w:val="25"/>
          <w:sz w:val="24"/>
          <w:szCs w:val="24"/>
        </w:rPr>
        <w:t>2</w:t>
      </w:r>
      <w:r>
        <w:rPr>
          <w:b/>
          <w:bCs/>
          <w:spacing w:val="5"/>
          <w:sz w:val="24"/>
          <w:szCs w:val="24"/>
        </w:rPr>
        <w:t xml:space="preserve">    </w:t>
      </w:r>
      <w:r>
        <w:rPr>
          <w:rFonts w:ascii="黑体" w:hAnsi="黑体" w:eastAsia="黑体" w:cs="黑体"/>
          <w:b/>
          <w:bCs/>
          <w:spacing w:val="25"/>
          <w:sz w:val="24"/>
          <w:szCs w:val="24"/>
        </w:rPr>
        <w:t>产品简介</w:t>
      </w:r>
    </w:p>
    <w:p w14:paraId="48994EBF">
      <w:pPr>
        <w:spacing w:before="94" w:line="222" w:lineRule="auto"/>
        <w:rPr>
          <w:rFonts w:ascii="黑体" w:hAnsi="黑体" w:eastAsia="黑体" w:cs="黑体"/>
          <w:sz w:val="27"/>
          <w:szCs w:val="27"/>
        </w:rPr>
      </w:pPr>
      <w:r>
        <w:rPr>
          <w:rFonts w:ascii="黑体" w:hAnsi="黑体" w:eastAsia="黑体" w:cs="黑体"/>
          <w:sz w:val="27"/>
          <w:szCs w:val="27"/>
        </w:rPr>
        <w:t>2.1</w:t>
      </w:r>
      <w:r>
        <w:rPr>
          <w:rFonts w:ascii="黑体" w:hAnsi="黑体" w:eastAsia="黑体" w:cs="黑体"/>
          <w:spacing w:val="20"/>
          <w:sz w:val="27"/>
          <w:szCs w:val="27"/>
        </w:rPr>
        <w:t xml:space="preserve">  </w:t>
      </w:r>
      <w:r>
        <w:rPr>
          <w:rFonts w:ascii="黑体" w:hAnsi="黑体" w:eastAsia="黑体" w:cs="黑体"/>
          <w:b/>
          <w:bCs/>
          <w:sz w:val="27"/>
          <w:szCs w:val="27"/>
        </w:rPr>
        <w:t>产品主要用途</w:t>
      </w:r>
    </w:p>
    <w:p w14:paraId="40F76F5C">
      <w:pPr>
        <w:spacing w:before="87" w:line="219" w:lineRule="auto"/>
        <w:ind w:left="560"/>
        <w:rPr>
          <w:rFonts w:ascii="宋体" w:hAnsi="宋体" w:eastAsia="宋体" w:cs="宋体"/>
          <w:sz w:val="27"/>
          <w:szCs w:val="27"/>
        </w:rPr>
      </w:pPr>
      <w:r>
        <w:rPr>
          <w:rFonts w:ascii="宋体" w:hAnsi="宋体" w:eastAsia="宋体" w:cs="宋体"/>
          <w:spacing w:val="-8"/>
          <w:sz w:val="27"/>
          <w:szCs w:val="27"/>
        </w:rPr>
        <w:t>简要说明产品(产品型号、名称)的主要用途，包括作战使命、主要功能等。</w:t>
      </w:r>
    </w:p>
    <w:p w14:paraId="1733C407">
      <w:pPr>
        <w:spacing w:before="97" w:line="222" w:lineRule="auto"/>
        <w:rPr>
          <w:rFonts w:ascii="黑体" w:hAnsi="黑体" w:eastAsia="黑体" w:cs="黑体"/>
          <w:sz w:val="25"/>
          <w:szCs w:val="25"/>
        </w:rPr>
      </w:pPr>
      <w:r>
        <w:rPr>
          <w:rFonts w:ascii="黑体" w:hAnsi="黑体" w:eastAsia="黑体" w:cs="黑体"/>
          <w:spacing w:val="16"/>
          <w:sz w:val="25"/>
          <w:szCs w:val="25"/>
        </w:rPr>
        <w:t>2.2</w:t>
      </w:r>
      <w:r>
        <w:rPr>
          <w:rFonts w:ascii="黑体" w:hAnsi="黑体" w:eastAsia="黑体" w:cs="黑体"/>
          <w:spacing w:val="35"/>
          <w:sz w:val="25"/>
          <w:szCs w:val="25"/>
        </w:rPr>
        <w:t xml:space="preserve">  </w:t>
      </w:r>
      <w:r>
        <w:rPr>
          <w:rFonts w:ascii="黑体" w:hAnsi="黑体" w:eastAsia="黑体" w:cs="黑体"/>
          <w:b/>
          <w:bCs/>
          <w:spacing w:val="16"/>
          <w:sz w:val="25"/>
          <w:szCs w:val="25"/>
        </w:rPr>
        <w:t>产品主要组成</w:t>
      </w:r>
    </w:p>
    <w:p w14:paraId="49466FA8">
      <w:pPr>
        <w:spacing w:before="102" w:line="219" w:lineRule="auto"/>
        <w:ind w:left="560"/>
        <w:rPr>
          <w:rFonts w:ascii="宋体" w:hAnsi="宋体" w:eastAsia="宋体" w:cs="宋体"/>
          <w:sz w:val="27"/>
          <w:szCs w:val="27"/>
        </w:rPr>
      </w:pPr>
      <w:r>
        <w:rPr>
          <w:rFonts w:ascii="宋体" w:hAnsi="宋体" w:eastAsia="宋体" w:cs="宋体"/>
          <w:sz w:val="27"/>
          <w:szCs w:val="27"/>
        </w:rPr>
        <w:t>简要说明产品(产品型号、名称)的主要组成(部件组成或</w:t>
      </w:r>
      <w:r>
        <w:rPr>
          <w:rFonts w:ascii="宋体" w:hAnsi="宋体" w:eastAsia="宋体" w:cs="宋体"/>
          <w:spacing w:val="-1"/>
          <w:sz w:val="27"/>
          <w:szCs w:val="27"/>
        </w:rPr>
        <w:t>功能组成)。</w:t>
      </w:r>
    </w:p>
    <w:p w14:paraId="182953F8">
      <w:pPr>
        <w:spacing w:before="66"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b/>
          <w:bCs/>
          <w:spacing w:val="-3"/>
          <w:sz w:val="27"/>
          <w:szCs w:val="27"/>
        </w:rPr>
        <w:t>3</w:t>
      </w:r>
      <w:r>
        <w:rPr>
          <w:rFonts w:ascii="黑体" w:hAnsi="黑体" w:eastAsia="黑体" w:cs="黑体"/>
          <w:spacing w:val="35"/>
          <w:sz w:val="27"/>
          <w:szCs w:val="27"/>
        </w:rPr>
        <w:t xml:space="preserve">  </w:t>
      </w:r>
      <w:r>
        <w:rPr>
          <w:rFonts w:ascii="黑体" w:hAnsi="黑体" w:eastAsia="黑体" w:cs="黑体"/>
          <w:b/>
          <w:bCs/>
          <w:spacing w:val="-3"/>
          <w:sz w:val="27"/>
          <w:szCs w:val="27"/>
        </w:rPr>
        <w:t>战术技术特点</w:t>
      </w:r>
    </w:p>
    <w:p w14:paraId="6B2C8134">
      <w:pPr>
        <w:spacing w:before="119" w:line="219" w:lineRule="auto"/>
        <w:ind w:left="560"/>
        <w:rPr>
          <w:rFonts w:ascii="宋体" w:hAnsi="宋体" w:eastAsia="宋体" w:cs="宋体"/>
          <w:sz w:val="27"/>
          <w:szCs w:val="27"/>
        </w:rPr>
      </w:pPr>
      <w:r>
        <w:rPr>
          <w:rFonts w:ascii="宋体" w:hAnsi="宋体" w:eastAsia="宋体" w:cs="宋体"/>
          <w:spacing w:val="-5"/>
          <w:sz w:val="27"/>
          <w:szCs w:val="27"/>
        </w:rPr>
        <w:t>简要说明产品的战术技术特点，含关键技术的应用、</w:t>
      </w:r>
      <w:r>
        <w:rPr>
          <w:rFonts w:ascii="宋体" w:hAnsi="宋体" w:eastAsia="宋体" w:cs="宋体"/>
          <w:spacing w:val="-6"/>
          <w:sz w:val="27"/>
          <w:szCs w:val="27"/>
        </w:rPr>
        <w:t>技术体制等。</w:t>
      </w:r>
    </w:p>
    <w:p w14:paraId="20CDB4F4">
      <w:pPr>
        <w:spacing w:before="65" w:line="221" w:lineRule="auto"/>
        <w:rPr>
          <w:rFonts w:ascii="黑体" w:hAnsi="黑体" w:eastAsia="黑体" w:cs="黑体"/>
          <w:sz w:val="27"/>
          <w:szCs w:val="27"/>
        </w:rPr>
      </w:pPr>
      <w:r>
        <w:rPr>
          <w:rFonts w:ascii="黑体" w:hAnsi="黑体" w:eastAsia="黑体" w:cs="黑体"/>
          <w:spacing w:val="2"/>
          <w:sz w:val="27"/>
          <w:szCs w:val="27"/>
        </w:rPr>
        <w:t xml:space="preserve">3  </w:t>
      </w:r>
      <w:r>
        <w:rPr>
          <w:rFonts w:ascii="黑体" w:hAnsi="黑体" w:eastAsia="黑体" w:cs="黑体"/>
          <w:b/>
          <w:bCs/>
          <w:spacing w:val="2"/>
          <w:sz w:val="27"/>
          <w:szCs w:val="27"/>
        </w:rPr>
        <w:t>试生产工作概况</w:t>
      </w:r>
    </w:p>
    <w:p w14:paraId="0F28E5C1">
      <w:pPr>
        <w:spacing w:before="103" w:line="269" w:lineRule="auto"/>
        <w:ind w:right="93" w:firstLine="560"/>
        <w:rPr>
          <w:rFonts w:ascii="宋体" w:hAnsi="宋体" w:eastAsia="宋体" w:cs="宋体"/>
          <w:sz w:val="27"/>
          <w:szCs w:val="27"/>
        </w:rPr>
      </w:pPr>
      <w:r>
        <w:rPr>
          <w:rFonts w:ascii="宋体" w:hAnsi="宋体" w:eastAsia="宋体" w:cs="宋体"/>
          <w:spacing w:val="-11"/>
          <w:sz w:val="27"/>
          <w:szCs w:val="27"/>
        </w:rPr>
        <w:t>说明试生产工作概况，包括试生产历程、批量、数量，试生产产</w:t>
      </w:r>
      <w:r>
        <w:rPr>
          <w:rFonts w:ascii="宋体" w:hAnsi="宋体" w:eastAsia="宋体" w:cs="宋体"/>
          <w:spacing w:val="-12"/>
          <w:sz w:val="27"/>
          <w:szCs w:val="27"/>
        </w:rPr>
        <w:t>品质量、检验</w:t>
      </w:r>
      <w:r>
        <w:rPr>
          <w:rFonts w:ascii="宋体" w:hAnsi="宋体" w:eastAsia="宋体" w:cs="宋体"/>
          <w:sz w:val="27"/>
          <w:szCs w:val="27"/>
        </w:rPr>
        <w:t xml:space="preserve"> </w:t>
      </w:r>
      <w:r>
        <w:rPr>
          <w:rFonts w:ascii="宋体" w:hAnsi="宋体" w:eastAsia="宋体" w:cs="宋体"/>
          <w:spacing w:val="1"/>
          <w:sz w:val="27"/>
          <w:szCs w:val="27"/>
        </w:rPr>
        <w:t>验收情况。</w:t>
      </w:r>
    </w:p>
    <w:p w14:paraId="1D2E2F3F">
      <w:pPr>
        <w:pStyle w:val="2"/>
        <w:spacing w:before="37" w:line="221" w:lineRule="auto"/>
        <w:rPr>
          <w:rFonts w:ascii="黑体" w:hAnsi="黑体" w:eastAsia="黑体" w:cs="黑体"/>
          <w:sz w:val="25"/>
          <w:szCs w:val="25"/>
        </w:rPr>
      </w:pPr>
      <w:r>
        <w:rPr>
          <w:b/>
          <w:bCs/>
          <w:spacing w:val="8"/>
          <w:sz w:val="25"/>
          <w:szCs w:val="25"/>
        </w:rPr>
        <w:t>4</w:t>
      </w:r>
      <w:r>
        <w:rPr>
          <w:b/>
          <w:bCs/>
          <w:sz w:val="25"/>
          <w:szCs w:val="25"/>
        </w:rPr>
        <w:t xml:space="preserve">    </w:t>
      </w:r>
      <w:r>
        <w:rPr>
          <w:rFonts w:ascii="黑体" w:hAnsi="黑体" w:eastAsia="黑体" w:cs="黑体"/>
          <w:b/>
          <w:bCs/>
          <w:spacing w:val="8"/>
          <w:sz w:val="25"/>
          <w:szCs w:val="25"/>
        </w:rPr>
        <w:t>工艺和生产条件考核、部队试用、生产定型</w:t>
      </w:r>
      <w:r>
        <w:rPr>
          <w:rFonts w:ascii="黑体" w:hAnsi="黑体" w:eastAsia="黑体" w:cs="黑体"/>
          <w:b/>
          <w:bCs/>
          <w:spacing w:val="7"/>
          <w:sz w:val="25"/>
          <w:szCs w:val="25"/>
        </w:rPr>
        <w:t>试验、标准化工作概况</w:t>
      </w:r>
    </w:p>
    <w:p w14:paraId="63605811">
      <w:pPr>
        <w:spacing w:line="221" w:lineRule="auto"/>
        <w:rPr>
          <w:rFonts w:ascii="黑体" w:hAnsi="黑体" w:eastAsia="黑体" w:cs="黑体"/>
          <w:sz w:val="25"/>
          <w:szCs w:val="25"/>
        </w:rPr>
        <w:sectPr>
          <w:footerReference r:id="rId184" w:type="default"/>
          <w:pgSz w:w="11910" w:h="17130"/>
          <w:pgMar w:top="400" w:right="1435" w:bottom="1637" w:left="1019" w:header="0" w:footer="1420" w:gutter="0"/>
          <w:cols w:space="720" w:num="1"/>
        </w:sectPr>
      </w:pPr>
    </w:p>
    <w:p w14:paraId="74321DC9">
      <w:pPr>
        <w:pStyle w:val="2"/>
        <w:spacing w:line="252" w:lineRule="auto"/>
      </w:pPr>
    </w:p>
    <w:p w14:paraId="025806E3">
      <w:pPr>
        <w:pStyle w:val="2"/>
        <w:spacing w:line="252" w:lineRule="auto"/>
      </w:pPr>
    </w:p>
    <w:p w14:paraId="6873CE58">
      <w:pPr>
        <w:pStyle w:val="2"/>
        <w:spacing w:line="253" w:lineRule="auto"/>
      </w:pPr>
    </w:p>
    <w:p w14:paraId="43E6F373">
      <w:pPr>
        <w:pStyle w:val="2"/>
        <w:spacing w:line="253" w:lineRule="auto"/>
      </w:pPr>
    </w:p>
    <w:p w14:paraId="282853E7">
      <w:pPr>
        <w:spacing w:before="88" w:line="221" w:lineRule="auto"/>
        <w:rPr>
          <w:rFonts w:ascii="黑体" w:hAnsi="黑体" w:eastAsia="黑体" w:cs="黑体"/>
          <w:sz w:val="27"/>
          <w:szCs w:val="27"/>
        </w:rPr>
      </w:pPr>
      <w:bookmarkStart w:id="131" w:name="bookmark370"/>
      <w:bookmarkEnd w:id="131"/>
      <w:r>
        <w:rPr>
          <w:rFonts w:ascii="黑体" w:hAnsi="黑体" w:eastAsia="黑体" w:cs="黑体"/>
          <w:sz w:val="27"/>
          <w:szCs w:val="27"/>
        </w:rPr>
        <w:t>4.1</w:t>
      </w:r>
      <w:r>
        <w:rPr>
          <w:rFonts w:ascii="黑体" w:hAnsi="黑体" w:eastAsia="黑体" w:cs="黑体"/>
          <w:spacing w:val="24"/>
          <w:sz w:val="27"/>
          <w:szCs w:val="27"/>
        </w:rPr>
        <w:t xml:space="preserve">  </w:t>
      </w:r>
      <w:r>
        <w:rPr>
          <w:rFonts w:ascii="黑体" w:hAnsi="黑体" w:eastAsia="黑体" w:cs="黑体"/>
          <w:b/>
          <w:bCs/>
          <w:sz w:val="27"/>
          <w:szCs w:val="27"/>
        </w:rPr>
        <w:t>工艺和生产条件考核概况</w:t>
      </w:r>
    </w:p>
    <w:p w14:paraId="0D67D2D5">
      <w:pPr>
        <w:spacing w:before="60" w:line="293" w:lineRule="auto"/>
        <w:ind w:right="122" w:firstLine="569"/>
        <w:rPr>
          <w:rFonts w:ascii="宋体" w:hAnsi="宋体" w:eastAsia="宋体" w:cs="宋体"/>
          <w:sz w:val="27"/>
          <w:szCs w:val="27"/>
        </w:rPr>
      </w:pPr>
      <w:r>
        <w:rPr>
          <w:rFonts w:ascii="宋体" w:hAnsi="宋体" w:eastAsia="宋体" w:cs="宋体"/>
          <w:spacing w:val="-3"/>
          <w:sz w:val="27"/>
          <w:szCs w:val="27"/>
        </w:rPr>
        <w:t>说明工艺和生产条件考核情况，包括工艺、工装及其评估，质量保证体系情</w:t>
      </w:r>
      <w:r>
        <w:rPr>
          <w:rFonts w:ascii="宋体" w:hAnsi="宋体" w:eastAsia="宋体" w:cs="宋体"/>
          <w:sz w:val="27"/>
          <w:szCs w:val="27"/>
        </w:rPr>
        <w:t xml:space="preserve"> 况及其评估。</w:t>
      </w:r>
    </w:p>
    <w:p w14:paraId="7398B3FD">
      <w:pPr>
        <w:spacing w:before="1" w:line="220" w:lineRule="auto"/>
        <w:rPr>
          <w:rFonts w:ascii="黑体" w:hAnsi="黑体" w:eastAsia="黑体" w:cs="黑体"/>
          <w:sz w:val="27"/>
          <w:szCs w:val="27"/>
        </w:rPr>
      </w:pPr>
      <w:r>
        <w:rPr>
          <w:rFonts w:ascii="黑体" w:hAnsi="黑体" w:eastAsia="黑体" w:cs="黑体"/>
          <w:sz w:val="27"/>
          <w:szCs w:val="27"/>
        </w:rPr>
        <w:t>4.</w:t>
      </w:r>
      <w:r>
        <w:rPr>
          <w:rFonts w:ascii="黑体" w:hAnsi="黑体" w:eastAsia="黑体" w:cs="黑体"/>
          <w:b/>
          <w:bCs/>
          <w:sz w:val="27"/>
          <w:szCs w:val="27"/>
        </w:rPr>
        <w:t>2</w:t>
      </w:r>
      <w:r>
        <w:rPr>
          <w:rFonts w:ascii="黑体" w:hAnsi="黑体" w:eastAsia="黑体" w:cs="黑体"/>
          <w:spacing w:val="25"/>
          <w:sz w:val="27"/>
          <w:szCs w:val="27"/>
        </w:rPr>
        <w:t xml:space="preserve">  </w:t>
      </w:r>
      <w:r>
        <w:rPr>
          <w:rFonts w:ascii="黑体" w:hAnsi="黑体" w:eastAsia="黑体" w:cs="黑体"/>
          <w:b/>
          <w:bCs/>
          <w:sz w:val="27"/>
          <w:szCs w:val="27"/>
        </w:rPr>
        <w:t>部队试用概况</w:t>
      </w:r>
    </w:p>
    <w:p w14:paraId="110D07FB">
      <w:pPr>
        <w:spacing w:before="42" w:line="299" w:lineRule="auto"/>
        <w:ind w:right="122" w:firstLine="569"/>
        <w:rPr>
          <w:rFonts w:ascii="宋体" w:hAnsi="宋体" w:eastAsia="宋体" w:cs="宋体"/>
          <w:sz w:val="27"/>
          <w:szCs w:val="27"/>
        </w:rPr>
      </w:pPr>
      <w:r>
        <w:rPr>
          <w:rFonts w:ascii="宋体" w:hAnsi="宋体" w:eastAsia="宋体" w:cs="宋体"/>
          <w:spacing w:val="-11"/>
          <w:sz w:val="27"/>
          <w:szCs w:val="27"/>
        </w:rPr>
        <w:t>说明部队试用依据、试用产品数量、试用单位、试用地点、试用时间、试用情</w:t>
      </w:r>
      <w:r>
        <w:rPr>
          <w:rFonts w:ascii="宋体" w:hAnsi="宋体" w:eastAsia="宋体" w:cs="宋体"/>
          <w:spacing w:val="5"/>
          <w:sz w:val="27"/>
          <w:szCs w:val="27"/>
        </w:rPr>
        <w:t xml:space="preserve"> </w:t>
      </w:r>
      <w:r>
        <w:rPr>
          <w:rFonts w:ascii="宋体" w:hAnsi="宋体" w:eastAsia="宋体" w:cs="宋体"/>
          <w:spacing w:val="2"/>
          <w:sz w:val="27"/>
          <w:szCs w:val="27"/>
        </w:rPr>
        <w:t>况及试用结论。</w:t>
      </w:r>
    </w:p>
    <w:p w14:paraId="7867774A">
      <w:pPr>
        <w:spacing w:before="1" w:line="220"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24"/>
          <w:sz w:val="27"/>
          <w:szCs w:val="27"/>
        </w:rPr>
        <w:t xml:space="preserve">  </w:t>
      </w:r>
      <w:r>
        <w:rPr>
          <w:rFonts w:ascii="黑体" w:hAnsi="黑体" w:eastAsia="黑体" w:cs="黑体"/>
          <w:b/>
          <w:bCs/>
          <w:spacing w:val="-1"/>
          <w:sz w:val="27"/>
          <w:szCs w:val="27"/>
        </w:rPr>
        <w:t>生产定型试验概况</w:t>
      </w:r>
    </w:p>
    <w:p w14:paraId="042F96BF">
      <w:pPr>
        <w:spacing w:before="81" w:line="312" w:lineRule="auto"/>
        <w:ind w:right="105" w:firstLine="569"/>
        <w:rPr>
          <w:rFonts w:ascii="宋体" w:hAnsi="宋体" w:eastAsia="宋体" w:cs="宋体"/>
          <w:sz w:val="25"/>
          <w:szCs w:val="25"/>
        </w:rPr>
      </w:pPr>
      <w:r>
        <w:rPr>
          <w:rFonts w:ascii="宋体" w:hAnsi="宋体" w:eastAsia="宋体" w:cs="宋体"/>
          <w:spacing w:val="10"/>
          <w:sz w:val="25"/>
          <w:szCs w:val="25"/>
        </w:rPr>
        <w:t>说明生产定型试验依据、试验产品数量、</w:t>
      </w:r>
      <w:r>
        <w:rPr>
          <w:rFonts w:ascii="宋体" w:hAnsi="宋体" w:eastAsia="宋体" w:cs="宋体"/>
          <w:color w:val="505050"/>
          <w:spacing w:val="10"/>
          <w:sz w:val="25"/>
          <w:szCs w:val="25"/>
        </w:rPr>
        <w:t>试验单位</w:t>
      </w:r>
      <w:r>
        <w:rPr>
          <w:rFonts w:ascii="宋体" w:hAnsi="宋体" w:eastAsia="宋体" w:cs="宋体"/>
          <w:color w:val="505050"/>
          <w:spacing w:val="9"/>
          <w:sz w:val="25"/>
          <w:szCs w:val="25"/>
        </w:rPr>
        <w:t>、试验地点、试验时间、试</w:t>
      </w:r>
      <w:r>
        <w:rPr>
          <w:rFonts w:ascii="宋体" w:hAnsi="宋体" w:eastAsia="宋体" w:cs="宋体"/>
          <w:color w:val="505050"/>
          <w:sz w:val="25"/>
          <w:szCs w:val="25"/>
        </w:rPr>
        <w:t xml:space="preserve"> </w:t>
      </w:r>
      <w:r>
        <w:rPr>
          <w:rFonts w:ascii="宋体" w:hAnsi="宋体" w:eastAsia="宋体" w:cs="宋体"/>
          <w:spacing w:val="21"/>
          <w:sz w:val="25"/>
          <w:szCs w:val="25"/>
        </w:rPr>
        <w:t>验情况及试验结论。</w:t>
      </w:r>
    </w:p>
    <w:p w14:paraId="58660867">
      <w:pPr>
        <w:spacing w:before="1" w:line="220" w:lineRule="auto"/>
        <w:rPr>
          <w:rFonts w:ascii="黑体" w:hAnsi="黑体" w:eastAsia="黑体" w:cs="黑体"/>
          <w:sz w:val="25"/>
          <w:szCs w:val="25"/>
        </w:rPr>
      </w:pPr>
      <w:r>
        <w:rPr>
          <w:rFonts w:ascii="黑体" w:hAnsi="黑体" w:eastAsia="黑体" w:cs="黑体"/>
          <w:spacing w:val="16"/>
          <w:sz w:val="25"/>
          <w:szCs w:val="25"/>
        </w:rPr>
        <w:t>4.4</w:t>
      </w:r>
      <w:r>
        <w:rPr>
          <w:rFonts w:ascii="黑体" w:hAnsi="黑体" w:eastAsia="黑体" w:cs="黑体"/>
          <w:spacing w:val="40"/>
          <w:sz w:val="25"/>
          <w:szCs w:val="25"/>
        </w:rPr>
        <w:t xml:space="preserve">  </w:t>
      </w:r>
      <w:r>
        <w:rPr>
          <w:rFonts w:ascii="黑体" w:hAnsi="黑体" w:eastAsia="黑体" w:cs="黑体"/>
          <w:b/>
          <w:bCs/>
          <w:spacing w:val="16"/>
          <w:sz w:val="25"/>
          <w:szCs w:val="25"/>
        </w:rPr>
        <w:t>标准化工作概况</w:t>
      </w:r>
    </w:p>
    <w:p w14:paraId="2B32DAEF">
      <w:pPr>
        <w:spacing w:before="87" w:line="282" w:lineRule="auto"/>
        <w:ind w:right="103" w:firstLine="569"/>
        <w:rPr>
          <w:rFonts w:ascii="宋体" w:hAnsi="宋体" w:eastAsia="宋体" w:cs="宋体"/>
          <w:sz w:val="27"/>
          <w:szCs w:val="27"/>
        </w:rPr>
      </w:pPr>
      <w:r>
        <w:rPr>
          <w:rFonts w:ascii="宋体" w:hAnsi="宋体" w:eastAsia="宋体" w:cs="宋体"/>
          <w:spacing w:val="6"/>
          <w:sz w:val="27"/>
          <w:szCs w:val="27"/>
        </w:rPr>
        <w:t>说明工艺标准化大纲贯彻落实情况，包括标准化目标、标准化系数及</w:t>
      </w:r>
      <w:r>
        <w:rPr>
          <w:rFonts w:ascii="宋体" w:hAnsi="宋体" w:eastAsia="宋体" w:cs="宋体"/>
          <w:spacing w:val="5"/>
          <w:sz w:val="27"/>
          <w:szCs w:val="27"/>
        </w:rPr>
        <w:t>其效</w:t>
      </w:r>
      <w:r>
        <w:rPr>
          <w:rFonts w:ascii="宋体" w:hAnsi="宋体" w:eastAsia="宋体" w:cs="宋体"/>
          <w:sz w:val="27"/>
          <w:szCs w:val="27"/>
        </w:rPr>
        <w:t xml:space="preserve"> </w:t>
      </w:r>
      <w:r>
        <w:rPr>
          <w:rFonts w:ascii="宋体" w:hAnsi="宋体" w:eastAsia="宋体" w:cs="宋体"/>
          <w:spacing w:val="-2"/>
          <w:sz w:val="27"/>
          <w:szCs w:val="27"/>
        </w:rPr>
        <w:t>果等。</w:t>
      </w:r>
    </w:p>
    <w:p w14:paraId="3FF33C54">
      <w:pPr>
        <w:spacing w:before="1" w:line="221" w:lineRule="auto"/>
        <w:rPr>
          <w:rFonts w:ascii="黑体" w:hAnsi="黑体" w:eastAsia="黑体" w:cs="黑体"/>
          <w:sz w:val="27"/>
          <w:szCs w:val="27"/>
        </w:rPr>
      </w:pPr>
      <w:r>
        <w:rPr>
          <w:rFonts w:ascii="黑体" w:hAnsi="黑体" w:eastAsia="黑体" w:cs="黑体"/>
          <w:spacing w:val="4"/>
          <w:sz w:val="27"/>
          <w:szCs w:val="27"/>
        </w:rPr>
        <w:t xml:space="preserve">5  </w:t>
      </w:r>
      <w:r>
        <w:rPr>
          <w:rFonts w:ascii="黑体" w:hAnsi="黑体" w:eastAsia="黑体" w:cs="黑体"/>
          <w:b/>
          <w:bCs/>
          <w:spacing w:val="4"/>
          <w:sz w:val="27"/>
          <w:szCs w:val="27"/>
        </w:rPr>
        <w:t>达到生产定型标准和符合部队作战使用要求的程度</w:t>
      </w:r>
    </w:p>
    <w:p w14:paraId="10A69CD2">
      <w:pPr>
        <w:spacing w:before="93" w:line="281" w:lineRule="auto"/>
        <w:ind w:firstLine="569"/>
        <w:jc w:val="both"/>
        <w:rPr>
          <w:rFonts w:ascii="宋体" w:hAnsi="宋体" w:eastAsia="宋体" w:cs="宋体"/>
          <w:sz w:val="27"/>
          <w:szCs w:val="27"/>
        </w:rPr>
      </w:pPr>
      <w:r>
        <w:rPr>
          <w:rFonts w:ascii="宋体" w:hAnsi="宋体" w:eastAsia="宋体" w:cs="宋体"/>
          <w:spacing w:val="5"/>
          <w:sz w:val="27"/>
          <w:szCs w:val="27"/>
        </w:rPr>
        <w:t xml:space="preserve">以表格的形式对比说明设计定型时的战术技术指标和实际达到的战术技术  </w:t>
      </w:r>
      <w:r>
        <w:rPr>
          <w:rFonts w:ascii="宋体" w:hAnsi="宋体" w:eastAsia="宋体" w:cs="宋体"/>
          <w:spacing w:val="-6"/>
          <w:sz w:val="27"/>
          <w:szCs w:val="27"/>
        </w:rPr>
        <w:t>性能。含产品可靠性、维修性、测试性、保障性、安全性要求和实际达到的性能。</w:t>
      </w:r>
      <w:r>
        <w:rPr>
          <w:rFonts w:ascii="宋体" w:hAnsi="宋体" w:eastAsia="宋体" w:cs="宋体"/>
          <w:sz w:val="27"/>
          <w:szCs w:val="27"/>
        </w:rPr>
        <w:t xml:space="preserve"> </w:t>
      </w:r>
      <w:r>
        <w:rPr>
          <w:rFonts w:ascii="宋体" w:hAnsi="宋体" w:eastAsia="宋体" w:cs="宋体"/>
          <w:spacing w:val="8"/>
          <w:sz w:val="27"/>
          <w:szCs w:val="27"/>
        </w:rPr>
        <w:t>战术技术性能指标对照表见表1.14。</w:t>
      </w:r>
    </w:p>
    <w:p w14:paraId="28C602AE">
      <w:pPr>
        <w:spacing w:line="220" w:lineRule="auto"/>
        <w:ind w:left="2659"/>
        <w:rPr>
          <w:rFonts w:ascii="仿宋" w:hAnsi="仿宋" w:eastAsia="仿宋" w:cs="仿宋"/>
          <w:sz w:val="27"/>
          <w:szCs w:val="27"/>
        </w:rPr>
      </w:pPr>
      <w:r>
        <w:rPr>
          <w:rFonts w:ascii="仿宋" w:hAnsi="仿宋" w:eastAsia="仿宋" w:cs="仿宋"/>
          <w:spacing w:val="6"/>
          <w:sz w:val="27"/>
          <w:szCs w:val="27"/>
        </w:rPr>
        <w:t>表1.14  战术技术性能指标对照表</w:t>
      </w:r>
    </w:p>
    <w:p w14:paraId="086C1C0F">
      <w:pPr>
        <w:spacing w:line="117" w:lineRule="exact"/>
      </w:pPr>
    </w:p>
    <w:tbl>
      <w:tblPr>
        <w:tblStyle w:val="5"/>
        <w:tblW w:w="9370" w:type="dxa"/>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1668"/>
        <w:gridCol w:w="2507"/>
        <w:gridCol w:w="1678"/>
        <w:gridCol w:w="1469"/>
        <w:gridCol w:w="994"/>
      </w:tblGrid>
      <w:tr w14:paraId="3DA8F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54" w:type="dxa"/>
            <w:vAlign w:val="top"/>
          </w:tcPr>
          <w:p w14:paraId="346D1F11">
            <w:pPr>
              <w:spacing w:before="104" w:line="221" w:lineRule="auto"/>
              <w:ind w:left="295"/>
              <w:rPr>
                <w:rFonts w:ascii="宋体" w:hAnsi="宋体" w:eastAsia="宋体" w:cs="宋体"/>
                <w:sz w:val="21"/>
                <w:szCs w:val="21"/>
              </w:rPr>
            </w:pPr>
            <w:r>
              <w:rPr>
                <w:rFonts w:ascii="宋体" w:hAnsi="宋体" w:eastAsia="宋体" w:cs="宋体"/>
                <w:spacing w:val="6"/>
                <w:sz w:val="21"/>
                <w:szCs w:val="21"/>
              </w:rPr>
              <w:t>序号</w:t>
            </w:r>
          </w:p>
        </w:tc>
        <w:tc>
          <w:tcPr>
            <w:tcW w:w="1668" w:type="dxa"/>
            <w:vAlign w:val="top"/>
          </w:tcPr>
          <w:p w14:paraId="156DA80C">
            <w:pPr>
              <w:spacing w:before="104" w:line="220" w:lineRule="auto"/>
              <w:ind w:left="550"/>
              <w:rPr>
                <w:rFonts w:ascii="宋体" w:hAnsi="宋体" w:eastAsia="宋体" w:cs="宋体"/>
                <w:sz w:val="21"/>
                <w:szCs w:val="21"/>
              </w:rPr>
            </w:pPr>
            <w:r>
              <w:rPr>
                <w:rFonts w:ascii="宋体" w:hAnsi="宋体" w:eastAsia="宋体" w:cs="宋体"/>
                <w:spacing w:val="-6"/>
                <w:sz w:val="21"/>
                <w:szCs w:val="21"/>
              </w:rPr>
              <w:t>项</w:t>
            </w:r>
            <w:r>
              <w:rPr>
                <w:rFonts w:ascii="宋体" w:hAnsi="宋体" w:eastAsia="宋体" w:cs="宋体"/>
                <w:spacing w:val="14"/>
                <w:sz w:val="21"/>
                <w:szCs w:val="21"/>
              </w:rPr>
              <w:t xml:space="preserve">  </w:t>
            </w:r>
            <w:r>
              <w:rPr>
                <w:rFonts w:ascii="宋体" w:hAnsi="宋体" w:eastAsia="宋体" w:cs="宋体"/>
                <w:spacing w:val="-6"/>
                <w:sz w:val="21"/>
                <w:szCs w:val="21"/>
              </w:rPr>
              <w:t>目</w:t>
            </w:r>
          </w:p>
        </w:tc>
        <w:tc>
          <w:tcPr>
            <w:tcW w:w="2507" w:type="dxa"/>
            <w:vAlign w:val="top"/>
          </w:tcPr>
          <w:p w14:paraId="1280B2A3">
            <w:pPr>
              <w:spacing w:before="104" w:line="220" w:lineRule="auto"/>
              <w:ind w:left="413"/>
              <w:rPr>
                <w:rFonts w:ascii="宋体" w:hAnsi="宋体" w:eastAsia="宋体" w:cs="宋体"/>
                <w:sz w:val="21"/>
                <w:szCs w:val="21"/>
              </w:rPr>
            </w:pPr>
            <w:r>
              <w:rPr>
                <w:rFonts w:ascii="宋体" w:hAnsi="宋体" w:eastAsia="宋体" w:cs="宋体"/>
                <w:spacing w:val="-2"/>
                <w:sz w:val="21"/>
                <w:szCs w:val="21"/>
              </w:rPr>
              <w:t>设计定型时的指标</w:t>
            </w:r>
          </w:p>
        </w:tc>
        <w:tc>
          <w:tcPr>
            <w:tcW w:w="1678" w:type="dxa"/>
            <w:vAlign w:val="top"/>
          </w:tcPr>
          <w:p w14:paraId="1F072982">
            <w:pPr>
              <w:spacing w:before="104" w:line="220" w:lineRule="auto"/>
              <w:ind w:left="326"/>
              <w:rPr>
                <w:rFonts w:ascii="宋体" w:hAnsi="宋体" w:eastAsia="宋体" w:cs="宋体"/>
                <w:sz w:val="21"/>
                <w:szCs w:val="21"/>
              </w:rPr>
            </w:pPr>
            <w:r>
              <w:rPr>
                <w:rFonts w:ascii="宋体" w:hAnsi="宋体" w:eastAsia="宋体" w:cs="宋体"/>
                <w:spacing w:val="-2"/>
                <w:sz w:val="21"/>
                <w:szCs w:val="21"/>
              </w:rPr>
              <w:t>达到的情况</w:t>
            </w:r>
          </w:p>
        </w:tc>
        <w:tc>
          <w:tcPr>
            <w:tcW w:w="1469" w:type="dxa"/>
            <w:vAlign w:val="top"/>
          </w:tcPr>
          <w:p w14:paraId="686B4B7F">
            <w:pPr>
              <w:spacing w:before="104" w:line="221" w:lineRule="auto"/>
              <w:ind w:left="458"/>
              <w:rPr>
                <w:rFonts w:ascii="宋体" w:hAnsi="宋体" w:eastAsia="宋体" w:cs="宋体"/>
                <w:sz w:val="21"/>
                <w:szCs w:val="21"/>
              </w:rPr>
            </w:pPr>
            <w:r>
              <w:rPr>
                <w:rFonts w:ascii="宋体" w:hAnsi="宋体" w:eastAsia="宋体" w:cs="宋体"/>
                <w:spacing w:val="-7"/>
                <w:sz w:val="21"/>
                <w:szCs w:val="21"/>
              </w:rPr>
              <w:t>结</w:t>
            </w:r>
            <w:r>
              <w:rPr>
                <w:rFonts w:ascii="宋体" w:hAnsi="宋体" w:eastAsia="宋体" w:cs="宋体"/>
                <w:spacing w:val="67"/>
                <w:sz w:val="21"/>
                <w:szCs w:val="21"/>
              </w:rPr>
              <w:t xml:space="preserve"> </w:t>
            </w:r>
            <w:r>
              <w:rPr>
                <w:rFonts w:ascii="宋体" w:hAnsi="宋体" w:eastAsia="宋体" w:cs="宋体"/>
                <w:spacing w:val="-7"/>
                <w:sz w:val="21"/>
                <w:szCs w:val="21"/>
              </w:rPr>
              <w:t>论</w:t>
            </w:r>
          </w:p>
        </w:tc>
        <w:tc>
          <w:tcPr>
            <w:tcW w:w="994" w:type="dxa"/>
            <w:vAlign w:val="top"/>
          </w:tcPr>
          <w:p w14:paraId="5189191F">
            <w:pPr>
              <w:spacing w:before="104" w:line="221" w:lineRule="auto"/>
              <w:ind w:left="289"/>
              <w:rPr>
                <w:rFonts w:ascii="宋体" w:hAnsi="宋体" w:eastAsia="宋体" w:cs="宋体"/>
                <w:sz w:val="21"/>
                <w:szCs w:val="21"/>
              </w:rPr>
            </w:pPr>
            <w:r>
              <w:rPr>
                <w:rFonts w:ascii="宋体" w:hAnsi="宋体" w:eastAsia="宋体" w:cs="宋体"/>
                <w:spacing w:val="5"/>
                <w:sz w:val="21"/>
                <w:szCs w:val="21"/>
              </w:rPr>
              <w:t>备注</w:t>
            </w:r>
          </w:p>
        </w:tc>
      </w:tr>
      <w:tr w14:paraId="01163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 w:hRule="atLeast"/>
        </w:trPr>
        <w:tc>
          <w:tcPr>
            <w:tcW w:w="1054" w:type="dxa"/>
            <w:vAlign w:val="top"/>
          </w:tcPr>
          <w:p w14:paraId="0385B078">
            <w:pPr>
              <w:rPr>
                <w:rFonts w:ascii="Arial"/>
                <w:sz w:val="21"/>
              </w:rPr>
            </w:pPr>
          </w:p>
        </w:tc>
        <w:tc>
          <w:tcPr>
            <w:tcW w:w="1668" w:type="dxa"/>
            <w:vAlign w:val="top"/>
          </w:tcPr>
          <w:p w14:paraId="1BD851ED">
            <w:pPr>
              <w:rPr>
                <w:rFonts w:ascii="Arial"/>
                <w:sz w:val="21"/>
              </w:rPr>
            </w:pPr>
          </w:p>
        </w:tc>
        <w:tc>
          <w:tcPr>
            <w:tcW w:w="2507" w:type="dxa"/>
            <w:vAlign w:val="top"/>
          </w:tcPr>
          <w:p w14:paraId="3D42DCA0">
            <w:pPr>
              <w:rPr>
                <w:rFonts w:ascii="Arial"/>
                <w:sz w:val="21"/>
              </w:rPr>
            </w:pPr>
          </w:p>
        </w:tc>
        <w:tc>
          <w:tcPr>
            <w:tcW w:w="1678" w:type="dxa"/>
            <w:vAlign w:val="top"/>
          </w:tcPr>
          <w:p w14:paraId="0E6961FA">
            <w:pPr>
              <w:rPr>
                <w:rFonts w:ascii="Arial"/>
                <w:sz w:val="21"/>
              </w:rPr>
            </w:pPr>
          </w:p>
        </w:tc>
        <w:tc>
          <w:tcPr>
            <w:tcW w:w="1469" w:type="dxa"/>
            <w:vAlign w:val="top"/>
          </w:tcPr>
          <w:p w14:paraId="4E8E3923">
            <w:pPr>
              <w:rPr>
                <w:rFonts w:ascii="Arial"/>
                <w:sz w:val="21"/>
              </w:rPr>
            </w:pPr>
          </w:p>
        </w:tc>
        <w:tc>
          <w:tcPr>
            <w:tcW w:w="994" w:type="dxa"/>
            <w:vAlign w:val="top"/>
          </w:tcPr>
          <w:p w14:paraId="16E4B17E">
            <w:pPr>
              <w:rPr>
                <w:rFonts w:ascii="Arial"/>
                <w:sz w:val="21"/>
              </w:rPr>
            </w:pPr>
          </w:p>
        </w:tc>
      </w:tr>
      <w:tr w14:paraId="6705B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54" w:type="dxa"/>
            <w:vAlign w:val="top"/>
          </w:tcPr>
          <w:p w14:paraId="6EF33C84">
            <w:pPr>
              <w:rPr>
                <w:rFonts w:ascii="Arial"/>
                <w:sz w:val="21"/>
              </w:rPr>
            </w:pPr>
          </w:p>
        </w:tc>
        <w:tc>
          <w:tcPr>
            <w:tcW w:w="1668" w:type="dxa"/>
            <w:vAlign w:val="top"/>
          </w:tcPr>
          <w:p w14:paraId="3FD8F130">
            <w:pPr>
              <w:rPr>
                <w:rFonts w:ascii="Arial"/>
                <w:sz w:val="21"/>
              </w:rPr>
            </w:pPr>
          </w:p>
        </w:tc>
        <w:tc>
          <w:tcPr>
            <w:tcW w:w="2507" w:type="dxa"/>
            <w:vAlign w:val="top"/>
          </w:tcPr>
          <w:p w14:paraId="7195C39F">
            <w:pPr>
              <w:rPr>
                <w:rFonts w:ascii="Arial"/>
                <w:sz w:val="21"/>
              </w:rPr>
            </w:pPr>
          </w:p>
        </w:tc>
        <w:tc>
          <w:tcPr>
            <w:tcW w:w="1678" w:type="dxa"/>
            <w:vAlign w:val="top"/>
          </w:tcPr>
          <w:p w14:paraId="1DDEDAA3">
            <w:pPr>
              <w:rPr>
                <w:rFonts w:ascii="Arial"/>
                <w:sz w:val="21"/>
              </w:rPr>
            </w:pPr>
          </w:p>
        </w:tc>
        <w:tc>
          <w:tcPr>
            <w:tcW w:w="1469" w:type="dxa"/>
            <w:vAlign w:val="top"/>
          </w:tcPr>
          <w:p w14:paraId="775D43EF">
            <w:pPr>
              <w:rPr>
                <w:rFonts w:ascii="Arial"/>
                <w:sz w:val="21"/>
              </w:rPr>
            </w:pPr>
          </w:p>
        </w:tc>
        <w:tc>
          <w:tcPr>
            <w:tcW w:w="994" w:type="dxa"/>
            <w:vAlign w:val="top"/>
          </w:tcPr>
          <w:p w14:paraId="2BD70836">
            <w:pPr>
              <w:rPr>
                <w:rFonts w:ascii="Arial"/>
                <w:sz w:val="21"/>
              </w:rPr>
            </w:pPr>
          </w:p>
        </w:tc>
      </w:tr>
    </w:tbl>
    <w:p w14:paraId="7D4CD7D3">
      <w:pPr>
        <w:spacing w:before="187" w:line="219" w:lineRule="auto"/>
        <w:ind w:left="569"/>
        <w:rPr>
          <w:rFonts w:ascii="宋体" w:hAnsi="宋体" w:eastAsia="宋体" w:cs="宋体"/>
          <w:sz w:val="27"/>
          <w:szCs w:val="27"/>
        </w:rPr>
      </w:pPr>
      <w:r>
        <w:rPr>
          <w:rFonts w:ascii="宋体" w:hAnsi="宋体" w:eastAsia="宋体" w:cs="宋体"/>
          <w:spacing w:val="-1"/>
          <w:sz w:val="27"/>
          <w:szCs w:val="27"/>
        </w:rPr>
        <w:t>表格填写说明：</w:t>
      </w:r>
    </w:p>
    <w:p w14:paraId="04B4EE0A">
      <w:pPr>
        <w:spacing w:before="107" w:line="219" w:lineRule="auto"/>
        <w:ind w:left="434"/>
        <w:rPr>
          <w:rFonts w:ascii="宋体" w:hAnsi="宋体" w:eastAsia="宋体" w:cs="宋体"/>
          <w:sz w:val="27"/>
          <w:szCs w:val="27"/>
        </w:rPr>
      </w:pPr>
      <w:r>
        <w:rPr>
          <w:rFonts w:ascii="宋体" w:hAnsi="宋体" w:eastAsia="宋体" w:cs="宋体"/>
          <w:spacing w:val="-13"/>
          <w:sz w:val="27"/>
          <w:szCs w:val="27"/>
        </w:rPr>
        <w:t>“序号”栏：用阿拉伯数字顺序填写；</w:t>
      </w:r>
    </w:p>
    <w:p w14:paraId="53C317A8">
      <w:pPr>
        <w:spacing w:before="92" w:line="219" w:lineRule="auto"/>
        <w:ind w:left="434"/>
        <w:rPr>
          <w:rFonts w:ascii="宋体" w:hAnsi="宋体" w:eastAsia="宋体" w:cs="宋体"/>
          <w:sz w:val="27"/>
          <w:szCs w:val="27"/>
        </w:rPr>
      </w:pPr>
      <w:r>
        <w:rPr>
          <w:rFonts w:ascii="宋体" w:hAnsi="宋体" w:eastAsia="宋体" w:cs="宋体"/>
          <w:spacing w:val="-5"/>
          <w:sz w:val="27"/>
          <w:szCs w:val="27"/>
        </w:rPr>
        <w:t>“项目”栏：一般按批准的主要战术技术指标的项目及顺序填写；</w:t>
      </w:r>
    </w:p>
    <w:p w14:paraId="1BD98C71">
      <w:pPr>
        <w:spacing w:before="80" w:line="219" w:lineRule="auto"/>
        <w:ind w:left="434"/>
        <w:rPr>
          <w:rFonts w:ascii="宋体" w:hAnsi="宋体" w:eastAsia="宋体" w:cs="宋体"/>
          <w:sz w:val="27"/>
          <w:szCs w:val="27"/>
        </w:rPr>
      </w:pPr>
      <w:r>
        <w:rPr>
          <w:rFonts w:ascii="宋体" w:hAnsi="宋体" w:eastAsia="宋体" w:cs="宋体"/>
          <w:spacing w:val="-6"/>
          <w:sz w:val="27"/>
          <w:szCs w:val="27"/>
        </w:rPr>
        <w:t>“设计定型时的指标”栏：填写设计定型时的战术技术指标；</w:t>
      </w:r>
    </w:p>
    <w:p w14:paraId="55C0F30F">
      <w:pPr>
        <w:spacing w:before="100" w:line="281" w:lineRule="auto"/>
        <w:ind w:right="117" w:firstLine="434"/>
        <w:rPr>
          <w:rFonts w:ascii="宋体" w:hAnsi="宋体" w:eastAsia="宋体" w:cs="宋体"/>
          <w:sz w:val="27"/>
          <w:szCs w:val="27"/>
        </w:rPr>
      </w:pPr>
      <w:r>
        <w:rPr>
          <w:rFonts w:ascii="宋体" w:hAnsi="宋体" w:eastAsia="宋体" w:cs="宋体"/>
          <w:spacing w:val="-7"/>
          <w:sz w:val="27"/>
          <w:szCs w:val="27"/>
        </w:rPr>
        <w:t>“达到的情况”栏：根据产品具体检验和试验结果填写。对定量指标，进行定</w:t>
      </w:r>
      <w:r>
        <w:rPr>
          <w:rFonts w:ascii="宋体" w:hAnsi="宋体" w:eastAsia="宋体" w:cs="宋体"/>
          <w:spacing w:val="9"/>
          <w:sz w:val="27"/>
          <w:szCs w:val="27"/>
        </w:rPr>
        <w:t xml:space="preserve"> </w:t>
      </w:r>
      <w:r>
        <w:rPr>
          <w:rFonts w:ascii="宋体" w:hAnsi="宋体" w:eastAsia="宋体" w:cs="宋体"/>
          <w:spacing w:val="-17"/>
          <w:sz w:val="27"/>
          <w:szCs w:val="27"/>
        </w:rPr>
        <w:t>量描述，采用“优于××”或“典型值为××”表示；对定性指标，填写实际达到的</w:t>
      </w:r>
      <w:r>
        <w:rPr>
          <w:rFonts w:ascii="宋体" w:hAnsi="宋体" w:eastAsia="宋体" w:cs="宋体"/>
          <w:spacing w:val="7"/>
          <w:sz w:val="27"/>
          <w:szCs w:val="27"/>
        </w:rPr>
        <w:t xml:space="preserve"> </w:t>
      </w:r>
      <w:r>
        <w:rPr>
          <w:rFonts w:ascii="宋体" w:hAnsi="宋体" w:eastAsia="宋体" w:cs="宋体"/>
          <w:spacing w:val="-26"/>
          <w:sz w:val="27"/>
          <w:szCs w:val="27"/>
        </w:rPr>
        <w:t>情况，采用“能××”或“具有××功能”的典型用语，不能只填写“达到”;</w:t>
      </w:r>
    </w:p>
    <w:p w14:paraId="66E320C9">
      <w:pPr>
        <w:spacing w:before="4" w:line="218" w:lineRule="auto"/>
        <w:ind w:left="434"/>
        <w:rPr>
          <w:rFonts w:ascii="宋体" w:hAnsi="宋体" w:eastAsia="宋体" w:cs="宋体"/>
          <w:sz w:val="27"/>
          <w:szCs w:val="27"/>
        </w:rPr>
      </w:pPr>
      <w:r>
        <w:rPr>
          <w:rFonts w:ascii="宋体" w:hAnsi="宋体" w:eastAsia="宋体" w:cs="宋体"/>
          <w:spacing w:val="-32"/>
          <w:sz w:val="27"/>
          <w:szCs w:val="27"/>
        </w:rPr>
        <w:t>“结论”栏：对每一个项目进行评价，如实填写：“达到”、“未达到”。</w:t>
      </w:r>
    </w:p>
    <w:p w14:paraId="43E4674B">
      <w:pPr>
        <w:spacing w:before="94" w:line="278" w:lineRule="auto"/>
        <w:ind w:right="123" w:firstLine="434"/>
        <w:rPr>
          <w:rFonts w:ascii="宋体" w:hAnsi="宋体" w:eastAsia="宋体" w:cs="宋体"/>
          <w:sz w:val="27"/>
          <w:szCs w:val="27"/>
        </w:rPr>
      </w:pPr>
      <w:r>
        <w:rPr>
          <w:rFonts w:ascii="宋体" w:hAnsi="宋体" w:eastAsia="宋体" w:cs="宋体"/>
          <w:spacing w:val="-7"/>
          <w:sz w:val="27"/>
          <w:szCs w:val="27"/>
        </w:rPr>
        <w:t>“备注”栏：说明试验验证场合，是试验室试验还是部队试验试用，(如有)可</w:t>
      </w:r>
      <w:r>
        <w:rPr>
          <w:rFonts w:ascii="宋体" w:hAnsi="宋体" w:eastAsia="宋体" w:cs="宋体"/>
          <w:spacing w:val="10"/>
          <w:sz w:val="27"/>
          <w:szCs w:val="27"/>
        </w:rPr>
        <w:t xml:space="preserve"> </w:t>
      </w:r>
      <w:r>
        <w:rPr>
          <w:rFonts w:ascii="宋体" w:hAnsi="宋体" w:eastAsia="宋体" w:cs="宋体"/>
          <w:spacing w:val="2"/>
          <w:sz w:val="27"/>
          <w:szCs w:val="27"/>
        </w:rPr>
        <w:t>提供试验报告编号。</w:t>
      </w:r>
    </w:p>
    <w:p w14:paraId="6D73DC6D">
      <w:pPr>
        <w:pStyle w:val="2"/>
        <w:spacing w:before="2" w:line="220" w:lineRule="auto"/>
        <w:rPr>
          <w:rFonts w:ascii="黑体" w:hAnsi="黑体" w:eastAsia="黑体" w:cs="黑体"/>
          <w:sz w:val="27"/>
          <w:szCs w:val="27"/>
        </w:rPr>
      </w:pPr>
      <w:r>
        <w:rPr>
          <w:b/>
          <w:bCs/>
          <w:spacing w:val="-3"/>
          <w:sz w:val="27"/>
          <w:szCs w:val="27"/>
        </w:rPr>
        <w:t>6</w:t>
      </w:r>
      <w:r>
        <w:rPr>
          <w:b/>
          <w:bCs/>
          <w:spacing w:val="14"/>
          <w:sz w:val="27"/>
          <w:szCs w:val="27"/>
        </w:rPr>
        <w:t xml:space="preserve">    </w:t>
      </w:r>
      <w:r>
        <w:rPr>
          <w:rFonts w:ascii="黑体" w:hAnsi="黑体" w:eastAsia="黑体" w:cs="黑体"/>
          <w:b/>
          <w:bCs/>
          <w:spacing w:val="-3"/>
          <w:sz w:val="27"/>
          <w:szCs w:val="27"/>
        </w:rPr>
        <w:t>审查结论意见</w:t>
      </w:r>
    </w:p>
    <w:p w14:paraId="17B00D25">
      <w:pPr>
        <w:spacing w:before="91" w:line="291" w:lineRule="auto"/>
        <w:ind w:left="119" w:right="123" w:firstLine="449"/>
        <w:rPr>
          <w:rFonts w:ascii="宋体" w:hAnsi="宋体" w:eastAsia="宋体" w:cs="宋体"/>
          <w:sz w:val="27"/>
          <w:szCs w:val="27"/>
        </w:rPr>
      </w:pPr>
      <w:r>
        <w:rPr>
          <w:rFonts w:ascii="宋体" w:hAnsi="宋体" w:eastAsia="宋体" w:cs="宋体"/>
          <w:spacing w:val="6"/>
          <w:sz w:val="27"/>
          <w:szCs w:val="27"/>
        </w:rPr>
        <w:t>审查意见按照</w:t>
      </w:r>
      <w:r>
        <w:rPr>
          <w:rFonts w:ascii="Times New Roman" w:hAnsi="Times New Roman" w:eastAsia="Times New Roman" w:cs="Times New Roman"/>
          <w:sz w:val="27"/>
          <w:szCs w:val="27"/>
        </w:rPr>
        <w:t>GJB</w:t>
      </w:r>
      <w:r>
        <w:rPr>
          <w:rFonts w:ascii="Times New Roman" w:hAnsi="Times New Roman" w:eastAsia="Times New Roman" w:cs="Times New Roman"/>
          <w:spacing w:val="32"/>
          <w:sz w:val="27"/>
          <w:szCs w:val="27"/>
        </w:rPr>
        <w:t xml:space="preserve"> </w:t>
      </w:r>
      <w:r>
        <w:rPr>
          <w:rFonts w:ascii="Times New Roman" w:hAnsi="Times New Roman" w:eastAsia="Times New Roman" w:cs="Times New Roman"/>
          <w:spacing w:val="6"/>
          <w:sz w:val="27"/>
          <w:szCs w:val="27"/>
        </w:rPr>
        <w:t>1362A—2007</w:t>
      </w:r>
      <w:r>
        <w:rPr>
          <w:rFonts w:ascii="宋体" w:hAnsi="宋体" w:eastAsia="宋体" w:cs="宋体"/>
          <w:spacing w:val="6"/>
          <w:sz w:val="27"/>
          <w:szCs w:val="27"/>
        </w:rPr>
        <w:t>《军工产品</w:t>
      </w:r>
      <w:r>
        <w:rPr>
          <w:rFonts w:ascii="宋体" w:hAnsi="宋体" w:eastAsia="宋体" w:cs="宋体"/>
          <w:spacing w:val="5"/>
          <w:sz w:val="27"/>
          <w:szCs w:val="27"/>
        </w:rPr>
        <w:t>定型程序和要求》第6.12.2条</w:t>
      </w:r>
      <w:r>
        <w:rPr>
          <w:rFonts w:ascii="宋体" w:hAnsi="宋体" w:eastAsia="宋体" w:cs="宋体"/>
          <w:sz w:val="27"/>
          <w:szCs w:val="27"/>
        </w:rPr>
        <w:t xml:space="preserve"> </w:t>
      </w:r>
      <w:r>
        <w:rPr>
          <w:rFonts w:ascii="宋体" w:hAnsi="宋体" w:eastAsia="宋体" w:cs="宋体"/>
          <w:spacing w:val="-12"/>
          <w:sz w:val="27"/>
          <w:szCs w:val="27"/>
        </w:rPr>
        <w:t>的规定给出，主要包括：</w:t>
      </w:r>
    </w:p>
    <w:p w14:paraId="3F7F76BA">
      <w:pPr>
        <w:spacing w:line="291" w:lineRule="auto"/>
        <w:rPr>
          <w:rFonts w:ascii="宋体" w:hAnsi="宋体" w:eastAsia="宋体" w:cs="宋体"/>
          <w:sz w:val="27"/>
          <w:szCs w:val="27"/>
        </w:rPr>
        <w:sectPr>
          <w:footerReference r:id="rId185" w:type="default"/>
          <w:pgSz w:w="11910" w:h="17130"/>
          <w:pgMar w:top="400" w:right="925" w:bottom="1750" w:left="1480" w:header="0" w:footer="1464" w:gutter="0"/>
          <w:cols w:space="720" w:num="1"/>
        </w:sectPr>
      </w:pPr>
    </w:p>
    <w:p w14:paraId="51DB86BA">
      <w:pPr>
        <w:pStyle w:val="2"/>
        <w:spacing w:line="253" w:lineRule="auto"/>
      </w:pPr>
    </w:p>
    <w:p w14:paraId="33D5B826">
      <w:pPr>
        <w:pStyle w:val="2"/>
        <w:spacing w:line="254" w:lineRule="auto"/>
      </w:pPr>
    </w:p>
    <w:p w14:paraId="7E581ADE">
      <w:pPr>
        <w:pStyle w:val="2"/>
        <w:spacing w:line="254" w:lineRule="auto"/>
      </w:pPr>
    </w:p>
    <w:p w14:paraId="12C964BA">
      <w:pPr>
        <w:pStyle w:val="2"/>
        <w:spacing w:line="254" w:lineRule="auto"/>
      </w:pPr>
    </w:p>
    <w:p w14:paraId="223CB4FE">
      <w:pPr>
        <w:spacing w:before="88" w:line="264" w:lineRule="auto"/>
        <w:ind w:right="4" w:firstLine="539"/>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63"/>
          <w:sz w:val="27"/>
          <w:szCs w:val="27"/>
        </w:rPr>
        <w:t xml:space="preserve"> </w:t>
      </w:r>
      <w:r>
        <w:rPr>
          <w:rFonts w:ascii="宋体" w:hAnsi="宋体" w:eastAsia="宋体" w:cs="宋体"/>
          <w:spacing w:val="-4"/>
          <w:sz w:val="27"/>
          <w:szCs w:val="27"/>
        </w:rPr>
        <w:t>生产单位是否具备成套批量生产条件，工艺</w:t>
      </w:r>
      <w:r>
        <w:rPr>
          <w:rFonts w:ascii="宋体" w:hAnsi="宋体" w:eastAsia="宋体" w:cs="宋体"/>
          <w:spacing w:val="-5"/>
          <w:sz w:val="27"/>
          <w:szCs w:val="27"/>
        </w:rPr>
        <w:t>、工装、设备、检测工具和仪</w:t>
      </w:r>
      <w:r>
        <w:rPr>
          <w:rFonts w:ascii="宋体" w:hAnsi="宋体" w:eastAsia="宋体" w:cs="宋体"/>
          <w:sz w:val="27"/>
          <w:szCs w:val="27"/>
        </w:rPr>
        <w:t xml:space="preserve"> </w:t>
      </w:r>
      <w:r>
        <w:rPr>
          <w:rFonts w:ascii="宋体" w:hAnsi="宋体" w:eastAsia="宋体" w:cs="宋体"/>
          <w:spacing w:val="-6"/>
          <w:sz w:val="27"/>
          <w:szCs w:val="27"/>
        </w:rPr>
        <w:t>器等是否齐全，是否符合批量生产的要求，产品质量是否稳定；</w:t>
      </w:r>
    </w:p>
    <w:p w14:paraId="5CD64C3D">
      <w:pPr>
        <w:spacing w:before="59" w:line="260" w:lineRule="auto"/>
        <w:ind w:right="6" w:firstLine="539"/>
        <w:rPr>
          <w:rFonts w:ascii="宋体" w:hAnsi="宋体" w:eastAsia="宋体" w:cs="宋体"/>
          <w:sz w:val="27"/>
          <w:szCs w:val="27"/>
        </w:rPr>
      </w:pPr>
      <w:r>
        <w:rPr>
          <w:rFonts w:ascii="Times New Roman" w:hAnsi="Times New Roman" w:eastAsia="Times New Roman" w:cs="Times New Roman"/>
          <w:spacing w:val="-5"/>
          <w:sz w:val="27"/>
          <w:szCs w:val="27"/>
        </w:rPr>
        <w:t>b)</w:t>
      </w:r>
      <w:r>
        <w:rPr>
          <w:rFonts w:ascii="Times New Roman" w:hAnsi="Times New Roman" w:eastAsia="Times New Roman" w:cs="Times New Roman"/>
          <w:spacing w:val="67"/>
          <w:sz w:val="27"/>
          <w:szCs w:val="27"/>
        </w:rPr>
        <w:t xml:space="preserve"> </w:t>
      </w:r>
      <w:r>
        <w:rPr>
          <w:rFonts w:ascii="宋体" w:hAnsi="宋体" w:eastAsia="宋体" w:cs="宋体"/>
          <w:spacing w:val="-5"/>
          <w:sz w:val="27"/>
          <w:szCs w:val="27"/>
        </w:rPr>
        <w:t>经工艺和生产条件考核、部队试用、生产定型试验，是否发现重大质量问</w:t>
      </w:r>
      <w:r>
        <w:rPr>
          <w:rFonts w:ascii="宋体" w:hAnsi="宋体" w:eastAsia="宋体" w:cs="宋体"/>
          <w:sz w:val="27"/>
          <w:szCs w:val="27"/>
        </w:rPr>
        <w:t xml:space="preserve"> </w:t>
      </w:r>
      <w:r>
        <w:rPr>
          <w:rFonts w:ascii="宋体" w:hAnsi="宋体" w:eastAsia="宋体" w:cs="宋体"/>
          <w:spacing w:val="-3"/>
          <w:sz w:val="27"/>
          <w:szCs w:val="27"/>
        </w:rPr>
        <w:t>题，出现的质量问题是否已得到解决，相关技术资料是否已修改完善，产品性能</w:t>
      </w:r>
      <w:r>
        <w:rPr>
          <w:rFonts w:ascii="宋体" w:hAnsi="宋体" w:eastAsia="宋体" w:cs="宋体"/>
          <w:spacing w:val="7"/>
          <w:sz w:val="27"/>
          <w:szCs w:val="27"/>
        </w:rPr>
        <w:t xml:space="preserve"> </w:t>
      </w:r>
      <w:r>
        <w:rPr>
          <w:rFonts w:ascii="宋体" w:hAnsi="宋体" w:eastAsia="宋体" w:cs="宋体"/>
          <w:spacing w:val="4"/>
          <w:sz w:val="27"/>
          <w:szCs w:val="27"/>
        </w:rPr>
        <w:t>是否符合批准设计定型时的要求和部队作战使用</w:t>
      </w:r>
      <w:r>
        <w:rPr>
          <w:rFonts w:ascii="宋体" w:hAnsi="宋体" w:eastAsia="宋体" w:cs="宋体"/>
          <w:spacing w:val="3"/>
          <w:sz w:val="27"/>
          <w:szCs w:val="27"/>
        </w:rPr>
        <w:t>要求；</w:t>
      </w:r>
    </w:p>
    <w:p w14:paraId="79751D7C">
      <w:pPr>
        <w:spacing w:before="59" w:line="212" w:lineRule="auto"/>
        <w:ind w:left="539"/>
        <w:rPr>
          <w:rFonts w:ascii="宋体" w:hAnsi="宋体" w:eastAsia="宋体" w:cs="宋体"/>
          <w:sz w:val="27"/>
          <w:szCs w:val="27"/>
        </w:rPr>
      </w:pPr>
      <w:r>
        <w:rPr>
          <w:rFonts w:ascii="Times New Roman" w:hAnsi="Times New Roman" w:eastAsia="Times New Roman" w:cs="Times New Roman"/>
          <w:sz w:val="27"/>
          <w:szCs w:val="27"/>
        </w:rPr>
        <w:t>c)</w:t>
      </w:r>
      <w:r>
        <w:rPr>
          <w:rFonts w:ascii="Times New Roman" w:hAnsi="Times New Roman" w:eastAsia="Times New Roman" w:cs="Times New Roman"/>
          <w:spacing w:val="56"/>
          <w:sz w:val="27"/>
          <w:szCs w:val="27"/>
        </w:rPr>
        <w:t xml:space="preserve"> </w:t>
      </w:r>
      <w:r>
        <w:rPr>
          <w:rFonts w:ascii="宋体" w:hAnsi="宋体" w:eastAsia="宋体" w:cs="宋体"/>
          <w:sz w:val="27"/>
          <w:szCs w:val="27"/>
        </w:rPr>
        <w:t>生产和验收的技术文件和图样是否齐备，是否符合生产定型要求；</w:t>
      </w:r>
    </w:p>
    <w:p w14:paraId="107E88A0">
      <w:pPr>
        <w:spacing w:before="98" w:line="260" w:lineRule="auto"/>
        <w:ind w:firstLine="539"/>
        <w:rPr>
          <w:rFonts w:ascii="宋体" w:hAnsi="宋体" w:eastAsia="宋体" w:cs="宋体"/>
          <w:sz w:val="27"/>
          <w:szCs w:val="27"/>
        </w:rPr>
      </w:pPr>
      <w:r>
        <w:rPr>
          <w:rFonts w:ascii="Times New Roman" w:hAnsi="Times New Roman" w:eastAsia="Times New Roman" w:cs="Times New Roman"/>
          <w:spacing w:val="-5"/>
          <w:sz w:val="27"/>
          <w:szCs w:val="27"/>
        </w:rPr>
        <w:t xml:space="preserve">d)  </w:t>
      </w:r>
      <w:r>
        <w:rPr>
          <w:rFonts w:ascii="宋体" w:hAnsi="宋体" w:eastAsia="宋体" w:cs="宋体"/>
          <w:spacing w:val="-5"/>
          <w:sz w:val="27"/>
          <w:szCs w:val="27"/>
        </w:rPr>
        <w:t>配套设备和零部件、元器件、原材料、软件等质量是否可靠，是否有稳定</w:t>
      </w:r>
      <w:r>
        <w:rPr>
          <w:rFonts w:ascii="宋体" w:hAnsi="宋体" w:eastAsia="宋体" w:cs="宋体"/>
          <w:spacing w:val="16"/>
          <w:sz w:val="27"/>
          <w:szCs w:val="27"/>
        </w:rPr>
        <w:t xml:space="preserve"> </w:t>
      </w:r>
      <w:r>
        <w:rPr>
          <w:rFonts w:ascii="宋体" w:hAnsi="宋体" w:eastAsia="宋体" w:cs="宋体"/>
          <w:spacing w:val="-5"/>
          <w:sz w:val="27"/>
          <w:szCs w:val="27"/>
        </w:rPr>
        <w:t>的供货来源；</w:t>
      </w:r>
    </w:p>
    <w:p w14:paraId="2B9EEC34">
      <w:pPr>
        <w:spacing w:before="51" w:line="260" w:lineRule="auto"/>
        <w:ind w:right="20" w:firstLine="539"/>
        <w:rPr>
          <w:rFonts w:ascii="宋体" w:hAnsi="宋体" w:eastAsia="宋体" w:cs="宋体"/>
          <w:sz w:val="27"/>
          <w:szCs w:val="27"/>
        </w:rPr>
      </w:pPr>
      <w:r>
        <w:rPr>
          <w:rFonts w:ascii="Times New Roman" w:hAnsi="Times New Roman" w:eastAsia="Times New Roman" w:cs="Times New Roman"/>
          <w:spacing w:val="21"/>
          <w:sz w:val="27"/>
          <w:szCs w:val="27"/>
        </w:rPr>
        <w:t>e)</w:t>
      </w:r>
      <w:r>
        <w:rPr>
          <w:rFonts w:ascii="Times New Roman" w:hAnsi="Times New Roman" w:eastAsia="Times New Roman" w:cs="Times New Roman"/>
          <w:spacing w:val="57"/>
          <w:sz w:val="27"/>
          <w:szCs w:val="27"/>
        </w:rPr>
        <w:t xml:space="preserve"> </w:t>
      </w:r>
      <w:r>
        <w:rPr>
          <w:rFonts w:ascii="宋体" w:hAnsi="宋体" w:eastAsia="宋体" w:cs="宋体"/>
          <w:spacing w:val="21"/>
          <w:sz w:val="27"/>
          <w:szCs w:val="27"/>
        </w:rPr>
        <w:t>承研承制单位是否具备有效的质量管理体系和国家认可的装备生产</w:t>
      </w:r>
      <w:r>
        <w:rPr>
          <w:rFonts w:ascii="宋体" w:hAnsi="宋体" w:eastAsia="宋体" w:cs="宋体"/>
          <w:sz w:val="27"/>
          <w:szCs w:val="27"/>
        </w:rPr>
        <w:t xml:space="preserve"> </w:t>
      </w:r>
      <w:r>
        <w:rPr>
          <w:rFonts w:ascii="宋体" w:hAnsi="宋体" w:eastAsia="宋体" w:cs="宋体"/>
          <w:spacing w:val="-6"/>
          <w:sz w:val="27"/>
          <w:szCs w:val="27"/>
        </w:rPr>
        <w:t>资格。</w:t>
      </w:r>
    </w:p>
    <w:p w14:paraId="7E016579">
      <w:pPr>
        <w:spacing w:before="99" w:line="219" w:lineRule="auto"/>
        <w:ind w:left="539"/>
        <w:rPr>
          <w:rFonts w:ascii="宋体" w:hAnsi="宋体" w:eastAsia="宋体" w:cs="宋体"/>
          <w:sz w:val="27"/>
          <w:szCs w:val="27"/>
        </w:rPr>
      </w:pPr>
      <w:r>
        <w:rPr>
          <w:rFonts w:ascii="宋体" w:hAnsi="宋体" w:eastAsia="宋体" w:cs="宋体"/>
          <w:spacing w:val="-1"/>
          <w:sz w:val="27"/>
          <w:szCs w:val="27"/>
        </w:rPr>
        <w:t>审查结论的典型用语为：</w:t>
      </w:r>
    </w:p>
    <w:p w14:paraId="50031DE8">
      <w:pPr>
        <w:spacing w:before="59" w:line="212" w:lineRule="auto"/>
        <w:ind w:left="539"/>
        <w:rPr>
          <w:rFonts w:ascii="仿宋" w:hAnsi="仿宋" w:eastAsia="仿宋" w:cs="仿宋"/>
          <w:sz w:val="27"/>
          <w:szCs w:val="27"/>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75"/>
          <w:w w:val="101"/>
          <w:sz w:val="27"/>
          <w:szCs w:val="27"/>
        </w:rPr>
        <w:t xml:space="preserve"> </w:t>
      </w:r>
      <w:r>
        <w:rPr>
          <w:rFonts w:ascii="仿宋" w:hAnsi="仿宋" w:eastAsia="仿宋" w:cs="仿宋"/>
          <w:spacing w:val="-1"/>
          <w:sz w:val="27"/>
          <w:szCs w:val="27"/>
        </w:rPr>
        <w:t>产品符合军工产品生产定型标准和要求，建议批准生产定型；</w:t>
      </w:r>
    </w:p>
    <w:p w14:paraId="7478CDD4">
      <w:pPr>
        <w:spacing w:before="130" w:line="273" w:lineRule="auto"/>
        <w:ind w:right="19" w:firstLine="539"/>
        <w:rPr>
          <w:rFonts w:ascii="仿宋" w:hAnsi="仿宋" w:eastAsia="仿宋" w:cs="仿宋"/>
          <w:sz w:val="24"/>
          <w:szCs w:val="24"/>
        </w:rPr>
      </w:pPr>
      <w:r>
        <w:rPr>
          <w:rFonts w:ascii="Times New Roman" w:hAnsi="Times New Roman" w:eastAsia="Times New Roman" w:cs="Times New Roman"/>
          <w:spacing w:val="30"/>
          <w:sz w:val="24"/>
          <w:szCs w:val="24"/>
        </w:rPr>
        <w:t xml:space="preserve">b)  </w:t>
      </w:r>
      <w:r>
        <w:rPr>
          <w:rFonts w:ascii="仿宋" w:hAnsi="仿宋" w:eastAsia="仿宋" w:cs="仿宋"/>
          <w:spacing w:val="30"/>
          <w:sz w:val="24"/>
          <w:szCs w:val="24"/>
        </w:rPr>
        <w:t>产品不符合军工产品生产定型标准和要求，建议产品生产单位解决存在</w:t>
      </w:r>
      <w:r>
        <w:rPr>
          <w:rFonts w:ascii="仿宋" w:hAnsi="仿宋" w:eastAsia="仿宋" w:cs="仿宋"/>
          <w:spacing w:val="6"/>
          <w:sz w:val="24"/>
          <w:szCs w:val="24"/>
        </w:rPr>
        <w:t xml:space="preserve"> </w:t>
      </w:r>
      <w:r>
        <w:rPr>
          <w:rFonts w:ascii="仿宋" w:hAnsi="仿宋" w:eastAsia="仿宋" w:cs="仿宋"/>
          <w:spacing w:val="18"/>
          <w:sz w:val="24"/>
          <w:szCs w:val="24"/>
        </w:rPr>
        <w:t>问题后，重新申请生产定型。</w:t>
      </w:r>
    </w:p>
    <w:p w14:paraId="2729479F">
      <w:pPr>
        <w:spacing w:before="88" w:line="274" w:lineRule="auto"/>
        <w:ind w:right="34" w:firstLine="539"/>
        <w:rPr>
          <w:rFonts w:ascii="宋体" w:hAnsi="宋体" w:eastAsia="宋体" w:cs="宋体"/>
          <w:sz w:val="27"/>
          <w:szCs w:val="27"/>
        </w:rPr>
      </w:pPr>
      <w:r>
        <w:rPr>
          <w:rFonts w:ascii="宋体" w:hAnsi="宋体" w:eastAsia="宋体" w:cs="宋体"/>
          <w:spacing w:val="-3"/>
          <w:sz w:val="27"/>
          <w:szCs w:val="27"/>
        </w:rPr>
        <w:t>审查组成员对审查结论有不同意见时，应以书面形式</w:t>
      </w:r>
      <w:r>
        <w:rPr>
          <w:rFonts w:ascii="宋体" w:hAnsi="宋体" w:eastAsia="宋体" w:cs="宋体"/>
          <w:spacing w:val="-4"/>
          <w:sz w:val="27"/>
          <w:szCs w:val="27"/>
        </w:rPr>
        <w:t>提出，作为附件附在审</w:t>
      </w:r>
      <w:r>
        <w:rPr>
          <w:rFonts w:ascii="宋体" w:hAnsi="宋体" w:eastAsia="宋体" w:cs="宋体"/>
          <w:sz w:val="27"/>
          <w:szCs w:val="27"/>
        </w:rPr>
        <w:t xml:space="preserve"> </w:t>
      </w:r>
      <w:r>
        <w:rPr>
          <w:rFonts w:ascii="宋体" w:hAnsi="宋体" w:eastAsia="宋体" w:cs="宋体"/>
          <w:spacing w:val="-3"/>
          <w:sz w:val="27"/>
          <w:szCs w:val="27"/>
        </w:rPr>
        <w:t>查结论意见之后，一并上报军工产品定型委员会。</w:t>
      </w:r>
    </w:p>
    <w:p w14:paraId="139BEEAE">
      <w:pPr>
        <w:spacing w:before="2" w:line="261" w:lineRule="auto"/>
        <w:ind w:right="26" w:firstLine="539"/>
        <w:rPr>
          <w:rFonts w:ascii="楷体" w:hAnsi="楷体" w:eastAsia="楷体" w:cs="楷体"/>
          <w:sz w:val="28"/>
          <w:szCs w:val="28"/>
        </w:rPr>
      </w:pPr>
      <w:r>
        <w:rPr>
          <w:rFonts w:ascii="楷体" w:hAnsi="楷体" w:eastAsia="楷体" w:cs="楷体"/>
          <w:spacing w:val="-4"/>
          <w:sz w:val="28"/>
          <w:szCs w:val="28"/>
        </w:rPr>
        <w:t>对于航空军工产品，可按照</w:t>
      </w:r>
      <w:r>
        <w:rPr>
          <w:rFonts w:ascii="Times New Roman" w:hAnsi="Times New Roman" w:eastAsia="Times New Roman" w:cs="Times New Roman"/>
          <w:spacing w:val="-4"/>
          <w:sz w:val="28"/>
          <w:szCs w:val="28"/>
        </w:rPr>
        <w:t>GJB 3845—1999</w:t>
      </w:r>
      <w:r>
        <w:rPr>
          <w:rFonts w:ascii="宋体" w:hAnsi="宋体" w:eastAsia="宋体" w:cs="宋体"/>
          <w:spacing w:val="-4"/>
          <w:sz w:val="28"/>
          <w:szCs w:val="28"/>
        </w:rPr>
        <w:t>《</w:t>
      </w:r>
      <w:r>
        <w:rPr>
          <w:rFonts w:ascii="楷体" w:hAnsi="楷体" w:eastAsia="楷体" w:cs="楷体"/>
          <w:spacing w:val="-4"/>
          <w:sz w:val="28"/>
          <w:szCs w:val="28"/>
        </w:rPr>
        <w:t>航空军工产</w:t>
      </w:r>
      <w:r>
        <w:rPr>
          <w:rFonts w:ascii="楷体" w:hAnsi="楷体" w:eastAsia="楷体" w:cs="楷体"/>
          <w:spacing w:val="-5"/>
          <w:sz w:val="28"/>
          <w:szCs w:val="28"/>
        </w:rPr>
        <w:t>品定型审查报告</w:t>
      </w:r>
      <w:r>
        <w:rPr>
          <w:rFonts w:ascii="楷体" w:hAnsi="楷体" w:eastAsia="楷体" w:cs="楷体"/>
          <w:sz w:val="28"/>
          <w:szCs w:val="28"/>
        </w:rPr>
        <w:t xml:space="preserve"> </w:t>
      </w:r>
      <w:r>
        <w:rPr>
          <w:rFonts w:ascii="楷体" w:hAnsi="楷体" w:eastAsia="楷体" w:cs="楷体"/>
          <w:spacing w:val="-13"/>
          <w:sz w:val="28"/>
          <w:szCs w:val="28"/>
        </w:rPr>
        <w:t>编写要求》第5.2条编写，目次格式如下：</w:t>
      </w:r>
    </w:p>
    <w:p w14:paraId="43A323CB">
      <w:pPr>
        <w:spacing w:before="11" w:line="223" w:lineRule="auto"/>
        <w:ind w:left="539"/>
        <w:rPr>
          <w:rFonts w:ascii="楷体" w:hAnsi="楷体" w:eastAsia="楷体" w:cs="楷体"/>
          <w:sz w:val="28"/>
          <w:szCs w:val="28"/>
        </w:rPr>
      </w:pPr>
      <w:r>
        <w:rPr>
          <w:rFonts w:ascii="楷体" w:hAnsi="楷体" w:eastAsia="楷体" w:cs="楷体"/>
          <w:spacing w:val="-5"/>
          <w:sz w:val="28"/>
          <w:szCs w:val="28"/>
        </w:rPr>
        <w:t>审查工作概况</w:t>
      </w:r>
    </w:p>
    <w:p w14:paraId="31229AA0">
      <w:pPr>
        <w:spacing w:before="91" w:line="223" w:lineRule="auto"/>
        <w:ind w:left="539"/>
        <w:rPr>
          <w:rFonts w:ascii="楷体" w:hAnsi="楷体" w:eastAsia="楷体" w:cs="楷体"/>
          <w:sz w:val="27"/>
          <w:szCs w:val="27"/>
        </w:rPr>
      </w:pPr>
      <w:r>
        <w:rPr>
          <w:rFonts w:ascii="Times New Roman" w:hAnsi="Times New Roman" w:eastAsia="Times New Roman" w:cs="Times New Roman"/>
          <w:spacing w:val="-1"/>
          <w:sz w:val="27"/>
          <w:szCs w:val="27"/>
        </w:rPr>
        <w:t>1</w:t>
      </w:r>
      <w:r>
        <w:rPr>
          <w:rFonts w:ascii="Times New Roman" w:hAnsi="Times New Roman" w:eastAsia="Times New Roman" w:cs="Times New Roman"/>
          <w:spacing w:val="16"/>
          <w:w w:val="101"/>
          <w:sz w:val="27"/>
          <w:szCs w:val="27"/>
        </w:rPr>
        <w:t xml:space="preserve">  </w:t>
      </w:r>
      <w:r>
        <w:rPr>
          <w:rFonts w:ascii="楷体" w:hAnsi="楷体" w:eastAsia="楷体" w:cs="楷体"/>
          <w:spacing w:val="-1"/>
          <w:sz w:val="27"/>
          <w:szCs w:val="27"/>
        </w:rPr>
        <w:t>试生产简要情况</w:t>
      </w:r>
    </w:p>
    <w:p w14:paraId="773A3518">
      <w:pPr>
        <w:spacing w:before="81" w:line="228" w:lineRule="auto"/>
        <w:ind w:left="539"/>
        <w:rPr>
          <w:rFonts w:ascii="楷体" w:hAnsi="楷体" w:eastAsia="楷体" w:cs="楷体"/>
          <w:sz w:val="27"/>
          <w:szCs w:val="27"/>
        </w:rPr>
      </w:pPr>
      <w:r>
        <w:rPr>
          <w:rFonts w:ascii="Times New Roman" w:hAnsi="Times New Roman" w:eastAsia="Times New Roman" w:cs="Times New Roman"/>
          <w:spacing w:val="3"/>
          <w:sz w:val="27"/>
          <w:szCs w:val="27"/>
        </w:rPr>
        <w:t xml:space="preserve">2  </w:t>
      </w:r>
      <w:r>
        <w:rPr>
          <w:rFonts w:ascii="楷体" w:hAnsi="楷体" w:eastAsia="楷体" w:cs="楷体"/>
          <w:spacing w:val="3"/>
          <w:sz w:val="27"/>
          <w:szCs w:val="27"/>
        </w:rPr>
        <w:t>主要功用和特点</w:t>
      </w:r>
    </w:p>
    <w:p w14:paraId="3E74580A">
      <w:pPr>
        <w:spacing w:before="86" w:line="228" w:lineRule="auto"/>
        <w:ind w:left="539"/>
        <w:rPr>
          <w:rFonts w:ascii="楷体" w:hAnsi="楷体" w:eastAsia="楷体" w:cs="楷体"/>
          <w:sz w:val="24"/>
          <w:szCs w:val="24"/>
        </w:rPr>
      </w:pPr>
      <w:r>
        <w:rPr>
          <w:rFonts w:ascii="Times New Roman" w:hAnsi="Times New Roman" w:eastAsia="Times New Roman" w:cs="Times New Roman"/>
          <w:spacing w:val="17"/>
          <w:sz w:val="24"/>
          <w:szCs w:val="24"/>
        </w:rPr>
        <w:t>2.1</w:t>
      </w:r>
      <w:r>
        <w:rPr>
          <w:rFonts w:ascii="Times New Roman" w:hAnsi="Times New Roman" w:eastAsia="Times New Roman" w:cs="Times New Roman"/>
          <w:spacing w:val="4"/>
          <w:sz w:val="24"/>
          <w:szCs w:val="24"/>
        </w:rPr>
        <w:t xml:space="preserve">    </w:t>
      </w:r>
      <w:r>
        <w:rPr>
          <w:rFonts w:ascii="楷体" w:hAnsi="楷体" w:eastAsia="楷体" w:cs="楷体"/>
          <w:spacing w:val="17"/>
          <w:sz w:val="24"/>
          <w:szCs w:val="24"/>
        </w:rPr>
        <w:t>主要用途</w:t>
      </w:r>
    </w:p>
    <w:p w14:paraId="6C2A0127">
      <w:pPr>
        <w:spacing w:before="85" w:line="228" w:lineRule="auto"/>
        <w:ind w:left="539"/>
        <w:rPr>
          <w:rFonts w:ascii="楷体" w:hAnsi="楷体" w:eastAsia="楷体" w:cs="楷体"/>
          <w:sz w:val="28"/>
          <w:szCs w:val="28"/>
        </w:rPr>
      </w:pPr>
      <w:r>
        <w:rPr>
          <w:rFonts w:ascii="Times New Roman" w:hAnsi="Times New Roman" w:eastAsia="Times New Roman" w:cs="Times New Roman"/>
          <w:spacing w:val="-3"/>
          <w:sz w:val="28"/>
          <w:szCs w:val="28"/>
        </w:rPr>
        <w:t xml:space="preserve">2.2   </w:t>
      </w:r>
      <w:r>
        <w:rPr>
          <w:rFonts w:ascii="楷体" w:hAnsi="楷体" w:eastAsia="楷体" w:cs="楷体"/>
          <w:spacing w:val="-3"/>
          <w:sz w:val="28"/>
          <w:szCs w:val="28"/>
        </w:rPr>
        <w:t>主要战术技术特点</w:t>
      </w:r>
    </w:p>
    <w:p w14:paraId="36CE317C">
      <w:pPr>
        <w:spacing w:before="64" w:line="228" w:lineRule="auto"/>
        <w:ind w:left="539"/>
        <w:rPr>
          <w:rFonts w:ascii="楷体" w:hAnsi="楷体" w:eastAsia="楷体" w:cs="楷体"/>
          <w:sz w:val="28"/>
          <w:szCs w:val="28"/>
        </w:rPr>
      </w:pPr>
      <w:r>
        <w:rPr>
          <w:rFonts w:ascii="Times New Roman" w:hAnsi="Times New Roman" w:eastAsia="Times New Roman" w:cs="Times New Roman"/>
          <w:spacing w:val="-6"/>
          <w:sz w:val="28"/>
          <w:szCs w:val="28"/>
        </w:rPr>
        <w:t>2.3</w:t>
      </w:r>
      <w:r>
        <w:rPr>
          <w:rFonts w:ascii="Times New Roman" w:hAnsi="Times New Roman" w:eastAsia="Times New Roman" w:cs="Times New Roman"/>
          <w:spacing w:val="6"/>
          <w:sz w:val="28"/>
          <w:szCs w:val="28"/>
        </w:rPr>
        <w:t xml:space="preserve">   </w:t>
      </w:r>
      <w:r>
        <w:rPr>
          <w:rFonts w:ascii="楷体" w:hAnsi="楷体" w:eastAsia="楷体" w:cs="楷体"/>
          <w:spacing w:val="-6"/>
          <w:sz w:val="28"/>
          <w:szCs w:val="28"/>
        </w:rPr>
        <w:t>主要组成</w:t>
      </w:r>
    </w:p>
    <w:p w14:paraId="58B3E00F">
      <w:pPr>
        <w:spacing w:before="54" w:line="228" w:lineRule="auto"/>
        <w:ind w:left="539"/>
        <w:rPr>
          <w:rFonts w:ascii="楷体" w:hAnsi="楷体" w:eastAsia="楷体" w:cs="楷体"/>
          <w:sz w:val="28"/>
          <w:szCs w:val="28"/>
        </w:rPr>
      </w:pPr>
      <w:r>
        <w:rPr>
          <w:rFonts w:ascii="Times New Roman" w:hAnsi="Times New Roman" w:eastAsia="Times New Roman" w:cs="Times New Roman"/>
          <w:spacing w:val="-3"/>
          <w:sz w:val="28"/>
          <w:szCs w:val="28"/>
        </w:rPr>
        <w:t xml:space="preserve">3  </w:t>
      </w:r>
      <w:r>
        <w:rPr>
          <w:rFonts w:ascii="楷体" w:hAnsi="楷体" w:eastAsia="楷体" w:cs="楷体"/>
          <w:spacing w:val="-3"/>
          <w:sz w:val="28"/>
          <w:szCs w:val="28"/>
        </w:rPr>
        <w:t>主要战术技术性能</w:t>
      </w:r>
    </w:p>
    <w:p w14:paraId="6B236F52">
      <w:pPr>
        <w:spacing w:before="77" w:line="223" w:lineRule="auto"/>
        <w:ind w:left="539"/>
        <w:rPr>
          <w:rFonts w:ascii="楷体" w:hAnsi="楷体" w:eastAsia="楷体" w:cs="楷体"/>
          <w:sz w:val="27"/>
          <w:szCs w:val="27"/>
        </w:rPr>
      </w:pPr>
      <w:r>
        <w:rPr>
          <w:rFonts w:ascii="Times New Roman" w:hAnsi="Times New Roman" w:eastAsia="Times New Roman" w:cs="Times New Roman"/>
          <w:spacing w:val="-3"/>
          <w:sz w:val="27"/>
          <w:szCs w:val="27"/>
        </w:rPr>
        <w:t xml:space="preserve">4  </w:t>
      </w:r>
      <w:r>
        <w:rPr>
          <w:rFonts w:ascii="楷体" w:hAnsi="楷体" w:eastAsia="楷体" w:cs="楷体"/>
          <w:spacing w:val="-3"/>
          <w:sz w:val="27"/>
          <w:szCs w:val="27"/>
        </w:rPr>
        <w:t>工艺、工装和质量保证体系情况</w:t>
      </w:r>
    </w:p>
    <w:p w14:paraId="1868D185">
      <w:pPr>
        <w:spacing w:before="79" w:line="227" w:lineRule="auto"/>
        <w:ind w:left="539"/>
        <w:rPr>
          <w:rFonts w:ascii="楷体" w:hAnsi="楷体" w:eastAsia="楷体" w:cs="楷体"/>
          <w:sz w:val="27"/>
          <w:szCs w:val="27"/>
        </w:rPr>
      </w:pPr>
      <w:r>
        <w:rPr>
          <w:rFonts w:ascii="Times New Roman" w:hAnsi="Times New Roman" w:eastAsia="Times New Roman" w:cs="Times New Roman"/>
          <w:spacing w:val="5"/>
          <w:sz w:val="27"/>
          <w:szCs w:val="27"/>
        </w:rPr>
        <w:t xml:space="preserve">5  </w:t>
      </w:r>
      <w:r>
        <w:rPr>
          <w:rFonts w:ascii="楷体" w:hAnsi="楷体" w:eastAsia="楷体" w:cs="楷体"/>
          <w:spacing w:val="5"/>
          <w:sz w:val="27"/>
          <w:szCs w:val="27"/>
        </w:rPr>
        <w:t>主要技术问题解决情况</w:t>
      </w:r>
    </w:p>
    <w:p w14:paraId="64448A9D">
      <w:pPr>
        <w:spacing w:before="49" w:line="212" w:lineRule="auto"/>
        <w:ind w:left="539"/>
        <w:rPr>
          <w:rFonts w:ascii="楷体" w:hAnsi="楷体" w:eastAsia="楷体" w:cs="楷体"/>
          <w:sz w:val="27"/>
          <w:szCs w:val="27"/>
        </w:rPr>
      </w:pPr>
      <w:r>
        <w:rPr>
          <w:rFonts w:ascii="楷体" w:hAnsi="楷体" w:eastAsia="楷体" w:cs="楷体"/>
          <w:spacing w:val="5"/>
          <w:sz w:val="27"/>
          <w:szCs w:val="27"/>
        </w:rPr>
        <w:t>5.</w:t>
      </w:r>
      <w:r>
        <w:rPr>
          <w:rFonts w:ascii="Times New Roman" w:hAnsi="Times New Roman" w:eastAsia="Times New Roman" w:cs="Times New Roman"/>
          <w:spacing w:val="5"/>
          <w:sz w:val="27"/>
          <w:szCs w:val="27"/>
        </w:rPr>
        <w:t xml:space="preserve">X  ( </w:t>
      </w:r>
      <w:r>
        <w:rPr>
          <w:rFonts w:ascii="楷体" w:hAnsi="楷体" w:eastAsia="楷体" w:cs="楷体"/>
          <w:spacing w:val="5"/>
          <w:sz w:val="27"/>
          <w:szCs w:val="27"/>
        </w:rPr>
        <w:t>主要技术问题</w:t>
      </w:r>
      <w:r>
        <w:rPr>
          <w:rFonts w:ascii="Times New Roman" w:hAnsi="Times New Roman" w:eastAsia="Times New Roman" w:cs="Times New Roman"/>
          <w:spacing w:val="5"/>
          <w:sz w:val="27"/>
          <w:szCs w:val="27"/>
        </w:rPr>
        <w:t>X)</w:t>
      </w:r>
      <w:r>
        <w:rPr>
          <w:rFonts w:ascii="Times New Roman" w:hAnsi="Times New Roman" w:eastAsia="Times New Roman" w:cs="Times New Roman"/>
          <w:spacing w:val="-10"/>
          <w:sz w:val="27"/>
          <w:szCs w:val="27"/>
        </w:rPr>
        <w:t xml:space="preserve"> </w:t>
      </w:r>
      <w:r>
        <w:rPr>
          <w:rFonts w:ascii="楷体" w:hAnsi="楷体" w:eastAsia="楷体" w:cs="楷体"/>
          <w:spacing w:val="5"/>
          <w:sz w:val="27"/>
          <w:szCs w:val="27"/>
        </w:rPr>
        <w:t>及其解决情况</w:t>
      </w:r>
    </w:p>
    <w:p w14:paraId="27AA83D8">
      <w:pPr>
        <w:spacing w:before="134" w:line="223" w:lineRule="auto"/>
        <w:ind w:left="539"/>
        <w:rPr>
          <w:rFonts w:ascii="楷体" w:hAnsi="楷体" w:eastAsia="楷体" w:cs="楷体"/>
          <w:sz w:val="27"/>
          <w:szCs w:val="27"/>
        </w:rPr>
      </w:pPr>
      <w:r>
        <w:rPr>
          <w:rFonts w:ascii="Times New Roman" w:hAnsi="Times New Roman" w:eastAsia="Times New Roman" w:cs="Times New Roman"/>
          <w:spacing w:val="2"/>
          <w:sz w:val="27"/>
          <w:szCs w:val="27"/>
        </w:rPr>
        <w:t>6</w:t>
      </w:r>
      <w:r>
        <w:rPr>
          <w:rFonts w:ascii="Times New Roman" w:hAnsi="Times New Roman" w:eastAsia="Times New Roman" w:cs="Times New Roman"/>
          <w:spacing w:val="18"/>
          <w:sz w:val="27"/>
          <w:szCs w:val="27"/>
        </w:rPr>
        <w:t xml:space="preserve">  </w:t>
      </w:r>
      <w:r>
        <w:rPr>
          <w:rFonts w:ascii="楷体" w:hAnsi="楷体" w:eastAsia="楷体" w:cs="楷体"/>
          <w:spacing w:val="2"/>
          <w:sz w:val="27"/>
          <w:szCs w:val="27"/>
        </w:rPr>
        <w:t>生产定型试用/试验情况</w:t>
      </w:r>
    </w:p>
    <w:p w14:paraId="5EB14171">
      <w:pPr>
        <w:spacing w:before="113" w:line="223" w:lineRule="auto"/>
        <w:ind w:left="539"/>
        <w:rPr>
          <w:rFonts w:ascii="楷体" w:hAnsi="楷体" w:eastAsia="楷体" w:cs="楷体"/>
          <w:sz w:val="24"/>
          <w:szCs w:val="24"/>
        </w:rPr>
      </w:pPr>
      <w:r>
        <w:rPr>
          <w:rFonts w:ascii="Times New Roman" w:hAnsi="Times New Roman" w:eastAsia="Times New Roman" w:cs="Times New Roman"/>
          <w:spacing w:val="20"/>
          <w:sz w:val="24"/>
          <w:szCs w:val="24"/>
        </w:rPr>
        <w:t xml:space="preserve">6.1    </w:t>
      </w:r>
      <w:r>
        <w:rPr>
          <w:rFonts w:ascii="楷体" w:hAnsi="楷体" w:eastAsia="楷体" w:cs="楷体"/>
          <w:spacing w:val="20"/>
          <w:sz w:val="24"/>
          <w:szCs w:val="24"/>
        </w:rPr>
        <w:t>生产定型试用情况</w:t>
      </w:r>
    </w:p>
    <w:p w14:paraId="1E69500E">
      <w:pPr>
        <w:spacing w:before="110" w:line="223" w:lineRule="auto"/>
        <w:ind w:left="539"/>
        <w:rPr>
          <w:rFonts w:ascii="楷体" w:hAnsi="楷体" w:eastAsia="楷体" w:cs="楷体"/>
          <w:sz w:val="24"/>
          <w:szCs w:val="24"/>
        </w:rPr>
      </w:pPr>
      <w:r>
        <w:rPr>
          <w:rFonts w:ascii="Times New Roman" w:hAnsi="Times New Roman" w:eastAsia="Times New Roman" w:cs="Times New Roman"/>
          <w:spacing w:val="20"/>
          <w:sz w:val="24"/>
          <w:szCs w:val="24"/>
        </w:rPr>
        <w:t xml:space="preserve">6.2    </w:t>
      </w:r>
      <w:r>
        <w:rPr>
          <w:rFonts w:ascii="楷体" w:hAnsi="楷体" w:eastAsia="楷体" w:cs="楷体"/>
          <w:spacing w:val="20"/>
          <w:sz w:val="24"/>
          <w:szCs w:val="24"/>
        </w:rPr>
        <w:t>生产定型试验情况</w:t>
      </w:r>
    </w:p>
    <w:p w14:paraId="7830906B">
      <w:pPr>
        <w:spacing w:before="100" w:line="223" w:lineRule="auto"/>
        <w:ind w:left="539"/>
        <w:rPr>
          <w:rFonts w:ascii="楷体" w:hAnsi="楷体" w:eastAsia="楷体" w:cs="楷体"/>
          <w:sz w:val="24"/>
          <w:szCs w:val="24"/>
        </w:rPr>
      </w:pPr>
      <w:r>
        <w:rPr>
          <w:rFonts w:ascii="Times New Roman" w:hAnsi="Times New Roman" w:eastAsia="Times New Roman" w:cs="Times New Roman"/>
          <w:spacing w:val="29"/>
          <w:sz w:val="24"/>
          <w:szCs w:val="24"/>
        </w:rPr>
        <w:t>7</w:t>
      </w:r>
      <w:r>
        <w:rPr>
          <w:rFonts w:ascii="Times New Roman" w:hAnsi="Times New Roman" w:eastAsia="Times New Roman" w:cs="Times New Roman"/>
          <w:spacing w:val="32"/>
          <w:sz w:val="24"/>
          <w:szCs w:val="24"/>
        </w:rPr>
        <w:t xml:space="preserve">  </w:t>
      </w:r>
      <w:r>
        <w:rPr>
          <w:rFonts w:ascii="楷体" w:hAnsi="楷体" w:eastAsia="楷体" w:cs="楷体"/>
          <w:spacing w:val="29"/>
          <w:sz w:val="24"/>
          <w:szCs w:val="24"/>
        </w:rPr>
        <w:t>生产定型审查意见及结论</w:t>
      </w:r>
    </w:p>
    <w:p w14:paraId="5509CE44">
      <w:pPr>
        <w:spacing w:line="223" w:lineRule="auto"/>
        <w:rPr>
          <w:rFonts w:ascii="楷体" w:hAnsi="楷体" w:eastAsia="楷体" w:cs="楷体"/>
          <w:sz w:val="24"/>
          <w:szCs w:val="24"/>
        </w:rPr>
        <w:sectPr>
          <w:footerReference r:id="rId186" w:type="default"/>
          <w:pgSz w:w="11910" w:h="17130"/>
          <w:pgMar w:top="400" w:right="1402" w:bottom="1667" w:left="1130" w:header="0" w:footer="1450" w:gutter="0"/>
          <w:cols w:space="720" w:num="1"/>
        </w:sectPr>
      </w:pPr>
    </w:p>
    <w:p w14:paraId="15584DBE">
      <w:pPr>
        <w:pStyle w:val="2"/>
        <w:spacing w:line="264" w:lineRule="auto"/>
      </w:pPr>
    </w:p>
    <w:p w14:paraId="3E1287FB">
      <w:pPr>
        <w:pStyle w:val="2"/>
        <w:spacing w:line="265" w:lineRule="auto"/>
      </w:pPr>
    </w:p>
    <w:p w14:paraId="0039BF5B">
      <w:pPr>
        <w:pStyle w:val="2"/>
        <w:spacing w:line="265" w:lineRule="auto"/>
      </w:pPr>
    </w:p>
    <w:p w14:paraId="2B70B8B1">
      <w:pPr>
        <w:pStyle w:val="2"/>
        <w:spacing w:line="265" w:lineRule="auto"/>
      </w:pPr>
    </w:p>
    <w:p w14:paraId="4E6C4EE5">
      <w:pPr>
        <w:pStyle w:val="2"/>
        <w:spacing w:line="265" w:lineRule="auto"/>
      </w:pPr>
    </w:p>
    <w:p w14:paraId="28331B38">
      <w:pPr>
        <w:pStyle w:val="2"/>
        <w:spacing w:line="265" w:lineRule="auto"/>
      </w:pPr>
    </w:p>
    <w:p w14:paraId="73BFD719">
      <w:pPr>
        <w:pStyle w:val="2"/>
        <w:spacing w:line="265" w:lineRule="auto"/>
      </w:pPr>
    </w:p>
    <w:p w14:paraId="3E243C3F">
      <w:pPr>
        <w:pStyle w:val="2"/>
        <w:spacing w:line="265" w:lineRule="auto"/>
      </w:pPr>
    </w:p>
    <w:p w14:paraId="23898758">
      <w:pPr>
        <w:spacing w:before="143" w:line="222" w:lineRule="auto"/>
        <w:ind w:left="2570"/>
        <w:outlineLvl w:val="0"/>
        <w:rPr>
          <w:rFonts w:ascii="黑体" w:hAnsi="黑体" w:eastAsia="黑体" w:cs="黑体"/>
          <w:sz w:val="44"/>
          <w:szCs w:val="44"/>
        </w:rPr>
      </w:pPr>
      <w:bookmarkStart w:id="132" w:name="bookmark371"/>
      <w:bookmarkEnd w:id="132"/>
      <w:bookmarkStart w:id="133" w:name="bookmark69"/>
      <w:bookmarkEnd w:id="133"/>
      <w:r>
        <w:rPr>
          <w:rFonts w:ascii="黑体" w:hAnsi="黑体" w:eastAsia="黑体" w:cs="黑体"/>
          <w:spacing w:val="-12"/>
          <w:sz w:val="44"/>
          <w:szCs w:val="44"/>
        </w:rPr>
        <w:t>第</w:t>
      </w:r>
      <w:r>
        <w:rPr>
          <w:rFonts w:ascii="黑体" w:hAnsi="黑体" w:eastAsia="黑体" w:cs="黑体"/>
          <w:spacing w:val="-69"/>
          <w:sz w:val="44"/>
          <w:szCs w:val="44"/>
        </w:rPr>
        <w:t xml:space="preserve"> </w:t>
      </w:r>
      <w:r>
        <w:rPr>
          <w:rFonts w:ascii="黑体" w:hAnsi="黑体" w:eastAsia="黑体" w:cs="黑体"/>
          <w:spacing w:val="-12"/>
          <w:sz w:val="44"/>
          <w:szCs w:val="44"/>
        </w:rPr>
        <w:t>2</w:t>
      </w:r>
      <w:r>
        <w:rPr>
          <w:rFonts w:ascii="黑体" w:hAnsi="黑体" w:eastAsia="黑体" w:cs="黑体"/>
          <w:spacing w:val="-69"/>
          <w:sz w:val="44"/>
          <w:szCs w:val="44"/>
        </w:rPr>
        <w:t xml:space="preserve"> </w:t>
      </w:r>
      <w:r>
        <w:rPr>
          <w:rFonts w:ascii="黑体" w:hAnsi="黑体" w:eastAsia="黑体" w:cs="黑体"/>
          <w:spacing w:val="-12"/>
          <w:sz w:val="44"/>
          <w:szCs w:val="44"/>
        </w:rPr>
        <w:t>章</w:t>
      </w:r>
      <w:r>
        <w:rPr>
          <w:rFonts w:ascii="黑体" w:hAnsi="黑体" w:eastAsia="黑体" w:cs="黑体"/>
          <w:spacing w:val="41"/>
          <w:sz w:val="44"/>
          <w:szCs w:val="44"/>
        </w:rPr>
        <w:t xml:space="preserve">  </w:t>
      </w:r>
      <w:r>
        <w:rPr>
          <w:rFonts w:ascii="黑体" w:hAnsi="黑体" w:eastAsia="黑体" w:cs="黑体"/>
          <w:spacing w:val="-12"/>
          <w:sz w:val="44"/>
          <w:szCs w:val="44"/>
        </w:rPr>
        <w:t>软 件</w:t>
      </w:r>
      <w:r>
        <w:rPr>
          <w:rFonts w:ascii="黑体" w:hAnsi="黑体" w:eastAsia="黑体" w:cs="黑体"/>
          <w:spacing w:val="12"/>
          <w:sz w:val="44"/>
          <w:szCs w:val="44"/>
        </w:rPr>
        <w:t xml:space="preserve"> </w:t>
      </w:r>
      <w:r>
        <w:rPr>
          <w:rFonts w:ascii="黑体" w:hAnsi="黑体" w:eastAsia="黑体" w:cs="黑体"/>
          <w:spacing w:val="-12"/>
          <w:sz w:val="44"/>
          <w:szCs w:val="44"/>
        </w:rPr>
        <w:t>文 档</w:t>
      </w:r>
    </w:p>
    <w:p w14:paraId="6BB3AB11">
      <w:pPr>
        <w:pStyle w:val="2"/>
        <w:spacing w:line="254" w:lineRule="auto"/>
      </w:pPr>
    </w:p>
    <w:p w14:paraId="3463FE75">
      <w:pPr>
        <w:pStyle w:val="2"/>
        <w:spacing w:line="254" w:lineRule="auto"/>
      </w:pPr>
    </w:p>
    <w:p w14:paraId="7D5E4C5E">
      <w:pPr>
        <w:pStyle w:val="2"/>
        <w:spacing w:line="255" w:lineRule="auto"/>
      </w:pPr>
    </w:p>
    <w:p w14:paraId="39D8E23E">
      <w:pPr>
        <w:spacing w:before="117" w:line="219" w:lineRule="auto"/>
        <w:ind w:left="3110"/>
        <w:outlineLvl w:val="1"/>
        <w:rPr>
          <w:rFonts w:ascii="宋体" w:hAnsi="宋体" w:eastAsia="宋体" w:cs="宋体"/>
          <w:sz w:val="36"/>
          <w:szCs w:val="36"/>
        </w:rPr>
      </w:pPr>
      <w:bookmarkStart w:id="134" w:name="bookmark70"/>
      <w:bookmarkEnd w:id="134"/>
      <w:r>
        <w:rPr>
          <w:rFonts w:ascii="宋体" w:hAnsi="宋体" w:eastAsia="宋体" w:cs="宋体"/>
          <w:spacing w:val="5"/>
          <w:sz w:val="36"/>
          <w:szCs w:val="36"/>
        </w:rPr>
        <w:t xml:space="preserve">2.1  </w:t>
      </w:r>
      <w:r>
        <w:rPr>
          <w:rFonts w:ascii="宋体" w:hAnsi="宋体" w:eastAsia="宋体" w:cs="宋体"/>
          <w:b/>
          <w:bCs/>
          <w:spacing w:val="5"/>
          <w:sz w:val="36"/>
          <w:szCs w:val="36"/>
        </w:rPr>
        <w:t>运行方案说明</w:t>
      </w:r>
    </w:p>
    <w:p w14:paraId="10FF6195">
      <w:pPr>
        <w:pStyle w:val="2"/>
        <w:spacing w:line="318" w:lineRule="auto"/>
      </w:pPr>
    </w:p>
    <w:p w14:paraId="59FE3EF9">
      <w:pPr>
        <w:spacing w:before="91" w:line="225" w:lineRule="auto"/>
        <w:ind w:left="55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438B—2009</w:t>
      </w:r>
      <w:r>
        <w:rPr>
          <w:rFonts w:ascii="宋体" w:hAnsi="宋体" w:eastAsia="宋体" w:cs="宋体"/>
          <w:spacing w:val="-11"/>
          <w:sz w:val="28"/>
          <w:szCs w:val="28"/>
        </w:rPr>
        <w:t>《</w:t>
      </w:r>
      <w:r>
        <w:rPr>
          <w:rFonts w:ascii="楷体" w:hAnsi="楷体" w:eastAsia="楷体" w:cs="楷体"/>
          <w:spacing w:val="-11"/>
          <w:sz w:val="28"/>
          <w:szCs w:val="28"/>
        </w:rPr>
        <w:t>军用软件开发文档通用要求》编写。</w:t>
      </w:r>
    </w:p>
    <w:p w14:paraId="4F399319">
      <w:pPr>
        <w:spacing w:before="78"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1"/>
          <w:sz w:val="27"/>
          <w:szCs w:val="27"/>
        </w:rPr>
        <w:t xml:space="preserve">  </w:t>
      </w:r>
      <w:r>
        <w:rPr>
          <w:rFonts w:ascii="黑体" w:hAnsi="黑体" w:eastAsia="黑体" w:cs="黑体"/>
          <w:b/>
          <w:bCs/>
          <w:spacing w:val="-4"/>
          <w:sz w:val="27"/>
          <w:szCs w:val="27"/>
        </w:rPr>
        <w:t>范围</w:t>
      </w:r>
    </w:p>
    <w:p w14:paraId="6783D825">
      <w:pPr>
        <w:spacing w:before="92" w:line="222" w:lineRule="auto"/>
        <w:rPr>
          <w:rFonts w:ascii="黑体" w:hAnsi="黑体" w:eastAsia="黑体" w:cs="黑体"/>
          <w:sz w:val="25"/>
          <w:szCs w:val="25"/>
        </w:rPr>
      </w:pPr>
      <w:r>
        <w:rPr>
          <w:rFonts w:ascii="黑体" w:hAnsi="黑体" w:eastAsia="黑体" w:cs="黑体"/>
          <w:spacing w:val="5"/>
          <w:sz w:val="25"/>
          <w:szCs w:val="25"/>
        </w:rPr>
        <w:t>1.1</w:t>
      </w:r>
      <w:r>
        <w:rPr>
          <w:rFonts w:ascii="黑体" w:hAnsi="黑体" w:eastAsia="黑体" w:cs="黑体"/>
          <w:spacing w:val="40"/>
          <w:sz w:val="25"/>
          <w:szCs w:val="25"/>
        </w:rPr>
        <w:t xml:space="preserve">  </w:t>
      </w:r>
      <w:r>
        <w:rPr>
          <w:rFonts w:ascii="黑体" w:hAnsi="黑体" w:eastAsia="黑体" w:cs="黑体"/>
          <w:b/>
          <w:bCs/>
          <w:spacing w:val="5"/>
          <w:sz w:val="25"/>
          <w:szCs w:val="25"/>
        </w:rPr>
        <w:t>标识</w:t>
      </w:r>
    </w:p>
    <w:p w14:paraId="5502F5B3">
      <w:pPr>
        <w:spacing w:before="93" w:line="275" w:lineRule="auto"/>
        <w:ind w:right="123" w:firstLine="550"/>
        <w:rPr>
          <w:rFonts w:ascii="宋体" w:hAnsi="宋体" w:eastAsia="宋体" w:cs="宋体"/>
          <w:sz w:val="27"/>
          <w:szCs w:val="27"/>
        </w:rPr>
      </w:pPr>
      <w:r>
        <w:rPr>
          <w:rFonts w:ascii="宋体" w:hAnsi="宋体" w:eastAsia="宋体" w:cs="宋体"/>
          <w:spacing w:val="-11"/>
          <w:sz w:val="27"/>
          <w:szCs w:val="27"/>
        </w:rPr>
        <w:t>本条应包含本文档适用系统的完整标识，适用时，包括其标识号、名称、缩略</w:t>
      </w:r>
      <w:r>
        <w:rPr>
          <w:rFonts w:ascii="宋体" w:hAnsi="宋体" w:eastAsia="宋体" w:cs="宋体"/>
          <w:spacing w:val="4"/>
          <w:sz w:val="27"/>
          <w:szCs w:val="27"/>
        </w:rPr>
        <w:t xml:space="preserve"> </w:t>
      </w:r>
      <w:r>
        <w:rPr>
          <w:rFonts w:ascii="宋体" w:hAnsi="宋体" w:eastAsia="宋体" w:cs="宋体"/>
          <w:spacing w:val="-10"/>
          <w:sz w:val="27"/>
          <w:szCs w:val="27"/>
        </w:rPr>
        <w:t>名、版本号和发布号。</w:t>
      </w:r>
    </w:p>
    <w:p w14:paraId="2D4D29E2">
      <w:pPr>
        <w:spacing w:before="1" w:line="220" w:lineRule="auto"/>
        <w:rPr>
          <w:rFonts w:ascii="黑体" w:hAnsi="黑体" w:eastAsia="黑体" w:cs="黑体"/>
          <w:sz w:val="24"/>
          <w:szCs w:val="24"/>
        </w:rPr>
      </w:pPr>
      <w:r>
        <w:rPr>
          <w:rFonts w:ascii="黑体" w:hAnsi="黑体" w:eastAsia="黑体" w:cs="黑体"/>
          <w:spacing w:val="12"/>
          <w:sz w:val="24"/>
          <w:szCs w:val="24"/>
        </w:rPr>
        <w:t>1.2</w:t>
      </w:r>
      <w:r>
        <w:rPr>
          <w:rFonts w:ascii="黑体" w:hAnsi="黑体" w:eastAsia="黑体" w:cs="黑体"/>
          <w:spacing w:val="59"/>
          <w:sz w:val="24"/>
          <w:szCs w:val="24"/>
        </w:rPr>
        <w:t xml:space="preserve">  </w:t>
      </w:r>
      <w:r>
        <w:rPr>
          <w:rFonts w:ascii="黑体" w:hAnsi="黑体" w:eastAsia="黑体" w:cs="黑体"/>
          <w:b/>
          <w:bCs/>
          <w:spacing w:val="12"/>
          <w:sz w:val="24"/>
          <w:szCs w:val="24"/>
        </w:rPr>
        <w:t>系统概述</w:t>
      </w:r>
    </w:p>
    <w:p w14:paraId="1F3AE829">
      <w:pPr>
        <w:spacing w:before="109" w:line="275" w:lineRule="auto"/>
        <w:ind w:firstLine="550"/>
        <w:jc w:val="both"/>
        <w:rPr>
          <w:rFonts w:ascii="宋体" w:hAnsi="宋体" w:eastAsia="宋体" w:cs="宋体"/>
          <w:sz w:val="27"/>
          <w:szCs w:val="27"/>
        </w:rPr>
      </w:pPr>
      <w:r>
        <w:rPr>
          <w:rFonts w:ascii="宋体" w:hAnsi="宋体" w:eastAsia="宋体" w:cs="宋体"/>
          <w:spacing w:val="5"/>
          <w:sz w:val="27"/>
          <w:szCs w:val="27"/>
        </w:rPr>
        <w:t>本条应概述本文档所适用的系统的用途。它还应描述系统的一般特性；概</w:t>
      </w:r>
      <w:r>
        <w:rPr>
          <w:rFonts w:ascii="宋体" w:hAnsi="宋体" w:eastAsia="宋体" w:cs="宋体"/>
          <w:spacing w:val="4"/>
          <w:sz w:val="27"/>
          <w:szCs w:val="27"/>
        </w:rPr>
        <w:t xml:space="preserve">  </w:t>
      </w:r>
      <w:r>
        <w:rPr>
          <w:rFonts w:ascii="宋体" w:hAnsi="宋体" w:eastAsia="宋体" w:cs="宋体"/>
          <w:spacing w:val="-7"/>
          <w:sz w:val="27"/>
          <w:szCs w:val="27"/>
        </w:rPr>
        <w:t>述系统开发、运行和维护的历史；标识项目的需方、用户、开发方和保障机构等；</w:t>
      </w:r>
      <w:r>
        <w:rPr>
          <w:rFonts w:ascii="宋体" w:hAnsi="宋体" w:eastAsia="宋体" w:cs="宋体"/>
          <w:spacing w:val="16"/>
          <w:sz w:val="27"/>
          <w:szCs w:val="27"/>
        </w:rPr>
        <w:t xml:space="preserve"> </w:t>
      </w:r>
      <w:r>
        <w:rPr>
          <w:rFonts w:ascii="宋体" w:hAnsi="宋体" w:eastAsia="宋体" w:cs="宋体"/>
          <w:spacing w:val="-3"/>
          <w:sz w:val="27"/>
          <w:szCs w:val="27"/>
        </w:rPr>
        <w:t>标识当前和计划的运行现场；列出其他有关文档。</w:t>
      </w:r>
    </w:p>
    <w:p w14:paraId="3228307F">
      <w:pPr>
        <w:spacing w:before="17" w:line="221" w:lineRule="auto"/>
        <w:rPr>
          <w:rFonts w:ascii="黑体" w:hAnsi="黑体" w:eastAsia="黑体" w:cs="黑体"/>
          <w:sz w:val="25"/>
          <w:szCs w:val="25"/>
        </w:rPr>
      </w:pPr>
      <w:r>
        <w:rPr>
          <w:rFonts w:ascii="黑体" w:hAnsi="黑体" w:eastAsia="黑体" w:cs="黑体"/>
          <w:spacing w:val="6"/>
          <w:sz w:val="25"/>
          <w:szCs w:val="25"/>
        </w:rPr>
        <w:t>1.3</w:t>
      </w:r>
      <w:r>
        <w:rPr>
          <w:rFonts w:ascii="黑体" w:hAnsi="黑体" w:eastAsia="黑体" w:cs="黑体"/>
          <w:spacing w:val="48"/>
          <w:sz w:val="25"/>
          <w:szCs w:val="25"/>
        </w:rPr>
        <w:t xml:space="preserve">  </w:t>
      </w:r>
      <w:r>
        <w:rPr>
          <w:rFonts w:ascii="黑体" w:hAnsi="黑体" w:eastAsia="黑体" w:cs="黑体"/>
          <w:b/>
          <w:bCs/>
          <w:spacing w:val="6"/>
          <w:sz w:val="25"/>
          <w:szCs w:val="25"/>
        </w:rPr>
        <w:t>文档概述</w:t>
      </w:r>
    </w:p>
    <w:p w14:paraId="127911BB">
      <w:pPr>
        <w:spacing w:before="85" w:line="276" w:lineRule="auto"/>
        <w:ind w:right="133" w:firstLine="550"/>
        <w:rPr>
          <w:rFonts w:ascii="宋体" w:hAnsi="宋体" w:eastAsia="宋体" w:cs="宋体"/>
          <w:sz w:val="27"/>
          <w:szCs w:val="27"/>
        </w:rPr>
      </w:pPr>
      <w:r>
        <w:rPr>
          <w:rFonts w:ascii="宋体" w:hAnsi="宋体" w:eastAsia="宋体" w:cs="宋体"/>
          <w:spacing w:val="5"/>
          <w:sz w:val="27"/>
          <w:szCs w:val="27"/>
        </w:rPr>
        <w:t>本条应概述本文档的用途和内容，并描述与它的使用有关的保密性方面的</w:t>
      </w:r>
      <w:r>
        <w:rPr>
          <w:rFonts w:ascii="宋体" w:hAnsi="宋体" w:eastAsia="宋体" w:cs="宋体"/>
          <w:sz w:val="27"/>
          <w:szCs w:val="27"/>
        </w:rPr>
        <w:t xml:space="preserve"> </w:t>
      </w:r>
      <w:r>
        <w:rPr>
          <w:rFonts w:ascii="宋体" w:hAnsi="宋体" w:eastAsia="宋体" w:cs="宋体"/>
          <w:spacing w:val="-2"/>
          <w:sz w:val="27"/>
          <w:szCs w:val="27"/>
        </w:rPr>
        <w:t>要求。</w:t>
      </w:r>
    </w:p>
    <w:p w14:paraId="6B1BAF94">
      <w:pPr>
        <w:pStyle w:val="2"/>
        <w:spacing w:before="1" w:line="221" w:lineRule="auto"/>
        <w:rPr>
          <w:rFonts w:ascii="黑体" w:hAnsi="黑体" w:eastAsia="黑体" w:cs="黑体"/>
          <w:sz w:val="27"/>
          <w:szCs w:val="27"/>
        </w:rPr>
      </w:pPr>
      <w:r>
        <w:rPr>
          <w:b/>
          <w:bCs/>
          <w:spacing w:val="1"/>
          <w:sz w:val="27"/>
          <w:szCs w:val="27"/>
        </w:rPr>
        <w:t>2</w:t>
      </w:r>
      <w:r>
        <w:rPr>
          <w:b/>
          <w:bCs/>
          <w:spacing w:val="11"/>
          <w:sz w:val="27"/>
          <w:szCs w:val="27"/>
        </w:rPr>
        <w:t xml:space="preserve">   </w:t>
      </w:r>
      <w:r>
        <w:rPr>
          <w:rFonts w:ascii="黑体" w:hAnsi="黑体" w:eastAsia="黑体" w:cs="黑体"/>
          <w:b/>
          <w:bCs/>
          <w:spacing w:val="1"/>
          <w:sz w:val="27"/>
          <w:szCs w:val="27"/>
        </w:rPr>
        <w:t>引用文档</w:t>
      </w:r>
    </w:p>
    <w:p w14:paraId="41C525C4">
      <w:pPr>
        <w:spacing w:before="91" w:line="268" w:lineRule="auto"/>
        <w:ind w:right="121" w:firstLine="550"/>
        <w:rPr>
          <w:rFonts w:ascii="宋体" w:hAnsi="宋体" w:eastAsia="宋体" w:cs="宋体"/>
          <w:sz w:val="27"/>
          <w:szCs w:val="27"/>
        </w:rPr>
      </w:pPr>
      <w:r>
        <w:rPr>
          <w:rFonts w:ascii="宋体" w:hAnsi="宋体" w:eastAsia="宋体" w:cs="宋体"/>
          <w:spacing w:val="-11"/>
          <w:sz w:val="27"/>
          <w:szCs w:val="27"/>
        </w:rPr>
        <w:t>本章应列出引用文档的编号、标题、编写单位、修订版及日期，还应标识不能</w:t>
      </w:r>
      <w:r>
        <w:rPr>
          <w:rFonts w:ascii="宋体" w:hAnsi="宋体" w:eastAsia="宋体" w:cs="宋体"/>
          <w:spacing w:val="6"/>
          <w:sz w:val="27"/>
          <w:szCs w:val="27"/>
        </w:rPr>
        <w:t xml:space="preserve"> </w:t>
      </w:r>
      <w:r>
        <w:rPr>
          <w:rFonts w:ascii="宋体" w:hAnsi="宋体" w:eastAsia="宋体" w:cs="宋体"/>
          <w:spacing w:val="3"/>
          <w:sz w:val="27"/>
          <w:szCs w:val="27"/>
        </w:rPr>
        <w:t>通过正常采购活动得到的文档的来源。</w:t>
      </w:r>
    </w:p>
    <w:p w14:paraId="54384C10">
      <w:pPr>
        <w:spacing w:before="39" w:line="221" w:lineRule="auto"/>
        <w:rPr>
          <w:rFonts w:ascii="黑体" w:hAnsi="黑体" w:eastAsia="黑体" w:cs="黑体"/>
          <w:sz w:val="24"/>
          <w:szCs w:val="24"/>
        </w:rPr>
      </w:pPr>
      <w:r>
        <w:rPr>
          <w:rFonts w:ascii="黑体" w:hAnsi="黑体" w:eastAsia="黑体" w:cs="黑体"/>
          <w:spacing w:val="28"/>
          <w:sz w:val="24"/>
          <w:szCs w:val="24"/>
        </w:rPr>
        <w:t>3</w:t>
      </w:r>
      <w:r>
        <w:rPr>
          <w:rFonts w:ascii="黑体" w:hAnsi="黑体" w:eastAsia="黑体" w:cs="黑体"/>
          <w:spacing w:val="27"/>
          <w:sz w:val="24"/>
          <w:szCs w:val="24"/>
        </w:rPr>
        <w:t xml:space="preserve">  </w:t>
      </w:r>
      <w:r>
        <w:rPr>
          <w:rFonts w:ascii="黑体" w:hAnsi="黑体" w:eastAsia="黑体" w:cs="黑体"/>
          <w:b/>
          <w:bCs/>
          <w:spacing w:val="28"/>
          <w:sz w:val="24"/>
          <w:szCs w:val="24"/>
        </w:rPr>
        <w:t>现行系统或状态</w:t>
      </w:r>
    </w:p>
    <w:p w14:paraId="6C32A1B9">
      <w:pPr>
        <w:spacing w:before="94" w:line="221" w:lineRule="auto"/>
        <w:rPr>
          <w:rFonts w:ascii="黑体" w:hAnsi="黑体" w:eastAsia="黑体" w:cs="黑体"/>
          <w:sz w:val="27"/>
          <w:szCs w:val="27"/>
        </w:rPr>
      </w:pPr>
      <w:r>
        <w:rPr>
          <w:rFonts w:ascii="黑体" w:hAnsi="黑体" w:eastAsia="黑体" w:cs="黑体"/>
          <w:spacing w:val="-12"/>
          <w:sz w:val="27"/>
          <w:szCs w:val="27"/>
        </w:rPr>
        <w:t>3.1</w:t>
      </w:r>
      <w:r>
        <w:rPr>
          <w:rFonts w:ascii="黑体" w:hAnsi="黑体" w:eastAsia="黑体" w:cs="黑体"/>
          <w:spacing w:val="18"/>
          <w:sz w:val="27"/>
          <w:szCs w:val="27"/>
        </w:rPr>
        <w:t xml:space="preserve">  </w:t>
      </w:r>
      <w:r>
        <w:rPr>
          <w:rFonts w:ascii="黑体" w:hAnsi="黑体" w:eastAsia="黑体" w:cs="黑体"/>
          <w:b/>
          <w:bCs/>
          <w:spacing w:val="-12"/>
          <w:sz w:val="27"/>
          <w:szCs w:val="27"/>
        </w:rPr>
        <w:t>背景、目标和范围</w:t>
      </w:r>
    </w:p>
    <w:p w14:paraId="6E0E9EE2">
      <w:pPr>
        <w:spacing w:before="91" w:line="219" w:lineRule="auto"/>
        <w:ind w:left="550"/>
        <w:rPr>
          <w:rFonts w:ascii="宋体" w:hAnsi="宋体" w:eastAsia="宋体" w:cs="宋体"/>
          <w:sz w:val="27"/>
          <w:szCs w:val="27"/>
        </w:rPr>
      </w:pPr>
      <w:r>
        <w:rPr>
          <w:rFonts w:ascii="宋体" w:hAnsi="宋体" w:eastAsia="宋体" w:cs="宋体"/>
          <w:spacing w:val="-1"/>
          <w:sz w:val="27"/>
          <w:szCs w:val="27"/>
        </w:rPr>
        <w:t>本条应描述现行系统或状况的背景、任务或目标和范围。</w:t>
      </w:r>
    </w:p>
    <w:p w14:paraId="011FE0A6">
      <w:pPr>
        <w:spacing w:before="66" w:line="222" w:lineRule="auto"/>
        <w:rPr>
          <w:rFonts w:ascii="黑体" w:hAnsi="黑体" w:eastAsia="黑体" w:cs="黑体"/>
          <w:sz w:val="27"/>
          <w:szCs w:val="27"/>
        </w:rPr>
      </w:pPr>
      <w:r>
        <w:rPr>
          <w:rFonts w:ascii="黑体" w:hAnsi="黑体" w:eastAsia="黑体" w:cs="黑体"/>
          <w:spacing w:val="-2"/>
          <w:sz w:val="27"/>
          <w:szCs w:val="27"/>
        </w:rPr>
        <w:t>3.2</w:t>
      </w:r>
      <w:r>
        <w:rPr>
          <w:rFonts w:ascii="黑体" w:hAnsi="黑体" w:eastAsia="黑体" w:cs="黑体"/>
          <w:spacing w:val="16"/>
          <w:sz w:val="27"/>
          <w:szCs w:val="27"/>
        </w:rPr>
        <w:t xml:space="preserve">  </w:t>
      </w:r>
      <w:r>
        <w:rPr>
          <w:rFonts w:ascii="黑体" w:hAnsi="黑体" w:eastAsia="黑体" w:cs="黑体"/>
          <w:b/>
          <w:bCs/>
          <w:spacing w:val="-2"/>
          <w:sz w:val="27"/>
          <w:szCs w:val="27"/>
        </w:rPr>
        <w:t>运行策略和约束</w:t>
      </w:r>
    </w:p>
    <w:p w14:paraId="32459253">
      <w:pPr>
        <w:spacing w:before="99" w:line="219" w:lineRule="auto"/>
        <w:ind w:left="550"/>
        <w:rPr>
          <w:rFonts w:ascii="宋体" w:hAnsi="宋体" w:eastAsia="宋体" w:cs="宋体"/>
          <w:sz w:val="27"/>
          <w:szCs w:val="27"/>
        </w:rPr>
      </w:pPr>
      <w:r>
        <w:rPr>
          <w:rFonts w:ascii="宋体" w:hAnsi="宋体" w:eastAsia="宋体" w:cs="宋体"/>
          <w:spacing w:val="4"/>
          <w:sz w:val="27"/>
          <w:szCs w:val="27"/>
        </w:rPr>
        <w:t>本条应描述适用于现行系统或状况的运行策略和约束。</w:t>
      </w:r>
    </w:p>
    <w:p w14:paraId="7D82E166">
      <w:pPr>
        <w:spacing w:before="55" w:line="221" w:lineRule="auto"/>
        <w:rPr>
          <w:rFonts w:ascii="黑体" w:hAnsi="黑体" w:eastAsia="黑体" w:cs="黑体"/>
          <w:sz w:val="27"/>
          <w:szCs w:val="27"/>
        </w:rPr>
      </w:pPr>
      <w:r>
        <w:rPr>
          <w:rFonts w:ascii="黑体" w:hAnsi="黑体" w:eastAsia="黑体" w:cs="黑体"/>
          <w:spacing w:val="2"/>
          <w:sz w:val="27"/>
          <w:szCs w:val="27"/>
        </w:rPr>
        <w:t xml:space="preserve">3.3  </w:t>
      </w:r>
      <w:r>
        <w:rPr>
          <w:rFonts w:ascii="黑体" w:hAnsi="黑体" w:eastAsia="黑体" w:cs="黑体"/>
          <w:b/>
          <w:bCs/>
          <w:spacing w:val="2"/>
          <w:sz w:val="27"/>
          <w:szCs w:val="27"/>
        </w:rPr>
        <w:t>现行系统或状况的描述</w:t>
      </w:r>
    </w:p>
    <w:p w14:paraId="19200E09">
      <w:pPr>
        <w:spacing w:before="110" w:line="273" w:lineRule="auto"/>
        <w:ind w:right="112" w:firstLine="550"/>
        <w:jc w:val="both"/>
        <w:rPr>
          <w:rFonts w:ascii="宋体" w:hAnsi="宋体" w:eastAsia="宋体" w:cs="宋体"/>
          <w:sz w:val="27"/>
          <w:szCs w:val="27"/>
        </w:rPr>
      </w:pPr>
      <w:r>
        <w:rPr>
          <w:rFonts w:ascii="宋体" w:hAnsi="宋体" w:eastAsia="宋体" w:cs="宋体"/>
          <w:spacing w:val="1"/>
          <w:sz w:val="27"/>
          <w:szCs w:val="27"/>
        </w:rPr>
        <w:t>本条应给出现行系统或状况的描述，标识出不同运行状态或方式的差异(例</w:t>
      </w:r>
      <w:r>
        <w:rPr>
          <w:rFonts w:ascii="宋体" w:hAnsi="宋体" w:eastAsia="宋体" w:cs="宋体"/>
          <w:spacing w:val="13"/>
          <w:sz w:val="27"/>
          <w:szCs w:val="27"/>
        </w:rPr>
        <w:t xml:space="preserve"> </w:t>
      </w:r>
      <w:r>
        <w:rPr>
          <w:rFonts w:ascii="宋体" w:hAnsi="宋体" w:eastAsia="宋体" w:cs="宋体"/>
          <w:spacing w:val="-20"/>
          <w:sz w:val="27"/>
          <w:szCs w:val="27"/>
        </w:rPr>
        <w:t>如常规、维护、培训、降级、紧急事件、备选场点、战时、平时)。可</w:t>
      </w:r>
      <w:r>
        <w:rPr>
          <w:rFonts w:ascii="宋体" w:hAnsi="宋体" w:eastAsia="宋体" w:cs="宋体"/>
          <w:spacing w:val="-21"/>
          <w:sz w:val="27"/>
          <w:szCs w:val="27"/>
        </w:rPr>
        <w:t>以仅用状态描述</w:t>
      </w:r>
      <w:r>
        <w:rPr>
          <w:rFonts w:ascii="宋体" w:hAnsi="宋体" w:eastAsia="宋体" w:cs="宋体"/>
          <w:sz w:val="27"/>
          <w:szCs w:val="27"/>
        </w:rPr>
        <w:t xml:space="preserve"> </w:t>
      </w:r>
      <w:r>
        <w:rPr>
          <w:rFonts w:ascii="宋体" w:hAnsi="宋体" w:eastAsia="宋体" w:cs="宋体"/>
          <w:spacing w:val="-10"/>
          <w:sz w:val="27"/>
          <w:szCs w:val="27"/>
        </w:rPr>
        <w:t>系统，也可以仅用方式、或用方式中的状态、状态中的方式、或其他有效的方式描</w:t>
      </w:r>
      <w:r>
        <w:rPr>
          <w:rFonts w:ascii="宋体" w:hAnsi="宋体" w:eastAsia="宋体" w:cs="宋体"/>
          <w:spacing w:val="3"/>
          <w:sz w:val="27"/>
          <w:szCs w:val="27"/>
        </w:rPr>
        <w:t xml:space="preserve"> </w:t>
      </w:r>
      <w:r>
        <w:rPr>
          <w:rFonts w:ascii="宋体" w:hAnsi="宋体" w:eastAsia="宋体" w:cs="宋体"/>
          <w:spacing w:val="-3"/>
          <w:sz w:val="27"/>
          <w:szCs w:val="27"/>
        </w:rPr>
        <w:t>述系统。如果系统不是以多种状态或方式运行，本条应如实陈述，而不需要进行</w:t>
      </w:r>
      <w:r>
        <w:rPr>
          <w:rFonts w:ascii="宋体" w:hAnsi="宋体" w:eastAsia="宋体" w:cs="宋体"/>
          <w:spacing w:val="17"/>
          <w:sz w:val="27"/>
          <w:szCs w:val="27"/>
        </w:rPr>
        <w:t xml:space="preserve"> </w:t>
      </w:r>
      <w:r>
        <w:rPr>
          <w:rFonts w:ascii="宋体" w:hAnsi="宋体" w:eastAsia="宋体" w:cs="宋体"/>
          <w:sz w:val="27"/>
          <w:szCs w:val="27"/>
        </w:rPr>
        <w:t>人为的区分。描述的内容如下：</w:t>
      </w:r>
    </w:p>
    <w:p w14:paraId="3B96A81D">
      <w:pPr>
        <w:spacing w:line="273" w:lineRule="auto"/>
        <w:rPr>
          <w:rFonts w:ascii="宋体" w:hAnsi="宋体" w:eastAsia="宋体" w:cs="宋体"/>
          <w:sz w:val="27"/>
          <w:szCs w:val="27"/>
        </w:rPr>
        <w:sectPr>
          <w:footerReference r:id="rId187" w:type="default"/>
          <w:pgSz w:w="11910" w:h="17130"/>
          <w:pgMar w:top="400" w:right="924" w:bottom="1607" w:left="1499" w:header="0" w:footer="1391" w:gutter="0"/>
          <w:cols w:space="720" w:num="1"/>
        </w:sectPr>
      </w:pPr>
    </w:p>
    <w:p w14:paraId="5D866F5A">
      <w:pPr>
        <w:pStyle w:val="2"/>
        <w:spacing w:line="269" w:lineRule="auto"/>
      </w:pPr>
    </w:p>
    <w:p w14:paraId="5B52B708">
      <w:pPr>
        <w:pStyle w:val="2"/>
        <w:spacing w:line="269" w:lineRule="auto"/>
      </w:pPr>
    </w:p>
    <w:p w14:paraId="46C8A189">
      <w:pPr>
        <w:pStyle w:val="2"/>
        <w:spacing w:line="269" w:lineRule="auto"/>
      </w:pPr>
    </w:p>
    <w:p w14:paraId="187AC555">
      <w:pPr>
        <w:pStyle w:val="2"/>
        <w:spacing w:line="269" w:lineRule="auto"/>
      </w:pPr>
    </w:p>
    <w:p w14:paraId="64851CAF">
      <w:pPr>
        <w:spacing w:before="88"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a)</w:t>
      </w:r>
      <w:r>
        <w:rPr>
          <w:rFonts w:ascii="Times New Roman" w:hAnsi="Times New Roman" w:eastAsia="Times New Roman" w:cs="Times New Roman"/>
          <w:spacing w:val="64"/>
          <w:w w:val="101"/>
          <w:sz w:val="27"/>
          <w:szCs w:val="27"/>
        </w:rPr>
        <w:t xml:space="preserve"> </w:t>
      </w:r>
      <w:r>
        <w:rPr>
          <w:rFonts w:ascii="宋体" w:hAnsi="宋体" w:eastAsia="宋体" w:cs="宋体"/>
          <w:spacing w:val="2"/>
          <w:sz w:val="27"/>
          <w:szCs w:val="27"/>
        </w:rPr>
        <w:t>运行环境及其特性；</w:t>
      </w:r>
    </w:p>
    <w:p w14:paraId="2561D508">
      <w:pPr>
        <w:spacing w:before="89" w:line="212" w:lineRule="auto"/>
        <w:ind w:left="539"/>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71"/>
          <w:sz w:val="27"/>
          <w:szCs w:val="27"/>
        </w:rPr>
        <w:t xml:space="preserve"> </w:t>
      </w:r>
      <w:r>
        <w:rPr>
          <w:rFonts w:ascii="宋体" w:hAnsi="宋体" w:eastAsia="宋体" w:cs="宋体"/>
          <w:spacing w:val="4"/>
          <w:sz w:val="27"/>
          <w:szCs w:val="27"/>
        </w:rPr>
        <w:t>主要的系统部件及这些部件之间的互连；</w:t>
      </w:r>
    </w:p>
    <w:p w14:paraId="07811EE6">
      <w:pPr>
        <w:spacing w:before="130" w:line="219" w:lineRule="auto"/>
        <w:ind w:left="539"/>
        <w:rPr>
          <w:rFonts w:ascii="宋体" w:hAnsi="宋体" w:eastAsia="宋体" w:cs="宋体"/>
          <w:sz w:val="27"/>
          <w:szCs w:val="27"/>
        </w:rPr>
      </w:pPr>
      <w:r>
        <w:rPr>
          <w:rFonts w:ascii="Times New Roman" w:hAnsi="Times New Roman" w:eastAsia="Times New Roman" w:cs="Times New Roman"/>
          <w:spacing w:val="8"/>
          <w:sz w:val="27"/>
          <w:szCs w:val="27"/>
        </w:rPr>
        <w:t>c</w:t>
      </w:r>
      <w:r>
        <w:rPr>
          <w:rFonts w:ascii="宋体" w:hAnsi="宋体" w:eastAsia="宋体" w:cs="宋体"/>
          <w:spacing w:val="8"/>
          <w:sz w:val="27"/>
          <w:szCs w:val="27"/>
        </w:rPr>
        <w:t>)与外部系统或过程的接口；</w:t>
      </w:r>
    </w:p>
    <w:p w14:paraId="167C7D1E">
      <w:pPr>
        <w:spacing w:before="49" w:line="212" w:lineRule="auto"/>
        <w:ind w:left="539"/>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现行系统的能力/功能；</w:t>
      </w:r>
    </w:p>
    <w:p w14:paraId="4568CADB">
      <w:pPr>
        <w:spacing w:before="59" w:line="274" w:lineRule="auto"/>
        <w:ind w:right="98" w:firstLine="539"/>
        <w:rPr>
          <w:rFonts w:ascii="宋体" w:hAnsi="宋体" w:eastAsia="宋体" w:cs="宋体"/>
          <w:sz w:val="27"/>
          <w:szCs w:val="27"/>
        </w:rPr>
      </w:pPr>
      <w:r>
        <w:rPr>
          <w:rFonts w:ascii="Times New Roman" w:hAnsi="Times New Roman" w:eastAsia="Times New Roman" w:cs="Times New Roman"/>
          <w:spacing w:val="-4"/>
          <w:sz w:val="27"/>
          <w:szCs w:val="27"/>
        </w:rPr>
        <w:t>e)</w:t>
      </w:r>
      <w:r>
        <w:rPr>
          <w:rFonts w:ascii="Times New Roman" w:hAnsi="Times New Roman" w:eastAsia="Times New Roman" w:cs="Times New Roman"/>
          <w:spacing w:val="63"/>
          <w:sz w:val="27"/>
          <w:szCs w:val="27"/>
        </w:rPr>
        <w:t xml:space="preserve"> </w:t>
      </w:r>
      <w:r>
        <w:rPr>
          <w:rFonts w:ascii="宋体" w:hAnsi="宋体" w:eastAsia="宋体" w:cs="宋体"/>
          <w:spacing w:val="-4"/>
          <w:sz w:val="27"/>
          <w:szCs w:val="27"/>
        </w:rPr>
        <w:t>描述输入、输出、数据流、手工和自动处理的图表和</w:t>
      </w:r>
      <w:r>
        <w:rPr>
          <w:rFonts w:ascii="宋体" w:hAnsi="宋体" w:eastAsia="宋体" w:cs="宋体"/>
          <w:spacing w:val="-5"/>
          <w:sz w:val="27"/>
          <w:szCs w:val="27"/>
        </w:rPr>
        <w:t>相应的说明，使用户</w:t>
      </w:r>
      <w:r>
        <w:rPr>
          <w:rFonts w:ascii="宋体" w:hAnsi="宋体" w:eastAsia="宋体" w:cs="宋体"/>
          <w:sz w:val="27"/>
          <w:szCs w:val="27"/>
        </w:rPr>
        <w:t xml:space="preserve"> </w:t>
      </w:r>
      <w:r>
        <w:rPr>
          <w:rFonts w:ascii="宋体" w:hAnsi="宋体" w:eastAsia="宋体" w:cs="宋体"/>
          <w:spacing w:val="1"/>
          <w:sz w:val="27"/>
          <w:szCs w:val="27"/>
        </w:rPr>
        <w:t>能够充分理解现行系统和状态；</w:t>
      </w:r>
    </w:p>
    <w:p w14:paraId="4A068544">
      <w:pPr>
        <w:spacing w:before="39" w:line="212" w:lineRule="auto"/>
        <w:ind w:left="539"/>
        <w:rPr>
          <w:rFonts w:ascii="宋体" w:hAnsi="宋体" w:eastAsia="宋体" w:cs="宋体"/>
          <w:sz w:val="27"/>
          <w:szCs w:val="27"/>
        </w:rPr>
      </w:pPr>
      <w:r>
        <w:rPr>
          <w:rFonts w:ascii="Times New Roman" w:hAnsi="Times New Roman" w:eastAsia="Times New Roman" w:cs="Times New Roman"/>
          <w:spacing w:val="-26"/>
          <w:sz w:val="27"/>
          <w:szCs w:val="27"/>
        </w:rPr>
        <w:t>f)</w:t>
      </w:r>
      <w:r>
        <w:rPr>
          <w:rFonts w:ascii="Times New Roman" w:hAnsi="Times New Roman" w:eastAsia="Times New Roman" w:cs="Times New Roman"/>
          <w:spacing w:val="57"/>
          <w:w w:val="101"/>
          <w:sz w:val="27"/>
          <w:szCs w:val="27"/>
        </w:rPr>
        <w:t xml:space="preserve"> </w:t>
      </w:r>
      <w:r>
        <w:rPr>
          <w:rFonts w:ascii="宋体" w:hAnsi="宋体" w:eastAsia="宋体" w:cs="宋体"/>
          <w:spacing w:val="-26"/>
          <w:sz w:val="27"/>
          <w:szCs w:val="27"/>
        </w:rPr>
        <w:t>性能特性，如：速度、吞吐量、容量、频率；</w:t>
      </w:r>
    </w:p>
    <w:p w14:paraId="7C77E3D8">
      <w:pPr>
        <w:spacing w:before="119" w:line="212" w:lineRule="auto"/>
        <w:ind w:left="539"/>
        <w:rPr>
          <w:rFonts w:ascii="宋体" w:hAnsi="宋体" w:eastAsia="宋体" w:cs="宋体"/>
          <w:sz w:val="27"/>
          <w:szCs w:val="27"/>
        </w:rPr>
      </w:pPr>
      <w:r>
        <w:rPr>
          <w:rFonts w:ascii="Times New Roman" w:hAnsi="Times New Roman" w:eastAsia="Times New Roman" w:cs="Times New Roman"/>
          <w:spacing w:val="-23"/>
          <w:sz w:val="27"/>
          <w:szCs w:val="27"/>
        </w:rPr>
        <w:t xml:space="preserve">g)  </w:t>
      </w:r>
      <w:r>
        <w:rPr>
          <w:rFonts w:ascii="宋体" w:hAnsi="宋体" w:eastAsia="宋体" w:cs="宋体"/>
          <w:spacing w:val="-23"/>
          <w:sz w:val="27"/>
          <w:szCs w:val="27"/>
        </w:rPr>
        <w:t>质量属性，如：功能性、可靠性、易用性、效率、维护性、可移植性；</w:t>
      </w:r>
    </w:p>
    <w:p w14:paraId="362311EC">
      <w:pPr>
        <w:spacing w:before="80" w:line="212" w:lineRule="auto"/>
        <w:ind w:left="539"/>
        <w:rPr>
          <w:rFonts w:ascii="宋体" w:hAnsi="宋体" w:eastAsia="宋体" w:cs="宋体"/>
          <w:sz w:val="27"/>
          <w:szCs w:val="27"/>
        </w:rPr>
      </w:pPr>
      <w:r>
        <w:rPr>
          <w:rFonts w:ascii="Times New Roman" w:hAnsi="Times New Roman" w:eastAsia="Times New Roman" w:cs="Times New Roman"/>
          <w:spacing w:val="-1"/>
          <w:sz w:val="27"/>
          <w:szCs w:val="27"/>
        </w:rPr>
        <w:t>h)</w:t>
      </w:r>
      <w:r>
        <w:rPr>
          <w:rFonts w:ascii="Times New Roman" w:hAnsi="Times New Roman" w:eastAsia="Times New Roman" w:cs="Times New Roman"/>
          <w:spacing w:val="75"/>
          <w:w w:val="101"/>
          <w:sz w:val="27"/>
          <w:szCs w:val="27"/>
        </w:rPr>
        <w:t xml:space="preserve"> </w:t>
      </w:r>
      <w:r>
        <w:rPr>
          <w:rFonts w:ascii="宋体" w:hAnsi="宋体" w:eastAsia="宋体" w:cs="宋体"/>
          <w:spacing w:val="-1"/>
          <w:sz w:val="27"/>
          <w:szCs w:val="27"/>
        </w:rPr>
        <w:t>安全性、保密性和紧急情况下运行连续性的规定。</w:t>
      </w:r>
    </w:p>
    <w:p w14:paraId="0CC49163">
      <w:pPr>
        <w:spacing w:before="118" w:line="221" w:lineRule="auto"/>
        <w:rPr>
          <w:rFonts w:ascii="黑体" w:hAnsi="黑体" w:eastAsia="黑体" w:cs="黑体"/>
          <w:sz w:val="27"/>
          <w:szCs w:val="27"/>
        </w:rPr>
      </w:pPr>
      <w:r>
        <w:rPr>
          <w:rFonts w:ascii="黑体" w:hAnsi="黑体" w:eastAsia="黑体" w:cs="黑体"/>
          <w:spacing w:val="3"/>
          <w:sz w:val="27"/>
          <w:szCs w:val="27"/>
        </w:rPr>
        <w:t>3.4  用户或相关人员</w:t>
      </w:r>
    </w:p>
    <w:p w14:paraId="0CAAEC2E">
      <w:pPr>
        <w:spacing w:before="87" w:line="287" w:lineRule="auto"/>
        <w:ind w:right="76" w:firstLine="539"/>
        <w:rPr>
          <w:rFonts w:ascii="宋体" w:hAnsi="宋体" w:eastAsia="宋体" w:cs="宋体"/>
          <w:sz w:val="27"/>
          <w:szCs w:val="27"/>
        </w:rPr>
      </w:pPr>
      <w:r>
        <w:rPr>
          <w:rFonts w:ascii="宋体" w:hAnsi="宋体" w:eastAsia="宋体" w:cs="宋体"/>
          <w:spacing w:val="7"/>
          <w:sz w:val="27"/>
          <w:szCs w:val="27"/>
        </w:rPr>
        <w:t>本条应描述现行系统用户的类型和当前状态</w:t>
      </w:r>
      <w:r>
        <w:rPr>
          <w:rFonts w:ascii="宋体" w:hAnsi="宋体" w:eastAsia="宋体" w:cs="宋体"/>
          <w:spacing w:val="6"/>
          <w:sz w:val="27"/>
          <w:szCs w:val="27"/>
        </w:rPr>
        <w:t>下所涉及到的人员，(若适用)</w:t>
      </w:r>
      <w:r>
        <w:rPr>
          <w:rFonts w:ascii="宋体" w:hAnsi="宋体" w:eastAsia="宋体" w:cs="宋体"/>
          <w:sz w:val="27"/>
          <w:szCs w:val="27"/>
        </w:rPr>
        <w:t xml:space="preserve"> </w:t>
      </w:r>
      <w:r>
        <w:rPr>
          <w:rFonts w:ascii="宋体" w:hAnsi="宋体" w:eastAsia="宋体" w:cs="宋体"/>
          <w:spacing w:val="-19"/>
          <w:sz w:val="27"/>
          <w:szCs w:val="27"/>
        </w:rPr>
        <w:t>包括：组织结构、培训/技能、职责、活动，以及彼此之间的交互。</w:t>
      </w:r>
    </w:p>
    <w:p w14:paraId="41BD43DF">
      <w:pPr>
        <w:spacing w:before="2" w:line="220" w:lineRule="auto"/>
        <w:rPr>
          <w:rFonts w:ascii="黑体" w:hAnsi="黑体" w:eastAsia="黑体" w:cs="黑体"/>
          <w:sz w:val="25"/>
          <w:szCs w:val="25"/>
        </w:rPr>
      </w:pPr>
      <w:r>
        <w:rPr>
          <w:rFonts w:ascii="黑体" w:hAnsi="黑体" w:eastAsia="黑体" w:cs="黑体"/>
          <w:spacing w:val="14"/>
          <w:sz w:val="25"/>
          <w:szCs w:val="25"/>
        </w:rPr>
        <w:t>3.5</w:t>
      </w:r>
      <w:r>
        <w:rPr>
          <w:rFonts w:ascii="黑体" w:hAnsi="黑体" w:eastAsia="黑体" w:cs="黑体"/>
          <w:spacing w:val="33"/>
          <w:sz w:val="25"/>
          <w:szCs w:val="25"/>
        </w:rPr>
        <w:t xml:space="preserve">  </w:t>
      </w:r>
      <w:r>
        <w:rPr>
          <w:rFonts w:ascii="黑体" w:hAnsi="黑体" w:eastAsia="黑体" w:cs="黑体"/>
          <w:spacing w:val="14"/>
          <w:sz w:val="25"/>
          <w:szCs w:val="25"/>
        </w:rPr>
        <w:t>保障方案</w:t>
      </w:r>
    </w:p>
    <w:p w14:paraId="4C64DCEA">
      <w:pPr>
        <w:spacing w:before="82" w:line="282" w:lineRule="auto"/>
        <w:ind w:right="121" w:firstLine="539"/>
        <w:rPr>
          <w:rFonts w:ascii="宋体" w:hAnsi="宋体" w:eastAsia="宋体" w:cs="宋体"/>
          <w:sz w:val="27"/>
          <w:szCs w:val="27"/>
        </w:rPr>
      </w:pPr>
      <w:r>
        <w:rPr>
          <w:rFonts w:ascii="宋体" w:hAnsi="宋体" w:eastAsia="宋体" w:cs="宋体"/>
          <w:spacing w:val="-18"/>
          <w:sz w:val="27"/>
          <w:szCs w:val="27"/>
        </w:rPr>
        <w:t>本条应概述现行系统的保障方案，若适用，应包括：保障机构</w:t>
      </w:r>
      <w:r>
        <w:rPr>
          <w:rFonts w:ascii="宋体" w:hAnsi="宋体" w:eastAsia="宋体" w:cs="宋体"/>
          <w:spacing w:val="-19"/>
          <w:sz w:val="27"/>
          <w:szCs w:val="27"/>
        </w:rPr>
        <w:t>，设施，设备，支</w:t>
      </w:r>
      <w:r>
        <w:rPr>
          <w:rFonts w:ascii="宋体" w:hAnsi="宋体" w:eastAsia="宋体" w:cs="宋体"/>
          <w:sz w:val="27"/>
          <w:szCs w:val="27"/>
        </w:rPr>
        <w:t xml:space="preserve"> </w:t>
      </w:r>
      <w:r>
        <w:rPr>
          <w:rFonts w:ascii="宋体" w:hAnsi="宋体" w:eastAsia="宋体" w:cs="宋体"/>
          <w:spacing w:val="-12"/>
          <w:sz w:val="27"/>
          <w:szCs w:val="27"/>
        </w:rPr>
        <w:t>持软件，修复/替换准则，维护等级和周期，以及存储、分发和供应</w:t>
      </w:r>
      <w:r>
        <w:rPr>
          <w:rFonts w:ascii="宋体" w:hAnsi="宋体" w:eastAsia="宋体" w:cs="宋体"/>
          <w:spacing w:val="-13"/>
          <w:sz w:val="27"/>
          <w:szCs w:val="27"/>
        </w:rPr>
        <w:t>方法。</w:t>
      </w:r>
    </w:p>
    <w:p w14:paraId="79016566">
      <w:pPr>
        <w:spacing w:before="14" w:line="222" w:lineRule="auto"/>
        <w:rPr>
          <w:rFonts w:ascii="黑体" w:hAnsi="黑体" w:eastAsia="黑体" w:cs="黑体"/>
          <w:sz w:val="24"/>
          <w:szCs w:val="24"/>
        </w:rPr>
      </w:pPr>
      <w:r>
        <w:rPr>
          <w:rFonts w:ascii="黑体" w:hAnsi="黑体" w:eastAsia="黑体" w:cs="黑体"/>
          <w:spacing w:val="31"/>
          <w:sz w:val="24"/>
          <w:szCs w:val="24"/>
        </w:rPr>
        <w:t>4</w:t>
      </w:r>
      <w:r>
        <w:rPr>
          <w:rFonts w:ascii="黑体" w:hAnsi="黑体" w:eastAsia="黑体" w:cs="黑体"/>
          <w:spacing w:val="37"/>
          <w:sz w:val="24"/>
          <w:szCs w:val="24"/>
        </w:rPr>
        <w:t xml:space="preserve">  </w:t>
      </w:r>
      <w:r>
        <w:rPr>
          <w:rFonts w:ascii="黑体" w:hAnsi="黑体" w:eastAsia="黑体" w:cs="黑体"/>
          <w:spacing w:val="31"/>
          <w:sz w:val="24"/>
          <w:szCs w:val="24"/>
        </w:rPr>
        <w:t>更改理由和实质</w:t>
      </w:r>
    </w:p>
    <w:p w14:paraId="18422BBE">
      <w:pPr>
        <w:spacing w:before="111" w:line="222" w:lineRule="auto"/>
        <w:rPr>
          <w:rFonts w:ascii="黑体" w:hAnsi="黑体" w:eastAsia="黑体" w:cs="黑体"/>
          <w:sz w:val="24"/>
          <w:szCs w:val="24"/>
        </w:rPr>
      </w:pPr>
      <w:r>
        <w:rPr>
          <w:rFonts w:ascii="黑体" w:hAnsi="黑体" w:eastAsia="黑体" w:cs="黑体"/>
          <w:spacing w:val="19"/>
          <w:sz w:val="24"/>
          <w:szCs w:val="24"/>
        </w:rPr>
        <w:t>4.1</w:t>
      </w:r>
      <w:r>
        <w:rPr>
          <w:rFonts w:ascii="黑体" w:hAnsi="黑体" w:eastAsia="黑体" w:cs="黑体"/>
          <w:spacing w:val="42"/>
          <w:sz w:val="24"/>
          <w:szCs w:val="24"/>
        </w:rPr>
        <w:t xml:space="preserve">  </w:t>
      </w:r>
      <w:r>
        <w:rPr>
          <w:rFonts w:ascii="黑体" w:hAnsi="黑体" w:eastAsia="黑体" w:cs="黑体"/>
          <w:spacing w:val="19"/>
          <w:sz w:val="24"/>
          <w:szCs w:val="24"/>
        </w:rPr>
        <w:t>更改理由</w:t>
      </w:r>
    </w:p>
    <w:p w14:paraId="71F94A2B">
      <w:pPr>
        <w:spacing w:before="113" w:line="219" w:lineRule="auto"/>
        <w:ind w:left="539"/>
        <w:rPr>
          <w:rFonts w:ascii="宋体" w:hAnsi="宋体" w:eastAsia="宋体" w:cs="宋体"/>
          <w:sz w:val="27"/>
          <w:szCs w:val="27"/>
        </w:rPr>
      </w:pPr>
      <w:r>
        <w:rPr>
          <w:rFonts w:ascii="宋体" w:hAnsi="宋体" w:eastAsia="宋体" w:cs="宋体"/>
          <w:spacing w:val="-5"/>
          <w:sz w:val="27"/>
          <w:szCs w:val="27"/>
        </w:rPr>
        <w:t>本条应：</w:t>
      </w:r>
    </w:p>
    <w:p w14:paraId="6C1FE60C">
      <w:pPr>
        <w:spacing w:before="60" w:line="257" w:lineRule="auto"/>
        <w:ind w:right="103" w:firstLine="539"/>
        <w:rPr>
          <w:rFonts w:ascii="宋体" w:hAnsi="宋体" w:eastAsia="宋体" w:cs="宋体"/>
          <w:sz w:val="27"/>
          <w:szCs w:val="27"/>
        </w:rPr>
      </w:pPr>
      <w:r>
        <w:rPr>
          <w:rFonts w:ascii="Times New Roman" w:hAnsi="Times New Roman" w:eastAsia="Times New Roman" w:cs="Times New Roman"/>
          <w:spacing w:val="-11"/>
          <w:sz w:val="27"/>
          <w:szCs w:val="27"/>
        </w:rPr>
        <w:t xml:space="preserve">a)  </w:t>
      </w:r>
      <w:r>
        <w:rPr>
          <w:rFonts w:ascii="宋体" w:hAnsi="宋体" w:eastAsia="宋体" w:cs="宋体"/>
          <w:spacing w:val="-11"/>
          <w:sz w:val="27"/>
          <w:szCs w:val="27"/>
        </w:rPr>
        <w:t>描述需要新建或修改的用户需要、威</w:t>
      </w:r>
      <w:r>
        <w:rPr>
          <w:rFonts w:ascii="宋体" w:hAnsi="宋体" w:eastAsia="宋体" w:cs="宋体"/>
          <w:spacing w:val="-12"/>
          <w:sz w:val="27"/>
          <w:szCs w:val="27"/>
        </w:rPr>
        <w:t>胁、任务、目标、环境、接口、人员或</w:t>
      </w:r>
      <w:r>
        <w:rPr>
          <w:rFonts w:ascii="宋体" w:hAnsi="宋体" w:eastAsia="宋体" w:cs="宋体"/>
          <w:sz w:val="27"/>
          <w:szCs w:val="27"/>
        </w:rPr>
        <w:t xml:space="preserve"> </w:t>
      </w:r>
      <w:r>
        <w:rPr>
          <w:rFonts w:ascii="宋体" w:hAnsi="宋体" w:eastAsia="宋体" w:cs="宋体"/>
          <w:spacing w:val="3"/>
          <w:sz w:val="27"/>
          <w:szCs w:val="27"/>
        </w:rPr>
        <w:t>其他要求新的系统或修改系统的因素；</w:t>
      </w:r>
    </w:p>
    <w:p w14:paraId="4CED9F2A">
      <w:pPr>
        <w:spacing w:before="49" w:line="212" w:lineRule="auto"/>
        <w:ind w:left="539"/>
        <w:rPr>
          <w:rFonts w:ascii="宋体" w:hAnsi="宋体" w:eastAsia="宋体" w:cs="宋体"/>
          <w:sz w:val="27"/>
          <w:szCs w:val="27"/>
        </w:rPr>
      </w:pP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与新的系统或修改系统相比，简述现行系统存在的差距。</w:t>
      </w:r>
    </w:p>
    <w:p w14:paraId="6091071A">
      <w:pPr>
        <w:spacing w:before="138" w:line="221" w:lineRule="auto"/>
        <w:rPr>
          <w:rFonts w:ascii="黑体" w:hAnsi="黑体" w:eastAsia="黑体" w:cs="黑体"/>
          <w:sz w:val="27"/>
          <w:szCs w:val="27"/>
        </w:rPr>
      </w:pPr>
      <w:r>
        <w:rPr>
          <w:rFonts w:ascii="黑体" w:hAnsi="黑体" w:eastAsia="黑体" w:cs="黑体"/>
          <w:spacing w:val="4"/>
          <w:sz w:val="27"/>
          <w:szCs w:val="27"/>
        </w:rPr>
        <w:t>4.2  所需更改的说明</w:t>
      </w:r>
    </w:p>
    <w:p w14:paraId="13AAC70C">
      <w:pPr>
        <w:spacing w:before="88" w:line="273" w:lineRule="auto"/>
        <w:ind w:firstLine="539"/>
        <w:rPr>
          <w:rFonts w:ascii="宋体" w:hAnsi="宋体" w:eastAsia="宋体" w:cs="宋体"/>
          <w:sz w:val="27"/>
          <w:szCs w:val="27"/>
        </w:rPr>
      </w:pPr>
      <w:r>
        <w:rPr>
          <w:rFonts w:ascii="宋体" w:hAnsi="宋体" w:eastAsia="宋体" w:cs="宋体"/>
          <w:spacing w:val="9"/>
          <w:sz w:val="27"/>
          <w:szCs w:val="27"/>
        </w:rPr>
        <w:t>本条应简述能满足4.1中所标识因素的新建的或</w:t>
      </w:r>
      <w:r>
        <w:rPr>
          <w:rFonts w:ascii="宋体" w:hAnsi="宋体" w:eastAsia="宋体" w:cs="宋体"/>
          <w:spacing w:val="8"/>
          <w:sz w:val="27"/>
          <w:szCs w:val="27"/>
        </w:rPr>
        <w:t>修改的能力/功能、处理、</w:t>
      </w:r>
      <w:r>
        <w:rPr>
          <w:rFonts w:ascii="宋体" w:hAnsi="宋体" w:eastAsia="宋体" w:cs="宋体"/>
          <w:sz w:val="27"/>
          <w:szCs w:val="27"/>
        </w:rPr>
        <w:t xml:space="preserve"> </w:t>
      </w:r>
      <w:r>
        <w:rPr>
          <w:rFonts w:ascii="宋体" w:hAnsi="宋体" w:eastAsia="宋体" w:cs="宋体"/>
          <w:spacing w:val="2"/>
          <w:sz w:val="27"/>
          <w:szCs w:val="27"/>
        </w:rPr>
        <w:t>接口或其他所需的更改。</w:t>
      </w:r>
    </w:p>
    <w:p w14:paraId="3A545AA4">
      <w:pPr>
        <w:spacing w:before="2" w:line="220"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19"/>
          <w:sz w:val="27"/>
          <w:szCs w:val="27"/>
        </w:rPr>
        <w:t xml:space="preserve">  </w:t>
      </w:r>
      <w:r>
        <w:rPr>
          <w:rFonts w:ascii="黑体" w:hAnsi="黑体" w:eastAsia="黑体" w:cs="黑体"/>
          <w:spacing w:val="1"/>
          <w:sz w:val="27"/>
          <w:szCs w:val="27"/>
        </w:rPr>
        <w:t>更改的优先级别</w:t>
      </w:r>
    </w:p>
    <w:p w14:paraId="7C600107">
      <w:pPr>
        <w:spacing w:before="98" w:line="276" w:lineRule="auto"/>
        <w:ind w:right="102" w:firstLine="539"/>
        <w:rPr>
          <w:rFonts w:ascii="宋体" w:hAnsi="宋体" w:eastAsia="宋体" w:cs="宋体"/>
          <w:sz w:val="27"/>
          <w:szCs w:val="27"/>
        </w:rPr>
      </w:pPr>
      <w:r>
        <w:rPr>
          <w:rFonts w:ascii="宋体" w:hAnsi="宋体" w:eastAsia="宋体" w:cs="宋体"/>
          <w:spacing w:val="6"/>
          <w:sz w:val="27"/>
          <w:szCs w:val="27"/>
        </w:rPr>
        <w:t>本条应指出所需更改优先级别。例如把每个更改标识为基本的、期望的或</w:t>
      </w:r>
      <w:r>
        <w:rPr>
          <w:rFonts w:ascii="宋体" w:hAnsi="宋体" w:eastAsia="宋体" w:cs="宋体"/>
          <w:sz w:val="27"/>
          <w:szCs w:val="27"/>
        </w:rPr>
        <w:t xml:space="preserve"> </w:t>
      </w:r>
      <w:r>
        <w:rPr>
          <w:rFonts w:ascii="宋体" w:hAnsi="宋体" w:eastAsia="宋体" w:cs="宋体"/>
          <w:spacing w:val="-3"/>
          <w:sz w:val="27"/>
          <w:szCs w:val="27"/>
        </w:rPr>
        <w:t>可选的，对期望的和可选的更改给出优先级别。</w:t>
      </w:r>
    </w:p>
    <w:p w14:paraId="719CE121">
      <w:pPr>
        <w:spacing w:before="31" w:line="222" w:lineRule="auto"/>
        <w:rPr>
          <w:rFonts w:ascii="黑体" w:hAnsi="黑体" w:eastAsia="黑体" w:cs="黑体"/>
          <w:sz w:val="24"/>
          <w:szCs w:val="24"/>
        </w:rPr>
      </w:pPr>
      <w:r>
        <w:rPr>
          <w:rFonts w:ascii="黑体" w:hAnsi="黑体" w:eastAsia="黑体" w:cs="黑体"/>
          <w:spacing w:val="25"/>
          <w:sz w:val="24"/>
          <w:szCs w:val="24"/>
        </w:rPr>
        <w:t>4.4</w:t>
      </w:r>
      <w:r>
        <w:rPr>
          <w:rFonts w:ascii="黑体" w:hAnsi="黑体" w:eastAsia="黑体" w:cs="黑体"/>
          <w:spacing w:val="43"/>
          <w:sz w:val="24"/>
          <w:szCs w:val="24"/>
        </w:rPr>
        <w:t xml:space="preserve">  </w:t>
      </w:r>
      <w:r>
        <w:rPr>
          <w:rFonts w:ascii="黑体" w:hAnsi="黑体" w:eastAsia="黑体" w:cs="黑体"/>
          <w:spacing w:val="25"/>
          <w:sz w:val="24"/>
          <w:szCs w:val="24"/>
        </w:rPr>
        <w:t>考虑但未纳入的更改</w:t>
      </w:r>
    </w:p>
    <w:p w14:paraId="07752177">
      <w:pPr>
        <w:spacing w:before="122" w:line="219" w:lineRule="auto"/>
        <w:ind w:left="539"/>
        <w:rPr>
          <w:rFonts w:ascii="宋体" w:hAnsi="宋体" w:eastAsia="宋体" w:cs="宋体"/>
          <w:sz w:val="27"/>
          <w:szCs w:val="27"/>
        </w:rPr>
      </w:pPr>
      <w:r>
        <w:rPr>
          <w:rFonts w:ascii="宋体" w:hAnsi="宋体" w:eastAsia="宋体" w:cs="宋体"/>
          <w:spacing w:val="1"/>
          <w:sz w:val="27"/>
          <w:szCs w:val="27"/>
        </w:rPr>
        <w:t>本条应指出曾考虑过，但未包含在4.2中</w:t>
      </w:r>
      <w:r>
        <w:rPr>
          <w:rFonts w:ascii="宋体" w:hAnsi="宋体" w:eastAsia="宋体" w:cs="宋体"/>
          <w:sz w:val="27"/>
          <w:szCs w:val="27"/>
        </w:rPr>
        <w:t>的更改，说明未包括它们的理由。</w:t>
      </w:r>
    </w:p>
    <w:p w14:paraId="615ABD3E">
      <w:pPr>
        <w:spacing w:before="70" w:line="222" w:lineRule="auto"/>
        <w:rPr>
          <w:rFonts w:ascii="黑体" w:hAnsi="黑体" w:eastAsia="黑体" w:cs="黑体"/>
          <w:sz w:val="27"/>
          <w:szCs w:val="27"/>
        </w:rPr>
      </w:pPr>
      <w:r>
        <w:rPr>
          <w:rFonts w:ascii="黑体" w:hAnsi="黑体" w:eastAsia="黑体" w:cs="黑体"/>
          <w:spacing w:val="4"/>
          <w:sz w:val="27"/>
          <w:szCs w:val="27"/>
        </w:rPr>
        <w:t>4.5  假设和约束</w:t>
      </w:r>
    </w:p>
    <w:p w14:paraId="741AEA57">
      <w:pPr>
        <w:spacing w:before="85" w:line="219" w:lineRule="auto"/>
        <w:ind w:left="539"/>
        <w:rPr>
          <w:rFonts w:ascii="宋体" w:hAnsi="宋体" w:eastAsia="宋体" w:cs="宋体"/>
          <w:sz w:val="27"/>
          <w:szCs w:val="27"/>
        </w:rPr>
      </w:pPr>
      <w:r>
        <w:rPr>
          <w:rFonts w:ascii="宋体" w:hAnsi="宋体" w:eastAsia="宋体" w:cs="宋体"/>
          <w:spacing w:val="-1"/>
          <w:sz w:val="27"/>
          <w:szCs w:val="27"/>
        </w:rPr>
        <w:t>对于适用于本章所标识的更改，本条应标识有关假设和约束。</w:t>
      </w:r>
    </w:p>
    <w:p w14:paraId="47B1084D">
      <w:pPr>
        <w:spacing w:before="98" w:line="221" w:lineRule="auto"/>
        <w:rPr>
          <w:rFonts w:ascii="黑体" w:hAnsi="黑体" w:eastAsia="黑体" w:cs="黑体"/>
          <w:sz w:val="24"/>
          <w:szCs w:val="24"/>
        </w:rPr>
      </w:pPr>
      <w:r>
        <w:rPr>
          <w:rFonts w:ascii="黑体" w:hAnsi="黑体" w:eastAsia="黑体" w:cs="黑体"/>
          <w:spacing w:val="32"/>
          <w:sz w:val="24"/>
          <w:szCs w:val="24"/>
        </w:rPr>
        <w:t>5</w:t>
      </w:r>
      <w:r>
        <w:rPr>
          <w:rFonts w:ascii="黑体" w:hAnsi="黑体" w:eastAsia="黑体" w:cs="黑体"/>
          <w:spacing w:val="36"/>
          <w:sz w:val="24"/>
          <w:szCs w:val="24"/>
        </w:rPr>
        <w:t xml:space="preserve">  </w:t>
      </w:r>
      <w:r>
        <w:rPr>
          <w:rFonts w:ascii="黑体" w:hAnsi="黑体" w:eastAsia="黑体" w:cs="黑体"/>
          <w:spacing w:val="32"/>
          <w:sz w:val="24"/>
          <w:szCs w:val="24"/>
        </w:rPr>
        <w:t>新系统或修改后系统的方案</w:t>
      </w:r>
    </w:p>
    <w:p w14:paraId="3663936A">
      <w:pPr>
        <w:spacing w:before="84" w:line="221" w:lineRule="auto"/>
        <w:rPr>
          <w:rFonts w:ascii="黑体" w:hAnsi="黑体" w:eastAsia="黑体" w:cs="黑体"/>
          <w:sz w:val="27"/>
          <w:szCs w:val="27"/>
        </w:rPr>
      </w:pPr>
      <w:r>
        <w:rPr>
          <w:rFonts w:ascii="黑体" w:hAnsi="黑体" w:eastAsia="黑体" w:cs="黑体"/>
          <w:spacing w:val="-10"/>
          <w:sz w:val="27"/>
          <w:szCs w:val="27"/>
        </w:rPr>
        <w:t>5.1</w:t>
      </w:r>
      <w:r>
        <w:rPr>
          <w:rFonts w:ascii="黑体" w:hAnsi="黑体" w:eastAsia="黑体" w:cs="黑体"/>
          <w:spacing w:val="20"/>
          <w:sz w:val="27"/>
          <w:szCs w:val="27"/>
        </w:rPr>
        <w:t xml:space="preserve">  </w:t>
      </w:r>
      <w:r>
        <w:rPr>
          <w:rFonts w:ascii="黑体" w:hAnsi="黑体" w:eastAsia="黑体" w:cs="黑体"/>
          <w:spacing w:val="-10"/>
          <w:sz w:val="27"/>
          <w:szCs w:val="27"/>
        </w:rPr>
        <w:t>背景、目标和范围</w:t>
      </w:r>
    </w:p>
    <w:p w14:paraId="2F1DE56E">
      <w:pPr>
        <w:spacing w:before="117" w:line="219" w:lineRule="auto"/>
        <w:ind w:left="539"/>
        <w:rPr>
          <w:rFonts w:ascii="宋体" w:hAnsi="宋体" w:eastAsia="宋体" w:cs="宋体"/>
          <w:sz w:val="27"/>
          <w:szCs w:val="27"/>
        </w:rPr>
      </w:pPr>
      <w:r>
        <w:rPr>
          <w:rFonts w:ascii="宋体" w:hAnsi="宋体" w:eastAsia="宋体" w:cs="宋体"/>
          <w:sz w:val="27"/>
          <w:szCs w:val="27"/>
        </w:rPr>
        <w:t>本条应描述新系统或修改后系统的背景、任务或目</w:t>
      </w:r>
      <w:r>
        <w:rPr>
          <w:rFonts w:ascii="宋体" w:hAnsi="宋体" w:eastAsia="宋体" w:cs="宋体"/>
          <w:spacing w:val="-1"/>
          <w:sz w:val="27"/>
          <w:szCs w:val="27"/>
        </w:rPr>
        <w:t>标以及范围。</w:t>
      </w:r>
    </w:p>
    <w:p w14:paraId="42555E72">
      <w:pPr>
        <w:spacing w:line="219" w:lineRule="auto"/>
        <w:rPr>
          <w:rFonts w:ascii="宋体" w:hAnsi="宋体" w:eastAsia="宋体" w:cs="宋体"/>
          <w:sz w:val="27"/>
          <w:szCs w:val="27"/>
        </w:rPr>
        <w:sectPr>
          <w:footerReference r:id="rId188" w:type="default"/>
          <w:pgSz w:w="11910" w:h="17130"/>
          <w:pgMar w:top="400" w:right="1334" w:bottom="1603" w:left="1100" w:header="0" w:footer="1405" w:gutter="0"/>
          <w:cols w:space="720" w:num="1"/>
        </w:sectPr>
      </w:pPr>
    </w:p>
    <w:p w14:paraId="5149EED0">
      <w:pPr>
        <w:pStyle w:val="2"/>
        <w:spacing w:line="265" w:lineRule="auto"/>
      </w:pPr>
    </w:p>
    <w:p w14:paraId="79821A90">
      <w:pPr>
        <w:pStyle w:val="2"/>
        <w:spacing w:line="265" w:lineRule="auto"/>
      </w:pPr>
    </w:p>
    <w:p w14:paraId="6EB48E9B">
      <w:pPr>
        <w:pStyle w:val="2"/>
        <w:spacing w:line="265" w:lineRule="auto"/>
      </w:pPr>
    </w:p>
    <w:p w14:paraId="200B638E">
      <w:pPr>
        <w:pStyle w:val="2"/>
        <w:spacing w:line="265" w:lineRule="auto"/>
      </w:pPr>
    </w:p>
    <w:p w14:paraId="5A34CD0C">
      <w:pPr>
        <w:spacing w:before="82" w:line="222" w:lineRule="auto"/>
        <w:rPr>
          <w:rFonts w:ascii="黑体" w:hAnsi="黑体" w:eastAsia="黑体" w:cs="黑体"/>
          <w:sz w:val="25"/>
          <w:szCs w:val="25"/>
        </w:rPr>
      </w:pPr>
      <w:r>
        <w:rPr>
          <w:rFonts w:ascii="黑体" w:hAnsi="黑体" w:eastAsia="黑体" w:cs="黑体"/>
          <w:spacing w:val="16"/>
          <w:sz w:val="25"/>
          <w:szCs w:val="25"/>
        </w:rPr>
        <w:t>5.2</w:t>
      </w:r>
      <w:r>
        <w:rPr>
          <w:rFonts w:ascii="黑体" w:hAnsi="黑体" w:eastAsia="黑体" w:cs="黑体"/>
          <w:spacing w:val="47"/>
          <w:sz w:val="25"/>
          <w:szCs w:val="25"/>
        </w:rPr>
        <w:t xml:space="preserve">  </w:t>
      </w:r>
      <w:r>
        <w:rPr>
          <w:rFonts w:ascii="黑体" w:hAnsi="黑体" w:eastAsia="黑体" w:cs="黑体"/>
          <w:spacing w:val="16"/>
          <w:sz w:val="25"/>
          <w:szCs w:val="25"/>
        </w:rPr>
        <w:t>运行策略和约束</w:t>
      </w:r>
    </w:p>
    <w:p w14:paraId="770FF05F">
      <w:pPr>
        <w:spacing w:before="99" w:line="219" w:lineRule="auto"/>
        <w:ind w:left="560"/>
        <w:rPr>
          <w:rFonts w:ascii="宋体" w:hAnsi="宋体" w:eastAsia="宋体" w:cs="宋体"/>
          <w:sz w:val="27"/>
          <w:szCs w:val="27"/>
        </w:rPr>
      </w:pPr>
      <w:r>
        <w:rPr>
          <w:rFonts w:ascii="宋体" w:hAnsi="宋体" w:eastAsia="宋体" w:cs="宋体"/>
          <w:spacing w:val="4"/>
          <w:sz w:val="27"/>
          <w:szCs w:val="27"/>
        </w:rPr>
        <w:t>本条应描述适用于新系统或修改后系统的运行策略和约束。</w:t>
      </w:r>
    </w:p>
    <w:p w14:paraId="033CEE54">
      <w:pPr>
        <w:pStyle w:val="2"/>
        <w:spacing w:before="20" w:line="368" w:lineRule="exact"/>
        <w:rPr>
          <w:rFonts w:ascii="黑体" w:hAnsi="黑体" w:eastAsia="黑体" w:cs="黑体"/>
          <w:sz w:val="27"/>
          <w:szCs w:val="27"/>
        </w:rPr>
      </w:pPr>
      <w:r>
        <w:rPr>
          <w:spacing w:val="3"/>
          <w:position w:val="1"/>
          <w:sz w:val="27"/>
          <w:szCs w:val="27"/>
        </w:rPr>
        <w:t>5.3</w:t>
      </w:r>
      <w:r>
        <w:rPr>
          <w:spacing w:val="11"/>
          <w:position w:val="1"/>
          <w:sz w:val="27"/>
          <w:szCs w:val="27"/>
        </w:rPr>
        <w:t xml:space="preserve">    </w:t>
      </w:r>
      <w:r>
        <w:rPr>
          <w:rFonts w:ascii="黑体" w:hAnsi="黑体" w:eastAsia="黑体" w:cs="黑体"/>
          <w:spacing w:val="3"/>
          <w:position w:val="1"/>
          <w:sz w:val="27"/>
          <w:szCs w:val="27"/>
        </w:rPr>
        <w:t>新系统或修改后系统的描述</w:t>
      </w:r>
    </w:p>
    <w:p w14:paraId="1F6BB714">
      <w:pPr>
        <w:spacing w:before="81" w:line="278" w:lineRule="auto"/>
        <w:ind w:right="133" w:firstLine="560"/>
        <w:jc w:val="both"/>
        <w:rPr>
          <w:rFonts w:ascii="宋体" w:hAnsi="宋体" w:eastAsia="宋体" w:cs="宋体"/>
          <w:sz w:val="27"/>
          <w:szCs w:val="27"/>
        </w:rPr>
      </w:pPr>
      <w:r>
        <w:rPr>
          <w:rFonts w:ascii="宋体" w:hAnsi="宋体" w:eastAsia="宋体" w:cs="宋体"/>
          <w:spacing w:val="5"/>
          <w:sz w:val="27"/>
          <w:szCs w:val="27"/>
        </w:rPr>
        <w:t>本条应提供对新系统或修改后系统的描述，标识出不同运行状态或方式的</w:t>
      </w:r>
      <w:r>
        <w:rPr>
          <w:rFonts w:ascii="宋体" w:hAnsi="宋体" w:eastAsia="宋体" w:cs="宋体"/>
          <w:spacing w:val="10"/>
          <w:sz w:val="27"/>
          <w:szCs w:val="27"/>
        </w:rPr>
        <w:t xml:space="preserve"> </w:t>
      </w:r>
      <w:r>
        <w:rPr>
          <w:rFonts w:ascii="宋体" w:hAnsi="宋体" w:eastAsia="宋体" w:cs="宋体"/>
          <w:spacing w:val="-17"/>
          <w:sz w:val="27"/>
          <w:szCs w:val="27"/>
        </w:rPr>
        <w:t>差异(例如常规、维护、培训、降级、紧急事件、备选场点、战时、平时)。可以仅按</w:t>
      </w:r>
      <w:r>
        <w:rPr>
          <w:rFonts w:ascii="宋体" w:hAnsi="宋体" w:eastAsia="宋体" w:cs="宋体"/>
          <w:spacing w:val="18"/>
          <w:sz w:val="27"/>
          <w:szCs w:val="27"/>
        </w:rPr>
        <w:t xml:space="preserve"> </w:t>
      </w:r>
      <w:r>
        <w:rPr>
          <w:rFonts w:ascii="宋体" w:hAnsi="宋体" w:eastAsia="宋体" w:cs="宋体"/>
          <w:spacing w:val="-10"/>
          <w:sz w:val="27"/>
          <w:szCs w:val="27"/>
        </w:rPr>
        <w:t>状态描述系统，也可以仅按方式、方式中的状态、状态中的方式、或其他有效的方</w:t>
      </w:r>
      <w:r>
        <w:rPr>
          <w:rFonts w:ascii="宋体" w:hAnsi="宋体" w:eastAsia="宋体" w:cs="宋体"/>
          <w:sz w:val="27"/>
          <w:szCs w:val="27"/>
        </w:rPr>
        <w:t xml:space="preserve"> </w:t>
      </w:r>
      <w:r>
        <w:rPr>
          <w:rFonts w:ascii="宋体" w:hAnsi="宋体" w:eastAsia="宋体" w:cs="宋体"/>
          <w:spacing w:val="-3"/>
          <w:sz w:val="27"/>
          <w:szCs w:val="27"/>
        </w:rPr>
        <w:t>式描述系统。如果系统不是以多种状态和方式运行，本条应如实陈述，而不需要</w:t>
      </w:r>
      <w:r>
        <w:rPr>
          <w:rFonts w:ascii="宋体" w:hAnsi="宋体" w:eastAsia="宋体" w:cs="宋体"/>
          <w:spacing w:val="17"/>
          <w:sz w:val="27"/>
          <w:szCs w:val="27"/>
        </w:rPr>
        <w:t xml:space="preserve"> </w:t>
      </w:r>
      <w:r>
        <w:rPr>
          <w:rFonts w:ascii="宋体" w:hAnsi="宋体" w:eastAsia="宋体" w:cs="宋体"/>
          <w:spacing w:val="3"/>
          <w:sz w:val="27"/>
          <w:szCs w:val="27"/>
        </w:rPr>
        <w:t>进行人为的区分。(若适用)描述包括内容如下：</w:t>
      </w:r>
    </w:p>
    <w:p w14:paraId="708FC6F4">
      <w:pPr>
        <w:spacing w:line="212" w:lineRule="auto"/>
        <w:ind w:left="560"/>
        <w:rPr>
          <w:rFonts w:ascii="宋体" w:hAnsi="宋体" w:eastAsia="宋体" w:cs="宋体"/>
          <w:sz w:val="24"/>
          <w:szCs w:val="24"/>
        </w:rPr>
      </w:pPr>
      <w:r>
        <w:rPr>
          <w:rFonts w:ascii="Times New Roman" w:hAnsi="Times New Roman" w:eastAsia="Times New Roman" w:cs="Times New Roman"/>
          <w:spacing w:val="24"/>
          <w:sz w:val="24"/>
          <w:szCs w:val="24"/>
        </w:rPr>
        <w:t xml:space="preserve">a)  </w:t>
      </w:r>
      <w:r>
        <w:rPr>
          <w:rFonts w:ascii="宋体" w:hAnsi="宋体" w:eastAsia="宋体" w:cs="宋体"/>
          <w:spacing w:val="24"/>
          <w:sz w:val="24"/>
          <w:szCs w:val="24"/>
        </w:rPr>
        <w:t>运行环境及其特性；</w:t>
      </w:r>
    </w:p>
    <w:p w14:paraId="6B272728">
      <w:pPr>
        <w:spacing w:before="112" w:line="212" w:lineRule="auto"/>
        <w:ind w:left="560"/>
        <w:rPr>
          <w:rFonts w:ascii="宋体" w:hAnsi="宋体" w:eastAsia="宋体" w:cs="宋体"/>
          <w:sz w:val="27"/>
          <w:szCs w:val="27"/>
        </w:rPr>
      </w:pPr>
      <w:r>
        <w:rPr>
          <w:rFonts w:ascii="Times New Roman" w:hAnsi="Times New Roman" w:eastAsia="Times New Roman" w:cs="Times New Roman"/>
          <w:spacing w:val="4"/>
          <w:sz w:val="27"/>
          <w:szCs w:val="27"/>
        </w:rPr>
        <w:t xml:space="preserve">b)  </w:t>
      </w:r>
      <w:r>
        <w:rPr>
          <w:rFonts w:ascii="宋体" w:hAnsi="宋体" w:eastAsia="宋体" w:cs="宋体"/>
          <w:spacing w:val="4"/>
          <w:sz w:val="27"/>
          <w:szCs w:val="27"/>
        </w:rPr>
        <w:t>主要系统部件及这些部件之间的互连；</w:t>
      </w:r>
    </w:p>
    <w:p w14:paraId="629F77EF">
      <w:pPr>
        <w:spacing w:before="90" w:line="212" w:lineRule="auto"/>
        <w:ind w:left="560"/>
        <w:rPr>
          <w:rFonts w:ascii="宋体" w:hAnsi="宋体" w:eastAsia="宋体" w:cs="宋体"/>
          <w:sz w:val="27"/>
          <w:szCs w:val="27"/>
        </w:rPr>
      </w:pPr>
      <w:r>
        <w:rPr>
          <w:rFonts w:ascii="Times New Roman" w:hAnsi="Times New Roman" w:eastAsia="Times New Roman" w:cs="Times New Roman"/>
          <w:spacing w:val="2"/>
          <w:sz w:val="27"/>
          <w:szCs w:val="27"/>
        </w:rPr>
        <w:t xml:space="preserve">c)  </w:t>
      </w:r>
      <w:r>
        <w:rPr>
          <w:rFonts w:ascii="宋体" w:hAnsi="宋体" w:eastAsia="宋体" w:cs="宋体"/>
          <w:spacing w:val="2"/>
          <w:sz w:val="27"/>
          <w:szCs w:val="27"/>
        </w:rPr>
        <w:t>与外部系统或过程的接口；</w:t>
      </w:r>
    </w:p>
    <w:p w14:paraId="671099CE">
      <w:pPr>
        <w:spacing w:before="100"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新系统或修改后系统的能力/功能；</w:t>
      </w:r>
    </w:p>
    <w:p w14:paraId="227FAD2D">
      <w:pPr>
        <w:spacing w:before="91" w:line="260" w:lineRule="auto"/>
        <w:ind w:right="98" w:firstLine="560"/>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描述输入、输出、数据流、手工和自动处理的图表和相应的说明，使用户</w:t>
      </w:r>
      <w:r>
        <w:rPr>
          <w:rFonts w:ascii="宋体" w:hAnsi="宋体" w:eastAsia="宋体" w:cs="宋体"/>
          <w:spacing w:val="4"/>
          <w:sz w:val="27"/>
          <w:szCs w:val="27"/>
        </w:rPr>
        <w:t xml:space="preserve"> </w:t>
      </w:r>
      <w:r>
        <w:rPr>
          <w:rFonts w:ascii="宋体" w:hAnsi="宋体" w:eastAsia="宋体" w:cs="宋体"/>
          <w:spacing w:val="2"/>
          <w:sz w:val="27"/>
          <w:szCs w:val="27"/>
        </w:rPr>
        <w:t>能够充分理解新系统或修改后系统；</w:t>
      </w:r>
    </w:p>
    <w:p w14:paraId="0FD57977">
      <w:pPr>
        <w:spacing w:before="69" w:line="212" w:lineRule="auto"/>
        <w:ind w:left="560"/>
        <w:rPr>
          <w:rFonts w:ascii="宋体" w:hAnsi="宋体" w:eastAsia="宋体" w:cs="宋体"/>
          <w:sz w:val="27"/>
          <w:szCs w:val="27"/>
        </w:rPr>
      </w:pPr>
      <w:r>
        <w:rPr>
          <w:rFonts w:ascii="Times New Roman" w:hAnsi="Times New Roman" w:eastAsia="Times New Roman" w:cs="Times New Roman"/>
          <w:spacing w:val="-24"/>
          <w:sz w:val="27"/>
          <w:szCs w:val="27"/>
        </w:rPr>
        <w:t xml:space="preserve">f)  </w:t>
      </w:r>
      <w:r>
        <w:rPr>
          <w:rFonts w:ascii="宋体" w:hAnsi="宋体" w:eastAsia="宋体" w:cs="宋体"/>
          <w:spacing w:val="-24"/>
          <w:sz w:val="27"/>
          <w:szCs w:val="27"/>
        </w:rPr>
        <w:t>性能特性，如：速度、吞吐量、容量、频率；</w:t>
      </w:r>
    </w:p>
    <w:p w14:paraId="60CE9B53">
      <w:pPr>
        <w:spacing w:before="109" w:line="212" w:lineRule="auto"/>
        <w:ind w:left="560"/>
        <w:rPr>
          <w:rFonts w:ascii="宋体" w:hAnsi="宋体" w:eastAsia="宋体" w:cs="宋体"/>
          <w:sz w:val="27"/>
          <w:szCs w:val="27"/>
        </w:rPr>
      </w:pPr>
      <w:r>
        <w:rPr>
          <w:rFonts w:ascii="Times New Roman" w:hAnsi="Times New Roman" w:eastAsia="Times New Roman" w:cs="Times New Roman"/>
          <w:spacing w:val="-23"/>
          <w:sz w:val="27"/>
          <w:szCs w:val="27"/>
        </w:rPr>
        <w:t xml:space="preserve">g)  </w:t>
      </w:r>
      <w:r>
        <w:rPr>
          <w:rFonts w:ascii="宋体" w:hAnsi="宋体" w:eastAsia="宋体" w:cs="宋体"/>
          <w:spacing w:val="-23"/>
          <w:sz w:val="27"/>
          <w:szCs w:val="27"/>
        </w:rPr>
        <w:t>质量属性，如：功能性、可靠性、易用性、效率、维护性、可移植性；</w:t>
      </w:r>
    </w:p>
    <w:p w14:paraId="4BEEAB1C">
      <w:pPr>
        <w:spacing w:before="71" w:line="212" w:lineRule="auto"/>
        <w:ind w:left="560"/>
        <w:rPr>
          <w:rFonts w:ascii="宋体" w:hAnsi="宋体" w:eastAsia="宋体" w:cs="宋体"/>
          <w:sz w:val="27"/>
          <w:szCs w:val="27"/>
        </w:rPr>
      </w:pPr>
      <w:r>
        <w:rPr>
          <w:rFonts w:ascii="Times New Roman" w:hAnsi="Times New Roman" w:eastAsia="Times New Roman" w:cs="Times New Roman"/>
          <w:sz w:val="27"/>
          <w:szCs w:val="27"/>
        </w:rPr>
        <w:t xml:space="preserve">h)  </w:t>
      </w:r>
      <w:r>
        <w:rPr>
          <w:rFonts w:ascii="宋体" w:hAnsi="宋体" w:eastAsia="宋体" w:cs="宋体"/>
          <w:sz w:val="27"/>
          <w:szCs w:val="27"/>
        </w:rPr>
        <w:t>安全性、保密性和紧急情况下运行连</w:t>
      </w:r>
      <w:r>
        <w:rPr>
          <w:rFonts w:ascii="宋体" w:hAnsi="宋体" w:eastAsia="宋体" w:cs="宋体"/>
          <w:spacing w:val="-1"/>
          <w:sz w:val="27"/>
          <w:szCs w:val="27"/>
        </w:rPr>
        <w:t>续性的规定。</w:t>
      </w:r>
    </w:p>
    <w:p w14:paraId="49A83F7E">
      <w:pPr>
        <w:pStyle w:val="2"/>
        <w:spacing w:before="113" w:line="328" w:lineRule="exact"/>
        <w:rPr>
          <w:rFonts w:ascii="黑体" w:hAnsi="黑体" w:eastAsia="黑体" w:cs="黑体"/>
          <w:sz w:val="24"/>
          <w:szCs w:val="24"/>
        </w:rPr>
      </w:pPr>
      <w:r>
        <w:rPr>
          <w:spacing w:val="19"/>
          <w:position w:val="1"/>
          <w:sz w:val="24"/>
          <w:szCs w:val="24"/>
        </w:rPr>
        <w:t xml:space="preserve">5.4     </w:t>
      </w:r>
      <w:r>
        <w:rPr>
          <w:rFonts w:ascii="黑体" w:hAnsi="黑体" w:eastAsia="黑体" w:cs="黑体"/>
          <w:spacing w:val="19"/>
          <w:position w:val="1"/>
          <w:sz w:val="24"/>
          <w:szCs w:val="24"/>
        </w:rPr>
        <w:t>用户/受影响人员</w:t>
      </w:r>
    </w:p>
    <w:p w14:paraId="57A5A208">
      <w:pPr>
        <w:spacing w:before="87" w:line="277" w:lineRule="auto"/>
        <w:ind w:firstLine="560"/>
        <w:rPr>
          <w:rFonts w:ascii="宋体" w:hAnsi="宋体" w:eastAsia="宋体" w:cs="宋体"/>
          <w:sz w:val="27"/>
          <w:szCs w:val="27"/>
        </w:rPr>
      </w:pPr>
      <w:r>
        <w:rPr>
          <w:rFonts w:ascii="宋体" w:hAnsi="宋体" w:eastAsia="宋体" w:cs="宋体"/>
          <w:spacing w:val="1"/>
          <w:sz w:val="27"/>
          <w:szCs w:val="27"/>
        </w:rPr>
        <w:t xml:space="preserve">本条应描述新系统或修改后系统的用户类型。若适用，则包括：组织结构、 </w:t>
      </w:r>
      <w:r>
        <w:rPr>
          <w:rFonts w:ascii="宋体" w:hAnsi="宋体" w:eastAsia="宋体" w:cs="宋体"/>
          <w:spacing w:val="-12"/>
          <w:sz w:val="27"/>
          <w:szCs w:val="27"/>
        </w:rPr>
        <w:t>培训/技能、职责、相互之间的交互。</w:t>
      </w:r>
    </w:p>
    <w:p w14:paraId="32043B0B">
      <w:pPr>
        <w:spacing w:before="1" w:line="220" w:lineRule="auto"/>
        <w:rPr>
          <w:rFonts w:ascii="黑体" w:hAnsi="黑体" w:eastAsia="黑体" w:cs="黑体"/>
          <w:sz w:val="27"/>
          <w:szCs w:val="27"/>
        </w:rPr>
      </w:pPr>
      <w:r>
        <w:rPr>
          <w:rFonts w:ascii="黑体" w:hAnsi="黑体" w:eastAsia="黑体" w:cs="黑体"/>
          <w:spacing w:val="2"/>
          <w:sz w:val="27"/>
          <w:szCs w:val="27"/>
        </w:rPr>
        <w:t>5.5</w:t>
      </w:r>
      <w:r>
        <w:rPr>
          <w:rFonts w:ascii="黑体" w:hAnsi="黑体" w:eastAsia="黑体" w:cs="黑体"/>
          <w:spacing w:val="20"/>
          <w:sz w:val="27"/>
          <w:szCs w:val="27"/>
        </w:rPr>
        <w:t xml:space="preserve">  </w:t>
      </w:r>
      <w:r>
        <w:rPr>
          <w:rFonts w:ascii="黑体" w:hAnsi="黑体" w:eastAsia="黑体" w:cs="黑体"/>
          <w:spacing w:val="2"/>
          <w:sz w:val="27"/>
          <w:szCs w:val="27"/>
        </w:rPr>
        <w:t>保障方案</w:t>
      </w:r>
    </w:p>
    <w:p w14:paraId="76B7B4DC">
      <w:pPr>
        <w:spacing w:before="106" w:line="276" w:lineRule="auto"/>
        <w:ind w:right="19" w:firstLine="560"/>
        <w:jc w:val="both"/>
        <w:rPr>
          <w:rFonts w:ascii="宋体" w:hAnsi="宋体" w:eastAsia="宋体" w:cs="宋体"/>
          <w:sz w:val="27"/>
          <w:szCs w:val="27"/>
        </w:rPr>
      </w:pPr>
      <w:r>
        <w:rPr>
          <w:rFonts w:ascii="宋体" w:hAnsi="宋体" w:eastAsia="宋体" w:cs="宋体"/>
          <w:sz w:val="27"/>
          <w:szCs w:val="27"/>
        </w:rPr>
        <w:t>本条应简述新系统或修改后系统的保障方案，(若适用)应包括：保障机构、</w:t>
      </w:r>
      <w:r>
        <w:rPr>
          <w:rFonts w:ascii="宋体" w:hAnsi="宋体" w:eastAsia="宋体" w:cs="宋体"/>
          <w:spacing w:val="14"/>
          <w:sz w:val="27"/>
          <w:szCs w:val="27"/>
        </w:rPr>
        <w:t xml:space="preserve"> </w:t>
      </w:r>
      <w:r>
        <w:rPr>
          <w:rFonts w:ascii="宋体" w:hAnsi="宋体" w:eastAsia="宋体" w:cs="宋体"/>
          <w:spacing w:val="-13"/>
          <w:sz w:val="27"/>
          <w:szCs w:val="27"/>
        </w:rPr>
        <w:t>设施、设备、支持软件、维修/更换标准、维护等级</w:t>
      </w:r>
      <w:r>
        <w:rPr>
          <w:rFonts w:ascii="宋体" w:hAnsi="宋体" w:eastAsia="宋体" w:cs="宋体"/>
          <w:spacing w:val="-14"/>
          <w:sz w:val="27"/>
          <w:szCs w:val="27"/>
        </w:rPr>
        <w:t>和周期，以及存储、分配和供应</w:t>
      </w:r>
      <w:r>
        <w:rPr>
          <w:rFonts w:ascii="宋体" w:hAnsi="宋体" w:eastAsia="宋体" w:cs="宋体"/>
          <w:sz w:val="27"/>
          <w:szCs w:val="27"/>
        </w:rPr>
        <w:t xml:space="preserve">  </w:t>
      </w:r>
      <w:r>
        <w:rPr>
          <w:rFonts w:ascii="宋体" w:hAnsi="宋体" w:eastAsia="宋体" w:cs="宋体"/>
          <w:spacing w:val="-2"/>
          <w:sz w:val="27"/>
          <w:szCs w:val="27"/>
        </w:rPr>
        <w:t>方法。</w:t>
      </w:r>
    </w:p>
    <w:p w14:paraId="7939F131">
      <w:pPr>
        <w:spacing w:before="1" w:line="220"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37"/>
          <w:sz w:val="27"/>
          <w:szCs w:val="27"/>
        </w:rPr>
        <w:t xml:space="preserve">  </w:t>
      </w:r>
      <w:r>
        <w:rPr>
          <w:rFonts w:ascii="黑体" w:hAnsi="黑体" w:eastAsia="黑体" w:cs="黑体"/>
          <w:spacing w:val="1"/>
          <w:sz w:val="27"/>
          <w:szCs w:val="27"/>
        </w:rPr>
        <w:t>运行场景</w:t>
      </w:r>
    </w:p>
    <w:p w14:paraId="08870CEB">
      <w:pPr>
        <w:spacing w:before="108" w:line="277" w:lineRule="auto"/>
        <w:ind w:right="95" w:firstLine="560"/>
        <w:jc w:val="both"/>
        <w:rPr>
          <w:rFonts w:ascii="宋体" w:hAnsi="宋体" w:eastAsia="宋体" w:cs="宋体"/>
          <w:sz w:val="27"/>
          <w:szCs w:val="27"/>
        </w:rPr>
      </w:pPr>
      <w:r>
        <w:rPr>
          <w:rFonts w:ascii="宋体" w:hAnsi="宋体" w:eastAsia="宋体" w:cs="宋体"/>
          <w:spacing w:val="-3"/>
          <w:sz w:val="27"/>
          <w:szCs w:val="27"/>
        </w:rPr>
        <w:t>本章应描述一个或几个运行场景，举例说明新系统或修改后系统的作用、与</w:t>
      </w:r>
      <w:r>
        <w:rPr>
          <w:rFonts w:ascii="宋体" w:hAnsi="宋体" w:eastAsia="宋体" w:cs="宋体"/>
          <w:sz w:val="27"/>
          <w:szCs w:val="27"/>
        </w:rPr>
        <w:t xml:space="preserve"> </w:t>
      </w:r>
      <w:r>
        <w:rPr>
          <w:rFonts w:ascii="宋体" w:hAnsi="宋体" w:eastAsia="宋体" w:cs="宋体"/>
          <w:spacing w:val="6"/>
          <w:sz w:val="27"/>
          <w:szCs w:val="27"/>
        </w:rPr>
        <w:t>用户的交互、与其他系统的接口和为该系统标识的所有状态或方式。(若适用)</w:t>
      </w:r>
      <w:r>
        <w:rPr>
          <w:rFonts w:ascii="宋体" w:hAnsi="宋体" w:eastAsia="宋体" w:cs="宋体"/>
          <w:spacing w:val="18"/>
          <w:sz w:val="27"/>
          <w:szCs w:val="27"/>
        </w:rPr>
        <w:t xml:space="preserve"> </w:t>
      </w:r>
      <w:r>
        <w:rPr>
          <w:rFonts w:ascii="宋体" w:hAnsi="宋体" w:eastAsia="宋体" w:cs="宋体"/>
          <w:spacing w:val="-10"/>
          <w:sz w:val="27"/>
          <w:szCs w:val="27"/>
        </w:rPr>
        <w:t>场景应包括：事件、动作、激励源、信息、交互等。可以使用其他媒体(如视频)等</w:t>
      </w:r>
      <w:r>
        <w:rPr>
          <w:rFonts w:ascii="宋体" w:hAnsi="宋体" w:eastAsia="宋体" w:cs="宋体"/>
          <w:spacing w:val="11"/>
          <w:sz w:val="27"/>
          <w:szCs w:val="27"/>
        </w:rPr>
        <w:t xml:space="preserve"> </w:t>
      </w:r>
      <w:r>
        <w:rPr>
          <w:rFonts w:ascii="宋体" w:hAnsi="宋体" w:eastAsia="宋体" w:cs="宋体"/>
          <w:spacing w:val="3"/>
          <w:sz w:val="27"/>
          <w:szCs w:val="27"/>
        </w:rPr>
        <w:t>来描述这些信息中的部分或全部。</w:t>
      </w:r>
    </w:p>
    <w:p w14:paraId="0E6551E6">
      <w:pPr>
        <w:pStyle w:val="2"/>
        <w:spacing w:line="221" w:lineRule="auto"/>
        <w:rPr>
          <w:rFonts w:ascii="黑体" w:hAnsi="黑体" w:eastAsia="黑体" w:cs="黑体"/>
          <w:sz w:val="27"/>
          <w:szCs w:val="27"/>
        </w:rPr>
      </w:pPr>
      <w:r>
        <w:rPr>
          <w:spacing w:val="-1"/>
          <w:sz w:val="27"/>
          <w:szCs w:val="27"/>
        </w:rPr>
        <w:t>7</w:t>
      </w:r>
      <w:r>
        <w:rPr>
          <w:spacing w:val="8"/>
          <w:sz w:val="27"/>
          <w:szCs w:val="27"/>
        </w:rPr>
        <w:t xml:space="preserve">    </w:t>
      </w:r>
      <w:r>
        <w:rPr>
          <w:rFonts w:ascii="黑体" w:hAnsi="黑体" w:eastAsia="黑体" w:cs="黑体"/>
          <w:spacing w:val="-1"/>
          <w:sz w:val="27"/>
          <w:szCs w:val="27"/>
        </w:rPr>
        <w:t>影响综述</w:t>
      </w:r>
    </w:p>
    <w:p w14:paraId="0941E2C0">
      <w:pPr>
        <w:spacing w:before="66" w:line="222" w:lineRule="auto"/>
        <w:rPr>
          <w:rFonts w:ascii="黑体" w:hAnsi="黑体" w:eastAsia="黑体" w:cs="黑体"/>
          <w:sz w:val="27"/>
          <w:szCs w:val="27"/>
        </w:rPr>
      </w:pPr>
      <w:r>
        <w:rPr>
          <w:rFonts w:ascii="黑体" w:hAnsi="黑体" w:eastAsia="黑体" w:cs="黑体"/>
          <w:spacing w:val="2"/>
          <w:sz w:val="27"/>
          <w:szCs w:val="27"/>
        </w:rPr>
        <w:t>7.1</w:t>
      </w:r>
      <w:r>
        <w:rPr>
          <w:rFonts w:ascii="黑体" w:hAnsi="黑体" w:eastAsia="黑体" w:cs="黑体"/>
          <w:spacing w:val="26"/>
          <w:sz w:val="27"/>
          <w:szCs w:val="27"/>
        </w:rPr>
        <w:t xml:space="preserve">  </w:t>
      </w:r>
      <w:r>
        <w:rPr>
          <w:rFonts w:ascii="黑体" w:hAnsi="黑体" w:eastAsia="黑体" w:cs="黑体"/>
          <w:spacing w:val="2"/>
          <w:sz w:val="27"/>
          <w:szCs w:val="27"/>
        </w:rPr>
        <w:t>运行影响</w:t>
      </w:r>
    </w:p>
    <w:p w14:paraId="7E2B7C11">
      <w:pPr>
        <w:spacing w:before="116" w:line="282" w:lineRule="auto"/>
        <w:ind w:right="126" w:firstLine="560"/>
        <w:jc w:val="both"/>
        <w:rPr>
          <w:rFonts w:ascii="宋体" w:hAnsi="宋体" w:eastAsia="宋体" w:cs="宋体"/>
          <w:sz w:val="27"/>
          <w:szCs w:val="27"/>
        </w:rPr>
      </w:pPr>
      <w:r>
        <w:rPr>
          <w:rFonts w:ascii="宋体" w:hAnsi="宋体" w:eastAsia="宋体" w:cs="宋体"/>
          <w:spacing w:val="-3"/>
          <w:sz w:val="27"/>
          <w:szCs w:val="27"/>
        </w:rPr>
        <w:t>本条应描述预计对用户、需方、开发方和保障机构的</w:t>
      </w:r>
      <w:r>
        <w:rPr>
          <w:rFonts w:ascii="宋体" w:hAnsi="宋体" w:eastAsia="宋体" w:cs="宋体"/>
          <w:spacing w:val="-4"/>
          <w:sz w:val="27"/>
          <w:szCs w:val="27"/>
        </w:rPr>
        <w:t>运行影响。这些影响包</w:t>
      </w:r>
      <w:r>
        <w:rPr>
          <w:rFonts w:ascii="宋体" w:hAnsi="宋体" w:eastAsia="宋体" w:cs="宋体"/>
          <w:sz w:val="27"/>
          <w:szCs w:val="27"/>
        </w:rPr>
        <w:t xml:space="preserve"> </w:t>
      </w:r>
      <w:r>
        <w:rPr>
          <w:rFonts w:ascii="宋体" w:hAnsi="宋体" w:eastAsia="宋体" w:cs="宋体"/>
          <w:spacing w:val="-10"/>
          <w:sz w:val="27"/>
          <w:szCs w:val="27"/>
        </w:rPr>
        <w:t>括：与计算机操作中心接口的变更；过程的变更；新数据源的使用；输入到系统中</w:t>
      </w:r>
      <w:r>
        <w:rPr>
          <w:rFonts w:ascii="宋体" w:hAnsi="宋体" w:eastAsia="宋体" w:cs="宋体"/>
          <w:spacing w:val="17"/>
          <w:sz w:val="27"/>
          <w:szCs w:val="27"/>
        </w:rPr>
        <w:t xml:space="preserve"> </w:t>
      </w:r>
      <w:r>
        <w:rPr>
          <w:rFonts w:ascii="宋体" w:hAnsi="宋体" w:eastAsia="宋体" w:cs="宋体"/>
          <w:spacing w:val="-10"/>
          <w:sz w:val="27"/>
          <w:szCs w:val="27"/>
        </w:rPr>
        <w:t>的数据在数量、类型和时序上的变更；数据保留需要的变更；以及在平时、警戒时</w:t>
      </w:r>
    </w:p>
    <w:p w14:paraId="1FB0203F">
      <w:pPr>
        <w:spacing w:line="282" w:lineRule="auto"/>
        <w:rPr>
          <w:rFonts w:ascii="宋体" w:hAnsi="宋体" w:eastAsia="宋体" w:cs="宋体"/>
          <w:sz w:val="27"/>
          <w:szCs w:val="27"/>
        </w:rPr>
        <w:sectPr>
          <w:footerReference r:id="rId189" w:type="default"/>
          <w:pgSz w:w="11910" w:h="17130"/>
          <w:pgMar w:top="400" w:right="964" w:bottom="1626" w:left="1440" w:header="0" w:footer="1437" w:gutter="0"/>
          <w:cols w:space="720" w:num="1"/>
        </w:sectPr>
      </w:pPr>
    </w:p>
    <w:p w14:paraId="65700744">
      <w:pPr>
        <w:pStyle w:val="2"/>
        <w:spacing w:line="251" w:lineRule="auto"/>
      </w:pPr>
    </w:p>
    <w:p w14:paraId="59ABA84A">
      <w:pPr>
        <w:pStyle w:val="2"/>
        <w:spacing w:line="252" w:lineRule="auto"/>
      </w:pPr>
    </w:p>
    <w:p w14:paraId="0272420E">
      <w:pPr>
        <w:pStyle w:val="2"/>
        <w:spacing w:line="252" w:lineRule="auto"/>
      </w:pPr>
    </w:p>
    <w:p w14:paraId="74B30542">
      <w:pPr>
        <w:pStyle w:val="2"/>
        <w:spacing w:line="252" w:lineRule="auto"/>
      </w:pPr>
    </w:p>
    <w:p w14:paraId="13463E04">
      <w:pPr>
        <w:spacing w:before="88" w:line="219" w:lineRule="auto"/>
        <w:rPr>
          <w:rFonts w:ascii="宋体" w:hAnsi="宋体" w:eastAsia="宋体" w:cs="宋体"/>
          <w:sz w:val="27"/>
          <w:szCs w:val="27"/>
        </w:rPr>
      </w:pPr>
      <w:bookmarkStart w:id="135" w:name="bookmark372"/>
      <w:bookmarkEnd w:id="135"/>
      <w:r>
        <w:rPr>
          <w:rFonts w:ascii="宋体" w:hAnsi="宋体" w:eastAsia="宋体" w:cs="宋体"/>
          <w:spacing w:val="-3"/>
          <w:sz w:val="27"/>
          <w:szCs w:val="27"/>
        </w:rPr>
        <w:t>期、战时或紧急情况等条件下新的运行方式。</w:t>
      </w:r>
    </w:p>
    <w:p w14:paraId="7EFF2E10">
      <w:pPr>
        <w:pStyle w:val="2"/>
        <w:spacing w:before="98" w:line="222" w:lineRule="auto"/>
        <w:rPr>
          <w:rFonts w:ascii="黑体" w:hAnsi="黑体" w:eastAsia="黑体" w:cs="黑体"/>
          <w:sz w:val="24"/>
          <w:szCs w:val="24"/>
        </w:rPr>
      </w:pPr>
      <w:r>
        <w:rPr>
          <w:spacing w:val="19"/>
          <w:sz w:val="24"/>
          <w:szCs w:val="24"/>
        </w:rPr>
        <w:t>7.2</w:t>
      </w:r>
      <w:r>
        <w:rPr>
          <w:spacing w:val="5"/>
          <w:sz w:val="24"/>
          <w:szCs w:val="24"/>
        </w:rPr>
        <w:t xml:space="preserve">     </w:t>
      </w:r>
      <w:r>
        <w:rPr>
          <w:rFonts w:ascii="黑体" w:hAnsi="黑体" w:eastAsia="黑体" w:cs="黑体"/>
          <w:spacing w:val="19"/>
          <w:sz w:val="24"/>
          <w:szCs w:val="24"/>
        </w:rPr>
        <w:t>组织影响</w:t>
      </w:r>
    </w:p>
    <w:p w14:paraId="28376940">
      <w:pPr>
        <w:spacing w:before="90" w:line="267" w:lineRule="auto"/>
        <w:ind w:right="81" w:firstLine="560"/>
        <w:jc w:val="both"/>
        <w:rPr>
          <w:rFonts w:ascii="宋体" w:hAnsi="宋体" w:eastAsia="宋体" w:cs="宋体"/>
          <w:sz w:val="27"/>
          <w:szCs w:val="27"/>
        </w:rPr>
      </w:pPr>
      <w:r>
        <w:rPr>
          <w:rFonts w:ascii="宋体" w:hAnsi="宋体" w:eastAsia="宋体" w:cs="宋体"/>
          <w:spacing w:val="-3"/>
          <w:sz w:val="27"/>
          <w:szCs w:val="27"/>
        </w:rPr>
        <w:t>本条应描述预计对用户、需方、开发方和保障机构的组织方面的影响。这些</w:t>
      </w:r>
      <w:r>
        <w:rPr>
          <w:rFonts w:ascii="宋体" w:hAnsi="宋体" w:eastAsia="宋体" w:cs="宋体"/>
          <w:spacing w:val="11"/>
          <w:sz w:val="27"/>
          <w:szCs w:val="27"/>
        </w:rPr>
        <w:t xml:space="preserve"> </w:t>
      </w:r>
      <w:r>
        <w:rPr>
          <w:rFonts w:ascii="宋体" w:hAnsi="宋体" w:eastAsia="宋体" w:cs="宋体"/>
          <w:spacing w:val="-11"/>
          <w:sz w:val="27"/>
          <w:szCs w:val="27"/>
        </w:rPr>
        <w:t>影响包括：职责的修改；职责或岗位的增加或撤销；培训或重新培训的需要；在各</w:t>
      </w:r>
      <w:r>
        <w:rPr>
          <w:rFonts w:ascii="宋体" w:hAnsi="宋体" w:eastAsia="宋体" w:cs="宋体"/>
          <w:spacing w:val="17"/>
          <w:sz w:val="27"/>
          <w:szCs w:val="27"/>
        </w:rPr>
        <w:t xml:space="preserve"> </w:t>
      </w:r>
      <w:r>
        <w:rPr>
          <w:rFonts w:ascii="宋体" w:hAnsi="宋体" w:eastAsia="宋体" w:cs="宋体"/>
          <w:spacing w:val="-4"/>
          <w:sz w:val="27"/>
          <w:szCs w:val="27"/>
        </w:rPr>
        <w:t>种运行方式下人员在数量、技能级别、岗位标识符和地点等方面</w:t>
      </w:r>
      <w:r>
        <w:rPr>
          <w:rFonts w:ascii="宋体" w:hAnsi="宋体" w:eastAsia="宋体" w:cs="宋体"/>
          <w:spacing w:val="-5"/>
          <w:sz w:val="27"/>
          <w:szCs w:val="27"/>
        </w:rPr>
        <w:t>的变更。</w:t>
      </w:r>
    </w:p>
    <w:p w14:paraId="5B679CCC">
      <w:pPr>
        <w:pStyle w:val="2"/>
        <w:spacing w:line="368" w:lineRule="exact"/>
        <w:rPr>
          <w:rFonts w:ascii="黑体" w:hAnsi="黑体" w:eastAsia="黑体" w:cs="黑体"/>
          <w:sz w:val="27"/>
          <w:szCs w:val="27"/>
        </w:rPr>
      </w:pPr>
      <w:r>
        <w:rPr>
          <w:spacing w:val="3"/>
          <w:position w:val="1"/>
          <w:sz w:val="27"/>
          <w:szCs w:val="27"/>
        </w:rPr>
        <w:t xml:space="preserve">7.3    </w:t>
      </w:r>
      <w:r>
        <w:rPr>
          <w:rFonts w:ascii="黑体" w:hAnsi="黑体" w:eastAsia="黑体" w:cs="黑体"/>
          <w:spacing w:val="3"/>
          <w:position w:val="1"/>
          <w:sz w:val="27"/>
          <w:szCs w:val="27"/>
        </w:rPr>
        <w:t>开发期间的影响</w:t>
      </w:r>
    </w:p>
    <w:p w14:paraId="1C2AAA31">
      <w:pPr>
        <w:spacing w:before="99" w:line="277" w:lineRule="auto"/>
        <w:ind w:firstLine="560"/>
        <w:jc w:val="both"/>
        <w:rPr>
          <w:rFonts w:ascii="宋体" w:hAnsi="宋体" w:eastAsia="宋体" w:cs="宋体"/>
          <w:sz w:val="27"/>
          <w:szCs w:val="27"/>
        </w:rPr>
      </w:pPr>
      <w:r>
        <w:rPr>
          <w:rFonts w:ascii="宋体" w:hAnsi="宋体" w:eastAsia="宋体" w:cs="宋体"/>
          <w:spacing w:val="-3"/>
          <w:sz w:val="27"/>
          <w:szCs w:val="27"/>
        </w:rPr>
        <w:t>本条应描述预计在系统开发工作中产生的，对用户、需方、开发方和保障机</w:t>
      </w:r>
      <w:r>
        <w:rPr>
          <w:rFonts w:ascii="宋体" w:hAnsi="宋体" w:eastAsia="宋体" w:cs="宋体"/>
          <w:spacing w:val="8"/>
          <w:sz w:val="27"/>
          <w:szCs w:val="27"/>
        </w:rPr>
        <w:t xml:space="preserve"> </w:t>
      </w:r>
      <w:r>
        <w:rPr>
          <w:rFonts w:ascii="宋体" w:hAnsi="宋体" w:eastAsia="宋体" w:cs="宋体"/>
          <w:spacing w:val="-3"/>
          <w:sz w:val="27"/>
          <w:szCs w:val="27"/>
        </w:rPr>
        <w:t>构的各种影响。这些影响包括：关于新系统的会议</w:t>
      </w:r>
      <w:r>
        <w:rPr>
          <w:rFonts w:ascii="宋体" w:hAnsi="宋体" w:eastAsia="宋体" w:cs="宋体"/>
          <w:spacing w:val="-4"/>
          <w:sz w:val="27"/>
          <w:szCs w:val="27"/>
        </w:rPr>
        <w:t>/讨论；数据库的开发和修改；</w:t>
      </w:r>
      <w:r>
        <w:rPr>
          <w:rFonts w:ascii="宋体" w:hAnsi="宋体" w:eastAsia="宋体" w:cs="宋体"/>
          <w:sz w:val="27"/>
          <w:szCs w:val="27"/>
        </w:rPr>
        <w:t xml:space="preserve"> </w:t>
      </w:r>
      <w:r>
        <w:rPr>
          <w:rFonts w:ascii="宋体" w:hAnsi="宋体" w:eastAsia="宋体" w:cs="宋体"/>
          <w:spacing w:val="-3"/>
          <w:sz w:val="27"/>
          <w:szCs w:val="27"/>
        </w:rPr>
        <w:t>培训；新系统和现有系统的并行运行；新系统测试期间的影响；以及</w:t>
      </w:r>
      <w:r>
        <w:rPr>
          <w:rFonts w:ascii="宋体" w:hAnsi="宋体" w:eastAsia="宋体" w:cs="宋体"/>
          <w:spacing w:val="-4"/>
          <w:sz w:val="27"/>
          <w:szCs w:val="27"/>
        </w:rPr>
        <w:t>帮助或监控</w:t>
      </w:r>
      <w:r>
        <w:rPr>
          <w:rFonts w:ascii="宋体" w:hAnsi="宋体" w:eastAsia="宋体" w:cs="宋体"/>
          <w:sz w:val="27"/>
          <w:szCs w:val="27"/>
        </w:rPr>
        <w:t xml:space="preserve">  </w:t>
      </w:r>
      <w:r>
        <w:rPr>
          <w:rFonts w:ascii="宋体" w:hAnsi="宋体" w:eastAsia="宋体" w:cs="宋体"/>
          <w:spacing w:val="2"/>
          <w:sz w:val="27"/>
          <w:szCs w:val="27"/>
        </w:rPr>
        <w:t>开发所需的其他活动。</w:t>
      </w:r>
    </w:p>
    <w:p w14:paraId="37880A9C">
      <w:pPr>
        <w:spacing w:before="1" w:line="220" w:lineRule="auto"/>
        <w:rPr>
          <w:rFonts w:ascii="黑体" w:hAnsi="黑体" w:eastAsia="黑体" w:cs="黑体"/>
          <w:sz w:val="27"/>
          <w:szCs w:val="27"/>
        </w:rPr>
      </w:pPr>
      <w:r>
        <w:rPr>
          <w:rFonts w:ascii="黑体" w:hAnsi="黑体" w:eastAsia="黑体" w:cs="黑体"/>
          <w:spacing w:val="7"/>
          <w:sz w:val="27"/>
          <w:szCs w:val="27"/>
        </w:rPr>
        <w:t>8  分析建议系统</w:t>
      </w:r>
    </w:p>
    <w:p w14:paraId="7CBFA37F">
      <w:pPr>
        <w:spacing w:before="86" w:line="221" w:lineRule="auto"/>
        <w:rPr>
          <w:rFonts w:ascii="黑体" w:hAnsi="黑体" w:eastAsia="黑体" w:cs="黑体"/>
          <w:sz w:val="27"/>
          <w:szCs w:val="27"/>
        </w:rPr>
      </w:pPr>
      <w:r>
        <w:rPr>
          <w:rFonts w:ascii="黑体" w:hAnsi="黑体" w:eastAsia="黑体" w:cs="黑体"/>
          <w:spacing w:val="2"/>
          <w:sz w:val="27"/>
          <w:szCs w:val="27"/>
        </w:rPr>
        <w:t>8.1  优点概述</w:t>
      </w:r>
    </w:p>
    <w:p w14:paraId="00580836">
      <w:pPr>
        <w:spacing w:before="100" w:line="270" w:lineRule="auto"/>
        <w:ind w:right="74" w:firstLine="560"/>
        <w:jc w:val="both"/>
        <w:rPr>
          <w:rFonts w:ascii="仿宋" w:hAnsi="仿宋" w:eastAsia="仿宋" w:cs="仿宋"/>
          <w:sz w:val="27"/>
          <w:szCs w:val="27"/>
        </w:rPr>
      </w:pPr>
      <w:r>
        <w:rPr>
          <w:rFonts w:ascii="宋体" w:hAnsi="宋体" w:eastAsia="宋体" w:cs="宋体"/>
          <w:spacing w:val="-3"/>
          <w:sz w:val="27"/>
          <w:szCs w:val="27"/>
        </w:rPr>
        <w:t>本条应对新系统或修改后系统的优点提供定性和定量的概述，包括：新增的</w:t>
      </w:r>
      <w:r>
        <w:rPr>
          <w:rFonts w:ascii="宋体" w:hAnsi="宋体" w:eastAsia="宋体" w:cs="宋体"/>
          <w:spacing w:val="18"/>
          <w:sz w:val="27"/>
          <w:szCs w:val="27"/>
        </w:rPr>
        <w:t xml:space="preserve"> </w:t>
      </w:r>
      <w:r>
        <w:rPr>
          <w:rFonts w:ascii="宋体" w:hAnsi="宋体" w:eastAsia="宋体" w:cs="宋体"/>
          <w:spacing w:val="1"/>
          <w:sz w:val="27"/>
          <w:szCs w:val="27"/>
        </w:rPr>
        <w:t>功能、增强的功能、改善的性能，(若适用)以及这些优点与在4.1中所述不</w:t>
      </w:r>
      <w:r>
        <w:rPr>
          <w:rFonts w:ascii="宋体" w:hAnsi="宋体" w:eastAsia="宋体" w:cs="宋体"/>
          <w:sz w:val="27"/>
          <w:szCs w:val="27"/>
        </w:rPr>
        <w:t xml:space="preserve">足的 </w:t>
      </w:r>
      <w:r>
        <w:rPr>
          <w:rFonts w:ascii="宋体" w:hAnsi="宋体" w:eastAsia="宋体" w:cs="宋体"/>
          <w:spacing w:val="-5"/>
          <w:sz w:val="27"/>
          <w:szCs w:val="27"/>
        </w:rPr>
        <w:t>关</w:t>
      </w:r>
      <w:r>
        <w:rPr>
          <w:rFonts w:ascii="仿宋" w:hAnsi="仿宋" w:eastAsia="仿宋" w:cs="仿宋"/>
          <w:spacing w:val="-5"/>
          <w:sz w:val="27"/>
          <w:szCs w:val="27"/>
        </w:rPr>
        <w:t>系。</w:t>
      </w:r>
    </w:p>
    <w:p w14:paraId="616D3F73">
      <w:pPr>
        <w:spacing w:before="42" w:line="221" w:lineRule="auto"/>
        <w:rPr>
          <w:rFonts w:ascii="黑体" w:hAnsi="黑体" w:eastAsia="黑体" w:cs="黑体"/>
          <w:sz w:val="24"/>
          <w:szCs w:val="24"/>
        </w:rPr>
      </w:pPr>
      <w:r>
        <w:rPr>
          <w:rFonts w:ascii="黑体" w:hAnsi="黑体" w:eastAsia="黑体" w:cs="黑体"/>
          <w:spacing w:val="10"/>
          <w:sz w:val="24"/>
          <w:szCs w:val="24"/>
        </w:rPr>
        <w:t>8.2</w:t>
      </w:r>
      <w:r>
        <w:rPr>
          <w:rFonts w:ascii="黑体" w:hAnsi="黑体" w:eastAsia="黑体" w:cs="黑体"/>
          <w:spacing w:val="44"/>
          <w:sz w:val="24"/>
          <w:szCs w:val="24"/>
        </w:rPr>
        <w:t xml:space="preserve">  </w:t>
      </w:r>
      <w:r>
        <w:rPr>
          <w:rFonts w:ascii="黑体" w:hAnsi="黑体" w:eastAsia="黑体" w:cs="黑体"/>
          <w:spacing w:val="10"/>
          <w:sz w:val="24"/>
          <w:szCs w:val="24"/>
        </w:rPr>
        <w:t>缺</w:t>
      </w:r>
      <w:r>
        <w:rPr>
          <w:rFonts w:ascii="黑体" w:hAnsi="黑体" w:eastAsia="黑体" w:cs="黑体"/>
          <w:spacing w:val="-51"/>
          <w:sz w:val="24"/>
          <w:szCs w:val="24"/>
        </w:rPr>
        <w:t xml:space="preserve"> </w:t>
      </w:r>
      <w:r>
        <w:rPr>
          <w:rFonts w:ascii="黑体" w:hAnsi="黑体" w:eastAsia="黑体" w:cs="黑体"/>
          <w:spacing w:val="10"/>
          <w:sz w:val="24"/>
          <w:szCs w:val="24"/>
        </w:rPr>
        <w:t>点</w:t>
      </w:r>
      <w:r>
        <w:rPr>
          <w:rFonts w:ascii="黑体" w:hAnsi="黑体" w:eastAsia="黑体" w:cs="黑体"/>
          <w:spacing w:val="-60"/>
          <w:sz w:val="24"/>
          <w:szCs w:val="24"/>
        </w:rPr>
        <w:t xml:space="preserve"> </w:t>
      </w:r>
      <w:r>
        <w:rPr>
          <w:rFonts w:ascii="黑体" w:hAnsi="黑体" w:eastAsia="黑体" w:cs="黑体"/>
          <w:spacing w:val="10"/>
          <w:sz w:val="24"/>
          <w:szCs w:val="24"/>
        </w:rPr>
        <w:t>/限制概述</w:t>
      </w:r>
    </w:p>
    <w:p w14:paraId="3FA383A8">
      <w:pPr>
        <w:spacing w:before="113" w:line="276" w:lineRule="auto"/>
        <w:ind w:right="83" w:firstLine="560"/>
        <w:jc w:val="both"/>
        <w:rPr>
          <w:rFonts w:ascii="宋体" w:hAnsi="宋体" w:eastAsia="宋体" w:cs="宋体"/>
          <w:sz w:val="27"/>
          <w:szCs w:val="27"/>
        </w:rPr>
      </w:pPr>
      <w:r>
        <w:rPr>
          <w:rFonts w:ascii="宋体" w:hAnsi="宋体" w:eastAsia="宋体" w:cs="宋体"/>
          <w:spacing w:val="10"/>
          <w:sz w:val="27"/>
          <w:szCs w:val="27"/>
        </w:rPr>
        <w:t>本条应对新系统或修改后系统的缺点或约束进行定性和定量</w:t>
      </w:r>
      <w:r>
        <w:rPr>
          <w:rFonts w:ascii="宋体" w:hAnsi="宋体" w:eastAsia="宋体" w:cs="宋体"/>
          <w:spacing w:val="9"/>
          <w:sz w:val="27"/>
          <w:szCs w:val="27"/>
        </w:rPr>
        <w:t>概述，(若适</w:t>
      </w:r>
      <w:r>
        <w:rPr>
          <w:rFonts w:ascii="宋体" w:hAnsi="宋体" w:eastAsia="宋体" w:cs="宋体"/>
          <w:sz w:val="27"/>
          <w:szCs w:val="27"/>
        </w:rPr>
        <w:t xml:space="preserve"> </w:t>
      </w:r>
      <w:r>
        <w:rPr>
          <w:rFonts w:ascii="宋体" w:hAnsi="宋体" w:eastAsia="宋体" w:cs="宋体"/>
          <w:spacing w:val="-6"/>
          <w:sz w:val="27"/>
          <w:szCs w:val="27"/>
        </w:rPr>
        <w:t>用)包括：降级或缺少的功能、降级或达不到期望的性能、高于期望的计算机硬件</w:t>
      </w:r>
      <w:r>
        <w:rPr>
          <w:rFonts w:ascii="宋体" w:hAnsi="宋体" w:eastAsia="宋体" w:cs="宋体"/>
          <w:spacing w:val="11"/>
          <w:sz w:val="27"/>
          <w:szCs w:val="27"/>
        </w:rPr>
        <w:t xml:space="preserve"> </w:t>
      </w:r>
      <w:r>
        <w:rPr>
          <w:rFonts w:ascii="宋体" w:hAnsi="宋体" w:eastAsia="宋体" w:cs="宋体"/>
          <w:spacing w:val="-4"/>
          <w:sz w:val="27"/>
          <w:szCs w:val="27"/>
        </w:rPr>
        <w:t>资源的使用、非期望的运行影响、与用户假设的冲突以及其他约</w:t>
      </w:r>
      <w:r>
        <w:rPr>
          <w:rFonts w:ascii="宋体" w:hAnsi="宋体" w:eastAsia="宋体" w:cs="宋体"/>
          <w:spacing w:val="-5"/>
          <w:sz w:val="27"/>
          <w:szCs w:val="27"/>
        </w:rPr>
        <w:t>束条件。</w:t>
      </w:r>
    </w:p>
    <w:p w14:paraId="70FF3C3E">
      <w:pPr>
        <w:spacing w:before="1" w:line="220" w:lineRule="auto"/>
        <w:rPr>
          <w:rFonts w:ascii="黑体" w:hAnsi="黑体" w:eastAsia="黑体" w:cs="黑体"/>
          <w:sz w:val="27"/>
          <w:szCs w:val="27"/>
        </w:rPr>
      </w:pPr>
      <w:r>
        <w:rPr>
          <w:rFonts w:ascii="黑体" w:hAnsi="黑体" w:eastAsia="黑体" w:cs="黑体"/>
          <w:spacing w:val="4"/>
          <w:sz w:val="27"/>
          <w:szCs w:val="27"/>
        </w:rPr>
        <w:t>8.3  考虑的替代方案和权衡</w:t>
      </w:r>
    </w:p>
    <w:p w14:paraId="55858C25">
      <w:pPr>
        <w:spacing w:before="108" w:line="295" w:lineRule="auto"/>
        <w:ind w:right="82" w:firstLine="560"/>
        <w:rPr>
          <w:rFonts w:ascii="宋体" w:hAnsi="宋体" w:eastAsia="宋体" w:cs="宋体"/>
          <w:sz w:val="25"/>
          <w:szCs w:val="25"/>
        </w:rPr>
      </w:pPr>
      <w:r>
        <w:rPr>
          <w:rFonts w:ascii="宋体" w:hAnsi="宋体" w:eastAsia="宋体" w:cs="宋体"/>
          <w:spacing w:val="26"/>
          <w:sz w:val="25"/>
          <w:szCs w:val="25"/>
        </w:rPr>
        <w:t>本条应标识和描述对系统或其特性所考虑的主要</w:t>
      </w:r>
      <w:r>
        <w:rPr>
          <w:rFonts w:ascii="宋体" w:hAnsi="宋体" w:eastAsia="宋体" w:cs="宋体"/>
          <w:spacing w:val="25"/>
          <w:sz w:val="25"/>
          <w:szCs w:val="25"/>
        </w:rPr>
        <w:t>的替代方案、对这些方案</w:t>
      </w:r>
      <w:r>
        <w:rPr>
          <w:rFonts w:ascii="宋体" w:hAnsi="宋体" w:eastAsia="宋体" w:cs="宋体"/>
          <w:sz w:val="25"/>
          <w:szCs w:val="25"/>
        </w:rPr>
        <w:t xml:space="preserve"> </w:t>
      </w:r>
      <w:r>
        <w:rPr>
          <w:rFonts w:ascii="宋体" w:hAnsi="宋体" w:eastAsia="宋体" w:cs="宋体"/>
          <w:spacing w:val="21"/>
          <w:sz w:val="25"/>
          <w:szCs w:val="25"/>
        </w:rPr>
        <w:t>所做的权衡以及作出决策的依据。</w:t>
      </w:r>
    </w:p>
    <w:p w14:paraId="5F10C806">
      <w:pPr>
        <w:spacing w:before="1" w:line="221" w:lineRule="auto"/>
        <w:rPr>
          <w:rFonts w:ascii="黑体" w:hAnsi="黑体" w:eastAsia="黑体" w:cs="黑体"/>
          <w:sz w:val="24"/>
          <w:szCs w:val="24"/>
        </w:rPr>
      </w:pPr>
      <w:r>
        <w:rPr>
          <w:rFonts w:ascii="黑体" w:hAnsi="黑体" w:eastAsia="黑体" w:cs="黑体"/>
          <w:spacing w:val="-6"/>
          <w:sz w:val="24"/>
          <w:szCs w:val="24"/>
        </w:rPr>
        <w:t>9</w:t>
      </w:r>
      <w:r>
        <w:rPr>
          <w:rFonts w:ascii="黑体" w:hAnsi="黑体" w:eastAsia="黑体" w:cs="黑体"/>
          <w:spacing w:val="32"/>
          <w:sz w:val="24"/>
          <w:szCs w:val="24"/>
        </w:rPr>
        <w:t xml:space="preserve">  </w:t>
      </w:r>
      <w:r>
        <w:rPr>
          <w:rFonts w:ascii="黑体" w:hAnsi="黑体" w:eastAsia="黑体" w:cs="黑体"/>
          <w:spacing w:val="-6"/>
          <w:sz w:val="24"/>
          <w:szCs w:val="24"/>
        </w:rPr>
        <w:t>注</w:t>
      </w:r>
      <w:r>
        <w:rPr>
          <w:rFonts w:ascii="黑体" w:hAnsi="黑体" w:eastAsia="黑体" w:cs="黑体"/>
          <w:spacing w:val="-51"/>
          <w:sz w:val="24"/>
          <w:szCs w:val="24"/>
        </w:rPr>
        <w:t xml:space="preserve"> </w:t>
      </w:r>
      <w:r>
        <w:rPr>
          <w:rFonts w:ascii="黑体" w:hAnsi="黑体" w:eastAsia="黑体" w:cs="黑体"/>
          <w:spacing w:val="-6"/>
          <w:sz w:val="24"/>
          <w:szCs w:val="24"/>
        </w:rPr>
        <w:t>释</w:t>
      </w:r>
    </w:p>
    <w:p w14:paraId="0D76A9CF">
      <w:pPr>
        <w:spacing w:before="122" w:line="219" w:lineRule="auto"/>
        <w:ind w:left="560"/>
        <w:rPr>
          <w:rFonts w:ascii="宋体" w:hAnsi="宋体" w:eastAsia="宋体" w:cs="宋体"/>
          <w:sz w:val="27"/>
          <w:szCs w:val="27"/>
        </w:rPr>
      </w:pPr>
      <w:r>
        <w:rPr>
          <w:rFonts w:ascii="宋体" w:hAnsi="宋体" w:eastAsia="宋体" w:cs="宋体"/>
          <w:spacing w:val="-4"/>
          <w:sz w:val="27"/>
          <w:szCs w:val="27"/>
        </w:rPr>
        <w:t>本章应包括有助于了解文档的所有信息(例如背景、术语、缩略语或公式)。</w:t>
      </w:r>
    </w:p>
    <w:p w14:paraId="128C7E8C">
      <w:pPr>
        <w:pStyle w:val="2"/>
        <w:spacing w:line="341" w:lineRule="auto"/>
      </w:pPr>
    </w:p>
    <w:p w14:paraId="70F596CA">
      <w:pPr>
        <w:spacing w:before="117" w:line="219" w:lineRule="auto"/>
        <w:ind w:left="2500"/>
        <w:outlineLvl w:val="1"/>
        <w:rPr>
          <w:rFonts w:ascii="宋体" w:hAnsi="宋体" w:eastAsia="宋体" w:cs="宋体"/>
          <w:sz w:val="36"/>
          <w:szCs w:val="36"/>
        </w:rPr>
      </w:pPr>
      <w:bookmarkStart w:id="136" w:name="bookmark71"/>
      <w:bookmarkEnd w:id="136"/>
      <w:r>
        <w:rPr>
          <w:rFonts w:ascii="宋体" w:hAnsi="宋体" w:eastAsia="宋体" w:cs="宋体"/>
          <w:spacing w:val="3"/>
          <w:sz w:val="36"/>
          <w:szCs w:val="36"/>
        </w:rPr>
        <w:t xml:space="preserve">2.2  </w:t>
      </w:r>
      <w:r>
        <w:rPr>
          <w:rFonts w:ascii="宋体" w:hAnsi="宋体" w:eastAsia="宋体" w:cs="宋体"/>
          <w:b/>
          <w:bCs/>
          <w:spacing w:val="3"/>
          <w:sz w:val="36"/>
          <w:szCs w:val="36"/>
        </w:rPr>
        <w:t>系统/子系统规格说明</w:t>
      </w:r>
    </w:p>
    <w:p w14:paraId="23675002">
      <w:pPr>
        <w:pStyle w:val="2"/>
        <w:spacing w:line="318" w:lineRule="auto"/>
      </w:pPr>
    </w:p>
    <w:p w14:paraId="57ED2B83">
      <w:pPr>
        <w:spacing w:before="91" w:line="225"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rFonts w:ascii="宋体" w:hAnsi="宋体" w:eastAsia="宋体" w:cs="宋体"/>
          <w:spacing w:val="-10"/>
          <w:sz w:val="28"/>
          <w:szCs w:val="28"/>
        </w:rPr>
        <w:t>《</w:t>
      </w:r>
      <w:r>
        <w:rPr>
          <w:rFonts w:ascii="楷体" w:hAnsi="楷体" w:eastAsia="楷体" w:cs="楷体"/>
          <w:spacing w:val="-10"/>
          <w:sz w:val="28"/>
          <w:szCs w:val="28"/>
        </w:rPr>
        <w:t>军用软</w:t>
      </w:r>
      <w:r>
        <w:rPr>
          <w:rFonts w:ascii="楷体" w:hAnsi="楷体" w:eastAsia="楷体" w:cs="楷体"/>
          <w:spacing w:val="-11"/>
          <w:sz w:val="28"/>
          <w:szCs w:val="28"/>
        </w:rPr>
        <w:t>件开发文档通用要求》编写。</w:t>
      </w:r>
    </w:p>
    <w:p w14:paraId="6327A5C1">
      <w:pPr>
        <w:spacing w:before="73"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9"/>
          <w:sz w:val="27"/>
          <w:szCs w:val="27"/>
        </w:rPr>
        <w:t xml:space="preserve">  </w:t>
      </w:r>
      <w:r>
        <w:rPr>
          <w:rFonts w:ascii="黑体" w:hAnsi="黑体" w:eastAsia="黑体" w:cs="黑体"/>
          <w:spacing w:val="-6"/>
          <w:sz w:val="27"/>
          <w:szCs w:val="27"/>
        </w:rPr>
        <w:t>范围</w:t>
      </w:r>
    </w:p>
    <w:p w14:paraId="714C8D5E">
      <w:pPr>
        <w:spacing w:before="83" w:line="222" w:lineRule="auto"/>
        <w:rPr>
          <w:rFonts w:ascii="黑体" w:hAnsi="黑体" w:eastAsia="黑体" w:cs="黑体"/>
          <w:sz w:val="27"/>
          <w:szCs w:val="27"/>
        </w:rPr>
      </w:pPr>
      <w:r>
        <w:rPr>
          <w:rFonts w:ascii="黑体" w:hAnsi="黑体" w:eastAsia="黑体" w:cs="黑体"/>
          <w:spacing w:val="-10"/>
          <w:sz w:val="27"/>
          <w:szCs w:val="27"/>
        </w:rPr>
        <w:t>1.1</w:t>
      </w:r>
      <w:r>
        <w:rPr>
          <w:rFonts w:ascii="黑体" w:hAnsi="黑体" w:eastAsia="黑体" w:cs="黑体"/>
          <w:spacing w:val="25"/>
          <w:sz w:val="27"/>
          <w:szCs w:val="27"/>
        </w:rPr>
        <w:t xml:space="preserve">  </w:t>
      </w:r>
      <w:r>
        <w:rPr>
          <w:rFonts w:ascii="黑体" w:hAnsi="黑体" w:eastAsia="黑体" w:cs="黑体"/>
          <w:spacing w:val="-10"/>
          <w:sz w:val="27"/>
          <w:szCs w:val="27"/>
        </w:rPr>
        <w:t>标识</w:t>
      </w:r>
    </w:p>
    <w:p w14:paraId="21AFFB36">
      <w:pPr>
        <w:spacing w:before="85" w:line="282" w:lineRule="auto"/>
        <w:ind w:right="82" w:firstLine="560"/>
        <w:rPr>
          <w:rFonts w:ascii="宋体" w:hAnsi="宋体" w:eastAsia="宋体" w:cs="宋体"/>
          <w:sz w:val="27"/>
          <w:szCs w:val="27"/>
        </w:rPr>
      </w:pPr>
      <w:r>
        <w:rPr>
          <w:rFonts w:ascii="宋体" w:hAnsi="宋体" w:eastAsia="宋体" w:cs="宋体"/>
          <w:spacing w:val="-11"/>
          <w:sz w:val="27"/>
          <w:szCs w:val="27"/>
        </w:rPr>
        <w:t>本条应包含本文档适用的系统的完整标识，适用时，包括其标识号、名称、缩</w:t>
      </w:r>
      <w:r>
        <w:rPr>
          <w:rFonts w:ascii="宋体" w:hAnsi="宋体" w:eastAsia="宋体" w:cs="宋体"/>
          <w:spacing w:val="15"/>
          <w:sz w:val="27"/>
          <w:szCs w:val="27"/>
        </w:rPr>
        <w:t xml:space="preserve"> </w:t>
      </w:r>
      <w:r>
        <w:rPr>
          <w:rFonts w:ascii="宋体" w:hAnsi="宋体" w:eastAsia="宋体" w:cs="宋体"/>
          <w:spacing w:val="-12"/>
          <w:sz w:val="27"/>
          <w:szCs w:val="27"/>
        </w:rPr>
        <w:t>略名、版本号和发布号。</w:t>
      </w:r>
    </w:p>
    <w:p w14:paraId="48949662">
      <w:pPr>
        <w:spacing w:before="2" w:line="221" w:lineRule="auto"/>
        <w:rPr>
          <w:rFonts w:ascii="黑体" w:hAnsi="黑体" w:eastAsia="黑体" w:cs="黑体"/>
          <w:sz w:val="24"/>
          <w:szCs w:val="24"/>
        </w:rPr>
      </w:pPr>
      <w:r>
        <w:rPr>
          <w:rFonts w:ascii="黑体" w:hAnsi="黑体" w:eastAsia="黑体" w:cs="黑体"/>
          <w:spacing w:val="16"/>
          <w:sz w:val="24"/>
          <w:szCs w:val="24"/>
        </w:rPr>
        <w:t>1.2</w:t>
      </w:r>
      <w:r>
        <w:rPr>
          <w:rFonts w:ascii="黑体" w:hAnsi="黑体" w:eastAsia="黑体" w:cs="黑体"/>
          <w:spacing w:val="52"/>
          <w:sz w:val="24"/>
          <w:szCs w:val="24"/>
        </w:rPr>
        <w:t xml:space="preserve">  </w:t>
      </w:r>
      <w:r>
        <w:rPr>
          <w:rFonts w:ascii="黑体" w:hAnsi="黑体" w:eastAsia="黑体" w:cs="黑体"/>
          <w:spacing w:val="16"/>
          <w:sz w:val="24"/>
          <w:szCs w:val="24"/>
        </w:rPr>
        <w:t>系统概述</w:t>
      </w:r>
    </w:p>
    <w:p w14:paraId="2988B549">
      <w:pPr>
        <w:spacing w:before="124" w:line="219" w:lineRule="auto"/>
        <w:ind w:left="560"/>
        <w:rPr>
          <w:rFonts w:ascii="宋体" w:hAnsi="宋体" w:eastAsia="宋体" w:cs="宋体"/>
          <w:sz w:val="27"/>
          <w:szCs w:val="27"/>
        </w:rPr>
      </w:pPr>
      <w:r>
        <w:rPr>
          <w:rFonts w:ascii="宋体" w:hAnsi="宋体" w:eastAsia="宋体" w:cs="宋体"/>
          <w:spacing w:val="6"/>
          <w:sz w:val="27"/>
          <w:szCs w:val="27"/>
        </w:rPr>
        <w:t>本条应概述本文档所适用的系统的用途。它</w:t>
      </w:r>
      <w:r>
        <w:rPr>
          <w:rFonts w:ascii="宋体" w:hAnsi="宋体" w:eastAsia="宋体" w:cs="宋体"/>
          <w:spacing w:val="5"/>
          <w:sz w:val="27"/>
          <w:szCs w:val="27"/>
        </w:rPr>
        <w:t>还应描述系统的一般特性；概</w:t>
      </w:r>
    </w:p>
    <w:p w14:paraId="2F5A456F">
      <w:pPr>
        <w:spacing w:line="219" w:lineRule="auto"/>
        <w:rPr>
          <w:rFonts w:ascii="宋体" w:hAnsi="宋体" w:eastAsia="宋体" w:cs="宋体"/>
          <w:sz w:val="27"/>
          <w:szCs w:val="27"/>
        </w:rPr>
        <w:sectPr>
          <w:footerReference r:id="rId190" w:type="default"/>
          <w:pgSz w:w="11910" w:h="17130"/>
          <w:pgMar w:top="400" w:right="1325" w:bottom="1738" w:left="1120" w:header="0" w:footer="1495" w:gutter="0"/>
          <w:cols w:space="720" w:num="1"/>
        </w:sectPr>
      </w:pPr>
    </w:p>
    <w:p w14:paraId="7A74A5B8">
      <w:pPr>
        <w:pStyle w:val="2"/>
        <w:spacing w:line="318" w:lineRule="auto"/>
      </w:pPr>
    </w:p>
    <w:p w14:paraId="76AF6299">
      <w:pPr>
        <w:pStyle w:val="2"/>
        <w:spacing w:line="318" w:lineRule="auto"/>
      </w:pPr>
    </w:p>
    <w:p w14:paraId="2E6037C8">
      <w:pPr>
        <w:pStyle w:val="2"/>
        <w:spacing w:line="319" w:lineRule="auto"/>
      </w:pPr>
    </w:p>
    <w:p w14:paraId="4A31B103">
      <w:pPr>
        <w:spacing w:before="88" w:line="289" w:lineRule="auto"/>
        <w:rPr>
          <w:rFonts w:ascii="宋体" w:hAnsi="宋体" w:eastAsia="宋体" w:cs="宋体"/>
          <w:sz w:val="27"/>
          <w:szCs w:val="27"/>
        </w:rPr>
      </w:pPr>
      <w:r>
        <w:rPr>
          <w:rFonts w:ascii="宋体" w:hAnsi="宋体" w:eastAsia="宋体" w:cs="宋体"/>
          <w:spacing w:val="-7"/>
          <w:sz w:val="27"/>
          <w:szCs w:val="27"/>
        </w:rPr>
        <w:t>述系统开发、运行和维护的历史；标识项目的需方、用户、开发方和保障机构等；</w:t>
      </w:r>
      <w:r>
        <w:rPr>
          <w:rFonts w:ascii="宋体" w:hAnsi="宋体" w:eastAsia="宋体" w:cs="宋体"/>
          <w:spacing w:val="16"/>
          <w:sz w:val="27"/>
          <w:szCs w:val="27"/>
        </w:rPr>
        <w:t xml:space="preserve"> </w:t>
      </w:r>
      <w:r>
        <w:rPr>
          <w:rFonts w:ascii="宋体" w:hAnsi="宋体" w:eastAsia="宋体" w:cs="宋体"/>
          <w:spacing w:val="-3"/>
          <w:sz w:val="27"/>
          <w:szCs w:val="27"/>
        </w:rPr>
        <w:t>标识当前和计划的运行现场；列出其他有关文档。</w:t>
      </w:r>
    </w:p>
    <w:p w14:paraId="7D027E8B">
      <w:pPr>
        <w:spacing w:before="1" w:line="220" w:lineRule="auto"/>
        <w:rPr>
          <w:rFonts w:ascii="黑体" w:hAnsi="黑体" w:eastAsia="黑体" w:cs="黑体"/>
          <w:sz w:val="25"/>
          <w:szCs w:val="25"/>
        </w:rPr>
      </w:pPr>
      <w:r>
        <w:rPr>
          <w:rFonts w:ascii="黑体" w:hAnsi="黑体" w:eastAsia="黑体" w:cs="黑体"/>
          <w:spacing w:val="8"/>
          <w:sz w:val="25"/>
          <w:szCs w:val="25"/>
        </w:rPr>
        <w:t>1.3</w:t>
      </w:r>
      <w:r>
        <w:rPr>
          <w:rFonts w:ascii="黑体" w:hAnsi="黑体" w:eastAsia="黑体" w:cs="黑体"/>
          <w:spacing w:val="46"/>
          <w:sz w:val="25"/>
          <w:szCs w:val="25"/>
        </w:rPr>
        <w:t xml:space="preserve">  </w:t>
      </w:r>
      <w:r>
        <w:rPr>
          <w:rFonts w:ascii="黑体" w:hAnsi="黑体" w:eastAsia="黑体" w:cs="黑体"/>
          <w:b/>
          <w:bCs/>
          <w:spacing w:val="8"/>
          <w:sz w:val="25"/>
          <w:szCs w:val="25"/>
        </w:rPr>
        <w:t>文档概述</w:t>
      </w:r>
    </w:p>
    <w:p w14:paraId="368439AE">
      <w:pPr>
        <w:spacing w:before="57" w:line="299" w:lineRule="auto"/>
        <w:ind w:right="84" w:firstLine="560"/>
        <w:rPr>
          <w:rFonts w:ascii="宋体" w:hAnsi="宋体" w:eastAsia="宋体" w:cs="宋体"/>
          <w:sz w:val="27"/>
          <w:szCs w:val="27"/>
        </w:rPr>
      </w:pPr>
      <w:r>
        <w:rPr>
          <w:rFonts w:ascii="宋体" w:hAnsi="宋体" w:eastAsia="宋体" w:cs="宋体"/>
          <w:spacing w:val="6"/>
          <w:sz w:val="27"/>
          <w:szCs w:val="27"/>
        </w:rPr>
        <w:t>本条应概述本文档的用途和内容，并描述与它的使用有关的保密性方面的</w:t>
      </w:r>
      <w:r>
        <w:rPr>
          <w:rFonts w:ascii="宋体" w:hAnsi="宋体" w:eastAsia="宋体" w:cs="宋体"/>
          <w:spacing w:val="8"/>
          <w:sz w:val="27"/>
          <w:szCs w:val="27"/>
        </w:rPr>
        <w:t xml:space="preserve"> </w:t>
      </w:r>
      <w:r>
        <w:rPr>
          <w:rFonts w:ascii="宋体" w:hAnsi="宋体" w:eastAsia="宋体" w:cs="宋体"/>
          <w:spacing w:val="-2"/>
          <w:sz w:val="27"/>
          <w:szCs w:val="27"/>
        </w:rPr>
        <w:t>要求。</w:t>
      </w:r>
    </w:p>
    <w:p w14:paraId="1599EF00">
      <w:pPr>
        <w:spacing w:line="221" w:lineRule="auto"/>
        <w:rPr>
          <w:rFonts w:ascii="黑体" w:hAnsi="黑体" w:eastAsia="黑体" w:cs="黑体"/>
          <w:sz w:val="24"/>
          <w:szCs w:val="24"/>
        </w:rPr>
      </w:pPr>
      <w:r>
        <w:rPr>
          <w:rFonts w:ascii="黑体" w:hAnsi="黑体" w:eastAsia="黑体" w:cs="黑体"/>
          <w:spacing w:val="23"/>
          <w:sz w:val="24"/>
          <w:szCs w:val="24"/>
        </w:rPr>
        <w:t>2</w:t>
      </w:r>
      <w:r>
        <w:rPr>
          <w:rFonts w:ascii="黑体" w:hAnsi="黑体" w:eastAsia="黑体" w:cs="黑体"/>
          <w:spacing w:val="40"/>
          <w:sz w:val="24"/>
          <w:szCs w:val="24"/>
        </w:rPr>
        <w:t xml:space="preserve">  </w:t>
      </w:r>
      <w:r>
        <w:rPr>
          <w:rFonts w:ascii="黑体" w:hAnsi="黑体" w:eastAsia="黑体" w:cs="黑体"/>
          <w:b/>
          <w:bCs/>
          <w:spacing w:val="23"/>
          <w:sz w:val="24"/>
          <w:szCs w:val="24"/>
        </w:rPr>
        <w:t>引用文档</w:t>
      </w:r>
    </w:p>
    <w:p w14:paraId="4E377704">
      <w:pPr>
        <w:spacing w:before="86" w:line="286" w:lineRule="auto"/>
        <w:ind w:right="91" w:firstLine="560"/>
        <w:rPr>
          <w:rFonts w:ascii="宋体" w:hAnsi="宋体" w:eastAsia="宋体" w:cs="宋体"/>
          <w:sz w:val="27"/>
          <w:szCs w:val="27"/>
        </w:rPr>
      </w:pPr>
      <w:r>
        <w:rPr>
          <w:rFonts w:ascii="宋体" w:hAnsi="宋体" w:eastAsia="宋体" w:cs="宋体"/>
          <w:spacing w:val="-10"/>
          <w:sz w:val="27"/>
          <w:szCs w:val="27"/>
        </w:rPr>
        <w:t>本章应列出引用文档的编号、标题、编写单位、修订版及日</w:t>
      </w:r>
      <w:r>
        <w:rPr>
          <w:rFonts w:ascii="宋体" w:hAnsi="宋体" w:eastAsia="宋体" w:cs="宋体"/>
          <w:spacing w:val="-11"/>
          <w:sz w:val="27"/>
          <w:szCs w:val="27"/>
        </w:rPr>
        <w:t>期，还应标识不能</w:t>
      </w:r>
      <w:r>
        <w:rPr>
          <w:rFonts w:ascii="宋体" w:hAnsi="宋体" w:eastAsia="宋体" w:cs="宋体"/>
          <w:sz w:val="27"/>
          <w:szCs w:val="27"/>
        </w:rPr>
        <w:t xml:space="preserve"> </w:t>
      </w:r>
      <w:r>
        <w:rPr>
          <w:rFonts w:ascii="宋体" w:hAnsi="宋体" w:eastAsia="宋体" w:cs="宋体"/>
          <w:spacing w:val="3"/>
          <w:sz w:val="27"/>
          <w:szCs w:val="27"/>
        </w:rPr>
        <w:t>通过正常采购活动得到的文档的来源。</w:t>
      </w:r>
    </w:p>
    <w:p w14:paraId="32EA5DDE">
      <w:pPr>
        <w:spacing w:line="223" w:lineRule="auto"/>
        <w:rPr>
          <w:rFonts w:ascii="黑体" w:hAnsi="黑体" w:eastAsia="黑体" w:cs="黑体"/>
          <w:sz w:val="24"/>
          <w:szCs w:val="24"/>
        </w:rPr>
      </w:pPr>
      <w:r>
        <w:rPr>
          <w:rFonts w:ascii="黑体" w:hAnsi="黑体" w:eastAsia="黑体" w:cs="黑体"/>
          <w:spacing w:val="-11"/>
          <w:sz w:val="24"/>
          <w:szCs w:val="24"/>
        </w:rPr>
        <w:t>3</w:t>
      </w:r>
      <w:r>
        <w:rPr>
          <w:rFonts w:ascii="黑体" w:hAnsi="黑体" w:eastAsia="黑体" w:cs="黑体"/>
          <w:spacing w:val="41"/>
          <w:sz w:val="24"/>
          <w:szCs w:val="24"/>
        </w:rPr>
        <w:t xml:space="preserve">  </w:t>
      </w:r>
      <w:r>
        <w:rPr>
          <w:rFonts w:ascii="黑体" w:hAnsi="黑体" w:eastAsia="黑体" w:cs="黑体"/>
          <w:b/>
          <w:bCs/>
          <w:spacing w:val="-11"/>
          <w:sz w:val="24"/>
          <w:szCs w:val="24"/>
        </w:rPr>
        <w:t>需</w:t>
      </w:r>
      <w:r>
        <w:rPr>
          <w:rFonts w:ascii="黑体" w:hAnsi="黑体" w:eastAsia="黑体" w:cs="黑体"/>
          <w:spacing w:val="-24"/>
          <w:sz w:val="24"/>
          <w:szCs w:val="24"/>
        </w:rPr>
        <w:t xml:space="preserve"> </w:t>
      </w:r>
      <w:r>
        <w:rPr>
          <w:rFonts w:ascii="黑体" w:hAnsi="黑体" w:eastAsia="黑体" w:cs="黑体"/>
          <w:b/>
          <w:bCs/>
          <w:spacing w:val="-11"/>
          <w:sz w:val="24"/>
          <w:szCs w:val="24"/>
        </w:rPr>
        <w:t>求</w:t>
      </w:r>
    </w:p>
    <w:p w14:paraId="0909AFC8">
      <w:pPr>
        <w:spacing w:before="98" w:line="221" w:lineRule="auto"/>
        <w:rPr>
          <w:rFonts w:ascii="黑体" w:hAnsi="黑体" w:eastAsia="黑体" w:cs="黑体"/>
          <w:sz w:val="27"/>
          <w:szCs w:val="27"/>
        </w:rPr>
      </w:pPr>
      <w:r>
        <w:rPr>
          <w:rFonts w:ascii="黑体" w:hAnsi="黑体" w:eastAsia="黑体" w:cs="黑体"/>
          <w:sz w:val="27"/>
          <w:szCs w:val="27"/>
        </w:rPr>
        <w:t>3.1</w:t>
      </w:r>
      <w:r>
        <w:rPr>
          <w:rFonts w:ascii="黑体" w:hAnsi="黑体" w:eastAsia="黑体" w:cs="黑体"/>
          <w:spacing w:val="24"/>
          <w:sz w:val="27"/>
          <w:szCs w:val="27"/>
        </w:rPr>
        <w:t xml:space="preserve">  </w:t>
      </w:r>
      <w:r>
        <w:rPr>
          <w:rFonts w:ascii="黑体" w:hAnsi="黑体" w:eastAsia="黑体" w:cs="黑体"/>
          <w:b/>
          <w:bCs/>
          <w:sz w:val="27"/>
          <w:szCs w:val="27"/>
        </w:rPr>
        <w:t>要求的状态和方式</w:t>
      </w:r>
    </w:p>
    <w:p w14:paraId="1947B3E5">
      <w:pPr>
        <w:spacing w:before="106" w:line="277" w:lineRule="auto"/>
        <w:ind w:firstLine="560"/>
        <w:jc w:val="both"/>
        <w:rPr>
          <w:rFonts w:ascii="宋体" w:hAnsi="宋体" w:eastAsia="宋体" w:cs="宋体"/>
          <w:sz w:val="27"/>
          <w:szCs w:val="27"/>
        </w:rPr>
      </w:pPr>
      <w:r>
        <w:rPr>
          <w:rFonts w:ascii="宋体" w:hAnsi="宋体" w:eastAsia="宋体" w:cs="宋体"/>
          <w:spacing w:val="5"/>
          <w:sz w:val="27"/>
          <w:szCs w:val="27"/>
        </w:rPr>
        <w:t>如果要求系统在多种状态或方式下运行，并且不同的状态或方式具有不同</w:t>
      </w:r>
      <w:r>
        <w:rPr>
          <w:rFonts w:ascii="宋体" w:hAnsi="宋体" w:eastAsia="宋体" w:cs="宋体"/>
          <w:spacing w:val="13"/>
          <w:sz w:val="27"/>
          <w:szCs w:val="27"/>
        </w:rPr>
        <w:t xml:space="preserve"> </w:t>
      </w:r>
      <w:r>
        <w:rPr>
          <w:rFonts w:ascii="宋体" w:hAnsi="宋体" w:eastAsia="宋体" w:cs="宋体"/>
          <w:spacing w:val="-7"/>
          <w:sz w:val="27"/>
          <w:szCs w:val="27"/>
        </w:rPr>
        <w:t>的需求，则应标识和定义每一状态和方式。状态和方式的例子包括：空闲、就绪、</w:t>
      </w:r>
      <w:r>
        <w:rPr>
          <w:rFonts w:ascii="宋体" w:hAnsi="宋体" w:eastAsia="宋体" w:cs="宋体"/>
          <w:spacing w:val="16"/>
          <w:sz w:val="27"/>
          <w:szCs w:val="27"/>
        </w:rPr>
        <w:t xml:space="preserve"> </w:t>
      </w:r>
      <w:r>
        <w:rPr>
          <w:rFonts w:ascii="宋体" w:hAnsi="宋体" w:eastAsia="宋体" w:cs="宋体"/>
          <w:spacing w:val="-17"/>
          <w:sz w:val="27"/>
          <w:szCs w:val="27"/>
        </w:rPr>
        <w:t>活动、事后分析、训练、降级、紧急情况、后备、战时和平时等。可以仅用状</w:t>
      </w:r>
      <w:r>
        <w:rPr>
          <w:rFonts w:ascii="宋体" w:hAnsi="宋体" w:eastAsia="宋体" w:cs="宋体"/>
          <w:spacing w:val="-18"/>
          <w:sz w:val="27"/>
          <w:szCs w:val="27"/>
        </w:rPr>
        <w:t>态描述</w:t>
      </w:r>
      <w:r>
        <w:rPr>
          <w:rFonts w:ascii="宋体" w:hAnsi="宋体" w:eastAsia="宋体" w:cs="宋体"/>
          <w:sz w:val="27"/>
          <w:szCs w:val="27"/>
        </w:rPr>
        <w:t xml:space="preserve">  </w:t>
      </w:r>
      <w:r>
        <w:rPr>
          <w:rFonts w:ascii="宋体" w:hAnsi="宋体" w:eastAsia="宋体" w:cs="宋体"/>
          <w:spacing w:val="-10"/>
          <w:sz w:val="27"/>
          <w:szCs w:val="27"/>
        </w:rPr>
        <w:t>系统，也可以仅用方式、或用方式中的状态、状态中的方式、或其他有效的方式描</w:t>
      </w:r>
      <w:r>
        <w:rPr>
          <w:rFonts w:ascii="宋体" w:hAnsi="宋体" w:eastAsia="宋体" w:cs="宋体"/>
          <w:spacing w:val="1"/>
          <w:sz w:val="27"/>
          <w:szCs w:val="27"/>
        </w:rPr>
        <w:t xml:space="preserve">  述系统。如果不需要多种状态和方式，应如实陈述，而不需要进行人为的区分；</w:t>
      </w:r>
      <w:r>
        <w:rPr>
          <w:rFonts w:ascii="宋体" w:hAnsi="宋体" w:eastAsia="宋体" w:cs="宋体"/>
          <w:sz w:val="27"/>
          <w:szCs w:val="27"/>
        </w:rPr>
        <w:t xml:space="preserve"> </w:t>
      </w:r>
      <w:r>
        <w:rPr>
          <w:rFonts w:ascii="宋体" w:hAnsi="宋体" w:eastAsia="宋体" w:cs="宋体"/>
          <w:spacing w:val="1"/>
          <w:sz w:val="27"/>
          <w:szCs w:val="27"/>
        </w:rPr>
        <w:t>如果需要多种状态和/或方式，应使本规格说明中的每个需求或每组需求与这些</w:t>
      </w:r>
      <w:r>
        <w:rPr>
          <w:rFonts w:ascii="宋体" w:hAnsi="宋体" w:eastAsia="宋体" w:cs="宋体"/>
          <w:spacing w:val="6"/>
          <w:sz w:val="27"/>
          <w:szCs w:val="27"/>
        </w:rPr>
        <w:t xml:space="preserve">  </w:t>
      </w:r>
      <w:r>
        <w:rPr>
          <w:rFonts w:ascii="宋体" w:hAnsi="宋体" w:eastAsia="宋体" w:cs="宋体"/>
          <w:spacing w:val="-3"/>
          <w:sz w:val="27"/>
          <w:szCs w:val="27"/>
        </w:rPr>
        <w:t>状态和方式相对应，对应关系可以在本条或本条所引用的附录中，通过表格或通</w:t>
      </w:r>
      <w:r>
        <w:rPr>
          <w:rFonts w:ascii="宋体" w:hAnsi="宋体" w:eastAsia="宋体" w:cs="宋体"/>
          <w:spacing w:val="7"/>
          <w:sz w:val="27"/>
          <w:szCs w:val="27"/>
        </w:rPr>
        <w:t xml:space="preserve">  </w:t>
      </w:r>
      <w:r>
        <w:rPr>
          <w:rFonts w:ascii="宋体" w:hAnsi="宋体" w:eastAsia="宋体" w:cs="宋体"/>
          <w:spacing w:val="-1"/>
          <w:sz w:val="27"/>
          <w:szCs w:val="27"/>
        </w:rPr>
        <w:t>过其他方式加以指明，也可以在该需求出现的章条中加以说明。</w:t>
      </w:r>
    </w:p>
    <w:p w14:paraId="6139055C">
      <w:pPr>
        <w:spacing w:before="1" w:line="220" w:lineRule="auto"/>
        <w:rPr>
          <w:rFonts w:ascii="黑体" w:hAnsi="黑体" w:eastAsia="黑体" w:cs="黑体"/>
          <w:sz w:val="27"/>
          <w:szCs w:val="27"/>
        </w:rPr>
      </w:pPr>
      <w:r>
        <w:rPr>
          <w:rFonts w:ascii="黑体" w:hAnsi="黑体" w:eastAsia="黑体" w:cs="黑体"/>
          <w:spacing w:val="-3"/>
          <w:sz w:val="27"/>
          <w:szCs w:val="27"/>
        </w:rPr>
        <w:t>3.2</w:t>
      </w:r>
      <w:r>
        <w:rPr>
          <w:rFonts w:ascii="黑体" w:hAnsi="黑体" w:eastAsia="黑体" w:cs="黑体"/>
          <w:spacing w:val="17"/>
          <w:sz w:val="27"/>
          <w:szCs w:val="27"/>
        </w:rPr>
        <w:t xml:space="preserve">  </w:t>
      </w:r>
      <w:r>
        <w:rPr>
          <w:rFonts w:ascii="黑体" w:hAnsi="黑体" w:eastAsia="黑体" w:cs="黑体"/>
          <w:b/>
          <w:bCs/>
          <w:spacing w:val="-3"/>
          <w:sz w:val="27"/>
          <w:szCs w:val="27"/>
        </w:rPr>
        <w:t>系统能力需求</w:t>
      </w:r>
    </w:p>
    <w:p w14:paraId="125FA734">
      <w:pPr>
        <w:spacing w:before="103" w:line="272" w:lineRule="auto"/>
        <w:ind w:right="124" w:firstLine="560"/>
        <w:jc w:val="both"/>
        <w:rPr>
          <w:rFonts w:ascii="宋体" w:hAnsi="宋体" w:eastAsia="宋体" w:cs="宋体"/>
          <w:sz w:val="27"/>
          <w:szCs w:val="27"/>
        </w:rPr>
      </w:pPr>
      <w:r>
        <w:rPr>
          <w:rFonts w:ascii="宋体" w:hAnsi="宋体" w:eastAsia="宋体" w:cs="宋体"/>
          <w:spacing w:val="-4"/>
          <w:sz w:val="27"/>
          <w:szCs w:val="27"/>
        </w:rPr>
        <w:t>为详细说明与系统各个能力相关的需求，本条可分为若干子条。“系统能力</w:t>
      </w:r>
      <w:r>
        <w:rPr>
          <w:rFonts w:ascii="宋体" w:hAnsi="宋体" w:eastAsia="宋体" w:cs="宋体"/>
          <w:spacing w:val="14"/>
          <w:sz w:val="27"/>
          <w:szCs w:val="27"/>
        </w:rPr>
        <w:t xml:space="preserve"> </w:t>
      </w:r>
      <w:r>
        <w:rPr>
          <w:rFonts w:ascii="宋体" w:hAnsi="宋体" w:eastAsia="宋体" w:cs="宋体"/>
          <w:spacing w:val="-36"/>
          <w:sz w:val="27"/>
          <w:szCs w:val="27"/>
        </w:rPr>
        <w:t>需求”中的“能力”为一组相关需求，可用“功能”、“主题”、“目标”或其他适合表示</w:t>
      </w:r>
      <w:r>
        <w:rPr>
          <w:rFonts w:ascii="宋体" w:hAnsi="宋体" w:eastAsia="宋体" w:cs="宋体"/>
          <w:sz w:val="27"/>
          <w:szCs w:val="27"/>
        </w:rPr>
        <w:t xml:space="preserve"> </w:t>
      </w:r>
      <w:r>
        <w:rPr>
          <w:rFonts w:ascii="宋体" w:hAnsi="宋体" w:eastAsia="宋体" w:cs="宋体"/>
          <w:spacing w:val="3"/>
          <w:sz w:val="27"/>
          <w:szCs w:val="27"/>
        </w:rPr>
        <w:t>需求的词替代。</w:t>
      </w:r>
    </w:p>
    <w:p w14:paraId="2745F8FD">
      <w:pPr>
        <w:spacing w:line="212" w:lineRule="auto"/>
        <w:ind w:left="3"/>
        <w:rPr>
          <w:rFonts w:ascii="黑体" w:hAnsi="黑体" w:eastAsia="黑体" w:cs="黑体"/>
          <w:sz w:val="27"/>
          <w:szCs w:val="27"/>
        </w:rPr>
      </w:pPr>
      <w:r>
        <w:rPr>
          <w:rFonts w:ascii="黑体" w:hAnsi="黑体" w:eastAsia="黑体" w:cs="黑体"/>
          <w:b/>
          <w:bCs/>
          <w:spacing w:val="-1"/>
          <w:sz w:val="27"/>
          <w:szCs w:val="27"/>
        </w:rPr>
        <w:t>3.2.</w:t>
      </w:r>
      <w:r>
        <w:rPr>
          <w:rFonts w:ascii="Times New Roman" w:hAnsi="Times New Roman" w:eastAsia="Times New Roman" w:cs="Times New Roman"/>
          <w:b/>
          <w:bCs/>
          <w:spacing w:val="-1"/>
          <w:sz w:val="27"/>
          <w:szCs w:val="27"/>
        </w:rPr>
        <w:t>X</w:t>
      </w:r>
      <w:r>
        <w:rPr>
          <w:rFonts w:ascii="Times New Roman" w:hAnsi="Times New Roman" w:eastAsia="Times New Roman" w:cs="Times New Roman"/>
          <w:b/>
          <w:bCs/>
          <w:spacing w:val="11"/>
          <w:sz w:val="27"/>
          <w:szCs w:val="27"/>
        </w:rPr>
        <w:t xml:space="preserve">    </w:t>
      </w:r>
      <w:r>
        <w:rPr>
          <w:rFonts w:ascii="Times New Roman" w:hAnsi="Times New Roman" w:eastAsia="Times New Roman" w:cs="Times New Roman"/>
          <w:b/>
          <w:bCs/>
          <w:spacing w:val="-1"/>
          <w:sz w:val="27"/>
          <w:szCs w:val="27"/>
        </w:rPr>
        <w:t xml:space="preserve">( </w:t>
      </w:r>
      <w:r>
        <w:rPr>
          <w:rFonts w:ascii="黑体" w:hAnsi="黑体" w:eastAsia="黑体" w:cs="黑体"/>
          <w:b/>
          <w:bCs/>
          <w:spacing w:val="-1"/>
          <w:sz w:val="27"/>
          <w:szCs w:val="27"/>
        </w:rPr>
        <w:t>系统能力)</w:t>
      </w:r>
    </w:p>
    <w:p w14:paraId="31694B01">
      <w:pPr>
        <w:spacing w:before="134" w:line="279" w:lineRule="auto"/>
        <w:ind w:right="88" w:firstLine="560"/>
        <w:jc w:val="both"/>
        <w:rPr>
          <w:rFonts w:ascii="宋体" w:hAnsi="宋体" w:eastAsia="宋体" w:cs="宋体"/>
          <w:sz w:val="27"/>
          <w:szCs w:val="27"/>
        </w:rPr>
      </w:pPr>
      <w:r>
        <w:rPr>
          <w:rFonts w:ascii="宋体" w:hAnsi="宋体" w:eastAsia="宋体" w:cs="宋体"/>
          <w:spacing w:val="6"/>
          <w:sz w:val="27"/>
          <w:szCs w:val="27"/>
        </w:rPr>
        <w:t>本条应标识必需的每一系统能力，并详细说明与该能力有关的需求。如果</w:t>
      </w:r>
      <w:r>
        <w:rPr>
          <w:rFonts w:ascii="宋体" w:hAnsi="宋体" w:eastAsia="宋体" w:cs="宋体"/>
          <w:spacing w:val="3"/>
          <w:sz w:val="27"/>
          <w:szCs w:val="27"/>
        </w:rPr>
        <w:t xml:space="preserve"> </w:t>
      </w:r>
      <w:r>
        <w:rPr>
          <w:rFonts w:ascii="宋体" w:hAnsi="宋体" w:eastAsia="宋体" w:cs="宋体"/>
          <w:spacing w:val="5"/>
          <w:sz w:val="27"/>
          <w:szCs w:val="27"/>
        </w:rPr>
        <w:t>系统能力可以更清晰地分解成若干子能力，则应分条对子能力进行说明。该需</w:t>
      </w:r>
      <w:r>
        <w:rPr>
          <w:rFonts w:ascii="宋体" w:hAnsi="宋体" w:eastAsia="宋体" w:cs="宋体"/>
          <w:spacing w:val="15"/>
          <w:sz w:val="27"/>
          <w:szCs w:val="27"/>
        </w:rPr>
        <w:t xml:space="preserve"> </w:t>
      </w:r>
      <w:r>
        <w:rPr>
          <w:rFonts w:ascii="宋体" w:hAnsi="宋体" w:eastAsia="宋体" w:cs="宋体"/>
          <w:spacing w:val="-10"/>
          <w:sz w:val="27"/>
          <w:szCs w:val="27"/>
        </w:rPr>
        <w:t>求应指出所需的系统行为，包括适用的参数，如响应时间、吞吐时间、其他时限约</w:t>
      </w:r>
      <w:r>
        <w:rPr>
          <w:rFonts w:ascii="宋体" w:hAnsi="宋体" w:eastAsia="宋体" w:cs="宋体"/>
          <w:spacing w:val="12"/>
          <w:sz w:val="27"/>
          <w:szCs w:val="27"/>
        </w:rPr>
        <w:t xml:space="preserve"> </w:t>
      </w:r>
      <w:r>
        <w:rPr>
          <w:rFonts w:ascii="宋体" w:hAnsi="宋体" w:eastAsia="宋体" w:cs="宋体"/>
          <w:spacing w:val="-10"/>
          <w:sz w:val="27"/>
          <w:szCs w:val="27"/>
        </w:rPr>
        <w:t>束、时序、准确性、容量、优先级别、连续运行需求和在基本运行条件下允许的偏</w:t>
      </w:r>
      <w:r>
        <w:rPr>
          <w:rFonts w:ascii="宋体" w:hAnsi="宋体" w:eastAsia="宋体" w:cs="宋体"/>
          <w:spacing w:val="3"/>
          <w:sz w:val="27"/>
          <w:szCs w:val="27"/>
        </w:rPr>
        <w:t xml:space="preserve"> </w:t>
      </w:r>
      <w:r>
        <w:rPr>
          <w:rFonts w:ascii="宋体" w:hAnsi="宋体" w:eastAsia="宋体" w:cs="宋体"/>
          <w:spacing w:val="-10"/>
          <w:sz w:val="27"/>
          <w:szCs w:val="27"/>
        </w:rPr>
        <w:t>差；适当时，需求还应包括在异常条件、非许可条件或超限条件下所需的行为，错</w:t>
      </w:r>
      <w:r>
        <w:rPr>
          <w:rFonts w:ascii="宋体" w:hAnsi="宋体" w:eastAsia="宋体" w:cs="宋体"/>
          <w:sz w:val="27"/>
          <w:szCs w:val="27"/>
        </w:rPr>
        <w:t xml:space="preserve"> </w:t>
      </w:r>
      <w:r>
        <w:rPr>
          <w:rFonts w:ascii="宋体" w:hAnsi="宋体" w:eastAsia="宋体" w:cs="宋体"/>
          <w:spacing w:val="5"/>
          <w:sz w:val="27"/>
          <w:szCs w:val="27"/>
        </w:rPr>
        <w:t>误处理需求和任何为保证在紧急时刻运行的连续性而引入到系统中的规定。在</w:t>
      </w:r>
      <w:r>
        <w:rPr>
          <w:rFonts w:ascii="宋体" w:hAnsi="宋体" w:eastAsia="宋体" w:cs="宋体"/>
          <w:spacing w:val="13"/>
          <w:sz w:val="27"/>
          <w:szCs w:val="27"/>
        </w:rPr>
        <w:t xml:space="preserve"> </w:t>
      </w:r>
      <w:r>
        <w:rPr>
          <w:rFonts w:ascii="宋体" w:hAnsi="宋体" w:eastAsia="宋体" w:cs="宋体"/>
          <w:spacing w:val="7"/>
          <w:sz w:val="27"/>
          <w:szCs w:val="27"/>
        </w:rPr>
        <w:t>确定与系统所接收的输入和系统所产生的输出有</w:t>
      </w:r>
      <w:r>
        <w:rPr>
          <w:rFonts w:ascii="宋体" w:hAnsi="宋体" w:eastAsia="宋体" w:cs="宋体"/>
          <w:spacing w:val="6"/>
          <w:sz w:val="27"/>
          <w:szCs w:val="27"/>
        </w:rPr>
        <w:t>关的需求时，应考虑在3.3.</w:t>
      </w:r>
      <w:r>
        <w:rPr>
          <w:rFonts w:ascii="Times New Roman" w:hAnsi="Times New Roman" w:eastAsia="Times New Roman" w:cs="Times New Roman"/>
          <w:spacing w:val="6"/>
          <w:sz w:val="27"/>
          <w:szCs w:val="27"/>
        </w:rPr>
        <w:t>X</w:t>
      </w:r>
      <w:r>
        <w:rPr>
          <w:rFonts w:ascii="Times New Roman" w:hAnsi="Times New Roman" w:eastAsia="Times New Roman" w:cs="Times New Roman"/>
          <w:sz w:val="27"/>
          <w:szCs w:val="27"/>
        </w:rPr>
        <w:t xml:space="preserve">  </w:t>
      </w:r>
      <w:r>
        <w:rPr>
          <w:rFonts w:ascii="宋体" w:hAnsi="宋体" w:eastAsia="宋体" w:cs="宋体"/>
          <w:spacing w:val="2"/>
          <w:sz w:val="27"/>
          <w:szCs w:val="27"/>
        </w:rPr>
        <w:t>给出的要考虑的主题列表。</w:t>
      </w:r>
    </w:p>
    <w:p w14:paraId="0C2B89D1">
      <w:pPr>
        <w:pStyle w:val="2"/>
        <w:spacing w:before="32" w:line="221" w:lineRule="auto"/>
        <w:rPr>
          <w:rFonts w:ascii="黑体" w:hAnsi="黑体" w:eastAsia="黑体" w:cs="黑体"/>
          <w:sz w:val="24"/>
          <w:szCs w:val="24"/>
        </w:rPr>
      </w:pPr>
      <w:r>
        <w:rPr>
          <w:b/>
          <w:bCs/>
          <w:spacing w:val="20"/>
          <w:sz w:val="24"/>
          <w:szCs w:val="24"/>
        </w:rPr>
        <w:t>3.3</w:t>
      </w:r>
      <w:r>
        <w:rPr>
          <w:b/>
          <w:bCs/>
          <w:spacing w:val="8"/>
          <w:sz w:val="24"/>
          <w:szCs w:val="24"/>
        </w:rPr>
        <w:t xml:space="preserve">     </w:t>
      </w:r>
      <w:r>
        <w:rPr>
          <w:rFonts w:ascii="黑体" w:hAnsi="黑体" w:eastAsia="黑体" w:cs="黑体"/>
          <w:b/>
          <w:bCs/>
          <w:spacing w:val="20"/>
          <w:sz w:val="24"/>
          <w:szCs w:val="24"/>
        </w:rPr>
        <w:t>系统外部接口需求</w:t>
      </w:r>
    </w:p>
    <w:p w14:paraId="60EFDC53">
      <w:pPr>
        <w:spacing w:before="95" w:line="222" w:lineRule="auto"/>
        <w:rPr>
          <w:rFonts w:ascii="黑体" w:hAnsi="黑体" w:eastAsia="黑体" w:cs="黑体"/>
          <w:sz w:val="27"/>
          <w:szCs w:val="27"/>
        </w:rPr>
      </w:pPr>
      <w:r>
        <w:rPr>
          <w:rFonts w:ascii="黑体" w:hAnsi="黑体" w:eastAsia="黑体" w:cs="黑体"/>
          <w:sz w:val="27"/>
          <w:szCs w:val="27"/>
        </w:rPr>
        <w:t>3.3.1</w:t>
      </w:r>
      <w:r>
        <w:rPr>
          <w:rFonts w:ascii="黑体" w:hAnsi="黑体" w:eastAsia="黑体" w:cs="黑体"/>
          <w:spacing w:val="31"/>
          <w:sz w:val="27"/>
          <w:szCs w:val="27"/>
        </w:rPr>
        <w:t xml:space="preserve">  </w:t>
      </w:r>
      <w:r>
        <w:rPr>
          <w:rFonts w:ascii="黑体" w:hAnsi="黑体" w:eastAsia="黑体" w:cs="黑体"/>
          <w:b/>
          <w:bCs/>
          <w:sz w:val="27"/>
          <w:szCs w:val="27"/>
        </w:rPr>
        <w:t>接口标识和接口图</w:t>
      </w:r>
    </w:p>
    <w:p w14:paraId="707B722F">
      <w:pPr>
        <w:spacing w:before="108" w:line="219" w:lineRule="auto"/>
        <w:ind w:left="560"/>
        <w:rPr>
          <w:rFonts w:ascii="宋体" w:hAnsi="宋体" w:eastAsia="宋体" w:cs="宋体"/>
          <w:sz w:val="27"/>
          <w:szCs w:val="27"/>
        </w:rPr>
      </w:pPr>
      <w:r>
        <w:rPr>
          <w:rFonts w:ascii="宋体" w:hAnsi="宋体" w:eastAsia="宋体" w:cs="宋体"/>
          <w:spacing w:val="6"/>
          <w:sz w:val="27"/>
          <w:szCs w:val="27"/>
        </w:rPr>
        <w:t>本条应标识所需的系统外部接口。每个接口标识应包括其项目唯一的标识</w:t>
      </w:r>
    </w:p>
    <w:p w14:paraId="4E4AC15F">
      <w:pPr>
        <w:spacing w:line="219" w:lineRule="auto"/>
        <w:rPr>
          <w:rFonts w:ascii="宋体" w:hAnsi="宋体" w:eastAsia="宋体" w:cs="宋体"/>
          <w:sz w:val="27"/>
          <w:szCs w:val="27"/>
        </w:rPr>
        <w:sectPr>
          <w:footerReference r:id="rId191" w:type="default"/>
          <w:pgSz w:w="11910" w:h="17130"/>
          <w:pgMar w:top="400" w:right="934" w:bottom="1687" w:left="1489" w:header="0" w:footer="1471" w:gutter="0"/>
          <w:cols w:space="720" w:num="1"/>
        </w:sectPr>
      </w:pPr>
    </w:p>
    <w:p w14:paraId="6B658127">
      <w:pPr>
        <w:pStyle w:val="2"/>
        <w:spacing w:line="248" w:lineRule="auto"/>
      </w:pPr>
    </w:p>
    <w:p w14:paraId="7B6891CC">
      <w:pPr>
        <w:pStyle w:val="2"/>
        <w:spacing w:line="248" w:lineRule="auto"/>
      </w:pPr>
    </w:p>
    <w:p w14:paraId="6DC922F7">
      <w:pPr>
        <w:pStyle w:val="2"/>
        <w:spacing w:line="249" w:lineRule="auto"/>
      </w:pPr>
    </w:p>
    <w:p w14:paraId="30C49ED8">
      <w:pPr>
        <w:pStyle w:val="2"/>
        <w:spacing w:line="249" w:lineRule="auto"/>
      </w:pPr>
    </w:p>
    <w:p w14:paraId="258302D3">
      <w:pPr>
        <w:spacing w:before="88" w:line="283" w:lineRule="auto"/>
        <w:ind w:right="161"/>
        <w:jc w:val="both"/>
        <w:rPr>
          <w:rFonts w:ascii="宋体" w:hAnsi="宋体" w:eastAsia="宋体" w:cs="宋体"/>
          <w:sz w:val="27"/>
          <w:szCs w:val="27"/>
        </w:rPr>
      </w:pPr>
      <w:r>
        <w:rPr>
          <w:rFonts w:ascii="宋体" w:hAnsi="宋体" w:eastAsia="宋体" w:cs="宋体"/>
          <w:spacing w:val="-13"/>
          <w:sz w:val="27"/>
          <w:szCs w:val="27"/>
        </w:rPr>
        <w:t>符，并应用名称、序号、版本、以及(适用时)引用文</w:t>
      </w:r>
      <w:r>
        <w:rPr>
          <w:rFonts w:ascii="宋体" w:hAnsi="宋体" w:eastAsia="宋体" w:cs="宋体"/>
          <w:spacing w:val="-14"/>
          <w:sz w:val="27"/>
          <w:szCs w:val="27"/>
        </w:rPr>
        <w:t>档指明接口的实体(系统、配置</w:t>
      </w:r>
      <w:r>
        <w:rPr>
          <w:rFonts w:ascii="宋体" w:hAnsi="宋体" w:eastAsia="宋体" w:cs="宋体"/>
          <w:sz w:val="27"/>
          <w:szCs w:val="27"/>
        </w:rPr>
        <w:t xml:space="preserve"> </w:t>
      </w:r>
      <w:r>
        <w:rPr>
          <w:rFonts w:ascii="宋体" w:hAnsi="宋体" w:eastAsia="宋体" w:cs="宋体"/>
          <w:spacing w:val="5"/>
          <w:sz w:val="27"/>
          <w:szCs w:val="27"/>
        </w:rPr>
        <w:t>项和用户等)。该标识应说明哪些实体具有固定的接口特性(要给出这些</w:t>
      </w:r>
      <w:r>
        <w:rPr>
          <w:rFonts w:ascii="宋体" w:hAnsi="宋体" w:eastAsia="宋体" w:cs="宋体"/>
          <w:spacing w:val="4"/>
          <w:sz w:val="27"/>
          <w:szCs w:val="27"/>
        </w:rPr>
        <w:t>接口实</w:t>
      </w:r>
      <w:r>
        <w:rPr>
          <w:rFonts w:ascii="宋体" w:hAnsi="宋体" w:eastAsia="宋体" w:cs="宋体"/>
          <w:sz w:val="27"/>
          <w:szCs w:val="27"/>
        </w:rPr>
        <w:t xml:space="preserve"> </w:t>
      </w:r>
      <w:r>
        <w:rPr>
          <w:rFonts w:ascii="宋体" w:hAnsi="宋体" w:eastAsia="宋体" w:cs="宋体"/>
          <w:spacing w:val="5"/>
          <w:sz w:val="27"/>
          <w:szCs w:val="27"/>
        </w:rPr>
        <w:t>体的接口需求),哪些实体正被开发或修改(这些实体已有</w:t>
      </w:r>
      <w:r>
        <w:rPr>
          <w:rFonts w:ascii="宋体" w:hAnsi="宋体" w:eastAsia="宋体" w:cs="宋体"/>
          <w:spacing w:val="4"/>
          <w:sz w:val="27"/>
          <w:szCs w:val="27"/>
        </w:rPr>
        <w:t>各自的接口需求)。可</w:t>
      </w:r>
      <w:r>
        <w:rPr>
          <w:rFonts w:ascii="宋体" w:hAnsi="宋体" w:eastAsia="宋体" w:cs="宋体"/>
          <w:sz w:val="27"/>
          <w:szCs w:val="27"/>
        </w:rPr>
        <w:t xml:space="preserve"> </w:t>
      </w:r>
      <w:r>
        <w:rPr>
          <w:rFonts w:ascii="宋体" w:hAnsi="宋体" w:eastAsia="宋体" w:cs="宋体"/>
          <w:spacing w:val="4"/>
          <w:sz w:val="27"/>
          <w:szCs w:val="27"/>
        </w:rPr>
        <w:t>用一个或多个接口图表来描述这些接口。</w:t>
      </w:r>
    </w:p>
    <w:p w14:paraId="3D7EB9FE">
      <w:pPr>
        <w:spacing w:line="212" w:lineRule="auto"/>
        <w:rPr>
          <w:rFonts w:ascii="黑体" w:hAnsi="黑体" w:eastAsia="黑体" w:cs="黑体"/>
          <w:sz w:val="27"/>
          <w:szCs w:val="27"/>
        </w:rPr>
      </w:pPr>
      <w:r>
        <w:rPr>
          <w:rFonts w:ascii="黑体" w:hAnsi="黑体" w:eastAsia="黑体" w:cs="黑体"/>
          <w:spacing w:val="3"/>
          <w:sz w:val="27"/>
          <w:szCs w:val="27"/>
        </w:rPr>
        <w:t>3.3.</w:t>
      </w:r>
      <w:r>
        <w:rPr>
          <w:rFonts w:ascii="Times New Roman" w:hAnsi="Times New Roman" w:eastAsia="Times New Roman" w:cs="Times New Roman"/>
          <w:b/>
          <w:bCs/>
          <w:spacing w:val="3"/>
          <w:sz w:val="27"/>
          <w:szCs w:val="27"/>
        </w:rPr>
        <w:t>X    (</w:t>
      </w:r>
      <w:r>
        <w:rPr>
          <w:rFonts w:ascii="Times New Roman" w:hAnsi="Times New Roman" w:eastAsia="Times New Roman" w:cs="Times New Roman"/>
          <w:b/>
          <w:bCs/>
          <w:spacing w:val="-8"/>
          <w:sz w:val="27"/>
          <w:szCs w:val="27"/>
        </w:rPr>
        <w:t xml:space="preserve"> </w:t>
      </w:r>
      <w:r>
        <w:rPr>
          <w:rFonts w:ascii="黑体" w:hAnsi="黑体" w:eastAsia="黑体" w:cs="黑体"/>
          <w:b/>
          <w:bCs/>
          <w:spacing w:val="3"/>
          <w:sz w:val="27"/>
          <w:szCs w:val="27"/>
        </w:rPr>
        <w:t>接口的项目唯一的标识符)</w:t>
      </w:r>
    </w:p>
    <w:p w14:paraId="58F4B89B">
      <w:pPr>
        <w:spacing w:before="105" w:line="279" w:lineRule="auto"/>
        <w:ind w:right="128" w:firstLine="570"/>
        <w:jc w:val="both"/>
        <w:rPr>
          <w:rFonts w:ascii="宋体" w:hAnsi="宋体" w:eastAsia="宋体" w:cs="宋体"/>
          <w:sz w:val="27"/>
          <w:szCs w:val="27"/>
        </w:rPr>
      </w:pPr>
      <w:r>
        <w:rPr>
          <w:rFonts w:ascii="宋体" w:hAnsi="宋体" w:eastAsia="宋体" w:cs="宋体"/>
          <w:spacing w:val="8"/>
          <w:sz w:val="27"/>
          <w:szCs w:val="27"/>
        </w:rPr>
        <w:t>本条(从3.3.2开始)应通过项目唯一的标识符标识系统的外部接口，简要</w:t>
      </w:r>
      <w:r>
        <w:rPr>
          <w:rFonts w:ascii="宋体" w:hAnsi="宋体" w:eastAsia="宋体" w:cs="宋体"/>
          <w:spacing w:val="17"/>
          <w:sz w:val="27"/>
          <w:szCs w:val="27"/>
        </w:rPr>
        <w:t xml:space="preserve"> </w:t>
      </w:r>
      <w:r>
        <w:rPr>
          <w:rFonts w:ascii="宋体" w:hAnsi="宋体" w:eastAsia="宋体" w:cs="宋体"/>
          <w:spacing w:val="5"/>
          <w:sz w:val="27"/>
          <w:szCs w:val="27"/>
        </w:rPr>
        <w:t>地标识接口实体，根据需要分条描述为实现该接口而提出的系统的需求。该接</w:t>
      </w:r>
      <w:r>
        <w:rPr>
          <w:rFonts w:ascii="宋体" w:hAnsi="宋体" w:eastAsia="宋体" w:cs="宋体"/>
          <w:sz w:val="27"/>
          <w:szCs w:val="27"/>
        </w:rPr>
        <w:t xml:space="preserve"> </w:t>
      </w:r>
      <w:r>
        <w:rPr>
          <w:rFonts w:ascii="宋体" w:hAnsi="宋体" w:eastAsia="宋体" w:cs="宋体"/>
          <w:spacing w:val="-2"/>
          <w:sz w:val="27"/>
          <w:szCs w:val="27"/>
        </w:rPr>
        <w:t>口所涉及的其他实体的接口特性应以假设的形式描述，或</w:t>
      </w:r>
      <w:r>
        <w:rPr>
          <w:rFonts w:ascii="宋体" w:hAnsi="宋体" w:eastAsia="宋体" w:cs="宋体"/>
          <w:spacing w:val="-3"/>
          <w:sz w:val="27"/>
          <w:szCs w:val="27"/>
        </w:rPr>
        <w:t>以“当(未涵盖的实体)</w:t>
      </w:r>
      <w:r>
        <w:rPr>
          <w:rFonts w:ascii="宋体" w:hAnsi="宋体" w:eastAsia="宋体" w:cs="宋体"/>
          <w:sz w:val="27"/>
          <w:szCs w:val="27"/>
        </w:rPr>
        <w:t xml:space="preserve"> </w:t>
      </w:r>
      <w:r>
        <w:rPr>
          <w:rFonts w:ascii="宋体" w:hAnsi="宋体" w:eastAsia="宋体" w:cs="宋体"/>
          <w:spacing w:val="-2"/>
          <w:sz w:val="27"/>
          <w:szCs w:val="27"/>
        </w:rPr>
        <w:t>这样做时，系统将……”的形式描述，而不作为针对其他实体的需求。本条可引</w:t>
      </w:r>
      <w:r>
        <w:rPr>
          <w:rFonts w:ascii="宋体" w:hAnsi="宋体" w:eastAsia="宋体" w:cs="宋体"/>
          <w:spacing w:val="5"/>
          <w:sz w:val="27"/>
          <w:szCs w:val="27"/>
        </w:rPr>
        <w:t xml:space="preserve"> 用其他文档(如数据字典、通信协议标准和用户接口标准)代替在此所描述的信</w:t>
      </w:r>
      <w:r>
        <w:rPr>
          <w:rFonts w:ascii="宋体" w:hAnsi="宋体" w:eastAsia="宋体" w:cs="宋体"/>
          <w:spacing w:val="3"/>
          <w:sz w:val="27"/>
          <w:szCs w:val="27"/>
        </w:rPr>
        <w:t xml:space="preserve"> </w:t>
      </w:r>
      <w:r>
        <w:rPr>
          <w:rFonts w:ascii="宋体" w:hAnsi="宋体" w:eastAsia="宋体" w:cs="宋体"/>
          <w:spacing w:val="-3"/>
          <w:sz w:val="27"/>
          <w:szCs w:val="27"/>
        </w:rPr>
        <w:t>息。若适用，需求应包括下列内容，它们以任何适合于需求的顺序提供，并应从</w:t>
      </w:r>
      <w:r>
        <w:rPr>
          <w:rFonts w:ascii="宋体" w:hAnsi="宋体" w:eastAsia="宋体" w:cs="宋体"/>
          <w:spacing w:val="4"/>
          <w:sz w:val="27"/>
          <w:szCs w:val="27"/>
        </w:rPr>
        <w:t xml:space="preserve"> </w:t>
      </w:r>
      <w:r>
        <w:rPr>
          <w:rFonts w:ascii="宋体" w:hAnsi="宋体" w:eastAsia="宋体" w:cs="宋体"/>
          <w:spacing w:val="1"/>
          <w:sz w:val="27"/>
          <w:szCs w:val="27"/>
        </w:rPr>
        <w:t>接口实体的角度说明这些特性之间的区别(例如关于数据元素的大小、频率或其</w:t>
      </w:r>
      <w:r>
        <w:rPr>
          <w:rFonts w:ascii="宋体" w:hAnsi="宋体" w:eastAsia="宋体" w:cs="宋体"/>
          <w:sz w:val="27"/>
          <w:szCs w:val="27"/>
        </w:rPr>
        <w:t xml:space="preserve"> </w:t>
      </w:r>
      <w:r>
        <w:rPr>
          <w:rFonts w:ascii="宋体" w:hAnsi="宋体" w:eastAsia="宋体" w:cs="宋体"/>
          <w:spacing w:val="5"/>
          <w:sz w:val="27"/>
          <w:szCs w:val="27"/>
        </w:rPr>
        <w:t>他特性的不同期望值):</w:t>
      </w:r>
    </w:p>
    <w:p w14:paraId="172C562D">
      <w:pPr>
        <w:spacing w:before="6" w:line="219" w:lineRule="auto"/>
        <w:ind w:left="570"/>
        <w:rPr>
          <w:rFonts w:ascii="宋体" w:hAnsi="宋体" w:eastAsia="宋体" w:cs="宋体"/>
          <w:sz w:val="27"/>
          <w:szCs w:val="27"/>
        </w:rPr>
      </w:pPr>
      <w:r>
        <w:rPr>
          <w:rFonts w:ascii="Times New Roman" w:hAnsi="Times New Roman" w:eastAsia="Times New Roman" w:cs="Times New Roman"/>
          <w:spacing w:val="7"/>
          <w:sz w:val="27"/>
          <w:szCs w:val="27"/>
        </w:rPr>
        <w:t>a</w:t>
      </w:r>
      <w:r>
        <w:rPr>
          <w:rFonts w:ascii="Times New Roman" w:hAnsi="Times New Roman" w:eastAsia="Times New Roman" w:cs="Times New Roman"/>
          <w:spacing w:val="-21"/>
          <w:sz w:val="27"/>
          <w:szCs w:val="27"/>
        </w:rPr>
        <w:t xml:space="preserve"> </w:t>
      </w:r>
      <w:r>
        <w:rPr>
          <w:rFonts w:ascii="宋体" w:hAnsi="宋体" w:eastAsia="宋体" w:cs="宋体"/>
          <w:spacing w:val="7"/>
          <w:sz w:val="27"/>
          <w:szCs w:val="27"/>
        </w:rPr>
        <w:t>)系统应分配给接口的优先级别。</w:t>
      </w:r>
    </w:p>
    <w:p w14:paraId="7AE802DF">
      <w:pPr>
        <w:spacing w:before="59" w:line="260" w:lineRule="auto"/>
        <w:ind w:right="115" w:firstLine="570"/>
        <w:rPr>
          <w:rFonts w:ascii="宋体" w:hAnsi="宋体" w:eastAsia="宋体" w:cs="宋体"/>
          <w:sz w:val="27"/>
          <w:szCs w:val="27"/>
        </w:rPr>
      </w:pPr>
      <w:r>
        <w:rPr>
          <w:rFonts w:ascii="Times New Roman" w:hAnsi="Times New Roman" w:eastAsia="Times New Roman" w:cs="Times New Roman"/>
          <w:spacing w:val="17"/>
          <w:sz w:val="27"/>
          <w:szCs w:val="27"/>
        </w:rPr>
        <w:t>b)</w:t>
      </w:r>
      <w:r>
        <w:rPr>
          <w:rFonts w:ascii="Times New Roman" w:hAnsi="Times New Roman" w:eastAsia="Times New Roman" w:cs="Times New Roman"/>
          <w:spacing w:val="37"/>
          <w:sz w:val="27"/>
          <w:szCs w:val="27"/>
        </w:rPr>
        <w:t xml:space="preserve"> </w:t>
      </w:r>
      <w:r>
        <w:rPr>
          <w:rFonts w:ascii="宋体" w:hAnsi="宋体" w:eastAsia="宋体" w:cs="宋体"/>
          <w:spacing w:val="17"/>
          <w:sz w:val="27"/>
          <w:szCs w:val="27"/>
        </w:rPr>
        <w:t>关于要实现的接口类型的要求(如实时数据</w:t>
      </w:r>
      <w:r>
        <w:rPr>
          <w:rFonts w:ascii="宋体" w:hAnsi="宋体" w:eastAsia="宋体" w:cs="宋体"/>
          <w:spacing w:val="16"/>
          <w:sz w:val="27"/>
          <w:szCs w:val="27"/>
        </w:rPr>
        <w:t>传送、数据的存储和检索</w:t>
      </w:r>
      <w:r>
        <w:rPr>
          <w:rFonts w:ascii="宋体" w:hAnsi="宋体" w:eastAsia="宋体" w:cs="宋体"/>
          <w:sz w:val="27"/>
          <w:szCs w:val="27"/>
        </w:rPr>
        <w:t xml:space="preserve"> </w:t>
      </w:r>
      <w:r>
        <w:rPr>
          <w:rFonts w:ascii="宋体" w:hAnsi="宋体" w:eastAsia="宋体" w:cs="宋体"/>
          <w:spacing w:val="-6"/>
          <w:sz w:val="27"/>
          <w:szCs w:val="27"/>
        </w:rPr>
        <w:t>等)。</w:t>
      </w:r>
    </w:p>
    <w:p w14:paraId="2ACC8B65">
      <w:pPr>
        <w:spacing w:before="44" w:line="274" w:lineRule="auto"/>
        <w:ind w:firstLine="570"/>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62"/>
          <w:sz w:val="27"/>
          <w:szCs w:val="27"/>
        </w:rPr>
        <w:t xml:space="preserve"> </w:t>
      </w:r>
      <w:r>
        <w:rPr>
          <w:rFonts w:ascii="宋体" w:hAnsi="宋体" w:eastAsia="宋体" w:cs="宋体"/>
          <w:spacing w:val="-1"/>
          <w:sz w:val="27"/>
          <w:szCs w:val="27"/>
        </w:rPr>
        <w:t>系统必须提供存储、发送、访问和接收的单个数据元素的所要求的特</w:t>
      </w:r>
      <w:r>
        <w:rPr>
          <w:rFonts w:ascii="宋体" w:hAnsi="宋体" w:eastAsia="宋体" w:cs="宋体"/>
          <w:spacing w:val="-2"/>
          <w:sz w:val="27"/>
          <w:szCs w:val="27"/>
        </w:rPr>
        <w:t>征，</w:t>
      </w:r>
      <w:r>
        <w:rPr>
          <w:rFonts w:ascii="宋体" w:hAnsi="宋体" w:eastAsia="宋体" w:cs="宋体"/>
          <w:sz w:val="27"/>
          <w:szCs w:val="27"/>
        </w:rPr>
        <w:t xml:space="preserve"> </w:t>
      </w:r>
      <w:r>
        <w:rPr>
          <w:rFonts w:ascii="仿宋" w:hAnsi="仿宋" w:eastAsia="仿宋" w:cs="仿宋"/>
          <w:spacing w:val="1"/>
          <w:sz w:val="27"/>
          <w:szCs w:val="27"/>
        </w:rPr>
        <w:t>如1)名称/</w:t>
      </w:r>
      <w:r>
        <w:rPr>
          <w:rFonts w:ascii="宋体" w:hAnsi="宋体" w:eastAsia="宋体" w:cs="宋体"/>
          <w:spacing w:val="1"/>
          <w:sz w:val="27"/>
          <w:szCs w:val="27"/>
        </w:rPr>
        <w:t>标识符，含项目唯一的标识符，非技术(自然语言)名称，数据元素名</w:t>
      </w:r>
      <w:r>
        <w:rPr>
          <w:rFonts w:ascii="宋体" w:hAnsi="宋体" w:eastAsia="宋体" w:cs="宋体"/>
          <w:spacing w:val="7"/>
          <w:sz w:val="27"/>
          <w:szCs w:val="27"/>
        </w:rPr>
        <w:t xml:space="preserve">  </w:t>
      </w:r>
      <w:r>
        <w:rPr>
          <w:rFonts w:ascii="宋体" w:hAnsi="宋体" w:eastAsia="宋体" w:cs="宋体"/>
          <w:spacing w:val="1"/>
          <w:sz w:val="27"/>
          <w:szCs w:val="27"/>
        </w:rPr>
        <w:t>称，技术名称(如代码或数据库中的变量或字段名),缩写名或同义名；2)数</w:t>
      </w:r>
      <w:r>
        <w:rPr>
          <w:rFonts w:ascii="宋体" w:hAnsi="宋体" w:eastAsia="宋体" w:cs="宋体"/>
          <w:sz w:val="27"/>
          <w:szCs w:val="27"/>
        </w:rPr>
        <w:t xml:space="preserve">据类  </w:t>
      </w:r>
      <w:r>
        <w:rPr>
          <w:rFonts w:ascii="宋体" w:hAnsi="宋体" w:eastAsia="宋体" w:cs="宋体"/>
          <w:spacing w:val="-2"/>
          <w:sz w:val="27"/>
          <w:szCs w:val="27"/>
        </w:rPr>
        <w:t>型(字母、数字、整数等);3)大小和格</w:t>
      </w:r>
      <w:r>
        <w:rPr>
          <w:rFonts w:ascii="宋体" w:hAnsi="宋体" w:eastAsia="宋体" w:cs="宋体"/>
          <w:spacing w:val="-3"/>
          <w:sz w:val="27"/>
          <w:szCs w:val="27"/>
        </w:rPr>
        <w:t>式(如，字符串的长度和标点符号);4)计量</w:t>
      </w:r>
      <w:r>
        <w:rPr>
          <w:rFonts w:ascii="宋体" w:hAnsi="宋体" w:eastAsia="宋体" w:cs="宋体"/>
          <w:sz w:val="27"/>
          <w:szCs w:val="27"/>
        </w:rPr>
        <w:t xml:space="preserve">  </w:t>
      </w:r>
      <w:r>
        <w:rPr>
          <w:rFonts w:ascii="宋体" w:hAnsi="宋体" w:eastAsia="宋体" w:cs="宋体"/>
          <w:spacing w:val="7"/>
          <w:sz w:val="27"/>
          <w:szCs w:val="27"/>
        </w:rPr>
        <w:t>单位(如，</w:t>
      </w:r>
      <w:r>
        <w:rPr>
          <w:rFonts w:ascii="Times New Roman" w:hAnsi="Times New Roman" w:eastAsia="Times New Roman" w:cs="Times New Roman"/>
          <w:spacing w:val="7"/>
          <w:sz w:val="27"/>
          <w:szCs w:val="27"/>
        </w:rPr>
        <w:t xml:space="preserve">m </w:t>
      </w:r>
      <w:r>
        <w:rPr>
          <w:rFonts w:ascii="宋体" w:hAnsi="宋体" w:eastAsia="宋体" w:cs="宋体"/>
          <w:spacing w:val="7"/>
          <w:sz w:val="27"/>
          <w:szCs w:val="27"/>
        </w:rPr>
        <w:t>等);5)可能值的范围或枚举(如0～99);6)准确性(正确程度)和精</w:t>
      </w:r>
      <w:r>
        <w:rPr>
          <w:rFonts w:ascii="宋体" w:hAnsi="宋体" w:eastAsia="宋体" w:cs="宋体"/>
          <w:spacing w:val="2"/>
          <w:sz w:val="27"/>
          <w:szCs w:val="27"/>
        </w:rPr>
        <w:t xml:space="preserve">  </w:t>
      </w:r>
      <w:r>
        <w:rPr>
          <w:rFonts w:ascii="宋体" w:hAnsi="宋体" w:eastAsia="宋体" w:cs="宋体"/>
          <w:spacing w:val="-13"/>
          <w:sz w:val="27"/>
          <w:szCs w:val="27"/>
        </w:rPr>
        <w:t>度(有效数字位数);7)优先级别、时序、频率、容量、序列和其他约束条件，如：数</w:t>
      </w:r>
      <w:r>
        <w:rPr>
          <w:rFonts w:ascii="宋体" w:hAnsi="宋体" w:eastAsia="宋体" w:cs="宋体"/>
          <w:spacing w:val="1"/>
          <w:sz w:val="27"/>
          <w:szCs w:val="27"/>
        </w:rPr>
        <w:t xml:space="preserve">  </w:t>
      </w:r>
      <w:r>
        <w:rPr>
          <w:rFonts w:ascii="宋体" w:hAnsi="宋体" w:eastAsia="宋体" w:cs="宋体"/>
          <w:spacing w:val="-5"/>
          <w:sz w:val="27"/>
          <w:szCs w:val="27"/>
        </w:rPr>
        <w:t>据元素是否可更新、业务规则是否适用；8)保密性约束；9)来源(设置/发送实体)</w:t>
      </w:r>
      <w:r>
        <w:rPr>
          <w:rFonts w:ascii="宋体" w:hAnsi="宋体" w:eastAsia="宋体" w:cs="宋体"/>
          <w:spacing w:val="3"/>
          <w:sz w:val="27"/>
          <w:szCs w:val="27"/>
        </w:rPr>
        <w:t xml:space="preserve">  </w:t>
      </w:r>
      <w:r>
        <w:rPr>
          <w:rFonts w:ascii="宋体" w:hAnsi="宋体" w:eastAsia="宋体" w:cs="宋体"/>
          <w:sz w:val="27"/>
          <w:szCs w:val="27"/>
        </w:rPr>
        <w:t>和接收者(使用/接收实体)。</w:t>
      </w:r>
    </w:p>
    <w:p w14:paraId="382F8BFB">
      <w:pPr>
        <w:spacing w:before="76" w:line="269" w:lineRule="auto"/>
        <w:ind w:right="115" w:firstLine="570"/>
        <w:rPr>
          <w:rFonts w:ascii="宋体" w:hAnsi="宋体" w:eastAsia="宋体" w:cs="宋体"/>
          <w:sz w:val="27"/>
          <w:szCs w:val="27"/>
        </w:rPr>
      </w:pPr>
      <w:r>
        <w:rPr>
          <w:rFonts w:ascii="Times New Roman" w:hAnsi="Times New Roman" w:eastAsia="Times New Roman" w:cs="Times New Roman"/>
          <w:spacing w:val="-8"/>
          <w:sz w:val="27"/>
          <w:szCs w:val="27"/>
        </w:rPr>
        <w:t xml:space="preserve">d)  </w:t>
      </w:r>
      <w:r>
        <w:rPr>
          <w:rFonts w:ascii="宋体" w:hAnsi="宋体" w:eastAsia="宋体" w:cs="宋体"/>
          <w:spacing w:val="-8"/>
          <w:sz w:val="27"/>
          <w:szCs w:val="27"/>
        </w:rPr>
        <w:t>系统必须提供存储、发送、访问和接收</w:t>
      </w:r>
      <w:r>
        <w:rPr>
          <w:rFonts w:ascii="宋体" w:hAnsi="宋体" w:eastAsia="宋体" w:cs="宋体"/>
          <w:spacing w:val="-9"/>
          <w:sz w:val="27"/>
          <w:szCs w:val="27"/>
        </w:rPr>
        <w:t>的数据元素组合体(记录、消息、文</w:t>
      </w:r>
      <w:r>
        <w:rPr>
          <w:rFonts w:ascii="宋体" w:hAnsi="宋体" w:eastAsia="宋体" w:cs="宋体"/>
          <w:sz w:val="27"/>
          <w:szCs w:val="27"/>
        </w:rPr>
        <w:t xml:space="preserve"> </w:t>
      </w:r>
      <w:r>
        <w:rPr>
          <w:rFonts w:ascii="宋体" w:hAnsi="宋体" w:eastAsia="宋体" w:cs="宋体"/>
          <w:spacing w:val="-3"/>
          <w:sz w:val="27"/>
          <w:szCs w:val="27"/>
        </w:rPr>
        <w:t>件、数组、显示和报表等)所要求的特征，如1)名称/标识符，含项目唯一的标识</w:t>
      </w:r>
      <w:r>
        <w:rPr>
          <w:rFonts w:ascii="宋体" w:hAnsi="宋体" w:eastAsia="宋体" w:cs="宋体"/>
          <w:spacing w:val="15"/>
          <w:sz w:val="27"/>
          <w:szCs w:val="27"/>
        </w:rPr>
        <w:t xml:space="preserve"> </w:t>
      </w:r>
      <w:r>
        <w:rPr>
          <w:rFonts w:ascii="宋体" w:hAnsi="宋体" w:eastAsia="宋体" w:cs="宋体"/>
          <w:spacing w:val="1"/>
          <w:sz w:val="27"/>
          <w:szCs w:val="27"/>
        </w:rPr>
        <w:t>符，非技术(自然语言)名称，技术名称(如代码或数据库中的变量或字段名),缩</w:t>
      </w:r>
      <w:r>
        <w:rPr>
          <w:rFonts w:ascii="宋体" w:hAnsi="宋体" w:eastAsia="宋体" w:cs="宋体"/>
          <w:sz w:val="27"/>
          <w:szCs w:val="27"/>
        </w:rPr>
        <w:t xml:space="preserve"> </w:t>
      </w:r>
      <w:r>
        <w:rPr>
          <w:rFonts w:ascii="宋体" w:hAnsi="宋体" w:eastAsia="宋体" w:cs="宋体"/>
          <w:spacing w:val="17"/>
          <w:sz w:val="27"/>
          <w:szCs w:val="27"/>
        </w:rPr>
        <w:t>写名或同义名；2)数据元素集合体中的数据元素及其结构(编号、次</w:t>
      </w:r>
      <w:r>
        <w:rPr>
          <w:rFonts w:ascii="宋体" w:hAnsi="宋体" w:eastAsia="宋体" w:cs="宋体"/>
          <w:spacing w:val="16"/>
          <w:sz w:val="27"/>
          <w:szCs w:val="27"/>
        </w:rPr>
        <w:t>序和分</w:t>
      </w:r>
      <w:r>
        <w:rPr>
          <w:rFonts w:ascii="宋体" w:hAnsi="宋体" w:eastAsia="宋体" w:cs="宋体"/>
          <w:sz w:val="27"/>
          <w:szCs w:val="27"/>
        </w:rPr>
        <w:t xml:space="preserve"> </w:t>
      </w:r>
      <w:r>
        <w:rPr>
          <w:rFonts w:ascii="宋体" w:hAnsi="宋体" w:eastAsia="宋体" w:cs="宋体"/>
          <w:spacing w:val="9"/>
          <w:sz w:val="27"/>
          <w:szCs w:val="27"/>
        </w:rPr>
        <w:t>组);3)媒体(如磁盘、光盘等)和媒体中数据元素/数据元素集合体的结构；4)</w:t>
      </w:r>
      <w:r>
        <w:rPr>
          <w:rFonts w:ascii="宋体" w:hAnsi="宋体" w:eastAsia="宋体" w:cs="宋体"/>
          <w:spacing w:val="11"/>
          <w:sz w:val="27"/>
          <w:szCs w:val="27"/>
        </w:rPr>
        <w:t xml:space="preserve"> </w:t>
      </w:r>
      <w:r>
        <w:rPr>
          <w:rFonts w:ascii="宋体" w:hAnsi="宋体" w:eastAsia="宋体" w:cs="宋体"/>
          <w:spacing w:val="1"/>
          <w:sz w:val="27"/>
          <w:szCs w:val="27"/>
        </w:rPr>
        <w:t>显示和其他输出的视听特性(如颜色、布局、字体、图标和其他显示元素、蜂鸣</w:t>
      </w:r>
      <w:r>
        <w:rPr>
          <w:rFonts w:ascii="宋体" w:hAnsi="宋体" w:eastAsia="宋体" w:cs="宋体"/>
          <w:spacing w:val="7"/>
          <w:sz w:val="27"/>
          <w:szCs w:val="27"/>
        </w:rPr>
        <w:t xml:space="preserve"> </w:t>
      </w:r>
      <w:r>
        <w:rPr>
          <w:rFonts w:ascii="宋体" w:hAnsi="宋体" w:eastAsia="宋体" w:cs="宋体"/>
          <w:spacing w:val="19"/>
          <w:sz w:val="27"/>
          <w:szCs w:val="27"/>
        </w:rPr>
        <w:t>声和亮度等);5)数据元素集合体之间的关系(如排序/访问特性);6)优先级</w:t>
      </w:r>
      <w:r>
        <w:rPr>
          <w:rFonts w:ascii="宋体" w:hAnsi="宋体" w:eastAsia="宋体" w:cs="宋体"/>
          <w:spacing w:val="13"/>
          <w:sz w:val="27"/>
          <w:szCs w:val="27"/>
        </w:rPr>
        <w:t xml:space="preserve"> </w:t>
      </w:r>
      <w:r>
        <w:rPr>
          <w:rFonts w:ascii="宋体" w:hAnsi="宋体" w:eastAsia="宋体" w:cs="宋体"/>
          <w:spacing w:val="-10"/>
          <w:sz w:val="27"/>
          <w:szCs w:val="27"/>
        </w:rPr>
        <w:t>别、时序、频率、容量、序列和其他的约束条件，如：数</w:t>
      </w:r>
      <w:r>
        <w:rPr>
          <w:rFonts w:ascii="宋体" w:hAnsi="宋体" w:eastAsia="宋体" w:cs="宋体"/>
          <w:spacing w:val="-11"/>
          <w:sz w:val="27"/>
          <w:szCs w:val="27"/>
        </w:rPr>
        <w:t>据元素集合体是否可被修</w:t>
      </w:r>
      <w:r>
        <w:rPr>
          <w:rFonts w:ascii="宋体" w:hAnsi="宋体" w:eastAsia="宋体" w:cs="宋体"/>
          <w:sz w:val="27"/>
          <w:szCs w:val="27"/>
        </w:rPr>
        <w:t xml:space="preserve"> </w:t>
      </w:r>
      <w:r>
        <w:rPr>
          <w:rFonts w:ascii="宋体" w:hAnsi="宋体" w:eastAsia="宋体" w:cs="宋体"/>
          <w:spacing w:val="5"/>
          <w:sz w:val="27"/>
          <w:szCs w:val="27"/>
        </w:rPr>
        <w:t>改、业务规则是否适用；7)保密性约束；8</w:t>
      </w:r>
      <w:r>
        <w:rPr>
          <w:rFonts w:ascii="宋体" w:hAnsi="宋体" w:eastAsia="宋体" w:cs="宋体"/>
          <w:spacing w:val="4"/>
          <w:sz w:val="27"/>
          <w:szCs w:val="27"/>
        </w:rPr>
        <w:t>)来源(设置/发送实体)和接收者(使</w:t>
      </w:r>
      <w:r>
        <w:rPr>
          <w:rFonts w:ascii="宋体" w:hAnsi="宋体" w:eastAsia="宋体" w:cs="宋体"/>
          <w:sz w:val="27"/>
          <w:szCs w:val="27"/>
        </w:rPr>
        <w:t xml:space="preserve"> </w:t>
      </w:r>
      <w:r>
        <w:rPr>
          <w:rFonts w:ascii="宋体" w:hAnsi="宋体" w:eastAsia="宋体" w:cs="宋体"/>
          <w:spacing w:val="6"/>
          <w:sz w:val="27"/>
          <w:szCs w:val="27"/>
        </w:rPr>
        <w:t>用/接收实体)。</w:t>
      </w:r>
    </w:p>
    <w:p w14:paraId="1DBC7402">
      <w:pPr>
        <w:spacing w:line="269" w:lineRule="auto"/>
        <w:rPr>
          <w:rFonts w:ascii="宋体" w:hAnsi="宋体" w:eastAsia="宋体" w:cs="宋体"/>
          <w:sz w:val="27"/>
          <w:szCs w:val="27"/>
        </w:rPr>
        <w:sectPr>
          <w:footerReference r:id="rId192" w:type="default"/>
          <w:pgSz w:w="11910" w:h="17130"/>
          <w:pgMar w:top="400" w:right="1265" w:bottom="1677" w:left="1130" w:header="0" w:footer="1461" w:gutter="0"/>
          <w:cols w:space="720" w:num="1"/>
        </w:sectPr>
      </w:pPr>
    </w:p>
    <w:p w14:paraId="2E23A906">
      <w:pPr>
        <w:pStyle w:val="2"/>
        <w:spacing w:line="262" w:lineRule="auto"/>
      </w:pPr>
    </w:p>
    <w:p w14:paraId="1F558F15">
      <w:pPr>
        <w:pStyle w:val="2"/>
        <w:spacing w:line="262" w:lineRule="auto"/>
      </w:pPr>
    </w:p>
    <w:p w14:paraId="7EED76D1">
      <w:pPr>
        <w:pStyle w:val="2"/>
        <w:spacing w:line="262" w:lineRule="auto"/>
      </w:pPr>
    </w:p>
    <w:p w14:paraId="20A9DB62">
      <w:pPr>
        <w:pStyle w:val="2"/>
        <w:spacing w:line="263" w:lineRule="auto"/>
      </w:pPr>
    </w:p>
    <w:p w14:paraId="3989C57A">
      <w:pPr>
        <w:spacing w:before="88" w:line="265" w:lineRule="auto"/>
        <w:ind w:firstLine="560"/>
        <w:rPr>
          <w:rFonts w:ascii="宋体" w:hAnsi="宋体" w:eastAsia="宋体" w:cs="宋体"/>
          <w:sz w:val="27"/>
          <w:szCs w:val="27"/>
        </w:rPr>
      </w:pPr>
      <w:r>
        <w:rPr>
          <w:rFonts w:ascii="Times New Roman" w:hAnsi="Times New Roman" w:eastAsia="Times New Roman" w:cs="Times New Roman"/>
          <w:spacing w:val="11"/>
          <w:sz w:val="27"/>
          <w:szCs w:val="27"/>
        </w:rPr>
        <w:t>e)</w:t>
      </w:r>
      <w:r>
        <w:rPr>
          <w:rFonts w:ascii="Times New Roman" w:hAnsi="Times New Roman" w:eastAsia="Times New Roman" w:cs="Times New Roman"/>
          <w:spacing w:val="8"/>
          <w:sz w:val="27"/>
          <w:szCs w:val="27"/>
        </w:rPr>
        <w:t xml:space="preserve">  </w:t>
      </w:r>
      <w:r>
        <w:rPr>
          <w:rFonts w:ascii="宋体" w:hAnsi="宋体" w:eastAsia="宋体" w:cs="宋体"/>
          <w:spacing w:val="11"/>
          <w:sz w:val="27"/>
          <w:szCs w:val="27"/>
        </w:rPr>
        <w:t>系统必须使用的接口的通信方法所要求的特征，如1)项目唯一的标识</w:t>
      </w:r>
      <w:r>
        <w:rPr>
          <w:rFonts w:ascii="宋体" w:hAnsi="宋体" w:eastAsia="宋体" w:cs="宋体"/>
          <w:spacing w:val="1"/>
          <w:sz w:val="27"/>
          <w:szCs w:val="27"/>
        </w:rPr>
        <w:t xml:space="preserve"> </w:t>
      </w:r>
      <w:r>
        <w:rPr>
          <w:rFonts w:ascii="宋体" w:hAnsi="宋体" w:eastAsia="宋体" w:cs="宋体"/>
          <w:spacing w:val="-2"/>
          <w:sz w:val="27"/>
          <w:szCs w:val="27"/>
        </w:rPr>
        <w:t>符；2)通信链接/带宽/频率/媒体及其特性；3)消息格式化；4)流控制(如序</w:t>
      </w:r>
      <w:r>
        <w:rPr>
          <w:rFonts w:ascii="宋体" w:hAnsi="宋体" w:eastAsia="宋体" w:cs="宋体"/>
          <w:spacing w:val="-3"/>
          <w:sz w:val="27"/>
          <w:szCs w:val="27"/>
        </w:rPr>
        <w:t>列编</w:t>
      </w:r>
      <w:r>
        <w:rPr>
          <w:rFonts w:ascii="宋体" w:hAnsi="宋体" w:eastAsia="宋体" w:cs="宋体"/>
          <w:sz w:val="27"/>
          <w:szCs w:val="27"/>
        </w:rPr>
        <w:t xml:space="preserve">  </w:t>
      </w:r>
      <w:r>
        <w:rPr>
          <w:rFonts w:ascii="宋体" w:hAnsi="宋体" w:eastAsia="宋体" w:cs="宋体"/>
          <w:spacing w:val="-9"/>
          <w:sz w:val="27"/>
          <w:szCs w:val="27"/>
        </w:rPr>
        <w:t>号和缓冲区分配);5)数据传送速率，周期性/非周期性，传输</w:t>
      </w:r>
      <w:r>
        <w:rPr>
          <w:rFonts w:ascii="宋体" w:hAnsi="宋体" w:eastAsia="宋体" w:cs="宋体"/>
          <w:spacing w:val="-10"/>
          <w:sz w:val="27"/>
          <w:szCs w:val="27"/>
        </w:rPr>
        <w:t>间隔；6)路由、寻址、</w:t>
      </w:r>
      <w:r>
        <w:rPr>
          <w:rFonts w:ascii="宋体" w:hAnsi="宋体" w:eastAsia="宋体" w:cs="宋体"/>
          <w:sz w:val="27"/>
          <w:szCs w:val="27"/>
        </w:rPr>
        <w:t xml:space="preserve"> </w:t>
      </w:r>
      <w:r>
        <w:rPr>
          <w:rFonts w:ascii="宋体" w:hAnsi="宋体" w:eastAsia="宋体" w:cs="宋体"/>
          <w:spacing w:val="-2"/>
          <w:sz w:val="27"/>
          <w:szCs w:val="27"/>
        </w:rPr>
        <w:t>命名约定；7)传输服务，包括优先级别和等级；8)安全性/保密性方</w:t>
      </w:r>
      <w:r>
        <w:rPr>
          <w:rFonts w:ascii="宋体" w:hAnsi="宋体" w:eastAsia="宋体" w:cs="宋体"/>
          <w:spacing w:val="-3"/>
          <w:sz w:val="27"/>
          <w:szCs w:val="27"/>
        </w:rPr>
        <w:t>面的考虑(如</w:t>
      </w:r>
      <w:r>
        <w:rPr>
          <w:rFonts w:ascii="宋体" w:hAnsi="宋体" w:eastAsia="宋体" w:cs="宋体"/>
          <w:sz w:val="27"/>
          <w:szCs w:val="27"/>
        </w:rPr>
        <w:t xml:space="preserve">  </w:t>
      </w:r>
      <w:r>
        <w:rPr>
          <w:rFonts w:ascii="宋体" w:hAnsi="宋体" w:eastAsia="宋体" w:cs="宋体"/>
          <w:spacing w:val="-22"/>
          <w:sz w:val="27"/>
          <w:szCs w:val="27"/>
        </w:rPr>
        <w:t>加密、用户鉴别、隔离、审核等)。</w:t>
      </w:r>
    </w:p>
    <w:p w14:paraId="3363403E">
      <w:pPr>
        <w:spacing w:before="68" w:line="268" w:lineRule="auto"/>
        <w:ind w:right="75" w:firstLine="560"/>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仿宋" w:hAnsi="仿宋" w:eastAsia="仿宋" w:cs="仿宋"/>
          <w:spacing w:val="4"/>
          <w:sz w:val="27"/>
          <w:szCs w:val="27"/>
        </w:rPr>
        <w:t>系</w:t>
      </w:r>
      <w:r>
        <w:rPr>
          <w:rFonts w:ascii="宋体" w:hAnsi="宋体" w:eastAsia="宋体" w:cs="宋体"/>
          <w:spacing w:val="4"/>
          <w:sz w:val="27"/>
          <w:szCs w:val="27"/>
        </w:rPr>
        <w:t>统必须使用的接口的协议所要求的特征，如1)项目唯一的标识符；2)</w:t>
      </w:r>
      <w:r>
        <w:rPr>
          <w:rFonts w:ascii="宋体" w:hAnsi="宋体" w:eastAsia="宋体" w:cs="宋体"/>
          <w:spacing w:val="15"/>
          <w:sz w:val="27"/>
          <w:szCs w:val="27"/>
        </w:rPr>
        <w:t xml:space="preserve"> </w:t>
      </w:r>
      <w:r>
        <w:rPr>
          <w:rFonts w:ascii="宋体" w:hAnsi="宋体" w:eastAsia="宋体" w:cs="宋体"/>
          <w:spacing w:val="-13"/>
          <w:sz w:val="27"/>
          <w:szCs w:val="27"/>
        </w:rPr>
        <w:t>协议的优先级别/层次；3)打包，包括分段和重组、路由、寻址；4)合法性检查、错</w:t>
      </w:r>
      <w:r>
        <w:rPr>
          <w:rFonts w:ascii="宋体" w:hAnsi="宋体" w:eastAsia="宋体" w:cs="宋体"/>
          <w:spacing w:val="11"/>
          <w:sz w:val="27"/>
          <w:szCs w:val="27"/>
        </w:rPr>
        <w:t xml:space="preserve"> </w:t>
      </w:r>
      <w:r>
        <w:rPr>
          <w:rFonts w:ascii="宋体" w:hAnsi="宋体" w:eastAsia="宋体" w:cs="宋体"/>
          <w:spacing w:val="-16"/>
          <w:sz w:val="27"/>
          <w:szCs w:val="27"/>
        </w:rPr>
        <w:t>误控制和恢复过程；5)同步，包括连接的建立、保持和终止；6)状态</w:t>
      </w:r>
      <w:r>
        <w:rPr>
          <w:rFonts w:ascii="宋体" w:hAnsi="宋体" w:eastAsia="宋体" w:cs="宋体"/>
          <w:spacing w:val="-17"/>
          <w:sz w:val="27"/>
          <w:szCs w:val="27"/>
        </w:rPr>
        <w:t>、标识、任何其</w:t>
      </w:r>
      <w:r>
        <w:rPr>
          <w:rFonts w:ascii="宋体" w:hAnsi="宋体" w:eastAsia="宋体" w:cs="宋体"/>
          <w:sz w:val="27"/>
          <w:szCs w:val="27"/>
        </w:rPr>
        <w:t xml:space="preserve"> 他的报告特征。</w:t>
      </w:r>
    </w:p>
    <w:p w14:paraId="44F1F11D">
      <w:pPr>
        <w:spacing w:before="81" w:line="254" w:lineRule="auto"/>
        <w:ind w:right="103" w:firstLine="560"/>
        <w:rPr>
          <w:rFonts w:ascii="宋体" w:hAnsi="宋体" w:eastAsia="宋体" w:cs="宋体"/>
          <w:sz w:val="27"/>
          <w:szCs w:val="27"/>
        </w:rPr>
      </w:pPr>
      <w:r>
        <w:rPr>
          <w:rFonts w:ascii="Times New Roman" w:hAnsi="Times New Roman" w:eastAsia="Times New Roman" w:cs="Times New Roman"/>
          <w:spacing w:val="-1"/>
          <w:sz w:val="27"/>
          <w:szCs w:val="27"/>
        </w:rPr>
        <w:t>g)</w:t>
      </w:r>
      <w:r>
        <w:rPr>
          <w:rFonts w:ascii="Times New Roman" w:hAnsi="Times New Roman" w:eastAsia="Times New Roman" w:cs="Times New Roman"/>
          <w:spacing w:val="66"/>
          <w:sz w:val="27"/>
          <w:szCs w:val="27"/>
        </w:rPr>
        <w:t xml:space="preserve"> </w:t>
      </w:r>
      <w:r>
        <w:rPr>
          <w:rFonts w:ascii="宋体" w:hAnsi="宋体" w:eastAsia="宋体" w:cs="宋体"/>
          <w:spacing w:val="-1"/>
          <w:sz w:val="27"/>
          <w:szCs w:val="27"/>
        </w:rPr>
        <w:t>其他所需的特征，如接口实体的物理兼容性(尺寸、</w:t>
      </w:r>
      <w:r>
        <w:rPr>
          <w:rFonts w:ascii="宋体" w:hAnsi="宋体" w:eastAsia="宋体" w:cs="宋体"/>
          <w:spacing w:val="-2"/>
          <w:sz w:val="27"/>
          <w:szCs w:val="27"/>
        </w:rPr>
        <w:t>公差、负荷和接插件</w:t>
      </w:r>
      <w:r>
        <w:rPr>
          <w:rFonts w:ascii="宋体" w:hAnsi="宋体" w:eastAsia="宋体" w:cs="宋体"/>
          <w:sz w:val="27"/>
          <w:szCs w:val="27"/>
        </w:rPr>
        <w:t xml:space="preserve"> </w:t>
      </w:r>
      <w:r>
        <w:rPr>
          <w:rFonts w:ascii="宋体" w:hAnsi="宋体" w:eastAsia="宋体" w:cs="宋体"/>
          <w:spacing w:val="-11"/>
          <w:sz w:val="27"/>
          <w:szCs w:val="27"/>
        </w:rPr>
        <w:t>兼容性等)、电压等。</w:t>
      </w:r>
    </w:p>
    <w:p w14:paraId="6BD5F6D6">
      <w:pPr>
        <w:spacing w:before="102" w:line="221" w:lineRule="auto"/>
        <w:rPr>
          <w:rFonts w:ascii="黑体" w:hAnsi="黑体" w:eastAsia="黑体" w:cs="黑体"/>
          <w:sz w:val="24"/>
          <w:szCs w:val="24"/>
        </w:rPr>
      </w:pPr>
      <w:r>
        <w:rPr>
          <w:rFonts w:ascii="黑体" w:hAnsi="黑体" w:eastAsia="黑体" w:cs="黑体"/>
          <w:spacing w:val="19"/>
          <w:sz w:val="24"/>
          <w:szCs w:val="24"/>
        </w:rPr>
        <w:t>3.4</w:t>
      </w:r>
      <w:r>
        <w:rPr>
          <w:rFonts w:ascii="黑体" w:hAnsi="黑体" w:eastAsia="黑体" w:cs="黑体"/>
          <w:spacing w:val="3"/>
          <w:sz w:val="24"/>
          <w:szCs w:val="24"/>
        </w:rPr>
        <w:t xml:space="preserve">   </w:t>
      </w:r>
      <w:r>
        <w:rPr>
          <w:rFonts w:ascii="黑体" w:hAnsi="黑体" w:eastAsia="黑体" w:cs="黑体"/>
          <w:b/>
          <w:bCs/>
          <w:spacing w:val="19"/>
          <w:sz w:val="24"/>
          <w:szCs w:val="24"/>
        </w:rPr>
        <w:t>系统内部接口需求</w:t>
      </w:r>
    </w:p>
    <w:p w14:paraId="11B3DFFD">
      <w:pPr>
        <w:spacing w:before="106" w:line="275" w:lineRule="auto"/>
        <w:ind w:right="102" w:firstLine="560"/>
        <w:jc w:val="both"/>
        <w:rPr>
          <w:rFonts w:ascii="宋体" w:hAnsi="宋体" w:eastAsia="宋体" w:cs="宋体"/>
          <w:sz w:val="27"/>
          <w:szCs w:val="27"/>
        </w:rPr>
      </w:pPr>
      <w:r>
        <w:rPr>
          <w:rFonts w:ascii="宋体" w:hAnsi="宋体" w:eastAsia="宋体" w:cs="宋体"/>
          <w:spacing w:val="6"/>
          <w:sz w:val="27"/>
          <w:szCs w:val="27"/>
        </w:rPr>
        <w:t>本条应指明系统内部接口的需求。如果所有内部</w:t>
      </w:r>
      <w:r>
        <w:rPr>
          <w:rFonts w:ascii="宋体" w:hAnsi="宋体" w:eastAsia="宋体" w:cs="宋体"/>
          <w:spacing w:val="5"/>
          <w:sz w:val="27"/>
          <w:szCs w:val="27"/>
        </w:rPr>
        <w:t>接口留到设计时或在系统</w:t>
      </w:r>
      <w:r>
        <w:rPr>
          <w:rFonts w:ascii="宋体" w:hAnsi="宋体" w:eastAsia="宋体" w:cs="宋体"/>
          <w:sz w:val="27"/>
          <w:szCs w:val="27"/>
        </w:rPr>
        <w:t xml:space="preserve"> </w:t>
      </w:r>
      <w:r>
        <w:rPr>
          <w:rFonts w:ascii="宋体" w:hAnsi="宋体" w:eastAsia="宋体" w:cs="宋体"/>
          <w:spacing w:val="-2"/>
          <w:sz w:val="27"/>
          <w:szCs w:val="27"/>
        </w:rPr>
        <w:t>部件的需求规格说明中规定，那么应如实说明。如</w:t>
      </w:r>
      <w:r>
        <w:rPr>
          <w:rFonts w:ascii="宋体" w:hAnsi="宋体" w:eastAsia="宋体" w:cs="宋体"/>
          <w:spacing w:val="-3"/>
          <w:sz w:val="27"/>
          <w:szCs w:val="27"/>
        </w:rPr>
        <w:t>果提出这样的需求，则可考虑</w:t>
      </w:r>
      <w:r>
        <w:rPr>
          <w:rFonts w:ascii="宋体" w:hAnsi="宋体" w:eastAsia="宋体" w:cs="宋体"/>
          <w:sz w:val="27"/>
          <w:szCs w:val="27"/>
        </w:rPr>
        <w:t xml:space="preserve"> </w:t>
      </w:r>
      <w:r>
        <w:rPr>
          <w:rFonts w:ascii="宋体" w:hAnsi="宋体" w:eastAsia="宋体" w:cs="宋体"/>
          <w:spacing w:val="14"/>
          <w:sz w:val="27"/>
          <w:szCs w:val="27"/>
        </w:rPr>
        <w:t>在3.3条中列出的主题。</w:t>
      </w:r>
    </w:p>
    <w:p w14:paraId="389E503C">
      <w:pPr>
        <w:spacing w:before="1" w:line="220" w:lineRule="auto"/>
        <w:rPr>
          <w:rFonts w:ascii="黑体" w:hAnsi="黑体" w:eastAsia="黑体" w:cs="黑体"/>
          <w:sz w:val="27"/>
          <w:szCs w:val="27"/>
        </w:rPr>
      </w:pPr>
      <w:r>
        <w:rPr>
          <w:rFonts w:ascii="黑体" w:hAnsi="黑体" w:eastAsia="黑体" w:cs="黑体"/>
          <w:spacing w:val="-3"/>
          <w:sz w:val="27"/>
          <w:szCs w:val="27"/>
        </w:rPr>
        <w:t>3.5</w:t>
      </w:r>
      <w:r>
        <w:rPr>
          <w:rFonts w:ascii="黑体" w:hAnsi="黑体" w:eastAsia="黑体" w:cs="黑体"/>
          <w:spacing w:val="27"/>
          <w:sz w:val="27"/>
          <w:szCs w:val="27"/>
        </w:rPr>
        <w:t xml:space="preserve">  </w:t>
      </w:r>
      <w:r>
        <w:rPr>
          <w:rFonts w:ascii="黑体" w:hAnsi="黑体" w:eastAsia="黑体" w:cs="黑体"/>
          <w:b/>
          <w:bCs/>
          <w:spacing w:val="-3"/>
          <w:sz w:val="27"/>
          <w:szCs w:val="27"/>
        </w:rPr>
        <w:t>系统内部数据需求</w:t>
      </w:r>
    </w:p>
    <w:p w14:paraId="6063338F">
      <w:pPr>
        <w:spacing w:before="121" w:line="264" w:lineRule="auto"/>
        <w:ind w:right="122" w:firstLine="560"/>
        <w:jc w:val="both"/>
        <w:rPr>
          <w:rFonts w:ascii="宋体" w:hAnsi="宋体" w:eastAsia="宋体" w:cs="宋体"/>
          <w:sz w:val="27"/>
          <w:szCs w:val="27"/>
        </w:rPr>
      </w:pPr>
      <w:r>
        <w:rPr>
          <w:rFonts w:ascii="宋体" w:hAnsi="宋体" w:eastAsia="宋体" w:cs="宋体"/>
          <w:spacing w:val="-3"/>
          <w:sz w:val="27"/>
          <w:szCs w:val="27"/>
        </w:rPr>
        <w:t>如果提出了系统内部数据的需求，则本条应指明这些</w:t>
      </w:r>
      <w:r>
        <w:rPr>
          <w:rFonts w:ascii="宋体" w:hAnsi="宋体" w:eastAsia="宋体" w:cs="宋体"/>
          <w:spacing w:val="-4"/>
          <w:sz w:val="27"/>
          <w:szCs w:val="27"/>
        </w:rPr>
        <w:t>需求，其中包括对系统</w:t>
      </w:r>
      <w:r>
        <w:rPr>
          <w:rFonts w:ascii="宋体" w:hAnsi="宋体" w:eastAsia="宋体" w:cs="宋体"/>
          <w:sz w:val="27"/>
          <w:szCs w:val="27"/>
        </w:rPr>
        <w:t xml:space="preserve"> </w:t>
      </w:r>
      <w:r>
        <w:rPr>
          <w:rFonts w:ascii="宋体" w:hAnsi="宋体" w:eastAsia="宋体" w:cs="宋体"/>
          <w:spacing w:val="5"/>
          <w:sz w:val="27"/>
          <w:szCs w:val="27"/>
        </w:rPr>
        <w:t>中数据库和数据文件的需求。如果所有有关内部数据的决策都留待设计时或留</w:t>
      </w:r>
      <w:r>
        <w:rPr>
          <w:rFonts w:ascii="宋体" w:hAnsi="宋体" w:eastAsia="宋体" w:cs="宋体"/>
          <w:spacing w:val="3"/>
          <w:sz w:val="27"/>
          <w:szCs w:val="27"/>
        </w:rPr>
        <w:t xml:space="preserve"> </w:t>
      </w:r>
      <w:r>
        <w:rPr>
          <w:rFonts w:ascii="宋体" w:hAnsi="宋体" w:eastAsia="宋体" w:cs="宋体"/>
          <w:spacing w:val="-3"/>
          <w:sz w:val="27"/>
          <w:szCs w:val="27"/>
        </w:rPr>
        <w:t>待系统部件的需求规格说明中给出，则需在此说明。如果要给出这种需求，则可</w:t>
      </w:r>
      <w:r>
        <w:rPr>
          <w:rFonts w:ascii="宋体" w:hAnsi="宋体" w:eastAsia="宋体" w:cs="宋体"/>
          <w:spacing w:val="15"/>
          <w:sz w:val="27"/>
          <w:szCs w:val="27"/>
        </w:rPr>
        <w:t xml:space="preserve"> </w:t>
      </w:r>
      <w:r>
        <w:rPr>
          <w:rFonts w:ascii="宋体" w:hAnsi="宋体" w:eastAsia="宋体" w:cs="宋体"/>
          <w:spacing w:val="6"/>
          <w:sz w:val="27"/>
          <w:szCs w:val="27"/>
        </w:rPr>
        <w:t>考虑在3.3.</w:t>
      </w:r>
      <w:r>
        <w:rPr>
          <w:rFonts w:ascii="Times New Roman" w:hAnsi="Times New Roman" w:eastAsia="Times New Roman" w:cs="Times New Roman"/>
          <w:sz w:val="27"/>
          <w:szCs w:val="27"/>
        </w:rPr>
        <w:t>X</w:t>
      </w:r>
      <w:r>
        <w:rPr>
          <w:rFonts w:ascii="Times New Roman" w:hAnsi="Times New Roman" w:eastAsia="Times New Roman" w:cs="Times New Roman"/>
          <w:spacing w:val="6"/>
          <w:sz w:val="27"/>
          <w:szCs w:val="27"/>
        </w:rPr>
        <w:t xml:space="preserve">   </w:t>
      </w:r>
      <w:r>
        <w:rPr>
          <w:rFonts w:ascii="Times New Roman" w:hAnsi="Times New Roman" w:eastAsia="Times New Roman" w:cs="Times New Roman"/>
          <w:sz w:val="27"/>
          <w:szCs w:val="27"/>
        </w:rPr>
        <w:t>c</w:t>
      </w:r>
      <w:r>
        <w:rPr>
          <w:rFonts w:ascii="Times New Roman" w:hAnsi="Times New Roman" w:eastAsia="Times New Roman" w:cs="Times New Roman"/>
          <w:spacing w:val="6"/>
          <w:sz w:val="27"/>
          <w:szCs w:val="27"/>
        </w:rPr>
        <w:t>)</w:t>
      </w:r>
      <w:r>
        <w:rPr>
          <w:rFonts w:ascii="宋体" w:hAnsi="宋体" w:eastAsia="宋体" w:cs="宋体"/>
          <w:spacing w:val="6"/>
          <w:sz w:val="27"/>
          <w:szCs w:val="27"/>
        </w:rPr>
        <w:t>和3.3.</w:t>
      </w:r>
      <w:r>
        <w:rPr>
          <w:rFonts w:ascii="Times New Roman" w:hAnsi="Times New Roman" w:eastAsia="Times New Roman" w:cs="Times New Roman"/>
          <w:sz w:val="27"/>
          <w:szCs w:val="27"/>
        </w:rPr>
        <w:t>X</w:t>
      </w:r>
      <w:r>
        <w:rPr>
          <w:rFonts w:ascii="Times New Roman" w:hAnsi="Times New Roman" w:eastAsia="Times New Roman" w:cs="Times New Roman"/>
          <w:spacing w:val="6"/>
          <w:sz w:val="27"/>
          <w:szCs w:val="27"/>
        </w:rPr>
        <w:t xml:space="preserve">   </w:t>
      </w:r>
      <w:r>
        <w:rPr>
          <w:rFonts w:ascii="Times New Roman" w:hAnsi="Times New Roman" w:eastAsia="Times New Roman" w:cs="Times New Roman"/>
          <w:sz w:val="27"/>
          <w:szCs w:val="27"/>
        </w:rPr>
        <w:t>d</w:t>
      </w:r>
      <w:r>
        <w:rPr>
          <w:rFonts w:ascii="Times New Roman" w:hAnsi="Times New Roman" w:eastAsia="Times New Roman" w:cs="Times New Roman"/>
          <w:spacing w:val="5"/>
          <w:sz w:val="27"/>
          <w:szCs w:val="27"/>
        </w:rPr>
        <w:t>)</w:t>
      </w:r>
      <w:r>
        <w:rPr>
          <w:rFonts w:ascii="宋体" w:hAnsi="宋体" w:eastAsia="宋体" w:cs="宋体"/>
          <w:spacing w:val="5"/>
          <w:sz w:val="27"/>
          <w:szCs w:val="27"/>
        </w:rPr>
        <w:t>中列出的主题。</w:t>
      </w:r>
    </w:p>
    <w:p w14:paraId="192AFE48">
      <w:pPr>
        <w:spacing w:before="45" w:line="223" w:lineRule="auto"/>
        <w:rPr>
          <w:rFonts w:ascii="黑体" w:hAnsi="黑体" w:eastAsia="黑体" w:cs="黑体"/>
          <w:sz w:val="27"/>
          <w:szCs w:val="27"/>
        </w:rPr>
      </w:pPr>
      <w:r>
        <w:rPr>
          <w:rFonts w:ascii="黑体" w:hAnsi="黑体" w:eastAsia="黑体" w:cs="黑体"/>
          <w:spacing w:val="3"/>
          <w:sz w:val="27"/>
          <w:szCs w:val="27"/>
        </w:rPr>
        <w:t xml:space="preserve">3.6  </w:t>
      </w:r>
      <w:r>
        <w:rPr>
          <w:rFonts w:ascii="黑体" w:hAnsi="黑体" w:eastAsia="黑体" w:cs="黑体"/>
          <w:b/>
          <w:bCs/>
          <w:spacing w:val="3"/>
          <w:sz w:val="27"/>
          <w:szCs w:val="27"/>
        </w:rPr>
        <w:t>适应性需求</w:t>
      </w:r>
    </w:p>
    <w:p w14:paraId="02ADB10D">
      <w:pPr>
        <w:spacing w:before="104" w:line="278" w:lineRule="auto"/>
        <w:ind w:right="104" w:firstLine="560"/>
        <w:jc w:val="both"/>
        <w:rPr>
          <w:rFonts w:ascii="宋体" w:hAnsi="宋体" w:eastAsia="宋体" w:cs="宋体"/>
          <w:sz w:val="27"/>
          <w:szCs w:val="27"/>
        </w:rPr>
      </w:pPr>
      <w:r>
        <w:rPr>
          <w:rFonts w:ascii="宋体" w:hAnsi="宋体" w:eastAsia="宋体" w:cs="宋体"/>
          <w:spacing w:val="1"/>
          <w:sz w:val="27"/>
          <w:szCs w:val="27"/>
        </w:rPr>
        <w:t>若有适应性需求，则本条应指明要求系统提供的、与安装有关的数据(如现</w:t>
      </w:r>
      <w:r>
        <w:rPr>
          <w:rFonts w:ascii="宋体" w:hAnsi="宋体" w:eastAsia="宋体" w:cs="宋体"/>
          <w:spacing w:val="11"/>
          <w:sz w:val="27"/>
          <w:szCs w:val="27"/>
        </w:rPr>
        <w:t xml:space="preserve"> </w:t>
      </w:r>
      <w:r>
        <w:rPr>
          <w:rFonts w:ascii="宋体" w:hAnsi="宋体" w:eastAsia="宋体" w:cs="宋体"/>
          <w:spacing w:val="5"/>
          <w:sz w:val="27"/>
          <w:szCs w:val="27"/>
        </w:rPr>
        <w:t>场的经纬度)和要求系统使用的、根据运行需要可能变化的运行参数(如指示与</w:t>
      </w:r>
      <w:r>
        <w:rPr>
          <w:rFonts w:ascii="宋体" w:hAnsi="宋体" w:eastAsia="宋体" w:cs="宋体"/>
          <w:spacing w:val="16"/>
          <w:sz w:val="27"/>
          <w:szCs w:val="27"/>
        </w:rPr>
        <w:t xml:space="preserve"> </w:t>
      </w:r>
      <w:r>
        <w:rPr>
          <w:rFonts w:ascii="宋体" w:hAnsi="宋体" w:eastAsia="宋体" w:cs="宋体"/>
          <w:spacing w:val="3"/>
          <w:sz w:val="27"/>
          <w:szCs w:val="27"/>
        </w:rPr>
        <w:t>运行有关的目标常量或数据记录的参数)。</w:t>
      </w:r>
    </w:p>
    <w:p w14:paraId="2357135C">
      <w:pPr>
        <w:spacing w:line="223" w:lineRule="auto"/>
        <w:rPr>
          <w:rFonts w:ascii="黑体" w:hAnsi="黑体" w:eastAsia="黑体" w:cs="黑体"/>
          <w:sz w:val="27"/>
          <w:szCs w:val="27"/>
        </w:rPr>
      </w:pPr>
      <w:r>
        <w:rPr>
          <w:rFonts w:ascii="黑体" w:hAnsi="黑体" w:eastAsia="黑体" w:cs="黑体"/>
          <w:spacing w:val="-1"/>
          <w:sz w:val="27"/>
          <w:szCs w:val="27"/>
        </w:rPr>
        <w:t>3.7</w:t>
      </w:r>
      <w:r>
        <w:rPr>
          <w:rFonts w:ascii="黑体" w:hAnsi="黑体" w:eastAsia="黑体" w:cs="黑体"/>
          <w:spacing w:val="9"/>
          <w:sz w:val="27"/>
          <w:szCs w:val="27"/>
        </w:rPr>
        <w:t xml:space="preserve">  </w:t>
      </w:r>
      <w:r>
        <w:rPr>
          <w:rFonts w:ascii="黑体" w:hAnsi="黑体" w:eastAsia="黑体" w:cs="黑体"/>
          <w:b/>
          <w:bCs/>
          <w:spacing w:val="-1"/>
          <w:sz w:val="27"/>
          <w:szCs w:val="27"/>
        </w:rPr>
        <w:t>安全性需求</w:t>
      </w:r>
    </w:p>
    <w:p w14:paraId="54F14FAA">
      <w:pPr>
        <w:spacing w:before="103" w:line="272" w:lineRule="auto"/>
        <w:ind w:firstLine="560"/>
        <w:jc w:val="both"/>
        <w:rPr>
          <w:rFonts w:ascii="宋体" w:hAnsi="宋体" w:eastAsia="宋体" w:cs="宋体"/>
          <w:sz w:val="27"/>
          <w:szCs w:val="27"/>
        </w:rPr>
      </w:pPr>
      <w:r>
        <w:rPr>
          <w:rFonts w:ascii="宋体" w:hAnsi="宋体" w:eastAsia="宋体" w:cs="宋体"/>
          <w:spacing w:val="-3"/>
          <w:sz w:val="27"/>
          <w:szCs w:val="27"/>
        </w:rPr>
        <w:t>若有安全性需求，则本条应描述有关防止对人员、财产、环境产生意外危险</w:t>
      </w:r>
      <w:r>
        <w:rPr>
          <w:rFonts w:ascii="宋体" w:hAnsi="宋体" w:eastAsia="宋体" w:cs="宋体"/>
          <w:spacing w:val="9"/>
          <w:sz w:val="27"/>
          <w:szCs w:val="27"/>
        </w:rPr>
        <w:t xml:space="preserve"> </w:t>
      </w:r>
      <w:r>
        <w:rPr>
          <w:rFonts w:ascii="宋体" w:hAnsi="宋体" w:eastAsia="宋体" w:cs="宋体"/>
          <w:spacing w:val="-7"/>
          <w:sz w:val="27"/>
          <w:szCs w:val="27"/>
        </w:rPr>
        <w:t>或把此类危险减少到最低的系统需求，其中包括：危险物品使用的限制；为运输、</w:t>
      </w:r>
      <w:r>
        <w:rPr>
          <w:rFonts w:ascii="宋体" w:hAnsi="宋体" w:eastAsia="宋体" w:cs="宋体"/>
          <w:spacing w:val="16"/>
          <w:sz w:val="27"/>
          <w:szCs w:val="27"/>
        </w:rPr>
        <w:t xml:space="preserve"> </w:t>
      </w:r>
      <w:r>
        <w:rPr>
          <w:rFonts w:ascii="宋体" w:hAnsi="宋体" w:eastAsia="宋体" w:cs="宋体"/>
          <w:spacing w:val="-6"/>
          <w:sz w:val="27"/>
          <w:szCs w:val="27"/>
        </w:rPr>
        <w:t>处理、存储的目的而对爆炸物品进行分类；异常中止/异常出口规定；气体检测和</w:t>
      </w:r>
      <w:r>
        <w:rPr>
          <w:rFonts w:ascii="宋体" w:hAnsi="宋体" w:eastAsia="宋体" w:cs="宋体"/>
          <w:spacing w:val="1"/>
          <w:sz w:val="27"/>
          <w:szCs w:val="27"/>
        </w:rPr>
        <w:t xml:space="preserve"> </w:t>
      </w:r>
      <w:r>
        <w:rPr>
          <w:rFonts w:ascii="宋体" w:hAnsi="宋体" w:eastAsia="宋体" w:cs="宋体"/>
          <w:spacing w:val="-17"/>
          <w:sz w:val="27"/>
          <w:szCs w:val="27"/>
        </w:rPr>
        <w:t>报警设备；电力系统接地；排污；防爆等。</w:t>
      </w:r>
    </w:p>
    <w:p w14:paraId="57086576">
      <w:pPr>
        <w:spacing w:before="16" w:line="221" w:lineRule="auto"/>
        <w:rPr>
          <w:rFonts w:ascii="黑体" w:hAnsi="黑体" w:eastAsia="黑体" w:cs="黑体"/>
          <w:sz w:val="27"/>
          <w:szCs w:val="27"/>
        </w:rPr>
      </w:pPr>
      <w:r>
        <w:rPr>
          <w:rFonts w:ascii="黑体" w:hAnsi="黑体" w:eastAsia="黑体" w:cs="黑体"/>
          <w:spacing w:val="-1"/>
          <w:sz w:val="27"/>
          <w:szCs w:val="27"/>
        </w:rPr>
        <w:t>3.8</w:t>
      </w:r>
      <w:r>
        <w:rPr>
          <w:rFonts w:ascii="黑体" w:hAnsi="黑体" w:eastAsia="黑体" w:cs="黑体"/>
          <w:spacing w:val="9"/>
          <w:sz w:val="27"/>
          <w:szCs w:val="27"/>
        </w:rPr>
        <w:t xml:space="preserve">  </w:t>
      </w:r>
      <w:r>
        <w:rPr>
          <w:rFonts w:ascii="黑体" w:hAnsi="黑体" w:eastAsia="黑体" w:cs="黑体"/>
          <w:b/>
          <w:bCs/>
          <w:spacing w:val="-1"/>
          <w:sz w:val="27"/>
          <w:szCs w:val="27"/>
        </w:rPr>
        <w:t>保密性需求</w:t>
      </w:r>
    </w:p>
    <w:p w14:paraId="0FFD53C0">
      <w:pPr>
        <w:spacing w:before="125" w:line="272" w:lineRule="auto"/>
        <w:ind w:right="114" w:firstLine="560"/>
        <w:jc w:val="both"/>
        <w:rPr>
          <w:rFonts w:ascii="宋体" w:hAnsi="宋体" w:eastAsia="宋体" w:cs="宋体"/>
          <w:sz w:val="27"/>
          <w:szCs w:val="27"/>
        </w:rPr>
      </w:pPr>
      <w:r>
        <w:rPr>
          <w:rFonts w:ascii="宋体" w:hAnsi="宋体" w:eastAsia="宋体" w:cs="宋体"/>
          <w:spacing w:val="-3"/>
          <w:sz w:val="27"/>
          <w:szCs w:val="27"/>
        </w:rPr>
        <w:t>若有保密性需求，则本条应指明维持保密性的系统需求，包括：系统运</w:t>
      </w:r>
      <w:r>
        <w:rPr>
          <w:rFonts w:ascii="宋体" w:hAnsi="宋体" w:eastAsia="宋体" w:cs="宋体"/>
          <w:spacing w:val="-4"/>
          <w:sz w:val="27"/>
          <w:szCs w:val="27"/>
        </w:rPr>
        <w:t>行的</w:t>
      </w:r>
      <w:r>
        <w:rPr>
          <w:rFonts w:ascii="宋体" w:hAnsi="宋体" w:eastAsia="宋体" w:cs="宋体"/>
          <w:sz w:val="27"/>
          <w:szCs w:val="27"/>
        </w:rPr>
        <w:t xml:space="preserve"> </w:t>
      </w:r>
      <w:r>
        <w:rPr>
          <w:rFonts w:ascii="宋体" w:hAnsi="宋体" w:eastAsia="宋体" w:cs="宋体"/>
          <w:spacing w:val="-3"/>
          <w:sz w:val="27"/>
          <w:szCs w:val="27"/>
        </w:rPr>
        <w:t>保密性环境、提供的保密性的类型和程度、系统必须经受住的保密性的风险、减</w:t>
      </w:r>
      <w:r>
        <w:rPr>
          <w:rFonts w:ascii="宋体" w:hAnsi="宋体" w:eastAsia="宋体" w:cs="宋体"/>
          <w:spacing w:val="17"/>
          <w:sz w:val="27"/>
          <w:szCs w:val="27"/>
        </w:rPr>
        <w:t xml:space="preserve"> </w:t>
      </w:r>
      <w:r>
        <w:rPr>
          <w:rFonts w:ascii="宋体" w:hAnsi="宋体" w:eastAsia="宋体" w:cs="宋体"/>
          <w:spacing w:val="-2"/>
          <w:sz w:val="27"/>
          <w:szCs w:val="27"/>
        </w:rPr>
        <w:t>少此类风险所需的安全措施、系统必须遵循的</w:t>
      </w:r>
      <w:r>
        <w:rPr>
          <w:rFonts w:ascii="宋体" w:hAnsi="宋体" w:eastAsia="宋体" w:cs="宋体"/>
          <w:spacing w:val="-3"/>
          <w:sz w:val="27"/>
          <w:szCs w:val="27"/>
        </w:rPr>
        <w:t>保密性政策、系统必须具备的保密</w:t>
      </w:r>
      <w:r>
        <w:rPr>
          <w:rFonts w:ascii="宋体" w:hAnsi="宋体" w:eastAsia="宋体" w:cs="宋体"/>
          <w:sz w:val="27"/>
          <w:szCs w:val="27"/>
        </w:rPr>
        <w:t xml:space="preserve"> </w:t>
      </w:r>
      <w:r>
        <w:rPr>
          <w:rFonts w:ascii="宋体" w:hAnsi="宋体" w:eastAsia="宋体" w:cs="宋体"/>
          <w:spacing w:val="-3"/>
          <w:sz w:val="27"/>
          <w:szCs w:val="27"/>
        </w:rPr>
        <w:t>性责任、保密性认证/认可必须满足的准则等。</w:t>
      </w:r>
    </w:p>
    <w:p w14:paraId="33C01064">
      <w:pPr>
        <w:spacing w:line="272" w:lineRule="auto"/>
        <w:rPr>
          <w:rFonts w:ascii="宋体" w:hAnsi="宋体" w:eastAsia="宋体" w:cs="宋体"/>
          <w:sz w:val="27"/>
          <w:szCs w:val="27"/>
        </w:rPr>
        <w:sectPr>
          <w:footerReference r:id="rId193" w:type="default"/>
          <w:pgSz w:w="11910" w:h="17130"/>
          <w:pgMar w:top="400" w:right="824" w:bottom="1593" w:left="1599" w:header="0" w:footer="1395" w:gutter="0"/>
          <w:cols w:space="720" w:num="1"/>
        </w:sectPr>
      </w:pPr>
    </w:p>
    <w:p w14:paraId="2B745A31">
      <w:pPr>
        <w:pStyle w:val="2"/>
        <w:spacing w:line="255" w:lineRule="auto"/>
      </w:pPr>
    </w:p>
    <w:p w14:paraId="3474B195">
      <w:pPr>
        <w:pStyle w:val="2"/>
        <w:spacing w:line="255" w:lineRule="auto"/>
      </w:pPr>
    </w:p>
    <w:p w14:paraId="40484DB0">
      <w:pPr>
        <w:pStyle w:val="2"/>
        <w:spacing w:line="255" w:lineRule="auto"/>
      </w:pPr>
    </w:p>
    <w:p w14:paraId="506CF669">
      <w:pPr>
        <w:pStyle w:val="2"/>
        <w:spacing w:line="255" w:lineRule="auto"/>
      </w:pPr>
    </w:p>
    <w:p w14:paraId="1CF0BB6E">
      <w:pPr>
        <w:spacing w:before="88" w:line="221" w:lineRule="auto"/>
        <w:rPr>
          <w:rFonts w:ascii="黑体" w:hAnsi="黑体" w:eastAsia="黑体" w:cs="黑体"/>
          <w:sz w:val="27"/>
          <w:szCs w:val="27"/>
        </w:rPr>
      </w:pPr>
      <w:r>
        <w:rPr>
          <w:rFonts w:ascii="黑体" w:hAnsi="黑体" w:eastAsia="黑体" w:cs="黑体"/>
          <w:spacing w:val="-3"/>
          <w:sz w:val="27"/>
          <w:szCs w:val="27"/>
        </w:rPr>
        <w:t>3.9</w:t>
      </w:r>
      <w:r>
        <w:rPr>
          <w:rFonts w:ascii="黑体" w:hAnsi="黑体" w:eastAsia="黑体" w:cs="黑体"/>
          <w:spacing w:val="37"/>
          <w:sz w:val="27"/>
          <w:szCs w:val="27"/>
        </w:rPr>
        <w:t xml:space="preserve">  </w:t>
      </w:r>
      <w:r>
        <w:rPr>
          <w:rFonts w:ascii="黑体" w:hAnsi="黑体" w:eastAsia="黑体" w:cs="黑体"/>
          <w:b/>
          <w:bCs/>
          <w:spacing w:val="-3"/>
          <w:sz w:val="27"/>
          <w:szCs w:val="27"/>
        </w:rPr>
        <w:t>系统环境需求</w:t>
      </w:r>
    </w:p>
    <w:p w14:paraId="5DE1D0E1">
      <w:pPr>
        <w:spacing w:before="71" w:line="279" w:lineRule="auto"/>
        <w:ind w:firstLine="570"/>
        <w:jc w:val="both"/>
        <w:rPr>
          <w:rFonts w:ascii="宋体" w:hAnsi="宋体" w:eastAsia="宋体" w:cs="宋体"/>
          <w:sz w:val="27"/>
          <w:szCs w:val="27"/>
        </w:rPr>
      </w:pPr>
      <w:r>
        <w:rPr>
          <w:rFonts w:ascii="宋体" w:hAnsi="宋体" w:eastAsia="宋体" w:cs="宋体"/>
          <w:spacing w:val="6"/>
          <w:sz w:val="27"/>
          <w:szCs w:val="27"/>
        </w:rPr>
        <w:t>若有系统环境需求，则本条应指明与系统运行</w:t>
      </w:r>
      <w:r>
        <w:rPr>
          <w:rFonts w:ascii="宋体" w:hAnsi="宋体" w:eastAsia="宋体" w:cs="宋体"/>
          <w:spacing w:val="5"/>
          <w:sz w:val="27"/>
          <w:szCs w:val="27"/>
        </w:rPr>
        <w:t>必需的环境有关的需求。对</w:t>
      </w:r>
      <w:r>
        <w:rPr>
          <w:rFonts w:ascii="宋体" w:hAnsi="宋体" w:eastAsia="宋体" w:cs="宋体"/>
          <w:sz w:val="27"/>
          <w:szCs w:val="27"/>
        </w:rPr>
        <w:t xml:space="preserve"> </w:t>
      </w:r>
      <w:r>
        <w:rPr>
          <w:rFonts w:ascii="宋体" w:hAnsi="宋体" w:eastAsia="宋体" w:cs="宋体"/>
          <w:spacing w:val="1"/>
          <w:sz w:val="27"/>
          <w:szCs w:val="27"/>
        </w:rPr>
        <w:t>软件系统而言，运行环境包括支持系统运行的计算机硬件和操作系统(其他有关</w:t>
      </w:r>
      <w:r>
        <w:rPr>
          <w:rFonts w:ascii="宋体" w:hAnsi="宋体" w:eastAsia="宋体" w:cs="宋体"/>
          <w:spacing w:val="5"/>
          <w:sz w:val="27"/>
          <w:szCs w:val="27"/>
        </w:rPr>
        <w:t xml:space="preserve">  </w:t>
      </w:r>
      <w:r>
        <w:rPr>
          <w:rFonts w:ascii="宋体" w:hAnsi="宋体" w:eastAsia="宋体" w:cs="宋体"/>
          <w:spacing w:val="1"/>
          <w:sz w:val="27"/>
          <w:szCs w:val="27"/>
        </w:rPr>
        <w:t>计算机资源方面的需求在下一条描述)。对硬软件系统而言，运行环境包括系统</w:t>
      </w:r>
      <w:r>
        <w:rPr>
          <w:rFonts w:ascii="宋体" w:hAnsi="宋体" w:eastAsia="宋体" w:cs="宋体"/>
          <w:spacing w:val="5"/>
          <w:sz w:val="27"/>
          <w:szCs w:val="27"/>
        </w:rPr>
        <w:t xml:space="preserve">  </w:t>
      </w:r>
      <w:r>
        <w:rPr>
          <w:rFonts w:ascii="宋体" w:hAnsi="宋体" w:eastAsia="宋体" w:cs="宋体"/>
          <w:spacing w:val="-10"/>
          <w:sz w:val="27"/>
          <w:szCs w:val="27"/>
        </w:rPr>
        <w:t>在运输、贮存和操作过程中必须经受的环境条件，如自然环境条件(风、雨、温度、</w:t>
      </w:r>
      <w:r>
        <w:rPr>
          <w:rFonts w:ascii="宋体" w:hAnsi="宋体" w:eastAsia="宋体" w:cs="宋体"/>
          <w:sz w:val="27"/>
          <w:szCs w:val="27"/>
        </w:rPr>
        <w:t xml:space="preserve"> </w:t>
      </w:r>
      <w:r>
        <w:rPr>
          <w:rFonts w:ascii="宋体" w:hAnsi="宋体" w:eastAsia="宋体" w:cs="宋体"/>
          <w:spacing w:val="-13"/>
          <w:sz w:val="27"/>
          <w:szCs w:val="27"/>
        </w:rPr>
        <w:t>地置位置)、诱发环境(运动、撞击、噪声、电磁辐射)</w:t>
      </w:r>
      <w:r>
        <w:rPr>
          <w:rFonts w:ascii="宋体" w:hAnsi="宋体" w:eastAsia="宋体" w:cs="宋体"/>
          <w:spacing w:val="-14"/>
          <w:sz w:val="27"/>
          <w:szCs w:val="27"/>
        </w:rPr>
        <w:t>和对抗环境(爆炸、辐射)。</w:t>
      </w:r>
    </w:p>
    <w:p w14:paraId="790A3F19">
      <w:pPr>
        <w:spacing w:before="14" w:line="221" w:lineRule="auto"/>
        <w:rPr>
          <w:rFonts w:ascii="黑体" w:hAnsi="黑体" w:eastAsia="黑体" w:cs="黑体"/>
          <w:sz w:val="27"/>
          <w:szCs w:val="27"/>
        </w:rPr>
      </w:pPr>
      <w:r>
        <w:rPr>
          <w:rFonts w:ascii="黑体" w:hAnsi="黑体" w:eastAsia="黑体" w:cs="黑体"/>
          <w:sz w:val="27"/>
          <w:szCs w:val="27"/>
        </w:rPr>
        <w:t>3.10</w:t>
      </w:r>
      <w:r>
        <w:rPr>
          <w:rFonts w:ascii="黑体" w:hAnsi="黑体" w:eastAsia="黑体" w:cs="黑体"/>
          <w:spacing w:val="25"/>
          <w:sz w:val="27"/>
          <w:szCs w:val="27"/>
        </w:rPr>
        <w:t xml:space="preserve">  </w:t>
      </w:r>
      <w:r>
        <w:rPr>
          <w:rFonts w:ascii="黑体" w:hAnsi="黑体" w:eastAsia="黑体" w:cs="黑体"/>
          <w:b/>
          <w:bCs/>
          <w:sz w:val="27"/>
          <w:szCs w:val="27"/>
        </w:rPr>
        <w:t>计算机资源需求</w:t>
      </w:r>
    </w:p>
    <w:p w14:paraId="5ED1D714">
      <w:pPr>
        <w:spacing w:before="87" w:line="222" w:lineRule="auto"/>
        <w:rPr>
          <w:rFonts w:ascii="黑体" w:hAnsi="黑体" w:eastAsia="黑体" w:cs="黑体"/>
          <w:sz w:val="27"/>
          <w:szCs w:val="27"/>
        </w:rPr>
      </w:pPr>
      <w:r>
        <w:rPr>
          <w:rFonts w:ascii="黑体" w:hAnsi="黑体" w:eastAsia="黑体" w:cs="黑体"/>
          <w:sz w:val="27"/>
          <w:szCs w:val="27"/>
        </w:rPr>
        <w:t>3.10.1</w:t>
      </w:r>
      <w:r>
        <w:rPr>
          <w:rFonts w:ascii="黑体" w:hAnsi="黑体" w:eastAsia="黑体" w:cs="黑体"/>
          <w:spacing w:val="20"/>
          <w:sz w:val="27"/>
          <w:szCs w:val="27"/>
        </w:rPr>
        <w:t xml:space="preserve">  </w:t>
      </w:r>
      <w:r>
        <w:rPr>
          <w:rFonts w:ascii="黑体" w:hAnsi="黑体" w:eastAsia="黑体" w:cs="黑体"/>
          <w:b/>
          <w:bCs/>
          <w:sz w:val="27"/>
          <w:szCs w:val="27"/>
        </w:rPr>
        <w:t>计算机硬件需求</w:t>
      </w:r>
    </w:p>
    <w:p w14:paraId="1EF3A8C2">
      <w:pPr>
        <w:spacing w:before="48" w:line="282" w:lineRule="auto"/>
        <w:ind w:right="93" w:firstLine="570"/>
        <w:jc w:val="both"/>
        <w:rPr>
          <w:rFonts w:ascii="宋体" w:hAnsi="宋体" w:eastAsia="宋体" w:cs="宋体"/>
          <w:sz w:val="27"/>
          <w:szCs w:val="27"/>
        </w:rPr>
      </w:pPr>
      <w:r>
        <w:rPr>
          <w:rFonts w:ascii="宋体" w:hAnsi="宋体" w:eastAsia="宋体" w:cs="宋体"/>
          <w:spacing w:val="-3"/>
          <w:sz w:val="27"/>
          <w:szCs w:val="27"/>
        </w:rPr>
        <w:t>本条应描述系统使用的或引入到系统中的计算机硬件需求，其中包括：各类</w:t>
      </w:r>
      <w:r>
        <w:rPr>
          <w:rFonts w:ascii="宋体" w:hAnsi="宋体" w:eastAsia="宋体" w:cs="宋体"/>
          <w:spacing w:val="9"/>
          <w:sz w:val="27"/>
          <w:szCs w:val="27"/>
        </w:rPr>
        <w:t xml:space="preserve"> </w:t>
      </w:r>
      <w:r>
        <w:rPr>
          <w:rFonts w:ascii="宋体" w:hAnsi="宋体" w:eastAsia="宋体" w:cs="宋体"/>
          <w:spacing w:val="-17"/>
          <w:sz w:val="27"/>
          <w:szCs w:val="27"/>
        </w:rPr>
        <w:t>设备的数量，处理器、存储器、输入/输出设备、辅助存储器、通信/网络设备、其他</w:t>
      </w:r>
      <w:r>
        <w:rPr>
          <w:rFonts w:ascii="宋体" w:hAnsi="宋体" w:eastAsia="宋体" w:cs="宋体"/>
          <w:spacing w:val="14"/>
          <w:sz w:val="27"/>
          <w:szCs w:val="27"/>
        </w:rPr>
        <w:t xml:space="preserve"> </w:t>
      </w:r>
      <w:r>
        <w:rPr>
          <w:rFonts w:ascii="宋体" w:hAnsi="宋体" w:eastAsia="宋体" w:cs="宋体"/>
          <w:spacing w:val="-6"/>
          <w:sz w:val="27"/>
          <w:szCs w:val="27"/>
        </w:rPr>
        <w:t>所需的设备的类型、大小、能力(容量)及其他所要求的特征。</w:t>
      </w:r>
    </w:p>
    <w:p w14:paraId="2743F84D">
      <w:pPr>
        <w:spacing w:before="1" w:line="220" w:lineRule="auto"/>
        <w:rPr>
          <w:rFonts w:ascii="黑体" w:hAnsi="黑体" w:eastAsia="黑体" w:cs="黑体"/>
          <w:sz w:val="27"/>
          <w:szCs w:val="27"/>
        </w:rPr>
      </w:pPr>
      <w:r>
        <w:rPr>
          <w:rFonts w:ascii="黑体" w:hAnsi="黑体" w:eastAsia="黑体" w:cs="黑体"/>
          <w:spacing w:val="2"/>
          <w:sz w:val="27"/>
          <w:szCs w:val="27"/>
        </w:rPr>
        <w:t xml:space="preserve">3.10.2  </w:t>
      </w:r>
      <w:r>
        <w:rPr>
          <w:rFonts w:ascii="黑体" w:hAnsi="黑体" w:eastAsia="黑体" w:cs="黑体"/>
          <w:b/>
          <w:bCs/>
          <w:spacing w:val="2"/>
          <w:sz w:val="27"/>
          <w:szCs w:val="27"/>
        </w:rPr>
        <w:t>计算机硬件资源利用需求</w:t>
      </w:r>
    </w:p>
    <w:p w14:paraId="79874778">
      <w:pPr>
        <w:spacing w:before="90" w:line="275" w:lineRule="auto"/>
        <w:ind w:right="93" w:firstLine="570"/>
        <w:jc w:val="both"/>
        <w:rPr>
          <w:rFonts w:ascii="宋体" w:hAnsi="宋体" w:eastAsia="宋体" w:cs="宋体"/>
          <w:sz w:val="27"/>
          <w:szCs w:val="27"/>
        </w:rPr>
      </w:pPr>
      <w:r>
        <w:rPr>
          <w:rFonts w:ascii="宋体" w:hAnsi="宋体" w:eastAsia="宋体" w:cs="宋体"/>
          <w:spacing w:val="-3"/>
          <w:sz w:val="27"/>
          <w:szCs w:val="27"/>
        </w:rPr>
        <w:t>本条应描述系统的计算机硬件资源利用方面的需求，如，最大许可使用的处</w:t>
      </w:r>
      <w:r>
        <w:rPr>
          <w:rFonts w:ascii="宋体" w:hAnsi="宋体" w:eastAsia="宋体" w:cs="宋体"/>
          <w:spacing w:val="9"/>
          <w:sz w:val="27"/>
          <w:szCs w:val="27"/>
        </w:rPr>
        <w:t xml:space="preserve"> </w:t>
      </w:r>
      <w:r>
        <w:rPr>
          <w:rFonts w:ascii="宋体" w:hAnsi="宋体" w:eastAsia="宋体" w:cs="宋体"/>
          <w:spacing w:val="-2"/>
          <w:sz w:val="27"/>
          <w:szCs w:val="27"/>
        </w:rPr>
        <w:t>理器能力、存储器容量、输入/输出设备能</w:t>
      </w:r>
      <w:r>
        <w:rPr>
          <w:rFonts w:ascii="宋体" w:hAnsi="宋体" w:eastAsia="宋体" w:cs="宋体"/>
          <w:spacing w:val="-3"/>
          <w:sz w:val="27"/>
          <w:szCs w:val="27"/>
        </w:rPr>
        <w:t>力、辅助存储器容量和通信/网络设备</w:t>
      </w:r>
      <w:r>
        <w:rPr>
          <w:rFonts w:ascii="宋体" w:hAnsi="宋体" w:eastAsia="宋体" w:cs="宋体"/>
          <w:sz w:val="27"/>
          <w:szCs w:val="27"/>
        </w:rPr>
        <w:t xml:space="preserve"> </w:t>
      </w:r>
      <w:r>
        <w:rPr>
          <w:rFonts w:ascii="宋体" w:hAnsi="宋体" w:eastAsia="宋体" w:cs="宋体"/>
          <w:spacing w:val="5"/>
          <w:sz w:val="27"/>
          <w:szCs w:val="27"/>
        </w:rPr>
        <w:t>能力。这些要求(例如表示为每个计算机硬件资源能力的百分比)还应包括测量</w:t>
      </w:r>
      <w:r>
        <w:rPr>
          <w:rFonts w:ascii="宋体" w:hAnsi="宋体" w:eastAsia="宋体" w:cs="宋体"/>
          <w:spacing w:val="4"/>
          <w:sz w:val="27"/>
          <w:szCs w:val="27"/>
        </w:rPr>
        <w:t xml:space="preserve"> </w:t>
      </w:r>
      <w:r>
        <w:rPr>
          <w:rFonts w:ascii="宋体" w:hAnsi="宋体" w:eastAsia="宋体" w:cs="宋体"/>
          <w:spacing w:val="3"/>
          <w:sz w:val="27"/>
          <w:szCs w:val="27"/>
        </w:rPr>
        <w:t>资源利用时所要求具备的条件。</w:t>
      </w:r>
    </w:p>
    <w:p w14:paraId="07B7E99D">
      <w:pPr>
        <w:spacing w:before="19" w:line="222" w:lineRule="auto"/>
        <w:rPr>
          <w:rFonts w:ascii="黑体" w:hAnsi="黑体" w:eastAsia="黑体" w:cs="黑体"/>
          <w:sz w:val="27"/>
          <w:szCs w:val="27"/>
        </w:rPr>
      </w:pPr>
      <w:r>
        <w:rPr>
          <w:rFonts w:ascii="黑体" w:hAnsi="黑体" w:eastAsia="黑体" w:cs="黑体"/>
          <w:sz w:val="27"/>
          <w:szCs w:val="27"/>
        </w:rPr>
        <w:t>3.10.3</w:t>
      </w:r>
      <w:r>
        <w:rPr>
          <w:rFonts w:ascii="黑体" w:hAnsi="黑体" w:eastAsia="黑体" w:cs="黑体"/>
          <w:spacing w:val="20"/>
          <w:sz w:val="27"/>
          <w:szCs w:val="27"/>
        </w:rPr>
        <w:t xml:space="preserve">  </w:t>
      </w:r>
      <w:r>
        <w:rPr>
          <w:rFonts w:ascii="黑体" w:hAnsi="黑体" w:eastAsia="黑体" w:cs="黑体"/>
          <w:b/>
          <w:bCs/>
          <w:sz w:val="27"/>
          <w:szCs w:val="27"/>
        </w:rPr>
        <w:t>计算机软件需求</w:t>
      </w:r>
    </w:p>
    <w:p w14:paraId="797DCE70">
      <w:pPr>
        <w:spacing w:before="81" w:line="279" w:lineRule="auto"/>
        <w:ind w:right="93" w:firstLine="570"/>
        <w:jc w:val="both"/>
        <w:rPr>
          <w:rFonts w:ascii="宋体" w:hAnsi="宋体" w:eastAsia="宋体" w:cs="宋体"/>
          <w:sz w:val="27"/>
          <w:szCs w:val="27"/>
        </w:rPr>
      </w:pPr>
      <w:r>
        <w:rPr>
          <w:rFonts w:ascii="宋体" w:hAnsi="宋体" w:eastAsia="宋体" w:cs="宋体"/>
          <w:spacing w:val="-3"/>
          <w:sz w:val="27"/>
          <w:szCs w:val="27"/>
        </w:rPr>
        <w:t>本条应描述系统必须使用或引入系统的计算机软件的需求，如操作系统、数</w:t>
      </w:r>
      <w:r>
        <w:rPr>
          <w:rFonts w:ascii="宋体" w:hAnsi="宋体" w:eastAsia="宋体" w:cs="宋体"/>
          <w:spacing w:val="9"/>
          <w:sz w:val="27"/>
          <w:szCs w:val="27"/>
        </w:rPr>
        <w:t xml:space="preserve"> </w:t>
      </w:r>
      <w:r>
        <w:rPr>
          <w:rFonts w:ascii="宋体" w:hAnsi="宋体" w:eastAsia="宋体" w:cs="宋体"/>
          <w:spacing w:val="-6"/>
          <w:sz w:val="27"/>
          <w:szCs w:val="27"/>
        </w:rPr>
        <w:t>据库管理系统、通信/网络软件、实用软件、输入和设备模</w:t>
      </w:r>
      <w:r>
        <w:rPr>
          <w:rFonts w:ascii="宋体" w:hAnsi="宋体" w:eastAsia="宋体" w:cs="宋体"/>
          <w:spacing w:val="-7"/>
          <w:sz w:val="27"/>
          <w:szCs w:val="27"/>
        </w:rPr>
        <w:t>拟器、测试软件和制造</w:t>
      </w:r>
      <w:r>
        <w:rPr>
          <w:rFonts w:ascii="宋体" w:hAnsi="宋体" w:eastAsia="宋体" w:cs="宋体"/>
          <w:sz w:val="27"/>
          <w:szCs w:val="27"/>
        </w:rPr>
        <w:t xml:space="preserve"> </w:t>
      </w:r>
      <w:r>
        <w:rPr>
          <w:rFonts w:ascii="宋体" w:hAnsi="宋体" w:eastAsia="宋体" w:cs="宋体"/>
          <w:spacing w:val="-1"/>
          <w:sz w:val="27"/>
          <w:szCs w:val="27"/>
        </w:rPr>
        <w:t>用软件。应提供每个软件项的正确名称、版本和引用文档。</w:t>
      </w:r>
    </w:p>
    <w:p w14:paraId="714206B3">
      <w:pPr>
        <w:spacing w:before="1" w:line="221" w:lineRule="auto"/>
        <w:rPr>
          <w:rFonts w:ascii="黑体" w:hAnsi="黑体" w:eastAsia="黑体" w:cs="黑体"/>
          <w:sz w:val="27"/>
          <w:szCs w:val="27"/>
        </w:rPr>
      </w:pPr>
      <w:r>
        <w:rPr>
          <w:rFonts w:ascii="黑体" w:hAnsi="黑体" w:eastAsia="黑体" w:cs="黑体"/>
          <w:spacing w:val="2"/>
          <w:sz w:val="27"/>
          <w:szCs w:val="27"/>
        </w:rPr>
        <w:t xml:space="preserve">3.10.4  </w:t>
      </w:r>
      <w:r>
        <w:rPr>
          <w:rFonts w:ascii="黑体" w:hAnsi="黑体" w:eastAsia="黑体" w:cs="黑体"/>
          <w:b/>
          <w:bCs/>
          <w:spacing w:val="2"/>
          <w:sz w:val="27"/>
          <w:szCs w:val="27"/>
        </w:rPr>
        <w:t>计算机通信需求</w:t>
      </w:r>
    </w:p>
    <w:p w14:paraId="4472A8E1">
      <w:pPr>
        <w:spacing w:before="91" w:line="281" w:lineRule="auto"/>
        <w:ind w:right="94" w:firstLine="570"/>
        <w:jc w:val="both"/>
        <w:rPr>
          <w:rFonts w:ascii="宋体" w:hAnsi="宋体" w:eastAsia="宋体" w:cs="宋体"/>
          <w:sz w:val="27"/>
          <w:szCs w:val="27"/>
        </w:rPr>
      </w:pPr>
      <w:r>
        <w:rPr>
          <w:rFonts w:ascii="宋体" w:hAnsi="宋体" w:eastAsia="宋体" w:cs="宋体"/>
          <w:spacing w:val="6"/>
          <w:sz w:val="27"/>
          <w:szCs w:val="27"/>
        </w:rPr>
        <w:t>本条应描述系统必须使用的或引入系统的计</w:t>
      </w:r>
      <w:r>
        <w:rPr>
          <w:rFonts w:ascii="宋体" w:hAnsi="宋体" w:eastAsia="宋体" w:cs="宋体"/>
          <w:spacing w:val="5"/>
          <w:sz w:val="27"/>
          <w:szCs w:val="27"/>
        </w:rPr>
        <w:t>算机通信方面的需求，如连接</w:t>
      </w:r>
      <w:r>
        <w:rPr>
          <w:rFonts w:ascii="宋体" w:hAnsi="宋体" w:eastAsia="宋体" w:cs="宋体"/>
          <w:sz w:val="27"/>
          <w:szCs w:val="27"/>
        </w:rPr>
        <w:t xml:space="preserve"> </w:t>
      </w:r>
      <w:r>
        <w:rPr>
          <w:rFonts w:ascii="宋体" w:hAnsi="宋体" w:eastAsia="宋体" w:cs="宋体"/>
          <w:spacing w:val="-10"/>
          <w:sz w:val="27"/>
          <w:szCs w:val="27"/>
        </w:rPr>
        <w:t>的地理位置、配置和网络拓扑结构、传输技术、数据传输速率、网关、要求的系统</w:t>
      </w:r>
      <w:r>
        <w:rPr>
          <w:rFonts w:ascii="宋体" w:hAnsi="宋体" w:eastAsia="宋体" w:cs="宋体"/>
          <w:spacing w:val="1"/>
          <w:sz w:val="27"/>
          <w:szCs w:val="27"/>
        </w:rPr>
        <w:t xml:space="preserve"> </w:t>
      </w:r>
      <w:r>
        <w:rPr>
          <w:rFonts w:ascii="宋体" w:hAnsi="宋体" w:eastAsia="宋体" w:cs="宋体"/>
          <w:spacing w:val="-6"/>
          <w:sz w:val="27"/>
          <w:szCs w:val="27"/>
        </w:rPr>
        <w:t>使用时间、传送/接收数据的类型和容量、传送/接收/响应的时间限制、数据量的</w:t>
      </w:r>
      <w:r>
        <w:rPr>
          <w:rFonts w:ascii="宋体" w:hAnsi="宋体" w:eastAsia="宋体" w:cs="宋体"/>
          <w:spacing w:val="6"/>
          <w:sz w:val="27"/>
          <w:szCs w:val="27"/>
        </w:rPr>
        <w:t xml:space="preserve"> </w:t>
      </w:r>
      <w:r>
        <w:rPr>
          <w:rFonts w:ascii="宋体" w:hAnsi="宋体" w:eastAsia="宋体" w:cs="宋体"/>
          <w:spacing w:val="1"/>
          <w:sz w:val="27"/>
          <w:szCs w:val="27"/>
        </w:rPr>
        <w:t>峰值和诊断功能。</w:t>
      </w:r>
    </w:p>
    <w:p w14:paraId="2FBD22AF">
      <w:pPr>
        <w:spacing w:before="2" w:line="220" w:lineRule="auto"/>
        <w:rPr>
          <w:rFonts w:ascii="黑体" w:hAnsi="黑体" w:eastAsia="黑体" w:cs="黑体"/>
          <w:sz w:val="27"/>
          <w:szCs w:val="27"/>
        </w:rPr>
      </w:pPr>
      <w:r>
        <w:rPr>
          <w:rFonts w:ascii="黑体" w:hAnsi="黑体" w:eastAsia="黑体" w:cs="黑体"/>
          <w:spacing w:val="-2"/>
          <w:sz w:val="27"/>
          <w:szCs w:val="27"/>
        </w:rPr>
        <w:t>3.11</w:t>
      </w:r>
      <w:r>
        <w:rPr>
          <w:rFonts w:ascii="黑体" w:hAnsi="黑体" w:eastAsia="黑体" w:cs="黑体"/>
          <w:spacing w:val="33"/>
          <w:sz w:val="27"/>
          <w:szCs w:val="27"/>
        </w:rPr>
        <w:t xml:space="preserve">  </w:t>
      </w:r>
      <w:r>
        <w:rPr>
          <w:rFonts w:ascii="黑体" w:hAnsi="黑体" w:eastAsia="黑体" w:cs="黑体"/>
          <w:b/>
          <w:bCs/>
          <w:spacing w:val="-2"/>
          <w:sz w:val="27"/>
          <w:szCs w:val="27"/>
        </w:rPr>
        <w:t>系统质量因素</w:t>
      </w:r>
    </w:p>
    <w:p w14:paraId="5E124BCA">
      <w:pPr>
        <w:spacing w:before="92" w:line="282" w:lineRule="auto"/>
        <w:ind w:right="87" w:firstLine="570"/>
        <w:rPr>
          <w:rFonts w:ascii="宋体" w:hAnsi="宋体" w:eastAsia="宋体" w:cs="宋体"/>
          <w:sz w:val="27"/>
          <w:szCs w:val="27"/>
        </w:rPr>
      </w:pPr>
      <w:r>
        <w:rPr>
          <w:rFonts w:ascii="宋体" w:hAnsi="宋体" w:eastAsia="宋体" w:cs="宋体"/>
          <w:spacing w:val="-3"/>
          <w:sz w:val="27"/>
          <w:szCs w:val="27"/>
        </w:rPr>
        <w:t>若提出质量因素方面的需求，则本条应描述系统的这些需求，其中包括：功</w:t>
      </w:r>
      <w:r>
        <w:rPr>
          <w:rFonts w:ascii="宋体" w:hAnsi="宋体" w:eastAsia="宋体" w:cs="宋体"/>
          <w:spacing w:val="15"/>
          <w:sz w:val="27"/>
          <w:szCs w:val="27"/>
        </w:rPr>
        <w:t xml:space="preserve"> </w:t>
      </w:r>
      <w:r>
        <w:rPr>
          <w:rFonts w:ascii="宋体" w:hAnsi="宋体" w:eastAsia="宋体" w:cs="宋体"/>
          <w:spacing w:val="-14"/>
          <w:sz w:val="27"/>
          <w:szCs w:val="27"/>
        </w:rPr>
        <w:t>能性、可靠性、易用性、效率、维护性、可移植性以</w:t>
      </w:r>
      <w:r>
        <w:rPr>
          <w:rFonts w:ascii="宋体" w:hAnsi="宋体" w:eastAsia="宋体" w:cs="宋体"/>
          <w:spacing w:val="-15"/>
          <w:sz w:val="27"/>
          <w:szCs w:val="27"/>
        </w:rPr>
        <w:t>及其他属性等的定量需求。</w:t>
      </w:r>
    </w:p>
    <w:p w14:paraId="438CAC45">
      <w:pPr>
        <w:spacing w:before="1" w:line="221" w:lineRule="auto"/>
        <w:rPr>
          <w:rFonts w:ascii="黑体" w:hAnsi="黑体" w:eastAsia="黑体" w:cs="黑体"/>
          <w:sz w:val="25"/>
          <w:szCs w:val="25"/>
        </w:rPr>
      </w:pPr>
      <w:r>
        <w:rPr>
          <w:rFonts w:ascii="黑体" w:hAnsi="黑体" w:eastAsia="黑体" w:cs="黑体"/>
          <w:spacing w:val="14"/>
          <w:sz w:val="25"/>
          <w:szCs w:val="25"/>
        </w:rPr>
        <w:t>3.12</w:t>
      </w:r>
      <w:r>
        <w:rPr>
          <w:rFonts w:ascii="黑体" w:hAnsi="黑体" w:eastAsia="黑体" w:cs="黑体"/>
          <w:spacing w:val="4"/>
          <w:sz w:val="25"/>
          <w:szCs w:val="25"/>
        </w:rPr>
        <w:t xml:space="preserve">   </w:t>
      </w:r>
      <w:r>
        <w:rPr>
          <w:rFonts w:ascii="黑体" w:hAnsi="黑体" w:eastAsia="黑体" w:cs="黑体"/>
          <w:b/>
          <w:bCs/>
          <w:spacing w:val="14"/>
          <w:sz w:val="25"/>
          <w:szCs w:val="25"/>
        </w:rPr>
        <w:t>设计和构造的约束</w:t>
      </w:r>
    </w:p>
    <w:p w14:paraId="10A7DB55">
      <w:pPr>
        <w:spacing w:before="94" w:line="276" w:lineRule="auto"/>
        <w:ind w:right="93" w:firstLine="570"/>
        <w:jc w:val="both"/>
        <w:rPr>
          <w:rFonts w:ascii="宋体" w:hAnsi="宋体" w:eastAsia="宋体" w:cs="宋体"/>
          <w:sz w:val="27"/>
          <w:szCs w:val="27"/>
        </w:rPr>
      </w:pPr>
      <w:r>
        <w:rPr>
          <w:rFonts w:ascii="宋体" w:hAnsi="宋体" w:eastAsia="宋体" w:cs="宋体"/>
          <w:spacing w:val="6"/>
          <w:sz w:val="27"/>
          <w:szCs w:val="27"/>
        </w:rPr>
        <w:t>若有设计和构造的约束，则应描述约束系统设</w:t>
      </w:r>
      <w:r>
        <w:rPr>
          <w:rFonts w:ascii="宋体" w:hAnsi="宋体" w:eastAsia="宋体" w:cs="宋体"/>
          <w:spacing w:val="5"/>
          <w:sz w:val="27"/>
          <w:szCs w:val="27"/>
        </w:rPr>
        <w:t>计和构造的那些需求。对硬</w:t>
      </w:r>
      <w:r>
        <w:rPr>
          <w:rFonts w:ascii="宋体" w:hAnsi="宋体" w:eastAsia="宋体" w:cs="宋体"/>
          <w:sz w:val="27"/>
          <w:szCs w:val="27"/>
        </w:rPr>
        <w:t xml:space="preserve"> </w:t>
      </w:r>
      <w:r>
        <w:rPr>
          <w:rFonts w:ascii="宋体" w:hAnsi="宋体" w:eastAsia="宋体" w:cs="宋体"/>
          <w:spacing w:val="-3"/>
          <w:sz w:val="27"/>
          <w:szCs w:val="27"/>
        </w:rPr>
        <w:t>软件系统而言，应包括强加于系统的物理需求，这些需求可通过引用适当的标准</w:t>
      </w:r>
      <w:r>
        <w:rPr>
          <w:rFonts w:ascii="宋体" w:hAnsi="宋体" w:eastAsia="宋体" w:cs="宋体"/>
          <w:spacing w:val="16"/>
          <w:sz w:val="27"/>
          <w:szCs w:val="27"/>
        </w:rPr>
        <w:t xml:space="preserve"> </w:t>
      </w:r>
      <w:r>
        <w:rPr>
          <w:rFonts w:ascii="宋体" w:hAnsi="宋体" w:eastAsia="宋体" w:cs="宋体"/>
          <w:sz w:val="27"/>
          <w:szCs w:val="27"/>
        </w:rPr>
        <w:t>和规范来指定。需求包括：</w:t>
      </w:r>
    </w:p>
    <w:p w14:paraId="5FB55FED">
      <w:pPr>
        <w:spacing w:line="294" w:lineRule="auto"/>
        <w:ind w:right="109" w:firstLine="570"/>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Times New Roman" w:hAnsi="Times New Roman" w:eastAsia="Times New Roman" w:cs="Times New Roman"/>
          <w:spacing w:val="74"/>
          <w:w w:val="101"/>
          <w:sz w:val="27"/>
          <w:szCs w:val="27"/>
        </w:rPr>
        <w:t xml:space="preserve"> </w:t>
      </w:r>
      <w:r>
        <w:rPr>
          <w:rFonts w:ascii="仿宋" w:hAnsi="仿宋" w:eastAsia="仿宋" w:cs="仿宋"/>
          <w:spacing w:val="11"/>
          <w:sz w:val="27"/>
          <w:szCs w:val="27"/>
        </w:rPr>
        <w:t>特</w:t>
      </w:r>
      <w:r>
        <w:rPr>
          <w:rFonts w:ascii="宋体" w:hAnsi="宋体" w:eastAsia="宋体" w:cs="宋体"/>
          <w:spacing w:val="11"/>
          <w:sz w:val="27"/>
          <w:szCs w:val="27"/>
        </w:rPr>
        <w:t>殊系统体系结构的使用或对体系结构方面的需求，例如需要的子系</w:t>
      </w:r>
      <w:r>
        <w:rPr>
          <w:rFonts w:ascii="宋体" w:hAnsi="宋体" w:eastAsia="宋体" w:cs="宋体"/>
          <w:sz w:val="27"/>
          <w:szCs w:val="27"/>
        </w:rPr>
        <w:t xml:space="preserve"> </w:t>
      </w:r>
      <w:r>
        <w:rPr>
          <w:rFonts w:ascii="宋体" w:hAnsi="宋体" w:eastAsia="宋体" w:cs="宋体"/>
          <w:spacing w:val="1"/>
          <w:sz w:val="27"/>
          <w:szCs w:val="27"/>
        </w:rPr>
        <w:t>统；标准部件、现有部件的使用；政府/需方提供的资源(设备、信息、软件)的</w:t>
      </w:r>
    </w:p>
    <w:p w14:paraId="541BD44A">
      <w:pPr>
        <w:spacing w:line="294" w:lineRule="auto"/>
        <w:rPr>
          <w:rFonts w:ascii="宋体" w:hAnsi="宋体" w:eastAsia="宋体" w:cs="宋体"/>
          <w:sz w:val="27"/>
          <w:szCs w:val="27"/>
        </w:rPr>
        <w:sectPr>
          <w:footerReference r:id="rId194" w:type="default"/>
          <w:pgSz w:w="11910" w:h="17130"/>
          <w:pgMar w:top="400" w:right="1415" w:bottom="1667" w:left="1009" w:header="0" w:footer="1451" w:gutter="0"/>
          <w:cols w:space="720" w:num="1"/>
        </w:sectPr>
      </w:pPr>
    </w:p>
    <w:p w14:paraId="7320370C">
      <w:pPr>
        <w:pStyle w:val="2"/>
        <w:spacing w:line="259" w:lineRule="auto"/>
      </w:pPr>
    </w:p>
    <w:p w14:paraId="0DFA4952">
      <w:pPr>
        <w:pStyle w:val="2"/>
        <w:spacing w:line="259" w:lineRule="auto"/>
      </w:pPr>
    </w:p>
    <w:p w14:paraId="0A9BDABF">
      <w:pPr>
        <w:pStyle w:val="2"/>
        <w:spacing w:line="259" w:lineRule="auto"/>
      </w:pPr>
    </w:p>
    <w:p w14:paraId="02BA7371">
      <w:pPr>
        <w:pStyle w:val="2"/>
        <w:spacing w:line="260" w:lineRule="auto"/>
      </w:pPr>
    </w:p>
    <w:p w14:paraId="0D6176A3">
      <w:pPr>
        <w:spacing w:before="87" w:line="219" w:lineRule="auto"/>
        <w:rPr>
          <w:rFonts w:ascii="宋体" w:hAnsi="宋体" w:eastAsia="宋体" w:cs="宋体"/>
          <w:sz w:val="27"/>
          <w:szCs w:val="27"/>
        </w:rPr>
      </w:pPr>
      <w:r>
        <w:rPr>
          <w:rFonts w:ascii="宋体" w:hAnsi="宋体" w:eastAsia="宋体" w:cs="宋体"/>
          <w:spacing w:val="-4"/>
          <w:sz w:val="27"/>
          <w:szCs w:val="27"/>
        </w:rPr>
        <w:t>使用。</w:t>
      </w:r>
    </w:p>
    <w:p w14:paraId="13A1CE4B">
      <w:pPr>
        <w:spacing w:before="28" w:line="267" w:lineRule="auto"/>
        <w:ind w:right="15" w:firstLine="560"/>
        <w:rPr>
          <w:rFonts w:ascii="宋体" w:hAnsi="宋体" w:eastAsia="宋体" w:cs="宋体"/>
          <w:sz w:val="27"/>
          <w:szCs w:val="27"/>
        </w:rPr>
      </w:pPr>
      <w:r>
        <w:rPr>
          <w:rFonts w:ascii="Times New Roman" w:hAnsi="Times New Roman" w:eastAsia="Times New Roman" w:cs="Times New Roman"/>
          <w:spacing w:val="2"/>
          <w:sz w:val="27"/>
          <w:szCs w:val="27"/>
        </w:rPr>
        <w:t>b)</w:t>
      </w:r>
      <w:r>
        <w:rPr>
          <w:rFonts w:ascii="Times New Roman" w:hAnsi="Times New Roman" w:eastAsia="Times New Roman" w:cs="Times New Roman"/>
          <w:spacing w:val="84"/>
          <w:sz w:val="27"/>
          <w:szCs w:val="27"/>
        </w:rPr>
        <w:t xml:space="preserve"> </w:t>
      </w:r>
      <w:r>
        <w:rPr>
          <w:rFonts w:ascii="宋体" w:hAnsi="宋体" w:eastAsia="宋体" w:cs="宋体"/>
          <w:spacing w:val="2"/>
          <w:sz w:val="27"/>
          <w:szCs w:val="27"/>
        </w:rPr>
        <w:t>特殊设计或构造标准的使用；特殊数据标准的使用；特殊编程语言的使</w:t>
      </w:r>
      <w:r>
        <w:rPr>
          <w:rFonts w:ascii="宋体" w:hAnsi="宋体" w:eastAsia="宋体" w:cs="宋体"/>
          <w:sz w:val="27"/>
          <w:szCs w:val="27"/>
        </w:rPr>
        <w:t xml:space="preserve"> </w:t>
      </w:r>
      <w:r>
        <w:rPr>
          <w:rFonts w:ascii="宋体" w:hAnsi="宋体" w:eastAsia="宋体" w:cs="宋体"/>
          <w:spacing w:val="-8"/>
          <w:sz w:val="27"/>
          <w:szCs w:val="27"/>
        </w:rPr>
        <w:t>用；技艺需求和生产技术。</w:t>
      </w:r>
    </w:p>
    <w:p w14:paraId="742067D3">
      <w:pPr>
        <w:spacing w:before="37" w:line="264" w:lineRule="auto"/>
        <w:ind w:firstLine="560"/>
        <w:rPr>
          <w:rFonts w:ascii="宋体" w:hAnsi="宋体" w:eastAsia="宋体" w:cs="宋体"/>
          <w:sz w:val="27"/>
          <w:szCs w:val="27"/>
        </w:rPr>
      </w:pPr>
      <w:r>
        <w:rPr>
          <w:rFonts w:ascii="Times New Roman" w:hAnsi="Times New Roman" w:eastAsia="Times New Roman" w:cs="Times New Roman"/>
          <w:spacing w:val="-1"/>
          <w:sz w:val="27"/>
          <w:szCs w:val="27"/>
        </w:rPr>
        <w:t xml:space="preserve">c)  </w:t>
      </w:r>
      <w:r>
        <w:rPr>
          <w:rFonts w:ascii="宋体" w:hAnsi="宋体" w:eastAsia="宋体" w:cs="宋体"/>
          <w:spacing w:val="-1"/>
          <w:sz w:val="27"/>
          <w:szCs w:val="27"/>
        </w:rPr>
        <w:t>系统的物理特性(如重量限制、尺寸限制、颜色、保护罩);部件的可交换</w:t>
      </w:r>
      <w:r>
        <w:rPr>
          <w:rFonts w:ascii="宋体" w:hAnsi="宋体" w:eastAsia="宋体" w:cs="宋体"/>
          <w:spacing w:val="15"/>
          <w:sz w:val="27"/>
          <w:szCs w:val="27"/>
        </w:rPr>
        <w:t xml:space="preserve"> </w:t>
      </w:r>
      <w:r>
        <w:rPr>
          <w:rFonts w:ascii="宋体" w:hAnsi="宋体" w:eastAsia="宋体" w:cs="宋体"/>
          <w:spacing w:val="-4"/>
          <w:sz w:val="27"/>
          <w:szCs w:val="27"/>
        </w:rPr>
        <w:t>性；从一地运输到另一地的能力；由单人或一组人携带或架设的能力。</w:t>
      </w:r>
    </w:p>
    <w:p w14:paraId="1CA7BC19">
      <w:pPr>
        <w:spacing w:before="29" w:line="267" w:lineRule="auto"/>
        <w:ind w:right="18" w:firstLine="560"/>
        <w:rPr>
          <w:rFonts w:ascii="宋体" w:hAnsi="宋体" w:eastAsia="宋体" w:cs="宋体"/>
          <w:sz w:val="27"/>
          <w:szCs w:val="27"/>
        </w:rPr>
      </w:pPr>
      <w:r>
        <w:rPr>
          <w:rFonts w:ascii="Times New Roman" w:hAnsi="Times New Roman" w:eastAsia="Times New Roman" w:cs="Times New Roman"/>
          <w:spacing w:val="2"/>
          <w:sz w:val="27"/>
          <w:szCs w:val="27"/>
        </w:rPr>
        <w:t xml:space="preserve">d)  </w:t>
      </w:r>
      <w:r>
        <w:rPr>
          <w:rFonts w:ascii="宋体" w:hAnsi="宋体" w:eastAsia="宋体" w:cs="宋体"/>
          <w:spacing w:val="2"/>
          <w:sz w:val="27"/>
          <w:szCs w:val="27"/>
        </w:rPr>
        <w:t>能够使用和不能使用的物品；处理有毒物品的需求；系统产生电磁辐射</w:t>
      </w:r>
      <w:r>
        <w:rPr>
          <w:rFonts w:ascii="宋体" w:hAnsi="宋体" w:eastAsia="宋体" w:cs="宋体"/>
          <w:spacing w:val="9"/>
          <w:sz w:val="27"/>
          <w:szCs w:val="27"/>
        </w:rPr>
        <w:t xml:space="preserve"> </w:t>
      </w:r>
      <w:r>
        <w:rPr>
          <w:rFonts w:ascii="宋体" w:hAnsi="宋体" w:eastAsia="宋体" w:cs="宋体"/>
          <w:spacing w:val="2"/>
          <w:sz w:val="27"/>
          <w:szCs w:val="27"/>
        </w:rPr>
        <w:t>的允许值范围。</w:t>
      </w:r>
    </w:p>
    <w:p w14:paraId="5C22D559">
      <w:pPr>
        <w:spacing w:before="59" w:line="212" w:lineRule="auto"/>
        <w:ind w:left="560"/>
        <w:rPr>
          <w:rFonts w:ascii="宋体" w:hAnsi="宋体" w:eastAsia="宋体" w:cs="宋体"/>
          <w:sz w:val="27"/>
          <w:szCs w:val="27"/>
        </w:rPr>
      </w:pPr>
      <w:r>
        <w:rPr>
          <w:rFonts w:ascii="Times New Roman" w:hAnsi="Times New Roman" w:eastAsia="Times New Roman" w:cs="Times New Roman"/>
          <w:spacing w:val="-8"/>
          <w:sz w:val="27"/>
          <w:szCs w:val="27"/>
        </w:rPr>
        <w:t xml:space="preserve">e)  </w:t>
      </w:r>
      <w:r>
        <w:rPr>
          <w:rFonts w:ascii="宋体" w:hAnsi="宋体" w:eastAsia="宋体" w:cs="宋体"/>
          <w:spacing w:val="-8"/>
          <w:sz w:val="27"/>
          <w:szCs w:val="27"/>
        </w:rPr>
        <w:t>铭牌、部件标记、系列号和批次号的标记、其他标识标记的使用。</w:t>
      </w:r>
    </w:p>
    <w:p w14:paraId="1EF4B9D2">
      <w:pPr>
        <w:spacing w:before="69" w:line="268" w:lineRule="auto"/>
        <w:ind w:right="18" w:firstLine="560"/>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为支持在技术、威胁、任务等方面</w:t>
      </w:r>
      <w:r>
        <w:rPr>
          <w:rFonts w:ascii="宋体" w:hAnsi="宋体" w:eastAsia="宋体" w:cs="宋体"/>
          <w:spacing w:val="3"/>
          <w:sz w:val="27"/>
          <w:szCs w:val="27"/>
        </w:rPr>
        <w:t>预期的发展或变化而必须提供的灵活</w:t>
      </w:r>
      <w:r>
        <w:rPr>
          <w:rFonts w:ascii="宋体" w:hAnsi="宋体" w:eastAsia="宋体" w:cs="宋体"/>
          <w:sz w:val="27"/>
          <w:szCs w:val="27"/>
        </w:rPr>
        <w:t xml:space="preserve"> </w:t>
      </w:r>
      <w:r>
        <w:rPr>
          <w:rFonts w:ascii="宋体" w:hAnsi="宋体" w:eastAsia="宋体" w:cs="宋体"/>
          <w:spacing w:val="2"/>
          <w:sz w:val="27"/>
          <w:szCs w:val="27"/>
        </w:rPr>
        <w:t>性和可扩展性。</w:t>
      </w:r>
    </w:p>
    <w:p w14:paraId="4C77DA91">
      <w:pPr>
        <w:spacing w:before="95" w:line="221" w:lineRule="auto"/>
        <w:rPr>
          <w:rFonts w:ascii="黑体" w:hAnsi="黑体" w:eastAsia="黑体" w:cs="黑体"/>
          <w:sz w:val="25"/>
          <w:szCs w:val="25"/>
        </w:rPr>
      </w:pPr>
      <w:r>
        <w:rPr>
          <w:rFonts w:ascii="黑体" w:hAnsi="黑体" w:eastAsia="黑体" w:cs="黑体"/>
          <w:spacing w:val="10"/>
          <w:sz w:val="25"/>
          <w:szCs w:val="25"/>
        </w:rPr>
        <w:t>3.13</w:t>
      </w:r>
      <w:r>
        <w:rPr>
          <w:rFonts w:ascii="黑体" w:hAnsi="黑体" w:eastAsia="黑体" w:cs="黑体"/>
          <w:spacing w:val="51"/>
          <w:sz w:val="25"/>
          <w:szCs w:val="25"/>
        </w:rPr>
        <w:t xml:space="preserve">  </w:t>
      </w:r>
      <w:r>
        <w:rPr>
          <w:rFonts w:ascii="黑体" w:hAnsi="黑体" w:eastAsia="黑体" w:cs="黑体"/>
          <w:spacing w:val="10"/>
          <w:sz w:val="25"/>
          <w:szCs w:val="25"/>
        </w:rPr>
        <w:t>人员需求</w:t>
      </w:r>
    </w:p>
    <w:p w14:paraId="309E047A">
      <w:pPr>
        <w:spacing w:before="110" w:line="279" w:lineRule="auto"/>
        <w:ind w:right="12" w:firstLine="560"/>
        <w:jc w:val="both"/>
        <w:rPr>
          <w:rFonts w:ascii="宋体" w:hAnsi="宋体" w:eastAsia="宋体" w:cs="宋体"/>
          <w:sz w:val="27"/>
          <w:szCs w:val="27"/>
        </w:rPr>
      </w:pPr>
      <w:r>
        <w:rPr>
          <w:rFonts w:ascii="宋体" w:hAnsi="宋体" w:eastAsia="宋体" w:cs="宋体"/>
          <w:spacing w:val="-3"/>
          <w:sz w:val="27"/>
          <w:szCs w:val="27"/>
        </w:rPr>
        <w:t>若有人员相关需求，则本条应描述与使用或支持系统的人员有关的需求，包</w:t>
      </w:r>
      <w:r>
        <w:rPr>
          <w:rFonts w:ascii="宋体" w:hAnsi="宋体" w:eastAsia="宋体" w:cs="宋体"/>
          <w:sz w:val="27"/>
          <w:szCs w:val="27"/>
        </w:rPr>
        <w:t xml:space="preserve"> </w:t>
      </w:r>
      <w:r>
        <w:rPr>
          <w:rFonts w:ascii="宋体" w:hAnsi="宋体" w:eastAsia="宋体" w:cs="宋体"/>
          <w:spacing w:val="-10"/>
          <w:sz w:val="27"/>
          <w:szCs w:val="27"/>
        </w:rPr>
        <w:t>括人员的数量、技能等级、责任期、培训需求以及其他的信息，如：要提供的工作</w:t>
      </w:r>
      <w:r>
        <w:rPr>
          <w:rFonts w:ascii="宋体" w:hAnsi="宋体" w:eastAsia="宋体" w:cs="宋体"/>
          <w:spacing w:val="16"/>
          <w:sz w:val="27"/>
          <w:szCs w:val="27"/>
        </w:rPr>
        <w:t xml:space="preserve"> </w:t>
      </w:r>
      <w:r>
        <w:rPr>
          <w:rFonts w:ascii="宋体" w:hAnsi="宋体" w:eastAsia="宋体" w:cs="宋体"/>
          <w:spacing w:val="-2"/>
          <w:sz w:val="27"/>
          <w:szCs w:val="27"/>
        </w:rPr>
        <w:t>站数量、嵌入的帮助和培训等方面的需求；适当时还应包括对系统的</w:t>
      </w:r>
      <w:r>
        <w:rPr>
          <w:rFonts w:ascii="宋体" w:hAnsi="宋体" w:eastAsia="宋体" w:cs="宋体"/>
          <w:spacing w:val="-3"/>
          <w:sz w:val="27"/>
          <w:szCs w:val="27"/>
        </w:rPr>
        <w:t>人素工程需</w:t>
      </w:r>
      <w:r>
        <w:rPr>
          <w:rFonts w:ascii="宋体" w:hAnsi="宋体" w:eastAsia="宋体" w:cs="宋体"/>
          <w:sz w:val="27"/>
          <w:szCs w:val="27"/>
        </w:rPr>
        <w:t xml:space="preserve"> </w:t>
      </w:r>
      <w:r>
        <w:rPr>
          <w:rFonts w:ascii="宋体" w:hAnsi="宋体" w:eastAsia="宋体" w:cs="宋体"/>
          <w:spacing w:val="5"/>
          <w:sz w:val="27"/>
          <w:szCs w:val="27"/>
        </w:rPr>
        <w:t>求。这些需求包括对人员在能力与局限性方面的考虑；在正常和极端条件下可</w:t>
      </w:r>
      <w:r>
        <w:rPr>
          <w:rFonts w:ascii="宋体" w:hAnsi="宋体" w:eastAsia="宋体" w:cs="宋体"/>
          <w:sz w:val="27"/>
          <w:szCs w:val="27"/>
        </w:rPr>
        <w:t xml:space="preserve"> </w:t>
      </w:r>
      <w:r>
        <w:rPr>
          <w:rFonts w:ascii="宋体" w:hAnsi="宋体" w:eastAsia="宋体" w:cs="宋体"/>
          <w:spacing w:val="4"/>
          <w:sz w:val="27"/>
          <w:szCs w:val="27"/>
        </w:rPr>
        <w:t>预测的人为错误，以及人为错误造成特别严重影响的特定区域。例如对高度可</w:t>
      </w:r>
      <w:r>
        <w:rPr>
          <w:rFonts w:ascii="宋体" w:hAnsi="宋体" w:eastAsia="宋体" w:cs="宋体"/>
          <w:spacing w:val="14"/>
          <w:sz w:val="27"/>
          <w:szCs w:val="27"/>
        </w:rPr>
        <w:t xml:space="preserve"> </w:t>
      </w:r>
      <w:r>
        <w:rPr>
          <w:rFonts w:ascii="宋体" w:hAnsi="宋体" w:eastAsia="宋体" w:cs="宋体"/>
          <w:spacing w:val="-3"/>
          <w:sz w:val="27"/>
          <w:szCs w:val="27"/>
        </w:rPr>
        <w:t>调的工作站、错误消息的颜色和持续时间、关键指示器或键的物理位置以及听觉</w:t>
      </w:r>
      <w:r>
        <w:rPr>
          <w:rFonts w:ascii="宋体" w:hAnsi="宋体" w:eastAsia="宋体" w:cs="宋体"/>
          <w:spacing w:val="8"/>
          <w:sz w:val="27"/>
          <w:szCs w:val="27"/>
        </w:rPr>
        <w:t xml:space="preserve"> </w:t>
      </w:r>
      <w:r>
        <w:rPr>
          <w:rFonts w:ascii="宋体" w:hAnsi="宋体" w:eastAsia="宋体" w:cs="宋体"/>
          <w:spacing w:val="1"/>
          <w:sz w:val="27"/>
          <w:szCs w:val="27"/>
        </w:rPr>
        <w:t>信号的使用需求。</w:t>
      </w:r>
    </w:p>
    <w:p w14:paraId="2C8012EA">
      <w:pPr>
        <w:spacing w:before="17" w:line="223" w:lineRule="auto"/>
        <w:rPr>
          <w:rFonts w:ascii="黑体" w:hAnsi="黑体" w:eastAsia="黑体" w:cs="黑体"/>
          <w:sz w:val="25"/>
          <w:szCs w:val="25"/>
        </w:rPr>
      </w:pPr>
      <w:r>
        <w:rPr>
          <w:rFonts w:ascii="黑体" w:hAnsi="黑体" w:eastAsia="黑体" w:cs="黑体"/>
          <w:spacing w:val="10"/>
          <w:sz w:val="25"/>
          <w:szCs w:val="25"/>
        </w:rPr>
        <w:t>3.14</w:t>
      </w:r>
      <w:r>
        <w:rPr>
          <w:rFonts w:ascii="黑体" w:hAnsi="黑体" w:eastAsia="黑体" w:cs="黑体"/>
          <w:spacing w:val="51"/>
          <w:sz w:val="25"/>
          <w:szCs w:val="25"/>
        </w:rPr>
        <w:t xml:space="preserve">  </w:t>
      </w:r>
      <w:r>
        <w:rPr>
          <w:rFonts w:ascii="黑体" w:hAnsi="黑体" w:eastAsia="黑体" w:cs="黑体"/>
          <w:spacing w:val="10"/>
          <w:sz w:val="25"/>
          <w:szCs w:val="25"/>
        </w:rPr>
        <w:t>培训需求</w:t>
      </w:r>
    </w:p>
    <w:p w14:paraId="5CDFEF62">
      <w:pPr>
        <w:spacing w:before="97" w:line="219" w:lineRule="auto"/>
        <w:ind w:left="560"/>
        <w:rPr>
          <w:rFonts w:ascii="宋体" w:hAnsi="宋体" w:eastAsia="宋体" w:cs="宋体"/>
          <w:sz w:val="27"/>
          <w:szCs w:val="27"/>
        </w:rPr>
      </w:pPr>
      <w:r>
        <w:rPr>
          <w:rFonts w:ascii="宋体" w:hAnsi="宋体" w:eastAsia="宋体" w:cs="宋体"/>
          <w:spacing w:val="-2"/>
          <w:sz w:val="27"/>
          <w:szCs w:val="27"/>
        </w:rPr>
        <w:t>若有培训相关需求，则本条应描述有关培训方面的需求。</w:t>
      </w:r>
    </w:p>
    <w:p w14:paraId="2BF44EED">
      <w:pPr>
        <w:spacing w:before="111" w:line="223" w:lineRule="auto"/>
        <w:rPr>
          <w:rFonts w:ascii="黑体" w:hAnsi="黑体" w:eastAsia="黑体" w:cs="黑体"/>
          <w:sz w:val="25"/>
          <w:szCs w:val="25"/>
        </w:rPr>
      </w:pPr>
      <w:r>
        <w:rPr>
          <w:rFonts w:ascii="黑体" w:hAnsi="黑体" w:eastAsia="黑体" w:cs="黑体"/>
          <w:spacing w:val="10"/>
          <w:sz w:val="25"/>
          <w:szCs w:val="25"/>
        </w:rPr>
        <w:t>3.15</w:t>
      </w:r>
      <w:r>
        <w:rPr>
          <w:rFonts w:ascii="黑体" w:hAnsi="黑体" w:eastAsia="黑体" w:cs="黑体"/>
          <w:spacing w:val="51"/>
          <w:sz w:val="25"/>
          <w:szCs w:val="25"/>
        </w:rPr>
        <w:t xml:space="preserve">  </w:t>
      </w:r>
      <w:r>
        <w:rPr>
          <w:rFonts w:ascii="黑体" w:hAnsi="黑体" w:eastAsia="黑体" w:cs="黑体"/>
          <w:spacing w:val="10"/>
          <w:sz w:val="25"/>
          <w:szCs w:val="25"/>
        </w:rPr>
        <w:t>保障需求</w:t>
      </w:r>
    </w:p>
    <w:p w14:paraId="3A46A5E7">
      <w:pPr>
        <w:spacing w:before="98" w:line="270" w:lineRule="auto"/>
        <w:ind w:firstLine="560"/>
        <w:jc w:val="both"/>
        <w:rPr>
          <w:rFonts w:ascii="宋体" w:hAnsi="宋体" w:eastAsia="宋体" w:cs="宋体"/>
          <w:sz w:val="27"/>
          <w:szCs w:val="27"/>
        </w:rPr>
      </w:pPr>
      <w:r>
        <w:rPr>
          <w:rFonts w:ascii="宋体" w:hAnsi="宋体" w:eastAsia="宋体" w:cs="宋体"/>
          <w:spacing w:val="-3"/>
          <w:sz w:val="27"/>
          <w:szCs w:val="27"/>
        </w:rPr>
        <w:t>若有综合保障相关需求，则本条应描述有关综合保障方面的系统需求，其中</w:t>
      </w:r>
      <w:r>
        <w:rPr>
          <w:rFonts w:ascii="宋体" w:hAnsi="宋体" w:eastAsia="宋体" w:cs="宋体"/>
          <w:spacing w:val="17"/>
          <w:sz w:val="27"/>
          <w:szCs w:val="27"/>
        </w:rPr>
        <w:t xml:space="preserve"> </w:t>
      </w:r>
      <w:r>
        <w:rPr>
          <w:rFonts w:ascii="宋体" w:hAnsi="宋体" w:eastAsia="宋体" w:cs="宋体"/>
          <w:spacing w:val="5"/>
          <w:sz w:val="27"/>
          <w:szCs w:val="27"/>
        </w:rPr>
        <w:t>包括系统维护、软件保障、系统运输方式、对现有设施的影响和对现有设备的</w:t>
      </w:r>
      <w:r>
        <w:rPr>
          <w:rFonts w:ascii="宋体" w:hAnsi="宋体" w:eastAsia="宋体" w:cs="宋体"/>
          <w:spacing w:val="9"/>
          <w:sz w:val="27"/>
          <w:szCs w:val="27"/>
        </w:rPr>
        <w:t xml:space="preserve"> </w:t>
      </w:r>
      <w:r>
        <w:rPr>
          <w:rFonts w:ascii="宋体" w:hAnsi="宋体" w:eastAsia="宋体" w:cs="宋体"/>
          <w:spacing w:val="-4"/>
          <w:sz w:val="27"/>
          <w:szCs w:val="27"/>
        </w:rPr>
        <w:t>影响。</w:t>
      </w:r>
    </w:p>
    <w:p w14:paraId="22411816">
      <w:pPr>
        <w:spacing w:before="26" w:line="222" w:lineRule="auto"/>
        <w:rPr>
          <w:rFonts w:ascii="黑体" w:hAnsi="黑体" w:eastAsia="黑体" w:cs="黑体"/>
          <w:sz w:val="27"/>
          <w:szCs w:val="27"/>
        </w:rPr>
      </w:pPr>
      <w:r>
        <w:rPr>
          <w:rFonts w:ascii="黑体" w:hAnsi="黑体" w:eastAsia="黑体" w:cs="黑体"/>
          <w:sz w:val="27"/>
          <w:szCs w:val="27"/>
        </w:rPr>
        <w:t>3.16</w:t>
      </w:r>
      <w:r>
        <w:rPr>
          <w:rFonts w:ascii="黑体" w:hAnsi="黑体" w:eastAsia="黑体" w:cs="黑体"/>
          <w:spacing w:val="21"/>
          <w:sz w:val="27"/>
          <w:szCs w:val="27"/>
        </w:rPr>
        <w:t xml:space="preserve">  </w:t>
      </w:r>
      <w:r>
        <w:rPr>
          <w:rFonts w:ascii="黑体" w:hAnsi="黑体" w:eastAsia="黑体" w:cs="黑体"/>
          <w:sz w:val="27"/>
          <w:szCs w:val="27"/>
        </w:rPr>
        <w:t>其他需求</w:t>
      </w:r>
    </w:p>
    <w:p w14:paraId="12AEBBAD">
      <w:pPr>
        <w:spacing w:before="84" w:line="278" w:lineRule="auto"/>
        <w:ind w:right="17" w:firstLine="560"/>
        <w:jc w:val="both"/>
        <w:rPr>
          <w:rFonts w:ascii="宋体" w:hAnsi="宋体" w:eastAsia="宋体" w:cs="宋体"/>
          <w:sz w:val="27"/>
          <w:szCs w:val="27"/>
        </w:rPr>
      </w:pPr>
      <w:r>
        <w:rPr>
          <w:rFonts w:ascii="宋体" w:hAnsi="宋体" w:eastAsia="宋体" w:cs="宋体"/>
          <w:spacing w:val="-3"/>
          <w:sz w:val="27"/>
          <w:szCs w:val="27"/>
        </w:rPr>
        <w:t>若有其他需求，则本条应描述在以上各条中没有涉及到的其他系统需求，其</w:t>
      </w:r>
      <w:r>
        <w:rPr>
          <w:rFonts w:ascii="宋体" w:hAnsi="宋体" w:eastAsia="宋体" w:cs="宋体"/>
          <w:sz w:val="27"/>
          <w:szCs w:val="27"/>
        </w:rPr>
        <w:t xml:space="preserve"> </w:t>
      </w:r>
      <w:r>
        <w:rPr>
          <w:rFonts w:ascii="宋体" w:hAnsi="宋体" w:eastAsia="宋体" w:cs="宋体"/>
          <w:spacing w:val="-3"/>
          <w:sz w:val="27"/>
          <w:szCs w:val="27"/>
        </w:rPr>
        <w:t>中包括在其他合同文件中没有涉及的系统文档的需求，如规格说明、图表、技术</w:t>
      </w:r>
      <w:r>
        <w:rPr>
          <w:rFonts w:ascii="宋体" w:hAnsi="宋体" w:eastAsia="宋体" w:cs="宋体"/>
          <w:spacing w:val="6"/>
          <w:sz w:val="27"/>
          <w:szCs w:val="27"/>
        </w:rPr>
        <w:t xml:space="preserve"> </w:t>
      </w:r>
      <w:r>
        <w:rPr>
          <w:rFonts w:ascii="宋体" w:hAnsi="宋体" w:eastAsia="宋体" w:cs="宋体"/>
          <w:spacing w:val="-10"/>
          <w:sz w:val="27"/>
          <w:szCs w:val="27"/>
        </w:rPr>
        <w:t>手册、测试计划、测试规程和安装说明材料。</w:t>
      </w:r>
    </w:p>
    <w:p w14:paraId="4EC0FA1F">
      <w:pPr>
        <w:spacing w:before="21" w:line="223" w:lineRule="auto"/>
        <w:rPr>
          <w:rFonts w:ascii="黑体" w:hAnsi="黑体" w:eastAsia="黑体" w:cs="黑体"/>
          <w:sz w:val="25"/>
          <w:szCs w:val="25"/>
        </w:rPr>
      </w:pPr>
      <w:r>
        <w:rPr>
          <w:rFonts w:ascii="黑体" w:hAnsi="黑体" w:eastAsia="黑体" w:cs="黑体"/>
          <w:spacing w:val="10"/>
          <w:sz w:val="25"/>
          <w:szCs w:val="25"/>
        </w:rPr>
        <w:t>3.17</w:t>
      </w:r>
      <w:r>
        <w:rPr>
          <w:rFonts w:ascii="黑体" w:hAnsi="黑体" w:eastAsia="黑体" w:cs="黑体"/>
          <w:spacing w:val="51"/>
          <w:sz w:val="25"/>
          <w:szCs w:val="25"/>
        </w:rPr>
        <w:t xml:space="preserve">  </w:t>
      </w:r>
      <w:r>
        <w:rPr>
          <w:rFonts w:ascii="黑体" w:hAnsi="黑体" w:eastAsia="黑体" w:cs="黑体"/>
          <w:spacing w:val="10"/>
          <w:sz w:val="25"/>
          <w:szCs w:val="25"/>
        </w:rPr>
        <w:t>包装需求</w:t>
      </w:r>
    </w:p>
    <w:p w14:paraId="7039BD86">
      <w:pPr>
        <w:spacing w:before="96" w:line="277" w:lineRule="auto"/>
        <w:ind w:right="19" w:firstLine="560"/>
        <w:rPr>
          <w:rFonts w:ascii="宋体" w:hAnsi="宋体" w:eastAsia="宋体" w:cs="宋体"/>
          <w:sz w:val="27"/>
          <w:szCs w:val="27"/>
        </w:rPr>
      </w:pPr>
      <w:r>
        <w:rPr>
          <w:rFonts w:ascii="宋体" w:hAnsi="宋体" w:eastAsia="宋体" w:cs="宋体"/>
          <w:spacing w:val="-3"/>
          <w:sz w:val="27"/>
          <w:szCs w:val="27"/>
        </w:rPr>
        <w:t>若有包装需求，则本条应描述需交付的系统及其部件在包装、加标签</w:t>
      </w:r>
      <w:r>
        <w:rPr>
          <w:rFonts w:ascii="宋体" w:hAnsi="宋体" w:eastAsia="宋体" w:cs="宋体"/>
          <w:spacing w:val="-4"/>
          <w:sz w:val="27"/>
          <w:szCs w:val="27"/>
        </w:rPr>
        <w:t>和处理</w:t>
      </w:r>
      <w:r>
        <w:rPr>
          <w:rFonts w:ascii="宋体" w:hAnsi="宋体" w:eastAsia="宋体" w:cs="宋体"/>
          <w:sz w:val="27"/>
          <w:szCs w:val="27"/>
        </w:rPr>
        <w:t xml:space="preserve"> </w:t>
      </w:r>
      <w:r>
        <w:rPr>
          <w:rFonts w:ascii="宋体" w:hAnsi="宋体" w:eastAsia="宋体" w:cs="宋体"/>
          <w:spacing w:val="-2"/>
          <w:sz w:val="27"/>
          <w:szCs w:val="27"/>
        </w:rPr>
        <w:t>方面的需求，适当时可引用适用的军用规范</w:t>
      </w:r>
      <w:r>
        <w:rPr>
          <w:rFonts w:ascii="宋体" w:hAnsi="宋体" w:eastAsia="宋体" w:cs="宋体"/>
          <w:spacing w:val="-3"/>
          <w:sz w:val="27"/>
          <w:szCs w:val="27"/>
        </w:rPr>
        <w:t>和标准。</w:t>
      </w:r>
    </w:p>
    <w:p w14:paraId="17FBBFE6">
      <w:pPr>
        <w:spacing w:before="1" w:line="220" w:lineRule="auto"/>
        <w:rPr>
          <w:rFonts w:ascii="黑体" w:hAnsi="黑体" w:eastAsia="黑体" w:cs="黑体"/>
          <w:sz w:val="27"/>
          <w:szCs w:val="27"/>
        </w:rPr>
      </w:pPr>
      <w:r>
        <w:rPr>
          <w:rFonts w:ascii="黑体" w:hAnsi="黑体" w:eastAsia="黑体" w:cs="黑体"/>
          <w:spacing w:val="5"/>
          <w:sz w:val="27"/>
          <w:szCs w:val="27"/>
        </w:rPr>
        <w:t>3.18  需求的优先顺序和关键性</w:t>
      </w:r>
    </w:p>
    <w:p w14:paraId="061DC9C6">
      <w:pPr>
        <w:spacing w:before="97" w:line="297" w:lineRule="auto"/>
        <w:ind w:right="7" w:firstLine="560"/>
        <w:rPr>
          <w:rFonts w:ascii="宋体" w:hAnsi="宋体" w:eastAsia="宋体" w:cs="宋体"/>
          <w:sz w:val="27"/>
          <w:szCs w:val="27"/>
        </w:rPr>
      </w:pPr>
      <w:r>
        <w:rPr>
          <w:rFonts w:ascii="宋体" w:hAnsi="宋体" w:eastAsia="宋体" w:cs="宋体"/>
          <w:spacing w:val="5"/>
          <w:sz w:val="27"/>
          <w:szCs w:val="27"/>
        </w:rPr>
        <w:t>(若适用)本条应描述本规格说明中各需求的优先次序、关键性或所赋予的</w:t>
      </w:r>
      <w:r>
        <w:rPr>
          <w:rFonts w:ascii="宋体" w:hAnsi="宋体" w:eastAsia="宋体" w:cs="宋体"/>
          <w:spacing w:val="15"/>
          <w:sz w:val="27"/>
          <w:szCs w:val="27"/>
        </w:rPr>
        <w:t xml:space="preserve"> </w:t>
      </w:r>
      <w:r>
        <w:rPr>
          <w:rFonts w:ascii="宋体" w:hAnsi="宋体" w:eastAsia="宋体" w:cs="宋体"/>
          <w:spacing w:val="6"/>
          <w:sz w:val="27"/>
          <w:szCs w:val="27"/>
        </w:rPr>
        <w:t>指示其相对重要性的权重。例如标识对安全性和保</w:t>
      </w:r>
      <w:r>
        <w:rPr>
          <w:rFonts w:ascii="宋体" w:hAnsi="宋体" w:eastAsia="宋体" w:cs="宋体"/>
          <w:spacing w:val="5"/>
          <w:sz w:val="27"/>
          <w:szCs w:val="27"/>
        </w:rPr>
        <w:t>密性关键的需求，以便进行</w:t>
      </w:r>
    </w:p>
    <w:p w14:paraId="3AD2A5ED">
      <w:pPr>
        <w:spacing w:line="297" w:lineRule="auto"/>
        <w:rPr>
          <w:rFonts w:ascii="宋体" w:hAnsi="宋体" w:eastAsia="宋体" w:cs="宋体"/>
          <w:sz w:val="27"/>
          <w:szCs w:val="27"/>
        </w:rPr>
        <w:sectPr>
          <w:footerReference r:id="rId195" w:type="default"/>
          <w:pgSz w:w="11910" w:h="17130"/>
          <w:pgMar w:top="400" w:right="1120" w:bottom="1627" w:left="1400" w:header="0" w:footer="1411" w:gutter="0"/>
          <w:cols w:space="720" w:num="1"/>
        </w:sectPr>
      </w:pPr>
    </w:p>
    <w:p w14:paraId="44505746">
      <w:pPr>
        <w:pStyle w:val="2"/>
        <w:spacing w:line="261" w:lineRule="auto"/>
      </w:pPr>
    </w:p>
    <w:p w14:paraId="285D80CC">
      <w:pPr>
        <w:pStyle w:val="2"/>
        <w:spacing w:line="261" w:lineRule="auto"/>
      </w:pPr>
    </w:p>
    <w:p w14:paraId="266BE8BB">
      <w:pPr>
        <w:pStyle w:val="2"/>
        <w:spacing w:line="261" w:lineRule="auto"/>
      </w:pPr>
    </w:p>
    <w:p w14:paraId="1709083B">
      <w:pPr>
        <w:pStyle w:val="2"/>
        <w:spacing w:line="262" w:lineRule="auto"/>
      </w:pPr>
    </w:p>
    <w:p w14:paraId="42ED0794">
      <w:pPr>
        <w:spacing w:before="88" w:line="219" w:lineRule="auto"/>
        <w:ind w:left="135"/>
        <w:rPr>
          <w:rFonts w:ascii="宋体" w:hAnsi="宋体" w:eastAsia="宋体" w:cs="宋体"/>
          <w:sz w:val="27"/>
          <w:szCs w:val="27"/>
        </w:rPr>
      </w:pPr>
      <w:bookmarkStart w:id="137" w:name="bookmark373"/>
      <w:bookmarkEnd w:id="137"/>
      <w:r>
        <w:rPr>
          <w:rFonts w:ascii="宋体" w:hAnsi="宋体" w:eastAsia="宋体" w:cs="宋体"/>
          <w:spacing w:val="-1"/>
          <w:sz w:val="27"/>
          <w:szCs w:val="27"/>
        </w:rPr>
        <w:t>特殊处理。如果所有需求具有相等的权重，本条应如实说明。</w:t>
      </w:r>
    </w:p>
    <w:p w14:paraId="674AA942">
      <w:pPr>
        <w:spacing w:before="88" w:line="223" w:lineRule="auto"/>
        <w:ind w:left="135"/>
        <w:rPr>
          <w:rFonts w:ascii="黑体" w:hAnsi="黑体" w:eastAsia="黑体" w:cs="黑体"/>
          <w:sz w:val="27"/>
          <w:szCs w:val="27"/>
        </w:rPr>
      </w:pPr>
      <w:r>
        <w:rPr>
          <w:rFonts w:ascii="黑体" w:hAnsi="黑体" w:eastAsia="黑体" w:cs="黑体"/>
          <w:spacing w:val="1"/>
          <w:sz w:val="27"/>
          <w:szCs w:val="27"/>
        </w:rPr>
        <w:t xml:space="preserve">4  </w:t>
      </w:r>
      <w:r>
        <w:rPr>
          <w:rFonts w:ascii="黑体" w:hAnsi="黑体" w:eastAsia="黑体" w:cs="黑体"/>
          <w:b/>
          <w:bCs/>
          <w:spacing w:val="1"/>
          <w:sz w:val="27"/>
          <w:szCs w:val="27"/>
        </w:rPr>
        <w:t>合格性规定</w:t>
      </w:r>
    </w:p>
    <w:p w14:paraId="394A2B53">
      <w:pPr>
        <w:spacing w:before="84" w:line="276" w:lineRule="auto"/>
        <w:ind w:left="135" w:right="10" w:firstLine="560"/>
        <w:jc w:val="both"/>
        <w:rPr>
          <w:rFonts w:ascii="宋体" w:hAnsi="宋体" w:eastAsia="宋体" w:cs="宋体"/>
          <w:sz w:val="27"/>
          <w:szCs w:val="27"/>
        </w:rPr>
      </w:pPr>
      <w:r>
        <w:rPr>
          <w:rFonts w:ascii="宋体" w:hAnsi="宋体" w:eastAsia="宋体" w:cs="宋体"/>
          <w:spacing w:val="10"/>
          <w:sz w:val="27"/>
          <w:szCs w:val="27"/>
        </w:rPr>
        <w:t>本章应定义一组合格性方法，并为第3章中的每个需求指定</w:t>
      </w:r>
      <w:r>
        <w:rPr>
          <w:rFonts w:ascii="宋体" w:hAnsi="宋体" w:eastAsia="宋体" w:cs="宋体"/>
          <w:spacing w:val="9"/>
          <w:sz w:val="27"/>
          <w:szCs w:val="27"/>
        </w:rPr>
        <w:t>为确保需求得</w:t>
      </w:r>
      <w:r>
        <w:rPr>
          <w:rFonts w:ascii="宋体" w:hAnsi="宋体" w:eastAsia="宋体" w:cs="宋体"/>
          <w:sz w:val="27"/>
          <w:szCs w:val="27"/>
        </w:rPr>
        <w:t xml:space="preserve"> </w:t>
      </w:r>
      <w:r>
        <w:rPr>
          <w:rFonts w:ascii="宋体" w:hAnsi="宋体" w:eastAsia="宋体" w:cs="宋体"/>
          <w:spacing w:val="9"/>
          <w:sz w:val="27"/>
          <w:szCs w:val="27"/>
        </w:rPr>
        <w:t>到满足所应使用的方法。可用表格形式表述该信息，或</w:t>
      </w:r>
      <w:r>
        <w:rPr>
          <w:rFonts w:ascii="宋体" w:hAnsi="宋体" w:eastAsia="宋体" w:cs="宋体"/>
          <w:spacing w:val="8"/>
          <w:sz w:val="27"/>
          <w:szCs w:val="27"/>
        </w:rPr>
        <w:t>为第3章中的每个需求</w:t>
      </w:r>
      <w:r>
        <w:rPr>
          <w:rFonts w:ascii="宋体" w:hAnsi="宋体" w:eastAsia="宋体" w:cs="宋体"/>
          <w:sz w:val="27"/>
          <w:szCs w:val="27"/>
        </w:rPr>
        <w:t xml:space="preserve"> </w:t>
      </w:r>
      <w:r>
        <w:rPr>
          <w:rFonts w:ascii="宋体" w:hAnsi="宋体" w:eastAsia="宋体" w:cs="宋体"/>
          <w:spacing w:val="2"/>
          <w:sz w:val="27"/>
          <w:szCs w:val="27"/>
        </w:rPr>
        <w:t>注明所使用的方法。合格性方法包括：</w:t>
      </w:r>
    </w:p>
    <w:p w14:paraId="4C6601EE">
      <w:pPr>
        <w:spacing w:line="250" w:lineRule="auto"/>
        <w:ind w:left="135" w:right="7" w:firstLine="560"/>
        <w:rPr>
          <w:rFonts w:ascii="宋体" w:hAnsi="宋体" w:eastAsia="宋体" w:cs="宋体"/>
          <w:sz w:val="27"/>
          <w:szCs w:val="27"/>
        </w:rPr>
      </w:pPr>
      <w:r>
        <w:rPr>
          <w:rFonts w:ascii="Times New Roman" w:hAnsi="Times New Roman" w:eastAsia="Times New Roman" w:cs="Times New Roman"/>
          <w:spacing w:val="-5"/>
          <w:sz w:val="27"/>
          <w:szCs w:val="27"/>
        </w:rPr>
        <w:t>a</w:t>
      </w:r>
      <w:r>
        <w:rPr>
          <w:rFonts w:ascii="宋体" w:hAnsi="宋体" w:eastAsia="宋体" w:cs="宋体"/>
          <w:spacing w:val="-5"/>
          <w:sz w:val="27"/>
          <w:szCs w:val="27"/>
        </w:rPr>
        <w:t>)</w:t>
      </w:r>
      <w:r>
        <w:rPr>
          <w:rFonts w:ascii="宋体" w:hAnsi="宋体" w:eastAsia="宋体" w:cs="宋体"/>
          <w:spacing w:val="-38"/>
          <w:sz w:val="27"/>
          <w:szCs w:val="27"/>
        </w:rPr>
        <w:t xml:space="preserve"> </w:t>
      </w:r>
      <w:r>
        <w:rPr>
          <w:rFonts w:ascii="宋体" w:hAnsi="宋体" w:eastAsia="宋体" w:cs="宋体"/>
          <w:spacing w:val="-5"/>
          <w:sz w:val="27"/>
          <w:szCs w:val="27"/>
        </w:rPr>
        <w:t>演示：依靠可见的功能操作，直接运行系统或系统的一部分，而不需要使</w:t>
      </w:r>
      <w:r>
        <w:rPr>
          <w:rFonts w:ascii="宋体" w:hAnsi="宋体" w:eastAsia="宋体" w:cs="宋体"/>
          <w:sz w:val="27"/>
          <w:szCs w:val="27"/>
        </w:rPr>
        <w:t xml:space="preserve"> </w:t>
      </w:r>
      <w:r>
        <w:rPr>
          <w:rFonts w:ascii="宋体" w:hAnsi="宋体" w:eastAsia="宋体" w:cs="宋体"/>
          <w:spacing w:val="-3"/>
          <w:sz w:val="27"/>
          <w:szCs w:val="27"/>
        </w:rPr>
        <w:t>用仪器、专用测试设备或进行事后分析。</w:t>
      </w:r>
    </w:p>
    <w:p w14:paraId="21E6B493">
      <w:pPr>
        <w:spacing w:before="57" w:line="260" w:lineRule="auto"/>
        <w:ind w:left="135" w:right="9"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测试：使用仪器或其他专用测试设备</w:t>
      </w:r>
      <w:r>
        <w:rPr>
          <w:rFonts w:ascii="宋体" w:hAnsi="宋体" w:eastAsia="宋体" w:cs="宋体"/>
          <w:spacing w:val="2"/>
          <w:sz w:val="27"/>
          <w:szCs w:val="27"/>
        </w:rPr>
        <w:t>运行系统或系统的一部分，以便采</w:t>
      </w:r>
      <w:r>
        <w:rPr>
          <w:rFonts w:ascii="宋体" w:hAnsi="宋体" w:eastAsia="宋体" w:cs="宋体"/>
          <w:sz w:val="27"/>
          <w:szCs w:val="27"/>
        </w:rPr>
        <w:t xml:space="preserve"> </w:t>
      </w:r>
      <w:r>
        <w:rPr>
          <w:rFonts w:ascii="宋体" w:hAnsi="宋体" w:eastAsia="宋体" w:cs="宋体"/>
          <w:spacing w:val="1"/>
          <w:sz w:val="27"/>
          <w:szCs w:val="27"/>
        </w:rPr>
        <w:t>集数据供事后分析使用。</w:t>
      </w:r>
    </w:p>
    <w:p w14:paraId="56A60FBA">
      <w:pPr>
        <w:spacing w:before="61" w:line="212" w:lineRule="auto"/>
        <w:ind w:left="695"/>
        <w:rPr>
          <w:rFonts w:ascii="宋体" w:hAnsi="宋体" w:eastAsia="宋体" w:cs="宋体"/>
          <w:sz w:val="27"/>
          <w:szCs w:val="27"/>
        </w:rPr>
      </w:pPr>
      <w:r>
        <w:rPr>
          <w:rFonts w:ascii="Times New Roman" w:hAnsi="Times New Roman" w:eastAsia="Times New Roman" w:cs="Times New Roman"/>
          <w:spacing w:val="-3"/>
          <w:sz w:val="27"/>
          <w:szCs w:val="27"/>
        </w:rPr>
        <w:t>c)</w:t>
      </w:r>
      <w:r>
        <w:rPr>
          <w:rFonts w:ascii="Times New Roman" w:hAnsi="Times New Roman" w:eastAsia="Times New Roman" w:cs="Times New Roman"/>
          <w:spacing w:val="70"/>
          <w:sz w:val="27"/>
          <w:szCs w:val="27"/>
        </w:rPr>
        <w:t xml:space="preserve"> </w:t>
      </w:r>
      <w:r>
        <w:rPr>
          <w:rFonts w:ascii="宋体" w:hAnsi="宋体" w:eastAsia="宋体" w:cs="宋体"/>
          <w:spacing w:val="-3"/>
          <w:sz w:val="27"/>
          <w:szCs w:val="27"/>
        </w:rPr>
        <w:t>分析：处理从其他合格性方法获得的积累数据。</w:t>
      </w:r>
    </w:p>
    <w:p w14:paraId="1B7135AB">
      <w:pPr>
        <w:spacing w:before="80" w:line="212" w:lineRule="auto"/>
        <w:ind w:left="695"/>
        <w:rPr>
          <w:rFonts w:ascii="宋体" w:hAnsi="宋体" w:eastAsia="宋体" w:cs="宋体"/>
          <w:sz w:val="27"/>
          <w:szCs w:val="27"/>
        </w:rPr>
      </w:pPr>
      <w:r>
        <w:rPr>
          <w:rFonts w:ascii="Times New Roman" w:hAnsi="Times New Roman" w:eastAsia="Times New Roman" w:cs="Times New Roman"/>
          <w:spacing w:val="-8"/>
          <w:sz w:val="27"/>
          <w:szCs w:val="27"/>
        </w:rPr>
        <w:t xml:space="preserve">d)  </w:t>
      </w:r>
      <w:r>
        <w:rPr>
          <w:rFonts w:ascii="宋体" w:hAnsi="宋体" w:eastAsia="宋体" w:cs="宋体"/>
          <w:spacing w:val="-8"/>
          <w:sz w:val="27"/>
          <w:szCs w:val="27"/>
        </w:rPr>
        <w:t>审查：对系统部件、文档等进行目视检查。</w:t>
      </w:r>
    </w:p>
    <w:p w14:paraId="7D50E90C">
      <w:pPr>
        <w:spacing w:before="129" w:line="250" w:lineRule="auto"/>
        <w:ind w:left="135" w:right="9" w:firstLine="560"/>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特殊的合格性方法。任何针对系统的特殊合格性方法，如专用工具、技</w:t>
      </w:r>
      <w:r>
        <w:rPr>
          <w:rFonts w:ascii="宋体" w:hAnsi="宋体" w:eastAsia="宋体" w:cs="宋体"/>
          <w:sz w:val="27"/>
          <w:szCs w:val="27"/>
        </w:rPr>
        <w:t xml:space="preserve"> </w:t>
      </w:r>
      <w:r>
        <w:rPr>
          <w:rFonts w:ascii="宋体" w:hAnsi="宋体" w:eastAsia="宋体" w:cs="宋体"/>
          <w:spacing w:val="-18"/>
          <w:sz w:val="27"/>
          <w:szCs w:val="27"/>
        </w:rPr>
        <w:t>术、过程、设施、验收限制、飞行模型或飞行航迹等。</w:t>
      </w:r>
    </w:p>
    <w:p w14:paraId="2FB773BD">
      <w:pPr>
        <w:pStyle w:val="2"/>
        <w:spacing w:before="74" w:line="222" w:lineRule="auto"/>
        <w:ind w:left="135"/>
        <w:rPr>
          <w:rFonts w:ascii="黑体" w:hAnsi="黑体" w:eastAsia="黑体" w:cs="黑体"/>
          <w:sz w:val="27"/>
          <w:szCs w:val="27"/>
        </w:rPr>
      </w:pPr>
      <w:r>
        <w:rPr>
          <w:b/>
          <w:bCs/>
          <w:spacing w:val="-2"/>
          <w:sz w:val="27"/>
          <w:szCs w:val="27"/>
        </w:rPr>
        <w:t>5</w:t>
      </w:r>
      <w:r>
        <w:rPr>
          <w:b/>
          <w:bCs/>
          <w:spacing w:val="17"/>
          <w:sz w:val="27"/>
          <w:szCs w:val="27"/>
        </w:rPr>
        <w:t xml:space="preserve">   </w:t>
      </w:r>
      <w:r>
        <w:rPr>
          <w:rFonts w:ascii="黑体" w:hAnsi="黑体" w:eastAsia="黑体" w:cs="黑体"/>
          <w:b/>
          <w:bCs/>
          <w:spacing w:val="-2"/>
          <w:sz w:val="27"/>
          <w:szCs w:val="27"/>
        </w:rPr>
        <w:t>需求可追踪性</w:t>
      </w:r>
    </w:p>
    <w:p w14:paraId="1686B429">
      <w:pPr>
        <w:spacing w:before="109" w:line="219" w:lineRule="auto"/>
        <w:ind w:left="695"/>
        <w:rPr>
          <w:rFonts w:ascii="宋体" w:hAnsi="宋体" w:eastAsia="宋体" w:cs="宋体"/>
          <w:sz w:val="27"/>
          <w:szCs w:val="27"/>
        </w:rPr>
      </w:pPr>
      <w:r>
        <w:rPr>
          <w:rFonts w:ascii="宋体" w:hAnsi="宋体" w:eastAsia="宋体" w:cs="宋体"/>
          <w:spacing w:val="-6"/>
          <w:sz w:val="27"/>
          <w:szCs w:val="27"/>
        </w:rPr>
        <w:t>本章对系统规格说明不适用；对子系统规格说明，应描述：</w:t>
      </w:r>
    </w:p>
    <w:p w14:paraId="1AA26334">
      <w:pPr>
        <w:spacing w:before="59" w:line="269" w:lineRule="auto"/>
        <w:ind w:left="135" w:right="6" w:firstLine="560"/>
        <w:rPr>
          <w:rFonts w:ascii="宋体" w:hAnsi="宋体" w:eastAsia="宋体" w:cs="宋体"/>
          <w:sz w:val="28"/>
          <w:szCs w:val="28"/>
        </w:rPr>
      </w:pPr>
      <w:r>
        <w:rPr>
          <w:rFonts w:ascii="Times New Roman" w:hAnsi="Times New Roman" w:eastAsia="Times New Roman" w:cs="Times New Roman"/>
          <w:spacing w:val="2"/>
          <w:sz w:val="28"/>
          <w:szCs w:val="28"/>
        </w:rPr>
        <w:t>a)</w:t>
      </w:r>
      <w:r>
        <w:rPr>
          <w:rFonts w:ascii="Times New Roman" w:hAnsi="Times New Roman" w:eastAsia="Times New Roman" w:cs="Times New Roman"/>
          <w:spacing w:val="71"/>
          <w:w w:val="101"/>
          <w:sz w:val="28"/>
          <w:szCs w:val="28"/>
        </w:rPr>
        <w:t xml:space="preserve"> </w:t>
      </w:r>
      <w:r>
        <w:rPr>
          <w:rFonts w:ascii="宋体" w:hAnsi="宋体" w:eastAsia="宋体" w:cs="宋体"/>
          <w:spacing w:val="2"/>
          <w:sz w:val="28"/>
          <w:szCs w:val="28"/>
        </w:rPr>
        <w:t>从本规格说明中的每个子系统需求，到它所涉及的系统需求的可追踪</w:t>
      </w:r>
      <w:r>
        <w:rPr>
          <w:rFonts w:ascii="宋体" w:hAnsi="宋体" w:eastAsia="宋体" w:cs="宋体"/>
          <w:sz w:val="28"/>
          <w:szCs w:val="28"/>
        </w:rPr>
        <w:t xml:space="preserve"> </w:t>
      </w:r>
      <w:r>
        <w:rPr>
          <w:rFonts w:ascii="宋体" w:hAnsi="宋体" w:eastAsia="宋体" w:cs="宋体"/>
          <w:spacing w:val="-1"/>
          <w:sz w:val="28"/>
          <w:szCs w:val="28"/>
        </w:rPr>
        <w:t>性。该可追踪性也可以通过对第3章中的每个需求进行注释的方法加以描述。</w:t>
      </w:r>
    </w:p>
    <w:p w14:paraId="56030396">
      <w:pPr>
        <w:spacing w:before="1" w:line="262" w:lineRule="auto"/>
        <w:ind w:left="135" w:right="15" w:firstLine="560"/>
        <w:rPr>
          <w:rFonts w:ascii="楷体" w:hAnsi="楷体" w:eastAsia="楷体" w:cs="楷体"/>
          <w:sz w:val="28"/>
          <w:szCs w:val="28"/>
        </w:rPr>
      </w:pPr>
      <w:r>
        <w:rPr>
          <w:rFonts w:ascii="楷体" w:hAnsi="楷体" w:eastAsia="楷体" w:cs="楷体"/>
          <w:spacing w:val="-5"/>
          <w:sz w:val="28"/>
          <w:szCs w:val="28"/>
        </w:rPr>
        <w:t>注：每一个层次的系统细化都可能导致需求不能直接追踪到较高层次。例</w:t>
      </w:r>
      <w:r>
        <w:rPr>
          <w:rFonts w:ascii="楷体" w:hAnsi="楷体" w:eastAsia="楷体" w:cs="楷体"/>
          <w:sz w:val="28"/>
          <w:szCs w:val="28"/>
        </w:rPr>
        <w:t xml:space="preserve"> </w:t>
      </w:r>
      <w:r>
        <w:rPr>
          <w:rFonts w:ascii="楷体" w:hAnsi="楷体" w:eastAsia="楷体" w:cs="楷体"/>
          <w:spacing w:val="-4"/>
          <w:sz w:val="28"/>
          <w:szCs w:val="28"/>
        </w:rPr>
        <w:t>如一个系统体系结构设计建立了两个子系统，可能导出</w:t>
      </w:r>
      <w:r>
        <w:rPr>
          <w:rFonts w:ascii="楷体" w:hAnsi="楷体" w:eastAsia="楷体" w:cs="楷体"/>
          <w:spacing w:val="-5"/>
          <w:sz w:val="28"/>
          <w:szCs w:val="28"/>
        </w:rPr>
        <w:t>关于两个子系统如何接</w:t>
      </w:r>
      <w:r>
        <w:rPr>
          <w:rFonts w:ascii="楷体" w:hAnsi="楷体" w:eastAsia="楷体" w:cs="楷体"/>
          <w:sz w:val="28"/>
          <w:szCs w:val="28"/>
        </w:rPr>
        <w:t xml:space="preserve"> </w:t>
      </w:r>
      <w:r>
        <w:rPr>
          <w:rFonts w:ascii="楷体" w:hAnsi="楷体" w:eastAsia="楷体" w:cs="楷体"/>
          <w:spacing w:val="-5"/>
          <w:sz w:val="28"/>
          <w:szCs w:val="28"/>
        </w:rPr>
        <w:t>口的需求，而这些接口需求在系统需求中并没有被</w:t>
      </w:r>
      <w:r>
        <w:rPr>
          <w:rFonts w:ascii="楷体" w:hAnsi="楷体" w:eastAsia="楷体" w:cs="楷体"/>
          <w:spacing w:val="-6"/>
          <w:sz w:val="28"/>
          <w:szCs w:val="28"/>
        </w:rPr>
        <w:t>涵盖。这样的需求可以被追</w:t>
      </w:r>
      <w:r>
        <w:rPr>
          <w:rFonts w:ascii="楷体" w:hAnsi="楷体" w:eastAsia="楷体" w:cs="楷体"/>
          <w:sz w:val="28"/>
          <w:szCs w:val="28"/>
        </w:rPr>
        <w:t xml:space="preserve"> </w:t>
      </w:r>
      <w:r>
        <w:rPr>
          <w:rFonts w:ascii="楷体" w:hAnsi="楷体" w:eastAsia="楷体" w:cs="楷体"/>
          <w:spacing w:val="-13"/>
          <w:sz w:val="28"/>
          <w:szCs w:val="28"/>
        </w:rPr>
        <w:t>踪到类似于“系统实现”这样的一般需求，或被追踪到导致它们产生的系统设计</w:t>
      </w:r>
      <w:r>
        <w:rPr>
          <w:rFonts w:ascii="楷体" w:hAnsi="楷体" w:eastAsia="楷体" w:cs="楷体"/>
          <w:spacing w:val="3"/>
          <w:sz w:val="28"/>
          <w:szCs w:val="28"/>
        </w:rPr>
        <w:t xml:space="preserve"> </w:t>
      </w:r>
      <w:r>
        <w:rPr>
          <w:rFonts w:ascii="楷体" w:hAnsi="楷体" w:eastAsia="楷体" w:cs="楷体"/>
          <w:spacing w:val="-14"/>
          <w:sz w:val="28"/>
          <w:szCs w:val="28"/>
        </w:rPr>
        <w:t>决策。</w:t>
      </w:r>
    </w:p>
    <w:p w14:paraId="500103D6">
      <w:pPr>
        <w:spacing w:before="80" w:line="281" w:lineRule="auto"/>
        <w:ind w:firstLine="695"/>
        <w:jc w:val="both"/>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从已分配给本规格说明所覆盖的子系统的每一个系统需求，</w:t>
      </w:r>
      <w:r>
        <w:rPr>
          <w:rFonts w:ascii="宋体" w:hAnsi="宋体" w:eastAsia="宋体" w:cs="宋体"/>
          <w:spacing w:val="2"/>
          <w:sz w:val="27"/>
          <w:szCs w:val="27"/>
        </w:rPr>
        <w:t>到所涉及的</w:t>
      </w:r>
      <w:r>
        <w:rPr>
          <w:rFonts w:ascii="宋体" w:hAnsi="宋体" w:eastAsia="宋体" w:cs="宋体"/>
          <w:sz w:val="27"/>
          <w:szCs w:val="27"/>
        </w:rPr>
        <w:t xml:space="preserve"> </w:t>
      </w:r>
      <w:r>
        <w:rPr>
          <w:rFonts w:ascii="宋体" w:hAnsi="宋体" w:eastAsia="宋体" w:cs="宋体"/>
          <w:spacing w:val="9"/>
          <w:sz w:val="27"/>
          <w:szCs w:val="27"/>
        </w:rPr>
        <w:t>子系统需求的可追踪性。分配给子系统的所有系统需求都应加以说明。</w:t>
      </w:r>
      <w:r>
        <w:rPr>
          <w:rFonts w:ascii="宋体" w:hAnsi="宋体" w:eastAsia="宋体" w:cs="宋体"/>
          <w:spacing w:val="8"/>
          <w:sz w:val="27"/>
          <w:szCs w:val="27"/>
        </w:rPr>
        <w:t>追踪到</w:t>
      </w:r>
      <w:r>
        <w:rPr>
          <w:rFonts w:ascii="宋体" w:hAnsi="宋体" w:eastAsia="宋体" w:cs="宋体"/>
          <w:sz w:val="27"/>
          <w:szCs w:val="27"/>
        </w:rPr>
        <w:t xml:space="preserve"> </w:t>
      </w:r>
      <w:r>
        <w:rPr>
          <w:rFonts w:ascii="宋体" w:hAnsi="宋体" w:eastAsia="宋体" w:cs="宋体"/>
          <w:spacing w:val="-10"/>
          <w:sz w:val="27"/>
          <w:szCs w:val="27"/>
        </w:rPr>
        <w:t>《接口需求规格说明》中所包含的子系统需求时，可引用《接口需求规格说明》。</w:t>
      </w:r>
    </w:p>
    <w:p w14:paraId="7FD5AA83">
      <w:pPr>
        <w:spacing w:before="1" w:line="221" w:lineRule="auto"/>
        <w:ind w:left="135"/>
        <w:rPr>
          <w:rFonts w:ascii="黑体" w:hAnsi="黑体" w:eastAsia="黑体" w:cs="黑体"/>
          <w:sz w:val="24"/>
          <w:szCs w:val="24"/>
        </w:rPr>
      </w:pPr>
      <w:r>
        <w:rPr>
          <w:rFonts w:ascii="黑体" w:hAnsi="黑体" w:eastAsia="黑体" w:cs="黑体"/>
          <w:spacing w:val="-9"/>
          <w:sz w:val="24"/>
          <w:szCs w:val="24"/>
        </w:rPr>
        <w:t>6</w:t>
      </w:r>
      <w:r>
        <w:rPr>
          <w:rFonts w:ascii="黑体" w:hAnsi="黑体" w:eastAsia="黑体" w:cs="黑体"/>
          <w:spacing w:val="31"/>
          <w:sz w:val="24"/>
          <w:szCs w:val="24"/>
        </w:rPr>
        <w:t xml:space="preserve">  </w:t>
      </w:r>
      <w:r>
        <w:rPr>
          <w:rFonts w:ascii="黑体" w:hAnsi="黑体" w:eastAsia="黑体" w:cs="黑体"/>
          <w:b/>
          <w:bCs/>
          <w:spacing w:val="-9"/>
          <w:sz w:val="24"/>
          <w:szCs w:val="24"/>
        </w:rPr>
        <w:t>注</w:t>
      </w:r>
      <w:r>
        <w:rPr>
          <w:rFonts w:ascii="黑体" w:hAnsi="黑体" w:eastAsia="黑体" w:cs="黑体"/>
          <w:spacing w:val="-48"/>
          <w:sz w:val="24"/>
          <w:szCs w:val="24"/>
        </w:rPr>
        <w:t xml:space="preserve"> </w:t>
      </w:r>
      <w:r>
        <w:rPr>
          <w:rFonts w:ascii="黑体" w:hAnsi="黑体" w:eastAsia="黑体" w:cs="黑体"/>
          <w:b/>
          <w:bCs/>
          <w:spacing w:val="-9"/>
          <w:sz w:val="24"/>
          <w:szCs w:val="24"/>
        </w:rPr>
        <w:t>释</w:t>
      </w:r>
    </w:p>
    <w:p w14:paraId="42EC45F6">
      <w:pPr>
        <w:spacing w:before="126" w:line="219" w:lineRule="auto"/>
        <w:ind w:right="32"/>
        <w:jc w:val="right"/>
        <w:rPr>
          <w:rFonts w:ascii="宋体" w:hAnsi="宋体" w:eastAsia="宋体" w:cs="宋体"/>
          <w:sz w:val="27"/>
          <w:szCs w:val="27"/>
        </w:rPr>
      </w:pPr>
      <w:r>
        <w:rPr>
          <w:rFonts w:ascii="宋体" w:hAnsi="宋体" w:eastAsia="宋体" w:cs="宋体"/>
          <w:spacing w:val="-3"/>
          <w:sz w:val="27"/>
          <w:szCs w:val="27"/>
        </w:rPr>
        <w:t>本章应包括有助于了解文档的所有信息(例如背景、</w:t>
      </w:r>
      <w:r>
        <w:rPr>
          <w:rFonts w:ascii="宋体" w:hAnsi="宋体" w:eastAsia="宋体" w:cs="宋体"/>
          <w:spacing w:val="-4"/>
          <w:sz w:val="27"/>
          <w:szCs w:val="27"/>
        </w:rPr>
        <w:t>术语、缩略语或公式)。</w:t>
      </w:r>
    </w:p>
    <w:p w14:paraId="4ABBD8DD">
      <w:pPr>
        <w:pStyle w:val="2"/>
        <w:spacing w:line="331" w:lineRule="auto"/>
      </w:pPr>
    </w:p>
    <w:p w14:paraId="08BEE562">
      <w:pPr>
        <w:spacing w:before="117" w:line="219" w:lineRule="auto"/>
        <w:ind w:left="2905"/>
        <w:outlineLvl w:val="1"/>
        <w:rPr>
          <w:rFonts w:ascii="宋体" w:hAnsi="宋体" w:eastAsia="宋体" w:cs="宋体"/>
          <w:sz w:val="36"/>
          <w:szCs w:val="36"/>
        </w:rPr>
      </w:pPr>
      <w:bookmarkStart w:id="138" w:name="bookmark72"/>
      <w:bookmarkEnd w:id="138"/>
      <w:r>
        <w:rPr>
          <w:rFonts w:ascii="Times New Roman" w:hAnsi="Times New Roman" w:eastAsia="Times New Roman" w:cs="Times New Roman"/>
          <w:b/>
          <w:bCs/>
          <w:spacing w:val="3"/>
          <w:sz w:val="36"/>
          <w:szCs w:val="36"/>
        </w:rPr>
        <w:t xml:space="preserve">2.3     </w:t>
      </w:r>
      <w:r>
        <w:rPr>
          <w:rFonts w:ascii="宋体" w:hAnsi="宋体" w:eastAsia="宋体" w:cs="宋体"/>
          <w:b/>
          <w:bCs/>
          <w:spacing w:val="3"/>
          <w:sz w:val="36"/>
          <w:szCs w:val="36"/>
        </w:rPr>
        <w:t>接口需求规格说明</w:t>
      </w:r>
    </w:p>
    <w:p w14:paraId="4924C235">
      <w:pPr>
        <w:pStyle w:val="2"/>
        <w:spacing w:line="369" w:lineRule="auto"/>
      </w:pPr>
    </w:p>
    <w:p w14:paraId="3497C5B5">
      <w:pPr>
        <w:spacing w:before="79" w:line="225" w:lineRule="auto"/>
        <w:ind w:left="695"/>
        <w:rPr>
          <w:rFonts w:ascii="楷体" w:hAnsi="楷体" w:eastAsia="楷体" w:cs="楷体"/>
          <w:sz w:val="24"/>
          <w:szCs w:val="24"/>
        </w:rPr>
      </w:pPr>
      <w:r>
        <w:rPr>
          <w:rFonts w:ascii="楷体" w:hAnsi="楷体" w:eastAsia="楷体" w:cs="楷体"/>
          <w:spacing w:val="12"/>
          <w:sz w:val="24"/>
          <w:szCs w:val="24"/>
        </w:rPr>
        <w:t>按</w:t>
      </w:r>
      <w:r>
        <w:rPr>
          <w:rFonts w:ascii="楷体" w:hAnsi="楷体" w:eastAsia="楷体" w:cs="楷体"/>
          <w:spacing w:val="-2"/>
          <w:sz w:val="24"/>
          <w:szCs w:val="24"/>
        </w:rPr>
        <w:t xml:space="preserve"> </w:t>
      </w:r>
      <w:r>
        <w:rPr>
          <w:rFonts w:ascii="楷体" w:hAnsi="楷体" w:eastAsia="楷体" w:cs="楷体"/>
          <w:spacing w:val="1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 xml:space="preserve">    438B—2009</w:t>
      </w:r>
      <w:r>
        <w:rPr>
          <w:rFonts w:ascii="宋体" w:hAnsi="宋体" w:eastAsia="宋体" w:cs="宋体"/>
          <w:spacing w:val="12"/>
          <w:sz w:val="24"/>
          <w:szCs w:val="24"/>
        </w:rPr>
        <w:t>《</w:t>
      </w:r>
      <w:r>
        <w:rPr>
          <w:rFonts w:ascii="楷体" w:hAnsi="楷体" w:eastAsia="楷体" w:cs="楷体"/>
          <w:spacing w:val="12"/>
          <w:sz w:val="24"/>
          <w:szCs w:val="24"/>
        </w:rPr>
        <w:t>军用软件开发文档通用要求》编写。</w:t>
      </w:r>
    </w:p>
    <w:p w14:paraId="713294AE">
      <w:pPr>
        <w:spacing w:before="68" w:line="223" w:lineRule="auto"/>
        <w:ind w:left="135"/>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7"/>
          <w:sz w:val="27"/>
          <w:szCs w:val="27"/>
        </w:rPr>
        <w:t xml:space="preserve">  </w:t>
      </w:r>
      <w:r>
        <w:rPr>
          <w:rFonts w:ascii="黑体" w:hAnsi="黑体" w:eastAsia="黑体" w:cs="黑体"/>
          <w:b/>
          <w:bCs/>
          <w:spacing w:val="-8"/>
          <w:sz w:val="27"/>
          <w:szCs w:val="27"/>
        </w:rPr>
        <w:t>范围</w:t>
      </w:r>
    </w:p>
    <w:p w14:paraId="4D5B902F">
      <w:pPr>
        <w:spacing w:before="103" w:line="222" w:lineRule="auto"/>
        <w:ind w:left="135"/>
        <w:rPr>
          <w:rFonts w:ascii="黑体" w:hAnsi="黑体" w:eastAsia="黑体" w:cs="黑体"/>
          <w:sz w:val="25"/>
          <w:szCs w:val="25"/>
        </w:rPr>
      </w:pPr>
      <w:r>
        <w:rPr>
          <w:rFonts w:ascii="黑体" w:hAnsi="黑体" w:eastAsia="黑体" w:cs="黑体"/>
          <w:spacing w:val="-7"/>
          <w:sz w:val="25"/>
          <w:szCs w:val="25"/>
        </w:rPr>
        <w:t>1.1</w:t>
      </w:r>
      <w:r>
        <w:rPr>
          <w:rFonts w:ascii="黑体" w:hAnsi="黑体" w:eastAsia="黑体" w:cs="黑体"/>
          <w:spacing w:val="46"/>
          <w:sz w:val="25"/>
          <w:szCs w:val="25"/>
        </w:rPr>
        <w:t xml:space="preserve">  </w:t>
      </w:r>
      <w:r>
        <w:rPr>
          <w:rFonts w:ascii="黑体" w:hAnsi="黑体" w:eastAsia="黑体" w:cs="黑体"/>
          <w:b/>
          <w:bCs/>
          <w:spacing w:val="-7"/>
          <w:sz w:val="25"/>
          <w:szCs w:val="25"/>
        </w:rPr>
        <w:t>标</w:t>
      </w:r>
      <w:r>
        <w:rPr>
          <w:rFonts w:ascii="黑体" w:hAnsi="黑体" w:eastAsia="黑体" w:cs="黑体"/>
          <w:spacing w:val="-57"/>
          <w:sz w:val="25"/>
          <w:szCs w:val="25"/>
        </w:rPr>
        <w:t xml:space="preserve"> </w:t>
      </w:r>
      <w:r>
        <w:rPr>
          <w:rFonts w:ascii="黑体" w:hAnsi="黑体" w:eastAsia="黑体" w:cs="黑体"/>
          <w:b/>
          <w:bCs/>
          <w:spacing w:val="-7"/>
          <w:sz w:val="25"/>
          <w:szCs w:val="25"/>
        </w:rPr>
        <w:t>识</w:t>
      </w:r>
    </w:p>
    <w:p w14:paraId="78667203">
      <w:pPr>
        <w:spacing w:before="132" w:line="219" w:lineRule="auto"/>
        <w:ind w:right="5"/>
        <w:jc w:val="right"/>
        <w:rPr>
          <w:rFonts w:ascii="宋体" w:hAnsi="宋体" w:eastAsia="宋体" w:cs="宋体"/>
          <w:sz w:val="27"/>
          <w:szCs w:val="27"/>
        </w:rPr>
      </w:pPr>
      <w:r>
        <w:rPr>
          <w:rFonts w:ascii="宋体" w:hAnsi="宋体" w:eastAsia="宋体" w:cs="宋体"/>
          <w:spacing w:val="-3"/>
          <w:sz w:val="27"/>
          <w:szCs w:val="27"/>
        </w:rPr>
        <w:t>本条应包含本文档所适用的系统、接口实体和接口的完全标识，适用时，包</w:t>
      </w:r>
    </w:p>
    <w:p w14:paraId="70C45FBA">
      <w:pPr>
        <w:spacing w:line="219" w:lineRule="auto"/>
        <w:rPr>
          <w:rFonts w:ascii="宋体" w:hAnsi="宋体" w:eastAsia="宋体" w:cs="宋体"/>
          <w:sz w:val="27"/>
          <w:szCs w:val="27"/>
        </w:rPr>
        <w:sectPr>
          <w:footerReference r:id="rId196" w:type="default"/>
          <w:pgSz w:w="11910" w:h="17130"/>
          <w:pgMar w:top="400" w:right="1258" w:bottom="1710" w:left="1124" w:header="0" w:footer="1424" w:gutter="0"/>
          <w:cols w:space="720" w:num="1"/>
        </w:sectPr>
      </w:pPr>
    </w:p>
    <w:p w14:paraId="541CC9F4">
      <w:pPr>
        <w:pStyle w:val="2"/>
        <w:spacing w:line="271" w:lineRule="auto"/>
      </w:pPr>
    </w:p>
    <w:p w14:paraId="74CDB212">
      <w:pPr>
        <w:pStyle w:val="2"/>
        <w:spacing w:line="271" w:lineRule="auto"/>
      </w:pPr>
    </w:p>
    <w:p w14:paraId="5A1BB505">
      <w:pPr>
        <w:pStyle w:val="2"/>
        <w:spacing w:line="271" w:lineRule="auto"/>
      </w:pPr>
    </w:p>
    <w:p w14:paraId="0C429AE3">
      <w:pPr>
        <w:pStyle w:val="2"/>
        <w:spacing w:line="271" w:lineRule="auto"/>
      </w:pPr>
    </w:p>
    <w:p w14:paraId="6328AC85">
      <w:pPr>
        <w:spacing w:before="88" w:line="219" w:lineRule="auto"/>
        <w:rPr>
          <w:rFonts w:ascii="宋体" w:hAnsi="宋体" w:eastAsia="宋体" w:cs="宋体"/>
          <w:sz w:val="27"/>
          <w:szCs w:val="27"/>
        </w:rPr>
      </w:pPr>
      <w:r>
        <w:rPr>
          <w:rFonts w:ascii="宋体" w:hAnsi="宋体" w:eastAsia="宋体" w:cs="宋体"/>
          <w:spacing w:val="-16"/>
          <w:sz w:val="27"/>
          <w:szCs w:val="27"/>
        </w:rPr>
        <w:t>括其标识号、名称、缩略名、版本号和发布号。</w:t>
      </w:r>
    </w:p>
    <w:p w14:paraId="7817C4F1">
      <w:pPr>
        <w:spacing w:before="85" w:line="221"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26"/>
          <w:sz w:val="27"/>
          <w:szCs w:val="27"/>
        </w:rPr>
        <w:t xml:space="preserve">  </w:t>
      </w:r>
      <w:r>
        <w:rPr>
          <w:rFonts w:ascii="黑体" w:hAnsi="黑体" w:eastAsia="黑体" w:cs="黑体"/>
          <w:b/>
          <w:bCs/>
          <w:spacing w:val="-7"/>
          <w:sz w:val="27"/>
          <w:szCs w:val="27"/>
        </w:rPr>
        <w:t>系统概述</w:t>
      </w:r>
    </w:p>
    <w:p w14:paraId="3FECC38F">
      <w:pPr>
        <w:spacing w:before="61" w:line="285" w:lineRule="auto"/>
        <w:ind w:right="79" w:firstLine="560"/>
        <w:jc w:val="both"/>
        <w:rPr>
          <w:rFonts w:ascii="宋体" w:hAnsi="宋体" w:eastAsia="宋体" w:cs="宋体"/>
          <w:sz w:val="27"/>
          <w:szCs w:val="27"/>
        </w:rPr>
      </w:pPr>
      <w:r>
        <w:rPr>
          <w:rFonts w:ascii="宋体" w:hAnsi="宋体" w:eastAsia="宋体" w:cs="宋体"/>
          <w:spacing w:val="6"/>
          <w:sz w:val="27"/>
          <w:szCs w:val="27"/>
        </w:rPr>
        <w:t>本条应概述本文档适用的系统和软件的用途。它还应</w:t>
      </w:r>
      <w:r>
        <w:rPr>
          <w:rFonts w:ascii="宋体" w:hAnsi="宋体" w:eastAsia="宋体" w:cs="宋体"/>
          <w:spacing w:val="5"/>
          <w:sz w:val="27"/>
          <w:szCs w:val="27"/>
        </w:rPr>
        <w:t>描述系统与软件的一</w:t>
      </w:r>
      <w:r>
        <w:rPr>
          <w:rFonts w:ascii="宋体" w:hAnsi="宋体" w:eastAsia="宋体" w:cs="宋体"/>
          <w:sz w:val="27"/>
          <w:szCs w:val="27"/>
        </w:rPr>
        <w:t xml:space="preserve"> </w:t>
      </w:r>
      <w:r>
        <w:rPr>
          <w:rFonts w:ascii="宋体" w:hAnsi="宋体" w:eastAsia="宋体" w:cs="宋体"/>
          <w:spacing w:val="-10"/>
          <w:sz w:val="27"/>
          <w:szCs w:val="27"/>
        </w:rPr>
        <w:t>般特性；概述系统开发、运行和维护的历史；标识项目的需方、用户、开发方</w:t>
      </w:r>
      <w:r>
        <w:rPr>
          <w:rFonts w:ascii="宋体" w:hAnsi="宋体" w:eastAsia="宋体" w:cs="宋体"/>
          <w:spacing w:val="-11"/>
          <w:sz w:val="27"/>
          <w:szCs w:val="27"/>
        </w:rPr>
        <w:t>和保</w:t>
      </w:r>
      <w:r>
        <w:rPr>
          <w:rFonts w:ascii="宋体" w:hAnsi="宋体" w:eastAsia="宋体" w:cs="宋体"/>
          <w:sz w:val="27"/>
          <w:szCs w:val="27"/>
        </w:rPr>
        <w:t xml:space="preserve"> </w:t>
      </w:r>
      <w:r>
        <w:rPr>
          <w:rFonts w:ascii="宋体" w:hAnsi="宋体" w:eastAsia="宋体" w:cs="宋体"/>
          <w:spacing w:val="-6"/>
          <w:sz w:val="27"/>
          <w:szCs w:val="27"/>
        </w:rPr>
        <w:t>障机构等；标识当前和计划的运行现场；列出其他有关文档。</w:t>
      </w:r>
    </w:p>
    <w:p w14:paraId="65ACC61E">
      <w:pPr>
        <w:spacing w:before="4" w:line="221" w:lineRule="auto"/>
        <w:rPr>
          <w:rFonts w:ascii="黑体" w:hAnsi="黑体" w:eastAsia="黑体" w:cs="黑体"/>
          <w:sz w:val="25"/>
          <w:szCs w:val="25"/>
        </w:rPr>
      </w:pPr>
      <w:r>
        <w:rPr>
          <w:rFonts w:ascii="黑体" w:hAnsi="黑体" w:eastAsia="黑体" w:cs="黑体"/>
          <w:spacing w:val="6"/>
          <w:sz w:val="25"/>
          <w:szCs w:val="25"/>
        </w:rPr>
        <w:t>1.3</w:t>
      </w:r>
      <w:r>
        <w:rPr>
          <w:rFonts w:ascii="黑体" w:hAnsi="黑体" w:eastAsia="黑体" w:cs="黑体"/>
          <w:spacing w:val="53"/>
          <w:sz w:val="25"/>
          <w:szCs w:val="25"/>
        </w:rPr>
        <w:t xml:space="preserve">  </w:t>
      </w:r>
      <w:r>
        <w:rPr>
          <w:rFonts w:ascii="黑体" w:hAnsi="黑体" w:eastAsia="黑体" w:cs="黑体"/>
          <w:b/>
          <w:bCs/>
          <w:spacing w:val="6"/>
          <w:sz w:val="25"/>
          <w:szCs w:val="25"/>
        </w:rPr>
        <w:t>文档概述</w:t>
      </w:r>
    </w:p>
    <w:p w14:paraId="192B76CB">
      <w:pPr>
        <w:spacing w:before="84" w:line="272" w:lineRule="auto"/>
        <w:ind w:right="93" w:firstLine="560"/>
        <w:rPr>
          <w:rFonts w:ascii="宋体" w:hAnsi="宋体" w:eastAsia="宋体" w:cs="宋体"/>
          <w:sz w:val="27"/>
          <w:szCs w:val="27"/>
        </w:rPr>
      </w:pPr>
      <w:r>
        <w:rPr>
          <w:rFonts w:ascii="宋体" w:hAnsi="宋体" w:eastAsia="宋体" w:cs="宋体"/>
          <w:spacing w:val="5"/>
          <w:sz w:val="27"/>
          <w:szCs w:val="27"/>
        </w:rPr>
        <w:t>本条应概述本文档的用途和内容，并描述与它的使用有关的保密性方面的</w:t>
      </w:r>
      <w:r>
        <w:rPr>
          <w:rFonts w:ascii="宋体" w:hAnsi="宋体" w:eastAsia="宋体" w:cs="宋体"/>
          <w:spacing w:val="10"/>
          <w:sz w:val="27"/>
          <w:szCs w:val="27"/>
        </w:rPr>
        <w:t xml:space="preserve"> </w:t>
      </w:r>
      <w:r>
        <w:rPr>
          <w:rFonts w:ascii="宋体" w:hAnsi="宋体" w:eastAsia="宋体" w:cs="宋体"/>
          <w:spacing w:val="-2"/>
          <w:sz w:val="27"/>
          <w:szCs w:val="27"/>
        </w:rPr>
        <w:t>要求。</w:t>
      </w:r>
    </w:p>
    <w:p w14:paraId="38944EA6">
      <w:pPr>
        <w:pStyle w:val="2"/>
        <w:spacing w:before="12" w:line="222" w:lineRule="auto"/>
        <w:rPr>
          <w:rFonts w:ascii="黑体" w:hAnsi="黑体" w:eastAsia="黑体" w:cs="黑体"/>
          <w:sz w:val="27"/>
          <w:szCs w:val="27"/>
        </w:rPr>
      </w:pPr>
      <w:r>
        <w:rPr>
          <w:b/>
          <w:bCs/>
          <w:spacing w:val="-1"/>
          <w:sz w:val="27"/>
          <w:szCs w:val="27"/>
        </w:rPr>
        <w:t>2</w:t>
      </w:r>
      <w:r>
        <w:rPr>
          <w:b/>
          <w:bCs/>
          <w:spacing w:val="21"/>
          <w:w w:val="101"/>
          <w:sz w:val="27"/>
          <w:szCs w:val="27"/>
        </w:rPr>
        <w:t xml:space="preserve">   </w:t>
      </w:r>
      <w:r>
        <w:rPr>
          <w:rFonts w:ascii="黑体" w:hAnsi="黑体" w:eastAsia="黑体" w:cs="黑体"/>
          <w:b/>
          <w:bCs/>
          <w:spacing w:val="-1"/>
          <w:sz w:val="27"/>
          <w:szCs w:val="27"/>
        </w:rPr>
        <w:t>引用文档</w:t>
      </w:r>
    </w:p>
    <w:p w14:paraId="35E6F81B">
      <w:pPr>
        <w:spacing w:before="70" w:line="283" w:lineRule="auto"/>
        <w:ind w:right="101" w:firstLine="560"/>
        <w:rPr>
          <w:rFonts w:ascii="宋体" w:hAnsi="宋体" w:eastAsia="宋体" w:cs="宋体"/>
          <w:sz w:val="27"/>
          <w:szCs w:val="27"/>
        </w:rPr>
      </w:pPr>
      <w:r>
        <w:rPr>
          <w:rFonts w:ascii="宋体" w:hAnsi="宋体" w:eastAsia="宋体" w:cs="宋体"/>
          <w:spacing w:val="-11"/>
          <w:sz w:val="27"/>
          <w:szCs w:val="27"/>
        </w:rPr>
        <w:t>本章应列出引用文档的编号、标题、编写单位、修订版及日期，还应</w:t>
      </w:r>
      <w:r>
        <w:rPr>
          <w:rFonts w:ascii="宋体" w:hAnsi="宋体" w:eastAsia="宋体" w:cs="宋体"/>
          <w:spacing w:val="-12"/>
          <w:sz w:val="27"/>
          <w:szCs w:val="27"/>
        </w:rPr>
        <w:t>标识不能</w:t>
      </w:r>
      <w:r>
        <w:rPr>
          <w:rFonts w:ascii="宋体" w:hAnsi="宋体" w:eastAsia="宋体" w:cs="宋体"/>
          <w:sz w:val="27"/>
          <w:szCs w:val="27"/>
        </w:rPr>
        <w:t xml:space="preserve"> </w:t>
      </w:r>
      <w:r>
        <w:rPr>
          <w:rFonts w:ascii="宋体" w:hAnsi="宋体" w:eastAsia="宋体" w:cs="宋体"/>
          <w:spacing w:val="4"/>
          <w:sz w:val="27"/>
          <w:szCs w:val="27"/>
        </w:rPr>
        <w:t>通过正常采购活动得到的文档的来源。</w:t>
      </w:r>
    </w:p>
    <w:p w14:paraId="5FB70137">
      <w:pPr>
        <w:spacing w:line="223" w:lineRule="auto"/>
        <w:rPr>
          <w:rFonts w:ascii="黑体" w:hAnsi="黑体" w:eastAsia="黑体" w:cs="黑体"/>
          <w:sz w:val="27"/>
          <w:szCs w:val="27"/>
        </w:rPr>
      </w:pPr>
      <w:r>
        <w:rPr>
          <w:rFonts w:ascii="黑体" w:hAnsi="黑体" w:eastAsia="黑体" w:cs="黑体"/>
          <w:spacing w:val="-9"/>
          <w:sz w:val="27"/>
          <w:szCs w:val="27"/>
        </w:rPr>
        <w:t>3</w:t>
      </w:r>
      <w:r>
        <w:rPr>
          <w:rFonts w:ascii="黑体" w:hAnsi="黑体" w:eastAsia="黑体" w:cs="黑体"/>
          <w:spacing w:val="19"/>
          <w:sz w:val="27"/>
          <w:szCs w:val="27"/>
        </w:rPr>
        <w:t xml:space="preserve">  </w:t>
      </w:r>
      <w:r>
        <w:rPr>
          <w:rFonts w:ascii="黑体" w:hAnsi="黑体" w:eastAsia="黑体" w:cs="黑体"/>
          <w:b/>
          <w:bCs/>
          <w:spacing w:val="-9"/>
          <w:sz w:val="27"/>
          <w:szCs w:val="27"/>
        </w:rPr>
        <w:t>需求</w:t>
      </w:r>
    </w:p>
    <w:p w14:paraId="39ECF7FA">
      <w:pPr>
        <w:spacing w:before="122" w:line="222" w:lineRule="auto"/>
        <w:rPr>
          <w:rFonts w:ascii="黑体" w:hAnsi="黑体" w:eastAsia="黑体" w:cs="黑体"/>
          <w:sz w:val="24"/>
          <w:szCs w:val="24"/>
        </w:rPr>
      </w:pPr>
      <w:r>
        <w:rPr>
          <w:rFonts w:ascii="黑体" w:hAnsi="黑体" w:eastAsia="黑体" w:cs="黑体"/>
          <w:spacing w:val="24"/>
          <w:sz w:val="24"/>
          <w:szCs w:val="24"/>
        </w:rPr>
        <w:t>3.1</w:t>
      </w:r>
      <w:r>
        <w:rPr>
          <w:rFonts w:ascii="黑体" w:hAnsi="黑体" w:eastAsia="黑体" w:cs="黑体"/>
          <w:spacing w:val="56"/>
          <w:sz w:val="24"/>
          <w:szCs w:val="24"/>
        </w:rPr>
        <w:t xml:space="preserve">  </w:t>
      </w:r>
      <w:r>
        <w:rPr>
          <w:rFonts w:ascii="黑体" w:hAnsi="黑体" w:eastAsia="黑体" w:cs="黑体"/>
          <w:b/>
          <w:bCs/>
          <w:spacing w:val="24"/>
          <w:sz w:val="24"/>
          <w:szCs w:val="24"/>
        </w:rPr>
        <w:t>接口标识和接口图</w:t>
      </w:r>
    </w:p>
    <w:p w14:paraId="36F1B2B8">
      <w:pPr>
        <w:spacing w:before="82" w:line="280" w:lineRule="auto"/>
        <w:ind w:right="83" w:firstLine="560"/>
        <w:jc w:val="both"/>
        <w:rPr>
          <w:rFonts w:ascii="宋体" w:hAnsi="宋体" w:eastAsia="宋体" w:cs="宋体"/>
          <w:sz w:val="27"/>
          <w:szCs w:val="27"/>
        </w:rPr>
      </w:pPr>
      <w:r>
        <w:rPr>
          <w:rFonts w:ascii="宋体" w:hAnsi="宋体" w:eastAsia="宋体" w:cs="宋体"/>
          <w:spacing w:val="1"/>
          <w:sz w:val="27"/>
          <w:szCs w:val="27"/>
        </w:rPr>
        <w:t>对1.1条中标识的每一个接口，本条应包含项目唯一的</w:t>
      </w:r>
      <w:r>
        <w:rPr>
          <w:rFonts w:ascii="宋体" w:hAnsi="宋体" w:eastAsia="宋体" w:cs="宋体"/>
          <w:sz w:val="27"/>
          <w:szCs w:val="27"/>
        </w:rPr>
        <w:t xml:space="preserve">标识符，(若适用)应 </w:t>
      </w:r>
      <w:r>
        <w:rPr>
          <w:rFonts w:ascii="宋体" w:hAnsi="宋体" w:eastAsia="宋体" w:cs="宋体"/>
          <w:spacing w:val="-10"/>
          <w:sz w:val="27"/>
          <w:szCs w:val="27"/>
        </w:rPr>
        <w:t>通过名称、编号、版本和文档引用来指明接口实体(系统、配置项、用户等)。该标</w:t>
      </w:r>
      <w:r>
        <w:rPr>
          <w:rFonts w:ascii="宋体" w:hAnsi="宋体" w:eastAsia="宋体" w:cs="宋体"/>
          <w:spacing w:val="9"/>
          <w:sz w:val="27"/>
          <w:szCs w:val="27"/>
        </w:rPr>
        <w:t xml:space="preserve"> </w:t>
      </w:r>
      <w:r>
        <w:rPr>
          <w:rFonts w:ascii="宋体" w:hAnsi="宋体" w:eastAsia="宋体" w:cs="宋体"/>
          <w:spacing w:val="10"/>
          <w:sz w:val="27"/>
          <w:szCs w:val="27"/>
        </w:rPr>
        <w:t>识应声明哪些实体具有固定的接口特性(要给</w:t>
      </w:r>
      <w:r>
        <w:rPr>
          <w:rFonts w:ascii="宋体" w:hAnsi="宋体" w:eastAsia="宋体" w:cs="宋体"/>
          <w:spacing w:val="9"/>
          <w:sz w:val="27"/>
          <w:szCs w:val="27"/>
        </w:rPr>
        <w:t>出这些接口实体的接口需求);说</w:t>
      </w:r>
      <w:r>
        <w:rPr>
          <w:rFonts w:ascii="宋体" w:hAnsi="宋体" w:eastAsia="宋体" w:cs="宋体"/>
          <w:sz w:val="27"/>
          <w:szCs w:val="27"/>
        </w:rPr>
        <w:t xml:space="preserve"> </w:t>
      </w:r>
      <w:r>
        <w:rPr>
          <w:rFonts w:ascii="宋体" w:hAnsi="宋体" w:eastAsia="宋体" w:cs="宋体"/>
          <w:spacing w:val="5"/>
          <w:sz w:val="27"/>
          <w:szCs w:val="27"/>
        </w:rPr>
        <w:t xml:space="preserve">明哪些实体正在开发或修改之中(这些实体已有各自的接口需求)。可通过一张 </w:t>
      </w:r>
      <w:r>
        <w:rPr>
          <w:rFonts w:ascii="宋体" w:hAnsi="宋体" w:eastAsia="宋体" w:cs="宋体"/>
          <w:spacing w:val="3"/>
          <w:sz w:val="27"/>
          <w:szCs w:val="27"/>
        </w:rPr>
        <w:t>或多张接口图来描述这些接口。</w:t>
      </w:r>
    </w:p>
    <w:p w14:paraId="1E9557D1">
      <w:pPr>
        <w:spacing w:line="221" w:lineRule="auto"/>
        <w:rPr>
          <w:rFonts w:ascii="黑体" w:hAnsi="黑体" w:eastAsia="黑体" w:cs="黑体"/>
          <w:sz w:val="27"/>
          <w:szCs w:val="27"/>
        </w:rPr>
      </w:pPr>
      <w:r>
        <w:rPr>
          <w:rFonts w:ascii="Times New Roman" w:hAnsi="Times New Roman" w:eastAsia="Times New Roman" w:cs="Times New Roman"/>
          <w:spacing w:val="4"/>
          <w:sz w:val="27"/>
          <w:szCs w:val="27"/>
        </w:rPr>
        <w:t xml:space="preserve">3.X     </w:t>
      </w:r>
      <w:r>
        <w:rPr>
          <w:rFonts w:ascii="黑体" w:hAnsi="黑体" w:eastAsia="黑体" w:cs="黑体"/>
          <w:b/>
          <w:bCs/>
          <w:spacing w:val="4"/>
          <w:sz w:val="27"/>
          <w:szCs w:val="27"/>
        </w:rPr>
        <w:t>(接口的项目唯一的标识符)</w:t>
      </w:r>
    </w:p>
    <w:p w14:paraId="6E2C9C93">
      <w:pPr>
        <w:spacing w:before="83" w:line="278" w:lineRule="auto"/>
        <w:ind w:right="84" w:firstLine="560"/>
        <w:jc w:val="both"/>
        <w:rPr>
          <w:rFonts w:ascii="宋体" w:hAnsi="宋体" w:eastAsia="宋体" w:cs="宋体"/>
          <w:sz w:val="27"/>
          <w:szCs w:val="27"/>
        </w:rPr>
      </w:pPr>
      <w:r>
        <w:rPr>
          <w:rFonts w:ascii="宋体" w:hAnsi="宋体" w:eastAsia="宋体" w:cs="宋体"/>
          <w:spacing w:val="9"/>
          <w:sz w:val="27"/>
          <w:szCs w:val="27"/>
        </w:rPr>
        <w:t>本条(从3.2开始)应通过项目唯一的标识符来标识接口，应简要地标识接</w:t>
      </w:r>
      <w:r>
        <w:rPr>
          <w:rFonts w:ascii="宋体" w:hAnsi="宋体" w:eastAsia="宋体" w:cs="宋体"/>
          <w:spacing w:val="8"/>
          <w:sz w:val="27"/>
          <w:szCs w:val="27"/>
        </w:rPr>
        <w:t xml:space="preserve"> </w:t>
      </w:r>
      <w:r>
        <w:rPr>
          <w:rFonts w:ascii="宋体" w:hAnsi="宋体" w:eastAsia="宋体" w:cs="宋体"/>
          <w:spacing w:val="5"/>
          <w:sz w:val="27"/>
          <w:szCs w:val="27"/>
        </w:rPr>
        <w:t>口实体。根据需要可分条描述为实现该接口而提出的一个或多个接</w:t>
      </w:r>
      <w:r>
        <w:rPr>
          <w:rFonts w:ascii="宋体" w:hAnsi="宋体" w:eastAsia="宋体" w:cs="宋体"/>
          <w:spacing w:val="4"/>
          <w:sz w:val="27"/>
          <w:szCs w:val="27"/>
        </w:rPr>
        <w:t>口实体的需</w:t>
      </w:r>
      <w:r>
        <w:rPr>
          <w:rFonts w:ascii="宋体" w:hAnsi="宋体" w:eastAsia="宋体" w:cs="宋体"/>
          <w:sz w:val="27"/>
          <w:szCs w:val="27"/>
        </w:rPr>
        <w:t xml:space="preserve"> </w:t>
      </w:r>
      <w:r>
        <w:rPr>
          <w:rFonts w:ascii="宋体" w:hAnsi="宋体" w:eastAsia="宋体" w:cs="宋体"/>
          <w:spacing w:val="5"/>
          <w:sz w:val="27"/>
          <w:szCs w:val="27"/>
        </w:rPr>
        <w:t>求。如果一个实体的接口特性未包含在本文档中，但是描述对该接口实体的需</w:t>
      </w:r>
      <w:r>
        <w:rPr>
          <w:rFonts w:ascii="宋体" w:hAnsi="宋体" w:eastAsia="宋体" w:cs="宋体"/>
          <w:spacing w:val="15"/>
          <w:sz w:val="27"/>
          <w:szCs w:val="27"/>
        </w:rPr>
        <w:t xml:space="preserve"> </w:t>
      </w:r>
      <w:r>
        <w:rPr>
          <w:rFonts w:ascii="宋体" w:hAnsi="宋体" w:eastAsia="宋体" w:cs="宋体"/>
          <w:spacing w:val="-6"/>
          <w:sz w:val="27"/>
          <w:szCs w:val="27"/>
        </w:rPr>
        <w:t>求时需要提到其接口特性，这些特性应作为假定予以陈述，或以“</w:t>
      </w:r>
      <w:r>
        <w:rPr>
          <w:rFonts w:ascii="宋体" w:hAnsi="宋体" w:eastAsia="宋体" w:cs="宋体"/>
          <w:spacing w:val="-7"/>
          <w:sz w:val="27"/>
          <w:szCs w:val="27"/>
        </w:rPr>
        <w:t>当[未涵盖的实</w:t>
      </w:r>
      <w:r>
        <w:rPr>
          <w:rFonts w:ascii="宋体" w:hAnsi="宋体" w:eastAsia="宋体" w:cs="宋体"/>
          <w:sz w:val="27"/>
          <w:szCs w:val="27"/>
        </w:rPr>
        <w:t xml:space="preserve"> </w:t>
      </w:r>
      <w:r>
        <w:rPr>
          <w:rFonts w:ascii="宋体" w:hAnsi="宋体" w:eastAsia="宋体" w:cs="宋体"/>
          <w:spacing w:val="-6"/>
          <w:sz w:val="27"/>
          <w:szCs w:val="27"/>
        </w:rPr>
        <w:t>体]这么做时，[所指定的实体]将……”的形式描述，而不作为本文档没有涵盖的</w:t>
      </w:r>
      <w:r>
        <w:rPr>
          <w:rFonts w:ascii="宋体" w:hAnsi="宋体" w:eastAsia="宋体" w:cs="宋体"/>
          <w:spacing w:val="6"/>
          <w:sz w:val="27"/>
          <w:szCs w:val="27"/>
        </w:rPr>
        <w:t xml:space="preserve"> </w:t>
      </w:r>
      <w:r>
        <w:rPr>
          <w:rFonts w:ascii="宋体" w:hAnsi="宋体" w:eastAsia="宋体" w:cs="宋体"/>
          <w:spacing w:val="1"/>
          <w:sz w:val="27"/>
          <w:szCs w:val="27"/>
        </w:rPr>
        <w:t>实体的需求。本条可引用其他文档(例如数据字典、通信协议标准、用户接口标</w:t>
      </w:r>
      <w:r>
        <w:rPr>
          <w:rFonts w:ascii="宋体" w:hAnsi="宋体" w:eastAsia="宋体" w:cs="宋体"/>
          <w:spacing w:val="9"/>
          <w:sz w:val="27"/>
          <w:szCs w:val="27"/>
        </w:rPr>
        <w:t xml:space="preserve"> </w:t>
      </w:r>
      <w:r>
        <w:rPr>
          <w:rFonts w:ascii="宋体" w:hAnsi="宋体" w:eastAsia="宋体" w:cs="宋体"/>
          <w:spacing w:val="2"/>
          <w:sz w:val="27"/>
          <w:szCs w:val="27"/>
        </w:rPr>
        <w:t>准)代替在此所描述的信息。若适用，需求</w:t>
      </w:r>
      <w:r>
        <w:rPr>
          <w:rFonts w:ascii="宋体" w:hAnsi="宋体" w:eastAsia="宋体" w:cs="宋体"/>
          <w:spacing w:val="1"/>
          <w:sz w:val="27"/>
          <w:szCs w:val="27"/>
        </w:rPr>
        <w:t>应包括如下内容，并以适合于需求的</w:t>
      </w:r>
      <w:r>
        <w:rPr>
          <w:rFonts w:ascii="宋体" w:hAnsi="宋体" w:eastAsia="宋体" w:cs="宋体"/>
          <w:sz w:val="27"/>
          <w:szCs w:val="27"/>
        </w:rPr>
        <w:t xml:space="preserve"> </w:t>
      </w:r>
      <w:r>
        <w:rPr>
          <w:rFonts w:ascii="宋体" w:hAnsi="宋体" w:eastAsia="宋体" w:cs="宋体"/>
          <w:spacing w:val="1"/>
          <w:sz w:val="27"/>
          <w:szCs w:val="27"/>
        </w:rPr>
        <w:t>任何顺序给出，还应从接口实体的角度说明这些特性之间的区别(例如关于数据</w:t>
      </w:r>
      <w:r>
        <w:rPr>
          <w:rFonts w:ascii="宋体" w:hAnsi="宋体" w:eastAsia="宋体" w:cs="宋体"/>
          <w:spacing w:val="15"/>
          <w:sz w:val="27"/>
          <w:szCs w:val="27"/>
        </w:rPr>
        <w:t xml:space="preserve"> </w:t>
      </w:r>
      <w:r>
        <w:rPr>
          <w:rFonts w:ascii="宋体" w:hAnsi="宋体" w:eastAsia="宋体" w:cs="宋体"/>
          <w:spacing w:val="-1"/>
          <w:sz w:val="27"/>
          <w:szCs w:val="27"/>
        </w:rPr>
        <w:t>元素的大小、频率或其他特性的不同期望值):</w:t>
      </w:r>
    </w:p>
    <w:p w14:paraId="6FAB7ADF">
      <w:pPr>
        <w:spacing w:before="1"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接口实体必须分配给该接口的优先级。</w:t>
      </w:r>
    </w:p>
    <w:p w14:paraId="3C162181">
      <w:pPr>
        <w:spacing w:before="100" w:line="253" w:lineRule="auto"/>
        <w:ind w:right="75" w:firstLine="560"/>
        <w:rPr>
          <w:rFonts w:ascii="宋体" w:hAnsi="宋体" w:eastAsia="宋体" w:cs="宋体"/>
          <w:sz w:val="27"/>
          <w:szCs w:val="27"/>
        </w:rPr>
      </w:pPr>
      <w:r>
        <w:rPr>
          <w:rFonts w:ascii="Times New Roman" w:hAnsi="Times New Roman" w:eastAsia="Times New Roman" w:cs="Times New Roman"/>
          <w:spacing w:val="7"/>
          <w:sz w:val="27"/>
          <w:szCs w:val="27"/>
        </w:rPr>
        <w:t>b)</w:t>
      </w:r>
      <w:r>
        <w:rPr>
          <w:rFonts w:ascii="Times New Roman" w:hAnsi="Times New Roman" w:eastAsia="Times New Roman" w:cs="Times New Roman"/>
          <w:spacing w:val="69"/>
          <w:sz w:val="27"/>
          <w:szCs w:val="27"/>
        </w:rPr>
        <w:t xml:space="preserve"> </w:t>
      </w:r>
      <w:r>
        <w:rPr>
          <w:rFonts w:ascii="宋体" w:hAnsi="宋体" w:eastAsia="宋体" w:cs="宋体"/>
          <w:spacing w:val="7"/>
          <w:sz w:val="27"/>
          <w:szCs w:val="27"/>
        </w:rPr>
        <w:t>关于要实现的接口类型的要求(例如实时数据传送、数据的储存和检索</w:t>
      </w:r>
      <w:r>
        <w:rPr>
          <w:rFonts w:ascii="宋体" w:hAnsi="宋体" w:eastAsia="宋体" w:cs="宋体"/>
          <w:sz w:val="27"/>
          <w:szCs w:val="27"/>
        </w:rPr>
        <w:t xml:space="preserve"> </w:t>
      </w:r>
      <w:r>
        <w:rPr>
          <w:rFonts w:ascii="宋体" w:hAnsi="宋体" w:eastAsia="宋体" w:cs="宋体"/>
          <w:spacing w:val="-4"/>
          <w:sz w:val="27"/>
          <w:szCs w:val="27"/>
        </w:rPr>
        <w:t>等)。</w:t>
      </w:r>
    </w:p>
    <w:p w14:paraId="2ED8BB17">
      <w:pPr>
        <w:spacing w:before="91" w:line="260" w:lineRule="auto"/>
        <w:ind w:firstLine="560"/>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71"/>
          <w:sz w:val="27"/>
          <w:szCs w:val="27"/>
        </w:rPr>
        <w:t xml:space="preserve"> </w:t>
      </w:r>
      <w:r>
        <w:rPr>
          <w:rFonts w:ascii="宋体" w:hAnsi="宋体" w:eastAsia="宋体" w:cs="宋体"/>
          <w:spacing w:val="-5"/>
          <w:sz w:val="27"/>
          <w:szCs w:val="27"/>
        </w:rPr>
        <w:t>接口实体必须提供、储存、发送、存取、接收的各个数据元素所要求的特</w:t>
      </w:r>
      <w:r>
        <w:rPr>
          <w:rFonts w:ascii="宋体" w:hAnsi="宋体" w:eastAsia="宋体" w:cs="宋体"/>
          <w:sz w:val="27"/>
          <w:szCs w:val="27"/>
        </w:rPr>
        <w:t xml:space="preserve"> </w:t>
      </w:r>
      <w:r>
        <w:rPr>
          <w:rFonts w:ascii="宋体" w:hAnsi="宋体" w:eastAsia="宋体" w:cs="宋体"/>
          <w:spacing w:val="-6"/>
          <w:sz w:val="27"/>
          <w:szCs w:val="27"/>
        </w:rPr>
        <w:t>征，例如1)名称/标识符，含项目唯一的标识符，非技术(自然语言)名称，数据元</w:t>
      </w:r>
      <w:r>
        <w:rPr>
          <w:rFonts w:ascii="宋体" w:hAnsi="宋体" w:eastAsia="宋体" w:cs="宋体"/>
          <w:spacing w:val="3"/>
          <w:sz w:val="27"/>
          <w:szCs w:val="27"/>
        </w:rPr>
        <w:t xml:space="preserve"> </w:t>
      </w:r>
      <w:r>
        <w:rPr>
          <w:rFonts w:ascii="宋体" w:hAnsi="宋体" w:eastAsia="宋体" w:cs="宋体"/>
          <w:spacing w:val="4"/>
          <w:sz w:val="27"/>
          <w:szCs w:val="27"/>
        </w:rPr>
        <w:t>素名称，技术名称(如在代码或数据库中的变量名或字段名),缩略名或同义名；</w:t>
      </w:r>
    </w:p>
    <w:p w14:paraId="2DD56726">
      <w:pPr>
        <w:spacing w:line="260" w:lineRule="auto"/>
        <w:rPr>
          <w:rFonts w:ascii="宋体" w:hAnsi="宋体" w:eastAsia="宋体" w:cs="宋体"/>
          <w:sz w:val="27"/>
          <w:szCs w:val="27"/>
        </w:rPr>
        <w:sectPr>
          <w:footerReference r:id="rId197" w:type="default"/>
          <w:pgSz w:w="11910" w:h="17130"/>
          <w:pgMar w:top="400" w:right="985" w:bottom="1583" w:left="1460" w:header="0" w:footer="1385" w:gutter="0"/>
          <w:cols w:space="720" w:num="1"/>
        </w:sectPr>
      </w:pPr>
    </w:p>
    <w:p w14:paraId="1A5BEE46">
      <w:pPr>
        <w:pStyle w:val="2"/>
        <w:spacing w:line="260" w:lineRule="auto"/>
      </w:pPr>
    </w:p>
    <w:p w14:paraId="7F80D29A">
      <w:pPr>
        <w:pStyle w:val="2"/>
        <w:spacing w:line="261" w:lineRule="auto"/>
      </w:pPr>
    </w:p>
    <w:p w14:paraId="6A53AB4B">
      <w:pPr>
        <w:pStyle w:val="2"/>
        <w:spacing w:line="261" w:lineRule="auto"/>
      </w:pPr>
    </w:p>
    <w:p w14:paraId="20208D00">
      <w:pPr>
        <w:pStyle w:val="2"/>
        <w:spacing w:line="261" w:lineRule="auto"/>
      </w:pPr>
    </w:p>
    <w:p w14:paraId="64467759">
      <w:pPr>
        <w:spacing w:before="88" w:line="269" w:lineRule="auto"/>
        <w:rPr>
          <w:rFonts w:ascii="宋体" w:hAnsi="宋体" w:eastAsia="宋体" w:cs="宋体"/>
          <w:sz w:val="27"/>
          <w:szCs w:val="27"/>
        </w:rPr>
      </w:pPr>
      <w:bookmarkStart w:id="139" w:name="bookmark374"/>
      <w:bookmarkEnd w:id="139"/>
      <w:r>
        <w:rPr>
          <w:rFonts w:ascii="宋体" w:hAnsi="宋体" w:eastAsia="宋体" w:cs="宋体"/>
          <w:spacing w:val="5"/>
          <w:sz w:val="27"/>
          <w:szCs w:val="27"/>
        </w:rPr>
        <w:t>2)数据类型(字母、数字、整数等);3)大小和格式(如</w:t>
      </w:r>
      <w:r>
        <w:rPr>
          <w:rFonts w:ascii="宋体" w:hAnsi="宋体" w:eastAsia="宋体" w:cs="宋体"/>
          <w:spacing w:val="4"/>
          <w:sz w:val="27"/>
          <w:szCs w:val="27"/>
        </w:rPr>
        <w:t>：字符串的长度和标点符</w:t>
      </w:r>
      <w:r>
        <w:rPr>
          <w:rFonts w:ascii="宋体" w:hAnsi="宋体" w:eastAsia="宋体" w:cs="宋体"/>
          <w:sz w:val="27"/>
          <w:szCs w:val="27"/>
        </w:rPr>
        <w:t xml:space="preserve">  </w:t>
      </w:r>
      <w:r>
        <w:rPr>
          <w:rFonts w:ascii="宋体" w:hAnsi="宋体" w:eastAsia="宋体" w:cs="宋体"/>
          <w:spacing w:val="4"/>
          <w:sz w:val="27"/>
          <w:szCs w:val="27"/>
        </w:rPr>
        <w:t>号);4)计量单位(如：</w:t>
      </w:r>
      <w:r>
        <w:rPr>
          <w:rFonts w:ascii="Times New Roman" w:hAnsi="Times New Roman" w:eastAsia="Times New Roman" w:cs="Times New Roman"/>
          <w:spacing w:val="4"/>
          <w:sz w:val="27"/>
          <w:szCs w:val="27"/>
        </w:rPr>
        <w:t xml:space="preserve">m </w:t>
      </w:r>
      <w:r>
        <w:rPr>
          <w:rFonts w:ascii="宋体" w:hAnsi="宋体" w:eastAsia="宋体" w:cs="宋体"/>
          <w:spacing w:val="4"/>
          <w:sz w:val="27"/>
          <w:szCs w:val="27"/>
        </w:rPr>
        <w:t>等);5)可能值的范围或枚举(如：0～99);6)准确性(正</w:t>
      </w:r>
      <w:r>
        <w:rPr>
          <w:rFonts w:ascii="宋体" w:hAnsi="宋体" w:eastAsia="宋体" w:cs="宋体"/>
          <w:sz w:val="27"/>
          <w:szCs w:val="27"/>
        </w:rPr>
        <w:t xml:space="preserve">  </w:t>
      </w:r>
      <w:r>
        <w:rPr>
          <w:rFonts w:ascii="宋体" w:hAnsi="宋体" w:eastAsia="宋体" w:cs="宋体"/>
          <w:spacing w:val="-9"/>
          <w:sz w:val="27"/>
          <w:szCs w:val="27"/>
        </w:rPr>
        <w:t>确程度)和精度(有效数字位数);7)优先级别、时序、频率、容量、序列以及其他约</w:t>
      </w:r>
      <w:r>
        <w:rPr>
          <w:rFonts w:ascii="宋体" w:hAnsi="宋体" w:eastAsia="宋体" w:cs="宋体"/>
          <w:spacing w:val="3"/>
          <w:sz w:val="27"/>
          <w:szCs w:val="27"/>
        </w:rPr>
        <w:t xml:space="preserve"> </w:t>
      </w:r>
      <w:r>
        <w:rPr>
          <w:rFonts w:ascii="宋体" w:hAnsi="宋体" w:eastAsia="宋体" w:cs="宋体"/>
          <w:spacing w:val="12"/>
          <w:sz w:val="27"/>
          <w:szCs w:val="27"/>
        </w:rPr>
        <w:t>束条件(例如数据元素是否可以被更新、业务规则是否适用);8)保密性约束；</w:t>
      </w:r>
    </w:p>
    <w:p w14:paraId="52AE7617">
      <w:pPr>
        <w:spacing w:before="89" w:line="219" w:lineRule="auto"/>
        <w:rPr>
          <w:rFonts w:ascii="宋体" w:hAnsi="宋体" w:eastAsia="宋体" w:cs="宋体"/>
          <w:sz w:val="27"/>
          <w:szCs w:val="27"/>
        </w:rPr>
      </w:pPr>
      <w:r>
        <w:rPr>
          <w:rFonts w:ascii="宋体" w:hAnsi="宋体" w:eastAsia="宋体" w:cs="宋体"/>
          <w:spacing w:val="4"/>
          <w:sz w:val="27"/>
          <w:szCs w:val="27"/>
        </w:rPr>
        <w:t>9)来源(建立/发送的实体)和接收者(使用/接收的实体</w:t>
      </w:r>
      <w:r>
        <w:rPr>
          <w:rFonts w:ascii="宋体" w:hAnsi="宋体" w:eastAsia="宋体" w:cs="宋体"/>
          <w:spacing w:val="3"/>
          <w:sz w:val="27"/>
          <w:szCs w:val="27"/>
        </w:rPr>
        <w:t>)。</w:t>
      </w:r>
    </w:p>
    <w:p w14:paraId="50D8EC04">
      <w:pPr>
        <w:spacing w:before="53" w:line="274" w:lineRule="auto"/>
        <w:ind w:right="102" w:firstLine="560"/>
        <w:rPr>
          <w:rFonts w:ascii="宋体" w:hAnsi="宋体" w:eastAsia="宋体" w:cs="宋体"/>
          <w:sz w:val="27"/>
          <w:szCs w:val="27"/>
        </w:rPr>
      </w:pPr>
      <w:r>
        <w:rPr>
          <w:rFonts w:ascii="Times New Roman" w:hAnsi="Times New Roman" w:eastAsia="Times New Roman" w:cs="Times New Roman"/>
          <w:spacing w:val="-9"/>
          <w:sz w:val="27"/>
          <w:szCs w:val="27"/>
        </w:rPr>
        <w:t xml:space="preserve">d)  </w:t>
      </w:r>
      <w:r>
        <w:rPr>
          <w:rFonts w:ascii="宋体" w:hAnsi="宋体" w:eastAsia="宋体" w:cs="宋体"/>
          <w:spacing w:val="-9"/>
          <w:sz w:val="27"/>
          <w:szCs w:val="27"/>
        </w:rPr>
        <w:t>接口实体必须提供、存储、发送、访问、接收的数据元素组合体(记录、消</w:t>
      </w:r>
      <w:r>
        <w:rPr>
          <w:rFonts w:ascii="宋体" w:hAnsi="宋体" w:eastAsia="宋体" w:cs="宋体"/>
          <w:spacing w:val="12"/>
          <w:sz w:val="27"/>
          <w:szCs w:val="27"/>
        </w:rPr>
        <w:t xml:space="preserve"> </w:t>
      </w:r>
      <w:r>
        <w:rPr>
          <w:rFonts w:ascii="宋体" w:hAnsi="宋体" w:eastAsia="宋体" w:cs="宋体"/>
          <w:spacing w:val="-9"/>
          <w:sz w:val="27"/>
          <w:szCs w:val="27"/>
        </w:rPr>
        <w:t>息、文件、数组、显示、报表等)所要求的特征，例</w:t>
      </w:r>
      <w:r>
        <w:rPr>
          <w:rFonts w:ascii="宋体" w:hAnsi="宋体" w:eastAsia="宋体" w:cs="宋体"/>
          <w:spacing w:val="-10"/>
          <w:sz w:val="27"/>
          <w:szCs w:val="27"/>
        </w:rPr>
        <w:t>如1)名称/标识符，含项目唯一</w:t>
      </w:r>
      <w:r>
        <w:rPr>
          <w:rFonts w:ascii="宋体" w:hAnsi="宋体" w:eastAsia="宋体" w:cs="宋体"/>
          <w:sz w:val="27"/>
          <w:szCs w:val="27"/>
        </w:rPr>
        <w:t xml:space="preserve"> </w:t>
      </w:r>
      <w:r>
        <w:rPr>
          <w:rFonts w:ascii="宋体" w:hAnsi="宋体" w:eastAsia="宋体" w:cs="宋体"/>
          <w:spacing w:val="1"/>
          <w:sz w:val="27"/>
          <w:szCs w:val="27"/>
        </w:rPr>
        <w:t>的标识符、非技术(自然语言)名称、技术名称(如在代码或数据库中的记录名或</w:t>
      </w:r>
      <w:r>
        <w:rPr>
          <w:rFonts w:ascii="宋体" w:hAnsi="宋体" w:eastAsia="宋体" w:cs="宋体"/>
          <w:spacing w:val="10"/>
          <w:sz w:val="27"/>
          <w:szCs w:val="27"/>
        </w:rPr>
        <w:t xml:space="preserve"> </w:t>
      </w:r>
      <w:r>
        <w:rPr>
          <w:rFonts w:ascii="宋体" w:hAnsi="宋体" w:eastAsia="宋体" w:cs="宋体"/>
          <w:spacing w:val="-2"/>
          <w:sz w:val="27"/>
          <w:szCs w:val="27"/>
        </w:rPr>
        <w:t>数据结构名)、缩略名或同义名；2)包中</w:t>
      </w:r>
      <w:r>
        <w:rPr>
          <w:rFonts w:ascii="宋体" w:hAnsi="宋体" w:eastAsia="宋体" w:cs="宋体"/>
          <w:spacing w:val="-3"/>
          <w:sz w:val="27"/>
          <w:szCs w:val="27"/>
        </w:rPr>
        <w:t>的数据元素及其结构(编号、顺序和成组</w:t>
      </w:r>
      <w:r>
        <w:rPr>
          <w:rFonts w:ascii="宋体" w:hAnsi="宋体" w:eastAsia="宋体" w:cs="宋体"/>
          <w:sz w:val="27"/>
          <w:szCs w:val="27"/>
        </w:rPr>
        <w:t xml:space="preserve"> </w:t>
      </w:r>
      <w:r>
        <w:rPr>
          <w:rFonts w:ascii="宋体" w:hAnsi="宋体" w:eastAsia="宋体" w:cs="宋体"/>
          <w:spacing w:val="2"/>
          <w:sz w:val="27"/>
          <w:szCs w:val="27"/>
        </w:rPr>
        <w:t>情况);3)介质(例如磁盘)以及在介质上数据元素/包的</w:t>
      </w:r>
      <w:r>
        <w:rPr>
          <w:rFonts w:ascii="宋体" w:hAnsi="宋体" w:eastAsia="宋体" w:cs="宋体"/>
          <w:spacing w:val="1"/>
          <w:sz w:val="27"/>
          <w:szCs w:val="27"/>
        </w:rPr>
        <w:t>结构；4)显示和其他输出</w:t>
      </w:r>
      <w:r>
        <w:rPr>
          <w:rFonts w:ascii="宋体" w:hAnsi="宋体" w:eastAsia="宋体" w:cs="宋体"/>
          <w:sz w:val="27"/>
          <w:szCs w:val="27"/>
        </w:rPr>
        <w:t xml:space="preserve"> </w:t>
      </w:r>
      <w:r>
        <w:rPr>
          <w:rFonts w:ascii="宋体" w:hAnsi="宋体" w:eastAsia="宋体" w:cs="宋体"/>
          <w:spacing w:val="-6"/>
          <w:sz w:val="27"/>
          <w:szCs w:val="27"/>
        </w:rPr>
        <w:t>的视听特性(例如颜色、布局、字体、图标和其他显示元素、蜂鸣音和亮度);5)包</w:t>
      </w:r>
      <w:r>
        <w:rPr>
          <w:rFonts w:ascii="宋体" w:hAnsi="宋体" w:eastAsia="宋体" w:cs="宋体"/>
          <w:spacing w:val="4"/>
          <w:sz w:val="27"/>
          <w:szCs w:val="27"/>
        </w:rPr>
        <w:t xml:space="preserve"> </w:t>
      </w:r>
      <w:r>
        <w:rPr>
          <w:rFonts w:ascii="宋体" w:hAnsi="宋体" w:eastAsia="宋体" w:cs="宋体"/>
          <w:spacing w:val="-19"/>
          <w:sz w:val="27"/>
          <w:szCs w:val="27"/>
        </w:rPr>
        <w:t>之间的关系，如排序/存取特性；6)优先级、定时、</w:t>
      </w:r>
      <w:r>
        <w:rPr>
          <w:rFonts w:ascii="宋体" w:hAnsi="宋体" w:eastAsia="宋体" w:cs="宋体"/>
          <w:spacing w:val="-20"/>
          <w:sz w:val="27"/>
          <w:szCs w:val="27"/>
        </w:rPr>
        <w:t>频率、容量、定序及其他约束，例</w:t>
      </w:r>
      <w:r>
        <w:rPr>
          <w:rFonts w:ascii="宋体" w:hAnsi="宋体" w:eastAsia="宋体" w:cs="宋体"/>
          <w:sz w:val="27"/>
          <w:szCs w:val="27"/>
        </w:rPr>
        <w:t xml:space="preserve"> </w:t>
      </w:r>
      <w:r>
        <w:rPr>
          <w:rFonts w:ascii="宋体" w:hAnsi="宋体" w:eastAsia="宋体" w:cs="宋体"/>
          <w:spacing w:val="-2"/>
          <w:sz w:val="27"/>
          <w:szCs w:val="27"/>
        </w:rPr>
        <w:t>如包是否可以被更新、业务规则是否适用；7)保密性约束；8)来源(建</w:t>
      </w:r>
      <w:r>
        <w:rPr>
          <w:rFonts w:ascii="宋体" w:hAnsi="宋体" w:eastAsia="宋体" w:cs="宋体"/>
          <w:spacing w:val="-3"/>
          <w:sz w:val="27"/>
          <w:szCs w:val="27"/>
        </w:rPr>
        <w:t>立/发送的</w:t>
      </w:r>
      <w:r>
        <w:rPr>
          <w:rFonts w:ascii="宋体" w:hAnsi="宋体" w:eastAsia="宋体" w:cs="宋体"/>
          <w:sz w:val="27"/>
          <w:szCs w:val="27"/>
        </w:rPr>
        <w:t xml:space="preserve"> </w:t>
      </w:r>
      <w:r>
        <w:rPr>
          <w:rFonts w:ascii="宋体" w:hAnsi="宋体" w:eastAsia="宋体" w:cs="宋体"/>
          <w:spacing w:val="2"/>
          <w:sz w:val="27"/>
          <w:szCs w:val="27"/>
        </w:rPr>
        <w:t>实体)和接收者(使用/接收的实体)。</w:t>
      </w:r>
    </w:p>
    <w:p w14:paraId="341DF51D">
      <w:pPr>
        <w:spacing w:before="60" w:line="271" w:lineRule="auto"/>
        <w:ind w:firstLine="560"/>
        <w:rPr>
          <w:rFonts w:ascii="宋体" w:hAnsi="宋体" w:eastAsia="宋体" w:cs="宋体"/>
          <w:sz w:val="27"/>
          <w:szCs w:val="27"/>
        </w:rPr>
      </w:pPr>
      <w:r>
        <w:rPr>
          <w:rFonts w:ascii="Times New Roman" w:hAnsi="Times New Roman" w:eastAsia="Times New Roman" w:cs="Times New Roman"/>
          <w:spacing w:val="3"/>
          <w:sz w:val="27"/>
          <w:szCs w:val="27"/>
        </w:rPr>
        <w:t>e)</w:t>
      </w:r>
      <w:r>
        <w:rPr>
          <w:rFonts w:ascii="Times New Roman" w:hAnsi="Times New Roman" w:eastAsia="Times New Roman" w:cs="Times New Roman"/>
          <w:spacing w:val="80"/>
          <w:w w:val="101"/>
          <w:sz w:val="27"/>
          <w:szCs w:val="27"/>
        </w:rPr>
        <w:t xml:space="preserve"> </w:t>
      </w:r>
      <w:r>
        <w:rPr>
          <w:rFonts w:ascii="宋体" w:hAnsi="宋体" w:eastAsia="宋体" w:cs="宋体"/>
          <w:spacing w:val="3"/>
          <w:sz w:val="27"/>
          <w:szCs w:val="27"/>
        </w:rPr>
        <w:t>接口实体必须使用的接口的通信方法所要求的特征，如：1)项目唯一的</w:t>
      </w:r>
      <w:r>
        <w:rPr>
          <w:rFonts w:ascii="宋体" w:hAnsi="宋体" w:eastAsia="宋体" w:cs="宋体"/>
          <w:sz w:val="27"/>
          <w:szCs w:val="27"/>
        </w:rPr>
        <w:t xml:space="preserve"> </w:t>
      </w:r>
      <w:r>
        <w:rPr>
          <w:rFonts w:ascii="宋体" w:hAnsi="宋体" w:eastAsia="宋体" w:cs="宋体"/>
          <w:spacing w:val="-2"/>
          <w:sz w:val="27"/>
          <w:szCs w:val="27"/>
        </w:rPr>
        <w:t>标识符；2)通信链接/带宽/频率/介质及其特性；3)消息格式；4)流控制(如序列</w:t>
      </w:r>
      <w:r>
        <w:rPr>
          <w:rFonts w:ascii="宋体" w:hAnsi="宋体" w:eastAsia="宋体" w:cs="宋体"/>
          <w:sz w:val="27"/>
          <w:szCs w:val="27"/>
        </w:rPr>
        <w:t xml:space="preserve"> </w:t>
      </w:r>
      <w:r>
        <w:rPr>
          <w:rFonts w:ascii="宋体" w:hAnsi="宋体" w:eastAsia="宋体" w:cs="宋体"/>
          <w:spacing w:val="-6"/>
          <w:sz w:val="27"/>
          <w:szCs w:val="27"/>
        </w:rPr>
        <w:t>编号和缓冲区分配);5)周期/非周期传送的数据传送速率，传输间隔；6)路由、寻</w:t>
      </w:r>
      <w:r>
        <w:rPr>
          <w:rFonts w:ascii="宋体" w:hAnsi="宋体" w:eastAsia="宋体" w:cs="宋体"/>
          <w:spacing w:val="6"/>
          <w:sz w:val="27"/>
          <w:szCs w:val="27"/>
        </w:rPr>
        <w:t xml:space="preserve">  </w:t>
      </w:r>
      <w:r>
        <w:rPr>
          <w:rFonts w:ascii="宋体" w:hAnsi="宋体" w:eastAsia="宋体" w:cs="宋体"/>
          <w:spacing w:val="-10"/>
          <w:sz w:val="27"/>
          <w:szCs w:val="27"/>
        </w:rPr>
        <w:t>址、命名约定；7)传输服务，包括优先权和等级；8)安全性/保密性考虑，如加密、</w:t>
      </w:r>
      <w:r>
        <w:rPr>
          <w:rFonts w:ascii="宋体" w:hAnsi="宋体" w:eastAsia="宋体" w:cs="宋体"/>
          <w:spacing w:val="18"/>
          <w:sz w:val="27"/>
          <w:szCs w:val="27"/>
        </w:rPr>
        <w:t xml:space="preserve"> </w:t>
      </w:r>
      <w:r>
        <w:rPr>
          <w:rFonts w:ascii="宋体" w:hAnsi="宋体" w:eastAsia="宋体" w:cs="宋体"/>
          <w:spacing w:val="-10"/>
          <w:sz w:val="27"/>
          <w:szCs w:val="27"/>
        </w:rPr>
        <w:t>用户鉴别、隔离和审核。</w:t>
      </w:r>
    </w:p>
    <w:p w14:paraId="372661A5">
      <w:pPr>
        <w:spacing w:before="76" w:line="268" w:lineRule="auto"/>
        <w:ind w:right="99" w:firstLine="560"/>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接口实体必须使用的接口的协议所要求的特征，如：1)项目</w:t>
      </w:r>
      <w:r>
        <w:rPr>
          <w:rFonts w:ascii="宋体" w:hAnsi="宋体" w:eastAsia="宋体" w:cs="宋体"/>
          <w:spacing w:val="3"/>
          <w:sz w:val="27"/>
          <w:szCs w:val="27"/>
        </w:rPr>
        <w:t>唯一的标识</w:t>
      </w:r>
      <w:r>
        <w:rPr>
          <w:rFonts w:ascii="宋体" w:hAnsi="宋体" w:eastAsia="宋体" w:cs="宋体"/>
          <w:sz w:val="27"/>
          <w:szCs w:val="27"/>
        </w:rPr>
        <w:t xml:space="preserve"> </w:t>
      </w:r>
      <w:r>
        <w:rPr>
          <w:rFonts w:ascii="宋体" w:hAnsi="宋体" w:eastAsia="宋体" w:cs="宋体"/>
          <w:spacing w:val="-12"/>
          <w:sz w:val="27"/>
          <w:szCs w:val="27"/>
        </w:rPr>
        <w:t>符；2)协议的优先级别/层次；3)打包，包括</w:t>
      </w:r>
      <w:r>
        <w:rPr>
          <w:rFonts w:ascii="宋体" w:hAnsi="宋体" w:eastAsia="宋体" w:cs="宋体"/>
          <w:spacing w:val="-13"/>
          <w:sz w:val="27"/>
          <w:szCs w:val="27"/>
        </w:rPr>
        <w:t>拆包和重新打包、路由和寻址；4)合法</w:t>
      </w:r>
      <w:r>
        <w:rPr>
          <w:rFonts w:ascii="宋体" w:hAnsi="宋体" w:eastAsia="宋体" w:cs="宋体"/>
          <w:sz w:val="27"/>
          <w:szCs w:val="27"/>
        </w:rPr>
        <w:t xml:space="preserve"> </w:t>
      </w:r>
      <w:r>
        <w:rPr>
          <w:rFonts w:ascii="宋体" w:hAnsi="宋体" w:eastAsia="宋体" w:cs="宋体"/>
          <w:spacing w:val="-16"/>
          <w:sz w:val="27"/>
          <w:szCs w:val="27"/>
        </w:rPr>
        <w:t>性检查、错误控制和恢复过程；5)同步，包括建立连接、保持和终止；6)状态</w:t>
      </w:r>
      <w:r>
        <w:rPr>
          <w:rFonts w:ascii="宋体" w:hAnsi="宋体" w:eastAsia="宋体" w:cs="宋体"/>
          <w:spacing w:val="-17"/>
          <w:sz w:val="27"/>
          <w:szCs w:val="27"/>
        </w:rPr>
        <w:t>、标识</w:t>
      </w:r>
      <w:r>
        <w:rPr>
          <w:rFonts w:ascii="宋体" w:hAnsi="宋体" w:eastAsia="宋体" w:cs="宋体"/>
          <w:sz w:val="27"/>
          <w:szCs w:val="27"/>
        </w:rPr>
        <w:t xml:space="preserve"> </w:t>
      </w:r>
      <w:r>
        <w:rPr>
          <w:rFonts w:ascii="宋体" w:hAnsi="宋体" w:eastAsia="宋体" w:cs="宋体"/>
          <w:spacing w:val="1"/>
          <w:sz w:val="27"/>
          <w:szCs w:val="27"/>
        </w:rPr>
        <w:t>及任何其他报告的特性。</w:t>
      </w:r>
    </w:p>
    <w:p w14:paraId="6C05899B">
      <w:pPr>
        <w:spacing w:before="72" w:line="257" w:lineRule="auto"/>
        <w:ind w:right="104" w:firstLine="560"/>
        <w:rPr>
          <w:rFonts w:ascii="宋体" w:hAnsi="宋体" w:eastAsia="宋体" w:cs="宋体"/>
          <w:sz w:val="27"/>
          <w:szCs w:val="27"/>
        </w:rPr>
      </w:pPr>
      <w:r>
        <w:rPr>
          <w:rFonts w:ascii="Times New Roman" w:hAnsi="Times New Roman" w:eastAsia="Times New Roman" w:cs="Times New Roman"/>
          <w:spacing w:val="-1"/>
          <w:sz w:val="27"/>
          <w:szCs w:val="27"/>
        </w:rPr>
        <w:t xml:space="preserve">g)  </w:t>
      </w:r>
      <w:r>
        <w:rPr>
          <w:rFonts w:ascii="宋体" w:hAnsi="宋体" w:eastAsia="宋体" w:cs="宋体"/>
          <w:spacing w:val="-1"/>
          <w:sz w:val="27"/>
          <w:szCs w:val="27"/>
        </w:rPr>
        <w:t>其他所要求的特征，例如接口实体的物理兼容性(</w:t>
      </w:r>
      <w:r>
        <w:rPr>
          <w:rFonts w:ascii="宋体" w:hAnsi="宋体" w:eastAsia="宋体" w:cs="宋体"/>
          <w:spacing w:val="-2"/>
          <w:sz w:val="27"/>
          <w:szCs w:val="27"/>
        </w:rPr>
        <w:t>尺寸、公差、负载和接</w:t>
      </w:r>
      <w:r>
        <w:rPr>
          <w:rFonts w:ascii="宋体" w:hAnsi="宋体" w:eastAsia="宋体" w:cs="宋体"/>
          <w:sz w:val="27"/>
          <w:szCs w:val="27"/>
        </w:rPr>
        <w:t xml:space="preserve"> </w:t>
      </w:r>
      <w:r>
        <w:rPr>
          <w:rFonts w:ascii="宋体" w:hAnsi="宋体" w:eastAsia="宋体" w:cs="宋体"/>
          <w:spacing w:val="-8"/>
          <w:sz w:val="27"/>
          <w:szCs w:val="27"/>
        </w:rPr>
        <w:t>插件的兼容性等)、电压等。</w:t>
      </w:r>
    </w:p>
    <w:p w14:paraId="49C81CAC">
      <w:pPr>
        <w:spacing w:before="93" w:line="221" w:lineRule="auto"/>
        <w:rPr>
          <w:rFonts w:ascii="黑体" w:hAnsi="黑体" w:eastAsia="黑体" w:cs="黑体"/>
          <w:sz w:val="27"/>
          <w:szCs w:val="27"/>
        </w:rPr>
      </w:pPr>
      <w:r>
        <w:rPr>
          <w:rFonts w:ascii="Times New Roman" w:hAnsi="Times New Roman" w:eastAsia="Times New Roman" w:cs="Times New Roman"/>
          <w:sz w:val="27"/>
          <w:szCs w:val="27"/>
        </w:rPr>
        <w:t>3. Y</w:t>
      </w:r>
      <w:r>
        <w:rPr>
          <w:rFonts w:ascii="Times New Roman" w:hAnsi="Times New Roman" w:eastAsia="Times New Roman" w:cs="Times New Roman"/>
          <w:spacing w:val="8"/>
          <w:sz w:val="27"/>
          <w:szCs w:val="27"/>
        </w:rPr>
        <w:t xml:space="preserve">    </w:t>
      </w:r>
      <w:r>
        <w:rPr>
          <w:rFonts w:ascii="黑体" w:hAnsi="黑体" w:eastAsia="黑体" w:cs="黑体"/>
          <w:b/>
          <w:bCs/>
          <w:sz w:val="27"/>
          <w:szCs w:val="27"/>
        </w:rPr>
        <w:t>需求的优先顺序和关键性</w:t>
      </w:r>
    </w:p>
    <w:p w14:paraId="2323E45B">
      <w:pPr>
        <w:spacing w:before="103" w:line="278" w:lineRule="auto"/>
        <w:ind w:right="123" w:firstLine="560"/>
        <w:jc w:val="both"/>
        <w:rPr>
          <w:rFonts w:ascii="宋体" w:hAnsi="宋体" w:eastAsia="宋体" w:cs="宋体"/>
          <w:sz w:val="27"/>
          <w:szCs w:val="27"/>
        </w:rPr>
      </w:pPr>
      <w:r>
        <w:rPr>
          <w:rFonts w:ascii="宋体" w:hAnsi="宋体" w:eastAsia="宋体" w:cs="宋体"/>
          <w:spacing w:val="5"/>
          <w:sz w:val="27"/>
          <w:szCs w:val="27"/>
        </w:rPr>
        <w:t>(若适用)本条应描述本文档中各需求的优先次序、关键性或所</w:t>
      </w:r>
      <w:r>
        <w:rPr>
          <w:rFonts w:ascii="宋体" w:hAnsi="宋体" w:eastAsia="宋体" w:cs="宋体"/>
          <w:spacing w:val="4"/>
          <w:sz w:val="27"/>
          <w:szCs w:val="27"/>
        </w:rPr>
        <w:t>赋予的指示</w:t>
      </w:r>
      <w:r>
        <w:rPr>
          <w:rFonts w:ascii="宋体" w:hAnsi="宋体" w:eastAsia="宋体" w:cs="宋体"/>
          <w:sz w:val="27"/>
          <w:szCs w:val="27"/>
        </w:rPr>
        <w:t xml:space="preserve"> </w:t>
      </w:r>
      <w:r>
        <w:rPr>
          <w:rFonts w:ascii="宋体" w:hAnsi="宋体" w:eastAsia="宋体" w:cs="宋体"/>
          <w:spacing w:val="5"/>
          <w:sz w:val="27"/>
          <w:szCs w:val="27"/>
        </w:rPr>
        <w:t>其相对重要性的权重。例如标识对安全性或保密性关键的需求，以便进行特殊</w:t>
      </w:r>
      <w:r>
        <w:rPr>
          <w:rFonts w:ascii="宋体" w:hAnsi="宋体" w:eastAsia="宋体" w:cs="宋体"/>
          <w:spacing w:val="9"/>
          <w:sz w:val="27"/>
          <w:szCs w:val="27"/>
        </w:rPr>
        <w:t xml:space="preserve"> </w:t>
      </w:r>
      <w:r>
        <w:rPr>
          <w:rFonts w:ascii="宋体" w:hAnsi="宋体" w:eastAsia="宋体" w:cs="宋体"/>
          <w:spacing w:val="-2"/>
          <w:sz w:val="27"/>
          <w:szCs w:val="27"/>
        </w:rPr>
        <w:t>处理。如果所有需求具有相等的权重，本条应如</w:t>
      </w:r>
      <w:r>
        <w:rPr>
          <w:rFonts w:ascii="宋体" w:hAnsi="宋体" w:eastAsia="宋体" w:cs="宋体"/>
          <w:spacing w:val="-3"/>
          <w:sz w:val="27"/>
          <w:szCs w:val="27"/>
        </w:rPr>
        <w:t>实说明。</w:t>
      </w:r>
    </w:p>
    <w:p w14:paraId="7C38DA32">
      <w:pPr>
        <w:spacing w:line="223" w:lineRule="auto"/>
        <w:rPr>
          <w:rFonts w:ascii="黑体" w:hAnsi="黑体" w:eastAsia="黑体" w:cs="黑体"/>
          <w:sz w:val="24"/>
          <w:szCs w:val="24"/>
        </w:rPr>
      </w:pPr>
      <w:r>
        <w:rPr>
          <w:rFonts w:ascii="黑体" w:hAnsi="黑体" w:eastAsia="黑体" w:cs="黑体"/>
          <w:spacing w:val="26"/>
          <w:sz w:val="24"/>
          <w:szCs w:val="24"/>
        </w:rPr>
        <w:t>4</w:t>
      </w:r>
      <w:r>
        <w:rPr>
          <w:rFonts w:ascii="黑体" w:hAnsi="黑体" w:eastAsia="黑体" w:cs="黑体"/>
          <w:spacing w:val="38"/>
          <w:sz w:val="24"/>
          <w:szCs w:val="24"/>
        </w:rPr>
        <w:t xml:space="preserve">  </w:t>
      </w:r>
      <w:r>
        <w:rPr>
          <w:rFonts w:ascii="黑体" w:hAnsi="黑体" w:eastAsia="黑体" w:cs="黑体"/>
          <w:spacing w:val="26"/>
          <w:sz w:val="24"/>
          <w:szCs w:val="24"/>
        </w:rPr>
        <w:t>合格性规定</w:t>
      </w:r>
    </w:p>
    <w:p w14:paraId="7F483103">
      <w:pPr>
        <w:spacing w:before="119" w:line="272" w:lineRule="auto"/>
        <w:ind w:right="122" w:firstLine="560"/>
        <w:jc w:val="both"/>
        <w:rPr>
          <w:rFonts w:ascii="宋体" w:hAnsi="宋体" w:eastAsia="宋体" w:cs="宋体"/>
          <w:sz w:val="27"/>
          <w:szCs w:val="27"/>
        </w:rPr>
      </w:pPr>
      <w:r>
        <w:rPr>
          <w:rFonts w:ascii="宋体" w:hAnsi="宋体" w:eastAsia="宋体" w:cs="宋体"/>
          <w:spacing w:val="9"/>
          <w:sz w:val="27"/>
          <w:szCs w:val="27"/>
        </w:rPr>
        <w:t>本章应定义一组合格性方法，并为第3章中的每个需求指定为确保需求得</w:t>
      </w:r>
      <w:r>
        <w:rPr>
          <w:rFonts w:ascii="宋体" w:hAnsi="宋体" w:eastAsia="宋体" w:cs="宋体"/>
          <w:spacing w:val="6"/>
          <w:sz w:val="27"/>
          <w:szCs w:val="27"/>
        </w:rPr>
        <w:t xml:space="preserve"> </w:t>
      </w:r>
      <w:r>
        <w:rPr>
          <w:rFonts w:ascii="宋体" w:hAnsi="宋体" w:eastAsia="宋体" w:cs="宋体"/>
          <w:spacing w:val="9"/>
          <w:sz w:val="27"/>
          <w:szCs w:val="27"/>
        </w:rPr>
        <w:t>到满足所应使用的方法。可用表格形式表述该信息，或为第3章中的每个需求</w:t>
      </w:r>
      <w:r>
        <w:rPr>
          <w:rFonts w:ascii="宋体" w:hAnsi="宋体" w:eastAsia="宋体" w:cs="宋体"/>
          <w:spacing w:val="10"/>
          <w:sz w:val="27"/>
          <w:szCs w:val="27"/>
        </w:rPr>
        <w:t xml:space="preserve"> </w:t>
      </w:r>
      <w:r>
        <w:rPr>
          <w:rFonts w:ascii="宋体" w:hAnsi="宋体" w:eastAsia="宋体" w:cs="宋体"/>
          <w:spacing w:val="2"/>
          <w:sz w:val="27"/>
          <w:szCs w:val="27"/>
        </w:rPr>
        <w:t>注明所使用的方法。合格性方法可以包括：</w:t>
      </w:r>
    </w:p>
    <w:p w14:paraId="5BA94B50">
      <w:pPr>
        <w:spacing w:before="18" w:line="212" w:lineRule="auto"/>
        <w:ind w:left="560"/>
        <w:rPr>
          <w:rFonts w:ascii="宋体" w:hAnsi="宋体" w:eastAsia="宋体" w:cs="宋体"/>
          <w:sz w:val="27"/>
          <w:szCs w:val="27"/>
        </w:rPr>
      </w:pPr>
      <w:r>
        <w:rPr>
          <w:rFonts w:ascii="Times New Roman" w:hAnsi="Times New Roman" w:eastAsia="Times New Roman" w:cs="Times New Roman"/>
          <w:spacing w:val="-5"/>
          <w:sz w:val="27"/>
          <w:szCs w:val="27"/>
        </w:rPr>
        <w:t xml:space="preserve">a)  </w:t>
      </w:r>
      <w:r>
        <w:rPr>
          <w:rFonts w:ascii="宋体" w:hAnsi="宋体" w:eastAsia="宋体" w:cs="宋体"/>
          <w:spacing w:val="-5"/>
          <w:sz w:val="27"/>
          <w:szCs w:val="27"/>
        </w:rPr>
        <w:t>演示。依靠可见的功能操作，直接运行接口实体，而不需要使用仪器、专</w:t>
      </w:r>
    </w:p>
    <w:p w14:paraId="7E9CA3F3">
      <w:pPr>
        <w:spacing w:line="212" w:lineRule="auto"/>
        <w:rPr>
          <w:rFonts w:ascii="宋体" w:hAnsi="宋体" w:eastAsia="宋体" w:cs="宋体"/>
          <w:sz w:val="27"/>
          <w:szCs w:val="27"/>
        </w:rPr>
        <w:sectPr>
          <w:footerReference r:id="rId198" w:type="default"/>
          <w:pgSz w:w="11910" w:h="17130"/>
          <w:pgMar w:top="400" w:right="1265" w:bottom="1628" w:left="1160" w:header="0" w:footer="1385" w:gutter="0"/>
          <w:cols w:space="720" w:num="1"/>
        </w:sectPr>
      </w:pPr>
    </w:p>
    <w:p w14:paraId="7557D573">
      <w:pPr>
        <w:pStyle w:val="2"/>
        <w:spacing w:line="266" w:lineRule="auto"/>
      </w:pPr>
    </w:p>
    <w:p w14:paraId="4388520D">
      <w:pPr>
        <w:pStyle w:val="2"/>
        <w:spacing w:line="267" w:lineRule="auto"/>
      </w:pPr>
    </w:p>
    <w:p w14:paraId="768861D1">
      <w:pPr>
        <w:pStyle w:val="2"/>
        <w:spacing w:line="267" w:lineRule="auto"/>
      </w:pPr>
    </w:p>
    <w:p w14:paraId="1BA15AB4">
      <w:pPr>
        <w:pStyle w:val="2"/>
        <w:spacing w:line="267" w:lineRule="auto"/>
      </w:pPr>
    </w:p>
    <w:p w14:paraId="706FEF3C">
      <w:pPr>
        <w:spacing w:before="88" w:line="220" w:lineRule="auto"/>
        <w:rPr>
          <w:rFonts w:ascii="宋体" w:hAnsi="宋体" w:eastAsia="宋体" w:cs="宋体"/>
          <w:sz w:val="27"/>
          <w:szCs w:val="27"/>
        </w:rPr>
      </w:pPr>
      <w:r>
        <w:rPr>
          <w:rFonts w:ascii="宋体" w:hAnsi="宋体" w:eastAsia="宋体" w:cs="宋体"/>
          <w:spacing w:val="3"/>
          <w:sz w:val="27"/>
          <w:szCs w:val="27"/>
        </w:rPr>
        <w:t>用测试设备或进行事后分析。</w:t>
      </w:r>
    </w:p>
    <w:p w14:paraId="5E0EB6DD">
      <w:pPr>
        <w:spacing w:before="18" w:line="270" w:lineRule="auto"/>
        <w:ind w:right="114" w:firstLine="539"/>
        <w:rPr>
          <w:rFonts w:ascii="宋体" w:hAnsi="宋体" w:eastAsia="宋体" w:cs="宋体"/>
          <w:sz w:val="27"/>
          <w:szCs w:val="27"/>
        </w:rPr>
      </w:pPr>
      <w:r>
        <w:rPr>
          <w:rFonts w:ascii="Times New Roman" w:hAnsi="Times New Roman" w:eastAsia="Times New Roman" w:cs="Times New Roman"/>
          <w:spacing w:val="3"/>
          <w:sz w:val="27"/>
          <w:szCs w:val="27"/>
        </w:rPr>
        <w:t xml:space="preserve">b)  </w:t>
      </w:r>
      <w:r>
        <w:rPr>
          <w:rFonts w:ascii="宋体" w:hAnsi="宋体" w:eastAsia="宋体" w:cs="宋体"/>
          <w:spacing w:val="3"/>
          <w:sz w:val="27"/>
          <w:szCs w:val="27"/>
        </w:rPr>
        <w:t>测试。使用仪器或专用测试设备，</w:t>
      </w:r>
      <w:r>
        <w:rPr>
          <w:rFonts w:ascii="宋体" w:hAnsi="宋体" w:eastAsia="宋体" w:cs="宋体"/>
          <w:spacing w:val="2"/>
          <w:sz w:val="27"/>
          <w:szCs w:val="27"/>
        </w:rPr>
        <w:t>运行接口实体，以便采集数据供事后</w:t>
      </w:r>
      <w:r>
        <w:rPr>
          <w:rFonts w:ascii="宋体" w:hAnsi="宋体" w:eastAsia="宋体" w:cs="宋体"/>
          <w:sz w:val="27"/>
          <w:szCs w:val="27"/>
        </w:rPr>
        <w:t xml:space="preserve"> </w:t>
      </w:r>
      <w:r>
        <w:rPr>
          <w:rFonts w:ascii="宋体" w:hAnsi="宋体" w:eastAsia="宋体" w:cs="宋体"/>
          <w:spacing w:val="1"/>
          <w:sz w:val="27"/>
          <w:szCs w:val="27"/>
        </w:rPr>
        <w:t>分析使用。</w:t>
      </w:r>
    </w:p>
    <w:p w14:paraId="3577E896">
      <w:pPr>
        <w:spacing w:before="20" w:line="266" w:lineRule="auto"/>
        <w:ind w:right="121" w:firstLine="539"/>
        <w:rPr>
          <w:rFonts w:ascii="宋体" w:hAnsi="宋体" w:eastAsia="宋体" w:cs="宋体"/>
          <w:sz w:val="27"/>
          <w:szCs w:val="27"/>
        </w:rPr>
      </w:pPr>
      <w:r>
        <w:rPr>
          <w:rFonts w:ascii="Times New Roman" w:hAnsi="Times New Roman" w:eastAsia="Times New Roman" w:cs="Times New Roman"/>
          <w:spacing w:val="11"/>
          <w:sz w:val="27"/>
          <w:szCs w:val="27"/>
        </w:rPr>
        <w:t>c)</w:t>
      </w:r>
      <w:r>
        <w:rPr>
          <w:rFonts w:ascii="Times New Roman" w:hAnsi="Times New Roman" w:eastAsia="Times New Roman" w:cs="Times New Roman"/>
          <w:spacing w:val="7"/>
          <w:sz w:val="27"/>
          <w:szCs w:val="27"/>
        </w:rPr>
        <w:t xml:space="preserve">  </w:t>
      </w:r>
      <w:r>
        <w:rPr>
          <w:rFonts w:ascii="宋体" w:hAnsi="宋体" w:eastAsia="宋体" w:cs="宋体"/>
          <w:spacing w:val="11"/>
          <w:sz w:val="27"/>
          <w:szCs w:val="27"/>
        </w:rPr>
        <w:t>分析。处理从其他合格性方法获得的积累数据。例如对测试结果进行</w:t>
      </w:r>
      <w:r>
        <w:rPr>
          <w:rFonts w:ascii="宋体" w:hAnsi="宋体" w:eastAsia="宋体" w:cs="宋体"/>
          <w:spacing w:val="1"/>
          <w:sz w:val="27"/>
          <w:szCs w:val="27"/>
        </w:rPr>
        <w:t xml:space="preserve"> </w:t>
      </w:r>
      <w:r>
        <w:rPr>
          <w:rFonts w:ascii="宋体" w:hAnsi="宋体" w:eastAsia="宋体" w:cs="宋体"/>
          <w:spacing w:val="-12"/>
          <w:sz w:val="27"/>
          <w:szCs w:val="27"/>
        </w:rPr>
        <w:t>简约、解释或推断。</w:t>
      </w:r>
    </w:p>
    <w:p w14:paraId="5A70BCF6">
      <w:pPr>
        <w:spacing w:before="61" w:line="212" w:lineRule="auto"/>
        <w:ind w:left="539"/>
        <w:rPr>
          <w:rFonts w:ascii="宋体" w:hAnsi="宋体" w:eastAsia="宋体" w:cs="宋体"/>
          <w:sz w:val="27"/>
          <w:szCs w:val="27"/>
        </w:rPr>
      </w:pPr>
      <w:r>
        <w:rPr>
          <w:rFonts w:ascii="Times New Roman" w:hAnsi="Times New Roman" w:eastAsia="Times New Roman" w:cs="Times New Roman"/>
          <w:spacing w:val="-3"/>
          <w:sz w:val="27"/>
          <w:szCs w:val="27"/>
        </w:rPr>
        <w:t xml:space="preserve">d)  </w:t>
      </w:r>
      <w:r>
        <w:rPr>
          <w:rFonts w:ascii="宋体" w:hAnsi="宋体" w:eastAsia="宋体" w:cs="宋体"/>
          <w:spacing w:val="-3"/>
          <w:sz w:val="27"/>
          <w:szCs w:val="27"/>
        </w:rPr>
        <w:t>审查。对接口实体、文档等进行目视检查。</w:t>
      </w:r>
    </w:p>
    <w:p w14:paraId="298264E7">
      <w:pPr>
        <w:spacing w:before="99" w:line="257" w:lineRule="auto"/>
        <w:ind w:right="100" w:firstLine="539"/>
        <w:rPr>
          <w:rFonts w:ascii="宋体" w:hAnsi="宋体" w:eastAsia="宋体" w:cs="宋体"/>
          <w:sz w:val="27"/>
          <w:szCs w:val="27"/>
        </w:rPr>
      </w:pPr>
      <w:r>
        <w:rPr>
          <w:rFonts w:ascii="Times New Roman" w:hAnsi="Times New Roman" w:eastAsia="Times New Roman" w:cs="Times New Roman"/>
          <w:spacing w:val="3"/>
          <w:sz w:val="27"/>
          <w:szCs w:val="27"/>
        </w:rPr>
        <w:t xml:space="preserve">e)  </w:t>
      </w:r>
      <w:r>
        <w:rPr>
          <w:rFonts w:ascii="宋体" w:hAnsi="宋体" w:eastAsia="宋体" w:cs="宋体"/>
          <w:spacing w:val="3"/>
          <w:sz w:val="27"/>
          <w:szCs w:val="27"/>
        </w:rPr>
        <w:t>特殊的合格性方法。任何针对接口实体的特殊合格性方法，例如专用工</w:t>
      </w:r>
      <w:r>
        <w:rPr>
          <w:rFonts w:ascii="宋体" w:hAnsi="宋体" w:eastAsia="宋体" w:cs="宋体"/>
          <w:spacing w:val="13"/>
          <w:sz w:val="27"/>
          <w:szCs w:val="27"/>
        </w:rPr>
        <w:t xml:space="preserve"> </w:t>
      </w:r>
      <w:r>
        <w:rPr>
          <w:rFonts w:ascii="宋体" w:hAnsi="宋体" w:eastAsia="宋体" w:cs="宋体"/>
          <w:spacing w:val="-29"/>
          <w:sz w:val="27"/>
          <w:szCs w:val="27"/>
        </w:rPr>
        <w:t>具、技术、规程、设施、验收限制。</w:t>
      </w:r>
    </w:p>
    <w:p w14:paraId="0E8EE953">
      <w:pPr>
        <w:spacing w:before="87" w:line="222" w:lineRule="auto"/>
        <w:rPr>
          <w:rFonts w:ascii="黑体" w:hAnsi="黑体" w:eastAsia="黑体" w:cs="黑体"/>
          <w:sz w:val="27"/>
          <w:szCs w:val="27"/>
        </w:rPr>
      </w:pPr>
      <w:r>
        <w:rPr>
          <w:rFonts w:ascii="黑体" w:hAnsi="黑体" w:eastAsia="黑体" w:cs="黑体"/>
          <w:spacing w:val="5"/>
          <w:sz w:val="27"/>
          <w:szCs w:val="27"/>
        </w:rPr>
        <w:t>5  需求可追踪性</w:t>
      </w:r>
    </w:p>
    <w:p w14:paraId="7C396E56">
      <w:pPr>
        <w:spacing w:before="94" w:line="285" w:lineRule="auto"/>
        <w:ind w:right="122" w:firstLine="539"/>
        <w:rPr>
          <w:rFonts w:ascii="宋体" w:hAnsi="宋体" w:eastAsia="宋体" w:cs="宋体"/>
          <w:sz w:val="25"/>
          <w:szCs w:val="25"/>
        </w:rPr>
      </w:pPr>
      <w:r>
        <w:rPr>
          <w:rFonts w:ascii="宋体" w:hAnsi="宋体" w:eastAsia="宋体" w:cs="宋体"/>
          <w:spacing w:val="17"/>
          <w:sz w:val="25"/>
          <w:szCs w:val="25"/>
        </w:rPr>
        <w:t>对系统级接口实体，本章不适用。对每一个子系统级或更低级接口实体，本</w:t>
      </w:r>
      <w:r>
        <w:rPr>
          <w:rFonts w:ascii="宋体" w:hAnsi="宋体" w:eastAsia="宋体" w:cs="宋体"/>
          <w:sz w:val="25"/>
          <w:szCs w:val="25"/>
        </w:rPr>
        <w:t xml:space="preserve"> </w:t>
      </w:r>
      <w:r>
        <w:rPr>
          <w:rFonts w:ascii="宋体" w:hAnsi="宋体" w:eastAsia="宋体" w:cs="宋体"/>
          <w:spacing w:val="19"/>
          <w:sz w:val="25"/>
          <w:szCs w:val="25"/>
        </w:rPr>
        <w:t>章应包含：</w:t>
      </w:r>
    </w:p>
    <w:p w14:paraId="099C3F57">
      <w:pPr>
        <w:spacing w:before="3" w:line="285" w:lineRule="auto"/>
        <w:ind w:right="118" w:firstLine="539"/>
        <w:jc w:val="both"/>
        <w:rPr>
          <w:rFonts w:ascii="宋体" w:hAnsi="宋体" w:eastAsia="宋体" w:cs="宋体"/>
          <w:sz w:val="27"/>
          <w:szCs w:val="27"/>
        </w:rPr>
      </w:pPr>
      <w:r>
        <w:rPr>
          <w:rFonts w:ascii="Times New Roman" w:hAnsi="Times New Roman" w:eastAsia="Times New Roman" w:cs="Times New Roman"/>
          <w:spacing w:val="3"/>
          <w:sz w:val="27"/>
          <w:szCs w:val="27"/>
        </w:rPr>
        <w:t xml:space="preserve">a)  </w:t>
      </w:r>
      <w:r>
        <w:rPr>
          <w:rFonts w:ascii="宋体" w:hAnsi="宋体" w:eastAsia="宋体" w:cs="宋体"/>
          <w:spacing w:val="3"/>
          <w:sz w:val="27"/>
          <w:szCs w:val="27"/>
        </w:rPr>
        <w:t>从本规格说明中实体的每个需求，到该需求所涉及的系</w:t>
      </w:r>
      <w:r>
        <w:rPr>
          <w:rFonts w:ascii="宋体" w:hAnsi="宋体" w:eastAsia="宋体" w:cs="宋体"/>
          <w:spacing w:val="2"/>
          <w:sz w:val="27"/>
          <w:szCs w:val="27"/>
        </w:rPr>
        <w:t>统(或子系统)需</w:t>
      </w:r>
      <w:r>
        <w:rPr>
          <w:rFonts w:ascii="宋体" w:hAnsi="宋体" w:eastAsia="宋体" w:cs="宋体"/>
          <w:sz w:val="27"/>
          <w:szCs w:val="27"/>
        </w:rPr>
        <w:t xml:space="preserve"> </w:t>
      </w:r>
      <w:r>
        <w:rPr>
          <w:rFonts w:ascii="宋体" w:hAnsi="宋体" w:eastAsia="宋体" w:cs="宋体"/>
          <w:spacing w:val="22"/>
          <w:sz w:val="27"/>
          <w:szCs w:val="27"/>
        </w:rPr>
        <w:t>求的可追踪性(也可以通过对第3章中的每</w:t>
      </w:r>
      <w:r>
        <w:rPr>
          <w:rFonts w:ascii="宋体" w:hAnsi="宋体" w:eastAsia="宋体" w:cs="宋体"/>
          <w:spacing w:val="21"/>
          <w:sz w:val="27"/>
          <w:szCs w:val="27"/>
        </w:rPr>
        <w:t>一个需求进行注释来提供可追踪</w:t>
      </w:r>
      <w:r>
        <w:rPr>
          <w:rFonts w:ascii="宋体" w:hAnsi="宋体" w:eastAsia="宋体" w:cs="宋体"/>
          <w:sz w:val="27"/>
          <w:szCs w:val="27"/>
        </w:rPr>
        <w:t xml:space="preserve"> </w:t>
      </w:r>
      <w:r>
        <w:rPr>
          <w:rFonts w:ascii="宋体" w:hAnsi="宋体" w:eastAsia="宋体" w:cs="宋体"/>
          <w:spacing w:val="-4"/>
          <w:sz w:val="27"/>
          <w:szCs w:val="27"/>
        </w:rPr>
        <w:t>性)。</w:t>
      </w:r>
    </w:p>
    <w:p w14:paraId="775BE7B5">
      <w:pPr>
        <w:spacing w:before="8" w:line="254" w:lineRule="auto"/>
        <w:ind w:right="15" w:firstLine="539"/>
        <w:jc w:val="both"/>
        <w:rPr>
          <w:rFonts w:ascii="楷体" w:hAnsi="楷体" w:eastAsia="楷体" w:cs="楷体"/>
          <w:sz w:val="28"/>
          <w:szCs w:val="28"/>
        </w:rPr>
      </w:pPr>
      <w:r>
        <w:rPr>
          <w:rFonts w:ascii="楷体" w:hAnsi="楷体" w:eastAsia="楷体" w:cs="楷体"/>
          <w:spacing w:val="-10"/>
          <w:sz w:val="28"/>
          <w:szCs w:val="28"/>
        </w:rPr>
        <w:t>注：每个层次的系统细化都可能导致不能直接追踪到较高层次需求的需求。</w:t>
      </w:r>
      <w:r>
        <w:rPr>
          <w:rFonts w:ascii="楷体" w:hAnsi="楷体" w:eastAsia="楷体" w:cs="楷体"/>
          <w:spacing w:val="9"/>
          <w:sz w:val="28"/>
          <w:szCs w:val="28"/>
        </w:rPr>
        <w:t xml:space="preserve"> </w:t>
      </w:r>
      <w:r>
        <w:rPr>
          <w:rFonts w:ascii="楷体" w:hAnsi="楷体" w:eastAsia="楷体" w:cs="楷体"/>
          <w:sz w:val="28"/>
          <w:szCs w:val="28"/>
        </w:rPr>
        <w:t>例如创建多个</w:t>
      </w:r>
      <w:r>
        <w:rPr>
          <w:rFonts w:ascii="楷体" w:hAnsi="楷体" w:eastAsia="楷体" w:cs="楷体"/>
          <w:spacing w:val="-70"/>
          <w:sz w:val="28"/>
          <w:szCs w:val="28"/>
        </w:rPr>
        <w:t xml:space="preserve"> </w:t>
      </w:r>
      <w:r>
        <w:rPr>
          <w:rFonts w:ascii="Times New Roman" w:hAnsi="Times New Roman" w:eastAsia="Times New Roman" w:cs="Times New Roman"/>
          <w:b/>
          <w:bCs/>
          <w:sz w:val="28"/>
          <w:szCs w:val="28"/>
        </w:rPr>
        <w:t>CSCI</w:t>
      </w:r>
      <w:r>
        <w:rPr>
          <w:rFonts w:ascii="华文行楷" w:hAnsi="华文行楷" w:eastAsia="华文行楷" w:cs="华文行楷"/>
          <w:b/>
          <w:bCs/>
          <w:sz w:val="28"/>
          <w:szCs w:val="28"/>
        </w:rPr>
        <w:t>的系统体系结构设计，</w:t>
      </w:r>
      <w:r>
        <w:rPr>
          <w:rFonts w:ascii="楷体" w:hAnsi="楷体" w:eastAsia="楷体" w:cs="楷体"/>
          <w:sz w:val="28"/>
          <w:szCs w:val="28"/>
        </w:rPr>
        <w:t>可能导出关</w:t>
      </w:r>
      <w:r>
        <w:rPr>
          <w:rFonts w:ascii="楷体" w:hAnsi="楷体" w:eastAsia="楷体" w:cs="楷体"/>
          <w:spacing w:val="-1"/>
          <w:sz w:val="28"/>
          <w:szCs w:val="28"/>
        </w:rPr>
        <w:t>于这些</w:t>
      </w:r>
      <w:r>
        <w:rPr>
          <w:rFonts w:ascii="楷体" w:hAnsi="楷体" w:eastAsia="楷体" w:cs="楷体"/>
          <w:spacing w:val="-30"/>
          <w:sz w:val="28"/>
          <w:szCs w:val="28"/>
        </w:rPr>
        <w:t xml:space="preserve"> </w:t>
      </w:r>
      <w:r>
        <w:rPr>
          <w:rFonts w:ascii="Times New Roman" w:hAnsi="Times New Roman" w:eastAsia="Times New Roman" w:cs="Times New Roman"/>
          <w:spacing w:val="-1"/>
          <w:sz w:val="28"/>
          <w:szCs w:val="28"/>
        </w:rPr>
        <w:t>CSCI</w:t>
      </w:r>
      <w:r>
        <w:rPr>
          <w:rFonts w:ascii="Times New Roman" w:hAnsi="Times New Roman" w:eastAsia="Times New Roman" w:cs="Times New Roman"/>
          <w:spacing w:val="-12"/>
          <w:sz w:val="28"/>
          <w:szCs w:val="28"/>
        </w:rPr>
        <w:t xml:space="preserve"> </w:t>
      </w:r>
      <w:r>
        <w:rPr>
          <w:rFonts w:ascii="楷体" w:hAnsi="楷体" w:eastAsia="楷体" w:cs="楷体"/>
          <w:spacing w:val="-1"/>
          <w:sz w:val="28"/>
          <w:szCs w:val="28"/>
        </w:rPr>
        <w:t>如何接口</w:t>
      </w:r>
      <w:r>
        <w:rPr>
          <w:rFonts w:ascii="楷体" w:hAnsi="楷体" w:eastAsia="楷体" w:cs="楷体"/>
          <w:sz w:val="28"/>
          <w:szCs w:val="28"/>
        </w:rPr>
        <w:t xml:space="preserve"> </w:t>
      </w:r>
      <w:r>
        <w:rPr>
          <w:rFonts w:ascii="楷体" w:hAnsi="楷体" w:eastAsia="楷体" w:cs="楷体"/>
          <w:spacing w:val="3"/>
          <w:sz w:val="28"/>
          <w:szCs w:val="28"/>
        </w:rPr>
        <w:t>的需求，而这些接口需求在系统需求中并没有涵盖。这样的需求可以被追踪</w:t>
      </w:r>
      <w:r>
        <w:rPr>
          <w:rFonts w:ascii="楷体" w:hAnsi="楷体" w:eastAsia="楷体" w:cs="楷体"/>
          <w:spacing w:val="18"/>
          <w:sz w:val="28"/>
          <w:szCs w:val="28"/>
        </w:rPr>
        <w:t xml:space="preserve"> </w:t>
      </w:r>
      <w:r>
        <w:rPr>
          <w:rFonts w:ascii="楷体" w:hAnsi="楷体" w:eastAsia="楷体" w:cs="楷体"/>
          <w:spacing w:val="-5"/>
          <w:sz w:val="28"/>
          <w:szCs w:val="28"/>
        </w:rPr>
        <w:t>到类似于“系统实现”这样的一般需求，或被追踪到导致它们产生的系统设计</w:t>
      </w:r>
      <w:r>
        <w:rPr>
          <w:rFonts w:ascii="楷体" w:hAnsi="楷体" w:eastAsia="楷体" w:cs="楷体"/>
          <w:spacing w:val="9"/>
          <w:sz w:val="28"/>
          <w:szCs w:val="28"/>
        </w:rPr>
        <w:t xml:space="preserve"> </w:t>
      </w:r>
      <w:r>
        <w:rPr>
          <w:rFonts w:ascii="楷体" w:hAnsi="楷体" w:eastAsia="楷体" w:cs="楷体"/>
          <w:spacing w:val="-4"/>
          <w:sz w:val="28"/>
          <w:szCs w:val="28"/>
        </w:rPr>
        <w:t>决策上。</w:t>
      </w:r>
    </w:p>
    <w:p w14:paraId="60F366B4">
      <w:pPr>
        <w:spacing w:before="70" w:line="305" w:lineRule="auto"/>
        <w:ind w:right="103" w:firstLine="539"/>
        <w:rPr>
          <w:rFonts w:ascii="宋体" w:hAnsi="宋体" w:eastAsia="宋体" w:cs="宋体"/>
          <w:sz w:val="25"/>
          <w:szCs w:val="25"/>
        </w:rPr>
      </w:pPr>
      <w:r>
        <w:rPr>
          <w:rFonts w:ascii="Times New Roman" w:hAnsi="Times New Roman" w:eastAsia="Times New Roman" w:cs="Times New Roman"/>
          <w:spacing w:val="29"/>
          <w:sz w:val="25"/>
          <w:szCs w:val="25"/>
        </w:rPr>
        <w:t xml:space="preserve">b)  </w:t>
      </w:r>
      <w:r>
        <w:rPr>
          <w:rFonts w:ascii="宋体" w:hAnsi="宋体" w:eastAsia="宋体" w:cs="宋体"/>
          <w:spacing w:val="29"/>
          <w:sz w:val="25"/>
          <w:szCs w:val="25"/>
        </w:rPr>
        <w:t>从分配给本接口实体的和影响到这个规格说明中某个接口的每个系统</w:t>
      </w:r>
      <w:r>
        <w:rPr>
          <w:rFonts w:ascii="宋体" w:hAnsi="宋体" w:eastAsia="宋体" w:cs="宋体"/>
          <w:spacing w:val="11"/>
          <w:sz w:val="25"/>
          <w:szCs w:val="25"/>
        </w:rPr>
        <w:t xml:space="preserve"> </w:t>
      </w:r>
      <w:r>
        <w:rPr>
          <w:rFonts w:ascii="宋体" w:hAnsi="宋体" w:eastAsia="宋体" w:cs="宋体"/>
          <w:spacing w:val="18"/>
          <w:sz w:val="25"/>
          <w:szCs w:val="25"/>
        </w:rPr>
        <w:t>(或子系统)需求，到本规格说明中涉及到它的接口需求的可追踪性。</w:t>
      </w:r>
    </w:p>
    <w:p w14:paraId="7F533BD5">
      <w:pPr>
        <w:spacing w:before="1" w:line="221" w:lineRule="auto"/>
        <w:rPr>
          <w:rFonts w:ascii="黑体" w:hAnsi="黑体" w:eastAsia="黑体" w:cs="黑体"/>
          <w:sz w:val="25"/>
          <w:szCs w:val="25"/>
        </w:rPr>
      </w:pPr>
      <w:r>
        <w:rPr>
          <w:rFonts w:ascii="黑体" w:hAnsi="黑体" w:eastAsia="黑体" w:cs="黑体"/>
          <w:spacing w:val="-8"/>
          <w:sz w:val="25"/>
          <w:szCs w:val="25"/>
        </w:rPr>
        <w:t>6</w:t>
      </w:r>
      <w:r>
        <w:rPr>
          <w:rFonts w:ascii="黑体" w:hAnsi="黑体" w:eastAsia="黑体" w:cs="黑体"/>
          <w:spacing w:val="27"/>
          <w:sz w:val="25"/>
          <w:szCs w:val="25"/>
        </w:rPr>
        <w:t xml:space="preserve">  </w:t>
      </w:r>
      <w:r>
        <w:rPr>
          <w:rFonts w:ascii="黑体" w:hAnsi="黑体" w:eastAsia="黑体" w:cs="黑体"/>
          <w:spacing w:val="-8"/>
          <w:sz w:val="25"/>
          <w:szCs w:val="25"/>
        </w:rPr>
        <w:t>注</w:t>
      </w:r>
      <w:r>
        <w:rPr>
          <w:rFonts w:ascii="黑体" w:hAnsi="黑体" w:eastAsia="黑体" w:cs="黑体"/>
          <w:spacing w:val="-54"/>
          <w:sz w:val="25"/>
          <w:szCs w:val="25"/>
        </w:rPr>
        <w:t xml:space="preserve"> </w:t>
      </w:r>
      <w:r>
        <w:rPr>
          <w:rFonts w:ascii="黑体" w:hAnsi="黑体" w:eastAsia="黑体" w:cs="黑体"/>
          <w:spacing w:val="-8"/>
          <w:sz w:val="25"/>
          <w:szCs w:val="25"/>
        </w:rPr>
        <w:t>释</w:t>
      </w:r>
    </w:p>
    <w:p w14:paraId="68599FFD">
      <w:pPr>
        <w:spacing w:before="120" w:line="219" w:lineRule="auto"/>
        <w:ind w:left="539"/>
        <w:rPr>
          <w:rFonts w:ascii="宋体" w:hAnsi="宋体" w:eastAsia="宋体" w:cs="宋体"/>
          <w:sz w:val="27"/>
          <w:szCs w:val="27"/>
        </w:rPr>
      </w:pPr>
      <w:r>
        <w:rPr>
          <w:rFonts w:ascii="宋体" w:hAnsi="宋体" w:eastAsia="宋体" w:cs="宋体"/>
          <w:spacing w:val="-3"/>
          <w:sz w:val="27"/>
          <w:szCs w:val="27"/>
        </w:rPr>
        <w:t>本章应包括有助于了解文档的所有信息(例如背景、术语、缩略语或公式)。</w:t>
      </w:r>
    </w:p>
    <w:p w14:paraId="74B10930">
      <w:pPr>
        <w:pStyle w:val="2"/>
        <w:spacing w:line="321" w:lineRule="auto"/>
      </w:pPr>
    </w:p>
    <w:p w14:paraId="2A286BDB">
      <w:pPr>
        <w:spacing w:before="117" w:line="219" w:lineRule="auto"/>
        <w:ind w:left="2500"/>
        <w:outlineLvl w:val="1"/>
        <w:rPr>
          <w:rFonts w:ascii="宋体" w:hAnsi="宋体" w:eastAsia="宋体" w:cs="宋体"/>
          <w:sz w:val="36"/>
          <w:szCs w:val="36"/>
        </w:rPr>
      </w:pPr>
      <w:bookmarkStart w:id="140" w:name="bookmark73"/>
      <w:bookmarkEnd w:id="140"/>
      <w:r>
        <w:rPr>
          <w:rFonts w:ascii="宋体" w:hAnsi="宋体" w:eastAsia="宋体" w:cs="宋体"/>
          <w:spacing w:val="3"/>
          <w:sz w:val="36"/>
          <w:szCs w:val="36"/>
        </w:rPr>
        <w:t xml:space="preserve">2.4  </w:t>
      </w:r>
      <w:r>
        <w:rPr>
          <w:rFonts w:ascii="宋体" w:hAnsi="宋体" w:eastAsia="宋体" w:cs="宋体"/>
          <w:b/>
          <w:bCs/>
          <w:spacing w:val="3"/>
          <w:sz w:val="36"/>
          <w:szCs w:val="36"/>
        </w:rPr>
        <w:t>系统/子系统设计说明</w:t>
      </w:r>
    </w:p>
    <w:p w14:paraId="54B34873">
      <w:pPr>
        <w:pStyle w:val="2"/>
        <w:spacing w:line="348" w:lineRule="auto"/>
      </w:pPr>
    </w:p>
    <w:p w14:paraId="3A2B582F">
      <w:pPr>
        <w:spacing w:before="91" w:line="225" w:lineRule="auto"/>
        <w:ind w:left="539"/>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rFonts w:ascii="宋体" w:hAnsi="宋体" w:eastAsia="宋体" w:cs="宋体"/>
          <w:spacing w:val="-10"/>
          <w:sz w:val="28"/>
          <w:szCs w:val="28"/>
        </w:rPr>
        <w:t>《</w:t>
      </w:r>
      <w:r>
        <w:rPr>
          <w:rFonts w:ascii="楷体" w:hAnsi="楷体" w:eastAsia="楷体" w:cs="楷体"/>
          <w:spacing w:val="-10"/>
          <w:sz w:val="28"/>
          <w:szCs w:val="28"/>
        </w:rPr>
        <w:t>军用软件</w:t>
      </w:r>
      <w:r>
        <w:rPr>
          <w:rFonts w:ascii="楷体" w:hAnsi="楷体" w:eastAsia="楷体" w:cs="楷体"/>
          <w:spacing w:val="-11"/>
          <w:sz w:val="28"/>
          <w:szCs w:val="28"/>
        </w:rPr>
        <w:t>开发文档通用要求》编写。</w:t>
      </w:r>
    </w:p>
    <w:p w14:paraId="652399A0">
      <w:pPr>
        <w:spacing w:before="43"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9"/>
          <w:sz w:val="27"/>
          <w:szCs w:val="27"/>
        </w:rPr>
        <w:t xml:space="preserve">  </w:t>
      </w:r>
      <w:r>
        <w:rPr>
          <w:rFonts w:ascii="黑体" w:hAnsi="黑体" w:eastAsia="黑体" w:cs="黑体"/>
          <w:spacing w:val="-6"/>
          <w:sz w:val="27"/>
          <w:szCs w:val="27"/>
        </w:rPr>
        <w:t>范围</w:t>
      </w:r>
    </w:p>
    <w:p w14:paraId="44DC930E">
      <w:pPr>
        <w:spacing w:before="112" w:line="222" w:lineRule="auto"/>
        <w:rPr>
          <w:rFonts w:ascii="黑体" w:hAnsi="黑体" w:eastAsia="黑体" w:cs="黑体"/>
          <w:sz w:val="24"/>
          <w:szCs w:val="24"/>
        </w:rPr>
      </w:pPr>
      <w:r>
        <w:rPr>
          <w:rFonts w:ascii="黑体" w:hAnsi="黑体" w:eastAsia="黑体" w:cs="黑体"/>
          <w:spacing w:val="-2"/>
          <w:sz w:val="24"/>
          <w:szCs w:val="24"/>
        </w:rPr>
        <w:t>1.1</w:t>
      </w:r>
      <w:r>
        <w:rPr>
          <w:rFonts w:ascii="黑体" w:hAnsi="黑体" w:eastAsia="黑体" w:cs="黑体"/>
          <w:spacing w:val="47"/>
          <w:sz w:val="24"/>
          <w:szCs w:val="24"/>
        </w:rPr>
        <w:t xml:space="preserve">  </w:t>
      </w:r>
      <w:r>
        <w:rPr>
          <w:rFonts w:ascii="黑体" w:hAnsi="黑体" w:eastAsia="黑体" w:cs="黑体"/>
          <w:spacing w:val="-2"/>
          <w:sz w:val="24"/>
          <w:szCs w:val="24"/>
        </w:rPr>
        <w:t>标</w:t>
      </w:r>
      <w:r>
        <w:rPr>
          <w:rFonts w:ascii="黑体" w:hAnsi="黑体" w:eastAsia="黑体" w:cs="黑体"/>
          <w:spacing w:val="-46"/>
          <w:sz w:val="24"/>
          <w:szCs w:val="24"/>
        </w:rPr>
        <w:t xml:space="preserve"> </w:t>
      </w:r>
      <w:r>
        <w:rPr>
          <w:rFonts w:ascii="黑体" w:hAnsi="黑体" w:eastAsia="黑体" w:cs="黑体"/>
          <w:spacing w:val="-2"/>
          <w:sz w:val="24"/>
          <w:szCs w:val="24"/>
        </w:rPr>
        <w:t>识</w:t>
      </w:r>
    </w:p>
    <w:p w14:paraId="0604E61B">
      <w:pPr>
        <w:spacing w:before="91" w:line="280" w:lineRule="auto"/>
        <w:ind w:firstLine="539"/>
        <w:rPr>
          <w:rFonts w:ascii="宋体" w:hAnsi="宋体" w:eastAsia="宋体" w:cs="宋体"/>
          <w:sz w:val="27"/>
          <w:szCs w:val="27"/>
        </w:rPr>
      </w:pPr>
      <w:r>
        <w:rPr>
          <w:rFonts w:ascii="宋体" w:hAnsi="宋体" w:eastAsia="宋体" w:cs="宋体"/>
          <w:spacing w:val="-7"/>
          <w:sz w:val="27"/>
          <w:szCs w:val="27"/>
        </w:rPr>
        <w:t>本条应描述本文档所适用的系统的完整标识，适用时，包括</w:t>
      </w:r>
      <w:r>
        <w:rPr>
          <w:rFonts w:ascii="宋体" w:hAnsi="宋体" w:eastAsia="宋体" w:cs="宋体"/>
          <w:spacing w:val="-8"/>
          <w:sz w:val="27"/>
          <w:szCs w:val="27"/>
        </w:rPr>
        <w:t>其标识号、名称、</w:t>
      </w:r>
      <w:r>
        <w:rPr>
          <w:rFonts w:ascii="宋体" w:hAnsi="宋体" w:eastAsia="宋体" w:cs="宋体"/>
          <w:sz w:val="27"/>
          <w:szCs w:val="27"/>
        </w:rPr>
        <w:t xml:space="preserve"> </w:t>
      </w:r>
      <w:r>
        <w:rPr>
          <w:rFonts w:ascii="宋体" w:hAnsi="宋体" w:eastAsia="宋体" w:cs="宋体"/>
          <w:spacing w:val="-8"/>
          <w:sz w:val="27"/>
          <w:szCs w:val="27"/>
        </w:rPr>
        <w:t>缩略名、版本号和发布号。</w:t>
      </w:r>
    </w:p>
    <w:p w14:paraId="42BB85AA">
      <w:pPr>
        <w:spacing w:before="1" w:line="220" w:lineRule="auto"/>
        <w:rPr>
          <w:rFonts w:ascii="黑体" w:hAnsi="黑体" w:eastAsia="黑体" w:cs="黑体"/>
          <w:sz w:val="27"/>
          <w:szCs w:val="27"/>
        </w:rPr>
      </w:pPr>
      <w:r>
        <w:rPr>
          <w:rFonts w:ascii="黑体" w:hAnsi="黑体" w:eastAsia="黑体" w:cs="黑体"/>
          <w:spacing w:val="-3"/>
          <w:sz w:val="27"/>
          <w:szCs w:val="27"/>
        </w:rPr>
        <w:t>1.2</w:t>
      </w:r>
      <w:r>
        <w:rPr>
          <w:rFonts w:ascii="黑体" w:hAnsi="黑体" w:eastAsia="黑体" w:cs="黑体"/>
          <w:spacing w:val="27"/>
          <w:sz w:val="27"/>
          <w:szCs w:val="27"/>
        </w:rPr>
        <w:t xml:space="preserve">  </w:t>
      </w:r>
      <w:r>
        <w:rPr>
          <w:rFonts w:ascii="黑体" w:hAnsi="黑体" w:eastAsia="黑体" w:cs="黑体"/>
          <w:spacing w:val="-3"/>
          <w:sz w:val="27"/>
          <w:szCs w:val="27"/>
        </w:rPr>
        <w:t>系统概述</w:t>
      </w:r>
    </w:p>
    <w:p w14:paraId="246A702F">
      <w:pPr>
        <w:spacing w:before="128" w:line="289" w:lineRule="auto"/>
        <w:ind w:firstLine="539"/>
        <w:rPr>
          <w:rFonts w:ascii="宋体" w:hAnsi="宋体" w:eastAsia="宋体" w:cs="宋体"/>
          <w:sz w:val="27"/>
          <w:szCs w:val="27"/>
        </w:rPr>
      </w:pPr>
      <w:r>
        <w:rPr>
          <w:rFonts w:ascii="宋体" w:hAnsi="宋体" w:eastAsia="宋体" w:cs="宋体"/>
          <w:spacing w:val="6"/>
          <w:sz w:val="27"/>
          <w:szCs w:val="27"/>
        </w:rPr>
        <w:t>本条应概述本文档所适用的系统的用途。它还应描述系统的一般特</w:t>
      </w:r>
      <w:r>
        <w:rPr>
          <w:rFonts w:ascii="宋体" w:hAnsi="宋体" w:eastAsia="宋体" w:cs="宋体"/>
          <w:spacing w:val="5"/>
          <w:sz w:val="27"/>
          <w:szCs w:val="27"/>
        </w:rPr>
        <w:t>性；概</w:t>
      </w:r>
      <w:r>
        <w:rPr>
          <w:rFonts w:ascii="宋体" w:hAnsi="宋体" w:eastAsia="宋体" w:cs="宋体"/>
          <w:sz w:val="27"/>
          <w:szCs w:val="27"/>
        </w:rPr>
        <w:t xml:space="preserve"> </w:t>
      </w:r>
      <w:r>
        <w:rPr>
          <w:rFonts w:ascii="宋体" w:hAnsi="宋体" w:eastAsia="宋体" w:cs="宋体"/>
          <w:spacing w:val="-7"/>
          <w:sz w:val="27"/>
          <w:szCs w:val="27"/>
        </w:rPr>
        <w:t>述系统开发、运行和维护的历史；标识项目的需方、用户、开发方和保障机构等；</w:t>
      </w:r>
    </w:p>
    <w:p w14:paraId="680E0C23">
      <w:pPr>
        <w:spacing w:line="289" w:lineRule="auto"/>
        <w:rPr>
          <w:rFonts w:ascii="宋体" w:hAnsi="宋体" w:eastAsia="宋体" w:cs="宋体"/>
          <w:sz w:val="27"/>
          <w:szCs w:val="27"/>
        </w:rPr>
        <w:sectPr>
          <w:footerReference r:id="rId199" w:type="default"/>
          <w:pgSz w:w="11910" w:h="17130"/>
          <w:pgMar w:top="400" w:right="924" w:bottom="1580" w:left="1509" w:header="0" w:footer="1373" w:gutter="0"/>
          <w:cols w:space="720" w:num="1"/>
        </w:sectPr>
      </w:pPr>
    </w:p>
    <w:p w14:paraId="2829D2B3">
      <w:pPr>
        <w:pStyle w:val="2"/>
        <w:spacing w:line="256" w:lineRule="auto"/>
      </w:pPr>
    </w:p>
    <w:p w14:paraId="4845E816">
      <w:pPr>
        <w:pStyle w:val="2"/>
        <w:spacing w:line="257" w:lineRule="auto"/>
      </w:pPr>
    </w:p>
    <w:p w14:paraId="2CEB4EA5">
      <w:pPr>
        <w:pStyle w:val="2"/>
        <w:spacing w:line="257" w:lineRule="auto"/>
      </w:pPr>
    </w:p>
    <w:p w14:paraId="0CBED979">
      <w:pPr>
        <w:pStyle w:val="2"/>
        <w:spacing w:line="257" w:lineRule="auto"/>
      </w:pPr>
    </w:p>
    <w:p w14:paraId="299E3929">
      <w:pPr>
        <w:spacing w:before="87" w:line="219" w:lineRule="auto"/>
        <w:rPr>
          <w:rFonts w:ascii="宋体" w:hAnsi="宋体" w:eastAsia="宋体" w:cs="宋体"/>
          <w:sz w:val="27"/>
          <w:szCs w:val="27"/>
        </w:rPr>
      </w:pPr>
      <w:bookmarkStart w:id="141" w:name="bookmark375"/>
      <w:bookmarkEnd w:id="141"/>
      <w:r>
        <w:rPr>
          <w:rFonts w:ascii="宋体" w:hAnsi="宋体" w:eastAsia="宋体" w:cs="宋体"/>
          <w:spacing w:val="-3"/>
          <w:sz w:val="27"/>
          <w:szCs w:val="27"/>
        </w:rPr>
        <w:t>标识当前和计划的运行现场；列出其他有关文档。</w:t>
      </w:r>
    </w:p>
    <w:p w14:paraId="1C95D084">
      <w:pPr>
        <w:spacing w:before="92" w:line="221" w:lineRule="auto"/>
        <w:rPr>
          <w:rFonts w:ascii="黑体" w:hAnsi="黑体" w:eastAsia="黑体" w:cs="黑体"/>
          <w:sz w:val="25"/>
          <w:szCs w:val="25"/>
        </w:rPr>
      </w:pPr>
      <w:r>
        <w:rPr>
          <w:rFonts w:ascii="黑体" w:hAnsi="黑体" w:eastAsia="黑体" w:cs="黑体"/>
          <w:spacing w:val="6"/>
          <w:sz w:val="25"/>
          <w:szCs w:val="25"/>
        </w:rPr>
        <w:t>1.3</w:t>
      </w:r>
      <w:r>
        <w:rPr>
          <w:rFonts w:ascii="黑体" w:hAnsi="黑体" w:eastAsia="黑体" w:cs="黑体"/>
          <w:spacing w:val="53"/>
          <w:sz w:val="25"/>
          <w:szCs w:val="25"/>
        </w:rPr>
        <w:t xml:space="preserve">  </w:t>
      </w:r>
      <w:r>
        <w:rPr>
          <w:rFonts w:ascii="黑体" w:hAnsi="黑体" w:eastAsia="黑体" w:cs="黑体"/>
          <w:b/>
          <w:bCs/>
          <w:spacing w:val="6"/>
          <w:sz w:val="25"/>
          <w:szCs w:val="25"/>
        </w:rPr>
        <w:t>文档概述</w:t>
      </w:r>
    </w:p>
    <w:p w14:paraId="7824342B">
      <w:pPr>
        <w:spacing w:before="37" w:line="289" w:lineRule="auto"/>
        <w:ind w:right="113" w:firstLine="570"/>
        <w:rPr>
          <w:rFonts w:ascii="宋体" w:hAnsi="宋体" w:eastAsia="宋体" w:cs="宋体"/>
          <w:sz w:val="27"/>
          <w:szCs w:val="27"/>
        </w:rPr>
      </w:pPr>
      <w:r>
        <w:rPr>
          <w:rFonts w:ascii="宋体" w:hAnsi="宋体" w:eastAsia="宋体" w:cs="宋体"/>
          <w:spacing w:val="6"/>
          <w:sz w:val="27"/>
          <w:szCs w:val="27"/>
        </w:rPr>
        <w:t>本条应概述本文档的用途和内容，并描述与它</w:t>
      </w:r>
      <w:r>
        <w:rPr>
          <w:rFonts w:ascii="宋体" w:hAnsi="宋体" w:eastAsia="宋体" w:cs="宋体"/>
          <w:spacing w:val="5"/>
          <w:sz w:val="27"/>
          <w:szCs w:val="27"/>
        </w:rPr>
        <w:t>的使用有关的保密性方面的</w:t>
      </w:r>
      <w:r>
        <w:rPr>
          <w:rFonts w:ascii="宋体" w:hAnsi="宋体" w:eastAsia="宋体" w:cs="宋体"/>
          <w:sz w:val="27"/>
          <w:szCs w:val="27"/>
        </w:rPr>
        <w:t xml:space="preserve"> </w:t>
      </w:r>
      <w:r>
        <w:rPr>
          <w:rFonts w:ascii="宋体" w:hAnsi="宋体" w:eastAsia="宋体" w:cs="宋体"/>
          <w:spacing w:val="-4"/>
          <w:sz w:val="27"/>
          <w:szCs w:val="27"/>
        </w:rPr>
        <w:t>要求。</w:t>
      </w:r>
    </w:p>
    <w:p w14:paraId="2CEFC48D">
      <w:pPr>
        <w:spacing w:line="221"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5"/>
          <w:sz w:val="27"/>
          <w:szCs w:val="27"/>
        </w:rPr>
        <w:t xml:space="preserve">  </w:t>
      </w:r>
      <w:r>
        <w:rPr>
          <w:rFonts w:ascii="黑体" w:hAnsi="黑体" w:eastAsia="黑体" w:cs="黑体"/>
          <w:b/>
          <w:bCs/>
          <w:sz w:val="27"/>
          <w:szCs w:val="27"/>
        </w:rPr>
        <w:t>引用文档</w:t>
      </w:r>
    </w:p>
    <w:p w14:paraId="534F90CB">
      <w:pPr>
        <w:spacing w:before="69" w:line="286" w:lineRule="auto"/>
        <w:ind w:right="121" w:firstLine="570"/>
        <w:rPr>
          <w:rFonts w:ascii="宋体" w:hAnsi="宋体" w:eastAsia="宋体" w:cs="宋体"/>
          <w:sz w:val="27"/>
          <w:szCs w:val="27"/>
        </w:rPr>
      </w:pPr>
      <w:r>
        <w:rPr>
          <w:rFonts w:ascii="宋体" w:hAnsi="宋体" w:eastAsia="宋体" w:cs="宋体"/>
          <w:spacing w:val="-11"/>
          <w:sz w:val="27"/>
          <w:szCs w:val="27"/>
        </w:rPr>
        <w:t>本章应列出引用文档的编号、标题、编写单位、修订版及日期，还应标识不能</w:t>
      </w:r>
      <w:r>
        <w:rPr>
          <w:rFonts w:ascii="宋体" w:hAnsi="宋体" w:eastAsia="宋体" w:cs="宋体"/>
          <w:spacing w:val="6"/>
          <w:sz w:val="27"/>
          <w:szCs w:val="27"/>
        </w:rPr>
        <w:t xml:space="preserve"> </w:t>
      </w:r>
      <w:r>
        <w:rPr>
          <w:rFonts w:ascii="宋体" w:hAnsi="宋体" w:eastAsia="宋体" w:cs="宋体"/>
          <w:spacing w:val="2"/>
          <w:sz w:val="27"/>
          <w:szCs w:val="27"/>
        </w:rPr>
        <w:t>通过正常采购活动得到的文档的来源。</w:t>
      </w:r>
    </w:p>
    <w:p w14:paraId="3BE17CF8">
      <w:pPr>
        <w:spacing w:before="1" w:line="220"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9"/>
          <w:sz w:val="27"/>
          <w:szCs w:val="27"/>
        </w:rPr>
        <w:t xml:space="preserve">  </w:t>
      </w:r>
      <w:r>
        <w:rPr>
          <w:rFonts w:ascii="黑体" w:hAnsi="黑体" w:eastAsia="黑体" w:cs="黑体"/>
          <w:b/>
          <w:bCs/>
          <w:spacing w:val="-1"/>
          <w:sz w:val="27"/>
          <w:szCs w:val="27"/>
        </w:rPr>
        <w:t>系统级设计决策</w:t>
      </w:r>
    </w:p>
    <w:p w14:paraId="4AE725A2">
      <w:pPr>
        <w:spacing w:before="66" w:line="278" w:lineRule="auto"/>
        <w:ind w:right="123" w:firstLine="570"/>
        <w:jc w:val="both"/>
        <w:rPr>
          <w:rFonts w:ascii="宋体" w:hAnsi="宋体" w:eastAsia="宋体" w:cs="宋体"/>
          <w:sz w:val="27"/>
          <w:szCs w:val="27"/>
        </w:rPr>
      </w:pPr>
      <w:r>
        <w:rPr>
          <w:rFonts w:ascii="宋体" w:hAnsi="宋体" w:eastAsia="宋体" w:cs="宋体"/>
          <w:spacing w:val="1"/>
          <w:sz w:val="27"/>
          <w:szCs w:val="27"/>
        </w:rPr>
        <w:t>本章根据需要可分条描述系统级设计决策，即系统行为的设计决策(忽略其</w:t>
      </w:r>
      <w:r>
        <w:rPr>
          <w:rFonts w:ascii="宋体" w:hAnsi="宋体" w:eastAsia="宋体" w:cs="宋体"/>
          <w:spacing w:val="2"/>
          <w:sz w:val="27"/>
          <w:szCs w:val="27"/>
        </w:rPr>
        <w:t xml:space="preserve"> </w:t>
      </w:r>
      <w:r>
        <w:rPr>
          <w:rFonts w:ascii="宋体" w:hAnsi="宋体" w:eastAsia="宋体" w:cs="宋体"/>
          <w:spacing w:val="1"/>
          <w:sz w:val="27"/>
          <w:szCs w:val="27"/>
        </w:rPr>
        <w:t>内部实现，从用户角度出发描述系统将怎样运转以满足需求)和其他对系统部件</w:t>
      </w:r>
      <w:r>
        <w:rPr>
          <w:rFonts w:ascii="宋体" w:hAnsi="宋体" w:eastAsia="宋体" w:cs="宋体"/>
          <w:spacing w:val="10"/>
          <w:sz w:val="27"/>
          <w:szCs w:val="27"/>
        </w:rPr>
        <w:t xml:space="preserve"> </w:t>
      </w:r>
      <w:r>
        <w:rPr>
          <w:rFonts w:ascii="宋体" w:hAnsi="宋体" w:eastAsia="宋体" w:cs="宋体"/>
          <w:spacing w:val="5"/>
          <w:sz w:val="27"/>
          <w:szCs w:val="27"/>
        </w:rPr>
        <w:t>的选择与设计产生影响的决策。如果所有这些决策在需求中已明确指出或推迟</w:t>
      </w:r>
      <w:r>
        <w:rPr>
          <w:rFonts w:ascii="宋体" w:hAnsi="宋体" w:eastAsia="宋体" w:cs="宋体"/>
          <w:spacing w:val="11"/>
          <w:sz w:val="27"/>
          <w:szCs w:val="27"/>
        </w:rPr>
        <w:t xml:space="preserve"> </w:t>
      </w:r>
      <w:r>
        <w:rPr>
          <w:rFonts w:ascii="宋体" w:hAnsi="宋体" w:eastAsia="宋体" w:cs="宋体"/>
          <w:spacing w:val="1"/>
          <w:sz w:val="27"/>
          <w:szCs w:val="27"/>
        </w:rPr>
        <w:t>到系统部件的设计时给出，则应如实说明。对应于指定为关键性需求(如安全性</w:t>
      </w:r>
      <w:r>
        <w:rPr>
          <w:rFonts w:ascii="宋体" w:hAnsi="宋体" w:eastAsia="宋体" w:cs="宋体"/>
          <w:spacing w:val="9"/>
          <w:sz w:val="27"/>
          <w:szCs w:val="27"/>
        </w:rPr>
        <w:t xml:space="preserve"> </w:t>
      </w:r>
      <w:r>
        <w:rPr>
          <w:rFonts w:ascii="宋体" w:hAnsi="宋体" w:eastAsia="宋体" w:cs="宋体"/>
          <w:spacing w:val="1"/>
          <w:sz w:val="27"/>
          <w:szCs w:val="27"/>
        </w:rPr>
        <w:t>或保密性需求)的设计决策，应在专门的章条中加以叙述。如果设计决策依赖于</w:t>
      </w:r>
      <w:r>
        <w:rPr>
          <w:rFonts w:ascii="宋体" w:hAnsi="宋体" w:eastAsia="宋体" w:cs="宋体"/>
          <w:spacing w:val="14"/>
          <w:sz w:val="27"/>
          <w:szCs w:val="27"/>
        </w:rPr>
        <w:t xml:space="preserve"> </w:t>
      </w:r>
      <w:r>
        <w:rPr>
          <w:rFonts w:ascii="宋体" w:hAnsi="宋体" w:eastAsia="宋体" w:cs="宋体"/>
          <w:spacing w:val="6"/>
          <w:sz w:val="27"/>
          <w:szCs w:val="27"/>
        </w:rPr>
        <w:t>系统状态或方式，应指明这种依赖关系。应给</w:t>
      </w:r>
      <w:r>
        <w:rPr>
          <w:rFonts w:ascii="宋体" w:hAnsi="宋体" w:eastAsia="宋体" w:cs="宋体"/>
          <w:spacing w:val="5"/>
          <w:sz w:val="27"/>
          <w:szCs w:val="27"/>
        </w:rPr>
        <w:t>出或引用理解这些设计所需要的</w:t>
      </w:r>
      <w:r>
        <w:rPr>
          <w:rFonts w:ascii="宋体" w:hAnsi="宋体" w:eastAsia="宋体" w:cs="宋体"/>
          <w:sz w:val="27"/>
          <w:szCs w:val="27"/>
        </w:rPr>
        <w:t xml:space="preserve"> </w:t>
      </w:r>
      <w:r>
        <w:rPr>
          <w:rFonts w:ascii="宋体" w:hAnsi="宋体" w:eastAsia="宋体" w:cs="宋体"/>
          <w:spacing w:val="2"/>
          <w:sz w:val="27"/>
          <w:szCs w:val="27"/>
        </w:rPr>
        <w:t>设计约定。系统级设计决策例子如下：</w:t>
      </w:r>
    </w:p>
    <w:p w14:paraId="77669586">
      <w:pPr>
        <w:spacing w:before="1" w:line="260" w:lineRule="auto"/>
        <w:ind w:right="105" w:firstLine="570"/>
        <w:rPr>
          <w:rFonts w:ascii="宋体" w:hAnsi="宋体" w:eastAsia="宋体" w:cs="宋体"/>
          <w:sz w:val="27"/>
          <w:szCs w:val="27"/>
        </w:rPr>
      </w:pPr>
      <w:r>
        <w:rPr>
          <w:rFonts w:ascii="Times New Roman" w:hAnsi="Times New Roman" w:eastAsia="Times New Roman" w:cs="Times New Roman"/>
          <w:spacing w:val="4"/>
          <w:sz w:val="27"/>
          <w:szCs w:val="27"/>
        </w:rPr>
        <w:t>a)</w:t>
      </w:r>
      <w:r>
        <w:rPr>
          <w:rFonts w:ascii="Times New Roman" w:hAnsi="Times New Roman" w:eastAsia="Times New Roman" w:cs="Times New Roman"/>
          <w:spacing w:val="63"/>
          <w:sz w:val="27"/>
          <w:szCs w:val="27"/>
        </w:rPr>
        <w:t xml:space="preserve"> </w:t>
      </w:r>
      <w:r>
        <w:rPr>
          <w:rFonts w:ascii="宋体" w:hAnsi="宋体" w:eastAsia="宋体" w:cs="宋体"/>
          <w:spacing w:val="4"/>
          <w:sz w:val="27"/>
          <w:szCs w:val="27"/>
        </w:rPr>
        <w:t>有关系统接收的输入和产生的输出的设</w:t>
      </w:r>
      <w:r>
        <w:rPr>
          <w:rFonts w:ascii="宋体" w:hAnsi="宋体" w:eastAsia="宋体" w:cs="宋体"/>
          <w:spacing w:val="3"/>
          <w:sz w:val="27"/>
          <w:szCs w:val="27"/>
        </w:rPr>
        <w:t>计决策，包括与其他系统、配置</w:t>
      </w:r>
      <w:r>
        <w:rPr>
          <w:rFonts w:ascii="宋体" w:hAnsi="宋体" w:eastAsia="宋体" w:cs="宋体"/>
          <w:sz w:val="27"/>
          <w:szCs w:val="27"/>
        </w:rPr>
        <w:t xml:space="preserve"> </w:t>
      </w:r>
      <w:r>
        <w:rPr>
          <w:rFonts w:ascii="宋体" w:hAnsi="宋体" w:eastAsia="宋体" w:cs="宋体"/>
          <w:spacing w:val="5"/>
          <w:sz w:val="27"/>
          <w:szCs w:val="27"/>
        </w:rPr>
        <w:t>项和用户的接口(在4.3.</w:t>
      </w:r>
      <w:r>
        <w:rPr>
          <w:rFonts w:ascii="Times New Roman" w:hAnsi="Times New Roman" w:eastAsia="Times New Roman" w:cs="Times New Roman"/>
          <w:spacing w:val="5"/>
          <w:sz w:val="27"/>
          <w:szCs w:val="27"/>
        </w:rPr>
        <w:t xml:space="preserve">X </w:t>
      </w:r>
      <w:r>
        <w:rPr>
          <w:rFonts w:ascii="宋体" w:hAnsi="宋体" w:eastAsia="宋体" w:cs="宋体"/>
          <w:spacing w:val="5"/>
          <w:sz w:val="27"/>
          <w:szCs w:val="27"/>
        </w:rPr>
        <w:t>标识了在本文档中所要考虑的主题)。如果《接口设</w:t>
      </w:r>
      <w:r>
        <w:rPr>
          <w:rFonts w:ascii="宋体" w:hAnsi="宋体" w:eastAsia="宋体" w:cs="宋体"/>
          <w:sz w:val="27"/>
          <w:szCs w:val="27"/>
        </w:rPr>
        <w:t xml:space="preserve"> </w:t>
      </w:r>
      <w:r>
        <w:rPr>
          <w:rFonts w:ascii="宋体" w:hAnsi="宋体" w:eastAsia="宋体" w:cs="宋体"/>
          <w:spacing w:val="-8"/>
          <w:sz w:val="27"/>
          <w:szCs w:val="27"/>
        </w:rPr>
        <w:t>计说明》中给出部分或全部该类信息，在此可以引用。</w:t>
      </w:r>
    </w:p>
    <w:p w14:paraId="57552C83">
      <w:pPr>
        <w:spacing w:before="70" w:line="262" w:lineRule="auto"/>
        <w:ind w:right="95" w:firstLine="570"/>
        <w:rPr>
          <w:rFonts w:ascii="宋体" w:hAnsi="宋体" w:eastAsia="宋体" w:cs="宋体"/>
          <w:sz w:val="27"/>
          <w:szCs w:val="27"/>
        </w:rPr>
      </w:pPr>
      <w:r>
        <w:rPr>
          <w:rFonts w:ascii="Times New Roman" w:hAnsi="Times New Roman" w:eastAsia="Times New Roman" w:cs="Times New Roman"/>
          <w:spacing w:val="4"/>
          <w:sz w:val="27"/>
          <w:szCs w:val="27"/>
        </w:rPr>
        <w:t>b)</w:t>
      </w:r>
      <w:r>
        <w:rPr>
          <w:rFonts w:ascii="Times New Roman" w:hAnsi="Times New Roman" w:eastAsia="Times New Roman" w:cs="Times New Roman"/>
          <w:spacing w:val="57"/>
          <w:sz w:val="27"/>
          <w:szCs w:val="27"/>
        </w:rPr>
        <w:t xml:space="preserve"> </w:t>
      </w:r>
      <w:r>
        <w:rPr>
          <w:rFonts w:ascii="宋体" w:hAnsi="宋体" w:eastAsia="宋体" w:cs="宋体"/>
          <w:spacing w:val="4"/>
          <w:sz w:val="27"/>
          <w:szCs w:val="27"/>
        </w:rPr>
        <w:t>对每个输入或条件进行响应的系统行为</w:t>
      </w:r>
      <w:r>
        <w:rPr>
          <w:rFonts w:ascii="宋体" w:hAnsi="宋体" w:eastAsia="宋体" w:cs="宋体"/>
          <w:spacing w:val="3"/>
          <w:sz w:val="27"/>
          <w:szCs w:val="27"/>
        </w:rPr>
        <w:t>的设计决策，包括系统执行的动</w:t>
      </w:r>
      <w:r>
        <w:rPr>
          <w:rFonts w:ascii="宋体" w:hAnsi="宋体" w:eastAsia="宋体" w:cs="宋体"/>
          <w:sz w:val="27"/>
          <w:szCs w:val="27"/>
        </w:rPr>
        <w:t xml:space="preserve"> </w:t>
      </w:r>
      <w:r>
        <w:rPr>
          <w:rFonts w:ascii="宋体" w:hAnsi="宋体" w:eastAsia="宋体" w:cs="宋体"/>
          <w:spacing w:val="1"/>
          <w:sz w:val="27"/>
          <w:szCs w:val="27"/>
        </w:rPr>
        <w:t>作、响应时间和其他性能特性、所模拟的物理系统的描述、所选择的方程式/算</w:t>
      </w:r>
      <w:r>
        <w:rPr>
          <w:rFonts w:ascii="宋体" w:hAnsi="宋体" w:eastAsia="宋体" w:cs="宋体"/>
          <w:spacing w:val="11"/>
          <w:sz w:val="27"/>
          <w:szCs w:val="27"/>
        </w:rPr>
        <w:t xml:space="preserve"> </w:t>
      </w:r>
      <w:r>
        <w:rPr>
          <w:rFonts w:ascii="宋体" w:hAnsi="宋体" w:eastAsia="宋体" w:cs="宋体"/>
          <w:spacing w:val="-3"/>
          <w:sz w:val="27"/>
          <w:szCs w:val="27"/>
        </w:rPr>
        <w:t>法/规则、对不允许的输入或条件的处理。</w:t>
      </w:r>
    </w:p>
    <w:p w14:paraId="5AA51964">
      <w:pPr>
        <w:spacing w:before="80" w:line="263" w:lineRule="auto"/>
        <w:ind w:right="19" w:firstLine="570"/>
        <w:rPr>
          <w:rFonts w:ascii="宋体" w:hAnsi="宋体" w:eastAsia="宋体" w:cs="宋体"/>
          <w:sz w:val="27"/>
          <w:szCs w:val="27"/>
        </w:rPr>
      </w:pPr>
      <w:r>
        <w:rPr>
          <w:rFonts w:ascii="Times New Roman" w:hAnsi="Times New Roman" w:eastAsia="Times New Roman" w:cs="Times New Roman"/>
          <w:spacing w:val="11"/>
          <w:sz w:val="27"/>
          <w:szCs w:val="27"/>
        </w:rPr>
        <w:t>c)</w:t>
      </w:r>
      <w:r>
        <w:rPr>
          <w:rFonts w:ascii="Times New Roman" w:hAnsi="Times New Roman" w:eastAsia="Times New Roman" w:cs="Times New Roman"/>
          <w:spacing w:val="62"/>
          <w:w w:val="101"/>
          <w:sz w:val="27"/>
          <w:szCs w:val="27"/>
        </w:rPr>
        <w:t xml:space="preserve"> </w:t>
      </w:r>
      <w:r>
        <w:rPr>
          <w:rFonts w:ascii="宋体" w:hAnsi="宋体" w:eastAsia="宋体" w:cs="宋体"/>
          <w:spacing w:val="11"/>
          <w:sz w:val="27"/>
          <w:szCs w:val="27"/>
        </w:rPr>
        <w:t>系统数据库/数据文件如何呈现给用户</w:t>
      </w:r>
      <w:r>
        <w:rPr>
          <w:rFonts w:ascii="宋体" w:hAnsi="宋体" w:eastAsia="宋体" w:cs="宋体"/>
          <w:spacing w:val="10"/>
          <w:sz w:val="27"/>
          <w:szCs w:val="27"/>
        </w:rPr>
        <w:t>的设计决策(在4.3.</w:t>
      </w:r>
      <w:r>
        <w:rPr>
          <w:rFonts w:ascii="Times New Roman" w:hAnsi="Times New Roman" w:eastAsia="Times New Roman" w:cs="Times New Roman"/>
          <w:spacing w:val="10"/>
          <w:sz w:val="27"/>
          <w:szCs w:val="27"/>
        </w:rPr>
        <w:t xml:space="preserve">X </w:t>
      </w:r>
      <w:r>
        <w:rPr>
          <w:rFonts w:ascii="宋体" w:hAnsi="宋体" w:eastAsia="宋体" w:cs="宋体"/>
          <w:spacing w:val="10"/>
          <w:sz w:val="27"/>
          <w:szCs w:val="27"/>
        </w:rPr>
        <w:t>标识了本</w:t>
      </w:r>
      <w:r>
        <w:rPr>
          <w:rFonts w:ascii="宋体" w:hAnsi="宋体" w:eastAsia="宋体" w:cs="宋体"/>
          <w:sz w:val="27"/>
          <w:szCs w:val="27"/>
        </w:rPr>
        <w:t xml:space="preserve"> </w:t>
      </w:r>
      <w:r>
        <w:rPr>
          <w:rFonts w:ascii="宋体" w:hAnsi="宋体" w:eastAsia="宋体" w:cs="宋体"/>
          <w:spacing w:val="-3"/>
          <w:sz w:val="27"/>
          <w:szCs w:val="27"/>
        </w:rPr>
        <w:t>文档中所要考虑的主题)。如果《数据库设计说明》中给出部分或全部该类信息，</w:t>
      </w:r>
      <w:r>
        <w:rPr>
          <w:rFonts w:ascii="宋体" w:hAnsi="宋体" w:eastAsia="宋体" w:cs="宋体"/>
          <w:spacing w:val="7"/>
          <w:sz w:val="27"/>
          <w:szCs w:val="27"/>
        </w:rPr>
        <w:t xml:space="preserve"> </w:t>
      </w:r>
      <w:r>
        <w:rPr>
          <w:rFonts w:ascii="宋体" w:hAnsi="宋体" w:eastAsia="宋体" w:cs="宋体"/>
          <w:sz w:val="27"/>
          <w:szCs w:val="27"/>
        </w:rPr>
        <w:t>在此可以引用。</w:t>
      </w:r>
    </w:p>
    <w:p w14:paraId="28DB2896">
      <w:pPr>
        <w:spacing w:before="65" w:line="212" w:lineRule="auto"/>
        <w:ind w:left="570"/>
        <w:rPr>
          <w:rFonts w:ascii="宋体" w:hAnsi="宋体" w:eastAsia="宋体" w:cs="宋体"/>
          <w:sz w:val="27"/>
          <w:szCs w:val="27"/>
        </w:rPr>
      </w:pPr>
      <w:r>
        <w:rPr>
          <w:rFonts w:ascii="Times New Roman" w:hAnsi="Times New Roman" w:eastAsia="Times New Roman" w:cs="Times New Roman"/>
          <w:spacing w:val="4"/>
          <w:sz w:val="27"/>
          <w:szCs w:val="27"/>
        </w:rPr>
        <w:t>d)</w:t>
      </w:r>
      <w:r>
        <w:rPr>
          <w:rFonts w:ascii="Times New Roman" w:hAnsi="Times New Roman" w:eastAsia="Times New Roman" w:cs="Times New Roman"/>
          <w:spacing w:val="67"/>
          <w:sz w:val="27"/>
          <w:szCs w:val="27"/>
        </w:rPr>
        <w:t xml:space="preserve"> </w:t>
      </w:r>
      <w:r>
        <w:rPr>
          <w:rFonts w:ascii="宋体" w:hAnsi="宋体" w:eastAsia="宋体" w:cs="宋体"/>
          <w:spacing w:val="4"/>
          <w:sz w:val="27"/>
          <w:szCs w:val="27"/>
        </w:rPr>
        <w:t>为满足安全性和保密性需求所选用的方法。</w:t>
      </w:r>
    </w:p>
    <w:p w14:paraId="2BF842A8">
      <w:pPr>
        <w:spacing w:before="100" w:line="254" w:lineRule="auto"/>
        <w:ind w:right="125" w:firstLine="570"/>
        <w:rPr>
          <w:rFonts w:ascii="宋体" w:hAnsi="宋体" w:eastAsia="宋体" w:cs="宋体"/>
          <w:sz w:val="27"/>
          <w:szCs w:val="27"/>
        </w:rPr>
      </w:pPr>
      <w:r>
        <w:rPr>
          <w:rFonts w:ascii="Times New Roman" w:hAnsi="Times New Roman" w:eastAsia="Times New Roman" w:cs="Times New Roman"/>
          <w:spacing w:val="-12"/>
          <w:sz w:val="27"/>
          <w:szCs w:val="27"/>
        </w:rPr>
        <w:t xml:space="preserve">e)  </w:t>
      </w:r>
      <w:r>
        <w:rPr>
          <w:rFonts w:ascii="宋体" w:hAnsi="宋体" w:eastAsia="宋体" w:cs="宋体"/>
          <w:spacing w:val="-12"/>
          <w:sz w:val="27"/>
          <w:szCs w:val="27"/>
        </w:rPr>
        <w:t>硬件或硬软件系统的设计和构造选择，如物理尺寸、颜色、形状、重</w:t>
      </w:r>
      <w:r>
        <w:rPr>
          <w:rFonts w:ascii="宋体" w:hAnsi="宋体" w:eastAsia="宋体" w:cs="宋体"/>
          <w:spacing w:val="-13"/>
          <w:sz w:val="27"/>
          <w:szCs w:val="27"/>
        </w:rPr>
        <w:t>量、材</w:t>
      </w:r>
      <w:r>
        <w:rPr>
          <w:rFonts w:ascii="宋体" w:hAnsi="宋体" w:eastAsia="宋体" w:cs="宋体"/>
          <w:sz w:val="27"/>
          <w:szCs w:val="27"/>
        </w:rPr>
        <w:t xml:space="preserve"> </w:t>
      </w:r>
      <w:r>
        <w:rPr>
          <w:rFonts w:ascii="宋体" w:hAnsi="宋体" w:eastAsia="宋体" w:cs="宋体"/>
          <w:spacing w:val="-1"/>
          <w:sz w:val="27"/>
          <w:szCs w:val="27"/>
        </w:rPr>
        <w:t>料和标志。</w:t>
      </w:r>
    </w:p>
    <w:p w14:paraId="58E750EC">
      <w:pPr>
        <w:spacing w:before="78" w:line="257" w:lineRule="auto"/>
        <w:ind w:firstLine="570"/>
        <w:rPr>
          <w:rFonts w:ascii="宋体" w:hAnsi="宋体" w:eastAsia="宋体" w:cs="宋体"/>
          <w:sz w:val="27"/>
          <w:szCs w:val="27"/>
        </w:rPr>
      </w:pPr>
      <w:r>
        <w:rPr>
          <w:rFonts w:ascii="Times New Roman" w:hAnsi="Times New Roman" w:eastAsia="Times New Roman" w:cs="Times New Roman"/>
          <w:spacing w:val="8"/>
          <w:sz w:val="27"/>
          <w:szCs w:val="27"/>
        </w:rPr>
        <w:t>f)</w:t>
      </w:r>
      <w:r>
        <w:rPr>
          <w:rFonts w:ascii="Times New Roman" w:hAnsi="Times New Roman" w:eastAsia="Times New Roman" w:cs="Times New Roman"/>
          <w:spacing w:val="53"/>
          <w:sz w:val="27"/>
          <w:szCs w:val="27"/>
        </w:rPr>
        <w:t xml:space="preserve"> </w:t>
      </w:r>
      <w:r>
        <w:rPr>
          <w:rFonts w:ascii="宋体" w:hAnsi="宋体" w:eastAsia="宋体" w:cs="宋体"/>
          <w:spacing w:val="8"/>
          <w:sz w:val="27"/>
          <w:szCs w:val="27"/>
        </w:rPr>
        <w:t>为了响应需求而作出的其他系统级设计决策，如为提供所需的灵活性、</w:t>
      </w:r>
      <w:r>
        <w:rPr>
          <w:rFonts w:ascii="宋体" w:hAnsi="宋体" w:eastAsia="宋体" w:cs="宋体"/>
          <w:sz w:val="27"/>
          <w:szCs w:val="27"/>
        </w:rPr>
        <w:t xml:space="preserve"> </w:t>
      </w:r>
      <w:r>
        <w:rPr>
          <w:rFonts w:ascii="宋体" w:hAnsi="宋体" w:eastAsia="宋体" w:cs="宋体"/>
          <w:spacing w:val="2"/>
          <w:sz w:val="27"/>
          <w:szCs w:val="27"/>
        </w:rPr>
        <w:t>可用性和可维护性而选择的方法。</w:t>
      </w:r>
    </w:p>
    <w:p w14:paraId="16700147">
      <w:pPr>
        <w:pStyle w:val="2"/>
        <w:spacing w:before="82" w:line="221" w:lineRule="auto"/>
        <w:rPr>
          <w:rFonts w:ascii="黑体" w:hAnsi="黑体" w:eastAsia="黑体" w:cs="黑体"/>
          <w:sz w:val="27"/>
          <w:szCs w:val="27"/>
        </w:rPr>
      </w:pPr>
      <w:r>
        <w:rPr>
          <w:b/>
          <w:bCs/>
          <w:spacing w:val="-1"/>
          <w:sz w:val="27"/>
          <w:szCs w:val="27"/>
        </w:rPr>
        <w:t>4</w:t>
      </w:r>
      <w:r>
        <w:rPr>
          <w:b/>
          <w:bCs/>
          <w:spacing w:val="8"/>
          <w:sz w:val="27"/>
          <w:szCs w:val="27"/>
        </w:rPr>
        <w:t xml:space="preserve">    </w:t>
      </w:r>
      <w:r>
        <w:rPr>
          <w:rFonts w:ascii="黑体" w:hAnsi="黑体" w:eastAsia="黑体" w:cs="黑体"/>
          <w:b/>
          <w:bCs/>
          <w:spacing w:val="-1"/>
          <w:sz w:val="27"/>
          <w:szCs w:val="27"/>
        </w:rPr>
        <w:t>系统体系结构设计</w:t>
      </w:r>
    </w:p>
    <w:p w14:paraId="5902820C">
      <w:pPr>
        <w:spacing w:before="62" w:line="270" w:lineRule="auto"/>
        <w:ind w:right="135" w:firstLine="570"/>
        <w:jc w:val="both"/>
        <w:rPr>
          <w:rFonts w:ascii="楷体" w:hAnsi="楷体" w:eastAsia="楷体" w:cs="楷体"/>
          <w:sz w:val="28"/>
          <w:szCs w:val="28"/>
        </w:rPr>
      </w:pPr>
      <w:r>
        <w:rPr>
          <w:rFonts w:ascii="楷体" w:hAnsi="楷体" w:eastAsia="楷体" w:cs="楷体"/>
          <w:spacing w:val="-11"/>
          <w:sz w:val="28"/>
          <w:szCs w:val="28"/>
        </w:rPr>
        <w:t>注：为简明起见，本章的描述是按照“系统是由硬件配置项(</w:t>
      </w:r>
      <w:r>
        <w:rPr>
          <w:rFonts w:ascii="楷体" w:hAnsi="楷体" w:eastAsia="楷体" w:cs="楷体"/>
          <w:spacing w:val="-58"/>
          <w:sz w:val="28"/>
          <w:szCs w:val="28"/>
        </w:rPr>
        <w:t xml:space="preserve"> </w:t>
      </w:r>
      <w:r>
        <w:rPr>
          <w:rFonts w:ascii="Times New Roman" w:hAnsi="Times New Roman" w:eastAsia="Times New Roman" w:cs="Times New Roman"/>
          <w:spacing w:val="-11"/>
          <w:sz w:val="28"/>
          <w:szCs w:val="28"/>
        </w:rPr>
        <w:t>HWCI)</w:t>
      </w:r>
      <w:r>
        <w:rPr>
          <w:rFonts w:ascii="宋体" w:hAnsi="宋体" w:eastAsia="宋体" w:cs="宋体"/>
          <w:spacing w:val="-11"/>
          <w:sz w:val="28"/>
          <w:szCs w:val="28"/>
        </w:rPr>
        <w:t>、</w:t>
      </w:r>
      <w:r>
        <w:rPr>
          <w:rFonts w:ascii="楷体" w:hAnsi="楷体" w:eastAsia="楷体" w:cs="楷体"/>
          <w:spacing w:val="-11"/>
          <w:sz w:val="28"/>
          <w:szCs w:val="28"/>
        </w:rPr>
        <w:t>计算</w:t>
      </w:r>
      <w:r>
        <w:rPr>
          <w:rFonts w:ascii="楷体" w:hAnsi="楷体" w:eastAsia="楷体" w:cs="楷体"/>
          <w:sz w:val="28"/>
          <w:szCs w:val="28"/>
        </w:rPr>
        <w:t xml:space="preserve"> </w:t>
      </w:r>
      <w:r>
        <w:rPr>
          <w:rFonts w:ascii="楷体" w:hAnsi="楷体" w:eastAsia="楷体" w:cs="楷体"/>
          <w:spacing w:val="-14"/>
          <w:sz w:val="28"/>
          <w:szCs w:val="28"/>
        </w:rPr>
        <w:t>机软件配置项(</w:t>
      </w:r>
      <w:r>
        <w:rPr>
          <w:rFonts w:ascii="楷体" w:hAnsi="楷体" w:eastAsia="楷体" w:cs="楷体"/>
          <w:spacing w:val="-56"/>
          <w:sz w:val="28"/>
          <w:szCs w:val="28"/>
        </w:rPr>
        <w:t xml:space="preserve"> </w:t>
      </w:r>
      <w:r>
        <w:rPr>
          <w:rFonts w:ascii="Times New Roman" w:hAnsi="Times New Roman" w:eastAsia="Times New Roman" w:cs="Times New Roman"/>
          <w:spacing w:val="-14"/>
          <w:sz w:val="28"/>
          <w:szCs w:val="28"/>
        </w:rPr>
        <w:t>CSCI)</w:t>
      </w:r>
      <w:r>
        <w:rPr>
          <w:rFonts w:ascii="宋体" w:hAnsi="宋体" w:eastAsia="宋体" w:cs="宋体"/>
          <w:spacing w:val="-14"/>
          <w:sz w:val="28"/>
          <w:szCs w:val="28"/>
        </w:rPr>
        <w:t>、</w:t>
      </w:r>
      <w:r>
        <w:rPr>
          <w:rFonts w:ascii="楷体" w:hAnsi="楷体" w:eastAsia="楷体" w:cs="楷体"/>
          <w:spacing w:val="-14"/>
          <w:sz w:val="28"/>
          <w:szCs w:val="28"/>
        </w:rPr>
        <w:t>手工操作所组成”进行的，对于“系统由子系统组成，子</w:t>
      </w:r>
      <w:r>
        <w:rPr>
          <w:rFonts w:ascii="楷体" w:hAnsi="楷体" w:eastAsia="楷体" w:cs="楷体"/>
          <w:sz w:val="28"/>
          <w:szCs w:val="28"/>
        </w:rPr>
        <w:t xml:space="preserve"> </w:t>
      </w:r>
      <w:r>
        <w:rPr>
          <w:rFonts w:ascii="楷体" w:hAnsi="楷体" w:eastAsia="楷体" w:cs="楷体"/>
          <w:spacing w:val="-1"/>
          <w:sz w:val="28"/>
          <w:szCs w:val="28"/>
        </w:rPr>
        <w:t>系统由</w:t>
      </w:r>
      <w:r>
        <w:rPr>
          <w:rFonts w:ascii="楷体" w:hAnsi="楷体" w:eastAsia="楷体" w:cs="楷体"/>
          <w:spacing w:val="-35"/>
          <w:sz w:val="28"/>
          <w:szCs w:val="28"/>
        </w:rPr>
        <w:t xml:space="preserve"> </w:t>
      </w:r>
      <w:r>
        <w:rPr>
          <w:rFonts w:ascii="Times New Roman" w:hAnsi="Times New Roman" w:eastAsia="Times New Roman" w:cs="Times New Roman"/>
          <w:spacing w:val="-1"/>
          <w:sz w:val="28"/>
          <w:szCs w:val="28"/>
        </w:rPr>
        <w:t>HWCI</w:t>
      </w:r>
      <w:r>
        <w:rPr>
          <w:rFonts w:ascii="Times New Roman" w:hAnsi="Times New Roman" w:eastAsia="Times New Roman" w:cs="Times New Roman"/>
          <w:spacing w:val="-41"/>
          <w:sz w:val="28"/>
          <w:szCs w:val="28"/>
        </w:rPr>
        <w:t xml:space="preserve"> </w:t>
      </w:r>
      <w:r>
        <w:rPr>
          <w:rFonts w:ascii="宋体" w:hAnsi="宋体" w:eastAsia="宋体" w:cs="宋体"/>
          <w:spacing w:val="-1"/>
          <w:sz w:val="28"/>
          <w:szCs w:val="28"/>
        </w:rPr>
        <w:t>、</w:t>
      </w:r>
      <w:r>
        <w:rPr>
          <w:rFonts w:ascii="Times New Roman" w:hAnsi="Times New Roman" w:eastAsia="Times New Roman" w:cs="Times New Roman"/>
          <w:spacing w:val="-1"/>
          <w:sz w:val="28"/>
          <w:szCs w:val="28"/>
        </w:rPr>
        <w:t>CSCI</w:t>
      </w:r>
      <w:r>
        <w:rPr>
          <w:rFonts w:ascii="宋体" w:hAnsi="宋体" w:eastAsia="宋体" w:cs="宋体"/>
          <w:spacing w:val="-1"/>
          <w:sz w:val="28"/>
          <w:szCs w:val="28"/>
        </w:rPr>
        <w:t>、</w:t>
      </w:r>
      <w:r>
        <w:rPr>
          <w:rFonts w:ascii="楷体" w:hAnsi="楷体" w:eastAsia="楷体" w:cs="楷体"/>
          <w:spacing w:val="-1"/>
          <w:sz w:val="28"/>
          <w:szCs w:val="28"/>
        </w:rPr>
        <w:t>手工操作组成，或其他适当变化”的情况宜加以适当</w:t>
      </w:r>
      <w:r>
        <w:rPr>
          <w:rFonts w:ascii="楷体" w:hAnsi="楷体" w:eastAsia="楷体" w:cs="楷体"/>
          <w:sz w:val="28"/>
          <w:szCs w:val="28"/>
        </w:rPr>
        <w:t xml:space="preserve"> </w:t>
      </w:r>
      <w:r>
        <w:rPr>
          <w:rFonts w:ascii="楷体" w:hAnsi="楷体" w:eastAsia="楷体" w:cs="楷体"/>
          <w:spacing w:val="-5"/>
          <w:sz w:val="28"/>
          <w:szCs w:val="28"/>
        </w:rPr>
        <w:t>解释。</w:t>
      </w:r>
    </w:p>
    <w:p w14:paraId="40210A18">
      <w:pPr>
        <w:spacing w:line="270" w:lineRule="auto"/>
        <w:rPr>
          <w:rFonts w:ascii="楷体" w:hAnsi="楷体" w:eastAsia="楷体" w:cs="楷体"/>
          <w:sz w:val="28"/>
          <w:szCs w:val="28"/>
        </w:rPr>
        <w:sectPr>
          <w:footerReference r:id="rId200" w:type="default"/>
          <w:pgSz w:w="11910" w:h="17130"/>
          <w:pgMar w:top="400" w:right="1345" w:bottom="1700" w:left="1059" w:header="0" w:footer="1492" w:gutter="0"/>
          <w:cols w:space="720" w:num="1"/>
        </w:sectPr>
      </w:pPr>
    </w:p>
    <w:p w14:paraId="3493C2B6">
      <w:pPr>
        <w:pStyle w:val="2"/>
        <w:spacing w:line="293" w:lineRule="auto"/>
      </w:pPr>
    </w:p>
    <w:p w14:paraId="582A418D">
      <w:pPr>
        <w:pStyle w:val="2"/>
        <w:spacing w:line="293" w:lineRule="auto"/>
      </w:pPr>
    </w:p>
    <w:p w14:paraId="6CE75A61">
      <w:pPr>
        <w:pStyle w:val="2"/>
        <w:spacing w:line="293" w:lineRule="auto"/>
      </w:pPr>
    </w:p>
    <w:p w14:paraId="5A599AF1">
      <w:pPr>
        <w:pStyle w:val="2"/>
        <w:spacing w:line="294" w:lineRule="auto"/>
      </w:pPr>
    </w:p>
    <w:p w14:paraId="1EA4CE62">
      <w:pPr>
        <w:spacing w:before="88" w:line="221" w:lineRule="auto"/>
        <w:rPr>
          <w:rFonts w:ascii="黑体" w:hAnsi="黑体" w:eastAsia="黑体" w:cs="黑体"/>
          <w:sz w:val="27"/>
          <w:szCs w:val="27"/>
        </w:rPr>
      </w:pPr>
      <w:r>
        <w:rPr>
          <w:rFonts w:ascii="黑体" w:hAnsi="黑体" w:eastAsia="黑体" w:cs="黑体"/>
          <w:spacing w:val="-2"/>
          <w:sz w:val="27"/>
          <w:szCs w:val="27"/>
        </w:rPr>
        <w:t>4.1</w:t>
      </w:r>
      <w:r>
        <w:rPr>
          <w:rFonts w:ascii="黑体" w:hAnsi="黑体" w:eastAsia="黑体" w:cs="黑体"/>
          <w:spacing w:val="35"/>
          <w:sz w:val="27"/>
          <w:szCs w:val="27"/>
        </w:rPr>
        <w:t xml:space="preserve">  </w:t>
      </w:r>
      <w:r>
        <w:rPr>
          <w:rFonts w:ascii="黑体" w:hAnsi="黑体" w:eastAsia="黑体" w:cs="黑体"/>
          <w:spacing w:val="-2"/>
          <w:sz w:val="27"/>
          <w:szCs w:val="27"/>
        </w:rPr>
        <w:t>系统部件</w:t>
      </w:r>
    </w:p>
    <w:p w14:paraId="0E858E8D">
      <w:pPr>
        <w:spacing w:before="107" w:line="219" w:lineRule="auto"/>
        <w:ind w:left="560"/>
        <w:rPr>
          <w:rFonts w:ascii="宋体" w:hAnsi="宋体" w:eastAsia="宋体" w:cs="宋体"/>
          <w:sz w:val="27"/>
          <w:szCs w:val="27"/>
        </w:rPr>
      </w:pPr>
      <w:r>
        <w:rPr>
          <w:rFonts w:ascii="宋体" w:hAnsi="宋体" w:eastAsia="宋体" w:cs="宋体"/>
          <w:spacing w:val="-1"/>
          <w:sz w:val="27"/>
          <w:szCs w:val="27"/>
        </w:rPr>
        <w:t>本条应：</w:t>
      </w:r>
    </w:p>
    <w:p w14:paraId="01E3D571">
      <w:pPr>
        <w:spacing w:before="11" w:line="294" w:lineRule="auto"/>
        <w:ind w:right="120" w:firstLine="560"/>
        <w:rPr>
          <w:rFonts w:ascii="宋体" w:hAnsi="宋体" w:eastAsia="宋体" w:cs="宋体"/>
          <w:sz w:val="27"/>
          <w:szCs w:val="27"/>
        </w:rPr>
      </w:pPr>
      <w:r>
        <w:rPr>
          <w:rFonts w:ascii="Times New Roman" w:hAnsi="Times New Roman" w:eastAsia="Times New Roman" w:cs="Times New Roman"/>
          <w:spacing w:val="7"/>
          <w:sz w:val="27"/>
          <w:szCs w:val="27"/>
        </w:rPr>
        <w:t xml:space="preserve">a)  </w:t>
      </w:r>
      <w:r>
        <w:rPr>
          <w:rFonts w:ascii="宋体" w:hAnsi="宋体" w:eastAsia="宋体" w:cs="宋体"/>
          <w:spacing w:val="7"/>
          <w:sz w:val="27"/>
          <w:szCs w:val="27"/>
        </w:rPr>
        <w:t>标识所有系统部件(硬件配置项、软件配置项和手工操</w:t>
      </w:r>
      <w:r>
        <w:rPr>
          <w:rFonts w:ascii="宋体" w:hAnsi="宋体" w:eastAsia="宋体" w:cs="宋体"/>
          <w:spacing w:val="6"/>
          <w:sz w:val="27"/>
          <w:szCs w:val="27"/>
        </w:rPr>
        <w:t>作),并为每个部</w:t>
      </w:r>
      <w:r>
        <w:rPr>
          <w:rFonts w:ascii="宋体" w:hAnsi="宋体" w:eastAsia="宋体" w:cs="宋体"/>
          <w:sz w:val="27"/>
          <w:szCs w:val="27"/>
        </w:rPr>
        <w:t xml:space="preserve"> </w:t>
      </w:r>
      <w:r>
        <w:rPr>
          <w:rFonts w:ascii="宋体" w:hAnsi="宋体" w:eastAsia="宋体" w:cs="宋体"/>
          <w:spacing w:val="2"/>
          <w:sz w:val="27"/>
          <w:szCs w:val="27"/>
        </w:rPr>
        <w:t>件指定一个项目唯一的标识符。</w:t>
      </w:r>
    </w:p>
    <w:p w14:paraId="069A7EF7">
      <w:pPr>
        <w:spacing w:before="1" w:line="220" w:lineRule="auto"/>
        <w:ind w:left="560"/>
        <w:rPr>
          <w:rFonts w:ascii="楷体" w:hAnsi="楷体" w:eastAsia="楷体" w:cs="楷体"/>
          <w:sz w:val="27"/>
          <w:szCs w:val="27"/>
        </w:rPr>
      </w:pPr>
      <w:r>
        <w:rPr>
          <w:rFonts w:ascii="楷体" w:hAnsi="楷体" w:eastAsia="楷体" w:cs="楷体"/>
          <w:spacing w:val="-5"/>
          <w:sz w:val="27"/>
          <w:szCs w:val="27"/>
        </w:rPr>
        <w:t>注：数据库可作为一个</w:t>
      </w:r>
      <w:r>
        <w:rPr>
          <w:rFonts w:ascii="楷体" w:hAnsi="楷体" w:eastAsia="楷体" w:cs="楷体"/>
          <w:spacing w:val="-71"/>
          <w:sz w:val="27"/>
          <w:szCs w:val="27"/>
        </w:rPr>
        <w:t xml:space="preserve"> </w:t>
      </w:r>
      <w:r>
        <w:rPr>
          <w:rFonts w:ascii="Times New Roman" w:hAnsi="Times New Roman" w:eastAsia="Times New Roman" w:cs="Times New Roman"/>
          <w:spacing w:val="-5"/>
          <w:sz w:val="27"/>
          <w:szCs w:val="27"/>
        </w:rPr>
        <w:t>CSCI</w:t>
      </w:r>
      <w:r>
        <w:rPr>
          <w:rFonts w:ascii="Times New Roman" w:hAnsi="Times New Roman" w:eastAsia="Times New Roman" w:cs="Times New Roman"/>
          <w:spacing w:val="53"/>
          <w:sz w:val="27"/>
          <w:szCs w:val="27"/>
        </w:rPr>
        <w:t xml:space="preserve"> </w:t>
      </w:r>
      <w:r>
        <w:rPr>
          <w:rFonts w:ascii="楷体" w:hAnsi="楷体" w:eastAsia="楷体" w:cs="楷体"/>
          <w:spacing w:val="-5"/>
          <w:sz w:val="27"/>
          <w:szCs w:val="27"/>
        </w:rPr>
        <w:t>或</w:t>
      </w:r>
      <w:r>
        <w:rPr>
          <w:rFonts w:ascii="楷体" w:hAnsi="楷体" w:eastAsia="楷体" w:cs="楷体"/>
          <w:spacing w:val="-77"/>
          <w:sz w:val="27"/>
          <w:szCs w:val="27"/>
        </w:rPr>
        <w:t xml:space="preserve"> </w:t>
      </w:r>
      <w:r>
        <w:rPr>
          <w:rFonts w:ascii="Times New Roman" w:hAnsi="Times New Roman" w:eastAsia="Times New Roman" w:cs="Times New Roman"/>
          <w:spacing w:val="-5"/>
          <w:sz w:val="27"/>
          <w:szCs w:val="27"/>
        </w:rPr>
        <w:t>CSCI</w:t>
      </w:r>
      <w:r>
        <w:rPr>
          <w:rFonts w:ascii="Times New Roman" w:hAnsi="Times New Roman" w:eastAsia="Times New Roman" w:cs="Times New Roman"/>
          <w:spacing w:val="53"/>
          <w:sz w:val="27"/>
          <w:szCs w:val="27"/>
        </w:rPr>
        <w:t xml:space="preserve"> </w:t>
      </w:r>
      <w:r>
        <w:rPr>
          <w:rFonts w:ascii="楷体" w:hAnsi="楷体" w:eastAsia="楷体" w:cs="楷体"/>
          <w:spacing w:val="-5"/>
          <w:sz w:val="27"/>
          <w:szCs w:val="27"/>
        </w:rPr>
        <w:t>的一部分进行处理。</w:t>
      </w:r>
    </w:p>
    <w:p w14:paraId="1F4E32AE">
      <w:pPr>
        <w:spacing w:before="58" w:line="289" w:lineRule="auto"/>
        <w:ind w:right="123" w:firstLine="560"/>
        <w:rPr>
          <w:rFonts w:ascii="仿宋" w:hAnsi="仿宋" w:eastAsia="仿宋" w:cs="仿宋"/>
          <w:sz w:val="25"/>
          <w:szCs w:val="25"/>
        </w:rPr>
      </w:pPr>
      <w:r>
        <w:rPr>
          <w:rFonts w:ascii="Times New Roman" w:hAnsi="Times New Roman" w:eastAsia="Times New Roman" w:cs="Times New Roman"/>
          <w:spacing w:val="21"/>
          <w:sz w:val="25"/>
          <w:szCs w:val="25"/>
        </w:rPr>
        <w:t xml:space="preserve">b)  </w:t>
      </w:r>
      <w:r>
        <w:rPr>
          <w:rFonts w:ascii="宋体" w:hAnsi="宋体" w:eastAsia="宋体" w:cs="宋体"/>
          <w:spacing w:val="21"/>
          <w:sz w:val="25"/>
          <w:szCs w:val="25"/>
        </w:rPr>
        <w:t>说明部件之间的静态关系。根据所选择的设计方法学，可能会给出多重</w:t>
      </w:r>
      <w:r>
        <w:rPr>
          <w:rFonts w:ascii="宋体" w:hAnsi="宋体" w:eastAsia="宋体" w:cs="宋体"/>
          <w:spacing w:val="2"/>
          <w:sz w:val="25"/>
          <w:szCs w:val="25"/>
        </w:rPr>
        <w:t xml:space="preserve"> </w:t>
      </w:r>
      <w:r>
        <w:rPr>
          <w:rFonts w:ascii="宋体" w:hAnsi="宋体" w:eastAsia="宋体" w:cs="宋体"/>
          <w:spacing w:val="4"/>
          <w:sz w:val="25"/>
          <w:szCs w:val="25"/>
        </w:rPr>
        <w:t>关</w:t>
      </w:r>
      <w:r>
        <w:rPr>
          <w:rFonts w:ascii="仿宋" w:hAnsi="仿宋" w:eastAsia="仿宋" w:cs="仿宋"/>
          <w:spacing w:val="4"/>
          <w:sz w:val="25"/>
          <w:szCs w:val="25"/>
        </w:rPr>
        <w:t>系</w:t>
      </w:r>
      <w:r>
        <w:rPr>
          <w:rFonts w:ascii="仿宋" w:hAnsi="仿宋" w:eastAsia="仿宋" w:cs="仿宋"/>
          <w:spacing w:val="-60"/>
          <w:sz w:val="25"/>
          <w:szCs w:val="25"/>
        </w:rPr>
        <w:t xml:space="preserve"> </w:t>
      </w:r>
      <w:r>
        <w:rPr>
          <w:rFonts w:ascii="仿宋" w:hAnsi="仿宋" w:eastAsia="仿宋" w:cs="仿宋"/>
          <w:spacing w:val="4"/>
          <w:sz w:val="25"/>
          <w:szCs w:val="25"/>
        </w:rPr>
        <w:t>。</w:t>
      </w:r>
    </w:p>
    <w:p w14:paraId="47D0D900">
      <w:pPr>
        <w:spacing w:before="43"/>
        <w:ind w:right="123" w:firstLine="560"/>
        <w:rPr>
          <w:rFonts w:ascii="宋体" w:hAnsi="宋体" w:eastAsia="宋体" w:cs="宋体"/>
          <w:sz w:val="27"/>
          <w:szCs w:val="27"/>
        </w:rPr>
      </w:pPr>
      <w:r>
        <w:rPr>
          <w:rFonts w:ascii="Times New Roman" w:hAnsi="Times New Roman" w:eastAsia="Times New Roman" w:cs="Times New Roman"/>
          <w:spacing w:val="5"/>
          <w:sz w:val="27"/>
          <w:szCs w:val="27"/>
        </w:rPr>
        <w:t>c</w:t>
      </w:r>
      <w:r>
        <w:rPr>
          <w:rFonts w:ascii="Times New Roman" w:hAnsi="Times New Roman" w:eastAsia="Times New Roman" w:cs="Times New Roman"/>
          <w:spacing w:val="-28"/>
          <w:sz w:val="27"/>
          <w:szCs w:val="27"/>
        </w:rPr>
        <w:t xml:space="preserve"> </w:t>
      </w:r>
      <w:r>
        <w:rPr>
          <w:rFonts w:ascii="宋体" w:hAnsi="宋体" w:eastAsia="宋体" w:cs="宋体"/>
          <w:spacing w:val="5"/>
          <w:sz w:val="27"/>
          <w:szCs w:val="27"/>
        </w:rPr>
        <w:t>)陈述每个部件的用途，并标识分配给部件的系统需</w:t>
      </w:r>
      <w:r>
        <w:rPr>
          <w:rFonts w:ascii="宋体" w:hAnsi="宋体" w:eastAsia="宋体" w:cs="宋体"/>
          <w:spacing w:val="4"/>
          <w:sz w:val="27"/>
          <w:szCs w:val="27"/>
        </w:rPr>
        <w:t>求和系统级设计决策</w:t>
      </w:r>
      <w:r>
        <w:rPr>
          <w:rFonts w:ascii="宋体" w:hAnsi="宋体" w:eastAsia="宋体" w:cs="宋体"/>
          <w:sz w:val="27"/>
          <w:szCs w:val="27"/>
        </w:rPr>
        <w:t xml:space="preserve"> </w:t>
      </w:r>
      <w:r>
        <w:rPr>
          <w:rFonts w:ascii="宋体" w:hAnsi="宋体" w:eastAsia="宋体" w:cs="宋体"/>
          <w:spacing w:val="-2"/>
          <w:sz w:val="27"/>
          <w:szCs w:val="27"/>
        </w:rPr>
        <w:t>(作为一种变通，可在5</w:t>
      </w:r>
      <w:r>
        <w:rPr>
          <w:rFonts w:ascii="Times New Roman" w:hAnsi="Times New Roman" w:eastAsia="Times New Roman" w:cs="Times New Roman"/>
          <w:spacing w:val="-2"/>
          <w:sz w:val="27"/>
          <w:szCs w:val="27"/>
        </w:rPr>
        <w:t>a)</w:t>
      </w:r>
      <w:r>
        <w:rPr>
          <w:rFonts w:ascii="Times New Roman" w:hAnsi="Times New Roman" w:eastAsia="Times New Roman" w:cs="Times New Roman"/>
          <w:spacing w:val="37"/>
          <w:w w:val="101"/>
          <w:sz w:val="27"/>
          <w:szCs w:val="27"/>
        </w:rPr>
        <w:t xml:space="preserve"> </w:t>
      </w:r>
      <w:r>
        <w:rPr>
          <w:rFonts w:ascii="宋体" w:hAnsi="宋体" w:eastAsia="宋体" w:cs="宋体"/>
          <w:spacing w:val="-2"/>
          <w:sz w:val="27"/>
          <w:szCs w:val="27"/>
        </w:rPr>
        <w:t>中给出需求的分配)。</w:t>
      </w:r>
    </w:p>
    <w:p w14:paraId="5D5A7430">
      <w:pPr>
        <w:spacing w:before="109" w:line="265" w:lineRule="auto"/>
        <w:ind w:right="120" w:firstLine="560"/>
        <w:rPr>
          <w:rFonts w:ascii="宋体" w:hAnsi="宋体" w:eastAsia="宋体" w:cs="宋体"/>
          <w:sz w:val="27"/>
          <w:szCs w:val="27"/>
        </w:rPr>
      </w:pPr>
      <w:r>
        <w:rPr>
          <w:rFonts w:ascii="Times New Roman" w:hAnsi="Times New Roman" w:eastAsia="Times New Roman" w:cs="Times New Roman"/>
          <w:spacing w:val="-1"/>
          <w:sz w:val="27"/>
          <w:szCs w:val="27"/>
        </w:rPr>
        <w:t xml:space="preserve">d)  </w:t>
      </w:r>
      <w:r>
        <w:rPr>
          <w:rFonts w:ascii="宋体" w:hAnsi="宋体" w:eastAsia="宋体" w:cs="宋体"/>
          <w:spacing w:val="-1"/>
          <w:sz w:val="27"/>
          <w:szCs w:val="27"/>
        </w:rPr>
        <w:t>标识已知的每个部件的开发状态/类型，如新开发的部件、</w:t>
      </w:r>
      <w:r>
        <w:rPr>
          <w:rFonts w:ascii="宋体" w:hAnsi="宋体" w:eastAsia="宋体" w:cs="宋体"/>
          <w:spacing w:val="-2"/>
          <w:sz w:val="27"/>
          <w:szCs w:val="27"/>
        </w:rPr>
        <w:t>对已有部件按</w:t>
      </w:r>
      <w:r>
        <w:rPr>
          <w:rFonts w:ascii="宋体" w:hAnsi="宋体" w:eastAsia="宋体" w:cs="宋体"/>
          <w:sz w:val="27"/>
          <w:szCs w:val="27"/>
        </w:rPr>
        <w:t xml:space="preserve"> </w:t>
      </w:r>
      <w:r>
        <w:rPr>
          <w:rFonts w:ascii="宋体" w:hAnsi="宋体" w:eastAsia="宋体" w:cs="宋体"/>
          <w:spacing w:val="-3"/>
          <w:sz w:val="27"/>
          <w:szCs w:val="27"/>
        </w:rPr>
        <w:t>原样进行重用的部件、对已有设计按原样进行重用的部件、要再工程的已有设计</w:t>
      </w:r>
      <w:r>
        <w:rPr>
          <w:rFonts w:ascii="宋体" w:hAnsi="宋体" w:eastAsia="宋体" w:cs="宋体"/>
          <w:spacing w:val="15"/>
          <w:sz w:val="27"/>
          <w:szCs w:val="27"/>
        </w:rPr>
        <w:t xml:space="preserve"> </w:t>
      </w:r>
      <w:r>
        <w:rPr>
          <w:rFonts w:ascii="宋体" w:hAnsi="宋体" w:eastAsia="宋体" w:cs="宋体"/>
          <w:spacing w:val="1"/>
          <w:sz w:val="27"/>
          <w:szCs w:val="27"/>
        </w:rPr>
        <w:t>或部件、为重用而开发的部件、计划用于第</w:t>
      </w:r>
      <w:r>
        <w:rPr>
          <w:rFonts w:ascii="Times New Roman" w:hAnsi="Times New Roman" w:eastAsia="Times New Roman" w:cs="Times New Roman"/>
          <w:spacing w:val="1"/>
          <w:sz w:val="27"/>
          <w:szCs w:val="27"/>
        </w:rPr>
        <w:t xml:space="preserve">N </w:t>
      </w:r>
      <w:r>
        <w:rPr>
          <w:rFonts w:ascii="宋体" w:hAnsi="宋体" w:eastAsia="宋体" w:cs="宋体"/>
          <w:spacing w:val="1"/>
          <w:sz w:val="27"/>
          <w:szCs w:val="27"/>
        </w:rPr>
        <w:t>构建版的部件等)。对于现有设计</w:t>
      </w:r>
      <w:r>
        <w:rPr>
          <w:rFonts w:ascii="宋体" w:hAnsi="宋体" w:eastAsia="宋体" w:cs="宋体"/>
          <w:spacing w:val="17"/>
          <w:sz w:val="27"/>
          <w:szCs w:val="27"/>
        </w:rPr>
        <w:t xml:space="preserve"> </w:t>
      </w:r>
      <w:r>
        <w:rPr>
          <w:rFonts w:ascii="宋体" w:hAnsi="宋体" w:eastAsia="宋体" w:cs="宋体"/>
          <w:spacing w:val="-14"/>
          <w:sz w:val="27"/>
          <w:szCs w:val="27"/>
        </w:rPr>
        <w:t>或部件，应给出其标识信息，如名称、版本、文档引</w:t>
      </w:r>
      <w:r>
        <w:rPr>
          <w:rFonts w:ascii="宋体" w:hAnsi="宋体" w:eastAsia="宋体" w:cs="宋体"/>
          <w:spacing w:val="-15"/>
          <w:sz w:val="27"/>
          <w:szCs w:val="27"/>
        </w:rPr>
        <w:t>用和地点等。</w:t>
      </w:r>
    </w:p>
    <w:p w14:paraId="0D242C76">
      <w:pPr>
        <w:spacing w:before="71" w:line="276" w:lineRule="auto"/>
        <w:ind w:firstLine="560"/>
        <w:rPr>
          <w:rFonts w:ascii="宋体" w:hAnsi="宋体" w:eastAsia="宋体" w:cs="宋体"/>
          <w:sz w:val="27"/>
          <w:szCs w:val="27"/>
        </w:rPr>
      </w:pPr>
      <w:r>
        <w:rPr>
          <w:rFonts w:ascii="Times New Roman" w:hAnsi="Times New Roman" w:eastAsia="Times New Roman" w:cs="Times New Roman"/>
          <w:spacing w:val="7"/>
          <w:sz w:val="27"/>
          <w:szCs w:val="27"/>
        </w:rPr>
        <w:t xml:space="preserve">e)  </w:t>
      </w:r>
      <w:r>
        <w:rPr>
          <w:rFonts w:ascii="宋体" w:hAnsi="宋体" w:eastAsia="宋体" w:cs="宋体"/>
          <w:spacing w:val="7"/>
          <w:sz w:val="27"/>
          <w:szCs w:val="27"/>
        </w:rPr>
        <w:t>对已确定用于该系统的每个计算机</w:t>
      </w:r>
      <w:r>
        <w:rPr>
          <w:rFonts w:ascii="宋体" w:hAnsi="宋体" w:eastAsia="宋体" w:cs="宋体"/>
          <w:spacing w:val="6"/>
          <w:sz w:val="27"/>
          <w:szCs w:val="27"/>
        </w:rPr>
        <w:t>系统或其他计算机硬件资源的集合，</w:t>
      </w:r>
      <w:r>
        <w:rPr>
          <w:rFonts w:ascii="宋体" w:hAnsi="宋体" w:eastAsia="宋体" w:cs="宋体"/>
          <w:sz w:val="27"/>
          <w:szCs w:val="27"/>
        </w:rPr>
        <w:t xml:space="preserve"> </w:t>
      </w:r>
      <w:r>
        <w:rPr>
          <w:rFonts w:ascii="宋体" w:hAnsi="宋体" w:eastAsia="宋体" w:cs="宋体"/>
          <w:spacing w:val="-6"/>
          <w:sz w:val="27"/>
          <w:szCs w:val="27"/>
        </w:rPr>
        <w:t>描述其计算机硬件资源(如处理器、存储器、输入/输出设备、辅存器、通信/</w:t>
      </w:r>
      <w:r>
        <w:rPr>
          <w:rFonts w:ascii="宋体" w:hAnsi="宋体" w:eastAsia="宋体" w:cs="宋体"/>
          <w:spacing w:val="-7"/>
          <w:sz w:val="27"/>
          <w:szCs w:val="27"/>
        </w:rPr>
        <w:t>网络</w:t>
      </w:r>
      <w:r>
        <w:rPr>
          <w:rFonts w:ascii="宋体" w:hAnsi="宋体" w:eastAsia="宋体" w:cs="宋体"/>
          <w:sz w:val="27"/>
          <w:szCs w:val="27"/>
        </w:rPr>
        <w:t xml:space="preserve">  </w:t>
      </w:r>
      <w:r>
        <w:rPr>
          <w:rFonts w:ascii="宋体" w:hAnsi="宋体" w:eastAsia="宋体" w:cs="宋体"/>
          <w:spacing w:val="1"/>
          <w:sz w:val="27"/>
          <w:szCs w:val="27"/>
        </w:rPr>
        <w:t>设备)。适当时，每一描述应标识出使用该资源的配置项，对使用该资源的每个</w:t>
      </w:r>
      <w:r>
        <w:rPr>
          <w:rFonts w:ascii="宋体" w:hAnsi="宋体" w:eastAsia="宋体" w:cs="宋体"/>
          <w:spacing w:val="5"/>
          <w:sz w:val="27"/>
          <w:szCs w:val="27"/>
        </w:rPr>
        <w:t xml:space="preserve">  </w:t>
      </w:r>
      <w:r>
        <w:rPr>
          <w:rFonts w:ascii="宋体" w:hAnsi="宋体" w:eastAsia="宋体" w:cs="宋体"/>
          <w:spacing w:val="17"/>
          <w:sz w:val="27"/>
          <w:szCs w:val="27"/>
        </w:rPr>
        <w:t>计算机软件配置项说明资源使用分配情况(如</w:t>
      </w:r>
      <w:r>
        <w:rPr>
          <w:rFonts w:ascii="宋体" w:hAnsi="宋体" w:eastAsia="宋体" w:cs="宋体"/>
          <w:spacing w:val="16"/>
          <w:sz w:val="27"/>
          <w:szCs w:val="27"/>
        </w:rPr>
        <w:t>给计算机软件配置项1分配20%</w:t>
      </w:r>
      <w:r>
        <w:rPr>
          <w:rFonts w:ascii="宋体" w:hAnsi="宋体" w:eastAsia="宋体" w:cs="宋体"/>
          <w:sz w:val="27"/>
          <w:szCs w:val="27"/>
        </w:rPr>
        <w:t xml:space="preserve">  </w:t>
      </w:r>
      <w:r>
        <w:rPr>
          <w:rFonts w:ascii="宋体" w:hAnsi="宋体" w:eastAsia="宋体" w:cs="宋体"/>
          <w:spacing w:val="12"/>
          <w:sz w:val="27"/>
          <w:szCs w:val="27"/>
        </w:rPr>
        <w:t>的资源，给计算机软件配置项2分配30%的资源),说明在什么条件下测量资源</w:t>
      </w:r>
      <w:r>
        <w:rPr>
          <w:rFonts w:ascii="宋体" w:hAnsi="宋体" w:eastAsia="宋体" w:cs="宋体"/>
          <w:spacing w:val="9"/>
          <w:sz w:val="27"/>
          <w:szCs w:val="27"/>
        </w:rPr>
        <w:t xml:space="preserve">  </w:t>
      </w:r>
      <w:r>
        <w:rPr>
          <w:rFonts w:ascii="宋体" w:hAnsi="宋体" w:eastAsia="宋体" w:cs="宋体"/>
          <w:spacing w:val="5"/>
          <w:sz w:val="27"/>
          <w:szCs w:val="27"/>
        </w:rPr>
        <w:t>的使用情况，说明该资源的特性。具体内容包括1)计算机处理器描述，适当时</w:t>
      </w:r>
      <w:r>
        <w:rPr>
          <w:rFonts w:ascii="宋体" w:hAnsi="宋体" w:eastAsia="宋体" w:cs="宋体"/>
          <w:spacing w:val="4"/>
          <w:sz w:val="27"/>
          <w:szCs w:val="27"/>
        </w:rPr>
        <w:t xml:space="preserve">  </w:t>
      </w:r>
      <w:r>
        <w:rPr>
          <w:rFonts w:ascii="宋体" w:hAnsi="宋体" w:eastAsia="宋体" w:cs="宋体"/>
          <w:spacing w:val="1"/>
          <w:sz w:val="27"/>
          <w:szCs w:val="27"/>
        </w:rPr>
        <w:t>应包括制造商名称和型号、处理器速度/能力、指令集体系结构、适用的编译程</w:t>
      </w:r>
      <w:r>
        <w:rPr>
          <w:rFonts w:ascii="宋体" w:hAnsi="宋体" w:eastAsia="宋体" w:cs="宋体"/>
          <w:spacing w:val="4"/>
          <w:sz w:val="27"/>
          <w:szCs w:val="27"/>
        </w:rPr>
        <w:t xml:space="preserve">  </w:t>
      </w:r>
      <w:r>
        <w:rPr>
          <w:rFonts w:ascii="宋体" w:hAnsi="宋体" w:eastAsia="宋体" w:cs="宋体"/>
          <w:spacing w:val="-3"/>
          <w:sz w:val="27"/>
          <w:szCs w:val="27"/>
        </w:rPr>
        <w:t>序、字长(每个计算机字的位数)、字符集标准(如</w:t>
      </w:r>
      <w:r>
        <w:rPr>
          <w:rFonts w:ascii="Times New Roman" w:hAnsi="Times New Roman" w:eastAsia="Times New Roman" w:cs="Times New Roman"/>
          <w:spacing w:val="-3"/>
          <w:sz w:val="27"/>
          <w:szCs w:val="27"/>
        </w:rPr>
        <w:t>ASCⅡ</w:t>
      </w:r>
      <w:r>
        <w:rPr>
          <w:rFonts w:ascii="Times New Roman" w:hAnsi="Times New Roman" w:eastAsia="Times New Roman" w:cs="Times New Roman"/>
          <w:spacing w:val="59"/>
          <w:sz w:val="27"/>
          <w:szCs w:val="27"/>
        </w:rPr>
        <w:t xml:space="preserve"> </w:t>
      </w:r>
      <w:r>
        <w:rPr>
          <w:rFonts w:ascii="宋体" w:hAnsi="宋体" w:eastAsia="宋体" w:cs="宋体"/>
          <w:spacing w:val="-3"/>
          <w:sz w:val="27"/>
          <w:szCs w:val="27"/>
        </w:rPr>
        <w:t>或</w:t>
      </w:r>
      <w:r>
        <w:rPr>
          <w:rFonts w:ascii="宋体" w:hAnsi="宋体" w:eastAsia="宋体" w:cs="宋体"/>
          <w:spacing w:val="-61"/>
          <w:sz w:val="27"/>
          <w:szCs w:val="27"/>
        </w:rPr>
        <w:t xml:space="preserve"> </w:t>
      </w:r>
      <w:r>
        <w:rPr>
          <w:rFonts w:ascii="Times New Roman" w:hAnsi="Times New Roman" w:eastAsia="Times New Roman" w:cs="Times New Roman"/>
          <w:spacing w:val="-3"/>
          <w:sz w:val="27"/>
          <w:szCs w:val="27"/>
        </w:rPr>
        <w:t>EBCDIC)</w:t>
      </w:r>
      <w:r>
        <w:rPr>
          <w:rFonts w:ascii="Times New Roman" w:hAnsi="Times New Roman" w:eastAsia="Times New Roman" w:cs="Times New Roman"/>
          <w:spacing w:val="19"/>
          <w:sz w:val="27"/>
          <w:szCs w:val="27"/>
        </w:rPr>
        <w:t xml:space="preserve"> </w:t>
      </w:r>
      <w:r>
        <w:rPr>
          <w:rFonts w:ascii="宋体" w:hAnsi="宋体" w:eastAsia="宋体" w:cs="宋体"/>
          <w:spacing w:val="-3"/>
          <w:sz w:val="27"/>
          <w:szCs w:val="27"/>
        </w:rPr>
        <w:t>和中断能力</w:t>
      </w:r>
      <w:r>
        <w:rPr>
          <w:rFonts w:ascii="宋体" w:hAnsi="宋体" w:eastAsia="宋体" w:cs="宋体"/>
          <w:sz w:val="27"/>
          <w:szCs w:val="27"/>
        </w:rPr>
        <w:t xml:space="preserve">  </w:t>
      </w:r>
      <w:r>
        <w:rPr>
          <w:rFonts w:ascii="宋体" w:hAnsi="宋体" w:eastAsia="宋体" w:cs="宋体"/>
          <w:spacing w:val="-9"/>
          <w:sz w:val="27"/>
          <w:szCs w:val="27"/>
        </w:rPr>
        <w:t>等；2)存储器描述，适当时应包括制造商名</w:t>
      </w:r>
      <w:r>
        <w:rPr>
          <w:rFonts w:ascii="宋体" w:hAnsi="宋体" w:eastAsia="宋体" w:cs="宋体"/>
          <w:spacing w:val="-10"/>
          <w:sz w:val="27"/>
          <w:szCs w:val="27"/>
        </w:rPr>
        <w:t>称和型号、存储器大小、类型、速度和</w:t>
      </w:r>
      <w:r>
        <w:rPr>
          <w:rFonts w:ascii="宋体" w:hAnsi="宋体" w:eastAsia="宋体" w:cs="宋体"/>
          <w:sz w:val="27"/>
          <w:szCs w:val="27"/>
        </w:rPr>
        <w:t xml:space="preserve">  </w:t>
      </w:r>
      <w:r>
        <w:rPr>
          <w:rFonts w:ascii="宋体" w:hAnsi="宋体" w:eastAsia="宋体" w:cs="宋体"/>
          <w:spacing w:val="5"/>
          <w:sz w:val="27"/>
          <w:szCs w:val="27"/>
        </w:rPr>
        <w:t>配置(如256</w:t>
      </w:r>
      <w:r>
        <w:rPr>
          <w:rFonts w:ascii="Times New Roman" w:hAnsi="Times New Roman" w:eastAsia="Times New Roman" w:cs="Times New Roman"/>
          <w:spacing w:val="5"/>
          <w:sz w:val="27"/>
          <w:szCs w:val="27"/>
        </w:rPr>
        <w:t xml:space="preserve">K </w:t>
      </w:r>
      <w:r>
        <w:rPr>
          <w:rFonts w:ascii="宋体" w:hAnsi="宋体" w:eastAsia="宋体" w:cs="宋体"/>
          <w:spacing w:val="5"/>
          <w:sz w:val="27"/>
          <w:szCs w:val="27"/>
        </w:rPr>
        <w:t>高速缓冲存储器、16</w:t>
      </w:r>
      <w:r>
        <w:rPr>
          <w:rFonts w:ascii="Times New Roman" w:hAnsi="Times New Roman" w:eastAsia="Times New Roman" w:cs="Times New Roman"/>
          <w:sz w:val="27"/>
          <w:szCs w:val="27"/>
        </w:rPr>
        <w:t>MB</w:t>
      </w:r>
      <w:r>
        <w:rPr>
          <w:rFonts w:ascii="Times New Roman" w:hAnsi="Times New Roman" w:eastAsia="Times New Roman" w:cs="Times New Roman"/>
          <w:spacing w:val="5"/>
          <w:sz w:val="27"/>
          <w:szCs w:val="27"/>
        </w:rPr>
        <w:t xml:space="preserve"> </w:t>
      </w:r>
      <w:r>
        <w:rPr>
          <w:rFonts w:ascii="Times New Roman" w:hAnsi="Times New Roman" w:eastAsia="Times New Roman" w:cs="Times New Roman"/>
          <w:spacing w:val="4"/>
          <w:sz w:val="27"/>
          <w:szCs w:val="27"/>
        </w:rPr>
        <w:t xml:space="preserve">    </w:t>
      </w:r>
      <w:r>
        <w:rPr>
          <w:rFonts w:ascii="Times New Roman" w:hAnsi="Times New Roman" w:eastAsia="Times New Roman" w:cs="Times New Roman"/>
          <w:sz w:val="27"/>
          <w:szCs w:val="27"/>
        </w:rPr>
        <w:t>RAM</w:t>
      </w:r>
      <w:r>
        <w:rPr>
          <w:rFonts w:ascii="Times New Roman" w:hAnsi="Times New Roman" w:eastAsia="Times New Roman" w:cs="Times New Roman"/>
          <w:spacing w:val="4"/>
          <w:sz w:val="27"/>
          <w:szCs w:val="27"/>
        </w:rPr>
        <w:t>);3)</w:t>
      </w:r>
      <w:r>
        <w:rPr>
          <w:rFonts w:ascii="宋体" w:hAnsi="宋体" w:eastAsia="宋体" w:cs="宋体"/>
          <w:spacing w:val="4"/>
          <w:sz w:val="27"/>
          <w:szCs w:val="27"/>
        </w:rPr>
        <w:t>输入/输出设备描述，适当时</w:t>
      </w:r>
      <w:r>
        <w:rPr>
          <w:rFonts w:ascii="宋体" w:hAnsi="宋体" w:eastAsia="宋体" w:cs="宋体"/>
          <w:sz w:val="27"/>
          <w:szCs w:val="27"/>
        </w:rPr>
        <w:t xml:space="preserve">  </w:t>
      </w:r>
      <w:r>
        <w:rPr>
          <w:rFonts w:ascii="宋体" w:hAnsi="宋体" w:eastAsia="宋体" w:cs="宋体"/>
          <w:spacing w:val="-6"/>
          <w:sz w:val="27"/>
          <w:szCs w:val="27"/>
        </w:rPr>
        <w:t>应包括制造商名称和型号、设备类型和设备的速度/能力；4)外存描述，适</w:t>
      </w:r>
      <w:r>
        <w:rPr>
          <w:rFonts w:ascii="宋体" w:hAnsi="宋体" w:eastAsia="宋体" w:cs="宋体"/>
          <w:spacing w:val="-7"/>
          <w:sz w:val="27"/>
          <w:szCs w:val="27"/>
        </w:rPr>
        <w:t>当时应</w:t>
      </w:r>
      <w:r>
        <w:rPr>
          <w:rFonts w:ascii="宋体" w:hAnsi="宋体" w:eastAsia="宋体" w:cs="宋体"/>
          <w:sz w:val="27"/>
          <w:szCs w:val="27"/>
        </w:rPr>
        <w:t xml:space="preserve">  </w:t>
      </w:r>
      <w:r>
        <w:rPr>
          <w:rFonts w:ascii="宋体" w:hAnsi="宋体" w:eastAsia="宋体" w:cs="宋体"/>
          <w:spacing w:val="-6"/>
          <w:sz w:val="27"/>
          <w:szCs w:val="27"/>
        </w:rPr>
        <w:t>包括制造商名称和型号、存储器类型、安装存储器的数量和存储器速度；5</w:t>
      </w:r>
      <w:r>
        <w:rPr>
          <w:rFonts w:ascii="宋体" w:hAnsi="宋体" w:eastAsia="宋体" w:cs="宋体"/>
          <w:spacing w:val="-7"/>
          <w:sz w:val="27"/>
          <w:szCs w:val="27"/>
        </w:rPr>
        <w:t>)通信/</w:t>
      </w:r>
      <w:r>
        <w:rPr>
          <w:rFonts w:ascii="宋体" w:hAnsi="宋体" w:eastAsia="宋体" w:cs="宋体"/>
          <w:sz w:val="27"/>
          <w:szCs w:val="27"/>
        </w:rPr>
        <w:t xml:space="preserve">  </w:t>
      </w:r>
      <w:r>
        <w:rPr>
          <w:rFonts w:ascii="宋体" w:hAnsi="宋体" w:eastAsia="宋体" w:cs="宋体"/>
          <w:spacing w:val="-17"/>
          <w:sz w:val="27"/>
          <w:szCs w:val="27"/>
        </w:rPr>
        <w:t>网络设备，如调制解调器、网卡、集线器、网关、电缆、高速数据线、这些部件</w:t>
      </w:r>
      <w:r>
        <w:rPr>
          <w:rFonts w:ascii="宋体" w:hAnsi="宋体" w:eastAsia="宋体" w:cs="宋体"/>
          <w:spacing w:val="-18"/>
          <w:sz w:val="27"/>
          <w:szCs w:val="27"/>
        </w:rPr>
        <w:t>或其</w:t>
      </w:r>
      <w:r>
        <w:rPr>
          <w:rFonts w:ascii="宋体" w:hAnsi="宋体" w:eastAsia="宋体" w:cs="宋体"/>
          <w:sz w:val="27"/>
          <w:szCs w:val="27"/>
        </w:rPr>
        <w:t xml:space="preserve">  </w:t>
      </w:r>
      <w:r>
        <w:rPr>
          <w:rFonts w:ascii="宋体" w:hAnsi="宋体" w:eastAsia="宋体" w:cs="宋体"/>
          <w:spacing w:val="-2"/>
          <w:sz w:val="27"/>
          <w:szCs w:val="27"/>
        </w:rPr>
        <w:t>他部件的集合体的描述，适当时应包括制造商名称和型号、数</w:t>
      </w:r>
      <w:r>
        <w:rPr>
          <w:rFonts w:ascii="宋体" w:hAnsi="宋体" w:eastAsia="宋体" w:cs="宋体"/>
          <w:spacing w:val="-3"/>
          <w:sz w:val="27"/>
          <w:szCs w:val="27"/>
        </w:rPr>
        <w:t>据传送速率/能力、</w:t>
      </w:r>
      <w:r>
        <w:rPr>
          <w:rFonts w:ascii="宋体" w:hAnsi="宋体" w:eastAsia="宋体" w:cs="宋体"/>
          <w:sz w:val="27"/>
          <w:szCs w:val="27"/>
        </w:rPr>
        <w:t xml:space="preserve"> </w:t>
      </w:r>
      <w:r>
        <w:rPr>
          <w:rFonts w:ascii="宋体" w:hAnsi="宋体" w:eastAsia="宋体" w:cs="宋体"/>
          <w:spacing w:val="-2"/>
          <w:sz w:val="27"/>
          <w:szCs w:val="27"/>
        </w:rPr>
        <w:t>网络拓扑结构、传输技术和使用的协议；6)</w:t>
      </w:r>
      <w:r>
        <w:rPr>
          <w:rFonts w:ascii="宋体" w:hAnsi="宋体" w:eastAsia="宋体" w:cs="宋体"/>
          <w:spacing w:val="-3"/>
          <w:sz w:val="27"/>
          <w:szCs w:val="27"/>
        </w:rPr>
        <w:t>适当时，每个描述还应包括：增长能</w:t>
      </w:r>
      <w:r>
        <w:rPr>
          <w:rFonts w:ascii="宋体" w:hAnsi="宋体" w:eastAsia="宋体" w:cs="宋体"/>
          <w:sz w:val="27"/>
          <w:szCs w:val="27"/>
        </w:rPr>
        <w:t xml:space="preserve">  </w:t>
      </w:r>
      <w:r>
        <w:rPr>
          <w:rFonts w:ascii="宋体" w:hAnsi="宋体" w:eastAsia="宋体" w:cs="宋体"/>
          <w:spacing w:val="-8"/>
          <w:sz w:val="27"/>
          <w:szCs w:val="27"/>
        </w:rPr>
        <w:t>力、诊断能力、与本描述相关的其他的硬件能</w:t>
      </w:r>
      <w:r>
        <w:rPr>
          <w:rFonts w:ascii="宋体" w:hAnsi="宋体" w:eastAsia="宋体" w:cs="宋体"/>
          <w:spacing w:val="-9"/>
          <w:sz w:val="27"/>
          <w:szCs w:val="27"/>
        </w:rPr>
        <w:t>力。</w:t>
      </w:r>
    </w:p>
    <w:p w14:paraId="73D178EC">
      <w:pPr>
        <w:spacing w:before="90" w:line="257" w:lineRule="auto"/>
        <w:ind w:right="123" w:firstLine="560"/>
        <w:rPr>
          <w:rFonts w:ascii="宋体" w:hAnsi="宋体" w:eastAsia="宋体" w:cs="宋体"/>
          <w:sz w:val="27"/>
          <w:szCs w:val="27"/>
        </w:rPr>
      </w:pPr>
      <w:r>
        <w:rPr>
          <w:rFonts w:ascii="Times New Roman" w:hAnsi="Times New Roman" w:eastAsia="Times New Roman" w:cs="Times New Roman"/>
          <w:spacing w:val="4"/>
          <w:sz w:val="27"/>
          <w:szCs w:val="27"/>
        </w:rPr>
        <w:t xml:space="preserve">f)  </w:t>
      </w:r>
      <w:r>
        <w:rPr>
          <w:rFonts w:ascii="宋体" w:hAnsi="宋体" w:eastAsia="宋体" w:cs="宋体"/>
          <w:spacing w:val="4"/>
          <w:sz w:val="27"/>
          <w:szCs w:val="27"/>
        </w:rPr>
        <w:t>给出系统的规格说明树，即用图示标识和表示已计划的系统</w:t>
      </w:r>
      <w:r>
        <w:rPr>
          <w:rFonts w:ascii="宋体" w:hAnsi="宋体" w:eastAsia="宋体" w:cs="宋体"/>
          <w:spacing w:val="3"/>
          <w:sz w:val="27"/>
          <w:szCs w:val="27"/>
        </w:rPr>
        <w:t>部件的规格</w:t>
      </w:r>
      <w:r>
        <w:rPr>
          <w:rFonts w:ascii="宋体" w:hAnsi="宋体" w:eastAsia="宋体" w:cs="宋体"/>
          <w:sz w:val="27"/>
          <w:szCs w:val="27"/>
        </w:rPr>
        <w:t xml:space="preserve"> </w:t>
      </w:r>
      <w:r>
        <w:rPr>
          <w:rFonts w:ascii="宋体" w:hAnsi="宋体" w:eastAsia="宋体" w:cs="宋体"/>
          <w:spacing w:val="4"/>
          <w:sz w:val="27"/>
          <w:szCs w:val="27"/>
        </w:rPr>
        <w:t>说明之间的关系。</w:t>
      </w:r>
    </w:p>
    <w:p w14:paraId="750A1EA1">
      <w:pPr>
        <w:spacing w:before="86" w:line="219" w:lineRule="auto"/>
        <w:rPr>
          <w:rFonts w:ascii="黑体" w:hAnsi="黑体" w:eastAsia="黑体" w:cs="黑体"/>
          <w:sz w:val="27"/>
          <w:szCs w:val="27"/>
        </w:rPr>
      </w:pPr>
      <w:r>
        <w:rPr>
          <w:rFonts w:ascii="黑体" w:hAnsi="黑体" w:eastAsia="黑体" w:cs="黑体"/>
          <w:spacing w:val="1"/>
          <w:sz w:val="27"/>
          <w:szCs w:val="27"/>
        </w:rPr>
        <w:t>4.2</w:t>
      </w:r>
      <w:r>
        <w:rPr>
          <w:rFonts w:ascii="黑体" w:hAnsi="黑体" w:eastAsia="黑体" w:cs="黑体"/>
          <w:spacing w:val="39"/>
          <w:sz w:val="27"/>
          <w:szCs w:val="27"/>
        </w:rPr>
        <w:t xml:space="preserve">  </w:t>
      </w:r>
      <w:r>
        <w:rPr>
          <w:rFonts w:ascii="黑体" w:hAnsi="黑体" w:eastAsia="黑体" w:cs="黑体"/>
          <w:spacing w:val="1"/>
          <w:sz w:val="27"/>
          <w:szCs w:val="27"/>
        </w:rPr>
        <w:t>执行方案</w:t>
      </w:r>
    </w:p>
    <w:p w14:paraId="42303266">
      <w:pPr>
        <w:spacing w:before="92" w:line="290" w:lineRule="auto"/>
        <w:ind w:right="20" w:firstLine="560"/>
        <w:rPr>
          <w:rFonts w:ascii="宋体" w:hAnsi="宋体" w:eastAsia="宋体" w:cs="宋体"/>
          <w:sz w:val="27"/>
          <w:szCs w:val="27"/>
        </w:rPr>
      </w:pPr>
      <w:r>
        <w:rPr>
          <w:rFonts w:ascii="宋体" w:hAnsi="宋体" w:eastAsia="宋体" w:cs="宋体"/>
          <w:spacing w:val="6"/>
          <w:sz w:val="27"/>
          <w:szCs w:val="27"/>
        </w:rPr>
        <w:t>本条应描述系统部件之间的执行方案。用图示和说</w:t>
      </w:r>
      <w:r>
        <w:rPr>
          <w:rFonts w:ascii="宋体" w:hAnsi="宋体" w:eastAsia="宋体" w:cs="宋体"/>
          <w:spacing w:val="5"/>
          <w:sz w:val="27"/>
          <w:szCs w:val="27"/>
        </w:rPr>
        <w:t>明表示部件之间的动态</w:t>
      </w:r>
      <w:r>
        <w:rPr>
          <w:rFonts w:ascii="宋体" w:hAnsi="宋体" w:eastAsia="宋体" w:cs="宋体"/>
          <w:sz w:val="27"/>
          <w:szCs w:val="27"/>
        </w:rPr>
        <w:t xml:space="preserve"> </w:t>
      </w:r>
      <w:r>
        <w:rPr>
          <w:rFonts w:ascii="宋体" w:hAnsi="宋体" w:eastAsia="宋体" w:cs="宋体"/>
          <w:spacing w:val="-6"/>
          <w:sz w:val="27"/>
          <w:szCs w:val="27"/>
        </w:rPr>
        <w:t>关系，即系统运行期间它们是如何交互的，(若适</w:t>
      </w:r>
      <w:r>
        <w:rPr>
          <w:rFonts w:ascii="宋体" w:hAnsi="宋体" w:eastAsia="宋体" w:cs="宋体"/>
          <w:spacing w:val="-7"/>
          <w:sz w:val="27"/>
          <w:szCs w:val="27"/>
        </w:rPr>
        <w:t>用)包括：执行控制流，数据流，</w:t>
      </w:r>
    </w:p>
    <w:p w14:paraId="4AD010A6">
      <w:pPr>
        <w:spacing w:line="290" w:lineRule="auto"/>
        <w:rPr>
          <w:rFonts w:ascii="宋体" w:hAnsi="宋体" w:eastAsia="宋体" w:cs="宋体"/>
          <w:sz w:val="27"/>
          <w:szCs w:val="27"/>
        </w:rPr>
        <w:sectPr>
          <w:footerReference r:id="rId201" w:type="default"/>
          <w:pgSz w:w="11910" w:h="17130"/>
          <w:pgMar w:top="400" w:right="974" w:bottom="1487" w:left="1430" w:header="0" w:footer="1270" w:gutter="0"/>
          <w:cols w:space="720" w:num="1"/>
        </w:sectPr>
      </w:pPr>
    </w:p>
    <w:p w14:paraId="52DDAB1A">
      <w:pPr>
        <w:pStyle w:val="2"/>
        <w:spacing w:line="272" w:lineRule="auto"/>
      </w:pPr>
    </w:p>
    <w:p w14:paraId="5A17220F">
      <w:pPr>
        <w:pStyle w:val="2"/>
        <w:spacing w:line="272" w:lineRule="auto"/>
      </w:pPr>
    </w:p>
    <w:p w14:paraId="1635910E">
      <w:pPr>
        <w:pStyle w:val="2"/>
        <w:spacing w:line="273" w:lineRule="auto"/>
      </w:pPr>
    </w:p>
    <w:p w14:paraId="37860A27">
      <w:pPr>
        <w:pStyle w:val="2"/>
        <w:spacing w:line="273" w:lineRule="auto"/>
      </w:pPr>
    </w:p>
    <w:p w14:paraId="39EE6627">
      <w:pPr>
        <w:spacing w:before="81" w:line="308" w:lineRule="auto"/>
        <w:ind w:right="118"/>
        <w:jc w:val="both"/>
        <w:rPr>
          <w:rFonts w:ascii="宋体" w:hAnsi="宋体" w:eastAsia="宋体" w:cs="宋体"/>
          <w:sz w:val="25"/>
          <w:szCs w:val="25"/>
        </w:rPr>
      </w:pPr>
      <w:r>
        <w:rPr>
          <w:rFonts w:ascii="宋体" w:hAnsi="宋体" w:eastAsia="宋体" w:cs="宋体"/>
          <w:spacing w:val="13"/>
          <w:sz w:val="25"/>
          <w:szCs w:val="25"/>
        </w:rPr>
        <w:t>动态控制序列，状态转换图，时序图，部件的优先级别，中断处理，时序/序列关</w:t>
      </w:r>
      <w:r>
        <w:rPr>
          <w:rFonts w:ascii="宋体" w:hAnsi="宋体" w:eastAsia="宋体" w:cs="宋体"/>
          <w:spacing w:val="17"/>
          <w:sz w:val="25"/>
          <w:szCs w:val="25"/>
        </w:rPr>
        <w:t xml:space="preserve"> </w:t>
      </w:r>
      <w:r>
        <w:rPr>
          <w:rFonts w:ascii="宋体" w:hAnsi="宋体" w:eastAsia="宋体" w:cs="宋体"/>
          <w:spacing w:val="10"/>
          <w:sz w:val="25"/>
          <w:szCs w:val="25"/>
        </w:rPr>
        <w:t>系，异常处理，并发执行，动态分配/去除分配，对象、进程、任务的动</w:t>
      </w:r>
      <w:r>
        <w:rPr>
          <w:rFonts w:ascii="宋体" w:hAnsi="宋体" w:eastAsia="宋体" w:cs="宋体"/>
          <w:spacing w:val="9"/>
          <w:sz w:val="25"/>
          <w:szCs w:val="25"/>
        </w:rPr>
        <w:t>态创建/删</w:t>
      </w:r>
      <w:r>
        <w:rPr>
          <w:rFonts w:ascii="宋体" w:hAnsi="宋体" w:eastAsia="宋体" w:cs="宋体"/>
          <w:sz w:val="25"/>
          <w:szCs w:val="25"/>
        </w:rPr>
        <w:t xml:space="preserve"> </w:t>
      </w:r>
      <w:r>
        <w:rPr>
          <w:rFonts w:ascii="宋体" w:hAnsi="宋体" w:eastAsia="宋体" w:cs="宋体"/>
          <w:spacing w:val="11"/>
          <w:sz w:val="25"/>
          <w:szCs w:val="25"/>
        </w:rPr>
        <w:t>除，以及动态行为的其他方面。</w:t>
      </w:r>
    </w:p>
    <w:p w14:paraId="40B02890">
      <w:pPr>
        <w:spacing w:line="221" w:lineRule="auto"/>
        <w:rPr>
          <w:rFonts w:ascii="黑体" w:hAnsi="黑体" w:eastAsia="黑体" w:cs="黑体"/>
          <w:sz w:val="25"/>
          <w:szCs w:val="25"/>
        </w:rPr>
      </w:pPr>
      <w:r>
        <w:rPr>
          <w:rFonts w:ascii="黑体" w:hAnsi="黑体" w:eastAsia="黑体" w:cs="黑体"/>
          <w:spacing w:val="17"/>
          <w:sz w:val="25"/>
          <w:szCs w:val="25"/>
        </w:rPr>
        <w:t>4.3</w:t>
      </w:r>
      <w:r>
        <w:rPr>
          <w:rFonts w:ascii="黑体" w:hAnsi="黑体" w:eastAsia="黑体" w:cs="黑体"/>
          <w:spacing w:val="34"/>
          <w:sz w:val="25"/>
          <w:szCs w:val="25"/>
        </w:rPr>
        <w:t xml:space="preserve">  </w:t>
      </w:r>
      <w:r>
        <w:rPr>
          <w:rFonts w:ascii="黑体" w:hAnsi="黑体" w:eastAsia="黑体" w:cs="黑体"/>
          <w:spacing w:val="17"/>
          <w:sz w:val="25"/>
          <w:szCs w:val="25"/>
        </w:rPr>
        <w:t>接口设计</w:t>
      </w:r>
    </w:p>
    <w:p w14:paraId="087FB5DB">
      <w:pPr>
        <w:spacing w:before="110" w:line="222" w:lineRule="auto"/>
        <w:rPr>
          <w:rFonts w:ascii="黑体" w:hAnsi="黑体" w:eastAsia="黑体" w:cs="黑体"/>
          <w:sz w:val="24"/>
          <w:szCs w:val="24"/>
        </w:rPr>
      </w:pPr>
      <w:r>
        <w:rPr>
          <w:rFonts w:ascii="黑体" w:hAnsi="黑体" w:eastAsia="黑体" w:cs="黑体"/>
          <w:spacing w:val="21"/>
          <w:sz w:val="24"/>
          <w:szCs w:val="24"/>
        </w:rPr>
        <w:t>4.3.1</w:t>
      </w:r>
      <w:r>
        <w:rPr>
          <w:rFonts w:ascii="黑体" w:hAnsi="黑体" w:eastAsia="黑体" w:cs="黑体"/>
          <w:spacing w:val="5"/>
          <w:sz w:val="24"/>
          <w:szCs w:val="24"/>
        </w:rPr>
        <w:t xml:space="preserve">   </w:t>
      </w:r>
      <w:r>
        <w:rPr>
          <w:rFonts w:ascii="黑体" w:hAnsi="黑体" w:eastAsia="黑体" w:cs="黑体"/>
          <w:spacing w:val="21"/>
          <w:sz w:val="24"/>
          <w:szCs w:val="24"/>
        </w:rPr>
        <w:t>接口标识和图表</w:t>
      </w:r>
    </w:p>
    <w:p w14:paraId="7DAD1704">
      <w:pPr>
        <w:spacing w:before="90" w:line="269" w:lineRule="auto"/>
        <w:ind w:right="83" w:firstLine="560"/>
        <w:jc w:val="both"/>
        <w:rPr>
          <w:rFonts w:ascii="宋体" w:hAnsi="宋体" w:eastAsia="宋体" w:cs="宋体"/>
          <w:sz w:val="27"/>
          <w:szCs w:val="27"/>
        </w:rPr>
      </w:pPr>
      <w:r>
        <w:rPr>
          <w:rFonts w:ascii="宋体" w:hAnsi="宋体" w:eastAsia="宋体" w:cs="宋体"/>
          <w:spacing w:val="-10"/>
          <w:sz w:val="27"/>
          <w:szCs w:val="27"/>
        </w:rPr>
        <w:t>本条应用项目唯一的标识符标识每个接口，并用名称、编号、版本、文档引用</w:t>
      </w:r>
      <w:r>
        <w:rPr>
          <w:rFonts w:ascii="宋体" w:hAnsi="宋体" w:eastAsia="宋体" w:cs="宋体"/>
          <w:sz w:val="27"/>
          <w:szCs w:val="27"/>
        </w:rPr>
        <w:t xml:space="preserve"> </w:t>
      </w:r>
      <w:r>
        <w:rPr>
          <w:rFonts w:ascii="宋体" w:hAnsi="宋体" w:eastAsia="宋体" w:cs="宋体"/>
          <w:spacing w:val="5"/>
          <w:sz w:val="27"/>
          <w:szCs w:val="27"/>
        </w:rPr>
        <w:t>指明接口实体(如系统、配置项和用户等)。该标识应描述哪些实体具有固定接</w:t>
      </w:r>
      <w:r>
        <w:rPr>
          <w:rFonts w:ascii="宋体" w:hAnsi="宋体" w:eastAsia="宋体" w:cs="宋体"/>
          <w:spacing w:val="4"/>
          <w:sz w:val="27"/>
          <w:szCs w:val="27"/>
        </w:rPr>
        <w:t xml:space="preserve"> </w:t>
      </w:r>
      <w:r>
        <w:rPr>
          <w:rFonts w:ascii="宋体" w:hAnsi="宋体" w:eastAsia="宋体" w:cs="宋体"/>
          <w:sz w:val="27"/>
          <w:szCs w:val="27"/>
        </w:rPr>
        <w:t>口特性(给出这些实体的接口需求)、哪些实体正被开发或修改(这些实体已有各</w:t>
      </w:r>
      <w:r>
        <w:rPr>
          <w:rFonts w:ascii="宋体" w:hAnsi="宋体" w:eastAsia="宋体" w:cs="宋体"/>
          <w:spacing w:val="16"/>
          <w:sz w:val="27"/>
          <w:szCs w:val="27"/>
        </w:rPr>
        <w:t xml:space="preserve"> </w:t>
      </w:r>
      <w:r>
        <w:rPr>
          <w:rFonts w:ascii="宋体" w:hAnsi="宋体" w:eastAsia="宋体" w:cs="宋体"/>
          <w:spacing w:val="3"/>
          <w:sz w:val="27"/>
          <w:szCs w:val="27"/>
        </w:rPr>
        <w:t>自的接口需求)。应提供一个或多个接口图表来描述这些接口。</w:t>
      </w:r>
    </w:p>
    <w:p w14:paraId="1621402F">
      <w:pPr>
        <w:pStyle w:val="2"/>
        <w:spacing w:line="368" w:lineRule="exact"/>
        <w:rPr>
          <w:rFonts w:ascii="黑体" w:hAnsi="黑体" w:eastAsia="黑体" w:cs="黑体"/>
          <w:sz w:val="27"/>
          <w:szCs w:val="27"/>
        </w:rPr>
      </w:pPr>
      <w:r>
        <w:rPr>
          <w:rFonts w:ascii="黑体" w:hAnsi="黑体" w:eastAsia="黑体" w:cs="黑体"/>
          <w:spacing w:val="3"/>
          <w:position w:val="3"/>
          <w:sz w:val="27"/>
          <w:szCs w:val="27"/>
        </w:rPr>
        <w:t>4.3.</w:t>
      </w:r>
      <w:r>
        <w:rPr>
          <w:spacing w:val="3"/>
          <w:position w:val="3"/>
          <w:sz w:val="27"/>
          <w:szCs w:val="27"/>
        </w:rPr>
        <w:t>X</w:t>
      </w:r>
      <w:r>
        <w:rPr>
          <w:spacing w:val="4"/>
          <w:position w:val="3"/>
          <w:sz w:val="27"/>
          <w:szCs w:val="27"/>
        </w:rPr>
        <w:t xml:space="preserve">    </w:t>
      </w:r>
      <w:r>
        <w:rPr>
          <w:spacing w:val="3"/>
          <w:position w:val="3"/>
          <w:sz w:val="27"/>
          <w:szCs w:val="27"/>
        </w:rPr>
        <w:t xml:space="preserve">( </w:t>
      </w:r>
      <w:r>
        <w:rPr>
          <w:rFonts w:ascii="黑体" w:hAnsi="黑体" w:eastAsia="黑体" w:cs="黑体"/>
          <w:spacing w:val="3"/>
          <w:position w:val="3"/>
          <w:sz w:val="27"/>
          <w:szCs w:val="27"/>
        </w:rPr>
        <w:t>接口的项目唯一的标识符)</w:t>
      </w:r>
    </w:p>
    <w:p w14:paraId="4C983226">
      <w:pPr>
        <w:spacing w:before="110" w:line="276" w:lineRule="auto"/>
        <w:ind w:firstLine="560"/>
        <w:jc w:val="both"/>
        <w:rPr>
          <w:rFonts w:ascii="宋体" w:hAnsi="宋体" w:eastAsia="宋体" w:cs="宋体"/>
          <w:sz w:val="27"/>
          <w:szCs w:val="27"/>
        </w:rPr>
      </w:pPr>
      <w:r>
        <w:rPr>
          <w:rFonts w:ascii="宋体" w:hAnsi="宋体" w:eastAsia="宋体" w:cs="宋体"/>
          <w:spacing w:val="9"/>
          <w:sz w:val="27"/>
          <w:szCs w:val="27"/>
        </w:rPr>
        <w:t>本条(从4.3.2开始)应用项目唯一的标识符标识接口，简要地描述接口实</w:t>
      </w:r>
      <w:r>
        <w:rPr>
          <w:rFonts w:ascii="宋体" w:hAnsi="宋体" w:eastAsia="宋体" w:cs="宋体"/>
          <w:spacing w:val="2"/>
          <w:sz w:val="27"/>
          <w:szCs w:val="27"/>
        </w:rPr>
        <w:t xml:space="preserve"> </w:t>
      </w:r>
      <w:r>
        <w:rPr>
          <w:rFonts w:ascii="宋体" w:hAnsi="宋体" w:eastAsia="宋体" w:cs="宋体"/>
          <w:spacing w:val="5"/>
          <w:sz w:val="27"/>
          <w:szCs w:val="27"/>
        </w:rPr>
        <w:t xml:space="preserve">体，并根据需要分条描述接口实体单方或双方的接口特性。如果某个接口实体  </w:t>
      </w:r>
      <w:r>
        <w:rPr>
          <w:rFonts w:ascii="宋体" w:hAnsi="宋体" w:eastAsia="宋体" w:cs="宋体"/>
          <w:spacing w:val="1"/>
          <w:sz w:val="27"/>
          <w:szCs w:val="27"/>
        </w:rPr>
        <w:t>未在本文中提及(如，一个外部系统),而在本文描述接口实体时需要提到其接口</w:t>
      </w:r>
      <w:r>
        <w:rPr>
          <w:rFonts w:ascii="宋体" w:hAnsi="宋体" w:eastAsia="宋体" w:cs="宋体"/>
          <w:spacing w:val="4"/>
          <w:sz w:val="27"/>
          <w:szCs w:val="27"/>
        </w:rPr>
        <w:t xml:space="preserve">  </w:t>
      </w:r>
      <w:r>
        <w:rPr>
          <w:rFonts w:ascii="宋体" w:hAnsi="宋体" w:eastAsia="宋体" w:cs="宋体"/>
          <w:spacing w:val="-6"/>
          <w:sz w:val="27"/>
          <w:szCs w:val="27"/>
        </w:rPr>
        <w:t>特性，则这些特性应作为假设予以陈述，或以“当[未涵盖实体]这样做时，[本文</w:t>
      </w:r>
      <w:r>
        <w:rPr>
          <w:rFonts w:ascii="宋体" w:hAnsi="宋体" w:eastAsia="宋体" w:cs="宋体"/>
          <w:sz w:val="27"/>
          <w:szCs w:val="27"/>
        </w:rPr>
        <w:t xml:space="preserve">  </w:t>
      </w:r>
      <w:r>
        <w:rPr>
          <w:rFonts w:ascii="宋体" w:hAnsi="宋体" w:eastAsia="宋体" w:cs="宋体"/>
          <w:spacing w:val="-3"/>
          <w:sz w:val="27"/>
          <w:szCs w:val="27"/>
        </w:rPr>
        <w:t>提及的实体]将……”的形式描述。本条可引用其他文档(例如数据字典、协议标</w:t>
      </w:r>
      <w:r>
        <w:rPr>
          <w:rFonts w:ascii="宋体" w:hAnsi="宋体" w:eastAsia="宋体" w:cs="宋体"/>
          <w:spacing w:val="8"/>
          <w:sz w:val="27"/>
          <w:szCs w:val="27"/>
        </w:rPr>
        <w:t xml:space="preserve">  </w:t>
      </w:r>
      <w:r>
        <w:rPr>
          <w:rFonts w:ascii="宋体" w:hAnsi="宋体" w:eastAsia="宋体" w:cs="宋体"/>
          <w:spacing w:val="-3"/>
          <w:sz w:val="27"/>
          <w:szCs w:val="27"/>
        </w:rPr>
        <w:t>准、用户接口标准)代替本条的描述信息。若适用，本设计说明应包括以下内容，</w:t>
      </w:r>
      <w:r>
        <w:rPr>
          <w:rFonts w:ascii="宋体" w:hAnsi="宋体" w:eastAsia="宋体" w:cs="宋体"/>
          <w:spacing w:val="7"/>
          <w:sz w:val="27"/>
          <w:szCs w:val="27"/>
        </w:rPr>
        <w:t xml:space="preserve"> </w:t>
      </w:r>
      <w:r>
        <w:rPr>
          <w:rFonts w:ascii="宋体" w:hAnsi="宋体" w:eastAsia="宋体" w:cs="宋体"/>
          <w:spacing w:val="-3"/>
          <w:sz w:val="27"/>
          <w:szCs w:val="27"/>
        </w:rPr>
        <w:t>它们可以任何适合于要提供的信息的顺序给出，并应从接口实体角度，说明这些</w:t>
      </w:r>
      <w:r>
        <w:rPr>
          <w:rFonts w:ascii="宋体" w:hAnsi="宋体" w:eastAsia="宋体" w:cs="宋体"/>
          <w:spacing w:val="8"/>
          <w:sz w:val="27"/>
          <w:szCs w:val="27"/>
        </w:rPr>
        <w:t xml:space="preserve">  </w:t>
      </w:r>
      <w:r>
        <w:rPr>
          <w:rFonts w:ascii="宋体" w:hAnsi="宋体" w:eastAsia="宋体" w:cs="宋体"/>
          <w:spacing w:val="2"/>
          <w:sz w:val="27"/>
          <w:szCs w:val="27"/>
        </w:rPr>
        <w:t>特性之间的区别(例如关于数据元素的大小、频率或其他特性的不同期望值</w:t>
      </w:r>
      <w:r>
        <w:rPr>
          <w:rFonts w:ascii="宋体" w:hAnsi="宋体" w:eastAsia="宋体" w:cs="宋体"/>
          <w:spacing w:val="1"/>
          <w:sz w:val="27"/>
          <w:szCs w:val="27"/>
        </w:rPr>
        <w:t>):</w:t>
      </w:r>
    </w:p>
    <w:p w14:paraId="03C460A9">
      <w:pPr>
        <w:spacing w:before="1" w:line="212" w:lineRule="auto"/>
        <w:ind w:left="560"/>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75"/>
          <w:sz w:val="27"/>
          <w:szCs w:val="27"/>
        </w:rPr>
        <w:t xml:space="preserve"> </w:t>
      </w:r>
      <w:r>
        <w:rPr>
          <w:rFonts w:ascii="宋体" w:hAnsi="宋体" w:eastAsia="宋体" w:cs="宋体"/>
          <w:spacing w:val="3"/>
          <w:sz w:val="27"/>
          <w:szCs w:val="27"/>
        </w:rPr>
        <w:t>接口实体分配给接口的优先级别。</w:t>
      </w:r>
    </w:p>
    <w:p w14:paraId="6C1B6A6A">
      <w:pPr>
        <w:spacing w:before="99" w:line="212" w:lineRule="auto"/>
        <w:ind w:left="560"/>
        <w:rPr>
          <w:rFonts w:ascii="宋体" w:hAnsi="宋体" w:eastAsia="宋体" w:cs="宋体"/>
          <w:sz w:val="27"/>
          <w:szCs w:val="27"/>
        </w:rPr>
      </w:pPr>
      <w:r>
        <w:rPr>
          <w:rFonts w:ascii="Times New Roman" w:hAnsi="Times New Roman" w:eastAsia="Times New Roman" w:cs="Times New Roman"/>
          <w:sz w:val="27"/>
          <w:szCs w:val="27"/>
        </w:rPr>
        <w:t>b)</w:t>
      </w:r>
      <w:r>
        <w:rPr>
          <w:rFonts w:ascii="Times New Roman" w:hAnsi="Times New Roman" w:eastAsia="Times New Roman" w:cs="Times New Roman"/>
          <w:spacing w:val="81"/>
          <w:sz w:val="27"/>
          <w:szCs w:val="27"/>
        </w:rPr>
        <w:t xml:space="preserve"> </w:t>
      </w:r>
      <w:r>
        <w:rPr>
          <w:rFonts w:ascii="宋体" w:hAnsi="宋体" w:eastAsia="宋体" w:cs="宋体"/>
          <w:sz w:val="27"/>
          <w:szCs w:val="27"/>
        </w:rPr>
        <w:t>要实现的接口的类型(如实时数据传送、数据的存储和检索等)。</w:t>
      </w:r>
    </w:p>
    <w:p w14:paraId="5242FD7A">
      <w:pPr>
        <w:spacing w:before="98" w:line="262" w:lineRule="auto"/>
        <w:ind w:firstLine="560"/>
        <w:rPr>
          <w:rFonts w:ascii="Times New Roman" w:hAnsi="Times New Roman" w:eastAsia="Times New Roman" w:cs="Times New Roman"/>
          <w:sz w:val="27"/>
          <w:szCs w:val="27"/>
        </w:rPr>
      </w:pPr>
      <w:r>
        <w:rPr>
          <w:rFonts w:ascii="Times New Roman" w:hAnsi="Times New Roman" w:eastAsia="Times New Roman" w:cs="Times New Roman"/>
          <w:spacing w:val="-11"/>
          <w:sz w:val="27"/>
          <w:szCs w:val="27"/>
        </w:rPr>
        <w:t xml:space="preserve">c)  </w:t>
      </w:r>
      <w:r>
        <w:rPr>
          <w:rFonts w:ascii="宋体" w:hAnsi="宋体" w:eastAsia="宋体" w:cs="宋体"/>
          <w:spacing w:val="-11"/>
          <w:sz w:val="27"/>
          <w:szCs w:val="27"/>
        </w:rPr>
        <w:t>接口实体将提供、存储、发送、访问、接收的各个数据元素的特征，如：1)</w:t>
      </w:r>
      <w:r>
        <w:rPr>
          <w:rFonts w:ascii="宋体" w:hAnsi="宋体" w:eastAsia="宋体" w:cs="宋体"/>
          <w:spacing w:val="8"/>
          <w:sz w:val="27"/>
          <w:szCs w:val="27"/>
        </w:rPr>
        <w:t xml:space="preserve"> </w:t>
      </w:r>
      <w:r>
        <w:rPr>
          <w:rFonts w:ascii="宋体" w:hAnsi="宋体" w:eastAsia="宋体" w:cs="宋体"/>
          <w:spacing w:val="-6"/>
          <w:sz w:val="27"/>
          <w:szCs w:val="27"/>
        </w:rPr>
        <w:t>名称/标识符，含项目唯一的标识符，非技术(自然语言)名称，数据元素名</w:t>
      </w:r>
      <w:r>
        <w:rPr>
          <w:rFonts w:ascii="宋体" w:hAnsi="宋体" w:eastAsia="宋体" w:cs="宋体"/>
          <w:spacing w:val="-7"/>
          <w:sz w:val="27"/>
          <w:szCs w:val="27"/>
        </w:rPr>
        <w:t>称，技</w:t>
      </w:r>
      <w:r>
        <w:rPr>
          <w:rFonts w:ascii="宋体" w:hAnsi="宋体" w:eastAsia="宋体" w:cs="宋体"/>
          <w:sz w:val="27"/>
          <w:szCs w:val="27"/>
        </w:rPr>
        <w:t xml:space="preserve">  </w:t>
      </w:r>
      <w:r>
        <w:rPr>
          <w:rFonts w:ascii="宋体" w:hAnsi="宋体" w:eastAsia="宋体" w:cs="宋体"/>
          <w:spacing w:val="1"/>
          <w:sz w:val="27"/>
          <w:szCs w:val="27"/>
        </w:rPr>
        <w:t>术名称(如代码或数据库中变量或字段名),缩写名或同义名；2)数据类</w:t>
      </w:r>
      <w:r>
        <w:rPr>
          <w:rFonts w:ascii="宋体" w:hAnsi="宋体" w:eastAsia="宋体" w:cs="宋体"/>
          <w:sz w:val="27"/>
          <w:szCs w:val="27"/>
        </w:rPr>
        <w:t xml:space="preserve">型(字母、 </w:t>
      </w:r>
      <w:r>
        <w:rPr>
          <w:rFonts w:ascii="宋体" w:hAnsi="宋体" w:eastAsia="宋体" w:cs="宋体"/>
          <w:spacing w:val="5"/>
          <w:sz w:val="27"/>
          <w:szCs w:val="27"/>
        </w:rPr>
        <w:t>数字、整数等);3)大小和格式(如字符串长度和标点符号);4)计量单位(</w:t>
      </w:r>
      <w:r>
        <w:rPr>
          <w:rFonts w:ascii="宋体" w:hAnsi="宋体" w:eastAsia="宋体" w:cs="宋体"/>
          <w:spacing w:val="4"/>
          <w:sz w:val="27"/>
          <w:szCs w:val="27"/>
        </w:rPr>
        <w:t>如</w:t>
      </w:r>
      <w:r>
        <w:rPr>
          <w:rFonts w:ascii="Times New Roman" w:hAnsi="Times New Roman" w:eastAsia="Times New Roman" w:cs="Times New Roman"/>
          <w:spacing w:val="4"/>
          <w:sz w:val="27"/>
          <w:szCs w:val="27"/>
        </w:rPr>
        <w:t>m);</w:t>
      </w:r>
    </w:p>
    <w:p w14:paraId="2846ACC8">
      <w:pPr>
        <w:spacing w:before="137" w:line="274" w:lineRule="auto"/>
        <w:jc w:val="both"/>
        <w:rPr>
          <w:rFonts w:ascii="宋体" w:hAnsi="宋体" w:eastAsia="宋体" w:cs="宋体"/>
          <w:sz w:val="27"/>
          <w:szCs w:val="27"/>
        </w:rPr>
      </w:pPr>
      <w:r>
        <w:rPr>
          <w:rFonts w:ascii="宋体" w:hAnsi="宋体" w:eastAsia="宋体" w:cs="宋体"/>
          <w:spacing w:val="15"/>
          <w:sz w:val="27"/>
          <w:szCs w:val="27"/>
        </w:rPr>
        <w:t>5)可能值的范围或枚举(如0～99);6)准确度(正确程度)和精度(有效数字位</w:t>
      </w:r>
      <w:r>
        <w:rPr>
          <w:rFonts w:ascii="宋体" w:hAnsi="宋体" w:eastAsia="宋体" w:cs="宋体"/>
          <w:sz w:val="27"/>
          <w:szCs w:val="27"/>
        </w:rPr>
        <w:t xml:space="preserve">  </w:t>
      </w:r>
      <w:r>
        <w:rPr>
          <w:rFonts w:ascii="仿宋" w:hAnsi="仿宋" w:eastAsia="仿宋" w:cs="仿宋"/>
          <w:spacing w:val="-13"/>
          <w:sz w:val="27"/>
          <w:szCs w:val="27"/>
        </w:rPr>
        <w:t>数);</w:t>
      </w:r>
      <w:r>
        <w:rPr>
          <w:rFonts w:ascii="宋体" w:hAnsi="宋体" w:eastAsia="宋体" w:cs="宋体"/>
          <w:spacing w:val="-13"/>
          <w:sz w:val="27"/>
          <w:szCs w:val="27"/>
        </w:rPr>
        <w:t>7)优先级别、时序、频率、容量、序列、其他约束，如数据元素是否可被更新、</w:t>
      </w:r>
      <w:r>
        <w:rPr>
          <w:rFonts w:ascii="宋体" w:hAnsi="宋体" w:eastAsia="宋体" w:cs="宋体"/>
          <w:spacing w:val="1"/>
          <w:sz w:val="27"/>
          <w:szCs w:val="27"/>
        </w:rPr>
        <w:t xml:space="preserve"> 业务规则是否适用；8)保密性约束；9)来源(设置/发送实体)和接收者(使用/接</w:t>
      </w:r>
      <w:r>
        <w:rPr>
          <w:rFonts w:ascii="宋体" w:hAnsi="宋体" w:eastAsia="宋体" w:cs="宋体"/>
          <w:spacing w:val="2"/>
          <w:sz w:val="27"/>
          <w:szCs w:val="27"/>
        </w:rPr>
        <w:t xml:space="preserve">  </w:t>
      </w:r>
      <w:r>
        <w:rPr>
          <w:rFonts w:ascii="宋体" w:hAnsi="宋体" w:eastAsia="宋体" w:cs="宋体"/>
          <w:spacing w:val="-2"/>
          <w:sz w:val="27"/>
          <w:szCs w:val="27"/>
        </w:rPr>
        <w:t>收实体)。</w:t>
      </w:r>
    </w:p>
    <w:p w14:paraId="455BB40D">
      <w:pPr>
        <w:spacing w:before="5" w:line="283" w:lineRule="auto"/>
        <w:ind w:right="101" w:firstLine="560"/>
        <w:jc w:val="both"/>
        <w:rPr>
          <w:rFonts w:ascii="宋体" w:hAnsi="宋体" w:eastAsia="宋体" w:cs="宋体"/>
          <w:spacing w:val="-13"/>
          <w:sz w:val="27"/>
          <w:szCs w:val="27"/>
        </w:rPr>
      </w:pPr>
      <w:r>
        <w:rPr>
          <w:rFonts w:ascii="Times New Roman" w:hAnsi="Times New Roman" w:eastAsia="Times New Roman" w:cs="Times New Roman"/>
          <w:spacing w:val="-15"/>
          <w:sz w:val="27"/>
          <w:szCs w:val="27"/>
        </w:rPr>
        <w:t xml:space="preserve">d)  </w:t>
      </w:r>
      <w:r>
        <w:rPr>
          <w:rFonts w:ascii="宋体" w:hAnsi="宋体" w:eastAsia="宋体" w:cs="宋体"/>
          <w:spacing w:val="-15"/>
          <w:sz w:val="27"/>
          <w:szCs w:val="27"/>
        </w:rPr>
        <w:t>接口实体提供、存储、发送、访问、接收的数据元</w:t>
      </w:r>
      <w:r>
        <w:rPr>
          <w:rFonts w:ascii="宋体" w:hAnsi="宋体" w:eastAsia="宋体" w:cs="宋体"/>
          <w:spacing w:val="-16"/>
          <w:sz w:val="27"/>
          <w:szCs w:val="27"/>
        </w:rPr>
        <w:t>素组合体(记录、消息、文</w:t>
      </w:r>
      <w:r>
        <w:rPr>
          <w:rFonts w:ascii="宋体" w:hAnsi="宋体" w:eastAsia="宋体" w:cs="宋体"/>
          <w:sz w:val="27"/>
          <w:szCs w:val="27"/>
        </w:rPr>
        <w:t xml:space="preserve"> </w:t>
      </w:r>
      <w:r>
        <w:rPr>
          <w:rFonts w:ascii="宋体" w:hAnsi="宋体" w:eastAsia="宋体" w:cs="宋体"/>
          <w:spacing w:val="-9"/>
          <w:sz w:val="27"/>
          <w:szCs w:val="27"/>
        </w:rPr>
        <w:t>件、数组、显示、报告等)的特征，如1)</w:t>
      </w:r>
      <w:r>
        <w:rPr>
          <w:rFonts w:ascii="宋体" w:hAnsi="宋体" w:eastAsia="宋体" w:cs="宋体"/>
          <w:spacing w:val="-10"/>
          <w:sz w:val="27"/>
          <w:szCs w:val="27"/>
        </w:rPr>
        <w:t>名称/标识符，含供追踪用的项目唯一的标</w:t>
      </w:r>
      <w:r>
        <w:rPr>
          <w:rFonts w:ascii="宋体" w:hAnsi="宋体" w:eastAsia="宋体" w:cs="宋体"/>
          <w:sz w:val="27"/>
          <w:szCs w:val="27"/>
        </w:rPr>
        <w:t xml:space="preserve"> </w:t>
      </w:r>
      <w:r>
        <w:rPr>
          <w:rFonts w:ascii="宋体" w:hAnsi="宋体" w:eastAsia="宋体" w:cs="宋体"/>
          <w:spacing w:val="9"/>
          <w:sz w:val="27"/>
          <w:szCs w:val="27"/>
        </w:rPr>
        <w:t>识符，非技术(自然语言)名称，技术名称(如代码或数据库中的记录或数据结</w:t>
      </w:r>
      <w:r>
        <w:rPr>
          <w:rFonts w:ascii="宋体" w:hAnsi="宋体" w:eastAsia="宋体" w:cs="宋体"/>
          <w:spacing w:val="5"/>
          <w:sz w:val="27"/>
          <w:szCs w:val="27"/>
        </w:rPr>
        <w:t xml:space="preserve"> </w:t>
      </w:r>
      <w:r>
        <w:rPr>
          <w:rFonts w:ascii="宋体" w:hAnsi="宋体" w:eastAsia="宋体" w:cs="宋体"/>
          <w:spacing w:val="-6"/>
          <w:sz w:val="27"/>
          <w:szCs w:val="27"/>
        </w:rPr>
        <w:t>构),缩写名或同义名；2)数据元素集合体中的数据元素及其结构(编号、次序、分</w:t>
      </w:r>
      <w:r>
        <w:rPr>
          <w:rFonts w:ascii="宋体" w:hAnsi="宋体" w:eastAsia="宋体" w:cs="宋体"/>
          <w:spacing w:val="3"/>
          <w:sz w:val="27"/>
          <w:szCs w:val="27"/>
        </w:rPr>
        <w:t xml:space="preserve"> </w:t>
      </w:r>
      <w:r>
        <w:rPr>
          <w:rFonts w:ascii="宋体" w:hAnsi="宋体" w:eastAsia="宋体" w:cs="宋体"/>
          <w:spacing w:val="1"/>
          <w:sz w:val="27"/>
          <w:szCs w:val="27"/>
        </w:rPr>
        <w:t>组);3)媒体(如盘)和媒体中数据元素/集合体的结构；4)显示和其他输出的视听</w:t>
      </w:r>
      <w:r>
        <w:rPr>
          <w:rFonts w:ascii="宋体" w:hAnsi="宋体" w:eastAsia="宋体" w:cs="宋体"/>
          <w:spacing w:val="13"/>
          <w:sz w:val="27"/>
          <w:szCs w:val="27"/>
        </w:rPr>
        <w:t xml:space="preserve"> </w:t>
      </w:r>
      <w:r>
        <w:rPr>
          <w:rFonts w:ascii="宋体" w:hAnsi="宋体" w:eastAsia="宋体" w:cs="宋体"/>
          <w:spacing w:val="-12"/>
          <w:sz w:val="27"/>
          <w:szCs w:val="27"/>
        </w:rPr>
        <w:t>特性(如颜色、版面设计、字体、图标和其他显示元素、蜂</w:t>
      </w:r>
      <w:r>
        <w:rPr>
          <w:rFonts w:ascii="宋体" w:hAnsi="宋体" w:eastAsia="宋体" w:cs="宋体"/>
          <w:spacing w:val="-13"/>
          <w:sz w:val="27"/>
          <w:szCs w:val="27"/>
        </w:rPr>
        <w:t>鸣声、亮度);5)数据元素</w:t>
      </w:r>
    </w:p>
    <w:p w14:paraId="56B199CA">
      <w:pPr>
        <w:rPr>
          <w:rFonts w:ascii="宋体" w:hAnsi="宋体" w:eastAsia="宋体" w:cs="宋体"/>
          <w:spacing w:val="-13"/>
          <w:sz w:val="27"/>
          <w:szCs w:val="27"/>
        </w:rPr>
      </w:pPr>
      <w:r>
        <w:rPr>
          <w:rFonts w:ascii="宋体" w:hAnsi="宋体" w:eastAsia="宋体" w:cs="宋体"/>
          <w:spacing w:val="-13"/>
          <w:sz w:val="27"/>
          <w:szCs w:val="27"/>
        </w:rPr>
        <w:br w:type="page"/>
      </w:r>
    </w:p>
    <w:p w14:paraId="51D4535D">
      <w:pPr>
        <w:spacing w:before="5" w:line="283" w:lineRule="auto"/>
        <w:ind w:right="101" w:firstLine="560"/>
        <w:jc w:val="both"/>
        <w:rPr>
          <w:rFonts w:ascii="宋体" w:hAnsi="宋体" w:eastAsia="宋体" w:cs="宋体"/>
          <w:spacing w:val="-13"/>
          <w:sz w:val="27"/>
          <w:szCs w:val="27"/>
        </w:rPr>
      </w:pPr>
    </w:p>
    <w:p w14:paraId="0EC94B87">
      <w:pPr>
        <w:pStyle w:val="2"/>
        <w:spacing w:before="93" w:line="276" w:lineRule="auto"/>
        <w:ind w:right="125"/>
        <w:jc w:val="both"/>
      </w:pPr>
      <w:r>
        <w:rPr>
          <w:spacing w:val="-20"/>
        </w:rPr>
        <w:t>集合体之间的关系，如排序/访问特性；6)优先级别、时序、频率、容量、序列、其他</w:t>
      </w:r>
      <w:r>
        <w:rPr>
          <w:spacing w:val="13"/>
        </w:rPr>
        <w:t xml:space="preserve"> </w:t>
      </w:r>
      <w:r>
        <w:rPr>
          <w:spacing w:val="-9"/>
        </w:rPr>
        <w:t>约束，如集合体是否可被修改、业务规则是否适用；7)保密性约</w:t>
      </w:r>
      <w:r>
        <w:rPr>
          <w:spacing w:val="-10"/>
        </w:rPr>
        <w:t>束；8)来源(设置/</w:t>
      </w:r>
      <w:r>
        <w:t xml:space="preserve"> </w:t>
      </w:r>
      <w:r>
        <w:rPr>
          <w:spacing w:val="3"/>
        </w:rPr>
        <w:t>发送实体)和接收者(使用/接收实体)。</w:t>
      </w:r>
    </w:p>
    <w:p w14:paraId="44A99744">
      <w:pPr>
        <w:pStyle w:val="2"/>
        <w:spacing w:line="212" w:lineRule="auto"/>
        <w:jc w:val="right"/>
      </w:pPr>
      <w:r>
        <w:rPr>
          <w:rFonts w:ascii="Times New Roman" w:hAnsi="Times New Roman" w:eastAsia="Times New Roman" w:cs="Times New Roman"/>
          <w:spacing w:val="15"/>
        </w:rPr>
        <w:t>e)</w:t>
      </w:r>
      <w:r>
        <w:rPr>
          <w:rFonts w:ascii="Times New Roman" w:hAnsi="Times New Roman" w:eastAsia="Times New Roman" w:cs="Times New Roman"/>
          <w:spacing w:val="63"/>
          <w:w w:val="101"/>
        </w:rPr>
        <w:t xml:space="preserve"> </w:t>
      </w:r>
      <w:r>
        <w:rPr>
          <w:spacing w:val="15"/>
        </w:rPr>
        <w:t>接口实体为该接口使用的通信方法的特征，如1)项目唯一的标识</w:t>
      </w:r>
      <w:r>
        <w:rPr>
          <w:spacing w:val="14"/>
        </w:rPr>
        <w:t>符；</w:t>
      </w:r>
    </w:p>
    <w:p w14:paraId="6E889ED9">
      <w:pPr>
        <w:pStyle w:val="2"/>
        <w:spacing w:before="99" w:line="277" w:lineRule="auto"/>
        <w:jc w:val="both"/>
      </w:pPr>
      <w:r>
        <w:rPr>
          <w:spacing w:val="-2"/>
        </w:rPr>
        <w:t>2)通信链路/带宽/频率/媒体及其特性；3)消息格式化；4)流控制(如序列编号和</w:t>
      </w:r>
      <w:r>
        <w:t xml:space="preserve"> </w:t>
      </w:r>
      <w:r>
        <w:rPr>
          <w:spacing w:val="-12"/>
        </w:rPr>
        <w:t>缓冲区分配);5)数据传送速率，周期性/非周期性，传输间隔；6)路由、寻址、命名</w:t>
      </w:r>
      <w:r>
        <w:rPr>
          <w:spacing w:val="7"/>
        </w:rPr>
        <w:t xml:space="preserve"> </w:t>
      </w:r>
      <w:r>
        <w:rPr>
          <w:spacing w:val="-10"/>
        </w:rPr>
        <w:t>约定；7)传输服务，包括优先级别和等级；8)安全性/保密性方面的考虑，如加密、</w:t>
      </w:r>
      <w:r>
        <w:rPr>
          <w:spacing w:val="18"/>
        </w:rPr>
        <w:t xml:space="preserve"> </w:t>
      </w:r>
      <w:r>
        <w:rPr>
          <w:spacing w:val="-21"/>
        </w:rPr>
        <w:t>用户鉴别、隔离、审核。</w:t>
      </w:r>
    </w:p>
    <w:p w14:paraId="43A5BC4F">
      <w:pPr>
        <w:pStyle w:val="2"/>
        <w:spacing w:before="1" w:line="270" w:lineRule="auto"/>
        <w:ind w:right="117" w:firstLine="550"/>
      </w:pPr>
      <w:r>
        <w:rPr>
          <w:rFonts w:ascii="Times New Roman" w:hAnsi="Times New Roman" w:eastAsia="Times New Roman" w:cs="Times New Roman"/>
          <w:spacing w:val="4"/>
        </w:rPr>
        <w:t>f)</w:t>
      </w:r>
      <w:r>
        <w:rPr>
          <w:rFonts w:ascii="Times New Roman" w:hAnsi="Times New Roman" w:eastAsia="Times New Roman" w:cs="Times New Roman"/>
          <w:spacing w:val="54"/>
        </w:rPr>
        <w:t xml:space="preserve"> </w:t>
      </w:r>
      <w:r>
        <w:rPr>
          <w:spacing w:val="4"/>
        </w:rPr>
        <w:t>接口实体为该接口使用的协议的特征，如1)项目唯一的标识符；2)协议</w:t>
      </w:r>
      <w:r>
        <w:t xml:space="preserve"> </w:t>
      </w:r>
      <w:r>
        <w:rPr>
          <w:spacing w:val="-19"/>
        </w:rPr>
        <w:t>的优先级别/层次；3)打包，包括：分段和重组、路由、寻址；4)合法性</w:t>
      </w:r>
      <w:r>
        <w:rPr>
          <w:spacing w:val="-20"/>
        </w:rPr>
        <w:t>检查、错误控</w:t>
      </w:r>
      <w:r>
        <w:t xml:space="preserve"> </w:t>
      </w:r>
      <w:r>
        <w:rPr>
          <w:spacing w:val="-16"/>
        </w:rPr>
        <w:t>制和恢复过程；5)同步，包括：连接的建立、保持、终止；6)状态、标识和其他报告</w:t>
      </w:r>
      <w:r>
        <w:t xml:space="preserve"> </w:t>
      </w:r>
      <w:r>
        <w:rPr>
          <w:spacing w:val="-4"/>
        </w:rPr>
        <w:t>特征。</w:t>
      </w:r>
    </w:p>
    <w:p w14:paraId="0B0A1EF9">
      <w:pPr>
        <w:pStyle w:val="2"/>
        <w:spacing w:before="69" w:line="260" w:lineRule="auto"/>
        <w:ind w:right="105" w:firstLine="550"/>
      </w:pPr>
      <w:r>
        <w:rPr>
          <w:rFonts w:ascii="Times New Roman" w:hAnsi="Times New Roman" w:eastAsia="Times New Roman" w:cs="Times New Roman"/>
          <w:spacing w:val="-8"/>
        </w:rPr>
        <w:t xml:space="preserve">g)  </w:t>
      </w:r>
      <w:r>
        <w:rPr>
          <w:spacing w:val="-8"/>
        </w:rPr>
        <w:t>其他特征，如接口实体的物理兼容性(尺寸、公差、</w:t>
      </w:r>
      <w:r>
        <w:rPr>
          <w:spacing w:val="-9"/>
        </w:rPr>
        <w:t>负荷、电压和接插件兼</w:t>
      </w:r>
      <w:r>
        <w:t xml:space="preserve"> </w:t>
      </w:r>
      <w:r>
        <w:rPr>
          <w:spacing w:val="-2"/>
        </w:rPr>
        <w:t>容性等)。</w:t>
      </w:r>
    </w:p>
    <w:p w14:paraId="590EF6CE">
      <w:pPr>
        <w:spacing w:before="64" w:line="222" w:lineRule="auto"/>
        <w:rPr>
          <w:rFonts w:ascii="黑体" w:hAnsi="黑体" w:eastAsia="黑体" w:cs="黑体"/>
          <w:sz w:val="27"/>
          <w:szCs w:val="27"/>
        </w:rPr>
      </w:pPr>
      <w:r>
        <w:rPr>
          <w:rFonts w:ascii="黑体" w:hAnsi="黑体" w:eastAsia="黑体" w:cs="黑体"/>
          <w:spacing w:val="2"/>
          <w:sz w:val="27"/>
          <w:szCs w:val="27"/>
        </w:rPr>
        <w:t xml:space="preserve">5  </w:t>
      </w:r>
      <w:r>
        <w:rPr>
          <w:rFonts w:ascii="黑体" w:hAnsi="黑体" w:eastAsia="黑体" w:cs="黑体"/>
          <w:b/>
          <w:bCs/>
          <w:spacing w:val="2"/>
          <w:sz w:val="27"/>
          <w:szCs w:val="27"/>
        </w:rPr>
        <w:t>需求的可追踪性</w:t>
      </w:r>
    </w:p>
    <w:p w14:paraId="0C7A2646">
      <w:pPr>
        <w:pStyle w:val="2"/>
        <w:spacing w:before="99" w:line="219" w:lineRule="auto"/>
        <w:ind w:left="550"/>
      </w:pPr>
      <w:r>
        <w:t>本章应描述：</w:t>
      </w:r>
    </w:p>
    <w:p w14:paraId="78F326BC">
      <w:pPr>
        <w:pStyle w:val="2"/>
        <w:spacing w:before="71" w:line="256" w:lineRule="auto"/>
        <w:ind w:right="101" w:firstLine="550"/>
      </w:pPr>
      <w:r>
        <w:rPr>
          <w:rFonts w:ascii="Times New Roman" w:hAnsi="Times New Roman" w:eastAsia="Times New Roman" w:cs="Times New Roman"/>
          <w:spacing w:val="12"/>
        </w:rPr>
        <w:t>a)</w:t>
      </w:r>
      <w:r>
        <w:rPr>
          <w:rFonts w:ascii="Times New Roman" w:hAnsi="Times New Roman" w:eastAsia="Times New Roman" w:cs="Times New Roman"/>
          <w:spacing w:val="71"/>
        </w:rPr>
        <w:t xml:space="preserve"> </w:t>
      </w:r>
      <w:r>
        <w:rPr>
          <w:spacing w:val="12"/>
        </w:rPr>
        <w:t>从本设计说明中标识的每个系统部件到相应的系统需求之间的可追踪</w:t>
      </w:r>
      <w:r>
        <w:t xml:space="preserve"> </w:t>
      </w:r>
      <w:r>
        <w:rPr>
          <w:spacing w:val="10"/>
        </w:rPr>
        <w:t>性(该可追踪性也可在4.1中提供)。</w:t>
      </w:r>
    </w:p>
    <w:p w14:paraId="12D2C91A">
      <w:pPr>
        <w:pStyle w:val="2"/>
        <w:spacing w:before="61" w:line="212" w:lineRule="auto"/>
        <w:ind w:left="550"/>
      </w:pPr>
      <w:r>
        <w:rPr>
          <w:rFonts w:ascii="Times New Roman" w:hAnsi="Times New Roman" w:eastAsia="Times New Roman" w:cs="Times New Roman"/>
          <w:spacing w:val="5"/>
        </w:rPr>
        <w:t>b)</w:t>
      </w:r>
      <w:r>
        <w:rPr>
          <w:rFonts w:ascii="Times New Roman" w:hAnsi="Times New Roman" w:eastAsia="Times New Roman" w:cs="Times New Roman"/>
          <w:spacing w:val="67"/>
        </w:rPr>
        <w:t xml:space="preserve"> </w:t>
      </w:r>
      <w:r>
        <w:rPr>
          <w:spacing w:val="5"/>
        </w:rPr>
        <w:t>从每个系统需求到相应的系统部件之间的可追踪性。</w:t>
      </w:r>
    </w:p>
    <w:p w14:paraId="40F6B97B">
      <w:pPr>
        <w:spacing w:before="115" w:line="222" w:lineRule="auto"/>
        <w:rPr>
          <w:rFonts w:ascii="黑体" w:hAnsi="黑体" w:eastAsia="黑体" w:cs="黑体"/>
          <w:sz w:val="27"/>
          <w:szCs w:val="27"/>
        </w:rPr>
      </w:pPr>
      <w:r>
        <w:rPr>
          <w:rFonts w:ascii="黑体" w:hAnsi="黑体" w:eastAsia="黑体" w:cs="黑体"/>
          <w:spacing w:val="-8"/>
          <w:sz w:val="27"/>
          <w:szCs w:val="27"/>
        </w:rPr>
        <w:t>6</w:t>
      </w:r>
      <w:r>
        <w:rPr>
          <w:rFonts w:ascii="黑体" w:hAnsi="黑体" w:eastAsia="黑体" w:cs="黑体"/>
          <w:spacing w:val="9"/>
          <w:sz w:val="27"/>
          <w:szCs w:val="27"/>
        </w:rPr>
        <w:t xml:space="preserve">  </w:t>
      </w:r>
      <w:r>
        <w:rPr>
          <w:rFonts w:ascii="黑体" w:hAnsi="黑体" w:eastAsia="黑体" w:cs="黑体"/>
          <w:b/>
          <w:bCs/>
          <w:spacing w:val="-8"/>
          <w:sz w:val="27"/>
          <w:szCs w:val="27"/>
        </w:rPr>
        <w:t>注释</w:t>
      </w:r>
    </w:p>
    <w:p w14:paraId="5CDCE3E8">
      <w:pPr>
        <w:pStyle w:val="2"/>
        <w:spacing w:before="119" w:line="219" w:lineRule="auto"/>
        <w:ind w:left="550"/>
      </w:pPr>
      <w:r>
        <w:rPr>
          <w:spacing w:val="-3"/>
        </w:rPr>
        <w:t>本章应包括有助于了解文档的所有信息(例如背景、</w:t>
      </w:r>
      <w:r>
        <w:rPr>
          <w:spacing w:val="-4"/>
        </w:rPr>
        <w:t>术语、缩略语或公式)。</w:t>
      </w:r>
    </w:p>
    <w:p w14:paraId="0EFC44F8">
      <w:pPr>
        <w:spacing w:line="321" w:lineRule="auto"/>
        <w:rPr>
          <w:rFonts w:ascii="Arial"/>
          <w:sz w:val="21"/>
        </w:rPr>
      </w:pPr>
    </w:p>
    <w:p w14:paraId="601C1962">
      <w:pPr>
        <w:pStyle w:val="2"/>
        <w:spacing w:before="117" w:line="219" w:lineRule="auto"/>
        <w:ind w:left="3129"/>
        <w:rPr>
          <w:sz w:val="36"/>
          <w:szCs w:val="36"/>
        </w:rPr>
      </w:pPr>
      <w:r>
        <w:rPr>
          <w:sz w:val="36"/>
          <w:szCs w:val="36"/>
        </w:rPr>
        <w:t>2.</w:t>
      </w:r>
      <w:r>
        <w:rPr>
          <w:b/>
          <w:bCs/>
          <w:sz w:val="36"/>
          <w:szCs w:val="36"/>
        </w:rPr>
        <w:t>5</w:t>
      </w:r>
      <w:r>
        <w:rPr>
          <w:spacing w:val="23"/>
          <w:sz w:val="36"/>
          <w:szCs w:val="36"/>
        </w:rPr>
        <w:t xml:space="preserve">  </w:t>
      </w:r>
      <w:r>
        <w:rPr>
          <w:b/>
          <w:bCs/>
          <w:sz w:val="36"/>
          <w:szCs w:val="36"/>
        </w:rPr>
        <w:t>接口设计说明</w:t>
      </w:r>
    </w:p>
    <w:p w14:paraId="0C81376F">
      <w:pPr>
        <w:spacing w:line="318" w:lineRule="auto"/>
        <w:rPr>
          <w:rFonts w:ascii="Arial"/>
          <w:sz w:val="21"/>
        </w:rPr>
      </w:pPr>
    </w:p>
    <w:p w14:paraId="0D1AEC15">
      <w:pPr>
        <w:pStyle w:val="2"/>
        <w:spacing w:before="92" w:line="225" w:lineRule="auto"/>
        <w:ind w:left="55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军用软件开发文档通用要求》</w:t>
      </w:r>
      <w:r>
        <w:rPr>
          <w:rFonts w:ascii="楷体" w:hAnsi="楷体" w:eastAsia="楷体" w:cs="楷体"/>
          <w:spacing w:val="-11"/>
          <w:sz w:val="28"/>
          <w:szCs w:val="28"/>
        </w:rPr>
        <w:t>编写。</w:t>
      </w:r>
    </w:p>
    <w:p w14:paraId="4AF980D9">
      <w:pPr>
        <w:spacing w:before="88"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6"/>
          <w:sz w:val="27"/>
          <w:szCs w:val="27"/>
        </w:rPr>
        <w:t xml:space="preserve">  </w:t>
      </w:r>
      <w:r>
        <w:rPr>
          <w:rFonts w:ascii="黑体" w:hAnsi="黑体" w:eastAsia="黑体" w:cs="黑体"/>
          <w:b/>
          <w:bCs/>
          <w:spacing w:val="-4"/>
          <w:sz w:val="27"/>
          <w:szCs w:val="27"/>
        </w:rPr>
        <w:t>范围</w:t>
      </w:r>
    </w:p>
    <w:p w14:paraId="1D8B04E0">
      <w:pPr>
        <w:spacing w:before="103" w:line="222" w:lineRule="auto"/>
        <w:rPr>
          <w:rFonts w:ascii="黑体" w:hAnsi="黑体" w:eastAsia="黑体" w:cs="黑体"/>
          <w:sz w:val="25"/>
          <w:szCs w:val="25"/>
        </w:rPr>
      </w:pPr>
      <w:r>
        <w:rPr>
          <w:rFonts w:ascii="黑体" w:hAnsi="黑体" w:eastAsia="黑体" w:cs="黑体"/>
          <w:spacing w:val="3"/>
          <w:sz w:val="25"/>
          <w:szCs w:val="25"/>
        </w:rPr>
        <w:t>1.1</w:t>
      </w:r>
      <w:r>
        <w:rPr>
          <w:rFonts w:ascii="黑体" w:hAnsi="黑体" w:eastAsia="黑体" w:cs="黑体"/>
          <w:spacing w:val="40"/>
          <w:sz w:val="25"/>
          <w:szCs w:val="25"/>
        </w:rPr>
        <w:t xml:space="preserve">  </w:t>
      </w:r>
      <w:r>
        <w:rPr>
          <w:rFonts w:ascii="黑体" w:hAnsi="黑体" w:eastAsia="黑体" w:cs="黑体"/>
          <w:b/>
          <w:bCs/>
          <w:spacing w:val="3"/>
          <w:sz w:val="25"/>
          <w:szCs w:val="25"/>
        </w:rPr>
        <w:t>标识</w:t>
      </w:r>
    </w:p>
    <w:p w14:paraId="38692B3B">
      <w:pPr>
        <w:pStyle w:val="2"/>
        <w:spacing w:before="91" w:line="279" w:lineRule="auto"/>
        <w:ind w:right="122" w:firstLine="550"/>
      </w:pPr>
      <w:r>
        <w:rPr>
          <w:spacing w:val="-3"/>
        </w:rPr>
        <w:t>本条应描述本文档所适用的系统、接口实体和接口的完整标识，适用时，包</w:t>
      </w:r>
      <w:r>
        <w:t xml:space="preserve"> </w:t>
      </w:r>
      <w:r>
        <w:rPr>
          <w:spacing w:val="-16"/>
        </w:rPr>
        <w:t>括其标识号、名称、缩略名、版本号和发布号。</w:t>
      </w:r>
    </w:p>
    <w:p w14:paraId="7C5E4B01">
      <w:pPr>
        <w:spacing w:before="1" w:line="220"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26"/>
          <w:sz w:val="27"/>
          <w:szCs w:val="27"/>
        </w:rPr>
        <w:t xml:space="preserve">  </w:t>
      </w:r>
      <w:r>
        <w:rPr>
          <w:rFonts w:ascii="黑体" w:hAnsi="黑体" w:eastAsia="黑体" w:cs="黑体"/>
          <w:b/>
          <w:bCs/>
          <w:spacing w:val="-7"/>
          <w:sz w:val="27"/>
          <w:szCs w:val="27"/>
        </w:rPr>
        <w:t>系统概述</w:t>
      </w:r>
    </w:p>
    <w:p w14:paraId="3E9ACE8C">
      <w:pPr>
        <w:pStyle w:val="2"/>
        <w:spacing w:before="103" w:line="278" w:lineRule="auto"/>
        <w:ind w:right="113" w:firstLine="550"/>
        <w:jc w:val="both"/>
      </w:pPr>
      <w:r>
        <w:rPr>
          <w:spacing w:val="6"/>
        </w:rPr>
        <w:t>本条应概述本文档所适用的系统和软件的用途</w:t>
      </w:r>
      <w:r>
        <w:rPr>
          <w:spacing w:val="5"/>
        </w:rPr>
        <w:t>。它还应描述系统与软件的</w:t>
      </w:r>
      <w:r>
        <w:t xml:space="preserve"> </w:t>
      </w:r>
      <w:r>
        <w:rPr>
          <w:spacing w:val="-10"/>
        </w:rPr>
        <w:t>一般特性；概述系统开发、运行和维护的历史；标识项目的需方、用户、开发方和</w:t>
      </w:r>
      <w:r>
        <w:rPr>
          <w:spacing w:val="10"/>
        </w:rPr>
        <w:t xml:space="preserve"> </w:t>
      </w:r>
      <w:r>
        <w:rPr>
          <w:spacing w:val="-6"/>
        </w:rPr>
        <w:t>保障机构等；标识当前和计划的运行现场；列出其他有关文档。</w:t>
      </w:r>
    </w:p>
    <w:p w14:paraId="3BE519E9">
      <w:pPr>
        <w:spacing w:line="278" w:lineRule="auto"/>
        <w:sectPr>
          <w:footerReference r:id="rId202" w:type="default"/>
          <w:pgSz w:w="11910" w:h="17130"/>
          <w:pgMar w:top="400" w:right="1384" w:bottom="1587" w:left="1039" w:header="0" w:footer="1370" w:gutter="0"/>
          <w:cols w:space="720" w:num="1"/>
        </w:sectPr>
      </w:pPr>
    </w:p>
    <w:p w14:paraId="5D37EF92">
      <w:pPr>
        <w:spacing w:before="68" w:line="221" w:lineRule="auto"/>
        <w:rPr>
          <w:rFonts w:ascii="黑体" w:hAnsi="黑体" w:eastAsia="黑体" w:cs="黑体"/>
          <w:sz w:val="25"/>
          <w:szCs w:val="25"/>
        </w:rPr>
      </w:pPr>
      <w:r>
        <w:rPr>
          <w:rFonts w:ascii="黑体" w:hAnsi="黑体" w:eastAsia="黑体" w:cs="黑体"/>
          <w:spacing w:val="6"/>
          <w:sz w:val="25"/>
          <w:szCs w:val="25"/>
        </w:rPr>
        <w:t>1.3</w:t>
      </w:r>
      <w:r>
        <w:rPr>
          <w:rFonts w:ascii="黑体" w:hAnsi="黑体" w:eastAsia="黑体" w:cs="黑体"/>
          <w:spacing w:val="53"/>
          <w:sz w:val="25"/>
          <w:szCs w:val="25"/>
        </w:rPr>
        <w:t xml:space="preserve">  </w:t>
      </w:r>
      <w:r>
        <w:rPr>
          <w:rFonts w:ascii="黑体" w:hAnsi="黑体" w:eastAsia="黑体" w:cs="黑体"/>
          <w:b/>
          <w:bCs/>
          <w:spacing w:val="6"/>
          <w:sz w:val="25"/>
          <w:szCs w:val="25"/>
        </w:rPr>
        <w:t>文档概述</w:t>
      </w:r>
    </w:p>
    <w:p w14:paraId="711E3D85">
      <w:pPr>
        <w:pStyle w:val="2"/>
        <w:spacing w:before="76" w:line="279" w:lineRule="auto"/>
        <w:ind w:right="113" w:firstLine="560"/>
      </w:pPr>
      <w:r>
        <w:rPr>
          <w:spacing w:val="6"/>
        </w:rPr>
        <w:t>本条应概述本文档的用途和内容，并描述与它</w:t>
      </w:r>
      <w:r>
        <w:rPr>
          <w:spacing w:val="5"/>
        </w:rPr>
        <w:t>的使用有关的保密性方面的</w:t>
      </w:r>
      <w:r>
        <w:t xml:space="preserve"> </w:t>
      </w:r>
      <w:r>
        <w:rPr>
          <w:spacing w:val="-6"/>
        </w:rPr>
        <w:t>要求。</w:t>
      </w:r>
    </w:p>
    <w:p w14:paraId="23A67490">
      <w:pPr>
        <w:spacing w:line="221"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5"/>
          <w:sz w:val="27"/>
          <w:szCs w:val="27"/>
        </w:rPr>
        <w:t xml:space="preserve">  </w:t>
      </w:r>
      <w:r>
        <w:rPr>
          <w:rFonts w:ascii="黑体" w:hAnsi="黑体" w:eastAsia="黑体" w:cs="黑体"/>
          <w:b/>
          <w:bCs/>
          <w:sz w:val="27"/>
          <w:szCs w:val="27"/>
        </w:rPr>
        <w:t>引用文档</w:t>
      </w:r>
    </w:p>
    <w:p w14:paraId="7855B1AA">
      <w:pPr>
        <w:pStyle w:val="2"/>
        <w:spacing w:before="59" w:line="286" w:lineRule="auto"/>
        <w:ind w:right="121" w:firstLine="560"/>
      </w:pPr>
      <w:r>
        <w:rPr>
          <w:spacing w:val="-11"/>
        </w:rPr>
        <w:t>本章应列出引用文档的编号、标题、编写单位、修订版及日期，还应标识不能</w:t>
      </w:r>
      <w:r>
        <w:rPr>
          <w:spacing w:val="6"/>
        </w:rPr>
        <w:t xml:space="preserve"> </w:t>
      </w:r>
      <w:r>
        <w:rPr>
          <w:spacing w:val="2"/>
        </w:rPr>
        <w:t>通过正常采购活动得到的文档的来源。</w:t>
      </w:r>
    </w:p>
    <w:p w14:paraId="3F53F1E0">
      <w:pPr>
        <w:spacing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21"/>
          <w:sz w:val="27"/>
          <w:szCs w:val="27"/>
        </w:rPr>
        <w:t xml:space="preserve">  </w:t>
      </w:r>
      <w:r>
        <w:rPr>
          <w:rFonts w:ascii="黑体" w:hAnsi="黑体" w:eastAsia="黑体" w:cs="黑体"/>
          <w:b/>
          <w:bCs/>
          <w:sz w:val="27"/>
          <w:szCs w:val="27"/>
        </w:rPr>
        <w:t>接口设计</w:t>
      </w:r>
    </w:p>
    <w:p w14:paraId="7DDB699C">
      <w:pPr>
        <w:spacing w:before="117" w:line="222" w:lineRule="auto"/>
        <w:rPr>
          <w:rFonts w:ascii="黑体" w:hAnsi="黑体" w:eastAsia="黑体" w:cs="黑体"/>
          <w:sz w:val="24"/>
          <w:szCs w:val="24"/>
        </w:rPr>
      </w:pPr>
      <w:r>
        <w:rPr>
          <w:rFonts w:ascii="黑体" w:hAnsi="黑体" w:eastAsia="黑体" w:cs="黑体"/>
          <w:spacing w:val="24"/>
          <w:sz w:val="24"/>
          <w:szCs w:val="24"/>
        </w:rPr>
        <w:t>3.1</w:t>
      </w:r>
      <w:r>
        <w:rPr>
          <w:rFonts w:ascii="黑体" w:hAnsi="黑体" w:eastAsia="黑体" w:cs="黑体"/>
          <w:spacing w:val="46"/>
          <w:sz w:val="24"/>
          <w:szCs w:val="24"/>
        </w:rPr>
        <w:t xml:space="preserve">  </w:t>
      </w:r>
      <w:r>
        <w:rPr>
          <w:rFonts w:ascii="黑体" w:hAnsi="黑体" w:eastAsia="黑体" w:cs="黑体"/>
          <w:b/>
          <w:bCs/>
          <w:spacing w:val="24"/>
          <w:sz w:val="24"/>
          <w:szCs w:val="24"/>
        </w:rPr>
        <w:t>接口标识和接口图</w:t>
      </w:r>
    </w:p>
    <w:p w14:paraId="7F82E378">
      <w:pPr>
        <w:pStyle w:val="2"/>
        <w:spacing w:before="95" w:line="273" w:lineRule="auto"/>
        <w:ind w:right="19" w:firstLine="560"/>
        <w:jc w:val="both"/>
      </w:pPr>
      <w:r>
        <w:rPr>
          <w:spacing w:val="10"/>
        </w:rPr>
        <w:t>对于1.1中所标识的每个接口，本条应描述赋予该接口的项目唯一的标识</w:t>
      </w:r>
      <w:r>
        <w:t xml:space="preserve"> </w:t>
      </w:r>
      <w:r>
        <w:rPr>
          <w:spacing w:val="-13"/>
        </w:rPr>
        <w:t>符，适当时应使用名称、编号、版本和文档引用等标识接口实体(系统、配</w:t>
      </w:r>
      <w:r>
        <w:rPr>
          <w:spacing w:val="-14"/>
        </w:rPr>
        <w:t>置项、用</w:t>
      </w:r>
      <w:r>
        <w:t xml:space="preserve"> </w:t>
      </w:r>
      <w:r>
        <w:rPr>
          <w:spacing w:val="5"/>
        </w:rPr>
        <w:t>户等)。该标识应说明哪些实体具有固定的接口特性(要给出这些</w:t>
      </w:r>
      <w:r>
        <w:rPr>
          <w:spacing w:val="4"/>
        </w:rPr>
        <w:t>接口实体的接</w:t>
      </w:r>
      <w:r>
        <w:t xml:space="preserve">  </w:t>
      </w:r>
      <w:r>
        <w:rPr>
          <w:spacing w:val="8"/>
        </w:rPr>
        <w:t>口需求),哪些实体正被开发或修改(这些实体已有各自的接口需求)。适当时，</w:t>
      </w:r>
      <w:r>
        <w:rPr>
          <w:spacing w:val="5"/>
        </w:rPr>
        <w:t xml:space="preserve"> </w:t>
      </w:r>
      <w:r>
        <w:rPr>
          <w:spacing w:val="2"/>
        </w:rPr>
        <w:t>可使用一个或多个接口图来描述这些接口。</w:t>
      </w:r>
    </w:p>
    <w:p w14:paraId="266EF55A">
      <w:pPr>
        <w:spacing w:line="368" w:lineRule="exact"/>
        <w:rPr>
          <w:rFonts w:ascii="黑体" w:hAnsi="黑体" w:eastAsia="黑体" w:cs="黑体"/>
          <w:sz w:val="27"/>
          <w:szCs w:val="27"/>
        </w:rPr>
      </w:pPr>
      <w:r>
        <w:rPr>
          <w:rFonts w:ascii="Arial" w:hAnsi="Arial" w:eastAsia="Arial" w:cs="Arial"/>
          <w:spacing w:val="2"/>
          <w:position w:val="1"/>
          <w:sz w:val="27"/>
          <w:szCs w:val="27"/>
        </w:rPr>
        <w:t>3.X</w:t>
      </w:r>
      <w:r>
        <w:rPr>
          <w:rFonts w:ascii="Arial" w:hAnsi="Arial" w:eastAsia="Arial" w:cs="Arial"/>
          <w:spacing w:val="18"/>
          <w:w w:val="101"/>
          <w:position w:val="1"/>
          <w:sz w:val="27"/>
          <w:szCs w:val="27"/>
        </w:rPr>
        <w:t xml:space="preserve">    </w:t>
      </w:r>
      <w:r>
        <w:rPr>
          <w:rFonts w:ascii="黑体" w:hAnsi="黑体" w:eastAsia="黑体" w:cs="黑体"/>
          <w:b/>
          <w:bCs/>
          <w:spacing w:val="2"/>
          <w:position w:val="1"/>
          <w:sz w:val="27"/>
          <w:szCs w:val="27"/>
        </w:rPr>
        <w:t>(接口的项目唯一的标识符)</w:t>
      </w:r>
    </w:p>
    <w:p w14:paraId="19E4ABD8">
      <w:pPr>
        <w:pStyle w:val="2"/>
        <w:spacing w:before="100" w:line="272" w:lineRule="auto"/>
        <w:ind w:right="114" w:firstLine="560"/>
        <w:jc w:val="both"/>
      </w:pPr>
      <w:r>
        <w:rPr>
          <w:spacing w:val="9"/>
        </w:rPr>
        <w:t>本条(从3.2开始编号)应通过项目唯一的标识符标识接口，应简要标</w:t>
      </w:r>
      <w:r>
        <w:rPr>
          <w:spacing w:val="8"/>
        </w:rPr>
        <w:t>识接</w:t>
      </w:r>
      <w:r>
        <w:t xml:space="preserve"> </w:t>
      </w:r>
      <w:r>
        <w:rPr>
          <w:spacing w:val="5"/>
        </w:rPr>
        <w:t>口实体，并且应根据需要分条描述接口实体的单方或双方的接口特性。如果一</w:t>
      </w:r>
      <w:r>
        <w:rPr>
          <w:spacing w:val="3"/>
        </w:rPr>
        <w:t xml:space="preserve"> </w:t>
      </w:r>
      <w:r>
        <w:rPr>
          <w:spacing w:val="7"/>
        </w:rPr>
        <w:t>指定的接口实体没有在</w:t>
      </w:r>
      <w:r>
        <w:rPr>
          <w:spacing w:val="-69"/>
        </w:rPr>
        <w:t xml:space="preserve"> </w:t>
      </w:r>
      <w:r>
        <w:rPr>
          <w:rFonts w:ascii="Times New Roman" w:hAnsi="Times New Roman" w:eastAsia="Times New Roman" w:cs="Times New Roman"/>
        </w:rPr>
        <w:t>IDD</w:t>
      </w:r>
      <w:r>
        <w:rPr>
          <w:rFonts w:ascii="Times New Roman" w:hAnsi="Times New Roman" w:eastAsia="Times New Roman" w:cs="Times New Roman"/>
          <w:spacing w:val="29"/>
        </w:rPr>
        <w:t xml:space="preserve"> </w:t>
      </w:r>
      <w:r>
        <w:rPr>
          <w:spacing w:val="7"/>
        </w:rPr>
        <w:t>中提及(例如一个外部系统),而在本文档描述接口</w:t>
      </w:r>
      <w:r>
        <w:t xml:space="preserve"> </w:t>
      </w:r>
      <w:r>
        <w:rPr>
          <w:spacing w:val="-7"/>
        </w:rPr>
        <w:t>实体时需要提到其接口特征，则这些特征应作为假设予以陈述、或以“当[未涵盖</w:t>
      </w:r>
      <w:r>
        <w:rPr>
          <w:spacing w:val="18"/>
        </w:rPr>
        <w:t xml:space="preserve"> </w:t>
      </w:r>
      <w:r>
        <w:rPr>
          <w:spacing w:val="5"/>
        </w:rPr>
        <w:t>的实体]这样做时，[所指定的实体]将……"的形式描述。本条可引用其他文档</w:t>
      </w:r>
      <w:r>
        <w:t xml:space="preserve"> </w:t>
      </w:r>
      <w:r>
        <w:rPr>
          <w:spacing w:val="-3"/>
        </w:rPr>
        <w:t>(例如数据字典、协议标准、用户接口标准)代替本条的描述信息。若适用，本设</w:t>
      </w:r>
      <w:r>
        <w:rPr>
          <w:spacing w:val="9"/>
        </w:rPr>
        <w:t xml:space="preserve"> </w:t>
      </w:r>
      <w:r>
        <w:rPr>
          <w:spacing w:val="-2"/>
        </w:rPr>
        <w:t>计说明应包括以下内容，可以任何适合于该信息的顺序提供，</w:t>
      </w:r>
      <w:r>
        <w:rPr>
          <w:spacing w:val="-3"/>
        </w:rPr>
        <w:t>并应从接口实体角</w:t>
      </w:r>
      <w:r>
        <w:t xml:space="preserve"> </w:t>
      </w:r>
      <w:r>
        <w:rPr>
          <w:spacing w:val="1"/>
        </w:rPr>
        <w:t>度，说明这些特性之间的区别(例如关于数据元素的大小、频率或其他特性的不</w:t>
      </w:r>
      <w:r>
        <w:rPr>
          <w:spacing w:val="3"/>
        </w:rPr>
        <w:t xml:space="preserve"> </w:t>
      </w:r>
      <w:r>
        <w:rPr>
          <w:spacing w:val="5"/>
        </w:rPr>
        <w:t>同期望值):</w:t>
      </w:r>
    </w:p>
    <w:p w14:paraId="2F4E9209">
      <w:pPr>
        <w:pStyle w:val="2"/>
        <w:spacing w:before="46" w:line="212" w:lineRule="auto"/>
        <w:ind w:left="560"/>
      </w:pPr>
      <w:r>
        <w:rPr>
          <w:rFonts w:ascii="Times New Roman" w:hAnsi="Times New Roman" w:eastAsia="Times New Roman" w:cs="Times New Roman"/>
          <w:spacing w:val="3"/>
        </w:rPr>
        <w:t>a)</w:t>
      </w:r>
      <w:r>
        <w:rPr>
          <w:rFonts w:ascii="Times New Roman" w:hAnsi="Times New Roman" w:eastAsia="Times New Roman" w:cs="Times New Roman"/>
          <w:spacing w:val="75"/>
        </w:rPr>
        <w:t xml:space="preserve"> </w:t>
      </w:r>
      <w:r>
        <w:rPr>
          <w:spacing w:val="3"/>
        </w:rPr>
        <w:t>接口实体分配给接口的优先级别。</w:t>
      </w:r>
    </w:p>
    <w:p w14:paraId="0221889B">
      <w:pPr>
        <w:pStyle w:val="2"/>
        <w:spacing w:before="100" w:line="212" w:lineRule="auto"/>
        <w:ind w:left="560"/>
      </w:pPr>
      <w:r>
        <w:rPr>
          <w:rFonts w:ascii="Times New Roman" w:hAnsi="Times New Roman" w:eastAsia="Times New Roman" w:cs="Times New Roman"/>
          <w:spacing w:val="1"/>
        </w:rPr>
        <w:t>b)</w:t>
      </w:r>
      <w:r>
        <w:rPr>
          <w:rFonts w:ascii="Times New Roman" w:hAnsi="Times New Roman" w:eastAsia="Times New Roman" w:cs="Times New Roman"/>
          <w:spacing w:val="57"/>
        </w:rPr>
        <w:t xml:space="preserve"> </w:t>
      </w:r>
      <w:r>
        <w:rPr>
          <w:spacing w:val="1"/>
        </w:rPr>
        <w:t>要实现的接口的类型(如实时数据传送、数据的存</w:t>
      </w:r>
      <w:r>
        <w:t>储和检索等)。</w:t>
      </w:r>
    </w:p>
    <w:p w14:paraId="1368F2A7">
      <w:pPr>
        <w:pStyle w:val="2"/>
        <w:spacing w:before="11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52"/>
          <w:w w:val="101"/>
        </w:rPr>
        <w:t xml:space="preserve"> </w:t>
      </w:r>
      <w:r>
        <w:rPr>
          <w:spacing w:val="-4"/>
        </w:rPr>
        <w:t>接口实体必须提供、存储、发送、访问、接收的</w:t>
      </w:r>
      <w:r>
        <w:rPr>
          <w:spacing w:val="-5"/>
        </w:rPr>
        <w:t>各个数据元素的特征，如</w:t>
      </w:r>
    </w:p>
    <w:p w14:paraId="04F7AA8A">
      <w:pPr>
        <w:pStyle w:val="2"/>
        <w:spacing w:before="135" w:line="272" w:lineRule="auto"/>
        <w:jc w:val="both"/>
      </w:pPr>
      <w:r>
        <w:rPr>
          <w:spacing w:val="-2"/>
        </w:rPr>
        <w:t>1)名称/标识符，含项目唯一的标识符，非技术</w:t>
      </w:r>
      <w:r>
        <w:rPr>
          <w:spacing w:val="-3"/>
        </w:rPr>
        <w:t>(自然语言)名称，数据元素名称，</w:t>
      </w:r>
      <w:r>
        <w:t xml:space="preserve"> </w:t>
      </w:r>
      <w:r>
        <w:rPr>
          <w:spacing w:val="9"/>
        </w:rPr>
        <w:t>技术名称(如代码或数据库中的变量或字段名),缩</w:t>
      </w:r>
      <w:r>
        <w:rPr>
          <w:spacing w:val="8"/>
        </w:rPr>
        <w:t>写名或同义名；2)数据类型</w:t>
      </w:r>
      <w:r>
        <w:t xml:space="preserve">  </w:t>
      </w:r>
      <w:r>
        <w:rPr>
          <w:spacing w:val="-2"/>
        </w:rPr>
        <w:t>(字母、数字、整数等);3)大小和格式</w:t>
      </w:r>
      <w:r>
        <w:rPr>
          <w:spacing w:val="-3"/>
        </w:rPr>
        <w:t>(如字符串的长度和标点符号);4)计量单位</w:t>
      </w:r>
      <w:r>
        <w:t xml:space="preserve">  </w:t>
      </w:r>
      <w:r>
        <w:rPr>
          <w:spacing w:val="10"/>
        </w:rPr>
        <w:t>(如</w:t>
      </w:r>
      <w:r>
        <w:rPr>
          <w:spacing w:val="-75"/>
        </w:rPr>
        <w:t xml:space="preserve"> </w:t>
      </w:r>
      <w:r>
        <w:rPr>
          <w:rFonts w:ascii="Times New Roman" w:hAnsi="Times New Roman" w:eastAsia="Times New Roman" w:cs="Times New Roman"/>
          <w:spacing w:val="10"/>
        </w:rPr>
        <w:t>m);5)</w:t>
      </w:r>
      <w:r>
        <w:rPr>
          <w:rFonts w:ascii="Times New Roman" w:hAnsi="Times New Roman" w:eastAsia="Times New Roman" w:cs="Times New Roman"/>
          <w:spacing w:val="23"/>
          <w:w w:val="101"/>
        </w:rPr>
        <w:t xml:space="preserve">  </w:t>
      </w:r>
      <w:r>
        <w:rPr>
          <w:spacing w:val="10"/>
        </w:rPr>
        <w:t>可能值的范围或枚举(如0～99);6)准确度(正确程度)和精度(</w:t>
      </w:r>
      <w:r>
        <w:rPr>
          <w:spacing w:val="9"/>
        </w:rPr>
        <w:t>有效</w:t>
      </w:r>
      <w:r>
        <w:t xml:space="preserve">  </w:t>
      </w:r>
      <w:r>
        <w:rPr>
          <w:spacing w:val="-16"/>
        </w:rPr>
        <w:t>数字位数);7)优先级别、时序、频率、容量、序</w:t>
      </w:r>
      <w:r>
        <w:rPr>
          <w:spacing w:val="-17"/>
        </w:rPr>
        <w:t>列、其他的约束条件，如：数据元素</w:t>
      </w:r>
      <w:r>
        <w:t xml:space="preserve">  </w:t>
      </w:r>
      <w:r>
        <w:rPr>
          <w:spacing w:val="-6"/>
        </w:rPr>
        <w:t>是否可被更新、业务规则是否适用；8)保密性约束；9)来源(设置/发送实体)和接</w:t>
      </w:r>
      <w:r>
        <w:rPr>
          <w:spacing w:val="9"/>
        </w:rPr>
        <w:t xml:space="preserve">  </w:t>
      </w:r>
      <w:r>
        <w:t>收者(使用/接收实体)。</w:t>
      </w:r>
    </w:p>
    <w:p w14:paraId="22A593B7">
      <w:pPr>
        <w:pStyle w:val="2"/>
        <w:spacing w:before="60" w:line="212" w:lineRule="auto"/>
        <w:jc w:val="right"/>
      </w:pPr>
      <w:r>
        <w:rPr>
          <w:rFonts w:ascii="Times New Roman" w:hAnsi="Times New Roman" w:eastAsia="Times New Roman" w:cs="Times New Roman"/>
          <w:spacing w:val="-12"/>
        </w:rPr>
        <w:t xml:space="preserve">d)  </w:t>
      </w:r>
      <w:r>
        <w:rPr>
          <w:spacing w:val="-12"/>
        </w:rPr>
        <w:t>接口实体应提供、存储、发送、访问、接</w:t>
      </w:r>
      <w:r>
        <w:rPr>
          <w:spacing w:val="-13"/>
        </w:rPr>
        <w:t>收的数据元素组合体(记录、消息、</w:t>
      </w:r>
    </w:p>
    <w:p w14:paraId="2A2A3BA9">
      <w:pPr>
        <w:spacing w:line="212" w:lineRule="auto"/>
        <w:sectPr>
          <w:footerReference r:id="rId203" w:type="default"/>
          <w:pgSz w:w="11910" w:h="17130"/>
          <w:pgMar w:top="1456" w:right="1325" w:bottom="1673" w:left="1090" w:header="0" w:footer="1474" w:gutter="0"/>
          <w:cols w:space="720" w:num="1"/>
        </w:sectPr>
      </w:pPr>
    </w:p>
    <w:p w14:paraId="7E649693">
      <w:pPr>
        <w:pStyle w:val="2"/>
        <w:spacing w:before="143" w:line="277" w:lineRule="auto"/>
        <w:ind w:right="110"/>
        <w:jc w:val="both"/>
      </w:pPr>
      <w:r>
        <w:rPr>
          <w:spacing w:val="-4"/>
        </w:rPr>
        <w:t>文件、显示、报表等)的特征，如</w:t>
      </w:r>
      <w:r>
        <w:rPr>
          <w:spacing w:val="-64"/>
        </w:rPr>
        <w:t xml:space="preserve"> </w:t>
      </w:r>
      <w:r>
        <w:rPr>
          <w:rFonts w:ascii="仿宋" w:hAnsi="仿宋" w:eastAsia="仿宋" w:cs="仿宋"/>
          <w:spacing w:val="-4"/>
        </w:rPr>
        <w:t>1)名称/</w:t>
      </w:r>
      <w:r>
        <w:rPr>
          <w:spacing w:val="-4"/>
        </w:rPr>
        <w:t>标识符，含</w:t>
      </w:r>
      <w:r>
        <w:rPr>
          <w:spacing w:val="-5"/>
        </w:rPr>
        <w:t>项目唯一的标识符，非技术</w:t>
      </w:r>
      <w:r>
        <w:t xml:space="preserve"> </w:t>
      </w:r>
      <w:r>
        <w:rPr>
          <w:spacing w:val="2"/>
        </w:rPr>
        <w:t>(自然语言)名称，技术名称(如代码或数据库</w:t>
      </w:r>
      <w:r>
        <w:rPr>
          <w:spacing w:val="1"/>
        </w:rPr>
        <w:t>中的记录或数据结构),缩写名或同</w:t>
      </w:r>
      <w:r>
        <w:t xml:space="preserve"> </w:t>
      </w:r>
      <w:r>
        <w:rPr>
          <w:spacing w:val="-2"/>
        </w:rPr>
        <w:t>义名；2)数据元素集合体中的数据元素及其结构(编号、次序、分组);3)</w:t>
      </w:r>
      <w:r>
        <w:rPr>
          <w:spacing w:val="-3"/>
        </w:rPr>
        <w:t>媒体(如</w:t>
      </w:r>
      <w:r>
        <w:t xml:space="preserve"> </w:t>
      </w:r>
      <w:r>
        <w:rPr>
          <w:spacing w:val="5"/>
        </w:rPr>
        <w:t>盘)和媒体中数据元素/数据元素集合体的结构；4)显示和其他输出的视听特性</w:t>
      </w:r>
      <w:r>
        <w:t xml:space="preserve"> </w:t>
      </w:r>
      <w:r>
        <w:rPr>
          <w:spacing w:val="-13"/>
        </w:rPr>
        <w:t>(如颜色、布局、字体、图标和其他显示元素、蜂鸣声、亮度等);5)数据元素集合体</w:t>
      </w:r>
      <w:r>
        <w:rPr>
          <w:spacing w:val="12"/>
        </w:rPr>
        <w:t xml:space="preserve"> </w:t>
      </w:r>
      <w:r>
        <w:rPr>
          <w:spacing w:val="-20"/>
        </w:rPr>
        <w:t>之间的关系，如排序/访问特性；6)优先级别、时序、频率、容量、序列、其他的约束</w:t>
      </w:r>
      <w:r>
        <w:rPr>
          <w:spacing w:val="16"/>
        </w:rPr>
        <w:t xml:space="preserve"> </w:t>
      </w:r>
      <w:r>
        <w:rPr>
          <w:spacing w:val="-9"/>
        </w:rPr>
        <w:t>条件，如数据元素集合体是否可被修改、业务</w:t>
      </w:r>
      <w:r>
        <w:rPr>
          <w:spacing w:val="-10"/>
        </w:rPr>
        <w:t>规则是否适用；7)保密性约束；8)来</w:t>
      </w:r>
      <w:r>
        <w:t xml:space="preserve"> </w:t>
      </w:r>
      <w:r>
        <w:rPr>
          <w:spacing w:val="2"/>
        </w:rPr>
        <w:t>源(设置/发送实体)和接收者(使用/接收实体)。</w:t>
      </w:r>
    </w:p>
    <w:p w14:paraId="60546263">
      <w:pPr>
        <w:pStyle w:val="2"/>
        <w:spacing w:line="212" w:lineRule="auto"/>
        <w:jc w:val="right"/>
      </w:pPr>
      <w:r>
        <w:rPr>
          <w:rFonts w:ascii="Times New Roman" w:hAnsi="Times New Roman" w:eastAsia="Times New Roman" w:cs="Times New Roman"/>
          <w:spacing w:val="15"/>
        </w:rPr>
        <w:t>e)</w:t>
      </w:r>
      <w:r>
        <w:rPr>
          <w:rFonts w:ascii="Times New Roman" w:hAnsi="Times New Roman" w:eastAsia="Times New Roman" w:cs="Times New Roman"/>
          <w:spacing w:val="63"/>
          <w:w w:val="101"/>
        </w:rPr>
        <w:t xml:space="preserve"> </w:t>
      </w:r>
      <w:r>
        <w:rPr>
          <w:spacing w:val="15"/>
        </w:rPr>
        <w:t>接口实体将为接口使用的通信方法的特征，如1)项目唯一的标识</w:t>
      </w:r>
      <w:r>
        <w:rPr>
          <w:spacing w:val="14"/>
        </w:rPr>
        <w:t>符；</w:t>
      </w:r>
    </w:p>
    <w:p w14:paraId="28B22617">
      <w:pPr>
        <w:pStyle w:val="2"/>
        <w:spacing w:before="109" w:line="277" w:lineRule="auto"/>
        <w:ind w:right="101"/>
        <w:jc w:val="both"/>
      </w:pPr>
      <w:r>
        <w:rPr>
          <w:spacing w:val="-2"/>
        </w:rPr>
        <w:t>2)通信链接/带宽/频率/媒体及其特性；3)消息格式化；4)流控制(如序列编号和</w:t>
      </w:r>
      <w:r>
        <w:rPr>
          <w:spacing w:val="1"/>
        </w:rPr>
        <w:t xml:space="preserve"> </w:t>
      </w:r>
      <w:r>
        <w:rPr>
          <w:spacing w:val="-12"/>
        </w:rPr>
        <w:t>缓冲区分配);5)数据传送速率，周期性/非周期性，传输间隔；6)路由、寻址、命名</w:t>
      </w:r>
      <w:r>
        <w:rPr>
          <w:spacing w:val="7"/>
        </w:rPr>
        <w:t xml:space="preserve"> </w:t>
      </w:r>
      <w:r>
        <w:rPr>
          <w:spacing w:val="-6"/>
        </w:rPr>
        <w:t>约定；7)传输服务，包括优先级别和等级；8)安全性/保密性方面的考虑，如：加</w:t>
      </w:r>
      <w:r>
        <w:rPr>
          <w:spacing w:val="12"/>
        </w:rPr>
        <w:t xml:space="preserve"> </w:t>
      </w:r>
      <w:r>
        <w:rPr>
          <w:spacing w:val="-26"/>
        </w:rPr>
        <w:t>密、用户鉴别、隔离、审核等。</w:t>
      </w:r>
    </w:p>
    <w:p w14:paraId="052DF19F">
      <w:pPr>
        <w:pStyle w:val="2"/>
        <w:spacing w:before="2" w:line="264" w:lineRule="auto"/>
        <w:ind w:right="102" w:firstLine="550"/>
      </w:pPr>
      <w:r>
        <w:rPr>
          <w:rFonts w:ascii="Times New Roman" w:hAnsi="Times New Roman" w:eastAsia="Times New Roman" w:cs="Times New Roman"/>
          <w:spacing w:val="4"/>
        </w:rPr>
        <w:t xml:space="preserve">f)  </w:t>
      </w:r>
      <w:r>
        <w:rPr>
          <w:spacing w:val="4"/>
        </w:rPr>
        <w:t>接口实体将为接口使用的协议的特征，如1)项目唯一的标识符；2)</w:t>
      </w:r>
      <w:r>
        <w:rPr>
          <w:spacing w:val="3"/>
        </w:rPr>
        <w:t>协议</w:t>
      </w:r>
      <w:r>
        <w:t xml:space="preserve"> </w:t>
      </w:r>
      <w:r>
        <w:rPr>
          <w:spacing w:val="-13"/>
        </w:rPr>
        <w:t>的优先级别/层次；3)打包，包括分段和重组、路由、寻址；4)合法性检查、错误控</w:t>
      </w:r>
      <w:r>
        <w:rPr>
          <w:spacing w:val="12"/>
        </w:rPr>
        <w:t xml:space="preserve"> </w:t>
      </w:r>
      <w:r>
        <w:rPr>
          <w:spacing w:val="-16"/>
        </w:rPr>
        <w:t>制和恢复过程；5)同步，包括连接的建立、维护、终止；6)状态、标识</w:t>
      </w:r>
      <w:r>
        <w:rPr>
          <w:spacing w:val="-17"/>
        </w:rPr>
        <w:t>、任何其他报</w:t>
      </w:r>
      <w:r>
        <w:t xml:space="preserve"> </w:t>
      </w:r>
      <w:r>
        <w:rPr>
          <w:spacing w:val="-3"/>
        </w:rPr>
        <w:t>告特征。</w:t>
      </w:r>
    </w:p>
    <w:p w14:paraId="2C3DAB35">
      <w:pPr>
        <w:pStyle w:val="2"/>
        <w:spacing w:before="73" w:line="260" w:lineRule="auto"/>
        <w:ind w:right="105" w:firstLine="550"/>
      </w:pPr>
      <w:r>
        <w:rPr>
          <w:rFonts w:ascii="Times New Roman" w:hAnsi="Times New Roman" w:eastAsia="Times New Roman" w:cs="Times New Roman"/>
          <w:spacing w:val="-8"/>
        </w:rPr>
        <w:t xml:space="preserve">g)  </w:t>
      </w:r>
      <w:r>
        <w:rPr>
          <w:spacing w:val="-8"/>
        </w:rPr>
        <w:t>其他特性，如接口实体的物理兼容性(尺寸、公差、</w:t>
      </w:r>
      <w:r>
        <w:rPr>
          <w:spacing w:val="-9"/>
        </w:rPr>
        <w:t>负荷、电压和接插件兼</w:t>
      </w:r>
      <w:r>
        <w:t xml:space="preserve"> </w:t>
      </w:r>
      <w:r>
        <w:rPr>
          <w:spacing w:val="-4"/>
        </w:rPr>
        <w:t>容性等)。</w:t>
      </w:r>
    </w:p>
    <w:p w14:paraId="303F4AD7">
      <w:pPr>
        <w:spacing w:before="74" w:line="222"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需求的可追踪性</w:t>
      </w:r>
    </w:p>
    <w:p w14:paraId="21C57FBF">
      <w:pPr>
        <w:pStyle w:val="2"/>
        <w:spacing w:before="89" w:line="219" w:lineRule="auto"/>
        <w:ind w:left="550"/>
      </w:pPr>
      <w:r>
        <w:rPr>
          <w:spacing w:val="-1"/>
        </w:rPr>
        <w:t>本章应描述：</w:t>
      </w:r>
    </w:p>
    <w:p w14:paraId="57E51484">
      <w:pPr>
        <w:pStyle w:val="2"/>
        <w:spacing w:before="62" w:line="257" w:lineRule="auto"/>
        <w:ind w:right="108" w:firstLine="550"/>
      </w:pPr>
      <w:r>
        <w:rPr>
          <w:rFonts w:ascii="Times New Roman" w:hAnsi="Times New Roman" w:eastAsia="Times New Roman" w:cs="Times New Roman"/>
          <w:spacing w:val="12"/>
        </w:rPr>
        <w:t>a)</w:t>
      </w:r>
      <w:r>
        <w:rPr>
          <w:rFonts w:ascii="Times New Roman" w:hAnsi="Times New Roman" w:eastAsia="Times New Roman" w:cs="Times New Roman"/>
          <w:spacing w:val="64"/>
        </w:rPr>
        <w:t xml:space="preserve"> </w:t>
      </w:r>
      <w:r>
        <w:rPr>
          <w:spacing w:val="12"/>
        </w:rPr>
        <w:t>从本文档中每个接口实体到相应的系统或计算机软件配置项需求之间</w:t>
      </w:r>
      <w:r>
        <w:t xml:space="preserve"> </w:t>
      </w:r>
      <w:r>
        <w:rPr>
          <w:spacing w:val="-4"/>
        </w:rPr>
        <w:t>的可追踪性。</w:t>
      </w:r>
    </w:p>
    <w:p w14:paraId="620685B8">
      <w:pPr>
        <w:pStyle w:val="2"/>
        <w:spacing w:before="56" w:line="268" w:lineRule="auto"/>
        <w:ind w:right="121" w:firstLine="550"/>
      </w:pPr>
      <w:r>
        <w:rPr>
          <w:rFonts w:ascii="Times New Roman" w:hAnsi="Times New Roman" w:eastAsia="Times New Roman" w:cs="Times New Roman"/>
          <w:spacing w:val="11"/>
        </w:rPr>
        <w:t>b)</w:t>
      </w:r>
      <w:r>
        <w:rPr>
          <w:rFonts w:ascii="Times New Roman" w:hAnsi="Times New Roman" w:eastAsia="Times New Roman" w:cs="Times New Roman"/>
          <w:spacing w:val="68"/>
        </w:rPr>
        <w:t xml:space="preserve"> </w:t>
      </w:r>
      <w:r>
        <w:rPr>
          <w:spacing w:val="11"/>
        </w:rPr>
        <w:t>从影响本文档接口的每个系统或计算机软件配置项需求到相应接口实</w:t>
      </w:r>
      <w:r>
        <w:t xml:space="preserve"> 体之间的可追踪性。</w:t>
      </w:r>
    </w:p>
    <w:p w14:paraId="1E71E906">
      <w:pPr>
        <w:spacing w:before="62" w:line="222" w:lineRule="auto"/>
        <w:rPr>
          <w:rFonts w:ascii="黑体" w:hAnsi="黑体" w:eastAsia="黑体" w:cs="黑体"/>
          <w:sz w:val="27"/>
          <w:szCs w:val="27"/>
        </w:rPr>
      </w:pPr>
      <w:r>
        <w:rPr>
          <w:rFonts w:ascii="黑体" w:hAnsi="黑体" w:eastAsia="黑体" w:cs="黑体"/>
          <w:spacing w:val="-6"/>
          <w:sz w:val="27"/>
          <w:szCs w:val="27"/>
        </w:rPr>
        <w:t>5</w:t>
      </w:r>
      <w:r>
        <w:rPr>
          <w:rFonts w:ascii="黑体" w:hAnsi="黑体" w:eastAsia="黑体" w:cs="黑体"/>
          <w:spacing w:val="6"/>
          <w:sz w:val="27"/>
          <w:szCs w:val="27"/>
        </w:rPr>
        <w:t xml:space="preserve">  </w:t>
      </w:r>
      <w:r>
        <w:rPr>
          <w:rFonts w:ascii="黑体" w:hAnsi="黑体" w:eastAsia="黑体" w:cs="黑体"/>
          <w:b/>
          <w:bCs/>
          <w:spacing w:val="-6"/>
          <w:sz w:val="27"/>
          <w:szCs w:val="27"/>
        </w:rPr>
        <w:t>注释</w:t>
      </w:r>
    </w:p>
    <w:p w14:paraId="39A3F486">
      <w:pPr>
        <w:pStyle w:val="2"/>
        <w:spacing w:before="129" w:line="219" w:lineRule="auto"/>
        <w:ind w:left="550"/>
      </w:pPr>
      <w:r>
        <w:rPr>
          <w:spacing w:val="-4"/>
        </w:rPr>
        <w:t>本章应包括有助于了解文档的所有信息(例如背景、术语、缩略语或公式)。</w:t>
      </w:r>
    </w:p>
    <w:p w14:paraId="43710D68">
      <w:pPr>
        <w:spacing w:line="308" w:lineRule="auto"/>
        <w:rPr>
          <w:rFonts w:ascii="Arial"/>
          <w:sz w:val="21"/>
        </w:rPr>
      </w:pPr>
    </w:p>
    <w:p w14:paraId="236DCC15">
      <w:pPr>
        <w:pStyle w:val="2"/>
        <w:spacing w:before="118" w:line="219" w:lineRule="auto"/>
        <w:ind w:left="2939"/>
        <w:outlineLvl w:val="1"/>
        <w:rPr>
          <w:sz w:val="36"/>
          <w:szCs w:val="36"/>
        </w:rPr>
      </w:pPr>
      <w:r>
        <w:rPr>
          <w:rFonts w:ascii="Times New Roman" w:hAnsi="Times New Roman" w:eastAsia="Times New Roman" w:cs="Times New Roman"/>
          <w:b/>
          <w:bCs/>
          <w:spacing w:val="2"/>
          <w:sz w:val="36"/>
          <w:szCs w:val="36"/>
        </w:rPr>
        <w:t xml:space="preserve">2.6     </w:t>
      </w:r>
      <w:r>
        <w:rPr>
          <w:b/>
          <w:bCs/>
          <w:spacing w:val="2"/>
          <w:sz w:val="36"/>
          <w:szCs w:val="36"/>
        </w:rPr>
        <w:t>软件研制任务书</w:t>
      </w:r>
    </w:p>
    <w:p w14:paraId="043FA847">
      <w:pPr>
        <w:spacing w:line="330" w:lineRule="auto"/>
        <w:rPr>
          <w:rFonts w:ascii="Arial"/>
          <w:sz w:val="21"/>
        </w:rPr>
      </w:pPr>
    </w:p>
    <w:p w14:paraId="7F7A05E7">
      <w:pPr>
        <w:pStyle w:val="2"/>
        <w:spacing w:before="92" w:line="225" w:lineRule="auto"/>
        <w:ind w:left="55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438B—2009</w:t>
      </w:r>
      <w:r>
        <w:rPr>
          <w:spacing w:val="-11"/>
          <w:sz w:val="28"/>
          <w:szCs w:val="28"/>
        </w:rPr>
        <w:t>《</w:t>
      </w:r>
      <w:r>
        <w:rPr>
          <w:rFonts w:ascii="楷体" w:hAnsi="楷体" w:eastAsia="楷体" w:cs="楷体"/>
          <w:spacing w:val="-11"/>
          <w:sz w:val="28"/>
          <w:szCs w:val="28"/>
        </w:rPr>
        <w:t>军用软件开发文档通用要求》编写。</w:t>
      </w:r>
    </w:p>
    <w:p w14:paraId="09BD5234">
      <w:pPr>
        <w:spacing w:before="58"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16"/>
          <w:sz w:val="27"/>
          <w:szCs w:val="27"/>
        </w:rPr>
        <w:t xml:space="preserve">  </w:t>
      </w:r>
      <w:r>
        <w:rPr>
          <w:rFonts w:ascii="黑体" w:hAnsi="黑体" w:eastAsia="黑体" w:cs="黑体"/>
          <w:b/>
          <w:bCs/>
          <w:spacing w:val="-13"/>
          <w:sz w:val="27"/>
          <w:szCs w:val="27"/>
        </w:rPr>
        <w:t>范围</w:t>
      </w:r>
    </w:p>
    <w:p w14:paraId="60CE2F98">
      <w:pPr>
        <w:spacing w:before="113" w:line="222" w:lineRule="auto"/>
        <w:rPr>
          <w:rFonts w:ascii="黑体" w:hAnsi="黑体" w:eastAsia="黑体" w:cs="黑体"/>
          <w:sz w:val="24"/>
          <w:szCs w:val="24"/>
        </w:rPr>
      </w:pPr>
      <w:r>
        <w:rPr>
          <w:rFonts w:ascii="黑体" w:hAnsi="黑体" w:eastAsia="黑体" w:cs="黑体"/>
          <w:spacing w:val="-5"/>
          <w:sz w:val="24"/>
          <w:szCs w:val="24"/>
        </w:rPr>
        <w:t>1.</w:t>
      </w:r>
      <w:r>
        <w:rPr>
          <w:rFonts w:ascii="黑体" w:hAnsi="黑体" w:eastAsia="黑体" w:cs="黑体"/>
          <w:b/>
          <w:bCs/>
          <w:spacing w:val="-5"/>
          <w:sz w:val="24"/>
          <w:szCs w:val="24"/>
        </w:rPr>
        <w:t>1</w:t>
      </w:r>
      <w:r>
        <w:rPr>
          <w:rFonts w:ascii="黑体" w:hAnsi="黑体" w:eastAsia="黑体" w:cs="黑体"/>
          <w:spacing w:val="47"/>
          <w:sz w:val="24"/>
          <w:szCs w:val="24"/>
        </w:rPr>
        <w:t xml:space="preserve">  </w:t>
      </w:r>
      <w:r>
        <w:rPr>
          <w:rFonts w:ascii="黑体" w:hAnsi="黑体" w:eastAsia="黑体" w:cs="黑体"/>
          <w:b/>
          <w:bCs/>
          <w:spacing w:val="-5"/>
          <w:sz w:val="24"/>
          <w:szCs w:val="24"/>
        </w:rPr>
        <w:t>标</w:t>
      </w:r>
      <w:r>
        <w:rPr>
          <w:rFonts w:ascii="黑体" w:hAnsi="黑体" w:eastAsia="黑体" w:cs="黑体"/>
          <w:spacing w:val="-42"/>
          <w:sz w:val="24"/>
          <w:szCs w:val="24"/>
        </w:rPr>
        <w:t xml:space="preserve"> </w:t>
      </w:r>
      <w:r>
        <w:rPr>
          <w:rFonts w:ascii="黑体" w:hAnsi="黑体" w:eastAsia="黑体" w:cs="黑体"/>
          <w:b/>
          <w:bCs/>
          <w:spacing w:val="-5"/>
          <w:sz w:val="24"/>
          <w:szCs w:val="24"/>
        </w:rPr>
        <w:t>识</w:t>
      </w:r>
    </w:p>
    <w:p w14:paraId="64EAB44A">
      <w:pPr>
        <w:pStyle w:val="2"/>
        <w:spacing w:before="153" w:line="219" w:lineRule="auto"/>
        <w:ind w:left="550"/>
        <w:rPr>
          <w:sz w:val="25"/>
          <w:szCs w:val="25"/>
        </w:rPr>
      </w:pPr>
      <w:r>
        <w:rPr>
          <w:spacing w:val="17"/>
          <w:sz w:val="25"/>
          <w:szCs w:val="25"/>
        </w:rPr>
        <w:t>本条应描述本文档所适用的系统和软件的完整标识，适用时，应描述其标识</w:t>
      </w:r>
    </w:p>
    <w:p w14:paraId="05CD4D30">
      <w:pPr>
        <w:spacing w:line="219" w:lineRule="auto"/>
        <w:rPr>
          <w:sz w:val="25"/>
          <w:szCs w:val="25"/>
        </w:rPr>
        <w:sectPr>
          <w:footerReference r:id="rId204" w:type="default"/>
          <w:pgSz w:w="11910" w:h="17130"/>
          <w:pgMar w:top="1456" w:right="814" w:bottom="1543" w:left="1609" w:header="0" w:footer="1344" w:gutter="0"/>
          <w:cols w:space="720" w:num="1"/>
        </w:sectPr>
      </w:pPr>
    </w:p>
    <w:p w14:paraId="2E2F81E6">
      <w:pPr>
        <w:pStyle w:val="2"/>
        <w:spacing w:before="173" w:line="219" w:lineRule="auto"/>
      </w:pPr>
      <w:r>
        <w:rPr>
          <w:spacing w:val="-21"/>
        </w:rPr>
        <w:t>号、名称、缩略名、版本号和发布号。</w:t>
      </w:r>
    </w:p>
    <w:p w14:paraId="59834D80">
      <w:pPr>
        <w:spacing w:before="94" w:line="221" w:lineRule="auto"/>
        <w:rPr>
          <w:rFonts w:ascii="黑体" w:hAnsi="黑体" w:eastAsia="黑体" w:cs="黑体"/>
          <w:sz w:val="24"/>
          <w:szCs w:val="24"/>
        </w:rPr>
      </w:pPr>
      <w:r>
        <w:rPr>
          <w:rFonts w:ascii="黑体" w:hAnsi="黑体" w:eastAsia="黑体" w:cs="黑体"/>
          <w:spacing w:val="11"/>
          <w:sz w:val="24"/>
          <w:szCs w:val="24"/>
        </w:rPr>
        <w:t>1.2</w:t>
      </w:r>
      <w:r>
        <w:rPr>
          <w:rFonts w:ascii="黑体" w:hAnsi="黑体" w:eastAsia="黑体" w:cs="黑体"/>
          <w:spacing w:val="53"/>
          <w:sz w:val="24"/>
          <w:szCs w:val="24"/>
        </w:rPr>
        <w:t xml:space="preserve">  </w:t>
      </w:r>
      <w:r>
        <w:rPr>
          <w:rFonts w:ascii="黑体" w:hAnsi="黑体" w:eastAsia="黑体" w:cs="黑体"/>
          <w:b/>
          <w:bCs/>
          <w:spacing w:val="11"/>
          <w:sz w:val="24"/>
          <w:szCs w:val="24"/>
        </w:rPr>
        <w:t>系统概述</w:t>
      </w:r>
    </w:p>
    <w:p w14:paraId="67FBFF8E">
      <w:pPr>
        <w:pStyle w:val="2"/>
        <w:spacing w:before="57" w:line="293" w:lineRule="auto"/>
        <w:ind w:right="6" w:firstLine="550"/>
        <w:jc w:val="both"/>
      </w:pPr>
      <w:r>
        <w:rPr>
          <w:spacing w:val="5"/>
        </w:rPr>
        <w:t>本条应概述本文档适用的系统和软件的用途。它还应描述系统与软件的一</w:t>
      </w:r>
      <w:r>
        <w:rPr>
          <w:spacing w:val="14"/>
        </w:rPr>
        <w:t xml:space="preserve"> </w:t>
      </w:r>
      <w:r>
        <w:rPr>
          <w:spacing w:val="-10"/>
        </w:rPr>
        <w:t>般特性；概述系统开发、运行和维护的历史；标识项目的需方、用户、开发方</w:t>
      </w:r>
      <w:r>
        <w:rPr>
          <w:spacing w:val="-11"/>
        </w:rPr>
        <w:t>和保</w:t>
      </w:r>
      <w:r>
        <w:t xml:space="preserve"> </w:t>
      </w:r>
      <w:r>
        <w:rPr>
          <w:spacing w:val="-7"/>
        </w:rPr>
        <w:t>障机构等；标识当前和计划的运行现场；列出其他有关文档。</w:t>
      </w:r>
    </w:p>
    <w:p w14:paraId="2B15A872">
      <w:pPr>
        <w:spacing w:before="1" w:line="220" w:lineRule="auto"/>
        <w:rPr>
          <w:rFonts w:ascii="黑体" w:hAnsi="黑体" w:eastAsia="黑体" w:cs="黑体"/>
          <w:sz w:val="24"/>
          <w:szCs w:val="24"/>
        </w:rPr>
      </w:pPr>
      <w:r>
        <w:rPr>
          <w:rFonts w:ascii="黑体" w:hAnsi="黑体" w:eastAsia="黑体" w:cs="黑体"/>
          <w:spacing w:val="11"/>
          <w:sz w:val="24"/>
          <w:szCs w:val="24"/>
        </w:rPr>
        <w:t>1.3</w:t>
      </w:r>
      <w:r>
        <w:rPr>
          <w:rFonts w:ascii="黑体" w:hAnsi="黑体" w:eastAsia="黑体" w:cs="黑体"/>
          <w:spacing w:val="53"/>
          <w:sz w:val="24"/>
          <w:szCs w:val="24"/>
        </w:rPr>
        <w:t xml:space="preserve">  </w:t>
      </w:r>
      <w:r>
        <w:rPr>
          <w:rFonts w:ascii="黑体" w:hAnsi="黑体" w:eastAsia="黑体" w:cs="黑体"/>
          <w:b/>
          <w:bCs/>
          <w:spacing w:val="11"/>
          <w:sz w:val="24"/>
          <w:szCs w:val="24"/>
        </w:rPr>
        <w:t>文档概述</w:t>
      </w:r>
    </w:p>
    <w:p w14:paraId="5CB66799">
      <w:pPr>
        <w:pStyle w:val="2"/>
        <w:spacing w:before="59" w:line="289" w:lineRule="auto"/>
        <w:ind w:firstLine="550"/>
      </w:pPr>
      <w:r>
        <w:rPr>
          <w:spacing w:val="6"/>
        </w:rPr>
        <w:t>本条应概述本文档的用途和内容，并描述与它</w:t>
      </w:r>
      <w:r>
        <w:rPr>
          <w:spacing w:val="5"/>
        </w:rPr>
        <w:t>的使用有关的保密性方面的</w:t>
      </w:r>
      <w:r>
        <w:t xml:space="preserve"> </w:t>
      </w:r>
      <w:r>
        <w:rPr>
          <w:spacing w:val="-4"/>
        </w:rPr>
        <w:t>要求。</w:t>
      </w:r>
    </w:p>
    <w:p w14:paraId="769F3946">
      <w:pPr>
        <w:spacing w:line="221"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5"/>
          <w:sz w:val="27"/>
          <w:szCs w:val="27"/>
        </w:rPr>
        <w:t xml:space="preserve">  </w:t>
      </w:r>
      <w:r>
        <w:rPr>
          <w:rFonts w:ascii="黑体" w:hAnsi="黑体" w:eastAsia="黑体" w:cs="黑体"/>
          <w:b/>
          <w:bCs/>
          <w:spacing w:val="-2"/>
          <w:sz w:val="27"/>
          <w:szCs w:val="27"/>
        </w:rPr>
        <w:t>引用文档</w:t>
      </w:r>
    </w:p>
    <w:p w14:paraId="3CBE09B7">
      <w:pPr>
        <w:pStyle w:val="2"/>
        <w:spacing w:before="81" w:line="282" w:lineRule="auto"/>
        <w:ind w:right="7" w:firstLine="550"/>
      </w:pPr>
      <w:r>
        <w:rPr>
          <w:spacing w:val="-11"/>
        </w:rPr>
        <w:t>本章应列出引用文档的编号、标题、编写单位、修订版及日期，还应标识不能</w:t>
      </w:r>
      <w:r>
        <w:rPr>
          <w:spacing w:val="6"/>
        </w:rPr>
        <w:t xml:space="preserve"> </w:t>
      </w:r>
      <w:r>
        <w:rPr>
          <w:spacing w:val="3"/>
        </w:rPr>
        <w:t>通过正常采购活动得到的文档的来源。</w:t>
      </w:r>
    </w:p>
    <w:p w14:paraId="0FAF0BEE">
      <w:pPr>
        <w:spacing w:before="1" w:line="221"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7"/>
          <w:sz w:val="27"/>
          <w:szCs w:val="27"/>
        </w:rPr>
        <w:t xml:space="preserve">  </w:t>
      </w:r>
      <w:r>
        <w:rPr>
          <w:rFonts w:ascii="黑体" w:hAnsi="黑体" w:eastAsia="黑体" w:cs="黑体"/>
          <w:b/>
          <w:bCs/>
          <w:spacing w:val="-1"/>
          <w:sz w:val="27"/>
          <w:szCs w:val="27"/>
        </w:rPr>
        <w:t>运行环境要求</w:t>
      </w:r>
    </w:p>
    <w:p w14:paraId="02AD5933">
      <w:pPr>
        <w:spacing w:before="95" w:line="222" w:lineRule="auto"/>
        <w:rPr>
          <w:rFonts w:ascii="黑体" w:hAnsi="黑体" w:eastAsia="黑体" w:cs="黑体"/>
          <w:sz w:val="25"/>
          <w:szCs w:val="25"/>
        </w:rPr>
      </w:pPr>
      <w:r>
        <w:rPr>
          <w:rFonts w:ascii="黑体" w:hAnsi="黑体" w:eastAsia="黑体" w:cs="黑体"/>
          <w:spacing w:val="11"/>
          <w:sz w:val="25"/>
          <w:szCs w:val="25"/>
        </w:rPr>
        <w:t>3.1</w:t>
      </w:r>
      <w:r>
        <w:rPr>
          <w:rFonts w:ascii="黑体" w:hAnsi="黑体" w:eastAsia="黑体" w:cs="黑体"/>
          <w:spacing w:val="36"/>
          <w:sz w:val="25"/>
          <w:szCs w:val="25"/>
        </w:rPr>
        <w:t xml:space="preserve">  </w:t>
      </w:r>
      <w:r>
        <w:rPr>
          <w:rFonts w:ascii="黑体" w:hAnsi="黑体" w:eastAsia="黑体" w:cs="黑体"/>
          <w:b/>
          <w:bCs/>
          <w:spacing w:val="11"/>
          <w:sz w:val="25"/>
          <w:szCs w:val="25"/>
        </w:rPr>
        <w:t>硬件环境</w:t>
      </w:r>
    </w:p>
    <w:p w14:paraId="1399A5E5">
      <w:pPr>
        <w:pStyle w:val="2"/>
        <w:spacing w:before="104" w:line="219" w:lineRule="auto"/>
        <w:ind w:left="550"/>
      </w:pPr>
      <w:r>
        <w:t>本条应描述</w:t>
      </w:r>
      <w:r>
        <w:rPr>
          <w:rFonts w:ascii="Times New Roman" w:hAnsi="Times New Roman" w:eastAsia="Times New Roman" w:cs="Times New Roman"/>
        </w:rPr>
        <w:t xml:space="preserve">CSCI </w:t>
      </w:r>
      <w:r>
        <w:t>运行必需的硬件环境的要求，包括：</w:t>
      </w:r>
    </w:p>
    <w:p w14:paraId="275F2858">
      <w:pPr>
        <w:pStyle w:val="2"/>
        <w:spacing w:before="40" w:line="212" w:lineRule="auto"/>
        <w:ind w:left="550"/>
      </w:pPr>
      <w:r>
        <w:rPr>
          <w:rFonts w:ascii="Times New Roman" w:hAnsi="Times New Roman" w:eastAsia="Times New Roman" w:cs="Times New Roman"/>
        </w:rPr>
        <w:t>a)</w:t>
      </w:r>
      <w:r>
        <w:rPr>
          <w:rFonts w:ascii="Times New Roman" w:hAnsi="Times New Roman" w:eastAsia="Times New Roman" w:cs="Times New Roman"/>
          <w:spacing w:val="62"/>
          <w:w w:val="101"/>
        </w:rPr>
        <w:t xml:space="preserve"> </w:t>
      </w:r>
      <w:r>
        <w:t>宿主机和目标机的型号、主要性能指标及资源</w:t>
      </w:r>
      <w:r>
        <w:rPr>
          <w:spacing w:val="-1"/>
        </w:rPr>
        <w:t>配置和分配；</w:t>
      </w:r>
    </w:p>
    <w:p w14:paraId="174CC5C9">
      <w:pPr>
        <w:pStyle w:val="2"/>
        <w:spacing w:before="100" w:line="212" w:lineRule="auto"/>
        <w:ind w:left="550"/>
      </w:pPr>
      <w:r>
        <w:rPr>
          <w:rFonts w:ascii="Times New Roman" w:hAnsi="Times New Roman" w:eastAsia="Times New Roman" w:cs="Times New Roman"/>
          <w:spacing w:val="-11"/>
        </w:rPr>
        <w:t>b)</w:t>
      </w:r>
      <w:r>
        <w:rPr>
          <w:rFonts w:ascii="Times New Roman" w:hAnsi="Times New Roman" w:eastAsia="Times New Roman" w:cs="Times New Roman"/>
          <w:spacing w:val="59"/>
          <w:w w:val="101"/>
        </w:rPr>
        <w:t xml:space="preserve"> </w:t>
      </w:r>
      <w:r>
        <w:rPr>
          <w:spacing w:val="-11"/>
        </w:rPr>
        <w:t>通用外设的种类、数量、型号、规格及主要性能指标；</w:t>
      </w:r>
    </w:p>
    <w:p w14:paraId="422EFD09">
      <w:pPr>
        <w:pStyle w:val="2"/>
        <w:spacing w:before="110" w:line="212" w:lineRule="auto"/>
        <w:ind w:left="550"/>
      </w:pPr>
      <w:r>
        <w:rPr>
          <w:rFonts w:ascii="Times New Roman" w:hAnsi="Times New Roman" w:eastAsia="Times New Roman" w:cs="Times New Roman"/>
          <w:spacing w:val="-9"/>
        </w:rPr>
        <w:t>c)</w:t>
      </w:r>
      <w:r>
        <w:rPr>
          <w:rFonts w:ascii="Times New Roman" w:hAnsi="Times New Roman" w:eastAsia="Times New Roman" w:cs="Times New Roman"/>
          <w:spacing w:val="64"/>
          <w:w w:val="101"/>
        </w:rPr>
        <w:t xml:space="preserve"> </w:t>
      </w:r>
      <w:r>
        <w:rPr>
          <w:spacing w:val="-9"/>
        </w:rPr>
        <w:t>专用外设的种类、数量、性能及接口情况。</w:t>
      </w:r>
    </w:p>
    <w:p w14:paraId="66D1A8E5">
      <w:pPr>
        <w:spacing w:before="125" w:line="222" w:lineRule="auto"/>
        <w:rPr>
          <w:rFonts w:ascii="黑体" w:hAnsi="黑体" w:eastAsia="黑体" w:cs="黑体"/>
          <w:sz w:val="27"/>
          <w:szCs w:val="27"/>
        </w:rPr>
      </w:pPr>
      <w:r>
        <w:rPr>
          <w:rFonts w:ascii="黑体" w:hAnsi="黑体" w:eastAsia="黑体" w:cs="黑体"/>
          <w:sz w:val="27"/>
          <w:szCs w:val="27"/>
        </w:rPr>
        <w:t>3.2</w:t>
      </w:r>
      <w:r>
        <w:rPr>
          <w:rFonts w:ascii="黑体" w:hAnsi="黑体" w:eastAsia="黑体" w:cs="黑体"/>
          <w:spacing w:val="9"/>
          <w:sz w:val="27"/>
          <w:szCs w:val="27"/>
        </w:rPr>
        <w:t xml:space="preserve">  </w:t>
      </w:r>
      <w:r>
        <w:rPr>
          <w:rFonts w:ascii="黑体" w:hAnsi="黑体" w:eastAsia="黑体" w:cs="黑体"/>
          <w:b/>
          <w:bCs/>
          <w:sz w:val="27"/>
          <w:szCs w:val="27"/>
        </w:rPr>
        <w:t>软件环境</w:t>
      </w:r>
    </w:p>
    <w:p w14:paraId="75DECED8">
      <w:pPr>
        <w:pStyle w:val="2"/>
        <w:spacing w:before="89" w:line="219" w:lineRule="auto"/>
        <w:ind w:left="550"/>
      </w:pPr>
      <w:r>
        <w:rPr>
          <w:spacing w:val="-1"/>
        </w:rPr>
        <w:t>本条应描述</w:t>
      </w:r>
      <w:r>
        <w:rPr>
          <w:rFonts w:ascii="Times New Roman" w:hAnsi="Times New Roman" w:eastAsia="Times New Roman" w:cs="Times New Roman"/>
          <w:spacing w:val="-1"/>
        </w:rPr>
        <w:t>CSCI</w:t>
      </w:r>
      <w:r>
        <w:rPr>
          <w:rFonts w:ascii="Times New Roman" w:hAnsi="Times New Roman" w:eastAsia="Times New Roman" w:cs="Times New Roman"/>
          <w:spacing w:val="38"/>
          <w:w w:val="101"/>
        </w:rPr>
        <w:t xml:space="preserve"> </w:t>
      </w:r>
      <w:r>
        <w:rPr>
          <w:spacing w:val="-1"/>
        </w:rPr>
        <w:t>运行必需的软件环境的要求，应包括：</w:t>
      </w:r>
    </w:p>
    <w:p w14:paraId="527EDD80">
      <w:pPr>
        <w:pStyle w:val="2"/>
        <w:spacing w:before="84" w:line="212" w:lineRule="auto"/>
        <w:ind w:left="550"/>
        <w:rPr>
          <w:sz w:val="24"/>
          <w:szCs w:val="24"/>
        </w:rPr>
      </w:pPr>
      <w:r>
        <w:rPr>
          <w:rFonts w:ascii="Times New Roman" w:hAnsi="Times New Roman" w:eastAsia="Times New Roman" w:cs="Times New Roman"/>
          <w:spacing w:val="20"/>
          <w:sz w:val="24"/>
          <w:szCs w:val="24"/>
        </w:rPr>
        <w:t>a)</w:t>
      </w:r>
      <w:r>
        <w:rPr>
          <w:rFonts w:ascii="Times New Roman" w:hAnsi="Times New Roman" w:eastAsia="Times New Roman" w:cs="Times New Roman"/>
          <w:sz w:val="24"/>
          <w:szCs w:val="24"/>
        </w:rPr>
        <w:t xml:space="preserve">   </w:t>
      </w:r>
      <w:r>
        <w:rPr>
          <w:spacing w:val="20"/>
          <w:sz w:val="24"/>
          <w:szCs w:val="24"/>
        </w:rPr>
        <w:t>系统的组成；</w:t>
      </w:r>
    </w:p>
    <w:p w14:paraId="77AD9545">
      <w:pPr>
        <w:pStyle w:val="2"/>
        <w:spacing w:before="102" w:line="212" w:lineRule="auto"/>
        <w:ind w:left="550"/>
      </w:pPr>
      <w:r>
        <w:rPr>
          <w:rFonts w:ascii="Times New Roman" w:hAnsi="Times New Roman" w:eastAsia="Times New Roman" w:cs="Times New Roman"/>
          <w:spacing w:val="-12"/>
        </w:rPr>
        <w:t xml:space="preserve">b)  </w:t>
      </w:r>
      <w:r>
        <w:rPr>
          <w:spacing w:val="-12"/>
        </w:rPr>
        <w:t>对操作系统、监控软件、语言、数据库等的类型、版本及编程要求；</w:t>
      </w:r>
    </w:p>
    <w:p w14:paraId="3E210DFD">
      <w:pPr>
        <w:pStyle w:val="2"/>
        <w:spacing w:before="90" w:line="212" w:lineRule="auto"/>
        <w:ind w:left="550"/>
      </w:pPr>
      <w:r>
        <w:rPr>
          <w:rFonts w:ascii="Times New Roman" w:hAnsi="Times New Roman" w:eastAsia="Times New Roman" w:cs="Times New Roman"/>
          <w:spacing w:val="-3"/>
        </w:rPr>
        <w:t>c)</w:t>
      </w:r>
      <w:r>
        <w:rPr>
          <w:rFonts w:ascii="Times New Roman" w:hAnsi="Times New Roman" w:eastAsia="Times New Roman" w:cs="Times New Roman"/>
          <w:spacing w:val="64"/>
        </w:rPr>
        <w:t xml:space="preserve"> </w:t>
      </w:r>
      <w:r>
        <w:rPr>
          <w:spacing w:val="-3"/>
        </w:rPr>
        <w:t>软件工具的种类、版本及应用的主要功能。</w:t>
      </w:r>
    </w:p>
    <w:p w14:paraId="4DB5E332">
      <w:pPr>
        <w:spacing w:before="126"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11"/>
          <w:sz w:val="27"/>
          <w:szCs w:val="27"/>
        </w:rPr>
        <w:t xml:space="preserve">  </w:t>
      </w:r>
      <w:r>
        <w:rPr>
          <w:rFonts w:ascii="黑体" w:hAnsi="黑体" w:eastAsia="黑体" w:cs="黑体"/>
          <w:b/>
          <w:bCs/>
          <w:spacing w:val="-5"/>
          <w:sz w:val="27"/>
          <w:szCs w:val="27"/>
        </w:rPr>
        <w:t>技术要求</w:t>
      </w:r>
    </w:p>
    <w:p w14:paraId="6077FE59">
      <w:pPr>
        <w:spacing w:before="105" w:line="222" w:lineRule="auto"/>
        <w:rPr>
          <w:rFonts w:ascii="黑体" w:hAnsi="黑体" w:eastAsia="黑体" w:cs="黑体"/>
          <w:sz w:val="25"/>
          <w:szCs w:val="25"/>
        </w:rPr>
      </w:pPr>
      <w:r>
        <w:rPr>
          <w:rFonts w:ascii="黑体" w:hAnsi="黑体" w:eastAsia="黑体" w:cs="黑体"/>
          <w:spacing w:val="-4"/>
          <w:sz w:val="25"/>
          <w:szCs w:val="25"/>
        </w:rPr>
        <w:t>4.1</w:t>
      </w:r>
      <w:r>
        <w:rPr>
          <w:rFonts w:ascii="黑体" w:hAnsi="黑体" w:eastAsia="黑体" w:cs="黑体"/>
          <w:spacing w:val="30"/>
          <w:sz w:val="25"/>
          <w:szCs w:val="25"/>
        </w:rPr>
        <w:t xml:space="preserve">  </w:t>
      </w:r>
      <w:r>
        <w:rPr>
          <w:rFonts w:ascii="黑体" w:hAnsi="黑体" w:eastAsia="黑体" w:cs="黑体"/>
          <w:b/>
          <w:bCs/>
          <w:spacing w:val="-4"/>
          <w:sz w:val="25"/>
          <w:szCs w:val="25"/>
        </w:rPr>
        <w:t>功</w:t>
      </w:r>
      <w:r>
        <w:rPr>
          <w:rFonts w:ascii="黑体" w:hAnsi="黑体" w:eastAsia="黑体" w:cs="黑体"/>
          <w:spacing w:val="-49"/>
          <w:sz w:val="25"/>
          <w:szCs w:val="25"/>
        </w:rPr>
        <w:t xml:space="preserve"> </w:t>
      </w:r>
      <w:r>
        <w:rPr>
          <w:rFonts w:ascii="黑体" w:hAnsi="黑体" w:eastAsia="黑体" w:cs="黑体"/>
          <w:b/>
          <w:bCs/>
          <w:spacing w:val="-4"/>
          <w:sz w:val="25"/>
          <w:szCs w:val="25"/>
        </w:rPr>
        <w:t>能</w:t>
      </w:r>
    </w:p>
    <w:p w14:paraId="00BE8545">
      <w:pPr>
        <w:pStyle w:val="2"/>
        <w:spacing w:before="93" w:line="280" w:lineRule="auto"/>
        <w:ind w:right="11" w:firstLine="550"/>
      </w:pPr>
      <w:r>
        <w:rPr>
          <w:spacing w:val="-3"/>
        </w:rPr>
        <w:t>本条可分条描述需要由软件产品完成的所有功能、工作模式、容错要</w:t>
      </w:r>
      <w:r>
        <w:rPr>
          <w:spacing w:val="-4"/>
        </w:rPr>
        <w:t>求、特</w:t>
      </w:r>
      <w:r>
        <w:t xml:space="preserve"> </w:t>
      </w:r>
      <w:r>
        <w:rPr>
          <w:spacing w:val="4"/>
        </w:rPr>
        <w:t>殊要求(如对某些意外的适应能力)及应急措施和可扩展要求。</w:t>
      </w:r>
    </w:p>
    <w:p w14:paraId="2701BF61">
      <w:pPr>
        <w:pStyle w:val="2"/>
        <w:spacing w:before="1" w:line="220" w:lineRule="auto"/>
        <w:outlineLvl w:val="3"/>
      </w:pPr>
      <w:r>
        <w:rPr>
          <w:rFonts w:ascii="Times New Roman" w:hAnsi="Times New Roman" w:eastAsia="Times New Roman" w:cs="Times New Roman"/>
          <w:b/>
          <w:bCs/>
          <w:spacing w:val="-4"/>
        </w:rPr>
        <w:t>4.2</w:t>
      </w:r>
      <w:r>
        <w:rPr>
          <w:rFonts w:ascii="Times New Roman" w:hAnsi="Times New Roman" w:eastAsia="Times New Roman" w:cs="Times New Roman"/>
          <w:b/>
          <w:bCs/>
          <w:spacing w:val="3"/>
        </w:rPr>
        <w:t xml:space="preserve">     </w:t>
      </w:r>
      <w:r>
        <w:rPr>
          <w:b/>
          <w:bCs/>
          <w:spacing w:val="-4"/>
        </w:rPr>
        <w:t>性能</w:t>
      </w:r>
    </w:p>
    <w:p w14:paraId="2BEBF1AB">
      <w:pPr>
        <w:pStyle w:val="2"/>
        <w:spacing w:before="109" w:line="270" w:lineRule="auto"/>
        <w:ind w:right="10" w:firstLine="550"/>
      </w:pPr>
      <w:r>
        <w:rPr>
          <w:spacing w:val="-3"/>
        </w:rPr>
        <w:t>本条应描述对软件的精度、实时性、时间、占用存储空间的开销及余量</w:t>
      </w:r>
      <w:r>
        <w:rPr>
          <w:spacing w:val="-4"/>
        </w:rPr>
        <w:t>等性</w:t>
      </w:r>
      <w:r>
        <w:t xml:space="preserve"> </w:t>
      </w:r>
      <w:r>
        <w:rPr>
          <w:spacing w:val="-1"/>
        </w:rPr>
        <w:t>能指标要求。</w:t>
      </w:r>
    </w:p>
    <w:p w14:paraId="6F3D0AFD">
      <w:pPr>
        <w:spacing w:before="34" w:line="222" w:lineRule="auto"/>
        <w:rPr>
          <w:rFonts w:ascii="黑体" w:hAnsi="黑体" w:eastAsia="黑体" w:cs="黑体"/>
          <w:sz w:val="24"/>
          <w:szCs w:val="24"/>
        </w:rPr>
      </w:pPr>
      <w:r>
        <w:rPr>
          <w:rFonts w:ascii="黑体" w:hAnsi="黑体" w:eastAsia="黑体" w:cs="黑体"/>
          <w:spacing w:val="16"/>
          <w:sz w:val="24"/>
          <w:szCs w:val="24"/>
        </w:rPr>
        <w:t>4.</w:t>
      </w:r>
      <w:r>
        <w:rPr>
          <w:rFonts w:ascii="黑体" w:hAnsi="黑体" w:eastAsia="黑体" w:cs="黑体"/>
          <w:b/>
          <w:bCs/>
          <w:spacing w:val="16"/>
          <w:sz w:val="24"/>
          <w:szCs w:val="24"/>
        </w:rPr>
        <w:t>3</w:t>
      </w:r>
      <w:r>
        <w:rPr>
          <w:rFonts w:ascii="黑体" w:hAnsi="黑体" w:eastAsia="黑体" w:cs="黑体"/>
          <w:spacing w:val="45"/>
          <w:sz w:val="24"/>
          <w:szCs w:val="24"/>
        </w:rPr>
        <w:t xml:space="preserve">  </w:t>
      </w:r>
      <w:r>
        <w:rPr>
          <w:rFonts w:ascii="黑体" w:hAnsi="黑体" w:eastAsia="黑体" w:cs="黑体"/>
          <w:b/>
          <w:bCs/>
          <w:spacing w:val="16"/>
          <w:sz w:val="24"/>
          <w:szCs w:val="24"/>
        </w:rPr>
        <w:t>输入/输出</w:t>
      </w:r>
    </w:p>
    <w:p w14:paraId="5506B5A8">
      <w:pPr>
        <w:pStyle w:val="2"/>
        <w:spacing w:before="106" w:line="278" w:lineRule="auto"/>
        <w:ind w:right="5" w:firstLine="550"/>
        <w:jc w:val="both"/>
      </w:pPr>
      <w:r>
        <w:rPr>
          <w:spacing w:val="-7"/>
        </w:rPr>
        <w:t>本条应描述本软件所有输入/输出信息的来源、格式、数量、频度、顺序、值</w:t>
      </w:r>
      <w:r>
        <w:rPr>
          <w:spacing w:val="2"/>
        </w:rPr>
        <w:t xml:space="preserve"> </w:t>
      </w:r>
      <w:r>
        <w:rPr>
          <w:spacing w:val="-10"/>
        </w:rPr>
        <w:t>域、精度、接收方法及信号发生的最短时间间隔，发送方法及发送对象，中断信号</w:t>
      </w:r>
      <w:r>
        <w:rPr>
          <w:spacing w:val="5"/>
        </w:rPr>
        <w:t xml:space="preserve"> </w:t>
      </w:r>
      <w:r>
        <w:rPr>
          <w:spacing w:val="-3"/>
        </w:rPr>
        <w:t>数量、优先级，需要时给出与其他软件的接口，以及对于嵌入式软件程序的固化</w:t>
      </w:r>
      <w:r>
        <w:rPr>
          <w:spacing w:val="15"/>
        </w:rPr>
        <w:t xml:space="preserve"> </w:t>
      </w:r>
      <w:r>
        <w:rPr>
          <w:spacing w:val="-4"/>
        </w:rPr>
        <w:t>地址。</w:t>
      </w:r>
    </w:p>
    <w:p w14:paraId="750AF50D">
      <w:pPr>
        <w:spacing w:line="278" w:lineRule="auto"/>
        <w:sectPr>
          <w:footerReference r:id="rId205" w:type="default"/>
          <w:pgSz w:w="11910" w:h="17130"/>
          <w:pgMar w:top="1456" w:right="1478" w:bottom="1577" w:left="1059" w:header="0" w:footer="1360" w:gutter="0"/>
          <w:cols w:space="720" w:num="1"/>
        </w:sectPr>
      </w:pPr>
    </w:p>
    <w:p w14:paraId="3BE917D7">
      <w:pPr>
        <w:spacing w:before="71" w:line="222" w:lineRule="auto"/>
        <w:rPr>
          <w:rFonts w:ascii="黑体" w:hAnsi="黑体" w:eastAsia="黑体" w:cs="黑体"/>
          <w:sz w:val="27"/>
          <w:szCs w:val="27"/>
        </w:rPr>
      </w:pPr>
      <w:r>
        <w:rPr>
          <w:rFonts w:ascii="黑体" w:hAnsi="黑体" w:eastAsia="黑体" w:cs="黑体"/>
          <w:spacing w:val="2"/>
          <w:sz w:val="27"/>
          <w:szCs w:val="27"/>
        </w:rPr>
        <w:t xml:space="preserve">4.4  </w:t>
      </w:r>
      <w:r>
        <w:rPr>
          <w:rFonts w:ascii="黑体" w:hAnsi="黑体" w:eastAsia="黑体" w:cs="黑体"/>
          <w:b/>
          <w:bCs/>
          <w:spacing w:val="2"/>
          <w:sz w:val="27"/>
          <w:szCs w:val="27"/>
        </w:rPr>
        <w:t>数据处理要求</w:t>
      </w:r>
    </w:p>
    <w:p w14:paraId="238DE26C">
      <w:pPr>
        <w:pStyle w:val="2"/>
        <w:spacing w:before="84" w:line="280" w:lineRule="auto"/>
        <w:ind w:firstLine="560"/>
        <w:jc w:val="both"/>
      </w:pPr>
      <w:r>
        <w:rPr>
          <w:spacing w:val="9"/>
        </w:rPr>
        <w:t>本条应列出所有处理需要的条件，说明数据参数的处理精度、处</w:t>
      </w:r>
      <w:r>
        <w:rPr>
          <w:spacing w:val="8"/>
        </w:rPr>
        <w:t>理速度、</w:t>
      </w:r>
      <w:r>
        <w:t xml:space="preserve"> </w:t>
      </w:r>
      <w:r>
        <w:rPr>
          <w:spacing w:val="1"/>
        </w:rPr>
        <w:t>传递关系、并行关系和最大信息量情况(最大数据容量、最大数据流通率、允许</w:t>
      </w:r>
      <w:r>
        <w:rPr>
          <w:spacing w:val="4"/>
        </w:rPr>
        <w:t xml:space="preserve">  </w:t>
      </w:r>
      <w:r>
        <w:rPr>
          <w:spacing w:val="13"/>
        </w:rPr>
        <w:t>最长中断排队长度及处理时间等),规定对冗余信息的处理准则。用表格的形</w:t>
      </w:r>
      <w:r>
        <w:rPr>
          <w:spacing w:val="4"/>
        </w:rPr>
        <w:t xml:space="preserve">  </w:t>
      </w:r>
      <w:r>
        <w:rPr>
          <w:spacing w:val="5"/>
        </w:rPr>
        <w:t>式列出所有参数，并说明每个参数的名称、量纲、数据精度及对软件的使用要</w:t>
      </w:r>
      <w:r>
        <w:rPr>
          <w:spacing w:val="6"/>
        </w:rPr>
        <w:t xml:space="preserve">  </w:t>
      </w:r>
      <w:r>
        <w:rPr>
          <w:spacing w:val="-4"/>
        </w:rPr>
        <w:t>求等。</w:t>
      </w:r>
    </w:p>
    <w:p w14:paraId="2E84286F">
      <w:pPr>
        <w:spacing w:before="42" w:line="222" w:lineRule="auto"/>
        <w:rPr>
          <w:rFonts w:ascii="黑体" w:hAnsi="黑体" w:eastAsia="黑体" w:cs="黑体"/>
          <w:sz w:val="25"/>
          <w:szCs w:val="25"/>
        </w:rPr>
      </w:pPr>
      <w:r>
        <w:rPr>
          <w:rFonts w:ascii="黑体" w:hAnsi="黑体" w:eastAsia="黑体" w:cs="黑体"/>
          <w:spacing w:val="-4"/>
          <w:sz w:val="25"/>
          <w:szCs w:val="25"/>
        </w:rPr>
        <w:t>4.5</w:t>
      </w:r>
      <w:r>
        <w:rPr>
          <w:rFonts w:ascii="黑体" w:hAnsi="黑体" w:eastAsia="黑体" w:cs="黑体"/>
          <w:spacing w:val="31"/>
          <w:sz w:val="25"/>
          <w:szCs w:val="25"/>
        </w:rPr>
        <w:t xml:space="preserve">  </w:t>
      </w:r>
      <w:r>
        <w:rPr>
          <w:rFonts w:ascii="黑体" w:hAnsi="黑体" w:eastAsia="黑体" w:cs="黑体"/>
          <w:b/>
          <w:bCs/>
          <w:spacing w:val="-4"/>
          <w:sz w:val="25"/>
          <w:szCs w:val="25"/>
        </w:rPr>
        <w:t>接</w:t>
      </w:r>
      <w:r>
        <w:rPr>
          <w:rFonts w:ascii="黑体" w:hAnsi="黑体" w:eastAsia="黑体" w:cs="黑体"/>
          <w:spacing w:val="-15"/>
          <w:sz w:val="25"/>
          <w:szCs w:val="25"/>
        </w:rPr>
        <w:t xml:space="preserve"> </w:t>
      </w:r>
      <w:r>
        <w:rPr>
          <w:rFonts w:ascii="黑体" w:hAnsi="黑体" w:eastAsia="黑体" w:cs="黑体"/>
          <w:b/>
          <w:bCs/>
          <w:spacing w:val="-4"/>
          <w:sz w:val="25"/>
          <w:szCs w:val="25"/>
        </w:rPr>
        <w:t>口</w:t>
      </w:r>
    </w:p>
    <w:p w14:paraId="4DE1501E">
      <w:pPr>
        <w:pStyle w:val="2"/>
        <w:spacing w:before="102" w:line="219" w:lineRule="auto"/>
        <w:ind w:left="560"/>
      </w:pPr>
      <w:r>
        <w:rPr>
          <w:spacing w:val="2"/>
        </w:rPr>
        <w:t>本条应描述与各种外部接口之间的关系。</w:t>
      </w:r>
    </w:p>
    <w:p w14:paraId="0B5D77AD">
      <w:pPr>
        <w:spacing w:before="127" w:line="223" w:lineRule="auto"/>
        <w:rPr>
          <w:rFonts w:ascii="黑体" w:hAnsi="黑体" w:eastAsia="黑体" w:cs="黑体"/>
          <w:sz w:val="25"/>
          <w:szCs w:val="25"/>
        </w:rPr>
      </w:pPr>
      <w:r>
        <w:rPr>
          <w:rFonts w:ascii="黑体" w:hAnsi="黑体" w:eastAsia="黑体" w:cs="黑体"/>
          <w:spacing w:val="3"/>
          <w:sz w:val="25"/>
          <w:szCs w:val="25"/>
        </w:rPr>
        <w:t>4.6</w:t>
      </w:r>
      <w:r>
        <w:rPr>
          <w:rFonts w:ascii="黑体" w:hAnsi="黑体" w:eastAsia="黑体" w:cs="黑体"/>
          <w:spacing w:val="45"/>
          <w:sz w:val="25"/>
          <w:szCs w:val="25"/>
        </w:rPr>
        <w:t xml:space="preserve">  </w:t>
      </w:r>
      <w:r>
        <w:rPr>
          <w:rFonts w:ascii="黑体" w:hAnsi="黑体" w:eastAsia="黑体" w:cs="黑体"/>
          <w:b/>
          <w:bCs/>
          <w:spacing w:val="3"/>
          <w:sz w:val="25"/>
          <w:szCs w:val="25"/>
        </w:rPr>
        <w:t>固件</w:t>
      </w:r>
    </w:p>
    <w:p w14:paraId="0C13C937">
      <w:pPr>
        <w:pStyle w:val="2"/>
        <w:spacing w:before="100" w:line="219" w:lineRule="auto"/>
        <w:ind w:left="560"/>
      </w:pPr>
      <w:r>
        <w:rPr>
          <w:spacing w:val="-7"/>
        </w:rPr>
        <w:t>需要时，本条应描述程序的固化地址、安装和操作要求。</w:t>
      </w:r>
    </w:p>
    <w:p w14:paraId="5BF2D255">
      <w:pPr>
        <w:spacing w:before="87" w:line="222" w:lineRule="auto"/>
        <w:rPr>
          <w:rFonts w:ascii="黑体" w:hAnsi="黑体" w:eastAsia="黑体" w:cs="黑体"/>
          <w:sz w:val="27"/>
          <w:szCs w:val="27"/>
        </w:rPr>
      </w:pPr>
      <w:r>
        <w:rPr>
          <w:rFonts w:ascii="黑体" w:hAnsi="黑体" w:eastAsia="黑体" w:cs="黑体"/>
          <w:spacing w:val="-3"/>
          <w:sz w:val="27"/>
          <w:szCs w:val="27"/>
        </w:rPr>
        <w:t>4.7</w:t>
      </w:r>
      <w:r>
        <w:rPr>
          <w:rFonts w:ascii="黑体" w:hAnsi="黑体" w:eastAsia="黑体" w:cs="黑体"/>
          <w:spacing w:val="32"/>
          <w:sz w:val="27"/>
          <w:szCs w:val="27"/>
        </w:rPr>
        <w:t xml:space="preserve">  </w:t>
      </w:r>
      <w:r>
        <w:rPr>
          <w:rFonts w:ascii="黑体" w:hAnsi="黑体" w:eastAsia="黑体" w:cs="黑体"/>
          <w:b/>
          <w:bCs/>
          <w:spacing w:val="-3"/>
          <w:sz w:val="27"/>
          <w:szCs w:val="27"/>
        </w:rPr>
        <w:t>关键性要求</w:t>
      </w:r>
    </w:p>
    <w:p w14:paraId="75A508EB">
      <w:pPr>
        <w:spacing w:before="124" w:line="222" w:lineRule="auto"/>
        <w:rPr>
          <w:rFonts w:ascii="黑体" w:hAnsi="黑体" w:eastAsia="黑体" w:cs="黑体"/>
          <w:sz w:val="25"/>
          <w:szCs w:val="25"/>
        </w:rPr>
      </w:pPr>
      <w:r>
        <w:rPr>
          <w:rFonts w:ascii="黑体" w:hAnsi="黑体" w:eastAsia="黑体" w:cs="黑体"/>
          <w:spacing w:val="8"/>
          <w:sz w:val="25"/>
          <w:szCs w:val="25"/>
        </w:rPr>
        <w:t>4.7.1</w:t>
      </w:r>
      <w:r>
        <w:rPr>
          <w:rFonts w:ascii="黑体" w:hAnsi="黑体" w:eastAsia="黑体" w:cs="黑体"/>
          <w:spacing w:val="56"/>
          <w:sz w:val="25"/>
          <w:szCs w:val="25"/>
        </w:rPr>
        <w:t xml:space="preserve">  </w:t>
      </w:r>
      <w:r>
        <w:rPr>
          <w:rFonts w:ascii="黑体" w:hAnsi="黑体" w:eastAsia="黑体" w:cs="黑体"/>
          <w:b/>
          <w:bCs/>
          <w:spacing w:val="8"/>
          <w:sz w:val="25"/>
          <w:szCs w:val="25"/>
        </w:rPr>
        <w:t>可靠性</w:t>
      </w:r>
    </w:p>
    <w:p w14:paraId="7F5146A5">
      <w:pPr>
        <w:pStyle w:val="2"/>
        <w:spacing w:before="95" w:line="279" w:lineRule="auto"/>
        <w:ind w:right="94" w:firstLine="560"/>
        <w:jc w:val="both"/>
      </w:pPr>
      <w:r>
        <w:rPr>
          <w:spacing w:val="6"/>
        </w:rPr>
        <w:t>本条按需要可分成若干条描述软件可靠性指标及可靠性要求；描述软</w:t>
      </w:r>
      <w:r>
        <w:rPr>
          <w:spacing w:val="5"/>
        </w:rPr>
        <w:t>件的</w:t>
      </w:r>
      <w:r>
        <w:t xml:space="preserve"> </w:t>
      </w:r>
      <w:r>
        <w:rPr>
          <w:spacing w:val="-3"/>
        </w:rPr>
        <w:t>容错、冗余要求及建议，并提出与操作员有关的容错要求；描述软件的健壮性要</w:t>
      </w:r>
      <w:r>
        <w:rPr>
          <w:spacing w:val="17"/>
        </w:rPr>
        <w:t xml:space="preserve"> </w:t>
      </w:r>
      <w:r>
        <w:rPr>
          <w:spacing w:val="-6"/>
        </w:rPr>
        <w:t>求，如对系统瞬时掉电、受外界干扰、接口故障(非法输入、常0/1故障)等的适应</w:t>
      </w:r>
      <w:r>
        <w:rPr>
          <w:spacing w:val="3"/>
        </w:rPr>
        <w:t xml:space="preserve"> </w:t>
      </w:r>
      <w:r>
        <w:rPr>
          <w:spacing w:val="-9"/>
        </w:rPr>
        <w:t>能力，提出局部软、硬件失效时的降级设计要求。</w:t>
      </w:r>
    </w:p>
    <w:p w14:paraId="11F03CD4">
      <w:pPr>
        <w:spacing w:before="25" w:line="223" w:lineRule="auto"/>
        <w:rPr>
          <w:rFonts w:ascii="黑体" w:hAnsi="黑体" w:eastAsia="黑体" w:cs="黑体"/>
          <w:sz w:val="27"/>
          <w:szCs w:val="27"/>
        </w:rPr>
      </w:pPr>
      <w:r>
        <w:rPr>
          <w:rFonts w:ascii="黑体" w:hAnsi="黑体" w:eastAsia="黑体" w:cs="黑体"/>
          <w:sz w:val="27"/>
          <w:szCs w:val="27"/>
        </w:rPr>
        <w:t>4.7.2</w:t>
      </w:r>
      <w:r>
        <w:rPr>
          <w:rFonts w:ascii="黑体" w:hAnsi="黑体" w:eastAsia="黑体" w:cs="黑体"/>
          <w:spacing w:val="23"/>
          <w:sz w:val="27"/>
          <w:szCs w:val="27"/>
        </w:rPr>
        <w:t xml:space="preserve">  </w:t>
      </w:r>
      <w:r>
        <w:rPr>
          <w:rFonts w:ascii="黑体" w:hAnsi="黑体" w:eastAsia="黑体" w:cs="黑体"/>
          <w:b/>
          <w:bCs/>
          <w:sz w:val="27"/>
          <w:szCs w:val="27"/>
        </w:rPr>
        <w:t>安全性</w:t>
      </w:r>
    </w:p>
    <w:p w14:paraId="085F21C5">
      <w:pPr>
        <w:pStyle w:val="2"/>
        <w:spacing w:before="103" w:line="279" w:lineRule="auto"/>
        <w:ind w:right="114" w:firstLine="560"/>
        <w:jc w:val="both"/>
      </w:pPr>
      <w:r>
        <w:rPr>
          <w:spacing w:val="5"/>
        </w:rPr>
        <w:t>本条按需要可分成若干条描述软件安全性要求，如关键功能至少要由两个</w:t>
      </w:r>
      <w:r>
        <w:t xml:space="preserve"> </w:t>
      </w:r>
      <w:r>
        <w:rPr>
          <w:spacing w:val="-9"/>
        </w:rPr>
        <w:t>独立的程序模块共同完成，“监视时钟”(看门狗</w:t>
      </w:r>
      <w:r>
        <w:rPr>
          <w:spacing w:val="-10"/>
        </w:rPr>
        <w:t>)的设置要求，软件(程序)多余物</w:t>
      </w:r>
      <w:r>
        <w:t xml:space="preserve"> </w:t>
      </w:r>
      <w:r>
        <w:rPr>
          <w:spacing w:val="-10"/>
        </w:rPr>
        <w:t>的处理，程序块的隔离，内存未用空间和未采用中断的处理，对关键数据、变量的</w:t>
      </w:r>
      <w:r>
        <w:rPr>
          <w:spacing w:val="9"/>
        </w:rPr>
        <w:t xml:space="preserve"> </w:t>
      </w:r>
      <w:r>
        <w:rPr>
          <w:spacing w:val="-10"/>
        </w:rPr>
        <w:t>保护和校核等；描述安全性关键功能软件的标识、控制、检测和故障识别；描述软</w:t>
      </w:r>
      <w:r>
        <w:rPr>
          <w:spacing w:val="1"/>
        </w:rPr>
        <w:t xml:space="preserve"> </w:t>
      </w:r>
      <w:r>
        <w:rPr>
          <w:spacing w:val="-2"/>
        </w:rPr>
        <w:t>件失控、加电检测控制顺序出现异常造成的</w:t>
      </w:r>
      <w:r>
        <w:rPr>
          <w:spacing w:val="-3"/>
        </w:rPr>
        <w:t>可接受的最低安全性水平；描述关于</w:t>
      </w:r>
      <w:r>
        <w:t xml:space="preserve"> </w:t>
      </w:r>
      <w:r>
        <w:rPr>
          <w:spacing w:val="5"/>
        </w:rPr>
        <w:t>系统的某些故障模式和软件的故障对策要求。若适用，描述不允许出现的故障</w:t>
      </w:r>
      <w:r>
        <w:rPr>
          <w:spacing w:val="10"/>
        </w:rPr>
        <w:t xml:space="preserve"> </w:t>
      </w:r>
      <w:r>
        <w:rPr>
          <w:spacing w:val="-4"/>
        </w:rPr>
        <w:t>模式。</w:t>
      </w:r>
    </w:p>
    <w:p w14:paraId="1C68E988">
      <w:pPr>
        <w:spacing w:before="81" w:line="221" w:lineRule="auto"/>
        <w:rPr>
          <w:rFonts w:ascii="黑体" w:hAnsi="黑体" w:eastAsia="黑体" w:cs="黑体"/>
          <w:sz w:val="27"/>
          <w:szCs w:val="27"/>
        </w:rPr>
      </w:pPr>
      <w:r>
        <w:rPr>
          <w:rFonts w:ascii="黑体" w:hAnsi="黑体" w:eastAsia="黑体" w:cs="黑体"/>
          <w:sz w:val="27"/>
          <w:szCs w:val="27"/>
        </w:rPr>
        <w:t>4.7.3</w:t>
      </w:r>
      <w:r>
        <w:rPr>
          <w:rFonts w:ascii="黑体" w:hAnsi="黑体" w:eastAsia="黑体" w:cs="黑体"/>
          <w:spacing w:val="23"/>
          <w:sz w:val="27"/>
          <w:szCs w:val="27"/>
        </w:rPr>
        <w:t xml:space="preserve">  </w:t>
      </w:r>
      <w:r>
        <w:rPr>
          <w:rFonts w:ascii="黑体" w:hAnsi="黑体" w:eastAsia="黑体" w:cs="黑体"/>
          <w:b/>
          <w:bCs/>
          <w:sz w:val="27"/>
          <w:szCs w:val="27"/>
        </w:rPr>
        <w:t>保密性</w:t>
      </w:r>
    </w:p>
    <w:p w14:paraId="138E51C3">
      <w:pPr>
        <w:pStyle w:val="2"/>
        <w:spacing w:before="151" w:line="219" w:lineRule="auto"/>
        <w:ind w:left="560"/>
      </w:pPr>
      <w:r>
        <w:rPr>
          <w:spacing w:val="-14"/>
        </w:rPr>
        <w:t>本条应描述保密性要求，如口令、密码、访问控制、数据加密等。</w:t>
      </w:r>
    </w:p>
    <w:p w14:paraId="1C8ADB11">
      <w:pPr>
        <w:spacing w:before="136" w:line="222"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3"/>
          <w:sz w:val="27"/>
          <w:szCs w:val="27"/>
        </w:rPr>
        <w:t xml:space="preserve">   </w:t>
      </w:r>
      <w:r>
        <w:rPr>
          <w:rFonts w:ascii="黑体" w:hAnsi="黑体" w:eastAsia="黑体" w:cs="黑体"/>
          <w:b/>
          <w:bCs/>
          <w:sz w:val="27"/>
          <w:szCs w:val="27"/>
        </w:rPr>
        <w:t>设计约束</w:t>
      </w:r>
    </w:p>
    <w:p w14:paraId="365856D0">
      <w:pPr>
        <w:pStyle w:val="2"/>
        <w:spacing w:before="160" w:line="219" w:lineRule="auto"/>
        <w:ind w:left="560"/>
      </w:pPr>
      <w:r>
        <w:rPr>
          <w:spacing w:val="-1"/>
        </w:rPr>
        <w:t>本条应描述约束软件设计的那些要求，一般应包括如</w:t>
      </w:r>
      <w:r>
        <w:rPr>
          <w:spacing w:val="-2"/>
        </w:rPr>
        <w:t>下内容：</w:t>
      </w:r>
    </w:p>
    <w:p w14:paraId="2585B5B7">
      <w:pPr>
        <w:pStyle w:val="2"/>
        <w:spacing w:before="80" w:line="212" w:lineRule="auto"/>
        <w:ind w:left="560"/>
      </w:pPr>
      <w:r>
        <w:rPr>
          <w:rFonts w:ascii="Times New Roman" w:hAnsi="Times New Roman" w:eastAsia="Times New Roman" w:cs="Times New Roman"/>
          <w:spacing w:val="-12"/>
        </w:rPr>
        <w:t xml:space="preserve">a)  </w:t>
      </w:r>
      <w:r>
        <w:rPr>
          <w:spacing w:val="-12"/>
        </w:rPr>
        <w:t>软件的数学模型、规则、计算公式、参数</w:t>
      </w:r>
      <w:r>
        <w:rPr>
          <w:spacing w:val="-13"/>
        </w:rPr>
        <w:t>名称、符号和重用要求；</w:t>
      </w:r>
    </w:p>
    <w:p w14:paraId="0425E9E0">
      <w:pPr>
        <w:pStyle w:val="2"/>
        <w:spacing w:before="80"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67"/>
        </w:rPr>
        <w:t xml:space="preserve"> </w:t>
      </w:r>
      <w:r>
        <w:rPr>
          <w:spacing w:val="3"/>
        </w:rPr>
        <w:t>软件的编程语言和编程规则；</w:t>
      </w:r>
    </w:p>
    <w:p w14:paraId="446A48C4">
      <w:pPr>
        <w:pStyle w:val="2"/>
        <w:spacing w:before="120" w:line="212" w:lineRule="auto"/>
        <w:ind w:left="560"/>
      </w:pPr>
      <w:r>
        <w:rPr>
          <w:rFonts w:ascii="Times New Roman" w:hAnsi="Times New Roman" w:eastAsia="Times New Roman" w:cs="Times New Roman"/>
          <w:spacing w:val="2"/>
        </w:rPr>
        <w:t>c)</w:t>
      </w:r>
      <w:r>
        <w:rPr>
          <w:rFonts w:ascii="Times New Roman" w:hAnsi="Times New Roman" w:eastAsia="Times New Roman" w:cs="Times New Roman"/>
          <w:spacing w:val="66"/>
          <w:w w:val="101"/>
        </w:rPr>
        <w:t xml:space="preserve"> </w:t>
      </w:r>
      <w:r>
        <w:rPr>
          <w:spacing w:val="2"/>
        </w:rPr>
        <w:t>软件的开发工具和环境要求；</w:t>
      </w:r>
    </w:p>
    <w:p w14:paraId="632835ED">
      <w:pPr>
        <w:pStyle w:val="2"/>
        <w:spacing w:before="133" w:line="212" w:lineRule="auto"/>
        <w:ind w:left="560"/>
        <w:rPr>
          <w:sz w:val="24"/>
          <w:szCs w:val="24"/>
        </w:rPr>
      </w:pPr>
      <w:r>
        <w:rPr>
          <w:rFonts w:ascii="Times New Roman" w:hAnsi="Times New Roman" w:eastAsia="Times New Roman" w:cs="Times New Roman"/>
          <w:spacing w:val="27"/>
          <w:sz w:val="24"/>
          <w:szCs w:val="24"/>
        </w:rPr>
        <w:t xml:space="preserve">d)  </w:t>
      </w:r>
      <w:r>
        <w:rPr>
          <w:spacing w:val="27"/>
          <w:sz w:val="24"/>
          <w:szCs w:val="24"/>
        </w:rPr>
        <w:t>软件的测试工具和环境要求；</w:t>
      </w:r>
    </w:p>
    <w:p w14:paraId="7A458ABB">
      <w:pPr>
        <w:pStyle w:val="2"/>
        <w:spacing w:before="124" w:line="212" w:lineRule="auto"/>
        <w:ind w:left="560"/>
        <w:rPr>
          <w:sz w:val="24"/>
          <w:szCs w:val="24"/>
        </w:rPr>
      </w:pPr>
      <w:r>
        <w:rPr>
          <w:rFonts w:ascii="Times New Roman" w:hAnsi="Times New Roman" w:eastAsia="Times New Roman" w:cs="Times New Roman"/>
          <w:spacing w:val="26"/>
          <w:sz w:val="24"/>
          <w:szCs w:val="24"/>
        </w:rPr>
        <w:t xml:space="preserve">e)  </w:t>
      </w:r>
      <w:r>
        <w:rPr>
          <w:spacing w:val="26"/>
          <w:sz w:val="24"/>
          <w:szCs w:val="24"/>
        </w:rPr>
        <w:t>软件的重用性和可移植性要求。</w:t>
      </w:r>
    </w:p>
    <w:p w14:paraId="0DE303FF">
      <w:pPr>
        <w:spacing w:line="212" w:lineRule="auto"/>
        <w:rPr>
          <w:sz w:val="24"/>
          <w:szCs w:val="24"/>
        </w:rPr>
        <w:sectPr>
          <w:footerReference r:id="rId206" w:type="default"/>
          <w:pgSz w:w="11910" w:h="17130"/>
          <w:pgMar w:top="1456" w:right="834" w:bottom="1583" w:left="1589" w:header="0" w:footer="1385" w:gutter="0"/>
          <w:cols w:space="720" w:num="1"/>
        </w:sectPr>
      </w:pPr>
    </w:p>
    <w:p w14:paraId="0B4F705F">
      <w:pPr>
        <w:spacing w:before="55" w:line="222"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6"/>
          <w:sz w:val="27"/>
          <w:szCs w:val="27"/>
        </w:rPr>
        <w:t xml:space="preserve">  </w:t>
      </w:r>
      <w:r>
        <w:rPr>
          <w:rFonts w:ascii="黑体" w:hAnsi="黑体" w:eastAsia="黑体" w:cs="黑体"/>
          <w:b/>
          <w:bCs/>
          <w:spacing w:val="-2"/>
          <w:sz w:val="27"/>
          <w:szCs w:val="27"/>
        </w:rPr>
        <w:t>质量控制要求</w:t>
      </w:r>
    </w:p>
    <w:p w14:paraId="19450229">
      <w:pPr>
        <w:spacing w:before="82" w:line="221" w:lineRule="auto"/>
        <w:rPr>
          <w:rFonts w:ascii="黑体" w:hAnsi="黑体" w:eastAsia="黑体" w:cs="黑体"/>
          <w:sz w:val="27"/>
          <w:szCs w:val="27"/>
        </w:rPr>
      </w:pPr>
      <w:r>
        <w:rPr>
          <w:rFonts w:ascii="黑体" w:hAnsi="黑体" w:eastAsia="黑体" w:cs="黑体"/>
          <w:spacing w:val="-3"/>
          <w:sz w:val="27"/>
          <w:szCs w:val="27"/>
        </w:rPr>
        <w:t>6.1</w:t>
      </w:r>
      <w:r>
        <w:rPr>
          <w:rFonts w:ascii="黑体" w:hAnsi="黑体" w:eastAsia="黑体" w:cs="黑体"/>
          <w:spacing w:val="30"/>
          <w:sz w:val="27"/>
          <w:szCs w:val="27"/>
        </w:rPr>
        <w:t xml:space="preserve">  </w:t>
      </w:r>
      <w:r>
        <w:rPr>
          <w:rFonts w:ascii="黑体" w:hAnsi="黑体" w:eastAsia="黑体" w:cs="黑体"/>
          <w:b/>
          <w:bCs/>
          <w:spacing w:val="-3"/>
          <w:sz w:val="27"/>
          <w:szCs w:val="27"/>
        </w:rPr>
        <w:t>软件关键性等级</w:t>
      </w:r>
    </w:p>
    <w:p w14:paraId="6B93C745">
      <w:pPr>
        <w:pStyle w:val="2"/>
        <w:spacing w:before="81" w:line="219" w:lineRule="auto"/>
        <w:ind w:left="560"/>
      </w:pPr>
      <w:r>
        <w:rPr>
          <w:spacing w:val="-1"/>
        </w:rPr>
        <w:t>本条应描述各</w:t>
      </w:r>
      <w:r>
        <w:rPr>
          <w:rFonts w:ascii="Times New Roman" w:hAnsi="Times New Roman" w:eastAsia="Times New Roman" w:cs="Times New Roman"/>
          <w:spacing w:val="-1"/>
        </w:rPr>
        <w:t>CSCI</w:t>
      </w:r>
      <w:r>
        <w:rPr>
          <w:rFonts w:ascii="Times New Roman" w:hAnsi="Times New Roman" w:eastAsia="Times New Roman" w:cs="Times New Roman"/>
          <w:spacing w:val="60"/>
        </w:rPr>
        <w:t xml:space="preserve"> </w:t>
      </w:r>
      <w:r>
        <w:rPr>
          <w:spacing w:val="-1"/>
        </w:rPr>
        <w:t>的关键等级、规模等级和相应的要求。</w:t>
      </w:r>
    </w:p>
    <w:p w14:paraId="3CD8F90E">
      <w:pPr>
        <w:spacing w:before="108" w:line="224" w:lineRule="auto"/>
        <w:rPr>
          <w:rFonts w:ascii="黑体" w:hAnsi="黑体" w:eastAsia="黑体" w:cs="黑体"/>
          <w:sz w:val="25"/>
          <w:szCs w:val="25"/>
        </w:rPr>
      </w:pPr>
      <w:r>
        <w:rPr>
          <w:rFonts w:ascii="黑体" w:hAnsi="黑体" w:eastAsia="黑体" w:cs="黑体"/>
          <w:spacing w:val="4"/>
          <w:sz w:val="25"/>
          <w:szCs w:val="25"/>
        </w:rPr>
        <w:t>6.2</w:t>
      </w:r>
      <w:r>
        <w:rPr>
          <w:rFonts w:ascii="黑体" w:hAnsi="黑体" w:eastAsia="黑体" w:cs="黑体"/>
          <w:spacing w:val="44"/>
          <w:sz w:val="25"/>
          <w:szCs w:val="25"/>
        </w:rPr>
        <w:t xml:space="preserve">  </w:t>
      </w:r>
      <w:r>
        <w:rPr>
          <w:rFonts w:ascii="黑体" w:hAnsi="黑体" w:eastAsia="黑体" w:cs="黑体"/>
          <w:b/>
          <w:bCs/>
          <w:spacing w:val="4"/>
          <w:sz w:val="25"/>
          <w:szCs w:val="25"/>
        </w:rPr>
        <w:t>标准</w:t>
      </w:r>
    </w:p>
    <w:p w14:paraId="285F8995">
      <w:pPr>
        <w:pStyle w:val="2"/>
        <w:spacing w:before="78" w:line="219" w:lineRule="auto"/>
        <w:ind w:left="560"/>
      </w:pPr>
      <w:r>
        <w:rPr>
          <w:spacing w:val="2"/>
        </w:rPr>
        <w:t>本条应描述软件开发等应遵循的标准。</w:t>
      </w:r>
    </w:p>
    <w:p w14:paraId="1A429D1D">
      <w:pPr>
        <w:spacing w:before="95" w:line="222" w:lineRule="auto"/>
        <w:outlineLvl w:val="3"/>
        <w:rPr>
          <w:rFonts w:ascii="黑体" w:hAnsi="黑体" w:eastAsia="黑体" w:cs="黑体"/>
          <w:sz w:val="27"/>
          <w:szCs w:val="27"/>
        </w:rPr>
      </w:pPr>
      <w:r>
        <w:rPr>
          <w:rFonts w:ascii="Arial" w:hAnsi="Arial" w:eastAsia="Arial" w:cs="Arial"/>
          <w:b/>
          <w:bCs/>
          <w:spacing w:val="-5"/>
          <w:sz w:val="27"/>
          <w:szCs w:val="27"/>
        </w:rPr>
        <w:t>6.3</w:t>
      </w:r>
      <w:r>
        <w:rPr>
          <w:rFonts w:ascii="Arial" w:hAnsi="Arial" w:eastAsia="Arial" w:cs="Arial"/>
          <w:b/>
          <w:bCs/>
          <w:spacing w:val="10"/>
          <w:sz w:val="27"/>
          <w:szCs w:val="27"/>
        </w:rPr>
        <w:t xml:space="preserve">    </w:t>
      </w:r>
      <w:r>
        <w:rPr>
          <w:rFonts w:ascii="黑体" w:hAnsi="黑体" w:eastAsia="黑体" w:cs="黑体"/>
          <w:b/>
          <w:bCs/>
          <w:spacing w:val="-5"/>
          <w:sz w:val="27"/>
          <w:szCs w:val="27"/>
        </w:rPr>
        <w:t>文档</w:t>
      </w:r>
    </w:p>
    <w:p w14:paraId="0B46D977">
      <w:pPr>
        <w:pStyle w:val="2"/>
        <w:spacing w:before="89" w:line="219" w:lineRule="auto"/>
        <w:ind w:left="560"/>
      </w:pPr>
      <w:r>
        <w:rPr>
          <w:spacing w:val="3"/>
        </w:rPr>
        <w:t>本条应描述应有的开发文档清单以及对它们的评审要求。</w:t>
      </w:r>
    </w:p>
    <w:p w14:paraId="03D55FBE">
      <w:pPr>
        <w:spacing w:before="89" w:line="223" w:lineRule="auto"/>
        <w:rPr>
          <w:rFonts w:ascii="黑体" w:hAnsi="黑体" w:eastAsia="黑体" w:cs="黑体"/>
          <w:sz w:val="27"/>
          <w:szCs w:val="27"/>
        </w:rPr>
      </w:pPr>
      <w:r>
        <w:rPr>
          <w:rFonts w:ascii="黑体" w:hAnsi="黑体" w:eastAsia="黑体" w:cs="黑体"/>
          <w:spacing w:val="-5"/>
          <w:sz w:val="27"/>
          <w:szCs w:val="27"/>
        </w:rPr>
        <w:t>6.4</w:t>
      </w:r>
      <w:r>
        <w:rPr>
          <w:rFonts w:ascii="黑体" w:hAnsi="黑体" w:eastAsia="黑体" w:cs="黑体"/>
          <w:spacing w:val="21"/>
          <w:sz w:val="27"/>
          <w:szCs w:val="27"/>
        </w:rPr>
        <w:t xml:space="preserve">  </w:t>
      </w:r>
      <w:r>
        <w:rPr>
          <w:rFonts w:ascii="黑体" w:hAnsi="黑体" w:eastAsia="黑体" w:cs="黑体"/>
          <w:b/>
          <w:bCs/>
          <w:spacing w:val="-5"/>
          <w:sz w:val="27"/>
          <w:szCs w:val="27"/>
        </w:rPr>
        <w:t>配置管理</w:t>
      </w:r>
    </w:p>
    <w:p w14:paraId="7FCDFF12">
      <w:pPr>
        <w:pStyle w:val="2"/>
        <w:spacing w:before="65" w:line="219" w:lineRule="auto"/>
        <w:ind w:left="560"/>
      </w:pPr>
      <w:r>
        <w:rPr>
          <w:spacing w:val="2"/>
        </w:rPr>
        <w:t>本条应描述软件的配置管理要求。</w:t>
      </w:r>
    </w:p>
    <w:p w14:paraId="34D065B0">
      <w:pPr>
        <w:spacing w:before="114" w:line="221" w:lineRule="auto"/>
        <w:rPr>
          <w:rFonts w:ascii="黑体" w:hAnsi="黑体" w:eastAsia="黑体" w:cs="黑体"/>
          <w:sz w:val="24"/>
          <w:szCs w:val="24"/>
        </w:rPr>
      </w:pPr>
      <w:r>
        <w:rPr>
          <w:rFonts w:ascii="黑体" w:hAnsi="黑体" w:eastAsia="黑体" w:cs="黑体"/>
          <w:spacing w:val="12"/>
          <w:sz w:val="24"/>
          <w:szCs w:val="24"/>
        </w:rPr>
        <w:t>6.5</w:t>
      </w:r>
      <w:r>
        <w:rPr>
          <w:rFonts w:ascii="黑体" w:hAnsi="黑体" w:eastAsia="黑体" w:cs="黑体"/>
          <w:spacing w:val="57"/>
          <w:sz w:val="24"/>
          <w:szCs w:val="24"/>
        </w:rPr>
        <w:t xml:space="preserve">  </w:t>
      </w:r>
      <w:r>
        <w:rPr>
          <w:rFonts w:ascii="黑体" w:hAnsi="黑体" w:eastAsia="黑体" w:cs="黑体"/>
          <w:b/>
          <w:bCs/>
          <w:spacing w:val="12"/>
          <w:sz w:val="24"/>
          <w:szCs w:val="24"/>
        </w:rPr>
        <w:t>测试要求</w:t>
      </w:r>
    </w:p>
    <w:p w14:paraId="0CE4F5BD">
      <w:pPr>
        <w:pStyle w:val="2"/>
        <w:spacing w:before="119" w:line="276" w:lineRule="auto"/>
        <w:ind w:right="2" w:firstLine="560"/>
      </w:pPr>
      <w:r>
        <w:rPr>
          <w:spacing w:val="-3"/>
        </w:rPr>
        <w:t>本条应描述软件测试的要求；必要时规定软件测试的特</w:t>
      </w:r>
      <w:r>
        <w:rPr>
          <w:spacing w:val="-4"/>
        </w:rPr>
        <w:t>殊要求，如软件必须</w:t>
      </w:r>
      <w:r>
        <w:t xml:space="preserve"> 由第三方独立测试等。</w:t>
      </w:r>
    </w:p>
    <w:p w14:paraId="6A267D3C">
      <w:pPr>
        <w:spacing w:before="7" w:line="221" w:lineRule="auto"/>
        <w:rPr>
          <w:rFonts w:ascii="黑体" w:hAnsi="黑体" w:eastAsia="黑体" w:cs="黑体"/>
          <w:sz w:val="25"/>
          <w:szCs w:val="25"/>
        </w:rPr>
      </w:pPr>
      <w:r>
        <w:rPr>
          <w:rFonts w:ascii="黑体" w:hAnsi="黑体" w:eastAsia="黑体" w:cs="黑体"/>
          <w:spacing w:val="15"/>
          <w:sz w:val="25"/>
          <w:szCs w:val="25"/>
        </w:rPr>
        <w:t>6.6</w:t>
      </w:r>
      <w:r>
        <w:rPr>
          <w:rFonts w:ascii="黑体" w:hAnsi="黑体" w:eastAsia="黑体" w:cs="黑体"/>
          <w:spacing w:val="44"/>
          <w:sz w:val="25"/>
          <w:szCs w:val="25"/>
        </w:rPr>
        <w:t xml:space="preserve">  </w:t>
      </w:r>
      <w:r>
        <w:rPr>
          <w:rFonts w:ascii="黑体" w:hAnsi="黑体" w:eastAsia="黑体" w:cs="黑体"/>
          <w:b/>
          <w:bCs/>
          <w:spacing w:val="15"/>
          <w:sz w:val="25"/>
          <w:szCs w:val="25"/>
        </w:rPr>
        <w:t>对分承制方的要求</w:t>
      </w:r>
    </w:p>
    <w:p w14:paraId="685C6EDA">
      <w:pPr>
        <w:pStyle w:val="2"/>
        <w:spacing w:before="96" w:line="219" w:lineRule="auto"/>
        <w:ind w:left="560"/>
      </w:pPr>
      <w:r>
        <w:rPr>
          <w:spacing w:val="-3"/>
        </w:rPr>
        <w:t>当存在软件分承制方时，本条应描述对分承制方的要求。</w:t>
      </w:r>
    </w:p>
    <w:p w14:paraId="0F36228F">
      <w:pPr>
        <w:spacing w:before="76" w:line="222" w:lineRule="auto"/>
        <w:outlineLvl w:val="3"/>
        <w:rPr>
          <w:rFonts w:ascii="黑体" w:hAnsi="黑体" w:eastAsia="黑体" w:cs="黑体"/>
          <w:sz w:val="27"/>
          <w:szCs w:val="27"/>
        </w:rPr>
      </w:pPr>
      <w:r>
        <w:rPr>
          <w:rFonts w:ascii="Arial" w:hAnsi="Arial" w:eastAsia="Arial" w:cs="Arial"/>
          <w:b/>
          <w:bCs/>
          <w:spacing w:val="-6"/>
          <w:sz w:val="27"/>
          <w:szCs w:val="27"/>
        </w:rPr>
        <w:t>7</w:t>
      </w:r>
      <w:r>
        <w:rPr>
          <w:rFonts w:ascii="Arial" w:hAnsi="Arial" w:eastAsia="Arial" w:cs="Arial"/>
          <w:b/>
          <w:bCs/>
          <w:spacing w:val="20"/>
          <w:w w:val="101"/>
          <w:sz w:val="27"/>
          <w:szCs w:val="27"/>
        </w:rPr>
        <w:t xml:space="preserve">   </w:t>
      </w:r>
      <w:r>
        <w:rPr>
          <w:rFonts w:ascii="黑体" w:hAnsi="黑体" w:eastAsia="黑体" w:cs="黑体"/>
          <w:b/>
          <w:bCs/>
          <w:spacing w:val="-6"/>
          <w:sz w:val="27"/>
          <w:szCs w:val="27"/>
        </w:rPr>
        <w:t>验收和交付</w:t>
      </w:r>
    </w:p>
    <w:p w14:paraId="3630B6BA">
      <w:pPr>
        <w:pStyle w:val="2"/>
        <w:spacing w:before="99" w:line="219" w:lineRule="auto"/>
        <w:ind w:left="560"/>
      </w:pPr>
      <w:r>
        <w:rPr>
          <w:spacing w:val="-1"/>
        </w:rPr>
        <w:t>本章应描述如下内容：</w:t>
      </w:r>
    </w:p>
    <w:p w14:paraId="242E5743">
      <w:pPr>
        <w:pStyle w:val="2"/>
        <w:spacing w:before="51" w:line="212" w:lineRule="auto"/>
        <w:ind w:left="560"/>
      </w:pPr>
      <w:r>
        <w:rPr>
          <w:rFonts w:ascii="Times New Roman" w:hAnsi="Times New Roman" w:eastAsia="Times New Roman" w:cs="Times New Roman"/>
          <w:spacing w:val="-4"/>
        </w:rPr>
        <w:t>a)</w:t>
      </w:r>
      <w:r>
        <w:rPr>
          <w:rFonts w:ascii="Times New Roman" w:hAnsi="Times New Roman" w:eastAsia="Times New Roman" w:cs="Times New Roman"/>
          <w:spacing w:val="66"/>
        </w:rPr>
        <w:t xml:space="preserve"> </w:t>
      </w:r>
      <w:r>
        <w:rPr>
          <w:spacing w:val="-4"/>
        </w:rPr>
        <w:t>软件的验收准则，包括验收程序和验收环境；</w:t>
      </w:r>
    </w:p>
    <w:p w14:paraId="1D72B339">
      <w:pPr>
        <w:pStyle w:val="2"/>
        <w:spacing w:before="110" w:line="212" w:lineRule="auto"/>
        <w:ind w:left="560"/>
      </w:pPr>
      <w:r>
        <w:rPr>
          <w:rFonts w:ascii="Times New Roman" w:hAnsi="Times New Roman" w:eastAsia="Times New Roman" w:cs="Times New Roman"/>
          <w:spacing w:val="-11"/>
        </w:rPr>
        <w:t>b)</w:t>
      </w:r>
      <w:r>
        <w:rPr>
          <w:rFonts w:ascii="Times New Roman" w:hAnsi="Times New Roman" w:eastAsia="Times New Roman" w:cs="Times New Roman"/>
          <w:spacing w:val="63"/>
        </w:rPr>
        <w:t xml:space="preserve"> </w:t>
      </w:r>
      <w:r>
        <w:rPr>
          <w:spacing w:val="-11"/>
        </w:rPr>
        <w:t>软件的交付形式、数量、装载媒体等；</w:t>
      </w:r>
    </w:p>
    <w:p w14:paraId="7FDBA447">
      <w:pPr>
        <w:pStyle w:val="2"/>
        <w:spacing w:before="80" w:line="212" w:lineRule="auto"/>
        <w:ind w:left="560"/>
      </w:pPr>
      <w:r>
        <w:rPr>
          <w:rFonts w:ascii="Times New Roman" w:hAnsi="Times New Roman" w:eastAsia="Times New Roman" w:cs="Times New Roman"/>
          <w:spacing w:val="2"/>
        </w:rPr>
        <w:t>c)</w:t>
      </w:r>
      <w:r>
        <w:rPr>
          <w:rFonts w:ascii="Times New Roman" w:hAnsi="Times New Roman" w:eastAsia="Times New Roman" w:cs="Times New Roman"/>
          <w:spacing w:val="54"/>
          <w:w w:val="101"/>
        </w:rPr>
        <w:t xml:space="preserve"> </w:t>
      </w:r>
      <w:r>
        <w:rPr>
          <w:spacing w:val="2"/>
        </w:rPr>
        <w:t>应交付的文档清单；</w:t>
      </w:r>
    </w:p>
    <w:p w14:paraId="15AEF7B2">
      <w:pPr>
        <w:pStyle w:val="2"/>
        <w:spacing w:before="110" w:line="212" w:lineRule="auto"/>
        <w:ind w:left="560"/>
      </w:pPr>
      <w:r>
        <w:rPr>
          <w:rFonts w:ascii="Times New Roman" w:hAnsi="Times New Roman" w:eastAsia="Times New Roman" w:cs="Times New Roman"/>
          <w:spacing w:val="-5"/>
        </w:rPr>
        <w:t xml:space="preserve">d)  </w:t>
      </w:r>
      <w:r>
        <w:rPr>
          <w:spacing w:val="-5"/>
        </w:rPr>
        <w:t>需要时，软件的版权保护要求。</w:t>
      </w:r>
    </w:p>
    <w:p w14:paraId="62325087">
      <w:pPr>
        <w:spacing w:before="126" w:line="222" w:lineRule="auto"/>
        <w:rPr>
          <w:rFonts w:ascii="黑体" w:hAnsi="黑体" w:eastAsia="黑体" w:cs="黑体"/>
          <w:sz w:val="27"/>
          <w:szCs w:val="27"/>
        </w:rPr>
      </w:pPr>
      <w:r>
        <w:rPr>
          <w:rFonts w:ascii="黑体" w:hAnsi="黑体" w:eastAsia="黑体" w:cs="黑体"/>
          <w:spacing w:val="-2"/>
          <w:sz w:val="27"/>
          <w:szCs w:val="27"/>
        </w:rPr>
        <w:t>8</w:t>
      </w:r>
      <w:r>
        <w:rPr>
          <w:rFonts w:ascii="黑体" w:hAnsi="黑体" w:eastAsia="黑体" w:cs="黑体"/>
          <w:spacing w:val="16"/>
          <w:sz w:val="27"/>
          <w:szCs w:val="27"/>
        </w:rPr>
        <w:t xml:space="preserve">  </w:t>
      </w:r>
      <w:r>
        <w:rPr>
          <w:rFonts w:ascii="黑体" w:hAnsi="黑体" w:eastAsia="黑体" w:cs="黑体"/>
          <w:b/>
          <w:bCs/>
          <w:spacing w:val="-2"/>
          <w:sz w:val="27"/>
          <w:szCs w:val="27"/>
        </w:rPr>
        <w:t>软件保障要求</w:t>
      </w:r>
    </w:p>
    <w:p w14:paraId="4567CA19">
      <w:pPr>
        <w:pStyle w:val="2"/>
        <w:spacing w:before="108" w:line="219" w:lineRule="auto"/>
        <w:ind w:left="560"/>
      </w:pPr>
      <w:r>
        <w:rPr>
          <w:spacing w:val="-2"/>
        </w:rPr>
        <w:t>本章应描述在软件移交后的有关软件维护、培训等技术保障要求。</w:t>
      </w:r>
    </w:p>
    <w:p w14:paraId="2485C397">
      <w:pPr>
        <w:spacing w:before="85" w:line="222" w:lineRule="auto"/>
        <w:rPr>
          <w:rFonts w:ascii="黑体" w:hAnsi="黑体" w:eastAsia="黑体" w:cs="黑体"/>
          <w:sz w:val="24"/>
          <w:szCs w:val="24"/>
        </w:rPr>
      </w:pPr>
      <w:r>
        <w:rPr>
          <w:rFonts w:ascii="黑体" w:hAnsi="黑体" w:eastAsia="黑体" w:cs="黑体"/>
          <w:spacing w:val="24"/>
          <w:sz w:val="24"/>
          <w:szCs w:val="24"/>
        </w:rPr>
        <w:t>9</w:t>
      </w:r>
      <w:r>
        <w:rPr>
          <w:rFonts w:ascii="黑体" w:hAnsi="黑体" w:eastAsia="黑体" w:cs="黑体"/>
          <w:spacing w:val="35"/>
          <w:sz w:val="24"/>
          <w:szCs w:val="24"/>
        </w:rPr>
        <w:t xml:space="preserve">  </w:t>
      </w:r>
      <w:r>
        <w:rPr>
          <w:rFonts w:ascii="黑体" w:hAnsi="黑体" w:eastAsia="黑体" w:cs="黑体"/>
          <w:b/>
          <w:bCs/>
          <w:spacing w:val="24"/>
          <w:sz w:val="24"/>
          <w:szCs w:val="24"/>
        </w:rPr>
        <w:t>进度和里程碑</w:t>
      </w:r>
    </w:p>
    <w:p w14:paraId="47835122">
      <w:pPr>
        <w:pStyle w:val="2"/>
        <w:spacing w:before="116" w:line="219" w:lineRule="auto"/>
        <w:ind w:left="560"/>
      </w:pPr>
      <w:r>
        <w:rPr>
          <w:spacing w:val="-2"/>
        </w:rPr>
        <w:t>本章应描述项目的进度要求、里程碑和需要需方参加的评审等。</w:t>
      </w:r>
    </w:p>
    <w:p w14:paraId="149CE7FC">
      <w:pPr>
        <w:spacing w:before="56" w:line="222" w:lineRule="auto"/>
        <w:rPr>
          <w:rFonts w:ascii="黑体" w:hAnsi="黑体" w:eastAsia="黑体" w:cs="黑体"/>
          <w:sz w:val="27"/>
          <w:szCs w:val="27"/>
        </w:rPr>
      </w:pPr>
      <w:r>
        <w:rPr>
          <w:rFonts w:ascii="黑体" w:hAnsi="黑体" w:eastAsia="黑体" w:cs="黑体"/>
          <w:spacing w:val="-10"/>
          <w:sz w:val="27"/>
          <w:szCs w:val="27"/>
        </w:rPr>
        <w:t>10</w:t>
      </w:r>
      <w:r>
        <w:rPr>
          <w:rFonts w:ascii="黑体" w:hAnsi="黑体" w:eastAsia="黑体" w:cs="黑体"/>
          <w:spacing w:val="25"/>
          <w:sz w:val="27"/>
          <w:szCs w:val="27"/>
        </w:rPr>
        <w:t xml:space="preserve">  </w:t>
      </w:r>
      <w:r>
        <w:rPr>
          <w:rFonts w:ascii="黑体" w:hAnsi="黑体" w:eastAsia="黑体" w:cs="黑体"/>
          <w:b/>
          <w:bCs/>
          <w:spacing w:val="-10"/>
          <w:sz w:val="27"/>
          <w:szCs w:val="27"/>
        </w:rPr>
        <w:t>注释</w:t>
      </w:r>
    </w:p>
    <w:p w14:paraId="58EC5B05">
      <w:pPr>
        <w:pStyle w:val="2"/>
        <w:spacing w:before="119" w:line="219" w:lineRule="auto"/>
        <w:ind w:left="560"/>
      </w:pPr>
      <w:r>
        <w:rPr>
          <w:spacing w:val="-4"/>
        </w:rPr>
        <w:t>本章包括有助于了解文档的所有信息(例如背景、术语、缩略语或公式)。</w:t>
      </w:r>
    </w:p>
    <w:p w14:paraId="7DAA635B">
      <w:pPr>
        <w:spacing w:line="321" w:lineRule="auto"/>
        <w:rPr>
          <w:rFonts w:ascii="Arial"/>
          <w:sz w:val="21"/>
        </w:rPr>
      </w:pPr>
    </w:p>
    <w:p w14:paraId="0522B4A2">
      <w:pPr>
        <w:pStyle w:val="2"/>
        <w:spacing w:before="117" w:line="219" w:lineRule="auto"/>
        <w:ind w:left="3150"/>
        <w:rPr>
          <w:sz w:val="36"/>
          <w:szCs w:val="36"/>
        </w:rPr>
      </w:pPr>
      <w:r>
        <w:rPr>
          <w:spacing w:val="-4"/>
          <w:sz w:val="36"/>
          <w:szCs w:val="36"/>
        </w:rPr>
        <w:t>2.7</w:t>
      </w:r>
      <w:r>
        <w:rPr>
          <w:spacing w:val="21"/>
          <w:sz w:val="36"/>
          <w:szCs w:val="36"/>
        </w:rPr>
        <w:t xml:space="preserve">  </w:t>
      </w:r>
      <w:r>
        <w:rPr>
          <w:b/>
          <w:bCs/>
          <w:spacing w:val="-4"/>
          <w:sz w:val="36"/>
          <w:szCs w:val="36"/>
        </w:rPr>
        <w:t>软件开发计划</w:t>
      </w:r>
    </w:p>
    <w:p w14:paraId="3FE1238D">
      <w:pPr>
        <w:spacing w:line="338" w:lineRule="auto"/>
        <w:rPr>
          <w:rFonts w:ascii="Arial"/>
          <w:sz w:val="21"/>
        </w:rPr>
      </w:pPr>
    </w:p>
    <w:p w14:paraId="76D82A3B">
      <w:pPr>
        <w:pStyle w:val="2"/>
        <w:spacing w:before="91" w:line="225"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w:t>
      </w:r>
      <w:r>
        <w:rPr>
          <w:rFonts w:ascii="Times New Roman" w:hAnsi="Times New Roman" w:eastAsia="Times New Roman" w:cs="Times New Roman"/>
          <w:strike/>
          <w:spacing w:val="-10"/>
          <w:sz w:val="28"/>
          <w:szCs w:val="28"/>
        </w:rPr>
        <w:t>2</w:t>
      </w:r>
      <w:r>
        <w:rPr>
          <w:rFonts w:ascii="Times New Roman" w:hAnsi="Times New Roman" w:eastAsia="Times New Roman" w:cs="Times New Roman"/>
          <w:spacing w:val="-10"/>
          <w:sz w:val="28"/>
          <w:szCs w:val="28"/>
        </w:rPr>
        <w:t>009</w:t>
      </w:r>
      <w:r>
        <w:rPr>
          <w:spacing w:val="-10"/>
          <w:sz w:val="28"/>
          <w:szCs w:val="28"/>
        </w:rPr>
        <w:t>《</w:t>
      </w:r>
      <w:r>
        <w:rPr>
          <w:rFonts w:ascii="楷体" w:hAnsi="楷体" w:eastAsia="楷体" w:cs="楷体"/>
          <w:spacing w:val="-10"/>
          <w:sz w:val="28"/>
          <w:szCs w:val="28"/>
        </w:rPr>
        <w:t>军用软件</w:t>
      </w:r>
      <w:r>
        <w:rPr>
          <w:rFonts w:ascii="楷体" w:hAnsi="楷体" w:eastAsia="楷体" w:cs="楷体"/>
          <w:spacing w:val="-11"/>
          <w:sz w:val="28"/>
          <w:szCs w:val="28"/>
        </w:rPr>
        <w:t>开发文档通用要求》编写。</w:t>
      </w:r>
    </w:p>
    <w:p w14:paraId="495CC906">
      <w:pPr>
        <w:spacing w:before="49"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2AB8403C">
      <w:pPr>
        <w:spacing w:before="122" w:line="222" w:lineRule="auto"/>
        <w:rPr>
          <w:rFonts w:ascii="黑体" w:hAnsi="黑体" w:eastAsia="黑体" w:cs="黑体"/>
          <w:sz w:val="24"/>
          <w:szCs w:val="24"/>
        </w:rPr>
      </w:pPr>
      <w:r>
        <w:rPr>
          <w:rFonts w:ascii="黑体" w:hAnsi="黑体" w:eastAsia="黑体" w:cs="黑体"/>
          <w:spacing w:val="-3"/>
          <w:sz w:val="24"/>
          <w:szCs w:val="24"/>
        </w:rPr>
        <w:t>1.1</w:t>
      </w:r>
      <w:r>
        <w:rPr>
          <w:rFonts w:ascii="黑体" w:hAnsi="黑体" w:eastAsia="黑体" w:cs="黑体"/>
          <w:spacing w:val="53"/>
          <w:sz w:val="24"/>
          <w:szCs w:val="24"/>
        </w:rPr>
        <w:t xml:space="preserve">  </w:t>
      </w:r>
      <w:r>
        <w:rPr>
          <w:rFonts w:ascii="黑体" w:hAnsi="黑体" w:eastAsia="黑体" w:cs="黑体"/>
          <w:b/>
          <w:bCs/>
          <w:spacing w:val="-3"/>
          <w:sz w:val="24"/>
          <w:szCs w:val="24"/>
        </w:rPr>
        <w:t>标</w:t>
      </w:r>
      <w:r>
        <w:rPr>
          <w:rFonts w:ascii="黑体" w:hAnsi="黑体" w:eastAsia="黑体" w:cs="黑体"/>
          <w:spacing w:val="-51"/>
          <w:sz w:val="24"/>
          <w:szCs w:val="24"/>
        </w:rPr>
        <w:t xml:space="preserve"> </w:t>
      </w:r>
      <w:r>
        <w:rPr>
          <w:rFonts w:ascii="黑体" w:hAnsi="黑体" w:eastAsia="黑体" w:cs="黑体"/>
          <w:b/>
          <w:bCs/>
          <w:spacing w:val="-3"/>
          <w:sz w:val="24"/>
          <w:szCs w:val="24"/>
        </w:rPr>
        <w:t>识</w:t>
      </w:r>
    </w:p>
    <w:p w14:paraId="6CCE6DFC">
      <w:pPr>
        <w:pStyle w:val="2"/>
        <w:spacing w:before="94" w:line="296" w:lineRule="auto"/>
        <w:ind w:firstLine="560"/>
      </w:pPr>
      <w:r>
        <w:rPr>
          <w:spacing w:val="5"/>
        </w:rPr>
        <w:t>本条应描述本文档所适用的系统和软件的完整标识，适用时，包括其标识</w:t>
      </w:r>
      <w:r>
        <w:rPr>
          <w:spacing w:val="4"/>
        </w:rPr>
        <w:t xml:space="preserve"> </w:t>
      </w:r>
      <w:r>
        <w:rPr>
          <w:spacing w:val="-20"/>
        </w:rPr>
        <w:t>号、名称、缩略名、版本号和发布号。</w:t>
      </w:r>
    </w:p>
    <w:p w14:paraId="20CCD36F">
      <w:pPr>
        <w:spacing w:line="296" w:lineRule="auto"/>
        <w:sectPr>
          <w:footerReference r:id="rId207" w:type="default"/>
          <w:pgSz w:w="11910" w:h="17130"/>
          <w:pgMar w:top="1452" w:right="1534" w:bottom="1667" w:left="1009" w:header="0" w:footer="1450" w:gutter="0"/>
          <w:cols w:space="720" w:num="1"/>
        </w:sectPr>
      </w:pPr>
    </w:p>
    <w:p w14:paraId="73FA936B">
      <w:pPr>
        <w:spacing w:before="54" w:line="221"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31"/>
          <w:sz w:val="27"/>
          <w:szCs w:val="27"/>
        </w:rPr>
        <w:t xml:space="preserve">  </w:t>
      </w:r>
      <w:r>
        <w:rPr>
          <w:rFonts w:ascii="黑体" w:hAnsi="黑体" w:eastAsia="黑体" w:cs="黑体"/>
          <w:b/>
          <w:bCs/>
          <w:spacing w:val="-7"/>
          <w:sz w:val="27"/>
          <w:szCs w:val="27"/>
        </w:rPr>
        <w:t>系统概述</w:t>
      </w:r>
    </w:p>
    <w:p w14:paraId="7EBCB12C">
      <w:pPr>
        <w:pStyle w:val="2"/>
        <w:spacing w:before="50" w:line="284" w:lineRule="auto"/>
        <w:ind w:right="10" w:firstLine="560"/>
        <w:jc w:val="both"/>
      </w:pPr>
      <w:r>
        <w:rPr>
          <w:spacing w:val="6"/>
        </w:rPr>
        <w:t>本条应概述本文档所适用的系统和软件的用途</w:t>
      </w:r>
      <w:r>
        <w:rPr>
          <w:spacing w:val="5"/>
        </w:rPr>
        <w:t>。它还应描述系统与软件的</w:t>
      </w:r>
      <w:r>
        <w:t xml:space="preserve"> </w:t>
      </w:r>
      <w:r>
        <w:rPr>
          <w:spacing w:val="-9"/>
        </w:rPr>
        <w:t>一般特性；概述系统开发、运行和维护的历史</w:t>
      </w:r>
      <w:r>
        <w:rPr>
          <w:spacing w:val="-10"/>
        </w:rPr>
        <w:t>；标识项目的需方、用户、开发方和</w:t>
      </w:r>
      <w:r>
        <w:t xml:space="preserve"> </w:t>
      </w:r>
      <w:r>
        <w:rPr>
          <w:spacing w:val="-6"/>
        </w:rPr>
        <w:t>保障机构等；标识当前和计划的运行现场；列出其他有关文档。</w:t>
      </w:r>
    </w:p>
    <w:p w14:paraId="385B7446">
      <w:pPr>
        <w:spacing w:before="1" w:line="220" w:lineRule="auto"/>
        <w:rPr>
          <w:rFonts w:ascii="黑体" w:hAnsi="黑体" w:eastAsia="黑体" w:cs="黑体"/>
          <w:sz w:val="27"/>
          <w:szCs w:val="27"/>
        </w:rPr>
      </w:pPr>
      <w:r>
        <w:rPr>
          <w:rFonts w:ascii="黑体" w:hAnsi="黑体" w:eastAsia="黑体" w:cs="黑体"/>
          <w:spacing w:val="-7"/>
          <w:sz w:val="27"/>
          <w:szCs w:val="27"/>
        </w:rPr>
        <w:t>1.3</w:t>
      </w:r>
      <w:r>
        <w:rPr>
          <w:rFonts w:ascii="黑体" w:hAnsi="黑体" w:eastAsia="黑体" w:cs="黑体"/>
          <w:spacing w:val="27"/>
          <w:sz w:val="27"/>
          <w:szCs w:val="27"/>
        </w:rPr>
        <w:t xml:space="preserve">  </w:t>
      </w:r>
      <w:r>
        <w:rPr>
          <w:rFonts w:ascii="黑体" w:hAnsi="黑体" w:eastAsia="黑体" w:cs="黑体"/>
          <w:b/>
          <w:bCs/>
          <w:spacing w:val="-7"/>
          <w:sz w:val="27"/>
          <w:szCs w:val="27"/>
        </w:rPr>
        <w:t>文档概述</w:t>
      </w:r>
    </w:p>
    <w:p w14:paraId="46016FEA">
      <w:pPr>
        <w:pStyle w:val="2"/>
        <w:spacing w:before="81" w:line="283" w:lineRule="auto"/>
        <w:ind w:right="10" w:firstLine="560"/>
      </w:pPr>
      <w:r>
        <w:rPr>
          <w:spacing w:val="6"/>
        </w:rPr>
        <w:t>本条应概述本文档的用途和内容，并描述与它</w:t>
      </w:r>
      <w:r>
        <w:rPr>
          <w:spacing w:val="5"/>
        </w:rPr>
        <w:t>的使用有关的保密性方面的</w:t>
      </w:r>
      <w:r>
        <w:t xml:space="preserve"> </w:t>
      </w:r>
      <w:r>
        <w:rPr>
          <w:spacing w:val="-2"/>
        </w:rPr>
        <w:t>要求。</w:t>
      </w:r>
    </w:p>
    <w:p w14:paraId="2C5F64E1">
      <w:pPr>
        <w:spacing w:line="222" w:lineRule="auto"/>
        <w:rPr>
          <w:rFonts w:ascii="黑体" w:hAnsi="黑体" w:eastAsia="黑体" w:cs="黑体"/>
          <w:sz w:val="27"/>
          <w:szCs w:val="27"/>
        </w:rPr>
      </w:pPr>
      <w:r>
        <w:rPr>
          <w:rFonts w:ascii="黑体" w:hAnsi="黑体" w:eastAsia="黑体" w:cs="黑体"/>
          <w:spacing w:val="-2"/>
          <w:sz w:val="27"/>
          <w:szCs w:val="27"/>
        </w:rPr>
        <w:t>1.4</w:t>
      </w:r>
      <w:r>
        <w:rPr>
          <w:rFonts w:ascii="黑体" w:hAnsi="黑体" w:eastAsia="黑体" w:cs="黑体"/>
          <w:spacing w:val="30"/>
          <w:sz w:val="27"/>
          <w:szCs w:val="27"/>
        </w:rPr>
        <w:t xml:space="preserve">  </w:t>
      </w:r>
      <w:r>
        <w:rPr>
          <w:rFonts w:ascii="黑体" w:hAnsi="黑体" w:eastAsia="黑体" w:cs="黑体"/>
          <w:b/>
          <w:bCs/>
          <w:spacing w:val="-2"/>
          <w:sz w:val="27"/>
          <w:szCs w:val="27"/>
        </w:rPr>
        <w:t>与其他计划之间的关系</w:t>
      </w:r>
    </w:p>
    <w:p w14:paraId="14FF4B09">
      <w:pPr>
        <w:pStyle w:val="2"/>
        <w:spacing w:before="77" w:line="219" w:lineRule="auto"/>
        <w:ind w:left="560"/>
      </w:pPr>
      <w:r>
        <w:rPr>
          <w:spacing w:val="4"/>
        </w:rPr>
        <w:t>本条应描述本计划和其他项目管理计划的关系。</w:t>
      </w:r>
    </w:p>
    <w:p w14:paraId="0B556D3A">
      <w:pPr>
        <w:spacing w:before="115" w:line="222" w:lineRule="auto"/>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40"/>
          <w:sz w:val="24"/>
          <w:szCs w:val="24"/>
        </w:rPr>
        <w:t xml:space="preserve">  </w:t>
      </w:r>
      <w:r>
        <w:rPr>
          <w:rFonts w:ascii="黑体" w:hAnsi="黑体" w:eastAsia="黑体" w:cs="黑体"/>
          <w:b/>
          <w:bCs/>
          <w:spacing w:val="-15"/>
          <w:sz w:val="24"/>
          <w:szCs w:val="24"/>
        </w:rPr>
        <w:t>引</w:t>
      </w:r>
      <w:r>
        <w:rPr>
          <w:rFonts w:ascii="黑体" w:hAnsi="黑体" w:eastAsia="黑体" w:cs="黑体"/>
          <w:spacing w:val="-48"/>
          <w:sz w:val="24"/>
          <w:szCs w:val="24"/>
        </w:rPr>
        <w:t xml:space="preserve"> </w:t>
      </w:r>
      <w:r>
        <w:rPr>
          <w:rFonts w:ascii="黑体" w:hAnsi="黑体" w:eastAsia="黑体" w:cs="黑体"/>
          <w:b/>
          <w:bCs/>
          <w:spacing w:val="-15"/>
          <w:sz w:val="24"/>
          <w:szCs w:val="24"/>
        </w:rPr>
        <w:t>用</w:t>
      </w:r>
      <w:r>
        <w:rPr>
          <w:rFonts w:ascii="黑体" w:hAnsi="黑体" w:eastAsia="黑体" w:cs="黑体"/>
          <w:spacing w:val="-50"/>
          <w:sz w:val="24"/>
          <w:szCs w:val="24"/>
        </w:rPr>
        <w:t xml:space="preserve"> </w:t>
      </w:r>
      <w:r>
        <w:rPr>
          <w:rFonts w:ascii="黑体" w:hAnsi="黑体" w:eastAsia="黑体" w:cs="黑体"/>
          <w:b/>
          <w:bCs/>
          <w:spacing w:val="-15"/>
          <w:sz w:val="24"/>
          <w:szCs w:val="24"/>
        </w:rPr>
        <w:t>文</w:t>
      </w:r>
      <w:r>
        <w:rPr>
          <w:rFonts w:ascii="黑体" w:hAnsi="黑体" w:eastAsia="黑体" w:cs="黑体"/>
          <w:spacing w:val="-55"/>
          <w:sz w:val="24"/>
          <w:szCs w:val="24"/>
        </w:rPr>
        <w:t xml:space="preserve"> </w:t>
      </w:r>
      <w:r>
        <w:rPr>
          <w:rFonts w:ascii="黑体" w:hAnsi="黑体" w:eastAsia="黑体" w:cs="黑体"/>
          <w:b/>
          <w:bCs/>
          <w:spacing w:val="-15"/>
          <w:sz w:val="24"/>
          <w:szCs w:val="24"/>
        </w:rPr>
        <w:t>档</w:t>
      </w:r>
    </w:p>
    <w:p w14:paraId="23804FAF">
      <w:pPr>
        <w:pStyle w:val="2"/>
        <w:spacing w:before="86" w:line="279" w:lineRule="auto"/>
        <w:ind w:right="18" w:firstLine="560"/>
      </w:pPr>
      <w:r>
        <w:rPr>
          <w:spacing w:val="-11"/>
        </w:rPr>
        <w:t>本章应列出引用文档的编号、标题、编写单位、修订版及日期，还应标识不能</w:t>
      </w:r>
      <w:r>
        <w:rPr>
          <w:spacing w:val="6"/>
        </w:rPr>
        <w:t xml:space="preserve"> </w:t>
      </w:r>
      <w:r>
        <w:rPr>
          <w:spacing w:val="4"/>
        </w:rPr>
        <w:t>通过正常采购活动得到的文档的来源。</w:t>
      </w:r>
    </w:p>
    <w:p w14:paraId="3BFEA7FA">
      <w:pPr>
        <w:spacing w:before="1" w:line="220"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9"/>
          <w:sz w:val="27"/>
          <w:szCs w:val="27"/>
        </w:rPr>
        <w:t xml:space="preserve">  </w:t>
      </w:r>
      <w:r>
        <w:rPr>
          <w:rFonts w:ascii="黑体" w:hAnsi="黑体" w:eastAsia="黑体" w:cs="黑体"/>
          <w:b/>
          <w:bCs/>
          <w:spacing w:val="-1"/>
          <w:sz w:val="27"/>
          <w:szCs w:val="27"/>
        </w:rPr>
        <w:t>策划背景概述</w:t>
      </w:r>
    </w:p>
    <w:p w14:paraId="29E41151">
      <w:pPr>
        <w:pStyle w:val="2"/>
        <w:spacing w:before="61" w:line="281" w:lineRule="auto"/>
        <w:ind w:right="18" w:firstLine="560"/>
      </w:pPr>
      <w:r>
        <w:rPr>
          <w:spacing w:val="-3"/>
        </w:rPr>
        <w:t>本章按需要可分为若干条，并应对后续章条描述的策划提供背景信息，主要</w:t>
      </w:r>
      <w:r>
        <w:rPr>
          <w:spacing w:val="1"/>
        </w:rPr>
        <w:t xml:space="preserve"> </w:t>
      </w:r>
      <w:r>
        <w:rPr>
          <w:spacing w:val="2"/>
        </w:rPr>
        <w:t>包括如下方面的概述：</w:t>
      </w:r>
    </w:p>
    <w:p w14:paraId="56C9EFFC">
      <w:pPr>
        <w:pStyle w:val="2"/>
        <w:spacing w:line="212" w:lineRule="auto"/>
        <w:ind w:left="560"/>
      </w:pPr>
      <w:r>
        <w:rPr>
          <w:rFonts w:ascii="Times New Roman" w:hAnsi="Times New Roman" w:eastAsia="Times New Roman" w:cs="Times New Roman"/>
          <w:spacing w:val="-4"/>
        </w:rPr>
        <w:t xml:space="preserve">a)  </w:t>
      </w:r>
      <w:r>
        <w:rPr>
          <w:spacing w:val="-4"/>
        </w:rPr>
        <w:t>所要开发系统、软件的需求和约束；</w:t>
      </w:r>
    </w:p>
    <w:p w14:paraId="15DCACF4">
      <w:pPr>
        <w:pStyle w:val="2"/>
        <w:spacing w:before="110" w:line="212" w:lineRule="auto"/>
        <w:ind w:left="560"/>
      </w:pPr>
      <w:r>
        <w:rPr>
          <w:rFonts w:ascii="Times New Roman" w:hAnsi="Times New Roman" w:eastAsia="Times New Roman" w:cs="Times New Roman"/>
          <w:spacing w:val="3"/>
        </w:rPr>
        <w:t xml:space="preserve">b)  </w:t>
      </w:r>
      <w:r>
        <w:rPr>
          <w:spacing w:val="3"/>
        </w:rPr>
        <w:t>项目文档的需求和约束；</w:t>
      </w:r>
    </w:p>
    <w:p w14:paraId="242C0BE1">
      <w:pPr>
        <w:pStyle w:val="2"/>
        <w:spacing w:before="122" w:line="212" w:lineRule="auto"/>
        <w:ind w:left="560"/>
        <w:rPr>
          <w:sz w:val="24"/>
          <w:szCs w:val="24"/>
        </w:rPr>
      </w:pPr>
      <w:r>
        <w:rPr>
          <w:rFonts w:ascii="Times New Roman" w:hAnsi="Times New Roman" w:eastAsia="Times New Roman" w:cs="Times New Roman"/>
          <w:spacing w:val="27"/>
          <w:sz w:val="24"/>
          <w:szCs w:val="24"/>
        </w:rPr>
        <w:t xml:space="preserve">c)  </w:t>
      </w:r>
      <w:r>
        <w:rPr>
          <w:spacing w:val="27"/>
          <w:sz w:val="24"/>
          <w:szCs w:val="24"/>
        </w:rPr>
        <w:t>项目在系统寿命周期中的位置；</w:t>
      </w:r>
    </w:p>
    <w:p w14:paraId="17417762">
      <w:pPr>
        <w:pStyle w:val="2"/>
        <w:spacing w:before="92" w:line="212" w:lineRule="auto"/>
        <w:ind w:left="560"/>
      </w:pPr>
      <w:r>
        <w:rPr>
          <w:rFonts w:ascii="Times New Roman" w:hAnsi="Times New Roman" w:eastAsia="Times New Roman" w:cs="Times New Roman"/>
          <w:spacing w:val="4"/>
        </w:rPr>
        <w:t xml:space="preserve">d)  </w:t>
      </w:r>
      <w:r>
        <w:rPr>
          <w:spacing w:val="4"/>
        </w:rPr>
        <w:t>所选用的工程项目/获取策略或其他方面对它的需求或约束；</w:t>
      </w:r>
    </w:p>
    <w:p w14:paraId="36B97A5A">
      <w:pPr>
        <w:pStyle w:val="2"/>
        <w:spacing w:before="100" w:line="212" w:lineRule="auto"/>
        <w:ind w:left="560"/>
      </w:pPr>
      <w:r>
        <w:rPr>
          <w:rFonts w:ascii="Times New Roman" w:hAnsi="Times New Roman" w:eastAsia="Times New Roman" w:cs="Times New Roman"/>
          <w:spacing w:val="3"/>
        </w:rPr>
        <w:t>e)</w:t>
      </w:r>
      <w:r>
        <w:rPr>
          <w:rFonts w:ascii="Times New Roman" w:hAnsi="Times New Roman" w:eastAsia="Times New Roman" w:cs="Times New Roman"/>
          <w:spacing w:val="72"/>
        </w:rPr>
        <w:t xml:space="preserve"> </w:t>
      </w:r>
      <w:r>
        <w:rPr>
          <w:spacing w:val="3"/>
        </w:rPr>
        <w:t>项目进度安排及资源的需求与约束；</w:t>
      </w:r>
    </w:p>
    <w:p w14:paraId="5E1CEB07">
      <w:pPr>
        <w:pStyle w:val="2"/>
        <w:spacing w:before="109" w:line="253" w:lineRule="auto"/>
        <w:ind w:right="10" w:firstLine="560"/>
      </w:pPr>
      <w:r>
        <w:rPr>
          <w:rFonts w:ascii="Times New Roman" w:hAnsi="Times New Roman" w:eastAsia="Times New Roman" w:cs="Times New Roman"/>
          <w:spacing w:val="-4"/>
        </w:rPr>
        <w:t xml:space="preserve">f)  </w:t>
      </w:r>
      <w:r>
        <w:rPr>
          <w:spacing w:val="-4"/>
        </w:rPr>
        <w:t>其他需求和约束，例如项目的保密性、方法、标准、硬件和软件开发的相</w:t>
      </w:r>
      <w:r>
        <w:rPr>
          <w:spacing w:val="9"/>
        </w:rPr>
        <w:t xml:space="preserve"> </w:t>
      </w:r>
      <w:r>
        <w:rPr>
          <w:spacing w:val="2"/>
        </w:rPr>
        <w:t>互依赖关系等。</w:t>
      </w:r>
    </w:p>
    <w:p w14:paraId="421503A7">
      <w:pPr>
        <w:spacing w:before="85" w:line="221" w:lineRule="auto"/>
        <w:outlineLvl w:val="3"/>
        <w:rPr>
          <w:rFonts w:ascii="黑体" w:hAnsi="黑体" w:eastAsia="黑体" w:cs="黑体"/>
          <w:sz w:val="27"/>
          <w:szCs w:val="27"/>
        </w:rPr>
      </w:pPr>
      <w:r>
        <w:rPr>
          <w:rFonts w:ascii="Arial" w:hAnsi="Arial" w:eastAsia="Arial" w:cs="Arial"/>
          <w:b/>
          <w:bCs/>
          <w:spacing w:val="2"/>
          <w:sz w:val="27"/>
          <w:szCs w:val="27"/>
        </w:rPr>
        <w:t>4</w:t>
      </w:r>
      <w:r>
        <w:rPr>
          <w:rFonts w:ascii="Arial" w:hAnsi="Arial" w:eastAsia="Arial" w:cs="Arial"/>
          <w:b/>
          <w:bCs/>
          <w:spacing w:val="23"/>
          <w:sz w:val="27"/>
          <w:szCs w:val="27"/>
        </w:rPr>
        <w:t xml:space="preserve">   </w:t>
      </w:r>
      <w:r>
        <w:rPr>
          <w:rFonts w:ascii="黑体" w:hAnsi="黑体" w:eastAsia="黑体" w:cs="黑体"/>
          <w:b/>
          <w:bCs/>
          <w:spacing w:val="2"/>
          <w:sz w:val="27"/>
          <w:szCs w:val="27"/>
        </w:rPr>
        <w:t>软件开发活动的总体实施计划</w:t>
      </w:r>
    </w:p>
    <w:p w14:paraId="740EC12D">
      <w:pPr>
        <w:pStyle w:val="2"/>
        <w:spacing w:before="102" w:line="277" w:lineRule="auto"/>
        <w:ind w:right="2" w:firstLine="560"/>
        <w:jc w:val="both"/>
      </w:pPr>
      <w:r>
        <w:rPr>
          <w:spacing w:val="6"/>
        </w:rPr>
        <w:t>如果项目的不同构建版或不同软件要求不同的策划，就应在下述</w:t>
      </w:r>
      <w:r>
        <w:rPr>
          <w:spacing w:val="5"/>
        </w:rPr>
        <w:t>相应条中</w:t>
      </w:r>
      <w:r>
        <w:t xml:space="preserve"> </w:t>
      </w:r>
      <w:r>
        <w:rPr>
          <w:spacing w:val="1"/>
        </w:rPr>
        <w:t>注明这些区别。除下面规定的内容外，每条应标识适用的风险/不确定性和它们</w:t>
      </w:r>
      <w:r>
        <w:rPr>
          <w:spacing w:val="9"/>
        </w:rPr>
        <w:t xml:space="preserve"> </w:t>
      </w:r>
      <w:r>
        <w:t>的处理计划。</w:t>
      </w:r>
    </w:p>
    <w:p w14:paraId="3B9212F7">
      <w:pPr>
        <w:spacing w:before="1" w:line="220" w:lineRule="auto"/>
        <w:rPr>
          <w:rFonts w:ascii="黑体" w:hAnsi="黑体" w:eastAsia="黑体" w:cs="黑体"/>
          <w:sz w:val="27"/>
          <w:szCs w:val="27"/>
        </w:rPr>
      </w:pPr>
      <w:r>
        <w:rPr>
          <w:rFonts w:ascii="黑体" w:hAnsi="黑体" w:eastAsia="黑体" w:cs="黑体"/>
          <w:spacing w:val="1"/>
          <w:sz w:val="27"/>
          <w:szCs w:val="27"/>
        </w:rPr>
        <w:t>4.1</w:t>
      </w:r>
      <w:r>
        <w:rPr>
          <w:rFonts w:ascii="黑体" w:hAnsi="黑体" w:eastAsia="黑体" w:cs="黑体"/>
          <w:spacing w:val="16"/>
          <w:sz w:val="27"/>
          <w:szCs w:val="27"/>
        </w:rPr>
        <w:t xml:space="preserve">  </w:t>
      </w:r>
      <w:r>
        <w:rPr>
          <w:rFonts w:ascii="黑体" w:hAnsi="黑体" w:eastAsia="黑体" w:cs="黑体"/>
          <w:b/>
          <w:bCs/>
          <w:spacing w:val="1"/>
          <w:sz w:val="27"/>
          <w:szCs w:val="27"/>
        </w:rPr>
        <w:t>软件开发过程</w:t>
      </w:r>
    </w:p>
    <w:p w14:paraId="6672E18A">
      <w:pPr>
        <w:pStyle w:val="2"/>
        <w:spacing w:before="84" w:line="279" w:lineRule="auto"/>
        <w:ind w:firstLine="560"/>
        <w:jc w:val="both"/>
      </w:pPr>
      <w:r>
        <w:rPr>
          <w:spacing w:val="6"/>
        </w:rPr>
        <w:t>本条应描述要采用的软件开发过程，软件生存周期模型的定义和选择</w:t>
      </w:r>
      <w:r>
        <w:rPr>
          <w:spacing w:val="5"/>
        </w:rPr>
        <w:t>。计</w:t>
      </w:r>
      <w:r>
        <w:t xml:space="preserve"> </w:t>
      </w:r>
      <w:r>
        <w:rPr>
          <w:spacing w:val="5"/>
        </w:rPr>
        <w:t>划的内容应覆盖合同(或软件研制任务书)中涉及该方面要求的所有条款，应包</w:t>
      </w:r>
      <w:r>
        <w:rPr>
          <w:spacing w:val="16"/>
        </w:rPr>
        <w:t xml:space="preserve"> </w:t>
      </w:r>
      <w:r>
        <w:rPr>
          <w:spacing w:val="-2"/>
        </w:rPr>
        <w:t>括已标识的计划的构建版，合适时，包括各构建版的目标以及</w:t>
      </w:r>
      <w:r>
        <w:rPr>
          <w:spacing w:val="-3"/>
        </w:rPr>
        <w:t>每个构建版要执行</w:t>
      </w:r>
      <w:r>
        <w:t xml:space="preserve"> </w:t>
      </w:r>
      <w:r>
        <w:rPr>
          <w:spacing w:val="1"/>
        </w:rPr>
        <w:t>的软件开发活动。</w:t>
      </w:r>
    </w:p>
    <w:p w14:paraId="74A7653A">
      <w:pPr>
        <w:spacing w:before="1" w:line="221" w:lineRule="auto"/>
        <w:rPr>
          <w:rFonts w:ascii="黑体" w:hAnsi="黑体" w:eastAsia="黑体" w:cs="黑体"/>
          <w:sz w:val="27"/>
          <w:szCs w:val="27"/>
        </w:rPr>
      </w:pPr>
      <w:r>
        <w:rPr>
          <w:rFonts w:ascii="黑体" w:hAnsi="黑体" w:eastAsia="黑体" w:cs="黑体"/>
          <w:sz w:val="27"/>
          <w:szCs w:val="27"/>
        </w:rPr>
        <w:t>4.2</w:t>
      </w:r>
      <w:r>
        <w:rPr>
          <w:rFonts w:ascii="黑体" w:hAnsi="黑体" w:eastAsia="黑体" w:cs="黑体"/>
          <w:spacing w:val="21"/>
          <w:sz w:val="27"/>
          <w:szCs w:val="27"/>
        </w:rPr>
        <w:t xml:space="preserve">  </w:t>
      </w:r>
      <w:r>
        <w:rPr>
          <w:rFonts w:ascii="黑体" w:hAnsi="黑体" w:eastAsia="黑体" w:cs="黑体"/>
          <w:b/>
          <w:bCs/>
          <w:sz w:val="27"/>
          <w:szCs w:val="27"/>
        </w:rPr>
        <w:t>软件开发总体计划</w:t>
      </w:r>
    </w:p>
    <w:p w14:paraId="6C52088A">
      <w:pPr>
        <w:spacing w:before="86" w:line="221" w:lineRule="auto"/>
        <w:rPr>
          <w:rFonts w:ascii="黑体" w:hAnsi="黑体" w:eastAsia="黑体" w:cs="黑体"/>
          <w:sz w:val="27"/>
          <w:szCs w:val="27"/>
        </w:rPr>
      </w:pPr>
      <w:r>
        <w:rPr>
          <w:rFonts w:ascii="黑体" w:hAnsi="黑体" w:eastAsia="黑体" w:cs="黑体"/>
          <w:spacing w:val="-2"/>
          <w:sz w:val="27"/>
          <w:szCs w:val="27"/>
        </w:rPr>
        <w:t>4.2.1</w:t>
      </w:r>
      <w:r>
        <w:rPr>
          <w:rFonts w:ascii="黑体" w:hAnsi="黑体" w:eastAsia="黑体" w:cs="黑体"/>
          <w:spacing w:val="44"/>
          <w:sz w:val="27"/>
          <w:szCs w:val="27"/>
        </w:rPr>
        <w:t xml:space="preserve">  </w:t>
      </w:r>
      <w:r>
        <w:rPr>
          <w:rFonts w:ascii="黑体" w:hAnsi="黑体" w:eastAsia="黑体" w:cs="黑体"/>
          <w:b/>
          <w:bCs/>
          <w:spacing w:val="-2"/>
          <w:sz w:val="27"/>
          <w:szCs w:val="27"/>
        </w:rPr>
        <w:t>软件开发方法</w:t>
      </w:r>
    </w:p>
    <w:p w14:paraId="3A5D4B3C">
      <w:pPr>
        <w:pStyle w:val="2"/>
        <w:spacing w:before="122" w:line="219" w:lineRule="auto"/>
        <w:ind w:right="10"/>
        <w:jc w:val="right"/>
      </w:pPr>
      <w:r>
        <w:rPr>
          <w:spacing w:val="6"/>
        </w:rPr>
        <w:t>本条应描述或引用所使用的软件开发方法，包</w:t>
      </w:r>
      <w:r>
        <w:rPr>
          <w:spacing w:val="5"/>
        </w:rPr>
        <w:t>括为支持这些方法所使用的</w:t>
      </w:r>
    </w:p>
    <w:p w14:paraId="39DFE5E8">
      <w:pPr>
        <w:spacing w:line="219" w:lineRule="auto"/>
        <w:sectPr>
          <w:footerReference r:id="rId208" w:type="default"/>
          <w:pgSz w:w="11910" w:h="17130"/>
          <w:pgMar w:top="1430" w:right="1058" w:bottom="1677" w:left="1460" w:header="0" w:footer="1461" w:gutter="0"/>
          <w:cols w:space="720" w:num="1"/>
        </w:sectPr>
      </w:pPr>
    </w:p>
    <w:p w14:paraId="29DF5758">
      <w:pPr>
        <w:pStyle w:val="2"/>
        <w:spacing w:before="54" w:line="284" w:lineRule="auto"/>
        <w:ind w:right="4"/>
        <w:jc w:val="both"/>
      </w:pPr>
      <w:r>
        <w:rPr>
          <w:spacing w:val="6"/>
        </w:rPr>
        <w:t>手工的和自动的工具以及规程的描述。该方法应覆盖合同(或软件研制任务书)</w:t>
      </w:r>
      <w:r>
        <w:rPr>
          <w:spacing w:val="8"/>
        </w:rPr>
        <w:t xml:space="preserve"> </w:t>
      </w:r>
      <w:r>
        <w:rPr>
          <w:spacing w:val="5"/>
        </w:rPr>
        <w:t>中涉及该方面要求的所有条款。如果在本文档方法所适用的活动中，对软件开</w:t>
      </w:r>
      <w:r>
        <w:t xml:space="preserve"> </w:t>
      </w:r>
      <w:r>
        <w:rPr>
          <w:spacing w:val="-3"/>
        </w:rPr>
        <w:t>发方法有更好的描述，则可直接引用。</w:t>
      </w:r>
    </w:p>
    <w:p w14:paraId="2CF629EE">
      <w:pPr>
        <w:spacing w:line="222" w:lineRule="auto"/>
        <w:rPr>
          <w:rFonts w:ascii="黑体" w:hAnsi="黑体" w:eastAsia="黑体" w:cs="黑体"/>
          <w:sz w:val="27"/>
          <w:szCs w:val="27"/>
        </w:rPr>
      </w:pPr>
      <w:r>
        <w:rPr>
          <w:rFonts w:ascii="黑体" w:hAnsi="黑体" w:eastAsia="黑体" w:cs="黑体"/>
          <w:spacing w:val="-5"/>
          <w:sz w:val="27"/>
          <w:szCs w:val="27"/>
        </w:rPr>
        <w:t>4.2.</w:t>
      </w:r>
      <w:r>
        <w:rPr>
          <w:rFonts w:ascii="黑体" w:hAnsi="黑体" w:eastAsia="黑体" w:cs="黑体"/>
          <w:b/>
          <w:bCs/>
          <w:spacing w:val="-5"/>
          <w:sz w:val="27"/>
          <w:szCs w:val="27"/>
        </w:rPr>
        <w:t>2</w:t>
      </w:r>
      <w:r>
        <w:rPr>
          <w:rFonts w:ascii="黑体" w:hAnsi="黑体" w:eastAsia="黑体" w:cs="黑体"/>
          <w:spacing w:val="31"/>
          <w:sz w:val="27"/>
          <w:szCs w:val="27"/>
        </w:rPr>
        <w:t xml:space="preserve">  </w:t>
      </w:r>
      <w:r>
        <w:rPr>
          <w:rFonts w:ascii="黑体" w:hAnsi="黑体" w:eastAsia="黑体" w:cs="黑体"/>
          <w:b/>
          <w:bCs/>
          <w:spacing w:val="-5"/>
          <w:sz w:val="27"/>
          <w:szCs w:val="27"/>
        </w:rPr>
        <w:t>软件产品标准</w:t>
      </w:r>
    </w:p>
    <w:p w14:paraId="74CD85CA">
      <w:pPr>
        <w:pStyle w:val="2"/>
        <w:spacing w:before="87" w:line="278" w:lineRule="auto"/>
        <w:ind w:right="28" w:firstLine="570"/>
        <w:jc w:val="both"/>
      </w:pPr>
      <w:r>
        <w:rPr>
          <w:spacing w:val="-11"/>
        </w:rPr>
        <w:t>本条应描述或引用在表达需求、设计、编码、测试用例、测试过程和测试</w:t>
      </w:r>
      <w:r>
        <w:rPr>
          <w:spacing w:val="-12"/>
        </w:rPr>
        <w:t>结果</w:t>
      </w:r>
      <w:r>
        <w:t xml:space="preserve"> </w:t>
      </w:r>
      <w:r>
        <w:rPr>
          <w:spacing w:val="5"/>
        </w:rPr>
        <w:t>方面要遵循的标准。这些标准应覆盖合同(或软件研制任务书)中涉及该方面要</w:t>
      </w:r>
      <w:r>
        <w:rPr>
          <w:spacing w:val="17"/>
        </w:rPr>
        <w:t xml:space="preserve"> </w:t>
      </w:r>
      <w:r>
        <w:rPr>
          <w:spacing w:val="5"/>
        </w:rPr>
        <w:t>求的所有条款。如果这些标准在本文档标准所适用的活动中有更好的描述，则</w:t>
      </w:r>
      <w:r>
        <w:rPr>
          <w:spacing w:val="13"/>
        </w:rPr>
        <w:t xml:space="preserve"> </w:t>
      </w:r>
      <w:r>
        <w:rPr>
          <w:spacing w:val="-1"/>
        </w:rPr>
        <w:t>可直接引用。</w:t>
      </w:r>
    </w:p>
    <w:p w14:paraId="3102E727">
      <w:pPr>
        <w:spacing w:line="221" w:lineRule="auto"/>
        <w:rPr>
          <w:rFonts w:ascii="黑体" w:hAnsi="黑体" w:eastAsia="黑体" w:cs="黑体"/>
          <w:sz w:val="27"/>
          <w:szCs w:val="27"/>
        </w:rPr>
      </w:pPr>
      <w:r>
        <w:rPr>
          <w:rFonts w:ascii="黑体" w:hAnsi="黑体" w:eastAsia="黑体" w:cs="黑体"/>
          <w:spacing w:val="-4"/>
          <w:sz w:val="27"/>
          <w:szCs w:val="27"/>
        </w:rPr>
        <w:t>4.2.3</w:t>
      </w:r>
      <w:r>
        <w:rPr>
          <w:rFonts w:ascii="黑体" w:hAnsi="黑体" w:eastAsia="黑体" w:cs="黑体"/>
          <w:spacing w:val="41"/>
          <w:sz w:val="27"/>
          <w:szCs w:val="27"/>
        </w:rPr>
        <w:t xml:space="preserve">  </w:t>
      </w:r>
      <w:r>
        <w:rPr>
          <w:rFonts w:ascii="黑体" w:hAnsi="黑体" w:eastAsia="黑体" w:cs="黑体"/>
          <w:b/>
          <w:bCs/>
          <w:spacing w:val="-4"/>
          <w:sz w:val="27"/>
          <w:szCs w:val="27"/>
        </w:rPr>
        <w:t>可重用的软件产品</w:t>
      </w:r>
    </w:p>
    <w:p w14:paraId="4FEFB25A">
      <w:pPr>
        <w:spacing w:before="96" w:line="222" w:lineRule="auto"/>
        <w:rPr>
          <w:rFonts w:ascii="黑体" w:hAnsi="黑体" w:eastAsia="黑体" w:cs="黑体"/>
          <w:sz w:val="27"/>
          <w:szCs w:val="27"/>
        </w:rPr>
      </w:pPr>
      <w:r>
        <w:rPr>
          <w:rFonts w:ascii="黑体" w:hAnsi="黑体" w:eastAsia="黑体" w:cs="黑体"/>
          <w:spacing w:val="-2"/>
          <w:sz w:val="27"/>
          <w:szCs w:val="27"/>
        </w:rPr>
        <w:t>4.2.3.1</w:t>
      </w:r>
      <w:r>
        <w:rPr>
          <w:rFonts w:ascii="黑体" w:hAnsi="黑体" w:eastAsia="黑体" w:cs="黑体"/>
          <w:spacing w:val="44"/>
          <w:sz w:val="27"/>
          <w:szCs w:val="27"/>
        </w:rPr>
        <w:t xml:space="preserve">  </w:t>
      </w:r>
      <w:r>
        <w:rPr>
          <w:rFonts w:ascii="黑体" w:hAnsi="黑体" w:eastAsia="黑体" w:cs="黑体"/>
          <w:b/>
          <w:bCs/>
          <w:spacing w:val="-2"/>
          <w:sz w:val="27"/>
          <w:szCs w:val="27"/>
        </w:rPr>
        <w:t>采用可重用软件产品</w:t>
      </w:r>
    </w:p>
    <w:p w14:paraId="4FA931D7">
      <w:pPr>
        <w:pStyle w:val="2"/>
        <w:spacing w:before="88" w:line="278" w:lineRule="auto"/>
        <w:ind w:firstLine="570"/>
        <w:jc w:val="both"/>
      </w:pPr>
      <w:r>
        <w:rPr>
          <w:spacing w:val="-2"/>
        </w:rPr>
        <w:t>本条应描述标识、评价和采用可重用软件产品所</w:t>
      </w:r>
      <w:r>
        <w:rPr>
          <w:spacing w:val="-3"/>
        </w:rPr>
        <w:t>遵循的方法，包括查找这些</w:t>
      </w:r>
      <w:r>
        <w:t xml:space="preserve"> </w:t>
      </w:r>
      <w:r>
        <w:rPr>
          <w:spacing w:val="5"/>
        </w:rPr>
        <w:t>产品的范围和进行评价的准则，并应覆盖合同(或软件研制任务书)中涉及该方</w:t>
      </w:r>
      <w:r>
        <w:rPr>
          <w:spacing w:val="14"/>
        </w:rPr>
        <w:t xml:space="preserve"> </w:t>
      </w:r>
      <w:r>
        <w:rPr>
          <w:spacing w:val="6"/>
        </w:rPr>
        <w:t>面要求的所有条款。在制定或更新计划时对已选定的或候</w:t>
      </w:r>
      <w:r>
        <w:rPr>
          <w:spacing w:val="5"/>
        </w:rPr>
        <w:t>选的可重用的软件产</w:t>
      </w:r>
      <w:r>
        <w:t xml:space="preserve"> 品应加以标识和说明，适用时还应给出与使用有关的优缺点和限制。</w:t>
      </w:r>
    </w:p>
    <w:p w14:paraId="5806A715">
      <w:pPr>
        <w:spacing w:before="2" w:line="220" w:lineRule="auto"/>
        <w:rPr>
          <w:rFonts w:ascii="黑体" w:hAnsi="黑体" w:eastAsia="黑体" w:cs="黑体"/>
          <w:sz w:val="27"/>
          <w:szCs w:val="27"/>
        </w:rPr>
      </w:pPr>
      <w:r>
        <w:rPr>
          <w:rFonts w:ascii="黑体" w:hAnsi="黑体" w:eastAsia="黑体" w:cs="黑体"/>
          <w:sz w:val="27"/>
          <w:szCs w:val="27"/>
        </w:rPr>
        <w:t>4.2.3.2</w:t>
      </w:r>
      <w:r>
        <w:rPr>
          <w:rFonts w:ascii="黑体" w:hAnsi="黑体" w:eastAsia="黑体" w:cs="黑体"/>
          <w:spacing w:val="28"/>
          <w:sz w:val="27"/>
          <w:szCs w:val="27"/>
        </w:rPr>
        <w:t xml:space="preserve">  </w:t>
      </w:r>
      <w:r>
        <w:rPr>
          <w:rFonts w:ascii="黑体" w:hAnsi="黑体" w:eastAsia="黑体" w:cs="黑体"/>
          <w:b/>
          <w:bCs/>
          <w:sz w:val="27"/>
          <w:szCs w:val="27"/>
        </w:rPr>
        <w:t>开发可重用软件产品</w:t>
      </w:r>
    </w:p>
    <w:p w14:paraId="60416425">
      <w:pPr>
        <w:pStyle w:val="2"/>
        <w:spacing w:before="82" w:line="282" w:lineRule="auto"/>
        <w:ind w:right="19" w:firstLine="570"/>
      </w:pPr>
      <w:r>
        <w:rPr>
          <w:spacing w:val="5"/>
        </w:rPr>
        <w:t>本条应描述开发可重用软件产品的可能性及所遵循的方法，并应覆盖合同</w:t>
      </w:r>
      <w:r>
        <w:rPr>
          <w:spacing w:val="13"/>
        </w:rPr>
        <w:t xml:space="preserve"> </w:t>
      </w:r>
      <w:r>
        <w:rPr>
          <w:spacing w:val="4"/>
        </w:rPr>
        <w:t>(或软件研制任务书)中涉及该方面要求的所有条</w:t>
      </w:r>
      <w:r>
        <w:rPr>
          <w:spacing w:val="3"/>
        </w:rPr>
        <w:t>款。</w:t>
      </w:r>
    </w:p>
    <w:p w14:paraId="75FEEFD7">
      <w:pPr>
        <w:spacing w:before="22" w:line="223" w:lineRule="auto"/>
        <w:rPr>
          <w:rFonts w:ascii="黑体" w:hAnsi="黑体" w:eastAsia="黑体" w:cs="黑体"/>
          <w:sz w:val="25"/>
          <w:szCs w:val="25"/>
        </w:rPr>
      </w:pPr>
      <w:r>
        <w:rPr>
          <w:rFonts w:ascii="黑体" w:hAnsi="黑体" w:eastAsia="黑体" w:cs="黑体"/>
          <w:spacing w:val="12"/>
          <w:sz w:val="25"/>
          <w:szCs w:val="25"/>
        </w:rPr>
        <w:t>4.2.4</w:t>
      </w:r>
      <w:r>
        <w:rPr>
          <w:rFonts w:ascii="黑体" w:hAnsi="黑体" w:eastAsia="黑体" w:cs="黑体"/>
          <w:spacing w:val="58"/>
          <w:sz w:val="25"/>
          <w:szCs w:val="25"/>
        </w:rPr>
        <w:t xml:space="preserve">  </w:t>
      </w:r>
      <w:r>
        <w:rPr>
          <w:rFonts w:ascii="黑体" w:hAnsi="黑体" w:eastAsia="黑体" w:cs="黑体"/>
          <w:b/>
          <w:bCs/>
          <w:spacing w:val="12"/>
          <w:sz w:val="25"/>
          <w:szCs w:val="25"/>
        </w:rPr>
        <w:t>关键需求的处理</w:t>
      </w:r>
    </w:p>
    <w:p w14:paraId="422F2749">
      <w:pPr>
        <w:pStyle w:val="2"/>
        <w:spacing w:before="81" w:line="275" w:lineRule="auto"/>
        <w:ind w:right="32" w:firstLine="570"/>
      </w:pPr>
      <w:r>
        <w:rPr>
          <w:spacing w:val="5"/>
        </w:rPr>
        <w:t>本条描述安全性保证、保密性保证和其他关键需求保证的处理所遵循的方</w:t>
      </w:r>
      <w:r>
        <w:t xml:space="preserve"> </w:t>
      </w:r>
      <w:r>
        <w:rPr>
          <w:spacing w:val="1"/>
        </w:rPr>
        <w:t>法，并应覆盖合同(或软件研制任务书)中涉及该方</w:t>
      </w:r>
      <w:r>
        <w:t>面要求的所有条款。</w:t>
      </w:r>
    </w:p>
    <w:p w14:paraId="6EA51902">
      <w:pPr>
        <w:spacing w:before="2" w:line="220" w:lineRule="auto"/>
        <w:rPr>
          <w:rFonts w:ascii="黑体" w:hAnsi="黑体" w:eastAsia="黑体" w:cs="黑体"/>
          <w:sz w:val="27"/>
          <w:szCs w:val="27"/>
        </w:rPr>
      </w:pPr>
      <w:r>
        <w:rPr>
          <w:rFonts w:ascii="黑体" w:hAnsi="黑体" w:eastAsia="黑体" w:cs="黑体"/>
          <w:spacing w:val="-1"/>
          <w:sz w:val="27"/>
          <w:szCs w:val="27"/>
        </w:rPr>
        <w:t>4.2.5</w:t>
      </w:r>
      <w:r>
        <w:rPr>
          <w:rFonts w:ascii="黑体" w:hAnsi="黑体" w:eastAsia="黑体" w:cs="黑体"/>
          <w:spacing w:val="42"/>
          <w:sz w:val="27"/>
          <w:szCs w:val="27"/>
        </w:rPr>
        <w:t xml:space="preserve">  </w:t>
      </w:r>
      <w:r>
        <w:rPr>
          <w:rFonts w:ascii="黑体" w:hAnsi="黑体" w:eastAsia="黑体" w:cs="黑体"/>
          <w:b/>
          <w:bCs/>
          <w:spacing w:val="-1"/>
          <w:sz w:val="27"/>
          <w:szCs w:val="27"/>
        </w:rPr>
        <w:t>计算机硬件资源的利用</w:t>
      </w:r>
    </w:p>
    <w:p w14:paraId="1EBB0499">
      <w:pPr>
        <w:pStyle w:val="2"/>
        <w:spacing w:before="92" w:line="279" w:lineRule="auto"/>
        <w:ind w:firstLine="570"/>
      </w:pPr>
      <w:r>
        <w:rPr>
          <w:spacing w:val="6"/>
        </w:rPr>
        <w:t>本条应描述分配计算机硬件资源和监控其使用情况所遵循的方法，应覆盖</w:t>
      </w:r>
      <w:r>
        <w:t xml:space="preserve"> </w:t>
      </w:r>
      <w:r>
        <w:rPr>
          <w:spacing w:val="4"/>
        </w:rPr>
        <w:t>合同(或软件研制任务书)中涉及该方面要求的所有条款。</w:t>
      </w:r>
    </w:p>
    <w:p w14:paraId="0C2BA8A2">
      <w:pPr>
        <w:spacing w:before="1" w:line="221" w:lineRule="auto"/>
        <w:rPr>
          <w:rFonts w:ascii="黑体" w:hAnsi="黑体" w:eastAsia="黑体" w:cs="黑体"/>
          <w:sz w:val="27"/>
          <w:szCs w:val="27"/>
        </w:rPr>
      </w:pPr>
      <w:r>
        <w:rPr>
          <w:rFonts w:ascii="黑体" w:hAnsi="黑体" w:eastAsia="黑体" w:cs="黑体"/>
          <w:spacing w:val="1"/>
          <w:sz w:val="27"/>
          <w:szCs w:val="27"/>
        </w:rPr>
        <w:t>4.2.6</w:t>
      </w:r>
      <w:r>
        <w:rPr>
          <w:rFonts w:ascii="黑体" w:hAnsi="黑体" w:eastAsia="黑体" w:cs="黑体"/>
          <w:spacing w:val="21"/>
          <w:sz w:val="27"/>
          <w:szCs w:val="27"/>
        </w:rPr>
        <w:t xml:space="preserve">  </w:t>
      </w:r>
      <w:r>
        <w:rPr>
          <w:rFonts w:ascii="黑体" w:hAnsi="黑体" w:eastAsia="黑体" w:cs="黑体"/>
          <w:b/>
          <w:bCs/>
          <w:spacing w:val="1"/>
          <w:sz w:val="27"/>
          <w:szCs w:val="27"/>
        </w:rPr>
        <w:t>决策理由的记录</w:t>
      </w:r>
    </w:p>
    <w:p w14:paraId="7892D9D1">
      <w:pPr>
        <w:pStyle w:val="2"/>
        <w:spacing w:before="108" w:line="275" w:lineRule="auto"/>
        <w:ind w:right="32" w:firstLine="570"/>
        <w:jc w:val="both"/>
      </w:pPr>
      <w:r>
        <w:rPr>
          <w:spacing w:val="5"/>
        </w:rPr>
        <w:t>本条应描述记录决策理由所遵循的方法。在保障机构对项目作出关键决策</w:t>
      </w:r>
      <w:r>
        <w:t xml:space="preserve"> </w:t>
      </w:r>
      <w:r>
        <w:rPr>
          <w:spacing w:val="-10"/>
        </w:rPr>
        <w:t>时，这些决策理由有用。在记录决策理由的地方应对“关键决策”进行解释，并应</w:t>
      </w:r>
      <w:r>
        <w:rPr>
          <w:spacing w:val="10"/>
        </w:rPr>
        <w:t xml:space="preserve"> </w:t>
      </w:r>
      <w:r>
        <w:rPr>
          <w:spacing w:val="4"/>
        </w:rPr>
        <w:t>覆盖合同(或软件研制任务书)中涉及该方面要求的所有条款。</w:t>
      </w:r>
    </w:p>
    <w:p w14:paraId="63380A22">
      <w:pPr>
        <w:spacing w:before="1" w:line="220" w:lineRule="auto"/>
        <w:outlineLvl w:val="3"/>
        <w:rPr>
          <w:rFonts w:ascii="黑体" w:hAnsi="黑体" w:eastAsia="黑体" w:cs="黑体"/>
          <w:sz w:val="27"/>
          <w:szCs w:val="27"/>
        </w:rPr>
      </w:pPr>
      <w:r>
        <w:rPr>
          <w:rFonts w:ascii="Arial" w:hAnsi="Arial" w:eastAsia="Arial" w:cs="Arial"/>
          <w:b/>
          <w:bCs/>
          <w:sz w:val="27"/>
          <w:szCs w:val="27"/>
        </w:rPr>
        <w:t xml:space="preserve">4.2.7     </w:t>
      </w:r>
      <w:r>
        <w:rPr>
          <w:rFonts w:ascii="黑体" w:hAnsi="黑体" w:eastAsia="黑体" w:cs="黑体"/>
          <w:b/>
          <w:bCs/>
          <w:sz w:val="27"/>
          <w:szCs w:val="27"/>
        </w:rPr>
        <w:t>需方评审所需访问</w:t>
      </w:r>
    </w:p>
    <w:p w14:paraId="18E4A485">
      <w:pPr>
        <w:pStyle w:val="2"/>
        <w:spacing w:before="84" w:line="281" w:lineRule="auto"/>
        <w:ind w:firstLine="570"/>
        <w:jc w:val="both"/>
      </w:pPr>
      <w:r>
        <w:rPr>
          <w:spacing w:val="6"/>
        </w:rPr>
        <w:t>本条应描述为评审软件产品和活动，让需方或授权代表访问开发方和分承</w:t>
      </w:r>
      <w:r>
        <w:t xml:space="preserve"> </w:t>
      </w:r>
      <w:r>
        <w:rPr>
          <w:spacing w:val="5"/>
        </w:rPr>
        <w:t>制方设施所遵循的方法，并应覆盖合同(或软件研制任务书)中涉及该方面要求</w:t>
      </w:r>
      <w:r>
        <w:rPr>
          <w:spacing w:val="17"/>
        </w:rPr>
        <w:t xml:space="preserve"> </w:t>
      </w:r>
      <w:r>
        <w:rPr>
          <w:spacing w:val="-1"/>
        </w:rPr>
        <w:t>的所有条款。</w:t>
      </w:r>
    </w:p>
    <w:p w14:paraId="363A691C">
      <w:pPr>
        <w:spacing w:before="1" w:line="220"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32"/>
          <w:sz w:val="27"/>
          <w:szCs w:val="27"/>
        </w:rPr>
        <w:t xml:space="preserve">  </w:t>
      </w:r>
      <w:r>
        <w:rPr>
          <w:rFonts w:ascii="黑体" w:hAnsi="黑体" w:eastAsia="黑体" w:cs="黑体"/>
          <w:b/>
          <w:bCs/>
          <w:spacing w:val="1"/>
          <w:sz w:val="27"/>
          <w:szCs w:val="27"/>
        </w:rPr>
        <w:t>详细的软件开发活动实施计划</w:t>
      </w:r>
    </w:p>
    <w:p w14:paraId="2273FAA3">
      <w:pPr>
        <w:pStyle w:val="2"/>
        <w:spacing w:before="105" w:line="282" w:lineRule="auto"/>
        <w:ind w:right="14" w:firstLine="570"/>
      </w:pPr>
      <w:r>
        <w:rPr>
          <w:spacing w:val="5"/>
        </w:rPr>
        <w:t>如果项目的不同构建版或不同软件需要不同的计划，则应在相应小条说明</w:t>
      </w:r>
      <w:r>
        <w:rPr>
          <w:spacing w:val="18"/>
        </w:rPr>
        <w:t xml:space="preserve"> </w:t>
      </w:r>
      <w:r>
        <w:rPr>
          <w:spacing w:val="6"/>
        </w:rPr>
        <w:t>这些差异。每项活动的论述应包括应用于以下方面的途径(方法/规程/工具):</w:t>
      </w:r>
    </w:p>
    <w:p w14:paraId="23491AA3">
      <w:pPr>
        <w:spacing w:line="282" w:lineRule="auto"/>
        <w:sectPr>
          <w:footerReference r:id="rId209" w:type="default"/>
          <w:pgSz w:w="11910" w:h="17130"/>
          <w:pgMar w:top="1445" w:right="1506" w:bottom="1623" w:left="999" w:header="0" w:footer="1425" w:gutter="0"/>
          <w:cols w:space="720" w:num="1"/>
        </w:sectPr>
      </w:pPr>
    </w:p>
    <w:p w14:paraId="1A342C62">
      <w:pPr>
        <w:pStyle w:val="2"/>
        <w:spacing w:before="104" w:line="212" w:lineRule="auto"/>
        <w:ind w:left="539"/>
      </w:pPr>
      <w:r>
        <w:rPr>
          <w:rFonts w:ascii="Times New Roman" w:hAnsi="Times New Roman" w:eastAsia="Times New Roman" w:cs="Times New Roman"/>
          <w:spacing w:val="4"/>
        </w:rPr>
        <w:t xml:space="preserve">a)  </w:t>
      </w:r>
      <w:r>
        <w:rPr>
          <w:spacing w:val="4"/>
        </w:rPr>
        <w:t>所涉及的分析性任务或其他技术性任务；</w:t>
      </w:r>
    </w:p>
    <w:p w14:paraId="4CBF54A5">
      <w:pPr>
        <w:pStyle w:val="2"/>
        <w:spacing w:before="99" w:line="212" w:lineRule="auto"/>
        <w:ind w:left="539"/>
      </w:pPr>
      <w:r>
        <w:rPr>
          <w:rFonts w:ascii="Times New Roman" w:hAnsi="Times New Roman" w:eastAsia="Times New Roman" w:cs="Times New Roman"/>
          <w:spacing w:val="1"/>
        </w:rPr>
        <w:t>b)</w:t>
      </w:r>
      <w:r>
        <w:rPr>
          <w:rFonts w:ascii="Times New Roman" w:hAnsi="Times New Roman" w:eastAsia="Times New Roman" w:cs="Times New Roman"/>
          <w:spacing w:val="73"/>
          <w:w w:val="101"/>
        </w:rPr>
        <w:t xml:space="preserve"> </w:t>
      </w:r>
      <w:r>
        <w:rPr>
          <w:spacing w:val="1"/>
        </w:rPr>
        <w:t>结果的记录；</w:t>
      </w:r>
    </w:p>
    <w:p w14:paraId="49550242">
      <w:pPr>
        <w:pStyle w:val="2"/>
        <w:spacing w:before="122" w:line="212" w:lineRule="auto"/>
        <w:ind w:left="539"/>
        <w:rPr>
          <w:sz w:val="24"/>
          <w:szCs w:val="24"/>
        </w:rPr>
      </w:pPr>
      <w:r>
        <w:rPr>
          <w:rFonts w:ascii="Times New Roman" w:hAnsi="Times New Roman" w:eastAsia="Times New Roman" w:cs="Times New Roman"/>
          <w:spacing w:val="27"/>
          <w:sz w:val="24"/>
          <w:szCs w:val="24"/>
        </w:rPr>
        <w:t xml:space="preserve">c)  </w:t>
      </w:r>
      <w:r>
        <w:rPr>
          <w:spacing w:val="27"/>
          <w:sz w:val="24"/>
          <w:szCs w:val="24"/>
        </w:rPr>
        <w:t>适用时与交付有关的准备。</w:t>
      </w:r>
    </w:p>
    <w:p w14:paraId="571E7B8C">
      <w:pPr>
        <w:pStyle w:val="2"/>
        <w:spacing w:before="112" w:line="219" w:lineRule="auto"/>
        <w:ind w:left="539"/>
      </w:pPr>
      <w:r>
        <w:t>该论述还应标识存在(适用)的风险和不确定因素，以及处理它们的计划。</w:t>
      </w:r>
    </w:p>
    <w:p w14:paraId="1559F06D">
      <w:pPr>
        <w:pStyle w:val="2"/>
        <w:spacing w:before="107" w:line="297" w:lineRule="auto"/>
        <w:ind w:right="137" w:firstLine="539"/>
      </w:pPr>
      <w:r>
        <w:rPr>
          <w:spacing w:val="5"/>
        </w:rPr>
        <w:t xml:space="preserve">本章中的各小条都应覆盖合同(或软件研制任务书)中涉及的该方面要求的 </w:t>
      </w:r>
      <w:r>
        <w:rPr>
          <w:spacing w:val="1"/>
        </w:rPr>
        <w:t>所有条款。</w:t>
      </w:r>
    </w:p>
    <w:p w14:paraId="33D552E5">
      <w:pPr>
        <w:spacing w:before="21" w:line="222" w:lineRule="auto"/>
        <w:rPr>
          <w:rFonts w:ascii="黑体" w:hAnsi="黑体" w:eastAsia="黑体" w:cs="黑体"/>
          <w:sz w:val="25"/>
          <w:szCs w:val="25"/>
        </w:rPr>
      </w:pPr>
      <w:r>
        <w:rPr>
          <w:rFonts w:ascii="黑体" w:hAnsi="黑体" w:eastAsia="黑体" w:cs="黑体"/>
          <w:spacing w:val="16"/>
          <w:sz w:val="25"/>
          <w:szCs w:val="25"/>
        </w:rPr>
        <w:t>5.1</w:t>
      </w:r>
      <w:r>
        <w:rPr>
          <w:rFonts w:ascii="黑体" w:hAnsi="黑体" w:eastAsia="黑体" w:cs="黑体"/>
          <w:spacing w:val="37"/>
          <w:sz w:val="25"/>
          <w:szCs w:val="25"/>
        </w:rPr>
        <w:t xml:space="preserve">  </w:t>
      </w:r>
      <w:r>
        <w:rPr>
          <w:rFonts w:ascii="黑体" w:hAnsi="黑体" w:eastAsia="黑体" w:cs="黑体"/>
          <w:spacing w:val="16"/>
          <w:sz w:val="25"/>
          <w:szCs w:val="25"/>
        </w:rPr>
        <w:t>项目策划和监控</w:t>
      </w:r>
    </w:p>
    <w:p w14:paraId="001559F5">
      <w:pPr>
        <w:pStyle w:val="2"/>
        <w:spacing w:before="82" w:line="282" w:lineRule="auto"/>
        <w:ind w:firstLine="539"/>
        <w:jc w:val="both"/>
      </w:pPr>
      <w:r>
        <w:rPr>
          <w:spacing w:val="-3"/>
        </w:rPr>
        <w:t>本条应描述软件开发策划、</w:t>
      </w:r>
      <w:r>
        <w:rPr>
          <w:rFonts w:ascii="Times New Roman" w:hAnsi="Times New Roman" w:eastAsia="Times New Roman" w:cs="Times New Roman"/>
          <w:spacing w:val="-3"/>
        </w:rPr>
        <w:t xml:space="preserve">CSCI </w:t>
      </w:r>
      <w:r>
        <w:rPr>
          <w:spacing w:val="-3"/>
        </w:rPr>
        <w:t>测试策划、系统测试策划、软件安装策划、</w:t>
      </w:r>
      <w:r>
        <w:rPr>
          <w:spacing w:val="18"/>
        </w:rPr>
        <w:t xml:space="preserve"> </w:t>
      </w:r>
      <w:r>
        <w:rPr>
          <w:spacing w:val="5"/>
        </w:rPr>
        <w:t xml:space="preserve">软件移交策划、计划的跟踪和修订应遵循的途径。策划(包括重新策划)工作宜  </w:t>
      </w:r>
      <w:r>
        <w:rPr>
          <w:spacing w:val="-2"/>
        </w:rPr>
        <w:t>基于估计，包括规模、工作量、关键计算机资源等估计。本条也包括进度的导出</w:t>
      </w:r>
      <w:r>
        <w:rPr>
          <w:spacing w:val="1"/>
        </w:rPr>
        <w:t xml:space="preserve"> </w:t>
      </w:r>
      <w:r>
        <w:rPr>
          <w:spacing w:val="-1"/>
        </w:rPr>
        <w:t>方法等。</w:t>
      </w:r>
    </w:p>
    <w:p w14:paraId="372FBD09">
      <w:pPr>
        <w:spacing w:line="368" w:lineRule="exact"/>
        <w:rPr>
          <w:rFonts w:ascii="黑体" w:hAnsi="黑体" w:eastAsia="黑体" w:cs="黑体"/>
          <w:sz w:val="27"/>
          <w:szCs w:val="27"/>
        </w:rPr>
      </w:pPr>
      <w:r>
        <w:rPr>
          <w:rFonts w:ascii="Arial" w:hAnsi="Arial" w:eastAsia="Arial" w:cs="Arial"/>
          <w:spacing w:val="3"/>
          <w:position w:val="1"/>
          <w:sz w:val="27"/>
          <w:szCs w:val="27"/>
        </w:rPr>
        <w:t xml:space="preserve">5.2    </w:t>
      </w:r>
      <w:r>
        <w:rPr>
          <w:rFonts w:ascii="黑体" w:hAnsi="黑体" w:eastAsia="黑体" w:cs="黑体"/>
          <w:spacing w:val="3"/>
          <w:position w:val="1"/>
          <w:sz w:val="27"/>
          <w:szCs w:val="27"/>
        </w:rPr>
        <w:t>软件开发环境建立</w:t>
      </w:r>
    </w:p>
    <w:p w14:paraId="58056ADB">
      <w:pPr>
        <w:pStyle w:val="2"/>
        <w:spacing w:before="91" w:line="287" w:lineRule="auto"/>
        <w:ind w:right="129" w:firstLine="539"/>
      </w:pPr>
      <w:r>
        <w:rPr>
          <w:spacing w:val="-3"/>
        </w:rPr>
        <w:t>本条应描述在建立、控制、维护软件开发环境所遵循的途径，包括软件工程</w:t>
      </w:r>
      <w:r>
        <w:rPr>
          <w:spacing w:val="7"/>
        </w:rPr>
        <w:t xml:space="preserve"> </w:t>
      </w:r>
      <w:r>
        <w:rPr>
          <w:spacing w:val="-4"/>
        </w:rPr>
        <w:t>环境(含软件测试环境)、软件开发库、软件开发文</w:t>
      </w:r>
      <w:r>
        <w:rPr>
          <w:spacing w:val="-5"/>
        </w:rPr>
        <w:t>件和非交付软件。</w:t>
      </w:r>
    </w:p>
    <w:p w14:paraId="4BAA3FE2">
      <w:pPr>
        <w:spacing w:before="1" w:line="220" w:lineRule="auto"/>
        <w:rPr>
          <w:rFonts w:ascii="黑体" w:hAnsi="黑体" w:eastAsia="黑体" w:cs="黑体"/>
          <w:sz w:val="27"/>
          <w:szCs w:val="27"/>
        </w:rPr>
      </w:pPr>
      <w:r>
        <w:rPr>
          <w:rFonts w:ascii="黑体" w:hAnsi="黑体" w:eastAsia="黑体" w:cs="黑体"/>
          <w:spacing w:val="-2"/>
          <w:sz w:val="27"/>
          <w:szCs w:val="27"/>
        </w:rPr>
        <w:t>5.3</w:t>
      </w:r>
      <w:r>
        <w:rPr>
          <w:rFonts w:ascii="黑体" w:hAnsi="黑体" w:eastAsia="黑体" w:cs="黑体"/>
          <w:spacing w:val="21"/>
          <w:sz w:val="27"/>
          <w:szCs w:val="27"/>
        </w:rPr>
        <w:t xml:space="preserve">  </w:t>
      </w:r>
      <w:r>
        <w:rPr>
          <w:rFonts w:ascii="黑体" w:hAnsi="黑体" w:eastAsia="黑体" w:cs="黑体"/>
          <w:spacing w:val="-2"/>
          <w:sz w:val="27"/>
          <w:szCs w:val="27"/>
        </w:rPr>
        <w:t>系统需求分析</w:t>
      </w:r>
    </w:p>
    <w:p w14:paraId="4A602AEF">
      <w:pPr>
        <w:pStyle w:val="2"/>
        <w:spacing w:before="88" w:line="219" w:lineRule="auto"/>
        <w:ind w:left="539"/>
      </w:pPr>
      <w:r>
        <w:t>本条应描述参与用户要求分析、运行方案和系统需求所遵循的途径。</w:t>
      </w:r>
    </w:p>
    <w:p w14:paraId="6DDD3A0F">
      <w:pPr>
        <w:spacing w:before="138" w:line="221" w:lineRule="auto"/>
        <w:rPr>
          <w:rFonts w:ascii="黑体" w:hAnsi="黑体" w:eastAsia="黑体" w:cs="黑体"/>
          <w:sz w:val="25"/>
          <w:szCs w:val="25"/>
        </w:rPr>
      </w:pPr>
      <w:r>
        <w:rPr>
          <w:rFonts w:ascii="黑体" w:hAnsi="黑体" w:eastAsia="黑体" w:cs="黑体"/>
          <w:spacing w:val="14"/>
          <w:sz w:val="25"/>
          <w:szCs w:val="25"/>
        </w:rPr>
        <w:t>5.4</w:t>
      </w:r>
      <w:r>
        <w:rPr>
          <w:rFonts w:ascii="黑体" w:hAnsi="黑体" w:eastAsia="黑体" w:cs="黑体"/>
          <w:spacing w:val="34"/>
          <w:sz w:val="25"/>
          <w:szCs w:val="25"/>
        </w:rPr>
        <w:t xml:space="preserve">  </w:t>
      </w:r>
      <w:r>
        <w:rPr>
          <w:rFonts w:ascii="黑体" w:hAnsi="黑体" w:eastAsia="黑体" w:cs="黑体"/>
          <w:spacing w:val="14"/>
          <w:sz w:val="25"/>
          <w:szCs w:val="25"/>
        </w:rPr>
        <w:t>系统设计</w:t>
      </w:r>
    </w:p>
    <w:p w14:paraId="7782B76B">
      <w:pPr>
        <w:pStyle w:val="2"/>
        <w:spacing w:before="102" w:line="219" w:lineRule="auto"/>
        <w:ind w:left="539"/>
      </w:pPr>
      <w:r>
        <w:t>本条应描述参与系统级设计决策、系统体系结构设计所遵循的途径。</w:t>
      </w:r>
    </w:p>
    <w:p w14:paraId="1530ABCF">
      <w:pPr>
        <w:spacing w:before="132" w:line="222" w:lineRule="auto"/>
        <w:rPr>
          <w:rFonts w:ascii="黑体" w:hAnsi="黑体" w:eastAsia="黑体" w:cs="黑体"/>
          <w:sz w:val="27"/>
          <w:szCs w:val="27"/>
        </w:rPr>
      </w:pPr>
      <w:r>
        <w:rPr>
          <w:rFonts w:ascii="黑体" w:hAnsi="黑体" w:eastAsia="黑体" w:cs="黑体"/>
          <w:spacing w:val="5"/>
          <w:sz w:val="27"/>
          <w:szCs w:val="27"/>
        </w:rPr>
        <w:t>5.5  软件需求分析</w:t>
      </w:r>
    </w:p>
    <w:p w14:paraId="5154CC59">
      <w:pPr>
        <w:pStyle w:val="2"/>
        <w:spacing w:before="83" w:line="219" w:lineRule="auto"/>
        <w:ind w:left="539"/>
      </w:pPr>
      <w:r>
        <w:rPr>
          <w:spacing w:val="4"/>
        </w:rPr>
        <w:t>本条应描述软件需求分析所遵循的途径。</w:t>
      </w:r>
    </w:p>
    <w:p w14:paraId="562E3792">
      <w:pPr>
        <w:spacing w:before="139" w:line="222" w:lineRule="auto"/>
        <w:rPr>
          <w:rFonts w:ascii="黑体" w:hAnsi="黑体" w:eastAsia="黑体" w:cs="黑体"/>
          <w:sz w:val="25"/>
          <w:szCs w:val="25"/>
        </w:rPr>
      </w:pPr>
      <w:r>
        <w:rPr>
          <w:rFonts w:ascii="黑体" w:hAnsi="黑体" w:eastAsia="黑体" w:cs="黑体"/>
          <w:spacing w:val="14"/>
          <w:sz w:val="25"/>
          <w:szCs w:val="25"/>
        </w:rPr>
        <w:t>5.6</w:t>
      </w:r>
      <w:r>
        <w:rPr>
          <w:rFonts w:ascii="黑体" w:hAnsi="黑体" w:eastAsia="黑体" w:cs="黑体"/>
          <w:spacing w:val="34"/>
          <w:sz w:val="25"/>
          <w:szCs w:val="25"/>
        </w:rPr>
        <w:t xml:space="preserve">  </w:t>
      </w:r>
      <w:r>
        <w:rPr>
          <w:rFonts w:ascii="黑体" w:hAnsi="黑体" w:eastAsia="黑体" w:cs="黑体"/>
          <w:spacing w:val="14"/>
          <w:sz w:val="25"/>
          <w:szCs w:val="25"/>
        </w:rPr>
        <w:t>软件设计</w:t>
      </w:r>
    </w:p>
    <w:p w14:paraId="3FF513DF">
      <w:pPr>
        <w:pStyle w:val="2"/>
        <w:spacing w:before="80" w:line="290" w:lineRule="auto"/>
        <w:ind w:right="127" w:firstLine="539"/>
      </w:pPr>
      <w:r>
        <w:rPr>
          <w:spacing w:val="9"/>
        </w:rPr>
        <w:t>本条应描述</w:t>
      </w:r>
      <w:r>
        <w:rPr>
          <w:rFonts w:ascii="Times New Roman" w:hAnsi="Times New Roman" w:eastAsia="Times New Roman" w:cs="Times New Roman"/>
        </w:rPr>
        <w:t>CSCI</w:t>
      </w:r>
      <w:r>
        <w:rPr>
          <w:rFonts w:ascii="Times New Roman" w:hAnsi="Times New Roman" w:eastAsia="Times New Roman" w:cs="Times New Roman"/>
          <w:spacing w:val="36"/>
        </w:rPr>
        <w:t xml:space="preserve"> </w:t>
      </w:r>
      <w:r>
        <w:rPr>
          <w:spacing w:val="9"/>
        </w:rPr>
        <w:t>级设计决策、</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9"/>
        </w:rPr>
        <w:t>体系结构设计和</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9"/>
        </w:rPr>
        <w:t>详细设计所遵</w:t>
      </w:r>
      <w:r>
        <w:t xml:space="preserve"> </w:t>
      </w:r>
      <w:r>
        <w:rPr>
          <w:spacing w:val="1"/>
        </w:rPr>
        <w:t>循的途径。</w:t>
      </w:r>
    </w:p>
    <w:p w14:paraId="041AD021">
      <w:pPr>
        <w:spacing w:before="11" w:line="221" w:lineRule="auto"/>
        <w:rPr>
          <w:rFonts w:ascii="黑体" w:hAnsi="黑体" w:eastAsia="黑体" w:cs="黑体"/>
          <w:sz w:val="27"/>
          <w:szCs w:val="27"/>
        </w:rPr>
      </w:pPr>
      <w:r>
        <w:rPr>
          <w:rFonts w:ascii="黑体" w:hAnsi="黑体" w:eastAsia="黑体" w:cs="黑体"/>
          <w:spacing w:val="2"/>
          <w:sz w:val="27"/>
          <w:szCs w:val="27"/>
        </w:rPr>
        <w:t>5.7</w:t>
      </w:r>
      <w:r>
        <w:rPr>
          <w:rFonts w:ascii="黑体" w:hAnsi="黑体" w:eastAsia="黑体" w:cs="黑体"/>
          <w:spacing w:val="21"/>
          <w:sz w:val="27"/>
          <w:szCs w:val="27"/>
        </w:rPr>
        <w:t xml:space="preserve">  </w:t>
      </w:r>
      <w:r>
        <w:rPr>
          <w:rFonts w:ascii="黑体" w:hAnsi="黑体" w:eastAsia="黑体" w:cs="黑体"/>
          <w:spacing w:val="2"/>
          <w:sz w:val="27"/>
          <w:szCs w:val="27"/>
        </w:rPr>
        <w:t>软件实现和单元测试</w:t>
      </w:r>
    </w:p>
    <w:p w14:paraId="42DDCC45">
      <w:pPr>
        <w:pStyle w:val="2"/>
        <w:spacing w:before="108" w:line="283" w:lineRule="auto"/>
        <w:ind w:right="4" w:firstLine="539"/>
      </w:pPr>
      <w:r>
        <w:rPr>
          <w:spacing w:val="-7"/>
        </w:rPr>
        <w:t>本条应描述软件实现、单元测试的准备、单元测试的执行、修改和回归测试，</w:t>
      </w:r>
      <w:r>
        <w:rPr>
          <w:spacing w:val="2"/>
        </w:rPr>
        <w:t xml:space="preserve"> </w:t>
      </w:r>
      <w:r>
        <w:rPr>
          <w:spacing w:val="3"/>
        </w:rPr>
        <w:t>以及分析和记录单元测试的结果所遵循的途径。</w:t>
      </w:r>
    </w:p>
    <w:p w14:paraId="6F557EBC">
      <w:pPr>
        <w:spacing w:before="11" w:line="221" w:lineRule="auto"/>
        <w:rPr>
          <w:rFonts w:ascii="黑体" w:hAnsi="黑体" w:eastAsia="黑体" w:cs="黑体"/>
          <w:sz w:val="27"/>
          <w:szCs w:val="27"/>
        </w:rPr>
      </w:pPr>
      <w:r>
        <w:rPr>
          <w:rFonts w:ascii="黑体" w:hAnsi="黑体" w:eastAsia="黑体" w:cs="黑体"/>
          <w:spacing w:val="2"/>
          <w:sz w:val="27"/>
          <w:szCs w:val="27"/>
        </w:rPr>
        <w:t>5.8  单元集成和测试</w:t>
      </w:r>
    </w:p>
    <w:p w14:paraId="6412DF2C">
      <w:pPr>
        <w:pStyle w:val="2"/>
        <w:spacing w:before="98" w:line="290" w:lineRule="auto"/>
        <w:ind w:right="117" w:firstLine="539"/>
      </w:pPr>
      <w:r>
        <w:rPr>
          <w:spacing w:val="-2"/>
        </w:rPr>
        <w:t>本条应描述单元集成与测试的准备、单元集成</w:t>
      </w:r>
      <w:r>
        <w:rPr>
          <w:spacing w:val="-3"/>
        </w:rPr>
        <w:t>与测试的执行、修改与回归测</w:t>
      </w:r>
      <w:r>
        <w:t xml:space="preserve"> 试，以及分析和记录单元集成与测试的结果所</w:t>
      </w:r>
      <w:r>
        <w:rPr>
          <w:spacing w:val="-1"/>
        </w:rPr>
        <w:t>遵循的途径。</w:t>
      </w:r>
    </w:p>
    <w:p w14:paraId="673DAACC">
      <w:pPr>
        <w:spacing w:before="11" w:line="221" w:lineRule="auto"/>
        <w:ind w:left="3"/>
        <w:rPr>
          <w:rFonts w:ascii="黑体" w:hAnsi="黑体" w:eastAsia="黑体" w:cs="黑体"/>
          <w:sz w:val="27"/>
          <w:szCs w:val="27"/>
        </w:rPr>
      </w:pPr>
      <w:r>
        <w:rPr>
          <w:rFonts w:ascii="黑体" w:hAnsi="黑体" w:eastAsia="黑体" w:cs="黑体"/>
          <w:b/>
          <w:bCs/>
          <w:spacing w:val="1"/>
          <w:sz w:val="27"/>
          <w:szCs w:val="27"/>
        </w:rPr>
        <w:t>5.9</w:t>
      </w:r>
      <w:r>
        <w:rPr>
          <w:rFonts w:ascii="黑体" w:hAnsi="黑体" w:eastAsia="黑体" w:cs="黑体"/>
          <w:spacing w:val="13"/>
          <w:sz w:val="27"/>
          <w:szCs w:val="27"/>
        </w:rPr>
        <w:t xml:space="preserve">  </w:t>
      </w:r>
      <w:r>
        <w:rPr>
          <w:rFonts w:ascii="Times New Roman" w:hAnsi="Times New Roman" w:eastAsia="Times New Roman" w:cs="Times New Roman"/>
          <w:sz w:val="27"/>
          <w:szCs w:val="27"/>
        </w:rPr>
        <w:t>CSCI</w:t>
      </w:r>
      <w:r>
        <w:rPr>
          <w:rFonts w:ascii="Times New Roman" w:hAnsi="Times New Roman" w:eastAsia="Times New Roman" w:cs="Times New Roman"/>
          <w:spacing w:val="1"/>
          <w:sz w:val="27"/>
          <w:szCs w:val="27"/>
        </w:rPr>
        <w:t xml:space="preserve"> </w:t>
      </w:r>
      <w:r>
        <w:rPr>
          <w:rFonts w:ascii="黑体" w:hAnsi="黑体" w:eastAsia="黑体" w:cs="黑体"/>
          <w:spacing w:val="1"/>
          <w:sz w:val="27"/>
          <w:szCs w:val="27"/>
        </w:rPr>
        <w:t>合格性测试</w:t>
      </w:r>
    </w:p>
    <w:p w14:paraId="37488922">
      <w:pPr>
        <w:pStyle w:val="2"/>
        <w:spacing w:before="76" w:line="296" w:lineRule="auto"/>
        <w:ind w:right="24" w:firstLine="539"/>
        <w:jc w:val="both"/>
      </w:pPr>
      <w:r>
        <w:rPr>
          <w:spacing w:val="5"/>
        </w:rPr>
        <w:t>本条应描述</w:t>
      </w:r>
      <w:r>
        <w:rPr>
          <w:rFonts w:ascii="Times New Roman" w:hAnsi="Times New Roman" w:eastAsia="Times New Roman" w:cs="Times New Roman"/>
        </w:rPr>
        <w:t>CSCI</w:t>
      </w:r>
      <w:r>
        <w:rPr>
          <w:rFonts w:ascii="Times New Roman" w:hAnsi="Times New Roman" w:eastAsia="Times New Roman" w:cs="Times New Roman"/>
          <w:spacing w:val="5"/>
        </w:rPr>
        <w:t xml:space="preserve"> </w:t>
      </w:r>
      <w:r>
        <w:rPr>
          <w:spacing w:val="5"/>
        </w:rPr>
        <w:t>合格性测试的独立性、在目标计算机系统上进行的测试、</w:t>
      </w:r>
      <w:r>
        <w:rPr>
          <w:spacing w:val="1"/>
        </w:rPr>
        <w:t xml:space="preserve"> </w:t>
      </w:r>
      <w:r>
        <w:rPr>
          <w:rFonts w:ascii="Times New Roman" w:hAnsi="Times New Roman" w:eastAsia="Times New Roman" w:cs="Times New Roman"/>
          <w:spacing w:val="-5"/>
        </w:rPr>
        <w:t>CSCI</w:t>
      </w:r>
      <w:r>
        <w:rPr>
          <w:rFonts w:ascii="Times New Roman" w:hAnsi="Times New Roman" w:eastAsia="Times New Roman" w:cs="Times New Roman"/>
          <w:spacing w:val="23"/>
        </w:rPr>
        <w:t xml:space="preserve"> </w:t>
      </w:r>
      <w:r>
        <w:rPr>
          <w:spacing w:val="-5"/>
        </w:rPr>
        <w:t>合格性测试的准备、</w:t>
      </w:r>
      <w:r>
        <w:rPr>
          <w:rFonts w:ascii="Times New Roman" w:hAnsi="Times New Roman" w:eastAsia="Times New Roman" w:cs="Times New Roman"/>
          <w:spacing w:val="-5"/>
        </w:rPr>
        <w:t xml:space="preserve">CSCI </w:t>
      </w:r>
      <w:r>
        <w:rPr>
          <w:spacing w:val="-5"/>
        </w:rPr>
        <w:t>合格性测试的预演、</w:t>
      </w:r>
      <w:r>
        <w:rPr>
          <w:rFonts w:ascii="Times New Roman" w:hAnsi="Times New Roman" w:eastAsia="Times New Roman" w:cs="Times New Roman"/>
          <w:spacing w:val="-5"/>
        </w:rPr>
        <w:t>CSCI</w:t>
      </w:r>
      <w:r>
        <w:rPr>
          <w:rFonts w:ascii="Times New Roman" w:hAnsi="Times New Roman" w:eastAsia="Times New Roman" w:cs="Times New Roman"/>
          <w:spacing w:val="-17"/>
        </w:rPr>
        <w:t xml:space="preserve"> </w:t>
      </w:r>
      <w:r>
        <w:rPr>
          <w:spacing w:val="-5"/>
        </w:rPr>
        <w:t>合格性测试</w:t>
      </w:r>
      <w:r>
        <w:rPr>
          <w:spacing w:val="-6"/>
        </w:rPr>
        <w:t>的执行、修</w:t>
      </w:r>
      <w:r>
        <w:t xml:space="preserve"> </w:t>
      </w:r>
      <w:r>
        <w:rPr>
          <w:spacing w:val="1"/>
        </w:rPr>
        <w:t>改与回归测试、分析并记录</w:t>
      </w:r>
      <w:r>
        <w:rPr>
          <w:rFonts w:ascii="Times New Roman" w:hAnsi="Times New Roman" w:eastAsia="Times New Roman" w:cs="Times New Roman"/>
        </w:rPr>
        <w:t>CSCI</w:t>
      </w:r>
      <w:r>
        <w:rPr>
          <w:rFonts w:ascii="Times New Roman" w:hAnsi="Times New Roman" w:eastAsia="Times New Roman" w:cs="Times New Roman"/>
          <w:spacing w:val="49"/>
        </w:rPr>
        <w:t xml:space="preserve"> </w:t>
      </w:r>
      <w:r>
        <w:rPr>
          <w:spacing w:val="1"/>
        </w:rPr>
        <w:t>合格性测试的结果所遵循的途径。</w:t>
      </w:r>
    </w:p>
    <w:p w14:paraId="75727BFC">
      <w:pPr>
        <w:spacing w:line="296" w:lineRule="auto"/>
        <w:sectPr>
          <w:footerReference r:id="rId210" w:type="default"/>
          <w:pgSz w:w="11910" w:h="17130"/>
          <w:pgMar w:top="1456" w:right="900" w:bottom="1557" w:left="1519" w:header="0" w:footer="1341" w:gutter="0"/>
          <w:cols w:space="720" w:num="1"/>
        </w:sectPr>
      </w:pPr>
    </w:p>
    <w:p w14:paraId="032C78C9">
      <w:pPr>
        <w:spacing w:before="54" w:line="221" w:lineRule="auto"/>
        <w:rPr>
          <w:rFonts w:ascii="黑体" w:hAnsi="黑体" w:eastAsia="黑体" w:cs="黑体"/>
          <w:sz w:val="27"/>
          <w:szCs w:val="27"/>
        </w:rPr>
      </w:pPr>
      <w:r>
        <w:rPr>
          <w:rFonts w:ascii="Times New Roman" w:hAnsi="Times New Roman" w:eastAsia="Times New Roman" w:cs="Times New Roman"/>
          <w:spacing w:val="3"/>
          <w:sz w:val="27"/>
          <w:szCs w:val="27"/>
        </w:rPr>
        <w:t xml:space="preserve">5.10     </w:t>
      </w:r>
      <w:r>
        <w:rPr>
          <w:rFonts w:ascii="Times New Roman" w:hAnsi="Times New Roman" w:eastAsia="Times New Roman" w:cs="Times New Roman"/>
          <w:sz w:val="27"/>
          <w:szCs w:val="27"/>
        </w:rPr>
        <w:t>CSCI</w:t>
      </w:r>
      <w:r>
        <w:rPr>
          <w:rFonts w:ascii="Times New Roman" w:hAnsi="Times New Roman" w:eastAsia="Times New Roman" w:cs="Times New Roman"/>
          <w:spacing w:val="3"/>
          <w:sz w:val="27"/>
          <w:szCs w:val="27"/>
        </w:rPr>
        <w:t>/</w:t>
      </w:r>
      <w:r>
        <w:rPr>
          <w:rFonts w:ascii="Times New Roman" w:hAnsi="Times New Roman" w:eastAsia="Times New Roman" w:cs="Times New Roman"/>
          <w:spacing w:val="15"/>
          <w:sz w:val="27"/>
          <w:szCs w:val="27"/>
        </w:rPr>
        <w:t xml:space="preserve"> </w:t>
      </w:r>
      <w:r>
        <w:rPr>
          <w:rFonts w:ascii="Times New Roman" w:hAnsi="Times New Roman" w:eastAsia="Times New Roman" w:cs="Times New Roman"/>
          <w:b/>
          <w:bCs/>
          <w:sz w:val="27"/>
          <w:szCs w:val="27"/>
        </w:rPr>
        <w:t>HWCI</w:t>
      </w:r>
      <w:r>
        <w:rPr>
          <w:rFonts w:ascii="黑体" w:hAnsi="黑体" w:eastAsia="黑体" w:cs="黑体"/>
          <w:b/>
          <w:bCs/>
          <w:spacing w:val="3"/>
          <w:sz w:val="27"/>
          <w:szCs w:val="27"/>
        </w:rPr>
        <w:t>集成与测试</w:t>
      </w:r>
    </w:p>
    <w:p w14:paraId="302839D6">
      <w:pPr>
        <w:pStyle w:val="2"/>
        <w:spacing w:before="50" w:line="299" w:lineRule="auto"/>
        <w:ind w:right="107" w:firstLine="560"/>
        <w:jc w:val="both"/>
      </w:pPr>
      <w:r>
        <w:rPr>
          <w:spacing w:val="5"/>
        </w:rPr>
        <w:t>本条应描述参</w:t>
      </w:r>
      <w:r>
        <w:rPr>
          <w:rFonts w:ascii="仿宋" w:hAnsi="仿宋" w:eastAsia="仿宋" w:cs="仿宋"/>
          <w:spacing w:val="5"/>
        </w:rPr>
        <w:t>与</w:t>
      </w:r>
      <w:r>
        <w:rPr>
          <w:rFonts w:ascii="仿宋" w:hAnsi="仿宋" w:eastAsia="仿宋" w:cs="仿宋"/>
          <w:spacing w:val="-37"/>
        </w:rPr>
        <w:t xml:space="preserve"> </w:t>
      </w:r>
      <w:r>
        <w:rPr>
          <w:rFonts w:ascii="Times New Roman" w:hAnsi="Times New Roman" w:eastAsia="Times New Roman" w:cs="Times New Roman"/>
        </w:rPr>
        <w:t>CSCI</w:t>
      </w:r>
      <w:r>
        <w:rPr>
          <w:rFonts w:ascii="Times New Roman" w:hAnsi="Times New Roman" w:eastAsia="Times New Roman" w:cs="Times New Roman"/>
          <w:spacing w:val="5"/>
        </w:rPr>
        <w:t>/</w:t>
      </w:r>
      <w:r>
        <w:rPr>
          <w:rFonts w:ascii="Times New Roman" w:hAnsi="Times New Roman" w:eastAsia="Times New Roman" w:cs="Times New Roman"/>
        </w:rPr>
        <w:t>HWCI</w:t>
      </w:r>
      <w:r>
        <w:rPr>
          <w:rFonts w:ascii="Times New Roman" w:hAnsi="Times New Roman" w:eastAsia="Times New Roman" w:cs="Times New Roman"/>
          <w:spacing w:val="5"/>
        </w:rPr>
        <w:t xml:space="preserve">   </w:t>
      </w:r>
      <w:r>
        <w:rPr>
          <w:rFonts w:ascii="仿宋" w:hAnsi="仿宋" w:eastAsia="仿宋" w:cs="仿宋"/>
          <w:spacing w:val="5"/>
        </w:rPr>
        <w:t>集成和测试的准备、</w:t>
      </w:r>
      <w:r>
        <w:rPr>
          <w:rFonts w:ascii="Times New Roman" w:hAnsi="Times New Roman" w:eastAsia="Times New Roman" w:cs="Times New Roman"/>
        </w:rPr>
        <w:t>CSCI</w:t>
      </w:r>
      <w:r>
        <w:rPr>
          <w:rFonts w:ascii="Times New Roman" w:hAnsi="Times New Roman" w:eastAsia="Times New Roman" w:cs="Times New Roman"/>
          <w:spacing w:val="5"/>
        </w:rPr>
        <w:t>/</w:t>
      </w:r>
      <w:r>
        <w:rPr>
          <w:rFonts w:ascii="Times New Roman" w:hAnsi="Times New Roman" w:eastAsia="Times New Roman" w:cs="Times New Roman"/>
        </w:rPr>
        <w:t>HWCI</w:t>
      </w:r>
      <w:r>
        <w:rPr>
          <w:rFonts w:ascii="Times New Roman" w:hAnsi="Times New Roman" w:eastAsia="Times New Roman" w:cs="Times New Roman"/>
          <w:spacing w:val="4"/>
        </w:rPr>
        <w:t xml:space="preserve">   </w:t>
      </w:r>
      <w:r>
        <w:rPr>
          <w:rFonts w:ascii="仿宋" w:hAnsi="仿宋" w:eastAsia="仿宋" w:cs="仿宋"/>
          <w:spacing w:val="4"/>
        </w:rPr>
        <w:t>集成和测</w:t>
      </w:r>
      <w:r>
        <w:rPr>
          <w:rFonts w:ascii="仿宋" w:hAnsi="仿宋" w:eastAsia="仿宋" w:cs="仿宋"/>
        </w:rPr>
        <w:t xml:space="preserve"> </w:t>
      </w:r>
      <w:r>
        <w:rPr>
          <w:spacing w:val="-1"/>
        </w:rPr>
        <w:t>试的执行、修改和回归测试，以及分析与记录</w:t>
      </w:r>
      <w:r>
        <w:rPr>
          <w:rFonts w:ascii="Times New Roman" w:hAnsi="Times New Roman" w:eastAsia="Times New Roman" w:cs="Times New Roman"/>
          <w:spacing w:val="-1"/>
        </w:rPr>
        <w:t>CSCI/</w:t>
      </w:r>
      <w:r>
        <w:rPr>
          <w:rFonts w:ascii="Times New Roman" w:hAnsi="Times New Roman" w:eastAsia="Times New Roman" w:cs="Times New Roman"/>
          <w:spacing w:val="-2"/>
        </w:rPr>
        <w:t xml:space="preserve">HWCI   </w:t>
      </w:r>
      <w:r>
        <w:rPr>
          <w:spacing w:val="-2"/>
        </w:rPr>
        <w:t>集成和测试结果所遵</w:t>
      </w:r>
      <w:r>
        <w:t xml:space="preserve"> </w:t>
      </w:r>
      <w:r>
        <w:rPr>
          <w:spacing w:val="1"/>
        </w:rPr>
        <w:t>循的途径。</w:t>
      </w:r>
    </w:p>
    <w:p w14:paraId="4DD93D56">
      <w:pPr>
        <w:spacing w:before="4" w:line="221" w:lineRule="auto"/>
        <w:rPr>
          <w:rFonts w:ascii="黑体" w:hAnsi="黑体" w:eastAsia="黑体" w:cs="黑体"/>
          <w:sz w:val="24"/>
          <w:szCs w:val="24"/>
        </w:rPr>
      </w:pPr>
      <w:r>
        <w:rPr>
          <w:rFonts w:ascii="黑体" w:hAnsi="黑体" w:eastAsia="黑体" w:cs="黑体"/>
          <w:spacing w:val="20"/>
          <w:sz w:val="24"/>
          <w:szCs w:val="24"/>
        </w:rPr>
        <w:t>5.11</w:t>
      </w:r>
      <w:r>
        <w:rPr>
          <w:rFonts w:ascii="黑体" w:hAnsi="黑体" w:eastAsia="黑体" w:cs="黑体"/>
          <w:spacing w:val="3"/>
          <w:sz w:val="24"/>
          <w:szCs w:val="24"/>
        </w:rPr>
        <w:t xml:space="preserve">   </w:t>
      </w:r>
      <w:r>
        <w:rPr>
          <w:rFonts w:ascii="黑体" w:hAnsi="黑体" w:eastAsia="黑体" w:cs="黑体"/>
          <w:b/>
          <w:bCs/>
          <w:spacing w:val="20"/>
          <w:sz w:val="24"/>
          <w:szCs w:val="24"/>
        </w:rPr>
        <w:t>系统合格性测试</w:t>
      </w:r>
    </w:p>
    <w:p w14:paraId="3E5DB78B">
      <w:pPr>
        <w:pStyle w:val="2"/>
        <w:spacing w:before="99" w:line="286" w:lineRule="auto"/>
        <w:ind w:right="125" w:firstLine="560"/>
        <w:jc w:val="both"/>
      </w:pPr>
      <w:r>
        <w:rPr>
          <w:spacing w:val="-3"/>
        </w:rPr>
        <w:t>本条应描述在系统合格性测试的独立性、在目标计算机系统</w:t>
      </w:r>
      <w:r>
        <w:rPr>
          <w:spacing w:val="-4"/>
        </w:rPr>
        <w:t>上进行测试、系</w:t>
      </w:r>
      <w:r>
        <w:t xml:space="preserve"> </w:t>
      </w:r>
      <w:r>
        <w:rPr>
          <w:spacing w:val="-2"/>
        </w:rPr>
        <w:t>统合格性测试准备、系统合格性测试的预演、系统合</w:t>
      </w:r>
      <w:r>
        <w:rPr>
          <w:spacing w:val="-3"/>
        </w:rPr>
        <w:t>格性测试的执行、修改和回</w:t>
      </w:r>
      <w:r>
        <w:t xml:space="preserve"> </w:t>
      </w:r>
      <w:r>
        <w:rPr>
          <w:spacing w:val="5"/>
        </w:rPr>
        <w:t>归测试、分析与记录系统合格性测试结果等方面参与系统合格性测试所遵循的</w:t>
      </w:r>
      <w:r>
        <w:rPr>
          <w:spacing w:val="9"/>
        </w:rPr>
        <w:t xml:space="preserve"> </w:t>
      </w:r>
      <w:r>
        <w:rPr>
          <w:spacing w:val="-2"/>
        </w:rPr>
        <w:t>途径。</w:t>
      </w:r>
    </w:p>
    <w:p w14:paraId="69916B82">
      <w:pPr>
        <w:spacing w:before="51" w:line="222" w:lineRule="auto"/>
        <w:rPr>
          <w:rFonts w:ascii="黑体" w:hAnsi="黑体" w:eastAsia="黑体" w:cs="黑体"/>
          <w:sz w:val="24"/>
          <w:szCs w:val="24"/>
        </w:rPr>
      </w:pPr>
      <w:r>
        <w:rPr>
          <w:rFonts w:ascii="黑体" w:hAnsi="黑体" w:eastAsia="黑体" w:cs="黑体"/>
          <w:spacing w:val="17"/>
          <w:sz w:val="24"/>
          <w:szCs w:val="24"/>
        </w:rPr>
        <w:t>5.12</w:t>
      </w:r>
      <w:r>
        <w:rPr>
          <w:rFonts w:ascii="黑体" w:hAnsi="黑体" w:eastAsia="黑体" w:cs="黑体"/>
          <w:spacing w:val="2"/>
          <w:sz w:val="24"/>
          <w:szCs w:val="24"/>
        </w:rPr>
        <w:t xml:space="preserve">   </w:t>
      </w:r>
      <w:r>
        <w:rPr>
          <w:rFonts w:ascii="黑体" w:hAnsi="黑体" w:eastAsia="黑体" w:cs="黑体"/>
          <w:b/>
          <w:bCs/>
          <w:spacing w:val="17"/>
          <w:sz w:val="24"/>
          <w:szCs w:val="24"/>
        </w:rPr>
        <w:t>软件使用准备</w:t>
      </w:r>
    </w:p>
    <w:p w14:paraId="086669FC">
      <w:pPr>
        <w:pStyle w:val="2"/>
        <w:spacing w:before="115" w:line="302" w:lineRule="auto"/>
        <w:ind w:right="122" w:firstLine="560"/>
        <w:rPr>
          <w:sz w:val="25"/>
          <w:szCs w:val="25"/>
        </w:rPr>
      </w:pPr>
      <w:r>
        <w:rPr>
          <w:spacing w:val="25"/>
          <w:sz w:val="25"/>
          <w:szCs w:val="25"/>
        </w:rPr>
        <w:t>本条应描述可执行软件的准备、为用户现场准备版本说明、用户手册的准</w:t>
      </w:r>
      <w:r>
        <w:rPr>
          <w:spacing w:val="10"/>
          <w:sz w:val="25"/>
          <w:szCs w:val="25"/>
        </w:rPr>
        <w:t xml:space="preserve"> </w:t>
      </w:r>
      <w:r>
        <w:rPr>
          <w:spacing w:val="15"/>
          <w:sz w:val="25"/>
          <w:szCs w:val="25"/>
        </w:rPr>
        <w:t>备、在用户现场的安装所遵循的途径。</w:t>
      </w:r>
    </w:p>
    <w:p w14:paraId="49A367A5">
      <w:pPr>
        <w:spacing w:line="222" w:lineRule="auto"/>
        <w:rPr>
          <w:rFonts w:ascii="黑体" w:hAnsi="黑体" w:eastAsia="黑体" w:cs="黑体"/>
          <w:sz w:val="27"/>
          <w:szCs w:val="27"/>
        </w:rPr>
      </w:pPr>
      <w:r>
        <w:rPr>
          <w:rFonts w:ascii="黑体" w:hAnsi="黑体" w:eastAsia="黑体" w:cs="黑体"/>
          <w:spacing w:val="-3"/>
          <w:sz w:val="27"/>
          <w:szCs w:val="27"/>
        </w:rPr>
        <w:t>5.13</w:t>
      </w:r>
      <w:r>
        <w:rPr>
          <w:rFonts w:ascii="黑体" w:hAnsi="黑体" w:eastAsia="黑体" w:cs="黑体"/>
          <w:spacing w:val="29"/>
          <w:sz w:val="27"/>
          <w:szCs w:val="27"/>
        </w:rPr>
        <w:t xml:space="preserve">  </w:t>
      </w:r>
      <w:r>
        <w:rPr>
          <w:rFonts w:ascii="黑体" w:hAnsi="黑体" w:eastAsia="黑体" w:cs="黑体"/>
          <w:b/>
          <w:bCs/>
          <w:spacing w:val="-3"/>
          <w:sz w:val="27"/>
          <w:szCs w:val="27"/>
        </w:rPr>
        <w:t>软件移交准备</w:t>
      </w:r>
    </w:p>
    <w:p w14:paraId="7CB0DE31">
      <w:pPr>
        <w:pStyle w:val="2"/>
        <w:spacing w:before="86" w:line="289" w:lineRule="auto"/>
        <w:ind w:firstLine="560"/>
        <w:jc w:val="both"/>
      </w:pPr>
      <w:r>
        <w:rPr>
          <w:spacing w:val="1"/>
        </w:rPr>
        <w:t>本条应描述可执行软件的准备、源文件的准备、为保</w:t>
      </w:r>
      <w:r>
        <w:t xml:space="preserve">障现场准备版本说明、 </w:t>
      </w:r>
      <w:r>
        <w:rPr>
          <w:spacing w:val="-1"/>
        </w:rPr>
        <w:t>已建成的</w:t>
      </w:r>
      <w:r>
        <w:rPr>
          <w:spacing w:val="-66"/>
        </w:rPr>
        <w:t xml:space="preserve"> </w:t>
      </w:r>
      <w:r>
        <w:rPr>
          <w:rFonts w:ascii="Times New Roman" w:hAnsi="Times New Roman" w:eastAsia="Times New Roman" w:cs="Times New Roman"/>
          <w:spacing w:val="-1"/>
        </w:rPr>
        <w:t>CSCI</w:t>
      </w:r>
      <w:r>
        <w:rPr>
          <w:rFonts w:ascii="Times New Roman" w:hAnsi="Times New Roman" w:eastAsia="Times New Roman" w:cs="Times New Roman"/>
          <w:spacing w:val="23"/>
        </w:rPr>
        <w:t xml:space="preserve"> </w:t>
      </w:r>
      <w:r>
        <w:rPr>
          <w:spacing w:val="-1"/>
        </w:rPr>
        <w:t>设计和有关信息的准备、系统或子系统设计说明的更新、保障手</w:t>
      </w:r>
      <w:r>
        <w:t xml:space="preserve">  </w:t>
      </w:r>
      <w:r>
        <w:rPr>
          <w:spacing w:val="5"/>
        </w:rPr>
        <w:t>册的准备以及移交到指定的保障现场所遵循的途</w:t>
      </w:r>
      <w:r>
        <w:rPr>
          <w:spacing w:val="4"/>
        </w:rPr>
        <w:t>径。</w:t>
      </w:r>
    </w:p>
    <w:p w14:paraId="1438F15B">
      <w:pPr>
        <w:spacing w:line="221" w:lineRule="auto"/>
        <w:rPr>
          <w:rFonts w:ascii="黑体" w:hAnsi="黑体" w:eastAsia="黑体" w:cs="黑体"/>
          <w:sz w:val="27"/>
          <w:szCs w:val="27"/>
        </w:rPr>
      </w:pPr>
      <w:r>
        <w:rPr>
          <w:rFonts w:ascii="黑体" w:hAnsi="黑体" w:eastAsia="黑体" w:cs="黑体"/>
          <w:spacing w:val="-1"/>
          <w:sz w:val="27"/>
          <w:szCs w:val="27"/>
        </w:rPr>
        <w:t>5.14</w:t>
      </w:r>
      <w:r>
        <w:rPr>
          <w:rFonts w:ascii="黑体" w:hAnsi="黑体" w:eastAsia="黑体" w:cs="黑体"/>
          <w:spacing w:val="20"/>
          <w:sz w:val="27"/>
          <w:szCs w:val="27"/>
        </w:rPr>
        <w:t xml:space="preserve">  </w:t>
      </w:r>
      <w:r>
        <w:rPr>
          <w:rFonts w:ascii="黑体" w:hAnsi="黑体" w:eastAsia="黑体" w:cs="黑体"/>
          <w:b/>
          <w:bCs/>
          <w:spacing w:val="-1"/>
          <w:sz w:val="27"/>
          <w:szCs w:val="27"/>
        </w:rPr>
        <w:t>软件验收支持</w:t>
      </w:r>
    </w:p>
    <w:p w14:paraId="7BD6BFC1">
      <w:pPr>
        <w:pStyle w:val="2"/>
        <w:spacing w:before="80" w:line="290" w:lineRule="auto"/>
        <w:ind w:right="122" w:firstLine="560"/>
      </w:pPr>
      <w:r>
        <w:rPr>
          <w:spacing w:val="5"/>
        </w:rPr>
        <w:t>本条应描述支持需方进行软件验收测试和评审、交付软件产品以及提供培</w:t>
      </w:r>
      <w:r>
        <w:rPr>
          <w:spacing w:val="11"/>
        </w:rPr>
        <w:t xml:space="preserve"> </w:t>
      </w:r>
      <w:r>
        <w:rPr>
          <w:spacing w:val="4"/>
        </w:rPr>
        <w:t>训和支持所遵循的途径。</w:t>
      </w:r>
    </w:p>
    <w:p w14:paraId="5A94F4D0">
      <w:pPr>
        <w:spacing w:before="9" w:line="222" w:lineRule="auto"/>
        <w:rPr>
          <w:rFonts w:ascii="黑体" w:hAnsi="黑体" w:eastAsia="黑体" w:cs="黑体"/>
          <w:sz w:val="27"/>
          <w:szCs w:val="27"/>
        </w:rPr>
      </w:pPr>
      <w:r>
        <w:rPr>
          <w:rFonts w:ascii="黑体" w:hAnsi="黑体" w:eastAsia="黑体" w:cs="黑体"/>
          <w:spacing w:val="-1"/>
          <w:sz w:val="27"/>
          <w:szCs w:val="27"/>
        </w:rPr>
        <w:t>5.15</w:t>
      </w:r>
      <w:r>
        <w:rPr>
          <w:rFonts w:ascii="黑体" w:hAnsi="黑体" w:eastAsia="黑体" w:cs="黑体"/>
          <w:spacing w:val="19"/>
          <w:sz w:val="27"/>
          <w:szCs w:val="27"/>
        </w:rPr>
        <w:t xml:space="preserve">  </w:t>
      </w:r>
      <w:r>
        <w:rPr>
          <w:rFonts w:ascii="黑体" w:hAnsi="黑体" w:eastAsia="黑体" w:cs="黑体"/>
          <w:b/>
          <w:bCs/>
          <w:spacing w:val="-1"/>
          <w:sz w:val="27"/>
          <w:szCs w:val="27"/>
        </w:rPr>
        <w:t>软件配置管理</w:t>
      </w:r>
    </w:p>
    <w:p w14:paraId="7FF7250B">
      <w:pPr>
        <w:pStyle w:val="2"/>
        <w:spacing w:before="88" w:line="219" w:lineRule="auto"/>
        <w:ind w:left="560"/>
      </w:pPr>
      <w:r>
        <w:rPr>
          <w:spacing w:val="-8"/>
        </w:rPr>
        <w:t>本条应描述软件配置管理所遵循的途径，可引用《软件配置管理计划</w:t>
      </w:r>
      <w:r>
        <w:rPr>
          <w:spacing w:val="-9"/>
        </w:rPr>
        <w:t>》。</w:t>
      </w:r>
    </w:p>
    <w:p w14:paraId="3CAD8361">
      <w:pPr>
        <w:spacing w:before="96" w:line="222" w:lineRule="auto"/>
        <w:rPr>
          <w:rFonts w:ascii="黑体" w:hAnsi="黑体" w:eastAsia="黑体" w:cs="黑体"/>
          <w:sz w:val="27"/>
          <w:szCs w:val="27"/>
        </w:rPr>
      </w:pPr>
      <w:r>
        <w:rPr>
          <w:rFonts w:ascii="黑体" w:hAnsi="黑体" w:eastAsia="黑体" w:cs="黑体"/>
          <w:spacing w:val="-1"/>
          <w:sz w:val="27"/>
          <w:szCs w:val="27"/>
        </w:rPr>
        <w:t>5.16</w:t>
      </w:r>
      <w:r>
        <w:rPr>
          <w:rFonts w:ascii="黑体" w:hAnsi="黑体" w:eastAsia="黑体" w:cs="黑体"/>
          <w:spacing w:val="19"/>
          <w:sz w:val="27"/>
          <w:szCs w:val="27"/>
        </w:rPr>
        <w:t xml:space="preserve">  </w:t>
      </w:r>
      <w:r>
        <w:rPr>
          <w:rFonts w:ascii="黑体" w:hAnsi="黑体" w:eastAsia="黑体" w:cs="黑体"/>
          <w:b/>
          <w:bCs/>
          <w:spacing w:val="-1"/>
          <w:sz w:val="27"/>
          <w:szCs w:val="27"/>
        </w:rPr>
        <w:t>软件产品评价</w:t>
      </w:r>
    </w:p>
    <w:p w14:paraId="3914D620">
      <w:pPr>
        <w:pStyle w:val="2"/>
        <w:spacing w:before="108" w:line="282" w:lineRule="auto"/>
        <w:ind w:right="125" w:firstLine="560"/>
      </w:pPr>
      <w:r>
        <w:rPr>
          <w:spacing w:val="1"/>
        </w:rPr>
        <w:t>本条应描述过程中的和最终的软件产品的评价、软件产品评价记录(包括所</w:t>
      </w:r>
      <w:r>
        <w:t xml:space="preserve"> </w:t>
      </w:r>
      <w:r>
        <w:rPr>
          <w:spacing w:val="-1"/>
        </w:rPr>
        <w:t>记录的具体条目)、软件产品评价的独立性所遵循的途径。</w:t>
      </w:r>
    </w:p>
    <w:p w14:paraId="3BB15464">
      <w:pPr>
        <w:spacing w:before="24" w:line="222" w:lineRule="auto"/>
        <w:rPr>
          <w:rFonts w:ascii="黑体" w:hAnsi="黑体" w:eastAsia="黑体" w:cs="黑体"/>
          <w:sz w:val="27"/>
          <w:szCs w:val="27"/>
        </w:rPr>
      </w:pPr>
      <w:r>
        <w:rPr>
          <w:rFonts w:ascii="黑体" w:hAnsi="黑体" w:eastAsia="黑体" w:cs="黑体"/>
          <w:spacing w:val="-1"/>
          <w:sz w:val="27"/>
          <w:szCs w:val="27"/>
        </w:rPr>
        <w:t>5.17</w:t>
      </w:r>
      <w:r>
        <w:rPr>
          <w:rFonts w:ascii="黑体" w:hAnsi="黑体" w:eastAsia="黑体" w:cs="黑体"/>
          <w:spacing w:val="19"/>
          <w:sz w:val="27"/>
          <w:szCs w:val="27"/>
        </w:rPr>
        <w:t xml:space="preserve">  </w:t>
      </w:r>
      <w:r>
        <w:rPr>
          <w:rFonts w:ascii="黑体" w:hAnsi="黑体" w:eastAsia="黑体" w:cs="黑体"/>
          <w:b/>
          <w:bCs/>
          <w:spacing w:val="-1"/>
          <w:sz w:val="27"/>
          <w:szCs w:val="27"/>
        </w:rPr>
        <w:t>软件质量保证</w:t>
      </w:r>
    </w:p>
    <w:p w14:paraId="5EA7253F">
      <w:pPr>
        <w:pStyle w:val="2"/>
        <w:spacing w:before="97" w:line="219" w:lineRule="auto"/>
        <w:ind w:left="560"/>
      </w:pPr>
      <w:r>
        <w:rPr>
          <w:spacing w:val="-8"/>
        </w:rPr>
        <w:t>本条应描述软件质量保证所遵循的途径，可引用《软件质量保证计划</w:t>
      </w:r>
      <w:r>
        <w:rPr>
          <w:spacing w:val="-9"/>
        </w:rPr>
        <w:t>》。</w:t>
      </w:r>
    </w:p>
    <w:p w14:paraId="7E51A608">
      <w:pPr>
        <w:spacing w:before="128" w:line="223" w:lineRule="auto"/>
        <w:rPr>
          <w:rFonts w:ascii="黑体" w:hAnsi="黑体" w:eastAsia="黑体" w:cs="黑体"/>
          <w:sz w:val="25"/>
          <w:szCs w:val="25"/>
        </w:rPr>
      </w:pPr>
      <w:r>
        <w:rPr>
          <w:rFonts w:ascii="黑体" w:hAnsi="黑体" w:eastAsia="黑体" w:cs="黑体"/>
          <w:spacing w:val="8"/>
          <w:sz w:val="25"/>
          <w:szCs w:val="25"/>
        </w:rPr>
        <w:t>5.18</w:t>
      </w:r>
      <w:r>
        <w:rPr>
          <w:rFonts w:ascii="黑体" w:hAnsi="黑体" w:eastAsia="黑体" w:cs="黑体"/>
          <w:spacing w:val="51"/>
          <w:sz w:val="25"/>
          <w:szCs w:val="25"/>
        </w:rPr>
        <w:t xml:space="preserve">  </w:t>
      </w:r>
      <w:r>
        <w:rPr>
          <w:rFonts w:ascii="黑体" w:hAnsi="黑体" w:eastAsia="黑体" w:cs="黑体"/>
          <w:b/>
          <w:bCs/>
          <w:spacing w:val="8"/>
          <w:sz w:val="25"/>
          <w:szCs w:val="25"/>
        </w:rPr>
        <w:t>纠正措施</w:t>
      </w:r>
    </w:p>
    <w:p w14:paraId="56941F5A">
      <w:pPr>
        <w:pStyle w:val="2"/>
        <w:spacing w:before="120" w:line="286" w:lineRule="auto"/>
        <w:ind w:right="125" w:firstLine="560"/>
      </w:pPr>
      <w:r>
        <w:rPr>
          <w:spacing w:val="9"/>
        </w:rPr>
        <w:t>本条应从问题报告/更改报告以及纠正措施系统两方面来描述纠正措施所</w:t>
      </w:r>
      <w:r>
        <w:rPr>
          <w:spacing w:val="15"/>
        </w:rPr>
        <w:t xml:space="preserve"> </w:t>
      </w:r>
      <w:r>
        <w:rPr>
          <w:spacing w:val="5"/>
        </w:rPr>
        <w:t>遵循的途径。其中问题报告/更改报告应包括要记录的具体条目。</w:t>
      </w:r>
    </w:p>
    <w:p w14:paraId="4F9F34BB">
      <w:pPr>
        <w:spacing w:before="1" w:line="221" w:lineRule="auto"/>
        <w:rPr>
          <w:rFonts w:ascii="黑体" w:hAnsi="黑体" w:eastAsia="黑体" w:cs="黑体"/>
          <w:sz w:val="25"/>
          <w:szCs w:val="25"/>
        </w:rPr>
      </w:pPr>
      <w:r>
        <w:rPr>
          <w:rFonts w:ascii="黑体" w:hAnsi="黑体" w:eastAsia="黑体" w:cs="黑体"/>
          <w:spacing w:val="9"/>
          <w:sz w:val="25"/>
          <w:szCs w:val="25"/>
        </w:rPr>
        <w:t>5.19</w:t>
      </w:r>
      <w:r>
        <w:rPr>
          <w:rFonts w:ascii="黑体" w:hAnsi="黑体" w:eastAsia="黑体" w:cs="黑体"/>
          <w:spacing w:val="50"/>
          <w:sz w:val="25"/>
          <w:szCs w:val="25"/>
        </w:rPr>
        <w:t xml:space="preserve">  </w:t>
      </w:r>
      <w:r>
        <w:rPr>
          <w:rFonts w:ascii="黑体" w:hAnsi="黑体" w:eastAsia="黑体" w:cs="黑体"/>
          <w:b/>
          <w:bCs/>
          <w:spacing w:val="9"/>
          <w:sz w:val="25"/>
          <w:szCs w:val="25"/>
        </w:rPr>
        <w:t>联合评审</w:t>
      </w:r>
    </w:p>
    <w:p w14:paraId="3AB02DC4">
      <w:pPr>
        <w:pStyle w:val="2"/>
        <w:spacing w:before="123" w:line="219" w:lineRule="auto"/>
        <w:ind w:left="560"/>
      </w:pPr>
      <w:r>
        <w:rPr>
          <w:spacing w:val="4"/>
        </w:rPr>
        <w:t>本条应分别描述联合技术评审和联合管理评审所遵循的途径。</w:t>
      </w:r>
    </w:p>
    <w:p w14:paraId="070768EF">
      <w:pPr>
        <w:spacing w:before="126" w:line="222" w:lineRule="auto"/>
        <w:rPr>
          <w:rFonts w:ascii="黑体" w:hAnsi="黑体" w:eastAsia="黑体" w:cs="黑体"/>
          <w:sz w:val="25"/>
          <w:szCs w:val="25"/>
        </w:rPr>
      </w:pPr>
      <w:r>
        <w:rPr>
          <w:rFonts w:ascii="黑体" w:hAnsi="黑体" w:eastAsia="黑体" w:cs="黑体"/>
          <w:spacing w:val="8"/>
          <w:sz w:val="25"/>
          <w:szCs w:val="25"/>
        </w:rPr>
        <w:t>5.20</w:t>
      </w:r>
      <w:r>
        <w:rPr>
          <w:rFonts w:ascii="黑体" w:hAnsi="黑体" w:eastAsia="黑体" w:cs="黑体"/>
          <w:spacing w:val="50"/>
          <w:sz w:val="25"/>
          <w:szCs w:val="25"/>
        </w:rPr>
        <w:t xml:space="preserve">  </w:t>
      </w:r>
      <w:r>
        <w:rPr>
          <w:rFonts w:ascii="黑体" w:hAnsi="黑体" w:eastAsia="黑体" w:cs="黑体"/>
          <w:b/>
          <w:bCs/>
          <w:spacing w:val="8"/>
          <w:sz w:val="25"/>
          <w:szCs w:val="25"/>
        </w:rPr>
        <w:t>风险管理</w:t>
      </w:r>
    </w:p>
    <w:p w14:paraId="6ACCC8E2">
      <w:pPr>
        <w:pStyle w:val="2"/>
        <w:spacing w:before="103" w:line="219" w:lineRule="auto"/>
        <w:ind w:left="560"/>
      </w:pPr>
      <w:r>
        <w:rPr>
          <w:spacing w:val="-1"/>
        </w:rPr>
        <w:t>本条应描述风险管理，包括已知风险和相应对策所遵循的途径。</w:t>
      </w:r>
    </w:p>
    <w:p w14:paraId="0EFF600D">
      <w:pPr>
        <w:spacing w:line="219" w:lineRule="auto"/>
        <w:sectPr>
          <w:footerReference r:id="rId211" w:type="default"/>
          <w:pgSz w:w="11910" w:h="17130"/>
          <w:pgMar w:top="1450" w:right="1415" w:bottom="1687" w:left="999" w:header="0" w:footer="1471" w:gutter="0"/>
          <w:cols w:space="720" w:num="1"/>
        </w:sectPr>
      </w:pPr>
    </w:p>
    <w:p w14:paraId="734A6E5D">
      <w:pPr>
        <w:spacing w:before="101" w:line="222" w:lineRule="auto"/>
        <w:rPr>
          <w:rFonts w:ascii="黑体" w:hAnsi="黑体" w:eastAsia="黑体" w:cs="黑体"/>
          <w:sz w:val="27"/>
          <w:szCs w:val="27"/>
        </w:rPr>
      </w:pPr>
      <w:r>
        <w:rPr>
          <w:rFonts w:ascii="黑体" w:hAnsi="黑体" w:eastAsia="黑体" w:cs="黑体"/>
          <w:spacing w:val="-1"/>
          <w:sz w:val="27"/>
          <w:szCs w:val="27"/>
        </w:rPr>
        <w:t>5.21</w:t>
      </w:r>
      <w:r>
        <w:rPr>
          <w:rFonts w:ascii="黑体" w:hAnsi="黑体" w:eastAsia="黑体" w:cs="黑体"/>
          <w:spacing w:val="20"/>
          <w:sz w:val="27"/>
          <w:szCs w:val="27"/>
        </w:rPr>
        <w:t xml:space="preserve">  </w:t>
      </w:r>
      <w:r>
        <w:rPr>
          <w:rFonts w:ascii="黑体" w:hAnsi="黑体" w:eastAsia="黑体" w:cs="黑体"/>
          <w:b/>
          <w:bCs/>
          <w:spacing w:val="-1"/>
          <w:sz w:val="27"/>
          <w:szCs w:val="27"/>
        </w:rPr>
        <w:t>测量与分析</w:t>
      </w:r>
    </w:p>
    <w:p w14:paraId="00FF92A2">
      <w:pPr>
        <w:pStyle w:val="2"/>
        <w:spacing w:before="107" w:line="219" w:lineRule="auto"/>
        <w:ind w:left="560"/>
      </w:pPr>
      <w:r>
        <w:rPr>
          <w:spacing w:val="4"/>
        </w:rPr>
        <w:t>本条应描述软件测量和分析所遵循的途径及使用的测度。</w:t>
      </w:r>
    </w:p>
    <w:p w14:paraId="1353E7C6">
      <w:pPr>
        <w:spacing w:before="94" w:line="221" w:lineRule="auto"/>
        <w:rPr>
          <w:rFonts w:ascii="黑体" w:hAnsi="黑体" w:eastAsia="黑体" w:cs="黑体"/>
          <w:sz w:val="24"/>
          <w:szCs w:val="24"/>
        </w:rPr>
      </w:pPr>
      <w:r>
        <w:rPr>
          <w:rFonts w:ascii="黑体" w:hAnsi="黑体" w:eastAsia="黑体" w:cs="黑体"/>
          <w:spacing w:val="12"/>
          <w:sz w:val="24"/>
          <w:szCs w:val="24"/>
        </w:rPr>
        <w:t>5.22</w:t>
      </w:r>
      <w:r>
        <w:rPr>
          <w:rFonts w:ascii="黑体" w:hAnsi="黑体" w:eastAsia="黑体" w:cs="黑体"/>
          <w:spacing w:val="2"/>
          <w:sz w:val="24"/>
          <w:szCs w:val="24"/>
        </w:rPr>
        <w:t xml:space="preserve">   </w:t>
      </w:r>
      <w:r>
        <w:rPr>
          <w:rFonts w:ascii="黑体" w:hAnsi="黑体" w:eastAsia="黑体" w:cs="黑体"/>
          <w:b/>
          <w:bCs/>
          <w:spacing w:val="12"/>
          <w:sz w:val="24"/>
          <w:szCs w:val="24"/>
        </w:rPr>
        <w:t>保密性</w:t>
      </w:r>
    </w:p>
    <w:p w14:paraId="7EE23EDE">
      <w:pPr>
        <w:pStyle w:val="2"/>
        <w:spacing w:before="107" w:line="219" w:lineRule="auto"/>
        <w:ind w:left="560"/>
      </w:pPr>
      <w:r>
        <w:rPr>
          <w:spacing w:val="3"/>
        </w:rPr>
        <w:t>本条应描述保密性活动所遵循的途径。</w:t>
      </w:r>
    </w:p>
    <w:p w14:paraId="3C91654E">
      <w:pPr>
        <w:spacing w:before="75" w:line="221" w:lineRule="auto"/>
        <w:rPr>
          <w:rFonts w:ascii="黑体" w:hAnsi="黑体" w:eastAsia="黑体" w:cs="黑体"/>
          <w:sz w:val="27"/>
          <w:szCs w:val="27"/>
        </w:rPr>
      </w:pPr>
      <w:r>
        <w:rPr>
          <w:rFonts w:ascii="黑体" w:hAnsi="黑体" w:eastAsia="黑体" w:cs="黑体"/>
          <w:spacing w:val="-1"/>
          <w:sz w:val="27"/>
          <w:szCs w:val="27"/>
        </w:rPr>
        <w:t>5.23</w:t>
      </w:r>
      <w:r>
        <w:rPr>
          <w:rFonts w:ascii="黑体" w:hAnsi="黑体" w:eastAsia="黑体" w:cs="黑体"/>
          <w:spacing w:val="19"/>
          <w:sz w:val="27"/>
          <w:szCs w:val="27"/>
        </w:rPr>
        <w:t xml:space="preserve">  </w:t>
      </w:r>
      <w:r>
        <w:rPr>
          <w:rFonts w:ascii="黑体" w:hAnsi="黑体" w:eastAsia="黑体" w:cs="黑体"/>
          <w:b/>
          <w:bCs/>
          <w:spacing w:val="-1"/>
          <w:sz w:val="27"/>
          <w:szCs w:val="27"/>
        </w:rPr>
        <w:t>分承制方管理</w:t>
      </w:r>
    </w:p>
    <w:p w14:paraId="726A77B3">
      <w:pPr>
        <w:pStyle w:val="2"/>
        <w:spacing w:before="101" w:line="219" w:lineRule="auto"/>
        <w:ind w:left="560"/>
      </w:pPr>
      <w:r>
        <w:rPr>
          <w:spacing w:val="4"/>
        </w:rPr>
        <w:t>本条应描述分承制方管理所遵循的途径。</w:t>
      </w:r>
    </w:p>
    <w:p w14:paraId="4351B821">
      <w:pPr>
        <w:spacing w:before="45" w:line="212" w:lineRule="auto"/>
        <w:rPr>
          <w:rFonts w:ascii="黑体" w:hAnsi="黑体" w:eastAsia="黑体" w:cs="黑体"/>
          <w:sz w:val="27"/>
          <w:szCs w:val="27"/>
        </w:rPr>
      </w:pPr>
      <w:r>
        <w:rPr>
          <w:rFonts w:ascii="黑体" w:hAnsi="黑体" w:eastAsia="黑体" w:cs="黑体"/>
          <w:spacing w:val="1"/>
          <w:sz w:val="27"/>
          <w:szCs w:val="27"/>
        </w:rPr>
        <w:t xml:space="preserve">5.24  </w:t>
      </w:r>
      <w:r>
        <w:rPr>
          <w:rFonts w:ascii="黑体" w:hAnsi="黑体" w:eastAsia="黑体" w:cs="黑体"/>
          <w:b/>
          <w:bCs/>
          <w:spacing w:val="1"/>
          <w:sz w:val="27"/>
          <w:szCs w:val="27"/>
        </w:rPr>
        <w:t>与软件独立验证和确认(</w:t>
      </w:r>
      <w:r>
        <w:rPr>
          <w:rFonts w:ascii="Times New Roman" w:hAnsi="Times New Roman" w:eastAsia="Times New Roman" w:cs="Times New Roman"/>
          <w:b/>
          <w:bCs/>
          <w:sz w:val="27"/>
          <w:szCs w:val="27"/>
        </w:rPr>
        <w:t>IV</w:t>
      </w:r>
      <w:r>
        <w:rPr>
          <w:rFonts w:ascii="Times New Roman" w:hAnsi="Times New Roman" w:eastAsia="Times New Roman" w:cs="Times New Roman"/>
          <w:b/>
          <w:bCs/>
          <w:spacing w:val="1"/>
          <w:sz w:val="27"/>
          <w:szCs w:val="27"/>
        </w:rPr>
        <w:t>&amp;V</w:t>
      </w:r>
      <w:r>
        <w:rPr>
          <w:rFonts w:ascii="Times New Roman" w:hAnsi="Times New Roman" w:eastAsia="Times New Roman" w:cs="Times New Roman"/>
          <w:b/>
          <w:bCs/>
          <w:sz w:val="27"/>
          <w:szCs w:val="27"/>
        </w:rPr>
        <w:t>)</w:t>
      </w:r>
      <w:r>
        <w:rPr>
          <w:rFonts w:ascii="Times New Roman" w:hAnsi="Times New Roman" w:eastAsia="Times New Roman" w:cs="Times New Roman"/>
          <w:b/>
          <w:bCs/>
          <w:spacing w:val="32"/>
          <w:sz w:val="27"/>
          <w:szCs w:val="27"/>
        </w:rPr>
        <w:t xml:space="preserve"> </w:t>
      </w:r>
      <w:r>
        <w:rPr>
          <w:rFonts w:ascii="黑体" w:hAnsi="黑体" w:eastAsia="黑体" w:cs="黑体"/>
          <w:b/>
          <w:bCs/>
          <w:sz w:val="27"/>
          <w:szCs w:val="27"/>
        </w:rPr>
        <w:t>机构的联系</w:t>
      </w:r>
    </w:p>
    <w:p w14:paraId="420E6273">
      <w:pPr>
        <w:pStyle w:val="2"/>
        <w:spacing w:before="106" w:line="212" w:lineRule="auto"/>
        <w:ind w:left="560"/>
      </w:pPr>
      <w:r>
        <w:rPr>
          <w:spacing w:val="4"/>
        </w:rPr>
        <w:t>本条应描述与软件独立验证和确认(</w:t>
      </w:r>
      <w:r>
        <w:rPr>
          <w:rFonts w:ascii="Times New Roman" w:hAnsi="Times New Roman" w:eastAsia="Times New Roman" w:cs="Times New Roman"/>
        </w:rPr>
        <w:t>IV</w:t>
      </w:r>
      <w:r>
        <w:rPr>
          <w:rFonts w:ascii="Times New Roman" w:hAnsi="Times New Roman" w:eastAsia="Times New Roman" w:cs="Times New Roman"/>
          <w:spacing w:val="4"/>
        </w:rPr>
        <w:t xml:space="preserve">&amp;V)  </w:t>
      </w:r>
      <w:r>
        <w:rPr>
          <w:spacing w:val="4"/>
        </w:rPr>
        <w:t>机构的联系所遵循的途径。</w:t>
      </w:r>
    </w:p>
    <w:p w14:paraId="36E0A1A8">
      <w:pPr>
        <w:spacing w:before="94" w:line="221" w:lineRule="auto"/>
        <w:rPr>
          <w:rFonts w:ascii="黑体" w:hAnsi="黑体" w:eastAsia="黑体" w:cs="黑体"/>
          <w:sz w:val="28"/>
          <w:szCs w:val="28"/>
        </w:rPr>
      </w:pPr>
      <w:r>
        <w:rPr>
          <w:rFonts w:ascii="黑体" w:hAnsi="黑体" w:eastAsia="黑体" w:cs="黑体"/>
          <w:spacing w:val="-5"/>
          <w:sz w:val="28"/>
          <w:szCs w:val="28"/>
        </w:rPr>
        <w:t xml:space="preserve">5.25  </w:t>
      </w:r>
      <w:r>
        <w:rPr>
          <w:rFonts w:ascii="黑体" w:hAnsi="黑体" w:eastAsia="黑体" w:cs="黑体"/>
          <w:b/>
          <w:bCs/>
          <w:color w:val="505050"/>
          <w:spacing w:val="-5"/>
          <w:sz w:val="28"/>
          <w:szCs w:val="28"/>
        </w:rPr>
        <w:t>与相关开发方的协调</w:t>
      </w:r>
    </w:p>
    <w:p w14:paraId="62A2B09D">
      <w:pPr>
        <w:pStyle w:val="2"/>
        <w:spacing w:before="90" w:line="219" w:lineRule="auto"/>
        <w:ind w:left="560"/>
      </w:pPr>
      <w:r>
        <w:rPr>
          <w:spacing w:val="4"/>
        </w:rPr>
        <w:t>本条应描述与相关开发方的协调所遵循的途径。</w:t>
      </w:r>
    </w:p>
    <w:p w14:paraId="58CC6B71">
      <w:pPr>
        <w:spacing w:before="85" w:line="222" w:lineRule="auto"/>
        <w:rPr>
          <w:rFonts w:ascii="黑体" w:hAnsi="黑体" w:eastAsia="黑体" w:cs="黑体"/>
          <w:sz w:val="27"/>
          <w:szCs w:val="27"/>
        </w:rPr>
      </w:pPr>
      <w:r>
        <w:rPr>
          <w:rFonts w:ascii="黑体" w:hAnsi="黑体" w:eastAsia="黑体" w:cs="黑体"/>
          <w:spacing w:val="-1"/>
          <w:sz w:val="27"/>
          <w:szCs w:val="27"/>
        </w:rPr>
        <w:t>5.26</w:t>
      </w:r>
      <w:r>
        <w:rPr>
          <w:rFonts w:ascii="黑体" w:hAnsi="黑体" w:eastAsia="黑体" w:cs="黑体"/>
          <w:spacing w:val="19"/>
          <w:sz w:val="27"/>
          <w:szCs w:val="27"/>
        </w:rPr>
        <w:t xml:space="preserve">  </w:t>
      </w:r>
      <w:r>
        <w:rPr>
          <w:rFonts w:ascii="黑体" w:hAnsi="黑体" w:eastAsia="黑体" w:cs="黑体"/>
          <w:b/>
          <w:bCs/>
          <w:spacing w:val="-1"/>
          <w:sz w:val="27"/>
          <w:szCs w:val="27"/>
        </w:rPr>
        <w:t>项目过程的改进</w:t>
      </w:r>
    </w:p>
    <w:p w14:paraId="6025CD9C">
      <w:pPr>
        <w:pStyle w:val="2"/>
        <w:spacing w:before="90" w:line="219" w:lineRule="auto"/>
        <w:ind w:left="560"/>
      </w:pPr>
      <w:r>
        <w:rPr>
          <w:spacing w:val="3"/>
        </w:rPr>
        <w:t>本条应描述项目过程的改进所遵循的途径。</w:t>
      </w:r>
    </w:p>
    <w:p w14:paraId="7555B116">
      <w:pPr>
        <w:spacing w:before="75" w:line="222" w:lineRule="auto"/>
        <w:rPr>
          <w:rFonts w:ascii="黑体" w:hAnsi="黑体" w:eastAsia="黑体" w:cs="黑体"/>
          <w:sz w:val="27"/>
          <w:szCs w:val="27"/>
        </w:rPr>
      </w:pPr>
      <w:r>
        <w:rPr>
          <w:rFonts w:ascii="黑体" w:hAnsi="黑体" w:eastAsia="黑体" w:cs="黑体"/>
          <w:spacing w:val="-1"/>
          <w:sz w:val="27"/>
          <w:szCs w:val="27"/>
        </w:rPr>
        <w:t>5.27</w:t>
      </w:r>
      <w:r>
        <w:rPr>
          <w:rFonts w:ascii="黑体" w:hAnsi="黑体" w:eastAsia="黑体" w:cs="黑体"/>
          <w:spacing w:val="25"/>
          <w:sz w:val="27"/>
          <w:szCs w:val="27"/>
        </w:rPr>
        <w:t xml:space="preserve">  </w:t>
      </w:r>
      <w:r>
        <w:rPr>
          <w:rFonts w:ascii="黑体" w:hAnsi="黑体" w:eastAsia="黑体" w:cs="黑体"/>
          <w:b/>
          <w:bCs/>
          <w:spacing w:val="-1"/>
          <w:sz w:val="27"/>
          <w:szCs w:val="27"/>
        </w:rPr>
        <w:t>未提及的其他活动</w:t>
      </w:r>
    </w:p>
    <w:p w14:paraId="22043C02">
      <w:pPr>
        <w:pStyle w:val="2"/>
        <w:spacing w:before="110" w:line="219" w:lineRule="auto"/>
        <w:ind w:left="560"/>
      </w:pPr>
      <w:r>
        <w:rPr>
          <w:spacing w:val="4"/>
        </w:rPr>
        <w:t>本条应描述以上条中未提及的其他活动所遵循的途径。</w:t>
      </w:r>
    </w:p>
    <w:p w14:paraId="3B26AFFC">
      <w:pPr>
        <w:spacing w:before="65" w:line="221" w:lineRule="auto"/>
        <w:outlineLvl w:val="3"/>
        <w:rPr>
          <w:rFonts w:ascii="黑体" w:hAnsi="黑体" w:eastAsia="黑体" w:cs="黑体"/>
          <w:sz w:val="27"/>
          <w:szCs w:val="27"/>
        </w:rPr>
      </w:pPr>
      <w:r>
        <w:rPr>
          <w:rFonts w:ascii="Arial" w:hAnsi="Arial" w:eastAsia="Arial" w:cs="Arial"/>
          <w:b/>
          <w:bCs/>
          <w:spacing w:val="1"/>
          <w:sz w:val="27"/>
          <w:szCs w:val="27"/>
        </w:rPr>
        <w:t>6</w:t>
      </w:r>
      <w:r>
        <w:rPr>
          <w:rFonts w:ascii="Arial" w:hAnsi="Arial" w:eastAsia="Arial" w:cs="Arial"/>
          <w:b/>
          <w:bCs/>
          <w:spacing w:val="23"/>
          <w:sz w:val="27"/>
          <w:szCs w:val="27"/>
        </w:rPr>
        <w:t xml:space="preserve">   </w:t>
      </w:r>
      <w:r>
        <w:rPr>
          <w:rFonts w:ascii="黑体" w:hAnsi="黑体" w:eastAsia="黑体" w:cs="黑体"/>
          <w:b/>
          <w:bCs/>
          <w:spacing w:val="1"/>
          <w:sz w:val="27"/>
          <w:szCs w:val="27"/>
        </w:rPr>
        <w:t>进度表和活动网络图</w:t>
      </w:r>
    </w:p>
    <w:p w14:paraId="22CBB407">
      <w:pPr>
        <w:pStyle w:val="2"/>
        <w:spacing w:before="101" w:line="219" w:lineRule="auto"/>
        <w:ind w:left="560"/>
      </w:pPr>
      <w:r>
        <w:rPr>
          <w:spacing w:val="-1"/>
        </w:rPr>
        <w:t>本章应给出：</w:t>
      </w:r>
    </w:p>
    <w:p w14:paraId="7D330258">
      <w:pPr>
        <w:pStyle w:val="2"/>
        <w:spacing w:before="60" w:line="257" w:lineRule="auto"/>
        <w:ind w:right="122" w:firstLine="560"/>
      </w:pPr>
      <w:r>
        <w:rPr>
          <w:rFonts w:ascii="Times New Roman" w:hAnsi="Times New Roman" w:eastAsia="Times New Roman" w:cs="Times New Roman"/>
          <w:spacing w:val="3"/>
        </w:rPr>
        <w:t xml:space="preserve">a)  </w:t>
      </w:r>
      <w:r>
        <w:rPr>
          <w:spacing w:val="3"/>
        </w:rPr>
        <w:t>进度表。该表应标识每个构建版的活动，给出每个</w:t>
      </w:r>
      <w:r>
        <w:rPr>
          <w:spacing w:val="2"/>
        </w:rPr>
        <w:t>活动的开始时间、草</w:t>
      </w:r>
      <w:r>
        <w:t xml:space="preserve"> 稿和最终交付产品就绪的时间，其他里程碑及每个活动的完成时间。</w:t>
      </w:r>
    </w:p>
    <w:p w14:paraId="2C79C7F9">
      <w:pPr>
        <w:pStyle w:val="2"/>
        <w:spacing w:before="48" w:line="264" w:lineRule="auto"/>
        <w:ind w:right="83" w:firstLine="560"/>
      </w:pPr>
      <w:r>
        <w:rPr>
          <w:rFonts w:ascii="Times New Roman" w:hAnsi="Times New Roman" w:eastAsia="Times New Roman" w:cs="Times New Roman"/>
          <w:spacing w:val="3"/>
        </w:rPr>
        <w:t xml:space="preserve">b)  </w:t>
      </w:r>
      <w:r>
        <w:rPr>
          <w:spacing w:val="3"/>
        </w:rPr>
        <w:t>活动网络图。该图应描述活动之间的顺序关系和依赖关系，标识对项目</w:t>
      </w:r>
      <w:r>
        <w:rPr>
          <w:spacing w:val="15"/>
        </w:rPr>
        <w:t xml:space="preserve"> </w:t>
      </w:r>
      <w:r>
        <w:rPr>
          <w:spacing w:val="2"/>
        </w:rPr>
        <w:t>施加最大时间限制的活动。</w:t>
      </w:r>
    </w:p>
    <w:p w14:paraId="3CF05C5D">
      <w:pPr>
        <w:spacing w:before="113" w:line="221" w:lineRule="auto"/>
        <w:rPr>
          <w:rFonts w:ascii="黑体" w:hAnsi="黑体" w:eastAsia="黑体" w:cs="黑体"/>
          <w:sz w:val="24"/>
          <w:szCs w:val="24"/>
        </w:rPr>
      </w:pPr>
      <w:r>
        <w:rPr>
          <w:rFonts w:ascii="黑体" w:hAnsi="黑体" w:eastAsia="黑体" w:cs="黑体"/>
          <w:spacing w:val="26"/>
          <w:sz w:val="24"/>
          <w:szCs w:val="24"/>
        </w:rPr>
        <w:t>7</w:t>
      </w:r>
      <w:r>
        <w:rPr>
          <w:rFonts w:ascii="黑体" w:hAnsi="黑体" w:eastAsia="黑体" w:cs="黑体"/>
          <w:spacing w:val="49"/>
          <w:sz w:val="24"/>
          <w:szCs w:val="24"/>
        </w:rPr>
        <w:t xml:space="preserve">  </w:t>
      </w:r>
      <w:r>
        <w:rPr>
          <w:rFonts w:ascii="黑体" w:hAnsi="黑体" w:eastAsia="黑体" w:cs="黑体"/>
          <w:b/>
          <w:bCs/>
          <w:spacing w:val="26"/>
          <w:sz w:val="24"/>
          <w:szCs w:val="24"/>
        </w:rPr>
        <w:t>项目组织和资源</w:t>
      </w:r>
    </w:p>
    <w:p w14:paraId="486BAA11">
      <w:pPr>
        <w:spacing w:before="84" w:line="222" w:lineRule="auto"/>
        <w:rPr>
          <w:rFonts w:ascii="黑体" w:hAnsi="黑体" w:eastAsia="黑体" w:cs="黑体"/>
          <w:sz w:val="27"/>
          <w:szCs w:val="27"/>
        </w:rPr>
      </w:pPr>
      <w:r>
        <w:rPr>
          <w:rFonts w:ascii="黑体" w:hAnsi="黑体" w:eastAsia="黑体" w:cs="黑体"/>
          <w:spacing w:val="-2"/>
          <w:sz w:val="27"/>
          <w:szCs w:val="27"/>
        </w:rPr>
        <w:t>7.1</w:t>
      </w:r>
      <w:r>
        <w:rPr>
          <w:rFonts w:ascii="黑体" w:hAnsi="黑体" w:eastAsia="黑体" w:cs="黑体"/>
          <w:spacing w:val="30"/>
          <w:sz w:val="27"/>
          <w:szCs w:val="27"/>
        </w:rPr>
        <w:t xml:space="preserve">  </w:t>
      </w:r>
      <w:r>
        <w:rPr>
          <w:rFonts w:ascii="黑体" w:hAnsi="黑体" w:eastAsia="黑体" w:cs="黑体"/>
          <w:b/>
          <w:bCs/>
          <w:spacing w:val="-2"/>
          <w:sz w:val="27"/>
          <w:szCs w:val="27"/>
        </w:rPr>
        <w:t>项目组织</w:t>
      </w:r>
    </w:p>
    <w:p w14:paraId="2C8146D3">
      <w:pPr>
        <w:pStyle w:val="2"/>
        <w:spacing w:before="101" w:line="285" w:lineRule="auto"/>
        <w:ind w:right="122" w:firstLine="560"/>
      </w:pPr>
      <w:r>
        <w:rPr>
          <w:spacing w:val="-3"/>
        </w:rPr>
        <w:t>本条应描述本项目要采用的组织结构，包括涉及的组织机构、机构之间的关</w:t>
      </w:r>
      <w:r>
        <w:t xml:space="preserve"> </w:t>
      </w:r>
      <w:r>
        <w:rPr>
          <w:spacing w:val="-3"/>
        </w:rPr>
        <w:t>系、每个机构执行所需活动的权限和职责。</w:t>
      </w:r>
    </w:p>
    <w:p w14:paraId="273B3F87">
      <w:pPr>
        <w:spacing w:before="1" w:line="220" w:lineRule="auto"/>
        <w:rPr>
          <w:rFonts w:ascii="黑体" w:hAnsi="黑体" w:eastAsia="黑体" w:cs="黑体"/>
          <w:sz w:val="25"/>
          <w:szCs w:val="25"/>
        </w:rPr>
      </w:pPr>
      <w:r>
        <w:rPr>
          <w:rFonts w:ascii="黑体" w:hAnsi="黑体" w:eastAsia="黑体" w:cs="黑体"/>
          <w:spacing w:val="8"/>
          <w:sz w:val="25"/>
          <w:szCs w:val="25"/>
        </w:rPr>
        <w:t>7.2</w:t>
      </w:r>
      <w:r>
        <w:rPr>
          <w:rFonts w:ascii="黑体" w:hAnsi="黑体" w:eastAsia="黑体" w:cs="黑体"/>
          <w:spacing w:val="61"/>
          <w:sz w:val="25"/>
          <w:szCs w:val="25"/>
        </w:rPr>
        <w:t xml:space="preserve">  </w:t>
      </w:r>
      <w:r>
        <w:rPr>
          <w:rFonts w:ascii="黑体" w:hAnsi="黑体" w:eastAsia="黑体" w:cs="黑体"/>
          <w:b/>
          <w:bCs/>
          <w:spacing w:val="8"/>
          <w:sz w:val="25"/>
          <w:szCs w:val="25"/>
        </w:rPr>
        <w:t>项目资源</w:t>
      </w:r>
    </w:p>
    <w:p w14:paraId="2F28087E">
      <w:pPr>
        <w:pStyle w:val="2"/>
        <w:spacing w:before="95" w:line="219" w:lineRule="auto"/>
        <w:ind w:left="560"/>
      </w:pPr>
      <w:r>
        <w:rPr>
          <w:spacing w:val="-4"/>
        </w:rPr>
        <w:t>本条应描述适用于本项目的资源，可包括：</w:t>
      </w:r>
    </w:p>
    <w:p w14:paraId="54E741A0">
      <w:pPr>
        <w:pStyle w:val="2"/>
        <w:spacing w:before="89" w:line="256" w:lineRule="auto"/>
        <w:ind w:right="120" w:firstLine="560"/>
      </w:pPr>
      <w:r>
        <w:rPr>
          <w:rFonts w:ascii="Times New Roman" w:hAnsi="Times New Roman" w:eastAsia="Times New Roman" w:cs="Times New Roman"/>
          <w:spacing w:val="3"/>
        </w:rPr>
        <w:t xml:space="preserve">a)  </w:t>
      </w:r>
      <w:r>
        <w:rPr>
          <w:spacing w:val="3"/>
        </w:rPr>
        <w:t>人力资源，应包括1)估计此项目应投</w:t>
      </w:r>
      <w:r>
        <w:rPr>
          <w:spacing w:val="2"/>
        </w:rPr>
        <w:t>入的人力(人时数);2)按职责(如管</w:t>
      </w:r>
      <w:r>
        <w:t xml:space="preserve"> </w:t>
      </w:r>
      <w:r>
        <w:rPr>
          <w:spacing w:val="-13"/>
        </w:rPr>
        <w:t>理、软件工程、软件测试、软件配置管理、软件产品评估、软件质量</w:t>
      </w:r>
      <w:r>
        <w:rPr>
          <w:spacing w:val="-14"/>
        </w:rPr>
        <w:t>保证等)分解所</w:t>
      </w:r>
      <w:r>
        <w:t xml:space="preserve"> </w:t>
      </w:r>
      <w:r>
        <w:rPr>
          <w:spacing w:val="-5"/>
        </w:rPr>
        <w:t>投入的人力；3)每个人员的技术级别、地理位置和涉密程度。</w:t>
      </w:r>
    </w:p>
    <w:p w14:paraId="61DDA8ED">
      <w:pPr>
        <w:pStyle w:val="2"/>
        <w:spacing w:before="79" w:line="260" w:lineRule="auto"/>
        <w:ind w:firstLine="560"/>
      </w:pPr>
      <w:r>
        <w:rPr>
          <w:rFonts w:ascii="Times New Roman" w:hAnsi="Times New Roman" w:eastAsia="Times New Roman" w:cs="Times New Roman"/>
          <w:spacing w:val="6"/>
        </w:rPr>
        <w:t xml:space="preserve">b)  </w:t>
      </w:r>
      <w:r>
        <w:rPr>
          <w:spacing w:val="6"/>
        </w:rPr>
        <w:t>为适应合同(或软件研制任务书)中的工作，</w:t>
      </w:r>
      <w:r>
        <w:rPr>
          <w:spacing w:val="5"/>
        </w:rPr>
        <w:t>开发人员工作的地理位置、</w:t>
      </w:r>
      <w:r>
        <w:t xml:space="preserve"> </w:t>
      </w:r>
      <w:r>
        <w:rPr>
          <w:spacing w:val="-3"/>
        </w:rPr>
        <w:t>要使用的设施、保密区域和设施的其他特征。</w:t>
      </w:r>
    </w:p>
    <w:p w14:paraId="3D347EEC">
      <w:pPr>
        <w:pStyle w:val="2"/>
        <w:spacing w:before="69" w:line="257" w:lineRule="auto"/>
        <w:ind w:right="104" w:firstLine="560"/>
      </w:pPr>
      <w:r>
        <w:rPr>
          <w:rFonts w:ascii="Times New Roman" w:hAnsi="Times New Roman" w:eastAsia="Times New Roman" w:cs="Times New Roman"/>
          <w:spacing w:val="-4"/>
        </w:rPr>
        <w:t xml:space="preserve">c)  </w:t>
      </w:r>
      <w:r>
        <w:rPr>
          <w:spacing w:val="-4"/>
        </w:rPr>
        <w:t>合同(或软件研制任务书)中工作需要的，且由需方提供</w:t>
      </w:r>
      <w:r>
        <w:rPr>
          <w:spacing w:val="-5"/>
        </w:rPr>
        <w:t>的设备、软件、服</w:t>
      </w:r>
      <w:r>
        <w:t xml:space="preserve"> </w:t>
      </w:r>
      <w:r>
        <w:rPr>
          <w:spacing w:val="-11"/>
        </w:rPr>
        <w:t>务、文档、数据及设施，并给出何时需要上</w:t>
      </w:r>
      <w:r>
        <w:rPr>
          <w:spacing w:val="-12"/>
        </w:rPr>
        <w:t>述各项的进度表。</w:t>
      </w:r>
    </w:p>
    <w:p w14:paraId="21BA8517">
      <w:pPr>
        <w:pStyle w:val="2"/>
        <w:spacing w:before="90" w:line="212" w:lineRule="auto"/>
        <w:ind w:left="560"/>
        <w:rPr>
          <w:sz w:val="25"/>
          <w:szCs w:val="25"/>
        </w:rPr>
      </w:pPr>
      <w:r>
        <w:rPr>
          <w:rFonts w:ascii="Times New Roman" w:hAnsi="Times New Roman" w:eastAsia="Times New Roman" w:cs="Times New Roman"/>
          <w:spacing w:val="13"/>
          <w:sz w:val="25"/>
          <w:szCs w:val="25"/>
        </w:rPr>
        <w:t>d)</w:t>
      </w:r>
      <w:r>
        <w:rPr>
          <w:rFonts w:ascii="Times New Roman" w:hAnsi="Times New Roman" w:eastAsia="Times New Roman" w:cs="Times New Roman"/>
          <w:spacing w:val="27"/>
          <w:sz w:val="25"/>
          <w:szCs w:val="25"/>
        </w:rPr>
        <w:t xml:space="preserve">  </w:t>
      </w:r>
      <w:r>
        <w:rPr>
          <w:spacing w:val="13"/>
          <w:sz w:val="25"/>
          <w:szCs w:val="25"/>
        </w:rPr>
        <w:t>其他所需的资源，包括获得资源的计划、需要的日期、每个资源项的可用</w:t>
      </w:r>
    </w:p>
    <w:p w14:paraId="05AA9D6D">
      <w:pPr>
        <w:spacing w:line="212" w:lineRule="auto"/>
        <w:rPr>
          <w:sz w:val="25"/>
          <w:szCs w:val="25"/>
        </w:rPr>
        <w:sectPr>
          <w:footerReference r:id="rId212" w:type="default"/>
          <w:pgSz w:w="11910" w:h="17130"/>
          <w:pgMar w:top="1456" w:right="1014" w:bottom="1553" w:left="1400" w:header="0" w:footer="1355" w:gutter="0"/>
          <w:cols w:space="720" w:num="1"/>
        </w:sectPr>
      </w:pPr>
    </w:p>
    <w:p w14:paraId="54FF4F45">
      <w:pPr>
        <w:pStyle w:val="2"/>
        <w:spacing w:before="105" w:line="220" w:lineRule="auto"/>
      </w:pPr>
      <w:r>
        <w:rPr>
          <w:spacing w:val="3"/>
        </w:rPr>
        <w:t>性(就绪的时间)。</w:t>
      </w:r>
    </w:p>
    <w:p w14:paraId="0DEC3486">
      <w:pPr>
        <w:spacing w:before="114" w:line="222" w:lineRule="auto"/>
        <w:rPr>
          <w:rFonts w:ascii="黑体" w:hAnsi="黑体" w:eastAsia="黑体" w:cs="黑体"/>
          <w:sz w:val="24"/>
          <w:szCs w:val="24"/>
        </w:rPr>
      </w:pPr>
      <w:r>
        <w:rPr>
          <w:rFonts w:ascii="黑体" w:hAnsi="黑体" w:eastAsia="黑体" w:cs="黑体"/>
          <w:spacing w:val="-7"/>
          <w:sz w:val="24"/>
          <w:szCs w:val="24"/>
        </w:rPr>
        <w:t>8</w:t>
      </w:r>
      <w:r>
        <w:rPr>
          <w:rFonts w:ascii="黑体" w:hAnsi="黑体" w:eastAsia="黑体" w:cs="黑体"/>
          <w:spacing w:val="28"/>
          <w:sz w:val="24"/>
          <w:szCs w:val="24"/>
        </w:rPr>
        <w:t xml:space="preserve">  </w:t>
      </w:r>
      <w:r>
        <w:rPr>
          <w:rFonts w:ascii="黑体" w:hAnsi="黑体" w:eastAsia="黑体" w:cs="黑体"/>
          <w:spacing w:val="-7"/>
          <w:sz w:val="24"/>
          <w:szCs w:val="24"/>
        </w:rPr>
        <w:t>注</w:t>
      </w:r>
      <w:r>
        <w:rPr>
          <w:rFonts w:ascii="黑体" w:hAnsi="黑体" w:eastAsia="黑体" w:cs="黑体"/>
          <w:spacing w:val="-20"/>
          <w:sz w:val="24"/>
          <w:szCs w:val="24"/>
        </w:rPr>
        <w:t xml:space="preserve"> </w:t>
      </w:r>
      <w:r>
        <w:rPr>
          <w:rFonts w:ascii="黑体" w:hAnsi="黑体" w:eastAsia="黑体" w:cs="黑体"/>
          <w:spacing w:val="-7"/>
          <w:sz w:val="24"/>
          <w:szCs w:val="24"/>
        </w:rPr>
        <w:t>释</w:t>
      </w:r>
    </w:p>
    <w:p w14:paraId="466A8B0F">
      <w:pPr>
        <w:pStyle w:val="2"/>
        <w:spacing w:before="62" w:line="219" w:lineRule="auto"/>
        <w:ind w:right="42"/>
        <w:jc w:val="right"/>
      </w:pPr>
      <w:r>
        <w:rPr>
          <w:spacing w:val="-4"/>
        </w:rPr>
        <w:t>本章应包括有助于了解文档的所有信息(例如背景、术语、缩略语或公式)。</w:t>
      </w:r>
    </w:p>
    <w:p w14:paraId="7DB972C7">
      <w:pPr>
        <w:spacing w:line="341" w:lineRule="auto"/>
        <w:rPr>
          <w:rFonts w:ascii="Arial"/>
          <w:sz w:val="21"/>
        </w:rPr>
      </w:pPr>
    </w:p>
    <w:p w14:paraId="788B11EB">
      <w:pPr>
        <w:pStyle w:val="2"/>
        <w:spacing w:before="117" w:line="219" w:lineRule="auto"/>
        <w:ind w:left="2770"/>
        <w:rPr>
          <w:sz w:val="36"/>
          <w:szCs w:val="36"/>
        </w:rPr>
      </w:pPr>
      <w:r>
        <w:rPr>
          <w:spacing w:val="-2"/>
          <w:sz w:val="36"/>
          <w:szCs w:val="36"/>
        </w:rPr>
        <w:t>2.</w:t>
      </w:r>
      <w:r>
        <w:rPr>
          <w:b/>
          <w:bCs/>
          <w:spacing w:val="-2"/>
          <w:sz w:val="36"/>
          <w:szCs w:val="36"/>
        </w:rPr>
        <w:t>8</w:t>
      </w:r>
      <w:r>
        <w:rPr>
          <w:spacing w:val="24"/>
          <w:sz w:val="36"/>
          <w:szCs w:val="36"/>
        </w:rPr>
        <w:t xml:space="preserve">  </w:t>
      </w:r>
      <w:r>
        <w:rPr>
          <w:b/>
          <w:bCs/>
          <w:spacing w:val="-2"/>
          <w:sz w:val="36"/>
          <w:szCs w:val="36"/>
        </w:rPr>
        <w:t>软件配置管理计划</w:t>
      </w:r>
    </w:p>
    <w:p w14:paraId="325D3D79">
      <w:pPr>
        <w:spacing w:line="338" w:lineRule="auto"/>
        <w:rPr>
          <w:rFonts w:ascii="Arial"/>
          <w:sz w:val="21"/>
        </w:rPr>
      </w:pPr>
    </w:p>
    <w:p w14:paraId="126B33CE">
      <w:pPr>
        <w:pStyle w:val="2"/>
        <w:spacing w:before="91" w:line="225" w:lineRule="auto"/>
        <w:ind w:left="57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438B—2009</w:t>
      </w:r>
      <w:r>
        <w:rPr>
          <w:spacing w:val="-11"/>
          <w:sz w:val="28"/>
          <w:szCs w:val="28"/>
        </w:rPr>
        <w:t>《</w:t>
      </w:r>
      <w:r>
        <w:rPr>
          <w:rFonts w:ascii="楷体" w:hAnsi="楷体" w:eastAsia="楷体" w:cs="楷体"/>
          <w:spacing w:val="-11"/>
          <w:sz w:val="28"/>
          <w:szCs w:val="28"/>
        </w:rPr>
        <w:t>军用软件开发文档通用要求》编写。</w:t>
      </w:r>
    </w:p>
    <w:p w14:paraId="276C8CF5">
      <w:pPr>
        <w:spacing w:before="72"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4"/>
          <w:sz w:val="27"/>
          <w:szCs w:val="27"/>
        </w:rPr>
        <w:t xml:space="preserve">  </w:t>
      </w:r>
      <w:r>
        <w:rPr>
          <w:rFonts w:ascii="黑体" w:hAnsi="黑体" w:eastAsia="黑体" w:cs="黑体"/>
          <w:spacing w:val="4"/>
          <w:sz w:val="27"/>
          <w:szCs w:val="27"/>
        </w:rPr>
        <w:t>范围</w:t>
      </w:r>
    </w:p>
    <w:p w14:paraId="15389CA5">
      <w:pPr>
        <w:spacing w:before="113" w:line="222" w:lineRule="auto"/>
        <w:rPr>
          <w:rFonts w:ascii="黑体" w:hAnsi="黑体" w:eastAsia="黑体" w:cs="黑体"/>
          <w:sz w:val="25"/>
          <w:szCs w:val="25"/>
        </w:rPr>
      </w:pPr>
      <w:r>
        <w:rPr>
          <w:rFonts w:ascii="黑体" w:hAnsi="黑体" w:eastAsia="黑体" w:cs="黑体"/>
          <w:spacing w:val="5"/>
          <w:sz w:val="25"/>
          <w:szCs w:val="25"/>
        </w:rPr>
        <w:t>1.1</w:t>
      </w:r>
      <w:r>
        <w:rPr>
          <w:rFonts w:ascii="黑体" w:hAnsi="黑体" w:eastAsia="黑体" w:cs="黑体"/>
          <w:spacing w:val="44"/>
          <w:sz w:val="25"/>
          <w:szCs w:val="25"/>
        </w:rPr>
        <w:t xml:space="preserve">  </w:t>
      </w:r>
      <w:r>
        <w:rPr>
          <w:rFonts w:ascii="黑体" w:hAnsi="黑体" w:eastAsia="黑体" w:cs="黑体"/>
          <w:spacing w:val="5"/>
          <w:sz w:val="25"/>
          <w:szCs w:val="25"/>
        </w:rPr>
        <w:t>标识</w:t>
      </w:r>
    </w:p>
    <w:p w14:paraId="6D505EFD">
      <w:pPr>
        <w:pStyle w:val="2"/>
        <w:spacing w:before="69" w:line="290" w:lineRule="auto"/>
        <w:ind w:right="5" w:firstLine="570"/>
      </w:pPr>
      <w:r>
        <w:rPr>
          <w:spacing w:val="5"/>
        </w:rPr>
        <w:t>本条应描述本文档所适用的系统和软件的完整标识，适用时，包括其标识</w:t>
      </w:r>
      <w:r>
        <w:rPr>
          <w:spacing w:val="14"/>
        </w:rPr>
        <w:t xml:space="preserve"> </w:t>
      </w:r>
      <w:r>
        <w:rPr>
          <w:spacing w:val="-20"/>
        </w:rPr>
        <w:t>号、名称、缩略名、版本号和发布号。</w:t>
      </w:r>
    </w:p>
    <w:p w14:paraId="0234417A">
      <w:pPr>
        <w:spacing w:before="1" w:line="220" w:lineRule="auto"/>
        <w:rPr>
          <w:rFonts w:ascii="黑体" w:hAnsi="黑体" w:eastAsia="黑体" w:cs="黑体"/>
          <w:sz w:val="27"/>
          <w:szCs w:val="27"/>
        </w:rPr>
      </w:pPr>
      <w:r>
        <w:rPr>
          <w:rFonts w:ascii="黑体" w:hAnsi="黑体" w:eastAsia="黑体" w:cs="黑体"/>
          <w:spacing w:val="-6"/>
          <w:sz w:val="27"/>
          <w:szCs w:val="27"/>
        </w:rPr>
        <w:t>1.2</w:t>
      </w:r>
      <w:r>
        <w:rPr>
          <w:rFonts w:ascii="黑体" w:hAnsi="黑体" w:eastAsia="黑体" w:cs="黑体"/>
          <w:spacing w:val="27"/>
          <w:sz w:val="27"/>
          <w:szCs w:val="27"/>
        </w:rPr>
        <w:t xml:space="preserve">  </w:t>
      </w:r>
      <w:r>
        <w:rPr>
          <w:rFonts w:ascii="黑体" w:hAnsi="黑体" w:eastAsia="黑体" w:cs="黑体"/>
          <w:spacing w:val="-6"/>
          <w:sz w:val="27"/>
          <w:szCs w:val="27"/>
        </w:rPr>
        <w:t>系统概述</w:t>
      </w:r>
    </w:p>
    <w:p w14:paraId="2F5259DD">
      <w:pPr>
        <w:pStyle w:val="2"/>
        <w:spacing w:before="86" w:line="276" w:lineRule="auto"/>
        <w:ind w:firstLine="570"/>
        <w:jc w:val="both"/>
      </w:pPr>
      <w:r>
        <w:rPr>
          <w:spacing w:val="6"/>
        </w:rPr>
        <w:t>本条应概述本文档所适用的系统和软件的用途</w:t>
      </w:r>
      <w:r>
        <w:rPr>
          <w:spacing w:val="5"/>
        </w:rPr>
        <w:t>。它还应描述系统与软件的</w:t>
      </w:r>
      <w:r>
        <w:t xml:space="preserve"> </w:t>
      </w:r>
      <w:r>
        <w:rPr>
          <w:spacing w:val="-10"/>
        </w:rPr>
        <w:t>一般特性；概述系统开发、运行和维护的历史；标识项目的需方、用户、开发方和</w:t>
      </w:r>
      <w:r>
        <w:rPr>
          <w:spacing w:val="10"/>
        </w:rPr>
        <w:t xml:space="preserve"> </w:t>
      </w:r>
      <w:r>
        <w:rPr>
          <w:spacing w:val="-6"/>
        </w:rPr>
        <w:t>保障机构等；标识当前和计划的运行现场；列出其他有关文档。</w:t>
      </w:r>
    </w:p>
    <w:p w14:paraId="172DDFD4">
      <w:pPr>
        <w:spacing w:before="2" w:line="220" w:lineRule="auto"/>
        <w:rPr>
          <w:rFonts w:ascii="黑体" w:hAnsi="黑体" w:eastAsia="黑体" w:cs="黑体"/>
          <w:sz w:val="27"/>
          <w:szCs w:val="27"/>
        </w:rPr>
      </w:pPr>
      <w:r>
        <w:rPr>
          <w:rFonts w:ascii="黑体" w:hAnsi="黑体" w:eastAsia="黑体" w:cs="黑体"/>
          <w:spacing w:val="-3"/>
          <w:sz w:val="27"/>
          <w:szCs w:val="27"/>
        </w:rPr>
        <w:t>1.3</w:t>
      </w:r>
      <w:r>
        <w:rPr>
          <w:rFonts w:ascii="黑体" w:hAnsi="黑体" w:eastAsia="黑体" w:cs="黑体"/>
          <w:spacing w:val="22"/>
          <w:sz w:val="27"/>
          <w:szCs w:val="27"/>
        </w:rPr>
        <w:t xml:space="preserve">  </w:t>
      </w:r>
      <w:r>
        <w:rPr>
          <w:rFonts w:ascii="黑体" w:hAnsi="黑体" w:eastAsia="黑体" w:cs="黑体"/>
          <w:spacing w:val="-3"/>
          <w:sz w:val="27"/>
          <w:szCs w:val="27"/>
        </w:rPr>
        <w:t>文档概述</w:t>
      </w:r>
    </w:p>
    <w:p w14:paraId="16B2C313">
      <w:pPr>
        <w:pStyle w:val="2"/>
        <w:spacing w:before="98" w:line="277" w:lineRule="auto"/>
        <w:ind w:firstLine="570"/>
      </w:pPr>
      <w:r>
        <w:rPr>
          <w:spacing w:val="6"/>
        </w:rPr>
        <w:t>本条应概括本文档的用途和内容，并描述与它</w:t>
      </w:r>
      <w:r>
        <w:rPr>
          <w:spacing w:val="5"/>
        </w:rPr>
        <w:t>的使用有关的保密性方面的</w:t>
      </w:r>
      <w:r>
        <w:t xml:space="preserve"> </w:t>
      </w:r>
      <w:r>
        <w:rPr>
          <w:spacing w:val="-4"/>
        </w:rPr>
        <w:t>要求。</w:t>
      </w:r>
    </w:p>
    <w:p w14:paraId="2C016CA7">
      <w:pPr>
        <w:spacing w:before="1" w:line="222" w:lineRule="auto"/>
        <w:rPr>
          <w:rFonts w:ascii="黑体" w:hAnsi="黑体" w:eastAsia="黑体" w:cs="黑体"/>
          <w:sz w:val="27"/>
          <w:szCs w:val="27"/>
        </w:rPr>
      </w:pPr>
      <w:r>
        <w:rPr>
          <w:rFonts w:ascii="黑体" w:hAnsi="黑体" w:eastAsia="黑体" w:cs="黑体"/>
          <w:sz w:val="27"/>
          <w:szCs w:val="27"/>
        </w:rPr>
        <w:t>1.4</w:t>
      </w:r>
      <w:r>
        <w:rPr>
          <w:rFonts w:ascii="黑体" w:hAnsi="黑体" w:eastAsia="黑体" w:cs="黑体"/>
          <w:spacing w:val="28"/>
          <w:sz w:val="27"/>
          <w:szCs w:val="27"/>
        </w:rPr>
        <w:t xml:space="preserve">  </w:t>
      </w:r>
      <w:r>
        <w:rPr>
          <w:rFonts w:ascii="黑体" w:hAnsi="黑体" w:eastAsia="黑体" w:cs="黑体"/>
          <w:sz w:val="27"/>
          <w:szCs w:val="27"/>
        </w:rPr>
        <w:t>与其他计划之间的关系</w:t>
      </w:r>
    </w:p>
    <w:p w14:paraId="1B1611D1">
      <w:pPr>
        <w:pStyle w:val="2"/>
        <w:spacing w:before="83" w:line="219" w:lineRule="auto"/>
        <w:ind w:left="570"/>
      </w:pPr>
      <w:r>
        <w:rPr>
          <w:spacing w:val="4"/>
        </w:rPr>
        <w:t>本条应描述本计划和其他项目管理计划的关系。</w:t>
      </w:r>
    </w:p>
    <w:p w14:paraId="05F313E9">
      <w:pPr>
        <w:spacing w:before="90"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23"/>
          <w:sz w:val="27"/>
          <w:szCs w:val="27"/>
        </w:rPr>
        <w:t xml:space="preserve">  </w:t>
      </w:r>
      <w:r>
        <w:rPr>
          <w:rFonts w:ascii="黑体" w:hAnsi="黑体" w:eastAsia="黑体" w:cs="黑体"/>
          <w:sz w:val="27"/>
          <w:szCs w:val="27"/>
        </w:rPr>
        <w:t>引用文档</w:t>
      </w:r>
    </w:p>
    <w:p w14:paraId="6432D6E9">
      <w:pPr>
        <w:pStyle w:val="2"/>
        <w:spacing w:before="105" w:line="257" w:lineRule="auto"/>
        <w:ind w:right="8" w:firstLine="570"/>
      </w:pPr>
      <w:r>
        <w:rPr>
          <w:spacing w:val="-11"/>
        </w:rPr>
        <w:t>本章应列出引用文档的编号、标题、编写单位、修订版及日期，还应标识不能</w:t>
      </w:r>
      <w:r>
        <w:rPr>
          <w:spacing w:val="6"/>
        </w:rPr>
        <w:t xml:space="preserve"> </w:t>
      </w:r>
      <w:r>
        <w:rPr>
          <w:spacing w:val="3"/>
        </w:rPr>
        <w:t>通过正常采购活动得到的文档的来源。</w:t>
      </w:r>
    </w:p>
    <w:p w14:paraId="6884ED38">
      <w:pPr>
        <w:spacing w:line="368" w:lineRule="exact"/>
        <w:rPr>
          <w:rFonts w:ascii="黑体" w:hAnsi="黑体" w:eastAsia="黑体" w:cs="黑体"/>
          <w:sz w:val="27"/>
          <w:szCs w:val="27"/>
        </w:rPr>
      </w:pPr>
      <w:r>
        <w:rPr>
          <w:rFonts w:ascii="Arial" w:hAnsi="Arial" w:eastAsia="Arial" w:cs="Arial"/>
          <w:spacing w:val="2"/>
          <w:position w:val="2"/>
          <w:sz w:val="27"/>
          <w:szCs w:val="27"/>
        </w:rPr>
        <w:t>3</w:t>
      </w:r>
      <w:r>
        <w:rPr>
          <w:rFonts w:ascii="Arial" w:hAnsi="Arial" w:eastAsia="Arial" w:cs="Arial"/>
          <w:spacing w:val="15"/>
          <w:position w:val="2"/>
          <w:sz w:val="27"/>
          <w:szCs w:val="27"/>
        </w:rPr>
        <w:t xml:space="preserve">   </w:t>
      </w:r>
      <w:r>
        <w:rPr>
          <w:rFonts w:ascii="黑体" w:hAnsi="黑体" w:eastAsia="黑体" w:cs="黑体"/>
          <w:spacing w:val="2"/>
          <w:position w:val="2"/>
          <w:sz w:val="27"/>
          <w:szCs w:val="27"/>
        </w:rPr>
        <w:t>组织和职责</w:t>
      </w:r>
    </w:p>
    <w:p w14:paraId="2D421A4A">
      <w:pPr>
        <w:pStyle w:val="2"/>
        <w:spacing w:before="91" w:line="279" w:lineRule="auto"/>
        <w:ind w:right="10" w:firstLine="570"/>
        <w:jc w:val="both"/>
      </w:pPr>
      <w:r>
        <w:rPr>
          <w:spacing w:val="5"/>
        </w:rPr>
        <w:t>本条应描述软件配置管理机构的组成及各级软件配置管理机构的职责和权</w:t>
      </w:r>
      <w:r>
        <w:rPr>
          <w:spacing w:val="9"/>
        </w:rPr>
        <w:t xml:space="preserve"> </w:t>
      </w:r>
      <w:r>
        <w:rPr>
          <w:spacing w:val="-2"/>
        </w:rPr>
        <w:t>限；说明与软件配置管理相关的人员(如项目经</w:t>
      </w:r>
      <w:r>
        <w:rPr>
          <w:spacing w:val="-3"/>
        </w:rPr>
        <w:t>理、部门软件配置管理组组长)在</w:t>
      </w:r>
      <w:r>
        <w:t xml:space="preserve"> </w:t>
      </w:r>
      <w:r>
        <w:rPr>
          <w:spacing w:val="-3"/>
        </w:rPr>
        <w:t>软件配置管理中的职责；描述上述人员之间的关系。适用时，本条还应描述需方</w:t>
      </w:r>
      <w:r>
        <w:rPr>
          <w:spacing w:val="14"/>
        </w:rPr>
        <w:t xml:space="preserve"> </w:t>
      </w:r>
      <w:r>
        <w:rPr>
          <w:spacing w:val="2"/>
        </w:rPr>
        <w:t>及用户等与软件配置管理机构之间的关系。</w:t>
      </w:r>
    </w:p>
    <w:p w14:paraId="49625554">
      <w:pPr>
        <w:spacing w:before="7" w:line="222" w:lineRule="auto"/>
        <w:rPr>
          <w:rFonts w:ascii="黑体" w:hAnsi="黑体" w:eastAsia="黑体" w:cs="黑体"/>
          <w:sz w:val="27"/>
          <w:szCs w:val="27"/>
        </w:rPr>
      </w:pPr>
      <w:r>
        <w:rPr>
          <w:rFonts w:ascii="黑体" w:hAnsi="黑体" w:eastAsia="黑体" w:cs="黑体"/>
          <w:spacing w:val="4"/>
          <w:sz w:val="27"/>
          <w:szCs w:val="27"/>
        </w:rPr>
        <w:t>4  软件配置管理活动</w:t>
      </w:r>
    </w:p>
    <w:p w14:paraId="79313E4C">
      <w:pPr>
        <w:pStyle w:val="2"/>
        <w:spacing w:before="97" w:line="283" w:lineRule="auto"/>
        <w:ind w:right="6" w:firstLine="570"/>
      </w:pPr>
      <w:r>
        <w:rPr>
          <w:spacing w:val="-3"/>
        </w:rPr>
        <w:t>本章应描述配置标识、配置控制、配置状态记实、配置审核以及软件发行管</w:t>
      </w:r>
      <w:r>
        <w:rPr>
          <w:spacing w:val="2"/>
        </w:rPr>
        <w:t xml:space="preserve"> </w:t>
      </w:r>
      <w:r>
        <w:rPr>
          <w:spacing w:val="3"/>
        </w:rPr>
        <w:t>理和交付等方面的软件配置管理活动的需求。</w:t>
      </w:r>
    </w:p>
    <w:p w14:paraId="05275FCD">
      <w:pPr>
        <w:spacing w:before="12" w:line="222" w:lineRule="auto"/>
        <w:rPr>
          <w:rFonts w:ascii="黑体" w:hAnsi="黑体" w:eastAsia="黑体" w:cs="黑体"/>
          <w:sz w:val="24"/>
          <w:szCs w:val="24"/>
        </w:rPr>
      </w:pPr>
      <w:r>
        <w:rPr>
          <w:rFonts w:ascii="黑体" w:hAnsi="黑体" w:eastAsia="黑体" w:cs="黑体"/>
          <w:spacing w:val="18"/>
          <w:sz w:val="24"/>
          <w:szCs w:val="24"/>
        </w:rPr>
        <w:t>4.1</w:t>
      </w:r>
      <w:r>
        <w:rPr>
          <w:rFonts w:ascii="黑体" w:hAnsi="黑体" w:eastAsia="黑体" w:cs="黑体"/>
          <w:spacing w:val="46"/>
          <w:sz w:val="24"/>
          <w:szCs w:val="24"/>
        </w:rPr>
        <w:t xml:space="preserve">  </w:t>
      </w:r>
      <w:r>
        <w:rPr>
          <w:rFonts w:ascii="黑体" w:hAnsi="黑体" w:eastAsia="黑体" w:cs="黑体"/>
          <w:spacing w:val="18"/>
          <w:sz w:val="24"/>
          <w:szCs w:val="24"/>
        </w:rPr>
        <w:t>配置标识</w:t>
      </w:r>
    </w:p>
    <w:p w14:paraId="3D98AD27">
      <w:pPr>
        <w:pStyle w:val="2"/>
        <w:spacing w:before="101" w:line="282" w:lineRule="auto"/>
        <w:ind w:right="9" w:firstLine="570"/>
      </w:pPr>
      <w:r>
        <w:rPr>
          <w:spacing w:val="-3"/>
        </w:rPr>
        <w:t>本条应描述基线与配置项的标识方案；详细描述本项目的每一基线，包括基</w:t>
      </w:r>
      <w:r>
        <w:t xml:space="preserve"> </w:t>
      </w:r>
      <w:r>
        <w:rPr>
          <w:spacing w:val="-3"/>
        </w:rPr>
        <w:t>线的名称、基线的项目唯一的标识符、基线的内容和基线预期的建立时间等。本</w:t>
      </w:r>
    </w:p>
    <w:p w14:paraId="532E0C69">
      <w:pPr>
        <w:spacing w:line="282" w:lineRule="auto"/>
        <w:sectPr>
          <w:footerReference r:id="rId213" w:type="default"/>
          <w:pgSz w:w="11910" w:h="17130"/>
          <w:pgMar w:top="1456" w:right="1398" w:bottom="1608" w:left="1120" w:header="0" w:footer="1365" w:gutter="0"/>
          <w:cols w:space="720" w:num="1"/>
        </w:sectPr>
      </w:pPr>
    </w:p>
    <w:p w14:paraId="63693E2B">
      <w:pPr>
        <w:pStyle w:val="2"/>
        <w:spacing w:before="132" w:line="287" w:lineRule="auto"/>
        <w:ind w:right="116"/>
        <w:jc w:val="both"/>
      </w:pPr>
      <w:r>
        <w:rPr>
          <w:spacing w:val="-3"/>
        </w:rPr>
        <w:t>条还应详细描述本项目的每一软件配置项，包括配置项名称、配置项的项目唯一</w:t>
      </w:r>
      <w:r>
        <w:rPr>
          <w:spacing w:val="18"/>
        </w:rPr>
        <w:t xml:space="preserve"> </w:t>
      </w:r>
      <w:r>
        <w:rPr>
          <w:spacing w:val="14"/>
        </w:rPr>
        <w:t>的标识符及其受控时间等，若为基线软件配置项，则还应列出其</w:t>
      </w:r>
      <w:r>
        <w:rPr>
          <w:spacing w:val="13"/>
        </w:rPr>
        <w:t>所属的基线</w:t>
      </w:r>
      <w:r>
        <w:t xml:space="preserve"> </w:t>
      </w:r>
      <w:r>
        <w:rPr>
          <w:spacing w:val="-6"/>
        </w:rPr>
        <w:t>名称。</w:t>
      </w:r>
    </w:p>
    <w:p w14:paraId="7624F66E">
      <w:pPr>
        <w:spacing w:line="223" w:lineRule="auto"/>
        <w:rPr>
          <w:rFonts w:ascii="黑体" w:hAnsi="黑体" w:eastAsia="黑体" w:cs="黑体"/>
          <w:sz w:val="25"/>
          <w:szCs w:val="25"/>
        </w:rPr>
      </w:pPr>
      <w:r>
        <w:rPr>
          <w:rFonts w:ascii="黑体" w:hAnsi="黑体" w:eastAsia="黑体" w:cs="黑体"/>
          <w:spacing w:val="12"/>
          <w:sz w:val="25"/>
          <w:szCs w:val="25"/>
        </w:rPr>
        <w:t>4.2</w:t>
      </w:r>
      <w:r>
        <w:rPr>
          <w:rFonts w:ascii="黑体" w:hAnsi="黑体" w:eastAsia="黑体" w:cs="黑体"/>
          <w:spacing w:val="38"/>
          <w:sz w:val="25"/>
          <w:szCs w:val="25"/>
        </w:rPr>
        <w:t xml:space="preserve">  </w:t>
      </w:r>
      <w:r>
        <w:rPr>
          <w:rFonts w:ascii="黑体" w:hAnsi="黑体" w:eastAsia="黑体" w:cs="黑体"/>
          <w:b/>
          <w:bCs/>
          <w:spacing w:val="12"/>
          <w:sz w:val="25"/>
          <w:szCs w:val="25"/>
        </w:rPr>
        <w:t>配置控制</w:t>
      </w:r>
    </w:p>
    <w:p w14:paraId="491B98F0">
      <w:pPr>
        <w:pStyle w:val="2"/>
        <w:spacing w:before="99" w:line="219" w:lineRule="auto"/>
        <w:ind w:left="560"/>
      </w:pPr>
      <w:r>
        <w:rPr>
          <w:spacing w:val="2"/>
        </w:rPr>
        <w:t>本条应描述如下内容：</w:t>
      </w:r>
    </w:p>
    <w:p w14:paraId="2B87A444">
      <w:pPr>
        <w:pStyle w:val="2"/>
        <w:spacing w:before="70" w:line="212" w:lineRule="auto"/>
        <w:ind w:right="39"/>
        <w:jc w:val="right"/>
      </w:pPr>
      <w:r>
        <w:rPr>
          <w:rFonts w:ascii="Times New Roman" w:hAnsi="Times New Roman" w:eastAsia="Times New Roman" w:cs="Times New Roman"/>
          <w:spacing w:val="5"/>
        </w:rPr>
        <w:t xml:space="preserve">a)  </w:t>
      </w:r>
      <w:r>
        <w:rPr>
          <w:spacing w:val="5"/>
        </w:rPr>
        <w:t>在本计划所描述的软件生存周期各个阶段使用的更改批准</w:t>
      </w:r>
      <w:r>
        <w:rPr>
          <w:spacing w:val="4"/>
        </w:rPr>
        <w:t>权限的级别。</w:t>
      </w:r>
    </w:p>
    <w:p w14:paraId="6CE41840">
      <w:pPr>
        <w:pStyle w:val="2"/>
        <w:spacing w:before="92" w:line="272" w:lineRule="auto"/>
        <w:ind w:firstLine="560"/>
      </w:pPr>
      <w:r>
        <w:rPr>
          <w:rFonts w:ascii="Times New Roman" w:hAnsi="Times New Roman" w:eastAsia="Times New Roman" w:cs="Times New Roman"/>
          <w:spacing w:val="11"/>
        </w:rPr>
        <w:t>b)</w:t>
      </w:r>
      <w:r>
        <w:rPr>
          <w:rFonts w:ascii="Times New Roman" w:hAnsi="Times New Roman" w:eastAsia="Times New Roman" w:cs="Times New Roman"/>
          <w:spacing w:val="68"/>
        </w:rPr>
        <w:t xml:space="preserve"> </w:t>
      </w:r>
      <w:r>
        <w:rPr>
          <w:spacing w:val="11"/>
        </w:rPr>
        <w:t>对已有配置项的更改申请进行处理的方法，其中包括1)详细说明</w:t>
      </w:r>
      <w:r>
        <w:rPr>
          <w:spacing w:val="10"/>
        </w:rPr>
        <w:t>在本</w:t>
      </w:r>
      <w:r>
        <w:t xml:space="preserve"> </w:t>
      </w:r>
      <w:r>
        <w:rPr>
          <w:spacing w:val="5"/>
        </w:rPr>
        <w:t>计划描述的软件生存周期各个阶段提出更改申请的规程；2)描述实现已批准的</w:t>
      </w:r>
      <w:r>
        <w:rPr>
          <w:spacing w:val="14"/>
        </w:rPr>
        <w:t xml:space="preserve"> </w:t>
      </w:r>
      <w:r>
        <w:rPr>
          <w:spacing w:val="-2"/>
        </w:rPr>
        <w:t>更改申请(如源代码、目标代码和文档等的修改)的方法；3</w:t>
      </w:r>
      <w:r>
        <w:rPr>
          <w:spacing w:val="-3"/>
        </w:rPr>
        <w:t>)描述软件配置管理库</w:t>
      </w:r>
      <w:r>
        <w:t xml:space="preserve">  </w:t>
      </w:r>
      <w:r>
        <w:rPr>
          <w:spacing w:val="-7"/>
        </w:rPr>
        <w:t>控制的规程，其中包括例如库存软件控制、对于使用基线的读写保护、成员保护、</w:t>
      </w:r>
      <w:r>
        <w:rPr>
          <w:spacing w:val="15"/>
        </w:rPr>
        <w:t xml:space="preserve"> </w:t>
      </w:r>
      <w:r>
        <w:rPr>
          <w:spacing w:val="-6"/>
        </w:rPr>
        <w:t>成员标识、档案维护、修改历史以及故障恢复等规</w:t>
      </w:r>
      <w:r>
        <w:rPr>
          <w:spacing w:val="-7"/>
        </w:rPr>
        <w:t>程；4)描述配置项和基线变更、</w:t>
      </w:r>
      <w:r>
        <w:t xml:space="preserve"> </w:t>
      </w:r>
      <w:r>
        <w:rPr>
          <w:spacing w:val="3"/>
        </w:rPr>
        <w:t>发布的规程以及相应的批准权限。</w:t>
      </w:r>
    </w:p>
    <w:p w14:paraId="2B530BB9">
      <w:pPr>
        <w:pStyle w:val="2"/>
        <w:spacing w:before="79" w:line="264" w:lineRule="auto"/>
        <w:ind w:right="102" w:firstLine="560"/>
      </w:pPr>
      <w:r>
        <w:rPr>
          <w:rFonts w:ascii="Times New Roman" w:hAnsi="Times New Roman" w:eastAsia="Times New Roman" w:cs="Times New Roman"/>
          <w:spacing w:val="3"/>
        </w:rPr>
        <w:t xml:space="preserve">c)  </w:t>
      </w:r>
      <w:r>
        <w:rPr>
          <w:spacing w:val="3"/>
        </w:rPr>
        <w:t>当与不属于本软件配置管理计划适用范围的软件和项目存在接口时，本</w:t>
      </w:r>
      <w:r>
        <w:rPr>
          <w:spacing w:val="2"/>
        </w:rPr>
        <w:t xml:space="preserve"> </w:t>
      </w:r>
      <w:r>
        <w:rPr>
          <w:spacing w:val="5"/>
        </w:rPr>
        <w:t>条应描述对其进行配置控制的方法。如果这些软件的更改需要其他机构在配置</w:t>
      </w:r>
      <w:r>
        <w:rPr>
          <w:spacing w:val="8"/>
        </w:rPr>
        <w:t xml:space="preserve"> </w:t>
      </w:r>
      <w:r>
        <w:rPr>
          <w:spacing w:val="-3"/>
        </w:rPr>
        <w:t>管理组评审之前或之后进行评审，则本条应描述这些机构的组成、他们与配置管</w:t>
      </w:r>
      <w:r>
        <w:rPr>
          <w:spacing w:val="18"/>
        </w:rPr>
        <w:t xml:space="preserve"> </w:t>
      </w:r>
      <w:r>
        <w:rPr>
          <w:spacing w:val="3"/>
        </w:rPr>
        <w:t>理组的关系以及他们相互之间的关系。</w:t>
      </w:r>
    </w:p>
    <w:p w14:paraId="2743D79B">
      <w:pPr>
        <w:pStyle w:val="2"/>
        <w:spacing w:before="66" w:line="264" w:lineRule="auto"/>
        <w:ind w:right="102" w:firstLine="560"/>
      </w:pPr>
      <w:r>
        <w:rPr>
          <w:rFonts w:ascii="Times New Roman" w:hAnsi="Times New Roman" w:eastAsia="Times New Roman" w:cs="Times New Roman"/>
          <w:spacing w:val="-1"/>
        </w:rPr>
        <w:t xml:space="preserve">d)  </w:t>
      </w:r>
      <w:r>
        <w:rPr>
          <w:spacing w:val="-1"/>
        </w:rPr>
        <w:t>与特殊产品(如非交付的软件、现有软件、用户提供的</w:t>
      </w:r>
      <w:r>
        <w:rPr>
          <w:spacing w:val="-2"/>
        </w:rPr>
        <w:t>软件和内部支持软</w:t>
      </w:r>
      <w:r>
        <w:t xml:space="preserve"> </w:t>
      </w:r>
      <w:r>
        <w:rPr>
          <w:spacing w:val="3"/>
        </w:rPr>
        <w:t>件)有关的配置控制规程。</w:t>
      </w:r>
    </w:p>
    <w:p w14:paraId="3A044AB6">
      <w:pPr>
        <w:spacing w:before="103" w:line="222" w:lineRule="auto"/>
        <w:rPr>
          <w:rFonts w:ascii="黑体" w:hAnsi="黑体" w:eastAsia="黑体" w:cs="黑体"/>
          <w:sz w:val="24"/>
          <w:szCs w:val="24"/>
        </w:rPr>
      </w:pPr>
      <w:r>
        <w:rPr>
          <w:rFonts w:ascii="黑体" w:hAnsi="黑体" w:eastAsia="黑体" w:cs="黑体"/>
          <w:spacing w:val="21"/>
          <w:sz w:val="24"/>
          <w:szCs w:val="24"/>
        </w:rPr>
        <w:t>4.3</w:t>
      </w:r>
      <w:r>
        <w:rPr>
          <w:rFonts w:ascii="黑体" w:hAnsi="黑体" w:eastAsia="黑体" w:cs="黑体"/>
          <w:spacing w:val="48"/>
          <w:sz w:val="24"/>
          <w:szCs w:val="24"/>
        </w:rPr>
        <w:t xml:space="preserve">  </w:t>
      </w:r>
      <w:r>
        <w:rPr>
          <w:rFonts w:ascii="黑体" w:hAnsi="黑体" w:eastAsia="黑体" w:cs="黑体"/>
          <w:b/>
          <w:bCs/>
          <w:spacing w:val="21"/>
          <w:sz w:val="24"/>
          <w:szCs w:val="24"/>
        </w:rPr>
        <w:t>配置状态记实</w:t>
      </w:r>
    </w:p>
    <w:p w14:paraId="602B413A">
      <w:pPr>
        <w:pStyle w:val="2"/>
        <w:spacing w:before="96" w:line="219" w:lineRule="auto"/>
        <w:ind w:left="560"/>
      </w:pPr>
      <w:r>
        <w:rPr>
          <w:spacing w:val="-3"/>
        </w:rPr>
        <w:t>本条应：</w:t>
      </w:r>
    </w:p>
    <w:p w14:paraId="04A8BC60">
      <w:pPr>
        <w:pStyle w:val="2"/>
        <w:spacing w:before="71" w:line="212" w:lineRule="auto"/>
        <w:ind w:left="560"/>
      </w:pPr>
      <w:r>
        <w:rPr>
          <w:rFonts w:ascii="Times New Roman" w:hAnsi="Times New Roman" w:eastAsia="Times New Roman" w:cs="Times New Roman"/>
          <w:spacing w:val="-8"/>
        </w:rPr>
        <w:t xml:space="preserve">a)  </w:t>
      </w:r>
      <w:r>
        <w:rPr>
          <w:spacing w:val="-8"/>
        </w:rPr>
        <w:t>描述对配置项状态信息收集、验证、存储、处理和报告等方法；</w:t>
      </w:r>
    </w:p>
    <w:p w14:paraId="64679549">
      <w:pPr>
        <w:pStyle w:val="2"/>
        <w:spacing w:before="90"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55"/>
          <w:w w:val="101"/>
        </w:rPr>
        <w:t xml:space="preserve"> </w:t>
      </w:r>
      <w:r>
        <w:rPr>
          <w:spacing w:val="4"/>
        </w:rPr>
        <w:t>描述应定期提供的报告及其分发方法；</w:t>
      </w:r>
    </w:p>
    <w:p w14:paraId="300FC763">
      <w:pPr>
        <w:pStyle w:val="2"/>
        <w:spacing w:before="100"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9"/>
        </w:rPr>
        <w:t xml:space="preserve"> </w:t>
      </w:r>
      <w:r>
        <w:rPr>
          <w:spacing w:val="-3"/>
        </w:rPr>
        <w:t>适用时，描述所提供的动态查询的能力；</w:t>
      </w:r>
    </w:p>
    <w:p w14:paraId="550CCC32">
      <w:pPr>
        <w:pStyle w:val="2"/>
        <w:spacing w:before="132" w:line="212" w:lineRule="auto"/>
        <w:ind w:left="560"/>
        <w:rPr>
          <w:sz w:val="25"/>
          <w:szCs w:val="25"/>
        </w:rPr>
      </w:pPr>
      <w:r>
        <w:rPr>
          <w:rFonts w:ascii="Times New Roman" w:hAnsi="Times New Roman" w:eastAsia="Times New Roman" w:cs="Times New Roman"/>
          <w:spacing w:val="13"/>
          <w:sz w:val="25"/>
          <w:szCs w:val="25"/>
        </w:rPr>
        <w:t xml:space="preserve">d)  </w:t>
      </w:r>
      <w:r>
        <w:rPr>
          <w:spacing w:val="13"/>
          <w:sz w:val="25"/>
          <w:szCs w:val="25"/>
        </w:rPr>
        <w:t>适用时，记录用户说明的特殊状态，同时描述其实现手段。</w:t>
      </w:r>
    </w:p>
    <w:p w14:paraId="3EBFEB62">
      <w:pPr>
        <w:spacing w:before="127" w:line="222" w:lineRule="auto"/>
        <w:rPr>
          <w:rFonts w:ascii="黑体" w:hAnsi="黑体" w:eastAsia="黑体" w:cs="黑体"/>
          <w:sz w:val="25"/>
          <w:szCs w:val="25"/>
        </w:rPr>
      </w:pPr>
      <w:r>
        <w:rPr>
          <w:rFonts w:ascii="黑体" w:hAnsi="黑体" w:eastAsia="黑体" w:cs="黑体"/>
          <w:spacing w:val="14"/>
          <w:sz w:val="25"/>
          <w:szCs w:val="25"/>
        </w:rPr>
        <w:t>4.4</w:t>
      </w:r>
      <w:r>
        <w:rPr>
          <w:rFonts w:ascii="黑体" w:hAnsi="黑体" w:eastAsia="黑体" w:cs="黑体"/>
          <w:spacing w:val="35"/>
          <w:sz w:val="25"/>
          <w:szCs w:val="25"/>
        </w:rPr>
        <w:t xml:space="preserve">  </w:t>
      </w:r>
      <w:r>
        <w:rPr>
          <w:rFonts w:ascii="黑体" w:hAnsi="黑体" w:eastAsia="黑体" w:cs="黑体"/>
          <w:b/>
          <w:bCs/>
          <w:spacing w:val="14"/>
          <w:sz w:val="25"/>
          <w:szCs w:val="25"/>
        </w:rPr>
        <w:t>配置审核</w:t>
      </w:r>
    </w:p>
    <w:p w14:paraId="0D8C6956">
      <w:pPr>
        <w:pStyle w:val="2"/>
        <w:spacing w:before="92" w:line="219" w:lineRule="auto"/>
        <w:ind w:left="560"/>
      </w:pPr>
      <w:r>
        <w:rPr>
          <w:spacing w:val="-1"/>
        </w:rPr>
        <w:t>本条应描述：</w:t>
      </w:r>
    </w:p>
    <w:p w14:paraId="0DB81E8A">
      <w:pPr>
        <w:pStyle w:val="2"/>
        <w:spacing w:before="71" w:line="212" w:lineRule="auto"/>
        <w:ind w:left="560"/>
      </w:pPr>
      <w:r>
        <w:rPr>
          <w:rFonts w:ascii="Times New Roman" w:hAnsi="Times New Roman" w:eastAsia="Times New Roman" w:cs="Times New Roman"/>
          <w:spacing w:val="4"/>
        </w:rPr>
        <w:t xml:space="preserve">a)  </w:t>
      </w:r>
      <w:r>
        <w:rPr>
          <w:spacing w:val="4"/>
        </w:rPr>
        <w:t>在本项目软件生存周期的特定点上要进行的软件配置审核；</w:t>
      </w:r>
    </w:p>
    <w:p w14:paraId="2B2E9869">
      <w:pPr>
        <w:pStyle w:val="2"/>
        <w:spacing w:before="100"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73"/>
        </w:rPr>
        <w:t xml:space="preserve"> </w:t>
      </w:r>
      <w:r>
        <w:rPr>
          <w:spacing w:val="3"/>
        </w:rPr>
        <w:t>每次审核所包含的软件配置项；</w:t>
      </w:r>
    </w:p>
    <w:p w14:paraId="4D2C4E82">
      <w:pPr>
        <w:pStyle w:val="2"/>
        <w:spacing w:before="10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74"/>
        </w:rPr>
        <w:t xml:space="preserve"> </w:t>
      </w:r>
      <w:r>
        <w:rPr>
          <w:spacing w:val="4"/>
        </w:rPr>
        <w:t>标识和解决在配置审核期间发现的问题的规程。</w:t>
      </w:r>
    </w:p>
    <w:p w14:paraId="5484ADD0">
      <w:pPr>
        <w:spacing w:before="114"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b/>
          <w:bCs/>
          <w:spacing w:val="1"/>
          <w:sz w:val="27"/>
          <w:szCs w:val="27"/>
        </w:rPr>
        <w:t>5</w:t>
      </w:r>
      <w:r>
        <w:rPr>
          <w:rFonts w:ascii="黑体" w:hAnsi="黑体" w:eastAsia="黑体" w:cs="黑体"/>
          <w:spacing w:val="1"/>
          <w:sz w:val="27"/>
          <w:szCs w:val="27"/>
        </w:rPr>
        <w:t xml:space="preserve">  </w:t>
      </w:r>
      <w:r>
        <w:rPr>
          <w:rFonts w:ascii="黑体" w:hAnsi="黑体" w:eastAsia="黑体" w:cs="黑体"/>
          <w:b/>
          <w:bCs/>
          <w:spacing w:val="1"/>
          <w:sz w:val="27"/>
          <w:szCs w:val="27"/>
        </w:rPr>
        <w:t>软件发行管理和交付</w:t>
      </w:r>
    </w:p>
    <w:p w14:paraId="6FD05E55">
      <w:pPr>
        <w:pStyle w:val="2"/>
        <w:spacing w:before="92" w:line="219" w:lineRule="auto"/>
        <w:ind w:left="560"/>
      </w:pPr>
      <w:r>
        <w:rPr>
          <w:spacing w:val="-1"/>
        </w:rPr>
        <w:t>本条应描述：</w:t>
      </w:r>
    </w:p>
    <w:p w14:paraId="0641DBF6">
      <w:pPr>
        <w:pStyle w:val="2"/>
        <w:spacing w:before="70" w:line="212" w:lineRule="auto"/>
        <w:ind w:left="560"/>
      </w:pPr>
      <w:r>
        <w:rPr>
          <w:rFonts w:ascii="Times New Roman" w:hAnsi="Times New Roman" w:eastAsia="Times New Roman" w:cs="Times New Roman"/>
          <w:spacing w:val="3"/>
        </w:rPr>
        <w:t xml:space="preserve">a)  </w:t>
      </w:r>
      <w:r>
        <w:rPr>
          <w:spacing w:val="3"/>
        </w:rPr>
        <w:t>控制有关软件发行管理和交付的规程和方法；</w:t>
      </w:r>
    </w:p>
    <w:p w14:paraId="143F63DA">
      <w:pPr>
        <w:pStyle w:val="2"/>
        <w:spacing w:before="101"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74"/>
        </w:rPr>
        <w:t xml:space="preserve"> </w:t>
      </w:r>
      <w:r>
        <w:rPr>
          <w:spacing w:val="3"/>
        </w:rPr>
        <w:t>确保软件配置项完整性的规程和方法；</w:t>
      </w:r>
    </w:p>
    <w:p w14:paraId="1BF77C1A">
      <w:pPr>
        <w:pStyle w:val="2"/>
        <w:spacing w:before="99"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77"/>
          <w:w w:val="101"/>
        </w:rPr>
        <w:t xml:space="preserve"> </w:t>
      </w:r>
      <w:r>
        <w:rPr>
          <w:spacing w:val="3"/>
        </w:rPr>
        <w:t>确保一致且完整地复制软件产品的规程和方法；</w:t>
      </w:r>
    </w:p>
    <w:p w14:paraId="4D6F236B">
      <w:pPr>
        <w:spacing w:line="212" w:lineRule="auto"/>
        <w:sectPr>
          <w:footerReference r:id="rId214" w:type="default"/>
          <w:pgSz w:w="11910" w:h="17130"/>
          <w:pgMar w:top="1456" w:right="1075" w:bottom="1483" w:left="1349" w:header="0" w:footer="1285" w:gutter="0"/>
          <w:cols w:space="720" w:num="1"/>
        </w:sectPr>
      </w:pPr>
    </w:p>
    <w:p w14:paraId="5804356F">
      <w:pPr>
        <w:pStyle w:val="2"/>
        <w:spacing w:before="164" w:line="212" w:lineRule="auto"/>
        <w:ind w:left="570"/>
      </w:pPr>
      <w:r>
        <w:rPr>
          <w:rFonts w:ascii="Times New Roman" w:hAnsi="Times New Roman" w:eastAsia="Times New Roman" w:cs="Times New Roman"/>
          <w:spacing w:val="4"/>
        </w:rPr>
        <w:t xml:space="preserve">d)  </w:t>
      </w:r>
      <w:r>
        <w:rPr>
          <w:spacing w:val="4"/>
        </w:rPr>
        <w:t>按规定要求进行交付的规程和方法。</w:t>
      </w:r>
    </w:p>
    <w:p w14:paraId="73333DC4">
      <w:pPr>
        <w:spacing w:before="143" w:line="221" w:lineRule="auto"/>
        <w:rPr>
          <w:rFonts w:ascii="黑体" w:hAnsi="黑体" w:eastAsia="黑体" w:cs="黑体"/>
          <w:sz w:val="24"/>
          <w:szCs w:val="24"/>
        </w:rPr>
      </w:pPr>
      <w:r>
        <w:rPr>
          <w:rFonts w:ascii="黑体" w:hAnsi="黑体" w:eastAsia="黑体" w:cs="黑体"/>
          <w:spacing w:val="12"/>
          <w:sz w:val="24"/>
          <w:szCs w:val="24"/>
        </w:rPr>
        <w:t>5</w:t>
      </w:r>
      <w:r>
        <w:rPr>
          <w:rFonts w:ascii="黑体" w:hAnsi="黑体" w:eastAsia="黑体" w:cs="黑体"/>
          <w:spacing w:val="34"/>
          <w:sz w:val="24"/>
          <w:szCs w:val="24"/>
        </w:rPr>
        <w:t xml:space="preserve">  </w:t>
      </w:r>
      <w:r>
        <w:rPr>
          <w:rFonts w:ascii="黑体" w:hAnsi="黑体" w:eastAsia="黑体" w:cs="黑体"/>
          <w:b/>
          <w:bCs/>
          <w:spacing w:val="12"/>
          <w:sz w:val="24"/>
          <w:szCs w:val="24"/>
        </w:rPr>
        <w:t>工具、技术和方法</w:t>
      </w:r>
    </w:p>
    <w:p w14:paraId="7AB6AA82">
      <w:pPr>
        <w:pStyle w:val="2"/>
        <w:spacing w:before="97" w:line="276" w:lineRule="auto"/>
        <w:ind w:right="25" w:firstLine="570"/>
      </w:pPr>
      <w:r>
        <w:rPr>
          <w:spacing w:val="5"/>
        </w:rPr>
        <w:t>本章应描述为支持特定项目的软件配置管理所使用的软件工具、技术和方</w:t>
      </w:r>
      <w:r>
        <w:rPr>
          <w:spacing w:val="9"/>
        </w:rPr>
        <w:t xml:space="preserve"> </w:t>
      </w:r>
      <w:r>
        <w:rPr>
          <w:spacing w:val="-6"/>
        </w:rPr>
        <w:t>法，指明它们的用途，并在开发者权限的范围内描述其用法。</w:t>
      </w:r>
    </w:p>
    <w:p w14:paraId="2B706034">
      <w:pPr>
        <w:spacing w:line="221" w:lineRule="auto"/>
        <w:outlineLvl w:val="3"/>
        <w:rPr>
          <w:rFonts w:ascii="黑体" w:hAnsi="黑体" w:eastAsia="黑体" w:cs="黑体"/>
          <w:sz w:val="27"/>
          <w:szCs w:val="27"/>
        </w:rPr>
      </w:pPr>
      <w:r>
        <w:rPr>
          <w:rFonts w:ascii="Arial" w:hAnsi="Arial" w:eastAsia="Arial" w:cs="Arial"/>
          <w:b/>
          <w:bCs/>
          <w:sz w:val="27"/>
          <w:szCs w:val="27"/>
        </w:rPr>
        <w:t>6</w:t>
      </w:r>
      <w:r>
        <w:rPr>
          <w:rFonts w:ascii="Arial" w:hAnsi="Arial" w:eastAsia="Arial" w:cs="Arial"/>
          <w:b/>
          <w:bCs/>
          <w:spacing w:val="20"/>
          <w:sz w:val="27"/>
          <w:szCs w:val="27"/>
        </w:rPr>
        <w:t xml:space="preserve">   </w:t>
      </w:r>
      <w:r>
        <w:rPr>
          <w:rFonts w:ascii="黑体" w:hAnsi="黑体" w:eastAsia="黑体" w:cs="黑体"/>
          <w:b/>
          <w:bCs/>
          <w:sz w:val="27"/>
          <w:szCs w:val="27"/>
        </w:rPr>
        <w:t>对供货单位的控制</w:t>
      </w:r>
    </w:p>
    <w:p w14:paraId="7F8DC706">
      <w:pPr>
        <w:pStyle w:val="2"/>
        <w:spacing w:before="82" w:line="279" w:lineRule="auto"/>
        <w:ind w:right="5" w:firstLine="570"/>
        <w:jc w:val="both"/>
      </w:pPr>
      <w:r>
        <w:rPr>
          <w:spacing w:val="6"/>
        </w:rPr>
        <w:t>供货单位包括软件销售单位或软件分承制方。本章应描述对这些供</w:t>
      </w:r>
      <w:r>
        <w:rPr>
          <w:spacing w:val="5"/>
        </w:rPr>
        <w:t>货单位</w:t>
      </w:r>
      <w:r>
        <w:t xml:space="preserve"> </w:t>
      </w:r>
      <w:r>
        <w:rPr>
          <w:spacing w:val="2"/>
        </w:rPr>
        <w:t>将提供软件的配置进行控制的管理规程，从而保证所获取的软件(包括</w:t>
      </w:r>
      <w:r>
        <w:rPr>
          <w:spacing w:val="1"/>
        </w:rPr>
        <w:t>可重用软</w:t>
      </w:r>
      <w:r>
        <w:t xml:space="preserve"> </w:t>
      </w:r>
      <w:r>
        <w:rPr>
          <w:spacing w:val="9"/>
        </w:rPr>
        <w:t>件)能满足规定的软件配置管理需求。管理规程应该规定在本计划的执行范围</w:t>
      </w:r>
      <w:r>
        <w:rPr>
          <w:spacing w:val="3"/>
        </w:rPr>
        <w:t xml:space="preserve"> </w:t>
      </w:r>
      <w:r>
        <w:rPr>
          <w:spacing w:val="5"/>
        </w:rPr>
        <w:t>内控制供货单位的方法；还应解释用于确定供货单位</w:t>
      </w:r>
      <w:r>
        <w:rPr>
          <w:spacing w:val="4"/>
        </w:rPr>
        <w:t>的软件配置管理能力的方</w:t>
      </w:r>
      <w:r>
        <w:t xml:space="preserve"> </w:t>
      </w:r>
      <w:r>
        <w:rPr>
          <w:spacing w:val="3"/>
        </w:rPr>
        <w:t>法以及监督他们遵循本软件配置管理计划需求的方法。</w:t>
      </w:r>
    </w:p>
    <w:p w14:paraId="699D6518">
      <w:pPr>
        <w:spacing w:before="12" w:line="222" w:lineRule="auto"/>
        <w:rPr>
          <w:rFonts w:ascii="黑体" w:hAnsi="黑体" w:eastAsia="黑体" w:cs="黑体"/>
          <w:sz w:val="25"/>
          <w:szCs w:val="25"/>
        </w:rPr>
      </w:pPr>
      <w:r>
        <w:rPr>
          <w:rFonts w:ascii="黑体" w:hAnsi="黑体" w:eastAsia="黑体" w:cs="黑体"/>
          <w:spacing w:val="10"/>
          <w:sz w:val="25"/>
          <w:szCs w:val="25"/>
        </w:rPr>
        <w:t>7</w:t>
      </w:r>
      <w:r>
        <w:rPr>
          <w:rFonts w:ascii="黑体" w:hAnsi="黑体" w:eastAsia="黑体" w:cs="黑体"/>
          <w:spacing w:val="31"/>
          <w:sz w:val="25"/>
          <w:szCs w:val="25"/>
        </w:rPr>
        <w:t xml:space="preserve">  </w:t>
      </w:r>
      <w:r>
        <w:rPr>
          <w:rFonts w:ascii="黑体" w:hAnsi="黑体" w:eastAsia="黑体" w:cs="黑体"/>
          <w:b/>
          <w:bCs/>
          <w:spacing w:val="10"/>
          <w:sz w:val="25"/>
          <w:szCs w:val="25"/>
        </w:rPr>
        <w:t>进度表</w:t>
      </w:r>
    </w:p>
    <w:p w14:paraId="7FB4D8F8">
      <w:pPr>
        <w:pStyle w:val="2"/>
        <w:spacing w:before="95" w:line="284" w:lineRule="auto"/>
        <w:ind w:right="26" w:firstLine="570"/>
      </w:pPr>
      <w:r>
        <w:rPr>
          <w:spacing w:val="5"/>
        </w:rPr>
        <w:t>本章应描述软件配置管理活动日程，应保证与本项目的开发计划和质量保</w:t>
      </w:r>
      <w:r>
        <w:rPr>
          <w:spacing w:val="8"/>
        </w:rPr>
        <w:t xml:space="preserve"> </w:t>
      </w:r>
      <w:r>
        <w:rPr>
          <w:spacing w:val="2"/>
        </w:rPr>
        <w:t>证计划一致。</w:t>
      </w:r>
    </w:p>
    <w:p w14:paraId="062A4107">
      <w:pPr>
        <w:spacing w:before="14" w:line="222" w:lineRule="auto"/>
        <w:rPr>
          <w:rFonts w:ascii="黑体" w:hAnsi="黑体" w:eastAsia="黑体" w:cs="黑体"/>
          <w:sz w:val="24"/>
          <w:szCs w:val="24"/>
        </w:rPr>
      </w:pPr>
      <w:r>
        <w:rPr>
          <w:rFonts w:ascii="黑体" w:hAnsi="黑体" w:eastAsia="黑体" w:cs="黑体"/>
          <w:spacing w:val="10"/>
          <w:sz w:val="24"/>
          <w:szCs w:val="24"/>
        </w:rPr>
        <w:t>8</w:t>
      </w:r>
      <w:r>
        <w:rPr>
          <w:rFonts w:ascii="黑体" w:hAnsi="黑体" w:eastAsia="黑体" w:cs="黑体"/>
          <w:spacing w:val="34"/>
          <w:sz w:val="24"/>
          <w:szCs w:val="24"/>
        </w:rPr>
        <w:t xml:space="preserve">  </w:t>
      </w:r>
      <w:r>
        <w:rPr>
          <w:rFonts w:ascii="黑体" w:hAnsi="黑体" w:eastAsia="黑体" w:cs="黑体"/>
          <w:b/>
          <w:bCs/>
          <w:spacing w:val="10"/>
          <w:sz w:val="24"/>
          <w:szCs w:val="24"/>
        </w:rPr>
        <w:t>注释</w:t>
      </w:r>
    </w:p>
    <w:p w14:paraId="17A59C10">
      <w:pPr>
        <w:pStyle w:val="2"/>
        <w:spacing w:before="96" w:line="219" w:lineRule="auto"/>
        <w:ind w:right="47"/>
        <w:jc w:val="right"/>
      </w:pPr>
      <w:r>
        <w:rPr>
          <w:spacing w:val="-4"/>
        </w:rPr>
        <w:t>本章应包括有助于了解文档的所有信息(例如背景、术语、缩略语或公式)。</w:t>
      </w:r>
    </w:p>
    <w:p w14:paraId="7F84FF70">
      <w:pPr>
        <w:spacing w:line="321" w:lineRule="auto"/>
        <w:rPr>
          <w:rFonts w:ascii="Arial"/>
          <w:sz w:val="21"/>
        </w:rPr>
      </w:pPr>
    </w:p>
    <w:p w14:paraId="6D455562">
      <w:pPr>
        <w:pStyle w:val="2"/>
        <w:spacing w:before="117" w:line="219" w:lineRule="auto"/>
        <w:ind w:left="2810"/>
        <w:rPr>
          <w:sz w:val="36"/>
          <w:szCs w:val="36"/>
        </w:rPr>
      </w:pPr>
      <w:r>
        <w:rPr>
          <w:spacing w:val="1"/>
          <w:sz w:val="36"/>
          <w:szCs w:val="36"/>
        </w:rPr>
        <w:t xml:space="preserve">2.9  </w:t>
      </w:r>
      <w:r>
        <w:rPr>
          <w:b/>
          <w:bCs/>
          <w:spacing w:val="1"/>
          <w:sz w:val="36"/>
          <w:szCs w:val="36"/>
        </w:rPr>
        <w:t>软件质量保证计划</w:t>
      </w:r>
    </w:p>
    <w:p w14:paraId="437BE10D">
      <w:pPr>
        <w:spacing w:line="389" w:lineRule="auto"/>
        <w:rPr>
          <w:rFonts w:ascii="Arial"/>
          <w:sz w:val="21"/>
        </w:rPr>
      </w:pPr>
    </w:p>
    <w:p w14:paraId="07A8AFEB">
      <w:pPr>
        <w:pStyle w:val="2"/>
        <w:spacing w:before="79" w:line="225" w:lineRule="auto"/>
        <w:ind w:left="570"/>
        <w:rPr>
          <w:rFonts w:ascii="楷体" w:hAnsi="楷体" w:eastAsia="楷体" w:cs="楷体"/>
          <w:sz w:val="24"/>
          <w:szCs w:val="24"/>
        </w:rPr>
      </w:pPr>
      <w:r>
        <w:rPr>
          <w:rFonts w:ascii="楷体" w:hAnsi="楷体" w:eastAsia="楷体" w:cs="楷体"/>
          <w:spacing w:val="13"/>
          <w:sz w:val="24"/>
          <w:szCs w:val="24"/>
        </w:rPr>
        <w:t>按</w:t>
      </w:r>
      <w:r>
        <w:rPr>
          <w:rFonts w:ascii="楷体" w:hAnsi="楷体" w:eastAsia="楷体" w:cs="楷体"/>
          <w:spacing w:val="-24"/>
          <w:sz w:val="24"/>
          <w:szCs w:val="24"/>
        </w:rPr>
        <w:t xml:space="preserve"> </w:t>
      </w:r>
      <w:r>
        <w:rPr>
          <w:rFonts w:ascii="楷体" w:hAnsi="楷体" w:eastAsia="楷体" w:cs="楷体"/>
          <w:spacing w:val="1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 xml:space="preserve">    438B—2009</w:t>
      </w:r>
      <w:r>
        <w:rPr>
          <w:spacing w:val="13"/>
          <w:sz w:val="24"/>
          <w:szCs w:val="24"/>
        </w:rPr>
        <w:t>《</w:t>
      </w:r>
      <w:r>
        <w:rPr>
          <w:rFonts w:ascii="楷体" w:hAnsi="楷体" w:eastAsia="楷体" w:cs="楷体"/>
          <w:spacing w:val="13"/>
          <w:sz w:val="24"/>
          <w:szCs w:val="24"/>
        </w:rPr>
        <w:t>军用软件开发文档通用要求》编写。</w:t>
      </w:r>
    </w:p>
    <w:p w14:paraId="760561E7">
      <w:pPr>
        <w:spacing w:before="78"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7629D6A7">
      <w:pPr>
        <w:spacing w:before="93" w:line="222" w:lineRule="auto"/>
        <w:rPr>
          <w:rFonts w:ascii="黑体" w:hAnsi="黑体" w:eastAsia="黑体" w:cs="黑体"/>
          <w:sz w:val="25"/>
          <w:szCs w:val="25"/>
        </w:rPr>
      </w:pPr>
      <w:r>
        <w:rPr>
          <w:rFonts w:ascii="黑体" w:hAnsi="黑体" w:eastAsia="黑体" w:cs="黑体"/>
          <w:spacing w:val="3"/>
          <w:sz w:val="25"/>
          <w:szCs w:val="25"/>
        </w:rPr>
        <w:t>1.1</w:t>
      </w:r>
      <w:r>
        <w:rPr>
          <w:rFonts w:ascii="黑体" w:hAnsi="黑体" w:eastAsia="黑体" w:cs="黑体"/>
          <w:spacing w:val="2"/>
          <w:sz w:val="25"/>
          <w:szCs w:val="25"/>
        </w:rPr>
        <w:t xml:space="preserve">   </w:t>
      </w:r>
      <w:r>
        <w:rPr>
          <w:rFonts w:ascii="黑体" w:hAnsi="黑体" w:eastAsia="黑体" w:cs="黑体"/>
          <w:b/>
          <w:bCs/>
          <w:spacing w:val="3"/>
          <w:sz w:val="25"/>
          <w:szCs w:val="25"/>
        </w:rPr>
        <w:t>标识</w:t>
      </w:r>
    </w:p>
    <w:p w14:paraId="14DBB3E1">
      <w:pPr>
        <w:pStyle w:val="2"/>
        <w:spacing w:before="103" w:line="275" w:lineRule="auto"/>
        <w:ind w:firstLine="570"/>
      </w:pPr>
      <w:r>
        <w:rPr>
          <w:spacing w:val="6"/>
        </w:rPr>
        <w:t>本条应描述本文档所适用的系统和软件的完整标识，适用时，包括其标识</w:t>
      </w:r>
      <w:r>
        <w:rPr>
          <w:spacing w:val="3"/>
        </w:rPr>
        <w:t xml:space="preserve"> </w:t>
      </w:r>
      <w:r>
        <w:rPr>
          <w:spacing w:val="-20"/>
        </w:rPr>
        <w:t>号、标题、缩略名、版本号和发行号。</w:t>
      </w:r>
    </w:p>
    <w:p w14:paraId="4FB27B39">
      <w:pPr>
        <w:spacing w:before="10" w:line="221"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31"/>
          <w:sz w:val="27"/>
          <w:szCs w:val="27"/>
        </w:rPr>
        <w:t xml:space="preserve">  </w:t>
      </w:r>
      <w:r>
        <w:rPr>
          <w:rFonts w:ascii="黑体" w:hAnsi="黑体" w:eastAsia="黑体" w:cs="黑体"/>
          <w:b/>
          <w:bCs/>
          <w:spacing w:val="-7"/>
          <w:sz w:val="27"/>
          <w:szCs w:val="27"/>
        </w:rPr>
        <w:t>系统概述</w:t>
      </w:r>
    </w:p>
    <w:p w14:paraId="15CF85C0">
      <w:pPr>
        <w:pStyle w:val="2"/>
        <w:spacing w:before="80" w:line="282" w:lineRule="auto"/>
        <w:ind w:right="14" w:firstLine="570"/>
        <w:jc w:val="both"/>
      </w:pPr>
      <w:r>
        <w:rPr>
          <w:spacing w:val="6"/>
        </w:rPr>
        <w:t>本条应概述本文档所适用的系统和软件的用途</w:t>
      </w:r>
      <w:r>
        <w:rPr>
          <w:spacing w:val="5"/>
        </w:rPr>
        <w:t>。它还应描述系统与软件的</w:t>
      </w:r>
      <w:r>
        <w:t xml:space="preserve"> </w:t>
      </w:r>
      <w:r>
        <w:rPr>
          <w:spacing w:val="-10"/>
        </w:rPr>
        <w:t>一般特性；概述系统开发、运行和维护的历史；标识项目的</w:t>
      </w:r>
      <w:r>
        <w:rPr>
          <w:spacing w:val="-11"/>
        </w:rPr>
        <w:t>需方、用户、开发方和</w:t>
      </w:r>
      <w:r>
        <w:t xml:space="preserve"> </w:t>
      </w:r>
      <w:r>
        <w:rPr>
          <w:spacing w:val="-6"/>
        </w:rPr>
        <w:t>保障机构等；标识当前和计划的运行现场；列出其他有关文档。</w:t>
      </w:r>
    </w:p>
    <w:p w14:paraId="0BCB83F8">
      <w:pPr>
        <w:spacing w:before="1" w:line="220" w:lineRule="auto"/>
        <w:rPr>
          <w:rFonts w:ascii="黑体" w:hAnsi="黑体" w:eastAsia="黑体" w:cs="黑体"/>
          <w:sz w:val="27"/>
          <w:szCs w:val="27"/>
        </w:rPr>
      </w:pPr>
      <w:r>
        <w:rPr>
          <w:rFonts w:ascii="黑体" w:hAnsi="黑体" w:eastAsia="黑体" w:cs="黑体"/>
          <w:spacing w:val="-7"/>
          <w:sz w:val="27"/>
          <w:szCs w:val="27"/>
        </w:rPr>
        <w:t>1.3</w:t>
      </w:r>
      <w:r>
        <w:rPr>
          <w:rFonts w:ascii="黑体" w:hAnsi="黑体" w:eastAsia="黑体" w:cs="黑体"/>
          <w:spacing w:val="42"/>
          <w:sz w:val="27"/>
          <w:szCs w:val="27"/>
        </w:rPr>
        <w:t xml:space="preserve">  </w:t>
      </w:r>
      <w:r>
        <w:rPr>
          <w:rFonts w:ascii="黑体" w:hAnsi="黑体" w:eastAsia="黑体" w:cs="黑体"/>
          <w:b/>
          <w:bCs/>
          <w:spacing w:val="-7"/>
          <w:sz w:val="27"/>
          <w:szCs w:val="27"/>
        </w:rPr>
        <w:t>文档概述</w:t>
      </w:r>
    </w:p>
    <w:p w14:paraId="2E84D286">
      <w:pPr>
        <w:pStyle w:val="2"/>
        <w:spacing w:before="102" w:line="298" w:lineRule="auto"/>
        <w:ind w:right="16" w:firstLine="570"/>
        <w:rPr>
          <w:sz w:val="25"/>
          <w:szCs w:val="25"/>
        </w:rPr>
      </w:pPr>
      <w:r>
        <w:rPr>
          <w:spacing w:val="25"/>
          <w:sz w:val="25"/>
          <w:szCs w:val="25"/>
        </w:rPr>
        <w:t>本条应概述本文档的用途和内容，并描述与它的使用有关的保密性方面的</w:t>
      </w:r>
      <w:r>
        <w:rPr>
          <w:spacing w:val="18"/>
          <w:sz w:val="25"/>
          <w:szCs w:val="25"/>
        </w:rPr>
        <w:t xml:space="preserve"> </w:t>
      </w:r>
      <w:r>
        <w:rPr>
          <w:spacing w:val="8"/>
          <w:sz w:val="25"/>
          <w:szCs w:val="25"/>
        </w:rPr>
        <w:t>要求。</w:t>
      </w:r>
    </w:p>
    <w:p w14:paraId="1F697EE4">
      <w:pPr>
        <w:spacing w:line="222" w:lineRule="auto"/>
        <w:rPr>
          <w:rFonts w:ascii="黑体" w:hAnsi="黑体" w:eastAsia="黑体" w:cs="黑体"/>
          <w:sz w:val="27"/>
          <w:szCs w:val="27"/>
        </w:rPr>
      </w:pPr>
      <w:r>
        <w:rPr>
          <w:rFonts w:ascii="黑体" w:hAnsi="黑体" w:eastAsia="黑体" w:cs="黑体"/>
          <w:sz w:val="27"/>
          <w:szCs w:val="27"/>
        </w:rPr>
        <w:t>1.4</w:t>
      </w:r>
      <w:r>
        <w:rPr>
          <w:rFonts w:ascii="黑体" w:hAnsi="黑体" w:eastAsia="黑体" w:cs="黑体"/>
          <w:spacing w:val="42"/>
          <w:sz w:val="27"/>
          <w:szCs w:val="27"/>
        </w:rPr>
        <w:t xml:space="preserve">  </w:t>
      </w:r>
      <w:r>
        <w:rPr>
          <w:rFonts w:ascii="黑体" w:hAnsi="黑体" w:eastAsia="黑体" w:cs="黑体"/>
          <w:b/>
          <w:bCs/>
          <w:sz w:val="27"/>
          <w:szCs w:val="27"/>
        </w:rPr>
        <w:t>与其他计划之间的关系</w:t>
      </w:r>
    </w:p>
    <w:p w14:paraId="382AFCB6">
      <w:pPr>
        <w:pStyle w:val="2"/>
        <w:spacing w:before="97" w:line="219" w:lineRule="auto"/>
        <w:ind w:left="570"/>
      </w:pPr>
      <w:r>
        <w:rPr>
          <w:spacing w:val="4"/>
        </w:rPr>
        <w:t>本条应描述本计划和其他项目管理计划的关系。</w:t>
      </w:r>
    </w:p>
    <w:p w14:paraId="4709AD23">
      <w:pPr>
        <w:spacing w:before="56" w:line="222" w:lineRule="auto"/>
        <w:outlineLvl w:val="3"/>
        <w:rPr>
          <w:rFonts w:ascii="黑体" w:hAnsi="黑体" w:eastAsia="黑体" w:cs="黑体"/>
          <w:sz w:val="27"/>
          <w:szCs w:val="27"/>
        </w:rPr>
      </w:pPr>
      <w:r>
        <w:rPr>
          <w:rFonts w:ascii="Arial" w:hAnsi="Arial" w:eastAsia="Arial" w:cs="Arial"/>
          <w:b/>
          <w:bCs/>
          <w:spacing w:val="-3"/>
          <w:sz w:val="27"/>
          <w:szCs w:val="27"/>
        </w:rPr>
        <w:t>2</w:t>
      </w:r>
      <w:r>
        <w:rPr>
          <w:rFonts w:ascii="Arial" w:hAnsi="Arial" w:eastAsia="Arial" w:cs="Arial"/>
          <w:b/>
          <w:bCs/>
          <w:spacing w:val="18"/>
          <w:sz w:val="27"/>
          <w:szCs w:val="27"/>
        </w:rPr>
        <w:t xml:space="preserve">   </w:t>
      </w:r>
      <w:r>
        <w:rPr>
          <w:rFonts w:ascii="黑体" w:hAnsi="黑体" w:eastAsia="黑体" w:cs="黑体"/>
          <w:b/>
          <w:bCs/>
          <w:spacing w:val="-3"/>
          <w:sz w:val="27"/>
          <w:szCs w:val="27"/>
        </w:rPr>
        <w:t>引用文档</w:t>
      </w:r>
    </w:p>
    <w:p w14:paraId="3C0EDE61">
      <w:pPr>
        <w:pStyle w:val="2"/>
        <w:spacing w:before="139" w:line="219" w:lineRule="auto"/>
        <w:ind w:right="2"/>
        <w:jc w:val="right"/>
        <w:rPr>
          <w:sz w:val="25"/>
          <w:szCs w:val="25"/>
        </w:rPr>
      </w:pPr>
      <w:r>
        <w:rPr>
          <w:spacing w:val="10"/>
          <w:sz w:val="25"/>
          <w:szCs w:val="25"/>
        </w:rPr>
        <w:t>本章应列出引用文档的编号、标题、编写单位、修订版及日</w:t>
      </w:r>
      <w:r>
        <w:rPr>
          <w:spacing w:val="9"/>
          <w:sz w:val="25"/>
          <w:szCs w:val="25"/>
        </w:rPr>
        <w:t>期，还应标识不能</w:t>
      </w:r>
    </w:p>
    <w:p w14:paraId="5616778A">
      <w:pPr>
        <w:spacing w:line="219" w:lineRule="auto"/>
        <w:rPr>
          <w:sz w:val="25"/>
          <w:szCs w:val="25"/>
        </w:rPr>
        <w:sectPr>
          <w:footerReference r:id="rId215" w:type="default"/>
          <w:pgSz w:w="11910" w:h="17130"/>
          <w:pgMar w:top="1456" w:right="1253" w:bottom="1554" w:left="1249" w:header="0" w:footer="1329" w:gutter="0"/>
          <w:cols w:space="720" w:num="1"/>
        </w:sectPr>
      </w:pPr>
    </w:p>
    <w:p w14:paraId="697A0097">
      <w:pPr>
        <w:pStyle w:val="2"/>
        <w:spacing w:before="122" w:line="219" w:lineRule="auto"/>
        <w:rPr>
          <w:sz w:val="24"/>
          <w:szCs w:val="24"/>
        </w:rPr>
      </w:pPr>
      <w:r>
        <w:rPr>
          <w:spacing w:val="32"/>
          <w:sz w:val="24"/>
          <w:szCs w:val="24"/>
        </w:rPr>
        <w:t>通过正常采购活动得到的文档的来源。</w:t>
      </w:r>
    </w:p>
    <w:p w14:paraId="4C48D4D2">
      <w:pPr>
        <w:spacing w:before="67" w:line="368" w:lineRule="exact"/>
        <w:rPr>
          <w:rFonts w:ascii="黑体" w:hAnsi="黑体" w:eastAsia="黑体" w:cs="黑体"/>
          <w:sz w:val="27"/>
          <w:szCs w:val="27"/>
        </w:rPr>
      </w:pPr>
      <w:r>
        <w:rPr>
          <w:rFonts w:ascii="Arial" w:hAnsi="Arial" w:eastAsia="Arial" w:cs="Arial"/>
          <w:spacing w:val="5"/>
          <w:position w:val="2"/>
          <w:sz w:val="27"/>
          <w:szCs w:val="27"/>
        </w:rPr>
        <w:t>3</w:t>
      </w:r>
      <w:r>
        <w:rPr>
          <w:rFonts w:ascii="Arial" w:hAnsi="Arial" w:eastAsia="Arial" w:cs="Arial"/>
          <w:spacing w:val="19"/>
          <w:w w:val="101"/>
          <w:position w:val="2"/>
          <w:sz w:val="27"/>
          <w:szCs w:val="27"/>
        </w:rPr>
        <w:t xml:space="preserve">   </w:t>
      </w:r>
      <w:r>
        <w:rPr>
          <w:rFonts w:ascii="黑体" w:hAnsi="黑体" w:eastAsia="黑体" w:cs="黑体"/>
          <w:spacing w:val="5"/>
          <w:position w:val="2"/>
          <w:sz w:val="27"/>
          <w:szCs w:val="27"/>
        </w:rPr>
        <w:t>组织和职责</w:t>
      </w:r>
    </w:p>
    <w:p w14:paraId="577D5653">
      <w:pPr>
        <w:pStyle w:val="2"/>
        <w:spacing w:before="72" w:line="299" w:lineRule="auto"/>
        <w:ind w:right="103" w:firstLine="570"/>
        <w:jc w:val="both"/>
      </w:pPr>
      <w:r>
        <w:rPr>
          <w:spacing w:val="6"/>
        </w:rPr>
        <w:t>本章应描述本项目软件质量保证负责人在项目</w:t>
      </w:r>
      <w:r>
        <w:rPr>
          <w:spacing w:val="5"/>
        </w:rPr>
        <w:t>中的职责和权限；相应的高</w:t>
      </w:r>
      <w:r>
        <w:t xml:space="preserve"> </w:t>
      </w:r>
      <w:r>
        <w:rPr>
          <w:spacing w:val="5"/>
        </w:rPr>
        <w:t>层经理与软件质量保证紧密配合的项目经理的职责；部门内部软件质量保证组</w:t>
      </w:r>
      <w:r>
        <w:rPr>
          <w:spacing w:val="18"/>
        </w:rPr>
        <w:t xml:space="preserve"> </w:t>
      </w:r>
      <w:r>
        <w:t>的职责；部门内部软件质量保证组与项目软件质量</w:t>
      </w:r>
      <w:r>
        <w:rPr>
          <w:spacing w:val="-1"/>
        </w:rPr>
        <w:t>保证组的关系。</w:t>
      </w:r>
    </w:p>
    <w:p w14:paraId="3CB45810">
      <w:pPr>
        <w:spacing w:before="8" w:line="223" w:lineRule="auto"/>
        <w:rPr>
          <w:rFonts w:ascii="黑体" w:hAnsi="黑体" w:eastAsia="黑体" w:cs="黑体"/>
          <w:sz w:val="24"/>
          <w:szCs w:val="24"/>
        </w:rPr>
      </w:pPr>
      <w:r>
        <w:rPr>
          <w:rFonts w:ascii="黑体" w:hAnsi="黑体" w:eastAsia="黑体" w:cs="黑体"/>
          <w:spacing w:val="17"/>
          <w:sz w:val="24"/>
          <w:szCs w:val="24"/>
        </w:rPr>
        <w:t>4</w:t>
      </w:r>
      <w:r>
        <w:rPr>
          <w:rFonts w:ascii="黑体" w:hAnsi="黑体" w:eastAsia="黑体" w:cs="黑体"/>
          <w:spacing w:val="34"/>
          <w:sz w:val="24"/>
          <w:szCs w:val="24"/>
        </w:rPr>
        <w:t xml:space="preserve">  </w:t>
      </w:r>
      <w:r>
        <w:rPr>
          <w:rFonts w:ascii="黑体" w:hAnsi="黑体" w:eastAsia="黑体" w:cs="黑体"/>
          <w:spacing w:val="17"/>
          <w:sz w:val="24"/>
          <w:szCs w:val="24"/>
        </w:rPr>
        <w:t>标准、条例和约定</w:t>
      </w:r>
    </w:p>
    <w:p w14:paraId="71C0C064">
      <w:pPr>
        <w:pStyle w:val="2"/>
        <w:spacing w:before="58" w:line="293" w:lineRule="auto"/>
        <w:ind w:right="103" w:firstLine="570"/>
      </w:pPr>
      <w:r>
        <w:rPr>
          <w:spacing w:val="-3"/>
        </w:rPr>
        <w:t>本章应列出软件开发过程中要用到的标准、条例和约定，并描述监督和保证</w:t>
      </w:r>
      <w:r>
        <w:rPr>
          <w:spacing w:val="9"/>
        </w:rPr>
        <w:t xml:space="preserve"> </w:t>
      </w:r>
      <w:r>
        <w:rPr>
          <w:spacing w:val="2"/>
        </w:rPr>
        <w:t>其实施的措施。</w:t>
      </w:r>
    </w:p>
    <w:p w14:paraId="476007E9">
      <w:pPr>
        <w:spacing w:line="327" w:lineRule="exact"/>
        <w:rPr>
          <w:rFonts w:ascii="黑体" w:hAnsi="黑体" w:eastAsia="黑体" w:cs="黑体"/>
          <w:sz w:val="24"/>
          <w:szCs w:val="24"/>
        </w:rPr>
      </w:pPr>
      <w:r>
        <w:rPr>
          <w:rFonts w:ascii="Arial" w:hAnsi="Arial" w:eastAsia="Arial" w:cs="Arial"/>
          <w:spacing w:val="25"/>
          <w:position w:val="1"/>
          <w:sz w:val="24"/>
          <w:szCs w:val="24"/>
        </w:rPr>
        <w:t>5</w:t>
      </w:r>
      <w:r>
        <w:rPr>
          <w:rFonts w:ascii="Arial" w:hAnsi="Arial" w:eastAsia="Arial" w:cs="Arial"/>
          <w:spacing w:val="8"/>
          <w:position w:val="1"/>
          <w:sz w:val="24"/>
          <w:szCs w:val="24"/>
        </w:rPr>
        <w:t xml:space="preserve">    </w:t>
      </w:r>
      <w:r>
        <w:rPr>
          <w:rFonts w:ascii="黑体" w:hAnsi="黑体" w:eastAsia="黑体" w:cs="黑体"/>
          <w:spacing w:val="25"/>
          <w:position w:val="1"/>
          <w:sz w:val="24"/>
          <w:szCs w:val="24"/>
        </w:rPr>
        <w:t>活动审核</w:t>
      </w:r>
    </w:p>
    <w:p w14:paraId="4ABBB927">
      <w:pPr>
        <w:pStyle w:val="2"/>
        <w:spacing w:before="96" w:line="289" w:lineRule="auto"/>
        <w:ind w:firstLine="570"/>
        <w:jc w:val="both"/>
      </w:pPr>
      <w:r>
        <w:rPr>
          <w:spacing w:val="6"/>
        </w:rPr>
        <w:t>本章应描述对项目活动进行审核的方法和依据，列出</w:t>
      </w:r>
      <w:r>
        <w:rPr>
          <w:spacing w:val="5"/>
        </w:rPr>
        <w:t>项目定义的活动以及</w:t>
      </w:r>
      <w:r>
        <w:t xml:space="preserve"> </w:t>
      </w:r>
      <w:r>
        <w:rPr>
          <w:spacing w:val="-6"/>
        </w:rPr>
        <w:t>相应的活动审核，包括被审核的项目活动、该活动的工作</w:t>
      </w:r>
      <w:r>
        <w:rPr>
          <w:spacing w:val="-7"/>
        </w:rPr>
        <w:t>产品、审核方法和依据、</w:t>
      </w:r>
      <w:r>
        <w:t xml:space="preserve"> </w:t>
      </w:r>
      <w:r>
        <w:rPr>
          <w:spacing w:val="-9"/>
        </w:rPr>
        <w:t>责任人、计划的审核时间、审核记录的名称等。</w:t>
      </w:r>
    </w:p>
    <w:p w14:paraId="6852F7C3">
      <w:pPr>
        <w:spacing w:before="11" w:line="222" w:lineRule="auto"/>
        <w:rPr>
          <w:rFonts w:ascii="黑体" w:hAnsi="黑体" w:eastAsia="黑体" w:cs="黑体"/>
          <w:sz w:val="24"/>
          <w:szCs w:val="24"/>
        </w:rPr>
      </w:pPr>
      <w:r>
        <w:rPr>
          <w:rFonts w:ascii="黑体" w:hAnsi="黑体" w:eastAsia="黑体" w:cs="黑体"/>
          <w:spacing w:val="27"/>
          <w:sz w:val="24"/>
          <w:szCs w:val="24"/>
        </w:rPr>
        <w:t>6</w:t>
      </w:r>
      <w:r>
        <w:rPr>
          <w:rFonts w:ascii="黑体" w:hAnsi="黑体" w:eastAsia="黑体" w:cs="黑体"/>
          <w:spacing w:val="34"/>
          <w:sz w:val="24"/>
          <w:szCs w:val="24"/>
        </w:rPr>
        <w:t xml:space="preserve">  </w:t>
      </w:r>
      <w:r>
        <w:rPr>
          <w:rFonts w:ascii="黑体" w:hAnsi="黑体" w:eastAsia="黑体" w:cs="黑体"/>
          <w:spacing w:val="27"/>
          <w:sz w:val="24"/>
          <w:szCs w:val="24"/>
        </w:rPr>
        <w:t>工作产品审核</w:t>
      </w:r>
    </w:p>
    <w:p w14:paraId="15507E8D">
      <w:pPr>
        <w:pStyle w:val="2"/>
        <w:spacing w:before="134" w:line="279" w:lineRule="auto"/>
        <w:ind w:right="96" w:firstLine="570"/>
        <w:jc w:val="both"/>
      </w:pPr>
      <w:r>
        <w:rPr>
          <w:spacing w:val="6"/>
        </w:rPr>
        <w:t>本章应描述进行工作产品审核的方法和依据，列出项目过程应</w:t>
      </w:r>
      <w:r>
        <w:rPr>
          <w:spacing w:val="5"/>
        </w:rPr>
        <w:t>产生的工作</w:t>
      </w:r>
      <w:r>
        <w:t xml:space="preserve"> </w:t>
      </w:r>
      <w:r>
        <w:rPr>
          <w:spacing w:val="6"/>
        </w:rPr>
        <w:t>产品和质量记录，以及需要由软件质量保证人员负责审核的工作产品</w:t>
      </w:r>
      <w:r>
        <w:rPr>
          <w:spacing w:val="5"/>
        </w:rPr>
        <w:t>和相应的</w:t>
      </w:r>
      <w:r>
        <w:t xml:space="preserve"> </w:t>
      </w:r>
      <w:r>
        <w:rPr>
          <w:spacing w:val="-10"/>
        </w:rPr>
        <w:t>产品审核活动，包括被审核的工作产品、审核方法和依据、责任人、</w:t>
      </w:r>
      <w:r>
        <w:rPr>
          <w:spacing w:val="-11"/>
        </w:rPr>
        <w:t>计划的审核时</w:t>
      </w:r>
      <w:r>
        <w:t xml:space="preserve"> </w:t>
      </w:r>
      <w:r>
        <w:rPr>
          <w:spacing w:val="-11"/>
        </w:rPr>
        <w:t>间、审核记录的名称等。</w:t>
      </w:r>
    </w:p>
    <w:p w14:paraId="2CB1B826">
      <w:pPr>
        <w:spacing w:before="26" w:line="222" w:lineRule="auto"/>
        <w:rPr>
          <w:rFonts w:ascii="黑体" w:hAnsi="黑体" w:eastAsia="黑体" w:cs="黑体"/>
          <w:sz w:val="27"/>
          <w:szCs w:val="27"/>
        </w:rPr>
      </w:pPr>
      <w:r>
        <w:rPr>
          <w:rFonts w:ascii="Arial" w:hAnsi="Arial" w:eastAsia="Arial" w:cs="Arial"/>
          <w:spacing w:val="2"/>
          <w:sz w:val="27"/>
          <w:szCs w:val="27"/>
        </w:rPr>
        <w:t>7</w:t>
      </w:r>
      <w:r>
        <w:rPr>
          <w:rFonts w:ascii="Arial" w:hAnsi="Arial" w:eastAsia="Arial" w:cs="Arial"/>
          <w:spacing w:val="21"/>
          <w:sz w:val="27"/>
          <w:szCs w:val="27"/>
        </w:rPr>
        <w:t xml:space="preserve">   </w:t>
      </w:r>
      <w:r>
        <w:rPr>
          <w:rFonts w:ascii="黑体" w:hAnsi="黑体" w:eastAsia="黑体" w:cs="黑体"/>
          <w:spacing w:val="2"/>
          <w:sz w:val="27"/>
          <w:szCs w:val="27"/>
        </w:rPr>
        <w:t>不符合问题的解决</w:t>
      </w:r>
    </w:p>
    <w:p w14:paraId="70B2B6D2">
      <w:pPr>
        <w:pStyle w:val="2"/>
        <w:spacing w:before="97" w:line="293" w:lineRule="auto"/>
        <w:ind w:right="100" w:firstLine="570"/>
      </w:pPr>
      <w:r>
        <w:rPr>
          <w:spacing w:val="6"/>
        </w:rPr>
        <w:t>本章应描述过程评审和产品审核的结果的记录以及形</w:t>
      </w:r>
      <w:r>
        <w:rPr>
          <w:spacing w:val="5"/>
        </w:rPr>
        <w:t>成记录的方法，并描</w:t>
      </w:r>
      <w:r>
        <w:t xml:space="preserve"> </w:t>
      </w:r>
      <w:r>
        <w:rPr>
          <w:spacing w:val="4"/>
        </w:rPr>
        <w:t>述处理在评审和审核中出现的不符合问题的规程。</w:t>
      </w:r>
    </w:p>
    <w:p w14:paraId="38C9256B">
      <w:pPr>
        <w:spacing w:before="1" w:line="220" w:lineRule="auto"/>
        <w:rPr>
          <w:rFonts w:ascii="黑体" w:hAnsi="黑体" w:eastAsia="黑体" w:cs="黑体"/>
          <w:sz w:val="25"/>
          <w:szCs w:val="25"/>
        </w:rPr>
      </w:pPr>
      <w:r>
        <w:rPr>
          <w:rFonts w:ascii="黑体" w:hAnsi="黑体" w:eastAsia="黑体" w:cs="黑体"/>
          <w:spacing w:val="6"/>
          <w:sz w:val="25"/>
          <w:szCs w:val="25"/>
        </w:rPr>
        <w:t>8</w:t>
      </w:r>
      <w:r>
        <w:rPr>
          <w:rFonts w:ascii="黑体" w:hAnsi="黑体" w:eastAsia="黑体" w:cs="黑体"/>
          <w:spacing w:val="26"/>
          <w:sz w:val="25"/>
          <w:szCs w:val="25"/>
        </w:rPr>
        <w:t xml:space="preserve">  </w:t>
      </w:r>
      <w:r>
        <w:rPr>
          <w:rFonts w:ascii="黑体" w:hAnsi="黑体" w:eastAsia="黑体" w:cs="黑体"/>
          <w:spacing w:val="6"/>
          <w:sz w:val="25"/>
          <w:szCs w:val="25"/>
        </w:rPr>
        <w:t>工具、技术和方法</w:t>
      </w:r>
    </w:p>
    <w:p w14:paraId="47573A2B">
      <w:pPr>
        <w:pStyle w:val="2"/>
        <w:spacing w:before="102" w:line="291" w:lineRule="auto"/>
        <w:ind w:right="104" w:firstLine="570"/>
      </w:pPr>
      <w:r>
        <w:rPr>
          <w:spacing w:val="-3"/>
        </w:rPr>
        <w:t>本章应描述用以支持特定软件项目质量保证工作的工具、技术和方法，描述</w:t>
      </w:r>
      <w:r>
        <w:rPr>
          <w:spacing w:val="8"/>
        </w:rPr>
        <w:t xml:space="preserve"> </w:t>
      </w:r>
      <w:r>
        <w:rPr>
          <w:spacing w:val="1"/>
        </w:rPr>
        <w:t>它们的用途和用法。</w:t>
      </w:r>
    </w:p>
    <w:p w14:paraId="2ECA3ACB">
      <w:pPr>
        <w:spacing w:line="221" w:lineRule="auto"/>
        <w:rPr>
          <w:rFonts w:ascii="黑体" w:hAnsi="黑体" w:eastAsia="黑体" w:cs="黑体"/>
          <w:sz w:val="27"/>
          <w:szCs w:val="27"/>
        </w:rPr>
      </w:pPr>
      <w:r>
        <w:rPr>
          <w:rFonts w:ascii="黑体" w:hAnsi="黑体" w:eastAsia="黑体" w:cs="黑体"/>
          <w:spacing w:val="4"/>
          <w:sz w:val="27"/>
          <w:szCs w:val="27"/>
        </w:rPr>
        <w:t>9  对供货单位的控制</w:t>
      </w:r>
    </w:p>
    <w:p w14:paraId="7A353FCF">
      <w:pPr>
        <w:pStyle w:val="2"/>
        <w:spacing w:before="117" w:line="276" w:lineRule="auto"/>
        <w:ind w:right="104" w:firstLine="570"/>
        <w:jc w:val="both"/>
      </w:pPr>
      <w:r>
        <w:rPr>
          <w:spacing w:val="6"/>
        </w:rPr>
        <w:t>供货单位包括软件销售单位或软件分承制方</w:t>
      </w:r>
      <w:r>
        <w:rPr>
          <w:spacing w:val="5"/>
        </w:rPr>
        <w:t>。本章应描述对这些供货单位</w:t>
      </w:r>
      <w:r>
        <w:t xml:space="preserve"> </w:t>
      </w:r>
      <w:r>
        <w:rPr>
          <w:spacing w:val="6"/>
        </w:rPr>
        <w:t>进行控制的规程，从而保证所获取的软件(包括可重用软</w:t>
      </w:r>
      <w:r>
        <w:rPr>
          <w:spacing w:val="5"/>
        </w:rPr>
        <w:t>件产品)能满足规定的</w:t>
      </w:r>
      <w:r>
        <w:t xml:space="preserve"> </w:t>
      </w:r>
      <w:r>
        <w:rPr>
          <w:spacing w:val="-4"/>
        </w:rPr>
        <w:t>需求。</w:t>
      </w:r>
    </w:p>
    <w:p w14:paraId="637459A9">
      <w:pPr>
        <w:spacing w:line="368" w:lineRule="exact"/>
        <w:rPr>
          <w:rFonts w:ascii="黑体" w:hAnsi="黑体" w:eastAsia="黑体" w:cs="黑体"/>
          <w:sz w:val="27"/>
          <w:szCs w:val="27"/>
        </w:rPr>
      </w:pPr>
      <w:r>
        <w:rPr>
          <w:rFonts w:ascii="Arial" w:hAnsi="Arial" w:eastAsia="Arial" w:cs="Arial"/>
          <w:spacing w:val="-6"/>
          <w:position w:val="1"/>
          <w:sz w:val="27"/>
          <w:szCs w:val="27"/>
        </w:rPr>
        <w:t xml:space="preserve">10    </w:t>
      </w:r>
      <w:r>
        <w:rPr>
          <w:rFonts w:ascii="黑体" w:hAnsi="黑体" w:eastAsia="黑体" w:cs="黑体"/>
          <w:spacing w:val="-6"/>
          <w:position w:val="1"/>
          <w:sz w:val="27"/>
          <w:szCs w:val="27"/>
        </w:rPr>
        <w:t>记录的收集、维护和保存</w:t>
      </w:r>
    </w:p>
    <w:p w14:paraId="76EAD408">
      <w:pPr>
        <w:pStyle w:val="2"/>
        <w:spacing w:before="90" w:line="290" w:lineRule="auto"/>
        <w:ind w:right="103" w:firstLine="570"/>
      </w:pPr>
      <w:r>
        <w:rPr>
          <w:spacing w:val="-3"/>
        </w:rPr>
        <w:t>本章应描述要保存的软件质量保证活动的记录，并指出用于汇总、保存和维</w:t>
      </w:r>
      <w:r>
        <w:rPr>
          <w:spacing w:val="9"/>
        </w:rPr>
        <w:t xml:space="preserve"> </w:t>
      </w:r>
      <w:r>
        <w:rPr>
          <w:spacing w:val="-3"/>
        </w:rPr>
        <w:t>护这些记录的方法和设施，并指明要保存的期限。</w:t>
      </w:r>
    </w:p>
    <w:p w14:paraId="78A6E92B">
      <w:pPr>
        <w:spacing w:before="30" w:line="222" w:lineRule="auto"/>
        <w:rPr>
          <w:rFonts w:ascii="黑体" w:hAnsi="黑体" w:eastAsia="黑体" w:cs="黑体"/>
          <w:sz w:val="24"/>
          <w:szCs w:val="24"/>
        </w:rPr>
      </w:pPr>
      <w:r>
        <w:rPr>
          <w:rFonts w:ascii="黑体" w:hAnsi="黑体" w:eastAsia="黑体" w:cs="黑体"/>
          <w:spacing w:val="-7"/>
          <w:sz w:val="24"/>
          <w:szCs w:val="24"/>
        </w:rPr>
        <w:t>11   注</w:t>
      </w:r>
      <w:r>
        <w:rPr>
          <w:rFonts w:ascii="黑体" w:hAnsi="黑体" w:eastAsia="黑体" w:cs="黑体"/>
          <w:spacing w:val="-46"/>
          <w:sz w:val="24"/>
          <w:szCs w:val="24"/>
        </w:rPr>
        <w:t xml:space="preserve"> </w:t>
      </w:r>
      <w:r>
        <w:rPr>
          <w:rFonts w:ascii="黑体" w:hAnsi="黑体" w:eastAsia="黑体" w:cs="黑体"/>
          <w:spacing w:val="-7"/>
          <w:sz w:val="24"/>
          <w:szCs w:val="24"/>
        </w:rPr>
        <w:t>释</w:t>
      </w:r>
    </w:p>
    <w:p w14:paraId="450918F7">
      <w:pPr>
        <w:pStyle w:val="2"/>
        <w:spacing w:before="83" w:line="306" w:lineRule="auto"/>
        <w:ind w:right="118" w:firstLine="570"/>
      </w:pPr>
      <w:r>
        <w:rPr>
          <w:spacing w:val="18"/>
        </w:rPr>
        <w:t>本章应包括有助于了解文档的所有信息(例如背景、术语、缩略语或公</w:t>
      </w:r>
      <w:r>
        <w:rPr>
          <w:spacing w:val="11"/>
        </w:rPr>
        <w:t xml:space="preserve"> </w:t>
      </w:r>
      <w:r>
        <w:rPr>
          <w:spacing w:val="21"/>
        </w:rPr>
        <w:t>式)。</w:t>
      </w:r>
    </w:p>
    <w:p w14:paraId="22151E4F">
      <w:pPr>
        <w:spacing w:line="306" w:lineRule="auto"/>
        <w:sectPr>
          <w:footerReference r:id="rId216" w:type="default"/>
          <w:pgSz w:w="11910" w:h="17130"/>
          <w:pgMar w:top="1456" w:right="1055" w:bottom="1617" w:left="1360" w:header="0" w:footer="1401" w:gutter="0"/>
          <w:cols w:space="720" w:num="1"/>
        </w:sectPr>
      </w:pPr>
    </w:p>
    <w:p w14:paraId="69B14511">
      <w:pPr>
        <w:spacing w:line="434" w:lineRule="auto"/>
        <w:rPr>
          <w:rFonts w:ascii="Arial"/>
          <w:sz w:val="21"/>
        </w:rPr>
      </w:pPr>
    </w:p>
    <w:p w14:paraId="7E399870">
      <w:pPr>
        <w:pStyle w:val="2"/>
        <w:spacing w:before="117" w:line="219" w:lineRule="auto"/>
        <w:ind w:left="3040"/>
        <w:rPr>
          <w:sz w:val="36"/>
          <w:szCs w:val="36"/>
        </w:rPr>
      </w:pPr>
      <w:r>
        <w:rPr>
          <w:sz w:val="36"/>
          <w:szCs w:val="36"/>
        </w:rPr>
        <w:t>2.10</w:t>
      </w:r>
      <w:r>
        <w:rPr>
          <w:spacing w:val="18"/>
          <w:sz w:val="36"/>
          <w:szCs w:val="36"/>
        </w:rPr>
        <w:t xml:space="preserve">  </w:t>
      </w:r>
      <w:r>
        <w:rPr>
          <w:b/>
          <w:bCs/>
          <w:sz w:val="36"/>
          <w:szCs w:val="36"/>
        </w:rPr>
        <w:t>软件安装计划</w:t>
      </w:r>
    </w:p>
    <w:p w14:paraId="31996F52">
      <w:pPr>
        <w:spacing w:line="328" w:lineRule="auto"/>
        <w:rPr>
          <w:rFonts w:ascii="Arial"/>
          <w:sz w:val="21"/>
        </w:rPr>
      </w:pPr>
    </w:p>
    <w:p w14:paraId="7F0A089C">
      <w:pPr>
        <w:pStyle w:val="2"/>
        <w:spacing w:before="91" w:line="225" w:lineRule="auto"/>
        <w:ind w:left="55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军用软件开发文档通用要求》编</w:t>
      </w:r>
      <w:r>
        <w:rPr>
          <w:rFonts w:ascii="楷体" w:hAnsi="楷体" w:eastAsia="楷体" w:cs="楷体"/>
          <w:spacing w:val="-11"/>
          <w:sz w:val="28"/>
          <w:szCs w:val="28"/>
        </w:rPr>
        <w:t>写。</w:t>
      </w:r>
    </w:p>
    <w:p w14:paraId="15920984">
      <w:pPr>
        <w:spacing w:before="98"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7"/>
          <w:sz w:val="27"/>
          <w:szCs w:val="27"/>
        </w:rPr>
        <w:t xml:space="preserve">  </w:t>
      </w:r>
      <w:r>
        <w:rPr>
          <w:rFonts w:ascii="黑体" w:hAnsi="黑体" w:eastAsia="黑体" w:cs="黑体"/>
          <w:b/>
          <w:bCs/>
          <w:spacing w:val="-8"/>
          <w:sz w:val="27"/>
          <w:szCs w:val="27"/>
        </w:rPr>
        <w:t>范围</w:t>
      </w:r>
    </w:p>
    <w:p w14:paraId="6FE2A1F8">
      <w:pPr>
        <w:spacing w:before="122" w:line="222" w:lineRule="auto"/>
        <w:rPr>
          <w:rFonts w:ascii="黑体" w:hAnsi="黑体" w:eastAsia="黑体" w:cs="黑体"/>
          <w:sz w:val="25"/>
          <w:szCs w:val="25"/>
        </w:rPr>
      </w:pPr>
      <w:r>
        <w:rPr>
          <w:rFonts w:ascii="黑体" w:hAnsi="黑体" w:eastAsia="黑体" w:cs="黑体"/>
          <w:spacing w:val="3"/>
          <w:sz w:val="25"/>
          <w:szCs w:val="25"/>
        </w:rPr>
        <w:t>1.1</w:t>
      </w:r>
      <w:r>
        <w:rPr>
          <w:rFonts w:ascii="黑体" w:hAnsi="黑体" w:eastAsia="黑体" w:cs="黑体"/>
          <w:spacing w:val="40"/>
          <w:sz w:val="25"/>
          <w:szCs w:val="25"/>
        </w:rPr>
        <w:t xml:space="preserve">  </w:t>
      </w:r>
      <w:r>
        <w:rPr>
          <w:rFonts w:ascii="黑体" w:hAnsi="黑体" w:eastAsia="黑体" w:cs="黑体"/>
          <w:b/>
          <w:bCs/>
          <w:spacing w:val="3"/>
          <w:sz w:val="25"/>
          <w:szCs w:val="25"/>
        </w:rPr>
        <w:t>标识</w:t>
      </w:r>
    </w:p>
    <w:p w14:paraId="4B4D789D">
      <w:pPr>
        <w:pStyle w:val="2"/>
        <w:spacing w:before="83" w:line="299" w:lineRule="auto"/>
        <w:ind w:firstLine="550"/>
      </w:pPr>
      <w:r>
        <w:rPr>
          <w:spacing w:val="1"/>
        </w:rPr>
        <w:t xml:space="preserve">本条应描述本文档适用的系统和软件的完整标识，适用时，包括其标识号、 </w:t>
      </w:r>
      <w:r>
        <w:rPr>
          <w:spacing w:val="-15"/>
        </w:rPr>
        <w:t>名称、缩略名、版本号和发布号。</w:t>
      </w:r>
    </w:p>
    <w:p w14:paraId="13426B58">
      <w:pPr>
        <w:spacing w:before="1" w:line="220"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16"/>
          <w:sz w:val="27"/>
          <w:szCs w:val="27"/>
        </w:rPr>
        <w:t xml:space="preserve">  </w:t>
      </w:r>
      <w:r>
        <w:rPr>
          <w:rFonts w:ascii="黑体" w:hAnsi="黑体" w:eastAsia="黑体" w:cs="黑体"/>
          <w:b/>
          <w:bCs/>
          <w:spacing w:val="-7"/>
          <w:sz w:val="27"/>
          <w:szCs w:val="27"/>
        </w:rPr>
        <w:t>系统概述</w:t>
      </w:r>
    </w:p>
    <w:p w14:paraId="2570F4F3">
      <w:pPr>
        <w:pStyle w:val="2"/>
        <w:spacing w:before="83" w:line="288" w:lineRule="auto"/>
        <w:ind w:right="105" w:firstLine="550"/>
        <w:jc w:val="both"/>
      </w:pPr>
      <w:r>
        <w:rPr>
          <w:spacing w:val="6"/>
        </w:rPr>
        <w:t>本条应概述本文档适用的系统和软件的用途。它还应</w:t>
      </w:r>
      <w:r>
        <w:rPr>
          <w:spacing w:val="5"/>
        </w:rPr>
        <w:t>描述系统与软件的一</w:t>
      </w:r>
      <w:r>
        <w:t xml:space="preserve"> </w:t>
      </w:r>
      <w:r>
        <w:rPr>
          <w:spacing w:val="-9"/>
        </w:rPr>
        <w:t>般特性；概述系统开发、运行和维护的历史；标识项目的需方、</w:t>
      </w:r>
      <w:r>
        <w:rPr>
          <w:spacing w:val="-10"/>
        </w:rPr>
        <w:t>用户、开发方和保</w:t>
      </w:r>
      <w:r>
        <w:t xml:space="preserve"> </w:t>
      </w:r>
      <w:r>
        <w:rPr>
          <w:spacing w:val="-6"/>
        </w:rPr>
        <w:t>障机构等；标识当前和计划的运行现场；列出其他有关文档。</w:t>
      </w:r>
    </w:p>
    <w:p w14:paraId="3358D81A">
      <w:pPr>
        <w:spacing w:before="10" w:line="221" w:lineRule="auto"/>
        <w:rPr>
          <w:rFonts w:ascii="黑体" w:hAnsi="黑体" w:eastAsia="黑体" w:cs="黑体"/>
          <w:sz w:val="27"/>
          <w:szCs w:val="27"/>
        </w:rPr>
      </w:pPr>
      <w:r>
        <w:rPr>
          <w:rFonts w:ascii="黑体" w:hAnsi="黑体" w:eastAsia="黑体" w:cs="黑体"/>
          <w:spacing w:val="-7"/>
          <w:sz w:val="27"/>
          <w:szCs w:val="27"/>
        </w:rPr>
        <w:t>1.3</w:t>
      </w:r>
      <w:r>
        <w:rPr>
          <w:rFonts w:ascii="黑体" w:hAnsi="黑体" w:eastAsia="黑体" w:cs="黑体"/>
          <w:spacing w:val="17"/>
          <w:sz w:val="27"/>
          <w:szCs w:val="27"/>
        </w:rPr>
        <w:t xml:space="preserve">  </w:t>
      </w:r>
      <w:r>
        <w:rPr>
          <w:rFonts w:ascii="黑体" w:hAnsi="黑体" w:eastAsia="黑体" w:cs="黑体"/>
          <w:b/>
          <w:bCs/>
          <w:spacing w:val="-7"/>
          <w:sz w:val="27"/>
          <w:szCs w:val="27"/>
        </w:rPr>
        <w:t>文档概述</w:t>
      </w:r>
    </w:p>
    <w:p w14:paraId="5A0E2E46">
      <w:pPr>
        <w:pStyle w:val="2"/>
        <w:spacing w:before="90" w:line="290" w:lineRule="auto"/>
        <w:ind w:right="113" w:firstLine="550"/>
      </w:pPr>
      <w:r>
        <w:rPr>
          <w:spacing w:val="6"/>
        </w:rPr>
        <w:t>本条应概述本文档的用途和内容，并描述与它的使用有关的保密性方</w:t>
      </w:r>
      <w:r>
        <w:rPr>
          <w:spacing w:val="5"/>
        </w:rPr>
        <w:t>面的</w:t>
      </w:r>
      <w:r>
        <w:t xml:space="preserve"> </w:t>
      </w:r>
      <w:r>
        <w:rPr>
          <w:spacing w:val="-6"/>
        </w:rPr>
        <w:t>要求。</w:t>
      </w:r>
    </w:p>
    <w:p w14:paraId="3D76FDDC">
      <w:pPr>
        <w:spacing w:before="1" w:line="222" w:lineRule="auto"/>
        <w:rPr>
          <w:rFonts w:ascii="黑体" w:hAnsi="黑体" w:eastAsia="黑体" w:cs="黑体"/>
          <w:sz w:val="27"/>
          <w:szCs w:val="27"/>
        </w:rPr>
      </w:pPr>
      <w:r>
        <w:rPr>
          <w:rFonts w:ascii="黑体" w:hAnsi="黑体" w:eastAsia="黑体" w:cs="黑体"/>
          <w:spacing w:val="-1"/>
          <w:sz w:val="27"/>
          <w:szCs w:val="27"/>
        </w:rPr>
        <w:t>1.4</w:t>
      </w:r>
      <w:r>
        <w:rPr>
          <w:rFonts w:ascii="黑体" w:hAnsi="黑体" w:eastAsia="黑体" w:cs="黑体"/>
          <w:spacing w:val="19"/>
          <w:sz w:val="27"/>
          <w:szCs w:val="27"/>
        </w:rPr>
        <w:t xml:space="preserve">  </w:t>
      </w:r>
      <w:r>
        <w:rPr>
          <w:rFonts w:ascii="黑体" w:hAnsi="黑体" w:eastAsia="黑体" w:cs="黑体"/>
          <w:b/>
          <w:bCs/>
          <w:spacing w:val="-1"/>
          <w:sz w:val="27"/>
          <w:szCs w:val="27"/>
        </w:rPr>
        <w:t>与其他计划之间的关系</w:t>
      </w:r>
    </w:p>
    <w:p w14:paraId="580C944A">
      <w:pPr>
        <w:pStyle w:val="2"/>
        <w:spacing w:before="97" w:line="219" w:lineRule="auto"/>
        <w:ind w:left="550"/>
      </w:pPr>
      <w:r>
        <w:rPr>
          <w:spacing w:val="4"/>
        </w:rPr>
        <w:t>本条应描述本计划和其他项目管理计划的关系。</w:t>
      </w:r>
    </w:p>
    <w:p w14:paraId="4BAF5C25">
      <w:pPr>
        <w:spacing w:before="106"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0"/>
          <w:sz w:val="27"/>
          <w:szCs w:val="27"/>
        </w:rPr>
        <w:t xml:space="preserve">  </w:t>
      </w:r>
      <w:r>
        <w:rPr>
          <w:rFonts w:ascii="黑体" w:hAnsi="黑体" w:eastAsia="黑体" w:cs="黑体"/>
          <w:b/>
          <w:bCs/>
          <w:spacing w:val="-2"/>
          <w:sz w:val="27"/>
          <w:szCs w:val="27"/>
        </w:rPr>
        <w:t>引用文档</w:t>
      </w:r>
    </w:p>
    <w:p w14:paraId="20C217D5">
      <w:pPr>
        <w:pStyle w:val="2"/>
        <w:spacing w:before="101" w:line="285" w:lineRule="auto"/>
        <w:ind w:right="121" w:firstLine="550"/>
      </w:pPr>
      <w:r>
        <w:rPr>
          <w:spacing w:val="-11"/>
        </w:rPr>
        <w:t>本章应列出引用文档的编号、标题、编写单位、修订版及日期，还应标识不能</w:t>
      </w:r>
      <w:r>
        <w:rPr>
          <w:spacing w:val="16"/>
        </w:rPr>
        <w:t xml:space="preserve"> </w:t>
      </w:r>
      <w:r>
        <w:rPr>
          <w:spacing w:val="4"/>
        </w:rPr>
        <w:t>通过正常采购活动得到的文档的来源。</w:t>
      </w:r>
    </w:p>
    <w:p w14:paraId="4C210D2D">
      <w:pPr>
        <w:spacing w:before="1" w:line="220" w:lineRule="auto"/>
        <w:rPr>
          <w:rFonts w:ascii="黑体" w:hAnsi="黑体" w:eastAsia="黑体" w:cs="黑体"/>
          <w:sz w:val="27"/>
          <w:szCs w:val="27"/>
        </w:rPr>
      </w:pPr>
      <w:r>
        <w:rPr>
          <w:rFonts w:ascii="黑体" w:hAnsi="黑体" w:eastAsia="黑体" w:cs="黑体"/>
          <w:spacing w:val="-5"/>
          <w:sz w:val="27"/>
          <w:szCs w:val="27"/>
        </w:rPr>
        <w:t>3</w:t>
      </w:r>
      <w:r>
        <w:rPr>
          <w:rFonts w:ascii="黑体" w:hAnsi="黑体" w:eastAsia="黑体" w:cs="黑体"/>
          <w:spacing w:val="11"/>
          <w:sz w:val="27"/>
          <w:szCs w:val="27"/>
        </w:rPr>
        <w:t xml:space="preserve">  </w:t>
      </w:r>
      <w:r>
        <w:rPr>
          <w:rFonts w:ascii="黑体" w:hAnsi="黑体" w:eastAsia="黑体" w:cs="黑体"/>
          <w:b/>
          <w:bCs/>
          <w:spacing w:val="-5"/>
          <w:sz w:val="27"/>
          <w:szCs w:val="27"/>
        </w:rPr>
        <w:t>安装概述</w:t>
      </w:r>
    </w:p>
    <w:p w14:paraId="0C7C2798">
      <w:pPr>
        <w:spacing w:before="137" w:line="221" w:lineRule="auto"/>
        <w:rPr>
          <w:rFonts w:ascii="黑体" w:hAnsi="黑体" w:eastAsia="黑体" w:cs="黑体"/>
          <w:sz w:val="25"/>
          <w:szCs w:val="25"/>
        </w:rPr>
      </w:pPr>
      <w:r>
        <w:rPr>
          <w:rFonts w:ascii="黑体" w:hAnsi="黑体" w:eastAsia="黑体" w:cs="黑体"/>
          <w:spacing w:val="-5"/>
          <w:sz w:val="25"/>
          <w:szCs w:val="25"/>
        </w:rPr>
        <w:t>3.1</w:t>
      </w:r>
      <w:r>
        <w:rPr>
          <w:rFonts w:ascii="黑体" w:hAnsi="黑体" w:eastAsia="黑体" w:cs="黑体"/>
          <w:spacing w:val="31"/>
          <w:sz w:val="25"/>
          <w:szCs w:val="25"/>
        </w:rPr>
        <w:t xml:space="preserve">  </w:t>
      </w:r>
      <w:r>
        <w:rPr>
          <w:rFonts w:ascii="黑体" w:hAnsi="黑体" w:eastAsia="黑体" w:cs="黑体"/>
          <w:b/>
          <w:bCs/>
          <w:spacing w:val="-5"/>
          <w:sz w:val="25"/>
          <w:szCs w:val="25"/>
        </w:rPr>
        <w:t>说</w:t>
      </w:r>
      <w:r>
        <w:rPr>
          <w:rFonts w:ascii="黑体" w:hAnsi="黑体" w:eastAsia="黑体" w:cs="黑体"/>
          <w:spacing w:val="-31"/>
          <w:sz w:val="25"/>
          <w:szCs w:val="25"/>
        </w:rPr>
        <w:t xml:space="preserve"> </w:t>
      </w:r>
      <w:r>
        <w:rPr>
          <w:rFonts w:ascii="黑体" w:hAnsi="黑体" w:eastAsia="黑体" w:cs="黑体"/>
          <w:b/>
          <w:bCs/>
          <w:spacing w:val="-5"/>
          <w:sz w:val="25"/>
          <w:szCs w:val="25"/>
        </w:rPr>
        <w:t>明</w:t>
      </w:r>
    </w:p>
    <w:p w14:paraId="4F482779">
      <w:pPr>
        <w:pStyle w:val="2"/>
        <w:spacing w:before="105" w:line="293" w:lineRule="auto"/>
        <w:ind w:right="19" w:firstLine="550"/>
      </w:pPr>
      <w:r>
        <w:t>本条应提供安装规程的总体说明，为文档的其他各部分提供一个参考框架。</w:t>
      </w:r>
      <w:r>
        <w:rPr>
          <w:spacing w:val="14"/>
        </w:rPr>
        <w:t xml:space="preserve"> </w:t>
      </w:r>
      <w:r>
        <w:rPr>
          <w:spacing w:val="-1"/>
        </w:rPr>
        <w:t>总体说明包括软件安装地点列表、安装进度和安装方法。</w:t>
      </w:r>
    </w:p>
    <w:p w14:paraId="31CCF5E4">
      <w:pPr>
        <w:spacing w:before="1" w:line="221" w:lineRule="auto"/>
        <w:rPr>
          <w:rFonts w:ascii="黑体" w:hAnsi="黑体" w:eastAsia="黑体" w:cs="黑体"/>
          <w:sz w:val="27"/>
          <w:szCs w:val="27"/>
        </w:rPr>
      </w:pPr>
      <w:r>
        <w:rPr>
          <w:rFonts w:ascii="黑体" w:hAnsi="黑体" w:eastAsia="黑体" w:cs="黑体"/>
          <w:spacing w:val="-5"/>
          <w:sz w:val="27"/>
          <w:szCs w:val="27"/>
        </w:rPr>
        <w:t>3.2</w:t>
      </w:r>
      <w:r>
        <w:rPr>
          <w:rFonts w:ascii="黑体" w:hAnsi="黑体" w:eastAsia="黑体" w:cs="黑体"/>
          <w:spacing w:val="11"/>
          <w:sz w:val="27"/>
          <w:szCs w:val="27"/>
        </w:rPr>
        <w:t xml:space="preserve">  </w:t>
      </w:r>
      <w:r>
        <w:rPr>
          <w:rFonts w:ascii="黑体" w:hAnsi="黑体" w:eastAsia="黑体" w:cs="黑体"/>
          <w:b/>
          <w:bCs/>
          <w:spacing w:val="-5"/>
          <w:sz w:val="27"/>
          <w:szCs w:val="27"/>
        </w:rPr>
        <w:t>联系地点</w:t>
      </w:r>
    </w:p>
    <w:p w14:paraId="256AD087">
      <w:pPr>
        <w:pStyle w:val="2"/>
        <w:spacing w:before="100" w:line="283" w:lineRule="auto"/>
        <w:ind w:right="121" w:firstLine="550"/>
      </w:pPr>
      <w:r>
        <w:rPr>
          <w:spacing w:val="1"/>
        </w:rPr>
        <w:t>本条应为咨询与安装有关的问题提供联系地点的组织名称、办公室代号/代</w:t>
      </w:r>
      <w:r>
        <w:rPr>
          <w:spacing w:val="14"/>
        </w:rPr>
        <w:t xml:space="preserve"> </w:t>
      </w:r>
      <w:r>
        <w:rPr>
          <w:spacing w:val="-13"/>
        </w:rPr>
        <w:t>码、电话号码等。</w:t>
      </w:r>
    </w:p>
    <w:p w14:paraId="6EAA9169">
      <w:pPr>
        <w:spacing w:before="9" w:line="222" w:lineRule="auto"/>
        <w:rPr>
          <w:rFonts w:ascii="黑体" w:hAnsi="黑体" w:eastAsia="黑体" w:cs="黑体"/>
          <w:sz w:val="27"/>
          <w:szCs w:val="27"/>
        </w:rPr>
      </w:pPr>
      <w:r>
        <w:rPr>
          <w:rFonts w:ascii="黑体" w:hAnsi="黑体" w:eastAsia="黑体" w:cs="黑体"/>
          <w:spacing w:val="-5"/>
          <w:sz w:val="27"/>
          <w:szCs w:val="27"/>
        </w:rPr>
        <w:t>3.3</w:t>
      </w:r>
      <w:r>
        <w:rPr>
          <w:rFonts w:ascii="黑体" w:hAnsi="黑体" w:eastAsia="黑体" w:cs="黑体"/>
          <w:spacing w:val="12"/>
          <w:sz w:val="27"/>
          <w:szCs w:val="27"/>
        </w:rPr>
        <w:t xml:space="preserve">  </w:t>
      </w:r>
      <w:r>
        <w:rPr>
          <w:rFonts w:ascii="黑体" w:hAnsi="黑体" w:eastAsia="黑体" w:cs="黑体"/>
          <w:b/>
          <w:bCs/>
          <w:spacing w:val="-5"/>
          <w:sz w:val="27"/>
          <w:szCs w:val="27"/>
        </w:rPr>
        <w:t>保障材料</w:t>
      </w:r>
    </w:p>
    <w:p w14:paraId="1A0AD314">
      <w:pPr>
        <w:pStyle w:val="2"/>
        <w:spacing w:before="108" w:line="283" w:lineRule="auto"/>
        <w:ind w:right="124" w:firstLine="550"/>
      </w:pPr>
      <w:r>
        <w:rPr>
          <w:spacing w:val="-11"/>
        </w:rPr>
        <w:t>本条应列出安装所需保障材料的类型、来源、数量，包括磁带、盘组、计算机</w:t>
      </w:r>
      <w:r>
        <w:rPr>
          <w:spacing w:val="13"/>
        </w:rPr>
        <w:t xml:space="preserve"> </w:t>
      </w:r>
      <w:r>
        <w:rPr>
          <w:spacing w:val="1"/>
        </w:rPr>
        <w:t>打印纸和专用表格等。</w:t>
      </w:r>
    </w:p>
    <w:p w14:paraId="2819909C">
      <w:pPr>
        <w:spacing w:before="40" w:line="223" w:lineRule="auto"/>
        <w:rPr>
          <w:rFonts w:ascii="黑体" w:hAnsi="黑体" w:eastAsia="黑体" w:cs="黑体"/>
          <w:sz w:val="25"/>
          <w:szCs w:val="25"/>
        </w:rPr>
      </w:pPr>
      <w:r>
        <w:rPr>
          <w:rFonts w:ascii="黑体" w:hAnsi="黑体" w:eastAsia="黑体" w:cs="黑体"/>
          <w:spacing w:val="-5"/>
          <w:sz w:val="25"/>
          <w:szCs w:val="25"/>
        </w:rPr>
        <w:t>3.4</w:t>
      </w:r>
      <w:r>
        <w:rPr>
          <w:rFonts w:ascii="黑体" w:hAnsi="黑体" w:eastAsia="黑体" w:cs="黑体"/>
          <w:spacing w:val="34"/>
          <w:sz w:val="25"/>
          <w:szCs w:val="25"/>
        </w:rPr>
        <w:t xml:space="preserve">  </w:t>
      </w:r>
      <w:r>
        <w:rPr>
          <w:rFonts w:ascii="黑体" w:hAnsi="黑体" w:eastAsia="黑体" w:cs="黑体"/>
          <w:b/>
          <w:bCs/>
          <w:spacing w:val="-5"/>
          <w:sz w:val="25"/>
          <w:szCs w:val="25"/>
        </w:rPr>
        <w:t>培</w:t>
      </w:r>
      <w:r>
        <w:rPr>
          <w:rFonts w:ascii="黑体" w:hAnsi="黑体" w:eastAsia="黑体" w:cs="黑体"/>
          <w:spacing w:val="-51"/>
          <w:sz w:val="25"/>
          <w:szCs w:val="25"/>
        </w:rPr>
        <w:t xml:space="preserve"> </w:t>
      </w:r>
      <w:r>
        <w:rPr>
          <w:rFonts w:ascii="黑体" w:hAnsi="黑体" w:eastAsia="黑体" w:cs="黑体"/>
          <w:b/>
          <w:bCs/>
          <w:spacing w:val="-5"/>
          <w:sz w:val="25"/>
          <w:szCs w:val="25"/>
        </w:rPr>
        <w:t>训</w:t>
      </w:r>
    </w:p>
    <w:p w14:paraId="22669DE6">
      <w:pPr>
        <w:pStyle w:val="2"/>
        <w:spacing w:before="110" w:line="290" w:lineRule="auto"/>
        <w:ind w:right="113" w:firstLine="550"/>
      </w:pPr>
      <w:r>
        <w:rPr>
          <w:spacing w:val="6"/>
        </w:rPr>
        <w:t>本条应列出并描述开发方对操作和使用安装在现场的软件的人员所制</w:t>
      </w:r>
      <w:r>
        <w:rPr>
          <w:spacing w:val="5"/>
        </w:rPr>
        <w:t>定的</w:t>
      </w:r>
      <w:r>
        <w:t xml:space="preserve"> </w:t>
      </w:r>
      <w:r>
        <w:rPr>
          <w:spacing w:val="-11"/>
        </w:rPr>
        <w:t>培训计划，内容包括：一般定向培训、课堂培</w:t>
      </w:r>
      <w:r>
        <w:rPr>
          <w:spacing w:val="-12"/>
        </w:rPr>
        <w:t>训和实习培训。</w:t>
      </w:r>
    </w:p>
    <w:p w14:paraId="6D169167">
      <w:pPr>
        <w:spacing w:line="290" w:lineRule="auto"/>
        <w:sectPr>
          <w:footerReference r:id="rId217" w:type="default"/>
          <w:pgSz w:w="11910" w:h="17130"/>
          <w:pgMar w:top="1456" w:right="1185" w:bottom="1487" w:left="1229" w:header="0" w:footer="1271" w:gutter="0"/>
          <w:cols w:space="720" w:num="1"/>
        </w:sectPr>
      </w:pPr>
    </w:p>
    <w:p w14:paraId="3420366A">
      <w:pPr>
        <w:spacing w:before="128" w:line="221" w:lineRule="auto"/>
        <w:rPr>
          <w:rFonts w:ascii="黑体" w:hAnsi="黑体" w:eastAsia="黑体" w:cs="黑体"/>
          <w:sz w:val="25"/>
          <w:szCs w:val="25"/>
        </w:rPr>
      </w:pPr>
      <w:r>
        <w:rPr>
          <w:rFonts w:ascii="黑体" w:hAnsi="黑体" w:eastAsia="黑体" w:cs="黑体"/>
          <w:spacing w:val="3"/>
          <w:sz w:val="25"/>
          <w:szCs w:val="25"/>
        </w:rPr>
        <w:t>3.5</w:t>
      </w:r>
      <w:r>
        <w:rPr>
          <w:rFonts w:ascii="黑体" w:hAnsi="黑体" w:eastAsia="黑体" w:cs="黑体"/>
          <w:spacing w:val="39"/>
          <w:sz w:val="25"/>
          <w:szCs w:val="25"/>
        </w:rPr>
        <w:t xml:space="preserve">  </w:t>
      </w:r>
      <w:r>
        <w:rPr>
          <w:rFonts w:ascii="黑体" w:hAnsi="黑体" w:eastAsia="黑体" w:cs="黑体"/>
          <w:b/>
          <w:bCs/>
          <w:spacing w:val="3"/>
          <w:sz w:val="25"/>
          <w:szCs w:val="25"/>
        </w:rPr>
        <w:t>任务</w:t>
      </w:r>
    </w:p>
    <w:p w14:paraId="31ECAE21">
      <w:pPr>
        <w:pStyle w:val="2"/>
        <w:spacing w:before="84" w:line="288" w:lineRule="auto"/>
        <w:ind w:firstLine="570"/>
        <w:jc w:val="both"/>
      </w:pPr>
      <w:r>
        <w:rPr>
          <w:spacing w:val="5"/>
        </w:rPr>
        <w:t>本条应列出并描述在软件安装过程中所涉及的各项任务，每项任务的描述</w:t>
      </w:r>
      <w:r>
        <w:rPr>
          <w:spacing w:val="9"/>
        </w:rPr>
        <w:t xml:space="preserve"> </w:t>
      </w:r>
      <w:r>
        <w:rPr>
          <w:spacing w:val="-7"/>
        </w:rPr>
        <w:t>应标识出执行该任务的组织，通常要么是用户、计算机操作人员，要么是开发方。</w:t>
      </w:r>
      <w:r>
        <w:rPr>
          <w:spacing w:val="15"/>
        </w:rPr>
        <w:t xml:space="preserve"> </w:t>
      </w:r>
      <w:r>
        <w:rPr>
          <w:spacing w:val="1"/>
        </w:rPr>
        <w:t>任务列表应包括如下内容：</w:t>
      </w:r>
    </w:p>
    <w:p w14:paraId="175806EE">
      <w:pPr>
        <w:pStyle w:val="2"/>
        <w:spacing w:line="220" w:lineRule="auto"/>
        <w:ind w:left="570"/>
      </w:pPr>
      <w:r>
        <w:rPr>
          <w:rFonts w:ascii="Times New Roman" w:hAnsi="Times New Roman" w:eastAsia="Times New Roman" w:cs="Times New Roman"/>
          <w:spacing w:val="-8"/>
        </w:rPr>
        <w:t>a</w:t>
      </w:r>
      <w:r>
        <w:rPr>
          <w:rFonts w:ascii="Times New Roman" w:hAnsi="Times New Roman" w:eastAsia="Times New Roman" w:cs="Times New Roman"/>
          <w:spacing w:val="-27"/>
        </w:rPr>
        <w:t xml:space="preserve"> </w:t>
      </w:r>
      <w:r>
        <w:rPr>
          <w:spacing w:val="-8"/>
        </w:rPr>
        <w:t>)安装的总体策划、协调、准备工作；</w:t>
      </w:r>
    </w:p>
    <w:p w14:paraId="766A36C0">
      <w:pPr>
        <w:pStyle w:val="2"/>
        <w:spacing w:before="66" w:line="212" w:lineRule="auto"/>
        <w:ind w:left="570"/>
      </w:pPr>
      <w:r>
        <w:rPr>
          <w:rFonts w:ascii="Times New Roman" w:hAnsi="Times New Roman" w:eastAsia="Times New Roman" w:cs="Times New Roman"/>
          <w:spacing w:val="2"/>
        </w:rPr>
        <w:t>b)</w:t>
      </w:r>
      <w:r>
        <w:rPr>
          <w:rFonts w:ascii="Times New Roman" w:hAnsi="Times New Roman" w:eastAsia="Times New Roman" w:cs="Times New Roman"/>
          <w:spacing w:val="77"/>
        </w:rPr>
        <w:t xml:space="preserve"> </w:t>
      </w:r>
      <w:r>
        <w:rPr>
          <w:spacing w:val="2"/>
        </w:rPr>
        <w:t>安装小组的人员配备；</w:t>
      </w:r>
    </w:p>
    <w:p w14:paraId="3D5EA78A">
      <w:pPr>
        <w:pStyle w:val="2"/>
        <w:spacing w:before="109" w:line="212" w:lineRule="auto"/>
        <w:ind w:left="570"/>
      </w:pPr>
      <w:r>
        <w:rPr>
          <w:rFonts w:ascii="Times New Roman" w:hAnsi="Times New Roman" w:eastAsia="Times New Roman" w:cs="Times New Roman"/>
          <w:spacing w:val="-10"/>
        </w:rPr>
        <w:t>c)</w:t>
      </w:r>
      <w:r>
        <w:rPr>
          <w:rFonts w:ascii="Times New Roman" w:hAnsi="Times New Roman" w:eastAsia="Times New Roman" w:cs="Times New Roman"/>
          <w:spacing w:val="77"/>
        </w:rPr>
        <w:t xml:space="preserve"> </w:t>
      </w:r>
      <w:r>
        <w:rPr>
          <w:spacing w:val="-10"/>
        </w:rPr>
        <w:t>安装小组住宿、交通、办公设施的安排；</w:t>
      </w:r>
    </w:p>
    <w:p w14:paraId="1AE25740">
      <w:pPr>
        <w:pStyle w:val="2"/>
        <w:spacing w:before="110" w:line="212" w:lineRule="auto"/>
        <w:ind w:left="570"/>
      </w:pPr>
      <w:r>
        <w:rPr>
          <w:rFonts w:ascii="Times New Roman" w:hAnsi="Times New Roman" w:eastAsia="Times New Roman" w:cs="Times New Roman"/>
          <w:spacing w:val="3"/>
        </w:rPr>
        <w:t xml:space="preserve">d)  </w:t>
      </w:r>
      <w:r>
        <w:rPr>
          <w:spacing w:val="3"/>
        </w:rPr>
        <w:t>确保在需要时可获得的用于安装的手册；</w:t>
      </w:r>
    </w:p>
    <w:p w14:paraId="2AFB796A">
      <w:pPr>
        <w:pStyle w:val="2"/>
        <w:spacing w:before="110" w:line="212" w:lineRule="auto"/>
        <w:ind w:left="570"/>
      </w:pPr>
      <w:r>
        <w:rPr>
          <w:rFonts w:ascii="Times New Roman" w:hAnsi="Times New Roman" w:eastAsia="Times New Roman" w:cs="Times New Roman"/>
          <w:spacing w:val="4"/>
        </w:rPr>
        <w:t xml:space="preserve">e)  </w:t>
      </w:r>
      <w:r>
        <w:rPr>
          <w:spacing w:val="4"/>
        </w:rPr>
        <w:t>确保安装前所完成的其他必要的准备</w:t>
      </w:r>
      <w:r>
        <w:rPr>
          <w:spacing w:val="3"/>
        </w:rPr>
        <w:t>工作；</w:t>
      </w:r>
    </w:p>
    <w:p w14:paraId="23A753A3">
      <w:pPr>
        <w:pStyle w:val="2"/>
        <w:spacing w:before="110" w:line="212" w:lineRule="auto"/>
        <w:ind w:left="570"/>
      </w:pPr>
      <w:r>
        <w:rPr>
          <w:rFonts w:ascii="Times New Roman" w:hAnsi="Times New Roman" w:eastAsia="Times New Roman" w:cs="Times New Roman"/>
          <w:spacing w:val="3"/>
        </w:rPr>
        <w:t>f)</w:t>
      </w:r>
      <w:r>
        <w:rPr>
          <w:rFonts w:ascii="Times New Roman" w:hAnsi="Times New Roman" w:eastAsia="Times New Roman" w:cs="Times New Roman"/>
          <w:spacing w:val="67"/>
        </w:rPr>
        <w:t xml:space="preserve"> </w:t>
      </w:r>
      <w:r>
        <w:rPr>
          <w:spacing w:val="3"/>
        </w:rPr>
        <w:t>计划并开展的培训活动；</w:t>
      </w:r>
    </w:p>
    <w:p w14:paraId="41258485">
      <w:pPr>
        <w:pStyle w:val="2"/>
        <w:spacing w:before="142" w:line="212" w:lineRule="auto"/>
        <w:ind w:left="570"/>
        <w:rPr>
          <w:sz w:val="24"/>
          <w:szCs w:val="24"/>
        </w:rPr>
      </w:pPr>
      <w:r>
        <w:rPr>
          <w:rFonts w:ascii="Times New Roman" w:hAnsi="Times New Roman" w:eastAsia="Times New Roman" w:cs="Times New Roman"/>
          <w:spacing w:val="22"/>
          <w:sz w:val="24"/>
          <w:szCs w:val="24"/>
        </w:rPr>
        <w:t xml:space="preserve">g </w:t>
      </w:r>
      <w:r>
        <w:rPr>
          <w:spacing w:val="22"/>
          <w:sz w:val="24"/>
          <w:szCs w:val="24"/>
        </w:rPr>
        <w:t>)</w:t>
      </w:r>
      <w:r>
        <w:rPr>
          <w:spacing w:val="-27"/>
          <w:sz w:val="24"/>
          <w:szCs w:val="24"/>
        </w:rPr>
        <w:t xml:space="preserve"> </w:t>
      </w:r>
      <w:r>
        <w:rPr>
          <w:spacing w:val="22"/>
          <w:sz w:val="24"/>
          <w:szCs w:val="24"/>
        </w:rPr>
        <w:t>为培训所选择的学员；</w:t>
      </w:r>
    </w:p>
    <w:p w14:paraId="2A241093">
      <w:pPr>
        <w:pStyle w:val="2"/>
        <w:spacing w:before="93" w:line="212" w:lineRule="auto"/>
        <w:ind w:left="570"/>
      </w:pPr>
      <w:r>
        <w:rPr>
          <w:rFonts w:ascii="Times New Roman" w:hAnsi="Times New Roman" w:eastAsia="Times New Roman" w:cs="Times New Roman"/>
          <w:spacing w:val="4"/>
        </w:rPr>
        <w:t xml:space="preserve">h)  </w:t>
      </w:r>
      <w:r>
        <w:rPr>
          <w:spacing w:val="4"/>
        </w:rPr>
        <w:t>为安装提供的所需的计算机支持和技术帮</w:t>
      </w:r>
      <w:r>
        <w:rPr>
          <w:spacing w:val="3"/>
        </w:rPr>
        <w:t>助；</w:t>
      </w:r>
    </w:p>
    <w:p w14:paraId="244A6043">
      <w:pPr>
        <w:pStyle w:val="2"/>
        <w:spacing w:before="110" w:line="212" w:lineRule="auto"/>
        <w:ind w:left="570"/>
      </w:pPr>
      <w:r>
        <w:rPr>
          <w:rFonts w:ascii="Times New Roman" w:hAnsi="Times New Roman" w:eastAsia="Times New Roman" w:cs="Times New Roman"/>
          <w:spacing w:val="4"/>
        </w:rPr>
        <w:t>i)</w:t>
      </w:r>
      <w:r>
        <w:rPr>
          <w:rFonts w:ascii="Times New Roman" w:hAnsi="Times New Roman" w:eastAsia="Times New Roman" w:cs="Times New Roman"/>
          <w:spacing w:val="67"/>
        </w:rPr>
        <w:t xml:space="preserve"> </w:t>
      </w:r>
      <w:r>
        <w:rPr>
          <w:spacing w:val="4"/>
        </w:rPr>
        <w:t>为当前系统的转换所做的准备。</w:t>
      </w:r>
    </w:p>
    <w:p w14:paraId="4A34F63A">
      <w:pPr>
        <w:spacing w:before="163" w:line="221" w:lineRule="auto"/>
        <w:outlineLvl w:val="3"/>
        <w:rPr>
          <w:rFonts w:ascii="黑体" w:hAnsi="黑体" w:eastAsia="黑体" w:cs="黑体"/>
          <w:sz w:val="24"/>
          <w:szCs w:val="24"/>
        </w:rPr>
      </w:pPr>
      <w:r>
        <w:rPr>
          <w:rFonts w:ascii="Arial" w:hAnsi="Arial" w:eastAsia="Arial" w:cs="Arial"/>
          <w:b/>
          <w:bCs/>
          <w:spacing w:val="-6"/>
          <w:sz w:val="24"/>
          <w:szCs w:val="24"/>
        </w:rPr>
        <w:t>3.6</w:t>
      </w:r>
      <w:r>
        <w:rPr>
          <w:rFonts w:ascii="Arial" w:hAnsi="Arial" w:eastAsia="Arial" w:cs="Arial"/>
          <w:b/>
          <w:bCs/>
          <w:spacing w:val="7"/>
          <w:sz w:val="24"/>
          <w:szCs w:val="24"/>
        </w:rPr>
        <w:t xml:space="preserve">     </w:t>
      </w:r>
      <w:r>
        <w:rPr>
          <w:rFonts w:ascii="黑体" w:hAnsi="黑体" w:eastAsia="黑体" w:cs="黑体"/>
          <w:b/>
          <w:bCs/>
          <w:spacing w:val="-6"/>
          <w:sz w:val="24"/>
          <w:szCs w:val="24"/>
        </w:rPr>
        <w:t>人</w:t>
      </w:r>
      <w:r>
        <w:rPr>
          <w:rFonts w:ascii="黑体" w:hAnsi="黑体" w:eastAsia="黑体" w:cs="黑体"/>
          <w:spacing w:val="-35"/>
          <w:sz w:val="24"/>
          <w:szCs w:val="24"/>
        </w:rPr>
        <w:t xml:space="preserve"> </w:t>
      </w:r>
      <w:r>
        <w:rPr>
          <w:rFonts w:ascii="黑体" w:hAnsi="黑体" w:eastAsia="黑体" w:cs="黑体"/>
          <w:b/>
          <w:bCs/>
          <w:spacing w:val="-6"/>
          <w:sz w:val="24"/>
          <w:szCs w:val="24"/>
        </w:rPr>
        <w:t>员</w:t>
      </w:r>
    </w:p>
    <w:p w14:paraId="18413EDE">
      <w:pPr>
        <w:pStyle w:val="2"/>
        <w:spacing w:before="108" w:line="290" w:lineRule="auto"/>
        <w:ind w:right="81" w:firstLine="570"/>
      </w:pPr>
      <w:r>
        <w:rPr>
          <w:spacing w:val="-2"/>
        </w:rPr>
        <w:t>本条应描述安装过程中所需人员的数量、类型、</w:t>
      </w:r>
      <w:r>
        <w:rPr>
          <w:spacing w:val="-3"/>
        </w:rPr>
        <w:t>技术水平，其中包括轮班操</w:t>
      </w:r>
      <w:r>
        <w:t xml:space="preserve"> </w:t>
      </w:r>
      <w:r>
        <w:rPr>
          <w:spacing w:val="3"/>
        </w:rPr>
        <w:t>作和办事人员的需求。</w:t>
      </w:r>
    </w:p>
    <w:p w14:paraId="43008609">
      <w:pPr>
        <w:spacing w:before="7" w:line="221" w:lineRule="auto"/>
        <w:rPr>
          <w:rFonts w:ascii="黑体" w:hAnsi="黑体" w:eastAsia="黑体" w:cs="黑体"/>
          <w:sz w:val="27"/>
          <w:szCs w:val="27"/>
        </w:rPr>
      </w:pPr>
      <w:r>
        <w:rPr>
          <w:rFonts w:ascii="黑体" w:hAnsi="黑体" w:eastAsia="黑体" w:cs="黑体"/>
          <w:spacing w:val="1"/>
          <w:sz w:val="27"/>
          <w:szCs w:val="27"/>
        </w:rPr>
        <w:t>3.7</w:t>
      </w:r>
      <w:r>
        <w:rPr>
          <w:rFonts w:ascii="黑体" w:hAnsi="黑体" w:eastAsia="黑体" w:cs="黑体"/>
          <w:spacing w:val="15"/>
          <w:sz w:val="27"/>
          <w:szCs w:val="27"/>
        </w:rPr>
        <w:t xml:space="preserve">  </w:t>
      </w:r>
      <w:r>
        <w:rPr>
          <w:rFonts w:ascii="黑体" w:hAnsi="黑体" w:eastAsia="黑体" w:cs="黑体"/>
          <w:b/>
          <w:bCs/>
          <w:spacing w:val="1"/>
          <w:sz w:val="27"/>
          <w:szCs w:val="27"/>
        </w:rPr>
        <w:t>保密性</w:t>
      </w:r>
    </w:p>
    <w:p w14:paraId="7AE8230B">
      <w:pPr>
        <w:pStyle w:val="2"/>
        <w:spacing w:before="82" w:line="219" w:lineRule="auto"/>
        <w:ind w:left="570"/>
      </w:pPr>
      <w:r>
        <w:rPr>
          <w:spacing w:val="3"/>
        </w:rPr>
        <w:t>本条应概述系统有关的保密性方面的考虑。</w:t>
      </w:r>
    </w:p>
    <w:p w14:paraId="3E4CFC66">
      <w:pPr>
        <w:spacing w:before="135" w:line="221" w:lineRule="auto"/>
        <w:outlineLvl w:val="3"/>
        <w:rPr>
          <w:rFonts w:ascii="黑体" w:hAnsi="黑体" w:eastAsia="黑体" w:cs="黑体"/>
          <w:sz w:val="27"/>
          <w:szCs w:val="27"/>
        </w:rPr>
      </w:pPr>
      <w:r>
        <w:rPr>
          <w:rFonts w:ascii="Arial" w:hAnsi="Arial" w:eastAsia="Arial" w:cs="Arial"/>
          <w:b/>
          <w:bCs/>
          <w:spacing w:val="1"/>
          <w:sz w:val="27"/>
          <w:szCs w:val="27"/>
        </w:rPr>
        <w:t xml:space="preserve">4    </w:t>
      </w:r>
      <w:r>
        <w:rPr>
          <w:rFonts w:ascii="黑体" w:hAnsi="黑体" w:eastAsia="黑体" w:cs="黑体"/>
          <w:b/>
          <w:bCs/>
          <w:spacing w:val="1"/>
          <w:sz w:val="27"/>
          <w:szCs w:val="27"/>
        </w:rPr>
        <w:t>为软件中心操作员提供特定现场信息</w:t>
      </w:r>
    </w:p>
    <w:p w14:paraId="0EC3109A">
      <w:pPr>
        <w:pStyle w:val="2"/>
        <w:spacing w:before="71" w:line="291" w:lineRule="auto"/>
        <w:ind w:right="102" w:firstLine="570"/>
        <w:jc w:val="both"/>
      </w:pPr>
      <w:r>
        <w:rPr>
          <w:spacing w:val="-3"/>
        </w:rPr>
        <w:t>本章适用于以下情况：软件安装在计算机中心、或其他集中式的或网络的软</w:t>
      </w:r>
      <w:r>
        <w:t xml:space="preserve"> </w:t>
      </w:r>
      <w:r>
        <w:rPr>
          <w:spacing w:val="2"/>
        </w:rPr>
        <w:t>件装置上，用户可通过终端或采用批量输入/输出方式进行访问。</w:t>
      </w:r>
      <w:r>
        <w:rPr>
          <w:spacing w:val="1"/>
        </w:rPr>
        <w:t>如果不采用此</w:t>
      </w:r>
      <w:r>
        <w:t xml:space="preserve"> </w:t>
      </w:r>
      <w:r>
        <w:rPr>
          <w:spacing w:val="-23"/>
        </w:rPr>
        <w:t>类安装，本章应注明“不适用”。</w:t>
      </w:r>
    </w:p>
    <w:p w14:paraId="21B238A4">
      <w:pPr>
        <w:spacing w:before="1" w:line="221" w:lineRule="auto"/>
        <w:rPr>
          <w:rFonts w:ascii="黑体" w:hAnsi="黑体" w:eastAsia="黑体" w:cs="黑体"/>
          <w:sz w:val="27"/>
          <w:szCs w:val="27"/>
        </w:rPr>
      </w:pPr>
      <w:r>
        <w:rPr>
          <w:rFonts w:ascii="Times New Roman" w:hAnsi="Times New Roman" w:eastAsia="Times New Roman" w:cs="Times New Roman"/>
          <w:spacing w:val="1"/>
          <w:sz w:val="27"/>
          <w:szCs w:val="27"/>
        </w:rPr>
        <w:t>4.X</w:t>
      </w:r>
      <w:r>
        <w:rPr>
          <w:rFonts w:ascii="Times New Roman" w:hAnsi="Times New Roman" w:eastAsia="Times New Roman" w:cs="Times New Roman"/>
          <w:spacing w:val="12"/>
          <w:sz w:val="27"/>
          <w:szCs w:val="27"/>
        </w:rPr>
        <w:t xml:space="preserve">     </w:t>
      </w:r>
      <w:r>
        <w:rPr>
          <w:rFonts w:ascii="黑体" w:hAnsi="黑体" w:eastAsia="黑体" w:cs="黑体"/>
          <w:b/>
          <w:bCs/>
          <w:spacing w:val="1"/>
          <w:sz w:val="27"/>
          <w:szCs w:val="27"/>
        </w:rPr>
        <w:t>现场名</w:t>
      </w:r>
    </w:p>
    <w:p w14:paraId="127CC889">
      <w:pPr>
        <w:pStyle w:val="2"/>
        <w:spacing w:before="109" w:line="297" w:lineRule="auto"/>
        <w:ind w:right="104" w:firstLine="570"/>
      </w:pPr>
      <w:r>
        <w:rPr>
          <w:spacing w:val="-3"/>
        </w:rPr>
        <w:t>本条应描述一个或一组现场，当多个现场的信息基本相同时，可合在一</w:t>
      </w:r>
      <w:r>
        <w:rPr>
          <w:spacing w:val="-4"/>
        </w:rPr>
        <w:t>起进</w:t>
      </w:r>
      <w:r>
        <w:t xml:space="preserve"> </w:t>
      </w:r>
      <w:r>
        <w:rPr>
          <w:spacing w:val="1"/>
        </w:rPr>
        <w:t>行说明。</w:t>
      </w:r>
    </w:p>
    <w:p w14:paraId="5549A7EF">
      <w:pPr>
        <w:spacing w:before="7" w:line="222" w:lineRule="auto"/>
        <w:rPr>
          <w:rFonts w:ascii="黑体" w:hAnsi="黑体" w:eastAsia="黑体" w:cs="黑体"/>
          <w:sz w:val="24"/>
          <w:szCs w:val="24"/>
        </w:rPr>
      </w:pPr>
      <w:r>
        <w:rPr>
          <w:rFonts w:ascii="Times New Roman" w:hAnsi="Times New Roman" w:eastAsia="Times New Roman" w:cs="Times New Roman"/>
          <w:spacing w:val="8"/>
          <w:sz w:val="24"/>
          <w:szCs w:val="24"/>
        </w:rPr>
        <w:t>4.X.</w:t>
      </w:r>
      <w:r>
        <w:rPr>
          <w:rFonts w:ascii="Times New Roman" w:hAnsi="Times New Roman" w:eastAsia="Times New Roman" w:cs="Times New Roman"/>
          <w:spacing w:val="2"/>
          <w:sz w:val="24"/>
          <w:szCs w:val="24"/>
        </w:rPr>
        <w:t xml:space="preserve">   </w:t>
      </w:r>
      <w:r>
        <w:rPr>
          <w:rFonts w:ascii="黑体" w:hAnsi="黑体" w:eastAsia="黑体" w:cs="黑体"/>
          <w:spacing w:val="8"/>
          <w:sz w:val="24"/>
          <w:szCs w:val="24"/>
        </w:rPr>
        <w:t xml:space="preserve">1   </w:t>
      </w:r>
      <w:r>
        <w:rPr>
          <w:rFonts w:ascii="黑体" w:hAnsi="黑体" w:eastAsia="黑体" w:cs="黑体"/>
          <w:b/>
          <w:bCs/>
          <w:spacing w:val="8"/>
          <w:sz w:val="24"/>
          <w:szCs w:val="24"/>
        </w:rPr>
        <w:t>进度表</w:t>
      </w:r>
    </w:p>
    <w:p w14:paraId="4F9183FF">
      <w:pPr>
        <w:pStyle w:val="2"/>
        <w:spacing w:before="98" w:line="296" w:lineRule="auto"/>
        <w:ind w:right="101" w:firstLine="570"/>
      </w:pPr>
      <w:r>
        <w:rPr>
          <w:spacing w:val="5"/>
        </w:rPr>
        <w:t>本条应描述安装期间要完成任务的进度表。按照每个任务的开始日期和完</w:t>
      </w:r>
      <w:r>
        <w:rPr>
          <w:spacing w:val="12"/>
        </w:rPr>
        <w:t xml:space="preserve"> </w:t>
      </w:r>
      <w:r>
        <w:rPr>
          <w:spacing w:val="-3"/>
        </w:rPr>
        <w:t>成日期的时间顺序描述，并加以必要的说明。</w:t>
      </w:r>
    </w:p>
    <w:p w14:paraId="39A54814">
      <w:pPr>
        <w:spacing w:line="222" w:lineRule="auto"/>
        <w:rPr>
          <w:rFonts w:ascii="黑体" w:hAnsi="黑体" w:eastAsia="黑体" w:cs="黑体"/>
          <w:sz w:val="27"/>
          <w:szCs w:val="27"/>
        </w:rPr>
      </w:pPr>
      <w:r>
        <w:rPr>
          <w:rFonts w:ascii="Times New Roman" w:hAnsi="Times New Roman" w:eastAsia="Times New Roman" w:cs="Times New Roman"/>
          <w:spacing w:val="-2"/>
          <w:sz w:val="27"/>
          <w:szCs w:val="27"/>
        </w:rPr>
        <w:t>4.X.</w:t>
      </w:r>
      <w:r>
        <w:rPr>
          <w:rFonts w:ascii="Times New Roman" w:hAnsi="Times New Roman" w:eastAsia="Times New Roman" w:cs="Times New Roman"/>
          <w:spacing w:val="53"/>
          <w:w w:val="101"/>
          <w:sz w:val="27"/>
          <w:szCs w:val="27"/>
        </w:rPr>
        <w:t xml:space="preserve"> </w:t>
      </w:r>
      <w:r>
        <w:rPr>
          <w:rFonts w:ascii="黑体" w:hAnsi="黑体" w:eastAsia="黑体" w:cs="黑体"/>
          <w:spacing w:val="-2"/>
          <w:sz w:val="27"/>
          <w:szCs w:val="27"/>
        </w:rPr>
        <w:t>2</w:t>
      </w:r>
      <w:r>
        <w:rPr>
          <w:rFonts w:ascii="黑体" w:hAnsi="黑体" w:eastAsia="黑体" w:cs="黑体"/>
          <w:spacing w:val="53"/>
          <w:sz w:val="27"/>
          <w:szCs w:val="27"/>
        </w:rPr>
        <w:t xml:space="preserve">  </w:t>
      </w:r>
      <w:r>
        <w:rPr>
          <w:rFonts w:ascii="黑体" w:hAnsi="黑体" w:eastAsia="黑体" w:cs="黑体"/>
          <w:b/>
          <w:bCs/>
          <w:spacing w:val="-2"/>
          <w:sz w:val="27"/>
          <w:szCs w:val="27"/>
        </w:rPr>
        <w:t>软件清单</w:t>
      </w:r>
    </w:p>
    <w:p w14:paraId="3436A6F5">
      <w:pPr>
        <w:pStyle w:val="2"/>
        <w:spacing w:before="110" w:line="279" w:lineRule="auto"/>
        <w:ind w:right="101" w:firstLine="570"/>
        <w:jc w:val="both"/>
      </w:pPr>
      <w:r>
        <w:rPr>
          <w:spacing w:val="5"/>
        </w:rPr>
        <w:t>本条应描述为支持安装所需软件的详细清单。(若适用)使用软件名称、标</w:t>
      </w:r>
      <w:r>
        <w:rPr>
          <w:spacing w:val="4"/>
        </w:rPr>
        <w:t xml:space="preserve"> </w:t>
      </w:r>
      <w:r>
        <w:rPr>
          <w:spacing w:val="-9"/>
        </w:rPr>
        <w:t>识号、版本号、发布号、配置、保密类别来标识这</w:t>
      </w:r>
      <w:r>
        <w:rPr>
          <w:spacing w:val="-10"/>
        </w:rPr>
        <w:t>些软件。同时应标识这些软件是</w:t>
      </w:r>
      <w:r>
        <w:t xml:space="preserve"> </w:t>
      </w:r>
      <w:r>
        <w:rPr>
          <w:spacing w:val="5"/>
        </w:rPr>
        <w:t>现场应具备的，还是为安装而交付的，并标识仅仅为了方便安装要使用的所有</w:t>
      </w:r>
      <w:r>
        <w:rPr>
          <w:spacing w:val="12"/>
        </w:rPr>
        <w:t xml:space="preserve"> </w:t>
      </w:r>
      <w:r>
        <w:rPr>
          <w:spacing w:val="-6"/>
        </w:rPr>
        <w:t>软件。</w:t>
      </w:r>
    </w:p>
    <w:p w14:paraId="08A07BE0">
      <w:pPr>
        <w:spacing w:line="279" w:lineRule="auto"/>
        <w:sectPr>
          <w:footerReference r:id="rId218" w:type="default"/>
          <w:pgSz w:w="11910" w:h="17130"/>
          <w:pgMar w:top="1456" w:right="1065" w:bottom="1597" w:left="1360" w:header="0" w:footer="1381" w:gutter="0"/>
          <w:cols w:space="720" w:num="1"/>
        </w:sectPr>
      </w:pPr>
    </w:p>
    <w:p w14:paraId="3805FB61">
      <w:pPr>
        <w:spacing w:before="168" w:line="222" w:lineRule="auto"/>
        <w:rPr>
          <w:rFonts w:ascii="黑体" w:hAnsi="黑体" w:eastAsia="黑体" w:cs="黑体"/>
          <w:sz w:val="24"/>
          <w:szCs w:val="24"/>
        </w:rPr>
      </w:pPr>
      <w:r>
        <w:rPr>
          <w:rFonts w:ascii="Times New Roman" w:hAnsi="Times New Roman" w:eastAsia="Times New Roman" w:cs="Times New Roman"/>
          <w:spacing w:val="-3"/>
          <w:sz w:val="24"/>
          <w:szCs w:val="24"/>
        </w:rPr>
        <w:t>4.X.3</w:t>
      </w:r>
      <w:r>
        <w:rPr>
          <w:rFonts w:ascii="Times New Roman" w:hAnsi="Times New Roman" w:eastAsia="Times New Roman" w:cs="Times New Roman"/>
          <w:spacing w:val="1"/>
          <w:sz w:val="24"/>
          <w:szCs w:val="24"/>
        </w:rPr>
        <w:t xml:space="preserve">        </w:t>
      </w:r>
      <w:r>
        <w:rPr>
          <w:rFonts w:ascii="黑体" w:hAnsi="黑体" w:eastAsia="黑体" w:cs="黑体"/>
          <w:b/>
          <w:bCs/>
          <w:spacing w:val="-3"/>
          <w:sz w:val="24"/>
          <w:szCs w:val="24"/>
        </w:rPr>
        <w:t>设</w:t>
      </w:r>
      <w:r>
        <w:rPr>
          <w:rFonts w:ascii="黑体" w:hAnsi="黑体" w:eastAsia="黑体" w:cs="黑体"/>
          <w:spacing w:val="-42"/>
          <w:sz w:val="24"/>
          <w:szCs w:val="24"/>
        </w:rPr>
        <w:t xml:space="preserve"> </w:t>
      </w:r>
      <w:r>
        <w:rPr>
          <w:rFonts w:ascii="黑体" w:hAnsi="黑体" w:eastAsia="黑体" w:cs="黑体"/>
          <w:b/>
          <w:bCs/>
          <w:spacing w:val="-3"/>
          <w:sz w:val="24"/>
          <w:szCs w:val="24"/>
        </w:rPr>
        <w:t>施</w:t>
      </w:r>
    </w:p>
    <w:p w14:paraId="5D6896EC">
      <w:pPr>
        <w:pStyle w:val="2"/>
        <w:spacing w:before="57" w:line="263" w:lineRule="auto"/>
        <w:ind w:right="7" w:firstLine="550"/>
      </w:pPr>
      <w:r>
        <w:rPr>
          <w:spacing w:val="5"/>
        </w:rPr>
        <w:t>本条应详细描述安装期间所需的物理设施和食宿供应，(若适用)应包括以</w:t>
      </w:r>
      <w:r>
        <w:rPr>
          <w:spacing w:val="18"/>
        </w:rPr>
        <w:t xml:space="preserve"> </w:t>
      </w:r>
      <w:r>
        <w:rPr>
          <w:spacing w:val="-3"/>
        </w:rPr>
        <w:t>下内容：</w:t>
      </w:r>
    </w:p>
    <w:p w14:paraId="09B6C632">
      <w:pPr>
        <w:pStyle w:val="2"/>
        <w:spacing w:line="282" w:lineRule="auto"/>
        <w:ind w:firstLine="550"/>
      </w:pPr>
      <w:r>
        <w:rPr>
          <w:rFonts w:ascii="Times New Roman" w:hAnsi="Times New Roman" w:eastAsia="Times New Roman" w:cs="Times New Roman"/>
          <w:spacing w:val="-11"/>
        </w:rPr>
        <w:t xml:space="preserve">a)  </w:t>
      </w:r>
      <w:r>
        <w:rPr>
          <w:spacing w:val="-11"/>
        </w:rPr>
        <w:t>所需的教室、工作场所、培训辅助工</w:t>
      </w:r>
      <w:r>
        <w:rPr>
          <w:spacing w:val="-12"/>
        </w:rPr>
        <w:t>具、每天的工作时间、工作天数、轮班</w:t>
      </w:r>
      <w:r>
        <w:t xml:space="preserve"> </w:t>
      </w:r>
      <w:r>
        <w:rPr>
          <w:spacing w:val="-8"/>
        </w:rPr>
        <w:t>安排；</w:t>
      </w:r>
    </w:p>
    <w:p w14:paraId="0F321B6A">
      <w:pPr>
        <w:pStyle w:val="2"/>
        <w:spacing w:before="77" w:line="212" w:lineRule="auto"/>
        <w:ind w:left="550"/>
        <w:rPr>
          <w:sz w:val="24"/>
          <w:szCs w:val="24"/>
        </w:rPr>
      </w:pPr>
      <w:r>
        <w:rPr>
          <w:rFonts w:ascii="Times New Roman" w:hAnsi="Times New Roman" w:eastAsia="Times New Roman" w:cs="Times New Roman"/>
          <w:spacing w:val="28"/>
          <w:sz w:val="24"/>
          <w:szCs w:val="24"/>
        </w:rPr>
        <w:t xml:space="preserve">b)  </w:t>
      </w:r>
      <w:r>
        <w:rPr>
          <w:spacing w:val="28"/>
          <w:sz w:val="24"/>
          <w:szCs w:val="24"/>
        </w:rPr>
        <w:t>必须运行的且可用的硬件设备；</w:t>
      </w:r>
    </w:p>
    <w:p w14:paraId="58034316">
      <w:pPr>
        <w:pStyle w:val="2"/>
        <w:spacing w:before="124" w:line="212" w:lineRule="auto"/>
        <w:ind w:left="550"/>
        <w:rPr>
          <w:sz w:val="24"/>
          <w:szCs w:val="24"/>
        </w:rPr>
      </w:pPr>
      <w:r>
        <w:rPr>
          <w:rFonts w:ascii="Times New Roman" w:hAnsi="Times New Roman" w:eastAsia="Times New Roman" w:cs="Times New Roman"/>
          <w:spacing w:val="26"/>
          <w:sz w:val="24"/>
          <w:szCs w:val="24"/>
        </w:rPr>
        <w:t xml:space="preserve">c)  </w:t>
      </w:r>
      <w:r>
        <w:rPr>
          <w:spacing w:val="26"/>
          <w:sz w:val="24"/>
          <w:szCs w:val="24"/>
        </w:rPr>
        <w:t>安装小组的交通和食宿安排。</w:t>
      </w:r>
    </w:p>
    <w:p w14:paraId="593EC5A9">
      <w:pPr>
        <w:spacing w:before="140" w:line="223" w:lineRule="auto"/>
        <w:rPr>
          <w:rFonts w:ascii="黑体" w:hAnsi="黑体" w:eastAsia="黑体" w:cs="黑体"/>
          <w:sz w:val="27"/>
          <w:szCs w:val="27"/>
        </w:rPr>
      </w:pPr>
      <w:r>
        <w:rPr>
          <w:rFonts w:ascii="Times New Roman" w:hAnsi="Times New Roman" w:eastAsia="Times New Roman" w:cs="Times New Roman"/>
          <w:spacing w:val="-4"/>
          <w:sz w:val="27"/>
          <w:szCs w:val="27"/>
        </w:rPr>
        <w:t>4.X.</w:t>
      </w:r>
      <w:r>
        <w:rPr>
          <w:rFonts w:ascii="Times New Roman" w:hAnsi="Times New Roman" w:eastAsia="Times New Roman" w:cs="Times New Roman"/>
          <w:spacing w:val="52"/>
          <w:sz w:val="27"/>
          <w:szCs w:val="27"/>
        </w:rPr>
        <w:t xml:space="preserve"> </w:t>
      </w:r>
      <w:r>
        <w:rPr>
          <w:rFonts w:ascii="黑体" w:hAnsi="黑体" w:eastAsia="黑体" w:cs="黑体"/>
          <w:spacing w:val="-4"/>
          <w:sz w:val="27"/>
          <w:szCs w:val="27"/>
        </w:rPr>
        <w:t>4</w:t>
      </w:r>
      <w:r>
        <w:rPr>
          <w:rFonts w:ascii="黑体" w:hAnsi="黑体" w:eastAsia="黑体" w:cs="黑体"/>
          <w:spacing w:val="21"/>
          <w:sz w:val="27"/>
          <w:szCs w:val="27"/>
        </w:rPr>
        <w:t xml:space="preserve">  </w:t>
      </w:r>
      <w:r>
        <w:rPr>
          <w:rFonts w:ascii="黑体" w:hAnsi="黑体" w:eastAsia="黑体" w:cs="黑体"/>
          <w:b/>
          <w:bCs/>
          <w:spacing w:val="-4"/>
          <w:sz w:val="27"/>
          <w:szCs w:val="27"/>
        </w:rPr>
        <w:t>安装小组</w:t>
      </w:r>
    </w:p>
    <w:p w14:paraId="334A807F">
      <w:pPr>
        <w:pStyle w:val="2"/>
        <w:spacing w:before="75" w:line="219" w:lineRule="auto"/>
        <w:ind w:left="550"/>
      </w:pPr>
      <w:r>
        <w:rPr>
          <w:spacing w:val="-2"/>
        </w:rPr>
        <w:t>本条应描述安装小组的组成，确定每个小组成员的任务。</w:t>
      </w:r>
    </w:p>
    <w:p w14:paraId="336226FE">
      <w:pPr>
        <w:spacing w:before="105" w:line="222" w:lineRule="auto"/>
        <w:rPr>
          <w:rFonts w:ascii="黑体" w:hAnsi="黑体" w:eastAsia="黑体" w:cs="黑体"/>
          <w:sz w:val="25"/>
          <w:szCs w:val="25"/>
        </w:rPr>
      </w:pPr>
      <w:r>
        <w:rPr>
          <w:rFonts w:ascii="Times New Roman" w:hAnsi="Times New Roman" w:eastAsia="Times New Roman" w:cs="Times New Roman"/>
          <w:spacing w:val="5"/>
          <w:sz w:val="25"/>
          <w:szCs w:val="25"/>
        </w:rPr>
        <w:t xml:space="preserve">4.X.5       </w:t>
      </w:r>
      <w:r>
        <w:rPr>
          <w:rFonts w:ascii="黑体" w:hAnsi="黑体" w:eastAsia="黑体" w:cs="黑体"/>
          <w:b/>
          <w:bCs/>
          <w:spacing w:val="5"/>
          <w:sz w:val="25"/>
          <w:szCs w:val="25"/>
        </w:rPr>
        <w:t>安装规程</w:t>
      </w:r>
    </w:p>
    <w:p w14:paraId="2B503243">
      <w:pPr>
        <w:pStyle w:val="2"/>
        <w:spacing w:before="84" w:line="276" w:lineRule="auto"/>
        <w:ind w:right="6" w:firstLine="550"/>
        <w:jc w:val="both"/>
      </w:pPr>
      <w:r>
        <w:rPr>
          <w:spacing w:val="-3"/>
        </w:rPr>
        <w:t>本条应描述完成安装的逐步规程。可引用其他文档，如操作员手册，在适当</w:t>
      </w:r>
      <w:r>
        <w:rPr>
          <w:spacing w:val="13"/>
        </w:rPr>
        <w:t xml:space="preserve"> </w:t>
      </w:r>
      <w:r>
        <w:rPr>
          <w:spacing w:val="-10"/>
        </w:rPr>
        <w:t>的地方包含有“警告”或“注意”标记作为安全提示。(若适用)安装规程应包括如</w:t>
      </w:r>
      <w:r>
        <w:rPr>
          <w:spacing w:val="18"/>
        </w:rPr>
        <w:t xml:space="preserve"> </w:t>
      </w:r>
      <w:r>
        <w:rPr>
          <w:spacing w:val="-3"/>
        </w:rPr>
        <w:t>下内容：</w:t>
      </w:r>
    </w:p>
    <w:p w14:paraId="035E8AE7">
      <w:pPr>
        <w:pStyle w:val="2"/>
        <w:spacing w:before="1" w:line="219" w:lineRule="auto"/>
        <w:ind w:left="550"/>
      </w:pPr>
      <w:r>
        <w:rPr>
          <w:rFonts w:ascii="Times New Roman" w:hAnsi="Times New Roman" w:eastAsia="Times New Roman" w:cs="Times New Roman"/>
        </w:rPr>
        <w:t>a</w:t>
      </w:r>
      <w:r>
        <w:t>)</w:t>
      </w:r>
      <w:r>
        <w:rPr>
          <w:spacing w:val="-46"/>
        </w:rPr>
        <w:t xml:space="preserve"> </w:t>
      </w:r>
      <w:r>
        <w:t>软件的安装；</w:t>
      </w:r>
    </w:p>
    <w:p w14:paraId="5891EA81">
      <w:pPr>
        <w:pStyle w:val="2"/>
        <w:spacing w:before="59" w:line="212" w:lineRule="auto"/>
        <w:ind w:left="550"/>
      </w:pPr>
      <w:r>
        <w:rPr>
          <w:rFonts w:ascii="Times New Roman" w:hAnsi="Times New Roman" w:eastAsia="Times New Roman" w:cs="Times New Roman"/>
          <w:spacing w:val="1"/>
        </w:rPr>
        <w:t xml:space="preserve">b)  </w:t>
      </w:r>
      <w:r>
        <w:rPr>
          <w:spacing w:val="1"/>
        </w:rPr>
        <w:t>安装后软件的检验；</w:t>
      </w:r>
    </w:p>
    <w:p w14:paraId="715FD72A">
      <w:pPr>
        <w:pStyle w:val="2"/>
        <w:spacing w:before="110"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78"/>
          <w:w w:val="101"/>
        </w:rPr>
        <w:t xml:space="preserve"> </w:t>
      </w:r>
      <w:r>
        <w:rPr>
          <w:spacing w:val="4"/>
        </w:rPr>
        <w:t>用现场专用的数据初始化数据库和其他软件；</w:t>
      </w:r>
    </w:p>
    <w:p w14:paraId="3178CEA2">
      <w:pPr>
        <w:pStyle w:val="2"/>
        <w:spacing w:before="100" w:line="212" w:lineRule="auto"/>
        <w:ind w:left="550"/>
      </w:pPr>
      <w:r>
        <w:rPr>
          <w:rFonts w:ascii="Times New Roman" w:hAnsi="Times New Roman" w:eastAsia="Times New Roman" w:cs="Times New Roman"/>
        </w:rPr>
        <w:t xml:space="preserve">d)  </w:t>
      </w:r>
      <w:r>
        <w:t>现行系统的转换，可能涉及到现行系统与转换后系</w:t>
      </w:r>
      <w:r>
        <w:rPr>
          <w:spacing w:val="-1"/>
        </w:rPr>
        <w:t>统并行运行；</w:t>
      </w:r>
    </w:p>
    <w:p w14:paraId="2FD88DC8">
      <w:pPr>
        <w:pStyle w:val="2"/>
        <w:spacing w:before="100" w:line="212" w:lineRule="auto"/>
        <w:ind w:left="550"/>
      </w:pPr>
      <w:r>
        <w:rPr>
          <w:rFonts w:ascii="Times New Roman" w:hAnsi="Times New Roman" w:eastAsia="Times New Roman" w:cs="Times New Roman"/>
          <w:spacing w:val="4"/>
        </w:rPr>
        <w:t>e)</w:t>
      </w:r>
      <w:r>
        <w:rPr>
          <w:rFonts w:ascii="Times New Roman" w:hAnsi="Times New Roman" w:eastAsia="Times New Roman" w:cs="Times New Roman"/>
          <w:spacing w:val="66"/>
          <w:w w:val="101"/>
        </w:rPr>
        <w:t xml:space="preserve"> </w:t>
      </w:r>
      <w:r>
        <w:rPr>
          <w:spacing w:val="4"/>
        </w:rPr>
        <w:t>对操作手册和用户手册中的规程的演示。</w:t>
      </w:r>
    </w:p>
    <w:p w14:paraId="164F8912">
      <w:pPr>
        <w:spacing w:before="114" w:line="221" w:lineRule="auto"/>
        <w:rPr>
          <w:rFonts w:ascii="黑体" w:hAnsi="黑体" w:eastAsia="黑体" w:cs="黑体"/>
          <w:sz w:val="27"/>
          <w:szCs w:val="27"/>
        </w:rPr>
      </w:pPr>
      <w:r>
        <w:rPr>
          <w:rFonts w:ascii="Times New Roman" w:hAnsi="Times New Roman" w:eastAsia="Times New Roman" w:cs="Times New Roman"/>
          <w:spacing w:val="-2"/>
          <w:sz w:val="27"/>
          <w:szCs w:val="27"/>
        </w:rPr>
        <w:t xml:space="preserve">4.X </w:t>
      </w:r>
      <w:r>
        <w:rPr>
          <w:rFonts w:ascii="黑体" w:hAnsi="黑体" w:eastAsia="黑体" w:cs="黑体"/>
          <w:b/>
          <w:bCs/>
          <w:spacing w:val="-2"/>
          <w:sz w:val="27"/>
          <w:szCs w:val="27"/>
        </w:rPr>
        <w:t>.6</w:t>
      </w:r>
      <w:r>
        <w:rPr>
          <w:rFonts w:ascii="黑体" w:hAnsi="黑体" w:eastAsia="黑体" w:cs="黑体"/>
          <w:spacing w:val="20"/>
          <w:sz w:val="27"/>
          <w:szCs w:val="27"/>
        </w:rPr>
        <w:t xml:space="preserve">  </w:t>
      </w:r>
      <w:r>
        <w:rPr>
          <w:rFonts w:ascii="黑体" w:hAnsi="黑体" w:eastAsia="黑体" w:cs="黑体"/>
          <w:b/>
          <w:bCs/>
          <w:spacing w:val="-2"/>
          <w:sz w:val="27"/>
          <w:szCs w:val="27"/>
        </w:rPr>
        <w:t>数据更新规程</w:t>
      </w:r>
    </w:p>
    <w:p w14:paraId="6AB06902">
      <w:pPr>
        <w:pStyle w:val="2"/>
        <w:spacing w:before="92" w:line="279" w:lineRule="auto"/>
        <w:ind w:right="10" w:firstLine="550"/>
      </w:pPr>
      <w:r>
        <w:rPr>
          <w:spacing w:val="6"/>
        </w:rPr>
        <w:t>本条应描述安装期间应遵循的数据更新规程。</w:t>
      </w:r>
      <w:r>
        <w:rPr>
          <w:spacing w:val="5"/>
        </w:rPr>
        <w:t>如果数据更新过程与一般的</w:t>
      </w:r>
      <w:r>
        <w:t xml:space="preserve"> </w:t>
      </w:r>
      <w:r>
        <w:rPr>
          <w:spacing w:val="-6"/>
        </w:rPr>
        <w:t>更新或处理规程相同，可以引用其他文档，如操作员手册。</w:t>
      </w:r>
    </w:p>
    <w:p w14:paraId="0001D148">
      <w:pPr>
        <w:spacing w:before="1" w:line="221" w:lineRule="auto"/>
        <w:outlineLvl w:val="3"/>
        <w:rPr>
          <w:rFonts w:ascii="黑体" w:hAnsi="黑体" w:eastAsia="黑体" w:cs="黑体"/>
          <w:sz w:val="27"/>
          <w:szCs w:val="27"/>
        </w:rPr>
      </w:pPr>
      <w:r>
        <w:rPr>
          <w:rFonts w:ascii="Arial" w:hAnsi="Arial" w:eastAsia="Arial" w:cs="Arial"/>
          <w:b/>
          <w:bCs/>
          <w:sz w:val="27"/>
          <w:szCs w:val="27"/>
        </w:rPr>
        <w:t xml:space="preserve">5    </w:t>
      </w:r>
      <w:r>
        <w:rPr>
          <w:rFonts w:ascii="黑体" w:hAnsi="黑体" w:eastAsia="黑体" w:cs="黑体"/>
          <w:b/>
          <w:bCs/>
          <w:sz w:val="27"/>
          <w:szCs w:val="27"/>
        </w:rPr>
        <w:t>软件用户的现场专用信息</w:t>
      </w:r>
    </w:p>
    <w:p w14:paraId="2487BD13">
      <w:pPr>
        <w:pStyle w:val="2"/>
        <w:spacing w:before="88" w:line="280" w:lineRule="auto"/>
        <w:ind w:right="17" w:firstLine="550"/>
        <w:jc w:val="both"/>
      </w:pPr>
      <w:r>
        <w:rPr>
          <w:spacing w:val="5"/>
        </w:rPr>
        <w:t>本章应描述关于软件用户的安装计划。当涉及多种类型的用户时，例如不</w:t>
      </w:r>
      <w:r>
        <w:rPr>
          <w:spacing w:val="14"/>
        </w:rPr>
        <w:t xml:space="preserve"> </w:t>
      </w:r>
      <w:r>
        <w:rPr>
          <w:spacing w:val="-3"/>
        </w:rPr>
        <w:t>同地点的用户、执行不同功能的用户或属于不同组织的用户，应为每一类用户单</w:t>
      </w:r>
      <w:r>
        <w:rPr>
          <w:spacing w:val="15"/>
        </w:rPr>
        <w:t xml:space="preserve"> </w:t>
      </w:r>
      <w:r>
        <w:rPr>
          <w:spacing w:val="10"/>
        </w:rPr>
        <w:t>独编写一章(从第5章到第</w:t>
      </w:r>
      <w:r>
        <w:rPr>
          <w:rFonts w:ascii="Times New Roman" w:hAnsi="Times New Roman" w:eastAsia="Times New Roman" w:cs="Times New Roman"/>
          <w:spacing w:val="10"/>
        </w:rPr>
        <w:t>N</w:t>
      </w:r>
      <w:r>
        <w:rPr>
          <w:rFonts w:ascii="Times New Roman" w:hAnsi="Times New Roman" w:eastAsia="Times New Roman" w:cs="Times New Roman"/>
          <w:spacing w:val="31"/>
        </w:rPr>
        <w:t xml:space="preserve"> </w:t>
      </w:r>
      <w:r>
        <w:rPr>
          <w:spacing w:val="10"/>
        </w:rPr>
        <w:t>章),并针对每一用户使用合适的章标题。</w:t>
      </w:r>
    </w:p>
    <w:p w14:paraId="2595D208">
      <w:pPr>
        <w:spacing w:before="18" w:line="222" w:lineRule="auto"/>
        <w:rPr>
          <w:rFonts w:ascii="黑体" w:hAnsi="黑体" w:eastAsia="黑体" w:cs="黑体"/>
          <w:sz w:val="25"/>
          <w:szCs w:val="25"/>
        </w:rPr>
      </w:pPr>
      <w:r>
        <w:rPr>
          <w:rFonts w:ascii="Times New Roman" w:hAnsi="Times New Roman" w:eastAsia="Times New Roman" w:cs="Times New Roman"/>
          <w:spacing w:val="11"/>
          <w:sz w:val="25"/>
          <w:szCs w:val="25"/>
        </w:rPr>
        <w:t>5.X</w:t>
      </w:r>
      <w:r>
        <w:rPr>
          <w:rFonts w:ascii="Times New Roman" w:hAnsi="Times New Roman" w:eastAsia="Times New Roman" w:cs="Times New Roman"/>
          <w:spacing w:val="7"/>
          <w:sz w:val="25"/>
          <w:szCs w:val="25"/>
        </w:rPr>
        <w:t xml:space="preserve">      </w:t>
      </w:r>
      <w:r>
        <w:rPr>
          <w:rFonts w:ascii="黑体" w:hAnsi="黑体" w:eastAsia="黑体" w:cs="黑体"/>
          <w:b/>
          <w:bCs/>
          <w:spacing w:val="11"/>
          <w:sz w:val="25"/>
          <w:szCs w:val="25"/>
        </w:rPr>
        <w:t>现场名</w:t>
      </w:r>
    </w:p>
    <w:p w14:paraId="6B892523">
      <w:pPr>
        <w:pStyle w:val="2"/>
        <w:spacing w:before="95" w:line="275" w:lineRule="auto"/>
        <w:ind w:right="20" w:firstLine="550"/>
      </w:pPr>
      <w:r>
        <w:rPr>
          <w:spacing w:val="5"/>
        </w:rPr>
        <w:t>本条应标识一个或一组现场，再分条对其进行描述。当这些地点的信息基</w:t>
      </w:r>
      <w:r>
        <w:rPr>
          <w:spacing w:val="10"/>
        </w:rPr>
        <w:t xml:space="preserve"> </w:t>
      </w:r>
      <w:r>
        <w:rPr>
          <w:spacing w:val="-6"/>
        </w:rPr>
        <w:t>本相同时，可合在一起进行描述。</w:t>
      </w:r>
    </w:p>
    <w:p w14:paraId="0FA2E6B9">
      <w:pPr>
        <w:spacing w:before="30" w:line="222" w:lineRule="auto"/>
        <w:rPr>
          <w:rFonts w:ascii="黑体" w:hAnsi="黑体" w:eastAsia="黑体" w:cs="黑体"/>
          <w:sz w:val="24"/>
          <w:szCs w:val="24"/>
        </w:rPr>
      </w:pPr>
      <w:r>
        <w:rPr>
          <w:rFonts w:ascii="Times New Roman" w:hAnsi="Times New Roman" w:eastAsia="Times New Roman" w:cs="Times New Roman"/>
          <w:spacing w:val="6"/>
          <w:sz w:val="24"/>
          <w:szCs w:val="24"/>
        </w:rPr>
        <w:t>5.X.</w:t>
      </w:r>
      <w:r>
        <w:rPr>
          <w:rFonts w:ascii="Times New Roman" w:hAnsi="Times New Roman" w:eastAsia="Times New Roman" w:cs="Times New Roman"/>
          <w:spacing w:val="25"/>
          <w:sz w:val="24"/>
          <w:szCs w:val="24"/>
        </w:rPr>
        <w:t xml:space="preserve">  </w:t>
      </w:r>
      <w:r>
        <w:rPr>
          <w:rFonts w:ascii="黑体" w:hAnsi="黑体" w:eastAsia="黑体" w:cs="黑体"/>
          <w:spacing w:val="6"/>
          <w:sz w:val="24"/>
          <w:szCs w:val="24"/>
        </w:rPr>
        <w:t>1</w:t>
      </w:r>
      <w:r>
        <w:rPr>
          <w:rFonts w:ascii="黑体" w:hAnsi="黑体" w:eastAsia="黑体" w:cs="黑体"/>
          <w:spacing w:val="58"/>
          <w:sz w:val="24"/>
          <w:szCs w:val="24"/>
        </w:rPr>
        <w:t xml:space="preserve">  </w:t>
      </w:r>
      <w:r>
        <w:rPr>
          <w:rFonts w:ascii="黑体" w:hAnsi="黑体" w:eastAsia="黑体" w:cs="黑体"/>
          <w:b/>
          <w:bCs/>
          <w:spacing w:val="6"/>
          <w:sz w:val="24"/>
          <w:szCs w:val="24"/>
        </w:rPr>
        <w:t>进度表</w:t>
      </w:r>
    </w:p>
    <w:p w14:paraId="433FCA1A">
      <w:pPr>
        <w:pStyle w:val="2"/>
        <w:spacing w:before="116" w:line="294" w:lineRule="auto"/>
        <w:ind w:right="15" w:firstLine="550"/>
        <w:rPr>
          <w:sz w:val="25"/>
          <w:szCs w:val="25"/>
        </w:rPr>
      </w:pPr>
      <w:r>
        <w:rPr>
          <w:spacing w:val="25"/>
          <w:sz w:val="25"/>
          <w:szCs w:val="25"/>
        </w:rPr>
        <w:t>本条应给出安装期间用户所完成任务的进度表。按照每个任务的开始日期</w:t>
      </w:r>
      <w:r>
        <w:rPr>
          <w:spacing w:val="15"/>
          <w:sz w:val="25"/>
          <w:szCs w:val="25"/>
        </w:rPr>
        <w:t xml:space="preserve"> </w:t>
      </w:r>
      <w:r>
        <w:rPr>
          <w:spacing w:val="16"/>
          <w:sz w:val="25"/>
          <w:szCs w:val="25"/>
        </w:rPr>
        <w:t>和完成日期的时间顺序描述，并加以必要的说明。</w:t>
      </w:r>
    </w:p>
    <w:p w14:paraId="29579C2F">
      <w:pPr>
        <w:spacing w:before="1" w:line="221" w:lineRule="auto"/>
        <w:rPr>
          <w:rFonts w:ascii="黑体" w:hAnsi="黑体" w:eastAsia="黑体" w:cs="黑体"/>
          <w:sz w:val="25"/>
          <w:szCs w:val="25"/>
        </w:rPr>
      </w:pPr>
      <w:r>
        <w:rPr>
          <w:rFonts w:ascii="Times New Roman" w:hAnsi="Times New Roman" w:eastAsia="Times New Roman" w:cs="Times New Roman"/>
          <w:spacing w:val="5"/>
          <w:sz w:val="25"/>
          <w:szCs w:val="25"/>
        </w:rPr>
        <w:t>5.X.2</w:t>
      </w:r>
      <w:r>
        <w:rPr>
          <w:rFonts w:ascii="Times New Roman" w:hAnsi="Times New Roman" w:eastAsia="Times New Roman" w:cs="Times New Roman"/>
          <w:spacing w:val="6"/>
          <w:sz w:val="25"/>
          <w:szCs w:val="25"/>
        </w:rPr>
        <w:t xml:space="preserve">       </w:t>
      </w:r>
      <w:r>
        <w:rPr>
          <w:rFonts w:ascii="黑体" w:hAnsi="黑体" w:eastAsia="黑体" w:cs="黑体"/>
          <w:b/>
          <w:bCs/>
          <w:spacing w:val="5"/>
          <w:sz w:val="25"/>
          <w:szCs w:val="25"/>
        </w:rPr>
        <w:t>安装规程</w:t>
      </w:r>
    </w:p>
    <w:p w14:paraId="541701D9">
      <w:pPr>
        <w:pStyle w:val="2"/>
        <w:spacing w:before="114" w:line="281" w:lineRule="auto"/>
        <w:ind w:right="11" w:firstLine="550"/>
      </w:pPr>
      <w:r>
        <w:rPr>
          <w:spacing w:val="-3"/>
        </w:rPr>
        <w:t>本条应描述完成安装的逐步规程，可参考其他文档，如用户手册，在适当的</w:t>
      </w:r>
      <w:r>
        <w:rPr>
          <w:spacing w:val="8"/>
        </w:rPr>
        <w:t xml:space="preserve"> </w:t>
      </w:r>
      <w:r>
        <w:rPr>
          <w:spacing w:val="-10"/>
        </w:rPr>
        <w:t>地方包含有“警告”或“注意”标记作为安全提示。(若适用)安装规程应包括如下</w:t>
      </w:r>
      <w:bookmarkStart w:id="143" w:name="_GoBack"/>
      <w:bookmarkEnd w:id="143"/>
      <w:r>
        <w:rPr>
          <w:spacing w:val="-10"/>
        </w:rPr>
        <w:t>内容：</w:t>
      </w:r>
    </w:p>
    <w:p w14:paraId="05DB2025">
      <w:pPr>
        <w:pStyle w:val="2"/>
        <w:spacing w:before="59" w:line="212" w:lineRule="auto"/>
        <w:ind w:left="539"/>
      </w:pPr>
      <w:r>
        <w:rPr>
          <w:rFonts w:ascii="Times New Roman" w:hAnsi="Times New Roman" w:eastAsia="Times New Roman" w:cs="Times New Roman"/>
          <w:spacing w:val="2"/>
        </w:rPr>
        <w:t xml:space="preserve">a)  </w:t>
      </w:r>
      <w:r>
        <w:rPr>
          <w:spacing w:val="2"/>
        </w:rPr>
        <w:t>如果操作员未曾执行过4.</w:t>
      </w:r>
      <w:r>
        <w:rPr>
          <w:rFonts w:ascii="Times New Roman" w:hAnsi="Times New Roman" w:eastAsia="Times New Roman" w:cs="Times New Roman"/>
          <w:spacing w:val="2"/>
        </w:rPr>
        <w:t xml:space="preserve">X.5  </w:t>
      </w:r>
      <w:r>
        <w:rPr>
          <w:spacing w:val="2"/>
        </w:rPr>
        <w:t>条下</w:t>
      </w:r>
      <w:r>
        <w:rPr>
          <w:spacing w:val="1"/>
        </w:rPr>
        <w:t>的任务，则在此执行该项任务；</w:t>
      </w:r>
    </w:p>
    <w:p w14:paraId="5E34C45C">
      <w:pPr>
        <w:pStyle w:val="2"/>
        <w:spacing w:before="99" w:line="212" w:lineRule="auto"/>
        <w:ind w:left="539"/>
      </w:pPr>
      <w:r>
        <w:rPr>
          <w:rFonts w:ascii="Times New Roman" w:hAnsi="Times New Roman" w:eastAsia="Times New Roman" w:cs="Times New Roman"/>
          <w:spacing w:val="3"/>
        </w:rPr>
        <w:t xml:space="preserve">b)  </w:t>
      </w:r>
      <w:r>
        <w:rPr>
          <w:spacing w:val="3"/>
        </w:rPr>
        <w:t>初始化用户的特定数据；</w:t>
      </w:r>
    </w:p>
    <w:p w14:paraId="1E334ABD">
      <w:pPr>
        <w:pStyle w:val="2"/>
        <w:spacing w:before="102" w:line="212" w:lineRule="auto"/>
        <w:ind w:left="539"/>
        <w:rPr>
          <w:sz w:val="24"/>
          <w:szCs w:val="24"/>
        </w:rPr>
      </w:pPr>
      <w:r>
        <w:rPr>
          <w:rFonts w:ascii="Times New Roman" w:hAnsi="Times New Roman" w:eastAsia="Times New Roman" w:cs="Times New Roman"/>
          <w:spacing w:val="26"/>
          <w:sz w:val="24"/>
          <w:szCs w:val="24"/>
        </w:rPr>
        <w:t xml:space="preserve">c)  </w:t>
      </w:r>
      <w:r>
        <w:rPr>
          <w:spacing w:val="26"/>
          <w:sz w:val="24"/>
          <w:szCs w:val="24"/>
        </w:rPr>
        <w:t>设置查询和其他用户输入；</w:t>
      </w:r>
    </w:p>
    <w:p w14:paraId="6C397FBD">
      <w:pPr>
        <w:pStyle w:val="2"/>
        <w:spacing w:before="102" w:line="212" w:lineRule="auto"/>
        <w:ind w:left="539"/>
      </w:pPr>
      <w:r>
        <w:rPr>
          <w:rFonts w:ascii="Times New Roman" w:hAnsi="Times New Roman" w:eastAsia="Times New Roman" w:cs="Times New Roman"/>
          <w:spacing w:val="1"/>
        </w:rPr>
        <w:t xml:space="preserve">d)  </w:t>
      </w:r>
      <w:r>
        <w:rPr>
          <w:spacing w:val="1"/>
        </w:rPr>
        <w:t>进行样本处理；</w:t>
      </w:r>
    </w:p>
    <w:p w14:paraId="17DA159D">
      <w:pPr>
        <w:pStyle w:val="2"/>
        <w:spacing w:before="99" w:line="212" w:lineRule="auto"/>
        <w:ind w:left="539"/>
      </w:pPr>
      <w:r>
        <w:rPr>
          <w:rFonts w:ascii="Times New Roman" w:hAnsi="Times New Roman" w:eastAsia="Times New Roman" w:cs="Times New Roman"/>
          <w:spacing w:val="1"/>
        </w:rPr>
        <w:t>e)</w:t>
      </w:r>
      <w:r>
        <w:rPr>
          <w:rFonts w:ascii="Times New Roman" w:hAnsi="Times New Roman" w:eastAsia="Times New Roman" w:cs="Times New Roman"/>
          <w:spacing w:val="67"/>
          <w:w w:val="101"/>
        </w:rPr>
        <w:t xml:space="preserve"> </w:t>
      </w:r>
      <w:r>
        <w:rPr>
          <w:spacing w:val="1"/>
        </w:rPr>
        <w:t>生成样本报告；</w:t>
      </w:r>
    </w:p>
    <w:p w14:paraId="075BA99B">
      <w:pPr>
        <w:pStyle w:val="2"/>
        <w:spacing w:before="110" w:line="212" w:lineRule="auto"/>
        <w:ind w:left="539"/>
      </w:pPr>
      <w:r>
        <w:rPr>
          <w:rFonts w:ascii="Times New Roman" w:hAnsi="Times New Roman" w:eastAsia="Times New Roman" w:cs="Times New Roman"/>
        </w:rPr>
        <w:t xml:space="preserve">f)  </w:t>
      </w:r>
      <w:r>
        <w:t>从现行系统进行转换，可能涉及到现行系统与转换后系统并行运行；</w:t>
      </w:r>
    </w:p>
    <w:p w14:paraId="6234D8B1">
      <w:pPr>
        <w:pStyle w:val="2"/>
        <w:spacing w:before="109" w:line="212" w:lineRule="auto"/>
        <w:ind w:left="539"/>
      </w:pPr>
      <w:r>
        <w:rPr>
          <w:rFonts w:ascii="Times New Roman" w:hAnsi="Times New Roman" w:eastAsia="Times New Roman" w:cs="Times New Roman"/>
          <w:spacing w:val="4"/>
        </w:rPr>
        <w:t>g)</w:t>
      </w:r>
      <w:r>
        <w:rPr>
          <w:rFonts w:ascii="Times New Roman" w:hAnsi="Times New Roman" w:eastAsia="Times New Roman" w:cs="Times New Roman"/>
          <w:spacing w:val="69"/>
        </w:rPr>
        <w:t xml:space="preserve"> </w:t>
      </w:r>
      <w:r>
        <w:rPr>
          <w:spacing w:val="4"/>
        </w:rPr>
        <w:t>对用户手册中的过程作演练性运行。</w:t>
      </w:r>
    </w:p>
    <w:p w14:paraId="6DBEC8AB">
      <w:pPr>
        <w:spacing w:before="99" w:line="221" w:lineRule="auto"/>
        <w:rPr>
          <w:rFonts w:ascii="黑体" w:hAnsi="黑体" w:eastAsia="黑体" w:cs="黑体"/>
          <w:sz w:val="27"/>
          <w:szCs w:val="27"/>
        </w:rPr>
      </w:pPr>
      <w:r>
        <w:rPr>
          <w:rFonts w:ascii="Times New Roman" w:hAnsi="Times New Roman" w:eastAsia="Times New Roman" w:cs="Times New Roman"/>
          <w:spacing w:val="2"/>
          <w:sz w:val="27"/>
          <w:szCs w:val="27"/>
        </w:rPr>
        <w:t xml:space="preserve">5.X.3      </w:t>
      </w:r>
      <w:r>
        <w:rPr>
          <w:rFonts w:ascii="黑体" w:hAnsi="黑体" w:eastAsia="黑体" w:cs="黑体"/>
          <w:spacing w:val="2"/>
          <w:sz w:val="27"/>
          <w:szCs w:val="27"/>
        </w:rPr>
        <w:t>数据更新规程</w:t>
      </w:r>
    </w:p>
    <w:p w14:paraId="3D591D29">
      <w:pPr>
        <w:pStyle w:val="2"/>
        <w:spacing w:before="96" w:line="275" w:lineRule="auto"/>
        <w:ind w:right="11" w:firstLine="539"/>
        <w:jc w:val="both"/>
      </w:pPr>
      <w:r>
        <w:rPr>
          <w:spacing w:val="5"/>
        </w:rPr>
        <w:t>本条应分条描述安装期间要遵循的用户数据更新规程。如果数据更新规程</w:t>
      </w:r>
      <w:r>
        <w:rPr>
          <w:spacing w:val="18"/>
        </w:rPr>
        <w:t xml:space="preserve"> </w:t>
      </w:r>
      <w:r>
        <w:rPr>
          <w:spacing w:val="1"/>
        </w:rPr>
        <w:t>与一般的更新或处理规程相同，可以引用其他文档，如用户手册和本文档的第4</w:t>
      </w:r>
      <w:r>
        <w:rPr>
          <w:spacing w:val="8"/>
        </w:rPr>
        <w:t xml:space="preserve"> </w:t>
      </w:r>
      <w:r>
        <w:rPr>
          <w:spacing w:val="-6"/>
        </w:rPr>
        <w:t>章等。</w:t>
      </w:r>
    </w:p>
    <w:p w14:paraId="7A636747">
      <w:pPr>
        <w:spacing w:before="34" w:line="222" w:lineRule="auto"/>
        <w:rPr>
          <w:rFonts w:ascii="黑体" w:hAnsi="黑体" w:eastAsia="黑体" w:cs="黑体"/>
          <w:sz w:val="24"/>
          <w:szCs w:val="24"/>
        </w:rPr>
      </w:pPr>
      <w:r>
        <w:rPr>
          <w:rFonts w:ascii="黑体" w:hAnsi="黑体" w:eastAsia="黑体" w:cs="黑体"/>
          <w:spacing w:val="-7"/>
          <w:sz w:val="24"/>
          <w:szCs w:val="24"/>
        </w:rPr>
        <w:t>6</w:t>
      </w:r>
      <w:r>
        <w:rPr>
          <w:rFonts w:ascii="黑体" w:hAnsi="黑体" w:eastAsia="黑体" w:cs="黑体"/>
          <w:spacing w:val="39"/>
          <w:sz w:val="24"/>
          <w:szCs w:val="24"/>
        </w:rPr>
        <w:t xml:space="preserve">  </w:t>
      </w:r>
      <w:r>
        <w:rPr>
          <w:rFonts w:ascii="黑体" w:hAnsi="黑体" w:eastAsia="黑体" w:cs="黑体"/>
          <w:spacing w:val="-7"/>
          <w:sz w:val="24"/>
          <w:szCs w:val="24"/>
        </w:rPr>
        <w:t>注</w:t>
      </w:r>
      <w:r>
        <w:rPr>
          <w:rFonts w:ascii="黑体" w:hAnsi="黑体" w:eastAsia="黑体" w:cs="黑体"/>
          <w:spacing w:val="-41"/>
          <w:sz w:val="24"/>
          <w:szCs w:val="24"/>
        </w:rPr>
        <w:t xml:space="preserve"> </w:t>
      </w:r>
      <w:r>
        <w:rPr>
          <w:rFonts w:ascii="黑体" w:hAnsi="黑体" w:eastAsia="黑体" w:cs="黑体"/>
          <w:spacing w:val="-7"/>
          <w:sz w:val="24"/>
          <w:szCs w:val="24"/>
        </w:rPr>
        <w:t>释</w:t>
      </w:r>
    </w:p>
    <w:p w14:paraId="5C0CDE0A">
      <w:pPr>
        <w:pStyle w:val="2"/>
        <w:spacing w:before="102" w:line="219" w:lineRule="auto"/>
        <w:ind w:right="23"/>
        <w:jc w:val="right"/>
      </w:pPr>
      <w:r>
        <w:rPr>
          <w:spacing w:val="-3"/>
        </w:rPr>
        <w:t>本章应包括有助于了解文档的所有信息(例如背景、术语、缩略语或公式)。</w:t>
      </w:r>
    </w:p>
    <w:p w14:paraId="4510C3F5">
      <w:pPr>
        <w:spacing w:line="321" w:lineRule="auto"/>
        <w:rPr>
          <w:rFonts w:ascii="Arial"/>
          <w:sz w:val="21"/>
        </w:rPr>
      </w:pPr>
    </w:p>
    <w:p w14:paraId="0EA7BA0B">
      <w:pPr>
        <w:pStyle w:val="2"/>
        <w:spacing w:before="118" w:line="219" w:lineRule="auto"/>
        <w:ind w:left="3060"/>
        <w:rPr>
          <w:sz w:val="36"/>
          <w:szCs w:val="36"/>
        </w:rPr>
      </w:pPr>
      <w:r>
        <w:rPr>
          <w:spacing w:val="-6"/>
          <w:sz w:val="36"/>
          <w:szCs w:val="36"/>
        </w:rPr>
        <w:t>2.</w:t>
      </w:r>
      <w:r>
        <w:rPr>
          <w:b/>
          <w:bCs/>
          <w:spacing w:val="-6"/>
          <w:sz w:val="36"/>
          <w:szCs w:val="36"/>
        </w:rPr>
        <w:t>11</w:t>
      </w:r>
      <w:r>
        <w:rPr>
          <w:spacing w:val="35"/>
          <w:sz w:val="36"/>
          <w:szCs w:val="36"/>
        </w:rPr>
        <w:t xml:space="preserve">  </w:t>
      </w:r>
      <w:r>
        <w:rPr>
          <w:b/>
          <w:bCs/>
          <w:spacing w:val="-6"/>
          <w:sz w:val="36"/>
          <w:szCs w:val="36"/>
        </w:rPr>
        <w:t>软件移交计划</w:t>
      </w:r>
    </w:p>
    <w:p w14:paraId="18056489">
      <w:pPr>
        <w:spacing w:line="369" w:lineRule="auto"/>
        <w:rPr>
          <w:rFonts w:ascii="Arial"/>
          <w:sz w:val="21"/>
        </w:rPr>
      </w:pPr>
    </w:p>
    <w:p w14:paraId="2F45B3F3">
      <w:pPr>
        <w:pStyle w:val="2"/>
        <w:spacing w:before="78" w:line="225" w:lineRule="auto"/>
        <w:ind w:left="539"/>
        <w:rPr>
          <w:rFonts w:ascii="楷体" w:hAnsi="楷体" w:eastAsia="楷体" w:cs="楷体"/>
          <w:sz w:val="24"/>
          <w:szCs w:val="24"/>
        </w:rPr>
      </w:pPr>
      <w:r>
        <w:rPr>
          <w:rFonts w:ascii="楷体" w:hAnsi="楷体" w:eastAsia="楷体" w:cs="楷体"/>
          <w:spacing w:val="12"/>
          <w:sz w:val="24"/>
          <w:szCs w:val="24"/>
        </w:rPr>
        <w:t>按</w:t>
      </w:r>
      <w:r>
        <w:rPr>
          <w:rFonts w:ascii="楷体" w:hAnsi="楷体" w:eastAsia="楷体" w:cs="楷体"/>
          <w:spacing w:val="-2"/>
          <w:sz w:val="24"/>
          <w:szCs w:val="24"/>
        </w:rPr>
        <w:t xml:space="preserve"> </w:t>
      </w:r>
      <w:r>
        <w:rPr>
          <w:rFonts w:ascii="楷体" w:hAnsi="楷体" w:eastAsia="楷体" w:cs="楷体"/>
          <w:spacing w:val="1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 xml:space="preserve">    438B—2009</w:t>
      </w:r>
      <w:r>
        <w:rPr>
          <w:spacing w:val="12"/>
          <w:sz w:val="24"/>
          <w:szCs w:val="24"/>
        </w:rPr>
        <w:t>《</w:t>
      </w:r>
      <w:r>
        <w:rPr>
          <w:rFonts w:ascii="楷体" w:hAnsi="楷体" w:eastAsia="楷体" w:cs="楷体"/>
          <w:spacing w:val="12"/>
          <w:sz w:val="24"/>
          <w:szCs w:val="24"/>
        </w:rPr>
        <w:t>军用软件开发文档通用要求》编写。</w:t>
      </w:r>
    </w:p>
    <w:p w14:paraId="24469DD2">
      <w:pPr>
        <w:spacing w:before="102"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9"/>
          <w:sz w:val="25"/>
          <w:szCs w:val="25"/>
        </w:rPr>
        <w:t xml:space="preserve">  </w:t>
      </w:r>
      <w:r>
        <w:rPr>
          <w:rFonts w:ascii="黑体" w:hAnsi="黑体" w:eastAsia="黑体" w:cs="黑体"/>
          <w:spacing w:val="-13"/>
          <w:sz w:val="25"/>
          <w:szCs w:val="25"/>
        </w:rPr>
        <w:t>范</w:t>
      </w:r>
      <w:r>
        <w:rPr>
          <w:rFonts w:ascii="黑体" w:hAnsi="黑体" w:eastAsia="黑体" w:cs="黑体"/>
          <w:spacing w:val="-31"/>
          <w:sz w:val="25"/>
          <w:szCs w:val="25"/>
        </w:rPr>
        <w:t xml:space="preserve"> </w:t>
      </w:r>
      <w:r>
        <w:rPr>
          <w:rFonts w:ascii="黑体" w:hAnsi="黑体" w:eastAsia="黑体" w:cs="黑体"/>
          <w:spacing w:val="-13"/>
          <w:sz w:val="25"/>
          <w:szCs w:val="25"/>
        </w:rPr>
        <w:t>围</w:t>
      </w:r>
    </w:p>
    <w:p w14:paraId="567AB812">
      <w:pPr>
        <w:spacing w:before="107" w:line="222" w:lineRule="auto"/>
        <w:rPr>
          <w:rFonts w:ascii="黑体" w:hAnsi="黑体" w:eastAsia="黑体" w:cs="黑体"/>
          <w:sz w:val="25"/>
          <w:szCs w:val="25"/>
        </w:rPr>
      </w:pPr>
      <w:r>
        <w:rPr>
          <w:rFonts w:ascii="黑体" w:hAnsi="黑体" w:eastAsia="黑体" w:cs="黑体"/>
          <w:spacing w:val="-4"/>
          <w:sz w:val="25"/>
          <w:szCs w:val="25"/>
        </w:rPr>
        <w:t>1.1</w:t>
      </w:r>
      <w:r>
        <w:rPr>
          <w:rFonts w:ascii="黑体" w:hAnsi="黑体" w:eastAsia="黑体" w:cs="黑体"/>
          <w:spacing w:val="39"/>
          <w:sz w:val="25"/>
          <w:szCs w:val="25"/>
        </w:rPr>
        <w:t xml:space="preserve">  </w:t>
      </w:r>
      <w:r>
        <w:rPr>
          <w:rFonts w:ascii="黑体" w:hAnsi="黑体" w:eastAsia="黑体" w:cs="黑体"/>
          <w:spacing w:val="-4"/>
          <w:sz w:val="25"/>
          <w:szCs w:val="25"/>
        </w:rPr>
        <w:t>标</w:t>
      </w:r>
      <w:r>
        <w:rPr>
          <w:rFonts w:ascii="黑体" w:hAnsi="黑体" w:eastAsia="黑体" w:cs="黑体"/>
          <w:spacing w:val="-49"/>
          <w:sz w:val="25"/>
          <w:szCs w:val="25"/>
        </w:rPr>
        <w:t xml:space="preserve"> </w:t>
      </w:r>
      <w:r>
        <w:rPr>
          <w:rFonts w:ascii="黑体" w:hAnsi="黑体" w:eastAsia="黑体" w:cs="黑体"/>
          <w:spacing w:val="-4"/>
          <w:sz w:val="25"/>
          <w:szCs w:val="25"/>
        </w:rPr>
        <w:t>识</w:t>
      </w:r>
    </w:p>
    <w:p w14:paraId="09DF7932">
      <w:pPr>
        <w:pStyle w:val="2"/>
        <w:spacing w:before="120" w:line="275" w:lineRule="auto"/>
        <w:ind w:right="5" w:firstLine="539"/>
      </w:pPr>
      <w:r>
        <w:rPr>
          <w:spacing w:val="6"/>
        </w:rPr>
        <w:t>本条应描述本文档所适用的系统和软件的完整标识，适用</w:t>
      </w:r>
      <w:r>
        <w:rPr>
          <w:spacing w:val="5"/>
        </w:rPr>
        <w:t>时，包括其标识</w:t>
      </w:r>
      <w:r>
        <w:t xml:space="preserve"> </w:t>
      </w:r>
      <w:r>
        <w:rPr>
          <w:spacing w:val="-20"/>
        </w:rPr>
        <w:t>号、名称、缩略名、版本号和发布号。</w:t>
      </w:r>
    </w:p>
    <w:p w14:paraId="22A9B36A">
      <w:pPr>
        <w:spacing w:before="12" w:line="221" w:lineRule="auto"/>
        <w:rPr>
          <w:rFonts w:ascii="黑体" w:hAnsi="黑体" w:eastAsia="黑体" w:cs="黑体"/>
          <w:sz w:val="24"/>
          <w:szCs w:val="24"/>
        </w:rPr>
      </w:pPr>
      <w:r>
        <w:rPr>
          <w:rFonts w:ascii="黑体" w:hAnsi="黑体" w:eastAsia="黑体" w:cs="黑体"/>
          <w:spacing w:val="16"/>
          <w:sz w:val="24"/>
          <w:szCs w:val="24"/>
        </w:rPr>
        <w:t>1.2</w:t>
      </w:r>
      <w:r>
        <w:rPr>
          <w:rFonts w:ascii="黑体" w:hAnsi="黑体" w:eastAsia="黑体" w:cs="黑体"/>
          <w:spacing w:val="57"/>
          <w:sz w:val="24"/>
          <w:szCs w:val="24"/>
        </w:rPr>
        <w:t xml:space="preserve">  </w:t>
      </w:r>
      <w:r>
        <w:rPr>
          <w:rFonts w:ascii="黑体" w:hAnsi="黑体" w:eastAsia="黑体" w:cs="黑体"/>
          <w:spacing w:val="16"/>
          <w:sz w:val="24"/>
          <w:szCs w:val="24"/>
        </w:rPr>
        <w:t>系统概述</w:t>
      </w:r>
    </w:p>
    <w:p w14:paraId="7BB4AD1C">
      <w:pPr>
        <w:pStyle w:val="2"/>
        <w:spacing w:before="104" w:line="267" w:lineRule="auto"/>
        <w:ind w:firstLine="539"/>
        <w:jc w:val="both"/>
      </w:pPr>
      <w:r>
        <w:rPr>
          <w:spacing w:val="6"/>
        </w:rPr>
        <w:t>本条应概述本文档所适用的系统和软件的用途。它还应描述系统与软</w:t>
      </w:r>
      <w:r>
        <w:rPr>
          <w:spacing w:val="5"/>
        </w:rPr>
        <w:t>件的</w:t>
      </w:r>
      <w:r>
        <w:t xml:space="preserve"> </w:t>
      </w:r>
      <w:r>
        <w:rPr>
          <w:spacing w:val="-10"/>
        </w:rPr>
        <w:t>一般特性；概述系统开发、运行和维护的历史；标识项目的需方、用户、开发方和</w:t>
      </w:r>
      <w:r>
        <w:rPr>
          <w:spacing w:val="10"/>
        </w:rPr>
        <w:t xml:space="preserve"> </w:t>
      </w:r>
      <w:r>
        <w:rPr>
          <w:spacing w:val="-5"/>
        </w:rPr>
        <w:t>保障机构等；标识当前和计划的运行现场；列出其他有关文档。</w:t>
      </w:r>
    </w:p>
    <w:p w14:paraId="62BA6008">
      <w:pPr>
        <w:spacing w:line="368" w:lineRule="exact"/>
        <w:rPr>
          <w:rFonts w:ascii="黑体" w:hAnsi="黑体" w:eastAsia="黑体" w:cs="黑体"/>
          <w:sz w:val="27"/>
          <w:szCs w:val="27"/>
        </w:rPr>
      </w:pPr>
      <w:r>
        <w:rPr>
          <w:rFonts w:ascii="Arial" w:hAnsi="Arial" w:eastAsia="Arial" w:cs="Arial"/>
          <w:spacing w:val="-2"/>
          <w:position w:val="1"/>
          <w:sz w:val="27"/>
          <w:szCs w:val="27"/>
        </w:rPr>
        <w:t>1.3</w:t>
      </w:r>
      <w:r>
        <w:rPr>
          <w:rFonts w:ascii="Arial" w:hAnsi="Arial" w:eastAsia="Arial" w:cs="Arial"/>
          <w:spacing w:val="11"/>
          <w:position w:val="1"/>
          <w:sz w:val="27"/>
          <w:szCs w:val="27"/>
        </w:rPr>
        <w:t xml:space="preserve">    </w:t>
      </w:r>
      <w:r>
        <w:rPr>
          <w:rFonts w:ascii="黑体" w:hAnsi="黑体" w:eastAsia="黑体" w:cs="黑体"/>
          <w:spacing w:val="-2"/>
          <w:position w:val="1"/>
          <w:sz w:val="27"/>
          <w:szCs w:val="27"/>
        </w:rPr>
        <w:t>文档概述</w:t>
      </w:r>
    </w:p>
    <w:p w14:paraId="235BABD8">
      <w:pPr>
        <w:pStyle w:val="2"/>
        <w:spacing w:before="100" w:line="300" w:lineRule="auto"/>
        <w:ind w:right="1" w:firstLine="539"/>
        <w:rPr>
          <w:sz w:val="25"/>
          <w:szCs w:val="25"/>
        </w:rPr>
      </w:pPr>
      <w:r>
        <w:rPr>
          <w:spacing w:val="26"/>
          <w:sz w:val="25"/>
          <w:szCs w:val="25"/>
        </w:rPr>
        <w:t>本条应概述本文档的用途和内容，并描述与它的使用有关的保密</w:t>
      </w:r>
      <w:r>
        <w:rPr>
          <w:spacing w:val="25"/>
          <w:sz w:val="25"/>
          <w:szCs w:val="25"/>
        </w:rPr>
        <w:t>性方面的</w:t>
      </w:r>
      <w:r>
        <w:rPr>
          <w:sz w:val="25"/>
          <w:szCs w:val="25"/>
        </w:rPr>
        <w:t xml:space="preserve"> </w:t>
      </w:r>
      <w:r>
        <w:rPr>
          <w:spacing w:val="8"/>
          <w:sz w:val="25"/>
          <w:szCs w:val="25"/>
        </w:rPr>
        <w:t>要求。</w:t>
      </w:r>
    </w:p>
    <w:p w14:paraId="4FA8D2F3">
      <w:pPr>
        <w:spacing w:before="1" w:line="222" w:lineRule="auto"/>
        <w:rPr>
          <w:rFonts w:ascii="黑体" w:hAnsi="黑体" w:eastAsia="黑体" w:cs="黑体"/>
          <w:sz w:val="27"/>
          <w:szCs w:val="27"/>
        </w:rPr>
      </w:pPr>
      <w:r>
        <w:rPr>
          <w:rFonts w:ascii="黑体" w:hAnsi="黑体" w:eastAsia="黑体" w:cs="黑体"/>
          <w:spacing w:val="5"/>
          <w:sz w:val="27"/>
          <w:szCs w:val="27"/>
        </w:rPr>
        <w:t>1.4  与其他计划之间的关系</w:t>
      </w:r>
    </w:p>
    <w:p w14:paraId="0E7A9C49">
      <w:pPr>
        <w:pStyle w:val="2"/>
        <w:spacing w:before="103" w:line="219" w:lineRule="auto"/>
        <w:ind w:left="539"/>
      </w:pPr>
      <w:r>
        <w:rPr>
          <w:spacing w:val="4"/>
        </w:rPr>
        <w:t>本条应描述本计划和其他项目管理计划的关系。</w:t>
      </w:r>
    </w:p>
    <w:p w14:paraId="55874DB0">
      <w:pPr>
        <w:spacing w:before="70"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8"/>
          <w:sz w:val="27"/>
          <w:szCs w:val="27"/>
        </w:rPr>
        <w:t xml:space="preserve">  </w:t>
      </w:r>
      <w:r>
        <w:rPr>
          <w:rFonts w:ascii="黑体" w:hAnsi="黑体" w:eastAsia="黑体" w:cs="黑体"/>
          <w:spacing w:val="2"/>
          <w:sz w:val="27"/>
          <w:szCs w:val="27"/>
        </w:rPr>
        <w:t>引用文档</w:t>
      </w:r>
    </w:p>
    <w:p w14:paraId="5B55DE7E">
      <w:pPr>
        <w:pStyle w:val="2"/>
        <w:spacing w:before="106" w:line="304" w:lineRule="auto"/>
        <w:ind w:right="8" w:firstLine="539"/>
        <w:rPr>
          <w:sz w:val="25"/>
          <w:szCs w:val="25"/>
        </w:rPr>
      </w:pPr>
      <w:r>
        <w:rPr>
          <w:spacing w:val="9"/>
          <w:sz w:val="25"/>
          <w:szCs w:val="25"/>
        </w:rPr>
        <w:t>本章应列出引用文档的编号、标题、编写单位、修订版及日期，还应标识不能</w:t>
      </w:r>
      <w:r>
        <w:rPr>
          <w:spacing w:val="15"/>
          <w:sz w:val="25"/>
          <w:szCs w:val="25"/>
        </w:rPr>
        <w:t xml:space="preserve"> </w:t>
      </w:r>
      <w:r>
        <w:rPr>
          <w:spacing w:val="22"/>
          <w:sz w:val="25"/>
          <w:szCs w:val="25"/>
        </w:rPr>
        <w:t>通过正常采购活动得到的文档的来源。</w:t>
      </w:r>
    </w:p>
    <w:p w14:paraId="59123418">
      <w:pPr>
        <w:spacing w:line="304" w:lineRule="auto"/>
        <w:rPr>
          <w:sz w:val="25"/>
          <w:szCs w:val="25"/>
        </w:rPr>
        <w:sectPr>
          <w:footerReference r:id="rId219" w:type="default"/>
          <w:pgSz w:w="11910" w:h="17130"/>
          <w:pgMar w:top="1456" w:right="1178" w:bottom="1629" w:left="1360" w:header="0" w:footer="1449" w:gutter="0"/>
          <w:cols w:space="720" w:num="1"/>
        </w:sectPr>
      </w:pPr>
    </w:p>
    <w:p w14:paraId="5C5DAA69">
      <w:pPr>
        <w:spacing w:before="68" w:line="221"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9"/>
          <w:sz w:val="27"/>
          <w:szCs w:val="27"/>
        </w:rPr>
        <w:t xml:space="preserve">  </w:t>
      </w:r>
      <w:r>
        <w:rPr>
          <w:rFonts w:ascii="黑体" w:hAnsi="黑体" w:eastAsia="黑体" w:cs="黑体"/>
          <w:b/>
          <w:bCs/>
          <w:spacing w:val="-1"/>
          <w:sz w:val="27"/>
          <w:szCs w:val="27"/>
        </w:rPr>
        <w:t>软件保障资源</w:t>
      </w:r>
    </w:p>
    <w:p w14:paraId="2795BD22">
      <w:pPr>
        <w:spacing w:before="106" w:line="222" w:lineRule="auto"/>
        <w:rPr>
          <w:rFonts w:ascii="黑体" w:hAnsi="黑体" w:eastAsia="黑体" w:cs="黑体"/>
          <w:sz w:val="24"/>
          <w:szCs w:val="24"/>
        </w:rPr>
      </w:pPr>
      <w:r>
        <w:rPr>
          <w:rFonts w:ascii="黑体" w:hAnsi="黑体" w:eastAsia="黑体" w:cs="黑体"/>
          <w:spacing w:val="-2"/>
          <w:sz w:val="24"/>
          <w:szCs w:val="24"/>
        </w:rPr>
        <w:t>3.</w:t>
      </w:r>
      <w:r>
        <w:rPr>
          <w:rFonts w:ascii="黑体" w:hAnsi="黑体" w:eastAsia="黑体" w:cs="黑体"/>
          <w:b/>
          <w:bCs/>
          <w:spacing w:val="-2"/>
          <w:sz w:val="24"/>
          <w:szCs w:val="24"/>
        </w:rPr>
        <w:t>1</w:t>
      </w:r>
      <w:r>
        <w:rPr>
          <w:rFonts w:ascii="黑体" w:hAnsi="黑体" w:eastAsia="黑体" w:cs="黑体"/>
          <w:spacing w:val="37"/>
          <w:sz w:val="24"/>
          <w:szCs w:val="24"/>
        </w:rPr>
        <w:t xml:space="preserve">  </w:t>
      </w:r>
      <w:r>
        <w:rPr>
          <w:rFonts w:ascii="黑体" w:hAnsi="黑体" w:eastAsia="黑体" w:cs="黑体"/>
          <w:b/>
          <w:bCs/>
          <w:spacing w:val="-2"/>
          <w:sz w:val="24"/>
          <w:szCs w:val="24"/>
        </w:rPr>
        <w:t>设</w:t>
      </w:r>
      <w:r>
        <w:rPr>
          <w:rFonts w:ascii="黑体" w:hAnsi="黑体" w:eastAsia="黑体" w:cs="黑体"/>
          <w:spacing w:val="-28"/>
          <w:sz w:val="24"/>
          <w:szCs w:val="24"/>
        </w:rPr>
        <w:t xml:space="preserve"> </w:t>
      </w:r>
      <w:r>
        <w:rPr>
          <w:rFonts w:ascii="黑体" w:hAnsi="黑体" w:eastAsia="黑体" w:cs="黑体"/>
          <w:b/>
          <w:bCs/>
          <w:spacing w:val="-2"/>
          <w:sz w:val="24"/>
          <w:szCs w:val="24"/>
        </w:rPr>
        <w:t>施</w:t>
      </w:r>
    </w:p>
    <w:p w14:paraId="608076AF">
      <w:pPr>
        <w:pStyle w:val="2"/>
        <w:spacing w:before="105" w:line="279" w:lineRule="auto"/>
        <w:ind w:right="116" w:firstLine="559"/>
        <w:jc w:val="both"/>
      </w:pPr>
      <w:r>
        <w:rPr>
          <w:spacing w:val="5"/>
        </w:rPr>
        <w:t>本条应描述支持可交付软件所需的设施。这些设施包括：特殊的建筑、房</w:t>
      </w:r>
      <w:r>
        <w:rPr>
          <w:spacing w:val="7"/>
        </w:rPr>
        <w:t xml:space="preserve"> </w:t>
      </w:r>
      <w:r>
        <w:rPr>
          <w:spacing w:val="-6"/>
        </w:rPr>
        <w:t>间、实物模型、诸如升降地板或电缆的建筑特征、支持保密性需求的建筑特征</w:t>
      </w:r>
      <w:r>
        <w:rPr>
          <w:spacing w:val="-7"/>
        </w:rPr>
        <w:t>(屏</w:t>
      </w:r>
      <w:r>
        <w:t xml:space="preserve"> </w:t>
      </w:r>
      <w:r>
        <w:rPr>
          <w:spacing w:val="-6"/>
        </w:rPr>
        <w:t>蔽层、地下室等)、支持安全性需求的建筑特征(烟雾报警器、安全灯等)、特殊电</w:t>
      </w:r>
      <w:r>
        <w:rPr>
          <w:spacing w:val="1"/>
        </w:rPr>
        <w:t xml:space="preserve"> </w:t>
      </w:r>
      <w:r>
        <w:t>源需求等。本条还应描述每项设施的用途。若适用，可采用图表形式。</w:t>
      </w:r>
    </w:p>
    <w:p w14:paraId="7A6E7F9A">
      <w:pPr>
        <w:spacing w:before="16" w:line="223" w:lineRule="auto"/>
        <w:outlineLvl w:val="3"/>
        <w:rPr>
          <w:rFonts w:ascii="黑体" w:hAnsi="黑体" w:eastAsia="黑体" w:cs="黑体"/>
          <w:sz w:val="24"/>
          <w:szCs w:val="24"/>
        </w:rPr>
      </w:pPr>
      <w:r>
        <w:rPr>
          <w:rFonts w:ascii="Arial" w:hAnsi="Arial" w:eastAsia="Arial" w:cs="Arial"/>
          <w:b/>
          <w:bCs/>
          <w:spacing w:val="-5"/>
          <w:sz w:val="24"/>
          <w:szCs w:val="24"/>
        </w:rPr>
        <w:t>3.2</w:t>
      </w:r>
      <w:r>
        <w:rPr>
          <w:rFonts w:ascii="Arial" w:hAnsi="Arial" w:eastAsia="Arial" w:cs="Arial"/>
          <w:b/>
          <w:bCs/>
          <w:spacing w:val="5"/>
          <w:sz w:val="24"/>
          <w:szCs w:val="24"/>
        </w:rPr>
        <w:t xml:space="preserve">     </w:t>
      </w:r>
      <w:r>
        <w:rPr>
          <w:rFonts w:ascii="黑体" w:hAnsi="黑体" w:eastAsia="黑体" w:cs="黑体"/>
          <w:b/>
          <w:bCs/>
          <w:spacing w:val="-5"/>
          <w:sz w:val="24"/>
          <w:szCs w:val="24"/>
        </w:rPr>
        <w:t>硬</w:t>
      </w:r>
      <w:r>
        <w:rPr>
          <w:rFonts w:ascii="黑体" w:hAnsi="黑体" w:eastAsia="黑体" w:cs="黑体"/>
          <w:spacing w:val="-28"/>
          <w:sz w:val="24"/>
          <w:szCs w:val="24"/>
        </w:rPr>
        <w:t xml:space="preserve"> </w:t>
      </w:r>
      <w:r>
        <w:rPr>
          <w:rFonts w:ascii="黑体" w:hAnsi="黑体" w:eastAsia="黑体" w:cs="黑体"/>
          <w:b/>
          <w:bCs/>
          <w:spacing w:val="-5"/>
          <w:sz w:val="24"/>
          <w:szCs w:val="24"/>
        </w:rPr>
        <w:t>件</w:t>
      </w:r>
    </w:p>
    <w:p w14:paraId="33465826">
      <w:pPr>
        <w:pStyle w:val="2"/>
        <w:spacing w:before="93" w:line="275" w:lineRule="auto"/>
        <w:ind w:firstLine="559"/>
        <w:jc w:val="both"/>
      </w:pPr>
      <w:r>
        <w:rPr>
          <w:spacing w:val="9"/>
        </w:rPr>
        <w:t>本条应标识和描述支持可交付软件所需的硬件和相应的文档。硬</w:t>
      </w:r>
      <w:r>
        <w:rPr>
          <w:spacing w:val="8"/>
        </w:rPr>
        <w:t>件包括：</w:t>
      </w:r>
      <w:r>
        <w:t xml:space="preserve"> </w:t>
      </w:r>
      <w:r>
        <w:rPr>
          <w:spacing w:val="-10"/>
        </w:rPr>
        <w:t>计算机、外围设备、硬件模拟器、激发器、仿真器、诊断设备和非计算机设备。硬</w:t>
      </w:r>
      <w:r>
        <w:t xml:space="preserve">  件的描述应包括：</w:t>
      </w:r>
    </w:p>
    <w:p w14:paraId="68714006">
      <w:pPr>
        <w:pStyle w:val="2"/>
        <w:spacing w:before="12" w:line="219" w:lineRule="auto"/>
        <w:ind w:left="559"/>
      </w:pPr>
      <w:r>
        <w:rPr>
          <w:rFonts w:ascii="Times New Roman" w:hAnsi="Times New Roman" w:eastAsia="Times New Roman" w:cs="Times New Roman"/>
          <w:spacing w:val="-1"/>
        </w:rPr>
        <w:t>a</w:t>
      </w:r>
      <w:r>
        <w:rPr>
          <w:spacing w:val="-1"/>
        </w:rPr>
        <w:t>)具体的型号、版本与配置；</w:t>
      </w:r>
    </w:p>
    <w:p w14:paraId="0A319FEB">
      <w:pPr>
        <w:pStyle w:val="2"/>
        <w:spacing w:before="61" w:line="212" w:lineRule="auto"/>
        <w:ind w:left="559"/>
      </w:pPr>
      <w:r>
        <w:rPr>
          <w:rFonts w:ascii="Times New Roman" w:hAnsi="Times New Roman" w:eastAsia="Times New Roman" w:cs="Times New Roman"/>
          <w:spacing w:val="2"/>
        </w:rPr>
        <w:t xml:space="preserve">b)  </w:t>
      </w:r>
      <w:r>
        <w:rPr>
          <w:spacing w:val="2"/>
        </w:rPr>
        <w:t>选择硬件的理由；</w:t>
      </w:r>
    </w:p>
    <w:p w14:paraId="5A2D4BE3">
      <w:pPr>
        <w:pStyle w:val="2"/>
        <w:spacing w:before="100" w:line="212" w:lineRule="auto"/>
        <w:ind w:left="559"/>
      </w:pPr>
      <w:r>
        <w:rPr>
          <w:rFonts w:ascii="Times New Roman" w:hAnsi="Times New Roman" w:eastAsia="Times New Roman" w:cs="Times New Roman"/>
          <w:spacing w:val="3"/>
        </w:rPr>
        <w:t xml:space="preserve">c)  ( </w:t>
      </w:r>
      <w:r>
        <w:rPr>
          <w:spacing w:val="3"/>
        </w:rPr>
        <w:t>若适用)每项所涉及的用户/操作员手册或使用说明；</w:t>
      </w:r>
    </w:p>
    <w:p w14:paraId="7DBC6190">
      <w:pPr>
        <w:pStyle w:val="2"/>
        <w:spacing w:before="111" w:line="271" w:lineRule="auto"/>
        <w:ind w:right="88" w:firstLine="559"/>
        <w:rPr>
          <w:sz w:val="25"/>
          <w:szCs w:val="25"/>
        </w:rPr>
      </w:pPr>
      <w:r>
        <w:rPr>
          <w:rFonts w:ascii="Times New Roman" w:hAnsi="Times New Roman" w:eastAsia="Times New Roman" w:cs="Times New Roman"/>
          <w:spacing w:val="21"/>
          <w:sz w:val="25"/>
          <w:szCs w:val="25"/>
        </w:rPr>
        <w:t xml:space="preserve">d)  </w:t>
      </w:r>
      <w:r>
        <w:rPr>
          <w:spacing w:val="21"/>
          <w:sz w:val="25"/>
          <w:szCs w:val="25"/>
        </w:rPr>
        <w:t>每个硬件和文档的状态标识，可分为需方所提供的、应交付给保障机构</w:t>
      </w:r>
      <w:r>
        <w:rPr>
          <w:spacing w:val="17"/>
          <w:sz w:val="25"/>
          <w:szCs w:val="25"/>
        </w:rPr>
        <w:t xml:space="preserve"> </w:t>
      </w:r>
      <w:r>
        <w:rPr>
          <w:spacing w:val="11"/>
          <w:sz w:val="25"/>
          <w:szCs w:val="25"/>
        </w:rPr>
        <w:t>的、保障机构已有的、保障机构应得到的或其他的状态；</w:t>
      </w:r>
    </w:p>
    <w:p w14:paraId="21F0C77F">
      <w:pPr>
        <w:pStyle w:val="2"/>
        <w:spacing w:before="66" w:line="260" w:lineRule="auto"/>
        <w:ind w:right="93" w:firstLine="559"/>
      </w:pPr>
      <w:r>
        <w:rPr>
          <w:rFonts w:ascii="Times New Roman" w:hAnsi="Times New Roman" w:eastAsia="Times New Roman" w:cs="Times New Roman"/>
          <w:spacing w:val="3"/>
        </w:rPr>
        <w:t xml:space="preserve">e)  </w:t>
      </w:r>
      <w:r>
        <w:rPr>
          <w:spacing w:val="3"/>
        </w:rPr>
        <w:t>如果某项必须具备，则应给出当前供货来源信息，包括该项现在是否可</w:t>
      </w:r>
      <w:r>
        <w:rPr>
          <w:spacing w:val="10"/>
        </w:rPr>
        <w:t xml:space="preserve"> </w:t>
      </w:r>
      <w:r>
        <w:rPr>
          <w:spacing w:val="1"/>
        </w:rPr>
        <w:t>获得和交付时是否有可能获得；</w:t>
      </w:r>
    </w:p>
    <w:p w14:paraId="76264A3B">
      <w:pPr>
        <w:pStyle w:val="2"/>
        <w:spacing w:before="60" w:line="262" w:lineRule="auto"/>
        <w:ind w:right="103" w:firstLine="559"/>
      </w:pPr>
      <w:r>
        <w:rPr>
          <w:rFonts w:ascii="Times New Roman" w:hAnsi="Times New Roman" w:eastAsia="Times New Roman" w:cs="Times New Roman"/>
          <w:spacing w:val="-4"/>
        </w:rPr>
        <w:t>f)</w:t>
      </w:r>
      <w:r>
        <w:rPr>
          <w:rFonts w:ascii="Times New Roman" w:hAnsi="Times New Roman" w:eastAsia="Times New Roman" w:cs="Times New Roman"/>
          <w:spacing w:val="68"/>
          <w:w w:val="101"/>
        </w:rPr>
        <w:t xml:space="preserve"> </w:t>
      </w:r>
      <w:r>
        <w:rPr>
          <w:spacing w:val="-4"/>
        </w:rPr>
        <w:t>关于制造商提供的支持、许可证、资料权限等信息，包括该项当前是否由</w:t>
      </w:r>
      <w:r>
        <w:t xml:space="preserve"> </w:t>
      </w:r>
      <w:r>
        <w:rPr>
          <w:spacing w:val="-2"/>
        </w:rPr>
        <w:t>制造商支持，是否期望在交付时能得到支持，能否给</w:t>
      </w:r>
      <w:r>
        <w:rPr>
          <w:spacing w:val="-3"/>
        </w:rPr>
        <w:t>予保障机构许可证以及这种</w:t>
      </w:r>
      <w:r>
        <w:t xml:space="preserve"> </w:t>
      </w:r>
      <w:r>
        <w:rPr>
          <w:spacing w:val="1"/>
        </w:rPr>
        <w:t>许可证的限期等都应加以说明；</w:t>
      </w:r>
    </w:p>
    <w:p w14:paraId="3DEE7E35">
      <w:pPr>
        <w:pStyle w:val="2"/>
        <w:spacing w:before="69" w:line="212" w:lineRule="auto"/>
        <w:ind w:left="559"/>
      </w:pPr>
      <w:r>
        <w:rPr>
          <w:rFonts w:ascii="Times New Roman" w:hAnsi="Times New Roman" w:eastAsia="Times New Roman" w:cs="Times New Roman"/>
          <w:spacing w:val="-2"/>
        </w:rPr>
        <w:t xml:space="preserve">g)  </w:t>
      </w:r>
      <w:r>
        <w:rPr>
          <w:spacing w:val="-2"/>
        </w:rPr>
        <w:t>保密性方面的考虑、限制或其他权益</w:t>
      </w:r>
      <w:r>
        <w:rPr>
          <w:spacing w:val="-3"/>
        </w:rPr>
        <w:t>条款。</w:t>
      </w:r>
    </w:p>
    <w:p w14:paraId="70EBE482">
      <w:pPr>
        <w:spacing w:before="136" w:line="222" w:lineRule="auto"/>
        <w:rPr>
          <w:rFonts w:ascii="黑体" w:hAnsi="黑体" w:eastAsia="黑体" w:cs="黑体"/>
          <w:sz w:val="25"/>
          <w:szCs w:val="25"/>
        </w:rPr>
      </w:pPr>
      <w:r>
        <w:rPr>
          <w:rFonts w:ascii="黑体" w:hAnsi="黑体" w:eastAsia="黑体" w:cs="黑体"/>
          <w:spacing w:val="3"/>
          <w:sz w:val="25"/>
          <w:szCs w:val="25"/>
        </w:rPr>
        <w:t>3.3</w:t>
      </w:r>
      <w:r>
        <w:rPr>
          <w:rFonts w:ascii="黑体" w:hAnsi="黑体" w:eastAsia="黑体" w:cs="黑体"/>
          <w:spacing w:val="35"/>
          <w:sz w:val="25"/>
          <w:szCs w:val="25"/>
        </w:rPr>
        <w:t xml:space="preserve">  </w:t>
      </w:r>
      <w:r>
        <w:rPr>
          <w:rFonts w:ascii="黑体" w:hAnsi="黑体" w:eastAsia="黑体" w:cs="黑体"/>
          <w:b/>
          <w:bCs/>
          <w:spacing w:val="3"/>
          <w:sz w:val="25"/>
          <w:szCs w:val="25"/>
        </w:rPr>
        <w:t>软件</w:t>
      </w:r>
    </w:p>
    <w:p w14:paraId="6114A124">
      <w:pPr>
        <w:pStyle w:val="2"/>
        <w:spacing w:before="113" w:line="273" w:lineRule="auto"/>
        <w:ind w:firstLine="559"/>
        <w:jc w:val="both"/>
      </w:pPr>
      <w:r>
        <w:rPr>
          <w:spacing w:val="9"/>
        </w:rPr>
        <w:t>本条应标识和描述支持可交付软件所需的软件和相应的文档。软</w:t>
      </w:r>
      <w:r>
        <w:rPr>
          <w:spacing w:val="8"/>
        </w:rPr>
        <w:t>件包括：</w:t>
      </w:r>
      <w:r>
        <w:t xml:space="preserve"> </w:t>
      </w:r>
      <w:r>
        <w:rPr>
          <w:spacing w:val="-4"/>
        </w:rPr>
        <w:t>计算机辅助软件工程(</w:t>
      </w:r>
      <w:r>
        <w:rPr>
          <w:rFonts w:ascii="Times New Roman" w:hAnsi="Times New Roman" w:eastAsia="Times New Roman" w:cs="Times New Roman"/>
          <w:spacing w:val="-4"/>
        </w:rPr>
        <w:t>CASE)</w:t>
      </w:r>
      <w:r>
        <w:rPr>
          <w:rFonts w:ascii="Times New Roman" w:hAnsi="Times New Roman" w:eastAsia="Times New Roman" w:cs="Times New Roman"/>
          <w:spacing w:val="33"/>
        </w:rPr>
        <w:t xml:space="preserve"> </w:t>
      </w:r>
      <w:r>
        <w:rPr>
          <w:spacing w:val="-4"/>
        </w:rPr>
        <w:t>工具、</w:t>
      </w:r>
      <w:r>
        <w:rPr>
          <w:rFonts w:ascii="Times New Roman" w:hAnsi="Times New Roman" w:eastAsia="Times New Roman" w:cs="Times New Roman"/>
          <w:spacing w:val="-4"/>
        </w:rPr>
        <w:t>CASE</w:t>
      </w:r>
      <w:r>
        <w:rPr>
          <w:rFonts w:ascii="Times New Roman" w:hAnsi="Times New Roman" w:eastAsia="Times New Roman" w:cs="Times New Roman"/>
          <w:spacing w:val="42"/>
          <w:w w:val="101"/>
        </w:rPr>
        <w:t xml:space="preserve"> </w:t>
      </w:r>
      <w:r>
        <w:rPr>
          <w:spacing w:val="-4"/>
        </w:rPr>
        <w:t>工具中的数据、编译程序</w:t>
      </w:r>
      <w:r>
        <w:rPr>
          <w:spacing w:val="-5"/>
        </w:rPr>
        <w:t>、测试工具、</w:t>
      </w:r>
      <w:r>
        <w:t xml:space="preserve"> </w:t>
      </w:r>
      <w:r>
        <w:rPr>
          <w:spacing w:val="-10"/>
        </w:rPr>
        <w:t>测试数据、模拟器、仿真器、实用程序、配置管理工具、数据库和数据文件以及其</w:t>
      </w:r>
      <w:r>
        <w:t xml:space="preserve">  </w:t>
      </w:r>
      <w:r>
        <w:rPr>
          <w:spacing w:val="1"/>
        </w:rPr>
        <w:t>他软件。软件的描述应包括：</w:t>
      </w:r>
    </w:p>
    <w:p w14:paraId="75D9DC09">
      <w:pPr>
        <w:pStyle w:val="2"/>
        <w:spacing w:before="4" w:line="212" w:lineRule="auto"/>
        <w:ind w:left="559"/>
      </w:pPr>
      <w:r>
        <w:rPr>
          <w:rFonts w:ascii="Times New Roman" w:hAnsi="Times New Roman" w:eastAsia="Times New Roman" w:cs="Times New Roman"/>
          <w:spacing w:val="-12"/>
        </w:rPr>
        <w:t>a)  (</w:t>
      </w:r>
      <w:r>
        <w:rPr>
          <w:rFonts w:ascii="Times New Roman" w:hAnsi="Times New Roman" w:eastAsia="Times New Roman" w:cs="Times New Roman"/>
          <w:spacing w:val="28"/>
          <w:w w:val="101"/>
        </w:rPr>
        <w:t xml:space="preserve"> </w:t>
      </w:r>
      <w:r>
        <w:rPr>
          <w:spacing w:val="-12"/>
        </w:rPr>
        <w:t>若适用)特定名称、标识号、版本号、发布号及配置；</w:t>
      </w:r>
    </w:p>
    <w:p w14:paraId="0461E796">
      <w:pPr>
        <w:pStyle w:val="2"/>
        <w:spacing w:before="112" w:line="212" w:lineRule="auto"/>
        <w:ind w:left="559"/>
        <w:rPr>
          <w:sz w:val="24"/>
          <w:szCs w:val="24"/>
        </w:rPr>
      </w:pPr>
      <w:r>
        <w:rPr>
          <w:rFonts w:ascii="Times New Roman" w:hAnsi="Times New Roman" w:eastAsia="Times New Roman" w:cs="Times New Roman"/>
          <w:spacing w:val="24"/>
          <w:sz w:val="24"/>
          <w:szCs w:val="24"/>
        </w:rPr>
        <w:t>b)</w:t>
      </w:r>
      <w:r>
        <w:rPr>
          <w:rFonts w:ascii="Times New Roman" w:hAnsi="Times New Roman" w:eastAsia="Times New Roman" w:cs="Times New Roman"/>
          <w:spacing w:val="22"/>
          <w:sz w:val="24"/>
          <w:szCs w:val="24"/>
        </w:rPr>
        <w:t xml:space="preserve">  </w:t>
      </w:r>
      <w:r>
        <w:rPr>
          <w:spacing w:val="24"/>
          <w:sz w:val="24"/>
          <w:szCs w:val="24"/>
        </w:rPr>
        <w:t>选择该软件的理由；</w:t>
      </w:r>
    </w:p>
    <w:p w14:paraId="12DE4BE7">
      <w:pPr>
        <w:pStyle w:val="2"/>
        <w:spacing w:before="120" w:line="260" w:lineRule="auto"/>
        <w:ind w:right="87" w:firstLine="559"/>
      </w:pPr>
      <w:r>
        <w:rPr>
          <w:rFonts w:ascii="Times New Roman" w:hAnsi="Times New Roman" w:eastAsia="Times New Roman" w:cs="Times New Roman"/>
          <w:spacing w:val="3"/>
        </w:rPr>
        <w:t xml:space="preserve">c)  </w:t>
      </w:r>
      <w:r>
        <w:rPr>
          <w:spacing w:val="3"/>
        </w:rPr>
        <w:t>每个软件和文档的状态标识，可分为需方所提供的、应交付给保障机构</w:t>
      </w:r>
      <w:r>
        <w:rPr>
          <w:spacing w:val="17"/>
        </w:rPr>
        <w:t xml:space="preserve"> </w:t>
      </w:r>
      <w:r>
        <w:rPr>
          <w:spacing w:val="-8"/>
        </w:rPr>
        <w:t>的、保障机构已有的、保障机构应得到的或其他的状态；</w:t>
      </w:r>
    </w:p>
    <w:p w14:paraId="0D59567C">
      <w:pPr>
        <w:pStyle w:val="2"/>
        <w:spacing w:before="61" w:line="257" w:lineRule="auto"/>
        <w:ind w:right="93" w:firstLine="559"/>
      </w:pPr>
      <w:r>
        <w:rPr>
          <w:rFonts w:ascii="Times New Roman" w:hAnsi="Times New Roman" w:eastAsia="Times New Roman" w:cs="Times New Roman"/>
          <w:spacing w:val="3"/>
        </w:rPr>
        <w:t xml:space="preserve">d)  </w:t>
      </w:r>
      <w:r>
        <w:rPr>
          <w:spacing w:val="3"/>
        </w:rPr>
        <w:t>如果某项必须具备，则要给出当前供货来源信息，包括该项</w:t>
      </w:r>
      <w:r>
        <w:rPr>
          <w:spacing w:val="2"/>
        </w:rPr>
        <w:t>现在是否可</w:t>
      </w:r>
      <w:r>
        <w:t xml:space="preserve"> </w:t>
      </w:r>
      <w:r>
        <w:rPr>
          <w:spacing w:val="1"/>
        </w:rPr>
        <w:t>获得和交付时是否有可能获得；</w:t>
      </w:r>
    </w:p>
    <w:p w14:paraId="0D2F722B">
      <w:pPr>
        <w:pStyle w:val="2"/>
        <w:spacing w:before="59" w:line="263" w:lineRule="auto"/>
        <w:ind w:right="120" w:firstLine="559"/>
      </w:pPr>
      <w:r>
        <w:rPr>
          <w:rFonts w:ascii="Times New Roman" w:hAnsi="Times New Roman" w:eastAsia="Times New Roman" w:cs="Times New Roman"/>
          <w:spacing w:val="-5"/>
        </w:rPr>
        <w:t xml:space="preserve">e)  </w:t>
      </w:r>
      <w:r>
        <w:rPr>
          <w:spacing w:val="-5"/>
        </w:rPr>
        <w:t>关于卖方提供的支持、许可证、资料权限等信息，包括该项当前</w:t>
      </w:r>
      <w:r>
        <w:rPr>
          <w:spacing w:val="-6"/>
        </w:rPr>
        <w:t>是否由卖</w:t>
      </w:r>
      <w:r>
        <w:t xml:space="preserve"> </w:t>
      </w:r>
      <w:r>
        <w:rPr>
          <w:spacing w:val="-3"/>
        </w:rPr>
        <w:t>方支持、是否期望在交付时得到支持，能否给予保障机构许可证以及许可证的限</w:t>
      </w:r>
    </w:p>
    <w:p w14:paraId="13640722">
      <w:pPr>
        <w:spacing w:line="263" w:lineRule="auto"/>
        <w:sectPr>
          <w:footerReference r:id="rId220" w:type="default"/>
          <w:pgSz w:w="11910" w:h="17130"/>
          <w:pgMar w:top="1456" w:right="1224" w:bottom="1646" w:left="1200" w:header="0" w:footer="1457" w:gutter="0"/>
          <w:cols w:space="720" w:num="1"/>
        </w:sectPr>
      </w:pPr>
    </w:p>
    <w:p w14:paraId="40E55078">
      <w:pPr>
        <w:pStyle w:val="2"/>
        <w:spacing w:before="75" w:line="219" w:lineRule="auto"/>
      </w:pPr>
      <w:r>
        <w:rPr>
          <w:spacing w:val="-11"/>
        </w:rPr>
        <w:t>期等，都应加以说明；</w:t>
      </w:r>
    </w:p>
    <w:p w14:paraId="50BE43A5">
      <w:pPr>
        <w:pStyle w:val="2"/>
        <w:spacing w:before="89" w:line="212" w:lineRule="auto"/>
        <w:ind w:left="550"/>
        <w:rPr>
          <w:sz w:val="25"/>
          <w:szCs w:val="25"/>
        </w:rPr>
      </w:pPr>
      <w:r>
        <w:rPr>
          <w:rFonts w:ascii="Times New Roman" w:hAnsi="Times New Roman" w:eastAsia="Times New Roman" w:cs="Times New Roman"/>
          <w:spacing w:val="15"/>
          <w:sz w:val="25"/>
          <w:szCs w:val="25"/>
        </w:rPr>
        <w:t xml:space="preserve">g)  </w:t>
      </w:r>
      <w:r>
        <w:rPr>
          <w:spacing w:val="15"/>
          <w:sz w:val="25"/>
          <w:szCs w:val="25"/>
        </w:rPr>
        <w:t>保密性方面的考虑、限制或其他权益条款。</w:t>
      </w:r>
    </w:p>
    <w:p w14:paraId="49DFE171">
      <w:pPr>
        <w:spacing w:before="110" w:line="222" w:lineRule="auto"/>
        <w:rPr>
          <w:rFonts w:ascii="黑体" w:hAnsi="黑体" w:eastAsia="黑体" w:cs="黑体"/>
          <w:sz w:val="27"/>
          <w:szCs w:val="27"/>
        </w:rPr>
      </w:pPr>
      <w:r>
        <w:rPr>
          <w:rFonts w:ascii="黑体" w:hAnsi="黑体" w:eastAsia="黑体" w:cs="黑体"/>
          <w:spacing w:val="3"/>
          <w:sz w:val="27"/>
          <w:szCs w:val="27"/>
        </w:rPr>
        <w:t>3.4</w:t>
      </w:r>
      <w:r>
        <w:rPr>
          <w:rFonts w:ascii="黑体" w:hAnsi="黑体" w:eastAsia="黑体" w:cs="黑体"/>
          <w:spacing w:val="12"/>
          <w:sz w:val="27"/>
          <w:szCs w:val="27"/>
        </w:rPr>
        <w:t xml:space="preserve">  </w:t>
      </w:r>
      <w:r>
        <w:rPr>
          <w:rFonts w:ascii="黑体" w:hAnsi="黑体" w:eastAsia="黑体" w:cs="黑体"/>
          <w:spacing w:val="3"/>
          <w:sz w:val="27"/>
          <w:szCs w:val="27"/>
        </w:rPr>
        <w:t>其他文档</w:t>
      </w:r>
    </w:p>
    <w:p w14:paraId="2A80C5AB">
      <w:pPr>
        <w:pStyle w:val="2"/>
        <w:spacing w:before="75" w:line="276" w:lineRule="auto"/>
        <w:ind w:right="102" w:firstLine="550"/>
        <w:jc w:val="both"/>
      </w:pPr>
      <w:r>
        <w:rPr>
          <w:spacing w:val="5"/>
        </w:rPr>
        <w:t>本条应标识支持可交付软件所需的其他文档。例如可交付软件的计划、报</w:t>
      </w:r>
      <w:r>
        <w:rPr>
          <w:spacing w:val="11"/>
        </w:rPr>
        <w:t xml:space="preserve"> </w:t>
      </w:r>
      <w:r>
        <w:rPr>
          <w:spacing w:val="-10"/>
        </w:rPr>
        <w:t>告、规格说明、设计说明、测试用例/测试过程、</w:t>
      </w:r>
      <w:r>
        <w:rPr>
          <w:color w:val="504050"/>
          <w:spacing w:val="-10"/>
        </w:rPr>
        <w:t>测试报告、</w:t>
      </w:r>
      <w:r>
        <w:rPr>
          <w:spacing w:val="-10"/>
        </w:rPr>
        <w:t>用户/操作员手册和保</w:t>
      </w:r>
      <w:r>
        <w:rPr>
          <w:spacing w:val="8"/>
        </w:rPr>
        <w:t xml:space="preserve"> </w:t>
      </w:r>
      <w:r>
        <w:rPr>
          <w:spacing w:val="1"/>
        </w:rPr>
        <w:t>障手册等。本条应提供：</w:t>
      </w:r>
    </w:p>
    <w:p w14:paraId="34A13FBE">
      <w:pPr>
        <w:pStyle w:val="2"/>
        <w:spacing w:line="212" w:lineRule="auto"/>
        <w:ind w:left="550"/>
      </w:pPr>
      <w:r>
        <w:rPr>
          <w:rFonts w:ascii="Times New Roman" w:hAnsi="Times New Roman" w:eastAsia="Times New Roman" w:cs="Times New Roman"/>
          <w:spacing w:val="-8"/>
        </w:rPr>
        <w:t xml:space="preserve">a)  ( </w:t>
      </w:r>
      <w:r>
        <w:rPr>
          <w:spacing w:val="-8"/>
        </w:rPr>
        <w:t>若适用)名称、标识号、版本号和发布</w:t>
      </w:r>
      <w:r>
        <w:rPr>
          <w:spacing w:val="-9"/>
        </w:rPr>
        <w:t>号；</w:t>
      </w:r>
    </w:p>
    <w:p w14:paraId="6FAD1A7A">
      <w:pPr>
        <w:pStyle w:val="2"/>
        <w:spacing w:before="122" w:line="212" w:lineRule="auto"/>
        <w:ind w:left="550"/>
        <w:rPr>
          <w:sz w:val="24"/>
          <w:szCs w:val="24"/>
        </w:rPr>
      </w:pPr>
      <w:r>
        <w:rPr>
          <w:rFonts w:ascii="Times New Roman" w:hAnsi="Times New Roman" w:eastAsia="Times New Roman" w:cs="Times New Roman"/>
          <w:spacing w:val="28"/>
          <w:sz w:val="24"/>
          <w:szCs w:val="24"/>
        </w:rPr>
        <w:t>b)</w:t>
      </w:r>
      <w:r>
        <w:rPr>
          <w:rFonts w:ascii="Times New Roman" w:hAnsi="Times New Roman" w:eastAsia="Times New Roman" w:cs="Times New Roman"/>
          <w:spacing w:val="25"/>
          <w:sz w:val="24"/>
          <w:szCs w:val="24"/>
        </w:rPr>
        <w:t xml:space="preserve">  </w:t>
      </w:r>
      <w:r>
        <w:rPr>
          <w:spacing w:val="28"/>
          <w:sz w:val="24"/>
          <w:szCs w:val="24"/>
        </w:rPr>
        <w:t>每个文档包含在清单中的理由；</w:t>
      </w:r>
    </w:p>
    <w:p w14:paraId="611359E6">
      <w:pPr>
        <w:pStyle w:val="2"/>
        <w:spacing w:before="83" w:line="266" w:lineRule="auto"/>
        <w:ind w:right="83" w:firstLine="550"/>
      </w:pPr>
      <w:r>
        <w:rPr>
          <w:rFonts w:ascii="Times New Roman" w:hAnsi="Times New Roman" w:eastAsia="Times New Roman" w:cs="Times New Roman"/>
          <w:spacing w:val="-4"/>
        </w:rPr>
        <w:t xml:space="preserve">c)  </w:t>
      </w:r>
      <w:r>
        <w:rPr>
          <w:spacing w:val="-4"/>
        </w:rPr>
        <w:t>每个文档的状态标识，可分为需方所提供的、应</w:t>
      </w:r>
      <w:r>
        <w:rPr>
          <w:spacing w:val="-5"/>
        </w:rPr>
        <w:t>交付给保障机构的、保障</w:t>
      </w:r>
      <w:r>
        <w:t xml:space="preserve"> </w:t>
      </w:r>
      <w:r>
        <w:rPr>
          <w:spacing w:val="-2"/>
        </w:rPr>
        <w:t>机构已有的、保障机构应得到的或其他的状</w:t>
      </w:r>
      <w:r>
        <w:rPr>
          <w:spacing w:val="-3"/>
        </w:rPr>
        <w:t>态；</w:t>
      </w:r>
    </w:p>
    <w:p w14:paraId="4C224144">
      <w:pPr>
        <w:pStyle w:val="2"/>
        <w:spacing w:before="41" w:line="212" w:lineRule="auto"/>
        <w:ind w:left="550"/>
      </w:pPr>
      <w:r>
        <w:rPr>
          <w:rFonts w:ascii="Times New Roman" w:hAnsi="Times New Roman" w:eastAsia="Times New Roman" w:cs="Times New Roman"/>
          <w:spacing w:val="-3"/>
        </w:rPr>
        <w:t xml:space="preserve">d)  </w:t>
      </w:r>
      <w:r>
        <w:rPr>
          <w:spacing w:val="-3"/>
        </w:rPr>
        <w:t>如果某个文档必须具备，说明从何处获取；</w:t>
      </w:r>
    </w:p>
    <w:p w14:paraId="750C089D">
      <w:pPr>
        <w:pStyle w:val="2"/>
        <w:spacing w:before="110" w:line="212" w:lineRule="auto"/>
        <w:ind w:left="550"/>
      </w:pPr>
      <w:r>
        <w:rPr>
          <w:rFonts w:ascii="Times New Roman" w:hAnsi="Times New Roman" w:eastAsia="Times New Roman" w:cs="Times New Roman"/>
          <w:spacing w:val="2"/>
        </w:rPr>
        <w:t xml:space="preserve">e)  </w:t>
      </w:r>
      <w:r>
        <w:rPr>
          <w:spacing w:val="2"/>
        </w:rPr>
        <w:t>有关许可证和资料权限的信息；</w:t>
      </w:r>
    </w:p>
    <w:p w14:paraId="70B91DE1">
      <w:pPr>
        <w:pStyle w:val="2"/>
        <w:spacing w:before="100" w:line="212" w:lineRule="auto"/>
        <w:ind w:left="550"/>
      </w:pPr>
      <w:r>
        <w:rPr>
          <w:rFonts w:ascii="Times New Roman" w:hAnsi="Times New Roman" w:eastAsia="Times New Roman" w:cs="Times New Roman"/>
          <w:spacing w:val="-3"/>
        </w:rPr>
        <w:t>f)</w:t>
      </w:r>
      <w:r>
        <w:rPr>
          <w:rFonts w:ascii="Times New Roman" w:hAnsi="Times New Roman" w:eastAsia="Times New Roman" w:cs="Times New Roman"/>
          <w:spacing w:val="66"/>
        </w:rPr>
        <w:t xml:space="preserve"> </w:t>
      </w:r>
      <w:r>
        <w:rPr>
          <w:spacing w:val="-3"/>
        </w:rPr>
        <w:t>保密性方面的考虑、限制或其他权益条款。</w:t>
      </w:r>
    </w:p>
    <w:p w14:paraId="37A5857A">
      <w:pPr>
        <w:spacing w:before="147" w:line="221" w:lineRule="auto"/>
        <w:rPr>
          <w:rFonts w:ascii="黑体" w:hAnsi="黑体" w:eastAsia="黑体" w:cs="黑体"/>
          <w:sz w:val="24"/>
          <w:szCs w:val="24"/>
        </w:rPr>
      </w:pPr>
      <w:r>
        <w:rPr>
          <w:rFonts w:ascii="黑体" w:hAnsi="黑体" w:eastAsia="黑体" w:cs="黑体"/>
          <w:spacing w:val="-5"/>
          <w:sz w:val="24"/>
          <w:szCs w:val="24"/>
        </w:rPr>
        <w:t>3.5</w:t>
      </w:r>
      <w:r>
        <w:rPr>
          <w:rFonts w:ascii="黑体" w:hAnsi="黑体" w:eastAsia="黑体" w:cs="黑体"/>
          <w:spacing w:val="50"/>
          <w:sz w:val="24"/>
          <w:szCs w:val="24"/>
        </w:rPr>
        <w:t xml:space="preserve">  </w:t>
      </w:r>
      <w:r>
        <w:rPr>
          <w:rFonts w:ascii="黑体" w:hAnsi="黑体" w:eastAsia="黑体" w:cs="黑体"/>
          <w:spacing w:val="-5"/>
          <w:sz w:val="24"/>
          <w:szCs w:val="24"/>
        </w:rPr>
        <w:t>人</w:t>
      </w:r>
      <w:r>
        <w:rPr>
          <w:rFonts w:ascii="黑体" w:hAnsi="黑体" w:eastAsia="黑体" w:cs="黑体"/>
          <w:spacing w:val="-39"/>
          <w:sz w:val="24"/>
          <w:szCs w:val="24"/>
        </w:rPr>
        <w:t xml:space="preserve"> </w:t>
      </w:r>
      <w:r>
        <w:rPr>
          <w:rFonts w:ascii="黑体" w:hAnsi="黑体" w:eastAsia="黑体" w:cs="黑体"/>
          <w:spacing w:val="-5"/>
          <w:sz w:val="24"/>
          <w:szCs w:val="24"/>
        </w:rPr>
        <w:t>员</w:t>
      </w:r>
    </w:p>
    <w:p w14:paraId="58218F6F">
      <w:pPr>
        <w:pStyle w:val="2"/>
        <w:spacing w:before="97" w:line="272" w:lineRule="auto"/>
        <w:ind w:right="102" w:firstLine="550"/>
        <w:jc w:val="both"/>
      </w:pPr>
      <w:r>
        <w:rPr>
          <w:spacing w:val="-3"/>
        </w:rPr>
        <w:t>本条应描述支持可交付软件所需的人员，包括预期的人员数量、技能和专长</w:t>
      </w:r>
      <w:r>
        <w:t xml:space="preserve"> </w:t>
      </w:r>
      <w:r>
        <w:rPr>
          <w:spacing w:val="5"/>
        </w:rPr>
        <w:t xml:space="preserve">的类型与级别、保密性认可。(若适用)可以实际参与项目开发的人员为基础来 </w:t>
      </w:r>
      <w:r>
        <w:rPr>
          <w:spacing w:val="3"/>
        </w:rPr>
        <w:t>安排所需人员。</w:t>
      </w:r>
    </w:p>
    <w:p w14:paraId="19CD991E">
      <w:pPr>
        <w:spacing w:before="34" w:line="221" w:lineRule="auto"/>
        <w:rPr>
          <w:rFonts w:ascii="黑体" w:hAnsi="黑体" w:eastAsia="黑体" w:cs="黑体"/>
          <w:sz w:val="27"/>
          <w:szCs w:val="27"/>
        </w:rPr>
      </w:pPr>
      <w:r>
        <w:rPr>
          <w:rFonts w:ascii="黑体" w:hAnsi="黑体" w:eastAsia="黑体" w:cs="黑体"/>
          <w:spacing w:val="1"/>
          <w:sz w:val="27"/>
          <w:szCs w:val="27"/>
        </w:rPr>
        <w:t>3.6</w:t>
      </w:r>
      <w:r>
        <w:rPr>
          <w:rFonts w:ascii="黑体" w:hAnsi="黑体" w:eastAsia="黑体" w:cs="黑体"/>
          <w:spacing w:val="13"/>
          <w:sz w:val="27"/>
          <w:szCs w:val="27"/>
        </w:rPr>
        <w:t xml:space="preserve">  </w:t>
      </w:r>
      <w:r>
        <w:rPr>
          <w:rFonts w:ascii="黑体" w:hAnsi="黑体" w:eastAsia="黑体" w:cs="黑体"/>
          <w:spacing w:val="1"/>
          <w:sz w:val="27"/>
          <w:szCs w:val="27"/>
        </w:rPr>
        <w:t>其他资源</w:t>
      </w:r>
    </w:p>
    <w:p w14:paraId="689B78E2">
      <w:pPr>
        <w:pStyle w:val="2"/>
        <w:spacing w:before="97" w:line="296" w:lineRule="auto"/>
        <w:ind w:right="104" w:firstLine="550"/>
        <w:rPr>
          <w:sz w:val="25"/>
          <w:szCs w:val="25"/>
        </w:rPr>
      </w:pPr>
      <w:r>
        <w:rPr>
          <w:spacing w:val="25"/>
          <w:sz w:val="25"/>
          <w:szCs w:val="25"/>
        </w:rPr>
        <w:t>本条应标识用来支持可交付软件所需的其他资源，包括磁带和磁盘等消耗</w:t>
      </w:r>
      <w:r>
        <w:rPr>
          <w:spacing w:val="9"/>
          <w:sz w:val="25"/>
          <w:szCs w:val="25"/>
        </w:rPr>
        <w:t xml:space="preserve"> </w:t>
      </w:r>
      <w:r>
        <w:rPr>
          <w:spacing w:val="13"/>
          <w:sz w:val="25"/>
          <w:szCs w:val="25"/>
        </w:rPr>
        <w:t>品，估计所需资源的类型和数量。</w:t>
      </w:r>
    </w:p>
    <w:p w14:paraId="01C5D314">
      <w:pPr>
        <w:spacing w:line="222" w:lineRule="auto"/>
        <w:rPr>
          <w:rFonts w:ascii="黑体" w:hAnsi="黑体" w:eastAsia="黑体" w:cs="黑体"/>
          <w:sz w:val="27"/>
          <w:szCs w:val="27"/>
        </w:rPr>
      </w:pPr>
      <w:r>
        <w:rPr>
          <w:rFonts w:ascii="黑体" w:hAnsi="黑体" w:eastAsia="黑体" w:cs="黑体"/>
          <w:spacing w:val="5"/>
          <w:sz w:val="27"/>
          <w:szCs w:val="27"/>
        </w:rPr>
        <w:t>3.7  各组成部分之间的相互关系</w:t>
      </w:r>
    </w:p>
    <w:p w14:paraId="53A7B899">
      <w:pPr>
        <w:pStyle w:val="2"/>
        <w:spacing w:before="75" w:line="280" w:lineRule="auto"/>
        <w:ind w:right="102" w:firstLine="550"/>
      </w:pPr>
      <w:r>
        <w:rPr>
          <w:spacing w:val="5"/>
        </w:rPr>
        <w:t>本条应标识3.1～3.6所标识的各组成部分之间的关系，可用图表</w:t>
      </w:r>
      <w:r>
        <w:rPr>
          <w:spacing w:val="4"/>
        </w:rPr>
        <w:t>形式来表</w:t>
      </w:r>
      <w:r>
        <w:t xml:space="preserve"> 示这些关系。</w:t>
      </w:r>
    </w:p>
    <w:p w14:paraId="70430D38">
      <w:pPr>
        <w:spacing w:before="1" w:line="221" w:lineRule="auto"/>
        <w:rPr>
          <w:rFonts w:ascii="黑体" w:hAnsi="黑体" w:eastAsia="黑体" w:cs="黑体"/>
          <w:sz w:val="27"/>
          <w:szCs w:val="27"/>
        </w:rPr>
      </w:pPr>
      <w:r>
        <w:rPr>
          <w:rFonts w:ascii="黑体" w:hAnsi="黑体" w:eastAsia="黑体" w:cs="黑体"/>
          <w:spacing w:val="4"/>
          <w:sz w:val="27"/>
          <w:szCs w:val="27"/>
        </w:rPr>
        <w:t>4</w:t>
      </w:r>
      <w:r>
        <w:rPr>
          <w:rFonts w:ascii="黑体" w:hAnsi="黑体" w:eastAsia="黑体" w:cs="黑体"/>
          <w:spacing w:val="14"/>
          <w:sz w:val="27"/>
          <w:szCs w:val="27"/>
        </w:rPr>
        <w:t xml:space="preserve">  </w:t>
      </w:r>
      <w:r>
        <w:rPr>
          <w:rFonts w:ascii="黑体" w:hAnsi="黑体" w:eastAsia="黑体" w:cs="黑体"/>
          <w:spacing w:val="4"/>
          <w:sz w:val="27"/>
          <w:szCs w:val="27"/>
        </w:rPr>
        <w:t>推荐的规程</w:t>
      </w:r>
    </w:p>
    <w:p w14:paraId="58A18280">
      <w:pPr>
        <w:pStyle w:val="2"/>
        <w:spacing w:before="95" w:line="278" w:lineRule="auto"/>
        <w:ind w:right="104" w:firstLine="550"/>
      </w:pPr>
      <w:r>
        <w:rPr>
          <w:spacing w:val="5"/>
        </w:rPr>
        <w:t>本章应根据需要分条描述为支持可交付的软件和相关的保障环境，开发方</w:t>
      </w:r>
      <w:r>
        <w:rPr>
          <w:spacing w:val="9"/>
        </w:rPr>
        <w:t xml:space="preserve"> </w:t>
      </w:r>
      <w:r>
        <w:rPr>
          <w:spacing w:val="-2"/>
        </w:rPr>
        <w:t>希望向保障机构推荐的规程，包括建议和经验</w:t>
      </w:r>
      <w:r>
        <w:rPr>
          <w:spacing w:val="-3"/>
        </w:rPr>
        <w:t>教训。</w:t>
      </w:r>
    </w:p>
    <w:p w14:paraId="3778A0CF">
      <w:pPr>
        <w:spacing w:line="223" w:lineRule="auto"/>
        <w:rPr>
          <w:rFonts w:ascii="黑体" w:hAnsi="黑体" w:eastAsia="黑体" w:cs="黑体"/>
          <w:sz w:val="27"/>
          <w:szCs w:val="27"/>
        </w:rPr>
      </w:pPr>
      <w:r>
        <w:rPr>
          <w:rFonts w:ascii="黑体" w:hAnsi="黑体" w:eastAsia="黑体" w:cs="黑体"/>
          <w:spacing w:val="5"/>
          <w:sz w:val="27"/>
          <w:szCs w:val="27"/>
        </w:rPr>
        <w:t>5</w:t>
      </w:r>
      <w:r>
        <w:rPr>
          <w:rFonts w:ascii="黑体" w:hAnsi="黑体" w:eastAsia="黑体" w:cs="黑体"/>
          <w:spacing w:val="15"/>
          <w:sz w:val="27"/>
          <w:szCs w:val="27"/>
        </w:rPr>
        <w:t xml:space="preserve">  </w:t>
      </w:r>
      <w:r>
        <w:rPr>
          <w:rFonts w:ascii="黑体" w:hAnsi="黑体" w:eastAsia="黑体" w:cs="黑体"/>
          <w:spacing w:val="5"/>
          <w:sz w:val="27"/>
          <w:szCs w:val="27"/>
        </w:rPr>
        <w:t>培训</w:t>
      </w:r>
    </w:p>
    <w:p w14:paraId="13B2FFB7">
      <w:pPr>
        <w:pStyle w:val="2"/>
        <w:spacing w:before="101" w:line="219" w:lineRule="auto"/>
        <w:jc w:val="right"/>
      </w:pPr>
      <w:r>
        <w:t>本章可分成若干条来描述开发方关于软件交付支持人员的培训计划，包括：</w:t>
      </w:r>
    </w:p>
    <w:p w14:paraId="04478D86">
      <w:pPr>
        <w:pStyle w:val="2"/>
        <w:spacing w:before="51" w:line="212" w:lineRule="auto"/>
        <w:ind w:left="550"/>
      </w:pPr>
      <w:r>
        <w:rPr>
          <w:rFonts w:ascii="Times New Roman" w:hAnsi="Times New Roman" w:eastAsia="Times New Roman" w:cs="Times New Roman"/>
          <w:spacing w:val="-2"/>
        </w:rPr>
        <w:t xml:space="preserve">a)  </w:t>
      </w:r>
      <w:r>
        <w:rPr>
          <w:spacing w:val="-2"/>
        </w:rPr>
        <w:t>培训进度安排、培训持续时间和培训地点。</w:t>
      </w:r>
    </w:p>
    <w:p w14:paraId="0E0974E4">
      <w:pPr>
        <w:pStyle w:val="2"/>
        <w:spacing w:before="100" w:line="212" w:lineRule="auto"/>
        <w:ind w:left="550"/>
      </w:pPr>
      <w:r>
        <w:rPr>
          <w:rFonts w:ascii="Times New Roman" w:hAnsi="Times New Roman" w:eastAsia="Times New Roman" w:cs="Times New Roman"/>
          <w:spacing w:val="3"/>
        </w:rPr>
        <w:t xml:space="preserve">b)  </w:t>
      </w:r>
      <w:r>
        <w:rPr>
          <w:spacing w:val="3"/>
        </w:rPr>
        <w:t>描述课程培训和实习培训。</w:t>
      </w:r>
    </w:p>
    <w:p w14:paraId="4DC8403D">
      <w:pPr>
        <w:pStyle w:val="2"/>
        <w:spacing w:before="121" w:line="268" w:lineRule="auto"/>
        <w:ind w:right="60" w:firstLine="550"/>
        <w:rPr>
          <w:sz w:val="25"/>
          <w:szCs w:val="25"/>
        </w:rPr>
      </w:pPr>
      <w:r>
        <w:rPr>
          <w:rFonts w:ascii="Times New Roman" w:hAnsi="Times New Roman" w:eastAsia="Times New Roman" w:cs="Times New Roman"/>
          <w:spacing w:val="24"/>
          <w:sz w:val="25"/>
          <w:szCs w:val="25"/>
        </w:rPr>
        <w:t xml:space="preserve">c)  </w:t>
      </w:r>
      <w:r>
        <w:rPr>
          <w:spacing w:val="24"/>
          <w:sz w:val="25"/>
          <w:szCs w:val="25"/>
        </w:rPr>
        <w:t>如下方面的准备(直接规定或引用):1)熟悉运行软件和目标计算机</w:t>
      </w:r>
      <w:r>
        <w:rPr>
          <w:spacing w:val="23"/>
          <w:sz w:val="25"/>
          <w:szCs w:val="25"/>
        </w:rPr>
        <w:t>；2)</w:t>
      </w:r>
      <w:r>
        <w:rPr>
          <w:sz w:val="25"/>
          <w:szCs w:val="25"/>
        </w:rPr>
        <w:t xml:space="preserve"> </w:t>
      </w:r>
      <w:r>
        <w:rPr>
          <w:spacing w:val="21"/>
          <w:sz w:val="25"/>
          <w:szCs w:val="25"/>
        </w:rPr>
        <w:t>熟悉支持软件和宿主系统。</w:t>
      </w:r>
    </w:p>
    <w:p w14:paraId="786F6CAD">
      <w:pPr>
        <w:spacing w:before="92" w:line="222"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8"/>
          <w:sz w:val="27"/>
          <w:szCs w:val="27"/>
        </w:rPr>
        <w:t xml:space="preserve">  </w:t>
      </w:r>
      <w:r>
        <w:rPr>
          <w:rFonts w:ascii="黑体" w:hAnsi="黑体" w:eastAsia="黑体" w:cs="黑体"/>
          <w:spacing w:val="2"/>
          <w:sz w:val="27"/>
          <w:szCs w:val="27"/>
        </w:rPr>
        <w:t>预期的更改区域</w:t>
      </w:r>
    </w:p>
    <w:p w14:paraId="5ED9CFFD">
      <w:pPr>
        <w:pStyle w:val="2"/>
        <w:spacing w:before="85" w:line="219" w:lineRule="auto"/>
        <w:ind w:left="550"/>
      </w:pPr>
      <w:r>
        <w:rPr>
          <w:spacing w:val="3"/>
        </w:rPr>
        <w:t>本章应描述可交付软件预期的更改区域。</w:t>
      </w:r>
    </w:p>
    <w:p w14:paraId="3D05273F">
      <w:pPr>
        <w:spacing w:line="219" w:lineRule="auto"/>
        <w:sectPr>
          <w:footerReference r:id="rId221" w:type="default"/>
          <w:pgSz w:w="11910" w:h="17130"/>
          <w:pgMar w:top="1456" w:right="1024" w:bottom="1616" w:left="1420" w:header="0" w:footer="1426" w:gutter="0"/>
          <w:cols w:space="720" w:num="1"/>
        </w:sectPr>
      </w:pPr>
    </w:p>
    <w:p w14:paraId="105708E8">
      <w:pPr>
        <w:spacing w:before="55" w:line="222" w:lineRule="auto"/>
        <w:rPr>
          <w:rFonts w:ascii="黑体" w:hAnsi="黑体" w:eastAsia="黑体" w:cs="黑体"/>
          <w:sz w:val="27"/>
          <w:szCs w:val="27"/>
        </w:rPr>
      </w:pPr>
      <w:r>
        <w:rPr>
          <w:rFonts w:ascii="黑体" w:hAnsi="黑体" w:eastAsia="黑体" w:cs="黑体"/>
          <w:spacing w:val="-2"/>
          <w:sz w:val="27"/>
          <w:szCs w:val="27"/>
        </w:rPr>
        <w:t>7</w:t>
      </w:r>
      <w:r>
        <w:rPr>
          <w:rFonts w:ascii="黑体" w:hAnsi="黑体" w:eastAsia="黑体" w:cs="黑体"/>
          <w:spacing w:val="12"/>
          <w:sz w:val="27"/>
          <w:szCs w:val="27"/>
        </w:rPr>
        <w:t xml:space="preserve">  </w:t>
      </w:r>
      <w:r>
        <w:rPr>
          <w:rFonts w:ascii="黑体" w:hAnsi="黑体" w:eastAsia="黑体" w:cs="黑体"/>
          <w:b/>
          <w:bCs/>
          <w:spacing w:val="-2"/>
          <w:sz w:val="27"/>
          <w:szCs w:val="27"/>
        </w:rPr>
        <w:t>移交计划</w:t>
      </w:r>
    </w:p>
    <w:p w14:paraId="7A91D081">
      <w:pPr>
        <w:pStyle w:val="2"/>
        <w:spacing w:before="26" w:line="281" w:lineRule="auto"/>
        <w:ind w:firstLine="560"/>
      </w:pPr>
      <w:r>
        <w:rPr>
          <w:spacing w:val="17"/>
        </w:rPr>
        <w:t>本章应根据需要分条描述开发方把可交付软件移交给保障机构的计划，</w:t>
      </w:r>
      <w:r>
        <w:rPr>
          <w:spacing w:val="16"/>
        </w:rPr>
        <w:t xml:space="preserve"> </w:t>
      </w:r>
      <w:r>
        <w:rPr>
          <w:spacing w:val="-6"/>
        </w:rPr>
        <w:t>包括：</w:t>
      </w:r>
    </w:p>
    <w:p w14:paraId="495AF847">
      <w:pPr>
        <w:pStyle w:val="2"/>
        <w:spacing w:before="4" w:line="275" w:lineRule="auto"/>
        <w:ind w:firstLine="560"/>
      </w:pPr>
      <w:r>
        <w:rPr>
          <w:rFonts w:ascii="Times New Roman" w:hAnsi="Times New Roman" w:eastAsia="Times New Roman" w:cs="Times New Roman"/>
          <w:spacing w:val="12"/>
        </w:rPr>
        <w:t>a)</w:t>
      </w:r>
      <w:r>
        <w:rPr>
          <w:rFonts w:ascii="Times New Roman" w:hAnsi="Times New Roman" w:eastAsia="Times New Roman" w:cs="Times New Roman"/>
          <w:spacing w:val="59"/>
        </w:rPr>
        <w:t xml:space="preserve"> </w:t>
      </w:r>
      <w:r>
        <w:rPr>
          <w:spacing w:val="12"/>
        </w:rPr>
        <w:t>向保障机构移交可交付软件而执行的各项活动，这些活动可能包括策</w:t>
      </w:r>
      <w:r>
        <w:t xml:space="preserve"> </w:t>
      </w:r>
      <w:r>
        <w:rPr>
          <w:spacing w:val="-3"/>
        </w:rPr>
        <w:t>划/协调会议，要交付给保障机构的各个项的准备，软件保障环境的包装</w:t>
      </w:r>
      <w:r>
        <w:rPr>
          <w:spacing w:val="-4"/>
        </w:rPr>
        <w:t>、运输、</w:t>
      </w:r>
      <w:r>
        <w:t xml:space="preserve"> </w:t>
      </w:r>
      <w:r>
        <w:rPr>
          <w:spacing w:val="-13"/>
        </w:rPr>
        <w:t>安装和检测，运行软件的包装、运输、安装和检测，以及支持人员的培训。</w:t>
      </w:r>
    </w:p>
    <w:p w14:paraId="30D3C36C">
      <w:pPr>
        <w:pStyle w:val="2"/>
        <w:spacing w:before="79" w:line="212" w:lineRule="auto"/>
        <w:ind w:left="560"/>
      </w:pPr>
      <w:r>
        <w:rPr>
          <w:rFonts w:ascii="Times New Roman" w:hAnsi="Times New Roman" w:eastAsia="Times New Roman" w:cs="Times New Roman"/>
          <w:spacing w:val="1"/>
        </w:rPr>
        <w:t>b)</w:t>
      </w:r>
      <w:r>
        <w:rPr>
          <w:rFonts w:ascii="Times New Roman" w:hAnsi="Times New Roman" w:eastAsia="Times New Roman" w:cs="Times New Roman"/>
          <w:spacing w:val="78"/>
        </w:rPr>
        <w:t xml:space="preserve"> </w:t>
      </w:r>
      <w:r>
        <w:rPr>
          <w:spacing w:val="1"/>
        </w:rPr>
        <w:t>每项活动的角色与职责。</w:t>
      </w:r>
    </w:p>
    <w:p w14:paraId="72EFA64C">
      <w:pPr>
        <w:pStyle w:val="2"/>
        <w:spacing w:before="89"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54"/>
          <w:w w:val="101"/>
        </w:rPr>
        <w:t xml:space="preserve"> </w:t>
      </w:r>
      <w:r>
        <w:rPr>
          <w:spacing w:val="4"/>
        </w:rPr>
        <w:t>执行移交活动所需的资源以及这些资源的来源。</w:t>
      </w:r>
    </w:p>
    <w:p w14:paraId="18190237">
      <w:pPr>
        <w:pStyle w:val="2"/>
        <w:spacing w:before="132" w:line="274" w:lineRule="auto"/>
        <w:ind w:right="94" w:firstLine="560"/>
        <w:rPr>
          <w:sz w:val="25"/>
          <w:szCs w:val="25"/>
        </w:rPr>
      </w:pPr>
      <w:r>
        <w:rPr>
          <w:rFonts w:ascii="Times New Roman" w:hAnsi="Times New Roman" w:eastAsia="Times New Roman" w:cs="Times New Roman"/>
          <w:spacing w:val="25"/>
          <w:sz w:val="25"/>
          <w:szCs w:val="25"/>
        </w:rPr>
        <w:t xml:space="preserve">d)  </w:t>
      </w:r>
      <w:r>
        <w:rPr>
          <w:spacing w:val="25"/>
          <w:sz w:val="25"/>
          <w:szCs w:val="25"/>
        </w:rPr>
        <w:t>实施移交活动的进度表和里程碑。进度</w:t>
      </w:r>
      <w:r>
        <w:rPr>
          <w:spacing w:val="24"/>
          <w:sz w:val="25"/>
          <w:szCs w:val="25"/>
        </w:rPr>
        <w:t>表和里程碑应与合同(或软件研</w:t>
      </w:r>
      <w:r>
        <w:rPr>
          <w:sz w:val="25"/>
          <w:szCs w:val="25"/>
        </w:rPr>
        <w:t xml:space="preserve"> </w:t>
      </w:r>
      <w:r>
        <w:rPr>
          <w:spacing w:val="19"/>
          <w:sz w:val="25"/>
          <w:szCs w:val="25"/>
        </w:rPr>
        <w:t>制任务书)中的总进度一致。</w:t>
      </w:r>
    </w:p>
    <w:p w14:paraId="520E66B8">
      <w:pPr>
        <w:pStyle w:val="2"/>
        <w:spacing w:before="66"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62"/>
          <w:w w:val="101"/>
        </w:rPr>
        <w:t xml:space="preserve"> </w:t>
      </w:r>
      <w:r>
        <w:rPr>
          <w:spacing w:val="4"/>
        </w:rPr>
        <w:t>在保障环境中安装和检测可交付项的规程。</w:t>
      </w:r>
    </w:p>
    <w:p w14:paraId="53DD95A7">
      <w:pPr>
        <w:spacing w:before="164" w:line="222" w:lineRule="auto"/>
        <w:rPr>
          <w:rFonts w:ascii="黑体" w:hAnsi="黑体" w:eastAsia="黑体" w:cs="黑体"/>
          <w:sz w:val="24"/>
          <w:szCs w:val="24"/>
        </w:rPr>
      </w:pPr>
      <w:r>
        <w:rPr>
          <w:rFonts w:ascii="黑体" w:hAnsi="黑体" w:eastAsia="黑体" w:cs="黑体"/>
          <w:spacing w:val="-8"/>
          <w:sz w:val="24"/>
          <w:szCs w:val="24"/>
        </w:rPr>
        <w:t>8</w:t>
      </w:r>
      <w:r>
        <w:rPr>
          <w:rFonts w:ascii="黑体" w:hAnsi="黑体" w:eastAsia="黑体" w:cs="黑体"/>
          <w:spacing w:val="29"/>
          <w:sz w:val="24"/>
          <w:szCs w:val="24"/>
        </w:rPr>
        <w:t xml:space="preserve">  </w:t>
      </w:r>
      <w:r>
        <w:rPr>
          <w:rFonts w:ascii="黑体" w:hAnsi="黑体" w:eastAsia="黑体" w:cs="黑体"/>
          <w:b/>
          <w:bCs/>
          <w:spacing w:val="-8"/>
          <w:sz w:val="24"/>
          <w:szCs w:val="24"/>
        </w:rPr>
        <w:t>注</w:t>
      </w:r>
      <w:r>
        <w:rPr>
          <w:rFonts w:ascii="黑体" w:hAnsi="黑体" w:eastAsia="黑体" w:cs="黑体"/>
          <w:spacing w:val="-47"/>
          <w:sz w:val="24"/>
          <w:szCs w:val="24"/>
        </w:rPr>
        <w:t xml:space="preserve"> </w:t>
      </w:r>
      <w:r>
        <w:rPr>
          <w:rFonts w:ascii="黑体" w:hAnsi="黑体" w:eastAsia="黑体" w:cs="黑体"/>
          <w:b/>
          <w:bCs/>
          <w:spacing w:val="-8"/>
          <w:sz w:val="24"/>
          <w:szCs w:val="24"/>
        </w:rPr>
        <w:t>释</w:t>
      </w:r>
    </w:p>
    <w:p w14:paraId="465C0792">
      <w:pPr>
        <w:pStyle w:val="2"/>
        <w:spacing w:before="96" w:line="219" w:lineRule="auto"/>
        <w:ind w:left="560"/>
      </w:pPr>
      <w:r>
        <w:rPr>
          <w:spacing w:val="-4"/>
        </w:rPr>
        <w:t>本章应包括有助于了解文档的所有信息(例如背景、术语、缩略语或公式)。</w:t>
      </w:r>
    </w:p>
    <w:p w14:paraId="5F6E2438">
      <w:pPr>
        <w:spacing w:line="380" w:lineRule="auto"/>
        <w:rPr>
          <w:rFonts w:ascii="Arial"/>
          <w:sz w:val="21"/>
        </w:rPr>
      </w:pPr>
    </w:p>
    <w:p w14:paraId="49944F40">
      <w:pPr>
        <w:pStyle w:val="2"/>
        <w:spacing w:before="118" w:line="219" w:lineRule="auto"/>
        <w:ind w:left="3050"/>
        <w:rPr>
          <w:sz w:val="36"/>
          <w:szCs w:val="36"/>
        </w:rPr>
      </w:pPr>
      <w:r>
        <w:rPr>
          <w:spacing w:val="-4"/>
          <w:sz w:val="36"/>
          <w:szCs w:val="36"/>
        </w:rPr>
        <w:t>2.</w:t>
      </w:r>
      <w:r>
        <w:rPr>
          <w:b/>
          <w:bCs/>
          <w:spacing w:val="-4"/>
          <w:sz w:val="36"/>
          <w:szCs w:val="36"/>
        </w:rPr>
        <w:t>12</w:t>
      </w:r>
      <w:r>
        <w:rPr>
          <w:spacing w:val="45"/>
          <w:sz w:val="36"/>
          <w:szCs w:val="36"/>
        </w:rPr>
        <w:t xml:space="preserve">  </w:t>
      </w:r>
      <w:r>
        <w:rPr>
          <w:b/>
          <w:bCs/>
          <w:spacing w:val="-4"/>
          <w:sz w:val="36"/>
          <w:szCs w:val="36"/>
        </w:rPr>
        <w:t>软件测试计划</w:t>
      </w:r>
    </w:p>
    <w:p w14:paraId="38282F2E">
      <w:pPr>
        <w:spacing w:line="328" w:lineRule="auto"/>
        <w:rPr>
          <w:rFonts w:ascii="Arial"/>
          <w:sz w:val="21"/>
        </w:rPr>
      </w:pPr>
    </w:p>
    <w:p w14:paraId="644E4DAC">
      <w:pPr>
        <w:pStyle w:val="2"/>
        <w:spacing w:before="91" w:line="225"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军用软件开发文档通用要求》</w:t>
      </w:r>
      <w:r>
        <w:rPr>
          <w:rFonts w:ascii="楷体" w:hAnsi="楷体" w:eastAsia="楷体" w:cs="楷体"/>
          <w:spacing w:val="-11"/>
          <w:sz w:val="28"/>
          <w:szCs w:val="28"/>
        </w:rPr>
        <w:t>编写。</w:t>
      </w:r>
    </w:p>
    <w:p w14:paraId="711C919D">
      <w:pPr>
        <w:spacing w:before="89"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7"/>
          <w:sz w:val="27"/>
          <w:szCs w:val="27"/>
        </w:rPr>
        <w:t xml:space="preserve">  </w:t>
      </w:r>
      <w:r>
        <w:rPr>
          <w:rFonts w:ascii="黑体" w:hAnsi="黑体" w:eastAsia="黑体" w:cs="黑体"/>
          <w:b/>
          <w:bCs/>
          <w:spacing w:val="-8"/>
          <w:sz w:val="27"/>
          <w:szCs w:val="27"/>
        </w:rPr>
        <w:t>范围</w:t>
      </w:r>
    </w:p>
    <w:p w14:paraId="2501ACC7">
      <w:pPr>
        <w:spacing w:before="123" w:line="222" w:lineRule="auto"/>
        <w:rPr>
          <w:rFonts w:ascii="黑体" w:hAnsi="黑体" w:eastAsia="黑体" w:cs="黑体"/>
          <w:sz w:val="27"/>
          <w:szCs w:val="27"/>
        </w:rPr>
      </w:pPr>
      <w:r>
        <w:rPr>
          <w:rFonts w:ascii="黑体" w:hAnsi="黑体" w:eastAsia="黑体" w:cs="黑体"/>
          <w:spacing w:val="-11"/>
          <w:sz w:val="27"/>
          <w:szCs w:val="27"/>
        </w:rPr>
        <w:t>1.</w:t>
      </w:r>
      <w:r>
        <w:rPr>
          <w:rFonts w:ascii="黑体" w:hAnsi="黑体" w:eastAsia="黑体" w:cs="黑体"/>
          <w:b/>
          <w:bCs/>
          <w:spacing w:val="-11"/>
          <w:sz w:val="27"/>
          <w:szCs w:val="27"/>
        </w:rPr>
        <w:t>1</w:t>
      </w:r>
      <w:r>
        <w:rPr>
          <w:rFonts w:ascii="黑体" w:hAnsi="黑体" w:eastAsia="黑体" w:cs="黑体"/>
          <w:spacing w:val="35"/>
          <w:sz w:val="27"/>
          <w:szCs w:val="27"/>
        </w:rPr>
        <w:t xml:space="preserve">  </w:t>
      </w:r>
      <w:r>
        <w:rPr>
          <w:rFonts w:ascii="黑体" w:hAnsi="黑体" w:eastAsia="黑体" w:cs="黑体"/>
          <w:b/>
          <w:bCs/>
          <w:spacing w:val="-11"/>
          <w:sz w:val="27"/>
          <w:szCs w:val="27"/>
        </w:rPr>
        <w:t>标识</w:t>
      </w:r>
    </w:p>
    <w:p w14:paraId="68247DD0">
      <w:pPr>
        <w:pStyle w:val="2"/>
        <w:spacing w:before="89" w:line="292" w:lineRule="auto"/>
        <w:ind w:right="88" w:firstLine="560"/>
      </w:pPr>
      <w:r>
        <w:rPr>
          <w:spacing w:val="6"/>
        </w:rPr>
        <w:t>本条应描述本文档所适用的系统和软件的完整标识，适用</w:t>
      </w:r>
      <w:r>
        <w:rPr>
          <w:spacing w:val="5"/>
        </w:rPr>
        <w:t>时，包括其标识</w:t>
      </w:r>
      <w:r>
        <w:t xml:space="preserve"> </w:t>
      </w:r>
      <w:r>
        <w:rPr>
          <w:spacing w:val="-21"/>
        </w:rPr>
        <w:t>号、名称、缩略名、版本号和发布号。</w:t>
      </w:r>
    </w:p>
    <w:p w14:paraId="187AEE31">
      <w:pPr>
        <w:spacing w:before="1" w:line="220"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26"/>
          <w:sz w:val="27"/>
          <w:szCs w:val="27"/>
        </w:rPr>
        <w:t xml:space="preserve">  </w:t>
      </w:r>
      <w:r>
        <w:rPr>
          <w:rFonts w:ascii="黑体" w:hAnsi="黑体" w:eastAsia="黑体" w:cs="黑体"/>
          <w:b/>
          <w:bCs/>
          <w:spacing w:val="-7"/>
          <w:sz w:val="27"/>
          <w:szCs w:val="27"/>
        </w:rPr>
        <w:t>系统概述</w:t>
      </w:r>
    </w:p>
    <w:p w14:paraId="59EA0981">
      <w:pPr>
        <w:pStyle w:val="2"/>
        <w:spacing w:before="111" w:line="285" w:lineRule="auto"/>
        <w:ind w:right="83" w:firstLine="560"/>
        <w:jc w:val="both"/>
      </w:pPr>
      <w:r>
        <w:rPr>
          <w:spacing w:val="6"/>
        </w:rPr>
        <w:t>本条应概述本文档所适用的系统和软件的用途。它还应描述系统与软</w:t>
      </w:r>
      <w:r>
        <w:rPr>
          <w:spacing w:val="5"/>
        </w:rPr>
        <w:t>件的</w:t>
      </w:r>
      <w:r>
        <w:t xml:space="preserve"> </w:t>
      </w:r>
      <w:r>
        <w:rPr>
          <w:spacing w:val="-9"/>
        </w:rPr>
        <w:t>一般特性；概述系统开发、运行和维护的历史；标识项目的需方、用</w:t>
      </w:r>
      <w:r>
        <w:rPr>
          <w:spacing w:val="-10"/>
        </w:rPr>
        <w:t>户、开发方和</w:t>
      </w:r>
      <w:r>
        <w:t xml:space="preserve"> </w:t>
      </w:r>
      <w:r>
        <w:rPr>
          <w:spacing w:val="-6"/>
        </w:rPr>
        <w:t>保障机构等；标识当前和计划的运行现场；列出其他有关文档。</w:t>
      </w:r>
    </w:p>
    <w:p w14:paraId="05B15D98">
      <w:pPr>
        <w:spacing w:before="15" w:line="221" w:lineRule="auto"/>
        <w:rPr>
          <w:rFonts w:ascii="黑体" w:hAnsi="黑体" w:eastAsia="黑体" w:cs="黑体"/>
          <w:sz w:val="25"/>
          <w:szCs w:val="25"/>
        </w:rPr>
      </w:pPr>
      <w:r>
        <w:rPr>
          <w:rFonts w:ascii="黑体" w:hAnsi="黑体" w:eastAsia="黑体" w:cs="黑体"/>
          <w:spacing w:val="8"/>
          <w:sz w:val="25"/>
          <w:szCs w:val="25"/>
        </w:rPr>
        <w:t>1.3</w:t>
      </w:r>
      <w:r>
        <w:rPr>
          <w:rFonts w:ascii="黑体" w:hAnsi="黑体" w:eastAsia="黑体" w:cs="黑体"/>
          <w:spacing w:val="51"/>
          <w:sz w:val="25"/>
          <w:szCs w:val="25"/>
        </w:rPr>
        <w:t xml:space="preserve">  </w:t>
      </w:r>
      <w:r>
        <w:rPr>
          <w:rFonts w:ascii="黑体" w:hAnsi="黑体" w:eastAsia="黑体" w:cs="黑体"/>
          <w:b/>
          <w:bCs/>
          <w:spacing w:val="8"/>
          <w:sz w:val="25"/>
          <w:szCs w:val="25"/>
        </w:rPr>
        <w:t>文档概述</w:t>
      </w:r>
    </w:p>
    <w:p w14:paraId="095685B1">
      <w:pPr>
        <w:pStyle w:val="2"/>
        <w:spacing w:before="115" w:line="302" w:lineRule="auto"/>
        <w:ind w:right="85" w:firstLine="560"/>
        <w:rPr>
          <w:sz w:val="25"/>
          <w:szCs w:val="25"/>
        </w:rPr>
      </w:pPr>
      <w:r>
        <w:rPr>
          <w:spacing w:val="35"/>
          <w:sz w:val="25"/>
          <w:szCs w:val="25"/>
        </w:rPr>
        <w:t>本条应概述本文档的用途和内容，描述与它的使用有关</w:t>
      </w:r>
      <w:r>
        <w:rPr>
          <w:spacing w:val="34"/>
          <w:sz w:val="25"/>
          <w:szCs w:val="25"/>
        </w:rPr>
        <w:t>的保密性方面的</w:t>
      </w:r>
      <w:r>
        <w:rPr>
          <w:sz w:val="25"/>
          <w:szCs w:val="25"/>
        </w:rPr>
        <w:t xml:space="preserve"> </w:t>
      </w:r>
      <w:r>
        <w:rPr>
          <w:spacing w:val="8"/>
          <w:sz w:val="25"/>
          <w:szCs w:val="25"/>
        </w:rPr>
        <w:t>要求。</w:t>
      </w:r>
    </w:p>
    <w:p w14:paraId="0A4AB97B">
      <w:pPr>
        <w:spacing w:line="222" w:lineRule="auto"/>
        <w:rPr>
          <w:rFonts w:ascii="黑体" w:hAnsi="黑体" w:eastAsia="黑体" w:cs="黑体"/>
          <w:sz w:val="27"/>
          <w:szCs w:val="27"/>
        </w:rPr>
      </w:pPr>
      <w:r>
        <w:rPr>
          <w:rFonts w:ascii="黑体" w:hAnsi="黑体" w:eastAsia="黑体" w:cs="黑体"/>
          <w:spacing w:val="-2"/>
          <w:sz w:val="27"/>
          <w:szCs w:val="27"/>
        </w:rPr>
        <w:t>1.4</w:t>
      </w:r>
      <w:r>
        <w:rPr>
          <w:rFonts w:ascii="黑体" w:hAnsi="黑体" w:eastAsia="黑体" w:cs="黑体"/>
          <w:spacing w:val="26"/>
          <w:sz w:val="27"/>
          <w:szCs w:val="27"/>
        </w:rPr>
        <w:t xml:space="preserve">  </w:t>
      </w:r>
      <w:r>
        <w:rPr>
          <w:rFonts w:ascii="黑体" w:hAnsi="黑体" w:eastAsia="黑体" w:cs="黑体"/>
          <w:b/>
          <w:bCs/>
          <w:spacing w:val="-2"/>
          <w:sz w:val="27"/>
          <w:szCs w:val="27"/>
        </w:rPr>
        <w:t>与其他计划的关系</w:t>
      </w:r>
    </w:p>
    <w:p w14:paraId="620510BC">
      <w:pPr>
        <w:pStyle w:val="2"/>
        <w:spacing w:before="109" w:line="212" w:lineRule="auto"/>
        <w:ind w:left="560"/>
      </w:pPr>
      <w:r>
        <w:rPr>
          <w:spacing w:val="3"/>
        </w:rPr>
        <w:t>本条应描述本计划(</w:t>
      </w:r>
      <w:r>
        <w:rPr>
          <w:rFonts w:ascii="Times New Roman" w:hAnsi="Times New Roman" w:eastAsia="Times New Roman" w:cs="Times New Roman"/>
        </w:rPr>
        <w:t>STP</w:t>
      </w:r>
      <w:r>
        <w:rPr>
          <w:rFonts w:ascii="Times New Roman" w:hAnsi="Times New Roman" w:eastAsia="Times New Roman" w:cs="Times New Roman"/>
          <w:spacing w:val="3"/>
        </w:rPr>
        <w:t>)</w:t>
      </w:r>
      <w:r>
        <w:rPr>
          <w:rFonts w:ascii="Times New Roman" w:hAnsi="Times New Roman" w:eastAsia="Times New Roman" w:cs="Times New Roman"/>
          <w:spacing w:val="65"/>
        </w:rPr>
        <w:t xml:space="preserve"> </w:t>
      </w:r>
      <w:r>
        <w:rPr>
          <w:spacing w:val="3"/>
        </w:rPr>
        <w:t>与其他项目管理计划之间的关</w:t>
      </w:r>
      <w:r>
        <w:rPr>
          <w:spacing w:val="2"/>
        </w:rPr>
        <w:t>系(若有)。</w:t>
      </w:r>
    </w:p>
    <w:p w14:paraId="6D70B30C">
      <w:pPr>
        <w:spacing w:before="145" w:line="222" w:lineRule="auto"/>
        <w:rPr>
          <w:rFonts w:ascii="黑体" w:hAnsi="黑体" w:eastAsia="黑体" w:cs="黑体"/>
          <w:sz w:val="25"/>
          <w:szCs w:val="25"/>
        </w:rPr>
      </w:pPr>
      <w:r>
        <w:rPr>
          <w:rFonts w:ascii="黑体" w:hAnsi="黑体" w:eastAsia="黑体" w:cs="黑体"/>
          <w:spacing w:val="15"/>
          <w:sz w:val="25"/>
          <w:szCs w:val="25"/>
        </w:rPr>
        <w:t>2</w:t>
      </w:r>
      <w:r>
        <w:rPr>
          <w:rFonts w:ascii="黑体" w:hAnsi="黑体" w:eastAsia="黑体" w:cs="黑体"/>
          <w:spacing w:val="23"/>
          <w:sz w:val="25"/>
          <w:szCs w:val="25"/>
        </w:rPr>
        <w:t xml:space="preserve">  </w:t>
      </w:r>
      <w:r>
        <w:rPr>
          <w:rFonts w:ascii="黑体" w:hAnsi="黑体" w:eastAsia="黑体" w:cs="黑体"/>
          <w:b/>
          <w:bCs/>
          <w:spacing w:val="15"/>
          <w:sz w:val="25"/>
          <w:szCs w:val="25"/>
        </w:rPr>
        <w:t>引用文档</w:t>
      </w:r>
    </w:p>
    <w:p w14:paraId="79797848">
      <w:pPr>
        <w:pStyle w:val="2"/>
        <w:spacing w:before="103" w:line="296" w:lineRule="auto"/>
        <w:ind w:right="91" w:firstLine="560"/>
      </w:pPr>
      <w:r>
        <w:rPr>
          <w:spacing w:val="-11"/>
        </w:rPr>
        <w:t>本章应列出引用文档的编号、标题、编写单位、修订版及日期，还应标识不能</w:t>
      </w:r>
      <w:r>
        <w:rPr>
          <w:spacing w:val="16"/>
        </w:rPr>
        <w:t xml:space="preserve"> </w:t>
      </w:r>
      <w:r>
        <w:rPr>
          <w:spacing w:val="3"/>
        </w:rPr>
        <w:t>通过正常采购活动得到的文档的来源。</w:t>
      </w:r>
    </w:p>
    <w:p w14:paraId="3CE775E7">
      <w:pPr>
        <w:spacing w:line="296" w:lineRule="auto"/>
        <w:sectPr>
          <w:footerReference r:id="rId222" w:type="default"/>
          <w:pgSz w:w="11910" w:h="17130"/>
          <w:pgMar w:top="1442" w:right="1345" w:bottom="1696" w:left="1090" w:header="0" w:footer="1506" w:gutter="0"/>
          <w:cols w:space="720" w:num="1"/>
        </w:sectPr>
      </w:pPr>
    </w:p>
    <w:p w14:paraId="2CC3252D">
      <w:pPr>
        <w:spacing w:before="98"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20"/>
          <w:sz w:val="27"/>
          <w:szCs w:val="27"/>
        </w:rPr>
        <w:t xml:space="preserve">  </w:t>
      </w:r>
      <w:r>
        <w:rPr>
          <w:rFonts w:ascii="黑体" w:hAnsi="黑体" w:eastAsia="黑体" w:cs="黑体"/>
          <w:b/>
          <w:bCs/>
          <w:sz w:val="27"/>
          <w:szCs w:val="27"/>
        </w:rPr>
        <w:t>测试依据</w:t>
      </w:r>
    </w:p>
    <w:p w14:paraId="3005E9B4">
      <w:pPr>
        <w:pStyle w:val="2"/>
        <w:spacing w:before="91" w:line="219" w:lineRule="auto"/>
        <w:ind w:left="560"/>
      </w:pPr>
      <w:r>
        <w:rPr>
          <w:spacing w:val="3"/>
        </w:rPr>
        <w:t>本章应列出软件测试应遵循的依据。</w:t>
      </w:r>
    </w:p>
    <w:p w14:paraId="3BA4495B">
      <w:pPr>
        <w:spacing w:before="85" w:line="221" w:lineRule="auto"/>
        <w:rPr>
          <w:rFonts w:ascii="黑体" w:hAnsi="黑体" w:eastAsia="黑体" w:cs="黑体"/>
          <w:sz w:val="27"/>
          <w:szCs w:val="27"/>
        </w:rPr>
      </w:pPr>
      <w:r>
        <w:rPr>
          <w:rFonts w:ascii="黑体" w:hAnsi="黑体" w:eastAsia="黑体" w:cs="黑体"/>
          <w:sz w:val="27"/>
          <w:szCs w:val="27"/>
        </w:rPr>
        <w:t>4</w:t>
      </w:r>
      <w:r>
        <w:rPr>
          <w:rFonts w:ascii="黑体" w:hAnsi="黑体" w:eastAsia="黑体" w:cs="黑体"/>
          <w:spacing w:val="21"/>
          <w:sz w:val="27"/>
          <w:szCs w:val="27"/>
        </w:rPr>
        <w:t xml:space="preserve">  </w:t>
      </w:r>
      <w:r>
        <w:rPr>
          <w:rFonts w:ascii="黑体" w:hAnsi="黑体" w:eastAsia="黑体" w:cs="黑体"/>
          <w:b/>
          <w:bCs/>
          <w:sz w:val="27"/>
          <w:szCs w:val="27"/>
        </w:rPr>
        <w:t>软件测试环境</w:t>
      </w:r>
    </w:p>
    <w:p w14:paraId="6D4AB89A">
      <w:pPr>
        <w:pStyle w:val="2"/>
        <w:spacing w:before="51" w:line="290" w:lineRule="auto"/>
        <w:ind w:firstLine="560"/>
      </w:pPr>
      <w:r>
        <w:rPr>
          <w:spacing w:val="6"/>
        </w:rPr>
        <w:t>本章应分为如下小条描述每个预期测试现场的软件测试环境，也可引用软</w:t>
      </w:r>
      <w:r>
        <w:t xml:space="preserve"> </w:t>
      </w:r>
      <w:r>
        <w:rPr>
          <w:spacing w:val="4"/>
        </w:rPr>
        <w:t>件开发计划中有关资源方面的描述。</w:t>
      </w:r>
    </w:p>
    <w:p w14:paraId="4CDB4D00">
      <w:pPr>
        <w:spacing w:before="6" w:line="221" w:lineRule="auto"/>
        <w:rPr>
          <w:rFonts w:ascii="黑体" w:hAnsi="黑体" w:eastAsia="黑体" w:cs="黑体"/>
          <w:sz w:val="25"/>
          <w:szCs w:val="25"/>
        </w:rPr>
      </w:pPr>
      <w:r>
        <w:rPr>
          <w:rFonts w:ascii="Arial" w:hAnsi="Arial" w:eastAsia="Arial" w:cs="Arial"/>
          <w:spacing w:val="17"/>
          <w:sz w:val="25"/>
          <w:szCs w:val="25"/>
        </w:rPr>
        <w:t>4.X</w:t>
      </w:r>
      <w:r>
        <w:rPr>
          <w:rFonts w:ascii="Arial" w:hAnsi="Arial" w:eastAsia="Arial" w:cs="Arial"/>
          <w:spacing w:val="4"/>
          <w:sz w:val="25"/>
          <w:szCs w:val="25"/>
        </w:rPr>
        <w:t xml:space="preserve">     </w:t>
      </w:r>
      <w:r>
        <w:rPr>
          <w:rFonts w:ascii="黑体" w:hAnsi="黑体" w:eastAsia="黑体" w:cs="黑体"/>
          <w:b/>
          <w:bCs/>
          <w:spacing w:val="17"/>
          <w:sz w:val="25"/>
          <w:szCs w:val="25"/>
        </w:rPr>
        <w:t>(测试现场名称)</w:t>
      </w:r>
    </w:p>
    <w:p w14:paraId="6BD4F466">
      <w:pPr>
        <w:spacing w:before="91" w:line="222" w:lineRule="auto"/>
        <w:rPr>
          <w:rFonts w:ascii="黑体" w:hAnsi="黑体" w:eastAsia="黑体" w:cs="黑体"/>
          <w:sz w:val="25"/>
          <w:szCs w:val="25"/>
        </w:rPr>
      </w:pPr>
      <w:r>
        <w:rPr>
          <w:rFonts w:ascii="Times New Roman" w:hAnsi="Times New Roman" w:eastAsia="Times New Roman" w:cs="Times New Roman"/>
          <w:spacing w:val="6"/>
          <w:sz w:val="25"/>
          <w:szCs w:val="25"/>
        </w:rPr>
        <w:t xml:space="preserve">4.X.1       </w:t>
      </w:r>
      <w:r>
        <w:rPr>
          <w:rFonts w:ascii="黑体" w:hAnsi="黑体" w:eastAsia="黑体" w:cs="黑体"/>
          <w:b/>
          <w:bCs/>
          <w:spacing w:val="6"/>
          <w:sz w:val="25"/>
          <w:szCs w:val="25"/>
        </w:rPr>
        <w:t>软件项</w:t>
      </w:r>
    </w:p>
    <w:p w14:paraId="4D1A9A8C">
      <w:pPr>
        <w:pStyle w:val="2"/>
        <w:spacing w:before="93" w:line="279" w:lineRule="auto"/>
        <w:ind w:right="16" w:firstLine="560"/>
        <w:jc w:val="both"/>
      </w:pPr>
      <w:r>
        <w:rPr>
          <w:spacing w:val="-3"/>
        </w:rPr>
        <w:t>(若适用)本条应按名称、编号和版本，描述在测试现场的测试活动所需的软</w:t>
      </w:r>
      <w:r>
        <w:rPr>
          <w:spacing w:val="3"/>
        </w:rPr>
        <w:t xml:space="preserve"> </w:t>
      </w:r>
      <w:r>
        <w:rPr>
          <w:spacing w:val="-13"/>
        </w:rPr>
        <w:t>件项(如操作系统、编译程序、通信软件、有关的应用软件、数据库、输入文件</w:t>
      </w:r>
      <w:r>
        <w:rPr>
          <w:spacing w:val="-14"/>
        </w:rPr>
        <w:t>、代</w:t>
      </w:r>
      <w:r>
        <w:t xml:space="preserve"> </w:t>
      </w:r>
      <w:r>
        <w:rPr>
          <w:spacing w:val="-2"/>
        </w:rPr>
        <w:t>码检查程序、动态路径分析程序、测试驱动程序、预</w:t>
      </w:r>
      <w:r>
        <w:rPr>
          <w:spacing w:val="-3"/>
        </w:rPr>
        <w:t>处理程序、测试数据产生程</w:t>
      </w:r>
      <w:r>
        <w:t xml:space="preserve"> </w:t>
      </w:r>
      <w:r>
        <w:rPr>
          <w:spacing w:val="-6"/>
        </w:rPr>
        <w:t>序、测试控制软件、其他专用测试软件、后处理器程序)。本条还应描述每个软件</w:t>
      </w:r>
      <w:r>
        <w:rPr>
          <w:spacing w:val="1"/>
        </w:rPr>
        <w:t xml:space="preserve"> </w:t>
      </w:r>
      <w:r>
        <w:rPr>
          <w:spacing w:val="-6"/>
        </w:rPr>
        <w:t>项的用途，说明它的介质(磁带、磁盘等),标识那些期望现场提供的软件项，标识</w:t>
      </w:r>
      <w:r>
        <w:rPr>
          <w:spacing w:val="11"/>
        </w:rPr>
        <w:t xml:space="preserve"> </w:t>
      </w:r>
      <w:r>
        <w:rPr>
          <w:spacing w:val="3"/>
        </w:rPr>
        <w:t>与软件项有关的保密处理或其他保密性问题。</w:t>
      </w:r>
    </w:p>
    <w:p w14:paraId="27343364">
      <w:pPr>
        <w:spacing w:line="221" w:lineRule="auto"/>
        <w:rPr>
          <w:rFonts w:ascii="黑体" w:hAnsi="黑体" w:eastAsia="黑体" w:cs="黑体"/>
          <w:sz w:val="27"/>
          <w:szCs w:val="27"/>
        </w:rPr>
      </w:pPr>
      <w:r>
        <w:rPr>
          <w:rFonts w:ascii="Times New Roman" w:hAnsi="Times New Roman" w:eastAsia="Times New Roman" w:cs="Times New Roman"/>
          <w:spacing w:val="-1"/>
          <w:sz w:val="27"/>
          <w:szCs w:val="27"/>
        </w:rPr>
        <w:t>4.X.</w:t>
      </w:r>
      <w:r>
        <w:rPr>
          <w:rFonts w:ascii="Times New Roman" w:hAnsi="Times New Roman" w:eastAsia="Times New Roman" w:cs="Times New Roman"/>
          <w:spacing w:val="51"/>
          <w:w w:val="101"/>
          <w:sz w:val="27"/>
          <w:szCs w:val="27"/>
        </w:rPr>
        <w:t xml:space="preserve"> </w:t>
      </w:r>
      <w:r>
        <w:rPr>
          <w:rFonts w:ascii="黑体" w:hAnsi="黑体" w:eastAsia="黑体" w:cs="黑体"/>
          <w:spacing w:val="-1"/>
          <w:sz w:val="27"/>
          <w:szCs w:val="27"/>
        </w:rPr>
        <w:t>2</w:t>
      </w:r>
      <w:r>
        <w:rPr>
          <w:rFonts w:ascii="黑体" w:hAnsi="黑体" w:eastAsia="黑体" w:cs="黑体"/>
          <w:spacing w:val="23"/>
          <w:sz w:val="27"/>
          <w:szCs w:val="27"/>
        </w:rPr>
        <w:t xml:space="preserve">  </w:t>
      </w:r>
      <w:r>
        <w:rPr>
          <w:rFonts w:ascii="黑体" w:hAnsi="黑体" w:eastAsia="黑体" w:cs="黑体"/>
          <w:b/>
          <w:bCs/>
          <w:spacing w:val="-1"/>
          <w:sz w:val="27"/>
          <w:szCs w:val="27"/>
        </w:rPr>
        <w:t>硬件和固件项</w:t>
      </w:r>
    </w:p>
    <w:p w14:paraId="286DE137">
      <w:pPr>
        <w:pStyle w:val="2"/>
        <w:spacing w:before="79" w:line="280" w:lineRule="auto"/>
        <w:ind w:right="18" w:firstLine="560"/>
        <w:jc w:val="both"/>
      </w:pPr>
      <w:r>
        <w:rPr>
          <w:spacing w:val="-3"/>
        </w:rPr>
        <w:t>(若适用)本条应按名称、编号和版本，描述在测试现场的软件测试环境中使</w:t>
      </w:r>
      <w:r>
        <w:rPr>
          <w:spacing w:val="4"/>
        </w:rPr>
        <w:t xml:space="preserve"> </w:t>
      </w:r>
      <w:r>
        <w:rPr>
          <w:spacing w:val="-6"/>
        </w:rPr>
        <w:t>用的计算机硬件、接口设备、通信设备、测试数据整理设备、另外的外围设备(磁</w:t>
      </w:r>
      <w:r>
        <w:rPr>
          <w:spacing w:val="1"/>
        </w:rPr>
        <w:t xml:space="preserve"> </w:t>
      </w:r>
      <w:r>
        <w:rPr>
          <w:spacing w:val="-13"/>
        </w:rPr>
        <w:t>带机、打印机、绘图议)、测试消息生成器、测试计时设备、测试事</w:t>
      </w:r>
      <w:r>
        <w:rPr>
          <w:spacing w:val="-14"/>
        </w:rPr>
        <w:t>件记录仪等装置</w:t>
      </w:r>
      <w:r>
        <w:t xml:space="preserve"> </w:t>
      </w:r>
      <w:r>
        <w:rPr>
          <w:spacing w:val="-2"/>
        </w:rPr>
        <w:t>和固件项。本条应描述每项的用途，陈述所需每项的使用时间</w:t>
      </w:r>
      <w:r>
        <w:rPr>
          <w:spacing w:val="-3"/>
        </w:rPr>
        <w:t>与数量，标识那些</w:t>
      </w:r>
      <w:r>
        <w:t xml:space="preserve"> </w:t>
      </w:r>
      <w:r>
        <w:rPr>
          <w:spacing w:val="14"/>
        </w:rPr>
        <w:t>期望现场提供的项，标识与这些硬件及固件项有关的保密处理或其他</w:t>
      </w:r>
      <w:r>
        <w:rPr>
          <w:spacing w:val="13"/>
        </w:rPr>
        <w:t>保密性</w:t>
      </w:r>
      <w:r>
        <w:t xml:space="preserve"> </w:t>
      </w:r>
      <w:r>
        <w:rPr>
          <w:spacing w:val="-4"/>
        </w:rPr>
        <w:t>问题。</w:t>
      </w:r>
    </w:p>
    <w:p w14:paraId="087E287F">
      <w:pPr>
        <w:spacing w:before="1" w:line="221" w:lineRule="auto"/>
        <w:rPr>
          <w:rFonts w:ascii="黑体" w:hAnsi="黑体" w:eastAsia="黑体" w:cs="黑体"/>
          <w:sz w:val="27"/>
          <w:szCs w:val="27"/>
        </w:rPr>
      </w:pPr>
      <w:r>
        <w:rPr>
          <w:rFonts w:ascii="Times New Roman" w:hAnsi="Times New Roman" w:eastAsia="Times New Roman" w:cs="Times New Roman"/>
          <w:sz w:val="27"/>
          <w:szCs w:val="27"/>
        </w:rPr>
        <w:t>4.X.3</w:t>
      </w:r>
      <w:r>
        <w:rPr>
          <w:rFonts w:ascii="Times New Roman" w:hAnsi="Times New Roman" w:eastAsia="Times New Roman" w:cs="Times New Roman"/>
          <w:spacing w:val="4"/>
          <w:sz w:val="27"/>
          <w:szCs w:val="27"/>
        </w:rPr>
        <w:t xml:space="preserve">      </w:t>
      </w:r>
      <w:r>
        <w:rPr>
          <w:rFonts w:ascii="黑体" w:hAnsi="黑体" w:eastAsia="黑体" w:cs="黑体"/>
          <w:b/>
          <w:bCs/>
          <w:sz w:val="27"/>
          <w:szCs w:val="27"/>
        </w:rPr>
        <w:t>其他项</w:t>
      </w:r>
    </w:p>
    <w:p w14:paraId="70442020">
      <w:pPr>
        <w:pStyle w:val="2"/>
        <w:spacing w:before="79" w:line="219" w:lineRule="auto"/>
        <w:ind w:left="560"/>
      </w:pPr>
      <w:r>
        <w:rPr>
          <w:spacing w:val="-1"/>
        </w:rPr>
        <w:t>(若适用)本条应描述网络拓扑图，或4.</w:t>
      </w:r>
      <w:r>
        <w:rPr>
          <w:rFonts w:ascii="Times New Roman" w:hAnsi="Times New Roman" w:eastAsia="Times New Roman" w:cs="Times New Roman"/>
          <w:spacing w:val="-1"/>
        </w:rPr>
        <w:t xml:space="preserve">X.1  </w:t>
      </w:r>
      <w:r>
        <w:rPr>
          <w:spacing w:val="-1"/>
        </w:rPr>
        <w:t>和</w:t>
      </w:r>
      <w:r>
        <w:rPr>
          <w:spacing w:val="-43"/>
        </w:rPr>
        <w:t xml:space="preserve"> </w:t>
      </w:r>
      <w:r>
        <w:rPr>
          <w:spacing w:val="-1"/>
        </w:rPr>
        <w:t>4</w:t>
      </w:r>
      <w:r>
        <w:rPr>
          <w:spacing w:val="-49"/>
        </w:rPr>
        <w:t xml:space="preserve"> </w:t>
      </w:r>
      <w:r>
        <w:rPr>
          <w:spacing w:val="-1"/>
        </w:rPr>
        <w:t>.</w:t>
      </w:r>
      <w:r>
        <w:rPr>
          <w:rFonts w:ascii="Times New Roman" w:hAnsi="Times New Roman" w:eastAsia="Times New Roman" w:cs="Times New Roman"/>
          <w:spacing w:val="-1"/>
        </w:rPr>
        <w:t>X.2</w:t>
      </w:r>
      <w:r>
        <w:rPr>
          <w:rFonts w:ascii="Times New Roman" w:hAnsi="Times New Roman" w:eastAsia="Times New Roman" w:cs="Times New Roman"/>
          <w:spacing w:val="47"/>
        </w:rPr>
        <w:t xml:space="preserve"> </w:t>
      </w:r>
      <w:r>
        <w:rPr>
          <w:spacing w:val="-1"/>
        </w:rPr>
        <w:t>中未包含的其他项。</w:t>
      </w:r>
    </w:p>
    <w:p w14:paraId="4271F8C7">
      <w:pPr>
        <w:spacing w:before="88" w:line="222" w:lineRule="auto"/>
        <w:rPr>
          <w:rFonts w:ascii="黑体" w:hAnsi="黑体" w:eastAsia="黑体" w:cs="黑体"/>
          <w:sz w:val="27"/>
          <w:szCs w:val="27"/>
        </w:rPr>
      </w:pPr>
      <w:r>
        <w:rPr>
          <w:rFonts w:ascii="Times New Roman" w:hAnsi="Times New Roman" w:eastAsia="Times New Roman" w:cs="Times New Roman"/>
          <w:spacing w:val="-1"/>
          <w:sz w:val="27"/>
          <w:szCs w:val="27"/>
        </w:rPr>
        <w:t>4.X.4</w:t>
      </w:r>
      <w:r>
        <w:rPr>
          <w:rFonts w:ascii="Times New Roman" w:hAnsi="Times New Roman" w:eastAsia="Times New Roman" w:cs="Times New Roman"/>
          <w:spacing w:val="4"/>
          <w:sz w:val="27"/>
          <w:szCs w:val="27"/>
        </w:rPr>
        <w:t xml:space="preserve">      </w:t>
      </w:r>
      <w:r>
        <w:rPr>
          <w:rFonts w:ascii="黑体" w:hAnsi="黑体" w:eastAsia="黑体" w:cs="黑体"/>
          <w:b/>
          <w:bCs/>
          <w:spacing w:val="-1"/>
          <w:sz w:val="27"/>
          <w:szCs w:val="27"/>
        </w:rPr>
        <w:t>其他材料</w:t>
      </w:r>
    </w:p>
    <w:p w14:paraId="5EF369F9">
      <w:pPr>
        <w:pStyle w:val="2"/>
        <w:spacing w:before="99" w:line="273" w:lineRule="auto"/>
        <w:ind w:right="17" w:firstLine="560"/>
        <w:jc w:val="both"/>
      </w:pPr>
      <w:r>
        <w:rPr>
          <w:spacing w:val="5"/>
        </w:rPr>
        <w:t>本条应描述在测试现场执行测试所需的任何其他材料。这些材料可包括手</w:t>
      </w:r>
      <w:r>
        <w:rPr>
          <w:spacing w:val="10"/>
        </w:rPr>
        <w:t xml:space="preserve"> </w:t>
      </w:r>
      <w:r>
        <w:rPr>
          <w:spacing w:val="-10"/>
        </w:rPr>
        <w:t>册、软件清单、被测试软件的介质、测试用数据的介质、输出的样本清单和其他表</w:t>
      </w:r>
      <w:r>
        <w:rPr>
          <w:spacing w:val="11"/>
        </w:rPr>
        <w:t xml:space="preserve"> </w:t>
      </w:r>
      <w:r>
        <w:rPr>
          <w:spacing w:val="5"/>
        </w:rPr>
        <w:t>格或说明。本条应标识需交付给现场的项和期望现场提供的项。(若适用)本描</w:t>
      </w:r>
      <w:r>
        <w:rPr>
          <w:spacing w:val="18"/>
        </w:rPr>
        <w:t xml:space="preserve"> </w:t>
      </w:r>
      <w:r>
        <w:rPr>
          <w:spacing w:val="5"/>
        </w:rPr>
        <w:t>述应包括材料的类型、布局和数量。本条还应标识与这些材料有关的保密处理</w:t>
      </w:r>
      <w:r>
        <w:rPr>
          <w:spacing w:val="18"/>
        </w:rPr>
        <w:t xml:space="preserve"> </w:t>
      </w:r>
      <w:r>
        <w:rPr>
          <w:spacing w:val="1"/>
        </w:rPr>
        <w:t>或其他保密性问题。</w:t>
      </w:r>
    </w:p>
    <w:p w14:paraId="440C7DF3">
      <w:pPr>
        <w:spacing w:before="47" w:line="221" w:lineRule="auto"/>
        <w:rPr>
          <w:rFonts w:ascii="黑体" w:hAnsi="黑体" w:eastAsia="黑体" w:cs="黑体"/>
          <w:sz w:val="27"/>
          <w:szCs w:val="27"/>
        </w:rPr>
      </w:pPr>
      <w:r>
        <w:rPr>
          <w:rFonts w:ascii="Times New Roman" w:hAnsi="Times New Roman" w:eastAsia="Times New Roman" w:cs="Times New Roman"/>
          <w:spacing w:val="-6"/>
          <w:sz w:val="27"/>
          <w:szCs w:val="27"/>
        </w:rPr>
        <w:t>4.</w:t>
      </w:r>
      <w:r>
        <w:rPr>
          <w:rFonts w:ascii="Times New Roman" w:hAnsi="Times New Roman" w:eastAsia="Times New Roman" w:cs="Times New Roman"/>
          <w:sz w:val="27"/>
          <w:szCs w:val="27"/>
        </w:rPr>
        <w:t xml:space="preserve"> </w:t>
      </w:r>
      <w:r>
        <w:rPr>
          <w:rFonts w:ascii="Times New Roman" w:hAnsi="Times New Roman" w:eastAsia="Times New Roman" w:cs="Times New Roman"/>
          <w:spacing w:val="-6"/>
          <w:sz w:val="27"/>
          <w:szCs w:val="27"/>
        </w:rPr>
        <w:t>X.5</w:t>
      </w:r>
      <w:r>
        <w:rPr>
          <w:rFonts w:ascii="Times New Roman" w:hAnsi="Times New Roman" w:eastAsia="Times New Roman" w:cs="Times New Roman"/>
          <w:spacing w:val="8"/>
          <w:sz w:val="27"/>
          <w:szCs w:val="27"/>
        </w:rPr>
        <w:t xml:space="preserve">     </w:t>
      </w:r>
      <w:r>
        <w:rPr>
          <w:rFonts w:ascii="黑体" w:hAnsi="黑体" w:eastAsia="黑体" w:cs="黑体"/>
          <w:b/>
          <w:bCs/>
          <w:spacing w:val="-6"/>
          <w:sz w:val="27"/>
          <w:szCs w:val="27"/>
        </w:rPr>
        <w:t>所有者的特性、需方权利和许可证</w:t>
      </w:r>
    </w:p>
    <w:p w14:paraId="27CB21CE">
      <w:pPr>
        <w:pStyle w:val="2"/>
        <w:spacing w:before="83" w:line="275" w:lineRule="auto"/>
        <w:ind w:right="10" w:firstLine="560"/>
      </w:pPr>
      <w:r>
        <w:rPr>
          <w:spacing w:val="6"/>
        </w:rPr>
        <w:t>本条应描述与软件测试环境中每个元素有关的</w:t>
      </w:r>
      <w:r>
        <w:rPr>
          <w:spacing w:val="5"/>
        </w:rPr>
        <w:t>所有者的特性、需方权利与</w:t>
      </w:r>
      <w:r>
        <w:t xml:space="preserve"> </w:t>
      </w:r>
      <w:r>
        <w:rPr>
          <w:spacing w:val="2"/>
        </w:rPr>
        <w:t>许可证等问题。</w:t>
      </w:r>
    </w:p>
    <w:p w14:paraId="34B4C44D">
      <w:pPr>
        <w:spacing w:before="1" w:line="220" w:lineRule="auto"/>
        <w:rPr>
          <w:rFonts w:ascii="黑体" w:hAnsi="黑体" w:eastAsia="黑体" w:cs="黑体"/>
          <w:sz w:val="27"/>
          <w:szCs w:val="27"/>
        </w:rPr>
      </w:pPr>
      <w:r>
        <w:rPr>
          <w:rFonts w:ascii="Times New Roman" w:hAnsi="Times New Roman" w:eastAsia="Times New Roman" w:cs="Times New Roman"/>
          <w:spacing w:val="-10"/>
          <w:sz w:val="27"/>
          <w:szCs w:val="27"/>
        </w:rPr>
        <w:t>4.X.6</w:t>
      </w:r>
      <w:r>
        <w:rPr>
          <w:rFonts w:ascii="Times New Roman" w:hAnsi="Times New Roman" w:eastAsia="Times New Roman" w:cs="Times New Roman"/>
          <w:spacing w:val="5"/>
          <w:sz w:val="27"/>
          <w:szCs w:val="27"/>
        </w:rPr>
        <w:t xml:space="preserve">      </w:t>
      </w:r>
      <w:r>
        <w:rPr>
          <w:rFonts w:ascii="黑体" w:hAnsi="黑体" w:eastAsia="黑体" w:cs="黑体"/>
          <w:b/>
          <w:bCs/>
          <w:spacing w:val="-10"/>
          <w:sz w:val="27"/>
          <w:szCs w:val="27"/>
        </w:rPr>
        <w:t>安装、测试和控制</w:t>
      </w:r>
    </w:p>
    <w:p w14:paraId="700F5422">
      <w:pPr>
        <w:pStyle w:val="2"/>
        <w:spacing w:before="101" w:line="314" w:lineRule="auto"/>
        <w:ind w:right="21" w:firstLine="560"/>
        <w:rPr>
          <w:sz w:val="25"/>
          <w:szCs w:val="25"/>
        </w:rPr>
      </w:pPr>
      <w:r>
        <w:rPr>
          <w:spacing w:val="25"/>
          <w:sz w:val="25"/>
          <w:szCs w:val="25"/>
        </w:rPr>
        <w:t>本条应描述开发方为执行以下各项工作的计划，可能需要测试现场人员共</w:t>
      </w:r>
      <w:r>
        <w:rPr>
          <w:spacing w:val="9"/>
          <w:sz w:val="25"/>
          <w:szCs w:val="25"/>
        </w:rPr>
        <w:t xml:space="preserve"> </w:t>
      </w:r>
      <w:r>
        <w:rPr>
          <w:spacing w:val="8"/>
          <w:sz w:val="25"/>
          <w:szCs w:val="25"/>
        </w:rPr>
        <w:t>同合作：</w:t>
      </w:r>
    </w:p>
    <w:p w14:paraId="5BF4AC42">
      <w:pPr>
        <w:spacing w:line="314" w:lineRule="auto"/>
        <w:rPr>
          <w:sz w:val="25"/>
          <w:szCs w:val="25"/>
        </w:rPr>
        <w:sectPr>
          <w:footerReference r:id="rId223" w:type="default"/>
          <w:pgSz w:w="11910" w:h="17130"/>
          <w:pgMar w:top="1456" w:right="1047" w:bottom="1586" w:left="1470" w:header="0" w:footer="1396" w:gutter="0"/>
          <w:cols w:space="720" w:num="1"/>
        </w:sectPr>
      </w:pPr>
    </w:p>
    <w:p w14:paraId="2930443C">
      <w:pPr>
        <w:pStyle w:val="2"/>
        <w:spacing w:before="58" w:line="212" w:lineRule="auto"/>
        <w:ind w:left="560"/>
      </w:pPr>
      <w:r>
        <w:rPr>
          <w:rFonts w:ascii="Times New Roman" w:hAnsi="Times New Roman" w:eastAsia="Times New Roman" w:cs="Times New Roman"/>
          <w:spacing w:val="3"/>
        </w:rPr>
        <w:t xml:space="preserve">a)  </w:t>
      </w:r>
      <w:r>
        <w:rPr>
          <w:spacing w:val="3"/>
        </w:rPr>
        <w:t>获取和开发软件测试环境中的每个元素；</w:t>
      </w:r>
    </w:p>
    <w:p w14:paraId="47FC7F83">
      <w:pPr>
        <w:pStyle w:val="2"/>
        <w:spacing w:before="99"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59"/>
        </w:rPr>
        <w:t xml:space="preserve"> </w:t>
      </w:r>
      <w:r>
        <w:rPr>
          <w:spacing w:val="-2"/>
        </w:rPr>
        <w:t>使用前，安装与测试软件测试环境中的每个项；</w:t>
      </w:r>
    </w:p>
    <w:p w14:paraId="023842CA">
      <w:pPr>
        <w:pStyle w:val="2"/>
        <w:spacing w:before="109"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9"/>
        </w:rPr>
        <w:t xml:space="preserve"> </w:t>
      </w:r>
      <w:r>
        <w:rPr>
          <w:spacing w:val="3"/>
        </w:rPr>
        <w:t>控制与维护软件测试环境中的每个项。</w:t>
      </w:r>
    </w:p>
    <w:p w14:paraId="46F35616">
      <w:pPr>
        <w:spacing w:before="117" w:line="221" w:lineRule="auto"/>
        <w:rPr>
          <w:rFonts w:ascii="黑体" w:hAnsi="黑体" w:eastAsia="黑体" w:cs="黑体"/>
          <w:sz w:val="27"/>
          <w:szCs w:val="27"/>
        </w:rPr>
      </w:pPr>
      <w:r>
        <w:rPr>
          <w:rFonts w:ascii="Times New Roman" w:hAnsi="Times New Roman" w:eastAsia="Times New Roman" w:cs="Times New Roman"/>
          <w:spacing w:val="4"/>
          <w:sz w:val="27"/>
          <w:szCs w:val="27"/>
        </w:rPr>
        <w:t>4.X.</w:t>
      </w:r>
      <w:r>
        <w:rPr>
          <w:rFonts w:ascii="Times New Roman" w:hAnsi="Times New Roman" w:eastAsia="Times New Roman" w:cs="Times New Roman"/>
          <w:spacing w:val="45"/>
          <w:w w:val="101"/>
          <w:sz w:val="27"/>
          <w:szCs w:val="27"/>
        </w:rPr>
        <w:t xml:space="preserve"> </w:t>
      </w:r>
      <w:r>
        <w:rPr>
          <w:rFonts w:ascii="黑体" w:hAnsi="黑体" w:eastAsia="黑体" w:cs="黑体"/>
          <w:spacing w:val="4"/>
          <w:sz w:val="27"/>
          <w:szCs w:val="27"/>
        </w:rPr>
        <w:t>7  测试环境的差异性分析和有效性说明</w:t>
      </w:r>
    </w:p>
    <w:p w14:paraId="3F257C31">
      <w:pPr>
        <w:pStyle w:val="2"/>
        <w:spacing w:before="78" w:line="284" w:lineRule="auto"/>
        <w:ind w:right="1" w:firstLine="560"/>
      </w:pPr>
      <w:r>
        <w:rPr>
          <w:spacing w:val="15"/>
        </w:rPr>
        <w:t>本条应描述拟建立的测试环境与需求环境之间的差异。如果存在环</w:t>
      </w:r>
      <w:r>
        <w:rPr>
          <w:spacing w:val="14"/>
        </w:rPr>
        <w:t>境差</w:t>
      </w:r>
      <w:r>
        <w:t xml:space="preserve"> </w:t>
      </w:r>
      <w:r>
        <w:rPr>
          <w:spacing w:val="-3"/>
        </w:rPr>
        <w:t>异，应说明在该测试环境下测试结果的有效性。</w:t>
      </w:r>
    </w:p>
    <w:p w14:paraId="5333239D">
      <w:pPr>
        <w:spacing w:line="222" w:lineRule="auto"/>
        <w:rPr>
          <w:rFonts w:ascii="黑体" w:hAnsi="黑体" w:eastAsia="黑体" w:cs="黑体"/>
          <w:sz w:val="25"/>
          <w:szCs w:val="25"/>
        </w:rPr>
      </w:pPr>
      <w:r>
        <w:rPr>
          <w:rFonts w:ascii="Times New Roman" w:hAnsi="Times New Roman" w:eastAsia="Times New Roman" w:cs="Times New Roman"/>
          <w:spacing w:val="10"/>
          <w:sz w:val="25"/>
          <w:szCs w:val="25"/>
        </w:rPr>
        <w:t>4.X.8</w:t>
      </w:r>
      <w:r>
        <w:rPr>
          <w:rFonts w:ascii="Times New Roman" w:hAnsi="Times New Roman" w:eastAsia="Times New Roman" w:cs="Times New Roman"/>
          <w:spacing w:val="9"/>
          <w:sz w:val="25"/>
          <w:szCs w:val="25"/>
        </w:rPr>
        <w:t xml:space="preserve">      </w:t>
      </w:r>
      <w:r>
        <w:rPr>
          <w:rFonts w:ascii="黑体" w:hAnsi="黑体" w:eastAsia="黑体" w:cs="黑体"/>
          <w:spacing w:val="10"/>
          <w:sz w:val="25"/>
          <w:szCs w:val="25"/>
        </w:rPr>
        <w:t>参与组织</w:t>
      </w:r>
    </w:p>
    <w:p w14:paraId="0878250E">
      <w:pPr>
        <w:pStyle w:val="2"/>
        <w:spacing w:before="88" w:line="219" w:lineRule="auto"/>
        <w:ind w:left="560"/>
      </w:pPr>
      <w:r>
        <w:rPr>
          <w:spacing w:val="5"/>
        </w:rPr>
        <w:t>本条应描述参与现场测试的组织以及他们的角色与职</w:t>
      </w:r>
      <w:r>
        <w:rPr>
          <w:spacing w:val="4"/>
        </w:rPr>
        <w:t>责。</w:t>
      </w:r>
    </w:p>
    <w:p w14:paraId="760EF275">
      <w:pPr>
        <w:spacing w:before="109" w:line="221" w:lineRule="auto"/>
        <w:rPr>
          <w:rFonts w:ascii="黑体" w:hAnsi="黑体" w:eastAsia="黑体" w:cs="黑体"/>
          <w:sz w:val="25"/>
          <w:szCs w:val="25"/>
        </w:rPr>
      </w:pPr>
      <w:r>
        <w:rPr>
          <w:rFonts w:ascii="Times New Roman" w:hAnsi="Times New Roman" w:eastAsia="Times New Roman" w:cs="Times New Roman"/>
          <w:spacing w:val="11"/>
          <w:sz w:val="25"/>
          <w:szCs w:val="25"/>
        </w:rPr>
        <w:t>4.X.9</w:t>
      </w:r>
      <w:r>
        <w:rPr>
          <w:rFonts w:ascii="Times New Roman" w:hAnsi="Times New Roman" w:eastAsia="Times New Roman" w:cs="Times New Roman"/>
          <w:spacing w:val="9"/>
          <w:sz w:val="25"/>
          <w:szCs w:val="25"/>
        </w:rPr>
        <w:t xml:space="preserve">      </w:t>
      </w:r>
      <w:r>
        <w:rPr>
          <w:rFonts w:ascii="黑体" w:hAnsi="黑体" w:eastAsia="黑体" w:cs="黑体"/>
          <w:spacing w:val="11"/>
          <w:sz w:val="25"/>
          <w:szCs w:val="25"/>
        </w:rPr>
        <w:t>人员及分工</w:t>
      </w:r>
    </w:p>
    <w:p w14:paraId="6547490D">
      <w:pPr>
        <w:pStyle w:val="2"/>
        <w:spacing w:before="82" w:line="278" w:lineRule="auto"/>
        <w:ind w:firstLine="560"/>
        <w:jc w:val="both"/>
      </w:pPr>
      <w:r>
        <w:rPr>
          <w:spacing w:val="-2"/>
        </w:rPr>
        <w:t>本条应描述在测试期间测试现场所需人员的姓名、技术</w:t>
      </w:r>
      <w:r>
        <w:rPr>
          <w:spacing w:val="-3"/>
        </w:rPr>
        <w:t>水平和职责分工，需</w:t>
      </w:r>
      <w:r>
        <w:t xml:space="preserve"> </w:t>
      </w:r>
      <w:r>
        <w:rPr>
          <w:spacing w:val="6"/>
        </w:rPr>
        <w:t>要他们的日期与时间以及特殊需要，例如为保证大规</w:t>
      </w:r>
      <w:r>
        <w:rPr>
          <w:spacing w:val="5"/>
        </w:rPr>
        <w:t>模测试工作的连续性与一</w:t>
      </w:r>
      <w:r>
        <w:t xml:space="preserve"> </w:t>
      </w:r>
      <w:r>
        <w:rPr>
          <w:spacing w:val="-3"/>
        </w:rPr>
        <w:t>致性，需要轮班操作以及关键技能的保持能力。</w:t>
      </w:r>
    </w:p>
    <w:p w14:paraId="6857E445">
      <w:pPr>
        <w:spacing w:before="1" w:line="220" w:lineRule="auto"/>
        <w:rPr>
          <w:rFonts w:ascii="黑体" w:hAnsi="黑体" w:eastAsia="黑体" w:cs="黑体"/>
          <w:sz w:val="27"/>
          <w:szCs w:val="27"/>
        </w:rPr>
      </w:pPr>
      <w:r>
        <w:rPr>
          <w:rFonts w:ascii="Times New Roman" w:hAnsi="Times New Roman" w:eastAsia="Times New Roman" w:cs="Times New Roman"/>
          <w:sz w:val="27"/>
          <w:szCs w:val="27"/>
        </w:rPr>
        <w:t>4.X.10</w:t>
      </w:r>
      <w:r>
        <w:rPr>
          <w:rFonts w:ascii="Times New Roman" w:hAnsi="Times New Roman" w:eastAsia="Times New Roman" w:cs="Times New Roman"/>
          <w:spacing w:val="6"/>
          <w:sz w:val="27"/>
          <w:szCs w:val="27"/>
        </w:rPr>
        <w:t xml:space="preserve">      </w:t>
      </w:r>
      <w:r>
        <w:rPr>
          <w:rFonts w:ascii="黑体" w:hAnsi="黑体" w:eastAsia="黑体" w:cs="黑体"/>
          <w:sz w:val="27"/>
          <w:szCs w:val="27"/>
        </w:rPr>
        <w:t>人员培训</w:t>
      </w:r>
    </w:p>
    <w:p w14:paraId="55E652DD">
      <w:pPr>
        <w:pStyle w:val="2"/>
        <w:spacing w:before="87" w:line="280" w:lineRule="auto"/>
        <w:ind w:right="25" w:firstLine="560"/>
        <w:jc w:val="both"/>
      </w:pPr>
      <w:r>
        <w:rPr>
          <w:spacing w:val="12"/>
        </w:rPr>
        <w:t>本条应描述测试前和测试期间要进行的人员培训。此信息应与4.</w:t>
      </w:r>
      <w:r>
        <w:rPr>
          <w:rFonts w:ascii="Times New Roman" w:hAnsi="Times New Roman" w:eastAsia="Times New Roman" w:cs="Times New Roman"/>
          <w:spacing w:val="12"/>
        </w:rPr>
        <w:t>X.</w:t>
      </w:r>
      <w:r>
        <w:rPr>
          <w:rFonts w:ascii="Times New Roman" w:hAnsi="Times New Roman" w:eastAsia="Times New Roman" w:cs="Times New Roman"/>
          <w:spacing w:val="11"/>
        </w:rPr>
        <w:t xml:space="preserve">9  </w:t>
      </w:r>
      <w:r>
        <w:rPr>
          <w:spacing w:val="11"/>
        </w:rPr>
        <w:t>所</w:t>
      </w:r>
      <w:r>
        <w:t xml:space="preserve"> </w:t>
      </w:r>
      <w:r>
        <w:rPr>
          <w:spacing w:val="-3"/>
        </w:rPr>
        <w:t>给出的人员需求有关。培训可包括用户使用说明、操作员使用说明、维护和控制</w:t>
      </w:r>
      <w:r>
        <w:rPr>
          <w:spacing w:val="17"/>
        </w:rPr>
        <w:t xml:space="preserve"> </w:t>
      </w:r>
      <w:r>
        <w:rPr>
          <w:spacing w:val="6"/>
        </w:rPr>
        <w:t>组使用说明和对全体人员定向培训的简述。如</w:t>
      </w:r>
      <w:r>
        <w:rPr>
          <w:spacing w:val="5"/>
        </w:rPr>
        <w:t>果培训量大，可单独制定一个计</w:t>
      </w:r>
      <w:r>
        <w:t xml:space="preserve"> </w:t>
      </w:r>
      <w:r>
        <w:rPr>
          <w:spacing w:val="-14"/>
        </w:rPr>
        <w:t>划，而在此引用。</w:t>
      </w:r>
    </w:p>
    <w:p w14:paraId="1178F981">
      <w:pPr>
        <w:spacing w:line="219" w:lineRule="auto"/>
        <w:rPr>
          <w:rFonts w:ascii="黑体" w:hAnsi="黑体" w:eastAsia="黑体" w:cs="黑体"/>
          <w:sz w:val="27"/>
          <w:szCs w:val="27"/>
        </w:rPr>
      </w:pPr>
      <w:r>
        <w:rPr>
          <w:rFonts w:ascii="Times New Roman" w:hAnsi="Times New Roman" w:eastAsia="Times New Roman" w:cs="Times New Roman"/>
          <w:spacing w:val="2"/>
          <w:sz w:val="27"/>
          <w:szCs w:val="27"/>
        </w:rPr>
        <w:t xml:space="preserve">4.X.11      </w:t>
      </w:r>
      <w:r>
        <w:rPr>
          <w:rFonts w:ascii="黑体" w:hAnsi="黑体" w:eastAsia="黑体" w:cs="黑体"/>
          <w:spacing w:val="2"/>
          <w:sz w:val="27"/>
          <w:szCs w:val="27"/>
        </w:rPr>
        <w:t>要执行的测试</w:t>
      </w:r>
    </w:p>
    <w:p w14:paraId="448D6ACB">
      <w:pPr>
        <w:pStyle w:val="2"/>
        <w:spacing w:before="82" w:line="219" w:lineRule="auto"/>
        <w:ind w:left="560"/>
      </w:pPr>
      <w:r>
        <w:rPr>
          <w:spacing w:val="10"/>
        </w:rPr>
        <w:t>本条应通过引用第5章来标识测试现场要执行的测</w:t>
      </w:r>
      <w:r>
        <w:rPr>
          <w:spacing w:val="9"/>
        </w:rPr>
        <w:t>试。</w:t>
      </w:r>
    </w:p>
    <w:p w14:paraId="674158C1">
      <w:pPr>
        <w:spacing w:before="51" w:line="368" w:lineRule="exact"/>
        <w:rPr>
          <w:rFonts w:ascii="黑体" w:hAnsi="黑体" w:eastAsia="黑体" w:cs="黑体"/>
          <w:sz w:val="27"/>
          <w:szCs w:val="27"/>
        </w:rPr>
      </w:pPr>
      <w:r>
        <w:rPr>
          <w:rFonts w:ascii="Arial" w:hAnsi="Arial" w:eastAsia="Arial" w:cs="Arial"/>
          <w:spacing w:val="2"/>
          <w:position w:val="1"/>
          <w:sz w:val="27"/>
          <w:szCs w:val="27"/>
        </w:rPr>
        <w:t>5</w:t>
      </w:r>
      <w:r>
        <w:rPr>
          <w:rFonts w:ascii="Arial" w:hAnsi="Arial" w:eastAsia="Arial" w:cs="Arial"/>
          <w:spacing w:val="22"/>
          <w:position w:val="1"/>
          <w:sz w:val="27"/>
          <w:szCs w:val="27"/>
        </w:rPr>
        <w:t xml:space="preserve">   </w:t>
      </w:r>
      <w:r>
        <w:rPr>
          <w:rFonts w:ascii="黑体" w:hAnsi="黑体" w:eastAsia="黑体" w:cs="黑体"/>
          <w:spacing w:val="2"/>
          <w:position w:val="1"/>
          <w:sz w:val="27"/>
          <w:szCs w:val="27"/>
        </w:rPr>
        <w:t>测试标识</w:t>
      </w:r>
    </w:p>
    <w:p w14:paraId="0C3DDF4B">
      <w:pPr>
        <w:spacing w:before="119" w:line="221" w:lineRule="auto"/>
        <w:rPr>
          <w:rFonts w:ascii="黑体" w:hAnsi="黑体" w:eastAsia="黑体" w:cs="黑体"/>
          <w:sz w:val="24"/>
          <w:szCs w:val="24"/>
        </w:rPr>
      </w:pPr>
      <w:r>
        <w:rPr>
          <w:rFonts w:ascii="黑体" w:hAnsi="黑体" w:eastAsia="黑体" w:cs="黑体"/>
          <w:spacing w:val="9"/>
          <w:sz w:val="24"/>
          <w:szCs w:val="24"/>
        </w:rPr>
        <w:t>5.1</w:t>
      </w:r>
      <w:r>
        <w:rPr>
          <w:rFonts w:ascii="黑体" w:hAnsi="黑体" w:eastAsia="黑体" w:cs="黑体"/>
          <w:spacing w:val="4"/>
          <w:sz w:val="24"/>
          <w:szCs w:val="24"/>
        </w:rPr>
        <w:t xml:space="preserve">   </w:t>
      </w:r>
      <w:r>
        <w:rPr>
          <w:rFonts w:ascii="黑体" w:hAnsi="黑体" w:eastAsia="黑体" w:cs="黑体"/>
          <w:spacing w:val="9"/>
          <w:sz w:val="24"/>
          <w:szCs w:val="24"/>
        </w:rPr>
        <w:t>一</w:t>
      </w:r>
      <w:r>
        <w:rPr>
          <w:rFonts w:ascii="黑体" w:hAnsi="黑体" w:eastAsia="黑体" w:cs="黑体"/>
          <w:spacing w:val="-66"/>
          <w:sz w:val="24"/>
          <w:szCs w:val="24"/>
        </w:rPr>
        <w:t xml:space="preserve"> </w:t>
      </w:r>
      <w:r>
        <w:rPr>
          <w:rFonts w:ascii="黑体" w:hAnsi="黑体" w:eastAsia="黑体" w:cs="黑体"/>
          <w:spacing w:val="9"/>
          <w:sz w:val="24"/>
          <w:szCs w:val="24"/>
        </w:rPr>
        <w:t>般信息</w:t>
      </w:r>
    </w:p>
    <w:p w14:paraId="3CB00F70">
      <w:pPr>
        <w:spacing w:before="103" w:line="221" w:lineRule="auto"/>
        <w:rPr>
          <w:rFonts w:ascii="黑体" w:hAnsi="黑体" w:eastAsia="黑体" w:cs="黑体"/>
          <w:sz w:val="25"/>
          <w:szCs w:val="25"/>
        </w:rPr>
      </w:pPr>
      <w:r>
        <w:rPr>
          <w:rFonts w:ascii="黑体" w:hAnsi="黑体" w:eastAsia="黑体" w:cs="黑体"/>
          <w:spacing w:val="9"/>
          <w:sz w:val="25"/>
          <w:szCs w:val="25"/>
        </w:rPr>
        <w:t>5.1.1</w:t>
      </w:r>
      <w:r>
        <w:rPr>
          <w:rFonts w:ascii="黑体" w:hAnsi="黑体" w:eastAsia="黑体" w:cs="黑体"/>
          <w:spacing w:val="55"/>
          <w:sz w:val="25"/>
          <w:szCs w:val="25"/>
        </w:rPr>
        <w:t xml:space="preserve">  </w:t>
      </w:r>
      <w:r>
        <w:rPr>
          <w:rFonts w:ascii="黑体" w:hAnsi="黑体" w:eastAsia="黑体" w:cs="黑体"/>
          <w:spacing w:val="9"/>
          <w:sz w:val="25"/>
          <w:szCs w:val="25"/>
        </w:rPr>
        <w:t>测试级</w:t>
      </w:r>
    </w:p>
    <w:p w14:paraId="08A23A29">
      <w:pPr>
        <w:pStyle w:val="2"/>
        <w:spacing w:before="113" w:line="223" w:lineRule="auto"/>
        <w:ind w:left="560"/>
        <w:rPr>
          <w:rFonts w:ascii="仿宋" w:hAnsi="仿宋" w:eastAsia="仿宋" w:cs="仿宋"/>
        </w:rPr>
      </w:pPr>
      <w:r>
        <w:t>本条应描述要执行的测试的级别，</w:t>
      </w:r>
      <w:r>
        <w:rPr>
          <w:rFonts w:ascii="仿宋" w:hAnsi="仿宋" w:eastAsia="仿宋" w:cs="仿宋"/>
        </w:rPr>
        <w:t>例如</w:t>
      </w:r>
      <w:r>
        <w:rPr>
          <w:rFonts w:ascii="Times New Roman" w:hAnsi="Times New Roman" w:eastAsia="Times New Roman" w:cs="Times New Roman"/>
        </w:rPr>
        <w:t>CSC</w:t>
      </w:r>
      <w:r>
        <w:rPr>
          <w:rFonts w:ascii="Times New Roman" w:hAnsi="Times New Roman" w:eastAsia="Times New Roman" w:cs="Times New Roman"/>
          <w:spacing w:val="-1"/>
        </w:rPr>
        <w:t>I</w:t>
      </w:r>
      <w:r>
        <w:rPr>
          <w:rFonts w:ascii="Times New Roman" w:hAnsi="Times New Roman" w:eastAsia="Times New Roman" w:cs="Times New Roman"/>
          <w:spacing w:val="43"/>
        </w:rPr>
        <w:t xml:space="preserve"> </w:t>
      </w:r>
      <w:r>
        <w:rPr>
          <w:rFonts w:ascii="仿宋" w:hAnsi="仿宋" w:eastAsia="仿宋" w:cs="仿宋"/>
          <w:spacing w:val="-1"/>
        </w:rPr>
        <w:t>级或系统级。</w:t>
      </w:r>
    </w:p>
    <w:p w14:paraId="2A036847">
      <w:pPr>
        <w:spacing w:before="92" w:line="221" w:lineRule="auto"/>
        <w:rPr>
          <w:rFonts w:ascii="黑体" w:hAnsi="黑体" w:eastAsia="黑体" w:cs="黑体"/>
          <w:sz w:val="24"/>
          <w:szCs w:val="24"/>
        </w:rPr>
      </w:pPr>
      <w:r>
        <w:rPr>
          <w:rFonts w:ascii="黑体" w:hAnsi="黑体" w:eastAsia="黑体" w:cs="黑体"/>
          <w:spacing w:val="16"/>
          <w:sz w:val="24"/>
          <w:szCs w:val="24"/>
        </w:rPr>
        <w:t>5.1.2</w:t>
      </w:r>
      <w:r>
        <w:rPr>
          <w:rFonts w:ascii="黑体" w:hAnsi="黑体" w:eastAsia="黑体" w:cs="黑体"/>
          <w:spacing w:val="9"/>
          <w:sz w:val="24"/>
          <w:szCs w:val="24"/>
        </w:rPr>
        <w:t xml:space="preserve">   </w:t>
      </w:r>
      <w:r>
        <w:rPr>
          <w:rFonts w:ascii="黑体" w:hAnsi="黑体" w:eastAsia="黑体" w:cs="黑体"/>
          <w:spacing w:val="16"/>
          <w:sz w:val="24"/>
          <w:szCs w:val="24"/>
        </w:rPr>
        <w:t>测试类别</w:t>
      </w:r>
    </w:p>
    <w:p w14:paraId="3D07E8B7">
      <w:pPr>
        <w:pStyle w:val="2"/>
        <w:spacing w:before="103" w:line="272" w:lineRule="auto"/>
        <w:ind w:right="34" w:firstLine="560"/>
      </w:pPr>
      <w:r>
        <w:rPr>
          <w:spacing w:val="1"/>
        </w:rPr>
        <w:t>本条应描述要执行的测试的类型或类别(例如功能测试、性</w:t>
      </w:r>
      <w:r>
        <w:t xml:space="preserve">能测试、容量测 </w:t>
      </w:r>
      <w:r>
        <w:rPr>
          <w:spacing w:val="-4"/>
        </w:rPr>
        <w:t>试)。</w:t>
      </w:r>
    </w:p>
    <w:p w14:paraId="0C7CEA04">
      <w:pPr>
        <w:spacing w:before="24" w:line="221" w:lineRule="auto"/>
        <w:rPr>
          <w:rFonts w:ascii="黑体" w:hAnsi="黑体" w:eastAsia="黑体" w:cs="黑体"/>
          <w:sz w:val="25"/>
          <w:szCs w:val="25"/>
        </w:rPr>
      </w:pPr>
      <w:r>
        <w:rPr>
          <w:rFonts w:ascii="黑体" w:hAnsi="黑体" w:eastAsia="黑体" w:cs="黑体"/>
          <w:spacing w:val="13"/>
          <w:sz w:val="25"/>
          <w:szCs w:val="25"/>
        </w:rPr>
        <w:t>5.1.3</w:t>
      </w:r>
      <w:r>
        <w:rPr>
          <w:rFonts w:ascii="黑体" w:hAnsi="黑体" w:eastAsia="黑体" w:cs="黑体"/>
          <w:spacing w:val="56"/>
          <w:sz w:val="25"/>
          <w:szCs w:val="25"/>
        </w:rPr>
        <w:t xml:space="preserve">  </w:t>
      </w:r>
      <w:r>
        <w:rPr>
          <w:rFonts w:ascii="黑体" w:hAnsi="黑体" w:eastAsia="黑体" w:cs="黑体"/>
          <w:spacing w:val="13"/>
          <w:sz w:val="25"/>
          <w:szCs w:val="25"/>
        </w:rPr>
        <w:t>一般测试条件</w:t>
      </w:r>
    </w:p>
    <w:p w14:paraId="11F6A668">
      <w:pPr>
        <w:pStyle w:val="2"/>
        <w:spacing w:before="105" w:line="278" w:lineRule="auto"/>
        <w:ind w:right="6" w:firstLine="560"/>
        <w:jc w:val="both"/>
      </w:pPr>
      <w:r>
        <w:rPr>
          <w:spacing w:val="-3"/>
        </w:rPr>
        <w:t>本条应描述适用于所有测试或一组测试的条件，例如：“每个测试应包括额</w:t>
      </w:r>
      <w:r>
        <w:rPr>
          <w:spacing w:val="18"/>
        </w:rPr>
        <w:t xml:space="preserve"> </w:t>
      </w:r>
      <w:r>
        <w:rPr>
          <w:spacing w:val="-12"/>
        </w:rPr>
        <w:t>定值、最大值和最小值”;“每个类型的测试应使用真实数据”;“应测量每个</w:t>
      </w:r>
      <w:r>
        <w:rPr>
          <w:rFonts w:ascii="Times New Roman" w:hAnsi="Times New Roman" w:eastAsia="Times New Roman" w:cs="Times New Roman"/>
          <w:spacing w:val="-12"/>
        </w:rPr>
        <w:t>CSCI</w:t>
      </w:r>
      <w:r>
        <w:rPr>
          <w:rFonts w:ascii="Times New Roman" w:hAnsi="Times New Roman" w:eastAsia="Times New Roman" w:cs="Times New Roman"/>
          <w:spacing w:val="3"/>
        </w:rPr>
        <w:t xml:space="preserve">  </w:t>
      </w:r>
      <w:r>
        <w:rPr>
          <w:spacing w:val="2"/>
        </w:rPr>
        <w:t>执行的规模与时间”,并陈述要执行的测试</w:t>
      </w:r>
      <w:r>
        <w:rPr>
          <w:spacing w:val="1"/>
        </w:rPr>
        <w:t>程度和对所选测试程度的原理。测试</w:t>
      </w:r>
      <w:r>
        <w:t xml:space="preserve"> </w:t>
      </w:r>
      <w:r>
        <w:rPr>
          <w:spacing w:val="10"/>
        </w:rPr>
        <w:t>程度应表示为占某个已妥善定义总量的百分</w:t>
      </w:r>
      <w:r>
        <w:rPr>
          <w:spacing w:val="9"/>
        </w:rPr>
        <w:t>比或其他抽样方法(如离散操作条</w:t>
      </w:r>
      <w:r>
        <w:t xml:space="preserve"> 件或取值，或者样本的数量),还应包括再测试/</w:t>
      </w:r>
      <w:r>
        <w:rPr>
          <w:spacing w:val="-1"/>
        </w:rPr>
        <w:t>回归测试所遵循的途径。</w:t>
      </w:r>
    </w:p>
    <w:p w14:paraId="3ED2B205">
      <w:pPr>
        <w:spacing w:before="13" w:line="221" w:lineRule="auto"/>
        <w:rPr>
          <w:rFonts w:ascii="黑体" w:hAnsi="黑体" w:eastAsia="黑体" w:cs="黑体"/>
          <w:sz w:val="25"/>
          <w:szCs w:val="25"/>
        </w:rPr>
      </w:pPr>
      <w:r>
        <w:rPr>
          <w:rFonts w:ascii="黑体" w:hAnsi="黑体" w:eastAsia="黑体" w:cs="黑体"/>
          <w:spacing w:val="11"/>
          <w:sz w:val="25"/>
          <w:szCs w:val="25"/>
        </w:rPr>
        <w:t>5.1.4</w:t>
      </w:r>
      <w:r>
        <w:rPr>
          <w:rFonts w:ascii="黑体" w:hAnsi="黑体" w:eastAsia="黑体" w:cs="黑体"/>
          <w:spacing w:val="54"/>
          <w:sz w:val="25"/>
          <w:szCs w:val="25"/>
        </w:rPr>
        <w:t xml:space="preserve">  </w:t>
      </w:r>
      <w:r>
        <w:rPr>
          <w:rFonts w:ascii="黑体" w:hAnsi="黑体" w:eastAsia="黑体" w:cs="黑体"/>
          <w:spacing w:val="11"/>
          <w:sz w:val="25"/>
          <w:szCs w:val="25"/>
        </w:rPr>
        <w:t>测试进展</w:t>
      </w:r>
    </w:p>
    <w:p w14:paraId="07DA9FF2">
      <w:pPr>
        <w:pStyle w:val="2"/>
        <w:spacing w:before="122" w:line="219" w:lineRule="auto"/>
        <w:ind w:left="560"/>
      </w:pPr>
      <w:r>
        <w:rPr>
          <w:spacing w:val="-1"/>
        </w:rPr>
        <w:t>本条应阐明在渐进测试或累积测试情况下，计划的测试顺序或进展。</w:t>
      </w:r>
    </w:p>
    <w:p w14:paraId="41DC2122">
      <w:pPr>
        <w:spacing w:line="219" w:lineRule="auto"/>
        <w:sectPr>
          <w:footerReference r:id="rId224" w:type="default"/>
          <w:pgSz w:w="11910" w:h="17130"/>
          <w:pgMar w:top="1452" w:right="1463" w:bottom="1637" w:left="1049" w:header="0" w:footer="1420" w:gutter="0"/>
          <w:cols w:space="720" w:num="1"/>
        </w:sectPr>
      </w:pPr>
    </w:p>
    <w:p w14:paraId="2764F55E">
      <w:pPr>
        <w:spacing w:before="54" w:line="222" w:lineRule="auto"/>
        <w:rPr>
          <w:rFonts w:ascii="黑体" w:hAnsi="黑体" w:eastAsia="黑体" w:cs="黑体"/>
          <w:sz w:val="27"/>
          <w:szCs w:val="27"/>
        </w:rPr>
      </w:pPr>
      <w:r>
        <w:rPr>
          <w:rFonts w:ascii="黑体" w:hAnsi="黑体" w:eastAsia="黑体" w:cs="黑体"/>
          <w:spacing w:val="-9"/>
          <w:sz w:val="27"/>
          <w:szCs w:val="27"/>
        </w:rPr>
        <w:t>5.1.5</w:t>
      </w:r>
      <w:r>
        <w:rPr>
          <w:rFonts w:ascii="黑体" w:hAnsi="黑体" w:eastAsia="黑体" w:cs="黑体"/>
          <w:spacing w:val="32"/>
          <w:sz w:val="27"/>
          <w:szCs w:val="27"/>
        </w:rPr>
        <w:t xml:space="preserve">  </w:t>
      </w:r>
      <w:r>
        <w:rPr>
          <w:rFonts w:ascii="黑体" w:hAnsi="黑体" w:eastAsia="黑体" w:cs="黑体"/>
          <w:b/>
          <w:bCs/>
          <w:spacing w:val="-9"/>
          <w:sz w:val="27"/>
          <w:szCs w:val="27"/>
        </w:rPr>
        <w:t>数据记录、整理和分析</w:t>
      </w:r>
    </w:p>
    <w:p w14:paraId="0B6D7141">
      <w:pPr>
        <w:pStyle w:val="2"/>
        <w:spacing w:before="57" w:line="283" w:lineRule="auto"/>
        <w:ind w:right="6" w:firstLine="570"/>
        <w:jc w:val="both"/>
      </w:pPr>
      <w:r>
        <w:rPr>
          <w:spacing w:val="10"/>
        </w:rPr>
        <w:t>本条应标识并描述在本</w:t>
      </w:r>
      <w:r>
        <w:rPr>
          <w:spacing w:val="-61"/>
        </w:rPr>
        <w:t xml:space="preserve"> </w:t>
      </w:r>
      <w:r>
        <w:rPr>
          <w:rFonts w:ascii="Times New Roman" w:hAnsi="Times New Roman" w:eastAsia="Times New Roman" w:cs="Times New Roman"/>
        </w:rPr>
        <w:t>STP</w:t>
      </w:r>
      <w:r>
        <w:rPr>
          <w:rFonts w:ascii="Times New Roman" w:hAnsi="Times New Roman" w:eastAsia="Times New Roman" w:cs="Times New Roman"/>
          <w:spacing w:val="10"/>
        </w:rPr>
        <w:t xml:space="preserve">  </w:t>
      </w:r>
      <w:r>
        <w:rPr>
          <w:spacing w:val="10"/>
        </w:rPr>
        <w:t>中标识的测试期间和测试之后要使用的数据</w:t>
      </w:r>
      <w:r>
        <w:t xml:space="preserve"> </w:t>
      </w:r>
      <w:r>
        <w:rPr>
          <w:spacing w:val="-3"/>
        </w:rPr>
        <w:t>的记录、整理和分析规程。(若适用)这些规程包括记</w:t>
      </w:r>
      <w:r>
        <w:rPr>
          <w:spacing w:val="-4"/>
        </w:rPr>
        <w:t>录测试结果、将原始结果处</w:t>
      </w:r>
      <w:r>
        <w:t xml:space="preserve"> </w:t>
      </w:r>
      <w:r>
        <w:rPr>
          <w:spacing w:val="-3"/>
        </w:rPr>
        <w:t>理为适合评价的形式、以及保留数据整理与分析结果等可能用到的手工、自动和</w:t>
      </w:r>
      <w:r>
        <w:rPr>
          <w:spacing w:val="15"/>
        </w:rPr>
        <w:t xml:space="preserve"> </w:t>
      </w:r>
      <w:r>
        <w:rPr>
          <w:spacing w:val="-1"/>
        </w:rPr>
        <w:t>半自动技术。</w:t>
      </w:r>
    </w:p>
    <w:p w14:paraId="233D3E31">
      <w:pPr>
        <w:spacing w:line="219" w:lineRule="auto"/>
        <w:rPr>
          <w:rFonts w:ascii="黑体" w:hAnsi="黑体" w:eastAsia="黑体" w:cs="黑体"/>
          <w:sz w:val="27"/>
          <w:szCs w:val="27"/>
        </w:rPr>
      </w:pPr>
      <w:r>
        <w:rPr>
          <w:rFonts w:ascii="黑体" w:hAnsi="黑体" w:eastAsia="黑体" w:cs="黑体"/>
          <w:spacing w:val="1"/>
          <w:sz w:val="27"/>
          <w:szCs w:val="27"/>
        </w:rPr>
        <w:t>5.2</w:t>
      </w:r>
      <w:r>
        <w:rPr>
          <w:rFonts w:ascii="黑体" w:hAnsi="黑体" w:eastAsia="黑体" w:cs="黑体"/>
          <w:spacing w:val="21"/>
          <w:sz w:val="27"/>
          <w:szCs w:val="27"/>
        </w:rPr>
        <w:t xml:space="preserve">  </w:t>
      </w:r>
      <w:r>
        <w:rPr>
          <w:rFonts w:ascii="黑体" w:hAnsi="黑体" w:eastAsia="黑体" w:cs="黑体"/>
          <w:b/>
          <w:bCs/>
          <w:spacing w:val="1"/>
          <w:sz w:val="27"/>
          <w:szCs w:val="27"/>
        </w:rPr>
        <w:t>计划执行的测试</w:t>
      </w:r>
    </w:p>
    <w:p w14:paraId="060C84DE">
      <w:pPr>
        <w:spacing w:before="92" w:line="212" w:lineRule="auto"/>
        <w:ind w:left="3"/>
        <w:rPr>
          <w:rFonts w:ascii="黑体" w:hAnsi="黑体" w:eastAsia="黑体" w:cs="黑体"/>
          <w:sz w:val="24"/>
          <w:szCs w:val="24"/>
        </w:rPr>
      </w:pPr>
      <w:r>
        <w:rPr>
          <w:rFonts w:ascii="黑体" w:hAnsi="黑体" w:eastAsia="黑体" w:cs="黑体"/>
          <w:b/>
          <w:bCs/>
          <w:spacing w:val="9"/>
          <w:sz w:val="24"/>
          <w:szCs w:val="24"/>
        </w:rPr>
        <w:t>5.2.</w:t>
      </w:r>
      <w:r>
        <w:rPr>
          <w:rFonts w:ascii="黑体" w:hAnsi="黑体" w:eastAsia="黑体" w:cs="黑体"/>
          <w:spacing w:val="-69"/>
          <w:sz w:val="24"/>
          <w:szCs w:val="24"/>
        </w:rPr>
        <w:t xml:space="preserve"> </w:t>
      </w:r>
      <w:r>
        <w:rPr>
          <w:rFonts w:ascii="Times New Roman" w:hAnsi="Times New Roman" w:eastAsia="Times New Roman" w:cs="Times New Roman"/>
          <w:b/>
          <w:bCs/>
          <w:spacing w:val="9"/>
          <w:sz w:val="24"/>
          <w:szCs w:val="24"/>
        </w:rPr>
        <w:t xml:space="preserve">X     ( </w:t>
      </w:r>
      <w:r>
        <w:rPr>
          <w:rFonts w:ascii="黑体" w:hAnsi="黑体" w:eastAsia="黑体" w:cs="黑体"/>
          <w:b/>
          <w:bCs/>
          <w:spacing w:val="9"/>
          <w:sz w:val="24"/>
          <w:szCs w:val="24"/>
        </w:rPr>
        <w:t>测试项)</w:t>
      </w:r>
    </w:p>
    <w:p w14:paraId="549E0F16">
      <w:pPr>
        <w:spacing w:before="99" w:line="212" w:lineRule="auto"/>
        <w:rPr>
          <w:rFonts w:ascii="黑体" w:hAnsi="黑体" w:eastAsia="黑体" w:cs="黑体"/>
          <w:sz w:val="27"/>
          <w:szCs w:val="27"/>
        </w:rPr>
      </w:pPr>
      <w:r>
        <w:rPr>
          <w:rFonts w:ascii="Times New Roman" w:hAnsi="Times New Roman" w:eastAsia="Times New Roman" w:cs="Times New Roman"/>
          <w:spacing w:val="2"/>
          <w:sz w:val="27"/>
          <w:szCs w:val="27"/>
        </w:rPr>
        <w:t xml:space="preserve">5.2.  X.Y     ( </w:t>
      </w:r>
      <w:r>
        <w:rPr>
          <w:rFonts w:ascii="黑体" w:hAnsi="黑体" w:eastAsia="黑体" w:cs="黑体"/>
          <w:b/>
          <w:bCs/>
          <w:spacing w:val="2"/>
          <w:sz w:val="27"/>
          <w:szCs w:val="27"/>
        </w:rPr>
        <w:t>测试项的项目唯一的标识符)</w:t>
      </w:r>
    </w:p>
    <w:p w14:paraId="6C0C7116">
      <w:pPr>
        <w:pStyle w:val="2"/>
        <w:spacing w:before="100" w:line="287" w:lineRule="auto"/>
        <w:ind w:right="11" w:firstLine="570"/>
      </w:pPr>
      <w:r>
        <w:rPr>
          <w:spacing w:val="5"/>
        </w:rPr>
        <w:t>本条应使用项目唯一的标识符标识一个测试项，并为该测试提供下述测试</w:t>
      </w:r>
      <w:r>
        <w:rPr>
          <w:spacing w:val="9"/>
        </w:rPr>
        <w:t xml:space="preserve"> </w:t>
      </w:r>
      <w:r>
        <w:rPr>
          <w:spacing w:val="11"/>
        </w:rPr>
        <w:t>信息(根据需要可引用4.1中的一般信息):</w:t>
      </w:r>
    </w:p>
    <w:p w14:paraId="417D83B6">
      <w:pPr>
        <w:pStyle w:val="2"/>
        <w:spacing w:line="219" w:lineRule="auto"/>
        <w:ind w:left="570"/>
      </w:pPr>
      <w:r>
        <w:rPr>
          <w:rFonts w:ascii="Times New Roman" w:hAnsi="Times New Roman" w:eastAsia="Times New Roman" w:cs="Times New Roman"/>
          <w:spacing w:val="-5"/>
        </w:rPr>
        <w:t>a</w:t>
      </w:r>
      <w:r>
        <w:rPr>
          <w:rFonts w:ascii="Times New Roman" w:hAnsi="Times New Roman" w:eastAsia="Times New Roman" w:cs="Times New Roman"/>
          <w:spacing w:val="-27"/>
        </w:rPr>
        <w:t xml:space="preserve"> </w:t>
      </w:r>
      <w:r>
        <w:rPr>
          <w:spacing w:val="-5"/>
        </w:rPr>
        <w:t>)</w:t>
      </w:r>
      <w:r>
        <w:rPr>
          <w:spacing w:val="-49"/>
        </w:rPr>
        <w:t xml:space="preserve"> </w:t>
      </w:r>
      <w:r>
        <w:rPr>
          <w:spacing w:val="-5"/>
        </w:rPr>
        <w:t>测试对象；</w:t>
      </w:r>
    </w:p>
    <w:p w14:paraId="0819527F">
      <w:pPr>
        <w:pStyle w:val="2"/>
        <w:spacing w:before="59" w:line="212" w:lineRule="auto"/>
        <w:ind w:left="570"/>
      </w:pPr>
      <w:r>
        <w:rPr>
          <w:rFonts w:ascii="Times New Roman" w:hAnsi="Times New Roman" w:eastAsia="Times New Roman" w:cs="Times New Roman"/>
        </w:rPr>
        <w:t xml:space="preserve">b)  </w:t>
      </w:r>
      <w:r>
        <w:t>测试级；</w:t>
      </w:r>
    </w:p>
    <w:p w14:paraId="23E7A2FA">
      <w:pPr>
        <w:pStyle w:val="2"/>
        <w:spacing w:before="110" w:line="212" w:lineRule="auto"/>
        <w:ind w:left="570"/>
      </w:pPr>
      <w:r>
        <w:rPr>
          <w:rFonts w:ascii="Times New Roman" w:hAnsi="Times New Roman" w:eastAsia="Times New Roman" w:cs="Times New Roman"/>
          <w:spacing w:val="2"/>
        </w:rPr>
        <w:t>c)</w:t>
      </w:r>
      <w:r>
        <w:rPr>
          <w:rFonts w:ascii="Times New Roman" w:hAnsi="Times New Roman" w:eastAsia="Times New Roman" w:cs="Times New Roman"/>
          <w:spacing w:val="66"/>
          <w:w w:val="101"/>
        </w:rPr>
        <w:t xml:space="preserve"> </w:t>
      </w:r>
      <w:r>
        <w:rPr>
          <w:spacing w:val="2"/>
        </w:rPr>
        <w:t>测试类型或类别；</w:t>
      </w:r>
    </w:p>
    <w:p w14:paraId="25EF0BFD">
      <w:pPr>
        <w:pStyle w:val="2"/>
        <w:spacing w:before="132" w:line="212" w:lineRule="auto"/>
        <w:ind w:left="570"/>
        <w:rPr>
          <w:sz w:val="24"/>
          <w:szCs w:val="24"/>
        </w:rPr>
      </w:pPr>
      <w:r>
        <w:rPr>
          <w:rFonts w:ascii="Times New Roman" w:hAnsi="Times New Roman" w:eastAsia="Times New Roman" w:cs="Times New Roman"/>
          <w:spacing w:val="29"/>
          <w:sz w:val="24"/>
          <w:szCs w:val="24"/>
        </w:rPr>
        <w:t xml:space="preserve">d)  </w:t>
      </w:r>
      <w:r>
        <w:rPr>
          <w:spacing w:val="29"/>
          <w:sz w:val="24"/>
          <w:szCs w:val="24"/>
        </w:rPr>
        <w:t>需求规格说明中所规定的合格性方法；</w:t>
      </w:r>
    </w:p>
    <w:p w14:paraId="76B03E24">
      <w:pPr>
        <w:pStyle w:val="2"/>
        <w:spacing w:before="91" w:line="260" w:lineRule="auto"/>
        <w:ind w:right="11" w:firstLine="570"/>
      </w:pPr>
      <w:r>
        <w:rPr>
          <w:rFonts w:ascii="Times New Roman" w:hAnsi="Times New Roman" w:eastAsia="Times New Roman" w:cs="Times New Roman"/>
          <w:spacing w:val="11"/>
        </w:rPr>
        <w:t>e)</w:t>
      </w:r>
      <w:r>
        <w:rPr>
          <w:rFonts w:ascii="Times New Roman" w:hAnsi="Times New Roman" w:eastAsia="Times New Roman" w:cs="Times New Roman"/>
          <w:spacing w:val="4"/>
        </w:rPr>
        <w:t xml:space="preserve">  </w:t>
      </w:r>
      <w:r>
        <w:rPr>
          <w:spacing w:val="11"/>
        </w:rPr>
        <w:t>本测试涉及的</w:t>
      </w:r>
      <w:r>
        <w:rPr>
          <w:rFonts w:ascii="Times New Roman" w:hAnsi="Times New Roman" w:eastAsia="Times New Roman" w:cs="Times New Roman"/>
        </w:rPr>
        <w:t>CSCI</w:t>
      </w:r>
      <w:r>
        <w:rPr>
          <w:rFonts w:ascii="Times New Roman" w:hAnsi="Times New Roman" w:eastAsia="Times New Roman" w:cs="Times New Roman"/>
          <w:spacing w:val="22"/>
          <w:w w:val="101"/>
        </w:rPr>
        <w:t xml:space="preserve"> </w:t>
      </w:r>
      <w:r>
        <w:rPr>
          <w:spacing w:val="11"/>
        </w:rPr>
        <w:t>需求的标识符和(若适用)软件系统需求标识符(此</w:t>
      </w:r>
      <w:r>
        <w:t xml:space="preserve"> </w:t>
      </w:r>
      <w:r>
        <w:rPr>
          <w:spacing w:val="17"/>
        </w:rPr>
        <w:t>信息亦可在第6章中提供);</w:t>
      </w:r>
    </w:p>
    <w:p w14:paraId="3C6155EF">
      <w:pPr>
        <w:pStyle w:val="2"/>
        <w:spacing w:before="51" w:line="260" w:lineRule="auto"/>
        <w:ind w:right="7" w:firstLine="570"/>
      </w:pPr>
      <w:r>
        <w:rPr>
          <w:rFonts w:ascii="Times New Roman" w:hAnsi="Times New Roman" w:eastAsia="Times New Roman" w:cs="Times New Roman"/>
        </w:rPr>
        <w:t xml:space="preserve">f)  </w:t>
      </w:r>
      <w:r>
        <w:t>特殊需求(例如设备连续工作48小时、武器模拟、测试程</w:t>
      </w:r>
      <w:r>
        <w:rPr>
          <w:spacing w:val="-1"/>
        </w:rPr>
        <w:t>度、特殊输入或</w:t>
      </w:r>
      <w:r>
        <w:t xml:space="preserve"> </w:t>
      </w:r>
      <w:r>
        <w:rPr>
          <w:spacing w:val="5"/>
        </w:rPr>
        <w:t>数据库的使用);</w:t>
      </w:r>
    </w:p>
    <w:p w14:paraId="511E7225">
      <w:pPr>
        <w:pStyle w:val="2"/>
        <w:spacing w:before="69" w:line="212" w:lineRule="auto"/>
        <w:ind w:left="570"/>
      </w:pPr>
      <w:r>
        <w:rPr>
          <w:rFonts w:ascii="Times New Roman" w:hAnsi="Times New Roman" w:eastAsia="Times New Roman" w:cs="Times New Roman"/>
          <w:spacing w:val="6"/>
        </w:rPr>
        <w:t>g</w:t>
      </w:r>
      <w:r>
        <w:rPr>
          <w:rFonts w:ascii="Times New Roman" w:hAnsi="Times New Roman" w:eastAsia="Times New Roman" w:cs="Times New Roman"/>
          <w:spacing w:val="-16"/>
        </w:rPr>
        <w:t xml:space="preserve"> </w:t>
      </w:r>
      <w:r>
        <w:rPr>
          <w:spacing w:val="6"/>
        </w:rPr>
        <w:t>)要记录的数据的类型；</w:t>
      </w:r>
    </w:p>
    <w:p w14:paraId="0D4F598C">
      <w:pPr>
        <w:pStyle w:val="2"/>
        <w:spacing w:before="100" w:line="212" w:lineRule="auto"/>
        <w:ind w:left="570"/>
      </w:pPr>
      <w:r>
        <w:rPr>
          <w:rFonts w:ascii="Times New Roman" w:hAnsi="Times New Roman" w:eastAsia="Times New Roman" w:cs="Times New Roman"/>
          <w:spacing w:val="3"/>
        </w:rPr>
        <w:t xml:space="preserve">h)  </w:t>
      </w:r>
      <w:r>
        <w:rPr>
          <w:spacing w:val="3"/>
        </w:rPr>
        <w:t>要采用的数据记录/整理/分析的类型；</w:t>
      </w:r>
    </w:p>
    <w:p w14:paraId="3E51BBEE">
      <w:pPr>
        <w:pStyle w:val="2"/>
        <w:spacing w:before="101" w:line="253" w:lineRule="auto"/>
        <w:ind w:right="7" w:firstLine="570"/>
      </w:pPr>
      <w:r>
        <w:rPr>
          <w:rFonts w:ascii="Times New Roman" w:hAnsi="Times New Roman" w:eastAsia="Times New Roman" w:cs="Times New Roman"/>
          <w:spacing w:val="-11"/>
        </w:rPr>
        <w:t xml:space="preserve">i)  </w:t>
      </w:r>
      <w:r>
        <w:rPr>
          <w:spacing w:val="-11"/>
        </w:rPr>
        <w:t>假设与约束，例如由于系统或测试条件诸如时间、接口、设备、人员、数据</w:t>
      </w:r>
      <w:r>
        <w:rPr>
          <w:spacing w:val="11"/>
        </w:rPr>
        <w:t xml:space="preserve"> </w:t>
      </w:r>
      <w:r>
        <w:rPr>
          <w:spacing w:val="2"/>
        </w:rPr>
        <w:t>库等原因而对测试产生的预期限制；</w:t>
      </w:r>
    </w:p>
    <w:p w14:paraId="1EAF6226">
      <w:pPr>
        <w:pStyle w:val="2"/>
        <w:spacing w:before="79" w:line="212" w:lineRule="auto"/>
        <w:ind w:left="570"/>
      </w:pPr>
      <w:r>
        <w:rPr>
          <w:rFonts w:ascii="Times New Roman" w:hAnsi="Times New Roman" w:eastAsia="Times New Roman" w:cs="Times New Roman"/>
          <w:spacing w:val="5"/>
        </w:rPr>
        <w:t>j)</w:t>
      </w:r>
      <w:r>
        <w:rPr>
          <w:rFonts w:ascii="Times New Roman" w:hAnsi="Times New Roman" w:eastAsia="Times New Roman" w:cs="Times New Roman"/>
          <w:spacing w:val="81"/>
        </w:rPr>
        <w:t xml:space="preserve"> </w:t>
      </w:r>
      <w:r>
        <w:rPr>
          <w:spacing w:val="5"/>
        </w:rPr>
        <w:t>与测试有关的安全性和保密性考虑。</w:t>
      </w:r>
    </w:p>
    <w:p w14:paraId="118DF58B">
      <w:pPr>
        <w:spacing w:before="134" w:line="221" w:lineRule="auto"/>
        <w:rPr>
          <w:rFonts w:ascii="黑体" w:hAnsi="黑体" w:eastAsia="黑体" w:cs="黑体"/>
          <w:sz w:val="25"/>
          <w:szCs w:val="25"/>
        </w:rPr>
      </w:pPr>
      <w:r>
        <w:rPr>
          <w:rFonts w:ascii="黑体" w:hAnsi="黑体" w:eastAsia="黑体" w:cs="黑体"/>
          <w:spacing w:val="15"/>
          <w:sz w:val="25"/>
          <w:szCs w:val="25"/>
        </w:rPr>
        <w:t>6</w:t>
      </w:r>
      <w:r>
        <w:rPr>
          <w:rFonts w:ascii="黑体" w:hAnsi="黑体" w:eastAsia="黑体" w:cs="黑体"/>
          <w:spacing w:val="48"/>
          <w:sz w:val="25"/>
          <w:szCs w:val="25"/>
        </w:rPr>
        <w:t xml:space="preserve">  </w:t>
      </w:r>
      <w:r>
        <w:rPr>
          <w:rFonts w:ascii="黑体" w:hAnsi="黑体" w:eastAsia="黑体" w:cs="黑体"/>
          <w:b/>
          <w:bCs/>
          <w:spacing w:val="15"/>
          <w:sz w:val="25"/>
          <w:szCs w:val="25"/>
        </w:rPr>
        <w:t>测试进度</w:t>
      </w:r>
    </w:p>
    <w:p w14:paraId="0BD7C3EC">
      <w:pPr>
        <w:pStyle w:val="2"/>
        <w:spacing w:before="106" w:line="219" w:lineRule="auto"/>
        <w:ind w:left="570"/>
      </w:pPr>
      <w:r>
        <w:rPr>
          <w:spacing w:val="4"/>
        </w:rPr>
        <w:t>本章应包含或引用实施本计划中所标识测试的进度表</w:t>
      </w:r>
      <w:r>
        <w:rPr>
          <w:spacing w:val="3"/>
        </w:rPr>
        <w:t>。包括：</w:t>
      </w:r>
    </w:p>
    <w:p w14:paraId="0B6FBED9">
      <w:pPr>
        <w:pStyle w:val="2"/>
        <w:spacing w:before="83" w:line="212" w:lineRule="auto"/>
        <w:ind w:left="570"/>
        <w:rPr>
          <w:sz w:val="24"/>
          <w:szCs w:val="24"/>
        </w:rPr>
      </w:pPr>
      <w:r>
        <w:rPr>
          <w:rFonts w:ascii="Times New Roman" w:hAnsi="Times New Roman" w:eastAsia="Times New Roman" w:cs="Times New Roman"/>
          <w:spacing w:val="31"/>
          <w:sz w:val="24"/>
          <w:szCs w:val="24"/>
        </w:rPr>
        <w:t xml:space="preserve">a)  </w:t>
      </w:r>
      <w:r>
        <w:rPr>
          <w:spacing w:val="31"/>
          <w:sz w:val="24"/>
          <w:szCs w:val="24"/>
        </w:rPr>
        <w:t>描述已安排测试的现场和将执行测试的时</w:t>
      </w:r>
      <w:r>
        <w:rPr>
          <w:spacing w:val="30"/>
          <w:sz w:val="24"/>
          <w:szCs w:val="24"/>
        </w:rPr>
        <w:t>间框架的图表。</w:t>
      </w:r>
    </w:p>
    <w:p w14:paraId="17830DB2">
      <w:pPr>
        <w:pStyle w:val="2"/>
        <w:spacing w:before="109" w:line="273" w:lineRule="auto"/>
        <w:ind w:firstLine="570"/>
      </w:pPr>
      <w:r>
        <w:rPr>
          <w:rFonts w:ascii="Times New Roman" w:hAnsi="Times New Roman" w:eastAsia="Times New Roman" w:cs="Times New Roman"/>
          <w:spacing w:val="3"/>
        </w:rPr>
        <w:t>b)</w:t>
      </w:r>
      <w:r>
        <w:rPr>
          <w:rFonts w:ascii="Times New Roman" w:hAnsi="Times New Roman" w:eastAsia="Times New Roman" w:cs="Times New Roman"/>
          <w:spacing w:val="67"/>
          <w:w w:val="101"/>
        </w:rPr>
        <w:t xml:space="preserve"> </w:t>
      </w:r>
      <w:r>
        <w:rPr>
          <w:spacing w:val="3"/>
        </w:rPr>
        <w:t>每个测试现场的进度表，(若适用)它可按时间</w:t>
      </w:r>
      <w:r>
        <w:rPr>
          <w:spacing w:val="2"/>
        </w:rPr>
        <w:t>顺序描述以下所列活动与</w:t>
      </w:r>
      <w:r>
        <w:t xml:space="preserve"> </w:t>
      </w:r>
      <w:r>
        <w:rPr>
          <w:spacing w:val="-3"/>
        </w:rPr>
        <w:t>事件，根据需要可增加支持性说明：1)现场测试的时间和分配给测试主要部分的</w:t>
      </w:r>
      <w:r>
        <w:rPr>
          <w:spacing w:val="17"/>
        </w:rPr>
        <w:t xml:space="preserve"> </w:t>
      </w:r>
      <w:r>
        <w:rPr>
          <w:spacing w:val="-10"/>
        </w:rPr>
        <w:t>时间；2)现场测试前，用于建立软件测试环境和其他设备、进行系统调试、定向培</w:t>
      </w:r>
      <w:r>
        <w:rPr>
          <w:spacing w:val="1"/>
        </w:rPr>
        <w:t xml:space="preserve"> 训和熟悉工作所需的时间；3)测试所需的数据库/数据文件值、输入值和其</w:t>
      </w:r>
      <w:r>
        <w:t xml:space="preserve">他运 </w:t>
      </w:r>
      <w:r>
        <w:rPr>
          <w:spacing w:val="-4"/>
        </w:rPr>
        <w:t>行数据等的收集；4)实施测试，包括计划中的再测试；5</w:t>
      </w:r>
      <w:r>
        <w:rPr>
          <w:spacing w:val="-5"/>
        </w:rPr>
        <w:t>)软件测试报告(</w:t>
      </w:r>
      <w:r>
        <w:rPr>
          <w:rFonts w:ascii="Times New Roman" w:hAnsi="Times New Roman" w:eastAsia="Times New Roman" w:cs="Times New Roman"/>
          <w:spacing w:val="-5"/>
        </w:rPr>
        <w:t xml:space="preserve">STR)  </w:t>
      </w:r>
      <w:r>
        <w:rPr>
          <w:spacing w:val="-5"/>
        </w:rPr>
        <w:t>的</w:t>
      </w:r>
      <w:r>
        <w:t xml:space="preserve"> </w:t>
      </w:r>
      <w:r>
        <w:rPr>
          <w:spacing w:val="-14"/>
        </w:rPr>
        <w:t>准备、评审和批准。</w:t>
      </w:r>
    </w:p>
    <w:p w14:paraId="086254C9">
      <w:pPr>
        <w:spacing w:before="71" w:line="221"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36"/>
          <w:sz w:val="27"/>
          <w:szCs w:val="27"/>
        </w:rPr>
        <w:t xml:space="preserve">  </w:t>
      </w:r>
      <w:r>
        <w:rPr>
          <w:rFonts w:ascii="黑体" w:hAnsi="黑体" w:eastAsia="黑体" w:cs="黑体"/>
          <w:b/>
          <w:bCs/>
          <w:spacing w:val="-1"/>
          <w:sz w:val="27"/>
          <w:szCs w:val="27"/>
        </w:rPr>
        <w:t>测试终止条件</w:t>
      </w:r>
    </w:p>
    <w:p w14:paraId="1918E149">
      <w:pPr>
        <w:pStyle w:val="2"/>
        <w:spacing w:before="111" w:line="218" w:lineRule="auto"/>
        <w:ind w:left="570"/>
      </w:pPr>
      <w:r>
        <w:t>本章应描述被测软件的评价准则和方法，以及可以结束测试的条件。</w:t>
      </w:r>
    </w:p>
    <w:p w14:paraId="5F359DE6">
      <w:pPr>
        <w:spacing w:line="218" w:lineRule="auto"/>
        <w:sectPr>
          <w:footerReference r:id="rId225" w:type="default"/>
          <w:pgSz w:w="11910" w:h="17130"/>
          <w:pgMar w:top="1381" w:right="1087" w:bottom="1686" w:left="1430" w:header="0" w:footer="1497" w:gutter="0"/>
          <w:cols w:space="720" w:num="1"/>
        </w:sectPr>
      </w:pPr>
    </w:p>
    <w:p w14:paraId="357E14EF">
      <w:pPr>
        <w:spacing w:before="54" w:line="222" w:lineRule="auto"/>
        <w:rPr>
          <w:rFonts w:ascii="黑体" w:hAnsi="黑体" w:eastAsia="黑体" w:cs="黑体"/>
          <w:sz w:val="27"/>
          <w:szCs w:val="27"/>
        </w:rPr>
      </w:pPr>
      <w:r>
        <w:rPr>
          <w:rFonts w:ascii="黑体" w:hAnsi="黑体" w:eastAsia="黑体" w:cs="黑体"/>
          <w:sz w:val="27"/>
          <w:szCs w:val="27"/>
        </w:rPr>
        <w:t>8</w:t>
      </w:r>
      <w:r>
        <w:rPr>
          <w:rFonts w:ascii="黑体" w:hAnsi="黑体" w:eastAsia="黑体" w:cs="黑体"/>
          <w:spacing w:val="18"/>
          <w:sz w:val="27"/>
          <w:szCs w:val="27"/>
        </w:rPr>
        <w:t xml:space="preserve">  </w:t>
      </w:r>
      <w:r>
        <w:rPr>
          <w:rFonts w:ascii="黑体" w:hAnsi="黑体" w:eastAsia="黑体" w:cs="黑体"/>
          <w:b/>
          <w:bCs/>
          <w:sz w:val="27"/>
          <w:szCs w:val="27"/>
        </w:rPr>
        <w:t>需求的可追踪性</w:t>
      </w:r>
    </w:p>
    <w:p w14:paraId="51CCC2C0">
      <w:pPr>
        <w:pStyle w:val="2"/>
        <w:spacing w:before="99" w:line="219" w:lineRule="auto"/>
        <w:ind w:left="560"/>
      </w:pPr>
      <w:r>
        <w:rPr>
          <w:spacing w:val="-1"/>
        </w:rPr>
        <w:t>本章应描述：</w:t>
      </w:r>
    </w:p>
    <w:p w14:paraId="33F3BDE3">
      <w:pPr>
        <w:pStyle w:val="2"/>
        <w:spacing w:before="61" w:line="256" w:lineRule="auto"/>
        <w:ind w:right="109" w:firstLine="560"/>
      </w:pPr>
      <w:r>
        <w:rPr>
          <w:rFonts w:ascii="Times New Roman" w:hAnsi="Times New Roman" w:eastAsia="Times New Roman" w:cs="Times New Roman"/>
          <w:spacing w:val="6"/>
        </w:rPr>
        <w:t xml:space="preserve">a)  </w:t>
      </w:r>
      <w:r>
        <w:rPr>
          <w:spacing w:val="6"/>
        </w:rPr>
        <w:t>从本计划所标识的每个测试到它所涉及的</w:t>
      </w:r>
      <w:r>
        <w:rPr>
          <w:rFonts w:ascii="Times New Roman" w:hAnsi="Times New Roman" w:eastAsia="Times New Roman" w:cs="Times New Roman"/>
        </w:rPr>
        <w:t>CSCI</w:t>
      </w:r>
      <w:r>
        <w:rPr>
          <w:rFonts w:ascii="Times New Roman" w:hAnsi="Times New Roman" w:eastAsia="Times New Roman" w:cs="Times New Roman"/>
          <w:spacing w:val="43"/>
          <w:w w:val="101"/>
        </w:rPr>
        <w:t xml:space="preserve"> </w:t>
      </w:r>
      <w:r>
        <w:rPr>
          <w:spacing w:val="6"/>
        </w:rPr>
        <w:t>需求和(若适用)软件系</w:t>
      </w:r>
      <w:r>
        <w:t xml:space="preserve"> </w:t>
      </w:r>
      <w:r>
        <w:rPr>
          <w:spacing w:val="2"/>
        </w:rPr>
        <w:t>统需求的可追踪性(此可追踪性亦可在5.2.</w:t>
      </w:r>
      <w:r>
        <w:rPr>
          <w:rFonts w:ascii="Times New Roman" w:hAnsi="Times New Roman" w:eastAsia="Times New Roman" w:cs="Times New Roman"/>
          <w:spacing w:val="2"/>
        </w:rPr>
        <w:t xml:space="preserve">X.Y  </w:t>
      </w:r>
      <w:r>
        <w:rPr>
          <w:spacing w:val="2"/>
        </w:rPr>
        <w:t>中提供，而在此引用)。</w:t>
      </w:r>
    </w:p>
    <w:p w14:paraId="0BAA6C7B">
      <w:pPr>
        <w:pStyle w:val="2"/>
        <w:spacing w:before="83" w:line="278" w:lineRule="auto"/>
        <w:ind w:right="108" w:firstLine="560"/>
        <w:rPr>
          <w:sz w:val="25"/>
          <w:szCs w:val="25"/>
        </w:rPr>
      </w:pPr>
      <w:r>
        <w:rPr>
          <w:rFonts w:ascii="Times New Roman" w:hAnsi="Times New Roman" w:eastAsia="Times New Roman" w:cs="Times New Roman"/>
          <w:spacing w:val="24"/>
          <w:sz w:val="25"/>
          <w:szCs w:val="25"/>
        </w:rPr>
        <w:t>b)</w:t>
      </w:r>
      <w:r>
        <w:rPr>
          <w:rFonts w:ascii="Times New Roman" w:hAnsi="Times New Roman" w:eastAsia="Times New Roman" w:cs="Times New Roman"/>
          <w:spacing w:val="3"/>
          <w:sz w:val="25"/>
          <w:szCs w:val="25"/>
        </w:rPr>
        <w:t xml:space="preserve">  </w:t>
      </w:r>
      <w:r>
        <w:rPr>
          <w:spacing w:val="24"/>
          <w:sz w:val="25"/>
          <w:szCs w:val="25"/>
        </w:rPr>
        <w:t>从本测试计划所覆盖的每个</w:t>
      </w:r>
      <w:r>
        <w:rPr>
          <w:rFonts w:ascii="Times New Roman" w:hAnsi="Times New Roman" w:eastAsia="Times New Roman" w:cs="Times New Roman"/>
          <w:sz w:val="25"/>
          <w:szCs w:val="25"/>
        </w:rPr>
        <w:t>CSCI</w:t>
      </w:r>
      <w:r>
        <w:rPr>
          <w:rFonts w:ascii="Times New Roman" w:hAnsi="Times New Roman" w:eastAsia="Times New Roman" w:cs="Times New Roman"/>
          <w:spacing w:val="24"/>
          <w:sz w:val="25"/>
          <w:szCs w:val="25"/>
        </w:rPr>
        <w:t xml:space="preserve">  </w:t>
      </w:r>
      <w:r>
        <w:rPr>
          <w:spacing w:val="24"/>
          <w:sz w:val="25"/>
          <w:szCs w:val="25"/>
        </w:rPr>
        <w:t>需求和(若适用</w:t>
      </w:r>
      <w:r>
        <w:rPr>
          <w:spacing w:val="23"/>
          <w:sz w:val="25"/>
          <w:szCs w:val="25"/>
        </w:rPr>
        <w:t>)软件系统需求到涉及</w:t>
      </w:r>
      <w:r>
        <w:rPr>
          <w:sz w:val="25"/>
          <w:szCs w:val="25"/>
        </w:rPr>
        <w:t xml:space="preserve"> </w:t>
      </w:r>
      <w:r>
        <w:rPr>
          <w:spacing w:val="43"/>
          <w:sz w:val="25"/>
          <w:szCs w:val="25"/>
        </w:rPr>
        <w:t>它的测试的可追踪性。这种可追踪性应覆盖所有适用的软件需求规格说明</w:t>
      </w:r>
      <w:r>
        <w:rPr>
          <w:sz w:val="25"/>
          <w:szCs w:val="25"/>
        </w:rPr>
        <w:t xml:space="preserve"> </w:t>
      </w:r>
      <w:r>
        <w:rPr>
          <w:spacing w:val="13"/>
          <w:sz w:val="25"/>
          <w:szCs w:val="25"/>
        </w:rPr>
        <w:t>(</w:t>
      </w:r>
      <w:r>
        <w:rPr>
          <w:rFonts w:ascii="Times New Roman" w:hAnsi="Times New Roman" w:eastAsia="Times New Roman" w:cs="Times New Roman"/>
          <w:sz w:val="25"/>
          <w:szCs w:val="25"/>
        </w:rPr>
        <w:t>SRS</w:t>
      </w:r>
      <w:r>
        <w:rPr>
          <w:rFonts w:ascii="Times New Roman" w:hAnsi="Times New Roman" w:eastAsia="Times New Roman" w:cs="Times New Roman"/>
          <w:spacing w:val="13"/>
          <w:sz w:val="25"/>
          <w:szCs w:val="25"/>
        </w:rPr>
        <w:t>)</w:t>
      </w:r>
      <w:r>
        <w:rPr>
          <w:rFonts w:ascii="Times New Roman" w:hAnsi="Times New Roman" w:eastAsia="Times New Roman" w:cs="Times New Roman"/>
          <w:spacing w:val="55"/>
          <w:w w:val="101"/>
          <w:sz w:val="25"/>
          <w:szCs w:val="25"/>
        </w:rPr>
        <w:t xml:space="preserve"> </w:t>
      </w:r>
      <w:r>
        <w:rPr>
          <w:spacing w:val="13"/>
          <w:sz w:val="25"/>
          <w:szCs w:val="25"/>
        </w:rPr>
        <w:t>和相关接口需求规格说明(</w:t>
      </w:r>
      <w:r>
        <w:rPr>
          <w:spacing w:val="-56"/>
          <w:sz w:val="25"/>
          <w:szCs w:val="25"/>
        </w:rPr>
        <w:t xml:space="preserve"> </w:t>
      </w:r>
      <w:r>
        <w:rPr>
          <w:rFonts w:ascii="Times New Roman" w:hAnsi="Times New Roman" w:eastAsia="Times New Roman" w:cs="Times New Roman"/>
          <w:sz w:val="25"/>
          <w:szCs w:val="25"/>
        </w:rPr>
        <w:t>IRS</w:t>
      </w:r>
      <w:r>
        <w:rPr>
          <w:rFonts w:ascii="Times New Roman" w:hAnsi="Times New Roman" w:eastAsia="Times New Roman" w:cs="Times New Roman"/>
          <w:spacing w:val="13"/>
          <w:sz w:val="25"/>
          <w:szCs w:val="25"/>
        </w:rPr>
        <w:t xml:space="preserve">)  </w:t>
      </w:r>
      <w:r>
        <w:rPr>
          <w:spacing w:val="13"/>
          <w:sz w:val="25"/>
          <w:szCs w:val="25"/>
        </w:rPr>
        <w:t>中 的</w:t>
      </w:r>
      <w:r>
        <w:rPr>
          <w:spacing w:val="-75"/>
          <w:sz w:val="25"/>
          <w:szCs w:val="25"/>
        </w:rPr>
        <w:t xml:space="preserve"> </w:t>
      </w:r>
      <w:r>
        <w:rPr>
          <w:rFonts w:ascii="Times New Roman" w:hAnsi="Times New Roman" w:eastAsia="Times New Roman" w:cs="Times New Roman"/>
          <w:sz w:val="25"/>
          <w:szCs w:val="25"/>
        </w:rPr>
        <w:t>CSCI</w:t>
      </w:r>
      <w:r>
        <w:rPr>
          <w:rFonts w:ascii="Times New Roman" w:hAnsi="Times New Roman" w:eastAsia="Times New Roman" w:cs="Times New Roman"/>
          <w:spacing w:val="13"/>
          <w:sz w:val="25"/>
          <w:szCs w:val="25"/>
        </w:rPr>
        <w:t xml:space="preserve">  </w:t>
      </w:r>
      <w:r>
        <w:rPr>
          <w:spacing w:val="13"/>
          <w:sz w:val="25"/>
          <w:szCs w:val="25"/>
        </w:rPr>
        <w:t>需求</w:t>
      </w:r>
      <w:r>
        <w:rPr>
          <w:spacing w:val="12"/>
          <w:sz w:val="25"/>
          <w:szCs w:val="25"/>
        </w:rPr>
        <w:t>；对于软件系统，还应覆</w:t>
      </w:r>
      <w:r>
        <w:rPr>
          <w:sz w:val="25"/>
          <w:szCs w:val="25"/>
        </w:rPr>
        <w:t xml:space="preserve"> </w:t>
      </w:r>
      <w:r>
        <w:rPr>
          <w:spacing w:val="18"/>
          <w:sz w:val="25"/>
          <w:szCs w:val="25"/>
        </w:rPr>
        <w:t>盖所有适用的系统/子系统规格说明(</w:t>
      </w:r>
      <w:r>
        <w:rPr>
          <w:spacing w:val="-50"/>
          <w:sz w:val="25"/>
          <w:szCs w:val="25"/>
        </w:rPr>
        <w:t xml:space="preserve"> </w:t>
      </w:r>
      <w:r>
        <w:rPr>
          <w:rFonts w:ascii="Times New Roman" w:hAnsi="Times New Roman" w:eastAsia="Times New Roman" w:cs="Times New Roman"/>
          <w:sz w:val="25"/>
          <w:szCs w:val="25"/>
        </w:rPr>
        <w:t>SSS</w:t>
      </w:r>
      <w:r>
        <w:rPr>
          <w:rFonts w:ascii="Times New Roman" w:hAnsi="Times New Roman" w:eastAsia="Times New Roman" w:cs="Times New Roman"/>
          <w:spacing w:val="18"/>
          <w:sz w:val="25"/>
          <w:szCs w:val="25"/>
        </w:rPr>
        <w:t>)</w:t>
      </w:r>
      <w:r>
        <w:rPr>
          <w:rFonts w:ascii="Times New Roman" w:hAnsi="Times New Roman" w:eastAsia="Times New Roman" w:cs="Times New Roman"/>
          <w:sz w:val="25"/>
          <w:szCs w:val="25"/>
        </w:rPr>
        <w:t xml:space="preserve">  </w:t>
      </w:r>
      <w:r>
        <w:rPr>
          <w:spacing w:val="18"/>
          <w:sz w:val="25"/>
          <w:szCs w:val="25"/>
        </w:rPr>
        <w:t>及相关系统级</w:t>
      </w:r>
      <w:r>
        <w:rPr>
          <w:spacing w:val="-70"/>
          <w:sz w:val="25"/>
          <w:szCs w:val="25"/>
        </w:rPr>
        <w:t xml:space="preserve"> </w:t>
      </w:r>
      <w:r>
        <w:rPr>
          <w:rFonts w:ascii="Times New Roman" w:hAnsi="Times New Roman" w:eastAsia="Times New Roman" w:cs="Times New Roman"/>
          <w:sz w:val="25"/>
          <w:szCs w:val="25"/>
        </w:rPr>
        <w:t>IRS</w:t>
      </w:r>
      <w:r>
        <w:rPr>
          <w:rFonts w:ascii="Times New Roman" w:hAnsi="Times New Roman" w:eastAsia="Times New Roman" w:cs="Times New Roman"/>
          <w:spacing w:val="18"/>
          <w:sz w:val="25"/>
          <w:szCs w:val="25"/>
        </w:rPr>
        <w:t xml:space="preserve">  </w:t>
      </w:r>
      <w:r>
        <w:rPr>
          <w:spacing w:val="18"/>
          <w:sz w:val="25"/>
          <w:szCs w:val="25"/>
        </w:rPr>
        <w:t>中的系统需求。</w:t>
      </w:r>
    </w:p>
    <w:p w14:paraId="1C214D28">
      <w:pPr>
        <w:spacing w:before="145" w:line="222" w:lineRule="auto"/>
        <w:rPr>
          <w:rFonts w:ascii="黑体" w:hAnsi="黑体" w:eastAsia="黑体" w:cs="黑体"/>
          <w:sz w:val="25"/>
          <w:szCs w:val="25"/>
        </w:rPr>
      </w:pPr>
      <w:r>
        <w:rPr>
          <w:rFonts w:ascii="黑体" w:hAnsi="黑体" w:eastAsia="黑体" w:cs="黑体"/>
          <w:spacing w:val="8"/>
          <w:sz w:val="25"/>
          <w:szCs w:val="25"/>
        </w:rPr>
        <w:t>9</w:t>
      </w:r>
      <w:r>
        <w:rPr>
          <w:rFonts w:ascii="黑体" w:hAnsi="黑体" w:eastAsia="黑体" w:cs="黑体"/>
          <w:spacing w:val="30"/>
          <w:sz w:val="25"/>
          <w:szCs w:val="25"/>
        </w:rPr>
        <w:t xml:space="preserve">  </w:t>
      </w:r>
      <w:r>
        <w:rPr>
          <w:rFonts w:ascii="黑体" w:hAnsi="黑体" w:eastAsia="黑体" w:cs="黑体"/>
          <w:b/>
          <w:bCs/>
          <w:spacing w:val="8"/>
          <w:sz w:val="25"/>
          <w:szCs w:val="25"/>
        </w:rPr>
        <w:t>注释</w:t>
      </w:r>
    </w:p>
    <w:p w14:paraId="13BA3E59">
      <w:pPr>
        <w:pStyle w:val="2"/>
        <w:spacing w:before="83" w:line="219" w:lineRule="auto"/>
        <w:ind w:left="560"/>
      </w:pPr>
      <w:r>
        <w:rPr>
          <w:spacing w:val="-4"/>
        </w:rPr>
        <w:t>本章应包括有助于了解文档的所有信息(例如背景、术语、缩略语或公式)。</w:t>
      </w:r>
    </w:p>
    <w:p w14:paraId="699CD8CB">
      <w:pPr>
        <w:spacing w:line="331" w:lineRule="auto"/>
        <w:rPr>
          <w:rFonts w:ascii="Arial"/>
          <w:sz w:val="21"/>
        </w:rPr>
      </w:pPr>
    </w:p>
    <w:p w14:paraId="60146B32">
      <w:pPr>
        <w:pStyle w:val="2"/>
        <w:spacing w:before="118" w:line="219" w:lineRule="auto"/>
        <w:ind w:left="2699"/>
        <w:rPr>
          <w:sz w:val="36"/>
          <w:szCs w:val="36"/>
        </w:rPr>
      </w:pPr>
      <w:r>
        <w:rPr>
          <w:spacing w:val="-1"/>
          <w:sz w:val="36"/>
          <w:szCs w:val="36"/>
        </w:rPr>
        <w:t>2.</w:t>
      </w:r>
      <w:r>
        <w:rPr>
          <w:b/>
          <w:bCs/>
          <w:spacing w:val="-1"/>
          <w:sz w:val="36"/>
          <w:szCs w:val="36"/>
        </w:rPr>
        <w:t>13</w:t>
      </w:r>
      <w:r>
        <w:rPr>
          <w:spacing w:val="28"/>
          <w:sz w:val="36"/>
          <w:szCs w:val="36"/>
        </w:rPr>
        <w:t xml:space="preserve">  </w:t>
      </w:r>
      <w:r>
        <w:rPr>
          <w:b/>
          <w:bCs/>
          <w:spacing w:val="-1"/>
          <w:sz w:val="36"/>
          <w:szCs w:val="36"/>
        </w:rPr>
        <w:t>软件需求规格说明</w:t>
      </w:r>
    </w:p>
    <w:p w14:paraId="2698806B">
      <w:pPr>
        <w:spacing w:line="328" w:lineRule="auto"/>
        <w:rPr>
          <w:rFonts w:ascii="Arial"/>
          <w:sz w:val="21"/>
        </w:rPr>
      </w:pPr>
    </w:p>
    <w:p w14:paraId="536B85CF">
      <w:pPr>
        <w:pStyle w:val="2"/>
        <w:spacing w:before="91" w:line="225"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军用软件</w:t>
      </w:r>
      <w:r>
        <w:rPr>
          <w:rFonts w:ascii="楷体" w:hAnsi="楷体" w:eastAsia="楷体" w:cs="楷体"/>
          <w:spacing w:val="-11"/>
          <w:sz w:val="28"/>
          <w:szCs w:val="28"/>
        </w:rPr>
        <w:t>开发文档通用要求》编写。</w:t>
      </w:r>
    </w:p>
    <w:p w14:paraId="347F8FEF">
      <w:pPr>
        <w:spacing w:before="88"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276272B7">
      <w:pPr>
        <w:spacing w:before="103" w:line="222" w:lineRule="auto"/>
        <w:rPr>
          <w:rFonts w:ascii="黑体" w:hAnsi="黑体" w:eastAsia="黑体" w:cs="黑体"/>
          <w:sz w:val="25"/>
          <w:szCs w:val="25"/>
        </w:rPr>
      </w:pPr>
      <w:r>
        <w:rPr>
          <w:rFonts w:ascii="黑体" w:hAnsi="黑体" w:eastAsia="黑体" w:cs="黑体"/>
          <w:spacing w:val="3"/>
          <w:sz w:val="25"/>
          <w:szCs w:val="25"/>
        </w:rPr>
        <w:t>1.1</w:t>
      </w:r>
      <w:r>
        <w:rPr>
          <w:rFonts w:ascii="黑体" w:hAnsi="黑体" w:eastAsia="黑体" w:cs="黑体"/>
          <w:spacing w:val="60"/>
          <w:sz w:val="25"/>
          <w:szCs w:val="25"/>
        </w:rPr>
        <w:t xml:space="preserve">  </w:t>
      </w:r>
      <w:r>
        <w:rPr>
          <w:rFonts w:ascii="黑体" w:hAnsi="黑体" w:eastAsia="黑体" w:cs="黑体"/>
          <w:b/>
          <w:bCs/>
          <w:spacing w:val="3"/>
          <w:sz w:val="25"/>
          <w:szCs w:val="25"/>
        </w:rPr>
        <w:t>标识</w:t>
      </w:r>
    </w:p>
    <w:p w14:paraId="2222BF24">
      <w:pPr>
        <w:pStyle w:val="2"/>
        <w:spacing w:before="83" w:line="282" w:lineRule="auto"/>
        <w:ind w:firstLine="560"/>
      </w:pPr>
      <w:r>
        <w:t>本条应描述本文档所适用系统和软件的完整标识，适用时，包括其标识号、</w:t>
      </w:r>
      <w:r>
        <w:rPr>
          <w:spacing w:val="14"/>
        </w:rPr>
        <w:t xml:space="preserve"> </w:t>
      </w:r>
      <w:r>
        <w:rPr>
          <w:spacing w:val="-16"/>
        </w:rPr>
        <w:t>名称、缩略名、版本号和发布号。</w:t>
      </w:r>
    </w:p>
    <w:p w14:paraId="7461493C">
      <w:pPr>
        <w:spacing w:before="1" w:line="220"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26"/>
          <w:sz w:val="27"/>
          <w:szCs w:val="27"/>
        </w:rPr>
        <w:t xml:space="preserve">  </w:t>
      </w:r>
      <w:r>
        <w:rPr>
          <w:rFonts w:ascii="黑体" w:hAnsi="黑体" w:eastAsia="黑体" w:cs="黑体"/>
          <w:b/>
          <w:bCs/>
          <w:spacing w:val="-7"/>
          <w:sz w:val="27"/>
          <w:szCs w:val="27"/>
        </w:rPr>
        <w:t>系统概述</w:t>
      </w:r>
    </w:p>
    <w:p w14:paraId="1D70BAE2">
      <w:pPr>
        <w:pStyle w:val="2"/>
        <w:spacing w:before="82" w:line="277" w:lineRule="auto"/>
        <w:ind w:right="113" w:firstLine="560"/>
        <w:jc w:val="both"/>
      </w:pPr>
      <w:r>
        <w:rPr>
          <w:spacing w:val="5"/>
        </w:rPr>
        <w:t>本条应概述本文档所适用的系统和软件的用途。它还应描述系统与软件的</w:t>
      </w:r>
      <w:r>
        <w:rPr>
          <w:spacing w:val="10"/>
        </w:rPr>
        <w:t xml:space="preserve"> </w:t>
      </w:r>
      <w:r>
        <w:rPr>
          <w:spacing w:val="-10"/>
        </w:rPr>
        <w:t>一般特性；概述系统开发、运行和维护的历史；标识项目的需方、用户、开发方和</w:t>
      </w:r>
      <w:r>
        <w:rPr>
          <w:spacing w:val="10"/>
        </w:rPr>
        <w:t xml:space="preserve"> </w:t>
      </w:r>
      <w:r>
        <w:rPr>
          <w:spacing w:val="-6"/>
        </w:rPr>
        <w:t>保障机构等；标识当前和计划的运行现场；列出其他有关文档。</w:t>
      </w:r>
    </w:p>
    <w:p w14:paraId="25AC97B9">
      <w:pPr>
        <w:spacing w:before="1" w:line="220" w:lineRule="auto"/>
        <w:rPr>
          <w:rFonts w:ascii="黑体" w:hAnsi="黑体" w:eastAsia="黑体" w:cs="黑体"/>
          <w:sz w:val="27"/>
          <w:szCs w:val="27"/>
        </w:rPr>
      </w:pPr>
      <w:r>
        <w:rPr>
          <w:rFonts w:ascii="黑体" w:hAnsi="黑体" w:eastAsia="黑体" w:cs="黑体"/>
          <w:spacing w:val="-7"/>
          <w:sz w:val="27"/>
          <w:szCs w:val="27"/>
        </w:rPr>
        <w:t>1.3</w:t>
      </w:r>
      <w:r>
        <w:rPr>
          <w:rFonts w:ascii="黑体" w:hAnsi="黑体" w:eastAsia="黑体" w:cs="黑体"/>
          <w:spacing w:val="37"/>
          <w:sz w:val="27"/>
          <w:szCs w:val="27"/>
        </w:rPr>
        <w:t xml:space="preserve">  </w:t>
      </w:r>
      <w:r>
        <w:rPr>
          <w:rFonts w:ascii="黑体" w:hAnsi="黑体" w:eastAsia="黑体" w:cs="黑体"/>
          <w:b/>
          <w:bCs/>
          <w:spacing w:val="-7"/>
          <w:sz w:val="27"/>
          <w:szCs w:val="27"/>
        </w:rPr>
        <w:t>文档概述</w:t>
      </w:r>
    </w:p>
    <w:p w14:paraId="3A73DFF0">
      <w:pPr>
        <w:pStyle w:val="2"/>
        <w:spacing w:before="101" w:line="276" w:lineRule="auto"/>
        <w:ind w:right="113" w:firstLine="560"/>
      </w:pPr>
      <w:r>
        <w:rPr>
          <w:spacing w:val="14"/>
        </w:rPr>
        <w:t>本条应概述本文档的用途和内容，描述与它的使用有关的保密性方面的</w:t>
      </w:r>
      <w:r>
        <w:rPr>
          <w:spacing w:val="6"/>
        </w:rPr>
        <w:t xml:space="preserve"> </w:t>
      </w:r>
      <w:r>
        <w:rPr>
          <w:spacing w:val="-4"/>
        </w:rPr>
        <w:t>要求。</w:t>
      </w:r>
    </w:p>
    <w:p w14:paraId="6CED8942">
      <w:pPr>
        <w:spacing w:before="1" w:line="221"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20"/>
          <w:sz w:val="27"/>
          <w:szCs w:val="27"/>
        </w:rPr>
        <w:t xml:space="preserve">  </w:t>
      </w:r>
      <w:r>
        <w:rPr>
          <w:rFonts w:ascii="黑体" w:hAnsi="黑体" w:eastAsia="黑体" w:cs="黑体"/>
          <w:b/>
          <w:bCs/>
          <w:sz w:val="27"/>
          <w:szCs w:val="27"/>
        </w:rPr>
        <w:t>引用文档</w:t>
      </w:r>
    </w:p>
    <w:p w14:paraId="69BE40BC">
      <w:pPr>
        <w:pStyle w:val="2"/>
        <w:spacing w:before="108" w:line="299" w:lineRule="auto"/>
        <w:ind w:right="122" w:firstLine="560"/>
        <w:rPr>
          <w:sz w:val="25"/>
          <w:szCs w:val="25"/>
        </w:rPr>
      </w:pPr>
      <w:r>
        <w:rPr>
          <w:spacing w:val="9"/>
          <w:sz w:val="25"/>
          <w:szCs w:val="25"/>
        </w:rPr>
        <w:t>本章应列出引用文档的编号、标题、编写单位、修订版及日期，还</w:t>
      </w:r>
      <w:r>
        <w:rPr>
          <w:spacing w:val="8"/>
          <w:sz w:val="25"/>
          <w:szCs w:val="25"/>
        </w:rPr>
        <w:t>应标识不能</w:t>
      </w:r>
      <w:r>
        <w:rPr>
          <w:sz w:val="25"/>
          <w:szCs w:val="25"/>
        </w:rPr>
        <w:t xml:space="preserve"> </w:t>
      </w:r>
      <w:r>
        <w:rPr>
          <w:spacing w:val="22"/>
          <w:sz w:val="25"/>
          <w:szCs w:val="25"/>
        </w:rPr>
        <w:t>通过正常采购活动得到的文档的来源。</w:t>
      </w:r>
    </w:p>
    <w:p w14:paraId="3FDFA85C">
      <w:pPr>
        <w:spacing w:line="223" w:lineRule="auto"/>
        <w:rPr>
          <w:rFonts w:ascii="黑体" w:hAnsi="黑体" w:eastAsia="黑体" w:cs="黑体"/>
          <w:sz w:val="27"/>
          <w:szCs w:val="27"/>
        </w:rPr>
      </w:pPr>
      <w:r>
        <w:rPr>
          <w:rFonts w:ascii="黑体" w:hAnsi="黑体" w:eastAsia="黑体" w:cs="黑体"/>
          <w:spacing w:val="-9"/>
          <w:sz w:val="27"/>
          <w:szCs w:val="27"/>
        </w:rPr>
        <w:t>3</w:t>
      </w:r>
      <w:r>
        <w:rPr>
          <w:rFonts w:ascii="黑体" w:hAnsi="黑体" w:eastAsia="黑体" w:cs="黑体"/>
          <w:spacing w:val="19"/>
          <w:sz w:val="27"/>
          <w:szCs w:val="27"/>
        </w:rPr>
        <w:t xml:space="preserve">  </w:t>
      </w:r>
      <w:r>
        <w:rPr>
          <w:rFonts w:ascii="黑体" w:hAnsi="黑体" w:eastAsia="黑体" w:cs="黑体"/>
          <w:b/>
          <w:bCs/>
          <w:spacing w:val="-9"/>
          <w:sz w:val="27"/>
          <w:szCs w:val="27"/>
        </w:rPr>
        <w:t>需求</w:t>
      </w:r>
    </w:p>
    <w:p w14:paraId="7FADF071">
      <w:pPr>
        <w:spacing w:before="80" w:line="221" w:lineRule="auto"/>
        <w:rPr>
          <w:rFonts w:ascii="黑体" w:hAnsi="黑体" w:eastAsia="黑体" w:cs="黑体"/>
          <w:sz w:val="27"/>
          <w:szCs w:val="27"/>
        </w:rPr>
      </w:pPr>
      <w:r>
        <w:rPr>
          <w:rFonts w:ascii="黑体" w:hAnsi="黑体" w:eastAsia="黑体" w:cs="黑体"/>
          <w:sz w:val="27"/>
          <w:szCs w:val="27"/>
        </w:rPr>
        <w:t>3.1</w:t>
      </w:r>
      <w:r>
        <w:rPr>
          <w:rFonts w:ascii="黑体" w:hAnsi="黑体" w:eastAsia="黑体" w:cs="黑体"/>
          <w:spacing w:val="38"/>
          <w:sz w:val="27"/>
          <w:szCs w:val="27"/>
        </w:rPr>
        <w:t xml:space="preserve">  </w:t>
      </w:r>
      <w:r>
        <w:rPr>
          <w:rFonts w:ascii="黑体" w:hAnsi="黑体" w:eastAsia="黑体" w:cs="黑体"/>
          <w:b/>
          <w:bCs/>
          <w:sz w:val="27"/>
          <w:szCs w:val="27"/>
        </w:rPr>
        <w:t>要求的状态和方式</w:t>
      </w:r>
    </w:p>
    <w:p w14:paraId="51656078">
      <w:pPr>
        <w:pStyle w:val="2"/>
        <w:spacing w:before="91" w:line="276" w:lineRule="auto"/>
        <w:ind w:right="120" w:firstLine="560"/>
        <w:jc w:val="both"/>
      </w:pPr>
      <w:r>
        <w:rPr>
          <w:spacing w:val="6"/>
        </w:rPr>
        <w:t>如果要求</w:t>
      </w:r>
      <w:r>
        <w:rPr>
          <w:spacing w:val="-56"/>
        </w:rPr>
        <w:t xml:space="preserve"> </w:t>
      </w:r>
      <w:r>
        <w:rPr>
          <w:rFonts w:ascii="Times New Roman" w:hAnsi="Times New Roman" w:eastAsia="Times New Roman" w:cs="Times New Roman"/>
        </w:rPr>
        <w:t>CSCI</w:t>
      </w:r>
      <w:r>
        <w:rPr>
          <w:rFonts w:ascii="Times New Roman" w:hAnsi="Times New Roman" w:eastAsia="Times New Roman" w:cs="Times New Roman"/>
          <w:spacing w:val="53"/>
        </w:rPr>
        <w:t xml:space="preserve"> </w:t>
      </w:r>
      <w:r>
        <w:rPr>
          <w:spacing w:val="6"/>
        </w:rPr>
        <w:t>在多种状态或方式下运行，并且不同的状态或方式具有不</w:t>
      </w:r>
      <w:r>
        <w:t xml:space="preserve"> </w:t>
      </w:r>
      <w:r>
        <w:rPr>
          <w:spacing w:val="-3"/>
        </w:rPr>
        <w:t>同的需求，则应标识和定义每一状态和方式。状态和方式的例子包括：空闲、就</w:t>
      </w:r>
      <w:r>
        <w:rPr>
          <w:spacing w:val="16"/>
        </w:rPr>
        <w:t xml:space="preserve"> </w:t>
      </w:r>
      <w:r>
        <w:rPr>
          <w:spacing w:val="-17"/>
        </w:rPr>
        <w:t>绪、活动、事后分析、训练、降级、紧急情况、后备、战时和平时等。可以仅用状态</w:t>
      </w:r>
      <w:r>
        <w:t xml:space="preserve"> </w:t>
      </w:r>
      <w:r>
        <w:rPr>
          <w:spacing w:val="-1"/>
        </w:rPr>
        <w:t>描述</w:t>
      </w:r>
      <w:r>
        <w:rPr>
          <w:rFonts w:ascii="Times New Roman" w:hAnsi="Times New Roman" w:eastAsia="Times New Roman" w:cs="Times New Roman"/>
          <w:spacing w:val="-1"/>
        </w:rPr>
        <w:t>CSCI,</w:t>
      </w:r>
      <w:r>
        <w:rPr>
          <w:rFonts w:ascii="Times New Roman" w:hAnsi="Times New Roman" w:eastAsia="Times New Roman" w:cs="Times New Roman"/>
          <w:spacing w:val="35"/>
        </w:rPr>
        <w:t xml:space="preserve"> </w:t>
      </w:r>
      <w:r>
        <w:rPr>
          <w:spacing w:val="-1"/>
        </w:rPr>
        <w:t>也可仅用方式、用方式中的状态、状态中的</w:t>
      </w:r>
      <w:r>
        <w:rPr>
          <w:spacing w:val="-2"/>
        </w:rPr>
        <w:t>方式、或其他有效的方式</w:t>
      </w:r>
    </w:p>
    <w:p w14:paraId="6BA19497">
      <w:pPr>
        <w:spacing w:line="276" w:lineRule="auto"/>
        <w:sectPr>
          <w:footerReference r:id="rId226" w:type="default"/>
          <w:pgSz w:w="11910" w:h="17130"/>
          <w:pgMar w:top="1351" w:right="1114" w:bottom="1723" w:left="1309" w:header="0" w:footer="1524" w:gutter="0"/>
          <w:cols w:space="720" w:num="1"/>
        </w:sectPr>
      </w:pPr>
    </w:p>
    <w:p w14:paraId="2E44E8F8">
      <w:pPr>
        <w:pStyle w:val="2"/>
        <w:spacing w:before="52" w:line="285" w:lineRule="auto"/>
        <w:ind w:right="111"/>
        <w:jc w:val="both"/>
      </w:pPr>
      <w:r>
        <w:rPr>
          <w:spacing w:val="-1"/>
        </w:rPr>
        <w:t xml:space="preserve">描述 </w:t>
      </w:r>
      <w:r>
        <w:rPr>
          <w:rFonts w:ascii="Times New Roman" w:hAnsi="Times New Roman" w:eastAsia="Times New Roman" w:cs="Times New Roman"/>
          <w:spacing w:val="-1"/>
        </w:rPr>
        <w:t>CSCI</w:t>
      </w:r>
      <w:r>
        <w:rPr>
          <w:rFonts w:ascii="Times New Roman" w:hAnsi="Times New Roman" w:eastAsia="Times New Roman" w:cs="Times New Roman"/>
          <w:spacing w:val="-30"/>
        </w:rPr>
        <w:t xml:space="preserve"> </w:t>
      </w:r>
      <w:r>
        <w:rPr>
          <w:spacing w:val="-1"/>
        </w:rPr>
        <w:t>。如果不需要多种状态和方式，应如</w:t>
      </w:r>
      <w:r>
        <w:rPr>
          <w:spacing w:val="-2"/>
        </w:rPr>
        <w:t>实陈述，而不需要进行人为的区</w:t>
      </w:r>
      <w:r>
        <w:t xml:space="preserve"> </w:t>
      </w:r>
      <w:r>
        <w:rPr>
          <w:spacing w:val="1"/>
        </w:rPr>
        <w:t>分；如果需要多种状态和/或方式，应使本规格说明中的每个需求或每组需求与</w:t>
      </w:r>
      <w:r>
        <w:rPr>
          <w:spacing w:val="10"/>
        </w:rPr>
        <w:t xml:space="preserve"> </w:t>
      </w:r>
      <w:r>
        <w:rPr>
          <w:spacing w:val="-3"/>
        </w:rPr>
        <w:t>这些状态和方式相对应，对应关系可以在本条或本条所引用的附录中，通过表格</w:t>
      </w:r>
      <w:r>
        <w:rPr>
          <w:spacing w:val="5"/>
        </w:rPr>
        <w:t xml:space="preserve"> </w:t>
      </w:r>
      <w:r>
        <w:rPr>
          <w:spacing w:val="-1"/>
        </w:rPr>
        <w:t>或其他方法加以指明，也可以在该需求出现的章条中加以说明。</w:t>
      </w:r>
    </w:p>
    <w:p w14:paraId="4F4AF1AA">
      <w:pPr>
        <w:spacing w:line="221" w:lineRule="auto"/>
        <w:rPr>
          <w:rFonts w:ascii="黑体" w:hAnsi="黑体" w:eastAsia="黑体" w:cs="黑体"/>
          <w:sz w:val="25"/>
          <w:szCs w:val="25"/>
        </w:rPr>
      </w:pPr>
      <w:r>
        <w:rPr>
          <w:rFonts w:ascii="黑体" w:hAnsi="黑体" w:eastAsia="黑体" w:cs="黑体"/>
          <w:spacing w:val="10"/>
          <w:sz w:val="25"/>
          <w:szCs w:val="25"/>
        </w:rPr>
        <w:t>3.2</w:t>
      </w:r>
      <w:r>
        <w:rPr>
          <w:rFonts w:ascii="黑体" w:hAnsi="黑体" w:eastAsia="黑体" w:cs="黑体"/>
          <w:spacing w:val="37"/>
          <w:sz w:val="25"/>
          <w:szCs w:val="25"/>
        </w:rPr>
        <w:t xml:space="preserve">  </w:t>
      </w:r>
      <w:r>
        <w:rPr>
          <w:rFonts w:ascii="Times New Roman" w:hAnsi="Times New Roman" w:eastAsia="Times New Roman" w:cs="Times New Roman"/>
          <w:b/>
          <w:bCs/>
          <w:sz w:val="25"/>
          <w:szCs w:val="25"/>
        </w:rPr>
        <w:t>CSCI</w:t>
      </w:r>
      <w:r>
        <w:rPr>
          <w:rFonts w:ascii="Times New Roman" w:hAnsi="Times New Roman" w:eastAsia="Times New Roman" w:cs="Times New Roman"/>
          <w:b/>
          <w:bCs/>
          <w:spacing w:val="10"/>
          <w:sz w:val="25"/>
          <w:szCs w:val="25"/>
        </w:rPr>
        <w:t xml:space="preserve"> </w:t>
      </w:r>
      <w:r>
        <w:rPr>
          <w:rFonts w:ascii="黑体" w:hAnsi="黑体" w:eastAsia="黑体" w:cs="黑体"/>
          <w:b/>
          <w:bCs/>
          <w:spacing w:val="10"/>
          <w:sz w:val="25"/>
          <w:szCs w:val="25"/>
        </w:rPr>
        <w:t>能力需求</w:t>
      </w:r>
    </w:p>
    <w:p w14:paraId="335967CD">
      <w:pPr>
        <w:pStyle w:val="2"/>
        <w:spacing w:before="86" w:line="279" w:lineRule="auto"/>
        <w:ind w:right="125" w:firstLine="560"/>
        <w:jc w:val="both"/>
      </w:pPr>
      <w:r>
        <w:rPr>
          <w:spacing w:val="2"/>
        </w:rPr>
        <w:t>为详细说明与</w:t>
      </w:r>
      <w:r>
        <w:rPr>
          <w:spacing w:val="-61"/>
        </w:rPr>
        <w:t xml:space="preserve"> </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2"/>
        </w:rPr>
        <w:t>各个能力相关的需求，本条可分为若干子条。“</w:t>
      </w:r>
      <w:r>
        <w:rPr>
          <w:rFonts w:ascii="Times New Roman" w:hAnsi="Times New Roman" w:eastAsia="Times New Roman" w:cs="Times New Roman"/>
        </w:rPr>
        <w:t xml:space="preserve">CSCI  </w:t>
      </w:r>
      <w:r>
        <w:rPr>
          <w:spacing w:val="-36"/>
        </w:rPr>
        <w:t>能力需求”中的“能力”为一组相关需求，可用“功能”、“主</w:t>
      </w:r>
      <w:r>
        <w:rPr>
          <w:spacing w:val="-37"/>
        </w:rPr>
        <w:t>题”、“对象”、或其他适</w:t>
      </w:r>
      <w:r>
        <w:t xml:space="preserve"> </w:t>
      </w:r>
      <w:r>
        <w:rPr>
          <w:spacing w:val="1"/>
        </w:rPr>
        <w:t>合表示需求的词替代。</w:t>
      </w:r>
    </w:p>
    <w:p w14:paraId="3B649953">
      <w:pPr>
        <w:spacing w:line="221" w:lineRule="auto"/>
        <w:rPr>
          <w:rFonts w:ascii="黑体" w:hAnsi="黑体" w:eastAsia="黑体" w:cs="黑体"/>
          <w:sz w:val="27"/>
          <w:szCs w:val="27"/>
        </w:rPr>
      </w:pPr>
      <w:r>
        <w:rPr>
          <w:rFonts w:ascii="Times New Roman" w:hAnsi="Times New Roman" w:eastAsia="Times New Roman" w:cs="Times New Roman"/>
          <w:spacing w:val="3"/>
          <w:sz w:val="27"/>
          <w:szCs w:val="27"/>
        </w:rPr>
        <w:t>3.2.X</w:t>
      </w:r>
      <w:r>
        <w:rPr>
          <w:rFonts w:ascii="Times New Roman" w:hAnsi="Times New Roman" w:eastAsia="Times New Roman" w:cs="Times New Roman"/>
          <w:spacing w:val="6"/>
          <w:sz w:val="27"/>
          <w:szCs w:val="27"/>
        </w:rPr>
        <w:t xml:space="preserve">      </w:t>
      </w:r>
      <w:r>
        <w:rPr>
          <w:rFonts w:ascii="黑体" w:hAnsi="黑体" w:eastAsia="黑体" w:cs="黑体"/>
          <w:b/>
          <w:bCs/>
          <w:spacing w:val="3"/>
          <w:sz w:val="27"/>
          <w:szCs w:val="27"/>
        </w:rPr>
        <w:t>(</w:t>
      </w:r>
      <w:r>
        <w:rPr>
          <w:rFonts w:ascii="Times New Roman" w:hAnsi="Times New Roman" w:eastAsia="Times New Roman" w:cs="Times New Roman"/>
          <w:b/>
          <w:bCs/>
          <w:sz w:val="27"/>
          <w:szCs w:val="27"/>
        </w:rPr>
        <w:t>CSCI</w:t>
      </w:r>
      <w:r>
        <w:rPr>
          <w:rFonts w:ascii="黑体" w:hAnsi="黑体" w:eastAsia="黑体" w:cs="黑体"/>
          <w:b/>
          <w:bCs/>
          <w:spacing w:val="3"/>
          <w:sz w:val="27"/>
          <w:szCs w:val="27"/>
        </w:rPr>
        <w:t>能力)</w:t>
      </w:r>
    </w:p>
    <w:p w14:paraId="1FF91FF7">
      <w:pPr>
        <w:pStyle w:val="2"/>
        <w:spacing w:before="71" w:line="280" w:lineRule="auto"/>
        <w:ind w:firstLine="560"/>
        <w:jc w:val="both"/>
      </w:pPr>
      <w:r>
        <w:rPr>
          <w:spacing w:val="7"/>
        </w:rPr>
        <w:t>本条应标识必需的每一</w:t>
      </w:r>
      <w:r>
        <w:rPr>
          <w:spacing w:val="-60"/>
        </w:rPr>
        <w:t xml:space="preserve"> </w:t>
      </w:r>
      <w:r>
        <w:rPr>
          <w:rFonts w:ascii="Times New Roman" w:hAnsi="Times New Roman" w:eastAsia="Times New Roman" w:cs="Times New Roman"/>
        </w:rPr>
        <w:t>CSCI</w:t>
      </w:r>
      <w:r>
        <w:rPr>
          <w:rFonts w:ascii="Times New Roman" w:hAnsi="Times New Roman" w:eastAsia="Times New Roman" w:cs="Times New Roman"/>
          <w:spacing w:val="43"/>
        </w:rPr>
        <w:t xml:space="preserve"> </w:t>
      </w:r>
      <w:r>
        <w:rPr>
          <w:spacing w:val="7"/>
        </w:rPr>
        <w:t>能力，并详细说明与该能力有关的需求。如</w:t>
      </w:r>
      <w:r>
        <w:t xml:space="preserve"> </w:t>
      </w:r>
      <w:r>
        <w:rPr>
          <w:spacing w:val="5"/>
        </w:rPr>
        <w:t>果该能力可以更清晰地分解成若干子能力，则应分条对子能力进行说明。需求</w:t>
      </w:r>
      <w:r>
        <w:t xml:space="preserve">  </w:t>
      </w:r>
      <w:r>
        <w:rPr>
          <w:spacing w:val="-7"/>
        </w:rPr>
        <w:t>应详细说明所需的</w:t>
      </w:r>
      <w:r>
        <w:rPr>
          <w:rFonts w:ascii="Times New Roman" w:hAnsi="Times New Roman" w:eastAsia="Times New Roman" w:cs="Times New Roman"/>
          <w:spacing w:val="-7"/>
        </w:rPr>
        <w:t>CSCI</w:t>
      </w:r>
      <w:r>
        <w:rPr>
          <w:rFonts w:ascii="Times New Roman" w:hAnsi="Times New Roman" w:eastAsia="Times New Roman" w:cs="Times New Roman"/>
          <w:spacing w:val="35"/>
        </w:rPr>
        <w:t xml:space="preserve"> </w:t>
      </w:r>
      <w:r>
        <w:rPr>
          <w:spacing w:val="-7"/>
        </w:rPr>
        <w:t>行为，包括适用的参数，如响应时间、吞吐时间、其他时</w:t>
      </w:r>
      <w:r>
        <w:t xml:space="preserve">  </w:t>
      </w:r>
      <w:r>
        <w:rPr>
          <w:spacing w:val="-10"/>
        </w:rPr>
        <w:t>限约束、时序、精度、容量、优先级别、连续运行需求和在基本运行条件下允许的</w:t>
      </w:r>
      <w:r>
        <w:t xml:space="preserve"> </w:t>
      </w:r>
      <w:r>
        <w:rPr>
          <w:spacing w:val="-7"/>
        </w:rPr>
        <w:t>偏差；适当时，需求还应包括在异常条件、非许可条件或超限条件下所需的行为，</w:t>
      </w:r>
      <w:r>
        <w:rPr>
          <w:spacing w:val="5"/>
        </w:rPr>
        <w:t xml:space="preserve"> </w:t>
      </w:r>
      <w:r>
        <w:rPr>
          <w:spacing w:val="17"/>
        </w:rPr>
        <w:t>错误处理需求和任何为保证在紧急时刻运行的连续性而引入到</w:t>
      </w:r>
      <w:r>
        <w:rPr>
          <w:rFonts w:ascii="Times New Roman" w:hAnsi="Times New Roman" w:eastAsia="Times New Roman" w:cs="Times New Roman"/>
        </w:rPr>
        <w:t>CSCI</w:t>
      </w:r>
      <w:r>
        <w:rPr>
          <w:rFonts w:ascii="Times New Roman" w:hAnsi="Times New Roman" w:eastAsia="Times New Roman" w:cs="Times New Roman"/>
          <w:spacing w:val="2"/>
        </w:rPr>
        <w:t xml:space="preserve">  </w:t>
      </w:r>
      <w:r>
        <w:rPr>
          <w:spacing w:val="17"/>
        </w:rPr>
        <w:t>中的规</w:t>
      </w:r>
      <w:r>
        <w:t xml:space="preserve">  </w:t>
      </w:r>
      <w:r>
        <w:rPr>
          <w:spacing w:val="1"/>
        </w:rPr>
        <w:t>定。在确定与</w:t>
      </w:r>
      <w:r>
        <w:rPr>
          <w:spacing w:val="-53"/>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1"/>
        </w:rPr>
        <w:t>所接收的输入和</w:t>
      </w:r>
      <w:r>
        <w:rPr>
          <w:spacing w:val="-78"/>
        </w:rPr>
        <w:t xml:space="preserve"> </w:t>
      </w:r>
      <w:r>
        <w:rPr>
          <w:rFonts w:ascii="Times New Roman" w:hAnsi="Times New Roman" w:eastAsia="Times New Roman" w:cs="Times New Roman"/>
        </w:rPr>
        <w:t>CSCI</w:t>
      </w:r>
      <w:r>
        <w:rPr>
          <w:rFonts w:ascii="Times New Roman" w:hAnsi="Times New Roman" w:eastAsia="Times New Roman" w:cs="Times New Roman"/>
          <w:spacing w:val="1"/>
        </w:rPr>
        <w:t xml:space="preserve"> </w:t>
      </w:r>
      <w:r>
        <w:rPr>
          <w:spacing w:val="1"/>
        </w:rPr>
        <w:t>所产生的输出有关的需求时，应考虑</w:t>
      </w:r>
      <w:r>
        <w:t xml:space="preserve"> </w:t>
      </w:r>
      <w:r>
        <w:rPr>
          <w:spacing w:val="6"/>
        </w:rPr>
        <w:t>在3.3.</w:t>
      </w:r>
      <w:r>
        <w:rPr>
          <w:rFonts w:ascii="Times New Roman" w:hAnsi="Times New Roman" w:eastAsia="Times New Roman" w:cs="Times New Roman"/>
          <w:spacing w:val="6"/>
        </w:rPr>
        <w:t xml:space="preserve">X </w:t>
      </w:r>
      <w:r>
        <w:rPr>
          <w:spacing w:val="6"/>
        </w:rPr>
        <w:t>给出的要考虑的主题列表。</w:t>
      </w:r>
    </w:p>
    <w:p w14:paraId="6372770F">
      <w:pPr>
        <w:spacing w:line="222" w:lineRule="auto"/>
        <w:rPr>
          <w:rFonts w:ascii="黑体" w:hAnsi="黑体" w:eastAsia="黑体" w:cs="黑体"/>
          <w:sz w:val="27"/>
          <w:szCs w:val="27"/>
        </w:rPr>
      </w:pPr>
      <w:r>
        <w:rPr>
          <w:rFonts w:ascii="黑体" w:hAnsi="黑体" w:eastAsia="黑体" w:cs="黑体"/>
          <w:spacing w:val="-4"/>
          <w:sz w:val="27"/>
          <w:szCs w:val="27"/>
        </w:rPr>
        <w:t>3.3</w:t>
      </w:r>
      <w:r>
        <w:rPr>
          <w:rFonts w:ascii="黑体" w:hAnsi="黑体" w:eastAsia="黑体" w:cs="黑体"/>
          <w:spacing w:val="23"/>
          <w:sz w:val="27"/>
          <w:szCs w:val="27"/>
        </w:rPr>
        <w:t xml:space="preserve">  </w:t>
      </w:r>
      <w:r>
        <w:rPr>
          <w:rFonts w:ascii="Times New Roman" w:hAnsi="Times New Roman" w:eastAsia="Times New Roman" w:cs="Times New Roman"/>
          <w:b/>
          <w:bCs/>
          <w:spacing w:val="-4"/>
          <w:sz w:val="27"/>
          <w:szCs w:val="27"/>
        </w:rPr>
        <w:t>CSCI</w:t>
      </w:r>
      <w:r>
        <w:rPr>
          <w:rFonts w:ascii="Times New Roman" w:hAnsi="Times New Roman" w:eastAsia="Times New Roman" w:cs="Times New Roman"/>
          <w:b/>
          <w:bCs/>
          <w:spacing w:val="-19"/>
          <w:sz w:val="27"/>
          <w:szCs w:val="27"/>
        </w:rPr>
        <w:t xml:space="preserve"> </w:t>
      </w:r>
      <w:r>
        <w:rPr>
          <w:rFonts w:ascii="黑体" w:hAnsi="黑体" w:eastAsia="黑体" w:cs="黑体"/>
          <w:b/>
          <w:bCs/>
          <w:spacing w:val="-4"/>
          <w:sz w:val="27"/>
          <w:szCs w:val="27"/>
        </w:rPr>
        <w:t>外部接口需求</w:t>
      </w:r>
    </w:p>
    <w:p w14:paraId="00B23A74">
      <w:pPr>
        <w:pStyle w:val="2"/>
        <w:spacing w:before="89" w:line="272" w:lineRule="auto"/>
        <w:ind w:right="103" w:firstLine="560"/>
      </w:pPr>
      <w:r>
        <w:rPr>
          <w:spacing w:val="9"/>
        </w:rPr>
        <w:t>本条可分为若干个小条来规定关于</w:t>
      </w:r>
      <w:r>
        <w:rPr>
          <w:rFonts w:ascii="Times New Roman" w:hAnsi="Times New Roman" w:eastAsia="Times New Roman" w:cs="Times New Roman"/>
        </w:rPr>
        <w:t>CSCI</w:t>
      </w:r>
      <w:r>
        <w:rPr>
          <w:rFonts w:ascii="Times New Roman" w:hAnsi="Times New Roman" w:eastAsia="Times New Roman" w:cs="Times New Roman"/>
          <w:spacing w:val="52"/>
          <w:w w:val="101"/>
        </w:rPr>
        <w:t xml:space="preserve"> </w:t>
      </w:r>
      <w:r>
        <w:rPr>
          <w:spacing w:val="9"/>
        </w:rPr>
        <w:t>的外部接口</w:t>
      </w:r>
      <w:r>
        <w:rPr>
          <w:spacing w:val="8"/>
        </w:rPr>
        <w:t>的需求(若有)。本条</w:t>
      </w:r>
      <w:r>
        <w:t xml:space="preserve"> </w:t>
      </w:r>
      <w:r>
        <w:rPr>
          <w:spacing w:val="2"/>
        </w:rPr>
        <w:t>可引用一个或多个接口需求规格说明(</w:t>
      </w:r>
      <w:r>
        <w:rPr>
          <w:spacing w:val="-58"/>
        </w:rPr>
        <w:t xml:space="preserve"> </w:t>
      </w:r>
      <w:r>
        <w:rPr>
          <w:rFonts w:ascii="Times New Roman" w:hAnsi="Times New Roman" w:eastAsia="Times New Roman" w:cs="Times New Roman"/>
        </w:rPr>
        <w:t>IRS</w:t>
      </w:r>
      <w:r>
        <w:rPr>
          <w:rFonts w:ascii="Times New Roman" w:hAnsi="Times New Roman" w:eastAsia="Times New Roman" w:cs="Times New Roman"/>
          <w:spacing w:val="2"/>
        </w:rPr>
        <w:t xml:space="preserve">) </w:t>
      </w:r>
      <w:r>
        <w:rPr>
          <w:spacing w:val="2"/>
        </w:rPr>
        <w:t>或包含这些需求的其他文档。</w:t>
      </w:r>
    </w:p>
    <w:p w14:paraId="02A92F13">
      <w:pPr>
        <w:spacing w:before="11" w:line="222" w:lineRule="auto"/>
        <w:rPr>
          <w:rFonts w:ascii="黑体" w:hAnsi="黑体" w:eastAsia="黑体" w:cs="黑体"/>
          <w:sz w:val="27"/>
          <w:szCs w:val="27"/>
        </w:rPr>
      </w:pPr>
      <w:r>
        <w:rPr>
          <w:rFonts w:ascii="黑体" w:hAnsi="黑体" w:eastAsia="黑体" w:cs="黑体"/>
          <w:spacing w:val="-1"/>
          <w:sz w:val="27"/>
          <w:szCs w:val="27"/>
        </w:rPr>
        <w:t>3.3.1</w:t>
      </w:r>
      <w:r>
        <w:rPr>
          <w:rFonts w:ascii="黑体" w:hAnsi="黑体" w:eastAsia="黑体" w:cs="黑体"/>
          <w:spacing w:val="27"/>
          <w:sz w:val="27"/>
          <w:szCs w:val="27"/>
        </w:rPr>
        <w:t xml:space="preserve">  </w:t>
      </w:r>
      <w:r>
        <w:rPr>
          <w:rFonts w:ascii="黑体" w:hAnsi="黑体" w:eastAsia="黑体" w:cs="黑体"/>
          <w:b/>
          <w:bCs/>
          <w:spacing w:val="-1"/>
          <w:sz w:val="27"/>
          <w:szCs w:val="27"/>
        </w:rPr>
        <w:t>接口标识和接口图</w:t>
      </w:r>
    </w:p>
    <w:p w14:paraId="2A8C1B09">
      <w:pPr>
        <w:pStyle w:val="2"/>
        <w:spacing w:before="108" w:line="271" w:lineRule="auto"/>
        <w:ind w:right="105" w:firstLine="560"/>
        <w:jc w:val="both"/>
      </w:pPr>
      <w:r>
        <w:rPr>
          <w:spacing w:val="3"/>
        </w:rPr>
        <w:t>本条应标识所需要的</w:t>
      </w:r>
      <w:r>
        <w:rPr>
          <w:spacing w:val="-76"/>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3"/>
        </w:rPr>
        <w:t>外部接口(即，与涉及共享、提</w:t>
      </w:r>
      <w:r>
        <w:rPr>
          <w:spacing w:val="2"/>
        </w:rPr>
        <w:t>供或交换数据的</w:t>
      </w:r>
      <w:r>
        <w:t xml:space="preserve"> </w:t>
      </w:r>
      <w:r>
        <w:rPr>
          <w:spacing w:val="1"/>
        </w:rPr>
        <w:t>其他实体的关系)。每一个接口的标识应包括项目唯一的标识符，(若适用)</w:t>
      </w:r>
      <w:r>
        <w:t xml:space="preserve">应通 </w:t>
      </w:r>
      <w:r>
        <w:rPr>
          <w:spacing w:val="-10"/>
        </w:rPr>
        <w:t>过名称、编号、版本、引用文档来指明接口实体(系统、配置项、用户等)。该标识</w:t>
      </w:r>
      <w:r>
        <w:rPr>
          <w:spacing w:val="4"/>
        </w:rPr>
        <w:t xml:space="preserve"> </w:t>
      </w:r>
      <w:r>
        <w:rPr>
          <w:spacing w:val="9"/>
        </w:rPr>
        <w:t>应声明哪些实体具有固定的接口特性(要给出这些接口实体的接口需求);说明</w:t>
      </w:r>
      <w:r>
        <w:rPr>
          <w:spacing w:val="8"/>
        </w:rPr>
        <w:t xml:space="preserve"> </w:t>
      </w:r>
      <w:r>
        <w:rPr>
          <w:spacing w:val="5"/>
        </w:rPr>
        <w:t>哪些实体正在开发或修改之中(这些实体已有各自的接口需求)。应</w:t>
      </w:r>
      <w:r>
        <w:rPr>
          <w:spacing w:val="4"/>
        </w:rPr>
        <w:t>该通过一张</w:t>
      </w:r>
      <w:r>
        <w:t xml:space="preserve"> </w:t>
      </w:r>
      <w:r>
        <w:rPr>
          <w:spacing w:val="2"/>
        </w:rPr>
        <w:t>或多张接口图来描述这些接口。</w:t>
      </w:r>
    </w:p>
    <w:p w14:paraId="15318953">
      <w:pPr>
        <w:spacing w:line="387" w:lineRule="exact"/>
        <w:rPr>
          <w:rFonts w:ascii="黑体" w:hAnsi="黑体" w:eastAsia="黑体" w:cs="黑体"/>
          <w:sz w:val="27"/>
          <w:szCs w:val="27"/>
        </w:rPr>
      </w:pPr>
      <w:r>
        <w:rPr>
          <w:rFonts w:ascii="黑体" w:hAnsi="黑体" w:eastAsia="黑体" w:cs="黑体"/>
          <w:spacing w:val="1"/>
          <w:position w:val="3"/>
          <w:sz w:val="27"/>
          <w:szCs w:val="27"/>
        </w:rPr>
        <w:t>3.3.</w:t>
      </w:r>
      <w:r>
        <w:rPr>
          <w:rFonts w:ascii="Arial" w:hAnsi="Arial" w:eastAsia="Arial" w:cs="Arial"/>
          <w:b/>
          <w:bCs/>
          <w:spacing w:val="1"/>
          <w:position w:val="3"/>
          <w:sz w:val="27"/>
          <w:szCs w:val="27"/>
        </w:rPr>
        <w:t xml:space="preserve">X    ( </w:t>
      </w:r>
      <w:r>
        <w:rPr>
          <w:rFonts w:ascii="黑体" w:hAnsi="黑体" w:eastAsia="黑体" w:cs="黑体"/>
          <w:b/>
          <w:bCs/>
          <w:spacing w:val="1"/>
          <w:position w:val="3"/>
          <w:sz w:val="27"/>
          <w:szCs w:val="27"/>
        </w:rPr>
        <w:t>接口的项目唯一的标识符)</w:t>
      </w:r>
    </w:p>
    <w:p w14:paraId="61970636">
      <w:pPr>
        <w:pStyle w:val="2"/>
        <w:spacing w:before="113" w:line="280" w:lineRule="auto"/>
        <w:ind w:right="70" w:firstLine="560"/>
        <w:jc w:val="both"/>
      </w:pPr>
      <w:r>
        <w:rPr>
          <w:spacing w:val="14"/>
        </w:rPr>
        <w:t>本条(从3.3.2开始)应通过项目唯一的标</w:t>
      </w:r>
      <w:r>
        <w:rPr>
          <w:spacing w:val="13"/>
        </w:rPr>
        <w:t>识符来标识</w:t>
      </w:r>
      <w:r>
        <w:rPr>
          <w:rFonts w:ascii="Times New Roman" w:hAnsi="Times New Roman" w:eastAsia="Times New Roman" w:cs="Times New Roman"/>
        </w:rPr>
        <w:t>CSCI</w:t>
      </w:r>
      <w:r>
        <w:rPr>
          <w:rFonts w:ascii="Times New Roman" w:hAnsi="Times New Roman" w:eastAsia="Times New Roman" w:cs="Times New Roman"/>
          <w:spacing w:val="43"/>
        </w:rPr>
        <w:t xml:space="preserve"> </w:t>
      </w:r>
      <w:r>
        <w:rPr>
          <w:spacing w:val="13"/>
        </w:rPr>
        <w:t>外部接口，应</w:t>
      </w:r>
      <w:r>
        <w:t xml:space="preserve"> </w:t>
      </w:r>
      <w:r>
        <w:rPr>
          <w:spacing w:val="9"/>
        </w:rPr>
        <w:t>简要地标识接口实体。视需要可分小条描述为实现该接口提出的该</w:t>
      </w:r>
      <w:r>
        <w:rPr>
          <w:rFonts w:ascii="Times New Roman" w:hAnsi="Times New Roman" w:eastAsia="Times New Roman" w:cs="Times New Roman"/>
        </w:rPr>
        <w:t>CSCI</w:t>
      </w:r>
      <w:r>
        <w:rPr>
          <w:rFonts w:ascii="Times New Roman" w:hAnsi="Times New Roman" w:eastAsia="Times New Roman" w:cs="Times New Roman"/>
          <w:spacing w:val="38"/>
          <w:w w:val="101"/>
        </w:rPr>
        <w:t xml:space="preserve"> </w:t>
      </w:r>
      <w:r>
        <w:rPr>
          <w:spacing w:val="9"/>
        </w:rPr>
        <w:t>的需</w:t>
      </w:r>
      <w:r>
        <w:t xml:space="preserve"> </w:t>
      </w:r>
      <w:r>
        <w:rPr>
          <w:spacing w:val="1"/>
        </w:rPr>
        <w:t>求。该接口所涉及的其他实体的接口特性应作为假定予以描述，或以“当[未涵</w:t>
      </w:r>
      <w:r>
        <w:rPr>
          <w:spacing w:val="7"/>
        </w:rPr>
        <w:t xml:space="preserve"> </w:t>
      </w:r>
      <w:r>
        <w:rPr>
          <w:spacing w:val="-5"/>
        </w:rPr>
        <w:t>盖的实体]这么做时，本</w:t>
      </w:r>
      <w:r>
        <w:rPr>
          <w:spacing w:val="-63"/>
        </w:rPr>
        <w:t xml:space="preserve"> </w:t>
      </w:r>
      <w:r>
        <w:rPr>
          <w:rFonts w:ascii="Times New Roman" w:hAnsi="Times New Roman" w:eastAsia="Times New Roman" w:cs="Times New Roman"/>
          <w:spacing w:val="-5"/>
        </w:rPr>
        <w:t>CSCI</w:t>
      </w:r>
      <w:r>
        <w:rPr>
          <w:rFonts w:ascii="Times New Roman" w:hAnsi="Times New Roman" w:eastAsia="Times New Roman" w:cs="Times New Roman"/>
          <w:spacing w:val="22"/>
          <w:w w:val="101"/>
        </w:rPr>
        <w:t xml:space="preserve"> </w:t>
      </w:r>
      <w:r>
        <w:rPr>
          <w:spacing w:val="-5"/>
        </w:rPr>
        <w:t>应该……”的形式加以叙述，而不作为针对其他实</w:t>
      </w:r>
      <w:r>
        <w:t xml:space="preserve"> </w:t>
      </w:r>
      <w:r>
        <w:rPr>
          <w:spacing w:val="-1"/>
        </w:rPr>
        <w:t>体的需求。本条可引用其他文档(例如数据</w:t>
      </w:r>
      <w:r>
        <w:rPr>
          <w:spacing w:val="-2"/>
        </w:rPr>
        <w:t>字典、通信协议标准、用户接口标准)</w:t>
      </w:r>
      <w:r>
        <w:t xml:space="preserve"> </w:t>
      </w:r>
      <w:r>
        <w:rPr>
          <w:spacing w:val="-3"/>
        </w:rPr>
        <w:t>代替在此所描述的信息。若适用，需求应包括如下内容，并以任何适合于需求的</w:t>
      </w:r>
    </w:p>
    <w:p w14:paraId="479DCFF7">
      <w:pPr>
        <w:spacing w:line="280" w:lineRule="auto"/>
        <w:sectPr>
          <w:footerReference r:id="rId227" w:type="default"/>
          <w:pgSz w:w="11910" w:h="17130"/>
          <w:pgMar w:top="1456" w:right="984" w:bottom="1586" w:left="1450" w:header="0" w:footer="1397" w:gutter="0"/>
          <w:cols w:space="720" w:num="1"/>
        </w:sectPr>
      </w:pPr>
    </w:p>
    <w:p w14:paraId="6163E78B">
      <w:pPr>
        <w:pStyle w:val="2"/>
        <w:spacing w:before="53" w:line="274" w:lineRule="auto"/>
        <w:ind w:right="114"/>
      </w:pPr>
      <w:r>
        <w:rPr>
          <w:spacing w:val="2"/>
        </w:rPr>
        <w:t>顺序给出，还应从接口实体的角度说明这些</w:t>
      </w:r>
      <w:r>
        <w:rPr>
          <w:spacing w:val="1"/>
        </w:rPr>
        <w:t>特性之间的区别(例如对数据元素的</w:t>
      </w:r>
      <w:r>
        <w:t xml:space="preserve"> </w:t>
      </w:r>
      <w:r>
        <w:rPr>
          <w:spacing w:val="-4"/>
        </w:rPr>
        <w:t>大小、频率或其他特性的不同期望值):</w:t>
      </w:r>
    </w:p>
    <w:p w14:paraId="7F010239">
      <w:pPr>
        <w:pStyle w:val="2"/>
        <w:spacing w:line="212" w:lineRule="auto"/>
        <w:ind w:left="550"/>
      </w:pPr>
      <w:r>
        <w:rPr>
          <w:rFonts w:ascii="Times New Roman" w:hAnsi="Times New Roman" w:eastAsia="Times New Roman" w:cs="Times New Roman"/>
        </w:rPr>
        <w:t>a)</w:t>
      </w:r>
      <w:r>
        <w:rPr>
          <w:rFonts w:ascii="Times New Roman" w:hAnsi="Times New Roman" w:eastAsia="Times New Roman" w:cs="Times New Roman"/>
          <w:spacing w:val="76"/>
        </w:rPr>
        <w:t xml:space="preserve"> </w:t>
      </w:r>
      <w:r>
        <w:rPr>
          <w:rFonts w:ascii="Times New Roman" w:hAnsi="Times New Roman" w:eastAsia="Times New Roman" w:cs="Times New Roman"/>
        </w:rPr>
        <w:t>CSCI</w:t>
      </w:r>
      <w:r>
        <w:rPr>
          <w:rFonts w:ascii="Times New Roman" w:hAnsi="Times New Roman" w:eastAsia="Times New Roman" w:cs="Times New Roman"/>
          <w:spacing w:val="43"/>
        </w:rPr>
        <w:t xml:space="preserve"> </w:t>
      </w:r>
      <w:r>
        <w:t>必须分配给该接口的优先级。</w:t>
      </w:r>
    </w:p>
    <w:p w14:paraId="60A7DB1B">
      <w:pPr>
        <w:pStyle w:val="2"/>
        <w:spacing w:before="80" w:line="277" w:lineRule="auto"/>
        <w:ind w:right="116" w:firstLine="550"/>
      </w:pPr>
      <w:r>
        <w:rPr>
          <w:rFonts w:ascii="Times New Roman" w:hAnsi="Times New Roman" w:eastAsia="Times New Roman" w:cs="Times New Roman"/>
          <w:spacing w:val="15"/>
        </w:rPr>
        <w:t>b)</w:t>
      </w:r>
      <w:r>
        <w:rPr>
          <w:rFonts w:ascii="Times New Roman" w:hAnsi="Times New Roman" w:eastAsia="Times New Roman" w:cs="Times New Roman"/>
          <w:spacing w:val="80"/>
        </w:rPr>
        <w:t xml:space="preserve"> </w:t>
      </w:r>
      <w:r>
        <w:rPr>
          <w:spacing w:val="15"/>
        </w:rPr>
        <w:t>对要实现的接口类型的要求(例如实时数据传送、数据的储存和检索</w:t>
      </w:r>
      <w:r>
        <w:t xml:space="preserve"> </w:t>
      </w:r>
      <w:r>
        <w:rPr>
          <w:spacing w:val="-4"/>
        </w:rPr>
        <w:t>等)。</w:t>
      </w:r>
    </w:p>
    <w:p w14:paraId="5ECF8893">
      <w:pPr>
        <w:pStyle w:val="2"/>
        <w:spacing w:before="34" w:line="274" w:lineRule="auto"/>
        <w:ind w:right="20" w:firstLine="550"/>
      </w:pPr>
      <w:r>
        <w:rPr>
          <w:rFonts w:ascii="Times New Roman" w:hAnsi="Times New Roman" w:eastAsia="Times New Roman" w:cs="Times New Roman"/>
          <w:spacing w:val="-5"/>
        </w:rPr>
        <w:t xml:space="preserve">c)CSCI   </w:t>
      </w:r>
      <w:r>
        <w:rPr>
          <w:spacing w:val="-5"/>
        </w:rPr>
        <w:t>必须提供、储存、发送、存取、接收的各个数据元素所要求</w:t>
      </w:r>
      <w:r>
        <w:rPr>
          <w:spacing w:val="-6"/>
        </w:rPr>
        <w:t>的特征，</w:t>
      </w:r>
      <w:r>
        <w:t xml:space="preserve"> </w:t>
      </w:r>
      <w:r>
        <w:rPr>
          <w:spacing w:val="1"/>
        </w:rPr>
        <w:t>如1)名称/标识符，含项目唯一的标识符，非技术(自然语言)名称，数据元素名</w:t>
      </w:r>
      <w:r>
        <w:rPr>
          <w:spacing w:val="11"/>
        </w:rPr>
        <w:t xml:space="preserve"> </w:t>
      </w:r>
      <w:r>
        <w:rPr>
          <w:spacing w:val="1"/>
        </w:rPr>
        <w:t>称，技术名(如在代码或数据库中的变量名或字段名),缩略名或同义名；2)数据</w:t>
      </w:r>
      <w:r>
        <w:rPr>
          <w:spacing w:val="13"/>
        </w:rPr>
        <w:t xml:space="preserve"> </w:t>
      </w:r>
      <w:r>
        <w:rPr>
          <w:spacing w:val="-2"/>
        </w:rPr>
        <w:t>类型(字母、数字、整数等);3)大小和格式(如：字符串的长度</w:t>
      </w:r>
      <w:r>
        <w:rPr>
          <w:spacing w:val="-3"/>
        </w:rPr>
        <w:t>和标点符号);4)计</w:t>
      </w:r>
      <w:r>
        <w:t xml:space="preserve"> </w:t>
      </w:r>
      <w:r>
        <w:rPr>
          <w:spacing w:val="1"/>
        </w:rPr>
        <w:t>量单位(如：</w:t>
      </w:r>
      <w:r>
        <w:rPr>
          <w:rFonts w:ascii="Times New Roman" w:hAnsi="Times New Roman" w:eastAsia="Times New Roman" w:cs="Times New Roman"/>
          <w:spacing w:val="1"/>
        </w:rPr>
        <w:t>m</w:t>
      </w:r>
      <w:r>
        <w:rPr>
          <w:rFonts w:ascii="Times New Roman" w:hAnsi="Times New Roman" w:eastAsia="Times New Roman" w:cs="Times New Roman"/>
          <w:spacing w:val="25"/>
          <w:w w:val="101"/>
        </w:rPr>
        <w:t xml:space="preserve"> </w:t>
      </w:r>
      <w:r>
        <w:rPr>
          <w:spacing w:val="1"/>
        </w:rPr>
        <w:t>等);5)可能值的范围或枚举(如</w:t>
      </w:r>
      <w:r>
        <w:t xml:space="preserve">：0～99);6)准确性(正确程度)和 </w:t>
      </w:r>
      <w:r>
        <w:rPr>
          <w:spacing w:val="-9"/>
        </w:rPr>
        <w:t>精度(有效数字位数);7)优先级别、定时、频率、容量、序列以及其他约束条件(例</w:t>
      </w:r>
      <w:r>
        <w:rPr>
          <w:spacing w:val="1"/>
        </w:rPr>
        <w:t xml:space="preserve"> </w:t>
      </w:r>
      <w:r>
        <w:rPr>
          <w:spacing w:val="-2"/>
        </w:rPr>
        <w:t>如数据元素是否可以被更新、业务规则是否适用);8)保</w:t>
      </w:r>
      <w:r>
        <w:rPr>
          <w:spacing w:val="-3"/>
        </w:rPr>
        <w:t>密性约束；9)来源(设置/</w:t>
      </w:r>
      <w:r>
        <w:t xml:space="preserve"> </w:t>
      </w:r>
      <w:r>
        <w:rPr>
          <w:spacing w:val="2"/>
        </w:rPr>
        <w:t>发送实体)和接收者(使用/接收实体)。</w:t>
      </w:r>
    </w:p>
    <w:p w14:paraId="2F293574">
      <w:pPr>
        <w:pStyle w:val="2"/>
        <w:spacing w:before="49" w:line="267" w:lineRule="auto"/>
        <w:ind w:firstLine="550"/>
      </w:pPr>
      <w:r>
        <w:rPr>
          <w:rFonts w:ascii="Times New Roman" w:hAnsi="Times New Roman" w:eastAsia="Times New Roman" w:cs="Times New Roman"/>
          <w:spacing w:val="-8"/>
        </w:rPr>
        <w:t xml:space="preserve">d)CSCI   </w:t>
      </w:r>
      <w:r>
        <w:rPr>
          <w:spacing w:val="-8"/>
        </w:rPr>
        <w:t>必须提供、存储、发送、访问、接收的数据元素组</w:t>
      </w:r>
      <w:r>
        <w:rPr>
          <w:spacing w:val="-9"/>
        </w:rPr>
        <w:t>合体(记录、消息、</w:t>
      </w:r>
      <w:r>
        <w:t xml:space="preserve"> </w:t>
      </w:r>
      <w:r>
        <w:rPr>
          <w:spacing w:val="-9"/>
        </w:rPr>
        <w:t>文件、数组、显示、报表等)所要求的特征，如1)名</w:t>
      </w:r>
      <w:r>
        <w:rPr>
          <w:spacing w:val="-10"/>
        </w:rPr>
        <w:t>称/标识符，含项目唯一的标识</w:t>
      </w:r>
      <w:r>
        <w:t xml:space="preserve">  </w:t>
      </w:r>
      <w:r>
        <w:rPr>
          <w:spacing w:val="1"/>
        </w:rPr>
        <w:t>符，非技术(自然语言)名称，技术名称(如在代码或数据库中的记录名或数据结</w:t>
      </w:r>
      <w:r>
        <w:rPr>
          <w:spacing w:val="7"/>
        </w:rPr>
        <w:t xml:space="preserve">  </w:t>
      </w:r>
      <w:r>
        <w:rPr>
          <w:spacing w:val="2"/>
        </w:rPr>
        <w:t>构名),缩略名或同义名；2)包中的数据元素及其结构(编号、顺序和成组情况);</w:t>
      </w:r>
    </w:p>
    <w:p w14:paraId="10180E12">
      <w:pPr>
        <w:pStyle w:val="2"/>
        <w:spacing w:before="108" w:line="276" w:lineRule="auto"/>
        <w:ind w:right="114"/>
        <w:jc w:val="both"/>
      </w:pPr>
      <w:r>
        <w:rPr>
          <w:spacing w:val="1"/>
        </w:rPr>
        <w:t>3)介质(例如磁盘)以及在介质上数据元素/包的结构；4)显示和其他输出的视听</w:t>
      </w:r>
      <w:r>
        <w:rPr>
          <w:spacing w:val="13"/>
        </w:rPr>
        <w:t xml:space="preserve"> </w:t>
      </w:r>
      <w:r>
        <w:rPr>
          <w:spacing w:val="-6"/>
        </w:rPr>
        <w:t>特性(例如颜色、布局、字体、图标和其他显示元素、蜂鸣音和亮度);5)包之间的</w:t>
      </w:r>
      <w:r>
        <w:rPr>
          <w:spacing w:val="12"/>
        </w:rPr>
        <w:t xml:space="preserve"> </w:t>
      </w:r>
      <w:r>
        <w:rPr>
          <w:spacing w:val="-20"/>
        </w:rPr>
        <w:t>关系，如排序/存取特性；6)优先级、时序、频率、容量、序列及其他约束，例如包是</w:t>
      </w:r>
      <w:r>
        <w:rPr>
          <w:spacing w:val="16"/>
        </w:rPr>
        <w:t xml:space="preserve"> </w:t>
      </w:r>
      <w:r>
        <w:rPr>
          <w:spacing w:val="-6"/>
        </w:rPr>
        <w:t>否可以被更新、业务规则是否适用；7)保密性约束；8)来源(设置/发送实体)和接</w:t>
      </w:r>
      <w:r>
        <w:rPr>
          <w:spacing w:val="8"/>
        </w:rPr>
        <w:t xml:space="preserve"> </w:t>
      </w:r>
      <w:r>
        <w:t>收者(使用/接收实体)。</w:t>
      </w:r>
    </w:p>
    <w:p w14:paraId="0893423E">
      <w:pPr>
        <w:pStyle w:val="2"/>
        <w:spacing w:before="6" w:line="265" w:lineRule="auto"/>
        <w:ind w:right="20" w:firstLine="550"/>
      </w:pPr>
      <w:r>
        <w:rPr>
          <w:rFonts w:ascii="Times New Roman" w:hAnsi="Times New Roman" w:eastAsia="Times New Roman" w:cs="Times New Roman"/>
          <w:spacing w:val="15"/>
        </w:rPr>
        <w:t>e)</w:t>
      </w:r>
      <w:r>
        <w:rPr>
          <w:rFonts w:ascii="Times New Roman" w:hAnsi="Times New Roman" w:eastAsia="Times New Roman" w:cs="Times New Roman"/>
        </w:rPr>
        <w:t>CSCI</w:t>
      </w:r>
      <w:r>
        <w:rPr>
          <w:rFonts w:ascii="Times New Roman" w:hAnsi="Times New Roman" w:eastAsia="Times New Roman" w:cs="Times New Roman"/>
          <w:spacing w:val="15"/>
        </w:rPr>
        <w:t xml:space="preserve">   </w:t>
      </w:r>
      <w:r>
        <w:rPr>
          <w:spacing w:val="15"/>
        </w:rPr>
        <w:t>必须使用的接口的通信方法所要求的特征。1)项目唯一的标识</w:t>
      </w:r>
      <w:r>
        <w:rPr>
          <w:spacing w:val="17"/>
        </w:rPr>
        <w:t xml:space="preserve"> </w:t>
      </w:r>
      <w:r>
        <w:rPr>
          <w:spacing w:val="-2"/>
        </w:rPr>
        <w:t>符；2)通信链接/带宽/频率/介质及其特性；3)消息格式；4)流控制(</w:t>
      </w:r>
      <w:r>
        <w:rPr>
          <w:spacing w:val="-3"/>
        </w:rPr>
        <w:t>如序列编号</w:t>
      </w:r>
      <w:r>
        <w:t xml:space="preserve"> </w:t>
      </w:r>
      <w:r>
        <w:rPr>
          <w:spacing w:val="-3"/>
        </w:rPr>
        <w:t>和缓冲区分配);5)周期/非周期传送的数据传送速率，传输间隔；6)路由</w:t>
      </w:r>
      <w:r>
        <w:rPr>
          <w:spacing w:val="-4"/>
        </w:rPr>
        <w:t>、寻址、</w:t>
      </w:r>
      <w:r>
        <w:t xml:space="preserve"> </w:t>
      </w:r>
      <w:r>
        <w:rPr>
          <w:spacing w:val="-13"/>
        </w:rPr>
        <w:t>命名约定；7)传输服务，包括优先权和等级；8)安全性/私密性考虑，如加密、用户</w:t>
      </w:r>
      <w:r>
        <w:rPr>
          <w:spacing w:val="16"/>
        </w:rPr>
        <w:t xml:space="preserve"> </w:t>
      </w:r>
      <w:r>
        <w:rPr>
          <w:spacing w:val="-14"/>
        </w:rPr>
        <w:t>鉴别、隔离和审核。</w:t>
      </w:r>
    </w:p>
    <w:p w14:paraId="03CF82F3">
      <w:pPr>
        <w:pStyle w:val="2"/>
        <w:spacing w:before="97" w:line="212" w:lineRule="auto"/>
        <w:jc w:val="right"/>
      </w:pPr>
      <w:r>
        <w:rPr>
          <w:rFonts w:ascii="Times New Roman" w:hAnsi="Times New Roman" w:eastAsia="Times New Roman" w:cs="Times New Roman"/>
          <w:spacing w:val="3"/>
        </w:rPr>
        <w:t>f)</w:t>
      </w:r>
      <w:r>
        <w:rPr>
          <w:rFonts w:ascii="Times New Roman" w:hAnsi="Times New Roman" w:eastAsia="Times New Roman" w:cs="Times New Roman"/>
        </w:rPr>
        <w:t>CSCI</w:t>
      </w:r>
      <w:r>
        <w:rPr>
          <w:rFonts w:ascii="Times New Roman" w:hAnsi="Times New Roman" w:eastAsia="Times New Roman" w:cs="Times New Roman"/>
          <w:spacing w:val="3"/>
        </w:rPr>
        <w:t xml:space="preserve">   </w:t>
      </w:r>
      <w:r>
        <w:rPr>
          <w:spacing w:val="3"/>
        </w:rPr>
        <w:t>必须使用的接口的协议所要求的特征，如：1)项目唯一的标识符；</w:t>
      </w:r>
    </w:p>
    <w:p w14:paraId="5EF69FF9">
      <w:pPr>
        <w:pStyle w:val="2"/>
        <w:spacing w:before="140" w:line="271" w:lineRule="auto"/>
        <w:ind w:right="121"/>
        <w:jc w:val="both"/>
      </w:pPr>
      <w:r>
        <w:rPr>
          <w:spacing w:val="-6"/>
        </w:rPr>
        <w:t>2)协议的优先级别/层次；3)打包，包括拆包和重新打包、路由和寻址；4)合法性</w:t>
      </w:r>
      <w:r>
        <w:rPr>
          <w:spacing w:val="8"/>
        </w:rPr>
        <w:t xml:space="preserve"> </w:t>
      </w:r>
      <w:r>
        <w:rPr>
          <w:spacing w:val="-16"/>
        </w:rPr>
        <w:t>检查、错误控制和恢复过程；5)同步，包括建立连接、保持和终止；6)状态</w:t>
      </w:r>
      <w:r>
        <w:rPr>
          <w:spacing w:val="-17"/>
        </w:rPr>
        <w:t>、标识及</w:t>
      </w:r>
      <w:r>
        <w:t xml:space="preserve"> </w:t>
      </w:r>
      <w:r>
        <w:rPr>
          <w:spacing w:val="1"/>
        </w:rPr>
        <w:t>任何其他报告的特性。</w:t>
      </w:r>
    </w:p>
    <w:p w14:paraId="3CE4D2A3">
      <w:pPr>
        <w:pStyle w:val="2"/>
        <w:spacing w:line="295" w:lineRule="auto"/>
        <w:ind w:right="124" w:firstLine="550"/>
      </w:pPr>
      <w:r>
        <w:rPr>
          <w:rFonts w:ascii="Times New Roman" w:hAnsi="Times New Roman" w:eastAsia="Times New Roman" w:cs="Times New Roman"/>
          <w:spacing w:val="-2"/>
        </w:rPr>
        <w:t>g)</w:t>
      </w:r>
      <w:r>
        <w:rPr>
          <w:rFonts w:ascii="Times New Roman" w:hAnsi="Times New Roman" w:eastAsia="Times New Roman" w:cs="Times New Roman"/>
          <w:spacing w:val="80"/>
        </w:rPr>
        <w:t xml:space="preserve"> </w:t>
      </w:r>
      <w:r>
        <w:rPr>
          <w:spacing w:val="-2"/>
        </w:rPr>
        <w:t>其他所需要的特征，例如接口实体的物理兼容性(尺寸、公差、负载和接</w:t>
      </w:r>
      <w:r>
        <w:t xml:space="preserve"> </w:t>
      </w:r>
      <w:r>
        <w:rPr>
          <w:spacing w:val="-9"/>
        </w:rPr>
        <w:t>插件的兼容性等)、电压等。</w:t>
      </w:r>
    </w:p>
    <w:p w14:paraId="021D35FC">
      <w:pPr>
        <w:spacing w:line="295" w:lineRule="auto"/>
        <w:sectPr>
          <w:footerReference r:id="rId228" w:type="default"/>
          <w:pgSz w:w="11910" w:h="17130"/>
          <w:pgMar w:top="1436" w:right="1344" w:bottom="1657" w:left="1079" w:header="0" w:footer="1440" w:gutter="0"/>
          <w:cols w:space="720" w:num="1"/>
        </w:sectPr>
      </w:pPr>
    </w:p>
    <w:p w14:paraId="39E5E2A1">
      <w:pPr>
        <w:spacing w:before="71" w:line="222" w:lineRule="auto"/>
        <w:rPr>
          <w:rFonts w:ascii="黑体" w:hAnsi="黑体" w:eastAsia="黑体" w:cs="黑体"/>
          <w:sz w:val="27"/>
          <w:szCs w:val="27"/>
        </w:rPr>
      </w:pPr>
      <w:r>
        <w:rPr>
          <w:rFonts w:ascii="黑体" w:hAnsi="黑体" w:eastAsia="黑体" w:cs="黑体"/>
          <w:spacing w:val="-1"/>
          <w:sz w:val="27"/>
          <w:szCs w:val="27"/>
        </w:rPr>
        <w:t xml:space="preserve">3.4  </w:t>
      </w:r>
      <w:r>
        <w:rPr>
          <w:rFonts w:ascii="Times New Roman" w:hAnsi="Times New Roman" w:eastAsia="Times New Roman" w:cs="Times New Roman"/>
          <w:b/>
          <w:bCs/>
          <w:spacing w:val="-1"/>
          <w:sz w:val="27"/>
          <w:szCs w:val="27"/>
        </w:rPr>
        <w:t xml:space="preserve">CSCI </w:t>
      </w:r>
      <w:r>
        <w:rPr>
          <w:rFonts w:ascii="黑体" w:hAnsi="黑体" w:eastAsia="黑体" w:cs="黑体"/>
          <w:b/>
          <w:bCs/>
          <w:spacing w:val="-1"/>
          <w:sz w:val="27"/>
          <w:szCs w:val="27"/>
        </w:rPr>
        <w:t>内部接口需求</w:t>
      </w:r>
    </w:p>
    <w:p w14:paraId="06204649">
      <w:pPr>
        <w:pStyle w:val="2"/>
        <w:spacing w:before="77" w:line="300" w:lineRule="auto"/>
        <w:ind w:right="110" w:firstLine="570"/>
        <w:jc w:val="both"/>
        <w:rPr>
          <w:sz w:val="24"/>
          <w:szCs w:val="24"/>
        </w:rPr>
      </w:pPr>
      <w:r>
        <w:rPr>
          <w:spacing w:val="9"/>
        </w:rPr>
        <w:t>本条应描述施加于</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9"/>
        </w:rPr>
        <w:t>内部接口的需求(若有)。如果所</w:t>
      </w:r>
      <w:r>
        <w:rPr>
          <w:spacing w:val="8"/>
        </w:rPr>
        <w:t>有内部接口都留</w:t>
      </w:r>
      <w:r>
        <w:t xml:space="preserve"> </w:t>
      </w:r>
      <w:r>
        <w:rPr>
          <w:spacing w:val="-2"/>
        </w:rPr>
        <w:t>待设计时再描述，那么应在此如实陈述。如指定了这样</w:t>
      </w:r>
      <w:r>
        <w:rPr>
          <w:spacing w:val="-3"/>
        </w:rPr>
        <w:t>的需求，应考虑本文档的</w:t>
      </w:r>
      <w:r>
        <w:t xml:space="preserve"> </w:t>
      </w:r>
      <w:r>
        <w:rPr>
          <w:spacing w:val="23"/>
          <w:sz w:val="24"/>
          <w:szCs w:val="24"/>
        </w:rPr>
        <w:t>3</w:t>
      </w:r>
      <w:r>
        <w:rPr>
          <w:spacing w:val="-61"/>
          <w:sz w:val="24"/>
          <w:szCs w:val="24"/>
        </w:rPr>
        <w:t xml:space="preserve"> </w:t>
      </w:r>
      <w:r>
        <w:rPr>
          <w:spacing w:val="23"/>
          <w:sz w:val="24"/>
          <w:szCs w:val="24"/>
        </w:rPr>
        <w:t>.</w:t>
      </w:r>
      <w:r>
        <w:rPr>
          <w:spacing w:val="-63"/>
          <w:sz w:val="24"/>
          <w:szCs w:val="24"/>
        </w:rPr>
        <w:t xml:space="preserve"> </w:t>
      </w:r>
      <w:r>
        <w:rPr>
          <w:spacing w:val="23"/>
          <w:sz w:val="24"/>
          <w:szCs w:val="24"/>
        </w:rPr>
        <w:t>3条中描述的主题。</w:t>
      </w:r>
    </w:p>
    <w:p w14:paraId="44CDEEFA">
      <w:pPr>
        <w:spacing w:line="222" w:lineRule="auto"/>
        <w:rPr>
          <w:rFonts w:ascii="黑体" w:hAnsi="黑体" w:eastAsia="黑体" w:cs="黑体"/>
          <w:sz w:val="27"/>
          <w:szCs w:val="27"/>
        </w:rPr>
      </w:pPr>
      <w:r>
        <w:rPr>
          <w:rFonts w:ascii="黑体" w:hAnsi="黑体" w:eastAsia="黑体" w:cs="黑体"/>
          <w:spacing w:val="5"/>
          <w:sz w:val="27"/>
          <w:szCs w:val="27"/>
        </w:rPr>
        <w:t xml:space="preserve">3.5  </w:t>
      </w:r>
      <w:r>
        <w:rPr>
          <w:rFonts w:ascii="Times New Roman" w:hAnsi="Times New Roman" w:eastAsia="Times New Roman" w:cs="Times New Roman"/>
          <w:b/>
          <w:bCs/>
          <w:sz w:val="27"/>
          <w:szCs w:val="27"/>
        </w:rPr>
        <w:t>CSCI</w:t>
      </w:r>
      <w:r>
        <w:rPr>
          <w:rFonts w:ascii="黑体" w:hAnsi="黑体" w:eastAsia="黑体" w:cs="黑体"/>
          <w:b/>
          <w:bCs/>
          <w:spacing w:val="5"/>
          <w:sz w:val="27"/>
          <w:szCs w:val="27"/>
        </w:rPr>
        <w:t>内部数据需求</w:t>
      </w:r>
    </w:p>
    <w:p w14:paraId="10847075">
      <w:pPr>
        <w:pStyle w:val="2"/>
        <w:spacing w:before="83" w:line="278" w:lineRule="auto"/>
        <w:ind w:firstLine="570"/>
        <w:jc w:val="both"/>
      </w:pPr>
      <w:r>
        <w:rPr>
          <w:spacing w:val="9"/>
        </w:rPr>
        <w:t>本条应描述施加于</w:t>
      </w:r>
      <w:r>
        <w:rPr>
          <w:rFonts w:ascii="Times New Roman" w:hAnsi="Times New Roman" w:eastAsia="Times New Roman" w:cs="Times New Roman"/>
        </w:rPr>
        <w:t>CSCI</w:t>
      </w:r>
      <w:r>
        <w:rPr>
          <w:rFonts w:ascii="Times New Roman" w:hAnsi="Times New Roman" w:eastAsia="Times New Roman" w:cs="Times New Roman"/>
          <w:spacing w:val="67"/>
          <w:w w:val="101"/>
        </w:rPr>
        <w:t xml:space="preserve"> </w:t>
      </w:r>
      <w:r>
        <w:rPr>
          <w:spacing w:val="9"/>
        </w:rPr>
        <w:t>内部数据的需求(若有),包括对</w:t>
      </w:r>
      <w:r>
        <w:rPr>
          <w:spacing w:val="-77"/>
        </w:rPr>
        <w:t xml:space="preserve"> </w:t>
      </w:r>
      <w:r>
        <w:rPr>
          <w:rFonts w:ascii="Times New Roman" w:hAnsi="Times New Roman" w:eastAsia="Times New Roman" w:cs="Times New Roman"/>
        </w:rPr>
        <w:t>CSCI</w:t>
      </w:r>
      <w:r>
        <w:rPr>
          <w:spacing w:val="9"/>
        </w:rPr>
        <w:t>中数据库和</w:t>
      </w:r>
      <w:r>
        <w:t xml:space="preserve"> </w:t>
      </w:r>
      <w:r>
        <w:rPr>
          <w:spacing w:val="9"/>
        </w:rPr>
        <w:t>数据文件的需求(若有)。如果关于内部数据的所有决</w:t>
      </w:r>
      <w:r>
        <w:rPr>
          <w:spacing w:val="8"/>
        </w:rPr>
        <w:t>策都留待设计时再考虑，</w:t>
      </w:r>
      <w:r>
        <w:t xml:space="preserve"> </w:t>
      </w:r>
      <w:r>
        <w:rPr>
          <w:spacing w:val="4"/>
        </w:rPr>
        <w:t>那么应在此如实陈述。如果施加了这样的需求，那么本文档的3.3.</w:t>
      </w:r>
      <w:r>
        <w:rPr>
          <w:rFonts w:ascii="Times New Roman" w:hAnsi="Times New Roman" w:eastAsia="Times New Roman" w:cs="Times New Roman"/>
        </w:rPr>
        <w:t>X</w:t>
      </w:r>
      <w:r>
        <w:rPr>
          <w:rFonts w:ascii="Times New Roman" w:hAnsi="Times New Roman" w:eastAsia="Times New Roman" w:cs="Times New Roman"/>
          <w:spacing w:val="33"/>
        </w:rPr>
        <w:t xml:space="preserve">  </w:t>
      </w:r>
      <w:r>
        <w:rPr>
          <w:rFonts w:ascii="Times New Roman" w:hAnsi="Times New Roman" w:eastAsia="Times New Roman" w:cs="Times New Roman"/>
        </w:rPr>
        <w:t>c</w:t>
      </w:r>
      <w:r>
        <w:rPr>
          <w:rFonts w:ascii="Times New Roman" w:hAnsi="Times New Roman" w:eastAsia="Times New Roman" w:cs="Times New Roman"/>
          <w:spacing w:val="4"/>
        </w:rPr>
        <w:t>)</w:t>
      </w:r>
      <w:r>
        <w:rPr>
          <w:spacing w:val="4"/>
        </w:rPr>
        <w:t>和3.3.</w:t>
      </w:r>
    </w:p>
    <w:p w14:paraId="6630BCFA">
      <w:pPr>
        <w:pStyle w:val="2"/>
        <w:spacing w:before="5" w:line="212" w:lineRule="auto"/>
      </w:pPr>
      <w:r>
        <w:rPr>
          <w:rFonts w:ascii="Times New Roman" w:hAnsi="Times New Roman" w:eastAsia="Times New Roman" w:cs="Times New Roman"/>
        </w:rPr>
        <w:t>X</w:t>
      </w:r>
      <w:r>
        <w:rPr>
          <w:rFonts w:ascii="Times New Roman" w:hAnsi="Times New Roman" w:eastAsia="Times New Roman" w:cs="Times New Roman"/>
          <w:spacing w:val="33"/>
        </w:rPr>
        <w:t xml:space="preserve">  </w:t>
      </w:r>
      <w:r>
        <w:rPr>
          <w:rFonts w:ascii="Times New Roman" w:hAnsi="Times New Roman" w:eastAsia="Times New Roman" w:cs="Times New Roman"/>
        </w:rPr>
        <w:t>d</w:t>
      </w:r>
      <w:r>
        <w:rPr>
          <w:rFonts w:ascii="Times New Roman" w:hAnsi="Times New Roman" w:eastAsia="Times New Roman" w:cs="Times New Roman"/>
          <w:spacing w:val="1"/>
        </w:rPr>
        <w:t>)</w:t>
      </w:r>
      <w:r>
        <w:rPr>
          <w:spacing w:val="1"/>
        </w:rPr>
        <w:t>条应列出需考虑的主题。</w:t>
      </w:r>
    </w:p>
    <w:p w14:paraId="7E28845D">
      <w:pPr>
        <w:spacing w:before="147" w:line="223" w:lineRule="auto"/>
        <w:rPr>
          <w:rFonts w:ascii="黑体" w:hAnsi="黑体" w:eastAsia="黑体" w:cs="黑体"/>
          <w:sz w:val="27"/>
          <w:szCs w:val="27"/>
        </w:rPr>
      </w:pPr>
      <w:r>
        <w:rPr>
          <w:rFonts w:ascii="黑体" w:hAnsi="黑体" w:eastAsia="黑体" w:cs="黑体"/>
          <w:sz w:val="27"/>
          <w:szCs w:val="27"/>
        </w:rPr>
        <w:t>3.6</w:t>
      </w:r>
      <w:r>
        <w:rPr>
          <w:rFonts w:ascii="黑体" w:hAnsi="黑体" w:eastAsia="黑体" w:cs="黑体"/>
          <w:spacing w:val="20"/>
          <w:sz w:val="27"/>
          <w:szCs w:val="27"/>
        </w:rPr>
        <w:t xml:space="preserve">  </w:t>
      </w:r>
      <w:r>
        <w:rPr>
          <w:rFonts w:ascii="黑体" w:hAnsi="黑体" w:eastAsia="黑体" w:cs="黑体"/>
          <w:b/>
          <w:bCs/>
          <w:sz w:val="27"/>
          <w:szCs w:val="27"/>
        </w:rPr>
        <w:t>适应性需求</w:t>
      </w:r>
    </w:p>
    <w:p w14:paraId="49BE53B5">
      <w:pPr>
        <w:pStyle w:val="2"/>
        <w:spacing w:before="77" w:line="286" w:lineRule="auto"/>
        <w:ind w:right="98" w:firstLine="570"/>
        <w:jc w:val="both"/>
      </w:pPr>
      <w:r>
        <w:rPr>
          <w:spacing w:val="14"/>
        </w:rPr>
        <w:t>本条应描述关于</w:t>
      </w:r>
      <w:r>
        <w:rPr>
          <w:rFonts w:ascii="Times New Roman" w:hAnsi="Times New Roman" w:eastAsia="Times New Roman" w:cs="Times New Roman"/>
        </w:rPr>
        <w:t>CSCI</w:t>
      </w:r>
      <w:r>
        <w:rPr>
          <w:rFonts w:ascii="Times New Roman" w:hAnsi="Times New Roman" w:eastAsia="Times New Roman" w:cs="Times New Roman"/>
          <w:spacing w:val="47"/>
        </w:rPr>
        <w:t xml:space="preserve"> </w:t>
      </w:r>
      <w:r>
        <w:rPr>
          <w:spacing w:val="14"/>
        </w:rPr>
        <w:t>将提供的与安装有关的数据(如场地的经纬度或场</w:t>
      </w:r>
      <w:r>
        <w:t xml:space="preserve"> </w:t>
      </w:r>
      <w:r>
        <w:rPr>
          <w:spacing w:val="11"/>
        </w:rPr>
        <w:t>地所在地的赋税代码)的需求(若有),应指定对要求</w:t>
      </w:r>
      <w:r>
        <w:rPr>
          <w:spacing w:val="-68"/>
        </w:rPr>
        <w:t xml:space="preserve"> </w:t>
      </w:r>
      <w:r>
        <w:rPr>
          <w:rFonts w:ascii="Times New Roman" w:hAnsi="Times New Roman" w:eastAsia="Times New Roman" w:cs="Times New Roman"/>
        </w:rPr>
        <w:t>CSCI</w:t>
      </w:r>
      <w:r>
        <w:rPr>
          <w:rFonts w:ascii="Times New Roman" w:hAnsi="Times New Roman" w:eastAsia="Times New Roman" w:cs="Times New Roman"/>
          <w:spacing w:val="43"/>
        </w:rPr>
        <w:t xml:space="preserve"> </w:t>
      </w:r>
      <w:r>
        <w:rPr>
          <w:spacing w:val="11"/>
        </w:rPr>
        <w:t>使用</w:t>
      </w:r>
      <w:r>
        <w:rPr>
          <w:spacing w:val="10"/>
        </w:rPr>
        <w:t>的运行参数(如</w:t>
      </w:r>
      <w:r>
        <w:t xml:space="preserve"> </w:t>
      </w:r>
      <w:r>
        <w:rPr>
          <w:spacing w:val="1"/>
        </w:rPr>
        <w:t>指明与运行有关的目标常数或数据记录的参数)的需求，这些运行参数可以根据</w:t>
      </w:r>
      <w:r>
        <w:rPr>
          <w:spacing w:val="14"/>
        </w:rPr>
        <w:t xml:space="preserve"> </w:t>
      </w:r>
      <w:r>
        <w:rPr>
          <w:spacing w:val="1"/>
        </w:rPr>
        <w:t>运行需要而改变。</w:t>
      </w:r>
    </w:p>
    <w:p w14:paraId="219ACB3A">
      <w:pPr>
        <w:spacing w:before="14" w:line="223" w:lineRule="auto"/>
        <w:rPr>
          <w:rFonts w:ascii="黑体" w:hAnsi="黑体" w:eastAsia="黑体" w:cs="黑体"/>
          <w:sz w:val="27"/>
          <w:szCs w:val="27"/>
        </w:rPr>
      </w:pPr>
      <w:r>
        <w:rPr>
          <w:rFonts w:ascii="黑体" w:hAnsi="黑体" w:eastAsia="黑体" w:cs="黑体"/>
          <w:spacing w:val="-6"/>
          <w:sz w:val="27"/>
          <w:szCs w:val="27"/>
        </w:rPr>
        <w:t>3.7</w:t>
      </w:r>
      <w:r>
        <w:rPr>
          <w:rFonts w:ascii="黑体" w:hAnsi="黑体" w:eastAsia="黑体" w:cs="黑体"/>
          <w:spacing w:val="22"/>
          <w:sz w:val="27"/>
          <w:szCs w:val="27"/>
        </w:rPr>
        <w:t xml:space="preserve">  </w:t>
      </w:r>
      <w:r>
        <w:rPr>
          <w:rFonts w:ascii="黑体" w:hAnsi="黑体" w:eastAsia="黑体" w:cs="黑体"/>
          <w:b/>
          <w:bCs/>
          <w:spacing w:val="-6"/>
          <w:sz w:val="27"/>
          <w:szCs w:val="27"/>
        </w:rPr>
        <w:t>安全性需求</w:t>
      </w:r>
    </w:p>
    <w:p w14:paraId="267FB412">
      <w:pPr>
        <w:pStyle w:val="2"/>
        <w:spacing w:before="94" w:line="286" w:lineRule="auto"/>
        <w:ind w:right="102" w:firstLine="570"/>
        <w:jc w:val="both"/>
      </w:pPr>
      <w:r>
        <w:rPr>
          <w:spacing w:val="5"/>
        </w:rPr>
        <w:t>本条应描述关于防止或尽可能降低对人员、财产和物理环境产生意外危险</w:t>
      </w:r>
      <w:r>
        <w:rPr>
          <w:spacing w:val="10"/>
        </w:rPr>
        <w:t xml:space="preserve"> </w:t>
      </w:r>
      <w:r>
        <w:rPr>
          <w:spacing w:val="1"/>
        </w:rPr>
        <w:t>的</w:t>
      </w:r>
      <w:r>
        <w:rPr>
          <w:spacing w:val="-48"/>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1"/>
        </w:rPr>
        <w:t>需求(若有)。例子包括：</w:t>
      </w:r>
      <w:r>
        <w:rPr>
          <w:rFonts w:ascii="Times New Roman" w:hAnsi="Times New Roman" w:eastAsia="Times New Roman" w:cs="Times New Roman"/>
        </w:rPr>
        <w:t>CSCI</w:t>
      </w:r>
      <w:r>
        <w:rPr>
          <w:rFonts w:ascii="Times New Roman" w:hAnsi="Times New Roman" w:eastAsia="Times New Roman" w:cs="Times New Roman"/>
          <w:spacing w:val="52"/>
        </w:rPr>
        <w:t xml:space="preserve"> </w:t>
      </w:r>
      <w:r>
        <w:rPr>
          <w:spacing w:val="1"/>
        </w:rPr>
        <w:t>必须提供的安全措施，以便防止意外动</w:t>
      </w:r>
      <w:r>
        <w:t xml:space="preserve"> </w:t>
      </w:r>
      <w:r>
        <w:rPr>
          <w:spacing w:val="-6"/>
        </w:rPr>
        <w:t>作(例如意外地发出一个“自动导航关闭”命令)和无动作(例如发出“自动导</w:t>
      </w:r>
      <w:r>
        <w:rPr>
          <w:spacing w:val="-7"/>
        </w:rPr>
        <w:t>航关</w:t>
      </w:r>
      <w:r>
        <w:t xml:space="preserve"> </w:t>
      </w:r>
      <w:r>
        <w:rPr>
          <w:spacing w:val="9"/>
        </w:rPr>
        <w:t>闭”命令失败)。本条还应包括关于系统的核部件的</w:t>
      </w:r>
      <w:r>
        <w:rPr>
          <w:rFonts w:ascii="Times New Roman" w:hAnsi="Times New Roman" w:eastAsia="Times New Roman" w:cs="Times New Roman"/>
        </w:rPr>
        <w:t>CSCI</w:t>
      </w:r>
      <w:r>
        <w:rPr>
          <w:rFonts w:ascii="Times New Roman" w:hAnsi="Times New Roman" w:eastAsia="Times New Roman" w:cs="Times New Roman"/>
          <w:spacing w:val="53"/>
        </w:rPr>
        <w:t xml:space="preserve"> </w:t>
      </w:r>
      <w:r>
        <w:rPr>
          <w:spacing w:val="9"/>
        </w:rPr>
        <w:t>需求(若</w:t>
      </w:r>
      <w:r>
        <w:rPr>
          <w:spacing w:val="8"/>
        </w:rPr>
        <w:t>有),若适用</w:t>
      </w:r>
      <w:r>
        <w:t xml:space="preserve"> </w:t>
      </w:r>
      <w:r>
        <w:rPr>
          <w:spacing w:val="4"/>
        </w:rPr>
        <w:t>应包括预防意外爆炸以及与核安全规则保持一致等方面的需求。</w:t>
      </w:r>
    </w:p>
    <w:p w14:paraId="0C9AB100">
      <w:pPr>
        <w:spacing w:before="15" w:line="221" w:lineRule="auto"/>
        <w:rPr>
          <w:rFonts w:ascii="黑体" w:hAnsi="黑体" w:eastAsia="黑体" w:cs="黑体"/>
          <w:sz w:val="27"/>
          <w:szCs w:val="27"/>
        </w:rPr>
      </w:pPr>
      <w:r>
        <w:rPr>
          <w:rFonts w:ascii="黑体" w:hAnsi="黑体" w:eastAsia="黑体" w:cs="黑体"/>
          <w:sz w:val="27"/>
          <w:szCs w:val="27"/>
        </w:rPr>
        <w:t>3.8</w:t>
      </w:r>
      <w:r>
        <w:rPr>
          <w:rFonts w:ascii="黑体" w:hAnsi="黑体" w:eastAsia="黑体" w:cs="黑体"/>
          <w:spacing w:val="20"/>
          <w:sz w:val="27"/>
          <w:szCs w:val="27"/>
        </w:rPr>
        <w:t xml:space="preserve">  </w:t>
      </w:r>
      <w:r>
        <w:rPr>
          <w:rFonts w:ascii="黑体" w:hAnsi="黑体" w:eastAsia="黑体" w:cs="黑体"/>
          <w:b/>
          <w:bCs/>
          <w:sz w:val="27"/>
          <w:szCs w:val="27"/>
        </w:rPr>
        <w:t>保密性需求</w:t>
      </w:r>
    </w:p>
    <w:p w14:paraId="733B7A53">
      <w:pPr>
        <w:pStyle w:val="2"/>
        <w:spacing w:before="91" w:line="290" w:lineRule="auto"/>
        <w:ind w:right="103" w:firstLine="570"/>
        <w:jc w:val="both"/>
      </w:pPr>
      <w:r>
        <w:rPr>
          <w:spacing w:val="9"/>
        </w:rPr>
        <w:t>本条应描述与维护保密性有关的</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9"/>
        </w:rPr>
        <w:t>需求(若有)。(</w:t>
      </w:r>
      <w:r>
        <w:rPr>
          <w:spacing w:val="8"/>
        </w:rPr>
        <w:t>若适用)这些需求应</w:t>
      </w:r>
      <w:r>
        <w:t xml:space="preserve"> </w:t>
      </w:r>
      <w:r>
        <w:rPr>
          <w:spacing w:val="-4"/>
        </w:rPr>
        <w:t>包括：</w:t>
      </w:r>
      <w:r>
        <w:rPr>
          <w:rFonts w:ascii="Times New Roman" w:hAnsi="Times New Roman" w:eastAsia="Times New Roman" w:cs="Times New Roman"/>
          <w:spacing w:val="-4"/>
        </w:rPr>
        <w:t>CSCI</w:t>
      </w:r>
      <w:r>
        <w:rPr>
          <w:rFonts w:ascii="Times New Roman" w:hAnsi="Times New Roman" w:eastAsia="Times New Roman" w:cs="Times New Roman"/>
          <w:spacing w:val="33"/>
        </w:rPr>
        <w:t xml:space="preserve"> </w:t>
      </w:r>
      <w:r>
        <w:rPr>
          <w:spacing w:val="-4"/>
        </w:rPr>
        <w:t>必须在其中运行的保密性环境、所提供的保密性</w:t>
      </w:r>
      <w:r>
        <w:rPr>
          <w:spacing w:val="-5"/>
        </w:rPr>
        <w:t>的类型和级别、</w:t>
      </w:r>
      <w:r>
        <w:rPr>
          <w:rFonts w:ascii="Times New Roman" w:hAnsi="Times New Roman" w:eastAsia="Times New Roman" w:cs="Times New Roman"/>
          <w:spacing w:val="-5"/>
        </w:rPr>
        <w:t>CS-</w:t>
      </w:r>
      <w:r>
        <w:rPr>
          <w:rFonts w:ascii="Times New Roman" w:hAnsi="Times New Roman" w:eastAsia="Times New Roman" w:cs="Times New Roman"/>
        </w:rPr>
        <w:t xml:space="preserve">  CI</w:t>
      </w:r>
      <w:r>
        <w:rPr>
          <w:rFonts w:ascii="Times New Roman" w:hAnsi="Times New Roman" w:eastAsia="Times New Roman" w:cs="Times New Roman"/>
          <w:spacing w:val="3"/>
        </w:rPr>
        <w:t xml:space="preserve"> </w:t>
      </w:r>
      <w:r>
        <w:rPr>
          <w:spacing w:val="3"/>
        </w:rPr>
        <w:t>必须经受的保密性风险、减少此类风险所需的安全措施、必须遵循的保密性</w:t>
      </w:r>
      <w:r>
        <w:rPr>
          <w:spacing w:val="10"/>
        </w:rPr>
        <w:t xml:space="preserve"> </w:t>
      </w:r>
      <w:r>
        <w:rPr>
          <w:spacing w:val="-4"/>
        </w:rPr>
        <w:t>政策、</w:t>
      </w:r>
      <w:r>
        <w:rPr>
          <w:rFonts w:ascii="Times New Roman" w:hAnsi="Times New Roman" w:eastAsia="Times New Roman" w:cs="Times New Roman"/>
          <w:spacing w:val="-4"/>
        </w:rPr>
        <w:t xml:space="preserve">CSCI </w:t>
      </w:r>
      <w:r>
        <w:rPr>
          <w:spacing w:val="-4"/>
        </w:rPr>
        <w:t>必须具备的保密性责任、保密性认证/认可必须满足的准则等。</w:t>
      </w:r>
    </w:p>
    <w:p w14:paraId="6B052812">
      <w:pPr>
        <w:spacing w:before="1" w:line="221" w:lineRule="auto"/>
        <w:rPr>
          <w:rFonts w:ascii="黑体" w:hAnsi="黑体" w:eastAsia="黑体" w:cs="黑体"/>
          <w:sz w:val="27"/>
          <w:szCs w:val="27"/>
        </w:rPr>
      </w:pPr>
      <w:r>
        <w:rPr>
          <w:rFonts w:ascii="黑体" w:hAnsi="黑体" w:eastAsia="黑体" w:cs="黑体"/>
          <w:spacing w:val="5"/>
          <w:sz w:val="27"/>
          <w:szCs w:val="27"/>
        </w:rPr>
        <w:t xml:space="preserve">3.9  </w:t>
      </w:r>
      <w:r>
        <w:rPr>
          <w:rFonts w:ascii="Times New Roman" w:hAnsi="Times New Roman" w:eastAsia="Times New Roman" w:cs="Times New Roman"/>
          <w:b/>
          <w:bCs/>
          <w:sz w:val="27"/>
          <w:szCs w:val="27"/>
        </w:rPr>
        <w:t>CSCI</w:t>
      </w:r>
      <w:r>
        <w:rPr>
          <w:rFonts w:ascii="黑体" w:hAnsi="黑体" w:eastAsia="黑体" w:cs="黑体"/>
          <w:b/>
          <w:bCs/>
          <w:spacing w:val="5"/>
          <w:sz w:val="27"/>
          <w:szCs w:val="27"/>
        </w:rPr>
        <w:t>环境需求</w:t>
      </w:r>
    </w:p>
    <w:p w14:paraId="186D2267">
      <w:pPr>
        <w:pStyle w:val="2"/>
        <w:spacing w:before="90" w:line="289" w:lineRule="auto"/>
        <w:ind w:right="104" w:firstLine="570"/>
      </w:pPr>
      <w:r>
        <w:rPr>
          <w:spacing w:val="10"/>
        </w:rPr>
        <w:t>本条应描述</w:t>
      </w:r>
      <w:r>
        <w:rPr>
          <w:spacing w:val="-36"/>
        </w:rPr>
        <w:t xml:space="preserve"> </w:t>
      </w:r>
      <w:r>
        <w:rPr>
          <w:rFonts w:ascii="Times New Roman" w:hAnsi="Times New Roman" w:eastAsia="Times New Roman" w:cs="Times New Roman"/>
        </w:rPr>
        <w:t>CSCI</w:t>
      </w:r>
      <w:r>
        <w:rPr>
          <w:rFonts w:ascii="Times New Roman" w:hAnsi="Times New Roman" w:eastAsia="Times New Roman" w:cs="Times New Roman"/>
          <w:spacing w:val="42"/>
        </w:rPr>
        <w:t xml:space="preserve"> </w:t>
      </w:r>
      <w:r>
        <w:rPr>
          <w:spacing w:val="10"/>
        </w:rPr>
        <w:t>的运行环境需求(若有)。如在其上运行</w:t>
      </w:r>
      <w:r>
        <w:rPr>
          <w:rFonts w:ascii="Times New Roman" w:hAnsi="Times New Roman" w:eastAsia="Times New Roman" w:cs="Times New Roman"/>
        </w:rPr>
        <w:t>CSCI</w:t>
      </w:r>
      <w:r>
        <w:rPr>
          <w:rFonts w:ascii="Times New Roman" w:hAnsi="Times New Roman" w:eastAsia="Times New Roman" w:cs="Times New Roman"/>
          <w:spacing w:val="43"/>
        </w:rPr>
        <w:t xml:space="preserve"> </w:t>
      </w:r>
      <w:r>
        <w:rPr>
          <w:spacing w:val="10"/>
        </w:rPr>
        <w:t>的计算机</w:t>
      </w:r>
      <w:r>
        <w:t xml:space="preserve"> </w:t>
      </w:r>
      <w:r>
        <w:rPr>
          <w:spacing w:val="6"/>
        </w:rPr>
        <w:t>硬件和操作系统(对计算机资源的其他需求见3.10)。</w:t>
      </w:r>
    </w:p>
    <w:p w14:paraId="3CC6C1C9">
      <w:pPr>
        <w:spacing w:before="1" w:line="220" w:lineRule="auto"/>
        <w:rPr>
          <w:rFonts w:ascii="黑体" w:hAnsi="黑体" w:eastAsia="黑体" w:cs="黑体"/>
          <w:sz w:val="27"/>
          <w:szCs w:val="27"/>
        </w:rPr>
      </w:pPr>
      <w:r>
        <w:rPr>
          <w:rFonts w:ascii="黑体" w:hAnsi="黑体" w:eastAsia="黑体" w:cs="黑体"/>
          <w:spacing w:val="1"/>
          <w:sz w:val="27"/>
          <w:szCs w:val="27"/>
        </w:rPr>
        <w:t>3.10</w:t>
      </w:r>
      <w:r>
        <w:rPr>
          <w:rFonts w:ascii="黑体" w:hAnsi="黑体" w:eastAsia="黑体" w:cs="黑体"/>
          <w:spacing w:val="19"/>
          <w:sz w:val="27"/>
          <w:szCs w:val="27"/>
        </w:rPr>
        <w:t xml:space="preserve">  </w:t>
      </w:r>
      <w:r>
        <w:rPr>
          <w:rFonts w:ascii="黑体" w:hAnsi="黑体" w:eastAsia="黑体" w:cs="黑体"/>
          <w:b/>
          <w:bCs/>
          <w:spacing w:val="1"/>
          <w:sz w:val="27"/>
          <w:szCs w:val="27"/>
        </w:rPr>
        <w:t>计算机资源需求</w:t>
      </w:r>
    </w:p>
    <w:p w14:paraId="0C54425A">
      <w:pPr>
        <w:spacing w:before="97" w:line="222" w:lineRule="auto"/>
        <w:rPr>
          <w:rFonts w:ascii="黑体" w:hAnsi="黑体" w:eastAsia="黑体" w:cs="黑体"/>
          <w:sz w:val="27"/>
          <w:szCs w:val="27"/>
        </w:rPr>
      </w:pPr>
      <w:r>
        <w:rPr>
          <w:rFonts w:ascii="黑体" w:hAnsi="黑体" w:eastAsia="黑体" w:cs="黑体"/>
          <w:sz w:val="27"/>
          <w:szCs w:val="27"/>
        </w:rPr>
        <w:t>3.10.1</w:t>
      </w:r>
      <w:r>
        <w:rPr>
          <w:rFonts w:ascii="黑体" w:hAnsi="黑体" w:eastAsia="黑体" w:cs="黑体"/>
          <w:spacing w:val="30"/>
          <w:sz w:val="27"/>
          <w:szCs w:val="27"/>
        </w:rPr>
        <w:t xml:space="preserve">  </w:t>
      </w:r>
      <w:r>
        <w:rPr>
          <w:rFonts w:ascii="黑体" w:hAnsi="黑体" w:eastAsia="黑体" w:cs="黑体"/>
          <w:b/>
          <w:bCs/>
          <w:sz w:val="27"/>
          <w:szCs w:val="27"/>
        </w:rPr>
        <w:t>计算机硬件需求</w:t>
      </w:r>
    </w:p>
    <w:p w14:paraId="642FB8A7">
      <w:pPr>
        <w:pStyle w:val="2"/>
        <w:spacing w:before="120" w:line="289" w:lineRule="auto"/>
        <w:ind w:right="76" w:firstLine="570"/>
        <w:jc w:val="both"/>
      </w:pPr>
      <w:r>
        <w:rPr>
          <w:spacing w:val="10"/>
        </w:rPr>
        <w:t>本条应描述针对本</w:t>
      </w:r>
      <w:r>
        <w:rPr>
          <w:rFonts w:ascii="Times New Roman" w:hAnsi="Times New Roman" w:eastAsia="Times New Roman" w:cs="Times New Roman"/>
        </w:rPr>
        <w:t>CSCI</w:t>
      </w:r>
      <w:r>
        <w:rPr>
          <w:rFonts w:ascii="Times New Roman" w:hAnsi="Times New Roman" w:eastAsia="Times New Roman" w:cs="Times New Roman"/>
          <w:spacing w:val="30"/>
        </w:rPr>
        <w:t xml:space="preserve"> </w:t>
      </w:r>
      <w:r>
        <w:rPr>
          <w:spacing w:val="10"/>
        </w:rPr>
        <w:t>必须使用的计算机硬件的需求(若有)。(若适用)</w:t>
      </w:r>
      <w:r>
        <w:t xml:space="preserve"> </w:t>
      </w:r>
      <w:r>
        <w:rPr>
          <w:spacing w:val="-6"/>
        </w:rPr>
        <w:t>这些需求应包括：各类设备的数量；处理机、存储器、输入/</w:t>
      </w:r>
      <w:r>
        <w:rPr>
          <w:spacing w:val="-7"/>
        </w:rPr>
        <w:t>输出设备、辅助存储</w:t>
      </w:r>
      <w:r>
        <w:t xml:space="preserve"> </w:t>
      </w:r>
      <w:r>
        <w:rPr>
          <w:spacing w:val="-7"/>
        </w:rPr>
        <w:t>器、通信/网络设备及所需其他设备的类型、大小、容量和其他</w:t>
      </w:r>
      <w:r>
        <w:rPr>
          <w:spacing w:val="-8"/>
        </w:rPr>
        <w:t>所需的特征。</w:t>
      </w:r>
    </w:p>
    <w:p w14:paraId="4FA93343">
      <w:pPr>
        <w:spacing w:line="289" w:lineRule="auto"/>
        <w:sectPr>
          <w:footerReference r:id="rId229" w:type="default"/>
          <w:pgSz w:w="11910" w:h="17130"/>
          <w:pgMar w:top="1456" w:right="904" w:bottom="1644" w:left="1519" w:header="0" w:footer="1428" w:gutter="0"/>
          <w:cols w:space="720" w:num="1"/>
        </w:sectPr>
      </w:pPr>
    </w:p>
    <w:p w14:paraId="36550642">
      <w:pPr>
        <w:spacing w:before="54" w:line="221" w:lineRule="auto"/>
        <w:rPr>
          <w:rFonts w:ascii="黑体" w:hAnsi="黑体" w:eastAsia="黑体" w:cs="黑体"/>
          <w:sz w:val="27"/>
          <w:szCs w:val="27"/>
        </w:rPr>
      </w:pPr>
      <w:r>
        <w:rPr>
          <w:rFonts w:ascii="黑体" w:hAnsi="黑体" w:eastAsia="黑体" w:cs="黑体"/>
          <w:spacing w:val="4"/>
          <w:sz w:val="27"/>
          <w:szCs w:val="27"/>
        </w:rPr>
        <w:t>3.10.2  计算机硬件资源使用需求</w:t>
      </w:r>
    </w:p>
    <w:p w14:paraId="6901A234">
      <w:pPr>
        <w:pStyle w:val="2"/>
        <w:spacing w:before="62" w:line="273" w:lineRule="auto"/>
        <w:ind w:right="76" w:firstLine="560"/>
        <w:jc w:val="both"/>
      </w:pPr>
      <w:r>
        <w:rPr>
          <w:spacing w:val="13"/>
        </w:rPr>
        <w:t>本条应描述本</w:t>
      </w:r>
      <w:r>
        <w:rPr>
          <w:rFonts w:ascii="Times New Roman" w:hAnsi="Times New Roman" w:eastAsia="Times New Roman" w:cs="Times New Roman"/>
        </w:rPr>
        <w:t>CSCI</w:t>
      </w:r>
      <w:r>
        <w:rPr>
          <w:rFonts w:ascii="Times New Roman" w:hAnsi="Times New Roman" w:eastAsia="Times New Roman" w:cs="Times New Roman"/>
          <w:spacing w:val="56"/>
        </w:rPr>
        <w:t xml:space="preserve"> </w:t>
      </w:r>
      <w:r>
        <w:rPr>
          <w:spacing w:val="13"/>
        </w:rPr>
        <w:t>的计算机硬件资源使用需求(若有),例如最大允许利</w:t>
      </w:r>
      <w:r>
        <w:t xml:space="preserve"> </w:t>
      </w:r>
      <w:r>
        <w:rPr>
          <w:spacing w:val="-3"/>
        </w:rPr>
        <w:t>用的处理机能力、内存容量、输入/输出设备的能力、辅助存储设备容量和通信/</w:t>
      </w:r>
      <w:r>
        <w:rPr>
          <w:spacing w:val="17"/>
        </w:rPr>
        <w:t xml:space="preserve"> </w:t>
      </w:r>
      <w:r>
        <w:rPr>
          <w:spacing w:val="6"/>
        </w:rPr>
        <w:t>网络设备的能力。这些需求(例如陈述为每一个计算机硬件资源能力的百分比)</w:t>
      </w:r>
      <w:r>
        <w:rPr>
          <w:spacing w:val="17"/>
        </w:rPr>
        <w:t xml:space="preserve"> </w:t>
      </w:r>
      <w:r>
        <w:rPr>
          <w:spacing w:val="3"/>
        </w:rPr>
        <w:t>应包括测量资源使用时所处的条件(若有)。</w:t>
      </w:r>
    </w:p>
    <w:p w14:paraId="41F6592A">
      <w:pPr>
        <w:spacing w:line="368" w:lineRule="exact"/>
        <w:rPr>
          <w:rFonts w:ascii="黑体" w:hAnsi="黑体" w:eastAsia="黑体" w:cs="黑体"/>
          <w:sz w:val="27"/>
          <w:szCs w:val="27"/>
        </w:rPr>
      </w:pPr>
      <w:r>
        <w:rPr>
          <w:rFonts w:ascii="Arial" w:hAnsi="Arial" w:eastAsia="Arial" w:cs="Arial"/>
          <w:spacing w:val="1"/>
          <w:position w:val="1"/>
          <w:sz w:val="27"/>
          <w:szCs w:val="27"/>
        </w:rPr>
        <w:t>3.10.3</w:t>
      </w:r>
      <w:r>
        <w:rPr>
          <w:rFonts w:ascii="Arial" w:hAnsi="Arial" w:eastAsia="Arial" w:cs="Arial"/>
          <w:spacing w:val="15"/>
          <w:position w:val="1"/>
          <w:sz w:val="27"/>
          <w:szCs w:val="27"/>
        </w:rPr>
        <w:t xml:space="preserve">    </w:t>
      </w:r>
      <w:r>
        <w:rPr>
          <w:rFonts w:ascii="黑体" w:hAnsi="黑体" w:eastAsia="黑体" w:cs="黑体"/>
          <w:spacing w:val="1"/>
          <w:position w:val="1"/>
          <w:sz w:val="27"/>
          <w:szCs w:val="27"/>
        </w:rPr>
        <w:t>计算机软件需求</w:t>
      </w:r>
    </w:p>
    <w:p w14:paraId="0BA52067">
      <w:pPr>
        <w:pStyle w:val="2"/>
        <w:spacing w:before="101" w:line="272" w:lineRule="auto"/>
        <w:ind w:right="100" w:firstLine="560"/>
        <w:jc w:val="both"/>
      </w:pPr>
      <w:r>
        <w:rPr>
          <w:spacing w:val="13"/>
        </w:rPr>
        <w:t>本条应描述本</w:t>
      </w:r>
      <w:r>
        <w:rPr>
          <w:rFonts w:ascii="Times New Roman" w:hAnsi="Times New Roman" w:eastAsia="Times New Roman" w:cs="Times New Roman"/>
        </w:rPr>
        <w:t>CSCI</w:t>
      </w:r>
      <w:r>
        <w:rPr>
          <w:rFonts w:ascii="Times New Roman" w:hAnsi="Times New Roman" w:eastAsia="Times New Roman" w:cs="Times New Roman"/>
          <w:spacing w:val="28"/>
        </w:rPr>
        <w:t xml:space="preserve"> </w:t>
      </w:r>
      <w:r>
        <w:rPr>
          <w:spacing w:val="13"/>
        </w:rPr>
        <w:t>必须使用或必须被并入本</w:t>
      </w:r>
      <w:r>
        <w:rPr>
          <w:spacing w:val="-68"/>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13"/>
        </w:rPr>
        <w:t>的计算机软件的需求</w:t>
      </w:r>
      <w:r>
        <w:t xml:space="preserve"> </w:t>
      </w:r>
      <w:r>
        <w:rPr>
          <w:spacing w:val="-13"/>
        </w:rPr>
        <w:t>(若有)。例子包括：操作系统、数据库管理系统、通信/网络软件、实用软件、输入</w:t>
      </w:r>
      <w:r>
        <w:t xml:space="preserve"> </w:t>
      </w:r>
      <w:r>
        <w:rPr>
          <w:spacing w:val="6"/>
        </w:rPr>
        <w:t>和设备仿真软件、测试软件和制造软件。要列出每一个这样的软件项的正确名</w:t>
      </w:r>
      <w:r>
        <w:t xml:space="preserve"> </w:t>
      </w:r>
      <w:r>
        <w:rPr>
          <w:spacing w:val="-11"/>
        </w:rPr>
        <w:t>称、版本和参考文档。</w:t>
      </w:r>
    </w:p>
    <w:p w14:paraId="5A31D81C">
      <w:pPr>
        <w:spacing w:before="27" w:line="222" w:lineRule="auto"/>
        <w:rPr>
          <w:rFonts w:ascii="黑体" w:hAnsi="黑体" w:eastAsia="黑体" w:cs="黑体"/>
          <w:sz w:val="27"/>
          <w:szCs w:val="27"/>
        </w:rPr>
      </w:pPr>
      <w:r>
        <w:rPr>
          <w:rFonts w:ascii="黑体" w:hAnsi="黑体" w:eastAsia="黑体" w:cs="黑体"/>
          <w:spacing w:val="2"/>
          <w:sz w:val="27"/>
          <w:szCs w:val="27"/>
        </w:rPr>
        <w:t>3.10.4  计算机通信需求</w:t>
      </w:r>
    </w:p>
    <w:p w14:paraId="57C56CD6">
      <w:pPr>
        <w:pStyle w:val="2"/>
        <w:spacing w:before="84" w:line="279" w:lineRule="auto"/>
        <w:ind w:right="20" w:firstLine="560"/>
        <w:jc w:val="both"/>
      </w:pPr>
      <w:r>
        <w:rPr>
          <w:spacing w:val="20"/>
        </w:rPr>
        <w:t>本条应描述本</w:t>
      </w:r>
      <w:r>
        <w:rPr>
          <w:rFonts w:ascii="Times New Roman" w:hAnsi="Times New Roman" w:eastAsia="Times New Roman" w:cs="Times New Roman"/>
        </w:rPr>
        <w:t>CSCI</w:t>
      </w:r>
      <w:r>
        <w:rPr>
          <w:rFonts w:ascii="Times New Roman" w:hAnsi="Times New Roman" w:eastAsia="Times New Roman" w:cs="Times New Roman"/>
          <w:spacing w:val="20"/>
        </w:rPr>
        <w:t xml:space="preserve"> </w:t>
      </w:r>
      <w:r>
        <w:rPr>
          <w:spacing w:val="20"/>
        </w:rPr>
        <w:t>必须使用的计算机通信方面的需求(</w:t>
      </w:r>
      <w:r>
        <w:rPr>
          <w:spacing w:val="19"/>
        </w:rPr>
        <w:t>若有)。例子包</w:t>
      </w:r>
      <w:r>
        <w:t xml:space="preserve"> </w:t>
      </w:r>
      <w:r>
        <w:rPr>
          <w:spacing w:val="-17"/>
        </w:rPr>
        <w:t>括：要连接的地理位置；配置和网络拓扑；传输技术；数据传送速率；网关；要求的</w:t>
      </w:r>
      <w:r>
        <w:rPr>
          <w:spacing w:val="7"/>
        </w:rPr>
        <w:t xml:space="preserve"> </w:t>
      </w:r>
      <w:r>
        <w:rPr>
          <w:spacing w:val="-3"/>
        </w:rPr>
        <w:t>系统使用时间；被传送/接收的数据的类型和容量；传送/</w:t>
      </w:r>
      <w:r>
        <w:rPr>
          <w:spacing w:val="-4"/>
        </w:rPr>
        <w:t>接收/响应的时间限制；</w:t>
      </w:r>
      <w:r>
        <w:t xml:space="preserve"> </w:t>
      </w:r>
      <w:r>
        <w:rPr>
          <w:spacing w:val="-7"/>
        </w:rPr>
        <w:t>数据量的峰值；以及诊断特性。</w:t>
      </w:r>
    </w:p>
    <w:p w14:paraId="3507BC55">
      <w:pPr>
        <w:spacing w:line="222" w:lineRule="auto"/>
        <w:rPr>
          <w:rFonts w:ascii="黑体" w:hAnsi="黑体" w:eastAsia="黑体" w:cs="黑体"/>
          <w:sz w:val="27"/>
          <w:szCs w:val="27"/>
        </w:rPr>
      </w:pPr>
      <w:r>
        <w:rPr>
          <w:rFonts w:ascii="黑体" w:hAnsi="黑体" w:eastAsia="黑体" w:cs="黑体"/>
          <w:spacing w:val="3"/>
          <w:sz w:val="27"/>
          <w:szCs w:val="27"/>
        </w:rPr>
        <w:t>3.11</w:t>
      </w:r>
      <w:r>
        <w:rPr>
          <w:rFonts w:ascii="黑体" w:hAnsi="黑体" w:eastAsia="黑体" w:cs="黑体"/>
          <w:spacing w:val="23"/>
          <w:sz w:val="27"/>
          <w:szCs w:val="27"/>
        </w:rPr>
        <w:t xml:space="preserve">  </w:t>
      </w:r>
      <w:r>
        <w:rPr>
          <w:rFonts w:ascii="黑体" w:hAnsi="黑体" w:eastAsia="黑体" w:cs="黑体"/>
          <w:spacing w:val="3"/>
          <w:sz w:val="27"/>
          <w:szCs w:val="27"/>
        </w:rPr>
        <w:t>软件质量因素</w:t>
      </w:r>
    </w:p>
    <w:p w14:paraId="432BB0C2">
      <w:pPr>
        <w:pStyle w:val="2"/>
        <w:spacing w:before="86" w:line="280" w:lineRule="auto"/>
        <w:ind w:right="102" w:firstLine="560"/>
        <w:jc w:val="both"/>
      </w:pPr>
      <w:r>
        <w:rPr>
          <w:spacing w:val="5"/>
        </w:rPr>
        <w:t>本条应描述合同(或软件研制任务书)规定的或由较高一级规格说明派生出</w:t>
      </w:r>
      <w:r>
        <w:rPr>
          <w:spacing w:val="16"/>
        </w:rPr>
        <w:t xml:space="preserve"> </w:t>
      </w:r>
      <w:r>
        <w:rPr>
          <w:spacing w:val="4"/>
        </w:rPr>
        <w:t>的软件质量因素方面的</w:t>
      </w:r>
      <w:r>
        <w:rPr>
          <w:rFonts w:ascii="Times New Roman" w:hAnsi="Times New Roman" w:eastAsia="Times New Roman" w:cs="Times New Roman"/>
        </w:rPr>
        <w:t>CSCI</w:t>
      </w:r>
      <w:r>
        <w:rPr>
          <w:rFonts w:ascii="Times New Roman" w:hAnsi="Times New Roman" w:eastAsia="Times New Roman" w:cs="Times New Roman"/>
          <w:spacing w:val="43"/>
        </w:rPr>
        <w:t xml:space="preserve"> </w:t>
      </w:r>
      <w:r>
        <w:rPr>
          <w:spacing w:val="4"/>
        </w:rPr>
        <w:t>需求(若有)。例子包</w:t>
      </w:r>
      <w:r>
        <w:rPr>
          <w:spacing w:val="3"/>
        </w:rPr>
        <w:t>括：有关</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3"/>
        </w:rPr>
        <w:t>功能性、可靠</w:t>
      </w:r>
      <w:r>
        <w:t xml:space="preserve"> </w:t>
      </w:r>
      <w:r>
        <w:rPr>
          <w:spacing w:val="-15"/>
        </w:rPr>
        <w:t>性、易用性、效率、维护性、可移植性和其他属性的定量要求。</w:t>
      </w:r>
    </w:p>
    <w:p w14:paraId="1435E1A2">
      <w:pPr>
        <w:spacing w:before="1" w:line="221" w:lineRule="auto"/>
        <w:rPr>
          <w:rFonts w:ascii="黑体" w:hAnsi="黑体" w:eastAsia="黑体" w:cs="黑体"/>
          <w:sz w:val="27"/>
          <w:szCs w:val="27"/>
        </w:rPr>
      </w:pPr>
      <w:r>
        <w:rPr>
          <w:rFonts w:ascii="黑体" w:hAnsi="黑体" w:eastAsia="黑体" w:cs="黑体"/>
          <w:spacing w:val="3"/>
          <w:sz w:val="27"/>
          <w:szCs w:val="27"/>
        </w:rPr>
        <w:t>3.12</w:t>
      </w:r>
      <w:r>
        <w:rPr>
          <w:rFonts w:ascii="黑体" w:hAnsi="黑体" w:eastAsia="黑体" w:cs="黑体"/>
          <w:spacing w:val="23"/>
          <w:sz w:val="27"/>
          <w:szCs w:val="27"/>
        </w:rPr>
        <w:t xml:space="preserve">  </w:t>
      </w:r>
      <w:r>
        <w:rPr>
          <w:rFonts w:ascii="黑体" w:hAnsi="黑体" w:eastAsia="黑体" w:cs="黑体"/>
          <w:spacing w:val="3"/>
          <w:sz w:val="27"/>
          <w:szCs w:val="27"/>
        </w:rPr>
        <w:t>设计和实现约束</w:t>
      </w:r>
    </w:p>
    <w:p w14:paraId="4A397140">
      <w:pPr>
        <w:pStyle w:val="2"/>
        <w:spacing w:before="75" w:line="267" w:lineRule="auto"/>
        <w:ind w:right="82" w:firstLine="560"/>
      </w:pPr>
      <w:r>
        <w:rPr>
          <w:spacing w:val="8"/>
        </w:rPr>
        <w:t>本条应描述约束</w:t>
      </w:r>
      <w:r>
        <w:rPr>
          <w:spacing w:val="-64"/>
        </w:rPr>
        <w:t xml:space="preserve"> </w:t>
      </w:r>
      <w:r>
        <w:rPr>
          <w:rFonts w:ascii="Times New Roman" w:hAnsi="Times New Roman" w:eastAsia="Times New Roman" w:cs="Times New Roman"/>
        </w:rPr>
        <w:t>CSCI</w:t>
      </w:r>
      <w:r>
        <w:rPr>
          <w:rFonts w:ascii="Times New Roman" w:hAnsi="Times New Roman" w:eastAsia="Times New Roman" w:cs="Times New Roman"/>
          <w:spacing w:val="32"/>
          <w:w w:val="101"/>
        </w:rPr>
        <w:t xml:space="preserve"> </w:t>
      </w:r>
      <w:r>
        <w:rPr>
          <w:spacing w:val="8"/>
        </w:rPr>
        <w:t>的设计和实现的那些需求(若有)。这些需求可引用</w:t>
      </w:r>
      <w:r>
        <w:t xml:space="preserve"> </w:t>
      </w:r>
      <w:r>
        <w:rPr>
          <w:spacing w:val="4"/>
        </w:rPr>
        <w:t>相应的商用或军用标准和规范来指定。例子包括关于以下各方面的需求：</w:t>
      </w:r>
    </w:p>
    <w:p w14:paraId="55DED176">
      <w:pPr>
        <w:pStyle w:val="2"/>
        <w:spacing w:before="4" w:line="266" w:lineRule="auto"/>
        <w:ind w:right="94" w:firstLine="560"/>
      </w:pPr>
      <w:r>
        <w:rPr>
          <w:rFonts w:ascii="Times New Roman" w:hAnsi="Times New Roman" w:eastAsia="Times New Roman" w:cs="Times New Roman"/>
          <w:spacing w:val="-1"/>
        </w:rPr>
        <w:t xml:space="preserve">a)  </w:t>
      </w:r>
      <w:r>
        <w:rPr>
          <w:spacing w:val="-1"/>
        </w:rPr>
        <w:t>使用一个特定的</w:t>
      </w:r>
      <w:r>
        <w:rPr>
          <w:rFonts w:ascii="Times New Roman" w:hAnsi="Times New Roman" w:eastAsia="Times New Roman" w:cs="Times New Roman"/>
          <w:spacing w:val="-1"/>
        </w:rPr>
        <w:t>CSCI</w:t>
      </w:r>
      <w:r>
        <w:rPr>
          <w:rFonts w:ascii="Times New Roman" w:hAnsi="Times New Roman" w:eastAsia="Times New Roman" w:cs="Times New Roman"/>
          <w:spacing w:val="33"/>
        </w:rPr>
        <w:t xml:space="preserve"> </w:t>
      </w:r>
      <w:r>
        <w:rPr>
          <w:spacing w:val="-1"/>
        </w:rPr>
        <w:t>体系结构，或针对体系结构的</w:t>
      </w:r>
      <w:r>
        <w:rPr>
          <w:spacing w:val="-2"/>
        </w:rPr>
        <w:t>要求，例如所要求的</w:t>
      </w:r>
      <w:r>
        <w:t xml:space="preserve"> </w:t>
      </w:r>
      <w:r>
        <w:rPr>
          <w:spacing w:val="2"/>
        </w:rPr>
        <w:t>数据库或其他软件单元；使用标准的或现有</w:t>
      </w:r>
      <w:r>
        <w:rPr>
          <w:spacing w:val="1"/>
        </w:rPr>
        <w:t>的部件；或使用由政府/需方提供的</w:t>
      </w:r>
      <w:r>
        <w:t xml:space="preserve"> </w:t>
      </w:r>
      <w:r>
        <w:rPr>
          <w:spacing w:val="-4"/>
        </w:rPr>
        <w:t>资源(设备、信息或软件);</w:t>
      </w:r>
    </w:p>
    <w:p w14:paraId="64D073A0">
      <w:pPr>
        <w:pStyle w:val="2"/>
        <w:spacing w:before="60" w:line="258" w:lineRule="auto"/>
        <w:ind w:right="125" w:firstLine="560"/>
      </w:pPr>
      <w:r>
        <w:rPr>
          <w:rFonts w:ascii="Times New Roman" w:hAnsi="Times New Roman" w:eastAsia="Times New Roman" w:cs="Times New Roman"/>
          <w:spacing w:val="10"/>
        </w:rPr>
        <w:t>b)</w:t>
      </w:r>
      <w:r>
        <w:rPr>
          <w:rFonts w:ascii="Times New Roman" w:hAnsi="Times New Roman" w:eastAsia="Times New Roman" w:cs="Times New Roman"/>
          <w:spacing w:val="85"/>
          <w:w w:val="101"/>
        </w:rPr>
        <w:t xml:space="preserve"> </w:t>
      </w:r>
      <w:r>
        <w:rPr>
          <w:spacing w:val="10"/>
        </w:rPr>
        <w:t>使用特定的设计或实现标准；使用特定的数据标准；使用特定的编程</w:t>
      </w:r>
      <w:r>
        <w:t xml:space="preserve"> </w:t>
      </w:r>
      <w:r>
        <w:rPr>
          <w:spacing w:val="-6"/>
        </w:rPr>
        <w:t>语言；</w:t>
      </w:r>
    </w:p>
    <w:p w14:paraId="4E1C5453">
      <w:pPr>
        <w:pStyle w:val="2"/>
        <w:spacing w:before="76" w:line="272" w:lineRule="auto"/>
        <w:ind w:right="105" w:firstLine="560"/>
        <w:rPr>
          <w:sz w:val="25"/>
          <w:szCs w:val="25"/>
        </w:rPr>
      </w:pPr>
      <w:r>
        <w:rPr>
          <w:rFonts w:ascii="Times New Roman" w:hAnsi="Times New Roman" w:eastAsia="Times New Roman" w:cs="Times New Roman"/>
          <w:spacing w:val="21"/>
          <w:sz w:val="25"/>
          <w:szCs w:val="25"/>
        </w:rPr>
        <w:t xml:space="preserve">c)  </w:t>
      </w:r>
      <w:r>
        <w:rPr>
          <w:spacing w:val="21"/>
          <w:sz w:val="25"/>
          <w:szCs w:val="25"/>
        </w:rPr>
        <w:t>为支持在技术、威胁或使命方面预期的增长或变化，必须提供的灵活性</w:t>
      </w:r>
      <w:r>
        <w:rPr>
          <w:spacing w:val="14"/>
          <w:sz w:val="25"/>
          <w:szCs w:val="25"/>
        </w:rPr>
        <w:t xml:space="preserve"> </w:t>
      </w:r>
      <w:r>
        <w:rPr>
          <w:spacing w:val="17"/>
          <w:sz w:val="25"/>
          <w:szCs w:val="25"/>
        </w:rPr>
        <w:t>和可扩展性。</w:t>
      </w:r>
    </w:p>
    <w:p w14:paraId="1B5D645A">
      <w:pPr>
        <w:spacing w:before="109" w:line="221" w:lineRule="auto"/>
        <w:rPr>
          <w:rFonts w:ascii="黑体" w:hAnsi="黑体" w:eastAsia="黑体" w:cs="黑体"/>
          <w:sz w:val="25"/>
          <w:szCs w:val="25"/>
        </w:rPr>
      </w:pPr>
      <w:r>
        <w:rPr>
          <w:rFonts w:ascii="黑体" w:hAnsi="黑体" w:eastAsia="黑体" w:cs="黑体"/>
          <w:spacing w:val="7"/>
          <w:sz w:val="25"/>
          <w:szCs w:val="25"/>
        </w:rPr>
        <w:t>3.13</w:t>
      </w:r>
      <w:r>
        <w:rPr>
          <w:rFonts w:ascii="黑体" w:hAnsi="黑体" w:eastAsia="黑体" w:cs="黑体"/>
          <w:spacing w:val="53"/>
          <w:sz w:val="25"/>
          <w:szCs w:val="25"/>
        </w:rPr>
        <w:t xml:space="preserve">  </w:t>
      </w:r>
      <w:r>
        <w:rPr>
          <w:rFonts w:ascii="黑体" w:hAnsi="黑体" w:eastAsia="黑体" w:cs="黑体"/>
          <w:spacing w:val="7"/>
          <w:sz w:val="25"/>
          <w:szCs w:val="25"/>
        </w:rPr>
        <w:t>人员需求</w:t>
      </w:r>
    </w:p>
    <w:p w14:paraId="08B7BCB2">
      <w:pPr>
        <w:pStyle w:val="2"/>
        <w:spacing w:before="89" w:line="282" w:lineRule="auto"/>
        <w:ind w:firstLine="560"/>
        <w:jc w:val="both"/>
      </w:pPr>
      <w:r>
        <w:rPr>
          <w:spacing w:val="9"/>
        </w:rPr>
        <w:t>本条应描述与使用或支持本</w:t>
      </w:r>
      <w:r>
        <w:rPr>
          <w:rFonts w:ascii="Times New Roman" w:hAnsi="Times New Roman" w:eastAsia="Times New Roman" w:cs="Times New Roman"/>
        </w:rPr>
        <w:t>CSCI</w:t>
      </w:r>
      <w:r>
        <w:rPr>
          <w:rFonts w:ascii="Times New Roman" w:hAnsi="Times New Roman" w:eastAsia="Times New Roman" w:cs="Times New Roman"/>
          <w:spacing w:val="32"/>
        </w:rPr>
        <w:t xml:space="preserve"> </w:t>
      </w:r>
      <w:r>
        <w:rPr>
          <w:spacing w:val="9"/>
        </w:rPr>
        <w:t>的人员有关的</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9"/>
        </w:rPr>
        <w:t>需求(</w:t>
      </w:r>
      <w:r>
        <w:rPr>
          <w:spacing w:val="8"/>
        </w:rPr>
        <w:t>若有),包括人</w:t>
      </w:r>
      <w:r>
        <w:t xml:space="preserve">  </w:t>
      </w:r>
      <w:r>
        <w:rPr>
          <w:spacing w:val="-2"/>
        </w:rPr>
        <w:t>员的数量、技术水平、责任期限、培训要求或其他信息。例子</w:t>
      </w:r>
      <w:r>
        <w:rPr>
          <w:spacing w:val="-3"/>
        </w:rPr>
        <w:t>包括要求允许多少</w:t>
      </w:r>
      <w:r>
        <w:t xml:space="preserve"> </w:t>
      </w:r>
      <w:r>
        <w:rPr>
          <w:spacing w:val="-1"/>
        </w:rPr>
        <w:t>用户同时工作，以及嵌入的帮助和培训等方面的需求；还应包括施加于</w:t>
      </w:r>
      <w:r>
        <w:rPr>
          <w:rFonts w:ascii="Times New Roman" w:hAnsi="Times New Roman" w:eastAsia="Times New Roman" w:cs="Times New Roman"/>
          <w:spacing w:val="-1"/>
        </w:rPr>
        <w:t>CSCI</w:t>
      </w:r>
      <w:r>
        <w:rPr>
          <w:rFonts w:ascii="Times New Roman" w:hAnsi="Times New Roman" w:eastAsia="Times New Roman" w:cs="Times New Roman"/>
          <w:spacing w:val="54"/>
        </w:rPr>
        <w:t xml:space="preserve"> </w:t>
      </w:r>
      <w:r>
        <w:rPr>
          <w:spacing w:val="-1"/>
        </w:rPr>
        <w:t>的</w:t>
      </w:r>
      <w:r>
        <w:t xml:space="preserve">  </w:t>
      </w:r>
      <w:r>
        <w:rPr>
          <w:spacing w:val="8"/>
        </w:rPr>
        <w:t>人素工程需求(若有)。(适用时)这些需求应包括对人的能力和局限性的考虑，</w:t>
      </w:r>
    </w:p>
    <w:p w14:paraId="65591B25">
      <w:pPr>
        <w:spacing w:line="282" w:lineRule="auto"/>
        <w:sectPr>
          <w:footerReference r:id="rId230" w:type="default"/>
          <w:pgSz w:w="11910" w:h="17130"/>
          <w:pgMar w:top="1454" w:right="1324" w:bottom="1680" w:left="1100" w:header="0" w:footer="1482" w:gutter="0"/>
          <w:cols w:space="720" w:num="1"/>
        </w:sectPr>
      </w:pPr>
    </w:p>
    <w:p w14:paraId="76B67ECA">
      <w:pPr>
        <w:pStyle w:val="2"/>
        <w:spacing w:before="62" w:line="289" w:lineRule="auto"/>
        <w:ind w:right="107"/>
        <w:jc w:val="both"/>
      </w:pPr>
      <w:r>
        <w:rPr>
          <w:spacing w:val="5"/>
        </w:rPr>
        <w:t>在正常和极端条件下可预见的人为错误，以及人为错误影响特别严重的那些特</w:t>
      </w:r>
      <w:r>
        <w:rPr>
          <w:spacing w:val="18"/>
        </w:rPr>
        <w:t xml:space="preserve"> </w:t>
      </w:r>
      <w:r>
        <w:rPr>
          <w:spacing w:val="6"/>
        </w:rPr>
        <w:t>定场合。例子包括对出错消息的颜色和持续</w:t>
      </w:r>
      <w:r>
        <w:rPr>
          <w:spacing w:val="5"/>
        </w:rPr>
        <w:t>时间的要求、对关键指示器或按钮</w:t>
      </w:r>
      <w:r>
        <w:t xml:space="preserve"> </w:t>
      </w:r>
      <w:r>
        <w:rPr>
          <w:spacing w:val="-4"/>
        </w:rPr>
        <w:t>的物理位置的要求，以及对听觉信号的使用要求。</w:t>
      </w:r>
    </w:p>
    <w:p w14:paraId="72ADE391">
      <w:pPr>
        <w:spacing w:before="20" w:line="223" w:lineRule="auto"/>
        <w:rPr>
          <w:rFonts w:ascii="黑体" w:hAnsi="黑体" w:eastAsia="黑体" w:cs="黑体"/>
          <w:sz w:val="25"/>
          <w:szCs w:val="25"/>
        </w:rPr>
      </w:pPr>
      <w:r>
        <w:rPr>
          <w:rFonts w:ascii="黑体" w:hAnsi="黑体" w:eastAsia="黑体" w:cs="黑体"/>
          <w:spacing w:val="9"/>
          <w:sz w:val="25"/>
          <w:szCs w:val="25"/>
        </w:rPr>
        <w:t>3.14</w:t>
      </w:r>
      <w:r>
        <w:rPr>
          <w:rFonts w:ascii="黑体" w:hAnsi="黑体" w:eastAsia="黑体" w:cs="黑体"/>
          <w:spacing w:val="53"/>
          <w:sz w:val="25"/>
          <w:szCs w:val="25"/>
        </w:rPr>
        <w:t xml:space="preserve">  </w:t>
      </w:r>
      <w:r>
        <w:rPr>
          <w:rFonts w:ascii="黑体" w:hAnsi="黑体" w:eastAsia="黑体" w:cs="黑体"/>
          <w:b/>
          <w:bCs/>
          <w:spacing w:val="9"/>
          <w:sz w:val="25"/>
          <w:szCs w:val="25"/>
        </w:rPr>
        <w:t>培训需求</w:t>
      </w:r>
    </w:p>
    <w:p w14:paraId="1B04E0E6">
      <w:pPr>
        <w:pStyle w:val="2"/>
        <w:spacing w:before="89" w:line="219" w:lineRule="auto"/>
        <w:ind w:left="560"/>
      </w:pPr>
      <w:r>
        <w:rPr>
          <w:spacing w:val="7"/>
        </w:rPr>
        <w:t>本条应描述与培训有关的</w:t>
      </w:r>
      <w:r>
        <w:rPr>
          <w:rFonts w:ascii="Times New Roman" w:hAnsi="Times New Roman" w:eastAsia="Times New Roman" w:cs="Times New Roman"/>
        </w:rPr>
        <w:t>CSCI</w:t>
      </w:r>
      <w:r>
        <w:rPr>
          <w:rFonts w:ascii="Times New Roman" w:hAnsi="Times New Roman" w:eastAsia="Times New Roman" w:cs="Times New Roman"/>
          <w:spacing w:val="40"/>
        </w:rPr>
        <w:t xml:space="preserve"> </w:t>
      </w:r>
      <w:r>
        <w:rPr>
          <w:spacing w:val="7"/>
        </w:rPr>
        <w:t>需求(若有)。</w:t>
      </w:r>
    </w:p>
    <w:p w14:paraId="5E184B3B">
      <w:pPr>
        <w:spacing w:before="127" w:line="222" w:lineRule="auto"/>
        <w:rPr>
          <w:rFonts w:ascii="黑体" w:hAnsi="黑体" w:eastAsia="黑体" w:cs="黑体"/>
          <w:sz w:val="27"/>
          <w:szCs w:val="27"/>
        </w:rPr>
      </w:pPr>
      <w:r>
        <w:rPr>
          <w:rFonts w:ascii="黑体" w:hAnsi="黑体" w:eastAsia="黑体" w:cs="黑体"/>
          <w:spacing w:val="-1"/>
          <w:sz w:val="27"/>
          <w:szCs w:val="27"/>
        </w:rPr>
        <w:t>3.15</w:t>
      </w:r>
      <w:r>
        <w:rPr>
          <w:rFonts w:ascii="黑体" w:hAnsi="黑体" w:eastAsia="黑体" w:cs="黑体"/>
          <w:spacing w:val="26"/>
          <w:sz w:val="27"/>
          <w:szCs w:val="27"/>
        </w:rPr>
        <w:t xml:space="preserve">  </w:t>
      </w:r>
      <w:r>
        <w:rPr>
          <w:rFonts w:ascii="黑体" w:hAnsi="黑体" w:eastAsia="黑体" w:cs="黑体"/>
          <w:b/>
          <w:bCs/>
          <w:spacing w:val="-1"/>
          <w:sz w:val="27"/>
          <w:szCs w:val="27"/>
        </w:rPr>
        <w:t>软件保障需求</w:t>
      </w:r>
    </w:p>
    <w:p w14:paraId="37BF518E">
      <w:pPr>
        <w:pStyle w:val="2"/>
        <w:spacing w:before="79" w:line="286" w:lineRule="auto"/>
        <w:ind w:right="85" w:firstLine="560"/>
        <w:jc w:val="both"/>
      </w:pPr>
      <w:r>
        <w:rPr>
          <w:spacing w:val="17"/>
        </w:rPr>
        <w:t>本条应描述与软件保障考虑有关的</w:t>
      </w:r>
      <w:r>
        <w:rPr>
          <w:spacing w:val="-67"/>
        </w:rPr>
        <w:t xml:space="preserve"> </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17"/>
        </w:rPr>
        <w:t>需求(若有)。这些考虑可以包</w:t>
      </w:r>
      <w:r>
        <w:t xml:space="preserve"> </w:t>
      </w:r>
      <w:r>
        <w:rPr>
          <w:spacing w:val="-9"/>
        </w:rPr>
        <w:t>括：对系统维护、软件保障、系统运输方式、</w:t>
      </w:r>
      <w:r>
        <w:rPr>
          <w:spacing w:val="-10"/>
        </w:rPr>
        <w:t>补给系统的要求、对现有设施的影响</w:t>
      </w:r>
      <w:r>
        <w:t xml:space="preserve"> </w:t>
      </w:r>
      <w:r>
        <w:rPr>
          <w:spacing w:val="2"/>
        </w:rPr>
        <w:t>和对现有设备的影响。</w:t>
      </w:r>
    </w:p>
    <w:p w14:paraId="7C5192CE">
      <w:pPr>
        <w:spacing w:before="12" w:line="222" w:lineRule="auto"/>
        <w:rPr>
          <w:rFonts w:ascii="黑体" w:hAnsi="黑体" w:eastAsia="黑体" w:cs="黑体"/>
          <w:sz w:val="27"/>
          <w:szCs w:val="27"/>
        </w:rPr>
      </w:pPr>
      <w:r>
        <w:rPr>
          <w:rFonts w:ascii="黑体" w:hAnsi="黑体" w:eastAsia="黑体" w:cs="黑体"/>
          <w:spacing w:val="-1"/>
          <w:sz w:val="27"/>
          <w:szCs w:val="27"/>
        </w:rPr>
        <w:t>3.16</w:t>
      </w:r>
      <w:r>
        <w:rPr>
          <w:rFonts w:ascii="黑体" w:hAnsi="黑体" w:eastAsia="黑体" w:cs="黑体"/>
          <w:spacing w:val="23"/>
          <w:sz w:val="27"/>
          <w:szCs w:val="27"/>
        </w:rPr>
        <w:t xml:space="preserve">  </w:t>
      </w:r>
      <w:r>
        <w:rPr>
          <w:rFonts w:ascii="黑体" w:hAnsi="黑体" w:eastAsia="黑体" w:cs="黑体"/>
          <w:b/>
          <w:bCs/>
          <w:spacing w:val="-1"/>
          <w:sz w:val="27"/>
          <w:szCs w:val="27"/>
        </w:rPr>
        <w:t>其他需求</w:t>
      </w:r>
    </w:p>
    <w:p w14:paraId="2E9D323D">
      <w:pPr>
        <w:pStyle w:val="2"/>
        <w:spacing w:before="97" w:line="219" w:lineRule="auto"/>
        <w:ind w:left="560"/>
      </w:pPr>
      <w:r>
        <w:rPr>
          <w:spacing w:val="4"/>
        </w:rPr>
        <w:t>本条应描述上述各条未能覆盖的其他</w:t>
      </w:r>
      <w:r>
        <w:rPr>
          <w:spacing w:val="-45"/>
        </w:rPr>
        <w:t xml:space="preserve"> </w:t>
      </w:r>
      <w:r>
        <w:rPr>
          <w:rFonts w:ascii="Times New Roman" w:hAnsi="Times New Roman" w:eastAsia="Times New Roman" w:cs="Times New Roman"/>
        </w:rPr>
        <w:t>CSCI</w:t>
      </w:r>
      <w:r>
        <w:rPr>
          <w:rFonts w:ascii="Times New Roman" w:hAnsi="Times New Roman" w:eastAsia="Times New Roman" w:cs="Times New Roman"/>
          <w:spacing w:val="4"/>
        </w:rPr>
        <w:t xml:space="preserve"> </w:t>
      </w:r>
      <w:r>
        <w:rPr>
          <w:spacing w:val="4"/>
        </w:rPr>
        <w:t>需求(若有)。</w:t>
      </w:r>
    </w:p>
    <w:p w14:paraId="759435A7">
      <w:pPr>
        <w:spacing w:before="126" w:line="222" w:lineRule="auto"/>
        <w:rPr>
          <w:rFonts w:ascii="黑体" w:hAnsi="黑体" w:eastAsia="黑体" w:cs="黑体"/>
          <w:sz w:val="27"/>
          <w:szCs w:val="27"/>
        </w:rPr>
      </w:pPr>
      <w:r>
        <w:rPr>
          <w:rFonts w:ascii="黑体" w:hAnsi="黑体" w:eastAsia="黑体" w:cs="黑体"/>
          <w:spacing w:val="-9"/>
          <w:sz w:val="27"/>
          <w:szCs w:val="27"/>
        </w:rPr>
        <w:t>3.17</w:t>
      </w:r>
      <w:r>
        <w:rPr>
          <w:rFonts w:ascii="黑体" w:hAnsi="黑体" w:eastAsia="黑体" w:cs="黑体"/>
          <w:spacing w:val="27"/>
          <w:sz w:val="27"/>
          <w:szCs w:val="27"/>
        </w:rPr>
        <w:t xml:space="preserve">  </w:t>
      </w:r>
      <w:r>
        <w:rPr>
          <w:rFonts w:ascii="黑体" w:hAnsi="黑体" w:eastAsia="黑体" w:cs="黑体"/>
          <w:b/>
          <w:bCs/>
          <w:spacing w:val="-9"/>
          <w:sz w:val="27"/>
          <w:szCs w:val="27"/>
        </w:rPr>
        <w:t>验收、交付和包装需求</w:t>
      </w:r>
    </w:p>
    <w:p w14:paraId="16A0F009">
      <w:pPr>
        <w:pStyle w:val="2"/>
        <w:spacing w:before="90" w:line="286" w:lineRule="auto"/>
        <w:ind w:right="91" w:firstLine="560"/>
        <w:jc w:val="both"/>
      </w:pPr>
      <w:r>
        <w:rPr>
          <w:spacing w:val="7"/>
        </w:rPr>
        <w:t>本条应描述为了交付而对</w:t>
      </w:r>
      <w:r>
        <w:rPr>
          <w:spacing w:val="-63"/>
        </w:rPr>
        <w:t xml:space="preserve"> </w:t>
      </w:r>
      <w:r>
        <w:rPr>
          <w:rFonts w:ascii="Times New Roman" w:hAnsi="Times New Roman" w:eastAsia="Times New Roman" w:cs="Times New Roman"/>
        </w:rPr>
        <w:t>CSCI</w:t>
      </w:r>
      <w:r>
        <w:rPr>
          <w:rFonts w:ascii="Times New Roman" w:hAnsi="Times New Roman" w:eastAsia="Times New Roman" w:cs="Times New Roman"/>
          <w:spacing w:val="32"/>
          <w:w w:val="101"/>
        </w:rPr>
        <w:t xml:space="preserve"> </w:t>
      </w:r>
      <w:r>
        <w:rPr>
          <w:spacing w:val="7"/>
        </w:rPr>
        <w:t>进行包装、加标记和处理(例如用8道磁带</w:t>
      </w:r>
      <w:r>
        <w:t xml:space="preserve"> </w:t>
      </w:r>
      <w:r>
        <w:rPr>
          <w:spacing w:val="2"/>
        </w:rPr>
        <w:t>提交，该磁带以确定的方式加以包装并贴上标签)的需求(若有)。(若适</w:t>
      </w:r>
      <w:r>
        <w:rPr>
          <w:spacing w:val="1"/>
        </w:rPr>
        <w:t>用)可引</w:t>
      </w:r>
      <w:r>
        <w:t xml:space="preserve"> </w:t>
      </w:r>
      <w:r>
        <w:rPr>
          <w:spacing w:val="3"/>
        </w:rPr>
        <w:t>用适当的标准。</w:t>
      </w:r>
    </w:p>
    <w:p w14:paraId="496044DC">
      <w:pPr>
        <w:spacing w:before="1" w:line="220" w:lineRule="auto"/>
        <w:rPr>
          <w:rFonts w:ascii="黑体" w:hAnsi="黑体" w:eastAsia="黑体" w:cs="黑体"/>
          <w:sz w:val="27"/>
          <w:szCs w:val="27"/>
        </w:rPr>
      </w:pPr>
      <w:r>
        <w:rPr>
          <w:rFonts w:ascii="黑体" w:hAnsi="黑体" w:eastAsia="黑体" w:cs="黑体"/>
          <w:sz w:val="27"/>
          <w:szCs w:val="27"/>
        </w:rPr>
        <w:t>3.18</w:t>
      </w:r>
      <w:r>
        <w:rPr>
          <w:rFonts w:ascii="黑体" w:hAnsi="黑体" w:eastAsia="黑体" w:cs="黑体"/>
          <w:spacing w:val="22"/>
          <w:sz w:val="27"/>
          <w:szCs w:val="27"/>
        </w:rPr>
        <w:t xml:space="preserve">  </w:t>
      </w:r>
      <w:r>
        <w:rPr>
          <w:rFonts w:ascii="黑体" w:hAnsi="黑体" w:eastAsia="黑体" w:cs="黑体"/>
          <w:b/>
          <w:bCs/>
          <w:sz w:val="27"/>
          <w:szCs w:val="27"/>
        </w:rPr>
        <w:t>需求的优先顺序和关键程度</w:t>
      </w:r>
    </w:p>
    <w:p w14:paraId="3B69B637">
      <w:pPr>
        <w:pStyle w:val="2"/>
        <w:spacing w:before="91" w:line="286" w:lineRule="auto"/>
        <w:ind w:right="100" w:firstLine="560"/>
        <w:jc w:val="both"/>
      </w:pPr>
      <w:r>
        <w:rPr>
          <w:spacing w:val="-3"/>
        </w:rPr>
        <w:t>(若适用)本条应描述本文档中诸需求的优先顺序、关键程度、或所赋予的指</w:t>
      </w:r>
      <w:r>
        <w:rPr>
          <w:spacing w:val="8"/>
        </w:rPr>
        <w:t xml:space="preserve"> </w:t>
      </w:r>
      <w:r>
        <w:rPr>
          <w:spacing w:val="6"/>
        </w:rPr>
        <w:t>明其相对重要性的权值。例子包括，指明那些被</w:t>
      </w:r>
      <w:r>
        <w:rPr>
          <w:spacing w:val="5"/>
        </w:rPr>
        <w:t>认为对安全性或保密性至关重</w:t>
      </w:r>
      <w:r>
        <w:t xml:space="preserve"> </w:t>
      </w:r>
      <w:r>
        <w:rPr>
          <w:spacing w:val="6"/>
        </w:rPr>
        <w:t>要的需求，以便将这些需求作特殊处理。如果全部</w:t>
      </w:r>
      <w:r>
        <w:rPr>
          <w:spacing w:val="5"/>
        </w:rPr>
        <w:t>需求同等重要，本条应如实</w:t>
      </w:r>
      <w:r>
        <w:t xml:space="preserve"> </w:t>
      </w:r>
      <w:r>
        <w:rPr>
          <w:spacing w:val="-4"/>
        </w:rPr>
        <w:t>陈述。</w:t>
      </w:r>
    </w:p>
    <w:p w14:paraId="220080E6">
      <w:pPr>
        <w:spacing w:before="26" w:line="223"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7"/>
          <w:sz w:val="27"/>
          <w:szCs w:val="27"/>
        </w:rPr>
        <w:t xml:space="preserve">  </w:t>
      </w:r>
      <w:r>
        <w:rPr>
          <w:rFonts w:ascii="黑体" w:hAnsi="黑体" w:eastAsia="黑体" w:cs="黑体"/>
          <w:b/>
          <w:bCs/>
          <w:spacing w:val="1"/>
          <w:sz w:val="27"/>
          <w:szCs w:val="27"/>
        </w:rPr>
        <w:t>合格性规定</w:t>
      </w:r>
    </w:p>
    <w:p w14:paraId="74C7C05F">
      <w:pPr>
        <w:pStyle w:val="2"/>
        <w:spacing w:before="95" w:line="283" w:lineRule="auto"/>
        <w:ind w:right="101" w:firstLine="560"/>
        <w:jc w:val="both"/>
      </w:pPr>
      <w:r>
        <w:rPr>
          <w:spacing w:val="10"/>
        </w:rPr>
        <w:t>本章应描述所定义的合格性方法，并为第3章中的</w:t>
      </w:r>
      <w:r>
        <w:rPr>
          <w:spacing w:val="9"/>
        </w:rPr>
        <w:t>每个需求指定为确保需</w:t>
      </w:r>
      <w:r>
        <w:t xml:space="preserve"> </w:t>
      </w:r>
      <w:r>
        <w:rPr>
          <w:spacing w:val="10"/>
        </w:rPr>
        <w:t>求得到满足所要使用的方法。可用表格形式</w:t>
      </w:r>
      <w:r>
        <w:rPr>
          <w:spacing w:val="9"/>
        </w:rPr>
        <w:t>表述该信息，或为第3章中的每个</w:t>
      </w:r>
      <w:r>
        <w:t xml:space="preserve"> </w:t>
      </w:r>
      <w:r>
        <w:rPr>
          <w:spacing w:val="4"/>
        </w:rPr>
        <w:t>需求注明所使用的方法。合格性方法可以包括：</w:t>
      </w:r>
    </w:p>
    <w:p w14:paraId="036B355C">
      <w:pPr>
        <w:pStyle w:val="2"/>
        <w:spacing w:before="2" w:line="259" w:lineRule="auto"/>
        <w:ind w:right="84" w:firstLine="560"/>
      </w:pPr>
      <w:r>
        <w:rPr>
          <w:rFonts w:ascii="Times New Roman" w:hAnsi="Times New Roman" w:eastAsia="Times New Roman" w:cs="Times New Roman"/>
          <w:spacing w:val="3"/>
        </w:rPr>
        <w:t xml:space="preserve">a)  </w:t>
      </w:r>
      <w:r>
        <w:rPr>
          <w:spacing w:val="3"/>
        </w:rPr>
        <w:t>演示。不需要使用仪器、专用测试设备或进行事后分析，而是依靠可见</w:t>
      </w:r>
      <w:r>
        <w:rPr>
          <w:spacing w:val="13"/>
        </w:rPr>
        <w:t xml:space="preserve"> </w:t>
      </w:r>
      <w:r>
        <w:t>的功能操作，直接运行本</w:t>
      </w:r>
      <w:r>
        <w:rPr>
          <w:rFonts w:ascii="Times New Roman" w:hAnsi="Times New Roman" w:eastAsia="Times New Roman" w:cs="Times New Roman"/>
        </w:rPr>
        <w:t>CSCI</w:t>
      </w:r>
      <w:r>
        <w:rPr>
          <w:rFonts w:ascii="Times New Roman" w:hAnsi="Times New Roman" w:eastAsia="Times New Roman" w:cs="Times New Roman"/>
          <w:spacing w:val="35"/>
          <w:w w:val="101"/>
        </w:rPr>
        <w:t xml:space="preserve"> </w:t>
      </w:r>
      <w:r>
        <w:t>或本</w:t>
      </w:r>
      <w:r>
        <w:rPr>
          <w:rFonts w:ascii="Times New Roman" w:hAnsi="Times New Roman" w:eastAsia="Times New Roman" w:cs="Times New Roman"/>
        </w:rPr>
        <w:t>CSCI</w:t>
      </w:r>
      <w:r>
        <w:rPr>
          <w:rFonts w:ascii="Times New Roman" w:hAnsi="Times New Roman" w:eastAsia="Times New Roman" w:cs="Times New Roman"/>
          <w:spacing w:val="52"/>
          <w:w w:val="101"/>
        </w:rPr>
        <w:t xml:space="preserve"> </w:t>
      </w:r>
      <w:r>
        <w:t>的一部分。</w:t>
      </w:r>
    </w:p>
    <w:p w14:paraId="7DC7826C">
      <w:pPr>
        <w:pStyle w:val="2"/>
        <w:spacing w:before="40" w:line="270" w:lineRule="auto"/>
        <w:ind w:right="111" w:firstLine="560"/>
      </w:pPr>
      <w:r>
        <w:rPr>
          <w:rFonts w:ascii="Times New Roman" w:hAnsi="Times New Roman" w:eastAsia="Times New Roman" w:cs="Times New Roman"/>
          <w:spacing w:val="6"/>
        </w:rPr>
        <w:t>b)</w:t>
      </w:r>
      <w:r>
        <w:rPr>
          <w:rFonts w:ascii="Times New Roman" w:hAnsi="Times New Roman" w:eastAsia="Times New Roman" w:cs="Times New Roman"/>
          <w:spacing w:val="82"/>
        </w:rPr>
        <w:t xml:space="preserve"> </w:t>
      </w:r>
      <w:r>
        <w:rPr>
          <w:spacing w:val="6"/>
        </w:rPr>
        <w:t>测试。使用仪器或其他专用测试设备，</w:t>
      </w:r>
      <w:r>
        <w:rPr>
          <w:rFonts w:ascii="仿宋" w:hAnsi="仿宋" w:eastAsia="仿宋" w:cs="仿宋"/>
          <w:spacing w:val="6"/>
        </w:rPr>
        <w:t>运行本</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rFonts w:ascii="仿宋" w:hAnsi="仿宋" w:eastAsia="仿宋" w:cs="仿宋"/>
          <w:spacing w:val="6"/>
        </w:rPr>
        <w:t>或</w:t>
      </w:r>
      <w:r>
        <w:rPr>
          <w:rFonts w:ascii="仿宋" w:hAnsi="仿宋" w:eastAsia="仿宋" w:cs="仿宋"/>
          <w:spacing w:val="-47"/>
        </w:rPr>
        <w:t xml:space="preserve"> </w:t>
      </w:r>
      <w:r>
        <w:rPr>
          <w:rFonts w:ascii="仿宋" w:hAnsi="仿宋" w:eastAsia="仿宋" w:cs="仿宋"/>
          <w:spacing w:val="6"/>
        </w:rPr>
        <w:t>本</w:t>
      </w:r>
      <w:r>
        <w:rPr>
          <w:rFonts w:ascii="Times New Roman" w:hAnsi="Times New Roman" w:eastAsia="Times New Roman" w:cs="Times New Roman"/>
        </w:rPr>
        <w:t>CSCI</w:t>
      </w:r>
      <w:r>
        <w:rPr>
          <w:rFonts w:ascii="Times New Roman" w:hAnsi="Times New Roman" w:eastAsia="Times New Roman" w:cs="Times New Roman"/>
          <w:spacing w:val="52"/>
        </w:rPr>
        <w:t xml:space="preserve"> </w:t>
      </w:r>
      <w:r>
        <w:rPr>
          <w:rFonts w:ascii="仿宋" w:hAnsi="仿宋" w:eastAsia="仿宋" w:cs="仿宋"/>
          <w:spacing w:val="6"/>
        </w:rPr>
        <w:t>的一部</w:t>
      </w:r>
      <w:r>
        <w:rPr>
          <w:rFonts w:ascii="仿宋" w:hAnsi="仿宋" w:eastAsia="仿宋" w:cs="仿宋"/>
        </w:rPr>
        <w:t xml:space="preserve"> </w:t>
      </w:r>
      <w:r>
        <w:rPr>
          <w:spacing w:val="-6"/>
        </w:rPr>
        <w:t>分，采集数据供事后分析使用。</w:t>
      </w:r>
    </w:p>
    <w:p w14:paraId="79931E17">
      <w:pPr>
        <w:pStyle w:val="2"/>
        <w:spacing w:before="81" w:line="256" w:lineRule="auto"/>
        <w:ind w:right="84" w:firstLine="560"/>
      </w:pPr>
      <w:r>
        <w:rPr>
          <w:rFonts w:ascii="Times New Roman" w:hAnsi="Times New Roman" w:eastAsia="Times New Roman" w:cs="Times New Roman"/>
          <w:spacing w:val="12"/>
        </w:rPr>
        <w:t>c)</w:t>
      </w:r>
      <w:r>
        <w:rPr>
          <w:rFonts w:ascii="Times New Roman" w:hAnsi="Times New Roman" w:eastAsia="Times New Roman" w:cs="Times New Roman"/>
          <w:spacing w:val="2"/>
        </w:rPr>
        <w:t xml:space="preserve">  </w:t>
      </w:r>
      <w:r>
        <w:rPr>
          <w:spacing w:val="12"/>
        </w:rPr>
        <w:t>分析。处理从其他合格性方法获得的累积数据。例如对测试结果进行</w:t>
      </w:r>
      <w:r>
        <w:t xml:space="preserve"> </w:t>
      </w:r>
      <w:r>
        <w:rPr>
          <w:spacing w:val="-13"/>
        </w:rPr>
        <w:t>约简、解释或推断。</w:t>
      </w:r>
    </w:p>
    <w:p w14:paraId="15BADC01">
      <w:pPr>
        <w:pStyle w:val="2"/>
        <w:spacing w:before="81" w:line="212" w:lineRule="auto"/>
        <w:ind w:left="560"/>
      </w:pPr>
      <w:r>
        <w:rPr>
          <w:rFonts w:ascii="Times New Roman" w:hAnsi="Times New Roman" w:eastAsia="Times New Roman" w:cs="Times New Roman"/>
        </w:rPr>
        <w:t xml:space="preserve">d)  </w:t>
      </w:r>
      <w:r>
        <w:t>审查。对</w:t>
      </w:r>
      <w:r>
        <w:rPr>
          <w:rFonts w:ascii="Times New Roman" w:hAnsi="Times New Roman" w:eastAsia="Times New Roman" w:cs="Times New Roman"/>
        </w:rPr>
        <w:t>CSCI</w:t>
      </w:r>
      <w:r>
        <w:rPr>
          <w:rFonts w:ascii="Times New Roman" w:hAnsi="Times New Roman" w:eastAsia="Times New Roman" w:cs="Times New Roman"/>
          <w:spacing w:val="22"/>
        </w:rPr>
        <w:t xml:space="preserve"> </w:t>
      </w:r>
      <w:r>
        <w:t>代码、文档等进行目视检查。</w:t>
      </w:r>
    </w:p>
    <w:p w14:paraId="4A1E9CA3">
      <w:pPr>
        <w:pStyle w:val="2"/>
        <w:spacing w:before="81" w:line="270" w:lineRule="auto"/>
        <w:ind w:firstLine="560"/>
      </w:pPr>
      <w:r>
        <w:rPr>
          <w:rFonts w:ascii="Times New Roman" w:hAnsi="Times New Roman" w:eastAsia="Times New Roman" w:cs="Times New Roman"/>
        </w:rPr>
        <w:t xml:space="preserve">e)  </w:t>
      </w:r>
      <w:r>
        <w:t>特殊的合格性方法。任何针对</w:t>
      </w:r>
      <w:r>
        <w:rPr>
          <w:spacing w:val="-61"/>
        </w:rPr>
        <w:t xml:space="preserve"> </w:t>
      </w:r>
      <w:r>
        <w:rPr>
          <w:rFonts w:ascii="Times New Roman" w:hAnsi="Times New Roman" w:eastAsia="Times New Roman" w:cs="Times New Roman"/>
        </w:rPr>
        <w:t xml:space="preserve">CSCI </w:t>
      </w:r>
      <w:r>
        <w:t xml:space="preserve">的特殊合格性方法，例如专用工具、 </w:t>
      </w:r>
      <w:r>
        <w:rPr>
          <w:spacing w:val="-24"/>
        </w:rPr>
        <w:t>技术、规程、设施、验收限制。</w:t>
      </w:r>
    </w:p>
    <w:p w14:paraId="00D6D1C4">
      <w:pPr>
        <w:spacing w:line="270" w:lineRule="auto"/>
        <w:sectPr>
          <w:footerReference r:id="rId231" w:type="default"/>
          <w:pgSz w:w="11910" w:h="17130"/>
          <w:pgMar w:top="1456" w:right="1001" w:bottom="1633" w:left="1430" w:header="0" w:footer="1435" w:gutter="0"/>
          <w:cols w:space="720" w:num="1"/>
        </w:sectPr>
      </w:pPr>
    </w:p>
    <w:p w14:paraId="1F08318E">
      <w:pPr>
        <w:spacing w:before="69" w:line="222" w:lineRule="auto"/>
        <w:rPr>
          <w:rFonts w:ascii="黑体" w:hAnsi="黑体" w:eastAsia="黑体" w:cs="黑体"/>
          <w:sz w:val="27"/>
          <w:szCs w:val="27"/>
        </w:rPr>
      </w:pPr>
      <w:r>
        <w:rPr>
          <w:rFonts w:ascii="黑体" w:hAnsi="黑体" w:eastAsia="黑体" w:cs="黑体"/>
          <w:sz w:val="27"/>
          <w:szCs w:val="27"/>
        </w:rPr>
        <w:t>5</w:t>
      </w:r>
      <w:r>
        <w:rPr>
          <w:rFonts w:ascii="黑体" w:hAnsi="黑体" w:eastAsia="黑体" w:cs="黑体"/>
          <w:spacing w:val="19"/>
          <w:sz w:val="27"/>
          <w:szCs w:val="27"/>
        </w:rPr>
        <w:t xml:space="preserve">  </w:t>
      </w:r>
      <w:r>
        <w:rPr>
          <w:rFonts w:ascii="黑体" w:hAnsi="黑体" w:eastAsia="黑体" w:cs="黑体"/>
          <w:b/>
          <w:bCs/>
          <w:sz w:val="27"/>
          <w:szCs w:val="27"/>
        </w:rPr>
        <w:t>需求可追踪性</w:t>
      </w:r>
    </w:p>
    <w:p w14:paraId="5DCB91CB">
      <w:pPr>
        <w:pStyle w:val="2"/>
        <w:spacing w:before="99" w:line="219" w:lineRule="auto"/>
        <w:ind w:left="550"/>
      </w:pPr>
      <w:r>
        <w:t>本章应描述：</w:t>
      </w:r>
    </w:p>
    <w:p w14:paraId="3D57ED56">
      <w:pPr>
        <w:pStyle w:val="2"/>
        <w:spacing w:before="63" w:line="313" w:lineRule="auto"/>
        <w:ind w:right="109" w:firstLine="550"/>
        <w:jc w:val="both"/>
        <w:rPr>
          <w:sz w:val="25"/>
          <w:szCs w:val="25"/>
        </w:rPr>
      </w:pPr>
      <w:r>
        <w:rPr>
          <w:rFonts w:ascii="Times New Roman" w:hAnsi="Times New Roman" w:eastAsia="Times New Roman" w:cs="Times New Roman"/>
          <w:spacing w:val="20"/>
          <w:sz w:val="25"/>
          <w:szCs w:val="25"/>
        </w:rPr>
        <w:t xml:space="preserve">a)  </w:t>
      </w:r>
      <w:r>
        <w:rPr>
          <w:spacing w:val="20"/>
          <w:sz w:val="25"/>
          <w:szCs w:val="25"/>
        </w:rPr>
        <w:t>从本规格说明中的每一个</w:t>
      </w:r>
      <w:r>
        <w:rPr>
          <w:rFonts w:ascii="Times New Roman" w:hAnsi="Times New Roman" w:eastAsia="Times New Roman" w:cs="Times New Roman"/>
          <w:sz w:val="25"/>
          <w:szCs w:val="25"/>
        </w:rPr>
        <w:t>CSCI</w:t>
      </w:r>
      <w:r>
        <w:rPr>
          <w:rFonts w:ascii="Times New Roman" w:hAnsi="Times New Roman" w:eastAsia="Times New Roman" w:cs="Times New Roman"/>
          <w:spacing w:val="20"/>
          <w:sz w:val="25"/>
          <w:szCs w:val="25"/>
        </w:rPr>
        <w:t xml:space="preserve">  </w:t>
      </w:r>
      <w:r>
        <w:rPr>
          <w:spacing w:val="20"/>
          <w:sz w:val="25"/>
          <w:szCs w:val="25"/>
        </w:rPr>
        <w:t>需求，到所涉及的系统(或子系统，若合</w:t>
      </w:r>
      <w:r>
        <w:rPr>
          <w:spacing w:val="4"/>
          <w:sz w:val="25"/>
          <w:szCs w:val="25"/>
        </w:rPr>
        <w:t xml:space="preserve"> </w:t>
      </w:r>
      <w:r>
        <w:rPr>
          <w:spacing w:val="28"/>
          <w:sz w:val="25"/>
          <w:szCs w:val="25"/>
        </w:rPr>
        <w:t>适)需求的可追踪性(也可以通过对第3章中的每一个需求进行注释来提供可追</w:t>
      </w:r>
      <w:r>
        <w:rPr>
          <w:spacing w:val="5"/>
          <w:sz w:val="25"/>
          <w:szCs w:val="25"/>
        </w:rPr>
        <w:t xml:space="preserve"> </w:t>
      </w:r>
      <w:r>
        <w:rPr>
          <w:spacing w:val="12"/>
          <w:sz w:val="25"/>
          <w:szCs w:val="25"/>
        </w:rPr>
        <w:t>踪性)。</w:t>
      </w:r>
    </w:p>
    <w:p w14:paraId="7E04CCDF">
      <w:pPr>
        <w:spacing w:before="3" w:line="272" w:lineRule="auto"/>
        <w:ind w:firstLine="550"/>
        <w:jc w:val="both"/>
        <w:rPr>
          <w:rFonts w:ascii="楷体" w:hAnsi="楷体" w:eastAsia="楷体" w:cs="楷体"/>
          <w:sz w:val="28"/>
          <w:szCs w:val="28"/>
        </w:rPr>
      </w:pPr>
      <w:r>
        <w:rPr>
          <w:rFonts w:ascii="楷体" w:hAnsi="楷体" w:eastAsia="楷体" w:cs="楷体"/>
          <w:spacing w:val="-1"/>
          <w:sz w:val="28"/>
          <w:szCs w:val="28"/>
        </w:rPr>
        <w:t>注：每一个层次的系统细化都可能导致需求不能直接被追踪到较高层次。</w:t>
      </w:r>
      <w:r>
        <w:rPr>
          <w:rFonts w:ascii="楷体" w:hAnsi="楷体" w:eastAsia="楷体" w:cs="楷体"/>
          <w:spacing w:val="11"/>
          <w:sz w:val="28"/>
          <w:szCs w:val="28"/>
        </w:rPr>
        <w:t xml:space="preserve"> </w:t>
      </w:r>
      <w:r>
        <w:rPr>
          <w:rFonts w:ascii="楷体" w:hAnsi="楷体" w:eastAsia="楷体" w:cs="楷体"/>
          <w:spacing w:val="-1"/>
          <w:sz w:val="28"/>
          <w:szCs w:val="28"/>
        </w:rPr>
        <w:t>例如一个系统体系结构设计建立了多个</w:t>
      </w:r>
      <w:r>
        <w:rPr>
          <w:rFonts w:ascii="楷体" w:hAnsi="楷体" w:eastAsia="楷体" w:cs="楷体"/>
          <w:spacing w:val="-70"/>
          <w:sz w:val="28"/>
          <w:szCs w:val="28"/>
        </w:rPr>
        <w:t xml:space="preserve"> </w:t>
      </w:r>
      <w:r>
        <w:rPr>
          <w:rFonts w:ascii="Times New Roman" w:hAnsi="Times New Roman" w:eastAsia="Times New Roman" w:cs="Times New Roman"/>
          <w:spacing w:val="-1"/>
          <w:sz w:val="28"/>
          <w:szCs w:val="28"/>
        </w:rPr>
        <w:t>CSCI,</w:t>
      </w:r>
      <w:r>
        <w:rPr>
          <w:rFonts w:ascii="Times New Roman" w:hAnsi="Times New Roman" w:eastAsia="Times New Roman" w:cs="Times New Roman"/>
          <w:spacing w:val="18"/>
          <w:sz w:val="28"/>
          <w:szCs w:val="28"/>
        </w:rPr>
        <w:t xml:space="preserve"> </w:t>
      </w:r>
      <w:r>
        <w:rPr>
          <w:rFonts w:ascii="楷体" w:hAnsi="楷体" w:eastAsia="楷体" w:cs="楷体"/>
          <w:spacing w:val="-1"/>
          <w:sz w:val="28"/>
          <w:szCs w:val="28"/>
        </w:rPr>
        <w:t>可能导出</w:t>
      </w:r>
      <w:r>
        <w:rPr>
          <w:rFonts w:ascii="楷体" w:hAnsi="楷体" w:eastAsia="楷体" w:cs="楷体"/>
          <w:spacing w:val="-2"/>
          <w:sz w:val="28"/>
          <w:szCs w:val="28"/>
        </w:rPr>
        <w:t>关于这些</w:t>
      </w:r>
      <w:r>
        <w:rPr>
          <w:rFonts w:ascii="Times New Roman" w:hAnsi="Times New Roman" w:eastAsia="Times New Roman" w:cs="Times New Roman"/>
          <w:spacing w:val="-2"/>
          <w:sz w:val="28"/>
          <w:szCs w:val="28"/>
        </w:rPr>
        <w:t>CSCI</w:t>
      </w:r>
      <w:r>
        <w:rPr>
          <w:rFonts w:ascii="Times New Roman" w:hAnsi="Times New Roman" w:eastAsia="Times New Roman" w:cs="Times New Roman"/>
          <w:spacing w:val="18"/>
          <w:sz w:val="28"/>
          <w:szCs w:val="28"/>
        </w:rPr>
        <w:t xml:space="preserve"> </w:t>
      </w:r>
      <w:r>
        <w:rPr>
          <w:rFonts w:ascii="楷体" w:hAnsi="楷体" w:eastAsia="楷体" w:cs="楷体"/>
          <w:spacing w:val="-2"/>
          <w:sz w:val="28"/>
          <w:szCs w:val="28"/>
        </w:rPr>
        <w:t>如何接</w:t>
      </w:r>
      <w:r>
        <w:rPr>
          <w:rFonts w:ascii="楷体" w:hAnsi="楷体" w:eastAsia="楷体" w:cs="楷体"/>
          <w:sz w:val="28"/>
          <w:szCs w:val="28"/>
        </w:rPr>
        <w:t xml:space="preserve">  </w:t>
      </w:r>
      <w:r>
        <w:rPr>
          <w:rFonts w:ascii="楷体" w:hAnsi="楷体" w:eastAsia="楷体" w:cs="楷体"/>
          <w:spacing w:val="-4"/>
          <w:sz w:val="28"/>
          <w:szCs w:val="28"/>
        </w:rPr>
        <w:t>口的需求，而这些接口需求在系统需求中并没有被涵盖。这样的</w:t>
      </w:r>
      <w:r>
        <w:rPr>
          <w:rFonts w:ascii="楷体" w:hAnsi="楷体" w:eastAsia="楷体" w:cs="楷体"/>
          <w:spacing w:val="-5"/>
          <w:sz w:val="28"/>
          <w:szCs w:val="28"/>
        </w:rPr>
        <w:t>需求可以被追</w:t>
      </w:r>
      <w:r>
        <w:rPr>
          <w:rFonts w:ascii="楷体" w:hAnsi="楷体" w:eastAsia="楷体" w:cs="楷体"/>
          <w:sz w:val="28"/>
          <w:szCs w:val="28"/>
        </w:rPr>
        <w:t xml:space="preserve"> </w:t>
      </w:r>
      <w:r>
        <w:rPr>
          <w:rFonts w:ascii="楷体" w:hAnsi="楷体" w:eastAsia="楷体" w:cs="楷体"/>
          <w:spacing w:val="-12"/>
          <w:sz w:val="28"/>
          <w:szCs w:val="28"/>
        </w:rPr>
        <w:t>踪到类似于“系统实现”这样的一般需求，或被追踪</w:t>
      </w:r>
      <w:r>
        <w:rPr>
          <w:rFonts w:ascii="楷体" w:hAnsi="楷体" w:eastAsia="楷体" w:cs="楷体"/>
          <w:spacing w:val="-13"/>
          <w:sz w:val="28"/>
          <w:szCs w:val="28"/>
        </w:rPr>
        <w:t>到导致它们产生的系统设计</w:t>
      </w:r>
      <w:r>
        <w:rPr>
          <w:rFonts w:ascii="楷体" w:hAnsi="楷体" w:eastAsia="楷体" w:cs="楷体"/>
          <w:sz w:val="28"/>
          <w:szCs w:val="28"/>
        </w:rPr>
        <w:t xml:space="preserve">  </w:t>
      </w:r>
      <w:r>
        <w:rPr>
          <w:rFonts w:ascii="楷体" w:hAnsi="楷体" w:eastAsia="楷体" w:cs="楷体"/>
          <w:spacing w:val="-14"/>
          <w:sz w:val="28"/>
          <w:szCs w:val="28"/>
        </w:rPr>
        <w:t>决策。</w:t>
      </w:r>
    </w:p>
    <w:p w14:paraId="7A9C2766">
      <w:pPr>
        <w:pStyle w:val="2"/>
        <w:spacing w:before="2" w:line="296" w:lineRule="auto"/>
        <w:ind w:right="116" w:firstLine="550"/>
        <w:jc w:val="both"/>
      </w:pPr>
      <w:r>
        <w:rPr>
          <w:rFonts w:ascii="Times New Roman" w:hAnsi="Times New Roman" w:eastAsia="Times New Roman" w:cs="Times New Roman"/>
          <w:spacing w:val="3"/>
        </w:rPr>
        <w:t>b)</w:t>
      </w:r>
      <w:r>
        <w:rPr>
          <w:rFonts w:ascii="Times New Roman" w:hAnsi="Times New Roman" w:eastAsia="Times New Roman" w:cs="Times New Roman"/>
          <w:spacing w:val="56"/>
        </w:rPr>
        <w:t xml:space="preserve"> </w:t>
      </w:r>
      <w:r>
        <w:rPr>
          <w:spacing w:val="3"/>
        </w:rPr>
        <w:t>从已分配给本</w:t>
      </w:r>
      <w:r>
        <w:rPr>
          <w:rFonts w:ascii="Times New Roman" w:hAnsi="Times New Roman" w:eastAsia="Times New Roman" w:cs="Times New Roman"/>
        </w:rPr>
        <w:t>CSCI</w:t>
      </w:r>
      <w:r>
        <w:rPr>
          <w:rFonts w:ascii="Times New Roman" w:hAnsi="Times New Roman" w:eastAsia="Times New Roman" w:cs="Times New Roman"/>
          <w:spacing w:val="3"/>
        </w:rPr>
        <w:t xml:space="preserve"> </w:t>
      </w:r>
      <w:r>
        <w:rPr>
          <w:spacing w:val="3"/>
        </w:rPr>
        <w:t>的每一个系统需求(或子系统需求，若合适),到所涉</w:t>
      </w:r>
      <w:r>
        <w:t xml:space="preserve"> </w:t>
      </w:r>
      <w:r>
        <w:rPr>
          <w:spacing w:val="10"/>
        </w:rPr>
        <w:t>及的</w:t>
      </w:r>
      <w:r>
        <w:rPr>
          <w:rFonts w:ascii="Times New Roman" w:hAnsi="Times New Roman" w:eastAsia="Times New Roman" w:cs="Times New Roman"/>
        </w:rPr>
        <w:t>CSCI</w:t>
      </w:r>
      <w:r>
        <w:rPr>
          <w:rFonts w:ascii="Times New Roman" w:hAnsi="Times New Roman" w:eastAsia="Times New Roman" w:cs="Times New Roman"/>
          <w:spacing w:val="30"/>
        </w:rPr>
        <w:t xml:space="preserve"> </w:t>
      </w:r>
      <w:r>
        <w:rPr>
          <w:spacing w:val="10"/>
        </w:rPr>
        <w:t>需求的可追踪性。分配给本</w:t>
      </w:r>
      <w:r>
        <w:rPr>
          <w:rFonts w:ascii="Times New Roman" w:hAnsi="Times New Roman" w:eastAsia="Times New Roman" w:cs="Times New Roman"/>
        </w:rPr>
        <w:t>CSCI</w:t>
      </w:r>
      <w:r>
        <w:rPr>
          <w:rFonts w:ascii="Times New Roman" w:hAnsi="Times New Roman" w:eastAsia="Times New Roman" w:cs="Times New Roman"/>
          <w:spacing w:val="22"/>
          <w:w w:val="101"/>
        </w:rPr>
        <w:t xml:space="preserve"> </w:t>
      </w:r>
      <w:r>
        <w:rPr>
          <w:spacing w:val="10"/>
        </w:rPr>
        <w:t>的全部系统/子系统需求都应加以</w:t>
      </w:r>
      <w:r>
        <w:t xml:space="preserve"> </w:t>
      </w:r>
      <w:r>
        <w:rPr>
          <w:spacing w:val="1"/>
        </w:rPr>
        <w:t>说明。追踪到包含在</w:t>
      </w:r>
      <w:r>
        <w:rPr>
          <w:spacing w:val="-80"/>
        </w:rPr>
        <w:t xml:space="preserve"> </w:t>
      </w:r>
      <w:r>
        <w:rPr>
          <w:rFonts w:ascii="Times New Roman" w:hAnsi="Times New Roman" w:eastAsia="Times New Roman" w:cs="Times New Roman"/>
        </w:rPr>
        <w:t>IRS</w:t>
      </w:r>
      <w:r>
        <w:rPr>
          <w:rFonts w:ascii="Times New Roman" w:hAnsi="Times New Roman" w:eastAsia="Times New Roman" w:cs="Times New Roman"/>
          <w:spacing w:val="59"/>
          <w:w w:val="101"/>
        </w:rPr>
        <w:t xml:space="preserve"> </w:t>
      </w:r>
      <w:r>
        <w:rPr>
          <w:spacing w:val="1"/>
        </w:rPr>
        <w:t>中的</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1"/>
        </w:rPr>
        <w:t>需求时，可引用那</w:t>
      </w:r>
      <w:r>
        <w:t>些</w:t>
      </w:r>
      <w:r>
        <w:rPr>
          <w:rFonts w:ascii="Times New Roman" w:hAnsi="Times New Roman" w:eastAsia="Times New Roman" w:cs="Times New Roman"/>
        </w:rPr>
        <w:t>IRS</w:t>
      </w:r>
      <w:r>
        <w:t>。</w:t>
      </w:r>
    </w:p>
    <w:p w14:paraId="2CA12991">
      <w:pPr>
        <w:spacing w:before="23" w:line="222" w:lineRule="auto"/>
        <w:rPr>
          <w:rFonts w:ascii="黑体" w:hAnsi="黑体" w:eastAsia="黑体" w:cs="黑体"/>
          <w:sz w:val="24"/>
          <w:szCs w:val="24"/>
        </w:rPr>
      </w:pPr>
      <w:r>
        <w:rPr>
          <w:rFonts w:ascii="黑体" w:hAnsi="黑体" w:eastAsia="黑体" w:cs="黑体"/>
          <w:spacing w:val="-9"/>
          <w:sz w:val="24"/>
          <w:szCs w:val="24"/>
        </w:rPr>
        <w:t>6</w:t>
      </w:r>
      <w:r>
        <w:rPr>
          <w:rFonts w:ascii="黑体" w:hAnsi="黑体" w:eastAsia="黑体" w:cs="黑体"/>
          <w:spacing w:val="41"/>
          <w:sz w:val="24"/>
          <w:szCs w:val="24"/>
        </w:rPr>
        <w:t xml:space="preserve">  </w:t>
      </w:r>
      <w:r>
        <w:rPr>
          <w:rFonts w:ascii="黑体" w:hAnsi="黑体" w:eastAsia="黑体" w:cs="黑体"/>
          <w:b/>
          <w:bCs/>
          <w:spacing w:val="-9"/>
          <w:sz w:val="24"/>
          <w:szCs w:val="24"/>
        </w:rPr>
        <w:t>注</w:t>
      </w:r>
      <w:r>
        <w:rPr>
          <w:rFonts w:ascii="黑体" w:hAnsi="黑体" w:eastAsia="黑体" w:cs="黑体"/>
          <w:spacing w:val="-28"/>
          <w:sz w:val="24"/>
          <w:szCs w:val="24"/>
        </w:rPr>
        <w:t xml:space="preserve"> </w:t>
      </w:r>
      <w:r>
        <w:rPr>
          <w:rFonts w:ascii="黑体" w:hAnsi="黑体" w:eastAsia="黑体" w:cs="黑体"/>
          <w:b/>
          <w:bCs/>
          <w:spacing w:val="-9"/>
          <w:sz w:val="24"/>
          <w:szCs w:val="24"/>
        </w:rPr>
        <w:t>释</w:t>
      </w:r>
    </w:p>
    <w:p w14:paraId="29C57B37">
      <w:pPr>
        <w:pStyle w:val="2"/>
        <w:spacing w:before="95" w:line="219" w:lineRule="auto"/>
        <w:ind w:left="550"/>
      </w:pPr>
      <w:r>
        <w:rPr>
          <w:spacing w:val="-4"/>
        </w:rPr>
        <w:t>本章应包括有助于了解文档的所有信息(例如背景、术语、缩略语或公式)。</w:t>
      </w:r>
    </w:p>
    <w:p w14:paraId="143D9577">
      <w:pPr>
        <w:spacing w:line="370" w:lineRule="auto"/>
        <w:rPr>
          <w:rFonts w:ascii="Arial"/>
          <w:sz w:val="21"/>
        </w:rPr>
      </w:pPr>
    </w:p>
    <w:p w14:paraId="79AA49DC">
      <w:pPr>
        <w:pStyle w:val="2"/>
        <w:spacing w:before="118" w:line="219" w:lineRule="auto"/>
        <w:ind w:left="3059"/>
        <w:rPr>
          <w:sz w:val="36"/>
          <w:szCs w:val="36"/>
        </w:rPr>
      </w:pPr>
      <w:r>
        <w:rPr>
          <w:sz w:val="36"/>
          <w:szCs w:val="36"/>
        </w:rPr>
        <w:t>2.14</w:t>
      </w:r>
      <w:r>
        <w:rPr>
          <w:spacing w:val="20"/>
          <w:sz w:val="36"/>
          <w:szCs w:val="36"/>
        </w:rPr>
        <w:t xml:space="preserve">  </w:t>
      </w:r>
      <w:r>
        <w:rPr>
          <w:b/>
          <w:bCs/>
          <w:sz w:val="36"/>
          <w:szCs w:val="36"/>
        </w:rPr>
        <w:t>软件设计说明</w:t>
      </w:r>
    </w:p>
    <w:p w14:paraId="139AE607">
      <w:pPr>
        <w:spacing w:line="328" w:lineRule="auto"/>
        <w:rPr>
          <w:rFonts w:ascii="Arial"/>
          <w:sz w:val="21"/>
        </w:rPr>
      </w:pPr>
    </w:p>
    <w:p w14:paraId="7C006DF1">
      <w:pPr>
        <w:pStyle w:val="2"/>
        <w:spacing w:before="92" w:line="225" w:lineRule="auto"/>
        <w:ind w:left="55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w:t>
      </w:r>
      <w:r>
        <w:rPr>
          <w:rFonts w:ascii="楷体" w:hAnsi="楷体" w:eastAsia="楷体" w:cs="楷体"/>
          <w:spacing w:val="-11"/>
          <w:sz w:val="28"/>
          <w:szCs w:val="28"/>
        </w:rPr>
        <w:t>件开发文档通用要求》编写。</w:t>
      </w:r>
    </w:p>
    <w:p w14:paraId="25A895BA">
      <w:pPr>
        <w:spacing w:before="88"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6"/>
          <w:sz w:val="27"/>
          <w:szCs w:val="27"/>
        </w:rPr>
        <w:t xml:space="preserve">  </w:t>
      </w:r>
      <w:r>
        <w:rPr>
          <w:rFonts w:ascii="黑体" w:hAnsi="黑体" w:eastAsia="黑体" w:cs="黑体"/>
          <w:b/>
          <w:bCs/>
          <w:spacing w:val="-13"/>
          <w:sz w:val="27"/>
          <w:szCs w:val="27"/>
        </w:rPr>
        <w:t>范围</w:t>
      </w:r>
    </w:p>
    <w:p w14:paraId="4AB053D4">
      <w:pPr>
        <w:spacing w:before="123" w:line="222" w:lineRule="auto"/>
        <w:rPr>
          <w:rFonts w:ascii="黑体" w:hAnsi="黑体" w:eastAsia="黑体" w:cs="黑体"/>
          <w:sz w:val="25"/>
          <w:szCs w:val="25"/>
        </w:rPr>
      </w:pPr>
      <w:r>
        <w:rPr>
          <w:rFonts w:ascii="黑体" w:hAnsi="黑体" w:eastAsia="黑体" w:cs="黑体"/>
          <w:spacing w:val="1"/>
          <w:sz w:val="25"/>
          <w:szCs w:val="25"/>
        </w:rPr>
        <w:t>1.1</w:t>
      </w:r>
      <w:r>
        <w:rPr>
          <w:rFonts w:ascii="黑体" w:hAnsi="黑体" w:eastAsia="黑体" w:cs="黑体"/>
          <w:spacing w:val="60"/>
          <w:sz w:val="25"/>
          <w:szCs w:val="25"/>
        </w:rPr>
        <w:t xml:space="preserve">  </w:t>
      </w:r>
      <w:r>
        <w:rPr>
          <w:rFonts w:ascii="黑体" w:hAnsi="黑体" w:eastAsia="黑体" w:cs="黑体"/>
          <w:b/>
          <w:bCs/>
          <w:spacing w:val="1"/>
          <w:sz w:val="25"/>
          <w:szCs w:val="25"/>
        </w:rPr>
        <w:t>标识</w:t>
      </w:r>
    </w:p>
    <w:p w14:paraId="00E87772">
      <w:pPr>
        <w:pStyle w:val="2"/>
        <w:spacing w:before="103" w:line="292" w:lineRule="auto"/>
        <w:ind w:right="5" w:firstLine="550"/>
      </w:pPr>
      <w:r>
        <w:rPr>
          <w:spacing w:val="1"/>
        </w:rPr>
        <w:t>本条应描述本文档所适用系统和软件的完整标识，适</w:t>
      </w:r>
      <w:r>
        <w:t xml:space="preserve">用时，包括其标识号、 </w:t>
      </w:r>
      <w:r>
        <w:rPr>
          <w:spacing w:val="-15"/>
        </w:rPr>
        <w:t>名称、缩略名、版本号和发布号。</w:t>
      </w:r>
    </w:p>
    <w:p w14:paraId="2E69E6C3">
      <w:pPr>
        <w:spacing w:before="1" w:line="220"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26"/>
          <w:sz w:val="27"/>
          <w:szCs w:val="27"/>
        </w:rPr>
        <w:t xml:space="preserve">  </w:t>
      </w:r>
      <w:r>
        <w:rPr>
          <w:rFonts w:ascii="黑体" w:hAnsi="黑体" w:eastAsia="黑体" w:cs="黑体"/>
          <w:b/>
          <w:bCs/>
          <w:spacing w:val="-7"/>
          <w:sz w:val="27"/>
          <w:szCs w:val="27"/>
        </w:rPr>
        <w:t>系统概述</w:t>
      </w:r>
    </w:p>
    <w:p w14:paraId="40566FB4">
      <w:pPr>
        <w:pStyle w:val="2"/>
        <w:spacing w:before="104" w:line="288" w:lineRule="auto"/>
        <w:ind w:right="125" w:firstLine="550"/>
        <w:jc w:val="both"/>
      </w:pPr>
      <w:r>
        <w:rPr>
          <w:spacing w:val="5"/>
        </w:rPr>
        <w:t>本条应概述本文档所适用系统和软件的用途。它还应描述系统与软件的一</w:t>
      </w:r>
      <w:r>
        <w:rPr>
          <w:spacing w:val="14"/>
        </w:rPr>
        <w:t xml:space="preserve"> </w:t>
      </w:r>
      <w:r>
        <w:rPr>
          <w:spacing w:val="-10"/>
        </w:rPr>
        <w:t>般特性；概述系统开发、运行和维护的历史；标识项目的需方、用户、开发方</w:t>
      </w:r>
      <w:r>
        <w:rPr>
          <w:spacing w:val="-11"/>
        </w:rPr>
        <w:t>和保</w:t>
      </w:r>
      <w:r>
        <w:t xml:space="preserve"> </w:t>
      </w:r>
      <w:r>
        <w:rPr>
          <w:spacing w:val="-6"/>
        </w:rPr>
        <w:t>障机构等；标识当前和计划的运行现场；列</w:t>
      </w:r>
      <w:r>
        <w:rPr>
          <w:spacing w:val="-7"/>
        </w:rPr>
        <w:t>出其他有关文档。</w:t>
      </w:r>
    </w:p>
    <w:p w14:paraId="11045F03">
      <w:pPr>
        <w:spacing w:before="1" w:line="220" w:lineRule="auto"/>
        <w:rPr>
          <w:rFonts w:ascii="黑体" w:hAnsi="黑体" w:eastAsia="黑体" w:cs="黑体"/>
          <w:sz w:val="27"/>
          <w:szCs w:val="27"/>
        </w:rPr>
      </w:pPr>
      <w:r>
        <w:rPr>
          <w:rFonts w:ascii="黑体" w:hAnsi="黑体" w:eastAsia="黑体" w:cs="黑体"/>
          <w:spacing w:val="-7"/>
          <w:sz w:val="27"/>
          <w:szCs w:val="27"/>
        </w:rPr>
        <w:t>1.3</w:t>
      </w:r>
      <w:r>
        <w:rPr>
          <w:rFonts w:ascii="黑体" w:hAnsi="黑体" w:eastAsia="黑体" w:cs="黑体"/>
          <w:spacing w:val="32"/>
          <w:sz w:val="27"/>
          <w:szCs w:val="27"/>
        </w:rPr>
        <w:t xml:space="preserve">  </w:t>
      </w:r>
      <w:r>
        <w:rPr>
          <w:rFonts w:ascii="黑体" w:hAnsi="黑体" w:eastAsia="黑体" w:cs="黑体"/>
          <w:b/>
          <w:bCs/>
          <w:spacing w:val="-7"/>
          <w:sz w:val="27"/>
          <w:szCs w:val="27"/>
        </w:rPr>
        <w:t>文档概述</w:t>
      </w:r>
    </w:p>
    <w:p w14:paraId="2C01DB30">
      <w:pPr>
        <w:pStyle w:val="2"/>
        <w:spacing w:before="120" w:line="302" w:lineRule="auto"/>
        <w:ind w:right="120" w:firstLine="550"/>
        <w:rPr>
          <w:sz w:val="25"/>
          <w:szCs w:val="25"/>
        </w:rPr>
      </w:pPr>
      <w:r>
        <w:rPr>
          <w:spacing w:val="34"/>
          <w:sz w:val="25"/>
          <w:szCs w:val="25"/>
        </w:rPr>
        <w:t>本条应概述本文档的用途和内容，描述与它的使用有关的保密性方面的</w:t>
      </w:r>
      <w:r>
        <w:rPr>
          <w:spacing w:val="14"/>
          <w:sz w:val="25"/>
          <w:szCs w:val="25"/>
        </w:rPr>
        <w:t xml:space="preserve"> </w:t>
      </w:r>
      <w:r>
        <w:rPr>
          <w:spacing w:val="8"/>
          <w:sz w:val="25"/>
          <w:szCs w:val="25"/>
        </w:rPr>
        <w:t>要求。</w:t>
      </w:r>
    </w:p>
    <w:p w14:paraId="10BF5282">
      <w:pPr>
        <w:spacing w:before="1" w:line="221"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20"/>
          <w:sz w:val="27"/>
          <w:szCs w:val="27"/>
        </w:rPr>
        <w:t xml:space="preserve">  </w:t>
      </w:r>
      <w:r>
        <w:rPr>
          <w:rFonts w:ascii="黑体" w:hAnsi="黑体" w:eastAsia="黑体" w:cs="黑体"/>
          <w:b/>
          <w:bCs/>
          <w:spacing w:val="-2"/>
          <w:sz w:val="27"/>
          <w:szCs w:val="27"/>
        </w:rPr>
        <w:t>引用文档</w:t>
      </w:r>
    </w:p>
    <w:p w14:paraId="4204B2DB">
      <w:pPr>
        <w:pStyle w:val="2"/>
        <w:spacing w:before="81" w:line="309" w:lineRule="auto"/>
        <w:ind w:right="127" w:firstLine="550"/>
      </w:pPr>
      <w:r>
        <w:rPr>
          <w:spacing w:val="-11"/>
        </w:rPr>
        <w:t>本章应列出引用文档的编号、标题、编写单位、修订版及日期，还应标识不能</w:t>
      </w:r>
      <w:r>
        <w:rPr>
          <w:spacing w:val="6"/>
        </w:rPr>
        <w:t xml:space="preserve"> </w:t>
      </w:r>
      <w:r>
        <w:rPr>
          <w:spacing w:val="3"/>
        </w:rPr>
        <w:t>通过正常采购活动得到的文档的来源。</w:t>
      </w:r>
    </w:p>
    <w:p w14:paraId="6D434A69">
      <w:pPr>
        <w:spacing w:line="309" w:lineRule="auto"/>
        <w:sectPr>
          <w:footerReference r:id="rId232" w:type="default"/>
          <w:pgSz w:w="11910" w:h="17130"/>
          <w:pgMar w:top="1456" w:right="1269" w:bottom="1654" w:left="1150" w:header="0" w:footer="1464" w:gutter="0"/>
          <w:cols w:space="720" w:num="1"/>
        </w:sectPr>
      </w:pPr>
    </w:p>
    <w:p w14:paraId="5BE1EA2E">
      <w:pPr>
        <w:spacing w:before="128" w:line="221" w:lineRule="auto"/>
        <w:rPr>
          <w:rFonts w:ascii="黑体" w:hAnsi="黑体" w:eastAsia="黑体" w:cs="黑体"/>
          <w:sz w:val="27"/>
          <w:szCs w:val="27"/>
        </w:rPr>
      </w:pPr>
      <w:r>
        <w:rPr>
          <w:rFonts w:ascii="Times New Roman" w:hAnsi="Times New Roman" w:eastAsia="Times New Roman" w:cs="Times New Roman"/>
          <w:spacing w:val="-1"/>
          <w:sz w:val="27"/>
          <w:szCs w:val="27"/>
        </w:rPr>
        <w:t>3</w:t>
      </w:r>
      <w:r>
        <w:rPr>
          <w:rFonts w:ascii="Times New Roman" w:hAnsi="Times New Roman" w:eastAsia="Times New Roman" w:cs="Times New Roman"/>
          <w:spacing w:val="7"/>
          <w:sz w:val="27"/>
          <w:szCs w:val="27"/>
        </w:rPr>
        <w:t xml:space="preserve">    </w:t>
      </w:r>
      <w:r>
        <w:rPr>
          <w:rFonts w:ascii="Times New Roman" w:hAnsi="Times New Roman" w:eastAsia="Times New Roman" w:cs="Times New Roman"/>
          <w:spacing w:val="-1"/>
          <w:sz w:val="27"/>
          <w:szCs w:val="27"/>
        </w:rPr>
        <w:t xml:space="preserve">CSCI </w:t>
      </w:r>
      <w:r>
        <w:rPr>
          <w:rFonts w:ascii="黑体" w:hAnsi="黑体" w:eastAsia="黑体" w:cs="黑体"/>
          <w:b/>
          <w:bCs/>
          <w:spacing w:val="-1"/>
          <w:sz w:val="27"/>
          <w:szCs w:val="27"/>
        </w:rPr>
        <w:t>级设计决策</w:t>
      </w:r>
    </w:p>
    <w:p w14:paraId="7307BDDF">
      <w:pPr>
        <w:pStyle w:val="2"/>
        <w:spacing w:before="94" w:line="279" w:lineRule="auto"/>
        <w:ind w:right="82" w:firstLine="559"/>
        <w:jc w:val="both"/>
      </w:pPr>
      <w:r>
        <w:rPr>
          <w:spacing w:val="8"/>
        </w:rPr>
        <w:t>本章应根据需要分条给出</w:t>
      </w:r>
      <w:r>
        <w:rPr>
          <w:spacing w:val="-76"/>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8"/>
        </w:rPr>
        <w:t>级设计决策，即</w:t>
      </w:r>
      <w:r>
        <w:rPr>
          <w:rFonts w:ascii="Times New Roman" w:hAnsi="Times New Roman" w:eastAsia="Times New Roman" w:cs="Times New Roman"/>
        </w:rPr>
        <w:t>CSCI</w:t>
      </w:r>
      <w:r>
        <w:rPr>
          <w:rFonts w:ascii="Times New Roman" w:hAnsi="Times New Roman" w:eastAsia="Times New Roman" w:cs="Times New Roman"/>
          <w:spacing w:val="32"/>
        </w:rPr>
        <w:t xml:space="preserve"> </w:t>
      </w:r>
      <w:r>
        <w:rPr>
          <w:spacing w:val="8"/>
        </w:rPr>
        <w:t>行为设计的决策(忽</w:t>
      </w:r>
      <w:r>
        <w:t xml:space="preserve"> </w:t>
      </w:r>
      <w:r>
        <w:rPr>
          <w:spacing w:val="1"/>
        </w:rPr>
        <w:t>略其内部实现，从用户角度出发描述系统将怎样运转以满足需求)和其他影响组</w:t>
      </w:r>
      <w:r>
        <w:rPr>
          <w:spacing w:val="8"/>
        </w:rPr>
        <w:t xml:space="preserve"> </w:t>
      </w:r>
      <w:r>
        <w:rPr>
          <w:spacing w:val="7"/>
        </w:rPr>
        <w:t>成该</w:t>
      </w:r>
      <w:r>
        <w:rPr>
          <w:spacing w:val="-34"/>
        </w:rPr>
        <w:t xml:space="preserve"> </w:t>
      </w:r>
      <w:r>
        <w:rPr>
          <w:rFonts w:ascii="Times New Roman" w:hAnsi="Times New Roman" w:eastAsia="Times New Roman" w:cs="Times New Roman"/>
        </w:rPr>
        <w:t>CSCI</w:t>
      </w:r>
      <w:r>
        <w:rPr>
          <w:rFonts w:ascii="Times New Roman" w:hAnsi="Times New Roman" w:eastAsia="Times New Roman" w:cs="Times New Roman"/>
          <w:spacing w:val="22"/>
          <w:w w:val="101"/>
        </w:rPr>
        <w:t xml:space="preserve"> </w:t>
      </w:r>
      <w:r>
        <w:rPr>
          <w:spacing w:val="7"/>
        </w:rPr>
        <w:t>的软件单元的选择与设计的决策。如果在需求中所有这些决策是明</w:t>
      </w:r>
      <w:r>
        <w:t xml:space="preserve"> </w:t>
      </w:r>
      <w:r>
        <w:rPr>
          <w:spacing w:val="1"/>
        </w:rPr>
        <w:t>确的，或者这些决策要推迟到</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1"/>
        </w:rPr>
        <w:t>的软件单元的设计时指出，则</w:t>
      </w:r>
      <w:r>
        <w:t xml:space="preserve">本章应如实陈 </w:t>
      </w:r>
      <w:r>
        <w:rPr>
          <w:spacing w:val="5"/>
        </w:rPr>
        <w:t>述。针对关键性需求(如对安全性或保密性关键的需求)作出的设计决策，应在</w:t>
      </w:r>
      <w:r>
        <w:rPr>
          <w:spacing w:val="8"/>
        </w:rPr>
        <w:t xml:space="preserve"> </w:t>
      </w:r>
      <w:r>
        <w:rPr>
          <w:spacing w:val="5"/>
        </w:rPr>
        <w:t>专门的章条中加以叙述。如果设计决策依赖于系统状态或方式，则应指明这一</w:t>
      </w:r>
      <w:r>
        <w:rPr>
          <w:spacing w:val="14"/>
        </w:rPr>
        <w:t xml:space="preserve"> </w:t>
      </w:r>
      <w:r>
        <w:rPr>
          <w:spacing w:val="5"/>
        </w:rPr>
        <w:t xml:space="preserve">依赖性。本条应给出或引用理解这些设计所需的设计约定。 </w:t>
      </w:r>
      <w:r>
        <w:rPr>
          <w:rFonts w:ascii="Times New Roman" w:hAnsi="Times New Roman" w:eastAsia="Times New Roman" w:cs="Times New Roman"/>
        </w:rPr>
        <w:t>CSCI</w:t>
      </w:r>
      <w:r>
        <w:rPr>
          <w:rFonts w:ascii="Times New Roman" w:hAnsi="Times New Roman" w:eastAsia="Times New Roman" w:cs="Times New Roman"/>
          <w:spacing w:val="32"/>
          <w:w w:val="101"/>
        </w:rPr>
        <w:t xml:space="preserve"> </w:t>
      </w:r>
      <w:r>
        <w:rPr>
          <w:spacing w:val="4"/>
        </w:rPr>
        <w:t>级设计决策</w:t>
      </w:r>
      <w:r>
        <w:t xml:space="preserve"> </w:t>
      </w:r>
      <w:r>
        <w:rPr>
          <w:spacing w:val="-4"/>
        </w:rPr>
        <w:t>的例子如下：</w:t>
      </w:r>
    </w:p>
    <w:p w14:paraId="7919E67C">
      <w:pPr>
        <w:pStyle w:val="2"/>
        <w:spacing w:before="3" w:line="268" w:lineRule="auto"/>
        <w:ind w:firstLine="559"/>
        <w:rPr>
          <w:sz w:val="25"/>
          <w:szCs w:val="25"/>
        </w:rPr>
      </w:pPr>
      <w:r>
        <w:rPr>
          <w:rFonts w:ascii="Times New Roman" w:hAnsi="Times New Roman" w:eastAsia="Times New Roman" w:cs="Times New Roman"/>
          <w:spacing w:val="15"/>
          <w:sz w:val="25"/>
          <w:szCs w:val="25"/>
        </w:rPr>
        <w:t xml:space="preserve">a)  </w:t>
      </w:r>
      <w:r>
        <w:rPr>
          <w:spacing w:val="15"/>
          <w:sz w:val="25"/>
          <w:szCs w:val="25"/>
        </w:rPr>
        <w:t>关 于</w:t>
      </w:r>
      <w:r>
        <w:rPr>
          <w:rFonts w:ascii="Times New Roman" w:hAnsi="Times New Roman" w:eastAsia="Times New Roman" w:cs="Times New Roman"/>
          <w:sz w:val="25"/>
          <w:szCs w:val="25"/>
        </w:rPr>
        <w:t>CSCI</w:t>
      </w:r>
      <w:r>
        <w:rPr>
          <w:rFonts w:ascii="Times New Roman" w:hAnsi="Times New Roman" w:eastAsia="Times New Roman" w:cs="Times New Roman"/>
          <w:spacing w:val="15"/>
          <w:sz w:val="25"/>
          <w:szCs w:val="25"/>
        </w:rPr>
        <w:t xml:space="preserve">  </w:t>
      </w:r>
      <w:r>
        <w:rPr>
          <w:spacing w:val="15"/>
          <w:sz w:val="25"/>
          <w:szCs w:val="25"/>
        </w:rPr>
        <w:t>将接收的输入和将产生的输出的设计决策，包括与其他系统、</w:t>
      </w:r>
      <w:r>
        <w:rPr>
          <w:sz w:val="25"/>
          <w:szCs w:val="25"/>
        </w:rPr>
        <w:t xml:space="preserve"> </w:t>
      </w:r>
      <w:r>
        <w:rPr>
          <w:rFonts w:ascii="Times New Roman" w:hAnsi="Times New Roman" w:eastAsia="Times New Roman" w:cs="Times New Roman"/>
          <w:sz w:val="25"/>
          <w:szCs w:val="25"/>
        </w:rPr>
        <w:t>HWCI</w:t>
      </w:r>
      <w:r>
        <w:rPr>
          <w:rFonts w:ascii="Times New Roman" w:hAnsi="Times New Roman" w:eastAsia="Times New Roman" w:cs="Times New Roman"/>
          <w:spacing w:val="-29"/>
          <w:sz w:val="25"/>
          <w:szCs w:val="25"/>
        </w:rPr>
        <w:t xml:space="preserve"> </w:t>
      </w:r>
      <w:r>
        <w:rPr>
          <w:spacing w:val="23"/>
          <w:sz w:val="25"/>
          <w:szCs w:val="25"/>
        </w:rPr>
        <w:t>、</w:t>
      </w:r>
      <w:r>
        <w:rPr>
          <w:rFonts w:ascii="Times New Roman" w:hAnsi="Times New Roman" w:eastAsia="Times New Roman" w:cs="Times New Roman"/>
          <w:sz w:val="25"/>
          <w:szCs w:val="25"/>
        </w:rPr>
        <w:t>CSCI</w:t>
      </w:r>
      <w:r>
        <w:rPr>
          <w:rFonts w:ascii="Times New Roman" w:hAnsi="Times New Roman" w:eastAsia="Times New Roman" w:cs="Times New Roman"/>
          <w:spacing w:val="41"/>
          <w:sz w:val="25"/>
          <w:szCs w:val="25"/>
        </w:rPr>
        <w:t xml:space="preserve"> </w:t>
      </w:r>
      <w:r>
        <w:rPr>
          <w:spacing w:val="23"/>
          <w:sz w:val="25"/>
          <w:szCs w:val="25"/>
        </w:rPr>
        <w:t>和用户的接口(本文档的4.3.</w:t>
      </w:r>
      <w:r>
        <w:rPr>
          <w:rFonts w:ascii="Times New Roman" w:hAnsi="Times New Roman" w:eastAsia="Times New Roman" w:cs="Times New Roman"/>
          <w:spacing w:val="23"/>
          <w:sz w:val="25"/>
          <w:szCs w:val="25"/>
        </w:rPr>
        <w:t>X</w:t>
      </w:r>
      <w:r>
        <w:rPr>
          <w:rFonts w:ascii="Times New Roman" w:hAnsi="Times New Roman" w:eastAsia="Times New Roman" w:cs="Times New Roman"/>
          <w:spacing w:val="29"/>
          <w:sz w:val="25"/>
          <w:szCs w:val="25"/>
        </w:rPr>
        <w:t xml:space="preserve"> </w:t>
      </w:r>
      <w:r>
        <w:rPr>
          <w:spacing w:val="23"/>
          <w:sz w:val="25"/>
          <w:szCs w:val="25"/>
        </w:rPr>
        <w:t>条指出本说明要考虑的主题)。如</w:t>
      </w:r>
      <w:r>
        <w:rPr>
          <w:sz w:val="25"/>
          <w:szCs w:val="25"/>
        </w:rPr>
        <w:t xml:space="preserve">  </w:t>
      </w:r>
      <w:r>
        <w:rPr>
          <w:spacing w:val="17"/>
          <w:sz w:val="25"/>
          <w:szCs w:val="25"/>
        </w:rPr>
        <w:t>果这一信息的全部或部分已在接口设计说明(</w:t>
      </w:r>
      <w:r>
        <w:rPr>
          <w:spacing w:val="-35"/>
          <w:sz w:val="25"/>
          <w:szCs w:val="25"/>
        </w:rPr>
        <w:t xml:space="preserve"> </w:t>
      </w:r>
      <w:r>
        <w:rPr>
          <w:rFonts w:ascii="Times New Roman" w:hAnsi="Times New Roman" w:eastAsia="Times New Roman" w:cs="Times New Roman"/>
          <w:sz w:val="25"/>
          <w:szCs w:val="25"/>
        </w:rPr>
        <w:t>IDD</w:t>
      </w:r>
      <w:r>
        <w:rPr>
          <w:rFonts w:ascii="Times New Roman" w:hAnsi="Times New Roman" w:eastAsia="Times New Roman" w:cs="Times New Roman"/>
          <w:spacing w:val="17"/>
          <w:sz w:val="25"/>
          <w:szCs w:val="25"/>
        </w:rPr>
        <w:t xml:space="preserve">) </w:t>
      </w:r>
      <w:r>
        <w:rPr>
          <w:spacing w:val="17"/>
          <w:sz w:val="25"/>
          <w:szCs w:val="25"/>
        </w:rPr>
        <w:t>中给出，则可以直接引用。</w:t>
      </w:r>
    </w:p>
    <w:p w14:paraId="75B1EE98">
      <w:pPr>
        <w:pStyle w:val="2"/>
        <w:spacing w:before="119" w:line="256" w:lineRule="auto"/>
        <w:ind w:right="91" w:firstLine="559"/>
      </w:pPr>
      <w:r>
        <w:rPr>
          <w:rFonts w:ascii="Times New Roman" w:hAnsi="Times New Roman" w:eastAsia="Times New Roman" w:cs="Times New Roman"/>
          <w:spacing w:val="8"/>
        </w:rPr>
        <w:t>b)</w:t>
      </w:r>
      <w:r>
        <w:rPr>
          <w:rFonts w:ascii="Times New Roman" w:hAnsi="Times New Roman" w:eastAsia="Times New Roman" w:cs="Times New Roman"/>
          <w:spacing w:val="85"/>
        </w:rPr>
        <w:t xml:space="preserve"> </w:t>
      </w:r>
      <w:r>
        <w:rPr>
          <w:spacing w:val="8"/>
        </w:rPr>
        <w:t>有关响应每个输入或条件的</w:t>
      </w:r>
      <w:r>
        <w:rPr>
          <w:spacing w:val="-77"/>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8"/>
        </w:rPr>
        <w:t>行为的设计决策，包括</w:t>
      </w:r>
      <w:r>
        <w:rPr>
          <w:rFonts w:ascii="Times New Roman" w:hAnsi="Times New Roman" w:eastAsia="Times New Roman" w:cs="Times New Roman"/>
        </w:rPr>
        <w:t>CSCI</w:t>
      </w:r>
      <w:r>
        <w:rPr>
          <w:rFonts w:ascii="Times New Roman" w:hAnsi="Times New Roman" w:eastAsia="Times New Roman" w:cs="Times New Roman"/>
          <w:spacing w:val="52"/>
          <w:w w:val="101"/>
        </w:rPr>
        <w:t xml:space="preserve"> </w:t>
      </w:r>
      <w:r>
        <w:rPr>
          <w:spacing w:val="8"/>
        </w:rPr>
        <w:t>要执行</w:t>
      </w:r>
      <w:r>
        <w:t xml:space="preserve"> </w:t>
      </w:r>
      <w:r>
        <w:rPr>
          <w:spacing w:val="-6"/>
        </w:rPr>
        <w:t>的动作、响应时间和其他性能特性，模型化的物理系统的说明，</w:t>
      </w:r>
      <w:r>
        <w:rPr>
          <w:spacing w:val="-7"/>
        </w:rPr>
        <w:t>选定的方程式/算</w:t>
      </w:r>
      <w:r>
        <w:t xml:space="preserve"> </w:t>
      </w:r>
      <w:r>
        <w:rPr>
          <w:spacing w:val="-2"/>
        </w:rPr>
        <w:t>法/规则，以及对不允许的输入或条件进行的处理。</w:t>
      </w:r>
    </w:p>
    <w:p w14:paraId="2A0F8189">
      <w:pPr>
        <w:pStyle w:val="2"/>
        <w:spacing w:before="87" w:line="251" w:lineRule="auto"/>
        <w:ind w:right="95" w:firstLine="559"/>
      </w:pPr>
      <w:r>
        <w:rPr>
          <w:rFonts w:ascii="Times New Roman" w:hAnsi="Times New Roman" w:eastAsia="Times New Roman" w:cs="Times New Roman"/>
          <w:spacing w:val="10"/>
        </w:rPr>
        <w:t>c)</w:t>
      </w:r>
      <w:r>
        <w:rPr>
          <w:rFonts w:ascii="Times New Roman" w:hAnsi="Times New Roman" w:eastAsia="Times New Roman" w:cs="Times New Roman"/>
          <w:spacing w:val="62"/>
        </w:rPr>
        <w:t xml:space="preserve"> </w:t>
      </w:r>
      <w:r>
        <w:rPr>
          <w:spacing w:val="10"/>
        </w:rPr>
        <w:t>有关数据库/数据文件如何呈现给用户的设计决策(本文档的4</w:t>
      </w:r>
      <w:r>
        <w:rPr>
          <w:spacing w:val="9"/>
        </w:rPr>
        <w:t>.3.</w:t>
      </w:r>
      <w:r>
        <w:rPr>
          <w:rFonts w:ascii="Times New Roman" w:hAnsi="Times New Roman" w:eastAsia="Times New Roman" w:cs="Times New Roman"/>
          <w:spacing w:val="9"/>
        </w:rPr>
        <w:t xml:space="preserve">X </w:t>
      </w:r>
      <w:r>
        <w:rPr>
          <w:spacing w:val="9"/>
        </w:rPr>
        <w:t>条</w:t>
      </w:r>
      <w:r>
        <w:t xml:space="preserve"> </w:t>
      </w:r>
      <w:r>
        <w:rPr>
          <w:spacing w:val="10"/>
        </w:rPr>
        <w:t>标识了本说明要考虑的主题)。如果这一信息的全部或部分在</w:t>
      </w:r>
      <w:r>
        <w:rPr>
          <w:spacing w:val="9"/>
        </w:rPr>
        <w:t>数据库设计说明</w:t>
      </w:r>
      <w:r>
        <w:t xml:space="preserve"> </w:t>
      </w:r>
      <w:r>
        <w:rPr>
          <w:spacing w:val="-5"/>
        </w:rPr>
        <w:t>(</w:t>
      </w:r>
      <w:r>
        <w:rPr>
          <w:rFonts w:ascii="Times New Roman" w:hAnsi="Times New Roman" w:eastAsia="Times New Roman" w:cs="Times New Roman"/>
          <w:spacing w:val="-5"/>
        </w:rPr>
        <w:t>DBDD)</w:t>
      </w:r>
      <w:r>
        <w:rPr>
          <w:spacing w:val="-5"/>
        </w:rPr>
        <w:t>中给出，则可直接引用。</w:t>
      </w:r>
    </w:p>
    <w:p w14:paraId="3A99170D">
      <w:pPr>
        <w:pStyle w:val="2"/>
        <w:spacing w:before="120" w:line="212" w:lineRule="auto"/>
        <w:ind w:left="559"/>
      </w:pPr>
      <w:r>
        <w:rPr>
          <w:rFonts w:ascii="Times New Roman" w:hAnsi="Times New Roman" w:eastAsia="Times New Roman" w:cs="Times New Roman"/>
          <w:spacing w:val="4"/>
        </w:rPr>
        <w:t xml:space="preserve">d)  </w:t>
      </w:r>
      <w:r>
        <w:rPr>
          <w:spacing w:val="4"/>
        </w:rPr>
        <w:t>为满足安全性和保密性需求所选择的方法。</w:t>
      </w:r>
    </w:p>
    <w:p w14:paraId="5507816F">
      <w:pPr>
        <w:pStyle w:val="2"/>
        <w:spacing w:before="90" w:line="261" w:lineRule="auto"/>
        <w:ind w:right="93" w:firstLine="559"/>
      </w:pPr>
      <w:r>
        <w:rPr>
          <w:rFonts w:ascii="Times New Roman" w:hAnsi="Times New Roman" w:eastAsia="Times New Roman" w:cs="Times New Roman"/>
          <w:spacing w:val="-1"/>
        </w:rPr>
        <w:t xml:space="preserve">e)  </w:t>
      </w:r>
      <w:r>
        <w:rPr>
          <w:spacing w:val="-1"/>
        </w:rPr>
        <w:t>为满足需求所做的其他</w:t>
      </w:r>
      <w:r>
        <w:rPr>
          <w:rFonts w:ascii="Times New Roman" w:hAnsi="Times New Roman" w:eastAsia="Times New Roman" w:cs="Times New Roman"/>
          <w:spacing w:val="-1"/>
        </w:rPr>
        <w:t>CSCI</w:t>
      </w:r>
      <w:r>
        <w:rPr>
          <w:rFonts w:ascii="Times New Roman" w:hAnsi="Times New Roman" w:eastAsia="Times New Roman" w:cs="Times New Roman"/>
          <w:spacing w:val="32"/>
          <w:w w:val="101"/>
        </w:rPr>
        <w:t xml:space="preserve"> </w:t>
      </w:r>
      <w:r>
        <w:rPr>
          <w:spacing w:val="-1"/>
        </w:rPr>
        <w:t>级</w:t>
      </w:r>
      <w:r>
        <w:rPr>
          <w:spacing w:val="-2"/>
        </w:rPr>
        <w:t>设计决策，例如为提供所需的灵活性、可</w:t>
      </w:r>
      <w:r>
        <w:t xml:space="preserve"> </w:t>
      </w:r>
      <w:r>
        <w:rPr>
          <w:spacing w:val="1"/>
        </w:rPr>
        <w:t>用性和可维护性所选择的方法。</w:t>
      </w:r>
    </w:p>
    <w:p w14:paraId="54858AE5">
      <w:pPr>
        <w:spacing w:before="82" w:line="222" w:lineRule="auto"/>
        <w:rPr>
          <w:rFonts w:ascii="黑体" w:hAnsi="黑体" w:eastAsia="黑体" w:cs="黑体"/>
          <w:sz w:val="27"/>
          <w:szCs w:val="27"/>
        </w:rPr>
      </w:pPr>
      <w:r>
        <w:rPr>
          <w:rFonts w:ascii="黑体" w:hAnsi="黑体" w:eastAsia="黑体" w:cs="黑体"/>
          <w:spacing w:val="5"/>
          <w:sz w:val="27"/>
          <w:szCs w:val="27"/>
        </w:rPr>
        <w:t xml:space="preserve">4  </w:t>
      </w:r>
      <w:r>
        <w:rPr>
          <w:rFonts w:ascii="Times New Roman" w:hAnsi="Times New Roman" w:eastAsia="Times New Roman" w:cs="Times New Roman"/>
          <w:b/>
          <w:bCs/>
          <w:sz w:val="27"/>
          <w:szCs w:val="27"/>
        </w:rPr>
        <w:t>CSCI</w:t>
      </w:r>
      <w:r>
        <w:rPr>
          <w:rFonts w:ascii="黑体" w:hAnsi="黑体" w:eastAsia="黑体" w:cs="黑体"/>
          <w:b/>
          <w:bCs/>
          <w:spacing w:val="5"/>
          <w:sz w:val="27"/>
          <w:szCs w:val="27"/>
        </w:rPr>
        <w:t>体系结构设计</w:t>
      </w:r>
    </w:p>
    <w:p w14:paraId="49FBCBE2">
      <w:pPr>
        <w:pStyle w:val="2"/>
        <w:spacing w:before="109" w:line="275" w:lineRule="auto"/>
        <w:ind w:right="89" w:firstLine="559"/>
        <w:jc w:val="both"/>
      </w:pPr>
      <w:r>
        <w:rPr>
          <w:spacing w:val="8"/>
        </w:rPr>
        <w:t>本章应分为以下几条描述</w:t>
      </w:r>
      <w:r>
        <w:rPr>
          <w:spacing w:val="-63"/>
        </w:rPr>
        <w:t xml:space="preserve"> </w:t>
      </w:r>
      <w:r>
        <w:rPr>
          <w:rFonts w:ascii="Times New Roman" w:hAnsi="Times New Roman" w:eastAsia="Times New Roman" w:cs="Times New Roman"/>
        </w:rPr>
        <w:t>CSCI</w:t>
      </w:r>
      <w:r>
        <w:rPr>
          <w:rFonts w:ascii="Times New Roman" w:hAnsi="Times New Roman" w:eastAsia="Times New Roman" w:cs="Times New Roman"/>
          <w:spacing w:val="23"/>
        </w:rPr>
        <w:t xml:space="preserve"> </w:t>
      </w:r>
      <w:r>
        <w:rPr>
          <w:spacing w:val="8"/>
        </w:rPr>
        <w:t>体系结构设计。如果设计的全部或部分依</w:t>
      </w:r>
      <w:r>
        <w:t xml:space="preserve"> </w:t>
      </w:r>
      <w:r>
        <w:rPr>
          <w:spacing w:val="6"/>
        </w:rPr>
        <w:t>赖于系统的状态或方式，此依赖性应予指明。如果设计信息在多于一个</w:t>
      </w:r>
      <w:r>
        <w:rPr>
          <w:spacing w:val="5"/>
        </w:rPr>
        <w:t>条中出</w:t>
      </w:r>
      <w:r>
        <w:t xml:space="preserve"> </w:t>
      </w:r>
      <w:r>
        <w:rPr>
          <w:spacing w:val="-3"/>
        </w:rPr>
        <w:t>现，它只需被提供一次，而在其他条中引用。本条应提供或引用为了理解设计所</w:t>
      </w:r>
      <w:r>
        <w:rPr>
          <w:spacing w:val="13"/>
        </w:rPr>
        <w:t xml:space="preserve"> </w:t>
      </w:r>
      <w:r>
        <w:rPr>
          <w:spacing w:val="1"/>
        </w:rPr>
        <w:t>需要的设计约定。</w:t>
      </w:r>
    </w:p>
    <w:p w14:paraId="3F5A6A6D">
      <w:pPr>
        <w:spacing w:line="223" w:lineRule="auto"/>
        <w:rPr>
          <w:rFonts w:ascii="黑体" w:hAnsi="黑体" w:eastAsia="黑体" w:cs="黑体"/>
          <w:sz w:val="28"/>
          <w:szCs w:val="28"/>
        </w:rPr>
      </w:pPr>
      <w:r>
        <w:rPr>
          <w:rFonts w:ascii="黑体" w:hAnsi="黑体" w:eastAsia="黑体" w:cs="黑体"/>
          <w:spacing w:val="-10"/>
          <w:sz w:val="28"/>
          <w:szCs w:val="28"/>
        </w:rPr>
        <w:t>4.1</w:t>
      </w:r>
      <w:r>
        <w:rPr>
          <w:rFonts w:ascii="黑体" w:hAnsi="黑体" w:eastAsia="黑体" w:cs="黑体"/>
          <w:spacing w:val="9"/>
          <w:sz w:val="28"/>
          <w:szCs w:val="28"/>
        </w:rPr>
        <w:t xml:space="preserve">  </w:t>
      </w:r>
      <w:r>
        <w:rPr>
          <w:rFonts w:ascii="Times New Roman" w:hAnsi="Times New Roman" w:eastAsia="Times New Roman" w:cs="Times New Roman"/>
          <w:b/>
          <w:bCs/>
          <w:spacing w:val="-10"/>
          <w:sz w:val="28"/>
          <w:szCs w:val="28"/>
        </w:rPr>
        <w:t xml:space="preserve">CSCI </w:t>
      </w:r>
      <w:r>
        <w:rPr>
          <w:rFonts w:ascii="黑体" w:hAnsi="黑体" w:eastAsia="黑体" w:cs="黑体"/>
          <w:b/>
          <w:bCs/>
          <w:spacing w:val="-10"/>
          <w:sz w:val="28"/>
          <w:szCs w:val="28"/>
        </w:rPr>
        <w:t>部件</w:t>
      </w:r>
    </w:p>
    <w:p w14:paraId="10463BBA">
      <w:pPr>
        <w:pStyle w:val="2"/>
        <w:spacing w:before="83" w:line="219" w:lineRule="auto"/>
        <w:ind w:left="559"/>
      </w:pPr>
      <w:r>
        <w:rPr>
          <w:spacing w:val="-1"/>
        </w:rPr>
        <w:t>本条应描述：</w:t>
      </w:r>
    </w:p>
    <w:p w14:paraId="52D35B71">
      <w:pPr>
        <w:pStyle w:val="2"/>
        <w:spacing w:before="80" w:line="269" w:lineRule="auto"/>
        <w:ind w:right="94" w:firstLine="559"/>
      </w:pPr>
      <w:r>
        <w:rPr>
          <w:rFonts w:ascii="Times New Roman" w:hAnsi="Times New Roman" w:eastAsia="Times New Roman" w:cs="Times New Roman"/>
          <w:spacing w:val="7"/>
        </w:rPr>
        <w:t xml:space="preserve">a)  </w:t>
      </w:r>
      <w:r>
        <w:rPr>
          <w:spacing w:val="7"/>
        </w:rPr>
        <w:t>构成该</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7"/>
        </w:rPr>
        <w:t>的所有软件单元。应赋予每个软件</w:t>
      </w:r>
      <w:r>
        <w:rPr>
          <w:spacing w:val="6"/>
        </w:rPr>
        <w:t>单元一个项目唯一的标</w:t>
      </w:r>
      <w:r>
        <w:t xml:space="preserve"> </w:t>
      </w:r>
      <w:r>
        <w:rPr>
          <w:spacing w:val="-6"/>
        </w:rPr>
        <w:t>识符。</w:t>
      </w:r>
    </w:p>
    <w:p w14:paraId="73B16797">
      <w:pPr>
        <w:spacing w:before="58" w:line="269" w:lineRule="auto"/>
        <w:ind w:right="108" w:firstLine="559"/>
        <w:jc w:val="both"/>
        <w:rPr>
          <w:rFonts w:ascii="楷体" w:hAnsi="楷体" w:eastAsia="楷体" w:cs="楷体"/>
          <w:sz w:val="27"/>
          <w:szCs w:val="27"/>
        </w:rPr>
      </w:pPr>
      <w:r>
        <w:rPr>
          <w:rFonts w:ascii="楷体" w:hAnsi="楷体" w:eastAsia="楷体" w:cs="楷体"/>
          <w:spacing w:val="-8"/>
          <w:sz w:val="27"/>
          <w:szCs w:val="27"/>
        </w:rPr>
        <w:t>注：软件单元是</w:t>
      </w:r>
      <w:r>
        <w:rPr>
          <w:rFonts w:ascii="楷体" w:hAnsi="楷体" w:eastAsia="楷体" w:cs="楷体"/>
          <w:spacing w:val="-66"/>
          <w:sz w:val="27"/>
          <w:szCs w:val="27"/>
        </w:rPr>
        <w:t xml:space="preserve"> </w:t>
      </w:r>
      <w:r>
        <w:rPr>
          <w:rFonts w:ascii="Times New Roman" w:hAnsi="Times New Roman" w:eastAsia="Times New Roman" w:cs="Times New Roman"/>
          <w:spacing w:val="-8"/>
          <w:sz w:val="27"/>
          <w:szCs w:val="27"/>
        </w:rPr>
        <w:t>CSCI</w:t>
      </w:r>
      <w:r>
        <w:rPr>
          <w:rFonts w:ascii="Times New Roman" w:hAnsi="Times New Roman" w:eastAsia="Times New Roman" w:cs="Times New Roman"/>
          <w:spacing w:val="42"/>
          <w:sz w:val="27"/>
          <w:szCs w:val="27"/>
        </w:rPr>
        <w:t xml:space="preserve"> </w:t>
      </w:r>
      <w:r>
        <w:rPr>
          <w:rFonts w:ascii="楷体" w:hAnsi="楷体" w:eastAsia="楷体" w:cs="楷体"/>
          <w:spacing w:val="-8"/>
          <w:sz w:val="27"/>
          <w:szCs w:val="27"/>
        </w:rPr>
        <w:t>设计中的一个元素；例如</w:t>
      </w:r>
      <w:r>
        <w:rPr>
          <w:rFonts w:ascii="楷体" w:hAnsi="楷体" w:eastAsia="楷体" w:cs="楷体"/>
          <w:spacing w:val="-81"/>
          <w:sz w:val="27"/>
          <w:szCs w:val="27"/>
        </w:rPr>
        <w:t xml:space="preserve"> </w:t>
      </w:r>
      <w:r>
        <w:rPr>
          <w:rFonts w:ascii="Times New Roman" w:hAnsi="Times New Roman" w:eastAsia="Times New Roman" w:cs="Times New Roman"/>
          <w:spacing w:val="-8"/>
          <w:sz w:val="27"/>
          <w:szCs w:val="27"/>
        </w:rPr>
        <w:t>CSCI</w:t>
      </w:r>
      <w:r>
        <w:rPr>
          <w:rFonts w:ascii="Times New Roman" w:hAnsi="Times New Roman" w:eastAsia="Times New Roman" w:cs="Times New Roman"/>
          <w:spacing w:val="33"/>
          <w:sz w:val="27"/>
          <w:szCs w:val="27"/>
        </w:rPr>
        <w:t xml:space="preserve"> </w:t>
      </w:r>
      <w:r>
        <w:rPr>
          <w:rFonts w:ascii="楷体" w:hAnsi="楷体" w:eastAsia="楷体" w:cs="楷体"/>
          <w:spacing w:val="-8"/>
          <w:sz w:val="27"/>
          <w:szCs w:val="27"/>
        </w:rPr>
        <w:t>的一个主要分支、该主</w:t>
      </w:r>
      <w:r>
        <w:rPr>
          <w:rFonts w:ascii="楷体" w:hAnsi="楷体" w:eastAsia="楷体" w:cs="楷体"/>
          <w:sz w:val="27"/>
          <w:szCs w:val="27"/>
        </w:rPr>
        <w:t xml:space="preserve"> </w:t>
      </w:r>
      <w:r>
        <w:rPr>
          <w:rFonts w:ascii="楷体" w:hAnsi="楷体" w:eastAsia="楷体" w:cs="楷体"/>
          <w:spacing w:val="-10"/>
          <w:sz w:val="27"/>
          <w:szCs w:val="27"/>
        </w:rPr>
        <w:t>要分支的一个组成部分，一个类、对象、模块、函数、例程或数据库。软件单元可</w:t>
      </w:r>
      <w:r>
        <w:rPr>
          <w:rFonts w:ascii="楷体" w:hAnsi="楷体" w:eastAsia="楷体" w:cs="楷体"/>
          <w:spacing w:val="3"/>
          <w:sz w:val="27"/>
          <w:szCs w:val="27"/>
        </w:rPr>
        <w:t xml:space="preserve"> </w:t>
      </w:r>
      <w:r>
        <w:rPr>
          <w:rFonts w:ascii="楷体" w:hAnsi="楷体" w:eastAsia="楷体" w:cs="楷体"/>
          <w:spacing w:val="-3"/>
          <w:sz w:val="27"/>
          <w:szCs w:val="27"/>
        </w:rPr>
        <w:t>以出现在层次结构的不同层上，且又可以由其他软件单元组成。在设</w:t>
      </w:r>
      <w:r>
        <w:rPr>
          <w:rFonts w:ascii="楷体" w:hAnsi="楷体" w:eastAsia="楷体" w:cs="楷体"/>
          <w:spacing w:val="-4"/>
          <w:sz w:val="27"/>
          <w:szCs w:val="27"/>
        </w:rPr>
        <w:t>计中，软件</w:t>
      </w:r>
      <w:r>
        <w:rPr>
          <w:rFonts w:ascii="楷体" w:hAnsi="楷体" w:eastAsia="楷体" w:cs="楷体"/>
          <w:sz w:val="27"/>
          <w:szCs w:val="27"/>
        </w:rPr>
        <w:t xml:space="preserve"> </w:t>
      </w:r>
      <w:r>
        <w:rPr>
          <w:rFonts w:ascii="楷体" w:hAnsi="楷体" w:eastAsia="楷体" w:cs="楷体"/>
          <w:spacing w:val="-6"/>
          <w:sz w:val="27"/>
          <w:szCs w:val="27"/>
        </w:rPr>
        <w:t>单元与实现它们的代码和数据实体(例程，过程，数据库，数据文</w:t>
      </w:r>
      <w:r>
        <w:rPr>
          <w:rFonts w:ascii="楷体" w:hAnsi="楷体" w:eastAsia="楷体" w:cs="楷体"/>
          <w:spacing w:val="-7"/>
          <w:sz w:val="27"/>
          <w:szCs w:val="27"/>
        </w:rPr>
        <w:t>件等),或与包含</w:t>
      </w:r>
    </w:p>
    <w:p w14:paraId="58D4D714">
      <w:pPr>
        <w:spacing w:line="269" w:lineRule="auto"/>
        <w:rPr>
          <w:rFonts w:ascii="楷体" w:hAnsi="楷体" w:eastAsia="楷体" w:cs="楷体"/>
          <w:sz w:val="27"/>
          <w:szCs w:val="27"/>
        </w:rPr>
        <w:sectPr>
          <w:footerReference r:id="rId233" w:type="default"/>
          <w:pgSz w:w="11910" w:h="17130"/>
          <w:pgMar w:top="1456" w:right="955" w:bottom="1546" w:left="1480" w:header="0" w:footer="1357" w:gutter="0"/>
          <w:cols w:space="720" w:num="1"/>
        </w:sectPr>
      </w:pPr>
    </w:p>
    <w:p w14:paraId="57579955">
      <w:pPr>
        <w:spacing w:before="144" w:line="266" w:lineRule="auto"/>
        <w:ind w:right="126"/>
        <w:jc w:val="both"/>
        <w:rPr>
          <w:rFonts w:ascii="楷体" w:hAnsi="楷体" w:eastAsia="楷体" w:cs="楷体"/>
          <w:sz w:val="28"/>
          <w:szCs w:val="28"/>
        </w:rPr>
      </w:pPr>
      <w:r>
        <w:rPr>
          <w:rFonts w:ascii="楷体" w:hAnsi="楷体" w:eastAsia="楷体" w:cs="楷体"/>
          <w:spacing w:val="-13"/>
          <w:sz w:val="28"/>
          <w:szCs w:val="28"/>
        </w:rPr>
        <w:t>这些实体的计算机文件之间，可以有、也可以没有一对一的对应关系。一个数据</w:t>
      </w:r>
      <w:r>
        <w:rPr>
          <w:rFonts w:ascii="楷体" w:hAnsi="楷体" w:eastAsia="楷体" w:cs="楷体"/>
          <w:spacing w:val="10"/>
          <w:sz w:val="28"/>
          <w:szCs w:val="28"/>
        </w:rPr>
        <w:t xml:space="preserve"> </w:t>
      </w:r>
      <w:r>
        <w:rPr>
          <w:rFonts w:ascii="楷体" w:hAnsi="楷体" w:eastAsia="楷体" w:cs="楷体"/>
          <w:spacing w:val="-4"/>
          <w:sz w:val="28"/>
          <w:szCs w:val="28"/>
        </w:rPr>
        <w:t>库可被处理为一个</w:t>
      </w:r>
      <w:r>
        <w:rPr>
          <w:rFonts w:ascii="楷体" w:hAnsi="楷体" w:eastAsia="楷体" w:cs="楷体"/>
          <w:spacing w:val="-80"/>
          <w:sz w:val="28"/>
          <w:szCs w:val="28"/>
        </w:rPr>
        <w:t xml:space="preserve"> </w:t>
      </w:r>
      <w:r>
        <w:rPr>
          <w:rFonts w:ascii="Times New Roman" w:hAnsi="Times New Roman" w:eastAsia="Times New Roman" w:cs="Times New Roman"/>
          <w:spacing w:val="-4"/>
          <w:sz w:val="28"/>
          <w:szCs w:val="28"/>
        </w:rPr>
        <w:t>CSCI</w:t>
      </w:r>
      <w:r>
        <w:rPr>
          <w:rFonts w:ascii="Times New Roman" w:hAnsi="Times New Roman" w:eastAsia="Times New Roman" w:cs="Times New Roman"/>
          <w:spacing w:val="18"/>
          <w:sz w:val="28"/>
          <w:szCs w:val="28"/>
        </w:rPr>
        <w:t xml:space="preserve"> </w:t>
      </w:r>
      <w:r>
        <w:rPr>
          <w:rFonts w:ascii="楷体" w:hAnsi="楷体" w:eastAsia="楷体" w:cs="楷体"/>
          <w:spacing w:val="-4"/>
          <w:sz w:val="28"/>
          <w:szCs w:val="28"/>
        </w:rPr>
        <w:t>也可被处理为一个软</w:t>
      </w:r>
      <w:r>
        <w:rPr>
          <w:rFonts w:ascii="楷体" w:hAnsi="楷体" w:eastAsia="楷体" w:cs="楷体"/>
          <w:spacing w:val="-5"/>
          <w:sz w:val="28"/>
          <w:szCs w:val="28"/>
        </w:rPr>
        <w:t>件单元。</w:t>
      </w:r>
      <w:r>
        <w:rPr>
          <w:rFonts w:ascii="Times New Roman" w:hAnsi="Times New Roman" w:eastAsia="Times New Roman" w:cs="Times New Roman"/>
          <w:spacing w:val="-5"/>
          <w:sz w:val="28"/>
          <w:szCs w:val="28"/>
        </w:rPr>
        <w:t xml:space="preserve">SDD </w:t>
      </w:r>
      <w:r>
        <w:rPr>
          <w:rFonts w:ascii="楷体" w:hAnsi="楷体" w:eastAsia="楷体" w:cs="楷体"/>
          <w:spacing w:val="-5"/>
          <w:sz w:val="28"/>
          <w:szCs w:val="28"/>
        </w:rPr>
        <w:t>可以采用与所使用</w:t>
      </w:r>
      <w:r>
        <w:rPr>
          <w:rFonts w:ascii="楷体" w:hAnsi="楷体" w:eastAsia="楷体" w:cs="楷体"/>
          <w:sz w:val="28"/>
          <w:szCs w:val="28"/>
        </w:rPr>
        <w:t xml:space="preserve"> </w:t>
      </w:r>
      <w:r>
        <w:rPr>
          <w:rFonts w:ascii="楷体" w:hAnsi="楷体" w:eastAsia="楷体" w:cs="楷体"/>
          <w:spacing w:val="-6"/>
          <w:sz w:val="28"/>
          <w:szCs w:val="28"/>
        </w:rPr>
        <w:t>设计方法相一致的任何名字来称呼软件单元。</w:t>
      </w:r>
    </w:p>
    <w:p w14:paraId="79835535">
      <w:pPr>
        <w:pStyle w:val="2"/>
        <w:spacing w:before="3" w:line="266" w:lineRule="auto"/>
        <w:ind w:right="123" w:firstLine="560"/>
      </w:pPr>
      <w:r>
        <w:rPr>
          <w:rFonts w:ascii="Times New Roman" w:hAnsi="Times New Roman" w:eastAsia="Times New Roman" w:cs="Times New Roman"/>
          <w:spacing w:val="10"/>
        </w:rPr>
        <w:t xml:space="preserve">b)  </w:t>
      </w:r>
      <w:r>
        <w:rPr>
          <w:spacing w:val="10"/>
        </w:rPr>
        <w:t>软件单元的静态(如，由……组成)关系。</w:t>
      </w:r>
      <w:r>
        <w:rPr>
          <w:spacing w:val="9"/>
        </w:rPr>
        <w:t>根据所选择的软件设计方法</w:t>
      </w:r>
      <w:r>
        <w:t xml:space="preserve"> </w:t>
      </w:r>
      <w:r>
        <w:rPr>
          <w:spacing w:val="1"/>
        </w:rPr>
        <w:t>学，可以给出多种关系(例如采用面向对象的设计方法时，本条既可给出类和对</w:t>
      </w:r>
      <w:r>
        <w:rPr>
          <w:spacing w:val="10"/>
        </w:rPr>
        <w:t xml:space="preserve"> </w:t>
      </w:r>
      <w:r>
        <w:rPr>
          <w:spacing w:val="-2"/>
        </w:rPr>
        <w:t>象结构，也可给出</w:t>
      </w:r>
      <w:r>
        <w:rPr>
          <w:rFonts w:ascii="Times New Roman" w:hAnsi="Times New Roman" w:eastAsia="Times New Roman" w:cs="Times New Roman"/>
          <w:spacing w:val="-2"/>
        </w:rPr>
        <w:t>CSCI</w:t>
      </w:r>
      <w:r>
        <w:rPr>
          <w:rFonts w:ascii="Times New Roman" w:hAnsi="Times New Roman" w:eastAsia="Times New Roman" w:cs="Times New Roman"/>
          <w:spacing w:val="45"/>
        </w:rPr>
        <w:t xml:space="preserve"> </w:t>
      </w:r>
      <w:r>
        <w:rPr>
          <w:spacing w:val="-2"/>
        </w:rPr>
        <w:t>的模块和过程结构)。</w:t>
      </w:r>
    </w:p>
    <w:p w14:paraId="04CD78DB">
      <w:pPr>
        <w:pStyle w:val="2"/>
        <w:spacing w:before="39" w:line="253" w:lineRule="auto"/>
        <w:ind w:right="103" w:firstLine="560"/>
      </w:pPr>
      <w:r>
        <w:rPr>
          <w:rFonts w:ascii="Times New Roman" w:hAnsi="Times New Roman" w:eastAsia="Times New Roman" w:cs="Times New Roman"/>
          <w:spacing w:val="8"/>
        </w:rPr>
        <w:t>c)</w:t>
      </w:r>
      <w:r>
        <w:rPr>
          <w:rFonts w:ascii="Times New Roman" w:hAnsi="Times New Roman" w:eastAsia="Times New Roman" w:cs="Times New Roman"/>
          <w:spacing w:val="64"/>
        </w:rPr>
        <w:t xml:space="preserve"> </w:t>
      </w:r>
      <w:r>
        <w:rPr>
          <w:spacing w:val="8"/>
        </w:rPr>
        <w:t>每个软件单元的用途，指明分配给它的</w:t>
      </w:r>
      <w:r>
        <w:rPr>
          <w:spacing w:val="-76"/>
        </w:rPr>
        <w:t xml:space="preserve"> </w:t>
      </w:r>
      <w:r>
        <w:rPr>
          <w:rFonts w:ascii="Times New Roman" w:hAnsi="Times New Roman" w:eastAsia="Times New Roman" w:cs="Times New Roman"/>
        </w:rPr>
        <w:t>CSCI</w:t>
      </w:r>
      <w:r>
        <w:rPr>
          <w:rFonts w:ascii="Times New Roman" w:hAnsi="Times New Roman" w:eastAsia="Times New Roman" w:cs="Times New Roman"/>
          <w:spacing w:val="8"/>
        </w:rPr>
        <w:t xml:space="preserve"> </w:t>
      </w:r>
      <w:r>
        <w:rPr>
          <w:spacing w:val="8"/>
        </w:rPr>
        <w:t>需求和</w:t>
      </w:r>
      <w:r>
        <w:rPr>
          <w:spacing w:val="-77"/>
        </w:rPr>
        <w:t xml:space="preserve"> </w:t>
      </w:r>
      <w:r>
        <w:rPr>
          <w:rFonts w:ascii="Times New Roman" w:hAnsi="Times New Roman" w:eastAsia="Times New Roman" w:cs="Times New Roman"/>
        </w:rPr>
        <w:t>CSCI</w:t>
      </w:r>
      <w:r>
        <w:rPr>
          <w:rFonts w:ascii="Times New Roman" w:hAnsi="Times New Roman" w:eastAsia="Times New Roman" w:cs="Times New Roman"/>
          <w:spacing w:val="52"/>
          <w:w w:val="101"/>
        </w:rPr>
        <w:t xml:space="preserve"> </w:t>
      </w:r>
      <w:r>
        <w:rPr>
          <w:spacing w:val="8"/>
        </w:rPr>
        <w:t>级设计决策</w:t>
      </w:r>
      <w:r>
        <w:t xml:space="preserve"> </w:t>
      </w:r>
      <w:r>
        <w:rPr>
          <w:spacing w:val="10"/>
        </w:rPr>
        <w:t>(需求的分配也可在第6章</w:t>
      </w:r>
      <w:r>
        <w:rPr>
          <w:rFonts w:ascii="Times New Roman" w:hAnsi="Times New Roman" w:eastAsia="Times New Roman" w:cs="Times New Roman"/>
          <w:spacing w:val="10"/>
        </w:rPr>
        <w:t>a)</w:t>
      </w:r>
      <w:r>
        <w:rPr>
          <w:rFonts w:ascii="Times New Roman" w:hAnsi="Times New Roman" w:eastAsia="Times New Roman" w:cs="Times New Roman"/>
          <w:spacing w:val="43"/>
          <w:w w:val="101"/>
        </w:rPr>
        <w:t xml:space="preserve"> </w:t>
      </w:r>
      <w:r>
        <w:rPr>
          <w:spacing w:val="10"/>
        </w:rPr>
        <w:t>中提供)。</w:t>
      </w:r>
    </w:p>
    <w:p w14:paraId="228EC6F8">
      <w:pPr>
        <w:pStyle w:val="2"/>
        <w:spacing w:before="101" w:line="270" w:lineRule="auto"/>
        <w:ind w:right="102" w:firstLine="560"/>
      </w:pPr>
      <w:r>
        <w:rPr>
          <w:rFonts w:ascii="Times New Roman" w:hAnsi="Times New Roman" w:eastAsia="Times New Roman" w:cs="Times New Roman"/>
          <w:spacing w:val="3"/>
        </w:rPr>
        <w:t xml:space="preserve">d)  </w:t>
      </w:r>
      <w:r>
        <w:rPr>
          <w:spacing w:val="3"/>
        </w:rPr>
        <w:t>每个软件单元的开发状态/类型(</w:t>
      </w:r>
      <w:r>
        <w:rPr>
          <w:spacing w:val="2"/>
        </w:rPr>
        <w:t>如新开发、按原样重用已有的设计或软</w:t>
      </w:r>
      <w:r>
        <w:t xml:space="preserve"> </w:t>
      </w:r>
      <w:r>
        <w:rPr>
          <w:spacing w:val="-3"/>
        </w:rPr>
        <w:t>件、再工程的已有的设计或软件、为重用而要开发的软件等，为构建版</w:t>
      </w:r>
      <w:r>
        <w:rPr>
          <w:rFonts w:ascii="Times New Roman" w:hAnsi="Times New Roman" w:eastAsia="Times New Roman" w:cs="Times New Roman"/>
          <w:spacing w:val="-3"/>
        </w:rPr>
        <w:t>N</w:t>
      </w:r>
      <w:r>
        <w:rPr>
          <w:rFonts w:ascii="Times New Roman" w:hAnsi="Times New Roman" w:eastAsia="Times New Roman" w:cs="Times New Roman"/>
          <w:spacing w:val="32"/>
        </w:rPr>
        <w:t xml:space="preserve"> </w:t>
      </w:r>
      <w:r>
        <w:rPr>
          <w:spacing w:val="-3"/>
        </w:rPr>
        <w:t>计划的</w:t>
      </w:r>
      <w:r>
        <w:t xml:space="preserve"> </w:t>
      </w:r>
      <w:r>
        <w:rPr>
          <w:spacing w:val="-6"/>
        </w:rPr>
        <w:t>软件)。针对现有的设计或软件，本说明应提供标识信息，例如名字、版本、文档</w:t>
      </w:r>
      <w:r>
        <w:t xml:space="preserve"> </w:t>
      </w:r>
      <w:r>
        <w:rPr>
          <w:spacing w:val="-18"/>
        </w:rPr>
        <w:t>引用、库等。</w:t>
      </w:r>
    </w:p>
    <w:p w14:paraId="228EE05E">
      <w:pPr>
        <w:pStyle w:val="2"/>
        <w:spacing w:before="51" w:line="275" w:lineRule="auto"/>
        <w:ind w:firstLine="560"/>
      </w:pPr>
      <w:r>
        <w:rPr>
          <w:rFonts w:ascii="Times New Roman" w:hAnsi="Times New Roman" w:eastAsia="Times New Roman" w:cs="Times New Roman"/>
          <w:spacing w:val="7"/>
        </w:rPr>
        <w:t>e)</w:t>
      </w:r>
      <w:r>
        <w:rPr>
          <w:rFonts w:ascii="Times New Roman" w:hAnsi="Times New Roman" w:eastAsia="Times New Roman" w:cs="Times New Roman"/>
        </w:rPr>
        <w:t>CSCI</w:t>
      </w:r>
      <w:r>
        <w:rPr>
          <w:rFonts w:ascii="Times New Roman" w:hAnsi="Times New Roman" w:eastAsia="Times New Roman" w:cs="Times New Roman"/>
          <w:spacing w:val="7"/>
        </w:rPr>
        <w:t xml:space="preserve">  (</w:t>
      </w:r>
      <w:r>
        <w:rPr>
          <w:spacing w:val="7"/>
        </w:rPr>
        <w:t>若适用，针对每个软件单元)计划使</w:t>
      </w:r>
      <w:r>
        <w:rPr>
          <w:spacing w:val="6"/>
        </w:rPr>
        <w:t>用的计算机硬件资源(例如处</w:t>
      </w:r>
      <w:r>
        <w:t xml:space="preserve"> </w:t>
      </w:r>
      <w:r>
        <w:rPr>
          <w:spacing w:val="-3"/>
        </w:rPr>
        <w:t>理机能力，内存能力，输入/输出设备能力，辅存能力以及通信/网络设备能力)。</w:t>
      </w:r>
      <w:r>
        <w:rPr>
          <w:spacing w:val="10"/>
        </w:rPr>
        <w:t xml:space="preserve"> </w:t>
      </w:r>
      <w:r>
        <w:rPr>
          <w:spacing w:val="2"/>
        </w:rPr>
        <w:t>本说明应覆盖</w:t>
      </w:r>
      <w:r>
        <w:rPr>
          <w:spacing w:val="-71"/>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2"/>
        </w:rPr>
        <w:t>的资源使用需求中、影响该</w:t>
      </w:r>
      <w:r>
        <w:rPr>
          <w:rFonts w:ascii="Times New Roman" w:hAnsi="Times New Roman" w:eastAsia="Times New Roman" w:cs="Times New Roman"/>
        </w:rPr>
        <w:t>CSCI</w:t>
      </w:r>
      <w:r>
        <w:rPr>
          <w:rFonts w:ascii="Times New Roman" w:hAnsi="Times New Roman" w:eastAsia="Times New Roman" w:cs="Times New Roman"/>
          <w:spacing w:val="52"/>
          <w:w w:val="101"/>
        </w:rPr>
        <w:t xml:space="preserve"> </w:t>
      </w:r>
      <w:r>
        <w:rPr>
          <w:spacing w:val="2"/>
        </w:rPr>
        <w:t>的系统级资源分配中、以</w:t>
      </w:r>
      <w:r>
        <w:t xml:space="preserve"> </w:t>
      </w:r>
      <w:r>
        <w:rPr>
          <w:spacing w:val="9"/>
        </w:rPr>
        <w:t>及在软件开发计划(</w:t>
      </w:r>
      <w:r>
        <w:rPr>
          <w:rFonts w:ascii="Times New Roman" w:hAnsi="Times New Roman" w:eastAsia="Times New Roman" w:cs="Times New Roman"/>
        </w:rPr>
        <w:t>SDP</w:t>
      </w:r>
      <w:r>
        <w:rPr>
          <w:rFonts w:ascii="Times New Roman" w:hAnsi="Times New Roman" w:eastAsia="Times New Roman" w:cs="Times New Roman"/>
          <w:spacing w:val="9"/>
        </w:rPr>
        <w:t>)</w:t>
      </w:r>
      <w:r>
        <w:rPr>
          <w:rFonts w:ascii="Times New Roman" w:hAnsi="Times New Roman" w:eastAsia="Times New Roman" w:cs="Times New Roman"/>
          <w:spacing w:val="29"/>
        </w:rPr>
        <w:t xml:space="preserve"> </w:t>
      </w:r>
      <w:r>
        <w:rPr>
          <w:spacing w:val="9"/>
        </w:rPr>
        <w:t>的资源使用测量策划中包含的全部计算机硬件资源。</w:t>
      </w:r>
      <w:r>
        <w:t xml:space="preserve"> </w:t>
      </w:r>
      <w:r>
        <w:rPr>
          <w:spacing w:val="-1"/>
        </w:rPr>
        <w:t>如果针对指定计算机硬件资源的所有使用数据都在同一处提供，例如在</w:t>
      </w:r>
      <w:r>
        <w:rPr>
          <w:spacing w:val="-54"/>
        </w:rPr>
        <w:t xml:space="preserve"> </w:t>
      </w:r>
      <w:r>
        <w:rPr>
          <w:rFonts w:ascii="Times New Roman" w:hAnsi="Times New Roman" w:eastAsia="Times New Roman" w:cs="Times New Roman"/>
          <w:spacing w:val="-1"/>
        </w:rPr>
        <w:t xml:space="preserve">SDD </w:t>
      </w:r>
      <w:r>
        <w:rPr>
          <w:spacing w:val="-1"/>
        </w:rPr>
        <w:t>中</w:t>
      </w:r>
      <w:r>
        <w:t xml:space="preserve">  </w:t>
      </w:r>
      <w:r>
        <w:rPr>
          <w:spacing w:val="-2"/>
        </w:rPr>
        <w:t>提供，那么本条可直接引用。对每个计算机硬件资源，应</w:t>
      </w:r>
      <w:r>
        <w:rPr>
          <w:spacing w:val="-3"/>
        </w:rPr>
        <w:t>包括如下信息：1)得到</w:t>
      </w:r>
      <w:r>
        <w:t xml:space="preserve">  </w:t>
      </w:r>
      <w:r>
        <w:rPr>
          <w:spacing w:val="6"/>
        </w:rPr>
        <w:t>满足的</w:t>
      </w:r>
      <w:r>
        <w:rPr>
          <w:rFonts w:ascii="Times New Roman" w:hAnsi="Times New Roman" w:eastAsia="Times New Roman" w:cs="Times New Roman"/>
        </w:rPr>
        <w:t>CSCI</w:t>
      </w:r>
      <w:r>
        <w:rPr>
          <w:rFonts w:ascii="Times New Roman" w:hAnsi="Times New Roman" w:eastAsia="Times New Roman" w:cs="Times New Roman"/>
          <w:spacing w:val="6"/>
        </w:rPr>
        <w:t xml:space="preserve"> </w:t>
      </w:r>
      <w:r>
        <w:rPr>
          <w:spacing w:val="6"/>
        </w:rPr>
        <w:t>需求或系统级资源分配；2)使用数据基于的假设和条件(如典型用</w:t>
      </w:r>
      <w:r>
        <w:rPr>
          <w:spacing w:val="4"/>
        </w:rPr>
        <w:t xml:space="preserve"> </w:t>
      </w:r>
      <w:r>
        <w:rPr>
          <w:spacing w:val="-6"/>
        </w:rPr>
        <w:t>法、最坏情况用法、特定事件的假定);3)影响使用的特殊考虑(如虚存、覆盖、多</w:t>
      </w:r>
      <w:r>
        <w:rPr>
          <w:spacing w:val="16"/>
        </w:rPr>
        <w:t xml:space="preserve"> </w:t>
      </w:r>
      <w:r>
        <w:rPr>
          <w:spacing w:val="-2"/>
        </w:rPr>
        <w:t>处理器的使用情况，操作系统、库软件的开销或其他实现开销的影响);4)所使用</w:t>
      </w:r>
      <w:r>
        <w:rPr>
          <w:spacing w:val="5"/>
        </w:rPr>
        <w:t xml:space="preserve"> </w:t>
      </w:r>
      <w:r>
        <w:rPr>
          <w:spacing w:val="-6"/>
        </w:rPr>
        <w:t>的测度的单位(如处理器能力的百分比、周期/秒、内存字节数、千字节/秒);5)进</w:t>
      </w:r>
      <w:r>
        <w:rPr>
          <w:spacing w:val="4"/>
        </w:rPr>
        <w:t xml:space="preserve">  </w:t>
      </w:r>
      <w:r>
        <w:rPr>
          <w:spacing w:val="-2"/>
        </w:rPr>
        <w:t>行评估或测量的级别(如软件单元，</w:t>
      </w:r>
      <w:r>
        <w:rPr>
          <w:rFonts w:ascii="Times New Roman" w:hAnsi="Times New Roman" w:eastAsia="Times New Roman" w:cs="Times New Roman"/>
          <w:spacing w:val="-2"/>
        </w:rPr>
        <w:t>CSCI</w:t>
      </w:r>
      <w:r>
        <w:rPr>
          <w:rFonts w:ascii="Times New Roman" w:hAnsi="Times New Roman" w:eastAsia="Times New Roman" w:cs="Times New Roman"/>
          <w:spacing w:val="34"/>
        </w:rPr>
        <w:t xml:space="preserve"> </w:t>
      </w:r>
      <w:r>
        <w:rPr>
          <w:spacing w:val="-2"/>
        </w:rPr>
        <w:t>或者可执行程序)。</w:t>
      </w:r>
    </w:p>
    <w:p w14:paraId="18434239">
      <w:pPr>
        <w:pStyle w:val="2"/>
        <w:spacing w:before="73" w:line="212" w:lineRule="auto"/>
        <w:ind w:left="560"/>
      </w:pPr>
      <w:r>
        <w:rPr>
          <w:rFonts w:ascii="Times New Roman" w:hAnsi="Times New Roman" w:eastAsia="Times New Roman" w:cs="Times New Roman"/>
          <w:spacing w:val="4"/>
        </w:rPr>
        <w:t xml:space="preserve">f)  </w:t>
      </w:r>
      <w:r>
        <w:rPr>
          <w:spacing w:val="4"/>
        </w:rPr>
        <w:t>标识实现每个软件单元的软件放置在哪个程序库中。</w:t>
      </w:r>
    </w:p>
    <w:p w14:paraId="40C897E2">
      <w:pPr>
        <w:spacing w:before="133" w:line="219" w:lineRule="auto"/>
        <w:rPr>
          <w:rFonts w:ascii="黑体" w:hAnsi="黑体" w:eastAsia="黑体" w:cs="黑体"/>
          <w:sz w:val="24"/>
          <w:szCs w:val="24"/>
        </w:rPr>
      </w:pPr>
      <w:r>
        <w:rPr>
          <w:rFonts w:ascii="黑体" w:hAnsi="黑体" w:eastAsia="黑体" w:cs="黑体"/>
          <w:spacing w:val="17"/>
          <w:sz w:val="24"/>
          <w:szCs w:val="24"/>
        </w:rPr>
        <w:t>4.2</w:t>
      </w:r>
      <w:r>
        <w:rPr>
          <w:rFonts w:ascii="黑体" w:hAnsi="黑体" w:eastAsia="黑体" w:cs="黑体"/>
          <w:spacing w:val="2"/>
          <w:sz w:val="24"/>
          <w:szCs w:val="24"/>
        </w:rPr>
        <w:t xml:space="preserve">   </w:t>
      </w:r>
      <w:r>
        <w:rPr>
          <w:rFonts w:ascii="黑体" w:hAnsi="黑体" w:eastAsia="黑体" w:cs="黑体"/>
          <w:b/>
          <w:bCs/>
          <w:spacing w:val="17"/>
          <w:sz w:val="24"/>
          <w:szCs w:val="24"/>
        </w:rPr>
        <w:t>执行方案</w:t>
      </w:r>
    </w:p>
    <w:p w14:paraId="48D333C8">
      <w:pPr>
        <w:pStyle w:val="2"/>
        <w:spacing w:before="110" w:line="276" w:lineRule="auto"/>
        <w:ind w:right="107" w:firstLine="560"/>
        <w:jc w:val="both"/>
      </w:pPr>
      <w:r>
        <w:rPr>
          <w:spacing w:val="-3"/>
        </w:rPr>
        <w:t>本条应说明软件单元间的执行方案，可采用图表和描述，来说明软件单元间</w:t>
      </w:r>
      <w:r>
        <w:rPr>
          <w:spacing w:val="4"/>
        </w:rPr>
        <w:t xml:space="preserve"> </w:t>
      </w:r>
      <w:r>
        <w:rPr>
          <w:spacing w:val="-1"/>
        </w:rPr>
        <w:t>的动态关系，即</w:t>
      </w:r>
      <w:r>
        <w:rPr>
          <w:spacing w:val="-68"/>
        </w:rPr>
        <w:t xml:space="preserve"> </w:t>
      </w:r>
      <w:r>
        <w:rPr>
          <w:rFonts w:ascii="Times New Roman" w:hAnsi="Times New Roman" w:eastAsia="Times New Roman" w:cs="Times New Roman"/>
          <w:spacing w:val="-1"/>
        </w:rPr>
        <w:t>CSCI</w:t>
      </w:r>
      <w:r>
        <w:rPr>
          <w:rFonts w:ascii="Times New Roman" w:hAnsi="Times New Roman" w:eastAsia="Times New Roman" w:cs="Times New Roman"/>
          <w:spacing w:val="22"/>
        </w:rPr>
        <w:t xml:space="preserve"> </w:t>
      </w:r>
      <w:r>
        <w:rPr>
          <w:spacing w:val="-1"/>
        </w:rPr>
        <w:t>运行期间软件单元间的相互作用情况，(若适用)应包括执</w:t>
      </w:r>
      <w:r>
        <w:t xml:space="preserve"> </w:t>
      </w:r>
      <w:r>
        <w:rPr>
          <w:spacing w:val="-17"/>
        </w:rPr>
        <w:t>行控制流程、数据流、动态控制序列、状态转换图、时序图、单元间的优先关系、中</w:t>
      </w:r>
      <w:r>
        <w:rPr>
          <w:spacing w:val="15"/>
        </w:rPr>
        <w:t xml:space="preserve"> </w:t>
      </w:r>
      <w:r>
        <w:rPr>
          <w:spacing w:val="-13"/>
        </w:rPr>
        <w:t>断处理、时序/排序关系、例外处理、并发执行、动态分配与去除分配、对象/</w:t>
      </w:r>
      <w:r>
        <w:rPr>
          <w:spacing w:val="-14"/>
        </w:rPr>
        <w:t>进程/</w:t>
      </w:r>
      <w:r>
        <w:t xml:space="preserve"> </w:t>
      </w:r>
      <w:r>
        <w:rPr>
          <w:spacing w:val="-2"/>
        </w:rPr>
        <w:t>任务的动态创建/删除、以及动态行为的其他方</w:t>
      </w:r>
      <w:r>
        <w:rPr>
          <w:spacing w:val="-3"/>
        </w:rPr>
        <w:t>面。</w:t>
      </w:r>
    </w:p>
    <w:p w14:paraId="31D1BEA2">
      <w:pPr>
        <w:spacing w:line="221" w:lineRule="auto"/>
        <w:outlineLvl w:val="3"/>
        <w:rPr>
          <w:rFonts w:ascii="黑体" w:hAnsi="黑体" w:eastAsia="黑体" w:cs="黑体"/>
          <w:sz w:val="27"/>
          <w:szCs w:val="27"/>
        </w:rPr>
      </w:pPr>
      <w:r>
        <w:rPr>
          <w:rFonts w:ascii="Arial" w:hAnsi="Arial" w:eastAsia="Arial" w:cs="Arial"/>
          <w:b/>
          <w:bCs/>
          <w:spacing w:val="-1"/>
          <w:sz w:val="27"/>
          <w:szCs w:val="27"/>
        </w:rPr>
        <w:t>4.3</w:t>
      </w:r>
      <w:r>
        <w:rPr>
          <w:rFonts w:ascii="Arial" w:hAnsi="Arial" w:eastAsia="Arial" w:cs="Arial"/>
          <w:b/>
          <w:bCs/>
          <w:spacing w:val="14"/>
          <w:sz w:val="27"/>
          <w:szCs w:val="27"/>
        </w:rPr>
        <w:t xml:space="preserve">    </w:t>
      </w:r>
      <w:r>
        <w:rPr>
          <w:rFonts w:ascii="黑体" w:hAnsi="黑体" w:eastAsia="黑体" w:cs="黑体"/>
          <w:b/>
          <w:bCs/>
          <w:spacing w:val="-1"/>
          <w:sz w:val="27"/>
          <w:szCs w:val="27"/>
        </w:rPr>
        <w:t>接口设计</w:t>
      </w:r>
    </w:p>
    <w:p w14:paraId="639AE406">
      <w:pPr>
        <w:spacing w:before="117" w:line="222" w:lineRule="auto"/>
        <w:rPr>
          <w:rFonts w:ascii="黑体" w:hAnsi="黑体" w:eastAsia="黑体" w:cs="黑体"/>
          <w:sz w:val="24"/>
          <w:szCs w:val="24"/>
        </w:rPr>
      </w:pPr>
      <w:r>
        <w:rPr>
          <w:rFonts w:ascii="黑体" w:hAnsi="黑体" w:eastAsia="黑体" w:cs="黑体"/>
          <w:spacing w:val="19"/>
          <w:sz w:val="24"/>
          <w:szCs w:val="24"/>
        </w:rPr>
        <w:t>4.3.1</w:t>
      </w:r>
      <w:r>
        <w:rPr>
          <w:rFonts w:ascii="黑体" w:hAnsi="黑体" w:eastAsia="黑体" w:cs="黑体"/>
          <w:spacing w:val="13"/>
          <w:sz w:val="24"/>
          <w:szCs w:val="24"/>
        </w:rPr>
        <w:t xml:space="preserve">   </w:t>
      </w:r>
      <w:r>
        <w:rPr>
          <w:rFonts w:ascii="黑体" w:hAnsi="黑体" w:eastAsia="黑体" w:cs="黑体"/>
          <w:b/>
          <w:bCs/>
          <w:spacing w:val="19"/>
          <w:sz w:val="24"/>
          <w:szCs w:val="24"/>
        </w:rPr>
        <w:t>接口标识和接口图</w:t>
      </w:r>
    </w:p>
    <w:p w14:paraId="13A5502D">
      <w:pPr>
        <w:pStyle w:val="2"/>
        <w:spacing w:before="143" w:line="305" w:lineRule="auto"/>
        <w:ind w:right="116" w:firstLine="560"/>
        <w:rPr>
          <w:sz w:val="25"/>
          <w:szCs w:val="25"/>
        </w:rPr>
      </w:pPr>
      <w:r>
        <w:rPr>
          <w:spacing w:val="24"/>
          <w:sz w:val="25"/>
          <w:szCs w:val="25"/>
        </w:rPr>
        <w:t>本条应说明赋予每个接口的项目唯一的标识符，(若适用)应通过名称、编</w:t>
      </w:r>
      <w:r>
        <w:rPr>
          <w:spacing w:val="15"/>
          <w:sz w:val="25"/>
          <w:szCs w:val="25"/>
        </w:rPr>
        <w:t xml:space="preserve"> </w:t>
      </w:r>
      <w:r>
        <w:rPr>
          <w:spacing w:val="10"/>
          <w:sz w:val="25"/>
          <w:szCs w:val="25"/>
        </w:rPr>
        <w:t>号、版本及文档引用来标识接口实体(软件单元、系统、配置项、用</w:t>
      </w:r>
      <w:r>
        <w:rPr>
          <w:spacing w:val="9"/>
          <w:sz w:val="25"/>
          <w:szCs w:val="25"/>
        </w:rPr>
        <w:t>户等)。该标识</w:t>
      </w:r>
    </w:p>
    <w:p w14:paraId="6B0B3AFB">
      <w:pPr>
        <w:spacing w:line="305" w:lineRule="auto"/>
        <w:rPr>
          <w:sz w:val="25"/>
          <w:szCs w:val="25"/>
        </w:rPr>
        <w:sectPr>
          <w:footerReference r:id="rId234" w:type="default"/>
          <w:pgSz w:w="11910" w:h="17130"/>
          <w:pgMar w:top="1456" w:right="1504" w:bottom="1567" w:left="920" w:header="0" w:footer="1350" w:gutter="0"/>
          <w:cols w:space="720" w:num="1"/>
        </w:sectPr>
      </w:pPr>
    </w:p>
    <w:p w14:paraId="5B9F9045">
      <w:pPr>
        <w:pStyle w:val="2"/>
        <w:spacing w:before="103" w:line="263" w:lineRule="auto"/>
        <w:ind w:right="108"/>
        <w:jc w:val="both"/>
      </w:pPr>
      <w:r>
        <w:rPr>
          <w:spacing w:val="10"/>
        </w:rPr>
        <w:t>应说明哪些实体具有固定的接口特性(从而把接口需求分配给这些接口实体);</w:t>
      </w:r>
      <w:r>
        <w:rPr>
          <w:spacing w:val="11"/>
        </w:rPr>
        <w:t xml:space="preserve"> </w:t>
      </w:r>
      <w:r>
        <w:rPr>
          <w:spacing w:val="5"/>
        </w:rPr>
        <w:t>说明哪些实体正在开发或修改(这些实体已有各自的接口需求)。(若适用)应通</w:t>
      </w:r>
      <w:r>
        <w:t xml:space="preserve"> </w:t>
      </w:r>
      <w:r>
        <w:rPr>
          <w:spacing w:val="3"/>
        </w:rPr>
        <w:t>过接口图来描述这些接口。</w:t>
      </w:r>
    </w:p>
    <w:p w14:paraId="12F525AC">
      <w:pPr>
        <w:spacing w:line="368" w:lineRule="exact"/>
        <w:rPr>
          <w:rFonts w:ascii="黑体" w:hAnsi="黑体" w:eastAsia="黑体" w:cs="黑体"/>
          <w:sz w:val="27"/>
          <w:szCs w:val="27"/>
        </w:rPr>
      </w:pPr>
      <w:r>
        <w:rPr>
          <w:rFonts w:ascii="黑体" w:hAnsi="黑体" w:eastAsia="黑体" w:cs="黑体"/>
          <w:spacing w:val="5"/>
          <w:position w:val="3"/>
          <w:sz w:val="27"/>
          <w:szCs w:val="27"/>
        </w:rPr>
        <w:t>4.3.</w:t>
      </w:r>
      <w:r>
        <w:rPr>
          <w:rFonts w:ascii="Arial" w:hAnsi="Arial" w:eastAsia="Arial" w:cs="Arial"/>
          <w:spacing w:val="5"/>
          <w:position w:val="3"/>
          <w:sz w:val="27"/>
          <w:szCs w:val="27"/>
        </w:rPr>
        <w:t>X    (</w:t>
      </w:r>
      <w:r>
        <w:rPr>
          <w:rFonts w:ascii="Arial" w:hAnsi="Arial" w:eastAsia="Arial" w:cs="Arial"/>
          <w:spacing w:val="-27"/>
          <w:position w:val="3"/>
          <w:sz w:val="27"/>
          <w:szCs w:val="27"/>
        </w:rPr>
        <w:t xml:space="preserve"> </w:t>
      </w:r>
      <w:r>
        <w:rPr>
          <w:rFonts w:ascii="黑体" w:hAnsi="黑体" w:eastAsia="黑体" w:cs="黑体"/>
          <w:spacing w:val="5"/>
          <w:position w:val="3"/>
          <w:sz w:val="27"/>
          <w:szCs w:val="27"/>
        </w:rPr>
        <w:t>接口的项目唯一的标识符)</w:t>
      </w:r>
    </w:p>
    <w:p w14:paraId="3105EFE5">
      <w:pPr>
        <w:pStyle w:val="2"/>
        <w:spacing w:before="76" w:line="278" w:lineRule="auto"/>
        <w:ind w:right="50" w:firstLine="570"/>
        <w:jc w:val="both"/>
      </w:pPr>
      <w:r>
        <w:rPr>
          <w:spacing w:val="9"/>
        </w:rPr>
        <w:t>本条(从4.3.2开始)应通过项目唯一的标识符来标识接口，应简要地标识</w:t>
      </w:r>
      <w:r>
        <w:rPr>
          <w:spacing w:val="4"/>
        </w:rPr>
        <w:t xml:space="preserve"> </w:t>
      </w:r>
      <w:r>
        <w:rPr>
          <w:spacing w:val="5"/>
        </w:rPr>
        <w:t>接口实体，根据需要可分条描述单方或双方接口实体的特性。如果一指定的接</w:t>
      </w:r>
      <w:r>
        <w:rPr>
          <w:spacing w:val="9"/>
        </w:rPr>
        <w:t xml:space="preserve"> </w:t>
      </w:r>
      <w:r>
        <w:rPr>
          <w:spacing w:val="6"/>
        </w:rPr>
        <w:t>口实体未包含在本</w:t>
      </w:r>
      <w:r>
        <w:rPr>
          <w:rFonts w:ascii="Times New Roman" w:hAnsi="Times New Roman" w:eastAsia="Times New Roman" w:cs="Times New Roman"/>
        </w:rPr>
        <w:t>SDD</w:t>
      </w:r>
      <w:r>
        <w:rPr>
          <w:rFonts w:ascii="Times New Roman" w:hAnsi="Times New Roman" w:eastAsia="Times New Roman" w:cs="Times New Roman"/>
          <w:spacing w:val="29"/>
        </w:rPr>
        <w:t xml:space="preserve"> </w:t>
      </w:r>
      <w:r>
        <w:rPr>
          <w:spacing w:val="6"/>
        </w:rPr>
        <w:t>中(例如一个外部系统),而描述接口实体需要提到其接</w:t>
      </w:r>
      <w:r>
        <w:t xml:space="preserve">  口特性时，这些特性应作为假设予以陈述、或以“当[未涵盖的实体]这样做时，</w:t>
      </w:r>
      <w:r>
        <w:rPr>
          <w:spacing w:val="13"/>
        </w:rPr>
        <w:t xml:space="preserve"> </w:t>
      </w:r>
      <w:r>
        <w:rPr>
          <w:spacing w:val="1"/>
        </w:rPr>
        <w:t>[所指定的实体]将……”的形式描述。本条可引用其他文档(如数据字典、协议</w:t>
      </w:r>
      <w:r>
        <w:rPr>
          <w:spacing w:val="10"/>
        </w:rPr>
        <w:t xml:space="preserve"> </w:t>
      </w:r>
      <w:r>
        <w:rPr>
          <w:spacing w:val="1"/>
        </w:rPr>
        <w:t>标准、用户接口标准)代替在此所描述的信息。(若适用)本设计说明应包括以下</w:t>
      </w:r>
      <w:r>
        <w:rPr>
          <w:spacing w:val="15"/>
        </w:rPr>
        <w:t xml:space="preserve"> </w:t>
      </w:r>
      <w:r>
        <w:rPr>
          <w:spacing w:val="-3"/>
        </w:rPr>
        <w:t>内容，</w:t>
      </w:r>
      <w:r>
        <w:rPr>
          <w:color w:val="505050"/>
          <w:spacing w:val="-3"/>
        </w:rPr>
        <w:t>以任何适合于所提供的信息的顺序提供，</w:t>
      </w:r>
      <w:r>
        <w:rPr>
          <w:spacing w:val="-3"/>
        </w:rPr>
        <w:t>并应从接口实体角度说明这些特</w:t>
      </w:r>
      <w:r>
        <w:rPr>
          <w:spacing w:val="13"/>
        </w:rPr>
        <w:t xml:space="preserve"> </w:t>
      </w:r>
      <w:r>
        <w:rPr>
          <w:spacing w:val="2"/>
        </w:rPr>
        <w:t>性之间的区别(例如关于数据元素的大小、频率或其他特性的不同期望值):</w:t>
      </w:r>
    </w:p>
    <w:p w14:paraId="5F33486B">
      <w:pPr>
        <w:pStyle w:val="2"/>
        <w:spacing w:line="212" w:lineRule="auto"/>
        <w:ind w:left="570"/>
      </w:pPr>
      <w:r>
        <w:rPr>
          <w:rFonts w:ascii="Times New Roman" w:hAnsi="Times New Roman" w:eastAsia="Times New Roman" w:cs="Times New Roman"/>
          <w:spacing w:val="4"/>
        </w:rPr>
        <w:t>a)</w:t>
      </w:r>
      <w:r>
        <w:rPr>
          <w:rFonts w:ascii="Times New Roman" w:hAnsi="Times New Roman" w:eastAsia="Times New Roman" w:cs="Times New Roman"/>
          <w:spacing w:val="62"/>
          <w:w w:val="101"/>
        </w:rPr>
        <w:t xml:space="preserve"> </w:t>
      </w:r>
      <w:r>
        <w:rPr>
          <w:spacing w:val="4"/>
        </w:rPr>
        <w:t>接口实体分配给接口的优先级。</w:t>
      </w:r>
    </w:p>
    <w:p w14:paraId="227206CB">
      <w:pPr>
        <w:pStyle w:val="2"/>
        <w:spacing w:before="99" w:line="212" w:lineRule="auto"/>
        <w:ind w:left="570"/>
      </w:pPr>
      <w:r>
        <w:rPr>
          <w:rFonts w:ascii="Times New Roman" w:hAnsi="Times New Roman" w:eastAsia="Times New Roman" w:cs="Times New Roman"/>
        </w:rPr>
        <w:t>b)</w:t>
      </w:r>
      <w:r>
        <w:rPr>
          <w:rFonts w:ascii="Times New Roman" w:hAnsi="Times New Roman" w:eastAsia="Times New Roman" w:cs="Times New Roman"/>
          <w:spacing w:val="81"/>
        </w:rPr>
        <w:t xml:space="preserve"> </w:t>
      </w:r>
      <w:r>
        <w:t>要实现的接口类型(例如实时数据传输、数据的存储和检索等)。</w:t>
      </w:r>
    </w:p>
    <w:p w14:paraId="5D8BA941">
      <w:pPr>
        <w:pStyle w:val="2"/>
        <w:spacing w:before="95" w:line="268" w:lineRule="auto"/>
        <w:ind w:right="100" w:firstLine="570"/>
      </w:pPr>
      <w:r>
        <w:rPr>
          <w:rFonts w:ascii="Times New Roman" w:hAnsi="Times New Roman" w:eastAsia="Times New Roman" w:cs="Times New Roman"/>
          <w:spacing w:val="-4"/>
        </w:rPr>
        <w:t>c)</w:t>
      </w:r>
      <w:r>
        <w:rPr>
          <w:rFonts w:ascii="Times New Roman" w:hAnsi="Times New Roman" w:eastAsia="Times New Roman" w:cs="Times New Roman"/>
          <w:spacing w:val="66"/>
        </w:rPr>
        <w:t xml:space="preserve"> </w:t>
      </w:r>
      <w:r>
        <w:rPr>
          <w:spacing w:val="-4"/>
        </w:rPr>
        <w:t>接口实体将提供、存储、发送、访问、接收的各个数据元素的特征。1)名</w:t>
      </w:r>
      <w:r>
        <w:t xml:space="preserve"> </w:t>
      </w:r>
      <w:r>
        <w:rPr>
          <w:spacing w:val="-6"/>
        </w:rPr>
        <w:t>称/标识符，含项目唯一的标识符，非技术(自然语言)名称，数据元素名称，</w:t>
      </w:r>
      <w:r>
        <w:rPr>
          <w:spacing w:val="-7"/>
        </w:rPr>
        <w:t>技术</w:t>
      </w:r>
      <w:r>
        <w:t xml:space="preserve"> </w:t>
      </w:r>
      <w:r>
        <w:rPr>
          <w:spacing w:val="9"/>
        </w:rPr>
        <w:t>名称(如在代码或数据库中的变量名或字段名),缩略名或同义名；2)数</w:t>
      </w:r>
      <w:r>
        <w:rPr>
          <w:spacing w:val="8"/>
        </w:rPr>
        <w:t>据类型</w:t>
      </w:r>
      <w:r>
        <w:t xml:space="preserve"> </w:t>
      </w:r>
      <w:r>
        <w:rPr>
          <w:spacing w:val="-2"/>
        </w:rPr>
        <w:t>(字母、数字、整数等);3)大小与格式(如字符串的长度和标</w:t>
      </w:r>
      <w:r>
        <w:rPr>
          <w:spacing w:val="-3"/>
        </w:rPr>
        <w:t>点符号);4)计量单位</w:t>
      </w:r>
      <w:r>
        <w:t xml:space="preserve"> </w:t>
      </w:r>
      <w:r>
        <w:rPr>
          <w:spacing w:val="8"/>
        </w:rPr>
        <w:t>(</w:t>
      </w:r>
      <w:r>
        <w:rPr>
          <w:spacing w:val="-43"/>
        </w:rPr>
        <w:t xml:space="preserve"> </w:t>
      </w:r>
      <w:r>
        <w:rPr>
          <w:spacing w:val="8"/>
        </w:rPr>
        <w:t>如</w:t>
      </w:r>
      <w:r>
        <w:rPr>
          <w:rFonts w:ascii="Times New Roman" w:hAnsi="Times New Roman" w:eastAsia="Times New Roman" w:cs="Times New Roman"/>
          <w:spacing w:val="8"/>
        </w:rPr>
        <w:t>m</w:t>
      </w:r>
      <w:r>
        <w:rPr>
          <w:rFonts w:ascii="Times New Roman" w:hAnsi="Times New Roman" w:eastAsia="Times New Roman" w:cs="Times New Roman"/>
          <w:spacing w:val="24"/>
          <w:w w:val="101"/>
        </w:rPr>
        <w:t xml:space="preserve"> </w:t>
      </w:r>
      <w:r>
        <w:rPr>
          <w:spacing w:val="8"/>
        </w:rPr>
        <w:t>等);5)可能值的范围或枚举(如0～99);6)准确性(正确程度)和精度(有</w:t>
      </w:r>
      <w:r>
        <w:t xml:space="preserve"> </w:t>
      </w:r>
      <w:r>
        <w:rPr>
          <w:spacing w:val="-6"/>
        </w:rPr>
        <w:t>效数位数);7)优先级、定时、频率、容量、序列以及其他约束条件(例如数据元素</w:t>
      </w:r>
      <w:r>
        <w:rPr>
          <w:spacing w:val="4"/>
        </w:rPr>
        <w:t xml:space="preserve"> </w:t>
      </w:r>
      <w:r>
        <w:rPr>
          <w:spacing w:val="5"/>
        </w:rPr>
        <w:t>是否可以被更新、业务规则是否适用);8)保密性约束；9)来源</w:t>
      </w:r>
      <w:r>
        <w:rPr>
          <w:spacing w:val="4"/>
        </w:rPr>
        <w:t>(建立/发送的实</w:t>
      </w:r>
      <w:r>
        <w:t xml:space="preserve"> </w:t>
      </w:r>
      <w:r>
        <w:rPr>
          <w:spacing w:val="3"/>
        </w:rPr>
        <w:t>体)和接受者(使用/接收的实体)。</w:t>
      </w:r>
    </w:p>
    <w:p w14:paraId="5A08743D">
      <w:pPr>
        <w:pStyle w:val="2"/>
        <w:spacing w:before="151" w:line="272" w:lineRule="auto"/>
        <w:ind w:firstLine="570"/>
      </w:pPr>
      <w:r>
        <w:rPr>
          <w:rFonts w:ascii="Times New Roman" w:hAnsi="Times New Roman" w:eastAsia="Times New Roman" w:cs="Times New Roman"/>
          <w:spacing w:val="-12"/>
        </w:rPr>
        <w:t xml:space="preserve">d)  </w:t>
      </w:r>
      <w:r>
        <w:rPr>
          <w:spacing w:val="-12"/>
        </w:rPr>
        <w:t>接口实体将提供、存储、发送、访问、接收的数据元素组合体(记</w:t>
      </w:r>
      <w:r>
        <w:rPr>
          <w:spacing w:val="-13"/>
        </w:rPr>
        <w:t>录、消息、</w:t>
      </w:r>
      <w:r>
        <w:t xml:space="preserve"> </w:t>
      </w:r>
      <w:r>
        <w:rPr>
          <w:spacing w:val="-16"/>
        </w:rPr>
        <w:t>文件、数组、显示、报表等)的特征，1)名称/标识符，含项目唯一的标识</w:t>
      </w:r>
      <w:r>
        <w:rPr>
          <w:spacing w:val="-17"/>
        </w:rPr>
        <w:t>符，非技术</w:t>
      </w:r>
      <w:r>
        <w:t xml:space="preserve">  </w:t>
      </w:r>
      <w:r>
        <w:rPr>
          <w:spacing w:val="1"/>
        </w:rPr>
        <w:t>(自然语言)名称，技术名称(如在代码或数据库中的记录名或数据结构名),缩略</w:t>
      </w:r>
      <w:r>
        <w:rPr>
          <w:spacing w:val="4"/>
        </w:rPr>
        <w:t xml:space="preserve">  </w:t>
      </w:r>
      <w:r>
        <w:rPr>
          <w:spacing w:val="9"/>
        </w:rPr>
        <w:t>名或同义名；2)数据元素组合体中的数据元素及其结构(编号、顺序和分组情</w:t>
      </w:r>
      <w:r>
        <w:rPr>
          <w:spacing w:val="1"/>
        </w:rPr>
        <w:t xml:space="preserve">  况);3)介质(例如磁盘)以及介质上数据元素/数据组合体的结构；4)显示和其他</w:t>
      </w:r>
      <w:r>
        <w:rPr>
          <w:spacing w:val="2"/>
        </w:rPr>
        <w:t xml:space="preserve">  </w:t>
      </w:r>
      <w:r>
        <w:rPr>
          <w:spacing w:val="-5"/>
        </w:rPr>
        <w:t>输出的视听特性(例如颜色、布局、字体、图标和其他显示元素、蜂鸣声和亮度);</w:t>
      </w:r>
    </w:p>
    <w:p w14:paraId="28C12B11">
      <w:pPr>
        <w:pStyle w:val="2"/>
        <w:spacing w:before="81" w:line="250" w:lineRule="auto"/>
        <w:ind w:right="30"/>
      </w:pPr>
      <w:r>
        <w:rPr>
          <w:spacing w:val="-12"/>
        </w:rPr>
        <w:t>5)数据组合体之间的关系，如排序/存取特性；</w:t>
      </w:r>
      <w:r>
        <w:rPr>
          <w:spacing w:val="-13"/>
        </w:rPr>
        <w:t>6)优先级、定时、频率、容量、序列</w:t>
      </w:r>
      <w:r>
        <w:t xml:space="preserve"> </w:t>
      </w:r>
      <w:r>
        <w:rPr>
          <w:spacing w:val="-6"/>
        </w:rPr>
        <w:t>及其他约束，例如数据组合体是否可被更新、业务规</w:t>
      </w:r>
      <w:r>
        <w:rPr>
          <w:spacing w:val="-7"/>
        </w:rPr>
        <w:t>则是否适用；7)保密性约束；</w:t>
      </w:r>
    </w:p>
    <w:p w14:paraId="21413EEB">
      <w:pPr>
        <w:pStyle w:val="2"/>
        <w:spacing w:before="69" w:line="219" w:lineRule="auto"/>
      </w:pPr>
      <w:r>
        <w:rPr>
          <w:spacing w:val="4"/>
        </w:rPr>
        <w:t>8)来源(建立/发送的实体)和接受者(使用/接收的实体)。</w:t>
      </w:r>
    </w:p>
    <w:p w14:paraId="658EE428">
      <w:pPr>
        <w:pStyle w:val="2"/>
        <w:spacing w:before="111" w:line="304" w:lineRule="auto"/>
        <w:ind w:right="123" w:firstLine="570"/>
        <w:jc w:val="both"/>
        <w:rPr>
          <w:sz w:val="25"/>
          <w:szCs w:val="25"/>
        </w:rPr>
      </w:pPr>
      <w:r>
        <w:rPr>
          <w:rFonts w:ascii="Times New Roman" w:hAnsi="Times New Roman" w:eastAsia="Times New Roman" w:cs="Times New Roman"/>
          <w:spacing w:val="20"/>
          <w:sz w:val="25"/>
          <w:szCs w:val="25"/>
        </w:rPr>
        <w:t xml:space="preserve">e)  </w:t>
      </w:r>
      <w:r>
        <w:rPr>
          <w:spacing w:val="20"/>
          <w:sz w:val="25"/>
          <w:szCs w:val="25"/>
        </w:rPr>
        <w:t>接口实体用于接口的通信方法的特征。1)项目唯一的标识符；2)通信链</w:t>
      </w:r>
      <w:r>
        <w:rPr>
          <w:spacing w:val="11"/>
          <w:sz w:val="25"/>
          <w:szCs w:val="25"/>
        </w:rPr>
        <w:t xml:space="preserve"> </w:t>
      </w:r>
      <w:r>
        <w:rPr>
          <w:spacing w:val="23"/>
          <w:sz w:val="25"/>
          <w:szCs w:val="25"/>
        </w:rPr>
        <w:t>接/带宽/频率/介质及其特性；3)消息格式；4</w:t>
      </w:r>
      <w:r>
        <w:rPr>
          <w:spacing w:val="22"/>
          <w:sz w:val="25"/>
          <w:szCs w:val="25"/>
        </w:rPr>
        <w:t>)流控制(如序列编号和缓冲区分</w:t>
      </w:r>
      <w:r>
        <w:rPr>
          <w:sz w:val="25"/>
          <w:szCs w:val="25"/>
        </w:rPr>
        <w:t xml:space="preserve"> </w:t>
      </w:r>
      <w:r>
        <w:rPr>
          <w:spacing w:val="9"/>
          <w:sz w:val="25"/>
          <w:szCs w:val="25"/>
        </w:rPr>
        <w:t>配);5)数据传输率、周期或非周期、传输间隔；6)路由、寻址及命名约定；7)</w:t>
      </w:r>
      <w:r>
        <w:rPr>
          <w:spacing w:val="8"/>
          <w:sz w:val="25"/>
          <w:szCs w:val="25"/>
        </w:rPr>
        <w:t>传输</w:t>
      </w:r>
    </w:p>
    <w:p w14:paraId="5B5479F8">
      <w:pPr>
        <w:spacing w:line="304" w:lineRule="auto"/>
        <w:rPr>
          <w:sz w:val="25"/>
          <w:szCs w:val="25"/>
        </w:rPr>
        <w:sectPr>
          <w:footerReference r:id="rId235" w:type="default"/>
          <w:pgSz w:w="11910" w:h="17130"/>
          <w:pgMar w:top="1456" w:right="864" w:bottom="1637" w:left="1529" w:header="0" w:footer="1421" w:gutter="0"/>
          <w:cols w:space="720" w:num="1"/>
        </w:sectPr>
      </w:pPr>
    </w:p>
    <w:p w14:paraId="7019EE97">
      <w:pPr>
        <w:pStyle w:val="2"/>
        <w:spacing w:before="74" w:line="277" w:lineRule="auto"/>
        <w:ind w:right="86"/>
      </w:pPr>
      <w:r>
        <w:rPr>
          <w:spacing w:val="-3"/>
        </w:rPr>
        <w:t>服务，包括优先级和等级；8)安全性/保密性考虑(如加密、用户鉴别、隔离和审</w:t>
      </w:r>
      <w:r>
        <w:rPr>
          <w:spacing w:val="2"/>
        </w:rPr>
        <w:t xml:space="preserve"> </w:t>
      </w:r>
      <w:r>
        <w:rPr>
          <w:spacing w:val="-4"/>
        </w:rPr>
        <w:t>核)。</w:t>
      </w:r>
    </w:p>
    <w:p w14:paraId="3DA9684D">
      <w:pPr>
        <w:pStyle w:val="2"/>
        <w:spacing w:before="5" w:line="267" w:lineRule="auto"/>
        <w:ind w:right="66" w:firstLine="560"/>
      </w:pPr>
      <w:r>
        <w:rPr>
          <w:rFonts w:ascii="Times New Roman" w:hAnsi="Times New Roman" w:eastAsia="Times New Roman" w:cs="Times New Roman"/>
          <w:spacing w:val="11"/>
        </w:rPr>
        <w:t>f)</w:t>
      </w:r>
      <w:r>
        <w:rPr>
          <w:rFonts w:ascii="Times New Roman" w:hAnsi="Times New Roman" w:eastAsia="Times New Roman" w:cs="Times New Roman"/>
          <w:spacing w:val="5"/>
        </w:rPr>
        <w:t xml:space="preserve">  </w:t>
      </w:r>
      <w:r>
        <w:rPr>
          <w:spacing w:val="11"/>
        </w:rPr>
        <w:t>接口实体用于接口的协议的特征。1)项目唯一的标识符；2)协议的优</w:t>
      </w:r>
      <w:r>
        <w:rPr>
          <w:spacing w:val="1"/>
        </w:rPr>
        <w:t xml:space="preserve"> 先级别/层次；3)打包，包括分段与重组、路由和寻址；4)合法性检查、错误控</w:t>
      </w:r>
      <w:r>
        <w:rPr>
          <w:spacing w:val="8"/>
        </w:rPr>
        <w:t xml:space="preserve"> </w:t>
      </w:r>
      <w:r>
        <w:rPr>
          <w:spacing w:val="-2"/>
        </w:rPr>
        <w:t>制和恢复过程；5)同步，包括连接的建立、保持</w:t>
      </w:r>
      <w:r>
        <w:rPr>
          <w:spacing w:val="-3"/>
        </w:rPr>
        <w:t>和终止；6)状态、标识和其他报</w:t>
      </w:r>
      <w:r>
        <w:t xml:space="preserve"> </w:t>
      </w:r>
      <w:r>
        <w:rPr>
          <w:spacing w:val="6"/>
        </w:rPr>
        <w:t>告特性。</w:t>
      </w:r>
    </w:p>
    <w:p w14:paraId="7E90E2F4">
      <w:pPr>
        <w:pStyle w:val="2"/>
        <w:spacing w:before="33" w:line="267" w:lineRule="auto"/>
        <w:ind w:right="67" w:firstLine="560"/>
      </w:pPr>
      <w:r>
        <w:rPr>
          <w:rFonts w:ascii="Times New Roman" w:hAnsi="Times New Roman" w:eastAsia="Times New Roman" w:cs="Times New Roman"/>
          <w:spacing w:val="-9"/>
        </w:rPr>
        <w:t>g)</w:t>
      </w:r>
      <w:r>
        <w:rPr>
          <w:rFonts w:ascii="Times New Roman" w:hAnsi="Times New Roman" w:eastAsia="Times New Roman" w:cs="Times New Roman"/>
          <w:spacing w:val="55"/>
          <w:w w:val="101"/>
        </w:rPr>
        <w:t xml:space="preserve"> </w:t>
      </w:r>
      <w:r>
        <w:rPr>
          <w:spacing w:val="-9"/>
        </w:rPr>
        <w:t>其他特性，例如接口实体的物理兼容性(尺寸、公差、负</w:t>
      </w:r>
      <w:r>
        <w:rPr>
          <w:spacing w:val="-10"/>
        </w:rPr>
        <w:t>荷、电压和接插件</w:t>
      </w:r>
      <w:r>
        <w:t xml:space="preserve"> </w:t>
      </w:r>
      <w:r>
        <w:rPr>
          <w:spacing w:val="-2"/>
        </w:rPr>
        <w:t>的兼容性等)。</w:t>
      </w:r>
    </w:p>
    <w:p w14:paraId="17FD6666">
      <w:pPr>
        <w:spacing w:before="113" w:line="222" w:lineRule="auto"/>
        <w:rPr>
          <w:rFonts w:ascii="黑体" w:hAnsi="黑体" w:eastAsia="黑体" w:cs="黑体"/>
          <w:sz w:val="24"/>
          <w:szCs w:val="24"/>
        </w:rPr>
      </w:pPr>
      <w:r>
        <w:rPr>
          <w:rFonts w:ascii="黑体" w:hAnsi="黑体" w:eastAsia="黑体" w:cs="黑体"/>
          <w:spacing w:val="22"/>
          <w:sz w:val="24"/>
          <w:szCs w:val="24"/>
        </w:rPr>
        <w:t>5</w:t>
      </w:r>
      <w:r>
        <w:rPr>
          <w:rFonts w:ascii="黑体" w:hAnsi="黑体" w:eastAsia="黑体" w:cs="黑体"/>
          <w:spacing w:val="27"/>
          <w:sz w:val="24"/>
          <w:szCs w:val="24"/>
        </w:rPr>
        <w:t xml:space="preserve">  </w:t>
      </w:r>
      <w:r>
        <w:rPr>
          <w:rFonts w:ascii="Times New Roman" w:hAnsi="Times New Roman" w:eastAsia="Times New Roman" w:cs="Times New Roman"/>
          <w:b/>
          <w:bCs/>
          <w:sz w:val="24"/>
          <w:szCs w:val="24"/>
        </w:rPr>
        <w:t>CSCI</w:t>
      </w:r>
      <w:r>
        <w:rPr>
          <w:rFonts w:ascii="Times New Roman" w:hAnsi="Times New Roman" w:eastAsia="Times New Roman" w:cs="Times New Roman"/>
          <w:b/>
          <w:bCs/>
          <w:spacing w:val="40"/>
          <w:sz w:val="24"/>
          <w:szCs w:val="24"/>
        </w:rPr>
        <w:t xml:space="preserve"> </w:t>
      </w:r>
      <w:r>
        <w:rPr>
          <w:rFonts w:ascii="黑体" w:hAnsi="黑体" w:eastAsia="黑体" w:cs="黑体"/>
          <w:b/>
          <w:bCs/>
          <w:spacing w:val="22"/>
          <w:sz w:val="24"/>
          <w:szCs w:val="24"/>
        </w:rPr>
        <w:t>详细设计</w:t>
      </w:r>
    </w:p>
    <w:p w14:paraId="12E8D331">
      <w:pPr>
        <w:spacing w:before="19" w:line="368" w:lineRule="exact"/>
        <w:rPr>
          <w:rFonts w:ascii="黑体" w:hAnsi="黑体" w:eastAsia="黑体" w:cs="黑体"/>
          <w:sz w:val="27"/>
          <w:szCs w:val="27"/>
        </w:rPr>
      </w:pPr>
      <w:r>
        <w:rPr>
          <w:rFonts w:ascii="黑体" w:hAnsi="黑体" w:eastAsia="黑体" w:cs="黑体"/>
          <w:spacing w:val="1"/>
          <w:position w:val="3"/>
          <w:sz w:val="27"/>
          <w:szCs w:val="27"/>
        </w:rPr>
        <w:t>5.</w:t>
      </w:r>
      <w:r>
        <w:rPr>
          <w:rFonts w:ascii="Arial" w:hAnsi="Arial" w:eastAsia="Arial" w:cs="Arial"/>
          <w:spacing w:val="1"/>
          <w:position w:val="3"/>
          <w:sz w:val="27"/>
          <w:szCs w:val="27"/>
        </w:rPr>
        <w:t>X</w:t>
      </w:r>
      <w:r>
        <w:rPr>
          <w:rFonts w:ascii="Arial" w:hAnsi="Arial" w:eastAsia="Arial" w:cs="Arial"/>
          <w:position w:val="3"/>
          <w:sz w:val="27"/>
          <w:szCs w:val="27"/>
        </w:rPr>
        <w:t xml:space="preserve">    </w:t>
      </w:r>
      <w:r>
        <w:rPr>
          <w:rFonts w:ascii="Arial" w:hAnsi="Arial" w:eastAsia="Arial" w:cs="Arial"/>
          <w:spacing w:val="1"/>
          <w:position w:val="3"/>
          <w:sz w:val="27"/>
          <w:szCs w:val="27"/>
        </w:rPr>
        <w:t xml:space="preserve">( </w:t>
      </w:r>
      <w:r>
        <w:rPr>
          <w:rFonts w:ascii="黑体" w:hAnsi="黑体" w:eastAsia="黑体" w:cs="黑体"/>
          <w:spacing w:val="1"/>
          <w:position w:val="3"/>
          <w:sz w:val="27"/>
          <w:szCs w:val="27"/>
        </w:rPr>
        <w:t>软件单元的项目唯一的标识符，或者</w:t>
      </w:r>
      <w:r>
        <w:rPr>
          <w:rFonts w:ascii="黑体" w:hAnsi="黑体" w:eastAsia="黑体" w:cs="黑体"/>
          <w:position w:val="3"/>
          <w:sz w:val="27"/>
          <w:szCs w:val="27"/>
        </w:rPr>
        <w:t>一组软件单元的标志符)</w:t>
      </w:r>
    </w:p>
    <w:p w14:paraId="7D5D70C5">
      <w:pPr>
        <w:pStyle w:val="2"/>
        <w:spacing w:before="106" w:line="274" w:lineRule="auto"/>
        <w:ind w:right="45" w:firstLine="560"/>
        <w:jc w:val="both"/>
      </w:pPr>
      <w:r>
        <w:rPr>
          <w:spacing w:val="1"/>
        </w:rPr>
        <w:t>本条应通过项目唯一的标识符来标识软件单元，并对该单元进行说明。(若</w:t>
      </w:r>
      <w:r>
        <w:rPr>
          <w:spacing w:val="14"/>
        </w:rPr>
        <w:t xml:space="preserve"> </w:t>
      </w:r>
      <w:r>
        <w:rPr>
          <w:spacing w:val="1"/>
        </w:rPr>
        <w:t>适用)该说明应包括下列信息。本条也可以指定一组软件单元，然后再分小条对</w:t>
      </w:r>
      <w:r>
        <w:rPr>
          <w:spacing w:val="10"/>
        </w:rPr>
        <w:t xml:space="preserve"> </w:t>
      </w:r>
      <w:r>
        <w:rPr>
          <w:spacing w:val="5"/>
        </w:rPr>
        <w:t>它们分别进行标识和说明，包含其他软件单元的软件单元可引用那些软件单元</w:t>
      </w:r>
      <w:r>
        <w:rPr>
          <w:spacing w:val="10"/>
        </w:rPr>
        <w:t xml:space="preserve"> </w:t>
      </w:r>
      <w:r>
        <w:rPr>
          <w:spacing w:val="-9"/>
        </w:rPr>
        <w:t>的说明，而无需在此重复。</w:t>
      </w:r>
    </w:p>
    <w:p w14:paraId="2011DB81">
      <w:pPr>
        <w:pStyle w:val="2"/>
        <w:spacing w:line="212" w:lineRule="auto"/>
        <w:ind w:left="560"/>
      </w:pPr>
      <w:r>
        <w:rPr>
          <w:rFonts w:ascii="Times New Roman" w:hAnsi="Times New Roman" w:eastAsia="Times New Roman" w:cs="Times New Roman"/>
        </w:rPr>
        <w:t>a)</w:t>
      </w:r>
      <w:r>
        <w:rPr>
          <w:rFonts w:ascii="Times New Roman" w:hAnsi="Times New Roman" w:eastAsia="Times New Roman" w:cs="Times New Roman"/>
          <w:spacing w:val="76"/>
          <w:w w:val="101"/>
        </w:rPr>
        <w:t xml:space="preserve"> </w:t>
      </w:r>
      <w:r>
        <w:t>(若有)单元设计决策，例如所使用的算法(如果此前尚未选定)。</w:t>
      </w:r>
    </w:p>
    <w:p w14:paraId="3F81D5F4">
      <w:pPr>
        <w:pStyle w:val="2"/>
        <w:spacing w:before="89" w:line="212" w:lineRule="auto"/>
        <w:ind w:left="560"/>
      </w:pPr>
      <w:r>
        <w:rPr>
          <w:rFonts w:ascii="Times New Roman" w:hAnsi="Times New Roman" w:eastAsia="Times New Roman" w:cs="Times New Roman"/>
          <w:spacing w:val="-1"/>
        </w:rPr>
        <w:t xml:space="preserve">b)  </w:t>
      </w:r>
      <w:r>
        <w:rPr>
          <w:spacing w:val="-1"/>
        </w:rPr>
        <w:t>该软件单元设计中的任何约束、限定或非常规特征。</w:t>
      </w:r>
    </w:p>
    <w:p w14:paraId="1008A8CD">
      <w:pPr>
        <w:pStyle w:val="2"/>
        <w:spacing w:before="101" w:line="258" w:lineRule="auto"/>
        <w:ind w:right="45" w:firstLine="560"/>
      </w:pPr>
      <w:r>
        <w:rPr>
          <w:rFonts w:ascii="Times New Roman" w:hAnsi="Times New Roman" w:eastAsia="Times New Roman" w:cs="Times New Roman"/>
          <w:spacing w:val="5"/>
        </w:rPr>
        <w:t>c)</w:t>
      </w:r>
      <w:r>
        <w:rPr>
          <w:rFonts w:ascii="Times New Roman" w:hAnsi="Times New Roman" w:eastAsia="Times New Roman" w:cs="Times New Roman"/>
          <w:spacing w:val="68"/>
          <w:w w:val="101"/>
        </w:rPr>
        <w:t xml:space="preserve"> </w:t>
      </w:r>
      <w:r>
        <w:rPr>
          <w:spacing w:val="5"/>
        </w:rPr>
        <w:t>如果使用的编程语言不同于该</w:t>
      </w:r>
      <w:r>
        <w:rPr>
          <w:spacing w:val="-59"/>
        </w:rPr>
        <w:t xml:space="preserve"> </w:t>
      </w:r>
      <w:r>
        <w:rPr>
          <w:rFonts w:ascii="Times New Roman" w:hAnsi="Times New Roman" w:eastAsia="Times New Roman" w:cs="Times New Roman"/>
        </w:rPr>
        <w:t>CSCI</w:t>
      </w:r>
      <w:r>
        <w:rPr>
          <w:rFonts w:ascii="Times New Roman" w:hAnsi="Times New Roman" w:eastAsia="Times New Roman" w:cs="Times New Roman"/>
          <w:spacing w:val="22"/>
          <w:w w:val="101"/>
        </w:rPr>
        <w:t xml:space="preserve"> </w:t>
      </w:r>
      <w:r>
        <w:rPr>
          <w:spacing w:val="5"/>
        </w:rPr>
        <w:t>所指定的语言，则应指出并说明使</w:t>
      </w:r>
      <w:r>
        <w:t xml:space="preserve"> 用它的理由。</w:t>
      </w:r>
    </w:p>
    <w:p w14:paraId="0DADA8ED">
      <w:pPr>
        <w:pStyle w:val="2"/>
        <w:spacing w:before="68" w:line="265" w:lineRule="auto"/>
        <w:ind w:right="49" w:firstLine="560"/>
      </w:pPr>
      <w:r>
        <w:rPr>
          <w:rFonts w:ascii="Times New Roman" w:hAnsi="Times New Roman" w:eastAsia="Times New Roman" w:cs="Times New Roman"/>
          <w:spacing w:val="6"/>
        </w:rPr>
        <w:t xml:space="preserve">d)  </w:t>
      </w:r>
      <w:r>
        <w:rPr>
          <w:spacing w:val="6"/>
        </w:rPr>
        <w:t>如果该软件单元包含过程性命令或由过程性命令组成(例如数据库管理</w:t>
      </w:r>
      <w:r>
        <w:rPr>
          <w:spacing w:val="13"/>
        </w:rPr>
        <w:t xml:space="preserve"> </w:t>
      </w:r>
      <w:r>
        <w:rPr>
          <w:spacing w:val="6"/>
        </w:rPr>
        <w:t>系统(</w:t>
      </w:r>
      <w:r>
        <w:rPr>
          <w:rFonts w:ascii="Times New Roman" w:hAnsi="Times New Roman" w:eastAsia="Times New Roman" w:cs="Times New Roman"/>
        </w:rPr>
        <w:t>DBMS</w:t>
      </w:r>
      <w:r>
        <w:rPr>
          <w:rFonts w:ascii="Times New Roman" w:hAnsi="Times New Roman" w:eastAsia="Times New Roman" w:cs="Times New Roman"/>
          <w:spacing w:val="6"/>
        </w:rPr>
        <w:t xml:space="preserve">) </w:t>
      </w:r>
      <w:r>
        <w:rPr>
          <w:spacing w:val="6"/>
        </w:rPr>
        <w:t>中用于定义表单和报表的菜单选择，用于数据库访问和操纵的在</w:t>
      </w:r>
      <w:r>
        <w:rPr>
          <w:spacing w:val="8"/>
        </w:rPr>
        <w:t xml:space="preserve"> </w:t>
      </w:r>
      <w:r>
        <w:rPr>
          <w:rFonts w:ascii="仿宋" w:hAnsi="仿宋" w:eastAsia="仿宋" w:cs="仿宋"/>
          <w:spacing w:val="2"/>
        </w:rPr>
        <w:t>线</w:t>
      </w:r>
      <w:r>
        <w:rPr>
          <w:rFonts w:ascii="仿宋" w:hAnsi="仿宋" w:eastAsia="仿宋" w:cs="仿宋"/>
          <w:spacing w:val="-59"/>
        </w:rPr>
        <w:t xml:space="preserve"> </w:t>
      </w:r>
      <w:r>
        <w:rPr>
          <w:rFonts w:ascii="Times New Roman" w:hAnsi="Times New Roman" w:eastAsia="Times New Roman" w:cs="Times New Roman"/>
        </w:rPr>
        <w:t>DBMS</w:t>
      </w:r>
      <w:r>
        <w:rPr>
          <w:rFonts w:ascii="Times New Roman" w:hAnsi="Times New Roman" w:eastAsia="Times New Roman" w:cs="Times New Roman"/>
          <w:spacing w:val="22"/>
          <w:w w:val="101"/>
        </w:rPr>
        <w:t xml:space="preserve"> </w:t>
      </w:r>
      <w:r>
        <w:rPr>
          <w:rFonts w:ascii="仿宋" w:hAnsi="仿宋" w:eastAsia="仿宋" w:cs="仿宋"/>
          <w:spacing w:val="2"/>
        </w:rPr>
        <w:t>查询，</w:t>
      </w:r>
      <w:r>
        <w:rPr>
          <w:spacing w:val="2"/>
        </w:rPr>
        <w:t>用于代码自动生成的图形用户接口</w:t>
      </w:r>
      <w:r>
        <w:rPr>
          <w:spacing w:val="1"/>
        </w:rPr>
        <w:t>(</w:t>
      </w:r>
      <w:r>
        <w:rPr>
          <w:rFonts w:ascii="Times New Roman" w:hAnsi="Times New Roman" w:eastAsia="Times New Roman" w:cs="Times New Roman"/>
        </w:rPr>
        <w:t>GUI</w:t>
      </w:r>
      <w:r>
        <w:rPr>
          <w:rFonts w:ascii="Times New Roman" w:hAnsi="Times New Roman" w:eastAsia="Times New Roman" w:cs="Times New Roman"/>
          <w:spacing w:val="1"/>
        </w:rPr>
        <w:t>)</w:t>
      </w:r>
      <w:r>
        <w:rPr>
          <w:rFonts w:ascii="Times New Roman" w:hAnsi="Times New Roman" w:eastAsia="Times New Roman" w:cs="Times New Roman"/>
          <w:spacing w:val="52"/>
        </w:rPr>
        <w:t xml:space="preserve"> </w:t>
      </w:r>
      <w:r>
        <w:rPr>
          <w:spacing w:val="1"/>
        </w:rPr>
        <w:t>构造器的输入，操作</w:t>
      </w:r>
      <w:r>
        <w:t xml:space="preserve"> </w:t>
      </w:r>
      <w:r>
        <w:rPr>
          <w:spacing w:val="7"/>
        </w:rPr>
        <w:t>系统的命令或</w:t>
      </w:r>
      <w:r>
        <w:rPr>
          <w:spacing w:val="-37"/>
        </w:rPr>
        <w:t xml:space="preserve"> </w:t>
      </w:r>
      <w:r>
        <w:rPr>
          <w:rFonts w:ascii="Times New Roman" w:hAnsi="Times New Roman" w:eastAsia="Times New Roman" w:cs="Times New Roman"/>
        </w:rPr>
        <w:t>Shell</w:t>
      </w:r>
      <w:r>
        <w:rPr>
          <w:rFonts w:ascii="Times New Roman" w:hAnsi="Times New Roman" w:eastAsia="Times New Roman" w:cs="Times New Roman"/>
          <w:spacing w:val="45"/>
          <w:w w:val="101"/>
        </w:rPr>
        <w:t xml:space="preserve"> </w:t>
      </w:r>
      <w:r>
        <w:rPr>
          <w:spacing w:val="7"/>
        </w:rPr>
        <w:t>脚本),应列出这些过程性命令，并引用解释它们的用户手</w:t>
      </w:r>
      <w:r>
        <w:t xml:space="preserve"> </w:t>
      </w:r>
      <w:r>
        <w:rPr>
          <w:spacing w:val="-1"/>
        </w:rPr>
        <w:t>册或其他文档。</w:t>
      </w:r>
    </w:p>
    <w:p w14:paraId="0E1376AC">
      <w:pPr>
        <w:pStyle w:val="2"/>
        <w:spacing w:before="100" w:line="262" w:lineRule="auto"/>
        <w:ind w:right="19" w:firstLine="560"/>
      </w:pPr>
      <w:r>
        <w:rPr>
          <w:rFonts w:ascii="Times New Roman" w:hAnsi="Times New Roman" w:eastAsia="Times New Roman" w:cs="Times New Roman"/>
          <w:spacing w:val="-5"/>
        </w:rPr>
        <w:t>e)</w:t>
      </w:r>
      <w:r>
        <w:rPr>
          <w:rFonts w:ascii="Times New Roman" w:hAnsi="Times New Roman" w:eastAsia="Times New Roman" w:cs="Times New Roman"/>
          <w:spacing w:val="81"/>
        </w:rPr>
        <w:t xml:space="preserve"> </w:t>
      </w:r>
      <w:r>
        <w:rPr>
          <w:spacing w:val="-5"/>
        </w:rPr>
        <w:t>如果该软件单元包含、接收或输出数据，(若适用)应对它的输入、输出及</w:t>
      </w:r>
      <w:r>
        <w:t xml:space="preserve"> </w:t>
      </w:r>
      <w:r>
        <w:rPr>
          <w:spacing w:val="16"/>
        </w:rPr>
        <w:t>其他数据元素和数据元素组合体进行说明。本文档的4.3.</w:t>
      </w:r>
      <w:r>
        <w:rPr>
          <w:rFonts w:ascii="Times New Roman" w:hAnsi="Times New Roman" w:eastAsia="Times New Roman" w:cs="Times New Roman"/>
          <w:spacing w:val="16"/>
        </w:rPr>
        <w:t>X</w:t>
      </w:r>
      <w:r>
        <w:rPr>
          <w:rFonts w:ascii="Times New Roman" w:hAnsi="Times New Roman" w:eastAsia="Times New Roman" w:cs="Times New Roman"/>
          <w:spacing w:val="32"/>
        </w:rPr>
        <w:t xml:space="preserve"> </w:t>
      </w:r>
      <w:r>
        <w:rPr>
          <w:spacing w:val="16"/>
        </w:rPr>
        <w:t>条提供了(若适</w:t>
      </w:r>
      <w:r>
        <w:t xml:space="preserve"> </w:t>
      </w:r>
      <w:r>
        <w:rPr>
          <w:spacing w:val="9"/>
        </w:rPr>
        <w:t xml:space="preserve">用)应包括的主题。软件单元的局部数据应与软件单元的输入或输出数据分开 </w:t>
      </w:r>
      <w:r>
        <w:rPr>
          <w:spacing w:val="11"/>
        </w:rPr>
        <w:t>来描述。如果该软件单元是一个数据库，应引用相应的数据库设计</w:t>
      </w:r>
      <w:r>
        <w:rPr>
          <w:spacing w:val="10"/>
        </w:rPr>
        <w:t>说明(</w:t>
      </w:r>
      <w:r>
        <w:rPr>
          <w:rFonts w:ascii="Times New Roman" w:hAnsi="Times New Roman" w:eastAsia="Times New Roman" w:cs="Times New Roman"/>
        </w:rPr>
        <w:t>DB</w:t>
      </w:r>
      <w:r>
        <w:rPr>
          <w:rFonts w:ascii="Times New Roman" w:hAnsi="Times New Roman" w:eastAsia="Times New Roman" w:cs="Times New Roman"/>
          <w:spacing w:val="10"/>
        </w:rPr>
        <w:t>-</w:t>
      </w:r>
      <w:r>
        <w:rPr>
          <w:rFonts w:ascii="Times New Roman" w:hAnsi="Times New Roman" w:eastAsia="Times New Roman" w:cs="Times New Roman"/>
        </w:rPr>
        <w:t xml:space="preserve">  DD</w:t>
      </w:r>
      <w:r>
        <w:rPr>
          <w:rFonts w:ascii="Times New Roman" w:hAnsi="Times New Roman" w:eastAsia="Times New Roman" w:cs="Times New Roman"/>
          <w:spacing w:val="24"/>
        </w:rPr>
        <w:t>);</w:t>
      </w:r>
      <w:r>
        <w:rPr>
          <w:rFonts w:ascii="Times New Roman" w:hAnsi="Times New Roman" w:eastAsia="Times New Roman" w:cs="Times New Roman"/>
          <w:spacing w:val="53"/>
        </w:rPr>
        <w:t xml:space="preserve"> </w:t>
      </w:r>
      <w:r>
        <w:rPr>
          <w:spacing w:val="24"/>
        </w:rPr>
        <w:t>接口特性可以在这里提供、也可以引用第4章或相应的接口设计说明</w:t>
      </w:r>
      <w:r>
        <w:t xml:space="preserve"> </w:t>
      </w:r>
      <w:r>
        <w:rPr>
          <w:rFonts w:ascii="Times New Roman" w:hAnsi="Times New Roman" w:eastAsia="Times New Roman" w:cs="Times New Roman"/>
          <w:spacing w:val="-2"/>
        </w:rPr>
        <w:t>(IDD)</w:t>
      </w:r>
      <w:r>
        <w:rPr>
          <w:spacing w:val="-2"/>
        </w:rPr>
        <w:t>。</w:t>
      </w:r>
    </w:p>
    <w:p w14:paraId="42EE7C70">
      <w:pPr>
        <w:pStyle w:val="2"/>
        <w:spacing w:before="188" w:line="267" w:lineRule="auto"/>
        <w:ind w:firstLine="560"/>
      </w:pPr>
      <w:r>
        <w:rPr>
          <w:rFonts w:ascii="Times New Roman" w:hAnsi="Times New Roman" w:eastAsia="Times New Roman" w:cs="Times New Roman"/>
          <w:spacing w:val="5"/>
        </w:rPr>
        <w:t xml:space="preserve">f)  </w:t>
      </w:r>
      <w:r>
        <w:rPr>
          <w:spacing w:val="5"/>
        </w:rPr>
        <w:t>如果该软件单元包含逻辑，则给出该软件单元所用到的逻辑，(若适用)</w:t>
      </w:r>
      <w:r>
        <w:rPr>
          <w:spacing w:val="3"/>
        </w:rPr>
        <w:t xml:space="preserve"> </w:t>
      </w:r>
      <w:r>
        <w:rPr>
          <w:spacing w:val="5"/>
        </w:rPr>
        <w:t>应包括1)该软件单元执行启动时，其内部起作用的条件；2)将控制传递给其他</w:t>
      </w:r>
      <w:r>
        <w:t xml:space="preserve"> </w:t>
      </w:r>
      <w:r>
        <w:rPr>
          <w:spacing w:val="-2"/>
        </w:rPr>
        <w:t>软件单元的条件；3)对每个输入的响应以及响应时间，包括数据转换</w:t>
      </w:r>
      <w:r>
        <w:rPr>
          <w:spacing w:val="-3"/>
        </w:rPr>
        <w:t>、重命名以</w:t>
      </w:r>
      <w:r>
        <w:t xml:space="preserve"> </w:t>
      </w:r>
      <w:r>
        <w:rPr>
          <w:spacing w:val="-2"/>
        </w:rPr>
        <w:t>及数据传输操作；4)在软件单元运行期间的操作</w:t>
      </w:r>
      <w:r>
        <w:rPr>
          <w:spacing w:val="-3"/>
        </w:rPr>
        <w:t>顺序和动态控制序列，包括顺序</w:t>
      </w:r>
      <w:r>
        <w:t xml:space="preserve"> </w:t>
      </w:r>
      <w:r>
        <w:rPr>
          <w:spacing w:val="-10"/>
        </w:rPr>
        <w:t>控制的方法；该方法的逻辑和输入条件，例如时序变异、优先级分配等；进出内存</w:t>
      </w:r>
    </w:p>
    <w:p w14:paraId="0AD6DC3A">
      <w:pPr>
        <w:spacing w:line="267" w:lineRule="auto"/>
        <w:sectPr>
          <w:footerReference r:id="rId236" w:type="default"/>
          <w:pgSz w:w="11910" w:h="17130"/>
          <w:pgMar w:top="1456" w:right="1350" w:bottom="1646" w:left="1130" w:header="0" w:footer="1457" w:gutter="0"/>
          <w:cols w:space="720" w:num="1"/>
        </w:sectPr>
      </w:pPr>
    </w:p>
    <w:p w14:paraId="5FC61C1B">
      <w:pPr>
        <w:pStyle w:val="2"/>
        <w:spacing w:before="54" w:line="289" w:lineRule="auto"/>
        <w:ind w:right="122"/>
      </w:pPr>
      <w:r>
        <w:rPr>
          <w:spacing w:val="-3"/>
        </w:rPr>
        <w:t>的数据传输；对离散输入信号的感知，以及该软件单元内中断操作之间的时序关</w:t>
      </w:r>
      <w:r>
        <w:rPr>
          <w:spacing w:val="16"/>
        </w:rPr>
        <w:t xml:space="preserve"> </w:t>
      </w:r>
      <w:r>
        <w:rPr>
          <w:spacing w:val="-10"/>
        </w:rPr>
        <w:t>系；5)异常和错误处理。</w:t>
      </w:r>
    </w:p>
    <w:p w14:paraId="0CCA27CC">
      <w:pPr>
        <w:spacing w:line="221"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需求可追踪性</w:t>
      </w:r>
    </w:p>
    <w:p w14:paraId="4ED45AE3">
      <w:pPr>
        <w:pStyle w:val="2"/>
        <w:spacing w:before="109" w:line="219" w:lineRule="auto"/>
        <w:ind w:left="560"/>
      </w:pPr>
      <w:r>
        <w:t>本章应包含：</w:t>
      </w:r>
    </w:p>
    <w:p w14:paraId="1F52B13F">
      <w:pPr>
        <w:pStyle w:val="2"/>
        <w:spacing w:before="11" w:line="273" w:lineRule="auto"/>
        <w:ind w:right="124" w:firstLine="560"/>
      </w:pPr>
      <w:r>
        <w:rPr>
          <w:rFonts w:ascii="Times New Roman" w:hAnsi="Times New Roman" w:eastAsia="Times New Roman" w:cs="Times New Roman"/>
          <w:spacing w:val="3"/>
        </w:rPr>
        <w:t>a)</w:t>
      </w:r>
      <w:r>
        <w:rPr>
          <w:rFonts w:ascii="Times New Roman" w:hAnsi="Times New Roman" w:eastAsia="Times New Roman" w:cs="Times New Roman"/>
          <w:spacing w:val="79"/>
        </w:rPr>
        <w:t xml:space="preserve"> </w:t>
      </w:r>
      <w:r>
        <w:rPr>
          <w:spacing w:val="3"/>
        </w:rPr>
        <w:t>从本</w:t>
      </w:r>
      <w:r>
        <w:rPr>
          <w:spacing w:val="-78"/>
        </w:rPr>
        <w:t xml:space="preserve"> </w:t>
      </w:r>
      <w:r>
        <w:rPr>
          <w:rFonts w:ascii="Times New Roman" w:hAnsi="Times New Roman" w:eastAsia="Times New Roman" w:cs="Times New Roman"/>
        </w:rPr>
        <w:t>SDD</w:t>
      </w:r>
      <w:r>
        <w:rPr>
          <w:rFonts w:ascii="Times New Roman" w:hAnsi="Times New Roman" w:eastAsia="Times New Roman" w:cs="Times New Roman"/>
          <w:spacing w:val="3"/>
        </w:rPr>
        <w:t xml:space="preserve"> </w:t>
      </w:r>
      <w:r>
        <w:rPr>
          <w:spacing w:val="3"/>
        </w:rPr>
        <w:t>所标识的每个软件单元，到分配给它的</w:t>
      </w:r>
      <w:r>
        <w:rPr>
          <w:rFonts w:ascii="Times New Roman" w:hAnsi="Times New Roman" w:eastAsia="Times New Roman" w:cs="Times New Roman"/>
        </w:rPr>
        <w:t>CSCI</w:t>
      </w:r>
      <w:r>
        <w:rPr>
          <w:rFonts w:ascii="Times New Roman" w:hAnsi="Times New Roman" w:eastAsia="Times New Roman" w:cs="Times New Roman"/>
          <w:spacing w:val="3"/>
        </w:rPr>
        <w:t xml:space="preserve"> </w:t>
      </w:r>
      <w:r>
        <w:rPr>
          <w:spacing w:val="3"/>
        </w:rPr>
        <w:t>需求的可追踪性</w:t>
      </w:r>
      <w:r>
        <w:t xml:space="preserve"> </w:t>
      </w:r>
      <w:r>
        <w:rPr>
          <w:spacing w:val="9"/>
        </w:rPr>
        <w:t>(这一可追踪性也可以在4.1条中提供)。</w:t>
      </w:r>
    </w:p>
    <w:p w14:paraId="5E1109D8">
      <w:pPr>
        <w:pStyle w:val="2"/>
        <w:spacing w:before="51"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57"/>
          <w:w w:val="101"/>
        </w:rPr>
        <w:t xml:space="preserve"> </w:t>
      </w:r>
      <w:r>
        <w:rPr>
          <w:spacing w:val="2"/>
        </w:rPr>
        <w:t>从每个</w:t>
      </w:r>
      <w:r>
        <w:rPr>
          <w:rFonts w:ascii="Times New Roman" w:hAnsi="Times New Roman" w:eastAsia="Times New Roman" w:cs="Times New Roman"/>
        </w:rPr>
        <w:t>CSCI</w:t>
      </w:r>
      <w:r>
        <w:rPr>
          <w:rFonts w:ascii="Times New Roman" w:hAnsi="Times New Roman" w:eastAsia="Times New Roman" w:cs="Times New Roman"/>
          <w:spacing w:val="32"/>
          <w:w w:val="101"/>
        </w:rPr>
        <w:t xml:space="preserve"> </w:t>
      </w:r>
      <w:r>
        <w:rPr>
          <w:spacing w:val="2"/>
        </w:rPr>
        <w:t>需求，到被分配这些需求的软件单元的可追踪性。</w:t>
      </w:r>
    </w:p>
    <w:p w14:paraId="7A847821">
      <w:pPr>
        <w:spacing w:before="144" w:line="222" w:lineRule="auto"/>
        <w:rPr>
          <w:rFonts w:ascii="黑体" w:hAnsi="黑体" w:eastAsia="黑体" w:cs="黑体"/>
          <w:sz w:val="25"/>
          <w:szCs w:val="25"/>
        </w:rPr>
      </w:pPr>
      <w:r>
        <w:rPr>
          <w:rFonts w:ascii="黑体" w:hAnsi="黑体" w:eastAsia="黑体" w:cs="黑体"/>
          <w:spacing w:val="5"/>
          <w:sz w:val="25"/>
          <w:szCs w:val="25"/>
        </w:rPr>
        <w:t>7</w:t>
      </w:r>
      <w:r>
        <w:rPr>
          <w:rFonts w:ascii="黑体" w:hAnsi="黑体" w:eastAsia="黑体" w:cs="黑体"/>
          <w:spacing w:val="24"/>
          <w:sz w:val="25"/>
          <w:szCs w:val="25"/>
        </w:rPr>
        <w:t xml:space="preserve">  </w:t>
      </w:r>
      <w:r>
        <w:rPr>
          <w:rFonts w:ascii="黑体" w:hAnsi="黑体" w:eastAsia="黑体" w:cs="黑体"/>
          <w:b/>
          <w:bCs/>
          <w:spacing w:val="5"/>
          <w:sz w:val="25"/>
          <w:szCs w:val="25"/>
        </w:rPr>
        <w:t>注释</w:t>
      </w:r>
    </w:p>
    <w:p w14:paraId="1A570238">
      <w:pPr>
        <w:pStyle w:val="2"/>
        <w:spacing w:before="84" w:line="219" w:lineRule="auto"/>
        <w:ind w:left="560"/>
      </w:pPr>
      <w:r>
        <w:rPr>
          <w:spacing w:val="-3"/>
        </w:rPr>
        <w:t>本章应包括有助于了解文档的所有信息(例如背景、</w:t>
      </w:r>
      <w:r>
        <w:rPr>
          <w:spacing w:val="-4"/>
        </w:rPr>
        <w:t>术语、缩略语或公式)。</w:t>
      </w:r>
    </w:p>
    <w:p w14:paraId="13A645BF">
      <w:pPr>
        <w:spacing w:line="321" w:lineRule="auto"/>
        <w:rPr>
          <w:rFonts w:ascii="Arial"/>
          <w:sz w:val="21"/>
        </w:rPr>
      </w:pPr>
    </w:p>
    <w:p w14:paraId="4E12951A">
      <w:pPr>
        <w:pStyle w:val="2"/>
        <w:spacing w:before="117" w:line="219" w:lineRule="auto"/>
        <w:ind w:left="2879"/>
        <w:rPr>
          <w:sz w:val="36"/>
          <w:szCs w:val="36"/>
        </w:rPr>
      </w:pPr>
      <w:r>
        <w:rPr>
          <w:spacing w:val="-2"/>
          <w:sz w:val="36"/>
          <w:szCs w:val="36"/>
        </w:rPr>
        <w:t>2.</w:t>
      </w:r>
      <w:r>
        <w:rPr>
          <w:b/>
          <w:bCs/>
          <w:spacing w:val="-2"/>
          <w:sz w:val="36"/>
          <w:szCs w:val="36"/>
        </w:rPr>
        <w:t>15</w:t>
      </w:r>
      <w:r>
        <w:rPr>
          <w:spacing w:val="25"/>
          <w:sz w:val="36"/>
          <w:szCs w:val="36"/>
        </w:rPr>
        <w:t xml:space="preserve">  </w:t>
      </w:r>
      <w:r>
        <w:rPr>
          <w:b/>
          <w:bCs/>
          <w:spacing w:val="-2"/>
          <w:sz w:val="36"/>
          <w:szCs w:val="36"/>
        </w:rPr>
        <w:t>数据库设计说明</w:t>
      </w:r>
    </w:p>
    <w:p w14:paraId="7BD45C0D">
      <w:pPr>
        <w:spacing w:line="328" w:lineRule="auto"/>
        <w:rPr>
          <w:rFonts w:ascii="Arial"/>
          <w:sz w:val="21"/>
        </w:rPr>
      </w:pPr>
    </w:p>
    <w:p w14:paraId="1221F3E4">
      <w:pPr>
        <w:pStyle w:val="2"/>
        <w:spacing w:before="91" w:line="225"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军用软件</w:t>
      </w:r>
      <w:r>
        <w:rPr>
          <w:rFonts w:ascii="楷体" w:hAnsi="楷体" w:eastAsia="楷体" w:cs="楷体"/>
          <w:spacing w:val="-11"/>
          <w:sz w:val="28"/>
          <w:szCs w:val="28"/>
        </w:rPr>
        <w:t>开发文档通用要求》编写。</w:t>
      </w:r>
    </w:p>
    <w:p w14:paraId="3B49BA16">
      <w:pPr>
        <w:spacing w:before="79"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7"/>
          <w:sz w:val="27"/>
          <w:szCs w:val="27"/>
        </w:rPr>
        <w:t xml:space="preserve">  </w:t>
      </w:r>
      <w:r>
        <w:rPr>
          <w:rFonts w:ascii="黑体" w:hAnsi="黑体" w:eastAsia="黑体" w:cs="黑体"/>
          <w:b/>
          <w:bCs/>
          <w:spacing w:val="-8"/>
          <w:sz w:val="27"/>
          <w:szCs w:val="27"/>
        </w:rPr>
        <w:t>范围</w:t>
      </w:r>
    </w:p>
    <w:p w14:paraId="01D8E3CB">
      <w:pPr>
        <w:spacing w:before="113" w:line="222" w:lineRule="auto"/>
        <w:rPr>
          <w:rFonts w:ascii="黑体" w:hAnsi="黑体" w:eastAsia="黑体" w:cs="黑体"/>
          <w:sz w:val="25"/>
          <w:szCs w:val="25"/>
        </w:rPr>
      </w:pPr>
      <w:r>
        <w:rPr>
          <w:rFonts w:ascii="黑体" w:hAnsi="黑体" w:eastAsia="黑体" w:cs="黑体"/>
          <w:spacing w:val="1"/>
          <w:sz w:val="25"/>
          <w:szCs w:val="25"/>
        </w:rPr>
        <w:t>1.1</w:t>
      </w:r>
      <w:r>
        <w:rPr>
          <w:rFonts w:ascii="黑体" w:hAnsi="黑体" w:eastAsia="黑体" w:cs="黑体"/>
          <w:spacing w:val="60"/>
          <w:sz w:val="25"/>
          <w:szCs w:val="25"/>
        </w:rPr>
        <w:t xml:space="preserve">  </w:t>
      </w:r>
      <w:r>
        <w:rPr>
          <w:rFonts w:ascii="黑体" w:hAnsi="黑体" w:eastAsia="黑体" w:cs="黑体"/>
          <w:b/>
          <w:bCs/>
          <w:spacing w:val="1"/>
          <w:sz w:val="25"/>
          <w:szCs w:val="25"/>
        </w:rPr>
        <w:t>标识</w:t>
      </w:r>
    </w:p>
    <w:p w14:paraId="35E78C64">
      <w:pPr>
        <w:pStyle w:val="2"/>
        <w:spacing w:before="81" w:line="279" w:lineRule="auto"/>
        <w:ind w:firstLine="560"/>
      </w:pPr>
      <w:r>
        <w:t>本条应描述本文档所适用系统和软件的完整标识，适用时，包括其标识号、</w:t>
      </w:r>
      <w:r>
        <w:rPr>
          <w:spacing w:val="14"/>
        </w:rPr>
        <w:t xml:space="preserve"> </w:t>
      </w:r>
      <w:r>
        <w:rPr>
          <w:spacing w:val="-14"/>
        </w:rPr>
        <w:t>名称、缩略名、版本号和发布号。</w:t>
      </w:r>
    </w:p>
    <w:p w14:paraId="3FF7A3EA">
      <w:pPr>
        <w:spacing w:before="1" w:line="220" w:lineRule="auto"/>
        <w:rPr>
          <w:rFonts w:ascii="黑体" w:hAnsi="黑体" w:eastAsia="黑体" w:cs="黑体"/>
          <w:sz w:val="27"/>
          <w:szCs w:val="27"/>
        </w:rPr>
      </w:pPr>
      <w:r>
        <w:rPr>
          <w:rFonts w:ascii="黑体" w:hAnsi="黑体" w:eastAsia="黑体" w:cs="黑体"/>
          <w:spacing w:val="-3"/>
          <w:sz w:val="27"/>
          <w:szCs w:val="27"/>
        </w:rPr>
        <w:t>1.2</w:t>
      </w:r>
      <w:r>
        <w:rPr>
          <w:rFonts w:ascii="黑体" w:hAnsi="黑体" w:eastAsia="黑体" w:cs="黑体"/>
          <w:spacing w:val="34"/>
          <w:sz w:val="27"/>
          <w:szCs w:val="27"/>
        </w:rPr>
        <w:t xml:space="preserve">  </w:t>
      </w:r>
      <w:r>
        <w:rPr>
          <w:rFonts w:ascii="黑体" w:hAnsi="黑体" w:eastAsia="黑体" w:cs="黑体"/>
          <w:b/>
          <w:bCs/>
          <w:spacing w:val="-3"/>
          <w:sz w:val="27"/>
          <w:szCs w:val="27"/>
        </w:rPr>
        <w:t>数据库概述</w:t>
      </w:r>
    </w:p>
    <w:p w14:paraId="0947F01B">
      <w:pPr>
        <w:pStyle w:val="2"/>
        <w:spacing w:before="91" w:line="275" w:lineRule="auto"/>
        <w:ind w:right="125" w:firstLine="560"/>
        <w:jc w:val="both"/>
      </w:pPr>
      <w:r>
        <w:rPr>
          <w:spacing w:val="5"/>
        </w:rPr>
        <w:t>本条应简要描述本文档所适用数据库的用途。它应描述该数据库的一</w:t>
      </w:r>
      <w:r>
        <w:rPr>
          <w:spacing w:val="4"/>
        </w:rPr>
        <w:t>般特</w:t>
      </w:r>
      <w:r>
        <w:t xml:space="preserve"> </w:t>
      </w:r>
      <w:r>
        <w:rPr>
          <w:spacing w:val="-17"/>
        </w:rPr>
        <w:t>性；概述其开发、使用和维护的历史；标识项目的投资方、需方、用户、开</w:t>
      </w:r>
      <w:r>
        <w:rPr>
          <w:spacing w:val="-18"/>
        </w:rPr>
        <w:t>发方和保</w:t>
      </w:r>
      <w:r>
        <w:t xml:space="preserve"> </w:t>
      </w:r>
      <w:r>
        <w:rPr>
          <w:spacing w:val="-6"/>
        </w:rPr>
        <w:t>障机构；标识当前和计划的运行现场；列出其他有关文档。</w:t>
      </w:r>
    </w:p>
    <w:p w14:paraId="2219DF9E">
      <w:pPr>
        <w:spacing w:before="10" w:line="221" w:lineRule="auto"/>
        <w:rPr>
          <w:rFonts w:ascii="黑体" w:hAnsi="黑体" w:eastAsia="黑体" w:cs="黑体"/>
          <w:sz w:val="27"/>
          <w:szCs w:val="27"/>
        </w:rPr>
      </w:pPr>
      <w:r>
        <w:rPr>
          <w:rFonts w:ascii="黑体" w:hAnsi="黑体" w:eastAsia="黑体" w:cs="黑体"/>
          <w:spacing w:val="-7"/>
          <w:sz w:val="27"/>
          <w:szCs w:val="27"/>
        </w:rPr>
        <w:t>1.3</w:t>
      </w:r>
      <w:r>
        <w:rPr>
          <w:rFonts w:ascii="黑体" w:hAnsi="黑体" w:eastAsia="黑体" w:cs="黑体"/>
          <w:spacing w:val="32"/>
          <w:sz w:val="27"/>
          <w:szCs w:val="27"/>
        </w:rPr>
        <w:t xml:space="preserve">  </w:t>
      </w:r>
      <w:r>
        <w:rPr>
          <w:rFonts w:ascii="黑体" w:hAnsi="黑体" w:eastAsia="黑体" w:cs="黑体"/>
          <w:b/>
          <w:bCs/>
          <w:spacing w:val="-7"/>
          <w:sz w:val="27"/>
          <w:szCs w:val="27"/>
        </w:rPr>
        <w:t>文档概述</w:t>
      </w:r>
    </w:p>
    <w:p w14:paraId="6CA4397C">
      <w:pPr>
        <w:pStyle w:val="2"/>
        <w:spacing w:before="81" w:line="292" w:lineRule="auto"/>
        <w:ind w:right="113" w:firstLine="560"/>
      </w:pPr>
      <w:r>
        <w:rPr>
          <w:spacing w:val="5"/>
        </w:rPr>
        <w:t>本条应概述本文档的用途和内容，并描述与它的使用有关的保密性方面的</w:t>
      </w:r>
      <w:r>
        <w:rPr>
          <w:spacing w:val="10"/>
        </w:rPr>
        <w:t xml:space="preserve"> </w:t>
      </w:r>
      <w:r>
        <w:rPr>
          <w:spacing w:val="-4"/>
        </w:rPr>
        <w:t>要求。</w:t>
      </w:r>
    </w:p>
    <w:p w14:paraId="2354B66E">
      <w:pPr>
        <w:spacing w:before="1" w:line="222" w:lineRule="auto"/>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30"/>
          <w:sz w:val="24"/>
          <w:szCs w:val="24"/>
        </w:rPr>
        <w:t xml:space="preserve">  </w:t>
      </w:r>
      <w:r>
        <w:rPr>
          <w:rFonts w:ascii="黑体" w:hAnsi="黑体" w:eastAsia="黑体" w:cs="黑体"/>
          <w:b/>
          <w:bCs/>
          <w:spacing w:val="-15"/>
          <w:sz w:val="24"/>
          <w:szCs w:val="24"/>
        </w:rPr>
        <w:t>引</w:t>
      </w:r>
      <w:r>
        <w:rPr>
          <w:rFonts w:ascii="黑体" w:hAnsi="黑体" w:eastAsia="黑体" w:cs="黑体"/>
          <w:spacing w:val="-21"/>
          <w:sz w:val="24"/>
          <w:szCs w:val="24"/>
        </w:rPr>
        <w:t xml:space="preserve"> </w:t>
      </w:r>
      <w:r>
        <w:rPr>
          <w:rFonts w:ascii="黑体" w:hAnsi="黑体" w:eastAsia="黑体" w:cs="黑体"/>
          <w:b/>
          <w:bCs/>
          <w:spacing w:val="-15"/>
          <w:sz w:val="24"/>
          <w:szCs w:val="24"/>
        </w:rPr>
        <w:t>用</w:t>
      </w:r>
      <w:r>
        <w:rPr>
          <w:rFonts w:ascii="黑体" w:hAnsi="黑体" w:eastAsia="黑体" w:cs="黑体"/>
          <w:spacing w:val="-24"/>
          <w:sz w:val="24"/>
          <w:szCs w:val="24"/>
        </w:rPr>
        <w:t xml:space="preserve"> </w:t>
      </w:r>
      <w:r>
        <w:rPr>
          <w:rFonts w:ascii="黑体" w:hAnsi="黑体" w:eastAsia="黑体" w:cs="黑体"/>
          <w:b/>
          <w:bCs/>
          <w:spacing w:val="-15"/>
          <w:sz w:val="24"/>
          <w:szCs w:val="24"/>
        </w:rPr>
        <w:t>文</w:t>
      </w:r>
      <w:r>
        <w:rPr>
          <w:rFonts w:ascii="黑体" w:hAnsi="黑体" w:eastAsia="黑体" w:cs="黑体"/>
          <w:spacing w:val="-28"/>
          <w:sz w:val="24"/>
          <w:szCs w:val="24"/>
        </w:rPr>
        <w:t xml:space="preserve"> </w:t>
      </w:r>
      <w:r>
        <w:rPr>
          <w:rFonts w:ascii="黑体" w:hAnsi="黑体" w:eastAsia="黑体" w:cs="黑体"/>
          <w:b/>
          <w:bCs/>
          <w:spacing w:val="-15"/>
          <w:sz w:val="24"/>
          <w:szCs w:val="24"/>
        </w:rPr>
        <w:t>档</w:t>
      </w:r>
    </w:p>
    <w:p w14:paraId="31788EEF">
      <w:pPr>
        <w:pStyle w:val="2"/>
        <w:spacing w:before="106" w:line="279" w:lineRule="auto"/>
        <w:ind w:right="122" w:firstLine="560"/>
      </w:pPr>
      <w:r>
        <w:rPr>
          <w:spacing w:val="-11"/>
        </w:rPr>
        <w:t>本章应列出引用文档的编号、标题、编写单位、修订版及日期，还应</w:t>
      </w:r>
      <w:r>
        <w:rPr>
          <w:spacing w:val="-12"/>
        </w:rPr>
        <w:t>标识不能</w:t>
      </w:r>
      <w:r>
        <w:t xml:space="preserve"> </w:t>
      </w:r>
      <w:r>
        <w:rPr>
          <w:spacing w:val="1"/>
        </w:rPr>
        <w:t>通过正常采购活动得到的文档的来源。</w:t>
      </w:r>
    </w:p>
    <w:p w14:paraId="269B35C7">
      <w:pPr>
        <w:spacing w:before="1" w:line="220" w:lineRule="auto"/>
        <w:rPr>
          <w:rFonts w:ascii="黑体" w:hAnsi="黑体" w:eastAsia="黑体" w:cs="黑体"/>
          <w:sz w:val="27"/>
          <w:szCs w:val="27"/>
        </w:rPr>
      </w:pPr>
      <w:r>
        <w:rPr>
          <w:rFonts w:ascii="黑体" w:hAnsi="黑体" w:eastAsia="黑体" w:cs="黑体"/>
          <w:spacing w:val="1"/>
          <w:sz w:val="27"/>
          <w:szCs w:val="27"/>
        </w:rPr>
        <w:t xml:space="preserve">3  </w:t>
      </w:r>
      <w:r>
        <w:rPr>
          <w:rFonts w:ascii="黑体" w:hAnsi="黑体" w:eastAsia="黑体" w:cs="黑体"/>
          <w:b/>
          <w:bCs/>
          <w:spacing w:val="1"/>
          <w:sz w:val="27"/>
          <w:szCs w:val="27"/>
        </w:rPr>
        <w:t>数据库级设计决策</w:t>
      </w:r>
    </w:p>
    <w:p w14:paraId="15B1F1D7">
      <w:pPr>
        <w:pStyle w:val="2"/>
        <w:spacing w:before="109" w:line="273" w:lineRule="auto"/>
        <w:ind w:right="103" w:firstLine="560"/>
        <w:jc w:val="both"/>
      </w:pPr>
      <w:r>
        <w:rPr>
          <w:spacing w:val="1"/>
        </w:rPr>
        <w:t>本章应视需要分条给出数据库级设计决策，即数据库的行为设计决策(忽略</w:t>
      </w:r>
      <w:r>
        <w:rPr>
          <w:spacing w:val="12"/>
        </w:rPr>
        <w:t xml:space="preserve"> </w:t>
      </w:r>
      <w:r>
        <w:rPr>
          <w:spacing w:val="2"/>
        </w:rPr>
        <w:t>其内部实现，从用户角度出发描述数据库将怎样</w:t>
      </w:r>
      <w:r>
        <w:rPr>
          <w:spacing w:val="1"/>
        </w:rPr>
        <w:t>运转以满足需求)以及其他影响</w:t>
      </w:r>
      <w:r>
        <w:t xml:space="preserve"> </w:t>
      </w:r>
      <w:r>
        <w:rPr>
          <w:spacing w:val="10"/>
        </w:rPr>
        <w:t>数据库进一步设计的决策。如果所有这些决策在系统</w:t>
      </w:r>
      <w:r>
        <w:rPr>
          <w:spacing w:val="9"/>
        </w:rPr>
        <w:t>需求或</w:t>
      </w:r>
      <w:r>
        <w:rPr>
          <w:rFonts w:ascii="Times New Roman" w:hAnsi="Times New Roman" w:eastAsia="Times New Roman" w:cs="Times New Roman"/>
        </w:rPr>
        <w:t>CSCI</w:t>
      </w:r>
      <w:r>
        <w:rPr>
          <w:rFonts w:ascii="Times New Roman" w:hAnsi="Times New Roman" w:eastAsia="Times New Roman" w:cs="Times New Roman"/>
          <w:spacing w:val="22"/>
          <w:w w:val="101"/>
        </w:rPr>
        <w:t xml:space="preserve"> </w:t>
      </w:r>
      <w:r>
        <w:rPr>
          <w:spacing w:val="9"/>
        </w:rPr>
        <w:t>需求中均是</w:t>
      </w:r>
      <w:r>
        <w:t xml:space="preserve"> </w:t>
      </w:r>
      <w:r>
        <w:rPr>
          <w:spacing w:val="1"/>
        </w:rPr>
        <w:t>明确的，本章应如实陈述。对应于指定为关键性需求(例如对安全性或</w:t>
      </w:r>
      <w:r>
        <w:t xml:space="preserve">保密性需 </w:t>
      </w:r>
      <w:r>
        <w:rPr>
          <w:spacing w:val="1"/>
        </w:rPr>
        <w:t>求)的设计决策，应在专门的章条中加以叙述。如果一个设计决策依赖于系统状</w:t>
      </w:r>
      <w:r>
        <w:rPr>
          <w:spacing w:val="10"/>
        </w:rPr>
        <w:t xml:space="preserve"> </w:t>
      </w:r>
      <w:r>
        <w:rPr>
          <w:spacing w:val="5"/>
        </w:rPr>
        <w:t>态或方式，应指明这一依赖性。如果设计决策的部分或全部在定制的或商用的</w:t>
      </w:r>
    </w:p>
    <w:p w14:paraId="77C0D4CB">
      <w:pPr>
        <w:spacing w:line="273" w:lineRule="auto"/>
        <w:sectPr>
          <w:footerReference r:id="rId237" w:type="default"/>
          <w:pgSz w:w="11910" w:h="17130"/>
          <w:pgMar w:top="1416" w:right="794" w:bottom="1657" w:left="1630" w:header="0" w:footer="1441" w:gutter="0"/>
          <w:cols w:space="720" w:num="1"/>
        </w:sectPr>
      </w:pPr>
    </w:p>
    <w:p w14:paraId="3D52A5CF">
      <w:pPr>
        <w:pStyle w:val="2"/>
        <w:spacing w:before="57" w:line="284" w:lineRule="auto"/>
        <w:ind w:right="128"/>
      </w:pPr>
      <w:r>
        <w:rPr>
          <w:spacing w:val="9"/>
        </w:rPr>
        <w:t>数据库管理系统(</w:t>
      </w:r>
      <w:r>
        <w:rPr>
          <w:rFonts w:ascii="Times New Roman" w:hAnsi="Times New Roman" w:eastAsia="Times New Roman" w:cs="Times New Roman"/>
        </w:rPr>
        <w:t>DBMS</w:t>
      </w:r>
      <w:r>
        <w:rPr>
          <w:rFonts w:ascii="Times New Roman" w:hAnsi="Times New Roman" w:eastAsia="Times New Roman" w:cs="Times New Roman"/>
          <w:spacing w:val="9"/>
        </w:rPr>
        <w:t>)</w:t>
      </w:r>
      <w:r>
        <w:rPr>
          <w:spacing w:val="9"/>
        </w:rPr>
        <w:t>中进行了描述，本章可以直接引用。本章应给</w:t>
      </w:r>
      <w:r>
        <w:rPr>
          <w:spacing w:val="8"/>
        </w:rPr>
        <w:t>出或引</w:t>
      </w:r>
      <w:r>
        <w:t xml:space="preserve"> </w:t>
      </w:r>
      <w:r>
        <w:rPr>
          <w:spacing w:val="4"/>
        </w:rPr>
        <w:t>用理解设计所需的设计约定。数据库级设计决策的例子如下：</w:t>
      </w:r>
    </w:p>
    <w:p w14:paraId="7DEA415C">
      <w:pPr>
        <w:pStyle w:val="2"/>
        <w:spacing w:before="1" w:line="263" w:lineRule="auto"/>
        <w:ind w:firstLine="560"/>
      </w:pPr>
      <w:r>
        <w:rPr>
          <w:rFonts w:ascii="Times New Roman" w:hAnsi="Times New Roman" w:eastAsia="Times New Roman" w:cs="Times New Roman"/>
          <w:spacing w:val="3"/>
        </w:rPr>
        <w:t>a)</w:t>
      </w:r>
      <w:r>
        <w:rPr>
          <w:rFonts w:ascii="Times New Roman" w:hAnsi="Times New Roman" w:eastAsia="Times New Roman" w:cs="Times New Roman"/>
          <w:spacing w:val="63"/>
        </w:rPr>
        <w:t xml:space="preserve"> </w:t>
      </w:r>
      <w:r>
        <w:rPr>
          <w:spacing w:val="3"/>
        </w:rPr>
        <w:t>关于数据库将接收的查询或其他输入以及它将产生的输出(显示</w:t>
      </w:r>
      <w:r>
        <w:rPr>
          <w:spacing w:val="2"/>
        </w:rPr>
        <w:t>、报表、</w:t>
      </w:r>
      <w:r>
        <w:t xml:space="preserve"> </w:t>
      </w:r>
      <w:r>
        <w:rPr>
          <w:spacing w:val="1"/>
        </w:rPr>
        <w:t>消息、响应等),包括与其他系统、</w:t>
      </w:r>
      <w:r>
        <w:rPr>
          <w:rFonts w:ascii="Times New Roman" w:hAnsi="Times New Roman" w:eastAsia="Times New Roman" w:cs="Times New Roman"/>
        </w:rPr>
        <w:t>HWCI</w:t>
      </w:r>
      <w:r>
        <w:rPr>
          <w:rFonts w:ascii="Times New Roman" w:hAnsi="Times New Roman" w:eastAsia="Times New Roman" w:cs="Times New Roman"/>
          <w:spacing w:val="-20"/>
        </w:rPr>
        <w:t xml:space="preserve"> </w:t>
      </w:r>
      <w:r>
        <w:rPr>
          <w:spacing w:val="1"/>
        </w:rPr>
        <w:t>、</w:t>
      </w:r>
      <w:r>
        <w:rPr>
          <w:rFonts w:ascii="Times New Roman" w:hAnsi="Times New Roman" w:eastAsia="Times New Roman" w:cs="Times New Roman"/>
        </w:rPr>
        <w:t>CSCI</w:t>
      </w:r>
      <w:r>
        <w:rPr>
          <w:spacing w:val="1"/>
        </w:rPr>
        <w:t>及用户的接口的设计决策(本文</w:t>
      </w:r>
      <w:r>
        <w:t xml:space="preserve">  </w:t>
      </w:r>
      <w:r>
        <w:rPr>
          <w:spacing w:val="9"/>
        </w:rPr>
        <w:t>档的5.</w:t>
      </w:r>
      <w:r>
        <w:rPr>
          <w:rFonts w:ascii="Times New Roman" w:hAnsi="Times New Roman" w:eastAsia="Times New Roman" w:cs="Times New Roman"/>
          <w:spacing w:val="9"/>
        </w:rPr>
        <w:t xml:space="preserve">X.d  </w:t>
      </w:r>
      <w:r>
        <w:rPr>
          <w:spacing w:val="9"/>
        </w:rPr>
        <w:t>条指出这项说明应考虑的主题)。如果这一信息的全部或部分在接</w:t>
      </w:r>
      <w:r>
        <w:t xml:space="preserve">  </w:t>
      </w:r>
      <w:r>
        <w:rPr>
          <w:spacing w:val="-5"/>
        </w:rPr>
        <w:t>口设计说明(</w:t>
      </w:r>
      <w:r>
        <w:rPr>
          <w:rFonts w:ascii="Times New Roman" w:hAnsi="Times New Roman" w:eastAsia="Times New Roman" w:cs="Times New Roman"/>
          <w:spacing w:val="-5"/>
        </w:rPr>
        <w:t xml:space="preserve">IDD) </w:t>
      </w:r>
      <w:r>
        <w:rPr>
          <w:spacing w:val="-5"/>
        </w:rPr>
        <w:t>中给出，那么可以直接引用。</w:t>
      </w:r>
    </w:p>
    <w:p w14:paraId="642D06FD">
      <w:pPr>
        <w:pStyle w:val="2"/>
        <w:spacing w:before="100" w:line="269" w:lineRule="auto"/>
        <w:ind w:right="121" w:firstLine="560"/>
      </w:pPr>
      <w:r>
        <w:rPr>
          <w:rFonts w:ascii="Times New Roman" w:hAnsi="Times New Roman" w:eastAsia="Times New Roman" w:cs="Times New Roman"/>
          <w:spacing w:val="3"/>
        </w:rPr>
        <w:t>b)</w:t>
      </w:r>
      <w:r>
        <w:rPr>
          <w:rFonts w:ascii="Times New Roman" w:hAnsi="Times New Roman" w:eastAsia="Times New Roman" w:cs="Times New Roman"/>
          <w:spacing w:val="61"/>
        </w:rPr>
        <w:t xml:space="preserve"> </w:t>
      </w:r>
      <w:r>
        <w:rPr>
          <w:spacing w:val="3"/>
        </w:rPr>
        <w:t>有关响应每个输入或查询时数据库行为的设计决策，包括数据库将执行</w:t>
      </w:r>
      <w:r>
        <w:t xml:space="preserve"> </w:t>
      </w:r>
      <w:r>
        <w:rPr>
          <w:spacing w:val="-2"/>
        </w:rPr>
        <w:t>什么动作，响应时间和其他性能特性，所选择的</w:t>
      </w:r>
      <w:r>
        <w:rPr>
          <w:spacing w:val="-3"/>
        </w:rPr>
        <w:t>方程式/算法/规则，处理和对不</w:t>
      </w:r>
      <w:r>
        <w:t xml:space="preserve"> </w:t>
      </w:r>
      <w:r>
        <w:rPr>
          <w:spacing w:val="-1"/>
        </w:rPr>
        <w:t>允许的输入的处理。</w:t>
      </w:r>
    </w:p>
    <w:p w14:paraId="5A4B8242">
      <w:pPr>
        <w:pStyle w:val="2"/>
        <w:spacing w:before="59" w:line="256" w:lineRule="auto"/>
        <w:ind w:right="124" w:firstLine="560"/>
      </w:pPr>
      <w:r>
        <w:rPr>
          <w:rFonts w:ascii="Times New Roman" w:hAnsi="Times New Roman" w:eastAsia="Times New Roman" w:cs="Times New Roman"/>
          <w:spacing w:val="11"/>
        </w:rPr>
        <w:t>c)</w:t>
      </w:r>
      <w:r>
        <w:rPr>
          <w:rFonts w:ascii="Times New Roman" w:hAnsi="Times New Roman" w:eastAsia="Times New Roman" w:cs="Times New Roman"/>
          <w:spacing w:val="52"/>
        </w:rPr>
        <w:t xml:space="preserve"> </w:t>
      </w:r>
      <w:r>
        <w:rPr>
          <w:spacing w:val="11"/>
        </w:rPr>
        <w:t>有关数据库/数据文件如何呈现给用户的设计决策(本文档</w:t>
      </w:r>
      <w:r>
        <w:rPr>
          <w:spacing w:val="10"/>
        </w:rPr>
        <w:t>的4.</w:t>
      </w:r>
      <w:r>
        <w:rPr>
          <w:rFonts w:ascii="Times New Roman" w:hAnsi="Times New Roman" w:eastAsia="Times New Roman" w:cs="Times New Roman"/>
          <w:spacing w:val="10"/>
        </w:rPr>
        <w:t>X</w:t>
      </w:r>
      <w:r>
        <w:rPr>
          <w:rFonts w:ascii="Times New Roman" w:hAnsi="Times New Roman" w:eastAsia="Times New Roman" w:cs="Times New Roman"/>
          <w:spacing w:val="29"/>
          <w:w w:val="101"/>
        </w:rPr>
        <w:t xml:space="preserve"> </w:t>
      </w:r>
      <w:r>
        <w:rPr>
          <w:spacing w:val="10"/>
        </w:rPr>
        <w:t>条标</w:t>
      </w:r>
      <w:r>
        <w:t xml:space="preserve"> </w:t>
      </w:r>
      <w:r>
        <w:rPr>
          <w:spacing w:val="3"/>
        </w:rPr>
        <w:t>识了这项说明应考虑的主题)。</w:t>
      </w:r>
    </w:p>
    <w:p w14:paraId="65D12689">
      <w:pPr>
        <w:pStyle w:val="2"/>
        <w:spacing w:before="81" w:line="253" w:lineRule="auto"/>
        <w:ind w:right="117" w:firstLine="560"/>
      </w:pPr>
      <w:r>
        <w:rPr>
          <w:rFonts w:ascii="Times New Roman" w:hAnsi="Times New Roman" w:eastAsia="Times New Roman" w:cs="Times New Roman"/>
          <w:spacing w:val="7"/>
        </w:rPr>
        <w:t>d)</w:t>
      </w:r>
      <w:r>
        <w:rPr>
          <w:rFonts w:ascii="Times New Roman" w:hAnsi="Times New Roman" w:eastAsia="Times New Roman" w:cs="Times New Roman"/>
          <w:spacing w:val="60"/>
        </w:rPr>
        <w:t xml:space="preserve"> </w:t>
      </w:r>
      <w:r>
        <w:rPr>
          <w:spacing w:val="7"/>
        </w:rPr>
        <w:t>有关所使用的数据库管理系统(包括名称、版本/发布版)以及为适应需</w:t>
      </w:r>
      <w:r>
        <w:t xml:space="preserve"> </w:t>
      </w:r>
      <w:r>
        <w:rPr>
          <w:spacing w:val="4"/>
        </w:rPr>
        <w:t>求的变更而引入到数据库内部的灵活性类型的设计决策。</w:t>
      </w:r>
    </w:p>
    <w:p w14:paraId="42E04A52">
      <w:pPr>
        <w:pStyle w:val="2"/>
        <w:spacing w:before="50" w:line="260" w:lineRule="auto"/>
        <w:ind w:right="123" w:firstLine="560"/>
      </w:pPr>
      <w:r>
        <w:rPr>
          <w:rFonts w:ascii="Times New Roman" w:hAnsi="Times New Roman" w:eastAsia="Times New Roman" w:cs="Times New Roman"/>
          <w:spacing w:val="3"/>
        </w:rPr>
        <w:t>e)</w:t>
      </w:r>
      <w:r>
        <w:rPr>
          <w:rFonts w:ascii="Times New Roman" w:hAnsi="Times New Roman" w:eastAsia="Times New Roman" w:cs="Times New Roman"/>
          <w:spacing w:val="74"/>
        </w:rPr>
        <w:t xml:space="preserve"> </w:t>
      </w:r>
      <w:r>
        <w:rPr>
          <w:spacing w:val="3"/>
        </w:rPr>
        <w:t>有关数据库应提供的可用性、安全性、保密性和操作连续性的等级和类</w:t>
      </w:r>
      <w:r>
        <w:t xml:space="preserve"> </w:t>
      </w:r>
      <w:r>
        <w:rPr>
          <w:spacing w:val="-1"/>
        </w:rPr>
        <w:t>型的设计决策。</w:t>
      </w:r>
    </w:p>
    <w:p w14:paraId="4F0BD2E3">
      <w:pPr>
        <w:pStyle w:val="2"/>
        <w:spacing w:before="67" w:line="261" w:lineRule="auto"/>
        <w:ind w:right="113" w:firstLine="560"/>
      </w:pPr>
      <w:r>
        <w:rPr>
          <w:rFonts w:ascii="Times New Roman" w:hAnsi="Times New Roman" w:eastAsia="Times New Roman" w:cs="Times New Roman"/>
          <w:spacing w:val="8"/>
        </w:rPr>
        <w:t>f)</w:t>
      </w:r>
      <w:r>
        <w:rPr>
          <w:rFonts w:ascii="Times New Roman" w:hAnsi="Times New Roman" w:eastAsia="Times New Roman" w:cs="Times New Roman"/>
          <w:spacing w:val="75"/>
        </w:rPr>
        <w:t xml:space="preserve"> </w:t>
      </w:r>
      <w:r>
        <w:rPr>
          <w:spacing w:val="8"/>
        </w:rPr>
        <w:t>有关数据库的分布(例如客户/服务器)、主数据库文件的更新和维护的</w:t>
      </w:r>
      <w:r>
        <w:t xml:space="preserve"> </w:t>
      </w:r>
      <w:r>
        <w:rPr>
          <w:spacing w:val="-6"/>
        </w:rPr>
        <w:t>设计决策，包括维护一致性、建立同步/重建同步和维持同步、</w:t>
      </w:r>
      <w:r>
        <w:rPr>
          <w:spacing w:val="-7"/>
        </w:rPr>
        <w:t>强制完整性和业务</w:t>
      </w:r>
      <w:r>
        <w:t xml:space="preserve"> </w:t>
      </w:r>
      <w:r>
        <w:rPr>
          <w:spacing w:val="-6"/>
        </w:rPr>
        <w:t>规则。</w:t>
      </w:r>
    </w:p>
    <w:p w14:paraId="74812FCF">
      <w:pPr>
        <w:pStyle w:val="2"/>
        <w:spacing w:before="76" w:line="262" w:lineRule="auto"/>
        <w:ind w:right="122" w:firstLine="560"/>
      </w:pPr>
      <w:r>
        <w:rPr>
          <w:rFonts w:ascii="Times New Roman" w:hAnsi="Times New Roman" w:eastAsia="Times New Roman" w:cs="Times New Roman"/>
          <w:spacing w:val="11"/>
        </w:rPr>
        <w:t>g)</w:t>
      </w:r>
      <w:r>
        <w:rPr>
          <w:rFonts w:ascii="Times New Roman" w:hAnsi="Times New Roman" w:eastAsia="Times New Roman" w:cs="Times New Roman"/>
          <w:spacing w:val="76"/>
          <w:w w:val="101"/>
        </w:rPr>
        <w:t xml:space="preserve"> </w:t>
      </w:r>
      <w:r>
        <w:rPr>
          <w:spacing w:val="11"/>
        </w:rPr>
        <w:t>有关备份与恢复的设计决策，包括数据和处理的分布策略，备份和恢</w:t>
      </w:r>
      <w:r>
        <w:t xml:space="preserve"> </w:t>
      </w:r>
      <w:r>
        <w:rPr>
          <w:spacing w:val="13"/>
        </w:rPr>
        <w:t>复过程中允许的动作，以及对新技术或非标准技术(如视频和声音等)的特殊</w:t>
      </w:r>
      <w:r>
        <w:rPr>
          <w:spacing w:val="7"/>
        </w:rPr>
        <w:t xml:space="preserve"> </w:t>
      </w:r>
      <w:r>
        <w:rPr>
          <w:spacing w:val="-2"/>
        </w:rPr>
        <w:t>考虑。</w:t>
      </w:r>
    </w:p>
    <w:p w14:paraId="49B11E43">
      <w:pPr>
        <w:pStyle w:val="2"/>
        <w:spacing w:before="81" w:line="262" w:lineRule="auto"/>
        <w:ind w:right="123" w:firstLine="560"/>
      </w:pPr>
      <w:r>
        <w:rPr>
          <w:rFonts w:ascii="Times New Roman" w:hAnsi="Times New Roman" w:eastAsia="Times New Roman" w:cs="Times New Roman"/>
          <w:spacing w:val="-5"/>
        </w:rPr>
        <w:t>h)</w:t>
      </w:r>
      <w:r>
        <w:rPr>
          <w:rFonts w:ascii="Times New Roman" w:hAnsi="Times New Roman" w:eastAsia="Times New Roman" w:cs="Times New Roman"/>
          <w:spacing w:val="59"/>
          <w:w w:val="101"/>
        </w:rPr>
        <w:t xml:space="preserve"> </w:t>
      </w:r>
      <w:r>
        <w:rPr>
          <w:spacing w:val="-5"/>
        </w:rPr>
        <w:t>关于重新打包、排序、索引、同步以及一致性的设计决策，包括自动</w:t>
      </w:r>
      <w:r>
        <w:rPr>
          <w:spacing w:val="-6"/>
        </w:rPr>
        <w:t>磁盘</w:t>
      </w:r>
      <w:r>
        <w:t xml:space="preserve"> </w:t>
      </w:r>
      <w:r>
        <w:rPr>
          <w:spacing w:val="-2"/>
        </w:rPr>
        <w:t>管理和自动空间回收、优化策略、存储与空</w:t>
      </w:r>
      <w:r>
        <w:rPr>
          <w:spacing w:val="-3"/>
        </w:rPr>
        <w:t>间大小以及数据库的规模与继承数据</w:t>
      </w:r>
      <w:r>
        <w:t xml:space="preserve"> </w:t>
      </w:r>
      <w:r>
        <w:rPr>
          <w:spacing w:val="-1"/>
        </w:rPr>
        <w:t>捕获等方面的考虑。</w:t>
      </w:r>
    </w:p>
    <w:p w14:paraId="30583E27">
      <w:pPr>
        <w:spacing w:before="115" w:line="222" w:lineRule="auto"/>
        <w:outlineLvl w:val="3"/>
        <w:rPr>
          <w:rFonts w:ascii="黑体" w:hAnsi="黑体" w:eastAsia="黑体" w:cs="黑体"/>
          <w:sz w:val="24"/>
          <w:szCs w:val="24"/>
        </w:rPr>
      </w:pPr>
      <w:r>
        <w:rPr>
          <w:rFonts w:ascii="Arial" w:hAnsi="Arial" w:eastAsia="Arial" w:cs="Arial"/>
          <w:b/>
          <w:bCs/>
          <w:spacing w:val="22"/>
          <w:sz w:val="24"/>
          <w:szCs w:val="24"/>
        </w:rPr>
        <w:t xml:space="preserve">4    </w:t>
      </w:r>
      <w:r>
        <w:rPr>
          <w:rFonts w:ascii="黑体" w:hAnsi="黑体" w:eastAsia="黑体" w:cs="黑体"/>
          <w:b/>
          <w:bCs/>
          <w:spacing w:val="22"/>
          <w:sz w:val="24"/>
          <w:szCs w:val="24"/>
        </w:rPr>
        <w:t>数据库详细设计</w:t>
      </w:r>
    </w:p>
    <w:p w14:paraId="49F5146A">
      <w:pPr>
        <w:pStyle w:val="2"/>
        <w:spacing w:before="113" w:line="269" w:lineRule="auto"/>
        <w:ind w:right="134" w:firstLine="560"/>
        <w:jc w:val="both"/>
        <w:rPr>
          <w:rFonts w:ascii="楷体" w:hAnsi="楷体" w:eastAsia="楷体" w:cs="楷体"/>
        </w:rPr>
      </w:pPr>
      <w:r>
        <w:rPr>
          <w:rFonts w:ascii="楷体" w:hAnsi="楷体" w:eastAsia="楷体" w:cs="楷体"/>
          <w:spacing w:val="-7"/>
        </w:rPr>
        <w:t>注：本文档用“数据元素集合”一词来代表在一指定的设计级别(例如概念设</w:t>
      </w:r>
      <w:r>
        <w:rPr>
          <w:rFonts w:ascii="楷体" w:hAnsi="楷体" w:eastAsia="楷体" w:cs="楷体"/>
          <w:spacing w:val="1"/>
        </w:rPr>
        <w:t xml:space="preserve"> </w:t>
      </w:r>
      <w:r>
        <w:rPr>
          <w:rFonts w:ascii="楷体" w:hAnsi="楷体" w:eastAsia="楷体" w:cs="楷体"/>
          <w:spacing w:val="-6"/>
        </w:rPr>
        <w:t>计、内部设计、逻辑设计、物理设计)上具有结构(数据元素的编号/次序/分组</w:t>
      </w:r>
      <w:r>
        <w:rPr>
          <w:rFonts w:ascii="楷体" w:hAnsi="楷体" w:eastAsia="楷体" w:cs="楷体"/>
          <w:spacing w:val="-7"/>
        </w:rPr>
        <w:t>)的</w:t>
      </w:r>
      <w:r>
        <w:rPr>
          <w:rFonts w:ascii="楷体" w:hAnsi="楷体" w:eastAsia="楷体" w:cs="楷体"/>
        </w:rPr>
        <w:t xml:space="preserve"> </w:t>
      </w:r>
      <w:r>
        <w:rPr>
          <w:rFonts w:ascii="楷体" w:hAnsi="楷体" w:eastAsia="楷体" w:cs="楷体"/>
          <w:spacing w:val="-24"/>
        </w:rPr>
        <w:t>任何实体、关系、模式、字段、表、数组等，用“数据元素”一词来代表在该级别上不</w:t>
      </w:r>
      <w:r>
        <w:rPr>
          <w:rFonts w:ascii="楷体" w:hAnsi="楷体" w:eastAsia="楷体" w:cs="楷体"/>
          <w:spacing w:val="6"/>
        </w:rPr>
        <w:t xml:space="preserve"> </w:t>
      </w:r>
      <w:r>
        <w:rPr>
          <w:rFonts w:ascii="楷体" w:hAnsi="楷体" w:eastAsia="楷体" w:cs="楷体"/>
          <w:spacing w:val="-15"/>
        </w:rPr>
        <w:t>具有结构的任何关系、属性、字段、单元(</w:t>
      </w:r>
      <w:r>
        <w:rPr>
          <w:rFonts w:ascii="楷体" w:hAnsi="楷体" w:eastAsia="楷体" w:cs="楷体"/>
          <w:spacing w:val="-61"/>
        </w:rPr>
        <w:t xml:space="preserve"> </w:t>
      </w:r>
      <w:r>
        <w:rPr>
          <w:rFonts w:ascii="Times New Roman" w:hAnsi="Times New Roman" w:eastAsia="Times New Roman" w:cs="Times New Roman"/>
          <w:spacing w:val="-15"/>
        </w:rPr>
        <w:t>cell)</w:t>
      </w:r>
      <w:r>
        <w:rPr>
          <w:spacing w:val="-15"/>
        </w:rPr>
        <w:t>、</w:t>
      </w:r>
      <w:r>
        <w:rPr>
          <w:rFonts w:ascii="楷体" w:hAnsi="楷体" w:eastAsia="楷体" w:cs="楷体"/>
          <w:spacing w:val="-15"/>
        </w:rPr>
        <w:t>数据元素等。</w:t>
      </w:r>
    </w:p>
    <w:p w14:paraId="63E77C26">
      <w:pPr>
        <w:spacing w:before="84" w:line="221" w:lineRule="auto"/>
        <w:rPr>
          <w:rFonts w:ascii="黑体" w:hAnsi="黑体" w:eastAsia="黑体" w:cs="黑体"/>
          <w:sz w:val="24"/>
          <w:szCs w:val="24"/>
        </w:rPr>
      </w:pPr>
      <w:r>
        <w:rPr>
          <w:rFonts w:ascii="Arial" w:hAnsi="Arial" w:eastAsia="Arial" w:cs="Arial"/>
          <w:spacing w:val="25"/>
          <w:sz w:val="24"/>
          <w:szCs w:val="24"/>
        </w:rPr>
        <w:t>4.X</w:t>
      </w:r>
      <w:r>
        <w:rPr>
          <w:rFonts w:ascii="Arial" w:hAnsi="Arial" w:eastAsia="Arial" w:cs="Arial"/>
          <w:spacing w:val="10"/>
          <w:sz w:val="24"/>
          <w:szCs w:val="24"/>
        </w:rPr>
        <w:t xml:space="preserve">     </w:t>
      </w:r>
      <w:r>
        <w:rPr>
          <w:rFonts w:ascii="黑体" w:hAnsi="黑体" w:eastAsia="黑体" w:cs="黑体"/>
          <w:b/>
          <w:bCs/>
          <w:spacing w:val="25"/>
          <w:sz w:val="24"/>
          <w:szCs w:val="24"/>
        </w:rPr>
        <w:t>(数据库设计级别的名称)</w:t>
      </w:r>
    </w:p>
    <w:p w14:paraId="38524EA2">
      <w:pPr>
        <w:pStyle w:val="2"/>
        <w:spacing w:before="99" w:line="271" w:lineRule="auto"/>
        <w:ind w:right="113" w:firstLine="560"/>
        <w:jc w:val="both"/>
      </w:pPr>
      <w:r>
        <w:rPr>
          <w:spacing w:val="6"/>
        </w:rPr>
        <w:t>本条应标识数据库设计级别，并用所选择的设计方法的术语描述数据</w:t>
      </w:r>
      <w:r>
        <w:rPr>
          <w:spacing w:val="5"/>
        </w:rPr>
        <w:t>库的</w:t>
      </w:r>
      <w:r>
        <w:t xml:space="preserve"> </w:t>
      </w:r>
      <w:r>
        <w:rPr>
          <w:spacing w:val="5"/>
        </w:rPr>
        <w:t>数据元素和数据元素集合。(若适用)这些信息应包括如下内容，它们可按任何</w:t>
      </w:r>
      <w:r>
        <w:rPr>
          <w:spacing w:val="4"/>
        </w:rPr>
        <w:t xml:space="preserve"> </w:t>
      </w:r>
      <w:r>
        <w:rPr>
          <w:spacing w:val="2"/>
        </w:rPr>
        <w:t>适合于所提供信息的顺序提供：</w:t>
      </w:r>
    </w:p>
    <w:p w14:paraId="23284D96">
      <w:pPr>
        <w:pStyle w:val="2"/>
        <w:spacing w:before="11" w:line="212" w:lineRule="auto"/>
        <w:ind w:left="560"/>
      </w:pPr>
      <w:r>
        <w:rPr>
          <w:rFonts w:ascii="Times New Roman" w:hAnsi="Times New Roman" w:eastAsia="Times New Roman" w:cs="Times New Roman"/>
          <w:spacing w:val="7"/>
        </w:rPr>
        <w:t xml:space="preserve">a)  </w:t>
      </w:r>
      <w:r>
        <w:rPr>
          <w:spacing w:val="7"/>
        </w:rPr>
        <w:t>数据库设计中各个数据元素的特征。1)名</w:t>
      </w:r>
      <w:r>
        <w:rPr>
          <w:spacing w:val="6"/>
        </w:rPr>
        <w:t>称/标识符，含项目唯一的标</w:t>
      </w:r>
    </w:p>
    <w:p w14:paraId="25F0847F">
      <w:pPr>
        <w:spacing w:line="212" w:lineRule="auto"/>
        <w:sectPr>
          <w:footerReference r:id="rId238" w:type="default"/>
          <w:pgSz w:w="11910" w:h="17130"/>
          <w:pgMar w:top="1402" w:right="1285" w:bottom="1656" w:left="1120" w:header="0" w:footer="1467" w:gutter="0"/>
          <w:cols w:space="720" w:num="1"/>
        </w:sectPr>
      </w:pPr>
    </w:p>
    <w:p w14:paraId="2FFDE863">
      <w:pPr>
        <w:pStyle w:val="2"/>
        <w:spacing w:before="139" w:line="279" w:lineRule="auto"/>
        <w:ind w:right="72"/>
        <w:jc w:val="both"/>
      </w:pPr>
      <w:r>
        <w:rPr>
          <w:spacing w:val="-4"/>
        </w:rPr>
        <w:t>识符，非技术(自然语言)名称，数据元素名称，技术名称</w:t>
      </w:r>
      <w:r>
        <w:rPr>
          <w:spacing w:val="-5"/>
        </w:rPr>
        <w:t>(如在数据库中字段名),</w:t>
      </w:r>
      <w:r>
        <w:t xml:space="preserve"> </w:t>
      </w:r>
      <w:r>
        <w:rPr>
          <w:spacing w:val="-2"/>
        </w:rPr>
        <w:t>缩略名或同义名；2)数据类型(字母、数字、整数等);</w:t>
      </w:r>
      <w:r>
        <w:rPr>
          <w:spacing w:val="-3"/>
        </w:rPr>
        <w:t>3)大小和格式(如字符串的</w:t>
      </w:r>
      <w:r>
        <w:t xml:space="preserve"> </w:t>
      </w:r>
      <w:r>
        <w:rPr>
          <w:spacing w:val="13"/>
        </w:rPr>
        <w:t>长度和标点符号);4)计量单位(如</w:t>
      </w:r>
      <w:r>
        <w:rPr>
          <w:spacing w:val="-75"/>
        </w:rPr>
        <w:t xml:space="preserve"> </w:t>
      </w:r>
      <w:r>
        <w:rPr>
          <w:rFonts w:ascii="Times New Roman" w:hAnsi="Times New Roman" w:eastAsia="Times New Roman" w:cs="Times New Roman"/>
          <w:spacing w:val="13"/>
        </w:rPr>
        <w:t>m</w:t>
      </w:r>
      <w:r>
        <w:rPr>
          <w:rFonts w:ascii="Times New Roman" w:hAnsi="Times New Roman" w:eastAsia="Times New Roman" w:cs="Times New Roman"/>
          <w:spacing w:val="35"/>
          <w:w w:val="101"/>
        </w:rPr>
        <w:t xml:space="preserve"> </w:t>
      </w:r>
      <w:r>
        <w:rPr>
          <w:spacing w:val="13"/>
        </w:rPr>
        <w:t>等);5)可能值的范围或枚举(如0～99</w:t>
      </w:r>
      <w:r>
        <w:rPr>
          <w:spacing w:val="12"/>
        </w:rPr>
        <w:t>);</w:t>
      </w:r>
    </w:p>
    <w:p w14:paraId="3C01E5D0">
      <w:pPr>
        <w:pStyle w:val="2"/>
        <w:spacing w:before="1" w:line="271" w:lineRule="auto"/>
        <w:ind w:right="138"/>
        <w:jc w:val="both"/>
      </w:pPr>
      <w:r>
        <w:rPr>
          <w:spacing w:val="-6"/>
        </w:rPr>
        <w:t>6)准确性(正确程度)和精度(有效数位数);7)优先级别、定时、频率、容量、排序</w:t>
      </w:r>
      <w:r>
        <w:rPr>
          <w:spacing w:val="9"/>
        </w:rPr>
        <w:t xml:space="preserve"> </w:t>
      </w:r>
      <w:r>
        <w:rPr>
          <w:spacing w:val="1"/>
        </w:rPr>
        <w:t>以及其他约束条件(例如数据元素是否可以被更新、业务规则是否适用);8)保密</w:t>
      </w:r>
      <w:r>
        <w:rPr>
          <w:spacing w:val="3"/>
        </w:rPr>
        <w:t xml:space="preserve"> </w:t>
      </w:r>
      <w:r>
        <w:t>性约束；9)来源(建立/发送的实体)和接受者(使用/接</w:t>
      </w:r>
      <w:r>
        <w:rPr>
          <w:spacing w:val="-1"/>
        </w:rPr>
        <w:t>收的实体)。</w:t>
      </w:r>
    </w:p>
    <w:p w14:paraId="74CE0F56">
      <w:pPr>
        <w:pStyle w:val="2"/>
        <w:spacing w:before="8" w:line="281" w:lineRule="auto"/>
        <w:ind w:right="20" w:firstLine="570"/>
        <w:jc w:val="both"/>
      </w:pPr>
      <w:r>
        <w:rPr>
          <w:rFonts w:ascii="Times New Roman" w:hAnsi="Times New Roman" w:eastAsia="Times New Roman" w:cs="Times New Roman"/>
          <w:spacing w:val="-12"/>
        </w:rPr>
        <w:t>b)</w:t>
      </w:r>
      <w:r>
        <w:rPr>
          <w:rFonts w:ascii="Times New Roman" w:hAnsi="Times New Roman" w:eastAsia="Times New Roman" w:cs="Times New Roman"/>
          <w:spacing w:val="55"/>
        </w:rPr>
        <w:t xml:space="preserve"> </w:t>
      </w:r>
      <w:r>
        <w:rPr>
          <w:spacing w:val="-12"/>
        </w:rPr>
        <w:t>数据库设计中的数据元素组合体(记录、消息、文件、数组、显示、报表等)</w:t>
      </w:r>
      <w:r>
        <w:t xml:space="preserve"> </w:t>
      </w:r>
      <w:r>
        <w:rPr>
          <w:spacing w:val="-6"/>
        </w:rPr>
        <w:t>的特征。1)名称/标识符，含项目唯一的标识符，非技术(自然语言)名称</w:t>
      </w:r>
      <w:r>
        <w:rPr>
          <w:spacing w:val="-7"/>
        </w:rPr>
        <w:t>，技术名</w:t>
      </w:r>
      <w:r>
        <w:t xml:space="preserve">  </w:t>
      </w:r>
      <w:r>
        <w:rPr>
          <w:spacing w:val="1"/>
        </w:rPr>
        <w:t>称(如在代码或数据库中的记录名或数据结构名),缩略名或同义名；2)数据元素</w:t>
      </w:r>
      <w:r>
        <w:t xml:space="preserve">  </w:t>
      </w:r>
      <w:r>
        <w:rPr>
          <w:spacing w:val="1"/>
        </w:rPr>
        <w:t>组合体中的数据元素及其结构(编号、顺序和分组);3)介质(如磁盘)以及在介质</w:t>
      </w:r>
      <w:r>
        <w:rPr>
          <w:spacing w:val="16"/>
        </w:rPr>
        <w:t xml:space="preserve"> </w:t>
      </w:r>
      <w:r>
        <w:rPr>
          <w:spacing w:val="-3"/>
        </w:rPr>
        <w:t>上数据元素/数据元素组合体的结构；4)显示和其他输出的视听特征(如颜色、布</w:t>
      </w:r>
      <w:r>
        <w:rPr>
          <w:spacing w:val="6"/>
        </w:rPr>
        <w:t xml:space="preserve">  </w:t>
      </w:r>
      <w:r>
        <w:rPr>
          <w:spacing w:val="-6"/>
        </w:rPr>
        <w:t>局、字体、图标和其他显示元素、蜂鸣音和亮</w:t>
      </w:r>
      <w:r>
        <w:rPr>
          <w:spacing w:val="-7"/>
        </w:rPr>
        <w:t>度);5)数据元素组合体之间的关系，</w:t>
      </w:r>
      <w:r>
        <w:t xml:space="preserve"> </w:t>
      </w:r>
      <w:r>
        <w:rPr>
          <w:spacing w:val="-13"/>
        </w:rPr>
        <w:t>如分类/存取特征；6)优先级、定时、频率、容量、序列及其</w:t>
      </w:r>
      <w:r>
        <w:rPr>
          <w:spacing w:val="-14"/>
        </w:rPr>
        <w:t>他约束，例如数据元素</w:t>
      </w:r>
      <w:r>
        <w:t xml:space="preserve">  </w:t>
      </w:r>
      <w:r>
        <w:rPr>
          <w:spacing w:val="-3"/>
        </w:rPr>
        <w:t>组合体是否可以被更新、业务规则是否适用；7)保密性约束；8)来源(建立/发送</w:t>
      </w:r>
      <w:r>
        <w:rPr>
          <w:spacing w:val="7"/>
        </w:rPr>
        <w:t xml:space="preserve">  </w:t>
      </w:r>
      <w:r>
        <w:rPr>
          <w:spacing w:val="2"/>
        </w:rPr>
        <w:t>的实体)和接受体(使用/接收的实体)。</w:t>
      </w:r>
    </w:p>
    <w:p w14:paraId="203A1540">
      <w:pPr>
        <w:spacing w:before="17" w:line="222" w:lineRule="auto"/>
        <w:rPr>
          <w:rFonts w:ascii="黑体" w:hAnsi="黑体" w:eastAsia="黑体" w:cs="黑体"/>
          <w:sz w:val="27"/>
          <w:szCs w:val="27"/>
        </w:rPr>
      </w:pPr>
      <w:r>
        <w:rPr>
          <w:rFonts w:ascii="Arial" w:hAnsi="Arial" w:eastAsia="Arial" w:cs="Arial"/>
          <w:b/>
          <w:bCs/>
          <w:spacing w:val="2"/>
          <w:sz w:val="27"/>
          <w:szCs w:val="27"/>
        </w:rPr>
        <w:t xml:space="preserve">5    </w:t>
      </w:r>
      <w:r>
        <w:rPr>
          <w:rFonts w:ascii="黑体" w:hAnsi="黑体" w:eastAsia="黑体" w:cs="黑体"/>
          <w:b/>
          <w:bCs/>
          <w:spacing w:val="2"/>
          <w:sz w:val="27"/>
          <w:szCs w:val="27"/>
        </w:rPr>
        <w:t>用于数据库访问或操纵的软件单元的详细设计</w:t>
      </w:r>
    </w:p>
    <w:p w14:paraId="033F0D13">
      <w:pPr>
        <w:spacing w:before="9" w:line="386" w:lineRule="exact"/>
        <w:rPr>
          <w:rFonts w:ascii="黑体" w:hAnsi="黑体" w:eastAsia="黑体" w:cs="黑体"/>
          <w:sz w:val="27"/>
          <w:szCs w:val="27"/>
        </w:rPr>
      </w:pPr>
      <w:r>
        <w:rPr>
          <w:rFonts w:ascii="黑体" w:hAnsi="黑体" w:eastAsia="黑体" w:cs="黑体"/>
          <w:spacing w:val="-2"/>
          <w:position w:val="3"/>
          <w:sz w:val="27"/>
          <w:szCs w:val="27"/>
        </w:rPr>
        <w:t>5.</w:t>
      </w:r>
      <w:r>
        <w:rPr>
          <w:rFonts w:ascii="Arial" w:hAnsi="Arial" w:eastAsia="Arial" w:cs="Arial"/>
          <w:b/>
          <w:bCs/>
          <w:spacing w:val="-2"/>
          <w:position w:val="3"/>
          <w:sz w:val="27"/>
          <w:szCs w:val="27"/>
        </w:rPr>
        <w:t>X</w:t>
      </w:r>
      <w:r>
        <w:rPr>
          <w:rFonts w:ascii="Arial" w:hAnsi="Arial" w:eastAsia="Arial" w:cs="Arial"/>
          <w:b/>
          <w:bCs/>
          <w:spacing w:val="1"/>
          <w:position w:val="3"/>
          <w:sz w:val="27"/>
          <w:szCs w:val="27"/>
        </w:rPr>
        <w:t xml:space="preserve">    </w:t>
      </w:r>
      <w:r>
        <w:rPr>
          <w:rFonts w:ascii="Arial" w:hAnsi="Arial" w:eastAsia="Arial" w:cs="Arial"/>
          <w:b/>
          <w:bCs/>
          <w:spacing w:val="-2"/>
          <w:position w:val="3"/>
          <w:sz w:val="27"/>
          <w:szCs w:val="27"/>
        </w:rPr>
        <w:t xml:space="preserve">( </w:t>
      </w:r>
      <w:r>
        <w:rPr>
          <w:rFonts w:ascii="黑体" w:hAnsi="黑体" w:eastAsia="黑体" w:cs="黑体"/>
          <w:b/>
          <w:bCs/>
          <w:spacing w:val="-2"/>
          <w:position w:val="3"/>
          <w:sz w:val="27"/>
          <w:szCs w:val="27"/>
        </w:rPr>
        <w:t>软件单元的项目唯一的标识符，或者一组软件单元的标志符)</w:t>
      </w:r>
    </w:p>
    <w:p w14:paraId="5E7CE9A5">
      <w:pPr>
        <w:pStyle w:val="2"/>
        <w:spacing w:before="124" w:line="272" w:lineRule="auto"/>
        <w:ind w:firstLine="570"/>
        <w:jc w:val="both"/>
      </w:pPr>
      <w:r>
        <w:t>本条应该通过项目唯一的标识符来标识软件单元，并且对该单元进行说明。</w:t>
      </w:r>
      <w:r>
        <w:rPr>
          <w:spacing w:val="14"/>
        </w:rPr>
        <w:t xml:space="preserve"> </w:t>
      </w:r>
      <w:r>
        <w:rPr>
          <w:spacing w:val="5"/>
        </w:rPr>
        <w:t>(若适用)这一说明应包括下列信息。本条也可以指定一组软件单元</w:t>
      </w:r>
      <w:r>
        <w:rPr>
          <w:spacing w:val="4"/>
        </w:rPr>
        <w:t>，然后再分</w:t>
      </w:r>
      <w:r>
        <w:t xml:space="preserve">  </w:t>
      </w:r>
      <w:r>
        <w:rPr>
          <w:spacing w:val="5"/>
        </w:rPr>
        <w:t>条对它们分别进行标识和说明。包含其他软件单元的软件单元，可以引用那些</w:t>
      </w:r>
      <w:r>
        <w:rPr>
          <w:spacing w:val="1"/>
        </w:rPr>
        <w:t xml:space="preserve">  </w:t>
      </w:r>
      <w:r>
        <w:rPr>
          <w:spacing w:val="-5"/>
        </w:rPr>
        <w:t>软件单元的说明，而无需在此重复。</w:t>
      </w:r>
    </w:p>
    <w:p w14:paraId="2AE26C45">
      <w:pPr>
        <w:pStyle w:val="2"/>
        <w:spacing w:line="212" w:lineRule="auto"/>
        <w:ind w:left="570"/>
      </w:pPr>
      <w:r>
        <w:rPr>
          <w:rFonts w:ascii="Times New Roman" w:hAnsi="Times New Roman" w:eastAsia="Times New Roman" w:cs="Times New Roman"/>
          <w:spacing w:val="-4"/>
        </w:rPr>
        <w:t xml:space="preserve">a)  ( </w:t>
      </w:r>
      <w:r>
        <w:rPr>
          <w:spacing w:val="-4"/>
        </w:rPr>
        <w:t>若有)单元设计决策，例如所使用的算法等，</w:t>
      </w:r>
      <w:r>
        <w:rPr>
          <w:spacing w:val="-5"/>
        </w:rPr>
        <w:t>如果此前尚未选定。</w:t>
      </w:r>
    </w:p>
    <w:p w14:paraId="57DA510A">
      <w:pPr>
        <w:pStyle w:val="2"/>
        <w:spacing w:before="100" w:line="212" w:lineRule="auto"/>
        <w:ind w:left="570"/>
      </w:pPr>
      <w:r>
        <w:rPr>
          <w:rFonts w:ascii="Times New Roman" w:hAnsi="Times New Roman" w:eastAsia="Times New Roman" w:cs="Times New Roman"/>
          <w:spacing w:val="-1"/>
        </w:rPr>
        <w:t xml:space="preserve">b)  </w:t>
      </w:r>
      <w:r>
        <w:rPr>
          <w:spacing w:val="-1"/>
        </w:rPr>
        <w:t>该软件单元设计中的任何约束、限定或非常规特征。</w:t>
      </w:r>
    </w:p>
    <w:p w14:paraId="2FF62B83">
      <w:pPr>
        <w:pStyle w:val="2"/>
        <w:spacing w:before="100" w:line="212" w:lineRule="auto"/>
        <w:ind w:left="570"/>
      </w:pPr>
      <w:r>
        <w:rPr>
          <w:rFonts w:ascii="Times New Roman" w:hAnsi="Times New Roman" w:eastAsia="Times New Roman" w:cs="Times New Roman"/>
          <w:spacing w:val="7"/>
        </w:rPr>
        <w:t>c)</w:t>
      </w:r>
      <w:r>
        <w:rPr>
          <w:rFonts w:ascii="Times New Roman" w:hAnsi="Times New Roman" w:eastAsia="Times New Roman" w:cs="Times New Roman"/>
          <w:spacing w:val="62"/>
        </w:rPr>
        <w:t xml:space="preserve"> </w:t>
      </w:r>
      <w:r>
        <w:rPr>
          <w:spacing w:val="7"/>
        </w:rPr>
        <w:t>所采用的不同于为该</w:t>
      </w:r>
      <w:r>
        <w:rPr>
          <w:rFonts w:ascii="Times New Roman" w:hAnsi="Times New Roman" w:eastAsia="Times New Roman" w:cs="Times New Roman"/>
        </w:rPr>
        <w:t>CSCI</w:t>
      </w:r>
      <w:r>
        <w:rPr>
          <w:rFonts w:ascii="Times New Roman" w:hAnsi="Times New Roman" w:eastAsia="Times New Roman" w:cs="Times New Roman"/>
          <w:spacing w:val="22"/>
          <w:w w:val="101"/>
        </w:rPr>
        <w:t xml:space="preserve"> </w:t>
      </w:r>
      <w:r>
        <w:rPr>
          <w:spacing w:val="7"/>
        </w:rPr>
        <w:t>所指定语言的编程语</w:t>
      </w:r>
      <w:r>
        <w:rPr>
          <w:spacing w:val="6"/>
        </w:rPr>
        <w:t>言及使用它的理由。</w:t>
      </w:r>
    </w:p>
    <w:p w14:paraId="6C8197D5">
      <w:pPr>
        <w:pStyle w:val="2"/>
        <w:spacing w:before="113" w:line="265" w:lineRule="auto"/>
        <w:ind w:right="102" w:firstLine="570"/>
      </w:pPr>
      <w:r>
        <w:rPr>
          <w:rFonts w:ascii="Times New Roman" w:hAnsi="Times New Roman" w:eastAsia="Times New Roman" w:cs="Times New Roman"/>
          <w:spacing w:val="15"/>
        </w:rPr>
        <w:t xml:space="preserve">d)  </w:t>
      </w:r>
      <w:r>
        <w:rPr>
          <w:spacing w:val="15"/>
        </w:rPr>
        <w:t>如果该软件单元包含过程性命令或是</w:t>
      </w:r>
      <w:r>
        <w:rPr>
          <w:spacing w:val="14"/>
        </w:rPr>
        <w:t>由其组成(例如数据库管理系统</w:t>
      </w:r>
      <w:r>
        <w:t xml:space="preserve"> </w:t>
      </w:r>
      <w:r>
        <w:rPr>
          <w:spacing w:val="27"/>
        </w:rPr>
        <w:t>(</w:t>
      </w:r>
      <w:r>
        <w:rPr>
          <w:rFonts w:ascii="Times New Roman" w:hAnsi="Times New Roman" w:eastAsia="Times New Roman" w:cs="Times New Roman"/>
        </w:rPr>
        <w:t>DBMS</w:t>
      </w:r>
      <w:r>
        <w:rPr>
          <w:rFonts w:ascii="Times New Roman" w:hAnsi="Times New Roman" w:eastAsia="Times New Roman" w:cs="Times New Roman"/>
          <w:spacing w:val="27"/>
        </w:rPr>
        <w:t>)</w:t>
      </w:r>
      <w:r>
        <w:rPr>
          <w:spacing w:val="27"/>
        </w:rPr>
        <w:t>中用于定义表和报表的菜单选择，用于数据库访问和操纵</w:t>
      </w:r>
      <w:r>
        <w:rPr>
          <w:spacing w:val="26"/>
        </w:rPr>
        <w:t>的在线</w:t>
      </w:r>
      <w:r>
        <w:t xml:space="preserve"> </w:t>
      </w:r>
      <w:r>
        <w:rPr>
          <w:rFonts w:ascii="Times New Roman" w:hAnsi="Times New Roman" w:eastAsia="Times New Roman" w:cs="Times New Roman"/>
          <w:spacing w:val="-3"/>
        </w:rPr>
        <w:t xml:space="preserve">DBMS </w:t>
      </w:r>
      <w:r>
        <w:rPr>
          <w:spacing w:val="-3"/>
        </w:rPr>
        <w:t>查询，对用于代码自动生成的图形用户接口(</w:t>
      </w:r>
      <w:r>
        <w:rPr>
          <w:rFonts w:ascii="Times New Roman" w:hAnsi="Times New Roman" w:eastAsia="Times New Roman" w:cs="Times New Roman"/>
          <w:spacing w:val="-3"/>
        </w:rPr>
        <w:t xml:space="preserve">GUI)  </w:t>
      </w:r>
      <w:r>
        <w:rPr>
          <w:spacing w:val="-3"/>
        </w:rPr>
        <w:t>构造器的输入，</w:t>
      </w:r>
      <w:r>
        <w:rPr>
          <w:spacing w:val="-4"/>
        </w:rPr>
        <w:t>给操作</w:t>
      </w:r>
      <w:r>
        <w:t xml:space="preserve"> </w:t>
      </w:r>
      <w:r>
        <w:rPr>
          <w:spacing w:val="10"/>
        </w:rPr>
        <w:t>系统的命令或</w:t>
      </w:r>
      <w:r>
        <w:rPr>
          <w:rFonts w:ascii="Times New Roman" w:hAnsi="Times New Roman" w:eastAsia="Times New Roman" w:cs="Times New Roman"/>
        </w:rPr>
        <w:t>Shell</w:t>
      </w:r>
      <w:r>
        <w:rPr>
          <w:rFonts w:ascii="Times New Roman" w:hAnsi="Times New Roman" w:eastAsia="Times New Roman" w:cs="Times New Roman"/>
          <w:spacing w:val="46"/>
        </w:rPr>
        <w:t xml:space="preserve"> </w:t>
      </w:r>
      <w:r>
        <w:rPr>
          <w:spacing w:val="10"/>
        </w:rPr>
        <w:t>脚本),应列出这些过程性命令，并引用</w:t>
      </w:r>
      <w:r>
        <w:rPr>
          <w:spacing w:val="9"/>
        </w:rPr>
        <w:t>解释它们的用户手</w:t>
      </w:r>
      <w:r>
        <w:t xml:space="preserve"> 册或其他文档。</w:t>
      </w:r>
    </w:p>
    <w:p w14:paraId="2B7A38A1">
      <w:pPr>
        <w:pStyle w:val="2"/>
        <w:spacing w:before="108" w:line="270" w:lineRule="auto"/>
        <w:ind w:right="111" w:firstLine="570"/>
      </w:pPr>
      <w:r>
        <w:rPr>
          <w:rFonts w:ascii="Times New Roman" w:hAnsi="Times New Roman" w:eastAsia="Times New Roman" w:cs="Times New Roman"/>
          <w:spacing w:val="-5"/>
        </w:rPr>
        <w:t xml:space="preserve">e)  </w:t>
      </w:r>
      <w:r>
        <w:rPr>
          <w:spacing w:val="-5"/>
        </w:rPr>
        <w:t>如果该软件单元包含、接收或输出数据，(若适用)应对它的输入、输出以</w:t>
      </w:r>
      <w:r>
        <w:rPr>
          <w:spacing w:val="13"/>
        </w:rPr>
        <w:t xml:space="preserve"> </w:t>
      </w:r>
      <w:r>
        <w:rPr>
          <w:spacing w:val="5"/>
        </w:rPr>
        <w:t>及其他数据元素和数据元素集合进行说明。该软件单元的局部数据应该单独描</w:t>
      </w:r>
      <w:r>
        <w:rPr>
          <w:spacing w:val="3"/>
        </w:rPr>
        <w:t xml:space="preserve"> </w:t>
      </w:r>
      <w:r>
        <w:rPr>
          <w:spacing w:val="-3"/>
        </w:rPr>
        <w:t>述，不应该和输入或输出数据混在一起。接口特性可以在此提供，也可以引用接</w:t>
      </w:r>
      <w:r>
        <w:rPr>
          <w:spacing w:val="4"/>
        </w:rPr>
        <w:t xml:space="preserve"> </w:t>
      </w:r>
      <w:r>
        <w:rPr>
          <w:spacing w:val="9"/>
        </w:rPr>
        <w:t>口设计说明(</w:t>
      </w:r>
      <w:r>
        <w:rPr>
          <w:spacing w:val="-72"/>
        </w:rPr>
        <w:t xml:space="preserve"> </w:t>
      </w:r>
      <w:r>
        <w:rPr>
          <w:rFonts w:ascii="Times New Roman" w:hAnsi="Times New Roman" w:eastAsia="Times New Roman" w:cs="Times New Roman"/>
        </w:rPr>
        <w:t>IDD</w:t>
      </w:r>
      <w:r>
        <w:rPr>
          <w:rFonts w:ascii="Times New Roman" w:hAnsi="Times New Roman" w:eastAsia="Times New Roman" w:cs="Times New Roman"/>
          <w:spacing w:val="9"/>
        </w:rPr>
        <w:t>)</w:t>
      </w:r>
      <w:r>
        <w:rPr>
          <w:rFonts w:ascii="Times New Roman" w:hAnsi="Times New Roman" w:eastAsia="Times New Roman" w:cs="Times New Roman"/>
          <w:spacing w:val="-30"/>
        </w:rPr>
        <w:t xml:space="preserve"> </w:t>
      </w:r>
      <w:r>
        <w:rPr>
          <w:spacing w:val="9"/>
        </w:rPr>
        <w:t>。如果一指定的接口实体本</w:t>
      </w:r>
      <w:r>
        <w:rPr>
          <w:rFonts w:ascii="Times New Roman" w:hAnsi="Times New Roman" w:eastAsia="Times New Roman" w:cs="Times New Roman"/>
        </w:rPr>
        <w:t>DBDD</w:t>
      </w:r>
      <w:r>
        <w:rPr>
          <w:rFonts w:ascii="Times New Roman" w:hAnsi="Times New Roman" w:eastAsia="Times New Roman" w:cs="Times New Roman"/>
          <w:spacing w:val="9"/>
        </w:rPr>
        <w:t xml:space="preserve"> </w:t>
      </w:r>
      <w:r>
        <w:rPr>
          <w:spacing w:val="9"/>
        </w:rPr>
        <w:t>没有覆</w:t>
      </w:r>
      <w:r>
        <w:rPr>
          <w:spacing w:val="8"/>
        </w:rPr>
        <w:t>盖(例如一个外部</w:t>
      </w:r>
      <w:r>
        <w:t xml:space="preserve"> </w:t>
      </w:r>
      <w:r>
        <w:rPr>
          <w:spacing w:val="5"/>
        </w:rPr>
        <w:t>系统),但是其接口特性在本</w:t>
      </w:r>
      <w:r>
        <w:rPr>
          <w:rFonts w:ascii="Times New Roman" w:hAnsi="Times New Roman" w:eastAsia="Times New Roman" w:cs="Times New Roman"/>
        </w:rPr>
        <w:t>DBDD</w:t>
      </w:r>
      <w:r>
        <w:rPr>
          <w:rFonts w:ascii="Times New Roman" w:hAnsi="Times New Roman" w:eastAsia="Times New Roman" w:cs="Times New Roman"/>
          <w:spacing w:val="-6"/>
        </w:rPr>
        <w:t xml:space="preserve"> </w:t>
      </w:r>
      <w:r>
        <w:rPr>
          <w:spacing w:val="5"/>
        </w:rPr>
        <w:t>描述软件单元时需要提到，则这些特性应作</w:t>
      </w:r>
    </w:p>
    <w:p w14:paraId="64042B45">
      <w:pPr>
        <w:spacing w:line="270" w:lineRule="auto"/>
        <w:sectPr>
          <w:footerReference r:id="rId239" w:type="default"/>
          <w:pgSz w:w="11910" w:h="17130"/>
          <w:pgMar w:top="1456" w:right="904" w:bottom="1504" w:left="1509" w:header="0" w:footer="1288" w:gutter="0"/>
          <w:cols w:space="720" w:num="1"/>
        </w:sectPr>
      </w:pPr>
    </w:p>
    <w:p w14:paraId="385672B5">
      <w:pPr>
        <w:pStyle w:val="2"/>
        <w:spacing w:before="76" w:line="279" w:lineRule="auto"/>
        <w:jc w:val="both"/>
      </w:pPr>
      <w:r>
        <w:rPr>
          <w:spacing w:val="-10"/>
        </w:rPr>
        <w:t>为假设进行描述、或以“当[未提及实体]这样做时，[软件单元]将……”的形式进</w:t>
      </w:r>
      <w:r>
        <w:rPr>
          <w:spacing w:val="4"/>
        </w:rPr>
        <w:t xml:space="preserve">  </w:t>
      </w:r>
      <w:r>
        <w:rPr>
          <w:spacing w:val="-3"/>
        </w:rPr>
        <w:t>行描述。本条可引用其他文档(例如数据字典、协议标准、用户接口标准)代替本</w:t>
      </w:r>
      <w:r>
        <w:rPr>
          <w:spacing w:val="4"/>
        </w:rPr>
        <w:t xml:space="preserve">  </w:t>
      </w:r>
      <w:r>
        <w:rPr>
          <w:spacing w:val="5"/>
        </w:rPr>
        <w:t>条的信息描述。(若适用)设计说明应包括如下内容，以适合于所提</w:t>
      </w:r>
      <w:r>
        <w:rPr>
          <w:spacing w:val="4"/>
        </w:rPr>
        <w:t>供信息的任</w:t>
      </w:r>
      <w:r>
        <w:t xml:space="preserve">  </w:t>
      </w:r>
      <w:r>
        <w:rPr>
          <w:spacing w:val="1"/>
        </w:rPr>
        <w:t>何顺序给出，并应从接口实体角度指出这些特性之间的区别(例如对数据元素的</w:t>
      </w:r>
      <w:r>
        <w:rPr>
          <w:spacing w:val="9"/>
        </w:rPr>
        <w:t xml:space="preserve"> </w:t>
      </w:r>
      <w:r>
        <w:rPr>
          <w:spacing w:val="5"/>
        </w:rPr>
        <w:t>大小、频率或其他特性的不同期望值)。1)接</w:t>
      </w:r>
      <w:r>
        <w:rPr>
          <w:spacing w:val="4"/>
        </w:rPr>
        <w:t>口的项目唯一的标识符；2)(若适</w:t>
      </w:r>
      <w:r>
        <w:t xml:space="preserve">  </w:t>
      </w:r>
      <w:r>
        <w:rPr>
          <w:spacing w:val="-2"/>
        </w:rPr>
        <w:t>用)用名称、编号、修订以及文档引用来标识接口实体(软件单元、配置项</w:t>
      </w:r>
      <w:r>
        <w:rPr>
          <w:spacing w:val="-3"/>
        </w:rPr>
        <w:t>、用户</w:t>
      </w:r>
      <w:r>
        <w:t xml:space="preserve"> </w:t>
      </w:r>
      <w:r>
        <w:rPr>
          <w:spacing w:val="4"/>
        </w:rPr>
        <w:t>等);3)接口实体分配给接口的优先级；4)要实现的接口类型(如实时数据传输、</w:t>
      </w:r>
      <w:r>
        <w:rPr>
          <w:spacing w:val="6"/>
        </w:rPr>
        <w:t xml:space="preserve"> </w:t>
      </w:r>
      <w:r>
        <w:rPr>
          <w:spacing w:val="-10"/>
        </w:rPr>
        <w:t>数据的存储和检索等);5)接口实体将提供、储存、发送、访问、接收的各个数据元</w:t>
      </w:r>
      <w:r>
        <w:rPr>
          <w:spacing w:val="5"/>
        </w:rPr>
        <w:t xml:space="preserve">  </w:t>
      </w:r>
      <w:r>
        <w:rPr>
          <w:spacing w:val="9"/>
        </w:rPr>
        <w:t>素的特征(本文档中的4.</w:t>
      </w:r>
      <w:r>
        <w:rPr>
          <w:rFonts w:ascii="Times New Roman" w:hAnsi="Times New Roman" w:eastAsia="Times New Roman" w:cs="Times New Roman"/>
          <w:spacing w:val="9"/>
        </w:rPr>
        <w:t>X.a</w:t>
      </w:r>
      <w:r>
        <w:rPr>
          <w:rFonts w:ascii="Times New Roman" w:hAnsi="Times New Roman" w:eastAsia="Times New Roman" w:cs="Times New Roman"/>
          <w:spacing w:val="2"/>
        </w:rPr>
        <w:t xml:space="preserve">  </w:t>
      </w:r>
      <w:r>
        <w:rPr>
          <w:spacing w:val="9"/>
        </w:rPr>
        <w:t>条标识出了在本说明中需要</w:t>
      </w:r>
      <w:r>
        <w:rPr>
          <w:spacing w:val="8"/>
        </w:rPr>
        <w:t>包含的内容);6)接口</w:t>
      </w:r>
      <w:r>
        <w:t xml:space="preserve">  </w:t>
      </w:r>
      <w:r>
        <w:rPr>
          <w:spacing w:val="-17"/>
        </w:rPr>
        <w:t>实体将提供、存储、发送、访问、接收的数据元素组合体(记录、消息、</w:t>
      </w:r>
      <w:r>
        <w:rPr>
          <w:spacing w:val="-18"/>
        </w:rPr>
        <w:t>文件、数组、</w:t>
      </w:r>
      <w:r>
        <w:t xml:space="preserve"> </w:t>
      </w:r>
      <w:r>
        <w:rPr>
          <w:spacing w:val="11"/>
        </w:rPr>
        <w:t>显示、报表等)的特征(本文档中的4.</w:t>
      </w:r>
      <w:r>
        <w:rPr>
          <w:rFonts w:ascii="Times New Roman" w:hAnsi="Times New Roman" w:eastAsia="Times New Roman" w:cs="Times New Roman"/>
          <w:spacing w:val="11"/>
        </w:rPr>
        <w:t>X.b</w:t>
      </w:r>
      <w:r>
        <w:rPr>
          <w:rFonts w:ascii="Times New Roman" w:hAnsi="Times New Roman" w:eastAsia="Times New Roman" w:cs="Times New Roman"/>
          <w:spacing w:val="38"/>
        </w:rPr>
        <w:t xml:space="preserve">  </w:t>
      </w:r>
      <w:r>
        <w:rPr>
          <w:spacing w:val="11"/>
        </w:rPr>
        <w:t>条，标识了本说明中需要包含的内</w:t>
      </w:r>
      <w:r>
        <w:rPr>
          <w:spacing w:val="1"/>
        </w:rPr>
        <w:t xml:space="preserve"> </w:t>
      </w:r>
      <w:r>
        <w:rPr>
          <w:spacing w:val="-3"/>
        </w:rPr>
        <w:t>容);7)接口实体将用于该接口的通信方法的特征，例如项目唯一的标识符；通信</w:t>
      </w:r>
      <w:r>
        <w:rPr>
          <w:spacing w:val="9"/>
        </w:rPr>
        <w:t xml:space="preserve">  </w:t>
      </w:r>
      <w:r>
        <w:rPr>
          <w:spacing w:val="-3"/>
        </w:rPr>
        <w:t>链接/带宽/频率/介质和它们的特征；消息格式；流控制(如序列编号和缓冲区分</w:t>
      </w:r>
      <w:r>
        <w:rPr>
          <w:spacing w:val="5"/>
        </w:rPr>
        <w:t xml:space="preserve">  </w:t>
      </w:r>
      <w:r>
        <w:rPr>
          <w:spacing w:val="-17"/>
        </w:rPr>
        <w:t>配);数据传输率、周期的或非周期的、以及传送间隔；路由、寻址、命名约定；传输</w:t>
      </w:r>
      <w:r>
        <w:rPr>
          <w:spacing w:val="2"/>
        </w:rPr>
        <w:t xml:space="preserve">  </w:t>
      </w:r>
      <w:r>
        <w:rPr>
          <w:spacing w:val="-10"/>
        </w:rPr>
        <w:t>服务，包括优先级与等级；安全性/保密性考虑，如加密</w:t>
      </w:r>
      <w:r>
        <w:rPr>
          <w:spacing w:val="-11"/>
        </w:rPr>
        <w:t>、用户鉴别、隔离和审核；</w:t>
      </w:r>
    </w:p>
    <w:p w14:paraId="4E68D24A">
      <w:pPr>
        <w:pStyle w:val="2"/>
        <w:spacing w:before="27" w:line="279" w:lineRule="auto"/>
        <w:ind w:right="118"/>
        <w:jc w:val="both"/>
      </w:pPr>
      <w:r>
        <w:rPr>
          <w:spacing w:val="5"/>
        </w:rPr>
        <w:t>8)接口实体将用于该接口的协议的特征，如项目唯一的标识符；协议的优先级</w:t>
      </w:r>
      <w:r>
        <w:t xml:space="preserve"> </w:t>
      </w:r>
      <w:r>
        <w:rPr>
          <w:spacing w:val="-7"/>
        </w:rPr>
        <w:t>别/层次；打包，包括分段与重组、路由及寻址；合法性检查、错误控制和恢复过</w:t>
      </w:r>
      <w:r>
        <w:rPr>
          <w:spacing w:val="16"/>
        </w:rPr>
        <w:t xml:space="preserve"> </w:t>
      </w:r>
      <w:r>
        <w:rPr>
          <w:spacing w:val="-17"/>
        </w:rPr>
        <w:t>程；同步，包括连接的建立、保持和终止；状态、标识及任何其他报告特征；9)其他</w:t>
      </w:r>
      <w:r>
        <w:rPr>
          <w:spacing w:val="4"/>
        </w:rPr>
        <w:t xml:space="preserve"> </w:t>
      </w:r>
      <w:r>
        <w:rPr>
          <w:spacing w:val="1"/>
        </w:rPr>
        <w:t>特性，例如接口实体的物理兼容性(尺寸、公差、负荷、电压和接插件的兼容性</w:t>
      </w:r>
      <w:r>
        <w:t xml:space="preserve"> </w:t>
      </w:r>
      <w:r>
        <w:rPr>
          <w:spacing w:val="-4"/>
        </w:rPr>
        <w:t>等)。</w:t>
      </w:r>
    </w:p>
    <w:p w14:paraId="060AB9F1">
      <w:pPr>
        <w:pStyle w:val="2"/>
        <w:spacing w:before="3" w:line="280" w:lineRule="auto"/>
        <w:ind w:firstLine="550"/>
        <w:jc w:val="both"/>
      </w:pPr>
      <w:r>
        <w:rPr>
          <w:rFonts w:ascii="Times New Roman" w:hAnsi="Times New Roman" w:eastAsia="Times New Roman" w:cs="Times New Roman"/>
          <w:spacing w:val="4"/>
        </w:rPr>
        <w:t xml:space="preserve">f)  </w:t>
      </w:r>
      <w:r>
        <w:rPr>
          <w:spacing w:val="4"/>
        </w:rPr>
        <w:t>如果软件单元包含逻辑，给出其要使用的逻辑，</w:t>
      </w:r>
      <w:r>
        <w:rPr>
          <w:spacing w:val="3"/>
        </w:rPr>
        <w:t>(若适用)应包括1)该软</w:t>
      </w:r>
      <w:r>
        <w:t xml:space="preserve"> </w:t>
      </w:r>
      <w:r>
        <w:rPr>
          <w:spacing w:val="-2"/>
        </w:rPr>
        <w:t>件单元执行启动时，其内部起作用的条件；2)该软件单元将控</w:t>
      </w:r>
      <w:r>
        <w:rPr>
          <w:spacing w:val="-3"/>
        </w:rPr>
        <w:t>制传递给其他软件</w:t>
      </w:r>
      <w:r>
        <w:t xml:space="preserve"> </w:t>
      </w:r>
      <w:r>
        <w:rPr>
          <w:spacing w:val="-3"/>
        </w:rPr>
        <w:t>单元的条件；3)对每个输入的响应以及响应时间，包括数据转换、重命名以及数</w:t>
      </w:r>
      <w:r>
        <w:rPr>
          <w:spacing w:val="4"/>
        </w:rPr>
        <w:t xml:space="preserve">  </w:t>
      </w:r>
      <w:r>
        <w:rPr>
          <w:spacing w:val="-2"/>
        </w:rPr>
        <w:t>据传输操作；4)软件单元运行期间的操作</w:t>
      </w:r>
      <w:r>
        <w:rPr>
          <w:spacing w:val="-3"/>
        </w:rPr>
        <w:t>顺序和动态控制序列，包括：顺序控制</w:t>
      </w:r>
      <w:r>
        <w:t xml:space="preserve"> </w:t>
      </w:r>
      <w:r>
        <w:rPr>
          <w:spacing w:val="-10"/>
        </w:rPr>
        <w:t>的方法；该方法的逻辑和输入条件，例如时序变化、优先级</w:t>
      </w:r>
      <w:r>
        <w:rPr>
          <w:spacing w:val="-11"/>
        </w:rPr>
        <w:t>分配等；进出内存的数</w:t>
      </w:r>
      <w:r>
        <w:t xml:space="preserve">  </w:t>
      </w:r>
      <w:r>
        <w:rPr>
          <w:spacing w:val="1"/>
        </w:rPr>
        <w:t>据传输；对离散输入信号的感知，以及该软件单元内</w:t>
      </w:r>
      <w:r>
        <w:t>中断操作之间的时序关系；</w:t>
      </w:r>
    </w:p>
    <w:p w14:paraId="1CF9BBC3">
      <w:pPr>
        <w:pStyle w:val="2"/>
        <w:spacing w:line="219" w:lineRule="auto"/>
      </w:pPr>
      <w:r>
        <w:rPr>
          <w:spacing w:val="1"/>
        </w:rPr>
        <w:t>5)异常和错误处理。</w:t>
      </w:r>
    </w:p>
    <w:p w14:paraId="56F468C0">
      <w:pPr>
        <w:spacing w:before="84" w:line="222" w:lineRule="auto"/>
        <w:outlineLvl w:val="3"/>
        <w:rPr>
          <w:rFonts w:ascii="黑体" w:hAnsi="黑体" w:eastAsia="黑体" w:cs="黑体"/>
          <w:sz w:val="27"/>
          <w:szCs w:val="27"/>
        </w:rPr>
      </w:pPr>
      <w:r>
        <w:rPr>
          <w:rFonts w:ascii="Arial" w:hAnsi="Arial" w:eastAsia="Arial" w:cs="Arial"/>
          <w:b/>
          <w:bCs/>
          <w:spacing w:val="-1"/>
          <w:sz w:val="27"/>
          <w:szCs w:val="27"/>
        </w:rPr>
        <w:t>6</w:t>
      </w:r>
      <w:r>
        <w:rPr>
          <w:rFonts w:ascii="Arial" w:hAnsi="Arial" w:eastAsia="Arial" w:cs="Arial"/>
          <w:b/>
          <w:bCs/>
          <w:spacing w:val="21"/>
          <w:w w:val="101"/>
          <w:sz w:val="27"/>
          <w:szCs w:val="27"/>
        </w:rPr>
        <w:t xml:space="preserve">   </w:t>
      </w:r>
      <w:r>
        <w:rPr>
          <w:rFonts w:ascii="黑体" w:hAnsi="黑体" w:eastAsia="黑体" w:cs="黑体"/>
          <w:b/>
          <w:bCs/>
          <w:spacing w:val="-1"/>
          <w:sz w:val="27"/>
          <w:szCs w:val="27"/>
        </w:rPr>
        <w:t>需求可追踪性</w:t>
      </w:r>
    </w:p>
    <w:p w14:paraId="0BFBD334">
      <w:pPr>
        <w:pStyle w:val="2"/>
        <w:spacing w:before="79" w:line="219" w:lineRule="auto"/>
        <w:ind w:left="550"/>
      </w:pPr>
      <w:r>
        <w:rPr>
          <w:spacing w:val="-1"/>
        </w:rPr>
        <w:t>本章应描述：</w:t>
      </w:r>
    </w:p>
    <w:p w14:paraId="20F8E314">
      <w:pPr>
        <w:pStyle w:val="2"/>
        <w:spacing w:before="90" w:line="254" w:lineRule="auto"/>
        <w:ind w:right="98" w:firstLine="550"/>
      </w:pPr>
      <w:r>
        <w:rPr>
          <w:rFonts w:ascii="Times New Roman" w:hAnsi="Times New Roman" w:eastAsia="Times New Roman" w:cs="Times New Roman"/>
          <w:spacing w:val="2"/>
        </w:rPr>
        <w:t>a)</w:t>
      </w:r>
      <w:r>
        <w:rPr>
          <w:rFonts w:ascii="Times New Roman" w:hAnsi="Times New Roman" w:eastAsia="Times New Roman" w:cs="Times New Roman"/>
          <w:spacing w:val="63"/>
        </w:rPr>
        <w:t xml:space="preserve"> </w:t>
      </w:r>
      <w:r>
        <w:rPr>
          <w:spacing w:val="2"/>
        </w:rPr>
        <w:t>从本</w:t>
      </w:r>
      <w:r>
        <w:rPr>
          <w:spacing w:val="-78"/>
        </w:rPr>
        <w:t xml:space="preserve"> </w:t>
      </w:r>
      <w:r>
        <w:rPr>
          <w:rFonts w:ascii="Times New Roman" w:hAnsi="Times New Roman" w:eastAsia="Times New Roman" w:cs="Times New Roman"/>
        </w:rPr>
        <w:t>DBDD</w:t>
      </w:r>
      <w:r>
        <w:rPr>
          <w:rFonts w:ascii="Times New Roman" w:hAnsi="Times New Roman" w:eastAsia="Times New Roman" w:cs="Times New Roman"/>
          <w:spacing w:val="-17"/>
        </w:rPr>
        <w:t xml:space="preserve"> </w:t>
      </w:r>
      <w:r>
        <w:rPr>
          <w:spacing w:val="2"/>
        </w:rPr>
        <w:t>所涵盖的每个数据库或其他软件单元，到它</w:t>
      </w:r>
      <w:r>
        <w:rPr>
          <w:spacing w:val="1"/>
        </w:rPr>
        <w:t>所处理的系统需</w:t>
      </w:r>
      <w:r>
        <w:t xml:space="preserve"> </w:t>
      </w:r>
      <w:r>
        <w:rPr>
          <w:spacing w:val="7"/>
        </w:rPr>
        <w:t>求或</w:t>
      </w:r>
      <w:r>
        <w:rPr>
          <w:rFonts w:ascii="Times New Roman" w:hAnsi="Times New Roman" w:eastAsia="Times New Roman" w:cs="Times New Roman"/>
        </w:rPr>
        <w:t>CSCI</w:t>
      </w:r>
      <w:r>
        <w:rPr>
          <w:rFonts w:ascii="Times New Roman" w:hAnsi="Times New Roman" w:eastAsia="Times New Roman" w:cs="Times New Roman"/>
          <w:spacing w:val="26"/>
        </w:rPr>
        <w:t xml:space="preserve"> </w:t>
      </w:r>
      <w:r>
        <w:rPr>
          <w:spacing w:val="7"/>
        </w:rPr>
        <w:t>需求的可追踪性。</w:t>
      </w:r>
    </w:p>
    <w:p w14:paraId="4606461F">
      <w:pPr>
        <w:pStyle w:val="2"/>
        <w:spacing w:before="78" w:line="260" w:lineRule="auto"/>
        <w:ind w:right="122" w:firstLine="550"/>
      </w:pPr>
      <w:r>
        <w:rPr>
          <w:rFonts w:ascii="Times New Roman" w:hAnsi="Times New Roman" w:eastAsia="Times New Roman" w:cs="Times New Roman"/>
          <w:spacing w:val="18"/>
        </w:rPr>
        <w:t>b)</w:t>
      </w:r>
      <w:r>
        <w:rPr>
          <w:rFonts w:ascii="Times New Roman" w:hAnsi="Times New Roman" w:eastAsia="Times New Roman" w:cs="Times New Roman"/>
          <w:spacing w:val="77"/>
        </w:rPr>
        <w:t xml:space="preserve"> </w:t>
      </w:r>
      <w:r>
        <w:rPr>
          <w:spacing w:val="18"/>
        </w:rPr>
        <w:t>从已分配给本</w:t>
      </w:r>
      <w:r>
        <w:rPr>
          <w:spacing w:val="-78"/>
        </w:rPr>
        <w:t xml:space="preserve"> </w:t>
      </w:r>
      <w:r>
        <w:rPr>
          <w:rFonts w:ascii="Times New Roman" w:hAnsi="Times New Roman" w:eastAsia="Times New Roman" w:cs="Times New Roman"/>
        </w:rPr>
        <w:t>DBDD</w:t>
      </w:r>
      <w:r>
        <w:rPr>
          <w:rFonts w:ascii="Times New Roman" w:hAnsi="Times New Roman" w:eastAsia="Times New Roman" w:cs="Times New Roman"/>
          <w:spacing w:val="18"/>
        </w:rPr>
        <w:t xml:space="preserve"> </w:t>
      </w:r>
      <w:r>
        <w:rPr>
          <w:spacing w:val="18"/>
        </w:rPr>
        <w:t>所涵盖的数据库或其他软件单元的每个系统或</w:t>
      </w:r>
      <w:r>
        <w:t xml:space="preserve"> </w:t>
      </w:r>
      <w:r>
        <w:rPr>
          <w:rFonts w:ascii="Times New Roman" w:hAnsi="Times New Roman" w:eastAsia="Times New Roman" w:cs="Times New Roman"/>
          <w:spacing w:val="-1"/>
        </w:rPr>
        <w:t xml:space="preserve">CSCI </w:t>
      </w:r>
      <w:r>
        <w:rPr>
          <w:spacing w:val="-1"/>
        </w:rPr>
        <w:t>需求，到处理该需求的数据库或其他软件单元的可追踪性。</w:t>
      </w:r>
    </w:p>
    <w:p w14:paraId="024B6943">
      <w:pPr>
        <w:spacing w:line="260" w:lineRule="auto"/>
        <w:sectPr>
          <w:footerReference r:id="rId240" w:type="default"/>
          <w:pgSz w:w="11910" w:h="17130"/>
          <w:pgMar w:top="1456" w:right="1345" w:bottom="1600" w:left="1090" w:header="0" w:footer="1402" w:gutter="0"/>
          <w:cols w:space="720" w:num="1"/>
        </w:sectPr>
      </w:pPr>
    </w:p>
    <w:p w14:paraId="096C0549">
      <w:pPr>
        <w:spacing w:before="172" w:line="222" w:lineRule="auto"/>
        <w:rPr>
          <w:rFonts w:ascii="黑体" w:hAnsi="黑体" w:eastAsia="黑体" w:cs="黑体"/>
          <w:sz w:val="25"/>
          <w:szCs w:val="25"/>
        </w:rPr>
      </w:pPr>
      <w:r>
        <w:rPr>
          <w:rFonts w:ascii="黑体" w:hAnsi="黑体" w:eastAsia="黑体" w:cs="黑体"/>
          <w:spacing w:val="9"/>
          <w:sz w:val="25"/>
          <w:szCs w:val="25"/>
        </w:rPr>
        <w:t>7</w:t>
      </w:r>
      <w:r>
        <w:rPr>
          <w:rFonts w:ascii="黑体" w:hAnsi="黑体" w:eastAsia="黑体" w:cs="黑体"/>
          <w:spacing w:val="23"/>
          <w:sz w:val="25"/>
          <w:szCs w:val="25"/>
        </w:rPr>
        <w:t xml:space="preserve">  </w:t>
      </w:r>
      <w:r>
        <w:rPr>
          <w:rFonts w:ascii="黑体" w:hAnsi="黑体" w:eastAsia="黑体" w:cs="黑体"/>
          <w:spacing w:val="9"/>
          <w:sz w:val="25"/>
          <w:szCs w:val="25"/>
        </w:rPr>
        <w:t>注释</w:t>
      </w:r>
    </w:p>
    <w:p w14:paraId="19AD69B5">
      <w:pPr>
        <w:pStyle w:val="2"/>
        <w:spacing w:before="80" w:line="219" w:lineRule="auto"/>
        <w:ind w:left="570"/>
      </w:pPr>
      <w:r>
        <w:rPr>
          <w:spacing w:val="-4"/>
        </w:rPr>
        <w:t>本章应包括有助于了解文档的所有信息(例如背景、术语、缩略语或公式)。</w:t>
      </w:r>
    </w:p>
    <w:p w14:paraId="62C53A08">
      <w:pPr>
        <w:spacing w:line="321" w:lineRule="auto"/>
        <w:rPr>
          <w:rFonts w:ascii="Arial"/>
          <w:sz w:val="21"/>
        </w:rPr>
      </w:pPr>
    </w:p>
    <w:p w14:paraId="2E386CDA">
      <w:pPr>
        <w:pStyle w:val="2"/>
        <w:spacing w:before="117" w:line="219" w:lineRule="auto"/>
        <w:ind w:left="3050"/>
        <w:rPr>
          <w:sz w:val="36"/>
          <w:szCs w:val="36"/>
        </w:rPr>
      </w:pPr>
      <w:r>
        <w:rPr>
          <w:spacing w:val="-1"/>
          <w:sz w:val="36"/>
          <w:szCs w:val="36"/>
        </w:rPr>
        <w:t>2.16</w:t>
      </w:r>
      <w:r>
        <w:rPr>
          <w:spacing w:val="30"/>
          <w:sz w:val="36"/>
          <w:szCs w:val="36"/>
        </w:rPr>
        <w:t xml:space="preserve">  </w:t>
      </w:r>
      <w:r>
        <w:rPr>
          <w:b/>
          <w:bCs/>
          <w:spacing w:val="-1"/>
          <w:sz w:val="36"/>
          <w:szCs w:val="36"/>
        </w:rPr>
        <w:t>软件测试说明</w:t>
      </w:r>
    </w:p>
    <w:p w14:paraId="10023EAF">
      <w:pPr>
        <w:spacing w:line="328" w:lineRule="auto"/>
        <w:rPr>
          <w:rFonts w:ascii="Arial"/>
          <w:sz w:val="21"/>
        </w:rPr>
      </w:pPr>
    </w:p>
    <w:p w14:paraId="2F22E614">
      <w:pPr>
        <w:pStyle w:val="2"/>
        <w:spacing w:before="91" w:line="225" w:lineRule="auto"/>
        <w:ind w:left="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军用软件</w:t>
      </w:r>
      <w:r>
        <w:rPr>
          <w:rFonts w:ascii="楷体" w:hAnsi="楷体" w:eastAsia="楷体" w:cs="楷体"/>
          <w:spacing w:val="-11"/>
          <w:sz w:val="28"/>
          <w:szCs w:val="28"/>
        </w:rPr>
        <w:t>开发文档通用要求》编写。</w:t>
      </w:r>
    </w:p>
    <w:p w14:paraId="5BE709D1">
      <w:pPr>
        <w:spacing w:before="82"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4"/>
          <w:sz w:val="27"/>
          <w:szCs w:val="27"/>
        </w:rPr>
        <w:t xml:space="preserve">  </w:t>
      </w:r>
      <w:r>
        <w:rPr>
          <w:rFonts w:ascii="黑体" w:hAnsi="黑体" w:eastAsia="黑体" w:cs="黑体"/>
          <w:spacing w:val="-3"/>
          <w:sz w:val="27"/>
          <w:szCs w:val="27"/>
        </w:rPr>
        <w:t>范围</w:t>
      </w:r>
    </w:p>
    <w:p w14:paraId="3470668B">
      <w:pPr>
        <w:spacing w:before="121" w:line="222" w:lineRule="auto"/>
        <w:rPr>
          <w:rFonts w:ascii="黑体" w:hAnsi="黑体" w:eastAsia="黑体" w:cs="黑体"/>
          <w:sz w:val="24"/>
          <w:szCs w:val="24"/>
        </w:rPr>
      </w:pPr>
      <w:r>
        <w:rPr>
          <w:rFonts w:ascii="黑体" w:hAnsi="黑体" w:eastAsia="黑体" w:cs="黑体"/>
          <w:spacing w:val="-4"/>
          <w:sz w:val="24"/>
          <w:szCs w:val="24"/>
        </w:rPr>
        <w:t>1.1</w:t>
      </w:r>
      <w:r>
        <w:rPr>
          <w:rFonts w:ascii="黑体" w:hAnsi="黑体" w:eastAsia="黑体" w:cs="黑体"/>
          <w:spacing w:val="52"/>
          <w:sz w:val="24"/>
          <w:szCs w:val="24"/>
        </w:rPr>
        <w:t xml:space="preserve">  </w:t>
      </w:r>
      <w:r>
        <w:rPr>
          <w:rFonts w:ascii="黑体" w:hAnsi="黑体" w:eastAsia="黑体" w:cs="黑体"/>
          <w:spacing w:val="-4"/>
          <w:sz w:val="24"/>
          <w:szCs w:val="24"/>
        </w:rPr>
        <w:t>标</w:t>
      </w:r>
      <w:r>
        <w:rPr>
          <w:rFonts w:ascii="黑体" w:hAnsi="黑体" w:eastAsia="黑体" w:cs="黑体"/>
          <w:spacing w:val="-36"/>
          <w:sz w:val="24"/>
          <w:szCs w:val="24"/>
        </w:rPr>
        <w:t xml:space="preserve"> </w:t>
      </w:r>
      <w:r>
        <w:rPr>
          <w:rFonts w:ascii="黑体" w:hAnsi="黑体" w:eastAsia="黑体" w:cs="黑体"/>
          <w:spacing w:val="-4"/>
          <w:sz w:val="24"/>
          <w:szCs w:val="24"/>
        </w:rPr>
        <w:t>识</w:t>
      </w:r>
    </w:p>
    <w:p w14:paraId="63D086AF">
      <w:pPr>
        <w:pStyle w:val="2"/>
        <w:spacing w:before="61" w:line="287" w:lineRule="auto"/>
        <w:ind w:firstLine="570"/>
      </w:pPr>
      <w:r>
        <w:rPr>
          <w:spacing w:val="1"/>
        </w:rPr>
        <w:t>本条应描述本文档所适用系统和软件的完整标识，适</w:t>
      </w:r>
      <w:r>
        <w:t xml:space="preserve">用时，包括其标识号、 </w:t>
      </w:r>
      <w:r>
        <w:rPr>
          <w:spacing w:val="-15"/>
        </w:rPr>
        <w:t>名称、缩略名、版本号和发布号。</w:t>
      </w:r>
    </w:p>
    <w:p w14:paraId="4E22BCD2">
      <w:pPr>
        <w:spacing w:before="1" w:line="220" w:lineRule="auto"/>
        <w:rPr>
          <w:rFonts w:ascii="黑体" w:hAnsi="黑体" w:eastAsia="黑体" w:cs="黑体"/>
          <w:sz w:val="27"/>
          <w:szCs w:val="27"/>
        </w:rPr>
      </w:pPr>
      <w:r>
        <w:rPr>
          <w:rFonts w:ascii="黑体" w:hAnsi="黑体" w:eastAsia="黑体" w:cs="黑体"/>
          <w:spacing w:val="-6"/>
          <w:sz w:val="27"/>
          <w:szCs w:val="27"/>
        </w:rPr>
        <w:t>1.2</w:t>
      </w:r>
      <w:r>
        <w:rPr>
          <w:rFonts w:ascii="黑体" w:hAnsi="黑体" w:eastAsia="黑体" w:cs="黑体"/>
          <w:spacing w:val="27"/>
          <w:sz w:val="27"/>
          <w:szCs w:val="27"/>
        </w:rPr>
        <w:t xml:space="preserve">  </w:t>
      </w:r>
      <w:r>
        <w:rPr>
          <w:rFonts w:ascii="黑体" w:hAnsi="黑体" w:eastAsia="黑体" w:cs="黑体"/>
          <w:spacing w:val="-6"/>
          <w:sz w:val="27"/>
          <w:szCs w:val="27"/>
        </w:rPr>
        <w:t>系统概述</w:t>
      </w:r>
    </w:p>
    <w:p w14:paraId="700692B7">
      <w:pPr>
        <w:pStyle w:val="2"/>
        <w:spacing w:before="89" w:line="282" w:lineRule="auto"/>
        <w:ind w:right="119" w:firstLine="570"/>
        <w:jc w:val="both"/>
      </w:pPr>
      <w:r>
        <w:rPr>
          <w:spacing w:val="5"/>
        </w:rPr>
        <w:t>本条应概述本文档所适用系统和软件的用途。它还应描述系统与软件的一</w:t>
      </w:r>
      <w:r>
        <w:rPr>
          <w:spacing w:val="14"/>
        </w:rPr>
        <w:t xml:space="preserve"> </w:t>
      </w:r>
      <w:r>
        <w:rPr>
          <w:spacing w:val="-10"/>
        </w:rPr>
        <w:t>般特性；概述系统开发、运行和维护的历史；标识项目的需方、用户、开发方和保</w:t>
      </w:r>
      <w:r>
        <w:rPr>
          <w:spacing w:val="18"/>
        </w:rPr>
        <w:t xml:space="preserve"> </w:t>
      </w:r>
      <w:r>
        <w:rPr>
          <w:spacing w:val="-6"/>
        </w:rPr>
        <w:t>障机构等；标识当前和计划的运行现场；列出其他有关文档。</w:t>
      </w:r>
    </w:p>
    <w:p w14:paraId="2E9B0251">
      <w:pPr>
        <w:spacing w:before="1" w:line="220" w:lineRule="auto"/>
        <w:rPr>
          <w:rFonts w:ascii="黑体" w:hAnsi="黑体" w:eastAsia="黑体" w:cs="黑体"/>
          <w:sz w:val="25"/>
          <w:szCs w:val="25"/>
        </w:rPr>
      </w:pPr>
      <w:r>
        <w:rPr>
          <w:rFonts w:ascii="黑体" w:hAnsi="黑体" w:eastAsia="黑体" w:cs="黑体"/>
          <w:spacing w:val="9"/>
          <w:sz w:val="25"/>
          <w:szCs w:val="25"/>
        </w:rPr>
        <w:t>1.3</w:t>
      </w:r>
      <w:r>
        <w:rPr>
          <w:rFonts w:ascii="黑体" w:hAnsi="黑体" w:eastAsia="黑体" w:cs="黑体"/>
          <w:spacing w:val="54"/>
          <w:sz w:val="25"/>
          <w:szCs w:val="25"/>
        </w:rPr>
        <w:t xml:space="preserve">  </w:t>
      </w:r>
      <w:r>
        <w:rPr>
          <w:rFonts w:ascii="黑体" w:hAnsi="黑体" w:eastAsia="黑体" w:cs="黑体"/>
          <w:spacing w:val="9"/>
          <w:sz w:val="25"/>
          <w:szCs w:val="25"/>
        </w:rPr>
        <w:t>文档概述</w:t>
      </w:r>
    </w:p>
    <w:p w14:paraId="03F22042">
      <w:pPr>
        <w:pStyle w:val="2"/>
        <w:spacing w:before="94" w:line="283" w:lineRule="auto"/>
        <w:ind w:right="113" w:firstLine="570"/>
      </w:pPr>
      <w:r>
        <w:rPr>
          <w:spacing w:val="14"/>
        </w:rPr>
        <w:t>本条应概述本文档的用途和内容，描述与它的使用有关的保密性方面的</w:t>
      </w:r>
      <w:r>
        <w:rPr>
          <w:spacing w:val="15"/>
        </w:rPr>
        <w:t xml:space="preserve"> </w:t>
      </w:r>
      <w:r>
        <w:rPr>
          <w:spacing w:val="-4"/>
        </w:rPr>
        <w:t>要求。</w:t>
      </w:r>
    </w:p>
    <w:p w14:paraId="5F320631">
      <w:pPr>
        <w:spacing w:before="1" w:line="221" w:lineRule="auto"/>
        <w:rPr>
          <w:rFonts w:ascii="黑体" w:hAnsi="黑体" w:eastAsia="黑体" w:cs="黑体"/>
          <w:sz w:val="25"/>
          <w:szCs w:val="25"/>
        </w:rPr>
      </w:pPr>
      <w:r>
        <w:rPr>
          <w:rFonts w:ascii="黑体" w:hAnsi="黑体" w:eastAsia="黑体" w:cs="黑体"/>
          <w:spacing w:val="18"/>
          <w:sz w:val="25"/>
          <w:szCs w:val="25"/>
        </w:rPr>
        <w:t>2</w:t>
      </w:r>
      <w:r>
        <w:rPr>
          <w:rFonts w:ascii="黑体" w:hAnsi="黑体" w:eastAsia="黑体" w:cs="黑体"/>
          <w:spacing w:val="22"/>
          <w:sz w:val="25"/>
          <w:szCs w:val="25"/>
        </w:rPr>
        <w:t xml:space="preserve">  </w:t>
      </w:r>
      <w:r>
        <w:rPr>
          <w:rFonts w:ascii="黑体" w:hAnsi="黑体" w:eastAsia="黑体" w:cs="黑体"/>
          <w:spacing w:val="18"/>
          <w:sz w:val="25"/>
          <w:szCs w:val="25"/>
        </w:rPr>
        <w:t>引用文档</w:t>
      </w:r>
    </w:p>
    <w:p w14:paraId="30BD9838">
      <w:pPr>
        <w:pStyle w:val="2"/>
        <w:spacing w:before="109" w:line="299" w:lineRule="auto"/>
        <w:ind w:right="122" w:firstLine="570"/>
        <w:rPr>
          <w:sz w:val="25"/>
          <w:szCs w:val="25"/>
        </w:rPr>
      </w:pPr>
      <w:r>
        <w:rPr>
          <w:spacing w:val="9"/>
          <w:sz w:val="25"/>
          <w:szCs w:val="25"/>
        </w:rPr>
        <w:t>本章应列出引用文档的编号、标题、编写单位、修订版及日期，还应标识不能</w:t>
      </w:r>
      <w:r>
        <w:rPr>
          <w:spacing w:val="5"/>
          <w:sz w:val="25"/>
          <w:szCs w:val="25"/>
        </w:rPr>
        <w:t xml:space="preserve"> </w:t>
      </w:r>
      <w:r>
        <w:rPr>
          <w:spacing w:val="22"/>
          <w:sz w:val="25"/>
          <w:szCs w:val="25"/>
        </w:rPr>
        <w:t>通过正常采购活动得到的文档的来源。</w:t>
      </w:r>
    </w:p>
    <w:p w14:paraId="09EB0037">
      <w:pPr>
        <w:spacing w:before="2" w:line="220" w:lineRule="auto"/>
        <w:rPr>
          <w:rFonts w:ascii="黑体" w:hAnsi="黑体" w:eastAsia="黑体" w:cs="黑体"/>
          <w:sz w:val="25"/>
          <w:szCs w:val="25"/>
        </w:rPr>
      </w:pPr>
      <w:r>
        <w:rPr>
          <w:rFonts w:ascii="黑体" w:hAnsi="黑体" w:eastAsia="黑体" w:cs="黑体"/>
          <w:spacing w:val="15"/>
          <w:sz w:val="25"/>
          <w:szCs w:val="25"/>
        </w:rPr>
        <w:t>3</w:t>
      </w:r>
      <w:r>
        <w:rPr>
          <w:rFonts w:ascii="黑体" w:hAnsi="黑体" w:eastAsia="黑体" w:cs="黑体"/>
          <w:spacing w:val="23"/>
          <w:sz w:val="25"/>
          <w:szCs w:val="25"/>
        </w:rPr>
        <w:t xml:space="preserve">  </w:t>
      </w:r>
      <w:r>
        <w:rPr>
          <w:rFonts w:ascii="黑体" w:hAnsi="黑体" w:eastAsia="黑体" w:cs="黑体"/>
          <w:spacing w:val="15"/>
          <w:sz w:val="25"/>
          <w:szCs w:val="25"/>
        </w:rPr>
        <w:t>测试准备</w:t>
      </w:r>
    </w:p>
    <w:p w14:paraId="7F6D1DE1">
      <w:pPr>
        <w:pStyle w:val="2"/>
        <w:spacing w:before="100" w:line="271" w:lineRule="auto"/>
        <w:ind w:right="123" w:firstLine="570"/>
      </w:pPr>
      <w:r>
        <w:rPr>
          <w:spacing w:val="-3"/>
        </w:rPr>
        <w:t>本章应分为以下几条。适用时应包括用“警告”或“注意”所标志的安全提</w:t>
      </w:r>
      <w:r>
        <w:t xml:space="preserve"> </w:t>
      </w:r>
      <w:r>
        <w:rPr>
          <w:spacing w:val="-11"/>
        </w:rPr>
        <w:t>示，以及保密性考虑。</w:t>
      </w:r>
    </w:p>
    <w:p w14:paraId="416EEF29">
      <w:pPr>
        <w:spacing w:line="368" w:lineRule="exact"/>
        <w:rPr>
          <w:rFonts w:ascii="黑体" w:hAnsi="黑体" w:eastAsia="黑体" w:cs="黑体"/>
          <w:sz w:val="27"/>
          <w:szCs w:val="27"/>
        </w:rPr>
      </w:pPr>
      <w:r>
        <w:rPr>
          <w:rFonts w:ascii="Arial" w:hAnsi="Arial" w:eastAsia="Arial" w:cs="Arial"/>
          <w:spacing w:val="5"/>
          <w:position w:val="1"/>
          <w:sz w:val="27"/>
          <w:szCs w:val="27"/>
        </w:rPr>
        <w:t>3.X</w:t>
      </w:r>
      <w:r>
        <w:rPr>
          <w:rFonts w:ascii="Arial" w:hAnsi="Arial" w:eastAsia="Arial" w:cs="Arial"/>
          <w:spacing w:val="19"/>
          <w:position w:val="1"/>
          <w:sz w:val="27"/>
          <w:szCs w:val="27"/>
        </w:rPr>
        <w:t xml:space="preserve">    </w:t>
      </w:r>
      <w:r>
        <w:rPr>
          <w:rFonts w:ascii="黑体" w:hAnsi="黑体" w:eastAsia="黑体" w:cs="黑体"/>
          <w:spacing w:val="5"/>
          <w:position w:val="1"/>
          <w:sz w:val="27"/>
          <w:szCs w:val="27"/>
        </w:rPr>
        <w:t>(测试的项目唯一的标识符)</w:t>
      </w:r>
    </w:p>
    <w:p w14:paraId="04AA9627">
      <w:pPr>
        <w:spacing w:before="102" w:line="223" w:lineRule="auto"/>
        <w:rPr>
          <w:rFonts w:ascii="黑体" w:hAnsi="黑体" w:eastAsia="黑体" w:cs="黑体"/>
          <w:sz w:val="24"/>
          <w:szCs w:val="24"/>
        </w:rPr>
      </w:pPr>
      <w:r>
        <w:rPr>
          <w:rFonts w:ascii="Times New Roman" w:hAnsi="Times New Roman" w:eastAsia="Times New Roman" w:cs="Times New Roman"/>
          <w:spacing w:val="9"/>
          <w:sz w:val="24"/>
          <w:szCs w:val="24"/>
        </w:rPr>
        <w:t xml:space="preserve">3.X.1        </w:t>
      </w:r>
      <w:r>
        <w:rPr>
          <w:rFonts w:ascii="黑体" w:hAnsi="黑体" w:eastAsia="黑体" w:cs="黑体"/>
          <w:spacing w:val="9"/>
          <w:sz w:val="24"/>
          <w:szCs w:val="24"/>
        </w:rPr>
        <w:t>硬件准备</w:t>
      </w:r>
    </w:p>
    <w:p w14:paraId="4C398827">
      <w:pPr>
        <w:pStyle w:val="2"/>
        <w:spacing w:before="99" w:line="267" w:lineRule="auto"/>
        <w:ind w:right="123" w:firstLine="570"/>
      </w:pPr>
      <w:r>
        <w:rPr>
          <w:spacing w:val="5"/>
        </w:rPr>
        <w:t>本条应描述测试工作所需的硬件准备规程。有关这些规程，可以引用已发</w:t>
      </w:r>
      <w:r>
        <w:rPr>
          <w:spacing w:val="10"/>
        </w:rPr>
        <w:t xml:space="preserve"> </w:t>
      </w:r>
      <w:r>
        <w:rPr>
          <w:spacing w:val="2"/>
        </w:rPr>
        <w:t>布的操作手册。(若适用)应提供以下内容：</w:t>
      </w:r>
    </w:p>
    <w:p w14:paraId="67D1D3FA">
      <w:pPr>
        <w:pStyle w:val="2"/>
        <w:spacing w:line="212" w:lineRule="auto"/>
        <w:ind w:left="570"/>
      </w:pPr>
      <w:r>
        <w:rPr>
          <w:rFonts w:ascii="Times New Roman" w:hAnsi="Times New Roman" w:eastAsia="Times New Roman" w:cs="Times New Roman"/>
          <w:spacing w:val="4"/>
        </w:rPr>
        <w:t>a)</w:t>
      </w:r>
      <w:r>
        <w:rPr>
          <w:rFonts w:ascii="Times New Roman" w:hAnsi="Times New Roman" w:eastAsia="Times New Roman" w:cs="Times New Roman"/>
          <w:spacing w:val="62"/>
          <w:w w:val="101"/>
        </w:rPr>
        <w:t xml:space="preserve"> </w:t>
      </w:r>
      <w:r>
        <w:rPr>
          <w:spacing w:val="4"/>
        </w:rPr>
        <w:t>用名称和(若适用)编号标识要使用的特定硬</w:t>
      </w:r>
      <w:r>
        <w:rPr>
          <w:spacing w:val="3"/>
        </w:rPr>
        <w:t>件；</w:t>
      </w:r>
    </w:p>
    <w:p w14:paraId="6176E9F9">
      <w:pPr>
        <w:pStyle w:val="2"/>
        <w:spacing w:before="100" w:line="212" w:lineRule="auto"/>
        <w:ind w:left="570"/>
      </w:pPr>
      <w:r>
        <w:rPr>
          <w:rFonts w:ascii="Times New Roman" w:hAnsi="Times New Roman" w:eastAsia="Times New Roman" w:cs="Times New Roman"/>
          <w:spacing w:val="3"/>
        </w:rPr>
        <w:t>b)</w:t>
      </w:r>
      <w:r>
        <w:rPr>
          <w:rFonts w:ascii="Times New Roman" w:hAnsi="Times New Roman" w:eastAsia="Times New Roman" w:cs="Times New Roman"/>
          <w:spacing w:val="74"/>
        </w:rPr>
        <w:t xml:space="preserve"> </w:t>
      </w:r>
      <w:r>
        <w:rPr>
          <w:spacing w:val="3"/>
        </w:rPr>
        <w:t>任何开关装置和用于连接硬件的电缆；</w:t>
      </w:r>
    </w:p>
    <w:p w14:paraId="4AB6320C">
      <w:pPr>
        <w:pStyle w:val="2"/>
        <w:spacing w:before="120" w:line="212" w:lineRule="auto"/>
        <w:ind w:left="570"/>
      </w:pPr>
      <w:r>
        <w:rPr>
          <w:rFonts w:ascii="Times New Roman" w:hAnsi="Times New Roman" w:eastAsia="Times New Roman" w:cs="Times New Roman"/>
          <w:spacing w:val="-1"/>
        </w:rPr>
        <w:t>c)</w:t>
      </w:r>
      <w:r>
        <w:rPr>
          <w:rFonts w:ascii="Times New Roman" w:hAnsi="Times New Roman" w:eastAsia="Times New Roman" w:cs="Times New Roman"/>
          <w:spacing w:val="58"/>
        </w:rPr>
        <w:t xml:space="preserve"> </w:t>
      </w:r>
      <w:r>
        <w:rPr>
          <w:spacing w:val="-1"/>
        </w:rPr>
        <w:t>说明硬件、互联控制和数据路径的一个或多个图示；</w:t>
      </w:r>
    </w:p>
    <w:p w14:paraId="547EB7E1">
      <w:pPr>
        <w:pStyle w:val="2"/>
        <w:spacing w:before="100" w:line="212" w:lineRule="auto"/>
        <w:ind w:left="570"/>
      </w:pPr>
      <w:r>
        <w:rPr>
          <w:rFonts w:ascii="Times New Roman" w:hAnsi="Times New Roman" w:eastAsia="Times New Roman" w:cs="Times New Roman"/>
          <w:spacing w:val="4"/>
        </w:rPr>
        <w:t>d)</w:t>
      </w:r>
      <w:r>
        <w:rPr>
          <w:rFonts w:ascii="Times New Roman" w:hAnsi="Times New Roman" w:eastAsia="Times New Roman" w:cs="Times New Roman"/>
          <w:spacing w:val="71"/>
          <w:w w:val="101"/>
        </w:rPr>
        <w:t xml:space="preserve"> </w:t>
      </w:r>
      <w:r>
        <w:rPr>
          <w:spacing w:val="4"/>
        </w:rPr>
        <w:t>使硬件处于就绪状态的分步的操作说明。</w:t>
      </w:r>
    </w:p>
    <w:p w14:paraId="416A1A20">
      <w:pPr>
        <w:spacing w:before="140" w:line="222" w:lineRule="auto"/>
        <w:rPr>
          <w:rFonts w:ascii="黑体" w:hAnsi="黑体" w:eastAsia="黑体" w:cs="黑体"/>
          <w:sz w:val="25"/>
          <w:szCs w:val="25"/>
        </w:rPr>
      </w:pPr>
      <w:r>
        <w:rPr>
          <w:rFonts w:ascii="Times New Roman" w:hAnsi="Times New Roman" w:eastAsia="Times New Roman" w:cs="Times New Roman"/>
          <w:spacing w:val="8"/>
          <w:sz w:val="25"/>
          <w:szCs w:val="25"/>
        </w:rPr>
        <w:t>3.X.2</w:t>
      </w:r>
      <w:r>
        <w:rPr>
          <w:rFonts w:ascii="Times New Roman" w:hAnsi="Times New Roman" w:eastAsia="Times New Roman" w:cs="Times New Roman"/>
          <w:spacing w:val="1"/>
          <w:sz w:val="25"/>
          <w:szCs w:val="25"/>
        </w:rPr>
        <w:t xml:space="preserve">        </w:t>
      </w:r>
      <w:r>
        <w:rPr>
          <w:rFonts w:ascii="黑体" w:hAnsi="黑体" w:eastAsia="黑体" w:cs="黑体"/>
          <w:spacing w:val="8"/>
          <w:sz w:val="25"/>
          <w:szCs w:val="25"/>
        </w:rPr>
        <w:t>软件准备</w:t>
      </w:r>
    </w:p>
    <w:p w14:paraId="6AF73086">
      <w:pPr>
        <w:pStyle w:val="2"/>
        <w:spacing w:before="89" w:line="289" w:lineRule="auto"/>
        <w:ind w:right="123" w:firstLine="570"/>
      </w:pPr>
      <w:r>
        <w:rPr>
          <w:spacing w:val="5"/>
        </w:rPr>
        <w:t>本条应描述准备被测项、相关软件以及测试数据的必要规程。有关这些规</w:t>
      </w:r>
      <w:r>
        <w:rPr>
          <w:spacing w:val="10"/>
        </w:rPr>
        <w:t xml:space="preserve"> </w:t>
      </w:r>
      <w:r>
        <w:rPr>
          <w:spacing w:val="-1"/>
        </w:rPr>
        <w:t>程，可以引用已发布的软件手册。(若适用)应</w:t>
      </w:r>
      <w:r>
        <w:rPr>
          <w:spacing w:val="-2"/>
        </w:rPr>
        <w:t>提供下述信息：</w:t>
      </w:r>
    </w:p>
    <w:p w14:paraId="797EDCDC">
      <w:pPr>
        <w:spacing w:line="289" w:lineRule="auto"/>
        <w:sectPr>
          <w:footerReference r:id="rId241" w:type="default"/>
          <w:pgSz w:w="11910" w:h="17130"/>
          <w:pgMar w:top="1456" w:right="795" w:bottom="1513" w:left="1609" w:header="0" w:footer="1315" w:gutter="0"/>
          <w:cols w:space="720" w:num="1"/>
        </w:sectPr>
      </w:pPr>
    </w:p>
    <w:p w14:paraId="6ACD493F">
      <w:pPr>
        <w:pStyle w:val="2"/>
        <w:spacing w:before="145" w:line="219" w:lineRule="auto"/>
        <w:ind w:left="550"/>
      </w:pPr>
      <w:r>
        <w:rPr>
          <w:rFonts w:ascii="Times New Roman" w:hAnsi="Times New Roman" w:eastAsia="Times New Roman" w:cs="Times New Roman"/>
          <w:spacing w:val="9"/>
        </w:rPr>
        <w:t>a</w:t>
      </w:r>
      <w:r>
        <w:rPr>
          <w:spacing w:val="9"/>
        </w:rPr>
        <w:t>)测试中要使用的特定软件；</w:t>
      </w:r>
    </w:p>
    <w:p w14:paraId="2C33B72D">
      <w:pPr>
        <w:pStyle w:val="2"/>
        <w:spacing w:before="81" w:line="212" w:lineRule="auto"/>
        <w:ind w:left="550"/>
        <w:rPr>
          <w:sz w:val="24"/>
          <w:szCs w:val="24"/>
        </w:rPr>
      </w:pPr>
      <w:r>
        <w:rPr>
          <w:rFonts w:ascii="Times New Roman" w:hAnsi="Times New Roman" w:eastAsia="Times New Roman" w:cs="Times New Roman"/>
          <w:spacing w:val="22"/>
          <w:sz w:val="24"/>
          <w:szCs w:val="24"/>
        </w:rPr>
        <w:t xml:space="preserve">b)  </w:t>
      </w:r>
      <w:r>
        <w:rPr>
          <w:spacing w:val="22"/>
          <w:sz w:val="24"/>
          <w:szCs w:val="24"/>
        </w:rPr>
        <w:t>测试项的存储介质(如磁带、磁盘);</w:t>
      </w:r>
    </w:p>
    <w:p w14:paraId="171E94B1">
      <w:pPr>
        <w:pStyle w:val="2"/>
        <w:spacing w:before="122" w:line="212" w:lineRule="auto"/>
        <w:ind w:left="550"/>
      </w:pPr>
      <w:r>
        <w:rPr>
          <w:rFonts w:ascii="Times New Roman" w:hAnsi="Times New Roman" w:eastAsia="Times New Roman" w:cs="Times New Roman"/>
          <w:spacing w:val="-5"/>
        </w:rPr>
        <w:t>c)</w:t>
      </w:r>
      <w:r>
        <w:rPr>
          <w:rFonts w:ascii="Times New Roman" w:hAnsi="Times New Roman" w:eastAsia="Times New Roman" w:cs="Times New Roman"/>
          <w:spacing w:val="66"/>
          <w:w w:val="101"/>
        </w:rPr>
        <w:t xml:space="preserve"> </w:t>
      </w:r>
      <w:r>
        <w:rPr>
          <w:spacing w:val="-5"/>
        </w:rPr>
        <w:t>任何相关软件(如模拟器、测试驱动程序、数据库)的存储介质；</w:t>
      </w:r>
    </w:p>
    <w:p w14:paraId="428F901B">
      <w:pPr>
        <w:pStyle w:val="2"/>
        <w:spacing w:before="111" w:line="212" w:lineRule="auto"/>
        <w:ind w:left="550"/>
        <w:rPr>
          <w:sz w:val="25"/>
          <w:szCs w:val="25"/>
        </w:rPr>
      </w:pPr>
      <w:r>
        <w:rPr>
          <w:rFonts w:ascii="Times New Roman" w:hAnsi="Times New Roman" w:eastAsia="Times New Roman" w:cs="Times New Roman"/>
          <w:spacing w:val="12"/>
          <w:sz w:val="25"/>
          <w:szCs w:val="25"/>
        </w:rPr>
        <w:t xml:space="preserve">d)  </w:t>
      </w:r>
      <w:r>
        <w:rPr>
          <w:spacing w:val="12"/>
          <w:sz w:val="25"/>
          <w:szCs w:val="25"/>
        </w:rPr>
        <w:t>加载软件的说明，包括所需的顺序；</w:t>
      </w:r>
    </w:p>
    <w:p w14:paraId="4511F768">
      <w:pPr>
        <w:pStyle w:val="2"/>
        <w:spacing w:before="101" w:line="212" w:lineRule="auto"/>
        <w:ind w:left="550"/>
      </w:pPr>
      <w:r>
        <w:rPr>
          <w:rFonts w:ascii="Times New Roman" w:hAnsi="Times New Roman" w:eastAsia="Times New Roman" w:cs="Times New Roman"/>
          <w:spacing w:val="4"/>
        </w:rPr>
        <w:t>e)</w:t>
      </w:r>
      <w:r>
        <w:rPr>
          <w:rFonts w:ascii="Times New Roman" w:hAnsi="Times New Roman" w:eastAsia="Times New Roman" w:cs="Times New Roman"/>
          <w:spacing w:val="52"/>
          <w:w w:val="101"/>
        </w:rPr>
        <w:t xml:space="preserve"> </w:t>
      </w:r>
      <w:r>
        <w:rPr>
          <w:spacing w:val="4"/>
        </w:rPr>
        <w:t>多个测试用例共同使用的软件初始化说明。</w:t>
      </w:r>
    </w:p>
    <w:p w14:paraId="632B2CCC">
      <w:pPr>
        <w:spacing w:before="117" w:line="221" w:lineRule="auto"/>
        <w:rPr>
          <w:rFonts w:ascii="黑体" w:hAnsi="黑体" w:eastAsia="黑体" w:cs="黑体"/>
          <w:sz w:val="27"/>
          <w:szCs w:val="27"/>
        </w:rPr>
      </w:pPr>
      <w:r>
        <w:rPr>
          <w:rFonts w:ascii="Times New Roman" w:hAnsi="Times New Roman" w:eastAsia="Times New Roman" w:cs="Times New Roman"/>
          <w:sz w:val="27"/>
          <w:szCs w:val="27"/>
        </w:rPr>
        <w:t>3.X.3</w:t>
      </w:r>
      <w:r>
        <w:rPr>
          <w:rFonts w:ascii="Times New Roman" w:hAnsi="Times New Roman" w:eastAsia="Times New Roman" w:cs="Times New Roman"/>
          <w:spacing w:val="7"/>
          <w:sz w:val="27"/>
          <w:szCs w:val="27"/>
        </w:rPr>
        <w:t xml:space="preserve">      </w:t>
      </w:r>
      <w:r>
        <w:rPr>
          <w:rFonts w:ascii="黑体" w:hAnsi="黑体" w:eastAsia="黑体" w:cs="黑体"/>
          <w:sz w:val="27"/>
          <w:szCs w:val="27"/>
        </w:rPr>
        <w:t>其他测试前准备</w:t>
      </w:r>
    </w:p>
    <w:p w14:paraId="6761AA38">
      <w:pPr>
        <w:pStyle w:val="2"/>
        <w:spacing w:before="88" w:line="219" w:lineRule="auto"/>
        <w:ind w:left="550"/>
      </w:pPr>
      <w:r>
        <w:rPr>
          <w:spacing w:val="-1"/>
        </w:rPr>
        <w:t>本条应描述进行测试前所需的其他人员活动、准备工作或规程。</w:t>
      </w:r>
    </w:p>
    <w:p w14:paraId="062820AA">
      <w:pPr>
        <w:spacing w:before="98" w:line="221" w:lineRule="auto"/>
        <w:rPr>
          <w:rFonts w:ascii="黑体" w:hAnsi="黑体" w:eastAsia="黑体" w:cs="黑体"/>
          <w:sz w:val="25"/>
          <w:szCs w:val="25"/>
        </w:rPr>
      </w:pPr>
      <w:r>
        <w:rPr>
          <w:rFonts w:ascii="黑体" w:hAnsi="黑体" w:eastAsia="黑体" w:cs="黑体"/>
          <w:spacing w:val="18"/>
          <w:sz w:val="25"/>
          <w:szCs w:val="25"/>
        </w:rPr>
        <w:t>4</w:t>
      </w:r>
      <w:r>
        <w:rPr>
          <w:rFonts w:ascii="黑体" w:hAnsi="黑体" w:eastAsia="黑体" w:cs="黑体"/>
          <w:spacing w:val="34"/>
          <w:sz w:val="25"/>
          <w:szCs w:val="25"/>
        </w:rPr>
        <w:t xml:space="preserve">  </w:t>
      </w:r>
      <w:r>
        <w:rPr>
          <w:rFonts w:ascii="黑体" w:hAnsi="黑体" w:eastAsia="黑体" w:cs="黑体"/>
          <w:spacing w:val="18"/>
          <w:sz w:val="25"/>
          <w:szCs w:val="25"/>
        </w:rPr>
        <w:t>测试说明</w:t>
      </w:r>
    </w:p>
    <w:p w14:paraId="186D9AEA">
      <w:pPr>
        <w:pStyle w:val="2"/>
        <w:spacing w:before="111" w:line="277" w:lineRule="auto"/>
        <w:ind w:right="8" w:firstLine="550"/>
      </w:pPr>
      <w:r>
        <w:rPr>
          <w:spacing w:val="-3"/>
        </w:rPr>
        <w:t>本章应分为以下几条。适用时应包括用“警告”或“注意”所标志的安全提</w:t>
      </w:r>
      <w:r>
        <w:t xml:space="preserve"> </w:t>
      </w:r>
      <w:r>
        <w:rPr>
          <w:spacing w:val="-12"/>
        </w:rPr>
        <w:t>示，以及保密性考虑。</w:t>
      </w:r>
    </w:p>
    <w:p w14:paraId="54092CBF">
      <w:pPr>
        <w:spacing w:before="1" w:line="220" w:lineRule="auto"/>
        <w:rPr>
          <w:rFonts w:ascii="黑体" w:hAnsi="黑体" w:eastAsia="黑体" w:cs="黑体"/>
          <w:sz w:val="27"/>
          <w:szCs w:val="27"/>
        </w:rPr>
      </w:pPr>
      <w:r>
        <w:rPr>
          <w:rFonts w:ascii="Arial" w:hAnsi="Arial" w:eastAsia="Arial" w:cs="Arial"/>
          <w:spacing w:val="6"/>
          <w:sz w:val="27"/>
          <w:szCs w:val="27"/>
        </w:rPr>
        <w:t>4.</w:t>
      </w:r>
      <w:r>
        <w:rPr>
          <w:rFonts w:ascii="Arial" w:hAnsi="Arial" w:eastAsia="Arial" w:cs="Arial"/>
          <w:spacing w:val="-35"/>
          <w:sz w:val="27"/>
          <w:szCs w:val="27"/>
        </w:rPr>
        <w:t xml:space="preserve"> </w:t>
      </w:r>
      <w:r>
        <w:rPr>
          <w:rFonts w:ascii="Arial" w:hAnsi="Arial" w:eastAsia="Arial" w:cs="Arial"/>
          <w:spacing w:val="6"/>
          <w:sz w:val="27"/>
          <w:szCs w:val="27"/>
        </w:rPr>
        <w:t>X</w:t>
      </w:r>
      <w:r>
        <w:rPr>
          <w:rFonts w:ascii="Arial" w:hAnsi="Arial" w:eastAsia="Arial" w:cs="Arial"/>
          <w:spacing w:val="22"/>
          <w:sz w:val="27"/>
          <w:szCs w:val="27"/>
        </w:rPr>
        <w:t xml:space="preserve">   </w:t>
      </w:r>
      <w:r>
        <w:rPr>
          <w:rFonts w:ascii="黑体" w:hAnsi="黑体" w:eastAsia="黑体" w:cs="黑体"/>
          <w:spacing w:val="6"/>
          <w:sz w:val="27"/>
          <w:szCs w:val="27"/>
        </w:rPr>
        <w:t>(测试的项目唯一的标识符)</w:t>
      </w:r>
    </w:p>
    <w:p w14:paraId="310EE3B8">
      <w:pPr>
        <w:pStyle w:val="2"/>
        <w:spacing w:before="88" w:line="267" w:lineRule="auto"/>
        <w:ind w:firstLine="550"/>
      </w:pPr>
      <w:r>
        <w:rPr>
          <w:spacing w:val="5"/>
        </w:rPr>
        <w:t>本条应用项目唯一的标识符标识一个测试，并分为以下几条。当所需信息</w:t>
      </w:r>
      <w:r>
        <w:rPr>
          <w:spacing w:val="18"/>
        </w:rPr>
        <w:t xml:space="preserve"> </w:t>
      </w:r>
      <w:r>
        <w:rPr>
          <w:spacing w:val="-3"/>
        </w:rPr>
        <w:t>与以前提供的信息重复时，此处可进行引用。</w:t>
      </w:r>
    </w:p>
    <w:p w14:paraId="347645BA">
      <w:pPr>
        <w:spacing w:line="212" w:lineRule="auto"/>
        <w:rPr>
          <w:rFonts w:ascii="黑体" w:hAnsi="黑体" w:eastAsia="黑体" w:cs="黑体"/>
          <w:sz w:val="27"/>
          <w:szCs w:val="27"/>
        </w:rPr>
      </w:pPr>
      <w:r>
        <w:rPr>
          <w:rFonts w:ascii="Times New Roman" w:hAnsi="Times New Roman" w:eastAsia="Times New Roman" w:cs="Times New Roman"/>
          <w:spacing w:val="3"/>
          <w:sz w:val="27"/>
          <w:szCs w:val="27"/>
        </w:rPr>
        <w:t xml:space="preserve">4. X. Y    ( </w:t>
      </w:r>
      <w:r>
        <w:rPr>
          <w:rFonts w:ascii="黑体" w:hAnsi="黑体" w:eastAsia="黑体" w:cs="黑体"/>
          <w:spacing w:val="3"/>
          <w:sz w:val="27"/>
          <w:szCs w:val="27"/>
        </w:rPr>
        <w:t>测试用例的项目唯</w:t>
      </w:r>
      <w:r>
        <w:rPr>
          <w:rFonts w:ascii="黑体" w:hAnsi="黑体" w:eastAsia="黑体" w:cs="黑体"/>
          <w:spacing w:val="2"/>
          <w:sz w:val="27"/>
          <w:szCs w:val="27"/>
        </w:rPr>
        <w:t>一的标识符)</w:t>
      </w:r>
    </w:p>
    <w:p w14:paraId="039FC3E8">
      <w:pPr>
        <w:spacing w:before="105" w:line="221" w:lineRule="auto"/>
        <w:rPr>
          <w:rFonts w:ascii="黑体" w:hAnsi="黑体" w:eastAsia="黑体" w:cs="黑体"/>
          <w:sz w:val="28"/>
          <w:szCs w:val="28"/>
        </w:rPr>
      </w:pPr>
      <w:r>
        <w:rPr>
          <w:rFonts w:ascii="Times New Roman" w:hAnsi="Times New Roman" w:eastAsia="Times New Roman" w:cs="Times New Roman"/>
          <w:spacing w:val="-3"/>
          <w:sz w:val="28"/>
          <w:szCs w:val="28"/>
        </w:rPr>
        <w:t>4.X.Y.</w:t>
      </w:r>
      <w:r>
        <w:rPr>
          <w:rFonts w:ascii="Times New Roman" w:hAnsi="Times New Roman" w:eastAsia="Times New Roman" w:cs="Times New Roman"/>
          <w:spacing w:val="17"/>
          <w:sz w:val="28"/>
          <w:szCs w:val="28"/>
        </w:rPr>
        <w:t xml:space="preserve">  </w:t>
      </w:r>
      <w:r>
        <w:rPr>
          <w:rFonts w:ascii="黑体" w:hAnsi="黑体" w:eastAsia="黑体" w:cs="黑体"/>
          <w:b/>
          <w:bCs/>
          <w:spacing w:val="-3"/>
          <w:sz w:val="28"/>
          <w:szCs w:val="28"/>
        </w:rPr>
        <w:t>1</w:t>
      </w:r>
      <w:r>
        <w:rPr>
          <w:rFonts w:ascii="黑体" w:hAnsi="黑体" w:eastAsia="黑体" w:cs="黑体"/>
          <w:spacing w:val="-3"/>
          <w:sz w:val="28"/>
          <w:szCs w:val="28"/>
        </w:rPr>
        <w:t xml:space="preserve">  </w:t>
      </w:r>
      <w:r>
        <w:rPr>
          <w:rFonts w:ascii="黑体" w:hAnsi="黑体" w:eastAsia="黑体" w:cs="黑体"/>
          <w:b/>
          <w:bCs/>
          <w:spacing w:val="-3"/>
          <w:sz w:val="28"/>
          <w:szCs w:val="28"/>
        </w:rPr>
        <w:t>涉及的需求</w:t>
      </w:r>
    </w:p>
    <w:p w14:paraId="75D1533C">
      <w:pPr>
        <w:spacing w:before="115" w:line="219" w:lineRule="auto"/>
        <w:jc w:val="right"/>
        <w:rPr>
          <w:rFonts w:ascii="仿宋" w:hAnsi="仿宋" w:eastAsia="仿宋" w:cs="仿宋"/>
          <w:sz w:val="27"/>
          <w:szCs w:val="27"/>
        </w:rPr>
      </w:pPr>
      <w:r>
        <w:rPr>
          <w:rFonts w:ascii="仿宋" w:hAnsi="仿宋" w:eastAsia="仿宋" w:cs="仿宋"/>
          <w:spacing w:val="32"/>
          <w:sz w:val="27"/>
          <w:szCs w:val="27"/>
        </w:rPr>
        <w:t>本条应标识测试用例所涉及的</w:t>
      </w:r>
      <w:r>
        <w:rPr>
          <w:rFonts w:ascii="仿宋" w:hAnsi="仿宋" w:eastAsia="仿宋" w:cs="仿宋"/>
          <w:spacing w:val="-51"/>
          <w:sz w:val="27"/>
          <w:szCs w:val="27"/>
        </w:rPr>
        <w:t xml:space="preserve"> </w:t>
      </w:r>
      <w:r>
        <w:rPr>
          <w:rFonts w:ascii="Times New Roman" w:hAnsi="Times New Roman" w:eastAsia="Times New Roman" w:cs="Times New Roman"/>
          <w:sz w:val="27"/>
          <w:szCs w:val="27"/>
        </w:rPr>
        <w:t>CSCI</w:t>
      </w:r>
      <w:r>
        <w:rPr>
          <w:rFonts w:ascii="Times New Roman" w:hAnsi="Times New Roman" w:eastAsia="Times New Roman" w:cs="Times New Roman"/>
          <w:spacing w:val="53"/>
          <w:sz w:val="27"/>
          <w:szCs w:val="27"/>
        </w:rPr>
        <w:t xml:space="preserve"> </w:t>
      </w:r>
      <w:r>
        <w:rPr>
          <w:rFonts w:ascii="仿宋" w:hAnsi="仿宋" w:eastAsia="仿宋" w:cs="仿宋"/>
          <w:spacing w:val="32"/>
          <w:sz w:val="27"/>
          <w:szCs w:val="27"/>
        </w:rPr>
        <w:t>需求或系统需求(此</w:t>
      </w:r>
      <w:r>
        <w:rPr>
          <w:rFonts w:ascii="仿宋" w:hAnsi="仿宋" w:eastAsia="仿宋" w:cs="仿宋"/>
          <w:spacing w:val="31"/>
          <w:sz w:val="27"/>
          <w:szCs w:val="27"/>
        </w:rPr>
        <w:t>信息亦可在</w:t>
      </w:r>
    </w:p>
    <w:p w14:paraId="252E2A70">
      <w:pPr>
        <w:pStyle w:val="2"/>
        <w:spacing w:before="74" w:line="219" w:lineRule="auto"/>
      </w:pPr>
      <w:r>
        <w:rPr>
          <w:rFonts w:ascii="Times New Roman" w:hAnsi="Times New Roman" w:eastAsia="Times New Roman" w:cs="Times New Roman"/>
          <w:spacing w:val="-4"/>
        </w:rPr>
        <w:t>5.a</w:t>
      </w:r>
      <w:r>
        <w:rPr>
          <w:rFonts w:ascii="Times New Roman" w:hAnsi="Times New Roman" w:eastAsia="Times New Roman" w:cs="Times New Roman"/>
          <w:spacing w:val="43"/>
        </w:rPr>
        <w:t xml:space="preserve"> </w:t>
      </w:r>
      <w:r>
        <w:rPr>
          <w:spacing w:val="-4"/>
        </w:rPr>
        <w:t>)中提供)。</w:t>
      </w:r>
    </w:p>
    <w:p w14:paraId="67D9A42E">
      <w:pPr>
        <w:spacing w:before="81" w:line="222" w:lineRule="auto"/>
        <w:rPr>
          <w:rFonts w:ascii="黑体" w:hAnsi="黑体" w:eastAsia="黑体" w:cs="黑体"/>
          <w:sz w:val="27"/>
          <w:szCs w:val="27"/>
        </w:rPr>
      </w:pPr>
      <w:r>
        <w:rPr>
          <w:rFonts w:ascii="Times New Roman" w:hAnsi="Times New Roman" w:eastAsia="Times New Roman" w:cs="Times New Roman"/>
          <w:sz w:val="27"/>
          <w:szCs w:val="27"/>
        </w:rPr>
        <w:t>4. X.Y.</w:t>
      </w:r>
      <w:r>
        <w:rPr>
          <w:rFonts w:ascii="Times New Roman" w:hAnsi="Times New Roman" w:eastAsia="Times New Roman" w:cs="Times New Roman"/>
          <w:spacing w:val="50"/>
          <w:w w:val="101"/>
          <w:sz w:val="27"/>
          <w:szCs w:val="27"/>
        </w:rPr>
        <w:t xml:space="preserve"> </w:t>
      </w:r>
      <w:r>
        <w:rPr>
          <w:rFonts w:ascii="黑体" w:hAnsi="黑体" w:eastAsia="黑体" w:cs="黑体"/>
          <w:sz w:val="27"/>
          <w:szCs w:val="27"/>
        </w:rPr>
        <w:t>2</w:t>
      </w:r>
      <w:r>
        <w:rPr>
          <w:rFonts w:ascii="黑体" w:hAnsi="黑体" w:eastAsia="黑体" w:cs="黑体"/>
          <w:spacing w:val="16"/>
          <w:sz w:val="27"/>
          <w:szCs w:val="27"/>
        </w:rPr>
        <w:t xml:space="preserve">  </w:t>
      </w:r>
      <w:r>
        <w:rPr>
          <w:rFonts w:ascii="黑体" w:hAnsi="黑体" w:eastAsia="黑体" w:cs="黑体"/>
          <w:sz w:val="27"/>
          <w:szCs w:val="27"/>
        </w:rPr>
        <w:t>先决条件</w:t>
      </w:r>
    </w:p>
    <w:p w14:paraId="546F92C0">
      <w:pPr>
        <w:pStyle w:val="2"/>
        <w:spacing w:before="73" w:line="274" w:lineRule="auto"/>
        <w:ind w:right="2" w:firstLine="550"/>
      </w:pPr>
      <w:r>
        <w:rPr>
          <w:spacing w:val="14"/>
        </w:rPr>
        <w:t>本条应描述执行测试用例前必须具备的先决条件，(若适用)应提供</w:t>
      </w:r>
      <w:r>
        <w:rPr>
          <w:spacing w:val="13"/>
        </w:rPr>
        <w:t>以下</w:t>
      </w:r>
      <w:r>
        <w:t xml:space="preserve"> </w:t>
      </w:r>
      <w:r>
        <w:rPr>
          <w:spacing w:val="-13"/>
        </w:rPr>
        <w:t>内容：</w:t>
      </w:r>
    </w:p>
    <w:p w14:paraId="1BDA31F1">
      <w:pPr>
        <w:pStyle w:val="2"/>
        <w:spacing w:line="212" w:lineRule="auto"/>
        <w:ind w:left="550"/>
      </w:pPr>
      <w:r>
        <w:rPr>
          <w:rFonts w:ascii="Times New Roman" w:hAnsi="Times New Roman" w:eastAsia="Times New Roman" w:cs="Times New Roman"/>
          <w:spacing w:val="2"/>
        </w:rPr>
        <w:t>a)</w:t>
      </w:r>
      <w:r>
        <w:rPr>
          <w:rFonts w:ascii="Times New Roman" w:hAnsi="Times New Roman" w:eastAsia="Times New Roman" w:cs="Times New Roman"/>
          <w:spacing w:val="62"/>
        </w:rPr>
        <w:t xml:space="preserve"> </w:t>
      </w:r>
      <w:r>
        <w:rPr>
          <w:spacing w:val="2"/>
        </w:rPr>
        <w:t>软件配置和硬件配置；</w:t>
      </w:r>
    </w:p>
    <w:p w14:paraId="111CF41A">
      <w:pPr>
        <w:pStyle w:val="2"/>
        <w:spacing w:before="120" w:line="250" w:lineRule="auto"/>
        <w:ind w:right="2" w:firstLine="550"/>
      </w:pPr>
      <w:r>
        <w:rPr>
          <w:rFonts w:ascii="Times New Roman" w:hAnsi="Times New Roman" w:eastAsia="Times New Roman" w:cs="Times New Roman"/>
          <w:spacing w:val="2"/>
        </w:rPr>
        <w:t xml:space="preserve">b)  </w:t>
      </w:r>
      <w:r>
        <w:rPr>
          <w:spacing w:val="2"/>
        </w:rPr>
        <w:t>测试开始之前需设置或重置的标志、初始断点、指针、控制参数或初始</w:t>
      </w:r>
      <w:r>
        <w:rPr>
          <w:spacing w:val="16"/>
        </w:rPr>
        <w:t xml:space="preserve"> </w:t>
      </w:r>
      <w:r>
        <w:rPr>
          <w:spacing w:val="-6"/>
        </w:rPr>
        <w:t>数据；</w:t>
      </w:r>
    </w:p>
    <w:p w14:paraId="792A3E11">
      <w:pPr>
        <w:pStyle w:val="2"/>
        <w:spacing w:before="89"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54"/>
          <w:w w:val="101"/>
        </w:rPr>
        <w:t xml:space="preserve"> </w:t>
      </w:r>
      <w:r>
        <w:rPr>
          <w:spacing w:val="4"/>
        </w:rPr>
        <w:t>运行测试用例所需的预置硬件条件或电气状态；</w:t>
      </w:r>
    </w:p>
    <w:p w14:paraId="0DA3CCBE">
      <w:pPr>
        <w:pStyle w:val="2"/>
        <w:spacing w:before="90" w:line="212" w:lineRule="auto"/>
        <w:ind w:left="550"/>
      </w:pPr>
      <w:r>
        <w:rPr>
          <w:rFonts w:ascii="Times New Roman" w:hAnsi="Times New Roman" w:eastAsia="Times New Roman" w:cs="Times New Roman"/>
          <w:spacing w:val="3"/>
        </w:rPr>
        <w:t>d)</w:t>
      </w:r>
      <w:r>
        <w:rPr>
          <w:rFonts w:ascii="Times New Roman" w:hAnsi="Times New Roman" w:eastAsia="Times New Roman" w:cs="Times New Roman"/>
          <w:spacing w:val="69"/>
        </w:rPr>
        <w:t xml:space="preserve"> </w:t>
      </w:r>
      <w:r>
        <w:rPr>
          <w:spacing w:val="3"/>
        </w:rPr>
        <w:t>计时测量所用的初始条件；</w:t>
      </w:r>
    </w:p>
    <w:p w14:paraId="7E480564">
      <w:pPr>
        <w:pStyle w:val="2"/>
        <w:spacing w:before="100" w:line="212" w:lineRule="auto"/>
        <w:ind w:left="550"/>
      </w:pPr>
      <w:r>
        <w:rPr>
          <w:rFonts w:ascii="Times New Roman" w:hAnsi="Times New Roman" w:eastAsia="Times New Roman" w:cs="Times New Roman"/>
          <w:spacing w:val="1"/>
        </w:rPr>
        <w:t>e)</w:t>
      </w:r>
      <w:r>
        <w:rPr>
          <w:rFonts w:ascii="Times New Roman" w:hAnsi="Times New Roman" w:eastAsia="Times New Roman" w:cs="Times New Roman"/>
          <w:spacing w:val="66"/>
          <w:w w:val="101"/>
        </w:rPr>
        <w:t xml:space="preserve"> </w:t>
      </w:r>
      <w:r>
        <w:rPr>
          <w:spacing w:val="1"/>
        </w:rPr>
        <w:t>模拟环境的调整；</w:t>
      </w:r>
    </w:p>
    <w:p w14:paraId="2CC6D2CC">
      <w:pPr>
        <w:pStyle w:val="2"/>
        <w:spacing w:before="90" w:line="212" w:lineRule="auto"/>
        <w:ind w:left="550"/>
      </w:pPr>
      <w:r>
        <w:rPr>
          <w:rFonts w:ascii="Times New Roman" w:hAnsi="Times New Roman" w:eastAsia="Times New Roman" w:cs="Times New Roman"/>
          <w:spacing w:val="4"/>
        </w:rPr>
        <w:t>f)</w:t>
      </w:r>
      <w:r>
        <w:rPr>
          <w:rFonts w:ascii="Times New Roman" w:hAnsi="Times New Roman" w:eastAsia="Times New Roman" w:cs="Times New Roman"/>
          <w:spacing w:val="62"/>
        </w:rPr>
        <w:t xml:space="preserve"> </w:t>
      </w:r>
      <w:r>
        <w:rPr>
          <w:spacing w:val="4"/>
        </w:rPr>
        <w:t>测试用例特有的其他特殊条件。</w:t>
      </w:r>
    </w:p>
    <w:p w14:paraId="2D138A12">
      <w:pPr>
        <w:spacing w:before="118" w:line="221" w:lineRule="auto"/>
        <w:rPr>
          <w:rFonts w:ascii="黑体" w:hAnsi="黑体" w:eastAsia="黑体" w:cs="黑体"/>
          <w:sz w:val="27"/>
          <w:szCs w:val="27"/>
        </w:rPr>
      </w:pPr>
      <w:r>
        <w:rPr>
          <w:rFonts w:ascii="Times New Roman" w:hAnsi="Times New Roman" w:eastAsia="Times New Roman" w:cs="Times New Roman"/>
          <w:sz w:val="27"/>
          <w:szCs w:val="27"/>
        </w:rPr>
        <w:t xml:space="preserve">4. X.Y.3      </w:t>
      </w:r>
      <w:r>
        <w:rPr>
          <w:rFonts w:ascii="黑体" w:hAnsi="黑体" w:eastAsia="黑体" w:cs="黑体"/>
          <w:sz w:val="27"/>
          <w:szCs w:val="27"/>
        </w:rPr>
        <w:t>测试输入</w:t>
      </w:r>
    </w:p>
    <w:p w14:paraId="30E22E40">
      <w:pPr>
        <w:pStyle w:val="2"/>
        <w:spacing w:before="117" w:line="219" w:lineRule="auto"/>
        <w:ind w:left="550"/>
      </w:pPr>
      <w:r>
        <w:rPr>
          <w:spacing w:val="-1"/>
        </w:rPr>
        <w:t>本条应描述测试用例所需的测试输入，(若适用)应提供以下内容：</w:t>
      </w:r>
    </w:p>
    <w:p w14:paraId="3861582B">
      <w:pPr>
        <w:pStyle w:val="2"/>
        <w:spacing w:before="73" w:line="212" w:lineRule="auto"/>
        <w:ind w:left="550"/>
        <w:rPr>
          <w:sz w:val="25"/>
          <w:szCs w:val="25"/>
        </w:rPr>
      </w:pPr>
      <w:r>
        <w:rPr>
          <w:rFonts w:ascii="Times New Roman" w:hAnsi="Times New Roman" w:eastAsia="Times New Roman" w:cs="Times New Roman"/>
          <w:spacing w:val="13"/>
          <w:sz w:val="25"/>
          <w:szCs w:val="25"/>
        </w:rPr>
        <w:t xml:space="preserve">a)  </w:t>
      </w:r>
      <w:r>
        <w:rPr>
          <w:spacing w:val="13"/>
          <w:sz w:val="25"/>
          <w:szCs w:val="25"/>
        </w:rPr>
        <w:t>每一测试输入的名称、用途和说明(例如取值范围、准确性</w:t>
      </w:r>
      <w:r>
        <w:rPr>
          <w:spacing w:val="12"/>
          <w:sz w:val="25"/>
          <w:szCs w:val="25"/>
        </w:rPr>
        <w:t>)。</w:t>
      </w:r>
    </w:p>
    <w:p w14:paraId="071E9357">
      <w:pPr>
        <w:pStyle w:val="2"/>
        <w:spacing w:before="101" w:line="212" w:lineRule="auto"/>
        <w:ind w:left="550"/>
      </w:pPr>
      <w:r>
        <w:rPr>
          <w:rFonts w:ascii="Times New Roman" w:hAnsi="Times New Roman" w:eastAsia="Times New Roman" w:cs="Times New Roman"/>
          <w:spacing w:val="3"/>
        </w:rPr>
        <w:t xml:space="preserve">b)  </w:t>
      </w:r>
      <w:r>
        <w:rPr>
          <w:spacing w:val="3"/>
        </w:rPr>
        <w:t>测试输入的来源与选择测试输入的方法。</w:t>
      </w:r>
    </w:p>
    <w:p w14:paraId="3F1539B6">
      <w:pPr>
        <w:pStyle w:val="2"/>
        <w:spacing w:before="70"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52"/>
          <w:w w:val="101"/>
        </w:rPr>
        <w:t xml:space="preserve"> </w:t>
      </w:r>
      <w:r>
        <w:rPr>
          <w:spacing w:val="4"/>
        </w:rPr>
        <w:t>测试输入是真实的还是模拟的。</w:t>
      </w:r>
    </w:p>
    <w:p w14:paraId="1AFB46E3">
      <w:pPr>
        <w:pStyle w:val="2"/>
        <w:spacing w:before="120" w:line="212" w:lineRule="auto"/>
        <w:ind w:left="550"/>
      </w:pPr>
      <w:r>
        <w:rPr>
          <w:rFonts w:ascii="Times New Roman" w:hAnsi="Times New Roman" w:eastAsia="Times New Roman" w:cs="Times New Roman"/>
          <w:spacing w:val="3"/>
        </w:rPr>
        <w:t>d)</w:t>
      </w:r>
      <w:r>
        <w:rPr>
          <w:rFonts w:ascii="Times New Roman" w:hAnsi="Times New Roman" w:eastAsia="Times New Roman" w:cs="Times New Roman"/>
          <w:spacing w:val="66"/>
        </w:rPr>
        <w:t xml:space="preserve"> </w:t>
      </w:r>
      <w:r>
        <w:rPr>
          <w:spacing w:val="3"/>
        </w:rPr>
        <w:t>测试输入的时间或事件序列。</w:t>
      </w:r>
    </w:p>
    <w:p w14:paraId="274AF81E">
      <w:pPr>
        <w:pStyle w:val="2"/>
        <w:spacing w:before="142" w:line="212" w:lineRule="auto"/>
        <w:jc w:val="right"/>
        <w:rPr>
          <w:sz w:val="25"/>
          <w:szCs w:val="25"/>
        </w:rPr>
      </w:pPr>
      <w:r>
        <w:rPr>
          <w:rFonts w:ascii="Times New Roman" w:hAnsi="Times New Roman" w:eastAsia="Times New Roman" w:cs="Times New Roman"/>
          <w:spacing w:val="24"/>
          <w:sz w:val="25"/>
          <w:szCs w:val="25"/>
        </w:rPr>
        <w:t xml:space="preserve">e)  </w:t>
      </w:r>
      <w:r>
        <w:rPr>
          <w:spacing w:val="24"/>
          <w:sz w:val="25"/>
          <w:szCs w:val="25"/>
        </w:rPr>
        <w:t>控制输入数据的方式，如1)最小/合理数量的数据类型和值测试各被测</w:t>
      </w:r>
    </w:p>
    <w:p w14:paraId="72C7A793">
      <w:pPr>
        <w:spacing w:line="212" w:lineRule="auto"/>
        <w:rPr>
          <w:sz w:val="25"/>
          <w:szCs w:val="25"/>
        </w:rPr>
        <w:sectPr>
          <w:footerReference r:id="rId242" w:type="default"/>
          <w:pgSz w:w="11910" w:h="17130"/>
          <w:pgMar w:top="1456" w:right="1379" w:bottom="1550" w:left="1160" w:header="0" w:footer="1352" w:gutter="0"/>
          <w:cols w:space="720" w:num="1"/>
        </w:sectPr>
      </w:pPr>
    </w:p>
    <w:p w14:paraId="2D2A1A7B">
      <w:pPr>
        <w:pStyle w:val="2"/>
        <w:spacing w:before="76" w:line="290" w:lineRule="auto"/>
        <w:ind w:right="273"/>
        <w:jc w:val="both"/>
      </w:pPr>
      <w:r>
        <w:rPr>
          <w:spacing w:val="-10"/>
        </w:rPr>
        <w:t>项；2)为了检验过载、饱和及其他“最坏情况”的影响，用各种有效数据类型和值</w:t>
      </w:r>
      <w:r>
        <w:rPr>
          <w:spacing w:val="9"/>
        </w:rPr>
        <w:t xml:space="preserve"> </w:t>
      </w:r>
      <w:r>
        <w:rPr>
          <w:spacing w:val="-3"/>
        </w:rPr>
        <w:t>测试被测各项；3)为了检验对非常规输入的适当处理，用无效数据类型和值试验</w:t>
      </w:r>
      <w:r>
        <w:rPr>
          <w:spacing w:val="18"/>
        </w:rPr>
        <w:t xml:space="preserve"> </w:t>
      </w:r>
      <w:r>
        <w:rPr>
          <w:spacing w:val="-5"/>
        </w:rPr>
        <w:t>被测各项；4)如需要允许再测试。</w:t>
      </w:r>
    </w:p>
    <w:p w14:paraId="7B1ECF25">
      <w:pPr>
        <w:spacing w:before="1" w:line="220" w:lineRule="auto"/>
        <w:rPr>
          <w:rFonts w:ascii="黑体" w:hAnsi="黑体" w:eastAsia="黑体" w:cs="黑体"/>
          <w:sz w:val="24"/>
          <w:szCs w:val="24"/>
        </w:rPr>
      </w:pPr>
      <w:r>
        <w:rPr>
          <w:rFonts w:ascii="Times New Roman" w:hAnsi="Times New Roman" w:eastAsia="Times New Roman" w:cs="Times New Roman"/>
          <w:spacing w:val="15"/>
          <w:sz w:val="24"/>
          <w:szCs w:val="24"/>
        </w:rPr>
        <w:t>4.X.Y.</w:t>
      </w:r>
      <w:r>
        <w:rPr>
          <w:rFonts w:ascii="Times New Roman" w:hAnsi="Times New Roman" w:eastAsia="Times New Roman" w:cs="Times New Roman"/>
          <w:spacing w:val="7"/>
          <w:sz w:val="24"/>
          <w:szCs w:val="24"/>
        </w:rPr>
        <w:t xml:space="preserve">    </w:t>
      </w:r>
      <w:r>
        <w:rPr>
          <w:rFonts w:ascii="黑体" w:hAnsi="黑体" w:eastAsia="黑体" w:cs="黑体"/>
          <w:b/>
          <w:bCs/>
          <w:spacing w:val="15"/>
          <w:sz w:val="24"/>
          <w:szCs w:val="24"/>
        </w:rPr>
        <w:t>4</w:t>
      </w:r>
      <w:r>
        <w:rPr>
          <w:rFonts w:ascii="黑体" w:hAnsi="黑体" w:eastAsia="黑体" w:cs="黑体"/>
          <w:spacing w:val="36"/>
          <w:sz w:val="24"/>
          <w:szCs w:val="24"/>
        </w:rPr>
        <w:t xml:space="preserve">  </w:t>
      </w:r>
      <w:r>
        <w:rPr>
          <w:rFonts w:ascii="黑体" w:hAnsi="黑体" w:eastAsia="黑体" w:cs="黑体"/>
          <w:b/>
          <w:bCs/>
          <w:spacing w:val="15"/>
          <w:sz w:val="24"/>
          <w:szCs w:val="24"/>
        </w:rPr>
        <w:t>预期的测试结果</w:t>
      </w:r>
    </w:p>
    <w:p w14:paraId="1ABA5A0D">
      <w:pPr>
        <w:pStyle w:val="2"/>
        <w:spacing w:before="56" w:line="293" w:lineRule="auto"/>
        <w:ind w:right="271" w:firstLine="560"/>
      </w:pPr>
      <w:r>
        <w:rPr>
          <w:spacing w:val="5"/>
        </w:rPr>
        <w:t>本条应标识测试用例的所有预期测试结果。(若适用)应提供中间结</w:t>
      </w:r>
      <w:r>
        <w:rPr>
          <w:spacing w:val="4"/>
        </w:rPr>
        <w:t>果和最</w:t>
      </w:r>
      <w:r>
        <w:t xml:space="preserve"> </w:t>
      </w:r>
      <w:r>
        <w:rPr>
          <w:spacing w:val="-3"/>
        </w:rPr>
        <w:t>终结果。</w:t>
      </w:r>
    </w:p>
    <w:p w14:paraId="59428D34">
      <w:pPr>
        <w:spacing w:line="221" w:lineRule="auto"/>
        <w:rPr>
          <w:rFonts w:ascii="黑体" w:hAnsi="黑体" w:eastAsia="黑体" w:cs="黑体"/>
          <w:sz w:val="25"/>
          <w:szCs w:val="25"/>
        </w:rPr>
      </w:pPr>
      <w:r>
        <w:rPr>
          <w:rFonts w:ascii="Times New Roman" w:hAnsi="Times New Roman" w:eastAsia="Times New Roman" w:cs="Times New Roman"/>
          <w:spacing w:val="9"/>
          <w:sz w:val="25"/>
          <w:szCs w:val="25"/>
        </w:rPr>
        <w:t xml:space="preserve">4.X.Y.5        </w:t>
      </w:r>
      <w:r>
        <w:rPr>
          <w:rFonts w:ascii="黑体" w:hAnsi="黑体" w:eastAsia="黑体" w:cs="黑体"/>
          <w:b/>
          <w:bCs/>
          <w:spacing w:val="9"/>
          <w:sz w:val="25"/>
          <w:szCs w:val="25"/>
        </w:rPr>
        <w:t>评价结果的准则</w:t>
      </w:r>
    </w:p>
    <w:p w14:paraId="167C647B">
      <w:pPr>
        <w:pStyle w:val="2"/>
        <w:spacing w:before="72" w:line="281" w:lineRule="auto"/>
        <w:ind w:right="253" w:firstLine="560"/>
      </w:pPr>
      <w:r>
        <w:rPr>
          <w:spacing w:val="5"/>
        </w:rPr>
        <w:t>本条应标识用于评价测试用例的中间和最终结果的准则。(若适用)应对每</w:t>
      </w:r>
      <w:r>
        <w:rPr>
          <w:spacing w:val="15"/>
        </w:rPr>
        <w:t xml:space="preserve"> </w:t>
      </w:r>
      <w:r>
        <w:rPr>
          <w:spacing w:val="1"/>
        </w:rPr>
        <w:t>一测试结果提供以下信息：</w:t>
      </w:r>
    </w:p>
    <w:p w14:paraId="4D79E78A">
      <w:pPr>
        <w:pStyle w:val="2"/>
        <w:spacing w:before="1" w:line="212" w:lineRule="auto"/>
        <w:ind w:left="560"/>
      </w:pPr>
      <w:r>
        <w:rPr>
          <w:rFonts w:ascii="Times New Roman" w:hAnsi="Times New Roman" w:eastAsia="Times New Roman" w:cs="Times New Roman"/>
          <w:spacing w:val="4"/>
        </w:rPr>
        <w:t xml:space="preserve">a)  </w:t>
      </w:r>
      <w:r>
        <w:rPr>
          <w:spacing w:val="4"/>
        </w:rPr>
        <w:t>输出可能变化但仍能接受的范围或准</w:t>
      </w:r>
      <w:r>
        <w:rPr>
          <w:spacing w:val="3"/>
        </w:rPr>
        <w:t>确性；</w:t>
      </w:r>
    </w:p>
    <w:p w14:paraId="180CB1A7">
      <w:pPr>
        <w:pStyle w:val="2"/>
        <w:spacing w:before="99" w:line="212" w:lineRule="auto"/>
        <w:ind w:left="560"/>
      </w:pPr>
      <w:r>
        <w:rPr>
          <w:rFonts w:ascii="Times New Roman" w:hAnsi="Times New Roman" w:eastAsia="Times New Roman" w:cs="Times New Roman"/>
          <w:spacing w:val="5"/>
        </w:rPr>
        <w:t xml:space="preserve">b)  </w:t>
      </w:r>
      <w:r>
        <w:rPr>
          <w:spacing w:val="5"/>
        </w:rPr>
        <w:t>构成可接受的测试结果的输入和输出条件的最少组合或选择；</w:t>
      </w:r>
    </w:p>
    <w:p w14:paraId="68BFBD84">
      <w:pPr>
        <w:pStyle w:val="2"/>
        <w:spacing w:before="9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63"/>
        </w:rPr>
        <w:t xml:space="preserve"> </w:t>
      </w:r>
      <w:r>
        <w:rPr>
          <w:spacing w:val="4"/>
        </w:rPr>
        <w:t>用时间或事件数表示的允许的最大/最小测试持续时间；</w:t>
      </w:r>
    </w:p>
    <w:p w14:paraId="3B4B0AA1">
      <w:pPr>
        <w:pStyle w:val="2"/>
        <w:spacing w:before="100" w:line="212" w:lineRule="auto"/>
        <w:ind w:left="560"/>
      </w:pPr>
      <w:r>
        <w:rPr>
          <w:rFonts w:ascii="Times New Roman" w:hAnsi="Times New Roman" w:eastAsia="Times New Roman" w:cs="Times New Roman"/>
          <w:spacing w:val="-1"/>
        </w:rPr>
        <w:t xml:space="preserve">d)  </w:t>
      </w:r>
      <w:r>
        <w:rPr>
          <w:spacing w:val="-1"/>
        </w:rPr>
        <w:t>可以发生的中断、停机或其他系统突变的最大次数；</w:t>
      </w:r>
    </w:p>
    <w:p w14:paraId="3D3F7383">
      <w:pPr>
        <w:pStyle w:val="2"/>
        <w:spacing w:before="100" w:line="212" w:lineRule="auto"/>
        <w:ind w:left="560"/>
      </w:pPr>
      <w:r>
        <w:rPr>
          <w:rFonts w:ascii="Times New Roman" w:hAnsi="Times New Roman" w:eastAsia="Times New Roman" w:cs="Times New Roman"/>
          <w:spacing w:val="3"/>
        </w:rPr>
        <w:t>e)</w:t>
      </w:r>
      <w:r>
        <w:rPr>
          <w:rFonts w:ascii="Times New Roman" w:hAnsi="Times New Roman" w:eastAsia="Times New Roman" w:cs="Times New Roman"/>
          <w:spacing w:val="64"/>
        </w:rPr>
        <w:t xml:space="preserve"> </w:t>
      </w:r>
      <w:r>
        <w:rPr>
          <w:spacing w:val="3"/>
        </w:rPr>
        <w:t>允许的处理错误严重程度；</w:t>
      </w:r>
    </w:p>
    <w:p w14:paraId="740D8623">
      <w:pPr>
        <w:pStyle w:val="2"/>
        <w:spacing w:before="122" w:line="212" w:lineRule="auto"/>
        <w:ind w:left="560"/>
        <w:rPr>
          <w:sz w:val="24"/>
          <w:szCs w:val="24"/>
        </w:rPr>
      </w:pPr>
      <w:r>
        <w:rPr>
          <w:rFonts w:ascii="Times New Roman" w:hAnsi="Times New Roman" w:eastAsia="Times New Roman" w:cs="Times New Roman"/>
          <w:spacing w:val="22"/>
          <w:sz w:val="24"/>
          <w:szCs w:val="24"/>
        </w:rPr>
        <w:t>f)</w:t>
      </w:r>
      <w:r>
        <w:rPr>
          <w:rFonts w:ascii="Times New Roman" w:hAnsi="Times New Roman" w:eastAsia="Times New Roman" w:cs="Times New Roman"/>
          <w:spacing w:val="38"/>
          <w:sz w:val="24"/>
          <w:szCs w:val="24"/>
        </w:rPr>
        <w:t xml:space="preserve">  </w:t>
      </w:r>
      <w:r>
        <w:rPr>
          <w:spacing w:val="22"/>
          <w:sz w:val="24"/>
          <w:szCs w:val="24"/>
        </w:rPr>
        <w:t>当测试结果不确定时，进行再测试的条件；</w:t>
      </w:r>
    </w:p>
    <w:p w14:paraId="17D4BAC6">
      <w:pPr>
        <w:pStyle w:val="2"/>
        <w:spacing w:before="112" w:line="257" w:lineRule="auto"/>
        <w:ind w:firstLine="560"/>
      </w:pPr>
      <w:r>
        <w:rPr>
          <w:rFonts w:ascii="Times New Roman" w:hAnsi="Times New Roman" w:eastAsia="Times New Roman" w:cs="Times New Roman"/>
          <w:spacing w:val="6"/>
        </w:rPr>
        <w:t xml:space="preserve">g)  </w:t>
      </w:r>
      <w:r>
        <w:rPr>
          <w:spacing w:val="6"/>
        </w:rPr>
        <w:t>输出解释为“输入测试数据、测试数据库/数据文件或测</w:t>
      </w:r>
      <w:r>
        <w:rPr>
          <w:spacing w:val="5"/>
        </w:rPr>
        <w:t>试过程不规范”</w:t>
      </w:r>
      <w:r>
        <w:t xml:space="preserve"> </w:t>
      </w:r>
      <w:r>
        <w:rPr>
          <w:spacing w:val="-3"/>
        </w:rPr>
        <w:t>的条件；</w:t>
      </w:r>
    </w:p>
    <w:p w14:paraId="34804BFE">
      <w:pPr>
        <w:pStyle w:val="2"/>
        <w:spacing w:before="59" w:line="260" w:lineRule="auto"/>
        <w:ind w:right="255" w:firstLine="560"/>
      </w:pPr>
      <w:r>
        <w:rPr>
          <w:rFonts w:ascii="Times New Roman" w:hAnsi="Times New Roman" w:eastAsia="Times New Roman" w:cs="Times New Roman"/>
          <w:spacing w:val="3"/>
        </w:rPr>
        <w:t xml:space="preserve">h)  </w:t>
      </w:r>
      <w:r>
        <w:rPr>
          <w:spacing w:val="3"/>
        </w:rPr>
        <w:t>允许的表达测试的控制、状态和结</w:t>
      </w:r>
      <w:r>
        <w:rPr>
          <w:spacing w:val="2"/>
        </w:rPr>
        <w:t>果的指示方式，以及表明下一个测试</w:t>
      </w:r>
      <w:r>
        <w:t xml:space="preserve"> </w:t>
      </w:r>
      <w:r>
        <w:rPr>
          <w:spacing w:val="4"/>
        </w:rPr>
        <w:t>用例(或许是辅助测试软件的输出)准备就绪的指示方式；</w:t>
      </w:r>
    </w:p>
    <w:p w14:paraId="093719B0">
      <w:pPr>
        <w:pStyle w:val="2"/>
        <w:spacing w:before="59" w:line="212" w:lineRule="auto"/>
        <w:ind w:left="560"/>
      </w:pPr>
      <w:r>
        <w:rPr>
          <w:rFonts w:ascii="Times New Roman" w:hAnsi="Times New Roman" w:eastAsia="Times New Roman" w:cs="Times New Roman"/>
          <w:spacing w:val="2"/>
        </w:rPr>
        <w:t xml:space="preserve">i)  </w:t>
      </w:r>
      <w:r>
        <w:rPr>
          <w:spacing w:val="2"/>
        </w:rPr>
        <w:t>以上未提及的其他准则。</w:t>
      </w:r>
    </w:p>
    <w:p w14:paraId="253736EE">
      <w:pPr>
        <w:spacing w:before="115" w:line="221" w:lineRule="auto"/>
        <w:rPr>
          <w:rFonts w:ascii="黑体" w:hAnsi="黑体" w:eastAsia="黑体" w:cs="黑体"/>
          <w:sz w:val="27"/>
          <w:szCs w:val="27"/>
        </w:rPr>
      </w:pPr>
      <w:r>
        <w:rPr>
          <w:rFonts w:ascii="Times New Roman" w:hAnsi="Times New Roman" w:eastAsia="Times New Roman" w:cs="Times New Roman"/>
          <w:spacing w:val="-1"/>
          <w:sz w:val="27"/>
          <w:szCs w:val="27"/>
        </w:rPr>
        <w:t xml:space="preserve">4.X.Y.6       </w:t>
      </w:r>
      <w:r>
        <w:rPr>
          <w:rFonts w:ascii="黑体" w:hAnsi="黑体" w:eastAsia="黑体" w:cs="黑体"/>
          <w:b/>
          <w:bCs/>
          <w:spacing w:val="-1"/>
          <w:sz w:val="27"/>
          <w:szCs w:val="27"/>
        </w:rPr>
        <w:t>测试规程</w:t>
      </w:r>
    </w:p>
    <w:p w14:paraId="71BF667B">
      <w:pPr>
        <w:pStyle w:val="2"/>
        <w:spacing w:before="110" w:line="276" w:lineRule="auto"/>
        <w:ind w:right="263" w:firstLine="560"/>
        <w:jc w:val="both"/>
      </w:pPr>
      <w:r>
        <w:rPr>
          <w:spacing w:val="5"/>
        </w:rPr>
        <w:t>本条应定义测试用例的测试规程。测试规程应定义为以执行步骤顺序排列</w:t>
      </w:r>
      <w:r>
        <w:rPr>
          <w:spacing w:val="10"/>
        </w:rPr>
        <w:t xml:space="preserve"> </w:t>
      </w:r>
      <w:r>
        <w:rPr>
          <w:spacing w:val="-3"/>
        </w:rPr>
        <w:t>的、一系列独立编号的步骤。为便于文档维护，可以将测试规程作为附录并在此</w:t>
      </w:r>
      <w:r>
        <w:rPr>
          <w:spacing w:val="14"/>
        </w:rPr>
        <w:t xml:space="preserve"> </w:t>
      </w:r>
      <w:r>
        <w:rPr>
          <w:spacing w:val="5"/>
        </w:rPr>
        <w:t>条引用。每个测试规程的适当详细程度依赖于被测试软件的类型。对于某些软</w:t>
      </w:r>
      <w:r>
        <w:rPr>
          <w:spacing w:val="11"/>
        </w:rPr>
        <w:t xml:space="preserve"> </w:t>
      </w:r>
      <w:r>
        <w:rPr>
          <w:spacing w:val="-3"/>
        </w:rPr>
        <w:t>件，每次击键可以是一个单独的测试规程步骤；而对于大多数软件，每一步骤可</w:t>
      </w:r>
      <w:r>
        <w:rPr>
          <w:spacing w:val="15"/>
        </w:rPr>
        <w:t xml:space="preserve"> </w:t>
      </w:r>
      <w:r>
        <w:rPr>
          <w:spacing w:val="5"/>
        </w:rPr>
        <w:t>以包括逻辑相关的一串击键或其他动作。详略程度应有利于确定预期结果并把</w:t>
      </w:r>
      <w:r>
        <w:rPr>
          <w:spacing w:val="9"/>
        </w:rPr>
        <w:t xml:space="preserve"> </w:t>
      </w:r>
      <w:r>
        <w:rPr>
          <w:spacing w:val="3"/>
        </w:rPr>
        <w:t>它们与实际结果进行比较。(若适用)每一测试规程应提供：</w:t>
      </w:r>
    </w:p>
    <w:p w14:paraId="16FA8444">
      <w:pPr>
        <w:pStyle w:val="2"/>
        <w:spacing w:before="7" w:line="270" w:lineRule="auto"/>
        <w:ind w:right="253" w:firstLine="560"/>
      </w:pPr>
      <w:r>
        <w:rPr>
          <w:rFonts w:ascii="Times New Roman" w:hAnsi="Times New Roman" w:eastAsia="Times New Roman" w:cs="Times New Roman"/>
          <w:spacing w:val="3"/>
        </w:rPr>
        <w:t>a)</w:t>
      </w:r>
      <w:r>
        <w:rPr>
          <w:rFonts w:ascii="Times New Roman" w:hAnsi="Times New Roman" w:eastAsia="Times New Roman" w:cs="Times New Roman"/>
          <w:spacing w:val="71"/>
        </w:rPr>
        <w:t xml:space="preserve"> </w:t>
      </w:r>
      <w:r>
        <w:rPr>
          <w:spacing w:val="3"/>
        </w:rPr>
        <w:t>每一步骤所需的测试操作员的动作和设备操作，(若适用)包括以下方面</w:t>
      </w:r>
      <w:r>
        <w:t xml:space="preserve"> </w:t>
      </w:r>
      <w:r>
        <w:rPr>
          <w:spacing w:val="-2"/>
        </w:rPr>
        <w:t>的命令，如1)初始化测试用例并运用测试输入；2)检查测试</w:t>
      </w:r>
      <w:r>
        <w:rPr>
          <w:spacing w:val="-3"/>
        </w:rPr>
        <w:t>条件；3)进行测试结</w:t>
      </w:r>
      <w:r>
        <w:t xml:space="preserve"> </w:t>
      </w:r>
      <w:r>
        <w:rPr>
          <w:spacing w:val="-9"/>
        </w:rPr>
        <w:t>果的中期评价；4)记录数据；5)停机或中断测试用例；6)如果</w:t>
      </w:r>
      <w:r>
        <w:rPr>
          <w:spacing w:val="-10"/>
        </w:rPr>
        <w:t>需要，要求数据转储</w:t>
      </w:r>
      <w:r>
        <w:t xml:space="preserve"> </w:t>
      </w:r>
      <w:r>
        <w:rPr>
          <w:spacing w:val="-5"/>
        </w:rPr>
        <w:t>或其他帮助；7)修改数据库/数据文件；</w:t>
      </w:r>
      <w:r>
        <w:rPr>
          <w:spacing w:val="-6"/>
        </w:rPr>
        <w:t>8)如果不成功，重复测试用例；9)根据测</w:t>
      </w:r>
      <w:r>
        <w:t xml:space="preserve"> </w:t>
      </w:r>
      <w:r>
        <w:rPr>
          <w:spacing w:val="-8"/>
        </w:rPr>
        <w:t>试用例的要求，应用替代方式；10)终止测试用例。</w:t>
      </w:r>
    </w:p>
    <w:p w14:paraId="283EC318">
      <w:pPr>
        <w:pStyle w:val="2"/>
        <w:spacing w:before="59"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75"/>
        </w:rPr>
        <w:t xml:space="preserve"> </w:t>
      </w:r>
      <w:r>
        <w:rPr>
          <w:spacing w:val="4"/>
        </w:rPr>
        <w:t>对每一步骤给出预期结果与评价准则。</w:t>
      </w:r>
    </w:p>
    <w:p w14:paraId="4B62F8F1">
      <w:pPr>
        <w:pStyle w:val="2"/>
        <w:spacing w:before="160" w:line="219" w:lineRule="auto"/>
        <w:ind w:left="560"/>
        <w:rPr>
          <w:sz w:val="25"/>
          <w:szCs w:val="25"/>
        </w:rPr>
      </w:pPr>
      <w:r>
        <w:rPr>
          <w:rFonts w:ascii="Times New Roman" w:hAnsi="Times New Roman" w:eastAsia="Times New Roman" w:cs="Times New Roman"/>
          <w:spacing w:val="22"/>
          <w:sz w:val="25"/>
          <w:szCs w:val="25"/>
        </w:rPr>
        <w:t>c</w:t>
      </w:r>
      <w:r>
        <w:rPr>
          <w:rFonts w:ascii="Times New Roman" w:hAnsi="Times New Roman" w:eastAsia="Times New Roman" w:cs="Times New Roman"/>
          <w:spacing w:val="-14"/>
          <w:sz w:val="25"/>
          <w:szCs w:val="25"/>
        </w:rPr>
        <w:t xml:space="preserve"> </w:t>
      </w:r>
      <w:r>
        <w:rPr>
          <w:spacing w:val="22"/>
          <w:sz w:val="25"/>
          <w:szCs w:val="25"/>
        </w:rPr>
        <w:t>)</w:t>
      </w:r>
      <w:r>
        <w:rPr>
          <w:spacing w:val="-50"/>
          <w:sz w:val="25"/>
          <w:szCs w:val="25"/>
        </w:rPr>
        <w:t xml:space="preserve"> </w:t>
      </w:r>
      <w:r>
        <w:rPr>
          <w:spacing w:val="22"/>
          <w:sz w:val="25"/>
          <w:szCs w:val="25"/>
        </w:rPr>
        <w:t>如果测试用例涉及多个需求，应标识测试规程步骤与需求之间</w:t>
      </w:r>
      <w:r>
        <w:rPr>
          <w:spacing w:val="21"/>
          <w:sz w:val="25"/>
          <w:szCs w:val="25"/>
        </w:rPr>
        <w:t>对应关系</w:t>
      </w:r>
    </w:p>
    <w:p w14:paraId="3F9751F0">
      <w:pPr>
        <w:spacing w:line="219" w:lineRule="auto"/>
        <w:rPr>
          <w:sz w:val="25"/>
          <w:szCs w:val="25"/>
        </w:rPr>
        <w:sectPr>
          <w:footerReference r:id="rId243" w:type="default"/>
          <w:pgSz w:w="11910" w:h="17130"/>
          <w:pgMar w:top="1456" w:right="804" w:bottom="1593" w:left="1470" w:header="0" w:footer="1394" w:gutter="0"/>
          <w:cols w:space="720" w:num="1"/>
        </w:sectPr>
      </w:pPr>
    </w:p>
    <w:p w14:paraId="54ABCAC2">
      <w:pPr>
        <w:pStyle w:val="2"/>
        <w:spacing w:before="93" w:line="219" w:lineRule="auto"/>
      </w:pPr>
      <w:r>
        <w:rPr>
          <w:spacing w:val="10"/>
        </w:rPr>
        <w:t>(亦可在第5章中提供此信息)。</w:t>
      </w:r>
    </w:p>
    <w:p w14:paraId="0AAB8AEA">
      <w:pPr>
        <w:pStyle w:val="2"/>
        <w:spacing w:before="41" w:line="287" w:lineRule="auto"/>
        <w:ind w:firstLine="550"/>
      </w:pPr>
      <w:r>
        <w:rPr>
          <w:rFonts w:ascii="Times New Roman" w:hAnsi="Times New Roman" w:eastAsia="Times New Roman" w:cs="Times New Roman"/>
          <w:spacing w:val="2"/>
        </w:rPr>
        <w:t>d)</w:t>
      </w:r>
      <w:r>
        <w:rPr>
          <w:rFonts w:ascii="Times New Roman" w:hAnsi="Times New Roman" w:eastAsia="Times New Roman" w:cs="Times New Roman"/>
          <w:spacing w:val="74"/>
        </w:rPr>
        <w:t xml:space="preserve"> </w:t>
      </w:r>
      <w:r>
        <w:rPr>
          <w:spacing w:val="2"/>
        </w:rPr>
        <w:t>程序停止或指示了错误发生后要采取的动作，如1)对指示器的关键数据</w:t>
      </w:r>
      <w:r>
        <w:t xml:space="preserve">  </w:t>
      </w:r>
      <w:r>
        <w:rPr>
          <w:spacing w:val="1"/>
        </w:rPr>
        <w:t>进行记录，以便于引用；2)停止或暂停对时间敏感的</w:t>
      </w:r>
      <w:r>
        <w:t>测试支撑软件和测试仪器；</w:t>
      </w:r>
    </w:p>
    <w:p w14:paraId="250CFA80">
      <w:pPr>
        <w:pStyle w:val="2"/>
        <w:spacing w:line="219" w:lineRule="auto"/>
      </w:pPr>
      <w:r>
        <w:rPr>
          <w:spacing w:val="4"/>
        </w:rPr>
        <w:t>3)对测试结果有关的系统和操作员的记录进行收集。</w:t>
      </w:r>
    </w:p>
    <w:p w14:paraId="7330CB5D">
      <w:pPr>
        <w:pStyle w:val="2"/>
        <w:spacing w:before="58" w:line="283" w:lineRule="auto"/>
        <w:ind w:right="117" w:firstLine="550"/>
        <w:jc w:val="both"/>
      </w:pPr>
      <w:r>
        <w:rPr>
          <w:rFonts w:ascii="Times New Roman" w:hAnsi="Times New Roman" w:eastAsia="Times New Roman" w:cs="Times New Roman"/>
          <w:spacing w:val="19"/>
        </w:rPr>
        <w:t>e)</w:t>
      </w:r>
      <w:r>
        <w:rPr>
          <w:rFonts w:ascii="Times New Roman" w:hAnsi="Times New Roman" w:eastAsia="Times New Roman" w:cs="Times New Roman"/>
          <w:spacing w:val="72"/>
          <w:w w:val="101"/>
        </w:rPr>
        <w:t xml:space="preserve"> </w:t>
      </w:r>
      <w:r>
        <w:rPr>
          <w:spacing w:val="19"/>
        </w:rPr>
        <w:t>归约和分析测试结果所采用的规程，(若适用)应完成1)检测是否已</w:t>
      </w:r>
      <w:r>
        <w:t xml:space="preserve"> </w:t>
      </w:r>
      <w:r>
        <w:rPr>
          <w:spacing w:val="13"/>
        </w:rPr>
        <w:t>产生了输出；2)标识由测试用例所产生数</w:t>
      </w:r>
      <w:r>
        <w:rPr>
          <w:spacing w:val="12"/>
        </w:rPr>
        <w:t>据的介质和位置；3)对输出进行评</w:t>
      </w:r>
      <w:r>
        <w:t xml:space="preserve"> </w:t>
      </w:r>
      <w:r>
        <w:rPr>
          <w:spacing w:val="13"/>
        </w:rPr>
        <w:t>价，并以此作为测试序列继续的基础；4)按照预期的输出，对测试输出进行</w:t>
      </w:r>
      <w:r>
        <w:t xml:space="preserve"> </w:t>
      </w:r>
      <w:r>
        <w:rPr>
          <w:spacing w:val="8"/>
        </w:rPr>
        <w:t>评价。</w:t>
      </w:r>
    </w:p>
    <w:p w14:paraId="49C2573B">
      <w:pPr>
        <w:spacing w:before="1" w:line="221" w:lineRule="auto"/>
        <w:rPr>
          <w:rFonts w:ascii="黑体" w:hAnsi="黑体" w:eastAsia="黑体" w:cs="黑体"/>
          <w:sz w:val="27"/>
          <w:szCs w:val="27"/>
        </w:rPr>
      </w:pPr>
      <w:r>
        <w:rPr>
          <w:rFonts w:ascii="Times New Roman" w:hAnsi="Times New Roman" w:eastAsia="Times New Roman" w:cs="Times New Roman"/>
          <w:sz w:val="27"/>
          <w:szCs w:val="27"/>
        </w:rPr>
        <w:t>4.X.Y.</w:t>
      </w:r>
      <w:r>
        <w:rPr>
          <w:rFonts w:ascii="Times New Roman" w:hAnsi="Times New Roman" w:eastAsia="Times New Roman" w:cs="Times New Roman"/>
          <w:spacing w:val="17"/>
          <w:sz w:val="27"/>
          <w:szCs w:val="27"/>
        </w:rPr>
        <w:t xml:space="preserve">  </w:t>
      </w:r>
      <w:r>
        <w:rPr>
          <w:rFonts w:ascii="黑体" w:hAnsi="黑体" w:eastAsia="黑体" w:cs="黑体"/>
          <w:sz w:val="27"/>
          <w:szCs w:val="27"/>
        </w:rPr>
        <w:t>7</w:t>
      </w:r>
      <w:r>
        <w:rPr>
          <w:rFonts w:ascii="黑体" w:hAnsi="黑体" w:eastAsia="黑体" w:cs="黑体"/>
          <w:spacing w:val="20"/>
          <w:sz w:val="27"/>
          <w:szCs w:val="27"/>
        </w:rPr>
        <w:t xml:space="preserve">  </w:t>
      </w:r>
      <w:r>
        <w:rPr>
          <w:rFonts w:ascii="黑体" w:hAnsi="黑体" w:eastAsia="黑体" w:cs="黑体"/>
          <w:b/>
          <w:bCs/>
          <w:sz w:val="27"/>
          <w:szCs w:val="27"/>
        </w:rPr>
        <w:t>假设和约束</w:t>
      </w:r>
    </w:p>
    <w:p w14:paraId="45D30D73">
      <w:pPr>
        <w:pStyle w:val="2"/>
        <w:spacing w:before="79" w:line="278" w:lineRule="auto"/>
        <w:ind w:right="101" w:firstLine="550"/>
        <w:jc w:val="both"/>
      </w:pPr>
      <w:r>
        <w:rPr>
          <w:spacing w:val="6"/>
        </w:rPr>
        <w:t>本条应描述所做的任何假设，以及系统或测试条件</w:t>
      </w:r>
      <w:r>
        <w:rPr>
          <w:spacing w:val="5"/>
        </w:rPr>
        <w:t>给测试用例带来的约束</w:t>
      </w:r>
      <w:r>
        <w:t xml:space="preserve"> </w:t>
      </w:r>
      <w:r>
        <w:rPr>
          <w:spacing w:val="-6"/>
        </w:rPr>
        <w:t>或限制，如时间、接口、设备、人员与数据库</w:t>
      </w:r>
      <w:r>
        <w:rPr>
          <w:spacing w:val="-7"/>
        </w:rPr>
        <w:t>/数据文件的限制。如果对指定的限</w:t>
      </w:r>
      <w:r>
        <w:t xml:space="preserve"> </w:t>
      </w:r>
      <w:r>
        <w:rPr>
          <w:spacing w:val="-3"/>
        </w:rPr>
        <w:t>制和参数，放弃或例外处理得到批准的话，应对它们加以标识，并指出它们对测</w:t>
      </w:r>
      <w:r>
        <w:rPr>
          <w:spacing w:val="15"/>
        </w:rPr>
        <w:t xml:space="preserve"> </w:t>
      </w:r>
      <w:r>
        <w:rPr>
          <w:spacing w:val="1"/>
        </w:rPr>
        <w:t>试用例的影响与效果。</w:t>
      </w:r>
    </w:p>
    <w:p w14:paraId="7F395719">
      <w:pPr>
        <w:spacing w:before="1" w:line="221"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需求的可追踪性</w:t>
      </w:r>
    </w:p>
    <w:p w14:paraId="36499E65">
      <w:pPr>
        <w:pStyle w:val="2"/>
        <w:spacing w:before="89" w:line="219" w:lineRule="auto"/>
        <w:ind w:left="550"/>
      </w:pPr>
      <w:r>
        <w:rPr>
          <w:spacing w:val="-1"/>
        </w:rPr>
        <w:t>本条应描述：</w:t>
      </w:r>
    </w:p>
    <w:p w14:paraId="38BC0B34">
      <w:pPr>
        <w:pStyle w:val="2"/>
        <w:spacing w:before="72" w:line="264" w:lineRule="auto"/>
        <w:ind w:right="114" w:firstLine="550"/>
      </w:pPr>
      <w:r>
        <w:rPr>
          <w:rFonts w:ascii="Times New Roman" w:hAnsi="Times New Roman" w:eastAsia="Times New Roman" w:cs="Times New Roman"/>
          <w:spacing w:val="7"/>
        </w:rPr>
        <w:t>a)</w:t>
      </w:r>
      <w:r>
        <w:rPr>
          <w:rFonts w:ascii="Times New Roman" w:hAnsi="Times New Roman" w:eastAsia="Times New Roman" w:cs="Times New Roman"/>
          <w:spacing w:val="80"/>
        </w:rPr>
        <w:t xml:space="preserve"> </w:t>
      </w:r>
      <w:r>
        <w:rPr>
          <w:spacing w:val="7"/>
        </w:rPr>
        <w:t>从软件测试说明中的测试用例到它所涉及的系统或</w:t>
      </w:r>
      <w:r>
        <w:rPr>
          <w:rFonts w:ascii="Times New Roman" w:hAnsi="Times New Roman" w:eastAsia="Times New Roman" w:cs="Times New Roman"/>
        </w:rPr>
        <w:t>CSCI</w:t>
      </w:r>
      <w:r>
        <w:rPr>
          <w:rFonts w:ascii="Times New Roman" w:hAnsi="Times New Roman" w:eastAsia="Times New Roman" w:cs="Times New Roman"/>
          <w:spacing w:val="7"/>
        </w:rPr>
        <w:t xml:space="preserve"> </w:t>
      </w:r>
      <w:r>
        <w:rPr>
          <w:spacing w:val="7"/>
        </w:rPr>
        <w:t>需求的可追踪</w:t>
      </w:r>
      <w:r>
        <w:t xml:space="preserve"> </w:t>
      </w:r>
      <w:r>
        <w:rPr>
          <w:spacing w:val="5"/>
        </w:rPr>
        <w:t>性。若一个测试用例涉及多个需求，应包含从每一组测试规程步骤到所涉及的</w:t>
      </w:r>
      <w:r>
        <w:rPr>
          <w:spacing w:val="9"/>
        </w:rPr>
        <w:t xml:space="preserve"> </w:t>
      </w:r>
      <w:r>
        <w:rPr>
          <w:spacing w:val="5"/>
        </w:rPr>
        <w:t>需求的可追踪性(亦可在4.</w:t>
      </w:r>
      <w:r>
        <w:rPr>
          <w:rFonts w:ascii="Times New Roman" w:hAnsi="Times New Roman" w:eastAsia="Times New Roman" w:cs="Times New Roman"/>
          <w:spacing w:val="5"/>
        </w:rPr>
        <w:t xml:space="preserve">X.Y.1   </w:t>
      </w:r>
      <w:r>
        <w:rPr>
          <w:spacing w:val="5"/>
        </w:rPr>
        <w:t>中提供)。</w:t>
      </w:r>
    </w:p>
    <w:p w14:paraId="70AA777A">
      <w:pPr>
        <w:pStyle w:val="2"/>
        <w:spacing w:before="75" w:line="272" w:lineRule="auto"/>
        <w:ind w:right="102" w:firstLine="550"/>
      </w:pPr>
      <w:r>
        <w:rPr>
          <w:rFonts w:ascii="Times New Roman" w:hAnsi="Times New Roman" w:eastAsia="Times New Roman" w:cs="Times New Roman"/>
          <w:spacing w:val="8"/>
        </w:rPr>
        <w:t>b)</w:t>
      </w:r>
      <w:r>
        <w:rPr>
          <w:rFonts w:ascii="Times New Roman" w:hAnsi="Times New Roman" w:eastAsia="Times New Roman" w:cs="Times New Roman"/>
          <w:spacing w:val="57"/>
        </w:rPr>
        <w:t xml:space="preserve"> </w:t>
      </w:r>
      <w:r>
        <w:rPr>
          <w:spacing w:val="8"/>
        </w:rPr>
        <w:t>从本软件测试说明所提及的每项系统或</w:t>
      </w:r>
      <w:r>
        <w:rPr>
          <w:rFonts w:ascii="Times New Roman" w:hAnsi="Times New Roman" w:eastAsia="Times New Roman" w:cs="Times New Roman"/>
        </w:rPr>
        <w:t>CSCI</w:t>
      </w:r>
      <w:r>
        <w:rPr>
          <w:rFonts w:ascii="Times New Roman" w:hAnsi="Times New Roman" w:eastAsia="Times New Roman" w:cs="Times New Roman"/>
          <w:spacing w:val="8"/>
        </w:rPr>
        <w:t xml:space="preserve"> </w:t>
      </w:r>
      <w:r>
        <w:rPr>
          <w:spacing w:val="8"/>
        </w:rPr>
        <w:t>需求到涉及它们</w:t>
      </w:r>
      <w:r>
        <w:rPr>
          <w:spacing w:val="7"/>
        </w:rPr>
        <w:t>的测试用</w:t>
      </w:r>
      <w:r>
        <w:t xml:space="preserve"> </w:t>
      </w:r>
      <w:r>
        <w:rPr>
          <w:spacing w:val="4"/>
        </w:rPr>
        <w:t>例的可追踪性。对于</w:t>
      </w:r>
      <w:r>
        <w:rPr>
          <w:rFonts w:ascii="Times New Roman" w:hAnsi="Times New Roman" w:eastAsia="Times New Roman" w:cs="Times New Roman"/>
        </w:rPr>
        <w:t>CSCI</w:t>
      </w:r>
      <w:r>
        <w:rPr>
          <w:rFonts w:ascii="Times New Roman" w:hAnsi="Times New Roman" w:eastAsia="Times New Roman" w:cs="Times New Roman"/>
          <w:spacing w:val="39"/>
        </w:rPr>
        <w:t xml:space="preserve"> </w:t>
      </w:r>
      <w:r>
        <w:rPr>
          <w:spacing w:val="4"/>
        </w:rPr>
        <w:t>测试，是从</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4"/>
        </w:rPr>
        <w:t>的软件需求规格说明(</w:t>
      </w:r>
      <w:r>
        <w:rPr>
          <w:rFonts w:ascii="Times New Roman" w:hAnsi="Times New Roman" w:eastAsia="Times New Roman" w:cs="Times New Roman"/>
        </w:rPr>
        <w:t>SRS</w:t>
      </w:r>
      <w:r>
        <w:rPr>
          <w:rFonts w:ascii="Times New Roman" w:hAnsi="Times New Roman" w:eastAsia="Times New Roman" w:cs="Times New Roman"/>
          <w:spacing w:val="4"/>
        </w:rPr>
        <w:t>)</w:t>
      </w:r>
      <w:r>
        <w:rPr>
          <w:rFonts w:ascii="Times New Roman" w:hAnsi="Times New Roman" w:eastAsia="Times New Roman" w:cs="Times New Roman"/>
          <w:spacing w:val="29"/>
        </w:rPr>
        <w:t xml:space="preserve"> </w:t>
      </w:r>
      <w:r>
        <w:rPr>
          <w:spacing w:val="4"/>
        </w:rPr>
        <w:t>和有关</w:t>
      </w:r>
      <w:r>
        <w:t xml:space="preserve"> </w:t>
      </w:r>
      <w:r>
        <w:rPr>
          <w:spacing w:val="10"/>
        </w:rPr>
        <w:t>接口需求规格说明(</w:t>
      </w:r>
      <w:r>
        <w:rPr>
          <w:rFonts w:ascii="Times New Roman" w:hAnsi="Times New Roman" w:eastAsia="Times New Roman" w:cs="Times New Roman"/>
        </w:rPr>
        <w:t>IRS</w:t>
      </w:r>
      <w:r>
        <w:rPr>
          <w:rFonts w:ascii="Times New Roman" w:hAnsi="Times New Roman" w:eastAsia="Times New Roman" w:cs="Times New Roman"/>
          <w:spacing w:val="10"/>
        </w:rPr>
        <w:t>)</w:t>
      </w:r>
      <w:r>
        <w:rPr>
          <w:rFonts w:ascii="Times New Roman" w:hAnsi="Times New Roman" w:eastAsia="Times New Roman" w:cs="Times New Roman"/>
          <w:spacing w:val="29"/>
        </w:rPr>
        <w:t xml:space="preserve"> </w:t>
      </w:r>
      <w:r>
        <w:rPr>
          <w:spacing w:val="10"/>
        </w:rPr>
        <w:t>中的每项</w:t>
      </w:r>
      <w:r>
        <w:rPr>
          <w:spacing w:val="-62"/>
        </w:rPr>
        <w:t xml:space="preserve"> </w:t>
      </w:r>
      <w:r>
        <w:rPr>
          <w:rFonts w:ascii="Times New Roman" w:hAnsi="Times New Roman" w:eastAsia="Times New Roman" w:cs="Times New Roman"/>
        </w:rPr>
        <w:t>CSCI</w:t>
      </w:r>
      <w:r>
        <w:rPr>
          <w:rFonts w:ascii="Times New Roman" w:hAnsi="Times New Roman" w:eastAsia="Times New Roman" w:cs="Times New Roman"/>
          <w:spacing w:val="10"/>
        </w:rPr>
        <w:t xml:space="preserve"> </w:t>
      </w:r>
      <w:r>
        <w:rPr>
          <w:spacing w:val="10"/>
        </w:rPr>
        <w:t>需求到涉及它们的测试用例的可追踪</w:t>
      </w:r>
      <w:r>
        <w:t xml:space="preserve"> </w:t>
      </w:r>
      <w:r>
        <w:rPr>
          <w:spacing w:val="1"/>
        </w:rPr>
        <w:t>性。对于系统测试，是从系统的系统/子系统规格说明(</w:t>
      </w:r>
      <w:r>
        <w:rPr>
          <w:spacing w:val="-61"/>
        </w:rPr>
        <w:t xml:space="preserve"> </w:t>
      </w:r>
      <w:r>
        <w:rPr>
          <w:rFonts w:ascii="Times New Roman" w:hAnsi="Times New Roman" w:eastAsia="Times New Roman" w:cs="Times New Roman"/>
        </w:rPr>
        <w:t>SSS</w:t>
      </w:r>
      <w:r>
        <w:rPr>
          <w:rFonts w:ascii="Times New Roman" w:hAnsi="Times New Roman" w:eastAsia="Times New Roman" w:cs="Times New Roman"/>
          <w:spacing w:val="1"/>
        </w:rPr>
        <w:t>)</w:t>
      </w:r>
      <w:r>
        <w:rPr>
          <w:rFonts w:ascii="Times New Roman" w:hAnsi="Times New Roman" w:eastAsia="Times New Roman" w:cs="Times New Roman"/>
          <w:spacing w:val="19"/>
        </w:rPr>
        <w:t xml:space="preserve"> </w:t>
      </w:r>
      <w:r>
        <w:rPr>
          <w:spacing w:val="1"/>
        </w:rPr>
        <w:t>及有关</w:t>
      </w:r>
      <w:r>
        <w:rPr>
          <w:rFonts w:ascii="Times New Roman" w:hAnsi="Times New Roman" w:eastAsia="Times New Roman" w:cs="Times New Roman"/>
        </w:rPr>
        <w:t>IRS</w:t>
      </w:r>
      <w:r>
        <w:rPr>
          <w:rFonts w:ascii="Times New Roman" w:hAnsi="Times New Roman" w:eastAsia="Times New Roman" w:cs="Times New Roman"/>
          <w:spacing w:val="30"/>
        </w:rPr>
        <w:t xml:space="preserve"> </w:t>
      </w:r>
      <w:r>
        <w:rPr>
          <w:spacing w:val="1"/>
        </w:rPr>
        <w:t>中的每</w:t>
      </w:r>
      <w:r>
        <w:t xml:space="preserve"> </w:t>
      </w:r>
      <w:r>
        <w:rPr>
          <w:spacing w:val="5"/>
        </w:rPr>
        <w:t xml:space="preserve">项系统需求到涉及它们的测试用例的可追踪性。如果一个测试用例涉及多项需 </w:t>
      </w:r>
      <w:r>
        <w:rPr>
          <w:spacing w:val="-2"/>
        </w:rPr>
        <w:t>求，则可追踪性应指明涉及每项需求的特定测试规程步骤。</w:t>
      </w:r>
    </w:p>
    <w:p w14:paraId="095240BF">
      <w:pPr>
        <w:spacing w:before="84" w:line="222" w:lineRule="auto"/>
        <w:rPr>
          <w:rFonts w:ascii="黑体" w:hAnsi="黑体" w:eastAsia="黑体" w:cs="黑体"/>
          <w:sz w:val="25"/>
          <w:szCs w:val="25"/>
        </w:rPr>
      </w:pPr>
      <w:r>
        <w:rPr>
          <w:rFonts w:ascii="黑体" w:hAnsi="黑体" w:eastAsia="黑体" w:cs="黑体"/>
          <w:spacing w:val="6"/>
          <w:sz w:val="25"/>
          <w:szCs w:val="25"/>
        </w:rPr>
        <w:t>6</w:t>
      </w:r>
      <w:r>
        <w:rPr>
          <w:rFonts w:ascii="黑体" w:hAnsi="黑体" w:eastAsia="黑体" w:cs="黑体"/>
          <w:spacing w:val="28"/>
          <w:sz w:val="25"/>
          <w:szCs w:val="25"/>
        </w:rPr>
        <w:t xml:space="preserve">  </w:t>
      </w:r>
      <w:r>
        <w:rPr>
          <w:rFonts w:ascii="黑体" w:hAnsi="黑体" w:eastAsia="黑体" w:cs="黑体"/>
          <w:b/>
          <w:bCs/>
          <w:spacing w:val="6"/>
          <w:sz w:val="25"/>
          <w:szCs w:val="25"/>
        </w:rPr>
        <w:t>注释</w:t>
      </w:r>
    </w:p>
    <w:p w14:paraId="27CC7EF2">
      <w:pPr>
        <w:pStyle w:val="2"/>
        <w:spacing w:before="124" w:line="219" w:lineRule="auto"/>
        <w:ind w:left="550"/>
      </w:pPr>
      <w:r>
        <w:rPr>
          <w:spacing w:val="-3"/>
        </w:rPr>
        <w:t>本章应包括有助于了解文档的所有信息(例如背景、</w:t>
      </w:r>
      <w:r>
        <w:rPr>
          <w:spacing w:val="-4"/>
        </w:rPr>
        <w:t>术语、缩略语或公式)。</w:t>
      </w:r>
    </w:p>
    <w:p w14:paraId="0F8BB7E1">
      <w:pPr>
        <w:spacing w:line="327" w:lineRule="auto"/>
        <w:rPr>
          <w:rFonts w:ascii="Arial"/>
          <w:sz w:val="21"/>
        </w:rPr>
      </w:pPr>
    </w:p>
    <w:p w14:paraId="6B7A1D9E">
      <w:pPr>
        <w:pStyle w:val="2"/>
        <w:spacing w:before="117" w:line="218" w:lineRule="auto"/>
        <w:ind w:left="3060"/>
        <w:rPr>
          <w:sz w:val="36"/>
          <w:szCs w:val="36"/>
        </w:rPr>
      </w:pPr>
      <w:r>
        <w:rPr>
          <w:spacing w:val="-5"/>
          <w:sz w:val="36"/>
          <w:szCs w:val="36"/>
        </w:rPr>
        <w:t>2.</w:t>
      </w:r>
      <w:r>
        <w:rPr>
          <w:b/>
          <w:bCs/>
          <w:spacing w:val="-5"/>
          <w:sz w:val="36"/>
          <w:szCs w:val="36"/>
        </w:rPr>
        <w:t>17</w:t>
      </w:r>
      <w:r>
        <w:rPr>
          <w:spacing w:val="39"/>
          <w:sz w:val="36"/>
          <w:szCs w:val="36"/>
        </w:rPr>
        <w:t xml:space="preserve">  </w:t>
      </w:r>
      <w:r>
        <w:rPr>
          <w:b/>
          <w:bCs/>
          <w:spacing w:val="-5"/>
          <w:sz w:val="36"/>
          <w:szCs w:val="36"/>
        </w:rPr>
        <w:t>软件测试报告</w:t>
      </w:r>
    </w:p>
    <w:p w14:paraId="61533FEC">
      <w:pPr>
        <w:spacing w:line="385" w:lineRule="auto"/>
        <w:rPr>
          <w:rFonts w:ascii="Arial"/>
          <w:sz w:val="21"/>
        </w:rPr>
      </w:pPr>
    </w:p>
    <w:p w14:paraId="7C227BCF">
      <w:pPr>
        <w:pStyle w:val="2"/>
        <w:spacing w:before="78" w:line="225" w:lineRule="auto"/>
        <w:ind w:left="550"/>
        <w:rPr>
          <w:rFonts w:ascii="楷体" w:hAnsi="楷体" w:eastAsia="楷体" w:cs="楷体"/>
          <w:sz w:val="24"/>
          <w:szCs w:val="24"/>
        </w:rPr>
      </w:pPr>
      <w:r>
        <w:rPr>
          <w:rFonts w:ascii="楷体" w:hAnsi="楷体" w:eastAsia="楷体" w:cs="楷体"/>
          <w:spacing w:val="13"/>
          <w:sz w:val="24"/>
          <w:szCs w:val="24"/>
        </w:rPr>
        <w:t>按</w:t>
      </w:r>
      <w:r>
        <w:rPr>
          <w:rFonts w:ascii="楷体" w:hAnsi="楷体" w:eastAsia="楷体" w:cs="楷体"/>
          <w:spacing w:val="-20"/>
          <w:sz w:val="24"/>
          <w:szCs w:val="24"/>
        </w:rPr>
        <w:t xml:space="preserve"> </w:t>
      </w:r>
      <w:r>
        <w:rPr>
          <w:rFonts w:ascii="楷体" w:hAnsi="楷体" w:eastAsia="楷体" w:cs="楷体"/>
          <w:spacing w:val="1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438B—2009</w:t>
      </w:r>
      <w:r>
        <w:rPr>
          <w:spacing w:val="13"/>
          <w:sz w:val="24"/>
          <w:szCs w:val="24"/>
        </w:rPr>
        <w:t xml:space="preserve">《  </w:t>
      </w:r>
      <w:r>
        <w:rPr>
          <w:rFonts w:ascii="楷体" w:hAnsi="楷体" w:eastAsia="楷体" w:cs="楷体"/>
          <w:spacing w:val="13"/>
          <w:sz w:val="24"/>
          <w:szCs w:val="24"/>
        </w:rPr>
        <w:t>军用软件开发文档</w:t>
      </w:r>
      <w:r>
        <w:rPr>
          <w:rFonts w:ascii="楷体" w:hAnsi="楷体" w:eastAsia="楷体" w:cs="楷体"/>
          <w:spacing w:val="12"/>
          <w:sz w:val="24"/>
          <w:szCs w:val="24"/>
        </w:rPr>
        <w:t>通用要求》编写。</w:t>
      </w:r>
    </w:p>
    <w:p w14:paraId="01DF2962">
      <w:pPr>
        <w:spacing w:before="58"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304D5365">
      <w:pPr>
        <w:spacing w:before="98" w:line="222"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b/>
          <w:bCs/>
          <w:spacing w:val="-13"/>
          <w:sz w:val="27"/>
          <w:szCs w:val="27"/>
        </w:rPr>
        <w:t>1</w:t>
      </w:r>
      <w:r>
        <w:rPr>
          <w:rFonts w:ascii="黑体" w:hAnsi="黑体" w:eastAsia="黑体" w:cs="黑体"/>
          <w:spacing w:val="40"/>
          <w:sz w:val="27"/>
          <w:szCs w:val="27"/>
        </w:rPr>
        <w:t xml:space="preserve">  </w:t>
      </w:r>
      <w:r>
        <w:rPr>
          <w:rFonts w:ascii="黑体" w:hAnsi="黑体" w:eastAsia="黑体" w:cs="黑体"/>
          <w:b/>
          <w:bCs/>
          <w:spacing w:val="-13"/>
          <w:sz w:val="27"/>
          <w:szCs w:val="27"/>
        </w:rPr>
        <w:t>标识</w:t>
      </w:r>
    </w:p>
    <w:p w14:paraId="489E1F39">
      <w:pPr>
        <w:pStyle w:val="2"/>
        <w:spacing w:before="77" w:line="296" w:lineRule="auto"/>
        <w:ind w:firstLine="550"/>
      </w:pPr>
      <w:r>
        <w:t>本条应描述本文档所适用系统和软件的完整标识，适用时，包括其标识号、</w:t>
      </w:r>
      <w:r>
        <w:rPr>
          <w:spacing w:val="14"/>
        </w:rPr>
        <w:t xml:space="preserve"> </w:t>
      </w:r>
      <w:r>
        <w:rPr>
          <w:spacing w:val="-16"/>
        </w:rPr>
        <w:t>名称、缩略名、版本号和发布号。</w:t>
      </w:r>
    </w:p>
    <w:p w14:paraId="43C19C8E">
      <w:pPr>
        <w:spacing w:line="296" w:lineRule="auto"/>
        <w:sectPr>
          <w:footerReference r:id="rId244" w:type="default"/>
          <w:pgSz w:w="11910" w:h="17130"/>
          <w:pgMar w:top="1456" w:right="1334" w:bottom="1626" w:left="1100" w:header="0" w:footer="1437" w:gutter="0"/>
          <w:cols w:space="720" w:num="1"/>
        </w:sectPr>
      </w:pPr>
    </w:p>
    <w:p w14:paraId="43C4D7AF">
      <w:pPr>
        <w:spacing w:before="148" w:line="221"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31"/>
          <w:sz w:val="27"/>
          <w:szCs w:val="27"/>
        </w:rPr>
        <w:t xml:space="preserve">  </w:t>
      </w:r>
      <w:r>
        <w:rPr>
          <w:rFonts w:ascii="黑体" w:hAnsi="黑体" w:eastAsia="黑体" w:cs="黑体"/>
          <w:b/>
          <w:bCs/>
          <w:spacing w:val="-7"/>
          <w:sz w:val="27"/>
          <w:szCs w:val="27"/>
        </w:rPr>
        <w:t>系统概述</w:t>
      </w:r>
    </w:p>
    <w:p w14:paraId="24C4713E">
      <w:pPr>
        <w:pStyle w:val="2"/>
        <w:spacing w:before="59" w:line="291" w:lineRule="auto"/>
        <w:ind w:right="7" w:firstLine="570"/>
        <w:jc w:val="both"/>
      </w:pPr>
      <w:r>
        <w:rPr>
          <w:spacing w:val="6"/>
        </w:rPr>
        <w:t>本条应概述本文档适用系统和软件的用途。它</w:t>
      </w:r>
      <w:r>
        <w:rPr>
          <w:spacing w:val="5"/>
        </w:rPr>
        <w:t>还应描述系统与软件的一般</w:t>
      </w:r>
      <w:r>
        <w:t xml:space="preserve"> </w:t>
      </w:r>
      <w:r>
        <w:rPr>
          <w:spacing w:val="-10"/>
        </w:rPr>
        <w:t>特性；概述系统开发、运行和维护的历史；标识项目的需方、用户、开发方和保障</w:t>
      </w:r>
      <w:r>
        <w:t xml:space="preserve"> </w:t>
      </w:r>
      <w:r>
        <w:rPr>
          <w:spacing w:val="-6"/>
        </w:rPr>
        <w:t>机构等；标识当前和计划的运行现场；列出其他有关文档。</w:t>
      </w:r>
    </w:p>
    <w:p w14:paraId="68C98633">
      <w:pPr>
        <w:spacing w:before="1" w:line="220" w:lineRule="auto"/>
        <w:rPr>
          <w:rFonts w:ascii="黑体" w:hAnsi="黑体" w:eastAsia="黑体" w:cs="黑体"/>
          <w:sz w:val="25"/>
          <w:szCs w:val="25"/>
        </w:rPr>
      </w:pPr>
      <w:r>
        <w:rPr>
          <w:rFonts w:ascii="黑体" w:hAnsi="黑体" w:eastAsia="黑体" w:cs="黑体"/>
          <w:spacing w:val="5"/>
          <w:sz w:val="25"/>
          <w:szCs w:val="25"/>
        </w:rPr>
        <w:t>1.3</w:t>
      </w:r>
      <w:r>
        <w:rPr>
          <w:rFonts w:ascii="黑体" w:hAnsi="黑体" w:eastAsia="黑体" w:cs="黑体"/>
          <w:spacing w:val="51"/>
          <w:sz w:val="25"/>
          <w:szCs w:val="25"/>
        </w:rPr>
        <w:t xml:space="preserve">  </w:t>
      </w:r>
      <w:r>
        <w:rPr>
          <w:rFonts w:ascii="黑体" w:hAnsi="黑体" w:eastAsia="黑体" w:cs="黑体"/>
          <w:b/>
          <w:bCs/>
          <w:spacing w:val="5"/>
          <w:sz w:val="25"/>
          <w:szCs w:val="25"/>
        </w:rPr>
        <w:t>文档概述</w:t>
      </w:r>
    </w:p>
    <w:p w14:paraId="4A5D48E1">
      <w:pPr>
        <w:pStyle w:val="2"/>
        <w:spacing w:before="65" w:line="293" w:lineRule="auto"/>
        <w:ind w:right="27" w:firstLine="570"/>
      </w:pPr>
      <w:r>
        <w:rPr>
          <w:spacing w:val="5"/>
        </w:rPr>
        <w:t>本条应概述本文档的用途与内容，并描述与它的使用有关的保密性方面的</w:t>
      </w:r>
      <w:r>
        <w:t xml:space="preserve"> </w:t>
      </w:r>
      <w:r>
        <w:rPr>
          <w:spacing w:val="-2"/>
        </w:rPr>
        <w:t>要求。</w:t>
      </w:r>
    </w:p>
    <w:p w14:paraId="48F411AD">
      <w:pPr>
        <w:spacing w:line="221" w:lineRule="auto"/>
        <w:rPr>
          <w:rFonts w:ascii="黑体" w:hAnsi="黑体" w:eastAsia="黑体" w:cs="黑体"/>
          <w:sz w:val="27"/>
          <w:szCs w:val="27"/>
        </w:rPr>
      </w:pPr>
      <w:r>
        <w:rPr>
          <w:rFonts w:ascii="黑体" w:hAnsi="黑体" w:eastAsia="黑体" w:cs="黑体"/>
          <w:spacing w:val="-5"/>
          <w:sz w:val="27"/>
          <w:szCs w:val="27"/>
        </w:rPr>
        <w:t>2</w:t>
      </w:r>
      <w:r>
        <w:rPr>
          <w:rFonts w:ascii="黑体" w:hAnsi="黑体" w:eastAsia="黑体" w:cs="黑体"/>
          <w:spacing w:val="18"/>
          <w:sz w:val="27"/>
          <w:szCs w:val="27"/>
        </w:rPr>
        <w:t xml:space="preserve">  </w:t>
      </w:r>
      <w:r>
        <w:rPr>
          <w:rFonts w:ascii="黑体" w:hAnsi="黑体" w:eastAsia="黑体" w:cs="黑体"/>
          <w:b/>
          <w:bCs/>
          <w:spacing w:val="-5"/>
          <w:sz w:val="27"/>
          <w:szCs w:val="27"/>
        </w:rPr>
        <w:t>引用文档</w:t>
      </w:r>
    </w:p>
    <w:p w14:paraId="6BE7A80C">
      <w:pPr>
        <w:pStyle w:val="2"/>
        <w:spacing w:before="79" w:line="296" w:lineRule="auto"/>
        <w:ind w:right="5" w:firstLine="570"/>
      </w:pPr>
      <w:r>
        <w:rPr>
          <w:spacing w:val="-11"/>
        </w:rPr>
        <w:t>本章应列出引用文档的编号、标题、编写单位、修订版及日期，还应标识不能</w:t>
      </w:r>
      <w:r>
        <w:rPr>
          <w:spacing w:val="16"/>
        </w:rPr>
        <w:t xml:space="preserve"> </w:t>
      </w:r>
      <w:r>
        <w:rPr>
          <w:spacing w:val="4"/>
        </w:rPr>
        <w:t>通过正常采购活动得到的文档的来源。</w:t>
      </w:r>
    </w:p>
    <w:p w14:paraId="411C509F">
      <w:pPr>
        <w:spacing w:before="1" w:line="220" w:lineRule="auto"/>
        <w:rPr>
          <w:rFonts w:ascii="黑体" w:hAnsi="黑体" w:eastAsia="黑体" w:cs="黑体"/>
          <w:sz w:val="24"/>
          <w:szCs w:val="24"/>
        </w:rPr>
      </w:pPr>
      <w:r>
        <w:rPr>
          <w:rFonts w:ascii="黑体" w:hAnsi="黑体" w:eastAsia="黑体" w:cs="黑体"/>
          <w:spacing w:val="25"/>
          <w:sz w:val="24"/>
          <w:szCs w:val="24"/>
        </w:rPr>
        <w:t>3</w:t>
      </w:r>
      <w:r>
        <w:rPr>
          <w:rFonts w:ascii="黑体" w:hAnsi="黑体" w:eastAsia="黑体" w:cs="黑体"/>
          <w:spacing w:val="46"/>
          <w:sz w:val="24"/>
          <w:szCs w:val="24"/>
        </w:rPr>
        <w:t xml:space="preserve">  </w:t>
      </w:r>
      <w:r>
        <w:rPr>
          <w:rFonts w:ascii="黑体" w:hAnsi="黑体" w:eastAsia="黑体" w:cs="黑体"/>
          <w:b/>
          <w:bCs/>
          <w:spacing w:val="25"/>
          <w:sz w:val="24"/>
          <w:szCs w:val="24"/>
        </w:rPr>
        <w:t>测试结果概述</w:t>
      </w:r>
    </w:p>
    <w:p w14:paraId="3B86B84F">
      <w:pPr>
        <w:pStyle w:val="2"/>
        <w:spacing w:before="113" w:line="272" w:lineRule="auto"/>
        <w:ind w:left="570" w:right="5655" w:hanging="570"/>
      </w:pPr>
      <w:r>
        <w:rPr>
          <w:rFonts w:ascii="黑体" w:hAnsi="黑体" w:eastAsia="黑体" w:cs="黑体"/>
        </w:rPr>
        <w:t>3.1</w:t>
      </w:r>
      <w:r>
        <w:rPr>
          <w:rFonts w:ascii="黑体" w:hAnsi="黑体" w:eastAsia="黑体" w:cs="黑体"/>
          <w:spacing w:val="32"/>
        </w:rPr>
        <w:t xml:space="preserve">  </w:t>
      </w:r>
      <w:r>
        <w:rPr>
          <w:rFonts w:ascii="黑体" w:hAnsi="黑体" w:eastAsia="黑体" w:cs="黑体"/>
          <w:b/>
          <w:bCs/>
        </w:rPr>
        <w:t>对被测试软件的总体评估</w:t>
      </w:r>
      <w:r>
        <w:rPr>
          <w:rFonts w:ascii="黑体" w:hAnsi="黑体" w:eastAsia="黑体" w:cs="黑体"/>
          <w:spacing w:val="1"/>
        </w:rPr>
        <w:t xml:space="preserve"> </w:t>
      </w:r>
      <w:r>
        <w:rPr>
          <w:spacing w:val="-5"/>
        </w:rPr>
        <w:t>本条应：</w:t>
      </w:r>
    </w:p>
    <w:p w14:paraId="19A97246">
      <w:pPr>
        <w:pStyle w:val="2"/>
        <w:spacing w:before="1" w:line="212" w:lineRule="auto"/>
        <w:ind w:left="570"/>
      </w:pPr>
      <w:r>
        <w:rPr>
          <w:rFonts w:ascii="Times New Roman" w:hAnsi="Times New Roman" w:eastAsia="Times New Roman" w:cs="Times New Roman"/>
          <w:spacing w:val="-1"/>
        </w:rPr>
        <w:t xml:space="preserve">a)  </w:t>
      </w:r>
      <w:r>
        <w:rPr>
          <w:spacing w:val="-1"/>
        </w:rPr>
        <w:t>根据本报告中的测试结果，给出该软件的总体评估。</w:t>
      </w:r>
    </w:p>
    <w:p w14:paraId="02D71F4D">
      <w:pPr>
        <w:pStyle w:val="2"/>
        <w:spacing w:before="100" w:line="267" w:lineRule="auto"/>
        <w:ind w:firstLine="570"/>
      </w:pPr>
      <w:r>
        <w:rPr>
          <w:rFonts w:ascii="Times New Roman" w:hAnsi="Times New Roman" w:eastAsia="Times New Roman" w:cs="Times New Roman"/>
          <w:spacing w:val="7"/>
        </w:rPr>
        <w:t>b)</w:t>
      </w:r>
      <w:r>
        <w:rPr>
          <w:rFonts w:ascii="Times New Roman" w:hAnsi="Times New Roman" w:eastAsia="Times New Roman" w:cs="Times New Roman"/>
          <w:spacing w:val="69"/>
        </w:rPr>
        <w:t xml:space="preserve"> </w:t>
      </w:r>
      <w:r>
        <w:rPr>
          <w:spacing w:val="7"/>
        </w:rPr>
        <w:t>描述测试中发现的所有遗留的缺陷、限制或约束。可用问题/更改报告</w:t>
      </w:r>
      <w:r>
        <w:t xml:space="preserve"> </w:t>
      </w:r>
      <w:r>
        <w:rPr>
          <w:spacing w:val="-10"/>
        </w:rPr>
        <w:t>形式，给出缺陷信息。</w:t>
      </w:r>
    </w:p>
    <w:p w14:paraId="5477E1F6">
      <w:pPr>
        <w:pStyle w:val="2"/>
        <w:spacing w:before="69" w:line="284" w:lineRule="auto"/>
        <w:ind w:right="6" w:firstLine="570"/>
        <w:rPr>
          <w:sz w:val="25"/>
          <w:szCs w:val="25"/>
        </w:rPr>
      </w:pPr>
      <w:r>
        <w:rPr>
          <w:rFonts w:ascii="Times New Roman" w:hAnsi="Times New Roman" w:eastAsia="Times New Roman" w:cs="Times New Roman"/>
          <w:spacing w:val="14"/>
          <w:sz w:val="25"/>
          <w:szCs w:val="25"/>
        </w:rPr>
        <w:t xml:space="preserve">c)  </w:t>
      </w:r>
      <w:r>
        <w:rPr>
          <w:spacing w:val="14"/>
          <w:sz w:val="25"/>
          <w:szCs w:val="25"/>
        </w:rPr>
        <w:t>对每个遗留的缺陷、限制或约束，应</w:t>
      </w:r>
      <w:r>
        <w:rPr>
          <w:spacing w:val="13"/>
          <w:sz w:val="25"/>
          <w:szCs w:val="25"/>
        </w:rPr>
        <w:t>描述1)对软件和系统性能的影响，包</w:t>
      </w:r>
      <w:r>
        <w:rPr>
          <w:sz w:val="25"/>
          <w:szCs w:val="25"/>
        </w:rPr>
        <w:t xml:space="preserve"> </w:t>
      </w:r>
      <w:r>
        <w:rPr>
          <w:spacing w:val="23"/>
          <w:sz w:val="25"/>
          <w:szCs w:val="25"/>
        </w:rPr>
        <w:t>括对未得到满足的需求的标识；2)</w:t>
      </w:r>
      <w:r>
        <w:rPr>
          <w:rFonts w:ascii="仿宋" w:hAnsi="仿宋" w:eastAsia="仿宋" w:cs="仿宋"/>
          <w:spacing w:val="23"/>
          <w:sz w:val="25"/>
          <w:szCs w:val="25"/>
        </w:rPr>
        <w:t>对</w:t>
      </w:r>
      <w:r>
        <w:rPr>
          <w:rFonts w:ascii="仿宋" w:hAnsi="仿宋" w:eastAsia="仿宋" w:cs="仿宋"/>
          <w:spacing w:val="-57"/>
          <w:sz w:val="25"/>
          <w:szCs w:val="25"/>
        </w:rPr>
        <w:t xml:space="preserve"> </w:t>
      </w:r>
      <w:r>
        <w:rPr>
          <w:spacing w:val="23"/>
          <w:sz w:val="25"/>
          <w:szCs w:val="25"/>
        </w:rPr>
        <w:t>其进行纠</w:t>
      </w:r>
      <w:r>
        <w:rPr>
          <w:spacing w:val="22"/>
          <w:sz w:val="25"/>
          <w:szCs w:val="25"/>
        </w:rPr>
        <w:t>正时，软件和系统设计受到的影</w:t>
      </w:r>
      <w:r>
        <w:rPr>
          <w:sz w:val="25"/>
          <w:szCs w:val="25"/>
        </w:rPr>
        <w:t xml:space="preserve"> </w:t>
      </w:r>
      <w:r>
        <w:rPr>
          <w:spacing w:val="10"/>
          <w:sz w:val="25"/>
          <w:szCs w:val="25"/>
        </w:rPr>
        <w:t>响；3)推荐的纠正方案/方法。</w:t>
      </w:r>
    </w:p>
    <w:p w14:paraId="4B1DCDC5">
      <w:pPr>
        <w:spacing w:before="120" w:line="221" w:lineRule="auto"/>
        <w:rPr>
          <w:rFonts w:ascii="黑体" w:hAnsi="黑体" w:eastAsia="黑体" w:cs="黑体"/>
          <w:sz w:val="25"/>
          <w:szCs w:val="25"/>
        </w:rPr>
      </w:pPr>
      <w:r>
        <w:rPr>
          <w:rFonts w:ascii="黑体" w:hAnsi="黑体" w:eastAsia="黑体" w:cs="黑体"/>
          <w:spacing w:val="13"/>
          <w:sz w:val="25"/>
          <w:szCs w:val="25"/>
        </w:rPr>
        <w:t>3.2</w:t>
      </w:r>
      <w:r>
        <w:rPr>
          <w:rFonts w:ascii="黑体" w:hAnsi="黑体" w:eastAsia="黑体" w:cs="黑体"/>
          <w:spacing w:val="2"/>
          <w:sz w:val="25"/>
          <w:szCs w:val="25"/>
        </w:rPr>
        <w:t xml:space="preserve">   </w:t>
      </w:r>
      <w:r>
        <w:rPr>
          <w:rFonts w:ascii="黑体" w:hAnsi="黑体" w:eastAsia="黑体" w:cs="黑体"/>
          <w:b/>
          <w:bCs/>
          <w:spacing w:val="13"/>
          <w:sz w:val="25"/>
          <w:szCs w:val="25"/>
        </w:rPr>
        <w:t>测试环境的影响</w:t>
      </w:r>
    </w:p>
    <w:p w14:paraId="0AD0082D">
      <w:pPr>
        <w:pStyle w:val="2"/>
        <w:spacing w:before="124" w:line="324" w:lineRule="auto"/>
        <w:ind w:right="6" w:firstLine="570"/>
        <w:rPr>
          <w:sz w:val="24"/>
          <w:szCs w:val="24"/>
        </w:rPr>
      </w:pPr>
      <w:r>
        <w:rPr>
          <w:spacing w:val="36"/>
          <w:sz w:val="24"/>
          <w:szCs w:val="24"/>
        </w:rPr>
        <w:t>本条应给出测试环境与操作环境的差异及这种差</w:t>
      </w:r>
      <w:r>
        <w:rPr>
          <w:spacing w:val="35"/>
          <w:sz w:val="24"/>
          <w:szCs w:val="24"/>
        </w:rPr>
        <w:t>异对测试结果的影响进行</w:t>
      </w:r>
      <w:r>
        <w:rPr>
          <w:sz w:val="24"/>
          <w:szCs w:val="24"/>
        </w:rPr>
        <w:t xml:space="preserve"> </w:t>
      </w:r>
      <w:r>
        <w:rPr>
          <w:spacing w:val="22"/>
          <w:sz w:val="24"/>
          <w:szCs w:val="24"/>
        </w:rPr>
        <w:t>的评估。</w:t>
      </w:r>
    </w:p>
    <w:p w14:paraId="76DB5B42">
      <w:pPr>
        <w:spacing w:before="5" w:line="222" w:lineRule="auto"/>
        <w:rPr>
          <w:rFonts w:ascii="黑体" w:hAnsi="黑体" w:eastAsia="黑体" w:cs="黑体"/>
          <w:sz w:val="25"/>
          <w:szCs w:val="25"/>
        </w:rPr>
      </w:pPr>
      <w:r>
        <w:rPr>
          <w:rFonts w:ascii="黑体" w:hAnsi="黑体" w:eastAsia="黑体" w:cs="黑体"/>
          <w:spacing w:val="9"/>
          <w:sz w:val="25"/>
          <w:szCs w:val="25"/>
        </w:rPr>
        <w:t>3.3</w:t>
      </w:r>
      <w:r>
        <w:rPr>
          <w:rFonts w:ascii="黑体" w:hAnsi="黑体" w:eastAsia="黑体" w:cs="黑体"/>
          <w:spacing w:val="4"/>
          <w:sz w:val="25"/>
          <w:szCs w:val="25"/>
        </w:rPr>
        <w:t xml:space="preserve">   </w:t>
      </w:r>
      <w:r>
        <w:rPr>
          <w:rFonts w:ascii="黑体" w:hAnsi="黑体" w:eastAsia="黑体" w:cs="黑体"/>
          <w:b/>
          <w:bCs/>
          <w:spacing w:val="9"/>
          <w:sz w:val="25"/>
          <w:szCs w:val="25"/>
        </w:rPr>
        <w:t>改进建议</w:t>
      </w:r>
    </w:p>
    <w:p w14:paraId="3C0456C7">
      <w:pPr>
        <w:pStyle w:val="2"/>
        <w:spacing w:before="174" w:line="283" w:lineRule="auto"/>
        <w:ind w:right="4" w:firstLine="570"/>
      </w:pPr>
      <w:r>
        <w:rPr>
          <w:spacing w:val="-3"/>
        </w:rPr>
        <w:t>本条应对被测试软件的设计、操作或测试提供改进建议，并描述每个建议及</w:t>
      </w:r>
      <w:r>
        <w:rPr>
          <w:spacing w:val="12"/>
        </w:rPr>
        <w:t xml:space="preserve"> </w:t>
      </w:r>
      <w:r>
        <w:rPr>
          <w:spacing w:val="1"/>
        </w:rPr>
        <w:t>其对软件的影响。</w:t>
      </w:r>
    </w:p>
    <w:p w14:paraId="401CE9F5">
      <w:pPr>
        <w:spacing w:before="37" w:line="221" w:lineRule="auto"/>
        <w:outlineLvl w:val="3"/>
        <w:rPr>
          <w:rFonts w:ascii="黑体" w:hAnsi="黑体" w:eastAsia="黑体" w:cs="黑体"/>
          <w:sz w:val="27"/>
          <w:szCs w:val="27"/>
        </w:rPr>
      </w:pPr>
      <w:r>
        <w:rPr>
          <w:rFonts w:ascii="Arial" w:hAnsi="Arial" w:eastAsia="Arial" w:cs="Arial"/>
          <w:b/>
          <w:bCs/>
          <w:spacing w:val="-5"/>
          <w:sz w:val="27"/>
          <w:szCs w:val="27"/>
        </w:rPr>
        <w:t>4</w:t>
      </w:r>
      <w:r>
        <w:rPr>
          <w:rFonts w:ascii="Arial" w:hAnsi="Arial" w:eastAsia="Arial" w:cs="Arial"/>
          <w:b/>
          <w:bCs/>
          <w:spacing w:val="5"/>
          <w:sz w:val="27"/>
          <w:szCs w:val="27"/>
        </w:rPr>
        <w:t xml:space="preserve">    </w:t>
      </w:r>
      <w:r>
        <w:rPr>
          <w:rFonts w:ascii="黑体" w:hAnsi="黑体" w:eastAsia="黑体" w:cs="黑体"/>
          <w:b/>
          <w:bCs/>
          <w:spacing w:val="-5"/>
          <w:sz w:val="27"/>
          <w:szCs w:val="27"/>
        </w:rPr>
        <w:t>详细测试结果</w:t>
      </w:r>
    </w:p>
    <w:p w14:paraId="2B4E2D92">
      <w:pPr>
        <w:spacing w:before="156" w:line="226" w:lineRule="auto"/>
        <w:ind w:left="573"/>
        <w:rPr>
          <w:rFonts w:ascii="楷体" w:hAnsi="楷体" w:eastAsia="楷体" w:cs="楷体"/>
          <w:sz w:val="24"/>
          <w:szCs w:val="24"/>
        </w:rPr>
      </w:pPr>
      <w:r>
        <w:rPr>
          <w:rFonts w:ascii="楷体" w:hAnsi="楷体" w:eastAsia="楷体" w:cs="楷体"/>
          <w:b/>
          <w:bCs/>
          <w:spacing w:val="9"/>
          <w:sz w:val="24"/>
          <w:szCs w:val="24"/>
        </w:rPr>
        <w:t>注：“测试”</w:t>
      </w:r>
      <w:r>
        <w:rPr>
          <w:rFonts w:ascii="楷体" w:hAnsi="楷体" w:eastAsia="楷体" w:cs="楷体"/>
          <w:spacing w:val="-82"/>
          <w:sz w:val="24"/>
          <w:szCs w:val="24"/>
        </w:rPr>
        <w:t xml:space="preserve"> </w:t>
      </w:r>
      <w:r>
        <w:rPr>
          <w:rFonts w:ascii="楷体" w:hAnsi="楷体" w:eastAsia="楷体" w:cs="楷体"/>
          <w:b/>
          <w:bCs/>
          <w:spacing w:val="9"/>
          <w:sz w:val="24"/>
          <w:szCs w:val="24"/>
        </w:rPr>
        <w:t>一词是指一组相关测试用例的集合。</w:t>
      </w:r>
    </w:p>
    <w:p w14:paraId="7E7401FE">
      <w:pPr>
        <w:spacing w:before="107" w:line="221" w:lineRule="auto"/>
        <w:rPr>
          <w:rFonts w:ascii="黑体" w:hAnsi="黑体" w:eastAsia="黑体" w:cs="黑体"/>
          <w:sz w:val="27"/>
          <w:szCs w:val="27"/>
        </w:rPr>
      </w:pPr>
      <w:r>
        <w:rPr>
          <w:rFonts w:ascii="Arial" w:hAnsi="Arial" w:eastAsia="Arial" w:cs="Arial"/>
          <w:spacing w:val="3"/>
          <w:sz w:val="27"/>
          <w:szCs w:val="27"/>
        </w:rPr>
        <w:t>4.</w:t>
      </w:r>
      <w:r>
        <w:rPr>
          <w:rFonts w:ascii="Arial" w:hAnsi="Arial" w:eastAsia="Arial" w:cs="Arial"/>
          <w:spacing w:val="2"/>
          <w:sz w:val="27"/>
          <w:szCs w:val="27"/>
        </w:rPr>
        <w:t xml:space="preserve"> </w:t>
      </w:r>
      <w:r>
        <w:rPr>
          <w:rFonts w:ascii="Arial" w:hAnsi="Arial" w:eastAsia="Arial" w:cs="Arial"/>
          <w:spacing w:val="3"/>
          <w:sz w:val="27"/>
          <w:szCs w:val="27"/>
        </w:rPr>
        <w:t xml:space="preserve">X    </w:t>
      </w:r>
      <w:r>
        <w:rPr>
          <w:rFonts w:ascii="黑体" w:hAnsi="黑体" w:eastAsia="黑体" w:cs="黑体"/>
          <w:b/>
          <w:bCs/>
          <w:spacing w:val="3"/>
          <w:sz w:val="27"/>
          <w:szCs w:val="27"/>
        </w:rPr>
        <w:t>(测试的项目唯一的标识符)</w:t>
      </w:r>
    </w:p>
    <w:p w14:paraId="7A91E30C">
      <w:pPr>
        <w:spacing w:before="77" w:line="221" w:lineRule="auto"/>
        <w:rPr>
          <w:rFonts w:ascii="黑体" w:hAnsi="黑体" w:eastAsia="黑体" w:cs="黑体"/>
          <w:sz w:val="27"/>
          <w:szCs w:val="27"/>
        </w:rPr>
      </w:pPr>
      <w:r>
        <w:rPr>
          <w:rFonts w:ascii="Times New Roman" w:hAnsi="Times New Roman" w:eastAsia="Times New Roman" w:cs="Times New Roman"/>
          <w:spacing w:val="-3"/>
          <w:sz w:val="27"/>
          <w:szCs w:val="27"/>
        </w:rPr>
        <w:t xml:space="preserve">4.X.  </w:t>
      </w:r>
      <w:r>
        <w:rPr>
          <w:rFonts w:ascii="黑体" w:hAnsi="黑体" w:eastAsia="黑体" w:cs="黑体"/>
          <w:spacing w:val="-3"/>
          <w:sz w:val="27"/>
          <w:szCs w:val="27"/>
        </w:rPr>
        <w:t>1</w:t>
      </w:r>
      <w:r>
        <w:rPr>
          <w:rFonts w:ascii="黑体" w:hAnsi="黑体" w:eastAsia="黑体" w:cs="黑体"/>
          <w:spacing w:val="51"/>
          <w:sz w:val="27"/>
          <w:szCs w:val="27"/>
        </w:rPr>
        <w:t xml:space="preserve">  </w:t>
      </w:r>
      <w:r>
        <w:rPr>
          <w:rFonts w:ascii="黑体" w:hAnsi="黑体" w:eastAsia="黑体" w:cs="黑体"/>
          <w:b/>
          <w:bCs/>
          <w:spacing w:val="-3"/>
          <w:sz w:val="27"/>
          <w:szCs w:val="27"/>
        </w:rPr>
        <w:t>测试结果总结</w:t>
      </w:r>
    </w:p>
    <w:p w14:paraId="0946855F">
      <w:pPr>
        <w:pStyle w:val="2"/>
        <w:spacing w:before="120" w:line="285" w:lineRule="auto"/>
        <w:ind w:right="8" w:firstLine="570"/>
        <w:jc w:val="both"/>
      </w:pPr>
      <w:r>
        <w:rPr>
          <w:spacing w:val="6"/>
        </w:rPr>
        <w:t>本条应描述对测试结果进行的总结，并应描</w:t>
      </w:r>
      <w:r>
        <w:rPr>
          <w:spacing w:val="5"/>
        </w:rPr>
        <w:t>述与该测试相关联的每个测试</w:t>
      </w:r>
      <w:r>
        <w:t xml:space="preserve"> </w:t>
      </w:r>
      <w:r>
        <w:rPr>
          <w:spacing w:val="-13"/>
        </w:rPr>
        <w:t>用例的完成状态(例如“所有结果都如预期的那样”,“遇到的问题”,“与要求有偏</w:t>
      </w:r>
      <w:r>
        <w:rPr>
          <w:spacing w:val="2"/>
        </w:rPr>
        <w:t xml:space="preserve"> </w:t>
      </w:r>
      <w:r>
        <w:rPr>
          <w:spacing w:val="6"/>
        </w:rPr>
        <w:t>差”等),可用表格的形式给出。当完成状态不是“所预期</w:t>
      </w:r>
      <w:r>
        <w:rPr>
          <w:spacing w:val="5"/>
        </w:rPr>
        <w:t>的”时，本条应引用</w:t>
      </w:r>
      <w:r>
        <w:t xml:space="preserve"> </w:t>
      </w:r>
      <w:r>
        <w:rPr>
          <w:rFonts w:ascii="仿宋" w:hAnsi="仿宋" w:eastAsia="仿宋" w:cs="仿宋"/>
          <w:spacing w:val="5"/>
        </w:rPr>
        <w:t>4.</w:t>
      </w:r>
      <w:r>
        <w:rPr>
          <w:rFonts w:ascii="Times New Roman" w:hAnsi="Times New Roman" w:eastAsia="Times New Roman" w:cs="Times New Roman"/>
          <w:spacing w:val="5"/>
        </w:rPr>
        <w:t>X.2</w:t>
      </w:r>
      <w:r>
        <w:rPr>
          <w:rFonts w:ascii="Times New Roman" w:hAnsi="Times New Roman" w:eastAsia="Times New Roman" w:cs="Times New Roman"/>
          <w:spacing w:val="40"/>
        </w:rPr>
        <w:t xml:space="preserve"> </w:t>
      </w:r>
      <w:r>
        <w:rPr>
          <w:rFonts w:ascii="仿宋" w:hAnsi="仿宋" w:eastAsia="仿宋" w:cs="仿宋"/>
          <w:spacing w:val="5"/>
        </w:rPr>
        <w:t>或4</w:t>
      </w:r>
      <w:r>
        <w:rPr>
          <w:rFonts w:ascii="仿宋" w:hAnsi="仿宋" w:eastAsia="仿宋" w:cs="仿宋"/>
          <w:spacing w:val="-57"/>
        </w:rPr>
        <w:t xml:space="preserve"> </w:t>
      </w:r>
      <w:r>
        <w:rPr>
          <w:rFonts w:ascii="仿宋" w:hAnsi="仿宋" w:eastAsia="仿宋" w:cs="仿宋"/>
          <w:spacing w:val="5"/>
        </w:rPr>
        <w:t>.</w:t>
      </w:r>
      <w:r>
        <w:rPr>
          <w:rFonts w:ascii="Times New Roman" w:hAnsi="Times New Roman" w:eastAsia="Times New Roman" w:cs="Times New Roman"/>
          <w:spacing w:val="5"/>
        </w:rPr>
        <w:t xml:space="preserve">X. </w:t>
      </w:r>
      <w:r>
        <w:rPr>
          <w:spacing w:val="5"/>
        </w:rPr>
        <w:t>3</w:t>
      </w:r>
      <w:r>
        <w:rPr>
          <w:spacing w:val="-34"/>
        </w:rPr>
        <w:t xml:space="preserve"> </w:t>
      </w:r>
      <w:r>
        <w:rPr>
          <w:spacing w:val="5"/>
        </w:rPr>
        <w:t>提供详细信息。</w:t>
      </w:r>
    </w:p>
    <w:p w14:paraId="7FEB1AB7">
      <w:pPr>
        <w:spacing w:line="285" w:lineRule="auto"/>
        <w:sectPr>
          <w:footerReference r:id="rId245" w:type="default"/>
          <w:pgSz w:w="11910" w:h="17130"/>
          <w:pgMar w:top="1456" w:right="981" w:bottom="1563" w:left="1529" w:header="0" w:footer="1365" w:gutter="0"/>
          <w:cols w:space="720" w:num="1"/>
        </w:sectPr>
      </w:pPr>
    </w:p>
    <w:p w14:paraId="42E137F0">
      <w:pPr>
        <w:spacing w:before="142" w:line="222" w:lineRule="auto"/>
        <w:rPr>
          <w:rFonts w:ascii="黑体" w:hAnsi="黑体" w:eastAsia="黑体" w:cs="黑体"/>
          <w:sz w:val="24"/>
          <w:szCs w:val="24"/>
        </w:rPr>
      </w:pPr>
      <w:r>
        <w:rPr>
          <w:rFonts w:ascii="Times New Roman" w:hAnsi="Times New Roman" w:eastAsia="Times New Roman" w:cs="Times New Roman"/>
          <w:b/>
          <w:bCs/>
          <w:spacing w:val="14"/>
          <w:sz w:val="24"/>
          <w:szCs w:val="24"/>
        </w:rPr>
        <w:t>4.</w:t>
      </w:r>
      <w:r>
        <w:rPr>
          <w:rFonts w:ascii="Times New Roman" w:hAnsi="Times New Roman" w:eastAsia="Times New Roman" w:cs="Times New Roman"/>
          <w:b/>
          <w:bCs/>
          <w:spacing w:val="31"/>
          <w:sz w:val="24"/>
          <w:szCs w:val="24"/>
        </w:rPr>
        <w:t xml:space="preserve"> </w:t>
      </w:r>
      <w:r>
        <w:rPr>
          <w:rFonts w:ascii="Times New Roman" w:hAnsi="Times New Roman" w:eastAsia="Times New Roman" w:cs="Times New Roman"/>
          <w:spacing w:val="14"/>
          <w:sz w:val="24"/>
          <w:szCs w:val="24"/>
        </w:rPr>
        <w:t>X.</w:t>
      </w:r>
      <w:r>
        <w:rPr>
          <w:rFonts w:ascii="Times New Roman" w:hAnsi="Times New Roman" w:eastAsia="Times New Roman" w:cs="Times New Roman"/>
          <w:spacing w:val="38"/>
          <w:sz w:val="24"/>
          <w:szCs w:val="24"/>
        </w:rPr>
        <w:t xml:space="preserve"> </w:t>
      </w:r>
      <w:r>
        <w:rPr>
          <w:rFonts w:ascii="黑体" w:hAnsi="黑体" w:eastAsia="黑体" w:cs="黑体"/>
          <w:spacing w:val="14"/>
          <w:sz w:val="24"/>
          <w:szCs w:val="24"/>
        </w:rPr>
        <w:t>2</w:t>
      </w:r>
      <w:r>
        <w:rPr>
          <w:rFonts w:ascii="黑体" w:hAnsi="黑体" w:eastAsia="黑体" w:cs="黑体"/>
          <w:spacing w:val="43"/>
          <w:sz w:val="24"/>
          <w:szCs w:val="24"/>
        </w:rPr>
        <w:t xml:space="preserve">  </w:t>
      </w:r>
      <w:r>
        <w:rPr>
          <w:rFonts w:ascii="黑体" w:hAnsi="黑体" w:eastAsia="黑体" w:cs="黑体"/>
          <w:spacing w:val="14"/>
          <w:sz w:val="24"/>
          <w:szCs w:val="24"/>
        </w:rPr>
        <w:t>遇到的问题</w:t>
      </w:r>
    </w:p>
    <w:p w14:paraId="30098CD8">
      <w:pPr>
        <w:spacing w:before="91" w:line="221" w:lineRule="auto"/>
        <w:rPr>
          <w:rFonts w:ascii="黑体" w:hAnsi="黑体" w:eastAsia="黑体" w:cs="黑体"/>
          <w:sz w:val="27"/>
          <w:szCs w:val="27"/>
        </w:rPr>
      </w:pPr>
      <w:r>
        <w:rPr>
          <w:rFonts w:ascii="Times New Roman" w:hAnsi="Times New Roman" w:eastAsia="Times New Roman" w:cs="Times New Roman"/>
          <w:spacing w:val="5"/>
          <w:sz w:val="27"/>
          <w:szCs w:val="27"/>
        </w:rPr>
        <w:t>4.X.2.</w:t>
      </w:r>
      <w:r>
        <w:rPr>
          <w:rFonts w:ascii="Times New Roman" w:hAnsi="Times New Roman" w:eastAsia="Times New Roman" w:cs="Times New Roman"/>
          <w:spacing w:val="32"/>
          <w:w w:val="101"/>
          <w:sz w:val="27"/>
          <w:szCs w:val="27"/>
        </w:rPr>
        <w:t xml:space="preserve">  </w:t>
      </w:r>
      <w:r>
        <w:rPr>
          <w:rFonts w:ascii="Times New Roman" w:hAnsi="Times New Roman" w:eastAsia="Times New Roman" w:cs="Times New Roman"/>
          <w:spacing w:val="5"/>
          <w:sz w:val="27"/>
          <w:szCs w:val="27"/>
        </w:rPr>
        <w:t xml:space="preserve">Y    </w:t>
      </w:r>
      <w:r>
        <w:rPr>
          <w:rFonts w:ascii="黑体" w:hAnsi="黑体" w:eastAsia="黑体" w:cs="黑体"/>
          <w:spacing w:val="5"/>
          <w:sz w:val="27"/>
          <w:szCs w:val="27"/>
        </w:rPr>
        <w:t>(测试用例的项目唯一的标识符)</w:t>
      </w:r>
    </w:p>
    <w:p w14:paraId="5D122440">
      <w:pPr>
        <w:pStyle w:val="2"/>
        <w:spacing w:before="87" w:line="219" w:lineRule="auto"/>
        <w:ind w:left="560"/>
      </w:pPr>
      <w:r>
        <w:t>本条应用项目唯一的标识符标识遇到问题的测试用例，并提供以下内容：</w:t>
      </w:r>
    </w:p>
    <w:p w14:paraId="7A12E77A">
      <w:pPr>
        <w:pStyle w:val="2"/>
        <w:spacing w:before="93" w:line="212" w:lineRule="auto"/>
        <w:ind w:left="560"/>
        <w:rPr>
          <w:sz w:val="24"/>
          <w:szCs w:val="24"/>
        </w:rPr>
      </w:pPr>
      <w:r>
        <w:rPr>
          <w:rFonts w:ascii="Times New Roman" w:hAnsi="Times New Roman" w:eastAsia="Times New Roman" w:cs="Times New Roman"/>
          <w:spacing w:val="21"/>
          <w:sz w:val="24"/>
          <w:szCs w:val="24"/>
        </w:rPr>
        <w:t>a)</w:t>
      </w:r>
      <w:r>
        <w:rPr>
          <w:rFonts w:ascii="Times New Roman" w:hAnsi="Times New Roman" w:eastAsia="Times New Roman" w:cs="Times New Roman"/>
          <w:spacing w:val="3"/>
          <w:sz w:val="24"/>
          <w:szCs w:val="24"/>
        </w:rPr>
        <w:t xml:space="preserve">   </w:t>
      </w:r>
      <w:r>
        <w:rPr>
          <w:spacing w:val="21"/>
          <w:sz w:val="24"/>
          <w:szCs w:val="24"/>
        </w:rPr>
        <w:t>简述所遇到的问题；</w:t>
      </w:r>
    </w:p>
    <w:p w14:paraId="16B9A97F">
      <w:pPr>
        <w:pStyle w:val="2"/>
        <w:spacing w:before="92" w:line="212" w:lineRule="auto"/>
        <w:ind w:left="560"/>
      </w:pPr>
      <w:r>
        <w:rPr>
          <w:rFonts w:ascii="Times New Roman" w:hAnsi="Times New Roman" w:eastAsia="Times New Roman" w:cs="Times New Roman"/>
          <w:spacing w:val="3"/>
        </w:rPr>
        <w:t xml:space="preserve">b)  </w:t>
      </w:r>
      <w:r>
        <w:rPr>
          <w:spacing w:val="3"/>
        </w:rPr>
        <w:t>标识所遇到问题的测试规程步骤；</w:t>
      </w:r>
    </w:p>
    <w:p w14:paraId="774BB85D">
      <w:pPr>
        <w:pStyle w:val="2"/>
        <w:spacing w:before="100" w:line="212" w:lineRule="auto"/>
        <w:ind w:left="560"/>
      </w:pPr>
      <w:r>
        <w:rPr>
          <w:rFonts w:ascii="Times New Roman" w:hAnsi="Times New Roman" w:eastAsia="Times New Roman" w:cs="Times New Roman"/>
          <w:spacing w:val="2"/>
        </w:rPr>
        <w:t>c)</w:t>
      </w:r>
      <w:r>
        <w:rPr>
          <w:rFonts w:ascii="Times New Roman" w:hAnsi="Times New Roman" w:eastAsia="Times New Roman" w:cs="Times New Roman"/>
          <w:spacing w:val="75"/>
        </w:rPr>
        <w:t xml:space="preserve"> </w:t>
      </w:r>
      <w:r>
        <w:rPr>
          <w:rFonts w:ascii="Times New Roman" w:hAnsi="Times New Roman" w:eastAsia="Times New Roman" w:cs="Times New Roman"/>
          <w:spacing w:val="2"/>
        </w:rPr>
        <w:t xml:space="preserve">( </w:t>
      </w:r>
      <w:r>
        <w:rPr>
          <w:spacing w:val="2"/>
        </w:rPr>
        <w:t>若适用)对相关问题/更改报告和备份数据的引用；</w:t>
      </w:r>
    </w:p>
    <w:p w14:paraId="33F26E5D">
      <w:pPr>
        <w:pStyle w:val="2"/>
        <w:spacing w:before="132" w:line="212" w:lineRule="auto"/>
        <w:ind w:left="560"/>
        <w:rPr>
          <w:sz w:val="24"/>
          <w:szCs w:val="24"/>
        </w:rPr>
      </w:pPr>
      <w:r>
        <w:rPr>
          <w:rFonts w:ascii="Times New Roman" w:hAnsi="Times New Roman" w:eastAsia="Times New Roman" w:cs="Times New Roman"/>
          <w:spacing w:val="32"/>
          <w:sz w:val="24"/>
          <w:szCs w:val="24"/>
        </w:rPr>
        <w:t>d)</w:t>
      </w:r>
      <w:r>
        <w:rPr>
          <w:rFonts w:ascii="Times New Roman" w:hAnsi="Times New Roman" w:eastAsia="Times New Roman" w:cs="Times New Roman"/>
          <w:spacing w:val="29"/>
          <w:sz w:val="24"/>
          <w:szCs w:val="24"/>
        </w:rPr>
        <w:t xml:space="preserve">  </w:t>
      </w:r>
      <w:r>
        <w:rPr>
          <w:spacing w:val="32"/>
          <w:sz w:val="24"/>
          <w:szCs w:val="24"/>
        </w:rPr>
        <w:t>改正这些问题所重复的规程或步骤的次数及每</w:t>
      </w:r>
      <w:r>
        <w:rPr>
          <w:spacing w:val="31"/>
          <w:sz w:val="24"/>
          <w:szCs w:val="24"/>
        </w:rPr>
        <w:t>次得到的结果；</w:t>
      </w:r>
    </w:p>
    <w:p w14:paraId="7EFDAD66">
      <w:pPr>
        <w:pStyle w:val="2"/>
        <w:spacing w:before="124" w:line="212" w:lineRule="auto"/>
        <w:ind w:left="560"/>
        <w:rPr>
          <w:sz w:val="24"/>
          <w:szCs w:val="24"/>
        </w:rPr>
      </w:pPr>
      <w:r>
        <w:rPr>
          <w:rFonts w:ascii="Times New Roman" w:hAnsi="Times New Roman" w:eastAsia="Times New Roman" w:cs="Times New Roman"/>
          <w:spacing w:val="25"/>
          <w:sz w:val="24"/>
          <w:szCs w:val="24"/>
        </w:rPr>
        <w:t xml:space="preserve">e)  </w:t>
      </w:r>
      <w:r>
        <w:rPr>
          <w:spacing w:val="25"/>
          <w:sz w:val="24"/>
          <w:szCs w:val="24"/>
        </w:rPr>
        <w:t>再测试时，是从哪些回退点或测试步骤恢复测试的。</w:t>
      </w:r>
    </w:p>
    <w:p w14:paraId="33081A87">
      <w:pPr>
        <w:spacing w:before="140" w:line="221" w:lineRule="auto"/>
        <w:rPr>
          <w:rFonts w:ascii="黑体" w:hAnsi="黑体" w:eastAsia="黑体" w:cs="黑体"/>
          <w:sz w:val="25"/>
          <w:szCs w:val="25"/>
        </w:rPr>
      </w:pPr>
      <w:r>
        <w:rPr>
          <w:rFonts w:ascii="Times New Roman" w:hAnsi="Times New Roman" w:eastAsia="Times New Roman" w:cs="Times New Roman"/>
          <w:spacing w:val="17"/>
          <w:sz w:val="25"/>
          <w:szCs w:val="25"/>
        </w:rPr>
        <w:t>4.X.</w:t>
      </w:r>
      <w:r>
        <w:rPr>
          <w:rFonts w:ascii="Times New Roman" w:hAnsi="Times New Roman" w:eastAsia="Times New Roman" w:cs="Times New Roman"/>
          <w:spacing w:val="59"/>
          <w:w w:val="101"/>
          <w:sz w:val="25"/>
          <w:szCs w:val="25"/>
        </w:rPr>
        <w:t xml:space="preserve"> </w:t>
      </w:r>
      <w:r>
        <w:rPr>
          <w:rFonts w:ascii="黑体" w:hAnsi="黑体" w:eastAsia="黑体" w:cs="黑体"/>
          <w:spacing w:val="17"/>
          <w:sz w:val="25"/>
          <w:szCs w:val="25"/>
        </w:rPr>
        <w:t>3</w:t>
      </w:r>
      <w:r>
        <w:rPr>
          <w:rFonts w:ascii="黑体" w:hAnsi="黑体" w:eastAsia="黑体" w:cs="黑体"/>
          <w:spacing w:val="47"/>
          <w:sz w:val="25"/>
          <w:szCs w:val="25"/>
        </w:rPr>
        <w:t xml:space="preserve">  </w:t>
      </w:r>
      <w:r>
        <w:rPr>
          <w:rFonts w:ascii="黑体" w:hAnsi="黑体" w:eastAsia="黑体" w:cs="黑体"/>
          <w:spacing w:val="17"/>
          <w:sz w:val="25"/>
          <w:szCs w:val="25"/>
        </w:rPr>
        <w:t>与测试用例/规程的不一致</w:t>
      </w:r>
    </w:p>
    <w:p w14:paraId="633A87EE">
      <w:pPr>
        <w:spacing w:before="15" w:line="368" w:lineRule="exact"/>
        <w:rPr>
          <w:rFonts w:ascii="黑体" w:hAnsi="黑体" w:eastAsia="黑体" w:cs="黑体"/>
          <w:sz w:val="27"/>
          <w:szCs w:val="27"/>
        </w:rPr>
      </w:pPr>
      <w:r>
        <w:rPr>
          <w:rFonts w:ascii="Times New Roman" w:hAnsi="Times New Roman" w:eastAsia="Times New Roman" w:cs="Times New Roman"/>
          <w:spacing w:val="3"/>
          <w:position w:val="3"/>
          <w:sz w:val="27"/>
          <w:szCs w:val="27"/>
        </w:rPr>
        <w:t>4.X.3.</w:t>
      </w:r>
      <w:r>
        <w:rPr>
          <w:rFonts w:ascii="Times New Roman" w:hAnsi="Times New Roman" w:eastAsia="Times New Roman" w:cs="Times New Roman"/>
          <w:spacing w:val="40"/>
          <w:position w:val="3"/>
          <w:sz w:val="27"/>
          <w:szCs w:val="27"/>
        </w:rPr>
        <w:t xml:space="preserve">  </w:t>
      </w:r>
      <w:r>
        <w:rPr>
          <w:rFonts w:ascii="Arial" w:hAnsi="Arial" w:eastAsia="Arial" w:cs="Arial"/>
          <w:spacing w:val="3"/>
          <w:position w:val="3"/>
          <w:sz w:val="27"/>
          <w:szCs w:val="27"/>
        </w:rPr>
        <w:t>Y</w:t>
      </w:r>
      <w:r>
        <w:rPr>
          <w:rFonts w:ascii="Arial" w:hAnsi="Arial" w:eastAsia="Arial" w:cs="Arial"/>
          <w:position w:val="3"/>
          <w:sz w:val="27"/>
          <w:szCs w:val="27"/>
        </w:rPr>
        <w:t xml:space="preserve">    </w:t>
      </w:r>
      <w:r>
        <w:rPr>
          <w:rFonts w:ascii="Arial" w:hAnsi="Arial" w:eastAsia="Arial" w:cs="Arial"/>
          <w:spacing w:val="3"/>
          <w:position w:val="3"/>
          <w:sz w:val="27"/>
          <w:szCs w:val="27"/>
        </w:rPr>
        <w:t xml:space="preserve">( </w:t>
      </w:r>
      <w:r>
        <w:rPr>
          <w:rFonts w:ascii="黑体" w:hAnsi="黑体" w:eastAsia="黑体" w:cs="黑体"/>
          <w:spacing w:val="3"/>
          <w:position w:val="3"/>
          <w:sz w:val="27"/>
          <w:szCs w:val="27"/>
        </w:rPr>
        <w:t>测试用例的项目唯一的标识符)</w:t>
      </w:r>
    </w:p>
    <w:p w14:paraId="5851F46E">
      <w:pPr>
        <w:pStyle w:val="2"/>
        <w:spacing w:before="119" w:line="219" w:lineRule="auto"/>
        <w:jc w:val="right"/>
      </w:pPr>
      <w:r>
        <w:t>本条应用项目唯一的标识符标识出现一个或多个偏差的测试用例，并提供：</w:t>
      </w:r>
    </w:p>
    <w:p w14:paraId="04B23509">
      <w:pPr>
        <w:pStyle w:val="2"/>
        <w:spacing w:before="70" w:line="257" w:lineRule="auto"/>
        <w:ind w:right="99" w:firstLine="560"/>
      </w:pPr>
      <w:r>
        <w:rPr>
          <w:rFonts w:ascii="Times New Roman" w:hAnsi="Times New Roman" w:eastAsia="Times New Roman" w:cs="Times New Roman"/>
          <w:spacing w:val="7"/>
        </w:rPr>
        <w:t>a)</w:t>
      </w:r>
      <w:r>
        <w:rPr>
          <w:rFonts w:ascii="Times New Roman" w:hAnsi="Times New Roman" w:eastAsia="Times New Roman" w:cs="Times New Roman"/>
          <w:spacing w:val="71"/>
          <w:w w:val="101"/>
        </w:rPr>
        <w:t xml:space="preserve"> </w:t>
      </w:r>
      <w:r>
        <w:rPr>
          <w:spacing w:val="7"/>
        </w:rPr>
        <w:t>偏差说明(例如出现偏差的测试用例的运行情况和偏差性质，如替换了</w:t>
      </w:r>
      <w:r>
        <w:t xml:space="preserve"> </w:t>
      </w:r>
      <w:r>
        <w:rPr>
          <w:spacing w:val="-4"/>
        </w:rPr>
        <w:t>所要求的设备、未能遵循规定的步骤等)。</w:t>
      </w:r>
    </w:p>
    <w:p w14:paraId="486C4FC4">
      <w:pPr>
        <w:pStyle w:val="2"/>
        <w:spacing w:before="39"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40"/>
        </w:rPr>
        <w:t xml:space="preserve"> </w:t>
      </w:r>
      <w:r>
        <w:rPr>
          <w:spacing w:val="3"/>
        </w:rPr>
        <w:t>偏差理由；</w:t>
      </w:r>
    </w:p>
    <w:p w14:paraId="0DB817CB">
      <w:pPr>
        <w:pStyle w:val="2"/>
        <w:spacing w:before="11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54"/>
        </w:rPr>
        <w:t xml:space="preserve"> </w:t>
      </w:r>
      <w:r>
        <w:rPr>
          <w:spacing w:val="4"/>
        </w:rPr>
        <w:t>偏差对测试用例有效性影响的评估。</w:t>
      </w:r>
    </w:p>
    <w:p w14:paraId="35BABFE5">
      <w:pPr>
        <w:spacing w:before="137" w:line="222" w:lineRule="auto"/>
        <w:rPr>
          <w:rFonts w:ascii="黑体" w:hAnsi="黑体" w:eastAsia="黑体" w:cs="黑体"/>
          <w:sz w:val="24"/>
          <w:szCs w:val="24"/>
        </w:rPr>
      </w:pPr>
      <w:r>
        <w:rPr>
          <w:rFonts w:ascii="黑体" w:hAnsi="黑体" w:eastAsia="黑体" w:cs="黑体"/>
          <w:spacing w:val="-6"/>
          <w:sz w:val="24"/>
          <w:szCs w:val="24"/>
        </w:rPr>
        <w:t>5</w:t>
      </w:r>
      <w:r>
        <w:rPr>
          <w:rFonts w:ascii="黑体" w:hAnsi="黑体" w:eastAsia="黑体" w:cs="黑体"/>
          <w:spacing w:val="37"/>
          <w:sz w:val="24"/>
          <w:szCs w:val="24"/>
        </w:rPr>
        <w:t xml:space="preserve">  </w:t>
      </w:r>
      <w:r>
        <w:rPr>
          <w:rFonts w:ascii="黑体" w:hAnsi="黑体" w:eastAsia="黑体" w:cs="黑体"/>
          <w:spacing w:val="-6"/>
          <w:sz w:val="24"/>
          <w:szCs w:val="24"/>
        </w:rPr>
        <w:t>注</w:t>
      </w:r>
      <w:r>
        <w:rPr>
          <w:rFonts w:ascii="黑体" w:hAnsi="黑体" w:eastAsia="黑体" w:cs="黑体"/>
          <w:spacing w:val="-51"/>
          <w:sz w:val="24"/>
          <w:szCs w:val="24"/>
        </w:rPr>
        <w:t xml:space="preserve"> </w:t>
      </w:r>
      <w:r>
        <w:rPr>
          <w:rFonts w:ascii="黑体" w:hAnsi="黑体" w:eastAsia="黑体" w:cs="黑体"/>
          <w:spacing w:val="-6"/>
          <w:sz w:val="24"/>
          <w:szCs w:val="24"/>
        </w:rPr>
        <w:t>释</w:t>
      </w:r>
    </w:p>
    <w:p w14:paraId="5595BC33">
      <w:pPr>
        <w:pStyle w:val="2"/>
        <w:spacing w:before="133" w:line="219" w:lineRule="auto"/>
        <w:ind w:left="560"/>
      </w:pPr>
      <w:r>
        <w:rPr>
          <w:spacing w:val="-4"/>
        </w:rPr>
        <w:t>本章应包括有助于了解文档的所有信息(例如背景、术语、缩略语或公式)。</w:t>
      </w:r>
    </w:p>
    <w:p w14:paraId="23B46A0C">
      <w:pPr>
        <w:spacing w:line="321" w:lineRule="auto"/>
        <w:rPr>
          <w:rFonts w:ascii="Arial"/>
          <w:sz w:val="21"/>
        </w:rPr>
      </w:pPr>
    </w:p>
    <w:p w14:paraId="15B423FB">
      <w:pPr>
        <w:pStyle w:val="2"/>
        <w:spacing w:before="117" w:line="219" w:lineRule="auto"/>
        <w:ind w:left="2669"/>
        <w:rPr>
          <w:sz w:val="36"/>
          <w:szCs w:val="36"/>
        </w:rPr>
      </w:pPr>
      <w:r>
        <w:rPr>
          <w:spacing w:val="4"/>
          <w:sz w:val="36"/>
          <w:szCs w:val="36"/>
        </w:rPr>
        <w:t>2.1</w:t>
      </w:r>
      <w:r>
        <w:rPr>
          <w:b/>
          <w:bCs/>
          <w:spacing w:val="4"/>
          <w:sz w:val="36"/>
          <w:szCs w:val="36"/>
        </w:rPr>
        <w:t>8</w:t>
      </w:r>
      <w:r>
        <w:rPr>
          <w:spacing w:val="4"/>
          <w:sz w:val="36"/>
          <w:szCs w:val="36"/>
        </w:rPr>
        <w:t xml:space="preserve">  </w:t>
      </w:r>
      <w:r>
        <w:rPr>
          <w:b/>
          <w:bCs/>
          <w:spacing w:val="4"/>
          <w:sz w:val="36"/>
          <w:szCs w:val="36"/>
        </w:rPr>
        <w:t>软件产品规格说明</w:t>
      </w:r>
    </w:p>
    <w:p w14:paraId="685845E5">
      <w:pPr>
        <w:spacing w:line="338" w:lineRule="auto"/>
        <w:rPr>
          <w:rFonts w:ascii="Arial"/>
          <w:sz w:val="21"/>
        </w:rPr>
      </w:pPr>
    </w:p>
    <w:p w14:paraId="2BE8C986">
      <w:pPr>
        <w:pStyle w:val="2"/>
        <w:spacing w:before="91" w:line="225" w:lineRule="auto"/>
        <w:ind w:left="56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GJB438B—2009</w:t>
      </w:r>
      <w:r>
        <w:rPr>
          <w:spacing w:val="-9"/>
          <w:sz w:val="28"/>
          <w:szCs w:val="28"/>
        </w:rPr>
        <w:t>《</w:t>
      </w:r>
      <w:r>
        <w:rPr>
          <w:rFonts w:ascii="楷体" w:hAnsi="楷体" w:eastAsia="楷体" w:cs="楷体"/>
          <w:spacing w:val="-9"/>
          <w:sz w:val="28"/>
          <w:szCs w:val="28"/>
        </w:rPr>
        <w:t>军用软件开发文档通用要求》编写。</w:t>
      </w:r>
    </w:p>
    <w:p w14:paraId="6ABE1CAC">
      <w:pPr>
        <w:spacing w:before="63"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24"/>
          <w:sz w:val="27"/>
          <w:szCs w:val="27"/>
        </w:rPr>
        <w:t xml:space="preserve">  </w:t>
      </w:r>
      <w:r>
        <w:rPr>
          <w:rFonts w:ascii="黑体" w:hAnsi="黑体" w:eastAsia="黑体" w:cs="黑体"/>
          <w:spacing w:val="-6"/>
          <w:sz w:val="27"/>
          <w:szCs w:val="27"/>
        </w:rPr>
        <w:t>范围</w:t>
      </w:r>
    </w:p>
    <w:p w14:paraId="5A4331DD">
      <w:pPr>
        <w:spacing w:before="102" w:line="222" w:lineRule="auto"/>
        <w:rPr>
          <w:rFonts w:ascii="黑体" w:hAnsi="黑体" w:eastAsia="黑体" w:cs="黑体"/>
          <w:sz w:val="24"/>
          <w:szCs w:val="24"/>
        </w:rPr>
      </w:pPr>
      <w:r>
        <w:rPr>
          <w:rFonts w:ascii="黑体" w:hAnsi="黑体" w:eastAsia="黑体" w:cs="黑体"/>
          <w:spacing w:val="-5"/>
          <w:sz w:val="24"/>
          <w:szCs w:val="24"/>
        </w:rPr>
        <w:t>1.1   标</w:t>
      </w:r>
      <w:r>
        <w:rPr>
          <w:rFonts w:ascii="黑体" w:hAnsi="黑体" w:eastAsia="黑体" w:cs="黑体"/>
          <w:spacing w:val="-32"/>
          <w:sz w:val="24"/>
          <w:szCs w:val="24"/>
        </w:rPr>
        <w:t xml:space="preserve"> </w:t>
      </w:r>
      <w:r>
        <w:rPr>
          <w:rFonts w:ascii="黑体" w:hAnsi="黑体" w:eastAsia="黑体" w:cs="黑体"/>
          <w:spacing w:val="-5"/>
          <w:sz w:val="24"/>
          <w:szCs w:val="24"/>
        </w:rPr>
        <w:t>识</w:t>
      </w:r>
    </w:p>
    <w:p w14:paraId="78C6D151">
      <w:pPr>
        <w:pStyle w:val="2"/>
        <w:spacing w:before="101" w:line="282" w:lineRule="auto"/>
        <w:ind w:firstLine="560"/>
      </w:pPr>
      <w:r>
        <w:t>本条应描述本文档所适用系统和软件的完整标识，适用时，包括其标识号、</w:t>
      </w:r>
      <w:r>
        <w:rPr>
          <w:spacing w:val="3"/>
        </w:rPr>
        <w:t xml:space="preserve"> </w:t>
      </w:r>
      <w:r>
        <w:rPr>
          <w:spacing w:val="-16"/>
        </w:rPr>
        <w:t>名称、缩略名、版本号和发布号。</w:t>
      </w:r>
    </w:p>
    <w:p w14:paraId="5DEDEC55">
      <w:pPr>
        <w:spacing w:before="13" w:line="221" w:lineRule="auto"/>
        <w:rPr>
          <w:rFonts w:ascii="黑体" w:hAnsi="黑体" w:eastAsia="黑体" w:cs="黑体"/>
          <w:sz w:val="24"/>
          <w:szCs w:val="24"/>
        </w:rPr>
      </w:pPr>
      <w:r>
        <w:rPr>
          <w:rFonts w:ascii="黑体" w:hAnsi="黑体" w:eastAsia="黑体" w:cs="黑体"/>
          <w:spacing w:val="12"/>
          <w:sz w:val="24"/>
          <w:szCs w:val="24"/>
        </w:rPr>
        <w:t>1.2</w:t>
      </w:r>
      <w:r>
        <w:rPr>
          <w:rFonts w:ascii="黑体" w:hAnsi="黑体" w:eastAsia="黑体" w:cs="黑体"/>
          <w:spacing w:val="56"/>
          <w:sz w:val="24"/>
          <w:szCs w:val="24"/>
        </w:rPr>
        <w:t xml:space="preserve">  </w:t>
      </w:r>
      <w:r>
        <w:rPr>
          <w:rFonts w:ascii="黑体" w:hAnsi="黑体" w:eastAsia="黑体" w:cs="黑体"/>
          <w:spacing w:val="12"/>
          <w:sz w:val="24"/>
          <w:szCs w:val="24"/>
        </w:rPr>
        <w:t>系统概述</w:t>
      </w:r>
    </w:p>
    <w:p w14:paraId="00193D6D">
      <w:pPr>
        <w:pStyle w:val="2"/>
        <w:spacing w:before="103" w:line="275" w:lineRule="auto"/>
        <w:ind w:right="90" w:firstLine="560"/>
        <w:jc w:val="both"/>
      </w:pPr>
      <w:r>
        <w:rPr>
          <w:spacing w:val="6"/>
        </w:rPr>
        <w:t>本条应概述本文档所适用系统和软件的用途。它还应</w:t>
      </w:r>
      <w:r>
        <w:rPr>
          <w:spacing w:val="5"/>
        </w:rPr>
        <w:t>描述系统与软件的一</w:t>
      </w:r>
      <w:r>
        <w:t xml:space="preserve"> </w:t>
      </w:r>
      <w:r>
        <w:rPr>
          <w:spacing w:val="-10"/>
        </w:rPr>
        <w:t>般特性；概述系统开发、运行和维护的历史；标识项目</w:t>
      </w:r>
      <w:r>
        <w:rPr>
          <w:spacing w:val="-11"/>
        </w:rPr>
        <w:t>的需方、用户、开发方和保</w:t>
      </w:r>
      <w:r>
        <w:t xml:space="preserve"> </w:t>
      </w:r>
      <w:r>
        <w:rPr>
          <w:spacing w:val="-6"/>
        </w:rPr>
        <w:t>障机构等；标识当前和计划的运行现场；列</w:t>
      </w:r>
      <w:r>
        <w:rPr>
          <w:spacing w:val="-7"/>
        </w:rPr>
        <w:t>出其他有关文档。</w:t>
      </w:r>
    </w:p>
    <w:p w14:paraId="714CA0F7">
      <w:pPr>
        <w:spacing w:before="4" w:line="221" w:lineRule="auto"/>
        <w:rPr>
          <w:rFonts w:ascii="黑体" w:hAnsi="黑体" w:eastAsia="黑体" w:cs="黑体"/>
          <w:sz w:val="27"/>
          <w:szCs w:val="27"/>
        </w:rPr>
      </w:pPr>
      <w:r>
        <w:rPr>
          <w:rFonts w:ascii="黑体" w:hAnsi="黑体" w:eastAsia="黑体" w:cs="黑体"/>
          <w:spacing w:val="-3"/>
          <w:sz w:val="27"/>
          <w:szCs w:val="27"/>
        </w:rPr>
        <w:t>1.3</w:t>
      </w:r>
      <w:r>
        <w:rPr>
          <w:rFonts w:ascii="黑体" w:hAnsi="黑体" w:eastAsia="黑体" w:cs="黑体"/>
          <w:spacing w:val="22"/>
          <w:sz w:val="27"/>
          <w:szCs w:val="27"/>
        </w:rPr>
        <w:t xml:space="preserve">  </w:t>
      </w:r>
      <w:r>
        <w:rPr>
          <w:rFonts w:ascii="黑体" w:hAnsi="黑体" w:eastAsia="黑体" w:cs="黑体"/>
          <w:spacing w:val="-3"/>
          <w:sz w:val="27"/>
          <w:szCs w:val="27"/>
        </w:rPr>
        <w:t>文档概述</w:t>
      </w:r>
    </w:p>
    <w:p w14:paraId="1D2872F5">
      <w:pPr>
        <w:pStyle w:val="2"/>
        <w:spacing w:before="89" w:line="278" w:lineRule="auto"/>
        <w:ind w:right="114" w:firstLine="560"/>
      </w:pPr>
      <w:r>
        <w:rPr>
          <w:spacing w:val="5"/>
        </w:rPr>
        <w:t>本条应概述本文档的用途与内容，并描述与它的使用有关的保密性方面的</w:t>
      </w:r>
      <w:r>
        <w:t xml:space="preserve"> </w:t>
      </w:r>
      <w:r>
        <w:rPr>
          <w:spacing w:val="-4"/>
        </w:rPr>
        <w:t>要求。</w:t>
      </w:r>
    </w:p>
    <w:p w14:paraId="735DA9F7">
      <w:pPr>
        <w:spacing w:before="15" w:line="222" w:lineRule="auto"/>
        <w:rPr>
          <w:rFonts w:ascii="黑体" w:hAnsi="黑体" w:eastAsia="黑体" w:cs="黑体"/>
          <w:sz w:val="25"/>
          <w:szCs w:val="25"/>
        </w:rPr>
      </w:pPr>
      <w:r>
        <w:rPr>
          <w:rFonts w:ascii="黑体" w:hAnsi="黑体" w:eastAsia="黑体" w:cs="黑体"/>
          <w:spacing w:val="18"/>
          <w:sz w:val="25"/>
          <w:szCs w:val="25"/>
        </w:rPr>
        <w:t>2</w:t>
      </w:r>
      <w:r>
        <w:rPr>
          <w:rFonts w:ascii="黑体" w:hAnsi="黑体" w:eastAsia="黑体" w:cs="黑体"/>
          <w:spacing w:val="32"/>
          <w:sz w:val="25"/>
          <w:szCs w:val="25"/>
        </w:rPr>
        <w:t xml:space="preserve">  </w:t>
      </w:r>
      <w:r>
        <w:rPr>
          <w:rFonts w:ascii="黑体" w:hAnsi="黑体" w:eastAsia="黑体" w:cs="黑体"/>
          <w:spacing w:val="18"/>
          <w:sz w:val="25"/>
          <w:szCs w:val="25"/>
        </w:rPr>
        <w:t>引用文档</w:t>
      </w:r>
    </w:p>
    <w:p w14:paraId="1D0B6FD8">
      <w:pPr>
        <w:pStyle w:val="2"/>
        <w:spacing w:before="149" w:line="219" w:lineRule="auto"/>
        <w:ind w:left="560"/>
        <w:rPr>
          <w:sz w:val="25"/>
          <w:szCs w:val="25"/>
        </w:rPr>
      </w:pPr>
      <w:r>
        <w:rPr>
          <w:spacing w:val="7"/>
          <w:sz w:val="25"/>
          <w:szCs w:val="25"/>
        </w:rPr>
        <w:t>本章应列出引用文档的编号、标题、编写单位、修订版及日期，</w:t>
      </w:r>
      <w:r>
        <w:rPr>
          <w:spacing w:val="6"/>
          <w:sz w:val="25"/>
          <w:szCs w:val="25"/>
          <w:u w:val="single" w:color="auto"/>
        </w:rPr>
        <w:t>还</w:t>
      </w:r>
      <w:r>
        <w:rPr>
          <w:spacing w:val="-36"/>
          <w:sz w:val="25"/>
          <w:szCs w:val="25"/>
          <w:u w:val="single" w:color="auto"/>
        </w:rPr>
        <w:t xml:space="preserve"> </w:t>
      </w:r>
      <w:r>
        <w:rPr>
          <w:spacing w:val="6"/>
          <w:sz w:val="25"/>
          <w:szCs w:val="25"/>
          <w:u w:val="single" w:color="auto"/>
        </w:rPr>
        <w:t>应</w:t>
      </w:r>
      <w:r>
        <w:rPr>
          <w:spacing w:val="6"/>
          <w:sz w:val="25"/>
          <w:szCs w:val="25"/>
        </w:rPr>
        <w:t>标识不能</w:t>
      </w:r>
    </w:p>
    <w:p w14:paraId="6217F762">
      <w:pPr>
        <w:spacing w:line="219" w:lineRule="auto"/>
        <w:rPr>
          <w:sz w:val="25"/>
          <w:szCs w:val="25"/>
        </w:rPr>
        <w:sectPr>
          <w:footerReference r:id="rId246" w:type="default"/>
          <w:pgSz w:w="11910" w:h="17130"/>
          <w:pgMar w:top="1456" w:right="1274" w:bottom="1644" w:left="1160" w:header="0" w:footer="1418" w:gutter="0"/>
          <w:cols w:space="720" w:num="1"/>
        </w:sectPr>
      </w:pPr>
    </w:p>
    <w:p w14:paraId="3422BE7F">
      <w:pPr>
        <w:pStyle w:val="2"/>
        <w:spacing w:before="202" w:line="219" w:lineRule="auto"/>
        <w:rPr>
          <w:sz w:val="24"/>
          <w:szCs w:val="24"/>
        </w:rPr>
      </w:pPr>
      <w:r>
        <w:rPr>
          <w:spacing w:val="33"/>
          <w:sz w:val="24"/>
          <w:szCs w:val="24"/>
        </w:rPr>
        <w:t>通过正常采购活动得到的文档的来源。</w:t>
      </w:r>
    </w:p>
    <w:p w14:paraId="3755CC53">
      <w:pPr>
        <w:spacing w:before="117" w:line="223" w:lineRule="auto"/>
        <w:rPr>
          <w:rFonts w:ascii="黑体" w:hAnsi="黑体" w:eastAsia="黑体" w:cs="黑体"/>
          <w:sz w:val="24"/>
          <w:szCs w:val="24"/>
        </w:rPr>
      </w:pPr>
      <w:r>
        <w:rPr>
          <w:rFonts w:ascii="黑体" w:hAnsi="黑体" w:eastAsia="黑体" w:cs="黑体"/>
          <w:spacing w:val="-9"/>
          <w:sz w:val="24"/>
          <w:szCs w:val="24"/>
        </w:rPr>
        <w:t>3</w:t>
      </w:r>
      <w:r>
        <w:rPr>
          <w:rFonts w:ascii="黑体" w:hAnsi="黑体" w:eastAsia="黑体" w:cs="黑体"/>
          <w:spacing w:val="39"/>
          <w:sz w:val="24"/>
          <w:szCs w:val="24"/>
        </w:rPr>
        <w:t xml:space="preserve">  </w:t>
      </w:r>
      <w:r>
        <w:rPr>
          <w:rFonts w:ascii="黑体" w:hAnsi="黑体" w:eastAsia="黑体" w:cs="黑体"/>
          <w:spacing w:val="-9"/>
          <w:sz w:val="24"/>
          <w:szCs w:val="24"/>
        </w:rPr>
        <w:t>需</w:t>
      </w:r>
      <w:r>
        <w:rPr>
          <w:rFonts w:ascii="黑体" w:hAnsi="黑体" w:eastAsia="黑体" w:cs="黑体"/>
          <w:spacing w:val="-28"/>
          <w:sz w:val="24"/>
          <w:szCs w:val="24"/>
        </w:rPr>
        <w:t xml:space="preserve"> </w:t>
      </w:r>
      <w:r>
        <w:rPr>
          <w:rFonts w:ascii="黑体" w:hAnsi="黑体" w:eastAsia="黑体" w:cs="黑体"/>
          <w:spacing w:val="-9"/>
          <w:sz w:val="24"/>
          <w:szCs w:val="24"/>
        </w:rPr>
        <w:t>求</w:t>
      </w:r>
    </w:p>
    <w:p w14:paraId="3D499DBE">
      <w:pPr>
        <w:pStyle w:val="2"/>
        <w:spacing w:before="78" w:line="219" w:lineRule="auto"/>
        <w:ind w:left="580"/>
        <w:rPr>
          <w:rFonts w:ascii="Times New Roman" w:hAnsi="Times New Roman" w:eastAsia="Times New Roman" w:cs="Times New Roman"/>
        </w:rPr>
      </w:pPr>
      <w:r>
        <w:rPr>
          <w:spacing w:val="-1"/>
        </w:rPr>
        <w:t>本章应分为以下几条，以实现软件交付，并建立另一软件实体要成为该</w:t>
      </w:r>
      <w:r>
        <w:rPr>
          <w:rFonts w:ascii="Times New Roman" w:hAnsi="Times New Roman" w:eastAsia="Times New Roman" w:cs="Times New Roman"/>
          <w:spacing w:val="-1"/>
        </w:rPr>
        <w:t>CS-</w:t>
      </w:r>
    </w:p>
    <w:p w14:paraId="7D583D51">
      <w:pPr>
        <w:pStyle w:val="2"/>
        <w:spacing w:before="111" w:line="219" w:lineRule="auto"/>
      </w:pPr>
      <w:r>
        <w:rPr>
          <w:rFonts w:ascii="Times New Roman" w:hAnsi="Times New Roman" w:eastAsia="Times New Roman" w:cs="Times New Roman"/>
        </w:rPr>
        <w:t>CI</w:t>
      </w:r>
      <w:r>
        <w:rPr>
          <w:rFonts w:ascii="Times New Roman" w:hAnsi="Times New Roman" w:eastAsia="Times New Roman" w:cs="Times New Roman"/>
          <w:spacing w:val="3"/>
        </w:rPr>
        <w:t xml:space="preserve"> </w:t>
      </w:r>
      <w:r>
        <w:rPr>
          <w:spacing w:val="3"/>
        </w:rPr>
        <w:t>的有效拷贝所应满足的需求。</w:t>
      </w:r>
    </w:p>
    <w:p w14:paraId="6235D6E0">
      <w:pPr>
        <w:spacing w:before="85" w:line="219" w:lineRule="auto"/>
        <w:rPr>
          <w:rFonts w:ascii="黑体" w:hAnsi="黑体" w:eastAsia="黑体" w:cs="黑体"/>
          <w:sz w:val="25"/>
          <w:szCs w:val="25"/>
        </w:rPr>
      </w:pPr>
      <w:r>
        <w:rPr>
          <w:rFonts w:ascii="黑体" w:hAnsi="黑体" w:eastAsia="黑体" w:cs="黑体"/>
          <w:spacing w:val="11"/>
          <w:sz w:val="25"/>
          <w:szCs w:val="25"/>
        </w:rPr>
        <w:t>3.1</w:t>
      </w:r>
      <w:r>
        <w:rPr>
          <w:rFonts w:ascii="黑体" w:hAnsi="黑体" w:eastAsia="黑体" w:cs="黑体"/>
          <w:spacing w:val="58"/>
          <w:sz w:val="25"/>
          <w:szCs w:val="25"/>
        </w:rPr>
        <w:t xml:space="preserve">  </w:t>
      </w:r>
      <w:r>
        <w:rPr>
          <w:rFonts w:ascii="黑体" w:hAnsi="黑体" w:eastAsia="黑体" w:cs="黑体"/>
          <w:spacing w:val="11"/>
          <w:sz w:val="25"/>
          <w:szCs w:val="25"/>
        </w:rPr>
        <w:t>可执行软件</w:t>
      </w:r>
    </w:p>
    <w:p w14:paraId="0D4DFF58">
      <w:pPr>
        <w:pStyle w:val="2"/>
        <w:spacing w:before="86" w:line="279" w:lineRule="auto"/>
        <w:ind w:right="20" w:firstLine="580"/>
        <w:jc w:val="both"/>
      </w:pPr>
      <w:r>
        <w:rPr>
          <w:spacing w:val="8"/>
        </w:rPr>
        <w:t>本条应通过引用附带的或其他形式提供的电子媒</w:t>
      </w:r>
      <w:r>
        <w:rPr>
          <w:spacing w:val="7"/>
        </w:rPr>
        <w:t>体，给出</w:t>
      </w:r>
      <w:r>
        <w:rPr>
          <w:spacing w:val="-77"/>
        </w:rPr>
        <w:t xml:space="preserve"> </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spacing w:val="7"/>
        </w:rPr>
        <w:t>的可执行</w:t>
      </w:r>
      <w:r>
        <w:t xml:space="preserve"> </w:t>
      </w:r>
      <w:r>
        <w:rPr>
          <w:spacing w:val="-3"/>
        </w:rPr>
        <w:t>软件，包括在目标计算机上安装和运行该软件所需的批处理文件、命令文件、数</w:t>
      </w:r>
      <w:r>
        <w:rPr>
          <w:spacing w:val="7"/>
        </w:rPr>
        <w:t xml:space="preserve">  </w:t>
      </w:r>
      <w:r>
        <w:rPr>
          <w:spacing w:val="11"/>
        </w:rPr>
        <w:t>据文件或其他软件文件。为使软件实体成为该</w:t>
      </w:r>
      <w:r>
        <w:rPr>
          <w:spacing w:val="-59"/>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11"/>
        </w:rPr>
        <w:t>可执行软件的有</w:t>
      </w:r>
      <w:r>
        <w:rPr>
          <w:spacing w:val="10"/>
        </w:rPr>
        <w:t>效拷贝，</w:t>
      </w:r>
      <w:r>
        <w:t xml:space="preserve"> </w:t>
      </w:r>
      <w:r>
        <w:rPr>
          <w:spacing w:val="2"/>
        </w:rPr>
        <w:t>它必须与这些文件精确匹配。</w:t>
      </w:r>
    </w:p>
    <w:p w14:paraId="63B1F2D4">
      <w:pPr>
        <w:spacing w:before="26" w:line="221" w:lineRule="auto"/>
        <w:rPr>
          <w:rFonts w:ascii="黑体" w:hAnsi="黑体" w:eastAsia="黑体" w:cs="黑体"/>
          <w:sz w:val="24"/>
          <w:szCs w:val="24"/>
        </w:rPr>
      </w:pPr>
      <w:r>
        <w:rPr>
          <w:rFonts w:ascii="黑体" w:hAnsi="黑体" w:eastAsia="黑体" w:cs="黑体"/>
          <w:spacing w:val="13"/>
          <w:sz w:val="24"/>
          <w:szCs w:val="24"/>
        </w:rPr>
        <w:t>3.2</w:t>
      </w:r>
      <w:r>
        <w:rPr>
          <w:rFonts w:ascii="黑体" w:hAnsi="黑体" w:eastAsia="黑体" w:cs="黑体"/>
          <w:spacing w:val="7"/>
          <w:sz w:val="24"/>
          <w:szCs w:val="24"/>
        </w:rPr>
        <w:t xml:space="preserve">   </w:t>
      </w:r>
      <w:r>
        <w:rPr>
          <w:rFonts w:ascii="黑体" w:hAnsi="黑体" w:eastAsia="黑体" w:cs="黑体"/>
          <w:spacing w:val="13"/>
          <w:sz w:val="24"/>
          <w:szCs w:val="24"/>
        </w:rPr>
        <w:t>源文件</w:t>
      </w:r>
    </w:p>
    <w:p w14:paraId="6BEBD381">
      <w:pPr>
        <w:pStyle w:val="2"/>
        <w:spacing w:before="103" w:line="275" w:lineRule="auto"/>
        <w:ind w:firstLine="580"/>
        <w:jc w:val="both"/>
      </w:pPr>
      <w:r>
        <w:rPr>
          <w:spacing w:val="2"/>
        </w:rPr>
        <w:t>本条应通过引用附带的或其他形式提供的电子媒体，给出</w:t>
      </w:r>
      <w:r>
        <w:rPr>
          <w:spacing w:val="-68"/>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2"/>
        </w:rPr>
        <w:t>的</w:t>
      </w:r>
      <w:r>
        <w:rPr>
          <w:spacing w:val="1"/>
        </w:rPr>
        <w:t>源文件，</w:t>
      </w:r>
      <w:r>
        <w:t xml:space="preserve"> 包括重新生成</w:t>
      </w:r>
      <w:r>
        <w:rPr>
          <w:rFonts w:ascii="Times New Roman" w:hAnsi="Times New Roman" w:eastAsia="Times New Roman" w:cs="Times New Roman"/>
        </w:rPr>
        <w:t>CSCI</w:t>
      </w:r>
      <w:r>
        <w:rPr>
          <w:rFonts w:ascii="Times New Roman" w:hAnsi="Times New Roman" w:eastAsia="Times New Roman" w:cs="Times New Roman"/>
          <w:spacing w:val="52"/>
        </w:rPr>
        <w:t xml:space="preserve"> </w:t>
      </w:r>
      <w:r>
        <w:t xml:space="preserve">可执行软件所需的批处理文件、命令文件、数据文件或其他  </w:t>
      </w:r>
      <w:r>
        <w:rPr>
          <w:spacing w:val="7"/>
        </w:rPr>
        <w:t>文件。为使软件实体成为该</w:t>
      </w:r>
      <w:r>
        <w:rPr>
          <w:spacing w:val="-53"/>
        </w:rPr>
        <w:t xml:space="preserve"> </w:t>
      </w:r>
      <w:r>
        <w:rPr>
          <w:rFonts w:ascii="Times New Roman" w:hAnsi="Times New Roman" w:eastAsia="Times New Roman" w:cs="Times New Roman"/>
        </w:rPr>
        <w:t>CSCI</w:t>
      </w:r>
      <w:r>
        <w:rPr>
          <w:rFonts w:ascii="Times New Roman" w:hAnsi="Times New Roman" w:eastAsia="Times New Roman" w:cs="Times New Roman"/>
          <w:spacing w:val="33"/>
        </w:rPr>
        <w:t xml:space="preserve"> </w:t>
      </w:r>
      <w:r>
        <w:rPr>
          <w:spacing w:val="7"/>
        </w:rPr>
        <w:t>源文件的有效拷贝，它必须与这些文件精确</w:t>
      </w:r>
      <w:r>
        <w:t xml:space="preserve">  </w:t>
      </w:r>
      <w:r>
        <w:rPr>
          <w:spacing w:val="-8"/>
        </w:rPr>
        <w:t>匹配。</w:t>
      </w:r>
    </w:p>
    <w:p w14:paraId="195B3648">
      <w:pPr>
        <w:spacing w:before="15" w:line="223" w:lineRule="auto"/>
        <w:rPr>
          <w:rFonts w:ascii="黑体" w:hAnsi="黑体" w:eastAsia="黑体" w:cs="黑体"/>
          <w:sz w:val="27"/>
          <w:szCs w:val="27"/>
        </w:rPr>
      </w:pPr>
      <w:r>
        <w:rPr>
          <w:rFonts w:ascii="黑体" w:hAnsi="黑体" w:eastAsia="黑体" w:cs="黑体"/>
          <w:spacing w:val="2"/>
          <w:sz w:val="27"/>
          <w:szCs w:val="27"/>
        </w:rPr>
        <w:t>3.3</w:t>
      </w:r>
      <w:r>
        <w:rPr>
          <w:rFonts w:ascii="黑体" w:hAnsi="黑体" w:eastAsia="黑体" w:cs="黑体"/>
          <w:spacing w:val="32"/>
          <w:sz w:val="27"/>
          <w:szCs w:val="27"/>
        </w:rPr>
        <w:t xml:space="preserve">  </w:t>
      </w:r>
      <w:r>
        <w:rPr>
          <w:rFonts w:ascii="黑体" w:hAnsi="黑体" w:eastAsia="黑体" w:cs="黑体"/>
          <w:spacing w:val="2"/>
          <w:sz w:val="27"/>
          <w:szCs w:val="27"/>
        </w:rPr>
        <w:t>包装需求</w:t>
      </w:r>
    </w:p>
    <w:p w14:paraId="74C6E1E8">
      <w:pPr>
        <w:pStyle w:val="2"/>
        <w:spacing w:before="92" w:line="219" w:lineRule="auto"/>
        <w:ind w:left="580"/>
      </w:pPr>
      <w:r>
        <w:rPr>
          <w:spacing w:val="6"/>
        </w:rPr>
        <w:t>(若有)本条应描述</w:t>
      </w:r>
      <w:r>
        <w:rPr>
          <w:rFonts w:ascii="Times New Roman" w:hAnsi="Times New Roman" w:eastAsia="Times New Roman" w:cs="Times New Roman"/>
        </w:rPr>
        <w:t>CSCI</w:t>
      </w:r>
      <w:r>
        <w:rPr>
          <w:rFonts w:ascii="Times New Roman" w:hAnsi="Times New Roman" w:eastAsia="Times New Roman" w:cs="Times New Roman"/>
          <w:spacing w:val="28"/>
        </w:rPr>
        <w:t xml:space="preserve"> </w:t>
      </w:r>
      <w:r>
        <w:rPr>
          <w:spacing w:val="6"/>
        </w:rPr>
        <w:t>拷贝的包装和标记方面的需求。</w:t>
      </w:r>
    </w:p>
    <w:p w14:paraId="4093E9E5">
      <w:pPr>
        <w:spacing w:before="92" w:line="223"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14"/>
          <w:sz w:val="27"/>
          <w:szCs w:val="27"/>
        </w:rPr>
        <w:t xml:space="preserve">  </w:t>
      </w:r>
      <w:r>
        <w:rPr>
          <w:rFonts w:ascii="黑体" w:hAnsi="黑体" w:eastAsia="黑体" w:cs="黑体"/>
          <w:spacing w:val="5"/>
          <w:sz w:val="27"/>
          <w:szCs w:val="27"/>
        </w:rPr>
        <w:t>合格性规定</w:t>
      </w:r>
    </w:p>
    <w:p w14:paraId="0AA0ABD9">
      <w:pPr>
        <w:pStyle w:val="2"/>
        <w:spacing w:before="71" w:line="274" w:lineRule="auto"/>
        <w:ind w:right="19" w:firstLine="580"/>
        <w:jc w:val="both"/>
      </w:pPr>
      <w:r>
        <w:rPr>
          <w:spacing w:val="10"/>
        </w:rPr>
        <w:t>本条应描述用于证明指定软件实体是</w:t>
      </w:r>
      <w:r>
        <w:rPr>
          <w:rFonts w:ascii="Times New Roman" w:hAnsi="Times New Roman" w:eastAsia="Times New Roman" w:cs="Times New Roman"/>
        </w:rPr>
        <w:t>CSCI</w:t>
      </w:r>
      <w:r>
        <w:rPr>
          <w:rFonts w:ascii="Times New Roman" w:hAnsi="Times New Roman" w:eastAsia="Times New Roman" w:cs="Times New Roman"/>
          <w:spacing w:val="43"/>
        </w:rPr>
        <w:t xml:space="preserve"> </w:t>
      </w:r>
      <w:r>
        <w:rPr>
          <w:spacing w:val="10"/>
        </w:rPr>
        <w:t>有效拷贝所使用的方法。</w:t>
      </w:r>
      <w:r>
        <w:rPr>
          <w:spacing w:val="9"/>
        </w:rPr>
        <w:t>例如</w:t>
      </w:r>
      <w:r>
        <w:t xml:space="preserve"> </w:t>
      </w:r>
      <w:r>
        <w:rPr>
          <w:spacing w:val="9"/>
        </w:rPr>
        <w:t>针对可执行文件所使用的方法可以是，确定3.1条中引用到的每个可执行文件</w:t>
      </w:r>
      <w:r>
        <w:t xml:space="preserve">  </w:t>
      </w:r>
      <w:r>
        <w:rPr>
          <w:spacing w:val="1"/>
        </w:rPr>
        <w:t>在当前所述软件中是否有相同命名的对等实体，并且可通过按位比较、校验和、</w:t>
      </w:r>
      <w:r>
        <w:t xml:space="preserve"> </w:t>
      </w:r>
      <w:r>
        <w:rPr>
          <w:spacing w:val="5"/>
        </w:rPr>
        <w:t>或其他方法表明每个这样的对等实体和对应的可执行文件是相同的；针对源文</w:t>
      </w:r>
      <w:r>
        <w:rPr>
          <w:spacing w:val="6"/>
        </w:rPr>
        <w:t xml:space="preserve">  </w:t>
      </w:r>
      <w:r>
        <w:rPr>
          <w:spacing w:val="9"/>
        </w:rPr>
        <w:t>件所使用的方法可以是与3.2条中引用的源文件进行比较。</w:t>
      </w:r>
    </w:p>
    <w:p w14:paraId="58B92D0C">
      <w:pPr>
        <w:spacing w:line="368" w:lineRule="exact"/>
        <w:rPr>
          <w:rFonts w:ascii="黑体" w:hAnsi="黑体" w:eastAsia="黑体" w:cs="黑体"/>
          <w:sz w:val="27"/>
          <w:szCs w:val="27"/>
        </w:rPr>
      </w:pPr>
      <w:r>
        <w:rPr>
          <w:rFonts w:ascii="Arial" w:hAnsi="Arial" w:eastAsia="Arial" w:cs="Arial"/>
          <w:spacing w:val="2"/>
          <w:position w:val="1"/>
          <w:sz w:val="27"/>
          <w:szCs w:val="27"/>
        </w:rPr>
        <w:t>5</w:t>
      </w:r>
      <w:r>
        <w:rPr>
          <w:rFonts w:ascii="Arial" w:hAnsi="Arial" w:eastAsia="Arial" w:cs="Arial"/>
          <w:spacing w:val="23"/>
          <w:w w:val="101"/>
          <w:position w:val="1"/>
          <w:sz w:val="27"/>
          <w:szCs w:val="27"/>
        </w:rPr>
        <w:t xml:space="preserve">   </w:t>
      </w:r>
      <w:r>
        <w:rPr>
          <w:rFonts w:ascii="黑体" w:hAnsi="黑体" w:eastAsia="黑体" w:cs="黑体"/>
          <w:spacing w:val="2"/>
          <w:position w:val="1"/>
          <w:sz w:val="27"/>
          <w:szCs w:val="27"/>
        </w:rPr>
        <w:t>软件支持信息</w:t>
      </w:r>
    </w:p>
    <w:p w14:paraId="1F4BC91C">
      <w:pPr>
        <w:spacing w:before="108" w:line="222" w:lineRule="auto"/>
        <w:rPr>
          <w:rFonts w:ascii="黑体" w:hAnsi="黑体" w:eastAsia="黑体" w:cs="黑体"/>
          <w:sz w:val="25"/>
          <w:szCs w:val="25"/>
        </w:rPr>
      </w:pPr>
      <w:r>
        <w:rPr>
          <w:rFonts w:ascii="黑体" w:hAnsi="黑体" w:eastAsia="黑体" w:cs="黑体"/>
          <w:spacing w:val="4"/>
          <w:sz w:val="25"/>
          <w:szCs w:val="25"/>
        </w:rPr>
        <w:t>5.1</w:t>
      </w:r>
      <w:r>
        <w:rPr>
          <w:rFonts w:ascii="黑体" w:hAnsi="黑体" w:eastAsia="黑体" w:cs="黑体"/>
          <w:spacing w:val="93"/>
          <w:sz w:val="25"/>
          <w:szCs w:val="25"/>
        </w:rPr>
        <w:t xml:space="preserve"> </w:t>
      </w:r>
      <w:r>
        <w:rPr>
          <w:rFonts w:ascii="黑体" w:hAnsi="黑体" w:eastAsia="黑体" w:cs="黑体"/>
          <w:spacing w:val="4"/>
          <w:sz w:val="25"/>
          <w:szCs w:val="25"/>
        </w:rPr>
        <w:t>“</w:t>
      </w:r>
      <w:r>
        <w:rPr>
          <w:rFonts w:ascii="黑体" w:hAnsi="黑体" w:eastAsia="黑体" w:cs="黑体"/>
          <w:spacing w:val="-75"/>
          <w:sz w:val="25"/>
          <w:szCs w:val="25"/>
        </w:rPr>
        <w:t xml:space="preserve"> </w:t>
      </w:r>
      <w:r>
        <w:rPr>
          <w:rFonts w:ascii="黑体" w:hAnsi="黑体" w:eastAsia="黑体" w:cs="黑体"/>
          <w:spacing w:val="4"/>
          <w:sz w:val="25"/>
          <w:szCs w:val="25"/>
        </w:rPr>
        <w:t>已建成”软件设计</w:t>
      </w:r>
    </w:p>
    <w:p w14:paraId="74E41FC5">
      <w:pPr>
        <w:pStyle w:val="2"/>
        <w:spacing w:before="97" w:line="280" w:lineRule="auto"/>
        <w:ind w:right="103" w:firstLine="580"/>
        <w:jc w:val="both"/>
      </w:pPr>
      <w:r>
        <w:rPr>
          <w:spacing w:val="-8"/>
        </w:rPr>
        <w:t>本条应包含描述“已建成”</w:t>
      </w:r>
      <w:r>
        <w:rPr>
          <w:rFonts w:ascii="Times New Roman" w:hAnsi="Times New Roman" w:eastAsia="Times New Roman" w:cs="Times New Roman"/>
          <w:spacing w:val="-8"/>
        </w:rPr>
        <w:t>CSCI</w:t>
      </w:r>
      <w:r>
        <w:rPr>
          <w:rFonts w:ascii="Times New Roman" w:hAnsi="Times New Roman" w:eastAsia="Times New Roman" w:cs="Times New Roman"/>
          <w:spacing w:val="48"/>
        </w:rPr>
        <w:t xml:space="preserve"> </w:t>
      </w:r>
      <w:r>
        <w:rPr>
          <w:spacing w:val="-8"/>
        </w:rPr>
        <w:t>的设计信息，或引用包含此信息的一个附录</w:t>
      </w:r>
      <w:r>
        <w:t xml:space="preserve"> </w:t>
      </w:r>
      <w:r>
        <w:rPr>
          <w:spacing w:val="8"/>
        </w:rPr>
        <w:t>或其他可交付的文档。(若适用)此信息应与软件设计说明(</w:t>
      </w:r>
      <w:r>
        <w:rPr>
          <w:rFonts w:ascii="Times New Roman" w:hAnsi="Times New Roman" w:eastAsia="Times New Roman" w:cs="Times New Roman"/>
        </w:rPr>
        <w:t>SDD</w:t>
      </w:r>
      <w:r>
        <w:rPr>
          <w:rFonts w:ascii="Times New Roman" w:hAnsi="Times New Roman" w:eastAsia="Times New Roman" w:cs="Times New Roman"/>
          <w:spacing w:val="7"/>
        </w:rPr>
        <w:t>)</w:t>
      </w:r>
      <w:r>
        <w:rPr>
          <w:spacing w:val="7"/>
        </w:rPr>
        <w:t>、接口设计说</w:t>
      </w:r>
      <w:r>
        <w:t xml:space="preserve"> </w:t>
      </w:r>
      <w:r>
        <w:rPr>
          <w:spacing w:val="6"/>
        </w:rPr>
        <w:t>明(</w:t>
      </w:r>
      <w:r>
        <w:rPr>
          <w:rFonts w:ascii="Times New Roman" w:hAnsi="Times New Roman" w:eastAsia="Times New Roman" w:cs="Times New Roman"/>
        </w:rPr>
        <w:t>IDD</w:t>
      </w:r>
      <w:r>
        <w:rPr>
          <w:rFonts w:ascii="Times New Roman" w:hAnsi="Times New Roman" w:eastAsia="Times New Roman" w:cs="Times New Roman"/>
          <w:spacing w:val="6"/>
        </w:rPr>
        <w:t xml:space="preserve">) </w:t>
      </w:r>
      <w:r>
        <w:rPr>
          <w:spacing w:val="6"/>
        </w:rPr>
        <w:t>和数据库设计说明(</w:t>
      </w:r>
      <w:r>
        <w:rPr>
          <w:spacing w:val="-58"/>
        </w:rPr>
        <w:t xml:space="preserve"> </w:t>
      </w:r>
      <w:r>
        <w:rPr>
          <w:rFonts w:ascii="Times New Roman" w:hAnsi="Times New Roman" w:eastAsia="Times New Roman" w:cs="Times New Roman"/>
        </w:rPr>
        <w:t>DBDD</w:t>
      </w:r>
      <w:r>
        <w:rPr>
          <w:rFonts w:ascii="Times New Roman" w:hAnsi="Times New Roman" w:eastAsia="Times New Roman" w:cs="Times New Roman"/>
          <w:spacing w:val="6"/>
        </w:rPr>
        <w:t>)</w:t>
      </w:r>
      <w:r>
        <w:rPr>
          <w:rFonts w:ascii="Times New Roman" w:hAnsi="Times New Roman" w:eastAsia="Times New Roman" w:cs="Times New Roman"/>
          <w:spacing w:val="-28"/>
        </w:rPr>
        <w:t xml:space="preserve"> </w:t>
      </w:r>
      <w:r>
        <w:rPr>
          <w:spacing w:val="6"/>
        </w:rPr>
        <w:t>所要求的信息相同。如果这些文档或其等</w:t>
      </w:r>
      <w:r>
        <w:t xml:space="preserve"> </w:t>
      </w:r>
      <w:r>
        <w:rPr>
          <w:spacing w:val="-13"/>
        </w:rPr>
        <w:t>价物要随“已建成”</w:t>
      </w:r>
      <w:r>
        <w:rPr>
          <w:rFonts w:ascii="Times New Roman" w:hAnsi="Times New Roman" w:eastAsia="Times New Roman" w:cs="Times New Roman"/>
          <w:spacing w:val="-13"/>
        </w:rPr>
        <w:t xml:space="preserve">CSCI  </w:t>
      </w:r>
      <w:r>
        <w:rPr>
          <w:spacing w:val="-13"/>
        </w:rPr>
        <w:t>交付，本条应引</w:t>
      </w:r>
      <w:r>
        <w:rPr>
          <w:spacing w:val="-14"/>
        </w:rPr>
        <w:t>用这些文档；否则，此信息应在本文档中</w:t>
      </w:r>
      <w:r>
        <w:t xml:space="preserve"> </w:t>
      </w:r>
      <w:r>
        <w:rPr>
          <w:spacing w:val="-3"/>
        </w:rPr>
        <w:t>提供。本条也可以引用源代码清单中的头文件、注释和代码提供的信息，此处无</w:t>
      </w:r>
      <w:r>
        <w:rPr>
          <w:spacing w:val="15"/>
        </w:rPr>
        <w:t xml:space="preserve"> </w:t>
      </w:r>
      <w:r>
        <w:rPr>
          <w:spacing w:val="3"/>
        </w:rPr>
        <w:t>需重复提供。如果</w:t>
      </w:r>
      <w:r>
        <w:rPr>
          <w:rFonts w:ascii="Times New Roman" w:hAnsi="Times New Roman" w:eastAsia="Times New Roman" w:cs="Times New Roman"/>
        </w:rPr>
        <w:t>SDD</w:t>
      </w:r>
      <w:r>
        <w:rPr>
          <w:rFonts w:ascii="Times New Roman" w:hAnsi="Times New Roman" w:eastAsia="Times New Roman" w:cs="Times New Roman"/>
          <w:spacing w:val="-40"/>
        </w:rPr>
        <w:t xml:space="preserve"> </w:t>
      </w:r>
      <w:r>
        <w:rPr>
          <w:spacing w:val="3"/>
        </w:rPr>
        <w:t>、</w:t>
      </w:r>
      <w:r>
        <w:rPr>
          <w:rFonts w:ascii="Times New Roman" w:hAnsi="Times New Roman" w:eastAsia="Times New Roman" w:cs="Times New Roman"/>
        </w:rPr>
        <w:t>IDD</w:t>
      </w:r>
      <w:r>
        <w:rPr>
          <w:rFonts w:ascii="Times New Roman" w:hAnsi="Times New Roman" w:eastAsia="Times New Roman" w:cs="Times New Roman"/>
          <w:spacing w:val="-27"/>
        </w:rPr>
        <w:t xml:space="preserve"> </w:t>
      </w:r>
      <w:r>
        <w:rPr>
          <w:spacing w:val="3"/>
        </w:rPr>
        <w:t>或</w:t>
      </w:r>
      <w:r>
        <w:rPr>
          <w:spacing w:val="-61"/>
        </w:rPr>
        <w:t xml:space="preserve"> </w:t>
      </w:r>
      <w:r>
        <w:rPr>
          <w:rFonts w:ascii="Times New Roman" w:hAnsi="Times New Roman" w:eastAsia="Times New Roman" w:cs="Times New Roman"/>
        </w:rPr>
        <w:t>DBDD</w:t>
      </w:r>
      <w:r>
        <w:rPr>
          <w:rFonts w:ascii="Times New Roman" w:hAnsi="Times New Roman" w:eastAsia="Times New Roman" w:cs="Times New Roman"/>
          <w:spacing w:val="3"/>
        </w:rPr>
        <w:t xml:space="preserve"> </w:t>
      </w:r>
      <w:r>
        <w:rPr>
          <w:spacing w:val="3"/>
        </w:rPr>
        <w:t>是以附录的形式提供，无需改变</w:t>
      </w:r>
      <w:r>
        <w:rPr>
          <w:spacing w:val="2"/>
        </w:rPr>
        <w:t>其条号</w:t>
      </w:r>
      <w:r>
        <w:t xml:space="preserve"> </w:t>
      </w:r>
      <w:r>
        <w:rPr>
          <w:spacing w:val="-3"/>
        </w:rPr>
        <w:t>与页码。</w:t>
      </w:r>
    </w:p>
    <w:p w14:paraId="242231C5">
      <w:pPr>
        <w:spacing w:before="15" w:line="221" w:lineRule="auto"/>
        <w:rPr>
          <w:rFonts w:ascii="黑体" w:hAnsi="黑体" w:eastAsia="黑体" w:cs="黑体"/>
          <w:sz w:val="25"/>
          <w:szCs w:val="25"/>
        </w:rPr>
      </w:pPr>
      <w:r>
        <w:rPr>
          <w:rFonts w:ascii="黑体" w:hAnsi="黑体" w:eastAsia="黑体" w:cs="黑体"/>
          <w:spacing w:val="17"/>
          <w:sz w:val="25"/>
          <w:szCs w:val="25"/>
        </w:rPr>
        <w:t>5.2</w:t>
      </w:r>
      <w:r>
        <w:rPr>
          <w:rFonts w:ascii="黑体" w:hAnsi="黑体" w:eastAsia="黑体" w:cs="黑体"/>
          <w:spacing w:val="48"/>
          <w:sz w:val="25"/>
          <w:szCs w:val="25"/>
        </w:rPr>
        <w:t xml:space="preserve">  </w:t>
      </w:r>
      <w:r>
        <w:rPr>
          <w:rFonts w:ascii="黑体" w:hAnsi="黑体" w:eastAsia="黑体" w:cs="黑体"/>
          <w:spacing w:val="17"/>
          <w:sz w:val="25"/>
          <w:szCs w:val="25"/>
        </w:rPr>
        <w:t>编译/建立规程</w:t>
      </w:r>
    </w:p>
    <w:p w14:paraId="0162A529">
      <w:pPr>
        <w:pStyle w:val="2"/>
        <w:spacing w:before="93" w:line="289" w:lineRule="auto"/>
        <w:ind w:right="103" w:firstLine="580"/>
      </w:pPr>
      <w:r>
        <w:rPr>
          <w:spacing w:val="6"/>
        </w:rPr>
        <w:t>本条应描述从源文件创建可执行文件和准备向</w:t>
      </w:r>
      <w:r>
        <w:rPr>
          <w:spacing w:val="5"/>
        </w:rPr>
        <w:t>固件或其他分布媒体中加载</w:t>
      </w:r>
      <w:r>
        <w:t xml:space="preserve"> </w:t>
      </w:r>
      <w:r>
        <w:rPr>
          <w:spacing w:val="1"/>
        </w:rPr>
        <w:t>可执行文件所要使用的编译/建立规程，或引用描述此信息的附录。本条应指定</w:t>
      </w:r>
    </w:p>
    <w:p w14:paraId="4888726D">
      <w:pPr>
        <w:spacing w:line="289" w:lineRule="auto"/>
        <w:sectPr>
          <w:footerReference r:id="rId247" w:type="default"/>
          <w:pgSz w:w="11910" w:h="17130"/>
          <w:pgMar w:top="1456" w:right="985" w:bottom="1517" w:left="1420" w:header="0" w:footer="1301" w:gutter="0"/>
          <w:cols w:space="720" w:num="1"/>
        </w:sectPr>
      </w:pPr>
    </w:p>
    <w:p w14:paraId="0D8DA571">
      <w:pPr>
        <w:pStyle w:val="2"/>
        <w:spacing w:before="193" w:line="294" w:lineRule="auto"/>
        <w:ind w:right="92"/>
        <w:jc w:val="both"/>
        <w:rPr>
          <w:sz w:val="25"/>
          <w:szCs w:val="25"/>
        </w:rPr>
      </w:pPr>
      <w:r>
        <w:rPr>
          <w:spacing w:val="7"/>
          <w:sz w:val="25"/>
          <w:szCs w:val="25"/>
        </w:rPr>
        <w:t>所用的编译程序/汇编程序，包括版本号；其他所需的软、硬件，包括版本号</w:t>
      </w:r>
      <w:r>
        <w:rPr>
          <w:spacing w:val="6"/>
          <w:sz w:val="25"/>
          <w:szCs w:val="25"/>
        </w:rPr>
        <w:t>；要使</w:t>
      </w:r>
      <w:r>
        <w:rPr>
          <w:sz w:val="25"/>
          <w:szCs w:val="25"/>
        </w:rPr>
        <w:t xml:space="preserve"> </w:t>
      </w:r>
      <w:r>
        <w:rPr>
          <w:spacing w:val="15"/>
          <w:sz w:val="25"/>
          <w:szCs w:val="25"/>
        </w:rPr>
        <w:t>用的设置、选项或约定；编译/汇编、连接</w:t>
      </w:r>
      <w:r>
        <w:rPr>
          <w:spacing w:val="14"/>
          <w:sz w:val="25"/>
          <w:szCs w:val="25"/>
        </w:rPr>
        <w:t>和建立</w:t>
      </w:r>
      <w:r>
        <w:rPr>
          <w:spacing w:val="-55"/>
          <w:sz w:val="25"/>
          <w:szCs w:val="25"/>
        </w:rPr>
        <w:t xml:space="preserve"> </w:t>
      </w:r>
      <w:r>
        <w:rPr>
          <w:rFonts w:ascii="Times New Roman" w:hAnsi="Times New Roman" w:eastAsia="Times New Roman" w:cs="Times New Roman"/>
          <w:sz w:val="25"/>
          <w:szCs w:val="25"/>
        </w:rPr>
        <w:t>CSCI</w:t>
      </w:r>
      <w:r>
        <w:rPr>
          <w:rFonts w:ascii="Times New Roman" w:hAnsi="Times New Roman" w:eastAsia="Times New Roman" w:cs="Times New Roman"/>
          <w:spacing w:val="14"/>
          <w:sz w:val="25"/>
          <w:szCs w:val="25"/>
        </w:rPr>
        <w:t xml:space="preserve">  </w:t>
      </w:r>
      <w:r>
        <w:rPr>
          <w:spacing w:val="14"/>
          <w:sz w:val="25"/>
          <w:szCs w:val="25"/>
        </w:rPr>
        <w:t>和包含</w:t>
      </w:r>
      <w:r>
        <w:rPr>
          <w:spacing w:val="-46"/>
          <w:sz w:val="25"/>
          <w:szCs w:val="25"/>
        </w:rPr>
        <w:t xml:space="preserve"> </w:t>
      </w:r>
      <w:r>
        <w:rPr>
          <w:rFonts w:ascii="Times New Roman" w:hAnsi="Times New Roman" w:eastAsia="Times New Roman" w:cs="Times New Roman"/>
          <w:sz w:val="25"/>
          <w:szCs w:val="25"/>
        </w:rPr>
        <w:t>CSCI</w:t>
      </w:r>
      <w:r>
        <w:rPr>
          <w:rFonts w:ascii="Times New Roman" w:hAnsi="Times New Roman" w:eastAsia="Times New Roman" w:cs="Times New Roman"/>
          <w:spacing w:val="14"/>
          <w:sz w:val="25"/>
          <w:szCs w:val="25"/>
        </w:rPr>
        <w:t xml:space="preserve">  </w:t>
      </w:r>
      <w:r>
        <w:rPr>
          <w:spacing w:val="14"/>
          <w:sz w:val="25"/>
          <w:szCs w:val="25"/>
        </w:rPr>
        <w:t>的软件系统</w:t>
      </w:r>
      <w:r>
        <w:rPr>
          <w:sz w:val="25"/>
          <w:szCs w:val="25"/>
        </w:rPr>
        <w:t xml:space="preserve"> </w:t>
      </w:r>
      <w:r>
        <w:rPr>
          <w:spacing w:val="9"/>
          <w:sz w:val="25"/>
          <w:szCs w:val="25"/>
        </w:rPr>
        <w:t>的规程，包括对不同现场、配置、版本的变更等。</w:t>
      </w:r>
      <w:r>
        <w:rPr>
          <w:spacing w:val="-19"/>
          <w:sz w:val="25"/>
          <w:szCs w:val="25"/>
        </w:rPr>
        <w:t xml:space="preserve"> </w:t>
      </w:r>
      <w:r>
        <w:rPr>
          <w:rFonts w:ascii="Times New Roman" w:hAnsi="Times New Roman" w:eastAsia="Times New Roman" w:cs="Times New Roman"/>
          <w:sz w:val="25"/>
          <w:szCs w:val="25"/>
        </w:rPr>
        <w:t>CSCI</w:t>
      </w:r>
      <w:r>
        <w:rPr>
          <w:rFonts w:ascii="Times New Roman" w:hAnsi="Times New Roman" w:eastAsia="Times New Roman" w:cs="Times New Roman"/>
          <w:spacing w:val="9"/>
          <w:sz w:val="25"/>
          <w:szCs w:val="25"/>
        </w:rPr>
        <w:t xml:space="preserve">  </w:t>
      </w:r>
      <w:r>
        <w:rPr>
          <w:spacing w:val="9"/>
          <w:sz w:val="25"/>
          <w:szCs w:val="25"/>
        </w:rPr>
        <w:t>级之上的建立规程可以在</w:t>
      </w:r>
      <w:r>
        <w:rPr>
          <w:sz w:val="25"/>
          <w:szCs w:val="25"/>
        </w:rPr>
        <w:t xml:space="preserve"> </w:t>
      </w:r>
      <w:r>
        <w:rPr>
          <w:spacing w:val="8"/>
          <w:sz w:val="25"/>
          <w:szCs w:val="25"/>
        </w:rPr>
        <w:t>某</w:t>
      </w:r>
      <w:r>
        <w:rPr>
          <w:spacing w:val="-30"/>
          <w:sz w:val="25"/>
          <w:szCs w:val="25"/>
        </w:rPr>
        <w:t xml:space="preserve"> </w:t>
      </w:r>
      <w:r>
        <w:rPr>
          <w:spacing w:val="8"/>
          <w:sz w:val="25"/>
          <w:szCs w:val="25"/>
        </w:rPr>
        <w:t>个</w:t>
      </w:r>
      <w:r>
        <w:rPr>
          <w:rFonts w:ascii="Times New Roman" w:hAnsi="Times New Roman" w:eastAsia="Times New Roman" w:cs="Times New Roman"/>
          <w:sz w:val="25"/>
          <w:szCs w:val="25"/>
        </w:rPr>
        <w:t>SPS</w:t>
      </w:r>
      <w:r>
        <w:rPr>
          <w:rFonts w:ascii="Times New Roman" w:hAnsi="Times New Roman" w:eastAsia="Times New Roman" w:cs="Times New Roman"/>
          <w:spacing w:val="8"/>
          <w:sz w:val="25"/>
          <w:szCs w:val="25"/>
        </w:rPr>
        <w:t xml:space="preserve">  </w:t>
      </w:r>
      <w:r>
        <w:rPr>
          <w:spacing w:val="8"/>
          <w:sz w:val="25"/>
          <w:szCs w:val="25"/>
        </w:rPr>
        <w:t>中给出，而在其他</w:t>
      </w:r>
      <w:r>
        <w:rPr>
          <w:spacing w:val="-45"/>
          <w:sz w:val="25"/>
          <w:szCs w:val="25"/>
        </w:rPr>
        <w:t xml:space="preserve"> </w:t>
      </w:r>
      <w:r>
        <w:rPr>
          <w:rFonts w:ascii="Times New Roman" w:hAnsi="Times New Roman" w:eastAsia="Times New Roman" w:cs="Times New Roman"/>
          <w:sz w:val="25"/>
          <w:szCs w:val="25"/>
        </w:rPr>
        <w:t>SPS</w:t>
      </w:r>
      <w:r>
        <w:rPr>
          <w:rFonts w:ascii="Times New Roman" w:hAnsi="Times New Roman" w:eastAsia="Times New Roman" w:cs="Times New Roman"/>
          <w:spacing w:val="8"/>
          <w:sz w:val="25"/>
          <w:szCs w:val="25"/>
        </w:rPr>
        <w:t xml:space="preserve">  </w:t>
      </w:r>
      <w:r>
        <w:rPr>
          <w:spacing w:val="8"/>
          <w:sz w:val="25"/>
          <w:szCs w:val="25"/>
        </w:rPr>
        <w:t>中引用。</w:t>
      </w:r>
    </w:p>
    <w:p w14:paraId="4997CB12">
      <w:pPr>
        <w:spacing w:before="42" w:line="222" w:lineRule="auto"/>
        <w:rPr>
          <w:rFonts w:ascii="黑体" w:hAnsi="黑体" w:eastAsia="黑体" w:cs="黑体"/>
          <w:sz w:val="24"/>
          <w:szCs w:val="24"/>
        </w:rPr>
      </w:pPr>
      <w:r>
        <w:rPr>
          <w:rFonts w:ascii="黑体" w:hAnsi="黑体" w:eastAsia="黑体" w:cs="黑体"/>
          <w:spacing w:val="18"/>
          <w:sz w:val="24"/>
          <w:szCs w:val="24"/>
        </w:rPr>
        <w:t>5.3</w:t>
      </w:r>
      <w:r>
        <w:rPr>
          <w:rFonts w:ascii="黑体" w:hAnsi="黑体" w:eastAsia="黑体" w:cs="黑体"/>
          <w:spacing w:val="43"/>
          <w:sz w:val="24"/>
          <w:szCs w:val="24"/>
        </w:rPr>
        <w:t xml:space="preserve">  </w:t>
      </w:r>
      <w:r>
        <w:rPr>
          <w:rFonts w:ascii="黑体" w:hAnsi="黑体" w:eastAsia="黑体" w:cs="黑体"/>
          <w:b/>
          <w:bCs/>
          <w:spacing w:val="18"/>
          <w:sz w:val="24"/>
          <w:szCs w:val="24"/>
        </w:rPr>
        <w:t>修改规程</w:t>
      </w:r>
    </w:p>
    <w:p w14:paraId="11FDA678">
      <w:pPr>
        <w:pStyle w:val="2"/>
        <w:spacing w:before="85" w:line="219" w:lineRule="auto"/>
        <w:ind w:left="560"/>
      </w:pPr>
      <w:r>
        <w:rPr>
          <w:spacing w:val="7"/>
        </w:rPr>
        <w:t>本条应描述修改</w:t>
      </w:r>
      <w:r>
        <w:rPr>
          <w:rFonts w:ascii="Times New Roman" w:hAnsi="Times New Roman" w:eastAsia="Times New Roman" w:cs="Times New Roman"/>
        </w:rPr>
        <w:t>CSCI</w:t>
      </w:r>
      <w:r>
        <w:rPr>
          <w:rFonts w:ascii="Times New Roman" w:hAnsi="Times New Roman" w:eastAsia="Times New Roman" w:cs="Times New Roman"/>
          <w:spacing w:val="7"/>
        </w:rPr>
        <w:t xml:space="preserve"> </w:t>
      </w:r>
      <w:r>
        <w:rPr>
          <w:spacing w:val="7"/>
        </w:rPr>
        <w:t>应遵循的规程。(若适用)包括或引用下</w:t>
      </w:r>
      <w:r>
        <w:rPr>
          <w:spacing w:val="6"/>
        </w:rPr>
        <w:t>述信息：</w:t>
      </w:r>
    </w:p>
    <w:p w14:paraId="202036C3">
      <w:pPr>
        <w:pStyle w:val="2"/>
        <w:spacing w:before="71" w:line="212" w:lineRule="auto"/>
        <w:ind w:left="560"/>
      </w:pPr>
      <w:r>
        <w:rPr>
          <w:rFonts w:ascii="Times New Roman" w:hAnsi="Times New Roman" w:eastAsia="Times New Roman" w:cs="Times New Roman"/>
          <w:spacing w:val="-8"/>
        </w:rPr>
        <w:t>a)</w:t>
      </w:r>
      <w:r>
        <w:rPr>
          <w:rFonts w:ascii="Times New Roman" w:hAnsi="Times New Roman" w:eastAsia="Times New Roman" w:cs="Times New Roman"/>
          <w:spacing w:val="78"/>
        </w:rPr>
        <w:t xml:space="preserve"> </w:t>
      </w:r>
      <w:r>
        <w:rPr>
          <w:spacing w:val="-8"/>
        </w:rPr>
        <w:t>保障设施、设备和软件，以及它们的使用规程；</w:t>
      </w:r>
    </w:p>
    <w:p w14:paraId="2BDD8C46">
      <w:pPr>
        <w:pStyle w:val="2"/>
        <w:spacing w:before="80" w:line="212" w:lineRule="auto"/>
        <w:ind w:left="560"/>
      </w:pPr>
      <w:r>
        <w:rPr>
          <w:rFonts w:ascii="Times New Roman" w:hAnsi="Times New Roman" w:eastAsia="Times New Roman" w:cs="Times New Roman"/>
        </w:rPr>
        <w:t xml:space="preserve">b)CSCI   </w:t>
      </w:r>
      <w:r>
        <w:t>所使用的数据库/数据文件，以及使用与修改它们的规程；</w:t>
      </w:r>
    </w:p>
    <w:p w14:paraId="6BAC75EF">
      <w:pPr>
        <w:pStyle w:val="2"/>
        <w:spacing w:before="100" w:line="212" w:lineRule="auto"/>
        <w:ind w:left="560"/>
      </w:pPr>
      <w:r>
        <w:rPr>
          <w:rFonts w:ascii="Times New Roman" w:hAnsi="Times New Roman" w:eastAsia="Times New Roman" w:cs="Times New Roman"/>
          <w:spacing w:val="-11"/>
        </w:rPr>
        <w:t>c)</w:t>
      </w:r>
      <w:r>
        <w:rPr>
          <w:rFonts w:ascii="Times New Roman" w:hAnsi="Times New Roman" w:eastAsia="Times New Roman" w:cs="Times New Roman"/>
          <w:spacing w:val="56"/>
          <w:w w:val="101"/>
        </w:rPr>
        <w:t xml:space="preserve"> </w:t>
      </w:r>
      <w:r>
        <w:rPr>
          <w:spacing w:val="-11"/>
        </w:rPr>
        <w:t>要遵循的设计、编码、及其他约定；</w:t>
      </w:r>
    </w:p>
    <w:p w14:paraId="4AC75F37">
      <w:pPr>
        <w:pStyle w:val="2"/>
        <w:spacing w:before="100" w:line="212" w:lineRule="auto"/>
        <w:ind w:left="560"/>
      </w:pPr>
      <w:r>
        <w:rPr>
          <w:rFonts w:ascii="Times New Roman" w:hAnsi="Times New Roman" w:eastAsia="Times New Roman" w:cs="Times New Roman"/>
          <w:spacing w:val="2"/>
        </w:rPr>
        <w:t xml:space="preserve">d)  ( </w:t>
      </w:r>
      <w:r>
        <w:rPr>
          <w:spacing w:val="2"/>
        </w:rPr>
        <w:t>若有)与上述不同的编译/建立规程；</w:t>
      </w:r>
    </w:p>
    <w:p w14:paraId="12E25126">
      <w:pPr>
        <w:pStyle w:val="2"/>
        <w:spacing w:before="122" w:line="212" w:lineRule="auto"/>
        <w:ind w:left="560"/>
        <w:rPr>
          <w:sz w:val="24"/>
          <w:szCs w:val="24"/>
        </w:rPr>
      </w:pPr>
      <w:r>
        <w:rPr>
          <w:rFonts w:ascii="Times New Roman" w:hAnsi="Times New Roman" w:eastAsia="Times New Roman" w:cs="Times New Roman"/>
          <w:spacing w:val="27"/>
          <w:sz w:val="24"/>
          <w:szCs w:val="24"/>
        </w:rPr>
        <w:t xml:space="preserve">e)  </w:t>
      </w:r>
      <w:r>
        <w:rPr>
          <w:spacing w:val="27"/>
          <w:sz w:val="24"/>
          <w:szCs w:val="24"/>
        </w:rPr>
        <w:t>要遵循的集成与测试规程。</w:t>
      </w:r>
    </w:p>
    <w:p w14:paraId="70F6024E">
      <w:pPr>
        <w:spacing w:before="136" w:line="221" w:lineRule="auto"/>
        <w:rPr>
          <w:rFonts w:ascii="黑体" w:hAnsi="黑体" w:eastAsia="黑体" w:cs="黑体"/>
          <w:sz w:val="27"/>
          <w:szCs w:val="27"/>
        </w:rPr>
      </w:pPr>
      <w:r>
        <w:rPr>
          <w:rFonts w:ascii="黑体" w:hAnsi="黑体" w:eastAsia="黑体" w:cs="黑体"/>
          <w:spacing w:val="4"/>
          <w:sz w:val="27"/>
          <w:szCs w:val="27"/>
        </w:rPr>
        <w:t xml:space="preserve">5.4  </w:t>
      </w:r>
      <w:r>
        <w:rPr>
          <w:rFonts w:ascii="黑体" w:hAnsi="黑体" w:eastAsia="黑体" w:cs="黑体"/>
          <w:b/>
          <w:bCs/>
          <w:spacing w:val="4"/>
          <w:sz w:val="27"/>
          <w:szCs w:val="27"/>
        </w:rPr>
        <w:t>计算机硬件资源使用</w:t>
      </w:r>
    </w:p>
    <w:p w14:paraId="3546CD53">
      <w:pPr>
        <w:pStyle w:val="2"/>
        <w:spacing w:before="105" w:line="272" w:lineRule="auto"/>
        <w:ind w:firstLine="560"/>
        <w:jc w:val="both"/>
      </w:pPr>
      <w:r>
        <w:rPr>
          <w:spacing w:val="-10"/>
        </w:rPr>
        <w:t>本条应描述“已建成”</w:t>
      </w:r>
      <w:r>
        <w:rPr>
          <w:rFonts w:ascii="Times New Roman" w:hAnsi="Times New Roman" w:eastAsia="Times New Roman" w:cs="Times New Roman"/>
          <w:spacing w:val="-10"/>
        </w:rPr>
        <w:t xml:space="preserve">CSCI </w:t>
      </w:r>
      <w:r>
        <w:rPr>
          <w:spacing w:val="-10"/>
        </w:rPr>
        <w:t>对计算机硬件资源(如处理器能力、内存容量、输</w:t>
      </w:r>
      <w:r>
        <w:rPr>
          <w:spacing w:val="16"/>
        </w:rPr>
        <w:t xml:space="preserve"> </w:t>
      </w:r>
      <w:r>
        <w:rPr>
          <w:spacing w:val="2"/>
        </w:rPr>
        <w:t>入/输出设备能力、辅存容量和通信/网络设备能力)的实际使用情</w:t>
      </w:r>
      <w:r>
        <w:rPr>
          <w:spacing w:val="1"/>
        </w:rPr>
        <w:t>况，并应覆盖</w:t>
      </w:r>
      <w:r>
        <w:t xml:space="preserve"> </w:t>
      </w:r>
      <w:r>
        <w:rPr>
          <w:spacing w:val="4"/>
        </w:rPr>
        <w:t>包括在</w:t>
      </w:r>
      <w:r>
        <w:rPr>
          <w:rFonts w:ascii="Times New Roman" w:hAnsi="Times New Roman" w:eastAsia="Times New Roman" w:cs="Times New Roman"/>
        </w:rPr>
        <w:t>CSCI</w:t>
      </w:r>
      <w:r>
        <w:rPr>
          <w:rFonts w:ascii="Times New Roman" w:hAnsi="Times New Roman" w:eastAsia="Times New Roman" w:cs="Times New Roman"/>
          <w:spacing w:val="23"/>
        </w:rPr>
        <w:t xml:space="preserve"> </w:t>
      </w:r>
      <w:r>
        <w:rPr>
          <w:spacing w:val="4"/>
        </w:rPr>
        <w:t>使用需求中的、影响</w:t>
      </w:r>
      <w:r>
        <w:rPr>
          <w:rFonts w:ascii="Times New Roman" w:hAnsi="Times New Roman" w:eastAsia="Times New Roman" w:cs="Times New Roman"/>
        </w:rPr>
        <w:t>CSCI</w:t>
      </w:r>
      <w:r>
        <w:rPr>
          <w:rFonts w:ascii="Times New Roman" w:hAnsi="Times New Roman" w:eastAsia="Times New Roman" w:cs="Times New Roman"/>
          <w:spacing w:val="53"/>
        </w:rPr>
        <w:t xml:space="preserve"> </w:t>
      </w:r>
      <w:r>
        <w:rPr>
          <w:spacing w:val="4"/>
        </w:rPr>
        <w:t>的系统级资源分配中的</w:t>
      </w:r>
      <w:r>
        <w:rPr>
          <w:spacing w:val="3"/>
        </w:rPr>
        <w:t>、或软件开发计</w:t>
      </w:r>
      <w:r>
        <w:t xml:space="preserve">  </w:t>
      </w:r>
      <w:r>
        <w:rPr>
          <w:spacing w:val="5"/>
        </w:rPr>
        <w:t>划中的所有计算机硬件资源。如果指定的计算机硬件资源的所有使用数据出现</w:t>
      </w:r>
      <w:r>
        <w:t xml:space="preserve">  </w:t>
      </w:r>
      <w:r>
        <w:rPr>
          <w:spacing w:val="-1"/>
        </w:rPr>
        <w:t>在一个地方，如在某个</w:t>
      </w:r>
      <w:r>
        <w:rPr>
          <w:rFonts w:ascii="Times New Roman" w:hAnsi="Times New Roman" w:eastAsia="Times New Roman" w:cs="Times New Roman"/>
          <w:spacing w:val="-1"/>
        </w:rPr>
        <w:t xml:space="preserve">SPS  </w:t>
      </w:r>
      <w:r>
        <w:rPr>
          <w:spacing w:val="-1"/>
        </w:rPr>
        <w:t>中，则本条可以引用它。针对每一计算机硬件资源，</w:t>
      </w:r>
      <w:r>
        <w:rPr>
          <w:spacing w:val="16"/>
        </w:rPr>
        <w:t xml:space="preserve"> </w:t>
      </w:r>
      <w:r>
        <w:rPr>
          <w:spacing w:val="-3"/>
        </w:rPr>
        <w:t>应包括：</w:t>
      </w:r>
    </w:p>
    <w:p w14:paraId="34C738A9">
      <w:pPr>
        <w:pStyle w:val="2"/>
        <w:spacing w:before="40" w:line="252" w:lineRule="auto"/>
        <w:ind w:right="85" w:firstLine="560"/>
        <w:rPr>
          <w:sz w:val="25"/>
          <w:szCs w:val="25"/>
        </w:rPr>
      </w:pPr>
      <w:r>
        <w:rPr>
          <w:rFonts w:ascii="Times New Roman" w:hAnsi="Times New Roman" w:eastAsia="Times New Roman" w:cs="Times New Roman"/>
          <w:spacing w:val="15"/>
        </w:rPr>
        <w:t xml:space="preserve">a)  </w:t>
      </w:r>
      <w:r>
        <w:rPr>
          <w:rFonts w:ascii="仿宋" w:hAnsi="仿宋" w:eastAsia="仿宋" w:cs="仿宋"/>
          <w:spacing w:val="15"/>
        </w:rPr>
        <w:t>得到满足的</w:t>
      </w:r>
      <w:r>
        <w:rPr>
          <w:rFonts w:ascii="Times New Roman" w:hAnsi="Times New Roman" w:eastAsia="Times New Roman" w:cs="Times New Roman"/>
        </w:rPr>
        <w:t>CSCI</w:t>
      </w:r>
      <w:r>
        <w:rPr>
          <w:rFonts w:ascii="Times New Roman" w:hAnsi="Times New Roman" w:eastAsia="Times New Roman" w:cs="Times New Roman"/>
          <w:spacing w:val="56"/>
        </w:rPr>
        <w:t xml:space="preserve"> </w:t>
      </w:r>
      <w:r>
        <w:rPr>
          <w:rFonts w:ascii="仿宋" w:hAnsi="仿宋" w:eastAsia="仿宋" w:cs="仿宋"/>
          <w:spacing w:val="15"/>
        </w:rPr>
        <w:t>需求或系统级资源分配(到</w:t>
      </w:r>
      <w:r>
        <w:rPr>
          <w:rFonts w:ascii="Times New Roman" w:hAnsi="Times New Roman" w:eastAsia="Times New Roman" w:cs="Times New Roman"/>
        </w:rPr>
        <w:t>CSCI</w:t>
      </w:r>
      <w:r>
        <w:rPr>
          <w:rFonts w:ascii="Times New Roman" w:hAnsi="Times New Roman" w:eastAsia="Times New Roman" w:cs="Times New Roman"/>
          <w:spacing w:val="42"/>
          <w:w w:val="101"/>
        </w:rPr>
        <w:t xml:space="preserve"> </w:t>
      </w:r>
      <w:r>
        <w:rPr>
          <w:rFonts w:ascii="仿宋" w:hAnsi="仿宋" w:eastAsia="仿宋" w:cs="仿宋"/>
          <w:spacing w:val="15"/>
        </w:rPr>
        <w:t>需求的可追踪性可</w:t>
      </w:r>
      <w:r>
        <w:rPr>
          <w:rFonts w:ascii="仿宋" w:hAnsi="仿宋" w:eastAsia="仿宋" w:cs="仿宋"/>
        </w:rPr>
        <w:t xml:space="preserve"> </w:t>
      </w:r>
      <w:r>
        <w:rPr>
          <w:spacing w:val="3"/>
          <w:sz w:val="25"/>
          <w:szCs w:val="25"/>
        </w:rPr>
        <w:t>在</w:t>
      </w:r>
      <w:r>
        <w:rPr>
          <w:spacing w:val="-38"/>
          <w:sz w:val="25"/>
          <w:szCs w:val="25"/>
        </w:rPr>
        <w:t xml:space="preserve"> </w:t>
      </w:r>
      <w:r>
        <w:rPr>
          <w:spacing w:val="3"/>
          <w:sz w:val="25"/>
          <w:szCs w:val="25"/>
        </w:rPr>
        <w:t>6</w:t>
      </w:r>
      <w:r>
        <w:rPr>
          <w:spacing w:val="-39"/>
          <w:sz w:val="25"/>
          <w:szCs w:val="25"/>
        </w:rPr>
        <w:t xml:space="preserve"> </w:t>
      </w:r>
      <w:r>
        <w:rPr>
          <w:spacing w:val="3"/>
          <w:sz w:val="25"/>
          <w:szCs w:val="25"/>
        </w:rPr>
        <w:t>.</w:t>
      </w:r>
      <w:r>
        <w:rPr>
          <w:rFonts w:ascii="Times New Roman" w:hAnsi="Times New Roman" w:eastAsia="Times New Roman" w:cs="Times New Roman"/>
          <w:spacing w:val="3"/>
          <w:sz w:val="25"/>
          <w:szCs w:val="25"/>
        </w:rPr>
        <w:t>c)</w:t>
      </w:r>
      <w:r>
        <w:rPr>
          <w:rFonts w:ascii="Times New Roman" w:hAnsi="Times New Roman" w:eastAsia="Times New Roman" w:cs="Times New Roman"/>
          <w:spacing w:val="32"/>
          <w:sz w:val="25"/>
          <w:szCs w:val="25"/>
        </w:rPr>
        <w:t xml:space="preserve"> </w:t>
      </w:r>
      <w:r>
        <w:rPr>
          <w:spacing w:val="3"/>
          <w:sz w:val="25"/>
          <w:szCs w:val="25"/>
        </w:rPr>
        <w:t>中提供);</w:t>
      </w:r>
    </w:p>
    <w:p w14:paraId="08E77A71">
      <w:pPr>
        <w:pStyle w:val="2"/>
        <w:spacing w:before="112" w:line="249" w:lineRule="auto"/>
        <w:ind w:right="93" w:firstLine="560"/>
      </w:pPr>
      <w:r>
        <w:rPr>
          <w:rFonts w:ascii="Times New Roman" w:hAnsi="Times New Roman" w:eastAsia="Times New Roman" w:cs="Times New Roman"/>
          <w:spacing w:val="-1"/>
        </w:rPr>
        <w:t xml:space="preserve">b)  </w:t>
      </w:r>
      <w:r>
        <w:rPr>
          <w:spacing w:val="-1"/>
        </w:rPr>
        <w:t>使用数据所基于的假设和条件(例如典型用法、最坏</w:t>
      </w:r>
      <w:r>
        <w:rPr>
          <w:spacing w:val="-2"/>
        </w:rPr>
        <w:t>情况用法、特定事件</w:t>
      </w:r>
      <w:r>
        <w:t xml:space="preserve"> </w:t>
      </w:r>
      <w:r>
        <w:rPr>
          <w:spacing w:val="5"/>
        </w:rPr>
        <w:t>的假设);</w:t>
      </w:r>
    </w:p>
    <w:p w14:paraId="64E0380A">
      <w:pPr>
        <w:pStyle w:val="2"/>
        <w:spacing w:before="109" w:line="247" w:lineRule="auto"/>
        <w:ind w:right="100" w:firstLine="560"/>
      </w:pPr>
      <w:r>
        <w:rPr>
          <w:rFonts w:ascii="Times New Roman" w:hAnsi="Times New Roman" w:eastAsia="Times New Roman" w:cs="Times New Roman"/>
          <w:spacing w:val="2"/>
        </w:rPr>
        <w:t>c</w:t>
      </w:r>
      <w:r>
        <w:rPr>
          <w:spacing w:val="2"/>
        </w:rPr>
        <w:t>)影响使用的特殊考虑(例如虚存的使用</w:t>
      </w:r>
      <w:r>
        <w:rPr>
          <w:spacing w:val="1"/>
        </w:rPr>
        <w:t>、覆盖、多处理器或操作系统开销</w:t>
      </w:r>
      <w:r>
        <w:t xml:space="preserve"> </w:t>
      </w:r>
      <w:r>
        <w:rPr>
          <w:spacing w:val="-2"/>
        </w:rPr>
        <w:t>的影响、库软件或其他的实现开销等);</w:t>
      </w:r>
    </w:p>
    <w:p w14:paraId="67DFC0E1">
      <w:pPr>
        <w:pStyle w:val="2"/>
        <w:spacing w:before="50" w:line="260" w:lineRule="auto"/>
        <w:ind w:right="91" w:firstLine="560"/>
      </w:pPr>
      <w:r>
        <w:rPr>
          <w:rFonts w:ascii="Times New Roman" w:hAnsi="Times New Roman" w:eastAsia="Times New Roman" w:cs="Times New Roman"/>
          <w:spacing w:val="7"/>
        </w:rPr>
        <w:t>d)</w:t>
      </w:r>
      <w:r>
        <w:rPr>
          <w:rFonts w:ascii="Times New Roman" w:hAnsi="Times New Roman" w:eastAsia="Times New Roman" w:cs="Times New Roman"/>
          <w:spacing w:val="64"/>
        </w:rPr>
        <w:t xml:space="preserve"> </w:t>
      </w:r>
      <w:r>
        <w:rPr>
          <w:spacing w:val="7"/>
        </w:rPr>
        <w:t>所采用的测度的单位(例如处理器能力百分比、每秒周期、存储器字节</w:t>
      </w:r>
      <w:r>
        <w:t xml:space="preserve"> </w:t>
      </w:r>
      <w:r>
        <w:rPr>
          <w:spacing w:val="-9"/>
        </w:rPr>
        <w:t>数、每秒千字节等);</w:t>
      </w:r>
    </w:p>
    <w:p w14:paraId="3322403A">
      <w:pPr>
        <w:pStyle w:val="2"/>
        <w:spacing w:before="89" w:line="212" w:lineRule="auto"/>
        <w:ind w:left="560"/>
      </w:pPr>
      <w:r>
        <w:rPr>
          <w:rFonts w:ascii="Times New Roman" w:hAnsi="Times New Roman" w:eastAsia="Times New Roman" w:cs="Times New Roman"/>
          <w:spacing w:val="4"/>
        </w:rPr>
        <w:t>e)</w:t>
      </w:r>
      <w:r>
        <w:rPr>
          <w:spacing w:val="4"/>
        </w:rPr>
        <w:t>已进行的估计或测量的级别(例如软件单元、</w:t>
      </w:r>
      <w:r>
        <w:rPr>
          <w:rFonts w:ascii="Times New Roman" w:hAnsi="Times New Roman" w:eastAsia="Times New Roman" w:cs="Times New Roman"/>
        </w:rPr>
        <w:t>CSCI</w:t>
      </w:r>
      <w:r>
        <w:rPr>
          <w:rFonts w:ascii="Times New Roman" w:hAnsi="Times New Roman" w:eastAsia="Times New Roman" w:cs="Times New Roman"/>
          <w:spacing w:val="36"/>
        </w:rPr>
        <w:t xml:space="preserve"> </w:t>
      </w:r>
      <w:r>
        <w:rPr>
          <w:spacing w:val="4"/>
        </w:rPr>
        <w:t>或可执行程序)。</w:t>
      </w:r>
    </w:p>
    <w:p w14:paraId="2A58FE25">
      <w:pPr>
        <w:spacing w:before="95" w:line="222"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26"/>
          <w:sz w:val="27"/>
          <w:szCs w:val="27"/>
        </w:rPr>
        <w:t xml:space="preserve">  </w:t>
      </w:r>
      <w:r>
        <w:rPr>
          <w:rFonts w:ascii="黑体" w:hAnsi="黑体" w:eastAsia="黑体" w:cs="黑体"/>
          <w:b/>
          <w:bCs/>
          <w:spacing w:val="-2"/>
          <w:sz w:val="27"/>
          <w:szCs w:val="27"/>
        </w:rPr>
        <w:t>需求的可追踪性</w:t>
      </w:r>
    </w:p>
    <w:p w14:paraId="77E22C7F">
      <w:pPr>
        <w:pStyle w:val="2"/>
        <w:spacing w:before="89" w:line="219" w:lineRule="auto"/>
        <w:ind w:left="560"/>
      </w:pPr>
      <w:r>
        <w:rPr>
          <w:spacing w:val="-1"/>
        </w:rPr>
        <w:t>本章应描述：</w:t>
      </w:r>
    </w:p>
    <w:p w14:paraId="1C63113C">
      <w:pPr>
        <w:pStyle w:val="2"/>
        <w:spacing w:before="61" w:line="212" w:lineRule="auto"/>
        <w:ind w:left="560"/>
      </w:pPr>
      <w:r>
        <w:rPr>
          <w:rFonts w:ascii="Times New Roman" w:hAnsi="Times New Roman" w:eastAsia="Times New Roman" w:cs="Times New Roman"/>
          <w:spacing w:val="3"/>
        </w:rPr>
        <w:t>a)</w:t>
      </w:r>
      <w:r>
        <w:rPr>
          <w:rFonts w:ascii="Times New Roman" w:hAnsi="Times New Roman" w:eastAsia="Times New Roman" w:cs="Times New Roman"/>
          <w:spacing w:val="79"/>
        </w:rPr>
        <w:t xml:space="preserve"> </w:t>
      </w:r>
      <w:r>
        <w:rPr>
          <w:spacing w:val="3"/>
        </w:rPr>
        <w:t>从每一</w:t>
      </w:r>
      <w:r>
        <w:rPr>
          <w:spacing w:val="-70"/>
        </w:rPr>
        <w:t xml:space="preserve"> </w:t>
      </w:r>
      <w:r>
        <w:rPr>
          <w:rFonts w:ascii="Times New Roman" w:hAnsi="Times New Roman" w:eastAsia="Times New Roman" w:cs="Times New Roman"/>
        </w:rPr>
        <w:t>CSCI</w:t>
      </w:r>
      <w:r>
        <w:rPr>
          <w:rFonts w:ascii="Times New Roman" w:hAnsi="Times New Roman" w:eastAsia="Times New Roman" w:cs="Times New Roman"/>
          <w:spacing w:val="23"/>
        </w:rPr>
        <w:t xml:space="preserve"> </w:t>
      </w:r>
      <w:r>
        <w:rPr>
          <w:spacing w:val="3"/>
        </w:rPr>
        <w:t>源文件到它所实现的软件单元的可追踪性；</w:t>
      </w:r>
    </w:p>
    <w:p w14:paraId="5035938C">
      <w:pPr>
        <w:pStyle w:val="2"/>
        <w:spacing w:before="100"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69"/>
        </w:rPr>
        <w:t xml:space="preserve"> </w:t>
      </w:r>
      <w:r>
        <w:rPr>
          <w:spacing w:val="4"/>
        </w:rPr>
        <w:t>从每一软件单元到实现它的源文件的可追踪性；</w:t>
      </w:r>
    </w:p>
    <w:p w14:paraId="2A76D9FC">
      <w:pPr>
        <w:pStyle w:val="2"/>
        <w:spacing w:before="119" w:line="253" w:lineRule="auto"/>
        <w:ind w:right="92" w:firstLine="560"/>
      </w:pPr>
      <w:r>
        <w:rPr>
          <w:rFonts w:ascii="Times New Roman" w:hAnsi="Times New Roman" w:eastAsia="Times New Roman" w:cs="Times New Roman"/>
          <w:spacing w:val="12"/>
        </w:rPr>
        <w:t>c)</w:t>
      </w:r>
      <w:r>
        <w:rPr>
          <w:rFonts w:ascii="Times New Roman" w:hAnsi="Times New Roman" w:eastAsia="Times New Roman" w:cs="Times New Roman"/>
          <w:spacing w:val="53"/>
        </w:rPr>
        <w:t xml:space="preserve"> </w:t>
      </w:r>
      <w:r>
        <w:rPr>
          <w:spacing w:val="12"/>
        </w:rPr>
        <w:t>从5.4中指定的每一计算机硬件资源使用测量到它</w:t>
      </w:r>
      <w:r>
        <w:rPr>
          <w:spacing w:val="11"/>
        </w:rPr>
        <w:t>所涉及的</w:t>
      </w:r>
      <w:r>
        <w:rPr>
          <w:rFonts w:ascii="Times New Roman" w:hAnsi="Times New Roman" w:eastAsia="Times New Roman" w:cs="Times New Roman"/>
        </w:rPr>
        <w:t>CSCI</w:t>
      </w:r>
      <w:r>
        <w:rPr>
          <w:rFonts w:ascii="Times New Roman" w:hAnsi="Times New Roman" w:eastAsia="Times New Roman" w:cs="Times New Roman"/>
          <w:spacing w:val="32"/>
        </w:rPr>
        <w:t xml:space="preserve"> </w:t>
      </w:r>
      <w:r>
        <w:rPr>
          <w:spacing w:val="11"/>
        </w:rPr>
        <w:t>需求</w:t>
      </w:r>
      <w:r>
        <w:t xml:space="preserve"> </w:t>
      </w:r>
      <w:r>
        <w:rPr>
          <w:spacing w:val="10"/>
        </w:rPr>
        <w:t>的可追踪性(此可追踪性也可在5.4中提供);</w:t>
      </w:r>
    </w:p>
    <w:p w14:paraId="023D6D73">
      <w:pPr>
        <w:pStyle w:val="2"/>
        <w:spacing w:before="81" w:line="212" w:lineRule="auto"/>
        <w:ind w:left="560"/>
      </w:pPr>
      <w:r>
        <w:rPr>
          <w:rFonts w:ascii="Times New Roman" w:hAnsi="Times New Roman" w:eastAsia="Times New Roman" w:cs="Times New Roman"/>
          <w:spacing w:val="9"/>
        </w:rPr>
        <w:t>d)</w:t>
      </w:r>
      <w:r>
        <w:rPr>
          <w:rFonts w:ascii="Times New Roman" w:hAnsi="Times New Roman" w:eastAsia="Times New Roman" w:cs="Times New Roman"/>
          <w:spacing w:val="71"/>
        </w:rPr>
        <w:t xml:space="preserve"> </w:t>
      </w:r>
      <w:r>
        <w:rPr>
          <w:spacing w:val="9"/>
        </w:rPr>
        <w:t>从有关计算机硬件资源使用的每一</w:t>
      </w:r>
      <w:r>
        <w:rPr>
          <w:spacing w:val="-60"/>
        </w:rPr>
        <w:t xml:space="preserve"> </w:t>
      </w:r>
      <w:r>
        <w:rPr>
          <w:rFonts w:ascii="Times New Roman" w:hAnsi="Times New Roman" w:eastAsia="Times New Roman" w:cs="Times New Roman"/>
        </w:rPr>
        <w:t>CSCI</w:t>
      </w:r>
      <w:r>
        <w:rPr>
          <w:rFonts w:ascii="Times New Roman" w:hAnsi="Times New Roman" w:eastAsia="Times New Roman" w:cs="Times New Roman"/>
          <w:spacing w:val="9"/>
        </w:rPr>
        <w:t xml:space="preserve"> </w:t>
      </w:r>
      <w:r>
        <w:rPr>
          <w:spacing w:val="9"/>
        </w:rPr>
        <w:t>需求到5.4中指定的使用测量</w:t>
      </w:r>
    </w:p>
    <w:p w14:paraId="324DC86D">
      <w:pPr>
        <w:spacing w:line="212" w:lineRule="auto"/>
        <w:sectPr>
          <w:footerReference r:id="rId248" w:type="default"/>
          <w:pgSz w:w="11910" w:h="17130"/>
          <w:pgMar w:top="1456" w:right="1314" w:bottom="1543" w:left="1120" w:header="0" w:footer="1344" w:gutter="0"/>
          <w:cols w:space="720" w:num="1"/>
        </w:sectPr>
      </w:pPr>
    </w:p>
    <w:p w14:paraId="66DAA15E">
      <w:pPr>
        <w:pStyle w:val="2"/>
        <w:spacing w:before="65" w:line="220" w:lineRule="auto"/>
      </w:pPr>
      <w:r>
        <w:rPr>
          <w:spacing w:val="-1"/>
        </w:rPr>
        <w:t>的可追踪性。</w:t>
      </w:r>
    </w:p>
    <w:p w14:paraId="7BFCB402">
      <w:pPr>
        <w:spacing w:before="94" w:line="222" w:lineRule="auto"/>
        <w:rPr>
          <w:rFonts w:ascii="黑体" w:hAnsi="黑体" w:eastAsia="黑体" w:cs="黑体"/>
          <w:sz w:val="25"/>
          <w:szCs w:val="25"/>
        </w:rPr>
      </w:pPr>
      <w:r>
        <w:rPr>
          <w:rFonts w:ascii="黑体" w:hAnsi="黑体" w:eastAsia="黑体" w:cs="黑体"/>
          <w:spacing w:val="-8"/>
          <w:sz w:val="25"/>
          <w:szCs w:val="25"/>
        </w:rPr>
        <w:t>7</w:t>
      </w:r>
      <w:r>
        <w:rPr>
          <w:rFonts w:ascii="黑体" w:hAnsi="黑体" w:eastAsia="黑体" w:cs="黑体"/>
          <w:spacing w:val="27"/>
          <w:sz w:val="25"/>
          <w:szCs w:val="25"/>
        </w:rPr>
        <w:t xml:space="preserve">  </w:t>
      </w:r>
      <w:r>
        <w:rPr>
          <w:rFonts w:ascii="黑体" w:hAnsi="黑体" w:eastAsia="黑体" w:cs="黑体"/>
          <w:spacing w:val="-8"/>
          <w:sz w:val="25"/>
          <w:szCs w:val="25"/>
        </w:rPr>
        <w:t>注</w:t>
      </w:r>
      <w:r>
        <w:rPr>
          <w:rFonts w:ascii="黑体" w:hAnsi="黑体" w:eastAsia="黑体" w:cs="黑体"/>
          <w:spacing w:val="-54"/>
          <w:sz w:val="25"/>
          <w:szCs w:val="25"/>
        </w:rPr>
        <w:t xml:space="preserve"> </w:t>
      </w:r>
      <w:r>
        <w:rPr>
          <w:rFonts w:ascii="黑体" w:hAnsi="黑体" w:eastAsia="黑体" w:cs="黑体"/>
          <w:spacing w:val="-8"/>
          <w:sz w:val="25"/>
          <w:szCs w:val="25"/>
        </w:rPr>
        <w:t>释</w:t>
      </w:r>
    </w:p>
    <w:p w14:paraId="026C9D19">
      <w:pPr>
        <w:pStyle w:val="2"/>
        <w:spacing w:before="60" w:line="219" w:lineRule="auto"/>
        <w:ind w:left="570"/>
      </w:pPr>
      <w:r>
        <w:rPr>
          <w:spacing w:val="-4"/>
        </w:rPr>
        <w:t>本章应包括有助于了解文档的所有信息(例如背景、术语、缩略语或公式)。</w:t>
      </w:r>
    </w:p>
    <w:p w14:paraId="113FDD96">
      <w:pPr>
        <w:spacing w:line="351" w:lineRule="auto"/>
        <w:rPr>
          <w:rFonts w:ascii="Arial"/>
          <w:sz w:val="21"/>
        </w:rPr>
      </w:pPr>
    </w:p>
    <w:p w14:paraId="591245FF">
      <w:pPr>
        <w:pStyle w:val="2"/>
        <w:spacing w:before="114" w:line="219" w:lineRule="auto"/>
        <w:ind w:left="3039"/>
        <w:rPr>
          <w:sz w:val="35"/>
          <w:szCs w:val="35"/>
        </w:rPr>
      </w:pPr>
      <w:r>
        <w:rPr>
          <w:spacing w:val="6"/>
          <w:sz w:val="35"/>
          <w:szCs w:val="35"/>
        </w:rPr>
        <w:t>2.19</w:t>
      </w:r>
      <w:r>
        <w:rPr>
          <w:spacing w:val="40"/>
          <w:sz w:val="35"/>
          <w:szCs w:val="35"/>
        </w:rPr>
        <w:t xml:space="preserve">  </w:t>
      </w:r>
      <w:r>
        <w:rPr>
          <w:b/>
          <w:bCs/>
          <w:spacing w:val="6"/>
          <w:sz w:val="35"/>
          <w:szCs w:val="35"/>
        </w:rPr>
        <w:t>软件版本说明</w:t>
      </w:r>
    </w:p>
    <w:p w14:paraId="7AB7F2D0">
      <w:pPr>
        <w:spacing w:line="342" w:lineRule="auto"/>
        <w:rPr>
          <w:rFonts w:ascii="Arial"/>
          <w:sz w:val="21"/>
        </w:rPr>
      </w:pPr>
    </w:p>
    <w:p w14:paraId="51389B8E">
      <w:pPr>
        <w:pStyle w:val="2"/>
        <w:spacing w:before="92" w:line="225" w:lineRule="auto"/>
        <w:ind w:left="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军用软件开发文档通用要求》</w:t>
      </w:r>
      <w:r>
        <w:rPr>
          <w:rFonts w:ascii="楷体" w:hAnsi="楷体" w:eastAsia="楷体" w:cs="楷体"/>
          <w:spacing w:val="-11"/>
          <w:sz w:val="28"/>
          <w:szCs w:val="28"/>
        </w:rPr>
        <w:t>编写。</w:t>
      </w:r>
    </w:p>
    <w:p w14:paraId="18ADFD29">
      <w:pPr>
        <w:spacing w:before="82" w:line="223" w:lineRule="auto"/>
        <w:rPr>
          <w:rFonts w:ascii="黑体" w:hAnsi="黑体" w:eastAsia="黑体" w:cs="黑体"/>
          <w:sz w:val="27"/>
          <w:szCs w:val="27"/>
        </w:rPr>
      </w:pPr>
      <w:r>
        <w:rPr>
          <w:rFonts w:ascii="黑体" w:hAnsi="黑体" w:eastAsia="黑体" w:cs="黑体"/>
          <w:sz w:val="27"/>
          <w:szCs w:val="27"/>
        </w:rPr>
        <w:t>1</w:t>
      </w:r>
      <w:r>
        <w:rPr>
          <w:rFonts w:ascii="黑体" w:hAnsi="黑体" w:eastAsia="黑体" w:cs="黑体"/>
          <w:spacing w:val="20"/>
          <w:sz w:val="27"/>
          <w:szCs w:val="27"/>
        </w:rPr>
        <w:t xml:space="preserve">  </w:t>
      </w:r>
      <w:r>
        <w:rPr>
          <w:rFonts w:ascii="黑体" w:hAnsi="黑体" w:eastAsia="黑体" w:cs="黑体"/>
          <w:sz w:val="27"/>
          <w:szCs w:val="27"/>
        </w:rPr>
        <w:t>范围</w:t>
      </w:r>
    </w:p>
    <w:p w14:paraId="066B39B0">
      <w:pPr>
        <w:spacing w:before="83" w:line="222" w:lineRule="auto"/>
        <w:rPr>
          <w:rFonts w:ascii="黑体" w:hAnsi="黑体" w:eastAsia="黑体" w:cs="黑体"/>
          <w:sz w:val="27"/>
          <w:szCs w:val="27"/>
        </w:rPr>
      </w:pPr>
      <w:r>
        <w:rPr>
          <w:rFonts w:ascii="黑体" w:hAnsi="黑体" w:eastAsia="黑体" w:cs="黑体"/>
          <w:spacing w:val="-3"/>
          <w:sz w:val="27"/>
          <w:szCs w:val="27"/>
        </w:rPr>
        <w:t>1.1</w:t>
      </w:r>
      <w:r>
        <w:rPr>
          <w:rFonts w:ascii="黑体" w:hAnsi="黑体" w:eastAsia="黑体" w:cs="黑体"/>
          <w:spacing w:val="30"/>
          <w:sz w:val="27"/>
          <w:szCs w:val="27"/>
        </w:rPr>
        <w:t xml:space="preserve">  </w:t>
      </w:r>
      <w:r>
        <w:rPr>
          <w:rFonts w:ascii="黑体" w:hAnsi="黑体" w:eastAsia="黑体" w:cs="黑体"/>
          <w:spacing w:val="-3"/>
          <w:sz w:val="27"/>
          <w:szCs w:val="27"/>
        </w:rPr>
        <w:t>标识</w:t>
      </w:r>
    </w:p>
    <w:p w14:paraId="1C1A9F08">
      <w:pPr>
        <w:pStyle w:val="2"/>
        <w:spacing w:before="83" w:line="275" w:lineRule="auto"/>
        <w:ind w:firstLine="570"/>
        <w:jc w:val="both"/>
      </w:pPr>
      <w:r>
        <w:rPr>
          <w:spacing w:val="1"/>
        </w:rPr>
        <w:t xml:space="preserve">本条应描述本文档所适用系统和软件的完整标识，适用时，包括其标识号、 </w:t>
      </w:r>
      <w:r>
        <w:rPr>
          <w:spacing w:val="-3"/>
        </w:rPr>
        <w:t>名称、缩略名、版本号和发布号。本条还应标识本文档预期的接受者，该标识影</w:t>
      </w:r>
      <w:r>
        <w:rPr>
          <w:spacing w:val="7"/>
        </w:rPr>
        <w:t xml:space="preserve">  </w:t>
      </w:r>
      <w:r>
        <w:rPr>
          <w:spacing w:val="4"/>
        </w:rPr>
        <w:t>响所发布软件的内容(例如源代码可能不向所有的接受者发布</w:t>
      </w:r>
      <w:r>
        <w:rPr>
          <w:spacing w:val="3"/>
        </w:rPr>
        <w:t>)。</w:t>
      </w:r>
    </w:p>
    <w:p w14:paraId="3D3FAB99">
      <w:pPr>
        <w:spacing w:before="22" w:line="221" w:lineRule="auto"/>
        <w:rPr>
          <w:rFonts w:ascii="黑体" w:hAnsi="黑体" w:eastAsia="黑体" w:cs="黑体"/>
          <w:sz w:val="24"/>
          <w:szCs w:val="24"/>
        </w:rPr>
      </w:pPr>
      <w:r>
        <w:rPr>
          <w:rFonts w:ascii="黑体" w:hAnsi="黑体" w:eastAsia="黑体" w:cs="黑体"/>
          <w:spacing w:val="15"/>
          <w:sz w:val="24"/>
          <w:szCs w:val="24"/>
        </w:rPr>
        <w:t>1.2</w:t>
      </w:r>
      <w:r>
        <w:rPr>
          <w:rFonts w:ascii="黑体" w:hAnsi="黑体" w:eastAsia="黑体" w:cs="黑体"/>
          <w:sz w:val="24"/>
          <w:szCs w:val="24"/>
        </w:rPr>
        <w:t xml:space="preserve">   </w:t>
      </w:r>
      <w:r>
        <w:rPr>
          <w:rFonts w:ascii="黑体" w:hAnsi="黑体" w:eastAsia="黑体" w:cs="黑体"/>
          <w:spacing w:val="15"/>
          <w:sz w:val="24"/>
          <w:szCs w:val="24"/>
        </w:rPr>
        <w:t>系统概述</w:t>
      </w:r>
    </w:p>
    <w:p w14:paraId="46E0829D">
      <w:pPr>
        <w:pStyle w:val="2"/>
        <w:spacing w:before="95" w:line="278" w:lineRule="auto"/>
        <w:ind w:right="120" w:firstLine="570"/>
        <w:jc w:val="both"/>
      </w:pPr>
      <w:r>
        <w:rPr>
          <w:spacing w:val="6"/>
        </w:rPr>
        <w:t>本条应概述本文档所适用系统和软件的用途。它还应</w:t>
      </w:r>
      <w:r>
        <w:rPr>
          <w:spacing w:val="5"/>
        </w:rPr>
        <w:t>描述系统与软件的一</w:t>
      </w:r>
      <w:r>
        <w:t xml:space="preserve"> </w:t>
      </w:r>
      <w:r>
        <w:rPr>
          <w:spacing w:val="-10"/>
        </w:rPr>
        <w:t>般特性；概述系统开发、运行和维护的历史；标识项目的需方、用户、开发方</w:t>
      </w:r>
      <w:r>
        <w:rPr>
          <w:spacing w:val="-11"/>
        </w:rPr>
        <w:t>和保</w:t>
      </w:r>
      <w:r>
        <w:t xml:space="preserve"> </w:t>
      </w:r>
      <w:r>
        <w:rPr>
          <w:spacing w:val="-6"/>
        </w:rPr>
        <w:t>障机构等；标识当前和计划的运行现场；列出其他有关文档。</w:t>
      </w:r>
    </w:p>
    <w:p w14:paraId="4257B62B">
      <w:pPr>
        <w:spacing w:before="1" w:line="220" w:lineRule="auto"/>
        <w:rPr>
          <w:rFonts w:ascii="黑体" w:hAnsi="黑体" w:eastAsia="黑体" w:cs="黑体"/>
          <w:sz w:val="27"/>
          <w:szCs w:val="27"/>
        </w:rPr>
      </w:pPr>
      <w:r>
        <w:rPr>
          <w:rFonts w:ascii="黑体" w:hAnsi="黑体" w:eastAsia="黑体" w:cs="黑体"/>
          <w:spacing w:val="-3"/>
          <w:sz w:val="27"/>
          <w:szCs w:val="27"/>
        </w:rPr>
        <w:t>1.3</w:t>
      </w:r>
      <w:r>
        <w:rPr>
          <w:rFonts w:ascii="黑体" w:hAnsi="黑体" w:eastAsia="黑体" w:cs="黑体"/>
          <w:spacing w:val="27"/>
          <w:sz w:val="27"/>
          <w:szCs w:val="27"/>
        </w:rPr>
        <w:t xml:space="preserve">  </w:t>
      </w:r>
      <w:r>
        <w:rPr>
          <w:rFonts w:ascii="黑体" w:hAnsi="黑体" w:eastAsia="黑体" w:cs="黑体"/>
          <w:spacing w:val="-3"/>
          <w:sz w:val="27"/>
          <w:szCs w:val="27"/>
        </w:rPr>
        <w:t>文档概述</w:t>
      </w:r>
    </w:p>
    <w:p w14:paraId="0AE811F3">
      <w:pPr>
        <w:pStyle w:val="2"/>
        <w:spacing w:before="98" w:line="285" w:lineRule="auto"/>
        <w:ind w:right="113" w:firstLine="570"/>
      </w:pPr>
      <w:r>
        <w:rPr>
          <w:spacing w:val="6"/>
        </w:rPr>
        <w:t>本条应概述本文档的用途和内容，并描述与它的使用有关的保密性方</w:t>
      </w:r>
      <w:r>
        <w:rPr>
          <w:spacing w:val="5"/>
        </w:rPr>
        <w:t>面的</w:t>
      </w:r>
      <w:r>
        <w:t xml:space="preserve"> </w:t>
      </w:r>
      <w:r>
        <w:rPr>
          <w:spacing w:val="-2"/>
        </w:rPr>
        <w:t>要求。</w:t>
      </w:r>
    </w:p>
    <w:p w14:paraId="37B947C5">
      <w:pPr>
        <w:spacing w:before="5" w:line="222" w:lineRule="auto"/>
        <w:rPr>
          <w:rFonts w:ascii="黑体" w:hAnsi="黑体" w:eastAsia="黑体" w:cs="黑体"/>
          <w:sz w:val="25"/>
          <w:szCs w:val="25"/>
        </w:rPr>
      </w:pPr>
      <w:r>
        <w:rPr>
          <w:rFonts w:ascii="黑体" w:hAnsi="黑体" w:eastAsia="黑体" w:cs="黑体"/>
          <w:spacing w:val="18"/>
          <w:sz w:val="25"/>
          <w:szCs w:val="25"/>
        </w:rPr>
        <w:t>2</w:t>
      </w:r>
      <w:r>
        <w:rPr>
          <w:rFonts w:ascii="黑体" w:hAnsi="黑体" w:eastAsia="黑体" w:cs="黑体"/>
          <w:spacing w:val="27"/>
          <w:sz w:val="25"/>
          <w:szCs w:val="25"/>
        </w:rPr>
        <w:t xml:space="preserve">  </w:t>
      </w:r>
      <w:r>
        <w:rPr>
          <w:rFonts w:ascii="黑体" w:hAnsi="黑体" w:eastAsia="黑体" w:cs="黑体"/>
          <w:spacing w:val="18"/>
          <w:sz w:val="25"/>
          <w:szCs w:val="25"/>
        </w:rPr>
        <w:t>引用文档</w:t>
      </w:r>
    </w:p>
    <w:p w14:paraId="797C75E8">
      <w:pPr>
        <w:pStyle w:val="2"/>
        <w:spacing w:before="102" w:line="268" w:lineRule="auto"/>
        <w:ind w:right="121" w:firstLine="570"/>
      </w:pPr>
      <w:r>
        <w:rPr>
          <w:spacing w:val="-11"/>
        </w:rPr>
        <w:t>本章应列出引用文档的编号、标题、编写单位、修订版及日期，还应标识不能</w:t>
      </w:r>
      <w:r>
        <w:rPr>
          <w:spacing w:val="16"/>
        </w:rPr>
        <w:t xml:space="preserve"> </w:t>
      </w:r>
      <w:r>
        <w:rPr>
          <w:spacing w:val="3"/>
        </w:rPr>
        <w:t>通过正常采购活动得到的文档的来源。</w:t>
      </w:r>
    </w:p>
    <w:p w14:paraId="2F27969A">
      <w:pPr>
        <w:spacing w:before="33" w:line="221" w:lineRule="auto"/>
        <w:rPr>
          <w:rFonts w:ascii="黑体" w:hAnsi="黑体" w:eastAsia="黑体" w:cs="黑体"/>
          <w:sz w:val="25"/>
          <w:szCs w:val="25"/>
        </w:rPr>
      </w:pPr>
      <w:r>
        <w:rPr>
          <w:rFonts w:ascii="黑体" w:hAnsi="黑体" w:eastAsia="黑体" w:cs="黑体"/>
          <w:spacing w:val="18"/>
          <w:sz w:val="25"/>
          <w:szCs w:val="25"/>
        </w:rPr>
        <w:t>3</w:t>
      </w:r>
      <w:r>
        <w:rPr>
          <w:rFonts w:ascii="黑体" w:hAnsi="黑体" w:eastAsia="黑体" w:cs="黑体"/>
          <w:spacing w:val="29"/>
          <w:sz w:val="25"/>
          <w:szCs w:val="25"/>
        </w:rPr>
        <w:t xml:space="preserve">  </w:t>
      </w:r>
      <w:r>
        <w:rPr>
          <w:rFonts w:ascii="黑体" w:hAnsi="黑体" w:eastAsia="黑体" w:cs="黑体"/>
          <w:spacing w:val="18"/>
          <w:sz w:val="25"/>
          <w:szCs w:val="25"/>
        </w:rPr>
        <w:t>版本说明</w:t>
      </w:r>
    </w:p>
    <w:p w14:paraId="6190BA3B">
      <w:pPr>
        <w:spacing w:before="91" w:line="221" w:lineRule="auto"/>
        <w:rPr>
          <w:rFonts w:ascii="黑体" w:hAnsi="黑体" w:eastAsia="黑体" w:cs="黑体"/>
          <w:sz w:val="27"/>
          <w:szCs w:val="27"/>
        </w:rPr>
      </w:pPr>
      <w:r>
        <w:rPr>
          <w:rFonts w:ascii="黑体" w:hAnsi="黑体" w:eastAsia="黑体" w:cs="黑体"/>
          <w:spacing w:val="1"/>
          <w:sz w:val="27"/>
          <w:szCs w:val="27"/>
        </w:rPr>
        <w:t>3.1</w:t>
      </w:r>
      <w:r>
        <w:rPr>
          <w:rFonts w:ascii="黑体" w:hAnsi="黑体" w:eastAsia="黑体" w:cs="黑体"/>
          <w:spacing w:val="25"/>
          <w:sz w:val="27"/>
          <w:szCs w:val="27"/>
        </w:rPr>
        <w:t xml:space="preserve">  </w:t>
      </w:r>
      <w:r>
        <w:rPr>
          <w:rFonts w:ascii="黑体" w:hAnsi="黑体" w:eastAsia="黑体" w:cs="黑体"/>
          <w:spacing w:val="1"/>
          <w:sz w:val="27"/>
          <w:szCs w:val="27"/>
        </w:rPr>
        <w:t>发布的材料清单</w:t>
      </w:r>
    </w:p>
    <w:p w14:paraId="3ECF08C7">
      <w:pPr>
        <w:pStyle w:val="2"/>
        <w:spacing w:before="87" w:line="279" w:lineRule="auto"/>
        <w:ind w:right="152" w:firstLine="570"/>
        <w:jc w:val="both"/>
      </w:pPr>
      <w:r>
        <w:rPr>
          <w:spacing w:val="-11"/>
        </w:rPr>
        <w:t>(若适用)本条应按标识号、标题、缩略名、日期、版本号和发布号，</w:t>
      </w:r>
      <w:r>
        <w:rPr>
          <w:spacing w:val="-12"/>
        </w:rPr>
        <w:t>列出构成</w:t>
      </w:r>
      <w:r>
        <w:t xml:space="preserve"> </w:t>
      </w:r>
      <w:r>
        <w:rPr>
          <w:spacing w:val="-3"/>
        </w:rPr>
        <w:t>所发布软件的所有物理媒体(例如列表、磁带、磁盘)和有关的文档。本条还应给</w:t>
      </w:r>
      <w:r>
        <w:rPr>
          <w:spacing w:val="17"/>
        </w:rPr>
        <w:t xml:space="preserve"> </w:t>
      </w:r>
      <w:r>
        <w:rPr>
          <w:spacing w:val="9"/>
        </w:rPr>
        <w:t>出适用于这些项的保密性考虑、处理它们的安全措施(例如对静电和磁场的关</w:t>
      </w:r>
      <w:r>
        <w:rPr>
          <w:spacing w:val="10"/>
        </w:rPr>
        <w:t xml:space="preserve"> </w:t>
      </w:r>
      <w:r>
        <w:rPr>
          <w:spacing w:val="3"/>
        </w:rPr>
        <w:t>注)和关于复制与许可证条款的说明及约束。</w:t>
      </w:r>
    </w:p>
    <w:p w14:paraId="288B345C">
      <w:pPr>
        <w:spacing w:line="222" w:lineRule="auto"/>
        <w:rPr>
          <w:rFonts w:ascii="黑体" w:hAnsi="黑体" w:eastAsia="黑体" w:cs="黑体"/>
          <w:sz w:val="27"/>
          <w:szCs w:val="27"/>
        </w:rPr>
      </w:pPr>
      <w:r>
        <w:rPr>
          <w:rFonts w:ascii="黑体" w:hAnsi="黑体" w:eastAsia="黑体" w:cs="黑体"/>
          <w:spacing w:val="2"/>
          <w:sz w:val="27"/>
          <w:szCs w:val="27"/>
        </w:rPr>
        <w:t>3.2</w:t>
      </w:r>
      <w:r>
        <w:rPr>
          <w:rFonts w:ascii="黑体" w:hAnsi="黑体" w:eastAsia="黑体" w:cs="黑体"/>
          <w:spacing w:val="21"/>
          <w:sz w:val="27"/>
          <w:szCs w:val="27"/>
        </w:rPr>
        <w:t xml:space="preserve">  </w:t>
      </w:r>
      <w:r>
        <w:rPr>
          <w:rFonts w:ascii="黑体" w:hAnsi="黑体" w:eastAsia="黑体" w:cs="黑体"/>
          <w:spacing w:val="2"/>
          <w:sz w:val="27"/>
          <w:szCs w:val="27"/>
        </w:rPr>
        <w:t>软件内容清单</w:t>
      </w:r>
    </w:p>
    <w:p w14:paraId="4324B8E1">
      <w:pPr>
        <w:pStyle w:val="2"/>
        <w:spacing w:before="96" w:line="268" w:lineRule="auto"/>
        <w:ind w:right="122" w:firstLine="570"/>
      </w:pPr>
      <w:r>
        <w:rPr>
          <w:spacing w:val="-10"/>
        </w:rPr>
        <w:t>(若适用)本条应按标识号、标题、缩略词语、日期、版本</w:t>
      </w:r>
      <w:r>
        <w:rPr>
          <w:spacing w:val="-11"/>
        </w:rPr>
        <w:t>号和发布号列出构成</w:t>
      </w:r>
      <w:r>
        <w:t xml:space="preserve"> 所发布软件版本的所有计算机文件，还应给出适用的保密性考虑。</w:t>
      </w:r>
    </w:p>
    <w:p w14:paraId="503E4C65">
      <w:pPr>
        <w:spacing w:before="33" w:line="221" w:lineRule="auto"/>
        <w:rPr>
          <w:rFonts w:ascii="黑体" w:hAnsi="黑体" w:eastAsia="黑体" w:cs="黑体"/>
          <w:sz w:val="25"/>
          <w:szCs w:val="25"/>
        </w:rPr>
      </w:pPr>
      <w:r>
        <w:rPr>
          <w:rFonts w:ascii="黑体" w:hAnsi="黑体" w:eastAsia="黑体" w:cs="黑体"/>
          <w:spacing w:val="13"/>
          <w:sz w:val="25"/>
          <w:szCs w:val="25"/>
        </w:rPr>
        <w:t>3.3</w:t>
      </w:r>
      <w:r>
        <w:rPr>
          <w:rFonts w:ascii="黑体" w:hAnsi="黑体" w:eastAsia="黑体" w:cs="黑体"/>
          <w:spacing w:val="43"/>
          <w:sz w:val="25"/>
          <w:szCs w:val="25"/>
        </w:rPr>
        <w:t xml:space="preserve">  </w:t>
      </w:r>
      <w:r>
        <w:rPr>
          <w:rFonts w:ascii="黑体" w:hAnsi="黑体" w:eastAsia="黑体" w:cs="黑体"/>
          <w:spacing w:val="13"/>
          <w:sz w:val="25"/>
          <w:szCs w:val="25"/>
        </w:rPr>
        <w:t>更改说明</w:t>
      </w:r>
    </w:p>
    <w:p w14:paraId="05E15868">
      <w:pPr>
        <w:pStyle w:val="2"/>
        <w:spacing w:before="92" w:line="296" w:lineRule="auto"/>
        <w:ind w:right="122" w:firstLine="570"/>
      </w:pPr>
      <w:r>
        <w:rPr>
          <w:spacing w:val="6"/>
        </w:rPr>
        <w:t>本条应列出自上一个版本后引入当前软件版本的</w:t>
      </w:r>
      <w:r>
        <w:rPr>
          <w:spacing w:val="5"/>
        </w:rPr>
        <w:t>所有更改。如果使用了更</w:t>
      </w:r>
      <w:r>
        <w:t xml:space="preserve"> </w:t>
      </w:r>
      <w:r>
        <w:rPr>
          <w:spacing w:val="5"/>
        </w:rPr>
        <w:t>改类别，则更改应按这些类别进行划分。(若适用)本条应标识与每一更改相关</w:t>
      </w:r>
    </w:p>
    <w:p w14:paraId="7ADEF842">
      <w:pPr>
        <w:spacing w:line="296" w:lineRule="auto"/>
        <w:sectPr>
          <w:footerReference r:id="rId249" w:type="default"/>
          <w:pgSz w:w="11910" w:h="17130"/>
          <w:pgMar w:top="1456" w:right="964" w:bottom="1653" w:left="1430" w:header="0" w:footer="1455" w:gutter="0"/>
          <w:cols w:space="720" w:num="1"/>
        </w:sectPr>
      </w:pPr>
    </w:p>
    <w:p w14:paraId="71D28E47">
      <w:pPr>
        <w:pStyle w:val="2"/>
        <w:spacing w:before="52" w:line="290" w:lineRule="auto"/>
        <w:ind w:right="153"/>
      </w:pPr>
      <w:r>
        <w:rPr>
          <w:spacing w:val="-3"/>
        </w:rPr>
        <w:t>的问题报告、更改建议和更改通告，以及(若有)每一更改对系统运行和其他软硬</w:t>
      </w:r>
      <w:r>
        <w:rPr>
          <w:spacing w:val="8"/>
        </w:rPr>
        <w:t xml:space="preserve"> </w:t>
      </w:r>
      <w:r>
        <w:rPr>
          <w:spacing w:val="3"/>
        </w:rPr>
        <w:t>件接口产生的影响。本条不适用于初始软件版本。</w:t>
      </w:r>
    </w:p>
    <w:p w14:paraId="18CF0FAB">
      <w:pPr>
        <w:spacing w:line="222" w:lineRule="auto"/>
        <w:rPr>
          <w:rFonts w:ascii="黑体" w:hAnsi="黑体" w:eastAsia="黑体" w:cs="黑体"/>
          <w:sz w:val="24"/>
          <w:szCs w:val="24"/>
        </w:rPr>
      </w:pPr>
      <w:r>
        <w:rPr>
          <w:rFonts w:ascii="黑体" w:hAnsi="黑体" w:eastAsia="黑体" w:cs="黑体"/>
          <w:spacing w:val="19"/>
          <w:sz w:val="24"/>
          <w:szCs w:val="24"/>
        </w:rPr>
        <w:t>3.4</w:t>
      </w:r>
      <w:r>
        <w:rPr>
          <w:rFonts w:ascii="黑体" w:hAnsi="黑体" w:eastAsia="黑体" w:cs="黑体"/>
          <w:spacing w:val="51"/>
          <w:sz w:val="24"/>
          <w:szCs w:val="24"/>
        </w:rPr>
        <w:t xml:space="preserve">  </w:t>
      </w:r>
      <w:r>
        <w:rPr>
          <w:rFonts w:ascii="黑体" w:hAnsi="黑体" w:eastAsia="黑体" w:cs="黑体"/>
          <w:b/>
          <w:bCs/>
          <w:spacing w:val="19"/>
          <w:sz w:val="24"/>
          <w:szCs w:val="24"/>
        </w:rPr>
        <w:t>适应性数据</w:t>
      </w:r>
    </w:p>
    <w:p w14:paraId="3B9598A9">
      <w:pPr>
        <w:pStyle w:val="2"/>
        <w:spacing w:before="76" w:line="282" w:lineRule="auto"/>
        <w:ind w:right="104" w:firstLine="570"/>
      </w:pPr>
      <w:r>
        <w:rPr>
          <w:spacing w:val="6"/>
        </w:rPr>
        <w:t>本条应标识或引用包含在软件版本中所有现场专用的数据。对于第</w:t>
      </w:r>
      <w:r>
        <w:rPr>
          <w:spacing w:val="5"/>
        </w:rPr>
        <w:t>一版之</w:t>
      </w:r>
      <w:r>
        <w:t xml:space="preserve"> </w:t>
      </w:r>
      <w:r>
        <w:rPr>
          <w:spacing w:val="-3"/>
        </w:rPr>
        <w:t>后的软件版本，本条应描述对适应性数据做的更改。</w:t>
      </w:r>
    </w:p>
    <w:p w14:paraId="1D695335">
      <w:pPr>
        <w:spacing w:line="221" w:lineRule="auto"/>
        <w:rPr>
          <w:rFonts w:ascii="黑体" w:hAnsi="黑体" w:eastAsia="黑体" w:cs="黑体"/>
          <w:sz w:val="27"/>
          <w:szCs w:val="27"/>
        </w:rPr>
      </w:pPr>
      <w:r>
        <w:rPr>
          <w:rFonts w:ascii="黑体" w:hAnsi="黑体" w:eastAsia="黑体" w:cs="黑体"/>
          <w:spacing w:val="1"/>
          <w:sz w:val="27"/>
          <w:szCs w:val="27"/>
        </w:rPr>
        <w:t>3.5</w:t>
      </w:r>
      <w:r>
        <w:rPr>
          <w:rFonts w:ascii="黑体" w:hAnsi="黑体" w:eastAsia="黑体" w:cs="黑体"/>
          <w:spacing w:val="15"/>
          <w:sz w:val="27"/>
          <w:szCs w:val="27"/>
        </w:rPr>
        <w:t xml:space="preserve">  </w:t>
      </w:r>
      <w:r>
        <w:rPr>
          <w:rFonts w:ascii="黑体" w:hAnsi="黑体" w:eastAsia="黑体" w:cs="黑体"/>
          <w:b/>
          <w:bCs/>
          <w:spacing w:val="1"/>
          <w:sz w:val="27"/>
          <w:szCs w:val="27"/>
        </w:rPr>
        <w:t>有关的文档</w:t>
      </w:r>
    </w:p>
    <w:p w14:paraId="6BBBEAE6">
      <w:pPr>
        <w:pStyle w:val="2"/>
        <w:spacing w:before="80" w:line="282" w:lineRule="auto"/>
        <w:ind w:right="123" w:firstLine="570"/>
      </w:pPr>
      <w:r>
        <w:rPr>
          <w:spacing w:val="-11"/>
        </w:rPr>
        <w:t>(若适用)本条应按标识号、标题、缩略名、日期、版本号和发布号列出与所发</w:t>
      </w:r>
      <w:r>
        <w:rPr>
          <w:spacing w:val="15"/>
        </w:rPr>
        <w:t xml:space="preserve"> </w:t>
      </w:r>
      <w:r>
        <w:rPr>
          <w:spacing w:val="3"/>
        </w:rPr>
        <w:t>布软件有关但未包含在其中的所有文档。</w:t>
      </w:r>
    </w:p>
    <w:p w14:paraId="51E20F42">
      <w:pPr>
        <w:spacing w:before="9" w:line="221" w:lineRule="auto"/>
        <w:rPr>
          <w:rFonts w:ascii="黑体" w:hAnsi="黑体" w:eastAsia="黑体" w:cs="黑体"/>
          <w:sz w:val="24"/>
          <w:szCs w:val="24"/>
        </w:rPr>
      </w:pPr>
      <w:r>
        <w:rPr>
          <w:rFonts w:ascii="黑体" w:hAnsi="黑体" w:eastAsia="黑体" w:cs="黑体"/>
          <w:spacing w:val="13"/>
          <w:sz w:val="24"/>
          <w:szCs w:val="24"/>
        </w:rPr>
        <w:t>3.6</w:t>
      </w:r>
      <w:r>
        <w:rPr>
          <w:rFonts w:ascii="黑体" w:hAnsi="黑体" w:eastAsia="黑体" w:cs="黑体"/>
          <w:spacing w:val="53"/>
          <w:sz w:val="24"/>
          <w:szCs w:val="24"/>
        </w:rPr>
        <w:t xml:space="preserve">  </w:t>
      </w:r>
      <w:r>
        <w:rPr>
          <w:rFonts w:ascii="黑体" w:hAnsi="黑体" w:eastAsia="黑体" w:cs="黑体"/>
          <w:b/>
          <w:bCs/>
          <w:spacing w:val="13"/>
          <w:sz w:val="24"/>
          <w:szCs w:val="24"/>
        </w:rPr>
        <w:t>安装说明</w:t>
      </w:r>
    </w:p>
    <w:p w14:paraId="35D3801F">
      <w:pPr>
        <w:pStyle w:val="2"/>
        <w:spacing w:before="98" w:line="219" w:lineRule="auto"/>
        <w:ind w:left="570"/>
      </w:pPr>
      <w:r>
        <w:rPr>
          <w:spacing w:val="3"/>
        </w:rPr>
        <w:t>(若适用)本条应提供或引用以下信息：</w:t>
      </w:r>
    </w:p>
    <w:p w14:paraId="52FEF720">
      <w:pPr>
        <w:pStyle w:val="2"/>
        <w:spacing w:before="90" w:line="219" w:lineRule="auto"/>
        <w:ind w:left="570"/>
      </w:pPr>
      <w:r>
        <w:rPr>
          <w:rFonts w:ascii="Times New Roman" w:hAnsi="Times New Roman" w:eastAsia="Times New Roman" w:cs="Times New Roman"/>
          <w:spacing w:val="2"/>
        </w:rPr>
        <w:t>a</w:t>
      </w:r>
      <w:r>
        <w:rPr>
          <w:spacing w:val="2"/>
        </w:rPr>
        <w:t>)</w:t>
      </w:r>
      <w:r>
        <w:rPr>
          <w:spacing w:val="-40"/>
        </w:rPr>
        <w:t xml:space="preserve"> </w:t>
      </w:r>
      <w:r>
        <w:rPr>
          <w:spacing w:val="2"/>
        </w:rPr>
        <w:t>安装软件版本的说明；</w:t>
      </w:r>
    </w:p>
    <w:p w14:paraId="10241B40">
      <w:pPr>
        <w:pStyle w:val="2"/>
        <w:spacing w:before="71" w:line="253" w:lineRule="auto"/>
        <w:ind w:right="105" w:firstLine="570"/>
      </w:pPr>
      <w:r>
        <w:rPr>
          <w:rFonts w:ascii="Times New Roman" w:hAnsi="Times New Roman" w:eastAsia="Times New Roman" w:cs="Times New Roman"/>
          <w:spacing w:val="3"/>
        </w:rPr>
        <w:t xml:space="preserve">b)  </w:t>
      </w:r>
      <w:r>
        <w:rPr>
          <w:spacing w:val="3"/>
        </w:rPr>
        <w:t>为使该版本可用而应安装的其他更改的标识，包括未包</w:t>
      </w:r>
      <w:r>
        <w:rPr>
          <w:spacing w:val="2"/>
        </w:rPr>
        <w:t>含在软件版本中</w:t>
      </w:r>
      <w:r>
        <w:t xml:space="preserve"> </w:t>
      </w:r>
      <w:r>
        <w:rPr>
          <w:spacing w:val="1"/>
        </w:rPr>
        <w:t>的场地唯一的适应性数据；</w:t>
      </w:r>
    </w:p>
    <w:p w14:paraId="70C84C91">
      <w:pPr>
        <w:pStyle w:val="2"/>
        <w:spacing w:before="59" w:line="212" w:lineRule="auto"/>
        <w:ind w:left="570"/>
      </w:pPr>
      <w:r>
        <w:rPr>
          <w:rFonts w:ascii="Times New Roman" w:hAnsi="Times New Roman" w:eastAsia="Times New Roman" w:cs="Times New Roman"/>
          <w:spacing w:val="3"/>
        </w:rPr>
        <w:t xml:space="preserve">c)  </w:t>
      </w:r>
      <w:r>
        <w:rPr>
          <w:spacing w:val="3"/>
        </w:rPr>
        <w:t>与安装有关的保密性和安全性提示；</w:t>
      </w:r>
    </w:p>
    <w:p w14:paraId="7756010C">
      <w:pPr>
        <w:pStyle w:val="2"/>
        <w:spacing w:before="110" w:line="212" w:lineRule="auto"/>
        <w:ind w:left="570"/>
      </w:pPr>
      <w:r>
        <w:rPr>
          <w:rFonts w:ascii="Times New Roman" w:hAnsi="Times New Roman" w:eastAsia="Times New Roman" w:cs="Times New Roman"/>
          <w:spacing w:val="3"/>
        </w:rPr>
        <w:t xml:space="preserve">d)  </w:t>
      </w:r>
      <w:r>
        <w:rPr>
          <w:spacing w:val="3"/>
        </w:rPr>
        <w:t>判定版本是否正确安装的规程；</w:t>
      </w:r>
    </w:p>
    <w:p w14:paraId="01F1B9FE">
      <w:pPr>
        <w:pStyle w:val="2"/>
        <w:spacing w:before="90" w:line="212" w:lineRule="auto"/>
        <w:ind w:left="570"/>
      </w:pPr>
      <w:r>
        <w:rPr>
          <w:rFonts w:ascii="Times New Roman" w:hAnsi="Times New Roman" w:eastAsia="Times New Roman" w:cs="Times New Roman"/>
          <w:spacing w:val="4"/>
        </w:rPr>
        <w:t xml:space="preserve">e)  </w:t>
      </w:r>
      <w:r>
        <w:rPr>
          <w:spacing w:val="4"/>
        </w:rPr>
        <w:t>安装中遇到问题后的求助联系地点。</w:t>
      </w:r>
    </w:p>
    <w:p w14:paraId="67058688">
      <w:pPr>
        <w:spacing w:before="145" w:line="222" w:lineRule="auto"/>
        <w:rPr>
          <w:rFonts w:ascii="黑体" w:hAnsi="黑体" w:eastAsia="黑体" w:cs="黑体"/>
          <w:sz w:val="24"/>
          <w:szCs w:val="24"/>
        </w:rPr>
      </w:pPr>
      <w:r>
        <w:rPr>
          <w:rFonts w:ascii="黑体" w:hAnsi="黑体" w:eastAsia="黑体" w:cs="黑体"/>
          <w:spacing w:val="24"/>
          <w:sz w:val="24"/>
          <w:szCs w:val="24"/>
        </w:rPr>
        <w:t>3.7</w:t>
      </w:r>
      <w:r>
        <w:rPr>
          <w:rFonts w:ascii="黑体" w:hAnsi="黑体" w:eastAsia="黑体" w:cs="黑体"/>
          <w:spacing w:val="51"/>
          <w:sz w:val="24"/>
          <w:szCs w:val="24"/>
        </w:rPr>
        <w:t xml:space="preserve">  </w:t>
      </w:r>
      <w:r>
        <w:rPr>
          <w:rFonts w:ascii="黑体" w:hAnsi="黑体" w:eastAsia="黑体" w:cs="黑体"/>
          <w:b/>
          <w:bCs/>
          <w:spacing w:val="24"/>
          <w:sz w:val="24"/>
          <w:szCs w:val="24"/>
        </w:rPr>
        <w:t>可能的问题和已知的错误</w:t>
      </w:r>
    </w:p>
    <w:p w14:paraId="49930867">
      <w:pPr>
        <w:pStyle w:val="2"/>
        <w:spacing w:before="115" w:line="278" w:lineRule="auto"/>
        <w:ind w:right="29" w:firstLine="570"/>
        <w:jc w:val="both"/>
      </w:pPr>
      <w:r>
        <w:rPr>
          <w:spacing w:val="-3"/>
        </w:rPr>
        <w:t>本条应描述软件版本在发布时，可能发生的问题和已知的错误、解决问题与</w:t>
      </w:r>
      <w:r>
        <w:rPr>
          <w:spacing w:val="9"/>
        </w:rPr>
        <w:t xml:space="preserve"> </w:t>
      </w:r>
      <w:r>
        <w:rPr>
          <w:spacing w:val="-6"/>
        </w:rPr>
        <w:t>错误要采取的步骤、以及用于识别、避免、纠正问题与错误的说明(直接或通过引</w:t>
      </w:r>
      <w:r>
        <w:rPr>
          <w:spacing w:val="15"/>
        </w:rPr>
        <w:t xml:space="preserve"> </w:t>
      </w:r>
      <w:r>
        <w:rPr>
          <w:spacing w:val="10"/>
        </w:rPr>
        <w:t>用),或其他处理措施。给出的信息应适合于软件版本说明(</w:t>
      </w:r>
      <w:r>
        <w:rPr>
          <w:spacing w:val="-57"/>
        </w:rPr>
        <w:t xml:space="preserve"> </w:t>
      </w:r>
      <w:r>
        <w:rPr>
          <w:rFonts w:ascii="Times New Roman" w:hAnsi="Times New Roman" w:eastAsia="Times New Roman" w:cs="Times New Roman"/>
        </w:rPr>
        <w:t>SVD</w:t>
      </w:r>
      <w:r>
        <w:rPr>
          <w:rFonts w:ascii="Times New Roman" w:hAnsi="Times New Roman" w:eastAsia="Times New Roman" w:cs="Times New Roman"/>
          <w:spacing w:val="10"/>
        </w:rPr>
        <w:t>)</w:t>
      </w:r>
      <w:r>
        <w:rPr>
          <w:rFonts w:ascii="Times New Roman" w:hAnsi="Times New Roman" w:eastAsia="Times New Roman" w:cs="Times New Roman"/>
          <w:spacing w:val="40"/>
        </w:rPr>
        <w:t xml:space="preserve"> </w:t>
      </w:r>
      <w:r>
        <w:rPr>
          <w:spacing w:val="10"/>
        </w:rPr>
        <w:t>的预期接受</w:t>
      </w:r>
      <w:r>
        <w:t xml:space="preserve"> </w:t>
      </w:r>
      <w:r>
        <w:rPr>
          <w:spacing w:val="1"/>
        </w:rPr>
        <w:t>者(例如用户机构可能需要避免错误的建议，保障机构</w:t>
      </w:r>
      <w:r>
        <w:t>则需要改正错误的建议)。</w:t>
      </w:r>
    </w:p>
    <w:p w14:paraId="35B4B796">
      <w:pPr>
        <w:spacing w:before="1" w:line="221" w:lineRule="auto"/>
        <w:rPr>
          <w:rFonts w:ascii="黑体" w:hAnsi="黑体" w:eastAsia="黑体" w:cs="黑体"/>
          <w:sz w:val="25"/>
          <w:szCs w:val="25"/>
        </w:rPr>
      </w:pPr>
      <w:r>
        <w:rPr>
          <w:rFonts w:ascii="黑体" w:hAnsi="黑体" w:eastAsia="黑体" w:cs="黑体"/>
          <w:spacing w:val="4"/>
          <w:sz w:val="25"/>
          <w:szCs w:val="25"/>
        </w:rPr>
        <w:t>4</w:t>
      </w:r>
      <w:r>
        <w:rPr>
          <w:rFonts w:ascii="黑体" w:hAnsi="黑体" w:eastAsia="黑体" w:cs="黑体"/>
          <w:spacing w:val="36"/>
          <w:sz w:val="25"/>
          <w:szCs w:val="25"/>
        </w:rPr>
        <w:t xml:space="preserve">  </w:t>
      </w:r>
      <w:r>
        <w:rPr>
          <w:rFonts w:ascii="黑体" w:hAnsi="黑体" w:eastAsia="黑体" w:cs="黑体"/>
          <w:b/>
          <w:bCs/>
          <w:spacing w:val="4"/>
          <w:sz w:val="25"/>
          <w:szCs w:val="25"/>
        </w:rPr>
        <w:t>注释</w:t>
      </w:r>
    </w:p>
    <w:p w14:paraId="1E6A669E">
      <w:pPr>
        <w:pStyle w:val="2"/>
        <w:spacing w:before="104" w:line="219" w:lineRule="auto"/>
        <w:ind w:left="570"/>
      </w:pPr>
      <w:r>
        <w:rPr>
          <w:spacing w:val="-3"/>
        </w:rPr>
        <w:t>本章应包括有助于了解文档的所有信息(例如背景、术语、缩略语或公式)。</w:t>
      </w:r>
    </w:p>
    <w:p w14:paraId="087E721B">
      <w:pPr>
        <w:spacing w:line="321" w:lineRule="auto"/>
        <w:rPr>
          <w:rFonts w:ascii="Arial"/>
          <w:sz w:val="21"/>
        </w:rPr>
      </w:pPr>
    </w:p>
    <w:p w14:paraId="6C696D0A">
      <w:pPr>
        <w:pStyle w:val="2"/>
        <w:spacing w:before="117" w:line="219" w:lineRule="auto"/>
        <w:ind w:left="3069"/>
        <w:rPr>
          <w:sz w:val="36"/>
          <w:szCs w:val="36"/>
        </w:rPr>
      </w:pPr>
      <w:r>
        <w:rPr>
          <w:spacing w:val="2"/>
          <w:sz w:val="36"/>
          <w:szCs w:val="36"/>
        </w:rPr>
        <w:t xml:space="preserve">2.20  </w:t>
      </w:r>
      <w:r>
        <w:rPr>
          <w:b/>
          <w:bCs/>
          <w:spacing w:val="2"/>
          <w:sz w:val="36"/>
          <w:szCs w:val="36"/>
        </w:rPr>
        <w:t>软件用户手册</w:t>
      </w:r>
    </w:p>
    <w:p w14:paraId="4A252527">
      <w:pPr>
        <w:spacing w:line="348" w:lineRule="auto"/>
        <w:rPr>
          <w:rFonts w:ascii="Arial"/>
          <w:sz w:val="21"/>
        </w:rPr>
      </w:pPr>
    </w:p>
    <w:p w14:paraId="04EB72E8">
      <w:pPr>
        <w:pStyle w:val="2"/>
        <w:spacing w:before="91" w:line="225" w:lineRule="auto"/>
        <w:ind w:left="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w:t>
      </w:r>
      <w:r>
        <w:rPr>
          <w:rFonts w:ascii="楷体" w:hAnsi="楷体" w:eastAsia="楷体" w:cs="楷体"/>
          <w:spacing w:val="-11"/>
          <w:sz w:val="28"/>
          <w:szCs w:val="28"/>
        </w:rPr>
        <w:t>件开发文档通用要求》编写。</w:t>
      </w:r>
    </w:p>
    <w:p w14:paraId="12948159">
      <w:pPr>
        <w:spacing w:before="49"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31"/>
          <w:sz w:val="27"/>
          <w:szCs w:val="27"/>
        </w:rPr>
        <w:t xml:space="preserve">  </w:t>
      </w:r>
      <w:r>
        <w:rPr>
          <w:rFonts w:ascii="黑体" w:hAnsi="黑体" w:eastAsia="黑体" w:cs="黑体"/>
          <w:b/>
          <w:bCs/>
          <w:spacing w:val="-13"/>
          <w:sz w:val="27"/>
          <w:szCs w:val="27"/>
        </w:rPr>
        <w:t>范围</w:t>
      </w:r>
    </w:p>
    <w:p w14:paraId="59EFB286">
      <w:pPr>
        <w:spacing w:before="73" w:line="222" w:lineRule="auto"/>
        <w:rPr>
          <w:rFonts w:ascii="黑体" w:hAnsi="黑体" w:eastAsia="黑体" w:cs="黑体"/>
          <w:sz w:val="27"/>
          <w:szCs w:val="27"/>
        </w:rPr>
      </w:pPr>
      <w:r>
        <w:rPr>
          <w:rFonts w:ascii="黑体" w:hAnsi="黑体" w:eastAsia="黑体" w:cs="黑体"/>
          <w:spacing w:val="-11"/>
          <w:sz w:val="27"/>
          <w:szCs w:val="27"/>
        </w:rPr>
        <w:t>1.</w:t>
      </w:r>
      <w:r>
        <w:rPr>
          <w:rFonts w:ascii="黑体" w:hAnsi="黑体" w:eastAsia="黑体" w:cs="黑体"/>
          <w:b/>
          <w:bCs/>
          <w:spacing w:val="-11"/>
          <w:sz w:val="27"/>
          <w:szCs w:val="27"/>
        </w:rPr>
        <w:t>1</w:t>
      </w:r>
      <w:r>
        <w:rPr>
          <w:rFonts w:ascii="黑体" w:hAnsi="黑体" w:eastAsia="黑体" w:cs="黑体"/>
          <w:spacing w:val="30"/>
          <w:sz w:val="27"/>
          <w:szCs w:val="27"/>
        </w:rPr>
        <w:t xml:space="preserve">  </w:t>
      </w:r>
      <w:r>
        <w:rPr>
          <w:rFonts w:ascii="黑体" w:hAnsi="黑体" w:eastAsia="黑体" w:cs="黑体"/>
          <w:b/>
          <w:bCs/>
          <w:spacing w:val="-11"/>
          <w:sz w:val="27"/>
          <w:szCs w:val="27"/>
        </w:rPr>
        <w:t>标识</w:t>
      </w:r>
    </w:p>
    <w:p w14:paraId="08745495">
      <w:pPr>
        <w:pStyle w:val="2"/>
        <w:spacing w:before="119" w:line="275" w:lineRule="auto"/>
        <w:ind w:firstLine="570"/>
      </w:pPr>
      <w:r>
        <w:rPr>
          <w:spacing w:val="1"/>
        </w:rPr>
        <w:t>本条应描述本文档所适用系统和软件的完整标识，适</w:t>
      </w:r>
      <w:r>
        <w:t xml:space="preserve">用时，包括其标识号、 </w:t>
      </w:r>
      <w:r>
        <w:rPr>
          <w:spacing w:val="-16"/>
        </w:rPr>
        <w:t>名称、缩略名、版本号和发布号。</w:t>
      </w:r>
    </w:p>
    <w:p w14:paraId="59E4DEC1">
      <w:pPr>
        <w:spacing w:before="1" w:line="220"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21"/>
          <w:sz w:val="27"/>
          <w:szCs w:val="27"/>
        </w:rPr>
        <w:t xml:space="preserve">  </w:t>
      </w:r>
      <w:r>
        <w:rPr>
          <w:rFonts w:ascii="黑体" w:hAnsi="黑体" w:eastAsia="黑体" w:cs="黑体"/>
          <w:b/>
          <w:bCs/>
          <w:spacing w:val="-7"/>
          <w:sz w:val="27"/>
          <w:szCs w:val="27"/>
        </w:rPr>
        <w:t>系统概述</w:t>
      </w:r>
    </w:p>
    <w:p w14:paraId="2ACD95C7">
      <w:pPr>
        <w:pStyle w:val="2"/>
        <w:spacing w:before="101" w:line="297" w:lineRule="auto"/>
        <w:ind w:right="119" w:firstLine="570"/>
      </w:pPr>
      <w:r>
        <w:rPr>
          <w:spacing w:val="5"/>
        </w:rPr>
        <w:t>本条应概述本文档所适用系统和软件的用途。它还应描述系统与软件的一</w:t>
      </w:r>
      <w:r>
        <w:rPr>
          <w:spacing w:val="14"/>
        </w:rPr>
        <w:t xml:space="preserve"> </w:t>
      </w:r>
      <w:r>
        <w:rPr>
          <w:spacing w:val="-10"/>
        </w:rPr>
        <w:t>般特性；概述系统开发、运行和维护的历史；标识项目的需方、用户、开发方</w:t>
      </w:r>
      <w:r>
        <w:rPr>
          <w:spacing w:val="-11"/>
        </w:rPr>
        <w:t>和保</w:t>
      </w:r>
    </w:p>
    <w:p w14:paraId="5CC5E018">
      <w:pPr>
        <w:spacing w:line="297" w:lineRule="auto"/>
        <w:sectPr>
          <w:footerReference r:id="rId250" w:type="default"/>
          <w:pgSz w:w="11910" w:h="17130"/>
          <w:pgMar w:top="1434" w:right="1235" w:bottom="1679" w:left="1170" w:header="0" w:footer="1499" w:gutter="0"/>
          <w:cols w:space="720" w:num="1"/>
        </w:sectPr>
      </w:pPr>
    </w:p>
    <w:p w14:paraId="1E48BFD9">
      <w:pPr>
        <w:pStyle w:val="2"/>
        <w:spacing w:before="53" w:line="219" w:lineRule="auto"/>
      </w:pPr>
      <w:r>
        <w:rPr>
          <w:spacing w:val="-6"/>
        </w:rPr>
        <w:t>障机构等；标识当前和计划的运行现场；列</w:t>
      </w:r>
      <w:r>
        <w:rPr>
          <w:spacing w:val="-7"/>
        </w:rPr>
        <w:t>出其他有关文档。</w:t>
      </w:r>
    </w:p>
    <w:p w14:paraId="1D52E02E">
      <w:pPr>
        <w:spacing w:before="108" w:line="221" w:lineRule="auto"/>
        <w:rPr>
          <w:rFonts w:ascii="黑体" w:hAnsi="黑体" w:eastAsia="黑体" w:cs="黑体"/>
          <w:sz w:val="25"/>
          <w:szCs w:val="25"/>
        </w:rPr>
      </w:pPr>
      <w:r>
        <w:rPr>
          <w:rFonts w:ascii="黑体" w:hAnsi="黑体" w:eastAsia="黑体" w:cs="黑体"/>
          <w:spacing w:val="9"/>
          <w:sz w:val="25"/>
          <w:szCs w:val="25"/>
        </w:rPr>
        <w:t>1.3</w:t>
      </w:r>
      <w:r>
        <w:rPr>
          <w:rFonts w:ascii="黑体" w:hAnsi="黑体" w:eastAsia="黑体" w:cs="黑体"/>
          <w:spacing w:val="39"/>
          <w:sz w:val="25"/>
          <w:szCs w:val="25"/>
        </w:rPr>
        <w:t xml:space="preserve">  </w:t>
      </w:r>
      <w:r>
        <w:rPr>
          <w:rFonts w:ascii="黑体" w:hAnsi="黑体" w:eastAsia="黑体" w:cs="黑体"/>
          <w:spacing w:val="9"/>
          <w:sz w:val="25"/>
          <w:szCs w:val="25"/>
        </w:rPr>
        <w:t>文档概述</w:t>
      </w:r>
    </w:p>
    <w:p w14:paraId="342AEA05">
      <w:pPr>
        <w:pStyle w:val="2"/>
        <w:spacing w:before="52" w:line="284" w:lineRule="auto"/>
        <w:ind w:right="94" w:firstLine="560"/>
      </w:pPr>
      <w:r>
        <w:rPr>
          <w:spacing w:val="6"/>
        </w:rPr>
        <w:t>本条应概述本文档的用途和内容，并描述与它的使用有关的保密性方</w:t>
      </w:r>
      <w:r>
        <w:rPr>
          <w:spacing w:val="5"/>
        </w:rPr>
        <w:t>面的</w:t>
      </w:r>
      <w:r>
        <w:t xml:space="preserve"> </w:t>
      </w:r>
      <w:r>
        <w:rPr>
          <w:spacing w:val="-6"/>
        </w:rPr>
        <w:t>要求。</w:t>
      </w:r>
    </w:p>
    <w:p w14:paraId="08D6798F">
      <w:pPr>
        <w:spacing w:line="221"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8"/>
          <w:sz w:val="27"/>
          <w:szCs w:val="27"/>
        </w:rPr>
        <w:t xml:space="preserve">  </w:t>
      </w:r>
      <w:r>
        <w:rPr>
          <w:rFonts w:ascii="黑体" w:hAnsi="黑体" w:eastAsia="黑体" w:cs="黑体"/>
          <w:spacing w:val="2"/>
          <w:sz w:val="27"/>
          <w:szCs w:val="27"/>
        </w:rPr>
        <w:t>引用文档</w:t>
      </w:r>
    </w:p>
    <w:p w14:paraId="1223F154">
      <w:pPr>
        <w:pStyle w:val="2"/>
        <w:spacing w:before="75" w:line="303" w:lineRule="auto"/>
        <w:ind w:right="102" w:firstLine="560"/>
        <w:rPr>
          <w:sz w:val="25"/>
          <w:szCs w:val="25"/>
        </w:rPr>
      </w:pPr>
      <w:r>
        <w:rPr>
          <w:spacing w:val="9"/>
          <w:sz w:val="25"/>
          <w:szCs w:val="25"/>
        </w:rPr>
        <w:t>本章应列出引用文档的编号、标题、编写单位、修订版及日期，还应标识不能</w:t>
      </w:r>
      <w:r>
        <w:rPr>
          <w:spacing w:val="15"/>
          <w:sz w:val="25"/>
          <w:szCs w:val="25"/>
        </w:rPr>
        <w:t xml:space="preserve"> </w:t>
      </w:r>
      <w:r>
        <w:rPr>
          <w:spacing w:val="22"/>
          <w:sz w:val="25"/>
          <w:szCs w:val="25"/>
        </w:rPr>
        <w:t>通过正常采购活动得到的文档的来源。</w:t>
      </w:r>
    </w:p>
    <w:p w14:paraId="7352B191">
      <w:pPr>
        <w:spacing w:line="221" w:lineRule="auto"/>
        <w:rPr>
          <w:rFonts w:ascii="黑体" w:hAnsi="黑体" w:eastAsia="黑体" w:cs="黑体"/>
          <w:sz w:val="27"/>
          <w:szCs w:val="27"/>
        </w:rPr>
      </w:pPr>
      <w:r>
        <w:rPr>
          <w:rFonts w:ascii="黑体" w:hAnsi="黑体" w:eastAsia="黑体" w:cs="黑体"/>
          <w:spacing w:val="4"/>
          <w:sz w:val="27"/>
          <w:szCs w:val="27"/>
        </w:rPr>
        <w:t>3  软件综述</w:t>
      </w:r>
    </w:p>
    <w:p w14:paraId="24D81D4B">
      <w:pPr>
        <w:spacing w:before="87" w:line="222" w:lineRule="auto"/>
        <w:rPr>
          <w:rFonts w:ascii="黑体" w:hAnsi="黑体" w:eastAsia="黑体" w:cs="黑体"/>
          <w:sz w:val="27"/>
          <w:szCs w:val="27"/>
        </w:rPr>
      </w:pPr>
      <w:r>
        <w:rPr>
          <w:rFonts w:ascii="黑体" w:hAnsi="黑体" w:eastAsia="黑体" w:cs="黑体"/>
          <w:spacing w:val="4"/>
          <w:sz w:val="27"/>
          <w:szCs w:val="27"/>
        </w:rPr>
        <w:t>3.1  软件应用</w:t>
      </w:r>
    </w:p>
    <w:p w14:paraId="7BC3E312">
      <w:pPr>
        <w:pStyle w:val="2"/>
        <w:spacing w:before="103" w:line="289" w:lineRule="auto"/>
        <w:ind w:right="102" w:firstLine="560"/>
        <w:rPr>
          <w:sz w:val="25"/>
          <w:szCs w:val="25"/>
        </w:rPr>
      </w:pPr>
      <w:r>
        <w:rPr>
          <w:spacing w:val="17"/>
          <w:sz w:val="25"/>
          <w:szCs w:val="25"/>
        </w:rPr>
        <w:t>本条应简要说明软件预期的用途，并应描述对软件使用所期望的能力、运行</w:t>
      </w:r>
      <w:r>
        <w:rPr>
          <w:spacing w:val="10"/>
          <w:sz w:val="25"/>
          <w:szCs w:val="25"/>
        </w:rPr>
        <w:t xml:space="preserve"> </w:t>
      </w:r>
      <w:r>
        <w:rPr>
          <w:spacing w:val="20"/>
          <w:sz w:val="25"/>
          <w:szCs w:val="25"/>
        </w:rPr>
        <w:t>改进和受益情况。</w:t>
      </w:r>
    </w:p>
    <w:p w14:paraId="794644CA">
      <w:pPr>
        <w:spacing w:line="222" w:lineRule="auto"/>
        <w:rPr>
          <w:rFonts w:ascii="黑体" w:hAnsi="黑体" w:eastAsia="黑体" w:cs="黑体"/>
          <w:sz w:val="27"/>
          <w:szCs w:val="27"/>
        </w:rPr>
      </w:pPr>
      <w:r>
        <w:rPr>
          <w:rFonts w:ascii="黑体" w:hAnsi="黑体" w:eastAsia="黑体" w:cs="黑体"/>
          <w:spacing w:val="2"/>
          <w:sz w:val="27"/>
          <w:szCs w:val="27"/>
        </w:rPr>
        <w:t>3.2  软件清单</w:t>
      </w:r>
    </w:p>
    <w:p w14:paraId="736E845C">
      <w:pPr>
        <w:pStyle w:val="2"/>
        <w:spacing w:before="85" w:line="269" w:lineRule="auto"/>
        <w:ind w:right="100" w:firstLine="560"/>
        <w:jc w:val="both"/>
      </w:pPr>
      <w:r>
        <w:rPr>
          <w:spacing w:val="6"/>
        </w:rPr>
        <w:t>本条应标识使软件运行而必须安装的所有软件文件，</w:t>
      </w:r>
      <w:r>
        <w:rPr>
          <w:spacing w:val="5"/>
        </w:rPr>
        <w:t>包括数据库和数据文</w:t>
      </w:r>
      <w:r>
        <w:t xml:space="preserve"> </w:t>
      </w:r>
      <w:r>
        <w:rPr>
          <w:spacing w:val="6"/>
        </w:rPr>
        <w:t>件。标识应包含每一文件的保密性考虑以及紧急时刻继续或恢复运行所</w:t>
      </w:r>
      <w:r>
        <w:rPr>
          <w:spacing w:val="5"/>
        </w:rPr>
        <w:t>需的软</w:t>
      </w:r>
      <w:r>
        <w:t xml:space="preserve"> </w:t>
      </w:r>
      <w:r>
        <w:rPr>
          <w:spacing w:val="-1"/>
        </w:rPr>
        <w:t>件的标识。</w:t>
      </w:r>
    </w:p>
    <w:p w14:paraId="740A2C52">
      <w:pPr>
        <w:spacing w:line="368" w:lineRule="exact"/>
        <w:rPr>
          <w:rFonts w:ascii="黑体" w:hAnsi="黑体" w:eastAsia="黑体" w:cs="黑体"/>
          <w:sz w:val="27"/>
          <w:szCs w:val="27"/>
        </w:rPr>
      </w:pPr>
      <w:r>
        <w:rPr>
          <w:rFonts w:ascii="Arial" w:hAnsi="Arial" w:eastAsia="Arial" w:cs="Arial"/>
          <w:spacing w:val="3"/>
          <w:position w:val="1"/>
          <w:sz w:val="27"/>
          <w:szCs w:val="27"/>
        </w:rPr>
        <w:t xml:space="preserve">3.3    </w:t>
      </w:r>
      <w:r>
        <w:rPr>
          <w:rFonts w:ascii="黑体" w:hAnsi="黑体" w:eastAsia="黑体" w:cs="黑体"/>
          <w:spacing w:val="3"/>
          <w:position w:val="1"/>
          <w:sz w:val="27"/>
          <w:szCs w:val="27"/>
        </w:rPr>
        <w:t>软件环境</w:t>
      </w:r>
    </w:p>
    <w:p w14:paraId="1A567641">
      <w:pPr>
        <w:pStyle w:val="2"/>
        <w:spacing w:before="90" w:line="274" w:lineRule="auto"/>
        <w:ind w:right="95" w:firstLine="560"/>
      </w:pPr>
      <w:r>
        <w:rPr>
          <w:spacing w:val="-3"/>
        </w:rPr>
        <w:t>本条应描述用户安装并运行该软件所需的硬件、软件、手工操作和其他的资</w:t>
      </w:r>
      <w:r>
        <w:rPr>
          <w:spacing w:val="17"/>
        </w:rPr>
        <w:t xml:space="preserve"> </w:t>
      </w:r>
      <w:r>
        <w:rPr>
          <w:spacing w:val="1"/>
        </w:rPr>
        <w:t>源。(若适用)包括以下方面：</w:t>
      </w:r>
    </w:p>
    <w:p w14:paraId="2EB1B9CB">
      <w:pPr>
        <w:pStyle w:val="2"/>
        <w:spacing w:line="256" w:lineRule="auto"/>
        <w:ind w:right="100" w:firstLine="560"/>
      </w:pPr>
      <w:r>
        <w:rPr>
          <w:rFonts w:ascii="Times New Roman" w:hAnsi="Times New Roman" w:eastAsia="Times New Roman" w:cs="Times New Roman"/>
          <w:spacing w:val="-1"/>
        </w:rPr>
        <w:t>a)</w:t>
      </w:r>
      <w:r>
        <w:rPr>
          <w:rFonts w:ascii="Times New Roman" w:hAnsi="Times New Roman" w:eastAsia="Times New Roman" w:cs="Times New Roman"/>
          <w:spacing w:val="75"/>
        </w:rPr>
        <w:t xml:space="preserve"> </w:t>
      </w:r>
      <w:r>
        <w:rPr>
          <w:spacing w:val="-1"/>
        </w:rPr>
        <w:t>应提供的计算机设备，包括需要的内存数量、辅存数量及外围设备(如打</w:t>
      </w:r>
      <w:r>
        <w:t xml:space="preserve"> </w:t>
      </w:r>
      <w:r>
        <w:rPr>
          <w:spacing w:val="5"/>
        </w:rPr>
        <w:t>印机和其他的输入/输出设备);</w:t>
      </w:r>
    </w:p>
    <w:p w14:paraId="4E30447A">
      <w:pPr>
        <w:pStyle w:val="2"/>
        <w:spacing w:before="61"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应提供的通信设备；</w:t>
      </w:r>
    </w:p>
    <w:p w14:paraId="6C789691">
      <w:pPr>
        <w:pStyle w:val="2"/>
        <w:spacing w:before="109" w:line="257" w:lineRule="auto"/>
        <w:ind w:right="104" w:firstLine="560"/>
      </w:pPr>
      <w:r>
        <w:rPr>
          <w:rFonts w:ascii="Times New Roman" w:hAnsi="Times New Roman" w:eastAsia="Times New Roman" w:cs="Times New Roman"/>
          <w:spacing w:val="-4"/>
        </w:rPr>
        <w:t>c)</w:t>
      </w:r>
      <w:r>
        <w:rPr>
          <w:rFonts w:ascii="Times New Roman" w:hAnsi="Times New Roman" w:eastAsia="Times New Roman" w:cs="Times New Roman"/>
          <w:spacing w:val="53"/>
        </w:rPr>
        <w:t xml:space="preserve"> </w:t>
      </w:r>
      <w:r>
        <w:rPr>
          <w:spacing w:val="-4"/>
        </w:rPr>
        <w:t>应提供的其他软件，例如操作系统、数</w:t>
      </w:r>
      <w:r>
        <w:rPr>
          <w:spacing w:val="-5"/>
        </w:rPr>
        <w:t>据库、数据文件、实用程序和其他</w:t>
      </w:r>
      <w:r>
        <w:t xml:space="preserve"> </w:t>
      </w:r>
      <w:r>
        <w:rPr>
          <w:spacing w:val="-4"/>
        </w:rPr>
        <w:t>的支持系统；</w:t>
      </w:r>
    </w:p>
    <w:p w14:paraId="30A7E8D3">
      <w:pPr>
        <w:pStyle w:val="2"/>
        <w:spacing w:before="50" w:line="212" w:lineRule="auto"/>
        <w:ind w:left="560"/>
      </w:pPr>
      <w:r>
        <w:rPr>
          <w:rFonts w:ascii="Times New Roman" w:hAnsi="Times New Roman" w:eastAsia="Times New Roman" w:cs="Times New Roman"/>
          <w:spacing w:val="-4"/>
        </w:rPr>
        <w:t xml:space="preserve">d)  </w:t>
      </w:r>
      <w:r>
        <w:rPr>
          <w:spacing w:val="-4"/>
        </w:rPr>
        <w:t>应提供的表格、规程或其他的手工操作；</w:t>
      </w:r>
    </w:p>
    <w:p w14:paraId="0E99B1F8">
      <w:pPr>
        <w:pStyle w:val="2"/>
        <w:spacing w:before="99"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73"/>
        </w:rPr>
        <w:t xml:space="preserve"> </w:t>
      </w:r>
      <w:r>
        <w:rPr>
          <w:spacing w:val="-4"/>
        </w:rPr>
        <w:t>应提供的其他设施、设备或资源。</w:t>
      </w:r>
    </w:p>
    <w:p w14:paraId="55B1C7D8">
      <w:pPr>
        <w:spacing w:before="60" w:line="368" w:lineRule="exact"/>
        <w:rPr>
          <w:rFonts w:ascii="黑体" w:hAnsi="黑体" w:eastAsia="黑体" w:cs="黑体"/>
          <w:sz w:val="27"/>
          <w:szCs w:val="27"/>
        </w:rPr>
      </w:pPr>
      <w:r>
        <w:rPr>
          <w:rFonts w:ascii="Arial" w:hAnsi="Arial" w:eastAsia="Arial" w:cs="Arial"/>
          <w:spacing w:val="3"/>
          <w:position w:val="1"/>
          <w:sz w:val="27"/>
          <w:szCs w:val="27"/>
        </w:rPr>
        <w:t xml:space="preserve">3.4    </w:t>
      </w:r>
      <w:r>
        <w:rPr>
          <w:rFonts w:ascii="黑体" w:hAnsi="黑体" w:eastAsia="黑体" w:cs="黑体"/>
          <w:spacing w:val="3"/>
          <w:position w:val="1"/>
          <w:sz w:val="27"/>
          <w:szCs w:val="27"/>
        </w:rPr>
        <w:t>软件组织和操作概述</w:t>
      </w:r>
    </w:p>
    <w:p w14:paraId="57B5E837">
      <w:pPr>
        <w:pStyle w:val="2"/>
        <w:spacing w:before="122" w:line="292" w:lineRule="auto"/>
        <w:ind w:right="104" w:firstLine="560"/>
        <w:rPr>
          <w:sz w:val="25"/>
          <w:szCs w:val="25"/>
        </w:rPr>
      </w:pPr>
      <w:r>
        <w:rPr>
          <w:spacing w:val="25"/>
          <w:sz w:val="25"/>
          <w:szCs w:val="25"/>
        </w:rPr>
        <w:t>本条应从用户的角度出发，简要描述软件的组织与操作。(若</w:t>
      </w:r>
      <w:r>
        <w:rPr>
          <w:spacing w:val="24"/>
          <w:sz w:val="25"/>
          <w:szCs w:val="25"/>
        </w:rPr>
        <w:t>适用)描述应</w:t>
      </w:r>
      <w:r>
        <w:rPr>
          <w:sz w:val="25"/>
          <w:szCs w:val="25"/>
        </w:rPr>
        <w:t xml:space="preserve"> </w:t>
      </w:r>
      <w:r>
        <w:rPr>
          <w:spacing w:val="8"/>
          <w:sz w:val="25"/>
          <w:szCs w:val="25"/>
        </w:rPr>
        <w:t>包括：</w:t>
      </w:r>
    </w:p>
    <w:p w14:paraId="00AF3097">
      <w:pPr>
        <w:pStyle w:val="2"/>
        <w:spacing w:line="212" w:lineRule="auto"/>
        <w:ind w:left="560"/>
      </w:pPr>
      <w:r>
        <w:rPr>
          <w:rFonts w:ascii="Times New Roman" w:hAnsi="Times New Roman" w:eastAsia="Times New Roman" w:cs="Times New Roman"/>
        </w:rPr>
        <w:t>a)</w:t>
      </w:r>
      <w:r>
        <w:rPr>
          <w:rFonts w:ascii="Times New Roman" w:hAnsi="Times New Roman" w:eastAsia="Times New Roman" w:cs="Times New Roman"/>
          <w:spacing w:val="62"/>
          <w:w w:val="101"/>
        </w:rPr>
        <w:t xml:space="preserve"> </w:t>
      </w:r>
      <w:r>
        <w:t>从用户的角度，概述软件逻辑部件和每个部件的用途/操作。</w:t>
      </w:r>
    </w:p>
    <w:p w14:paraId="354FF5D4">
      <w:pPr>
        <w:pStyle w:val="2"/>
        <w:spacing w:before="110" w:line="260" w:lineRule="auto"/>
        <w:ind w:firstLine="560"/>
      </w:pPr>
      <w:r>
        <w:rPr>
          <w:rFonts w:ascii="Times New Roman" w:hAnsi="Times New Roman" w:eastAsia="Times New Roman" w:cs="Times New Roman"/>
          <w:spacing w:val="-5"/>
        </w:rPr>
        <w:t>b)</w:t>
      </w:r>
      <w:r>
        <w:rPr>
          <w:rFonts w:ascii="Times New Roman" w:hAnsi="Times New Roman" w:eastAsia="Times New Roman" w:cs="Times New Roman"/>
          <w:spacing w:val="68"/>
          <w:w w:val="101"/>
        </w:rPr>
        <w:t xml:space="preserve"> </w:t>
      </w:r>
      <w:r>
        <w:rPr>
          <w:spacing w:val="-5"/>
        </w:rPr>
        <w:t>用户可能期望的性能特性，如1)可接受的输入的类型、数量、速率；2)软</w:t>
      </w:r>
      <w:r>
        <w:t xml:space="preserve"> </w:t>
      </w:r>
      <w:r>
        <w:rPr>
          <w:spacing w:val="1"/>
        </w:rPr>
        <w:t>件产生的输出类型、数量、准确性和速率；3)典型的响应时间和影响它的因</w:t>
      </w:r>
      <w:r>
        <w:t>素；</w:t>
      </w:r>
    </w:p>
    <w:p w14:paraId="74BB77E5">
      <w:pPr>
        <w:pStyle w:val="2"/>
        <w:spacing w:before="89" w:line="300" w:lineRule="auto"/>
        <w:ind w:right="116"/>
        <w:rPr>
          <w:sz w:val="24"/>
          <w:szCs w:val="24"/>
        </w:rPr>
      </w:pPr>
      <w:r>
        <w:rPr>
          <w:spacing w:val="25"/>
          <w:sz w:val="24"/>
          <w:szCs w:val="24"/>
        </w:rPr>
        <w:t>4)典型的处理时间和影响它的因素；5)限制，例如可追踪的事件数目；6)预期的</w:t>
      </w:r>
      <w:r>
        <w:rPr>
          <w:spacing w:val="18"/>
          <w:sz w:val="24"/>
          <w:szCs w:val="24"/>
        </w:rPr>
        <w:t xml:space="preserve"> 错误率；7)预期的可靠性。</w:t>
      </w:r>
    </w:p>
    <w:p w14:paraId="3A8599BE">
      <w:pPr>
        <w:pStyle w:val="2"/>
        <w:spacing w:line="212" w:lineRule="auto"/>
        <w:ind w:left="560"/>
      </w:pPr>
      <w:r>
        <w:rPr>
          <w:rFonts w:ascii="Times New Roman" w:hAnsi="Times New Roman" w:eastAsia="Times New Roman" w:cs="Times New Roman"/>
        </w:rPr>
        <w:t>c)</w:t>
      </w:r>
      <w:r>
        <w:rPr>
          <w:rFonts w:ascii="Times New Roman" w:hAnsi="Times New Roman" w:eastAsia="Times New Roman" w:cs="Times New Roman"/>
          <w:spacing w:val="52"/>
          <w:w w:val="101"/>
        </w:rPr>
        <w:t xml:space="preserve"> </w:t>
      </w:r>
      <w:r>
        <w:t>该软件执行的功能与接口系统、组织或位置</w:t>
      </w:r>
      <w:r>
        <w:rPr>
          <w:spacing w:val="-1"/>
        </w:rPr>
        <w:t>之间的关系。</w:t>
      </w:r>
    </w:p>
    <w:p w14:paraId="591AE67B">
      <w:pPr>
        <w:spacing w:line="212" w:lineRule="auto"/>
        <w:sectPr>
          <w:footerReference r:id="rId251" w:type="default"/>
          <w:pgSz w:w="11910" w:h="17130"/>
          <w:pgMar w:top="1436" w:right="814" w:bottom="1653" w:left="1609" w:header="0" w:footer="1455" w:gutter="0"/>
          <w:cols w:space="720" w:num="1"/>
        </w:sectPr>
      </w:pPr>
    </w:p>
    <w:p w14:paraId="17089AB3">
      <w:pPr>
        <w:pStyle w:val="2"/>
        <w:spacing w:before="58" w:line="212" w:lineRule="auto"/>
        <w:ind w:left="560"/>
      </w:pPr>
      <w:r>
        <w:rPr>
          <w:rFonts w:ascii="Times New Roman" w:hAnsi="Times New Roman" w:eastAsia="Times New Roman" w:cs="Times New Roman"/>
          <w:spacing w:val="4"/>
        </w:rPr>
        <w:t xml:space="preserve">d)  </w:t>
      </w:r>
      <w:r>
        <w:rPr>
          <w:spacing w:val="4"/>
        </w:rPr>
        <w:t>为管理软件而能够采取的监控措施(例如口令)。</w:t>
      </w:r>
    </w:p>
    <w:p w14:paraId="027BB86A">
      <w:pPr>
        <w:spacing w:before="133" w:line="221" w:lineRule="auto"/>
        <w:rPr>
          <w:rFonts w:ascii="黑体" w:hAnsi="黑体" w:eastAsia="黑体" w:cs="黑体"/>
          <w:sz w:val="24"/>
          <w:szCs w:val="24"/>
        </w:rPr>
      </w:pPr>
      <w:r>
        <w:rPr>
          <w:rFonts w:ascii="黑体" w:hAnsi="黑体" w:eastAsia="黑体" w:cs="黑体"/>
          <w:spacing w:val="26"/>
          <w:sz w:val="24"/>
          <w:szCs w:val="24"/>
        </w:rPr>
        <w:t>3.5</w:t>
      </w:r>
      <w:r>
        <w:rPr>
          <w:rFonts w:ascii="黑体" w:hAnsi="黑体" w:eastAsia="黑体" w:cs="黑体"/>
          <w:spacing w:val="49"/>
          <w:sz w:val="24"/>
          <w:szCs w:val="24"/>
        </w:rPr>
        <w:t xml:space="preserve">  </w:t>
      </w:r>
      <w:r>
        <w:rPr>
          <w:rFonts w:ascii="黑体" w:hAnsi="黑体" w:eastAsia="黑体" w:cs="黑体"/>
          <w:b/>
          <w:bCs/>
          <w:spacing w:val="26"/>
          <w:sz w:val="24"/>
          <w:szCs w:val="24"/>
        </w:rPr>
        <w:t>意外事故及运行的备用状态和方式</w:t>
      </w:r>
    </w:p>
    <w:p w14:paraId="1F396684">
      <w:pPr>
        <w:pStyle w:val="2"/>
        <w:spacing w:before="49" w:line="302" w:lineRule="auto"/>
        <w:ind w:right="62" w:firstLine="560"/>
      </w:pPr>
      <w:r>
        <w:rPr>
          <w:spacing w:val="5"/>
        </w:rPr>
        <w:t>(若适用)本条应说明在紧急时刻以及在不同运行状态和方式下用</w:t>
      </w:r>
      <w:r>
        <w:rPr>
          <w:spacing w:val="4"/>
        </w:rPr>
        <w:t>户处理软</w:t>
      </w:r>
      <w:r>
        <w:t xml:space="preserve"> </w:t>
      </w:r>
      <w:r>
        <w:rPr>
          <w:spacing w:val="-1"/>
        </w:rPr>
        <w:t>件的差异。</w:t>
      </w:r>
    </w:p>
    <w:p w14:paraId="6AAD827E">
      <w:pPr>
        <w:spacing w:before="1" w:line="220" w:lineRule="auto"/>
        <w:rPr>
          <w:rFonts w:ascii="黑体" w:hAnsi="黑体" w:eastAsia="黑体" w:cs="黑体"/>
          <w:sz w:val="24"/>
          <w:szCs w:val="24"/>
        </w:rPr>
      </w:pPr>
      <w:r>
        <w:rPr>
          <w:rFonts w:ascii="黑体" w:hAnsi="黑体" w:eastAsia="黑体" w:cs="黑体"/>
          <w:spacing w:val="-6"/>
          <w:sz w:val="24"/>
          <w:szCs w:val="24"/>
        </w:rPr>
        <w:t>3.6</w:t>
      </w:r>
      <w:r>
        <w:rPr>
          <w:rFonts w:ascii="黑体" w:hAnsi="黑体" w:eastAsia="黑体" w:cs="黑体"/>
          <w:spacing w:val="47"/>
          <w:sz w:val="24"/>
          <w:szCs w:val="24"/>
        </w:rPr>
        <w:t xml:space="preserve">  </w:t>
      </w:r>
      <w:r>
        <w:rPr>
          <w:rFonts w:ascii="黑体" w:hAnsi="黑体" w:eastAsia="黑体" w:cs="黑体"/>
          <w:b/>
          <w:bCs/>
          <w:spacing w:val="-6"/>
          <w:sz w:val="24"/>
          <w:szCs w:val="24"/>
        </w:rPr>
        <w:t>保</w:t>
      </w:r>
      <w:r>
        <w:rPr>
          <w:rFonts w:ascii="黑体" w:hAnsi="黑体" w:eastAsia="黑体" w:cs="黑体"/>
          <w:spacing w:val="-49"/>
          <w:sz w:val="24"/>
          <w:szCs w:val="24"/>
        </w:rPr>
        <w:t xml:space="preserve"> </w:t>
      </w:r>
      <w:r>
        <w:rPr>
          <w:rFonts w:ascii="黑体" w:hAnsi="黑体" w:eastAsia="黑体" w:cs="黑体"/>
          <w:b/>
          <w:bCs/>
          <w:spacing w:val="-6"/>
          <w:sz w:val="24"/>
          <w:szCs w:val="24"/>
        </w:rPr>
        <w:t>密</w:t>
      </w:r>
      <w:r>
        <w:rPr>
          <w:rFonts w:ascii="黑体" w:hAnsi="黑体" w:eastAsia="黑体" w:cs="黑体"/>
          <w:spacing w:val="-48"/>
          <w:sz w:val="24"/>
          <w:szCs w:val="24"/>
        </w:rPr>
        <w:t xml:space="preserve"> </w:t>
      </w:r>
      <w:r>
        <w:rPr>
          <w:rFonts w:ascii="黑体" w:hAnsi="黑体" w:eastAsia="黑体" w:cs="黑体"/>
          <w:b/>
          <w:bCs/>
          <w:spacing w:val="-6"/>
          <w:sz w:val="24"/>
          <w:szCs w:val="24"/>
        </w:rPr>
        <w:t>性</w:t>
      </w:r>
    </w:p>
    <w:p w14:paraId="0642EF9A">
      <w:pPr>
        <w:pStyle w:val="2"/>
        <w:spacing w:before="69" w:line="282" w:lineRule="auto"/>
        <w:ind w:right="44" w:firstLine="560"/>
      </w:pPr>
      <w:r>
        <w:rPr>
          <w:spacing w:val="6"/>
        </w:rPr>
        <w:t>本条应概述与本软件相关的保密性考虑，适</w:t>
      </w:r>
      <w:r>
        <w:rPr>
          <w:spacing w:val="5"/>
        </w:rPr>
        <w:t>用时还应包括对软件或文档进</w:t>
      </w:r>
      <w:r>
        <w:t xml:space="preserve"> </w:t>
      </w:r>
      <w:r>
        <w:rPr>
          <w:spacing w:val="2"/>
        </w:rPr>
        <w:t>行非授权复制的警告信息。</w:t>
      </w:r>
    </w:p>
    <w:p w14:paraId="76AFEB8E">
      <w:pPr>
        <w:spacing w:line="221" w:lineRule="auto"/>
        <w:rPr>
          <w:rFonts w:ascii="黑体" w:hAnsi="黑体" w:eastAsia="黑体" w:cs="黑体"/>
          <w:sz w:val="27"/>
          <w:szCs w:val="27"/>
        </w:rPr>
      </w:pPr>
      <w:r>
        <w:rPr>
          <w:rFonts w:ascii="黑体" w:hAnsi="黑体" w:eastAsia="黑体" w:cs="黑体"/>
          <w:spacing w:val="2"/>
          <w:sz w:val="27"/>
          <w:szCs w:val="27"/>
        </w:rPr>
        <w:t xml:space="preserve">3.7  </w:t>
      </w:r>
      <w:r>
        <w:rPr>
          <w:rFonts w:ascii="黑体" w:hAnsi="黑体" w:eastAsia="黑体" w:cs="黑体"/>
          <w:b/>
          <w:bCs/>
          <w:spacing w:val="2"/>
          <w:sz w:val="27"/>
          <w:szCs w:val="27"/>
        </w:rPr>
        <w:t>帮助和问题报告</w:t>
      </w:r>
    </w:p>
    <w:p w14:paraId="3BF06EEC">
      <w:pPr>
        <w:pStyle w:val="2"/>
        <w:spacing w:before="59" w:line="290" w:lineRule="auto"/>
        <w:ind w:right="34" w:firstLine="560"/>
      </w:pPr>
      <w:r>
        <w:rPr>
          <w:spacing w:val="6"/>
        </w:rPr>
        <w:t>本条应标识联系方式、获得帮助和报告软件使用中遇到的问题所应遵</w:t>
      </w:r>
      <w:r>
        <w:rPr>
          <w:spacing w:val="5"/>
        </w:rPr>
        <w:t>循的</w:t>
      </w:r>
      <w:r>
        <w:t xml:space="preserve"> </w:t>
      </w:r>
      <w:r>
        <w:rPr>
          <w:spacing w:val="-6"/>
        </w:rPr>
        <w:t>规程。</w:t>
      </w:r>
    </w:p>
    <w:p w14:paraId="2FEDC77D">
      <w:pPr>
        <w:spacing w:line="222"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12"/>
          <w:sz w:val="27"/>
          <w:szCs w:val="27"/>
        </w:rPr>
        <w:t xml:space="preserve">  </w:t>
      </w:r>
      <w:r>
        <w:rPr>
          <w:rFonts w:ascii="黑体" w:hAnsi="黑体" w:eastAsia="黑体" w:cs="黑体"/>
          <w:b/>
          <w:bCs/>
          <w:spacing w:val="2"/>
          <w:sz w:val="27"/>
          <w:szCs w:val="27"/>
        </w:rPr>
        <w:t>软件入门</w:t>
      </w:r>
    </w:p>
    <w:p w14:paraId="20B46F1B">
      <w:pPr>
        <w:spacing w:before="105" w:line="222" w:lineRule="auto"/>
        <w:rPr>
          <w:rFonts w:ascii="黑体" w:hAnsi="黑体" w:eastAsia="黑体" w:cs="黑体"/>
          <w:sz w:val="25"/>
          <w:szCs w:val="25"/>
        </w:rPr>
      </w:pPr>
      <w:r>
        <w:rPr>
          <w:rFonts w:ascii="黑体" w:hAnsi="黑体" w:eastAsia="黑体" w:cs="黑体"/>
          <w:spacing w:val="14"/>
          <w:sz w:val="25"/>
          <w:szCs w:val="25"/>
        </w:rPr>
        <w:t>4.1</w:t>
      </w:r>
      <w:r>
        <w:rPr>
          <w:rFonts w:ascii="黑体" w:hAnsi="黑体" w:eastAsia="黑体" w:cs="黑体"/>
          <w:spacing w:val="33"/>
          <w:sz w:val="25"/>
          <w:szCs w:val="25"/>
        </w:rPr>
        <w:t xml:space="preserve">  </w:t>
      </w:r>
      <w:r>
        <w:rPr>
          <w:rFonts w:ascii="黑体" w:hAnsi="黑体" w:eastAsia="黑体" w:cs="黑体"/>
          <w:b/>
          <w:bCs/>
          <w:spacing w:val="14"/>
          <w:sz w:val="25"/>
          <w:szCs w:val="25"/>
        </w:rPr>
        <w:t>软件的首次用户</w:t>
      </w:r>
    </w:p>
    <w:p w14:paraId="60760B49">
      <w:pPr>
        <w:spacing w:before="97" w:line="221" w:lineRule="auto"/>
        <w:rPr>
          <w:rFonts w:ascii="黑体" w:hAnsi="黑体" w:eastAsia="黑体" w:cs="黑体"/>
          <w:sz w:val="24"/>
          <w:szCs w:val="24"/>
        </w:rPr>
      </w:pPr>
      <w:r>
        <w:rPr>
          <w:rFonts w:ascii="黑体" w:hAnsi="黑体" w:eastAsia="黑体" w:cs="黑体"/>
          <w:spacing w:val="12"/>
          <w:sz w:val="24"/>
          <w:szCs w:val="24"/>
        </w:rPr>
        <w:t>4.1.1</w:t>
      </w:r>
      <w:r>
        <w:rPr>
          <w:rFonts w:ascii="黑体" w:hAnsi="黑体" w:eastAsia="黑体" w:cs="黑体"/>
          <w:spacing w:val="8"/>
          <w:sz w:val="24"/>
          <w:szCs w:val="24"/>
        </w:rPr>
        <w:t xml:space="preserve">   </w:t>
      </w:r>
      <w:r>
        <w:rPr>
          <w:rFonts w:ascii="黑体" w:hAnsi="黑体" w:eastAsia="黑体" w:cs="黑体"/>
          <w:b/>
          <w:bCs/>
          <w:spacing w:val="12"/>
          <w:sz w:val="24"/>
          <w:szCs w:val="24"/>
        </w:rPr>
        <w:t>熟悉设备</w:t>
      </w:r>
    </w:p>
    <w:p w14:paraId="0FA17242">
      <w:pPr>
        <w:pStyle w:val="2"/>
        <w:spacing w:before="117" w:line="219" w:lineRule="auto"/>
        <w:ind w:left="560"/>
        <w:rPr>
          <w:sz w:val="25"/>
          <w:szCs w:val="25"/>
        </w:rPr>
      </w:pPr>
      <w:r>
        <w:rPr>
          <w:spacing w:val="13"/>
          <w:sz w:val="25"/>
          <w:szCs w:val="25"/>
        </w:rPr>
        <w:t>需要时，本条应描述以下内容：</w:t>
      </w:r>
    </w:p>
    <w:p w14:paraId="778F067B">
      <w:pPr>
        <w:pStyle w:val="2"/>
        <w:spacing w:before="115" w:line="220" w:lineRule="auto"/>
        <w:ind w:left="560"/>
        <w:rPr>
          <w:sz w:val="24"/>
          <w:szCs w:val="24"/>
        </w:rPr>
      </w:pPr>
      <w:r>
        <w:rPr>
          <w:rFonts w:ascii="Times New Roman" w:hAnsi="Times New Roman" w:eastAsia="Times New Roman" w:cs="Times New Roman"/>
          <w:spacing w:val="26"/>
          <w:sz w:val="24"/>
          <w:szCs w:val="24"/>
        </w:rPr>
        <w:t>a</w:t>
      </w:r>
      <w:r>
        <w:rPr>
          <w:rFonts w:ascii="Times New Roman" w:hAnsi="Times New Roman" w:eastAsia="Times New Roman" w:cs="Times New Roman"/>
          <w:spacing w:val="-16"/>
          <w:sz w:val="24"/>
          <w:szCs w:val="24"/>
        </w:rPr>
        <w:t xml:space="preserve"> </w:t>
      </w:r>
      <w:r>
        <w:rPr>
          <w:spacing w:val="26"/>
          <w:sz w:val="24"/>
          <w:szCs w:val="24"/>
        </w:rPr>
        <w:t>)</w:t>
      </w:r>
      <w:r>
        <w:rPr>
          <w:spacing w:val="-30"/>
          <w:sz w:val="24"/>
          <w:szCs w:val="24"/>
        </w:rPr>
        <w:t xml:space="preserve"> </w:t>
      </w:r>
      <w:r>
        <w:rPr>
          <w:spacing w:val="26"/>
          <w:sz w:val="24"/>
          <w:szCs w:val="24"/>
        </w:rPr>
        <w:t>打开与调节电源的规程；</w:t>
      </w:r>
    </w:p>
    <w:p w14:paraId="1CB472E8">
      <w:pPr>
        <w:pStyle w:val="2"/>
        <w:spacing w:before="74"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67"/>
        </w:rPr>
        <w:t xml:space="preserve"> </w:t>
      </w:r>
      <w:r>
        <w:rPr>
          <w:spacing w:val="4"/>
        </w:rPr>
        <w:t>可视化显示屏幕的大小与能力；</w:t>
      </w:r>
    </w:p>
    <w:p w14:paraId="5B168AAC">
      <w:pPr>
        <w:pStyle w:val="2"/>
        <w:spacing w:before="99" w:line="264" w:lineRule="auto"/>
        <w:ind w:right="32" w:firstLine="560"/>
      </w:pPr>
      <w:r>
        <w:rPr>
          <w:rFonts w:ascii="Times New Roman" w:hAnsi="Times New Roman" w:eastAsia="Times New Roman" w:cs="Times New Roman"/>
          <w:spacing w:val="4"/>
        </w:rPr>
        <w:t>c)</w:t>
      </w:r>
      <w:r>
        <w:rPr>
          <w:rFonts w:ascii="Times New Roman" w:hAnsi="Times New Roman" w:eastAsia="Times New Roman" w:cs="Times New Roman"/>
          <w:spacing w:val="52"/>
        </w:rPr>
        <w:t xml:space="preserve"> </w:t>
      </w:r>
      <w:r>
        <w:rPr>
          <w:spacing w:val="4"/>
        </w:rPr>
        <w:t>光标形状，如果出现了多个光标如何标识现行的光标，如何定位光标和</w:t>
      </w:r>
      <w:r>
        <w:t xml:space="preserve"> </w:t>
      </w:r>
      <w:r>
        <w:rPr>
          <w:spacing w:val="-2"/>
        </w:rPr>
        <w:t>如何使用光标；</w:t>
      </w:r>
    </w:p>
    <w:p w14:paraId="753049C1">
      <w:pPr>
        <w:pStyle w:val="2"/>
        <w:spacing w:before="39" w:line="212" w:lineRule="auto"/>
        <w:ind w:left="560"/>
      </w:pPr>
      <w:r>
        <w:rPr>
          <w:rFonts w:ascii="Times New Roman" w:hAnsi="Times New Roman" w:eastAsia="Times New Roman" w:cs="Times New Roman"/>
          <w:spacing w:val="3"/>
        </w:rPr>
        <w:t xml:space="preserve">d)  </w:t>
      </w:r>
      <w:r>
        <w:rPr>
          <w:spacing w:val="3"/>
        </w:rPr>
        <w:t>键盘布局和不同类型键与点击设备的功能；</w:t>
      </w:r>
    </w:p>
    <w:p w14:paraId="197683DD">
      <w:pPr>
        <w:pStyle w:val="2"/>
        <w:spacing w:before="110"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76"/>
          <w:w w:val="101"/>
        </w:rPr>
        <w:t xml:space="preserve"> </w:t>
      </w:r>
      <w:r>
        <w:rPr>
          <w:spacing w:val="4"/>
        </w:rPr>
        <w:t>需要特殊的操作顺序时关闭电源的规程。</w:t>
      </w:r>
    </w:p>
    <w:p w14:paraId="1A1083F3">
      <w:pPr>
        <w:spacing w:before="127" w:line="223" w:lineRule="auto"/>
        <w:rPr>
          <w:rFonts w:ascii="黑体" w:hAnsi="黑体" w:eastAsia="黑体" w:cs="黑体"/>
          <w:sz w:val="25"/>
          <w:szCs w:val="25"/>
        </w:rPr>
      </w:pPr>
      <w:r>
        <w:rPr>
          <w:rFonts w:ascii="黑体" w:hAnsi="黑体" w:eastAsia="黑体" w:cs="黑体"/>
          <w:spacing w:val="8"/>
          <w:sz w:val="25"/>
          <w:szCs w:val="25"/>
        </w:rPr>
        <w:t>4.1.2</w:t>
      </w:r>
      <w:r>
        <w:rPr>
          <w:rFonts w:ascii="黑体" w:hAnsi="黑体" w:eastAsia="黑体" w:cs="黑体"/>
          <w:spacing w:val="59"/>
          <w:sz w:val="25"/>
          <w:szCs w:val="25"/>
        </w:rPr>
        <w:t xml:space="preserve">  </w:t>
      </w:r>
      <w:r>
        <w:rPr>
          <w:rFonts w:ascii="黑体" w:hAnsi="黑体" w:eastAsia="黑体" w:cs="黑体"/>
          <w:b/>
          <w:bCs/>
          <w:spacing w:val="8"/>
          <w:sz w:val="25"/>
          <w:szCs w:val="25"/>
        </w:rPr>
        <w:t>访问控制</w:t>
      </w:r>
    </w:p>
    <w:p w14:paraId="59EE102B">
      <w:pPr>
        <w:pStyle w:val="2"/>
        <w:spacing w:before="101" w:line="270" w:lineRule="auto"/>
        <w:ind w:right="43" w:firstLine="560"/>
      </w:pPr>
      <w:r>
        <w:rPr>
          <w:spacing w:val="5"/>
        </w:rPr>
        <w:t>本条应概述对用户可见的软件的访问与保密性方面的特征。(若适用)本条</w:t>
      </w:r>
      <w:r>
        <w:rPr>
          <w:spacing w:val="15"/>
        </w:rPr>
        <w:t xml:space="preserve"> </w:t>
      </w:r>
      <w:r>
        <w:t>应包括以下内容：</w:t>
      </w:r>
    </w:p>
    <w:p w14:paraId="6F4C4EE2">
      <w:pPr>
        <w:pStyle w:val="2"/>
        <w:spacing w:line="212" w:lineRule="auto"/>
        <w:ind w:left="560"/>
      </w:pPr>
      <w:r>
        <w:rPr>
          <w:rFonts w:ascii="Times New Roman" w:hAnsi="Times New Roman" w:eastAsia="Times New Roman" w:cs="Times New Roman"/>
          <w:spacing w:val="2"/>
        </w:rPr>
        <w:t>a)</w:t>
      </w:r>
      <w:r>
        <w:rPr>
          <w:rFonts w:ascii="Times New Roman" w:hAnsi="Times New Roman" w:eastAsia="Times New Roman" w:cs="Times New Roman"/>
          <w:spacing w:val="68"/>
          <w:w w:val="101"/>
        </w:rPr>
        <w:t xml:space="preserve"> </w:t>
      </w:r>
      <w:r>
        <w:rPr>
          <w:spacing w:val="2"/>
        </w:rPr>
        <w:t>如何获得与何处获得口令；</w:t>
      </w:r>
    </w:p>
    <w:p w14:paraId="5A8C0E49">
      <w:pPr>
        <w:pStyle w:val="2"/>
        <w:spacing w:before="90" w:line="212" w:lineRule="auto"/>
        <w:ind w:left="560"/>
      </w:pPr>
      <w:r>
        <w:rPr>
          <w:rFonts w:ascii="Times New Roman" w:hAnsi="Times New Roman" w:eastAsia="Times New Roman" w:cs="Times New Roman"/>
          <w:spacing w:val="-2"/>
        </w:rPr>
        <w:t xml:space="preserve">b)  </w:t>
      </w:r>
      <w:r>
        <w:rPr>
          <w:spacing w:val="-2"/>
        </w:rPr>
        <w:t>如何在用户的控制下添加、删除或更改口令；</w:t>
      </w:r>
    </w:p>
    <w:p w14:paraId="63C979B4">
      <w:pPr>
        <w:pStyle w:val="2"/>
        <w:spacing w:before="100" w:line="212" w:lineRule="auto"/>
        <w:jc w:val="right"/>
      </w:pPr>
      <w:r>
        <w:rPr>
          <w:rFonts w:ascii="Times New Roman" w:hAnsi="Times New Roman" w:eastAsia="Times New Roman" w:cs="Times New Roman"/>
          <w:spacing w:val="5"/>
        </w:rPr>
        <w:t>c)</w:t>
      </w:r>
      <w:r>
        <w:rPr>
          <w:rFonts w:ascii="Times New Roman" w:hAnsi="Times New Roman" w:eastAsia="Times New Roman" w:cs="Times New Roman"/>
          <w:spacing w:val="62"/>
          <w:w w:val="101"/>
        </w:rPr>
        <w:t xml:space="preserve"> </w:t>
      </w:r>
      <w:r>
        <w:rPr>
          <w:spacing w:val="5"/>
        </w:rPr>
        <w:t>与用户生成的输出报告及其他媒体的存储和加</w:t>
      </w:r>
      <w:r>
        <w:rPr>
          <w:spacing w:val="4"/>
        </w:rPr>
        <w:t>标记有关的保密性考虑。</w:t>
      </w:r>
    </w:p>
    <w:p w14:paraId="3A223A2C">
      <w:pPr>
        <w:spacing w:before="115" w:line="222" w:lineRule="auto"/>
        <w:rPr>
          <w:rFonts w:ascii="黑体" w:hAnsi="黑体" w:eastAsia="黑体" w:cs="黑体"/>
          <w:sz w:val="27"/>
          <w:szCs w:val="27"/>
        </w:rPr>
      </w:pPr>
      <w:r>
        <w:rPr>
          <w:rFonts w:ascii="黑体" w:hAnsi="黑体" w:eastAsia="黑体" w:cs="黑体"/>
          <w:spacing w:val="-5"/>
          <w:sz w:val="27"/>
          <w:szCs w:val="27"/>
        </w:rPr>
        <w:t>4.1.3</w:t>
      </w:r>
      <w:r>
        <w:rPr>
          <w:rFonts w:ascii="黑体" w:hAnsi="黑体" w:eastAsia="黑体" w:cs="黑体"/>
          <w:spacing w:val="40"/>
          <w:sz w:val="27"/>
          <w:szCs w:val="27"/>
        </w:rPr>
        <w:t xml:space="preserve">  </w:t>
      </w:r>
      <w:r>
        <w:rPr>
          <w:rFonts w:ascii="黑体" w:hAnsi="黑体" w:eastAsia="黑体" w:cs="黑体"/>
          <w:b/>
          <w:bCs/>
          <w:spacing w:val="-5"/>
          <w:sz w:val="27"/>
          <w:szCs w:val="27"/>
        </w:rPr>
        <w:t>安装和设置</w:t>
      </w:r>
    </w:p>
    <w:p w14:paraId="0C0CC946">
      <w:pPr>
        <w:pStyle w:val="2"/>
        <w:spacing w:before="91" w:line="282" w:lineRule="auto"/>
        <w:ind w:right="37" w:firstLine="560"/>
      </w:pPr>
      <w:r>
        <w:rPr>
          <w:spacing w:val="-3"/>
        </w:rPr>
        <w:t>本条应描述在指定的设备上访问或安装软件、执行该安装、配置该软件、删</w:t>
      </w:r>
      <w:r>
        <w:rPr>
          <w:spacing w:val="15"/>
        </w:rPr>
        <w:t xml:space="preserve"> </w:t>
      </w:r>
      <w:r>
        <w:t>除或覆盖以前的文件或数据、以及输入软件操作参数所必须</w:t>
      </w:r>
      <w:r>
        <w:rPr>
          <w:spacing w:val="-1"/>
        </w:rPr>
        <w:t>执行的规程。</w:t>
      </w:r>
    </w:p>
    <w:p w14:paraId="4ED57F9E">
      <w:pPr>
        <w:spacing w:line="221" w:lineRule="auto"/>
        <w:rPr>
          <w:rFonts w:ascii="黑体" w:hAnsi="黑体" w:eastAsia="黑体" w:cs="黑体"/>
          <w:sz w:val="25"/>
          <w:szCs w:val="25"/>
        </w:rPr>
      </w:pPr>
      <w:r>
        <w:rPr>
          <w:rFonts w:ascii="黑体" w:hAnsi="黑体" w:eastAsia="黑体" w:cs="黑体"/>
          <w:spacing w:val="-4"/>
          <w:sz w:val="25"/>
          <w:szCs w:val="25"/>
        </w:rPr>
        <w:t>4.2</w:t>
      </w:r>
      <w:r>
        <w:rPr>
          <w:rFonts w:ascii="黑体" w:hAnsi="黑体" w:eastAsia="黑体" w:cs="黑体"/>
          <w:spacing w:val="31"/>
          <w:sz w:val="25"/>
          <w:szCs w:val="25"/>
        </w:rPr>
        <w:t xml:space="preserve">  </w:t>
      </w:r>
      <w:r>
        <w:rPr>
          <w:rFonts w:ascii="黑体" w:hAnsi="黑体" w:eastAsia="黑体" w:cs="黑体"/>
          <w:b/>
          <w:bCs/>
          <w:spacing w:val="-4"/>
          <w:sz w:val="25"/>
          <w:szCs w:val="25"/>
        </w:rPr>
        <w:t>启</w:t>
      </w:r>
      <w:r>
        <w:rPr>
          <w:rFonts w:ascii="黑体" w:hAnsi="黑体" w:eastAsia="黑体" w:cs="黑体"/>
          <w:spacing w:val="-47"/>
          <w:sz w:val="25"/>
          <w:szCs w:val="25"/>
        </w:rPr>
        <w:t xml:space="preserve"> </w:t>
      </w:r>
      <w:r>
        <w:rPr>
          <w:rFonts w:ascii="黑体" w:hAnsi="黑体" w:eastAsia="黑体" w:cs="黑体"/>
          <w:b/>
          <w:bCs/>
          <w:spacing w:val="-4"/>
          <w:sz w:val="25"/>
          <w:szCs w:val="25"/>
        </w:rPr>
        <w:t>动</w:t>
      </w:r>
    </w:p>
    <w:p w14:paraId="5C55CBB1">
      <w:pPr>
        <w:pStyle w:val="2"/>
        <w:spacing w:before="106" w:line="272" w:lineRule="auto"/>
        <w:ind w:right="45" w:firstLine="560"/>
      </w:pPr>
      <w:r>
        <w:rPr>
          <w:spacing w:val="5"/>
        </w:rPr>
        <w:t>本条应提供开始工作的逐步的规程，包括任何可用的选项。本条还应提供</w:t>
      </w:r>
      <w:r>
        <w:rPr>
          <w:spacing w:val="18"/>
        </w:rPr>
        <w:t xml:space="preserve"> </w:t>
      </w:r>
      <w:r>
        <w:rPr>
          <w:spacing w:val="3"/>
        </w:rPr>
        <w:t>遇到问题时用于问题确定的检查单。</w:t>
      </w:r>
    </w:p>
    <w:p w14:paraId="4FB3A063">
      <w:pPr>
        <w:spacing w:line="222" w:lineRule="auto"/>
        <w:outlineLvl w:val="3"/>
        <w:rPr>
          <w:rFonts w:ascii="黑体" w:hAnsi="黑体" w:eastAsia="黑体" w:cs="黑体"/>
          <w:sz w:val="27"/>
          <w:szCs w:val="27"/>
        </w:rPr>
      </w:pPr>
      <w:r>
        <w:rPr>
          <w:rFonts w:ascii="Arial" w:hAnsi="Arial" w:eastAsia="Arial" w:cs="Arial"/>
          <w:b/>
          <w:bCs/>
          <w:spacing w:val="2"/>
          <w:sz w:val="27"/>
          <w:szCs w:val="27"/>
        </w:rPr>
        <w:t xml:space="preserve">4.3    </w:t>
      </w:r>
      <w:r>
        <w:rPr>
          <w:rFonts w:ascii="黑体" w:hAnsi="黑体" w:eastAsia="黑体" w:cs="黑体"/>
          <w:b/>
          <w:bCs/>
          <w:spacing w:val="2"/>
          <w:sz w:val="27"/>
          <w:szCs w:val="27"/>
        </w:rPr>
        <w:t>停止和挂起</w:t>
      </w:r>
    </w:p>
    <w:p w14:paraId="7FA14ACD">
      <w:pPr>
        <w:pStyle w:val="2"/>
        <w:spacing w:before="138" w:line="219" w:lineRule="auto"/>
        <w:ind w:right="38"/>
        <w:jc w:val="right"/>
      </w:pPr>
      <w:r>
        <w:rPr>
          <w:spacing w:val="6"/>
        </w:rPr>
        <w:t>本条应描述用户如何停止或中断软件的使用，以及如何判</w:t>
      </w:r>
      <w:r>
        <w:rPr>
          <w:spacing w:val="5"/>
        </w:rPr>
        <w:t>断是否为正常结</w:t>
      </w:r>
    </w:p>
    <w:p w14:paraId="22780FE8">
      <w:pPr>
        <w:spacing w:line="219" w:lineRule="auto"/>
        <w:sectPr>
          <w:footerReference r:id="rId252" w:type="default"/>
          <w:pgSz w:w="11910" w:h="17130"/>
          <w:pgMar w:top="1432" w:right="1344" w:bottom="1686" w:left="1140" w:header="0" w:footer="1497" w:gutter="0"/>
          <w:cols w:space="720" w:num="1"/>
        </w:sectPr>
      </w:pPr>
    </w:p>
    <w:p w14:paraId="6FB75B72">
      <w:pPr>
        <w:pStyle w:val="2"/>
        <w:spacing w:before="65" w:line="219" w:lineRule="auto"/>
      </w:pPr>
      <w:r>
        <w:rPr>
          <w:spacing w:val="-1"/>
        </w:rPr>
        <w:t>束或停止。</w:t>
      </w:r>
    </w:p>
    <w:p w14:paraId="7050A5D9">
      <w:pPr>
        <w:spacing w:before="73" w:line="222" w:lineRule="auto"/>
        <w:rPr>
          <w:rFonts w:ascii="黑体" w:hAnsi="黑体" w:eastAsia="黑体" w:cs="黑体"/>
          <w:sz w:val="27"/>
          <w:szCs w:val="27"/>
        </w:rPr>
      </w:pPr>
      <w:r>
        <w:rPr>
          <w:rFonts w:ascii="黑体" w:hAnsi="黑体" w:eastAsia="黑体" w:cs="黑体"/>
          <w:sz w:val="27"/>
          <w:szCs w:val="27"/>
        </w:rPr>
        <w:t>5</w:t>
      </w:r>
      <w:r>
        <w:rPr>
          <w:rFonts w:ascii="黑体" w:hAnsi="黑体" w:eastAsia="黑体" w:cs="黑体"/>
          <w:spacing w:val="17"/>
          <w:sz w:val="27"/>
          <w:szCs w:val="27"/>
        </w:rPr>
        <w:t xml:space="preserve">  </w:t>
      </w:r>
      <w:r>
        <w:rPr>
          <w:rFonts w:ascii="黑体" w:hAnsi="黑体" w:eastAsia="黑体" w:cs="黑体"/>
          <w:b/>
          <w:bCs/>
          <w:sz w:val="27"/>
          <w:szCs w:val="27"/>
        </w:rPr>
        <w:t>使用指南</w:t>
      </w:r>
    </w:p>
    <w:p w14:paraId="7020B944">
      <w:pPr>
        <w:pStyle w:val="2"/>
        <w:spacing w:before="61" w:line="281" w:lineRule="auto"/>
        <w:ind w:firstLine="550"/>
        <w:jc w:val="both"/>
      </w:pPr>
      <w:r>
        <w:rPr>
          <w:spacing w:val="5"/>
        </w:rPr>
        <w:t>本章应向用户提供使用软件的规程。如果规程太长或太复杂，按本章相同</w:t>
      </w:r>
      <w:r>
        <w:rPr>
          <w:spacing w:val="13"/>
        </w:rPr>
        <w:t xml:space="preserve"> </w:t>
      </w:r>
      <w:r>
        <w:rPr>
          <w:spacing w:val="5"/>
        </w:rPr>
        <w:t>的条结构添加第6章，第7章等，标题含义与所选择的章有关。文档的组织</w:t>
      </w:r>
      <w:r>
        <w:rPr>
          <w:spacing w:val="4"/>
        </w:rPr>
        <w:t>依赖</w:t>
      </w:r>
      <w:r>
        <w:t xml:space="preserve">  </w:t>
      </w:r>
      <w:r>
        <w:rPr>
          <w:spacing w:val="5"/>
        </w:rPr>
        <w:t>于被文档化的软件的特性。例如一种办法是根据用户工作的组织、他们被分配</w:t>
      </w:r>
      <w:r>
        <w:t xml:space="preserve">  </w:t>
      </w:r>
      <w:r>
        <w:rPr>
          <w:spacing w:val="1"/>
        </w:rPr>
        <w:t>的位置、他们的工作现场和他们必须完成的任务来划</w:t>
      </w:r>
      <w:r>
        <w:t xml:space="preserve">分章。对其他的软件而言， </w:t>
      </w:r>
      <w:r>
        <w:rPr>
          <w:spacing w:val="9"/>
        </w:rPr>
        <w:t>第5章可以为菜单指南，第6章为使用的命令语言指南，第7章为功能指南。在</w:t>
      </w:r>
      <w:r>
        <w:rPr>
          <w:spacing w:val="14"/>
        </w:rPr>
        <w:t xml:space="preserve"> </w:t>
      </w:r>
      <w:r>
        <w:rPr>
          <w:spacing w:val="2"/>
        </w:rPr>
        <w:t>5.3中给出详细的规程。依赖于软件的设</w:t>
      </w:r>
      <w:r>
        <w:rPr>
          <w:spacing w:val="1"/>
        </w:rPr>
        <w:t>计，可根据逐个功能，逐个菜单，逐个</w:t>
      </w:r>
      <w:r>
        <w:t xml:space="preserve"> </w:t>
      </w:r>
      <w:r>
        <w:rPr>
          <w:spacing w:val="-10"/>
        </w:rPr>
        <w:t>事务或其他方式来组织各子条。在合适的地方应包含用“警告”或“注意”标记的</w:t>
      </w:r>
      <w:r>
        <w:t xml:space="preserve"> </w:t>
      </w:r>
      <w:r>
        <w:rPr>
          <w:spacing w:val="-1"/>
        </w:rPr>
        <w:t>安全提示。</w:t>
      </w:r>
    </w:p>
    <w:p w14:paraId="0BFB42C6">
      <w:pPr>
        <w:spacing w:before="15" w:line="222" w:lineRule="auto"/>
        <w:rPr>
          <w:rFonts w:ascii="黑体" w:hAnsi="黑体" w:eastAsia="黑体" w:cs="黑体"/>
          <w:sz w:val="24"/>
          <w:szCs w:val="24"/>
        </w:rPr>
      </w:pPr>
      <w:r>
        <w:rPr>
          <w:rFonts w:ascii="黑体" w:hAnsi="黑体" w:eastAsia="黑体" w:cs="黑体"/>
          <w:spacing w:val="5"/>
          <w:sz w:val="24"/>
          <w:szCs w:val="24"/>
        </w:rPr>
        <w:t>5.1</w:t>
      </w:r>
      <w:r>
        <w:rPr>
          <w:rFonts w:ascii="黑体" w:hAnsi="黑体" w:eastAsia="黑体" w:cs="黑体"/>
          <w:spacing w:val="58"/>
          <w:sz w:val="24"/>
          <w:szCs w:val="24"/>
        </w:rPr>
        <w:t xml:space="preserve">  </w:t>
      </w:r>
      <w:r>
        <w:rPr>
          <w:rFonts w:ascii="黑体" w:hAnsi="黑体" w:eastAsia="黑体" w:cs="黑体"/>
          <w:b/>
          <w:bCs/>
          <w:spacing w:val="5"/>
          <w:sz w:val="24"/>
          <w:szCs w:val="24"/>
        </w:rPr>
        <w:t>能力</w:t>
      </w:r>
    </w:p>
    <w:p w14:paraId="27E13B0B">
      <w:pPr>
        <w:pStyle w:val="2"/>
        <w:spacing w:before="85" w:line="281" w:lineRule="auto"/>
        <w:ind w:right="124" w:firstLine="550"/>
        <w:rPr>
          <w:rFonts w:ascii="楷体" w:hAnsi="楷体" w:eastAsia="楷体" w:cs="楷体"/>
        </w:rPr>
      </w:pPr>
      <w:r>
        <w:rPr>
          <w:spacing w:val="-3"/>
        </w:rPr>
        <w:t>为了提供软件使用概述，本条应简述事务、菜单</w:t>
      </w:r>
      <w:r>
        <w:rPr>
          <w:spacing w:val="-4"/>
        </w:rPr>
        <w:t>、功能或其他的处理相互之</w:t>
      </w:r>
      <w:r>
        <w:t xml:space="preserve"> </w:t>
      </w:r>
      <w:r>
        <w:rPr>
          <w:spacing w:val="2"/>
        </w:rPr>
        <w:t>间的关</w:t>
      </w:r>
      <w:r>
        <w:rPr>
          <w:rFonts w:ascii="楷体" w:hAnsi="楷体" w:eastAsia="楷体" w:cs="楷体"/>
          <w:spacing w:val="2"/>
        </w:rPr>
        <w:t>系。</w:t>
      </w:r>
    </w:p>
    <w:p w14:paraId="00C659A9">
      <w:pPr>
        <w:spacing w:before="26" w:line="223" w:lineRule="auto"/>
        <w:outlineLvl w:val="3"/>
        <w:rPr>
          <w:rFonts w:ascii="黑体" w:hAnsi="黑体" w:eastAsia="黑体" w:cs="黑体"/>
          <w:sz w:val="24"/>
          <w:szCs w:val="24"/>
        </w:rPr>
      </w:pPr>
      <w:r>
        <w:rPr>
          <w:rFonts w:ascii="Arial" w:hAnsi="Arial" w:eastAsia="Arial" w:cs="Arial"/>
          <w:b/>
          <w:bCs/>
          <w:spacing w:val="-4"/>
          <w:sz w:val="24"/>
          <w:szCs w:val="24"/>
        </w:rPr>
        <w:t xml:space="preserve">5.2      </w:t>
      </w:r>
      <w:r>
        <w:rPr>
          <w:rFonts w:ascii="黑体" w:hAnsi="黑体" w:eastAsia="黑体" w:cs="黑体"/>
          <w:b/>
          <w:bCs/>
          <w:spacing w:val="-4"/>
          <w:sz w:val="24"/>
          <w:szCs w:val="24"/>
        </w:rPr>
        <w:t>约</w:t>
      </w:r>
      <w:r>
        <w:rPr>
          <w:rFonts w:ascii="黑体" w:hAnsi="黑体" w:eastAsia="黑体" w:cs="黑体"/>
          <w:spacing w:val="-30"/>
          <w:sz w:val="24"/>
          <w:szCs w:val="24"/>
        </w:rPr>
        <w:t xml:space="preserve"> </w:t>
      </w:r>
      <w:r>
        <w:rPr>
          <w:rFonts w:ascii="黑体" w:hAnsi="黑体" w:eastAsia="黑体" w:cs="黑体"/>
          <w:b/>
          <w:bCs/>
          <w:spacing w:val="-4"/>
          <w:sz w:val="24"/>
          <w:szCs w:val="24"/>
        </w:rPr>
        <w:t>定</w:t>
      </w:r>
    </w:p>
    <w:p w14:paraId="79C74DBE">
      <w:pPr>
        <w:pStyle w:val="2"/>
        <w:spacing w:before="82" w:line="283" w:lineRule="auto"/>
        <w:ind w:right="103" w:firstLine="550"/>
      </w:pPr>
      <w:r>
        <w:rPr>
          <w:spacing w:val="6"/>
        </w:rPr>
        <w:t>本条应描述软件使用的任何约定，例如显示中</w:t>
      </w:r>
      <w:r>
        <w:rPr>
          <w:spacing w:val="5"/>
        </w:rPr>
        <w:t>使用的颜色、使用的警告铃</w:t>
      </w:r>
      <w:r>
        <w:t xml:space="preserve"> </w:t>
      </w:r>
      <w:r>
        <w:rPr>
          <w:spacing w:val="-3"/>
        </w:rPr>
        <w:t>声、使用的缩略词语表和使用的命名或编码规则。</w:t>
      </w:r>
    </w:p>
    <w:p w14:paraId="0CC4577C">
      <w:pPr>
        <w:spacing w:before="1" w:line="221" w:lineRule="auto"/>
        <w:rPr>
          <w:rFonts w:ascii="黑体" w:hAnsi="黑体" w:eastAsia="黑体" w:cs="黑体"/>
          <w:sz w:val="27"/>
          <w:szCs w:val="27"/>
        </w:rPr>
      </w:pPr>
      <w:r>
        <w:rPr>
          <w:rFonts w:ascii="黑体" w:hAnsi="黑体" w:eastAsia="黑体" w:cs="黑体"/>
          <w:sz w:val="27"/>
          <w:szCs w:val="27"/>
        </w:rPr>
        <w:t>5.3</w:t>
      </w:r>
      <w:r>
        <w:rPr>
          <w:rFonts w:ascii="黑体" w:hAnsi="黑体" w:eastAsia="黑体" w:cs="黑体"/>
          <w:spacing w:val="24"/>
          <w:sz w:val="27"/>
          <w:szCs w:val="27"/>
        </w:rPr>
        <w:t xml:space="preserve">  </w:t>
      </w:r>
      <w:r>
        <w:rPr>
          <w:rFonts w:ascii="黑体" w:hAnsi="黑体" w:eastAsia="黑体" w:cs="黑体"/>
          <w:b/>
          <w:bCs/>
          <w:sz w:val="27"/>
          <w:szCs w:val="27"/>
        </w:rPr>
        <w:t>处理过程</w:t>
      </w:r>
    </w:p>
    <w:p w14:paraId="1BDE17E6">
      <w:pPr>
        <w:spacing w:before="84" w:line="221" w:lineRule="auto"/>
        <w:rPr>
          <w:rFonts w:ascii="黑体" w:hAnsi="黑体" w:eastAsia="黑体" w:cs="黑体"/>
          <w:sz w:val="27"/>
          <w:szCs w:val="27"/>
        </w:rPr>
      </w:pPr>
      <w:r>
        <w:rPr>
          <w:rFonts w:ascii="Times New Roman" w:hAnsi="Times New Roman" w:eastAsia="Times New Roman" w:cs="Times New Roman"/>
          <w:spacing w:val="2"/>
          <w:sz w:val="27"/>
          <w:szCs w:val="27"/>
        </w:rPr>
        <w:t>5.3.X</w:t>
      </w:r>
      <w:r>
        <w:rPr>
          <w:rFonts w:ascii="Times New Roman" w:hAnsi="Times New Roman" w:eastAsia="Times New Roman" w:cs="Times New Roman"/>
          <w:spacing w:val="7"/>
          <w:sz w:val="27"/>
          <w:szCs w:val="27"/>
        </w:rPr>
        <w:t xml:space="preserve">      </w:t>
      </w:r>
      <w:r>
        <w:rPr>
          <w:rFonts w:ascii="黑体" w:hAnsi="黑体" w:eastAsia="黑体" w:cs="黑体"/>
          <w:b/>
          <w:bCs/>
          <w:spacing w:val="2"/>
          <w:sz w:val="27"/>
          <w:szCs w:val="27"/>
        </w:rPr>
        <w:t>(软件使用方面)</w:t>
      </w:r>
    </w:p>
    <w:p w14:paraId="6C4C3D0F">
      <w:pPr>
        <w:pStyle w:val="2"/>
        <w:spacing w:before="82" w:line="279" w:lineRule="auto"/>
        <w:ind w:firstLine="550"/>
        <w:jc w:val="both"/>
      </w:pPr>
      <w:r>
        <w:rPr>
          <w:spacing w:val="-3"/>
        </w:rPr>
        <w:t>本条的标题应标识出被描述的功能、菜单、事务或其他的过程。(若适用)本</w:t>
      </w:r>
      <w:r>
        <w:rPr>
          <w:spacing w:val="13"/>
        </w:rPr>
        <w:t xml:space="preserve"> </w:t>
      </w:r>
      <w:r>
        <w:rPr>
          <w:spacing w:val="-14"/>
        </w:rPr>
        <w:t>条应描述并给出以下方面的选项与实例，包括：菜单、图标、数据项表、用户输入、</w:t>
      </w:r>
      <w:r>
        <w:rPr>
          <w:spacing w:val="2"/>
        </w:rPr>
        <w:t xml:space="preserve"> </w:t>
      </w:r>
      <w:r>
        <w:rPr>
          <w:spacing w:val="-7"/>
        </w:rPr>
        <w:t>可能影响软件与用户的接口的其他软硬件的输入、输出、诊断或错误消息、报警、</w:t>
      </w:r>
      <w:r>
        <w:rPr>
          <w:spacing w:val="6"/>
        </w:rPr>
        <w:t xml:space="preserve"> </w:t>
      </w:r>
      <w:r>
        <w:rPr>
          <w:spacing w:val="5"/>
        </w:rPr>
        <w:t>以及能提供联机描述或使用说明信息的帮助工具。给出的信息格式应适合于软</w:t>
      </w:r>
      <w:r>
        <w:t xml:space="preserve">  </w:t>
      </w:r>
      <w:r>
        <w:rPr>
          <w:spacing w:val="-3"/>
        </w:rPr>
        <w:t>件的特性。描述应使用一致的风格，例如对菜单的描述应保持一致，对事务描述</w:t>
      </w:r>
      <w:r>
        <w:rPr>
          <w:spacing w:val="2"/>
        </w:rPr>
        <w:t xml:space="preserve">  应保持一致。</w:t>
      </w:r>
    </w:p>
    <w:p w14:paraId="0D37DC59">
      <w:pPr>
        <w:spacing w:line="223" w:lineRule="auto"/>
        <w:rPr>
          <w:rFonts w:ascii="黑体" w:hAnsi="黑体" w:eastAsia="黑体" w:cs="黑体"/>
          <w:sz w:val="27"/>
          <w:szCs w:val="27"/>
        </w:rPr>
      </w:pPr>
      <w:r>
        <w:rPr>
          <w:rFonts w:ascii="黑体" w:hAnsi="黑体" w:eastAsia="黑体" w:cs="黑体"/>
          <w:spacing w:val="-1"/>
          <w:sz w:val="27"/>
          <w:szCs w:val="27"/>
        </w:rPr>
        <w:t>5.4</w:t>
      </w:r>
      <w:r>
        <w:rPr>
          <w:rFonts w:ascii="黑体" w:hAnsi="黑体" w:eastAsia="黑体" w:cs="黑体"/>
          <w:spacing w:val="22"/>
          <w:sz w:val="27"/>
          <w:szCs w:val="27"/>
        </w:rPr>
        <w:t xml:space="preserve">  </w:t>
      </w:r>
      <w:r>
        <w:rPr>
          <w:rFonts w:ascii="黑体" w:hAnsi="黑体" w:eastAsia="黑体" w:cs="黑体"/>
          <w:b/>
          <w:bCs/>
          <w:spacing w:val="-1"/>
          <w:sz w:val="27"/>
          <w:szCs w:val="27"/>
        </w:rPr>
        <w:t>有关的处理</w:t>
      </w:r>
    </w:p>
    <w:p w14:paraId="0C101A36">
      <w:pPr>
        <w:pStyle w:val="2"/>
        <w:spacing w:before="86" w:line="275" w:lineRule="auto"/>
        <w:ind w:right="113" w:firstLine="550"/>
        <w:jc w:val="both"/>
      </w:pPr>
      <w:r>
        <w:rPr>
          <w:spacing w:val="9"/>
        </w:rPr>
        <w:t>本条应标识并描述任何关于未被用户直接调用，并且在5.3中也未描述的</w:t>
      </w:r>
      <w:r>
        <w:rPr>
          <w:spacing w:val="7"/>
        </w:rPr>
        <w:t xml:space="preserve"> </w:t>
      </w:r>
      <w:r>
        <w:rPr>
          <w:spacing w:val="5"/>
        </w:rPr>
        <w:t>由软件执行的批处理、脱机处理或后台处理，并应说明支持这种处理的用户的</w:t>
      </w:r>
      <w:r>
        <w:rPr>
          <w:spacing w:val="10"/>
        </w:rPr>
        <w:t xml:space="preserve"> </w:t>
      </w:r>
      <w:r>
        <w:rPr>
          <w:spacing w:val="-2"/>
        </w:rPr>
        <w:t>责任。</w:t>
      </w:r>
    </w:p>
    <w:p w14:paraId="47CED3FC">
      <w:pPr>
        <w:spacing w:before="1" w:line="222" w:lineRule="auto"/>
        <w:rPr>
          <w:rFonts w:ascii="黑体" w:hAnsi="黑体" w:eastAsia="黑体" w:cs="黑体"/>
          <w:sz w:val="27"/>
          <w:szCs w:val="27"/>
        </w:rPr>
      </w:pPr>
      <w:r>
        <w:rPr>
          <w:rFonts w:ascii="黑体" w:hAnsi="黑体" w:eastAsia="黑体" w:cs="黑体"/>
          <w:sz w:val="27"/>
          <w:szCs w:val="27"/>
        </w:rPr>
        <w:t>5.5</w:t>
      </w:r>
      <w:r>
        <w:rPr>
          <w:rFonts w:ascii="黑体" w:hAnsi="黑体" w:eastAsia="黑体" w:cs="黑体"/>
          <w:spacing w:val="23"/>
          <w:sz w:val="27"/>
          <w:szCs w:val="27"/>
        </w:rPr>
        <w:t xml:space="preserve">  </w:t>
      </w:r>
      <w:r>
        <w:rPr>
          <w:rFonts w:ascii="黑体" w:hAnsi="黑体" w:eastAsia="黑体" w:cs="黑体"/>
          <w:b/>
          <w:bCs/>
          <w:sz w:val="27"/>
          <w:szCs w:val="27"/>
        </w:rPr>
        <w:t>数据备份</w:t>
      </w:r>
    </w:p>
    <w:p w14:paraId="34767145">
      <w:pPr>
        <w:pStyle w:val="2"/>
        <w:spacing w:before="118" w:line="268" w:lineRule="auto"/>
        <w:ind w:firstLine="550"/>
      </w:pPr>
      <w:r>
        <w:t>本条应描述创建和保留备份数据的规程，这些备份数据在发生错误、缺陷、</w:t>
      </w:r>
      <w:r>
        <w:rPr>
          <w:spacing w:val="14"/>
        </w:rPr>
        <w:t xml:space="preserve"> </w:t>
      </w:r>
      <w:r>
        <w:rPr>
          <w:spacing w:val="3"/>
        </w:rPr>
        <w:t>误动作或事故时可以用来代替主要的数据拷贝。</w:t>
      </w:r>
    </w:p>
    <w:p w14:paraId="5E69C34F">
      <w:pPr>
        <w:spacing w:line="220" w:lineRule="auto"/>
        <w:rPr>
          <w:rFonts w:ascii="黑体" w:hAnsi="黑体" w:eastAsia="黑体" w:cs="黑体"/>
          <w:sz w:val="27"/>
          <w:szCs w:val="27"/>
        </w:rPr>
      </w:pPr>
      <w:r>
        <w:rPr>
          <w:rFonts w:ascii="黑体" w:hAnsi="黑体" w:eastAsia="黑体" w:cs="黑体"/>
          <w:spacing w:val="-7"/>
          <w:sz w:val="27"/>
          <w:szCs w:val="27"/>
        </w:rPr>
        <w:t>5.6</w:t>
      </w:r>
      <w:r>
        <w:rPr>
          <w:rFonts w:ascii="黑体" w:hAnsi="黑体" w:eastAsia="黑体" w:cs="黑体"/>
          <w:spacing w:val="27"/>
          <w:sz w:val="27"/>
          <w:szCs w:val="27"/>
        </w:rPr>
        <w:t xml:space="preserve">  </w:t>
      </w:r>
      <w:r>
        <w:rPr>
          <w:rFonts w:ascii="黑体" w:hAnsi="黑体" w:eastAsia="黑体" w:cs="黑体"/>
          <w:b/>
          <w:bCs/>
          <w:spacing w:val="-7"/>
          <w:sz w:val="27"/>
          <w:szCs w:val="27"/>
        </w:rPr>
        <w:t>错误、故障和紧急情况下的恢复</w:t>
      </w:r>
    </w:p>
    <w:p w14:paraId="380CFF7C">
      <w:pPr>
        <w:pStyle w:val="2"/>
        <w:spacing w:before="83" w:line="297" w:lineRule="auto"/>
        <w:ind w:right="102" w:firstLine="550"/>
      </w:pPr>
      <w:r>
        <w:rPr>
          <w:spacing w:val="6"/>
        </w:rPr>
        <w:t>本条应给出从发生错误或故障中重启或恢复的详</w:t>
      </w:r>
      <w:r>
        <w:rPr>
          <w:spacing w:val="5"/>
        </w:rPr>
        <w:t>细规程，以及确保紧急事</w:t>
      </w:r>
      <w:r>
        <w:t xml:space="preserve"> </w:t>
      </w:r>
      <w:r>
        <w:rPr>
          <w:spacing w:val="3"/>
        </w:rPr>
        <w:t>件下运行连续性的详细规程。</w:t>
      </w:r>
    </w:p>
    <w:p w14:paraId="59709269">
      <w:pPr>
        <w:spacing w:line="297" w:lineRule="auto"/>
        <w:sectPr>
          <w:footerReference r:id="rId253" w:type="default"/>
          <w:pgSz w:w="11910" w:h="17130"/>
          <w:pgMar w:top="1456" w:right="934" w:bottom="1653" w:left="1499" w:header="0" w:footer="1455" w:gutter="0"/>
          <w:cols w:space="720" w:num="1"/>
        </w:sectPr>
      </w:pPr>
    </w:p>
    <w:p w14:paraId="045C6E6A">
      <w:pPr>
        <w:spacing w:before="54" w:line="222" w:lineRule="auto"/>
        <w:rPr>
          <w:rFonts w:ascii="黑体" w:hAnsi="黑体" w:eastAsia="黑体" w:cs="黑体"/>
          <w:sz w:val="25"/>
          <w:szCs w:val="25"/>
        </w:rPr>
      </w:pPr>
      <w:r>
        <w:rPr>
          <w:rFonts w:ascii="黑体" w:hAnsi="黑体" w:eastAsia="黑体" w:cs="黑体"/>
          <w:spacing w:val="7"/>
          <w:sz w:val="25"/>
          <w:szCs w:val="25"/>
        </w:rPr>
        <w:t>5.7</w:t>
      </w:r>
      <w:r>
        <w:rPr>
          <w:rFonts w:ascii="黑体" w:hAnsi="黑体" w:eastAsia="黑体" w:cs="黑体"/>
          <w:spacing w:val="29"/>
          <w:sz w:val="25"/>
          <w:szCs w:val="25"/>
        </w:rPr>
        <w:t xml:space="preserve">  </w:t>
      </w:r>
      <w:r>
        <w:rPr>
          <w:rFonts w:ascii="黑体" w:hAnsi="黑体" w:eastAsia="黑体" w:cs="黑体"/>
          <w:spacing w:val="7"/>
          <w:sz w:val="25"/>
          <w:szCs w:val="25"/>
        </w:rPr>
        <w:t>消息</w:t>
      </w:r>
    </w:p>
    <w:p w14:paraId="550FB03A">
      <w:pPr>
        <w:pStyle w:val="2"/>
        <w:spacing w:before="68" w:line="283" w:lineRule="auto"/>
        <w:ind w:right="102" w:firstLine="550"/>
        <w:jc w:val="both"/>
      </w:pPr>
      <w:r>
        <w:rPr>
          <w:spacing w:val="-2"/>
        </w:rPr>
        <w:t>本条应列出完成用户功能时可能发生的所有错</w:t>
      </w:r>
      <w:r>
        <w:rPr>
          <w:spacing w:val="-3"/>
        </w:rPr>
        <w:t>误消息、诊断消息等，或引用</w:t>
      </w:r>
      <w:r>
        <w:t xml:space="preserve"> </w:t>
      </w:r>
      <w:r>
        <w:rPr>
          <w:spacing w:val="5"/>
        </w:rPr>
        <w:t>列出这些消息的附录，并应标识和描述每一条消息的含义以及消息出现后要采</w:t>
      </w:r>
      <w:r>
        <w:rPr>
          <w:spacing w:val="10"/>
        </w:rPr>
        <w:t xml:space="preserve"> </w:t>
      </w:r>
      <w:r>
        <w:rPr>
          <w:spacing w:val="-1"/>
        </w:rPr>
        <w:t>取的动作。</w:t>
      </w:r>
    </w:p>
    <w:p w14:paraId="60DC0808">
      <w:pPr>
        <w:spacing w:line="222" w:lineRule="auto"/>
        <w:rPr>
          <w:rFonts w:ascii="黑体" w:hAnsi="黑体" w:eastAsia="黑体" w:cs="黑体"/>
          <w:sz w:val="27"/>
          <w:szCs w:val="27"/>
        </w:rPr>
      </w:pPr>
      <w:r>
        <w:rPr>
          <w:rFonts w:ascii="黑体" w:hAnsi="黑体" w:eastAsia="黑体" w:cs="黑体"/>
          <w:spacing w:val="4"/>
          <w:sz w:val="27"/>
          <w:szCs w:val="27"/>
        </w:rPr>
        <w:t>5.8  快速参考指南</w:t>
      </w:r>
    </w:p>
    <w:p w14:paraId="530E0883">
      <w:pPr>
        <w:pStyle w:val="2"/>
        <w:spacing w:before="93" w:line="277" w:lineRule="auto"/>
        <w:ind w:right="123" w:firstLine="550"/>
      </w:pPr>
      <w:r>
        <w:rPr>
          <w:spacing w:val="5"/>
        </w:rPr>
        <w:t>合适时，本条应为使用该软件提供或引用快速参考卡或页。(若适用)快速</w:t>
      </w:r>
      <w:r>
        <w:rPr>
          <w:spacing w:val="4"/>
        </w:rPr>
        <w:t xml:space="preserve"> </w:t>
      </w:r>
      <w:r>
        <w:rPr>
          <w:spacing w:val="-7"/>
        </w:rPr>
        <w:t>参考指南应概括常用的功能键、控制序列、格式、命令或软件使用的其他方面。</w:t>
      </w:r>
    </w:p>
    <w:p w14:paraId="0C4336D9">
      <w:pPr>
        <w:spacing w:line="221" w:lineRule="auto"/>
        <w:rPr>
          <w:rFonts w:ascii="黑体" w:hAnsi="黑体" w:eastAsia="黑体" w:cs="黑体"/>
          <w:sz w:val="27"/>
          <w:szCs w:val="27"/>
        </w:rPr>
      </w:pPr>
      <w:r>
        <w:rPr>
          <w:rFonts w:ascii="黑体" w:hAnsi="黑体" w:eastAsia="黑体" w:cs="黑体"/>
          <w:spacing w:val="-6"/>
          <w:sz w:val="27"/>
          <w:szCs w:val="27"/>
        </w:rPr>
        <w:t>6</w:t>
      </w:r>
      <w:r>
        <w:rPr>
          <w:rFonts w:ascii="黑体" w:hAnsi="黑体" w:eastAsia="黑体" w:cs="黑体"/>
          <w:spacing w:val="12"/>
          <w:sz w:val="27"/>
          <w:szCs w:val="27"/>
        </w:rPr>
        <w:t xml:space="preserve">  </w:t>
      </w:r>
      <w:r>
        <w:rPr>
          <w:rFonts w:ascii="黑体" w:hAnsi="黑体" w:eastAsia="黑体" w:cs="黑体"/>
          <w:spacing w:val="-6"/>
          <w:sz w:val="27"/>
          <w:szCs w:val="27"/>
        </w:rPr>
        <w:t>注释</w:t>
      </w:r>
    </w:p>
    <w:p w14:paraId="36DDE8EB">
      <w:pPr>
        <w:pStyle w:val="2"/>
        <w:spacing w:before="96" w:line="219" w:lineRule="auto"/>
        <w:ind w:left="550"/>
      </w:pPr>
      <w:r>
        <w:rPr>
          <w:spacing w:val="-4"/>
        </w:rPr>
        <w:t>本章应包括有助于了解文档的所有信息(例如背景、术语、缩略语或公式)。</w:t>
      </w:r>
    </w:p>
    <w:p w14:paraId="17CC29A6">
      <w:pPr>
        <w:spacing w:line="311" w:lineRule="auto"/>
        <w:rPr>
          <w:rFonts w:ascii="Arial"/>
          <w:sz w:val="21"/>
        </w:rPr>
      </w:pPr>
    </w:p>
    <w:p w14:paraId="61D91A8D">
      <w:pPr>
        <w:pStyle w:val="2"/>
        <w:spacing w:before="117" w:line="219" w:lineRule="auto"/>
        <w:ind w:left="2599"/>
        <w:rPr>
          <w:sz w:val="36"/>
          <w:szCs w:val="36"/>
        </w:rPr>
      </w:pPr>
      <w:r>
        <w:rPr>
          <w:spacing w:val="1"/>
          <w:sz w:val="36"/>
          <w:szCs w:val="36"/>
        </w:rPr>
        <w:t xml:space="preserve">2.21  </w:t>
      </w:r>
      <w:r>
        <w:rPr>
          <w:b/>
          <w:bCs/>
          <w:spacing w:val="1"/>
          <w:sz w:val="36"/>
          <w:szCs w:val="36"/>
        </w:rPr>
        <w:t>软件输入/输出手册</w:t>
      </w:r>
    </w:p>
    <w:p w14:paraId="70A2435E">
      <w:pPr>
        <w:spacing w:line="379" w:lineRule="auto"/>
        <w:rPr>
          <w:rFonts w:ascii="Arial"/>
          <w:sz w:val="21"/>
        </w:rPr>
      </w:pPr>
    </w:p>
    <w:p w14:paraId="1A47D02C">
      <w:pPr>
        <w:pStyle w:val="2"/>
        <w:spacing w:before="78" w:line="225" w:lineRule="auto"/>
        <w:ind w:left="550"/>
        <w:rPr>
          <w:rFonts w:ascii="楷体" w:hAnsi="楷体" w:eastAsia="楷体" w:cs="楷体"/>
          <w:sz w:val="24"/>
          <w:szCs w:val="24"/>
        </w:rPr>
      </w:pPr>
      <w:r>
        <w:rPr>
          <w:rFonts w:ascii="楷体" w:hAnsi="楷体" w:eastAsia="楷体" w:cs="楷体"/>
          <w:spacing w:val="12"/>
          <w:sz w:val="24"/>
          <w:szCs w:val="24"/>
        </w:rPr>
        <w:t>按</w:t>
      </w:r>
      <w:r>
        <w:rPr>
          <w:rFonts w:ascii="楷体" w:hAnsi="楷体" w:eastAsia="楷体" w:cs="楷体"/>
          <w:spacing w:val="-2"/>
          <w:sz w:val="24"/>
          <w:szCs w:val="24"/>
        </w:rPr>
        <w:t xml:space="preserve"> </w:t>
      </w:r>
      <w:r>
        <w:rPr>
          <w:rFonts w:ascii="楷体" w:hAnsi="楷体" w:eastAsia="楷体" w:cs="楷体"/>
          <w:spacing w:val="1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 xml:space="preserve">    438B—2009</w:t>
      </w:r>
      <w:r>
        <w:rPr>
          <w:spacing w:val="12"/>
          <w:sz w:val="24"/>
          <w:szCs w:val="24"/>
        </w:rPr>
        <w:t>《</w:t>
      </w:r>
      <w:r>
        <w:rPr>
          <w:rFonts w:ascii="楷体" w:hAnsi="楷体" w:eastAsia="楷体" w:cs="楷体"/>
          <w:spacing w:val="12"/>
          <w:sz w:val="24"/>
          <w:szCs w:val="24"/>
        </w:rPr>
        <w:t>军用软件开发文档通用要求》编写。</w:t>
      </w:r>
    </w:p>
    <w:p w14:paraId="7DCEC4DA">
      <w:pPr>
        <w:spacing w:before="112"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4"/>
          <w:sz w:val="25"/>
          <w:szCs w:val="25"/>
        </w:rPr>
        <w:t xml:space="preserve">  </w:t>
      </w:r>
      <w:r>
        <w:rPr>
          <w:rFonts w:ascii="黑体" w:hAnsi="黑体" w:eastAsia="黑体" w:cs="黑体"/>
          <w:spacing w:val="-13"/>
          <w:sz w:val="25"/>
          <w:szCs w:val="25"/>
        </w:rPr>
        <w:t>范</w:t>
      </w:r>
      <w:r>
        <w:rPr>
          <w:rFonts w:ascii="黑体" w:hAnsi="黑体" w:eastAsia="黑体" w:cs="黑体"/>
          <w:spacing w:val="-30"/>
          <w:sz w:val="25"/>
          <w:szCs w:val="25"/>
        </w:rPr>
        <w:t xml:space="preserve"> </w:t>
      </w:r>
      <w:r>
        <w:rPr>
          <w:rFonts w:ascii="黑体" w:hAnsi="黑体" w:eastAsia="黑体" w:cs="黑体"/>
          <w:spacing w:val="-13"/>
          <w:sz w:val="25"/>
          <w:szCs w:val="25"/>
        </w:rPr>
        <w:t>围</w:t>
      </w:r>
    </w:p>
    <w:p w14:paraId="328B04E8">
      <w:pPr>
        <w:spacing w:before="97" w:line="222" w:lineRule="auto"/>
        <w:rPr>
          <w:rFonts w:ascii="黑体" w:hAnsi="黑体" w:eastAsia="黑体" w:cs="黑体"/>
          <w:sz w:val="25"/>
          <w:szCs w:val="25"/>
        </w:rPr>
      </w:pPr>
      <w:r>
        <w:rPr>
          <w:rFonts w:ascii="黑体" w:hAnsi="黑体" w:eastAsia="黑体" w:cs="黑体"/>
          <w:spacing w:val="3"/>
          <w:sz w:val="25"/>
          <w:szCs w:val="25"/>
        </w:rPr>
        <w:t>1.1</w:t>
      </w:r>
      <w:r>
        <w:rPr>
          <w:rFonts w:ascii="黑体" w:hAnsi="黑体" w:eastAsia="黑体" w:cs="黑体"/>
          <w:spacing w:val="39"/>
          <w:sz w:val="25"/>
          <w:szCs w:val="25"/>
        </w:rPr>
        <w:t xml:space="preserve">  </w:t>
      </w:r>
      <w:r>
        <w:rPr>
          <w:rFonts w:ascii="黑体" w:hAnsi="黑体" w:eastAsia="黑体" w:cs="黑体"/>
          <w:spacing w:val="3"/>
          <w:sz w:val="25"/>
          <w:szCs w:val="25"/>
        </w:rPr>
        <w:t>标识</w:t>
      </w:r>
    </w:p>
    <w:p w14:paraId="5F474660">
      <w:pPr>
        <w:pStyle w:val="2"/>
        <w:spacing w:before="111" w:line="268" w:lineRule="auto"/>
        <w:ind w:firstLine="550"/>
      </w:pPr>
      <w:r>
        <w:rPr>
          <w:spacing w:val="1"/>
        </w:rPr>
        <w:t>本条应描述本文档所适用系统和软件的完整标识，适</w:t>
      </w:r>
      <w:r>
        <w:t xml:space="preserve">用时，包括其标识号、 </w:t>
      </w:r>
      <w:r>
        <w:rPr>
          <w:spacing w:val="-16"/>
        </w:rPr>
        <w:t>名称、缩略名、版本号和发布号。</w:t>
      </w:r>
    </w:p>
    <w:p w14:paraId="0D5BE50D">
      <w:pPr>
        <w:spacing w:before="32" w:line="221" w:lineRule="auto"/>
        <w:rPr>
          <w:rFonts w:ascii="黑体" w:hAnsi="黑体" w:eastAsia="黑体" w:cs="黑体"/>
          <w:sz w:val="24"/>
          <w:szCs w:val="24"/>
        </w:rPr>
      </w:pPr>
      <w:r>
        <w:rPr>
          <w:rFonts w:ascii="黑体" w:hAnsi="黑体" w:eastAsia="黑体" w:cs="黑体"/>
          <w:spacing w:val="10"/>
          <w:sz w:val="24"/>
          <w:szCs w:val="24"/>
        </w:rPr>
        <w:t>1.2</w:t>
      </w:r>
      <w:r>
        <w:rPr>
          <w:rFonts w:ascii="黑体" w:hAnsi="黑体" w:eastAsia="黑体" w:cs="黑体"/>
          <w:spacing w:val="2"/>
          <w:sz w:val="24"/>
          <w:szCs w:val="24"/>
        </w:rPr>
        <w:t xml:space="preserve">   </w:t>
      </w:r>
      <w:r>
        <w:rPr>
          <w:rFonts w:ascii="黑体" w:hAnsi="黑体" w:eastAsia="黑体" w:cs="黑体"/>
          <w:spacing w:val="10"/>
          <w:sz w:val="24"/>
          <w:szCs w:val="24"/>
        </w:rPr>
        <w:t>系统概述</w:t>
      </w:r>
    </w:p>
    <w:p w14:paraId="6B845D6C">
      <w:pPr>
        <w:pStyle w:val="2"/>
        <w:spacing w:before="97" w:line="281" w:lineRule="auto"/>
        <w:ind w:right="119" w:firstLine="550"/>
        <w:jc w:val="both"/>
      </w:pPr>
      <w:r>
        <w:rPr>
          <w:spacing w:val="5"/>
        </w:rPr>
        <w:t>本条应概述本文档所适用系统和软件的用途。它还应描述系统与软件的一</w:t>
      </w:r>
      <w:r>
        <w:rPr>
          <w:spacing w:val="14"/>
        </w:rPr>
        <w:t xml:space="preserve"> </w:t>
      </w:r>
      <w:r>
        <w:rPr>
          <w:spacing w:val="-10"/>
        </w:rPr>
        <w:t>般特性；概述系统开发、运行和维护的历史；标识项目的需方、用户、开发方</w:t>
      </w:r>
      <w:r>
        <w:rPr>
          <w:spacing w:val="-11"/>
        </w:rPr>
        <w:t>和保</w:t>
      </w:r>
      <w:r>
        <w:t xml:space="preserve"> </w:t>
      </w:r>
      <w:r>
        <w:rPr>
          <w:spacing w:val="-6"/>
        </w:rPr>
        <w:t>障机构等；标识当前和计划的运行现场；列出其他有关文档。</w:t>
      </w:r>
    </w:p>
    <w:p w14:paraId="65F5E826">
      <w:pPr>
        <w:spacing w:before="23" w:line="221" w:lineRule="auto"/>
        <w:rPr>
          <w:rFonts w:ascii="黑体" w:hAnsi="黑体" w:eastAsia="黑体" w:cs="黑体"/>
          <w:sz w:val="24"/>
          <w:szCs w:val="24"/>
        </w:rPr>
      </w:pPr>
      <w:r>
        <w:rPr>
          <w:rFonts w:ascii="黑体" w:hAnsi="黑体" w:eastAsia="黑体" w:cs="黑体"/>
          <w:spacing w:val="13"/>
          <w:sz w:val="24"/>
          <w:szCs w:val="24"/>
        </w:rPr>
        <w:t>1.3</w:t>
      </w:r>
      <w:r>
        <w:rPr>
          <w:rFonts w:ascii="黑体" w:hAnsi="黑体" w:eastAsia="黑体" w:cs="黑体"/>
          <w:spacing w:val="53"/>
          <w:sz w:val="24"/>
          <w:szCs w:val="24"/>
        </w:rPr>
        <w:t xml:space="preserve">  </w:t>
      </w:r>
      <w:r>
        <w:rPr>
          <w:rFonts w:ascii="黑体" w:hAnsi="黑体" w:eastAsia="黑体" w:cs="黑体"/>
          <w:spacing w:val="13"/>
          <w:sz w:val="24"/>
          <w:szCs w:val="24"/>
        </w:rPr>
        <w:t>文档概述</w:t>
      </w:r>
    </w:p>
    <w:p w14:paraId="5BAA41F9">
      <w:pPr>
        <w:pStyle w:val="2"/>
        <w:spacing w:before="96" w:line="280" w:lineRule="auto"/>
        <w:ind w:right="113" w:firstLine="550"/>
      </w:pPr>
      <w:r>
        <w:rPr>
          <w:spacing w:val="6"/>
        </w:rPr>
        <w:t>本条应概述本文档的用途和内容，并描述与它</w:t>
      </w:r>
      <w:r>
        <w:rPr>
          <w:spacing w:val="5"/>
        </w:rPr>
        <w:t>的使用有关的保密性方面的</w:t>
      </w:r>
      <w:r>
        <w:t xml:space="preserve"> </w:t>
      </w:r>
      <w:r>
        <w:rPr>
          <w:spacing w:val="-4"/>
        </w:rPr>
        <w:t>要求。</w:t>
      </w:r>
    </w:p>
    <w:p w14:paraId="04762BDA">
      <w:pPr>
        <w:spacing w:before="1" w:line="221" w:lineRule="auto"/>
        <w:rPr>
          <w:rFonts w:ascii="黑体" w:hAnsi="黑体" w:eastAsia="黑体" w:cs="黑体"/>
          <w:sz w:val="27"/>
          <w:szCs w:val="27"/>
        </w:rPr>
      </w:pPr>
      <w:r>
        <w:rPr>
          <w:rFonts w:ascii="黑体" w:hAnsi="黑体" w:eastAsia="黑体" w:cs="黑体"/>
          <w:spacing w:val="4"/>
          <w:sz w:val="27"/>
          <w:szCs w:val="27"/>
        </w:rPr>
        <w:t>2</w:t>
      </w:r>
      <w:r>
        <w:rPr>
          <w:rFonts w:ascii="黑体" w:hAnsi="黑体" w:eastAsia="黑体" w:cs="黑体"/>
          <w:spacing w:val="13"/>
          <w:sz w:val="27"/>
          <w:szCs w:val="27"/>
        </w:rPr>
        <w:t xml:space="preserve">  </w:t>
      </w:r>
      <w:r>
        <w:rPr>
          <w:rFonts w:ascii="黑体" w:hAnsi="黑体" w:eastAsia="黑体" w:cs="黑体"/>
          <w:spacing w:val="4"/>
          <w:sz w:val="27"/>
          <w:szCs w:val="27"/>
        </w:rPr>
        <w:t>引用文档</w:t>
      </w:r>
    </w:p>
    <w:p w14:paraId="353E402C">
      <w:pPr>
        <w:pStyle w:val="2"/>
        <w:spacing w:before="86" w:line="275" w:lineRule="auto"/>
        <w:ind w:right="121" w:firstLine="550"/>
      </w:pPr>
      <w:r>
        <w:rPr>
          <w:spacing w:val="-11"/>
        </w:rPr>
        <w:t>本章应列出引用文档的编号、标题、编写单位、修订版及日期，还应标识不能</w:t>
      </w:r>
      <w:r>
        <w:rPr>
          <w:spacing w:val="6"/>
        </w:rPr>
        <w:t xml:space="preserve"> </w:t>
      </w:r>
      <w:r>
        <w:rPr>
          <w:spacing w:val="3"/>
        </w:rPr>
        <w:t>通过正常采购活动得到的文档的来源。</w:t>
      </w:r>
    </w:p>
    <w:p w14:paraId="53E9B5C8">
      <w:pPr>
        <w:spacing w:before="5"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4"/>
          <w:sz w:val="27"/>
          <w:szCs w:val="27"/>
        </w:rPr>
        <w:t xml:space="preserve">  </w:t>
      </w:r>
      <w:r>
        <w:rPr>
          <w:rFonts w:ascii="黑体" w:hAnsi="黑体" w:eastAsia="黑体" w:cs="黑体"/>
          <w:spacing w:val="1"/>
          <w:sz w:val="27"/>
          <w:szCs w:val="27"/>
        </w:rPr>
        <w:t>软件综述</w:t>
      </w:r>
    </w:p>
    <w:p w14:paraId="0CEEB09D">
      <w:pPr>
        <w:spacing w:before="97" w:line="222" w:lineRule="auto"/>
        <w:rPr>
          <w:rFonts w:ascii="黑体" w:hAnsi="黑体" w:eastAsia="黑体" w:cs="黑体"/>
          <w:sz w:val="27"/>
          <w:szCs w:val="27"/>
        </w:rPr>
      </w:pPr>
      <w:r>
        <w:rPr>
          <w:rFonts w:ascii="黑体" w:hAnsi="黑体" w:eastAsia="黑体" w:cs="黑体"/>
          <w:spacing w:val="3"/>
          <w:sz w:val="27"/>
          <w:szCs w:val="27"/>
        </w:rPr>
        <w:t>3.1  软件应用</w:t>
      </w:r>
    </w:p>
    <w:p w14:paraId="368729EA">
      <w:pPr>
        <w:pStyle w:val="2"/>
        <w:spacing w:before="95" w:line="269" w:lineRule="auto"/>
        <w:ind w:right="124" w:firstLine="550"/>
      </w:pPr>
      <w:r>
        <w:rPr>
          <w:spacing w:val="-3"/>
        </w:rPr>
        <w:t>本条应简要说明软件预期的使用，并应描述对软件的使用所期望的能力</w:t>
      </w:r>
      <w:r>
        <w:rPr>
          <w:spacing w:val="-4"/>
        </w:rPr>
        <w:t>、运</w:t>
      </w:r>
      <w:r>
        <w:t xml:space="preserve"> </w:t>
      </w:r>
      <w:r>
        <w:rPr>
          <w:spacing w:val="-1"/>
        </w:rPr>
        <w:t>行改进和受益。</w:t>
      </w:r>
    </w:p>
    <w:p w14:paraId="49462E79">
      <w:pPr>
        <w:spacing w:before="33" w:line="222" w:lineRule="auto"/>
        <w:rPr>
          <w:rFonts w:ascii="黑体" w:hAnsi="黑体" w:eastAsia="黑体" w:cs="黑体"/>
          <w:sz w:val="25"/>
          <w:szCs w:val="25"/>
        </w:rPr>
      </w:pPr>
      <w:r>
        <w:rPr>
          <w:rFonts w:ascii="黑体" w:hAnsi="黑体" w:eastAsia="黑体" w:cs="黑体"/>
          <w:spacing w:val="15"/>
          <w:sz w:val="25"/>
          <w:szCs w:val="25"/>
        </w:rPr>
        <w:t>3.2</w:t>
      </w:r>
      <w:r>
        <w:rPr>
          <w:rFonts w:ascii="黑体" w:hAnsi="黑体" w:eastAsia="黑体" w:cs="黑体"/>
          <w:spacing w:val="32"/>
          <w:sz w:val="25"/>
          <w:szCs w:val="25"/>
        </w:rPr>
        <w:t xml:space="preserve">  </w:t>
      </w:r>
      <w:r>
        <w:rPr>
          <w:rFonts w:ascii="黑体" w:hAnsi="黑体" w:eastAsia="黑体" w:cs="黑体"/>
          <w:spacing w:val="15"/>
          <w:sz w:val="25"/>
          <w:szCs w:val="25"/>
        </w:rPr>
        <w:t>软件清单</w:t>
      </w:r>
    </w:p>
    <w:p w14:paraId="002D59D4">
      <w:pPr>
        <w:pStyle w:val="2"/>
        <w:spacing w:before="119" w:line="275" w:lineRule="auto"/>
        <w:ind w:right="119" w:firstLine="550"/>
      </w:pPr>
      <w:r>
        <w:rPr>
          <w:spacing w:val="5"/>
        </w:rPr>
        <w:t xml:space="preserve">(若有)本条应标识为了访问本手册所描述的软件，由用户负责申请的软件 </w:t>
      </w:r>
      <w:r>
        <w:rPr>
          <w:spacing w:val="-3"/>
        </w:rPr>
        <w:t>文件，包括数据库和数据文件。该标识应包含对每份文件的保密性考虑，以及在</w:t>
      </w:r>
    </w:p>
    <w:p w14:paraId="58C82E65">
      <w:pPr>
        <w:spacing w:line="275" w:lineRule="auto"/>
        <w:sectPr>
          <w:footerReference r:id="rId254" w:type="default"/>
          <w:pgSz w:w="11910" w:h="17130"/>
          <w:pgMar w:top="1456" w:right="1365" w:bottom="1656" w:left="1059" w:header="0" w:footer="1467" w:gutter="0"/>
          <w:cols w:space="720" w:num="1"/>
        </w:sectPr>
      </w:pPr>
    </w:p>
    <w:p w14:paraId="27BD65E9">
      <w:pPr>
        <w:pStyle w:val="2"/>
        <w:spacing w:before="54" w:line="219" w:lineRule="auto"/>
      </w:pPr>
      <w:r>
        <w:rPr>
          <w:spacing w:val="3"/>
        </w:rPr>
        <w:t>紧急时刻为继续或恢复运行所必须的软件的标识。</w:t>
      </w:r>
    </w:p>
    <w:p w14:paraId="3A21B978">
      <w:pPr>
        <w:spacing w:before="63" w:line="222" w:lineRule="auto"/>
        <w:rPr>
          <w:rFonts w:ascii="黑体" w:hAnsi="黑体" w:eastAsia="黑体" w:cs="黑体"/>
          <w:sz w:val="27"/>
          <w:szCs w:val="27"/>
        </w:rPr>
      </w:pPr>
      <w:r>
        <w:rPr>
          <w:rFonts w:ascii="黑体" w:hAnsi="黑体" w:eastAsia="黑体" w:cs="黑体"/>
          <w:sz w:val="27"/>
          <w:szCs w:val="27"/>
        </w:rPr>
        <w:t>3.3</w:t>
      </w:r>
      <w:r>
        <w:rPr>
          <w:rFonts w:ascii="黑体" w:hAnsi="黑体" w:eastAsia="黑体" w:cs="黑体"/>
          <w:spacing w:val="19"/>
          <w:sz w:val="27"/>
          <w:szCs w:val="27"/>
        </w:rPr>
        <w:t xml:space="preserve">  </w:t>
      </w:r>
      <w:r>
        <w:rPr>
          <w:rFonts w:ascii="黑体" w:hAnsi="黑体" w:eastAsia="黑体" w:cs="黑体"/>
          <w:b/>
          <w:bCs/>
          <w:sz w:val="27"/>
          <w:szCs w:val="27"/>
        </w:rPr>
        <w:t>软件环境</w:t>
      </w:r>
    </w:p>
    <w:p w14:paraId="4276FB78">
      <w:pPr>
        <w:pStyle w:val="2"/>
        <w:spacing w:before="79" w:line="276" w:lineRule="auto"/>
        <w:ind w:firstLine="559"/>
        <w:jc w:val="both"/>
      </w:pPr>
      <w:r>
        <w:t>本条应描述访问和使用该软件所需的硬件、软件、手工操作和其他的资源。</w:t>
      </w:r>
      <w:r>
        <w:rPr>
          <w:spacing w:val="3"/>
        </w:rPr>
        <w:t xml:space="preserve"> </w:t>
      </w:r>
      <w:r>
        <w:rPr>
          <w:spacing w:val="1"/>
        </w:rPr>
        <w:t>本条应基于这样的假定：该软件安装在计算机中心或其</w:t>
      </w:r>
      <w:r>
        <w:t xml:space="preserve">他集中式或网络环境中； </w:t>
      </w:r>
      <w:r>
        <w:rPr>
          <w:spacing w:val="4"/>
        </w:rPr>
        <w:t>用户必须访问和使用该环境中的软件。(若适用)包括以下方面的标识：</w:t>
      </w:r>
    </w:p>
    <w:p w14:paraId="25F9AD0E">
      <w:pPr>
        <w:pStyle w:val="2"/>
        <w:spacing w:line="212" w:lineRule="auto"/>
        <w:ind w:left="559"/>
      </w:pPr>
      <w:r>
        <w:rPr>
          <w:rFonts w:ascii="Times New Roman" w:hAnsi="Times New Roman" w:eastAsia="Times New Roman" w:cs="Times New Roman"/>
          <w:spacing w:val="-4"/>
        </w:rPr>
        <w:t xml:space="preserve">a)  </w:t>
      </w:r>
      <w:r>
        <w:rPr>
          <w:spacing w:val="-4"/>
        </w:rPr>
        <w:t>必须提供的计算机设备，例如终端、打印机或其他输入/输出设备；</w:t>
      </w:r>
    </w:p>
    <w:p w14:paraId="2A689004">
      <w:pPr>
        <w:pStyle w:val="2"/>
        <w:spacing w:before="99" w:line="212" w:lineRule="auto"/>
        <w:ind w:left="559"/>
      </w:pPr>
      <w:r>
        <w:rPr>
          <w:rFonts w:ascii="Times New Roman" w:hAnsi="Times New Roman" w:eastAsia="Times New Roman" w:cs="Times New Roman"/>
          <w:spacing w:val="2"/>
        </w:rPr>
        <w:t>b)</w:t>
      </w:r>
      <w:r>
        <w:rPr>
          <w:rFonts w:ascii="Times New Roman" w:hAnsi="Times New Roman" w:eastAsia="Times New Roman" w:cs="Times New Roman"/>
          <w:spacing w:val="77"/>
        </w:rPr>
        <w:t xml:space="preserve"> </w:t>
      </w:r>
      <w:r>
        <w:rPr>
          <w:spacing w:val="2"/>
        </w:rPr>
        <w:t>必须提供的通信设备；</w:t>
      </w:r>
    </w:p>
    <w:p w14:paraId="61375749">
      <w:pPr>
        <w:pStyle w:val="2"/>
        <w:spacing w:before="100" w:line="212" w:lineRule="auto"/>
        <w:ind w:left="559"/>
      </w:pPr>
      <w:r>
        <w:rPr>
          <w:rFonts w:ascii="Times New Roman" w:hAnsi="Times New Roman" w:eastAsia="Times New Roman" w:cs="Times New Roman"/>
          <w:spacing w:val="-4"/>
        </w:rPr>
        <w:t xml:space="preserve">c)  </w:t>
      </w:r>
      <w:r>
        <w:rPr>
          <w:spacing w:val="-4"/>
        </w:rPr>
        <w:t>必须提供的其他软件，例如网络软件；</w:t>
      </w:r>
    </w:p>
    <w:p w14:paraId="6D35C644">
      <w:pPr>
        <w:pStyle w:val="2"/>
        <w:spacing w:before="80" w:line="212" w:lineRule="auto"/>
        <w:ind w:left="559"/>
      </w:pPr>
      <w:r>
        <w:rPr>
          <w:rFonts w:ascii="Times New Roman" w:hAnsi="Times New Roman" w:eastAsia="Times New Roman" w:cs="Times New Roman"/>
          <w:spacing w:val="-2"/>
        </w:rPr>
        <w:t xml:space="preserve">d)  </w:t>
      </w:r>
      <w:r>
        <w:rPr>
          <w:spacing w:val="-2"/>
        </w:rPr>
        <w:t>必须提供的格式、规程或其他的手工操作；</w:t>
      </w:r>
    </w:p>
    <w:p w14:paraId="33969FFE">
      <w:pPr>
        <w:pStyle w:val="2"/>
        <w:spacing w:before="110" w:line="212" w:lineRule="auto"/>
        <w:ind w:left="559"/>
      </w:pPr>
      <w:r>
        <w:rPr>
          <w:rFonts w:ascii="Times New Roman" w:hAnsi="Times New Roman" w:eastAsia="Times New Roman" w:cs="Times New Roman"/>
          <w:spacing w:val="-3"/>
        </w:rPr>
        <w:t xml:space="preserve">e)  </w:t>
      </w:r>
      <w:r>
        <w:rPr>
          <w:spacing w:val="-3"/>
        </w:rPr>
        <w:t>必须提供的其他设施、设备或资源。</w:t>
      </w:r>
    </w:p>
    <w:p w14:paraId="4969E56C">
      <w:pPr>
        <w:spacing w:before="114" w:line="221" w:lineRule="auto"/>
        <w:rPr>
          <w:rFonts w:ascii="黑体" w:hAnsi="黑体" w:eastAsia="黑体" w:cs="黑体"/>
          <w:sz w:val="27"/>
          <w:szCs w:val="27"/>
        </w:rPr>
      </w:pPr>
      <w:r>
        <w:rPr>
          <w:rFonts w:ascii="黑体" w:hAnsi="黑体" w:eastAsia="黑体" w:cs="黑体"/>
          <w:spacing w:val="-2"/>
          <w:sz w:val="27"/>
          <w:szCs w:val="27"/>
        </w:rPr>
        <w:t>3.4</w:t>
      </w:r>
      <w:r>
        <w:rPr>
          <w:rFonts w:ascii="黑体" w:hAnsi="黑体" w:eastAsia="黑体" w:cs="黑体"/>
          <w:spacing w:val="24"/>
          <w:sz w:val="27"/>
          <w:szCs w:val="27"/>
        </w:rPr>
        <w:t xml:space="preserve">  </w:t>
      </w:r>
      <w:r>
        <w:rPr>
          <w:rFonts w:ascii="黑体" w:hAnsi="黑体" w:eastAsia="黑体" w:cs="黑体"/>
          <w:b/>
          <w:bCs/>
          <w:spacing w:val="-2"/>
          <w:sz w:val="27"/>
          <w:szCs w:val="27"/>
        </w:rPr>
        <w:t>软件组织和操作概述</w:t>
      </w:r>
    </w:p>
    <w:p w14:paraId="19AA46E5">
      <w:pPr>
        <w:pStyle w:val="2"/>
        <w:spacing w:before="121" w:line="293" w:lineRule="auto"/>
        <w:ind w:right="94" w:firstLine="559"/>
        <w:rPr>
          <w:sz w:val="25"/>
          <w:szCs w:val="25"/>
        </w:rPr>
      </w:pPr>
      <w:r>
        <w:rPr>
          <w:spacing w:val="25"/>
          <w:sz w:val="25"/>
          <w:szCs w:val="25"/>
        </w:rPr>
        <w:t>本条应从用户的角度出发，简要描述软件的组织与操作。(若</w:t>
      </w:r>
      <w:r>
        <w:rPr>
          <w:spacing w:val="24"/>
          <w:sz w:val="25"/>
          <w:szCs w:val="25"/>
        </w:rPr>
        <w:t>适用)描述应</w:t>
      </w:r>
      <w:r>
        <w:rPr>
          <w:sz w:val="25"/>
          <w:szCs w:val="25"/>
        </w:rPr>
        <w:t xml:space="preserve"> </w:t>
      </w:r>
      <w:r>
        <w:rPr>
          <w:spacing w:val="11"/>
          <w:sz w:val="25"/>
          <w:szCs w:val="25"/>
        </w:rPr>
        <w:t>包括：</w:t>
      </w:r>
    </w:p>
    <w:p w14:paraId="481BA6C7">
      <w:pPr>
        <w:pStyle w:val="2"/>
        <w:spacing w:before="2" w:line="253" w:lineRule="auto"/>
        <w:ind w:right="91" w:firstLine="559"/>
        <w:rPr>
          <w:sz w:val="25"/>
          <w:szCs w:val="25"/>
        </w:rPr>
      </w:pPr>
      <w:r>
        <w:rPr>
          <w:rFonts w:ascii="Times New Roman" w:hAnsi="Times New Roman" w:eastAsia="Times New Roman" w:cs="Times New Roman"/>
          <w:spacing w:val="29"/>
          <w:sz w:val="25"/>
          <w:szCs w:val="25"/>
        </w:rPr>
        <w:t xml:space="preserve">a)  </w:t>
      </w:r>
      <w:r>
        <w:rPr>
          <w:spacing w:val="29"/>
          <w:sz w:val="25"/>
          <w:szCs w:val="25"/>
        </w:rPr>
        <w:t>从用户的角度概述软件逻辑部件，包括用户可访问的数据库和数据文</w:t>
      </w:r>
      <w:r>
        <w:rPr>
          <w:spacing w:val="17"/>
          <w:sz w:val="25"/>
          <w:szCs w:val="25"/>
        </w:rPr>
        <w:t xml:space="preserve"> </w:t>
      </w:r>
      <w:r>
        <w:rPr>
          <w:spacing w:val="16"/>
          <w:sz w:val="25"/>
          <w:szCs w:val="25"/>
        </w:rPr>
        <w:t>件、数据库管理系统(</w:t>
      </w:r>
      <w:r>
        <w:rPr>
          <w:rFonts w:ascii="Times New Roman" w:hAnsi="Times New Roman" w:eastAsia="Times New Roman" w:cs="Times New Roman"/>
          <w:sz w:val="25"/>
          <w:szCs w:val="25"/>
        </w:rPr>
        <w:t>DBMS</w:t>
      </w:r>
      <w:r>
        <w:rPr>
          <w:rFonts w:ascii="Times New Roman" w:hAnsi="Times New Roman" w:eastAsia="Times New Roman" w:cs="Times New Roman"/>
          <w:spacing w:val="16"/>
          <w:sz w:val="25"/>
          <w:szCs w:val="25"/>
        </w:rPr>
        <w:t>)</w:t>
      </w:r>
      <w:r>
        <w:rPr>
          <w:rFonts w:ascii="Times New Roman" w:hAnsi="Times New Roman" w:eastAsia="Times New Roman" w:cs="Times New Roman"/>
          <w:spacing w:val="-35"/>
          <w:sz w:val="25"/>
          <w:szCs w:val="25"/>
        </w:rPr>
        <w:t xml:space="preserve"> </w:t>
      </w:r>
      <w:r>
        <w:rPr>
          <w:spacing w:val="16"/>
          <w:sz w:val="25"/>
          <w:szCs w:val="25"/>
        </w:rPr>
        <w:t>、通信路径和每个</w:t>
      </w:r>
      <w:r>
        <w:rPr>
          <w:spacing w:val="15"/>
          <w:sz w:val="25"/>
          <w:szCs w:val="25"/>
        </w:rPr>
        <w:t>部件用途/操作。</w:t>
      </w:r>
    </w:p>
    <w:p w14:paraId="6088AB9E">
      <w:pPr>
        <w:pStyle w:val="2"/>
        <w:spacing w:before="103" w:line="275" w:lineRule="auto"/>
        <w:ind w:right="10" w:firstLine="559"/>
        <w:rPr>
          <w:sz w:val="25"/>
          <w:szCs w:val="25"/>
        </w:rPr>
      </w:pPr>
      <w:r>
        <w:rPr>
          <w:rFonts w:ascii="Times New Roman" w:hAnsi="Times New Roman" w:eastAsia="Times New Roman" w:cs="Times New Roman"/>
          <w:spacing w:val="13"/>
          <w:sz w:val="25"/>
          <w:szCs w:val="25"/>
        </w:rPr>
        <w:t xml:space="preserve">b)  </w:t>
      </w:r>
      <w:r>
        <w:rPr>
          <w:spacing w:val="13"/>
          <w:sz w:val="25"/>
          <w:szCs w:val="25"/>
        </w:rPr>
        <w:t>用户可能期望的性能特征，如1)可接受的输入的类型、数量</w:t>
      </w:r>
      <w:r>
        <w:rPr>
          <w:spacing w:val="12"/>
          <w:sz w:val="25"/>
          <w:szCs w:val="25"/>
        </w:rPr>
        <w:t>、速率；2)软</w:t>
      </w:r>
      <w:r>
        <w:rPr>
          <w:sz w:val="25"/>
          <w:szCs w:val="25"/>
        </w:rPr>
        <w:t xml:space="preserve"> </w:t>
      </w:r>
      <w:r>
        <w:rPr>
          <w:spacing w:val="13"/>
          <w:sz w:val="25"/>
          <w:szCs w:val="25"/>
        </w:rPr>
        <w:t>件能够产生的输出的类型、数量、准确性和</w:t>
      </w:r>
      <w:r>
        <w:rPr>
          <w:spacing w:val="12"/>
          <w:sz w:val="25"/>
          <w:szCs w:val="25"/>
        </w:rPr>
        <w:t>速率；3)典型的响应时间和影响因素；</w:t>
      </w:r>
    </w:p>
    <w:p w14:paraId="251C2959">
      <w:pPr>
        <w:pStyle w:val="2"/>
        <w:spacing w:before="84" w:line="280" w:lineRule="auto"/>
        <w:ind w:right="113"/>
      </w:pPr>
      <w:r>
        <w:rPr>
          <w:spacing w:val="-2"/>
        </w:rPr>
        <w:t>4)典型的处理时间和影响因素；5)限制，如</w:t>
      </w:r>
      <w:r>
        <w:rPr>
          <w:spacing w:val="-3"/>
        </w:rPr>
        <w:t>对何种数据可被查询以及从何处查询</w:t>
      </w:r>
      <w:r>
        <w:t xml:space="preserve"> </w:t>
      </w:r>
      <w:r>
        <w:rPr>
          <w:spacing w:val="-9"/>
        </w:rPr>
        <w:t>的约束；6)预期的错误率；7)预期的可靠性。</w:t>
      </w:r>
    </w:p>
    <w:p w14:paraId="6B1BF4CD">
      <w:pPr>
        <w:pStyle w:val="2"/>
        <w:spacing w:before="2" w:line="250" w:lineRule="auto"/>
        <w:ind w:right="95" w:firstLine="559"/>
      </w:pPr>
      <w:r>
        <w:rPr>
          <w:rFonts w:ascii="Times New Roman" w:hAnsi="Times New Roman" w:eastAsia="Times New Roman" w:cs="Times New Roman"/>
          <w:spacing w:val="3"/>
        </w:rPr>
        <w:t>c)</w:t>
      </w:r>
      <w:r>
        <w:rPr>
          <w:rFonts w:ascii="Times New Roman" w:hAnsi="Times New Roman" w:eastAsia="Times New Roman" w:cs="Times New Roman"/>
          <w:spacing w:val="72"/>
        </w:rPr>
        <w:t xml:space="preserve"> </w:t>
      </w:r>
      <w:r>
        <w:rPr>
          <w:spacing w:val="3"/>
        </w:rPr>
        <w:t>该软件执行的功能与接口系统的关系，以及与输入源或输出接受者的组</w:t>
      </w:r>
      <w:r>
        <w:t xml:space="preserve"> </w:t>
      </w:r>
      <w:r>
        <w:rPr>
          <w:spacing w:val="1"/>
        </w:rPr>
        <w:t>织或站点的关系。</w:t>
      </w:r>
    </w:p>
    <w:p w14:paraId="585FECB8">
      <w:pPr>
        <w:pStyle w:val="2"/>
        <w:spacing w:before="77" w:line="212" w:lineRule="auto"/>
        <w:ind w:left="559"/>
      </w:pPr>
      <w:r>
        <w:rPr>
          <w:rFonts w:ascii="Times New Roman" w:hAnsi="Times New Roman" w:eastAsia="Times New Roman" w:cs="Times New Roman"/>
          <w:spacing w:val="4"/>
        </w:rPr>
        <w:t xml:space="preserve">d)  </w:t>
      </w:r>
      <w:r>
        <w:rPr>
          <w:spacing w:val="4"/>
        </w:rPr>
        <w:t>为管理软件而采取的监控措施(例如口令)。</w:t>
      </w:r>
    </w:p>
    <w:p w14:paraId="473F6678">
      <w:pPr>
        <w:spacing w:before="114" w:line="221" w:lineRule="auto"/>
        <w:rPr>
          <w:rFonts w:ascii="黑体" w:hAnsi="黑体" w:eastAsia="黑体" w:cs="黑体"/>
          <w:sz w:val="27"/>
          <w:szCs w:val="27"/>
        </w:rPr>
      </w:pPr>
      <w:r>
        <w:rPr>
          <w:rFonts w:ascii="黑体" w:hAnsi="黑体" w:eastAsia="黑体" w:cs="黑体"/>
          <w:spacing w:val="3"/>
          <w:sz w:val="27"/>
          <w:szCs w:val="27"/>
        </w:rPr>
        <w:t xml:space="preserve">3.5  </w:t>
      </w:r>
      <w:r>
        <w:rPr>
          <w:rFonts w:ascii="黑体" w:hAnsi="黑体" w:eastAsia="黑体" w:cs="黑体"/>
          <w:b/>
          <w:bCs/>
          <w:spacing w:val="3"/>
          <w:sz w:val="27"/>
          <w:szCs w:val="27"/>
        </w:rPr>
        <w:t>意外事故及运行的备用状态和方式</w:t>
      </w:r>
    </w:p>
    <w:p w14:paraId="1A69B004">
      <w:pPr>
        <w:pStyle w:val="2"/>
        <w:spacing w:before="103" w:line="269" w:lineRule="auto"/>
        <w:ind w:right="91" w:firstLine="559"/>
      </w:pPr>
      <w:r>
        <w:rPr>
          <w:spacing w:val="5"/>
        </w:rPr>
        <w:t>(若适用)本条应说明在紧急时刻以及在不同运行状态和方式下用户处理该</w:t>
      </w:r>
      <w:r>
        <w:rPr>
          <w:spacing w:val="17"/>
        </w:rPr>
        <w:t xml:space="preserve"> </w:t>
      </w:r>
      <w:r>
        <w:rPr>
          <w:spacing w:val="2"/>
        </w:rPr>
        <w:t>软件时的差异。</w:t>
      </w:r>
    </w:p>
    <w:p w14:paraId="17173662">
      <w:pPr>
        <w:spacing w:before="7" w:line="221" w:lineRule="auto"/>
        <w:rPr>
          <w:rFonts w:ascii="黑体" w:hAnsi="黑体" w:eastAsia="黑体" w:cs="黑体"/>
          <w:sz w:val="27"/>
          <w:szCs w:val="27"/>
        </w:rPr>
      </w:pPr>
      <w:r>
        <w:rPr>
          <w:rFonts w:ascii="黑体" w:hAnsi="黑体" w:eastAsia="黑体" w:cs="黑体"/>
          <w:spacing w:val="-1"/>
          <w:sz w:val="27"/>
          <w:szCs w:val="27"/>
        </w:rPr>
        <w:t>3.6</w:t>
      </w:r>
      <w:r>
        <w:rPr>
          <w:rFonts w:ascii="黑体" w:hAnsi="黑体" w:eastAsia="黑体" w:cs="黑体"/>
          <w:spacing w:val="21"/>
          <w:sz w:val="27"/>
          <w:szCs w:val="27"/>
        </w:rPr>
        <w:t xml:space="preserve">  </w:t>
      </w:r>
      <w:r>
        <w:rPr>
          <w:rFonts w:ascii="黑体" w:hAnsi="黑体" w:eastAsia="黑体" w:cs="黑体"/>
          <w:b/>
          <w:bCs/>
          <w:spacing w:val="-1"/>
          <w:sz w:val="27"/>
          <w:szCs w:val="27"/>
        </w:rPr>
        <w:t>保密性</w:t>
      </w:r>
    </w:p>
    <w:p w14:paraId="4B8CECF4">
      <w:pPr>
        <w:pStyle w:val="2"/>
        <w:spacing w:before="91" w:line="276" w:lineRule="auto"/>
        <w:ind w:right="94" w:firstLine="559"/>
      </w:pPr>
      <w:r>
        <w:rPr>
          <w:spacing w:val="6"/>
        </w:rPr>
        <w:t>本条应概述与本软件相关的保密性考虑，适</w:t>
      </w:r>
      <w:r>
        <w:rPr>
          <w:spacing w:val="5"/>
        </w:rPr>
        <w:t>用时还应包括对软件或文档进</w:t>
      </w:r>
      <w:r>
        <w:t xml:space="preserve"> </w:t>
      </w:r>
      <w:r>
        <w:rPr>
          <w:spacing w:val="3"/>
        </w:rPr>
        <w:t>行非授权复制的警告信息。</w:t>
      </w:r>
    </w:p>
    <w:p w14:paraId="1CBAFFF9">
      <w:pPr>
        <w:spacing w:before="1" w:line="221" w:lineRule="auto"/>
        <w:rPr>
          <w:rFonts w:ascii="黑体" w:hAnsi="黑体" w:eastAsia="黑体" w:cs="黑体"/>
          <w:sz w:val="27"/>
          <w:szCs w:val="27"/>
        </w:rPr>
      </w:pPr>
      <w:r>
        <w:rPr>
          <w:rFonts w:ascii="黑体" w:hAnsi="黑体" w:eastAsia="黑体" w:cs="黑体"/>
          <w:spacing w:val="-2"/>
          <w:sz w:val="27"/>
          <w:szCs w:val="27"/>
        </w:rPr>
        <w:t>3.7</w:t>
      </w:r>
      <w:r>
        <w:rPr>
          <w:rFonts w:ascii="黑体" w:hAnsi="黑体" w:eastAsia="黑体" w:cs="黑体"/>
          <w:spacing w:val="32"/>
          <w:sz w:val="27"/>
          <w:szCs w:val="27"/>
        </w:rPr>
        <w:t xml:space="preserve">  </w:t>
      </w:r>
      <w:r>
        <w:rPr>
          <w:rFonts w:ascii="黑体" w:hAnsi="黑体" w:eastAsia="黑体" w:cs="黑体"/>
          <w:b/>
          <w:bCs/>
          <w:spacing w:val="-2"/>
          <w:sz w:val="27"/>
          <w:szCs w:val="27"/>
        </w:rPr>
        <w:t>帮助和问题报告</w:t>
      </w:r>
    </w:p>
    <w:p w14:paraId="29F19F3C">
      <w:pPr>
        <w:pStyle w:val="2"/>
        <w:spacing w:before="119" w:line="264" w:lineRule="auto"/>
        <w:ind w:right="84" w:firstLine="559"/>
      </w:pPr>
      <w:r>
        <w:rPr>
          <w:spacing w:val="15"/>
        </w:rPr>
        <w:t>本条应标识联系方式、获得帮助和报告软件使用中遇到的问</w:t>
      </w:r>
      <w:r>
        <w:rPr>
          <w:spacing w:val="14"/>
        </w:rPr>
        <w:t>题所遵循的</w:t>
      </w:r>
      <w:r>
        <w:t xml:space="preserve"> </w:t>
      </w:r>
      <w:r>
        <w:rPr>
          <w:spacing w:val="-4"/>
        </w:rPr>
        <w:t>规程。</w:t>
      </w:r>
    </w:p>
    <w:p w14:paraId="5E66113D">
      <w:pPr>
        <w:spacing w:before="14"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22"/>
          <w:sz w:val="27"/>
          <w:szCs w:val="27"/>
        </w:rPr>
        <w:t xml:space="preserve">  </w:t>
      </w:r>
      <w:r>
        <w:rPr>
          <w:rFonts w:ascii="黑体" w:hAnsi="黑体" w:eastAsia="黑体" w:cs="黑体"/>
          <w:b/>
          <w:bCs/>
          <w:spacing w:val="-5"/>
          <w:sz w:val="27"/>
          <w:szCs w:val="27"/>
        </w:rPr>
        <w:t>使用软件</w:t>
      </w:r>
    </w:p>
    <w:p w14:paraId="3F3991D9">
      <w:pPr>
        <w:spacing w:before="95" w:line="222" w:lineRule="auto"/>
        <w:rPr>
          <w:rFonts w:ascii="黑体" w:hAnsi="黑体" w:eastAsia="黑体" w:cs="黑体"/>
          <w:sz w:val="27"/>
          <w:szCs w:val="27"/>
        </w:rPr>
      </w:pPr>
      <w:r>
        <w:rPr>
          <w:rFonts w:ascii="黑体" w:hAnsi="黑体" w:eastAsia="黑体" w:cs="黑体"/>
          <w:spacing w:val="1"/>
          <w:sz w:val="27"/>
          <w:szCs w:val="27"/>
        </w:rPr>
        <w:t>4.1</w:t>
      </w:r>
      <w:r>
        <w:rPr>
          <w:rFonts w:ascii="黑体" w:hAnsi="黑体" w:eastAsia="黑体" w:cs="黑体"/>
          <w:spacing w:val="16"/>
          <w:sz w:val="27"/>
          <w:szCs w:val="27"/>
        </w:rPr>
        <w:t xml:space="preserve">  </w:t>
      </w:r>
      <w:r>
        <w:rPr>
          <w:rFonts w:ascii="黑体" w:hAnsi="黑体" w:eastAsia="黑体" w:cs="黑体"/>
          <w:b/>
          <w:bCs/>
          <w:spacing w:val="1"/>
          <w:sz w:val="27"/>
          <w:szCs w:val="27"/>
        </w:rPr>
        <w:t>启动规程</w:t>
      </w:r>
    </w:p>
    <w:p w14:paraId="1D2D42AE">
      <w:pPr>
        <w:pStyle w:val="2"/>
        <w:spacing w:before="110" w:line="219" w:lineRule="auto"/>
        <w:ind w:left="559"/>
      </w:pPr>
      <w:r>
        <w:rPr>
          <w:spacing w:val="5"/>
        </w:rPr>
        <w:t>本条应包含启动该软件所必须遵循的规程，包含有作业请求表和控制语句</w:t>
      </w:r>
    </w:p>
    <w:p w14:paraId="79EA8D50">
      <w:pPr>
        <w:spacing w:line="219" w:lineRule="auto"/>
        <w:sectPr>
          <w:footerReference r:id="rId255" w:type="default"/>
          <w:pgSz w:w="11910" w:h="17130"/>
          <w:pgMar w:top="1356" w:right="954" w:bottom="1723" w:left="1480" w:header="0" w:footer="1525" w:gutter="0"/>
          <w:cols w:space="720" w:num="1"/>
        </w:sectPr>
      </w:pPr>
    </w:p>
    <w:p w14:paraId="54EB6CDA">
      <w:pPr>
        <w:pStyle w:val="2"/>
        <w:spacing w:before="54" w:line="219" w:lineRule="auto"/>
      </w:pPr>
      <w:r>
        <w:rPr>
          <w:spacing w:val="-5"/>
        </w:rPr>
        <w:t>的样例。</w:t>
      </w:r>
    </w:p>
    <w:p w14:paraId="042BC413">
      <w:pPr>
        <w:spacing w:before="77" w:line="222" w:lineRule="auto"/>
        <w:rPr>
          <w:rFonts w:ascii="黑体" w:hAnsi="黑体" w:eastAsia="黑体" w:cs="黑体"/>
          <w:sz w:val="27"/>
          <w:szCs w:val="27"/>
        </w:rPr>
      </w:pPr>
      <w:r>
        <w:rPr>
          <w:rFonts w:ascii="黑体" w:hAnsi="黑体" w:eastAsia="黑体" w:cs="黑体"/>
          <w:spacing w:val="2"/>
          <w:sz w:val="27"/>
          <w:szCs w:val="27"/>
        </w:rPr>
        <w:t>4.2  输入描述</w:t>
      </w:r>
    </w:p>
    <w:p w14:paraId="28AC1A34">
      <w:pPr>
        <w:spacing w:before="104" w:line="222" w:lineRule="auto"/>
        <w:rPr>
          <w:rFonts w:ascii="黑体" w:hAnsi="黑体" w:eastAsia="黑体" w:cs="黑体"/>
          <w:sz w:val="24"/>
          <w:szCs w:val="24"/>
        </w:rPr>
      </w:pPr>
      <w:r>
        <w:rPr>
          <w:rFonts w:ascii="黑体" w:hAnsi="黑体" w:eastAsia="黑体" w:cs="黑体"/>
          <w:spacing w:val="15"/>
          <w:sz w:val="24"/>
          <w:szCs w:val="24"/>
        </w:rPr>
        <w:t>4.2.1</w:t>
      </w:r>
      <w:r>
        <w:rPr>
          <w:rFonts w:ascii="黑体" w:hAnsi="黑体" w:eastAsia="黑体" w:cs="黑体"/>
          <w:spacing w:val="8"/>
          <w:sz w:val="24"/>
          <w:szCs w:val="24"/>
        </w:rPr>
        <w:t xml:space="preserve">   </w:t>
      </w:r>
      <w:r>
        <w:rPr>
          <w:rFonts w:ascii="黑体" w:hAnsi="黑体" w:eastAsia="黑体" w:cs="黑体"/>
          <w:spacing w:val="15"/>
          <w:sz w:val="24"/>
          <w:szCs w:val="24"/>
        </w:rPr>
        <w:t>输入条件</w:t>
      </w:r>
    </w:p>
    <w:p w14:paraId="1B638632">
      <w:pPr>
        <w:pStyle w:val="2"/>
        <w:spacing w:before="42" w:line="284" w:lineRule="auto"/>
        <w:ind w:firstLine="560"/>
      </w:pPr>
      <w:r>
        <w:rPr>
          <w:spacing w:val="18"/>
        </w:rPr>
        <w:t>本条应描述在准备软件的每种类型或类别的输入时需遵守的前提条件。</w:t>
      </w:r>
      <w:r>
        <w:rPr>
          <w:spacing w:val="5"/>
        </w:rPr>
        <w:t xml:space="preserve"> </w:t>
      </w:r>
      <w:r>
        <w:rPr>
          <w:spacing w:val="-2"/>
        </w:rPr>
        <w:t>(若适用)应包括：</w:t>
      </w:r>
    </w:p>
    <w:p w14:paraId="61E1D376">
      <w:pPr>
        <w:pStyle w:val="2"/>
        <w:spacing w:line="212" w:lineRule="auto"/>
        <w:ind w:left="560"/>
      </w:pPr>
      <w:r>
        <w:rPr>
          <w:rFonts w:ascii="Times New Roman" w:hAnsi="Times New Roman" w:eastAsia="Times New Roman" w:cs="Times New Roman"/>
          <w:spacing w:val="-6"/>
        </w:rPr>
        <w:t xml:space="preserve">a)  </w:t>
      </w:r>
      <w:r>
        <w:rPr>
          <w:spacing w:val="-6"/>
        </w:rPr>
        <w:t>输入的原因，例如正常的状态报告，更新数据的</w:t>
      </w:r>
      <w:r>
        <w:rPr>
          <w:spacing w:val="-7"/>
        </w:rPr>
        <w:t>需求；</w:t>
      </w:r>
    </w:p>
    <w:p w14:paraId="062B7408">
      <w:pPr>
        <w:pStyle w:val="2"/>
        <w:spacing w:before="100" w:line="212" w:lineRule="auto"/>
        <w:ind w:left="560"/>
      </w:pPr>
      <w:r>
        <w:rPr>
          <w:rFonts w:ascii="Times New Roman" w:hAnsi="Times New Roman" w:eastAsia="Times New Roman" w:cs="Times New Roman"/>
          <w:spacing w:val="-10"/>
        </w:rPr>
        <w:t xml:space="preserve">b)  </w:t>
      </w:r>
      <w:r>
        <w:rPr>
          <w:spacing w:val="-10"/>
        </w:rPr>
        <w:t>输入的频率，例如每月，根据要求；</w:t>
      </w:r>
    </w:p>
    <w:p w14:paraId="208AE7E0">
      <w:pPr>
        <w:pStyle w:val="2"/>
        <w:spacing w:before="100" w:line="212" w:lineRule="auto"/>
        <w:ind w:left="560"/>
      </w:pPr>
      <w:r>
        <w:rPr>
          <w:rFonts w:ascii="Times New Roman" w:hAnsi="Times New Roman" w:eastAsia="Times New Roman" w:cs="Times New Roman"/>
          <w:spacing w:val="-2"/>
        </w:rPr>
        <w:t>c)</w:t>
      </w:r>
      <w:r>
        <w:rPr>
          <w:rFonts w:ascii="Times New Roman" w:hAnsi="Times New Roman" w:eastAsia="Times New Roman" w:cs="Times New Roman"/>
          <w:spacing w:val="62"/>
        </w:rPr>
        <w:t xml:space="preserve"> </w:t>
      </w:r>
      <w:r>
        <w:rPr>
          <w:spacing w:val="-2"/>
        </w:rPr>
        <w:t>输入源，例如被授权生成输入的组织或站点；</w:t>
      </w:r>
    </w:p>
    <w:p w14:paraId="336FCA15">
      <w:pPr>
        <w:pStyle w:val="2"/>
        <w:spacing w:before="110" w:line="212" w:lineRule="auto"/>
        <w:ind w:left="560"/>
      </w:pPr>
      <w:r>
        <w:rPr>
          <w:rFonts w:ascii="Times New Roman" w:hAnsi="Times New Roman" w:eastAsia="Times New Roman" w:cs="Times New Roman"/>
          <w:spacing w:val="-6"/>
        </w:rPr>
        <w:t xml:space="preserve">d)  </w:t>
      </w:r>
      <w:r>
        <w:rPr>
          <w:spacing w:val="-6"/>
        </w:rPr>
        <w:t>输入的媒体，例如磁带；</w:t>
      </w:r>
    </w:p>
    <w:p w14:paraId="6DE3CA28">
      <w:pPr>
        <w:pStyle w:val="2"/>
        <w:spacing w:before="90"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76"/>
        </w:rPr>
        <w:t xml:space="preserve"> </w:t>
      </w:r>
      <w:r>
        <w:rPr>
          <w:spacing w:val="4"/>
        </w:rPr>
        <w:t>在输入的同时要求给出的其他有关输入；</w:t>
      </w:r>
    </w:p>
    <w:p w14:paraId="65611017">
      <w:pPr>
        <w:pStyle w:val="2"/>
        <w:spacing w:before="90" w:line="212" w:lineRule="auto"/>
        <w:ind w:left="560"/>
      </w:pPr>
      <w:r>
        <w:rPr>
          <w:rFonts w:ascii="Times New Roman" w:hAnsi="Times New Roman" w:eastAsia="Times New Roman" w:cs="Times New Roman"/>
          <w:spacing w:val="-8"/>
        </w:rPr>
        <w:t>f)</w:t>
      </w:r>
      <w:r>
        <w:rPr>
          <w:rFonts w:ascii="Times New Roman" w:hAnsi="Times New Roman" w:eastAsia="Times New Roman" w:cs="Times New Roman"/>
          <w:spacing w:val="60"/>
          <w:w w:val="101"/>
        </w:rPr>
        <w:t xml:space="preserve"> </w:t>
      </w:r>
      <w:r>
        <w:rPr>
          <w:spacing w:val="-8"/>
        </w:rPr>
        <w:t>其他适用的信息，例如优先级、保密性考虑。</w:t>
      </w:r>
    </w:p>
    <w:p w14:paraId="76C1E8FC">
      <w:pPr>
        <w:spacing w:before="129" w:line="222" w:lineRule="auto"/>
        <w:rPr>
          <w:rFonts w:ascii="黑体" w:hAnsi="黑体" w:eastAsia="黑体" w:cs="黑体"/>
          <w:sz w:val="27"/>
          <w:szCs w:val="27"/>
        </w:rPr>
      </w:pPr>
      <w:r>
        <w:rPr>
          <w:rFonts w:ascii="Arial" w:hAnsi="Arial" w:eastAsia="Arial" w:cs="Arial"/>
          <w:spacing w:val="1"/>
          <w:sz w:val="27"/>
          <w:szCs w:val="27"/>
        </w:rPr>
        <w:t xml:space="preserve">4.2.2     </w:t>
      </w:r>
      <w:r>
        <w:rPr>
          <w:rFonts w:ascii="黑体" w:hAnsi="黑体" w:eastAsia="黑体" w:cs="黑体"/>
          <w:spacing w:val="1"/>
          <w:sz w:val="27"/>
          <w:szCs w:val="27"/>
        </w:rPr>
        <w:t>输入格式</w:t>
      </w:r>
    </w:p>
    <w:p w14:paraId="1CC73396">
      <w:pPr>
        <w:pStyle w:val="2"/>
        <w:spacing w:before="86" w:line="280" w:lineRule="auto"/>
        <w:ind w:right="113" w:firstLine="560"/>
      </w:pPr>
      <w:r>
        <w:rPr>
          <w:spacing w:val="6"/>
        </w:rPr>
        <w:t>本条应说明在准备软件的输入时使用的布局格</w:t>
      </w:r>
      <w:r>
        <w:rPr>
          <w:spacing w:val="5"/>
        </w:rPr>
        <w:t>式，并应解释在每种格式的</w:t>
      </w:r>
      <w:r>
        <w:t xml:space="preserve"> </w:t>
      </w:r>
      <w:r>
        <w:rPr>
          <w:spacing w:val="3"/>
        </w:rPr>
        <w:t>不同条和不同行输入的信息。</w:t>
      </w:r>
    </w:p>
    <w:p w14:paraId="6947C465">
      <w:pPr>
        <w:spacing w:before="1" w:line="221" w:lineRule="auto"/>
        <w:rPr>
          <w:rFonts w:ascii="黑体" w:hAnsi="黑体" w:eastAsia="黑体" w:cs="黑体"/>
          <w:sz w:val="25"/>
          <w:szCs w:val="25"/>
        </w:rPr>
      </w:pPr>
      <w:r>
        <w:rPr>
          <w:rFonts w:ascii="黑体" w:hAnsi="黑体" w:eastAsia="黑体" w:cs="黑体"/>
          <w:spacing w:val="12"/>
          <w:sz w:val="25"/>
          <w:szCs w:val="25"/>
        </w:rPr>
        <w:t>4.2.3</w:t>
      </w:r>
      <w:r>
        <w:rPr>
          <w:rFonts w:ascii="黑体" w:hAnsi="黑体" w:eastAsia="黑体" w:cs="黑体"/>
          <w:spacing w:val="55"/>
          <w:sz w:val="25"/>
          <w:szCs w:val="25"/>
        </w:rPr>
        <w:t xml:space="preserve">  </w:t>
      </w:r>
      <w:r>
        <w:rPr>
          <w:rFonts w:ascii="黑体" w:hAnsi="黑体" w:eastAsia="黑体" w:cs="黑体"/>
          <w:spacing w:val="12"/>
          <w:sz w:val="25"/>
          <w:szCs w:val="25"/>
        </w:rPr>
        <w:t>组成规则</w:t>
      </w:r>
    </w:p>
    <w:p w14:paraId="77B797BB">
      <w:pPr>
        <w:pStyle w:val="2"/>
        <w:spacing w:before="111" w:line="267" w:lineRule="auto"/>
        <w:ind w:firstLine="560"/>
      </w:pPr>
      <w:r>
        <w:rPr>
          <w:spacing w:val="1"/>
        </w:rPr>
        <w:t>本条应描述在准备软件的输入时应遵守的规则和约定</w:t>
      </w:r>
      <w:r>
        <w:t xml:space="preserve">，还应说明语法规则、 </w:t>
      </w:r>
      <w:r>
        <w:rPr>
          <w:spacing w:val="4"/>
        </w:rPr>
        <w:t>标点符号的用法等。(若适用)规则应包括以下内</w:t>
      </w:r>
      <w:r>
        <w:rPr>
          <w:spacing w:val="3"/>
        </w:rPr>
        <w:t>容：</w:t>
      </w:r>
    </w:p>
    <w:p w14:paraId="7D592739">
      <w:pPr>
        <w:pStyle w:val="2"/>
        <w:spacing w:line="212" w:lineRule="auto"/>
        <w:ind w:left="560"/>
        <w:rPr>
          <w:sz w:val="25"/>
          <w:szCs w:val="25"/>
        </w:rPr>
      </w:pPr>
      <w:r>
        <w:rPr>
          <w:rFonts w:ascii="Times New Roman" w:hAnsi="Times New Roman" w:eastAsia="Times New Roman" w:cs="Times New Roman"/>
          <w:spacing w:val="18"/>
          <w:sz w:val="25"/>
          <w:szCs w:val="25"/>
        </w:rPr>
        <w:t xml:space="preserve">a)  </w:t>
      </w:r>
      <w:r>
        <w:rPr>
          <w:spacing w:val="18"/>
          <w:sz w:val="25"/>
          <w:szCs w:val="25"/>
        </w:rPr>
        <w:t>输入字符的长度，例如最多100个字符；</w:t>
      </w:r>
    </w:p>
    <w:p w14:paraId="4FD7DB32">
      <w:pPr>
        <w:pStyle w:val="2"/>
        <w:spacing w:before="102"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58"/>
        </w:rPr>
        <w:t xml:space="preserve"> </w:t>
      </w:r>
      <w:r>
        <w:rPr>
          <w:spacing w:val="-2"/>
        </w:rPr>
        <w:t>格式约定，例如所有的输入项必须左对</w:t>
      </w:r>
      <w:r>
        <w:rPr>
          <w:spacing w:val="-3"/>
        </w:rPr>
        <w:t>齐；</w:t>
      </w:r>
    </w:p>
    <w:p w14:paraId="3C71E613">
      <w:pPr>
        <w:pStyle w:val="2"/>
        <w:spacing w:before="110" w:line="212" w:lineRule="auto"/>
        <w:ind w:left="560"/>
      </w:pPr>
      <w:r>
        <w:rPr>
          <w:rFonts w:ascii="Times New Roman" w:hAnsi="Times New Roman" w:eastAsia="Times New Roman" w:cs="Times New Roman"/>
        </w:rPr>
        <w:t>c)</w:t>
      </w:r>
      <w:r>
        <w:rPr>
          <w:rFonts w:ascii="Times New Roman" w:hAnsi="Times New Roman" w:eastAsia="Times New Roman" w:cs="Times New Roman"/>
          <w:spacing w:val="52"/>
        </w:rPr>
        <w:t xml:space="preserve"> </w:t>
      </w:r>
      <w:r>
        <w:t>标记方法，例如指示软件的主要数据集合的标</w:t>
      </w:r>
      <w:r>
        <w:rPr>
          <w:spacing w:val="-1"/>
        </w:rPr>
        <w:t>识符的用法；</w:t>
      </w:r>
    </w:p>
    <w:p w14:paraId="35E26DFD">
      <w:pPr>
        <w:pStyle w:val="2"/>
        <w:spacing w:before="90" w:line="212" w:lineRule="auto"/>
        <w:ind w:left="560"/>
      </w:pPr>
      <w:r>
        <w:rPr>
          <w:rFonts w:ascii="Times New Roman" w:hAnsi="Times New Roman" w:eastAsia="Times New Roman" w:cs="Times New Roman"/>
          <w:spacing w:val="-3"/>
        </w:rPr>
        <w:t xml:space="preserve">d)  </w:t>
      </w:r>
      <w:r>
        <w:rPr>
          <w:spacing w:val="-3"/>
        </w:rPr>
        <w:t>次序，例如输入中各项的顺序和位置；</w:t>
      </w:r>
    </w:p>
    <w:p w14:paraId="0D74B96E">
      <w:pPr>
        <w:pStyle w:val="2"/>
        <w:spacing w:before="109" w:line="257" w:lineRule="auto"/>
        <w:ind w:right="117" w:firstLine="560"/>
      </w:pPr>
      <w:r>
        <w:rPr>
          <w:rFonts w:ascii="Times New Roman" w:hAnsi="Times New Roman" w:eastAsia="Times New Roman" w:cs="Times New Roman"/>
          <w:spacing w:val="3"/>
        </w:rPr>
        <w:t>e)</w:t>
      </w:r>
      <w:r>
        <w:rPr>
          <w:rFonts w:ascii="Times New Roman" w:hAnsi="Times New Roman" w:eastAsia="Times New Roman" w:cs="Times New Roman"/>
          <w:spacing w:val="69"/>
          <w:w w:val="101"/>
        </w:rPr>
        <w:t xml:space="preserve"> </w:t>
      </w:r>
      <w:r>
        <w:rPr>
          <w:spacing w:val="3"/>
        </w:rPr>
        <w:t>标点符号，例如指示输入、数据组和字段的开始和结束的空格符与符号</w:t>
      </w:r>
      <w:r>
        <w:t xml:space="preserve"> </w:t>
      </w:r>
      <w:r>
        <w:rPr>
          <w:spacing w:val="-13"/>
        </w:rPr>
        <w:t>(斜线、星号、字符组合等)的使用；</w:t>
      </w:r>
    </w:p>
    <w:p w14:paraId="090B7ECB">
      <w:pPr>
        <w:pStyle w:val="2"/>
        <w:spacing w:before="69" w:line="212" w:lineRule="auto"/>
        <w:ind w:left="560"/>
      </w:pPr>
      <w:r>
        <w:rPr>
          <w:rFonts w:ascii="Times New Roman" w:hAnsi="Times New Roman" w:eastAsia="Times New Roman" w:cs="Times New Roman"/>
          <w:spacing w:val="-2"/>
        </w:rPr>
        <w:t xml:space="preserve">f)  </w:t>
      </w:r>
      <w:r>
        <w:rPr>
          <w:spacing w:val="-2"/>
        </w:rPr>
        <w:t>制约，例如禁止使用特别字符或参数</w:t>
      </w:r>
      <w:r>
        <w:rPr>
          <w:spacing w:val="-3"/>
        </w:rPr>
        <w:t>集的规则。</w:t>
      </w:r>
    </w:p>
    <w:p w14:paraId="73AC4EAD">
      <w:pPr>
        <w:spacing w:before="128" w:line="222" w:lineRule="auto"/>
        <w:rPr>
          <w:rFonts w:ascii="黑体" w:hAnsi="黑体" w:eastAsia="黑体" w:cs="黑体"/>
          <w:sz w:val="25"/>
          <w:szCs w:val="25"/>
        </w:rPr>
      </w:pPr>
      <w:r>
        <w:rPr>
          <w:rFonts w:ascii="黑体" w:hAnsi="黑体" w:eastAsia="黑体" w:cs="黑体"/>
          <w:spacing w:val="11"/>
          <w:sz w:val="25"/>
          <w:szCs w:val="25"/>
        </w:rPr>
        <w:t>4.2.4</w:t>
      </w:r>
      <w:r>
        <w:rPr>
          <w:rFonts w:ascii="黑体" w:hAnsi="黑体" w:eastAsia="黑体" w:cs="黑体"/>
          <w:spacing w:val="56"/>
          <w:sz w:val="25"/>
          <w:szCs w:val="25"/>
        </w:rPr>
        <w:t xml:space="preserve">  </w:t>
      </w:r>
      <w:r>
        <w:rPr>
          <w:rFonts w:ascii="黑体" w:hAnsi="黑体" w:eastAsia="黑体" w:cs="黑体"/>
          <w:spacing w:val="11"/>
          <w:sz w:val="25"/>
          <w:szCs w:val="25"/>
        </w:rPr>
        <w:t>输入词汇</w:t>
      </w:r>
    </w:p>
    <w:p w14:paraId="6C5DA898">
      <w:pPr>
        <w:pStyle w:val="2"/>
        <w:spacing w:before="120" w:line="299" w:lineRule="auto"/>
        <w:ind w:right="124" w:firstLine="560"/>
        <w:rPr>
          <w:sz w:val="25"/>
          <w:szCs w:val="25"/>
        </w:rPr>
      </w:pPr>
      <w:r>
        <w:rPr>
          <w:spacing w:val="25"/>
          <w:sz w:val="25"/>
          <w:szCs w:val="25"/>
        </w:rPr>
        <w:t>本条应解释在准备软件的输入时必须使用的合法字符组合或编码。附录可</w:t>
      </w:r>
      <w:r>
        <w:rPr>
          <w:spacing w:val="9"/>
          <w:sz w:val="25"/>
          <w:szCs w:val="25"/>
        </w:rPr>
        <w:t xml:space="preserve"> </w:t>
      </w:r>
      <w:r>
        <w:rPr>
          <w:spacing w:val="22"/>
          <w:sz w:val="25"/>
          <w:szCs w:val="25"/>
        </w:rPr>
        <w:t>提供含有这些编码的有序列表。</w:t>
      </w:r>
    </w:p>
    <w:p w14:paraId="4268ACF4">
      <w:pPr>
        <w:spacing w:before="1" w:line="221" w:lineRule="auto"/>
        <w:rPr>
          <w:rFonts w:ascii="黑体" w:hAnsi="黑体" w:eastAsia="黑体" w:cs="黑体"/>
          <w:sz w:val="25"/>
          <w:szCs w:val="25"/>
        </w:rPr>
      </w:pPr>
      <w:r>
        <w:rPr>
          <w:rFonts w:ascii="黑体" w:hAnsi="黑体" w:eastAsia="黑体" w:cs="黑体"/>
          <w:spacing w:val="11"/>
          <w:sz w:val="25"/>
          <w:szCs w:val="25"/>
        </w:rPr>
        <w:t>4.2.5</w:t>
      </w:r>
      <w:r>
        <w:rPr>
          <w:rFonts w:ascii="黑体" w:hAnsi="黑体" w:eastAsia="黑体" w:cs="黑体"/>
          <w:spacing w:val="56"/>
          <w:sz w:val="25"/>
          <w:szCs w:val="25"/>
        </w:rPr>
        <w:t xml:space="preserve">  </w:t>
      </w:r>
      <w:r>
        <w:rPr>
          <w:rFonts w:ascii="黑体" w:hAnsi="黑体" w:eastAsia="黑体" w:cs="黑体"/>
          <w:spacing w:val="11"/>
          <w:sz w:val="25"/>
          <w:szCs w:val="25"/>
        </w:rPr>
        <w:t>输入样例</w:t>
      </w:r>
    </w:p>
    <w:p w14:paraId="24CA22EA">
      <w:pPr>
        <w:pStyle w:val="2"/>
        <w:spacing w:before="90" w:line="274" w:lineRule="auto"/>
        <w:ind w:right="75" w:firstLine="560"/>
      </w:pPr>
      <w:r>
        <w:rPr>
          <w:spacing w:val="7"/>
        </w:rPr>
        <w:t>本条应提供实例说明和解释软件可接受的每一</w:t>
      </w:r>
      <w:r>
        <w:rPr>
          <w:spacing w:val="6"/>
        </w:rPr>
        <w:t>输入类型或类别。(若适用)</w:t>
      </w:r>
      <w:r>
        <w:t xml:space="preserve"> </w:t>
      </w:r>
      <w:r>
        <w:rPr>
          <w:spacing w:val="1"/>
        </w:rPr>
        <w:t>应包括以下输入类型信息：</w:t>
      </w:r>
    </w:p>
    <w:p w14:paraId="78FE124F">
      <w:pPr>
        <w:pStyle w:val="2"/>
        <w:spacing w:line="212" w:lineRule="auto"/>
        <w:ind w:left="560"/>
      </w:pPr>
      <w:r>
        <w:rPr>
          <w:rFonts w:ascii="Times New Roman" w:hAnsi="Times New Roman" w:eastAsia="Times New Roman" w:cs="Times New Roman"/>
          <w:spacing w:val="2"/>
        </w:rPr>
        <w:t>a)</w:t>
      </w:r>
      <w:r>
        <w:rPr>
          <w:rFonts w:ascii="Times New Roman" w:hAnsi="Times New Roman" w:eastAsia="Times New Roman" w:cs="Times New Roman"/>
          <w:spacing w:val="72"/>
          <w:w w:val="101"/>
        </w:rPr>
        <w:t xml:space="preserve"> </w:t>
      </w:r>
      <w:r>
        <w:rPr>
          <w:spacing w:val="2"/>
        </w:rPr>
        <w:t>表示输入起点的首部；</w:t>
      </w:r>
    </w:p>
    <w:p w14:paraId="054C78CE">
      <w:pPr>
        <w:pStyle w:val="2"/>
        <w:spacing w:before="100"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输入的文本或主体；</w:t>
      </w:r>
    </w:p>
    <w:p w14:paraId="72AB213A">
      <w:pPr>
        <w:pStyle w:val="2"/>
        <w:spacing w:before="90" w:line="212" w:lineRule="auto"/>
        <w:ind w:left="560"/>
      </w:pPr>
      <w:r>
        <w:rPr>
          <w:rFonts w:ascii="Times New Roman" w:hAnsi="Times New Roman" w:eastAsia="Times New Roman" w:cs="Times New Roman"/>
          <w:spacing w:val="2"/>
        </w:rPr>
        <w:t>c)</w:t>
      </w:r>
      <w:r>
        <w:rPr>
          <w:rFonts w:ascii="Times New Roman" w:hAnsi="Times New Roman" w:eastAsia="Times New Roman" w:cs="Times New Roman"/>
          <w:spacing w:val="60"/>
          <w:w w:val="101"/>
        </w:rPr>
        <w:t xml:space="preserve"> </w:t>
      </w:r>
      <w:r>
        <w:rPr>
          <w:spacing w:val="2"/>
        </w:rPr>
        <w:t>表示输入结束的结束符；</w:t>
      </w:r>
    </w:p>
    <w:p w14:paraId="6224C28A">
      <w:pPr>
        <w:pStyle w:val="2"/>
        <w:spacing w:before="132" w:line="212" w:lineRule="auto"/>
        <w:ind w:left="560"/>
        <w:rPr>
          <w:sz w:val="24"/>
          <w:szCs w:val="24"/>
        </w:rPr>
      </w:pPr>
      <w:r>
        <w:rPr>
          <w:rFonts w:ascii="Times New Roman" w:hAnsi="Times New Roman" w:eastAsia="Times New Roman" w:cs="Times New Roman"/>
          <w:spacing w:val="26"/>
          <w:sz w:val="24"/>
          <w:szCs w:val="24"/>
        </w:rPr>
        <w:t>d)</w:t>
      </w:r>
      <w:r>
        <w:rPr>
          <w:rFonts w:ascii="Times New Roman" w:hAnsi="Times New Roman" w:eastAsia="Times New Roman" w:cs="Times New Roman"/>
          <w:spacing w:val="25"/>
          <w:sz w:val="24"/>
          <w:szCs w:val="24"/>
        </w:rPr>
        <w:t xml:space="preserve">  </w:t>
      </w:r>
      <w:r>
        <w:rPr>
          <w:spacing w:val="26"/>
          <w:sz w:val="24"/>
          <w:szCs w:val="24"/>
        </w:rPr>
        <w:t>输入中可被忽略的部分；</w:t>
      </w:r>
    </w:p>
    <w:p w14:paraId="2A07C842">
      <w:pPr>
        <w:spacing w:line="212" w:lineRule="auto"/>
        <w:rPr>
          <w:sz w:val="24"/>
          <w:szCs w:val="24"/>
        </w:rPr>
        <w:sectPr>
          <w:footerReference r:id="rId256" w:type="default"/>
          <w:pgSz w:w="11910" w:h="17130"/>
          <w:pgMar w:top="1396" w:right="1355" w:bottom="1726" w:left="1059" w:header="0" w:footer="1537" w:gutter="0"/>
          <w:cols w:space="720" w:num="1"/>
        </w:sectPr>
      </w:pPr>
    </w:p>
    <w:p w14:paraId="1D0C743C">
      <w:pPr>
        <w:pStyle w:val="2"/>
        <w:spacing w:before="75" w:line="219" w:lineRule="auto"/>
        <w:ind w:left="570"/>
      </w:pPr>
      <w:r>
        <w:rPr>
          <w:rFonts w:ascii="Times New Roman" w:hAnsi="Times New Roman" w:eastAsia="Times New Roman" w:cs="Times New Roman"/>
          <w:spacing w:val="6"/>
        </w:rPr>
        <w:t>e</w:t>
      </w:r>
      <w:r>
        <w:rPr>
          <w:rFonts w:ascii="Times New Roman" w:hAnsi="Times New Roman" w:eastAsia="Times New Roman" w:cs="Times New Roman"/>
          <w:spacing w:val="-17"/>
        </w:rPr>
        <w:t xml:space="preserve"> </w:t>
      </w:r>
      <w:r>
        <w:rPr>
          <w:spacing w:val="6"/>
        </w:rPr>
        <w:t>)输入中可被重复的部分。</w:t>
      </w:r>
    </w:p>
    <w:p w14:paraId="77720A7B">
      <w:pPr>
        <w:spacing w:before="83" w:line="222"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12"/>
          <w:sz w:val="27"/>
          <w:szCs w:val="27"/>
        </w:rPr>
        <w:t xml:space="preserve">  </w:t>
      </w:r>
      <w:r>
        <w:rPr>
          <w:rFonts w:ascii="黑体" w:hAnsi="黑体" w:eastAsia="黑体" w:cs="黑体"/>
          <w:b/>
          <w:bCs/>
          <w:spacing w:val="-1"/>
          <w:sz w:val="27"/>
          <w:szCs w:val="27"/>
        </w:rPr>
        <w:t>输出描述</w:t>
      </w:r>
    </w:p>
    <w:p w14:paraId="04677944">
      <w:pPr>
        <w:spacing w:before="104" w:line="221" w:lineRule="auto"/>
        <w:rPr>
          <w:rFonts w:ascii="黑体" w:hAnsi="黑体" w:eastAsia="黑体" w:cs="黑体"/>
          <w:sz w:val="27"/>
          <w:szCs w:val="27"/>
        </w:rPr>
      </w:pPr>
      <w:r>
        <w:rPr>
          <w:rFonts w:ascii="黑体" w:hAnsi="黑体" w:eastAsia="黑体" w:cs="黑体"/>
          <w:spacing w:val="-7"/>
          <w:sz w:val="27"/>
          <w:szCs w:val="27"/>
        </w:rPr>
        <w:t>4.3.1</w:t>
      </w:r>
      <w:r>
        <w:rPr>
          <w:rFonts w:ascii="黑体" w:hAnsi="黑体" w:eastAsia="黑体" w:cs="黑体"/>
          <w:spacing w:val="37"/>
          <w:sz w:val="27"/>
          <w:szCs w:val="27"/>
        </w:rPr>
        <w:t xml:space="preserve">  </w:t>
      </w:r>
      <w:r>
        <w:rPr>
          <w:rFonts w:ascii="黑体" w:hAnsi="黑体" w:eastAsia="黑体" w:cs="黑体"/>
          <w:b/>
          <w:bCs/>
          <w:spacing w:val="-7"/>
          <w:sz w:val="27"/>
          <w:szCs w:val="27"/>
        </w:rPr>
        <w:t>一般描述</w:t>
      </w:r>
    </w:p>
    <w:p w14:paraId="06FBF5F0">
      <w:pPr>
        <w:pStyle w:val="2"/>
        <w:spacing w:before="101" w:line="219" w:lineRule="auto"/>
        <w:ind w:left="570"/>
      </w:pPr>
      <w:r>
        <w:rPr>
          <w:spacing w:val="2"/>
        </w:rPr>
        <w:t>(若适用)本条应为每一类型或类别输出提供以下信息：</w:t>
      </w:r>
    </w:p>
    <w:p w14:paraId="5443E6AF">
      <w:pPr>
        <w:pStyle w:val="2"/>
        <w:spacing w:before="113" w:line="212" w:lineRule="auto"/>
        <w:ind w:left="570"/>
        <w:rPr>
          <w:sz w:val="24"/>
          <w:szCs w:val="24"/>
        </w:rPr>
      </w:pPr>
      <w:r>
        <w:rPr>
          <w:rFonts w:ascii="Times New Roman" w:hAnsi="Times New Roman" w:eastAsia="Times New Roman" w:cs="Times New Roman"/>
          <w:spacing w:val="23"/>
          <w:sz w:val="24"/>
          <w:szCs w:val="24"/>
        </w:rPr>
        <w:t xml:space="preserve">a)  </w:t>
      </w:r>
      <w:r>
        <w:rPr>
          <w:spacing w:val="23"/>
          <w:sz w:val="24"/>
          <w:szCs w:val="24"/>
        </w:rPr>
        <w:t>生成输出的原因；</w:t>
      </w:r>
    </w:p>
    <w:p w14:paraId="01AF706D">
      <w:pPr>
        <w:pStyle w:val="2"/>
        <w:spacing w:before="102" w:line="212" w:lineRule="auto"/>
        <w:ind w:left="570"/>
      </w:pPr>
      <w:r>
        <w:rPr>
          <w:rFonts w:ascii="Times New Roman" w:hAnsi="Times New Roman" w:eastAsia="Times New Roman" w:cs="Times New Roman"/>
          <w:spacing w:val="-11"/>
        </w:rPr>
        <w:t xml:space="preserve">b)  </w:t>
      </w:r>
      <w:r>
        <w:rPr>
          <w:spacing w:val="-11"/>
        </w:rPr>
        <w:t>输出频率，例如每月，根据要求；</w:t>
      </w:r>
    </w:p>
    <w:p w14:paraId="6FC73870">
      <w:pPr>
        <w:pStyle w:val="2"/>
        <w:spacing w:before="100" w:line="212" w:lineRule="auto"/>
        <w:ind w:left="570"/>
      </w:pPr>
      <w:r>
        <w:rPr>
          <w:rFonts w:ascii="Times New Roman" w:hAnsi="Times New Roman" w:eastAsia="Times New Roman" w:cs="Times New Roman"/>
          <w:spacing w:val="2"/>
        </w:rPr>
        <w:t xml:space="preserve">c)  </w:t>
      </w:r>
      <w:r>
        <w:rPr>
          <w:spacing w:val="2"/>
        </w:rPr>
        <w:t>可得到的基本输出的任何修改或变异；</w:t>
      </w:r>
    </w:p>
    <w:p w14:paraId="3BC466AC">
      <w:pPr>
        <w:pStyle w:val="2"/>
        <w:spacing w:before="100" w:line="212" w:lineRule="auto"/>
        <w:ind w:left="570"/>
      </w:pPr>
      <w:r>
        <w:rPr>
          <w:rFonts w:ascii="Times New Roman" w:hAnsi="Times New Roman" w:eastAsia="Times New Roman" w:cs="Times New Roman"/>
          <w:spacing w:val="-16"/>
        </w:rPr>
        <w:t xml:space="preserve">d)  </w:t>
      </w:r>
      <w:r>
        <w:rPr>
          <w:spacing w:val="-16"/>
        </w:rPr>
        <w:t>媒体，例如打印输出、显示屏幕、磁带；</w:t>
      </w:r>
    </w:p>
    <w:p w14:paraId="313DBE1D">
      <w:pPr>
        <w:pStyle w:val="2"/>
        <w:spacing w:before="110" w:line="212" w:lineRule="auto"/>
        <w:ind w:left="570"/>
      </w:pPr>
      <w:r>
        <w:rPr>
          <w:rFonts w:ascii="Times New Roman" w:hAnsi="Times New Roman" w:eastAsia="Times New Roman" w:cs="Times New Roman"/>
          <w:spacing w:val="-1"/>
        </w:rPr>
        <w:t xml:space="preserve">e)  </w:t>
      </w:r>
      <w:r>
        <w:rPr>
          <w:spacing w:val="-1"/>
        </w:rPr>
        <w:t>输出出现的地点，例如在计算机所在地域或远程地</w:t>
      </w:r>
      <w:r>
        <w:rPr>
          <w:spacing w:val="-2"/>
        </w:rPr>
        <w:t>域；</w:t>
      </w:r>
    </w:p>
    <w:p w14:paraId="471238B8">
      <w:pPr>
        <w:pStyle w:val="2"/>
        <w:spacing w:before="120" w:line="212" w:lineRule="auto"/>
        <w:ind w:left="570"/>
      </w:pPr>
      <w:r>
        <w:rPr>
          <w:rFonts w:ascii="Times New Roman" w:hAnsi="Times New Roman" w:eastAsia="Times New Roman" w:cs="Times New Roman"/>
          <w:spacing w:val="-8"/>
        </w:rPr>
        <w:t xml:space="preserve">f)  </w:t>
      </w:r>
      <w:r>
        <w:rPr>
          <w:spacing w:val="-8"/>
        </w:rPr>
        <w:t>其他特点，例如优先级、保密性考虑、补充输出信息的有关输出。</w:t>
      </w:r>
    </w:p>
    <w:p w14:paraId="79F5D9E2">
      <w:pPr>
        <w:spacing w:before="145" w:line="222" w:lineRule="auto"/>
        <w:rPr>
          <w:rFonts w:ascii="黑体" w:hAnsi="黑体" w:eastAsia="黑体" w:cs="黑体"/>
          <w:sz w:val="27"/>
          <w:szCs w:val="27"/>
        </w:rPr>
      </w:pPr>
      <w:r>
        <w:rPr>
          <w:rFonts w:ascii="黑体" w:hAnsi="黑体" w:eastAsia="黑体" w:cs="黑体"/>
          <w:spacing w:val="-3"/>
          <w:sz w:val="27"/>
          <w:szCs w:val="27"/>
        </w:rPr>
        <w:t>4.3.2</w:t>
      </w:r>
      <w:r>
        <w:rPr>
          <w:rFonts w:ascii="黑体" w:hAnsi="黑体" w:eastAsia="黑体" w:cs="黑体"/>
          <w:spacing w:val="23"/>
          <w:sz w:val="27"/>
          <w:szCs w:val="27"/>
        </w:rPr>
        <w:t xml:space="preserve">  </w:t>
      </w:r>
      <w:r>
        <w:rPr>
          <w:rFonts w:ascii="黑体" w:hAnsi="黑体" w:eastAsia="黑体" w:cs="黑体"/>
          <w:b/>
          <w:bCs/>
          <w:spacing w:val="-3"/>
          <w:sz w:val="27"/>
          <w:szCs w:val="27"/>
        </w:rPr>
        <w:t>输出格式</w:t>
      </w:r>
    </w:p>
    <w:p w14:paraId="0E378C0A">
      <w:pPr>
        <w:pStyle w:val="2"/>
        <w:spacing w:before="80" w:line="277" w:lineRule="auto"/>
        <w:ind w:right="9" w:firstLine="570"/>
      </w:pPr>
      <w:r>
        <w:rPr>
          <w:spacing w:val="5"/>
        </w:rPr>
        <w:t>本条应描述和解释从该软件输出的每一类型或类别的布局。(若适用)应解</w:t>
      </w:r>
      <w:r>
        <w:rPr>
          <w:spacing w:val="3"/>
        </w:rPr>
        <w:t xml:space="preserve"> </w:t>
      </w:r>
      <w:r>
        <w:rPr>
          <w:spacing w:val="-3"/>
        </w:rPr>
        <w:t>释下列方面：</w:t>
      </w:r>
    </w:p>
    <w:p w14:paraId="2299112E">
      <w:pPr>
        <w:pStyle w:val="2"/>
        <w:spacing w:line="212" w:lineRule="auto"/>
        <w:ind w:left="570"/>
      </w:pPr>
      <w:r>
        <w:rPr>
          <w:rFonts w:ascii="Times New Roman" w:hAnsi="Times New Roman" w:eastAsia="Times New Roman" w:cs="Times New Roman"/>
          <w:spacing w:val="1"/>
        </w:rPr>
        <w:t xml:space="preserve">a)  </w:t>
      </w:r>
      <w:r>
        <w:rPr>
          <w:spacing w:val="1"/>
        </w:rPr>
        <w:t>保密性标志；</w:t>
      </w:r>
    </w:p>
    <w:p w14:paraId="62EB5E7C">
      <w:pPr>
        <w:pStyle w:val="2"/>
        <w:spacing w:before="120" w:line="212" w:lineRule="auto"/>
        <w:ind w:left="570"/>
      </w:pPr>
      <w:r>
        <w:rPr>
          <w:rFonts w:ascii="Times New Roman" w:hAnsi="Times New Roman" w:eastAsia="Times New Roman" w:cs="Times New Roman"/>
          <w:spacing w:val="1"/>
        </w:rPr>
        <w:t xml:space="preserve">b)  </w:t>
      </w:r>
      <w:r>
        <w:rPr>
          <w:spacing w:val="1"/>
        </w:rPr>
        <w:t>可能出现在首部的数据；</w:t>
      </w:r>
    </w:p>
    <w:p w14:paraId="21EF0397">
      <w:pPr>
        <w:pStyle w:val="2"/>
        <w:spacing w:before="110" w:line="212" w:lineRule="auto"/>
        <w:ind w:left="570"/>
      </w:pPr>
      <w:r>
        <w:rPr>
          <w:rFonts w:ascii="Times New Roman" w:hAnsi="Times New Roman" w:eastAsia="Times New Roman" w:cs="Times New Roman"/>
          <w:spacing w:val="3"/>
        </w:rPr>
        <w:t xml:space="preserve">c)  </w:t>
      </w:r>
      <w:r>
        <w:rPr>
          <w:spacing w:val="3"/>
        </w:rPr>
        <w:t>可能出现在输出的正文主体或文本中的信息；</w:t>
      </w:r>
    </w:p>
    <w:p w14:paraId="267F89DC">
      <w:pPr>
        <w:pStyle w:val="2"/>
        <w:spacing w:before="100" w:line="212" w:lineRule="auto"/>
        <w:ind w:left="570"/>
      </w:pPr>
      <w:r>
        <w:rPr>
          <w:rFonts w:ascii="Times New Roman" w:hAnsi="Times New Roman" w:eastAsia="Times New Roman" w:cs="Times New Roman"/>
          <w:spacing w:val="1"/>
        </w:rPr>
        <w:t xml:space="preserve">d)  </w:t>
      </w:r>
      <w:r>
        <w:rPr>
          <w:spacing w:val="1"/>
        </w:rPr>
        <w:t>可能出现在尾部的数据；</w:t>
      </w:r>
    </w:p>
    <w:p w14:paraId="22C18FB4">
      <w:pPr>
        <w:pStyle w:val="2"/>
        <w:spacing w:before="110" w:line="212" w:lineRule="auto"/>
        <w:ind w:left="570"/>
      </w:pPr>
      <w:r>
        <w:rPr>
          <w:rFonts w:ascii="Times New Roman" w:hAnsi="Times New Roman" w:eastAsia="Times New Roman" w:cs="Times New Roman"/>
          <w:spacing w:val="-5"/>
        </w:rPr>
        <w:t xml:space="preserve">e)  </w:t>
      </w:r>
      <w:r>
        <w:rPr>
          <w:spacing w:val="-5"/>
        </w:rPr>
        <w:t>其他特性，例如特殊符号的含义。</w:t>
      </w:r>
    </w:p>
    <w:p w14:paraId="6DDFE69F">
      <w:pPr>
        <w:spacing w:before="135" w:line="222" w:lineRule="auto"/>
        <w:rPr>
          <w:rFonts w:ascii="黑体" w:hAnsi="黑体" w:eastAsia="黑体" w:cs="黑体"/>
          <w:sz w:val="27"/>
          <w:szCs w:val="27"/>
        </w:rPr>
      </w:pPr>
      <w:r>
        <w:rPr>
          <w:rFonts w:ascii="黑体" w:hAnsi="黑体" w:eastAsia="黑体" w:cs="黑体"/>
          <w:spacing w:val="-1"/>
          <w:sz w:val="27"/>
          <w:szCs w:val="27"/>
        </w:rPr>
        <w:t>4.3.3</w:t>
      </w:r>
      <w:r>
        <w:rPr>
          <w:rFonts w:ascii="黑体" w:hAnsi="黑体" w:eastAsia="黑体" w:cs="黑体"/>
          <w:spacing w:val="23"/>
          <w:sz w:val="27"/>
          <w:szCs w:val="27"/>
        </w:rPr>
        <w:t xml:space="preserve">  </w:t>
      </w:r>
      <w:r>
        <w:rPr>
          <w:rFonts w:ascii="黑体" w:hAnsi="黑体" w:eastAsia="黑体" w:cs="黑体"/>
          <w:b/>
          <w:bCs/>
          <w:spacing w:val="-1"/>
          <w:sz w:val="27"/>
          <w:szCs w:val="27"/>
        </w:rPr>
        <w:t>输出样例</w:t>
      </w:r>
    </w:p>
    <w:p w14:paraId="309A2DDD">
      <w:pPr>
        <w:pStyle w:val="2"/>
        <w:spacing w:before="98" w:line="281" w:lineRule="auto"/>
        <w:ind w:right="7" w:firstLine="570"/>
      </w:pPr>
      <w:r>
        <w:rPr>
          <w:spacing w:val="23"/>
        </w:rPr>
        <w:t>本条应描述软件每一类型或类别的输出。(若适用)每个样例的</w:t>
      </w:r>
      <w:r>
        <w:rPr>
          <w:spacing w:val="22"/>
        </w:rPr>
        <w:t>描述应</w:t>
      </w:r>
      <w:r>
        <w:t xml:space="preserve"> </w:t>
      </w:r>
      <w:r>
        <w:rPr>
          <w:spacing w:val="-6"/>
        </w:rPr>
        <w:t>提供：</w:t>
      </w:r>
    </w:p>
    <w:p w14:paraId="2C17E995">
      <w:pPr>
        <w:pStyle w:val="2"/>
        <w:spacing w:line="212" w:lineRule="auto"/>
        <w:ind w:left="570"/>
      </w:pPr>
      <w:r>
        <w:rPr>
          <w:rFonts w:ascii="Times New Roman" w:hAnsi="Times New Roman" w:eastAsia="Times New Roman" w:cs="Times New Roman"/>
          <w:spacing w:val="-5"/>
        </w:rPr>
        <w:t xml:space="preserve">a)  </w:t>
      </w:r>
      <w:r>
        <w:rPr>
          <w:spacing w:val="-5"/>
        </w:rPr>
        <w:t>每一列、每个条目的含义与使用；</w:t>
      </w:r>
    </w:p>
    <w:p w14:paraId="7EC6B6D3">
      <w:pPr>
        <w:pStyle w:val="2"/>
        <w:spacing w:before="110" w:line="212" w:lineRule="auto"/>
        <w:ind w:left="570"/>
      </w:pPr>
      <w:r>
        <w:rPr>
          <w:rFonts w:ascii="Times New Roman" w:hAnsi="Times New Roman" w:eastAsia="Times New Roman" w:cs="Times New Roman"/>
          <w:spacing w:val="-2"/>
        </w:rPr>
        <w:t xml:space="preserve">b)  </w:t>
      </w:r>
      <w:r>
        <w:rPr>
          <w:spacing w:val="-2"/>
        </w:rPr>
        <w:t>来源，例如是从数据库抽取的还是由计算得到的；</w:t>
      </w:r>
    </w:p>
    <w:p w14:paraId="0A1AA6CA">
      <w:pPr>
        <w:pStyle w:val="2"/>
        <w:spacing w:before="110" w:line="212" w:lineRule="auto"/>
        <w:ind w:left="570"/>
      </w:pPr>
      <w:r>
        <w:rPr>
          <w:rFonts w:ascii="Times New Roman" w:hAnsi="Times New Roman" w:eastAsia="Times New Roman" w:cs="Times New Roman"/>
          <w:spacing w:val="-12"/>
        </w:rPr>
        <w:t xml:space="preserve">c)  </w:t>
      </w:r>
      <w:r>
        <w:rPr>
          <w:spacing w:val="-12"/>
        </w:rPr>
        <w:t>特征，例如何时可忽略、值的范围</w:t>
      </w:r>
      <w:r>
        <w:rPr>
          <w:spacing w:val="-13"/>
        </w:rPr>
        <w:t>、计量单位。</w:t>
      </w:r>
    </w:p>
    <w:p w14:paraId="740BA447">
      <w:pPr>
        <w:spacing w:before="164" w:line="222" w:lineRule="auto"/>
        <w:rPr>
          <w:rFonts w:ascii="黑体" w:hAnsi="黑体" w:eastAsia="黑体" w:cs="黑体"/>
          <w:sz w:val="24"/>
          <w:szCs w:val="24"/>
        </w:rPr>
      </w:pPr>
      <w:r>
        <w:rPr>
          <w:rFonts w:ascii="黑体" w:hAnsi="黑体" w:eastAsia="黑体" w:cs="黑体"/>
          <w:spacing w:val="13"/>
          <w:sz w:val="24"/>
          <w:szCs w:val="24"/>
        </w:rPr>
        <w:t>4.3.4</w:t>
      </w:r>
      <w:r>
        <w:rPr>
          <w:rFonts w:ascii="黑体" w:hAnsi="黑体" w:eastAsia="黑体" w:cs="黑体"/>
          <w:spacing w:val="8"/>
          <w:sz w:val="24"/>
          <w:szCs w:val="24"/>
        </w:rPr>
        <w:t xml:space="preserve">   </w:t>
      </w:r>
      <w:r>
        <w:rPr>
          <w:rFonts w:ascii="黑体" w:hAnsi="黑体" w:eastAsia="黑体" w:cs="黑体"/>
          <w:b/>
          <w:bCs/>
          <w:spacing w:val="13"/>
          <w:sz w:val="24"/>
          <w:szCs w:val="24"/>
        </w:rPr>
        <w:t>输出词汇</w:t>
      </w:r>
    </w:p>
    <w:p w14:paraId="4DB9975C">
      <w:pPr>
        <w:pStyle w:val="2"/>
        <w:spacing w:before="105" w:line="313" w:lineRule="auto"/>
        <w:ind w:firstLine="570"/>
        <w:rPr>
          <w:sz w:val="25"/>
          <w:szCs w:val="25"/>
        </w:rPr>
      </w:pPr>
      <w:r>
        <w:rPr>
          <w:spacing w:val="28"/>
          <w:sz w:val="25"/>
          <w:szCs w:val="25"/>
        </w:rPr>
        <w:t>本条应描述出现在输出中所有编码或缩略语，这些词汇与</w:t>
      </w:r>
      <w:r>
        <w:rPr>
          <w:spacing w:val="27"/>
          <w:sz w:val="25"/>
          <w:szCs w:val="25"/>
        </w:rPr>
        <w:t>4.2.4中描述的</w:t>
      </w:r>
      <w:r>
        <w:rPr>
          <w:sz w:val="25"/>
          <w:szCs w:val="25"/>
        </w:rPr>
        <w:t xml:space="preserve"> </w:t>
      </w:r>
      <w:r>
        <w:rPr>
          <w:spacing w:val="22"/>
          <w:sz w:val="25"/>
          <w:szCs w:val="25"/>
        </w:rPr>
        <w:t>输入中所使用的不同。</w:t>
      </w:r>
    </w:p>
    <w:p w14:paraId="477408F6">
      <w:pPr>
        <w:spacing w:before="1" w:line="221" w:lineRule="auto"/>
        <w:rPr>
          <w:rFonts w:ascii="黑体" w:hAnsi="黑体" w:eastAsia="黑体" w:cs="黑体"/>
          <w:sz w:val="27"/>
          <w:szCs w:val="27"/>
        </w:rPr>
      </w:pPr>
      <w:r>
        <w:rPr>
          <w:rFonts w:ascii="黑体" w:hAnsi="黑体" w:eastAsia="黑体" w:cs="黑体"/>
          <w:spacing w:val="5"/>
          <w:sz w:val="27"/>
          <w:szCs w:val="27"/>
        </w:rPr>
        <w:t xml:space="preserve">4.4  </w:t>
      </w:r>
      <w:r>
        <w:rPr>
          <w:rFonts w:ascii="黑体" w:hAnsi="黑体" w:eastAsia="黑体" w:cs="黑体"/>
          <w:b/>
          <w:bCs/>
          <w:spacing w:val="5"/>
          <w:sz w:val="27"/>
          <w:szCs w:val="27"/>
        </w:rPr>
        <w:t>输出的使用</w:t>
      </w:r>
    </w:p>
    <w:p w14:paraId="13016F0C">
      <w:pPr>
        <w:pStyle w:val="2"/>
        <w:spacing w:before="109" w:line="219" w:lineRule="auto"/>
        <w:ind w:left="570"/>
      </w:pPr>
      <w:r>
        <w:rPr>
          <w:spacing w:val="5"/>
        </w:rPr>
        <w:t>本条应按运行范围或接收输出的活动来描述输出的使</w:t>
      </w:r>
      <w:r>
        <w:rPr>
          <w:spacing w:val="4"/>
        </w:rPr>
        <w:t>用。</w:t>
      </w:r>
    </w:p>
    <w:p w14:paraId="1427C6BB">
      <w:pPr>
        <w:spacing w:before="106" w:line="222" w:lineRule="auto"/>
        <w:rPr>
          <w:rFonts w:ascii="黑体" w:hAnsi="黑体" w:eastAsia="黑体" w:cs="黑体"/>
          <w:sz w:val="27"/>
          <w:szCs w:val="27"/>
        </w:rPr>
      </w:pPr>
      <w:r>
        <w:rPr>
          <w:rFonts w:ascii="黑体" w:hAnsi="黑体" w:eastAsia="黑体" w:cs="黑体"/>
          <w:spacing w:val="2"/>
          <w:sz w:val="27"/>
          <w:szCs w:val="27"/>
        </w:rPr>
        <w:t xml:space="preserve">4.5  </w:t>
      </w:r>
      <w:r>
        <w:rPr>
          <w:rFonts w:ascii="黑体" w:hAnsi="黑体" w:eastAsia="黑体" w:cs="黑体"/>
          <w:b/>
          <w:bCs/>
          <w:spacing w:val="2"/>
          <w:sz w:val="27"/>
          <w:szCs w:val="27"/>
        </w:rPr>
        <w:t>恢复和错误纠正规程</w:t>
      </w:r>
    </w:p>
    <w:p w14:paraId="315E2DD2">
      <w:pPr>
        <w:pStyle w:val="2"/>
        <w:spacing w:before="119" w:line="276" w:lineRule="auto"/>
        <w:ind w:right="3" w:firstLine="570"/>
        <w:jc w:val="both"/>
      </w:pPr>
      <w:r>
        <w:rPr>
          <w:spacing w:val="-3"/>
        </w:rPr>
        <w:t>本条应列出软件产生的错误代码，给出它们的含义，描述用户应采取的纠正</w:t>
      </w:r>
      <w:r>
        <w:rPr>
          <w:spacing w:val="3"/>
        </w:rPr>
        <w:t xml:space="preserve"> </w:t>
      </w:r>
      <w:r>
        <w:rPr>
          <w:spacing w:val="5"/>
        </w:rPr>
        <w:t>动作。本条还应包含用户应遵守的重启、恢复和紧急事件下连续性运行方面的</w:t>
      </w:r>
      <w:r>
        <w:rPr>
          <w:spacing w:val="10"/>
        </w:rPr>
        <w:t xml:space="preserve"> </w:t>
      </w:r>
      <w:r>
        <w:rPr>
          <w:spacing w:val="-6"/>
        </w:rPr>
        <w:t>规程。</w:t>
      </w:r>
    </w:p>
    <w:p w14:paraId="34899902">
      <w:pPr>
        <w:spacing w:line="276" w:lineRule="auto"/>
        <w:sectPr>
          <w:footerReference r:id="rId257" w:type="default"/>
          <w:pgSz w:w="11910" w:h="17130"/>
          <w:pgMar w:top="1456" w:right="1210" w:bottom="1623" w:left="1309" w:header="0" w:footer="1425" w:gutter="0"/>
          <w:cols w:space="720" w:num="1"/>
        </w:sectPr>
      </w:pPr>
    </w:p>
    <w:p w14:paraId="7E9557F4">
      <w:pPr>
        <w:spacing w:before="54" w:line="221" w:lineRule="auto"/>
        <w:ind w:left="135"/>
        <w:rPr>
          <w:rFonts w:ascii="黑体" w:hAnsi="黑体" w:eastAsia="黑体" w:cs="黑体"/>
          <w:sz w:val="27"/>
          <w:szCs w:val="27"/>
        </w:rPr>
      </w:pPr>
      <w:r>
        <w:rPr>
          <w:rFonts w:ascii="黑体" w:hAnsi="黑体" w:eastAsia="黑体" w:cs="黑体"/>
          <w:spacing w:val="1"/>
          <w:sz w:val="27"/>
          <w:szCs w:val="27"/>
        </w:rPr>
        <w:t xml:space="preserve">4.6  </w:t>
      </w:r>
      <w:r>
        <w:rPr>
          <w:rFonts w:ascii="黑体" w:hAnsi="黑体" w:eastAsia="黑体" w:cs="黑体"/>
          <w:b/>
          <w:bCs/>
          <w:spacing w:val="1"/>
          <w:sz w:val="27"/>
          <w:szCs w:val="27"/>
        </w:rPr>
        <w:t>通信诊断</w:t>
      </w:r>
    </w:p>
    <w:p w14:paraId="3DA42020">
      <w:pPr>
        <w:pStyle w:val="2"/>
        <w:spacing w:before="91" w:line="219" w:lineRule="auto"/>
        <w:ind w:left="695"/>
      </w:pPr>
      <w:r>
        <w:rPr>
          <w:spacing w:val="4"/>
        </w:rPr>
        <w:t>本条应描述针对通信确认和问题识别与分类方面用户可用的诊断规程。</w:t>
      </w:r>
    </w:p>
    <w:p w14:paraId="2FE3DA17">
      <w:pPr>
        <w:spacing w:before="85" w:line="222" w:lineRule="auto"/>
        <w:ind w:left="135"/>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21"/>
          <w:sz w:val="27"/>
          <w:szCs w:val="27"/>
        </w:rPr>
        <w:t xml:space="preserve">  </w:t>
      </w:r>
      <w:r>
        <w:rPr>
          <w:rFonts w:ascii="黑体" w:hAnsi="黑体" w:eastAsia="黑体" w:cs="黑体"/>
          <w:b/>
          <w:bCs/>
          <w:spacing w:val="-1"/>
          <w:sz w:val="27"/>
          <w:szCs w:val="27"/>
        </w:rPr>
        <w:t>查询规程</w:t>
      </w:r>
    </w:p>
    <w:p w14:paraId="26CE9D0F">
      <w:pPr>
        <w:spacing w:before="125" w:line="222" w:lineRule="auto"/>
        <w:ind w:left="135"/>
        <w:rPr>
          <w:rFonts w:ascii="黑体" w:hAnsi="黑体" w:eastAsia="黑体" w:cs="黑体"/>
          <w:sz w:val="27"/>
          <w:szCs w:val="27"/>
        </w:rPr>
      </w:pPr>
      <w:r>
        <w:rPr>
          <w:rFonts w:ascii="黑体" w:hAnsi="黑体" w:eastAsia="黑体" w:cs="黑体"/>
          <w:spacing w:val="3"/>
          <w:sz w:val="27"/>
          <w:szCs w:val="27"/>
        </w:rPr>
        <w:t xml:space="preserve">5.1  </w:t>
      </w:r>
      <w:r>
        <w:rPr>
          <w:rFonts w:ascii="黑体" w:hAnsi="黑体" w:eastAsia="黑体" w:cs="黑体"/>
          <w:b/>
          <w:bCs/>
          <w:spacing w:val="3"/>
          <w:sz w:val="27"/>
          <w:szCs w:val="27"/>
        </w:rPr>
        <w:t>数据库/数据文件格式</w:t>
      </w:r>
    </w:p>
    <w:p w14:paraId="09A3B973">
      <w:pPr>
        <w:pStyle w:val="2"/>
        <w:spacing w:before="38" w:line="305" w:lineRule="auto"/>
        <w:ind w:left="135" w:right="124" w:firstLine="560"/>
      </w:pPr>
      <w:r>
        <w:rPr>
          <w:spacing w:val="5"/>
        </w:rPr>
        <w:t>本条应提供能被查询的数据库/数据文件的内容与格式的用户</w:t>
      </w:r>
      <w:r>
        <w:rPr>
          <w:spacing w:val="4"/>
        </w:rPr>
        <w:t>视图。(若适</w:t>
      </w:r>
      <w:r>
        <w:t xml:space="preserve"> </w:t>
      </w:r>
      <w:r>
        <w:rPr>
          <w:spacing w:val="2"/>
        </w:rPr>
        <w:t>用)应为每个数据元素提供以下信息：</w:t>
      </w:r>
    </w:p>
    <w:p w14:paraId="62E5281E">
      <w:pPr>
        <w:pStyle w:val="2"/>
        <w:spacing w:before="1" w:line="219" w:lineRule="auto"/>
        <w:ind w:left="695"/>
      </w:pPr>
      <w:r>
        <w:rPr>
          <w:rFonts w:ascii="Times New Roman" w:hAnsi="Times New Roman" w:eastAsia="Times New Roman" w:cs="Times New Roman"/>
          <w:spacing w:val="10"/>
        </w:rPr>
        <w:t>a</w:t>
      </w:r>
      <w:r>
        <w:rPr>
          <w:spacing w:val="10"/>
        </w:rPr>
        <w:t>)数据元素名；</w:t>
      </w:r>
    </w:p>
    <w:p w14:paraId="6B473CAC">
      <w:pPr>
        <w:pStyle w:val="2"/>
        <w:spacing w:before="69" w:line="212" w:lineRule="auto"/>
        <w:ind w:left="695"/>
      </w:pPr>
      <w:r>
        <w:rPr>
          <w:rFonts w:ascii="Times New Roman" w:hAnsi="Times New Roman" w:eastAsia="Times New Roman" w:cs="Times New Roman"/>
          <w:spacing w:val="-1"/>
        </w:rPr>
        <w:t xml:space="preserve">b)  </w:t>
      </w:r>
      <w:r>
        <w:rPr>
          <w:spacing w:val="-1"/>
        </w:rPr>
        <w:t>同义名；</w:t>
      </w:r>
    </w:p>
    <w:p w14:paraId="5B6495B5">
      <w:pPr>
        <w:pStyle w:val="2"/>
        <w:spacing w:before="100" w:line="212" w:lineRule="auto"/>
        <w:ind w:left="695"/>
      </w:pPr>
      <w:r>
        <w:rPr>
          <w:rFonts w:ascii="Times New Roman" w:hAnsi="Times New Roman" w:eastAsia="Times New Roman" w:cs="Times New Roman"/>
          <w:spacing w:val="1"/>
        </w:rPr>
        <w:t>c)</w:t>
      </w:r>
      <w:r>
        <w:rPr>
          <w:rFonts w:ascii="Times New Roman" w:hAnsi="Times New Roman" w:eastAsia="Times New Roman" w:cs="Times New Roman"/>
          <w:spacing w:val="52"/>
        </w:rPr>
        <w:t xml:space="preserve"> </w:t>
      </w:r>
      <w:r>
        <w:rPr>
          <w:spacing w:val="1"/>
        </w:rPr>
        <w:t>定义；</w:t>
      </w:r>
    </w:p>
    <w:p w14:paraId="5C87DE4C">
      <w:pPr>
        <w:pStyle w:val="2"/>
        <w:spacing w:before="120" w:line="212" w:lineRule="auto"/>
        <w:ind w:left="695"/>
      </w:pPr>
      <w:r>
        <w:rPr>
          <w:rFonts w:ascii="Times New Roman" w:hAnsi="Times New Roman" w:eastAsia="Times New Roman" w:cs="Times New Roman"/>
          <w:spacing w:val="-1"/>
        </w:rPr>
        <w:t>d)</w:t>
      </w:r>
      <w:r>
        <w:rPr>
          <w:rFonts w:ascii="Times New Roman" w:hAnsi="Times New Roman" w:eastAsia="Times New Roman" w:cs="Times New Roman"/>
          <w:spacing w:val="66"/>
        </w:rPr>
        <w:t xml:space="preserve"> </w:t>
      </w:r>
      <w:r>
        <w:rPr>
          <w:spacing w:val="-1"/>
        </w:rPr>
        <w:t>格式；</w:t>
      </w:r>
    </w:p>
    <w:p w14:paraId="669DCD3A">
      <w:pPr>
        <w:pStyle w:val="2"/>
        <w:spacing w:before="128" w:line="219" w:lineRule="auto"/>
        <w:ind w:left="695"/>
      </w:pPr>
      <w:r>
        <w:rPr>
          <w:rFonts w:ascii="Times New Roman" w:hAnsi="Times New Roman" w:eastAsia="Times New Roman" w:cs="Times New Roman"/>
          <w:spacing w:val="5"/>
        </w:rPr>
        <w:t>e</w:t>
      </w:r>
      <w:r>
        <w:rPr>
          <w:rFonts w:ascii="Times New Roman" w:hAnsi="Times New Roman" w:eastAsia="Times New Roman" w:cs="Times New Roman"/>
          <w:spacing w:val="-19"/>
        </w:rPr>
        <w:t xml:space="preserve"> </w:t>
      </w:r>
      <w:r>
        <w:rPr>
          <w:spacing w:val="5"/>
        </w:rPr>
        <w:t>)取值范围和值的枚举；</w:t>
      </w:r>
    </w:p>
    <w:p w14:paraId="3B8BA0BB">
      <w:pPr>
        <w:pStyle w:val="2"/>
        <w:spacing w:before="71" w:line="212" w:lineRule="auto"/>
        <w:ind w:left="695"/>
      </w:pPr>
      <w:r>
        <w:rPr>
          <w:rFonts w:ascii="Times New Roman" w:hAnsi="Times New Roman" w:eastAsia="Times New Roman" w:cs="Times New Roman"/>
          <w:spacing w:val="2"/>
        </w:rPr>
        <w:t>f)</w:t>
      </w:r>
      <w:r>
        <w:rPr>
          <w:rFonts w:ascii="Times New Roman" w:hAnsi="Times New Roman" w:eastAsia="Times New Roman" w:cs="Times New Roman"/>
          <w:spacing w:val="63"/>
        </w:rPr>
        <w:t xml:space="preserve"> </w:t>
      </w:r>
      <w:r>
        <w:rPr>
          <w:spacing w:val="2"/>
        </w:rPr>
        <w:t>计量单位；</w:t>
      </w:r>
    </w:p>
    <w:p w14:paraId="0F6C8401">
      <w:pPr>
        <w:pStyle w:val="2"/>
        <w:spacing w:before="110" w:line="212" w:lineRule="auto"/>
        <w:ind w:left="695"/>
      </w:pPr>
      <w:r>
        <w:rPr>
          <w:rFonts w:ascii="Times New Roman" w:hAnsi="Times New Roman" w:eastAsia="Times New Roman" w:cs="Times New Roman"/>
        </w:rPr>
        <w:t>g</w:t>
      </w:r>
      <w:r>
        <w:t>)数据项名、缩略名和编码。</w:t>
      </w:r>
    </w:p>
    <w:p w14:paraId="18EBA0AE">
      <w:pPr>
        <w:spacing w:before="154" w:line="222" w:lineRule="auto"/>
        <w:ind w:left="135"/>
        <w:rPr>
          <w:rFonts w:ascii="黑体" w:hAnsi="黑体" w:eastAsia="黑体" w:cs="黑体"/>
          <w:sz w:val="24"/>
          <w:szCs w:val="24"/>
        </w:rPr>
      </w:pPr>
      <w:r>
        <w:rPr>
          <w:rFonts w:ascii="黑体" w:hAnsi="黑体" w:eastAsia="黑体" w:cs="黑体"/>
          <w:spacing w:val="18"/>
          <w:sz w:val="24"/>
          <w:szCs w:val="24"/>
        </w:rPr>
        <w:t>5.2</w:t>
      </w:r>
      <w:r>
        <w:rPr>
          <w:rFonts w:ascii="黑体" w:hAnsi="黑体" w:eastAsia="黑体" w:cs="黑体"/>
          <w:spacing w:val="45"/>
          <w:sz w:val="24"/>
          <w:szCs w:val="24"/>
        </w:rPr>
        <w:t xml:space="preserve">  </w:t>
      </w:r>
      <w:r>
        <w:rPr>
          <w:rFonts w:ascii="黑体" w:hAnsi="黑体" w:eastAsia="黑体" w:cs="黑体"/>
          <w:b/>
          <w:bCs/>
          <w:spacing w:val="18"/>
          <w:sz w:val="24"/>
          <w:szCs w:val="24"/>
        </w:rPr>
        <w:t>查询能力</w:t>
      </w:r>
    </w:p>
    <w:p w14:paraId="67553159">
      <w:pPr>
        <w:pStyle w:val="2"/>
        <w:spacing w:before="116" w:line="219" w:lineRule="auto"/>
        <w:ind w:left="695"/>
        <w:rPr>
          <w:sz w:val="25"/>
          <w:szCs w:val="25"/>
        </w:rPr>
      </w:pPr>
      <w:r>
        <w:rPr>
          <w:spacing w:val="24"/>
          <w:sz w:val="25"/>
          <w:szCs w:val="25"/>
        </w:rPr>
        <w:t>本条应标识和描述软件提供的预排程序的查询能力和特别的查询能力。</w:t>
      </w:r>
    </w:p>
    <w:p w14:paraId="20CB3C2C">
      <w:pPr>
        <w:spacing w:before="151" w:line="222" w:lineRule="auto"/>
        <w:ind w:left="135"/>
        <w:rPr>
          <w:rFonts w:ascii="黑体" w:hAnsi="黑体" w:eastAsia="黑体" w:cs="黑体"/>
          <w:sz w:val="25"/>
          <w:szCs w:val="25"/>
        </w:rPr>
      </w:pPr>
      <w:r>
        <w:rPr>
          <w:rFonts w:ascii="黑体" w:hAnsi="黑体" w:eastAsia="黑体" w:cs="黑体"/>
          <w:spacing w:val="11"/>
          <w:sz w:val="25"/>
          <w:szCs w:val="25"/>
        </w:rPr>
        <w:t>5.3</w:t>
      </w:r>
      <w:r>
        <w:rPr>
          <w:rFonts w:ascii="黑体" w:hAnsi="黑体" w:eastAsia="黑体" w:cs="黑体"/>
          <w:spacing w:val="31"/>
          <w:sz w:val="25"/>
          <w:szCs w:val="25"/>
        </w:rPr>
        <w:t xml:space="preserve">  </w:t>
      </w:r>
      <w:r>
        <w:rPr>
          <w:rFonts w:ascii="黑体" w:hAnsi="黑体" w:eastAsia="黑体" w:cs="黑体"/>
          <w:b/>
          <w:bCs/>
          <w:spacing w:val="11"/>
          <w:sz w:val="25"/>
          <w:szCs w:val="25"/>
        </w:rPr>
        <w:t>查询准备</w:t>
      </w:r>
    </w:p>
    <w:p w14:paraId="0A92E384">
      <w:pPr>
        <w:pStyle w:val="2"/>
        <w:spacing w:before="92" w:line="219" w:lineRule="auto"/>
        <w:ind w:left="695"/>
      </w:pPr>
      <w:r>
        <w:rPr>
          <w:spacing w:val="3"/>
        </w:rPr>
        <w:t>本条应提供对查询准备的说明。</w:t>
      </w:r>
    </w:p>
    <w:p w14:paraId="18CBAD2A">
      <w:pPr>
        <w:spacing w:before="126" w:line="219" w:lineRule="auto"/>
        <w:ind w:left="135"/>
        <w:rPr>
          <w:rFonts w:ascii="黑体" w:hAnsi="黑体" w:eastAsia="黑体" w:cs="黑体"/>
          <w:sz w:val="27"/>
          <w:szCs w:val="27"/>
        </w:rPr>
      </w:pPr>
      <w:r>
        <w:rPr>
          <w:rFonts w:ascii="黑体" w:hAnsi="黑体" w:eastAsia="黑体" w:cs="黑体"/>
          <w:spacing w:val="4"/>
          <w:sz w:val="27"/>
          <w:szCs w:val="27"/>
        </w:rPr>
        <w:t>5.4  控制指令</w:t>
      </w:r>
    </w:p>
    <w:p w14:paraId="3D0D7950">
      <w:pPr>
        <w:pStyle w:val="2"/>
        <w:spacing w:before="95" w:line="302" w:lineRule="auto"/>
        <w:ind w:left="135" w:right="121" w:firstLine="560"/>
      </w:pPr>
      <w:r>
        <w:rPr>
          <w:spacing w:val="5"/>
        </w:rPr>
        <w:t>本条应提供抽取查询请求响应所需要的运行序列和其他动作的指令。这些</w:t>
      </w:r>
      <w:r>
        <w:rPr>
          <w:spacing w:val="2"/>
        </w:rPr>
        <w:t xml:space="preserve"> </w:t>
      </w:r>
      <w:r>
        <w:rPr>
          <w:spacing w:val="3"/>
        </w:rPr>
        <w:t>指令应包括计算机系统或软件所要求的控制语句。</w:t>
      </w:r>
    </w:p>
    <w:p w14:paraId="76DD57BC">
      <w:pPr>
        <w:spacing w:before="1" w:line="220" w:lineRule="auto"/>
        <w:ind w:left="135"/>
        <w:rPr>
          <w:rFonts w:ascii="黑体" w:hAnsi="黑体" w:eastAsia="黑体" w:cs="黑体"/>
          <w:sz w:val="24"/>
          <w:szCs w:val="24"/>
        </w:rPr>
      </w:pPr>
      <w:r>
        <w:rPr>
          <w:rFonts w:ascii="黑体" w:hAnsi="黑体" w:eastAsia="黑体" w:cs="黑体"/>
          <w:spacing w:val="24"/>
          <w:sz w:val="24"/>
          <w:szCs w:val="24"/>
        </w:rPr>
        <w:t>6</w:t>
      </w:r>
      <w:r>
        <w:rPr>
          <w:rFonts w:ascii="黑体" w:hAnsi="黑体" w:eastAsia="黑体" w:cs="黑体"/>
          <w:spacing w:val="58"/>
          <w:sz w:val="24"/>
          <w:szCs w:val="24"/>
        </w:rPr>
        <w:t xml:space="preserve">  </w:t>
      </w:r>
      <w:r>
        <w:rPr>
          <w:rFonts w:ascii="黑体" w:hAnsi="黑体" w:eastAsia="黑体" w:cs="黑体"/>
          <w:b/>
          <w:bCs/>
          <w:spacing w:val="24"/>
          <w:sz w:val="24"/>
          <w:szCs w:val="24"/>
        </w:rPr>
        <w:t>用户终端处理规程</w:t>
      </w:r>
    </w:p>
    <w:p w14:paraId="11C1F839">
      <w:pPr>
        <w:pStyle w:val="2"/>
        <w:spacing w:before="94" w:line="286" w:lineRule="auto"/>
        <w:ind w:firstLine="695"/>
        <w:jc w:val="both"/>
      </w:pPr>
      <w:r>
        <w:rPr>
          <w:spacing w:val="14"/>
        </w:rPr>
        <w:t>本章应分条向用户提供使用终端完成处理的信息。如果规程太长</w:t>
      </w:r>
      <w:r>
        <w:rPr>
          <w:spacing w:val="13"/>
        </w:rPr>
        <w:t>或太复</w:t>
      </w:r>
      <w:r>
        <w:t xml:space="preserve">  </w:t>
      </w:r>
      <w:r>
        <w:rPr>
          <w:spacing w:val="13"/>
        </w:rPr>
        <w:t>杂，按本章相同的条结构添加第7章，第8</w:t>
      </w:r>
      <w:r>
        <w:rPr>
          <w:spacing w:val="12"/>
        </w:rPr>
        <w:t>章等，标题含义与所选择的章有关。</w:t>
      </w:r>
      <w:r>
        <w:t xml:space="preserve"> </w:t>
      </w:r>
      <w:r>
        <w:rPr>
          <w:spacing w:val="9"/>
        </w:rPr>
        <w:t>文档的组织依赖于被文档化的软件的特性。例如一种办法是根据用户工作的组</w:t>
      </w:r>
      <w:r>
        <w:rPr>
          <w:spacing w:val="3"/>
        </w:rPr>
        <w:t xml:space="preserve">  </w:t>
      </w:r>
      <w:r>
        <w:rPr>
          <w:spacing w:val="1"/>
        </w:rPr>
        <w:t>织、他们被分配的位置、他们的工作现场或他们必须完成的任务来划分章。对其</w:t>
      </w:r>
      <w:r>
        <w:rPr>
          <w:spacing w:val="5"/>
        </w:rPr>
        <w:t xml:space="preserve">  </w:t>
      </w:r>
      <w:r>
        <w:rPr>
          <w:spacing w:val="13"/>
        </w:rPr>
        <w:t>他的软件而言，第6章可以为菜单指南，第7章为使用的命令语言指南，第8章</w:t>
      </w:r>
      <w:r>
        <w:rPr>
          <w:spacing w:val="1"/>
        </w:rPr>
        <w:t xml:space="preserve">  </w:t>
      </w:r>
      <w:r>
        <w:rPr>
          <w:spacing w:val="16"/>
        </w:rPr>
        <w:t>为功能指南。在6.2至6.5中给出详细的规程。根据软件的设计，可根据逐个</w:t>
      </w:r>
      <w:r>
        <w:rPr>
          <w:spacing w:val="4"/>
        </w:rPr>
        <w:t xml:space="preserve">  </w:t>
      </w:r>
      <w:r>
        <w:rPr>
          <w:spacing w:val="10"/>
        </w:rPr>
        <w:t>功能、逐个菜单、逐个事务或其他方式来组织各子条。在合适的地方</w:t>
      </w:r>
      <w:r>
        <w:rPr>
          <w:spacing w:val="9"/>
        </w:rPr>
        <w:t>应包含用</w:t>
      </w:r>
      <w:r>
        <w:t xml:space="preserve"> </w:t>
      </w:r>
      <w:r>
        <w:rPr>
          <w:spacing w:val="-20"/>
        </w:rPr>
        <w:t>“警告”或“注意”标记的安全提示。</w:t>
      </w:r>
    </w:p>
    <w:p w14:paraId="28ED20FC">
      <w:pPr>
        <w:spacing w:before="34" w:line="222" w:lineRule="auto"/>
        <w:ind w:left="135"/>
        <w:rPr>
          <w:rFonts w:ascii="黑体" w:hAnsi="黑体" w:eastAsia="黑体" w:cs="黑体"/>
          <w:sz w:val="25"/>
          <w:szCs w:val="25"/>
        </w:rPr>
      </w:pPr>
      <w:r>
        <w:rPr>
          <w:rFonts w:ascii="黑体" w:hAnsi="黑体" w:eastAsia="黑体" w:cs="黑体"/>
          <w:spacing w:val="12"/>
          <w:sz w:val="25"/>
          <w:szCs w:val="25"/>
        </w:rPr>
        <w:t>6.1</w:t>
      </w:r>
      <w:r>
        <w:rPr>
          <w:rFonts w:ascii="黑体" w:hAnsi="黑体" w:eastAsia="黑体" w:cs="黑体"/>
          <w:spacing w:val="36"/>
          <w:sz w:val="25"/>
          <w:szCs w:val="25"/>
        </w:rPr>
        <w:t xml:space="preserve">  </w:t>
      </w:r>
      <w:r>
        <w:rPr>
          <w:rFonts w:ascii="黑体" w:hAnsi="黑体" w:eastAsia="黑体" w:cs="黑体"/>
          <w:b/>
          <w:bCs/>
          <w:spacing w:val="12"/>
          <w:sz w:val="25"/>
          <w:szCs w:val="25"/>
        </w:rPr>
        <w:t>可用的能力</w:t>
      </w:r>
    </w:p>
    <w:p w14:paraId="0D160C45">
      <w:pPr>
        <w:pStyle w:val="2"/>
        <w:spacing w:before="103" w:line="219" w:lineRule="auto"/>
        <w:ind w:left="695"/>
      </w:pPr>
      <w:r>
        <w:t>本条应用一般术语描述通过终端操作进行数据检索、显示和更新能力。</w:t>
      </w:r>
    </w:p>
    <w:p w14:paraId="2BF0C376">
      <w:pPr>
        <w:spacing w:before="136" w:line="222" w:lineRule="auto"/>
        <w:ind w:left="135"/>
        <w:rPr>
          <w:rFonts w:ascii="黑体" w:hAnsi="黑体" w:eastAsia="黑体" w:cs="黑体"/>
          <w:sz w:val="24"/>
          <w:szCs w:val="24"/>
        </w:rPr>
      </w:pPr>
      <w:r>
        <w:rPr>
          <w:rFonts w:ascii="黑体" w:hAnsi="黑体" w:eastAsia="黑体" w:cs="黑体"/>
          <w:spacing w:val="16"/>
          <w:sz w:val="24"/>
          <w:szCs w:val="24"/>
        </w:rPr>
        <w:t>6.2</w:t>
      </w:r>
      <w:r>
        <w:rPr>
          <w:rFonts w:ascii="黑体" w:hAnsi="黑体" w:eastAsia="黑体" w:cs="黑体"/>
          <w:spacing w:val="45"/>
          <w:sz w:val="24"/>
          <w:szCs w:val="24"/>
        </w:rPr>
        <w:t xml:space="preserve">  </w:t>
      </w:r>
      <w:r>
        <w:rPr>
          <w:rFonts w:ascii="黑体" w:hAnsi="黑体" w:eastAsia="黑体" w:cs="黑体"/>
          <w:b/>
          <w:bCs/>
          <w:spacing w:val="16"/>
          <w:sz w:val="24"/>
          <w:szCs w:val="24"/>
        </w:rPr>
        <w:t>访问规程</w:t>
      </w:r>
    </w:p>
    <w:p w14:paraId="3CDD6C0D">
      <w:pPr>
        <w:pStyle w:val="2"/>
        <w:spacing w:before="96" w:line="219" w:lineRule="auto"/>
        <w:ind w:left="695"/>
      </w:pPr>
      <w:r>
        <w:rPr>
          <w:spacing w:val="4"/>
        </w:rPr>
        <w:t>本条应提供启动软件运行以及访问软件等步骤顺序和适用的规则。</w:t>
      </w:r>
    </w:p>
    <w:p w14:paraId="0AC4D00F">
      <w:pPr>
        <w:spacing w:line="219" w:lineRule="auto"/>
        <w:sectPr>
          <w:footerReference r:id="rId258" w:type="default"/>
          <w:pgSz w:w="11910" w:h="17130"/>
          <w:pgMar w:top="1440" w:right="1304" w:bottom="1673" w:left="985" w:header="0" w:footer="1474" w:gutter="0"/>
          <w:cols w:space="720" w:num="1"/>
        </w:sectPr>
      </w:pPr>
    </w:p>
    <w:p w14:paraId="27C7B18E">
      <w:pPr>
        <w:spacing w:before="122" w:line="221" w:lineRule="auto"/>
        <w:rPr>
          <w:rFonts w:ascii="黑体" w:hAnsi="黑体" w:eastAsia="黑体" w:cs="黑体"/>
          <w:sz w:val="25"/>
          <w:szCs w:val="25"/>
        </w:rPr>
      </w:pPr>
      <w:r>
        <w:rPr>
          <w:rFonts w:ascii="黑体" w:hAnsi="黑体" w:eastAsia="黑体" w:cs="黑体"/>
          <w:spacing w:val="7"/>
          <w:sz w:val="25"/>
          <w:szCs w:val="25"/>
        </w:rPr>
        <w:t>6.3</w:t>
      </w:r>
      <w:r>
        <w:rPr>
          <w:rFonts w:ascii="黑体" w:hAnsi="黑体" w:eastAsia="黑体" w:cs="黑体"/>
          <w:spacing w:val="52"/>
          <w:sz w:val="25"/>
          <w:szCs w:val="25"/>
        </w:rPr>
        <w:t xml:space="preserve">  </w:t>
      </w:r>
      <w:r>
        <w:rPr>
          <w:rFonts w:ascii="黑体" w:hAnsi="黑体" w:eastAsia="黑体" w:cs="黑体"/>
          <w:spacing w:val="7"/>
          <w:sz w:val="25"/>
          <w:szCs w:val="25"/>
        </w:rPr>
        <w:t>显示、更新和检索的规程</w:t>
      </w:r>
    </w:p>
    <w:p w14:paraId="5317127F">
      <w:pPr>
        <w:pStyle w:val="2"/>
        <w:spacing w:before="83" w:line="307" w:lineRule="auto"/>
        <w:ind w:firstLine="560"/>
      </w:pPr>
      <w:r>
        <w:rPr>
          <w:spacing w:val="9"/>
        </w:rPr>
        <w:t>本条应分条提供通过使用终端产生检索、显示和更新所需的逐</w:t>
      </w:r>
      <w:r>
        <w:rPr>
          <w:spacing w:val="8"/>
        </w:rPr>
        <w:t>步的规程。</w:t>
      </w:r>
      <w:r>
        <w:t xml:space="preserve"> </w:t>
      </w:r>
      <w:r>
        <w:rPr>
          <w:spacing w:val="-2"/>
        </w:rPr>
        <w:t>(若适用)每个规程应包含操作名、输入格式和响应样例。</w:t>
      </w:r>
    </w:p>
    <w:p w14:paraId="038496AB">
      <w:pPr>
        <w:spacing w:line="221" w:lineRule="auto"/>
        <w:rPr>
          <w:rFonts w:ascii="黑体" w:hAnsi="黑体" w:eastAsia="黑体" w:cs="黑体"/>
          <w:sz w:val="24"/>
          <w:szCs w:val="24"/>
        </w:rPr>
      </w:pPr>
      <w:r>
        <w:rPr>
          <w:rFonts w:ascii="黑体" w:hAnsi="黑体" w:eastAsia="黑体" w:cs="黑体"/>
          <w:spacing w:val="25"/>
          <w:sz w:val="24"/>
          <w:szCs w:val="24"/>
        </w:rPr>
        <w:t>6.4</w:t>
      </w:r>
      <w:r>
        <w:rPr>
          <w:rFonts w:ascii="黑体" w:hAnsi="黑体" w:eastAsia="黑体" w:cs="黑体"/>
          <w:spacing w:val="59"/>
          <w:sz w:val="24"/>
          <w:szCs w:val="24"/>
        </w:rPr>
        <w:t xml:space="preserve">  </w:t>
      </w:r>
      <w:r>
        <w:rPr>
          <w:rFonts w:ascii="黑体" w:hAnsi="黑体" w:eastAsia="黑体" w:cs="黑体"/>
          <w:spacing w:val="25"/>
          <w:sz w:val="24"/>
          <w:szCs w:val="24"/>
        </w:rPr>
        <w:t>恢复和错误纠正规程</w:t>
      </w:r>
    </w:p>
    <w:p w14:paraId="6A879858">
      <w:pPr>
        <w:pStyle w:val="2"/>
        <w:spacing w:before="95" w:line="289" w:lineRule="auto"/>
        <w:ind w:right="114" w:firstLine="560"/>
        <w:jc w:val="both"/>
      </w:pPr>
      <w:r>
        <w:rPr>
          <w:spacing w:val="-3"/>
        </w:rPr>
        <w:t>本条应标识可被显示出的出错消息，给出它们的含义，并描述用户应采</w:t>
      </w:r>
      <w:r>
        <w:rPr>
          <w:spacing w:val="-4"/>
        </w:rPr>
        <w:t>取的</w:t>
      </w:r>
      <w:r>
        <w:t xml:space="preserve"> </w:t>
      </w:r>
      <w:r>
        <w:rPr>
          <w:spacing w:val="5"/>
        </w:rPr>
        <w:t>纠正动作。本条还应包含用户应遵守的重启、恢复和紧急事件下连续性运行方</w:t>
      </w:r>
      <w:r>
        <w:rPr>
          <w:spacing w:val="9"/>
        </w:rPr>
        <w:t xml:space="preserve"> </w:t>
      </w:r>
      <w:r>
        <w:rPr>
          <w:spacing w:val="-3"/>
        </w:rPr>
        <w:t>面的规程。</w:t>
      </w:r>
    </w:p>
    <w:p w14:paraId="52DD6FFB">
      <w:pPr>
        <w:spacing w:before="18" w:line="222" w:lineRule="auto"/>
        <w:rPr>
          <w:rFonts w:ascii="黑体" w:hAnsi="黑体" w:eastAsia="黑体" w:cs="黑体"/>
          <w:sz w:val="25"/>
          <w:szCs w:val="25"/>
        </w:rPr>
      </w:pPr>
      <w:r>
        <w:rPr>
          <w:rFonts w:ascii="黑体" w:hAnsi="黑体" w:eastAsia="黑体" w:cs="黑体"/>
          <w:spacing w:val="9"/>
          <w:sz w:val="25"/>
          <w:szCs w:val="25"/>
        </w:rPr>
        <w:t>6.5</w:t>
      </w:r>
      <w:r>
        <w:rPr>
          <w:rFonts w:ascii="黑体" w:hAnsi="黑体" w:eastAsia="黑体" w:cs="黑体"/>
          <w:spacing w:val="49"/>
          <w:sz w:val="25"/>
          <w:szCs w:val="25"/>
        </w:rPr>
        <w:t xml:space="preserve">  </w:t>
      </w:r>
      <w:r>
        <w:rPr>
          <w:rFonts w:ascii="黑体" w:hAnsi="黑体" w:eastAsia="黑体" w:cs="黑体"/>
          <w:spacing w:val="9"/>
          <w:sz w:val="25"/>
          <w:szCs w:val="25"/>
        </w:rPr>
        <w:t>结束规程</w:t>
      </w:r>
    </w:p>
    <w:p w14:paraId="1DBB41C1">
      <w:pPr>
        <w:pStyle w:val="2"/>
        <w:spacing w:before="80" w:line="219" w:lineRule="auto"/>
        <w:ind w:left="560"/>
      </w:pPr>
      <w:r>
        <w:rPr>
          <w:spacing w:val="3"/>
        </w:rPr>
        <w:t>本条应提供结束处理所需的步骤顺序。</w:t>
      </w:r>
    </w:p>
    <w:p w14:paraId="0E683AB8">
      <w:pPr>
        <w:spacing w:before="119" w:line="222"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3"/>
          <w:sz w:val="27"/>
          <w:szCs w:val="27"/>
        </w:rPr>
        <w:t xml:space="preserve">  </w:t>
      </w:r>
      <w:r>
        <w:rPr>
          <w:rFonts w:ascii="黑体" w:hAnsi="黑体" w:eastAsia="黑体" w:cs="黑体"/>
          <w:spacing w:val="-1"/>
          <w:sz w:val="27"/>
          <w:szCs w:val="27"/>
        </w:rPr>
        <w:t>注释</w:t>
      </w:r>
    </w:p>
    <w:p w14:paraId="49A59931">
      <w:pPr>
        <w:pStyle w:val="2"/>
        <w:spacing w:before="106" w:line="219" w:lineRule="auto"/>
        <w:ind w:left="560"/>
      </w:pPr>
      <w:r>
        <w:rPr>
          <w:spacing w:val="-4"/>
        </w:rPr>
        <w:t>本章应包括有助于了解文档的所有信息(例如背景、术语、缩略语或公式)。</w:t>
      </w:r>
    </w:p>
    <w:p w14:paraId="15475E1F">
      <w:pPr>
        <w:spacing w:line="350" w:lineRule="auto"/>
        <w:rPr>
          <w:rFonts w:ascii="Arial"/>
          <w:sz w:val="21"/>
        </w:rPr>
      </w:pPr>
    </w:p>
    <w:p w14:paraId="5942FDF2">
      <w:pPr>
        <w:pStyle w:val="2"/>
        <w:spacing w:before="118" w:line="219" w:lineRule="auto"/>
        <w:ind w:left="2520"/>
        <w:rPr>
          <w:sz w:val="36"/>
          <w:szCs w:val="36"/>
        </w:rPr>
      </w:pPr>
      <w:r>
        <w:rPr>
          <w:spacing w:val="1"/>
          <w:sz w:val="36"/>
          <w:szCs w:val="36"/>
        </w:rPr>
        <w:t xml:space="preserve">2.22  </w:t>
      </w:r>
      <w:r>
        <w:rPr>
          <w:b/>
          <w:bCs/>
          <w:spacing w:val="1"/>
          <w:sz w:val="36"/>
          <w:szCs w:val="36"/>
        </w:rPr>
        <w:t>软件中心操作员手册</w:t>
      </w:r>
    </w:p>
    <w:p w14:paraId="7A1B4AE3">
      <w:pPr>
        <w:spacing w:line="348" w:lineRule="auto"/>
        <w:rPr>
          <w:rFonts w:ascii="Arial"/>
          <w:sz w:val="21"/>
        </w:rPr>
      </w:pPr>
    </w:p>
    <w:p w14:paraId="44E34FC2">
      <w:pPr>
        <w:pStyle w:val="2"/>
        <w:spacing w:before="91" w:line="225"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438B—2009</w:t>
      </w:r>
      <w:r>
        <w:rPr>
          <w:spacing w:val="-11"/>
          <w:sz w:val="28"/>
          <w:szCs w:val="28"/>
        </w:rPr>
        <w:t>《</w:t>
      </w:r>
      <w:r>
        <w:rPr>
          <w:rFonts w:ascii="楷体" w:hAnsi="楷体" w:eastAsia="楷体" w:cs="楷体"/>
          <w:spacing w:val="-11"/>
          <w:sz w:val="28"/>
          <w:szCs w:val="28"/>
        </w:rPr>
        <w:t>军用软件开发文档通用要求》编写。</w:t>
      </w:r>
    </w:p>
    <w:p w14:paraId="3DB5B136">
      <w:pPr>
        <w:spacing w:before="72"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9"/>
          <w:sz w:val="27"/>
          <w:szCs w:val="27"/>
        </w:rPr>
        <w:t xml:space="preserve">  </w:t>
      </w:r>
      <w:r>
        <w:rPr>
          <w:rFonts w:ascii="黑体" w:hAnsi="黑体" w:eastAsia="黑体" w:cs="黑体"/>
          <w:spacing w:val="-6"/>
          <w:sz w:val="27"/>
          <w:szCs w:val="27"/>
        </w:rPr>
        <w:t>范围</w:t>
      </w:r>
    </w:p>
    <w:p w14:paraId="587701BD">
      <w:pPr>
        <w:spacing w:before="123" w:line="222" w:lineRule="auto"/>
        <w:rPr>
          <w:rFonts w:ascii="黑体" w:hAnsi="黑体" w:eastAsia="黑体" w:cs="黑体"/>
          <w:sz w:val="25"/>
          <w:szCs w:val="25"/>
        </w:rPr>
      </w:pPr>
      <w:r>
        <w:rPr>
          <w:rFonts w:ascii="黑体" w:hAnsi="黑体" w:eastAsia="黑体" w:cs="黑体"/>
          <w:spacing w:val="5"/>
          <w:sz w:val="25"/>
          <w:szCs w:val="25"/>
        </w:rPr>
        <w:t>1.1</w:t>
      </w:r>
      <w:r>
        <w:rPr>
          <w:rFonts w:ascii="黑体" w:hAnsi="黑体" w:eastAsia="黑体" w:cs="黑体"/>
          <w:spacing w:val="54"/>
          <w:sz w:val="25"/>
          <w:szCs w:val="25"/>
        </w:rPr>
        <w:t xml:space="preserve">  </w:t>
      </w:r>
      <w:r>
        <w:rPr>
          <w:rFonts w:ascii="黑体" w:hAnsi="黑体" w:eastAsia="黑体" w:cs="黑体"/>
          <w:spacing w:val="5"/>
          <w:sz w:val="25"/>
          <w:szCs w:val="25"/>
        </w:rPr>
        <w:t>标识</w:t>
      </w:r>
    </w:p>
    <w:p w14:paraId="4036303E">
      <w:pPr>
        <w:pStyle w:val="2"/>
        <w:spacing w:before="110" w:line="283" w:lineRule="auto"/>
        <w:ind w:firstLine="560"/>
      </w:pPr>
      <w:r>
        <w:t>本条应描述本文档所适用系统和软件的完整标识，适用时，包括其标识号、</w:t>
      </w:r>
      <w:r>
        <w:rPr>
          <w:spacing w:val="14"/>
        </w:rPr>
        <w:t xml:space="preserve"> </w:t>
      </w:r>
      <w:r>
        <w:rPr>
          <w:spacing w:val="-14"/>
        </w:rPr>
        <w:t>名称、缩略名、版本号和发布号。</w:t>
      </w:r>
    </w:p>
    <w:p w14:paraId="050F7D2C">
      <w:pPr>
        <w:spacing w:before="1" w:line="220" w:lineRule="auto"/>
        <w:rPr>
          <w:rFonts w:ascii="黑体" w:hAnsi="黑体" w:eastAsia="黑体" w:cs="黑体"/>
          <w:sz w:val="27"/>
          <w:szCs w:val="27"/>
        </w:rPr>
      </w:pPr>
      <w:r>
        <w:rPr>
          <w:rFonts w:ascii="黑体" w:hAnsi="黑体" w:eastAsia="黑体" w:cs="黑体"/>
          <w:spacing w:val="-6"/>
          <w:sz w:val="27"/>
          <w:szCs w:val="27"/>
        </w:rPr>
        <w:t>1.2</w:t>
      </w:r>
      <w:r>
        <w:rPr>
          <w:rFonts w:ascii="黑体" w:hAnsi="黑体" w:eastAsia="黑体" w:cs="黑体"/>
          <w:spacing w:val="32"/>
          <w:sz w:val="27"/>
          <w:szCs w:val="27"/>
        </w:rPr>
        <w:t xml:space="preserve">  </w:t>
      </w:r>
      <w:r>
        <w:rPr>
          <w:rFonts w:ascii="黑体" w:hAnsi="黑体" w:eastAsia="黑体" w:cs="黑体"/>
          <w:spacing w:val="-6"/>
          <w:sz w:val="27"/>
          <w:szCs w:val="27"/>
        </w:rPr>
        <w:t>系统概述</w:t>
      </w:r>
    </w:p>
    <w:p w14:paraId="31C0FDDA">
      <w:pPr>
        <w:pStyle w:val="2"/>
        <w:spacing w:before="109" w:line="289" w:lineRule="auto"/>
        <w:ind w:right="90" w:firstLine="560"/>
        <w:jc w:val="both"/>
      </w:pPr>
      <w:r>
        <w:rPr>
          <w:spacing w:val="6"/>
        </w:rPr>
        <w:t>本条应概述本文档所适用系统和软件的用途。它还应描述系统与软件的一</w:t>
      </w:r>
      <w:r>
        <w:rPr>
          <w:spacing w:val="1"/>
        </w:rPr>
        <w:t xml:space="preserve"> </w:t>
      </w:r>
      <w:r>
        <w:rPr>
          <w:spacing w:val="-10"/>
        </w:rPr>
        <w:t>般特性；概述系统开发、运行和维护的历史；标识项目的需方、用户、开发方</w:t>
      </w:r>
      <w:r>
        <w:rPr>
          <w:spacing w:val="-11"/>
        </w:rPr>
        <w:t>和保</w:t>
      </w:r>
      <w:r>
        <w:t xml:space="preserve"> </w:t>
      </w:r>
      <w:r>
        <w:rPr>
          <w:spacing w:val="-6"/>
        </w:rPr>
        <w:t>障机构等；标识当前和计划的运行现场；列出其他有关文档。</w:t>
      </w:r>
    </w:p>
    <w:p w14:paraId="317939CE">
      <w:pPr>
        <w:spacing w:before="1" w:line="220" w:lineRule="auto"/>
        <w:rPr>
          <w:rFonts w:ascii="黑体" w:hAnsi="黑体" w:eastAsia="黑体" w:cs="黑体"/>
          <w:sz w:val="27"/>
          <w:szCs w:val="27"/>
        </w:rPr>
      </w:pPr>
      <w:r>
        <w:rPr>
          <w:rFonts w:ascii="黑体" w:hAnsi="黑体" w:eastAsia="黑体" w:cs="黑体"/>
          <w:spacing w:val="-5"/>
          <w:sz w:val="27"/>
          <w:szCs w:val="27"/>
        </w:rPr>
        <w:t>1.3</w:t>
      </w:r>
      <w:r>
        <w:rPr>
          <w:rFonts w:ascii="黑体" w:hAnsi="黑体" w:eastAsia="黑体" w:cs="黑体"/>
          <w:spacing w:val="29"/>
          <w:sz w:val="27"/>
          <w:szCs w:val="27"/>
        </w:rPr>
        <w:t xml:space="preserve">  </w:t>
      </w:r>
      <w:r>
        <w:rPr>
          <w:rFonts w:ascii="黑体" w:hAnsi="黑体" w:eastAsia="黑体" w:cs="黑体"/>
          <w:spacing w:val="-5"/>
          <w:sz w:val="27"/>
          <w:szCs w:val="27"/>
        </w:rPr>
        <w:t>文档概述</w:t>
      </w:r>
    </w:p>
    <w:p w14:paraId="40A8933D">
      <w:pPr>
        <w:pStyle w:val="2"/>
        <w:spacing w:before="78" w:line="294" w:lineRule="auto"/>
        <w:ind w:right="113" w:firstLine="560"/>
      </w:pPr>
      <w:r>
        <w:rPr>
          <w:spacing w:val="5"/>
        </w:rPr>
        <w:t>本条应概述本文档的用途和内容，并描述与它的使用有关的保密性方面的</w:t>
      </w:r>
      <w:r>
        <w:rPr>
          <w:spacing w:val="10"/>
        </w:rPr>
        <w:t xml:space="preserve"> </w:t>
      </w:r>
      <w:r>
        <w:rPr>
          <w:spacing w:val="-4"/>
        </w:rPr>
        <w:t>要求。</w:t>
      </w:r>
    </w:p>
    <w:p w14:paraId="23D05750">
      <w:pPr>
        <w:spacing w:before="1" w:line="221" w:lineRule="auto"/>
        <w:rPr>
          <w:rFonts w:ascii="黑体" w:hAnsi="黑体" w:eastAsia="黑体" w:cs="黑体"/>
          <w:sz w:val="27"/>
          <w:szCs w:val="27"/>
        </w:rPr>
      </w:pPr>
      <w:r>
        <w:rPr>
          <w:rFonts w:ascii="Arial" w:hAnsi="Arial" w:eastAsia="Arial" w:cs="Arial"/>
          <w:spacing w:val="4"/>
          <w:sz w:val="27"/>
          <w:szCs w:val="27"/>
        </w:rPr>
        <w:t>2</w:t>
      </w:r>
      <w:r>
        <w:rPr>
          <w:rFonts w:ascii="Arial" w:hAnsi="Arial" w:eastAsia="Arial" w:cs="Arial"/>
          <w:spacing w:val="18"/>
          <w:sz w:val="27"/>
          <w:szCs w:val="27"/>
        </w:rPr>
        <w:t xml:space="preserve">   </w:t>
      </w:r>
      <w:r>
        <w:rPr>
          <w:rFonts w:ascii="黑体" w:hAnsi="黑体" w:eastAsia="黑体" w:cs="黑体"/>
          <w:spacing w:val="4"/>
          <w:sz w:val="27"/>
          <w:szCs w:val="27"/>
        </w:rPr>
        <w:t>引用文档</w:t>
      </w:r>
    </w:p>
    <w:p w14:paraId="7D0C45A9">
      <w:pPr>
        <w:pStyle w:val="2"/>
        <w:spacing w:before="85" w:line="291" w:lineRule="auto"/>
        <w:ind w:right="122" w:firstLine="560"/>
      </w:pPr>
      <w:r>
        <w:rPr>
          <w:spacing w:val="-11"/>
        </w:rPr>
        <w:t>本章应列出引用文档的编号、标题、编写单位、修订版及日期，还应</w:t>
      </w:r>
      <w:r>
        <w:rPr>
          <w:spacing w:val="-12"/>
        </w:rPr>
        <w:t>标识不能</w:t>
      </w:r>
      <w:r>
        <w:t xml:space="preserve"> </w:t>
      </w:r>
      <w:r>
        <w:rPr>
          <w:spacing w:val="3"/>
        </w:rPr>
        <w:t>通过正常采购活动得到的文档的来源。</w:t>
      </w:r>
    </w:p>
    <w:p w14:paraId="365DB3F4">
      <w:pPr>
        <w:spacing w:before="1" w:line="221"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4"/>
          <w:sz w:val="27"/>
          <w:szCs w:val="27"/>
        </w:rPr>
        <w:t xml:space="preserve">  </w:t>
      </w:r>
      <w:r>
        <w:rPr>
          <w:rFonts w:ascii="黑体" w:hAnsi="黑体" w:eastAsia="黑体" w:cs="黑体"/>
          <w:spacing w:val="1"/>
          <w:sz w:val="27"/>
          <w:szCs w:val="27"/>
        </w:rPr>
        <w:t>软件综述</w:t>
      </w:r>
    </w:p>
    <w:p w14:paraId="1689EEF6">
      <w:pPr>
        <w:spacing w:before="97" w:line="222" w:lineRule="auto"/>
        <w:rPr>
          <w:rFonts w:ascii="黑体" w:hAnsi="黑体" w:eastAsia="黑体" w:cs="黑体"/>
          <w:sz w:val="27"/>
          <w:szCs w:val="27"/>
        </w:rPr>
      </w:pPr>
      <w:r>
        <w:rPr>
          <w:rFonts w:ascii="黑体" w:hAnsi="黑体" w:eastAsia="黑体" w:cs="黑体"/>
          <w:spacing w:val="2"/>
          <w:sz w:val="27"/>
          <w:szCs w:val="27"/>
        </w:rPr>
        <w:t>3.1</w:t>
      </w:r>
      <w:r>
        <w:rPr>
          <w:rFonts w:ascii="黑体" w:hAnsi="黑体" w:eastAsia="黑体" w:cs="黑体"/>
          <w:spacing w:val="24"/>
          <w:sz w:val="27"/>
          <w:szCs w:val="27"/>
        </w:rPr>
        <w:t xml:space="preserve">  </w:t>
      </w:r>
      <w:r>
        <w:rPr>
          <w:rFonts w:ascii="黑体" w:hAnsi="黑体" w:eastAsia="黑体" w:cs="黑体"/>
          <w:spacing w:val="2"/>
          <w:sz w:val="27"/>
          <w:szCs w:val="27"/>
        </w:rPr>
        <w:t>软件应用</w:t>
      </w:r>
    </w:p>
    <w:p w14:paraId="396A0018">
      <w:pPr>
        <w:pStyle w:val="2"/>
        <w:spacing w:before="65" w:line="310" w:lineRule="auto"/>
        <w:ind w:right="124" w:firstLine="560"/>
      </w:pPr>
      <w:r>
        <w:rPr>
          <w:spacing w:val="-3"/>
        </w:rPr>
        <w:t>本条应简要说明软件预期的使用，并应描述对软</w:t>
      </w:r>
      <w:r>
        <w:rPr>
          <w:spacing w:val="-4"/>
        </w:rPr>
        <w:t>件的使用所期望的能力、运</w:t>
      </w:r>
      <w:r>
        <w:t xml:space="preserve"> </w:t>
      </w:r>
      <w:r>
        <w:rPr>
          <w:spacing w:val="3"/>
        </w:rPr>
        <w:t>行改进和受益。</w:t>
      </w:r>
    </w:p>
    <w:p w14:paraId="28741978">
      <w:pPr>
        <w:spacing w:line="310" w:lineRule="auto"/>
        <w:sectPr>
          <w:footerReference r:id="rId259" w:type="default"/>
          <w:pgSz w:w="11910" w:h="17130"/>
          <w:pgMar w:top="1456" w:right="1044" w:bottom="1584" w:left="1380" w:header="0" w:footer="1368" w:gutter="0"/>
          <w:cols w:space="720" w:num="1"/>
        </w:sectPr>
      </w:pPr>
    </w:p>
    <w:p w14:paraId="4DF6D51B">
      <w:pPr>
        <w:spacing w:before="120" w:line="222" w:lineRule="auto"/>
        <w:rPr>
          <w:rFonts w:ascii="黑体" w:hAnsi="黑体" w:eastAsia="黑体" w:cs="黑体"/>
          <w:sz w:val="25"/>
          <w:szCs w:val="25"/>
        </w:rPr>
      </w:pPr>
      <w:r>
        <w:rPr>
          <w:rFonts w:ascii="黑体" w:hAnsi="黑体" w:eastAsia="黑体" w:cs="黑体"/>
          <w:spacing w:val="11"/>
          <w:sz w:val="25"/>
          <w:szCs w:val="25"/>
        </w:rPr>
        <w:t>3.2</w:t>
      </w:r>
      <w:r>
        <w:rPr>
          <w:rFonts w:ascii="黑体" w:hAnsi="黑体" w:eastAsia="黑体" w:cs="黑体"/>
          <w:spacing w:val="44"/>
          <w:sz w:val="25"/>
          <w:szCs w:val="25"/>
        </w:rPr>
        <w:t xml:space="preserve">  </w:t>
      </w:r>
      <w:r>
        <w:rPr>
          <w:rFonts w:ascii="黑体" w:hAnsi="黑体" w:eastAsia="黑体" w:cs="黑体"/>
          <w:b/>
          <w:bCs/>
          <w:spacing w:val="11"/>
          <w:sz w:val="25"/>
          <w:szCs w:val="25"/>
        </w:rPr>
        <w:t>软件清单</w:t>
      </w:r>
    </w:p>
    <w:p w14:paraId="4C43D87F">
      <w:pPr>
        <w:pStyle w:val="2"/>
        <w:spacing w:before="83" w:line="275" w:lineRule="auto"/>
        <w:ind w:right="123" w:firstLine="560"/>
      </w:pPr>
      <w:r>
        <w:rPr>
          <w:spacing w:val="5"/>
        </w:rPr>
        <w:t>本条应描述为使本软件运行所必须安装的数据库和数据文件等，包括对每</w:t>
      </w:r>
      <w:r>
        <w:t xml:space="preserve"> 个文件的保密性考虑，并标明在紧急情况下继续操作或恢复操作所需的软件。</w:t>
      </w:r>
    </w:p>
    <w:p w14:paraId="00FE037E">
      <w:pPr>
        <w:spacing w:before="10" w:line="222" w:lineRule="auto"/>
        <w:rPr>
          <w:rFonts w:ascii="黑体" w:hAnsi="黑体" w:eastAsia="黑体" w:cs="黑体"/>
          <w:sz w:val="27"/>
          <w:szCs w:val="27"/>
        </w:rPr>
      </w:pPr>
      <w:r>
        <w:rPr>
          <w:rFonts w:ascii="黑体" w:hAnsi="黑体" w:eastAsia="黑体" w:cs="黑体"/>
          <w:spacing w:val="-2"/>
          <w:sz w:val="27"/>
          <w:szCs w:val="27"/>
        </w:rPr>
        <w:t>3.3</w:t>
      </w:r>
      <w:r>
        <w:rPr>
          <w:rFonts w:ascii="黑体" w:hAnsi="黑体" w:eastAsia="黑体" w:cs="黑体"/>
          <w:spacing w:val="21"/>
          <w:sz w:val="27"/>
          <w:szCs w:val="27"/>
        </w:rPr>
        <w:t xml:space="preserve">  </w:t>
      </w:r>
      <w:r>
        <w:rPr>
          <w:rFonts w:ascii="黑体" w:hAnsi="黑体" w:eastAsia="黑体" w:cs="黑体"/>
          <w:b/>
          <w:bCs/>
          <w:spacing w:val="-2"/>
          <w:sz w:val="27"/>
          <w:szCs w:val="27"/>
        </w:rPr>
        <w:t>软件环境</w:t>
      </w:r>
    </w:p>
    <w:p w14:paraId="0E977674">
      <w:pPr>
        <w:pStyle w:val="2"/>
        <w:spacing w:before="48" w:line="281" w:lineRule="auto"/>
        <w:ind w:firstLine="560"/>
      </w:pPr>
      <w:r>
        <w:t>本条应描述安装和操作本软件所需要的硬件、软件、手工操作和其他资源。</w:t>
      </w:r>
      <w:r>
        <w:rPr>
          <w:spacing w:val="14"/>
        </w:rPr>
        <w:t xml:space="preserve"> </w:t>
      </w:r>
      <w:r>
        <w:t>(如适用)应包括如下内容：</w:t>
      </w:r>
    </w:p>
    <w:p w14:paraId="67C66DDC">
      <w:pPr>
        <w:pStyle w:val="2"/>
        <w:spacing w:before="1" w:line="266" w:lineRule="auto"/>
        <w:ind w:right="104" w:firstLine="560"/>
      </w:pPr>
      <w:r>
        <w:rPr>
          <w:rFonts w:ascii="Times New Roman" w:hAnsi="Times New Roman" w:eastAsia="Times New Roman" w:cs="Times New Roman"/>
          <w:spacing w:val="-1"/>
        </w:rPr>
        <w:t>a)</w:t>
      </w:r>
      <w:r>
        <w:rPr>
          <w:rFonts w:ascii="Times New Roman" w:hAnsi="Times New Roman" w:eastAsia="Times New Roman" w:cs="Times New Roman"/>
          <w:spacing w:val="70"/>
          <w:w w:val="101"/>
        </w:rPr>
        <w:t xml:space="preserve"> </w:t>
      </w:r>
      <w:r>
        <w:rPr>
          <w:spacing w:val="-1"/>
        </w:rPr>
        <w:t>必须提供的计算机设备，包括内存数量、辅助存储数量、外围设备(例如</w:t>
      </w:r>
      <w:r>
        <w:t xml:space="preserve"> </w:t>
      </w:r>
      <w:r>
        <w:rPr>
          <w:spacing w:val="-4"/>
        </w:rPr>
        <w:t>终端、打印机以及其他输入/输出设备)等；</w:t>
      </w:r>
    </w:p>
    <w:p w14:paraId="688361C2">
      <w:pPr>
        <w:pStyle w:val="2"/>
        <w:spacing w:before="60"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67"/>
        </w:rPr>
        <w:t xml:space="preserve"> </w:t>
      </w:r>
      <w:r>
        <w:rPr>
          <w:spacing w:val="2"/>
        </w:rPr>
        <w:t>必须提供的通信设备；</w:t>
      </w:r>
    </w:p>
    <w:p w14:paraId="7D14C212">
      <w:pPr>
        <w:pStyle w:val="2"/>
        <w:spacing w:before="70" w:line="267" w:lineRule="auto"/>
        <w:ind w:right="83" w:firstLine="560"/>
      </w:pPr>
      <w:r>
        <w:rPr>
          <w:rFonts w:ascii="Times New Roman" w:hAnsi="Times New Roman" w:eastAsia="Times New Roman" w:cs="Times New Roman"/>
          <w:spacing w:val="-11"/>
        </w:rPr>
        <w:t>c)</w:t>
      </w:r>
      <w:r>
        <w:rPr>
          <w:rFonts w:ascii="Times New Roman" w:hAnsi="Times New Roman" w:eastAsia="Times New Roman" w:cs="Times New Roman"/>
          <w:spacing w:val="52"/>
          <w:w w:val="101"/>
        </w:rPr>
        <w:t xml:space="preserve"> </w:t>
      </w:r>
      <w:r>
        <w:rPr>
          <w:spacing w:val="-11"/>
        </w:rPr>
        <w:t>必须提供的其他软件，例如网络软件、操</w:t>
      </w:r>
      <w:r>
        <w:rPr>
          <w:spacing w:val="-12"/>
        </w:rPr>
        <w:t>作系统、数据库、数据文件、实用</w:t>
      </w:r>
      <w:r>
        <w:t xml:space="preserve"> </w:t>
      </w:r>
      <w:r>
        <w:rPr>
          <w:spacing w:val="-2"/>
        </w:rPr>
        <w:t>程序、该软件引用、创建或更新的永久文件</w:t>
      </w:r>
      <w:r>
        <w:rPr>
          <w:spacing w:val="-3"/>
        </w:rPr>
        <w:t>、在紧急情况下恢复操作所需的数据</w:t>
      </w:r>
      <w:r>
        <w:t xml:space="preserve"> </w:t>
      </w:r>
      <w:r>
        <w:rPr>
          <w:spacing w:val="-2"/>
        </w:rPr>
        <w:t>库/数据文件；</w:t>
      </w:r>
    </w:p>
    <w:p w14:paraId="0169E7D9">
      <w:pPr>
        <w:pStyle w:val="2"/>
        <w:spacing w:before="59" w:line="212" w:lineRule="auto"/>
        <w:ind w:left="560"/>
      </w:pPr>
      <w:r>
        <w:rPr>
          <w:rFonts w:ascii="Times New Roman" w:hAnsi="Times New Roman" w:eastAsia="Times New Roman" w:cs="Times New Roman"/>
          <w:spacing w:val="-5"/>
        </w:rPr>
        <w:t>d)</w:t>
      </w:r>
      <w:r>
        <w:rPr>
          <w:rFonts w:ascii="Times New Roman" w:hAnsi="Times New Roman" w:eastAsia="Times New Roman" w:cs="Times New Roman"/>
          <w:spacing w:val="52"/>
          <w:w w:val="101"/>
        </w:rPr>
        <w:t xml:space="preserve"> </w:t>
      </w:r>
      <w:r>
        <w:rPr>
          <w:spacing w:val="-5"/>
        </w:rPr>
        <w:t>必须提供的表格、规程或其他手工操作；</w:t>
      </w:r>
    </w:p>
    <w:p w14:paraId="291FAABE">
      <w:pPr>
        <w:pStyle w:val="2"/>
        <w:spacing w:before="100"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73"/>
        </w:rPr>
        <w:t xml:space="preserve"> </w:t>
      </w:r>
      <w:r>
        <w:rPr>
          <w:spacing w:val="-4"/>
        </w:rPr>
        <w:t>必须提供的其他设施、设备或资源。</w:t>
      </w:r>
    </w:p>
    <w:p w14:paraId="31E712F1">
      <w:pPr>
        <w:spacing w:before="124" w:line="221" w:lineRule="auto"/>
        <w:rPr>
          <w:rFonts w:ascii="黑体" w:hAnsi="黑体" w:eastAsia="黑体" w:cs="黑体"/>
          <w:sz w:val="27"/>
          <w:szCs w:val="27"/>
        </w:rPr>
      </w:pPr>
      <w:r>
        <w:rPr>
          <w:rFonts w:ascii="黑体" w:hAnsi="黑体" w:eastAsia="黑体" w:cs="黑体"/>
          <w:spacing w:val="-1"/>
          <w:sz w:val="27"/>
          <w:szCs w:val="27"/>
        </w:rPr>
        <w:t>3.4</w:t>
      </w:r>
      <w:r>
        <w:rPr>
          <w:rFonts w:ascii="黑体" w:hAnsi="黑体" w:eastAsia="黑体" w:cs="黑体"/>
          <w:spacing w:val="23"/>
          <w:sz w:val="27"/>
          <w:szCs w:val="27"/>
        </w:rPr>
        <w:t xml:space="preserve">  </w:t>
      </w:r>
      <w:r>
        <w:rPr>
          <w:rFonts w:ascii="黑体" w:hAnsi="黑体" w:eastAsia="黑体" w:cs="黑体"/>
          <w:b/>
          <w:bCs/>
          <w:spacing w:val="-1"/>
          <w:sz w:val="27"/>
          <w:szCs w:val="27"/>
        </w:rPr>
        <w:t>软件组织和操作概述</w:t>
      </w:r>
    </w:p>
    <w:p w14:paraId="70EB921E">
      <w:pPr>
        <w:pStyle w:val="2"/>
        <w:spacing w:before="91" w:line="219" w:lineRule="auto"/>
        <w:ind w:left="560"/>
      </w:pPr>
      <w:r>
        <w:rPr>
          <w:spacing w:val="3"/>
        </w:rPr>
        <w:t>本条应从操作员的视角概述软件的组织和操作。(如适用)应包括：</w:t>
      </w:r>
    </w:p>
    <w:p w14:paraId="6765A33D">
      <w:pPr>
        <w:pStyle w:val="2"/>
        <w:spacing w:before="51" w:line="212" w:lineRule="auto"/>
        <w:ind w:left="560"/>
      </w:pPr>
      <w:r>
        <w:rPr>
          <w:rFonts w:ascii="Times New Roman" w:hAnsi="Times New Roman" w:eastAsia="Times New Roman" w:cs="Times New Roman"/>
        </w:rPr>
        <w:t xml:space="preserve">a)  </w:t>
      </w:r>
      <w:r>
        <w:t>软件的逻辑部件，并从操作员的视角简要说明每个部件的用途/操作。</w:t>
      </w:r>
    </w:p>
    <w:p w14:paraId="3D9D4A3D">
      <w:pPr>
        <w:pStyle w:val="2"/>
        <w:spacing w:before="90" w:line="212" w:lineRule="auto"/>
        <w:ind w:left="560"/>
      </w:pPr>
      <w:r>
        <w:rPr>
          <w:rFonts w:ascii="Times New Roman" w:hAnsi="Times New Roman" w:eastAsia="Times New Roman" w:cs="Times New Roman"/>
        </w:rPr>
        <w:t xml:space="preserve">b)  </w:t>
      </w:r>
      <w:r>
        <w:t>能够对软件进行的输入/访问的类型，以及软件对每种类型的响应。</w:t>
      </w:r>
    </w:p>
    <w:p w14:paraId="5877F5DA">
      <w:pPr>
        <w:pStyle w:val="2"/>
        <w:spacing w:before="132" w:line="212" w:lineRule="auto"/>
        <w:ind w:left="560"/>
        <w:rPr>
          <w:sz w:val="24"/>
          <w:szCs w:val="24"/>
        </w:rPr>
      </w:pPr>
      <w:r>
        <w:rPr>
          <w:rFonts w:ascii="Times New Roman" w:hAnsi="Times New Roman" w:eastAsia="Times New Roman" w:cs="Times New Roman"/>
          <w:spacing w:val="27"/>
          <w:sz w:val="24"/>
          <w:szCs w:val="24"/>
        </w:rPr>
        <w:t xml:space="preserve">c)  </w:t>
      </w:r>
      <w:r>
        <w:rPr>
          <w:spacing w:val="27"/>
          <w:sz w:val="24"/>
          <w:szCs w:val="24"/>
        </w:rPr>
        <w:t>软件所产生的报告和其他输出，包括对每个输出的保密性考</w:t>
      </w:r>
      <w:r>
        <w:rPr>
          <w:spacing w:val="26"/>
          <w:sz w:val="24"/>
          <w:szCs w:val="24"/>
        </w:rPr>
        <w:t>虑。</w:t>
      </w:r>
    </w:p>
    <w:p w14:paraId="4827F4A2">
      <w:pPr>
        <w:pStyle w:val="2"/>
        <w:spacing w:before="135" w:line="212" w:lineRule="auto"/>
        <w:ind w:left="560"/>
        <w:rPr>
          <w:sz w:val="24"/>
          <w:szCs w:val="24"/>
        </w:rPr>
      </w:pPr>
      <w:r>
        <w:rPr>
          <w:rFonts w:ascii="Times New Roman" w:hAnsi="Times New Roman" w:eastAsia="Times New Roman" w:cs="Times New Roman"/>
          <w:spacing w:val="27"/>
          <w:sz w:val="24"/>
          <w:szCs w:val="24"/>
        </w:rPr>
        <w:t xml:space="preserve">d)  </w:t>
      </w:r>
      <w:r>
        <w:rPr>
          <w:spacing w:val="27"/>
          <w:sz w:val="24"/>
          <w:szCs w:val="24"/>
        </w:rPr>
        <w:t>软件的典型运行时间和影响它的因素。</w:t>
      </w:r>
    </w:p>
    <w:p w14:paraId="7EFCF26C">
      <w:pPr>
        <w:pStyle w:val="2"/>
        <w:spacing w:before="132" w:line="262" w:lineRule="auto"/>
        <w:ind w:right="88" w:firstLine="560"/>
      </w:pPr>
      <w:r>
        <w:rPr>
          <w:rFonts w:ascii="Times New Roman" w:hAnsi="Times New Roman" w:eastAsia="Times New Roman" w:cs="Times New Roman"/>
          <w:spacing w:val="4"/>
        </w:rPr>
        <w:t>e)</w:t>
      </w:r>
      <w:r>
        <w:rPr>
          <w:rFonts w:ascii="Times New Roman" w:hAnsi="Times New Roman" w:eastAsia="Times New Roman" w:cs="Times New Roman"/>
          <w:spacing w:val="63"/>
        </w:rPr>
        <w:t xml:space="preserve"> </w:t>
      </w:r>
      <w:r>
        <w:rPr>
          <w:spacing w:val="4"/>
        </w:rPr>
        <w:t>把软件操作组织成若干运行，(如适用)应使用</w:t>
      </w:r>
      <w:r>
        <w:rPr>
          <w:spacing w:val="3"/>
        </w:rPr>
        <w:t>图表来描述不同操作之间</w:t>
      </w:r>
      <w:r>
        <w:t xml:space="preserve"> </w:t>
      </w:r>
      <w:r>
        <w:rPr>
          <w:spacing w:val="-2"/>
        </w:rPr>
        <w:t>是如何关联的。如果运行集依时间段或周期分组，应给</w:t>
      </w:r>
      <w:r>
        <w:rPr>
          <w:spacing w:val="-3"/>
        </w:rPr>
        <w:t>出对每天、每周等必需的</w:t>
      </w:r>
      <w:r>
        <w:t xml:space="preserve"> </w:t>
      </w:r>
      <w:r>
        <w:rPr>
          <w:spacing w:val="1"/>
        </w:rPr>
        <w:t>每个已集成操作集；如果运行可以逻辑上依组织层次分组(例如总部处理、现场</w:t>
      </w:r>
      <w:r>
        <w:rPr>
          <w:spacing w:val="15"/>
        </w:rPr>
        <w:t xml:space="preserve"> </w:t>
      </w:r>
      <w:r>
        <w:rPr>
          <w:spacing w:val="3"/>
        </w:rPr>
        <w:t>处理等),应给出每个组织层次能够执行的运行组。</w:t>
      </w:r>
    </w:p>
    <w:p w14:paraId="58C4B825">
      <w:pPr>
        <w:pStyle w:val="2"/>
        <w:spacing w:before="78" w:line="257" w:lineRule="auto"/>
        <w:ind w:firstLine="560"/>
      </w:pPr>
      <w:r>
        <w:rPr>
          <w:rFonts w:ascii="Times New Roman" w:hAnsi="Times New Roman" w:eastAsia="Times New Roman" w:cs="Times New Roman"/>
          <w:spacing w:val="3"/>
        </w:rPr>
        <w:t>f)</w:t>
      </w:r>
      <w:r>
        <w:rPr>
          <w:rFonts w:ascii="Times New Roman" w:hAnsi="Times New Roman" w:eastAsia="Times New Roman" w:cs="Times New Roman"/>
          <w:spacing w:val="69"/>
        </w:rPr>
        <w:t xml:space="preserve"> </w:t>
      </w:r>
      <w:r>
        <w:rPr>
          <w:spacing w:val="3"/>
        </w:rPr>
        <w:t>各种系统的限制、操作标准的豁免、面向特定支持领域的信息(例如库、</w:t>
      </w:r>
      <w:r>
        <w:t xml:space="preserve"> </w:t>
      </w:r>
      <w:r>
        <w:rPr>
          <w:spacing w:val="1"/>
        </w:rPr>
        <w:t>小型计算机和远程处理支持、与其他系统的接口),或者所处理的其他特殊</w:t>
      </w:r>
      <w:r>
        <w:t>方面。</w:t>
      </w:r>
    </w:p>
    <w:p w14:paraId="5A4CA938">
      <w:pPr>
        <w:pStyle w:val="2"/>
        <w:spacing w:before="67" w:line="257" w:lineRule="auto"/>
        <w:ind w:right="104" w:firstLine="560"/>
      </w:pPr>
      <w:r>
        <w:rPr>
          <w:rFonts w:ascii="Times New Roman" w:hAnsi="Times New Roman" w:eastAsia="Times New Roman" w:cs="Times New Roman"/>
          <w:spacing w:val="2"/>
        </w:rPr>
        <w:t xml:space="preserve">g)  </w:t>
      </w:r>
      <w:r>
        <w:rPr>
          <w:spacing w:val="2"/>
        </w:rPr>
        <w:t>概要描述软件的通信功能和处理情况，(若适用)应包括系统所使用的通</w:t>
      </w:r>
      <w:r>
        <w:rPr>
          <w:spacing w:val="17"/>
        </w:rPr>
        <w:t xml:space="preserve"> </w:t>
      </w:r>
      <w:r>
        <w:rPr>
          <w:spacing w:val="-1"/>
        </w:rPr>
        <w:t>信网络图。</w:t>
      </w:r>
    </w:p>
    <w:p w14:paraId="456D31A2">
      <w:pPr>
        <w:spacing w:before="103" w:line="221" w:lineRule="auto"/>
        <w:rPr>
          <w:rFonts w:ascii="黑体" w:hAnsi="黑体" w:eastAsia="黑体" w:cs="黑体"/>
          <w:sz w:val="24"/>
          <w:szCs w:val="24"/>
        </w:rPr>
      </w:pPr>
      <w:r>
        <w:rPr>
          <w:rFonts w:ascii="黑体" w:hAnsi="黑体" w:eastAsia="黑体" w:cs="黑体"/>
          <w:spacing w:val="25"/>
          <w:sz w:val="24"/>
          <w:szCs w:val="24"/>
        </w:rPr>
        <w:t>3.5</w:t>
      </w:r>
      <w:r>
        <w:rPr>
          <w:rFonts w:ascii="黑体" w:hAnsi="黑体" w:eastAsia="黑体" w:cs="黑体"/>
          <w:spacing w:val="63"/>
          <w:sz w:val="24"/>
          <w:szCs w:val="24"/>
        </w:rPr>
        <w:t xml:space="preserve">  </w:t>
      </w:r>
      <w:r>
        <w:rPr>
          <w:rFonts w:ascii="黑体" w:hAnsi="黑体" w:eastAsia="黑体" w:cs="黑体"/>
          <w:b/>
          <w:bCs/>
          <w:spacing w:val="25"/>
          <w:sz w:val="24"/>
          <w:szCs w:val="24"/>
        </w:rPr>
        <w:t>意外事件和运行的备用状态和方式</w:t>
      </w:r>
    </w:p>
    <w:p w14:paraId="29255E2A">
      <w:pPr>
        <w:pStyle w:val="2"/>
        <w:spacing w:before="108" w:line="276" w:lineRule="auto"/>
        <w:ind w:right="114" w:firstLine="560"/>
      </w:pPr>
      <w:r>
        <w:rPr>
          <w:spacing w:val="5"/>
        </w:rPr>
        <w:t xml:space="preserve">(如适用)本条应说明在紧急时刻以及在不同运行状态和方式下软件操作的 </w:t>
      </w:r>
      <w:r>
        <w:rPr>
          <w:spacing w:val="-6"/>
        </w:rPr>
        <w:t>差异。</w:t>
      </w:r>
    </w:p>
    <w:p w14:paraId="1679BF14">
      <w:pPr>
        <w:spacing w:before="17" w:line="221" w:lineRule="auto"/>
        <w:rPr>
          <w:rFonts w:ascii="黑体" w:hAnsi="黑体" w:eastAsia="黑体" w:cs="黑体"/>
          <w:sz w:val="25"/>
          <w:szCs w:val="25"/>
        </w:rPr>
      </w:pPr>
      <w:r>
        <w:rPr>
          <w:rFonts w:ascii="黑体" w:hAnsi="黑体" w:eastAsia="黑体" w:cs="黑体"/>
          <w:spacing w:val="13"/>
          <w:sz w:val="25"/>
          <w:szCs w:val="25"/>
        </w:rPr>
        <w:t>3.6</w:t>
      </w:r>
      <w:r>
        <w:rPr>
          <w:rFonts w:ascii="黑体" w:hAnsi="黑体" w:eastAsia="黑体" w:cs="黑体"/>
          <w:spacing w:val="44"/>
          <w:sz w:val="25"/>
          <w:szCs w:val="25"/>
        </w:rPr>
        <w:t xml:space="preserve">  </w:t>
      </w:r>
      <w:r>
        <w:rPr>
          <w:rFonts w:ascii="黑体" w:hAnsi="黑体" w:eastAsia="黑体" w:cs="黑体"/>
          <w:b/>
          <w:bCs/>
          <w:spacing w:val="13"/>
          <w:sz w:val="25"/>
          <w:szCs w:val="25"/>
        </w:rPr>
        <w:t>保密性</w:t>
      </w:r>
    </w:p>
    <w:p w14:paraId="3E82A102">
      <w:pPr>
        <w:pStyle w:val="2"/>
        <w:spacing w:before="75" w:line="295" w:lineRule="auto"/>
        <w:ind w:right="124" w:firstLine="560"/>
      </w:pPr>
      <w:r>
        <w:rPr>
          <w:spacing w:val="5"/>
        </w:rPr>
        <w:t>本条应概述与本软件相关的保密性考虑，适用时还应包括对软件或文档进</w:t>
      </w:r>
      <w:r>
        <w:t xml:space="preserve"> </w:t>
      </w:r>
      <w:r>
        <w:rPr>
          <w:spacing w:val="2"/>
        </w:rPr>
        <w:t>行非授权复制的警告信息。</w:t>
      </w:r>
    </w:p>
    <w:p w14:paraId="3F2160B9">
      <w:pPr>
        <w:spacing w:line="295" w:lineRule="auto"/>
        <w:sectPr>
          <w:footerReference r:id="rId260" w:type="default"/>
          <w:pgSz w:w="11910" w:h="17130"/>
          <w:pgMar w:top="1456" w:right="1314" w:bottom="1607" w:left="1110" w:header="0" w:footer="1426" w:gutter="0"/>
          <w:cols w:space="720" w:num="1"/>
        </w:sectPr>
      </w:pPr>
    </w:p>
    <w:p w14:paraId="3C72BC91">
      <w:pPr>
        <w:spacing w:before="59" w:line="222" w:lineRule="auto"/>
        <w:rPr>
          <w:rFonts w:ascii="黑体" w:hAnsi="黑体" w:eastAsia="黑体" w:cs="黑体"/>
          <w:sz w:val="27"/>
          <w:szCs w:val="27"/>
        </w:rPr>
      </w:pPr>
      <w:r>
        <w:rPr>
          <w:rFonts w:ascii="黑体" w:hAnsi="黑体" w:eastAsia="黑体" w:cs="黑体"/>
          <w:spacing w:val="-2"/>
          <w:sz w:val="27"/>
          <w:szCs w:val="27"/>
        </w:rPr>
        <w:t>3.7</w:t>
      </w:r>
      <w:r>
        <w:rPr>
          <w:rFonts w:ascii="黑体" w:hAnsi="黑体" w:eastAsia="黑体" w:cs="黑体"/>
          <w:spacing w:val="42"/>
          <w:sz w:val="27"/>
          <w:szCs w:val="27"/>
        </w:rPr>
        <w:t xml:space="preserve">  </w:t>
      </w:r>
      <w:r>
        <w:rPr>
          <w:rFonts w:ascii="黑体" w:hAnsi="黑体" w:eastAsia="黑体" w:cs="黑体"/>
          <w:b/>
          <w:bCs/>
          <w:spacing w:val="-2"/>
          <w:sz w:val="27"/>
          <w:szCs w:val="27"/>
        </w:rPr>
        <w:t>帮助和问题报告</w:t>
      </w:r>
    </w:p>
    <w:p w14:paraId="2601DF99">
      <w:pPr>
        <w:pStyle w:val="2"/>
        <w:spacing w:before="49" w:line="303" w:lineRule="auto"/>
        <w:ind w:right="113" w:firstLine="550"/>
      </w:pPr>
      <w:r>
        <w:rPr>
          <w:spacing w:val="6"/>
        </w:rPr>
        <w:t>本条应标识联系方式、获得帮助和报告软件使用中遇到的问题所应遵</w:t>
      </w:r>
      <w:r>
        <w:rPr>
          <w:spacing w:val="5"/>
        </w:rPr>
        <w:t>循的</w:t>
      </w:r>
      <w:r>
        <w:t xml:space="preserve"> </w:t>
      </w:r>
      <w:r>
        <w:rPr>
          <w:spacing w:val="-4"/>
        </w:rPr>
        <w:t>规程。</w:t>
      </w:r>
    </w:p>
    <w:p w14:paraId="744D249C">
      <w:pPr>
        <w:spacing w:line="221" w:lineRule="auto"/>
        <w:rPr>
          <w:rFonts w:ascii="黑体" w:hAnsi="黑体" w:eastAsia="黑体" w:cs="黑体"/>
          <w:sz w:val="24"/>
          <w:szCs w:val="24"/>
        </w:rPr>
      </w:pPr>
      <w:r>
        <w:rPr>
          <w:rFonts w:ascii="黑体" w:hAnsi="黑体" w:eastAsia="黑体" w:cs="黑体"/>
          <w:spacing w:val="25"/>
          <w:sz w:val="24"/>
          <w:szCs w:val="24"/>
        </w:rPr>
        <w:t>4</w:t>
      </w:r>
      <w:r>
        <w:rPr>
          <w:rFonts w:ascii="黑体" w:hAnsi="黑体" w:eastAsia="黑体" w:cs="黑体"/>
          <w:spacing w:val="43"/>
          <w:sz w:val="24"/>
          <w:szCs w:val="24"/>
        </w:rPr>
        <w:t xml:space="preserve">  </w:t>
      </w:r>
      <w:r>
        <w:rPr>
          <w:rFonts w:ascii="黑体" w:hAnsi="黑体" w:eastAsia="黑体" w:cs="黑体"/>
          <w:b/>
          <w:bCs/>
          <w:spacing w:val="25"/>
          <w:sz w:val="24"/>
          <w:szCs w:val="24"/>
        </w:rPr>
        <w:t>安装和设置</w:t>
      </w:r>
    </w:p>
    <w:p w14:paraId="453170A8">
      <w:pPr>
        <w:pStyle w:val="2"/>
        <w:spacing w:before="56" w:line="284" w:lineRule="auto"/>
        <w:ind w:firstLine="550"/>
        <w:jc w:val="both"/>
      </w:pPr>
      <w:r>
        <w:rPr>
          <w:spacing w:val="1"/>
        </w:rPr>
        <w:t xml:space="preserve">本章应描述在设备上安装、配置本软件，删除或覆盖旧版本的文件或数据， </w:t>
      </w:r>
      <w:r>
        <w:rPr>
          <w:spacing w:val="-2"/>
        </w:rPr>
        <w:t>输入软件运行所需的参数时必须执行的规程。在必要的位置，</w:t>
      </w:r>
      <w:r>
        <w:rPr>
          <w:spacing w:val="-3"/>
        </w:rPr>
        <w:t>用“警告”或“注</w:t>
      </w:r>
      <w:r>
        <w:t xml:space="preserve">  </w:t>
      </w:r>
      <w:r>
        <w:rPr>
          <w:spacing w:val="-10"/>
        </w:rPr>
        <w:t>意”标记给出安全提示。</w:t>
      </w:r>
    </w:p>
    <w:p w14:paraId="4806CB40">
      <w:pPr>
        <w:spacing w:line="221" w:lineRule="auto"/>
        <w:outlineLvl w:val="3"/>
        <w:rPr>
          <w:rFonts w:ascii="黑体" w:hAnsi="黑体" w:eastAsia="黑体" w:cs="黑体"/>
          <w:sz w:val="27"/>
          <w:szCs w:val="27"/>
        </w:rPr>
      </w:pPr>
      <w:r>
        <w:rPr>
          <w:rFonts w:ascii="Arial" w:hAnsi="Arial" w:eastAsia="Arial" w:cs="Arial"/>
          <w:b/>
          <w:bCs/>
          <w:spacing w:val="-3"/>
          <w:sz w:val="27"/>
          <w:szCs w:val="27"/>
        </w:rPr>
        <w:t>5</w:t>
      </w:r>
      <w:r>
        <w:rPr>
          <w:rFonts w:ascii="Arial" w:hAnsi="Arial" w:eastAsia="Arial" w:cs="Arial"/>
          <w:b/>
          <w:bCs/>
          <w:spacing w:val="24"/>
          <w:sz w:val="27"/>
          <w:szCs w:val="27"/>
        </w:rPr>
        <w:t xml:space="preserve">   </w:t>
      </w:r>
      <w:r>
        <w:rPr>
          <w:rFonts w:ascii="黑体" w:hAnsi="黑体" w:eastAsia="黑体" w:cs="黑体"/>
          <w:b/>
          <w:bCs/>
          <w:spacing w:val="-3"/>
          <w:sz w:val="27"/>
          <w:szCs w:val="27"/>
        </w:rPr>
        <w:t>运行描述</w:t>
      </w:r>
    </w:p>
    <w:p w14:paraId="186ECFBE">
      <w:pPr>
        <w:pStyle w:val="2"/>
        <w:spacing w:before="88" w:line="273" w:lineRule="auto"/>
        <w:ind w:right="119" w:firstLine="550"/>
      </w:pPr>
      <w:r>
        <w:rPr>
          <w:spacing w:val="-11"/>
        </w:rPr>
        <w:t>本章分条描述要执行的运行。在必要的位置用“警告”或“注意”标记给出安</w:t>
      </w:r>
      <w:r>
        <w:rPr>
          <w:spacing w:val="18"/>
        </w:rPr>
        <w:t xml:space="preserve"> </w:t>
      </w:r>
      <w:r>
        <w:rPr>
          <w:spacing w:val="-3"/>
        </w:rPr>
        <w:t>全提示。</w:t>
      </w:r>
    </w:p>
    <w:p w14:paraId="14480A52">
      <w:pPr>
        <w:spacing w:line="221" w:lineRule="auto"/>
        <w:rPr>
          <w:rFonts w:ascii="黑体" w:hAnsi="黑体" w:eastAsia="黑体" w:cs="黑体"/>
          <w:sz w:val="27"/>
          <w:szCs w:val="27"/>
        </w:rPr>
      </w:pPr>
      <w:r>
        <w:rPr>
          <w:rFonts w:ascii="黑体" w:hAnsi="黑体" w:eastAsia="黑体" w:cs="黑体"/>
          <w:spacing w:val="3"/>
          <w:sz w:val="27"/>
          <w:szCs w:val="27"/>
        </w:rPr>
        <w:t>5.1</w:t>
      </w:r>
      <w:r>
        <w:rPr>
          <w:rFonts w:ascii="黑体" w:hAnsi="黑体" w:eastAsia="黑体" w:cs="黑体"/>
          <w:spacing w:val="12"/>
          <w:sz w:val="27"/>
          <w:szCs w:val="27"/>
        </w:rPr>
        <w:t xml:space="preserve">  </w:t>
      </w:r>
      <w:r>
        <w:rPr>
          <w:rFonts w:ascii="黑体" w:hAnsi="黑体" w:eastAsia="黑体" w:cs="黑体"/>
          <w:b/>
          <w:bCs/>
          <w:spacing w:val="3"/>
          <w:sz w:val="27"/>
          <w:szCs w:val="27"/>
        </w:rPr>
        <w:t>运行清单</w:t>
      </w:r>
    </w:p>
    <w:p w14:paraId="1AE6D87F">
      <w:pPr>
        <w:pStyle w:val="2"/>
        <w:spacing w:before="129" w:line="276" w:lineRule="auto"/>
        <w:ind w:right="30" w:firstLine="550"/>
        <w:jc w:val="both"/>
        <w:rPr>
          <w:rFonts w:ascii="黑体" w:hAnsi="黑体" w:eastAsia="黑体" w:cs="黑体"/>
          <w:sz w:val="25"/>
          <w:szCs w:val="25"/>
        </w:rPr>
      </w:pPr>
      <w:r>
        <w:rPr>
          <w:spacing w:val="-3"/>
        </w:rPr>
        <w:t>本条应列出要执行的运行列表，标识构成每个运行的软件和作业，应包括对</w:t>
      </w:r>
      <w:r>
        <w:rPr>
          <w:spacing w:val="9"/>
        </w:rPr>
        <w:t xml:space="preserve"> </w:t>
      </w:r>
      <w:r>
        <w:t>每个运行的用途的概要说明，并使列表与本章其他部分包含的运行描述相关联。</w:t>
      </w:r>
      <w:r>
        <w:rPr>
          <w:spacing w:val="13"/>
        </w:rPr>
        <w:t xml:space="preserve"> </w:t>
      </w:r>
      <w:r>
        <w:rPr>
          <w:rFonts w:ascii="黑体" w:hAnsi="黑体" w:eastAsia="黑体" w:cs="黑体"/>
          <w:spacing w:val="8"/>
          <w:sz w:val="25"/>
          <w:szCs w:val="25"/>
        </w:rPr>
        <w:t>5.2</w:t>
      </w:r>
      <w:r>
        <w:rPr>
          <w:rFonts w:ascii="黑体" w:hAnsi="黑体" w:eastAsia="黑体" w:cs="黑体"/>
          <w:spacing w:val="46"/>
          <w:sz w:val="25"/>
          <w:szCs w:val="25"/>
        </w:rPr>
        <w:t xml:space="preserve">  </w:t>
      </w:r>
      <w:r>
        <w:rPr>
          <w:rFonts w:ascii="黑体" w:hAnsi="黑体" w:eastAsia="黑体" w:cs="黑体"/>
          <w:b/>
          <w:bCs/>
          <w:spacing w:val="8"/>
          <w:sz w:val="25"/>
          <w:szCs w:val="25"/>
        </w:rPr>
        <w:t>阶段划分</w:t>
      </w:r>
    </w:p>
    <w:p w14:paraId="6F1AB598">
      <w:pPr>
        <w:pStyle w:val="2"/>
        <w:spacing w:before="18" w:line="272" w:lineRule="auto"/>
        <w:ind w:right="110" w:firstLine="550"/>
        <w:jc w:val="both"/>
      </w:pPr>
      <w:r>
        <w:t>本条应描述将软件分成逻辑运行系列的可接受的阶段划分。</w:t>
      </w:r>
      <w:r>
        <w:rPr>
          <w:spacing w:val="61"/>
        </w:rPr>
        <w:t xml:space="preserve"> </w:t>
      </w:r>
      <w:r>
        <w:t>一个运</w:t>
      </w:r>
      <w:r>
        <w:rPr>
          <w:spacing w:val="-1"/>
        </w:rPr>
        <w:t>行可以</w:t>
      </w:r>
      <w:r>
        <w:t xml:space="preserve"> </w:t>
      </w:r>
      <w:r>
        <w:rPr>
          <w:spacing w:val="-2"/>
        </w:rPr>
        <w:t>分阶段，以便能手工或半自动地校验中间结果，向用户提供中间结果用于其他目</w:t>
      </w:r>
      <w:r>
        <w:t xml:space="preserve"> </w:t>
      </w:r>
      <w:r>
        <w:rPr>
          <w:spacing w:val="-2"/>
        </w:rPr>
        <w:t>的；或者当提交高优先级作业时，允许逻辑暂停。对于大</w:t>
      </w:r>
      <w:r>
        <w:rPr>
          <w:spacing w:val="-3"/>
        </w:rPr>
        <w:t>多数系统，最基本的阶</w:t>
      </w:r>
      <w:r>
        <w:t xml:space="preserve"> </w:t>
      </w:r>
      <w:r>
        <w:rPr>
          <w:spacing w:val="-5"/>
        </w:rPr>
        <w:t>段划分是编辑、文件更新和报告准备。</w:t>
      </w:r>
    </w:p>
    <w:p w14:paraId="798D6066">
      <w:pPr>
        <w:spacing w:before="35" w:line="221" w:lineRule="auto"/>
        <w:rPr>
          <w:rFonts w:ascii="黑体" w:hAnsi="黑体" w:eastAsia="黑体" w:cs="黑体"/>
          <w:sz w:val="25"/>
          <w:szCs w:val="25"/>
        </w:rPr>
      </w:pPr>
      <w:r>
        <w:rPr>
          <w:rFonts w:ascii="黑体" w:hAnsi="黑体" w:eastAsia="黑体" w:cs="黑体"/>
          <w:spacing w:val="13"/>
          <w:sz w:val="25"/>
          <w:szCs w:val="25"/>
        </w:rPr>
        <w:t>5.3</w:t>
      </w:r>
      <w:r>
        <w:rPr>
          <w:rFonts w:ascii="黑体" w:hAnsi="黑体" w:eastAsia="黑体" w:cs="黑体"/>
          <w:spacing w:val="38"/>
          <w:sz w:val="25"/>
          <w:szCs w:val="25"/>
        </w:rPr>
        <w:t xml:space="preserve">  </w:t>
      </w:r>
      <w:r>
        <w:rPr>
          <w:rFonts w:ascii="黑体" w:hAnsi="黑体" w:eastAsia="黑体" w:cs="黑体"/>
          <w:b/>
          <w:bCs/>
          <w:spacing w:val="13"/>
          <w:sz w:val="25"/>
          <w:szCs w:val="25"/>
        </w:rPr>
        <w:t>诊断规程</w:t>
      </w:r>
    </w:p>
    <w:p w14:paraId="32EE1825">
      <w:pPr>
        <w:pStyle w:val="2"/>
        <w:spacing w:before="116" w:line="269" w:lineRule="auto"/>
        <w:ind w:right="123" w:firstLine="550"/>
      </w:pPr>
      <w:r>
        <w:rPr>
          <w:spacing w:val="6"/>
        </w:rPr>
        <w:t>本条应提供软件诊断的设置和执行的规程，包</w:t>
      </w:r>
      <w:r>
        <w:rPr>
          <w:spacing w:val="5"/>
        </w:rPr>
        <w:t>括用于确认和问题定位的规</w:t>
      </w:r>
      <w:r>
        <w:t xml:space="preserve"> </w:t>
      </w:r>
      <w:r>
        <w:rPr>
          <w:spacing w:val="-4"/>
        </w:rPr>
        <w:t>程，还应说明诊断软件的所有参数(输入和输出)、</w:t>
      </w:r>
      <w:r>
        <w:rPr>
          <w:spacing w:val="-5"/>
        </w:rPr>
        <w:t>代码和取值范围。</w:t>
      </w:r>
    </w:p>
    <w:p w14:paraId="1265A25E">
      <w:pPr>
        <w:spacing w:before="1" w:line="221" w:lineRule="auto"/>
        <w:rPr>
          <w:rFonts w:ascii="黑体" w:hAnsi="黑体" w:eastAsia="黑体" w:cs="黑体"/>
          <w:sz w:val="27"/>
          <w:szCs w:val="27"/>
        </w:rPr>
      </w:pPr>
      <w:r>
        <w:rPr>
          <w:rFonts w:ascii="黑体" w:hAnsi="黑体" w:eastAsia="黑体" w:cs="黑体"/>
          <w:sz w:val="27"/>
          <w:szCs w:val="27"/>
        </w:rPr>
        <w:t>5.4</w:t>
      </w:r>
      <w:r>
        <w:rPr>
          <w:rFonts w:ascii="黑体" w:hAnsi="黑体" w:eastAsia="黑体" w:cs="黑体"/>
          <w:spacing w:val="11"/>
          <w:sz w:val="27"/>
          <w:szCs w:val="27"/>
        </w:rPr>
        <w:t xml:space="preserve">  </w:t>
      </w:r>
      <w:r>
        <w:rPr>
          <w:rFonts w:ascii="黑体" w:hAnsi="黑体" w:eastAsia="黑体" w:cs="黑体"/>
          <w:b/>
          <w:bCs/>
          <w:sz w:val="27"/>
          <w:szCs w:val="27"/>
        </w:rPr>
        <w:t>错误信息列表</w:t>
      </w:r>
    </w:p>
    <w:p w14:paraId="38D8309D">
      <w:pPr>
        <w:pStyle w:val="2"/>
        <w:spacing w:before="89" w:line="267" w:lineRule="auto"/>
        <w:ind w:right="113" w:firstLine="550"/>
      </w:pPr>
      <w:r>
        <w:rPr>
          <w:spacing w:val="6"/>
        </w:rPr>
        <w:t>本条应列出本软件所产生的错误信息输出，以及每个信息的含义和对</w:t>
      </w:r>
      <w:r>
        <w:rPr>
          <w:spacing w:val="5"/>
        </w:rPr>
        <w:t>应的</w:t>
      </w:r>
      <w:r>
        <w:t xml:space="preserve"> </w:t>
      </w:r>
      <w:r>
        <w:rPr>
          <w:spacing w:val="-1"/>
        </w:rPr>
        <w:t>纠正规程。</w:t>
      </w:r>
    </w:p>
    <w:p w14:paraId="3796C003">
      <w:pPr>
        <w:spacing w:line="368" w:lineRule="exact"/>
        <w:rPr>
          <w:rFonts w:ascii="黑体" w:hAnsi="黑体" w:eastAsia="黑体" w:cs="黑体"/>
          <w:sz w:val="27"/>
          <w:szCs w:val="27"/>
        </w:rPr>
      </w:pPr>
      <w:r>
        <w:rPr>
          <w:rFonts w:ascii="Arial" w:hAnsi="Arial" w:eastAsia="Arial" w:cs="Arial"/>
          <w:spacing w:val="5"/>
          <w:position w:val="1"/>
          <w:sz w:val="27"/>
          <w:szCs w:val="27"/>
        </w:rPr>
        <w:t xml:space="preserve">5.5    </w:t>
      </w:r>
      <w:r>
        <w:rPr>
          <w:rFonts w:ascii="黑体" w:hAnsi="黑体" w:eastAsia="黑体" w:cs="黑体"/>
          <w:spacing w:val="5"/>
          <w:position w:val="1"/>
          <w:sz w:val="27"/>
          <w:szCs w:val="27"/>
        </w:rPr>
        <w:t>每个运行的说明</w:t>
      </w:r>
    </w:p>
    <w:p w14:paraId="4D432F40">
      <w:pPr>
        <w:pStyle w:val="2"/>
        <w:spacing w:before="113" w:line="219" w:lineRule="auto"/>
        <w:ind w:left="550"/>
      </w:pPr>
      <w:r>
        <w:rPr>
          <w:spacing w:val="3"/>
        </w:rPr>
        <w:t>从5.5.1开始编号，分小条描述运行情况。</w:t>
      </w:r>
    </w:p>
    <w:p w14:paraId="6735E5B4">
      <w:pPr>
        <w:spacing w:before="26" w:line="368" w:lineRule="exact"/>
        <w:rPr>
          <w:rFonts w:ascii="黑体" w:hAnsi="黑体" w:eastAsia="黑体" w:cs="黑体"/>
          <w:sz w:val="27"/>
          <w:szCs w:val="27"/>
        </w:rPr>
      </w:pPr>
      <w:r>
        <w:rPr>
          <w:rFonts w:ascii="Arial" w:hAnsi="Arial" w:eastAsia="Arial" w:cs="Arial"/>
          <w:spacing w:val="-1"/>
          <w:position w:val="1"/>
          <w:sz w:val="27"/>
          <w:szCs w:val="27"/>
        </w:rPr>
        <w:t>5.5.X</w:t>
      </w:r>
      <w:r>
        <w:rPr>
          <w:rFonts w:ascii="Arial" w:hAnsi="Arial" w:eastAsia="Arial" w:cs="Arial"/>
          <w:spacing w:val="10"/>
          <w:position w:val="1"/>
          <w:sz w:val="27"/>
          <w:szCs w:val="27"/>
        </w:rPr>
        <w:t xml:space="preserve">     </w:t>
      </w:r>
      <w:r>
        <w:rPr>
          <w:rFonts w:ascii="黑体" w:hAnsi="黑体" w:eastAsia="黑体" w:cs="黑体"/>
          <w:b/>
          <w:bCs/>
          <w:spacing w:val="-1"/>
          <w:position w:val="1"/>
          <w:sz w:val="27"/>
          <w:szCs w:val="27"/>
        </w:rPr>
        <w:t>(运行名或标识)的运行描述</w:t>
      </w:r>
    </w:p>
    <w:p w14:paraId="277A1D88">
      <w:pPr>
        <w:pStyle w:val="2"/>
        <w:spacing w:before="104" w:line="219" w:lineRule="auto"/>
        <w:ind w:left="550"/>
      </w:pPr>
      <w:r>
        <w:rPr>
          <w:spacing w:val="-1"/>
        </w:rPr>
        <w:t>本条应标识一个运行，并应分为以下几条来描述该运行。</w:t>
      </w:r>
    </w:p>
    <w:p w14:paraId="4D569F5C">
      <w:pPr>
        <w:spacing w:before="46" w:line="222" w:lineRule="auto"/>
        <w:rPr>
          <w:rFonts w:ascii="黑体" w:hAnsi="黑体" w:eastAsia="黑体" w:cs="黑体"/>
          <w:sz w:val="27"/>
          <w:szCs w:val="27"/>
        </w:rPr>
      </w:pPr>
      <w:r>
        <w:rPr>
          <w:rFonts w:ascii="Times New Roman" w:hAnsi="Times New Roman" w:eastAsia="Times New Roman" w:cs="Times New Roman"/>
          <w:spacing w:val="-4"/>
          <w:sz w:val="27"/>
          <w:szCs w:val="27"/>
        </w:rPr>
        <w:t>5.5.X.</w:t>
      </w:r>
      <w:r>
        <w:rPr>
          <w:rFonts w:ascii="Times New Roman" w:hAnsi="Times New Roman" w:eastAsia="Times New Roman" w:cs="Times New Roman"/>
          <w:spacing w:val="34"/>
          <w:sz w:val="27"/>
          <w:szCs w:val="27"/>
        </w:rPr>
        <w:t xml:space="preserve">  </w:t>
      </w:r>
      <w:r>
        <w:rPr>
          <w:rFonts w:ascii="黑体" w:hAnsi="黑体" w:eastAsia="黑体" w:cs="黑体"/>
          <w:spacing w:val="-4"/>
          <w:sz w:val="27"/>
          <w:szCs w:val="27"/>
        </w:rPr>
        <w:t>1</w:t>
      </w:r>
      <w:r>
        <w:rPr>
          <w:rFonts w:ascii="黑体" w:hAnsi="黑体" w:eastAsia="黑体" w:cs="黑体"/>
          <w:spacing w:val="36"/>
          <w:sz w:val="27"/>
          <w:szCs w:val="27"/>
        </w:rPr>
        <w:t xml:space="preserve">  </w:t>
      </w:r>
      <w:r>
        <w:rPr>
          <w:rFonts w:ascii="黑体" w:hAnsi="黑体" w:eastAsia="黑体" w:cs="黑体"/>
          <w:b/>
          <w:bCs/>
          <w:spacing w:val="-4"/>
          <w:sz w:val="27"/>
          <w:szCs w:val="27"/>
        </w:rPr>
        <w:t>控制输入</w:t>
      </w:r>
    </w:p>
    <w:p w14:paraId="6E0E27FC">
      <w:pPr>
        <w:pStyle w:val="2"/>
        <w:spacing w:before="129" w:line="219" w:lineRule="auto"/>
        <w:ind w:left="550"/>
      </w:pPr>
      <w:r>
        <w:rPr>
          <w:spacing w:val="4"/>
        </w:rPr>
        <w:t>本条应提供启动运行所需的作业控制语句的运行流列表。</w:t>
      </w:r>
    </w:p>
    <w:p w14:paraId="57101D8F">
      <w:pPr>
        <w:spacing w:before="36" w:line="222" w:lineRule="auto"/>
        <w:rPr>
          <w:rFonts w:ascii="黑体" w:hAnsi="黑体" w:eastAsia="黑体" w:cs="黑体"/>
          <w:sz w:val="28"/>
          <w:szCs w:val="28"/>
        </w:rPr>
      </w:pPr>
      <w:r>
        <w:rPr>
          <w:rFonts w:ascii="Times New Roman" w:hAnsi="Times New Roman" w:eastAsia="Times New Roman" w:cs="Times New Roman"/>
          <w:spacing w:val="-4"/>
          <w:sz w:val="28"/>
          <w:szCs w:val="28"/>
        </w:rPr>
        <w:t>5.5.X.</w:t>
      </w:r>
      <w:r>
        <w:rPr>
          <w:rFonts w:ascii="Times New Roman" w:hAnsi="Times New Roman" w:eastAsia="Times New Roman" w:cs="Times New Roman"/>
          <w:spacing w:val="21"/>
          <w:sz w:val="28"/>
          <w:szCs w:val="28"/>
        </w:rPr>
        <w:t xml:space="preserve">  </w:t>
      </w:r>
      <w:r>
        <w:rPr>
          <w:rFonts w:ascii="黑体" w:hAnsi="黑体" w:eastAsia="黑体" w:cs="黑体"/>
          <w:spacing w:val="-4"/>
          <w:sz w:val="28"/>
          <w:szCs w:val="28"/>
        </w:rPr>
        <w:t xml:space="preserve">2  </w:t>
      </w:r>
      <w:r>
        <w:rPr>
          <w:rFonts w:ascii="黑体" w:hAnsi="黑体" w:eastAsia="黑体" w:cs="黑体"/>
          <w:b/>
          <w:bCs/>
          <w:spacing w:val="-4"/>
          <w:sz w:val="28"/>
          <w:szCs w:val="28"/>
        </w:rPr>
        <w:t>运行管理信息</w:t>
      </w:r>
    </w:p>
    <w:p w14:paraId="5F3EFFF9">
      <w:pPr>
        <w:pStyle w:val="2"/>
        <w:spacing w:before="117" w:line="219" w:lineRule="auto"/>
        <w:ind w:left="550"/>
      </w:pPr>
      <w:r>
        <w:rPr>
          <w:spacing w:val="-3"/>
        </w:rPr>
        <w:t>本条应描述管理运行所需要的信息，(如适用)应包括：</w:t>
      </w:r>
    </w:p>
    <w:p w14:paraId="315DE5EB">
      <w:pPr>
        <w:pStyle w:val="2"/>
        <w:spacing w:before="111" w:line="220" w:lineRule="auto"/>
        <w:ind w:left="550"/>
        <w:rPr>
          <w:sz w:val="24"/>
          <w:szCs w:val="24"/>
        </w:rPr>
      </w:pPr>
      <w:r>
        <w:rPr>
          <w:rFonts w:ascii="Times New Roman" w:hAnsi="Times New Roman" w:eastAsia="Times New Roman" w:cs="Times New Roman"/>
          <w:spacing w:val="24"/>
          <w:sz w:val="24"/>
          <w:szCs w:val="24"/>
        </w:rPr>
        <w:t>a</w:t>
      </w:r>
      <w:r>
        <w:rPr>
          <w:rFonts w:ascii="Times New Roman" w:hAnsi="Times New Roman" w:eastAsia="Times New Roman" w:cs="Times New Roman"/>
          <w:spacing w:val="-6"/>
          <w:sz w:val="24"/>
          <w:szCs w:val="24"/>
        </w:rPr>
        <w:t xml:space="preserve"> </w:t>
      </w:r>
      <w:r>
        <w:rPr>
          <w:spacing w:val="24"/>
          <w:sz w:val="24"/>
          <w:szCs w:val="24"/>
        </w:rPr>
        <w:t>)</w:t>
      </w:r>
      <w:r>
        <w:rPr>
          <w:spacing w:val="-30"/>
          <w:sz w:val="24"/>
          <w:szCs w:val="24"/>
        </w:rPr>
        <w:t xml:space="preserve"> </w:t>
      </w:r>
      <w:r>
        <w:rPr>
          <w:spacing w:val="24"/>
          <w:sz w:val="24"/>
          <w:szCs w:val="24"/>
        </w:rPr>
        <w:t>外围设备和资源需求；</w:t>
      </w:r>
    </w:p>
    <w:p w14:paraId="1D123C01">
      <w:pPr>
        <w:pStyle w:val="2"/>
        <w:spacing w:before="44" w:line="212" w:lineRule="auto"/>
        <w:ind w:left="550"/>
      </w:pPr>
      <w:r>
        <w:rPr>
          <w:rFonts w:ascii="Times New Roman" w:hAnsi="Times New Roman" w:eastAsia="Times New Roman" w:cs="Times New Roman"/>
        </w:rPr>
        <w:t>b)</w:t>
      </w:r>
      <w:r>
        <w:rPr>
          <w:rFonts w:ascii="Times New Roman" w:hAnsi="Times New Roman" w:eastAsia="Times New Roman" w:cs="Times New Roman"/>
          <w:spacing w:val="61"/>
        </w:rPr>
        <w:t xml:space="preserve"> </w:t>
      </w:r>
      <w:r>
        <w:t>保密性考虑；</w:t>
      </w:r>
    </w:p>
    <w:p w14:paraId="421B2B01">
      <w:pPr>
        <w:spacing w:line="212" w:lineRule="auto"/>
        <w:sectPr>
          <w:footerReference r:id="rId261" w:type="default"/>
          <w:pgSz w:w="11910" w:h="17130"/>
          <w:pgMar w:top="1456" w:right="854" w:bottom="1616" w:left="1559" w:header="0" w:footer="1426" w:gutter="0"/>
          <w:cols w:space="720" w:num="1"/>
        </w:sectPr>
      </w:pPr>
    </w:p>
    <w:p w14:paraId="01BFB96E">
      <w:pPr>
        <w:pStyle w:val="2"/>
        <w:spacing w:before="58" w:line="212" w:lineRule="auto"/>
        <w:ind w:left="539"/>
      </w:pPr>
      <w:r>
        <w:rPr>
          <w:rFonts w:ascii="Times New Roman" w:hAnsi="Times New Roman" w:eastAsia="Times New Roman" w:cs="Times New Roman"/>
          <w:spacing w:val="-5"/>
        </w:rPr>
        <w:t>c)</w:t>
      </w:r>
      <w:r>
        <w:rPr>
          <w:rFonts w:ascii="Times New Roman" w:hAnsi="Times New Roman" w:eastAsia="Times New Roman" w:cs="Times New Roman"/>
          <w:spacing w:val="63"/>
          <w:w w:val="101"/>
        </w:rPr>
        <w:t xml:space="preserve"> </w:t>
      </w:r>
      <w:r>
        <w:rPr>
          <w:spacing w:val="-5"/>
        </w:rPr>
        <w:t>启动方法，例如根据请求、在另一个运行之后、或在预定时间；</w:t>
      </w:r>
    </w:p>
    <w:p w14:paraId="1C378127">
      <w:pPr>
        <w:pStyle w:val="2"/>
        <w:spacing w:before="109" w:line="212" w:lineRule="auto"/>
        <w:ind w:left="539"/>
      </w:pPr>
      <w:r>
        <w:rPr>
          <w:rFonts w:ascii="Times New Roman" w:hAnsi="Times New Roman" w:eastAsia="Times New Roman" w:cs="Times New Roman"/>
          <w:spacing w:val="2"/>
        </w:rPr>
        <w:t xml:space="preserve">d)  </w:t>
      </w:r>
      <w:r>
        <w:rPr>
          <w:spacing w:val="2"/>
        </w:rPr>
        <w:t>估计的运行时间；</w:t>
      </w:r>
    </w:p>
    <w:p w14:paraId="5AD887C6">
      <w:pPr>
        <w:pStyle w:val="2"/>
        <w:spacing w:before="89" w:line="212" w:lineRule="auto"/>
        <w:ind w:left="539"/>
      </w:pPr>
      <w:r>
        <w:rPr>
          <w:rFonts w:ascii="Times New Roman" w:hAnsi="Times New Roman" w:eastAsia="Times New Roman" w:cs="Times New Roman"/>
        </w:rPr>
        <w:t xml:space="preserve">e)  </w:t>
      </w:r>
      <w:r>
        <w:t>所需的周转时间；</w:t>
      </w:r>
    </w:p>
    <w:p w14:paraId="7FF80185">
      <w:pPr>
        <w:pStyle w:val="2"/>
        <w:spacing w:before="132" w:line="212" w:lineRule="auto"/>
        <w:ind w:left="539"/>
        <w:rPr>
          <w:sz w:val="24"/>
          <w:szCs w:val="24"/>
        </w:rPr>
      </w:pPr>
      <w:r>
        <w:rPr>
          <w:rFonts w:ascii="Times New Roman" w:hAnsi="Times New Roman" w:eastAsia="Times New Roman" w:cs="Times New Roman"/>
          <w:spacing w:val="17"/>
          <w:sz w:val="24"/>
          <w:szCs w:val="24"/>
        </w:rPr>
        <w:t>f)</w:t>
      </w:r>
      <w:r>
        <w:rPr>
          <w:rFonts w:ascii="Times New Roman" w:hAnsi="Times New Roman" w:eastAsia="Times New Roman" w:cs="Times New Roman"/>
          <w:spacing w:val="31"/>
          <w:sz w:val="24"/>
          <w:szCs w:val="24"/>
        </w:rPr>
        <w:t xml:space="preserve">  </w:t>
      </w:r>
      <w:r>
        <w:rPr>
          <w:spacing w:val="17"/>
          <w:sz w:val="24"/>
          <w:szCs w:val="24"/>
        </w:rPr>
        <w:t>消息和响应；</w:t>
      </w:r>
    </w:p>
    <w:p w14:paraId="3BEF585B">
      <w:pPr>
        <w:pStyle w:val="2"/>
        <w:spacing w:before="121" w:line="212" w:lineRule="auto"/>
        <w:ind w:left="539"/>
      </w:pPr>
      <w:r>
        <w:rPr>
          <w:rFonts w:ascii="Times New Roman" w:hAnsi="Times New Roman" w:eastAsia="Times New Roman" w:cs="Times New Roman"/>
        </w:rPr>
        <w:t>g</w:t>
      </w:r>
      <w:r>
        <w:t>)</w:t>
      </w:r>
      <w:r>
        <w:rPr>
          <w:spacing w:val="-41"/>
        </w:rPr>
        <w:t xml:space="preserve"> </w:t>
      </w:r>
      <w:r>
        <w:t>采用检查点的规程；</w:t>
      </w:r>
    </w:p>
    <w:p w14:paraId="5F2B7AFF">
      <w:pPr>
        <w:pStyle w:val="2"/>
        <w:spacing w:before="71" w:line="212" w:lineRule="auto"/>
        <w:ind w:left="539"/>
      </w:pPr>
      <w:r>
        <w:rPr>
          <w:rFonts w:ascii="Times New Roman" w:hAnsi="Times New Roman" w:eastAsia="Times New Roman" w:cs="Times New Roman"/>
          <w:spacing w:val="2"/>
        </w:rPr>
        <w:t xml:space="preserve">h)  </w:t>
      </w:r>
      <w:r>
        <w:rPr>
          <w:spacing w:val="2"/>
        </w:rPr>
        <w:t>运行标准的放弃。</w:t>
      </w:r>
    </w:p>
    <w:p w14:paraId="6C7ABA41">
      <w:pPr>
        <w:spacing w:before="125" w:line="222" w:lineRule="auto"/>
        <w:rPr>
          <w:rFonts w:ascii="黑体" w:hAnsi="黑体" w:eastAsia="黑体" w:cs="黑体"/>
          <w:sz w:val="27"/>
          <w:szCs w:val="27"/>
        </w:rPr>
      </w:pPr>
      <w:r>
        <w:rPr>
          <w:rFonts w:ascii="Times New Roman" w:hAnsi="Times New Roman" w:eastAsia="Times New Roman" w:cs="Times New Roman"/>
          <w:spacing w:val="1"/>
          <w:sz w:val="27"/>
          <w:szCs w:val="27"/>
        </w:rPr>
        <w:t xml:space="preserve">5.5.X.3       </w:t>
      </w:r>
      <w:r>
        <w:rPr>
          <w:rFonts w:ascii="黑体" w:hAnsi="黑体" w:eastAsia="黑体" w:cs="黑体"/>
          <w:b/>
          <w:bCs/>
          <w:spacing w:val="1"/>
          <w:sz w:val="27"/>
          <w:szCs w:val="27"/>
        </w:rPr>
        <w:t>输入一输出文件</w:t>
      </w:r>
    </w:p>
    <w:p w14:paraId="67BEABD6">
      <w:pPr>
        <w:pStyle w:val="2"/>
        <w:spacing w:before="81" w:line="282" w:lineRule="auto"/>
        <w:ind w:right="113" w:firstLine="539"/>
      </w:pPr>
      <w:r>
        <w:rPr>
          <w:spacing w:val="6"/>
        </w:rPr>
        <w:t>本条应给出作为运行的输入的、或在运行中创</w:t>
      </w:r>
      <w:r>
        <w:rPr>
          <w:spacing w:val="5"/>
        </w:rPr>
        <w:t>建或更新的文件或数据库的</w:t>
      </w:r>
      <w:r>
        <w:t xml:space="preserve"> </w:t>
      </w:r>
      <w:r>
        <w:rPr>
          <w:spacing w:val="-13"/>
        </w:rPr>
        <w:t>信息，包括名称、保密性要求、记录媒体、保存时间和处置方法等信息。</w:t>
      </w:r>
    </w:p>
    <w:p w14:paraId="18419065">
      <w:pPr>
        <w:spacing w:line="221" w:lineRule="auto"/>
        <w:rPr>
          <w:rFonts w:ascii="黑体" w:hAnsi="黑体" w:eastAsia="黑体" w:cs="黑体"/>
          <w:sz w:val="27"/>
          <w:szCs w:val="27"/>
        </w:rPr>
      </w:pPr>
      <w:r>
        <w:rPr>
          <w:rFonts w:ascii="Times New Roman" w:hAnsi="Times New Roman" w:eastAsia="Times New Roman" w:cs="Times New Roman"/>
          <w:spacing w:val="-3"/>
          <w:sz w:val="27"/>
          <w:szCs w:val="27"/>
        </w:rPr>
        <w:t>5.5.X.4</w:t>
      </w:r>
      <w:r>
        <w:rPr>
          <w:rFonts w:ascii="Times New Roman" w:hAnsi="Times New Roman" w:eastAsia="Times New Roman" w:cs="Times New Roman"/>
          <w:spacing w:val="6"/>
          <w:sz w:val="27"/>
          <w:szCs w:val="27"/>
        </w:rPr>
        <w:t xml:space="preserve">       </w:t>
      </w:r>
      <w:r>
        <w:rPr>
          <w:rFonts w:ascii="黑体" w:hAnsi="黑体" w:eastAsia="黑体" w:cs="黑体"/>
          <w:b/>
          <w:bCs/>
          <w:spacing w:val="-3"/>
          <w:sz w:val="27"/>
          <w:szCs w:val="27"/>
        </w:rPr>
        <w:t>输出报告</w:t>
      </w:r>
    </w:p>
    <w:p w14:paraId="72F3FAC0">
      <w:pPr>
        <w:pStyle w:val="2"/>
        <w:spacing w:before="129" w:line="285" w:lineRule="auto"/>
        <w:ind w:right="123" w:firstLine="539"/>
        <w:jc w:val="both"/>
        <w:rPr>
          <w:sz w:val="25"/>
          <w:szCs w:val="25"/>
        </w:rPr>
      </w:pPr>
      <w:r>
        <w:rPr>
          <w:spacing w:val="24"/>
          <w:sz w:val="25"/>
          <w:szCs w:val="25"/>
        </w:rPr>
        <w:t>本条应给出关于运行中产生的报告的信息。(若适用)每个报告应包括下面</w:t>
      </w:r>
      <w:r>
        <w:rPr>
          <w:spacing w:val="18"/>
          <w:sz w:val="25"/>
          <w:szCs w:val="25"/>
        </w:rPr>
        <w:t xml:space="preserve"> </w:t>
      </w:r>
      <w:r>
        <w:rPr>
          <w:spacing w:val="6"/>
          <w:sz w:val="25"/>
          <w:szCs w:val="25"/>
        </w:rPr>
        <w:t>的信息：报告标识符、产品控制号、报告控制符、标题、保密性要求、媒体(例如硬</w:t>
      </w:r>
      <w:r>
        <w:rPr>
          <w:spacing w:val="2"/>
          <w:sz w:val="25"/>
          <w:szCs w:val="25"/>
        </w:rPr>
        <w:t xml:space="preserve"> </w:t>
      </w:r>
      <w:r>
        <w:rPr>
          <w:spacing w:val="9"/>
          <w:sz w:val="25"/>
          <w:szCs w:val="25"/>
        </w:rPr>
        <w:t>盘、磁带等)、报告的卷数、报告副本的数量以及副本的分发情况。</w:t>
      </w:r>
    </w:p>
    <w:p w14:paraId="54EDC9BF">
      <w:pPr>
        <w:spacing w:before="1" w:line="221" w:lineRule="auto"/>
        <w:rPr>
          <w:rFonts w:ascii="黑体" w:hAnsi="黑体" w:eastAsia="黑体" w:cs="黑体"/>
          <w:sz w:val="28"/>
          <w:szCs w:val="28"/>
        </w:rPr>
      </w:pPr>
      <w:r>
        <w:rPr>
          <w:rFonts w:ascii="Times New Roman" w:hAnsi="Times New Roman" w:eastAsia="Times New Roman" w:cs="Times New Roman"/>
          <w:spacing w:val="-5"/>
          <w:sz w:val="28"/>
          <w:szCs w:val="28"/>
        </w:rPr>
        <w:t>5.5.X.5</w:t>
      </w:r>
      <w:r>
        <w:rPr>
          <w:rFonts w:ascii="Times New Roman" w:hAnsi="Times New Roman" w:eastAsia="Times New Roman" w:cs="Times New Roman"/>
          <w:spacing w:val="8"/>
          <w:sz w:val="28"/>
          <w:szCs w:val="28"/>
        </w:rPr>
        <w:t xml:space="preserve">      </w:t>
      </w:r>
      <w:r>
        <w:rPr>
          <w:rFonts w:ascii="黑体" w:hAnsi="黑体" w:eastAsia="黑体" w:cs="黑体"/>
          <w:b/>
          <w:bCs/>
          <w:spacing w:val="-5"/>
          <w:sz w:val="28"/>
          <w:szCs w:val="28"/>
        </w:rPr>
        <w:t>再版输出报告</w:t>
      </w:r>
    </w:p>
    <w:p w14:paraId="19C928B5">
      <w:pPr>
        <w:pStyle w:val="2"/>
        <w:spacing w:before="97" w:line="275" w:lineRule="auto"/>
        <w:ind w:right="120" w:firstLine="539"/>
        <w:jc w:val="both"/>
      </w:pPr>
      <w:r>
        <w:rPr>
          <w:spacing w:val="10"/>
        </w:rPr>
        <w:t>本条应提供关于计算机产生的报告此后以其</w:t>
      </w:r>
      <w:r>
        <w:rPr>
          <w:spacing w:val="9"/>
        </w:rPr>
        <w:t>他方法进行再版的信息。(若</w:t>
      </w:r>
      <w:r>
        <w:t xml:space="preserve"> </w:t>
      </w:r>
      <w:r>
        <w:rPr>
          <w:spacing w:val="-14"/>
        </w:rPr>
        <w:t>适用)每份报告应包括以下信息：报告标识、保密性要求、再版技术、纸张大小、装</w:t>
      </w:r>
      <w:r>
        <w:rPr>
          <w:spacing w:val="13"/>
        </w:rPr>
        <w:t xml:space="preserve"> </w:t>
      </w:r>
      <w:r>
        <w:rPr>
          <w:spacing w:val="-6"/>
        </w:rPr>
        <w:t>订方法、副本数量和副本的分发情况。</w:t>
      </w:r>
    </w:p>
    <w:p w14:paraId="23C7529A">
      <w:pPr>
        <w:spacing w:before="1" w:line="221" w:lineRule="auto"/>
        <w:rPr>
          <w:rFonts w:ascii="黑体" w:hAnsi="黑体" w:eastAsia="黑体" w:cs="黑体"/>
          <w:sz w:val="27"/>
          <w:szCs w:val="27"/>
        </w:rPr>
      </w:pPr>
      <w:r>
        <w:rPr>
          <w:rFonts w:ascii="Times New Roman" w:hAnsi="Times New Roman" w:eastAsia="Times New Roman" w:cs="Times New Roman"/>
          <w:spacing w:val="1"/>
          <w:sz w:val="27"/>
          <w:szCs w:val="27"/>
        </w:rPr>
        <w:t xml:space="preserve">5.5.X.6       </w:t>
      </w:r>
      <w:r>
        <w:rPr>
          <w:rFonts w:ascii="黑体" w:hAnsi="黑体" w:eastAsia="黑体" w:cs="黑体"/>
          <w:b/>
          <w:bCs/>
          <w:spacing w:val="1"/>
          <w:sz w:val="27"/>
          <w:szCs w:val="27"/>
        </w:rPr>
        <w:t>用于运行重启/恢复和连续性的规程</w:t>
      </w:r>
    </w:p>
    <w:p w14:paraId="32F39447">
      <w:pPr>
        <w:pStyle w:val="2"/>
        <w:spacing w:before="90" w:line="283" w:lineRule="auto"/>
        <w:ind w:right="105" w:firstLine="539"/>
      </w:pPr>
      <w:r>
        <w:rPr>
          <w:spacing w:val="2"/>
        </w:rPr>
        <w:t>本条应给出操作人员在系统失效后进行系统重</w:t>
      </w:r>
      <w:r>
        <w:rPr>
          <w:spacing w:val="1"/>
        </w:rPr>
        <w:t>启/恢复，以及在紧急事件中</w:t>
      </w:r>
      <w:r>
        <w:t xml:space="preserve"> </w:t>
      </w:r>
      <w:r>
        <w:rPr>
          <w:spacing w:val="3"/>
        </w:rPr>
        <w:t>保持运行连续性应遵循的操作规程。</w:t>
      </w:r>
    </w:p>
    <w:p w14:paraId="59BA5991">
      <w:pPr>
        <w:spacing w:before="17" w:line="222" w:lineRule="auto"/>
        <w:rPr>
          <w:rFonts w:ascii="黑体" w:hAnsi="黑体" w:eastAsia="黑体" w:cs="黑体"/>
          <w:sz w:val="24"/>
          <w:szCs w:val="24"/>
        </w:rPr>
      </w:pPr>
      <w:r>
        <w:rPr>
          <w:rFonts w:ascii="黑体" w:hAnsi="黑体" w:eastAsia="黑体" w:cs="黑体"/>
          <w:spacing w:val="-9"/>
          <w:sz w:val="24"/>
          <w:szCs w:val="24"/>
        </w:rPr>
        <w:t>6</w:t>
      </w:r>
      <w:r>
        <w:rPr>
          <w:rFonts w:ascii="黑体" w:hAnsi="黑体" w:eastAsia="黑体" w:cs="黑体"/>
          <w:spacing w:val="36"/>
          <w:sz w:val="24"/>
          <w:szCs w:val="24"/>
        </w:rPr>
        <w:t xml:space="preserve">  </w:t>
      </w:r>
      <w:r>
        <w:rPr>
          <w:rFonts w:ascii="黑体" w:hAnsi="黑体" w:eastAsia="黑体" w:cs="黑体"/>
          <w:b/>
          <w:bCs/>
          <w:spacing w:val="-9"/>
          <w:sz w:val="24"/>
          <w:szCs w:val="24"/>
        </w:rPr>
        <w:t>注</w:t>
      </w:r>
      <w:r>
        <w:rPr>
          <w:rFonts w:ascii="黑体" w:hAnsi="黑体" w:eastAsia="黑体" w:cs="黑体"/>
          <w:spacing w:val="-48"/>
          <w:sz w:val="24"/>
          <w:szCs w:val="24"/>
        </w:rPr>
        <w:t xml:space="preserve"> </w:t>
      </w:r>
      <w:r>
        <w:rPr>
          <w:rFonts w:ascii="黑体" w:hAnsi="黑体" w:eastAsia="黑体" w:cs="黑体"/>
          <w:b/>
          <w:bCs/>
          <w:spacing w:val="-9"/>
          <w:sz w:val="24"/>
          <w:szCs w:val="24"/>
        </w:rPr>
        <w:t>释</w:t>
      </w:r>
    </w:p>
    <w:p w14:paraId="37231895">
      <w:pPr>
        <w:pStyle w:val="2"/>
        <w:spacing w:before="116" w:line="219" w:lineRule="auto"/>
        <w:ind w:left="539"/>
      </w:pPr>
      <w:r>
        <w:rPr>
          <w:spacing w:val="-3"/>
        </w:rPr>
        <w:t>本章应包括有助于了解文档的所有信息(例如背景、</w:t>
      </w:r>
      <w:r>
        <w:rPr>
          <w:spacing w:val="-4"/>
        </w:rPr>
        <w:t>术语、缩略语或公式)。</w:t>
      </w:r>
    </w:p>
    <w:p w14:paraId="24B35386">
      <w:pPr>
        <w:spacing w:line="308" w:lineRule="auto"/>
        <w:rPr>
          <w:rFonts w:ascii="Arial"/>
          <w:sz w:val="21"/>
        </w:rPr>
      </w:pPr>
    </w:p>
    <w:p w14:paraId="39B10DEF">
      <w:pPr>
        <w:pStyle w:val="2"/>
        <w:spacing w:before="117" w:line="219" w:lineRule="auto"/>
        <w:ind w:left="2859"/>
        <w:rPr>
          <w:sz w:val="36"/>
          <w:szCs w:val="36"/>
        </w:rPr>
      </w:pPr>
      <w:r>
        <w:rPr>
          <w:spacing w:val="3"/>
          <w:sz w:val="36"/>
          <w:szCs w:val="36"/>
        </w:rPr>
        <w:t xml:space="preserve">2.23  </w:t>
      </w:r>
      <w:r>
        <w:rPr>
          <w:b/>
          <w:bCs/>
          <w:spacing w:val="3"/>
          <w:sz w:val="36"/>
          <w:szCs w:val="36"/>
        </w:rPr>
        <w:t>计算机编程手册</w:t>
      </w:r>
    </w:p>
    <w:p w14:paraId="56A8DF6A">
      <w:pPr>
        <w:spacing w:line="340" w:lineRule="auto"/>
        <w:rPr>
          <w:rFonts w:ascii="Arial"/>
          <w:sz w:val="21"/>
        </w:rPr>
      </w:pPr>
    </w:p>
    <w:p w14:paraId="7BF0121C">
      <w:pPr>
        <w:pStyle w:val="2"/>
        <w:spacing w:before="92" w:line="225" w:lineRule="auto"/>
        <w:ind w:left="539"/>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GJB438B—2009</w:t>
      </w:r>
      <w:r>
        <w:rPr>
          <w:spacing w:val="-9"/>
          <w:sz w:val="28"/>
          <w:szCs w:val="28"/>
        </w:rPr>
        <w:t>《</w:t>
      </w:r>
      <w:r>
        <w:rPr>
          <w:rFonts w:ascii="楷体" w:hAnsi="楷体" w:eastAsia="楷体" w:cs="楷体"/>
          <w:spacing w:val="-9"/>
          <w:sz w:val="28"/>
          <w:szCs w:val="28"/>
        </w:rPr>
        <w:t>军用软件开发文档通用要求》编写。</w:t>
      </w:r>
    </w:p>
    <w:p w14:paraId="408A4F93">
      <w:pPr>
        <w:spacing w:before="59"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6"/>
          <w:sz w:val="27"/>
          <w:szCs w:val="27"/>
        </w:rPr>
        <w:t xml:space="preserve">  </w:t>
      </w:r>
      <w:r>
        <w:rPr>
          <w:rFonts w:ascii="黑体" w:hAnsi="黑体" w:eastAsia="黑体" w:cs="黑体"/>
          <w:b/>
          <w:bCs/>
          <w:spacing w:val="-13"/>
          <w:sz w:val="27"/>
          <w:szCs w:val="27"/>
        </w:rPr>
        <w:t>范围</w:t>
      </w:r>
    </w:p>
    <w:p w14:paraId="557CC367">
      <w:pPr>
        <w:spacing w:before="112" w:line="222" w:lineRule="auto"/>
        <w:rPr>
          <w:rFonts w:ascii="黑体" w:hAnsi="黑体" w:eastAsia="黑体" w:cs="黑体"/>
          <w:sz w:val="24"/>
          <w:szCs w:val="24"/>
        </w:rPr>
      </w:pPr>
      <w:r>
        <w:rPr>
          <w:rFonts w:ascii="黑体" w:hAnsi="黑体" w:eastAsia="黑体" w:cs="黑体"/>
          <w:spacing w:val="-5"/>
          <w:sz w:val="24"/>
          <w:szCs w:val="24"/>
        </w:rPr>
        <w:t xml:space="preserve">1.1   </w:t>
      </w:r>
      <w:r>
        <w:rPr>
          <w:rFonts w:ascii="黑体" w:hAnsi="黑体" w:eastAsia="黑体" w:cs="黑体"/>
          <w:b/>
          <w:bCs/>
          <w:spacing w:val="-5"/>
          <w:sz w:val="24"/>
          <w:szCs w:val="24"/>
        </w:rPr>
        <w:t>标</w:t>
      </w:r>
      <w:r>
        <w:rPr>
          <w:rFonts w:ascii="黑体" w:hAnsi="黑体" w:eastAsia="黑体" w:cs="黑体"/>
          <w:spacing w:val="-40"/>
          <w:sz w:val="24"/>
          <w:szCs w:val="24"/>
        </w:rPr>
        <w:t xml:space="preserve"> </w:t>
      </w:r>
      <w:r>
        <w:rPr>
          <w:rFonts w:ascii="黑体" w:hAnsi="黑体" w:eastAsia="黑体" w:cs="黑体"/>
          <w:b/>
          <w:bCs/>
          <w:spacing w:val="-5"/>
          <w:sz w:val="24"/>
          <w:szCs w:val="24"/>
        </w:rPr>
        <w:t>识</w:t>
      </w:r>
    </w:p>
    <w:p w14:paraId="1602A7B8">
      <w:pPr>
        <w:pStyle w:val="2"/>
        <w:spacing w:before="134" w:line="219" w:lineRule="auto"/>
        <w:jc w:val="right"/>
      </w:pPr>
      <w:r>
        <w:rPr>
          <w:spacing w:val="1"/>
        </w:rPr>
        <w:t>本条应描述本文档所适用的计算机系统的制造商名、</w:t>
      </w:r>
      <w:r>
        <w:t>型号和其他标识信息。</w:t>
      </w:r>
    </w:p>
    <w:p w14:paraId="32BBBB27">
      <w:pPr>
        <w:spacing w:before="35" w:line="221"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21"/>
          <w:sz w:val="27"/>
          <w:szCs w:val="27"/>
        </w:rPr>
        <w:t xml:space="preserve">  </w:t>
      </w:r>
      <w:r>
        <w:rPr>
          <w:rFonts w:ascii="黑体" w:hAnsi="黑体" w:eastAsia="黑体" w:cs="黑体"/>
          <w:b/>
          <w:bCs/>
          <w:spacing w:val="-7"/>
          <w:sz w:val="27"/>
          <w:szCs w:val="27"/>
        </w:rPr>
        <w:t>系统概述</w:t>
      </w:r>
    </w:p>
    <w:p w14:paraId="14948BEB">
      <w:pPr>
        <w:pStyle w:val="2"/>
        <w:spacing w:before="112" w:line="219" w:lineRule="auto"/>
        <w:ind w:left="539"/>
      </w:pPr>
      <w:r>
        <w:rPr>
          <w:spacing w:val="4"/>
        </w:rPr>
        <w:t>本条应概述本文档所适用的计算机系统的用途。</w:t>
      </w:r>
    </w:p>
    <w:p w14:paraId="3517C562">
      <w:pPr>
        <w:spacing w:before="65" w:line="221" w:lineRule="auto"/>
        <w:rPr>
          <w:rFonts w:ascii="黑体" w:hAnsi="黑体" w:eastAsia="黑体" w:cs="黑体"/>
          <w:sz w:val="27"/>
          <w:szCs w:val="27"/>
        </w:rPr>
      </w:pPr>
      <w:r>
        <w:rPr>
          <w:rFonts w:ascii="黑体" w:hAnsi="黑体" w:eastAsia="黑体" w:cs="黑体"/>
          <w:spacing w:val="-7"/>
          <w:sz w:val="27"/>
          <w:szCs w:val="27"/>
        </w:rPr>
        <w:t>1.3</w:t>
      </w:r>
      <w:r>
        <w:rPr>
          <w:rFonts w:ascii="黑体" w:hAnsi="黑体" w:eastAsia="黑体" w:cs="黑体"/>
          <w:spacing w:val="22"/>
          <w:sz w:val="27"/>
          <w:szCs w:val="27"/>
        </w:rPr>
        <w:t xml:space="preserve">  </w:t>
      </w:r>
      <w:r>
        <w:rPr>
          <w:rFonts w:ascii="黑体" w:hAnsi="黑体" w:eastAsia="黑体" w:cs="黑体"/>
          <w:b/>
          <w:bCs/>
          <w:spacing w:val="-7"/>
          <w:sz w:val="27"/>
          <w:szCs w:val="27"/>
        </w:rPr>
        <w:t>文档概述</w:t>
      </w:r>
    </w:p>
    <w:p w14:paraId="264F16B4">
      <w:pPr>
        <w:pStyle w:val="2"/>
        <w:spacing w:before="122" w:line="300" w:lineRule="auto"/>
        <w:ind w:right="115" w:firstLine="539"/>
        <w:rPr>
          <w:sz w:val="25"/>
          <w:szCs w:val="25"/>
        </w:rPr>
      </w:pPr>
      <w:r>
        <w:rPr>
          <w:spacing w:val="25"/>
          <w:sz w:val="25"/>
          <w:szCs w:val="25"/>
        </w:rPr>
        <w:t>本条应概述本文档的用途和内容，并描述与它的使用有关的保密性方面的</w:t>
      </w:r>
      <w:r>
        <w:rPr>
          <w:spacing w:val="18"/>
          <w:sz w:val="25"/>
          <w:szCs w:val="25"/>
        </w:rPr>
        <w:t xml:space="preserve"> </w:t>
      </w:r>
      <w:r>
        <w:rPr>
          <w:spacing w:val="8"/>
          <w:sz w:val="25"/>
          <w:szCs w:val="25"/>
        </w:rPr>
        <w:t>要求。</w:t>
      </w:r>
    </w:p>
    <w:p w14:paraId="6D8D8615">
      <w:pPr>
        <w:spacing w:line="300" w:lineRule="auto"/>
        <w:rPr>
          <w:sz w:val="25"/>
          <w:szCs w:val="25"/>
        </w:rPr>
        <w:sectPr>
          <w:footerReference r:id="rId262" w:type="default"/>
          <w:pgSz w:w="11910" w:h="17130"/>
          <w:pgMar w:top="1362" w:right="1225" w:bottom="1717" w:left="1210" w:header="0" w:footer="1536" w:gutter="0"/>
          <w:cols w:space="720" w:num="1"/>
        </w:sectPr>
      </w:pPr>
    </w:p>
    <w:p w14:paraId="38DA15C4">
      <w:pPr>
        <w:spacing w:before="209"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5"/>
          <w:sz w:val="27"/>
          <w:szCs w:val="27"/>
        </w:rPr>
        <w:t xml:space="preserve">  </w:t>
      </w:r>
      <w:r>
        <w:rPr>
          <w:rFonts w:ascii="黑体" w:hAnsi="黑体" w:eastAsia="黑体" w:cs="黑体"/>
          <w:b/>
          <w:bCs/>
          <w:spacing w:val="-2"/>
          <w:sz w:val="27"/>
          <w:szCs w:val="27"/>
        </w:rPr>
        <w:t>引用文档</w:t>
      </w:r>
    </w:p>
    <w:p w14:paraId="69DA1A3A">
      <w:pPr>
        <w:pStyle w:val="2"/>
        <w:spacing w:before="58" w:line="286" w:lineRule="auto"/>
        <w:ind w:right="30" w:firstLine="560"/>
      </w:pPr>
      <w:r>
        <w:rPr>
          <w:spacing w:val="-11"/>
        </w:rPr>
        <w:t>本章应列出引用文档的编号、标题、编写单位、修订版及日期，还应</w:t>
      </w:r>
      <w:r>
        <w:rPr>
          <w:spacing w:val="-12"/>
        </w:rPr>
        <w:t>标识不能</w:t>
      </w:r>
      <w:r>
        <w:t xml:space="preserve"> </w:t>
      </w:r>
      <w:r>
        <w:rPr>
          <w:spacing w:val="4"/>
        </w:rPr>
        <w:t>通过正常采购活动得到的文档的来源。</w:t>
      </w:r>
    </w:p>
    <w:p w14:paraId="3FBFADD4">
      <w:pPr>
        <w:spacing w:before="1" w:line="220"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6"/>
          <w:sz w:val="27"/>
          <w:szCs w:val="27"/>
        </w:rPr>
        <w:t xml:space="preserve">  </w:t>
      </w:r>
      <w:r>
        <w:rPr>
          <w:rFonts w:ascii="黑体" w:hAnsi="黑体" w:eastAsia="黑体" w:cs="黑体"/>
          <w:b/>
          <w:bCs/>
          <w:sz w:val="27"/>
          <w:szCs w:val="27"/>
        </w:rPr>
        <w:t>软件编程环境</w:t>
      </w:r>
    </w:p>
    <w:p w14:paraId="4C12E69F">
      <w:pPr>
        <w:spacing w:before="106" w:line="221" w:lineRule="auto"/>
        <w:rPr>
          <w:rFonts w:ascii="黑体" w:hAnsi="黑体" w:eastAsia="黑体" w:cs="黑体"/>
          <w:sz w:val="24"/>
          <w:szCs w:val="24"/>
        </w:rPr>
      </w:pPr>
      <w:r>
        <w:rPr>
          <w:rFonts w:ascii="黑体" w:hAnsi="黑体" w:eastAsia="黑体" w:cs="黑体"/>
          <w:spacing w:val="15"/>
          <w:sz w:val="24"/>
          <w:szCs w:val="24"/>
        </w:rPr>
        <w:t>3.1</w:t>
      </w:r>
      <w:r>
        <w:rPr>
          <w:rFonts w:ascii="黑体" w:hAnsi="黑体" w:eastAsia="黑体" w:cs="黑体"/>
          <w:spacing w:val="4"/>
          <w:sz w:val="24"/>
          <w:szCs w:val="24"/>
        </w:rPr>
        <w:t xml:space="preserve">   </w:t>
      </w:r>
      <w:r>
        <w:rPr>
          <w:rFonts w:ascii="黑体" w:hAnsi="黑体" w:eastAsia="黑体" w:cs="黑体"/>
          <w:b/>
          <w:bCs/>
          <w:spacing w:val="15"/>
          <w:sz w:val="24"/>
          <w:szCs w:val="24"/>
        </w:rPr>
        <w:t>系统配置</w:t>
      </w:r>
    </w:p>
    <w:p w14:paraId="3F057847">
      <w:pPr>
        <w:pStyle w:val="2"/>
        <w:spacing w:before="97" w:line="219" w:lineRule="auto"/>
        <w:ind w:left="560"/>
      </w:pPr>
      <w:r>
        <w:rPr>
          <w:spacing w:val="3"/>
        </w:rPr>
        <w:t>本条应描述计算机系统的部件和配置情况。</w:t>
      </w:r>
    </w:p>
    <w:p w14:paraId="08A3B1F5">
      <w:pPr>
        <w:spacing w:before="115" w:line="222" w:lineRule="auto"/>
        <w:rPr>
          <w:rFonts w:ascii="黑体" w:hAnsi="黑体" w:eastAsia="黑体" w:cs="黑体"/>
          <w:sz w:val="24"/>
          <w:szCs w:val="24"/>
        </w:rPr>
      </w:pPr>
      <w:r>
        <w:rPr>
          <w:rFonts w:ascii="黑体" w:hAnsi="黑体" w:eastAsia="黑体" w:cs="黑体"/>
          <w:spacing w:val="14"/>
          <w:sz w:val="24"/>
          <w:szCs w:val="24"/>
        </w:rPr>
        <w:t>3.2</w:t>
      </w:r>
      <w:r>
        <w:rPr>
          <w:rFonts w:ascii="黑体" w:hAnsi="黑体" w:eastAsia="黑体" w:cs="黑体"/>
          <w:spacing w:val="5"/>
          <w:sz w:val="24"/>
          <w:szCs w:val="24"/>
        </w:rPr>
        <w:t xml:space="preserve">   </w:t>
      </w:r>
      <w:r>
        <w:rPr>
          <w:rFonts w:ascii="黑体" w:hAnsi="黑体" w:eastAsia="黑体" w:cs="黑体"/>
          <w:b/>
          <w:bCs/>
          <w:spacing w:val="14"/>
          <w:sz w:val="24"/>
          <w:szCs w:val="24"/>
        </w:rPr>
        <w:t>操作信息</w:t>
      </w:r>
    </w:p>
    <w:p w14:paraId="69E1E3C5">
      <w:pPr>
        <w:pStyle w:val="2"/>
        <w:spacing w:before="96" w:line="219" w:lineRule="auto"/>
        <w:ind w:left="560"/>
      </w:pPr>
      <w:r>
        <w:rPr>
          <w:spacing w:val="-5"/>
        </w:rPr>
        <w:t>本条应描述计算机系统的操作特性、能力和限制，(若适用)应包括：</w:t>
      </w:r>
    </w:p>
    <w:p w14:paraId="7F3BE0E4">
      <w:pPr>
        <w:pStyle w:val="2"/>
        <w:spacing w:before="82" w:line="220" w:lineRule="auto"/>
        <w:ind w:left="560"/>
      </w:pPr>
      <w:r>
        <w:rPr>
          <w:rFonts w:ascii="Times New Roman" w:hAnsi="Times New Roman" w:eastAsia="Times New Roman" w:cs="Times New Roman"/>
          <w:spacing w:val="12"/>
        </w:rPr>
        <w:t>a</w:t>
      </w:r>
      <w:r>
        <w:rPr>
          <w:spacing w:val="12"/>
        </w:rPr>
        <w:t>)时钟周期；</w:t>
      </w:r>
    </w:p>
    <w:p w14:paraId="14F64FF7">
      <w:pPr>
        <w:pStyle w:val="2"/>
        <w:spacing w:before="47" w:line="212" w:lineRule="auto"/>
        <w:ind w:left="560"/>
      </w:pPr>
      <w:r>
        <w:rPr>
          <w:rFonts w:ascii="Times New Roman" w:hAnsi="Times New Roman" w:eastAsia="Times New Roman" w:cs="Times New Roman"/>
          <w:spacing w:val="-1"/>
        </w:rPr>
        <w:t xml:space="preserve">b)  </w:t>
      </w:r>
      <w:r>
        <w:rPr>
          <w:spacing w:val="-1"/>
        </w:rPr>
        <w:t>字长；</w:t>
      </w:r>
    </w:p>
    <w:p w14:paraId="2295E9CF">
      <w:pPr>
        <w:pStyle w:val="2"/>
        <w:spacing w:before="100" w:line="212" w:lineRule="auto"/>
        <w:ind w:left="560"/>
      </w:pPr>
      <w:r>
        <w:rPr>
          <w:rFonts w:ascii="Times New Roman" w:hAnsi="Times New Roman" w:eastAsia="Times New Roman" w:cs="Times New Roman"/>
        </w:rPr>
        <w:t xml:space="preserve">c)  </w:t>
      </w:r>
      <w:r>
        <w:t>内存容量和特性；</w:t>
      </w:r>
    </w:p>
    <w:p w14:paraId="5954892E">
      <w:pPr>
        <w:pStyle w:val="2"/>
        <w:spacing w:before="110" w:line="212" w:lineRule="auto"/>
        <w:ind w:left="560"/>
      </w:pPr>
      <w:r>
        <w:rPr>
          <w:rFonts w:ascii="Times New Roman" w:hAnsi="Times New Roman" w:eastAsia="Times New Roman" w:cs="Times New Roman"/>
          <w:spacing w:val="1"/>
        </w:rPr>
        <w:t xml:space="preserve">d)  </w:t>
      </w:r>
      <w:r>
        <w:rPr>
          <w:spacing w:val="1"/>
        </w:rPr>
        <w:t>指令集的特性；</w:t>
      </w:r>
    </w:p>
    <w:p w14:paraId="128A7C1F">
      <w:pPr>
        <w:pStyle w:val="2"/>
        <w:spacing w:before="120" w:line="219" w:lineRule="auto"/>
        <w:ind w:left="560"/>
      </w:pPr>
      <w:r>
        <w:rPr>
          <w:rFonts w:ascii="Times New Roman" w:hAnsi="Times New Roman" w:eastAsia="Times New Roman" w:cs="Times New Roman"/>
          <w:spacing w:val="-5"/>
        </w:rPr>
        <w:t>e</w:t>
      </w:r>
      <w:r>
        <w:rPr>
          <w:rFonts w:ascii="Times New Roman" w:hAnsi="Times New Roman" w:eastAsia="Times New Roman" w:cs="Times New Roman"/>
          <w:spacing w:val="-27"/>
        </w:rPr>
        <w:t xml:space="preserve"> </w:t>
      </w:r>
      <w:r>
        <w:rPr>
          <w:spacing w:val="-5"/>
        </w:rPr>
        <w:t>)</w:t>
      </w:r>
      <w:r>
        <w:rPr>
          <w:spacing w:val="-49"/>
        </w:rPr>
        <w:t xml:space="preserve"> </w:t>
      </w:r>
      <w:r>
        <w:rPr>
          <w:spacing w:val="-5"/>
        </w:rPr>
        <w:t>中断能力；</w:t>
      </w:r>
    </w:p>
    <w:p w14:paraId="75125AD1">
      <w:pPr>
        <w:pStyle w:val="2"/>
        <w:spacing w:before="81" w:line="212" w:lineRule="auto"/>
        <w:ind w:left="560"/>
        <w:rPr>
          <w:sz w:val="25"/>
          <w:szCs w:val="25"/>
        </w:rPr>
      </w:pPr>
      <w:r>
        <w:rPr>
          <w:rFonts w:ascii="Times New Roman" w:hAnsi="Times New Roman" w:eastAsia="Times New Roman" w:cs="Times New Roman"/>
          <w:spacing w:val="7"/>
          <w:sz w:val="25"/>
          <w:szCs w:val="25"/>
        </w:rPr>
        <w:t xml:space="preserve">f)  </w:t>
      </w:r>
      <w:r>
        <w:rPr>
          <w:spacing w:val="7"/>
          <w:sz w:val="25"/>
          <w:szCs w:val="25"/>
        </w:rPr>
        <w:t>操作方式(例如批处理、交互、特权、非特</w:t>
      </w:r>
      <w:r>
        <w:rPr>
          <w:spacing w:val="6"/>
          <w:sz w:val="25"/>
          <w:szCs w:val="25"/>
        </w:rPr>
        <w:t>权等);</w:t>
      </w:r>
    </w:p>
    <w:p w14:paraId="4E65FE5A">
      <w:pPr>
        <w:pStyle w:val="2"/>
        <w:spacing w:before="101" w:line="212" w:lineRule="auto"/>
        <w:ind w:left="560"/>
      </w:pPr>
      <w:r>
        <w:rPr>
          <w:rFonts w:ascii="Times New Roman" w:hAnsi="Times New Roman" w:eastAsia="Times New Roman" w:cs="Times New Roman"/>
          <w:spacing w:val="11"/>
        </w:rPr>
        <w:t>g</w:t>
      </w:r>
      <w:r>
        <w:rPr>
          <w:spacing w:val="11"/>
        </w:rPr>
        <w:t>)操作寄存器；</w:t>
      </w:r>
    </w:p>
    <w:p w14:paraId="36C29DBB">
      <w:pPr>
        <w:pStyle w:val="2"/>
        <w:spacing w:before="80" w:line="212" w:lineRule="auto"/>
        <w:ind w:left="560"/>
      </w:pPr>
      <w:r>
        <w:rPr>
          <w:rFonts w:ascii="Times New Roman" w:hAnsi="Times New Roman" w:eastAsia="Times New Roman" w:cs="Times New Roman"/>
        </w:rPr>
        <w:t xml:space="preserve">h)  </w:t>
      </w:r>
      <w:r>
        <w:t>错误指示器；</w:t>
      </w:r>
    </w:p>
    <w:p w14:paraId="7C644B71">
      <w:pPr>
        <w:pStyle w:val="2"/>
        <w:spacing w:before="100" w:line="212" w:lineRule="auto"/>
        <w:ind w:left="560"/>
      </w:pPr>
      <w:r>
        <w:rPr>
          <w:rFonts w:ascii="Times New Roman" w:hAnsi="Times New Roman" w:eastAsia="Times New Roman" w:cs="Times New Roman"/>
          <w:spacing w:val="2"/>
        </w:rPr>
        <w:t>i)</w:t>
      </w:r>
      <w:r>
        <w:rPr>
          <w:rFonts w:ascii="Times New Roman" w:hAnsi="Times New Roman" w:eastAsia="Times New Roman" w:cs="Times New Roman"/>
          <w:spacing w:val="56"/>
        </w:rPr>
        <w:t xml:space="preserve"> </w:t>
      </w:r>
      <w:r>
        <w:rPr>
          <w:spacing w:val="2"/>
        </w:rPr>
        <w:t>输入/输出特性；</w:t>
      </w:r>
    </w:p>
    <w:p w14:paraId="476F6FA7">
      <w:pPr>
        <w:pStyle w:val="2"/>
        <w:spacing w:before="110" w:line="212" w:lineRule="auto"/>
        <w:ind w:left="560"/>
      </w:pPr>
      <w:r>
        <w:rPr>
          <w:rFonts w:ascii="Times New Roman" w:hAnsi="Times New Roman" w:eastAsia="Times New Roman" w:cs="Times New Roman"/>
          <w:spacing w:val="6"/>
        </w:rPr>
        <w:t>j)</w:t>
      </w:r>
      <w:r>
        <w:rPr>
          <w:rFonts w:ascii="Times New Roman" w:hAnsi="Times New Roman" w:eastAsia="Times New Roman" w:cs="Times New Roman"/>
          <w:spacing w:val="39"/>
        </w:rPr>
        <w:t xml:space="preserve"> </w:t>
      </w:r>
      <w:r>
        <w:rPr>
          <w:spacing w:val="6"/>
        </w:rPr>
        <w:t>特殊特性。</w:t>
      </w:r>
    </w:p>
    <w:p w14:paraId="18A5061A">
      <w:pPr>
        <w:spacing w:before="144" w:line="221" w:lineRule="auto"/>
        <w:rPr>
          <w:rFonts w:ascii="黑体" w:hAnsi="黑体" w:eastAsia="黑体" w:cs="黑体"/>
          <w:sz w:val="24"/>
          <w:szCs w:val="24"/>
        </w:rPr>
      </w:pPr>
      <w:r>
        <w:rPr>
          <w:rFonts w:ascii="黑体" w:hAnsi="黑体" w:eastAsia="黑体" w:cs="黑体"/>
          <w:spacing w:val="8"/>
          <w:sz w:val="24"/>
          <w:szCs w:val="24"/>
        </w:rPr>
        <w:t>3.3</w:t>
      </w:r>
      <w:r>
        <w:rPr>
          <w:rFonts w:ascii="黑体" w:hAnsi="黑体" w:eastAsia="黑体" w:cs="黑体"/>
          <w:spacing w:val="5"/>
          <w:sz w:val="24"/>
          <w:szCs w:val="24"/>
        </w:rPr>
        <w:t xml:space="preserve">   </w:t>
      </w:r>
      <w:r>
        <w:rPr>
          <w:rFonts w:ascii="黑体" w:hAnsi="黑体" w:eastAsia="黑体" w:cs="黑体"/>
          <w:b/>
          <w:bCs/>
          <w:spacing w:val="8"/>
          <w:sz w:val="24"/>
          <w:szCs w:val="24"/>
        </w:rPr>
        <w:t>编译、汇编和连接</w:t>
      </w:r>
    </w:p>
    <w:p w14:paraId="207AD090">
      <w:pPr>
        <w:pStyle w:val="2"/>
        <w:spacing w:before="102" w:line="272" w:lineRule="auto"/>
        <w:ind w:right="1" w:firstLine="560"/>
        <w:jc w:val="both"/>
      </w:pPr>
      <w:r>
        <w:rPr>
          <w:spacing w:val="10"/>
        </w:rPr>
        <w:t>本条应描述在计算机系统上执行编译与汇编所需要的设备(例如磁带、磁</w:t>
      </w:r>
      <w:r>
        <w:rPr>
          <w:spacing w:val="5"/>
        </w:rPr>
        <w:t xml:space="preserve"> </w:t>
      </w:r>
      <w:r>
        <w:rPr>
          <w:spacing w:val="-6"/>
        </w:rPr>
        <w:t>盘、其他外围设备)。(若适用)按名字与版本号标识编辑程序、连接程序、连接编</w:t>
      </w:r>
      <w:r>
        <w:rPr>
          <w:spacing w:val="5"/>
        </w:rPr>
        <w:t xml:space="preserve"> </w:t>
      </w:r>
      <w:r>
        <w:rPr>
          <w:spacing w:val="-10"/>
        </w:rPr>
        <w:t>辑程序、编译程序、汇编程序、交叉编译程序、交叉汇编程序和其他实用程序，并</w:t>
      </w:r>
      <w:r>
        <w:t xml:space="preserve"> </w:t>
      </w:r>
      <w:r>
        <w:rPr>
          <w:spacing w:val="-3"/>
        </w:rPr>
        <w:t>引用适当的文档来描述它们的用法。对所有加载、执行、记录结果所需的特殊标</w:t>
      </w:r>
      <w:r>
        <w:rPr>
          <w:spacing w:val="14"/>
        </w:rPr>
        <w:t xml:space="preserve"> </w:t>
      </w:r>
      <w:r>
        <w:rPr>
          <w:spacing w:val="2"/>
        </w:rPr>
        <w:t>志或指令要着重强调。</w:t>
      </w:r>
    </w:p>
    <w:p w14:paraId="36CE6668">
      <w:pPr>
        <w:spacing w:before="42" w:line="221"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12"/>
          <w:sz w:val="27"/>
          <w:szCs w:val="27"/>
        </w:rPr>
        <w:t xml:space="preserve">  </w:t>
      </w:r>
      <w:r>
        <w:rPr>
          <w:rFonts w:ascii="黑体" w:hAnsi="黑体" w:eastAsia="黑体" w:cs="黑体"/>
          <w:b/>
          <w:bCs/>
          <w:spacing w:val="-5"/>
          <w:sz w:val="27"/>
          <w:szCs w:val="27"/>
        </w:rPr>
        <w:t>编程信息</w:t>
      </w:r>
    </w:p>
    <w:p w14:paraId="28896155">
      <w:pPr>
        <w:spacing w:before="116" w:line="221" w:lineRule="auto"/>
        <w:rPr>
          <w:rFonts w:ascii="黑体" w:hAnsi="黑体" w:eastAsia="黑体" w:cs="黑体"/>
          <w:sz w:val="25"/>
          <w:szCs w:val="25"/>
        </w:rPr>
      </w:pPr>
      <w:r>
        <w:rPr>
          <w:rFonts w:ascii="黑体" w:hAnsi="黑体" w:eastAsia="黑体" w:cs="黑体"/>
          <w:spacing w:val="12"/>
          <w:sz w:val="25"/>
          <w:szCs w:val="25"/>
        </w:rPr>
        <w:t>4.1</w:t>
      </w:r>
      <w:r>
        <w:rPr>
          <w:rFonts w:ascii="黑体" w:hAnsi="黑体" w:eastAsia="黑体" w:cs="黑体"/>
          <w:spacing w:val="53"/>
          <w:sz w:val="25"/>
          <w:szCs w:val="25"/>
        </w:rPr>
        <w:t xml:space="preserve">  </w:t>
      </w:r>
      <w:r>
        <w:rPr>
          <w:rFonts w:ascii="黑体" w:hAnsi="黑体" w:eastAsia="黑体" w:cs="黑体"/>
          <w:b/>
          <w:bCs/>
          <w:spacing w:val="12"/>
          <w:sz w:val="25"/>
          <w:szCs w:val="25"/>
        </w:rPr>
        <w:t>编程特征</w:t>
      </w:r>
    </w:p>
    <w:p w14:paraId="1B6CDF3E">
      <w:pPr>
        <w:pStyle w:val="2"/>
        <w:spacing w:before="96" w:line="219" w:lineRule="auto"/>
        <w:ind w:left="560"/>
      </w:pPr>
      <w:r>
        <w:rPr>
          <w:spacing w:val="-1"/>
        </w:rPr>
        <w:t>本条应描述计算机指令集体系结构的编程特征，(若适用)包括：</w:t>
      </w:r>
    </w:p>
    <w:p w14:paraId="74012816">
      <w:pPr>
        <w:pStyle w:val="2"/>
        <w:spacing w:before="92" w:line="212" w:lineRule="auto"/>
        <w:ind w:left="560"/>
        <w:rPr>
          <w:sz w:val="25"/>
          <w:szCs w:val="25"/>
        </w:rPr>
      </w:pPr>
      <w:r>
        <w:rPr>
          <w:rFonts w:ascii="Times New Roman" w:hAnsi="Times New Roman" w:eastAsia="Times New Roman" w:cs="Times New Roman"/>
          <w:spacing w:val="3"/>
          <w:sz w:val="25"/>
          <w:szCs w:val="25"/>
        </w:rPr>
        <w:t xml:space="preserve">a)  </w:t>
      </w:r>
      <w:r>
        <w:rPr>
          <w:spacing w:val="3"/>
          <w:sz w:val="25"/>
          <w:szCs w:val="25"/>
        </w:rPr>
        <w:t>数据表示法(例如字节、字、整型、浮点、双精度等);</w:t>
      </w:r>
    </w:p>
    <w:p w14:paraId="1B10AE80">
      <w:pPr>
        <w:pStyle w:val="2"/>
        <w:spacing w:before="82"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77"/>
        </w:rPr>
        <w:t xml:space="preserve"> </w:t>
      </w:r>
      <w:r>
        <w:rPr>
          <w:spacing w:val="2"/>
        </w:rPr>
        <w:t>指令格式和寻址方式；</w:t>
      </w:r>
    </w:p>
    <w:p w14:paraId="1DBA810D">
      <w:pPr>
        <w:pStyle w:val="2"/>
        <w:spacing w:before="110" w:line="212" w:lineRule="auto"/>
        <w:ind w:left="560"/>
      </w:pPr>
      <w:r>
        <w:rPr>
          <w:rFonts w:ascii="Times New Roman" w:hAnsi="Times New Roman" w:eastAsia="Times New Roman" w:cs="Times New Roman"/>
          <w:spacing w:val="1"/>
        </w:rPr>
        <w:t>c)</w:t>
      </w:r>
      <w:r>
        <w:rPr>
          <w:rFonts w:ascii="Times New Roman" w:hAnsi="Times New Roman" w:eastAsia="Times New Roman" w:cs="Times New Roman"/>
          <w:spacing w:val="67"/>
        </w:rPr>
        <w:t xml:space="preserve"> </w:t>
      </w:r>
      <w:r>
        <w:rPr>
          <w:spacing w:val="1"/>
        </w:rPr>
        <w:t>专用寄存器和专用字(例如堆栈指针、程序计数器等);</w:t>
      </w:r>
    </w:p>
    <w:p w14:paraId="5BC15326">
      <w:pPr>
        <w:pStyle w:val="2"/>
        <w:spacing w:before="111" w:line="253" w:lineRule="auto"/>
        <w:ind w:firstLine="560"/>
      </w:pPr>
      <w:r>
        <w:rPr>
          <w:rFonts w:ascii="Times New Roman" w:hAnsi="Times New Roman" w:eastAsia="Times New Roman" w:cs="Times New Roman"/>
          <w:spacing w:val="-1"/>
        </w:rPr>
        <w:t xml:space="preserve">d)  </w:t>
      </w:r>
      <w:r>
        <w:rPr>
          <w:spacing w:val="-1"/>
        </w:rPr>
        <w:t>控制指令(例如分支、跳转、子程序和过程调用指令、特权指令以及其操</w:t>
      </w:r>
      <w:r>
        <w:rPr>
          <w:spacing w:val="3"/>
        </w:rPr>
        <w:t xml:space="preserve"> </w:t>
      </w:r>
      <w:r>
        <w:rPr>
          <w:spacing w:val="9"/>
        </w:rPr>
        <w:t>作模式);</w:t>
      </w:r>
    </w:p>
    <w:p w14:paraId="57A411C4">
      <w:pPr>
        <w:pStyle w:val="2"/>
        <w:spacing w:before="90" w:line="212" w:lineRule="auto"/>
        <w:ind w:right="42"/>
        <w:jc w:val="right"/>
        <w:rPr>
          <w:sz w:val="25"/>
          <w:szCs w:val="25"/>
        </w:rPr>
      </w:pPr>
      <w:r>
        <w:rPr>
          <w:rFonts w:ascii="Times New Roman" w:hAnsi="Times New Roman" w:eastAsia="Times New Roman" w:cs="Times New Roman"/>
          <w:spacing w:val="-4"/>
          <w:sz w:val="25"/>
          <w:szCs w:val="25"/>
        </w:rPr>
        <w:t xml:space="preserve">e)  </w:t>
      </w:r>
      <w:r>
        <w:rPr>
          <w:spacing w:val="-4"/>
          <w:sz w:val="25"/>
          <w:szCs w:val="25"/>
        </w:rPr>
        <w:t>子程序和过程(例如不可重入、可重入、宏代码例程、变元表、参数传递约定);</w:t>
      </w:r>
    </w:p>
    <w:p w14:paraId="666374AB">
      <w:pPr>
        <w:pStyle w:val="2"/>
        <w:spacing w:before="82" w:line="212" w:lineRule="auto"/>
        <w:ind w:left="560"/>
      </w:pPr>
      <w:r>
        <w:rPr>
          <w:rFonts w:ascii="Times New Roman" w:hAnsi="Times New Roman" w:eastAsia="Times New Roman" w:cs="Times New Roman"/>
        </w:rPr>
        <w:t xml:space="preserve">f)  </w:t>
      </w:r>
      <w:r>
        <w:t>中断处理；</w:t>
      </w:r>
    </w:p>
    <w:p w14:paraId="139C771E">
      <w:pPr>
        <w:spacing w:line="212" w:lineRule="auto"/>
        <w:sectPr>
          <w:footerReference r:id="rId263" w:type="default"/>
          <w:pgSz w:w="11910" w:h="17130"/>
          <w:pgMar w:top="1456" w:right="986" w:bottom="1483" w:left="1529" w:header="0" w:footer="1284" w:gutter="0"/>
          <w:cols w:space="720" w:num="1"/>
        </w:sectPr>
      </w:pPr>
    </w:p>
    <w:p w14:paraId="5BAB20C0">
      <w:pPr>
        <w:pStyle w:val="2"/>
        <w:spacing w:before="194" w:line="212" w:lineRule="auto"/>
        <w:ind w:left="560"/>
      </w:pPr>
      <w:r>
        <w:rPr>
          <w:rFonts w:ascii="Times New Roman" w:hAnsi="Times New Roman" w:eastAsia="Times New Roman" w:cs="Times New Roman"/>
          <w:spacing w:val="10"/>
        </w:rPr>
        <w:t>g</w:t>
      </w:r>
      <w:r>
        <w:rPr>
          <w:spacing w:val="10"/>
        </w:rPr>
        <w:t>)定时器与时钟；</w:t>
      </w:r>
    </w:p>
    <w:p w14:paraId="0B273C2D">
      <w:pPr>
        <w:pStyle w:val="2"/>
        <w:spacing w:before="90" w:line="212" w:lineRule="auto"/>
        <w:ind w:left="560"/>
      </w:pPr>
      <w:r>
        <w:rPr>
          <w:rFonts w:ascii="Times New Roman" w:hAnsi="Times New Roman" w:eastAsia="Times New Roman" w:cs="Times New Roman"/>
          <w:spacing w:val="5"/>
        </w:rPr>
        <w:t xml:space="preserve">h)  </w:t>
      </w:r>
      <w:r>
        <w:rPr>
          <w:spacing w:val="5"/>
        </w:rPr>
        <w:t>内存保护特征(例如只读内存);</w:t>
      </w:r>
    </w:p>
    <w:p w14:paraId="0047FC13">
      <w:pPr>
        <w:pStyle w:val="2"/>
        <w:spacing w:before="109" w:line="212" w:lineRule="auto"/>
        <w:ind w:left="560"/>
      </w:pPr>
      <w:r>
        <w:rPr>
          <w:rFonts w:ascii="Times New Roman" w:hAnsi="Times New Roman" w:eastAsia="Times New Roman" w:cs="Times New Roman"/>
        </w:rPr>
        <w:t>i)</w:t>
      </w:r>
      <w:r>
        <w:rPr>
          <w:rFonts w:ascii="Times New Roman" w:hAnsi="Times New Roman" w:eastAsia="Times New Roman" w:cs="Times New Roman"/>
          <w:spacing w:val="46"/>
        </w:rPr>
        <w:t xml:space="preserve"> </w:t>
      </w:r>
      <w:r>
        <w:t>其他的特征，例如指令或数据的高速缓存的</w:t>
      </w:r>
      <w:r>
        <w:rPr>
          <w:spacing w:val="-1"/>
        </w:rPr>
        <w:t>体系结构。</w:t>
      </w:r>
    </w:p>
    <w:p w14:paraId="40347137">
      <w:pPr>
        <w:spacing w:before="134" w:line="219" w:lineRule="auto"/>
        <w:rPr>
          <w:rFonts w:ascii="黑体" w:hAnsi="黑体" w:eastAsia="黑体" w:cs="黑体"/>
          <w:sz w:val="25"/>
          <w:szCs w:val="25"/>
        </w:rPr>
      </w:pPr>
      <w:r>
        <w:rPr>
          <w:rFonts w:ascii="黑体" w:hAnsi="黑体" w:eastAsia="黑体" w:cs="黑体"/>
          <w:spacing w:val="13"/>
          <w:sz w:val="25"/>
          <w:szCs w:val="25"/>
        </w:rPr>
        <w:t>4.2</w:t>
      </w:r>
      <w:r>
        <w:rPr>
          <w:rFonts w:ascii="黑体" w:hAnsi="黑体" w:eastAsia="黑体" w:cs="黑体"/>
          <w:spacing w:val="35"/>
          <w:sz w:val="25"/>
          <w:szCs w:val="25"/>
        </w:rPr>
        <w:t xml:space="preserve">  </w:t>
      </w:r>
      <w:r>
        <w:rPr>
          <w:rFonts w:ascii="黑体" w:hAnsi="黑体" w:eastAsia="黑体" w:cs="黑体"/>
          <w:spacing w:val="13"/>
          <w:sz w:val="25"/>
          <w:szCs w:val="25"/>
        </w:rPr>
        <w:t>程序指令</w:t>
      </w:r>
    </w:p>
    <w:p w14:paraId="5ED0E425">
      <w:pPr>
        <w:pStyle w:val="2"/>
        <w:spacing w:before="88" w:line="219" w:lineRule="auto"/>
        <w:ind w:left="560"/>
      </w:pPr>
      <w:r>
        <w:rPr>
          <w:spacing w:val="-1"/>
        </w:rPr>
        <w:t>本条应描述计算机系统的每条指令，(若适用)每条指令应包括：</w:t>
      </w:r>
    </w:p>
    <w:p w14:paraId="3E48EE1A">
      <w:pPr>
        <w:pStyle w:val="2"/>
        <w:spacing w:before="91" w:line="219" w:lineRule="auto"/>
        <w:ind w:left="560"/>
      </w:pPr>
      <w:r>
        <w:rPr>
          <w:rFonts w:ascii="Times New Roman" w:hAnsi="Times New Roman" w:eastAsia="Times New Roman" w:cs="Times New Roman"/>
          <w:spacing w:val="14"/>
        </w:rPr>
        <w:t>a</w:t>
      </w:r>
      <w:r>
        <w:rPr>
          <w:spacing w:val="14"/>
        </w:rPr>
        <w:t>)使用方法；</w:t>
      </w:r>
    </w:p>
    <w:p w14:paraId="66E56DF7">
      <w:pPr>
        <w:pStyle w:val="2"/>
        <w:spacing w:before="59" w:line="212" w:lineRule="auto"/>
        <w:ind w:left="560"/>
      </w:pPr>
      <w:r>
        <w:rPr>
          <w:rFonts w:ascii="Times New Roman" w:hAnsi="Times New Roman" w:eastAsia="Times New Roman" w:cs="Times New Roman"/>
          <w:spacing w:val="1"/>
        </w:rPr>
        <w:t>b)</w:t>
      </w:r>
      <w:r>
        <w:rPr>
          <w:rFonts w:ascii="Times New Roman" w:hAnsi="Times New Roman" w:eastAsia="Times New Roman" w:cs="Times New Roman"/>
          <w:spacing w:val="57"/>
        </w:rPr>
        <w:t xml:space="preserve"> </w:t>
      </w:r>
      <w:r>
        <w:rPr>
          <w:spacing w:val="1"/>
        </w:rPr>
        <w:t>语法；</w:t>
      </w:r>
    </w:p>
    <w:p w14:paraId="3BCE79C5">
      <w:pPr>
        <w:pStyle w:val="2"/>
        <w:spacing w:before="90" w:line="212" w:lineRule="auto"/>
        <w:ind w:left="560"/>
      </w:pPr>
      <w:r>
        <w:rPr>
          <w:rFonts w:ascii="Times New Roman" w:hAnsi="Times New Roman" w:eastAsia="Times New Roman" w:cs="Times New Roman"/>
        </w:rPr>
        <w:t>c)</w:t>
      </w:r>
      <w:r>
        <w:rPr>
          <w:rFonts w:ascii="Times New Roman" w:hAnsi="Times New Roman" w:eastAsia="Times New Roman" w:cs="Times New Roman"/>
          <w:spacing w:val="66"/>
          <w:w w:val="101"/>
        </w:rPr>
        <w:t xml:space="preserve"> </w:t>
      </w:r>
      <w:r>
        <w:t>条件码集合；</w:t>
      </w:r>
    </w:p>
    <w:p w14:paraId="7E2B76D8">
      <w:pPr>
        <w:pStyle w:val="2"/>
        <w:spacing w:before="80" w:line="212" w:lineRule="auto"/>
        <w:ind w:left="560"/>
      </w:pPr>
      <w:r>
        <w:rPr>
          <w:rFonts w:ascii="Times New Roman" w:hAnsi="Times New Roman" w:eastAsia="Times New Roman" w:cs="Times New Roman"/>
        </w:rPr>
        <w:t>d)</w:t>
      </w:r>
      <w:r>
        <w:rPr>
          <w:rFonts w:ascii="Times New Roman" w:hAnsi="Times New Roman" w:eastAsia="Times New Roman" w:cs="Times New Roman"/>
          <w:spacing w:val="61"/>
        </w:rPr>
        <w:t xml:space="preserve"> </w:t>
      </w:r>
      <w:r>
        <w:t>执行时间；</w:t>
      </w:r>
    </w:p>
    <w:p w14:paraId="463D17BB">
      <w:pPr>
        <w:pStyle w:val="2"/>
        <w:spacing w:before="110" w:line="212" w:lineRule="auto"/>
        <w:ind w:left="560"/>
      </w:pPr>
      <w:r>
        <w:rPr>
          <w:rFonts w:ascii="Times New Roman" w:hAnsi="Times New Roman" w:eastAsia="Times New Roman" w:cs="Times New Roman"/>
        </w:rPr>
        <w:t>e)</w:t>
      </w:r>
      <w:r>
        <w:rPr>
          <w:rFonts w:ascii="Times New Roman" w:hAnsi="Times New Roman" w:eastAsia="Times New Roman" w:cs="Times New Roman"/>
          <w:spacing w:val="66"/>
          <w:w w:val="101"/>
        </w:rPr>
        <w:t xml:space="preserve"> </w:t>
      </w:r>
      <w:r>
        <w:t>机器码格式；</w:t>
      </w:r>
    </w:p>
    <w:p w14:paraId="67D16948">
      <w:pPr>
        <w:pStyle w:val="2"/>
        <w:spacing w:before="132" w:line="212" w:lineRule="auto"/>
        <w:ind w:left="560"/>
        <w:rPr>
          <w:sz w:val="24"/>
          <w:szCs w:val="24"/>
        </w:rPr>
      </w:pPr>
      <w:r>
        <w:rPr>
          <w:rFonts w:ascii="Times New Roman" w:hAnsi="Times New Roman" w:eastAsia="Times New Roman" w:cs="Times New Roman"/>
          <w:spacing w:val="21"/>
          <w:sz w:val="24"/>
          <w:szCs w:val="24"/>
        </w:rPr>
        <w:t>f)</w:t>
      </w:r>
      <w:r>
        <w:rPr>
          <w:rFonts w:ascii="Times New Roman" w:hAnsi="Times New Roman" w:eastAsia="Times New Roman" w:cs="Times New Roman"/>
          <w:spacing w:val="15"/>
          <w:w w:val="101"/>
          <w:sz w:val="24"/>
          <w:szCs w:val="24"/>
        </w:rPr>
        <w:t xml:space="preserve">  </w:t>
      </w:r>
      <w:r>
        <w:rPr>
          <w:spacing w:val="21"/>
          <w:sz w:val="24"/>
          <w:szCs w:val="24"/>
        </w:rPr>
        <w:t>记忆码约定；</w:t>
      </w:r>
    </w:p>
    <w:p w14:paraId="743E81AF">
      <w:pPr>
        <w:pStyle w:val="2"/>
        <w:spacing w:before="111" w:line="212" w:lineRule="auto"/>
        <w:ind w:left="560"/>
      </w:pPr>
      <w:r>
        <w:rPr>
          <w:rFonts w:ascii="Times New Roman" w:hAnsi="Times New Roman" w:eastAsia="Times New Roman" w:cs="Times New Roman"/>
          <w:spacing w:val="12"/>
        </w:rPr>
        <w:t>g</w:t>
      </w:r>
      <w:r>
        <w:rPr>
          <w:spacing w:val="12"/>
        </w:rPr>
        <w:t>)其他特性。</w:t>
      </w:r>
    </w:p>
    <w:p w14:paraId="5C028DD6">
      <w:pPr>
        <w:spacing w:before="100" w:line="222" w:lineRule="auto"/>
        <w:rPr>
          <w:rFonts w:ascii="黑体" w:hAnsi="黑体" w:eastAsia="黑体" w:cs="黑体"/>
          <w:sz w:val="27"/>
          <w:szCs w:val="27"/>
        </w:rPr>
      </w:pPr>
      <w:r>
        <w:rPr>
          <w:rFonts w:ascii="黑体" w:hAnsi="黑体" w:eastAsia="黑体" w:cs="黑体"/>
          <w:spacing w:val="2"/>
          <w:sz w:val="27"/>
          <w:szCs w:val="27"/>
        </w:rPr>
        <w:t>4.3</w:t>
      </w:r>
      <w:r>
        <w:rPr>
          <w:rFonts w:ascii="黑体" w:hAnsi="黑体" w:eastAsia="黑体" w:cs="黑体"/>
          <w:spacing w:val="18"/>
          <w:sz w:val="27"/>
          <w:szCs w:val="27"/>
        </w:rPr>
        <w:t xml:space="preserve">  </w:t>
      </w:r>
      <w:r>
        <w:rPr>
          <w:rFonts w:ascii="黑体" w:hAnsi="黑体" w:eastAsia="黑体" w:cs="黑体"/>
          <w:spacing w:val="2"/>
          <w:sz w:val="27"/>
          <w:szCs w:val="27"/>
        </w:rPr>
        <w:t>输入和输出控制</w:t>
      </w:r>
    </w:p>
    <w:p w14:paraId="1BD9504A">
      <w:pPr>
        <w:pStyle w:val="2"/>
        <w:spacing w:before="105" w:line="219" w:lineRule="auto"/>
        <w:ind w:left="560"/>
      </w:pPr>
      <w:r>
        <w:rPr>
          <w:spacing w:val="-3"/>
        </w:rPr>
        <w:t>本条应描述输入和输出控制信息，(若适用)</w:t>
      </w:r>
      <w:r>
        <w:rPr>
          <w:spacing w:val="-4"/>
        </w:rPr>
        <w:t>包括：</w:t>
      </w:r>
    </w:p>
    <w:p w14:paraId="6E28DDAE">
      <w:pPr>
        <w:pStyle w:val="2"/>
        <w:spacing w:before="82" w:line="219" w:lineRule="auto"/>
        <w:ind w:left="560"/>
      </w:pPr>
      <w:r>
        <w:rPr>
          <w:rFonts w:ascii="Times New Roman" w:hAnsi="Times New Roman" w:eastAsia="Times New Roman" w:cs="Times New Roman"/>
          <w:spacing w:val="2"/>
        </w:rPr>
        <w:t>a</w:t>
      </w:r>
      <w:r>
        <w:rPr>
          <w:spacing w:val="2"/>
        </w:rPr>
        <w:t>)</w:t>
      </w:r>
      <w:r>
        <w:rPr>
          <w:spacing w:val="-36"/>
        </w:rPr>
        <w:t xml:space="preserve"> </w:t>
      </w:r>
      <w:r>
        <w:rPr>
          <w:spacing w:val="2"/>
        </w:rPr>
        <w:t>描述输入和输出控制的编程；</w:t>
      </w:r>
    </w:p>
    <w:p w14:paraId="5B3567B4">
      <w:pPr>
        <w:pStyle w:val="2"/>
        <w:spacing w:before="69"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57"/>
        </w:rPr>
        <w:t xml:space="preserve"> </w:t>
      </w:r>
      <w:r>
        <w:rPr>
          <w:spacing w:val="4"/>
        </w:rPr>
        <w:t>计算机内存的初始加载和校验；</w:t>
      </w:r>
    </w:p>
    <w:p w14:paraId="0A085AD2">
      <w:pPr>
        <w:pStyle w:val="2"/>
        <w:spacing w:before="80" w:line="212" w:lineRule="auto"/>
        <w:ind w:left="560"/>
      </w:pPr>
      <w:r>
        <w:rPr>
          <w:rFonts w:ascii="Times New Roman" w:hAnsi="Times New Roman" w:eastAsia="Times New Roman" w:cs="Times New Roman"/>
          <w:spacing w:val="1"/>
        </w:rPr>
        <w:t xml:space="preserve">c)  </w:t>
      </w:r>
      <w:r>
        <w:rPr>
          <w:spacing w:val="1"/>
        </w:rPr>
        <w:t>串行和并行数据通道；</w:t>
      </w:r>
    </w:p>
    <w:p w14:paraId="0DC1ED83">
      <w:pPr>
        <w:pStyle w:val="2"/>
        <w:spacing w:before="110" w:line="212" w:lineRule="auto"/>
        <w:ind w:left="560"/>
      </w:pPr>
      <w:r>
        <w:rPr>
          <w:rFonts w:ascii="Times New Roman" w:hAnsi="Times New Roman" w:eastAsia="Times New Roman" w:cs="Times New Roman"/>
          <w:spacing w:val="1"/>
        </w:rPr>
        <w:t xml:space="preserve">d)  </w:t>
      </w:r>
      <w:r>
        <w:rPr>
          <w:spacing w:val="1"/>
        </w:rPr>
        <w:t>离散的输入和输出；</w:t>
      </w:r>
    </w:p>
    <w:p w14:paraId="3F844EC5">
      <w:pPr>
        <w:pStyle w:val="2"/>
        <w:spacing w:before="149" w:line="219" w:lineRule="auto"/>
        <w:ind w:left="560"/>
        <w:rPr>
          <w:sz w:val="24"/>
          <w:szCs w:val="24"/>
        </w:rPr>
      </w:pPr>
      <w:r>
        <w:rPr>
          <w:rFonts w:ascii="Times New Roman" w:hAnsi="Times New Roman" w:eastAsia="Times New Roman" w:cs="Times New Roman"/>
          <w:spacing w:val="-14"/>
          <w:sz w:val="24"/>
          <w:szCs w:val="24"/>
        </w:rPr>
        <w:t>e</w:t>
      </w:r>
      <w:r>
        <w:rPr>
          <w:rFonts w:ascii="Times New Roman" w:hAnsi="Times New Roman" w:eastAsia="Times New Roman" w:cs="Times New Roman"/>
          <w:spacing w:val="-15"/>
          <w:sz w:val="24"/>
          <w:szCs w:val="24"/>
        </w:rPr>
        <w:t xml:space="preserve"> </w:t>
      </w:r>
      <w:r>
        <w:rPr>
          <w:spacing w:val="-14"/>
          <w:sz w:val="24"/>
          <w:szCs w:val="24"/>
        </w:rPr>
        <w:t>)</w:t>
      </w:r>
      <w:r>
        <w:rPr>
          <w:spacing w:val="-40"/>
          <w:sz w:val="24"/>
          <w:szCs w:val="24"/>
        </w:rPr>
        <w:t xml:space="preserve"> </w:t>
      </w:r>
      <w:r>
        <w:rPr>
          <w:spacing w:val="-14"/>
          <w:sz w:val="24"/>
          <w:szCs w:val="24"/>
        </w:rPr>
        <w:t>接</w:t>
      </w:r>
      <w:r>
        <w:rPr>
          <w:spacing w:val="-18"/>
          <w:sz w:val="24"/>
          <w:szCs w:val="24"/>
        </w:rPr>
        <w:t xml:space="preserve"> </w:t>
      </w:r>
      <w:r>
        <w:rPr>
          <w:spacing w:val="-14"/>
          <w:sz w:val="24"/>
          <w:szCs w:val="24"/>
        </w:rPr>
        <w:t>口</w:t>
      </w:r>
      <w:r>
        <w:rPr>
          <w:spacing w:val="-52"/>
          <w:sz w:val="24"/>
          <w:szCs w:val="24"/>
        </w:rPr>
        <w:t xml:space="preserve"> </w:t>
      </w:r>
      <w:r>
        <w:rPr>
          <w:spacing w:val="-14"/>
          <w:sz w:val="24"/>
          <w:szCs w:val="24"/>
        </w:rPr>
        <w:t>部</w:t>
      </w:r>
      <w:r>
        <w:rPr>
          <w:spacing w:val="-55"/>
          <w:sz w:val="24"/>
          <w:szCs w:val="24"/>
        </w:rPr>
        <w:t xml:space="preserve"> </w:t>
      </w:r>
      <w:r>
        <w:rPr>
          <w:spacing w:val="-14"/>
          <w:sz w:val="24"/>
          <w:szCs w:val="24"/>
        </w:rPr>
        <w:t>件</w:t>
      </w:r>
      <w:r>
        <w:rPr>
          <w:spacing w:val="-64"/>
          <w:sz w:val="24"/>
          <w:szCs w:val="24"/>
        </w:rPr>
        <w:t xml:space="preserve"> </w:t>
      </w:r>
      <w:r>
        <w:rPr>
          <w:spacing w:val="-14"/>
          <w:sz w:val="24"/>
          <w:szCs w:val="24"/>
        </w:rPr>
        <w:t>；</w:t>
      </w:r>
    </w:p>
    <w:p w14:paraId="7B7ACB43">
      <w:pPr>
        <w:pStyle w:val="2"/>
        <w:spacing w:before="76" w:line="212" w:lineRule="auto"/>
        <w:ind w:left="560"/>
      </w:pPr>
      <w:r>
        <w:rPr>
          <w:rFonts w:ascii="Times New Roman" w:hAnsi="Times New Roman" w:eastAsia="Times New Roman" w:cs="Times New Roman"/>
          <w:spacing w:val="-3"/>
        </w:rPr>
        <w:t>f)</w:t>
      </w:r>
      <w:r>
        <w:rPr>
          <w:rFonts w:ascii="Times New Roman" w:hAnsi="Times New Roman" w:eastAsia="Times New Roman" w:cs="Times New Roman"/>
          <w:spacing w:val="71"/>
        </w:rPr>
        <w:t xml:space="preserve"> </w:t>
      </w:r>
      <w:r>
        <w:rPr>
          <w:spacing w:val="-3"/>
        </w:rPr>
        <w:t>外围设备的设备号、操作码以及内存单元。</w:t>
      </w:r>
    </w:p>
    <w:p w14:paraId="210CEE3A">
      <w:pPr>
        <w:spacing w:before="118" w:line="221" w:lineRule="auto"/>
        <w:rPr>
          <w:rFonts w:ascii="黑体" w:hAnsi="黑体" w:eastAsia="黑体" w:cs="黑体"/>
          <w:sz w:val="27"/>
          <w:szCs w:val="27"/>
        </w:rPr>
      </w:pPr>
      <w:r>
        <w:rPr>
          <w:rFonts w:ascii="黑体" w:hAnsi="黑体" w:eastAsia="黑体" w:cs="黑体"/>
          <w:spacing w:val="5"/>
          <w:sz w:val="27"/>
          <w:szCs w:val="27"/>
        </w:rPr>
        <w:t>4.4  其他编程技术</w:t>
      </w:r>
    </w:p>
    <w:p w14:paraId="381DAC3E">
      <w:pPr>
        <w:pStyle w:val="2"/>
        <w:spacing w:before="89" w:line="275" w:lineRule="auto"/>
        <w:ind w:firstLine="560"/>
      </w:pPr>
      <w:r>
        <w:rPr>
          <w:spacing w:val="2"/>
        </w:rPr>
        <w:t>本条应描述与计算机系统有关的附加的、受限的</w:t>
      </w:r>
      <w:r>
        <w:rPr>
          <w:spacing w:val="1"/>
        </w:rPr>
        <w:t>或专用的编程技术(例如微</w:t>
      </w:r>
      <w:r>
        <w:t xml:space="preserve"> </w:t>
      </w:r>
      <w:r>
        <w:rPr>
          <w:spacing w:val="3"/>
        </w:rPr>
        <w:t>程序控制节的简述)。</w:t>
      </w:r>
    </w:p>
    <w:p w14:paraId="2DA4FF54">
      <w:pPr>
        <w:spacing w:before="33" w:line="221" w:lineRule="auto"/>
        <w:rPr>
          <w:rFonts w:ascii="黑体" w:hAnsi="黑体" w:eastAsia="黑体" w:cs="黑体"/>
          <w:sz w:val="25"/>
          <w:szCs w:val="25"/>
        </w:rPr>
      </w:pPr>
      <w:r>
        <w:rPr>
          <w:rFonts w:ascii="黑体" w:hAnsi="黑体" w:eastAsia="黑体" w:cs="黑体"/>
          <w:spacing w:val="14"/>
          <w:sz w:val="25"/>
          <w:szCs w:val="25"/>
        </w:rPr>
        <w:t>4.5</w:t>
      </w:r>
      <w:r>
        <w:rPr>
          <w:rFonts w:ascii="黑体" w:hAnsi="黑体" w:eastAsia="黑体" w:cs="黑体"/>
          <w:spacing w:val="36"/>
          <w:sz w:val="25"/>
          <w:szCs w:val="25"/>
        </w:rPr>
        <w:t xml:space="preserve">  </w:t>
      </w:r>
      <w:r>
        <w:rPr>
          <w:rFonts w:ascii="黑体" w:hAnsi="黑体" w:eastAsia="黑体" w:cs="黑体"/>
          <w:spacing w:val="14"/>
          <w:sz w:val="25"/>
          <w:szCs w:val="25"/>
        </w:rPr>
        <w:t>编程示例</w:t>
      </w:r>
    </w:p>
    <w:p w14:paraId="21014F50">
      <w:pPr>
        <w:pStyle w:val="2"/>
        <w:spacing w:before="121" w:line="219" w:lineRule="auto"/>
        <w:ind w:left="560"/>
        <w:rPr>
          <w:sz w:val="25"/>
          <w:szCs w:val="25"/>
        </w:rPr>
      </w:pPr>
      <w:r>
        <w:rPr>
          <w:spacing w:val="20"/>
          <w:sz w:val="25"/>
          <w:szCs w:val="25"/>
        </w:rPr>
        <w:t>举例说明上面的编程特征，包括正确使用计算机系统的各类指令的实例。</w:t>
      </w:r>
    </w:p>
    <w:p w14:paraId="456BE756">
      <w:pPr>
        <w:spacing w:before="83" w:line="221" w:lineRule="auto"/>
        <w:rPr>
          <w:rFonts w:ascii="黑体" w:hAnsi="黑体" w:eastAsia="黑体" w:cs="黑体"/>
          <w:sz w:val="27"/>
          <w:szCs w:val="27"/>
        </w:rPr>
      </w:pPr>
      <w:r>
        <w:rPr>
          <w:rFonts w:ascii="黑体" w:hAnsi="黑体" w:eastAsia="黑体" w:cs="黑体"/>
          <w:spacing w:val="4"/>
          <w:sz w:val="27"/>
          <w:szCs w:val="27"/>
        </w:rPr>
        <w:t>4.6  错误检测和诊断功能</w:t>
      </w:r>
    </w:p>
    <w:p w14:paraId="6182729C">
      <w:pPr>
        <w:pStyle w:val="2"/>
        <w:spacing w:before="99" w:line="269" w:lineRule="auto"/>
        <w:ind w:right="18" w:firstLine="560"/>
      </w:pPr>
      <w:r>
        <w:rPr>
          <w:spacing w:val="-3"/>
        </w:rPr>
        <w:t>本条应描述与计算机系统相关的错误检测和诊断特征，包括条件码、溢出和</w:t>
      </w:r>
      <w:r>
        <w:t xml:space="preserve"> </w:t>
      </w:r>
      <w:r>
        <w:rPr>
          <w:spacing w:val="-3"/>
        </w:rPr>
        <w:t>寻址异常中断、输入和输出错误状态指示器等。</w:t>
      </w:r>
    </w:p>
    <w:p w14:paraId="1A35A4B3">
      <w:pPr>
        <w:spacing w:before="21" w:line="222" w:lineRule="auto"/>
        <w:rPr>
          <w:rFonts w:ascii="黑体" w:hAnsi="黑体" w:eastAsia="黑体" w:cs="黑体"/>
          <w:sz w:val="24"/>
          <w:szCs w:val="24"/>
        </w:rPr>
      </w:pPr>
      <w:r>
        <w:rPr>
          <w:rFonts w:ascii="黑体" w:hAnsi="黑体" w:eastAsia="黑体" w:cs="黑体"/>
          <w:spacing w:val="-6"/>
          <w:sz w:val="24"/>
          <w:szCs w:val="24"/>
        </w:rPr>
        <w:t>5</w:t>
      </w:r>
      <w:r>
        <w:rPr>
          <w:rFonts w:ascii="黑体" w:hAnsi="黑体" w:eastAsia="黑体" w:cs="黑体"/>
          <w:spacing w:val="42"/>
          <w:sz w:val="24"/>
          <w:szCs w:val="24"/>
        </w:rPr>
        <w:t xml:space="preserve">  </w:t>
      </w:r>
      <w:r>
        <w:rPr>
          <w:rFonts w:ascii="黑体" w:hAnsi="黑体" w:eastAsia="黑体" w:cs="黑体"/>
          <w:spacing w:val="-6"/>
          <w:sz w:val="24"/>
          <w:szCs w:val="24"/>
        </w:rPr>
        <w:t>注</w:t>
      </w:r>
      <w:r>
        <w:rPr>
          <w:rFonts w:ascii="黑体" w:hAnsi="黑体" w:eastAsia="黑体" w:cs="黑体"/>
          <w:spacing w:val="-21"/>
          <w:sz w:val="24"/>
          <w:szCs w:val="24"/>
        </w:rPr>
        <w:t xml:space="preserve"> </w:t>
      </w:r>
      <w:r>
        <w:rPr>
          <w:rFonts w:ascii="黑体" w:hAnsi="黑体" w:eastAsia="黑体" w:cs="黑体"/>
          <w:spacing w:val="-6"/>
          <w:sz w:val="24"/>
          <w:szCs w:val="24"/>
        </w:rPr>
        <w:t>释</w:t>
      </w:r>
    </w:p>
    <w:p w14:paraId="128B17BA">
      <w:pPr>
        <w:pStyle w:val="2"/>
        <w:spacing w:before="122" w:line="219" w:lineRule="auto"/>
        <w:ind w:right="41"/>
        <w:jc w:val="right"/>
      </w:pPr>
      <w:r>
        <w:rPr>
          <w:spacing w:val="-4"/>
        </w:rPr>
        <w:t>本章应包括有助于了解文档的所有信息(例如背景、术语、缩略语或公式)。</w:t>
      </w:r>
    </w:p>
    <w:p w14:paraId="4D99D228">
      <w:pPr>
        <w:spacing w:line="308" w:lineRule="auto"/>
        <w:rPr>
          <w:rFonts w:ascii="Arial"/>
          <w:sz w:val="21"/>
        </w:rPr>
      </w:pPr>
    </w:p>
    <w:p w14:paraId="127BD01C">
      <w:pPr>
        <w:pStyle w:val="2"/>
        <w:spacing w:before="118" w:line="219" w:lineRule="auto"/>
        <w:ind w:left="2880"/>
        <w:rPr>
          <w:sz w:val="36"/>
          <w:szCs w:val="36"/>
        </w:rPr>
      </w:pPr>
      <w:r>
        <w:rPr>
          <w:spacing w:val="3"/>
          <w:sz w:val="36"/>
          <w:szCs w:val="36"/>
        </w:rPr>
        <w:t xml:space="preserve">2.24  </w:t>
      </w:r>
      <w:r>
        <w:rPr>
          <w:b/>
          <w:bCs/>
          <w:spacing w:val="3"/>
          <w:sz w:val="36"/>
          <w:szCs w:val="36"/>
        </w:rPr>
        <w:t>计算机操作手册</w:t>
      </w:r>
    </w:p>
    <w:p w14:paraId="0B3440DA">
      <w:pPr>
        <w:spacing w:line="350" w:lineRule="auto"/>
        <w:rPr>
          <w:rFonts w:ascii="Arial"/>
          <w:sz w:val="21"/>
        </w:rPr>
      </w:pPr>
    </w:p>
    <w:p w14:paraId="69AFFDBE">
      <w:pPr>
        <w:pStyle w:val="2"/>
        <w:spacing w:before="92" w:line="225"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438B—2009</w:t>
      </w:r>
      <w:r>
        <w:rPr>
          <w:spacing w:val="-11"/>
          <w:sz w:val="28"/>
          <w:szCs w:val="28"/>
        </w:rPr>
        <w:t>《</w:t>
      </w:r>
      <w:r>
        <w:rPr>
          <w:rFonts w:ascii="楷体" w:hAnsi="楷体" w:eastAsia="楷体" w:cs="楷体"/>
          <w:spacing w:val="-11"/>
          <w:sz w:val="28"/>
          <w:szCs w:val="28"/>
        </w:rPr>
        <w:t>军用软件开发文档通用要求》编写。</w:t>
      </w:r>
    </w:p>
    <w:p w14:paraId="2D270AC2">
      <w:pPr>
        <w:spacing w:line="225" w:lineRule="auto"/>
        <w:rPr>
          <w:rFonts w:ascii="楷体" w:hAnsi="楷体" w:eastAsia="楷体" w:cs="楷体"/>
          <w:sz w:val="28"/>
          <w:szCs w:val="28"/>
        </w:rPr>
        <w:sectPr>
          <w:footerReference r:id="rId264" w:type="default"/>
          <w:pgSz w:w="11910" w:h="17130"/>
          <w:pgMar w:top="1456" w:right="1509" w:bottom="1527" w:left="1009" w:header="0" w:footer="1310" w:gutter="0"/>
          <w:cols w:space="720" w:num="1"/>
        </w:sectPr>
      </w:pPr>
    </w:p>
    <w:p w14:paraId="70514598">
      <w:pPr>
        <w:spacing w:before="72"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21"/>
          <w:sz w:val="27"/>
          <w:szCs w:val="27"/>
        </w:rPr>
        <w:t xml:space="preserve">  </w:t>
      </w:r>
      <w:r>
        <w:rPr>
          <w:rFonts w:ascii="黑体" w:hAnsi="黑体" w:eastAsia="黑体" w:cs="黑体"/>
          <w:b/>
          <w:bCs/>
          <w:spacing w:val="-4"/>
          <w:sz w:val="27"/>
          <w:szCs w:val="27"/>
        </w:rPr>
        <w:t>范围</w:t>
      </w:r>
    </w:p>
    <w:p w14:paraId="33C4B366">
      <w:pPr>
        <w:spacing w:before="86" w:line="222" w:lineRule="auto"/>
        <w:rPr>
          <w:rFonts w:ascii="黑体" w:hAnsi="黑体" w:eastAsia="黑体" w:cs="黑体"/>
          <w:sz w:val="25"/>
          <w:szCs w:val="25"/>
        </w:rPr>
      </w:pPr>
      <w:r>
        <w:rPr>
          <w:rFonts w:ascii="黑体" w:hAnsi="黑体" w:eastAsia="黑体" w:cs="黑体"/>
          <w:spacing w:val="5"/>
          <w:sz w:val="25"/>
          <w:szCs w:val="25"/>
        </w:rPr>
        <w:t>1.1</w:t>
      </w:r>
      <w:r>
        <w:rPr>
          <w:rFonts w:ascii="黑体" w:hAnsi="黑体" w:eastAsia="黑体" w:cs="黑体"/>
          <w:spacing w:val="44"/>
          <w:sz w:val="25"/>
          <w:szCs w:val="25"/>
        </w:rPr>
        <w:t xml:space="preserve">  </w:t>
      </w:r>
      <w:r>
        <w:rPr>
          <w:rFonts w:ascii="黑体" w:hAnsi="黑体" w:eastAsia="黑体" w:cs="黑体"/>
          <w:spacing w:val="5"/>
          <w:sz w:val="25"/>
          <w:szCs w:val="25"/>
        </w:rPr>
        <w:t>标识</w:t>
      </w:r>
    </w:p>
    <w:p w14:paraId="458EF701">
      <w:pPr>
        <w:pStyle w:val="2"/>
        <w:spacing w:before="78" w:line="219" w:lineRule="auto"/>
        <w:jc w:val="right"/>
      </w:pPr>
      <w:r>
        <w:rPr>
          <w:spacing w:val="1"/>
        </w:rPr>
        <w:t>本条应描述本文档所适用的计算机系统的制造商名、</w:t>
      </w:r>
      <w:r>
        <w:t>型号和其他标识信息。</w:t>
      </w:r>
    </w:p>
    <w:p w14:paraId="25187223">
      <w:pPr>
        <w:spacing w:before="89" w:line="221" w:lineRule="auto"/>
        <w:rPr>
          <w:rFonts w:ascii="黑体" w:hAnsi="黑体" w:eastAsia="黑体" w:cs="黑体"/>
          <w:sz w:val="27"/>
          <w:szCs w:val="27"/>
        </w:rPr>
      </w:pPr>
      <w:r>
        <w:rPr>
          <w:rFonts w:ascii="黑体" w:hAnsi="黑体" w:eastAsia="黑体" w:cs="黑体"/>
          <w:spacing w:val="1"/>
          <w:sz w:val="27"/>
          <w:szCs w:val="27"/>
        </w:rPr>
        <w:t>1.2</w:t>
      </w:r>
      <w:r>
        <w:rPr>
          <w:rFonts w:ascii="黑体" w:hAnsi="黑体" w:eastAsia="黑体" w:cs="黑体"/>
          <w:spacing w:val="26"/>
          <w:sz w:val="27"/>
          <w:szCs w:val="27"/>
        </w:rPr>
        <w:t xml:space="preserve">  </w:t>
      </w:r>
      <w:r>
        <w:rPr>
          <w:rFonts w:ascii="黑体" w:hAnsi="黑体" w:eastAsia="黑体" w:cs="黑体"/>
          <w:spacing w:val="1"/>
          <w:sz w:val="27"/>
          <w:szCs w:val="27"/>
        </w:rPr>
        <w:t>计算机系统概述</w:t>
      </w:r>
    </w:p>
    <w:p w14:paraId="28CC7E82">
      <w:pPr>
        <w:pStyle w:val="2"/>
        <w:spacing w:before="97" w:line="219" w:lineRule="auto"/>
        <w:ind w:left="550"/>
      </w:pPr>
      <w:r>
        <w:rPr>
          <w:spacing w:val="4"/>
        </w:rPr>
        <w:t>本条应概述本文档所适用的计算机系统的用途。</w:t>
      </w:r>
    </w:p>
    <w:p w14:paraId="7B701908">
      <w:pPr>
        <w:spacing w:before="98" w:line="221" w:lineRule="auto"/>
        <w:rPr>
          <w:rFonts w:ascii="黑体" w:hAnsi="黑体" w:eastAsia="黑体" w:cs="黑体"/>
          <w:sz w:val="25"/>
          <w:szCs w:val="25"/>
        </w:rPr>
      </w:pPr>
      <w:r>
        <w:rPr>
          <w:rFonts w:ascii="黑体" w:hAnsi="黑体" w:eastAsia="黑体" w:cs="黑体"/>
          <w:spacing w:val="9"/>
          <w:sz w:val="25"/>
          <w:szCs w:val="25"/>
        </w:rPr>
        <w:t>1.3</w:t>
      </w:r>
      <w:r>
        <w:rPr>
          <w:rFonts w:ascii="黑体" w:hAnsi="黑体" w:eastAsia="黑体" w:cs="黑体"/>
          <w:spacing w:val="44"/>
          <w:sz w:val="25"/>
          <w:szCs w:val="25"/>
        </w:rPr>
        <w:t xml:space="preserve">  </w:t>
      </w:r>
      <w:r>
        <w:rPr>
          <w:rFonts w:ascii="黑体" w:hAnsi="黑体" w:eastAsia="黑体" w:cs="黑体"/>
          <w:spacing w:val="9"/>
          <w:sz w:val="25"/>
          <w:szCs w:val="25"/>
        </w:rPr>
        <w:t>文档概述</w:t>
      </w:r>
    </w:p>
    <w:p w14:paraId="6FE2B903">
      <w:pPr>
        <w:pStyle w:val="2"/>
        <w:spacing w:before="73" w:line="290" w:lineRule="auto"/>
        <w:ind w:right="94" w:firstLine="550"/>
      </w:pPr>
      <w:r>
        <w:rPr>
          <w:spacing w:val="6"/>
        </w:rPr>
        <w:t>本条应概述本文档的用途和内容，并描述与它的使用有关的保密性方面的</w:t>
      </w:r>
      <w:r>
        <w:rPr>
          <w:spacing w:val="8"/>
        </w:rPr>
        <w:t xml:space="preserve"> </w:t>
      </w:r>
      <w:r>
        <w:rPr>
          <w:spacing w:val="-4"/>
        </w:rPr>
        <w:t>要求。</w:t>
      </w:r>
    </w:p>
    <w:p w14:paraId="421D27FB">
      <w:pPr>
        <w:spacing w:line="221" w:lineRule="auto"/>
        <w:rPr>
          <w:rFonts w:ascii="黑体" w:hAnsi="黑体" w:eastAsia="黑体" w:cs="黑体"/>
          <w:sz w:val="25"/>
          <w:szCs w:val="25"/>
        </w:rPr>
      </w:pPr>
      <w:r>
        <w:rPr>
          <w:rFonts w:ascii="黑体" w:hAnsi="黑体" w:eastAsia="黑体" w:cs="黑体"/>
          <w:spacing w:val="18"/>
          <w:sz w:val="25"/>
          <w:szCs w:val="25"/>
        </w:rPr>
        <w:t>2</w:t>
      </w:r>
      <w:r>
        <w:rPr>
          <w:rFonts w:ascii="黑体" w:hAnsi="黑体" w:eastAsia="黑体" w:cs="黑体"/>
          <w:spacing w:val="27"/>
          <w:sz w:val="25"/>
          <w:szCs w:val="25"/>
        </w:rPr>
        <w:t xml:space="preserve">  </w:t>
      </w:r>
      <w:r>
        <w:rPr>
          <w:rFonts w:ascii="黑体" w:hAnsi="黑体" w:eastAsia="黑体" w:cs="黑体"/>
          <w:spacing w:val="18"/>
          <w:sz w:val="25"/>
          <w:szCs w:val="25"/>
        </w:rPr>
        <w:t>引用文档</w:t>
      </w:r>
    </w:p>
    <w:p w14:paraId="1EDAA30B">
      <w:pPr>
        <w:pStyle w:val="2"/>
        <w:spacing w:before="81" w:line="280" w:lineRule="auto"/>
        <w:ind w:right="121" w:firstLine="550"/>
      </w:pPr>
      <w:r>
        <w:rPr>
          <w:spacing w:val="-11"/>
        </w:rPr>
        <w:t>本章应列出引用文档的编号、标题、编写单位、修订版及日期，还应标识不能</w:t>
      </w:r>
      <w:r>
        <w:rPr>
          <w:spacing w:val="6"/>
        </w:rPr>
        <w:t xml:space="preserve"> </w:t>
      </w:r>
      <w:r>
        <w:rPr>
          <w:spacing w:val="3"/>
        </w:rPr>
        <w:t>通过正常采购活动得到的文档的来源。</w:t>
      </w:r>
    </w:p>
    <w:p w14:paraId="3A6F1EC5">
      <w:pPr>
        <w:spacing w:before="1" w:line="220" w:lineRule="auto"/>
        <w:rPr>
          <w:rFonts w:ascii="黑体" w:hAnsi="黑体" w:eastAsia="黑体" w:cs="黑体"/>
          <w:sz w:val="27"/>
          <w:szCs w:val="27"/>
        </w:rPr>
      </w:pPr>
      <w:r>
        <w:rPr>
          <w:rFonts w:ascii="黑体" w:hAnsi="黑体" w:eastAsia="黑体" w:cs="黑体"/>
          <w:spacing w:val="4"/>
          <w:sz w:val="27"/>
          <w:szCs w:val="27"/>
        </w:rPr>
        <w:t>3</w:t>
      </w:r>
      <w:r>
        <w:rPr>
          <w:rFonts w:ascii="黑体" w:hAnsi="黑体" w:eastAsia="黑体" w:cs="黑体"/>
          <w:spacing w:val="13"/>
          <w:sz w:val="27"/>
          <w:szCs w:val="27"/>
        </w:rPr>
        <w:t xml:space="preserve">  </w:t>
      </w:r>
      <w:r>
        <w:rPr>
          <w:rFonts w:ascii="黑体" w:hAnsi="黑体" w:eastAsia="黑体" w:cs="黑体"/>
          <w:spacing w:val="4"/>
          <w:sz w:val="27"/>
          <w:szCs w:val="27"/>
        </w:rPr>
        <w:t>计算机系统操作</w:t>
      </w:r>
    </w:p>
    <w:p w14:paraId="0597C216">
      <w:pPr>
        <w:spacing w:before="87" w:line="221" w:lineRule="auto"/>
        <w:rPr>
          <w:rFonts w:ascii="黑体" w:hAnsi="黑体" w:eastAsia="黑体" w:cs="黑体"/>
          <w:sz w:val="27"/>
          <w:szCs w:val="27"/>
        </w:rPr>
      </w:pPr>
      <w:r>
        <w:rPr>
          <w:rFonts w:ascii="黑体" w:hAnsi="黑体" w:eastAsia="黑体" w:cs="黑体"/>
          <w:spacing w:val="4"/>
          <w:sz w:val="27"/>
          <w:szCs w:val="27"/>
        </w:rPr>
        <w:t>3.1  计算机系统的准备和关机</w:t>
      </w:r>
    </w:p>
    <w:p w14:paraId="523BB604">
      <w:pPr>
        <w:spacing w:before="91" w:line="224" w:lineRule="auto"/>
        <w:rPr>
          <w:rFonts w:ascii="黑体" w:hAnsi="黑体" w:eastAsia="黑体" w:cs="黑体"/>
          <w:sz w:val="27"/>
          <w:szCs w:val="27"/>
        </w:rPr>
      </w:pPr>
      <w:r>
        <w:rPr>
          <w:rFonts w:ascii="黑体" w:hAnsi="黑体" w:eastAsia="黑体" w:cs="黑体"/>
          <w:spacing w:val="1"/>
          <w:sz w:val="27"/>
          <w:szCs w:val="27"/>
        </w:rPr>
        <w:t>3.1.1</w:t>
      </w:r>
      <w:r>
        <w:rPr>
          <w:rFonts w:ascii="黑体" w:hAnsi="黑体" w:eastAsia="黑体" w:cs="黑体"/>
          <w:spacing w:val="22"/>
          <w:sz w:val="27"/>
          <w:szCs w:val="27"/>
        </w:rPr>
        <w:t xml:space="preserve">  </w:t>
      </w:r>
      <w:r>
        <w:rPr>
          <w:rFonts w:ascii="黑体" w:hAnsi="黑体" w:eastAsia="黑体" w:cs="黑体"/>
          <w:spacing w:val="1"/>
          <w:sz w:val="27"/>
          <w:szCs w:val="27"/>
        </w:rPr>
        <w:t>加电和断电</w:t>
      </w:r>
    </w:p>
    <w:p w14:paraId="0FD27091">
      <w:pPr>
        <w:pStyle w:val="2"/>
        <w:spacing w:before="89" w:line="219" w:lineRule="auto"/>
        <w:ind w:left="550"/>
      </w:pPr>
      <w:r>
        <w:rPr>
          <w:spacing w:val="4"/>
        </w:rPr>
        <w:t>本条应描述计算机系统加电和断电的操作规程。</w:t>
      </w:r>
    </w:p>
    <w:p w14:paraId="23DA0889">
      <w:pPr>
        <w:spacing w:before="109" w:line="222" w:lineRule="auto"/>
        <w:rPr>
          <w:rFonts w:ascii="黑体" w:hAnsi="黑体" w:eastAsia="黑体" w:cs="黑体"/>
          <w:sz w:val="25"/>
          <w:szCs w:val="25"/>
        </w:rPr>
      </w:pPr>
      <w:r>
        <w:rPr>
          <w:rFonts w:ascii="黑体" w:hAnsi="黑体" w:eastAsia="黑体" w:cs="黑体"/>
          <w:spacing w:val="-3"/>
          <w:sz w:val="25"/>
          <w:szCs w:val="25"/>
        </w:rPr>
        <w:t>3.1.2</w:t>
      </w:r>
      <w:r>
        <w:rPr>
          <w:rFonts w:ascii="黑体" w:hAnsi="黑体" w:eastAsia="黑体" w:cs="黑体"/>
          <w:spacing w:val="57"/>
          <w:sz w:val="25"/>
          <w:szCs w:val="25"/>
        </w:rPr>
        <w:t xml:space="preserve">  </w:t>
      </w:r>
      <w:r>
        <w:rPr>
          <w:rFonts w:ascii="黑体" w:hAnsi="黑体" w:eastAsia="黑体" w:cs="黑体"/>
          <w:spacing w:val="-3"/>
          <w:sz w:val="25"/>
          <w:szCs w:val="25"/>
        </w:rPr>
        <w:t>启</w:t>
      </w:r>
      <w:r>
        <w:rPr>
          <w:rFonts w:ascii="黑体" w:hAnsi="黑体" w:eastAsia="黑体" w:cs="黑体"/>
          <w:spacing w:val="-49"/>
          <w:sz w:val="25"/>
          <w:szCs w:val="25"/>
        </w:rPr>
        <w:t xml:space="preserve"> </w:t>
      </w:r>
      <w:r>
        <w:rPr>
          <w:rFonts w:ascii="黑体" w:hAnsi="黑体" w:eastAsia="黑体" w:cs="黑体"/>
          <w:spacing w:val="-3"/>
          <w:sz w:val="25"/>
          <w:szCs w:val="25"/>
        </w:rPr>
        <w:t>动</w:t>
      </w:r>
    </w:p>
    <w:p w14:paraId="54E1B608">
      <w:pPr>
        <w:pStyle w:val="2"/>
        <w:spacing w:before="92" w:line="271" w:lineRule="auto"/>
        <w:ind w:firstLine="550"/>
        <w:jc w:val="both"/>
      </w:pPr>
      <w:r>
        <w:rPr>
          <w:spacing w:val="1"/>
        </w:rPr>
        <w:t>本条应描述计算机系统的启动规程，包括：设备设置和</w:t>
      </w:r>
      <w:r>
        <w:t xml:space="preserve">操作前的准备规程； </w:t>
      </w:r>
      <w:r>
        <w:rPr>
          <w:spacing w:val="5"/>
        </w:rPr>
        <w:t xml:space="preserve">为引导计算机系统而装入软件和数据的规程；自检和启动计算机系统的典型命  </w:t>
      </w:r>
      <w:r>
        <w:rPr>
          <w:spacing w:val="-10"/>
        </w:rPr>
        <w:t>令；初始化文件、变量或其他参数的规程。</w:t>
      </w:r>
    </w:p>
    <w:p w14:paraId="523286E1">
      <w:pPr>
        <w:spacing w:before="41" w:line="224" w:lineRule="auto"/>
        <w:rPr>
          <w:rFonts w:ascii="黑体" w:hAnsi="黑体" w:eastAsia="黑体" w:cs="黑体"/>
          <w:sz w:val="25"/>
          <w:szCs w:val="25"/>
        </w:rPr>
      </w:pPr>
      <w:r>
        <w:rPr>
          <w:rFonts w:ascii="黑体" w:hAnsi="黑体" w:eastAsia="黑体" w:cs="黑体"/>
          <w:spacing w:val="-5"/>
          <w:sz w:val="25"/>
          <w:szCs w:val="25"/>
        </w:rPr>
        <w:t>3.1.3</w:t>
      </w:r>
      <w:r>
        <w:rPr>
          <w:rFonts w:ascii="黑体" w:hAnsi="黑体" w:eastAsia="黑体" w:cs="黑体"/>
          <w:spacing w:val="59"/>
          <w:sz w:val="25"/>
          <w:szCs w:val="25"/>
        </w:rPr>
        <w:t xml:space="preserve">  </w:t>
      </w:r>
      <w:r>
        <w:rPr>
          <w:rFonts w:ascii="黑体" w:hAnsi="黑体" w:eastAsia="黑体" w:cs="黑体"/>
          <w:spacing w:val="-5"/>
          <w:sz w:val="25"/>
          <w:szCs w:val="25"/>
        </w:rPr>
        <w:t>关</w:t>
      </w:r>
      <w:r>
        <w:rPr>
          <w:rFonts w:ascii="黑体" w:hAnsi="黑体" w:eastAsia="黑体" w:cs="黑体"/>
          <w:spacing w:val="-48"/>
          <w:sz w:val="25"/>
          <w:szCs w:val="25"/>
        </w:rPr>
        <w:t xml:space="preserve"> </w:t>
      </w:r>
      <w:r>
        <w:rPr>
          <w:rFonts w:ascii="黑体" w:hAnsi="黑体" w:eastAsia="黑体" w:cs="黑体"/>
          <w:spacing w:val="-5"/>
          <w:sz w:val="25"/>
          <w:szCs w:val="25"/>
        </w:rPr>
        <w:t>机</w:t>
      </w:r>
    </w:p>
    <w:p w14:paraId="6A1A7439">
      <w:pPr>
        <w:pStyle w:val="2"/>
        <w:spacing w:before="95" w:line="219" w:lineRule="auto"/>
        <w:ind w:left="550"/>
      </w:pPr>
      <w:r>
        <w:rPr>
          <w:spacing w:val="1"/>
        </w:rPr>
        <w:t>本条应描述保存数据文件、其他信息和终止计算机系</w:t>
      </w:r>
      <w:r>
        <w:t>统操作的关机规程。</w:t>
      </w:r>
    </w:p>
    <w:p w14:paraId="7F9E388B">
      <w:pPr>
        <w:spacing w:before="108" w:line="222" w:lineRule="auto"/>
        <w:rPr>
          <w:rFonts w:ascii="黑体" w:hAnsi="黑体" w:eastAsia="黑体" w:cs="黑体"/>
          <w:sz w:val="24"/>
          <w:szCs w:val="24"/>
        </w:rPr>
      </w:pPr>
      <w:r>
        <w:rPr>
          <w:rFonts w:ascii="黑体" w:hAnsi="黑体" w:eastAsia="黑体" w:cs="黑体"/>
          <w:spacing w:val="-5"/>
          <w:sz w:val="24"/>
          <w:szCs w:val="24"/>
        </w:rPr>
        <w:t>3.2</w:t>
      </w:r>
      <w:r>
        <w:rPr>
          <w:rFonts w:ascii="黑体" w:hAnsi="黑体" w:eastAsia="黑体" w:cs="黑体"/>
          <w:spacing w:val="49"/>
          <w:sz w:val="24"/>
          <w:szCs w:val="24"/>
        </w:rPr>
        <w:t xml:space="preserve">  </w:t>
      </w:r>
      <w:r>
        <w:rPr>
          <w:rFonts w:ascii="黑体" w:hAnsi="黑体" w:eastAsia="黑体" w:cs="黑体"/>
          <w:spacing w:val="-5"/>
          <w:sz w:val="24"/>
          <w:szCs w:val="24"/>
        </w:rPr>
        <w:t>操</w:t>
      </w:r>
      <w:r>
        <w:rPr>
          <w:rFonts w:ascii="黑体" w:hAnsi="黑体" w:eastAsia="黑体" w:cs="黑体"/>
          <w:spacing w:val="-55"/>
          <w:sz w:val="24"/>
          <w:szCs w:val="24"/>
        </w:rPr>
        <w:t xml:space="preserve"> </w:t>
      </w:r>
      <w:r>
        <w:rPr>
          <w:rFonts w:ascii="黑体" w:hAnsi="黑体" w:eastAsia="黑体" w:cs="黑体"/>
          <w:spacing w:val="-5"/>
          <w:sz w:val="24"/>
          <w:szCs w:val="24"/>
        </w:rPr>
        <w:t>作</w:t>
      </w:r>
      <w:r>
        <w:rPr>
          <w:rFonts w:ascii="黑体" w:hAnsi="黑体" w:eastAsia="黑体" w:cs="黑体"/>
          <w:spacing w:val="-57"/>
          <w:sz w:val="24"/>
          <w:szCs w:val="24"/>
        </w:rPr>
        <w:t xml:space="preserve"> </w:t>
      </w:r>
      <w:r>
        <w:rPr>
          <w:rFonts w:ascii="黑体" w:hAnsi="黑体" w:eastAsia="黑体" w:cs="黑体"/>
          <w:spacing w:val="-5"/>
          <w:sz w:val="24"/>
          <w:szCs w:val="24"/>
        </w:rPr>
        <w:t>规</w:t>
      </w:r>
      <w:r>
        <w:rPr>
          <w:rFonts w:ascii="黑体" w:hAnsi="黑体" w:eastAsia="黑体" w:cs="黑体"/>
          <w:spacing w:val="-56"/>
          <w:sz w:val="24"/>
          <w:szCs w:val="24"/>
        </w:rPr>
        <w:t xml:space="preserve"> </w:t>
      </w:r>
      <w:r>
        <w:rPr>
          <w:rFonts w:ascii="黑体" w:hAnsi="黑体" w:eastAsia="黑体" w:cs="黑体"/>
          <w:spacing w:val="-5"/>
          <w:sz w:val="24"/>
          <w:szCs w:val="24"/>
        </w:rPr>
        <w:t>程</w:t>
      </w:r>
    </w:p>
    <w:p w14:paraId="3A3F156B">
      <w:pPr>
        <w:spacing w:before="93" w:line="222" w:lineRule="auto"/>
        <w:rPr>
          <w:rFonts w:ascii="黑体" w:hAnsi="黑体" w:eastAsia="黑体" w:cs="黑体"/>
          <w:sz w:val="27"/>
          <w:szCs w:val="27"/>
        </w:rPr>
      </w:pPr>
      <w:r>
        <w:rPr>
          <w:rFonts w:ascii="黑体" w:hAnsi="黑体" w:eastAsia="黑体" w:cs="黑体"/>
          <w:sz w:val="27"/>
          <w:szCs w:val="27"/>
        </w:rPr>
        <w:t>3.2.1</w:t>
      </w:r>
      <w:r>
        <w:rPr>
          <w:rFonts w:ascii="黑体" w:hAnsi="黑体" w:eastAsia="黑体" w:cs="黑体"/>
          <w:spacing w:val="31"/>
          <w:sz w:val="27"/>
          <w:szCs w:val="27"/>
        </w:rPr>
        <w:t xml:space="preserve">  </w:t>
      </w:r>
      <w:r>
        <w:rPr>
          <w:rFonts w:ascii="黑体" w:hAnsi="黑体" w:eastAsia="黑体" w:cs="黑体"/>
          <w:sz w:val="27"/>
          <w:szCs w:val="27"/>
        </w:rPr>
        <w:t>输入和输出规程</w:t>
      </w:r>
    </w:p>
    <w:p w14:paraId="0AEC7EB7">
      <w:pPr>
        <w:pStyle w:val="2"/>
        <w:spacing w:before="74" w:line="289" w:lineRule="auto"/>
        <w:ind w:right="51" w:firstLine="550"/>
        <w:jc w:val="both"/>
      </w:pPr>
      <w:r>
        <w:rPr>
          <w:spacing w:val="3"/>
        </w:rPr>
        <w:t>本条应分小条描述适用计算机系统的输入和输出媒体(例如磁盘、磁带等),</w:t>
      </w:r>
      <w:r>
        <w:rPr>
          <w:spacing w:val="5"/>
        </w:rPr>
        <w:t xml:space="preserve"> </w:t>
      </w:r>
      <w:r>
        <w:rPr>
          <w:spacing w:val="-2"/>
        </w:rPr>
        <w:t>以及对这些媒体进行读和写的规程；概述操作系统的</w:t>
      </w:r>
      <w:r>
        <w:rPr>
          <w:spacing w:val="-3"/>
        </w:rPr>
        <w:t>控制语言，并列出交互消息</w:t>
      </w:r>
      <w:r>
        <w:t xml:space="preserve"> </w:t>
      </w:r>
      <w:r>
        <w:rPr>
          <w:spacing w:val="-9"/>
        </w:rPr>
        <w:t>和响应规程(例如使用的终端、口令、关键字)。</w:t>
      </w:r>
    </w:p>
    <w:p w14:paraId="727B72DE">
      <w:pPr>
        <w:spacing w:before="2" w:line="222" w:lineRule="auto"/>
        <w:rPr>
          <w:rFonts w:ascii="黑体" w:hAnsi="黑体" w:eastAsia="黑体" w:cs="黑体"/>
          <w:sz w:val="24"/>
          <w:szCs w:val="24"/>
        </w:rPr>
      </w:pPr>
      <w:r>
        <w:rPr>
          <w:rFonts w:ascii="黑体" w:hAnsi="黑体" w:eastAsia="黑体" w:cs="黑体"/>
          <w:spacing w:val="14"/>
          <w:sz w:val="24"/>
          <w:szCs w:val="24"/>
        </w:rPr>
        <w:t>3.2.2</w:t>
      </w:r>
      <w:r>
        <w:rPr>
          <w:rFonts w:ascii="黑体" w:hAnsi="黑体" w:eastAsia="黑体" w:cs="黑体"/>
          <w:spacing w:val="10"/>
          <w:sz w:val="24"/>
          <w:szCs w:val="24"/>
        </w:rPr>
        <w:t xml:space="preserve">   </w:t>
      </w:r>
      <w:r>
        <w:rPr>
          <w:rFonts w:ascii="黑体" w:hAnsi="黑体" w:eastAsia="黑体" w:cs="黑体"/>
          <w:spacing w:val="14"/>
          <w:sz w:val="24"/>
          <w:szCs w:val="24"/>
        </w:rPr>
        <w:t>监视规程</w:t>
      </w:r>
    </w:p>
    <w:p w14:paraId="78F1866A">
      <w:pPr>
        <w:pStyle w:val="2"/>
        <w:spacing w:before="103" w:line="305" w:lineRule="auto"/>
        <w:ind w:right="118" w:firstLine="550"/>
        <w:jc w:val="both"/>
        <w:rPr>
          <w:sz w:val="25"/>
          <w:szCs w:val="25"/>
        </w:rPr>
      </w:pPr>
      <w:r>
        <w:rPr>
          <w:spacing w:val="34"/>
          <w:sz w:val="25"/>
          <w:szCs w:val="25"/>
        </w:rPr>
        <w:t>本条应描述监视运行中的计算机系统所遵循的规程，包括故障和失效指</w:t>
      </w:r>
      <w:r>
        <w:rPr>
          <w:spacing w:val="11"/>
          <w:sz w:val="25"/>
          <w:szCs w:val="25"/>
        </w:rPr>
        <w:t xml:space="preserve"> </w:t>
      </w:r>
      <w:r>
        <w:rPr>
          <w:spacing w:val="42"/>
          <w:sz w:val="25"/>
          <w:szCs w:val="25"/>
        </w:rPr>
        <w:t>示；应描述可用的指示器，对这些指示器的解释和遵循的例程及专用监视</w:t>
      </w:r>
      <w:r>
        <w:rPr>
          <w:spacing w:val="14"/>
          <w:sz w:val="25"/>
          <w:szCs w:val="25"/>
        </w:rPr>
        <w:t xml:space="preserve"> </w:t>
      </w:r>
      <w:r>
        <w:rPr>
          <w:spacing w:val="11"/>
          <w:sz w:val="25"/>
          <w:szCs w:val="25"/>
        </w:rPr>
        <w:t>规程。</w:t>
      </w:r>
    </w:p>
    <w:p w14:paraId="2260E3E8">
      <w:pPr>
        <w:spacing w:before="1" w:line="221" w:lineRule="auto"/>
        <w:rPr>
          <w:rFonts w:ascii="黑体" w:hAnsi="黑体" w:eastAsia="黑体" w:cs="黑体"/>
          <w:sz w:val="24"/>
          <w:szCs w:val="24"/>
        </w:rPr>
      </w:pPr>
      <w:r>
        <w:rPr>
          <w:rFonts w:ascii="黑体" w:hAnsi="黑体" w:eastAsia="黑体" w:cs="黑体"/>
          <w:spacing w:val="14"/>
          <w:sz w:val="24"/>
          <w:szCs w:val="24"/>
        </w:rPr>
        <w:t>3.2.3</w:t>
      </w:r>
      <w:r>
        <w:rPr>
          <w:rFonts w:ascii="黑体" w:hAnsi="黑体" w:eastAsia="黑体" w:cs="黑体"/>
          <w:spacing w:val="10"/>
          <w:sz w:val="24"/>
          <w:szCs w:val="24"/>
        </w:rPr>
        <w:t xml:space="preserve">   </w:t>
      </w:r>
      <w:r>
        <w:rPr>
          <w:rFonts w:ascii="黑体" w:hAnsi="黑体" w:eastAsia="黑体" w:cs="黑体"/>
          <w:spacing w:val="14"/>
          <w:sz w:val="24"/>
          <w:szCs w:val="24"/>
        </w:rPr>
        <w:t>恢复规程</w:t>
      </w:r>
    </w:p>
    <w:p w14:paraId="417D9F50">
      <w:pPr>
        <w:pStyle w:val="2"/>
        <w:spacing w:before="111" w:line="275" w:lineRule="auto"/>
        <w:ind w:right="122" w:firstLine="550"/>
        <w:jc w:val="both"/>
      </w:pPr>
      <w:r>
        <w:rPr>
          <w:spacing w:val="9"/>
        </w:rPr>
        <w:t>本条应描述每次发生故障时所采用自动和人工恢复的规程(例如给出计算</w:t>
      </w:r>
      <w:r>
        <w:rPr>
          <w:spacing w:val="18"/>
        </w:rPr>
        <w:t xml:space="preserve"> </w:t>
      </w:r>
      <w:r>
        <w:rPr>
          <w:spacing w:val="1"/>
        </w:rPr>
        <w:t>机系统转储的详细指令)。本条还应叙述在异常或操作中断之后，操作员为使计</w:t>
      </w:r>
      <w:r>
        <w:rPr>
          <w:spacing w:val="10"/>
        </w:rPr>
        <w:t xml:space="preserve"> </w:t>
      </w:r>
      <w:r>
        <w:rPr>
          <w:spacing w:val="-1"/>
        </w:rPr>
        <w:t>算机系统重新启动所采取的步骤，以及记录失效信息的规程。</w:t>
      </w:r>
    </w:p>
    <w:p w14:paraId="4DB75F28">
      <w:pPr>
        <w:spacing w:line="275" w:lineRule="auto"/>
        <w:sectPr>
          <w:footerReference r:id="rId265" w:type="default"/>
          <w:pgSz w:w="11910" w:h="17130"/>
          <w:pgMar w:top="1456" w:right="764" w:bottom="1626" w:left="1660" w:header="0" w:footer="1437" w:gutter="0"/>
          <w:cols w:space="720" w:num="1"/>
        </w:sectPr>
      </w:pPr>
    </w:p>
    <w:p w14:paraId="1949847B">
      <w:pPr>
        <w:spacing w:before="48" w:line="221" w:lineRule="auto"/>
        <w:rPr>
          <w:rFonts w:ascii="黑体" w:hAnsi="黑体" w:eastAsia="黑体" w:cs="黑体"/>
          <w:sz w:val="24"/>
          <w:szCs w:val="24"/>
        </w:rPr>
      </w:pPr>
      <w:r>
        <w:rPr>
          <w:rFonts w:ascii="黑体" w:hAnsi="黑体" w:eastAsia="黑体" w:cs="黑体"/>
          <w:spacing w:val="12"/>
          <w:sz w:val="24"/>
          <w:szCs w:val="24"/>
        </w:rPr>
        <w:t xml:space="preserve">3.2.4   </w:t>
      </w:r>
      <w:r>
        <w:rPr>
          <w:rFonts w:ascii="黑体" w:hAnsi="黑体" w:eastAsia="黑体" w:cs="黑体"/>
          <w:b/>
          <w:bCs/>
          <w:spacing w:val="12"/>
          <w:sz w:val="24"/>
          <w:szCs w:val="24"/>
        </w:rPr>
        <w:t>脱机规程</w:t>
      </w:r>
    </w:p>
    <w:p w14:paraId="47BC7788">
      <w:pPr>
        <w:pStyle w:val="2"/>
        <w:spacing w:before="107" w:line="219" w:lineRule="auto"/>
        <w:ind w:left="570"/>
      </w:pPr>
      <w:r>
        <w:rPr>
          <w:spacing w:val="5"/>
        </w:rPr>
        <w:t>本条应描述对计算机系统所有相关的脱机设备进</w:t>
      </w:r>
      <w:r>
        <w:rPr>
          <w:spacing w:val="4"/>
        </w:rPr>
        <w:t>行操作的规程。</w:t>
      </w:r>
    </w:p>
    <w:p w14:paraId="5B741123">
      <w:pPr>
        <w:spacing w:before="105" w:line="222" w:lineRule="auto"/>
        <w:rPr>
          <w:rFonts w:ascii="黑体" w:hAnsi="黑体" w:eastAsia="黑体" w:cs="黑体"/>
          <w:sz w:val="27"/>
          <w:szCs w:val="27"/>
        </w:rPr>
      </w:pPr>
      <w:r>
        <w:rPr>
          <w:rFonts w:ascii="黑体" w:hAnsi="黑体" w:eastAsia="黑体" w:cs="黑体"/>
          <w:spacing w:val="-2"/>
          <w:sz w:val="27"/>
          <w:szCs w:val="27"/>
        </w:rPr>
        <w:t>3.2.5</w:t>
      </w:r>
      <w:r>
        <w:rPr>
          <w:rFonts w:ascii="黑体" w:hAnsi="黑体" w:eastAsia="黑体" w:cs="黑体"/>
          <w:spacing w:val="28"/>
          <w:sz w:val="27"/>
          <w:szCs w:val="27"/>
        </w:rPr>
        <w:t xml:space="preserve">  </w:t>
      </w:r>
      <w:r>
        <w:rPr>
          <w:rFonts w:ascii="黑体" w:hAnsi="黑体" w:eastAsia="黑体" w:cs="黑体"/>
          <w:b/>
          <w:bCs/>
          <w:spacing w:val="-2"/>
          <w:sz w:val="27"/>
          <w:szCs w:val="27"/>
        </w:rPr>
        <w:t>其他规程</w:t>
      </w:r>
    </w:p>
    <w:p w14:paraId="0CD9EC85">
      <w:pPr>
        <w:pStyle w:val="2"/>
        <w:spacing w:before="79" w:line="282" w:lineRule="auto"/>
        <w:ind w:right="4" w:firstLine="570"/>
        <w:jc w:val="both"/>
      </w:pPr>
      <w:r>
        <w:rPr>
          <w:spacing w:val="1"/>
        </w:rPr>
        <w:t>本条应描述操作员要遵循的其他规程(例如计算机系统报警、计算机系统安</w:t>
      </w:r>
      <w:r>
        <w:rPr>
          <w:spacing w:val="17"/>
        </w:rPr>
        <w:t xml:space="preserve"> </w:t>
      </w:r>
      <w:r>
        <w:rPr>
          <w:spacing w:val="-3"/>
        </w:rPr>
        <w:t>全性考虑、切换到冗余的计算机系统、以及在紧急情况下保证操作连续性的其他</w:t>
      </w:r>
      <w:r>
        <w:rPr>
          <w:spacing w:val="4"/>
        </w:rPr>
        <w:t xml:space="preserve"> </w:t>
      </w:r>
      <w:r>
        <w:t>措施等)。</w:t>
      </w:r>
    </w:p>
    <w:p w14:paraId="0826EAAB">
      <w:pPr>
        <w:spacing w:before="48" w:line="222" w:lineRule="auto"/>
        <w:rPr>
          <w:rFonts w:ascii="黑体" w:hAnsi="黑体" w:eastAsia="黑体" w:cs="黑体"/>
          <w:sz w:val="24"/>
          <w:szCs w:val="24"/>
        </w:rPr>
      </w:pPr>
      <w:r>
        <w:rPr>
          <w:rFonts w:ascii="黑体" w:hAnsi="黑体" w:eastAsia="黑体" w:cs="黑体"/>
          <w:spacing w:val="21"/>
          <w:sz w:val="24"/>
          <w:szCs w:val="24"/>
        </w:rPr>
        <w:t>3.3</w:t>
      </w:r>
      <w:r>
        <w:rPr>
          <w:rFonts w:ascii="黑体" w:hAnsi="黑体" w:eastAsia="黑体" w:cs="黑体"/>
          <w:spacing w:val="54"/>
          <w:sz w:val="24"/>
          <w:szCs w:val="24"/>
        </w:rPr>
        <w:t xml:space="preserve">  </w:t>
      </w:r>
      <w:r>
        <w:rPr>
          <w:rFonts w:ascii="黑体" w:hAnsi="黑体" w:eastAsia="黑体" w:cs="黑体"/>
          <w:b/>
          <w:bCs/>
          <w:spacing w:val="21"/>
          <w:sz w:val="24"/>
          <w:szCs w:val="24"/>
        </w:rPr>
        <w:t>问题处理规程</w:t>
      </w:r>
    </w:p>
    <w:p w14:paraId="086679F8">
      <w:pPr>
        <w:pStyle w:val="2"/>
        <w:spacing w:before="154" w:line="280" w:lineRule="auto"/>
        <w:ind w:firstLine="570"/>
        <w:jc w:val="both"/>
      </w:pPr>
      <w:r>
        <w:rPr>
          <w:spacing w:val="5"/>
        </w:rPr>
        <w:t>本条应标识3.1、3.2所描述的操作步骤中可能发生的问题，应描述产生的</w:t>
      </w:r>
      <w:r>
        <w:rPr>
          <w:spacing w:val="15"/>
        </w:rPr>
        <w:t xml:space="preserve"> </w:t>
      </w:r>
      <w:r>
        <w:rPr>
          <w:spacing w:val="1"/>
        </w:rPr>
        <w:t>错误信息或其他指示，并应描述每个信息所对应的自动或手动纠正规程，(若适</w:t>
      </w:r>
      <w:r>
        <w:t xml:space="preserve"> </w:t>
      </w:r>
      <w:r>
        <w:rPr>
          <w:spacing w:val="1"/>
        </w:rPr>
        <w:t>用)包括故障隔离的评价技术的详细描述，关闭计算机的条件，联机干涉或异常</w:t>
      </w:r>
      <w:r>
        <w:rPr>
          <w:spacing w:val="3"/>
        </w:rPr>
        <w:t xml:space="preserve"> </w:t>
      </w:r>
      <w:r>
        <w:rPr>
          <w:spacing w:val="-3"/>
        </w:rPr>
        <w:t>结束的规程，操作中断或异常结束后采取的重新启动计算机系统的操作步骤，以</w:t>
      </w:r>
      <w:r>
        <w:rPr>
          <w:spacing w:val="18"/>
        </w:rPr>
        <w:t xml:space="preserve"> </w:t>
      </w:r>
      <w:r>
        <w:rPr>
          <w:spacing w:val="2"/>
        </w:rPr>
        <w:t>及记录有关故障信息的规程。</w:t>
      </w:r>
    </w:p>
    <w:p w14:paraId="33F61EC4">
      <w:pPr>
        <w:spacing w:before="50"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22"/>
          <w:sz w:val="27"/>
          <w:szCs w:val="27"/>
        </w:rPr>
        <w:t xml:space="preserve">  </w:t>
      </w:r>
      <w:r>
        <w:rPr>
          <w:rFonts w:ascii="黑体" w:hAnsi="黑体" w:eastAsia="黑体" w:cs="黑体"/>
          <w:b/>
          <w:bCs/>
          <w:spacing w:val="1"/>
          <w:sz w:val="27"/>
          <w:szCs w:val="27"/>
        </w:rPr>
        <w:t>诊断特征</w:t>
      </w:r>
    </w:p>
    <w:p w14:paraId="5FD48756">
      <w:pPr>
        <w:spacing w:before="167" w:line="221" w:lineRule="auto"/>
        <w:rPr>
          <w:rFonts w:ascii="黑体" w:hAnsi="黑体" w:eastAsia="黑体" w:cs="黑体"/>
          <w:sz w:val="27"/>
          <w:szCs w:val="27"/>
        </w:rPr>
      </w:pPr>
      <w:r>
        <w:rPr>
          <w:rFonts w:ascii="黑体" w:hAnsi="黑体" w:eastAsia="黑体" w:cs="黑体"/>
          <w:sz w:val="27"/>
          <w:szCs w:val="27"/>
        </w:rPr>
        <w:t>4.1</w:t>
      </w:r>
      <w:r>
        <w:rPr>
          <w:rFonts w:ascii="黑体" w:hAnsi="黑体" w:eastAsia="黑体" w:cs="黑体"/>
          <w:spacing w:val="21"/>
          <w:sz w:val="27"/>
          <w:szCs w:val="27"/>
        </w:rPr>
        <w:t xml:space="preserve">  </w:t>
      </w:r>
      <w:r>
        <w:rPr>
          <w:rFonts w:ascii="黑体" w:hAnsi="黑体" w:eastAsia="黑体" w:cs="黑体"/>
          <w:b/>
          <w:bCs/>
          <w:sz w:val="27"/>
          <w:szCs w:val="27"/>
        </w:rPr>
        <w:t>诊断特征概述</w:t>
      </w:r>
    </w:p>
    <w:p w14:paraId="72FA080D">
      <w:pPr>
        <w:pStyle w:val="2"/>
        <w:spacing w:before="112" w:line="292" w:lineRule="auto"/>
        <w:ind w:right="4" w:firstLine="570"/>
      </w:pPr>
      <w:r>
        <w:rPr>
          <w:spacing w:val="6"/>
        </w:rPr>
        <w:t>本条应概述计算机系统的诊断特征，包括错误信息语法和</w:t>
      </w:r>
      <w:r>
        <w:rPr>
          <w:spacing w:val="5"/>
        </w:rPr>
        <w:t>故障隔离的分级</w:t>
      </w:r>
      <w:r>
        <w:t xml:space="preserve"> </w:t>
      </w:r>
      <w:r>
        <w:rPr>
          <w:spacing w:val="4"/>
        </w:rPr>
        <w:t>结构。本条还应描述每个诊断特征的目的。</w:t>
      </w:r>
    </w:p>
    <w:p w14:paraId="079547FE">
      <w:pPr>
        <w:spacing w:before="1" w:line="220" w:lineRule="auto"/>
        <w:rPr>
          <w:rFonts w:ascii="黑体" w:hAnsi="黑体" w:eastAsia="黑体" w:cs="黑体"/>
          <w:sz w:val="25"/>
          <w:szCs w:val="25"/>
        </w:rPr>
      </w:pPr>
      <w:r>
        <w:rPr>
          <w:rFonts w:ascii="黑体" w:hAnsi="黑体" w:eastAsia="黑体" w:cs="黑体"/>
          <w:spacing w:val="12"/>
          <w:sz w:val="25"/>
          <w:szCs w:val="25"/>
        </w:rPr>
        <w:t>4.2</w:t>
      </w:r>
      <w:r>
        <w:rPr>
          <w:rFonts w:ascii="黑体" w:hAnsi="黑体" w:eastAsia="黑体" w:cs="黑体"/>
          <w:spacing w:val="47"/>
          <w:sz w:val="25"/>
          <w:szCs w:val="25"/>
        </w:rPr>
        <w:t xml:space="preserve">  </w:t>
      </w:r>
      <w:r>
        <w:rPr>
          <w:rFonts w:ascii="黑体" w:hAnsi="黑体" w:eastAsia="黑体" w:cs="黑体"/>
          <w:b/>
          <w:bCs/>
          <w:spacing w:val="12"/>
          <w:sz w:val="25"/>
          <w:szCs w:val="25"/>
        </w:rPr>
        <w:t>诊断规程</w:t>
      </w:r>
    </w:p>
    <w:p w14:paraId="498DDB84">
      <w:pPr>
        <w:spacing w:before="45" w:line="387" w:lineRule="exact"/>
        <w:rPr>
          <w:rFonts w:ascii="黑体" w:hAnsi="黑体" w:eastAsia="黑体" w:cs="黑体"/>
          <w:sz w:val="27"/>
          <w:szCs w:val="27"/>
        </w:rPr>
      </w:pPr>
      <w:r>
        <w:rPr>
          <w:rFonts w:ascii="黑体" w:hAnsi="黑体" w:eastAsia="黑体" w:cs="黑体"/>
          <w:spacing w:val="3"/>
          <w:position w:val="3"/>
          <w:sz w:val="27"/>
          <w:szCs w:val="27"/>
        </w:rPr>
        <w:t>4.2.</w:t>
      </w:r>
      <w:r>
        <w:rPr>
          <w:rFonts w:ascii="Arial" w:hAnsi="Arial" w:eastAsia="Arial" w:cs="Arial"/>
          <w:b/>
          <w:bCs/>
          <w:spacing w:val="3"/>
          <w:position w:val="3"/>
          <w:sz w:val="27"/>
          <w:szCs w:val="27"/>
        </w:rPr>
        <w:t>X</w:t>
      </w:r>
      <w:r>
        <w:rPr>
          <w:rFonts w:ascii="Arial" w:hAnsi="Arial" w:eastAsia="Arial" w:cs="Arial"/>
          <w:b/>
          <w:bCs/>
          <w:spacing w:val="16"/>
          <w:position w:val="3"/>
          <w:sz w:val="27"/>
          <w:szCs w:val="27"/>
        </w:rPr>
        <w:t xml:space="preserve">   </w:t>
      </w:r>
      <w:r>
        <w:rPr>
          <w:rFonts w:ascii="Arial" w:hAnsi="Arial" w:eastAsia="Arial" w:cs="Arial"/>
          <w:b/>
          <w:bCs/>
          <w:spacing w:val="3"/>
          <w:position w:val="3"/>
          <w:sz w:val="27"/>
          <w:szCs w:val="27"/>
        </w:rPr>
        <w:t>(</w:t>
      </w:r>
      <w:r>
        <w:rPr>
          <w:rFonts w:ascii="Arial" w:hAnsi="Arial" w:eastAsia="Arial" w:cs="Arial"/>
          <w:b/>
          <w:bCs/>
          <w:spacing w:val="-27"/>
          <w:position w:val="3"/>
          <w:sz w:val="27"/>
          <w:szCs w:val="27"/>
        </w:rPr>
        <w:t xml:space="preserve"> </w:t>
      </w:r>
      <w:r>
        <w:rPr>
          <w:rFonts w:ascii="黑体" w:hAnsi="黑体" w:eastAsia="黑体" w:cs="黑体"/>
          <w:b/>
          <w:bCs/>
          <w:spacing w:val="3"/>
          <w:position w:val="3"/>
          <w:sz w:val="27"/>
          <w:szCs w:val="27"/>
        </w:rPr>
        <w:t>诊断规程名)</w:t>
      </w:r>
    </w:p>
    <w:p w14:paraId="3D870294">
      <w:pPr>
        <w:pStyle w:val="2"/>
        <w:spacing w:before="116" w:line="219" w:lineRule="auto"/>
        <w:ind w:right="25"/>
        <w:jc w:val="right"/>
      </w:pPr>
      <w:r>
        <w:rPr>
          <w:spacing w:val="1"/>
        </w:rPr>
        <w:t>从4.2.1条开始编号，分别标识每个诊断规程，并叙述它的用</w:t>
      </w:r>
      <w:r>
        <w:t>途。应包括：</w:t>
      </w:r>
    </w:p>
    <w:p w14:paraId="08522061">
      <w:pPr>
        <w:pStyle w:val="2"/>
        <w:spacing w:before="59" w:line="212" w:lineRule="auto"/>
        <w:ind w:left="570"/>
      </w:pPr>
      <w:r>
        <w:rPr>
          <w:rFonts w:ascii="Times New Roman" w:hAnsi="Times New Roman" w:eastAsia="Times New Roman" w:cs="Times New Roman"/>
          <w:spacing w:val="-3"/>
        </w:rPr>
        <w:t xml:space="preserve">a)  </w:t>
      </w:r>
      <w:r>
        <w:rPr>
          <w:spacing w:val="-3"/>
        </w:rPr>
        <w:t>执行每个规程所需的硬件、软件或固件；</w:t>
      </w:r>
    </w:p>
    <w:p w14:paraId="09D6DD4E">
      <w:pPr>
        <w:pStyle w:val="2"/>
        <w:spacing w:before="100"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69"/>
        </w:rPr>
        <w:t xml:space="preserve"> </w:t>
      </w:r>
      <w:r>
        <w:rPr>
          <w:spacing w:val="4"/>
        </w:rPr>
        <w:t>执行每个规程所需的每一步指令；</w:t>
      </w:r>
    </w:p>
    <w:p w14:paraId="47B7DD30">
      <w:pPr>
        <w:pStyle w:val="2"/>
        <w:spacing w:before="129" w:line="219" w:lineRule="auto"/>
        <w:ind w:left="570"/>
      </w:pPr>
      <w:r>
        <w:rPr>
          <w:rFonts w:ascii="Times New Roman" w:hAnsi="Times New Roman" w:eastAsia="Times New Roman" w:cs="Times New Roman"/>
          <w:spacing w:val="7"/>
        </w:rPr>
        <w:t>c</w:t>
      </w:r>
      <w:r>
        <w:rPr>
          <w:rFonts w:ascii="Times New Roman" w:hAnsi="Times New Roman" w:eastAsia="Times New Roman" w:cs="Times New Roman"/>
          <w:spacing w:val="-24"/>
        </w:rPr>
        <w:t xml:space="preserve"> </w:t>
      </w:r>
      <w:r>
        <w:rPr>
          <w:spacing w:val="7"/>
        </w:rPr>
        <w:t>)诊断信息及采取的相应动作。</w:t>
      </w:r>
    </w:p>
    <w:p w14:paraId="6C2438E9">
      <w:pPr>
        <w:spacing w:before="114" w:line="221" w:lineRule="auto"/>
        <w:rPr>
          <w:rFonts w:ascii="黑体" w:hAnsi="黑体" w:eastAsia="黑体" w:cs="黑体"/>
          <w:sz w:val="24"/>
          <w:szCs w:val="24"/>
        </w:rPr>
      </w:pPr>
      <w:r>
        <w:rPr>
          <w:rFonts w:ascii="黑体" w:hAnsi="黑体" w:eastAsia="黑体" w:cs="黑体"/>
          <w:spacing w:val="18"/>
          <w:sz w:val="24"/>
          <w:szCs w:val="24"/>
        </w:rPr>
        <w:t>4.3</w:t>
      </w:r>
      <w:r>
        <w:rPr>
          <w:rFonts w:ascii="黑体" w:hAnsi="黑体" w:eastAsia="黑体" w:cs="黑体"/>
          <w:spacing w:val="60"/>
          <w:sz w:val="24"/>
          <w:szCs w:val="24"/>
        </w:rPr>
        <w:t xml:space="preserve">  </w:t>
      </w:r>
      <w:r>
        <w:rPr>
          <w:rFonts w:ascii="黑体" w:hAnsi="黑体" w:eastAsia="黑体" w:cs="黑体"/>
          <w:b/>
          <w:bCs/>
          <w:spacing w:val="18"/>
          <w:sz w:val="24"/>
          <w:szCs w:val="24"/>
        </w:rPr>
        <w:t>诊断工具集</w:t>
      </w:r>
    </w:p>
    <w:p w14:paraId="2B6268B0">
      <w:pPr>
        <w:spacing w:before="55" w:line="368" w:lineRule="exact"/>
        <w:rPr>
          <w:rFonts w:ascii="黑体" w:hAnsi="黑体" w:eastAsia="黑体" w:cs="黑体"/>
          <w:sz w:val="27"/>
          <w:szCs w:val="27"/>
        </w:rPr>
      </w:pPr>
      <w:r>
        <w:rPr>
          <w:rFonts w:ascii="Arial" w:hAnsi="Arial" w:eastAsia="Arial" w:cs="Arial"/>
          <w:spacing w:val="4"/>
          <w:position w:val="1"/>
          <w:sz w:val="27"/>
          <w:szCs w:val="27"/>
        </w:rPr>
        <w:t>4.3. X</w:t>
      </w:r>
      <w:r>
        <w:rPr>
          <w:rFonts w:ascii="Arial" w:hAnsi="Arial" w:eastAsia="Arial" w:cs="Arial"/>
          <w:spacing w:val="15"/>
          <w:position w:val="1"/>
          <w:sz w:val="27"/>
          <w:szCs w:val="27"/>
        </w:rPr>
        <w:t xml:space="preserve">   </w:t>
      </w:r>
      <w:r>
        <w:rPr>
          <w:rFonts w:ascii="黑体" w:hAnsi="黑体" w:eastAsia="黑体" w:cs="黑体"/>
          <w:b/>
          <w:bCs/>
          <w:spacing w:val="4"/>
          <w:position w:val="1"/>
          <w:sz w:val="27"/>
          <w:szCs w:val="27"/>
        </w:rPr>
        <w:t>(诊断工具名)</w:t>
      </w:r>
    </w:p>
    <w:p w14:paraId="306BC5BD">
      <w:pPr>
        <w:pStyle w:val="2"/>
        <w:spacing w:before="76" w:line="284" w:lineRule="auto"/>
        <w:ind w:right="6" w:firstLine="570"/>
      </w:pPr>
      <w:r>
        <w:rPr>
          <w:spacing w:val="1"/>
        </w:rPr>
        <w:t>从4.3.1条开始编号，用名称和编号来标识每一个诊断工具，并描述该工具</w:t>
      </w:r>
      <w:r>
        <w:rPr>
          <w:spacing w:val="13"/>
        </w:rPr>
        <w:t xml:space="preserve"> </w:t>
      </w:r>
      <w:r>
        <w:rPr>
          <w:spacing w:val="-1"/>
        </w:rPr>
        <w:t>和它的应用。</w:t>
      </w:r>
    </w:p>
    <w:p w14:paraId="2316C404">
      <w:pPr>
        <w:spacing w:before="1" w:line="227" w:lineRule="auto"/>
        <w:ind w:left="570"/>
        <w:rPr>
          <w:rFonts w:ascii="楷体" w:hAnsi="楷体" w:eastAsia="楷体" w:cs="楷体"/>
          <w:sz w:val="28"/>
          <w:szCs w:val="28"/>
        </w:rPr>
      </w:pPr>
      <w:r>
        <w:rPr>
          <w:rFonts w:ascii="楷体" w:hAnsi="楷体" w:eastAsia="楷体" w:cs="楷体"/>
          <w:spacing w:val="-22"/>
          <w:sz w:val="28"/>
          <w:szCs w:val="28"/>
        </w:rPr>
        <w:t>注：诊断工具可以包括硬件、软件、固件或它们的组合。</w:t>
      </w:r>
    </w:p>
    <w:p w14:paraId="62981664">
      <w:pPr>
        <w:spacing w:before="109" w:line="222" w:lineRule="auto"/>
        <w:rPr>
          <w:rFonts w:ascii="黑体" w:hAnsi="黑体" w:eastAsia="黑体" w:cs="黑体"/>
          <w:sz w:val="24"/>
          <w:szCs w:val="24"/>
        </w:rPr>
      </w:pPr>
      <w:r>
        <w:rPr>
          <w:rFonts w:ascii="黑体" w:hAnsi="黑体" w:eastAsia="黑体" w:cs="黑体"/>
          <w:spacing w:val="-8"/>
          <w:sz w:val="24"/>
          <w:szCs w:val="24"/>
        </w:rPr>
        <w:t>5</w:t>
      </w:r>
      <w:r>
        <w:rPr>
          <w:rFonts w:ascii="黑体" w:hAnsi="黑体" w:eastAsia="黑体" w:cs="黑体"/>
          <w:spacing w:val="49"/>
          <w:sz w:val="24"/>
          <w:szCs w:val="24"/>
        </w:rPr>
        <w:t xml:space="preserve">  </w:t>
      </w:r>
      <w:r>
        <w:rPr>
          <w:rFonts w:ascii="黑体" w:hAnsi="黑体" w:eastAsia="黑体" w:cs="黑体"/>
          <w:b/>
          <w:bCs/>
          <w:spacing w:val="-8"/>
          <w:sz w:val="24"/>
          <w:szCs w:val="24"/>
        </w:rPr>
        <w:t>注</w:t>
      </w:r>
      <w:r>
        <w:rPr>
          <w:rFonts w:ascii="黑体" w:hAnsi="黑体" w:eastAsia="黑体" w:cs="黑体"/>
          <w:spacing w:val="-37"/>
          <w:sz w:val="24"/>
          <w:szCs w:val="24"/>
        </w:rPr>
        <w:t xml:space="preserve"> </w:t>
      </w:r>
      <w:r>
        <w:rPr>
          <w:rFonts w:ascii="黑体" w:hAnsi="黑体" w:eastAsia="黑体" w:cs="黑体"/>
          <w:b/>
          <w:bCs/>
          <w:spacing w:val="-8"/>
          <w:sz w:val="24"/>
          <w:szCs w:val="24"/>
        </w:rPr>
        <w:t>释</w:t>
      </w:r>
    </w:p>
    <w:p w14:paraId="1FE84817">
      <w:pPr>
        <w:pStyle w:val="2"/>
        <w:spacing w:before="115" w:line="219" w:lineRule="auto"/>
        <w:ind w:right="22"/>
        <w:jc w:val="right"/>
      </w:pPr>
      <w:r>
        <w:rPr>
          <w:spacing w:val="-3"/>
        </w:rPr>
        <w:t>本章应包括有助于了解文档的所有信息(例如背景、术语、缩略语或公式)。</w:t>
      </w:r>
    </w:p>
    <w:p w14:paraId="4F41E183">
      <w:pPr>
        <w:spacing w:line="351" w:lineRule="auto"/>
        <w:rPr>
          <w:rFonts w:ascii="Arial"/>
          <w:sz w:val="21"/>
        </w:rPr>
      </w:pPr>
    </w:p>
    <w:p w14:paraId="3036A9C7">
      <w:pPr>
        <w:pStyle w:val="2"/>
        <w:spacing w:before="118" w:line="219" w:lineRule="auto"/>
        <w:ind w:left="3059"/>
        <w:outlineLvl w:val="1"/>
        <w:rPr>
          <w:sz w:val="36"/>
          <w:szCs w:val="36"/>
        </w:rPr>
      </w:pPr>
      <w:r>
        <w:rPr>
          <w:rFonts w:ascii="Times New Roman" w:hAnsi="Times New Roman" w:eastAsia="Times New Roman" w:cs="Times New Roman"/>
          <w:b/>
          <w:bCs/>
          <w:spacing w:val="-1"/>
          <w:sz w:val="36"/>
          <w:szCs w:val="36"/>
        </w:rPr>
        <w:t>2.25</w:t>
      </w:r>
      <w:r>
        <w:rPr>
          <w:rFonts w:ascii="Times New Roman" w:hAnsi="Times New Roman" w:eastAsia="Times New Roman" w:cs="Times New Roman"/>
          <w:b/>
          <w:bCs/>
          <w:spacing w:val="7"/>
          <w:sz w:val="36"/>
          <w:szCs w:val="36"/>
        </w:rPr>
        <w:t xml:space="preserve">     </w:t>
      </w:r>
      <w:r>
        <w:rPr>
          <w:b/>
          <w:bCs/>
          <w:spacing w:val="-1"/>
          <w:sz w:val="36"/>
          <w:szCs w:val="36"/>
        </w:rPr>
        <w:t>固件保障手册</w:t>
      </w:r>
    </w:p>
    <w:p w14:paraId="14CE841C">
      <w:pPr>
        <w:spacing w:line="369" w:lineRule="auto"/>
        <w:rPr>
          <w:rFonts w:ascii="Arial"/>
          <w:sz w:val="21"/>
        </w:rPr>
      </w:pPr>
    </w:p>
    <w:p w14:paraId="364A2D3D">
      <w:pPr>
        <w:pStyle w:val="2"/>
        <w:spacing w:before="78" w:line="225" w:lineRule="auto"/>
        <w:ind w:left="570"/>
        <w:rPr>
          <w:rFonts w:ascii="楷体" w:hAnsi="楷体" w:eastAsia="楷体" w:cs="楷体"/>
          <w:sz w:val="24"/>
          <w:szCs w:val="24"/>
        </w:rPr>
      </w:pPr>
      <w:r>
        <w:rPr>
          <w:rFonts w:ascii="楷体" w:hAnsi="楷体" w:eastAsia="楷体" w:cs="楷体"/>
          <w:spacing w:val="13"/>
          <w:sz w:val="24"/>
          <w:szCs w:val="24"/>
        </w:rPr>
        <w:t>按</w:t>
      </w:r>
      <w:r>
        <w:rPr>
          <w:rFonts w:ascii="楷体" w:hAnsi="楷体" w:eastAsia="楷体" w:cs="楷体"/>
          <w:spacing w:val="-40"/>
          <w:sz w:val="24"/>
          <w:szCs w:val="24"/>
        </w:rPr>
        <w:t xml:space="preserve"> </w:t>
      </w:r>
      <w:r>
        <w:rPr>
          <w:rFonts w:ascii="楷体" w:hAnsi="楷体" w:eastAsia="楷体" w:cs="楷体"/>
          <w:spacing w:val="1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 xml:space="preserve">    438B—2009</w:t>
      </w:r>
      <w:r>
        <w:rPr>
          <w:spacing w:val="13"/>
          <w:sz w:val="24"/>
          <w:szCs w:val="24"/>
        </w:rPr>
        <w:t>《</w:t>
      </w:r>
      <w:r>
        <w:rPr>
          <w:rFonts w:ascii="楷体" w:hAnsi="楷体" w:eastAsia="楷体" w:cs="楷体"/>
          <w:spacing w:val="13"/>
          <w:sz w:val="24"/>
          <w:szCs w:val="24"/>
        </w:rPr>
        <w:t>军用软件开发文档通用要求</w:t>
      </w:r>
      <w:r>
        <w:rPr>
          <w:rFonts w:ascii="楷体" w:hAnsi="楷体" w:eastAsia="楷体" w:cs="楷体"/>
          <w:spacing w:val="12"/>
          <w:sz w:val="24"/>
          <w:szCs w:val="24"/>
        </w:rPr>
        <w:t>》编写。</w:t>
      </w:r>
    </w:p>
    <w:p w14:paraId="3210B605">
      <w:pPr>
        <w:spacing w:line="225" w:lineRule="auto"/>
        <w:rPr>
          <w:rFonts w:ascii="楷体" w:hAnsi="楷体" w:eastAsia="楷体" w:cs="楷体"/>
          <w:sz w:val="24"/>
          <w:szCs w:val="24"/>
        </w:rPr>
        <w:sectPr>
          <w:footerReference r:id="rId266" w:type="default"/>
          <w:pgSz w:w="11910" w:h="17130"/>
          <w:pgMar w:top="1435" w:right="1638" w:bottom="1717" w:left="870" w:header="0" w:footer="1500" w:gutter="0"/>
          <w:cols w:space="720" w:num="1"/>
        </w:sectPr>
      </w:pPr>
    </w:p>
    <w:p w14:paraId="4116C574">
      <w:pPr>
        <w:spacing w:before="165"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525796DF">
      <w:pPr>
        <w:spacing w:before="92" w:line="222" w:lineRule="auto"/>
        <w:rPr>
          <w:rFonts w:ascii="黑体" w:hAnsi="黑体" w:eastAsia="黑体" w:cs="黑体"/>
          <w:sz w:val="25"/>
          <w:szCs w:val="25"/>
        </w:rPr>
      </w:pPr>
      <w:r>
        <w:rPr>
          <w:rFonts w:ascii="黑体" w:hAnsi="黑体" w:eastAsia="黑体" w:cs="黑体"/>
          <w:spacing w:val="5"/>
          <w:sz w:val="25"/>
          <w:szCs w:val="25"/>
        </w:rPr>
        <w:t>1.1</w:t>
      </w:r>
      <w:r>
        <w:rPr>
          <w:rFonts w:ascii="黑体" w:hAnsi="黑体" w:eastAsia="黑体" w:cs="黑体"/>
          <w:spacing w:val="49"/>
          <w:sz w:val="25"/>
          <w:szCs w:val="25"/>
        </w:rPr>
        <w:t xml:space="preserve">  </w:t>
      </w:r>
      <w:r>
        <w:rPr>
          <w:rFonts w:ascii="黑体" w:hAnsi="黑体" w:eastAsia="黑体" w:cs="黑体"/>
          <w:spacing w:val="5"/>
          <w:sz w:val="25"/>
          <w:szCs w:val="25"/>
        </w:rPr>
        <w:t>标识</w:t>
      </w:r>
    </w:p>
    <w:p w14:paraId="24D8FECA">
      <w:pPr>
        <w:pStyle w:val="2"/>
        <w:spacing w:before="99" w:line="275" w:lineRule="auto"/>
        <w:ind w:right="103" w:firstLine="560"/>
      </w:pPr>
      <w:r>
        <w:rPr>
          <w:spacing w:val="-11"/>
        </w:rPr>
        <w:t>本条应描述本文档所适用软件、系统和固件设备的完整标识，适用时，包括其</w:t>
      </w:r>
      <w:r>
        <w:rPr>
          <w:spacing w:val="14"/>
        </w:rPr>
        <w:t xml:space="preserve"> </w:t>
      </w:r>
      <w:r>
        <w:rPr>
          <w:spacing w:val="-17"/>
        </w:rPr>
        <w:t>标识号、名称、缩略名、版本号和发布号，以及每个固件设备的制</w:t>
      </w:r>
      <w:r>
        <w:rPr>
          <w:spacing w:val="-18"/>
        </w:rPr>
        <w:t>造商名和型号。</w:t>
      </w:r>
    </w:p>
    <w:p w14:paraId="037844E3">
      <w:pPr>
        <w:spacing w:before="22" w:line="221" w:lineRule="auto"/>
        <w:rPr>
          <w:rFonts w:ascii="黑体" w:hAnsi="黑体" w:eastAsia="黑体" w:cs="黑体"/>
          <w:sz w:val="24"/>
          <w:szCs w:val="24"/>
        </w:rPr>
      </w:pPr>
      <w:r>
        <w:rPr>
          <w:rFonts w:ascii="黑体" w:hAnsi="黑体" w:eastAsia="黑体" w:cs="黑体"/>
          <w:spacing w:val="13"/>
          <w:sz w:val="24"/>
          <w:szCs w:val="24"/>
        </w:rPr>
        <w:t>1.2</w:t>
      </w:r>
      <w:r>
        <w:rPr>
          <w:rFonts w:ascii="黑体" w:hAnsi="黑体" w:eastAsia="黑体" w:cs="黑体"/>
          <w:spacing w:val="2"/>
          <w:sz w:val="24"/>
          <w:szCs w:val="24"/>
        </w:rPr>
        <w:t xml:space="preserve">   </w:t>
      </w:r>
      <w:r>
        <w:rPr>
          <w:rFonts w:ascii="黑体" w:hAnsi="黑体" w:eastAsia="黑体" w:cs="黑体"/>
          <w:spacing w:val="13"/>
          <w:sz w:val="24"/>
          <w:szCs w:val="24"/>
        </w:rPr>
        <w:t>系统概述</w:t>
      </w:r>
    </w:p>
    <w:p w14:paraId="5CA4EFC8">
      <w:pPr>
        <w:pStyle w:val="2"/>
        <w:spacing w:before="75" w:line="280" w:lineRule="auto"/>
        <w:ind w:right="99" w:firstLine="560"/>
        <w:jc w:val="both"/>
      </w:pPr>
      <w:r>
        <w:rPr>
          <w:spacing w:val="6"/>
        </w:rPr>
        <w:t>本条应概述本文档所适用系统和软件的用途。它还应</w:t>
      </w:r>
      <w:r>
        <w:rPr>
          <w:spacing w:val="5"/>
        </w:rPr>
        <w:t>描述系统与软件的一</w:t>
      </w:r>
      <w:r>
        <w:t xml:space="preserve"> </w:t>
      </w:r>
      <w:r>
        <w:rPr>
          <w:spacing w:val="-10"/>
        </w:rPr>
        <w:t>般特性；概述系统开发、运行和维护的历史；标识项目的需方、用户、开发方和保</w:t>
      </w:r>
      <w:r>
        <w:rPr>
          <w:spacing w:val="18"/>
        </w:rPr>
        <w:t xml:space="preserve"> </w:t>
      </w:r>
      <w:r>
        <w:rPr>
          <w:spacing w:val="-5"/>
        </w:rPr>
        <w:t>障机构等；标识当前和计划的运行现场；列出其</w:t>
      </w:r>
      <w:r>
        <w:rPr>
          <w:spacing w:val="-6"/>
        </w:rPr>
        <w:t>他有关文档。</w:t>
      </w:r>
    </w:p>
    <w:p w14:paraId="14FFE56D">
      <w:pPr>
        <w:spacing w:before="2" w:line="220" w:lineRule="auto"/>
        <w:rPr>
          <w:rFonts w:ascii="黑体" w:hAnsi="黑体" w:eastAsia="黑体" w:cs="黑体"/>
          <w:sz w:val="27"/>
          <w:szCs w:val="27"/>
        </w:rPr>
      </w:pPr>
      <w:r>
        <w:rPr>
          <w:rFonts w:ascii="黑体" w:hAnsi="黑体" w:eastAsia="黑体" w:cs="黑体"/>
          <w:spacing w:val="-5"/>
          <w:sz w:val="27"/>
          <w:szCs w:val="27"/>
        </w:rPr>
        <w:t>1.3</w:t>
      </w:r>
      <w:r>
        <w:rPr>
          <w:rFonts w:ascii="黑体" w:hAnsi="黑体" w:eastAsia="黑体" w:cs="黑体"/>
          <w:spacing w:val="24"/>
          <w:sz w:val="27"/>
          <w:szCs w:val="27"/>
        </w:rPr>
        <w:t xml:space="preserve">  </w:t>
      </w:r>
      <w:r>
        <w:rPr>
          <w:rFonts w:ascii="黑体" w:hAnsi="黑体" w:eastAsia="黑体" w:cs="黑体"/>
          <w:spacing w:val="-5"/>
          <w:sz w:val="27"/>
          <w:szCs w:val="27"/>
        </w:rPr>
        <w:t>文档概述</w:t>
      </w:r>
    </w:p>
    <w:p w14:paraId="3D30840D">
      <w:pPr>
        <w:pStyle w:val="2"/>
        <w:spacing w:before="77" w:line="284" w:lineRule="auto"/>
        <w:ind w:right="93" w:firstLine="560"/>
      </w:pPr>
      <w:r>
        <w:rPr>
          <w:spacing w:val="6"/>
        </w:rPr>
        <w:t>本条应概括本文档的用途和内容，并描述与它的使用有关的保密性方</w:t>
      </w:r>
      <w:r>
        <w:rPr>
          <w:spacing w:val="5"/>
        </w:rPr>
        <w:t>面的</w:t>
      </w:r>
      <w:r>
        <w:t xml:space="preserve"> </w:t>
      </w:r>
      <w:r>
        <w:rPr>
          <w:spacing w:val="-2"/>
        </w:rPr>
        <w:t>要求。</w:t>
      </w:r>
    </w:p>
    <w:p w14:paraId="747476EF">
      <w:pPr>
        <w:spacing w:before="1" w:line="221"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引用文档</w:t>
      </w:r>
    </w:p>
    <w:p w14:paraId="77BC9D48">
      <w:pPr>
        <w:pStyle w:val="2"/>
        <w:spacing w:before="97" w:line="255" w:lineRule="auto"/>
        <w:ind w:right="101" w:firstLine="560"/>
      </w:pPr>
      <w:r>
        <w:rPr>
          <w:spacing w:val="-11"/>
        </w:rPr>
        <w:t>本章应列出引用文档的编号、标题、编写单位、修订版及日期，还应标识不能</w:t>
      </w:r>
      <w:r>
        <w:rPr>
          <w:spacing w:val="16"/>
        </w:rPr>
        <w:t xml:space="preserve"> </w:t>
      </w:r>
      <w:r>
        <w:rPr>
          <w:spacing w:val="4"/>
        </w:rPr>
        <w:t>通过正常采购活动得到的文档的来源。</w:t>
      </w:r>
    </w:p>
    <w:p w14:paraId="3AE7650F">
      <w:pPr>
        <w:spacing w:line="368" w:lineRule="exact"/>
        <w:rPr>
          <w:rFonts w:ascii="黑体" w:hAnsi="黑体" w:eastAsia="黑体" w:cs="黑体"/>
          <w:sz w:val="27"/>
          <w:szCs w:val="27"/>
        </w:rPr>
      </w:pPr>
      <w:r>
        <w:rPr>
          <w:rFonts w:ascii="Arial" w:hAnsi="Arial" w:eastAsia="Arial" w:cs="Arial"/>
          <w:spacing w:val="2"/>
          <w:position w:val="1"/>
          <w:sz w:val="27"/>
          <w:szCs w:val="27"/>
        </w:rPr>
        <w:t>3</w:t>
      </w:r>
      <w:r>
        <w:rPr>
          <w:rFonts w:ascii="Arial" w:hAnsi="Arial" w:eastAsia="Arial" w:cs="Arial"/>
          <w:spacing w:val="19"/>
          <w:position w:val="1"/>
          <w:sz w:val="27"/>
          <w:szCs w:val="27"/>
        </w:rPr>
        <w:t xml:space="preserve">   </w:t>
      </w:r>
      <w:r>
        <w:rPr>
          <w:rFonts w:ascii="黑体" w:hAnsi="黑体" w:eastAsia="黑体" w:cs="黑体"/>
          <w:spacing w:val="2"/>
          <w:position w:val="1"/>
          <w:sz w:val="27"/>
          <w:szCs w:val="27"/>
        </w:rPr>
        <w:t>固件编程指令</w:t>
      </w:r>
    </w:p>
    <w:p w14:paraId="6CCC79A5">
      <w:pPr>
        <w:spacing w:before="55" w:line="368" w:lineRule="exact"/>
        <w:rPr>
          <w:rFonts w:ascii="黑体" w:hAnsi="黑体" w:eastAsia="黑体" w:cs="黑体"/>
          <w:sz w:val="27"/>
          <w:szCs w:val="27"/>
        </w:rPr>
      </w:pPr>
      <w:r>
        <w:rPr>
          <w:rFonts w:ascii="Arial" w:hAnsi="Arial" w:eastAsia="Arial" w:cs="Arial"/>
          <w:spacing w:val="6"/>
          <w:position w:val="1"/>
          <w:sz w:val="27"/>
          <w:szCs w:val="27"/>
        </w:rPr>
        <w:t>3.X</w:t>
      </w:r>
      <w:r>
        <w:rPr>
          <w:rFonts w:ascii="Arial" w:hAnsi="Arial" w:eastAsia="Arial" w:cs="Arial"/>
          <w:spacing w:val="15"/>
          <w:position w:val="1"/>
          <w:sz w:val="27"/>
          <w:szCs w:val="27"/>
        </w:rPr>
        <w:t xml:space="preserve">    </w:t>
      </w:r>
      <w:r>
        <w:rPr>
          <w:rFonts w:ascii="黑体" w:hAnsi="黑体" w:eastAsia="黑体" w:cs="黑体"/>
          <w:spacing w:val="6"/>
          <w:position w:val="1"/>
          <w:sz w:val="27"/>
          <w:szCs w:val="27"/>
        </w:rPr>
        <w:t>(被编程固件设备的标识符)</w:t>
      </w:r>
    </w:p>
    <w:p w14:paraId="554A86FD">
      <w:pPr>
        <w:pStyle w:val="2"/>
        <w:spacing w:before="92" w:line="282" w:lineRule="auto"/>
        <w:ind w:right="102" w:firstLine="560"/>
      </w:pPr>
      <w:r>
        <w:rPr>
          <w:spacing w:val="6"/>
        </w:rPr>
        <w:t>本条应描述系统中要使用的被编程固件设备的</w:t>
      </w:r>
      <w:r>
        <w:rPr>
          <w:spacing w:val="5"/>
        </w:rPr>
        <w:t>项目唯一的标识符，并应分</w:t>
      </w:r>
      <w:r>
        <w:t xml:space="preserve"> </w:t>
      </w:r>
      <w:r>
        <w:rPr>
          <w:spacing w:val="-3"/>
        </w:rPr>
        <w:t>为以下几条。</w:t>
      </w:r>
    </w:p>
    <w:p w14:paraId="61DB0AA2">
      <w:pPr>
        <w:pStyle w:val="2"/>
        <w:spacing w:before="13" w:line="276" w:lineRule="auto"/>
        <w:ind w:left="560" w:right="6266" w:hanging="560"/>
      </w:pPr>
      <w:r>
        <w:rPr>
          <w:rFonts w:ascii="Times New Roman" w:hAnsi="Times New Roman" w:eastAsia="Times New Roman" w:cs="Times New Roman"/>
          <w:spacing w:val="17"/>
          <w:sz w:val="24"/>
          <w:szCs w:val="24"/>
        </w:rPr>
        <w:t xml:space="preserve">3.X.1       </w:t>
      </w:r>
      <w:r>
        <w:rPr>
          <w:rFonts w:ascii="黑体" w:hAnsi="黑体" w:eastAsia="黑体" w:cs="黑体"/>
          <w:spacing w:val="17"/>
          <w:sz w:val="24"/>
          <w:szCs w:val="24"/>
        </w:rPr>
        <w:t>预编程设备的综述</w:t>
      </w:r>
      <w:r>
        <w:rPr>
          <w:rFonts w:ascii="黑体" w:hAnsi="黑体" w:eastAsia="黑体" w:cs="黑体"/>
          <w:spacing w:val="4"/>
          <w:sz w:val="24"/>
          <w:szCs w:val="24"/>
        </w:rPr>
        <w:t xml:space="preserve"> </w:t>
      </w:r>
      <w:r>
        <w:rPr>
          <w:spacing w:val="-1"/>
        </w:rPr>
        <w:t>本条应：</w:t>
      </w:r>
    </w:p>
    <w:p w14:paraId="5B234FB3">
      <w:pPr>
        <w:pStyle w:val="2"/>
        <w:spacing w:line="212" w:lineRule="auto"/>
        <w:ind w:left="560"/>
      </w:pPr>
      <w:r>
        <w:rPr>
          <w:rFonts w:ascii="Times New Roman" w:hAnsi="Times New Roman" w:eastAsia="Times New Roman" w:cs="Times New Roman"/>
          <w:spacing w:val="4"/>
        </w:rPr>
        <w:t xml:space="preserve">a)  </w:t>
      </w:r>
      <w:r>
        <w:rPr>
          <w:spacing w:val="4"/>
        </w:rPr>
        <w:t>按制造商名和型号标识被编程固件设备。</w:t>
      </w:r>
    </w:p>
    <w:p w14:paraId="3CB4ADF3">
      <w:pPr>
        <w:pStyle w:val="2"/>
        <w:spacing w:before="98" w:line="265" w:lineRule="auto"/>
        <w:ind w:firstLine="560"/>
      </w:pPr>
      <w:r>
        <w:rPr>
          <w:rFonts w:ascii="Times New Roman" w:hAnsi="Times New Roman" w:eastAsia="Times New Roman" w:cs="Times New Roman"/>
          <w:spacing w:val="2"/>
        </w:rPr>
        <w:t xml:space="preserve">b)  </w:t>
      </w:r>
      <w:r>
        <w:rPr>
          <w:spacing w:val="2"/>
        </w:rPr>
        <w:t>提供固件设备的完整物理描述，(若适用)包括：1)内存大小、类型、速</w:t>
      </w:r>
      <w:r>
        <w:rPr>
          <w:spacing w:val="15"/>
        </w:rPr>
        <w:t xml:space="preserve"> </w:t>
      </w:r>
      <w:r>
        <w:rPr>
          <w:spacing w:val="9"/>
        </w:rPr>
        <w:t>度和配置；2)操作特征(例如访问时间、电源需求、逻辑层次);3)管脚功能描</w:t>
      </w:r>
      <w:r>
        <w:rPr>
          <w:spacing w:val="5"/>
        </w:rPr>
        <w:t xml:space="preserve"> </w:t>
      </w:r>
      <w:r>
        <w:rPr>
          <w:spacing w:val="12"/>
        </w:rPr>
        <w:t>述；4)逻辑接口(例如寻址方式、芯片选择);5)使用的内部和外</w:t>
      </w:r>
      <w:r>
        <w:rPr>
          <w:spacing w:val="11"/>
        </w:rPr>
        <w:t>部标识方式；</w:t>
      </w:r>
    </w:p>
    <w:p w14:paraId="69CC75A8">
      <w:pPr>
        <w:pStyle w:val="2"/>
        <w:spacing w:before="120" w:line="221" w:lineRule="auto"/>
        <w:rPr>
          <w:sz w:val="24"/>
          <w:szCs w:val="24"/>
        </w:rPr>
      </w:pPr>
      <w:r>
        <w:rPr>
          <w:spacing w:val="29"/>
          <w:sz w:val="24"/>
          <w:szCs w:val="24"/>
        </w:rPr>
        <w:t>6)时序图。</w:t>
      </w:r>
    </w:p>
    <w:p w14:paraId="620F849E">
      <w:pPr>
        <w:pStyle w:val="2"/>
        <w:spacing w:before="62" w:line="289" w:lineRule="auto"/>
        <w:ind w:right="93" w:firstLine="560"/>
      </w:pPr>
      <w:r>
        <w:rPr>
          <w:rFonts w:ascii="Times New Roman" w:hAnsi="Times New Roman" w:eastAsia="Times New Roman" w:cs="Times New Roman"/>
          <w:spacing w:val="21"/>
        </w:rPr>
        <w:t>c)</w:t>
      </w:r>
      <w:r>
        <w:rPr>
          <w:rFonts w:ascii="Times New Roman" w:hAnsi="Times New Roman" w:eastAsia="Times New Roman" w:cs="Times New Roman"/>
          <w:spacing w:val="2"/>
        </w:rPr>
        <w:t xml:space="preserve">  </w:t>
      </w:r>
      <w:r>
        <w:rPr>
          <w:spacing w:val="21"/>
        </w:rPr>
        <w:t>描述运行限制和环境限制，固件设备可能受其影响且仍保持满意的</w:t>
      </w:r>
      <w:r>
        <w:t xml:space="preserve"> </w:t>
      </w:r>
      <w:r>
        <w:rPr>
          <w:spacing w:val="-2"/>
        </w:rPr>
        <w:t>运行。</w:t>
      </w:r>
    </w:p>
    <w:p w14:paraId="2605ABE9">
      <w:pPr>
        <w:spacing w:before="1" w:line="221" w:lineRule="auto"/>
        <w:rPr>
          <w:rFonts w:ascii="黑体" w:hAnsi="黑体" w:eastAsia="黑体" w:cs="黑体"/>
          <w:sz w:val="27"/>
          <w:szCs w:val="27"/>
        </w:rPr>
      </w:pPr>
      <w:r>
        <w:rPr>
          <w:rFonts w:ascii="Times New Roman" w:hAnsi="Times New Roman" w:eastAsia="Times New Roman" w:cs="Times New Roman"/>
          <w:spacing w:val="-2"/>
          <w:sz w:val="27"/>
          <w:szCs w:val="27"/>
        </w:rPr>
        <w:t>3.X.</w:t>
      </w:r>
      <w:r>
        <w:rPr>
          <w:rFonts w:ascii="Times New Roman" w:hAnsi="Times New Roman" w:eastAsia="Times New Roman" w:cs="Times New Roman"/>
          <w:spacing w:val="58"/>
          <w:sz w:val="27"/>
          <w:szCs w:val="27"/>
        </w:rPr>
        <w:t xml:space="preserve"> </w:t>
      </w:r>
      <w:r>
        <w:rPr>
          <w:rFonts w:ascii="黑体" w:hAnsi="黑体" w:eastAsia="黑体" w:cs="黑体"/>
          <w:b/>
          <w:bCs/>
          <w:spacing w:val="-2"/>
          <w:sz w:val="27"/>
          <w:szCs w:val="27"/>
        </w:rPr>
        <w:t>2</w:t>
      </w:r>
      <w:r>
        <w:rPr>
          <w:rFonts w:ascii="黑体" w:hAnsi="黑体" w:eastAsia="黑体" w:cs="黑体"/>
          <w:spacing w:val="26"/>
          <w:sz w:val="27"/>
          <w:szCs w:val="27"/>
        </w:rPr>
        <w:t xml:space="preserve">  </w:t>
      </w:r>
      <w:r>
        <w:rPr>
          <w:rFonts w:ascii="黑体" w:hAnsi="黑体" w:eastAsia="黑体" w:cs="黑体"/>
          <w:b/>
          <w:bCs/>
          <w:spacing w:val="-2"/>
          <w:sz w:val="27"/>
          <w:szCs w:val="27"/>
        </w:rPr>
        <w:t>写入设备的软件</w:t>
      </w:r>
    </w:p>
    <w:p w14:paraId="1FD2E9A2">
      <w:pPr>
        <w:pStyle w:val="2"/>
        <w:spacing w:before="90" w:line="219" w:lineRule="auto"/>
        <w:ind w:left="560"/>
      </w:pPr>
      <w:r>
        <w:rPr>
          <w:spacing w:val="4"/>
        </w:rPr>
        <w:t>本条应按项目唯一的标识符标识写入设备的软件。</w:t>
      </w:r>
    </w:p>
    <w:p w14:paraId="3A9ABB3F">
      <w:pPr>
        <w:spacing w:before="108" w:line="221" w:lineRule="auto"/>
        <w:rPr>
          <w:rFonts w:ascii="黑体" w:hAnsi="黑体" w:eastAsia="黑体" w:cs="黑体"/>
          <w:sz w:val="25"/>
          <w:szCs w:val="25"/>
        </w:rPr>
      </w:pPr>
      <w:r>
        <w:rPr>
          <w:rFonts w:ascii="Times New Roman" w:hAnsi="Times New Roman" w:eastAsia="Times New Roman" w:cs="Times New Roman"/>
          <w:spacing w:val="7"/>
          <w:sz w:val="25"/>
          <w:szCs w:val="25"/>
        </w:rPr>
        <w:t xml:space="preserve">3.X.3       </w:t>
      </w:r>
      <w:r>
        <w:rPr>
          <w:rFonts w:ascii="黑体" w:hAnsi="黑体" w:eastAsia="黑体" w:cs="黑体"/>
          <w:spacing w:val="7"/>
          <w:sz w:val="25"/>
          <w:szCs w:val="25"/>
        </w:rPr>
        <w:t>编程设备</w:t>
      </w:r>
    </w:p>
    <w:p w14:paraId="25289B0F">
      <w:pPr>
        <w:pStyle w:val="2"/>
        <w:spacing w:before="105" w:line="272" w:lineRule="auto"/>
        <w:ind w:right="92" w:firstLine="560"/>
        <w:jc w:val="both"/>
      </w:pPr>
      <w:r>
        <w:rPr>
          <w:spacing w:val="5"/>
        </w:rPr>
        <w:t>本条应描述对固件设备进行编程和再编程要使用的设备。(若适用)它包含</w:t>
      </w:r>
      <w:r>
        <w:rPr>
          <w:spacing w:val="16"/>
        </w:rPr>
        <w:t xml:space="preserve"> </w:t>
      </w:r>
      <w:r>
        <w:rPr>
          <w:spacing w:val="-9"/>
        </w:rPr>
        <w:t>用于设备擦除、加载、验证、标记等的计算机设备、通用设备和专用设</w:t>
      </w:r>
      <w:r>
        <w:rPr>
          <w:spacing w:val="-10"/>
        </w:rPr>
        <w:t>备。应按制</w:t>
      </w:r>
      <w:r>
        <w:t xml:space="preserve"> </w:t>
      </w:r>
      <w:r>
        <w:rPr>
          <w:spacing w:val="6"/>
        </w:rPr>
        <w:t>造商名、型号和能唯一标识设备的其他信息来标识每台设备。设备的描</w:t>
      </w:r>
      <w:r>
        <w:rPr>
          <w:spacing w:val="5"/>
        </w:rPr>
        <w:t>述应包</w:t>
      </w:r>
      <w:r>
        <w:t xml:space="preserve"> </w:t>
      </w:r>
      <w:r>
        <w:rPr>
          <w:spacing w:val="-6"/>
        </w:rPr>
        <w:t>括它的用法、用途和主要能力。</w:t>
      </w:r>
    </w:p>
    <w:p w14:paraId="18537595">
      <w:pPr>
        <w:spacing w:line="272" w:lineRule="auto"/>
        <w:sectPr>
          <w:footerReference r:id="rId267" w:type="default"/>
          <w:pgSz w:w="11910" w:h="17130"/>
          <w:pgMar w:top="1456" w:right="955" w:bottom="1519" w:left="1470" w:header="0" w:footer="1339" w:gutter="0"/>
          <w:cols w:space="720" w:num="1"/>
        </w:sectPr>
      </w:pPr>
    </w:p>
    <w:p w14:paraId="6424D549">
      <w:pPr>
        <w:spacing w:before="82" w:line="221" w:lineRule="auto"/>
        <w:rPr>
          <w:rFonts w:ascii="黑体" w:hAnsi="黑体" w:eastAsia="黑体" w:cs="黑体"/>
          <w:sz w:val="27"/>
          <w:szCs w:val="27"/>
        </w:rPr>
      </w:pPr>
      <w:r>
        <w:rPr>
          <w:rFonts w:ascii="Times New Roman" w:hAnsi="Times New Roman" w:eastAsia="Times New Roman" w:cs="Times New Roman"/>
          <w:spacing w:val="-1"/>
          <w:sz w:val="27"/>
          <w:szCs w:val="27"/>
        </w:rPr>
        <w:t>3.X.</w:t>
      </w:r>
      <w:r>
        <w:rPr>
          <w:rFonts w:ascii="Times New Roman" w:hAnsi="Times New Roman" w:eastAsia="Times New Roman" w:cs="Times New Roman"/>
          <w:spacing w:val="64"/>
          <w:w w:val="101"/>
          <w:sz w:val="27"/>
          <w:szCs w:val="27"/>
        </w:rPr>
        <w:t xml:space="preserve"> </w:t>
      </w:r>
      <w:r>
        <w:rPr>
          <w:rFonts w:ascii="黑体" w:hAnsi="黑体" w:eastAsia="黑体" w:cs="黑体"/>
          <w:spacing w:val="-1"/>
          <w:sz w:val="27"/>
          <w:szCs w:val="27"/>
        </w:rPr>
        <w:t>4</w:t>
      </w:r>
      <w:r>
        <w:rPr>
          <w:rFonts w:ascii="黑体" w:hAnsi="黑体" w:eastAsia="黑体" w:cs="黑体"/>
          <w:spacing w:val="19"/>
          <w:sz w:val="27"/>
          <w:szCs w:val="27"/>
        </w:rPr>
        <w:t xml:space="preserve">  </w:t>
      </w:r>
      <w:r>
        <w:rPr>
          <w:rFonts w:ascii="黑体" w:hAnsi="黑体" w:eastAsia="黑体" w:cs="黑体"/>
          <w:spacing w:val="-1"/>
          <w:sz w:val="27"/>
          <w:szCs w:val="27"/>
        </w:rPr>
        <w:t>编程软件</w:t>
      </w:r>
    </w:p>
    <w:p w14:paraId="79AEDDED">
      <w:pPr>
        <w:pStyle w:val="2"/>
        <w:spacing w:before="99" w:line="278" w:lineRule="auto"/>
        <w:ind w:right="132" w:firstLine="570"/>
        <w:jc w:val="both"/>
      </w:pPr>
      <w:r>
        <w:rPr>
          <w:spacing w:val="5"/>
        </w:rPr>
        <w:t>本条应描述对固件设备进行编程和再编程要使用的软件。(若适用</w:t>
      </w:r>
      <w:r>
        <w:rPr>
          <w:spacing w:val="4"/>
        </w:rPr>
        <w:t>)它包含</w:t>
      </w:r>
      <w:r>
        <w:t xml:space="preserve"> </w:t>
      </w:r>
      <w:r>
        <w:rPr>
          <w:spacing w:val="-14"/>
        </w:rPr>
        <w:t>用于设备擦除、加载、验证、标记等的软件。应按供应商名、软件名、版本号/发布</w:t>
      </w:r>
      <w:r>
        <w:rPr>
          <w:spacing w:val="15"/>
        </w:rPr>
        <w:t xml:space="preserve"> </w:t>
      </w:r>
      <w:r>
        <w:rPr>
          <w:spacing w:val="6"/>
        </w:rPr>
        <w:t>号和能唯一标识软件项的其他信息，标识每个软</w:t>
      </w:r>
      <w:r>
        <w:rPr>
          <w:spacing w:val="5"/>
        </w:rPr>
        <w:t>件项。每个软件项的描述应包</w:t>
      </w:r>
      <w:r>
        <w:t xml:space="preserve"> </w:t>
      </w:r>
      <w:r>
        <w:rPr>
          <w:spacing w:val="-7"/>
        </w:rPr>
        <w:t>括它的用法、用途和主要能力。</w:t>
      </w:r>
    </w:p>
    <w:p w14:paraId="30FE4403">
      <w:pPr>
        <w:spacing w:before="1" w:line="220" w:lineRule="auto"/>
        <w:rPr>
          <w:rFonts w:ascii="黑体" w:hAnsi="黑体" w:eastAsia="黑体" w:cs="黑体"/>
          <w:sz w:val="25"/>
          <w:szCs w:val="25"/>
        </w:rPr>
      </w:pPr>
      <w:r>
        <w:rPr>
          <w:rFonts w:ascii="Times New Roman" w:hAnsi="Times New Roman" w:eastAsia="Times New Roman" w:cs="Times New Roman"/>
          <w:spacing w:val="7"/>
          <w:sz w:val="25"/>
          <w:szCs w:val="25"/>
        </w:rPr>
        <w:t xml:space="preserve">3.X.5       </w:t>
      </w:r>
      <w:r>
        <w:rPr>
          <w:rFonts w:ascii="黑体" w:hAnsi="黑体" w:eastAsia="黑体" w:cs="黑体"/>
          <w:spacing w:val="7"/>
          <w:sz w:val="25"/>
          <w:szCs w:val="25"/>
        </w:rPr>
        <w:t>编程规程</w:t>
      </w:r>
    </w:p>
    <w:p w14:paraId="677D0DE7">
      <w:pPr>
        <w:pStyle w:val="2"/>
        <w:spacing w:before="92" w:line="278" w:lineRule="auto"/>
        <w:ind w:right="132" w:firstLine="570"/>
        <w:jc w:val="both"/>
      </w:pPr>
      <w:r>
        <w:rPr>
          <w:spacing w:val="5"/>
        </w:rPr>
        <w:t>本条应描述对固件设备进行编程和再编程要使用的规程。(若适用</w:t>
      </w:r>
      <w:r>
        <w:rPr>
          <w:spacing w:val="4"/>
        </w:rPr>
        <w:t>)它包含</w:t>
      </w:r>
      <w:r>
        <w:t xml:space="preserve"> </w:t>
      </w:r>
      <w:r>
        <w:rPr>
          <w:spacing w:val="-2"/>
        </w:rPr>
        <w:t>设备擦除、加载、验证、加标记要使用的规程。本条</w:t>
      </w:r>
      <w:r>
        <w:rPr>
          <w:spacing w:val="-3"/>
        </w:rPr>
        <w:t>还应标识每个规程必需的所</w:t>
      </w:r>
      <w:r>
        <w:t xml:space="preserve"> </w:t>
      </w:r>
      <w:r>
        <w:rPr>
          <w:spacing w:val="-4"/>
        </w:rPr>
        <w:t>有的设备、软件以及采用的保密性措施。</w:t>
      </w:r>
    </w:p>
    <w:p w14:paraId="493C6CEE">
      <w:pPr>
        <w:spacing w:before="19" w:line="222" w:lineRule="auto"/>
        <w:rPr>
          <w:rFonts w:ascii="黑体" w:hAnsi="黑体" w:eastAsia="黑体" w:cs="黑体"/>
          <w:sz w:val="25"/>
          <w:szCs w:val="25"/>
        </w:rPr>
      </w:pPr>
      <w:r>
        <w:rPr>
          <w:rFonts w:ascii="Times New Roman" w:hAnsi="Times New Roman" w:eastAsia="Times New Roman" w:cs="Times New Roman"/>
          <w:spacing w:val="13"/>
          <w:sz w:val="25"/>
          <w:szCs w:val="25"/>
        </w:rPr>
        <w:t>3.</w:t>
      </w:r>
      <w:r>
        <w:rPr>
          <w:rFonts w:ascii="Times New Roman" w:hAnsi="Times New Roman" w:eastAsia="Times New Roman" w:cs="Times New Roman"/>
          <w:spacing w:val="39"/>
          <w:w w:val="101"/>
          <w:sz w:val="25"/>
          <w:szCs w:val="25"/>
        </w:rPr>
        <w:t xml:space="preserve"> </w:t>
      </w:r>
      <w:r>
        <w:rPr>
          <w:rFonts w:ascii="Times New Roman" w:hAnsi="Times New Roman" w:eastAsia="Times New Roman" w:cs="Times New Roman"/>
          <w:spacing w:val="13"/>
          <w:sz w:val="25"/>
          <w:szCs w:val="25"/>
        </w:rPr>
        <w:t>X.6</w:t>
      </w:r>
      <w:r>
        <w:rPr>
          <w:rFonts w:ascii="Times New Roman" w:hAnsi="Times New Roman" w:eastAsia="Times New Roman" w:cs="Times New Roman"/>
          <w:spacing w:val="1"/>
          <w:sz w:val="25"/>
          <w:szCs w:val="25"/>
        </w:rPr>
        <w:t xml:space="preserve">      </w:t>
      </w:r>
      <w:r>
        <w:rPr>
          <w:rFonts w:ascii="黑体" w:hAnsi="黑体" w:eastAsia="黑体" w:cs="黑体"/>
          <w:spacing w:val="13"/>
          <w:sz w:val="25"/>
          <w:szCs w:val="25"/>
        </w:rPr>
        <w:t>安装和修复规程</w:t>
      </w:r>
    </w:p>
    <w:p w14:paraId="5359CBDB">
      <w:pPr>
        <w:pStyle w:val="2"/>
        <w:spacing w:before="90" w:line="273" w:lineRule="auto"/>
        <w:ind w:right="132" w:firstLine="570"/>
        <w:jc w:val="both"/>
      </w:pPr>
      <w:r>
        <w:rPr>
          <w:spacing w:val="5"/>
        </w:rPr>
        <w:t>本条应包含固件设备的安装、替换和修复的规程。本条还应包括固件设备</w:t>
      </w:r>
      <w:r>
        <w:rPr>
          <w:spacing w:val="1"/>
        </w:rPr>
        <w:t xml:space="preserve"> </w:t>
      </w:r>
      <w:r>
        <w:rPr>
          <w:spacing w:val="-2"/>
        </w:rPr>
        <w:t>的撤除和替换规程、设备寻址方式与实现、主板布局的</w:t>
      </w:r>
      <w:r>
        <w:rPr>
          <w:spacing w:val="-3"/>
        </w:rPr>
        <w:t>描述以及保证紧急时刻运</w:t>
      </w:r>
      <w:r>
        <w:t xml:space="preserve"> </w:t>
      </w:r>
      <w:r>
        <w:rPr>
          <w:spacing w:val="6"/>
        </w:rPr>
        <w:t>行连续性的规程。在合适的地方应包含用“警告”</w:t>
      </w:r>
      <w:r>
        <w:rPr>
          <w:spacing w:val="5"/>
        </w:rPr>
        <w:t>或“注意”标记给出的安全</w:t>
      </w:r>
      <w:r>
        <w:t xml:space="preserve"> </w:t>
      </w:r>
      <w:r>
        <w:rPr>
          <w:spacing w:val="-4"/>
        </w:rPr>
        <w:t>提示。</w:t>
      </w:r>
    </w:p>
    <w:p w14:paraId="564869ED">
      <w:pPr>
        <w:spacing w:before="33" w:line="222" w:lineRule="auto"/>
        <w:rPr>
          <w:rFonts w:ascii="黑体" w:hAnsi="黑体" w:eastAsia="黑体" w:cs="黑体"/>
          <w:sz w:val="27"/>
          <w:szCs w:val="27"/>
        </w:rPr>
      </w:pPr>
      <w:r>
        <w:rPr>
          <w:rFonts w:ascii="Times New Roman" w:hAnsi="Times New Roman" w:eastAsia="Times New Roman" w:cs="Times New Roman"/>
          <w:spacing w:val="1"/>
          <w:sz w:val="27"/>
          <w:szCs w:val="27"/>
        </w:rPr>
        <w:t xml:space="preserve">3.X.  </w:t>
      </w:r>
      <w:r>
        <w:rPr>
          <w:rFonts w:ascii="黑体" w:hAnsi="黑体" w:eastAsia="黑体" w:cs="黑体"/>
          <w:spacing w:val="1"/>
          <w:sz w:val="27"/>
          <w:szCs w:val="27"/>
        </w:rPr>
        <w:t>7</w:t>
      </w:r>
      <w:r>
        <w:rPr>
          <w:rFonts w:ascii="黑体" w:hAnsi="黑体" w:eastAsia="黑体" w:cs="黑体"/>
          <w:spacing w:val="16"/>
          <w:sz w:val="27"/>
          <w:szCs w:val="27"/>
        </w:rPr>
        <w:t xml:space="preserve">  </w:t>
      </w:r>
      <w:r>
        <w:rPr>
          <w:rFonts w:ascii="黑体" w:hAnsi="黑体" w:eastAsia="黑体" w:cs="黑体"/>
          <w:spacing w:val="1"/>
          <w:sz w:val="27"/>
          <w:szCs w:val="27"/>
        </w:rPr>
        <w:t>供应商信息</w:t>
      </w:r>
    </w:p>
    <w:p w14:paraId="74FB5898">
      <w:pPr>
        <w:pStyle w:val="2"/>
        <w:spacing w:before="97" w:line="269" w:lineRule="auto"/>
        <w:ind w:right="112" w:firstLine="570"/>
      </w:pPr>
      <w:r>
        <w:rPr>
          <w:spacing w:val="14"/>
        </w:rPr>
        <w:t>本条应包括或引用供应商提供的固件设备、编程设备和编程软件的有关</w:t>
      </w:r>
      <w:r>
        <w:rPr>
          <w:spacing w:val="17"/>
        </w:rPr>
        <w:t xml:space="preserve"> </w:t>
      </w:r>
      <w:r>
        <w:rPr>
          <w:spacing w:val="-4"/>
        </w:rPr>
        <w:t>信息。</w:t>
      </w:r>
    </w:p>
    <w:p w14:paraId="7A9EA02C">
      <w:pPr>
        <w:spacing w:before="31" w:line="222" w:lineRule="auto"/>
        <w:rPr>
          <w:rFonts w:ascii="黑体" w:hAnsi="黑体" w:eastAsia="黑体" w:cs="黑体"/>
          <w:sz w:val="25"/>
          <w:szCs w:val="25"/>
        </w:rPr>
      </w:pPr>
      <w:r>
        <w:rPr>
          <w:rFonts w:ascii="黑体" w:hAnsi="黑体" w:eastAsia="黑体" w:cs="黑体"/>
          <w:spacing w:val="-6"/>
          <w:sz w:val="25"/>
          <w:szCs w:val="25"/>
        </w:rPr>
        <w:t>4</w:t>
      </w:r>
      <w:r>
        <w:rPr>
          <w:rFonts w:ascii="黑体" w:hAnsi="黑体" w:eastAsia="黑体" w:cs="黑体"/>
          <w:spacing w:val="24"/>
          <w:sz w:val="25"/>
          <w:szCs w:val="25"/>
        </w:rPr>
        <w:t xml:space="preserve">  </w:t>
      </w:r>
      <w:r>
        <w:rPr>
          <w:rFonts w:ascii="黑体" w:hAnsi="黑体" w:eastAsia="黑体" w:cs="黑体"/>
          <w:spacing w:val="-6"/>
          <w:sz w:val="25"/>
          <w:szCs w:val="25"/>
        </w:rPr>
        <w:t>注</w:t>
      </w:r>
      <w:r>
        <w:rPr>
          <w:rFonts w:ascii="黑体" w:hAnsi="黑体" w:eastAsia="黑体" w:cs="黑体"/>
          <w:spacing w:val="-54"/>
          <w:sz w:val="25"/>
          <w:szCs w:val="25"/>
        </w:rPr>
        <w:t xml:space="preserve"> </w:t>
      </w:r>
      <w:r>
        <w:rPr>
          <w:rFonts w:ascii="黑体" w:hAnsi="黑体" w:eastAsia="黑体" w:cs="黑体"/>
          <w:spacing w:val="-6"/>
          <w:sz w:val="25"/>
          <w:szCs w:val="25"/>
        </w:rPr>
        <w:t>释</w:t>
      </w:r>
    </w:p>
    <w:p w14:paraId="31C3AC7C">
      <w:pPr>
        <w:pStyle w:val="2"/>
        <w:spacing w:before="120" w:line="219" w:lineRule="auto"/>
        <w:ind w:left="570"/>
      </w:pPr>
      <w:r>
        <w:rPr>
          <w:spacing w:val="-4"/>
        </w:rPr>
        <w:t>本章应包括有助于了解文档的所有信息(例如背景、术语、缩略语或公式)。</w:t>
      </w:r>
    </w:p>
    <w:p w14:paraId="5DDA192E">
      <w:pPr>
        <w:spacing w:line="307" w:lineRule="auto"/>
        <w:rPr>
          <w:rFonts w:ascii="Arial"/>
          <w:sz w:val="21"/>
        </w:rPr>
      </w:pPr>
    </w:p>
    <w:p w14:paraId="149D7F85">
      <w:pPr>
        <w:pStyle w:val="2"/>
        <w:spacing w:before="118" w:line="218" w:lineRule="auto"/>
        <w:ind w:left="2680"/>
        <w:rPr>
          <w:sz w:val="36"/>
          <w:szCs w:val="36"/>
        </w:rPr>
      </w:pPr>
      <w:r>
        <w:rPr>
          <w:spacing w:val="3"/>
          <w:sz w:val="36"/>
          <w:szCs w:val="36"/>
        </w:rPr>
        <w:t>2.2</w:t>
      </w:r>
      <w:r>
        <w:rPr>
          <w:b/>
          <w:bCs/>
          <w:spacing w:val="3"/>
          <w:sz w:val="36"/>
          <w:szCs w:val="36"/>
        </w:rPr>
        <w:t>6</w:t>
      </w:r>
      <w:r>
        <w:rPr>
          <w:spacing w:val="3"/>
          <w:sz w:val="36"/>
          <w:szCs w:val="36"/>
        </w:rPr>
        <w:t xml:space="preserve">  </w:t>
      </w:r>
      <w:r>
        <w:rPr>
          <w:b/>
          <w:bCs/>
          <w:spacing w:val="3"/>
          <w:sz w:val="36"/>
          <w:szCs w:val="36"/>
        </w:rPr>
        <w:t>软件研制总结报告</w:t>
      </w:r>
    </w:p>
    <w:p w14:paraId="08BB469E">
      <w:pPr>
        <w:spacing w:line="333" w:lineRule="auto"/>
        <w:rPr>
          <w:rFonts w:ascii="Arial"/>
          <w:sz w:val="21"/>
        </w:rPr>
      </w:pPr>
    </w:p>
    <w:p w14:paraId="303775E6">
      <w:pPr>
        <w:pStyle w:val="2"/>
        <w:spacing w:before="91" w:line="225" w:lineRule="auto"/>
        <w:ind w:left="570"/>
        <w:rPr>
          <w:rFonts w:ascii="楷体" w:hAnsi="楷体" w:eastAsia="楷体" w:cs="楷体"/>
          <w:sz w:val="28"/>
          <w:szCs w:val="28"/>
        </w:rPr>
      </w:pPr>
      <w:r>
        <w:rPr>
          <w:rFonts w:ascii="楷体" w:hAnsi="楷体" w:eastAsia="楷体" w:cs="楷体"/>
          <w:spacing w:val="-8"/>
          <w:sz w:val="28"/>
          <w:szCs w:val="28"/>
        </w:rPr>
        <w:t>按照</w:t>
      </w:r>
      <w:r>
        <w:rPr>
          <w:rFonts w:ascii="Times New Roman" w:hAnsi="Times New Roman" w:eastAsia="Times New Roman" w:cs="Times New Roman"/>
          <w:spacing w:val="-8"/>
          <w:sz w:val="28"/>
          <w:szCs w:val="28"/>
        </w:rPr>
        <w:t>GJB438B—2009</w:t>
      </w:r>
      <w:r>
        <w:rPr>
          <w:spacing w:val="-8"/>
          <w:sz w:val="28"/>
          <w:szCs w:val="28"/>
        </w:rPr>
        <w:t>《</w:t>
      </w:r>
      <w:r>
        <w:rPr>
          <w:rFonts w:ascii="楷体" w:hAnsi="楷体" w:eastAsia="楷体" w:cs="楷体"/>
          <w:spacing w:val="-8"/>
          <w:sz w:val="28"/>
          <w:szCs w:val="28"/>
        </w:rPr>
        <w:t>军用软件开发文档通用要求</w:t>
      </w:r>
      <w:r>
        <w:rPr>
          <w:rFonts w:ascii="楷体" w:hAnsi="楷体" w:eastAsia="楷体" w:cs="楷体"/>
          <w:spacing w:val="-9"/>
          <w:sz w:val="28"/>
          <w:szCs w:val="28"/>
        </w:rPr>
        <w:t>》编写。</w:t>
      </w:r>
    </w:p>
    <w:p w14:paraId="22E86A32">
      <w:pPr>
        <w:spacing w:before="59"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6A3076D0">
      <w:pPr>
        <w:spacing w:before="77" w:line="222" w:lineRule="auto"/>
        <w:rPr>
          <w:rFonts w:ascii="黑体" w:hAnsi="黑体" w:eastAsia="黑体" w:cs="黑体"/>
          <w:sz w:val="27"/>
          <w:szCs w:val="27"/>
        </w:rPr>
      </w:pPr>
      <w:r>
        <w:rPr>
          <w:rFonts w:ascii="Arial" w:hAnsi="Arial" w:eastAsia="Arial" w:cs="Arial"/>
          <w:spacing w:val="-5"/>
          <w:sz w:val="27"/>
          <w:szCs w:val="27"/>
        </w:rPr>
        <w:t xml:space="preserve">1.1     </w:t>
      </w:r>
      <w:r>
        <w:rPr>
          <w:rFonts w:ascii="黑体" w:hAnsi="黑体" w:eastAsia="黑体" w:cs="黑体"/>
          <w:spacing w:val="-5"/>
          <w:sz w:val="27"/>
          <w:szCs w:val="27"/>
        </w:rPr>
        <w:t>标识</w:t>
      </w:r>
    </w:p>
    <w:p w14:paraId="0B9FB8BF">
      <w:pPr>
        <w:pStyle w:val="2"/>
        <w:spacing w:before="123" w:line="288" w:lineRule="auto"/>
        <w:ind w:firstLine="570"/>
        <w:rPr>
          <w:sz w:val="25"/>
          <w:szCs w:val="25"/>
        </w:rPr>
      </w:pPr>
      <w:r>
        <w:rPr>
          <w:spacing w:val="21"/>
          <w:sz w:val="25"/>
          <w:szCs w:val="25"/>
        </w:rPr>
        <w:t>本条应描述本文档所适用系统和软件的完整标识，适用</w:t>
      </w:r>
      <w:r>
        <w:rPr>
          <w:spacing w:val="20"/>
          <w:sz w:val="25"/>
          <w:szCs w:val="25"/>
        </w:rPr>
        <w:t>时，包括其标识号、</w:t>
      </w:r>
      <w:r>
        <w:rPr>
          <w:sz w:val="25"/>
          <w:szCs w:val="25"/>
        </w:rPr>
        <w:t xml:space="preserve"> </w:t>
      </w:r>
      <w:r>
        <w:rPr>
          <w:spacing w:val="3"/>
          <w:sz w:val="25"/>
          <w:szCs w:val="25"/>
        </w:rPr>
        <w:t>名称、缩略名、版本号和发布号。</w:t>
      </w:r>
    </w:p>
    <w:p w14:paraId="5FDB34E2">
      <w:pPr>
        <w:spacing w:before="1" w:line="220" w:lineRule="auto"/>
        <w:rPr>
          <w:rFonts w:ascii="黑体" w:hAnsi="黑体" w:eastAsia="黑体" w:cs="黑体"/>
          <w:sz w:val="27"/>
          <w:szCs w:val="27"/>
        </w:rPr>
      </w:pPr>
      <w:r>
        <w:rPr>
          <w:rFonts w:ascii="黑体" w:hAnsi="黑体" w:eastAsia="黑体" w:cs="黑体"/>
          <w:spacing w:val="-6"/>
          <w:sz w:val="27"/>
          <w:szCs w:val="27"/>
        </w:rPr>
        <w:t>1.2</w:t>
      </w:r>
      <w:r>
        <w:rPr>
          <w:rFonts w:ascii="黑体" w:hAnsi="黑体" w:eastAsia="黑体" w:cs="黑体"/>
          <w:spacing w:val="32"/>
          <w:sz w:val="27"/>
          <w:szCs w:val="27"/>
        </w:rPr>
        <w:t xml:space="preserve">  </w:t>
      </w:r>
      <w:r>
        <w:rPr>
          <w:rFonts w:ascii="黑体" w:hAnsi="黑体" w:eastAsia="黑体" w:cs="黑体"/>
          <w:spacing w:val="-6"/>
          <w:sz w:val="27"/>
          <w:szCs w:val="27"/>
        </w:rPr>
        <w:t>系统概述</w:t>
      </w:r>
    </w:p>
    <w:p w14:paraId="0A1EE504">
      <w:pPr>
        <w:pStyle w:val="2"/>
        <w:spacing w:before="128" w:line="268" w:lineRule="auto"/>
        <w:ind w:right="130" w:firstLine="570"/>
        <w:jc w:val="both"/>
      </w:pPr>
      <w:r>
        <w:rPr>
          <w:spacing w:val="5"/>
        </w:rPr>
        <w:t>本条应概述本文档所适用系统和软件的用途。它还应描述系统与软件的一</w:t>
      </w:r>
      <w:r>
        <w:rPr>
          <w:spacing w:val="4"/>
        </w:rPr>
        <w:t xml:space="preserve"> </w:t>
      </w:r>
      <w:r>
        <w:rPr>
          <w:spacing w:val="-10"/>
        </w:rPr>
        <w:t>般特性；概述系统开发、运行和维护的历史；标识项目</w:t>
      </w:r>
      <w:r>
        <w:rPr>
          <w:spacing w:val="-11"/>
        </w:rPr>
        <w:t>的需方、用户、开发方和保</w:t>
      </w:r>
      <w:r>
        <w:t xml:space="preserve"> </w:t>
      </w:r>
      <w:r>
        <w:rPr>
          <w:spacing w:val="-6"/>
        </w:rPr>
        <w:t>障机构等；标识当前和计划的运行现场；列出其他有关文档。</w:t>
      </w:r>
    </w:p>
    <w:p w14:paraId="6D4AA0AD">
      <w:pPr>
        <w:spacing w:before="3" w:line="221" w:lineRule="auto"/>
        <w:rPr>
          <w:rFonts w:ascii="黑体" w:hAnsi="黑体" w:eastAsia="黑体" w:cs="黑体"/>
          <w:sz w:val="27"/>
          <w:szCs w:val="27"/>
        </w:rPr>
      </w:pPr>
      <w:r>
        <w:rPr>
          <w:rFonts w:ascii="黑体" w:hAnsi="黑体" w:eastAsia="黑体" w:cs="黑体"/>
          <w:spacing w:val="-5"/>
          <w:sz w:val="27"/>
          <w:szCs w:val="27"/>
        </w:rPr>
        <w:t>1.3</w:t>
      </w:r>
      <w:r>
        <w:rPr>
          <w:rFonts w:ascii="黑体" w:hAnsi="黑体" w:eastAsia="黑体" w:cs="黑体"/>
          <w:spacing w:val="34"/>
          <w:sz w:val="27"/>
          <w:szCs w:val="27"/>
        </w:rPr>
        <w:t xml:space="preserve">  </w:t>
      </w:r>
      <w:r>
        <w:rPr>
          <w:rFonts w:ascii="黑体" w:hAnsi="黑体" w:eastAsia="黑体" w:cs="黑体"/>
          <w:spacing w:val="-5"/>
          <w:sz w:val="27"/>
          <w:szCs w:val="27"/>
        </w:rPr>
        <w:t>文档概述</w:t>
      </w:r>
    </w:p>
    <w:p w14:paraId="6DE4C25F">
      <w:pPr>
        <w:pStyle w:val="2"/>
        <w:spacing w:before="78" w:line="292" w:lineRule="auto"/>
        <w:ind w:right="123" w:firstLine="570"/>
      </w:pPr>
      <w:r>
        <w:rPr>
          <w:spacing w:val="5"/>
        </w:rPr>
        <w:t>本条应概括本文档的用途和内容，并描述与它的使用有关的保密性方面的</w:t>
      </w:r>
      <w:r>
        <w:rPr>
          <w:spacing w:val="10"/>
        </w:rPr>
        <w:t xml:space="preserve"> </w:t>
      </w:r>
      <w:r>
        <w:rPr>
          <w:spacing w:val="-4"/>
        </w:rPr>
        <w:t>要求。</w:t>
      </w:r>
    </w:p>
    <w:p w14:paraId="4C2C7B9F">
      <w:pPr>
        <w:spacing w:line="292" w:lineRule="auto"/>
        <w:sectPr>
          <w:footerReference r:id="rId268" w:type="default"/>
          <w:pgSz w:w="11910" w:h="17130"/>
          <w:pgMar w:top="1456" w:right="1444" w:bottom="1646" w:left="959" w:header="0" w:footer="1457" w:gutter="0"/>
          <w:cols w:space="720" w:num="1"/>
        </w:sectPr>
      </w:pPr>
    </w:p>
    <w:p w14:paraId="507F8D21">
      <w:pPr>
        <w:spacing w:before="78" w:line="221" w:lineRule="auto"/>
        <w:rPr>
          <w:rFonts w:ascii="黑体" w:hAnsi="黑体" w:eastAsia="黑体" w:cs="黑体"/>
          <w:sz w:val="24"/>
          <w:szCs w:val="24"/>
        </w:rPr>
      </w:pPr>
      <w:r>
        <w:rPr>
          <w:rFonts w:ascii="黑体" w:hAnsi="黑体" w:eastAsia="黑体" w:cs="黑体"/>
          <w:spacing w:val="27"/>
          <w:sz w:val="24"/>
          <w:szCs w:val="24"/>
        </w:rPr>
        <w:t>2</w:t>
      </w:r>
      <w:r>
        <w:rPr>
          <w:rFonts w:ascii="黑体" w:hAnsi="黑体" w:eastAsia="黑体" w:cs="黑体"/>
          <w:spacing w:val="42"/>
          <w:sz w:val="24"/>
          <w:szCs w:val="24"/>
        </w:rPr>
        <w:t xml:space="preserve">  </w:t>
      </w:r>
      <w:r>
        <w:rPr>
          <w:rFonts w:ascii="黑体" w:hAnsi="黑体" w:eastAsia="黑体" w:cs="黑体"/>
          <w:b/>
          <w:bCs/>
          <w:spacing w:val="27"/>
          <w:sz w:val="24"/>
          <w:szCs w:val="24"/>
        </w:rPr>
        <w:t>任务来源与研制依据</w:t>
      </w:r>
    </w:p>
    <w:p w14:paraId="0D1D2108">
      <w:pPr>
        <w:pStyle w:val="2"/>
        <w:spacing w:before="107" w:line="219" w:lineRule="auto"/>
        <w:ind w:left="560"/>
      </w:pPr>
      <w:r>
        <w:rPr>
          <w:spacing w:val="-2"/>
        </w:rPr>
        <w:t>本章应描述任务的来源情况，描述该任务的研制依</w:t>
      </w:r>
      <w:r>
        <w:rPr>
          <w:spacing w:val="-3"/>
        </w:rPr>
        <w:t>据。</w:t>
      </w:r>
    </w:p>
    <w:p w14:paraId="6C975C3C">
      <w:pPr>
        <w:spacing w:before="55" w:line="221"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21"/>
          <w:sz w:val="27"/>
          <w:szCs w:val="27"/>
        </w:rPr>
        <w:t xml:space="preserve">  </w:t>
      </w:r>
      <w:r>
        <w:rPr>
          <w:rFonts w:ascii="黑体" w:hAnsi="黑体" w:eastAsia="黑体" w:cs="黑体"/>
          <w:b/>
          <w:bCs/>
          <w:spacing w:val="-3"/>
          <w:sz w:val="27"/>
          <w:szCs w:val="27"/>
        </w:rPr>
        <w:t>软件概述</w:t>
      </w:r>
    </w:p>
    <w:p w14:paraId="60C78BB0">
      <w:pPr>
        <w:pStyle w:val="2"/>
        <w:spacing w:before="100" w:line="275" w:lineRule="auto"/>
        <w:ind w:firstLine="560"/>
        <w:jc w:val="both"/>
      </w:pPr>
      <w:r>
        <w:rPr>
          <w:spacing w:val="-4"/>
        </w:rPr>
        <w:t>本章应说明软件用途，主要功能、性能要求，软件运行依附的设备的外部逻</w:t>
      </w:r>
      <w:r>
        <w:rPr>
          <w:spacing w:val="5"/>
        </w:rPr>
        <w:t xml:space="preserve">  </w:t>
      </w:r>
      <w:r>
        <w:rPr>
          <w:spacing w:val="1"/>
        </w:rPr>
        <w:t>辑关系，软件系统内部多个计算机软件配置项之间的构</w:t>
      </w:r>
      <w:r>
        <w:t xml:space="preserve">成关系，及其开发语言、 </w:t>
      </w:r>
      <w:r>
        <w:rPr>
          <w:spacing w:val="-13"/>
        </w:rPr>
        <w:t>开发平台、运行平台、代码规模、软件版本、软件关键性等级等信息。</w:t>
      </w:r>
    </w:p>
    <w:p w14:paraId="7C581D2C">
      <w:pPr>
        <w:spacing w:line="222" w:lineRule="auto"/>
        <w:rPr>
          <w:rFonts w:ascii="黑体" w:hAnsi="黑体" w:eastAsia="黑体" w:cs="黑体"/>
          <w:sz w:val="27"/>
          <w:szCs w:val="27"/>
        </w:rPr>
      </w:pPr>
      <w:r>
        <w:rPr>
          <w:rFonts w:ascii="黑体" w:hAnsi="黑体" w:eastAsia="黑体" w:cs="黑体"/>
          <w:sz w:val="27"/>
          <w:szCs w:val="27"/>
        </w:rPr>
        <w:t>4</w:t>
      </w:r>
      <w:r>
        <w:rPr>
          <w:rFonts w:ascii="黑体" w:hAnsi="黑体" w:eastAsia="黑体" w:cs="黑体"/>
          <w:spacing w:val="16"/>
          <w:sz w:val="27"/>
          <w:szCs w:val="27"/>
        </w:rPr>
        <w:t xml:space="preserve">  </w:t>
      </w:r>
      <w:r>
        <w:rPr>
          <w:rFonts w:ascii="黑体" w:hAnsi="黑体" w:eastAsia="黑体" w:cs="黑体"/>
          <w:b/>
          <w:bCs/>
          <w:sz w:val="27"/>
          <w:szCs w:val="27"/>
        </w:rPr>
        <w:t>软件研制过程</w:t>
      </w:r>
    </w:p>
    <w:p w14:paraId="510B43FB">
      <w:pPr>
        <w:spacing w:before="84" w:line="221" w:lineRule="auto"/>
        <w:rPr>
          <w:rFonts w:ascii="黑体" w:hAnsi="黑体" w:eastAsia="黑体" w:cs="黑体"/>
          <w:sz w:val="27"/>
          <w:szCs w:val="27"/>
        </w:rPr>
      </w:pPr>
      <w:r>
        <w:rPr>
          <w:rFonts w:ascii="黑体" w:hAnsi="黑体" w:eastAsia="黑体" w:cs="黑体"/>
          <w:spacing w:val="1"/>
          <w:sz w:val="27"/>
          <w:szCs w:val="27"/>
        </w:rPr>
        <w:t xml:space="preserve">4.1  </w:t>
      </w:r>
      <w:r>
        <w:rPr>
          <w:rFonts w:ascii="黑体" w:hAnsi="黑体" w:eastAsia="黑体" w:cs="黑体"/>
          <w:b/>
          <w:bCs/>
          <w:spacing w:val="1"/>
          <w:sz w:val="27"/>
          <w:szCs w:val="27"/>
        </w:rPr>
        <w:t>软件研制过程概述</w:t>
      </w:r>
    </w:p>
    <w:p w14:paraId="38A33107">
      <w:pPr>
        <w:pStyle w:val="2"/>
        <w:spacing w:before="81" w:line="283" w:lineRule="auto"/>
        <w:ind w:right="122" w:firstLine="560"/>
        <w:jc w:val="both"/>
      </w:pPr>
      <w:r>
        <w:rPr>
          <w:spacing w:val="-4"/>
        </w:rPr>
        <w:t>本条应概述软件研制过程开展情况，描述软件参加系统联试、试验考核等情</w:t>
      </w:r>
      <w:r>
        <w:rPr>
          <w:spacing w:val="13"/>
        </w:rPr>
        <w:t xml:space="preserve"> </w:t>
      </w:r>
      <w:r>
        <w:rPr>
          <w:spacing w:val="-10"/>
        </w:rPr>
        <w:t>况，以及功能和性能指标、软件需求(含接口需求)、软件设计、软件代码等的重大</w:t>
      </w:r>
      <w:r>
        <w:rPr>
          <w:spacing w:val="1"/>
        </w:rPr>
        <w:t xml:space="preserve"> </w:t>
      </w:r>
      <w:r>
        <w:rPr>
          <w:spacing w:val="-1"/>
        </w:rPr>
        <w:t>变更情况。</w:t>
      </w:r>
    </w:p>
    <w:p w14:paraId="51F55422">
      <w:pPr>
        <w:spacing w:before="24" w:line="221" w:lineRule="auto"/>
        <w:rPr>
          <w:rFonts w:ascii="黑体" w:hAnsi="黑体" w:eastAsia="黑体" w:cs="黑体"/>
          <w:sz w:val="24"/>
          <w:szCs w:val="24"/>
        </w:rPr>
      </w:pPr>
      <w:r>
        <w:rPr>
          <w:rFonts w:ascii="黑体" w:hAnsi="黑体" w:eastAsia="黑体" w:cs="黑体"/>
          <w:spacing w:val="24"/>
          <w:sz w:val="24"/>
          <w:szCs w:val="24"/>
        </w:rPr>
        <w:t>4.2</w:t>
      </w:r>
      <w:r>
        <w:rPr>
          <w:rFonts w:ascii="黑体" w:hAnsi="黑体" w:eastAsia="黑体" w:cs="黑体"/>
          <w:spacing w:val="48"/>
          <w:sz w:val="24"/>
          <w:szCs w:val="24"/>
        </w:rPr>
        <w:t xml:space="preserve">  </w:t>
      </w:r>
      <w:r>
        <w:rPr>
          <w:rFonts w:ascii="黑体" w:hAnsi="黑体" w:eastAsia="黑体" w:cs="黑体"/>
          <w:b/>
          <w:bCs/>
          <w:spacing w:val="24"/>
          <w:sz w:val="24"/>
          <w:szCs w:val="24"/>
        </w:rPr>
        <w:t>系统要求分析和设计</w:t>
      </w:r>
    </w:p>
    <w:p w14:paraId="7E291BCB">
      <w:pPr>
        <w:pStyle w:val="2"/>
        <w:spacing w:before="98" w:line="219" w:lineRule="auto"/>
        <w:ind w:left="560"/>
      </w:pPr>
      <w:r>
        <w:rPr>
          <w:spacing w:val="-4"/>
        </w:rPr>
        <w:t>应描述系统要求分析和设计采用的设计、验证方法，工作产品的主要内容。</w:t>
      </w:r>
    </w:p>
    <w:p w14:paraId="3FED41BC">
      <w:pPr>
        <w:spacing w:before="77" w:line="222" w:lineRule="auto"/>
        <w:rPr>
          <w:rFonts w:ascii="黑体" w:hAnsi="黑体" w:eastAsia="黑体" w:cs="黑体"/>
          <w:sz w:val="27"/>
          <w:szCs w:val="27"/>
        </w:rPr>
      </w:pPr>
      <w:r>
        <w:rPr>
          <w:rFonts w:ascii="黑体" w:hAnsi="黑体" w:eastAsia="黑体" w:cs="黑体"/>
          <w:sz w:val="27"/>
          <w:szCs w:val="27"/>
        </w:rPr>
        <w:t>4.3</w:t>
      </w:r>
      <w:r>
        <w:rPr>
          <w:rFonts w:ascii="黑体" w:hAnsi="黑体" w:eastAsia="黑体" w:cs="黑体"/>
          <w:spacing w:val="16"/>
          <w:sz w:val="27"/>
          <w:szCs w:val="27"/>
        </w:rPr>
        <w:t xml:space="preserve">  </w:t>
      </w:r>
      <w:r>
        <w:rPr>
          <w:rFonts w:ascii="黑体" w:hAnsi="黑体" w:eastAsia="黑体" w:cs="黑体"/>
          <w:b/>
          <w:bCs/>
          <w:sz w:val="27"/>
          <w:szCs w:val="27"/>
        </w:rPr>
        <w:t>软件需求分析</w:t>
      </w:r>
    </w:p>
    <w:p w14:paraId="2201F918">
      <w:pPr>
        <w:pStyle w:val="2"/>
        <w:spacing w:before="98" w:line="219" w:lineRule="auto"/>
        <w:ind w:left="560"/>
      </w:pPr>
      <w:r>
        <w:rPr>
          <w:spacing w:val="-5"/>
        </w:rPr>
        <w:t>应描述软件需求分析采用的分析、验证方法，工作产品的主要内容。</w:t>
      </w:r>
    </w:p>
    <w:p w14:paraId="766535DF">
      <w:pPr>
        <w:spacing w:before="75" w:line="222" w:lineRule="auto"/>
        <w:rPr>
          <w:rFonts w:ascii="黑体" w:hAnsi="黑体" w:eastAsia="黑体" w:cs="黑体"/>
          <w:sz w:val="27"/>
          <w:szCs w:val="27"/>
        </w:rPr>
      </w:pPr>
      <w:r>
        <w:rPr>
          <w:rFonts w:ascii="黑体" w:hAnsi="黑体" w:eastAsia="黑体" w:cs="黑体"/>
          <w:spacing w:val="1"/>
          <w:sz w:val="27"/>
          <w:szCs w:val="27"/>
        </w:rPr>
        <w:t>4.4</w:t>
      </w:r>
      <w:r>
        <w:rPr>
          <w:rFonts w:ascii="黑体" w:hAnsi="黑体" w:eastAsia="黑体" w:cs="黑体"/>
          <w:spacing w:val="12"/>
          <w:sz w:val="27"/>
          <w:szCs w:val="27"/>
        </w:rPr>
        <w:t xml:space="preserve">  </w:t>
      </w:r>
      <w:r>
        <w:rPr>
          <w:rFonts w:ascii="黑体" w:hAnsi="黑体" w:eastAsia="黑体" w:cs="黑体"/>
          <w:b/>
          <w:bCs/>
          <w:spacing w:val="1"/>
          <w:sz w:val="27"/>
          <w:szCs w:val="27"/>
        </w:rPr>
        <w:t>软件设计</w:t>
      </w:r>
    </w:p>
    <w:p w14:paraId="085633AB">
      <w:pPr>
        <w:pStyle w:val="2"/>
        <w:spacing w:before="90" w:line="219" w:lineRule="auto"/>
        <w:ind w:left="560"/>
      </w:pPr>
      <w:r>
        <w:rPr>
          <w:spacing w:val="-6"/>
        </w:rPr>
        <w:t>应描述软件设计采用的设计、验证方法，工作产品的主要内容。</w:t>
      </w:r>
    </w:p>
    <w:p w14:paraId="304B9CC4">
      <w:pPr>
        <w:spacing w:before="85" w:line="221"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b/>
          <w:bCs/>
          <w:spacing w:val="2"/>
          <w:sz w:val="27"/>
          <w:szCs w:val="27"/>
        </w:rPr>
        <w:t>5</w:t>
      </w:r>
      <w:r>
        <w:rPr>
          <w:rFonts w:ascii="黑体" w:hAnsi="黑体" w:eastAsia="黑体" w:cs="黑体"/>
          <w:spacing w:val="2"/>
          <w:sz w:val="27"/>
          <w:szCs w:val="27"/>
        </w:rPr>
        <w:t xml:space="preserve">  </w:t>
      </w:r>
      <w:r>
        <w:rPr>
          <w:rFonts w:ascii="黑体" w:hAnsi="黑体" w:eastAsia="黑体" w:cs="黑体"/>
          <w:b/>
          <w:bCs/>
          <w:spacing w:val="2"/>
          <w:sz w:val="27"/>
          <w:szCs w:val="27"/>
        </w:rPr>
        <w:t>软件实现和单元测试</w:t>
      </w:r>
    </w:p>
    <w:p w14:paraId="25CD98D5">
      <w:pPr>
        <w:pStyle w:val="2"/>
        <w:spacing w:before="91" w:line="219" w:lineRule="auto"/>
        <w:ind w:left="560"/>
      </w:pPr>
      <w:r>
        <w:rPr>
          <w:spacing w:val="-1"/>
        </w:rPr>
        <w:t>应描述软件实现和单元测试采用的方法、测试结</w:t>
      </w:r>
      <w:r>
        <w:rPr>
          <w:spacing w:val="-2"/>
        </w:rPr>
        <w:t>论。</w:t>
      </w:r>
    </w:p>
    <w:p w14:paraId="4D9337DC">
      <w:pPr>
        <w:spacing w:before="75" w:line="221" w:lineRule="auto"/>
        <w:rPr>
          <w:rFonts w:ascii="黑体" w:hAnsi="黑体" w:eastAsia="黑体" w:cs="黑体"/>
          <w:sz w:val="27"/>
          <w:szCs w:val="27"/>
        </w:rPr>
      </w:pPr>
      <w:r>
        <w:rPr>
          <w:rFonts w:ascii="黑体" w:hAnsi="黑体" w:eastAsia="黑体" w:cs="黑体"/>
          <w:spacing w:val="-1"/>
          <w:sz w:val="27"/>
          <w:szCs w:val="27"/>
        </w:rPr>
        <w:t>4.6</w:t>
      </w:r>
      <w:r>
        <w:rPr>
          <w:rFonts w:ascii="黑体" w:hAnsi="黑体" w:eastAsia="黑体" w:cs="黑体"/>
          <w:spacing w:val="21"/>
          <w:sz w:val="27"/>
          <w:szCs w:val="27"/>
        </w:rPr>
        <w:t xml:space="preserve">  </w:t>
      </w:r>
      <w:r>
        <w:rPr>
          <w:rFonts w:ascii="黑体" w:hAnsi="黑体" w:eastAsia="黑体" w:cs="黑体"/>
          <w:b/>
          <w:bCs/>
          <w:spacing w:val="-1"/>
          <w:sz w:val="27"/>
          <w:szCs w:val="27"/>
        </w:rPr>
        <w:t>软件集成与测试</w:t>
      </w:r>
    </w:p>
    <w:p w14:paraId="5EA49192">
      <w:pPr>
        <w:pStyle w:val="2"/>
        <w:spacing w:before="102" w:line="219" w:lineRule="auto"/>
        <w:ind w:left="560"/>
      </w:pPr>
      <w:r>
        <w:rPr>
          <w:spacing w:val="-3"/>
        </w:rPr>
        <w:t>应描述软件集成与测试采用的方法、测试结论。</w:t>
      </w:r>
    </w:p>
    <w:p w14:paraId="10393441">
      <w:pPr>
        <w:spacing w:before="75" w:line="221" w:lineRule="auto"/>
        <w:rPr>
          <w:rFonts w:ascii="黑体" w:hAnsi="黑体" w:eastAsia="黑体" w:cs="黑体"/>
          <w:sz w:val="28"/>
          <w:szCs w:val="28"/>
        </w:rPr>
      </w:pPr>
      <w:r>
        <w:rPr>
          <w:rFonts w:ascii="黑体" w:hAnsi="黑体" w:eastAsia="黑体" w:cs="黑体"/>
          <w:spacing w:val="-8"/>
          <w:sz w:val="28"/>
          <w:szCs w:val="28"/>
        </w:rPr>
        <w:t xml:space="preserve">4.7  </w:t>
      </w:r>
      <w:r>
        <w:rPr>
          <w:rFonts w:ascii="Times New Roman" w:hAnsi="Times New Roman" w:eastAsia="Times New Roman" w:cs="Times New Roman"/>
          <w:b/>
          <w:bCs/>
          <w:spacing w:val="-8"/>
          <w:sz w:val="28"/>
          <w:szCs w:val="28"/>
        </w:rPr>
        <w:t xml:space="preserve">CSCI </w:t>
      </w:r>
      <w:r>
        <w:rPr>
          <w:rFonts w:ascii="黑体" w:hAnsi="黑体" w:eastAsia="黑体" w:cs="黑体"/>
          <w:b/>
          <w:bCs/>
          <w:spacing w:val="-8"/>
          <w:sz w:val="28"/>
          <w:szCs w:val="28"/>
        </w:rPr>
        <w:t>合格性测试</w:t>
      </w:r>
    </w:p>
    <w:p w14:paraId="7D6C4E5A">
      <w:pPr>
        <w:pStyle w:val="2"/>
        <w:spacing w:before="89" w:line="219" w:lineRule="auto"/>
        <w:ind w:left="560"/>
      </w:pPr>
      <w:r>
        <w:t>应描述</w:t>
      </w:r>
      <w:r>
        <w:rPr>
          <w:rFonts w:ascii="Times New Roman" w:hAnsi="Times New Roman" w:eastAsia="Times New Roman" w:cs="Times New Roman"/>
        </w:rPr>
        <w:t>CSCI</w:t>
      </w:r>
      <w:r>
        <w:rPr>
          <w:rFonts w:ascii="Times New Roman" w:hAnsi="Times New Roman" w:eastAsia="Times New Roman" w:cs="Times New Roman"/>
          <w:spacing w:val="33"/>
          <w:w w:val="101"/>
        </w:rPr>
        <w:t xml:space="preserve"> </w:t>
      </w:r>
      <w:r>
        <w:t>合格性测试采用的方法、测试结论。</w:t>
      </w:r>
    </w:p>
    <w:p w14:paraId="7C108AC5">
      <w:pPr>
        <w:spacing w:before="85" w:line="221" w:lineRule="auto"/>
        <w:rPr>
          <w:rFonts w:ascii="黑体" w:hAnsi="黑体" w:eastAsia="黑体" w:cs="黑体"/>
          <w:sz w:val="27"/>
          <w:szCs w:val="27"/>
        </w:rPr>
      </w:pPr>
      <w:r>
        <w:rPr>
          <w:rFonts w:ascii="黑体" w:hAnsi="黑体" w:eastAsia="黑体" w:cs="黑体"/>
          <w:spacing w:val="2"/>
          <w:sz w:val="27"/>
          <w:szCs w:val="27"/>
        </w:rPr>
        <w:t xml:space="preserve">4.8  </w:t>
      </w:r>
      <w:r>
        <w:rPr>
          <w:rFonts w:ascii="Times New Roman" w:hAnsi="Times New Roman" w:eastAsia="Times New Roman" w:cs="Times New Roman"/>
          <w:b/>
          <w:bCs/>
          <w:sz w:val="27"/>
          <w:szCs w:val="27"/>
        </w:rPr>
        <w:t>CSCI</w:t>
      </w:r>
      <w:r>
        <w:rPr>
          <w:rFonts w:ascii="Times New Roman" w:hAnsi="Times New Roman" w:eastAsia="Times New Roman" w:cs="Times New Roman"/>
          <w:b/>
          <w:bCs/>
          <w:spacing w:val="2"/>
          <w:sz w:val="27"/>
          <w:szCs w:val="27"/>
        </w:rPr>
        <w:t>/</w:t>
      </w:r>
      <w:r>
        <w:rPr>
          <w:rFonts w:ascii="Times New Roman" w:hAnsi="Times New Roman" w:eastAsia="Times New Roman" w:cs="Times New Roman"/>
          <w:b/>
          <w:bCs/>
          <w:sz w:val="27"/>
          <w:szCs w:val="27"/>
        </w:rPr>
        <w:t>HWCI</w:t>
      </w:r>
      <w:r>
        <w:rPr>
          <w:rFonts w:ascii="Times New Roman" w:hAnsi="Times New Roman" w:eastAsia="Times New Roman" w:cs="Times New Roman"/>
          <w:b/>
          <w:bCs/>
          <w:spacing w:val="-22"/>
          <w:sz w:val="27"/>
          <w:szCs w:val="27"/>
        </w:rPr>
        <w:t xml:space="preserve"> </w:t>
      </w:r>
      <w:r>
        <w:rPr>
          <w:rFonts w:ascii="黑体" w:hAnsi="黑体" w:eastAsia="黑体" w:cs="黑体"/>
          <w:b/>
          <w:bCs/>
          <w:spacing w:val="2"/>
          <w:sz w:val="27"/>
          <w:szCs w:val="27"/>
        </w:rPr>
        <w:t>集成和测试</w:t>
      </w:r>
    </w:p>
    <w:p w14:paraId="6EE943C3">
      <w:pPr>
        <w:pStyle w:val="2"/>
        <w:spacing w:before="102" w:line="219" w:lineRule="auto"/>
        <w:ind w:left="560"/>
      </w:pPr>
      <w:r>
        <w:t>应描述</w:t>
      </w:r>
      <w:r>
        <w:rPr>
          <w:rFonts w:ascii="Times New Roman" w:hAnsi="Times New Roman" w:eastAsia="Times New Roman" w:cs="Times New Roman"/>
        </w:rPr>
        <w:t xml:space="preserve">CSCI/HWCI   </w:t>
      </w:r>
      <w:r>
        <w:t>集成和测试采用的方法、测试结论。</w:t>
      </w:r>
    </w:p>
    <w:p w14:paraId="3C6A1042">
      <w:pPr>
        <w:spacing w:before="87" w:line="222" w:lineRule="auto"/>
        <w:rPr>
          <w:rFonts w:ascii="黑体" w:hAnsi="黑体" w:eastAsia="黑体" w:cs="黑体"/>
          <w:sz w:val="25"/>
          <w:szCs w:val="25"/>
        </w:rPr>
      </w:pPr>
      <w:r>
        <w:rPr>
          <w:rFonts w:ascii="黑体" w:hAnsi="黑体" w:eastAsia="黑体" w:cs="黑体"/>
          <w:spacing w:val="-5"/>
          <w:sz w:val="25"/>
          <w:szCs w:val="25"/>
        </w:rPr>
        <w:t>4.9</w:t>
      </w:r>
      <w:r>
        <w:rPr>
          <w:rFonts w:ascii="黑体" w:hAnsi="黑体" w:eastAsia="黑体" w:cs="黑体"/>
          <w:spacing w:val="37"/>
          <w:sz w:val="25"/>
          <w:szCs w:val="25"/>
        </w:rPr>
        <w:t xml:space="preserve">  </w:t>
      </w:r>
      <w:r>
        <w:rPr>
          <w:rFonts w:ascii="黑体" w:hAnsi="黑体" w:eastAsia="黑体" w:cs="黑体"/>
          <w:b/>
          <w:bCs/>
          <w:spacing w:val="-5"/>
          <w:sz w:val="25"/>
          <w:szCs w:val="25"/>
        </w:rPr>
        <w:t>其</w:t>
      </w:r>
      <w:r>
        <w:rPr>
          <w:rFonts w:ascii="黑体" w:hAnsi="黑体" w:eastAsia="黑体" w:cs="黑体"/>
          <w:spacing w:val="-47"/>
          <w:sz w:val="25"/>
          <w:szCs w:val="25"/>
        </w:rPr>
        <w:t xml:space="preserve"> </w:t>
      </w:r>
      <w:r>
        <w:rPr>
          <w:rFonts w:ascii="黑体" w:hAnsi="黑体" w:eastAsia="黑体" w:cs="黑体"/>
          <w:b/>
          <w:bCs/>
          <w:spacing w:val="-5"/>
          <w:sz w:val="25"/>
          <w:szCs w:val="25"/>
        </w:rPr>
        <w:t>他</w:t>
      </w:r>
    </w:p>
    <w:p w14:paraId="1F37BC10">
      <w:pPr>
        <w:pStyle w:val="2"/>
        <w:spacing w:before="93" w:line="282" w:lineRule="auto"/>
        <w:ind w:right="113" w:firstLine="560"/>
      </w:pPr>
      <w:r>
        <w:rPr>
          <w:spacing w:val="5"/>
        </w:rPr>
        <w:t>应描述需方试验试用、随所属设备或系统参加考核试验等阶段工作过程的</w:t>
      </w:r>
      <w:r>
        <w:t xml:space="preserve"> </w:t>
      </w:r>
      <w:r>
        <w:rPr>
          <w:spacing w:val="-1"/>
        </w:rPr>
        <w:t>主要活动。</w:t>
      </w:r>
    </w:p>
    <w:p w14:paraId="2E6AE036">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4"/>
          <w:sz w:val="27"/>
          <w:szCs w:val="27"/>
        </w:rPr>
        <w:t xml:space="preserve">   </w:t>
      </w:r>
      <w:r>
        <w:rPr>
          <w:rFonts w:ascii="黑体" w:hAnsi="黑体" w:eastAsia="黑体" w:cs="黑体"/>
          <w:b/>
          <w:bCs/>
          <w:spacing w:val="-1"/>
          <w:sz w:val="27"/>
          <w:szCs w:val="27"/>
        </w:rPr>
        <w:t>软件满足任务指标情况</w:t>
      </w:r>
    </w:p>
    <w:p w14:paraId="46AA0EBF">
      <w:pPr>
        <w:pStyle w:val="2"/>
        <w:spacing w:before="81" w:line="283" w:lineRule="auto"/>
        <w:ind w:right="84" w:firstLine="560"/>
      </w:pPr>
      <w:r>
        <w:rPr>
          <w:spacing w:val="6"/>
        </w:rPr>
        <w:t>本条应说明软件任务所要求的功能和性能指标，并根据软件测评和</w:t>
      </w:r>
      <w:r>
        <w:rPr>
          <w:spacing w:val="5"/>
        </w:rPr>
        <w:t>软件试</w:t>
      </w:r>
      <w:r>
        <w:t xml:space="preserve"> </w:t>
      </w:r>
      <w:r>
        <w:rPr>
          <w:spacing w:val="-5"/>
        </w:rPr>
        <w:t>验的结果，逐项说明指标的满足情况。</w:t>
      </w:r>
    </w:p>
    <w:p w14:paraId="496474A9">
      <w:pPr>
        <w:spacing w:line="222"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20"/>
          <w:sz w:val="27"/>
          <w:szCs w:val="27"/>
        </w:rPr>
        <w:t xml:space="preserve">  </w:t>
      </w:r>
      <w:r>
        <w:rPr>
          <w:rFonts w:ascii="黑体" w:hAnsi="黑体" w:eastAsia="黑体" w:cs="黑体"/>
          <w:b/>
          <w:bCs/>
          <w:spacing w:val="-1"/>
          <w:sz w:val="27"/>
          <w:szCs w:val="27"/>
        </w:rPr>
        <w:t>质量保证情况</w:t>
      </w:r>
    </w:p>
    <w:p w14:paraId="3FD9F331">
      <w:pPr>
        <w:spacing w:before="84" w:line="222" w:lineRule="auto"/>
        <w:rPr>
          <w:rFonts w:ascii="黑体" w:hAnsi="黑体" w:eastAsia="黑体" w:cs="黑体"/>
          <w:sz w:val="27"/>
          <w:szCs w:val="27"/>
        </w:rPr>
      </w:pPr>
      <w:r>
        <w:rPr>
          <w:rFonts w:ascii="黑体" w:hAnsi="黑体" w:eastAsia="黑体" w:cs="黑体"/>
          <w:sz w:val="27"/>
          <w:szCs w:val="27"/>
        </w:rPr>
        <w:t>6.1</w:t>
      </w:r>
      <w:r>
        <w:rPr>
          <w:rFonts w:ascii="黑体" w:hAnsi="黑体" w:eastAsia="黑体" w:cs="黑体"/>
          <w:spacing w:val="21"/>
          <w:sz w:val="27"/>
          <w:szCs w:val="27"/>
        </w:rPr>
        <w:t xml:space="preserve">  </w:t>
      </w:r>
      <w:r>
        <w:rPr>
          <w:rFonts w:ascii="黑体" w:hAnsi="黑体" w:eastAsia="黑体" w:cs="黑体"/>
          <w:b/>
          <w:bCs/>
          <w:sz w:val="27"/>
          <w:szCs w:val="27"/>
        </w:rPr>
        <w:t>质量保证措施实施情况</w:t>
      </w:r>
    </w:p>
    <w:p w14:paraId="578297FC">
      <w:pPr>
        <w:pStyle w:val="2"/>
        <w:spacing w:before="119" w:line="219" w:lineRule="auto"/>
        <w:ind w:left="560"/>
      </w:pPr>
      <w:r>
        <w:rPr>
          <w:spacing w:val="-4"/>
        </w:rPr>
        <w:t>本条应描述质量保证措施实施情况，包括：质量保证组织的成立、质量保证</w:t>
      </w:r>
    </w:p>
    <w:p w14:paraId="02291FFC">
      <w:pPr>
        <w:spacing w:line="219" w:lineRule="auto"/>
        <w:sectPr>
          <w:footerReference r:id="rId269" w:type="default"/>
          <w:pgSz w:w="11910" w:h="17130"/>
          <w:pgMar w:top="1456" w:right="904" w:bottom="1701" w:left="1529" w:header="0" w:footer="1387" w:gutter="0"/>
          <w:cols w:space="720" w:num="1"/>
        </w:sectPr>
      </w:pPr>
    </w:p>
    <w:p w14:paraId="7C97B36A">
      <w:pPr>
        <w:pStyle w:val="2"/>
        <w:spacing w:before="54" w:line="219" w:lineRule="auto"/>
      </w:pPr>
      <w:r>
        <w:rPr>
          <w:spacing w:val="4"/>
        </w:rPr>
        <w:t>制度的建立以及软件研制各个阶段中的各项质量保证活动等。</w:t>
      </w:r>
    </w:p>
    <w:p w14:paraId="32CFD8EB">
      <w:pPr>
        <w:spacing w:before="95" w:line="222" w:lineRule="auto"/>
        <w:rPr>
          <w:rFonts w:ascii="黑体" w:hAnsi="黑体" w:eastAsia="黑体" w:cs="黑体"/>
          <w:sz w:val="27"/>
          <w:szCs w:val="27"/>
        </w:rPr>
      </w:pPr>
      <w:r>
        <w:rPr>
          <w:rFonts w:ascii="黑体" w:hAnsi="黑体" w:eastAsia="黑体" w:cs="黑体"/>
          <w:spacing w:val="2"/>
          <w:sz w:val="27"/>
          <w:szCs w:val="27"/>
        </w:rPr>
        <w:t xml:space="preserve">6.2  </w:t>
      </w:r>
      <w:r>
        <w:rPr>
          <w:rFonts w:ascii="黑体" w:hAnsi="黑体" w:eastAsia="黑体" w:cs="黑体"/>
          <w:b/>
          <w:bCs/>
          <w:spacing w:val="2"/>
          <w:sz w:val="27"/>
          <w:szCs w:val="27"/>
        </w:rPr>
        <w:t>软件重大技术质量问题和解决情况</w:t>
      </w:r>
    </w:p>
    <w:p w14:paraId="63571A72">
      <w:pPr>
        <w:pStyle w:val="2"/>
        <w:spacing w:before="58" w:line="282" w:lineRule="auto"/>
        <w:ind w:right="16" w:firstLine="550"/>
        <w:jc w:val="both"/>
      </w:pPr>
      <w:r>
        <w:rPr>
          <w:spacing w:val="-11"/>
        </w:rPr>
        <w:t>本条应描述软件重大技术质量问题和解决情况，包括：联试、考核试验、需方</w:t>
      </w:r>
      <w:r>
        <w:rPr>
          <w:spacing w:val="13"/>
        </w:rPr>
        <w:t xml:space="preserve"> </w:t>
      </w:r>
      <w:r>
        <w:rPr>
          <w:spacing w:val="-10"/>
        </w:rPr>
        <w:t>试用、软件测评过程中暴露出的主要问题，说明故障现象、故障产生的机理、解决</w:t>
      </w:r>
      <w:r>
        <w:rPr>
          <w:spacing w:val="9"/>
        </w:rPr>
        <w:t xml:space="preserve"> </w:t>
      </w:r>
      <w:r>
        <w:rPr>
          <w:spacing w:val="-12"/>
        </w:rPr>
        <w:t>措施、验证情况等。</w:t>
      </w:r>
    </w:p>
    <w:p w14:paraId="10882A00">
      <w:pPr>
        <w:spacing w:before="29" w:line="223" w:lineRule="auto"/>
        <w:rPr>
          <w:rFonts w:ascii="黑体" w:hAnsi="黑体" w:eastAsia="黑体" w:cs="黑体"/>
          <w:sz w:val="24"/>
          <w:szCs w:val="24"/>
        </w:rPr>
      </w:pPr>
      <w:r>
        <w:rPr>
          <w:rFonts w:ascii="黑体" w:hAnsi="黑体" w:eastAsia="黑体" w:cs="黑体"/>
          <w:spacing w:val="23"/>
          <w:sz w:val="24"/>
          <w:szCs w:val="24"/>
        </w:rPr>
        <w:t>7</w:t>
      </w:r>
      <w:r>
        <w:rPr>
          <w:rFonts w:ascii="黑体" w:hAnsi="黑体" w:eastAsia="黑体" w:cs="黑体"/>
          <w:spacing w:val="44"/>
          <w:sz w:val="24"/>
          <w:szCs w:val="24"/>
        </w:rPr>
        <w:t xml:space="preserve">  </w:t>
      </w:r>
      <w:r>
        <w:rPr>
          <w:rFonts w:ascii="黑体" w:hAnsi="黑体" w:eastAsia="黑体" w:cs="黑体"/>
          <w:b/>
          <w:bCs/>
          <w:spacing w:val="23"/>
          <w:sz w:val="24"/>
          <w:szCs w:val="24"/>
        </w:rPr>
        <w:t>配置管理情况</w:t>
      </w:r>
    </w:p>
    <w:p w14:paraId="161CC051">
      <w:pPr>
        <w:spacing w:before="90" w:line="222" w:lineRule="auto"/>
        <w:rPr>
          <w:rFonts w:ascii="黑体" w:hAnsi="黑体" w:eastAsia="黑体" w:cs="黑体"/>
          <w:sz w:val="27"/>
          <w:szCs w:val="27"/>
        </w:rPr>
      </w:pPr>
      <w:r>
        <w:rPr>
          <w:rFonts w:ascii="黑体" w:hAnsi="黑体" w:eastAsia="黑体" w:cs="黑体"/>
          <w:spacing w:val="-1"/>
          <w:sz w:val="27"/>
          <w:szCs w:val="27"/>
        </w:rPr>
        <w:t>7.1</w:t>
      </w:r>
      <w:r>
        <w:rPr>
          <w:rFonts w:ascii="黑体" w:hAnsi="黑体" w:eastAsia="黑体" w:cs="黑体"/>
          <w:spacing w:val="26"/>
          <w:sz w:val="27"/>
          <w:szCs w:val="27"/>
        </w:rPr>
        <w:t xml:space="preserve">  </w:t>
      </w:r>
      <w:r>
        <w:rPr>
          <w:rFonts w:ascii="黑体" w:hAnsi="黑体" w:eastAsia="黑体" w:cs="黑体"/>
          <w:b/>
          <w:bCs/>
          <w:spacing w:val="-1"/>
          <w:sz w:val="27"/>
          <w:szCs w:val="27"/>
        </w:rPr>
        <w:t>软件配置管理要求</w:t>
      </w:r>
    </w:p>
    <w:p w14:paraId="343BDF80">
      <w:pPr>
        <w:pStyle w:val="2"/>
        <w:spacing w:before="78" w:line="279" w:lineRule="auto"/>
        <w:ind w:right="5" w:firstLine="550"/>
      </w:pPr>
      <w:r>
        <w:rPr>
          <w:spacing w:val="24"/>
        </w:rPr>
        <w:t>本条应说明需方对软件配置管理的要求以及分承制对软件配置管理的</w:t>
      </w:r>
      <w:r>
        <w:rPr>
          <w:spacing w:val="10"/>
        </w:rPr>
        <w:t xml:space="preserve"> </w:t>
      </w:r>
      <w:r>
        <w:rPr>
          <w:spacing w:val="-4"/>
        </w:rPr>
        <w:t>要求。</w:t>
      </w:r>
    </w:p>
    <w:p w14:paraId="06E2CAC2">
      <w:pPr>
        <w:spacing w:before="1" w:line="221" w:lineRule="auto"/>
        <w:rPr>
          <w:rFonts w:ascii="黑体" w:hAnsi="黑体" w:eastAsia="黑体" w:cs="黑体"/>
          <w:sz w:val="27"/>
          <w:szCs w:val="27"/>
        </w:rPr>
      </w:pPr>
      <w:r>
        <w:rPr>
          <w:rFonts w:ascii="黑体" w:hAnsi="黑体" w:eastAsia="黑体" w:cs="黑体"/>
          <w:spacing w:val="1"/>
          <w:sz w:val="27"/>
          <w:szCs w:val="27"/>
        </w:rPr>
        <w:t>7.2</w:t>
      </w:r>
      <w:r>
        <w:rPr>
          <w:rFonts w:ascii="黑体" w:hAnsi="黑体" w:eastAsia="黑体" w:cs="黑体"/>
          <w:spacing w:val="19"/>
          <w:sz w:val="27"/>
          <w:szCs w:val="27"/>
        </w:rPr>
        <w:t xml:space="preserve">  </w:t>
      </w:r>
      <w:r>
        <w:rPr>
          <w:rFonts w:ascii="黑体" w:hAnsi="黑体" w:eastAsia="黑体" w:cs="黑体"/>
          <w:b/>
          <w:bCs/>
          <w:spacing w:val="1"/>
          <w:sz w:val="27"/>
          <w:szCs w:val="27"/>
        </w:rPr>
        <w:t>软件配置管理实施情况</w:t>
      </w:r>
    </w:p>
    <w:p w14:paraId="05002825">
      <w:pPr>
        <w:pStyle w:val="2"/>
        <w:spacing w:before="98" w:line="273" w:lineRule="auto"/>
        <w:ind w:right="14" w:firstLine="550"/>
        <w:jc w:val="both"/>
      </w:pPr>
      <w:r>
        <w:rPr>
          <w:spacing w:val="6"/>
        </w:rPr>
        <w:t>本条应说明需方、分承制方在研制过程中的软件</w:t>
      </w:r>
      <w:r>
        <w:rPr>
          <w:spacing w:val="5"/>
        </w:rPr>
        <w:t>配置管理制度和措施的落</w:t>
      </w:r>
      <w:r>
        <w:t xml:space="preserve"> </w:t>
      </w:r>
      <w:r>
        <w:rPr>
          <w:spacing w:val="-2"/>
        </w:rPr>
        <w:t>实情况。特别是系统集成和测试、需方试验试用、随所</w:t>
      </w:r>
      <w:r>
        <w:rPr>
          <w:spacing w:val="-3"/>
        </w:rPr>
        <w:t>属设备或系统参加考核试</w:t>
      </w:r>
      <w:r>
        <w:t xml:space="preserve"> </w:t>
      </w:r>
      <w:r>
        <w:rPr>
          <w:spacing w:val="4"/>
        </w:rPr>
        <w:t>验阶段的配置管理工作落实情况。</w:t>
      </w:r>
    </w:p>
    <w:p w14:paraId="3E18721C">
      <w:pPr>
        <w:spacing w:before="1" w:line="221" w:lineRule="auto"/>
        <w:rPr>
          <w:rFonts w:ascii="黑体" w:hAnsi="黑体" w:eastAsia="黑体" w:cs="黑体"/>
          <w:sz w:val="27"/>
          <w:szCs w:val="27"/>
        </w:rPr>
      </w:pPr>
      <w:r>
        <w:rPr>
          <w:rFonts w:ascii="黑体" w:hAnsi="黑体" w:eastAsia="黑体" w:cs="黑体"/>
          <w:spacing w:val="-1"/>
          <w:sz w:val="27"/>
          <w:szCs w:val="27"/>
        </w:rPr>
        <w:t>7.3</w:t>
      </w:r>
      <w:r>
        <w:rPr>
          <w:rFonts w:ascii="黑体" w:hAnsi="黑体" w:eastAsia="黑体" w:cs="黑体"/>
          <w:spacing w:val="22"/>
          <w:sz w:val="27"/>
          <w:szCs w:val="27"/>
        </w:rPr>
        <w:t xml:space="preserve">  </w:t>
      </w:r>
      <w:r>
        <w:rPr>
          <w:rFonts w:ascii="黑体" w:hAnsi="黑体" w:eastAsia="黑体" w:cs="黑体"/>
          <w:b/>
          <w:bCs/>
          <w:spacing w:val="-1"/>
          <w:sz w:val="27"/>
          <w:szCs w:val="27"/>
        </w:rPr>
        <w:t>软件配置状态变更情况</w:t>
      </w:r>
    </w:p>
    <w:p w14:paraId="5E83915E">
      <w:pPr>
        <w:pStyle w:val="2"/>
        <w:spacing w:before="110" w:line="276" w:lineRule="auto"/>
        <w:ind w:right="6" w:firstLine="550"/>
      </w:pPr>
      <w:r>
        <w:rPr>
          <w:spacing w:val="-18"/>
        </w:rPr>
        <w:t>本条应说明软件、文档、数据等配置项版本变更历程，说明每条基线配置情况和</w:t>
      </w:r>
      <w:r>
        <w:rPr>
          <w:spacing w:val="9"/>
        </w:rPr>
        <w:t xml:space="preserve"> </w:t>
      </w:r>
      <w:r>
        <w:rPr>
          <w:spacing w:val="-17"/>
        </w:rPr>
        <w:t>适用条件，并标明软件研制工作结束时，软件各配置项的状态或产品基线的状态。</w:t>
      </w:r>
    </w:p>
    <w:p w14:paraId="2A319AAF">
      <w:pPr>
        <w:spacing w:before="9" w:line="222" w:lineRule="auto"/>
        <w:rPr>
          <w:rFonts w:ascii="黑体" w:hAnsi="黑体" w:eastAsia="黑体" w:cs="黑体"/>
          <w:sz w:val="25"/>
          <w:szCs w:val="25"/>
        </w:rPr>
      </w:pPr>
      <w:r>
        <w:rPr>
          <w:rFonts w:ascii="黑体" w:hAnsi="黑体" w:eastAsia="黑体" w:cs="黑体"/>
          <w:spacing w:val="15"/>
          <w:sz w:val="25"/>
          <w:szCs w:val="25"/>
        </w:rPr>
        <w:t>8</w:t>
      </w:r>
      <w:r>
        <w:rPr>
          <w:rFonts w:ascii="黑体" w:hAnsi="黑体" w:eastAsia="黑体" w:cs="黑体"/>
          <w:spacing w:val="33"/>
          <w:sz w:val="25"/>
          <w:szCs w:val="25"/>
        </w:rPr>
        <w:t xml:space="preserve">  </w:t>
      </w:r>
      <w:r>
        <w:rPr>
          <w:rFonts w:ascii="黑体" w:hAnsi="黑体" w:eastAsia="黑体" w:cs="黑体"/>
          <w:b/>
          <w:bCs/>
          <w:spacing w:val="15"/>
          <w:sz w:val="25"/>
          <w:szCs w:val="25"/>
        </w:rPr>
        <w:t>测量和分析</w:t>
      </w:r>
    </w:p>
    <w:p w14:paraId="40F0091C">
      <w:pPr>
        <w:pStyle w:val="2"/>
        <w:spacing w:before="102" w:line="219" w:lineRule="auto"/>
        <w:ind w:left="550"/>
      </w:pPr>
      <w:r>
        <w:rPr>
          <w:spacing w:val="-1"/>
        </w:rPr>
        <w:t>本条可使用图表给出对开发期间产生的数据汇总和分析，包括：</w:t>
      </w:r>
    </w:p>
    <w:p w14:paraId="7EA0E319">
      <w:pPr>
        <w:pStyle w:val="2"/>
        <w:spacing w:before="92" w:line="212" w:lineRule="auto"/>
        <w:ind w:left="550"/>
        <w:rPr>
          <w:sz w:val="25"/>
          <w:szCs w:val="25"/>
        </w:rPr>
      </w:pPr>
      <w:r>
        <w:rPr>
          <w:rFonts w:ascii="Times New Roman" w:hAnsi="Times New Roman" w:eastAsia="Times New Roman" w:cs="Times New Roman"/>
          <w:spacing w:val="8"/>
          <w:sz w:val="25"/>
          <w:szCs w:val="25"/>
        </w:rPr>
        <w:t xml:space="preserve">a)  </w:t>
      </w:r>
      <w:r>
        <w:rPr>
          <w:spacing w:val="8"/>
          <w:sz w:val="25"/>
          <w:szCs w:val="25"/>
        </w:rPr>
        <w:t>进度执行情况的数据，如按时、提前或</w:t>
      </w:r>
      <w:r>
        <w:rPr>
          <w:spacing w:val="7"/>
          <w:sz w:val="25"/>
          <w:szCs w:val="25"/>
        </w:rPr>
        <w:t>延迟，以及原因；</w:t>
      </w:r>
    </w:p>
    <w:p w14:paraId="4217D733">
      <w:pPr>
        <w:pStyle w:val="2"/>
        <w:spacing w:before="92" w:line="212" w:lineRule="auto"/>
        <w:ind w:left="550"/>
      </w:pPr>
      <w:r>
        <w:rPr>
          <w:rFonts w:ascii="Times New Roman" w:hAnsi="Times New Roman" w:eastAsia="Times New Roman" w:cs="Times New Roman"/>
          <w:spacing w:val="-3"/>
        </w:rPr>
        <w:t xml:space="preserve">b)  </w:t>
      </w:r>
      <w:r>
        <w:rPr>
          <w:spacing w:val="-3"/>
        </w:rPr>
        <w:t>费用使用情况，如计划费用与实际费用；</w:t>
      </w:r>
    </w:p>
    <w:p w14:paraId="3A0A83B5">
      <w:pPr>
        <w:pStyle w:val="2"/>
        <w:spacing w:before="121" w:line="253" w:lineRule="auto"/>
        <w:ind w:right="5" w:firstLine="550"/>
      </w:pPr>
      <w:r>
        <w:rPr>
          <w:rFonts w:ascii="Times New Roman" w:hAnsi="Times New Roman" w:eastAsia="Times New Roman" w:cs="Times New Roman"/>
          <w:spacing w:val="-1"/>
        </w:rPr>
        <w:t xml:space="preserve">c)  </w:t>
      </w:r>
      <w:r>
        <w:rPr>
          <w:spacing w:val="-1"/>
        </w:rPr>
        <w:t>工作量情况，如计划工作量和实际工作量(开发、配置管理、质量保证或</w:t>
      </w:r>
      <w:r>
        <w:rPr>
          <w:spacing w:val="16"/>
        </w:rPr>
        <w:t xml:space="preserve"> </w:t>
      </w:r>
      <w:r>
        <w:rPr>
          <w:spacing w:val="6"/>
        </w:rPr>
        <w:t>按阶段统计);</w:t>
      </w:r>
    </w:p>
    <w:p w14:paraId="7C235BDE">
      <w:pPr>
        <w:pStyle w:val="2"/>
        <w:spacing w:before="79" w:line="212" w:lineRule="auto"/>
        <w:ind w:left="550"/>
      </w:pPr>
      <w:r>
        <w:rPr>
          <w:rFonts w:ascii="Times New Roman" w:hAnsi="Times New Roman" w:eastAsia="Times New Roman" w:cs="Times New Roman"/>
          <w:spacing w:val="-6"/>
        </w:rPr>
        <w:t xml:space="preserve">d)  </w:t>
      </w:r>
      <w:r>
        <w:rPr>
          <w:spacing w:val="-6"/>
        </w:rPr>
        <w:t>生产效率，如程序的平均生产率，文档的平均生产率；</w:t>
      </w:r>
    </w:p>
    <w:p w14:paraId="771244EF">
      <w:pPr>
        <w:pStyle w:val="2"/>
        <w:spacing w:before="99" w:line="251" w:lineRule="auto"/>
        <w:ind w:firstLine="550"/>
      </w:pPr>
      <w:r>
        <w:rPr>
          <w:rFonts w:ascii="Times New Roman" w:hAnsi="Times New Roman" w:eastAsia="Times New Roman" w:cs="Times New Roman"/>
          <w:spacing w:val="-4"/>
        </w:rPr>
        <w:t xml:space="preserve">e)  </w:t>
      </w:r>
      <w:r>
        <w:rPr>
          <w:spacing w:val="-4"/>
        </w:rPr>
        <w:t>产品质量，如设计、编码、测试等阶段的错误率，或缺陷分布</w:t>
      </w:r>
      <w:r>
        <w:rPr>
          <w:spacing w:val="-5"/>
        </w:rPr>
        <w:t>情况，原因</w:t>
      </w:r>
      <w:r>
        <w:t xml:space="preserve"> </w:t>
      </w:r>
      <w:r>
        <w:rPr>
          <w:spacing w:val="-4"/>
        </w:rPr>
        <w:t>分析。</w:t>
      </w:r>
    </w:p>
    <w:p w14:paraId="7BF25179">
      <w:pPr>
        <w:spacing w:before="77" w:line="226" w:lineRule="auto"/>
        <w:rPr>
          <w:rFonts w:ascii="黑体" w:hAnsi="黑体" w:eastAsia="黑体" w:cs="黑体"/>
          <w:sz w:val="25"/>
          <w:szCs w:val="25"/>
        </w:rPr>
      </w:pPr>
      <w:r>
        <w:rPr>
          <w:rFonts w:ascii="黑体" w:hAnsi="黑体" w:eastAsia="黑体" w:cs="黑体"/>
          <w:spacing w:val="7"/>
          <w:sz w:val="25"/>
          <w:szCs w:val="25"/>
        </w:rPr>
        <w:t>9</w:t>
      </w:r>
      <w:r>
        <w:rPr>
          <w:rFonts w:ascii="黑体" w:hAnsi="黑体" w:eastAsia="黑体" w:cs="黑体"/>
          <w:spacing w:val="31"/>
          <w:sz w:val="25"/>
          <w:szCs w:val="25"/>
        </w:rPr>
        <w:t xml:space="preserve">  </w:t>
      </w:r>
      <w:r>
        <w:rPr>
          <w:rFonts w:ascii="黑体" w:hAnsi="黑体" w:eastAsia="黑体" w:cs="黑体"/>
          <w:b/>
          <w:bCs/>
          <w:spacing w:val="7"/>
          <w:sz w:val="25"/>
          <w:szCs w:val="25"/>
        </w:rPr>
        <w:t>结论</w:t>
      </w:r>
    </w:p>
    <w:p w14:paraId="25749D0B">
      <w:pPr>
        <w:pStyle w:val="2"/>
        <w:spacing w:before="123" w:line="272" w:lineRule="auto"/>
        <w:ind w:right="35" w:firstLine="550"/>
      </w:pPr>
      <w:r>
        <w:rPr>
          <w:spacing w:val="5"/>
        </w:rPr>
        <w:t>本条应评述软件工程化实施情况，说明软件功能和性能指标是否满足软件</w:t>
      </w:r>
      <w:r>
        <w:t xml:space="preserve"> </w:t>
      </w:r>
      <w:r>
        <w:rPr>
          <w:spacing w:val="-1"/>
        </w:rPr>
        <w:t>任务的要求，给出软件是否可以交付需方使用的结论。</w:t>
      </w:r>
    </w:p>
    <w:p w14:paraId="671CE0CB">
      <w:pPr>
        <w:spacing w:before="1" w:line="221" w:lineRule="auto"/>
        <w:rPr>
          <w:rFonts w:ascii="黑体" w:hAnsi="黑体" w:eastAsia="黑体" w:cs="黑体"/>
          <w:sz w:val="25"/>
          <w:szCs w:val="25"/>
        </w:rPr>
      </w:pPr>
      <w:r>
        <w:rPr>
          <w:rFonts w:ascii="黑体" w:hAnsi="黑体" w:eastAsia="黑体" w:cs="黑体"/>
          <w:spacing w:val="-2"/>
          <w:sz w:val="25"/>
          <w:szCs w:val="25"/>
        </w:rPr>
        <w:t>10</w:t>
      </w:r>
      <w:r>
        <w:rPr>
          <w:rFonts w:ascii="黑体" w:hAnsi="黑体" w:eastAsia="黑体" w:cs="黑体"/>
          <w:spacing w:val="39"/>
          <w:sz w:val="25"/>
          <w:szCs w:val="25"/>
        </w:rPr>
        <w:t xml:space="preserve">  </w:t>
      </w:r>
      <w:r>
        <w:rPr>
          <w:rFonts w:ascii="黑体" w:hAnsi="黑体" w:eastAsia="黑体" w:cs="黑体"/>
          <w:b/>
          <w:bCs/>
          <w:spacing w:val="-2"/>
          <w:sz w:val="25"/>
          <w:szCs w:val="25"/>
        </w:rPr>
        <w:t>注释</w:t>
      </w:r>
    </w:p>
    <w:p w14:paraId="50674CDA">
      <w:pPr>
        <w:pStyle w:val="2"/>
        <w:spacing w:before="143" w:line="219" w:lineRule="auto"/>
        <w:ind w:right="38"/>
        <w:jc w:val="right"/>
      </w:pPr>
      <w:r>
        <w:rPr>
          <w:spacing w:val="-3"/>
        </w:rPr>
        <w:t>本章应包括有助于了解文档的所有信息(例如背景、</w:t>
      </w:r>
      <w:r>
        <w:rPr>
          <w:spacing w:val="-4"/>
        </w:rPr>
        <w:t>术语、缩略语或公式)。</w:t>
      </w:r>
    </w:p>
    <w:p w14:paraId="50011FAA">
      <w:pPr>
        <w:spacing w:line="307" w:lineRule="auto"/>
        <w:rPr>
          <w:rFonts w:ascii="Arial"/>
          <w:sz w:val="21"/>
        </w:rPr>
      </w:pPr>
    </w:p>
    <w:p w14:paraId="677C12A4">
      <w:pPr>
        <w:pStyle w:val="2"/>
        <w:spacing w:before="118" w:line="218" w:lineRule="auto"/>
        <w:ind w:left="2690"/>
        <w:outlineLvl w:val="1"/>
        <w:rPr>
          <w:sz w:val="36"/>
          <w:szCs w:val="36"/>
        </w:rPr>
      </w:pPr>
      <w:r>
        <w:rPr>
          <w:rFonts w:ascii="Times New Roman" w:hAnsi="Times New Roman" w:eastAsia="Times New Roman" w:cs="Times New Roman"/>
          <w:b/>
          <w:bCs/>
          <w:spacing w:val="2"/>
          <w:sz w:val="36"/>
          <w:szCs w:val="36"/>
        </w:rPr>
        <w:t xml:space="preserve">2.27     </w:t>
      </w:r>
      <w:r>
        <w:rPr>
          <w:b/>
          <w:bCs/>
          <w:spacing w:val="2"/>
          <w:sz w:val="36"/>
          <w:szCs w:val="36"/>
        </w:rPr>
        <w:t>软件配置管理报告</w:t>
      </w:r>
    </w:p>
    <w:p w14:paraId="641FBD56">
      <w:pPr>
        <w:spacing w:line="333" w:lineRule="auto"/>
        <w:rPr>
          <w:rFonts w:ascii="Arial"/>
          <w:sz w:val="21"/>
        </w:rPr>
      </w:pPr>
    </w:p>
    <w:p w14:paraId="34E706A6">
      <w:pPr>
        <w:pStyle w:val="2"/>
        <w:spacing w:before="92" w:line="225" w:lineRule="auto"/>
        <w:ind w:left="550"/>
        <w:rPr>
          <w:rFonts w:ascii="楷体" w:hAnsi="楷体" w:eastAsia="楷体" w:cs="楷体"/>
          <w:sz w:val="28"/>
          <w:szCs w:val="28"/>
        </w:rPr>
      </w:pPr>
      <w:r>
        <w:rPr>
          <w:rFonts w:ascii="楷体" w:hAnsi="楷体" w:eastAsia="楷体" w:cs="楷体"/>
          <w:spacing w:val="-13"/>
          <w:sz w:val="28"/>
          <w:szCs w:val="28"/>
        </w:rPr>
        <w:t>按照</w:t>
      </w:r>
      <w:r>
        <w:rPr>
          <w:rFonts w:ascii="楷体" w:hAnsi="楷体" w:eastAsia="楷体" w:cs="楷体"/>
          <w:spacing w:val="-65"/>
          <w:sz w:val="28"/>
          <w:szCs w:val="28"/>
        </w:rPr>
        <w:t xml:space="preserve"> </w:t>
      </w:r>
      <w:r>
        <w:rPr>
          <w:rFonts w:ascii="Times New Roman" w:hAnsi="Times New Roman" w:eastAsia="Times New Roman" w:cs="Times New Roman"/>
          <w:spacing w:val="-13"/>
          <w:sz w:val="28"/>
          <w:szCs w:val="28"/>
        </w:rPr>
        <w:t>GJB 438B—2009</w:t>
      </w:r>
      <w:r>
        <w:rPr>
          <w:spacing w:val="-13"/>
          <w:sz w:val="28"/>
          <w:szCs w:val="28"/>
        </w:rPr>
        <w:t>《</w:t>
      </w:r>
      <w:r>
        <w:rPr>
          <w:rFonts w:ascii="楷体" w:hAnsi="楷体" w:eastAsia="楷体" w:cs="楷体"/>
          <w:spacing w:val="-13"/>
          <w:sz w:val="28"/>
          <w:szCs w:val="28"/>
        </w:rPr>
        <w:t>军用软件开发文档通用要求》编写。</w:t>
      </w:r>
    </w:p>
    <w:p w14:paraId="24A30013">
      <w:pPr>
        <w:spacing w:line="225" w:lineRule="auto"/>
        <w:rPr>
          <w:rFonts w:ascii="楷体" w:hAnsi="楷体" w:eastAsia="楷体" w:cs="楷体"/>
          <w:sz w:val="28"/>
          <w:szCs w:val="28"/>
        </w:rPr>
        <w:sectPr>
          <w:footerReference r:id="rId270" w:type="default"/>
          <w:pgSz w:w="11910" w:h="17130"/>
          <w:pgMar w:top="1426" w:right="1572" w:bottom="1683" w:left="949" w:header="0" w:footer="1485" w:gutter="0"/>
          <w:cols w:space="720" w:num="1"/>
        </w:sectPr>
      </w:pPr>
    </w:p>
    <w:p w14:paraId="3F14F5E2">
      <w:pPr>
        <w:spacing w:before="102"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1"/>
          <w:sz w:val="27"/>
          <w:szCs w:val="27"/>
        </w:rPr>
        <w:t xml:space="preserve">  </w:t>
      </w:r>
      <w:r>
        <w:rPr>
          <w:rFonts w:ascii="黑体" w:hAnsi="黑体" w:eastAsia="黑体" w:cs="黑体"/>
          <w:b/>
          <w:bCs/>
          <w:spacing w:val="-4"/>
          <w:sz w:val="27"/>
          <w:szCs w:val="27"/>
        </w:rPr>
        <w:t>范围</w:t>
      </w:r>
    </w:p>
    <w:p w14:paraId="478729BE">
      <w:pPr>
        <w:spacing w:before="73" w:line="222" w:lineRule="auto"/>
        <w:rPr>
          <w:rFonts w:ascii="黑体" w:hAnsi="黑体" w:eastAsia="黑体" w:cs="黑体"/>
          <w:sz w:val="27"/>
          <w:szCs w:val="27"/>
        </w:rPr>
      </w:pPr>
      <w:r>
        <w:rPr>
          <w:rFonts w:ascii="黑体" w:hAnsi="黑体" w:eastAsia="黑体" w:cs="黑体"/>
          <w:spacing w:val="-9"/>
          <w:sz w:val="27"/>
          <w:szCs w:val="27"/>
        </w:rPr>
        <w:t>1.1</w:t>
      </w:r>
      <w:r>
        <w:rPr>
          <w:rFonts w:ascii="黑体" w:hAnsi="黑体" w:eastAsia="黑体" w:cs="黑体"/>
          <w:spacing w:val="27"/>
          <w:sz w:val="27"/>
          <w:szCs w:val="27"/>
        </w:rPr>
        <w:t xml:space="preserve">  </w:t>
      </w:r>
      <w:r>
        <w:rPr>
          <w:rFonts w:ascii="黑体" w:hAnsi="黑体" w:eastAsia="黑体" w:cs="黑体"/>
          <w:b/>
          <w:bCs/>
          <w:spacing w:val="-9"/>
          <w:sz w:val="27"/>
          <w:szCs w:val="27"/>
        </w:rPr>
        <w:t>标识</w:t>
      </w:r>
    </w:p>
    <w:p w14:paraId="57496DB5">
      <w:pPr>
        <w:pStyle w:val="2"/>
        <w:spacing w:before="77" w:line="289" w:lineRule="auto"/>
        <w:ind w:right="98" w:firstLine="550"/>
      </w:pPr>
      <w:r>
        <w:rPr>
          <w:spacing w:val="6"/>
        </w:rPr>
        <w:t>本条应描述本文档所适用的系统和软件的完整标识，适用</w:t>
      </w:r>
      <w:r>
        <w:rPr>
          <w:spacing w:val="5"/>
        </w:rPr>
        <w:t>时，包括其标识</w:t>
      </w:r>
      <w:r>
        <w:t xml:space="preserve"> </w:t>
      </w:r>
      <w:r>
        <w:rPr>
          <w:spacing w:val="-20"/>
        </w:rPr>
        <w:t>号、名称、缩略名、版本号和发布号。</w:t>
      </w:r>
    </w:p>
    <w:p w14:paraId="3F6659C3">
      <w:pPr>
        <w:spacing w:before="1" w:line="220" w:lineRule="auto"/>
        <w:rPr>
          <w:rFonts w:ascii="黑体" w:hAnsi="黑体" w:eastAsia="黑体" w:cs="黑体"/>
          <w:sz w:val="24"/>
          <w:szCs w:val="24"/>
        </w:rPr>
      </w:pPr>
      <w:r>
        <w:rPr>
          <w:rFonts w:ascii="黑体" w:hAnsi="黑体" w:eastAsia="黑体" w:cs="黑体"/>
          <w:spacing w:val="9"/>
          <w:sz w:val="24"/>
          <w:szCs w:val="24"/>
        </w:rPr>
        <w:t>1.2</w:t>
      </w:r>
      <w:r>
        <w:rPr>
          <w:rFonts w:ascii="黑体" w:hAnsi="黑体" w:eastAsia="黑体" w:cs="黑体"/>
          <w:spacing w:val="6"/>
          <w:sz w:val="24"/>
          <w:szCs w:val="24"/>
        </w:rPr>
        <w:t xml:space="preserve">   </w:t>
      </w:r>
      <w:r>
        <w:rPr>
          <w:rFonts w:ascii="黑体" w:hAnsi="黑体" w:eastAsia="黑体" w:cs="黑体"/>
          <w:b/>
          <w:bCs/>
          <w:spacing w:val="9"/>
          <w:sz w:val="24"/>
          <w:szCs w:val="24"/>
        </w:rPr>
        <w:t>系统概述</w:t>
      </w:r>
    </w:p>
    <w:p w14:paraId="5436B24D">
      <w:pPr>
        <w:pStyle w:val="2"/>
        <w:spacing w:before="98" w:line="277" w:lineRule="auto"/>
        <w:ind w:right="93" w:firstLine="550"/>
        <w:jc w:val="both"/>
      </w:pPr>
      <w:r>
        <w:rPr>
          <w:spacing w:val="6"/>
        </w:rPr>
        <w:t>本条应概述本文档所适用的系统和软件的用途。它还应描述系统与软</w:t>
      </w:r>
      <w:r>
        <w:rPr>
          <w:spacing w:val="5"/>
        </w:rPr>
        <w:t>件的</w:t>
      </w:r>
      <w:r>
        <w:t xml:space="preserve"> </w:t>
      </w:r>
      <w:r>
        <w:rPr>
          <w:spacing w:val="-9"/>
        </w:rPr>
        <w:t>一般特性；概述系统开发、运行和维护的历史</w:t>
      </w:r>
      <w:r>
        <w:rPr>
          <w:spacing w:val="-10"/>
        </w:rPr>
        <w:t>；标识项目的需方、用户、开发方和</w:t>
      </w:r>
      <w:r>
        <w:t xml:space="preserve"> </w:t>
      </w:r>
      <w:r>
        <w:rPr>
          <w:spacing w:val="-5"/>
        </w:rPr>
        <w:t>保障机构等；标识当前和计划的运行现场；列出其他有关文档。</w:t>
      </w:r>
    </w:p>
    <w:p w14:paraId="7AB4BF5B">
      <w:pPr>
        <w:spacing w:before="1" w:line="220" w:lineRule="auto"/>
        <w:rPr>
          <w:rFonts w:ascii="黑体" w:hAnsi="黑体" w:eastAsia="黑体" w:cs="黑体"/>
          <w:sz w:val="27"/>
          <w:szCs w:val="27"/>
        </w:rPr>
      </w:pPr>
      <w:r>
        <w:rPr>
          <w:rFonts w:ascii="黑体" w:hAnsi="黑体" w:eastAsia="黑体" w:cs="黑体"/>
          <w:spacing w:val="-7"/>
          <w:sz w:val="27"/>
          <w:szCs w:val="27"/>
        </w:rPr>
        <w:t>1.3</w:t>
      </w:r>
      <w:r>
        <w:rPr>
          <w:rFonts w:ascii="黑体" w:hAnsi="黑体" w:eastAsia="黑体" w:cs="黑体"/>
          <w:spacing w:val="32"/>
          <w:sz w:val="27"/>
          <w:szCs w:val="27"/>
        </w:rPr>
        <w:t xml:space="preserve">  </w:t>
      </w:r>
      <w:r>
        <w:rPr>
          <w:rFonts w:ascii="黑体" w:hAnsi="黑体" w:eastAsia="黑体" w:cs="黑体"/>
          <w:b/>
          <w:bCs/>
          <w:spacing w:val="-7"/>
          <w:sz w:val="27"/>
          <w:szCs w:val="27"/>
        </w:rPr>
        <w:t>文档概述</w:t>
      </w:r>
    </w:p>
    <w:p w14:paraId="48A21ADA">
      <w:pPr>
        <w:pStyle w:val="2"/>
        <w:spacing w:before="91" w:line="222" w:lineRule="auto"/>
        <w:ind w:left="550"/>
        <w:rPr>
          <w:rFonts w:ascii="仿宋" w:hAnsi="仿宋" w:eastAsia="仿宋" w:cs="仿宋"/>
        </w:rPr>
      </w:pPr>
      <w:r>
        <w:t>本条应概括本文档的用途和内容，并描述与其使用有关的保密性</w:t>
      </w:r>
      <w:r>
        <w:rPr>
          <w:rFonts w:ascii="仿宋" w:hAnsi="仿宋" w:eastAsia="仿宋" w:cs="仿宋"/>
        </w:rPr>
        <w:t>考虑。</w:t>
      </w:r>
    </w:p>
    <w:p w14:paraId="2A984F35">
      <w:pPr>
        <w:spacing w:before="71" w:line="222" w:lineRule="auto"/>
        <w:rPr>
          <w:rFonts w:ascii="黑体" w:hAnsi="黑体" w:eastAsia="黑体" w:cs="黑体"/>
          <w:sz w:val="27"/>
          <w:szCs w:val="27"/>
        </w:rPr>
      </w:pPr>
      <w:r>
        <w:rPr>
          <w:rFonts w:ascii="黑体" w:hAnsi="黑体" w:eastAsia="黑体" w:cs="黑体"/>
          <w:sz w:val="27"/>
          <w:szCs w:val="27"/>
        </w:rPr>
        <w:t xml:space="preserve">2  </w:t>
      </w:r>
      <w:r>
        <w:rPr>
          <w:rFonts w:ascii="黑体" w:hAnsi="黑体" w:eastAsia="黑体" w:cs="黑体"/>
          <w:b/>
          <w:bCs/>
          <w:sz w:val="27"/>
          <w:szCs w:val="27"/>
        </w:rPr>
        <w:t>引用文档</w:t>
      </w:r>
    </w:p>
    <w:p w14:paraId="1E5138DB">
      <w:pPr>
        <w:pStyle w:val="2"/>
        <w:spacing w:before="111" w:line="268" w:lineRule="auto"/>
        <w:ind w:right="101" w:firstLine="550"/>
      </w:pPr>
      <w:r>
        <w:rPr>
          <w:spacing w:val="-11"/>
        </w:rPr>
        <w:t>本章应列出引用文档的编号、标题、编写单位、修订版及日期，还应标识不能</w:t>
      </w:r>
      <w:r>
        <w:rPr>
          <w:spacing w:val="16"/>
        </w:rPr>
        <w:t xml:space="preserve"> </w:t>
      </w:r>
      <w:r>
        <w:rPr>
          <w:spacing w:val="3"/>
        </w:rPr>
        <w:t>通过正常采购活动得到的文档的来源。</w:t>
      </w:r>
    </w:p>
    <w:p w14:paraId="5B2D5943">
      <w:pPr>
        <w:spacing w:before="10" w:line="222" w:lineRule="auto"/>
        <w:outlineLvl w:val="3"/>
        <w:rPr>
          <w:rFonts w:ascii="黑体" w:hAnsi="黑体" w:eastAsia="黑体" w:cs="黑体"/>
          <w:sz w:val="27"/>
          <w:szCs w:val="27"/>
        </w:rPr>
      </w:pPr>
      <w:r>
        <w:rPr>
          <w:rFonts w:ascii="Arial" w:hAnsi="Arial" w:eastAsia="Arial" w:cs="Arial"/>
          <w:b/>
          <w:bCs/>
          <w:spacing w:val="-1"/>
          <w:sz w:val="27"/>
          <w:szCs w:val="27"/>
        </w:rPr>
        <w:t>3</w:t>
      </w:r>
      <w:r>
        <w:rPr>
          <w:rFonts w:ascii="Arial" w:hAnsi="Arial" w:eastAsia="Arial" w:cs="Arial"/>
          <w:b/>
          <w:bCs/>
          <w:spacing w:val="14"/>
          <w:sz w:val="27"/>
          <w:szCs w:val="27"/>
        </w:rPr>
        <w:t xml:space="preserve">   </w:t>
      </w:r>
      <w:r>
        <w:rPr>
          <w:rFonts w:ascii="黑体" w:hAnsi="黑体" w:eastAsia="黑体" w:cs="黑体"/>
          <w:b/>
          <w:bCs/>
          <w:spacing w:val="-1"/>
          <w:sz w:val="27"/>
          <w:szCs w:val="27"/>
        </w:rPr>
        <w:t>软件配置管理情况综述</w:t>
      </w:r>
    </w:p>
    <w:p w14:paraId="7470C9FD">
      <w:pPr>
        <w:pStyle w:val="2"/>
        <w:spacing w:before="88" w:line="280" w:lineRule="auto"/>
        <w:ind w:right="105" w:firstLine="550"/>
        <w:jc w:val="both"/>
      </w:pPr>
      <w:r>
        <w:rPr>
          <w:spacing w:val="-3"/>
        </w:rPr>
        <w:t>本章应描述软件配置管理活动进展，与软件配置管理计划的偏差；软件配置</w:t>
      </w:r>
      <w:r>
        <w:rPr>
          <w:spacing w:val="7"/>
        </w:rPr>
        <w:t xml:space="preserve"> </w:t>
      </w:r>
      <w:r>
        <w:rPr>
          <w:spacing w:val="-3"/>
        </w:rPr>
        <w:t>管理活动与规程是否相符；对不符合项所采取的措施；完成软件配置管理工作的</w:t>
      </w:r>
      <w:r>
        <w:rPr>
          <w:spacing w:val="14"/>
        </w:rPr>
        <w:t xml:space="preserve"> </w:t>
      </w:r>
      <w:r>
        <w:t>工作量等。</w:t>
      </w:r>
    </w:p>
    <w:p w14:paraId="03B52C26">
      <w:pPr>
        <w:spacing w:line="222" w:lineRule="auto"/>
        <w:outlineLvl w:val="3"/>
        <w:rPr>
          <w:rFonts w:ascii="黑体" w:hAnsi="黑体" w:eastAsia="黑体" w:cs="黑体"/>
          <w:sz w:val="27"/>
          <w:szCs w:val="27"/>
        </w:rPr>
      </w:pPr>
      <w:r>
        <w:rPr>
          <w:rFonts w:ascii="Arial" w:hAnsi="Arial" w:eastAsia="Arial" w:cs="Arial"/>
          <w:b/>
          <w:bCs/>
          <w:sz w:val="27"/>
          <w:szCs w:val="27"/>
        </w:rPr>
        <w:t>4</w:t>
      </w:r>
      <w:r>
        <w:rPr>
          <w:rFonts w:ascii="Arial" w:hAnsi="Arial" w:eastAsia="Arial" w:cs="Arial"/>
          <w:b/>
          <w:bCs/>
          <w:spacing w:val="11"/>
          <w:sz w:val="27"/>
          <w:szCs w:val="27"/>
        </w:rPr>
        <w:t xml:space="preserve">   </w:t>
      </w:r>
      <w:r>
        <w:rPr>
          <w:rFonts w:ascii="黑体" w:hAnsi="黑体" w:eastAsia="黑体" w:cs="黑体"/>
          <w:b/>
          <w:bCs/>
          <w:sz w:val="27"/>
          <w:szCs w:val="27"/>
        </w:rPr>
        <w:t>软件配置管理基本信息</w:t>
      </w:r>
    </w:p>
    <w:p w14:paraId="209FC089">
      <w:pPr>
        <w:pStyle w:val="2"/>
        <w:spacing w:before="99" w:line="272" w:lineRule="auto"/>
        <w:ind w:right="105" w:firstLine="550"/>
      </w:pPr>
      <w:r>
        <w:rPr>
          <w:spacing w:val="-3"/>
        </w:rPr>
        <w:t>本章应概述软件配置管理的基本信息，包括项目负责人、各级软件配置管理</w:t>
      </w:r>
      <w:r>
        <w:rPr>
          <w:spacing w:val="7"/>
        </w:rPr>
        <w:t xml:space="preserve"> </w:t>
      </w:r>
      <w:r>
        <w:rPr>
          <w:spacing w:val="-3"/>
        </w:rPr>
        <w:t>机构组成人员和负责人、软件配置管理所用的资源(如计算机、软件和工具)等。</w:t>
      </w:r>
    </w:p>
    <w:p w14:paraId="51E61889">
      <w:pPr>
        <w:spacing w:before="1" w:line="222"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14"/>
          <w:sz w:val="27"/>
          <w:szCs w:val="27"/>
        </w:rPr>
        <w:t xml:space="preserve">   </w:t>
      </w:r>
      <w:r>
        <w:rPr>
          <w:rFonts w:ascii="黑体" w:hAnsi="黑体" w:eastAsia="黑体" w:cs="黑体"/>
          <w:b/>
          <w:bCs/>
          <w:spacing w:val="-1"/>
          <w:sz w:val="27"/>
          <w:szCs w:val="27"/>
        </w:rPr>
        <w:t>专业组划分及权限分配</w:t>
      </w:r>
    </w:p>
    <w:p w14:paraId="5F25BDB3">
      <w:pPr>
        <w:pStyle w:val="2"/>
        <w:spacing w:before="107" w:line="272" w:lineRule="auto"/>
        <w:ind w:right="115" w:firstLine="550"/>
        <w:jc w:val="both"/>
      </w:pPr>
      <w:r>
        <w:rPr>
          <w:spacing w:val="-3"/>
        </w:rPr>
        <w:t>本章应列出项目专业组的划分、各专业组的成员以及各成员的权限分</w:t>
      </w:r>
      <w:r>
        <w:rPr>
          <w:spacing w:val="-4"/>
        </w:rPr>
        <w:t>配，如</w:t>
      </w:r>
      <w:r>
        <w:t xml:space="preserve"> </w:t>
      </w:r>
      <w:r>
        <w:rPr>
          <w:spacing w:val="-10"/>
        </w:rPr>
        <w:t>专业组可分为项目负责人、开发组、测试组、质量保证组、</w:t>
      </w:r>
      <w:r>
        <w:rPr>
          <w:spacing w:val="-11"/>
        </w:rPr>
        <w:t>配置管理组等，权限可</w:t>
      </w:r>
      <w:r>
        <w:t xml:space="preserve"> </w:t>
      </w:r>
      <w:r>
        <w:rPr>
          <w:spacing w:val="-23"/>
        </w:rPr>
        <w:t>分为读出、增加、替换、删除等。</w:t>
      </w:r>
    </w:p>
    <w:p w14:paraId="60BA6BF9">
      <w:pPr>
        <w:spacing w:before="22" w:line="222" w:lineRule="auto"/>
        <w:rPr>
          <w:rFonts w:ascii="黑体" w:hAnsi="黑体" w:eastAsia="黑体" w:cs="黑体"/>
          <w:sz w:val="25"/>
          <w:szCs w:val="25"/>
        </w:rPr>
      </w:pPr>
      <w:r>
        <w:rPr>
          <w:rFonts w:ascii="黑体" w:hAnsi="黑体" w:eastAsia="黑体" w:cs="黑体"/>
          <w:spacing w:val="17"/>
          <w:sz w:val="25"/>
          <w:szCs w:val="25"/>
        </w:rPr>
        <w:t>6</w:t>
      </w:r>
      <w:r>
        <w:rPr>
          <w:rFonts w:ascii="黑体" w:hAnsi="黑体" w:eastAsia="黑体" w:cs="黑体"/>
          <w:spacing w:val="18"/>
          <w:sz w:val="25"/>
          <w:szCs w:val="25"/>
        </w:rPr>
        <w:t xml:space="preserve">  </w:t>
      </w:r>
      <w:r>
        <w:rPr>
          <w:rFonts w:ascii="黑体" w:hAnsi="黑体" w:eastAsia="黑体" w:cs="黑体"/>
          <w:b/>
          <w:bCs/>
          <w:spacing w:val="17"/>
          <w:sz w:val="25"/>
          <w:szCs w:val="25"/>
        </w:rPr>
        <w:t>配置项记录</w:t>
      </w:r>
    </w:p>
    <w:p w14:paraId="0F592085">
      <w:pPr>
        <w:pStyle w:val="2"/>
        <w:spacing w:before="114" w:line="275" w:lineRule="auto"/>
        <w:ind w:firstLine="550"/>
        <w:jc w:val="both"/>
      </w:pPr>
      <w:r>
        <w:t>本章应列出项目的所有配置项，包括配置项目名称、配置项最后发布日期、</w:t>
      </w:r>
      <w:r>
        <w:rPr>
          <w:spacing w:val="14"/>
        </w:rPr>
        <w:t xml:space="preserve"> </w:t>
      </w:r>
      <w:r>
        <w:rPr>
          <w:spacing w:val="-3"/>
        </w:rPr>
        <w:t>配置项控制力度(控制力度可分为基线管理、非基线管理(受到管理和控制))、配</w:t>
      </w:r>
      <w:r>
        <w:rPr>
          <w:spacing w:val="5"/>
        </w:rPr>
        <w:t xml:space="preserve">  </w:t>
      </w:r>
      <w:r>
        <w:rPr>
          <w:spacing w:val="-2"/>
        </w:rPr>
        <w:t>置项版本变更历史、配置项变更累计次数等</w:t>
      </w:r>
      <w:r>
        <w:rPr>
          <w:spacing w:val="-3"/>
        </w:rPr>
        <w:t>内容。</w:t>
      </w:r>
    </w:p>
    <w:p w14:paraId="4A1E36F5">
      <w:pPr>
        <w:spacing w:before="1" w:line="221" w:lineRule="auto"/>
        <w:rPr>
          <w:rFonts w:ascii="黑体" w:hAnsi="黑体" w:eastAsia="黑体" w:cs="黑体"/>
          <w:sz w:val="27"/>
          <w:szCs w:val="27"/>
        </w:rPr>
      </w:pPr>
      <w:r>
        <w:rPr>
          <w:rFonts w:ascii="黑体" w:hAnsi="黑体" w:eastAsia="黑体" w:cs="黑体"/>
          <w:spacing w:val="-1"/>
          <w:sz w:val="27"/>
          <w:szCs w:val="27"/>
        </w:rPr>
        <w:t xml:space="preserve">7  </w:t>
      </w:r>
      <w:r>
        <w:rPr>
          <w:rFonts w:ascii="黑体" w:hAnsi="黑体" w:eastAsia="黑体" w:cs="黑体"/>
          <w:b/>
          <w:bCs/>
          <w:spacing w:val="-1"/>
          <w:sz w:val="27"/>
          <w:szCs w:val="27"/>
        </w:rPr>
        <w:t>变更记录</w:t>
      </w:r>
    </w:p>
    <w:p w14:paraId="5DA54B65">
      <w:pPr>
        <w:pStyle w:val="2"/>
        <w:spacing w:before="110" w:line="271" w:lineRule="auto"/>
        <w:ind w:right="103" w:firstLine="550"/>
      </w:pPr>
      <w:r>
        <w:rPr>
          <w:spacing w:val="-3"/>
        </w:rPr>
        <w:t>本章应列出软件研制过程中的所有变更，包括变更申请单号、变更时间、变</w:t>
      </w:r>
      <w:r>
        <w:rPr>
          <w:spacing w:val="9"/>
        </w:rPr>
        <w:t xml:space="preserve"> </w:t>
      </w:r>
      <w:r>
        <w:rPr>
          <w:spacing w:val="-14"/>
        </w:rPr>
        <w:t>更内容、变更申请人、批准人、变更实施人等内容。</w:t>
      </w:r>
    </w:p>
    <w:p w14:paraId="420E8AC2">
      <w:pPr>
        <w:spacing w:before="1" w:line="219" w:lineRule="auto"/>
        <w:rPr>
          <w:rFonts w:ascii="黑体" w:hAnsi="黑体" w:eastAsia="黑体" w:cs="黑体"/>
          <w:sz w:val="27"/>
          <w:szCs w:val="27"/>
        </w:rPr>
      </w:pPr>
      <w:r>
        <w:rPr>
          <w:rFonts w:ascii="黑体" w:hAnsi="黑体" w:eastAsia="黑体" w:cs="黑体"/>
          <w:spacing w:val="-4"/>
          <w:sz w:val="27"/>
          <w:szCs w:val="27"/>
        </w:rPr>
        <w:t xml:space="preserve">8  </w:t>
      </w:r>
      <w:r>
        <w:rPr>
          <w:rFonts w:ascii="黑体" w:hAnsi="黑体" w:eastAsia="黑体" w:cs="黑体"/>
          <w:b/>
          <w:bCs/>
          <w:spacing w:val="-4"/>
          <w:sz w:val="27"/>
          <w:szCs w:val="27"/>
        </w:rPr>
        <w:t>基线记录</w:t>
      </w:r>
    </w:p>
    <w:p w14:paraId="1F1F6A12">
      <w:pPr>
        <w:pStyle w:val="2"/>
        <w:spacing w:before="116" w:line="282" w:lineRule="auto"/>
        <w:ind w:right="116" w:firstLine="550"/>
      </w:pPr>
      <w:r>
        <w:rPr>
          <w:spacing w:val="-3"/>
        </w:rPr>
        <w:t>本章应列出项目的所有基线，包括基线名称、基线最后一版发布日</w:t>
      </w:r>
      <w:r>
        <w:rPr>
          <w:spacing w:val="-4"/>
        </w:rPr>
        <w:t>期、基线</w:t>
      </w:r>
      <w:r>
        <w:t xml:space="preserve"> </w:t>
      </w:r>
      <w:r>
        <w:rPr>
          <w:spacing w:val="-4"/>
        </w:rPr>
        <w:t>版本变更历史、基线变更累计次数、最后一版基线的内容及版本号等内容。</w:t>
      </w:r>
    </w:p>
    <w:p w14:paraId="20FAB0D4">
      <w:pPr>
        <w:spacing w:line="282" w:lineRule="auto"/>
        <w:sectPr>
          <w:footerReference r:id="rId271" w:type="default"/>
          <w:pgSz w:w="11910" w:h="17130"/>
          <w:pgMar w:top="1456" w:right="954" w:bottom="1640" w:left="1480" w:header="0" w:footer="1354" w:gutter="0"/>
          <w:cols w:space="720" w:num="1"/>
        </w:sectPr>
      </w:pPr>
    </w:p>
    <w:p w14:paraId="50DDFE25">
      <w:pPr>
        <w:spacing w:before="89" w:line="222" w:lineRule="auto"/>
        <w:rPr>
          <w:rFonts w:ascii="黑体" w:hAnsi="黑体" w:eastAsia="黑体" w:cs="黑体"/>
          <w:sz w:val="25"/>
          <w:szCs w:val="25"/>
        </w:rPr>
      </w:pPr>
      <w:r>
        <w:rPr>
          <w:rFonts w:ascii="黑体" w:hAnsi="黑体" w:eastAsia="黑体" w:cs="黑体"/>
          <w:spacing w:val="16"/>
          <w:sz w:val="25"/>
          <w:szCs w:val="25"/>
        </w:rPr>
        <w:t>9</w:t>
      </w:r>
      <w:r>
        <w:rPr>
          <w:rFonts w:ascii="黑体" w:hAnsi="黑体" w:eastAsia="黑体" w:cs="黑体"/>
          <w:spacing w:val="21"/>
          <w:sz w:val="25"/>
          <w:szCs w:val="25"/>
        </w:rPr>
        <w:t xml:space="preserve">  </w:t>
      </w:r>
      <w:r>
        <w:rPr>
          <w:rFonts w:ascii="黑体" w:hAnsi="黑体" w:eastAsia="黑体" w:cs="黑体"/>
          <w:b/>
          <w:bCs/>
          <w:spacing w:val="16"/>
          <w:sz w:val="25"/>
          <w:szCs w:val="25"/>
        </w:rPr>
        <w:t>入库记录</w:t>
      </w:r>
    </w:p>
    <w:p w14:paraId="1A7B3AD4">
      <w:pPr>
        <w:pStyle w:val="2"/>
        <w:spacing w:before="73" w:line="303" w:lineRule="auto"/>
        <w:ind w:right="149" w:firstLine="539"/>
      </w:pPr>
      <w:r>
        <w:rPr>
          <w:spacing w:val="-11"/>
        </w:rPr>
        <w:t>本章应列出配置项的入库记录，包括入库时间、人</w:t>
      </w:r>
      <w:r>
        <w:rPr>
          <w:spacing w:val="-12"/>
        </w:rPr>
        <w:t>库单号、入库原因、入库申</w:t>
      </w:r>
      <w:r>
        <w:t xml:space="preserve"> 请人和批准人等。</w:t>
      </w:r>
    </w:p>
    <w:p w14:paraId="30E142CA">
      <w:pPr>
        <w:spacing w:line="221" w:lineRule="auto"/>
        <w:rPr>
          <w:rFonts w:ascii="黑体" w:hAnsi="黑体" w:eastAsia="黑体" w:cs="黑体"/>
          <w:sz w:val="25"/>
          <w:szCs w:val="25"/>
        </w:rPr>
      </w:pPr>
      <w:r>
        <w:rPr>
          <w:rFonts w:ascii="黑体" w:hAnsi="黑体" w:eastAsia="黑体" w:cs="黑体"/>
          <w:spacing w:val="12"/>
          <w:sz w:val="25"/>
          <w:szCs w:val="25"/>
        </w:rPr>
        <w:t>10</w:t>
      </w:r>
      <w:r>
        <w:rPr>
          <w:rFonts w:ascii="黑体" w:hAnsi="黑体" w:eastAsia="黑体" w:cs="黑体"/>
          <w:spacing w:val="33"/>
          <w:sz w:val="25"/>
          <w:szCs w:val="25"/>
        </w:rPr>
        <w:t xml:space="preserve">  </w:t>
      </w:r>
      <w:r>
        <w:rPr>
          <w:rFonts w:ascii="黑体" w:hAnsi="黑体" w:eastAsia="黑体" w:cs="黑体"/>
          <w:b/>
          <w:bCs/>
          <w:spacing w:val="12"/>
          <w:sz w:val="25"/>
          <w:szCs w:val="25"/>
        </w:rPr>
        <w:t>出库记录</w:t>
      </w:r>
    </w:p>
    <w:p w14:paraId="1CF47D8D">
      <w:pPr>
        <w:pStyle w:val="2"/>
        <w:spacing w:before="62" w:line="300" w:lineRule="auto"/>
        <w:ind w:right="123" w:firstLine="539"/>
      </w:pPr>
      <w:r>
        <w:rPr>
          <w:spacing w:val="-11"/>
        </w:rPr>
        <w:t>本章应列出配置项的出库记录，包括出库时间、出库单号、出库原因、批准人</w:t>
      </w:r>
      <w:r>
        <w:rPr>
          <w:spacing w:val="14"/>
        </w:rPr>
        <w:t xml:space="preserve"> </w:t>
      </w:r>
      <w:r>
        <w:rPr>
          <w:spacing w:val="-3"/>
        </w:rPr>
        <w:t>和接受人等。</w:t>
      </w:r>
    </w:p>
    <w:p w14:paraId="148BFA39">
      <w:pPr>
        <w:spacing w:before="1" w:line="221" w:lineRule="auto"/>
        <w:rPr>
          <w:rFonts w:ascii="黑体" w:hAnsi="黑体" w:eastAsia="黑体" w:cs="黑体"/>
          <w:sz w:val="27"/>
          <w:szCs w:val="27"/>
        </w:rPr>
      </w:pPr>
      <w:r>
        <w:rPr>
          <w:rFonts w:ascii="黑体" w:hAnsi="黑体" w:eastAsia="黑体" w:cs="黑体"/>
          <w:spacing w:val="-5"/>
          <w:sz w:val="27"/>
          <w:szCs w:val="27"/>
        </w:rPr>
        <w:t>11</w:t>
      </w:r>
      <w:r>
        <w:rPr>
          <w:rFonts w:ascii="黑体" w:hAnsi="黑体" w:eastAsia="黑体" w:cs="黑体"/>
          <w:spacing w:val="14"/>
          <w:sz w:val="27"/>
          <w:szCs w:val="27"/>
        </w:rPr>
        <w:t xml:space="preserve">  </w:t>
      </w:r>
      <w:r>
        <w:rPr>
          <w:rFonts w:ascii="黑体" w:hAnsi="黑体" w:eastAsia="黑体" w:cs="黑体"/>
          <w:b/>
          <w:bCs/>
          <w:spacing w:val="-5"/>
          <w:sz w:val="27"/>
          <w:szCs w:val="27"/>
        </w:rPr>
        <w:t>审核记录</w:t>
      </w:r>
    </w:p>
    <w:p w14:paraId="1915F1B2">
      <w:pPr>
        <w:pStyle w:val="2"/>
        <w:spacing w:before="102" w:line="285" w:lineRule="auto"/>
        <w:ind w:firstLine="539"/>
        <w:jc w:val="both"/>
      </w:pPr>
      <w:r>
        <w:rPr>
          <w:spacing w:val="1"/>
        </w:rPr>
        <w:t xml:space="preserve">本章应列出软件研制过程中所进行的软件配置审核，包括配置审核记录单、 </w:t>
      </w:r>
      <w:r>
        <w:rPr>
          <w:spacing w:val="-3"/>
        </w:rPr>
        <w:t>审核时间、审核人、发现的不合格项数量、已关闭的不合格项数量、其他审核说</w:t>
      </w:r>
      <w:r>
        <w:rPr>
          <w:spacing w:val="7"/>
        </w:rPr>
        <w:t xml:space="preserve">  </w:t>
      </w:r>
      <w:r>
        <w:rPr>
          <w:spacing w:val="-6"/>
        </w:rPr>
        <w:t>明等。</w:t>
      </w:r>
    </w:p>
    <w:p w14:paraId="1E0FA98A">
      <w:pPr>
        <w:spacing w:before="3" w:line="222" w:lineRule="auto"/>
        <w:rPr>
          <w:rFonts w:ascii="黑体" w:hAnsi="黑体" w:eastAsia="黑体" w:cs="黑体"/>
          <w:sz w:val="27"/>
          <w:szCs w:val="27"/>
        </w:rPr>
      </w:pPr>
      <w:r>
        <w:rPr>
          <w:rFonts w:ascii="黑体" w:hAnsi="黑体" w:eastAsia="黑体" w:cs="黑体"/>
          <w:spacing w:val="-2"/>
          <w:sz w:val="27"/>
          <w:szCs w:val="27"/>
        </w:rPr>
        <w:t>12</w:t>
      </w:r>
      <w:r>
        <w:rPr>
          <w:rFonts w:ascii="黑体" w:hAnsi="黑体" w:eastAsia="黑体" w:cs="黑体"/>
          <w:spacing w:val="14"/>
          <w:sz w:val="27"/>
          <w:szCs w:val="27"/>
        </w:rPr>
        <w:t xml:space="preserve">  </w:t>
      </w:r>
      <w:r>
        <w:rPr>
          <w:rFonts w:ascii="黑体" w:hAnsi="黑体" w:eastAsia="黑体" w:cs="黑体"/>
          <w:b/>
          <w:bCs/>
          <w:spacing w:val="-2"/>
          <w:sz w:val="27"/>
          <w:szCs w:val="27"/>
        </w:rPr>
        <w:t>备份记录</w:t>
      </w:r>
    </w:p>
    <w:p w14:paraId="2C801191">
      <w:pPr>
        <w:pStyle w:val="2"/>
        <w:spacing w:before="88" w:line="294" w:lineRule="auto"/>
        <w:ind w:right="122" w:firstLine="539"/>
      </w:pPr>
      <w:r>
        <w:rPr>
          <w:spacing w:val="-3"/>
        </w:rPr>
        <w:t>本章应列出软件研制过程中所做的配置库备份，包括备份时间、备份人、备</w:t>
      </w:r>
      <w:r>
        <w:rPr>
          <w:spacing w:val="10"/>
        </w:rPr>
        <w:t xml:space="preserve"> </w:t>
      </w:r>
      <w:r>
        <w:rPr>
          <w:spacing w:val="-9"/>
        </w:rPr>
        <w:t>份目的地、内容和方式等。</w:t>
      </w:r>
    </w:p>
    <w:p w14:paraId="4A20EC2B">
      <w:pPr>
        <w:spacing w:before="1" w:line="223" w:lineRule="auto"/>
        <w:rPr>
          <w:rFonts w:ascii="黑体" w:hAnsi="黑体" w:eastAsia="黑体" w:cs="黑体"/>
          <w:sz w:val="25"/>
          <w:szCs w:val="25"/>
        </w:rPr>
      </w:pPr>
      <w:r>
        <w:rPr>
          <w:rFonts w:ascii="黑体" w:hAnsi="黑体" w:eastAsia="黑体" w:cs="黑体"/>
          <w:spacing w:val="5"/>
          <w:sz w:val="25"/>
          <w:szCs w:val="25"/>
        </w:rPr>
        <w:t>13</w:t>
      </w:r>
      <w:r>
        <w:rPr>
          <w:rFonts w:ascii="黑体" w:hAnsi="黑体" w:eastAsia="黑体" w:cs="黑体"/>
          <w:spacing w:val="33"/>
          <w:sz w:val="25"/>
          <w:szCs w:val="25"/>
        </w:rPr>
        <w:t xml:space="preserve">  </w:t>
      </w:r>
      <w:r>
        <w:rPr>
          <w:rFonts w:ascii="黑体" w:hAnsi="黑体" w:eastAsia="黑体" w:cs="黑体"/>
          <w:b/>
          <w:bCs/>
          <w:spacing w:val="5"/>
          <w:sz w:val="25"/>
          <w:szCs w:val="25"/>
        </w:rPr>
        <w:t>测量</w:t>
      </w:r>
    </w:p>
    <w:p w14:paraId="1CFFA5FE">
      <w:pPr>
        <w:pStyle w:val="2"/>
        <w:spacing w:before="118" w:line="289" w:lineRule="auto"/>
        <w:ind w:right="116" w:firstLine="539"/>
        <w:jc w:val="both"/>
      </w:pPr>
      <w:r>
        <w:rPr>
          <w:spacing w:val="-3"/>
        </w:rPr>
        <w:t>本章应列出软件配置管理计划的版次数、配置状态记录份数、软件入库单份</w:t>
      </w:r>
      <w:r>
        <w:rPr>
          <w:spacing w:val="9"/>
        </w:rPr>
        <w:t xml:space="preserve"> </w:t>
      </w:r>
      <w:r>
        <w:rPr>
          <w:spacing w:val="-10"/>
        </w:rPr>
        <w:t>数、软件出库单份数、变更申请单份数、被批准的变更申请单份数、配置管理报告</w:t>
      </w:r>
      <w:r>
        <w:rPr>
          <w:spacing w:val="7"/>
        </w:rPr>
        <w:t xml:space="preserve"> </w:t>
      </w:r>
      <w:r>
        <w:rPr>
          <w:spacing w:val="-9"/>
        </w:rPr>
        <w:t>份数、配置审核记录份数、配置管理员工作量等。</w:t>
      </w:r>
    </w:p>
    <w:p w14:paraId="3299113A">
      <w:pPr>
        <w:spacing w:before="18" w:line="222" w:lineRule="auto"/>
        <w:rPr>
          <w:rFonts w:ascii="黑体" w:hAnsi="黑体" w:eastAsia="黑体" w:cs="黑体"/>
          <w:sz w:val="25"/>
          <w:szCs w:val="25"/>
        </w:rPr>
      </w:pPr>
      <w:r>
        <w:rPr>
          <w:rFonts w:ascii="黑体" w:hAnsi="黑体" w:eastAsia="黑体" w:cs="黑体"/>
          <w:spacing w:val="3"/>
          <w:sz w:val="25"/>
          <w:szCs w:val="25"/>
        </w:rPr>
        <w:t>14</w:t>
      </w:r>
      <w:r>
        <w:rPr>
          <w:rFonts w:ascii="黑体" w:hAnsi="黑体" w:eastAsia="黑体" w:cs="黑体"/>
          <w:spacing w:val="33"/>
          <w:sz w:val="25"/>
          <w:szCs w:val="25"/>
        </w:rPr>
        <w:t xml:space="preserve">  </w:t>
      </w:r>
      <w:r>
        <w:rPr>
          <w:rFonts w:ascii="黑体" w:hAnsi="黑体" w:eastAsia="黑体" w:cs="黑体"/>
          <w:b/>
          <w:bCs/>
          <w:spacing w:val="3"/>
          <w:sz w:val="25"/>
          <w:szCs w:val="25"/>
        </w:rPr>
        <w:t>注释</w:t>
      </w:r>
    </w:p>
    <w:p w14:paraId="371ACB19">
      <w:pPr>
        <w:pStyle w:val="2"/>
        <w:spacing w:before="113" w:line="219" w:lineRule="auto"/>
        <w:ind w:left="539"/>
      </w:pPr>
      <w:r>
        <w:rPr>
          <w:spacing w:val="-4"/>
        </w:rPr>
        <w:t>本章应包括有助于了解文档的所有信息(例如背景、术语、缩略语或公式)。</w:t>
      </w:r>
    </w:p>
    <w:p w14:paraId="4145153D">
      <w:pPr>
        <w:spacing w:line="357" w:lineRule="auto"/>
        <w:rPr>
          <w:rFonts w:ascii="Arial"/>
          <w:sz w:val="21"/>
        </w:rPr>
      </w:pPr>
    </w:p>
    <w:p w14:paraId="002790CC">
      <w:pPr>
        <w:pStyle w:val="2"/>
        <w:spacing w:before="118" w:line="218" w:lineRule="auto"/>
        <w:ind w:left="2669"/>
        <w:rPr>
          <w:sz w:val="36"/>
          <w:szCs w:val="36"/>
        </w:rPr>
      </w:pPr>
      <w:r>
        <w:rPr>
          <w:spacing w:val="3"/>
          <w:sz w:val="36"/>
          <w:szCs w:val="36"/>
        </w:rPr>
        <w:t>2.2</w:t>
      </w:r>
      <w:r>
        <w:rPr>
          <w:b/>
          <w:bCs/>
          <w:spacing w:val="3"/>
          <w:sz w:val="36"/>
          <w:szCs w:val="36"/>
        </w:rPr>
        <w:t>8</w:t>
      </w:r>
      <w:r>
        <w:rPr>
          <w:spacing w:val="3"/>
          <w:sz w:val="36"/>
          <w:szCs w:val="36"/>
        </w:rPr>
        <w:t xml:space="preserve">  </w:t>
      </w:r>
      <w:r>
        <w:rPr>
          <w:b/>
          <w:bCs/>
          <w:spacing w:val="3"/>
          <w:sz w:val="36"/>
          <w:szCs w:val="36"/>
        </w:rPr>
        <w:t>软件质量保证报告</w:t>
      </w:r>
    </w:p>
    <w:p w14:paraId="49E65816">
      <w:pPr>
        <w:spacing w:line="333" w:lineRule="auto"/>
        <w:rPr>
          <w:rFonts w:ascii="Arial"/>
          <w:sz w:val="21"/>
        </w:rPr>
      </w:pPr>
    </w:p>
    <w:p w14:paraId="1CCB4D97">
      <w:pPr>
        <w:pStyle w:val="2"/>
        <w:spacing w:before="91" w:line="225" w:lineRule="auto"/>
        <w:ind w:left="539"/>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438B—2009</w:t>
      </w:r>
      <w:r>
        <w:rPr>
          <w:spacing w:val="-10"/>
          <w:sz w:val="28"/>
          <w:szCs w:val="28"/>
        </w:rPr>
        <w:t>《</w:t>
      </w:r>
      <w:r>
        <w:rPr>
          <w:rFonts w:ascii="楷体" w:hAnsi="楷体" w:eastAsia="楷体" w:cs="楷体"/>
          <w:spacing w:val="-10"/>
          <w:sz w:val="28"/>
          <w:szCs w:val="28"/>
        </w:rPr>
        <w:t>军用软件</w:t>
      </w:r>
      <w:r>
        <w:rPr>
          <w:rFonts w:ascii="楷体" w:hAnsi="楷体" w:eastAsia="楷体" w:cs="楷体"/>
          <w:spacing w:val="-11"/>
          <w:sz w:val="28"/>
          <w:szCs w:val="28"/>
        </w:rPr>
        <w:t>开发文档通用要求》编写。</w:t>
      </w:r>
    </w:p>
    <w:p w14:paraId="1DC1ABC1">
      <w:pPr>
        <w:spacing w:before="69"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6"/>
          <w:sz w:val="27"/>
          <w:szCs w:val="27"/>
        </w:rPr>
        <w:t xml:space="preserve">  </w:t>
      </w:r>
      <w:r>
        <w:rPr>
          <w:rFonts w:ascii="黑体" w:hAnsi="黑体" w:eastAsia="黑体" w:cs="黑体"/>
          <w:b/>
          <w:bCs/>
          <w:spacing w:val="-4"/>
          <w:sz w:val="27"/>
          <w:szCs w:val="27"/>
        </w:rPr>
        <w:t>范围</w:t>
      </w:r>
    </w:p>
    <w:p w14:paraId="3BDB39C8">
      <w:pPr>
        <w:spacing w:before="143" w:line="222" w:lineRule="auto"/>
        <w:rPr>
          <w:rFonts w:ascii="黑体" w:hAnsi="黑体" w:eastAsia="黑体" w:cs="黑体"/>
          <w:sz w:val="25"/>
          <w:szCs w:val="25"/>
        </w:rPr>
      </w:pPr>
      <w:r>
        <w:rPr>
          <w:rFonts w:ascii="黑体" w:hAnsi="黑体" w:eastAsia="黑体" w:cs="黑体"/>
          <w:spacing w:val="-7"/>
          <w:sz w:val="25"/>
          <w:szCs w:val="25"/>
        </w:rPr>
        <w:t>1.1</w:t>
      </w:r>
      <w:r>
        <w:rPr>
          <w:rFonts w:ascii="黑体" w:hAnsi="黑体" w:eastAsia="黑体" w:cs="黑体"/>
          <w:spacing w:val="36"/>
          <w:sz w:val="25"/>
          <w:szCs w:val="25"/>
        </w:rPr>
        <w:t xml:space="preserve">  </w:t>
      </w:r>
      <w:r>
        <w:rPr>
          <w:rFonts w:ascii="黑体" w:hAnsi="黑体" w:eastAsia="黑体" w:cs="黑体"/>
          <w:b/>
          <w:bCs/>
          <w:spacing w:val="-7"/>
          <w:sz w:val="25"/>
          <w:szCs w:val="25"/>
        </w:rPr>
        <w:t>标</w:t>
      </w:r>
      <w:r>
        <w:rPr>
          <w:rFonts w:ascii="黑体" w:hAnsi="黑体" w:eastAsia="黑体" w:cs="黑体"/>
          <w:spacing w:val="-57"/>
          <w:sz w:val="25"/>
          <w:szCs w:val="25"/>
        </w:rPr>
        <w:t xml:space="preserve"> </w:t>
      </w:r>
      <w:r>
        <w:rPr>
          <w:rFonts w:ascii="黑体" w:hAnsi="黑体" w:eastAsia="黑体" w:cs="黑体"/>
          <w:b/>
          <w:bCs/>
          <w:spacing w:val="-7"/>
          <w:sz w:val="25"/>
          <w:szCs w:val="25"/>
        </w:rPr>
        <w:t>识</w:t>
      </w:r>
    </w:p>
    <w:p w14:paraId="2F1395F6">
      <w:pPr>
        <w:pStyle w:val="2"/>
        <w:spacing w:before="91" w:line="296" w:lineRule="auto"/>
        <w:ind w:right="29" w:firstLine="539"/>
      </w:pPr>
      <w:r>
        <w:rPr>
          <w:spacing w:val="-8"/>
        </w:rPr>
        <w:t>本条应描述系统和软件的完整标识，适用时，包括其标识号、标题、缩略名、</w:t>
      </w:r>
      <w:r>
        <w:rPr>
          <w:spacing w:val="6"/>
        </w:rPr>
        <w:t xml:space="preserve"> </w:t>
      </w:r>
      <w:r>
        <w:t>版本号和发行号。</w:t>
      </w:r>
    </w:p>
    <w:p w14:paraId="34F65796">
      <w:pPr>
        <w:spacing w:before="10" w:line="221" w:lineRule="auto"/>
        <w:rPr>
          <w:rFonts w:ascii="黑体" w:hAnsi="黑体" w:eastAsia="黑体" w:cs="黑体"/>
          <w:sz w:val="24"/>
          <w:szCs w:val="24"/>
        </w:rPr>
      </w:pPr>
      <w:r>
        <w:rPr>
          <w:rFonts w:ascii="黑体" w:hAnsi="黑体" w:eastAsia="黑体" w:cs="黑体"/>
          <w:spacing w:val="12"/>
          <w:sz w:val="24"/>
          <w:szCs w:val="24"/>
        </w:rPr>
        <w:t>1.2</w:t>
      </w:r>
      <w:r>
        <w:rPr>
          <w:rFonts w:ascii="黑体" w:hAnsi="黑体" w:eastAsia="黑体" w:cs="黑体"/>
          <w:spacing w:val="49"/>
          <w:sz w:val="24"/>
          <w:szCs w:val="24"/>
        </w:rPr>
        <w:t xml:space="preserve">  </w:t>
      </w:r>
      <w:r>
        <w:rPr>
          <w:rFonts w:ascii="黑体" w:hAnsi="黑体" w:eastAsia="黑体" w:cs="黑体"/>
          <w:b/>
          <w:bCs/>
          <w:spacing w:val="12"/>
          <w:sz w:val="24"/>
          <w:szCs w:val="24"/>
        </w:rPr>
        <w:t>系统概述</w:t>
      </w:r>
    </w:p>
    <w:p w14:paraId="1F33A41A">
      <w:pPr>
        <w:pStyle w:val="2"/>
        <w:spacing w:before="139" w:line="279" w:lineRule="auto"/>
        <w:ind w:right="120" w:firstLine="539"/>
        <w:jc w:val="both"/>
      </w:pPr>
      <w:r>
        <w:rPr>
          <w:spacing w:val="6"/>
        </w:rPr>
        <w:t>本条应概述本文档适用的系统和软件的用途。它还应</w:t>
      </w:r>
      <w:r>
        <w:rPr>
          <w:spacing w:val="5"/>
        </w:rPr>
        <w:t>描述系统与软件的一</w:t>
      </w:r>
      <w:r>
        <w:t xml:space="preserve"> </w:t>
      </w:r>
      <w:r>
        <w:rPr>
          <w:spacing w:val="-10"/>
        </w:rPr>
        <w:t>般特性；概述系统开发、运行和维护的历史；标识项目的需方、用户、开发方</w:t>
      </w:r>
      <w:r>
        <w:rPr>
          <w:spacing w:val="-11"/>
        </w:rPr>
        <w:t>和保</w:t>
      </w:r>
      <w:r>
        <w:t xml:space="preserve"> </w:t>
      </w:r>
      <w:r>
        <w:rPr>
          <w:spacing w:val="-6"/>
        </w:rPr>
        <w:t>障机构等；标识当前和计划的运行现场；列</w:t>
      </w:r>
      <w:r>
        <w:rPr>
          <w:spacing w:val="-7"/>
        </w:rPr>
        <w:t>出其他有关文档。</w:t>
      </w:r>
    </w:p>
    <w:p w14:paraId="6A221600">
      <w:pPr>
        <w:spacing w:before="1" w:line="220" w:lineRule="auto"/>
        <w:rPr>
          <w:rFonts w:ascii="黑体" w:hAnsi="黑体" w:eastAsia="黑体" w:cs="黑体"/>
          <w:sz w:val="27"/>
          <w:szCs w:val="27"/>
        </w:rPr>
      </w:pPr>
      <w:r>
        <w:rPr>
          <w:rFonts w:ascii="黑体" w:hAnsi="黑体" w:eastAsia="黑体" w:cs="黑体"/>
          <w:spacing w:val="-7"/>
          <w:sz w:val="27"/>
          <w:szCs w:val="27"/>
        </w:rPr>
        <w:t>1.3</w:t>
      </w:r>
      <w:r>
        <w:rPr>
          <w:rFonts w:ascii="黑体" w:hAnsi="黑体" w:eastAsia="黑体" w:cs="黑体"/>
          <w:spacing w:val="12"/>
          <w:sz w:val="27"/>
          <w:szCs w:val="27"/>
        </w:rPr>
        <w:t xml:space="preserve">  </w:t>
      </w:r>
      <w:r>
        <w:rPr>
          <w:rFonts w:ascii="黑体" w:hAnsi="黑体" w:eastAsia="黑体" w:cs="黑体"/>
          <w:b/>
          <w:bCs/>
          <w:spacing w:val="-7"/>
          <w:sz w:val="27"/>
          <w:szCs w:val="27"/>
        </w:rPr>
        <w:t>文档概述</w:t>
      </w:r>
    </w:p>
    <w:p w14:paraId="462F2A11">
      <w:pPr>
        <w:pStyle w:val="2"/>
        <w:spacing w:before="132" w:line="219" w:lineRule="auto"/>
        <w:ind w:left="539"/>
      </w:pPr>
      <w:r>
        <w:t>本条应概括本文档的用途和内容，并描述与其使用有关的</w:t>
      </w:r>
      <w:r>
        <w:rPr>
          <w:spacing w:val="-1"/>
        </w:rPr>
        <w:t>保密性考虑。</w:t>
      </w:r>
    </w:p>
    <w:p w14:paraId="4789979C">
      <w:pPr>
        <w:spacing w:line="219" w:lineRule="auto"/>
        <w:sectPr>
          <w:footerReference r:id="rId272" w:type="default"/>
          <w:pgSz w:w="11910" w:h="17130"/>
          <w:pgMar w:top="1456" w:right="1375" w:bottom="1653" w:left="1049" w:header="0" w:footer="1455" w:gutter="0"/>
          <w:cols w:space="720" w:num="1"/>
        </w:sectPr>
      </w:pPr>
    </w:p>
    <w:p w14:paraId="16D77B69">
      <w:pPr>
        <w:spacing w:before="69"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5"/>
          <w:sz w:val="27"/>
          <w:szCs w:val="27"/>
        </w:rPr>
        <w:t xml:space="preserve">  </w:t>
      </w:r>
      <w:r>
        <w:rPr>
          <w:rFonts w:ascii="黑体" w:hAnsi="黑体" w:eastAsia="黑体" w:cs="黑体"/>
          <w:b/>
          <w:bCs/>
          <w:spacing w:val="2"/>
          <w:sz w:val="27"/>
          <w:szCs w:val="27"/>
        </w:rPr>
        <w:t>引用文档</w:t>
      </w:r>
    </w:p>
    <w:p w14:paraId="11AC7C59">
      <w:pPr>
        <w:pStyle w:val="2"/>
        <w:spacing w:before="79" w:line="312" w:lineRule="auto"/>
        <w:ind w:right="19" w:firstLine="550"/>
        <w:rPr>
          <w:sz w:val="25"/>
          <w:szCs w:val="25"/>
        </w:rPr>
      </w:pPr>
      <w:r>
        <w:rPr>
          <w:spacing w:val="9"/>
          <w:sz w:val="25"/>
          <w:szCs w:val="25"/>
        </w:rPr>
        <w:t>本章应列出引用文档的编号、标题、编写单位、修订版及日期，还应标识不能</w:t>
      </w:r>
      <w:r>
        <w:rPr>
          <w:spacing w:val="5"/>
          <w:sz w:val="25"/>
          <w:szCs w:val="25"/>
        </w:rPr>
        <w:t xml:space="preserve"> </w:t>
      </w:r>
      <w:r>
        <w:rPr>
          <w:spacing w:val="23"/>
          <w:sz w:val="25"/>
          <w:szCs w:val="25"/>
        </w:rPr>
        <w:t>通过正常采购活动得到的文档的来源。</w:t>
      </w:r>
    </w:p>
    <w:p w14:paraId="27258D18">
      <w:pPr>
        <w:spacing w:before="1" w:line="220"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16"/>
          <w:sz w:val="27"/>
          <w:szCs w:val="27"/>
        </w:rPr>
        <w:t xml:space="preserve">  </w:t>
      </w:r>
      <w:r>
        <w:rPr>
          <w:rFonts w:ascii="黑体" w:hAnsi="黑体" w:eastAsia="黑体" w:cs="黑体"/>
          <w:b/>
          <w:bCs/>
          <w:spacing w:val="-3"/>
          <w:sz w:val="27"/>
          <w:szCs w:val="27"/>
        </w:rPr>
        <w:t>软件研制概述</w:t>
      </w:r>
    </w:p>
    <w:p w14:paraId="708F4651">
      <w:pPr>
        <w:pStyle w:val="2"/>
        <w:spacing w:before="73" w:line="296" w:lineRule="auto"/>
        <w:ind w:right="19" w:firstLine="550"/>
      </w:pPr>
      <w:r>
        <w:rPr>
          <w:spacing w:val="5"/>
        </w:rPr>
        <w:t>本章应逐项说明软件研制所经历的各项活动及其完成情况，包括软件需求</w:t>
      </w:r>
      <w:r>
        <w:rPr>
          <w:spacing w:val="11"/>
        </w:rPr>
        <w:t xml:space="preserve"> </w:t>
      </w:r>
      <w:r>
        <w:rPr>
          <w:spacing w:val="-11"/>
        </w:rPr>
        <w:t>分析、软件设计、软件实现和软件测试等。</w:t>
      </w:r>
    </w:p>
    <w:p w14:paraId="646C2B77">
      <w:pPr>
        <w:spacing w:line="222" w:lineRule="auto"/>
        <w:rPr>
          <w:rFonts w:ascii="黑体" w:hAnsi="黑体" w:eastAsia="黑体" w:cs="黑体"/>
          <w:sz w:val="27"/>
          <w:szCs w:val="27"/>
        </w:rPr>
      </w:pPr>
      <w:r>
        <w:rPr>
          <w:rFonts w:ascii="黑体" w:hAnsi="黑体" w:eastAsia="黑体" w:cs="黑体"/>
          <w:spacing w:val="1"/>
          <w:sz w:val="27"/>
          <w:szCs w:val="27"/>
        </w:rPr>
        <w:t xml:space="preserve">4  </w:t>
      </w:r>
      <w:r>
        <w:rPr>
          <w:rFonts w:ascii="黑体" w:hAnsi="黑体" w:eastAsia="黑体" w:cs="黑体"/>
          <w:b/>
          <w:bCs/>
          <w:spacing w:val="1"/>
          <w:sz w:val="27"/>
          <w:szCs w:val="27"/>
        </w:rPr>
        <w:t>软件质量保证情况</w:t>
      </w:r>
    </w:p>
    <w:p w14:paraId="73DF6C9A">
      <w:pPr>
        <w:pStyle w:val="2"/>
        <w:spacing w:before="78" w:line="286" w:lineRule="auto"/>
        <w:ind w:right="19" w:firstLine="550"/>
      </w:pPr>
      <w:r>
        <w:rPr>
          <w:spacing w:val="5"/>
        </w:rPr>
        <w:t>本章应逐项说明在保证软件质量方面所开展的各项工作及其完成情况，包</w:t>
      </w:r>
      <w:r>
        <w:rPr>
          <w:spacing w:val="11"/>
        </w:rPr>
        <w:t xml:space="preserve"> </w:t>
      </w:r>
      <w:r>
        <w:rPr>
          <w:spacing w:val="-23"/>
        </w:rPr>
        <w:t>括分析、评审、审查、测试、试验、软件质量保证、</w:t>
      </w:r>
      <w:r>
        <w:rPr>
          <w:spacing w:val="-24"/>
        </w:rPr>
        <w:t>质量归零等。</w:t>
      </w:r>
    </w:p>
    <w:p w14:paraId="1C8251F1">
      <w:pPr>
        <w:spacing w:line="222" w:lineRule="auto"/>
        <w:outlineLvl w:val="3"/>
        <w:rPr>
          <w:rFonts w:ascii="黑体" w:hAnsi="黑体" w:eastAsia="黑体" w:cs="黑体"/>
          <w:sz w:val="27"/>
          <w:szCs w:val="27"/>
        </w:rPr>
      </w:pPr>
      <w:r>
        <w:rPr>
          <w:rFonts w:ascii="Arial" w:hAnsi="Arial" w:eastAsia="Arial" w:cs="Arial"/>
          <w:b/>
          <w:bCs/>
          <w:spacing w:val="-2"/>
          <w:sz w:val="27"/>
          <w:szCs w:val="27"/>
        </w:rPr>
        <w:t>5</w:t>
      </w:r>
      <w:r>
        <w:rPr>
          <w:rFonts w:ascii="Arial" w:hAnsi="Arial" w:eastAsia="Arial" w:cs="Arial"/>
          <w:b/>
          <w:bCs/>
          <w:spacing w:val="21"/>
          <w:w w:val="101"/>
          <w:sz w:val="27"/>
          <w:szCs w:val="27"/>
        </w:rPr>
        <w:t xml:space="preserve">   </w:t>
      </w:r>
      <w:r>
        <w:rPr>
          <w:rFonts w:ascii="黑体" w:hAnsi="黑体" w:eastAsia="黑体" w:cs="黑体"/>
          <w:b/>
          <w:bCs/>
          <w:spacing w:val="-2"/>
          <w:sz w:val="27"/>
          <w:szCs w:val="27"/>
        </w:rPr>
        <w:t>软件配置管理情况</w:t>
      </w:r>
    </w:p>
    <w:p w14:paraId="3B1A3D4F">
      <w:pPr>
        <w:pStyle w:val="2"/>
        <w:spacing w:before="88" w:line="289" w:lineRule="auto"/>
        <w:ind w:right="20" w:firstLine="550"/>
        <w:jc w:val="both"/>
      </w:pPr>
      <w:r>
        <w:rPr>
          <w:spacing w:val="-3"/>
        </w:rPr>
        <w:t>本章应描述软件配置管理活动的情况，包括与软件配置管理计划的偏差、配</w:t>
      </w:r>
      <w:r>
        <w:t xml:space="preserve"> </w:t>
      </w:r>
      <w:r>
        <w:rPr>
          <w:spacing w:val="14"/>
        </w:rPr>
        <w:t>置管理活动与规程是否相符、对不符合项所采取</w:t>
      </w:r>
      <w:r>
        <w:rPr>
          <w:spacing w:val="13"/>
        </w:rPr>
        <w:t>的措施以及软件配置状态变</w:t>
      </w:r>
      <w:r>
        <w:t xml:space="preserve"> </w:t>
      </w:r>
      <w:r>
        <w:rPr>
          <w:spacing w:val="-2"/>
        </w:rPr>
        <w:t>化等。</w:t>
      </w:r>
    </w:p>
    <w:p w14:paraId="25BC05E0">
      <w:pPr>
        <w:spacing w:before="7" w:line="221"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17"/>
          <w:sz w:val="27"/>
          <w:szCs w:val="27"/>
        </w:rPr>
        <w:t xml:space="preserve">  </w:t>
      </w:r>
      <w:r>
        <w:rPr>
          <w:rFonts w:ascii="黑体" w:hAnsi="黑体" w:eastAsia="黑体" w:cs="黑体"/>
          <w:b/>
          <w:bCs/>
          <w:spacing w:val="-3"/>
          <w:sz w:val="27"/>
          <w:szCs w:val="27"/>
        </w:rPr>
        <w:t>第三方评测情况</w:t>
      </w:r>
    </w:p>
    <w:p w14:paraId="3199014C">
      <w:pPr>
        <w:pStyle w:val="2"/>
        <w:spacing w:before="81" w:line="218" w:lineRule="auto"/>
        <w:ind w:left="550"/>
      </w:pPr>
      <w:r>
        <w:rPr>
          <w:spacing w:val="-2"/>
        </w:rPr>
        <w:t>适用时，本章应描述第三方评测工作情况和质量评价结论。</w:t>
      </w:r>
    </w:p>
    <w:p w14:paraId="6F728D4C">
      <w:pPr>
        <w:spacing w:before="128" w:line="222" w:lineRule="auto"/>
        <w:rPr>
          <w:rFonts w:ascii="黑体" w:hAnsi="黑体" w:eastAsia="黑体" w:cs="黑体"/>
          <w:sz w:val="27"/>
          <w:szCs w:val="27"/>
        </w:rPr>
      </w:pPr>
      <w:r>
        <w:rPr>
          <w:rFonts w:ascii="黑体" w:hAnsi="黑体" w:eastAsia="黑体" w:cs="黑体"/>
          <w:spacing w:val="-9"/>
          <w:sz w:val="27"/>
          <w:szCs w:val="27"/>
        </w:rPr>
        <w:t>7</w:t>
      </w:r>
      <w:r>
        <w:rPr>
          <w:rFonts w:ascii="黑体" w:hAnsi="黑体" w:eastAsia="黑体" w:cs="黑体"/>
          <w:spacing w:val="16"/>
          <w:sz w:val="27"/>
          <w:szCs w:val="27"/>
        </w:rPr>
        <w:t xml:space="preserve">  </w:t>
      </w:r>
      <w:r>
        <w:rPr>
          <w:rFonts w:ascii="黑体" w:hAnsi="黑体" w:eastAsia="黑体" w:cs="黑体"/>
          <w:b/>
          <w:bCs/>
          <w:spacing w:val="-9"/>
          <w:sz w:val="27"/>
          <w:szCs w:val="27"/>
        </w:rPr>
        <w:t>注释</w:t>
      </w:r>
    </w:p>
    <w:p w14:paraId="7EBBFE99">
      <w:pPr>
        <w:pStyle w:val="2"/>
        <w:spacing w:before="99" w:line="219" w:lineRule="auto"/>
        <w:ind w:left="550"/>
      </w:pPr>
      <w:r>
        <w:rPr>
          <w:spacing w:val="-4"/>
        </w:rPr>
        <w:t>本章应包括有助于了解文档的所有信息(例如背景、术语、缩略语或公式)。</w:t>
      </w:r>
    </w:p>
    <w:p w14:paraId="6C354308">
      <w:pPr>
        <w:spacing w:line="360" w:lineRule="auto"/>
        <w:rPr>
          <w:rFonts w:ascii="Arial"/>
          <w:sz w:val="21"/>
        </w:rPr>
      </w:pPr>
    </w:p>
    <w:p w14:paraId="30067636">
      <w:pPr>
        <w:pStyle w:val="2"/>
        <w:spacing w:before="118" w:line="219" w:lineRule="auto"/>
        <w:ind w:left="2699"/>
        <w:rPr>
          <w:sz w:val="36"/>
          <w:szCs w:val="36"/>
        </w:rPr>
      </w:pPr>
      <w:r>
        <w:rPr>
          <w:spacing w:val="2"/>
          <w:sz w:val="36"/>
          <w:szCs w:val="36"/>
        </w:rPr>
        <w:t>2.</w:t>
      </w:r>
      <w:r>
        <w:rPr>
          <w:b/>
          <w:bCs/>
          <w:spacing w:val="2"/>
          <w:sz w:val="36"/>
          <w:szCs w:val="36"/>
        </w:rPr>
        <w:t>29</w:t>
      </w:r>
      <w:r>
        <w:rPr>
          <w:spacing w:val="2"/>
          <w:sz w:val="36"/>
          <w:szCs w:val="36"/>
        </w:rPr>
        <w:t xml:space="preserve">  </w:t>
      </w:r>
      <w:r>
        <w:rPr>
          <w:b/>
          <w:bCs/>
          <w:spacing w:val="2"/>
          <w:sz w:val="36"/>
          <w:szCs w:val="36"/>
        </w:rPr>
        <w:t>软件定型测评大纲</w:t>
      </w:r>
    </w:p>
    <w:p w14:paraId="6905054B">
      <w:pPr>
        <w:spacing w:line="334" w:lineRule="auto"/>
        <w:rPr>
          <w:rFonts w:ascii="Arial"/>
          <w:sz w:val="21"/>
        </w:rPr>
      </w:pPr>
    </w:p>
    <w:p w14:paraId="69A3A59E">
      <w:pPr>
        <w:pStyle w:val="2"/>
        <w:spacing w:before="92" w:line="223" w:lineRule="auto"/>
        <w:ind w:left="550"/>
        <w:rPr>
          <w:rFonts w:ascii="楷体" w:hAnsi="楷体" w:eastAsia="楷体" w:cs="楷体"/>
          <w:sz w:val="28"/>
          <w:szCs w:val="28"/>
        </w:rPr>
      </w:pPr>
      <w:r>
        <w:rPr>
          <w:rFonts w:ascii="楷体" w:hAnsi="楷体" w:eastAsia="楷体" w:cs="楷体"/>
          <w:spacing w:val="-8"/>
          <w:sz w:val="28"/>
          <w:szCs w:val="28"/>
        </w:rPr>
        <w:t>按照</w:t>
      </w:r>
      <w:r>
        <w:rPr>
          <w:rFonts w:ascii="Times New Roman" w:hAnsi="Times New Roman" w:eastAsia="Times New Roman" w:cs="Times New Roman"/>
          <w:spacing w:val="-8"/>
          <w:sz w:val="28"/>
          <w:szCs w:val="28"/>
        </w:rPr>
        <w:t>GJB6921—2009</w:t>
      </w:r>
      <w:r>
        <w:rPr>
          <w:spacing w:val="-8"/>
          <w:sz w:val="28"/>
          <w:szCs w:val="28"/>
        </w:rPr>
        <w:t>《</w:t>
      </w:r>
      <w:r>
        <w:rPr>
          <w:rFonts w:ascii="楷体" w:hAnsi="楷体" w:eastAsia="楷体" w:cs="楷体"/>
          <w:spacing w:val="-8"/>
          <w:sz w:val="28"/>
          <w:szCs w:val="28"/>
        </w:rPr>
        <w:t>军用软件定型测评大纲编制要求》编</w:t>
      </w:r>
      <w:r>
        <w:rPr>
          <w:rFonts w:ascii="楷体" w:hAnsi="楷体" w:eastAsia="楷体" w:cs="楷体"/>
          <w:spacing w:val="-9"/>
          <w:sz w:val="28"/>
          <w:szCs w:val="28"/>
        </w:rPr>
        <w:t>写。</w:t>
      </w:r>
    </w:p>
    <w:p w14:paraId="5810FD76">
      <w:pPr>
        <w:spacing w:before="8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5207A84F">
      <w:pPr>
        <w:spacing w:before="123" w:line="222" w:lineRule="auto"/>
        <w:rPr>
          <w:rFonts w:ascii="黑体" w:hAnsi="黑体" w:eastAsia="黑体" w:cs="黑体"/>
          <w:sz w:val="27"/>
          <w:szCs w:val="27"/>
        </w:rPr>
      </w:pPr>
      <w:r>
        <w:rPr>
          <w:rFonts w:ascii="黑体" w:hAnsi="黑体" w:eastAsia="黑体" w:cs="黑体"/>
          <w:spacing w:val="-11"/>
          <w:sz w:val="27"/>
          <w:szCs w:val="27"/>
        </w:rPr>
        <w:t>1.</w:t>
      </w:r>
      <w:r>
        <w:rPr>
          <w:rFonts w:ascii="黑体" w:hAnsi="黑体" w:eastAsia="黑体" w:cs="黑体"/>
          <w:b/>
          <w:bCs/>
          <w:spacing w:val="-11"/>
          <w:sz w:val="27"/>
          <w:szCs w:val="27"/>
        </w:rPr>
        <w:t>1</w:t>
      </w:r>
      <w:r>
        <w:rPr>
          <w:rFonts w:ascii="黑体" w:hAnsi="黑体" w:eastAsia="黑体" w:cs="黑体"/>
          <w:spacing w:val="35"/>
          <w:sz w:val="27"/>
          <w:szCs w:val="27"/>
        </w:rPr>
        <w:t xml:space="preserve">  </w:t>
      </w:r>
      <w:r>
        <w:rPr>
          <w:rFonts w:ascii="黑体" w:hAnsi="黑体" w:eastAsia="黑体" w:cs="黑体"/>
          <w:b/>
          <w:bCs/>
          <w:spacing w:val="-11"/>
          <w:sz w:val="27"/>
          <w:szCs w:val="27"/>
        </w:rPr>
        <w:t>标识</w:t>
      </w:r>
    </w:p>
    <w:p w14:paraId="41F18CDE">
      <w:pPr>
        <w:pStyle w:val="2"/>
        <w:spacing w:before="99" w:line="275" w:lineRule="auto"/>
        <w:ind w:firstLine="550"/>
      </w:pPr>
      <w:r>
        <w:rPr>
          <w:spacing w:val="-2"/>
        </w:rPr>
        <w:t>列出文档的标识、标题、所适用的被测软件的</w:t>
      </w:r>
      <w:r>
        <w:rPr>
          <w:spacing w:val="-3"/>
        </w:rPr>
        <w:t>名称与版本，以及文档中采用</w:t>
      </w:r>
      <w:r>
        <w:t xml:space="preserve"> 的术语和缩略语。</w:t>
      </w:r>
    </w:p>
    <w:p w14:paraId="5ACE20A7">
      <w:pPr>
        <w:spacing w:before="49" w:line="221" w:lineRule="auto"/>
        <w:rPr>
          <w:rFonts w:ascii="黑体" w:hAnsi="黑体" w:eastAsia="黑体" w:cs="黑体"/>
          <w:sz w:val="24"/>
          <w:szCs w:val="24"/>
        </w:rPr>
      </w:pPr>
      <w:r>
        <w:rPr>
          <w:rFonts w:ascii="黑体" w:hAnsi="黑体" w:eastAsia="黑体" w:cs="黑体"/>
          <w:spacing w:val="12"/>
          <w:sz w:val="24"/>
          <w:szCs w:val="24"/>
        </w:rPr>
        <w:t>1.2</w:t>
      </w:r>
      <w:r>
        <w:rPr>
          <w:rFonts w:ascii="黑体" w:hAnsi="黑体" w:eastAsia="黑体" w:cs="黑体"/>
          <w:spacing w:val="3"/>
          <w:sz w:val="24"/>
          <w:szCs w:val="24"/>
        </w:rPr>
        <w:t xml:space="preserve">   </w:t>
      </w:r>
      <w:r>
        <w:rPr>
          <w:rFonts w:ascii="黑体" w:hAnsi="黑体" w:eastAsia="黑体" w:cs="黑体"/>
          <w:b/>
          <w:bCs/>
          <w:spacing w:val="12"/>
          <w:sz w:val="24"/>
          <w:szCs w:val="24"/>
        </w:rPr>
        <w:t>文档概述</w:t>
      </w:r>
    </w:p>
    <w:p w14:paraId="71473E41">
      <w:pPr>
        <w:pStyle w:val="2"/>
        <w:spacing w:before="100" w:line="219" w:lineRule="auto"/>
        <w:ind w:left="550"/>
      </w:pPr>
      <w:r>
        <w:rPr>
          <w:spacing w:val="3"/>
        </w:rPr>
        <w:t>概述文档的主要内容和用途。</w:t>
      </w:r>
    </w:p>
    <w:p w14:paraId="43389250">
      <w:pPr>
        <w:spacing w:before="123" w:line="221" w:lineRule="auto"/>
        <w:rPr>
          <w:rFonts w:ascii="黑体" w:hAnsi="黑体" w:eastAsia="黑体" w:cs="黑体"/>
          <w:sz w:val="27"/>
          <w:szCs w:val="27"/>
        </w:rPr>
      </w:pPr>
      <w:r>
        <w:rPr>
          <w:rFonts w:ascii="黑体" w:hAnsi="黑体" w:eastAsia="黑体" w:cs="黑体"/>
          <w:spacing w:val="-2"/>
          <w:sz w:val="27"/>
          <w:szCs w:val="27"/>
        </w:rPr>
        <w:t>1.3</w:t>
      </w:r>
      <w:r>
        <w:rPr>
          <w:rFonts w:ascii="黑体" w:hAnsi="黑体" w:eastAsia="黑体" w:cs="黑体"/>
          <w:spacing w:val="28"/>
          <w:sz w:val="27"/>
          <w:szCs w:val="27"/>
        </w:rPr>
        <w:t xml:space="preserve">  </w:t>
      </w:r>
      <w:r>
        <w:rPr>
          <w:rFonts w:ascii="黑体" w:hAnsi="黑体" w:eastAsia="黑体" w:cs="黑体"/>
          <w:b/>
          <w:bCs/>
          <w:spacing w:val="-2"/>
          <w:sz w:val="27"/>
          <w:szCs w:val="27"/>
        </w:rPr>
        <w:t>委托方的名称与联系方式</w:t>
      </w:r>
    </w:p>
    <w:p w14:paraId="466E0D88">
      <w:pPr>
        <w:pStyle w:val="2"/>
        <w:spacing w:before="112" w:line="223" w:lineRule="auto"/>
        <w:ind w:left="550"/>
        <w:rPr>
          <w:rFonts w:ascii="仿宋" w:hAnsi="仿宋" w:eastAsia="仿宋" w:cs="仿宋"/>
        </w:rPr>
      </w:pPr>
      <w:r>
        <w:rPr>
          <w:spacing w:val="-5"/>
        </w:rPr>
        <w:t>描述此次定型测评任务委托方的名称、</w:t>
      </w:r>
      <w:r>
        <w:rPr>
          <w:rFonts w:ascii="仿宋" w:hAnsi="仿宋" w:eastAsia="仿宋" w:cs="仿宋"/>
          <w:spacing w:val="-5"/>
        </w:rPr>
        <w:t>地址、联系人及联系电话。</w:t>
      </w:r>
    </w:p>
    <w:p w14:paraId="65A77856">
      <w:pPr>
        <w:spacing w:before="89" w:line="221" w:lineRule="auto"/>
        <w:rPr>
          <w:rFonts w:ascii="黑体" w:hAnsi="黑体" w:eastAsia="黑体" w:cs="黑体"/>
          <w:sz w:val="27"/>
          <w:szCs w:val="27"/>
        </w:rPr>
      </w:pPr>
      <w:r>
        <w:rPr>
          <w:rFonts w:ascii="黑体" w:hAnsi="黑体" w:eastAsia="黑体" w:cs="黑体"/>
          <w:spacing w:val="1"/>
          <w:sz w:val="27"/>
          <w:szCs w:val="27"/>
        </w:rPr>
        <w:t>1.4</w:t>
      </w:r>
      <w:r>
        <w:rPr>
          <w:rFonts w:ascii="黑体" w:hAnsi="黑体" w:eastAsia="黑体" w:cs="黑体"/>
          <w:spacing w:val="21"/>
          <w:sz w:val="27"/>
          <w:szCs w:val="27"/>
        </w:rPr>
        <w:t xml:space="preserve">  </w:t>
      </w:r>
      <w:r>
        <w:rPr>
          <w:rFonts w:ascii="黑体" w:hAnsi="黑体" w:eastAsia="黑体" w:cs="黑体"/>
          <w:b/>
          <w:bCs/>
          <w:spacing w:val="1"/>
          <w:sz w:val="27"/>
          <w:szCs w:val="27"/>
        </w:rPr>
        <w:t>承研单位的名称与联系方式</w:t>
      </w:r>
    </w:p>
    <w:p w14:paraId="090A1C94">
      <w:pPr>
        <w:pStyle w:val="2"/>
        <w:spacing w:before="123" w:line="219" w:lineRule="auto"/>
        <w:ind w:left="550"/>
      </w:pPr>
      <w:r>
        <w:rPr>
          <w:spacing w:val="-6"/>
        </w:rPr>
        <w:t>描述被测软件承研单位的名称、地址、联系人及联</w:t>
      </w:r>
      <w:r>
        <w:rPr>
          <w:spacing w:val="-7"/>
        </w:rPr>
        <w:t>系电话。</w:t>
      </w:r>
    </w:p>
    <w:p w14:paraId="5268B1B5">
      <w:pPr>
        <w:spacing w:before="103" w:line="221" w:lineRule="auto"/>
        <w:rPr>
          <w:rFonts w:ascii="黑体" w:hAnsi="黑体" w:eastAsia="黑体" w:cs="黑体"/>
          <w:sz w:val="27"/>
          <w:szCs w:val="27"/>
        </w:rPr>
      </w:pPr>
      <w:r>
        <w:rPr>
          <w:rFonts w:ascii="黑体" w:hAnsi="黑体" w:eastAsia="黑体" w:cs="黑体"/>
          <w:sz w:val="27"/>
          <w:szCs w:val="27"/>
        </w:rPr>
        <w:t>1.5</w:t>
      </w:r>
      <w:r>
        <w:rPr>
          <w:rFonts w:ascii="黑体" w:hAnsi="黑体" w:eastAsia="黑体" w:cs="黑体"/>
          <w:spacing w:val="30"/>
          <w:sz w:val="27"/>
          <w:szCs w:val="27"/>
        </w:rPr>
        <w:t xml:space="preserve">  </w:t>
      </w:r>
      <w:r>
        <w:rPr>
          <w:rFonts w:ascii="黑体" w:hAnsi="黑体" w:eastAsia="黑体" w:cs="黑体"/>
          <w:b/>
          <w:bCs/>
          <w:sz w:val="27"/>
          <w:szCs w:val="27"/>
        </w:rPr>
        <w:t>定型测评机构的名称与联系方式</w:t>
      </w:r>
    </w:p>
    <w:p w14:paraId="4C429D0E">
      <w:pPr>
        <w:pStyle w:val="2"/>
        <w:spacing w:before="111" w:line="219" w:lineRule="auto"/>
        <w:ind w:left="550"/>
      </w:pPr>
      <w:r>
        <w:rPr>
          <w:spacing w:val="-4"/>
        </w:rPr>
        <w:t>描述完成此次定型测评任务的测评机构的名称、地址、联系人及联系电话。</w:t>
      </w:r>
    </w:p>
    <w:p w14:paraId="2A6F7013">
      <w:pPr>
        <w:spacing w:line="219" w:lineRule="auto"/>
        <w:sectPr>
          <w:footerReference r:id="rId273" w:type="default"/>
          <w:pgSz w:w="11910" w:h="17130"/>
          <w:pgMar w:top="1456" w:right="997" w:bottom="1660" w:left="1529" w:header="0" w:footer="1374" w:gutter="0"/>
          <w:cols w:space="720" w:num="1"/>
        </w:sectPr>
      </w:pPr>
    </w:p>
    <w:p w14:paraId="5DC49351">
      <w:pPr>
        <w:spacing w:before="72" w:line="221" w:lineRule="auto"/>
        <w:rPr>
          <w:rFonts w:ascii="黑体" w:hAnsi="黑体" w:eastAsia="黑体" w:cs="黑体"/>
          <w:sz w:val="27"/>
          <w:szCs w:val="27"/>
        </w:rPr>
      </w:pPr>
      <w:r>
        <w:rPr>
          <w:rFonts w:ascii="黑体" w:hAnsi="黑体" w:eastAsia="黑体" w:cs="黑体"/>
          <w:spacing w:val="-1"/>
          <w:sz w:val="27"/>
          <w:szCs w:val="27"/>
        </w:rPr>
        <w:t>1.6</w:t>
      </w:r>
      <w:r>
        <w:rPr>
          <w:rFonts w:ascii="黑体" w:hAnsi="黑体" w:eastAsia="黑体" w:cs="黑体"/>
          <w:spacing w:val="21"/>
          <w:sz w:val="27"/>
          <w:szCs w:val="27"/>
        </w:rPr>
        <w:t xml:space="preserve">  </w:t>
      </w:r>
      <w:r>
        <w:rPr>
          <w:rFonts w:ascii="黑体" w:hAnsi="黑体" w:eastAsia="黑体" w:cs="黑体"/>
          <w:spacing w:val="-1"/>
          <w:sz w:val="27"/>
          <w:szCs w:val="27"/>
        </w:rPr>
        <w:t>被测软件概述</w:t>
      </w:r>
    </w:p>
    <w:p w14:paraId="0D419D54">
      <w:pPr>
        <w:pStyle w:val="2"/>
        <w:spacing w:before="67" w:line="284" w:lineRule="auto"/>
        <w:ind w:firstLine="560"/>
      </w:pPr>
      <w:r>
        <w:rPr>
          <w:spacing w:val="-15"/>
        </w:rPr>
        <w:t>概述被测软件的等级、使命任务、结构组成、信息流程、使用环境、安装部署、</w:t>
      </w:r>
      <w:r>
        <w:t xml:space="preserve"> </w:t>
      </w:r>
      <w:r>
        <w:rPr>
          <w:spacing w:val="-4"/>
        </w:rPr>
        <w:t>主要战术技术指标、软件规模与开发语言等。</w:t>
      </w:r>
    </w:p>
    <w:p w14:paraId="741CD13F">
      <w:pPr>
        <w:spacing w:line="221"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08A7736A">
      <w:pPr>
        <w:pStyle w:val="2"/>
        <w:spacing w:before="84" w:line="267" w:lineRule="auto"/>
        <w:ind w:firstLine="560"/>
        <w:jc w:val="both"/>
      </w:pPr>
      <w:r>
        <w:rPr>
          <w:spacing w:val="5"/>
        </w:rPr>
        <w:t>列出编制文档所引用的相关法规、标准以及被测软件研制总要求或系统研</w:t>
      </w:r>
      <w:r>
        <w:t xml:space="preserve">  </w:t>
      </w:r>
      <w:r>
        <w:rPr>
          <w:spacing w:val="-7"/>
        </w:rPr>
        <w:t>制总要求、软件需求规格说明等技术文档，包括各引用文件的标识、标题、版本、</w:t>
      </w:r>
      <w:r>
        <w:rPr>
          <w:spacing w:val="16"/>
        </w:rPr>
        <w:t xml:space="preserve"> </w:t>
      </w:r>
      <w:r>
        <w:rPr>
          <w:spacing w:val="-10"/>
        </w:rPr>
        <w:t>日期、颁布/来源单位等信息。</w:t>
      </w:r>
    </w:p>
    <w:p w14:paraId="1244B58C">
      <w:pPr>
        <w:spacing w:line="368" w:lineRule="exact"/>
        <w:rPr>
          <w:rFonts w:ascii="黑体" w:hAnsi="黑体" w:eastAsia="黑体" w:cs="黑体"/>
          <w:sz w:val="27"/>
          <w:szCs w:val="27"/>
        </w:rPr>
      </w:pPr>
      <w:r>
        <w:rPr>
          <w:rFonts w:ascii="Arial" w:hAnsi="Arial" w:eastAsia="Arial" w:cs="Arial"/>
          <w:spacing w:val="1"/>
          <w:position w:val="1"/>
          <w:sz w:val="27"/>
          <w:szCs w:val="27"/>
        </w:rPr>
        <w:t>3</w:t>
      </w:r>
      <w:r>
        <w:rPr>
          <w:rFonts w:ascii="Arial" w:hAnsi="Arial" w:eastAsia="Arial" w:cs="Arial"/>
          <w:spacing w:val="19"/>
          <w:w w:val="101"/>
          <w:position w:val="1"/>
          <w:sz w:val="27"/>
          <w:szCs w:val="27"/>
        </w:rPr>
        <w:t xml:space="preserve">   </w:t>
      </w:r>
      <w:r>
        <w:rPr>
          <w:rFonts w:ascii="黑体" w:hAnsi="黑体" w:eastAsia="黑体" w:cs="黑体"/>
          <w:spacing w:val="1"/>
          <w:position w:val="1"/>
          <w:sz w:val="27"/>
          <w:szCs w:val="27"/>
        </w:rPr>
        <w:t>测试内容与方法</w:t>
      </w:r>
    </w:p>
    <w:p w14:paraId="3B058DB1">
      <w:pPr>
        <w:spacing w:before="90" w:line="221" w:lineRule="auto"/>
        <w:rPr>
          <w:rFonts w:ascii="黑体" w:hAnsi="黑体" w:eastAsia="黑体" w:cs="黑体"/>
          <w:sz w:val="27"/>
          <w:szCs w:val="27"/>
        </w:rPr>
      </w:pPr>
      <w:r>
        <w:rPr>
          <w:rFonts w:ascii="黑体" w:hAnsi="黑体" w:eastAsia="黑体" w:cs="黑体"/>
          <w:spacing w:val="1"/>
          <w:sz w:val="27"/>
          <w:szCs w:val="27"/>
        </w:rPr>
        <w:t>3.1</w:t>
      </w:r>
      <w:r>
        <w:rPr>
          <w:rFonts w:ascii="黑体" w:hAnsi="黑体" w:eastAsia="黑体" w:cs="黑体"/>
          <w:spacing w:val="14"/>
          <w:sz w:val="27"/>
          <w:szCs w:val="27"/>
        </w:rPr>
        <w:t xml:space="preserve">  </w:t>
      </w:r>
      <w:r>
        <w:rPr>
          <w:rFonts w:ascii="黑体" w:hAnsi="黑体" w:eastAsia="黑体" w:cs="黑体"/>
          <w:spacing w:val="1"/>
          <w:sz w:val="27"/>
          <w:szCs w:val="27"/>
        </w:rPr>
        <w:t>测试总体要求</w:t>
      </w:r>
    </w:p>
    <w:p w14:paraId="46F8C2B5">
      <w:pPr>
        <w:pStyle w:val="2"/>
        <w:spacing w:before="57" w:line="281" w:lineRule="auto"/>
        <w:ind w:right="103" w:firstLine="560"/>
        <w:jc w:val="both"/>
      </w:pPr>
      <w:r>
        <w:rPr>
          <w:spacing w:val="-3"/>
        </w:rPr>
        <w:t>遵循《军用软件产品定型管理办法》及二级定委的有关规定，根据被测软件</w:t>
      </w:r>
      <w:r>
        <w:rPr>
          <w:spacing w:val="9"/>
        </w:rPr>
        <w:t xml:space="preserve"> </w:t>
      </w:r>
      <w:r>
        <w:rPr>
          <w:spacing w:val="-3"/>
        </w:rPr>
        <w:t>研制总要求或系统研制总要求、软件需求规格说明及其他等效文档，结合被测软</w:t>
      </w:r>
      <w:r>
        <w:rPr>
          <w:spacing w:val="16"/>
        </w:rPr>
        <w:t xml:space="preserve"> </w:t>
      </w:r>
      <w:r>
        <w:rPr>
          <w:spacing w:val="-10"/>
        </w:rPr>
        <w:t>件的级别及其质量要求，提出此次定型测评的范围、测试级别、测试类型、测试策</w:t>
      </w:r>
      <w:r>
        <w:t xml:space="preserve"> </w:t>
      </w:r>
      <w:r>
        <w:rPr>
          <w:spacing w:val="-1"/>
        </w:rPr>
        <w:t>略等总体要求。</w:t>
      </w:r>
    </w:p>
    <w:p w14:paraId="3A913D28">
      <w:pPr>
        <w:pStyle w:val="2"/>
        <w:spacing w:before="1" w:line="286" w:lineRule="auto"/>
        <w:ind w:right="112" w:firstLine="560"/>
        <w:jc w:val="both"/>
      </w:pPr>
      <w:r>
        <w:rPr>
          <w:spacing w:val="5"/>
        </w:rPr>
        <w:t>定型测评的测试级别一般为配置项测试和系统测试，必要时可增加单元测</w:t>
      </w:r>
      <w:r>
        <w:rPr>
          <w:spacing w:val="11"/>
        </w:rPr>
        <w:t xml:space="preserve"> </w:t>
      </w:r>
      <w:r>
        <w:rPr>
          <w:spacing w:val="-17"/>
        </w:rPr>
        <w:t>试、部件测试；测试类型一般包括文档审查、功能</w:t>
      </w:r>
      <w:r>
        <w:rPr>
          <w:spacing w:val="-18"/>
        </w:rPr>
        <w:t>测试、性能测试、安装测试、接口</w:t>
      </w:r>
      <w:r>
        <w:t xml:space="preserve"> </w:t>
      </w:r>
      <w:r>
        <w:rPr>
          <w:spacing w:val="-10"/>
        </w:rPr>
        <w:t>测试、人机交互界面测试，必要时可增加代码审查、逻辑测试、可靠性测试、安全</w:t>
      </w:r>
      <w:r>
        <w:rPr>
          <w:spacing w:val="1"/>
        </w:rPr>
        <w:t xml:space="preserve"> </w:t>
      </w:r>
      <w:r>
        <w:rPr>
          <w:spacing w:val="-3"/>
        </w:rPr>
        <w:t>性测试、强度测试、恢复性测试等测试类型。如果此次定型测评不能进行个别要</w:t>
      </w:r>
      <w:r>
        <w:rPr>
          <w:spacing w:val="17"/>
        </w:rPr>
        <w:t xml:space="preserve"> </w:t>
      </w:r>
      <w:r>
        <w:rPr>
          <w:spacing w:val="-3"/>
        </w:rPr>
        <w:t>求的测试类型，应对不能进行测试的原因给予说明。</w:t>
      </w:r>
    </w:p>
    <w:p w14:paraId="7B1C917B">
      <w:pPr>
        <w:spacing w:before="3" w:line="221" w:lineRule="auto"/>
        <w:rPr>
          <w:rFonts w:ascii="黑体" w:hAnsi="黑体" w:eastAsia="黑体" w:cs="黑体"/>
          <w:sz w:val="24"/>
          <w:szCs w:val="24"/>
        </w:rPr>
      </w:pPr>
      <w:r>
        <w:rPr>
          <w:rFonts w:ascii="黑体" w:hAnsi="黑体" w:eastAsia="黑体" w:cs="黑体"/>
          <w:spacing w:val="25"/>
          <w:sz w:val="24"/>
          <w:szCs w:val="24"/>
        </w:rPr>
        <w:t>3.2</w:t>
      </w:r>
      <w:r>
        <w:rPr>
          <w:rFonts w:ascii="黑体" w:hAnsi="黑体" w:eastAsia="黑体" w:cs="黑体"/>
          <w:spacing w:val="48"/>
          <w:sz w:val="24"/>
          <w:szCs w:val="24"/>
        </w:rPr>
        <w:t xml:space="preserve">  </w:t>
      </w:r>
      <w:r>
        <w:rPr>
          <w:rFonts w:ascii="黑体" w:hAnsi="黑体" w:eastAsia="黑体" w:cs="黑体"/>
          <w:spacing w:val="25"/>
          <w:sz w:val="24"/>
          <w:szCs w:val="24"/>
        </w:rPr>
        <w:t>测试项及测试方法</w:t>
      </w:r>
    </w:p>
    <w:p w14:paraId="34B1D707">
      <w:pPr>
        <w:pStyle w:val="2"/>
        <w:spacing w:before="107" w:line="272" w:lineRule="auto"/>
        <w:ind w:firstLine="560"/>
        <w:jc w:val="both"/>
      </w:pPr>
      <w:r>
        <w:rPr>
          <w:spacing w:val="-11"/>
        </w:rPr>
        <w:t>根据测试总体要求设计测试项，一般按测试级别、测试对象、测试类型、测试</w:t>
      </w:r>
      <w:r>
        <w:rPr>
          <w:spacing w:val="13"/>
        </w:rPr>
        <w:t xml:space="preserve"> </w:t>
      </w:r>
      <w:r>
        <w:rPr>
          <w:spacing w:val="9"/>
        </w:rPr>
        <w:t>项顺序分节进行描述。测试对象应列出与测试级别对应的被测软件对象(如软</w:t>
      </w:r>
      <w:r>
        <w:rPr>
          <w:spacing w:val="5"/>
        </w:rPr>
        <w:t xml:space="preserve">  </w:t>
      </w:r>
      <w:r>
        <w:rPr>
          <w:spacing w:val="-3"/>
        </w:rPr>
        <w:t>件系统、软件配置项、软件部件或软件单元)名称。若测试只包含一个测试级别、</w:t>
      </w:r>
      <w:r>
        <w:rPr>
          <w:spacing w:val="7"/>
        </w:rPr>
        <w:t xml:space="preserve"> </w:t>
      </w:r>
      <w:r>
        <w:rPr>
          <w:spacing w:val="-2"/>
        </w:rPr>
        <w:t>一个测试对象或一个测试类型，则相应条标</w:t>
      </w:r>
      <w:r>
        <w:rPr>
          <w:spacing w:val="-3"/>
        </w:rPr>
        <w:t>题可剪裁。</w:t>
      </w:r>
    </w:p>
    <w:p w14:paraId="0414CE4B">
      <w:pPr>
        <w:pStyle w:val="2"/>
        <w:spacing w:before="37" w:line="282" w:lineRule="auto"/>
        <w:ind w:right="113" w:firstLine="560"/>
        <w:jc w:val="both"/>
      </w:pPr>
      <w:r>
        <w:rPr>
          <w:spacing w:val="5"/>
        </w:rPr>
        <w:t>测试项可进一步分解为多级子测试项，每个测试项或子测试项均应进行命</w:t>
      </w:r>
      <w:r>
        <w:t xml:space="preserve"> </w:t>
      </w:r>
      <w:r>
        <w:rPr>
          <w:spacing w:val="-2"/>
        </w:rPr>
        <w:t>名和标识。针对每个测试项或子测试项，一般应描述其测试</w:t>
      </w:r>
      <w:r>
        <w:rPr>
          <w:spacing w:val="-3"/>
        </w:rPr>
        <w:t>内容、测试方法、测</w:t>
      </w:r>
      <w:r>
        <w:t xml:space="preserve"> </w:t>
      </w:r>
      <w:r>
        <w:rPr>
          <w:spacing w:val="-11"/>
        </w:rPr>
        <w:t>试充分性要求、测试约束条件、评判标准等。</w:t>
      </w:r>
    </w:p>
    <w:p w14:paraId="15793001">
      <w:pPr>
        <w:spacing w:before="2" w:line="296" w:lineRule="auto"/>
        <w:ind w:right="156" w:firstLine="560"/>
        <w:rPr>
          <w:rFonts w:ascii="仿宋" w:hAnsi="仿宋" w:eastAsia="仿宋" w:cs="仿宋"/>
          <w:sz w:val="25"/>
          <w:szCs w:val="25"/>
        </w:rPr>
      </w:pPr>
      <w:r>
        <w:rPr>
          <w:rFonts w:ascii="仿宋" w:hAnsi="仿宋" w:eastAsia="仿宋" w:cs="仿宋"/>
          <w:spacing w:val="8"/>
          <w:sz w:val="25"/>
          <w:szCs w:val="25"/>
        </w:rPr>
        <w:t>示例：按测试级别、测试对象、测试类型、测试项、测试子项顺序</w:t>
      </w:r>
      <w:r>
        <w:rPr>
          <w:rFonts w:ascii="仿宋" w:hAnsi="仿宋" w:eastAsia="仿宋" w:cs="仿宋"/>
          <w:spacing w:val="7"/>
          <w:sz w:val="25"/>
          <w:szCs w:val="25"/>
        </w:rPr>
        <w:t>描述测试项</w:t>
      </w:r>
      <w:r>
        <w:rPr>
          <w:rFonts w:ascii="仿宋" w:hAnsi="仿宋" w:eastAsia="仿宋" w:cs="仿宋"/>
          <w:sz w:val="25"/>
          <w:szCs w:val="25"/>
        </w:rPr>
        <w:t xml:space="preserve"> </w:t>
      </w:r>
      <w:r>
        <w:rPr>
          <w:rFonts w:ascii="仿宋" w:hAnsi="仿宋" w:eastAsia="仿宋" w:cs="仿宋"/>
          <w:spacing w:val="15"/>
          <w:sz w:val="25"/>
          <w:szCs w:val="25"/>
        </w:rPr>
        <w:t>结构如下。</w:t>
      </w:r>
    </w:p>
    <w:p w14:paraId="04EDD2CA">
      <w:pPr>
        <w:spacing w:before="18" w:line="223" w:lineRule="auto"/>
        <w:ind w:left="560"/>
        <w:rPr>
          <w:rFonts w:ascii="仿宋" w:hAnsi="仿宋" w:eastAsia="仿宋" w:cs="仿宋"/>
          <w:sz w:val="24"/>
          <w:szCs w:val="24"/>
        </w:rPr>
      </w:pPr>
      <w:r>
        <w:rPr>
          <w:rFonts w:ascii="仿宋" w:hAnsi="仿宋" w:eastAsia="仿宋" w:cs="仿宋"/>
          <w:spacing w:val="15"/>
          <w:sz w:val="24"/>
          <w:szCs w:val="24"/>
        </w:rPr>
        <w:t>3.2.</w:t>
      </w:r>
      <w:r>
        <w:rPr>
          <w:rFonts w:ascii="仿宋" w:hAnsi="仿宋" w:eastAsia="仿宋" w:cs="仿宋"/>
          <w:spacing w:val="-56"/>
          <w:sz w:val="24"/>
          <w:szCs w:val="24"/>
        </w:rPr>
        <w:t xml:space="preserve"> </w:t>
      </w:r>
      <w:r>
        <w:rPr>
          <w:rFonts w:ascii="Times New Roman" w:hAnsi="Times New Roman" w:eastAsia="Times New Roman" w:cs="Times New Roman"/>
          <w:spacing w:val="15"/>
          <w:sz w:val="24"/>
          <w:szCs w:val="24"/>
        </w:rPr>
        <w:t>U</w:t>
      </w:r>
      <w:r>
        <w:rPr>
          <w:rFonts w:ascii="Times New Roman" w:hAnsi="Times New Roman" w:eastAsia="Times New Roman" w:cs="Times New Roman"/>
          <w:spacing w:val="3"/>
          <w:sz w:val="24"/>
          <w:szCs w:val="24"/>
        </w:rPr>
        <w:t xml:space="preserve">      </w:t>
      </w:r>
      <w:r>
        <w:rPr>
          <w:rFonts w:ascii="仿宋" w:hAnsi="仿宋" w:eastAsia="仿宋" w:cs="仿宋"/>
          <w:spacing w:val="15"/>
          <w:sz w:val="24"/>
          <w:szCs w:val="24"/>
        </w:rPr>
        <w:t>配置项测试</w:t>
      </w:r>
    </w:p>
    <w:p w14:paraId="11A98A96">
      <w:pPr>
        <w:spacing w:before="100" w:line="222" w:lineRule="auto"/>
        <w:ind w:left="560"/>
        <w:rPr>
          <w:rFonts w:ascii="仿宋" w:hAnsi="仿宋" w:eastAsia="仿宋" w:cs="仿宋"/>
          <w:sz w:val="27"/>
          <w:szCs w:val="27"/>
        </w:rPr>
      </w:pPr>
      <w:r>
        <w:rPr>
          <w:rFonts w:ascii="Times New Roman" w:hAnsi="Times New Roman" w:eastAsia="Times New Roman" w:cs="Times New Roman"/>
          <w:spacing w:val="-1"/>
          <w:sz w:val="27"/>
          <w:szCs w:val="27"/>
        </w:rPr>
        <w:t>3.2.U.V</w:t>
      </w:r>
      <w:r>
        <w:rPr>
          <w:rFonts w:ascii="Times New Roman" w:hAnsi="Times New Roman" w:eastAsia="Times New Roman" w:cs="Times New Roman"/>
          <w:spacing w:val="7"/>
          <w:sz w:val="27"/>
          <w:szCs w:val="27"/>
        </w:rPr>
        <w:t xml:space="preserve">        </w:t>
      </w:r>
      <w:r>
        <w:rPr>
          <w:rFonts w:ascii="仿宋" w:hAnsi="仿宋" w:eastAsia="仿宋" w:cs="仿宋"/>
          <w:spacing w:val="-1"/>
          <w:sz w:val="27"/>
          <w:szCs w:val="27"/>
        </w:rPr>
        <w:t>文字处理软件</w:t>
      </w:r>
    </w:p>
    <w:p w14:paraId="6FFE5538">
      <w:pPr>
        <w:spacing w:before="84" w:line="222" w:lineRule="auto"/>
        <w:ind w:left="560"/>
        <w:rPr>
          <w:rFonts w:ascii="仿宋" w:hAnsi="仿宋" w:eastAsia="仿宋" w:cs="仿宋"/>
          <w:sz w:val="27"/>
          <w:szCs w:val="27"/>
        </w:rPr>
      </w:pPr>
      <w:r>
        <w:rPr>
          <w:rFonts w:ascii="仿宋" w:hAnsi="仿宋" w:eastAsia="仿宋" w:cs="仿宋"/>
          <w:sz w:val="27"/>
          <w:szCs w:val="27"/>
        </w:rPr>
        <w:t>3.2.</w:t>
      </w:r>
      <w:r>
        <w:rPr>
          <w:rFonts w:ascii="Times New Roman" w:hAnsi="Times New Roman" w:eastAsia="Times New Roman" w:cs="Times New Roman"/>
          <w:sz w:val="27"/>
          <w:szCs w:val="27"/>
        </w:rPr>
        <w:t>U.V.W</w:t>
      </w:r>
      <w:r>
        <w:rPr>
          <w:rFonts w:ascii="Times New Roman" w:hAnsi="Times New Roman" w:eastAsia="Times New Roman" w:cs="Times New Roman"/>
          <w:spacing w:val="7"/>
          <w:sz w:val="27"/>
          <w:szCs w:val="27"/>
        </w:rPr>
        <w:t xml:space="preserve">       </w:t>
      </w:r>
      <w:r>
        <w:rPr>
          <w:rFonts w:ascii="仿宋" w:hAnsi="仿宋" w:eastAsia="仿宋" w:cs="仿宋"/>
          <w:sz w:val="27"/>
          <w:szCs w:val="27"/>
        </w:rPr>
        <w:t>功能测试</w:t>
      </w:r>
    </w:p>
    <w:p w14:paraId="77D0A4E3">
      <w:pPr>
        <w:spacing w:before="26" w:line="212" w:lineRule="auto"/>
        <w:ind w:left="560"/>
        <w:rPr>
          <w:rFonts w:ascii="Times New Roman" w:hAnsi="Times New Roman" w:eastAsia="Times New Roman" w:cs="Times New Roman"/>
          <w:sz w:val="29"/>
          <w:szCs w:val="29"/>
        </w:rPr>
      </w:pPr>
      <w:r>
        <w:rPr>
          <w:rFonts w:ascii="仿宋" w:hAnsi="仿宋" w:eastAsia="仿宋" w:cs="仿宋"/>
          <w:spacing w:val="-4"/>
          <w:sz w:val="29"/>
          <w:szCs w:val="29"/>
        </w:rPr>
        <w:t>3.2.</w:t>
      </w:r>
      <w:r>
        <w:rPr>
          <w:rFonts w:ascii="Times New Roman" w:hAnsi="Times New Roman" w:eastAsia="Times New Roman" w:cs="Times New Roman"/>
          <w:spacing w:val="-4"/>
          <w:sz w:val="29"/>
          <w:szCs w:val="29"/>
        </w:rPr>
        <w:t xml:space="preserve">U.V.W.X       </w:t>
      </w:r>
      <w:r>
        <w:rPr>
          <w:rFonts w:ascii="仿宋" w:hAnsi="仿宋" w:eastAsia="仿宋" w:cs="仿宋"/>
          <w:spacing w:val="-4"/>
          <w:sz w:val="29"/>
          <w:szCs w:val="29"/>
        </w:rPr>
        <w:t>编辑文字/</w:t>
      </w:r>
      <w:r>
        <w:rPr>
          <w:rFonts w:ascii="Times New Roman" w:hAnsi="Times New Roman" w:eastAsia="Times New Roman" w:cs="Times New Roman"/>
          <w:spacing w:val="-4"/>
          <w:sz w:val="29"/>
          <w:szCs w:val="29"/>
        </w:rPr>
        <w:t>WORD_FUN_Edit</w:t>
      </w:r>
    </w:p>
    <w:p w14:paraId="680822F8">
      <w:pPr>
        <w:spacing w:before="119" w:line="212" w:lineRule="auto"/>
        <w:ind w:left="560"/>
        <w:rPr>
          <w:rFonts w:ascii="Times New Roman" w:hAnsi="Times New Roman" w:eastAsia="Times New Roman" w:cs="Times New Roman"/>
          <w:sz w:val="27"/>
          <w:szCs w:val="27"/>
        </w:rPr>
      </w:pPr>
      <w:r>
        <w:rPr>
          <w:rFonts w:ascii="仿宋" w:hAnsi="仿宋" w:eastAsia="仿宋" w:cs="仿宋"/>
          <w:spacing w:val="-1"/>
          <w:sz w:val="27"/>
          <w:szCs w:val="27"/>
        </w:rPr>
        <w:t>3.2.</w:t>
      </w:r>
      <w:r>
        <w:rPr>
          <w:rFonts w:ascii="Times New Roman" w:hAnsi="Times New Roman" w:eastAsia="Times New Roman" w:cs="Times New Roman"/>
          <w:spacing w:val="-1"/>
          <w:sz w:val="27"/>
          <w:szCs w:val="27"/>
        </w:rPr>
        <w:t xml:space="preserve">U.V.W.X.Y          </w:t>
      </w:r>
      <w:r>
        <w:rPr>
          <w:rFonts w:ascii="仿宋" w:hAnsi="仿宋" w:eastAsia="仿宋" w:cs="仿宋"/>
          <w:spacing w:val="-1"/>
          <w:sz w:val="27"/>
          <w:szCs w:val="27"/>
        </w:rPr>
        <w:t>输入字符/</w:t>
      </w:r>
      <w:r>
        <w:rPr>
          <w:rFonts w:ascii="Times New Roman" w:hAnsi="Times New Roman" w:eastAsia="Times New Roman" w:cs="Times New Roman"/>
          <w:spacing w:val="-1"/>
          <w:sz w:val="27"/>
          <w:szCs w:val="27"/>
        </w:rPr>
        <w:t>WORD_FUN_Edit_</w:t>
      </w:r>
      <w:r>
        <w:rPr>
          <w:rFonts w:ascii="Times New Roman" w:hAnsi="Times New Roman" w:eastAsia="Times New Roman" w:cs="Times New Roman"/>
          <w:spacing w:val="-2"/>
          <w:sz w:val="27"/>
          <w:szCs w:val="27"/>
        </w:rPr>
        <w:t>InputChar</w:t>
      </w:r>
    </w:p>
    <w:p w14:paraId="6820E97C">
      <w:pPr>
        <w:spacing w:before="110" w:line="212" w:lineRule="auto"/>
        <w:ind w:left="560"/>
        <w:rPr>
          <w:rFonts w:ascii="Times New Roman" w:hAnsi="Times New Roman" w:eastAsia="Times New Roman" w:cs="Times New Roman"/>
          <w:sz w:val="27"/>
          <w:szCs w:val="27"/>
        </w:rPr>
      </w:pPr>
      <w:r>
        <w:rPr>
          <w:rFonts w:ascii="仿宋" w:hAnsi="仿宋" w:eastAsia="仿宋" w:cs="仿宋"/>
          <w:spacing w:val="-1"/>
          <w:sz w:val="27"/>
          <w:szCs w:val="27"/>
        </w:rPr>
        <w:t>3.2.</w:t>
      </w:r>
      <w:r>
        <w:rPr>
          <w:rFonts w:ascii="Times New Roman" w:hAnsi="Times New Roman" w:eastAsia="Times New Roman" w:cs="Times New Roman"/>
          <w:spacing w:val="-1"/>
          <w:sz w:val="27"/>
          <w:szCs w:val="27"/>
        </w:rPr>
        <w:t xml:space="preserve">U.V.W.X.Y.Z       </w:t>
      </w:r>
      <w:r>
        <w:rPr>
          <w:rFonts w:ascii="仿宋" w:hAnsi="仿宋" w:eastAsia="仿宋" w:cs="仿宋"/>
          <w:spacing w:val="-1"/>
          <w:sz w:val="27"/>
          <w:szCs w:val="27"/>
        </w:rPr>
        <w:t>输入</w:t>
      </w:r>
      <w:r>
        <w:rPr>
          <w:rFonts w:ascii="仿宋" w:hAnsi="仿宋" w:eastAsia="仿宋" w:cs="仿宋"/>
          <w:spacing w:val="-75"/>
          <w:sz w:val="27"/>
          <w:szCs w:val="27"/>
        </w:rPr>
        <w:t xml:space="preserve"> </w:t>
      </w:r>
      <w:r>
        <w:rPr>
          <w:rFonts w:ascii="Times New Roman" w:hAnsi="Times New Roman" w:eastAsia="Times New Roman" w:cs="Times New Roman"/>
          <w:spacing w:val="-1"/>
          <w:sz w:val="27"/>
          <w:szCs w:val="27"/>
        </w:rPr>
        <w:t>ASCII</w:t>
      </w:r>
      <w:r>
        <w:rPr>
          <w:rFonts w:ascii="仿宋" w:hAnsi="仿宋" w:eastAsia="仿宋" w:cs="仿宋"/>
          <w:spacing w:val="-1"/>
          <w:sz w:val="27"/>
          <w:szCs w:val="27"/>
        </w:rPr>
        <w:t>码字符/</w:t>
      </w:r>
      <w:r>
        <w:rPr>
          <w:rFonts w:ascii="Times New Roman" w:hAnsi="Times New Roman" w:eastAsia="Times New Roman" w:cs="Times New Roman"/>
          <w:spacing w:val="-1"/>
          <w:sz w:val="27"/>
          <w:szCs w:val="27"/>
        </w:rPr>
        <w:t>WO</w:t>
      </w:r>
      <w:r>
        <w:rPr>
          <w:rFonts w:ascii="Times New Roman" w:hAnsi="Times New Roman" w:eastAsia="Times New Roman" w:cs="Times New Roman"/>
          <w:spacing w:val="-2"/>
          <w:sz w:val="27"/>
          <w:szCs w:val="27"/>
        </w:rPr>
        <w:t>RD_FUNEdit_InputChar_ASCII</w:t>
      </w:r>
    </w:p>
    <w:p w14:paraId="079CD1B2">
      <w:pPr>
        <w:spacing w:line="212" w:lineRule="auto"/>
        <w:rPr>
          <w:rFonts w:ascii="Times New Roman" w:hAnsi="Times New Roman" w:eastAsia="Times New Roman" w:cs="Times New Roman"/>
          <w:sz w:val="27"/>
          <w:szCs w:val="27"/>
        </w:rPr>
        <w:sectPr>
          <w:footerReference r:id="rId274" w:type="default"/>
          <w:pgSz w:w="11910" w:h="17130"/>
          <w:pgMar w:top="1456" w:right="1374" w:bottom="1613" w:left="1049" w:header="0" w:footer="1414" w:gutter="0"/>
          <w:cols w:space="720" w:num="1"/>
        </w:sectPr>
      </w:pPr>
    </w:p>
    <w:p w14:paraId="7B994593">
      <w:pPr>
        <w:spacing w:before="72" w:line="221" w:lineRule="auto"/>
        <w:rPr>
          <w:rFonts w:ascii="黑体" w:hAnsi="黑体" w:eastAsia="黑体" w:cs="黑体"/>
          <w:sz w:val="27"/>
          <w:szCs w:val="27"/>
        </w:rPr>
      </w:pPr>
      <w:r>
        <w:rPr>
          <w:rFonts w:ascii="黑体" w:hAnsi="黑体" w:eastAsia="黑体" w:cs="黑体"/>
          <w:spacing w:val="4"/>
          <w:sz w:val="27"/>
          <w:szCs w:val="27"/>
        </w:rPr>
        <w:t>3.3  测试内容充分性及测试方法有效性分析</w:t>
      </w:r>
    </w:p>
    <w:p w14:paraId="7A33BAF4">
      <w:pPr>
        <w:pStyle w:val="2"/>
        <w:spacing w:before="108" w:line="287" w:lineRule="auto"/>
        <w:ind w:firstLine="560"/>
        <w:jc w:val="both"/>
      </w:pPr>
      <w:r>
        <w:t>对每个测试项或子测试项，应建立其与软件研制总要求或系统研制总要求、</w:t>
      </w:r>
      <w:r>
        <w:rPr>
          <w:spacing w:val="13"/>
        </w:rPr>
        <w:t xml:space="preserve"> </w:t>
      </w:r>
      <w:r>
        <w:rPr>
          <w:spacing w:val="5"/>
        </w:rPr>
        <w:t>软件需求规格说明及其他等效文档之间的追踪关系，建议采用表格的形式进行</w:t>
      </w:r>
      <w:r>
        <w:rPr>
          <w:spacing w:val="6"/>
        </w:rPr>
        <w:t xml:space="preserve">  </w:t>
      </w:r>
      <w:r>
        <w:rPr>
          <w:spacing w:val="-2"/>
        </w:rPr>
        <w:t>描述。</w:t>
      </w:r>
    </w:p>
    <w:p w14:paraId="5C83AE28">
      <w:pPr>
        <w:pStyle w:val="2"/>
        <w:spacing w:before="5" w:line="276" w:lineRule="auto"/>
        <w:ind w:right="121" w:firstLine="560"/>
        <w:jc w:val="both"/>
      </w:pPr>
      <w:r>
        <w:rPr>
          <w:spacing w:val="-3"/>
        </w:rPr>
        <w:t>对设计的测试项进行充分性分析，对采用的测试方法</w:t>
      </w:r>
      <w:r>
        <w:rPr>
          <w:spacing w:val="-4"/>
        </w:rPr>
        <w:t>进行有效性分析，并就</w:t>
      </w:r>
      <w:r>
        <w:t xml:space="preserve"> </w:t>
      </w:r>
      <w:r>
        <w:rPr>
          <w:spacing w:val="-3"/>
        </w:rPr>
        <w:t>测试内容是否满足《军用软件产品定型管理办法》及二级定委相关规定要求，是</w:t>
      </w:r>
      <w:r>
        <w:rPr>
          <w:spacing w:val="17"/>
        </w:rPr>
        <w:t xml:space="preserve"> </w:t>
      </w:r>
      <w:r>
        <w:rPr>
          <w:spacing w:val="5"/>
        </w:rPr>
        <w:t>否覆盖被测软件研制总要求或系统研制总要求、软件需求规格说明及其他等效</w:t>
      </w:r>
      <w:r>
        <w:rPr>
          <w:spacing w:val="10"/>
        </w:rPr>
        <w:t xml:space="preserve"> </w:t>
      </w:r>
      <w:r>
        <w:rPr>
          <w:spacing w:val="3"/>
        </w:rPr>
        <w:t>文档规定的书面和隐含要求作出说明。</w:t>
      </w:r>
    </w:p>
    <w:p w14:paraId="2685E30E">
      <w:pPr>
        <w:spacing w:line="368" w:lineRule="exact"/>
        <w:rPr>
          <w:rFonts w:ascii="黑体" w:hAnsi="黑体" w:eastAsia="黑体" w:cs="黑体"/>
          <w:sz w:val="27"/>
          <w:szCs w:val="27"/>
        </w:rPr>
      </w:pPr>
      <w:r>
        <w:rPr>
          <w:rFonts w:ascii="Arial" w:hAnsi="Arial" w:eastAsia="Arial" w:cs="Arial"/>
          <w:spacing w:val="5"/>
          <w:position w:val="1"/>
          <w:sz w:val="27"/>
          <w:szCs w:val="27"/>
        </w:rPr>
        <w:t xml:space="preserve">3.4    </w:t>
      </w:r>
      <w:r>
        <w:rPr>
          <w:rFonts w:ascii="黑体" w:hAnsi="黑体" w:eastAsia="黑体" w:cs="黑体"/>
          <w:spacing w:val="5"/>
          <w:position w:val="1"/>
          <w:sz w:val="27"/>
          <w:szCs w:val="27"/>
        </w:rPr>
        <w:t>软件问题类型及严重性等级</w:t>
      </w:r>
    </w:p>
    <w:p w14:paraId="621692BC">
      <w:pPr>
        <w:pStyle w:val="2"/>
        <w:spacing w:before="91" w:line="294" w:lineRule="auto"/>
        <w:ind w:right="89" w:firstLine="560"/>
      </w:pPr>
      <w:r>
        <w:rPr>
          <w:spacing w:val="-2"/>
        </w:rPr>
        <w:t>对此次定型测评采用的软件问题分类方法作简要描述</w:t>
      </w:r>
      <w:r>
        <w:rPr>
          <w:spacing w:val="-3"/>
        </w:rPr>
        <w:t>，宜按文档问题、程序</w:t>
      </w:r>
      <w:r>
        <w:t xml:space="preserve"> </w:t>
      </w:r>
      <w:r>
        <w:rPr>
          <w:spacing w:val="-13"/>
        </w:rPr>
        <w:t>问题、设计问题、其他问题等进行分类，并加以说明。</w:t>
      </w:r>
    </w:p>
    <w:p w14:paraId="2C9132AB">
      <w:pPr>
        <w:pStyle w:val="2"/>
        <w:spacing w:before="3" w:line="286" w:lineRule="auto"/>
        <w:ind w:right="82" w:firstLine="560"/>
      </w:pPr>
      <w:r>
        <w:rPr>
          <w:spacing w:val="6"/>
        </w:rPr>
        <w:t>对此次定型测评采用的软件问题严重性等级划分方法作简要描述，宜按照</w:t>
      </w:r>
      <w:r>
        <w:rPr>
          <w:spacing w:val="8"/>
        </w:rPr>
        <w:t xml:space="preserve"> </w:t>
      </w:r>
      <w:r>
        <w:rPr>
          <w:rFonts w:ascii="Times New Roman" w:hAnsi="Times New Roman" w:eastAsia="Times New Roman" w:cs="Times New Roman"/>
          <w:spacing w:val="-3"/>
        </w:rPr>
        <w:t xml:space="preserve">GJB  2786 </w:t>
      </w:r>
      <w:r>
        <w:rPr>
          <w:spacing w:val="-3"/>
        </w:rPr>
        <w:t>中的规定进行分类，并加以说明。</w:t>
      </w:r>
    </w:p>
    <w:p w14:paraId="6BCBF948">
      <w:pPr>
        <w:spacing w:before="1" w:line="221" w:lineRule="auto"/>
        <w:rPr>
          <w:rFonts w:ascii="黑体" w:hAnsi="黑体" w:eastAsia="黑体" w:cs="黑体"/>
          <w:sz w:val="24"/>
          <w:szCs w:val="24"/>
        </w:rPr>
      </w:pPr>
      <w:r>
        <w:rPr>
          <w:rFonts w:ascii="黑体" w:hAnsi="黑体" w:eastAsia="黑体" w:cs="黑体"/>
          <w:spacing w:val="25"/>
          <w:sz w:val="24"/>
          <w:szCs w:val="24"/>
        </w:rPr>
        <w:t>4</w:t>
      </w:r>
      <w:r>
        <w:rPr>
          <w:rFonts w:ascii="黑体" w:hAnsi="黑体" w:eastAsia="黑体" w:cs="黑体"/>
          <w:spacing w:val="36"/>
          <w:sz w:val="24"/>
          <w:szCs w:val="24"/>
        </w:rPr>
        <w:t xml:space="preserve">  </w:t>
      </w:r>
      <w:r>
        <w:rPr>
          <w:rFonts w:ascii="黑体" w:hAnsi="黑体" w:eastAsia="黑体" w:cs="黑体"/>
          <w:spacing w:val="25"/>
          <w:sz w:val="24"/>
          <w:szCs w:val="24"/>
        </w:rPr>
        <w:t>测评环境</w:t>
      </w:r>
    </w:p>
    <w:p w14:paraId="2E7BD449">
      <w:pPr>
        <w:spacing w:before="141" w:line="222" w:lineRule="auto"/>
        <w:rPr>
          <w:rFonts w:ascii="黑体" w:hAnsi="黑体" w:eastAsia="黑体" w:cs="黑体"/>
          <w:sz w:val="25"/>
          <w:szCs w:val="25"/>
        </w:rPr>
      </w:pPr>
      <w:r>
        <w:rPr>
          <w:rFonts w:ascii="黑体" w:hAnsi="黑体" w:eastAsia="黑体" w:cs="黑体"/>
          <w:spacing w:val="15"/>
          <w:sz w:val="25"/>
          <w:szCs w:val="25"/>
        </w:rPr>
        <w:t>4.1</w:t>
      </w:r>
      <w:r>
        <w:rPr>
          <w:rFonts w:ascii="黑体" w:hAnsi="黑体" w:eastAsia="黑体" w:cs="黑体"/>
          <w:spacing w:val="41"/>
          <w:sz w:val="25"/>
          <w:szCs w:val="25"/>
        </w:rPr>
        <w:t xml:space="preserve">  </w:t>
      </w:r>
      <w:r>
        <w:rPr>
          <w:rFonts w:ascii="黑体" w:hAnsi="黑体" w:eastAsia="黑体" w:cs="黑体"/>
          <w:spacing w:val="15"/>
          <w:sz w:val="25"/>
          <w:szCs w:val="25"/>
        </w:rPr>
        <w:t>软硬件环境</w:t>
      </w:r>
    </w:p>
    <w:p w14:paraId="7A588862">
      <w:pPr>
        <w:pStyle w:val="2"/>
        <w:spacing w:before="102" w:line="219" w:lineRule="auto"/>
        <w:ind w:left="560"/>
      </w:pPr>
      <w:r>
        <w:rPr>
          <w:spacing w:val="4"/>
        </w:rPr>
        <w:t>对此次定型测评所需的软硬件环境进行描述。</w:t>
      </w:r>
    </w:p>
    <w:p w14:paraId="7385A7E6">
      <w:pPr>
        <w:pStyle w:val="2"/>
        <w:spacing w:before="79" w:line="261" w:lineRule="auto"/>
        <w:ind w:right="92" w:firstLine="560"/>
      </w:pPr>
      <w:r>
        <w:rPr>
          <w:rFonts w:ascii="Times New Roman" w:hAnsi="Times New Roman" w:eastAsia="Times New Roman" w:cs="Times New Roman"/>
          <w:spacing w:val="3"/>
        </w:rPr>
        <w:t xml:space="preserve">a)  </w:t>
      </w:r>
      <w:r>
        <w:rPr>
          <w:spacing w:val="3"/>
        </w:rPr>
        <w:t>整体结构。描述测评工作所需的软硬件环境的整体结构，如需建立网络</w:t>
      </w:r>
      <w:r>
        <w:rPr>
          <w:spacing w:val="12"/>
        </w:rPr>
        <w:t xml:space="preserve"> </w:t>
      </w:r>
      <w:r>
        <w:rPr>
          <w:spacing w:val="-3"/>
        </w:rPr>
        <w:t>环境，还需描述网络的拓扑结构和配置。</w:t>
      </w:r>
    </w:p>
    <w:p w14:paraId="6020DC0E">
      <w:pPr>
        <w:pStyle w:val="2"/>
        <w:spacing w:before="99" w:line="273" w:lineRule="auto"/>
        <w:ind w:right="90" w:firstLine="560"/>
      </w:pPr>
      <w:r>
        <w:rPr>
          <w:rFonts w:ascii="Times New Roman" w:hAnsi="Times New Roman" w:eastAsia="Times New Roman" w:cs="Times New Roman"/>
          <w:spacing w:val="11"/>
        </w:rPr>
        <w:t xml:space="preserve">b)  </w:t>
      </w:r>
      <w:r>
        <w:rPr>
          <w:spacing w:val="11"/>
        </w:rPr>
        <w:t>软硬件资源。描述测评工作所需的系统软件、支撑软件以及测评工具</w:t>
      </w:r>
      <w:r>
        <w:t xml:space="preserve"> </w:t>
      </w:r>
      <w:r>
        <w:rPr>
          <w:spacing w:val="-3"/>
        </w:rPr>
        <w:t>等，包括每个软件项的名称、版本、用途等信息；描述测评工作所需的计算机硬</w:t>
      </w:r>
      <w:r>
        <w:rPr>
          <w:spacing w:val="15"/>
        </w:rPr>
        <w:t xml:space="preserve"> </w:t>
      </w:r>
      <w:r>
        <w:rPr>
          <w:spacing w:val="-10"/>
        </w:rPr>
        <w:t>件、接口设备和固件项等，包括每个硬件设备的名称、配置、用途等信息。如果测</w:t>
      </w:r>
      <w:r>
        <w:rPr>
          <w:spacing w:val="10"/>
        </w:rPr>
        <w:t xml:space="preserve"> </w:t>
      </w:r>
      <w:r>
        <w:rPr>
          <w:spacing w:val="-1"/>
        </w:rPr>
        <w:t>评工作需用非测评机构的软硬件资源，应加以</w:t>
      </w:r>
      <w:r>
        <w:rPr>
          <w:spacing w:val="-2"/>
        </w:rPr>
        <w:t>说明。</w:t>
      </w:r>
    </w:p>
    <w:p w14:paraId="78BF40AC">
      <w:pPr>
        <w:spacing w:before="99" w:line="222" w:lineRule="auto"/>
        <w:rPr>
          <w:rFonts w:ascii="黑体" w:hAnsi="黑体" w:eastAsia="黑体" w:cs="黑体"/>
          <w:sz w:val="25"/>
          <w:szCs w:val="25"/>
        </w:rPr>
      </w:pPr>
      <w:r>
        <w:rPr>
          <w:rFonts w:ascii="黑体" w:hAnsi="黑体" w:eastAsia="黑体" w:cs="黑体"/>
          <w:spacing w:val="16"/>
          <w:sz w:val="25"/>
          <w:szCs w:val="25"/>
        </w:rPr>
        <w:t>4.2</w:t>
      </w:r>
      <w:r>
        <w:rPr>
          <w:rFonts w:ascii="黑体" w:hAnsi="黑体" w:eastAsia="黑体" w:cs="黑体"/>
          <w:spacing w:val="39"/>
          <w:sz w:val="25"/>
          <w:szCs w:val="25"/>
        </w:rPr>
        <w:t xml:space="preserve">  </w:t>
      </w:r>
      <w:r>
        <w:rPr>
          <w:rFonts w:ascii="黑体" w:hAnsi="黑体" w:eastAsia="黑体" w:cs="黑体"/>
          <w:spacing w:val="16"/>
          <w:sz w:val="25"/>
          <w:szCs w:val="25"/>
        </w:rPr>
        <w:t>测评场所</w:t>
      </w:r>
    </w:p>
    <w:p w14:paraId="57A0B3B5">
      <w:pPr>
        <w:pStyle w:val="2"/>
        <w:spacing w:before="133" w:line="281" w:lineRule="auto"/>
        <w:ind w:right="90" w:firstLine="560"/>
      </w:pPr>
      <w:r>
        <w:rPr>
          <w:spacing w:val="-2"/>
        </w:rPr>
        <w:t>描述执行测评工作所需场所的地点、面积以及安全</w:t>
      </w:r>
      <w:r>
        <w:rPr>
          <w:spacing w:val="-3"/>
        </w:rPr>
        <w:t>保密措施等，如果测评工</w:t>
      </w:r>
      <w:r>
        <w:t xml:space="preserve"> </w:t>
      </w:r>
      <w:r>
        <w:rPr>
          <w:spacing w:val="-3"/>
        </w:rPr>
        <w:t>作需在非测评机构进行，应加以说明。</w:t>
      </w:r>
    </w:p>
    <w:p w14:paraId="08051BA6">
      <w:pPr>
        <w:spacing w:before="34" w:line="222" w:lineRule="auto"/>
        <w:rPr>
          <w:rFonts w:ascii="黑体" w:hAnsi="黑体" w:eastAsia="黑体" w:cs="黑体"/>
          <w:sz w:val="24"/>
          <w:szCs w:val="24"/>
        </w:rPr>
      </w:pPr>
      <w:r>
        <w:rPr>
          <w:rFonts w:ascii="黑体" w:hAnsi="黑体" w:eastAsia="黑体" w:cs="黑体"/>
          <w:spacing w:val="23"/>
          <w:sz w:val="24"/>
          <w:szCs w:val="24"/>
        </w:rPr>
        <w:t>4.3</w:t>
      </w:r>
      <w:r>
        <w:rPr>
          <w:rFonts w:ascii="黑体" w:hAnsi="黑体" w:eastAsia="黑体" w:cs="黑体"/>
          <w:spacing w:val="44"/>
          <w:sz w:val="24"/>
          <w:szCs w:val="24"/>
        </w:rPr>
        <w:t xml:space="preserve">  </w:t>
      </w:r>
      <w:r>
        <w:rPr>
          <w:rFonts w:ascii="黑体" w:hAnsi="黑体" w:eastAsia="黑体" w:cs="黑体"/>
          <w:spacing w:val="23"/>
          <w:sz w:val="24"/>
          <w:szCs w:val="24"/>
        </w:rPr>
        <w:t>测评数据</w:t>
      </w:r>
    </w:p>
    <w:p w14:paraId="44D92895">
      <w:pPr>
        <w:pStyle w:val="2"/>
        <w:spacing w:before="142" w:line="219" w:lineRule="auto"/>
        <w:ind w:left="560"/>
        <w:rPr>
          <w:sz w:val="25"/>
          <w:szCs w:val="25"/>
        </w:rPr>
      </w:pPr>
      <w:r>
        <w:rPr>
          <w:spacing w:val="12"/>
          <w:sz w:val="25"/>
          <w:szCs w:val="25"/>
        </w:rPr>
        <w:t>描述测评工作所需的真实或模拟数据，包括数据</w:t>
      </w:r>
      <w:r>
        <w:rPr>
          <w:spacing w:val="11"/>
          <w:sz w:val="25"/>
          <w:szCs w:val="25"/>
        </w:rPr>
        <w:t>的规格、数量、密级等。</w:t>
      </w:r>
    </w:p>
    <w:p w14:paraId="52B245C9">
      <w:pPr>
        <w:spacing w:before="143" w:line="222" w:lineRule="auto"/>
        <w:rPr>
          <w:rFonts w:ascii="黑体" w:hAnsi="黑体" w:eastAsia="黑体" w:cs="黑体"/>
          <w:sz w:val="24"/>
          <w:szCs w:val="24"/>
        </w:rPr>
      </w:pPr>
      <w:r>
        <w:rPr>
          <w:rFonts w:ascii="黑体" w:hAnsi="黑体" w:eastAsia="黑体" w:cs="黑体"/>
          <w:spacing w:val="26"/>
          <w:sz w:val="24"/>
          <w:szCs w:val="24"/>
        </w:rPr>
        <w:t>4.4</w:t>
      </w:r>
      <w:r>
        <w:rPr>
          <w:rFonts w:ascii="黑体" w:hAnsi="黑体" w:eastAsia="黑体" w:cs="黑体"/>
          <w:spacing w:val="51"/>
          <w:sz w:val="24"/>
          <w:szCs w:val="24"/>
        </w:rPr>
        <w:t xml:space="preserve">  </w:t>
      </w:r>
      <w:r>
        <w:rPr>
          <w:rFonts w:ascii="黑体" w:hAnsi="黑体" w:eastAsia="黑体" w:cs="黑体"/>
          <w:spacing w:val="26"/>
          <w:sz w:val="24"/>
          <w:szCs w:val="24"/>
        </w:rPr>
        <w:t>环境差异影响分析</w:t>
      </w:r>
    </w:p>
    <w:p w14:paraId="55D41574">
      <w:pPr>
        <w:pStyle w:val="2"/>
        <w:spacing w:before="134" w:line="285" w:lineRule="auto"/>
        <w:ind w:firstLine="560"/>
        <w:jc w:val="both"/>
      </w:pPr>
      <w:r>
        <w:rPr>
          <w:spacing w:val="-6"/>
        </w:rPr>
        <w:t>描述4.1、4.2、4.3中的软硬件环境及其结构、场所、数据与被</w:t>
      </w:r>
      <w:r>
        <w:rPr>
          <w:spacing w:val="-7"/>
        </w:rPr>
        <w:t>测软件研制总</w:t>
      </w:r>
      <w:r>
        <w:t xml:space="preserve"> </w:t>
      </w:r>
      <w:r>
        <w:rPr>
          <w:spacing w:val="1"/>
        </w:rPr>
        <w:t>要求或系统研制总要求、软件需求规格说明及其他等效文档要求的软硬件环</w:t>
      </w:r>
      <w:r>
        <w:t xml:space="preserve">境、 </w:t>
      </w:r>
      <w:r>
        <w:rPr>
          <w:spacing w:val="-3"/>
        </w:rPr>
        <w:t>使用场所、数据之问的差异，并分析环境差</w:t>
      </w:r>
      <w:r>
        <w:rPr>
          <w:spacing w:val="-4"/>
        </w:rPr>
        <w:t>异可能对测评结果产生的影响。</w:t>
      </w:r>
    </w:p>
    <w:p w14:paraId="777B6376">
      <w:pPr>
        <w:spacing w:before="7" w:line="222" w:lineRule="auto"/>
        <w:rPr>
          <w:rFonts w:ascii="黑体" w:hAnsi="黑体" w:eastAsia="黑体" w:cs="黑体"/>
          <w:sz w:val="24"/>
          <w:szCs w:val="24"/>
        </w:rPr>
      </w:pPr>
      <w:r>
        <w:rPr>
          <w:rFonts w:ascii="黑体" w:hAnsi="黑体" w:eastAsia="黑体" w:cs="黑体"/>
          <w:spacing w:val="25"/>
          <w:sz w:val="24"/>
          <w:szCs w:val="24"/>
        </w:rPr>
        <w:t>5</w:t>
      </w:r>
      <w:r>
        <w:rPr>
          <w:rFonts w:ascii="黑体" w:hAnsi="黑体" w:eastAsia="黑体" w:cs="黑体"/>
          <w:spacing w:val="37"/>
          <w:sz w:val="24"/>
          <w:szCs w:val="24"/>
        </w:rPr>
        <w:t xml:space="preserve">  </w:t>
      </w:r>
      <w:r>
        <w:rPr>
          <w:rFonts w:ascii="黑体" w:hAnsi="黑体" w:eastAsia="黑体" w:cs="黑体"/>
          <w:spacing w:val="25"/>
          <w:sz w:val="24"/>
          <w:szCs w:val="24"/>
        </w:rPr>
        <w:t>测评进度</w:t>
      </w:r>
    </w:p>
    <w:p w14:paraId="33D30ACE">
      <w:pPr>
        <w:pStyle w:val="2"/>
        <w:spacing w:before="114" w:line="219" w:lineRule="auto"/>
        <w:ind w:left="560"/>
      </w:pPr>
      <w:r>
        <w:rPr>
          <w:spacing w:val="-3"/>
        </w:rPr>
        <w:t>描述主要测评活动的时间节点、提交的工作产品。</w:t>
      </w:r>
    </w:p>
    <w:p w14:paraId="02DD8A47">
      <w:pPr>
        <w:spacing w:line="219" w:lineRule="auto"/>
        <w:sectPr>
          <w:footerReference r:id="rId275" w:type="default"/>
          <w:pgSz w:w="11910" w:h="17130"/>
          <w:pgMar w:top="1456" w:right="995" w:bottom="1587" w:left="1430" w:header="0" w:footer="1371" w:gutter="0"/>
          <w:cols w:space="720" w:num="1"/>
        </w:sectPr>
      </w:pPr>
    </w:p>
    <w:p w14:paraId="3CA29733">
      <w:pPr>
        <w:spacing w:before="69" w:line="222"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4"/>
          <w:sz w:val="27"/>
          <w:szCs w:val="27"/>
        </w:rPr>
        <w:t xml:space="preserve">  </w:t>
      </w:r>
      <w:r>
        <w:rPr>
          <w:rFonts w:ascii="黑体" w:hAnsi="黑体" w:eastAsia="黑体" w:cs="黑体"/>
          <w:b/>
          <w:bCs/>
          <w:spacing w:val="1"/>
          <w:sz w:val="27"/>
          <w:szCs w:val="27"/>
        </w:rPr>
        <w:t>测评结束条件</w:t>
      </w:r>
    </w:p>
    <w:p w14:paraId="34798F6D">
      <w:pPr>
        <w:pStyle w:val="2"/>
        <w:spacing w:before="81" w:line="219" w:lineRule="auto"/>
        <w:ind w:left="550"/>
      </w:pPr>
      <w:r>
        <w:rPr>
          <w:spacing w:val="4"/>
        </w:rPr>
        <w:t>描述此次定型测评进行的最多测试轮次和结束条件。</w:t>
      </w:r>
    </w:p>
    <w:p w14:paraId="7C2608C2">
      <w:pPr>
        <w:spacing w:before="113" w:line="221" w:lineRule="auto"/>
        <w:outlineLvl w:val="3"/>
        <w:rPr>
          <w:rFonts w:ascii="黑体" w:hAnsi="黑体" w:eastAsia="黑体" w:cs="黑体"/>
          <w:sz w:val="27"/>
          <w:szCs w:val="27"/>
        </w:rPr>
      </w:pPr>
      <w:r>
        <w:rPr>
          <w:rFonts w:ascii="Arial" w:hAnsi="Arial" w:eastAsia="Arial" w:cs="Arial"/>
          <w:b/>
          <w:bCs/>
          <w:sz w:val="27"/>
          <w:szCs w:val="27"/>
        </w:rPr>
        <w:t>7</w:t>
      </w:r>
      <w:r>
        <w:rPr>
          <w:rFonts w:ascii="Arial" w:hAnsi="Arial" w:eastAsia="Arial" w:cs="Arial"/>
          <w:b/>
          <w:bCs/>
          <w:spacing w:val="20"/>
          <w:w w:val="101"/>
          <w:sz w:val="27"/>
          <w:szCs w:val="27"/>
        </w:rPr>
        <w:t xml:space="preserve">   </w:t>
      </w:r>
      <w:r>
        <w:rPr>
          <w:rFonts w:ascii="黑体" w:hAnsi="黑体" w:eastAsia="黑体" w:cs="黑体"/>
          <w:b/>
          <w:bCs/>
          <w:sz w:val="27"/>
          <w:szCs w:val="27"/>
        </w:rPr>
        <w:t>软件质量评价内容与方法</w:t>
      </w:r>
    </w:p>
    <w:p w14:paraId="0F044E06">
      <w:pPr>
        <w:pStyle w:val="2"/>
        <w:spacing w:before="90" w:line="218" w:lineRule="auto"/>
        <w:ind w:left="550"/>
      </w:pPr>
      <w:r>
        <w:rPr>
          <w:spacing w:val="4"/>
        </w:rPr>
        <w:t>描述此次定型测评的软件质量评价内容和评价方法。</w:t>
      </w:r>
    </w:p>
    <w:p w14:paraId="4EA46897">
      <w:pPr>
        <w:spacing w:before="137" w:line="222" w:lineRule="auto"/>
        <w:outlineLvl w:val="3"/>
        <w:rPr>
          <w:rFonts w:ascii="黑体" w:hAnsi="黑体" w:eastAsia="黑体" w:cs="黑体"/>
          <w:sz w:val="24"/>
          <w:szCs w:val="24"/>
        </w:rPr>
      </w:pPr>
      <w:r>
        <w:rPr>
          <w:rFonts w:ascii="Arial" w:hAnsi="Arial" w:eastAsia="Arial" w:cs="Arial"/>
          <w:b/>
          <w:bCs/>
          <w:spacing w:val="28"/>
          <w:sz w:val="24"/>
          <w:szCs w:val="24"/>
        </w:rPr>
        <w:t>8</w:t>
      </w:r>
      <w:r>
        <w:rPr>
          <w:rFonts w:ascii="Arial" w:hAnsi="Arial" w:eastAsia="Arial" w:cs="Arial"/>
          <w:b/>
          <w:bCs/>
          <w:spacing w:val="9"/>
          <w:sz w:val="24"/>
          <w:szCs w:val="24"/>
        </w:rPr>
        <w:t xml:space="preserve">    </w:t>
      </w:r>
      <w:r>
        <w:rPr>
          <w:rFonts w:ascii="黑体" w:hAnsi="黑体" w:eastAsia="黑体" w:cs="黑体"/>
          <w:b/>
          <w:bCs/>
          <w:spacing w:val="28"/>
          <w:sz w:val="24"/>
          <w:szCs w:val="24"/>
        </w:rPr>
        <w:t>定型测评通过准则</w:t>
      </w:r>
    </w:p>
    <w:p w14:paraId="07B46B69">
      <w:pPr>
        <w:pStyle w:val="2"/>
        <w:spacing w:before="107" w:line="219" w:lineRule="auto"/>
        <w:ind w:left="550"/>
      </w:pPr>
      <w:r>
        <w:rPr>
          <w:spacing w:val="3"/>
        </w:rPr>
        <w:t>描述被测软件通过此次定型测评的准则。</w:t>
      </w:r>
    </w:p>
    <w:p w14:paraId="5DF23D0F">
      <w:pPr>
        <w:spacing w:before="136" w:line="223" w:lineRule="auto"/>
        <w:rPr>
          <w:rFonts w:ascii="黑体" w:hAnsi="黑体" w:eastAsia="黑体" w:cs="黑体"/>
          <w:sz w:val="24"/>
          <w:szCs w:val="24"/>
        </w:rPr>
      </w:pPr>
      <w:r>
        <w:rPr>
          <w:rFonts w:ascii="黑体" w:hAnsi="黑体" w:eastAsia="黑体" w:cs="黑体"/>
          <w:spacing w:val="23"/>
          <w:sz w:val="24"/>
          <w:szCs w:val="24"/>
        </w:rPr>
        <w:t>9</w:t>
      </w:r>
      <w:r>
        <w:rPr>
          <w:rFonts w:ascii="黑体" w:hAnsi="黑体" w:eastAsia="黑体" w:cs="黑体"/>
          <w:spacing w:val="34"/>
          <w:sz w:val="24"/>
          <w:szCs w:val="24"/>
        </w:rPr>
        <w:t xml:space="preserve">  </w:t>
      </w:r>
      <w:r>
        <w:rPr>
          <w:rFonts w:ascii="黑体" w:hAnsi="黑体" w:eastAsia="黑体" w:cs="黑体"/>
          <w:b/>
          <w:bCs/>
          <w:spacing w:val="23"/>
          <w:sz w:val="24"/>
          <w:szCs w:val="24"/>
        </w:rPr>
        <w:t>配置管理</w:t>
      </w:r>
    </w:p>
    <w:p w14:paraId="2824252F">
      <w:pPr>
        <w:pStyle w:val="2"/>
        <w:spacing w:before="84" w:line="219" w:lineRule="auto"/>
        <w:ind w:left="550"/>
      </w:pPr>
      <w:r>
        <w:rPr>
          <w:spacing w:val="-6"/>
        </w:rPr>
        <w:t>描述此次定型测评过程中的配置管理范围、活动、措施和资源。</w:t>
      </w:r>
    </w:p>
    <w:p w14:paraId="6F115974">
      <w:pPr>
        <w:spacing w:before="126" w:line="222" w:lineRule="auto"/>
        <w:rPr>
          <w:rFonts w:ascii="黑体" w:hAnsi="黑体" w:eastAsia="黑体" w:cs="黑体"/>
          <w:sz w:val="27"/>
          <w:szCs w:val="27"/>
        </w:rPr>
      </w:pPr>
      <w:r>
        <w:rPr>
          <w:rFonts w:ascii="黑体" w:hAnsi="黑体" w:eastAsia="黑体" w:cs="黑体"/>
          <w:spacing w:val="-4"/>
          <w:sz w:val="27"/>
          <w:szCs w:val="27"/>
        </w:rPr>
        <w:t>10</w:t>
      </w:r>
      <w:r>
        <w:rPr>
          <w:rFonts w:ascii="黑体" w:hAnsi="黑体" w:eastAsia="黑体" w:cs="黑体"/>
          <w:spacing w:val="19"/>
          <w:sz w:val="27"/>
          <w:szCs w:val="27"/>
        </w:rPr>
        <w:t xml:space="preserve">  </w:t>
      </w:r>
      <w:r>
        <w:rPr>
          <w:rFonts w:ascii="黑体" w:hAnsi="黑体" w:eastAsia="黑体" w:cs="黑体"/>
          <w:b/>
          <w:bCs/>
          <w:spacing w:val="-4"/>
          <w:sz w:val="27"/>
          <w:szCs w:val="27"/>
        </w:rPr>
        <w:t>质量保证</w:t>
      </w:r>
    </w:p>
    <w:p w14:paraId="7BE95246">
      <w:pPr>
        <w:pStyle w:val="2"/>
        <w:spacing w:before="89" w:line="219" w:lineRule="auto"/>
        <w:ind w:left="550"/>
      </w:pPr>
      <w:r>
        <w:rPr>
          <w:spacing w:val="-6"/>
        </w:rPr>
        <w:t>描述此次定型测评过程中的质量保证范围、活动、措施和资源。</w:t>
      </w:r>
    </w:p>
    <w:p w14:paraId="04B45AD1">
      <w:pPr>
        <w:spacing w:before="143" w:line="222" w:lineRule="auto"/>
        <w:rPr>
          <w:rFonts w:ascii="黑体" w:hAnsi="黑体" w:eastAsia="黑体" w:cs="黑体"/>
          <w:sz w:val="24"/>
          <w:szCs w:val="24"/>
        </w:rPr>
      </w:pPr>
      <w:r>
        <w:rPr>
          <w:rFonts w:ascii="黑体" w:hAnsi="黑体" w:eastAsia="黑体" w:cs="黑体"/>
          <w:spacing w:val="16"/>
          <w:sz w:val="24"/>
          <w:szCs w:val="24"/>
        </w:rPr>
        <w:t>11</w:t>
      </w:r>
      <w:r>
        <w:rPr>
          <w:rFonts w:ascii="黑体" w:hAnsi="黑体" w:eastAsia="黑体" w:cs="黑体"/>
          <w:spacing w:val="48"/>
          <w:sz w:val="24"/>
          <w:szCs w:val="24"/>
        </w:rPr>
        <w:t xml:space="preserve">  </w:t>
      </w:r>
      <w:r>
        <w:rPr>
          <w:rFonts w:ascii="黑体" w:hAnsi="黑体" w:eastAsia="黑体" w:cs="黑体"/>
          <w:b/>
          <w:bCs/>
          <w:spacing w:val="16"/>
          <w:sz w:val="24"/>
          <w:szCs w:val="24"/>
        </w:rPr>
        <w:t>测评分包</w:t>
      </w:r>
    </w:p>
    <w:p w14:paraId="4A77DA8B">
      <w:pPr>
        <w:pStyle w:val="2"/>
        <w:spacing w:before="116" w:line="282" w:lineRule="auto"/>
        <w:ind w:right="20" w:firstLine="550"/>
        <w:jc w:val="both"/>
      </w:pPr>
      <w:r>
        <w:rPr>
          <w:spacing w:val="-3"/>
        </w:rPr>
        <w:t>此部分为可选要素。描述分包的测评内容、测评环境、质量与进度要求，分</w:t>
      </w:r>
      <w:r>
        <w:t xml:space="preserve"> </w:t>
      </w:r>
      <w:r>
        <w:rPr>
          <w:spacing w:val="-3"/>
        </w:rPr>
        <w:t>包单位承担军用软件定型测评的资质、相关人员的技术资历，测评总承包单位对</w:t>
      </w:r>
      <w:r>
        <w:rPr>
          <w:spacing w:val="15"/>
        </w:rPr>
        <w:t xml:space="preserve"> </w:t>
      </w:r>
      <w:r>
        <w:rPr>
          <w:spacing w:val="-3"/>
        </w:rPr>
        <w:t>分包单位测评过程的质量监督、指导措施等。</w:t>
      </w:r>
    </w:p>
    <w:p w14:paraId="3120A995">
      <w:pPr>
        <w:spacing w:before="28" w:line="221" w:lineRule="auto"/>
        <w:rPr>
          <w:rFonts w:ascii="黑体" w:hAnsi="黑体" w:eastAsia="黑体" w:cs="黑体"/>
          <w:sz w:val="24"/>
          <w:szCs w:val="24"/>
        </w:rPr>
      </w:pPr>
      <w:r>
        <w:rPr>
          <w:rFonts w:ascii="黑体" w:hAnsi="黑体" w:eastAsia="黑体" w:cs="黑体"/>
          <w:spacing w:val="22"/>
          <w:sz w:val="24"/>
          <w:szCs w:val="24"/>
        </w:rPr>
        <w:t>12</w:t>
      </w:r>
      <w:r>
        <w:rPr>
          <w:rFonts w:ascii="黑体" w:hAnsi="黑体" w:eastAsia="黑体" w:cs="黑体"/>
          <w:spacing w:val="50"/>
          <w:sz w:val="24"/>
          <w:szCs w:val="24"/>
        </w:rPr>
        <w:t xml:space="preserve">  </w:t>
      </w:r>
      <w:r>
        <w:rPr>
          <w:rFonts w:ascii="黑体" w:hAnsi="黑体" w:eastAsia="黑体" w:cs="黑体"/>
          <w:b/>
          <w:bCs/>
          <w:spacing w:val="22"/>
          <w:sz w:val="24"/>
          <w:szCs w:val="24"/>
        </w:rPr>
        <w:t>测评项目组成员构成</w:t>
      </w:r>
    </w:p>
    <w:p w14:paraId="370A977C">
      <w:pPr>
        <w:pStyle w:val="2"/>
        <w:spacing w:before="120" w:line="220" w:lineRule="auto"/>
        <w:ind w:left="550"/>
      </w:pPr>
      <w:r>
        <w:rPr>
          <w:spacing w:val="-4"/>
        </w:rPr>
        <w:t>描述测评项目组的岗位构成，各岗位的职责，以及各岗位的人员</w:t>
      </w:r>
      <w:r>
        <w:rPr>
          <w:spacing w:val="-5"/>
        </w:rPr>
        <w:t>与分工。</w:t>
      </w:r>
    </w:p>
    <w:p w14:paraId="18344825">
      <w:pPr>
        <w:spacing w:before="91" w:line="221" w:lineRule="auto"/>
        <w:outlineLvl w:val="3"/>
        <w:rPr>
          <w:rFonts w:ascii="黑体" w:hAnsi="黑体" w:eastAsia="黑体" w:cs="黑体"/>
          <w:sz w:val="27"/>
          <w:szCs w:val="27"/>
        </w:rPr>
      </w:pPr>
      <w:r>
        <w:rPr>
          <w:rFonts w:ascii="Arial" w:hAnsi="Arial" w:eastAsia="Arial" w:cs="Arial"/>
          <w:b/>
          <w:bCs/>
          <w:spacing w:val="-1"/>
          <w:sz w:val="27"/>
          <w:szCs w:val="27"/>
        </w:rPr>
        <w:t>13</w:t>
      </w:r>
      <w:r>
        <w:rPr>
          <w:rFonts w:ascii="Arial" w:hAnsi="Arial" w:eastAsia="Arial" w:cs="Arial"/>
          <w:b/>
          <w:bCs/>
          <w:spacing w:val="17"/>
          <w:sz w:val="27"/>
          <w:szCs w:val="27"/>
        </w:rPr>
        <w:t xml:space="preserve">   </w:t>
      </w:r>
      <w:r>
        <w:rPr>
          <w:rFonts w:ascii="黑体" w:hAnsi="黑体" w:eastAsia="黑体" w:cs="黑体"/>
          <w:b/>
          <w:bCs/>
          <w:spacing w:val="-1"/>
          <w:sz w:val="27"/>
          <w:szCs w:val="27"/>
        </w:rPr>
        <w:t>安全保密与知识产权保护</w:t>
      </w:r>
    </w:p>
    <w:p w14:paraId="1C46F0EF">
      <w:pPr>
        <w:pStyle w:val="2"/>
        <w:spacing w:before="104" w:line="219" w:lineRule="auto"/>
        <w:ind w:left="550"/>
      </w:pPr>
      <w:r>
        <w:rPr>
          <w:spacing w:val="4"/>
        </w:rPr>
        <w:t>描述此次定型测评的安全保密和知识产权保护措施。</w:t>
      </w:r>
    </w:p>
    <w:p w14:paraId="6DD80B86">
      <w:pPr>
        <w:spacing w:before="133" w:line="222" w:lineRule="auto"/>
        <w:rPr>
          <w:rFonts w:ascii="黑体" w:hAnsi="黑体" w:eastAsia="黑体" w:cs="黑体"/>
          <w:sz w:val="24"/>
          <w:szCs w:val="24"/>
        </w:rPr>
      </w:pPr>
      <w:r>
        <w:rPr>
          <w:rFonts w:ascii="黑体" w:hAnsi="黑体" w:eastAsia="黑体" w:cs="黑体"/>
          <w:spacing w:val="19"/>
          <w:sz w:val="24"/>
          <w:szCs w:val="24"/>
        </w:rPr>
        <w:t>14</w:t>
      </w:r>
      <w:r>
        <w:rPr>
          <w:rFonts w:ascii="黑体" w:hAnsi="黑体" w:eastAsia="黑体" w:cs="黑体"/>
          <w:spacing w:val="48"/>
          <w:sz w:val="24"/>
          <w:szCs w:val="24"/>
        </w:rPr>
        <w:t xml:space="preserve">  </w:t>
      </w:r>
      <w:r>
        <w:rPr>
          <w:rFonts w:ascii="黑体" w:hAnsi="黑体" w:eastAsia="黑体" w:cs="黑体"/>
          <w:b/>
          <w:bCs/>
          <w:spacing w:val="19"/>
          <w:sz w:val="24"/>
          <w:szCs w:val="24"/>
        </w:rPr>
        <w:t>测评风险分析</w:t>
      </w:r>
    </w:p>
    <w:p w14:paraId="396144C2">
      <w:pPr>
        <w:pStyle w:val="2"/>
        <w:spacing w:before="106" w:line="293" w:lineRule="auto"/>
        <w:ind w:right="20" w:firstLine="550"/>
      </w:pPr>
      <w:r>
        <w:rPr>
          <w:spacing w:val="-11"/>
        </w:rPr>
        <w:t>从时间、技术、人员、环境、分包、项目管理等方面对完成此次定型测评任务</w:t>
      </w:r>
      <w:r>
        <w:rPr>
          <w:spacing w:val="5"/>
        </w:rPr>
        <w:t xml:space="preserve"> </w:t>
      </w:r>
      <w:r>
        <w:rPr>
          <w:spacing w:val="-6"/>
        </w:rPr>
        <w:t>的风险进行分析，并提出应对措施。</w:t>
      </w:r>
    </w:p>
    <w:p w14:paraId="53CDAD31">
      <w:pPr>
        <w:spacing w:line="222" w:lineRule="auto"/>
        <w:rPr>
          <w:rFonts w:ascii="黑体" w:hAnsi="黑体" w:eastAsia="黑体" w:cs="黑体"/>
          <w:sz w:val="25"/>
          <w:szCs w:val="25"/>
        </w:rPr>
      </w:pPr>
      <w:r>
        <w:rPr>
          <w:rFonts w:ascii="黑体" w:hAnsi="黑体" w:eastAsia="黑体" w:cs="黑体"/>
          <w:spacing w:val="-11"/>
          <w:sz w:val="25"/>
          <w:szCs w:val="25"/>
        </w:rPr>
        <w:t>15</w:t>
      </w:r>
      <w:r>
        <w:rPr>
          <w:rFonts w:ascii="黑体" w:hAnsi="黑体" w:eastAsia="黑体" w:cs="黑体"/>
          <w:spacing w:val="39"/>
          <w:sz w:val="25"/>
          <w:szCs w:val="25"/>
        </w:rPr>
        <w:t xml:space="preserve">  </w:t>
      </w:r>
      <w:r>
        <w:rPr>
          <w:rFonts w:ascii="黑体" w:hAnsi="黑体" w:eastAsia="黑体" w:cs="黑体"/>
          <w:b/>
          <w:bCs/>
          <w:spacing w:val="-11"/>
          <w:sz w:val="25"/>
          <w:szCs w:val="25"/>
        </w:rPr>
        <w:t>其</w:t>
      </w:r>
      <w:r>
        <w:rPr>
          <w:rFonts w:ascii="黑体" w:hAnsi="黑体" w:eastAsia="黑体" w:cs="黑体"/>
          <w:spacing w:val="-47"/>
          <w:sz w:val="25"/>
          <w:szCs w:val="25"/>
        </w:rPr>
        <w:t xml:space="preserve"> </w:t>
      </w:r>
      <w:r>
        <w:rPr>
          <w:rFonts w:ascii="黑体" w:hAnsi="黑体" w:eastAsia="黑体" w:cs="黑体"/>
          <w:b/>
          <w:bCs/>
          <w:spacing w:val="-11"/>
          <w:sz w:val="25"/>
          <w:szCs w:val="25"/>
        </w:rPr>
        <w:t>他</w:t>
      </w:r>
    </w:p>
    <w:p w14:paraId="03926520">
      <w:pPr>
        <w:pStyle w:val="2"/>
        <w:spacing w:before="114" w:line="219" w:lineRule="auto"/>
        <w:ind w:left="550"/>
      </w:pPr>
      <w:r>
        <w:rPr>
          <w:spacing w:val="-4"/>
        </w:rPr>
        <w:t>此部分为可选要素，描述其他需要说明的内容。</w:t>
      </w:r>
    </w:p>
    <w:p w14:paraId="4FE2234F">
      <w:pPr>
        <w:spacing w:line="355" w:lineRule="auto"/>
        <w:rPr>
          <w:rFonts w:ascii="Arial"/>
          <w:sz w:val="21"/>
        </w:rPr>
      </w:pPr>
    </w:p>
    <w:p w14:paraId="4577C182">
      <w:pPr>
        <w:pStyle w:val="2"/>
        <w:spacing w:before="118" w:line="218" w:lineRule="auto"/>
        <w:ind w:left="2699"/>
        <w:rPr>
          <w:sz w:val="36"/>
          <w:szCs w:val="36"/>
        </w:rPr>
      </w:pPr>
      <w:r>
        <w:rPr>
          <w:spacing w:val="3"/>
          <w:sz w:val="36"/>
          <w:szCs w:val="36"/>
        </w:rPr>
        <w:t>2.3</w:t>
      </w:r>
      <w:r>
        <w:rPr>
          <w:b/>
          <w:bCs/>
          <w:spacing w:val="3"/>
          <w:sz w:val="36"/>
          <w:szCs w:val="36"/>
        </w:rPr>
        <w:t>0</w:t>
      </w:r>
      <w:r>
        <w:rPr>
          <w:spacing w:val="3"/>
          <w:sz w:val="36"/>
          <w:szCs w:val="36"/>
        </w:rPr>
        <w:t xml:space="preserve">  </w:t>
      </w:r>
      <w:r>
        <w:rPr>
          <w:b/>
          <w:bCs/>
          <w:spacing w:val="3"/>
          <w:sz w:val="36"/>
          <w:szCs w:val="36"/>
        </w:rPr>
        <w:t>软件定型测评报告</w:t>
      </w:r>
    </w:p>
    <w:p w14:paraId="2321854A">
      <w:pPr>
        <w:spacing w:line="340" w:lineRule="auto"/>
        <w:rPr>
          <w:rFonts w:ascii="Arial"/>
          <w:sz w:val="21"/>
        </w:rPr>
      </w:pPr>
    </w:p>
    <w:p w14:paraId="02E52253">
      <w:pPr>
        <w:pStyle w:val="2"/>
        <w:spacing w:before="91" w:line="223" w:lineRule="auto"/>
        <w:ind w:left="55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6922—2009</w:t>
      </w:r>
      <w:r>
        <w:rPr>
          <w:spacing w:val="-10"/>
          <w:sz w:val="28"/>
          <w:szCs w:val="28"/>
        </w:rPr>
        <w:t>《</w:t>
      </w:r>
      <w:r>
        <w:rPr>
          <w:rFonts w:ascii="楷体" w:hAnsi="楷体" w:eastAsia="楷体" w:cs="楷体"/>
          <w:spacing w:val="-10"/>
          <w:sz w:val="28"/>
          <w:szCs w:val="28"/>
        </w:rPr>
        <w:t>军用软件定型测评报告编制要求》编写。</w:t>
      </w:r>
    </w:p>
    <w:p w14:paraId="7CA435F3">
      <w:pPr>
        <w:spacing w:before="65" w:line="223"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spacing w:val="21"/>
          <w:sz w:val="27"/>
          <w:szCs w:val="27"/>
        </w:rPr>
        <w:t xml:space="preserve">  </w:t>
      </w:r>
      <w:r>
        <w:rPr>
          <w:rFonts w:ascii="黑体" w:hAnsi="黑体" w:eastAsia="黑体" w:cs="黑体"/>
          <w:b/>
          <w:bCs/>
          <w:spacing w:val="-1"/>
          <w:sz w:val="27"/>
          <w:szCs w:val="27"/>
        </w:rPr>
        <w:t>范围</w:t>
      </w:r>
    </w:p>
    <w:p w14:paraId="431D9FCA">
      <w:pPr>
        <w:spacing w:before="143" w:line="222" w:lineRule="auto"/>
        <w:rPr>
          <w:rFonts w:ascii="黑体" w:hAnsi="黑体" w:eastAsia="黑体" w:cs="黑体"/>
          <w:sz w:val="25"/>
          <w:szCs w:val="25"/>
        </w:rPr>
      </w:pPr>
      <w:r>
        <w:rPr>
          <w:rFonts w:ascii="黑体" w:hAnsi="黑体" w:eastAsia="黑体" w:cs="黑体"/>
          <w:spacing w:val="3"/>
          <w:sz w:val="25"/>
          <w:szCs w:val="25"/>
        </w:rPr>
        <w:t>1.1</w:t>
      </w:r>
      <w:r>
        <w:rPr>
          <w:rFonts w:ascii="黑体" w:hAnsi="黑体" w:eastAsia="黑体" w:cs="黑体"/>
          <w:spacing w:val="50"/>
          <w:sz w:val="25"/>
          <w:szCs w:val="25"/>
        </w:rPr>
        <w:t xml:space="preserve">  </w:t>
      </w:r>
      <w:r>
        <w:rPr>
          <w:rFonts w:ascii="黑体" w:hAnsi="黑体" w:eastAsia="黑体" w:cs="黑体"/>
          <w:b/>
          <w:bCs/>
          <w:spacing w:val="3"/>
          <w:sz w:val="25"/>
          <w:szCs w:val="25"/>
        </w:rPr>
        <w:t>标识</w:t>
      </w:r>
    </w:p>
    <w:p w14:paraId="1ACC5A6F">
      <w:pPr>
        <w:pStyle w:val="2"/>
        <w:spacing w:before="83" w:line="285" w:lineRule="auto"/>
        <w:ind w:firstLine="550"/>
      </w:pPr>
      <w:r>
        <w:rPr>
          <w:spacing w:val="-2"/>
        </w:rPr>
        <w:t>列出文档的标识、标题、所适用的被测软件的</w:t>
      </w:r>
      <w:r>
        <w:rPr>
          <w:spacing w:val="-3"/>
        </w:rPr>
        <w:t>名称与版本，以及文档中采用</w:t>
      </w:r>
      <w:r>
        <w:t xml:space="preserve"> 的术语和缩略语。</w:t>
      </w:r>
    </w:p>
    <w:p w14:paraId="2009BA66">
      <w:pPr>
        <w:spacing w:before="2" w:line="220" w:lineRule="auto"/>
        <w:rPr>
          <w:rFonts w:ascii="黑体" w:hAnsi="黑体" w:eastAsia="黑体" w:cs="黑体"/>
          <w:sz w:val="27"/>
          <w:szCs w:val="27"/>
        </w:rPr>
      </w:pPr>
      <w:r>
        <w:rPr>
          <w:rFonts w:ascii="黑体" w:hAnsi="黑体" w:eastAsia="黑体" w:cs="黑体"/>
          <w:spacing w:val="-7"/>
          <w:sz w:val="27"/>
          <w:szCs w:val="27"/>
        </w:rPr>
        <w:t>1.2</w:t>
      </w:r>
      <w:r>
        <w:rPr>
          <w:rFonts w:ascii="黑体" w:hAnsi="黑体" w:eastAsia="黑体" w:cs="黑体"/>
          <w:spacing w:val="32"/>
          <w:sz w:val="27"/>
          <w:szCs w:val="27"/>
        </w:rPr>
        <w:t xml:space="preserve">  </w:t>
      </w:r>
      <w:r>
        <w:rPr>
          <w:rFonts w:ascii="黑体" w:hAnsi="黑体" w:eastAsia="黑体" w:cs="黑体"/>
          <w:b/>
          <w:bCs/>
          <w:spacing w:val="-7"/>
          <w:sz w:val="27"/>
          <w:szCs w:val="27"/>
        </w:rPr>
        <w:t>文档概述</w:t>
      </w:r>
    </w:p>
    <w:p w14:paraId="0E0B0AA5">
      <w:pPr>
        <w:pStyle w:val="2"/>
        <w:spacing w:before="103" w:line="219" w:lineRule="auto"/>
        <w:ind w:left="550"/>
      </w:pPr>
      <w:r>
        <w:rPr>
          <w:spacing w:val="1"/>
        </w:rPr>
        <w:t>概述文档的主要内容和用途。</w:t>
      </w:r>
    </w:p>
    <w:p w14:paraId="0FA56491">
      <w:pPr>
        <w:spacing w:line="219" w:lineRule="auto"/>
        <w:sectPr>
          <w:footerReference r:id="rId276" w:type="default"/>
          <w:pgSz w:w="11910" w:h="17130"/>
          <w:pgMar w:top="1456" w:right="1417" w:bottom="1643" w:left="1110" w:header="0" w:footer="1444" w:gutter="0"/>
          <w:cols w:space="720" w:num="1"/>
        </w:sectPr>
      </w:pPr>
    </w:p>
    <w:p w14:paraId="23FA2F78">
      <w:pPr>
        <w:spacing w:before="138" w:line="221" w:lineRule="auto"/>
        <w:rPr>
          <w:rFonts w:ascii="黑体" w:hAnsi="黑体" w:eastAsia="黑体" w:cs="黑体"/>
          <w:sz w:val="27"/>
          <w:szCs w:val="27"/>
        </w:rPr>
      </w:pPr>
      <w:r>
        <w:rPr>
          <w:rFonts w:ascii="黑体" w:hAnsi="黑体" w:eastAsia="黑体" w:cs="黑体"/>
          <w:spacing w:val="-3"/>
          <w:sz w:val="27"/>
          <w:szCs w:val="27"/>
        </w:rPr>
        <w:t>1.3</w:t>
      </w:r>
      <w:r>
        <w:rPr>
          <w:rFonts w:ascii="黑体" w:hAnsi="黑体" w:eastAsia="黑体" w:cs="黑体"/>
          <w:spacing w:val="35"/>
          <w:sz w:val="27"/>
          <w:szCs w:val="27"/>
        </w:rPr>
        <w:t xml:space="preserve">  </w:t>
      </w:r>
      <w:r>
        <w:rPr>
          <w:rFonts w:ascii="黑体" w:hAnsi="黑体" w:eastAsia="黑体" w:cs="黑体"/>
          <w:b/>
          <w:bCs/>
          <w:spacing w:val="-3"/>
          <w:sz w:val="27"/>
          <w:szCs w:val="27"/>
        </w:rPr>
        <w:t>委托方的名称与联系方式</w:t>
      </w:r>
    </w:p>
    <w:p w14:paraId="7CC4BBDF">
      <w:pPr>
        <w:pStyle w:val="2"/>
        <w:spacing w:before="73" w:line="219" w:lineRule="auto"/>
        <w:ind w:left="560"/>
      </w:pPr>
      <w:r>
        <w:rPr>
          <w:spacing w:val="-5"/>
        </w:rPr>
        <w:t>描述此次定型测评任务委托方的名称、地址、联系人及联系电话。</w:t>
      </w:r>
    </w:p>
    <w:p w14:paraId="16A10165">
      <w:pPr>
        <w:spacing w:before="162" w:line="221" w:lineRule="auto"/>
        <w:rPr>
          <w:rFonts w:ascii="黑体" w:hAnsi="黑体" w:eastAsia="黑体" w:cs="黑体"/>
          <w:sz w:val="24"/>
          <w:szCs w:val="24"/>
        </w:rPr>
      </w:pPr>
      <w:r>
        <w:rPr>
          <w:rFonts w:ascii="黑体" w:hAnsi="黑体" w:eastAsia="黑体" w:cs="黑体"/>
          <w:spacing w:val="25"/>
          <w:sz w:val="24"/>
          <w:szCs w:val="24"/>
        </w:rPr>
        <w:t>1.4</w:t>
      </w:r>
      <w:r>
        <w:rPr>
          <w:rFonts w:ascii="黑体" w:hAnsi="黑体" w:eastAsia="黑体" w:cs="黑体"/>
          <w:spacing w:val="54"/>
          <w:sz w:val="24"/>
          <w:szCs w:val="24"/>
        </w:rPr>
        <w:t xml:space="preserve">  </w:t>
      </w:r>
      <w:r>
        <w:rPr>
          <w:rFonts w:ascii="黑体" w:hAnsi="黑体" w:eastAsia="黑体" w:cs="黑体"/>
          <w:b/>
          <w:bCs/>
          <w:spacing w:val="25"/>
          <w:sz w:val="24"/>
          <w:szCs w:val="24"/>
        </w:rPr>
        <w:t>承研单位的名称与联系方式</w:t>
      </w:r>
    </w:p>
    <w:p w14:paraId="1AEE14F2">
      <w:pPr>
        <w:pStyle w:val="2"/>
        <w:spacing w:before="99" w:line="219" w:lineRule="auto"/>
        <w:ind w:left="560"/>
      </w:pPr>
      <w:r>
        <w:rPr>
          <w:spacing w:val="-6"/>
        </w:rPr>
        <w:t>描述被测软件承研单位的名称、地址、联系人及联系电话。</w:t>
      </w:r>
    </w:p>
    <w:p w14:paraId="5F115952">
      <w:pPr>
        <w:spacing w:before="113" w:line="221" w:lineRule="auto"/>
        <w:outlineLvl w:val="3"/>
        <w:rPr>
          <w:rFonts w:ascii="黑体" w:hAnsi="黑体" w:eastAsia="黑体" w:cs="黑体"/>
          <w:sz w:val="27"/>
          <w:szCs w:val="27"/>
        </w:rPr>
      </w:pPr>
      <w:r>
        <w:rPr>
          <w:rFonts w:ascii="Arial" w:hAnsi="Arial" w:eastAsia="Arial" w:cs="Arial"/>
          <w:b/>
          <w:bCs/>
          <w:sz w:val="27"/>
          <w:szCs w:val="27"/>
        </w:rPr>
        <w:t>1.5</w:t>
      </w:r>
      <w:r>
        <w:rPr>
          <w:rFonts w:ascii="Arial" w:hAnsi="Arial" w:eastAsia="Arial" w:cs="Arial"/>
          <w:b/>
          <w:bCs/>
          <w:spacing w:val="15"/>
          <w:sz w:val="27"/>
          <w:szCs w:val="27"/>
        </w:rPr>
        <w:t xml:space="preserve">    </w:t>
      </w:r>
      <w:r>
        <w:rPr>
          <w:rFonts w:ascii="黑体" w:hAnsi="黑体" w:eastAsia="黑体" w:cs="黑体"/>
          <w:b/>
          <w:bCs/>
          <w:sz w:val="27"/>
          <w:szCs w:val="27"/>
        </w:rPr>
        <w:t>定型测评机构的名称与联系方式</w:t>
      </w:r>
    </w:p>
    <w:p w14:paraId="6BD1149A">
      <w:pPr>
        <w:pStyle w:val="2"/>
        <w:spacing w:before="121" w:line="219" w:lineRule="auto"/>
        <w:ind w:left="560"/>
        <w:rPr>
          <w:sz w:val="25"/>
          <w:szCs w:val="25"/>
        </w:rPr>
      </w:pPr>
      <w:r>
        <w:rPr>
          <w:spacing w:val="16"/>
          <w:sz w:val="25"/>
          <w:szCs w:val="25"/>
        </w:rPr>
        <w:t>描述完成此次定型测评任务的测评机构的名称、地址、联系人及联系电话。</w:t>
      </w:r>
    </w:p>
    <w:p w14:paraId="4BB30662">
      <w:pPr>
        <w:spacing w:before="119" w:line="221" w:lineRule="auto"/>
        <w:rPr>
          <w:rFonts w:ascii="黑体" w:hAnsi="黑体" w:eastAsia="黑体" w:cs="黑体"/>
          <w:sz w:val="27"/>
          <w:szCs w:val="27"/>
        </w:rPr>
      </w:pPr>
      <w:r>
        <w:rPr>
          <w:rFonts w:ascii="黑体" w:hAnsi="黑体" w:eastAsia="黑体" w:cs="黑体"/>
          <w:spacing w:val="-4"/>
          <w:sz w:val="27"/>
          <w:szCs w:val="27"/>
        </w:rPr>
        <w:t>1.6</w:t>
      </w:r>
      <w:r>
        <w:rPr>
          <w:rFonts w:ascii="黑体" w:hAnsi="黑体" w:eastAsia="黑体" w:cs="黑体"/>
          <w:spacing w:val="29"/>
          <w:sz w:val="27"/>
          <w:szCs w:val="27"/>
        </w:rPr>
        <w:t xml:space="preserve">  </w:t>
      </w:r>
      <w:r>
        <w:rPr>
          <w:rFonts w:ascii="黑体" w:hAnsi="黑体" w:eastAsia="黑体" w:cs="黑体"/>
          <w:b/>
          <w:bCs/>
          <w:spacing w:val="-4"/>
          <w:sz w:val="27"/>
          <w:szCs w:val="27"/>
        </w:rPr>
        <w:t>被测软件概述</w:t>
      </w:r>
    </w:p>
    <w:p w14:paraId="48AFE18E">
      <w:pPr>
        <w:pStyle w:val="2"/>
        <w:spacing w:before="84" w:line="292" w:lineRule="auto"/>
        <w:ind w:firstLine="560"/>
      </w:pPr>
      <w:r>
        <w:rPr>
          <w:spacing w:val="-15"/>
        </w:rPr>
        <w:t>概述被测软件的等级、使命任务、结构组成、</w:t>
      </w:r>
      <w:r>
        <w:rPr>
          <w:color w:val="505050"/>
          <w:spacing w:val="-15"/>
        </w:rPr>
        <w:t>信息流程、</w:t>
      </w:r>
      <w:r>
        <w:rPr>
          <w:spacing w:val="-15"/>
        </w:rPr>
        <w:t>使用环境、安装部署、</w:t>
      </w:r>
      <w:r>
        <w:rPr>
          <w:spacing w:val="18"/>
        </w:rPr>
        <w:t xml:space="preserve"> </w:t>
      </w:r>
      <w:r>
        <w:rPr>
          <w:spacing w:val="-3"/>
        </w:rPr>
        <w:t>主要战术技术指标、软件规模与开发语言等。</w:t>
      </w:r>
    </w:p>
    <w:p w14:paraId="10D7FC3C">
      <w:pPr>
        <w:spacing w:before="1" w:line="221"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28"/>
          <w:sz w:val="27"/>
          <w:szCs w:val="27"/>
        </w:rPr>
        <w:t xml:space="preserve">  </w:t>
      </w:r>
      <w:r>
        <w:rPr>
          <w:rFonts w:ascii="黑体" w:hAnsi="黑体" w:eastAsia="黑体" w:cs="黑体"/>
          <w:b/>
          <w:bCs/>
          <w:spacing w:val="-1"/>
          <w:sz w:val="27"/>
          <w:szCs w:val="27"/>
        </w:rPr>
        <w:t>引用文件</w:t>
      </w:r>
    </w:p>
    <w:p w14:paraId="151EF871">
      <w:pPr>
        <w:pStyle w:val="2"/>
        <w:spacing w:before="89" w:line="284" w:lineRule="auto"/>
        <w:ind w:right="30" w:firstLine="560"/>
        <w:jc w:val="both"/>
      </w:pPr>
      <w:r>
        <w:rPr>
          <w:spacing w:val="6"/>
        </w:rPr>
        <w:t>列出编制此文档依据的相关法规、标准以及被</w:t>
      </w:r>
      <w:r>
        <w:rPr>
          <w:spacing w:val="5"/>
        </w:rPr>
        <w:t>测软件研制总要求或系统研</w:t>
      </w:r>
      <w:r>
        <w:t xml:space="preserve"> </w:t>
      </w:r>
      <w:r>
        <w:rPr>
          <w:spacing w:val="-14"/>
        </w:rPr>
        <w:t>制总要求、定型测评大纲等技术文档，包括各引用文件的标识、标题、版本、日期、</w:t>
      </w:r>
      <w:r>
        <w:rPr>
          <w:spacing w:val="1"/>
        </w:rPr>
        <w:t xml:space="preserve"> 颁布/来源单位等信息。</w:t>
      </w:r>
    </w:p>
    <w:p w14:paraId="679A0CF2">
      <w:pPr>
        <w:spacing w:before="1" w:line="220" w:lineRule="auto"/>
        <w:rPr>
          <w:rFonts w:ascii="黑体" w:hAnsi="黑体" w:eastAsia="黑体" w:cs="黑体"/>
          <w:sz w:val="27"/>
          <w:szCs w:val="27"/>
        </w:rPr>
      </w:pPr>
      <w:r>
        <w:rPr>
          <w:rFonts w:ascii="黑体" w:hAnsi="黑体" w:eastAsia="黑体" w:cs="黑体"/>
          <w:spacing w:val="-6"/>
          <w:sz w:val="27"/>
          <w:szCs w:val="27"/>
        </w:rPr>
        <w:t>3</w:t>
      </w:r>
      <w:r>
        <w:rPr>
          <w:rFonts w:ascii="黑体" w:hAnsi="黑体" w:eastAsia="黑体" w:cs="黑体"/>
          <w:spacing w:val="35"/>
          <w:sz w:val="27"/>
          <w:szCs w:val="27"/>
        </w:rPr>
        <w:t xml:space="preserve">  </w:t>
      </w:r>
      <w:r>
        <w:rPr>
          <w:rFonts w:ascii="黑体" w:hAnsi="黑体" w:eastAsia="黑体" w:cs="黑体"/>
          <w:b/>
          <w:bCs/>
          <w:spacing w:val="-6"/>
          <w:sz w:val="27"/>
          <w:szCs w:val="27"/>
        </w:rPr>
        <w:t>测评概述</w:t>
      </w:r>
    </w:p>
    <w:p w14:paraId="0979D5F1">
      <w:pPr>
        <w:spacing w:before="97" w:line="221" w:lineRule="auto"/>
        <w:rPr>
          <w:rFonts w:ascii="黑体" w:hAnsi="黑体" w:eastAsia="黑体" w:cs="黑体"/>
          <w:sz w:val="27"/>
          <w:szCs w:val="27"/>
        </w:rPr>
      </w:pPr>
      <w:r>
        <w:rPr>
          <w:rFonts w:ascii="黑体" w:hAnsi="黑体" w:eastAsia="黑体" w:cs="黑体"/>
          <w:spacing w:val="-2"/>
          <w:sz w:val="27"/>
          <w:szCs w:val="27"/>
        </w:rPr>
        <w:t>3.1</w:t>
      </w:r>
      <w:r>
        <w:rPr>
          <w:rFonts w:ascii="黑体" w:hAnsi="黑体" w:eastAsia="黑体" w:cs="黑体"/>
          <w:spacing w:val="20"/>
          <w:sz w:val="27"/>
          <w:szCs w:val="27"/>
        </w:rPr>
        <w:t xml:space="preserve">  </w:t>
      </w:r>
      <w:r>
        <w:rPr>
          <w:rFonts w:ascii="黑体" w:hAnsi="黑体" w:eastAsia="黑体" w:cs="黑体"/>
          <w:b/>
          <w:bCs/>
          <w:spacing w:val="-2"/>
          <w:sz w:val="27"/>
          <w:szCs w:val="27"/>
        </w:rPr>
        <w:t>测评过程概述</w:t>
      </w:r>
    </w:p>
    <w:p w14:paraId="159618F1">
      <w:pPr>
        <w:pStyle w:val="2"/>
        <w:spacing w:before="114" w:line="286" w:lineRule="auto"/>
        <w:ind w:right="29" w:firstLine="560"/>
        <w:jc w:val="both"/>
      </w:pPr>
      <w:r>
        <w:rPr>
          <w:spacing w:val="-10"/>
        </w:rPr>
        <w:t>按时间顺序，从接受测评任务、测试需求分析、测试策</w:t>
      </w:r>
      <w:r>
        <w:rPr>
          <w:spacing w:val="-11"/>
        </w:rPr>
        <w:t>划、编制测评大纲、测</w:t>
      </w:r>
      <w:r>
        <w:t xml:space="preserve"> </w:t>
      </w:r>
      <w:r>
        <w:rPr>
          <w:spacing w:val="-10"/>
        </w:rPr>
        <w:t>试设计与实现、测试执行、回归测试、质量评价、编写测评报</w:t>
      </w:r>
      <w:r>
        <w:rPr>
          <w:spacing w:val="-11"/>
        </w:rPr>
        <w:t>告、测评总结以及各</w:t>
      </w:r>
      <w:r>
        <w:t xml:space="preserve">  </w:t>
      </w:r>
      <w:r>
        <w:rPr>
          <w:spacing w:val="1"/>
        </w:rPr>
        <w:t>阶段评审等方面，对此次定型测评的实际过程作简要说</w:t>
      </w:r>
      <w:r>
        <w:t xml:space="preserve">明。如果存在分包情况， </w:t>
      </w:r>
      <w:r>
        <w:rPr>
          <w:spacing w:val="4"/>
        </w:rPr>
        <w:t>应简要说明分包单位的资质及其承担的测评工作情况。</w:t>
      </w:r>
    </w:p>
    <w:p w14:paraId="7AE23FEB">
      <w:pPr>
        <w:spacing w:before="1" w:line="220" w:lineRule="auto"/>
        <w:rPr>
          <w:rFonts w:ascii="黑体" w:hAnsi="黑体" w:eastAsia="黑体" w:cs="黑体"/>
          <w:sz w:val="27"/>
          <w:szCs w:val="27"/>
        </w:rPr>
      </w:pPr>
      <w:r>
        <w:rPr>
          <w:rFonts w:ascii="黑体" w:hAnsi="黑体" w:eastAsia="黑体" w:cs="黑体"/>
          <w:sz w:val="27"/>
          <w:szCs w:val="27"/>
        </w:rPr>
        <w:t>3.2</w:t>
      </w:r>
      <w:r>
        <w:rPr>
          <w:rFonts w:ascii="黑体" w:hAnsi="黑体" w:eastAsia="黑体" w:cs="黑体"/>
          <w:spacing w:val="19"/>
          <w:sz w:val="27"/>
          <w:szCs w:val="27"/>
        </w:rPr>
        <w:t xml:space="preserve">  </w:t>
      </w:r>
      <w:r>
        <w:rPr>
          <w:rFonts w:ascii="黑体" w:hAnsi="黑体" w:eastAsia="黑体" w:cs="黑体"/>
          <w:b/>
          <w:bCs/>
          <w:sz w:val="27"/>
          <w:szCs w:val="27"/>
        </w:rPr>
        <w:t>测评环境说明</w:t>
      </w:r>
    </w:p>
    <w:p w14:paraId="0F79DC38">
      <w:pPr>
        <w:spacing w:before="108" w:line="222" w:lineRule="auto"/>
        <w:rPr>
          <w:rFonts w:ascii="黑体" w:hAnsi="黑体" w:eastAsia="黑体" w:cs="黑体"/>
          <w:sz w:val="27"/>
          <w:szCs w:val="27"/>
        </w:rPr>
      </w:pPr>
      <w:r>
        <w:rPr>
          <w:rFonts w:ascii="黑体" w:hAnsi="黑体" w:eastAsia="黑体" w:cs="黑体"/>
          <w:spacing w:val="-3"/>
          <w:sz w:val="27"/>
          <w:szCs w:val="27"/>
        </w:rPr>
        <w:t>3.2.1</w:t>
      </w:r>
      <w:r>
        <w:rPr>
          <w:rFonts w:ascii="黑体" w:hAnsi="黑体" w:eastAsia="黑体" w:cs="黑体"/>
          <w:spacing w:val="53"/>
          <w:sz w:val="27"/>
          <w:szCs w:val="27"/>
        </w:rPr>
        <w:t xml:space="preserve">  </w:t>
      </w:r>
      <w:r>
        <w:rPr>
          <w:rFonts w:ascii="黑体" w:hAnsi="黑体" w:eastAsia="黑体" w:cs="黑体"/>
          <w:b/>
          <w:bCs/>
          <w:spacing w:val="-3"/>
          <w:sz w:val="27"/>
          <w:szCs w:val="27"/>
        </w:rPr>
        <w:t>软硬件环境</w:t>
      </w:r>
    </w:p>
    <w:p w14:paraId="2FDA5E4D">
      <w:pPr>
        <w:pStyle w:val="2"/>
        <w:spacing w:before="89" w:line="219" w:lineRule="auto"/>
        <w:ind w:left="560"/>
      </w:pPr>
      <w:r>
        <w:rPr>
          <w:spacing w:val="3"/>
        </w:rPr>
        <w:t>对此次定型测评实际采用的软硬件环境进行描述：</w:t>
      </w:r>
    </w:p>
    <w:p w14:paraId="73C0F9A5">
      <w:pPr>
        <w:pStyle w:val="2"/>
        <w:spacing w:before="82" w:line="264" w:lineRule="auto"/>
        <w:ind w:right="124" w:firstLine="560"/>
      </w:pPr>
      <w:r>
        <w:rPr>
          <w:rFonts w:ascii="Times New Roman" w:hAnsi="Times New Roman" w:eastAsia="Times New Roman" w:cs="Times New Roman"/>
          <w:spacing w:val="3"/>
        </w:rPr>
        <w:t xml:space="preserve">a)  </w:t>
      </w:r>
      <w:r>
        <w:rPr>
          <w:spacing w:val="3"/>
        </w:rPr>
        <w:t>整体结构。描述测评工作实际采用的软硬件环境的整体结构，如果建立</w:t>
      </w:r>
      <w:r>
        <w:t xml:space="preserve"> </w:t>
      </w:r>
      <w:r>
        <w:rPr>
          <w:spacing w:val="-4"/>
        </w:rPr>
        <w:t>了网络环境，还需描述网络的拓扑结构和配置。</w:t>
      </w:r>
    </w:p>
    <w:p w14:paraId="7EDBB89C">
      <w:pPr>
        <w:pStyle w:val="2"/>
        <w:spacing w:before="74" w:line="271" w:lineRule="auto"/>
        <w:ind w:right="120" w:firstLine="560"/>
      </w:pPr>
      <w:r>
        <w:rPr>
          <w:rFonts w:ascii="Times New Roman" w:hAnsi="Times New Roman" w:eastAsia="Times New Roman" w:cs="Times New Roman"/>
          <w:spacing w:val="3"/>
        </w:rPr>
        <w:t>b)</w:t>
      </w:r>
      <w:r>
        <w:rPr>
          <w:rFonts w:ascii="Times New Roman" w:hAnsi="Times New Roman" w:eastAsia="Times New Roman" w:cs="Times New Roman"/>
          <w:spacing w:val="67"/>
        </w:rPr>
        <w:t xml:space="preserve"> </w:t>
      </w:r>
      <w:r>
        <w:rPr>
          <w:spacing w:val="3"/>
        </w:rPr>
        <w:t>软硬件资源。描述测评工作实际采用的系统软件、支撑软件</w:t>
      </w:r>
      <w:r>
        <w:rPr>
          <w:spacing w:val="2"/>
        </w:rPr>
        <w:t>以及测评工</w:t>
      </w:r>
      <w:r>
        <w:t xml:space="preserve"> </w:t>
      </w:r>
      <w:r>
        <w:rPr>
          <w:spacing w:val="-10"/>
        </w:rPr>
        <w:t>具等，包括每个软件项的名称、版本、用途等信息；描述测评</w:t>
      </w:r>
      <w:r>
        <w:rPr>
          <w:spacing w:val="-11"/>
        </w:rPr>
        <w:t>工作实际采用的计算</w:t>
      </w:r>
      <w:r>
        <w:t xml:space="preserve"> </w:t>
      </w:r>
      <w:r>
        <w:rPr>
          <w:spacing w:val="-10"/>
        </w:rPr>
        <w:t>机硬件、接口设备和固件项等，包括每个硬件设备的名称、配置、用途等信息</w:t>
      </w:r>
      <w:r>
        <w:rPr>
          <w:spacing w:val="-11"/>
        </w:rPr>
        <w:t>。如</w:t>
      </w:r>
      <w:r>
        <w:t xml:space="preserve"> </w:t>
      </w:r>
      <w:r>
        <w:rPr>
          <w:spacing w:val="5"/>
        </w:rPr>
        <w:t>果测评工作实际采用了非测评机构的软硬件资源，应加以说明。如果存在分包</w:t>
      </w:r>
      <w:r>
        <w:rPr>
          <w:spacing w:val="1"/>
        </w:rPr>
        <w:t xml:space="preserve"> </w:t>
      </w:r>
      <w:r>
        <w:rPr>
          <w:spacing w:val="-3"/>
        </w:rPr>
        <w:t>情况，应说明分包单位实际采用的软硬件环境。</w:t>
      </w:r>
    </w:p>
    <w:p w14:paraId="45208788">
      <w:pPr>
        <w:spacing w:before="145" w:line="222" w:lineRule="auto"/>
        <w:rPr>
          <w:rFonts w:ascii="黑体" w:hAnsi="黑体" w:eastAsia="黑体" w:cs="黑体"/>
          <w:sz w:val="24"/>
          <w:szCs w:val="24"/>
        </w:rPr>
      </w:pPr>
      <w:r>
        <w:rPr>
          <w:rFonts w:ascii="黑体" w:hAnsi="黑体" w:eastAsia="黑体" w:cs="黑体"/>
          <w:spacing w:val="13"/>
          <w:sz w:val="24"/>
          <w:szCs w:val="24"/>
        </w:rPr>
        <w:t>3.2.2</w:t>
      </w:r>
      <w:r>
        <w:rPr>
          <w:rFonts w:ascii="黑体" w:hAnsi="黑体" w:eastAsia="黑体" w:cs="黑体"/>
          <w:spacing w:val="28"/>
          <w:sz w:val="24"/>
          <w:szCs w:val="24"/>
        </w:rPr>
        <w:t xml:space="preserve">   </w:t>
      </w:r>
      <w:r>
        <w:rPr>
          <w:rFonts w:ascii="黑体" w:hAnsi="黑体" w:eastAsia="黑体" w:cs="黑体"/>
          <w:b/>
          <w:bCs/>
          <w:spacing w:val="13"/>
          <w:sz w:val="24"/>
          <w:szCs w:val="24"/>
        </w:rPr>
        <w:t>测评场所</w:t>
      </w:r>
    </w:p>
    <w:p w14:paraId="6A2438BD">
      <w:pPr>
        <w:pStyle w:val="2"/>
        <w:spacing w:before="108" w:line="297" w:lineRule="auto"/>
        <w:ind w:right="120" w:firstLine="560"/>
      </w:pPr>
      <w:r>
        <w:rPr>
          <w:spacing w:val="-3"/>
        </w:rPr>
        <w:t>描述测评工作实际采用场所的地点、面积以及安全保密情况等，如果测评工</w:t>
      </w:r>
      <w:r>
        <w:rPr>
          <w:spacing w:val="12"/>
        </w:rPr>
        <w:t xml:space="preserve"> </w:t>
      </w:r>
      <w:r>
        <w:rPr>
          <w:spacing w:val="-3"/>
        </w:rPr>
        <w:t>作在非测评机构进行，应加以说明。</w:t>
      </w:r>
    </w:p>
    <w:p w14:paraId="767309DE">
      <w:pPr>
        <w:pStyle w:val="2"/>
        <w:spacing w:before="1" w:line="218" w:lineRule="auto"/>
        <w:ind w:left="560"/>
      </w:pPr>
      <w:r>
        <w:rPr>
          <w:spacing w:val="-2"/>
        </w:rPr>
        <w:t>如果存在分包情况，应说明分包单位实际采用的测评场所。</w:t>
      </w:r>
    </w:p>
    <w:p w14:paraId="4F27CF7D">
      <w:pPr>
        <w:spacing w:line="218" w:lineRule="auto"/>
        <w:sectPr>
          <w:footerReference r:id="rId277" w:type="default"/>
          <w:pgSz w:w="11910" w:h="17130"/>
          <w:pgMar w:top="1456" w:right="1005" w:bottom="1610" w:left="1400" w:header="0" w:footer="1324" w:gutter="0"/>
          <w:cols w:space="720" w:num="1"/>
        </w:sectPr>
      </w:pPr>
    </w:p>
    <w:p w14:paraId="65697AC1">
      <w:pPr>
        <w:spacing w:before="202" w:line="222" w:lineRule="auto"/>
        <w:rPr>
          <w:rFonts w:ascii="黑体" w:hAnsi="黑体" w:eastAsia="黑体" w:cs="黑体"/>
          <w:sz w:val="24"/>
          <w:szCs w:val="24"/>
        </w:rPr>
      </w:pPr>
      <w:r>
        <w:rPr>
          <w:rFonts w:ascii="黑体" w:hAnsi="黑体" w:eastAsia="黑体" w:cs="黑体"/>
          <w:spacing w:val="12"/>
          <w:sz w:val="24"/>
          <w:szCs w:val="24"/>
        </w:rPr>
        <w:t>3.2.3   测评数据</w:t>
      </w:r>
    </w:p>
    <w:p w14:paraId="1A93637C">
      <w:pPr>
        <w:pStyle w:val="2"/>
        <w:spacing w:before="62" w:line="284" w:lineRule="auto"/>
        <w:ind w:right="123" w:firstLine="560"/>
      </w:pPr>
      <w:r>
        <w:rPr>
          <w:spacing w:val="-11"/>
        </w:rPr>
        <w:t>描述测评工作实际采用的真实或模拟数据，包括数据的规格、数量、密级、提</w:t>
      </w:r>
      <w:r>
        <w:rPr>
          <w:spacing w:val="14"/>
        </w:rPr>
        <w:t xml:space="preserve"> </w:t>
      </w:r>
      <w:r>
        <w:rPr>
          <w:spacing w:val="3"/>
        </w:rPr>
        <w:t>供单位及提供时间等。</w:t>
      </w:r>
    </w:p>
    <w:p w14:paraId="689C2064">
      <w:pPr>
        <w:pStyle w:val="2"/>
        <w:spacing w:line="218" w:lineRule="auto"/>
        <w:ind w:left="560"/>
      </w:pPr>
      <w:r>
        <w:rPr>
          <w:spacing w:val="-1"/>
        </w:rPr>
        <w:t>如果存在分包情况，应说明分包单位实际采用的测评数据。</w:t>
      </w:r>
    </w:p>
    <w:p w14:paraId="06D179D1">
      <w:pPr>
        <w:spacing w:before="99" w:line="222" w:lineRule="auto"/>
        <w:rPr>
          <w:rFonts w:ascii="黑体" w:hAnsi="黑体" w:eastAsia="黑体" w:cs="黑体"/>
          <w:sz w:val="27"/>
          <w:szCs w:val="27"/>
        </w:rPr>
      </w:pPr>
      <w:r>
        <w:rPr>
          <w:rFonts w:ascii="黑体" w:hAnsi="黑体" w:eastAsia="黑体" w:cs="黑体"/>
          <w:spacing w:val="2"/>
          <w:sz w:val="27"/>
          <w:szCs w:val="27"/>
        </w:rPr>
        <w:t>3.2.4</w:t>
      </w:r>
      <w:r>
        <w:rPr>
          <w:rFonts w:ascii="黑体" w:hAnsi="黑体" w:eastAsia="黑体" w:cs="黑体"/>
          <w:spacing w:val="24"/>
          <w:sz w:val="27"/>
          <w:szCs w:val="27"/>
        </w:rPr>
        <w:t xml:space="preserve">  </w:t>
      </w:r>
      <w:r>
        <w:rPr>
          <w:rFonts w:ascii="黑体" w:hAnsi="黑体" w:eastAsia="黑体" w:cs="黑体"/>
          <w:spacing w:val="2"/>
          <w:sz w:val="27"/>
          <w:szCs w:val="27"/>
        </w:rPr>
        <w:t>环境差异影响分析</w:t>
      </w:r>
    </w:p>
    <w:p w14:paraId="1239D244">
      <w:pPr>
        <w:pStyle w:val="2"/>
        <w:spacing w:before="66" w:line="286" w:lineRule="auto"/>
        <w:ind w:right="113" w:firstLine="560"/>
        <w:jc w:val="both"/>
      </w:pPr>
      <w:r>
        <w:rPr>
          <w:rFonts w:ascii="楷体" w:hAnsi="楷体" w:eastAsia="楷体" w:cs="楷体"/>
          <w:spacing w:val="-5"/>
        </w:rPr>
        <w:t>描述3.2.1、3.2.2、3.2.3</w:t>
      </w:r>
      <w:r>
        <w:rPr>
          <w:spacing w:val="-5"/>
        </w:rPr>
        <w:t>中实际采用的软硬件环境及</w:t>
      </w:r>
      <w:r>
        <w:rPr>
          <w:spacing w:val="-6"/>
        </w:rPr>
        <w:t>其结构、场所、数据与</w:t>
      </w:r>
      <w:r>
        <w:t xml:space="preserve"> </w:t>
      </w:r>
      <w:r>
        <w:rPr>
          <w:spacing w:val="-2"/>
        </w:rPr>
        <w:t>定型测评大纲、被测软件研制总要求或系统研制总要求、软件需求规格说明及其</w:t>
      </w:r>
      <w:r>
        <w:t xml:space="preserve"> </w:t>
      </w:r>
      <w:r>
        <w:rPr>
          <w:spacing w:val="-2"/>
        </w:rPr>
        <w:t>他等效文档要求的软硬件环境、使用场所、数据之间的差异，并分析环境差异对</w:t>
      </w:r>
      <w:r>
        <w:t xml:space="preserve"> </w:t>
      </w:r>
      <w:r>
        <w:rPr>
          <w:spacing w:val="4"/>
        </w:rPr>
        <w:t>测评结果的影响。</w:t>
      </w:r>
    </w:p>
    <w:p w14:paraId="44B0FE36">
      <w:pPr>
        <w:spacing w:before="24" w:line="221" w:lineRule="auto"/>
        <w:rPr>
          <w:rFonts w:ascii="黑体" w:hAnsi="黑体" w:eastAsia="黑体" w:cs="黑体"/>
          <w:sz w:val="24"/>
          <w:szCs w:val="24"/>
        </w:rPr>
      </w:pPr>
      <w:r>
        <w:rPr>
          <w:rFonts w:ascii="黑体" w:hAnsi="黑体" w:eastAsia="黑体" w:cs="黑体"/>
          <w:spacing w:val="22"/>
          <w:sz w:val="24"/>
          <w:szCs w:val="24"/>
        </w:rPr>
        <w:t>3.3</w:t>
      </w:r>
      <w:r>
        <w:rPr>
          <w:rFonts w:ascii="黑体" w:hAnsi="黑体" w:eastAsia="黑体" w:cs="黑体"/>
          <w:spacing w:val="52"/>
          <w:sz w:val="24"/>
          <w:szCs w:val="24"/>
        </w:rPr>
        <w:t xml:space="preserve">  </w:t>
      </w:r>
      <w:r>
        <w:rPr>
          <w:rFonts w:ascii="黑体" w:hAnsi="黑体" w:eastAsia="黑体" w:cs="黑体"/>
          <w:spacing w:val="22"/>
          <w:sz w:val="24"/>
          <w:szCs w:val="24"/>
        </w:rPr>
        <w:t>测评方法说明</w:t>
      </w:r>
    </w:p>
    <w:p w14:paraId="4D6F872B">
      <w:pPr>
        <w:pStyle w:val="2"/>
        <w:spacing w:before="95" w:line="289" w:lineRule="auto"/>
        <w:ind w:right="120" w:firstLine="560"/>
      </w:pPr>
      <w:r>
        <w:rPr>
          <w:spacing w:val="6"/>
        </w:rPr>
        <w:t>对此次定型测评实际采用的测评方法、测评工具等作</w:t>
      </w:r>
      <w:r>
        <w:rPr>
          <w:spacing w:val="5"/>
        </w:rPr>
        <w:t>简要描述。如果存在</w:t>
      </w:r>
      <w:r>
        <w:t xml:space="preserve"> </w:t>
      </w:r>
      <w:r>
        <w:rPr>
          <w:spacing w:val="-5"/>
        </w:rPr>
        <w:t>分包情况，应简要说明分包单位实际采用的测评方法、测评工具等。</w:t>
      </w:r>
    </w:p>
    <w:p w14:paraId="3260539E">
      <w:pPr>
        <w:spacing w:before="4" w:line="221" w:lineRule="auto"/>
        <w:rPr>
          <w:rFonts w:ascii="黑体" w:hAnsi="黑体" w:eastAsia="黑体" w:cs="黑体"/>
          <w:sz w:val="27"/>
          <w:szCs w:val="27"/>
        </w:rPr>
      </w:pPr>
      <w:r>
        <w:rPr>
          <w:rFonts w:ascii="黑体" w:hAnsi="黑体" w:eastAsia="黑体" w:cs="黑体"/>
          <w:spacing w:val="4"/>
          <w:sz w:val="27"/>
          <w:szCs w:val="27"/>
        </w:rPr>
        <w:t>4</w:t>
      </w:r>
      <w:r>
        <w:rPr>
          <w:rFonts w:ascii="黑体" w:hAnsi="黑体" w:eastAsia="黑体" w:cs="黑体"/>
          <w:spacing w:val="19"/>
          <w:sz w:val="27"/>
          <w:szCs w:val="27"/>
        </w:rPr>
        <w:t xml:space="preserve">  </w:t>
      </w:r>
      <w:r>
        <w:rPr>
          <w:rFonts w:ascii="黑体" w:hAnsi="黑体" w:eastAsia="黑体" w:cs="黑体"/>
          <w:spacing w:val="4"/>
          <w:sz w:val="27"/>
          <w:szCs w:val="27"/>
        </w:rPr>
        <w:t>测试结果</w:t>
      </w:r>
    </w:p>
    <w:p w14:paraId="2D327EAD">
      <w:pPr>
        <w:spacing w:before="185" w:line="219" w:lineRule="auto"/>
        <w:rPr>
          <w:rFonts w:ascii="黑体" w:hAnsi="黑体" w:eastAsia="黑体" w:cs="黑体"/>
          <w:sz w:val="27"/>
          <w:szCs w:val="27"/>
        </w:rPr>
      </w:pPr>
      <w:r>
        <w:rPr>
          <w:rFonts w:ascii="黑体" w:hAnsi="黑体" w:eastAsia="黑体" w:cs="黑体"/>
          <w:spacing w:val="3"/>
          <w:sz w:val="27"/>
          <w:szCs w:val="27"/>
        </w:rPr>
        <w:t>4.1  测试执行情况</w:t>
      </w:r>
    </w:p>
    <w:p w14:paraId="12C192D5">
      <w:pPr>
        <w:pStyle w:val="2"/>
        <w:spacing w:before="141" w:line="301" w:lineRule="auto"/>
        <w:ind w:right="9" w:firstLine="560"/>
        <w:jc w:val="both"/>
        <w:rPr>
          <w:sz w:val="25"/>
          <w:szCs w:val="25"/>
        </w:rPr>
      </w:pPr>
      <w:r>
        <w:rPr>
          <w:spacing w:val="9"/>
          <w:sz w:val="25"/>
          <w:szCs w:val="25"/>
        </w:rPr>
        <w:t>按测试轮次顺序，对每轮测试的被测对象、版本、测试级别、测试类型、测试</w:t>
      </w:r>
      <w:r>
        <w:rPr>
          <w:spacing w:val="6"/>
          <w:sz w:val="25"/>
          <w:szCs w:val="25"/>
        </w:rPr>
        <w:t xml:space="preserve">  </w:t>
      </w:r>
      <w:r>
        <w:rPr>
          <w:spacing w:val="14"/>
          <w:sz w:val="25"/>
          <w:szCs w:val="25"/>
        </w:rPr>
        <w:t>项数量、设计的测试用例数量、实际执行的测试用例数量、</w:t>
      </w:r>
      <w:r>
        <w:rPr>
          <w:spacing w:val="13"/>
          <w:sz w:val="25"/>
          <w:szCs w:val="25"/>
        </w:rPr>
        <w:t>通过的测试用例数量、</w:t>
      </w:r>
      <w:r>
        <w:rPr>
          <w:sz w:val="25"/>
          <w:szCs w:val="25"/>
        </w:rPr>
        <w:t xml:space="preserve"> </w:t>
      </w:r>
      <w:r>
        <w:rPr>
          <w:spacing w:val="20"/>
          <w:sz w:val="25"/>
          <w:szCs w:val="25"/>
        </w:rPr>
        <w:t>未通过的测试用例数量、未执行的测试用例数量等信</w:t>
      </w:r>
      <w:r>
        <w:rPr>
          <w:spacing w:val="19"/>
          <w:sz w:val="25"/>
          <w:szCs w:val="25"/>
        </w:rPr>
        <w:t>息作详细统计。</w:t>
      </w:r>
    </w:p>
    <w:p w14:paraId="74CB7754">
      <w:pPr>
        <w:pStyle w:val="2"/>
        <w:spacing w:before="9" w:line="219" w:lineRule="auto"/>
        <w:ind w:left="560"/>
        <w:rPr>
          <w:sz w:val="25"/>
          <w:szCs w:val="25"/>
        </w:rPr>
      </w:pPr>
      <w:r>
        <w:rPr>
          <w:spacing w:val="12"/>
          <w:sz w:val="25"/>
          <w:szCs w:val="25"/>
        </w:rPr>
        <w:t>对于未执行的测试用例，应说明：</w:t>
      </w:r>
    </w:p>
    <w:p w14:paraId="7AC090B0">
      <w:pPr>
        <w:pStyle w:val="2"/>
        <w:spacing w:before="104" w:line="219" w:lineRule="auto"/>
        <w:ind w:left="560"/>
      </w:pPr>
      <w:r>
        <w:rPr>
          <w:rFonts w:ascii="Times New Roman" w:hAnsi="Times New Roman" w:eastAsia="Times New Roman" w:cs="Times New Roman"/>
          <w:spacing w:val="9"/>
        </w:rPr>
        <w:t>a</w:t>
      </w:r>
      <w:r>
        <w:rPr>
          <w:spacing w:val="9"/>
        </w:rPr>
        <w:t>)未执行测试用例的原因：</w:t>
      </w:r>
    </w:p>
    <w:p w14:paraId="4F2F2EB8">
      <w:pPr>
        <w:pStyle w:val="2"/>
        <w:spacing w:before="49"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69"/>
        </w:rPr>
        <w:t xml:space="preserve"> </w:t>
      </w:r>
      <w:r>
        <w:rPr>
          <w:spacing w:val="4"/>
        </w:rPr>
        <w:t>未执行的测试用例涉及的测试内容；</w:t>
      </w:r>
    </w:p>
    <w:p w14:paraId="78EE643E">
      <w:pPr>
        <w:pStyle w:val="2"/>
        <w:spacing w:before="11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64"/>
          <w:w w:val="101"/>
        </w:rPr>
        <w:t xml:space="preserve"> </w:t>
      </w:r>
      <w:r>
        <w:rPr>
          <w:spacing w:val="4"/>
        </w:rPr>
        <w:t>在何处用何方法已验证或可验证这些测试用例。</w:t>
      </w:r>
    </w:p>
    <w:p w14:paraId="3A33D2F9">
      <w:pPr>
        <w:pStyle w:val="2"/>
        <w:spacing w:before="150" w:line="269" w:lineRule="auto"/>
        <w:ind w:right="123" w:firstLine="560"/>
      </w:pPr>
      <w:r>
        <w:rPr>
          <w:spacing w:val="-3"/>
        </w:rPr>
        <w:t>将实际执行的测试范围、测试级别、测试类型、测试项与定型测评大纲中规</w:t>
      </w:r>
      <w:r>
        <w:rPr>
          <w:spacing w:val="9"/>
        </w:rPr>
        <w:t xml:space="preserve"> </w:t>
      </w:r>
      <w:r>
        <w:rPr>
          <w:spacing w:val="-10"/>
        </w:rPr>
        <w:t>定的相应内容作对比，如有差异，应说明原因。</w:t>
      </w:r>
    </w:p>
    <w:p w14:paraId="60C7B459">
      <w:pPr>
        <w:spacing w:before="64" w:line="222" w:lineRule="auto"/>
        <w:rPr>
          <w:rFonts w:ascii="黑体" w:hAnsi="黑体" w:eastAsia="黑体" w:cs="黑体"/>
          <w:sz w:val="27"/>
          <w:szCs w:val="27"/>
        </w:rPr>
      </w:pPr>
      <w:r>
        <w:rPr>
          <w:rFonts w:ascii="黑体" w:hAnsi="黑体" w:eastAsia="黑体" w:cs="黑体"/>
          <w:spacing w:val="5"/>
          <w:sz w:val="27"/>
          <w:szCs w:val="27"/>
        </w:rPr>
        <w:t>4.2  软件问题</w:t>
      </w:r>
    </w:p>
    <w:p w14:paraId="22642A99">
      <w:pPr>
        <w:pStyle w:val="2"/>
        <w:spacing w:before="137" w:line="279" w:lineRule="auto"/>
        <w:ind w:right="122" w:firstLine="560"/>
        <w:jc w:val="both"/>
      </w:pPr>
      <w:r>
        <w:rPr>
          <w:spacing w:val="6"/>
        </w:rPr>
        <w:t>对此次定型测评中实际发现软件问题的数量、类</w:t>
      </w:r>
      <w:r>
        <w:rPr>
          <w:spacing w:val="5"/>
        </w:rPr>
        <w:t>型、严重性等级、纠正情</w:t>
      </w:r>
      <w:r>
        <w:t xml:space="preserve"> </w:t>
      </w:r>
      <w:r>
        <w:rPr>
          <w:spacing w:val="13"/>
        </w:rPr>
        <w:t>况在各测试轮次、被测对象版本、测试级别、测试类型中的分布情况作详细</w:t>
      </w:r>
      <w:r>
        <w:rPr>
          <w:spacing w:val="16"/>
        </w:rPr>
        <w:t xml:space="preserve"> </w:t>
      </w:r>
      <w:r>
        <w:rPr>
          <w:spacing w:val="-2"/>
        </w:rPr>
        <w:t>统计。</w:t>
      </w:r>
    </w:p>
    <w:p w14:paraId="51997DC9">
      <w:pPr>
        <w:pStyle w:val="2"/>
        <w:spacing w:before="5" w:line="282" w:lineRule="auto"/>
        <w:ind w:firstLine="560"/>
      </w:pPr>
      <w:r>
        <w:rPr>
          <w:spacing w:val="1"/>
        </w:rPr>
        <w:t>如果测评工作正常结束后被测软件中仍有问题遗留，应对遗留问题的数量、</w:t>
      </w:r>
      <w:r>
        <w:t xml:space="preserve"> </w:t>
      </w:r>
      <w:r>
        <w:rPr>
          <w:spacing w:val="-17"/>
        </w:rPr>
        <w:t>状况、严重程度、影响、风险、处理结果等作具</w:t>
      </w:r>
      <w:r>
        <w:rPr>
          <w:spacing w:val="-18"/>
        </w:rPr>
        <w:t>体说明。</w:t>
      </w:r>
    </w:p>
    <w:p w14:paraId="416FD842">
      <w:pPr>
        <w:spacing w:before="22" w:line="221" w:lineRule="auto"/>
        <w:rPr>
          <w:rFonts w:ascii="黑体" w:hAnsi="黑体" w:eastAsia="黑体" w:cs="黑体"/>
          <w:sz w:val="27"/>
          <w:szCs w:val="27"/>
        </w:rPr>
      </w:pPr>
      <w:r>
        <w:rPr>
          <w:rFonts w:ascii="黑体" w:hAnsi="黑体" w:eastAsia="黑体" w:cs="黑体"/>
          <w:spacing w:val="-6"/>
          <w:sz w:val="27"/>
          <w:szCs w:val="27"/>
        </w:rPr>
        <w:t>4.3</w:t>
      </w:r>
      <w:r>
        <w:rPr>
          <w:rFonts w:ascii="黑体" w:hAnsi="黑体" w:eastAsia="黑体" w:cs="黑体"/>
          <w:spacing w:val="22"/>
          <w:sz w:val="27"/>
          <w:szCs w:val="27"/>
        </w:rPr>
        <w:t xml:space="preserve">  </w:t>
      </w:r>
      <w:r>
        <w:rPr>
          <w:rFonts w:ascii="黑体" w:hAnsi="黑体" w:eastAsia="黑体" w:cs="黑体"/>
          <w:spacing w:val="-6"/>
          <w:sz w:val="27"/>
          <w:szCs w:val="27"/>
        </w:rPr>
        <w:t>测试的有效性、充分性说明</w:t>
      </w:r>
    </w:p>
    <w:p w14:paraId="715A3FB0">
      <w:pPr>
        <w:pStyle w:val="2"/>
        <w:spacing w:before="151" w:line="271" w:lineRule="auto"/>
        <w:ind w:right="123" w:firstLine="560"/>
        <w:jc w:val="both"/>
      </w:pPr>
      <w:r>
        <w:rPr>
          <w:spacing w:val="-11"/>
        </w:rPr>
        <w:t>对照定型测评大纲，根据测试需求分析、测试策划、测试设计与实现、测试执</w:t>
      </w:r>
      <w:r>
        <w:rPr>
          <w:spacing w:val="14"/>
        </w:rPr>
        <w:t xml:space="preserve"> </w:t>
      </w:r>
      <w:r>
        <w:rPr>
          <w:spacing w:val="-2"/>
        </w:rPr>
        <w:t>行、测评总结等阶段的实施情况以及发现的软件问题，对测试的有效性、充分性</w:t>
      </w:r>
      <w:r>
        <w:t xml:space="preserve"> </w:t>
      </w:r>
      <w:r>
        <w:rPr>
          <w:spacing w:val="2"/>
        </w:rPr>
        <w:t>进行分析说明。</w:t>
      </w:r>
    </w:p>
    <w:p w14:paraId="23186714">
      <w:pPr>
        <w:spacing w:line="271" w:lineRule="auto"/>
        <w:sectPr>
          <w:footerReference r:id="rId278" w:type="default"/>
          <w:pgSz w:w="11910" w:h="17130"/>
          <w:pgMar w:top="1456" w:right="1265" w:bottom="1533" w:left="1140" w:header="0" w:footer="1334" w:gutter="0"/>
          <w:cols w:space="720" w:num="1"/>
        </w:sectPr>
      </w:pPr>
    </w:p>
    <w:p w14:paraId="2F406B8E">
      <w:pPr>
        <w:spacing w:before="99" w:line="222" w:lineRule="auto"/>
        <w:rPr>
          <w:rFonts w:ascii="黑体" w:hAnsi="黑体" w:eastAsia="黑体" w:cs="黑体"/>
          <w:sz w:val="27"/>
          <w:szCs w:val="27"/>
        </w:rPr>
      </w:pPr>
      <w:r>
        <w:rPr>
          <w:rFonts w:ascii="黑体" w:hAnsi="黑体" w:eastAsia="黑体" w:cs="黑体"/>
          <w:spacing w:val="4"/>
          <w:sz w:val="27"/>
          <w:szCs w:val="27"/>
        </w:rPr>
        <w:t xml:space="preserve">5  </w:t>
      </w:r>
      <w:r>
        <w:rPr>
          <w:rFonts w:ascii="黑体" w:hAnsi="黑体" w:eastAsia="黑体" w:cs="黑体"/>
          <w:b/>
          <w:bCs/>
          <w:spacing w:val="4"/>
          <w:sz w:val="27"/>
          <w:szCs w:val="27"/>
        </w:rPr>
        <w:t>评价结论与改进建议</w:t>
      </w:r>
    </w:p>
    <w:p w14:paraId="1BF59279">
      <w:pPr>
        <w:spacing w:before="104" w:line="222" w:lineRule="auto"/>
        <w:rPr>
          <w:rFonts w:ascii="黑体" w:hAnsi="黑体" w:eastAsia="黑体" w:cs="黑体"/>
          <w:sz w:val="25"/>
          <w:szCs w:val="25"/>
        </w:rPr>
      </w:pPr>
      <w:r>
        <w:rPr>
          <w:rFonts w:ascii="黑体" w:hAnsi="黑体" w:eastAsia="黑体" w:cs="黑体"/>
          <w:spacing w:val="14"/>
          <w:sz w:val="25"/>
          <w:szCs w:val="25"/>
        </w:rPr>
        <w:t>5.1</w:t>
      </w:r>
      <w:r>
        <w:rPr>
          <w:rFonts w:ascii="黑体" w:hAnsi="黑体" w:eastAsia="黑体" w:cs="黑体"/>
          <w:spacing w:val="35"/>
          <w:sz w:val="25"/>
          <w:szCs w:val="25"/>
        </w:rPr>
        <w:t xml:space="preserve">  </w:t>
      </w:r>
      <w:r>
        <w:rPr>
          <w:rFonts w:ascii="黑体" w:hAnsi="黑体" w:eastAsia="黑体" w:cs="黑体"/>
          <w:b/>
          <w:bCs/>
          <w:spacing w:val="14"/>
          <w:sz w:val="25"/>
          <w:szCs w:val="25"/>
        </w:rPr>
        <w:t>评价结论</w:t>
      </w:r>
    </w:p>
    <w:p w14:paraId="6396827F">
      <w:pPr>
        <w:pStyle w:val="2"/>
        <w:spacing w:before="105" w:line="279" w:lineRule="auto"/>
        <w:ind w:firstLine="580"/>
        <w:jc w:val="both"/>
      </w:pPr>
      <w:r>
        <w:rPr>
          <w:spacing w:val="6"/>
        </w:rPr>
        <w:t>根据定型测评大纲中的相关规定，对照被测软件研制总要求或系统研制总</w:t>
      </w:r>
      <w:r>
        <w:t xml:space="preserve"> </w:t>
      </w:r>
      <w:r>
        <w:rPr>
          <w:spacing w:val="-2"/>
        </w:rPr>
        <w:t>要求、软件需求规格说明及其他等效文档规定的书面要</w:t>
      </w:r>
      <w:r>
        <w:rPr>
          <w:spacing w:val="-3"/>
        </w:rPr>
        <w:t>求和隐含要求，结合测试</w:t>
      </w:r>
      <w:r>
        <w:t xml:space="preserve"> </w:t>
      </w:r>
      <w:r>
        <w:rPr>
          <w:spacing w:val="-2"/>
        </w:rPr>
        <w:t>结果，对被测软件的质量作全面评价。对被测软件满足研制总要求的情况、</w:t>
      </w:r>
      <w:r>
        <w:rPr>
          <w:spacing w:val="-3"/>
        </w:rPr>
        <w:t>是否</w:t>
      </w:r>
      <w:r>
        <w:t xml:space="preserve"> </w:t>
      </w:r>
      <w:r>
        <w:rPr>
          <w:spacing w:val="3"/>
        </w:rPr>
        <w:t>通过定型测评给出明确的结论。</w:t>
      </w:r>
    </w:p>
    <w:p w14:paraId="36D94167">
      <w:pPr>
        <w:spacing w:before="1" w:line="222" w:lineRule="auto"/>
        <w:rPr>
          <w:rFonts w:ascii="黑体" w:hAnsi="黑体" w:eastAsia="黑体" w:cs="黑体"/>
          <w:sz w:val="24"/>
          <w:szCs w:val="24"/>
        </w:rPr>
      </w:pPr>
      <w:r>
        <w:rPr>
          <w:rFonts w:ascii="黑体" w:hAnsi="黑体" w:eastAsia="黑体" w:cs="黑体"/>
          <w:spacing w:val="17"/>
          <w:sz w:val="24"/>
          <w:szCs w:val="24"/>
        </w:rPr>
        <w:t>5.2</w:t>
      </w:r>
      <w:r>
        <w:rPr>
          <w:rFonts w:ascii="黑体" w:hAnsi="黑体" w:eastAsia="黑体" w:cs="黑体"/>
          <w:spacing w:val="58"/>
          <w:sz w:val="24"/>
          <w:szCs w:val="24"/>
        </w:rPr>
        <w:t xml:space="preserve">  </w:t>
      </w:r>
      <w:r>
        <w:rPr>
          <w:rFonts w:ascii="黑体" w:hAnsi="黑体" w:eastAsia="黑体" w:cs="黑体"/>
          <w:b/>
          <w:bCs/>
          <w:spacing w:val="17"/>
          <w:sz w:val="24"/>
          <w:szCs w:val="24"/>
        </w:rPr>
        <w:t>改进建议</w:t>
      </w:r>
    </w:p>
    <w:p w14:paraId="1FFB139E">
      <w:pPr>
        <w:pStyle w:val="2"/>
        <w:spacing w:before="118" w:line="219" w:lineRule="auto"/>
        <w:ind w:left="580"/>
      </w:pPr>
      <w:r>
        <w:rPr>
          <w:spacing w:val="-1"/>
        </w:rPr>
        <w:t>结合测评的具体情况，提出对被测软件质量的改进建议。</w:t>
      </w:r>
    </w:p>
    <w:p w14:paraId="6E348806">
      <w:pPr>
        <w:spacing w:before="85" w:line="222" w:lineRule="auto"/>
        <w:rPr>
          <w:rFonts w:ascii="黑体" w:hAnsi="黑体" w:eastAsia="黑体" w:cs="黑体"/>
          <w:sz w:val="25"/>
          <w:szCs w:val="25"/>
        </w:rPr>
      </w:pPr>
      <w:r>
        <w:rPr>
          <w:rFonts w:ascii="黑体" w:hAnsi="黑体" w:eastAsia="黑体" w:cs="黑体"/>
          <w:spacing w:val="6"/>
          <w:sz w:val="25"/>
          <w:szCs w:val="25"/>
        </w:rPr>
        <w:t>6</w:t>
      </w:r>
      <w:r>
        <w:rPr>
          <w:rFonts w:ascii="黑体" w:hAnsi="黑体" w:eastAsia="黑体" w:cs="黑体"/>
          <w:spacing w:val="38"/>
          <w:sz w:val="25"/>
          <w:szCs w:val="25"/>
        </w:rPr>
        <w:t xml:space="preserve">  </w:t>
      </w:r>
      <w:r>
        <w:rPr>
          <w:rFonts w:ascii="黑体" w:hAnsi="黑体" w:eastAsia="黑体" w:cs="黑体"/>
          <w:b/>
          <w:bCs/>
          <w:spacing w:val="6"/>
          <w:sz w:val="25"/>
          <w:szCs w:val="25"/>
        </w:rPr>
        <w:t>其他</w:t>
      </w:r>
    </w:p>
    <w:p w14:paraId="7E28DF2F">
      <w:pPr>
        <w:pStyle w:val="2"/>
        <w:spacing w:before="114" w:line="219" w:lineRule="auto"/>
        <w:ind w:left="580"/>
      </w:pPr>
      <w:r>
        <w:rPr>
          <w:spacing w:val="-3"/>
        </w:rPr>
        <w:t>此部分为可选要素，描述其他需要说明的内容。</w:t>
      </w:r>
    </w:p>
    <w:p w14:paraId="697C4F9B">
      <w:pPr>
        <w:spacing w:line="219" w:lineRule="auto"/>
        <w:sectPr>
          <w:footerReference r:id="rId279" w:type="default"/>
          <w:pgSz w:w="11910" w:h="17130"/>
          <w:pgMar w:top="1456" w:right="1106" w:bottom="1519" w:left="1390" w:header="0" w:footer="1339" w:gutter="0"/>
          <w:cols w:space="720" w:num="1"/>
        </w:sectPr>
      </w:pPr>
    </w:p>
    <w:p w14:paraId="2637021D">
      <w:pPr>
        <w:spacing w:line="255" w:lineRule="auto"/>
        <w:rPr>
          <w:rFonts w:ascii="Arial"/>
          <w:sz w:val="21"/>
        </w:rPr>
      </w:pPr>
    </w:p>
    <w:p w14:paraId="2C36061F">
      <w:pPr>
        <w:spacing w:line="256" w:lineRule="auto"/>
        <w:rPr>
          <w:rFonts w:ascii="Arial"/>
          <w:sz w:val="21"/>
        </w:rPr>
      </w:pPr>
    </w:p>
    <w:p w14:paraId="345AEB8E">
      <w:pPr>
        <w:spacing w:line="256" w:lineRule="auto"/>
        <w:rPr>
          <w:rFonts w:ascii="Arial"/>
          <w:sz w:val="21"/>
        </w:rPr>
      </w:pPr>
    </w:p>
    <w:p w14:paraId="4496C693">
      <w:pPr>
        <w:spacing w:line="256" w:lineRule="auto"/>
        <w:rPr>
          <w:rFonts w:ascii="Arial"/>
          <w:sz w:val="21"/>
        </w:rPr>
      </w:pPr>
    </w:p>
    <w:p w14:paraId="1ACB6B2D">
      <w:pPr>
        <w:spacing w:before="143" w:line="222" w:lineRule="auto"/>
        <w:ind w:left="2446"/>
        <w:outlineLvl w:val="0"/>
        <w:rPr>
          <w:rFonts w:ascii="黑体" w:hAnsi="黑体" w:eastAsia="黑体" w:cs="黑体"/>
          <w:sz w:val="44"/>
          <w:szCs w:val="44"/>
        </w:rPr>
      </w:pPr>
      <w:r>
        <w:rPr>
          <w:rFonts w:ascii="黑体" w:hAnsi="黑体" w:eastAsia="黑体" w:cs="黑体"/>
          <w:b/>
          <w:bCs/>
          <w:spacing w:val="-23"/>
          <w:sz w:val="44"/>
          <w:szCs w:val="44"/>
        </w:rPr>
        <w:t>第</w:t>
      </w:r>
      <w:r>
        <w:rPr>
          <w:rFonts w:ascii="黑体" w:hAnsi="黑体" w:eastAsia="黑体" w:cs="黑体"/>
          <w:spacing w:val="-62"/>
          <w:sz w:val="44"/>
          <w:szCs w:val="44"/>
        </w:rPr>
        <w:t xml:space="preserve"> </w:t>
      </w:r>
      <w:r>
        <w:rPr>
          <w:rFonts w:ascii="黑体" w:hAnsi="黑体" w:eastAsia="黑体" w:cs="黑体"/>
          <w:b/>
          <w:bCs/>
          <w:spacing w:val="-23"/>
          <w:sz w:val="44"/>
          <w:szCs w:val="44"/>
        </w:rPr>
        <w:t>3</w:t>
      </w:r>
      <w:r>
        <w:rPr>
          <w:rFonts w:ascii="黑体" w:hAnsi="黑体" w:eastAsia="黑体" w:cs="黑体"/>
          <w:spacing w:val="-60"/>
          <w:sz w:val="44"/>
          <w:szCs w:val="44"/>
        </w:rPr>
        <w:t xml:space="preserve"> </w:t>
      </w:r>
      <w:r>
        <w:rPr>
          <w:rFonts w:ascii="黑体" w:hAnsi="黑体" w:eastAsia="黑体" w:cs="黑体"/>
          <w:b/>
          <w:bCs/>
          <w:spacing w:val="-23"/>
          <w:sz w:val="44"/>
          <w:szCs w:val="44"/>
        </w:rPr>
        <w:t>章</w:t>
      </w:r>
      <w:r>
        <w:rPr>
          <w:rFonts w:ascii="黑体" w:hAnsi="黑体" w:eastAsia="黑体" w:cs="黑体"/>
          <w:spacing w:val="42"/>
          <w:sz w:val="44"/>
          <w:szCs w:val="44"/>
        </w:rPr>
        <w:t xml:space="preserve">  </w:t>
      </w:r>
      <w:r>
        <w:rPr>
          <w:rFonts w:ascii="黑体" w:hAnsi="黑体" w:eastAsia="黑体" w:cs="黑体"/>
          <w:b/>
          <w:bCs/>
          <w:spacing w:val="-23"/>
          <w:sz w:val="44"/>
          <w:szCs w:val="44"/>
        </w:rPr>
        <w:t>工</w:t>
      </w:r>
      <w:r>
        <w:rPr>
          <w:rFonts w:ascii="黑体" w:hAnsi="黑体" w:eastAsia="黑体" w:cs="黑体"/>
          <w:spacing w:val="96"/>
          <w:sz w:val="44"/>
          <w:szCs w:val="44"/>
        </w:rPr>
        <w:t xml:space="preserve"> </w:t>
      </w:r>
      <w:r>
        <w:rPr>
          <w:rFonts w:ascii="黑体" w:hAnsi="黑体" w:eastAsia="黑体" w:cs="黑体"/>
          <w:b/>
          <w:bCs/>
          <w:spacing w:val="-23"/>
          <w:sz w:val="44"/>
          <w:szCs w:val="44"/>
        </w:rPr>
        <w:t>艺</w:t>
      </w:r>
      <w:r>
        <w:rPr>
          <w:rFonts w:ascii="黑体" w:hAnsi="黑体" w:eastAsia="黑体" w:cs="黑体"/>
          <w:spacing w:val="85"/>
          <w:sz w:val="44"/>
          <w:szCs w:val="44"/>
        </w:rPr>
        <w:t xml:space="preserve"> </w:t>
      </w:r>
      <w:r>
        <w:rPr>
          <w:rFonts w:ascii="黑体" w:hAnsi="黑体" w:eastAsia="黑体" w:cs="黑体"/>
          <w:b/>
          <w:bCs/>
          <w:spacing w:val="-23"/>
          <w:sz w:val="44"/>
          <w:szCs w:val="44"/>
        </w:rPr>
        <w:t>文</w:t>
      </w:r>
      <w:r>
        <w:rPr>
          <w:rFonts w:ascii="黑体" w:hAnsi="黑体" w:eastAsia="黑体" w:cs="黑体"/>
          <w:spacing w:val="76"/>
          <w:sz w:val="44"/>
          <w:szCs w:val="44"/>
        </w:rPr>
        <w:t xml:space="preserve"> </w:t>
      </w:r>
      <w:r>
        <w:rPr>
          <w:rFonts w:ascii="黑体" w:hAnsi="黑体" w:eastAsia="黑体" w:cs="黑体"/>
          <w:b/>
          <w:bCs/>
          <w:spacing w:val="-23"/>
          <w:sz w:val="44"/>
          <w:szCs w:val="44"/>
        </w:rPr>
        <w:t>件</w:t>
      </w:r>
    </w:p>
    <w:p w14:paraId="25BA21E6">
      <w:pPr>
        <w:spacing w:line="335" w:lineRule="auto"/>
        <w:rPr>
          <w:rFonts w:ascii="Arial"/>
          <w:sz w:val="21"/>
        </w:rPr>
      </w:pPr>
    </w:p>
    <w:p w14:paraId="02076D7F">
      <w:pPr>
        <w:spacing w:line="336" w:lineRule="auto"/>
        <w:rPr>
          <w:rFonts w:ascii="Arial"/>
          <w:sz w:val="21"/>
        </w:rPr>
      </w:pPr>
    </w:p>
    <w:p w14:paraId="54A2E503">
      <w:pPr>
        <w:pStyle w:val="2"/>
        <w:spacing w:before="117" w:line="220" w:lineRule="auto"/>
        <w:ind w:left="3300"/>
        <w:rPr>
          <w:sz w:val="36"/>
          <w:szCs w:val="36"/>
        </w:rPr>
      </w:pPr>
      <w:r>
        <w:rPr>
          <w:sz w:val="36"/>
          <w:szCs w:val="36"/>
        </w:rPr>
        <w:t>3.1</w:t>
      </w:r>
      <w:r>
        <w:rPr>
          <w:spacing w:val="21"/>
          <w:sz w:val="36"/>
          <w:szCs w:val="36"/>
        </w:rPr>
        <w:t xml:space="preserve">  </w:t>
      </w:r>
      <w:r>
        <w:rPr>
          <w:b/>
          <w:bCs/>
          <w:sz w:val="36"/>
          <w:szCs w:val="36"/>
        </w:rPr>
        <w:t>工艺总方案</w:t>
      </w:r>
    </w:p>
    <w:p w14:paraId="5BDD1B74">
      <w:pPr>
        <w:spacing w:line="362" w:lineRule="auto"/>
        <w:rPr>
          <w:rFonts w:ascii="Arial"/>
          <w:sz w:val="21"/>
        </w:rPr>
      </w:pPr>
    </w:p>
    <w:p w14:paraId="036248B3">
      <w:pPr>
        <w:spacing w:before="87"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9"/>
          <w:sz w:val="27"/>
          <w:szCs w:val="27"/>
        </w:rPr>
        <w:t xml:space="preserve">  </w:t>
      </w:r>
      <w:r>
        <w:rPr>
          <w:rFonts w:ascii="黑体" w:hAnsi="黑体" w:eastAsia="黑体" w:cs="黑体"/>
          <w:spacing w:val="-6"/>
          <w:sz w:val="27"/>
          <w:szCs w:val="27"/>
        </w:rPr>
        <w:t>范围</w:t>
      </w:r>
    </w:p>
    <w:p w14:paraId="615C71D6">
      <w:pPr>
        <w:pStyle w:val="2"/>
        <w:spacing w:before="83" w:line="219" w:lineRule="auto"/>
        <w:ind w:left="560"/>
      </w:pPr>
      <w:r>
        <w:rPr>
          <w:spacing w:val="3"/>
        </w:rPr>
        <w:t>说明工艺总方案的主题内容和适用范围。</w:t>
      </w:r>
    </w:p>
    <w:p w14:paraId="2EA70D3B">
      <w:pPr>
        <w:spacing w:before="78"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3"/>
          <w:sz w:val="27"/>
          <w:szCs w:val="27"/>
        </w:rPr>
        <w:t xml:space="preserve">  </w:t>
      </w:r>
      <w:r>
        <w:rPr>
          <w:rFonts w:ascii="黑体" w:hAnsi="黑体" w:eastAsia="黑体" w:cs="黑体"/>
          <w:sz w:val="27"/>
          <w:szCs w:val="27"/>
        </w:rPr>
        <w:t>引用文件</w:t>
      </w:r>
    </w:p>
    <w:p w14:paraId="0B81B55E">
      <w:pPr>
        <w:pStyle w:val="2"/>
        <w:spacing w:before="85" w:line="219" w:lineRule="auto"/>
        <w:ind w:left="560"/>
      </w:pPr>
      <w:r>
        <w:rPr>
          <w:spacing w:val="4"/>
        </w:rPr>
        <w:t>列出编制工艺总方案的依据文件以及各章中引用的所有文件。</w:t>
      </w:r>
    </w:p>
    <w:p w14:paraId="7ABABA2E">
      <w:pPr>
        <w:spacing w:before="89" w:line="221" w:lineRule="auto"/>
        <w:rPr>
          <w:rFonts w:ascii="黑体" w:hAnsi="黑体" w:eastAsia="黑体" w:cs="黑体"/>
          <w:sz w:val="27"/>
          <w:szCs w:val="27"/>
        </w:rPr>
      </w:pPr>
      <w:r>
        <w:rPr>
          <w:rFonts w:ascii="黑体" w:hAnsi="黑体" w:eastAsia="黑体" w:cs="黑体"/>
          <w:sz w:val="27"/>
          <w:szCs w:val="27"/>
        </w:rPr>
        <w:t>3  关键试制工艺的工艺性分析、全部过程</w:t>
      </w:r>
      <w:r>
        <w:rPr>
          <w:rFonts w:ascii="黑体" w:hAnsi="黑体" w:eastAsia="黑体" w:cs="黑体"/>
          <w:spacing w:val="-1"/>
          <w:sz w:val="27"/>
          <w:szCs w:val="27"/>
        </w:rPr>
        <w:t>工艺工作量估计</w:t>
      </w:r>
    </w:p>
    <w:p w14:paraId="7AA4D9F3">
      <w:pPr>
        <w:spacing w:before="87" w:line="221" w:lineRule="auto"/>
        <w:rPr>
          <w:rFonts w:ascii="黑体" w:hAnsi="黑体" w:eastAsia="黑体" w:cs="黑体"/>
          <w:sz w:val="27"/>
          <w:szCs w:val="27"/>
        </w:rPr>
      </w:pPr>
      <w:r>
        <w:rPr>
          <w:rFonts w:ascii="黑体" w:hAnsi="黑体" w:eastAsia="黑体" w:cs="黑体"/>
          <w:spacing w:val="1"/>
          <w:sz w:val="27"/>
          <w:szCs w:val="27"/>
        </w:rPr>
        <w:t>3.1</w:t>
      </w:r>
      <w:r>
        <w:rPr>
          <w:rFonts w:ascii="黑体" w:hAnsi="黑体" w:eastAsia="黑体" w:cs="黑体"/>
          <w:spacing w:val="19"/>
          <w:sz w:val="27"/>
          <w:szCs w:val="27"/>
        </w:rPr>
        <w:t xml:space="preserve">  </w:t>
      </w:r>
      <w:r>
        <w:rPr>
          <w:rFonts w:ascii="黑体" w:hAnsi="黑体" w:eastAsia="黑体" w:cs="黑体"/>
          <w:spacing w:val="1"/>
          <w:sz w:val="27"/>
          <w:szCs w:val="27"/>
        </w:rPr>
        <w:t>关键试制工艺</w:t>
      </w:r>
    </w:p>
    <w:p w14:paraId="656C4BF5">
      <w:pPr>
        <w:pStyle w:val="2"/>
        <w:spacing w:before="89" w:line="219" w:lineRule="auto"/>
        <w:ind w:left="560"/>
      </w:pPr>
      <w:r>
        <w:rPr>
          <w:spacing w:val="14"/>
        </w:rPr>
        <w:t>说明产品研制生产过程中所需的所有关键试制工艺。可列表说明，详见</w:t>
      </w:r>
    </w:p>
    <w:p w14:paraId="71273270">
      <w:pPr>
        <w:pStyle w:val="2"/>
        <w:spacing w:before="120" w:line="221" w:lineRule="auto"/>
        <w:rPr>
          <w:sz w:val="24"/>
          <w:szCs w:val="24"/>
        </w:rPr>
      </w:pPr>
      <w:r>
        <w:rPr>
          <w:spacing w:val="-15"/>
          <w:sz w:val="24"/>
          <w:szCs w:val="24"/>
        </w:rPr>
        <w:t>表</w:t>
      </w:r>
      <w:r>
        <w:rPr>
          <w:spacing w:val="-26"/>
          <w:sz w:val="24"/>
          <w:szCs w:val="24"/>
        </w:rPr>
        <w:t xml:space="preserve"> </w:t>
      </w:r>
      <w:r>
        <w:rPr>
          <w:spacing w:val="-15"/>
          <w:sz w:val="24"/>
          <w:szCs w:val="24"/>
        </w:rPr>
        <w:t>3</w:t>
      </w:r>
      <w:r>
        <w:rPr>
          <w:spacing w:val="-27"/>
          <w:sz w:val="24"/>
          <w:szCs w:val="24"/>
        </w:rPr>
        <w:t xml:space="preserve"> </w:t>
      </w:r>
      <w:r>
        <w:rPr>
          <w:spacing w:val="-15"/>
          <w:sz w:val="24"/>
          <w:szCs w:val="24"/>
        </w:rPr>
        <w:t>.1。</w:t>
      </w:r>
    </w:p>
    <w:p w14:paraId="51F7D063">
      <w:pPr>
        <w:spacing w:before="79" w:line="222" w:lineRule="auto"/>
        <w:ind w:left="3389"/>
        <w:rPr>
          <w:rFonts w:ascii="仿宋" w:hAnsi="仿宋" w:eastAsia="仿宋" w:cs="仿宋"/>
          <w:sz w:val="27"/>
          <w:szCs w:val="27"/>
        </w:rPr>
      </w:pPr>
      <w:r>
        <w:rPr>
          <w:rFonts w:ascii="仿宋" w:hAnsi="仿宋" w:eastAsia="仿宋" w:cs="仿宋"/>
          <w:spacing w:val="2"/>
          <w:sz w:val="27"/>
          <w:szCs w:val="27"/>
        </w:rPr>
        <w:t>表3.</w:t>
      </w:r>
      <w:r>
        <w:rPr>
          <w:rFonts w:ascii="仿宋" w:hAnsi="仿宋" w:eastAsia="仿宋" w:cs="仿宋"/>
          <w:spacing w:val="-68"/>
          <w:sz w:val="27"/>
          <w:szCs w:val="27"/>
        </w:rPr>
        <w:t xml:space="preserve"> </w:t>
      </w:r>
      <w:r>
        <w:rPr>
          <w:rFonts w:ascii="仿宋" w:hAnsi="仿宋" w:eastAsia="仿宋" w:cs="仿宋"/>
          <w:spacing w:val="2"/>
          <w:sz w:val="27"/>
          <w:szCs w:val="27"/>
        </w:rPr>
        <w:t>1</w:t>
      </w:r>
      <w:r>
        <w:rPr>
          <w:rFonts w:ascii="仿宋" w:hAnsi="仿宋" w:eastAsia="仿宋" w:cs="仿宋"/>
          <w:spacing w:val="1"/>
          <w:sz w:val="27"/>
          <w:szCs w:val="27"/>
        </w:rPr>
        <w:t xml:space="preserve">  </w:t>
      </w:r>
      <w:r>
        <w:rPr>
          <w:rFonts w:ascii="仿宋" w:hAnsi="仿宋" w:eastAsia="仿宋" w:cs="仿宋"/>
          <w:spacing w:val="2"/>
          <w:sz w:val="27"/>
          <w:szCs w:val="27"/>
        </w:rPr>
        <w:t>关键试制工艺</w:t>
      </w:r>
    </w:p>
    <w:p w14:paraId="1CDE0626">
      <w:pPr>
        <w:spacing w:line="113" w:lineRule="exact"/>
      </w:pPr>
    </w:p>
    <w:tbl>
      <w:tblPr>
        <w:tblStyle w:val="5"/>
        <w:tblW w:w="936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2097"/>
        <w:gridCol w:w="3756"/>
        <w:gridCol w:w="1843"/>
      </w:tblGrid>
      <w:tr w14:paraId="7460E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1673" w:type="dxa"/>
            <w:vAlign w:val="top"/>
          </w:tcPr>
          <w:p w14:paraId="46B98BED">
            <w:pPr>
              <w:spacing w:before="104" w:line="221" w:lineRule="auto"/>
              <w:ind w:left="604"/>
              <w:rPr>
                <w:rFonts w:ascii="宋体" w:hAnsi="宋体" w:eastAsia="宋体" w:cs="宋体"/>
                <w:sz w:val="20"/>
                <w:szCs w:val="20"/>
              </w:rPr>
            </w:pPr>
            <w:r>
              <w:rPr>
                <w:rFonts w:ascii="宋体" w:hAnsi="宋体" w:eastAsia="宋体" w:cs="宋体"/>
                <w:spacing w:val="-2"/>
                <w:sz w:val="20"/>
                <w:szCs w:val="20"/>
              </w:rPr>
              <w:t>序号</w:t>
            </w:r>
          </w:p>
        </w:tc>
        <w:tc>
          <w:tcPr>
            <w:tcW w:w="2097" w:type="dxa"/>
            <w:vAlign w:val="top"/>
          </w:tcPr>
          <w:p w14:paraId="28D7BAA9">
            <w:pPr>
              <w:spacing w:before="105" w:line="221" w:lineRule="auto"/>
              <w:ind w:left="631"/>
              <w:rPr>
                <w:rFonts w:ascii="宋体" w:hAnsi="宋体" w:eastAsia="宋体" w:cs="宋体"/>
                <w:sz w:val="20"/>
                <w:szCs w:val="20"/>
              </w:rPr>
            </w:pPr>
            <w:r>
              <w:rPr>
                <w:rFonts w:ascii="宋体" w:hAnsi="宋体" w:eastAsia="宋体" w:cs="宋体"/>
                <w:spacing w:val="2"/>
                <w:sz w:val="20"/>
                <w:szCs w:val="20"/>
              </w:rPr>
              <w:t>工艺名称</w:t>
            </w:r>
          </w:p>
        </w:tc>
        <w:tc>
          <w:tcPr>
            <w:tcW w:w="3756" w:type="dxa"/>
            <w:vAlign w:val="top"/>
          </w:tcPr>
          <w:p w14:paraId="0DF6D7CE">
            <w:pPr>
              <w:spacing w:before="103" w:line="220" w:lineRule="auto"/>
              <w:ind w:left="724"/>
              <w:rPr>
                <w:rFonts w:ascii="宋体" w:hAnsi="宋体" w:eastAsia="宋体" w:cs="宋体"/>
                <w:sz w:val="20"/>
                <w:szCs w:val="20"/>
              </w:rPr>
            </w:pPr>
            <w:r>
              <w:rPr>
                <w:rFonts w:ascii="宋体" w:hAnsi="宋体" w:eastAsia="宋体" w:cs="宋体"/>
                <w:spacing w:val="2"/>
                <w:sz w:val="20"/>
                <w:szCs w:val="20"/>
              </w:rPr>
              <w:t>列入关键试制工艺的理由</w:t>
            </w:r>
          </w:p>
        </w:tc>
        <w:tc>
          <w:tcPr>
            <w:tcW w:w="1843" w:type="dxa"/>
            <w:vAlign w:val="top"/>
          </w:tcPr>
          <w:p w14:paraId="6F9EF7E5">
            <w:pPr>
              <w:spacing w:before="104" w:line="221" w:lineRule="auto"/>
              <w:ind w:left="708"/>
              <w:rPr>
                <w:rFonts w:ascii="宋体" w:hAnsi="宋体" w:eastAsia="宋体" w:cs="宋体"/>
                <w:sz w:val="20"/>
                <w:szCs w:val="20"/>
              </w:rPr>
            </w:pPr>
            <w:r>
              <w:rPr>
                <w:rFonts w:ascii="宋体" w:hAnsi="宋体" w:eastAsia="宋体" w:cs="宋体"/>
                <w:spacing w:val="5"/>
                <w:sz w:val="20"/>
                <w:szCs w:val="20"/>
              </w:rPr>
              <w:t>备注</w:t>
            </w:r>
          </w:p>
        </w:tc>
      </w:tr>
      <w:tr w14:paraId="287F6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673" w:type="dxa"/>
            <w:vAlign w:val="top"/>
          </w:tcPr>
          <w:p w14:paraId="32C4702E">
            <w:pPr>
              <w:pStyle w:val="6"/>
            </w:pPr>
          </w:p>
        </w:tc>
        <w:tc>
          <w:tcPr>
            <w:tcW w:w="2097" w:type="dxa"/>
            <w:vAlign w:val="top"/>
          </w:tcPr>
          <w:p w14:paraId="3BE42547">
            <w:pPr>
              <w:pStyle w:val="6"/>
            </w:pPr>
          </w:p>
        </w:tc>
        <w:tc>
          <w:tcPr>
            <w:tcW w:w="3756" w:type="dxa"/>
            <w:vAlign w:val="top"/>
          </w:tcPr>
          <w:p w14:paraId="107E6953">
            <w:pPr>
              <w:pStyle w:val="6"/>
            </w:pPr>
          </w:p>
        </w:tc>
        <w:tc>
          <w:tcPr>
            <w:tcW w:w="1843" w:type="dxa"/>
            <w:vAlign w:val="top"/>
          </w:tcPr>
          <w:p w14:paraId="0FD5EC1A">
            <w:pPr>
              <w:pStyle w:val="6"/>
            </w:pPr>
          </w:p>
        </w:tc>
      </w:tr>
      <w:tr w14:paraId="36D58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673" w:type="dxa"/>
            <w:vAlign w:val="top"/>
          </w:tcPr>
          <w:p w14:paraId="609647E8">
            <w:pPr>
              <w:pStyle w:val="6"/>
            </w:pPr>
          </w:p>
        </w:tc>
        <w:tc>
          <w:tcPr>
            <w:tcW w:w="2097" w:type="dxa"/>
            <w:vAlign w:val="top"/>
          </w:tcPr>
          <w:p w14:paraId="5316DB8A">
            <w:pPr>
              <w:pStyle w:val="6"/>
            </w:pPr>
          </w:p>
        </w:tc>
        <w:tc>
          <w:tcPr>
            <w:tcW w:w="3756" w:type="dxa"/>
            <w:vAlign w:val="top"/>
          </w:tcPr>
          <w:p w14:paraId="63CB9D68">
            <w:pPr>
              <w:pStyle w:val="6"/>
            </w:pPr>
          </w:p>
        </w:tc>
        <w:tc>
          <w:tcPr>
            <w:tcW w:w="1843" w:type="dxa"/>
            <w:vAlign w:val="top"/>
          </w:tcPr>
          <w:p w14:paraId="7CDC6A8D">
            <w:pPr>
              <w:pStyle w:val="6"/>
            </w:pPr>
          </w:p>
        </w:tc>
      </w:tr>
    </w:tbl>
    <w:p w14:paraId="2FE395BA">
      <w:pPr>
        <w:spacing w:before="193" w:line="221" w:lineRule="auto"/>
        <w:rPr>
          <w:rFonts w:ascii="黑体" w:hAnsi="黑体" w:eastAsia="黑体" w:cs="黑体"/>
          <w:sz w:val="27"/>
          <w:szCs w:val="27"/>
        </w:rPr>
      </w:pPr>
      <w:r>
        <w:rPr>
          <w:rFonts w:ascii="黑体" w:hAnsi="黑体" w:eastAsia="黑体" w:cs="黑体"/>
          <w:spacing w:val="3"/>
          <w:sz w:val="27"/>
          <w:szCs w:val="27"/>
        </w:rPr>
        <w:t>3.2  关键试制工艺的工艺性分析</w:t>
      </w:r>
    </w:p>
    <w:p w14:paraId="4A08E048">
      <w:pPr>
        <w:spacing w:before="12" w:line="368" w:lineRule="exact"/>
        <w:rPr>
          <w:rFonts w:ascii="黑体" w:hAnsi="黑体" w:eastAsia="黑体" w:cs="黑体"/>
          <w:sz w:val="27"/>
          <w:szCs w:val="27"/>
        </w:rPr>
      </w:pPr>
      <w:r>
        <w:rPr>
          <w:rFonts w:ascii="黑体" w:hAnsi="黑体" w:eastAsia="黑体" w:cs="黑体"/>
          <w:spacing w:val="7"/>
          <w:position w:val="3"/>
          <w:sz w:val="27"/>
          <w:szCs w:val="27"/>
        </w:rPr>
        <w:t>3.2.</w:t>
      </w:r>
      <w:r>
        <w:rPr>
          <w:rFonts w:ascii="Arial" w:hAnsi="Arial" w:eastAsia="Arial" w:cs="Arial"/>
          <w:spacing w:val="7"/>
          <w:position w:val="3"/>
          <w:sz w:val="27"/>
          <w:szCs w:val="27"/>
        </w:rPr>
        <w:t>X    (</w:t>
      </w:r>
      <w:r>
        <w:rPr>
          <w:rFonts w:ascii="黑体" w:hAnsi="黑体" w:eastAsia="黑体" w:cs="黑体"/>
          <w:spacing w:val="7"/>
          <w:position w:val="3"/>
          <w:sz w:val="27"/>
          <w:szCs w:val="27"/>
        </w:rPr>
        <w:t>关键试制工艺</w:t>
      </w:r>
      <w:r>
        <w:rPr>
          <w:rFonts w:ascii="Arial" w:hAnsi="Arial" w:eastAsia="Arial" w:cs="Arial"/>
          <w:spacing w:val="7"/>
          <w:position w:val="3"/>
          <w:sz w:val="27"/>
          <w:szCs w:val="27"/>
        </w:rPr>
        <w:t>X)</w:t>
      </w:r>
      <w:r>
        <w:rPr>
          <w:rFonts w:ascii="Arial" w:hAnsi="Arial" w:eastAsia="Arial" w:cs="Arial"/>
          <w:spacing w:val="-4"/>
          <w:position w:val="3"/>
          <w:sz w:val="27"/>
          <w:szCs w:val="27"/>
        </w:rPr>
        <w:t xml:space="preserve"> </w:t>
      </w:r>
      <w:r>
        <w:rPr>
          <w:rFonts w:ascii="黑体" w:hAnsi="黑体" w:eastAsia="黑体" w:cs="黑体"/>
          <w:spacing w:val="7"/>
          <w:position w:val="3"/>
          <w:sz w:val="27"/>
          <w:szCs w:val="27"/>
        </w:rPr>
        <w:t>的工艺性分析</w:t>
      </w:r>
    </w:p>
    <w:p w14:paraId="471FE832">
      <w:pPr>
        <w:pStyle w:val="2"/>
        <w:spacing w:before="98" w:line="272" w:lineRule="auto"/>
        <w:ind w:right="48" w:firstLine="560"/>
      </w:pPr>
      <w:r>
        <w:rPr>
          <w:spacing w:val="-3"/>
        </w:rPr>
        <w:t>按照</w:t>
      </w:r>
      <w:r>
        <w:rPr>
          <w:rFonts w:ascii="Times New Roman" w:hAnsi="Times New Roman" w:eastAsia="Times New Roman" w:cs="Times New Roman"/>
          <w:spacing w:val="-3"/>
        </w:rPr>
        <w:t>GJB 3363—1998</w:t>
      </w:r>
      <w:r>
        <w:rPr>
          <w:spacing w:val="-3"/>
        </w:rPr>
        <w:t>《生产性分析》和</w:t>
      </w:r>
      <w:r>
        <w:rPr>
          <w:spacing w:val="-60"/>
        </w:rPr>
        <w:t xml:space="preserve"> </w:t>
      </w:r>
      <w:r>
        <w:rPr>
          <w:rFonts w:ascii="Times New Roman" w:hAnsi="Times New Roman" w:eastAsia="Times New Roman" w:cs="Times New Roman"/>
          <w:spacing w:val="-3"/>
        </w:rPr>
        <w:t>GJB</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3"/>
        </w:rPr>
        <w:t>1269A—2000</w:t>
      </w:r>
      <w:r>
        <w:rPr>
          <w:spacing w:val="-3"/>
        </w:rPr>
        <w:t>《工艺评审》的要</w:t>
      </w:r>
      <w:r>
        <w:t xml:space="preserve"> </w:t>
      </w:r>
      <w:r>
        <w:rPr>
          <w:spacing w:val="2"/>
        </w:rPr>
        <w:t>求，对(关键试制工艺</w:t>
      </w:r>
      <w:r>
        <w:rPr>
          <w:rFonts w:ascii="Times New Roman" w:hAnsi="Times New Roman" w:eastAsia="Times New Roman" w:cs="Times New Roman"/>
          <w:spacing w:val="2"/>
        </w:rPr>
        <w:t>X)</w:t>
      </w:r>
      <w:r>
        <w:rPr>
          <w:spacing w:val="2"/>
        </w:rPr>
        <w:t>进行工艺性分析。</w:t>
      </w:r>
    </w:p>
    <w:p w14:paraId="7FE31C7F">
      <w:pPr>
        <w:spacing w:before="34" w:line="222" w:lineRule="auto"/>
        <w:rPr>
          <w:rFonts w:ascii="黑体" w:hAnsi="黑体" w:eastAsia="黑体" w:cs="黑体"/>
          <w:sz w:val="27"/>
          <w:szCs w:val="27"/>
        </w:rPr>
      </w:pPr>
      <w:r>
        <w:rPr>
          <w:rFonts w:ascii="黑体" w:hAnsi="黑体" w:eastAsia="黑体" w:cs="黑体"/>
          <w:spacing w:val="4"/>
          <w:sz w:val="27"/>
          <w:szCs w:val="27"/>
        </w:rPr>
        <w:t>3.3  全部过程工艺工作量估计</w:t>
      </w:r>
    </w:p>
    <w:p w14:paraId="68E1A8AE">
      <w:pPr>
        <w:pStyle w:val="2"/>
        <w:spacing w:before="105" w:line="218" w:lineRule="auto"/>
        <w:ind w:left="560"/>
      </w:pPr>
      <w:r>
        <w:t>对全部过程工艺的工作量进行估计，逐项说明并汇总给出总的估计。</w:t>
      </w:r>
    </w:p>
    <w:p w14:paraId="7D10A71F">
      <w:pPr>
        <w:spacing w:before="82" w:line="222"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37"/>
          <w:sz w:val="27"/>
          <w:szCs w:val="27"/>
        </w:rPr>
        <w:t xml:space="preserve">  </w:t>
      </w:r>
      <w:r>
        <w:rPr>
          <w:rFonts w:ascii="黑体" w:hAnsi="黑体" w:eastAsia="黑体" w:cs="黑体"/>
          <w:spacing w:val="1"/>
          <w:sz w:val="27"/>
          <w:szCs w:val="27"/>
        </w:rPr>
        <w:t>自制件和外购件建议</w:t>
      </w:r>
    </w:p>
    <w:p w14:paraId="2C79D702">
      <w:pPr>
        <w:spacing w:before="124" w:line="222" w:lineRule="auto"/>
        <w:rPr>
          <w:rFonts w:ascii="黑体" w:hAnsi="黑体" w:eastAsia="黑体" w:cs="黑体"/>
          <w:sz w:val="24"/>
          <w:szCs w:val="24"/>
        </w:rPr>
      </w:pPr>
      <w:r>
        <w:rPr>
          <w:rFonts w:ascii="黑体" w:hAnsi="黑体" w:eastAsia="黑体" w:cs="黑体"/>
          <w:spacing w:val="24"/>
          <w:sz w:val="24"/>
          <w:szCs w:val="24"/>
        </w:rPr>
        <w:t>4.1</w:t>
      </w:r>
      <w:r>
        <w:rPr>
          <w:rFonts w:ascii="黑体" w:hAnsi="黑体" w:eastAsia="黑体" w:cs="黑体"/>
          <w:spacing w:val="44"/>
          <w:sz w:val="24"/>
          <w:szCs w:val="24"/>
        </w:rPr>
        <w:t xml:space="preserve">  </w:t>
      </w:r>
      <w:r>
        <w:rPr>
          <w:rFonts w:ascii="黑体" w:hAnsi="黑体" w:eastAsia="黑体" w:cs="黑体"/>
          <w:spacing w:val="24"/>
          <w:sz w:val="24"/>
          <w:szCs w:val="24"/>
        </w:rPr>
        <w:t>建议的自制件清单</w:t>
      </w:r>
    </w:p>
    <w:p w14:paraId="60B49702">
      <w:pPr>
        <w:pStyle w:val="2"/>
        <w:spacing w:before="93" w:line="219" w:lineRule="auto"/>
        <w:ind w:left="560"/>
      </w:pPr>
      <w:r>
        <w:rPr>
          <w:spacing w:val="-4"/>
        </w:rPr>
        <w:t>经过分析研究，给出建议的自制件清单，详见表3.2。</w:t>
      </w:r>
    </w:p>
    <w:p w14:paraId="5E0397F8">
      <w:pPr>
        <w:spacing w:before="106" w:line="221" w:lineRule="auto"/>
        <w:ind w:left="3119"/>
        <w:rPr>
          <w:rFonts w:ascii="仿宋" w:hAnsi="仿宋" w:eastAsia="仿宋" w:cs="仿宋"/>
          <w:sz w:val="24"/>
          <w:szCs w:val="24"/>
        </w:rPr>
      </w:pPr>
      <w:r>
        <w:rPr>
          <w:rFonts w:ascii="仿宋" w:hAnsi="仿宋" w:eastAsia="仿宋" w:cs="仿宋"/>
          <w:spacing w:val="23"/>
          <w:sz w:val="24"/>
          <w:szCs w:val="24"/>
        </w:rPr>
        <w:t>表3</w:t>
      </w:r>
      <w:r>
        <w:rPr>
          <w:rFonts w:ascii="仿宋" w:hAnsi="仿宋" w:eastAsia="仿宋" w:cs="仿宋"/>
          <w:spacing w:val="-49"/>
          <w:sz w:val="24"/>
          <w:szCs w:val="24"/>
        </w:rPr>
        <w:t xml:space="preserve"> </w:t>
      </w:r>
      <w:r>
        <w:rPr>
          <w:rFonts w:ascii="仿宋" w:hAnsi="仿宋" w:eastAsia="仿宋" w:cs="仿宋"/>
          <w:spacing w:val="23"/>
          <w:sz w:val="24"/>
          <w:szCs w:val="24"/>
        </w:rPr>
        <w:t>.</w:t>
      </w:r>
      <w:r>
        <w:rPr>
          <w:rFonts w:ascii="仿宋" w:hAnsi="仿宋" w:eastAsia="仿宋" w:cs="仿宋"/>
          <w:spacing w:val="-58"/>
          <w:sz w:val="24"/>
          <w:szCs w:val="24"/>
        </w:rPr>
        <w:t xml:space="preserve"> </w:t>
      </w:r>
      <w:r>
        <w:rPr>
          <w:rFonts w:ascii="仿宋" w:hAnsi="仿宋" w:eastAsia="仿宋" w:cs="仿宋"/>
          <w:spacing w:val="23"/>
          <w:sz w:val="24"/>
          <w:szCs w:val="24"/>
        </w:rPr>
        <w:t>2  建议的自制件清单</w:t>
      </w:r>
    </w:p>
    <w:p w14:paraId="4BB222E6">
      <w:pPr>
        <w:spacing w:line="111" w:lineRule="exact"/>
      </w:pPr>
    </w:p>
    <w:tbl>
      <w:tblPr>
        <w:tblStyle w:val="5"/>
        <w:tblW w:w="936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2507"/>
        <w:gridCol w:w="1678"/>
        <w:gridCol w:w="1668"/>
        <w:gridCol w:w="1843"/>
      </w:tblGrid>
      <w:tr w14:paraId="790F7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673" w:type="dxa"/>
            <w:vAlign w:val="top"/>
          </w:tcPr>
          <w:p w14:paraId="6288327B">
            <w:pPr>
              <w:spacing w:before="104" w:line="221" w:lineRule="auto"/>
              <w:ind w:left="594"/>
              <w:rPr>
                <w:rFonts w:ascii="宋体" w:hAnsi="宋体" w:eastAsia="宋体" w:cs="宋体"/>
                <w:sz w:val="20"/>
                <w:szCs w:val="20"/>
              </w:rPr>
            </w:pPr>
            <w:r>
              <w:rPr>
                <w:rFonts w:ascii="宋体" w:hAnsi="宋体" w:eastAsia="宋体" w:cs="宋体"/>
                <w:spacing w:val="-2"/>
                <w:sz w:val="20"/>
                <w:szCs w:val="20"/>
              </w:rPr>
              <w:t>序号</w:t>
            </w:r>
          </w:p>
        </w:tc>
        <w:tc>
          <w:tcPr>
            <w:tcW w:w="2507" w:type="dxa"/>
            <w:vAlign w:val="top"/>
          </w:tcPr>
          <w:p w14:paraId="3FCDC4F8">
            <w:pPr>
              <w:spacing w:before="103" w:line="219" w:lineRule="auto"/>
              <w:ind w:left="731"/>
              <w:rPr>
                <w:rFonts w:ascii="宋体" w:hAnsi="宋体" w:eastAsia="宋体" w:cs="宋体"/>
                <w:sz w:val="20"/>
                <w:szCs w:val="20"/>
              </w:rPr>
            </w:pPr>
            <w:r>
              <w:rPr>
                <w:rFonts w:ascii="宋体" w:hAnsi="宋体" w:eastAsia="宋体" w:cs="宋体"/>
                <w:spacing w:val="2"/>
                <w:sz w:val="20"/>
                <w:szCs w:val="20"/>
              </w:rPr>
              <w:t>自制件名称</w:t>
            </w:r>
          </w:p>
        </w:tc>
        <w:tc>
          <w:tcPr>
            <w:tcW w:w="1678" w:type="dxa"/>
            <w:vAlign w:val="top"/>
          </w:tcPr>
          <w:p w14:paraId="67BBC36F">
            <w:pPr>
              <w:spacing w:before="103" w:line="219" w:lineRule="auto"/>
              <w:ind w:left="604"/>
              <w:rPr>
                <w:rFonts w:ascii="宋体" w:hAnsi="宋体" w:eastAsia="宋体" w:cs="宋体"/>
                <w:sz w:val="20"/>
                <w:szCs w:val="20"/>
              </w:rPr>
            </w:pPr>
            <w:r>
              <w:rPr>
                <w:rFonts w:ascii="宋体" w:hAnsi="宋体" w:eastAsia="宋体" w:cs="宋体"/>
                <w:spacing w:val="-3"/>
                <w:sz w:val="20"/>
                <w:szCs w:val="20"/>
              </w:rPr>
              <w:t>数量</w:t>
            </w:r>
          </w:p>
        </w:tc>
        <w:tc>
          <w:tcPr>
            <w:tcW w:w="1668" w:type="dxa"/>
            <w:vAlign w:val="top"/>
          </w:tcPr>
          <w:p w14:paraId="480D20CA">
            <w:pPr>
              <w:spacing w:before="104" w:line="221" w:lineRule="auto"/>
              <w:ind w:left="416"/>
              <w:rPr>
                <w:rFonts w:ascii="宋体" w:hAnsi="宋体" w:eastAsia="宋体" w:cs="宋体"/>
                <w:sz w:val="20"/>
                <w:szCs w:val="20"/>
              </w:rPr>
            </w:pPr>
            <w:r>
              <w:rPr>
                <w:rFonts w:ascii="宋体" w:hAnsi="宋体" w:eastAsia="宋体" w:cs="宋体"/>
                <w:spacing w:val="-2"/>
                <w:sz w:val="20"/>
                <w:szCs w:val="20"/>
              </w:rPr>
              <w:t>工艺要求</w:t>
            </w:r>
          </w:p>
        </w:tc>
        <w:tc>
          <w:tcPr>
            <w:tcW w:w="1843" w:type="dxa"/>
            <w:vAlign w:val="top"/>
          </w:tcPr>
          <w:p w14:paraId="1AD8D7F8">
            <w:pPr>
              <w:spacing w:before="104" w:line="221" w:lineRule="auto"/>
              <w:ind w:left="708"/>
              <w:rPr>
                <w:rFonts w:ascii="宋体" w:hAnsi="宋体" w:eastAsia="宋体" w:cs="宋体"/>
                <w:sz w:val="20"/>
                <w:szCs w:val="20"/>
              </w:rPr>
            </w:pPr>
            <w:r>
              <w:rPr>
                <w:rFonts w:ascii="宋体" w:hAnsi="宋体" w:eastAsia="宋体" w:cs="宋体"/>
                <w:spacing w:val="5"/>
                <w:sz w:val="20"/>
                <w:szCs w:val="20"/>
              </w:rPr>
              <w:t>备注</w:t>
            </w:r>
          </w:p>
        </w:tc>
      </w:tr>
      <w:tr w14:paraId="47931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1673" w:type="dxa"/>
            <w:vAlign w:val="top"/>
          </w:tcPr>
          <w:p w14:paraId="0FDC4469">
            <w:pPr>
              <w:pStyle w:val="6"/>
            </w:pPr>
          </w:p>
        </w:tc>
        <w:tc>
          <w:tcPr>
            <w:tcW w:w="2507" w:type="dxa"/>
            <w:vAlign w:val="top"/>
          </w:tcPr>
          <w:p w14:paraId="1C08BC1F">
            <w:pPr>
              <w:pStyle w:val="6"/>
            </w:pPr>
          </w:p>
        </w:tc>
        <w:tc>
          <w:tcPr>
            <w:tcW w:w="1678" w:type="dxa"/>
            <w:vAlign w:val="top"/>
          </w:tcPr>
          <w:p w14:paraId="25F549A8">
            <w:pPr>
              <w:pStyle w:val="6"/>
            </w:pPr>
          </w:p>
        </w:tc>
        <w:tc>
          <w:tcPr>
            <w:tcW w:w="1668" w:type="dxa"/>
            <w:vAlign w:val="top"/>
          </w:tcPr>
          <w:p w14:paraId="38A006FF">
            <w:pPr>
              <w:pStyle w:val="6"/>
            </w:pPr>
          </w:p>
        </w:tc>
        <w:tc>
          <w:tcPr>
            <w:tcW w:w="1843" w:type="dxa"/>
            <w:vAlign w:val="top"/>
          </w:tcPr>
          <w:p w14:paraId="6F0BDCE4">
            <w:pPr>
              <w:pStyle w:val="6"/>
            </w:pPr>
          </w:p>
        </w:tc>
      </w:tr>
      <w:tr w14:paraId="411E4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673" w:type="dxa"/>
            <w:vAlign w:val="top"/>
          </w:tcPr>
          <w:p w14:paraId="1258459A">
            <w:pPr>
              <w:pStyle w:val="6"/>
            </w:pPr>
          </w:p>
        </w:tc>
        <w:tc>
          <w:tcPr>
            <w:tcW w:w="2507" w:type="dxa"/>
            <w:vAlign w:val="top"/>
          </w:tcPr>
          <w:p w14:paraId="7773B29D">
            <w:pPr>
              <w:pStyle w:val="6"/>
            </w:pPr>
          </w:p>
        </w:tc>
        <w:tc>
          <w:tcPr>
            <w:tcW w:w="1678" w:type="dxa"/>
            <w:vAlign w:val="top"/>
          </w:tcPr>
          <w:p w14:paraId="4241CEAB">
            <w:pPr>
              <w:pStyle w:val="6"/>
            </w:pPr>
          </w:p>
        </w:tc>
        <w:tc>
          <w:tcPr>
            <w:tcW w:w="1668" w:type="dxa"/>
            <w:vAlign w:val="top"/>
          </w:tcPr>
          <w:p w14:paraId="59877653">
            <w:pPr>
              <w:pStyle w:val="6"/>
            </w:pPr>
          </w:p>
        </w:tc>
        <w:tc>
          <w:tcPr>
            <w:tcW w:w="1843" w:type="dxa"/>
            <w:vAlign w:val="top"/>
          </w:tcPr>
          <w:p w14:paraId="151BD5D8">
            <w:pPr>
              <w:pStyle w:val="6"/>
            </w:pPr>
          </w:p>
        </w:tc>
      </w:tr>
    </w:tbl>
    <w:p w14:paraId="25579C99">
      <w:pPr>
        <w:spacing w:line="202" w:lineRule="exact"/>
        <w:rPr>
          <w:rFonts w:ascii="Arial"/>
          <w:sz w:val="17"/>
        </w:rPr>
      </w:pPr>
    </w:p>
    <w:p w14:paraId="31DBD61D">
      <w:pPr>
        <w:spacing w:line="202" w:lineRule="exact"/>
        <w:rPr>
          <w:rFonts w:ascii="Arial" w:hAnsi="Arial" w:eastAsia="Arial" w:cs="Arial"/>
          <w:sz w:val="17"/>
          <w:szCs w:val="17"/>
        </w:rPr>
        <w:sectPr>
          <w:footerReference r:id="rId280" w:type="default"/>
          <w:pgSz w:w="11910" w:h="17130"/>
          <w:pgMar w:top="1456" w:right="1334" w:bottom="1593" w:left="1140" w:header="0" w:footer="1394" w:gutter="0"/>
          <w:cols w:space="720" w:num="1"/>
        </w:sectPr>
      </w:pPr>
    </w:p>
    <w:p w14:paraId="33C1284C">
      <w:pPr>
        <w:spacing w:before="119" w:line="222" w:lineRule="auto"/>
        <w:rPr>
          <w:rFonts w:ascii="黑体" w:hAnsi="黑体" w:eastAsia="黑体" w:cs="黑体"/>
          <w:sz w:val="25"/>
          <w:szCs w:val="25"/>
        </w:rPr>
      </w:pPr>
      <w:r>
        <w:rPr>
          <w:rFonts w:ascii="黑体" w:hAnsi="黑体" w:eastAsia="黑体" w:cs="黑体"/>
          <w:spacing w:val="14"/>
          <w:sz w:val="25"/>
          <w:szCs w:val="25"/>
        </w:rPr>
        <w:t>4.2</w:t>
      </w:r>
      <w:r>
        <w:rPr>
          <w:rFonts w:ascii="黑体" w:hAnsi="黑体" w:eastAsia="黑体" w:cs="黑体"/>
          <w:spacing w:val="50"/>
          <w:sz w:val="25"/>
          <w:szCs w:val="25"/>
        </w:rPr>
        <w:t xml:space="preserve">  </w:t>
      </w:r>
      <w:r>
        <w:rPr>
          <w:rFonts w:ascii="黑体" w:hAnsi="黑体" w:eastAsia="黑体" w:cs="黑体"/>
          <w:b/>
          <w:bCs/>
          <w:spacing w:val="14"/>
          <w:sz w:val="25"/>
          <w:szCs w:val="25"/>
        </w:rPr>
        <w:t>建议的外购件清单</w:t>
      </w:r>
    </w:p>
    <w:p w14:paraId="31993CA4">
      <w:pPr>
        <w:pStyle w:val="2"/>
        <w:spacing w:before="93" w:line="219" w:lineRule="auto"/>
        <w:ind w:left="580"/>
      </w:pPr>
      <w:r>
        <w:rPr>
          <w:spacing w:val="-4"/>
        </w:rPr>
        <w:t>经过分析研究，给出建议的外购件清单，详见表3.3。</w:t>
      </w:r>
    </w:p>
    <w:p w14:paraId="5941705B">
      <w:pPr>
        <w:spacing w:before="116" w:line="221" w:lineRule="auto"/>
        <w:ind w:left="3099"/>
        <w:rPr>
          <w:rFonts w:ascii="仿宋" w:hAnsi="仿宋" w:eastAsia="仿宋" w:cs="仿宋"/>
          <w:sz w:val="24"/>
          <w:szCs w:val="24"/>
        </w:rPr>
      </w:pPr>
      <w:r>
        <w:rPr>
          <w:rFonts w:ascii="仿宋" w:hAnsi="仿宋" w:eastAsia="仿宋" w:cs="仿宋"/>
          <w:spacing w:val="16"/>
          <w:sz w:val="24"/>
          <w:szCs w:val="24"/>
        </w:rPr>
        <w:t>表</w:t>
      </w:r>
      <w:r>
        <w:rPr>
          <w:rFonts w:ascii="仿宋" w:hAnsi="仿宋" w:eastAsia="仿宋" w:cs="仿宋"/>
          <w:spacing w:val="-40"/>
          <w:sz w:val="24"/>
          <w:szCs w:val="24"/>
        </w:rPr>
        <w:t xml:space="preserve"> </w:t>
      </w:r>
      <w:r>
        <w:rPr>
          <w:rFonts w:ascii="仿宋" w:hAnsi="仿宋" w:eastAsia="仿宋" w:cs="仿宋"/>
          <w:spacing w:val="16"/>
          <w:sz w:val="24"/>
          <w:szCs w:val="24"/>
        </w:rPr>
        <w:t>3</w:t>
      </w:r>
      <w:r>
        <w:rPr>
          <w:rFonts w:ascii="仿宋" w:hAnsi="仿宋" w:eastAsia="仿宋" w:cs="仿宋"/>
          <w:spacing w:val="-43"/>
          <w:sz w:val="24"/>
          <w:szCs w:val="24"/>
        </w:rPr>
        <w:t xml:space="preserve"> </w:t>
      </w:r>
      <w:r>
        <w:rPr>
          <w:rFonts w:ascii="仿宋" w:hAnsi="仿宋" w:eastAsia="仿宋" w:cs="仿宋"/>
          <w:spacing w:val="16"/>
          <w:sz w:val="24"/>
          <w:szCs w:val="24"/>
        </w:rPr>
        <w:t>.</w:t>
      </w:r>
      <w:r>
        <w:rPr>
          <w:rFonts w:ascii="仿宋" w:hAnsi="仿宋" w:eastAsia="仿宋" w:cs="仿宋"/>
          <w:spacing w:val="-46"/>
          <w:sz w:val="24"/>
          <w:szCs w:val="24"/>
        </w:rPr>
        <w:t xml:space="preserve"> </w:t>
      </w:r>
      <w:r>
        <w:rPr>
          <w:rFonts w:ascii="仿宋" w:hAnsi="仿宋" w:eastAsia="仿宋" w:cs="仿宋"/>
          <w:spacing w:val="16"/>
          <w:sz w:val="24"/>
          <w:szCs w:val="24"/>
        </w:rPr>
        <w:t>3  建议的外购件清单</w:t>
      </w:r>
    </w:p>
    <w:p w14:paraId="426636E2">
      <w:pPr>
        <w:spacing w:line="111" w:lineRule="exact"/>
      </w:pPr>
    </w:p>
    <w:tbl>
      <w:tblPr>
        <w:tblStyle w:val="5"/>
        <w:tblW w:w="937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3"/>
        <w:gridCol w:w="2088"/>
        <w:gridCol w:w="2098"/>
        <w:gridCol w:w="2507"/>
        <w:gridCol w:w="1433"/>
      </w:tblGrid>
      <w:tr w14:paraId="320F8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1253" w:type="dxa"/>
            <w:vAlign w:val="top"/>
          </w:tcPr>
          <w:p w14:paraId="5407DFBC">
            <w:pPr>
              <w:spacing w:before="104" w:line="221" w:lineRule="auto"/>
              <w:ind w:left="394"/>
              <w:rPr>
                <w:rFonts w:ascii="宋体" w:hAnsi="宋体" w:eastAsia="宋体" w:cs="宋体"/>
                <w:sz w:val="21"/>
                <w:szCs w:val="21"/>
              </w:rPr>
            </w:pPr>
            <w:r>
              <w:rPr>
                <w:rFonts w:ascii="宋体" w:hAnsi="宋体" w:eastAsia="宋体" w:cs="宋体"/>
                <w:spacing w:val="6"/>
                <w:sz w:val="21"/>
                <w:szCs w:val="21"/>
              </w:rPr>
              <w:t>序号</w:t>
            </w:r>
          </w:p>
        </w:tc>
        <w:tc>
          <w:tcPr>
            <w:tcW w:w="2088" w:type="dxa"/>
            <w:vAlign w:val="top"/>
          </w:tcPr>
          <w:p w14:paraId="4AD15514">
            <w:pPr>
              <w:spacing w:before="103" w:line="219" w:lineRule="auto"/>
              <w:ind w:left="501"/>
              <w:rPr>
                <w:rFonts w:ascii="宋体" w:hAnsi="宋体" w:eastAsia="宋体" w:cs="宋体"/>
                <w:sz w:val="21"/>
                <w:szCs w:val="21"/>
              </w:rPr>
            </w:pPr>
            <w:r>
              <w:rPr>
                <w:rFonts w:ascii="宋体" w:hAnsi="宋体" w:eastAsia="宋体" w:cs="宋体"/>
                <w:spacing w:val="2"/>
                <w:sz w:val="21"/>
                <w:szCs w:val="21"/>
              </w:rPr>
              <w:t>外购件名称</w:t>
            </w:r>
          </w:p>
        </w:tc>
        <w:tc>
          <w:tcPr>
            <w:tcW w:w="2098" w:type="dxa"/>
            <w:vAlign w:val="top"/>
          </w:tcPr>
          <w:p w14:paraId="7AD90F21">
            <w:pPr>
              <w:spacing w:before="103" w:line="219" w:lineRule="auto"/>
              <w:ind w:left="823"/>
              <w:rPr>
                <w:rFonts w:ascii="宋体" w:hAnsi="宋体" w:eastAsia="宋体" w:cs="宋体"/>
                <w:sz w:val="21"/>
                <w:szCs w:val="21"/>
              </w:rPr>
            </w:pPr>
            <w:r>
              <w:rPr>
                <w:rFonts w:ascii="宋体" w:hAnsi="宋体" w:eastAsia="宋体" w:cs="宋体"/>
                <w:spacing w:val="-3"/>
                <w:sz w:val="21"/>
                <w:szCs w:val="21"/>
              </w:rPr>
              <w:t>数量</w:t>
            </w:r>
          </w:p>
        </w:tc>
        <w:tc>
          <w:tcPr>
            <w:tcW w:w="2507" w:type="dxa"/>
            <w:vAlign w:val="top"/>
          </w:tcPr>
          <w:p w14:paraId="2723E799">
            <w:pPr>
              <w:spacing w:before="104" w:line="221" w:lineRule="auto"/>
              <w:ind w:left="826"/>
              <w:rPr>
                <w:rFonts w:ascii="宋体" w:hAnsi="宋体" w:eastAsia="宋体" w:cs="宋体"/>
                <w:sz w:val="21"/>
                <w:szCs w:val="21"/>
              </w:rPr>
            </w:pPr>
            <w:r>
              <w:rPr>
                <w:rFonts w:ascii="宋体" w:hAnsi="宋体" w:eastAsia="宋体" w:cs="宋体"/>
                <w:spacing w:val="2"/>
                <w:sz w:val="21"/>
                <w:szCs w:val="21"/>
              </w:rPr>
              <w:t>工艺要求</w:t>
            </w:r>
          </w:p>
        </w:tc>
        <w:tc>
          <w:tcPr>
            <w:tcW w:w="1433" w:type="dxa"/>
            <w:vAlign w:val="top"/>
          </w:tcPr>
          <w:p w14:paraId="3EB50961">
            <w:pPr>
              <w:spacing w:before="104" w:line="221" w:lineRule="auto"/>
              <w:ind w:left="508"/>
              <w:rPr>
                <w:rFonts w:ascii="宋体" w:hAnsi="宋体" w:eastAsia="宋体" w:cs="宋体"/>
                <w:sz w:val="21"/>
                <w:szCs w:val="21"/>
              </w:rPr>
            </w:pPr>
            <w:r>
              <w:rPr>
                <w:rFonts w:ascii="宋体" w:hAnsi="宋体" w:eastAsia="宋体" w:cs="宋体"/>
                <w:spacing w:val="5"/>
                <w:sz w:val="21"/>
                <w:szCs w:val="21"/>
              </w:rPr>
              <w:t>备注</w:t>
            </w:r>
          </w:p>
        </w:tc>
      </w:tr>
      <w:tr w14:paraId="42D84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253" w:type="dxa"/>
            <w:vAlign w:val="top"/>
          </w:tcPr>
          <w:p w14:paraId="264E2674">
            <w:pPr>
              <w:pStyle w:val="6"/>
            </w:pPr>
          </w:p>
        </w:tc>
        <w:tc>
          <w:tcPr>
            <w:tcW w:w="2088" w:type="dxa"/>
            <w:vAlign w:val="top"/>
          </w:tcPr>
          <w:p w14:paraId="146C60DC">
            <w:pPr>
              <w:pStyle w:val="6"/>
            </w:pPr>
          </w:p>
        </w:tc>
        <w:tc>
          <w:tcPr>
            <w:tcW w:w="2098" w:type="dxa"/>
            <w:vAlign w:val="top"/>
          </w:tcPr>
          <w:p w14:paraId="7969462E">
            <w:pPr>
              <w:pStyle w:val="6"/>
            </w:pPr>
          </w:p>
        </w:tc>
        <w:tc>
          <w:tcPr>
            <w:tcW w:w="2507" w:type="dxa"/>
            <w:vAlign w:val="top"/>
          </w:tcPr>
          <w:p w14:paraId="58E95E38">
            <w:pPr>
              <w:pStyle w:val="6"/>
            </w:pPr>
          </w:p>
        </w:tc>
        <w:tc>
          <w:tcPr>
            <w:tcW w:w="1433" w:type="dxa"/>
            <w:vAlign w:val="top"/>
          </w:tcPr>
          <w:p w14:paraId="5264F623">
            <w:pPr>
              <w:pStyle w:val="6"/>
            </w:pPr>
          </w:p>
        </w:tc>
      </w:tr>
      <w:tr w14:paraId="54103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53" w:type="dxa"/>
            <w:vAlign w:val="top"/>
          </w:tcPr>
          <w:p w14:paraId="4CD5B6B8">
            <w:pPr>
              <w:pStyle w:val="6"/>
            </w:pPr>
          </w:p>
        </w:tc>
        <w:tc>
          <w:tcPr>
            <w:tcW w:w="2088" w:type="dxa"/>
            <w:vAlign w:val="top"/>
          </w:tcPr>
          <w:p w14:paraId="592C9063">
            <w:pPr>
              <w:pStyle w:val="6"/>
            </w:pPr>
          </w:p>
        </w:tc>
        <w:tc>
          <w:tcPr>
            <w:tcW w:w="2098" w:type="dxa"/>
            <w:vAlign w:val="top"/>
          </w:tcPr>
          <w:p w14:paraId="62210FA6">
            <w:pPr>
              <w:pStyle w:val="6"/>
            </w:pPr>
          </w:p>
        </w:tc>
        <w:tc>
          <w:tcPr>
            <w:tcW w:w="2507" w:type="dxa"/>
            <w:vAlign w:val="top"/>
          </w:tcPr>
          <w:p w14:paraId="4EE9A8E4">
            <w:pPr>
              <w:pStyle w:val="6"/>
            </w:pPr>
          </w:p>
        </w:tc>
        <w:tc>
          <w:tcPr>
            <w:tcW w:w="1433" w:type="dxa"/>
            <w:vAlign w:val="top"/>
          </w:tcPr>
          <w:p w14:paraId="6B3BAB5D">
            <w:pPr>
              <w:pStyle w:val="6"/>
            </w:pPr>
          </w:p>
        </w:tc>
      </w:tr>
    </w:tbl>
    <w:p w14:paraId="59DD6372">
      <w:pPr>
        <w:spacing w:before="229" w:line="222" w:lineRule="auto"/>
        <w:rPr>
          <w:rFonts w:ascii="黑体" w:hAnsi="黑体" w:eastAsia="黑体" w:cs="黑体"/>
          <w:sz w:val="24"/>
          <w:szCs w:val="24"/>
        </w:rPr>
      </w:pPr>
      <w:r>
        <w:rPr>
          <w:rFonts w:ascii="黑体" w:hAnsi="黑体" w:eastAsia="黑体" w:cs="黑体"/>
          <w:spacing w:val="30"/>
          <w:sz w:val="24"/>
          <w:szCs w:val="24"/>
        </w:rPr>
        <w:t>5</w:t>
      </w:r>
      <w:r>
        <w:rPr>
          <w:rFonts w:ascii="黑体" w:hAnsi="黑体" w:eastAsia="黑体" w:cs="黑体"/>
          <w:spacing w:val="44"/>
          <w:sz w:val="24"/>
          <w:szCs w:val="24"/>
        </w:rPr>
        <w:t xml:space="preserve">  </w:t>
      </w:r>
      <w:r>
        <w:rPr>
          <w:rFonts w:ascii="黑体" w:hAnsi="黑体" w:eastAsia="黑体" w:cs="黑体"/>
          <w:b/>
          <w:bCs/>
          <w:spacing w:val="30"/>
          <w:sz w:val="24"/>
          <w:szCs w:val="24"/>
        </w:rPr>
        <w:t>工艺设备购置或改造建议</w:t>
      </w:r>
    </w:p>
    <w:p w14:paraId="3AC38D10">
      <w:pPr>
        <w:pStyle w:val="2"/>
        <w:spacing w:before="105" w:line="313" w:lineRule="auto"/>
        <w:ind w:firstLine="580"/>
        <w:rPr>
          <w:sz w:val="25"/>
          <w:szCs w:val="25"/>
        </w:rPr>
      </w:pPr>
      <w:r>
        <w:rPr>
          <w:spacing w:val="21"/>
          <w:sz w:val="25"/>
          <w:szCs w:val="25"/>
        </w:rPr>
        <w:t>经过分析研究，提出产品研制生产过程中所需购置或改</w:t>
      </w:r>
      <w:r>
        <w:rPr>
          <w:spacing w:val="20"/>
          <w:sz w:val="25"/>
          <w:szCs w:val="25"/>
        </w:rPr>
        <w:t>造的工艺设备建议，</w:t>
      </w:r>
      <w:r>
        <w:rPr>
          <w:sz w:val="25"/>
          <w:szCs w:val="25"/>
        </w:rPr>
        <w:t xml:space="preserve"> </w:t>
      </w:r>
      <w:r>
        <w:rPr>
          <w:spacing w:val="15"/>
          <w:sz w:val="25"/>
          <w:szCs w:val="25"/>
        </w:rPr>
        <w:t>可列表说明，详见表3.4。</w:t>
      </w:r>
    </w:p>
    <w:p w14:paraId="09559869">
      <w:pPr>
        <w:spacing w:before="1" w:line="220" w:lineRule="auto"/>
        <w:ind w:left="2280"/>
        <w:rPr>
          <w:rFonts w:ascii="仿宋" w:hAnsi="仿宋" w:eastAsia="仿宋" w:cs="仿宋"/>
          <w:sz w:val="24"/>
          <w:szCs w:val="24"/>
        </w:rPr>
      </w:pPr>
      <w:r>
        <w:rPr>
          <w:rFonts w:ascii="仿宋" w:hAnsi="仿宋" w:eastAsia="仿宋" w:cs="仿宋"/>
          <w:spacing w:val="25"/>
          <w:sz w:val="24"/>
          <w:szCs w:val="24"/>
        </w:rPr>
        <w:t>表</w:t>
      </w:r>
      <w:r>
        <w:rPr>
          <w:rFonts w:ascii="仿宋" w:hAnsi="仿宋" w:eastAsia="仿宋" w:cs="仿宋"/>
          <w:spacing w:val="-50"/>
          <w:sz w:val="24"/>
          <w:szCs w:val="24"/>
        </w:rPr>
        <w:t xml:space="preserve"> </w:t>
      </w:r>
      <w:r>
        <w:rPr>
          <w:rFonts w:ascii="仿宋" w:hAnsi="仿宋" w:eastAsia="仿宋" w:cs="仿宋"/>
          <w:spacing w:val="25"/>
          <w:sz w:val="24"/>
          <w:szCs w:val="24"/>
        </w:rPr>
        <w:t>3</w:t>
      </w:r>
      <w:r>
        <w:rPr>
          <w:rFonts w:ascii="仿宋" w:hAnsi="仿宋" w:eastAsia="仿宋" w:cs="仿宋"/>
          <w:spacing w:val="-49"/>
          <w:sz w:val="24"/>
          <w:szCs w:val="24"/>
        </w:rPr>
        <w:t xml:space="preserve"> </w:t>
      </w:r>
      <w:r>
        <w:rPr>
          <w:rFonts w:ascii="仿宋" w:hAnsi="仿宋" w:eastAsia="仿宋" w:cs="仿宋"/>
          <w:spacing w:val="25"/>
          <w:sz w:val="24"/>
          <w:szCs w:val="24"/>
        </w:rPr>
        <w:t>.</w:t>
      </w:r>
      <w:r>
        <w:rPr>
          <w:rFonts w:ascii="仿宋" w:hAnsi="仿宋" w:eastAsia="仿宋" w:cs="仿宋"/>
          <w:spacing w:val="-56"/>
          <w:sz w:val="24"/>
          <w:szCs w:val="24"/>
        </w:rPr>
        <w:t xml:space="preserve"> </w:t>
      </w:r>
      <w:r>
        <w:rPr>
          <w:rFonts w:ascii="仿宋" w:hAnsi="仿宋" w:eastAsia="仿宋" w:cs="仿宋"/>
          <w:spacing w:val="25"/>
          <w:sz w:val="24"/>
          <w:szCs w:val="24"/>
        </w:rPr>
        <w:t>4</w:t>
      </w:r>
      <w:r>
        <w:rPr>
          <w:rFonts w:ascii="仿宋" w:hAnsi="仿宋" w:eastAsia="仿宋" w:cs="仿宋"/>
          <w:spacing w:val="10"/>
          <w:sz w:val="24"/>
          <w:szCs w:val="24"/>
        </w:rPr>
        <w:t xml:space="preserve">  </w:t>
      </w:r>
      <w:r>
        <w:rPr>
          <w:rFonts w:ascii="仿宋" w:hAnsi="仿宋" w:eastAsia="仿宋" w:cs="仿宋"/>
          <w:spacing w:val="25"/>
          <w:sz w:val="24"/>
          <w:szCs w:val="24"/>
        </w:rPr>
        <w:t>建议购置或改造的工艺设备清单</w:t>
      </w:r>
    </w:p>
    <w:p w14:paraId="4B4A3FA7">
      <w:pPr>
        <w:spacing w:line="102" w:lineRule="exact"/>
      </w:pPr>
    </w:p>
    <w:tbl>
      <w:tblPr>
        <w:tblStyle w:val="5"/>
        <w:tblW w:w="936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3"/>
        <w:gridCol w:w="2088"/>
        <w:gridCol w:w="1678"/>
        <w:gridCol w:w="2088"/>
        <w:gridCol w:w="2252"/>
      </w:tblGrid>
      <w:tr w14:paraId="00F77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263" w:type="dxa"/>
            <w:vAlign w:val="top"/>
          </w:tcPr>
          <w:p w14:paraId="38944587">
            <w:pPr>
              <w:spacing w:before="104" w:line="221" w:lineRule="auto"/>
              <w:ind w:left="384"/>
              <w:rPr>
                <w:rFonts w:ascii="宋体" w:hAnsi="宋体" w:eastAsia="宋体" w:cs="宋体"/>
                <w:sz w:val="21"/>
                <w:szCs w:val="21"/>
              </w:rPr>
            </w:pPr>
            <w:r>
              <w:rPr>
                <w:rFonts w:ascii="宋体" w:hAnsi="宋体" w:eastAsia="宋体" w:cs="宋体"/>
                <w:spacing w:val="6"/>
                <w:sz w:val="21"/>
                <w:szCs w:val="21"/>
              </w:rPr>
              <w:t>序号</w:t>
            </w:r>
          </w:p>
        </w:tc>
        <w:tc>
          <w:tcPr>
            <w:tcW w:w="2088" w:type="dxa"/>
            <w:vAlign w:val="top"/>
          </w:tcPr>
          <w:p w14:paraId="12F72270">
            <w:pPr>
              <w:spacing w:before="104" w:line="221" w:lineRule="auto"/>
              <w:ind w:left="402"/>
              <w:rPr>
                <w:rFonts w:ascii="宋体" w:hAnsi="宋体" w:eastAsia="宋体" w:cs="宋体"/>
                <w:sz w:val="21"/>
                <w:szCs w:val="21"/>
              </w:rPr>
            </w:pPr>
            <w:r>
              <w:rPr>
                <w:rFonts w:ascii="宋体" w:hAnsi="宋体" w:eastAsia="宋体" w:cs="宋体"/>
                <w:spacing w:val="1"/>
                <w:sz w:val="21"/>
                <w:szCs w:val="21"/>
              </w:rPr>
              <w:t>工艺设备名称</w:t>
            </w:r>
          </w:p>
        </w:tc>
        <w:tc>
          <w:tcPr>
            <w:tcW w:w="1678" w:type="dxa"/>
            <w:vAlign w:val="top"/>
          </w:tcPr>
          <w:p w14:paraId="035B8C54">
            <w:pPr>
              <w:spacing w:before="103" w:line="219" w:lineRule="auto"/>
              <w:ind w:left="603"/>
              <w:rPr>
                <w:rFonts w:ascii="宋体" w:hAnsi="宋体" w:eastAsia="宋体" w:cs="宋体"/>
                <w:sz w:val="21"/>
                <w:szCs w:val="21"/>
              </w:rPr>
            </w:pPr>
            <w:r>
              <w:rPr>
                <w:rFonts w:ascii="宋体" w:hAnsi="宋体" w:eastAsia="宋体" w:cs="宋体"/>
                <w:spacing w:val="-3"/>
                <w:sz w:val="21"/>
                <w:szCs w:val="21"/>
              </w:rPr>
              <w:t>数量</w:t>
            </w:r>
          </w:p>
        </w:tc>
        <w:tc>
          <w:tcPr>
            <w:tcW w:w="2088" w:type="dxa"/>
            <w:vAlign w:val="top"/>
          </w:tcPr>
          <w:p w14:paraId="5E782988">
            <w:pPr>
              <w:spacing w:before="103" w:line="219" w:lineRule="auto"/>
              <w:ind w:left="615"/>
              <w:rPr>
                <w:rFonts w:ascii="宋体" w:hAnsi="宋体" w:eastAsia="宋体" w:cs="宋体"/>
                <w:sz w:val="21"/>
                <w:szCs w:val="21"/>
              </w:rPr>
            </w:pPr>
            <w:r>
              <w:rPr>
                <w:rFonts w:ascii="宋体" w:hAnsi="宋体" w:eastAsia="宋体" w:cs="宋体"/>
                <w:spacing w:val="-2"/>
                <w:sz w:val="21"/>
                <w:szCs w:val="21"/>
              </w:rPr>
              <w:t>技术要求</w:t>
            </w:r>
          </w:p>
        </w:tc>
        <w:tc>
          <w:tcPr>
            <w:tcW w:w="2252" w:type="dxa"/>
            <w:vAlign w:val="top"/>
          </w:tcPr>
          <w:p w14:paraId="08230484">
            <w:pPr>
              <w:spacing w:before="103" w:line="219" w:lineRule="auto"/>
              <w:ind w:left="607"/>
              <w:rPr>
                <w:rFonts w:ascii="宋体" w:hAnsi="宋体" w:eastAsia="宋体" w:cs="宋体"/>
                <w:sz w:val="21"/>
                <w:szCs w:val="21"/>
              </w:rPr>
            </w:pPr>
            <w:r>
              <w:rPr>
                <w:rFonts w:ascii="宋体" w:hAnsi="宋体" w:eastAsia="宋体" w:cs="宋体"/>
                <w:spacing w:val="-2"/>
                <w:sz w:val="21"/>
                <w:szCs w:val="21"/>
              </w:rPr>
              <w:t>购置或改造</w:t>
            </w:r>
          </w:p>
        </w:tc>
      </w:tr>
      <w:tr w14:paraId="35349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263" w:type="dxa"/>
            <w:vAlign w:val="top"/>
          </w:tcPr>
          <w:p w14:paraId="579A3E68">
            <w:pPr>
              <w:pStyle w:val="6"/>
            </w:pPr>
          </w:p>
        </w:tc>
        <w:tc>
          <w:tcPr>
            <w:tcW w:w="2088" w:type="dxa"/>
            <w:vAlign w:val="top"/>
          </w:tcPr>
          <w:p w14:paraId="085CEAEF">
            <w:pPr>
              <w:pStyle w:val="6"/>
            </w:pPr>
          </w:p>
        </w:tc>
        <w:tc>
          <w:tcPr>
            <w:tcW w:w="1678" w:type="dxa"/>
            <w:vAlign w:val="top"/>
          </w:tcPr>
          <w:p w14:paraId="2DEEE72A">
            <w:pPr>
              <w:pStyle w:val="6"/>
            </w:pPr>
          </w:p>
        </w:tc>
        <w:tc>
          <w:tcPr>
            <w:tcW w:w="2088" w:type="dxa"/>
            <w:vAlign w:val="top"/>
          </w:tcPr>
          <w:p w14:paraId="7820B92F">
            <w:pPr>
              <w:pStyle w:val="6"/>
            </w:pPr>
          </w:p>
        </w:tc>
        <w:tc>
          <w:tcPr>
            <w:tcW w:w="2252" w:type="dxa"/>
            <w:vAlign w:val="top"/>
          </w:tcPr>
          <w:p w14:paraId="0E7C98DA">
            <w:pPr>
              <w:pStyle w:val="6"/>
            </w:pPr>
          </w:p>
        </w:tc>
      </w:tr>
      <w:tr w14:paraId="664C4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263" w:type="dxa"/>
            <w:vAlign w:val="top"/>
          </w:tcPr>
          <w:p w14:paraId="048A641E">
            <w:pPr>
              <w:pStyle w:val="6"/>
            </w:pPr>
          </w:p>
        </w:tc>
        <w:tc>
          <w:tcPr>
            <w:tcW w:w="2088" w:type="dxa"/>
            <w:vAlign w:val="top"/>
          </w:tcPr>
          <w:p w14:paraId="092423A3">
            <w:pPr>
              <w:pStyle w:val="6"/>
            </w:pPr>
          </w:p>
        </w:tc>
        <w:tc>
          <w:tcPr>
            <w:tcW w:w="1678" w:type="dxa"/>
            <w:vAlign w:val="top"/>
          </w:tcPr>
          <w:p w14:paraId="065226B1">
            <w:pPr>
              <w:pStyle w:val="6"/>
            </w:pPr>
          </w:p>
        </w:tc>
        <w:tc>
          <w:tcPr>
            <w:tcW w:w="2088" w:type="dxa"/>
            <w:vAlign w:val="top"/>
          </w:tcPr>
          <w:p w14:paraId="0226270A">
            <w:pPr>
              <w:pStyle w:val="6"/>
            </w:pPr>
          </w:p>
        </w:tc>
        <w:tc>
          <w:tcPr>
            <w:tcW w:w="2252" w:type="dxa"/>
            <w:vAlign w:val="top"/>
          </w:tcPr>
          <w:p w14:paraId="3BDCFD6B">
            <w:pPr>
              <w:pStyle w:val="6"/>
            </w:pPr>
          </w:p>
        </w:tc>
      </w:tr>
    </w:tbl>
    <w:p w14:paraId="551E2635">
      <w:pPr>
        <w:spacing w:before="220" w:line="222" w:lineRule="auto"/>
        <w:rPr>
          <w:rFonts w:ascii="黑体" w:hAnsi="黑体" w:eastAsia="黑体" w:cs="黑体"/>
          <w:sz w:val="24"/>
          <w:szCs w:val="24"/>
        </w:rPr>
      </w:pPr>
      <w:r>
        <w:rPr>
          <w:rFonts w:ascii="黑体" w:hAnsi="黑体" w:eastAsia="黑体" w:cs="黑体"/>
          <w:spacing w:val="31"/>
          <w:sz w:val="24"/>
          <w:szCs w:val="24"/>
        </w:rPr>
        <w:t>6</w:t>
      </w:r>
      <w:r>
        <w:rPr>
          <w:rFonts w:ascii="黑体" w:hAnsi="黑体" w:eastAsia="黑体" w:cs="黑体"/>
          <w:spacing w:val="45"/>
          <w:sz w:val="24"/>
          <w:szCs w:val="24"/>
        </w:rPr>
        <w:t xml:space="preserve">  </w:t>
      </w:r>
      <w:r>
        <w:rPr>
          <w:rFonts w:ascii="黑体" w:hAnsi="黑体" w:eastAsia="黑体" w:cs="黑体"/>
          <w:b/>
          <w:bCs/>
          <w:spacing w:val="31"/>
          <w:sz w:val="24"/>
          <w:szCs w:val="24"/>
        </w:rPr>
        <w:t>专用工装和非标准设备的选择原则及控制数</w:t>
      </w:r>
    </w:p>
    <w:p w14:paraId="098271BA">
      <w:pPr>
        <w:pStyle w:val="2"/>
        <w:spacing w:before="98" w:line="219" w:lineRule="auto"/>
        <w:ind w:left="580"/>
      </w:pPr>
      <w:r>
        <w:t>提出专用工装和非标准设备的选择原则及控制数，并说明理由。</w:t>
      </w:r>
    </w:p>
    <w:p w14:paraId="79E61398">
      <w:pPr>
        <w:spacing w:before="71" w:line="213" w:lineRule="auto"/>
        <w:outlineLvl w:val="3"/>
        <w:rPr>
          <w:rFonts w:ascii="黑体" w:hAnsi="黑体" w:eastAsia="黑体" w:cs="黑体"/>
          <w:sz w:val="27"/>
          <w:szCs w:val="27"/>
        </w:rPr>
      </w:pPr>
      <w:r>
        <w:rPr>
          <w:rFonts w:ascii="Arial" w:hAnsi="Arial" w:eastAsia="Arial" w:cs="Arial"/>
          <w:b/>
          <w:bCs/>
          <w:spacing w:val="-5"/>
          <w:sz w:val="27"/>
          <w:szCs w:val="27"/>
        </w:rPr>
        <w:t xml:space="preserve">7    </w:t>
      </w:r>
      <w:r>
        <w:rPr>
          <w:rFonts w:ascii="黑体" w:hAnsi="黑体" w:eastAsia="黑体" w:cs="黑体"/>
          <w:b/>
          <w:bCs/>
          <w:spacing w:val="-5"/>
          <w:sz w:val="27"/>
          <w:szCs w:val="27"/>
        </w:rPr>
        <w:t>关键技术项目及其解决方案，试验件的选择</w:t>
      </w:r>
    </w:p>
    <w:p w14:paraId="595DDE70">
      <w:pPr>
        <w:spacing w:before="110" w:line="221" w:lineRule="auto"/>
        <w:rPr>
          <w:rFonts w:ascii="黑体" w:hAnsi="黑体" w:eastAsia="黑体" w:cs="黑体"/>
          <w:sz w:val="27"/>
          <w:szCs w:val="27"/>
        </w:rPr>
      </w:pPr>
      <w:r>
        <w:rPr>
          <w:rFonts w:ascii="黑体" w:hAnsi="黑体" w:eastAsia="黑体" w:cs="黑体"/>
          <w:sz w:val="27"/>
          <w:szCs w:val="27"/>
        </w:rPr>
        <w:t>7.1</w:t>
      </w:r>
      <w:r>
        <w:rPr>
          <w:rFonts w:ascii="黑体" w:hAnsi="黑体" w:eastAsia="黑体" w:cs="黑体"/>
          <w:spacing w:val="28"/>
          <w:sz w:val="27"/>
          <w:szCs w:val="27"/>
        </w:rPr>
        <w:t xml:space="preserve">  </w:t>
      </w:r>
      <w:r>
        <w:rPr>
          <w:rFonts w:ascii="黑体" w:hAnsi="黑体" w:eastAsia="黑体" w:cs="黑体"/>
          <w:b/>
          <w:bCs/>
          <w:sz w:val="27"/>
          <w:szCs w:val="27"/>
        </w:rPr>
        <w:t>关键技术项目及其解决方案</w:t>
      </w:r>
    </w:p>
    <w:p w14:paraId="09C0F0EC">
      <w:pPr>
        <w:pStyle w:val="2"/>
        <w:spacing w:before="102" w:line="282" w:lineRule="auto"/>
        <w:ind w:right="112" w:firstLine="580"/>
      </w:pPr>
      <w:r>
        <w:rPr>
          <w:spacing w:val="-3"/>
        </w:rPr>
        <w:t>经过分析研究，提出产品研制生产过程中需要解决的关键技术项目，并提出</w:t>
      </w:r>
      <w:r>
        <w:rPr>
          <w:spacing w:val="10"/>
        </w:rPr>
        <w:t xml:space="preserve"> </w:t>
      </w:r>
      <w:r>
        <w:rPr>
          <w:spacing w:val="-3"/>
        </w:rPr>
        <w:t>解决方案。</w:t>
      </w:r>
    </w:p>
    <w:p w14:paraId="48945BD7">
      <w:pPr>
        <w:spacing w:before="2" w:line="220" w:lineRule="auto"/>
        <w:rPr>
          <w:rFonts w:ascii="黑体" w:hAnsi="黑体" w:eastAsia="黑体" w:cs="黑体"/>
          <w:sz w:val="27"/>
          <w:szCs w:val="27"/>
        </w:rPr>
      </w:pPr>
      <w:r>
        <w:rPr>
          <w:rFonts w:ascii="黑体" w:hAnsi="黑体" w:eastAsia="黑体" w:cs="黑体"/>
          <w:spacing w:val="1"/>
          <w:sz w:val="27"/>
          <w:szCs w:val="27"/>
        </w:rPr>
        <w:t>7.2</w:t>
      </w:r>
      <w:r>
        <w:rPr>
          <w:rFonts w:ascii="黑体" w:hAnsi="黑体" w:eastAsia="黑体" w:cs="黑体"/>
          <w:spacing w:val="29"/>
          <w:sz w:val="27"/>
          <w:szCs w:val="27"/>
        </w:rPr>
        <w:t xml:space="preserve">  </w:t>
      </w:r>
      <w:r>
        <w:rPr>
          <w:rFonts w:ascii="黑体" w:hAnsi="黑体" w:eastAsia="黑体" w:cs="黑体"/>
          <w:b/>
          <w:bCs/>
          <w:spacing w:val="1"/>
          <w:sz w:val="27"/>
          <w:szCs w:val="27"/>
        </w:rPr>
        <w:t>选择的试验件项目</w:t>
      </w:r>
    </w:p>
    <w:p w14:paraId="214153B1">
      <w:pPr>
        <w:pStyle w:val="2"/>
        <w:spacing w:before="91" w:line="219" w:lineRule="auto"/>
        <w:ind w:left="580"/>
      </w:pPr>
      <w:r>
        <w:rPr>
          <w:spacing w:val="-1"/>
        </w:rPr>
        <w:t>经过分析研究，提出需要进行试验的试验件项目清单，详见表3.5。</w:t>
      </w:r>
    </w:p>
    <w:p w14:paraId="4825052C">
      <w:pPr>
        <w:spacing w:before="97" w:line="221" w:lineRule="auto"/>
        <w:ind w:left="3280"/>
        <w:rPr>
          <w:rFonts w:ascii="仿宋" w:hAnsi="仿宋" w:eastAsia="仿宋" w:cs="仿宋"/>
          <w:sz w:val="27"/>
          <w:szCs w:val="27"/>
        </w:rPr>
      </w:pPr>
      <w:r>
        <w:rPr>
          <w:rFonts w:ascii="仿宋" w:hAnsi="仿宋" w:eastAsia="仿宋" w:cs="仿宋"/>
          <w:spacing w:val="7"/>
          <w:sz w:val="27"/>
          <w:szCs w:val="27"/>
        </w:rPr>
        <w:t>表3.5  试验件项目清单</w:t>
      </w:r>
    </w:p>
    <w:p w14:paraId="0359280A">
      <w:pPr>
        <w:spacing w:line="105" w:lineRule="exact"/>
      </w:pPr>
    </w:p>
    <w:tbl>
      <w:tblPr>
        <w:tblStyle w:val="5"/>
        <w:tblW w:w="937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3"/>
        <w:gridCol w:w="2088"/>
        <w:gridCol w:w="1259"/>
        <w:gridCol w:w="1658"/>
        <w:gridCol w:w="3111"/>
      </w:tblGrid>
      <w:tr w14:paraId="762E4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1263" w:type="dxa"/>
            <w:vAlign w:val="top"/>
          </w:tcPr>
          <w:p w14:paraId="1A8FE9A7">
            <w:pPr>
              <w:spacing w:before="104" w:line="221" w:lineRule="auto"/>
              <w:ind w:left="384"/>
              <w:rPr>
                <w:rFonts w:ascii="宋体" w:hAnsi="宋体" w:eastAsia="宋体" w:cs="宋体"/>
                <w:sz w:val="21"/>
                <w:szCs w:val="21"/>
              </w:rPr>
            </w:pPr>
            <w:r>
              <w:rPr>
                <w:rFonts w:ascii="宋体" w:hAnsi="宋体" w:eastAsia="宋体" w:cs="宋体"/>
                <w:spacing w:val="6"/>
                <w:sz w:val="21"/>
                <w:szCs w:val="21"/>
              </w:rPr>
              <w:t>序号</w:t>
            </w:r>
          </w:p>
        </w:tc>
        <w:tc>
          <w:tcPr>
            <w:tcW w:w="2088" w:type="dxa"/>
            <w:vAlign w:val="top"/>
          </w:tcPr>
          <w:p w14:paraId="2BC1CE88">
            <w:pPr>
              <w:spacing w:before="103" w:line="219" w:lineRule="auto"/>
              <w:ind w:left="521"/>
              <w:rPr>
                <w:rFonts w:ascii="宋体" w:hAnsi="宋体" w:eastAsia="宋体" w:cs="宋体"/>
                <w:sz w:val="21"/>
                <w:szCs w:val="21"/>
              </w:rPr>
            </w:pPr>
            <w:r>
              <w:rPr>
                <w:rFonts w:ascii="宋体" w:hAnsi="宋体" w:eastAsia="宋体" w:cs="宋体"/>
                <w:spacing w:val="-2"/>
                <w:sz w:val="21"/>
                <w:szCs w:val="21"/>
              </w:rPr>
              <w:t>试验件名称</w:t>
            </w:r>
          </w:p>
        </w:tc>
        <w:tc>
          <w:tcPr>
            <w:tcW w:w="1259" w:type="dxa"/>
            <w:vAlign w:val="top"/>
          </w:tcPr>
          <w:p w14:paraId="3A15618F">
            <w:pPr>
              <w:spacing w:before="103" w:line="219" w:lineRule="auto"/>
              <w:ind w:left="383"/>
              <w:rPr>
                <w:rFonts w:ascii="宋体" w:hAnsi="宋体" w:eastAsia="宋体" w:cs="宋体"/>
                <w:sz w:val="21"/>
                <w:szCs w:val="21"/>
              </w:rPr>
            </w:pPr>
            <w:r>
              <w:rPr>
                <w:rFonts w:ascii="宋体" w:hAnsi="宋体" w:eastAsia="宋体" w:cs="宋体"/>
                <w:spacing w:val="-3"/>
                <w:sz w:val="21"/>
                <w:szCs w:val="21"/>
              </w:rPr>
              <w:t>数量</w:t>
            </w:r>
          </w:p>
        </w:tc>
        <w:tc>
          <w:tcPr>
            <w:tcW w:w="1658" w:type="dxa"/>
            <w:vAlign w:val="top"/>
          </w:tcPr>
          <w:p w14:paraId="5126B758">
            <w:pPr>
              <w:spacing w:before="104" w:line="221" w:lineRule="auto"/>
              <w:ind w:left="404"/>
              <w:rPr>
                <w:rFonts w:ascii="宋体" w:hAnsi="宋体" w:eastAsia="宋体" w:cs="宋体"/>
                <w:sz w:val="21"/>
                <w:szCs w:val="21"/>
              </w:rPr>
            </w:pPr>
            <w:r>
              <w:rPr>
                <w:rFonts w:ascii="宋体" w:hAnsi="宋体" w:eastAsia="宋体" w:cs="宋体"/>
                <w:spacing w:val="-2"/>
                <w:sz w:val="21"/>
                <w:szCs w:val="21"/>
              </w:rPr>
              <w:t>试验名称</w:t>
            </w:r>
          </w:p>
        </w:tc>
        <w:tc>
          <w:tcPr>
            <w:tcW w:w="3111" w:type="dxa"/>
            <w:vAlign w:val="top"/>
          </w:tcPr>
          <w:p w14:paraId="652D48C3">
            <w:pPr>
              <w:spacing w:before="103" w:line="219" w:lineRule="auto"/>
              <w:ind w:left="1126"/>
              <w:rPr>
                <w:rFonts w:ascii="宋体" w:hAnsi="宋体" w:eastAsia="宋体" w:cs="宋体"/>
                <w:sz w:val="21"/>
                <w:szCs w:val="21"/>
              </w:rPr>
            </w:pPr>
            <w:r>
              <w:rPr>
                <w:rFonts w:ascii="宋体" w:hAnsi="宋体" w:eastAsia="宋体" w:cs="宋体"/>
                <w:spacing w:val="-2"/>
                <w:sz w:val="21"/>
                <w:szCs w:val="21"/>
              </w:rPr>
              <w:t>技术要求</w:t>
            </w:r>
          </w:p>
        </w:tc>
      </w:tr>
      <w:tr w14:paraId="49090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263" w:type="dxa"/>
            <w:vAlign w:val="top"/>
          </w:tcPr>
          <w:p w14:paraId="4358591A">
            <w:pPr>
              <w:pStyle w:val="6"/>
            </w:pPr>
          </w:p>
        </w:tc>
        <w:tc>
          <w:tcPr>
            <w:tcW w:w="2088" w:type="dxa"/>
            <w:vAlign w:val="top"/>
          </w:tcPr>
          <w:p w14:paraId="1ED1782E">
            <w:pPr>
              <w:pStyle w:val="6"/>
            </w:pPr>
          </w:p>
        </w:tc>
        <w:tc>
          <w:tcPr>
            <w:tcW w:w="1259" w:type="dxa"/>
            <w:vAlign w:val="top"/>
          </w:tcPr>
          <w:p w14:paraId="3490E860">
            <w:pPr>
              <w:pStyle w:val="6"/>
            </w:pPr>
          </w:p>
        </w:tc>
        <w:tc>
          <w:tcPr>
            <w:tcW w:w="1658" w:type="dxa"/>
            <w:vAlign w:val="top"/>
          </w:tcPr>
          <w:p w14:paraId="7786BFB0">
            <w:pPr>
              <w:pStyle w:val="6"/>
            </w:pPr>
          </w:p>
        </w:tc>
        <w:tc>
          <w:tcPr>
            <w:tcW w:w="3111" w:type="dxa"/>
            <w:vAlign w:val="top"/>
          </w:tcPr>
          <w:p w14:paraId="23E5658D">
            <w:pPr>
              <w:pStyle w:val="6"/>
            </w:pPr>
          </w:p>
        </w:tc>
      </w:tr>
      <w:tr w14:paraId="44A85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1263" w:type="dxa"/>
            <w:vAlign w:val="top"/>
          </w:tcPr>
          <w:p w14:paraId="6856375C">
            <w:pPr>
              <w:pStyle w:val="6"/>
            </w:pPr>
          </w:p>
        </w:tc>
        <w:tc>
          <w:tcPr>
            <w:tcW w:w="2088" w:type="dxa"/>
            <w:vAlign w:val="top"/>
          </w:tcPr>
          <w:p w14:paraId="281A5E83">
            <w:pPr>
              <w:pStyle w:val="6"/>
            </w:pPr>
          </w:p>
        </w:tc>
        <w:tc>
          <w:tcPr>
            <w:tcW w:w="1259" w:type="dxa"/>
            <w:vAlign w:val="top"/>
          </w:tcPr>
          <w:p w14:paraId="6839CD46">
            <w:pPr>
              <w:pStyle w:val="6"/>
            </w:pPr>
          </w:p>
        </w:tc>
        <w:tc>
          <w:tcPr>
            <w:tcW w:w="1658" w:type="dxa"/>
            <w:vAlign w:val="top"/>
          </w:tcPr>
          <w:p w14:paraId="3621ED9C">
            <w:pPr>
              <w:pStyle w:val="6"/>
            </w:pPr>
          </w:p>
        </w:tc>
        <w:tc>
          <w:tcPr>
            <w:tcW w:w="3111" w:type="dxa"/>
            <w:vAlign w:val="top"/>
          </w:tcPr>
          <w:p w14:paraId="0911AC2B">
            <w:pPr>
              <w:pStyle w:val="6"/>
            </w:pPr>
          </w:p>
        </w:tc>
      </w:tr>
    </w:tbl>
    <w:p w14:paraId="56457A60">
      <w:pPr>
        <w:spacing w:before="209" w:line="221" w:lineRule="auto"/>
        <w:rPr>
          <w:rFonts w:ascii="黑体" w:hAnsi="黑体" w:eastAsia="黑体" w:cs="黑体"/>
          <w:sz w:val="24"/>
          <w:szCs w:val="24"/>
        </w:rPr>
      </w:pPr>
      <w:r>
        <w:rPr>
          <w:rFonts w:ascii="黑体" w:hAnsi="黑体" w:eastAsia="黑体" w:cs="黑体"/>
          <w:spacing w:val="18"/>
          <w:sz w:val="24"/>
          <w:szCs w:val="24"/>
        </w:rPr>
        <w:t>8</w:t>
      </w:r>
      <w:r>
        <w:rPr>
          <w:rFonts w:ascii="黑体" w:hAnsi="黑体" w:eastAsia="黑体" w:cs="黑体"/>
          <w:spacing w:val="45"/>
          <w:sz w:val="24"/>
          <w:szCs w:val="24"/>
        </w:rPr>
        <w:t xml:space="preserve">  </w:t>
      </w:r>
      <w:r>
        <w:rPr>
          <w:rFonts w:ascii="黑体" w:hAnsi="黑体" w:eastAsia="黑体" w:cs="黑体"/>
          <w:b/>
          <w:bCs/>
          <w:spacing w:val="18"/>
          <w:sz w:val="24"/>
          <w:szCs w:val="24"/>
        </w:rPr>
        <w:t>新工艺、新材料试验意见</w:t>
      </w:r>
    </w:p>
    <w:p w14:paraId="6B2CD776">
      <w:pPr>
        <w:spacing w:before="104" w:line="221" w:lineRule="auto"/>
        <w:rPr>
          <w:rFonts w:ascii="黑体" w:hAnsi="黑体" w:eastAsia="黑体" w:cs="黑体"/>
          <w:sz w:val="27"/>
          <w:szCs w:val="27"/>
        </w:rPr>
      </w:pPr>
      <w:r>
        <w:rPr>
          <w:rFonts w:ascii="黑体" w:hAnsi="黑体" w:eastAsia="黑体" w:cs="黑体"/>
          <w:spacing w:val="-1"/>
          <w:sz w:val="27"/>
          <w:szCs w:val="27"/>
        </w:rPr>
        <w:t>8.1</w:t>
      </w:r>
      <w:r>
        <w:rPr>
          <w:rFonts w:ascii="黑体" w:hAnsi="黑体" w:eastAsia="黑体" w:cs="黑体"/>
          <w:spacing w:val="24"/>
          <w:sz w:val="27"/>
          <w:szCs w:val="27"/>
        </w:rPr>
        <w:t xml:space="preserve">  </w:t>
      </w:r>
      <w:r>
        <w:rPr>
          <w:rFonts w:ascii="黑体" w:hAnsi="黑体" w:eastAsia="黑体" w:cs="黑体"/>
          <w:b/>
          <w:bCs/>
          <w:spacing w:val="-1"/>
          <w:sz w:val="27"/>
          <w:szCs w:val="27"/>
        </w:rPr>
        <w:t>新工艺试验意见</w:t>
      </w:r>
    </w:p>
    <w:p w14:paraId="0F7C078E">
      <w:pPr>
        <w:pStyle w:val="2"/>
        <w:spacing w:before="101" w:line="219" w:lineRule="auto"/>
        <w:ind w:left="580"/>
      </w:pPr>
      <w:r>
        <w:rPr>
          <w:spacing w:val="5"/>
        </w:rPr>
        <w:t>提出对产品研制生产过程中采用的新工艺进</w:t>
      </w:r>
      <w:r>
        <w:rPr>
          <w:spacing w:val="4"/>
        </w:rPr>
        <w:t>行试验的意见。</w:t>
      </w:r>
    </w:p>
    <w:p w14:paraId="6CDA6F1A">
      <w:pPr>
        <w:spacing w:before="95" w:line="221" w:lineRule="auto"/>
        <w:rPr>
          <w:rFonts w:ascii="黑体" w:hAnsi="黑体" w:eastAsia="黑体" w:cs="黑体"/>
          <w:sz w:val="27"/>
          <w:szCs w:val="27"/>
        </w:rPr>
      </w:pPr>
      <w:r>
        <w:rPr>
          <w:rFonts w:ascii="黑体" w:hAnsi="黑体" w:eastAsia="黑体" w:cs="黑体"/>
          <w:spacing w:val="-1"/>
          <w:sz w:val="27"/>
          <w:szCs w:val="27"/>
        </w:rPr>
        <w:t>8.2</w:t>
      </w:r>
      <w:r>
        <w:rPr>
          <w:rFonts w:ascii="黑体" w:hAnsi="黑体" w:eastAsia="黑体" w:cs="黑体"/>
          <w:spacing w:val="24"/>
          <w:sz w:val="27"/>
          <w:szCs w:val="27"/>
        </w:rPr>
        <w:t xml:space="preserve">  </w:t>
      </w:r>
      <w:r>
        <w:rPr>
          <w:rFonts w:ascii="黑体" w:hAnsi="黑体" w:eastAsia="黑体" w:cs="黑体"/>
          <w:b/>
          <w:bCs/>
          <w:spacing w:val="-1"/>
          <w:sz w:val="27"/>
          <w:szCs w:val="27"/>
        </w:rPr>
        <w:t>新材料试验意见</w:t>
      </w:r>
    </w:p>
    <w:p w14:paraId="64B33842">
      <w:pPr>
        <w:pStyle w:val="2"/>
        <w:spacing w:before="102" w:line="219" w:lineRule="auto"/>
        <w:ind w:left="580"/>
      </w:pPr>
      <w:r>
        <w:rPr>
          <w:spacing w:val="5"/>
        </w:rPr>
        <w:t>提出对产品研制生产过程中采用的新材料进</w:t>
      </w:r>
      <w:r>
        <w:rPr>
          <w:spacing w:val="4"/>
        </w:rPr>
        <w:t>行试验的意见。</w:t>
      </w:r>
    </w:p>
    <w:p w14:paraId="6D483C80">
      <w:pPr>
        <w:spacing w:before="76" w:line="222" w:lineRule="auto"/>
        <w:rPr>
          <w:rFonts w:ascii="黑体" w:hAnsi="黑体" w:eastAsia="黑体" w:cs="黑体"/>
          <w:sz w:val="27"/>
          <w:szCs w:val="27"/>
        </w:rPr>
      </w:pPr>
      <w:r>
        <w:rPr>
          <w:rFonts w:ascii="黑体" w:hAnsi="黑体" w:eastAsia="黑体" w:cs="黑体"/>
          <w:sz w:val="27"/>
          <w:szCs w:val="27"/>
        </w:rPr>
        <w:t>9</w:t>
      </w:r>
      <w:r>
        <w:rPr>
          <w:rFonts w:ascii="黑体" w:hAnsi="黑体" w:eastAsia="黑体" w:cs="黑体"/>
          <w:spacing w:val="23"/>
          <w:sz w:val="27"/>
          <w:szCs w:val="27"/>
        </w:rPr>
        <w:t xml:space="preserve">  </w:t>
      </w:r>
      <w:r>
        <w:rPr>
          <w:rFonts w:ascii="黑体" w:hAnsi="黑体" w:eastAsia="黑体" w:cs="黑体"/>
          <w:b/>
          <w:bCs/>
          <w:sz w:val="27"/>
          <w:szCs w:val="27"/>
        </w:rPr>
        <w:t>关键器材项目</w:t>
      </w:r>
    </w:p>
    <w:p w14:paraId="3BC1C11F">
      <w:pPr>
        <w:pStyle w:val="2"/>
        <w:spacing w:before="109" w:line="219" w:lineRule="auto"/>
        <w:ind w:left="580"/>
      </w:pPr>
      <w:r>
        <w:rPr>
          <w:spacing w:val="-1"/>
        </w:rPr>
        <w:t>经过分析研究，提出产品研制生产过程中的关键器材项目清单。</w:t>
      </w:r>
    </w:p>
    <w:p w14:paraId="38ED558E">
      <w:pPr>
        <w:spacing w:line="219" w:lineRule="auto"/>
        <w:sectPr>
          <w:footerReference r:id="rId281" w:type="default"/>
          <w:pgSz w:w="11910" w:h="17130"/>
          <w:pgMar w:top="1456" w:right="1024" w:bottom="1576" w:left="1370" w:header="0" w:footer="1387" w:gutter="0"/>
          <w:cols w:space="720" w:num="1"/>
        </w:sectPr>
      </w:pPr>
    </w:p>
    <w:p w14:paraId="72D968DC">
      <w:pPr>
        <w:spacing w:before="148" w:line="221" w:lineRule="auto"/>
        <w:rPr>
          <w:rFonts w:ascii="黑体" w:hAnsi="黑体" w:eastAsia="黑体" w:cs="黑体"/>
          <w:sz w:val="27"/>
          <w:szCs w:val="27"/>
        </w:rPr>
      </w:pPr>
      <w:r>
        <w:rPr>
          <w:rFonts w:ascii="黑体" w:hAnsi="黑体" w:eastAsia="黑体" w:cs="黑体"/>
          <w:spacing w:val="2"/>
          <w:sz w:val="27"/>
          <w:szCs w:val="27"/>
        </w:rPr>
        <w:t xml:space="preserve">10  </w:t>
      </w:r>
      <w:r>
        <w:rPr>
          <w:rFonts w:ascii="黑体" w:hAnsi="黑体" w:eastAsia="黑体" w:cs="黑体"/>
          <w:b/>
          <w:bCs/>
          <w:spacing w:val="2"/>
          <w:sz w:val="27"/>
          <w:szCs w:val="27"/>
        </w:rPr>
        <w:t>对产品试制计划进度安排的建议</w:t>
      </w:r>
    </w:p>
    <w:p w14:paraId="5A70770F">
      <w:pPr>
        <w:pStyle w:val="2"/>
        <w:spacing w:before="70" w:line="307" w:lineRule="auto"/>
        <w:ind w:right="36" w:firstLine="539"/>
      </w:pPr>
      <w:r>
        <w:rPr>
          <w:spacing w:val="5"/>
        </w:rPr>
        <w:t>根据产品研制进度要求和产品试制工作量的估计，提出对产品试制计划进</w:t>
      </w:r>
      <w:r>
        <w:rPr>
          <w:spacing w:val="9"/>
        </w:rPr>
        <w:t xml:space="preserve"> </w:t>
      </w:r>
      <w:r>
        <w:rPr>
          <w:spacing w:val="-7"/>
        </w:rPr>
        <w:t>度安排的建议，说明理由。</w:t>
      </w:r>
    </w:p>
    <w:p w14:paraId="6E5C5C1F">
      <w:pPr>
        <w:spacing w:line="221" w:lineRule="auto"/>
        <w:rPr>
          <w:rFonts w:ascii="黑体" w:hAnsi="黑体" w:eastAsia="黑体" w:cs="黑体"/>
          <w:sz w:val="27"/>
          <w:szCs w:val="27"/>
        </w:rPr>
      </w:pPr>
      <w:r>
        <w:rPr>
          <w:rFonts w:ascii="黑体" w:hAnsi="黑体" w:eastAsia="黑体" w:cs="黑体"/>
          <w:spacing w:val="2"/>
          <w:sz w:val="27"/>
          <w:szCs w:val="27"/>
        </w:rPr>
        <w:t xml:space="preserve">11  </w:t>
      </w:r>
      <w:r>
        <w:rPr>
          <w:rFonts w:ascii="黑体" w:hAnsi="黑体" w:eastAsia="黑体" w:cs="黑体"/>
          <w:b/>
          <w:bCs/>
          <w:spacing w:val="2"/>
          <w:sz w:val="27"/>
          <w:szCs w:val="27"/>
        </w:rPr>
        <w:t>其他特殊项目的要求</w:t>
      </w:r>
    </w:p>
    <w:p w14:paraId="29799EAF">
      <w:pPr>
        <w:pStyle w:val="2"/>
        <w:spacing w:before="121" w:line="219" w:lineRule="auto"/>
        <w:ind w:left="539"/>
      </w:pPr>
      <w:r>
        <w:rPr>
          <w:spacing w:val="-3"/>
        </w:rPr>
        <w:t>如果有的话，提出对其他特殊项目的要求。</w:t>
      </w:r>
    </w:p>
    <w:p w14:paraId="114D21B1">
      <w:pPr>
        <w:spacing w:line="388" w:lineRule="auto"/>
        <w:rPr>
          <w:rFonts w:ascii="Arial"/>
          <w:sz w:val="21"/>
        </w:rPr>
      </w:pPr>
    </w:p>
    <w:p w14:paraId="5790112E">
      <w:pPr>
        <w:pStyle w:val="2"/>
        <w:spacing w:before="117" w:line="219" w:lineRule="auto"/>
        <w:ind w:left="2615"/>
        <w:outlineLvl w:val="1"/>
        <w:rPr>
          <w:sz w:val="36"/>
          <w:szCs w:val="36"/>
        </w:rPr>
      </w:pPr>
      <w:r>
        <w:rPr>
          <w:b/>
          <w:bCs/>
          <w:spacing w:val="3"/>
          <w:sz w:val="36"/>
          <w:szCs w:val="36"/>
        </w:rPr>
        <w:t>3.2</w:t>
      </w:r>
      <w:r>
        <w:rPr>
          <w:spacing w:val="3"/>
          <w:sz w:val="36"/>
          <w:szCs w:val="36"/>
        </w:rPr>
        <w:t xml:space="preserve">  </w:t>
      </w:r>
      <w:r>
        <w:rPr>
          <w:b/>
          <w:bCs/>
          <w:spacing w:val="3"/>
          <w:sz w:val="36"/>
          <w:szCs w:val="36"/>
        </w:rPr>
        <w:t>工艺规范(</w:t>
      </w:r>
      <w:r>
        <w:rPr>
          <w:rFonts w:ascii="Times New Roman" w:hAnsi="Times New Roman" w:eastAsia="Times New Roman" w:cs="Times New Roman"/>
          <w:b/>
          <w:bCs/>
          <w:spacing w:val="3"/>
          <w:sz w:val="36"/>
          <w:szCs w:val="36"/>
        </w:rPr>
        <w:t xml:space="preserve">D </w:t>
      </w:r>
      <w:r>
        <w:rPr>
          <w:b/>
          <w:bCs/>
          <w:spacing w:val="3"/>
          <w:sz w:val="36"/>
          <w:szCs w:val="36"/>
        </w:rPr>
        <w:t>类规范)</w:t>
      </w:r>
    </w:p>
    <w:p w14:paraId="0E7413CA">
      <w:pPr>
        <w:spacing w:line="424" w:lineRule="auto"/>
        <w:rPr>
          <w:rFonts w:ascii="Arial"/>
          <w:sz w:val="21"/>
        </w:rPr>
      </w:pPr>
    </w:p>
    <w:p w14:paraId="3239CC0A">
      <w:pPr>
        <w:pStyle w:val="2"/>
        <w:spacing w:before="88" w:line="219" w:lineRule="auto"/>
        <w:ind w:left="539"/>
      </w:pPr>
      <w:r>
        <w:rPr>
          <w:spacing w:val="-2"/>
        </w:rPr>
        <w:t>按照</w:t>
      </w:r>
      <w:r>
        <w:rPr>
          <w:rFonts w:ascii="Times New Roman" w:hAnsi="Times New Roman" w:eastAsia="Times New Roman" w:cs="Times New Roman"/>
          <w:spacing w:val="-2"/>
        </w:rPr>
        <w:t>GJB 6387—2008</w:t>
      </w:r>
      <w:r>
        <w:rPr>
          <w:spacing w:val="-2"/>
        </w:rPr>
        <w:t>《武器装备研制项目专用规范编写规定》编写。</w:t>
      </w:r>
    </w:p>
    <w:p w14:paraId="1B02E11B">
      <w:pPr>
        <w:spacing w:before="106"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4D231C1F">
      <w:pPr>
        <w:pStyle w:val="2"/>
        <w:spacing w:before="103" w:line="295" w:lineRule="auto"/>
        <w:ind w:firstLine="539"/>
        <w:rPr>
          <w:rFonts w:ascii="仿宋" w:hAnsi="仿宋" w:eastAsia="仿宋" w:cs="仿宋"/>
          <w:sz w:val="25"/>
          <w:szCs w:val="25"/>
        </w:rPr>
      </w:pPr>
      <w:r>
        <w:rPr>
          <w:spacing w:val="26"/>
          <w:sz w:val="25"/>
          <w:szCs w:val="25"/>
        </w:rPr>
        <w:t>本章直接规定本规范的主题内容，典型表述形式为</w:t>
      </w:r>
      <w:r>
        <w:rPr>
          <w:rFonts w:ascii="仿宋" w:hAnsi="仿宋" w:eastAsia="仿宋" w:cs="仿宋"/>
          <w:spacing w:val="26"/>
          <w:sz w:val="25"/>
          <w:szCs w:val="25"/>
        </w:rPr>
        <w:t>“本规范规定了×××</w:t>
      </w:r>
      <w:r>
        <w:rPr>
          <w:rFonts w:ascii="仿宋" w:hAnsi="仿宋" w:eastAsia="仿宋" w:cs="仿宋"/>
          <w:spacing w:val="13"/>
          <w:sz w:val="25"/>
          <w:szCs w:val="25"/>
        </w:rPr>
        <w:t xml:space="preserve"> </w:t>
      </w:r>
      <w:r>
        <w:rPr>
          <w:rFonts w:ascii="仿宋" w:hAnsi="仿宋" w:eastAsia="仿宋" w:cs="仿宋"/>
          <w:spacing w:val="7"/>
          <w:sz w:val="25"/>
          <w:szCs w:val="25"/>
        </w:rPr>
        <w:t>[标明实体的代号和(或)名称]的要求。”。</w:t>
      </w:r>
    </w:p>
    <w:p w14:paraId="42B99D15">
      <w:pPr>
        <w:spacing w:before="1" w:line="221"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3EB403E7">
      <w:pPr>
        <w:pStyle w:val="2"/>
        <w:spacing w:before="82" w:line="288" w:lineRule="auto"/>
        <w:ind w:right="35" w:firstLine="539"/>
      </w:pPr>
      <w:r>
        <w:rPr>
          <w:spacing w:val="1"/>
        </w:rPr>
        <w:t>引用文件为可选要素，其编排规则在</w:t>
      </w:r>
      <w:r>
        <w:rPr>
          <w:rFonts w:ascii="Times New Roman" w:hAnsi="Times New Roman" w:eastAsia="Times New Roman" w:cs="Times New Roman"/>
        </w:rPr>
        <w:t>GJB</w:t>
      </w:r>
      <w:r>
        <w:rPr>
          <w:rFonts w:ascii="Times New Roman" w:hAnsi="Times New Roman" w:eastAsia="Times New Roman" w:cs="Times New Roman"/>
          <w:spacing w:val="1"/>
        </w:rPr>
        <w:t xml:space="preserve">   6387—2008</w:t>
      </w:r>
      <w:r>
        <w:t xml:space="preserve">中有详细规定，亦可 </w:t>
      </w:r>
      <w:r>
        <w:rPr>
          <w:spacing w:val="2"/>
        </w:rPr>
        <w:t>参见本书1.29《产品规范(</w:t>
      </w:r>
      <w:r>
        <w:rPr>
          <w:rFonts w:ascii="Times New Roman" w:hAnsi="Times New Roman" w:eastAsia="Times New Roman" w:cs="Times New Roman"/>
          <w:spacing w:val="2"/>
        </w:rPr>
        <w:t>C</w:t>
      </w:r>
      <w:r>
        <w:rPr>
          <w:rFonts w:ascii="Times New Roman" w:hAnsi="Times New Roman" w:eastAsia="Times New Roman" w:cs="Times New Roman"/>
          <w:spacing w:val="-25"/>
        </w:rPr>
        <w:t xml:space="preserve"> </w:t>
      </w:r>
      <w:r>
        <w:rPr>
          <w:spacing w:val="2"/>
        </w:rPr>
        <w:t>类规范)》第2章编写说明。</w:t>
      </w:r>
    </w:p>
    <w:p w14:paraId="22941839">
      <w:pPr>
        <w:spacing w:before="12" w:line="222" w:lineRule="auto"/>
        <w:rPr>
          <w:rFonts w:ascii="黑体" w:hAnsi="黑体" w:eastAsia="黑体" w:cs="黑体"/>
          <w:sz w:val="24"/>
          <w:szCs w:val="24"/>
        </w:rPr>
      </w:pPr>
      <w:r>
        <w:rPr>
          <w:rFonts w:ascii="黑体" w:hAnsi="黑体" w:eastAsia="黑体" w:cs="黑体"/>
          <w:spacing w:val="-8"/>
          <w:sz w:val="24"/>
          <w:szCs w:val="24"/>
        </w:rPr>
        <w:t>3</w:t>
      </w:r>
      <w:r>
        <w:rPr>
          <w:rFonts w:ascii="黑体" w:hAnsi="黑体" w:eastAsia="黑体" w:cs="黑体"/>
          <w:spacing w:val="42"/>
          <w:sz w:val="24"/>
          <w:szCs w:val="24"/>
        </w:rPr>
        <w:t xml:space="preserve">  </w:t>
      </w:r>
      <w:r>
        <w:rPr>
          <w:rFonts w:ascii="黑体" w:hAnsi="黑体" w:eastAsia="黑体" w:cs="黑体"/>
          <w:b/>
          <w:bCs/>
          <w:spacing w:val="-8"/>
          <w:sz w:val="24"/>
          <w:szCs w:val="24"/>
        </w:rPr>
        <w:t>要</w:t>
      </w:r>
      <w:r>
        <w:rPr>
          <w:rFonts w:ascii="黑体" w:hAnsi="黑体" w:eastAsia="黑体" w:cs="黑体"/>
          <w:spacing w:val="-45"/>
          <w:sz w:val="24"/>
          <w:szCs w:val="24"/>
        </w:rPr>
        <w:t xml:space="preserve"> </w:t>
      </w:r>
      <w:r>
        <w:rPr>
          <w:rFonts w:ascii="黑体" w:hAnsi="黑体" w:eastAsia="黑体" w:cs="黑体"/>
          <w:b/>
          <w:bCs/>
          <w:spacing w:val="-8"/>
          <w:sz w:val="24"/>
          <w:szCs w:val="24"/>
        </w:rPr>
        <w:t>求</w:t>
      </w:r>
    </w:p>
    <w:p w14:paraId="23CF609B">
      <w:pPr>
        <w:spacing w:before="120" w:line="221" w:lineRule="auto"/>
        <w:rPr>
          <w:rFonts w:ascii="黑体" w:hAnsi="黑体" w:eastAsia="黑体" w:cs="黑体"/>
          <w:sz w:val="25"/>
          <w:szCs w:val="25"/>
        </w:rPr>
      </w:pPr>
      <w:r>
        <w:rPr>
          <w:rFonts w:ascii="黑体" w:hAnsi="黑体" w:eastAsia="黑体" w:cs="黑体"/>
          <w:spacing w:val="10"/>
          <w:sz w:val="25"/>
          <w:szCs w:val="25"/>
        </w:rPr>
        <w:t>3.1</w:t>
      </w:r>
      <w:r>
        <w:rPr>
          <w:rFonts w:ascii="黑体" w:hAnsi="黑体" w:eastAsia="黑体" w:cs="黑体"/>
          <w:spacing w:val="51"/>
          <w:sz w:val="25"/>
          <w:szCs w:val="25"/>
        </w:rPr>
        <w:t xml:space="preserve">  </w:t>
      </w:r>
      <w:r>
        <w:rPr>
          <w:rFonts w:ascii="黑体" w:hAnsi="黑体" w:eastAsia="黑体" w:cs="黑体"/>
          <w:b/>
          <w:bCs/>
          <w:spacing w:val="10"/>
          <w:sz w:val="25"/>
          <w:szCs w:val="25"/>
        </w:rPr>
        <w:t>一般要求</w:t>
      </w:r>
    </w:p>
    <w:p w14:paraId="1C5EBF8E">
      <w:pPr>
        <w:spacing w:before="121" w:line="222" w:lineRule="auto"/>
        <w:rPr>
          <w:rFonts w:ascii="黑体" w:hAnsi="黑体" w:eastAsia="黑体" w:cs="黑体"/>
          <w:sz w:val="25"/>
          <w:szCs w:val="25"/>
        </w:rPr>
      </w:pPr>
      <w:r>
        <w:rPr>
          <w:rFonts w:ascii="黑体" w:hAnsi="黑体" w:eastAsia="黑体" w:cs="黑体"/>
          <w:spacing w:val="7"/>
          <w:sz w:val="25"/>
          <w:szCs w:val="25"/>
        </w:rPr>
        <w:t>3.1.1</w:t>
      </w:r>
      <w:r>
        <w:rPr>
          <w:rFonts w:ascii="黑体" w:hAnsi="黑体" w:eastAsia="黑体" w:cs="黑体"/>
          <w:spacing w:val="5"/>
          <w:sz w:val="25"/>
          <w:szCs w:val="25"/>
        </w:rPr>
        <w:t xml:space="preserve">   </w:t>
      </w:r>
      <w:r>
        <w:rPr>
          <w:rFonts w:ascii="黑体" w:hAnsi="黑体" w:eastAsia="黑体" w:cs="黑体"/>
          <w:b/>
          <w:bCs/>
          <w:spacing w:val="7"/>
          <w:sz w:val="25"/>
          <w:szCs w:val="25"/>
        </w:rPr>
        <w:t>环境要求</w:t>
      </w:r>
    </w:p>
    <w:p w14:paraId="454E0504">
      <w:pPr>
        <w:pStyle w:val="2"/>
        <w:spacing w:before="94" w:line="219" w:lineRule="auto"/>
        <w:ind w:left="539"/>
      </w:pPr>
      <w:r>
        <w:rPr>
          <w:spacing w:val="-4"/>
        </w:rPr>
        <w:t>本条规定实体加工的环境要求，主要包括：</w:t>
      </w:r>
    </w:p>
    <w:p w14:paraId="2D7E7F1A">
      <w:pPr>
        <w:pStyle w:val="2"/>
        <w:spacing w:before="102" w:line="220" w:lineRule="auto"/>
        <w:ind w:left="539"/>
      </w:pPr>
      <w:r>
        <w:rPr>
          <w:rFonts w:ascii="Times New Roman" w:hAnsi="Times New Roman" w:eastAsia="Times New Roman" w:cs="Times New Roman"/>
          <w:spacing w:val="11"/>
        </w:rPr>
        <w:t>a</w:t>
      </w:r>
      <w:r>
        <w:rPr>
          <w:spacing w:val="11"/>
        </w:rPr>
        <w:t>)施工场地的具体要求；</w:t>
      </w:r>
    </w:p>
    <w:p w14:paraId="3467B815">
      <w:pPr>
        <w:pStyle w:val="2"/>
        <w:spacing w:before="47" w:line="212" w:lineRule="auto"/>
        <w:ind w:left="539"/>
      </w:pPr>
      <w:r>
        <w:rPr>
          <w:rFonts w:ascii="Times New Roman" w:hAnsi="Times New Roman" w:eastAsia="Times New Roman" w:cs="Times New Roman"/>
          <w:spacing w:val="-3"/>
        </w:rPr>
        <w:t xml:space="preserve">b)  </w:t>
      </w:r>
      <w:r>
        <w:rPr>
          <w:spacing w:val="-3"/>
        </w:rPr>
        <w:t>施工场地的温度、湿度及通风的特殊要求；</w:t>
      </w:r>
    </w:p>
    <w:p w14:paraId="5E4CFD0B">
      <w:pPr>
        <w:pStyle w:val="2"/>
        <w:spacing w:before="152" w:line="212" w:lineRule="auto"/>
        <w:ind w:left="539"/>
        <w:rPr>
          <w:sz w:val="24"/>
          <w:szCs w:val="24"/>
        </w:rPr>
      </w:pPr>
      <w:r>
        <w:rPr>
          <w:rFonts w:ascii="Times New Roman" w:hAnsi="Times New Roman" w:eastAsia="Times New Roman" w:cs="Times New Roman"/>
          <w:spacing w:val="23"/>
          <w:sz w:val="24"/>
          <w:szCs w:val="24"/>
        </w:rPr>
        <w:t xml:space="preserve">c)  </w:t>
      </w:r>
      <w:r>
        <w:rPr>
          <w:spacing w:val="23"/>
          <w:sz w:val="24"/>
          <w:szCs w:val="24"/>
        </w:rPr>
        <w:t>施工场地的电源、气源及光源的特殊要求；</w:t>
      </w:r>
    </w:p>
    <w:p w14:paraId="24D25F07">
      <w:pPr>
        <w:pStyle w:val="2"/>
        <w:spacing w:before="102" w:line="212" w:lineRule="auto"/>
        <w:ind w:left="539"/>
      </w:pPr>
      <w:r>
        <w:rPr>
          <w:rFonts w:ascii="Times New Roman" w:hAnsi="Times New Roman" w:eastAsia="Times New Roman" w:cs="Times New Roman"/>
          <w:spacing w:val="4"/>
        </w:rPr>
        <w:t xml:space="preserve">d)  </w:t>
      </w:r>
      <w:r>
        <w:rPr>
          <w:spacing w:val="4"/>
        </w:rPr>
        <w:t>施工场地周围的环境保护措施。</w:t>
      </w:r>
    </w:p>
    <w:p w14:paraId="540C99E4">
      <w:pPr>
        <w:spacing w:before="124" w:line="221" w:lineRule="auto"/>
        <w:rPr>
          <w:rFonts w:ascii="黑体" w:hAnsi="黑体" w:eastAsia="黑体" w:cs="黑体"/>
          <w:sz w:val="27"/>
          <w:szCs w:val="27"/>
        </w:rPr>
      </w:pPr>
      <w:r>
        <w:rPr>
          <w:rFonts w:ascii="黑体" w:hAnsi="黑体" w:eastAsia="黑体" w:cs="黑体"/>
          <w:spacing w:val="-3"/>
          <w:sz w:val="27"/>
          <w:szCs w:val="27"/>
        </w:rPr>
        <w:t>3.1.2</w:t>
      </w:r>
      <w:r>
        <w:rPr>
          <w:rFonts w:ascii="黑体" w:hAnsi="黑体" w:eastAsia="黑体" w:cs="黑体"/>
          <w:spacing w:val="40"/>
          <w:sz w:val="27"/>
          <w:szCs w:val="27"/>
        </w:rPr>
        <w:t xml:space="preserve">  </w:t>
      </w:r>
      <w:r>
        <w:rPr>
          <w:rFonts w:ascii="黑体" w:hAnsi="黑体" w:eastAsia="黑体" w:cs="黑体"/>
          <w:b/>
          <w:bCs/>
          <w:spacing w:val="-3"/>
          <w:sz w:val="27"/>
          <w:szCs w:val="27"/>
        </w:rPr>
        <w:t>安全防护要求</w:t>
      </w:r>
    </w:p>
    <w:p w14:paraId="377FC722">
      <w:pPr>
        <w:pStyle w:val="2"/>
        <w:spacing w:before="92" w:line="219" w:lineRule="auto"/>
        <w:ind w:left="539"/>
      </w:pPr>
      <w:r>
        <w:rPr>
          <w:spacing w:val="-2"/>
        </w:rPr>
        <w:t>本条规定实体加工的安全防护要求，主要包</w:t>
      </w:r>
      <w:r>
        <w:rPr>
          <w:spacing w:val="-3"/>
        </w:rPr>
        <w:t>括：</w:t>
      </w:r>
    </w:p>
    <w:p w14:paraId="01C7E61C">
      <w:pPr>
        <w:pStyle w:val="2"/>
        <w:spacing w:before="99" w:line="251" w:lineRule="auto"/>
        <w:ind w:right="24" w:firstLine="539"/>
      </w:pPr>
      <w:r>
        <w:rPr>
          <w:rFonts w:ascii="Times New Roman" w:hAnsi="Times New Roman" w:eastAsia="Times New Roman" w:cs="Times New Roman"/>
          <w:spacing w:val="-2"/>
        </w:rPr>
        <w:t>a</w:t>
      </w:r>
      <w:r>
        <w:rPr>
          <w:spacing w:val="-2"/>
        </w:rPr>
        <w:t>)需规定的安全措施，包括对可能危及人身、产品及设备安全</w:t>
      </w:r>
      <w:r>
        <w:rPr>
          <w:spacing w:val="-3"/>
        </w:rPr>
        <w:t>操作，提出相</w:t>
      </w:r>
      <w:r>
        <w:t xml:space="preserve"> </w:t>
      </w:r>
      <w:r>
        <w:rPr>
          <w:spacing w:val="3"/>
        </w:rPr>
        <w:t>应的各种预防措施及应急处理方法；</w:t>
      </w:r>
    </w:p>
    <w:p w14:paraId="5F4AB356">
      <w:pPr>
        <w:pStyle w:val="2"/>
        <w:spacing w:before="68" w:line="256" w:lineRule="auto"/>
        <w:ind w:right="8" w:firstLine="539"/>
      </w:pPr>
      <w:r>
        <w:rPr>
          <w:rFonts w:ascii="Times New Roman" w:hAnsi="Times New Roman" w:eastAsia="Times New Roman" w:cs="Times New Roman"/>
          <w:spacing w:val="-12"/>
        </w:rPr>
        <w:t xml:space="preserve">b)  </w:t>
      </w:r>
      <w:r>
        <w:rPr>
          <w:spacing w:val="-12"/>
        </w:rPr>
        <w:t>需配置的防护设施，包括防爆、防火；防核辐射、热辐射、光辐射、电磁辐</w:t>
      </w:r>
      <w:r>
        <w:rPr>
          <w:spacing w:val="11"/>
        </w:rPr>
        <w:t xml:space="preserve"> </w:t>
      </w:r>
      <w:r>
        <w:rPr>
          <w:spacing w:val="-6"/>
        </w:rPr>
        <w:t>射；防静电、水淹及有害气体等所需的各种报警装置及设施。</w:t>
      </w:r>
    </w:p>
    <w:p w14:paraId="2F4624CC">
      <w:pPr>
        <w:spacing w:before="114" w:line="221" w:lineRule="auto"/>
        <w:rPr>
          <w:rFonts w:ascii="黑体" w:hAnsi="黑体" w:eastAsia="黑体" w:cs="黑体"/>
          <w:sz w:val="25"/>
          <w:szCs w:val="25"/>
        </w:rPr>
      </w:pPr>
      <w:r>
        <w:rPr>
          <w:rFonts w:ascii="黑体" w:hAnsi="黑体" w:eastAsia="黑体" w:cs="黑体"/>
          <w:spacing w:val="7"/>
          <w:sz w:val="25"/>
          <w:szCs w:val="25"/>
        </w:rPr>
        <w:t>3.1.3</w:t>
      </w:r>
      <w:r>
        <w:rPr>
          <w:rFonts w:ascii="黑体" w:hAnsi="黑体" w:eastAsia="黑体" w:cs="黑体"/>
          <w:spacing w:val="5"/>
          <w:sz w:val="25"/>
          <w:szCs w:val="25"/>
        </w:rPr>
        <w:t xml:space="preserve">   </w:t>
      </w:r>
      <w:r>
        <w:rPr>
          <w:rFonts w:ascii="黑体" w:hAnsi="黑体" w:eastAsia="黑体" w:cs="黑体"/>
          <w:b/>
          <w:bCs/>
          <w:spacing w:val="7"/>
          <w:sz w:val="25"/>
          <w:szCs w:val="25"/>
        </w:rPr>
        <w:t>人员要求</w:t>
      </w:r>
    </w:p>
    <w:p w14:paraId="70D371F6">
      <w:pPr>
        <w:pStyle w:val="2"/>
        <w:spacing w:before="86" w:line="219" w:lineRule="auto"/>
        <w:ind w:left="539"/>
      </w:pPr>
      <w:r>
        <w:rPr>
          <w:spacing w:val="-4"/>
        </w:rPr>
        <w:t>本条规定实体加工人员的要求，主要包括：</w:t>
      </w:r>
    </w:p>
    <w:p w14:paraId="23DF8866">
      <w:pPr>
        <w:pStyle w:val="2"/>
        <w:spacing w:before="81" w:line="212" w:lineRule="auto"/>
        <w:ind w:left="539"/>
      </w:pPr>
      <w:r>
        <w:rPr>
          <w:rFonts w:ascii="Times New Roman" w:hAnsi="Times New Roman" w:eastAsia="Times New Roman" w:cs="Times New Roman"/>
          <w:spacing w:val="3"/>
        </w:rPr>
        <w:t xml:space="preserve">a)  </w:t>
      </w:r>
      <w:r>
        <w:rPr>
          <w:spacing w:val="3"/>
        </w:rPr>
        <w:t>技术工种人员需经培训的主要内容；</w:t>
      </w:r>
    </w:p>
    <w:p w14:paraId="382CF8C6">
      <w:pPr>
        <w:pStyle w:val="2"/>
        <w:spacing w:before="110" w:line="212" w:lineRule="auto"/>
        <w:ind w:left="539"/>
      </w:pPr>
      <w:r>
        <w:rPr>
          <w:rFonts w:ascii="Times New Roman" w:hAnsi="Times New Roman" w:eastAsia="Times New Roman" w:cs="Times New Roman"/>
          <w:spacing w:val="5"/>
        </w:rPr>
        <w:t xml:space="preserve">b)  </w:t>
      </w:r>
      <w:r>
        <w:rPr>
          <w:spacing w:val="5"/>
        </w:rPr>
        <w:t>特种工艺人员需经专门考试的项目及应获得的等级资格证</w:t>
      </w:r>
      <w:r>
        <w:rPr>
          <w:spacing w:val="4"/>
        </w:rPr>
        <w:t>书。</w:t>
      </w:r>
    </w:p>
    <w:p w14:paraId="16C633A2">
      <w:pPr>
        <w:spacing w:line="212" w:lineRule="auto"/>
        <w:sectPr>
          <w:footerReference r:id="rId282" w:type="default"/>
          <w:pgSz w:w="11910" w:h="17130"/>
          <w:pgMar w:top="1456" w:right="1223" w:bottom="1606" w:left="1299" w:header="0" w:footer="1417" w:gutter="0"/>
          <w:cols w:space="720" w:num="1"/>
        </w:sectPr>
      </w:pPr>
    </w:p>
    <w:p w14:paraId="24D84D81">
      <w:pPr>
        <w:spacing w:before="55" w:line="222" w:lineRule="auto"/>
        <w:rPr>
          <w:rFonts w:ascii="黑体" w:hAnsi="黑体" w:eastAsia="黑体" w:cs="黑体"/>
          <w:sz w:val="27"/>
          <w:szCs w:val="27"/>
        </w:rPr>
      </w:pPr>
      <w:r>
        <w:rPr>
          <w:rFonts w:ascii="黑体" w:hAnsi="黑体" w:eastAsia="黑体" w:cs="黑体"/>
          <w:spacing w:val="2"/>
          <w:sz w:val="27"/>
          <w:szCs w:val="27"/>
        </w:rPr>
        <w:t>3.2</w:t>
      </w:r>
      <w:r>
        <w:rPr>
          <w:rFonts w:ascii="黑体" w:hAnsi="黑体" w:eastAsia="黑体" w:cs="黑体"/>
          <w:spacing w:val="22"/>
          <w:sz w:val="27"/>
          <w:szCs w:val="27"/>
        </w:rPr>
        <w:t xml:space="preserve">  </w:t>
      </w:r>
      <w:r>
        <w:rPr>
          <w:rFonts w:ascii="黑体" w:hAnsi="黑体" w:eastAsia="黑体" w:cs="黑体"/>
          <w:spacing w:val="2"/>
          <w:sz w:val="27"/>
          <w:szCs w:val="27"/>
        </w:rPr>
        <w:t>控制要求</w:t>
      </w:r>
    </w:p>
    <w:p w14:paraId="617D4E9C">
      <w:pPr>
        <w:spacing w:before="85" w:line="222" w:lineRule="auto"/>
        <w:rPr>
          <w:rFonts w:ascii="黑体" w:hAnsi="黑体" w:eastAsia="黑体" w:cs="黑体"/>
          <w:sz w:val="27"/>
          <w:szCs w:val="27"/>
        </w:rPr>
      </w:pPr>
      <w:r>
        <w:rPr>
          <w:rFonts w:ascii="黑体" w:hAnsi="黑体" w:eastAsia="黑体" w:cs="黑体"/>
          <w:spacing w:val="1"/>
          <w:sz w:val="27"/>
          <w:szCs w:val="27"/>
        </w:rPr>
        <w:t>3.2.1</w:t>
      </w:r>
      <w:r>
        <w:rPr>
          <w:rFonts w:ascii="黑体" w:hAnsi="黑体" w:eastAsia="黑体" w:cs="黑体"/>
          <w:spacing w:val="22"/>
          <w:sz w:val="27"/>
          <w:szCs w:val="27"/>
        </w:rPr>
        <w:t xml:space="preserve">  </w:t>
      </w:r>
      <w:r>
        <w:rPr>
          <w:rFonts w:ascii="黑体" w:hAnsi="黑体" w:eastAsia="黑体" w:cs="黑体"/>
          <w:spacing w:val="1"/>
          <w:sz w:val="27"/>
          <w:szCs w:val="27"/>
        </w:rPr>
        <w:t>工艺材料控制</w:t>
      </w:r>
    </w:p>
    <w:p w14:paraId="2C3816A5">
      <w:pPr>
        <w:pStyle w:val="2"/>
        <w:spacing w:before="63" w:line="219" w:lineRule="auto"/>
        <w:ind w:left="560"/>
      </w:pPr>
      <w:r>
        <w:rPr>
          <w:spacing w:val="-4"/>
        </w:rPr>
        <w:t>本条规定专用工艺涉及的材料的要求，包括：</w:t>
      </w:r>
    </w:p>
    <w:p w14:paraId="11A90CD9">
      <w:pPr>
        <w:pStyle w:val="2"/>
        <w:spacing w:before="93" w:line="212" w:lineRule="auto"/>
        <w:ind w:left="560"/>
        <w:rPr>
          <w:sz w:val="24"/>
          <w:szCs w:val="24"/>
        </w:rPr>
      </w:pPr>
      <w:r>
        <w:rPr>
          <w:rFonts w:ascii="Times New Roman" w:hAnsi="Times New Roman" w:eastAsia="Times New Roman" w:cs="Times New Roman"/>
          <w:spacing w:val="30"/>
          <w:sz w:val="24"/>
          <w:szCs w:val="24"/>
        </w:rPr>
        <w:t xml:space="preserve">a)  </w:t>
      </w:r>
      <w:r>
        <w:rPr>
          <w:spacing w:val="30"/>
          <w:sz w:val="24"/>
          <w:szCs w:val="24"/>
        </w:rPr>
        <w:t>材料的性能和应控制的关键特性及其公差等；</w:t>
      </w:r>
    </w:p>
    <w:p w14:paraId="085A3B9F">
      <w:pPr>
        <w:pStyle w:val="2"/>
        <w:spacing w:before="102"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80"/>
        </w:rPr>
        <w:t xml:space="preserve"> </w:t>
      </w:r>
      <w:r>
        <w:rPr>
          <w:spacing w:val="3"/>
        </w:rPr>
        <w:t>有毒材料及易燃材料的限制要求。</w:t>
      </w:r>
    </w:p>
    <w:p w14:paraId="2B68C0EF">
      <w:pPr>
        <w:spacing w:before="147" w:line="222" w:lineRule="auto"/>
        <w:rPr>
          <w:rFonts w:ascii="黑体" w:hAnsi="黑体" w:eastAsia="黑体" w:cs="黑体"/>
          <w:sz w:val="24"/>
          <w:szCs w:val="24"/>
        </w:rPr>
      </w:pPr>
      <w:r>
        <w:rPr>
          <w:rFonts w:ascii="黑体" w:hAnsi="黑体" w:eastAsia="黑体" w:cs="黑体"/>
          <w:spacing w:val="24"/>
          <w:sz w:val="24"/>
          <w:szCs w:val="24"/>
        </w:rPr>
        <w:t>3.2.2</w:t>
      </w:r>
      <w:r>
        <w:rPr>
          <w:rFonts w:ascii="黑体" w:hAnsi="黑体" w:eastAsia="黑体" w:cs="黑体"/>
          <w:spacing w:val="11"/>
          <w:sz w:val="24"/>
          <w:szCs w:val="24"/>
        </w:rPr>
        <w:t xml:space="preserve">   </w:t>
      </w:r>
      <w:r>
        <w:rPr>
          <w:rFonts w:ascii="黑体" w:hAnsi="黑体" w:eastAsia="黑体" w:cs="黑体"/>
          <w:spacing w:val="24"/>
          <w:sz w:val="24"/>
          <w:szCs w:val="24"/>
        </w:rPr>
        <w:t>工艺设备与工艺装备控制</w:t>
      </w:r>
    </w:p>
    <w:p w14:paraId="3638C3F7">
      <w:pPr>
        <w:pStyle w:val="2"/>
        <w:spacing w:before="104" w:line="279" w:lineRule="auto"/>
        <w:ind w:right="11" w:firstLine="560"/>
        <w:jc w:val="both"/>
      </w:pPr>
      <w:r>
        <w:rPr>
          <w:spacing w:val="-3"/>
        </w:rPr>
        <w:t>本条规定专用工艺涉及的设备与装备的要求，包括设备与装备的性能，应控</w:t>
      </w:r>
      <w:r>
        <w:t xml:space="preserve"> </w:t>
      </w:r>
      <w:r>
        <w:rPr>
          <w:spacing w:val="6"/>
        </w:rPr>
        <w:t>制的关键特性及其设计极限等。列出或说明为保证</w:t>
      </w:r>
      <w:r>
        <w:rPr>
          <w:spacing w:val="5"/>
        </w:rPr>
        <w:t>工艺产生的效果符合规定要</w:t>
      </w:r>
      <w:r>
        <w:t xml:space="preserve"> </w:t>
      </w:r>
      <w:r>
        <w:rPr>
          <w:spacing w:val="-2"/>
        </w:rPr>
        <w:t>求所必需的工艺设备与工艺装备的名称、型号与规格(或代号</w:t>
      </w:r>
      <w:r>
        <w:rPr>
          <w:spacing w:val="-3"/>
        </w:rPr>
        <w:t>)等，包括较为特殊</w:t>
      </w:r>
      <w:r>
        <w:t xml:space="preserve"> </w:t>
      </w:r>
      <w:r>
        <w:rPr>
          <w:spacing w:val="-7"/>
        </w:rPr>
        <w:t>的仪器、仪表和专用工具等。</w:t>
      </w:r>
    </w:p>
    <w:p w14:paraId="631B0329">
      <w:pPr>
        <w:spacing w:before="14" w:line="221" w:lineRule="auto"/>
        <w:rPr>
          <w:rFonts w:ascii="黑体" w:hAnsi="黑体" w:eastAsia="黑体" w:cs="黑体"/>
          <w:sz w:val="25"/>
          <w:szCs w:val="25"/>
        </w:rPr>
      </w:pPr>
      <w:r>
        <w:rPr>
          <w:rFonts w:ascii="黑体" w:hAnsi="黑体" w:eastAsia="黑体" w:cs="黑体"/>
          <w:spacing w:val="10"/>
          <w:sz w:val="25"/>
          <w:szCs w:val="25"/>
        </w:rPr>
        <w:t>3.2.3</w:t>
      </w:r>
      <w:r>
        <w:rPr>
          <w:rFonts w:ascii="黑体" w:hAnsi="黑体" w:eastAsia="黑体" w:cs="黑体"/>
          <w:spacing w:val="57"/>
          <w:sz w:val="25"/>
          <w:szCs w:val="25"/>
        </w:rPr>
        <w:t xml:space="preserve">  </w:t>
      </w:r>
      <w:r>
        <w:rPr>
          <w:rFonts w:ascii="黑体" w:hAnsi="黑体" w:eastAsia="黑体" w:cs="黑体"/>
          <w:spacing w:val="10"/>
          <w:sz w:val="25"/>
          <w:szCs w:val="25"/>
        </w:rPr>
        <w:t>零件控制</w:t>
      </w:r>
    </w:p>
    <w:p w14:paraId="10EC7145">
      <w:pPr>
        <w:pStyle w:val="2"/>
        <w:spacing w:before="85" w:line="279" w:lineRule="auto"/>
        <w:ind w:right="3" w:firstLine="560"/>
        <w:jc w:val="both"/>
      </w:pPr>
      <w:r>
        <w:rPr>
          <w:spacing w:val="-7"/>
        </w:rPr>
        <w:t>本条规定重要零件完工后的表面状态、形位公差(含直线度、圆度、平面度和</w:t>
      </w:r>
      <w:r>
        <w:rPr>
          <w:spacing w:val="13"/>
        </w:rPr>
        <w:t xml:space="preserve"> </w:t>
      </w:r>
      <w:r>
        <w:rPr>
          <w:spacing w:val="5"/>
        </w:rPr>
        <w:t>圆柱度等)和尺寸公差的要求(可引用有关的图样目录),以及检验合格后的标记</w:t>
      </w:r>
      <w:r>
        <w:rPr>
          <w:spacing w:val="11"/>
        </w:rPr>
        <w:t xml:space="preserve"> </w:t>
      </w:r>
      <w:r>
        <w:rPr>
          <w:spacing w:val="6"/>
        </w:rPr>
        <w:t>要求。除图样另有规定外，本条应明确重要零件生产及检</w:t>
      </w:r>
      <w:r>
        <w:rPr>
          <w:spacing w:val="5"/>
        </w:rPr>
        <w:t>验所采用的各类工艺</w:t>
      </w:r>
      <w:r>
        <w:t xml:space="preserve"> </w:t>
      </w:r>
      <w:r>
        <w:rPr>
          <w:spacing w:val="1"/>
        </w:rPr>
        <w:t>标准和验收标准。</w:t>
      </w:r>
    </w:p>
    <w:p w14:paraId="0A861DC9">
      <w:pPr>
        <w:spacing w:before="7" w:line="223" w:lineRule="auto"/>
        <w:rPr>
          <w:rFonts w:ascii="黑体" w:hAnsi="黑体" w:eastAsia="黑体" w:cs="黑体"/>
          <w:sz w:val="25"/>
          <w:szCs w:val="25"/>
        </w:rPr>
      </w:pPr>
      <w:r>
        <w:rPr>
          <w:rFonts w:ascii="黑体" w:hAnsi="黑体" w:eastAsia="黑体" w:cs="黑体"/>
          <w:spacing w:val="10"/>
          <w:sz w:val="25"/>
          <w:szCs w:val="25"/>
        </w:rPr>
        <w:t>3.2.4</w:t>
      </w:r>
      <w:r>
        <w:rPr>
          <w:rFonts w:ascii="黑体" w:hAnsi="黑体" w:eastAsia="黑体" w:cs="黑体"/>
          <w:spacing w:val="57"/>
          <w:sz w:val="25"/>
          <w:szCs w:val="25"/>
        </w:rPr>
        <w:t xml:space="preserve">  </w:t>
      </w:r>
      <w:r>
        <w:rPr>
          <w:rFonts w:ascii="黑体" w:hAnsi="黑体" w:eastAsia="黑体" w:cs="黑体"/>
          <w:spacing w:val="10"/>
          <w:sz w:val="25"/>
          <w:szCs w:val="25"/>
        </w:rPr>
        <w:t>制造控制</w:t>
      </w:r>
    </w:p>
    <w:p w14:paraId="299A3C17">
      <w:pPr>
        <w:pStyle w:val="2"/>
        <w:spacing w:before="70" w:line="272" w:lineRule="auto"/>
        <w:ind w:right="9" w:firstLine="560"/>
      </w:pPr>
      <w:r>
        <w:rPr>
          <w:rFonts w:ascii="Times New Roman" w:hAnsi="Times New Roman" w:eastAsia="Times New Roman" w:cs="Times New Roman"/>
          <w:spacing w:val="3"/>
        </w:rPr>
        <w:t>a)</w:t>
      </w:r>
      <w:r>
        <w:rPr>
          <w:rFonts w:ascii="Times New Roman" w:hAnsi="Times New Roman" w:eastAsia="Times New Roman" w:cs="Times New Roman"/>
          <w:spacing w:val="63"/>
          <w:w w:val="101"/>
        </w:rPr>
        <w:t xml:space="preserve"> </w:t>
      </w:r>
      <w:r>
        <w:rPr>
          <w:spacing w:val="3"/>
        </w:rPr>
        <w:t>依据相应专用规范(指研制规范、产品规范或材料规范，下同)所含</w:t>
      </w:r>
      <w:r>
        <w:rPr>
          <w:spacing w:val="2"/>
        </w:rPr>
        <w:t>实体</w:t>
      </w:r>
      <w:r>
        <w:t xml:space="preserve"> </w:t>
      </w:r>
      <w:r>
        <w:rPr>
          <w:spacing w:val="6"/>
        </w:rPr>
        <w:t>的设计要求及承制单位应具备的基本条件，提出实体制</w:t>
      </w:r>
      <w:r>
        <w:rPr>
          <w:spacing w:val="5"/>
        </w:rPr>
        <w:t>造大纲。制造大纲的主</w:t>
      </w:r>
      <w:r>
        <w:t xml:space="preserve"> </w:t>
      </w:r>
      <w:r>
        <w:rPr>
          <w:spacing w:val="-2"/>
        </w:rPr>
        <w:t>要内容包括：1)制造过程中各个阶段和各道工序的组织管理计划要</w:t>
      </w:r>
      <w:r>
        <w:rPr>
          <w:spacing w:val="-3"/>
        </w:rPr>
        <w:t>求；2)工艺方</w:t>
      </w:r>
      <w:r>
        <w:t xml:space="preserve"> </w:t>
      </w:r>
      <w:r>
        <w:rPr>
          <w:spacing w:val="-2"/>
        </w:rPr>
        <w:t>案和工艺规程等工艺技术保障要求；3)物资计划、资源组织和物资</w:t>
      </w:r>
      <w:r>
        <w:rPr>
          <w:spacing w:val="-3"/>
        </w:rPr>
        <w:t>仓库管理等物</w:t>
      </w:r>
      <w:r>
        <w:t xml:space="preserve"> </w:t>
      </w:r>
      <w:r>
        <w:rPr>
          <w:spacing w:val="-23"/>
        </w:rPr>
        <w:t>资供应保障要求；4)制造所需的水、电、气、汽，起重、运输及劳动保护、消防、安全</w:t>
      </w:r>
      <w:r>
        <w:rPr>
          <w:spacing w:val="7"/>
        </w:rPr>
        <w:t xml:space="preserve"> </w:t>
      </w:r>
      <w:r>
        <w:rPr>
          <w:spacing w:val="1"/>
        </w:rPr>
        <w:t>等后勤保障要求。</w:t>
      </w:r>
    </w:p>
    <w:p w14:paraId="0A40CE3F">
      <w:pPr>
        <w:pStyle w:val="2"/>
        <w:spacing w:before="83" w:line="272" w:lineRule="auto"/>
        <w:ind w:right="5" w:firstLine="560"/>
        <w:rPr>
          <w:sz w:val="25"/>
          <w:szCs w:val="25"/>
        </w:rPr>
      </w:pPr>
      <w:r>
        <w:rPr>
          <w:rFonts w:ascii="Times New Roman" w:hAnsi="Times New Roman" w:eastAsia="Times New Roman" w:cs="Times New Roman"/>
          <w:spacing w:val="29"/>
          <w:sz w:val="25"/>
          <w:szCs w:val="25"/>
        </w:rPr>
        <w:t xml:space="preserve">b)  </w:t>
      </w:r>
      <w:r>
        <w:rPr>
          <w:spacing w:val="29"/>
          <w:sz w:val="25"/>
          <w:szCs w:val="25"/>
        </w:rPr>
        <w:t>规定相应专用规范所含实体的制造工艺过程和工艺参数等重要要求的</w:t>
      </w:r>
      <w:r>
        <w:rPr>
          <w:sz w:val="25"/>
          <w:szCs w:val="25"/>
        </w:rPr>
        <w:t xml:space="preserve"> </w:t>
      </w:r>
      <w:r>
        <w:rPr>
          <w:spacing w:val="21"/>
          <w:sz w:val="25"/>
          <w:szCs w:val="25"/>
        </w:rPr>
        <w:t>标准或重要的工艺规程。</w:t>
      </w:r>
    </w:p>
    <w:p w14:paraId="1A548564">
      <w:pPr>
        <w:pStyle w:val="2"/>
        <w:spacing w:before="62" w:line="260" w:lineRule="auto"/>
        <w:ind w:right="10" w:firstLine="560"/>
      </w:pPr>
      <w:r>
        <w:rPr>
          <w:rFonts w:ascii="Times New Roman" w:hAnsi="Times New Roman" w:eastAsia="Times New Roman" w:cs="Times New Roman"/>
          <w:spacing w:val="3"/>
        </w:rPr>
        <w:t>c)</w:t>
      </w:r>
      <w:r>
        <w:rPr>
          <w:rFonts w:ascii="Times New Roman" w:hAnsi="Times New Roman" w:eastAsia="Times New Roman" w:cs="Times New Roman"/>
          <w:spacing w:val="66"/>
          <w:w w:val="101"/>
        </w:rPr>
        <w:t xml:space="preserve"> </w:t>
      </w:r>
      <w:r>
        <w:rPr>
          <w:spacing w:val="3"/>
        </w:rPr>
        <w:t>规定相应专用规范所含实体必需的制造工序，各道工序的操作要求和完</w:t>
      </w:r>
      <w:r>
        <w:t xml:space="preserve"> </w:t>
      </w:r>
      <w:r>
        <w:rPr>
          <w:spacing w:val="-6"/>
        </w:rPr>
        <w:t>工要求，建立工艺路线图(表)。</w:t>
      </w:r>
    </w:p>
    <w:p w14:paraId="5D917B29">
      <w:pPr>
        <w:pStyle w:val="2"/>
        <w:spacing w:before="70" w:line="275" w:lineRule="auto"/>
        <w:ind w:right="14" w:firstLine="560"/>
        <w:rPr>
          <w:sz w:val="25"/>
          <w:szCs w:val="25"/>
        </w:rPr>
      </w:pPr>
      <w:r>
        <w:rPr>
          <w:rFonts w:ascii="Times New Roman" w:hAnsi="Times New Roman" w:eastAsia="Times New Roman" w:cs="Times New Roman"/>
          <w:spacing w:val="21"/>
          <w:sz w:val="25"/>
          <w:szCs w:val="25"/>
        </w:rPr>
        <w:t xml:space="preserve">d)  </w:t>
      </w:r>
      <w:r>
        <w:rPr>
          <w:spacing w:val="21"/>
          <w:sz w:val="25"/>
          <w:szCs w:val="25"/>
        </w:rPr>
        <w:t>规定相应专用规范所含实体的加工质量要求，包</w:t>
      </w:r>
      <w:r>
        <w:rPr>
          <w:spacing w:val="20"/>
          <w:sz w:val="25"/>
          <w:szCs w:val="25"/>
        </w:rPr>
        <w:t>括与所需要的加工质量</w:t>
      </w:r>
      <w:r>
        <w:rPr>
          <w:sz w:val="25"/>
          <w:szCs w:val="25"/>
        </w:rPr>
        <w:t xml:space="preserve"> </w:t>
      </w:r>
      <w:r>
        <w:rPr>
          <w:spacing w:val="19"/>
          <w:sz w:val="25"/>
          <w:szCs w:val="25"/>
        </w:rPr>
        <w:t>标准相关的必要要求、缺陷的消除要求和最终产品的外观要求。</w:t>
      </w:r>
    </w:p>
    <w:p w14:paraId="16D1B77B">
      <w:pPr>
        <w:pStyle w:val="2"/>
        <w:spacing w:before="62" w:line="261" w:lineRule="auto"/>
        <w:ind w:right="13" w:firstLine="560"/>
      </w:pPr>
      <w:r>
        <w:rPr>
          <w:rFonts w:ascii="Times New Roman" w:hAnsi="Times New Roman" w:eastAsia="Times New Roman" w:cs="Times New Roman"/>
          <w:spacing w:val="11"/>
        </w:rPr>
        <w:t xml:space="preserve">e)  </w:t>
      </w:r>
      <w:r>
        <w:rPr>
          <w:spacing w:val="11"/>
        </w:rPr>
        <w:t>当相应专用规范所含实体中的全部零件或某些零</w:t>
      </w:r>
      <w:r>
        <w:rPr>
          <w:spacing w:val="10"/>
        </w:rPr>
        <w:t>件的精确设计需要控</w:t>
      </w:r>
      <w:r>
        <w:t xml:space="preserve"> </w:t>
      </w:r>
      <w:r>
        <w:rPr>
          <w:spacing w:val="1"/>
        </w:rPr>
        <w:t>制时，应明确与其有关的全部生产图样目录(包括下一层次的),并按其进行制造</w:t>
      </w:r>
      <w:r>
        <w:rPr>
          <w:spacing w:val="18"/>
        </w:rPr>
        <w:t xml:space="preserve"> </w:t>
      </w:r>
      <w:r>
        <w:rPr>
          <w:spacing w:val="-1"/>
        </w:rPr>
        <w:t>与组装。</w:t>
      </w:r>
    </w:p>
    <w:p w14:paraId="54D8C3B2">
      <w:pPr>
        <w:spacing w:before="117" w:line="223" w:lineRule="auto"/>
        <w:rPr>
          <w:rFonts w:ascii="黑体" w:hAnsi="黑体" w:eastAsia="黑体" w:cs="黑体"/>
          <w:sz w:val="25"/>
          <w:szCs w:val="25"/>
        </w:rPr>
      </w:pPr>
      <w:r>
        <w:rPr>
          <w:rFonts w:ascii="黑体" w:hAnsi="黑体" w:eastAsia="黑体" w:cs="黑体"/>
          <w:spacing w:val="10"/>
          <w:sz w:val="25"/>
          <w:szCs w:val="25"/>
        </w:rPr>
        <w:t>3.2.5</w:t>
      </w:r>
      <w:r>
        <w:rPr>
          <w:rFonts w:ascii="黑体" w:hAnsi="黑体" w:eastAsia="黑体" w:cs="黑体"/>
          <w:spacing w:val="57"/>
          <w:sz w:val="25"/>
          <w:szCs w:val="25"/>
        </w:rPr>
        <w:t xml:space="preserve">  </w:t>
      </w:r>
      <w:r>
        <w:rPr>
          <w:rFonts w:ascii="黑体" w:hAnsi="黑体" w:eastAsia="黑体" w:cs="黑体"/>
          <w:spacing w:val="10"/>
          <w:sz w:val="25"/>
          <w:szCs w:val="25"/>
        </w:rPr>
        <w:t>包装控制</w:t>
      </w:r>
    </w:p>
    <w:p w14:paraId="74358D51">
      <w:pPr>
        <w:pStyle w:val="2"/>
        <w:spacing w:before="89" w:line="323" w:lineRule="auto"/>
        <w:ind w:firstLine="560"/>
        <w:rPr>
          <w:sz w:val="25"/>
          <w:szCs w:val="25"/>
        </w:rPr>
      </w:pPr>
      <w:r>
        <w:rPr>
          <w:rFonts w:ascii="Times New Roman" w:hAnsi="Times New Roman" w:eastAsia="Times New Roman" w:cs="Times New Roman"/>
          <w:spacing w:val="22"/>
          <w:sz w:val="25"/>
          <w:szCs w:val="25"/>
        </w:rPr>
        <w:t xml:space="preserve">a)  </w:t>
      </w:r>
      <w:r>
        <w:rPr>
          <w:spacing w:val="22"/>
          <w:sz w:val="25"/>
          <w:szCs w:val="25"/>
        </w:rPr>
        <w:t>规定相应专用规范所含实体的包装</w:t>
      </w:r>
      <w:r>
        <w:rPr>
          <w:spacing w:val="21"/>
          <w:sz w:val="25"/>
          <w:szCs w:val="25"/>
        </w:rPr>
        <w:t>形式和防护要求，包括完工后的中间</w:t>
      </w:r>
      <w:r>
        <w:rPr>
          <w:sz w:val="25"/>
          <w:szCs w:val="25"/>
        </w:rPr>
        <w:t xml:space="preserve"> </w:t>
      </w:r>
      <w:r>
        <w:rPr>
          <w:spacing w:val="25"/>
          <w:sz w:val="25"/>
          <w:szCs w:val="25"/>
        </w:rPr>
        <w:t>产品及最终产品能在运输和贮存过程中有效避</w:t>
      </w:r>
      <w:r>
        <w:rPr>
          <w:spacing w:val="24"/>
          <w:sz w:val="25"/>
          <w:szCs w:val="25"/>
        </w:rPr>
        <w:t>免环境的和机械的损伤。</w:t>
      </w:r>
    </w:p>
    <w:p w14:paraId="2A1573FE">
      <w:pPr>
        <w:spacing w:line="323" w:lineRule="auto"/>
        <w:rPr>
          <w:sz w:val="25"/>
          <w:szCs w:val="25"/>
        </w:rPr>
        <w:sectPr>
          <w:footerReference r:id="rId283" w:type="default"/>
          <w:pgSz w:w="11910" w:h="17130"/>
          <w:pgMar w:top="1456" w:right="1005" w:bottom="1653" w:left="1519" w:header="0" w:footer="1455" w:gutter="0"/>
          <w:cols w:space="720" w:num="1"/>
        </w:sectPr>
      </w:pPr>
    </w:p>
    <w:p w14:paraId="7EFD966D">
      <w:pPr>
        <w:pStyle w:val="2"/>
        <w:spacing w:before="57" w:line="301" w:lineRule="auto"/>
        <w:ind w:firstLine="560"/>
      </w:pPr>
      <w:r>
        <w:rPr>
          <w:rFonts w:ascii="Times New Roman" w:hAnsi="Times New Roman" w:eastAsia="Times New Roman" w:cs="Times New Roman"/>
          <w:spacing w:val="11"/>
        </w:rPr>
        <w:t>b)</w:t>
      </w:r>
      <w:r>
        <w:rPr>
          <w:rFonts w:ascii="Times New Roman" w:hAnsi="Times New Roman" w:eastAsia="Times New Roman" w:cs="Times New Roman"/>
          <w:spacing w:val="58"/>
        </w:rPr>
        <w:t xml:space="preserve"> </w:t>
      </w:r>
      <w:r>
        <w:rPr>
          <w:spacing w:val="11"/>
        </w:rPr>
        <w:t>规定每包装件上应清楚地作出耐久的标记并有下列说明：1)采用的工</w:t>
      </w:r>
      <w:r>
        <w:t xml:space="preserve"> 艺规范编号；2)承制方全称；3)制造日期；4)中间产品工件号或最终产品名称；</w:t>
      </w:r>
    </w:p>
    <w:p w14:paraId="663B5552">
      <w:pPr>
        <w:pStyle w:val="2"/>
        <w:spacing w:line="219" w:lineRule="auto"/>
      </w:pPr>
      <w:r>
        <w:rPr>
          <w:spacing w:val="4"/>
        </w:rPr>
        <w:t>5)订制单编号；6)数量。</w:t>
      </w:r>
    </w:p>
    <w:p w14:paraId="48CADE3F">
      <w:pPr>
        <w:pStyle w:val="2"/>
        <w:spacing w:before="28" w:line="270" w:lineRule="auto"/>
        <w:ind w:right="91" w:firstLine="560"/>
      </w:pPr>
      <w:r>
        <w:rPr>
          <w:rFonts w:ascii="Times New Roman" w:hAnsi="Times New Roman" w:eastAsia="Times New Roman" w:cs="Times New Roman"/>
          <w:spacing w:val="4"/>
        </w:rPr>
        <w:t>c)</w:t>
      </w:r>
      <w:r>
        <w:rPr>
          <w:rFonts w:ascii="Times New Roman" w:hAnsi="Times New Roman" w:eastAsia="Times New Roman" w:cs="Times New Roman"/>
          <w:spacing w:val="42"/>
          <w:w w:val="101"/>
        </w:rPr>
        <w:t xml:space="preserve"> </w:t>
      </w:r>
      <w:r>
        <w:rPr>
          <w:spacing w:val="4"/>
        </w:rPr>
        <w:t>规定相应专用规范所含实体防护包装的工艺</w:t>
      </w:r>
      <w:r>
        <w:rPr>
          <w:spacing w:val="3"/>
        </w:rPr>
        <w:t>规程，其主要工艺有：1)清</w:t>
      </w:r>
      <w:r>
        <w:t xml:space="preserve"> </w:t>
      </w:r>
      <w:r>
        <w:rPr>
          <w:spacing w:val="-14"/>
        </w:rPr>
        <w:t>洁、干燥；2)涂覆防护剂；3)裹包、单元包装、中间包装。</w:t>
      </w:r>
    </w:p>
    <w:p w14:paraId="371FC828">
      <w:pPr>
        <w:pStyle w:val="2"/>
        <w:spacing w:before="39" w:line="264" w:lineRule="auto"/>
        <w:ind w:right="69" w:firstLine="560"/>
      </w:pPr>
      <w:r>
        <w:rPr>
          <w:rFonts w:ascii="Times New Roman" w:hAnsi="Times New Roman" w:eastAsia="Times New Roman" w:cs="Times New Roman"/>
          <w:spacing w:val="3"/>
        </w:rPr>
        <w:t>d)</w:t>
      </w:r>
      <w:r>
        <w:rPr>
          <w:rFonts w:ascii="Times New Roman" w:hAnsi="Times New Roman" w:eastAsia="Times New Roman" w:cs="Times New Roman"/>
          <w:spacing w:val="70"/>
        </w:rPr>
        <w:t xml:space="preserve"> </w:t>
      </w:r>
      <w:r>
        <w:rPr>
          <w:spacing w:val="3"/>
        </w:rPr>
        <w:t>规定相应专用规范所含实体装箱的工艺规程，其主要工艺有：1)包装箱</w:t>
      </w:r>
      <w:r>
        <w:t xml:space="preserve"> </w:t>
      </w:r>
      <w:r>
        <w:rPr>
          <w:spacing w:val="-9"/>
        </w:rPr>
        <w:t>制造；2)箱内内装物的缓冲、支撑、固定与防水；3)封箱。</w:t>
      </w:r>
    </w:p>
    <w:p w14:paraId="27F5C211">
      <w:pPr>
        <w:spacing w:before="64"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6"/>
          <w:sz w:val="27"/>
          <w:szCs w:val="27"/>
        </w:rPr>
        <w:t xml:space="preserve">  </w:t>
      </w:r>
      <w:r>
        <w:rPr>
          <w:rFonts w:ascii="黑体" w:hAnsi="黑体" w:eastAsia="黑体" w:cs="黑体"/>
          <w:b/>
          <w:bCs/>
          <w:spacing w:val="-5"/>
          <w:sz w:val="27"/>
          <w:szCs w:val="27"/>
        </w:rPr>
        <w:t>验证</w:t>
      </w:r>
    </w:p>
    <w:p w14:paraId="2B56FF1E">
      <w:pPr>
        <w:spacing w:before="84" w:line="221" w:lineRule="auto"/>
        <w:rPr>
          <w:rFonts w:ascii="黑体" w:hAnsi="黑体" w:eastAsia="黑体" w:cs="黑体"/>
          <w:sz w:val="27"/>
          <w:szCs w:val="27"/>
        </w:rPr>
      </w:pPr>
      <w:r>
        <w:rPr>
          <w:rFonts w:ascii="黑体" w:hAnsi="黑体" w:eastAsia="黑体" w:cs="黑体"/>
          <w:spacing w:val="-8"/>
          <w:sz w:val="27"/>
          <w:szCs w:val="27"/>
        </w:rPr>
        <w:t>4.1</w:t>
      </w:r>
      <w:r>
        <w:rPr>
          <w:rFonts w:ascii="黑体" w:hAnsi="黑体" w:eastAsia="黑体" w:cs="黑体"/>
          <w:spacing w:val="33"/>
          <w:sz w:val="27"/>
          <w:szCs w:val="27"/>
        </w:rPr>
        <w:t xml:space="preserve">  </w:t>
      </w:r>
      <w:r>
        <w:rPr>
          <w:rFonts w:ascii="黑体" w:hAnsi="黑体" w:eastAsia="黑体" w:cs="黑体"/>
          <w:b/>
          <w:bCs/>
          <w:spacing w:val="-8"/>
          <w:sz w:val="27"/>
          <w:szCs w:val="27"/>
        </w:rPr>
        <w:t>检验分类</w:t>
      </w:r>
    </w:p>
    <w:p w14:paraId="16977C34">
      <w:pPr>
        <w:pStyle w:val="2"/>
        <w:spacing w:before="53" w:line="212" w:lineRule="auto"/>
        <w:ind w:left="560"/>
      </w:pPr>
      <w:r>
        <w:rPr>
          <w:rFonts w:ascii="Times New Roman" w:hAnsi="Times New Roman" w:eastAsia="Times New Roman" w:cs="Times New Roman"/>
          <w:spacing w:val="6"/>
        </w:rPr>
        <w:t>a)</w:t>
      </w:r>
      <w:r>
        <w:rPr>
          <w:rFonts w:ascii="Times New Roman" w:hAnsi="Times New Roman" w:eastAsia="Times New Roman" w:cs="Times New Roman"/>
          <w:spacing w:val="68"/>
        </w:rPr>
        <w:t xml:space="preserve"> </w:t>
      </w:r>
      <w:r>
        <w:rPr>
          <w:spacing w:val="6"/>
        </w:rPr>
        <w:t>确定检验分类的基本原则</w:t>
      </w:r>
    </w:p>
    <w:p w14:paraId="620E4083">
      <w:pPr>
        <w:pStyle w:val="2"/>
        <w:spacing w:before="140" w:line="278" w:lineRule="auto"/>
        <w:ind w:firstLine="560"/>
      </w:pPr>
      <w:r>
        <w:rPr>
          <w:spacing w:val="5"/>
        </w:rPr>
        <w:t>应根据相应专用规范所含实体采用各种专用工艺形成的中间结果或最终结</w:t>
      </w:r>
      <w:r>
        <w:rPr>
          <w:spacing w:val="15"/>
        </w:rPr>
        <w:t xml:space="preserve"> </w:t>
      </w:r>
      <w:r>
        <w:rPr>
          <w:spacing w:val="6"/>
        </w:rPr>
        <w:t>果的形态特点，选择合适的检验类别及其组合。确定检验分类时应遵循</w:t>
      </w:r>
      <w:r>
        <w:rPr>
          <w:spacing w:val="5"/>
        </w:rPr>
        <w:t>以下原</w:t>
      </w:r>
      <w:r>
        <w:t xml:space="preserve"> 则：1)具有代表性，能反映实际的质量水平；2)具有经济性，有良好的效费比；</w:t>
      </w:r>
    </w:p>
    <w:p w14:paraId="52502D87">
      <w:pPr>
        <w:pStyle w:val="2"/>
        <w:spacing w:before="1" w:line="219" w:lineRule="auto"/>
      </w:pPr>
      <w:r>
        <w:rPr>
          <w:spacing w:val="-1"/>
        </w:rPr>
        <w:t>3)具有快速性，能及时评判检验结果；4</w:t>
      </w:r>
      <w:r>
        <w:rPr>
          <w:spacing w:val="-2"/>
        </w:rPr>
        <w:t>)具有再现性，能重复演示原工艺过程。</w:t>
      </w:r>
    </w:p>
    <w:p w14:paraId="66EB8BF7">
      <w:pPr>
        <w:pStyle w:val="2"/>
        <w:spacing w:before="59" w:line="212" w:lineRule="auto"/>
        <w:ind w:left="519"/>
      </w:pPr>
      <w:r>
        <w:rPr>
          <w:rFonts w:ascii="Times New Roman" w:hAnsi="Times New Roman" w:eastAsia="Times New Roman" w:cs="Times New Roman"/>
          <w:spacing w:val="5"/>
        </w:rPr>
        <w:t>b)</w:t>
      </w:r>
      <w:r>
        <w:rPr>
          <w:rFonts w:ascii="Times New Roman" w:hAnsi="Times New Roman" w:eastAsia="Times New Roman" w:cs="Times New Roman"/>
          <w:spacing w:val="32"/>
        </w:rPr>
        <w:t xml:space="preserve">  </w:t>
      </w:r>
      <w:r>
        <w:rPr>
          <w:spacing w:val="5"/>
        </w:rPr>
        <w:t>检验分类的表述</w:t>
      </w:r>
    </w:p>
    <w:p w14:paraId="392DDBC5">
      <w:pPr>
        <w:pStyle w:val="2"/>
        <w:spacing w:before="119" w:line="219" w:lineRule="auto"/>
        <w:ind w:left="560"/>
      </w:pPr>
      <w:r>
        <w:rPr>
          <w:spacing w:val="3"/>
        </w:rPr>
        <w:t>确定的检验类别及其组合应采用下述表述形式：</w:t>
      </w:r>
    </w:p>
    <w:p w14:paraId="613F24B2">
      <w:pPr>
        <w:spacing w:before="76" w:line="220" w:lineRule="auto"/>
        <w:ind w:left="560"/>
        <w:rPr>
          <w:rFonts w:ascii="仿宋" w:hAnsi="仿宋" w:eastAsia="仿宋" w:cs="仿宋"/>
          <w:sz w:val="27"/>
          <w:szCs w:val="27"/>
        </w:rPr>
      </w:pPr>
      <w:r>
        <w:rPr>
          <w:rFonts w:ascii="仿宋" w:hAnsi="仿宋" w:eastAsia="仿宋" w:cs="仿宋"/>
          <w:spacing w:val="-6"/>
          <w:sz w:val="27"/>
          <w:szCs w:val="27"/>
        </w:rPr>
        <w:t>4.1</w:t>
      </w:r>
      <w:r>
        <w:rPr>
          <w:rFonts w:ascii="仿宋" w:hAnsi="仿宋" w:eastAsia="仿宋" w:cs="仿宋"/>
          <w:spacing w:val="38"/>
          <w:sz w:val="27"/>
          <w:szCs w:val="27"/>
        </w:rPr>
        <w:t xml:space="preserve">  </w:t>
      </w:r>
      <w:r>
        <w:rPr>
          <w:rFonts w:ascii="仿宋" w:hAnsi="仿宋" w:eastAsia="仿宋" w:cs="仿宋"/>
          <w:spacing w:val="-6"/>
          <w:sz w:val="27"/>
          <w:szCs w:val="27"/>
        </w:rPr>
        <w:t>检验分类</w:t>
      </w:r>
    </w:p>
    <w:p w14:paraId="7376F8C9">
      <w:pPr>
        <w:spacing w:before="137" w:line="220" w:lineRule="auto"/>
        <w:ind w:left="1269"/>
        <w:rPr>
          <w:rFonts w:ascii="仿宋" w:hAnsi="仿宋" w:eastAsia="仿宋" w:cs="仿宋"/>
          <w:sz w:val="24"/>
          <w:szCs w:val="24"/>
        </w:rPr>
      </w:pPr>
      <w:r>
        <w:rPr>
          <w:rFonts w:ascii="仿宋" w:hAnsi="仿宋" w:eastAsia="仿宋" w:cs="仿宋"/>
          <w:spacing w:val="30"/>
          <w:sz w:val="24"/>
          <w:szCs w:val="24"/>
        </w:rPr>
        <w:t>本规范规定的检验分类如下：</w:t>
      </w:r>
    </w:p>
    <w:p w14:paraId="040DF3A3">
      <w:pPr>
        <w:spacing w:before="118" w:line="224" w:lineRule="auto"/>
        <w:ind w:left="1269"/>
        <w:rPr>
          <w:rFonts w:ascii="仿宋" w:hAnsi="仿宋" w:eastAsia="仿宋" w:cs="仿宋"/>
          <w:sz w:val="24"/>
          <w:szCs w:val="24"/>
        </w:rPr>
      </w:pPr>
      <w:r>
        <w:rPr>
          <w:rFonts w:ascii="Times New Roman" w:hAnsi="Times New Roman" w:eastAsia="Times New Roman" w:cs="Times New Roman"/>
          <w:spacing w:val="6"/>
          <w:sz w:val="24"/>
          <w:szCs w:val="24"/>
        </w:rPr>
        <w:t>a</w:t>
      </w:r>
      <w:r>
        <w:rPr>
          <w:rFonts w:ascii="Times New Roman" w:hAnsi="Times New Roman" w:eastAsia="Times New Roman" w:cs="Times New Roman"/>
          <w:spacing w:val="-25"/>
          <w:sz w:val="24"/>
          <w:szCs w:val="24"/>
        </w:rPr>
        <w:t xml:space="preserve"> </w:t>
      </w:r>
      <w:r>
        <w:rPr>
          <w:rFonts w:ascii="仿宋" w:hAnsi="仿宋" w:eastAsia="仿宋" w:cs="仿宋"/>
          <w:spacing w:val="6"/>
          <w:sz w:val="24"/>
          <w:szCs w:val="24"/>
        </w:rPr>
        <w:t>)……</w:t>
      </w:r>
      <w:r>
        <w:rPr>
          <w:rFonts w:ascii="仿宋" w:hAnsi="仿宋" w:eastAsia="仿宋" w:cs="仿宋"/>
          <w:spacing w:val="-21"/>
          <w:sz w:val="24"/>
          <w:szCs w:val="24"/>
        </w:rPr>
        <w:t xml:space="preserve"> </w:t>
      </w:r>
      <w:r>
        <w:rPr>
          <w:rFonts w:ascii="仿宋" w:hAnsi="仿宋" w:eastAsia="仿宋" w:cs="仿宋"/>
          <w:spacing w:val="6"/>
          <w:sz w:val="24"/>
          <w:szCs w:val="24"/>
        </w:rPr>
        <w:t>(见4</w:t>
      </w:r>
      <w:r>
        <w:rPr>
          <w:rFonts w:ascii="仿宋" w:hAnsi="仿宋" w:eastAsia="仿宋" w:cs="仿宋"/>
          <w:spacing w:val="-54"/>
          <w:sz w:val="24"/>
          <w:szCs w:val="24"/>
        </w:rPr>
        <w:t xml:space="preserve"> </w:t>
      </w:r>
      <w:r>
        <w:rPr>
          <w:rFonts w:ascii="仿宋" w:hAnsi="仿宋" w:eastAsia="仿宋" w:cs="仿宋"/>
          <w:spacing w:val="6"/>
          <w:sz w:val="24"/>
          <w:szCs w:val="24"/>
        </w:rPr>
        <w:t>.</w:t>
      </w:r>
      <w:r>
        <w:rPr>
          <w:rFonts w:ascii="仿宋" w:hAnsi="仿宋" w:eastAsia="仿宋" w:cs="仿宋"/>
          <w:spacing w:val="-25"/>
          <w:sz w:val="24"/>
          <w:szCs w:val="24"/>
        </w:rPr>
        <w:t xml:space="preserve"> </w:t>
      </w:r>
      <w:r>
        <w:rPr>
          <w:rFonts w:ascii="仿宋" w:hAnsi="仿宋" w:eastAsia="仿宋" w:cs="仿宋"/>
          <w:spacing w:val="6"/>
          <w:sz w:val="24"/>
          <w:szCs w:val="24"/>
        </w:rPr>
        <w:t>×);</w:t>
      </w:r>
    </w:p>
    <w:p w14:paraId="438309B4">
      <w:pPr>
        <w:spacing w:before="51" w:line="212" w:lineRule="auto"/>
        <w:ind w:left="1269"/>
        <w:rPr>
          <w:rFonts w:ascii="仿宋" w:hAnsi="仿宋" w:eastAsia="仿宋" w:cs="仿宋"/>
          <w:sz w:val="27"/>
          <w:szCs w:val="27"/>
        </w:rPr>
      </w:pPr>
      <w:r>
        <w:rPr>
          <w:rFonts w:ascii="Times New Roman" w:hAnsi="Times New Roman" w:eastAsia="Times New Roman" w:cs="Times New Roman"/>
          <w:spacing w:val="1"/>
          <w:sz w:val="27"/>
          <w:szCs w:val="27"/>
        </w:rPr>
        <w:t xml:space="preserve">b)…… ( </w:t>
      </w:r>
      <w:r>
        <w:rPr>
          <w:rFonts w:ascii="仿宋" w:hAnsi="仿宋" w:eastAsia="仿宋" w:cs="仿宋"/>
          <w:spacing w:val="1"/>
          <w:sz w:val="27"/>
          <w:szCs w:val="27"/>
        </w:rPr>
        <w:t>见4.</w:t>
      </w:r>
      <w:r>
        <w:rPr>
          <w:rFonts w:ascii="仿宋" w:hAnsi="仿宋" w:eastAsia="仿宋" w:cs="仿宋"/>
          <w:spacing w:val="-61"/>
          <w:sz w:val="27"/>
          <w:szCs w:val="27"/>
        </w:rPr>
        <w:t xml:space="preserve"> </w:t>
      </w:r>
      <w:r>
        <w:rPr>
          <w:rFonts w:ascii="仿宋" w:hAnsi="仿宋" w:eastAsia="仿宋" w:cs="仿宋"/>
          <w:spacing w:val="1"/>
          <w:sz w:val="27"/>
          <w:szCs w:val="27"/>
        </w:rPr>
        <w:t>×);</w:t>
      </w:r>
    </w:p>
    <w:p w14:paraId="0EAF4888">
      <w:pPr>
        <w:spacing w:before="132" w:line="212" w:lineRule="auto"/>
        <w:ind w:left="1269"/>
        <w:rPr>
          <w:rFonts w:ascii="仿宋" w:hAnsi="仿宋" w:eastAsia="仿宋" w:cs="仿宋"/>
          <w:sz w:val="24"/>
          <w:szCs w:val="24"/>
        </w:rPr>
      </w:pPr>
      <w:r>
        <w:rPr>
          <w:rFonts w:ascii="Times New Roman" w:hAnsi="Times New Roman" w:eastAsia="Times New Roman" w:cs="Times New Roman"/>
          <w:spacing w:val="-3"/>
          <w:sz w:val="24"/>
          <w:szCs w:val="24"/>
        </w:rPr>
        <w:t>c)</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3"/>
          <w:sz w:val="24"/>
          <w:szCs w:val="24"/>
        </w:rPr>
        <w:t xml:space="preserve">( </w:t>
      </w:r>
      <w:r>
        <w:rPr>
          <w:rFonts w:ascii="仿宋" w:hAnsi="仿宋" w:eastAsia="仿宋" w:cs="仿宋"/>
          <w:spacing w:val="-3"/>
          <w:sz w:val="24"/>
          <w:szCs w:val="24"/>
        </w:rPr>
        <w:t>见4</w:t>
      </w:r>
      <w:r>
        <w:rPr>
          <w:rFonts w:ascii="仿宋" w:hAnsi="仿宋" w:eastAsia="仿宋" w:cs="仿宋"/>
          <w:spacing w:val="-58"/>
          <w:sz w:val="24"/>
          <w:szCs w:val="24"/>
        </w:rPr>
        <w:t xml:space="preserve"> </w:t>
      </w:r>
      <w:r>
        <w:rPr>
          <w:rFonts w:ascii="仿宋" w:hAnsi="仿宋" w:eastAsia="仿宋" w:cs="仿宋"/>
          <w:spacing w:val="-3"/>
          <w:sz w:val="24"/>
          <w:szCs w:val="24"/>
        </w:rPr>
        <w:t>.</w:t>
      </w:r>
      <w:r>
        <w:rPr>
          <w:rFonts w:ascii="仿宋" w:hAnsi="仿宋" w:eastAsia="仿宋" w:cs="仿宋"/>
          <w:spacing w:val="-29"/>
          <w:sz w:val="24"/>
          <w:szCs w:val="24"/>
        </w:rPr>
        <w:t xml:space="preserve"> </w:t>
      </w:r>
      <w:r>
        <w:rPr>
          <w:rFonts w:ascii="仿宋" w:hAnsi="仿宋" w:eastAsia="仿宋" w:cs="仿宋"/>
          <w:spacing w:val="-3"/>
          <w:sz w:val="24"/>
          <w:szCs w:val="24"/>
        </w:rPr>
        <w:t>×)。</w:t>
      </w:r>
    </w:p>
    <w:p w14:paraId="235619BC">
      <w:pPr>
        <w:spacing w:before="146" w:line="222" w:lineRule="auto"/>
        <w:rPr>
          <w:rFonts w:ascii="黑体" w:hAnsi="黑体" w:eastAsia="黑体" w:cs="黑体"/>
          <w:sz w:val="25"/>
          <w:szCs w:val="25"/>
        </w:rPr>
      </w:pPr>
      <w:r>
        <w:rPr>
          <w:rFonts w:ascii="黑体" w:hAnsi="黑体" w:eastAsia="黑体" w:cs="黑体"/>
          <w:spacing w:val="13"/>
          <w:sz w:val="25"/>
          <w:szCs w:val="25"/>
        </w:rPr>
        <w:t>4.2</w:t>
      </w:r>
      <w:r>
        <w:rPr>
          <w:rFonts w:ascii="黑体" w:hAnsi="黑体" w:eastAsia="黑体" w:cs="黑体"/>
          <w:spacing w:val="40"/>
          <w:sz w:val="25"/>
          <w:szCs w:val="25"/>
        </w:rPr>
        <w:t xml:space="preserve">  </w:t>
      </w:r>
      <w:r>
        <w:rPr>
          <w:rFonts w:ascii="黑体" w:hAnsi="黑体" w:eastAsia="黑体" w:cs="黑体"/>
          <w:b/>
          <w:bCs/>
          <w:spacing w:val="13"/>
          <w:sz w:val="25"/>
          <w:szCs w:val="25"/>
        </w:rPr>
        <w:t>检验条件</w:t>
      </w:r>
    </w:p>
    <w:p w14:paraId="400D1532">
      <w:pPr>
        <w:pStyle w:val="2"/>
        <w:spacing w:before="105" w:line="282" w:lineRule="auto"/>
        <w:ind w:right="92" w:firstLine="560"/>
      </w:pPr>
      <w:r>
        <w:rPr>
          <w:spacing w:val="5"/>
        </w:rPr>
        <w:t>本条规定对各种专用工艺形成的中间结果和最终结果的检验应具备的基本</w:t>
      </w:r>
      <w:r>
        <w:rPr>
          <w:spacing w:val="11"/>
        </w:rPr>
        <w:t xml:space="preserve"> </w:t>
      </w:r>
      <w:r>
        <w:rPr>
          <w:spacing w:val="-6"/>
        </w:rPr>
        <w:t>条件。</w:t>
      </w:r>
    </w:p>
    <w:p w14:paraId="78BA14FF">
      <w:pPr>
        <w:spacing w:before="1" w:line="221" w:lineRule="auto"/>
        <w:rPr>
          <w:rFonts w:ascii="黑体" w:hAnsi="黑体" w:eastAsia="黑体" w:cs="黑体"/>
          <w:sz w:val="24"/>
          <w:szCs w:val="24"/>
        </w:rPr>
      </w:pPr>
      <w:r>
        <w:rPr>
          <w:rFonts w:ascii="黑体" w:hAnsi="黑体" w:eastAsia="黑体" w:cs="黑体"/>
          <w:spacing w:val="20"/>
          <w:sz w:val="24"/>
          <w:szCs w:val="24"/>
        </w:rPr>
        <w:t>4.3</w:t>
      </w:r>
      <w:r>
        <w:rPr>
          <w:rFonts w:ascii="黑体" w:hAnsi="黑体" w:eastAsia="黑体" w:cs="黑体"/>
          <w:spacing w:val="54"/>
          <w:sz w:val="24"/>
          <w:szCs w:val="24"/>
        </w:rPr>
        <w:t xml:space="preserve">  </w:t>
      </w:r>
      <w:r>
        <w:rPr>
          <w:rFonts w:ascii="黑体" w:hAnsi="黑体" w:eastAsia="黑体" w:cs="黑体"/>
          <w:b/>
          <w:bCs/>
          <w:spacing w:val="20"/>
          <w:sz w:val="24"/>
          <w:szCs w:val="24"/>
        </w:rPr>
        <w:t>工艺设计评审</w:t>
      </w:r>
    </w:p>
    <w:p w14:paraId="797194B2">
      <w:pPr>
        <w:pStyle w:val="2"/>
        <w:spacing w:before="110" w:line="272" w:lineRule="auto"/>
        <w:ind w:firstLine="560"/>
        <w:jc w:val="both"/>
      </w:pPr>
      <w:r>
        <w:rPr>
          <w:spacing w:val="-3"/>
        </w:rPr>
        <w:t>本条规定工艺设计评审要求，工艺评审的重点包括工艺总方案、工艺说明书</w:t>
      </w:r>
      <w:r>
        <w:rPr>
          <w:spacing w:val="5"/>
        </w:rPr>
        <w:t xml:space="preserve"> </w:t>
      </w:r>
      <w:r>
        <w:rPr>
          <w:spacing w:val="-10"/>
        </w:rPr>
        <w:t>等指令性文件，关键件、重要件、关键工序的工艺文件，特种工艺文件，采用的新</w:t>
      </w:r>
      <w:r>
        <w:rPr>
          <w:spacing w:val="10"/>
        </w:rPr>
        <w:t xml:space="preserve"> </w:t>
      </w:r>
      <w:r>
        <w:rPr>
          <w:spacing w:val="-7"/>
        </w:rPr>
        <w:t>工艺、新技术、新材料和新设备，批量生产的工序能力等。若采用工艺设</w:t>
      </w:r>
      <w:r>
        <w:rPr>
          <w:spacing w:val="-8"/>
        </w:rPr>
        <w:t>计评审，</w:t>
      </w:r>
      <w:r>
        <w:t xml:space="preserve"> 本条则规定评审项目、评审顺序、评审内容及合格判据。宜用表列出评审项目、</w:t>
      </w:r>
      <w:r>
        <w:rPr>
          <w:spacing w:val="14"/>
        </w:rPr>
        <w:t xml:space="preserve"> </w:t>
      </w:r>
      <w:r>
        <w:rPr>
          <w:spacing w:val="15"/>
        </w:rPr>
        <w:t>相应的规范第3章要求和第4章中检验方法的章条号。</w:t>
      </w:r>
    </w:p>
    <w:p w14:paraId="57609356">
      <w:pPr>
        <w:spacing w:before="42" w:line="221" w:lineRule="auto"/>
        <w:rPr>
          <w:rFonts w:ascii="黑体" w:hAnsi="黑体" w:eastAsia="黑体" w:cs="黑体"/>
          <w:sz w:val="25"/>
          <w:szCs w:val="25"/>
        </w:rPr>
      </w:pPr>
      <w:r>
        <w:rPr>
          <w:rFonts w:ascii="黑体" w:hAnsi="黑体" w:eastAsia="黑体" w:cs="黑体"/>
          <w:spacing w:val="10"/>
          <w:sz w:val="25"/>
          <w:szCs w:val="25"/>
        </w:rPr>
        <w:t>4.4</w:t>
      </w:r>
      <w:r>
        <w:rPr>
          <w:rFonts w:ascii="黑体" w:hAnsi="黑体" w:eastAsia="黑体" w:cs="黑体"/>
          <w:spacing w:val="43"/>
          <w:sz w:val="25"/>
          <w:szCs w:val="25"/>
        </w:rPr>
        <w:t xml:space="preserve">  </w:t>
      </w:r>
      <w:r>
        <w:rPr>
          <w:rFonts w:ascii="黑体" w:hAnsi="黑体" w:eastAsia="黑体" w:cs="黑体"/>
          <w:b/>
          <w:bCs/>
          <w:spacing w:val="10"/>
          <w:sz w:val="25"/>
          <w:szCs w:val="25"/>
        </w:rPr>
        <w:t>完工后检验</w:t>
      </w:r>
    </w:p>
    <w:p w14:paraId="7141EF3C">
      <w:pPr>
        <w:pStyle w:val="2"/>
        <w:spacing w:before="98" w:line="281" w:lineRule="auto"/>
        <w:ind w:right="91" w:firstLine="560"/>
        <w:jc w:val="both"/>
      </w:pPr>
      <w:r>
        <w:rPr>
          <w:spacing w:val="-3"/>
        </w:rPr>
        <w:t>若选择对完工后的成品进行检验，本条则规定检验项目、检验顺序、受检样</w:t>
      </w:r>
      <w:r>
        <w:rPr>
          <w:spacing w:val="1"/>
        </w:rPr>
        <w:t xml:space="preserve"> </w:t>
      </w:r>
      <w:r>
        <w:rPr>
          <w:spacing w:val="13"/>
        </w:rPr>
        <w:t>品数及合格判据。宜用表列出完工检验项目、相应的规范第3章要求</w:t>
      </w:r>
      <w:r>
        <w:rPr>
          <w:spacing w:val="12"/>
        </w:rPr>
        <w:t>和第4章</w:t>
      </w:r>
      <w:r>
        <w:t xml:space="preserve"> </w:t>
      </w:r>
      <w:r>
        <w:rPr>
          <w:spacing w:val="-1"/>
        </w:rPr>
        <w:t>中检验方法的章条号。</w:t>
      </w:r>
    </w:p>
    <w:p w14:paraId="3C883A48">
      <w:pPr>
        <w:spacing w:line="281" w:lineRule="auto"/>
        <w:sectPr>
          <w:footerReference r:id="rId284" w:type="default"/>
          <w:pgSz w:w="11910" w:h="17130"/>
          <w:pgMar w:top="1402" w:right="1404" w:bottom="1666" w:left="1039" w:header="0" w:footer="1476" w:gutter="0"/>
          <w:cols w:space="720" w:num="1"/>
        </w:sectPr>
      </w:pPr>
    </w:p>
    <w:p w14:paraId="7FA4F29A">
      <w:pPr>
        <w:spacing w:before="72" w:line="221" w:lineRule="auto"/>
        <w:rPr>
          <w:rFonts w:ascii="黑体" w:hAnsi="黑体" w:eastAsia="黑体" w:cs="黑体"/>
          <w:sz w:val="27"/>
          <w:szCs w:val="27"/>
        </w:rPr>
      </w:pPr>
      <w:r>
        <w:rPr>
          <w:rFonts w:ascii="黑体" w:hAnsi="黑体" w:eastAsia="黑体" w:cs="黑体"/>
          <w:spacing w:val="2"/>
          <w:sz w:val="27"/>
          <w:szCs w:val="27"/>
        </w:rPr>
        <w:t>4.5</w:t>
      </w:r>
      <w:r>
        <w:rPr>
          <w:rFonts w:ascii="黑体" w:hAnsi="黑体" w:eastAsia="黑体" w:cs="黑体"/>
          <w:spacing w:val="16"/>
          <w:sz w:val="27"/>
          <w:szCs w:val="27"/>
        </w:rPr>
        <w:t xml:space="preserve">  </w:t>
      </w:r>
      <w:r>
        <w:rPr>
          <w:rFonts w:ascii="黑体" w:hAnsi="黑体" w:eastAsia="黑体" w:cs="黑体"/>
          <w:spacing w:val="2"/>
          <w:sz w:val="27"/>
          <w:szCs w:val="27"/>
        </w:rPr>
        <w:t>检验方法</w:t>
      </w:r>
    </w:p>
    <w:p w14:paraId="622549C8">
      <w:pPr>
        <w:pStyle w:val="2"/>
        <w:spacing w:before="67" w:line="283" w:lineRule="auto"/>
        <w:ind w:firstLine="550"/>
        <w:jc w:val="both"/>
      </w:pPr>
      <w:r>
        <w:rPr>
          <w:spacing w:val="9"/>
        </w:rPr>
        <w:t>本条规定对规范第3章中各项要求进行检验所用的各种方法。若所用的检</w:t>
      </w:r>
      <w:r>
        <w:rPr>
          <w:spacing w:val="17"/>
        </w:rPr>
        <w:t xml:space="preserve"> </w:t>
      </w:r>
      <w:r>
        <w:rPr>
          <w:spacing w:val="-2"/>
        </w:rPr>
        <w:t>验方法已有适用的现行标准，则应直接引用或剪裁使用。若无标</w:t>
      </w:r>
      <w:r>
        <w:rPr>
          <w:spacing w:val="-3"/>
        </w:rPr>
        <w:t>准可供引用，则</w:t>
      </w:r>
      <w:r>
        <w:t xml:space="preserve"> </w:t>
      </w:r>
      <w:r>
        <w:rPr>
          <w:spacing w:val="2"/>
        </w:rPr>
        <w:t>应规定相应的检验方法。</w:t>
      </w:r>
    </w:p>
    <w:p w14:paraId="37DC416B">
      <w:pPr>
        <w:pStyle w:val="2"/>
        <w:spacing w:line="219" w:lineRule="auto"/>
        <w:ind w:left="550"/>
      </w:pPr>
      <w:r>
        <w:rPr>
          <w:spacing w:val="4"/>
        </w:rPr>
        <w:t>检验方法的主要构成要素及其编排顺序一般如下：</w:t>
      </w:r>
    </w:p>
    <w:p w14:paraId="1D9C4857">
      <w:pPr>
        <w:pStyle w:val="2"/>
        <w:spacing w:before="83" w:line="221" w:lineRule="auto"/>
        <w:ind w:left="550"/>
      </w:pPr>
      <w:r>
        <w:rPr>
          <w:rFonts w:ascii="Times New Roman" w:hAnsi="Times New Roman" w:eastAsia="Times New Roman" w:cs="Times New Roman"/>
          <w:spacing w:val="-5"/>
        </w:rPr>
        <w:t>a</w:t>
      </w:r>
      <w:r>
        <w:rPr>
          <w:rFonts w:ascii="Times New Roman" w:hAnsi="Times New Roman" w:eastAsia="Times New Roman" w:cs="Times New Roman"/>
          <w:spacing w:val="-28"/>
        </w:rPr>
        <w:t xml:space="preserve"> </w:t>
      </w:r>
      <w:r>
        <w:rPr>
          <w:spacing w:val="-5"/>
        </w:rPr>
        <w:t>)</w:t>
      </w:r>
      <w:r>
        <w:rPr>
          <w:spacing w:val="-59"/>
        </w:rPr>
        <w:t xml:space="preserve"> </w:t>
      </w:r>
      <w:r>
        <w:rPr>
          <w:spacing w:val="-5"/>
        </w:rPr>
        <w:t>原理；</w:t>
      </w:r>
    </w:p>
    <w:p w14:paraId="25E0DB07">
      <w:pPr>
        <w:pStyle w:val="2"/>
        <w:spacing w:before="62" w:line="212" w:lineRule="auto"/>
        <w:ind w:left="550"/>
      </w:pPr>
      <w:r>
        <w:rPr>
          <w:rFonts w:ascii="Times New Roman" w:hAnsi="Times New Roman" w:eastAsia="Times New Roman" w:cs="Times New Roman"/>
          <w:spacing w:val="-3"/>
        </w:rPr>
        <w:t xml:space="preserve">b)  </w:t>
      </w:r>
      <w:r>
        <w:rPr>
          <w:spacing w:val="-3"/>
        </w:rPr>
        <w:t>检验用设备、仪器仪表或模型及其要求；</w:t>
      </w:r>
    </w:p>
    <w:p w14:paraId="58448B4A">
      <w:pPr>
        <w:pStyle w:val="2"/>
        <w:spacing w:before="100" w:line="212" w:lineRule="auto"/>
        <w:ind w:left="550"/>
      </w:pPr>
      <w:r>
        <w:rPr>
          <w:rFonts w:ascii="Times New Roman" w:hAnsi="Times New Roman" w:eastAsia="Times New Roman" w:cs="Times New Roman"/>
          <w:spacing w:val="-5"/>
        </w:rPr>
        <w:t xml:space="preserve">c)  </w:t>
      </w:r>
      <w:r>
        <w:rPr>
          <w:spacing w:val="-5"/>
        </w:rPr>
        <w:t>被试实体状态，包括技术状态、配套要求及安装</w:t>
      </w:r>
      <w:r>
        <w:rPr>
          <w:spacing w:val="-6"/>
        </w:rPr>
        <w:t>调试要求；</w:t>
      </w:r>
    </w:p>
    <w:p w14:paraId="21A8534F">
      <w:pPr>
        <w:pStyle w:val="2"/>
        <w:spacing w:before="100" w:line="212" w:lineRule="auto"/>
        <w:ind w:left="550"/>
      </w:pPr>
      <w:r>
        <w:rPr>
          <w:rFonts w:ascii="Times New Roman" w:hAnsi="Times New Roman" w:eastAsia="Times New Roman" w:cs="Times New Roman"/>
          <w:spacing w:val="-2"/>
        </w:rPr>
        <w:t>d)</w:t>
      </w:r>
      <w:r>
        <w:rPr>
          <w:rFonts w:ascii="Times New Roman" w:hAnsi="Times New Roman" w:eastAsia="Times New Roman" w:cs="Times New Roman"/>
          <w:spacing w:val="9"/>
        </w:rPr>
        <w:t xml:space="preserve">  </w:t>
      </w:r>
      <w:r>
        <w:rPr>
          <w:spacing w:val="-2"/>
        </w:rPr>
        <w:t>检验程序；</w:t>
      </w:r>
    </w:p>
    <w:p w14:paraId="3A4636E0">
      <w:pPr>
        <w:pStyle w:val="2"/>
        <w:spacing w:before="110" w:line="219" w:lineRule="auto"/>
        <w:ind w:left="550"/>
      </w:pPr>
      <w:r>
        <w:rPr>
          <w:rFonts w:ascii="Times New Roman" w:hAnsi="Times New Roman" w:eastAsia="Times New Roman" w:cs="Times New Roman"/>
          <w:spacing w:val="11"/>
        </w:rPr>
        <w:t>e</w:t>
      </w:r>
      <w:r>
        <w:rPr>
          <w:spacing w:val="11"/>
        </w:rPr>
        <w:t>)故障处理；</w:t>
      </w:r>
    </w:p>
    <w:p w14:paraId="11DE74A7">
      <w:pPr>
        <w:pStyle w:val="2"/>
        <w:spacing w:before="59" w:line="212" w:lineRule="auto"/>
        <w:ind w:left="550"/>
      </w:pPr>
      <w:r>
        <w:rPr>
          <w:rFonts w:ascii="Times New Roman" w:hAnsi="Times New Roman" w:eastAsia="Times New Roman" w:cs="Times New Roman"/>
          <w:spacing w:val="-8"/>
        </w:rPr>
        <w:t xml:space="preserve">f)  </w:t>
      </w:r>
      <w:r>
        <w:rPr>
          <w:spacing w:val="-8"/>
        </w:rPr>
        <w:t>结果的说明，包括计算方法、处理方法等；</w:t>
      </w:r>
    </w:p>
    <w:p w14:paraId="17FF2F06">
      <w:pPr>
        <w:pStyle w:val="2"/>
        <w:spacing w:before="120" w:line="212" w:lineRule="auto"/>
        <w:ind w:left="550"/>
      </w:pPr>
      <w:r>
        <w:rPr>
          <w:rFonts w:ascii="Times New Roman" w:hAnsi="Times New Roman" w:eastAsia="Times New Roman" w:cs="Times New Roman"/>
          <w:spacing w:val="-4"/>
        </w:rPr>
        <w:t>g</w:t>
      </w:r>
      <w:r>
        <w:rPr>
          <w:rFonts w:ascii="Times New Roman" w:hAnsi="Times New Roman" w:eastAsia="Times New Roman" w:cs="Times New Roman"/>
          <w:spacing w:val="-23"/>
        </w:rPr>
        <w:t xml:space="preserve"> </w:t>
      </w:r>
      <w:r>
        <w:rPr>
          <w:spacing w:val="-4"/>
        </w:rPr>
        <w:t>)报告，如试验报告等。</w:t>
      </w:r>
    </w:p>
    <w:p w14:paraId="4DBFD437">
      <w:pPr>
        <w:pStyle w:val="2"/>
        <w:spacing w:before="101" w:line="219" w:lineRule="auto"/>
        <w:ind w:left="550"/>
      </w:pPr>
      <w:r>
        <w:rPr>
          <w:spacing w:val="2"/>
        </w:rPr>
        <w:t>工艺设计评审的方法按</w:t>
      </w:r>
      <w:r>
        <w:rPr>
          <w:rFonts w:ascii="Times New Roman" w:hAnsi="Times New Roman" w:eastAsia="Times New Roman" w:cs="Times New Roman"/>
        </w:rPr>
        <w:t>GJB</w:t>
      </w:r>
      <w:r>
        <w:rPr>
          <w:rFonts w:ascii="Times New Roman" w:hAnsi="Times New Roman" w:eastAsia="Times New Roman" w:cs="Times New Roman"/>
          <w:spacing w:val="2"/>
        </w:rPr>
        <w:t xml:space="preserve">   1269A—2000 </w:t>
      </w:r>
      <w:r>
        <w:rPr>
          <w:spacing w:val="2"/>
        </w:rPr>
        <w:t>的有关规定。</w:t>
      </w:r>
    </w:p>
    <w:p w14:paraId="723CBBDE">
      <w:pPr>
        <w:pStyle w:val="2"/>
        <w:spacing w:before="38" w:line="270" w:lineRule="auto"/>
        <w:ind w:left="550" w:right="6869" w:hanging="550"/>
      </w:pPr>
      <w:r>
        <w:rPr>
          <w:rFonts w:ascii="Arial" w:hAnsi="Arial" w:eastAsia="Arial" w:cs="Arial"/>
          <w:spacing w:val="-9"/>
        </w:rPr>
        <w:t xml:space="preserve">5    </w:t>
      </w:r>
      <w:r>
        <w:rPr>
          <w:rFonts w:ascii="黑体" w:hAnsi="黑体" w:eastAsia="黑体" w:cs="黑体"/>
          <w:spacing w:val="-9"/>
        </w:rPr>
        <w:t>包装、运输与贮存</w:t>
      </w:r>
      <w:r>
        <w:rPr>
          <w:rFonts w:ascii="黑体" w:hAnsi="黑体" w:eastAsia="黑体" w:cs="黑体"/>
          <w:spacing w:val="10"/>
        </w:rPr>
        <w:t xml:space="preserve"> </w:t>
      </w:r>
      <w:r>
        <w:t>本章无条文。</w:t>
      </w:r>
    </w:p>
    <w:p w14:paraId="5C099A11">
      <w:pPr>
        <w:spacing w:before="85" w:line="221"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20"/>
          <w:sz w:val="27"/>
          <w:szCs w:val="27"/>
        </w:rPr>
        <w:t xml:space="preserve">  </w:t>
      </w:r>
      <w:r>
        <w:rPr>
          <w:rFonts w:ascii="黑体" w:hAnsi="黑体" w:eastAsia="黑体" w:cs="黑体"/>
          <w:b/>
          <w:bCs/>
          <w:spacing w:val="1"/>
          <w:sz w:val="27"/>
          <w:szCs w:val="27"/>
        </w:rPr>
        <w:t>说明事项</w:t>
      </w:r>
    </w:p>
    <w:p w14:paraId="4BF463FC">
      <w:pPr>
        <w:pStyle w:val="2"/>
        <w:spacing w:before="83" w:line="277" w:lineRule="auto"/>
        <w:ind w:right="13" w:firstLine="550"/>
      </w:pPr>
      <w:r>
        <w:rPr>
          <w:spacing w:val="-3"/>
        </w:rPr>
        <w:t>说明事项为可选要素，不应规定要求，只应提供说明性信息，其构成及</w:t>
      </w:r>
      <w:r>
        <w:rPr>
          <w:spacing w:val="-4"/>
        </w:rPr>
        <w:t>编排</w:t>
      </w:r>
      <w:r>
        <w:t xml:space="preserve"> 顺序如下：</w:t>
      </w:r>
    </w:p>
    <w:p w14:paraId="160699D9">
      <w:pPr>
        <w:pStyle w:val="2"/>
        <w:spacing w:before="20" w:line="220" w:lineRule="auto"/>
        <w:ind w:left="550"/>
        <w:rPr>
          <w:sz w:val="24"/>
          <w:szCs w:val="24"/>
        </w:rPr>
      </w:pPr>
      <w:r>
        <w:rPr>
          <w:rFonts w:ascii="Times New Roman" w:hAnsi="Times New Roman" w:eastAsia="Times New Roman" w:cs="Times New Roman"/>
          <w:spacing w:val="20"/>
          <w:sz w:val="24"/>
          <w:szCs w:val="24"/>
        </w:rPr>
        <w:t>6.1</w:t>
      </w:r>
      <w:r>
        <w:rPr>
          <w:rFonts w:ascii="Times New Roman" w:hAnsi="Times New Roman" w:eastAsia="Times New Roman" w:cs="Times New Roman"/>
          <w:spacing w:val="5"/>
          <w:sz w:val="24"/>
          <w:szCs w:val="24"/>
        </w:rPr>
        <w:t xml:space="preserve">    </w:t>
      </w:r>
      <w:r>
        <w:rPr>
          <w:spacing w:val="20"/>
          <w:sz w:val="24"/>
          <w:szCs w:val="24"/>
        </w:rPr>
        <w:t>预定用途</w:t>
      </w:r>
    </w:p>
    <w:p w14:paraId="089015EA">
      <w:pPr>
        <w:pStyle w:val="2"/>
        <w:spacing w:before="123" w:line="219" w:lineRule="auto"/>
        <w:ind w:left="550"/>
        <w:rPr>
          <w:sz w:val="25"/>
          <w:szCs w:val="25"/>
        </w:rPr>
      </w:pPr>
      <w:r>
        <w:rPr>
          <w:spacing w:val="-2"/>
          <w:sz w:val="25"/>
          <w:szCs w:val="25"/>
        </w:rPr>
        <w:t>6.2</w:t>
      </w:r>
      <w:r>
        <w:rPr>
          <w:spacing w:val="26"/>
          <w:sz w:val="25"/>
          <w:szCs w:val="25"/>
        </w:rPr>
        <w:t xml:space="preserve"> </w:t>
      </w:r>
      <w:r>
        <w:rPr>
          <w:spacing w:val="-2"/>
          <w:sz w:val="25"/>
          <w:szCs w:val="25"/>
        </w:rPr>
        <w:t>分</w:t>
      </w:r>
      <w:r>
        <w:rPr>
          <w:spacing w:val="-32"/>
          <w:sz w:val="25"/>
          <w:szCs w:val="25"/>
        </w:rPr>
        <w:t xml:space="preserve"> </w:t>
      </w:r>
      <w:r>
        <w:rPr>
          <w:spacing w:val="-2"/>
          <w:sz w:val="25"/>
          <w:szCs w:val="25"/>
        </w:rPr>
        <w:t>类</w:t>
      </w:r>
    </w:p>
    <w:p w14:paraId="3E2C3A3F">
      <w:pPr>
        <w:pStyle w:val="2"/>
        <w:spacing w:before="85" w:line="219" w:lineRule="auto"/>
        <w:ind w:left="550"/>
      </w:pPr>
      <w:r>
        <w:rPr>
          <w:rFonts w:ascii="Times New Roman" w:hAnsi="Times New Roman" w:eastAsia="Times New Roman" w:cs="Times New Roman"/>
          <w:spacing w:val="4"/>
        </w:rPr>
        <w:t xml:space="preserve">6.3   </w:t>
      </w:r>
      <w:r>
        <w:rPr>
          <w:spacing w:val="4"/>
        </w:rPr>
        <w:t>订购文件中应明确的内容</w:t>
      </w:r>
    </w:p>
    <w:p w14:paraId="6206FE7A">
      <w:pPr>
        <w:pStyle w:val="2"/>
        <w:spacing w:before="99" w:line="219" w:lineRule="auto"/>
        <w:ind w:left="550"/>
      </w:pPr>
      <w:r>
        <w:rPr>
          <w:rFonts w:ascii="Times New Roman" w:hAnsi="Times New Roman" w:eastAsia="Times New Roman" w:cs="Times New Roman"/>
          <w:spacing w:val="5"/>
        </w:rPr>
        <w:t>6.4</w:t>
      </w:r>
      <w:r>
        <w:rPr>
          <w:rFonts w:ascii="Times New Roman" w:hAnsi="Times New Roman" w:eastAsia="Times New Roman" w:cs="Times New Roman"/>
        </w:rPr>
        <w:t xml:space="preserve">   </w:t>
      </w:r>
      <w:r>
        <w:rPr>
          <w:spacing w:val="5"/>
        </w:rPr>
        <w:t>术语和定义</w:t>
      </w:r>
    </w:p>
    <w:p w14:paraId="40251C26">
      <w:pPr>
        <w:pStyle w:val="2"/>
        <w:spacing w:before="78" w:line="219" w:lineRule="auto"/>
        <w:ind w:left="550"/>
      </w:pPr>
      <w:r>
        <w:rPr>
          <w:spacing w:val="5"/>
        </w:rPr>
        <w:t>6.5符号、代号和缩略语</w:t>
      </w:r>
    </w:p>
    <w:p w14:paraId="102D3E00">
      <w:pPr>
        <w:pStyle w:val="2"/>
        <w:spacing w:before="122" w:line="220" w:lineRule="auto"/>
        <w:ind w:left="550"/>
        <w:rPr>
          <w:sz w:val="25"/>
          <w:szCs w:val="25"/>
        </w:rPr>
      </w:pPr>
      <w:r>
        <w:rPr>
          <w:spacing w:val="-1"/>
          <w:sz w:val="25"/>
          <w:szCs w:val="25"/>
        </w:rPr>
        <w:t>6.6</w:t>
      </w:r>
      <w:r>
        <w:rPr>
          <w:spacing w:val="23"/>
          <w:sz w:val="25"/>
          <w:szCs w:val="25"/>
        </w:rPr>
        <w:t xml:space="preserve"> </w:t>
      </w:r>
      <w:r>
        <w:rPr>
          <w:spacing w:val="-1"/>
          <w:sz w:val="25"/>
          <w:szCs w:val="25"/>
        </w:rPr>
        <w:t>其</w:t>
      </w:r>
      <w:r>
        <w:rPr>
          <w:spacing w:val="-35"/>
          <w:sz w:val="25"/>
          <w:szCs w:val="25"/>
        </w:rPr>
        <w:t xml:space="preserve"> </w:t>
      </w:r>
      <w:r>
        <w:rPr>
          <w:spacing w:val="-1"/>
          <w:sz w:val="25"/>
          <w:szCs w:val="25"/>
        </w:rPr>
        <w:t>他</w:t>
      </w:r>
    </w:p>
    <w:p w14:paraId="06FF0722">
      <w:pPr>
        <w:pStyle w:val="2"/>
        <w:spacing w:before="89" w:line="275" w:lineRule="auto"/>
        <w:ind w:right="4" w:firstLine="550"/>
        <w:jc w:val="both"/>
      </w:pPr>
      <w:r>
        <w:rPr>
          <w:spacing w:val="22"/>
        </w:rPr>
        <w:t>上</w:t>
      </w:r>
      <w:r>
        <w:rPr>
          <w:rFonts w:ascii="仿宋" w:hAnsi="仿宋" w:eastAsia="仿宋" w:cs="仿宋"/>
          <w:spacing w:val="22"/>
        </w:rPr>
        <w:t>述构成均为可选要素。各项构成应按</w:t>
      </w:r>
      <w:r>
        <w:rPr>
          <w:rFonts w:ascii="Times New Roman" w:hAnsi="Times New Roman" w:eastAsia="Times New Roman" w:cs="Times New Roman"/>
        </w:rPr>
        <w:t>GJB</w:t>
      </w:r>
      <w:r>
        <w:rPr>
          <w:rFonts w:ascii="Times New Roman" w:hAnsi="Times New Roman" w:eastAsia="Times New Roman" w:cs="Times New Roman"/>
          <w:spacing w:val="22"/>
        </w:rPr>
        <w:t xml:space="preserve">    0.2—2001</w:t>
      </w:r>
      <w:r>
        <w:rPr>
          <w:rFonts w:ascii="仿宋" w:hAnsi="仿宋" w:eastAsia="仿宋" w:cs="仿宋"/>
          <w:spacing w:val="22"/>
        </w:rPr>
        <w:t>中6</w:t>
      </w:r>
      <w:r>
        <w:rPr>
          <w:rFonts w:ascii="仿宋" w:hAnsi="仿宋" w:eastAsia="仿宋" w:cs="仿宋"/>
          <w:spacing w:val="-75"/>
        </w:rPr>
        <w:t xml:space="preserve"> </w:t>
      </w:r>
      <w:r>
        <w:rPr>
          <w:rFonts w:ascii="仿宋" w:hAnsi="仿宋" w:eastAsia="仿宋" w:cs="仿宋"/>
          <w:spacing w:val="22"/>
        </w:rPr>
        <w:t>.</w:t>
      </w:r>
      <w:r>
        <w:rPr>
          <w:rFonts w:ascii="仿宋" w:hAnsi="仿宋" w:eastAsia="仿宋" w:cs="仿宋"/>
          <w:spacing w:val="-65"/>
        </w:rPr>
        <w:t xml:space="preserve"> </w:t>
      </w:r>
      <w:r>
        <w:rPr>
          <w:rFonts w:ascii="仿宋" w:hAnsi="仿宋" w:eastAsia="仿宋" w:cs="仿宋"/>
          <w:spacing w:val="22"/>
        </w:rPr>
        <w:t>12</w:t>
      </w:r>
      <w:r>
        <w:rPr>
          <w:rFonts w:ascii="仿宋" w:hAnsi="仿宋" w:eastAsia="仿宋" w:cs="仿宋"/>
          <w:spacing w:val="-75"/>
        </w:rPr>
        <w:t xml:space="preserve"> </w:t>
      </w:r>
      <w:r>
        <w:rPr>
          <w:rFonts w:ascii="仿宋" w:hAnsi="仿宋" w:eastAsia="仿宋" w:cs="仿宋"/>
          <w:spacing w:val="22"/>
        </w:rPr>
        <w:t>.</w:t>
      </w:r>
      <w:r>
        <w:rPr>
          <w:rFonts w:ascii="仿宋" w:hAnsi="仿宋" w:eastAsia="仿宋" w:cs="仿宋"/>
          <w:spacing w:val="-81"/>
        </w:rPr>
        <w:t xml:space="preserve"> </w:t>
      </w:r>
      <w:r>
        <w:rPr>
          <w:rFonts w:ascii="仿宋" w:hAnsi="仿宋" w:eastAsia="仿宋" w:cs="仿宋"/>
          <w:spacing w:val="21"/>
        </w:rPr>
        <w:t>2~</w:t>
      </w:r>
      <w:r>
        <w:rPr>
          <w:rFonts w:ascii="仿宋" w:hAnsi="仿宋" w:eastAsia="仿宋" w:cs="仿宋"/>
        </w:rPr>
        <w:t xml:space="preserve"> </w:t>
      </w:r>
      <w:r>
        <w:rPr>
          <w:spacing w:val="13"/>
        </w:rPr>
        <w:t>6.12.6的规定编写，亦可参见本书1.29《产品规范(</w:t>
      </w:r>
      <w:r>
        <w:rPr>
          <w:spacing w:val="-52"/>
        </w:rPr>
        <w:t xml:space="preserve"> </w:t>
      </w:r>
      <w:r>
        <w:rPr>
          <w:rFonts w:ascii="Times New Roman" w:hAnsi="Times New Roman" w:eastAsia="Times New Roman" w:cs="Times New Roman"/>
          <w:spacing w:val="13"/>
        </w:rPr>
        <w:t>C</w:t>
      </w:r>
      <w:r>
        <w:rPr>
          <w:rFonts w:ascii="Times New Roman" w:hAnsi="Times New Roman" w:eastAsia="Times New Roman" w:cs="Times New Roman"/>
          <w:spacing w:val="33"/>
        </w:rPr>
        <w:t xml:space="preserve"> </w:t>
      </w:r>
      <w:r>
        <w:rPr>
          <w:spacing w:val="13"/>
        </w:rPr>
        <w:t>类规范</w:t>
      </w:r>
      <w:r>
        <w:rPr>
          <w:spacing w:val="12"/>
        </w:rPr>
        <w:t>)》第6章编写</w:t>
      </w:r>
      <w:r>
        <w:t xml:space="preserve"> </w:t>
      </w:r>
      <w:r>
        <w:rPr>
          <w:spacing w:val="-2"/>
        </w:rPr>
        <w:t>说明。</w:t>
      </w:r>
    </w:p>
    <w:p w14:paraId="70324291">
      <w:pPr>
        <w:spacing w:line="254" w:lineRule="auto"/>
        <w:rPr>
          <w:rFonts w:ascii="Arial"/>
          <w:sz w:val="21"/>
        </w:rPr>
      </w:pPr>
    </w:p>
    <w:p w14:paraId="08A701AC">
      <w:pPr>
        <w:pStyle w:val="2"/>
        <w:spacing w:before="117" w:line="219" w:lineRule="auto"/>
        <w:ind w:left="2629"/>
        <w:rPr>
          <w:sz w:val="36"/>
          <w:szCs w:val="36"/>
        </w:rPr>
      </w:pPr>
      <w:r>
        <w:rPr>
          <w:spacing w:val="4"/>
          <w:sz w:val="36"/>
          <w:szCs w:val="36"/>
        </w:rPr>
        <w:t>3.</w:t>
      </w:r>
      <w:r>
        <w:rPr>
          <w:b/>
          <w:bCs/>
          <w:spacing w:val="4"/>
          <w:sz w:val="36"/>
          <w:szCs w:val="36"/>
        </w:rPr>
        <w:t>3</w:t>
      </w:r>
      <w:r>
        <w:rPr>
          <w:spacing w:val="4"/>
          <w:sz w:val="36"/>
          <w:szCs w:val="36"/>
        </w:rPr>
        <w:t xml:space="preserve">  </w:t>
      </w:r>
      <w:r>
        <w:rPr>
          <w:b/>
          <w:bCs/>
          <w:spacing w:val="4"/>
          <w:sz w:val="36"/>
          <w:szCs w:val="36"/>
        </w:rPr>
        <w:t>材料规范(</w:t>
      </w:r>
      <w:r>
        <w:rPr>
          <w:rFonts w:ascii="Times New Roman" w:hAnsi="Times New Roman" w:eastAsia="Times New Roman" w:cs="Times New Roman"/>
          <w:b/>
          <w:bCs/>
          <w:spacing w:val="4"/>
          <w:sz w:val="36"/>
          <w:szCs w:val="36"/>
        </w:rPr>
        <w:t xml:space="preserve">E </w:t>
      </w:r>
      <w:r>
        <w:rPr>
          <w:b/>
          <w:bCs/>
          <w:spacing w:val="4"/>
          <w:sz w:val="36"/>
          <w:szCs w:val="36"/>
        </w:rPr>
        <w:t>类规范)</w:t>
      </w:r>
    </w:p>
    <w:p w14:paraId="34887CC4">
      <w:pPr>
        <w:spacing w:line="366" w:lineRule="auto"/>
        <w:rPr>
          <w:rFonts w:ascii="Arial"/>
          <w:sz w:val="21"/>
        </w:rPr>
      </w:pPr>
    </w:p>
    <w:p w14:paraId="2788DEC3">
      <w:pPr>
        <w:pStyle w:val="2"/>
        <w:spacing w:before="88" w:line="219" w:lineRule="auto"/>
        <w:ind w:left="550"/>
      </w:pPr>
      <w:r>
        <w:rPr>
          <w:spacing w:val="-2"/>
        </w:rPr>
        <w:t>按照</w:t>
      </w:r>
      <w:r>
        <w:rPr>
          <w:rFonts w:ascii="Times New Roman" w:hAnsi="Times New Roman" w:eastAsia="Times New Roman" w:cs="Times New Roman"/>
          <w:spacing w:val="-2"/>
        </w:rPr>
        <w:t>GJB 6387—</w:t>
      </w:r>
      <w:r>
        <w:rPr>
          <w:rFonts w:ascii="Times New Roman" w:hAnsi="Times New Roman" w:eastAsia="Times New Roman" w:cs="Times New Roman"/>
          <w:strike/>
          <w:spacing w:val="-2"/>
        </w:rPr>
        <w:t>2008</w:t>
      </w:r>
      <w:r>
        <w:rPr>
          <w:spacing w:val="-2"/>
        </w:rPr>
        <w:t>《武器装备研制项目专用规范</w:t>
      </w:r>
      <w:r>
        <w:rPr>
          <w:spacing w:val="-3"/>
        </w:rPr>
        <w:t>编写规定》编写。</w:t>
      </w:r>
    </w:p>
    <w:p w14:paraId="6F3C4B01">
      <w:pPr>
        <w:spacing w:before="61"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4"/>
          <w:sz w:val="27"/>
          <w:szCs w:val="27"/>
        </w:rPr>
        <w:t xml:space="preserve">  </w:t>
      </w:r>
      <w:r>
        <w:rPr>
          <w:rFonts w:ascii="黑体" w:hAnsi="黑体" w:eastAsia="黑体" w:cs="黑体"/>
          <w:spacing w:val="-3"/>
          <w:sz w:val="27"/>
          <w:szCs w:val="27"/>
        </w:rPr>
        <w:t>范围</w:t>
      </w:r>
    </w:p>
    <w:p w14:paraId="7FBF09C7">
      <w:pPr>
        <w:pStyle w:val="2"/>
        <w:spacing w:before="110" w:line="309" w:lineRule="auto"/>
        <w:ind w:right="17" w:firstLine="550"/>
        <w:rPr>
          <w:rFonts w:ascii="仿宋" w:hAnsi="仿宋" w:eastAsia="仿宋" w:cs="仿宋"/>
          <w:sz w:val="25"/>
          <w:szCs w:val="25"/>
        </w:rPr>
      </w:pPr>
      <w:r>
        <w:rPr>
          <w:spacing w:val="25"/>
          <w:sz w:val="25"/>
          <w:szCs w:val="25"/>
        </w:rPr>
        <w:t>本章直接规定本规范的主题内容，典型表述形式为</w:t>
      </w:r>
      <w:r>
        <w:rPr>
          <w:rFonts w:ascii="仿宋" w:hAnsi="仿宋" w:eastAsia="仿宋" w:cs="仿宋"/>
          <w:spacing w:val="25"/>
          <w:sz w:val="25"/>
          <w:szCs w:val="25"/>
        </w:rPr>
        <w:t>“本规范规定了×××</w:t>
      </w:r>
      <w:r>
        <w:rPr>
          <w:rFonts w:ascii="仿宋" w:hAnsi="仿宋" w:eastAsia="仿宋" w:cs="仿宋"/>
          <w:spacing w:val="5"/>
          <w:sz w:val="25"/>
          <w:szCs w:val="25"/>
        </w:rPr>
        <w:t xml:space="preserve"> </w:t>
      </w:r>
      <w:r>
        <w:rPr>
          <w:rFonts w:ascii="仿宋" w:hAnsi="仿宋" w:eastAsia="仿宋" w:cs="仿宋"/>
          <w:spacing w:val="7"/>
          <w:sz w:val="25"/>
          <w:szCs w:val="25"/>
        </w:rPr>
        <w:t>[标明实体的代号和(或)名称]的要求。”。</w:t>
      </w:r>
    </w:p>
    <w:p w14:paraId="462171F7">
      <w:pPr>
        <w:spacing w:line="309" w:lineRule="auto"/>
        <w:rPr>
          <w:rFonts w:ascii="仿宋" w:hAnsi="仿宋" w:eastAsia="仿宋" w:cs="仿宋"/>
          <w:sz w:val="25"/>
          <w:szCs w:val="25"/>
        </w:rPr>
        <w:sectPr>
          <w:footerReference r:id="rId285" w:type="default"/>
          <w:pgSz w:w="11910" w:h="17130"/>
          <w:pgMar w:top="1456" w:right="1125" w:bottom="1616" w:left="1410" w:header="0" w:footer="1427" w:gutter="0"/>
          <w:cols w:space="720" w:num="1"/>
        </w:sectPr>
      </w:pPr>
    </w:p>
    <w:p w14:paraId="17A7E661">
      <w:pPr>
        <w:spacing w:before="59"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32E8B116">
      <w:pPr>
        <w:pStyle w:val="2"/>
        <w:spacing w:before="81" w:line="288" w:lineRule="auto"/>
        <w:ind w:right="123" w:firstLine="560"/>
      </w:pPr>
      <w:r>
        <w:t>引用文件为可选要素，其编排规则在</w:t>
      </w:r>
      <w:r>
        <w:rPr>
          <w:rFonts w:ascii="Times New Roman" w:hAnsi="Times New Roman" w:eastAsia="Times New Roman" w:cs="Times New Roman"/>
        </w:rPr>
        <w:t>GJB   6387—2008</w:t>
      </w:r>
      <w:r>
        <w:t>中有详细规定，亦可</w:t>
      </w:r>
      <w:r>
        <w:rPr>
          <w:spacing w:val="7"/>
        </w:rPr>
        <w:t xml:space="preserve"> </w:t>
      </w:r>
      <w:r>
        <w:rPr>
          <w:spacing w:val="1"/>
        </w:rPr>
        <w:t>参见本书1.29《产品规范(</w:t>
      </w:r>
      <w:r>
        <w:rPr>
          <w:rFonts w:ascii="Times New Roman" w:hAnsi="Times New Roman" w:eastAsia="Times New Roman" w:cs="Times New Roman"/>
          <w:spacing w:val="1"/>
        </w:rPr>
        <w:t>C</w:t>
      </w:r>
      <w:r>
        <w:rPr>
          <w:rFonts w:ascii="Times New Roman" w:hAnsi="Times New Roman" w:eastAsia="Times New Roman" w:cs="Times New Roman"/>
          <w:spacing w:val="-7"/>
        </w:rPr>
        <w:t xml:space="preserve"> </w:t>
      </w:r>
      <w:r>
        <w:rPr>
          <w:spacing w:val="1"/>
        </w:rPr>
        <w:t>类规范)》第2章编写说明。</w:t>
      </w:r>
    </w:p>
    <w:p w14:paraId="1A13F719">
      <w:pPr>
        <w:spacing w:before="2" w:line="222" w:lineRule="auto"/>
        <w:rPr>
          <w:rFonts w:ascii="黑体" w:hAnsi="黑体" w:eastAsia="黑体" w:cs="黑体"/>
          <w:sz w:val="24"/>
          <w:szCs w:val="24"/>
        </w:rPr>
      </w:pPr>
      <w:r>
        <w:rPr>
          <w:rFonts w:ascii="黑体" w:hAnsi="黑体" w:eastAsia="黑体" w:cs="黑体"/>
          <w:spacing w:val="-8"/>
          <w:sz w:val="24"/>
          <w:szCs w:val="24"/>
        </w:rPr>
        <w:t>3</w:t>
      </w:r>
      <w:r>
        <w:rPr>
          <w:rFonts w:ascii="黑体" w:hAnsi="黑体" w:eastAsia="黑体" w:cs="黑体"/>
          <w:spacing w:val="41"/>
          <w:sz w:val="24"/>
          <w:szCs w:val="24"/>
        </w:rPr>
        <w:t xml:space="preserve">  </w:t>
      </w:r>
      <w:r>
        <w:rPr>
          <w:rFonts w:ascii="黑体" w:hAnsi="黑体" w:eastAsia="黑体" w:cs="黑体"/>
          <w:b/>
          <w:bCs/>
          <w:spacing w:val="-8"/>
          <w:sz w:val="24"/>
          <w:szCs w:val="24"/>
        </w:rPr>
        <w:t>要</w:t>
      </w:r>
      <w:r>
        <w:rPr>
          <w:rFonts w:ascii="黑体" w:hAnsi="黑体" w:eastAsia="黑体" w:cs="黑体"/>
          <w:spacing w:val="-44"/>
          <w:sz w:val="24"/>
          <w:szCs w:val="24"/>
        </w:rPr>
        <w:t xml:space="preserve"> </w:t>
      </w:r>
      <w:r>
        <w:rPr>
          <w:rFonts w:ascii="黑体" w:hAnsi="黑体" w:eastAsia="黑体" w:cs="黑体"/>
          <w:b/>
          <w:bCs/>
          <w:spacing w:val="-8"/>
          <w:sz w:val="24"/>
          <w:szCs w:val="24"/>
        </w:rPr>
        <w:t>求</w:t>
      </w:r>
    </w:p>
    <w:p w14:paraId="02E5FE2D">
      <w:pPr>
        <w:spacing w:before="119" w:line="221" w:lineRule="auto"/>
        <w:rPr>
          <w:rFonts w:ascii="黑体" w:hAnsi="黑体" w:eastAsia="黑体" w:cs="黑体"/>
          <w:sz w:val="24"/>
          <w:szCs w:val="24"/>
        </w:rPr>
      </w:pPr>
      <w:r>
        <w:rPr>
          <w:rFonts w:ascii="黑体" w:hAnsi="黑体" w:eastAsia="黑体" w:cs="黑体"/>
          <w:spacing w:val="17"/>
          <w:sz w:val="24"/>
          <w:szCs w:val="24"/>
        </w:rPr>
        <w:t>3.1</w:t>
      </w:r>
      <w:r>
        <w:rPr>
          <w:rFonts w:ascii="黑体" w:hAnsi="黑体" w:eastAsia="黑体" w:cs="黑体"/>
          <w:spacing w:val="53"/>
          <w:sz w:val="24"/>
          <w:szCs w:val="24"/>
        </w:rPr>
        <w:t xml:space="preserve">  </w:t>
      </w:r>
      <w:r>
        <w:rPr>
          <w:rFonts w:ascii="黑体" w:hAnsi="黑体" w:eastAsia="黑体" w:cs="黑体"/>
          <w:b/>
          <w:bCs/>
          <w:spacing w:val="17"/>
          <w:sz w:val="24"/>
          <w:szCs w:val="24"/>
        </w:rPr>
        <w:t>状态特征</w:t>
      </w:r>
    </w:p>
    <w:p w14:paraId="47277FAB">
      <w:pPr>
        <w:pStyle w:val="2"/>
        <w:spacing w:before="77" w:line="219" w:lineRule="auto"/>
        <w:ind w:left="560"/>
      </w:pPr>
      <w:r>
        <w:rPr>
          <w:spacing w:val="-1"/>
        </w:rPr>
        <w:t>本条规定材料完全满足其预定用途所应具有的特定状态，诸如：</w:t>
      </w:r>
    </w:p>
    <w:p w14:paraId="1F6F6DA1">
      <w:pPr>
        <w:pStyle w:val="2"/>
        <w:spacing w:before="100" w:line="219" w:lineRule="auto"/>
        <w:ind w:left="560"/>
      </w:pPr>
      <w:r>
        <w:rPr>
          <w:rFonts w:ascii="Times New Roman" w:hAnsi="Times New Roman" w:eastAsia="Times New Roman" w:cs="Times New Roman"/>
          <w:spacing w:val="-3"/>
        </w:rPr>
        <w:t>a</w:t>
      </w:r>
      <w:r>
        <w:rPr>
          <w:spacing w:val="-3"/>
        </w:rPr>
        <w:t>)材料牌号、名称；</w:t>
      </w:r>
    </w:p>
    <w:p w14:paraId="148CBA68">
      <w:pPr>
        <w:pStyle w:val="2"/>
        <w:spacing w:before="41"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6"/>
        </w:rPr>
        <w:t xml:space="preserve">  </w:t>
      </w:r>
      <w:r>
        <w:rPr>
          <w:spacing w:val="-4"/>
        </w:rPr>
        <w:t>成分；</w:t>
      </w:r>
    </w:p>
    <w:p w14:paraId="4E9389D2">
      <w:pPr>
        <w:pStyle w:val="2"/>
        <w:spacing w:before="128" w:line="219" w:lineRule="auto"/>
        <w:ind w:left="560"/>
      </w:pPr>
      <w:r>
        <w:rPr>
          <w:rFonts w:ascii="Times New Roman" w:hAnsi="Times New Roman" w:eastAsia="Times New Roman" w:cs="Times New Roman"/>
          <w:spacing w:val="11"/>
        </w:rPr>
        <w:t>c</w:t>
      </w:r>
      <w:r>
        <w:rPr>
          <w:spacing w:val="11"/>
        </w:rPr>
        <w:t>)供应状态；</w:t>
      </w:r>
    </w:p>
    <w:p w14:paraId="12335AAA">
      <w:pPr>
        <w:pStyle w:val="2"/>
        <w:spacing w:before="61" w:line="212" w:lineRule="auto"/>
        <w:ind w:left="560"/>
      </w:pPr>
      <w:r>
        <w:rPr>
          <w:rFonts w:ascii="Times New Roman" w:hAnsi="Times New Roman" w:eastAsia="Times New Roman" w:cs="Times New Roman"/>
          <w:spacing w:val="-4"/>
        </w:rPr>
        <w:t>d)</w:t>
      </w:r>
      <w:r>
        <w:rPr>
          <w:rFonts w:ascii="Times New Roman" w:hAnsi="Times New Roman" w:eastAsia="Times New Roman" w:cs="Times New Roman"/>
          <w:spacing w:val="4"/>
        </w:rPr>
        <w:t xml:space="preserve">  </w:t>
      </w:r>
      <w:r>
        <w:rPr>
          <w:spacing w:val="-4"/>
        </w:rPr>
        <w:t>其他。</w:t>
      </w:r>
    </w:p>
    <w:p w14:paraId="34B1A30D">
      <w:pPr>
        <w:spacing w:before="114" w:line="221" w:lineRule="auto"/>
        <w:rPr>
          <w:rFonts w:ascii="黑体" w:hAnsi="黑体" w:eastAsia="黑体" w:cs="黑体"/>
          <w:sz w:val="27"/>
          <w:szCs w:val="27"/>
        </w:rPr>
      </w:pPr>
      <w:r>
        <w:rPr>
          <w:rFonts w:ascii="黑体" w:hAnsi="黑体" w:eastAsia="黑体" w:cs="黑体"/>
          <w:spacing w:val="1"/>
          <w:sz w:val="27"/>
          <w:szCs w:val="27"/>
        </w:rPr>
        <w:t>3.2</w:t>
      </w:r>
      <w:r>
        <w:rPr>
          <w:rFonts w:ascii="黑体" w:hAnsi="黑体" w:eastAsia="黑体" w:cs="黑体"/>
          <w:spacing w:val="17"/>
          <w:sz w:val="27"/>
          <w:szCs w:val="27"/>
        </w:rPr>
        <w:t xml:space="preserve">  </w:t>
      </w:r>
      <w:r>
        <w:rPr>
          <w:rFonts w:ascii="黑体" w:hAnsi="黑体" w:eastAsia="黑体" w:cs="黑体"/>
          <w:b/>
          <w:bCs/>
          <w:spacing w:val="1"/>
          <w:sz w:val="27"/>
          <w:szCs w:val="27"/>
        </w:rPr>
        <w:t>物理及化学性能</w:t>
      </w:r>
    </w:p>
    <w:p w14:paraId="4EFFFBFB">
      <w:pPr>
        <w:pStyle w:val="2"/>
        <w:spacing w:before="102" w:line="219" w:lineRule="auto"/>
        <w:jc w:val="right"/>
      </w:pPr>
      <w:r>
        <w:t>本条规定材料完全满足其预定用途所应具有的物理及化学性能指标，诸如：</w:t>
      </w:r>
    </w:p>
    <w:p w14:paraId="2D0BF66A">
      <w:pPr>
        <w:pStyle w:val="2"/>
        <w:spacing w:before="92" w:line="220" w:lineRule="auto"/>
        <w:ind w:left="560"/>
      </w:pPr>
      <w:r>
        <w:rPr>
          <w:rFonts w:ascii="Times New Roman" w:hAnsi="Times New Roman" w:eastAsia="Times New Roman" w:cs="Times New Roman"/>
          <w:spacing w:val="2"/>
        </w:rPr>
        <w:t>a</w:t>
      </w:r>
      <w:r>
        <w:rPr>
          <w:spacing w:val="2"/>
        </w:rPr>
        <w:t>)</w:t>
      </w:r>
      <w:r>
        <w:rPr>
          <w:spacing w:val="-56"/>
        </w:rPr>
        <w:t xml:space="preserve"> </w:t>
      </w:r>
      <w:r>
        <w:rPr>
          <w:spacing w:val="2"/>
        </w:rPr>
        <w:t>密度；</w:t>
      </w:r>
    </w:p>
    <w:p w14:paraId="44840FD2">
      <w:pPr>
        <w:pStyle w:val="2"/>
        <w:spacing w:before="37" w:line="212" w:lineRule="auto"/>
        <w:ind w:left="560"/>
      </w:pPr>
      <w:r>
        <w:rPr>
          <w:rFonts w:ascii="Times New Roman" w:hAnsi="Times New Roman" w:eastAsia="Times New Roman" w:cs="Times New Roman"/>
          <w:spacing w:val="-1"/>
        </w:rPr>
        <w:t>b)</w:t>
      </w:r>
      <w:r>
        <w:rPr>
          <w:rFonts w:ascii="Times New Roman" w:hAnsi="Times New Roman" w:eastAsia="Times New Roman" w:cs="Times New Roman"/>
          <w:spacing w:val="38"/>
          <w:w w:val="101"/>
        </w:rPr>
        <w:t xml:space="preserve"> </w:t>
      </w:r>
      <w:r>
        <w:rPr>
          <w:spacing w:val="-1"/>
        </w:rPr>
        <w:t>热性能；</w:t>
      </w:r>
    </w:p>
    <w:p w14:paraId="29CD059C">
      <w:pPr>
        <w:pStyle w:val="2"/>
        <w:spacing w:before="110" w:line="212" w:lineRule="auto"/>
        <w:ind w:left="560"/>
      </w:pPr>
      <w:r>
        <w:rPr>
          <w:rFonts w:ascii="Times New Roman" w:hAnsi="Times New Roman" w:eastAsia="Times New Roman" w:cs="Times New Roman"/>
          <w:spacing w:val="-6"/>
        </w:rPr>
        <w:t>c)</w:t>
      </w:r>
      <w:r>
        <w:rPr>
          <w:rFonts w:ascii="Times New Roman" w:hAnsi="Times New Roman" w:eastAsia="Times New Roman" w:cs="Times New Roman"/>
          <w:spacing w:val="12"/>
        </w:rPr>
        <w:t xml:space="preserve">  </w:t>
      </w:r>
      <w:r>
        <w:rPr>
          <w:spacing w:val="-6"/>
        </w:rPr>
        <w:t>电性能；</w:t>
      </w:r>
    </w:p>
    <w:p w14:paraId="76254DB5">
      <w:pPr>
        <w:pStyle w:val="2"/>
        <w:spacing w:before="90" w:line="212" w:lineRule="auto"/>
        <w:ind w:left="560"/>
      </w:pPr>
      <w:r>
        <w:rPr>
          <w:rFonts w:ascii="Times New Roman" w:hAnsi="Times New Roman" w:eastAsia="Times New Roman" w:cs="Times New Roman"/>
          <w:spacing w:val="-3"/>
        </w:rPr>
        <w:t>d)</w:t>
      </w:r>
      <w:r>
        <w:rPr>
          <w:rFonts w:ascii="Times New Roman" w:hAnsi="Times New Roman" w:eastAsia="Times New Roman" w:cs="Times New Roman"/>
          <w:spacing w:val="50"/>
          <w:w w:val="101"/>
        </w:rPr>
        <w:t xml:space="preserve"> </w:t>
      </w:r>
      <w:r>
        <w:rPr>
          <w:spacing w:val="-3"/>
        </w:rPr>
        <w:t>磁性能；</w:t>
      </w:r>
    </w:p>
    <w:p w14:paraId="56276DB5">
      <w:pPr>
        <w:pStyle w:val="2"/>
        <w:spacing w:before="130" w:line="219" w:lineRule="auto"/>
        <w:ind w:left="560"/>
      </w:pPr>
      <w:r>
        <w:rPr>
          <w:rFonts w:ascii="Times New Roman" w:hAnsi="Times New Roman" w:eastAsia="Times New Roman" w:cs="Times New Roman"/>
          <w:spacing w:val="11"/>
        </w:rPr>
        <w:t>e</w:t>
      </w:r>
      <w:r>
        <w:rPr>
          <w:spacing w:val="11"/>
        </w:rPr>
        <w:t>)光学性能；</w:t>
      </w:r>
    </w:p>
    <w:p w14:paraId="19A5A693">
      <w:pPr>
        <w:pStyle w:val="2"/>
        <w:spacing w:before="60" w:line="212" w:lineRule="auto"/>
        <w:ind w:left="560"/>
      </w:pPr>
      <w:r>
        <w:rPr>
          <w:rFonts w:ascii="Times New Roman" w:hAnsi="Times New Roman" w:eastAsia="Times New Roman" w:cs="Times New Roman"/>
          <w:spacing w:val="1"/>
        </w:rPr>
        <w:t>f)</w:t>
      </w:r>
      <w:r>
        <w:rPr>
          <w:rFonts w:ascii="Times New Roman" w:hAnsi="Times New Roman" w:eastAsia="Times New Roman" w:cs="Times New Roman"/>
          <w:spacing w:val="68"/>
          <w:w w:val="101"/>
        </w:rPr>
        <w:t xml:space="preserve"> </w:t>
      </w:r>
      <w:r>
        <w:rPr>
          <w:spacing w:val="1"/>
        </w:rPr>
        <w:t>抗氧化性能；</w:t>
      </w:r>
    </w:p>
    <w:p w14:paraId="6E804DD0">
      <w:pPr>
        <w:pStyle w:val="2"/>
        <w:spacing w:before="119" w:line="212" w:lineRule="auto"/>
        <w:ind w:left="560"/>
      </w:pPr>
      <w:r>
        <w:rPr>
          <w:rFonts w:ascii="Times New Roman" w:hAnsi="Times New Roman" w:eastAsia="Times New Roman" w:cs="Times New Roman"/>
          <w:spacing w:val="1"/>
        </w:rPr>
        <w:t>g</w:t>
      </w:r>
      <w:r>
        <w:rPr>
          <w:spacing w:val="1"/>
        </w:rPr>
        <w:t>)</w:t>
      </w:r>
      <w:r>
        <w:rPr>
          <w:spacing w:val="-39"/>
        </w:rPr>
        <w:t xml:space="preserve"> </w:t>
      </w:r>
      <w:r>
        <w:rPr>
          <w:spacing w:val="1"/>
        </w:rPr>
        <w:t>耐腐蚀性能；</w:t>
      </w:r>
    </w:p>
    <w:p w14:paraId="5661B9BC">
      <w:pPr>
        <w:pStyle w:val="2"/>
        <w:spacing w:before="90" w:line="212" w:lineRule="auto"/>
        <w:ind w:left="560"/>
      </w:pPr>
      <w:r>
        <w:rPr>
          <w:rFonts w:ascii="Times New Roman" w:hAnsi="Times New Roman" w:eastAsia="Times New Roman" w:cs="Times New Roman"/>
          <w:spacing w:val="-4"/>
        </w:rPr>
        <w:t>h)</w:t>
      </w:r>
      <w:r>
        <w:rPr>
          <w:rFonts w:ascii="Times New Roman" w:hAnsi="Times New Roman" w:eastAsia="Times New Roman" w:cs="Times New Roman"/>
          <w:spacing w:val="6"/>
        </w:rPr>
        <w:t xml:space="preserve">  </w:t>
      </w:r>
      <w:r>
        <w:rPr>
          <w:spacing w:val="-4"/>
        </w:rPr>
        <w:t>黏度；</w:t>
      </w:r>
    </w:p>
    <w:p w14:paraId="396FB112">
      <w:pPr>
        <w:pStyle w:val="2"/>
        <w:spacing w:before="90" w:line="212" w:lineRule="auto"/>
        <w:ind w:left="560"/>
      </w:pPr>
      <w:r>
        <w:rPr>
          <w:rFonts w:ascii="Times New Roman" w:hAnsi="Times New Roman" w:eastAsia="Times New Roman" w:cs="Times New Roman"/>
          <w:spacing w:val="3"/>
        </w:rPr>
        <w:t>i)</w:t>
      </w:r>
      <w:r>
        <w:rPr>
          <w:rFonts w:ascii="Times New Roman" w:hAnsi="Times New Roman" w:eastAsia="Times New Roman" w:cs="Times New Roman"/>
          <w:spacing w:val="46"/>
        </w:rPr>
        <w:t xml:space="preserve"> </w:t>
      </w:r>
      <w:r>
        <w:rPr>
          <w:spacing w:val="3"/>
        </w:rPr>
        <w:t>其他。</w:t>
      </w:r>
    </w:p>
    <w:p w14:paraId="0C7BAEB0">
      <w:pPr>
        <w:spacing w:before="125" w:line="221" w:lineRule="auto"/>
        <w:rPr>
          <w:rFonts w:ascii="黑体" w:hAnsi="黑体" w:eastAsia="黑体" w:cs="黑体"/>
          <w:sz w:val="27"/>
          <w:szCs w:val="27"/>
        </w:rPr>
      </w:pPr>
      <w:r>
        <w:rPr>
          <w:rFonts w:ascii="黑体" w:hAnsi="黑体" w:eastAsia="黑体" w:cs="黑体"/>
          <w:spacing w:val="-3"/>
          <w:sz w:val="27"/>
          <w:szCs w:val="27"/>
        </w:rPr>
        <w:t>3.3</w:t>
      </w:r>
      <w:r>
        <w:rPr>
          <w:rFonts w:ascii="黑体" w:hAnsi="黑体" w:eastAsia="黑体" w:cs="黑体"/>
          <w:spacing w:val="17"/>
          <w:sz w:val="27"/>
          <w:szCs w:val="27"/>
        </w:rPr>
        <w:t xml:space="preserve">  </w:t>
      </w:r>
      <w:r>
        <w:rPr>
          <w:rFonts w:ascii="黑体" w:hAnsi="黑体" w:eastAsia="黑体" w:cs="黑体"/>
          <w:b/>
          <w:bCs/>
          <w:spacing w:val="-3"/>
          <w:sz w:val="27"/>
          <w:szCs w:val="27"/>
        </w:rPr>
        <w:t>力学性能</w:t>
      </w:r>
    </w:p>
    <w:p w14:paraId="733546E6">
      <w:pPr>
        <w:pStyle w:val="2"/>
        <w:spacing w:before="101" w:line="219" w:lineRule="auto"/>
        <w:ind w:left="560"/>
      </w:pPr>
      <w:r>
        <w:rPr>
          <w:spacing w:val="-1"/>
        </w:rPr>
        <w:t>本条规定材料完全满足其预定用途所应具有的力学性能指标，诸如：</w:t>
      </w:r>
    </w:p>
    <w:p w14:paraId="318ECE43">
      <w:pPr>
        <w:pStyle w:val="2"/>
        <w:spacing w:before="72" w:line="220" w:lineRule="auto"/>
        <w:ind w:left="560"/>
      </w:pPr>
      <w:r>
        <w:rPr>
          <w:rFonts w:ascii="Times New Roman" w:hAnsi="Times New Roman" w:eastAsia="Times New Roman" w:cs="Times New Roman"/>
          <w:spacing w:val="2"/>
        </w:rPr>
        <w:t>a</w:t>
      </w:r>
      <w:r>
        <w:rPr>
          <w:spacing w:val="2"/>
        </w:rPr>
        <w:t>)</w:t>
      </w:r>
      <w:r>
        <w:rPr>
          <w:spacing w:val="-56"/>
        </w:rPr>
        <w:t xml:space="preserve"> </w:t>
      </w:r>
      <w:r>
        <w:rPr>
          <w:spacing w:val="2"/>
        </w:rPr>
        <w:t>硬度；</w:t>
      </w:r>
    </w:p>
    <w:p w14:paraId="3FDF0972">
      <w:pPr>
        <w:pStyle w:val="2"/>
        <w:spacing w:before="89" w:line="212" w:lineRule="auto"/>
        <w:ind w:left="560"/>
        <w:rPr>
          <w:sz w:val="24"/>
          <w:szCs w:val="24"/>
        </w:rPr>
      </w:pPr>
      <w:r>
        <w:rPr>
          <w:rFonts w:ascii="Times New Roman" w:hAnsi="Times New Roman" w:eastAsia="Times New Roman" w:cs="Times New Roman"/>
          <w:spacing w:val="27"/>
          <w:sz w:val="24"/>
          <w:szCs w:val="24"/>
        </w:rPr>
        <w:t xml:space="preserve">b)  </w:t>
      </w:r>
      <w:r>
        <w:rPr>
          <w:spacing w:val="27"/>
          <w:sz w:val="24"/>
          <w:szCs w:val="24"/>
        </w:rPr>
        <w:t>拉伸性能(各种温度);</w:t>
      </w:r>
    </w:p>
    <w:p w14:paraId="4F230231">
      <w:pPr>
        <w:pStyle w:val="2"/>
        <w:spacing w:before="131" w:line="219" w:lineRule="auto"/>
        <w:ind w:left="560"/>
      </w:pPr>
      <w:r>
        <w:rPr>
          <w:rFonts w:ascii="Times New Roman" w:hAnsi="Times New Roman" w:eastAsia="Times New Roman" w:cs="Times New Roman"/>
          <w:spacing w:val="11"/>
        </w:rPr>
        <w:t>c</w:t>
      </w:r>
      <w:r>
        <w:rPr>
          <w:spacing w:val="11"/>
        </w:rPr>
        <w:t>)压缩性能；</w:t>
      </w:r>
    </w:p>
    <w:p w14:paraId="5D689345">
      <w:pPr>
        <w:pStyle w:val="2"/>
        <w:spacing w:before="51" w:line="212" w:lineRule="auto"/>
        <w:ind w:left="560"/>
      </w:pPr>
      <w:r>
        <w:rPr>
          <w:rFonts w:ascii="Times New Roman" w:hAnsi="Times New Roman" w:eastAsia="Times New Roman" w:cs="Times New Roman"/>
          <w:spacing w:val="-5"/>
        </w:rPr>
        <w:t>d)</w:t>
      </w:r>
      <w:r>
        <w:rPr>
          <w:rFonts w:ascii="Times New Roman" w:hAnsi="Times New Roman" w:eastAsia="Times New Roman" w:cs="Times New Roman"/>
          <w:spacing w:val="17"/>
        </w:rPr>
        <w:t xml:space="preserve">  </w:t>
      </w:r>
      <w:r>
        <w:rPr>
          <w:spacing w:val="-5"/>
        </w:rPr>
        <w:t>冲击性能；</w:t>
      </w:r>
    </w:p>
    <w:p w14:paraId="7D60FC3A">
      <w:pPr>
        <w:pStyle w:val="2"/>
        <w:spacing w:before="100" w:line="212" w:lineRule="auto"/>
        <w:ind w:left="560"/>
      </w:pPr>
      <w:r>
        <w:rPr>
          <w:rFonts w:ascii="Times New Roman" w:hAnsi="Times New Roman" w:eastAsia="Times New Roman" w:cs="Times New Roman"/>
          <w:spacing w:val="1"/>
        </w:rPr>
        <w:t>e)</w:t>
      </w:r>
      <w:r>
        <w:rPr>
          <w:rFonts w:ascii="Times New Roman" w:hAnsi="Times New Roman" w:eastAsia="Times New Roman" w:cs="Times New Roman"/>
          <w:spacing w:val="56"/>
          <w:w w:val="101"/>
        </w:rPr>
        <w:t xml:space="preserve"> </w:t>
      </w:r>
      <w:r>
        <w:rPr>
          <w:spacing w:val="1"/>
        </w:rPr>
        <w:t>持久和蠕变性能；</w:t>
      </w:r>
    </w:p>
    <w:p w14:paraId="7A236249">
      <w:pPr>
        <w:pStyle w:val="2"/>
        <w:spacing w:before="110" w:line="212" w:lineRule="auto"/>
        <w:ind w:left="560"/>
      </w:pPr>
      <w:r>
        <w:rPr>
          <w:rFonts w:ascii="Times New Roman" w:hAnsi="Times New Roman" w:eastAsia="Times New Roman" w:cs="Times New Roman"/>
          <w:spacing w:val="2"/>
        </w:rPr>
        <w:t xml:space="preserve">f)  </w:t>
      </w:r>
      <w:r>
        <w:rPr>
          <w:spacing w:val="2"/>
        </w:rPr>
        <w:t>弹性性能；</w:t>
      </w:r>
    </w:p>
    <w:p w14:paraId="0F5C6137">
      <w:pPr>
        <w:pStyle w:val="2"/>
        <w:spacing w:before="109" w:line="212" w:lineRule="auto"/>
        <w:ind w:left="560"/>
      </w:pPr>
      <w:r>
        <w:rPr>
          <w:rFonts w:ascii="Times New Roman" w:hAnsi="Times New Roman" w:eastAsia="Times New Roman" w:cs="Times New Roman"/>
        </w:rPr>
        <w:t>g</w:t>
      </w:r>
      <w:r>
        <w:t>)</w:t>
      </w:r>
      <w:r>
        <w:rPr>
          <w:spacing w:val="-49"/>
        </w:rPr>
        <w:t xml:space="preserve"> </w:t>
      </w:r>
      <w:r>
        <w:t>断裂性能；</w:t>
      </w:r>
    </w:p>
    <w:p w14:paraId="4522AB28">
      <w:pPr>
        <w:pStyle w:val="2"/>
        <w:spacing w:before="71" w:line="212" w:lineRule="auto"/>
        <w:ind w:left="560"/>
      </w:pPr>
      <w:r>
        <w:rPr>
          <w:rFonts w:ascii="Times New Roman" w:hAnsi="Times New Roman" w:eastAsia="Times New Roman" w:cs="Times New Roman"/>
        </w:rPr>
        <w:t>h)</w:t>
      </w:r>
      <w:r>
        <w:rPr>
          <w:rFonts w:ascii="Times New Roman" w:hAnsi="Times New Roman" w:eastAsia="Times New Roman" w:cs="Times New Roman"/>
          <w:spacing w:val="7"/>
        </w:rPr>
        <w:t xml:space="preserve">  </w:t>
      </w:r>
      <w:r>
        <w:t>其他。</w:t>
      </w:r>
    </w:p>
    <w:p w14:paraId="429AF1CB">
      <w:pPr>
        <w:spacing w:before="127" w:line="222" w:lineRule="auto"/>
        <w:rPr>
          <w:rFonts w:ascii="黑体" w:hAnsi="黑体" w:eastAsia="黑体" w:cs="黑体"/>
          <w:sz w:val="27"/>
          <w:szCs w:val="27"/>
        </w:rPr>
      </w:pPr>
      <w:r>
        <w:rPr>
          <w:rFonts w:ascii="黑体" w:hAnsi="黑体" w:eastAsia="黑体" w:cs="黑体"/>
          <w:spacing w:val="-5"/>
          <w:sz w:val="27"/>
          <w:szCs w:val="27"/>
        </w:rPr>
        <w:t>3.4</w:t>
      </w:r>
      <w:r>
        <w:rPr>
          <w:rFonts w:ascii="黑体" w:hAnsi="黑体" w:eastAsia="黑体" w:cs="黑体"/>
          <w:spacing w:val="16"/>
          <w:sz w:val="27"/>
          <w:szCs w:val="27"/>
        </w:rPr>
        <w:t xml:space="preserve">  </w:t>
      </w:r>
      <w:r>
        <w:rPr>
          <w:rFonts w:ascii="黑体" w:hAnsi="黑体" w:eastAsia="黑体" w:cs="黑体"/>
          <w:b/>
          <w:bCs/>
          <w:spacing w:val="-5"/>
          <w:sz w:val="27"/>
          <w:szCs w:val="27"/>
        </w:rPr>
        <w:t>工艺性能</w:t>
      </w:r>
    </w:p>
    <w:p w14:paraId="5C5CCFEB">
      <w:pPr>
        <w:pStyle w:val="2"/>
        <w:spacing w:before="117" w:line="219" w:lineRule="auto"/>
        <w:ind w:left="560"/>
      </w:pPr>
      <w:r>
        <w:rPr>
          <w:spacing w:val="-1"/>
        </w:rPr>
        <w:t>本条规定材料完全满足其预定用途所应具有的工艺性能指标，诸如：</w:t>
      </w:r>
    </w:p>
    <w:p w14:paraId="50FEE565">
      <w:pPr>
        <w:pStyle w:val="2"/>
        <w:spacing w:before="73" w:line="221" w:lineRule="auto"/>
        <w:ind w:left="560"/>
      </w:pPr>
      <w:r>
        <w:rPr>
          <w:rFonts w:ascii="Times New Roman" w:hAnsi="Times New Roman" w:eastAsia="Times New Roman" w:cs="Times New Roman"/>
          <w:spacing w:val="-2"/>
        </w:rPr>
        <w:t>a</w:t>
      </w:r>
      <w:r>
        <w:rPr>
          <w:spacing w:val="-2"/>
        </w:rPr>
        <w:t>)</w:t>
      </w:r>
      <w:r>
        <w:rPr>
          <w:spacing w:val="-37"/>
        </w:rPr>
        <w:t xml:space="preserve"> </w:t>
      </w:r>
      <w:r>
        <w:rPr>
          <w:spacing w:val="-2"/>
        </w:rPr>
        <w:t>成形性能；</w:t>
      </w:r>
    </w:p>
    <w:p w14:paraId="07760D9C">
      <w:pPr>
        <w:spacing w:line="221" w:lineRule="auto"/>
        <w:sectPr>
          <w:footerReference r:id="rId286" w:type="default"/>
          <w:pgSz w:w="11910" w:h="17130"/>
          <w:pgMar w:top="1456" w:right="1264" w:bottom="1656" w:left="1170" w:header="0" w:footer="1467" w:gutter="0"/>
          <w:cols w:space="720" w:num="1"/>
        </w:sectPr>
      </w:pPr>
    </w:p>
    <w:p w14:paraId="4FA132D5">
      <w:pPr>
        <w:pStyle w:val="2"/>
        <w:spacing w:before="58"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57"/>
        </w:rPr>
        <w:t xml:space="preserve"> </w:t>
      </w:r>
      <w:r>
        <w:rPr>
          <w:spacing w:val="2"/>
        </w:rPr>
        <w:t>施工性能；</w:t>
      </w:r>
    </w:p>
    <w:p w14:paraId="7E6684A7">
      <w:pPr>
        <w:pStyle w:val="2"/>
        <w:spacing w:before="109" w:line="212" w:lineRule="auto"/>
        <w:ind w:left="560"/>
      </w:pPr>
      <w:r>
        <w:rPr>
          <w:rFonts w:ascii="Times New Roman" w:hAnsi="Times New Roman" w:eastAsia="Times New Roman" w:cs="Times New Roman"/>
        </w:rPr>
        <w:t>c)</w:t>
      </w:r>
      <w:r>
        <w:rPr>
          <w:rFonts w:ascii="Times New Roman" w:hAnsi="Times New Roman" w:eastAsia="Times New Roman" w:cs="Times New Roman"/>
          <w:spacing w:val="46"/>
          <w:w w:val="101"/>
        </w:rPr>
        <w:t xml:space="preserve"> </w:t>
      </w:r>
      <w:r>
        <w:t>适用期；</w:t>
      </w:r>
    </w:p>
    <w:p w14:paraId="35E85083">
      <w:pPr>
        <w:pStyle w:val="2"/>
        <w:spacing w:before="99" w:line="212" w:lineRule="auto"/>
        <w:ind w:left="560"/>
      </w:pPr>
      <w:r>
        <w:rPr>
          <w:rFonts w:ascii="Times New Roman" w:hAnsi="Times New Roman" w:eastAsia="Times New Roman" w:cs="Times New Roman"/>
          <w:spacing w:val="-2"/>
        </w:rPr>
        <w:t xml:space="preserve">d)  </w:t>
      </w:r>
      <w:r>
        <w:rPr>
          <w:spacing w:val="-2"/>
        </w:rPr>
        <w:t>其他。</w:t>
      </w:r>
    </w:p>
    <w:p w14:paraId="0006719F">
      <w:pPr>
        <w:spacing w:before="104" w:line="222"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b/>
          <w:bCs/>
          <w:spacing w:val="-3"/>
          <w:sz w:val="27"/>
          <w:szCs w:val="27"/>
        </w:rPr>
        <w:t>5</w:t>
      </w:r>
      <w:r>
        <w:rPr>
          <w:rFonts w:ascii="黑体" w:hAnsi="黑体" w:eastAsia="黑体" w:cs="黑体"/>
          <w:spacing w:val="21"/>
          <w:sz w:val="27"/>
          <w:szCs w:val="27"/>
        </w:rPr>
        <w:t xml:space="preserve">  </w:t>
      </w:r>
      <w:r>
        <w:rPr>
          <w:rFonts w:ascii="黑体" w:hAnsi="黑体" w:eastAsia="黑体" w:cs="黑体"/>
          <w:b/>
          <w:bCs/>
          <w:spacing w:val="-3"/>
          <w:sz w:val="27"/>
          <w:szCs w:val="27"/>
        </w:rPr>
        <w:t>环境适应性</w:t>
      </w:r>
    </w:p>
    <w:p w14:paraId="0EFE8876">
      <w:pPr>
        <w:pStyle w:val="2"/>
        <w:spacing w:before="99" w:line="219" w:lineRule="auto"/>
        <w:ind w:left="560"/>
      </w:pPr>
      <w:r>
        <w:t>本条规定材料完全满足其预定用途所应具有的环境适应性</w:t>
      </w:r>
      <w:r>
        <w:rPr>
          <w:spacing w:val="-1"/>
        </w:rPr>
        <w:t>指标，诸如：</w:t>
      </w:r>
    </w:p>
    <w:p w14:paraId="2C87E55F">
      <w:pPr>
        <w:pStyle w:val="2"/>
        <w:spacing w:before="51" w:line="212" w:lineRule="auto"/>
        <w:ind w:left="560"/>
      </w:pPr>
      <w:r>
        <w:rPr>
          <w:rFonts w:ascii="Times New Roman" w:hAnsi="Times New Roman" w:eastAsia="Times New Roman" w:cs="Times New Roman"/>
        </w:rPr>
        <w:t xml:space="preserve">a)  </w:t>
      </w:r>
      <w:r>
        <w:t>耐高低温性能；</w:t>
      </w:r>
    </w:p>
    <w:p w14:paraId="50388E95">
      <w:pPr>
        <w:pStyle w:val="2"/>
        <w:spacing w:before="90" w:line="212" w:lineRule="auto"/>
        <w:ind w:left="560"/>
      </w:pPr>
      <w:r>
        <w:rPr>
          <w:rFonts w:ascii="Times New Roman" w:hAnsi="Times New Roman" w:eastAsia="Times New Roman" w:cs="Times New Roman"/>
        </w:rPr>
        <w:t>b)</w:t>
      </w:r>
      <w:r>
        <w:rPr>
          <w:rFonts w:ascii="Times New Roman" w:hAnsi="Times New Roman" w:eastAsia="Times New Roman" w:cs="Times New Roman"/>
          <w:spacing w:val="71"/>
        </w:rPr>
        <w:t xml:space="preserve"> </w:t>
      </w:r>
      <w:r>
        <w:t>耐盐雾性能；</w:t>
      </w:r>
    </w:p>
    <w:p w14:paraId="291F1C3D">
      <w:pPr>
        <w:pStyle w:val="2"/>
        <w:spacing w:before="142" w:line="220" w:lineRule="auto"/>
        <w:ind w:left="560"/>
      </w:pPr>
      <w:r>
        <w:rPr>
          <w:rFonts w:ascii="Times New Roman" w:hAnsi="Times New Roman" w:eastAsia="Times New Roman" w:cs="Times New Roman"/>
          <w:spacing w:val="-1"/>
        </w:rPr>
        <w:t>c</w:t>
      </w:r>
      <w:r>
        <w:rPr>
          <w:spacing w:val="-1"/>
        </w:rPr>
        <w:t>)</w:t>
      </w:r>
      <w:r>
        <w:rPr>
          <w:spacing w:val="-38"/>
        </w:rPr>
        <w:t xml:space="preserve"> </w:t>
      </w:r>
      <w:r>
        <w:rPr>
          <w:spacing w:val="-1"/>
        </w:rPr>
        <w:t>防霉性能；</w:t>
      </w:r>
    </w:p>
    <w:p w14:paraId="3D60BC0D">
      <w:pPr>
        <w:pStyle w:val="2"/>
        <w:spacing w:before="36" w:line="212" w:lineRule="auto"/>
        <w:ind w:left="560"/>
      </w:pPr>
      <w:r>
        <w:rPr>
          <w:rFonts w:ascii="Times New Roman" w:hAnsi="Times New Roman" w:eastAsia="Times New Roman" w:cs="Times New Roman"/>
        </w:rPr>
        <w:t>d)</w:t>
      </w:r>
      <w:r>
        <w:rPr>
          <w:rFonts w:ascii="Times New Roman" w:hAnsi="Times New Roman" w:eastAsia="Times New Roman" w:cs="Times New Roman"/>
          <w:spacing w:val="71"/>
        </w:rPr>
        <w:t xml:space="preserve"> </w:t>
      </w:r>
      <w:r>
        <w:t>耐湿热性能；</w:t>
      </w:r>
    </w:p>
    <w:p w14:paraId="3D3F0E4E">
      <w:pPr>
        <w:pStyle w:val="2"/>
        <w:spacing w:before="100" w:line="212" w:lineRule="auto"/>
        <w:ind w:left="560"/>
      </w:pPr>
      <w:r>
        <w:rPr>
          <w:rFonts w:ascii="Times New Roman" w:hAnsi="Times New Roman" w:eastAsia="Times New Roman" w:cs="Times New Roman"/>
        </w:rPr>
        <w:t>e)</w:t>
      </w:r>
      <w:r>
        <w:rPr>
          <w:rFonts w:ascii="Times New Roman" w:hAnsi="Times New Roman" w:eastAsia="Times New Roman" w:cs="Times New Roman"/>
          <w:spacing w:val="66"/>
          <w:w w:val="101"/>
        </w:rPr>
        <w:t xml:space="preserve"> </w:t>
      </w:r>
      <w:r>
        <w:t>其他。</w:t>
      </w:r>
    </w:p>
    <w:p w14:paraId="17AC4996">
      <w:pPr>
        <w:spacing w:before="137" w:line="222" w:lineRule="auto"/>
        <w:rPr>
          <w:rFonts w:ascii="黑体" w:hAnsi="黑体" w:eastAsia="黑体" w:cs="黑体"/>
          <w:sz w:val="25"/>
          <w:szCs w:val="25"/>
        </w:rPr>
      </w:pPr>
      <w:r>
        <w:rPr>
          <w:rFonts w:ascii="黑体" w:hAnsi="黑体" w:eastAsia="黑体" w:cs="黑体"/>
          <w:spacing w:val="2"/>
          <w:sz w:val="25"/>
          <w:szCs w:val="25"/>
        </w:rPr>
        <w:t>3.6</w:t>
      </w:r>
      <w:r>
        <w:rPr>
          <w:rFonts w:ascii="黑体" w:hAnsi="黑体" w:eastAsia="黑体" w:cs="黑体"/>
          <w:spacing w:val="45"/>
          <w:sz w:val="25"/>
          <w:szCs w:val="25"/>
        </w:rPr>
        <w:t xml:space="preserve">  </w:t>
      </w:r>
      <w:r>
        <w:rPr>
          <w:rFonts w:ascii="黑体" w:hAnsi="黑体" w:eastAsia="黑体" w:cs="黑体"/>
          <w:b/>
          <w:bCs/>
          <w:spacing w:val="2"/>
          <w:sz w:val="25"/>
          <w:szCs w:val="25"/>
        </w:rPr>
        <w:t>组织</w:t>
      </w:r>
    </w:p>
    <w:p w14:paraId="74237E6E">
      <w:pPr>
        <w:pStyle w:val="2"/>
        <w:spacing w:before="102" w:line="219" w:lineRule="auto"/>
        <w:ind w:left="560"/>
      </w:pPr>
      <w:r>
        <w:rPr>
          <w:spacing w:val="-1"/>
        </w:rPr>
        <w:t>本条规定材料完全满足其预定用途所应具有的组织结构要求，诸如：</w:t>
      </w:r>
    </w:p>
    <w:p w14:paraId="1CC25DF3">
      <w:pPr>
        <w:pStyle w:val="2"/>
        <w:spacing w:before="101" w:line="219" w:lineRule="auto"/>
        <w:ind w:left="560"/>
      </w:pPr>
      <w:r>
        <w:rPr>
          <w:rFonts w:ascii="Times New Roman" w:hAnsi="Times New Roman" w:eastAsia="Times New Roman" w:cs="Times New Roman"/>
        </w:rPr>
        <w:t>a</w:t>
      </w:r>
      <w:r>
        <w:t>)</w:t>
      </w:r>
      <w:r>
        <w:rPr>
          <w:spacing w:val="-45"/>
        </w:rPr>
        <w:t xml:space="preserve"> </w:t>
      </w:r>
      <w:r>
        <w:t>高倍组织；</w:t>
      </w:r>
    </w:p>
    <w:p w14:paraId="313E28C1">
      <w:pPr>
        <w:pStyle w:val="2"/>
        <w:spacing w:before="39" w:line="212" w:lineRule="auto"/>
        <w:ind w:left="560"/>
      </w:pPr>
      <w:r>
        <w:rPr>
          <w:rFonts w:ascii="Times New Roman" w:hAnsi="Times New Roman" w:eastAsia="Times New Roman" w:cs="Times New Roman"/>
          <w:spacing w:val="-1"/>
        </w:rPr>
        <w:t>b)</w:t>
      </w:r>
      <w:r>
        <w:rPr>
          <w:rFonts w:ascii="Times New Roman" w:hAnsi="Times New Roman" w:eastAsia="Times New Roman" w:cs="Times New Roman"/>
          <w:spacing w:val="59"/>
        </w:rPr>
        <w:t xml:space="preserve"> </w:t>
      </w:r>
      <w:r>
        <w:rPr>
          <w:spacing w:val="-1"/>
        </w:rPr>
        <w:t>低倍组织；</w:t>
      </w:r>
    </w:p>
    <w:p w14:paraId="10B946EA">
      <w:pPr>
        <w:pStyle w:val="2"/>
        <w:spacing w:before="141" w:line="220" w:lineRule="auto"/>
        <w:ind w:left="560"/>
      </w:pPr>
      <w:r>
        <w:rPr>
          <w:rFonts w:ascii="Times New Roman" w:hAnsi="Times New Roman" w:eastAsia="Times New Roman" w:cs="Times New Roman"/>
          <w:spacing w:val="18"/>
        </w:rPr>
        <w:t>c</w:t>
      </w:r>
      <w:r>
        <w:rPr>
          <w:spacing w:val="18"/>
        </w:rPr>
        <w:t>)其他。</w:t>
      </w:r>
    </w:p>
    <w:p w14:paraId="75631CB2">
      <w:pPr>
        <w:spacing w:before="82" w:line="221" w:lineRule="auto"/>
        <w:rPr>
          <w:rFonts w:ascii="黑体" w:hAnsi="黑体" w:eastAsia="黑体" w:cs="黑体"/>
          <w:sz w:val="27"/>
          <w:szCs w:val="27"/>
        </w:rPr>
      </w:pPr>
      <w:r>
        <w:rPr>
          <w:rFonts w:ascii="黑体" w:hAnsi="黑体" w:eastAsia="黑体" w:cs="黑体"/>
          <w:spacing w:val="-13"/>
          <w:sz w:val="27"/>
          <w:szCs w:val="27"/>
        </w:rPr>
        <w:t>3.</w:t>
      </w:r>
      <w:r>
        <w:rPr>
          <w:rFonts w:ascii="黑体" w:hAnsi="黑体" w:eastAsia="黑体" w:cs="黑体"/>
          <w:b/>
          <w:bCs/>
          <w:spacing w:val="-13"/>
          <w:sz w:val="27"/>
          <w:szCs w:val="27"/>
        </w:rPr>
        <w:t>7</w:t>
      </w:r>
      <w:r>
        <w:rPr>
          <w:rFonts w:ascii="黑体" w:hAnsi="黑体" w:eastAsia="黑体" w:cs="黑体"/>
          <w:spacing w:val="23"/>
          <w:sz w:val="27"/>
          <w:szCs w:val="27"/>
        </w:rPr>
        <w:t xml:space="preserve">  </w:t>
      </w:r>
      <w:r>
        <w:rPr>
          <w:rFonts w:ascii="黑体" w:hAnsi="黑体" w:eastAsia="黑体" w:cs="黑体"/>
          <w:b/>
          <w:bCs/>
          <w:spacing w:val="-13"/>
          <w:sz w:val="27"/>
          <w:szCs w:val="27"/>
        </w:rPr>
        <w:t>外形、尺寸及重量</w:t>
      </w:r>
    </w:p>
    <w:p w14:paraId="34ADA140">
      <w:pPr>
        <w:pStyle w:val="2"/>
        <w:spacing w:before="81" w:line="219" w:lineRule="auto"/>
        <w:ind w:left="560"/>
      </w:pPr>
      <w:r>
        <w:rPr>
          <w:spacing w:val="1"/>
        </w:rPr>
        <w:t>本条规定材料完全满足其预定用途所应具有的外形、</w:t>
      </w:r>
      <w:r>
        <w:t>尺寸及重量要求。</w:t>
      </w:r>
    </w:p>
    <w:p w14:paraId="76165F88">
      <w:pPr>
        <w:spacing w:before="108" w:line="223" w:lineRule="auto"/>
        <w:rPr>
          <w:rFonts w:ascii="黑体" w:hAnsi="黑体" w:eastAsia="黑体" w:cs="黑体"/>
          <w:sz w:val="25"/>
          <w:szCs w:val="25"/>
        </w:rPr>
      </w:pPr>
      <w:r>
        <w:rPr>
          <w:rFonts w:ascii="黑体" w:hAnsi="黑体" w:eastAsia="黑体" w:cs="黑体"/>
          <w:spacing w:val="8"/>
          <w:sz w:val="25"/>
          <w:szCs w:val="25"/>
        </w:rPr>
        <w:t>3.8</w:t>
      </w:r>
      <w:r>
        <w:rPr>
          <w:rFonts w:ascii="黑体" w:hAnsi="黑体" w:eastAsia="黑体" w:cs="黑体"/>
          <w:spacing w:val="39"/>
          <w:sz w:val="25"/>
          <w:szCs w:val="25"/>
        </w:rPr>
        <w:t xml:space="preserve">  </w:t>
      </w:r>
      <w:r>
        <w:rPr>
          <w:rFonts w:ascii="黑体" w:hAnsi="黑体" w:eastAsia="黑体" w:cs="黑体"/>
          <w:b/>
          <w:bCs/>
          <w:spacing w:val="8"/>
          <w:sz w:val="25"/>
          <w:szCs w:val="25"/>
        </w:rPr>
        <w:t>稳定性</w:t>
      </w:r>
    </w:p>
    <w:p w14:paraId="5CB8631B">
      <w:pPr>
        <w:pStyle w:val="2"/>
        <w:spacing w:before="72" w:line="286" w:lineRule="auto"/>
        <w:ind w:right="121" w:firstLine="560"/>
      </w:pPr>
      <w:r>
        <w:rPr>
          <w:spacing w:val="5"/>
        </w:rPr>
        <w:t>本条规定材料完全满足其预定用途并能超过其预定寿命所应具有的贮存寿</w:t>
      </w:r>
      <w:r>
        <w:rPr>
          <w:spacing w:val="12"/>
        </w:rPr>
        <w:t xml:space="preserve"> </w:t>
      </w:r>
      <w:r>
        <w:t>命和抗老化要求。</w:t>
      </w:r>
    </w:p>
    <w:p w14:paraId="7D090F7F">
      <w:pPr>
        <w:spacing w:line="223" w:lineRule="auto"/>
        <w:rPr>
          <w:rFonts w:ascii="黑体" w:hAnsi="黑体" w:eastAsia="黑体" w:cs="黑体"/>
          <w:sz w:val="27"/>
          <w:szCs w:val="27"/>
        </w:rPr>
      </w:pPr>
      <w:r>
        <w:rPr>
          <w:rFonts w:ascii="黑体" w:hAnsi="黑体" w:eastAsia="黑体" w:cs="黑体"/>
          <w:spacing w:val="-2"/>
          <w:sz w:val="27"/>
          <w:szCs w:val="27"/>
        </w:rPr>
        <w:t>3.9</w:t>
      </w:r>
      <w:r>
        <w:rPr>
          <w:rFonts w:ascii="黑体" w:hAnsi="黑体" w:eastAsia="黑体" w:cs="黑体"/>
          <w:spacing w:val="15"/>
          <w:sz w:val="27"/>
          <w:szCs w:val="27"/>
        </w:rPr>
        <w:t xml:space="preserve">  </w:t>
      </w:r>
      <w:r>
        <w:rPr>
          <w:rFonts w:ascii="黑体" w:hAnsi="黑体" w:eastAsia="黑体" w:cs="黑体"/>
          <w:b/>
          <w:bCs/>
          <w:spacing w:val="-2"/>
          <w:sz w:val="27"/>
          <w:szCs w:val="27"/>
        </w:rPr>
        <w:t>毒性</w:t>
      </w:r>
    </w:p>
    <w:p w14:paraId="33875AE0">
      <w:pPr>
        <w:pStyle w:val="2"/>
        <w:spacing w:before="76" w:line="279" w:lineRule="auto"/>
        <w:ind w:firstLine="560"/>
      </w:pPr>
      <w:r>
        <w:rPr>
          <w:spacing w:val="9"/>
        </w:rPr>
        <w:t>本条规定有毒物品的限制性要求和应采取的安全防护措施以及销毁要求，</w:t>
      </w:r>
      <w:r>
        <w:rPr>
          <w:spacing w:val="6"/>
        </w:rPr>
        <w:t xml:space="preserve"> </w:t>
      </w:r>
      <w:r>
        <w:rPr>
          <w:spacing w:val="-3"/>
        </w:rPr>
        <w:t>以保证实体的使用与安全、人员健康和保护环境。</w:t>
      </w:r>
    </w:p>
    <w:p w14:paraId="239A6689">
      <w:pPr>
        <w:spacing w:line="221"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21"/>
          <w:sz w:val="27"/>
          <w:szCs w:val="27"/>
        </w:rPr>
        <w:t xml:space="preserve">  </w:t>
      </w:r>
      <w:r>
        <w:rPr>
          <w:rFonts w:ascii="黑体" w:hAnsi="黑体" w:eastAsia="黑体" w:cs="黑体"/>
          <w:b/>
          <w:bCs/>
          <w:spacing w:val="-5"/>
          <w:sz w:val="27"/>
          <w:szCs w:val="27"/>
        </w:rPr>
        <w:t>验证</w:t>
      </w:r>
    </w:p>
    <w:p w14:paraId="19139502">
      <w:pPr>
        <w:spacing w:before="85" w:line="221" w:lineRule="auto"/>
        <w:rPr>
          <w:rFonts w:ascii="黑体" w:hAnsi="黑体" w:eastAsia="黑体" w:cs="黑体"/>
          <w:sz w:val="27"/>
          <w:szCs w:val="27"/>
        </w:rPr>
      </w:pPr>
      <w:r>
        <w:rPr>
          <w:rFonts w:ascii="黑体" w:hAnsi="黑体" w:eastAsia="黑体" w:cs="黑体"/>
          <w:spacing w:val="1"/>
          <w:sz w:val="27"/>
          <w:szCs w:val="27"/>
        </w:rPr>
        <w:t>4.1</w:t>
      </w:r>
      <w:r>
        <w:rPr>
          <w:rFonts w:ascii="黑体" w:hAnsi="黑体" w:eastAsia="黑体" w:cs="黑体"/>
          <w:spacing w:val="13"/>
          <w:sz w:val="27"/>
          <w:szCs w:val="27"/>
        </w:rPr>
        <w:t xml:space="preserve">  </w:t>
      </w:r>
      <w:r>
        <w:rPr>
          <w:rFonts w:ascii="黑体" w:hAnsi="黑体" w:eastAsia="黑体" w:cs="黑体"/>
          <w:b/>
          <w:bCs/>
          <w:spacing w:val="1"/>
          <w:sz w:val="27"/>
          <w:szCs w:val="27"/>
        </w:rPr>
        <w:t>检验分类</w:t>
      </w:r>
    </w:p>
    <w:p w14:paraId="6C3B3430">
      <w:pPr>
        <w:pStyle w:val="2"/>
        <w:spacing w:before="91" w:line="219" w:lineRule="auto"/>
        <w:ind w:left="560"/>
      </w:pPr>
      <w:r>
        <w:rPr>
          <w:rFonts w:ascii="Times New Roman" w:hAnsi="Times New Roman" w:eastAsia="Times New Roman" w:cs="Times New Roman"/>
          <w:spacing w:val="12"/>
        </w:rPr>
        <w:t>a</w:t>
      </w:r>
      <w:r>
        <w:rPr>
          <w:spacing w:val="12"/>
        </w:rPr>
        <w:t>)确定检验分类的基本原则</w:t>
      </w:r>
    </w:p>
    <w:p w14:paraId="29EDB53C">
      <w:pPr>
        <w:pStyle w:val="2"/>
        <w:spacing w:before="110" w:line="272" w:lineRule="auto"/>
        <w:ind w:right="123" w:firstLine="560"/>
      </w:pPr>
      <w:r>
        <w:rPr>
          <w:spacing w:val="-3"/>
        </w:rPr>
        <w:t>应根据材料的特点、约束条件，以往检验类似实体的实践经验等确定检验类</w:t>
      </w:r>
      <w:r>
        <w:t xml:space="preserve"> </w:t>
      </w:r>
      <w:r>
        <w:rPr>
          <w:spacing w:val="5"/>
        </w:rPr>
        <w:t xml:space="preserve">别及其组合。确定检验分类时应遵循以下原则：1)具有代表性，能反映实际的 </w:t>
      </w:r>
      <w:r>
        <w:rPr>
          <w:spacing w:val="-3"/>
        </w:rPr>
        <w:t>质量水平；2)具有经济性，有良好的效费比；3)具有快速性，能及时得出检验结</w:t>
      </w:r>
      <w:r>
        <w:rPr>
          <w:spacing w:val="15"/>
        </w:rPr>
        <w:t xml:space="preserve"> </w:t>
      </w:r>
      <w:r>
        <w:rPr>
          <w:spacing w:val="-5"/>
        </w:rPr>
        <w:t>果；4)具有再现性，在相同条件下能重现检验结果。</w:t>
      </w:r>
    </w:p>
    <w:p w14:paraId="0E386605">
      <w:pPr>
        <w:pStyle w:val="2"/>
        <w:spacing w:line="212" w:lineRule="auto"/>
        <w:ind w:left="560"/>
      </w:pPr>
      <w:r>
        <w:rPr>
          <w:rFonts w:ascii="Times New Roman" w:hAnsi="Times New Roman" w:eastAsia="Times New Roman" w:cs="Times New Roman"/>
          <w:spacing w:val="6"/>
        </w:rPr>
        <w:t>b)</w:t>
      </w:r>
      <w:r>
        <w:rPr>
          <w:rFonts w:ascii="Times New Roman" w:hAnsi="Times New Roman" w:eastAsia="Times New Roman" w:cs="Times New Roman"/>
          <w:spacing w:val="73"/>
        </w:rPr>
        <w:t xml:space="preserve"> </w:t>
      </w:r>
      <w:r>
        <w:rPr>
          <w:spacing w:val="6"/>
        </w:rPr>
        <w:t>检验分类的表述</w:t>
      </w:r>
    </w:p>
    <w:p w14:paraId="1FBE6A59">
      <w:pPr>
        <w:pStyle w:val="2"/>
        <w:spacing w:before="129" w:line="219" w:lineRule="auto"/>
        <w:ind w:left="560"/>
      </w:pPr>
      <w:r>
        <w:rPr>
          <w:spacing w:val="4"/>
        </w:rPr>
        <w:t>确定的检验类别及其组合应采用下述表述形式：</w:t>
      </w:r>
    </w:p>
    <w:p w14:paraId="1951CA9C">
      <w:pPr>
        <w:spacing w:before="86" w:line="220" w:lineRule="auto"/>
        <w:ind w:left="560"/>
        <w:rPr>
          <w:rFonts w:ascii="仿宋" w:hAnsi="仿宋" w:eastAsia="仿宋" w:cs="仿宋"/>
          <w:sz w:val="27"/>
          <w:szCs w:val="27"/>
        </w:rPr>
      </w:pPr>
      <w:r>
        <w:rPr>
          <w:rFonts w:ascii="Times New Roman" w:hAnsi="Times New Roman" w:eastAsia="Times New Roman" w:cs="Times New Roman"/>
          <w:spacing w:val="2"/>
          <w:sz w:val="27"/>
          <w:szCs w:val="27"/>
        </w:rPr>
        <w:t>4.1</w:t>
      </w:r>
      <w:r>
        <w:rPr>
          <w:rFonts w:ascii="Times New Roman" w:hAnsi="Times New Roman" w:eastAsia="Times New Roman" w:cs="Times New Roman"/>
          <w:spacing w:val="6"/>
          <w:sz w:val="27"/>
          <w:szCs w:val="27"/>
        </w:rPr>
        <w:t xml:space="preserve">     </w:t>
      </w:r>
      <w:r>
        <w:rPr>
          <w:rFonts w:ascii="仿宋" w:hAnsi="仿宋" w:eastAsia="仿宋" w:cs="仿宋"/>
          <w:spacing w:val="2"/>
          <w:sz w:val="27"/>
          <w:szCs w:val="27"/>
        </w:rPr>
        <w:t>检验分类</w:t>
      </w:r>
    </w:p>
    <w:p w14:paraId="49CDB04F">
      <w:pPr>
        <w:spacing w:before="108" w:line="220" w:lineRule="auto"/>
        <w:ind w:left="1279"/>
        <w:rPr>
          <w:rFonts w:ascii="仿宋" w:hAnsi="仿宋" w:eastAsia="仿宋" w:cs="仿宋"/>
          <w:sz w:val="24"/>
          <w:szCs w:val="24"/>
        </w:rPr>
      </w:pPr>
      <w:r>
        <w:rPr>
          <w:rFonts w:ascii="仿宋" w:hAnsi="仿宋" w:eastAsia="仿宋" w:cs="仿宋"/>
          <w:spacing w:val="30"/>
          <w:sz w:val="24"/>
          <w:szCs w:val="24"/>
        </w:rPr>
        <w:t>本规范规定的检验分类如下：</w:t>
      </w:r>
    </w:p>
    <w:p w14:paraId="099B7BE3">
      <w:pPr>
        <w:spacing w:line="220" w:lineRule="auto"/>
        <w:rPr>
          <w:rFonts w:ascii="仿宋" w:hAnsi="仿宋" w:eastAsia="仿宋" w:cs="仿宋"/>
          <w:sz w:val="24"/>
          <w:szCs w:val="24"/>
        </w:rPr>
        <w:sectPr>
          <w:footerReference r:id="rId287" w:type="default"/>
          <w:pgSz w:w="11910" w:h="17130"/>
          <w:pgMar w:top="1422" w:right="844" w:bottom="1633" w:left="1569" w:header="0" w:footer="1435" w:gutter="0"/>
          <w:cols w:space="720" w:num="1"/>
        </w:sectPr>
      </w:pPr>
    </w:p>
    <w:p w14:paraId="4BEEE6AC">
      <w:pPr>
        <w:spacing w:before="83" w:line="224" w:lineRule="auto"/>
        <w:ind w:left="1250"/>
        <w:rPr>
          <w:rFonts w:ascii="仿宋" w:hAnsi="仿宋" w:eastAsia="仿宋" w:cs="仿宋"/>
          <w:sz w:val="24"/>
          <w:szCs w:val="24"/>
        </w:rPr>
      </w:pPr>
      <w:r>
        <w:rPr>
          <w:rFonts w:ascii="Times New Roman" w:hAnsi="Times New Roman" w:eastAsia="Times New Roman" w:cs="Times New Roman"/>
          <w:spacing w:val="8"/>
          <w:sz w:val="24"/>
          <w:szCs w:val="24"/>
        </w:rPr>
        <w:t>a</w:t>
      </w:r>
      <w:r>
        <w:rPr>
          <w:rFonts w:ascii="仿宋" w:hAnsi="仿宋" w:eastAsia="仿宋" w:cs="仿宋"/>
          <w:spacing w:val="8"/>
          <w:sz w:val="24"/>
          <w:szCs w:val="24"/>
        </w:rPr>
        <w:t>)……</w:t>
      </w:r>
      <w:r>
        <w:rPr>
          <w:rFonts w:ascii="仿宋" w:hAnsi="仿宋" w:eastAsia="仿宋" w:cs="仿宋"/>
          <w:spacing w:val="-28"/>
          <w:sz w:val="24"/>
          <w:szCs w:val="24"/>
        </w:rPr>
        <w:t xml:space="preserve"> </w:t>
      </w:r>
      <w:r>
        <w:rPr>
          <w:rFonts w:ascii="仿宋" w:hAnsi="仿宋" w:eastAsia="仿宋" w:cs="仿宋"/>
          <w:spacing w:val="8"/>
          <w:sz w:val="24"/>
          <w:szCs w:val="24"/>
        </w:rPr>
        <w:t>(见4</w:t>
      </w:r>
      <w:r>
        <w:rPr>
          <w:rFonts w:ascii="仿宋" w:hAnsi="仿宋" w:eastAsia="仿宋" w:cs="仿宋"/>
          <w:spacing w:val="-54"/>
          <w:sz w:val="24"/>
          <w:szCs w:val="24"/>
        </w:rPr>
        <w:t xml:space="preserve"> </w:t>
      </w:r>
      <w:r>
        <w:rPr>
          <w:rFonts w:ascii="仿宋" w:hAnsi="仿宋" w:eastAsia="仿宋" w:cs="仿宋"/>
          <w:spacing w:val="8"/>
          <w:sz w:val="24"/>
          <w:szCs w:val="24"/>
        </w:rPr>
        <w:t>.</w:t>
      </w:r>
      <w:r>
        <w:rPr>
          <w:rFonts w:ascii="仿宋" w:hAnsi="仿宋" w:eastAsia="仿宋" w:cs="仿宋"/>
          <w:spacing w:val="-25"/>
          <w:sz w:val="24"/>
          <w:szCs w:val="24"/>
        </w:rPr>
        <w:t xml:space="preserve"> </w:t>
      </w:r>
      <w:r>
        <w:rPr>
          <w:rFonts w:ascii="仿宋" w:hAnsi="仿宋" w:eastAsia="仿宋" w:cs="仿宋"/>
          <w:spacing w:val="8"/>
          <w:sz w:val="24"/>
          <w:szCs w:val="24"/>
        </w:rPr>
        <w:t>×);</w:t>
      </w:r>
    </w:p>
    <w:p w14:paraId="32C6CA33">
      <w:pPr>
        <w:spacing w:before="50" w:line="212" w:lineRule="auto"/>
        <w:ind w:left="1260"/>
        <w:rPr>
          <w:rFonts w:ascii="仿宋" w:hAnsi="仿宋" w:eastAsia="仿宋" w:cs="仿宋"/>
          <w:sz w:val="27"/>
          <w:szCs w:val="27"/>
        </w:rPr>
      </w:pPr>
      <w:r>
        <w:rPr>
          <w:rFonts w:ascii="Times New Roman" w:hAnsi="Times New Roman" w:eastAsia="Times New Roman" w:cs="Times New Roman"/>
          <w:spacing w:val="-2"/>
          <w:sz w:val="27"/>
          <w:szCs w:val="27"/>
        </w:rPr>
        <w:t>b)……</w:t>
      </w:r>
      <w:r>
        <w:rPr>
          <w:rFonts w:ascii="Times New Roman" w:hAnsi="Times New Roman" w:eastAsia="Times New Roman" w:cs="Times New Roman"/>
          <w:spacing w:val="-5"/>
          <w:sz w:val="27"/>
          <w:szCs w:val="27"/>
        </w:rPr>
        <w:t xml:space="preserve"> </w:t>
      </w:r>
      <w:r>
        <w:rPr>
          <w:rFonts w:ascii="Times New Roman" w:hAnsi="Times New Roman" w:eastAsia="Times New Roman" w:cs="Times New Roman"/>
          <w:spacing w:val="-2"/>
          <w:sz w:val="27"/>
          <w:szCs w:val="27"/>
        </w:rPr>
        <w:t xml:space="preserve">( </w:t>
      </w:r>
      <w:r>
        <w:rPr>
          <w:rFonts w:ascii="仿宋" w:hAnsi="仿宋" w:eastAsia="仿宋" w:cs="仿宋"/>
          <w:spacing w:val="-2"/>
          <w:sz w:val="27"/>
          <w:szCs w:val="27"/>
        </w:rPr>
        <w:t>见4.</w:t>
      </w:r>
      <w:r>
        <w:rPr>
          <w:rFonts w:ascii="仿宋" w:hAnsi="仿宋" w:eastAsia="仿宋" w:cs="仿宋"/>
          <w:spacing w:val="-61"/>
          <w:sz w:val="27"/>
          <w:szCs w:val="27"/>
        </w:rPr>
        <w:t xml:space="preserve"> </w:t>
      </w:r>
      <w:r>
        <w:rPr>
          <w:rFonts w:ascii="仿宋" w:hAnsi="仿宋" w:eastAsia="仿宋" w:cs="仿宋"/>
          <w:spacing w:val="-2"/>
          <w:sz w:val="27"/>
          <w:szCs w:val="27"/>
        </w:rPr>
        <w:t>×)。</w:t>
      </w:r>
    </w:p>
    <w:p w14:paraId="650CFF35">
      <w:pPr>
        <w:spacing w:before="144" w:line="222" w:lineRule="auto"/>
        <w:rPr>
          <w:rFonts w:ascii="黑体" w:hAnsi="黑体" w:eastAsia="黑体" w:cs="黑体"/>
          <w:sz w:val="25"/>
          <w:szCs w:val="25"/>
        </w:rPr>
      </w:pPr>
      <w:r>
        <w:rPr>
          <w:rFonts w:ascii="黑体" w:hAnsi="黑体" w:eastAsia="黑体" w:cs="黑体"/>
          <w:spacing w:val="11"/>
          <w:sz w:val="25"/>
          <w:szCs w:val="25"/>
        </w:rPr>
        <w:t>4.2</w:t>
      </w:r>
      <w:r>
        <w:rPr>
          <w:rFonts w:ascii="黑体" w:hAnsi="黑体" w:eastAsia="黑体" w:cs="黑体"/>
          <w:spacing w:val="42"/>
          <w:sz w:val="25"/>
          <w:szCs w:val="25"/>
        </w:rPr>
        <w:t xml:space="preserve">  </w:t>
      </w:r>
      <w:r>
        <w:rPr>
          <w:rFonts w:ascii="黑体" w:hAnsi="黑体" w:eastAsia="黑体" w:cs="黑体"/>
          <w:b/>
          <w:bCs/>
          <w:spacing w:val="11"/>
          <w:sz w:val="25"/>
          <w:szCs w:val="25"/>
        </w:rPr>
        <w:t>检验条件</w:t>
      </w:r>
    </w:p>
    <w:p w14:paraId="7A6A8528">
      <w:pPr>
        <w:pStyle w:val="2"/>
        <w:spacing w:before="63" w:line="285" w:lineRule="auto"/>
        <w:ind w:right="3" w:firstLine="550"/>
        <w:jc w:val="both"/>
      </w:pPr>
      <w:r>
        <w:rPr>
          <w:spacing w:val="5"/>
        </w:rPr>
        <w:t>本条规定进行各种检验的环境条件。当环境条件等对检验结果有明显的影</w:t>
      </w:r>
      <w:r>
        <w:t xml:space="preserve"> </w:t>
      </w:r>
      <w:r>
        <w:rPr>
          <w:spacing w:val="5"/>
        </w:rPr>
        <w:t>响时，应规定检验条件，以保证检验结果的可靠程度和可比性，否则，可不作</w:t>
      </w:r>
      <w:r>
        <w:rPr>
          <w:spacing w:val="6"/>
        </w:rPr>
        <w:t xml:space="preserve"> </w:t>
      </w:r>
      <w:r>
        <w:rPr>
          <w:spacing w:val="-4"/>
        </w:rPr>
        <w:t>规定。</w:t>
      </w:r>
    </w:p>
    <w:p w14:paraId="24486151">
      <w:pPr>
        <w:pStyle w:val="2"/>
        <w:spacing w:line="218" w:lineRule="auto"/>
        <w:ind w:left="550"/>
      </w:pPr>
      <w:r>
        <w:rPr>
          <w:spacing w:val="2"/>
        </w:rPr>
        <w:t>检验条件应采用下列表述形式：</w:t>
      </w:r>
    </w:p>
    <w:p w14:paraId="0B548714">
      <w:pPr>
        <w:spacing w:before="106" w:line="220" w:lineRule="auto"/>
        <w:ind w:left="550"/>
        <w:rPr>
          <w:rFonts w:ascii="仿宋" w:hAnsi="仿宋" w:eastAsia="仿宋" w:cs="仿宋"/>
          <w:sz w:val="24"/>
          <w:szCs w:val="24"/>
        </w:rPr>
      </w:pPr>
      <w:r>
        <w:rPr>
          <w:rFonts w:ascii="仿宋" w:hAnsi="仿宋" w:eastAsia="仿宋" w:cs="仿宋"/>
          <w:spacing w:val="11"/>
          <w:sz w:val="24"/>
          <w:szCs w:val="24"/>
        </w:rPr>
        <w:t>4.</w:t>
      </w:r>
      <w:r>
        <w:rPr>
          <w:rFonts w:ascii="仿宋" w:hAnsi="仿宋" w:eastAsia="仿宋" w:cs="仿宋"/>
          <w:spacing w:val="-68"/>
          <w:sz w:val="24"/>
          <w:szCs w:val="24"/>
        </w:rPr>
        <w:t xml:space="preserve"> </w:t>
      </w:r>
      <w:r>
        <w:rPr>
          <w:rFonts w:ascii="仿宋" w:hAnsi="仿宋" w:eastAsia="仿宋" w:cs="仿宋"/>
          <w:spacing w:val="11"/>
          <w:sz w:val="24"/>
          <w:szCs w:val="24"/>
        </w:rPr>
        <w:t>×</w:t>
      </w:r>
      <w:r>
        <w:rPr>
          <w:rFonts w:ascii="仿宋" w:hAnsi="仿宋" w:eastAsia="仿宋" w:cs="仿宋"/>
          <w:spacing w:val="52"/>
          <w:sz w:val="24"/>
          <w:szCs w:val="24"/>
        </w:rPr>
        <w:t xml:space="preserve">  </w:t>
      </w:r>
      <w:r>
        <w:rPr>
          <w:rFonts w:ascii="仿宋" w:hAnsi="仿宋" w:eastAsia="仿宋" w:cs="仿宋"/>
          <w:spacing w:val="11"/>
          <w:sz w:val="24"/>
          <w:szCs w:val="24"/>
        </w:rPr>
        <w:t>检验条件</w:t>
      </w:r>
    </w:p>
    <w:p w14:paraId="5F16BF0C">
      <w:pPr>
        <w:spacing w:before="116" w:line="318" w:lineRule="auto"/>
        <w:ind w:right="26" w:firstLine="550"/>
        <w:rPr>
          <w:rFonts w:ascii="仿宋" w:hAnsi="仿宋" w:eastAsia="仿宋" w:cs="仿宋"/>
          <w:sz w:val="24"/>
          <w:szCs w:val="24"/>
        </w:rPr>
      </w:pPr>
      <w:r>
        <w:rPr>
          <w:rFonts w:ascii="仿宋" w:hAnsi="仿宋" w:eastAsia="仿宋" w:cs="仿宋"/>
          <w:spacing w:val="30"/>
          <w:sz w:val="24"/>
          <w:szCs w:val="24"/>
        </w:rPr>
        <w:t>除另有规定外，应按×××(标明相应试验方法标准编号与</w:t>
      </w:r>
      <w:r>
        <w:rPr>
          <w:rFonts w:ascii="仿宋" w:hAnsi="仿宋" w:eastAsia="仿宋" w:cs="仿宋"/>
          <w:spacing w:val="29"/>
          <w:sz w:val="24"/>
          <w:szCs w:val="24"/>
        </w:rPr>
        <w:t>章条号或本规范</w:t>
      </w:r>
      <w:r>
        <w:rPr>
          <w:rFonts w:ascii="仿宋" w:hAnsi="仿宋" w:eastAsia="仿宋" w:cs="仿宋"/>
          <w:sz w:val="24"/>
          <w:szCs w:val="24"/>
        </w:rPr>
        <w:t xml:space="preserve"> </w:t>
      </w:r>
      <w:r>
        <w:rPr>
          <w:rFonts w:ascii="仿宋" w:hAnsi="仿宋" w:eastAsia="仿宋" w:cs="仿宋"/>
          <w:spacing w:val="31"/>
          <w:sz w:val="24"/>
          <w:szCs w:val="24"/>
        </w:rPr>
        <w:t>相应的章条号)规定的条件进行所有检验。</w:t>
      </w:r>
    </w:p>
    <w:p w14:paraId="1FC3E4AB">
      <w:pPr>
        <w:pStyle w:val="2"/>
        <w:spacing w:before="2" w:line="222" w:lineRule="auto"/>
        <w:ind w:left="550"/>
        <w:rPr>
          <w:sz w:val="25"/>
          <w:szCs w:val="25"/>
        </w:rPr>
      </w:pPr>
      <w:r>
        <w:rPr>
          <w:spacing w:val="4"/>
          <w:sz w:val="25"/>
          <w:szCs w:val="25"/>
        </w:rPr>
        <w:t>或：</w:t>
      </w:r>
    </w:p>
    <w:p w14:paraId="5EDE9844">
      <w:pPr>
        <w:spacing w:before="88" w:line="220" w:lineRule="auto"/>
        <w:ind w:left="550"/>
        <w:rPr>
          <w:rFonts w:ascii="仿宋" w:hAnsi="仿宋" w:eastAsia="仿宋" w:cs="仿宋"/>
          <w:sz w:val="25"/>
          <w:szCs w:val="25"/>
        </w:rPr>
      </w:pPr>
      <w:r>
        <w:rPr>
          <w:rFonts w:ascii="仿宋" w:hAnsi="仿宋" w:eastAsia="仿宋" w:cs="仿宋"/>
          <w:spacing w:val="5"/>
          <w:sz w:val="25"/>
          <w:szCs w:val="25"/>
        </w:rPr>
        <w:t>4.</w:t>
      </w:r>
      <w:r>
        <w:rPr>
          <w:rFonts w:ascii="仿宋" w:hAnsi="仿宋" w:eastAsia="仿宋" w:cs="仿宋"/>
          <w:spacing w:val="-72"/>
          <w:sz w:val="25"/>
          <w:szCs w:val="25"/>
        </w:rPr>
        <w:t xml:space="preserve"> </w:t>
      </w:r>
      <w:r>
        <w:rPr>
          <w:rFonts w:ascii="仿宋" w:hAnsi="仿宋" w:eastAsia="仿宋" w:cs="仿宋"/>
          <w:spacing w:val="5"/>
          <w:sz w:val="25"/>
          <w:szCs w:val="25"/>
        </w:rPr>
        <w:t>×</w:t>
      </w:r>
      <w:r>
        <w:rPr>
          <w:rFonts w:ascii="仿宋" w:hAnsi="仿宋" w:eastAsia="仿宋" w:cs="仿宋"/>
          <w:spacing w:val="38"/>
          <w:sz w:val="25"/>
          <w:szCs w:val="25"/>
        </w:rPr>
        <w:t xml:space="preserve">  </w:t>
      </w:r>
      <w:r>
        <w:rPr>
          <w:rFonts w:ascii="仿宋" w:hAnsi="仿宋" w:eastAsia="仿宋" w:cs="仿宋"/>
          <w:spacing w:val="5"/>
          <w:sz w:val="25"/>
          <w:szCs w:val="25"/>
        </w:rPr>
        <w:t>检验条件</w:t>
      </w:r>
    </w:p>
    <w:p w14:paraId="7F328062">
      <w:pPr>
        <w:spacing w:before="112" w:line="219" w:lineRule="auto"/>
        <w:ind w:left="550"/>
        <w:rPr>
          <w:rFonts w:ascii="仿宋" w:hAnsi="仿宋" w:eastAsia="仿宋" w:cs="仿宋"/>
          <w:sz w:val="25"/>
          <w:szCs w:val="25"/>
        </w:rPr>
      </w:pPr>
      <w:r>
        <w:rPr>
          <w:rFonts w:ascii="仿宋" w:hAnsi="仿宋" w:eastAsia="仿宋" w:cs="仿宋"/>
          <w:spacing w:val="15"/>
          <w:sz w:val="25"/>
          <w:szCs w:val="25"/>
        </w:rPr>
        <w:t>除另有规定外，应在下列条件下进行所有检验：</w:t>
      </w:r>
    </w:p>
    <w:p w14:paraId="15BFDEE3">
      <w:pPr>
        <w:spacing w:before="109" w:line="192" w:lineRule="auto"/>
        <w:ind w:left="55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a)……;</w:t>
      </w:r>
    </w:p>
    <w:p w14:paraId="7357C56E">
      <w:pPr>
        <w:spacing w:before="190" w:line="192" w:lineRule="auto"/>
        <w:ind w:left="550"/>
        <w:rPr>
          <w:rFonts w:ascii="Times New Roman" w:hAnsi="Times New Roman" w:eastAsia="Times New Roman" w:cs="Times New Roman"/>
          <w:sz w:val="25"/>
          <w:szCs w:val="25"/>
        </w:rPr>
      </w:pPr>
      <w:r>
        <w:rPr>
          <w:rFonts w:ascii="Times New Roman" w:hAnsi="Times New Roman" w:eastAsia="Times New Roman" w:cs="Times New Roman"/>
          <w:sz w:val="25"/>
          <w:szCs w:val="25"/>
        </w:rPr>
        <w:t>b)……;</w:t>
      </w:r>
    </w:p>
    <w:p w14:paraId="43341D42">
      <w:pPr>
        <w:pStyle w:val="2"/>
        <w:spacing w:before="171" w:line="183" w:lineRule="auto"/>
        <w:ind w:left="550"/>
        <w:rPr>
          <w:sz w:val="25"/>
          <w:szCs w:val="25"/>
        </w:rPr>
      </w:pPr>
      <w:r>
        <w:rPr>
          <w:rFonts w:ascii="Times New Roman" w:hAnsi="Times New Roman" w:eastAsia="Times New Roman" w:cs="Times New Roman"/>
          <w:spacing w:val="-13"/>
          <w:sz w:val="25"/>
          <w:szCs w:val="25"/>
        </w:rPr>
        <w:t>c)</w:t>
      </w:r>
      <w:r>
        <w:rPr>
          <w:rFonts w:ascii="Times New Roman" w:hAnsi="Times New Roman" w:eastAsia="Times New Roman" w:cs="Times New Roman"/>
          <w:spacing w:val="-35"/>
          <w:sz w:val="25"/>
          <w:szCs w:val="25"/>
        </w:rPr>
        <w:t xml:space="preserve"> </w:t>
      </w:r>
      <w:r>
        <w:rPr>
          <w:rFonts w:ascii="Times New Roman" w:hAnsi="Times New Roman" w:eastAsia="Times New Roman" w:cs="Times New Roman"/>
          <w:spacing w:val="-13"/>
          <w:sz w:val="25"/>
          <w:szCs w:val="25"/>
        </w:rPr>
        <w:t>…</w:t>
      </w:r>
      <w:r>
        <w:rPr>
          <w:rFonts w:ascii="Times New Roman" w:hAnsi="Times New Roman" w:eastAsia="Times New Roman" w:cs="Times New Roman"/>
          <w:spacing w:val="-35"/>
          <w:sz w:val="25"/>
          <w:szCs w:val="25"/>
        </w:rPr>
        <w:t xml:space="preserve"> </w:t>
      </w:r>
      <w:r>
        <w:rPr>
          <w:rFonts w:ascii="Times New Roman" w:hAnsi="Times New Roman" w:eastAsia="Times New Roman" w:cs="Times New Roman"/>
          <w:spacing w:val="-13"/>
          <w:sz w:val="25"/>
          <w:szCs w:val="25"/>
        </w:rPr>
        <w:t>…</w:t>
      </w:r>
      <w:r>
        <w:rPr>
          <w:spacing w:val="-13"/>
          <w:sz w:val="25"/>
          <w:szCs w:val="25"/>
        </w:rPr>
        <w:t>。</w:t>
      </w:r>
    </w:p>
    <w:p w14:paraId="3602852A">
      <w:pPr>
        <w:spacing w:before="146" w:line="221"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b/>
          <w:bCs/>
          <w:spacing w:val="-2"/>
          <w:sz w:val="27"/>
          <w:szCs w:val="27"/>
        </w:rPr>
        <w:t>3</w:t>
      </w:r>
      <w:r>
        <w:rPr>
          <w:rFonts w:ascii="黑体" w:hAnsi="黑体" w:eastAsia="黑体" w:cs="黑体"/>
          <w:spacing w:val="23"/>
          <w:sz w:val="27"/>
          <w:szCs w:val="27"/>
        </w:rPr>
        <w:t xml:space="preserve">  </w:t>
      </w:r>
      <w:r>
        <w:rPr>
          <w:rFonts w:ascii="黑体" w:hAnsi="黑体" w:eastAsia="黑体" w:cs="黑体"/>
          <w:b/>
          <w:bCs/>
          <w:spacing w:val="-2"/>
          <w:sz w:val="27"/>
          <w:szCs w:val="27"/>
        </w:rPr>
        <w:t>定型(或鉴定)试验</w:t>
      </w:r>
    </w:p>
    <w:p w14:paraId="27D63ED2">
      <w:pPr>
        <w:pStyle w:val="2"/>
        <w:spacing w:before="100" w:line="275" w:lineRule="auto"/>
        <w:ind w:right="3" w:firstLine="550"/>
        <w:jc w:val="both"/>
      </w:pPr>
      <w:r>
        <w:rPr>
          <w:spacing w:val="-3"/>
        </w:rPr>
        <w:t>若选择了定型(或鉴定)试验，本条则规定检验项目、检验</w:t>
      </w:r>
      <w:r>
        <w:rPr>
          <w:spacing w:val="-4"/>
        </w:rPr>
        <w:t>顺序、受检样品数</w:t>
      </w:r>
      <w:r>
        <w:t xml:space="preserve"> </w:t>
      </w:r>
      <w:r>
        <w:rPr>
          <w:spacing w:val="9"/>
        </w:rPr>
        <w:t>及合格判据。宜用表列出定型(或鉴定)检验项目、相应的规范第3章</w:t>
      </w:r>
      <w:r>
        <w:rPr>
          <w:spacing w:val="8"/>
        </w:rPr>
        <w:t>要求和第</w:t>
      </w:r>
      <w:r>
        <w:t xml:space="preserve"> </w:t>
      </w:r>
      <w:r>
        <w:rPr>
          <w:spacing w:val="8"/>
        </w:rPr>
        <w:t>4章中检验方法的章条号。</w:t>
      </w:r>
    </w:p>
    <w:p w14:paraId="432BA84E">
      <w:pPr>
        <w:spacing w:line="222" w:lineRule="auto"/>
        <w:rPr>
          <w:rFonts w:ascii="黑体" w:hAnsi="黑体" w:eastAsia="黑体" w:cs="黑体"/>
          <w:sz w:val="27"/>
          <w:szCs w:val="27"/>
        </w:rPr>
      </w:pPr>
      <w:r>
        <w:rPr>
          <w:rFonts w:ascii="黑体" w:hAnsi="黑体" w:eastAsia="黑体" w:cs="黑体"/>
          <w:spacing w:val="-1"/>
          <w:sz w:val="27"/>
          <w:szCs w:val="27"/>
        </w:rPr>
        <w:t>4.4</w:t>
      </w:r>
      <w:r>
        <w:rPr>
          <w:rFonts w:ascii="黑体" w:hAnsi="黑体" w:eastAsia="黑体" w:cs="黑体"/>
          <w:spacing w:val="18"/>
          <w:sz w:val="27"/>
          <w:szCs w:val="27"/>
        </w:rPr>
        <w:t xml:space="preserve">  </w:t>
      </w:r>
      <w:r>
        <w:rPr>
          <w:rFonts w:ascii="黑体" w:hAnsi="黑体" w:eastAsia="黑体" w:cs="黑体"/>
          <w:b/>
          <w:bCs/>
          <w:spacing w:val="-1"/>
          <w:sz w:val="27"/>
          <w:szCs w:val="27"/>
        </w:rPr>
        <w:t>首件检验</w:t>
      </w:r>
    </w:p>
    <w:p w14:paraId="7ECF0616">
      <w:pPr>
        <w:pStyle w:val="2"/>
        <w:spacing w:before="99" w:line="275" w:lineRule="auto"/>
        <w:ind w:firstLine="550"/>
        <w:jc w:val="both"/>
      </w:pPr>
      <w:r>
        <w:rPr>
          <w:spacing w:val="-3"/>
        </w:rPr>
        <w:t>若选择了首件试验，本条则规定检验项目、检验顺序、受检样品数及</w:t>
      </w:r>
      <w:r>
        <w:rPr>
          <w:spacing w:val="-4"/>
        </w:rPr>
        <w:t>合格判</w:t>
      </w:r>
      <w:r>
        <w:t xml:space="preserve"> </w:t>
      </w:r>
      <w:r>
        <w:rPr>
          <w:spacing w:val="13"/>
        </w:rPr>
        <w:t>据。宜用表列出首件检验项目、相应的规范第3章要求和第4章中检验方法的</w:t>
      </w:r>
      <w:r>
        <w:rPr>
          <w:spacing w:val="8"/>
        </w:rPr>
        <w:t xml:space="preserve"> </w:t>
      </w:r>
      <w:r>
        <w:rPr>
          <w:spacing w:val="-3"/>
        </w:rPr>
        <w:t>章条号。</w:t>
      </w:r>
    </w:p>
    <w:p w14:paraId="00A2DA6A">
      <w:pPr>
        <w:spacing w:before="10" w:line="222" w:lineRule="auto"/>
        <w:rPr>
          <w:rFonts w:ascii="黑体" w:hAnsi="黑体" w:eastAsia="黑体" w:cs="黑体"/>
          <w:sz w:val="27"/>
          <w:szCs w:val="27"/>
        </w:rPr>
      </w:pPr>
      <w:r>
        <w:rPr>
          <w:rFonts w:ascii="黑体" w:hAnsi="黑体" w:eastAsia="黑体" w:cs="黑体"/>
          <w:spacing w:val="-4"/>
          <w:sz w:val="27"/>
          <w:szCs w:val="27"/>
        </w:rPr>
        <w:t>4.5</w:t>
      </w:r>
      <w:r>
        <w:rPr>
          <w:rFonts w:ascii="黑体" w:hAnsi="黑体" w:eastAsia="黑体" w:cs="黑体"/>
          <w:spacing w:val="17"/>
          <w:sz w:val="27"/>
          <w:szCs w:val="27"/>
        </w:rPr>
        <w:t xml:space="preserve">  </w:t>
      </w:r>
      <w:r>
        <w:rPr>
          <w:rFonts w:ascii="黑体" w:hAnsi="黑体" w:eastAsia="黑体" w:cs="黑体"/>
          <w:b/>
          <w:bCs/>
          <w:spacing w:val="-4"/>
          <w:sz w:val="27"/>
          <w:szCs w:val="27"/>
        </w:rPr>
        <w:t>质量一致性检验</w:t>
      </w:r>
    </w:p>
    <w:p w14:paraId="6ED4A4DA">
      <w:pPr>
        <w:pStyle w:val="2"/>
        <w:spacing w:before="91" w:line="271" w:lineRule="auto"/>
        <w:ind w:right="1" w:firstLine="550"/>
        <w:jc w:val="both"/>
      </w:pPr>
      <w:r>
        <w:rPr>
          <w:spacing w:val="-3"/>
        </w:rPr>
        <w:t>若选择了质量一致性检验，本条则规定检验项目、检验顺</w:t>
      </w:r>
      <w:r>
        <w:rPr>
          <w:spacing w:val="-4"/>
        </w:rPr>
        <w:t>序、受检样品数及</w:t>
      </w:r>
      <w:r>
        <w:t xml:space="preserve"> </w:t>
      </w:r>
      <w:r>
        <w:rPr>
          <w:spacing w:val="13"/>
        </w:rPr>
        <w:t>合格判据。宜用表列出质量一致性检验项目、相应的规范第3章要求和第4章</w:t>
      </w:r>
      <w:r>
        <w:rPr>
          <w:spacing w:val="6"/>
        </w:rPr>
        <w:t xml:space="preserve"> </w:t>
      </w:r>
      <w:r>
        <w:t>中检验方法的章条号。</w:t>
      </w:r>
    </w:p>
    <w:p w14:paraId="22045667">
      <w:pPr>
        <w:pStyle w:val="2"/>
        <w:spacing w:before="29" w:line="276" w:lineRule="auto"/>
        <w:ind w:right="1" w:firstLine="550"/>
      </w:pPr>
      <w:r>
        <w:rPr>
          <w:spacing w:val="-3"/>
        </w:rPr>
        <w:t>质量一致性检验是否分组，分几个组，应视情确定。质量一致性检验</w:t>
      </w:r>
      <w:r>
        <w:rPr>
          <w:spacing w:val="-4"/>
        </w:rPr>
        <w:t>组别划</w:t>
      </w:r>
      <w:r>
        <w:t xml:space="preserve"> </w:t>
      </w:r>
      <w:r>
        <w:rPr>
          <w:spacing w:val="8"/>
        </w:rPr>
        <w:t>分的一般原则见</w:t>
      </w:r>
      <w:r>
        <w:rPr>
          <w:rFonts w:ascii="Times New Roman" w:hAnsi="Times New Roman" w:eastAsia="Times New Roman" w:cs="Times New Roman"/>
        </w:rPr>
        <w:t>GJB</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8"/>
        </w:rPr>
        <w:t>0.2—2001</w:t>
      </w:r>
      <w:r>
        <w:rPr>
          <w:spacing w:val="8"/>
        </w:rPr>
        <w:t>的附录</w:t>
      </w:r>
      <w:r>
        <w:rPr>
          <w:rFonts w:ascii="Times New Roman" w:hAnsi="Times New Roman" w:eastAsia="Times New Roman" w:cs="Times New Roman"/>
          <w:spacing w:val="8"/>
        </w:rPr>
        <w:t>C</w:t>
      </w:r>
      <w:r>
        <w:rPr>
          <w:spacing w:val="8"/>
        </w:rPr>
        <w:t>。</w:t>
      </w:r>
    </w:p>
    <w:p w14:paraId="3411A741">
      <w:pPr>
        <w:spacing w:before="1" w:line="221" w:lineRule="auto"/>
        <w:rPr>
          <w:rFonts w:ascii="黑体" w:hAnsi="黑体" w:eastAsia="黑体" w:cs="黑体"/>
          <w:sz w:val="27"/>
          <w:szCs w:val="27"/>
        </w:rPr>
      </w:pPr>
      <w:r>
        <w:rPr>
          <w:rFonts w:ascii="黑体" w:hAnsi="黑体" w:eastAsia="黑体" w:cs="黑体"/>
          <w:spacing w:val="-1"/>
          <w:sz w:val="27"/>
          <w:szCs w:val="27"/>
        </w:rPr>
        <w:t>4.6</w:t>
      </w:r>
      <w:r>
        <w:rPr>
          <w:rFonts w:ascii="黑体" w:hAnsi="黑体" w:eastAsia="黑体" w:cs="黑体"/>
          <w:spacing w:val="18"/>
          <w:sz w:val="27"/>
          <w:szCs w:val="27"/>
        </w:rPr>
        <w:t xml:space="preserve">  </w:t>
      </w:r>
      <w:r>
        <w:rPr>
          <w:rFonts w:ascii="黑体" w:hAnsi="黑体" w:eastAsia="黑体" w:cs="黑体"/>
          <w:b/>
          <w:bCs/>
          <w:spacing w:val="-1"/>
          <w:sz w:val="27"/>
          <w:szCs w:val="27"/>
        </w:rPr>
        <w:t>包装检验</w:t>
      </w:r>
    </w:p>
    <w:p w14:paraId="58F6C8C5">
      <w:pPr>
        <w:pStyle w:val="2"/>
        <w:spacing w:before="99" w:line="283" w:lineRule="auto"/>
        <w:ind w:right="10" w:firstLine="550"/>
      </w:pPr>
      <w:r>
        <w:rPr>
          <w:spacing w:val="-11"/>
        </w:rPr>
        <w:t>若需要对包装件进行检验，本条则规定检验项目、检验顺序、抽</w:t>
      </w:r>
      <w:r>
        <w:rPr>
          <w:spacing w:val="-12"/>
        </w:rPr>
        <w:t>样方案、检验</w:t>
      </w:r>
      <w:r>
        <w:t xml:space="preserve"> </w:t>
      </w:r>
      <w:r>
        <w:rPr>
          <w:spacing w:val="1"/>
        </w:rPr>
        <w:t>方法及合格判据。</w:t>
      </w:r>
    </w:p>
    <w:p w14:paraId="68E1831C">
      <w:pPr>
        <w:spacing w:line="283" w:lineRule="auto"/>
        <w:sectPr>
          <w:footerReference r:id="rId288" w:type="default"/>
          <w:pgSz w:w="11910" w:h="17130"/>
          <w:pgMar w:top="1456" w:right="1528" w:bottom="1670" w:left="1019" w:header="0" w:footer="1463" w:gutter="0"/>
          <w:cols w:space="720" w:num="1"/>
        </w:sectPr>
      </w:pPr>
    </w:p>
    <w:p w14:paraId="4F5795E5">
      <w:pPr>
        <w:spacing w:before="141" w:line="224" w:lineRule="auto"/>
        <w:rPr>
          <w:rFonts w:ascii="黑体" w:hAnsi="黑体" w:eastAsia="黑体" w:cs="黑体"/>
          <w:sz w:val="25"/>
          <w:szCs w:val="25"/>
        </w:rPr>
      </w:pPr>
      <w:r>
        <w:rPr>
          <w:rFonts w:ascii="黑体" w:hAnsi="黑体" w:eastAsia="黑体" w:cs="黑体"/>
          <w:spacing w:val="-4"/>
          <w:sz w:val="25"/>
          <w:szCs w:val="25"/>
        </w:rPr>
        <w:t>4.7</w:t>
      </w:r>
      <w:r>
        <w:rPr>
          <w:rFonts w:ascii="黑体" w:hAnsi="黑体" w:eastAsia="黑体" w:cs="黑体"/>
          <w:spacing w:val="35"/>
          <w:sz w:val="25"/>
          <w:szCs w:val="25"/>
        </w:rPr>
        <w:t xml:space="preserve">  </w:t>
      </w:r>
      <w:r>
        <w:rPr>
          <w:rFonts w:ascii="黑体" w:hAnsi="黑体" w:eastAsia="黑体" w:cs="黑体"/>
          <w:b/>
          <w:bCs/>
          <w:spacing w:val="-4"/>
          <w:sz w:val="25"/>
          <w:szCs w:val="25"/>
        </w:rPr>
        <w:t>抽</w:t>
      </w:r>
      <w:r>
        <w:rPr>
          <w:rFonts w:ascii="黑体" w:hAnsi="黑体" w:eastAsia="黑体" w:cs="黑体"/>
          <w:spacing w:val="-50"/>
          <w:sz w:val="25"/>
          <w:szCs w:val="25"/>
        </w:rPr>
        <w:t xml:space="preserve"> </w:t>
      </w:r>
      <w:r>
        <w:rPr>
          <w:rFonts w:ascii="黑体" w:hAnsi="黑体" w:eastAsia="黑体" w:cs="黑体"/>
          <w:b/>
          <w:bCs/>
          <w:spacing w:val="-4"/>
          <w:sz w:val="25"/>
          <w:szCs w:val="25"/>
        </w:rPr>
        <w:t>样</w:t>
      </w:r>
    </w:p>
    <w:p w14:paraId="5BB81288">
      <w:pPr>
        <w:pStyle w:val="2"/>
        <w:spacing w:before="88" w:line="219" w:lineRule="auto"/>
        <w:ind w:left="550"/>
      </w:pPr>
      <w:r>
        <w:rPr>
          <w:spacing w:val="-7"/>
        </w:rPr>
        <w:t>若检验采用抽样，本条则确定：</w:t>
      </w:r>
    </w:p>
    <w:p w14:paraId="417AF780">
      <w:pPr>
        <w:pStyle w:val="2"/>
        <w:spacing w:before="60" w:line="212" w:lineRule="auto"/>
        <w:ind w:left="550"/>
      </w:pPr>
      <w:r>
        <w:rPr>
          <w:rFonts w:ascii="Times New Roman" w:hAnsi="Times New Roman" w:eastAsia="Times New Roman" w:cs="Times New Roman"/>
          <w:spacing w:val="-9"/>
        </w:rPr>
        <w:t xml:space="preserve">a)  </w:t>
      </w:r>
      <w:r>
        <w:rPr>
          <w:spacing w:val="-9"/>
        </w:rPr>
        <w:t>组批规则，包括组批条件、方法和批量；</w:t>
      </w:r>
    </w:p>
    <w:p w14:paraId="208BEC20">
      <w:pPr>
        <w:pStyle w:val="2"/>
        <w:spacing w:before="51" w:line="271" w:lineRule="auto"/>
        <w:ind w:firstLine="550"/>
      </w:pPr>
      <w:r>
        <w:rPr>
          <w:rFonts w:ascii="Times New Roman" w:hAnsi="Times New Roman" w:eastAsia="Times New Roman" w:cs="Times New Roman"/>
          <w:spacing w:val="2"/>
        </w:rPr>
        <w:t>b)</w:t>
      </w:r>
      <w:r>
        <w:rPr>
          <w:rFonts w:ascii="Times New Roman" w:hAnsi="Times New Roman" w:eastAsia="Times New Roman" w:cs="Times New Roman"/>
          <w:spacing w:val="75"/>
          <w:w w:val="101"/>
        </w:rPr>
        <w:t xml:space="preserve"> </w:t>
      </w:r>
      <w:r>
        <w:rPr>
          <w:spacing w:val="2"/>
        </w:rPr>
        <w:t>抽样方案，包括检查水平(</w:t>
      </w:r>
      <w:r>
        <w:rPr>
          <w:rFonts w:ascii="Times New Roman" w:hAnsi="Times New Roman" w:eastAsia="Times New Roman" w:cs="Times New Roman"/>
        </w:rPr>
        <w:t>IL</w:t>
      </w:r>
      <w:r>
        <w:rPr>
          <w:rFonts w:ascii="Times New Roman" w:hAnsi="Times New Roman" w:eastAsia="Times New Roman" w:cs="Times New Roman"/>
          <w:spacing w:val="2"/>
        </w:rPr>
        <w:t>)</w:t>
      </w:r>
      <w:r>
        <w:rPr>
          <w:spacing w:val="2"/>
        </w:rPr>
        <w:t>、可接受质量水平(</w:t>
      </w:r>
      <w:r>
        <w:rPr>
          <w:rFonts w:ascii="Times New Roman" w:hAnsi="Times New Roman" w:eastAsia="Times New Roman" w:cs="Times New Roman"/>
        </w:rPr>
        <w:t>AQL</w:t>
      </w:r>
      <w:r>
        <w:rPr>
          <w:rFonts w:ascii="Times New Roman" w:hAnsi="Times New Roman" w:eastAsia="Times New Roman" w:cs="Times New Roman"/>
          <w:spacing w:val="2"/>
        </w:rPr>
        <w:t>)</w:t>
      </w:r>
      <w:r>
        <w:rPr>
          <w:rFonts w:ascii="Times New Roman" w:hAnsi="Times New Roman" w:eastAsia="Times New Roman" w:cs="Times New Roman"/>
          <w:spacing w:val="50"/>
        </w:rPr>
        <w:t xml:space="preserve"> </w:t>
      </w:r>
      <w:r>
        <w:rPr>
          <w:spacing w:val="2"/>
        </w:rPr>
        <w:t>或其他类型的质</w:t>
      </w:r>
      <w:r>
        <w:t xml:space="preserve"> </w:t>
      </w:r>
      <w:r>
        <w:rPr>
          <w:spacing w:val="-10"/>
        </w:rPr>
        <w:t>量水平，以及缺陷分类等；或采用非标准抽样方案，应包括置信度、质量水平和缺</w:t>
      </w:r>
      <w:r>
        <w:t xml:space="preserve"> </w:t>
      </w:r>
      <w:r>
        <w:rPr>
          <w:spacing w:val="-1"/>
        </w:rPr>
        <w:t>陷分类等；</w:t>
      </w:r>
    </w:p>
    <w:p w14:paraId="775AB622">
      <w:pPr>
        <w:pStyle w:val="2"/>
        <w:spacing w:before="79" w:line="212" w:lineRule="auto"/>
        <w:ind w:left="550"/>
      </w:pPr>
      <w:r>
        <w:rPr>
          <w:rFonts w:ascii="Times New Roman" w:hAnsi="Times New Roman" w:eastAsia="Times New Roman" w:cs="Times New Roman"/>
          <w:spacing w:val="-9"/>
        </w:rPr>
        <w:t xml:space="preserve">c)  </w:t>
      </w:r>
      <w:r>
        <w:rPr>
          <w:spacing w:val="-9"/>
        </w:rPr>
        <w:t>抽样条件(必要时),诸如过筛、筛选、磨合、</w:t>
      </w:r>
      <w:r>
        <w:rPr>
          <w:spacing w:val="-10"/>
        </w:rPr>
        <w:t>时效条件等；</w:t>
      </w:r>
    </w:p>
    <w:p w14:paraId="1EAF449E">
      <w:pPr>
        <w:pStyle w:val="2"/>
        <w:spacing w:before="90" w:line="212" w:lineRule="auto"/>
        <w:ind w:left="550"/>
      </w:pPr>
      <w:r>
        <w:rPr>
          <w:rFonts w:ascii="Times New Roman" w:hAnsi="Times New Roman" w:eastAsia="Times New Roman" w:cs="Times New Roman"/>
          <w:spacing w:val="3"/>
        </w:rPr>
        <w:t xml:space="preserve">d)  </w:t>
      </w:r>
      <w:r>
        <w:rPr>
          <w:spacing w:val="3"/>
        </w:rPr>
        <w:t>抽样或取样方法(必要时)。</w:t>
      </w:r>
    </w:p>
    <w:p w14:paraId="5A0DCED9">
      <w:pPr>
        <w:pStyle w:val="2"/>
        <w:spacing w:before="109" w:line="284" w:lineRule="auto"/>
        <w:ind w:right="8" w:firstLine="550"/>
      </w:pPr>
      <w:r>
        <w:rPr>
          <w:spacing w:val="-3"/>
        </w:rPr>
        <w:t>所规定的组批规则、抽样方案、抽样条件、抽样或取样方法应能保证样本与</w:t>
      </w:r>
      <w:r>
        <w:rPr>
          <w:spacing w:val="9"/>
        </w:rPr>
        <w:t xml:space="preserve"> </w:t>
      </w:r>
      <w:r>
        <w:rPr>
          <w:spacing w:val="3"/>
        </w:rPr>
        <w:t>总体的一致性。</w:t>
      </w:r>
    </w:p>
    <w:p w14:paraId="675FFD2A">
      <w:pPr>
        <w:pStyle w:val="2"/>
        <w:spacing w:before="1" w:line="218" w:lineRule="auto"/>
        <w:ind w:left="550"/>
      </w:pPr>
      <w:r>
        <w:rPr>
          <w:spacing w:val="1"/>
        </w:rPr>
        <w:t>确定组批规则和抽样方案时应考虑材料的特点、风险</w:t>
      </w:r>
      <w:r>
        <w:t>的危害程度和成本。</w:t>
      </w:r>
    </w:p>
    <w:p w14:paraId="219B2A3E">
      <w:pPr>
        <w:spacing w:before="75" w:line="221" w:lineRule="auto"/>
        <w:rPr>
          <w:rFonts w:ascii="黑体" w:hAnsi="黑体" w:eastAsia="黑体" w:cs="黑体"/>
          <w:sz w:val="27"/>
          <w:szCs w:val="27"/>
        </w:rPr>
      </w:pPr>
      <w:r>
        <w:rPr>
          <w:rFonts w:ascii="黑体" w:hAnsi="黑体" w:eastAsia="黑体" w:cs="黑体"/>
          <w:sz w:val="27"/>
          <w:szCs w:val="27"/>
        </w:rPr>
        <w:t>4.8</w:t>
      </w:r>
      <w:r>
        <w:rPr>
          <w:rFonts w:ascii="黑体" w:hAnsi="黑体" w:eastAsia="黑体" w:cs="黑体"/>
          <w:spacing w:val="11"/>
          <w:sz w:val="27"/>
          <w:szCs w:val="27"/>
        </w:rPr>
        <w:t xml:space="preserve">  </w:t>
      </w:r>
      <w:r>
        <w:rPr>
          <w:rFonts w:ascii="黑体" w:hAnsi="黑体" w:eastAsia="黑体" w:cs="黑体"/>
          <w:b/>
          <w:bCs/>
          <w:sz w:val="27"/>
          <w:szCs w:val="27"/>
        </w:rPr>
        <w:t>缺陷分类</w:t>
      </w:r>
    </w:p>
    <w:p w14:paraId="2C1656FA">
      <w:pPr>
        <w:pStyle w:val="2"/>
        <w:spacing w:before="92" w:line="267" w:lineRule="auto"/>
        <w:ind w:right="15" w:firstLine="550"/>
      </w:pPr>
      <w:r>
        <w:rPr>
          <w:spacing w:val="-3"/>
        </w:rPr>
        <w:t>适用时，本条可包含缺陷分类及其编码，以便在报告检验结果时引用。应按</w:t>
      </w:r>
      <w:r>
        <w:rPr>
          <w:spacing w:val="2"/>
        </w:rPr>
        <w:t xml:space="preserve"> </w:t>
      </w:r>
      <w:r>
        <w:rPr>
          <w:spacing w:val="-1"/>
        </w:rPr>
        <w:t>下述规定对分类的缺陷进行编码，以便在报告检验结果时引用：</w:t>
      </w:r>
    </w:p>
    <w:p w14:paraId="7FB2C5B2">
      <w:pPr>
        <w:pStyle w:val="2"/>
        <w:spacing w:line="212" w:lineRule="auto"/>
        <w:ind w:left="550"/>
      </w:pPr>
      <w:r>
        <w:rPr>
          <w:rFonts w:ascii="Times New Roman" w:hAnsi="Times New Roman" w:eastAsia="Times New Roman" w:cs="Times New Roman"/>
          <w:spacing w:val="-3"/>
        </w:rPr>
        <w:t xml:space="preserve">a)  </w:t>
      </w:r>
      <w:r>
        <w:rPr>
          <w:spacing w:val="-3"/>
        </w:rPr>
        <w:t>1～99 致命缺陷；</w:t>
      </w:r>
    </w:p>
    <w:p w14:paraId="3C810D3C">
      <w:pPr>
        <w:pStyle w:val="2"/>
        <w:spacing w:before="142" w:line="212" w:lineRule="auto"/>
        <w:ind w:left="550"/>
        <w:rPr>
          <w:sz w:val="24"/>
          <w:szCs w:val="24"/>
        </w:rPr>
      </w:pPr>
      <w:r>
        <w:rPr>
          <w:rFonts w:ascii="Times New Roman" w:hAnsi="Times New Roman" w:eastAsia="Times New Roman" w:cs="Times New Roman"/>
          <w:spacing w:val="10"/>
          <w:sz w:val="24"/>
          <w:szCs w:val="24"/>
        </w:rPr>
        <w:t>b)101</w:t>
      </w:r>
      <w:r>
        <w:rPr>
          <w:spacing w:val="10"/>
          <w:sz w:val="24"/>
          <w:szCs w:val="24"/>
        </w:rPr>
        <w:t>～</w:t>
      </w:r>
      <w:r>
        <w:rPr>
          <w:rFonts w:ascii="Times New Roman" w:hAnsi="Times New Roman" w:eastAsia="Times New Roman" w:cs="Times New Roman"/>
          <w:spacing w:val="10"/>
          <w:sz w:val="24"/>
          <w:szCs w:val="24"/>
        </w:rPr>
        <w:t>199</w:t>
      </w:r>
      <w:r>
        <w:rPr>
          <w:rFonts w:ascii="Times New Roman" w:hAnsi="Times New Roman" w:eastAsia="Times New Roman" w:cs="Times New Roman"/>
          <w:spacing w:val="4"/>
          <w:sz w:val="24"/>
          <w:szCs w:val="24"/>
        </w:rPr>
        <w:t xml:space="preserve">      </w:t>
      </w:r>
      <w:r>
        <w:rPr>
          <w:spacing w:val="10"/>
          <w:sz w:val="24"/>
          <w:szCs w:val="24"/>
        </w:rPr>
        <w:t>严重缺陷；</w:t>
      </w:r>
    </w:p>
    <w:p w14:paraId="5A888A62">
      <w:pPr>
        <w:pStyle w:val="2"/>
        <w:spacing w:before="124" w:line="212" w:lineRule="auto"/>
        <w:ind w:left="550"/>
        <w:rPr>
          <w:sz w:val="24"/>
          <w:szCs w:val="24"/>
        </w:rPr>
      </w:pPr>
      <w:r>
        <w:rPr>
          <w:rFonts w:ascii="Times New Roman" w:hAnsi="Times New Roman" w:eastAsia="Times New Roman" w:cs="Times New Roman"/>
          <w:spacing w:val="6"/>
          <w:sz w:val="24"/>
          <w:szCs w:val="24"/>
        </w:rPr>
        <w:t>c)201</w:t>
      </w:r>
      <w:r>
        <w:rPr>
          <w:spacing w:val="6"/>
          <w:sz w:val="24"/>
          <w:szCs w:val="24"/>
        </w:rPr>
        <w:t>～</w:t>
      </w:r>
      <w:r>
        <w:rPr>
          <w:rFonts w:ascii="Times New Roman" w:hAnsi="Times New Roman" w:eastAsia="Times New Roman" w:cs="Times New Roman"/>
          <w:spacing w:val="6"/>
          <w:sz w:val="24"/>
          <w:szCs w:val="24"/>
        </w:rPr>
        <w:t xml:space="preserve">299      </w:t>
      </w:r>
      <w:r>
        <w:rPr>
          <w:spacing w:val="6"/>
          <w:sz w:val="24"/>
          <w:szCs w:val="24"/>
        </w:rPr>
        <w:t>轻缺陷。</w:t>
      </w:r>
    </w:p>
    <w:p w14:paraId="7E0C1E2C">
      <w:pPr>
        <w:pStyle w:val="2"/>
        <w:spacing w:before="134" w:line="273" w:lineRule="auto"/>
        <w:ind w:right="19" w:firstLine="550"/>
        <w:rPr>
          <w:rFonts w:ascii="仿宋" w:hAnsi="仿宋" w:eastAsia="仿宋" w:cs="仿宋"/>
        </w:rPr>
      </w:pPr>
      <w:r>
        <w:rPr>
          <w:spacing w:val="1"/>
        </w:rPr>
        <w:t>如需分更多的类，可用301、401、501等数列进行编码。若某一类的缺</w:t>
      </w:r>
      <w:r>
        <w:t xml:space="preserve">陷数 </w:t>
      </w:r>
      <w:r>
        <w:rPr>
          <w:spacing w:val="-2"/>
        </w:rPr>
        <w:t>量大于99,则对超出部分用字母为后缀从头开始编码，</w:t>
      </w:r>
      <w:r>
        <w:rPr>
          <w:rFonts w:ascii="仿宋" w:hAnsi="仿宋" w:eastAsia="仿宋" w:cs="仿宋"/>
          <w:spacing w:val="-2"/>
        </w:rPr>
        <w:t>如101</w:t>
      </w:r>
      <w:r>
        <w:rPr>
          <w:rFonts w:ascii="Times New Roman" w:hAnsi="Times New Roman" w:eastAsia="Times New Roman" w:cs="Times New Roman"/>
          <w:spacing w:val="-2"/>
        </w:rPr>
        <w:t>a</w:t>
      </w:r>
      <w:r>
        <w:rPr>
          <w:spacing w:val="-2"/>
        </w:rPr>
        <w:t>、</w:t>
      </w:r>
      <w:r>
        <w:rPr>
          <w:rFonts w:ascii="Times New Roman" w:hAnsi="Times New Roman" w:eastAsia="Times New Roman" w:cs="Times New Roman"/>
          <w:spacing w:val="-2"/>
        </w:rPr>
        <w:t>102a</w:t>
      </w:r>
      <w:r>
        <w:rPr>
          <w:spacing w:val="-2"/>
        </w:rPr>
        <w:t>、</w:t>
      </w:r>
      <w:r>
        <w:rPr>
          <w:rFonts w:ascii="Times New Roman" w:hAnsi="Times New Roman" w:eastAsia="Times New Roman" w:cs="Times New Roman"/>
          <w:spacing w:val="-2"/>
        </w:rPr>
        <w:t>103a</w:t>
      </w:r>
      <w:r>
        <w:rPr>
          <w:rFonts w:ascii="Times New Roman" w:hAnsi="Times New Roman" w:eastAsia="Times New Roman" w:cs="Times New Roman"/>
          <w:spacing w:val="-7"/>
        </w:rPr>
        <w:t xml:space="preserve"> </w:t>
      </w:r>
      <w:r>
        <w:rPr>
          <w:rFonts w:ascii="仿宋" w:hAnsi="仿宋" w:eastAsia="仿宋" w:cs="仿宋"/>
          <w:spacing w:val="-2"/>
        </w:rPr>
        <w:t>等。</w:t>
      </w:r>
    </w:p>
    <w:p w14:paraId="28605A04">
      <w:pPr>
        <w:spacing w:before="34" w:line="221" w:lineRule="auto"/>
        <w:rPr>
          <w:rFonts w:ascii="黑体" w:hAnsi="黑体" w:eastAsia="黑体" w:cs="黑体"/>
          <w:sz w:val="25"/>
          <w:szCs w:val="25"/>
        </w:rPr>
      </w:pPr>
      <w:r>
        <w:rPr>
          <w:rFonts w:ascii="黑体" w:hAnsi="黑体" w:eastAsia="黑体" w:cs="黑体"/>
          <w:spacing w:val="11"/>
          <w:sz w:val="25"/>
          <w:szCs w:val="25"/>
        </w:rPr>
        <w:t>4.9</w:t>
      </w:r>
      <w:r>
        <w:rPr>
          <w:rFonts w:ascii="黑体" w:hAnsi="黑体" w:eastAsia="黑体" w:cs="黑体"/>
          <w:spacing w:val="37"/>
          <w:sz w:val="25"/>
          <w:szCs w:val="25"/>
        </w:rPr>
        <w:t xml:space="preserve">  </w:t>
      </w:r>
      <w:r>
        <w:rPr>
          <w:rFonts w:ascii="黑体" w:hAnsi="黑体" w:eastAsia="黑体" w:cs="黑体"/>
          <w:b/>
          <w:bCs/>
          <w:spacing w:val="11"/>
          <w:sz w:val="25"/>
          <w:szCs w:val="25"/>
        </w:rPr>
        <w:t>检验方法</w:t>
      </w:r>
    </w:p>
    <w:p w14:paraId="28565BE5">
      <w:pPr>
        <w:pStyle w:val="2"/>
        <w:spacing w:before="96" w:line="278" w:lineRule="auto"/>
        <w:ind w:right="17" w:firstLine="550"/>
        <w:jc w:val="both"/>
      </w:pPr>
      <w:r>
        <w:rPr>
          <w:spacing w:val="1"/>
        </w:rPr>
        <w:t>本条规定对规范第3章中材料各种特性要求进行检查、测定、试验、分析所</w:t>
      </w:r>
      <w:r>
        <w:t xml:space="preserve"> </w:t>
      </w:r>
      <w:r>
        <w:rPr>
          <w:spacing w:val="5"/>
        </w:rPr>
        <w:t>用的各种方法。若所用的检验方法已有适用的现行标准，则应直接引用或剪裁</w:t>
      </w:r>
      <w:r>
        <w:rPr>
          <w:spacing w:val="11"/>
        </w:rPr>
        <w:t xml:space="preserve"> </w:t>
      </w:r>
      <w:r>
        <w:rPr>
          <w:spacing w:val="-2"/>
        </w:rPr>
        <w:t>使用。若无标准可供引用，则应规定相应的检验方</w:t>
      </w:r>
      <w:r>
        <w:rPr>
          <w:spacing w:val="-3"/>
        </w:rPr>
        <w:t>法。</w:t>
      </w:r>
    </w:p>
    <w:p w14:paraId="4850D6E6">
      <w:pPr>
        <w:pStyle w:val="2"/>
        <w:spacing w:before="11" w:line="219" w:lineRule="auto"/>
        <w:ind w:left="550"/>
      </w:pPr>
      <w:r>
        <w:rPr>
          <w:spacing w:val="4"/>
        </w:rPr>
        <w:t>检验方法的主要构成要素及其编排顺序一般如下：</w:t>
      </w:r>
    </w:p>
    <w:p w14:paraId="6826D7FD">
      <w:pPr>
        <w:pStyle w:val="2"/>
        <w:spacing w:before="74" w:line="221" w:lineRule="auto"/>
        <w:ind w:left="550"/>
      </w:pPr>
      <w:r>
        <w:rPr>
          <w:rFonts w:ascii="Times New Roman" w:hAnsi="Times New Roman" w:eastAsia="Times New Roman" w:cs="Times New Roman"/>
          <w:spacing w:val="1"/>
        </w:rPr>
        <w:t>a</w:t>
      </w:r>
      <w:r>
        <w:rPr>
          <w:spacing w:val="1"/>
        </w:rPr>
        <w:t>)</w:t>
      </w:r>
      <w:r>
        <w:rPr>
          <w:spacing w:val="-49"/>
        </w:rPr>
        <w:t xml:space="preserve"> </w:t>
      </w:r>
      <w:r>
        <w:rPr>
          <w:spacing w:val="1"/>
        </w:rPr>
        <w:t>原理；</w:t>
      </w:r>
    </w:p>
    <w:p w14:paraId="6F2657DC">
      <w:pPr>
        <w:pStyle w:val="2"/>
        <w:spacing w:before="72" w:line="212" w:lineRule="auto"/>
        <w:ind w:left="550"/>
      </w:pPr>
      <w:r>
        <w:rPr>
          <w:rFonts w:ascii="Times New Roman" w:hAnsi="Times New Roman" w:eastAsia="Times New Roman" w:cs="Times New Roman"/>
          <w:spacing w:val="-4"/>
        </w:rPr>
        <w:t xml:space="preserve">b)  </w:t>
      </w:r>
      <w:r>
        <w:rPr>
          <w:spacing w:val="-4"/>
        </w:rPr>
        <w:t>检验用设备、仪器仪表或模型及其要求；</w:t>
      </w:r>
    </w:p>
    <w:p w14:paraId="35F0A730">
      <w:pPr>
        <w:pStyle w:val="2"/>
        <w:spacing w:before="80" w:line="212" w:lineRule="auto"/>
        <w:ind w:left="550"/>
      </w:pPr>
      <w:r>
        <w:rPr>
          <w:rFonts w:ascii="Times New Roman" w:hAnsi="Times New Roman" w:eastAsia="Times New Roman" w:cs="Times New Roman"/>
          <w:spacing w:val="-6"/>
        </w:rPr>
        <w:t>c)</w:t>
      </w:r>
      <w:r>
        <w:rPr>
          <w:rFonts w:ascii="Times New Roman" w:hAnsi="Times New Roman" w:eastAsia="Times New Roman" w:cs="Times New Roman"/>
          <w:spacing w:val="80"/>
        </w:rPr>
        <w:t xml:space="preserve"> </w:t>
      </w:r>
      <w:r>
        <w:rPr>
          <w:spacing w:val="-6"/>
        </w:rPr>
        <w:t>被试实体状态，包括技术状态、配套要求及安装调试要求；</w:t>
      </w:r>
    </w:p>
    <w:p w14:paraId="770F1563">
      <w:pPr>
        <w:pStyle w:val="2"/>
        <w:spacing w:before="100" w:line="212" w:lineRule="auto"/>
        <w:ind w:left="550"/>
      </w:pPr>
      <w:r>
        <w:rPr>
          <w:rFonts w:ascii="Times New Roman" w:hAnsi="Times New Roman" w:eastAsia="Times New Roman" w:cs="Times New Roman"/>
          <w:spacing w:val="-1"/>
        </w:rPr>
        <w:t xml:space="preserve">d)  </w:t>
      </w:r>
      <w:r>
        <w:rPr>
          <w:spacing w:val="-1"/>
        </w:rPr>
        <w:t>检验程序；</w:t>
      </w:r>
    </w:p>
    <w:p w14:paraId="29E3C8D8">
      <w:pPr>
        <w:pStyle w:val="2"/>
        <w:spacing w:before="90" w:line="212" w:lineRule="auto"/>
        <w:ind w:left="550"/>
      </w:pPr>
      <w:r>
        <w:rPr>
          <w:rFonts w:ascii="Times New Roman" w:hAnsi="Times New Roman" w:eastAsia="Times New Roman" w:cs="Times New Roman"/>
          <w:spacing w:val="-1"/>
        </w:rPr>
        <w:t>e)</w:t>
      </w:r>
      <w:r>
        <w:rPr>
          <w:rFonts w:ascii="Times New Roman" w:hAnsi="Times New Roman" w:eastAsia="Times New Roman" w:cs="Times New Roman"/>
          <w:spacing w:val="63"/>
          <w:w w:val="101"/>
        </w:rPr>
        <w:t xml:space="preserve"> </w:t>
      </w:r>
      <w:r>
        <w:rPr>
          <w:spacing w:val="-1"/>
        </w:rPr>
        <w:t>故障处理；</w:t>
      </w:r>
    </w:p>
    <w:p w14:paraId="33C57955">
      <w:pPr>
        <w:pStyle w:val="2"/>
        <w:spacing w:before="110" w:line="212" w:lineRule="auto"/>
        <w:ind w:left="550"/>
      </w:pPr>
      <w:r>
        <w:rPr>
          <w:rFonts w:ascii="Times New Roman" w:hAnsi="Times New Roman" w:eastAsia="Times New Roman" w:cs="Times New Roman"/>
          <w:spacing w:val="-9"/>
        </w:rPr>
        <w:t xml:space="preserve">f)  </w:t>
      </w:r>
      <w:r>
        <w:rPr>
          <w:spacing w:val="-9"/>
        </w:rPr>
        <w:t>结果的说明，包括计算方法、处理方法等；</w:t>
      </w:r>
    </w:p>
    <w:p w14:paraId="151ADF46">
      <w:pPr>
        <w:pStyle w:val="2"/>
        <w:spacing w:before="100" w:line="212" w:lineRule="auto"/>
        <w:ind w:left="550"/>
      </w:pPr>
      <w:r>
        <w:rPr>
          <w:rFonts w:ascii="Times New Roman" w:hAnsi="Times New Roman" w:eastAsia="Times New Roman" w:cs="Times New Roman"/>
          <w:spacing w:val="-1"/>
        </w:rPr>
        <w:t>g</w:t>
      </w:r>
      <w:r>
        <w:rPr>
          <w:spacing w:val="-1"/>
        </w:rPr>
        <w:t>)报告，如试验报告等。</w:t>
      </w:r>
    </w:p>
    <w:p w14:paraId="04351CB2">
      <w:pPr>
        <w:spacing w:before="114" w:line="221" w:lineRule="auto"/>
        <w:outlineLvl w:val="3"/>
        <w:rPr>
          <w:rFonts w:ascii="黑体" w:hAnsi="黑体" w:eastAsia="黑体" w:cs="黑体"/>
          <w:sz w:val="27"/>
          <w:szCs w:val="27"/>
        </w:rPr>
      </w:pPr>
      <w:r>
        <w:rPr>
          <w:rFonts w:ascii="Arial" w:hAnsi="Arial" w:eastAsia="Arial" w:cs="Arial"/>
          <w:b/>
          <w:bCs/>
          <w:spacing w:val="-9"/>
          <w:sz w:val="27"/>
          <w:szCs w:val="27"/>
        </w:rPr>
        <w:t xml:space="preserve">5    </w:t>
      </w:r>
      <w:r>
        <w:rPr>
          <w:rFonts w:ascii="黑体" w:hAnsi="黑体" w:eastAsia="黑体" w:cs="黑体"/>
          <w:b/>
          <w:bCs/>
          <w:spacing w:val="-9"/>
          <w:sz w:val="27"/>
          <w:szCs w:val="27"/>
        </w:rPr>
        <w:t>包装、运输与贮存</w:t>
      </w:r>
    </w:p>
    <w:p w14:paraId="0A9C8CFE">
      <w:pPr>
        <w:pStyle w:val="2"/>
        <w:spacing w:before="91" w:line="297" w:lineRule="auto"/>
        <w:ind w:right="20" w:firstLine="550"/>
      </w:pPr>
      <w:r>
        <w:rPr>
          <w:spacing w:val="-15"/>
        </w:rPr>
        <w:t>专用规范的第5章“包装、运输与贮存”为可选要素，规定防护包装、装箱、运</w:t>
      </w:r>
      <w:r>
        <w:rPr>
          <w:spacing w:val="18"/>
        </w:rPr>
        <w:t xml:space="preserve"> </w:t>
      </w:r>
      <w:r>
        <w:rPr>
          <w:spacing w:val="-3"/>
        </w:rPr>
        <w:t>输、贮存和标志要求。若有适用的现行标准，则应直接引用或剪裁使用。若无标</w:t>
      </w:r>
    </w:p>
    <w:p w14:paraId="34F4E5CA">
      <w:pPr>
        <w:spacing w:line="297" w:lineRule="auto"/>
        <w:sectPr>
          <w:footerReference r:id="rId289" w:type="default"/>
          <w:pgSz w:w="11910" w:h="17130"/>
          <w:pgMar w:top="1456" w:right="1099" w:bottom="1593" w:left="1430" w:header="0" w:footer="1395" w:gutter="0"/>
          <w:cols w:space="720" w:num="1"/>
        </w:sectPr>
      </w:pPr>
    </w:p>
    <w:p w14:paraId="53CA4F73">
      <w:pPr>
        <w:pStyle w:val="2"/>
        <w:spacing w:before="93" w:line="219" w:lineRule="auto"/>
      </w:pPr>
      <w:r>
        <w:rPr>
          <w:spacing w:val="-5"/>
        </w:rPr>
        <w:t>准可供引用，则应根据需要规定下述要求。</w:t>
      </w:r>
    </w:p>
    <w:p w14:paraId="1D0BB864">
      <w:pPr>
        <w:spacing w:before="65" w:line="221" w:lineRule="auto"/>
        <w:rPr>
          <w:rFonts w:ascii="黑体" w:hAnsi="黑体" w:eastAsia="黑体" w:cs="黑体"/>
          <w:sz w:val="27"/>
          <w:szCs w:val="27"/>
        </w:rPr>
      </w:pPr>
      <w:r>
        <w:rPr>
          <w:rFonts w:ascii="黑体" w:hAnsi="黑体" w:eastAsia="黑体" w:cs="黑体"/>
          <w:spacing w:val="-5"/>
          <w:sz w:val="27"/>
          <w:szCs w:val="27"/>
        </w:rPr>
        <w:t>5.1</w:t>
      </w:r>
      <w:r>
        <w:rPr>
          <w:rFonts w:ascii="黑体" w:hAnsi="黑体" w:eastAsia="黑体" w:cs="黑体"/>
          <w:spacing w:val="11"/>
          <w:sz w:val="27"/>
          <w:szCs w:val="27"/>
        </w:rPr>
        <w:t xml:space="preserve">  </w:t>
      </w:r>
      <w:r>
        <w:rPr>
          <w:rFonts w:ascii="黑体" w:hAnsi="黑体" w:eastAsia="黑体" w:cs="黑体"/>
          <w:b/>
          <w:bCs/>
          <w:spacing w:val="-5"/>
          <w:sz w:val="27"/>
          <w:szCs w:val="27"/>
        </w:rPr>
        <w:t>防护包装</w:t>
      </w:r>
    </w:p>
    <w:p w14:paraId="0CB2650E">
      <w:pPr>
        <w:pStyle w:val="2"/>
        <w:spacing w:before="41" w:line="300" w:lineRule="auto"/>
        <w:ind w:right="1" w:firstLine="570"/>
      </w:pPr>
      <w:r>
        <w:rPr>
          <w:spacing w:val="-19"/>
        </w:rPr>
        <w:t>规定防护</w:t>
      </w:r>
      <w:r>
        <w:rPr>
          <w:spacing w:val="-18"/>
        </w:rPr>
        <w:t>包装要求，包括清洗、干燥、涂覆防护剂、裹包</w:t>
      </w:r>
      <w:r>
        <w:rPr>
          <w:spacing w:val="-19"/>
        </w:rPr>
        <w:t>、单元包装、中间包</w:t>
      </w:r>
      <w:r>
        <w:rPr>
          <w:spacing w:val="-15"/>
        </w:rPr>
        <w:t>装</w:t>
      </w:r>
      <w:r>
        <w:t xml:space="preserve"> </w:t>
      </w:r>
      <w:r>
        <w:rPr>
          <w:spacing w:val="-3"/>
        </w:rPr>
        <w:t>等要求。</w:t>
      </w:r>
    </w:p>
    <w:p w14:paraId="0E3B4D67">
      <w:pPr>
        <w:spacing w:line="223" w:lineRule="auto"/>
        <w:rPr>
          <w:rFonts w:ascii="黑体" w:hAnsi="黑体" w:eastAsia="黑体" w:cs="黑体"/>
          <w:sz w:val="24"/>
          <w:szCs w:val="24"/>
        </w:rPr>
      </w:pPr>
      <w:r>
        <w:rPr>
          <w:rFonts w:ascii="黑体" w:hAnsi="黑体" w:eastAsia="黑体" w:cs="黑体"/>
          <w:spacing w:val="-6"/>
          <w:sz w:val="24"/>
          <w:szCs w:val="24"/>
        </w:rPr>
        <w:t>5.2</w:t>
      </w:r>
      <w:r>
        <w:rPr>
          <w:rFonts w:ascii="黑体" w:hAnsi="黑体" w:eastAsia="黑体" w:cs="黑体"/>
          <w:spacing w:val="50"/>
          <w:sz w:val="24"/>
          <w:szCs w:val="24"/>
        </w:rPr>
        <w:t xml:space="preserve">  </w:t>
      </w:r>
      <w:r>
        <w:rPr>
          <w:rFonts w:ascii="黑体" w:hAnsi="黑体" w:eastAsia="黑体" w:cs="黑体"/>
          <w:b/>
          <w:bCs/>
          <w:spacing w:val="-6"/>
          <w:sz w:val="24"/>
          <w:szCs w:val="24"/>
        </w:rPr>
        <w:t>装</w:t>
      </w:r>
      <w:r>
        <w:rPr>
          <w:rFonts w:ascii="黑体" w:hAnsi="黑体" w:eastAsia="黑体" w:cs="黑体"/>
          <w:spacing w:val="-28"/>
          <w:sz w:val="24"/>
          <w:szCs w:val="24"/>
        </w:rPr>
        <w:t xml:space="preserve"> </w:t>
      </w:r>
      <w:r>
        <w:rPr>
          <w:rFonts w:ascii="黑体" w:hAnsi="黑体" w:eastAsia="黑体" w:cs="黑体"/>
          <w:b/>
          <w:bCs/>
          <w:spacing w:val="-6"/>
          <w:sz w:val="24"/>
          <w:szCs w:val="24"/>
        </w:rPr>
        <w:t>箱</w:t>
      </w:r>
    </w:p>
    <w:p w14:paraId="717293D4">
      <w:pPr>
        <w:pStyle w:val="2"/>
        <w:spacing w:before="73" w:line="282" w:lineRule="auto"/>
        <w:ind w:right="1" w:firstLine="570"/>
      </w:pPr>
      <w:r>
        <w:rPr>
          <w:spacing w:val="-11"/>
        </w:rPr>
        <w:t>规定装箱要求，包括包装箱，箱内内装物的缓冲、支撑、固定、防水，封箱等</w:t>
      </w:r>
      <w:r>
        <w:rPr>
          <w:spacing w:val="5"/>
        </w:rPr>
        <w:t xml:space="preserve"> </w:t>
      </w:r>
      <w:r>
        <w:rPr>
          <w:spacing w:val="-4"/>
        </w:rPr>
        <w:t>要求。</w:t>
      </w:r>
    </w:p>
    <w:p w14:paraId="1B0FD658">
      <w:pPr>
        <w:spacing w:before="1" w:line="220" w:lineRule="auto"/>
        <w:rPr>
          <w:rFonts w:ascii="黑体" w:hAnsi="黑体" w:eastAsia="黑体" w:cs="黑体"/>
          <w:sz w:val="27"/>
          <w:szCs w:val="27"/>
        </w:rPr>
      </w:pPr>
      <w:r>
        <w:rPr>
          <w:rFonts w:ascii="黑体" w:hAnsi="黑体" w:eastAsia="黑体" w:cs="黑体"/>
          <w:spacing w:val="1"/>
          <w:sz w:val="27"/>
          <w:szCs w:val="27"/>
        </w:rPr>
        <w:t>5.3</w:t>
      </w:r>
      <w:r>
        <w:rPr>
          <w:rFonts w:ascii="黑体" w:hAnsi="黑体" w:eastAsia="黑体" w:cs="黑体"/>
          <w:spacing w:val="11"/>
          <w:sz w:val="27"/>
          <w:szCs w:val="27"/>
        </w:rPr>
        <w:t xml:space="preserve">  </w:t>
      </w:r>
      <w:r>
        <w:rPr>
          <w:rFonts w:ascii="黑体" w:hAnsi="黑体" w:eastAsia="黑体" w:cs="黑体"/>
          <w:b/>
          <w:bCs/>
          <w:spacing w:val="1"/>
          <w:sz w:val="27"/>
          <w:szCs w:val="27"/>
        </w:rPr>
        <w:t>运输和贮存</w:t>
      </w:r>
    </w:p>
    <w:p w14:paraId="7091C47C">
      <w:pPr>
        <w:pStyle w:val="2"/>
        <w:spacing w:before="83" w:line="219" w:lineRule="auto"/>
        <w:ind w:left="570"/>
      </w:pPr>
      <w:r>
        <w:rPr>
          <w:spacing w:val="-9"/>
        </w:rPr>
        <w:t>规定运输和贮存要求，包括运输和贮存方式、条件，装卸注意事项等。</w:t>
      </w:r>
    </w:p>
    <w:p w14:paraId="186226CC">
      <w:pPr>
        <w:spacing w:before="117" w:line="224" w:lineRule="auto"/>
        <w:rPr>
          <w:rFonts w:ascii="黑体" w:hAnsi="黑体" w:eastAsia="黑体" w:cs="黑体"/>
          <w:sz w:val="24"/>
          <w:szCs w:val="24"/>
        </w:rPr>
      </w:pPr>
      <w:r>
        <w:rPr>
          <w:rFonts w:ascii="黑体" w:hAnsi="黑体" w:eastAsia="黑体" w:cs="黑体"/>
          <w:spacing w:val="-3"/>
          <w:sz w:val="24"/>
          <w:szCs w:val="24"/>
        </w:rPr>
        <w:t>5.4</w:t>
      </w:r>
      <w:r>
        <w:rPr>
          <w:rFonts w:ascii="黑体" w:hAnsi="黑体" w:eastAsia="黑体" w:cs="黑体"/>
          <w:spacing w:val="48"/>
          <w:sz w:val="24"/>
          <w:szCs w:val="24"/>
        </w:rPr>
        <w:t xml:space="preserve">  </w:t>
      </w:r>
      <w:r>
        <w:rPr>
          <w:rFonts w:ascii="黑体" w:hAnsi="黑体" w:eastAsia="黑体" w:cs="黑体"/>
          <w:b/>
          <w:bCs/>
          <w:spacing w:val="-3"/>
          <w:sz w:val="24"/>
          <w:szCs w:val="24"/>
        </w:rPr>
        <w:t>标</w:t>
      </w:r>
      <w:r>
        <w:rPr>
          <w:rFonts w:ascii="黑体" w:hAnsi="黑体" w:eastAsia="黑体" w:cs="黑体"/>
          <w:spacing w:val="-41"/>
          <w:sz w:val="24"/>
          <w:szCs w:val="24"/>
        </w:rPr>
        <w:t xml:space="preserve"> </w:t>
      </w:r>
      <w:r>
        <w:rPr>
          <w:rFonts w:ascii="黑体" w:hAnsi="黑体" w:eastAsia="黑体" w:cs="黑体"/>
          <w:b/>
          <w:bCs/>
          <w:spacing w:val="-3"/>
          <w:sz w:val="24"/>
          <w:szCs w:val="24"/>
        </w:rPr>
        <w:t>志</w:t>
      </w:r>
    </w:p>
    <w:p w14:paraId="3BDF2C66">
      <w:pPr>
        <w:pStyle w:val="2"/>
        <w:spacing w:before="78" w:line="284" w:lineRule="auto"/>
        <w:ind w:right="3" w:firstLine="570"/>
        <w:jc w:val="both"/>
      </w:pPr>
      <w:r>
        <w:rPr>
          <w:spacing w:val="-11"/>
        </w:rPr>
        <w:t>规定标志要求，包括防护标志、识别标志、收发货标志、储运标志、有效期标</w:t>
      </w:r>
      <w:r>
        <w:rPr>
          <w:spacing w:val="3"/>
        </w:rPr>
        <w:t xml:space="preserve"> </w:t>
      </w:r>
      <w:r>
        <w:rPr>
          <w:spacing w:val="-3"/>
        </w:rPr>
        <w:t>志和其他标志，以及标志的内容、位置等。有关危险品的标志要求应符合国家有</w:t>
      </w:r>
      <w:r>
        <w:rPr>
          <w:spacing w:val="7"/>
        </w:rPr>
        <w:t xml:space="preserve"> </w:t>
      </w:r>
      <w:r>
        <w:rPr>
          <w:spacing w:val="1"/>
        </w:rPr>
        <w:t>关标准或条例的规定。</w:t>
      </w:r>
    </w:p>
    <w:p w14:paraId="31F047F6">
      <w:pPr>
        <w:spacing w:before="1" w:line="220" w:lineRule="auto"/>
        <w:rPr>
          <w:rFonts w:ascii="黑体" w:hAnsi="黑体" w:eastAsia="黑体" w:cs="黑体"/>
          <w:sz w:val="25"/>
          <w:szCs w:val="25"/>
        </w:rPr>
      </w:pPr>
      <w:r>
        <w:rPr>
          <w:rFonts w:ascii="黑体" w:hAnsi="黑体" w:eastAsia="黑体" w:cs="黑体"/>
          <w:spacing w:val="13"/>
          <w:sz w:val="25"/>
          <w:szCs w:val="25"/>
        </w:rPr>
        <w:t>6</w:t>
      </w:r>
      <w:r>
        <w:rPr>
          <w:rFonts w:ascii="黑体" w:hAnsi="黑体" w:eastAsia="黑体" w:cs="黑体"/>
          <w:spacing w:val="45"/>
          <w:sz w:val="25"/>
          <w:szCs w:val="25"/>
        </w:rPr>
        <w:t xml:space="preserve">  </w:t>
      </w:r>
      <w:r>
        <w:rPr>
          <w:rFonts w:ascii="黑体" w:hAnsi="黑体" w:eastAsia="黑体" w:cs="黑体"/>
          <w:b/>
          <w:bCs/>
          <w:spacing w:val="13"/>
          <w:sz w:val="25"/>
          <w:szCs w:val="25"/>
        </w:rPr>
        <w:t>说明事项</w:t>
      </w:r>
    </w:p>
    <w:p w14:paraId="163BE89A">
      <w:pPr>
        <w:pStyle w:val="2"/>
        <w:spacing w:before="118" w:line="270" w:lineRule="auto"/>
        <w:ind w:right="3" w:firstLine="570"/>
      </w:pPr>
      <w:r>
        <w:rPr>
          <w:spacing w:val="-3"/>
        </w:rPr>
        <w:t>说明事项为可选要素，不应规定要求，只应提供说明性信息，其构成及</w:t>
      </w:r>
      <w:r>
        <w:rPr>
          <w:spacing w:val="-4"/>
        </w:rPr>
        <w:t>编排</w:t>
      </w:r>
      <w:r>
        <w:t xml:space="preserve"> </w:t>
      </w:r>
      <w:r>
        <w:rPr>
          <w:spacing w:val="-3"/>
        </w:rPr>
        <w:t>顺序如下：</w:t>
      </w:r>
    </w:p>
    <w:p w14:paraId="5332D850">
      <w:pPr>
        <w:pStyle w:val="2"/>
        <w:spacing w:before="1" w:line="220" w:lineRule="auto"/>
        <w:ind w:left="570"/>
      </w:pPr>
      <w:r>
        <w:rPr>
          <w:rFonts w:ascii="Times New Roman" w:hAnsi="Times New Roman" w:eastAsia="Times New Roman" w:cs="Times New Roman"/>
          <w:spacing w:val="3"/>
        </w:rPr>
        <w:t>6.1</w:t>
      </w:r>
      <w:r>
        <w:rPr>
          <w:rFonts w:ascii="Times New Roman" w:hAnsi="Times New Roman" w:eastAsia="Times New Roman" w:cs="Times New Roman"/>
        </w:rPr>
        <w:t xml:space="preserve">   </w:t>
      </w:r>
      <w:r>
        <w:rPr>
          <w:spacing w:val="3"/>
        </w:rPr>
        <w:t>预定用途</w:t>
      </w:r>
    </w:p>
    <w:p w14:paraId="062572D6">
      <w:pPr>
        <w:pStyle w:val="2"/>
        <w:spacing w:before="97" w:line="219" w:lineRule="auto"/>
        <w:ind w:left="570"/>
      </w:pPr>
      <w:r>
        <w:rPr>
          <w:rFonts w:ascii="Times New Roman" w:hAnsi="Times New Roman" w:eastAsia="Times New Roman" w:cs="Times New Roman"/>
          <w:spacing w:val="2"/>
        </w:rPr>
        <w:t>6.2</w:t>
      </w:r>
      <w:r>
        <w:rPr>
          <w:rFonts w:ascii="Times New Roman" w:hAnsi="Times New Roman" w:eastAsia="Times New Roman" w:cs="Times New Roman"/>
        </w:rPr>
        <w:t xml:space="preserve">   </w:t>
      </w:r>
      <w:r>
        <w:rPr>
          <w:spacing w:val="2"/>
        </w:rPr>
        <w:t>分类</w:t>
      </w:r>
    </w:p>
    <w:p w14:paraId="3624611D">
      <w:pPr>
        <w:pStyle w:val="2"/>
        <w:spacing w:before="90" w:line="219" w:lineRule="auto"/>
        <w:ind w:left="570"/>
      </w:pPr>
      <w:r>
        <w:rPr>
          <w:rFonts w:ascii="Times New Roman" w:hAnsi="Times New Roman" w:eastAsia="Times New Roman" w:cs="Times New Roman"/>
          <w:spacing w:val="4"/>
        </w:rPr>
        <w:t xml:space="preserve">6.3   </w:t>
      </w:r>
      <w:r>
        <w:rPr>
          <w:spacing w:val="4"/>
        </w:rPr>
        <w:t>订购文件中应明确的内容</w:t>
      </w:r>
    </w:p>
    <w:p w14:paraId="0580500C">
      <w:pPr>
        <w:pStyle w:val="2"/>
        <w:spacing w:before="90" w:line="219" w:lineRule="auto"/>
        <w:ind w:left="570"/>
      </w:pPr>
      <w:r>
        <w:rPr>
          <w:spacing w:val="21"/>
        </w:rPr>
        <w:t>6.4术语和定义</w:t>
      </w:r>
    </w:p>
    <w:p w14:paraId="66EA2D7D">
      <w:pPr>
        <w:pStyle w:val="2"/>
        <w:spacing w:before="88" w:line="219" w:lineRule="auto"/>
        <w:ind w:left="570"/>
      </w:pPr>
      <w:r>
        <w:rPr>
          <w:rFonts w:ascii="Times New Roman" w:hAnsi="Times New Roman" w:eastAsia="Times New Roman" w:cs="Times New Roman"/>
          <w:spacing w:val="-5"/>
        </w:rPr>
        <w:t xml:space="preserve">6.5   </w:t>
      </w:r>
      <w:r>
        <w:rPr>
          <w:spacing w:val="-5"/>
        </w:rPr>
        <w:t>符号、代号和缩略语</w:t>
      </w:r>
    </w:p>
    <w:p w14:paraId="03E30C69">
      <w:pPr>
        <w:pStyle w:val="2"/>
        <w:spacing w:before="72" w:line="220" w:lineRule="auto"/>
        <w:ind w:left="570"/>
      </w:pPr>
      <w:r>
        <w:rPr>
          <w:spacing w:val="17"/>
        </w:rPr>
        <w:t>6</w:t>
      </w:r>
      <w:r>
        <w:rPr>
          <w:spacing w:val="-76"/>
        </w:rPr>
        <w:t xml:space="preserve"> </w:t>
      </w:r>
      <w:r>
        <w:rPr>
          <w:spacing w:val="17"/>
        </w:rPr>
        <w:t>.6其他</w:t>
      </w:r>
    </w:p>
    <w:p w14:paraId="318E9797">
      <w:pPr>
        <w:pStyle w:val="2"/>
        <w:spacing w:before="88" w:line="281" w:lineRule="auto"/>
        <w:ind w:firstLine="570"/>
      </w:pPr>
      <w:r>
        <w:rPr>
          <w:spacing w:val="6"/>
        </w:rPr>
        <w:t>上述构成均为可选要素。各项构成应按</w:t>
      </w:r>
      <w:r>
        <w:rPr>
          <w:rFonts w:ascii="Times New Roman" w:hAnsi="Times New Roman" w:eastAsia="Times New Roman" w:cs="Times New Roman"/>
        </w:rPr>
        <w:t xml:space="preserve">GJB   </w:t>
      </w:r>
      <w:r>
        <w:rPr>
          <w:rFonts w:ascii="Times New Roman" w:hAnsi="Times New Roman" w:eastAsia="Times New Roman" w:cs="Times New Roman"/>
          <w:spacing w:val="6"/>
        </w:rPr>
        <w:t>0.2—2001</w:t>
      </w:r>
      <w:r>
        <w:rPr>
          <w:spacing w:val="6"/>
        </w:rPr>
        <w:t>中6.12.2～6.</w:t>
      </w:r>
      <w:r>
        <w:rPr>
          <w:spacing w:val="5"/>
        </w:rPr>
        <w:t>12.6</w:t>
      </w:r>
      <w:r>
        <w:rPr>
          <w:spacing w:val="2"/>
        </w:rPr>
        <w:t xml:space="preserve"> </w:t>
      </w:r>
      <w:r>
        <w:rPr>
          <w:spacing w:val="-9"/>
        </w:rPr>
        <w:t>的规定编写，亦可参见本书1.29《产品规范(</w:t>
      </w:r>
      <w:r>
        <w:rPr>
          <w:rFonts w:ascii="Times New Roman" w:hAnsi="Times New Roman" w:eastAsia="Times New Roman" w:cs="Times New Roman"/>
          <w:spacing w:val="-9"/>
        </w:rPr>
        <w:t>C</w:t>
      </w:r>
      <w:r>
        <w:rPr>
          <w:rFonts w:ascii="Times New Roman" w:hAnsi="Times New Roman" w:eastAsia="Times New Roman" w:cs="Times New Roman"/>
          <w:spacing w:val="-10"/>
        </w:rPr>
        <w:t xml:space="preserve"> </w:t>
      </w:r>
      <w:r>
        <w:rPr>
          <w:spacing w:val="-10"/>
        </w:rPr>
        <w:t>类规范)》第6章编写说明。</w:t>
      </w:r>
    </w:p>
    <w:p w14:paraId="030F14F1">
      <w:pPr>
        <w:pStyle w:val="2"/>
        <w:spacing w:before="357" w:line="220" w:lineRule="auto"/>
        <w:ind w:left="2800"/>
        <w:outlineLvl w:val="1"/>
        <w:rPr>
          <w:sz w:val="36"/>
          <w:szCs w:val="36"/>
        </w:rPr>
      </w:pPr>
      <w:r>
        <w:rPr>
          <w:rFonts w:ascii="Times New Roman" w:hAnsi="Times New Roman" w:eastAsia="Times New Roman" w:cs="Times New Roman"/>
          <w:b/>
          <w:bCs/>
          <w:spacing w:val="1"/>
          <w:sz w:val="36"/>
          <w:szCs w:val="36"/>
        </w:rPr>
        <w:t xml:space="preserve">3.4     </w:t>
      </w:r>
      <w:r>
        <w:rPr>
          <w:b/>
          <w:bCs/>
          <w:spacing w:val="1"/>
          <w:sz w:val="36"/>
          <w:szCs w:val="36"/>
        </w:rPr>
        <w:t>工艺设计工作总结</w:t>
      </w:r>
    </w:p>
    <w:p w14:paraId="41EF4499">
      <w:pPr>
        <w:spacing w:line="354" w:lineRule="auto"/>
        <w:rPr>
          <w:rFonts w:ascii="Arial"/>
          <w:sz w:val="21"/>
        </w:rPr>
      </w:pPr>
    </w:p>
    <w:p w14:paraId="243A2D89">
      <w:pPr>
        <w:spacing w:before="81"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50"/>
          <w:sz w:val="25"/>
          <w:szCs w:val="25"/>
        </w:rPr>
        <w:t xml:space="preserve">  </w:t>
      </w:r>
      <w:r>
        <w:rPr>
          <w:rFonts w:ascii="黑体" w:hAnsi="黑体" w:eastAsia="黑体" w:cs="黑体"/>
          <w:b/>
          <w:bCs/>
          <w:spacing w:val="3"/>
          <w:sz w:val="25"/>
          <w:szCs w:val="25"/>
        </w:rPr>
        <w:t>范围</w:t>
      </w:r>
    </w:p>
    <w:p w14:paraId="67A9C873">
      <w:pPr>
        <w:pStyle w:val="2"/>
        <w:spacing w:before="102" w:line="219" w:lineRule="auto"/>
        <w:ind w:left="570"/>
      </w:pPr>
      <w:r>
        <w:rPr>
          <w:spacing w:val="4"/>
        </w:rPr>
        <w:t>说明工艺设计工作总结的主题内容和适用范围。</w:t>
      </w:r>
    </w:p>
    <w:p w14:paraId="7B786B32">
      <w:pPr>
        <w:spacing w:before="84"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28"/>
          <w:sz w:val="27"/>
          <w:szCs w:val="27"/>
        </w:rPr>
        <w:t xml:space="preserve">  </w:t>
      </w:r>
      <w:r>
        <w:rPr>
          <w:rFonts w:ascii="黑体" w:hAnsi="黑体" w:eastAsia="黑体" w:cs="黑体"/>
          <w:b/>
          <w:bCs/>
          <w:spacing w:val="-3"/>
          <w:sz w:val="27"/>
          <w:szCs w:val="27"/>
        </w:rPr>
        <w:t>引用文件</w:t>
      </w:r>
    </w:p>
    <w:p w14:paraId="399202CC">
      <w:pPr>
        <w:pStyle w:val="2"/>
        <w:spacing w:before="109" w:line="219" w:lineRule="auto"/>
        <w:ind w:left="570"/>
      </w:pPr>
      <w:r>
        <w:rPr>
          <w:spacing w:val="4"/>
        </w:rPr>
        <w:t>列出编制工艺设计工作总结的依据文件以及各章中引用的所有文件。</w:t>
      </w:r>
    </w:p>
    <w:p w14:paraId="64AF8A52">
      <w:pPr>
        <w:spacing w:before="75" w:line="221" w:lineRule="auto"/>
        <w:rPr>
          <w:rFonts w:ascii="黑体" w:hAnsi="黑体" w:eastAsia="黑体" w:cs="黑体"/>
          <w:sz w:val="25"/>
          <w:szCs w:val="25"/>
        </w:rPr>
      </w:pPr>
      <w:r>
        <w:rPr>
          <w:rFonts w:ascii="黑体" w:hAnsi="黑体" w:eastAsia="黑体" w:cs="黑体"/>
          <w:spacing w:val="12"/>
          <w:sz w:val="25"/>
          <w:szCs w:val="25"/>
        </w:rPr>
        <w:t>3</w:t>
      </w:r>
      <w:r>
        <w:rPr>
          <w:rFonts w:ascii="黑体" w:hAnsi="黑体" w:eastAsia="黑体" w:cs="黑体"/>
          <w:spacing w:val="44"/>
          <w:sz w:val="25"/>
          <w:szCs w:val="25"/>
        </w:rPr>
        <w:t xml:space="preserve">  </w:t>
      </w:r>
      <w:r>
        <w:rPr>
          <w:rFonts w:ascii="黑体" w:hAnsi="黑体" w:eastAsia="黑体" w:cs="黑体"/>
          <w:b/>
          <w:bCs/>
          <w:spacing w:val="12"/>
          <w:sz w:val="25"/>
          <w:szCs w:val="25"/>
        </w:rPr>
        <w:t>产品概述</w:t>
      </w:r>
    </w:p>
    <w:p w14:paraId="1DD930D1">
      <w:pPr>
        <w:spacing w:before="95" w:line="223" w:lineRule="auto"/>
        <w:rPr>
          <w:rFonts w:ascii="黑体" w:hAnsi="黑体" w:eastAsia="黑体" w:cs="黑体"/>
          <w:sz w:val="27"/>
          <w:szCs w:val="27"/>
        </w:rPr>
      </w:pPr>
      <w:r>
        <w:rPr>
          <w:rFonts w:ascii="黑体" w:hAnsi="黑体" w:eastAsia="黑体" w:cs="黑体"/>
          <w:sz w:val="27"/>
          <w:szCs w:val="27"/>
        </w:rPr>
        <w:t>3.1</w:t>
      </w:r>
      <w:r>
        <w:rPr>
          <w:rFonts w:ascii="黑体" w:hAnsi="黑体" w:eastAsia="黑体" w:cs="黑体"/>
          <w:spacing w:val="17"/>
          <w:sz w:val="27"/>
          <w:szCs w:val="27"/>
        </w:rPr>
        <w:t xml:space="preserve">  </w:t>
      </w:r>
      <w:r>
        <w:rPr>
          <w:rFonts w:ascii="黑体" w:hAnsi="黑体" w:eastAsia="黑体" w:cs="黑体"/>
          <w:b/>
          <w:bCs/>
          <w:sz w:val="27"/>
          <w:szCs w:val="27"/>
        </w:rPr>
        <w:t>产品结构</w:t>
      </w:r>
    </w:p>
    <w:p w14:paraId="739AC249">
      <w:pPr>
        <w:pStyle w:val="2"/>
        <w:spacing w:before="115" w:line="219" w:lineRule="auto"/>
        <w:ind w:left="570"/>
      </w:pPr>
      <w:r>
        <w:rPr>
          <w:spacing w:val="-12"/>
        </w:rPr>
        <w:t>简要说明产品的结构，包括结构形式、尺寸、外观形状等，并提供结构图。</w:t>
      </w:r>
    </w:p>
    <w:p w14:paraId="16A8ED4F">
      <w:pPr>
        <w:spacing w:line="219" w:lineRule="auto"/>
        <w:sectPr>
          <w:footerReference r:id="rId290" w:type="default"/>
          <w:pgSz w:w="11910" w:h="17130"/>
          <w:pgMar w:top="1456" w:right="1406" w:bottom="1656" w:left="1120" w:header="0" w:footer="1467" w:gutter="0"/>
          <w:cols w:space="720" w:num="1"/>
        </w:sectPr>
      </w:pPr>
    </w:p>
    <w:p w14:paraId="5D9861C6">
      <w:pPr>
        <w:spacing w:before="55" w:line="222" w:lineRule="auto"/>
        <w:rPr>
          <w:rFonts w:ascii="黑体" w:hAnsi="黑体" w:eastAsia="黑体" w:cs="黑体"/>
          <w:sz w:val="27"/>
          <w:szCs w:val="27"/>
        </w:rPr>
      </w:pPr>
      <w:r>
        <w:rPr>
          <w:rFonts w:ascii="黑体" w:hAnsi="黑体" w:eastAsia="黑体" w:cs="黑体"/>
          <w:spacing w:val="-1"/>
          <w:sz w:val="27"/>
          <w:szCs w:val="27"/>
        </w:rPr>
        <w:t>3.2</w:t>
      </w:r>
      <w:r>
        <w:rPr>
          <w:rFonts w:ascii="黑体" w:hAnsi="黑体" w:eastAsia="黑体" w:cs="黑体"/>
          <w:spacing w:val="23"/>
          <w:sz w:val="27"/>
          <w:szCs w:val="27"/>
        </w:rPr>
        <w:t xml:space="preserve">  </w:t>
      </w:r>
      <w:r>
        <w:rPr>
          <w:rFonts w:ascii="黑体" w:hAnsi="黑体" w:eastAsia="黑体" w:cs="黑体"/>
          <w:b/>
          <w:bCs/>
          <w:spacing w:val="-1"/>
          <w:sz w:val="27"/>
          <w:szCs w:val="27"/>
        </w:rPr>
        <w:t>主要技术要求</w:t>
      </w:r>
    </w:p>
    <w:p w14:paraId="48CB0C72">
      <w:pPr>
        <w:pStyle w:val="2"/>
        <w:spacing w:before="87" w:line="219" w:lineRule="auto"/>
        <w:ind w:left="550"/>
      </w:pPr>
      <w:r>
        <w:t>简要说明产品的主要技术要求，特别是涉及工艺设计的技术要求。</w:t>
      </w:r>
    </w:p>
    <w:p w14:paraId="31716277">
      <w:pPr>
        <w:spacing w:before="75" w:line="222" w:lineRule="auto"/>
        <w:rPr>
          <w:rFonts w:ascii="黑体" w:hAnsi="黑体" w:eastAsia="黑体" w:cs="黑体"/>
          <w:sz w:val="27"/>
          <w:szCs w:val="27"/>
        </w:rPr>
      </w:pPr>
      <w:r>
        <w:rPr>
          <w:rFonts w:ascii="黑体" w:hAnsi="黑体" w:eastAsia="黑体" w:cs="黑体"/>
          <w:spacing w:val="1"/>
          <w:sz w:val="27"/>
          <w:szCs w:val="27"/>
        </w:rPr>
        <w:t>3.3</w:t>
      </w:r>
      <w:r>
        <w:rPr>
          <w:rFonts w:ascii="黑体" w:hAnsi="黑体" w:eastAsia="黑体" w:cs="黑体"/>
          <w:spacing w:val="18"/>
          <w:sz w:val="27"/>
          <w:szCs w:val="27"/>
        </w:rPr>
        <w:t xml:space="preserve">  </w:t>
      </w:r>
      <w:r>
        <w:rPr>
          <w:rFonts w:ascii="黑体" w:hAnsi="黑体" w:eastAsia="黑体" w:cs="黑体"/>
          <w:b/>
          <w:bCs/>
          <w:spacing w:val="1"/>
          <w:sz w:val="27"/>
          <w:szCs w:val="27"/>
        </w:rPr>
        <w:t>产品工艺项目</w:t>
      </w:r>
    </w:p>
    <w:p w14:paraId="65D66617">
      <w:pPr>
        <w:pStyle w:val="2"/>
        <w:spacing w:before="118" w:line="219" w:lineRule="auto"/>
        <w:ind w:left="550"/>
        <w:rPr>
          <w:sz w:val="24"/>
          <w:szCs w:val="24"/>
        </w:rPr>
      </w:pPr>
      <w:r>
        <w:rPr>
          <w:spacing w:val="26"/>
          <w:sz w:val="24"/>
          <w:szCs w:val="24"/>
        </w:rPr>
        <w:t>简要说明产品的工艺项目，可列表给出。</w:t>
      </w:r>
    </w:p>
    <w:p w14:paraId="655366DE">
      <w:pPr>
        <w:spacing w:before="81" w:line="221"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工艺实施方案</w:t>
      </w:r>
    </w:p>
    <w:p w14:paraId="313F6853">
      <w:pPr>
        <w:pStyle w:val="2"/>
        <w:spacing w:before="92" w:line="279" w:lineRule="auto"/>
        <w:ind w:right="11" w:firstLine="550"/>
      </w:pPr>
      <w:r>
        <w:rPr>
          <w:spacing w:val="-3"/>
        </w:rPr>
        <w:t>根据产品主要技术要求、产品结构设计要求，详细描述针对各工艺项目采取</w:t>
      </w:r>
      <w:r>
        <w:t xml:space="preserve"> 的工艺实施方案。</w:t>
      </w:r>
    </w:p>
    <w:p w14:paraId="31669440">
      <w:pPr>
        <w:spacing w:before="1" w:line="221"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存在的技术难点(或技术关键)及其工</w:t>
      </w:r>
      <w:r>
        <w:rPr>
          <w:rFonts w:ascii="黑体" w:hAnsi="黑体" w:eastAsia="黑体" w:cs="黑体"/>
          <w:b/>
          <w:bCs/>
          <w:spacing w:val="2"/>
          <w:sz w:val="27"/>
          <w:szCs w:val="27"/>
        </w:rPr>
        <w:t>艺解决措施</w:t>
      </w:r>
    </w:p>
    <w:p w14:paraId="45F9C9D7">
      <w:pPr>
        <w:pStyle w:val="2"/>
        <w:spacing w:before="77" w:line="272" w:lineRule="auto"/>
        <w:ind w:right="9" w:firstLine="550"/>
      </w:pPr>
      <w:r>
        <w:rPr>
          <w:spacing w:val="9"/>
        </w:rPr>
        <w:t>说明在工艺设计过程中遇到的技术难点(或技术关键),详细描述采取的工</w:t>
      </w:r>
      <w:r>
        <w:rPr>
          <w:spacing w:val="12"/>
        </w:rPr>
        <w:t xml:space="preserve"> </w:t>
      </w:r>
      <w:r>
        <w:rPr>
          <w:spacing w:val="4"/>
        </w:rPr>
        <w:t>艺解决措施。针对不同的技术难点(或技术关键)分</w:t>
      </w:r>
      <w:r>
        <w:rPr>
          <w:spacing w:val="3"/>
        </w:rPr>
        <w:t>别说明。</w:t>
      </w:r>
    </w:p>
    <w:p w14:paraId="775E268D">
      <w:pPr>
        <w:spacing w:before="2" w:line="212" w:lineRule="auto"/>
        <w:rPr>
          <w:rFonts w:ascii="黑体" w:hAnsi="黑体" w:eastAsia="黑体" w:cs="黑体"/>
          <w:sz w:val="27"/>
          <w:szCs w:val="27"/>
        </w:rPr>
      </w:pPr>
      <w:r>
        <w:rPr>
          <w:rFonts w:ascii="黑体" w:hAnsi="黑体" w:eastAsia="黑体" w:cs="黑体"/>
          <w:spacing w:val="-9"/>
          <w:sz w:val="27"/>
          <w:szCs w:val="27"/>
        </w:rPr>
        <w:t xml:space="preserve">6  </w:t>
      </w:r>
      <w:r>
        <w:rPr>
          <w:rFonts w:ascii="黑体" w:hAnsi="黑体" w:eastAsia="黑体" w:cs="黑体"/>
          <w:b/>
          <w:bCs/>
          <w:spacing w:val="-9"/>
          <w:sz w:val="27"/>
          <w:szCs w:val="27"/>
        </w:rPr>
        <w:t>工艺过程结果，产品(样品)质量状态，符合性</w:t>
      </w:r>
    </w:p>
    <w:p w14:paraId="7BB414F6">
      <w:pPr>
        <w:pStyle w:val="2"/>
        <w:spacing w:before="116" w:line="275" w:lineRule="auto"/>
        <w:ind w:right="13" w:firstLine="550"/>
      </w:pPr>
      <w:r>
        <w:rPr>
          <w:spacing w:val="5"/>
        </w:rPr>
        <w:t>说明采取各种工艺措施后总的工艺过程结果，产品(样品)质量状态是否符</w:t>
      </w:r>
      <w:r>
        <w:rPr>
          <w:spacing w:val="4"/>
        </w:rPr>
        <w:t xml:space="preserve"> 合产品研制总要求和质量管理要求。</w:t>
      </w:r>
    </w:p>
    <w:p w14:paraId="018B87D1">
      <w:pPr>
        <w:spacing w:before="1" w:line="220" w:lineRule="auto"/>
        <w:outlineLvl w:val="3"/>
        <w:rPr>
          <w:rFonts w:ascii="黑体" w:hAnsi="黑体" w:eastAsia="黑体" w:cs="黑体"/>
          <w:sz w:val="27"/>
          <w:szCs w:val="27"/>
        </w:rPr>
      </w:pPr>
      <w:r>
        <w:rPr>
          <w:rFonts w:ascii="Arial" w:hAnsi="Arial" w:eastAsia="Arial" w:cs="Arial"/>
          <w:b/>
          <w:bCs/>
          <w:spacing w:val="-5"/>
          <w:sz w:val="27"/>
          <w:szCs w:val="27"/>
        </w:rPr>
        <w:t>7</w:t>
      </w:r>
      <w:r>
        <w:rPr>
          <w:rFonts w:ascii="Arial" w:hAnsi="Arial" w:eastAsia="Arial" w:cs="Arial"/>
          <w:b/>
          <w:bCs/>
          <w:spacing w:val="22"/>
          <w:sz w:val="27"/>
          <w:szCs w:val="27"/>
        </w:rPr>
        <w:t xml:space="preserve">   </w:t>
      </w:r>
      <w:r>
        <w:rPr>
          <w:rFonts w:ascii="黑体" w:hAnsi="黑体" w:eastAsia="黑体" w:cs="黑体"/>
          <w:b/>
          <w:bCs/>
          <w:spacing w:val="-5"/>
          <w:sz w:val="27"/>
          <w:szCs w:val="27"/>
        </w:rPr>
        <w:t>最终达到的技术效益、经济效益及推广前景</w:t>
      </w:r>
    </w:p>
    <w:p w14:paraId="07349453">
      <w:pPr>
        <w:pStyle w:val="2"/>
        <w:spacing w:before="93" w:line="219" w:lineRule="auto"/>
        <w:ind w:left="550"/>
      </w:pPr>
      <w:r>
        <w:rPr>
          <w:spacing w:val="-3"/>
        </w:rPr>
        <w:t>说明最终达到的技术效益、经济效益及推广前景。</w:t>
      </w:r>
    </w:p>
    <w:p w14:paraId="65FB2631">
      <w:pPr>
        <w:spacing w:line="335" w:lineRule="auto"/>
        <w:rPr>
          <w:rFonts w:ascii="Arial"/>
          <w:sz w:val="21"/>
        </w:rPr>
      </w:pPr>
    </w:p>
    <w:p w14:paraId="3CB46BE9">
      <w:pPr>
        <w:pStyle w:val="2"/>
        <w:spacing w:before="118" w:line="218" w:lineRule="auto"/>
        <w:ind w:left="3140"/>
        <w:rPr>
          <w:sz w:val="36"/>
          <w:szCs w:val="36"/>
        </w:rPr>
      </w:pPr>
      <w:r>
        <w:rPr>
          <w:spacing w:val="-2"/>
          <w:sz w:val="36"/>
          <w:szCs w:val="36"/>
        </w:rPr>
        <w:t>3.5</w:t>
      </w:r>
      <w:r>
        <w:rPr>
          <w:spacing w:val="32"/>
          <w:sz w:val="36"/>
          <w:szCs w:val="36"/>
        </w:rPr>
        <w:t xml:space="preserve">  </w:t>
      </w:r>
      <w:r>
        <w:rPr>
          <w:b/>
          <w:bCs/>
          <w:spacing w:val="-2"/>
          <w:sz w:val="36"/>
          <w:szCs w:val="36"/>
        </w:rPr>
        <w:t>工艺评审报告</w:t>
      </w:r>
    </w:p>
    <w:p w14:paraId="4AE084A0">
      <w:pPr>
        <w:spacing w:line="363" w:lineRule="auto"/>
        <w:rPr>
          <w:rFonts w:ascii="Arial"/>
          <w:sz w:val="21"/>
        </w:rPr>
      </w:pPr>
    </w:p>
    <w:p w14:paraId="4B1EF3B2">
      <w:pPr>
        <w:spacing w:before="89" w:line="222" w:lineRule="auto"/>
        <w:rPr>
          <w:rFonts w:ascii="黑体" w:hAnsi="黑体" w:eastAsia="黑体" w:cs="黑体"/>
          <w:sz w:val="27"/>
          <w:szCs w:val="27"/>
        </w:rPr>
      </w:pPr>
      <w:r>
        <w:rPr>
          <w:rFonts w:ascii="黑体" w:hAnsi="黑体" w:eastAsia="黑体" w:cs="黑体"/>
          <w:spacing w:val="-17"/>
          <w:sz w:val="27"/>
          <w:szCs w:val="27"/>
        </w:rPr>
        <w:t>1</w:t>
      </w:r>
      <w:r>
        <w:rPr>
          <w:rFonts w:ascii="黑体" w:hAnsi="黑体" w:eastAsia="黑体" w:cs="黑体"/>
          <w:spacing w:val="24"/>
          <w:sz w:val="27"/>
          <w:szCs w:val="27"/>
        </w:rPr>
        <w:t xml:space="preserve">  </w:t>
      </w:r>
      <w:r>
        <w:rPr>
          <w:rFonts w:ascii="黑体" w:hAnsi="黑体" w:eastAsia="黑体" w:cs="黑体"/>
          <w:b/>
          <w:bCs/>
          <w:spacing w:val="-17"/>
          <w:sz w:val="27"/>
          <w:szCs w:val="27"/>
        </w:rPr>
        <w:t>评审项目名称、产品(图号、型号)</w:t>
      </w:r>
    </w:p>
    <w:p w14:paraId="385DD187">
      <w:pPr>
        <w:pStyle w:val="2"/>
        <w:spacing w:before="71" w:line="219" w:lineRule="auto"/>
        <w:ind w:left="550"/>
      </w:pPr>
      <w:r>
        <w:rPr>
          <w:spacing w:val="-8"/>
        </w:rPr>
        <w:t>直接说明评审项目名称，给出产品型号、图号。</w:t>
      </w:r>
    </w:p>
    <w:p w14:paraId="670DB942">
      <w:pPr>
        <w:spacing w:before="93" w:line="221" w:lineRule="auto"/>
        <w:rPr>
          <w:rFonts w:ascii="黑体" w:hAnsi="黑体" w:eastAsia="黑体" w:cs="黑体"/>
          <w:sz w:val="27"/>
          <w:szCs w:val="27"/>
        </w:rPr>
      </w:pPr>
      <w:r>
        <w:rPr>
          <w:rFonts w:ascii="黑体" w:hAnsi="黑体" w:eastAsia="黑体" w:cs="黑体"/>
          <w:spacing w:val="-6"/>
          <w:sz w:val="27"/>
          <w:szCs w:val="27"/>
        </w:rPr>
        <w:t xml:space="preserve">2  </w:t>
      </w:r>
      <w:r>
        <w:rPr>
          <w:rFonts w:ascii="黑体" w:hAnsi="黑体" w:eastAsia="黑体" w:cs="黑体"/>
          <w:b/>
          <w:bCs/>
          <w:spacing w:val="-6"/>
          <w:sz w:val="27"/>
          <w:szCs w:val="27"/>
        </w:rPr>
        <w:t>被评审主要工艺文件编号、标识</w:t>
      </w:r>
    </w:p>
    <w:p w14:paraId="006227E5">
      <w:pPr>
        <w:pStyle w:val="2"/>
        <w:spacing w:before="93" w:line="219" w:lineRule="auto"/>
        <w:ind w:left="550"/>
      </w:pPr>
      <w:r>
        <w:rPr>
          <w:spacing w:val="-8"/>
        </w:rPr>
        <w:t>列出被评审主要工艺文件的名称、编号、标识。</w:t>
      </w:r>
    </w:p>
    <w:p w14:paraId="4C8F8DB8">
      <w:pPr>
        <w:spacing w:before="83" w:line="221" w:lineRule="auto"/>
        <w:outlineLvl w:val="3"/>
        <w:rPr>
          <w:rFonts w:ascii="黑体" w:hAnsi="黑体" w:eastAsia="黑体" w:cs="黑体"/>
          <w:sz w:val="27"/>
          <w:szCs w:val="27"/>
        </w:rPr>
      </w:pPr>
      <w:r>
        <w:rPr>
          <w:rFonts w:ascii="Arial" w:hAnsi="Arial" w:eastAsia="Arial" w:cs="Arial"/>
          <w:b/>
          <w:bCs/>
          <w:spacing w:val="-21"/>
          <w:sz w:val="27"/>
          <w:szCs w:val="27"/>
        </w:rPr>
        <w:t>3</w:t>
      </w:r>
      <w:r>
        <w:rPr>
          <w:rFonts w:ascii="Arial" w:hAnsi="Arial" w:eastAsia="Arial" w:cs="Arial"/>
          <w:b/>
          <w:bCs/>
          <w:spacing w:val="16"/>
          <w:sz w:val="27"/>
          <w:szCs w:val="27"/>
        </w:rPr>
        <w:t xml:space="preserve">   </w:t>
      </w:r>
      <w:r>
        <w:rPr>
          <w:rFonts w:ascii="黑体" w:hAnsi="黑体" w:eastAsia="黑体" w:cs="黑体"/>
          <w:b/>
          <w:bCs/>
          <w:spacing w:val="-21"/>
          <w:sz w:val="27"/>
          <w:szCs w:val="27"/>
        </w:rPr>
        <w:t>主要技术概述(程序、流程、重点、难点、攻关)</w:t>
      </w:r>
    </w:p>
    <w:p w14:paraId="5F0AA5D9">
      <w:pPr>
        <w:pStyle w:val="2"/>
        <w:spacing w:before="94" w:line="219" w:lineRule="auto"/>
        <w:ind w:left="550"/>
      </w:pPr>
      <w:r>
        <w:rPr>
          <w:spacing w:val="-15"/>
        </w:rPr>
        <w:t>概述主要工艺技术，说明程序、流程、重点、难点及攻关措施。</w:t>
      </w:r>
    </w:p>
    <w:p w14:paraId="7A248C71">
      <w:pPr>
        <w:spacing w:before="74" w:line="222"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应用阶段达到技术水平</w:t>
      </w:r>
    </w:p>
    <w:p w14:paraId="173ED6C9">
      <w:pPr>
        <w:pStyle w:val="2"/>
        <w:spacing w:before="110" w:line="257" w:lineRule="auto"/>
        <w:ind w:right="12" w:firstLine="550"/>
      </w:pPr>
      <w:r>
        <w:rPr>
          <w:spacing w:val="5"/>
        </w:rPr>
        <w:t>评价主要工艺应用阶段达到的技术水平，是否满足工艺设计要求和产品研</w:t>
      </w:r>
      <w:r>
        <w:rPr>
          <w:spacing w:val="10"/>
        </w:rPr>
        <w:t xml:space="preserve"> </w:t>
      </w:r>
      <w:r>
        <w:rPr>
          <w:spacing w:val="1"/>
        </w:rPr>
        <w:t>制总要求。</w:t>
      </w:r>
    </w:p>
    <w:p w14:paraId="4D881140">
      <w:pPr>
        <w:spacing w:before="53" w:line="222" w:lineRule="auto"/>
        <w:outlineLvl w:val="3"/>
        <w:rPr>
          <w:rFonts w:ascii="黑体" w:hAnsi="黑体" w:eastAsia="黑体" w:cs="黑体"/>
          <w:sz w:val="24"/>
          <w:szCs w:val="24"/>
        </w:rPr>
      </w:pPr>
      <w:r>
        <w:rPr>
          <w:rFonts w:ascii="Arial" w:hAnsi="Arial" w:eastAsia="Arial" w:cs="Arial"/>
          <w:b/>
          <w:bCs/>
          <w:spacing w:val="27"/>
          <w:sz w:val="24"/>
          <w:szCs w:val="24"/>
        </w:rPr>
        <w:t>5</w:t>
      </w:r>
      <w:r>
        <w:rPr>
          <w:rFonts w:ascii="Arial" w:hAnsi="Arial" w:eastAsia="Arial" w:cs="Arial"/>
          <w:b/>
          <w:bCs/>
          <w:spacing w:val="7"/>
          <w:sz w:val="24"/>
          <w:szCs w:val="24"/>
        </w:rPr>
        <w:t xml:space="preserve">    </w:t>
      </w:r>
      <w:r>
        <w:rPr>
          <w:rFonts w:ascii="黑体" w:hAnsi="黑体" w:eastAsia="黑体" w:cs="黑体"/>
          <w:b/>
          <w:bCs/>
          <w:spacing w:val="27"/>
          <w:sz w:val="24"/>
          <w:szCs w:val="24"/>
        </w:rPr>
        <w:t>评审组评审过程</w:t>
      </w:r>
    </w:p>
    <w:p w14:paraId="5155DD44">
      <w:pPr>
        <w:pStyle w:val="2"/>
        <w:spacing w:before="127" w:line="268" w:lineRule="auto"/>
        <w:ind w:firstLine="550"/>
      </w:pPr>
      <w:r>
        <w:rPr>
          <w:spacing w:val="-3"/>
        </w:rPr>
        <w:t>客观描述评审组进行工艺评审的过程，包括主持单位、评审时间、评审地点</w:t>
      </w:r>
      <w:r>
        <w:rPr>
          <w:spacing w:val="12"/>
        </w:rPr>
        <w:t xml:space="preserve"> </w:t>
      </w:r>
      <w:r>
        <w:rPr>
          <w:spacing w:val="-4"/>
        </w:rPr>
        <w:t>(城市名或研制单位名称)、评审内容等。</w:t>
      </w:r>
    </w:p>
    <w:p w14:paraId="2ACAD4F8">
      <w:pPr>
        <w:spacing w:before="1" w:line="220"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评审意见与评审结论</w:t>
      </w:r>
    </w:p>
    <w:p w14:paraId="61A30BB5">
      <w:pPr>
        <w:pStyle w:val="2"/>
        <w:spacing w:before="104" w:line="219" w:lineRule="auto"/>
        <w:ind w:left="550"/>
      </w:pPr>
      <w:r>
        <w:rPr>
          <w:spacing w:val="-3"/>
        </w:rPr>
        <w:t>评审组经过评审，形成评审意见与评审结论。</w:t>
      </w:r>
    </w:p>
    <w:p w14:paraId="71EEB0FB">
      <w:pPr>
        <w:spacing w:before="93" w:line="222" w:lineRule="auto"/>
        <w:rPr>
          <w:rFonts w:ascii="黑体" w:hAnsi="黑体" w:eastAsia="黑体" w:cs="黑体"/>
          <w:sz w:val="24"/>
          <w:szCs w:val="24"/>
        </w:rPr>
      </w:pPr>
      <w:r>
        <w:rPr>
          <w:rFonts w:ascii="黑体" w:hAnsi="黑体" w:eastAsia="黑体" w:cs="黑体"/>
          <w:spacing w:val="22"/>
          <w:sz w:val="24"/>
          <w:szCs w:val="24"/>
        </w:rPr>
        <w:t>7</w:t>
      </w:r>
      <w:r>
        <w:rPr>
          <w:rFonts w:ascii="黑体" w:hAnsi="黑体" w:eastAsia="黑体" w:cs="黑体"/>
          <w:spacing w:val="32"/>
          <w:sz w:val="24"/>
          <w:szCs w:val="24"/>
        </w:rPr>
        <w:t xml:space="preserve">  </w:t>
      </w:r>
      <w:r>
        <w:rPr>
          <w:rFonts w:ascii="黑体" w:hAnsi="黑体" w:eastAsia="黑体" w:cs="黑体"/>
          <w:b/>
          <w:bCs/>
          <w:spacing w:val="22"/>
          <w:sz w:val="24"/>
          <w:szCs w:val="24"/>
        </w:rPr>
        <w:t>改进建议</w:t>
      </w:r>
    </w:p>
    <w:p w14:paraId="40085AA9">
      <w:pPr>
        <w:pStyle w:val="2"/>
        <w:spacing w:before="118" w:line="219" w:lineRule="auto"/>
        <w:ind w:left="550"/>
      </w:pPr>
      <w:r>
        <w:rPr>
          <w:spacing w:val="-3"/>
        </w:rPr>
        <w:t>针对存在的工艺问题，评审组提出改进建议。</w:t>
      </w:r>
    </w:p>
    <w:p w14:paraId="682F9139">
      <w:pPr>
        <w:spacing w:line="219" w:lineRule="auto"/>
        <w:sectPr>
          <w:footerReference r:id="rId291" w:type="default"/>
          <w:pgSz w:w="11910" w:h="17130"/>
          <w:pgMar w:top="1452" w:right="1045" w:bottom="1643" w:left="1489" w:header="0" w:footer="1445" w:gutter="0"/>
          <w:cols w:space="720" w:num="1"/>
        </w:sectPr>
      </w:pPr>
    </w:p>
    <w:p w14:paraId="6897ED35">
      <w:pPr>
        <w:spacing w:before="54" w:line="222" w:lineRule="auto"/>
        <w:rPr>
          <w:rFonts w:ascii="黑体" w:hAnsi="黑体" w:eastAsia="黑体" w:cs="黑体"/>
          <w:sz w:val="27"/>
          <w:szCs w:val="27"/>
        </w:rPr>
      </w:pPr>
      <w:r>
        <w:rPr>
          <w:rFonts w:ascii="黑体" w:hAnsi="黑体" w:eastAsia="黑体" w:cs="黑体"/>
          <w:spacing w:val="-6"/>
          <w:sz w:val="27"/>
          <w:szCs w:val="27"/>
        </w:rPr>
        <w:t>8</w:t>
      </w:r>
      <w:r>
        <w:rPr>
          <w:rFonts w:ascii="黑体" w:hAnsi="黑体" w:eastAsia="黑体" w:cs="黑体"/>
          <w:spacing w:val="8"/>
          <w:sz w:val="27"/>
          <w:szCs w:val="27"/>
        </w:rPr>
        <w:t xml:space="preserve">  </w:t>
      </w:r>
      <w:r>
        <w:rPr>
          <w:rFonts w:ascii="黑体" w:hAnsi="黑体" w:eastAsia="黑体" w:cs="黑体"/>
          <w:b/>
          <w:bCs/>
          <w:spacing w:val="-6"/>
          <w:sz w:val="27"/>
          <w:szCs w:val="27"/>
        </w:rPr>
        <w:t>评审组</w:t>
      </w:r>
    </w:p>
    <w:p w14:paraId="114E4A02">
      <w:pPr>
        <w:pStyle w:val="2"/>
        <w:spacing w:before="101" w:line="219" w:lineRule="auto"/>
        <w:ind w:left="560"/>
      </w:pPr>
      <w:r>
        <w:rPr>
          <w:spacing w:val="1"/>
        </w:rPr>
        <w:t>列表给出评审组专家名单，详见表3.6。</w:t>
      </w:r>
    </w:p>
    <w:p w14:paraId="005EE582">
      <w:pPr>
        <w:spacing w:before="84" w:line="221" w:lineRule="auto"/>
        <w:ind w:left="3260"/>
        <w:rPr>
          <w:rFonts w:ascii="仿宋" w:hAnsi="仿宋" w:eastAsia="仿宋" w:cs="仿宋"/>
          <w:sz w:val="24"/>
          <w:szCs w:val="24"/>
        </w:rPr>
      </w:pPr>
      <w:r>
        <w:rPr>
          <w:rFonts w:ascii="仿宋" w:hAnsi="仿宋" w:eastAsia="仿宋" w:cs="仿宋"/>
          <w:spacing w:val="21"/>
          <w:sz w:val="24"/>
          <w:szCs w:val="24"/>
        </w:rPr>
        <w:t>表3</w:t>
      </w:r>
      <w:r>
        <w:rPr>
          <w:rFonts w:ascii="仿宋" w:hAnsi="仿宋" w:eastAsia="仿宋" w:cs="仿宋"/>
          <w:spacing w:val="-51"/>
          <w:sz w:val="24"/>
          <w:szCs w:val="24"/>
        </w:rPr>
        <w:t xml:space="preserve"> </w:t>
      </w:r>
      <w:r>
        <w:rPr>
          <w:rFonts w:ascii="仿宋" w:hAnsi="仿宋" w:eastAsia="仿宋" w:cs="仿宋"/>
          <w:spacing w:val="21"/>
          <w:sz w:val="24"/>
          <w:szCs w:val="24"/>
        </w:rPr>
        <w:t>.</w:t>
      </w:r>
      <w:r>
        <w:rPr>
          <w:rFonts w:ascii="仿宋" w:hAnsi="仿宋" w:eastAsia="仿宋" w:cs="仿宋"/>
          <w:spacing w:val="-57"/>
          <w:sz w:val="24"/>
          <w:szCs w:val="24"/>
        </w:rPr>
        <w:t xml:space="preserve"> </w:t>
      </w:r>
      <w:r>
        <w:rPr>
          <w:rFonts w:ascii="仿宋" w:hAnsi="仿宋" w:eastAsia="仿宋" w:cs="仿宋"/>
          <w:spacing w:val="21"/>
          <w:sz w:val="24"/>
          <w:szCs w:val="24"/>
        </w:rPr>
        <w:t>6  评审组专家名单</w:t>
      </w:r>
    </w:p>
    <w:p w14:paraId="59E13662">
      <w:pPr>
        <w:spacing w:line="111" w:lineRule="exact"/>
      </w:pPr>
    </w:p>
    <w:tbl>
      <w:tblPr>
        <w:tblStyle w:val="5"/>
        <w:tblW w:w="936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1039"/>
        <w:gridCol w:w="1678"/>
        <w:gridCol w:w="1258"/>
        <w:gridCol w:w="1039"/>
        <w:gridCol w:w="2682"/>
      </w:tblGrid>
      <w:tr w14:paraId="4FF5A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673" w:type="dxa"/>
            <w:vAlign w:val="top"/>
          </w:tcPr>
          <w:p w14:paraId="3C2F0BCD">
            <w:pPr>
              <w:spacing w:before="93" w:line="219" w:lineRule="auto"/>
              <w:ind w:left="305"/>
              <w:rPr>
                <w:rFonts w:ascii="宋体" w:hAnsi="宋体" w:eastAsia="宋体" w:cs="宋体"/>
                <w:sz w:val="21"/>
                <w:szCs w:val="21"/>
              </w:rPr>
            </w:pPr>
            <w:r>
              <w:rPr>
                <w:rFonts w:ascii="宋体" w:hAnsi="宋体" w:eastAsia="宋体" w:cs="宋体"/>
                <w:spacing w:val="-2"/>
                <w:sz w:val="21"/>
                <w:szCs w:val="21"/>
              </w:rPr>
              <w:t>评审组职务</w:t>
            </w:r>
          </w:p>
        </w:tc>
        <w:tc>
          <w:tcPr>
            <w:tcW w:w="1039" w:type="dxa"/>
            <w:vAlign w:val="top"/>
          </w:tcPr>
          <w:p w14:paraId="3EFDB8AF">
            <w:pPr>
              <w:spacing w:before="93" w:line="219" w:lineRule="auto"/>
              <w:ind w:left="291"/>
              <w:rPr>
                <w:rFonts w:ascii="宋体" w:hAnsi="宋体" w:eastAsia="宋体" w:cs="宋体"/>
                <w:sz w:val="21"/>
                <w:szCs w:val="21"/>
              </w:rPr>
            </w:pPr>
            <w:r>
              <w:rPr>
                <w:rFonts w:ascii="宋体" w:hAnsi="宋体" w:eastAsia="宋体" w:cs="宋体"/>
                <w:spacing w:val="13"/>
                <w:sz w:val="21"/>
                <w:szCs w:val="21"/>
              </w:rPr>
              <w:t>姓名</w:t>
            </w:r>
          </w:p>
        </w:tc>
        <w:tc>
          <w:tcPr>
            <w:tcW w:w="1678" w:type="dxa"/>
            <w:vAlign w:val="top"/>
          </w:tcPr>
          <w:p w14:paraId="1E4860A7">
            <w:pPr>
              <w:spacing w:before="94" w:line="220" w:lineRule="auto"/>
              <w:ind w:left="432"/>
              <w:rPr>
                <w:rFonts w:ascii="宋体" w:hAnsi="宋体" w:eastAsia="宋体" w:cs="宋体"/>
                <w:sz w:val="21"/>
                <w:szCs w:val="21"/>
              </w:rPr>
            </w:pPr>
            <w:r>
              <w:rPr>
                <w:rFonts w:ascii="宋体" w:hAnsi="宋体" w:eastAsia="宋体" w:cs="宋体"/>
                <w:spacing w:val="-3"/>
                <w:sz w:val="21"/>
                <w:szCs w:val="21"/>
              </w:rPr>
              <w:t>工作单位</w:t>
            </w:r>
          </w:p>
        </w:tc>
        <w:tc>
          <w:tcPr>
            <w:tcW w:w="1258" w:type="dxa"/>
            <w:vAlign w:val="top"/>
          </w:tcPr>
          <w:p w14:paraId="78737A00">
            <w:pPr>
              <w:spacing w:before="93" w:line="219" w:lineRule="auto"/>
              <w:ind w:left="144"/>
              <w:rPr>
                <w:rFonts w:ascii="宋体" w:hAnsi="宋体" w:eastAsia="宋体" w:cs="宋体"/>
                <w:sz w:val="21"/>
                <w:szCs w:val="21"/>
              </w:rPr>
            </w:pPr>
            <w:r>
              <w:rPr>
                <w:rFonts w:ascii="宋体" w:hAnsi="宋体" w:eastAsia="宋体" w:cs="宋体"/>
                <w:spacing w:val="-2"/>
                <w:sz w:val="21"/>
                <w:szCs w:val="21"/>
              </w:rPr>
              <w:t>职称/职务</w:t>
            </w:r>
          </w:p>
        </w:tc>
        <w:tc>
          <w:tcPr>
            <w:tcW w:w="1039" w:type="dxa"/>
            <w:vAlign w:val="top"/>
          </w:tcPr>
          <w:p w14:paraId="200B48BA">
            <w:pPr>
              <w:spacing w:before="94" w:line="220" w:lineRule="auto"/>
              <w:ind w:left="317"/>
              <w:rPr>
                <w:rFonts w:ascii="宋体" w:hAnsi="宋体" w:eastAsia="宋体" w:cs="宋体"/>
                <w:sz w:val="21"/>
                <w:szCs w:val="21"/>
              </w:rPr>
            </w:pPr>
            <w:r>
              <w:rPr>
                <w:rFonts w:ascii="宋体" w:hAnsi="宋体" w:eastAsia="宋体" w:cs="宋体"/>
                <w:spacing w:val="-3"/>
                <w:sz w:val="21"/>
                <w:szCs w:val="21"/>
              </w:rPr>
              <w:t>专业</w:t>
            </w:r>
          </w:p>
        </w:tc>
        <w:tc>
          <w:tcPr>
            <w:tcW w:w="2682" w:type="dxa"/>
            <w:vAlign w:val="top"/>
          </w:tcPr>
          <w:p w14:paraId="7F5780D0">
            <w:pPr>
              <w:spacing w:before="93" w:line="219" w:lineRule="auto"/>
              <w:ind w:left="1137"/>
              <w:rPr>
                <w:rFonts w:ascii="宋体" w:hAnsi="宋体" w:eastAsia="宋体" w:cs="宋体"/>
                <w:sz w:val="21"/>
                <w:szCs w:val="21"/>
              </w:rPr>
            </w:pPr>
            <w:r>
              <w:rPr>
                <w:rFonts w:ascii="宋体" w:hAnsi="宋体" w:eastAsia="宋体" w:cs="宋体"/>
                <w:spacing w:val="-3"/>
                <w:sz w:val="21"/>
                <w:szCs w:val="21"/>
              </w:rPr>
              <w:t>签字</w:t>
            </w:r>
          </w:p>
        </w:tc>
      </w:tr>
      <w:tr w14:paraId="40BCD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1673" w:type="dxa"/>
            <w:vAlign w:val="top"/>
          </w:tcPr>
          <w:p w14:paraId="330AD0A0">
            <w:pPr>
              <w:spacing w:before="105" w:line="223" w:lineRule="auto"/>
              <w:ind w:left="614"/>
              <w:rPr>
                <w:rFonts w:ascii="宋体" w:hAnsi="宋体" w:eastAsia="宋体" w:cs="宋体"/>
                <w:sz w:val="21"/>
                <w:szCs w:val="21"/>
              </w:rPr>
            </w:pPr>
            <w:r>
              <w:rPr>
                <w:rFonts w:ascii="宋体" w:hAnsi="宋体" w:eastAsia="宋体" w:cs="宋体"/>
                <w:spacing w:val="4"/>
                <w:sz w:val="21"/>
                <w:szCs w:val="21"/>
              </w:rPr>
              <w:t>组长</w:t>
            </w:r>
          </w:p>
        </w:tc>
        <w:tc>
          <w:tcPr>
            <w:tcW w:w="1039" w:type="dxa"/>
            <w:vAlign w:val="top"/>
          </w:tcPr>
          <w:p w14:paraId="5D493B53">
            <w:pPr>
              <w:pStyle w:val="6"/>
            </w:pPr>
          </w:p>
        </w:tc>
        <w:tc>
          <w:tcPr>
            <w:tcW w:w="1678" w:type="dxa"/>
            <w:vAlign w:val="top"/>
          </w:tcPr>
          <w:p w14:paraId="48381985">
            <w:pPr>
              <w:pStyle w:val="6"/>
            </w:pPr>
          </w:p>
        </w:tc>
        <w:tc>
          <w:tcPr>
            <w:tcW w:w="1258" w:type="dxa"/>
            <w:vAlign w:val="top"/>
          </w:tcPr>
          <w:p w14:paraId="6B9C3DD3">
            <w:pPr>
              <w:pStyle w:val="6"/>
            </w:pPr>
          </w:p>
        </w:tc>
        <w:tc>
          <w:tcPr>
            <w:tcW w:w="1039" w:type="dxa"/>
            <w:vAlign w:val="top"/>
          </w:tcPr>
          <w:p w14:paraId="76C344E8">
            <w:pPr>
              <w:pStyle w:val="6"/>
            </w:pPr>
          </w:p>
        </w:tc>
        <w:tc>
          <w:tcPr>
            <w:tcW w:w="2682" w:type="dxa"/>
            <w:vAlign w:val="top"/>
          </w:tcPr>
          <w:p w14:paraId="091EA67A">
            <w:pPr>
              <w:pStyle w:val="6"/>
            </w:pPr>
          </w:p>
        </w:tc>
      </w:tr>
      <w:tr w14:paraId="68439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673" w:type="dxa"/>
            <w:vAlign w:val="top"/>
          </w:tcPr>
          <w:p w14:paraId="731D5585">
            <w:pPr>
              <w:spacing w:before="106" w:line="221" w:lineRule="auto"/>
              <w:ind w:left="614"/>
              <w:rPr>
                <w:rFonts w:ascii="宋体" w:hAnsi="宋体" w:eastAsia="宋体" w:cs="宋体"/>
                <w:sz w:val="21"/>
                <w:szCs w:val="21"/>
              </w:rPr>
            </w:pPr>
            <w:r>
              <w:rPr>
                <w:rFonts w:ascii="宋体" w:hAnsi="宋体" w:eastAsia="宋体" w:cs="宋体"/>
                <w:spacing w:val="14"/>
                <w:sz w:val="21"/>
                <w:szCs w:val="21"/>
              </w:rPr>
              <w:t>组员</w:t>
            </w:r>
          </w:p>
        </w:tc>
        <w:tc>
          <w:tcPr>
            <w:tcW w:w="1039" w:type="dxa"/>
            <w:vAlign w:val="top"/>
          </w:tcPr>
          <w:p w14:paraId="6B86E359">
            <w:pPr>
              <w:pStyle w:val="6"/>
            </w:pPr>
          </w:p>
        </w:tc>
        <w:tc>
          <w:tcPr>
            <w:tcW w:w="1678" w:type="dxa"/>
            <w:vAlign w:val="top"/>
          </w:tcPr>
          <w:p w14:paraId="27BEAC4A">
            <w:pPr>
              <w:pStyle w:val="6"/>
            </w:pPr>
          </w:p>
        </w:tc>
        <w:tc>
          <w:tcPr>
            <w:tcW w:w="1258" w:type="dxa"/>
            <w:vAlign w:val="top"/>
          </w:tcPr>
          <w:p w14:paraId="3D285F94">
            <w:pPr>
              <w:pStyle w:val="6"/>
            </w:pPr>
          </w:p>
        </w:tc>
        <w:tc>
          <w:tcPr>
            <w:tcW w:w="1039" w:type="dxa"/>
            <w:vAlign w:val="top"/>
          </w:tcPr>
          <w:p w14:paraId="324EF231">
            <w:pPr>
              <w:pStyle w:val="6"/>
            </w:pPr>
          </w:p>
        </w:tc>
        <w:tc>
          <w:tcPr>
            <w:tcW w:w="2682" w:type="dxa"/>
            <w:vAlign w:val="top"/>
          </w:tcPr>
          <w:p w14:paraId="1A3C4DAD">
            <w:pPr>
              <w:pStyle w:val="6"/>
            </w:pPr>
          </w:p>
        </w:tc>
      </w:tr>
    </w:tbl>
    <w:p w14:paraId="63405DC5">
      <w:pPr>
        <w:spacing w:before="179" w:line="222" w:lineRule="auto"/>
        <w:rPr>
          <w:rFonts w:ascii="黑体" w:hAnsi="黑体" w:eastAsia="黑体" w:cs="黑体"/>
          <w:sz w:val="24"/>
          <w:szCs w:val="24"/>
        </w:rPr>
      </w:pPr>
      <w:r>
        <w:rPr>
          <w:rFonts w:ascii="黑体" w:hAnsi="黑体" w:eastAsia="黑体" w:cs="黑体"/>
          <w:spacing w:val="22"/>
          <w:sz w:val="24"/>
          <w:szCs w:val="24"/>
        </w:rPr>
        <w:t xml:space="preserve">9  </w:t>
      </w:r>
      <w:r>
        <w:rPr>
          <w:rFonts w:ascii="黑体" w:hAnsi="黑体" w:eastAsia="黑体" w:cs="黑体"/>
          <w:b/>
          <w:bCs/>
          <w:spacing w:val="22"/>
          <w:sz w:val="24"/>
          <w:szCs w:val="24"/>
        </w:rPr>
        <w:t>评审提出问题、改进措施及跟踪验证</w:t>
      </w:r>
    </w:p>
    <w:p w14:paraId="79E366C7">
      <w:pPr>
        <w:pStyle w:val="2"/>
        <w:spacing w:before="106" w:line="219" w:lineRule="auto"/>
        <w:ind w:left="560"/>
      </w:pPr>
      <w:r>
        <w:rPr>
          <w:spacing w:val="4"/>
        </w:rPr>
        <w:t>说明对工艺评审中提出问题所采取的改进措施和跟踪验证情况。</w:t>
      </w:r>
    </w:p>
    <w:p w14:paraId="6055BD23">
      <w:pPr>
        <w:spacing w:line="325" w:lineRule="auto"/>
        <w:rPr>
          <w:rFonts w:ascii="Arial"/>
          <w:sz w:val="21"/>
        </w:rPr>
      </w:pPr>
    </w:p>
    <w:p w14:paraId="208C71FB">
      <w:pPr>
        <w:pStyle w:val="2"/>
        <w:spacing w:before="114" w:line="221" w:lineRule="auto"/>
        <w:ind w:left="3239"/>
        <w:rPr>
          <w:sz w:val="35"/>
          <w:szCs w:val="35"/>
        </w:rPr>
      </w:pPr>
      <w:r>
        <w:rPr>
          <w:spacing w:val="-15"/>
          <w:sz w:val="35"/>
          <w:szCs w:val="35"/>
        </w:rPr>
        <w:t>3.6</w:t>
      </w:r>
      <w:r>
        <w:rPr>
          <w:spacing w:val="38"/>
          <w:sz w:val="35"/>
          <w:szCs w:val="35"/>
        </w:rPr>
        <w:t xml:space="preserve">  </w:t>
      </w:r>
      <w:r>
        <w:rPr>
          <w:b/>
          <w:bCs/>
          <w:spacing w:val="-15"/>
          <w:sz w:val="35"/>
          <w:szCs w:val="35"/>
        </w:rPr>
        <w:t>工</w:t>
      </w:r>
      <w:r>
        <w:rPr>
          <w:spacing w:val="60"/>
          <w:sz w:val="35"/>
          <w:szCs w:val="35"/>
        </w:rPr>
        <w:t xml:space="preserve"> </w:t>
      </w:r>
      <w:r>
        <w:rPr>
          <w:b/>
          <w:bCs/>
          <w:spacing w:val="-15"/>
          <w:sz w:val="35"/>
          <w:szCs w:val="35"/>
        </w:rPr>
        <w:t>艺</w:t>
      </w:r>
      <w:r>
        <w:rPr>
          <w:spacing w:val="61"/>
          <w:sz w:val="35"/>
          <w:szCs w:val="35"/>
        </w:rPr>
        <w:t xml:space="preserve"> </w:t>
      </w:r>
      <w:r>
        <w:rPr>
          <w:b/>
          <w:bCs/>
          <w:spacing w:val="-15"/>
          <w:sz w:val="35"/>
          <w:szCs w:val="35"/>
        </w:rPr>
        <w:t>总</w:t>
      </w:r>
      <w:r>
        <w:rPr>
          <w:spacing w:val="59"/>
          <w:sz w:val="35"/>
          <w:szCs w:val="35"/>
        </w:rPr>
        <w:t xml:space="preserve"> </w:t>
      </w:r>
      <w:r>
        <w:rPr>
          <w:b/>
          <w:bCs/>
          <w:spacing w:val="-15"/>
          <w:sz w:val="35"/>
          <w:szCs w:val="35"/>
        </w:rPr>
        <w:t>结</w:t>
      </w:r>
    </w:p>
    <w:p w14:paraId="68FC61FD">
      <w:pPr>
        <w:spacing w:line="317" w:lineRule="auto"/>
        <w:rPr>
          <w:rFonts w:ascii="Arial"/>
          <w:sz w:val="21"/>
        </w:rPr>
      </w:pPr>
    </w:p>
    <w:p w14:paraId="45CDC33D">
      <w:pPr>
        <w:spacing w:before="89"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16"/>
          <w:sz w:val="27"/>
          <w:szCs w:val="27"/>
        </w:rPr>
        <w:t xml:space="preserve">  </w:t>
      </w:r>
      <w:r>
        <w:rPr>
          <w:rFonts w:ascii="黑体" w:hAnsi="黑体" w:eastAsia="黑体" w:cs="黑体"/>
          <w:b/>
          <w:bCs/>
          <w:spacing w:val="-13"/>
          <w:sz w:val="27"/>
          <w:szCs w:val="27"/>
        </w:rPr>
        <w:t>范围</w:t>
      </w:r>
    </w:p>
    <w:p w14:paraId="467ACC1F">
      <w:pPr>
        <w:pStyle w:val="2"/>
        <w:spacing w:before="87" w:line="219" w:lineRule="auto"/>
        <w:ind w:left="560"/>
      </w:pPr>
      <w:r>
        <w:rPr>
          <w:spacing w:val="3"/>
        </w:rPr>
        <w:t>说明工艺总结的主题内容和适用范围。</w:t>
      </w:r>
    </w:p>
    <w:p w14:paraId="7E36AB38">
      <w:pPr>
        <w:spacing w:before="54" w:line="222" w:lineRule="auto"/>
        <w:outlineLvl w:val="3"/>
        <w:rPr>
          <w:rFonts w:ascii="黑体" w:hAnsi="黑体" w:eastAsia="黑体" w:cs="黑体"/>
          <w:sz w:val="27"/>
          <w:szCs w:val="27"/>
        </w:rPr>
      </w:pPr>
      <w:r>
        <w:rPr>
          <w:rFonts w:ascii="Arial" w:hAnsi="Arial" w:eastAsia="Arial" w:cs="Arial"/>
          <w:b/>
          <w:bCs/>
          <w:spacing w:val="-1"/>
          <w:sz w:val="27"/>
          <w:szCs w:val="27"/>
        </w:rPr>
        <w:t>2</w:t>
      </w:r>
      <w:r>
        <w:rPr>
          <w:rFonts w:ascii="Arial" w:hAnsi="Arial" w:eastAsia="Arial" w:cs="Arial"/>
          <w:b/>
          <w:bCs/>
          <w:spacing w:val="15"/>
          <w:sz w:val="27"/>
          <w:szCs w:val="27"/>
        </w:rPr>
        <w:t xml:space="preserve">   </w:t>
      </w:r>
      <w:r>
        <w:rPr>
          <w:rFonts w:ascii="黑体" w:hAnsi="黑体" w:eastAsia="黑体" w:cs="黑体"/>
          <w:b/>
          <w:bCs/>
          <w:spacing w:val="-1"/>
          <w:sz w:val="27"/>
          <w:szCs w:val="27"/>
        </w:rPr>
        <w:t>引用文件</w:t>
      </w:r>
    </w:p>
    <w:p w14:paraId="4D22D87E">
      <w:pPr>
        <w:pStyle w:val="2"/>
        <w:spacing w:before="119" w:line="219" w:lineRule="auto"/>
        <w:ind w:left="560"/>
      </w:pPr>
      <w:r>
        <w:rPr>
          <w:spacing w:val="4"/>
        </w:rPr>
        <w:t>列出编制工艺总结的依据文件以及各章中引用的所有文件。</w:t>
      </w:r>
    </w:p>
    <w:p w14:paraId="5ADBE3D2">
      <w:pPr>
        <w:spacing w:before="46" w:line="221" w:lineRule="auto"/>
        <w:rPr>
          <w:rFonts w:ascii="黑体" w:hAnsi="黑体" w:eastAsia="黑体" w:cs="黑体"/>
          <w:sz w:val="27"/>
          <w:szCs w:val="27"/>
        </w:rPr>
      </w:pPr>
      <w:r>
        <w:rPr>
          <w:rFonts w:ascii="黑体" w:hAnsi="黑体" w:eastAsia="黑体" w:cs="黑体"/>
          <w:spacing w:val="5"/>
          <w:sz w:val="27"/>
          <w:szCs w:val="27"/>
        </w:rPr>
        <w:t xml:space="preserve">3  </w:t>
      </w:r>
      <w:r>
        <w:rPr>
          <w:rFonts w:ascii="黑体" w:hAnsi="黑体" w:eastAsia="黑体" w:cs="黑体"/>
          <w:b/>
          <w:bCs/>
          <w:spacing w:val="5"/>
          <w:sz w:val="27"/>
          <w:szCs w:val="27"/>
        </w:rPr>
        <w:t>产品概述</w:t>
      </w:r>
    </w:p>
    <w:p w14:paraId="25A9487B">
      <w:pPr>
        <w:spacing w:before="100" w:line="223" w:lineRule="auto"/>
        <w:rPr>
          <w:rFonts w:ascii="黑体" w:hAnsi="黑体" w:eastAsia="黑体" w:cs="黑体"/>
          <w:sz w:val="27"/>
          <w:szCs w:val="27"/>
        </w:rPr>
      </w:pPr>
      <w:r>
        <w:rPr>
          <w:rFonts w:ascii="黑体" w:hAnsi="黑体" w:eastAsia="黑体" w:cs="黑体"/>
          <w:spacing w:val="-4"/>
          <w:sz w:val="27"/>
          <w:szCs w:val="27"/>
        </w:rPr>
        <w:t>3.1</w:t>
      </w:r>
      <w:r>
        <w:rPr>
          <w:rFonts w:ascii="黑体" w:hAnsi="黑体" w:eastAsia="黑体" w:cs="黑体"/>
          <w:spacing w:val="26"/>
          <w:sz w:val="27"/>
          <w:szCs w:val="27"/>
        </w:rPr>
        <w:t xml:space="preserve">  </w:t>
      </w:r>
      <w:r>
        <w:rPr>
          <w:rFonts w:ascii="黑体" w:hAnsi="黑体" w:eastAsia="黑体" w:cs="黑体"/>
          <w:b/>
          <w:bCs/>
          <w:spacing w:val="-4"/>
          <w:sz w:val="27"/>
          <w:szCs w:val="27"/>
        </w:rPr>
        <w:t>产品结构</w:t>
      </w:r>
    </w:p>
    <w:p w14:paraId="34A74D04">
      <w:pPr>
        <w:pStyle w:val="2"/>
        <w:spacing w:before="115" w:line="219" w:lineRule="auto"/>
        <w:ind w:left="560"/>
      </w:pPr>
      <w:r>
        <w:rPr>
          <w:spacing w:val="-12"/>
        </w:rPr>
        <w:t>简要说明产品的结构，包括结构形式、尺寸、外观形状等，并提供结构图。</w:t>
      </w:r>
    </w:p>
    <w:p w14:paraId="1A086E3C">
      <w:pPr>
        <w:spacing w:before="27" w:line="222" w:lineRule="auto"/>
        <w:rPr>
          <w:rFonts w:ascii="黑体" w:hAnsi="黑体" w:eastAsia="黑体" w:cs="黑体"/>
          <w:sz w:val="27"/>
          <w:szCs w:val="27"/>
        </w:rPr>
      </w:pPr>
      <w:r>
        <w:rPr>
          <w:rFonts w:ascii="黑体" w:hAnsi="黑体" w:eastAsia="黑体" w:cs="黑体"/>
          <w:spacing w:val="-3"/>
          <w:sz w:val="27"/>
          <w:szCs w:val="27"/>
        </w:rPr>
        <w:t>3.2</w:t>
      </w:r>
      <w:r>
        <w:rPr>
          <w:rFonts w:ascii="黑体" w:hAnsi="黑体" w:eastAsia="黑体" w:cs="黑体"/>
          <w:spacing w:val="17"/>
          <w:sz w:val="27"/>
          <w:szCs w:val="27"/>
        </w:rPr>
        <w:t xml:space="preserve">  </w:t>
      </w:r>
      <w:r>
        <w:rPr>
          <w:rFonts w:ascii="黑体" w:hAnsi="黑体" w:eastAsia="黑体" w:cs="黑体"/>
          <w:b/>
          <w:bCs/>
          <w:spacing w:val="-3"/>
          <w:sz w:val="27"/>
          <w:szCs w:val="27"/>
        </w:rPr>
        <w:t>主要技术要求</w:t>
      </w:r>
    </w:p>
    <w:p w14:paraId="7598C620">
      <w:pPr>
        <w:pStyle w:val="2"/>
        <w:spacing w:before="118" w:line="219" w:lineRule="auto"/>
        <w:ind w:left="560"/>
      </w:pPr>
      <w:r>
        <w:rPr>
          <w:spacing w:val="-1"/>
        </w:rPr>
        <w:t>简要说明产品的主要技术要求，特别是涉及工艺设计的技术要求。</w:t>
      </w:r>
    </w:p>
    <w:p w14:paraId="280D1AD6">
      <w:pPr>
        <w:spacing w:before="46" w:line="222" w:lineRule="auto"/>
        <w:rPr>
          <w:rFonts w:ascii="黑体" w:hAnsi="黑体" w:eastAsia="黑体" w:cs="黑体"/>
          <w:sz w:val="27"/>
          <w:szCs w:val="27"/>
        </w:rPr>
      </w:pPr>
      <w:r>
        <w:rPr>
          <w:rFonts w:ascii="黑体" w:hAnsi="黑体" w:eastAsia="黑体" w:cs="黑体"/>
          <w:sz w:val="27"/>
          <w:szCs w:val="27"/>
        </w:rPr>
        <w:t>3.3</w:t>
      </w:r>
      <w:r>
        <w:rPr>
          <w:rFonts w:ascii="黑体" w:hAnsi="黑体" w:eastAsia="黑体" w:cs="黑体"/>
          <w:spacing w:val="18"/>
          <w:sz w:val="27"/>
          <w:szCs w:val="27"/>
        </w:rPr>
        <w:t xml:space="preserve">  </w:t>
      </w:r>
      <w:r>
        <w:rPr>
          <w:rFonts w:ascii="黑体" w:hAnsi="黑体" w:eastAsia="黑体" w:cs="黑体"/>
          <w:b/>
          <w:bCs/>
          <w:sz w:val="27"/>
          <w:szCs w:val="27"/>
        </w:rPr>
        <w:t>产品工艺项目</w:t>
      </w:r>
    </w:p>
    <w:p w14:paraId="24327CF9">
      <w:pPr>
        <w:pStyle w:val="2"/>
        <w:spacing w:before="109" w:line="219" w:lineRule="auto"/>
        <w:ind w:left="560"/>
      </w:pPr>
      <w:r>
        <w:rPr>
          <w:spacing w:val="-3"/>
        </w:rPr>
        <w:t>简要说明产品的工艺项目，可列表给出。</w:t>
      </w:r>
    </w:p>
    <w:p w14:paraId="4B0B9119">
      <w:pPr>
        <w:spacing w:before="45" w:line="221" w:lineRule="auto"/>
        <w:outlineLvl w:val="3"/>
        <w:rPr>
          <w:rFonts w:ascii="黑体" w:hAnsi="黑体" w:eastAsia="黑体" w:cs="黑体"/>
          <w:sz w:val="27"/>
          <w:szCs w:val="27"/>
        </w:rPr>
      </w:pPr>
      <w:r>
        <w:rPr>
          <w:rFonts w:ascii="Arial" w:hAnsi="Arial" w:eastAsia="Arial" w:cs="Arial"/>
          <w:b/>
          <w:bCs/>
          <w:sz w:val="27"/>
          <w:szCs w:val="27"/>
        </w:rPr>
        <w:t>4</w:t>
      </w:r>
      <w:r>
        <w:rPr>
          <w:rFonts w:ascii="Arial" w:hAnsi="Arial" w:eastAsia="Arial" w:cs="Arial"/>
          <w:b/>
          <w:bCs/>
          <w:spacing w:val="15"/>
          <w:sz w:val="27"/>
          <w:szCs w:val="27"/>
        </w:rPr>
        <w:t xml:space="preserve">   </w:t>
      </w:r>
      <w:r>
        <w:rPr>
          <w:rFonts w:ascii="黑体" w:hAnsi="黑体" w:eastAsia="黑体" w:cs="黑体"/>
          <w:b/>
          <w:bCs/>
          <w:sz w:val="27"/>
          <w:szCs w:val="27"/>
        </w:rPr>
        <w:t>试制加工工作概况</w:t>
      </w:r>
    </w:p>
    <w:p w14:paraId="107ED711">
      <w:pPr>
        <w:spacing w:before="81" w:line="224" w:lineRule="auto"/>
        <w:rPr>
          <w:rFonts w:ascii="黑体" w:hAnsi="黑体" w:eastAsia="黑体" w:cs="黑体"/>
          <w:sz w:val="27"/>
          <w:szCs w:val="27"/>
        </w:rPr>
      </w:pPr>
      <w:r>
        <w:rPr>
          <w:rFonts w:ascii="黑体" w:hAnsi="黑体" w:eastAsia="黑体" w:cs="黑体"/>
          <w:spacing w:val="-2"/>
          <w:sz w:val="27"/>
          <w:szCs w:val="27"/>
        </w:rPr>
        <w:t>4.1</w:t>
      </w:r>
      <w:r>
        <w:rPr>
          <w:rFonts w:ascii="黑体" w:hAnsi="黑体" w:eastAsia="黑体" w:cs="黑体"/>
          <w:spacing w:val="26"/>
          <w:sz w:val="27"/>
          <w:szCs w:val="27"/>
        </w:rPr>
        <w:t xml:space="preserve">  </w:t>
      </w:r>
      <w:r>
        <w:rPr>
          <w:rFonts w:ascii="黑体" w:hAnsi="黑体" w:eastAsia="黑体" w:cs="黑体"/>
          <w:b/>
          <w:bCs/>
          <w:spacing w:val="-2"/>
          <w:sz w:val="27"/>
          <w:szCs w:val="27"/>
        </w:rPr>
        <w:t>结构件加工</w:t>
      </w:r>
    </w:p>
    <w:p w14:paraId="44ED74AD">
      <w:pPr>
        <w:pStyle w:val="2"/>
        <w:spacing w:before="105" w:line="219" w:lineRule="auto"/>
        <w:ind w:left="560"/>
      </w:pPr>
      <w:r>
        <w:rPr>
          <w:spacing w:val="3"/>
        </w:rPr>
        <w:t>分别说明各结构件加工的工艺实施过程。</w:t>
      </w:r>
    </w:p>
    <w:p w14:paraId="2B933B43">
      <w:pPr>
        <w:spacing w:before="23" w:line="221" w:lineRule="auto"/>
        <w:rPr>
          <w:rFonts w:ascii="黑体" w:hAnsi="黑体" w:eastAsia="黑体" w:cs="黑体"/>
          <w:sz w:val="27"/>
          <w:szCs w:val="27"/>
        </w:rPr>
      </w:pPr>
      <w:r>
        <w:rPr>
          <w:rFonts w:ascii="黑体" w:hAnsi="黑体" w:eastAsia="黑体" w:cs="黑体"/>
          <w:sz w:val="27"/>
          <w:szCs w:val="27"/>
        </w:rPr>
        <w:t>4.2</w:t>
      </w:r>
      <w:r>
        <w:rPr>
          <w:rFonts w:ascii="黑体" w:hAnsi="黑体" w:eastAsia="黑体" w:cs="黑体"/>
          <w:spacing w:val="11"/>
          <w:sz w:val="27"/>
          <w:szCs w:val="27"/>
        </w:rPr>
        <w:t xml:space="preserve">  </w:t>
      </w:r>
      <w:r>
        <w:rPr>
          <w:rFonts w:ascii="黑体" w:hAnsi="黑体" w:eastAsia="黑体" w:cs="黑体"/>
          <w:b/>
          <w:bCs/>
          <w:sz w:val="27"/>
          <w:szCs w:val="27"/>
        </w:rPr>
        <w:t>特种工艺</w:t>
      </w:r>
    </w:p>
    <w:p w14:paraId="191ABABB">
      <w:pPr>
        <w:pStyle w:val="2"/>
        <w:spacing w:before="150" w:line="219" w:lineRule="auto"/>
        <w:ind w:left="560"/>
        <w:rPr>
          <w:sz w:val="24"/>
          <w:szCs w:val="24"/>
        </w:rPr>
      </w:pPr>
      <w:r>
        <w:rPr>
          <w:spacing w:val="32"/>
          <w:sz w:val="24"/>
          <w:szCs w:val="24"/>
        </w:rPr>
        <w:t>分别说明采取的各特种工艺实施过程。</w:t>
      </w:r>
    </w:p>
    <w:p w14:paraId="63631F6B">
      <w:pPr>
        <w:spacing w:before="92" w:line="222" w:lineRule="auto"/>
        <w:rPr>
          <w:rFonts w:ascii="黑体" w:hAnsi="黑体" w:eastAsia="黑体" w:cs="黑体"/>
          <w:sz w:val="25"/>
          <w:szCs w:val="25"/>
        </w:rPr>
      </w:pPr>
      <w:r>
        <w:rPr>
          <w:rFonts w:ascii="黑体" w:hAnsi="黑体" w:eastAsia="黑体" w:cs="黑体"/>
          <w:spacing w:val="11"/>
          <w:sz w:val="25"/>
          <w:szCs w:val="25"/>
        </w:rPr>
        <w:t>4.3</w:t>
      </w:r>
      <w:r>
        <w:rPr>
          <w:rFonts w:ascii="黑体" w:hAnsi="黑体" w:eastAsia="黑体" w:cs="黑体"/>
          <w:spacing w:val="35"/>
          <w:sz w:val="25"/>
          <w:szCs w:val="25"/>
        </w:rPr>
        <w:t xml:space="preserve">  </w:t>
      </w:r>
      <w:r>
        <w:rPr>
          <w:rFonts w:ascii="黑体" w:hAnsi="黑体" w:eastAsia="黑体" w:cs="黑体"/>
          <w:b/>
          <w:bCs/>
          <w:spacing w:val="11"/>
          <w:sz w:val="25"/>
          <w:szCs w:val="25"/>
        </w:rPr>
        <w:t>电子装联</w:t>
      </w:r>
    </w:p>
    <w:p w14:paraId="2F777625">
      <w:pPr>
        <w:spacing w:before="109" w:line="221" w:lineRule="auto"/>
        <w:rPr>
          <w:rFonts w:ascii="黑体" w:hAnsi="黑体" w:eastAsia="黑体" w:cs="黑体"/>
          <w:sz w:val="25"/>
          <w:szCs w:val="25"/>
        </w:rPr>
      </w:pPr>
      <w:r>
        <w:rPr>
          <w:rFonts w:ascii="黑体" w:hAnsi="黑体" w:eastAsia="黑体" w:cs="黑体"/>
          <w:spacing w:val="14"/>
          <w:sz w:val="25"/>
          <w:szCs w:val="25"/>
        </w:rPr>
        <w:t>4.3.1</w:t>
      </w:r>
      <w:r>
        <w:rPr>
          <w:rFonts w:ascii="黑体" w:hAnsi="黑体" w:eastAsia="黑体" w:cs="黑体"/>
          <w:spacing w:val="55"/>
          <w:sz w:val="25"/>
          <w:szCs w:val="25"/>
        </w:rPr>
        <w:t xml:space="preserve">  </w:t>
      </w:r>
      <w:r>
        <w:rPr>
          <w:rFonts w:ascii="黑体" w:hAnsi="黑体" w:eastAsia="黑体" w:cs="黑体"/>
          <w:b/>
          <w:bCs/>
          <w:spacing w:val="14"/>
          <w:sz w:val="25"/>
          <w:szCs w:val="25"/>
        </w:rPr>
        <w:t>电路板组装件的焊接</w:t>
      </w:r>
    </w:p>
    <w:p w14:paraId="520F2B75">
      <w:pPr>
        <w:pStyle w:val="2"/>
        <w:spacing w:before="136" w:line="219" w:lineRule="auto"/>
        <w:ind w:left="560"/>
      </w:pPr>
      <w:r>
        <w:rPr>
          <w:spacing w:val="-1"/>
        </w:rPr>
        <w:t>分别说明电子(电气、机电)产品中各电路板组装件的焊接工艺过程。</w:t>
      </w:r>
    </w:p>
    <w:p w14:paraId="339E941C">
      <w:pPr>
        <w:spacing w:before="28" w:line="223" w:lineRule="auto"/>
        <w:outlineLvl w:val="3"/>
        <w:rPr>
          <w:rFonts w:ascii="黑体" w:hAnsi="黑体" w:eastAsia="黑体" w:cs="黑体"/>
          <w:sz w:val="27"/>
          <w:szCs w:val="27"/>
        </w:rPr>
      </w:pPr>
      <w:r>
        <w:rPr>
          <w:rFonts w:ascii="Arial" w:hAnsi="Arial" w:eastAsia="Arial" w:cs="Arial"/>
          <w:b/>
          <w:bCs/>
          <w:spacing w:val="-3"/>
          <w:sz w:val="27"/>
          <w:szCs w:val="27"/>
        </w:rPr>
        <w:t>4.3.2</w:t>
      </w:r>
      <w:r>
        <w:rPr>
          <w:rFonts w:ascii="Arial" w:hAnsi="Arial" w:eastAsia="Arial" w:cs="Arial"/>
          <w:b/>
          <w:bCs/>
          <w:spacing w:val="5"/>
          <w:sz w:val="27"/>
          <w:szCs w:val="27"/>
        </w:rPr>
        <w:t xml:space="preserve">     </w:t>
      </w:r>
      <w:r>
        <w:rPr>
          <w:rFonts w:ascii="黑体" w:hAnsi="黑体" w:eastAsia="黑体" w:cs="黑体"/>
          <w:b/>
          <w:bCs/>
          <w:spacing w:val="-3"/>
          <w:sz w:val="27"/>
          <w:szCs w:val="27"/>
        </w:rPr>
        <w:t>组件的装配</w:t>
      </w:r>
    </w:p>
    <w:p w14:paraId="734BB4B7">
      <w:pPr>
        <w:pStyle w:val="2"/>
        <w:spacing w:before="105" w:line="219" w:lineRule="auto"/>
        <w:ind w:left="560"/>
      </w:pPr>
      <w:r>
        <w:rPr>
          <w:spacing w:val="-2"/>
        </w:rPr>
        <w:t>说明电子(电气、机电)产品中组件的装配工</w:t>
      </w:r>
      <w:r>
        <w:rPr>
          <w:spacing w:val="-3"/>
        </w:rPr>
        <w:t>艺过程。</w:t>
      </w:r>
    </w:p>
    <w:p w14:paraId="2C20C889">
      <w:pPr>
        <w:spacing w:before="68" w:line="222"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0"/>
          <w:w w:val="101"/>
          <w:sz w:val="27"/>
          <w:szCs w:val="27"/>
        </w:rPr>
        <w:t xml:space="preserve">   </w:t>
      </w:r>
      <w:r>
        <w:rPr>
          <w:rFonts w:ascii="黑体" w:hAnsi="黑体" w:eastAsia="黑体" w:cs="黑体"/>
          <w:b/>
          <w:bCs/>
          <w:sz w:val="27"/>
          <w:szCs w:val="27"/>
        </w:rPr>
        <w:t>对元器件原材料和成品的质量控制情况</w:t>
      </w:r>
    </w:p>
    <w:p w14:paraId="7E089619">
      <w:pPr>
        <w:pStyle w:val="2"/>
        <w:spacing w:before="107" w:line="219" w:lineRule="auto"/>
        <w:ind w:left="560"/>
      </w:pPr>
      <w:r>
        <w:t>分别说明产品试生产过程中对元器件、原材料和成品的质量控制情况。</w:t>
      </w:r>
    </w:p>
    <w:p w14:paraId="6F408328">
      <w:pPr>
        <w:spacing w:line="219" w:lineRule="auto"/>
        <w:sectPr>
          <w:footerReference r:id="rId292" w:type="default"/>
          <w:pgSz w:w="11910" w:h="17130"/>
          <w:pgMar w:top="1381" w:right="1385" w:bottom="1730" w:left="1100" w:header="0" w:footer="1523" w:gutter="0"/>
          <w:cols w:space="720" w:num="1"/>
        </w:sectPr>
      </w:pPr>
    </w:p>
    <w:p w14:paraId="2A29892D">
      <w:pPr>
        <w:spacing w:before="54" w:line="221" w:lineRule="auto"/>
        <w:rPr>
          <w:rFonts w:ascii="黑体" w:hAnsi="黑体" w:eastAsia="黑体" w:cs="黑体"/>
          <w:sz w:val="27"/>
          <w:szCs w:val="27"/>
        </w:rPr>
      </w:pPr>
      <w:r>
        <w:rPr>
          <w:rFonts w:ascii="黑体" w:hAnsi="黑体" w:eastAsia="黑体" w:cs="黑体"/>
          <w:spacing w:val="3"/>
          <w:sz w:val="27"/>
          <w:szCs w:val="27"/>
        </w:rPr>
        <w:t xml:space="preserve">6  </w:t>
      </w:r>
      <w:r>
        <w:rPr>
          <w:rFonts w:ascii="黑体" w:hAnsi="黑体" w:eastAsia="黑体" w:cs="黑体"/>
          <w:b/>
          <w:bCs/>
          <w:spacing w:val="3"/>
          <w:sz w:val="27"/>
          <w:szCs w:val="27"/>
        </w:rPr>
        <w:t>互换性及尚不能互换件的说明</w:t>
      </w:r>
    </w:p>
    <w:p w14:paraId="5DC689E2">
      <w:pPr>
        <w:pStyle w:val="2"/>
        <w:spacing w:before="94" w:line="273" w:lineRule="auto"/>
        <w:ind w:right="122" w:firstLine="550"/>
        <w:jc w:val="both"/>
      </w:pPr>
      <w:r>
        <w:rPr>
          <w:spacing w:val="2"/>
        </w:rPr>
        <w:t>对产品的互换性进行说明，包括产品互换的</w:t>
      </w:r>
      <w:r>
        <w:rPr>
          <w:spacing w:val="1"/>
        </w:rPr>
        <w:t>规定层次(</w:t>
      </w:r>
      <w:r>
        <w:rPr>
          <w:rFonts w:ascii="Times New Roman" w:hAnsi="Times New Roman" w:eastAsia="Times New Roman" w:cs="Times New Roman"/>
        </w:rPr>
        <w:t>LRU</w:t>
      </w:r>
      <w:r>
        <w:rPr>
          <w:rFonts w:ascii="Times New Roman" w:hAnsi="Times New Roman" w:eastAsia="Times New Roman" w:cs="Times New Roman"/>
          <w:spacing w:val="1"/>
        </w:rPr>
        <w:t xml:space="preserve">  </w:t>
      </w:r>
      <w:r>
        <w:rPr>
          <w:spacing w:val="1"/>
        </w:rPr>
        <w:t>级、</w:t>
      </w:r>
      <w:r>
        <w:rPr>
          <w:rFonts w:ascii="Times New Roman" w:hAnsi="Times New Roman" w:eastAsia="Times New Roman" w:cs="Times New Roman"/>
        </w:rPr>
        <w:t>SRU</w:t>
      </w:r>
      <w:r>
        <w:rPr>
          <w:rFonts w:ascii="Times New Roman" w:hAnsi="Times New Roman" w:eastAsia="Times New Roman" w:cs="Times New Roman"/>
          <w:spacing w:val="1"/>
        </w:rPr>
        <w:t xml:space="preserve">  </w:t>
      </w:r>
      <w:r>
        <w:rPr>
          <w:spacing w:val="1"/>
        </w:rPr>
        <w:t>级或</w:t>
      </w:r>
      <w:r>
        <w:t xml:space="preserve"> </w:t>
      </w:r>
      <w:r>
        <w:rPr>
          <w:spacing w:val="9"/>
        </w:rPr>
        <w:t xml:space="preserve">零部件级)以及在规定层次互换所需的时间。互换性是指产品在尺寸和功能上 </w:t>
      </w:r>
      <w:r>
        <w:rPr>
          <w:spacing w:val="4"/>
        </w:rPr>
        <w:t>与其他一个或多个产品(包括零部件)能够彼此互相替换的能力。</w:t>
      </w:r>
    </w:p>
    <w:p w14:paraId="3884046D">
      <w:pPr>
        <w:pStyle w:val="2"/>
        <w:spacing w:before="2" w:line="288" w:lineRule="auto"/>
        <w:ind w:right="125" w:firstLine="550"/>
      </w:pPr>
      <w:r>
        <w:rPr>
          <w:spacing w:val="5"/>
        </w:rPr>
        <w:t>对产品中所有尚不能互换件进行说明，列出尚不能互换件的清单，说明理</w:t>
      </w:r>
      <w:r>
        <w:rPr>
          <w:spacing w:val="8"/>
        </w:rPr>
        <w:t xml:space="preserve"> </w:t>
      </w:r>
      <w:r>
        <w:rPr>
          <w:spacing w:val="-14"/>
        </w:rPr>
        <w:t>由，提出处理建议。</w:t>
      </w:r>
    </w:p>
    <w:p w14:paraId="660E7619">
      <w:pPr>
        <w:spacing w:before="1" w:line="220" w:lineRule="auto"/>
        <w:outlineLvl w:val="3"/>
        <w:rPr>
          <w:rFonts w:ascii="黑体" w:hAnsi="黑体" w:eastAsia="黑体" w:cs="黑体"/>
          <w:sz w:val="27"/>
          <w:szCs w:val="27"/>
        </w:rPr>
      </w:pPr>
      <w:r>
        <w:rPr>
          <w:rFonts w:ascii="Arial" w:hAnsi="Arial" w:eastAsia="Arial" w:cs="Arial"/>
          <w:b/>
          <w:bCs/>
          <w:spacing w:val="2"/>
          <w:sz w:val="27"/>
          <w:szCs w:val="27"/>
        </w:rPr>
        <w:t>7</w:t>
      </w:r>
      <w:r>
        <w:rPr>
          <w:rFonts w:ascii="Arial" w:hAnsi="Arial" w:eastAsia="Arial" w:cs="Arial"/>
          <w:b/>
          <w:bCs/>
          <w:spacing w:val="23"/>
          <w:sz w:val="27"/>
          <w:szCs w:val="27"/>
        </w:rPr>
        <w:t xml:space="preserve">   </w:t>
      </w:r>
      <w:r>
        <w:rPr>
          <w:rFonts w:ascii="黑体" w:hAnsi="黑体" w:eastAsia="黑体" w:cs="黑体"/>
          <w:b/>
          <w:bCs/>
          <w:spacing w:val="2"/>
          <w:sz w:val="27"/>
          <w:szCs w:val="27"/>
        </w:rPr>
        <w:t>对设计部门的图样和文件资料的评价意见</w:t>
      </w:r>
    </w:p>
    <w:p w14:paraId="7B2A0A02">
      <w:pPr>
        <w:pStyle w:val="2"/>
        <w:spacing w:before="60" w:line="218" w:lineRule="auto"/>
        <w:jc w:val="right"/>
      </w:pPr>
      <w:r>
        <w:rPr>
          <w:spacing w:val="1"/>
        </w:rPr>
        <w:t>对设计部门的图样和文件资料进行工艺性审查，提出</w:t>
      </w:r>
      <w:r>
        <w:t>评价意见和改进建议。</w:t>
      </w:r>
    </w:p>
    <w:p w14:paraId="6F7BAA80">
      <w:pPr>
        <w:spacing w:before="97" w:line="221" w:lineRule="auto"/>
        <w:rPr>
          <w:rFonts w:ascii="黑体" w:hAnsi="黑体" w:eastAsia="黑体" w:cs="黑体"/>
          <w:sz w:val="27"/>
          <w:szCs w:val="27"/>
        </w:rPr>
      </w:pPr>
      <w:r>
        <w:rPr>
          <w:rFonts w:ascii="黑体" w:hAnsi="黑体" w:eastAsia="黑体" w:cs="黑体"/>
          <w:spacing w:val="-9"/>
          <w:sz w:val="27"/>
          <w:szCs w:val="27"/>
        </w:rPr>
        <w:t>8</w:t>
      </w:r>
      <w:r>
        <w:rPr>
          <w:rFonts w:ascii="黑体" w:hAnsi="黑体" w:eastAsia="黑体" w:cs="黑体"/>
          <w:spacing w:val="22"/>
          <w:sz w:val="27"/>
          <w:szCs w:val="27"/>
        </w:rPr>
        <w:t xml:space="preserve">  </w:t>
      </w:r>
      <w:r>
        <w:rPr>
          <w:rFonts w:ascii="黑体" w:hAnsi="黑体" w:eastAsia="黑体" w:cs="黑体"/>
          <w:b/>
          <w:bCs/>
          <w:spacing w:val="-9"/>
          <w:sz w:val="27"/>
          <w:szCs w:val="27"/>
        </w:rPr>
        <w:t>复杂件、关键件工艺攻关情况</w:t>
      </w:r>
    </w:p>
    <w:p w14:paraId="49C07918">
      <w:pPr>
        <w:pStyle w:val="2"/>
        <w:spacing w:before="92" w:line="278" w:lineRule="auto"/>
        <w:ind w:right="120" w:firstLine="550"/>
      </w:pPr>
      <w:r>
        <w:rPr>
          <w:spacing w:val="5"/>
        </w:rPr>
        <w:t>分别对复杂件、关键件工艺攻关情况进行说明，包括复杂件或关键件的名</w:t>
      </w:r>
      <w:r>
        <w:rPr>
          <w:spacing w:val="13"/>
        </w:rPr>
        <w:t xml:space="preserve"> </w:t>
      </w:r>
      <w:r>
        <w:rPr>
          <w:spacing w:val="-12"/>
        </w:rPr>
        <w:t>称、技术难点、工艺难点、工艺攻关措施及其解决情况。</w:t>
      </w:r>
    </w:p>
    <w:p w14:paraId="08EA3759">
      <w:pPr>
        <w:spacing w:line="219" w:lineRule="auto"/>
        <w:rPr>
          <w:rFonts w:ascii="黑体" w:hAnsi="黑体" w:eastAsia="黑体" w:cs="黑体"/>
          <w:sz w:val="27"/>
          <w:szCs w:val="27"/>
        </w:rPr>
      </w:pPr>
      <w:r>
        <w:rPr>
          <w:rFonts w:ascii="黑体" w:hAnsi="黑体" w:eastAsia="黑体" w:cs="黑体"/>
          <w:spacing w:val="-3"/>
          <w:sz w:val="27"/>
          <w:szCs w:val="27"/>
        </w:rPr>
        <w:t xml:space="preserve">9  </w:t>
      </w:r>
      <w:r>
        <w:rPr>
          <w:rFonts w:ascii="黑体" w:hAnsi="黑体" w:eastAsia="黑体" w:cs="黑体"/>
          <w:b/>
          <w:bCs/>
          <w:spacing w:val="-3"/>
          <w:sz w:val="27"/>
          <w:szCs w:val="27"/>
        </w:rPr>
        <w:t>生产线工艺、工装及加工设备的有效性</w:t>
      </w:r>
    </w:p>
    <w:p w14:paraId="7343766B">
      <w:pPr>
        <w:pStyle w:val="2"/>
        <w:spacing w:before="85" w:line="278" w:lineRule="auto"/>
        <w:ind w:right="121" w:firstLine="550"/>
      </w:pPr>
      <w:r>
        <w:rPr>
          <w:spacing w:val="-3"/>
        </w:rPr>
        <w:t>分别说明产品生产线工艺、工装及加工设备的有效性，提出评价意见和调整</w:t>
      </w:r>
      <w:r>
        <w:rPr>
          <w:spacing w:val="1"/>
        </w:rPr>
        <w:t xml:space="preserve"> </w:t>
      </w:r>
      <w:r>
        <w:rPr>
          <w:spacing w:val="-2"/>
        </w:rPr>
        <w:t>建议。</w:t>
      </w:r>
    </w:p>
    <w:p w14:paraId="3F9679F1">
      <w:pPr>
        <w:spacing w:before="4" w:line="222" w:lineRule="auto"/>
        <w:rPr>
          <w:rFonts w:ascii="黑体" w:hAnsi="黑体" w:eastAsia="黑体" w:cs="黑体"/>
          <w:sz w:val="27"/>
          <w:szCs w:val="27"/>
        </w:rPr>
      </w:pPr>
      <w:r>
        <w:rPr>
          <w:rFonts w:ascii="黑体" w:hAnsi="黑体" w:eastAsia="黑体" w:cs="黑体"/>
          <w:spacing w:val="-2"/>
          <w:sz w:val="27"/>
          <w:szCs w:val="27"/>
        </w:rPr>
        <w:t>10</w:t>
      </w:r>
      <w:r>
        <w:rPr>
          <w:rFonts w:ascii="黑体" w:hAnsi="黑体" w:eastAsia="黑体" w:cs="黑体"/>
          <w:spacing w:val="22"/>
          <w:sz w:val="27"/>
          <w:szCs w:val="27"/>
        </w:rPr>
        <w:t xml:space="preserve">  </w:t>
      </w:r>
      <w:r>
        <w:rPr>
          <w:rFonts w:ascii="黑体" w:hAnsi="黑体" w:eastAsia="黑体" w:cs="黑体"/>
          <w:b/>
          <w:bCs/>
          <w:spacing w:val="-2"/>
          <w:sz w:val="27"/>
          <w:szCs w:val="27"/>
        </w:rPr>
        <w:t>工艺评审情况</w:t>
      </w:r>
    </w:p>
    <w:p w14:paraId="14BB1E06">
      <w:pPr>
        <w:pStyle w:val="2"/>
        <w:spacing w:before="102" w:line="274" w:lineRule="auto"/>
        <w:ind w:right="120" w:firstLine="550"/>
        <w:jc w:val="both"/>
      </w:pPr>
      <w:r>
        <w:rPr>
          <w:spacing w:val="9"/>
        </w:rPr>
        <w:t>说明产品研制生产过程中开展工艺评审(工艺总方案评审，工艺说明书评</w:t>
      </w:r>
      <w:r>
        <w:rPr>
          <w:spacing w:val="16"/>
        </w:rPr>
        <w:t xml:space="preserve"> </w:t>
      </w:r>
      <w:r>
        <w:rPr>
          <w:spacing w:val="-10"/>
        </w:rPr>
        <w:t>审，关重件、关键工序工艺文件评审，特殊过程工艺文件评审，新工艺新技术</w:t>
      </w:r>
      <w:r>
        <w:rPr>
          <w:spacing w:val="-11"/>
        </w:rPr>
        <w:t>新材</w:t>
      </w:r>
      <w:r>
        <w:t xml:space="preserve"> </w:t>
      </w:r>
      <w:r>
        <w:rPr>
          <w:spacing w:val="-6"/>
        </w:rPr>
        <w:t>料新设备评审等)的情况，包括评审时间、评审地点(城市名或研制单位名称)、主</w:t>
      </w:r>
      <w:r>
        <w:t xml:space="preserve"> </w:t>
      </w:r>
      <w:r>
        <w:rPr>
          <w:spacing w:val="-13"/>
        </w:rPr>
        <w:t>持单位、评审内容、评审结论等。</w:t>
      </w:r>
    </w:p>
    <w:p w14:paraId="36889463">
      <w:pPr>
        <w:spacing w:before="1" w:line="220" w:lineRule="auto"/>
        <w:rPr>
          <w:rFonts w:ascii="黑体" w:hAnsi="黑体" w:eastAsia="黑体" w:cs="黑体"/>
          <w:sz w:val="27"/>
          <w:szCs w:val="27"/>
        </w:rPr>
      </w:pPr>
      <w:r>
        <w:rPr>
          <w:rFonts w:ascii="黑体" w:hAnsi="黑体" w:eastAsia="黑体" w:cs="黑体"/>
          <w:spacing w:val="1"/>
          <w:sz w:val="27"/>
          <w:szCs w:val="27"/>
        </w:rPr>
        <w:t>11</w:t>
      </w:r>
      <w:r>
        <w:rPr>
          <w:rFonts w:ascii="黑体" w:hAnsi="黑体" w:eastAsia="黑体" w:cs="黑体"/>
          <w:spacing w:val="19"/>
          <w:sz w:val="27"/>
          <w:szCs w:val="27"/>
        </w:rPr>
        <w:t xml:space="preserve">  </w:t>
      </w:r>
      <w:r>
        <w:rPr>
          <w:rFonts w:ascii="黑体" w:hAnsi="黑体" w:eastAsia="黑体" w:cs="黑体"/>
          <w:b/>
          <w:bCs/>
          <w:spacing w:val="1"/>
          <w:sz w:val="27"/>
          <w:szCs w:val="27"/>
        </w:rPr>
        <w:t>产品成本控制说明</w:t>
      </w:r>
    </w:p>
    <w:p w14:paraId="78642933">
      <w:pPr>
        <w:pStyle w:val="2"/>
        <w:spacing w:before="111" w:line="278" w:lineRule="auto"/>
        <w:ind w:right="105" w:firstLine="550"/>
      </w:pPr>
      <w:r>
        <w:rPr>
          <w:spacing w:val="6"/>
        </w:rPr>
        <w:t>说明产品成本控制情况，包括工艺设计和工艺管理工作对节约制</w:t>
      </w:r>
      <w:r>
        <w:rPr>
          <w:spacing w:val="5"/>
        </w:rPr>
        <w:t>造过程中</w:t>
      </w:r>
      <w:r>
        <w:t xml:space="preserve"> </w:t>
      </w:r>
      <w:r>
        <w:rPr>
          <w:spacing w:val="-11"/>
        </w:rPr>
        <w:t>的能耗、物耗，降低产品成本的情况等。</w:t>
      </w:r>
    </w:p>
    <w:p w14:paraId="3482C886">
      <w:pPr>
        <w:spacing w:before="2" w:line="225" w:lineRule="auto"/>
        <w:rPr>
          <w:rFonts w:ascii="黑体" w:hAnsi="黑体" w:eastAsia="黑体" w:cs="黑体"/>
          <w:sz w:val="27"/>
          <w:szCs w:val="27"/>
        </w:rPr>
      </w:pPr>
      <w:r>
        <w:rPr>
          <w:rFonts w:ascii="黑体" w:hAnsi="黑体" w:eastAsia="黑体" w:cs="黑体"/>
          <w:spacing w:val="-5"/>
          <w:sz w:val="27"/>
          <w:szCs w:val="27"/>
        </w:rPr>
        <w:t>12</w:t>
      </w:r>
      <w:r>
        <w:rPr>
          <w:rFonts w:ascii="黑体" w:hAnsi="黑体" w:eastAsia="黑体" w:cs="黑体"/>
          <w:spacing w:val="19"/>
          <w:sz w:val="27"/>
          <w:szCs w:val="27"/>
        </w:rPr>
        <w:t xml:space="preserve">  </w:t>
      </w:r>
      <w:r>
        <w:rPr>
          <w:rFonts w:ascii="黑体" w:hAnsi="黑体" w:eastAsia="黑体" w:cs="黑体"/>
          <w:b/>
          <w:bCs/>
          <w:spacing w:val="-5"/>
          <w:sz w:val="27"/>
          <w:szCs w:val="27"/>
        </w:rPr>
        <w:t>结论</w:t>
      </w:r>
    </w:p>
    <w:p w14:paraId="4E9983C0">
      <w:pPr>
        <w:pStyle w:val="2"/>
        <w:spacing w:before="79" w:line="282" w:lineRule="auto"/>
        <w:ind w:right="119" w:firstLine="550"/>
      </w:pPr>
      <w:r>
        <w:rPr>
          <w:spacing w:val="5"/>
        </w:rPr>
        <w:t>对产品研制生产过程中开展的全部工艺工作给出结论性的意见，亦可同时</w:t>
      </w:r>
      <w:r>
        <w:rPr>
          <w:spacing w:val="14"/>
        </w:rPr>
        <w:t xml:space="preserve"> </w:t>
      </w:r>
      <w:r>
        <w:rPr>
          <w:spacing w:val="2"/>
        </w:rPr>
        <w:t>提出进一步改进的建议。</w:t>
      </w:r>
    </w:p>
    <w:p w14:paraId="3AD0BFC1">
      <w:pPr>
        <w:spacing w:line="241" w:lineRule="auto"/>
        <w:rPr>
          <w:rFonts w:ascii="Arial"/>
          <w:sz w:val="21"/>
        </w:rPr>
      </w:pPr>
    </w:p>
    <w:p w14:paraId="57F4C7DD">
      <w:pPr>
        <w:pStyle w:val="2"/>
        <w:spacing w:before="117" w:line="218" w:lineRule="auto"/>
        <w:ind w:left="2230"/>
        <w:outlineLvl w:val="1"/>
        <w:rPr>
          <w:sz w:val="36"/>
          <w:szCs w:val="36"/>
        </w:rPr>
      </w:pPr>
      <w:r>
        <w:rPr>
          <w:rFonts w:ascii="Times New Roman" w:hAnsi="Times New Roman" w:eastAsia="Times New Roman" w:cs="Times New Roman"/>
          <w:b/>
          <w:bCs/>
          <w:spacing w:val="3"/>
          <w:sz w:val="36"/>
          <w:szCs w:val="36"/>
        </w:rPr>
        <w:t xml:space="preserve">3.7     </w:t>
      </w:r>
      <w:r>
        <w:rPr>
          <w:b/>
          <w:bCs/>
          <w:spacing w:val="3"/>
          <w:sz w:val="36"/>
          <w:szCs w:val="36"/>
        </w:rPr>
        <w:t>工艺和生产条件考核报告</w:t>
      </w:r>
    </w:p>
    <w:p w14:paraId="6A0E91C4">
      <w:pPr>
        <w:spacing w:line="362" w:lineRule="auto"/>
        <w:rPr>
          <w:rFonts w:ascii="Arial"/>
          <w:sz w:val="21"/>
        </w:rPr>
      </w:pPr>
    </w:p>
    <w:p w14:paraId="6707AC22">
      <w:pPr>
        <w:spacing w:before="79" w:line="222" w:lineRule="auto"/>
        <w:ind w:left="3"/>
        <w:rPr>
          <w:rFonts w:ascii="黑体" w:hAnsi="黑体" w:eastAsia="黑体" w:cs="黑体"/>
          <w:sz w:val="24"/>
          <w:szCs w:val="24"/>
        </w:rPr>
      </w:pPr>
      <w:r>
        <w:rPr>
          <w:rFonts w:ascii="黑体" w:hAnsi="黑体" w:eastAsia="黑体" w:cs="黑体"/>
          <w:b/>
          <w:bCs/>
          <w:spacing w:val="29"/>
          <w:sz w:val="24"/>
          <w:szCs w:val="24"/>
        </w:rPr>
        <w:t>考核工作简况</w:t>
      </w:r>
    </w:p>
    <w:p w14:paraId="42957CCB">
      <w:pPr>
        <w:pStyle w:val="2"/>
        <w:spacing w:before="106" w:line="282" w:lineRule="auto"/>
        <w:ind w:right="119" w:firstLine="550"/>
      </w:pPr>
      <w:r>
        <w:rPr>
          <w:spacing w:val="-3"/>
        </w:rPr>
        <w:t>简要说明产品工艺和生产条件考核情况，包括考核时间、考核组成员、考核</w:t>
      </w:r>
      <w:r>
        <w:rPr>
          <w:spacing w:val="3"/>
        </w:rPr>
        <w:t xml:space="preserve"> </w:t>
      </w:r>
      <w:r>
        <w:rPr>
          <w:spacing w:val="2"/>
        </w:rPr>
        <w:t>依据和考核工作内容等。</w:t>
      </w:r>
    </w:p>
    <w:p w14:paraId="724F94F9">
      <w:pPr>
        <w:spacing w:before="1" w:line="220" w:lineRule="auto"/>
        <w:rPr>
          <w:rFonts w:ascii="黑体" w:hAnsi="黑体" w:eastAsia="黑体" w:cs="黑体"/>
          <w:sz w:val="24"/>
          <w:szCs w:val="24"/>
        </w:rPr>
      </w:pPr>
      <w:r>
        <w:rPr>
          <w:rFonts w:ascii="黑体" w:hAnsi="黑体" w:eastAsia="黑体" w:cs="黑体"/>
          <w:spacing w:val="24"/>
          <w:sz w:val="24"/>
          <w:szCs w:val="24"/>
        </w:rPr>
        <w:t>1</w:t>
      </w:r>
      <w:r>
        <w:rPr>
          <w:rFonts w:ascii="黑体" w:hAnsi="黑体" w:eastAsia="黑体" w:cs="黑体"/>
          <w:spacing w:val="50"/>
          <w:sz w:val="24"/>
          <w:szCs w:val="24"/>
        </w:rPr>
        <w:t xml:space="preserve">  </w:t>
      </w:r>
      <w:r>
        <w:rPr>
          <w:rFonts w:ascii="黑体" w:hAnsi="黑体" w:eastAsia="黑体" w:cs="黑体"/>
          <w:b/>
          <w:bCs/>
          <w:spacing w:val="24"/>
          <w:sz w:val="24"/>
          <w:szCs w:val="24"/>
        </w:rPr>
        <w:t>生产工艺流程</w:t>
      </w:r>
    </w:p>
    <w:p w14:paraId="4FC65AD8">
      <w:pPr>
        <w:pStyle w:val="2"/>
        <w:spacing w:before="110" w:line="294" w:lineRule="auto"/>
        <w:ind w:right="98" w:firstLine="550"/>
      </w:pPr>
      <w:r>
        <w:rPr>
          <w:spacing w:val="-2"/>
        </w:rPr>
        <w:t>说明对生产工艺流程的考核情况，包括对生产工艺流程</w:t>
      </w:r>
      <w:r>
        <w:rPr>
          <w:spacing w:val="-3"/>
        </w:rPr>
        <w:t>的客观描述，对生产</w:t>
      </w:r>
      <w:r>
        <w:t xml:space="preserve"> </w:t>
      </w:r>
      <w:r>
        <w:rPr>
          <w:spacing w:val="-4"/>
        </w:rPr>
        <w:t>工艺流程的合理性进行评价，指出生产工艺流程存在的问题，提出改进建议。</w:t>
      </w:r>
    </w:p>
    <w:p w14:paraId="3BF2A964">
      <w:pPr>
        <w:spacing w:line="294" w:lineRule="auto"/>
        <w:sectPr>
          <w:footerReference r:id="rId293" w:type="default"/>
          <w:pgSz w:w="11910" w:h="17130"/>
          <w:pgMar w:top="1450" w:right="925" w:bottom="1640" w:left="1499" w:header="0" w:footer="1433" w:gutter="0"/>
          <w:cols w:space="720" w:num="1"/>
        </w:sectPr>
      </w:pPr>
    </w:p>
    <w:p w14:paraId="7A38CD0A">
      <w:pPr>
        <w:spacing w:before="54" w:line="219" w:lineRule="auto"/>
        <w:rPr>
          <w:rFonts w:ascii="黑体" w:hAnsi="黑体" w:eastAsia="黑体" w:cs="黑体"/>
          <w:sz w:val="27"/>
          <w:szCs w:val="27"/>
        </w:rPr>
      </w:pPr>
      <w:r>
        <w:rPr>
          <w:rFonts w:ascii="黑体" w:hAnsi="黑体" w:eastAsia="黑体" w:cs="黑体"/>
          <w:spacing w:val="2"/>
          <w:sz w:val="27"/>
          <w:szCs w:val="27"/>
        </w:rPr>
        <w:t xml:space="preserve">2  </w:t>
      </w:r>
      <w:r>
        <w:rPr>
          <w:rFonts w:ascii="黑体" w:hAnsi="黑体" w:eastAsia="黑体" w:cs="黑体"/>
          <w:b/>
          <w:bCs/>
          <w:spacing w:val="2"/>
          <w:sz w:val="27"/>
          <w:szCs w:val="27"/>
        </w:rPr>
        <w:t>工艺指令性文件和全套工艺规程</w:t>
      </w:r>
    </w:p>
    <w:p w14:paraId="7DA54046">
      <w:pPr>
        <w:pStyle w:val="2"/>
        <w:spacing w:before="80" w:line="281" w:lineRule="auto"/>
        <w:ind w:right="100" w:firstLine="560"/>
        <w:jc w:val="both"/>
      </w:pPr>
      <w:r>
        <w:rPr>
          <w:spacing w:val="6"/>
        </w:rPr>
        <w:t>说明对工艺指令性文件和全套工艺规程的考核情况，</w:t>
      </w:r>
      <w:r>
        <w:rPr>
          <w:spacing w:val="5"/>
        </w:rPr>
        <w:t>包括对工艺指令性文</w:t>
      </w:r>
      <w:r>
        <w:t xml:space="preserve"> </w:t>
      </w:r>
      <w:r>
        <w:rPr>
          <w:spacing w:val="9"/>
        </w:rPr>
        <w:t>件和全套工艺规程的客观描述</w:t>
      </w:r>
      <w:r>
        <w:rPr>
          <w:rFonts w:ascii="仿宋" w:hAnsi="仿宋" w:eastAsia="仿宋" w:cs="仿宋"/>
          <w:spacing w:val="9"/>
        </w:rPr>
        <w:t>(编制了××个工艺指令性文件、××个工艺规</w:t>
      </w:r>
      <w:r>
        <w:rPr>
          <w:rFonts w:ascii="仿宋" w:hAnsi="仿宋" w:eastAsia="仿宋" w:cs="仿宋"/>
          <w:spacing w:val="18"/>
        </w:rPr>
        <w:t xml:space="preserve"> </w:t>
      </w:r>
      <w:r>
        <w:rPr>
          <w:rFonts w:ascii="仿宋" w:hAnsi="仿宋" w:eastAsia="仿宋" w:cs="仿宋"/>
          <w:spacing w:val="-3"/>
        </w:rPr>
        <w:t>程),</w:t>
      </w:r>
      <w:r>
        <w:rPr>
          <w:spacing w:val="-3"/>
        </w:rPr>
        <w:t>对工艺指令性文件和全套工艺规程的</w:t>
      </w:r>
      <w:r>
        <w:rPr>
          <w:spacing w:val="-4"/>
        </w:rPr>
        <w:t>齐套性、正确性和协调性进行评价，指</w:t>
      </w:r>
      <w:r>
        <w:t xml:space="preserve"> </w:t>
      </w:r>
      <w:r>
        <w:rPr>
          <w:spacing w:val="-2"/>
        </w:rPr>
        <w:t>出工艺指令性文件和全套工艺规程存在的问题，提出改进建议。</w:t>
      </w:r>
    </w:p>
    <w:p w14:paraId="7E3FB773">
      <w:pPr>
        <w:spacing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5"/>
          <w:sz w:val="27"/>
          <w:szCs w:val="27"/>
        </w:rPr>
        <w:t xml:space="preserve">  </w:t>
      </w:r>
      <w:r>
        <w:rPr>
          <w:rFonts w:ascii="黑体" w:hAnsi="黑体" w:eastAsia="黑体" w:cs="黑体"/>
          <w:b/>
          <w:bCs/>
          <w:sz w:val="27"/>
          <w:szCs w:val="27"/>
        </w:rPr>
        <w:t>工艺装置设计图样</w:t>
      </w:r>
    </w:p>
    <w:p w14:paraId="686FDE41">
      <w:pPr>
        <w:pStyle w:val="2"/>
        <w:spacing w:before="92" w:line="270" w:lineRule="auto"/>
        <w:ind w:right="120" w:firstLine="560"/>
        <w:jc w:val="both"/>
      </w:pPr>
      <w:r>
        <w:rPr>
          <w:spacing w:val="5"/>
        </w:rPr>
        <w:t>说明对工艺装置设计图样的考核情况，包括对工艺装置设计图样的客观描</w:t>
      </w:r>
      <w:r>
        <w:rPr>
          <w:spacing w:val="3"/>
        </w:rPr>
        <w:t xml:space="preserve"> </w:t>
      </w:r>
      <w:r>
        <w:rPr>
          <w:spacing w:val="1"/>
        </w:rPr>
        <w:t>述(说明图样数量并列出清单),对工艺装置设计图样的齐套性、正确性和协调性</w:t>
      </w:r>
      <w:r>
        <w:rPr>
          <w:spacing w:val="8"/>
        </w:rPr>
        <w:t xml:space="preserve"> </w:t>
      </w:r>
      <w:r>
        <w:rPr>
          <w:spacing w:val="-6"/>
        </w:rPr>
        <w:t>进行评价，指出工艺装置设计图样存在的问题，提出改进建议。</w:t>
      </w:r>
    </w:p>
    <w:p w14:paraId="4945477D">
      <w:pPr>
        <w:spacing w:before="38" w:line="222" w:lineRule="auto"/>
        <w:outlineLvl w:val="3"/>
        <w:rPr>
          <w:rFonts w:ascii="黑体" w:hAnsi="黑体" w:eastAsia="黑体" w:cs="黑体"/>
          <w:sz w:val="24"/>
          <w:szCs w:val="24"/>
        </w:rPr>
      </w:pPr>
      <w:r>
        <w:rPr>
          <w:rFonts w:ascii="Arial" w:hAnsi="Arial" w:eastAsia="Arial" w:cs="Arial"/>
          <w:b/>
          <w:bCs/>
          <w:spacing w:val="23"/>
          <w:sz w:val="24"/>
          <w:szCs w:val="24"/>
        </w:rPr>
        <w:t>4</w:t>
      </w:r>
      <w:r>
        <w:rPr>
          <w:rFonts w:ascii="Arial" w:hAnsi="Arial" w:eastAsia="Arial" w:cs="Arial"/>
          <w:b/>
          <w:bCs/>
          <w:spacing w:val="9"/>
          <w:sz w:val="24"/>
          <w:szCs w:val="24"/>
        </w:rPr>
        <w:t xml:space="preserve">    </w:t>
      </w:r>
      <w:r>
        <w:rPr>
          <w:rFonts w:ascii="黑体" w:hAnsi="黑体" w:eastAsia="黑体" w:cs="黑体"/>
          <w:b/>
          <w:bCs/>
          <w:spacing w:val="23"/>
          <w:sz w:val="24"/>
          <w:szCs w:val="24"/>
        </w:rPr>
        <w:t>工序、特殊工艺考核报告及工艺装置一览表</w:t>
      </w:r>
    </w:p>
    <w:p w14:paraId="14567FED">
      <w:pPr>
        <w:pStyle w:val="2"/>
        <w:spacing w:before="109" w:line="278" w:lineRule="auto"/>
        <w:ind w:right="97" w:firstLine="560"/>
        <w:jc w:val="both"/>
      </w:pPr>
      <w:r>
        <w:rPr>
          <w:spacing w:val="-3"/>
        </w:rPr>
        <w:t>分别说明对工序、特殊工艺的考核情况，包括工序的合理性，关键工序确定</w:t>
      </w:r>
      <w:r>
        <w:rPr>
          <w:spacing w:val="15"/>
        </w:rPr>
        <w:t xml:space="preserve"> </w:t>
      </w:r>
      <w:r>
        <w:rPr>
          <w:spacing w:val="-3"/>
        </w:rPr>
        <w:t>的正确性，关键工序目录的完整性；特殊工艺的必要性，特殊工艺文件的正确性</w:t>
      </w:r>
      <w:r>
        <w:rPr>
          <w:spacing w:val="14"/>
        </w:rPr>
        <w:t xml:space="preserve"> </w:t>
      </w:r>
      <w:r>
        <w:rPr>
          <w:spacing w:val="-10"/>
        </w:rPr>
        <w:t>及工艺流程、工艺参数、工艺控制要求的合理性，特殊工艺试验和检测的项目、要</w:t>
      </w:r>
      <w:r>
        <w:rPr>
          <w:spacing w:val="2"/>
        </w:rPr>
        <w:t xml:space="preserve"> 求及方法的正确性等。</w:t>
      </w:r>
    </w:p>
    <w:p w14:paraId="441DC97A">
      <w:pPr>
        <w:pStyle w:val="2"/>
        <w:spacing w:before="1" w:line="217" w:lineRule="auto"/>
        <w:ind w:left="560"/>
      </w:pPr>
      <w:r>
        <w:rPr>
          <w:spacing w:val="-13"/>
        </w:rPr>
        <w:t>对工艺装置一览表进行评价，是否完整、准确、规范。</w:t>
      </w:r>
    </w:p>
    <w:p w14:paraId="5B70E7CF">
      <w:pPr>
        <w:spacing w:before="67" w:line="221"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1"/>
          <w:w w:val="101"/>
          <w:sz w:val="27"/>
          <w:szCs w:val="27"/>
        </w:rPr>
        <w:t xml:space="preserve">   </w:t>
      </w:r>
      <w:r>
        <w:rPr>
          <w:rFonts w:ascii="黑体" w:hAnsi="黑体" w:eastAsia="黑体" w:cs="黑体"/>
          <w:b/>
          <w:bCs/>
          <w:spacing w:val="1"/>
          <w:sz w:val="27"/>
          <w:szCs w:val="27"/>
        </w:rPr>
        <w:t>关键和重要零部件的工艺说明</w:t>
      </w:r>
    </w:p>
    <w:p w14:paraId="16D04DCC">
      <w:pPr>
        <w:pStyle w:val="2"/>
        <w:spacing w:before="90" w:line="280" w:lineRule="auto"/>
        <w:ind w:right="98" w:firstLine="560"/>
        <w:jc w:val="both"/>
      </w:pPr>
      <w:r>
        <w:rPr>
          <w:spacing w:val="-3"/>
        </w:rPr>
        <w:t>阐述对关键和重要零部件工艺说明的考核情况，包括关键和重要零部件工艺</w:t>
      </w:r>
      <w:r>
        <w:rPr>
          <w:spacing w:val="14"/>
        </w:rPr>
        <w:t xml:space="preserve"> </w:t>
      </w:r>
      <w:r>
        <w:rPr>
          <w:spacing w:val="-17"/>
        </w:rPr>
        <w:t>说明的完整性、正确性、协调性、规范性，工艺文件中对关键和重要零部件是否有明</w:t>
      </w:r>
      <w:r>
        <w:rPr>
          <w:spacing w:val="15"/>
        </w:rPr>
        <w:t xml:space="preserve"> </w:t>
      </w:r>
      <w:r>
        <w:rPr>
          <w:spacing w:val="-10"/>
        </w:rPr>
        <w:t>显的标识，关键和重要零部件的工艺流程和方法以及质量控制要求的合理性、可行</w:t>
      </w:r>
      <w:r>
        <w:rPr>
          <w:spacing w:val="2"/>
        </w:rPr>
        <w:t xml:space="preserve"> </w:t>
      </w:r>
      <w:r>
        <w:rPr>
          <w:spacing w:val="-7"/>
        </w:rPr>
        <w:t>性，关键和重要零部件工艺说明的更改是否经过验证并严格履行审批程序等。</w:t>
      </w:r>
    </w:p>
    <w:p w14:paraId="322AD080">
      <w:pPr>
        <w:spacing w:before="1" w:line="221"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4"/>
          <w:sz w:val="27"/>
          <w:szCs w:val="27"/>
        </w:rPr>
        <w:t xml:space="preserve">  </w:t>
      </w:r>
      <w:r>
        <w:rPr>
          <w:rFonts w:ascii="黑体" w:hAnsi="黑体" w:eastAsia="黑体" w:cs="黑体"/>
          <w:b/>
          <w:bCs/>
          <w:spacing w:val="1"/>
          <w:sz w:val="27"/>
          <w:szCs w:val="27"/>
        </w:rPr>
        <w:t>产品检验记录</w:t>
      </w:r>
    </w:p>
    <w:p w14:paraId="725007EF">
      <w:pPr>
        <w:pStyle w:val="2"/>
        <w:spacing w:before="80" w:line="279" w:lineRule="auto"/>
        <w:ind w:right="100" w:firstLine="560"/>
      </w:pPr>
      <w:r>
        <w:rPr>
          <w:spacing w:val="-3"/>
        </w:rPr>
        <w:t>说明对产品检验记录的考核情况，包括产品检验记录是否完整、准确，签署</w:t>
      </w:r>
      <w:r>
        <w:rPr>
          <w:spacing w:val="12"/>
        </w:rPr>
        <w:t xml:space="preserve"> </w:t>
      </w:r>
      <w:r>
        <w:rPr>
          <w:spacing w:val="-5"/>
        </w:rPr>
        <w:t>是否完整，检验人员是否具有资质等。</w:t>
      </w:r>
    </w:p>
    <w:p w14:paraId="3F482E58">
      <w:pPr>
        <w:spacing w:before="1" w:line="221" w:lineRule="auto"/>
        <w:outlineLvl w:val="3"/>
        <w:rPr>
          <w:rFonts w:ascii="黑体" w:hAnsi="黑体" w:eastAsia="黑体" w:cs="黑体"/>
          <w:sz w:val="27"/>
          <w:szCs w:val="27"/>
        </w:rPr>
      </w:pPr>
      <w:r>
        <w:rPr>
          <w:rFonts w:ascii="Arial" w:hAnsi="Arial" w:eastAsia="Arial" w:cs="Arial"/>
          <w:b/>
          <w:bCs/>
          <w:spacing w:val="4"/>
          <w:sz w:val="27"/>
          <w:szCs w:val="27"/>
        </w:rPr>
        <w:t xml:space="preserve">7   </w:t>
      </w:r>
      <w:r>
        <w:rPr>
          <w:rFonts w:ascii="黑体" w:hAnsi="黑体" w:eastAsia="黑体" w:cs="黑体"/>
          <w:b/>
          <w:bCs/>
          <w:spacing w:val="4"/>
          <w:sz w:val="27"/>
          <w:szCs w:val="27"/>
        </w:rPr>
        <w:t>承研承制单位质量管理体系和产品质</w:t>
      </w:r>
      <w:r>
        <w:rPr>
          <w:rFonts w:ascii="黑体" w:hAnsi="黑体" w:eastAsia="黑体" w:cs="黑体"/>
          <w:b/>
          <w:bCs/>
          <w:spacing w:val="3"/>
          <w:sz w:val="27"/>
          <w:szCs w:val="27"/>
        </w:rPr>
        <w:t>量保证的有关文件</w:t>
      </w:r>
    </w:p>
    <w:p w14:paraId="47097EB1">
      <w:pPr>
        <w:pStyle w:val="2"/>
        <w:spacing w:before="92" w:line="278" w:lineRule="auto"/>
        <w:ind w:firstLine="560"/>
        <w:jc w:val="both"/>
      </w:pPr>
      <w:r>
        <w:rPr>
          <w:spacing w:val="9"/>
        </w:rPr>
        <w:t>说明对承研承制单位质量管理体系和产品质量保证有关文件的考</w:t>
      </w:r>
      <w:r>
        <w:rPr>
          <w:spacing w:val="8"/>
        </w:rPr>
        <w:t>核情况，</w:t>
      </w:r>
      <w:r>
        <w:t xml:space="preserve"> </w:t>
      </w:r>
      <w:r>
        <w:rPr>
          <w:spacing w:val="1"/>
        </w:rPr>
        <w:t>包括承研承制单位通过质量管理体系认证的时间，质量管理体系运行的有效</w:t>
      </w:r>
      <w:r>
        <w:t xml:space="preserve">性， </w:t>
      </w:r>
      <w:r>
        <w:rPr>
          <w:spacing w:val="-3"/>
        </w:rPr>
        <w:t>产品质量保证有关文件的有效性、合理性等。</w:t>
      </w:r>
    </w:p>
    <w:p w14:paraId="3280FE1E">
      <w:pPr>
        <w:spacing w:before="13" w:line="222" w:lineRule="auto"/>
        <w:rPr>
          <w:rFonts w:ascii="黑体" w:hAnsi="黑体" w:eastAsia="黑体" w:cs="黑体"/>
          <w:sz w:val="24"/>
          <w:szCs w:val="24"/>
        </w:rPr>
      </w:pPr>
      <w:r>
        <w:rPr>
          <w:rFonts w:ascii="黑体" w:hAnsi="黑体" w:eastAsia="黑体" w:cs="黑体"/>
          <w:spacing w:val="22"/>
          <w:sz w:val="24"/>
          <w:szCs w:val="24"/>
        </w:rPr>
        <w:t>8</w:t>
      </w:r>
      <w:r>
        <w:rPr>
          <w:rFonts w:ascii="黑体" w:hAnsi="黑体" w:eastAsia="黑体" w:cs="黑体"/>
          <w:spacing w:val="39"/>
          <w:sz w:val="24"/>
          <w:szCs w:val="24"/>
        </w:rPr>
        <w:t xml:space="preserve">  </w:t>
      </w:r>
      <w:r>
        <w:rPr>
          <w:rFonts w:ascii="黑体" w:hAnsi="黑体" w:eastAsia="黑体" w:cs="黑体"/>
          <w:b/>
          <w:bCs/>
          <w:spacing w:val="22"/>
          <w:sz w:val="24"/>
          <w:szCs w:val="24"/>
        </w:rPr>
        <w:t>元器件、原材料等生产准备的有关文件</w:t>
      </w:r>
    </w:p>
    <w:p w14:paraId="3DCDE216">
      <w:pPr>
        <w:pStyle w:val="2"/>
        <w:spacing w:before="106" w:line="282" w:lineRule="auto"/>
        <w:ind w:right="103" w:firstLine="560"/>
      </w:pPr>
      <w:r>
        <w:rPr>
          <w:spacing w:val="-3"/>
        </w:rPr>
        <w:t>分别说明对元器件、原材料等生产准备的有关文件的考核情况，包括文件齐</w:t>
      </w:r>
      <w:r>
        <w:rPr>
          <w:spacing w:val="9"/>
        </w:rPr>
        <w:t xml:space="preserve"> </w:t>
      </w:r>
      <w:r>
        <w:rPr>
          <w:spacing w:val="-14"/>
        </w:rPr>
        <w:t>套性、正确性，元器件、原材料复验和筛选情况等。</w:t>
      </w:r>
    </w:p>
    <w:p w14:paraId="2D580882">
      <w:pPr>
        <w:spacing w:before="10" w:line="221" w:lineRule="auto"/>
        <w:rPr>
          <w:rFonts w:ascii="黑体" w:hAnsi="黑体" w:eastAsia="黑体" w:cs="黑体"/>
          <w:sz w:val="24"/>
          <w:szCs w:val="24"/>
        </w:rPr>
      </w:pPr>
      <w:r>
        <w:rPr>
          <w:rFonts w:ascii="黑体" w:hAnsi="黑体" w:eastAsia="黑体" w:cs="黑体"/>
          <w:spacing w:val="28"/>
          <w:sz w:val="24"/>
          <w:szCs w:val="24"/>
        </w:rPr>
        <w:t>9</w:t>
      </w:r>
      <w:r>
        <w:rPr>
          <w:rFonts w:ascii="黑体" w:hAnsi="黑体" w:eastAsia="黑体" w:cs="黑体"/>
          <w:spacing w:val="39"/>
          <w:sz w:val="24"/>
          <w:szCs w:val="24"/>
        </w:rPr>
        <w:t xml:space="preserve">  </w:t>
      </w:r>
      <w:r>
        <w:rPr>
          <w:rFonts w:ascii="黑体" w:hAnsi="黑体" w:eastAsia="黑体" w:cs="黑体"/>
          <w:b/>
          <w:bCs/>
          <w:spacing w:val="28"/>
          <w:sz w:val="24"/>
          <w:szCs w:val="24"/>
        </w:rPr>
        <w:t>工艺和生产条件考核结论性意见</w:t>
      </w:r>
    </w:p>
    <w:p w14:paraId="7A66094D">
      <w:pPr>
        <w:pStyle w:val="2"/>
        <w:spacing w:before="98" w:line="277" w:lineRule="auto"/>
        <w:ind w:right="103" w:firstLine="560"/>
      </w:pPr>
      <w:r>
        <w:rPr>
          <w:spacing w:val="-3"/>
        </w:rPr>
        <w:t>考核组对产品工艺和生产条件进行全面考核后，形成结论性意见，并提出改</w:t>
      </w:r>
      <w:r>
        <w:rPr>
          <w:spacing w:val="9"/>
        </w:rPr>
        <w:t xml:space="preserve"> </w:t>
      </w:r>
      <w:r>
        <w:rPr>
          <w:spacing w:val="-3"/>
        </w:rPr>
        <w:t>进建议。</w:t>
      </w:r>
    </w:p>
    <w:p w14:paraId="7F01DF73">
      <w:pPr>
        <w:spacing w:line="277" w:lineRule="auto"/>
        <w:sectPr>
          <w:footerReference r:id="rId294" w:type="default"/>
          <w:pgSz w:w="11910" w:h="17130"/>
          <w:pgMar w:top="1427" w:right="1344" w:bottom="1737" w:left="1079" w:header="0" w:footer="1521" w:gutter="0"/>
          <w:cols w:space="720" w:num="1"/>
        </w:sectPr>
      </w:pPr>
    </w:p>
    <w:p w14:paraId="1C9705AE">
      <w:pPr>
        <w:spacing w:line="251" w:lineRule="auto"/>
        <w:rPr>
          <w:rFonts w:ascii="Arial"/>
          <w:sz w:val="21"/>
        </w:rPr>
      </w:pPr>
    </w:p>
    <w:p w14:paraId="54548BA1">
      <w:pPr>
        <w:spacing w:line="251" w:lineRule="auto"/>
        <w:rPr>
          <w:rFonts w:ascii="Arial"/>
          <w:sz w:val="21"/>
        </w:rPr>
      </w:pPr>
    </w:p>
    <w:p w14:paraId="4E01FE86">
      <w:pPr>
        <w:spacing w:line="252" w:lineRule="auto"/>
        <w:rPr>
          <w:rFonts w:ascii="Arial"/>
          <w:sz w:val="21"/>
        </w:rPr>
      </w:pPr>
    </w:p>
    <w:p w14:paraId="154197AF">
      <w:pPr>
        <w:spacing w:line="252" w:lineRule="auto"/>
        <w:rPr>
          <w:rFonts w:ascii="Arial"/>
          <w:sz w:val="21"/>
        </w:rPr>
      </w:pPr>
    </w:p>
    <w:p w14:paraId="527DC321">
      <w:pPr>
        <w:spacing w:line="252" w:lineRule="auto"/>
        <w:rPr>
          <w:rFonts w:ascii="Arial"/>
          <w:sz w:val="21"/>
        </w:rPr>
      </w:pPr>
    </w:p>
    <w:p w14:paraId="06A2139F">
      <w:pPr>
        <w:spacing w:before="143" w:line="222" w:lineRule="auto"/>
        <w:ind w:left="2560"/>
        <w:rPr>
          <w:rFonts w:ascii="黑体" w:hAnsi="黑体" w:eastAsia="黑体" w:cs="黑体"/>
          <w:sz w:val="44"/>
          <w:szCs w:val="44"/>
        </w:rPr>
      </w:pPr>
      <w:r>
        <w:rPr>
          <w:rFonts w:ascii="黑体" w:hAnsi="黑体" w:eastAsia="黑体" w:cs="黑体"/>
          <w:spacing w:val="13"/>
          <w:sz w:val="44"/>
          <w:szCs w:val="44"/>
        </w:rPr>
        <w:t>第</w:t>
      </w:r>
      <w:r>
        <w:rPr>
          <w:rFonts w:ascii="黑体" w:hAnsi="黑体" w:eastAsia="黑体" w:cs="黑体"/>
          <w:spacing w:val="-64"/>
          <w:sz w:val="44"/>
          <w:szCs w:val="44"/>
        </w:rPr>
        <w:t xml:space="preserve"> </w:t>
      </w:r>
      <w:r>
        <w:rPr>
          <w:rFonts w:ascii="黑体" w:hAnsi="黑体" w:eastAsia="黑体" w:cs="黑体"/>
          <w:spacing w:val="13"/>
          <w:sz w:val="44"/>
          <w:szCs w:val="44"/>
        </w:rPr>
        <w:t>4</w:t>
      </w:r>
      <w:r>
        <w:rPr>
          <w:rFonts w:ascii="黑体" w:hAnsi="黑体" w:eastAsia="黑体" w:cs="黑体"/>
          <w:spacing w:val="-54"/>
          <w:sz w:val="44"/>
          <w:szCs w:val="44"/>
        </w:rPr>
        <w:t xml:space="preserve"> </w:t>
      </w:r>
      <w:r>
        <w:rPr>
          <w:rFonts w:ascii="黑体" w:hAnsi="黑体" w:eastAsia="黑体" w:cs="黑体"/>
          <w:spacing w:val="13"/>
          <w:sz w:val="44"/>
          <w:szCs w:val="44"/>
        </w:rPr>
        <w:t>章</w:t>
      </w:r>
      <w:r>
        <w:rPr>
          <w:rFonts w:ascii="黑体" w:hAnsi="黑体" w:eastAsia="黑体" w:cs="黑体"/>
          <w:spacing w:val="26"/>
          <w:sz w:val="44"/>
          <w:szCs w:val="44"/>
        </w:rPr>
        <w:t xml:space="preserve">  </w:t>
      </w:r>
      <w:r>
        <w:rPr>
          <w:rFonts w:ascii="黑体" w:hAnsi="黑体" w:eastAsia="黑体" w:cs="黑体"/>
          <w:spacing w:val="13"/>
          <w:sz w:val="44"/>
          <w:szCs w:val="44"/>
        </w:rPr>
        <w:t>标准化文件</w:t>
      </w:r>
    </w:p>
    <w:p w14:paraId="2D4A333A">
      <w:pPr>
        <w:spacing w:line="241" w:lineRule="auto"/>
        <w:rPr>
          <w:rFonts w:ascii="Arial"/>
          <w:sz w:val="21"/>
        </w:rPr>
      </w:pPr>
    </w:p>
    <w:p w14:paraId="772946E4">
      <w:pPr>
        <w:spacing w:line="241" w:lineRule="auto"/>
        <w:rPr>
          <w:rFonts w:ascii="Arial"/>
          <w:sz w:val="21"/>
        </w:rPr>
      </w:pPr>
    </w:p>
    <w:p w14:paraId="15E161E5">
      <w:pPr>
        <w:spacing w:line="242" w:lineRule="auto"/>
        <w:rPr>
          <w:rFonts w:ascii="Arial"/>
          <w:sz w:val="21"/>
        </w:rPr>
      </w:pPr>
    </w:p>
    <w:p w14:paraId="6223EB7D">
      <w:pPr>
        <w:pStyle w:val="2"/>
        <w:spacing w:before="117" w:line="220" w:lineRule="auto"/>
        <w:ind w:left="3300"/>
        <w:rPr>
          <w:sz w:val="36"/>
          <w:szCs w:val="36"/>
        </w:rPr>
      </w:pPr>
      <w:r>
        <w:rPr>
          <w:spacing w:val="-6"/>
          <w:sz w:val="36"/>
          <w:szCs w:val="36"/>
        </w:rPr>
        <w:t>4.1</w:t>
      </w:r>
      <w:r>
        <w:rPr>
          <w:spacing w:val="33"/>
          <w:sz w:val="36"/>
          <w:szCs w:val="36"/>
        </w:rPr>
        <w:t xml:space="preserve">  </w:t>
      </w:r>
      <w:r>
        <w:rPr>
          <w:b/>
          <w:bCs/>
          <w:spacing w:val="-6"/>
          <w:sz w:val="36"/>
          <w:szCs w:val="36"/>
        </w:rPr>
        <w:t>标准化大纲</w:t>
      </w:r>
    </w:p>
    <w:p w14:paraId="3362732E">
      <w:pPr>
        <w:spacing w:line="331" w:lineRule="auto"/>
        <w:rPr>
          <w:rFonts w:ascii="Arial"/>
          <w:sz w:val="21"/>
        </w:rPr>
      </w:pPr>
    </w:p>
    <w:p w14:paraId="6D723BC7">
      <w:pPr>
        <w:pStyle w:val="2"/>
        <w:spacing w:before="91" w:line="223" w:lineRule="auto"/>
        <w:ind w:left="539"/>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GJB/Z</w:t>
      </w:r>
      <w:r>
        <w:rPr>
          <w:rFonts w:ascii="Times New Roman" w:hAnsi="Times New Roman" w:eastAsia="Times New Roman" w:cs="Times New Roman"/>
          <w:spacing w:val="32"/>
          <w:w w:val="101"/>
          <w:sz w:val="28"/>
          <w:szCs w:val="28"/>
        </w:rPr>
        <w:t xml:space="preserve"> </w:t>
      </w:r>
      <w:r>
        <w:rPr>
          <w:rFonts w:ascii="Times New Roman" w:hAnsi="Times New Roman" w:eastAsia="Times New Roman" w:cs="Times New Roman"/>
          <w:spacing w:val="-9"/>
          <w:sz w:val="28"/>
          <w:szCs w:val="28"/>
        </w:rPr>
        <w:t>114A—2005</w:t>
      </w:r>
      <w:r>
        <w:rPr>
          <w:spacing w:val="-9"/>
          <w:sz w:val="28"/>
          <w:szCs w:val="28"/>
        </w:rPr>
        <w:t>《</w:t>
      </w:r>
      <w:r>
        <w:rPr>
          <w:rFonts w:ascii="楷体" w:hAnsi="楷体" w:eastAsia="楷体" w:cs="楷体"/>
          <w:spacing w:val="-9"/>
          <w:sz w:val="28"/>
          <w:szCs w:val="28"/>
        </w:rPr>
        <w:t>产品标准化大纲编制指南》编写。</w:t>
      </w:r>
    </w:p>
    <w:p w14:paraId="25EE8BE8">
      <w:pPr>
        <w:spacing w:before="181" w:line="221" w:lineRule="auto"/>
        <w:rPr>
          <w:rFonts w:ascii="黑体" w:hAnsi="黑体" w:eastAsia="黑体" w:cs="黑体"/>
          <w:sz w:val="25"/>
          <w:szCs w:val="25"/>
        </w:rPr>
      </w:pPr>
      <w:r>
        <w:rPr>
          <w:rFonts w:ascii="黑体" w:hAnsi="黑体" w:eastAsia="黑体" w:cs="黑体"/>
          <w:spacing w:val="4"/>
          <w:sz w:val="25"/>
          <w:szCs w:val="25"/>
        </w:rPr>
        <w:t>1</w:t>
      </w:r>
      <w:r>
        <w:rPr>
          <w:rFonts w:ascii="黑体" w:hAnsi="黑体" w:eastAsia="黑体" w:cs="黑体"/>
          <w:spacing w:val="30"/>
          <w:sz w:val="25"/>
          <w:szCs w:val="25"/>
        </w:rPr>
        <w:t xml:space="preserve">  </w:t>
      </w:r>
      <w:r>
        <w:rPr>
          <w:rFonts w:ascii="黑体" w:hAnsi="黑体" w:eastAsia="黑体" w:cs="黑体"/>
          <w:b/>
          <w:bCs/>
          <w:spacing w:val="4"/>
          <w:sz w:val="25"/>
          <w:szCs w:val="25"/>
        </w:rPr>
        <w:t>概述</w:t>
      </w:r>
    </w:p>
    <w:p w14:paraId="0359455F">
      <w:pPr>
        <w:pStyle w:val="2"/>
        <w:spacing w:before="146" w:line="301" w:lineRule="auto"/>
        <w:ind w:firstLine="539"/>
      </w:pPr>
      <w:r>
        <w:rPr>
          <w:spacing w:val="-2"/>
        </w:rPr>
        <w:t>概述部分应说明大纲编制依据、适用范围，概</w:t>
      </w:r>
      <w:r>
        <w:rPr>
          <w:spacing w:val="-3"/>
        </w:rPr>
        <w:t>略描述研制产品的基本情况和</w:t>
      </w:r>
      <w:r>
        <w:t xml:space="preserve"> </w:t>
      </w:r>
      <w:r>
        <w:rPr>
          <w:spacing w:val="-9"/>
        </w:rPr>
        <w:t>特点，一般包括下列内容：</w:t>
      </w:r>
    </w:p>
    <w:p w14:paraId="45E47125">
      <w:pPr>
        <w:pStyle w:val="2"/>
        <w:spacing w:line="219" w:lineRule="auto"/>
        <w:ind w:left="539"/>
        <w:rPr>
          <w:sz w:val="24"/>
          <w:szCs w:val="24"/>
        </w:rPr>
      </w:pPr>
      <w:r>
        <w:rPr>
          <w:rFonts w:ascii="Times New Roman" w:hAnsi="Times New Roman" w:eastAsia="Times New Roman" w:cs="Times New Roman"/>
          <w:spacing w:val="17"/>
          <w:sz w:val="24"/>
          <w:szCs w:val="24"/>
        </w:rPr>
        <w:t>a</w:t>
      </w:r>
      <w:r>
        <w:rPr>
          <w:rFonts w:ascii="Times New Roman" w:hAnsi="Times New Roman" w:eastAsia="Times New Roman" w:cs="Times New Roman"/>
          <w:spacing w:val="-17"/>
          <w:sz w:val="24"/>
          <w:szCs w:val="24"/>
        </w:rPr>
        <w:t xml:space="preserve"> </w:t>
      </w:r>
      <w:r>
        <w:rPr>
          <w:spacing w:val="17"/>
          <w:sz w:val="24"/>
          <w:szCs w:val="24"/>
        </w:rPr>
        <w:t>)</w:t>
      </w:r>
      <w:r>
        <w:rPr>
          <w:spacing w:val="-40"/>
          <w:sz w:val="24"/>
          <w:szCs w:val="24"/>
        </w:rPr>
        <w:t xml:space="preserve"> </w:t>
      </w:r>
      <w:r>
        <w:rPr>
          <w:spacing w:val="17"/>
          <w:sz w:val="24"/>
          <w:szCs w:val="24"/>
        </w:rPr>
        <w:t>任务来源；</w:t>
      </w:r>
    </w:p>
    <w:p w14:paraId="68164B55">
      <w:pPr>
        <w:pStyle w:val="2"/>
        <w:spacing w:before="98" w:line="212" w:lineRule="auto"/>
        <w:ind w:left="539"/>
        <w:rPr>
          <w:sz w:val="24"/>
          <w:szCs w:val="24"/>
        </w:rPr>
      </w:pPr>
      <w:r>
        <w:rPr>
          <w:rFonts w:ascii="Times New Roman" w:hAnsi="Times New Roman" w:eastAsia="Times New Roman" w:cs="Times New Roman"/>
          <w:spacing w:val="-9"/>
          <w:sz w:val="24"/>
          <w:szCs w:val="24"/>
        </w:rPr>
        <w:t>b)</w:t>
      </w:r>
      <w:r>
        <w:rPr>
          <w:rFonts w:ascii="Times New Roman" w:hAnsi="Times New Roman" w:eastAsia="Times New Roman" w:cs="Times New Roman"/>
          <w:spacing w:val="16"/>
          <w:sz w:val="24"/>
          <w:szCs w:val="24"/>
        </w:rPr>
        <w:t xml:space="preserve">  </w:t>
      </w:r>
      <w:r>
        <w:rPr>
          <w:spacing w:val="-9"/>
          <w:sz w:val="24"/>
          <w:szCs w:val="24"/>
        </w:rPr>
        <w:t>产</w:t>
      </w:r>
      <w:r>
        <w:rPr>
          <w:spacing w:val="-34"/>
          <w:sz w:val="24"/>
          <w:szCs w:val="24"/>
        </w:rPr>
        <w:t xml:space="preserve"> </w:t>
      </w:r>
      <w:r>
        <w:rPr>
          <w:spacing w:val="-9"/>
          <w:sz w:val="24"/>
          <w:szCs w:val="24"/>
        </w:rPr>
        <w:t>品</w:t>
      </w:r>
      <w:r>
        <w:rPr>
          <w:spacing w:val="-52"/>
          <w:sz w:val="24"/>
          <w:szCs w:val="24"/>
        </w:rPr>
        <w:t xml:space="preserve"> </w:t>
      </w:r>
      <w:r>
        <w:rPr>
          <w:spacing w:val="-9"/>
          <w:sz w:val="24"/>
          <w:szCs w:val="24"/>
        </w:rPr>
        <w:t>用</w:t>
      </w:r>
      <w:r>
        <w:rPr>
          <w:spacing w:val="-55"/>
          <w:sz w:val="24"/>
          <w:szCs w:val="24"/>
        </w:rPr>
        <w:t xml:space="preserve"> </w:t>
      </w:r>
      <w:r>
        <w:rPr>
          <w:spacing w:val="-9"/>
          <w:sz w:val="24"/>
          <w:szCs w:val="24"/>
        </w:rPr>
        <w:t>途</w:t>
      </w:r>
      <w:r>
        <w:rPr>
          <w:spacing w:val="-63"/>
          <w:sz w:val="24"/>
          <w:szCs w:val="24"/>
        </w:rPr>
        <w:t xml:space="preserve"> </w:t>
      </w:r>
      <w:r>
        <w:rPr>
          <w:spacing w:val="-9"/>
          <w:sz w:val="24"/>
          <w:szCs w:val="24"/>
        </w:rPr>
        <w:t>；</w:t>
      </w:r>
    </w:p>
    <w:p w14:paraId="6535B2F0">
      <w:pPr>
        <w:pStyle w:val="2"/>
        <w:spacing w:before="93" w:line="212" w:lineRule="auto"/>
        <w:ind w:left="539"/>
      </w:pPr>
      <w:r>
        <w:rPr>
          <w:rFonts w:ascii="Times New Roman" w:hAnsi="Times New Roman" w:eastAsia="Times New Roman" w:cs="Times New Roman"/>
          <w:spacing w:val="1"/>
        </w:rPr>
        <w:t>c)</w:t>
      </w:r>
      <w:r>
        <w:rPr>
          <w:rFonts w:ascii="Times New Roman" w:hAnsi="Times New Roman" w:eastAsia="Times New Roman" w:cs="Times New Roman"/>
          <w:spacing w:val="67"/>
          <w:w w:val="101"/>
        </w:rPr>
        <w:t xml:space="preserve"> </w:t>
      </w:r>
      <w:r>
        <w:rPr>
          <w:spacing w:val="1"/>
        </w:rPr>
        <w:t>产品主要性能；</w:t>
      </w:r>
    </w:p>
    <w:p w14:paraId="119A6854">
      <w:pPr>
        <w:pStyle w:val="2"/>
        <w:spacing w:before="119" w:line="212" w:lineRule="auto"/>
        <w:ind w:left="539"/>
      </w:pPr>
      <w:r>
        <w:rPr>
          <w:rFonts w:ascii="Times New Roman" w:hAnsi="Times New Roman" w:eastAsia="Times New Roman" w:cs="Times New Roman"/>
          <w:spacing w:val="2"/>
        </w:rPr>
        <w:t xml:space="preserve">d)  </w:t>
      </w:r>
      <w:r>
        <w:rPr>
          <w:spacing w:val="2"/>
        </w:rPr>
        <w:t>研制类型和特点；</w:t>
      </w:r>
    </w:p>
    <w:p w14:paraId="4B1EA81F">
      <w:pPr>
        <w:pStyle w:val="2"/>
        <w:spacing w:before="80" w:line="212" w:lineRule="auto"/>
        <w:ind w:left="539"/>
      </w:pPr>
      <w:r>
        <w:rPr>
          <w:rFonts w:ascii="Times New Roman" w:hAnsi="Times New Roman" w:eastAsia="Times New Roman" w:cs="Times New Roman"/>
          <w:spacing w:val="1"/>
        </w:rPr>
        <w:t>e)</w:t>
      </w:r>
      <w:r>
        <w:rPr>
          <w:rFonts w:ascii="Times New Roman" w:hAnsi="Times New Roman" w:eastAsia="Times New Roman" w:cs="Times New Roman"/>
          <w:spacing w:val="66"/>
          <w:w w:val="101"/>
        </w:rPr>
        <w:t xml:space="preserve"> </w:t>
      </w:r>
      <w:r>
        <w:rPr>
          <w:spacing w:val="1"/>
        </w:rPr>
        <w:t>产品组成和特点；</w:t>
      </w:r>
    </w:p>
    <w:p w14:paraId="0252C445">
      <w:pPr>
        <w:pStyle w:val="2"/>
        <w:spacing w:before="130" w:line="212" w:lineRule="auto"/>
        <w:ind w:left="539"/>
      </w:pPr>
      <w:r>
        <w:rPr>
          <w:rFonts w:ascii="Times New Roman" w:hAnsi="Times New Roman" w:eastAsia="Times New Roman" w:cs="Times New Roman"/>
          <w:spacing w:val="3"/>
        </w:rPr>
        <w:t>f)</w:t>
      </w:r>
      <w:r>
        <w:rPr>
          <w:rFonts w:ascii="Times New Roman" w:hAnsi="Times New Roman" w:eastAsia="Times New Roman" w:cs="Times New Roman"/>
          <w:spacing w:val="64"/>
          <w:w w:val="101"/>
        </w:rPr>
        <w:t xml:space="preserve"> </w:t>
      </w:r>
      <w:r>
        <w:rPr>
          <w:spacing w:val="3"/>
        </w:rPr>
        <w:t>产品研制对标准化的要求；</w:t>
      </w:r>
    </w:p>
    <w:p w14:paraId="2515A62D">
      <w:pPr>
        <w:pStyle w:val="2"/>
        <w:spacing w:before="110" w:line="212" w:lineRule="auto"/>
        <w:ind w:left="539"/>
      </w:pPr>
      <w:r>
        <w:rPr>
          <w:rFonts w:ascii="Times New Roman" w:hAnsi="Times New Roman" w:eastAsia="Times New Roman" w:cs="Times New Roman"/>
          <w:spacing w:val="2"/>
        </w:rPr>
        <w:t>g</w:t>
      </w:r>
      <w:r>
        <w:rPr>
          <w:spacing w:val="2"/>
        </w:rPr>
        <w:t>)</w:t>
      </w:r>
      <w:r>
        <w:rPr>
          <w:spacing w:val="-45"/>
        </w:rPr>
        <w:t xml:space="preserve"> </w:t>
      </w:r>
      <w:r>
        <w:rPr>
          <w:spacing w:val="2"/>
        </w:rPr>
        <w:t>配套情况。</w:t>
      </w:r>
    </w:p>
    <w:p w14:paraId="2179BD24">
      <w:pPr>
        <w:spacing w:before="118" w:line="224"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20"/>
          <w:sz w:val="27"/>
          <w:szCs w:val="27"/>
        </w:rPr>
        <w:t xml:space="preserve">  </w:t>
      </w:r>
      <w:r>
        <w:rPr>
          <w:rFonts w:ascii="黑体" w:hAnsi="黑体" w:eastAsia="黑体" w:cs="黑体"/>
          <w:b/>
          <w:bCs/>
          <w:spacing w:val="-1"/>
          <w:sz w:val="27"/>
          <w:szCs w:val="27"/>
        </w:rPr>
        <w:t>标准化目标</w:t>
      </w:r>
    </w:p>
    <w:p w14:paraId="5E4AD649">
      <w:pPr>
        <w:pStyle w:val="2"/>
        <w:spacing w:before="95" w:line="219" w:lineRule="auto"/>
        <w:ind w:left="539"/>
      </w:pPr>
      <w:r>
        <w:rPr>
          <w:spacing w:val="-1"/>
        </w:rPr>
        <w:t>根据需要和可能，标准化目标可以选择下列适当形式进行表述：</w:t>
      </w:r>
    </w:p>
    <w:p w14:paraId="6FA35999">
      <w:pPr>
        <w:pStyle w:val="2"/>
        <w:spacing w:before="59" w:line="212" w:lineRule="auto"/>
        <w:ind w:left="539"/>
      </w:pPr>
      <w:r>
        <w:rPr>
          <w:rFonts w:ascii="Times New Roman" w:hAnsi="Times New Roman" w:eastAsia="Times New Roman" w:cs="Times New Roman"/>
          <w:spacing w:val="1"/>
        </w:rPr>
        <w:t>a)</w:t>
      </w:r>
      <w:r>
        <w:rPr>
          <w:rFonts w:ascii="Times New Roman" w:hAnsi="Times New Roman" w:eastAsia="Times New Roman" w:cs="Times New Roman"/>
          <w:spacing w:val="66"/>
          <w:w w:val="101"/>
        </w:rPr>
        <w:t xml:space="preserve"> </w:t>
      </w:r>
      <w:r>
        <w:rPr>
          <w:spacing w:val="1"/>
        </w:rPr>
        <w:t>定量的直接目标；</w:t>
      </w:r>
    </w:p>
    <w:p w14:paraId="41C87034">
      <w:pPr>
        <w:pStyle w:val="2"/>
        <w:spacing w:before="100" w:line="212" w:lineRule="auto"/>
        <w:ind w:left="539"/>
      </w:pPr>
      <w:r>
        <w:rPr>
          <w:rFonts w:ascii="Times New Roman" w:hAnsi="Times New Roman" w:eastAsia="Times New Roman" w:cs="Times New Roman"/>
          <w:spacing w:val="2"/>
        </w:rPr>
        <w:t>b)</w:t>
      </w:r>
      <w:r>
        <w:rPr>
          <w:rFonts w:ascii="Times New Roman" w:hAnsi="Times New Roman" w:eastAsia="Times New Roman" w:cs="Times New Roman"/>
          <w:spacing w:val="71"/>
        </w:rPr>
        <w:t xml:space="preserve"> </w:t>
      </w:r>
      <w:r>
        <w:rPr>
          <w:spacing w:val="2"/>
        </w:rPr>
        <w:t>定量的间接目标；</w:t>
      </w:r>
    </w:p>
    <w:p w14:paraId="4855E313">
      <w:pPr>
        <w:pStyle w:val="2"/>
        <w:spacing w:before="110" w:line="212" w:lineRule="auto"/>
        <w:ind w:left="539"/>
      </w:pPr>
      <w:r>
        <w:rPr>
          <w:rFonts w:ascii="Times New Roman" w:hAnsi="Times New Roman" w:eastAsia="Times New Roman" w:cs="Times New Roman"/>
          <w:spacing w:val="1"/>
        </w:rPr>
        <w:t>c)</w:t>
      </w:r>
      <w:r>
        <w:rPr>
          <w:rFonts w:ascii="Times New Roman" w:hAnsi="Times New Roman" w:eastAsia="Times New Roman" w:cs="Times New Roman"/>
          <w:spacing w:val="66"/>
          <w:w w:val="101"/>
        </w:rPr>
        <w:t xml:space="preserve"> </w:t>
      </w:r>
      <w:r>
        <w:rPr>
          <w:spacing w:val="1"/>
        </w:rPr>
        <w:t>定性的直接目标；</w:t>
      </w:r>
    </w:p>
    <w:p w14:paraId="27C92565">
      <w:pPr>
        <w:pStyle w:val="2"/>
        <w:spacing w:before="100" w:line="212" w:lineRule="auto"/>
        <w:ind w:left="539"/>
      </w:pPr>
      <w:r>
        <w:rPr>
          <w:rFonts w:ascii="Times New Roman" w:hAnsi="Times New Roman" w:eastAsia="Times New Roman" w:cs="Times New Roman"/>
          <w:spacing w:val="2"/>
        </w:rPr>
        <w:t xml:space="preserve">d)  </w:t>
      </w:r>
      <w:r>
        <w:rPr>
          <w:spacing w:val="2"/>
        </w:rPr>
        <w:t>定性的间接目标。</w:t>
      </w:r>
    </w:p>
    <w:p w14:paraId="359BAE84">
      <w:pPr>
        <w:spacing w:before="146" w:line="310" w:lineRule="auto"/>
        <w:ind w:right="41" w:firstLine="539"/>
        <w:rPr>
          <w:rFonts w:ascii="仿宋" w:hAnsi="仿宋" w:eastAsia="仿宋" w:cs="仿宋"/>
          <w:sz w:val="25"/>
          <w:szCs w:val="25"/>
        </w:rPr>
      </w:pPr>
      <w:r>
        <w:rPr>
          <w:rFonts w:ascii="仿宋" w:hAnsi="仿宋" w:eastAsia="仿宋" w:cs="仿宋"/>
          <w:spacing w:val="23"/>
          <w:sz w:val="25"/>
          <w:szCs w:val="25"/>
        </w:rPr>
        <w:t>示例1:(定量的直接目标)通过组织通用化设计或实施标准，节省研制经费</w:t>
      </w:r>
      <w:r>
        <w:rPr>
          <w:rFonts w:ascii="仿宋" w:hAnsi="仿宋" w:eastAsia="仿宋" w:cs="仿宋"/>
          <w:spacing w:val="8"/>
          <w:sz w:val="25"/>
          <w:szCs w:val="25"/>
        </w:rPr>
        <w:t xml:space="preserve"> </w:t>
      </w:r>
      <w:r>
        <w:rPr>
          <w:rFonts w:ascii="仿宋" w:hAnsi="仿宋" w:eastAsia="仿宋" w:cs="仿宋"/>
          <w:spacing w:val="16"/>
          <w:sz w:val="25"/>
          <w:szCs w:val="25"/>
        </w:rPr>
        <w:t>××,</w:t>
      </w:r>
      <w:r>
        <w:rPr>
          <w:rFonts w:ascii="仿宋" w:hAnsi="仿宋" w:eastAsia="仿宋" w:cs="仿宋"/>
          <w:spacing w:val="-43"/>
          <w:sz w:val="25"/>
          <w:szCs w:val="25"/>
        </w:rPr>
        <w:t xml:space="preserve"> </w:t>
      </w:r>
      <w:r>
        <w:rPr>
          <w:rFonts w:ascii="仿宋" w:hAnsi="仿宋" w:eastAsia="仿宋" w:cs="仿宋"/>
          <w:spacing w:val="16"/>
          <w:sz w:val="25"/>
          <w:szCs w:val="25"/>
        </w:rPr>
        <w:t>缩短设计或研制周期××等。</w:t>
      </w:r>
    </w:p>
    <w:p w14:paraId="235A8B69">
      <w:pPr>
        <w:spacing w:before="1" w:line="294" w:lineRule="auto"/>
        <w:ind w:right="186" w:firstLine="539"/>
        <w:rPr>
          <w:rFonts w:ascii="仿宋" w:hAnsi="仿宋" w:eastAsia="仿宋" w:cs="仿宋"/>
          <w:sz w:val="24"/>
          <w:szCs w:val="24"/>
        </w:rPr>
      </w:pPr>
      <w:r>
        <w:rPr>
          <w:rFonts w:ascii="仿宋" w:hAnsi="仿宋" w:eastAsia="仿宋" w:cs="仿宋"/>
          <w:spacing w:val="31"/>
          <w:sz w:val="24"/>
          <w:szCs w:val="24"/>
        </w:rPr>
        <w:t>示例2:(定量的间接目标)通过贯彻实施近500项标准，保证显像管的</w:t>
      </w:r>
      <w:r>
        <w:rPr>
          <w:rFonts w:ascii="仿宋" w:hAnsi="仿宋" w:eastAsia="仿宋" w:cs="仿宋"/>
          <w:spacing w:val="-50"/>
          <w:sz w:val="24"/>
          <w:szCs w:val="24"/>
        </w:rPr>
        <w:t xml:space="preserve"> </w:t>
      </w:r>
      <w:r>
        <w:rPr>
          <w:rFonts w:ascii="Times New Roman" w:hAnsi="Times New Roman" w:eastAsia="Times New Roman" w:cs="Times New Roman"/>
          <w:sz w:val="24"/>
          <w:szCs w:val="24"/>
        </w:rPr>
        <w:t>MT</w:t>
      </w:r>
      <w:r>
        <w:rPr>
          <w:rFonts w:ascii="Times New Roman" w:hAnsi="Times New Roman" w:eastAsia="Times New Roman" w:cs="Times New Roman"/>
          <w:spacing w:val="31"/>
          <w:sz w:val="24"/>
          <w:szCs w:val="24"/>
        </w:rPr>
        <w:t>-</w:t>
      </w:r>
      <w:r>
        <w:rPr>
          <w:rFonts w:ascii="Times New Roman" w:hAnsi="Times New Roman" w:eastAsia="Times New Roman" w:cs="Times New Roman"/>
          <w:sz w:val="24"/>
          <w:szCs w:val="24"/>
        </w:rPr>
        <w:t xml:space="preserve"> BF</w:t>
      </w:r>
      <w:r>
        <w:rPr>
          <w:rFonts w:ascii="Times New Roman" w:hAnsi="Times New Roman" w:eastAsia="Times New Roman" w:cs="Times New Roman"/>
          <w:spacing w:val="3"/>
          <w:sz w:val="24"/>
          <w:szCs w:val="24"/>
        </w:rPr>
        <w:t xml:space="preserve">  </w:t>
      </w:r>
      <w:r>
        <w:rPr>
          <w:rFonts w:ascii="仿宋" w:hAnsi="仿宋" w:eastAsia="仿宋" w:cs="仿宋"/>
          <w:spacing w:val="36"/>
          <w:sz w:val="24"/>
          <w:szCs w:val="24"/>
        </w:rPr>
        <w:t>达到15000</w:t>
      </w:r>
      <w:r>
        <w:rPr>
          <w:rFonts w:ascii="Times New Roman" w:hAnsi="Times New Roman" w:eastAsia="Times New Roman" w:cs="Times New Roman"/>
          <w:spacing w:val="36"/>
          <w:sz w:val="24"/>
          <w:szCs w:val="24"/>
        </w:rPr>
        <w:t>h,</w:t>
      </w:r>
      <w:r>
        <w:rPr>
          <w:rFonts w:ascii="Times New Roman" w:hAnsi="Times New Roman" w:eastAsia="Times New Roman" w:cs="Times New Roman"/>
          <w:spacing w:val="43"/>
          <w:sz w:val="24"/>
          <w:szCs w:val="24"/>
        </w:rPr>
        <w:t xml:space="preserve"> </w:t>
      </w:r>
      <w:r>
        <w:rPr>
          <w:rFonts w:ascii="仿宋" w:hAnsi="仿宋" w:eastAsia="仿宋" w:cs="仿宋"/>
          <w:spacing w:val="36"/>
          <w:sz w:val="24"/>
          <w:szCs w:val="24"/>
        </w:rPr>
        <w:t>产品的直通率达到95%。</w:t>
      </w:r>
    </w:p>
    <w:p w14:paraId="214F0411">
      <w:pPr>
        <w:spacing w:before="63" w:line="304" w:lineRule="auto"/>
        <w:ind w:right="46" w:firstLine="539"/>
        <w:rPr>
          <w:rFonts w:ascii="仿宋" w:hAnsi="仿宋" w:eastAsia="仿宋" w:cs="仿宋"/>
          <w:sz w:val="24"/>
          <w:szCs w:val="24"/>
        </w:rPr>
      </w:pPr>
      <w:r>
        <w:rPr>
          <w:rFonts w:ascii="仿宋" w:hAnsi="仿宋" w:eastAsia="仿宋" w:cs="仿宋"/>
          <w:spacing w:val="32"/>
          <w:sz w:val="24"/>
          <w:szCs w:val="24"/>
        </w:rPr>
        <w:t>示例3:(定性的直接目标)通过贯彻实施规定的可靠性、维修性、环境适应</w:t>
      </w:r>
      <w:r>
        <w:rPr>
          <w:rFonts w:ascii="仿宋" w:hAnsi="仿宋" w:eastAsia="仿宋" w:cs="仿宋"/>
          <w:spacing w:val="16"/>
          <w:sz w:val="24"/>
          <w:szCs w:val="24"/>
        </w:rPr>
        <w:t xml:space="preserve"> </w:t>
      </w:r>
      <w:r>
        <w:rPr>
          <w:rFonts w:ascii="仿宋" w:hAnsi="仿宋" w:eastAsia="仿宋" w:cs="仿宋"/>
          <w:spacing w:val="31"/>
          <w:sz w:val="24"/>
          <w:szCs w:val="24"/>
        </w:rPr>
        <w:t>性等标准提高装备的总体质量和效能。</w:t>
      </w:r>
    </w:p>
    <w:p w14:paraId="36006648">
      <w:pPr>
        <w:spacing w:before="2" w:line="320" w:lineRule="auto"/>
        <w:ind w:right="48" w:firstLine="539"/>
        <w:rPr>
          <w:rFonts w:ascii="仿宋" w:hAnsi="仿宋" w:eastAsia="仿宋" w:cs="仿宋"/>
          <w:sz w:val="25"/>
          <w:szCs w:val="25"/>
        </w:rPr>
      </w:pPr>
      <w:r>
        <w:rPr>
          <w:rFonts w:ascii="仿宋" w:hAnsi="仿宋" w:eastAsia="仿宋" w:cs="仿宋"/>
          <w:spacing w:val="23"/>
          <w:sz w:val="25"/>
          <w:szCs w:val="25"/>
        </w:rPr>
        <w:t>示例4:(定性的间接目标)通过贯彻实施相关标准，保证产品质量达到进口</w:t>
      </w:r>
      <w:r>
        <w:rPr>
          <w:rFonts w:ascii="仿宋" w:hAnsi="仿宋" w:eastAsia="仿宋" w:cs="仿宋"/>
          <w:sz w:val="25"/>
          <w:szCs w:val="25"/>
        </w:rPr>
        <w:t xml:space="preserve"> </w:t>
      </w:r>
      <w:r>
        <w:rPr>
          <w:rFonts w:ascii="仿宋" w:hAnsi="仿宋" w:eastAsia="仿宋" w:cs="仿宋"/>
          <w:spacing w:val="20"/>
          <w:sz w:val="25"/>
          <w:szCs w:val="25"/>
        </w:rPr>
        <w:t>元器件国内组装的水平。</w:t>
      </w:r>
    </w:p>
    <w:p w14:paraId="77614868">
      <w:pPr>
        <w:spacing w:line="320" w:lineRule="auto"/>
        <w:rPr>
          <w:rFonts w:ascii="仿宋" w:hAnsi="仿宋" w:eastAsia="仿宋" w:cs="仿宋"/>
          <w:sz w:val="25"/>
          <w:szCs w:val="25"/>
        </w:rPr>
        <w:sectPr>
          <w:footerReference r:id="rId295" w:type="default"/>
          <w:pgSz w:w="11910" w:h="17130"/>
          <w:pgMar w:top="1456" w:right="1018" w:bottom="1467" w:left="1519" w:header="0" w:footer="1251" w:gutter="0"/>
          <w:cols w:space="720" w:num="1"/>
        </w:sectPr>
      </w:pPr>
    </w:p>
    <w:p w14:paraId="38DDCCD8">
      <w:pPr>
        <w:spacing w:before="229" w:line="222" w:lineRule="auto"/>
        <w:outlineLvl w:val="3"/>
        <w:rPr>
          <w:rFonts w:ascii="黑体" w:hAnsi="黑体" w:eastAsia="黑体" w:cs="黑体"/>
          <w:sz w:val="27"/>
          <w:szCs w:val="27"/>
        </w:rPr>
      </w:pPr>
      <w:r>
        <w:rPr>
          <w:rFonts w:ascii="Arial" w:hAnsi="Arial" w:eastAsia="Arial" w:cs="Arial"/>
          <w:b/>
          <w:bCs/>
          <w:spacing w:val="1"/>
          <w:sz w:val="27"/>
          <w:szCs w:val="27"/>
        </w:rPr>
        <w:t>3</w:t>
      </w:r>
      <w:r>
        <w:rPr>
          <w:rFonts w:ascii="Arial" w:hAnsi="Arial" w:eastAsia="Arial" w:cs="Arial"/>
          <w:b/>
          <w:bCs/>
          <w:spacing w:val="20"/>
          <w:sz w:val="27"/>
          <w:szCs w:val="27"/>
        </w:rPr>
        <w:t xml:space="preserve">   </w:t>
      </w:r>
      <w:r>
        <w:rPr>
          <w:rFonts w:ascii="黑体" w:hAnsi="黑体" w:eastAsia="黑体" w:cs="黑体"/>
          <w:b/>
          <w:bCs/>
          <w:spacing w:val="1"/>
          <w:sz w:val="27"/>
          <w:szCs w:val="27"/>
        </w:rPr>
        <w:t>标准实施要求</w:t>
      </w:r>
    </w:p>
    <w:p w14:paraId="002B8FA4">
      <w:pPr>
        <w:spacing w:before="104" w:line="221" w:lineRule="auto"/>
        <w:rPr>
          <w:rFonts w:ascii="黑体" w:hAnsi="黑体" w:eastAsia="黑体" w:cs="黑体"/>
          <w:sz w:val="24"/>
          <w:szCs w:val="24"/>
        </w:rPr>
      </w:pPr>
      <w:r>
        <w:rPr>
          <w:rFonts w:ascii="黑体" w:hAnsi="黑体" w:eastAsia="黑体" w:cs="黑体"/>
          <w:spacing w:val="7"/>
          <w:sz w:val="24"/>
          <w:szCs w:val="24"/>
        </w:rPr>
        <w:t>3.1</w:t>
      </w:r>
      <w:r>
        <w:rPr>
          <w:rFonts w:ascii="黑体" w:hAnsi="黑体" w:eastAsia="黑体" w:cs="黑体"/>
          <w:spacing w:val="52"/>
          <w:sz w:val="24"/>
          <w:szCs w:val="24"/>
        </w:rPr>
        <w:t xml:space="preserve">  </w:t>
      </w:r>
      <w:r>
        <w:rPr>
          <w:rFonts w:ascii="黑体" w:hAnsi="黑体" w:eastAsia="黑体" w:cs="黑体"/>
          <w:b/>
          <w:bCs/>
          <w:spacing w:val="7"/>
          <w:sz w:val="24"/>
          <w:szCs w:val="24"/>
        </w:rPr>
        <w:t>一</w:t>
      </w:r>
      <w:r>
        <w:rPr>
          <w:rFonts w:ascii="黑体" w:hAnsi="黑体" w:eastAsia="黑体" w:cs="黑体"/>
          <w:spacing w:val="-65"/>
          <w:sz w:val="24"/>
          <w:szCs w:val="24"/>
        </w:rPr>
        <w:t xml:space="preserve"> </w:t>
      </w:r>
      <w:r>
        <w:rPr>
          <w:rFonts w:ascii="黑体" w:hAnsi="黑体" w:eastAsia="黑体" w:cs="黑体"/>
          <w:b/>
          <w:bCs/>
          <w:spacing w:val="7"/>
          <w:sz w:val="24"/>
          <w:szCs w:val="24"/>
        </w:rPr>
        <w:t>般要求</w:t>
      </w:r>
    </w:p>
    <w:p w14:paraId="3C97233E">
      <w:pPr>
        <w:pStyle w:val="2"/>
        <w:spacing w:before="89" w:line="219" w:lineRule="auto"/>
        <w:ind w:left="570"/>
      </w:pPr>
      <w:r>
        <w:rPr>
          <w:spacing w:val="-2"/>
        </w:rPr>
        <w:t>应规定产品研制时实施标准的一般要求，主要包括下列内容：</w:t>
      </w:r>
    </w:p>
    <w:p w14:paraId="6310F0A8">
      <w:pPr>
        <w:pStyle w:val="2"/>
        <w:spacing w:before="30" w:line="268" w:lineRule="auto"/>
        <w:ind w:right="8" w:firstLine="570"/>
      </w:pPr>
      <w:r>
        <w:rPr>
          <w:rFonts w:ascii="Times New Roman" w:hAnsi="Times New Roman" w:eastAsia="Times New Roman" w:cs="Times New Roman"/>
          <w:spacing w:val="14"/>
        </w:rPr>
        <w:t>a)</w:t>
      </w:r>
      <w:r>
        <w:rPr>
          <w:rFonts w:ascii="Times New Roman" w:hAnsi="Times New Roman" w:eastAsia="Times New Roman" w:cs="Times New Roman"/>
          <w:spacing w:val="2"/>
        </w:rPr>
        <w:t xml:space="preserve">  </w:t>
      </w:r>
      <w:r>
        <w:rPr>
          <w:spacing w:val="14"/>
        </w:rPr>
        <w:t>贯彻实施标准的原则，包括</w:t>
      </w:r>
      <w:r>
        <w:rPr>
          <w:rFonts w:ascii="Times New Roman" w:hAnsi="Times New Roman" w:eastAsia="Times New Roman" w:cs="Times New Roman"/>
        </w:rPr>
        <w:t>GJB</w:t>
      </w:r>
      <w:r>
        <w:rPr>
          <w:rFonts w:ascii="Times New Roman" w:hAnsi="Times New Roman" w:eastAsia="Times New Roman" w:cs="Times New Roman"/>
          <w:spacing w:val="14"/>
        </w:rPr>
        <w:t>/Z   69</w:t>
      </w:r>
      <w:r>
        <w:rPr>
          <w:rFonts w:ascii="Times New Roman" w:hAnsi="Times New Roman" w:eastAsia="Times New Roman" w:cs="Times New Roman"/>
          <w:spacing w:val="-8"/>
        </w:rPr>
        <w:t xml:space="preserve"> </w:t>
      </w:r>
      <w:r>
        <w:rPr>
          <w:spacing w:val="14"/>
        </w:rPr>
        <w:t>规定的标准选用</w:t>
      </w:r>
      <w:r>
        <w:rPr>
          <w:spacing w:val="13"/>
        </w:rPr>
        <w:t>和剪裁的有关</w:t>
      </w:r>
      <w:r>
        <w:t xml:space="preserve"> </w:t>
      </w:r>
      <w:r>
        <w:rPr>
          <w:spacing w:val="-6"/>
        </w:rPr>
        <w:t>要求；</w:t>
      </w:r>
    </w:p>
    <w:p w14:paraId="0C4E95EB">
      <w:pPr>
        <w:pStyle w:val="2"/>
        <w:spacing w:before="54" w:line="212" w:lineRule="auto"/>
        <w:ind w:left="570"/>
      </w:pPr>
      <w:r>
        <w:rPr>
          <w:rFonts w:ascii="Times New Roman" w:hAnsi="Times New Roman" w:eastAsia="Times New Roman" w:cs="Times New Roman"/>
          <w:spacing w:val="-8"/>
        </w:rPr>
        <w:t>b)</w:t>
      </w:r>
      <w:r>
        <w:rPr>
          <w:rFonts w:ascii="Times New Roman" w:hAnsi="Times New Roman" w:eastAsia="Times New Roman" w:cs="Times New Roman"/>
          <w:spacing w:val="66"/>
        </w:rPr>
        <w:t xml:space="preserve"> </w:t>
      </w:r>
      <w:r>
        <w:rPr>
          <w:spacing w:val="-8"/>
        </w:rPr>
        <w:t>实施标准的程序、审批、会签和更改等要求；</w:t>
      </w:r>
    </w:p>
    <w:p w14:paraId="77EEA710">
      <w:pPr>
        <w:pStyle w:val="2"/>
        <w:spacing w:before="70" w:line="267" w:lineRule="auto"/>
        <w:ind w:right="7" w:firstLine="570"/>
      </w:pPr>
      <w:r>
        <w:rPr>
          <w:rFonts w:ascii="Times New Roman" w:hAnsi="Times New Roman" w:eastAsia="Times New Roman" w:cs="Times New Roman"/>
          <w:spacing w:val="-4"/>
        </w:rPr>
        <w:t>c)</w:t>
      </w:r>
      <w:r>
        <w:rPr>
          <w:rFonts w:ascii="Times New Roman" w:hAnsi="Times New Roman" w:eastAsia="Times New Roman" w:cs="Times New Roman"/>
          <w:spacing w:val="52"/>
        </w:rPr>
        <w:t xml:space="preserve"> </w:t>
      </w:r>
      <w:r>
        <w:rPr>
          <w:spacing w:val="-4"/>
        </w:rPr>
        <w:t>实施标准的时效性要求，例如实施标准的年限、</w:t>
      </w:r>
      <w:r>
        <w:rPr>
          <w:spacing w:val="-5"/>
        </w:rPr>
        <w:t>版本界定、新旧版标准代</w:t>
      </w:r>
      <w:r>
        <w:t xml:space="preserve"> </w:t>
      </w:r>
      <w:r>
        <w:rPr>
          <w:spacing w:val="-1"/>
        </w:rPr>
        <w:t>替的规定和要求；</w:t>
      </w:r>
    </w:p>
    <w:p w14:paraId="06424EE0">
      <w:pPr>
        <w:pStyle w:val="2"/>
        <w:spacing w:before="49" w:line="212" w:lineRule="auto"/>
        <w:ind w:left="570"/>
      </w:pPr>
      <w:r>
        <w:rPr>
          <w:rFonts w:ascii="Times New Roman" w:hAnsi="Times New Roman" w:eastAsia="Times New Roman" w:cs="Times New Roman"/>
          <w:spacing w:val="3"/>
        </w:rPr>
        <w:t>d)</w:t>
      </w:r>
      <w:r>
        <w:rPr>
          <w:rFonts w:ascii="Times New Roman" w:hAnsi="Times New Roman" w:eastAsia="Times New Roman" w:cs="Times New Roman"/>
          <w:spacing w:val="66"/>
        </w:rPr>
        <w:t xml:space="preserve"> </w:t>
      </w:r>
      <w:r>
        <w:rPr>
          <w:spacing w:val="3"/>
        </w:rPr>
        <w:t>对实施标准进行监督的要求；</w:t>
      </w:r>
    </w:p>
    <w:p w14:paraId="2442DB43">
      <w:pPr>
        <w:pStyle w:val="2"/>
        <w:spacing w:before="110" w:line="212" w:lineRule="auto"/>
        <w:ind w:left="570"/>
      </w:pPr>
      <w:r>
        <w:rPr>
          <w:rFonts w:ascii="Times New Roman" w:hAnsi="Times New Roman" w:eastAsia="Times New Roman" w:cs="Times New Roman"/>
          <w:spacing w:val="4"/>
        </w:rPr>
        <w:t>e)</w:t>
      </w:r>
      <w:r>
        <w:rPr>
          <w:rFonts w:ascii="Times New Roman" w:hAnsi="Times New Roman" w:eastAsia="Times New Roman" w:cs="Times New Roman"/>
          <w:spacing w:val="60"/>
          <w:w w:val="101"/>
        </w:rPr>
        <w:t xml:space="preserve"> </w:t>
      </w:r>
      <w:r>
        <w:rPr>
          <w:spacing w:val="4"/>
        </w:rPr>
        <w:t>处理实施中各类问题的原则或程序等。</w:t>
      </w:r>
    </w:p>
    <w:p w14:paraId="13F23649">
      <w:pPr>
        <w:spacing w:before="115" w:line="222" w:lineRule="auto"/>
        <w:rPr>
          <w:rFonts w:ascii="黑体" w:hAnsi="黑体" w:eastAsia="黑体" w:cs="黑体"/>
          <w:sz w:val="27"/>
          <w:szCs w:val="27"/>
        </w:rPr>
      </w:pPr>
      <w:r>
        <w:rPr>
          <w:rFonts w:ascii="黑体" w:hAnsi="黑体" w:eastAsia="黑体" w:cs="黑体"/>
          <w:spacing w:val="1"/>
          <w:sz w:val="27"/>
          <w:szCs w:val="27"/>
        </w:rPr>
        <w:t>3.2</w:t>
      </w:r>
      <w:r>
        <w:rPr>
          <w:rFonts w:ascii="黑体" w:hAnsi="黑体" w:eastAsia="黑体" w:cs="黑体"/>
          <w:spacing w:val="15"/>
          <w:sz w:val="27"/>
          <w:szCs w:val="27"/>
        </w:rPr>
        <w:t xml:space="preserve">  </w:t>
      </w:r>
      <w:r>
        <w:rPr>
          <w:rFonts w:ascii="黑体" w:hAnsi="黑体" w:eastAsia="黑体" w:cs="黑体"/>
          <w:b/>
          <w:bCs/>
          <w:spacing w:val="1"/>
          <w:sz w:val="27"/>
          <w:szCs w:val="27"/>
        </w:rPr>
        <w:t>重大标准实施要求</w:t>
      </w:r>
    </w:p>
    <w:p w14:paraId="61376903">
      <w:pPr>
        <w:pStyle w:val="2"/>
        <w:spacing w:before="100" w:line="269" w:lineRule="auto"/>
        <w:ind w:right="8" w:firstLine="570"/>
      </w:pPr>
      <w:r>
        <w:rPr>
          <w:spacing w:val="6"/>
        </w:rPr>
        <w:t>应根据战术技术指标要求和贯彻实施标准一般要</w:t>
      </w:r>
      <w:r>
        <w:rPr>
          <w:spacing w:val="5"/>
        </w:rPr>
        <w:t>求，对产品研制有关的重</w:t>
      </w:r>
      <w:r>
        <w:t xml:space="preserve"> </w:t>
      </w:r>
      <w:r>
        <w:rPr>
          <w:spacing w:val="-10"/>
        </w:rPr>
        <w:t>大标准进行全面的综合分析，提出“重大标准贯彻</w:t>
      </w:r>
      <w:r>
        <w:rPr>
          <w:spacing w:val="-11"/>
        </w:rPr>
        <w:t>实施方案”。</w:t>
      </w:r>
    </w:p>
    <w:p w14:paraId="480D4EA0">
      <w:pPr>
        <w:pStyle w:val="2"/>
        <w:spacing w:before="15" w:line="220" w:lineRule="auto"/>
        <w:ind w:left="435"/>
      </w:pPr>
      <w:r>
        <w:rPr>
          <w:spacing w:val="-10"/>
        </w:rPr>
        <w:t>“重大标准”主要是指：</w:t>
      </w:r>
    </w:p>
    <w:p w14:paraId="7CD97267">
      <w:pPr>
        <w:pStyle w:val="2"/>
        <w:spacing w:before="57" w:line="212" w:lineRule="auto"/>
        <w:ind w:left="570"/>
      </w:pPr>
      <w:r>
        <w:rPr>
          <w:rFonts w:ascii="Times New Roman" w:hAnsi="Times New Roman" w:eastAsia="Times New Roman" w:cs="Times New Roman"/>
          <w:spacing w:val="-6"/>
        </w:rPr>
        <w:t xml:space="preserve">a)  </w:t>
      </w:r>
      <w:r>
        <w:rPr>
          <w:spacing w:val="-6"/>
        </w:rPr>
        <w:t>涉及面宽、难度大的标准；</w:t>
      </w:r>
    </w:p>
    <w:p w14:paraId="01ABC954">
      <w:pPr>
        <w:pStyle w:val="2"/>
        <w:spacing w:before="132" w:line="212" w:lineRule="auto"/>
        <w:ind w:left="570"/>
        <w:rPr>
          <w:sz w:val="24"/>
          <w:szCs w:val="24"/>
        </w:rPr>
      </w:pPr>
      <w:r>
        <w:rPr>
          <w:rFonts w:ascii="Times New Roman" w:hAnsi="Times New Roman" w:eastAsia="Times New Roman" w:cs="Times New Roman"/>
          <w:spacing w:val="25"/>
          <w:sz w:val="24"/>
          <w:szCs w:val="24"/>
        </w:rPr>
        <w:t>b)</w:t>
      </w:r>
      <w:r>
        <w:rPr>
          <w:rFonts w:ascii="Times New Roman" w:hAnsi="Times New Roman" w:eastAsia="Times New Roman" w:cs="Times New Roman"/>
          <w:spacing w:val="22"/>
          <w:sz w:val="24"/>
          <w:szCs w:val="24"/>
        </w:rPr>
        <w:t xml:space="preserve">  </w:t>
      </w:r>
      <w:r>
        <w:rPr>
          <w:spacing w:val="25"/>
          <w:sz w:val="24"/>
          <w:szCs w:val="24"/>
        </w:rPr>
        <w:t>经费投资大的标准；</w:t>
      </w:r>
    </w:p>
    <w:p w14:paraId="14C44EB3">
      <w:pPr>
        <w:pStyle w:val="2"/>
        <w:spacing w:before="92" w:line="212" w:lineRule="auto"/>
        <w:ind w:left="570"/>
      </w:pPr>
      <w:r>
        <w:rPr>
          <w:rFonts w:ascii="Times New Roman" w:hAnsi="Times New Roman" w:eastAsia="Times New Roman" w:cs="Times New Roman"/>
          <w:spacing w:val="1"/>
        </w:rPr>
        <w:t>c)</w:t>
      </w:r>
      <w:r>
        <w:rPr>
          <w:rFonts w:ascii="Times New Roman" w:hAnsi="Times New Roman" w:eastAsia="Times New Roman" w:cs="Times New Roman"/>
          <w:spacing w:val="73"/>
          <w:w w:val="101"/>
        </w:rPr>
        <w:t xml:space="preserve"> </w:t>
      </w:r>
      <w:r>
        <w:rPr>
          <w:spacing w:val="1"/>
        </w:rPr>
        <w:t>组织和协调复杂的标准；</w:t>
      </w:r>
    </w:p>
    <w:p w14:paraId="076799B1">
      <w:pPr>
        <w:pStyle w:val="2"/>
        <w:spacing w:before="100" w:line="212" w:lineRule="auto"/>
        <w:ind w:left="570"/>
      </w:pPr>
      <w:r>
        <w:rPr>
          <w:rFonts w:ascii="Times New Roman" w:hAnsi="Times New Roman" w:eastAsia="Times New Roman" w:cs="Times New Roman"/>
          <w:spacing w:val="2"/>
        </w:rPr>
        <w:t>d)</w:t>
      </w:r>
      <w:r>
        <w:rPr>
          <w:rFonts w:ascii="Times New Roman" w:hAnsi="Times New Roman" w:eastAsia="Times New Roman" w:cs="Times New Roman"/>
          <w:spacing w:val="79"/>
        </w:rPr>
        <w:t xml:space="preserve"> </w:t>
      </w:r>
      <w:r>
        <w:rPr>
          <w:spacing w:val="2"/>
        </w:rPr>
        <w:t>影响战术技术指标实现的标准；</w:t>
      </w:r>
    </w:p>
    <w:p w14:paraId="02EAD745">
      <w:pPr>
        <w:pStyle w:val="2"/>
        <w:spacing w:before="131" w:line="220" w:lineRule="auto"/>
        <w:ind w:left="570"/>
      </w:pPr>
      <w:r>
        <w:rPr>
          <w:rFonts w:ascii="Times New Roman" w:hAnsi="Times New Roman" w:eastAsia="Times New Roman" w:cs="Times New Roman"/>
          <w:spacing w:val="5"/>
        </w:rPr>
        <w:t>e</w:t>
      </w:r>
      <w:r>
        <w:rPr>
          <w:rFonts w:ascii="Times New Roman" w:hAnsi="Times New Roman" w:eastAsia="Times New Roman" w:cs="Times New Roman"/>
          <w:spacing w:val="-24"/>
        </w:rPr>
        <w:t xml:space="preserve"> </w:t>
      </w:r>
      <w:r>
        <w:rPr>
          <w:spacing w:val="5"/>
        </w:rPr>
        <w:t>)与安全关系密切的标准；</w:t>
      </w:r>
    </w:p>
    <w:p w14:paraId="5F171E77">
      <w:pPr>
        <w:pStyle w:val="2"/>
        <w:spacing w:before="68" w:line="257" w:lineRule="auto"/>
        <w:ind w:firstLine="570"/>
      </w:pPr>
      <w:r>
        <w:rPr>
          <w:rFonts w:ascii="Times New Roman" w:hAnsi="Times New Roman" w:eastAsia="Times New Roman" w:cs="Times New Roman"/>
          <w:spacing w:val="13"/>
        </w:rPr>
        <w:t>f)</w:t>
      </w:r>
      <w:r>
        <w:rPr>
          <w:rFonts w:ascii="Times New Roman" w:hAnsi="Times New Roman" w:eastAsia="Times New Roman" w:cs="Times New Roman"/>
          <w:spacing w:val="66"/>
          <w:w w:val="101"/>
        </w:rPr>
        <w:t xml:space="preserve"> </w:t>
      </w:r>
      <w:r>
        <w:rPr>
          <w:spacing w:val="13"/>
        </w:rPr>
        <w:t>对提高产品通用化、系列化、组合化程度及节约费用等有重大影响的</w:t>
      </w:r>
      <w:r>
        <w:t xml:space="preserve"> </w:t>
      </w:r>
      <w:r>
        <w:rPr>
          <w:spacing w:val="-6"/>
        </w:rPr>
        <w:t>标准。</w:t>
      </w:r>
    </w:p>
    <w:p w14:paraId="40512054">
      <w:pPr>
        <w:pStyle w:val="2"/>
        <w:spacing w:before="108" w:line="219" w:lineRule="auto"/>
        <w:ind w:left="435"/>
      </w:pPr>
      <w:r>
        <w:rPr>
          <w:spacing w:val="-3"/>
        </w:rPr>
        <w:t>“重大标准贯彻实施方案”主要包括下列内容：</w:t>
      </w:r>
    </w:p>
    <w:p w14:paraId="4B4F7B59">
      <w:pPr>
        <w:pStyle w:val="2"/>
        <w:spacing w:before="108" w:line="219" w:lineRule="auto"/>
        <w:ind w:left="570"/>
        <w:rPr>
          <w:sz w:val="24"/>
          <w:szCs w:val="24"/>
        </w:rPr>
      </w:pPr>
      <w:r>
        <w:rPr>
          <w:rFonts w:ascii="Times New Roman" w:hAnsi="Times New Roman" w:eastAsia="Times New Roman" w:cs="Times New Roman"/>
          <w:spacing w:val="25"/>
          <w:sz w:val="24"/>
          <w:szCs w:val="24"/>
        </w:rPr>
        <w:t>a</w:t>
      </w:r>
      <w:r>
        <w:rPr>
          <w:rFonts w:ascii="Times New Roman" w:hAnsi="Times New Roman" w:eastAsia="Times New Roman" w:cs="Times New Roman"/>
          <w:spacing w:val="-4"/>
          <w:sz w:val="24"/>
          <w:szCs w:val="24"/>
        </w:rPr>
        <w:t xml:space="preserve"> </w:t>
      </w:r>
      <w:r>
        <w:rPr>
          <w:spacing w:val="25"/>
          <w:sz w:val="24"/>
          <w:szCs w:val="24"/>
        </w:rPr>
        <w:t>)</w:t>
      </w:r>
      <w:r>
        <w:rPr>
          <w:spacing w:val="-9"/>
          <w:sz w:val="24"/>
          <w:szCs w:val="24"/>
        </w:rPr>
        <w:t xml:space="preserve"> </w:t>
      </w:r>
      <w:r>
        <w:rPr>
          <w:spacing w:val="25"/>
          <w:sz w:val="24"/>
          <w:szCs w:val="24"/>
        </w:rPr>
        <w:t>贯彻实施涉及的范围及效果分析；</w:t>
      </w:r>
    </w:p>
    <w:p w14:paraId="31F1CB91">
      <w:pPr>
        <w:pStyle w:val="2"/>
        <w:spacing w:before="46" w:line="212" w:lineRule="auto"/>
        <w:ind w:left="570"/>
      </w:pPr>
      <w:r>
        <w:rPr>
          <w:rFonts w:ascii="Times New Roman" w:hAnsi="Times New Roman" w:eastAsia="Times New Roman" w:cs="Times New Roman"/>
          <w:spacing w:val="3"/>
        </w:rPr>
        <w:t>b)</w:t>
      </w:r>
      <w:r>
        <w:rPr>
          <w:rFonts w:ascii="Times New Roman" w:hAnsi="Times New Roman" w:eastAsia="Times New Roman" w:cs="Times New Roman"/>
          <w:spacing w:val="70"/>
          <w:w w:val="101"/>
        </w:rPr>
        <w:t xml:space="preserve"> </w:t>
      </w:r>
      <w:r>
        <w:rPr>
          <w:spacing w:val="3"/>
        </w:rPr>
        <w:t>贯彻实施的重点内容及剪裁意见；</w:t>
      </w:r>
    </w:p>
    <w:p w14:paraId="1CEFBA56">
      <w:pPr>
        <w:pStyle w:val="2"/>
        <w:spacing w:before="100" w:line="212" w:lineRule="auto"/>
        <w:ind w:left="570"/>
      </w:pPr>
      <w:r>
        <w:rPr>
          <w:rFonts w:ascii="Times New Roman" w:hAnsi="Times New Roman" w:eastAsia="Times New Roman" w:cs="Times New Roman"/>
          <w:spacing w:val="2"/>
        </w:rPr>
        <w:t>c)</w:t>
      </w:r>
      <w:r>
        <w:rPr>
          <w:rFonts w:ascii="Times New Roman" w:hAnsi="Times New Roman" w:eastAsia="Times New Roman" w:cs="Times New Roman"/>
          <w:spacing w:val="72"/>
          <w:w w:val="101"/>
        </w:rPr>
        <w:t xml:space="preserve"> </w:t>
      </w:r>
      <w:r>
        <w:rPr>
          <w:spacing w:val="2"/>
        </w:rPr>
        <w:t>贯彻实施的主要工作程序和内容；</w:t>
      </w:r>
    </w:p>
    <w:p w14:paraId="0CBF3E36">
      <w:pPr>
        <w:pStyle w:val="2"/>
        <w:spacing w:before="100" w:line="212" w:lineRule="auto"/>
        <w:ind w:left="570"/>
      </w:pPr>
      <w:r>
        <w:rPr>
          <w:rFonts w:ascii="Times New Roman" w:hAnsi="Times New Roman" w:eastAsia="Times New Roman" w:cs="Times New Roman"/>
          <w:spacing w:val="3"/>
        </w:rPr>
        <w:t xml:space="preserve">d)  </w:t>
      </w:r>
      <w:r>
        <w:rPr>
          <w:spacing w:val="3"/>
        </w:rPr>
        <w:t>贯彻实施前的技术准备和物质准备；</w:t>
      </w:r>
    </w:p>
    <w:p w14:paraId="27297739">
      <w:pPr>
        <w:pStyle w:val="2"/>
        <w:spacing w:before="110" w:line="212" w:lineRule="auto"/>
        <w:ind w:left="570"/>
      </w:pPr>
      <w:r>
        <w:rPr>
          <w:rFonts w:ascii="Times New Roman" w:hAnsi="Times New Roman" w:eastAsia="Times New Roman" w:cs="Times New Roman"/>
          <w:spacing w:val="2"/>
        </w:rPr>
        <w:t xml:space="preserve">e)  </w:t>
      </w:r>
      <w:r>
        <w:rPr>
          <w:spacing w:val="2"/>
        </w:rPr>
        <w:t>主要难点及解决途径；</w:t>
      </w:r>
    </w:p>
    <w:p w14:paraId="786DA994">
      <w:pPr>
        <w:pStyle w:val="2"/>
        <w:spacing w:before="90" w:line="212" w:lineRule="auto"/>
        <w:ind w:left="570"/>
      </w:pPr>
      <w:r>
        <w:rPr>
          <w:rFonts w:ascii="Times New Roman" w:hAnsi="Times New Roman" w:eastAsia="Times New Roman" w:cs="Times New Roman"/>
          <w:spacing w:val="2"/>
        </w:rPr>
        <w:t xml:space="preserve">f)  </w:t>
      </w:r>
      <w:r>
        <w:rPr>
          <w:spacing w:val="2"/>
        </w:rPr>
        <w:t>计划和经费安排的建议；</w:t>
      </w:r>
    </w:p>
    <w:p w14:paraId="3E4F33DD">
      <w:pPr>
        <w:pStyle w:val="2"/>
        <w:spacing w:before="131" w:line="212" w:lineRule="auto"/>
        <w:ind w:left="570"/>
        <w:rPr>
          <w:sz w:val="25"/>
          <w:szCs w:val="25"/>
        </w:rPr>
      </w:pPr>
      <w:r>
        <w:rPr>
          <w:rFonts w:ascii="Times New Roman" w:hAnsi="Times New Roman" w:eastAsia="Times New Roman" w:cs="Times New Roman"/>
          <w:spacing w:val="17"/>
          <w:sz w:val="25"/>
          <w:szCs w:val="25"/>
        </w:rPr>
        <w:t>g</w:t>
      </w:r>
      <w:r>
        <w:rPr>
          <w:rFonts w:ascii="Times New Roman" w:hAnsi="Times New Roman" w:eastAsia="Times New Roman" w:cs="Times New Roman"/>
          <w:spacing w:val="-29"/>
          <w:sz w:val="25"/>
          <w:szCs w:val="25"/>
        </w:rPr>
        <w:t xml:space="preserve"> </w:t>
      </w:r>
      <w:r>
        <w:rPr>
          <w:spacing w:val="17"/>
          <w:sz w:val="25"/>
          <w:szCs w:val="25"/>
        </w:rPr>
        <w:t>)</w:t>
      </w:r>
      <w:r>
        <w:rPr>
          <w:spacing w:val="-39"/>
          <w:sz w:val="25"/>
          <w:szCs w:val="25"/>
        </w:rPr>
        <w:t xml:space="preserve"> </w:t>
      </w:r>
      <w:r>
        <w:rPr>
          <w:spacing w:val="17"/>
          <w:sz w:val="25"/>
          <w:szCs w:val="25"/>
        </w:rPr>
        <w:t>有关问题的协调要求。</w:t>
      </w:r>
    </w:p>
    <w:p w14:paraId="1C372795">
      <w:pPr>
        <w:pStyle w:val="2"/>
        <w:spacing w:before="150" w:line="219" w:lineRule="auto"/>
        <w:ind w:left="570"/>
        <w:rPr>
          <w:sz w:val="25"/>
          <w:szCs w:val="25"/>
        </w:rPr>
      </w:pPr>
      <w:r>
        <w:rPr>
          <w:spacing w:val="8"/>
          <w:sz w:val="25"/>
          <w:szCs w:val="25"/>
        </w:rPr>
        <w:t>必要时，可单独编制若干份“重大标准贯彻</w:t>
      </w:r>
      <w:r>
        <w:rPr>
          <w:spacing w:val="7"/>
          <w:sz w:val="25"/>
          <w:szCs w:val="25"/>
        </w:rPr>
        <w:t>实施方案”。</w:t>
      </w:r>
    </w:p>
    <w:p w14:paraId="3F4448C6">
      <w:pPr>
        <w:spacing w:before="83" w:line="223" w:lineRule="auto"/>
        <w:rPr>
          <w:rFonts w:ascii="黑体" w:hAnsi="黑体" w:eastAsia="黑体" w:cs="黑体"/>
          <w:sz w:val="27"/>
          <w:szCs w:val="27"/>
        </w:rPr>
      </w:pPr>
      <w:r>
        <w:rPr>
          <w:rFonts w:ascii="黑体" w:hAnsi="黑体" w:eastAsia="黑体" w:cs="黑体"/>
          <w:sz w:val="27"/>
          <w:szCs w:val="27"/>
        </w:rPr>
        <w:t>3.3</w:t>
      </w:r>
      <w:r>
        <w:rPr>
          <w:rFonts w:ascii="黑体" w:hAnsi="黑体" w:eastAsia="黑体" w:cs="黑体"/>
          <w:spacing w:val="14"/>
          <w:sz w:val="27"/>
          <w:szCs w:val="27"/>
        </w:rPr>
        <w:t xml:space="preserve">  </w:t>
      </w:r>
      <w:r>
        <w:rPr>
          <w:rFonts w:ascii="黑体" w:hAnsi="黑体" w:eastAsia="黑体" w:cs="黑体"/>
          <w:b/>
          <w:bCs/>
          <w:sz w:val="27"/>
          <w:szCs w:val="27"/>
        </w:rPr>
        <w:t>标准选用范围</w:t>
      </w:r>
    </w:p>
    <w:p w14:paraId="0B4E39D2">
      <w:pPr>
        <w:pStyle w:val="2"/>
        <w:spacing w:before="107" w:line="264" w:lineRule="auto"/>
        <w:ind w:right="9" w:firstLine="435"/>
        <w:jc w:val="both"/>
      </w:pPr>
      <w:r>
        <w:rPr>
          <w:spacing w:val="1"/>
        </w:rPr>
        <w:t>“标准选用范围”是特定产品研制时对设计人员选用标准的推荐性规定。其</w:t>
      </w:r>
      <w:r>
        <w:rPr>
          <w:spacing w:val="12"/>
        </w:rPr>
        <w:t xml:space="preserve"> </w:t>
      </w:r>
      <w:r>
        <w:rPr>
          <w:spacing w:val="13"/>
        </w:rPr>
        <w:t>中所列标准通过产品图样和技术文件的采用才能作为直接指导生产或验收的</w:t>
      </w:r>
      <w:r>
        <w:rPr>
          <w:spacing w:val="1"/>
        </w:rPr>
        <w:t xml:space="preserve"> </w:t>
      </w:r>
      <w:r>
        <w:rPr>
          <w:spacing w:val="-6"/>
        </w:rPr>
        <w:t>依据。</w:t>
      </w:r>
    </w:p>
    <w:p w14:paraId="314A3271">
      <w:pPr>
        <w:spacing w:line="264" w:lineRule="auto"/>
        <w:sectPr>
          <w:footerReference r:id="rId296" w:type="default"/>
          <w:pgSz w:w="11910" w:h="17130"/>
          <w:pgMar w:top="1456" w:right="1458" w:bottom="1503" w:left="1049" w:header="0" w:footer="1305" w:gutter="0"/>
          <w:cols w:space="720" w:num="1"/>
        </w:sectPr>
      </w:pPr>
    </w:p>
    <w:p w14:paraId="5C763AEF">
      <w:pPr>
        <w:pStyle w:val="2"/>
        <w:spacing w:before="55" w:line="220" w:lineRule="auto"/>
        <w:ind w:left="550"/>
      </w:pPr>
      <w:r>
        <w:rPr>
          <w:spacing w:val="-6"/>
        </w:rPr>
        <w:t>“标准选用范围”应列入下列标准：</w:t>
      </w:r>
    </w:p>
    <w:p w14:paraId="0458871E">
      <w:pPr>
        <w:pStyle w:val="2"/>
        <w:spacing w:before="36" w:line="212" w:lineRule="auto"/>
        <w:ind w:left="685"/>
      </w:pPr>
      <w:r>
        <w:rPr>
          <w:rFonts w:ascii="Times New Roman" w:hAnsi="Times New Roman" w:eastAsia="Times New Roman" w:cs="Times New Roman"/>
          <w:spacing w:val="-2"/>
        </w:rPr>
        <w:t xml:space="preserve">a)  </w:t>
      </w:r>
      <w:r>
        <w:rPr>
          <w:spacing w:val="-2"/>
        </w:rPr>
        <w:t>法律、法规和研制合同及其他相关文件规定执行的标准；</w:t>
      </w:r>
    </w:p>
    <w:p w14:paraId="126BE50D">
      <w:pPr>
        <w:pStyle w:val="2"/>
        <w:spacing w:before="100" w:line="212" w:lineRule="auto"/>
        <w:ind w:left="685"/>
      </w:pPr>
      <w:r>
        <w:rPr>
          <w:rFonts w:ascii="Times New Roman" w:hAnsi="Times New Roman" w:eastAsia="Times New Roman" w:cs="Times New Roman"/>
          <w:spacing w:val="3"/>
        </w:rPr>
        <w:t xml:space="preserve">b)  </w:t>
      </w:r>
      <w:r>
        <w:rPr>
          <w:spacing w:val="3"/>
        </w:rPr>
        <w:t>与保证产品战术技术指标和性能有关的标准；</w:t>
      </w:r>
    </w:p>
    <w:p w14:paraId="52ED0034">
      <w:pPr>
        <w:pStyle w:val="2"/>
        <w:spacing w:before="69" w:line="212" w:lineRule="auto"/>
        <w:ind w:left="685"/>
      </w:pPr>
      <w:r>
        <w:rPr>
          <w:rFonts w:ascii="Times New Roman" w:hAnsi="Times New Roman" w:eastAsia="Times New Roman" w:cs="Times New Roman"/>
          <w:spacing w:val="-7"/>
        </w:rPr>
        <w:t>c)</w:t>
      </w:r>
      <w:r>
        <w:rPr>
          <w:rFonts w:ascii="Times New Roman" w:hAnsi="Times New Roman" w:eastAsia="Times New Roman" w:cs="Times New Roman"/>
          <w:spacing w:val="42"/>
        </w:rPr>
        <w:t xml:space="preserve"> </w:t>
      </w:r>
      <w:r>
        <w:rPr>
          <w:spacing w:val="-7"/>
        </w:rPr>
        <w:t>产品研制全过程设计、制造、检验、试验和管理等各方</w:t>
      </w:r>
      <w:r>
        <w:rPr>
          <w:spacing w:val="-8"/>
        </w:rPr>
        <w:t>面所需的标准。</w:t>
      </w:r>
    </w:p>
    <w:p w14:paraId="1D498607">
      <w:pPr>
        <w:pStyle w:val="2"/>
        <w:spacing w:before="171" w:line="220" w:lineRule="auto"/>
        <w:ind w:left="685"/>
      </w:pPr>
      <w:r>
        <w:rPr>
          <w:spacing w:val="2"/>
        </w:rPr>
        <w:t>列入的标准应是现行有效的。</w:t>
      </w:r>
    </w:p>
    <w:p w14:paraId="32753C36">
      <w:pPr>
        <w:pStyle w:val="2"/>
        <w:spacing w:before="78" w:line="280" w:lineRule="auto"/>
        <w:ind w:left="135" w:right="12" w:firstLine="415"/>
      </w:pPr>
      <w:r>
        <w:rPr>
          <w:spacing w:val="1"/>
        </w:rPr>
        <w:t>“标准选用范围”视管理方便可作为产品标准化大纲的附录，也可作为独立</w:t>
      </w:r>
      <w:r>
        <w:rPr>
          <w:spacing w:val="11"/>
        </w:rPr>
        <w:t xml:space="preserve"> </w:t>
      </w:r>
      <w:r>
        <w:rPr>
          <w:spacing w:val="-12"/>
        </w:rPr>
        <w:t>文件。</w:t>
      </w:r>
    </w:p>
    <w:p w14:paraId="54F835D6">
      <w:pPr>
        <w:pStyle w:val="2"/>
        <w:spacing w:before="2" w:line="295" w:lineRule="auto"/>
        <w:ind w:left="135" w:right="12" w:firstLine="425"/>
        <w:rPr>
          <w:sz w:val="25"/>
          <w:szCs w:val="25"/>
        </w:rPr>
      </w:pPr>
      <w:r>
        <w:rPr>
          <w:spacing w:val="13"/>
          <w:sz w:val="25"/>
          <w:szCs w:val="25"/>
        </w:rPr>
        <w:t>“标准选用范围”应实施动态管理，随着研制进展，及时补充需要的或调整其</w:t>
      </w:r>
      <w:r>
        <w:rPr>
          <w:spacing w:val="2"/>
          <w:sz w:val="25"/>
          <w:szCs w:val="25"/>
        </w:rPr>
        <w:t xml:space="preserve"> </w:t>
      </w:r>
      <w:r>
        <w:rPr>
          <w:spacing w:val="13"/>
          <w:sz w:val="25"/>
          <w:szCs w:val="25"/>
        </w:rPr>
        <w:t>中不合适的标准项目，保持其有效性。</w:t>
      </w:r>
    </w:p>
    <w:p w14:paraId="31F6A5F3">
      <w:pPr>
        <w:spacing w:line="222" w:lineRule="auto"/>
        <w:ind w:left="135"/>
        <w:rPr>
          <w:rFonts w:ascii="黑体" w:hAnsi="黑体" w:eastAsia="黑体" w:cs="黑体"/>
          <w:sz w:val="27"/>
          <w:szCs w:val="27"/>
        </w:rPr>
      </w:pPr>
      <w:r>
        <w:rPr>
          <w:rFonts w:ascii="黑体" w:hAnsi="黑体" w:eastAsia="黑体" w:cs="黑体"/>
          <w:spacing w:val="-10"/>
          <w:sz w:val="27"/>
          <w:szCs w:val="27"/>
        </w:rPr>
        <w:t>3.4</w:t>
      </w:r>
      <w:r>
        <w:rPr>
          <w:rFonts w:ascii="黑体" w:hAnsi="黑体" w:eastAsia="黑体" w:cs="黑体"/>
          <w:spacing w:val="20"/>
          <w:sz w:val="27"/>
          <w:szCs w:val="27"/>
        </w:rPr>
        <w:t xml:space="preserve">  </w:t>
      </w:r>
      <w:r>
        <w:rPr>
          <w:rFonts w:ascii="黑体" w:hAnsi="黑体" w:eastAsia="黑体" w:cs="黑体"/>
          <w:spacing w:val="-10"/>
          <w:sz w:val="27"/>
          <w:szCs w:val="27"/>
        </w:rPr>
        <w:t>标准件、元器件、原材料选用范围</w:t>
      </w:r>
    </w:p>
    <w:p w14:paraId="5FB4248B">
      <w:pPr>
        <w:pStyle w:val="2"/>
        <w:spacing w:before="84" w:line="278" w:lineRule="auto"/>
        <w:ind w:right="10" w:firstLine="685"/>
        <w:jc w:val="both"/>
      </w:pPr>
      <w:r>
        <w:rPr>
          <w:spacing w:val="-3"/>
        </w:rPr>
        <w:t>标准件、元器件、原材料选用范围是特定产品研制时，对设计人员选用标准</w:t>
      </w:r>
      <w:r>
        <w:rPr>
          <w:spacing w:val="10"/>
        </w:rPr>
        <w:t xml:space="preserve"> </w:t>
      </w:r>
      <w:r>
        <w:rPr>
          <w:spacing w:val="-6"/>
        </w:rPr>
        <w:t>件、元器件、原材料的品种规格的推荐性规定，其目的是减少品种规格，</w:t>
      </w:r>
      <w:r>
        <w:rPr>
          <w:spacing w:val="-7"/>
        </w:rPr>
        <w:t>提高产品</w:t>
      </w:r>
      <w:r>
        <w:t xml:space="preserve"> </w:t>
      </w:r>
      <w:r>
        <w:rPr>
          <w:spacing w:val="-18"/>
        </w:rPr>
        <w:t>“三化”水平。</w:t>
      </w:r>
    </w:p>
    <w:p w14:paraId="3D76957A">
      <w:pPr>
        <w:pStyle w:val="2"/>
        <w:spacing w:before="1" w:line="270" w:lineRule="auto"/>
        <w:ind w:left="135" w:right="11" w:firstLine="550"/>
      </w:pPr>
      <w:r>
        <w:rPr>
          <w:spacing w:val="-3"/>
        </w:rPr>
        <w:t>编制标准件、元器件、原材料选用范围应根据产品研制要求和资源情况，遵</w:t>
      </w:r>
      <w:r>
        <w:rPr>
          <w:spacing w:val="9"/>
        </w:rPr>
        <w:t xml:space="preserve"> </w:t>
      </w:r>
      <w:r>
        <w:rPr>
          <w:spacing w:val="-1"/>
        </w:rPr>
        <w:t>循下列原则：</w:t>
      </w:r>
    </w:p>
    <w:p w14:paraId="66E98770">
      <w:pPr>
        <w:pStyle w:val="2"/>
        <w:spacing w:before="2" w:line="256" w:lineRule="auto"/>
        <w:ind w:left="135" w:right="3" w:firstLine="550"/>
      </w:pPr>
      <w:r>
        <w:rPr>
          <w:rFonts w:ascii="Times New Roman" w:hAnsi="Times New Roman" w:eastAsia="Times New Roman" w:cs="Times New Roman"/>
          <w:spacing w:val="12"/>
        </w:rPr>
        <w:t>a)</w:t>
      </w:r>
      <w:r>
        <w:rPr>
          <w:rFonts w:ascii="Times New Roman" w:hAnsi="Times New Roman" w:eastAsia="Times New Roman" w:cs="Times New Roman"/>
          <w:spacing w:val="67"/>
          <w:w w:val="101"/>
        </w:rPr>
        <w:t xml:space="preserve"> </w:t>
      </w:r>
      <w:r>
        <w:rPr>
          <w:spacing w:val="12"/>
        </w:rPr>
        <w:t>推荐采用经鉴定合格、质量稳定、有供货来源、满足使用要求的品种</w:t>
      </w:r>
      <w:r>
        <w:t xml:space="preserve"> </w:t>
      </w:r>
      <w:r>
        <w:rPr>
          <w:spacing w:val="-8"/>
        </w:rPr>
        <w:t>规格；</w:t>
      </w:r>
    </w:p>
    <w:p w14:paraId="334CE0BE">
      <w:pPr>
        <w:pStyle w:val="2"/>
        <w:spacing w:before="70" w:line="258" w:lineRule="auto"/>
        <w:ind w:left="135" w:firstLine="550"/>
      </w:pPr>
      <w:r>
        <w:rPr>
          <w:rFonts w:ascii="Times New Roman" w:hAnsi="Times New Roman" w:eastAsia="Times New Roman" w:cs="Times New Roman"/>
          <w:spacing w:val="3"/>
        </w:rPr>
        <w:t xml:space="preserve">b)  </w:t>
      </w:r>
      <w:r>
        <w:rPr>
          <w:spacing w:val="3"/>
        </w:rPr>
        <w:t>限制或有条件地采用正在研制或尚未定型的品种规格，必要时补</w:t>
      </w:r>
      <w:r>
        <w:rPr>
          <w:spacing w:val="2"/>
        </w:rPr>
        <w:t>充限制</w:t>
      </w:r>
      <w:r>
        <w:t xml:space="preserve"> </w:t>
      </w:r>
      <w:r>
        <w:rPr>
          <w:spacing w:val="-8"/>
        </w:rPr>
        <w:t>要求；</w:t>
      </w:r>
    </w:p>
    <w:p w14:paraId="05EC17A9">
      <w:pPr>
        <w:pStyle w:val="2"/>
        <w:spacing w:before="55" w:line="263" w:lineRule="auto"/>
        <w:ind w:left="685" w:right="798"/>
      </w:pPr>
      <w:r>
        <w:rPr>
          <w:rFonts w:ascii="Times New Roman" w:hAnsi="Times New Roman" w:eastAsia="Times New Roman" w:cs="Times New Roman"/>
          <w:spacing w:val="5"/>
        </w:rPr>
        <w:t>c)</w:t>
      </w:r>
      <w:r>
        <w:rPr>
          <w:rFonts w:ascii="Times New Roman" w:hAnsi="Times New Roman" w:eastAsia="Times New Roman" w:cs="Times New Roman"/>
          <w:spacing w:val="52"/>
          <w:w w:val="101"/>
        </w:rPr>
        <w:t xml:space="preserve"> </w:t>
      </w:r>
      <w:r>
        <w:rPr>
          <w:spacing w:val="5"/>
        </w:rPr>
        <w:t>在满足产品研制要求的前提下最大限度地压缩品种</w:t>
      </w:r>
      <w:r>
        <w:rPr>
          <w:spacing w:val="4"/>
        </w:rPr>
        <w:t>规格的数量。</w:t>
      </w:r>
      <w:r>
        <w:t xml:space="preserve"> </w:t>
      </w:r>
      <w:r>
        <w:rPr>
          <w:spacing w:val="-5"/>
        </w:rPr>
        <w:t>标准件、元器件、原材料选用范围中所列各项目一般包括下列要素：</w:t>
      </w:r>
    </w:p>
    <w:p w14:paraId="5DD47A4C">
      <w:pPr>
        <w:pStyle w:val="2"/>
        <w:spacing w:before="61" w:line="219" w:lineRule="auto"/>
        <w:ind w:left="685"/>
      </w:pPr>
      <w:r>
        <w:rPr>
          <w:rFonts w:ascii="Times New Roman" w:hAnsi="Times New Roman" w:eastAsia="Times New Roman" w:cs="Times New Roman"/>
          <w:spacing w:val="12"/>
        </w:rPr>
        <w:t>a</w:t>
      </w:r>
      <w:r>
        <w:rPr>
          <w:spacing w:val="12"/>
        </w:rPr>
        <w:t>)标准编号；</w:t>
      </w:r>
    </w:p>
    <w:p w14:paraId="1BFDF4AC">
      <w:pPr>
        <w:pStyle w:val="2"/>
        <w:spacing w:before="92" w:line="212" w:lineRule="auto"/>
        <w:ind w:left="685"/>
        <w:rPr>
          <w:sz w:val="24"/>
          <w:szCs w:val="24"/>
        </w:rPr>
      </w:pPr>
      <w:r>
        <w:rPr>
          <w:rFonts w:ascii="Times New Roman" w:hAnsi="Times New Roman" w:eastAsia="Times New Roman" w:cs="Times New Roman"/>
          <w:spacing w:val="17"/>
          <w:sz w:val="24"/>
          <w:szCs w:val="24"/>
        </w:rPr>
        <w:t>b)</w:t>
      </w:r>
      <w:r>
        <w:rPr>
          <w:rFonts w:ascii="Times New Roman" w:hAnsi="Times New Roman" w:eastAsia="Times New Roman" w:cs="Times New Roman"/>
          <w:spacing w:val="20"/>
          <w:sz w:val="24"/>
          <w:szCs w:val="24"/>
        </w:rPr>
        <w:t xml:space="preserve">  </w:t>
      </w:r>
      <w:r>
        <w:rPr>
          <w:spacing w:val="17"/>
          <w:sz w:val="24"/>
          <w:szCs w:val="24"/>
        </w:rPr>
        <w:t>标准名称；</w:t>
      </w:r>
    </w:p>
    <w:p w14:paraId="402850E1">
      <w:pPr>
        <w:pStyle w:val="2"/>
        <w:spacing w:before="102" w:line="212" w:lineRule="auto"/>
        <w:ind w:left="685"/>
      </w:pPr>
      <w:r>
        <w:rPr>
          <w:rFonts w:ascii="Times New Roman" w:hAnsi="Times New Roman" w:eastAsia="Times New Roman" w:cs="Times New Roman"/>
          <w:spacing w:val="2"/>
        </w:rPr>
        <w:t>c)</w:t>
      </w:r>
      <w:r>
        <w:rPr>
          <w:rFonts w:ascii="Times New Roman" w:hAnsi="Times New Roman" w:eastAsia="Times New Roman" w:cs="Times New Roman"/>
          <w:spacing w:val="60"/>
        </w:rPr>
        <w:t xml:space="preserve"> </w:t>
      </w:r>
      <w:r>
        <w:rPr>
          <w:spacing w:val="2"/>
        </w:rPr>
        <w:t>推荐或限制的品种规格；</w:t>
      </w:r>
    </w:p>
    <w:p w14:paraId="2CD42906">
      <w:pPr>
        <w:pStyle w:val="2"/>
        <w:spacing w:before="110" w:line="212" w:lineRule="auto"/>
        <w:ind w:left="685"/>
      </w:pPr>
      <w:r>
        <w:rPr>
          <w:rFonts w:ascii="Times New Roman" w:hAnsi="Times New Roman" w:eastAsia="Times New Roman" w:cs="Times New Roman"/>
          <w:spacing w:val="-2"/>
        </w:rPr>
        <w:t xml:space="preserve">d)  </w:t>
      </w:r>
      <w:r>
        <w:rPr>
          <w:spacing w:val="-2"/>
        </w:rPr>
        <w:t>生产工厂；</w:t>
      </w:r>
    </w:p>
    <w:p w14:paraId="602013F2">
      <w:pPr>
        <w:pStyle w:val="2"/>
        <w:spacing w:before="100" w:line="212" w:lineRule="auto"/>
        <w:ind w:left="685"/>
      </w:pPr>
      <w:r>
        <w:rPr>
          <w:rFonts w:ascii="Times New Roman" w:hAnsi="Times New Roman" w:eastAsia="Times New Roman" w:cs="Times New Roman"/>
          <w:spacing w:val="5"/>
        </w:rPr>
        <w:t>e)</w:t>
      </w:r>
      <w:r>
        <w:rPr>
          <w:rFonts w:ascii="Times New Roman" w:hAnsi="Times New Roman" w:eastAsia="Times New Roman" w:cs="Times New Roman"/>
          <w:spacing w:val="53"/>
          <w:w w:val="101"/>
        </w:rPr>
        <w:t xml:space="preserve"> </w:t>
      </w:r>
      <w:r>
        <w:rPr>
          <w:spacing w:val="5"/>
        </w:rPr>
        <w:t>选用(限用)相应品种规格的说明和指导意</w:t>
      </w:r>
      <w:r>
        <w:rPr>
          <w:spacing w:val="4"/>
        </w:rPr>
        <w:t>见。</w:t>
      </w:r>
    </w:p>
    <w:p w14:paraId="3663571B">
      <w:pPr>
        <w:pStyle w:val="2"/>
        <w:spacing w:before="128" w:line="268" w:lineRule="auto"/>
        <w:ind w:left="135" w:right="13" w:firstLine="550"/>
        <w:jc w:val="both"/>
      </w:pPr>
      <w:r>
        <w:rPr>
          <w:spacing w:val="-11"/>
        </w:rPr>
        <w:t>标准件、元器件、原材料选用范围可综合编制，也可按标准件、元器件、原材</w:t>
      </w:r>
      <w:r>
        <w:rPr>
          <w:spacing w:val="12"/>
        </w:rPr>
        <w:t xml:space="preserve"> </w:t>
      </w:r>
      <w:r>
        <w:rPr>
          <w:spacing w:val="-10"/>
        </w:rPr>
        <w:t>料分别编制；视管理方便和习惯，标准件、元器件、原材料选用范围可作为产品标</w:t>
      </w:r>
      <w:r>
        <w:rPr>
          <w:spacing w:val="9"/>
        </w:rPr>
        <w:t xml:space="preserve"> </w:t>
      </w:r>
      <w:r>
        <w:rPr>
          <w:spacing w:val="-6"/>
        </w:rPr>
        <w:t>准化大纲的附录，也可作为独立文件。</w:t>
      </w:r>
    </w:p>
    <w:p w14:paraId="767DA23B">
      <w:pPr>
        <w:pStyle w:val="2"/>
        <w:spacing w:before="35" w:line="283" w:lineRule="auto"/>
        <w:ind w:left="135" w:right="7" w:firstLine="550"/>
      </w:pPr>
      <w:r>
        <w:rPr>
          <w:spacing w:val="-11"/>
        </w:rPr>
        <w:t>标准件、元器件、原材料选用范围实施动态管理，随着研制进展，要及时补充</w:t>
      </w:r>
      <w:r>
        <w:rPr>
          <w:spacing w:val="18"/>
        </w:rPr>
        <w:t xml:space="preserve"> </w:t>
      </w:r>
      <w:r>
        <w:rPr>
          <w:spacing w:val="-3"/>
        </w:rPr>
        <w:t>需要的或调整其中不合格的品种规格，保持其有效性。</w:t>
      </w:r>
    </w:p>
    <w:p w14:paraId="2DF4822E">
      <w:pPr>
        <w:spacing w:before="21" w:line="222" w:lineRule="auto"/>
        <w:ind w:left="135"/>
        <w:rPr>
          <w:rFonts w:ascii="黑体" w:hAnsi="黑体" w:eastAsia="黑体" w:cs="黑体"/>
          <w:sz w:val="24"/>
          <w:szCs w:val="24"/>
        </w:rPr>
      </w:pPr>
      <w:r>
        <w:rPr>
          <w:rFonts w:ascii="Arial" w:hAnsi="Arial" w:eastAsia="Arial" w:cs="Arial"/>
          <w:spacing w:val="17"/>
          <w:sz w:val="24"/>
          <w:szCs w:val="24"/>
        </w:rPr>
        <w:t xml:space="preserve">4    </w:t>
      </w:r>
      <w:r>
        <w:rPr>
          <w:rFonts w:ascii="黑体" w:hAnsi="黑体" w:eastAsia="黑体" w:cs="黑体"/>
          <w:spacing w:val="17"/>
          <w:sz w:val="24"/>
          <w:szCs w:val="24"/>
        </w:rPr>
        <w:t>产品通用化、系列化、组合化设计要求和接口、互换性要求</w:t>
      </w:r>
    </w:p>
    <w:p w14:paraId="120C15AA">
      <w:pPr>
        <w:spacing w:before="101" w:line="222" w:lineRule="auto"/>
        <w:ind w:left="135"/>
        <w:rPr>
          <w:rFonts w:ascii="黑体" w:hAnsi="黑体" w:eastAsia="黑体" w:cs="黑体"/>
          <w:sz w:val="24"/>
          <w:szCs w:val="24"/>
        </w:rPr>
      </w:pPr>
      <w:r>
        <w:rPr>
          <w:rFonts w:ascii="Arial" w:hAnsi="Arial" w:eastAsia="Arial" w:cs="Arial"/>
          <w:spacing w:val="14"/>
          <w:sz w:val="24"/>
          <w:szCs w:val="24"/>
        </w:rPr>
        <w:t xml:space="preserve">4.1     </w:t>
      </w:r>
      <w:r>
        <w:rPr>
          <w:rFonts w:ascii="黑体" w:hAnsi="黑体" w:eastAsia="黑体" w:cs="黑体"/>
          <w:spacing w:val="14"/>
          <w:sz w:val="24"/>
          <w:szCs w:val="24"/>
        </w:rPr>
        <w:t>产品通用化、系列化、组合化设计要求</w:t>
      </w:r>
    </w:p>
    <w:p w14:paraId="6DD13692">
      <w:pPr>
        <w:pStyle w:val="2"/>
        <w:spacing w:before="114" w:line="219" w:lineRule="auto"/>
        <w:ind w:right="11"/>
        <w:jc w:val="right"/>
      </w:pPr>
      <w:r>
        <w:rPr>
          <w:spacing w:val="1"/>
        </w:rPr>
        <w:t>“三化”设计要求既要体现国家关于标准化的方针政策，又要和产品研制条</w:t>
      </w:r>
    </w:p>
    <w:p w14:paraId="021B210E">
      <w:pPr>
        <w:spacing w:line="219" w:lineRule="auto"/>
        <w:sectPr>
          <w:footerReference r:id="rId297" w:type="default"/>
          <w:pgSz w:w="11910" w:h="17130"/>
          <w:pgMar w:top="1456" w:right="826" w:bottom="1676" w:left="1565" w:header="0" w:footer="1487" w:gutter="0"/>
          <w:cols w:space="720" w:num="1"/>
        </w:sectPr>
      </w:pPr>
    </w:p>
    <w:p w14:paraId="20A19633">
      <w:pPr>
        <w:pStyle w:val="2"/>
        <w:spacing w:before="54" w:line="219" w:lineRule="auto"/>
      </w:pPr>
      <w:r>
        <w:rPr>
          <w:spacing w:val="1"/>
        </w:rPr>
        <w:t>件相适应。主要包括下列内容：</w:t>
      </w:r>
    </w:p>
    <w:p w14:paraId="48AD7950">
      <w:pPr>
        <w:pStyle w:val="2"/>
        <w:spacing w:before="49" w:line="212" w:lineRule="auto"/>
        <w:ind w:left="550"/>
      </w:pPr>
      <w:r>
        <w:rPr>
          <w:rFonts w:ascii="Times New Roman" w:hAnsi="Times New Roman" w:eastAsia="Times New Roman" w:cs="Times New Roman"/>
          <w:spacing w:val="-12"/>
        </w:rPr>
        <w:t xml:space="preserve">a)  </w:t>
      </w:r>
      <w:r>
        <w:rPr>
          <w:spacing w:val="-12"/>
        </w:rPr>
        <w:t>贯彻订购方提出的“三化”要求及开展“三化”设计的一般要求；</w:t>
      </w:r>
    </w:p>
    <w:p w14:paraId="3EB4C95C">
      <w:pPr>
        <w:pStyle w:val="2"/>
        <w:spacing w:before="99" w:line="212" w:lineRule="auto"/>
        <w:ind w:left="550"/>
      </w:pPr>
      <w:r>
        <w:rPr>
          <w:rFonts w:ascii="Times New Roman" w:hAnsi="Times New Roman" w:eastAsia="Times New Roman" w:cs="Times New Roman"/>
          <w:spacing w:val="-1"/>
        </w:rPr>
        <w:t xml:space="preserve">b)  </w:t>
      </w:r>
      <w:r>
        <w:rPr>
          <w:spacing w:val="-1"/>
        </w:rPr>
        <w:t>论证并采用下一层次通用或现有设备、部组件要求；</w:t>
      </w:r>
    </w:p>
    <w:p w14:paraId="3BE35A24">
      <w:pPr>
        <w:pStyle w:val="2"/>
        <w:spacing w:before="79" w:line="212" w:lineRule="auto"/>
        <w:ind w:left="550"/>
      </w:pPr>
      <w:r>
        <w:rPr>
          <w:rFonts w:ascii="Times New Roman" w:hAnsi="Times New Roman" w:eastAsia="Times New Roman" w:cs="Times New Roman"/>
          <w:spacing w:val="5"/>
        </w:rPr>
        <w:t>c)</w:t>
      </w:r>
      <w:r>
        <w:rPr>
          <w:rFonts w:ascii="Times New Roman" w:hAnsi="Times New Roman" w:eastAsia="Times New Roman" w:cs="Times New Roman"/>
          <w:spacing w:val="56"/>
          <w:w w:val="101"/>
        </w:rPr>
        <w:t xml:space="preserve"> </w:t>
      </w:r>
      <w:r>
        <w:rPr>
          <w:spacing w:val="5"/>
        </w:rPr>
        <w:t>论证并提出新研产品是否纳入系列型谱及修订系列型谱的意见；</w:t>
      </w:r>
    </w:p>
    <w:p w14:paraId="084239A6">
      <w:pPr>
        <w:pStyle w:val="2"/>
        <w:spacing w:before="100" w:line="212" w:lineRule="auto"/>
        <w:ind w:left="550"/>
      </w:pPr>
      <w:r>
        <w:rPr>
          <w:rFonts w:ascii="Times New Roman" w:hAnsi="Times New Roman" w:eastAsia="Times New Roman" w:cs="Times New Roman"/>
          <w:spacing w:val="4"/>
        </w:rPr>
        <w:t xml:space="preserve">d)  </w:t>
      </w:r>
      <w:r>
        <w:rPr>
          <w:spacing w:val="4"/>
        </w:rPr>
        <w:t>对采用现有产品进行可行性分析及试验验证</w:t>
      </w:r>
      <w:r>
        <w:rPr>
          <w:spacing w:val="3"/>
        </w:rPr>
        <w:t>的要求；</w:t>
      </w:r>
    </w:p>
    <w:p w14:paraId="24B0BD37">
      <w:pPr>
        <w:pStyle w:val="2"/>
        <w:spacing w:before="110" w:line="212" w:lineRule="auto"/>
        <w:ind w:left="550"/>
      </w:pPr>
      <w:r>
        <w:rPr>
          <w:rFonts w:ascii="Times New Roman" w:hAnsi="Times New Roman" w:eastAsia="Times New Roman" w:cs="Times New Roman"/>
          <w:spacing w:val="-12"/>
        </w:rPr>
        <w:t xml:space="preserve">e)  </w:t>
      </w:r>
      <w:r>
        <w:rPr>
          <w:spacing w:val="-12"/>
        </w:rPr>
        <w:t>应用“三化”产品数据库的要求；</w:t>
      </w:r>
    </w:p>
    <w:p w14:paraId="18803136">
      <w:pPr>
        <w:pStyle w:val="2"/>
        <w:spacing w:before="80" w:line="212" w:lineRule="auto"/>
        <w:ind w:left="550"/>
      </w:pPr>
      <w:r>
        <w:rPr>
          <w:rFonts w:ascii="Times New Roman" w:hAnsi="Times New Roman" w:eastAsia="Times New Roman" w:cs="Times New Roman"/>
          <w:spacing w:val="-8"/>
        </w:rPr>
        <w:t>f)</w:t>
      </w:r>
      <w:r>
        <w:rPr>
          <w:rFonts w:ascii="Times New Roman" w:hAnsi="Times New Roman" w:eastAsia="Times New Roman" w:cs="Times New Roman"/>
          <w:spacing w:val="70"/>
          <w:w w:val="101"/>
        </w:rPr>
        <w:t xml:space="preserve"> </w:t>
      </w:r>
      <w:r>
        <w:rPr>
          <w:spacing w:val="-8"/>
        </w:rPr>
        <w:t>对研制方案和设计进行“三化”评审的要求。</w:t>
      </w:r>
    </w:p>
    <w:p w14:paraId="1C4A1E5E">
      <w:pPr>
        <w:pStyle w:val="2"/>
        <w:spacing w:before="130" w:line="219" w:lineRule="auto"/>
        <w:ind w:left="550"/>
      </w:pPr>
      <w:r>
        <w:rPr>
          <w:spacing w:val="-7"/>
        </w:rPr>
        <w:t>应针对不同层次的产品提出不同重点的“三化”设计要求：</w:t>
      </w:r>
    </w:p>
    <w:p w14:paraId="7A16B185">
      <w:pPr>
        <w:pStyle w:val="2"/>
        <w:spacing w:before="59" w:line="261" w:lineRule="auto"/>
        <w:ind w:firstLine="550"/>
      </w:pPr>
      <w:r>
        <w:rPr>
          <w:rFonts w:ascii="Times New Roman" w:hAnsi="Times New Roman" w:eastAsia="Times New Roman" w:cs="Times New Roman"/>
          <w:spacing w:val="6"/>
        </w:rPr>
        <w:t xml:space="preserve">a)  </w:t>
      </w:r>
      <w:r>
        <w:rPr>
          <w:spacing w:val="6"/>
        </w:rPr>
        <w:t>对系统、分系统层次产品应重点分析和提出采用下一层次现有分系统、</w:t>
      </w:r>
      <w:r>
        <w:rPr>
          <w:spacing w:val="9"/>
        </w:rPr>
        <w:t xml:space="preserve"> </w:t>
      </w:r>
      <w:r>
        <w:rPr>
          <w:spacing w:val="3"/>
        </w:rPr>
        <w:t>设备的要求以及是否纳入系列型谱标准的方案；</w:t>
      </w:r>
    </w:p>
    <w:p w14:paraId="44A4D945">
      <w:pPr>
        <w:pStyle w:val="2"/>
        <w:spacing w:before="55" w:line="260" w:lineRule="auto"/>
        <w:ind w:right="119" w:firstLine="550"/>
      </w:pPr>
      <w:r>
        <w:rPr>
          <w:rFonts w:ascii="Times New Roman" w:hAnsi="Times New Roman" w:eastAsia="Times New Roman" w:cs="Times New Roman"/>
          <w:spacing w:val="3"/>
        </w:rPr>
        <w:t>b)</w:t>
      </w:r>
      <w:r>
        <w:rPr>
          <w:rFonts w:ascii="Times New Roman" w:hAnsi="Times New Roman" w:eastAsia="Times New Roman" w:cs="Times New Roman"/>
          <w:spacing w:val="67"/>
        </w:rPr>
        <w:t xml:space="preserve"> </w:t>
      </w:r>
      <w:r>
        <w:rPr>
          <w:spacing w:val="3"/>
        </w:rPr>
        <w:t>对设备层次产品应重点分析和提出采用</w:t>
      </w:r>
      <w:r>
        <w:rPr>
          <w:spacing w:val="2"/>
        </w:rPr>
        <w:t>通用模块、通用零部件、通用结</w:t>
      </w:r>
      <w:r>
        <w:t xml:space="preserve"> </w:t>
      </w:r>
      <w:r>
        <w:rPr>
          <w:spacing w:val="4"/>
        </w:rPr>
        <w:t>构形式和尺寸参数的要求以及是否纳入相应系列型谱</w:t>
      </w:r>
      <w:r>
        <w:rPr>
          <w:spacing w:val="3"/>
        </w:rPr>
        <w:t>的方案。</w:t>
      </w:r>
    </w:p>
    <w:p w14:paraId="57E322B3">
      <w:pPr>
        <w:pStyle w:val="2"/>
        <w:spacing w:before="71" w:line="276" w:lineRule="auto"/>
        <w:ind w:right="118" w:firstLine="550"/>
      </w:pPr>
      <w:r>
        <w:rPr>
          <w:spacing w:val="-3"/>
        </w:rPr>
        <w:t>产品“三化”设计要求一般由标准化工作系统和标准化机构会同设计部门讨</w:t>
      </w:r>
      <w:r>
        <w:rPr>
          <w:spacing w:val="4"/>
        </w:rPr>
        <w:t xml:space="preserve"> </w:t>
      </w:r>
      <w:r>
        <w:rPr>
          <w:spacing w:val="-1"/>
        </w:rPr>
        <w:t>论提出。</w:t>
      </w:r>
    </w:p>
    <w:p w14:paraId="6CC947BA">
      <w:pPr>
        <w:spacing w:line="222" w:lineRule="auto"/>
        <w:rPr>
          <w:rFonts w:ascii="黑体" w:hAnsi="黑体" w:eastAsia="黑体" w:cs="黑体"/>
          <w:sz w:val="27"/>
          <w:szCs w:val="27"/>
        </w:rPr>
      </w:pPr>
      <w:r>
        <w:rPr>
          <w:rFonts w:ascii="黑体" w:hAnsi="黑体" w:eastAsia="黑体" w:cs="黑体"/>
          <w:spacing w:val="-11"/>
          <w:sz w:val="27"/>
          <w:szCs w:val="27"/>
        </w:rPr>
        <w:t>4.2</w:t>
      </w:r>
      <w:r>
        <w:rPr>
          <w:rFonts w:ascii="黑体" w:hAnsi="黑体" w:eastAsia="黑体" w:cs="黑体"/>
          <w:spacing w:val="22"/>
          <w:sz w:val="27"/>
          <w:szCs w:val="27"/>
        </w:rPr>
        <w:t xml:space="preserve">  </w:t>
      </w:r>
      <w:r>
        <w:rPr>
          <w:rFonts w:ascii="黑体" w:hAnsi="黑体" w:eastAsia="黑体" w:cs="黑体"/>
          <w:b/>
          <w:bCs/>
          <w:spacing w:val="-11"/>
          <w:sz w:val="27"/>
          <w:szCs w:val="27"/>
        </w:rPr>
        <w:t>接口、互换性要求</w:t>
      </w:r>
    </w:p>
    <w:p w14:paraId="3BACE11A">
      <w:pPr>
        <w:spacing w:before="95" w:line="222" w:lineRule="auto"/>
        <w:rPr>
          <w:rFonts w:ascii="黑体" w:hAnsi="黑体" w:eastAsia="黑体" w:cs="黑体"/>
          <w:sz w:val="27"/>
          <w:szCs w:val="27"/>
        </w:rPr>
      </w:pPr>
      <w:r>
        <w:rPr>
          <w:rFonts w:ascii="黑体" w:hAnsi="黑体" w:eastAsia="黑体" w:cs="黑体"/>
          <w:sz w:val="27"/>
          <w:szCs w:val="27"/>
        </w:rPr>
        <w:t>4.2.1</w:t>
      </w:r>
      <w:r>
        <w:rPr>
          <w:rFonts w:ascii="黑体" w:hAnsi="黑体" w:eastAsia="黑体" w:cs="黑体"/>
          <w:spacing w:val="26"/>
          <w:sz w:val="27"/>
          <w:szCs w:val="27"/>
        </w:rPr>
        <w:t xml:space="preserve">  </w:t>
      </w:r>
      <w:r>
        <w:rPr>
          <w:rFonts w:ascii="黑体" w:hAnsi="黑体" w:eastAsia="黑体" w:cs="黑体"/>
          <w:b/>
          <w:bCs/>
          <w:sz w:val="27"/>
          <w:szCs w:val="27"/>
        </w:rPr>
        <w:t>接口标准及其要求</w:t>
      </w:r>
    </w:p>
    <w:p w14:paraId="013B6990">
      <w:pPr>
        <w:pStyle w:val="2"/>
        <w:spacing w:before="88" w:line="277" w:lineRule="auto"/>
        <w:ind w:right="113" w:firstLine="550"/>
      </w:pPr>
      <w:r>
        <w:rPr>
          <w:spacing w:val="6"/>
        </w:rPr>
        <w:t>应根据产品使用特性和订购方提出的要求，明</w:t>
      </w:r>
      <w:r>
        <w:rPr>
          <w:spacing w:val="5"/>
        </w:rPr>
        <w:t>确产品设计时应贯彻实施的</w:t>
      </w:r>
      <w:r>
        <w:t xml:space="preserve"> </w:t>
      </w:r>
      <w:r>
        <w:rPr>
          <w:spacing w:val="3"/>
        </w:rPr>
        <w:t>接口标准及其要求。主要包括下列内容：</w:t>
      </w:r>
    </w:p>
    <w:p w14:paraId="69F7EC6F">
      <w:pPr>
        <w:pStyle w:val="2"/>
        <w:spacing w:before="1" w:line="218" w:lineRule="auto"/>
        <w:ind w:left="550"/>
      </w:pPr>
      <w:r>
        <w:rPr>
          <w:rFonts w:ascii="Times New Roman" w:hAnsi="Times New Roman" w:eastAsia="Times New Roman" w:cs="Times New Roman"/>
          <w:spacing w:val="11"/>
        </w:rPr>
        <w:t>a</w:t>
      </w:r>
      <w:r>
        <w:rPr>
          <w:spacing w:val="11"/>
        </w:rPr>
        <w:t>)机械接口标准；</w:t>
      </w:r>
    </w:p>
    <w:p w14:paraId="3075C7ED">
      <w:pPr>
        <w:pStyle w:val="2"/>
        <w:spacing w:before="61" w:line="212" w:lineRule="auto"/>
        <w:ind w:left="550"/>
      </w:pPr>
      <w:r>
        <w:rPr>
          <w:rFonts w:ascii="Times New Roman" w:hAnsi="Times New Roman" w:eastAsia="Times New Roman" w:cs="Times New Roman"/>
          <w:spacing w:val="1"/>
        </w:rPr>
        <w:t xml:space="preserve">b)  </w:t>
      </w:r>
      <w:r>
        <w:rPr>
          <w:spacing w:val="1"/>
        </w:rPr>
        <w:t>电气接口标准；</w:t>
      </w:r>
    </w:p>
    <w:p w14:paraId="6E796C96">
      <w:pPr>
        <w:pStyle w:val="2"/>
        <w:spacing w:before="80" w:line="212" w:lineRule="auto"/>
        <w:ind w:left="550"/>
      </w:pPr>
      <w:r>
        <w:rPr>
          <w:rFonts w:ascii="Times New Roman" w:hAnsi="Times New Roman" w:eastAsia="Times New Roman" w:cs="Times New Roman"/>
        </w:rPr>
        <w:t xml:space="preserve">c)  </w:t>
      </w:r>
      <w:r>
        <w:t>软件接口标准；</w:t>
      </w:r>
    </w:p>
    <w:p w14:paraId="24D55BE5">
      <w:pPr>
        <w:pStyle w:val="2"/>
        <w:spacing w:before="100" w:line="212" w:lineRule="auto"/>
        <w:ind w:left="550"/>
      </w:pPr>
      <w:r>
        <w:rPr>
          <w:rFonts w:ascii="Times New Roman" w:hAnsi="Times New Roman" w:eastAsia="Times New Roman" w:cs="Times New Roman"/>
          <w:spacing w:val="1"/>
        </w:rPr>
        <w:t xml:space="preserve">d)  </w:t>
      </w:r>
      <w:r>
        <w:rPr>
          <w:spacing w:val="1"/>
        </w:rPr>
        <w:t>信息格式标准；</w:t>
      </w:r>
    </w:p>
    <w:p w14:paraId="5F919964">
      <w:pPr>
        <w:pStyle w:val="2"/>
        <w:spacing w:before="110" w:line="212" w:lineRule="auto"/>
        <w:ind w:left="550"/>
      </w:pPr>
      <w:r>
        <w:rPr>
          <w:rFonts w:ascii="Times New Roman" w:hAnsi="Times New Roman" w:eastAsia="Times New Roman" w:cs="Times New Roman"/>
          <w:spacing w:val="3"/>
        </w:rPr>
        <w:t>e)</w:t>
      </w:r>
      <w:r>
        <w:rPr>
          <w:rFonts w:ascii="Times New Roman" w:hAnsi="Times New Roman" w:eastAsia="Times New Roman" w:cs="Times New Roman"/>
          <w:spacing w:val="70"/>
          <w:w w:val="101"/>
        </w:rPr>
        <w:t xml:space="preserve"> </w:t>
      </w:r>
      <w:r>
        <w:rPr>
          <w:spacing w:val="3"/>
        </w:rPr>
        <w:t>人机界面接口标准等。</w:t>
      </w:r>
    </w:p>
    <w:p w14:paraId="6E434A57">
      <w:pPr>
        <w:spacing w:before="116" w:line="222" w:lineRule="auto"/>
        <w:rPr>
          <w:rFonts w:ascii="黑体" w:hAnsi="黑体" w:eastAsia="黑体" w:cs="黑体"/>
          <w:sz w:val="27"/>
          <w:szCs w:val="27"/>
        </w:rPr>
      </w:pPr>
      <w:r>
        <w:rPr>
          <w:rFonts w:ascii="黑体" w:hAnsi="黑体" w:eastAsia="黑体" w:cs="黑体"/>
          <w:spacing w:val="-1"/>
          <w:sz w:val="27"/>
          <w:szCs w:val="27"/>
        </w:rPr>
        <w:t>4.2.2</w:t>
      </w:r>
      <w:r>
        <w:rPr>
          <w:rFonts w:ascii="黑体" w:hAnsi="黑体" w:eastAsia="黑体" w:cs="黑体"/>
          <w:spacing w:val="31"/>
          <w:sz w:val="27"/>
          <w:szCs w:val="27"/>
        </w:rPr>
        <w:t xml:space="preserve">  </w:t>
      </w:r>
      <w:r>
        <w:rPr>
          <w:rFonts w:ascii="黑体" w:hAnsi="黑体" w:eastAsia="黑体" w:cs="黑体"/>
          <w:b/>
          <w:bCs/>
          <w:spacing w:val="-1"/>
          <w:sz w:val="27"/>
          <w:szCs w:val="27"/>
        </w:rPr>
        <w:t>互换性标准及其要求</w:t>
      </w:r>
    </w:p>
    <w:p w14:paraId="29A6BDA3">
      <w:pPr>
        <w:pStyle w:val="2"/>
        <w:spacing w:before="109" w:line="263" w:lineRule="auto"/>
        <w:ind w:right="118" w:firstLine="550"/>
      </w:pPr>
      <w:r>
        <w:rPr>
          <w:spacing w:val="5"/>
        </w:rPr>
        <w:t>应根据产品研制生产和使用维修的需要及订购方的要求，明确产品设计时</w:t>
      </w:r>
      <w:r>
        <w:rPr>
          <w:spacing w:val="15"/>
        </w:rPr>
        <w:t xml:space="preserve"> </w:t>
      </w:r>
      <w:r>
        <w:rPr>
          <w:spacing w:val="-2"/>
        </w:rPr>
        <w:t>应贯彻实施的互换性标准及其要求，主要包括下列内容：</w:t>
      </w:r>
    </w:p>
    <w:p w14:paraId="55CDDF32">
      <w:pPr>
        <w:pStyle w:val="2"/>
        <w:spacing w:before="1" w:line="212" w:lineRule="auto"/>
        <w:ind w:left="550"/>
      </w:pPr>
      <w:r>
        <w:rPr>
          <w:rFonts w:ascii="Times New Roman" w:hAnsi="Times New Roman" w:eastAsia="Times New Roman" w:cs="Times New Roman"/>
          <w:spacing w:val="2"/>
        </w:rPr>
        <w:t>a)</w:t>
      </w:r>
      <w:r>
        <w:rPr>
          <w:rFonts w:ascii="Times New Roman" w:hAnsi="Times New Roman" w:eastAsia="Times New Roman" w:cs="Times New Roman"/>
          <w:spacing w:val="66"/>
          <w:w w:val="101"/>
        </w:rPr>
        <w:t xml:space="preserve"> </w:t>
      </w:r>
      <w:r>
        <w:rPr>
          <w:spacing w:val="2"/>
        </w:rPr>
        <w:t>计量单位制规定；</w:t>
      </w:r>
    </w:p>
    <w:p w14:paraId="3B3C7A42">
      <w:pPr>
        <w:pStyle w:val="2"/>
        <w:spacing w:before="110" w:line="212" w:lineRule="auto"/>
        <w:ind w:left="550"/>
      </w:pPr>
      <w:r>
        <w:rPr>
          <w:rFonts w:ascii="Times New Roman" w:hAnsi="Times New Roman" w:eastAsia="Times New Roman" w:cs="Times New Roman"/>
          <w:spacing w:val="3"/>
        </w:rPr>
        <w:t xml:space="preserve">b)  </w:t>
      </w:r>
      <w:r>
        <w:rPr>
          <w:spacing w:val="3"/>
        </w:rPr>
        <w:t>零件尺寸公差等制造互换性标准；</w:t>
      </w:r>
    </w:p>
    <w:p w14:paraId="20C0F515">
      <w:pPr>
        <w:pStyle w:val="2"/>
        <w:spacing w:before="89" w:line="212" w:lineRule="auto"/>
        <w:ind w:left="550"/>
      </w:pPr>
      <w:r>
        <w:rPr>
          <w:rFonts w:ascii="Times New Roman" w:hAnsi="Times New Roman" w:eastAsia="Times New Roman" w:cs="Times New Roman"/>
          <w:spacing w:val="3"/>
        </w:rPr>
        <w:t>c)</w:t>
      </w:r>
      <w:r>
        <w:rPr>
          <w:rFonts w:ascii="Times New Roman" w:hAnsi="Times New Roman" w:eastAsia="Times New Roman" w:cs="Times New Roman"/>
          <w:spacing w:val="58"/>
          <w:w w:val="101"/>
        </w:rPr>
        <w:t xml:space="preserve"> </w:t>
      </w:r>
      <w:r>
        <w:rPr>
          <w:spacing w:val="3"/>
        </w:rPr>
        <w:t>各类机械联接结构互换性标准；</w:t>
      </w:r>
    </w:p>
    <w:p w14:paraId="35905532">
      <w:pPr>
        <w:pStyle w:val="2"/>
        <w:spacing w:before="110" w:line="212" w:lineRule="auto"/>
        <w:ind w:left="550"/>
      </w:pPr>
      <w:r>
        <w:rPr>
          <w:rFonts w:ascii="Times New Roman" w:hAnsi="Times New Roman" w:eastAsia="Times New Roman" w:cs="Times New Roman"/>
          <w:spacing w:val="4"/>
        </w:rPr>
        <w:t xml:space="preserve">d)  </w:t>
      </w:r>
      <w:r>
        <w:rPr>
          <w:spacing w:val="4"/>
        </w:rPr>
        <w:t>对单件配制等非互换性制造方法的</w:t>
      </w:r>
      <w:r>
        <w:rPr>
          <w:spacing w:val="3"/>
        </w:rPr>
        <w:t>限制要求等。</w:t>
      </w:r>
    </w:p>
    <w:p w14:paraId="37005AE0">
      <w:pPr>
        <w:spacing w:before="95" w:line="222"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4"/>
          <w:sz w:val="27"/>
          <w:szCs w:val="27"/>
        </w:rPr>
        <w:t xml:space="preserve">   </w:t>
      </w:r>
      <w:r>
        <w:rPr>
          <w:rFonts w:ascii="黑体" w:hAnsi="黑体" w:eastAsia="黑体" w:cs="黑体"/>
          <w:b/>
          <w:bCs/>
          <w:sz w:val="27"/>
          <w:szCs w:val="27"/>
        </w:rPr>
        <w:t>型号标准化文件体系要求</w:t>
      </w:r>
    </w:p>
    <w:p w14:paraId="5D185CC6">
      <w:pPr>
        <w:pStyle w:val="2"/>
        <w:spacing w:before="121" w:line="219" w:lineRule="auto"/>
        <w:ind w:left="550"/>
      </w:pPr>
      <w:r>
        <w:rPr>
          <w:spacing w:val="4"/>
        </w:rPr>
        <w:t>建立型号标准化文件体系要求一般包括下列内容：</w:t>
      </w:r>
    </w:p>
    <w:p w14:paraId="3D30DCC7">
      <w:pPr>
        <w:pStyle w:val="2"/>
        <w:spacing w:before="60" w:line="219" w:lineRule="auto"/>
        <w:ind w:left="550"/>
      </w:pPr>
      <w:r>
        <w:rPr>
          <w:rFonts w:ascii="Times New Roman" w:hAnsi="Times New Roman" w:eastAsia="Times New Roman" w:cs="Times New Roman"/>
          <w:spacing w:val="9"/>
        </w:rPr>
        <w:t>a</w:t>
      </w:r>
      <w:r>
        <w:rPr>
          <w:spacing w:val="9"/>
        </w:rPr>
        <w:t>)型号标准化文件体系表；</w:t>
      </w:r>
    </w:p>
    <w:p w14:paraId="6FB71FFA">
      <w:pPr>
        <w:pStyle w:val="2"/>
        <w:spacing w:before="59" w:line="212" w:lineRule="auto"/>
        <w:ind w:left="550"/>
      </w:pPr>
      <w:r>
        <w:rPr>
          <w:rFonts w:ascii="Times New Roman" w:hAnsi="Times New Roman" w:eastAsia="Times New Roman" w:cs="Times New Roman"/>
          <w:spacing w:val="3"/>
        </w:rPr>
        <w:t xml:space="preserve">b)  </w:t>
      </w:r>
      <w:r>
        <w:rPr>
          <w:spacing w:val="3"/>
        </w:rPr>
        <w:t>型号标准化文件项目表。</w:t>
      </w:r>
    </w:p>
    <w:p w14:paraId="5B868606">
      <w:pPr>
        <w:spacing w:line="212" w:lineRule="auto"/>
        <w:sectPr>
          <w:footerReference r:id="rId298" w:type="default"/>
          <w:pgSz w:w="11910" w:h="17130"/>
          <w:pgMar w:top="1406" w:right="1435" w:bottom="1767" w:left="989" w:header="0" w:footer="1550" w:gutter="0"/>
          <w:cols w:space="720" w:num="1"/>
        </w:sectPr>
      </w:pPr>
    </w:p>
    <w:p w14:paraId="46621973">
      <w:pPr>
        <w:spacing w:before="153" w:line="222" w:lineRule="auto"/>
        <w:rPr>
          <w:rFonts w:ascii="黑体" w:hAnsi="黑体" w:eastAsia="黑体" w:cs="黑体"/>
          <w:sz w:val="27"/>
          <w:szCs w:val="27"/>
        </w:rPr>
      </w:pPr>
      <w:r>
        <w:rPr>
          <w:rFonts w:ascii="黑体" w:hAnsi="黑体" w:eastAsia="黑体" w:cs="黑体"/>
          <w:spacing w:val="1"/>
          <w:sz w:val="27"/>
          <w:szCs w:val="27"/>
        </w:rPr>
        <w:t>5.1</w:t>
      </w:r>
      <w:r>
        <w:rPr>
          <w:rFonts w:ascii="黑体" w:hAnsi="黑体" w:eastAsia="黑体" w:cs="黑体"/>
          <w:spacing w:val="25"/>
          <w:sz w:val="27"/>
          <w:szCs w:val="27"/>
        </w:rPr>
        <w:t xml:space="preserve">  </w:t>
      </w:r>
      <w:r>
        <w:rPr>
          <w:rFonts w:ascii="黑体" w:hAnsi="黑体" w:eastAsia="黑体" w:cs="黑体"/>
          <w:spacing w:val="1"/>
          <w:sz w:val="27"/>
          <w:szCs w:val="27"/>
        </w:rPr>
        <w:t>型号标准化文件体系表</w:t>
      </w:r>
    </w:p>
    <w:p w14:paraId="560E19A4">
      <w:pPr>
        <w:pStyle w:val="2"/>
        <w:spacing w:before="87" w:line="219" w:lineRule="auto"/>
        <w:ind w:left="570"/>
      </w:pPr>
      <w:r>
        <w:rPr>
          <w:spacing w:val="2"/>
        </w:rPr>
        <w:t>型号标准化文件体系表应符合下列要求：</w:t>
      </w:r>
    </w:p>
    <w:p w14:paraId="0DA56631">
      <w:pPr>
        <w:pStyle w:val="2"/>
        <w:spacing w:before="39" w:line="260" w:lineRule="auto"/>
        <w:ind w:right="118" w:firstLine="570"/>
      </w:pPr>
      <w:r>
        <w:rPr>
          <w:rFonts w:ascii="Times New Roman" w:hAnsi="Times New Roman" w:eastAsia="Times New Roman" w:cs="Times New Roman"/>
          <w:spacing w:val="3"/>
        </w:rPr>
        <w:t>a)</w:t>
      </w:r>
      <w:r>
        <w:rPr>
          <w:rFonts w:ascii="Times New Roman" w:hAnsi="Times New Roman" w:eastAsia="Times New Roman" w:cs="Times New Roman"/>
          <w:spacing w:val="79"/>
        </w:rPr>
        <w:t xml:space="preserve"> </w:t>
      </w:r>
      <w:r>
        <w:rPr>
          <w:spacing w:val="3"/>
        </w:rPr>
        <w:t>完整性，即型号标准化文件体系能满足型号标准化工作管理和技术的需</w:t>
      </w:r>
      <w:r>
        <w:t xml:space="preserve"> </w:t>
      </w:r>
      <w:r>
        <w:rPr>
          <w:spacing w:val="-8"/>
        </w:rPr>
        <w:t>要，满足研制各阶段、各方面标准化工作的需要；</w:t>
      </w:r>
    </w:p>
    <w:p w14:paraId="55BF20C7">
      <w:pPr>
        <w:pStyle w:val="2"/>
        <w:spacing w:before="47" w:line="264" w:lineRule="auto"/>
        <w:ind w:right="30" w:firstLine="570"/>
      </w:pPr>
      <w:r>
        <w:rPr>
          <w:rFonts w:ascii="Times New Roman" w:hAnsi="Times New Roman" w:eastAsia="Times New Roman" w:cs="Times New Roman"/>
          <w:spacing w:val="6"/>
        </w:rPr>
        <w:t>b)</w:t>
      </w:r>
      <w:r>
        <w:rPr>
          <w:rFonts w:ascii="Times New Roman" w:hAnsi="Times New Roman" w:eastAsia="Times New Roman" w:cs="Times New Roman"/>
          <w:spacing w:val="67"/>
        </w:rPr>
        <w:t xml:space="preserve"> </w:t>
      </w:r>
      <w:r>
        <w:rPr>
          <w:spacing w:val="6"/>
        </w:rPr>
        <w:t>动态性，即型号标准化文件体系要随产</w:t>
      </w:r>
      <w:r>
        <w:rPr>
          <w:spacing w:val="5"/>
        </w:rPr>
        <w:t>品研制阶段适时形成新的文件；</w:t>
      </w:r>
      <w:r>
        <w:t xml:space="preserve"> </w:t>
      </w:r>
      <w:r>
        <w:rPr>
          <w:spacing w:val="2"/>
        </w:rPr>
        <w:t>已形成的文件要随研制深入修改完善；</w:t>
      </w:r>
    </w:p>
    <w:p w14:paraId="402BB8AE">
      <w:pPr>
        <w:pStyle w:val="2"/>
        <w:spacing w:before="58" w:line="257" w:lineRule="auto"/>
        <w:ind w:right="121" w:firstLine="570"/>
      </w:pPr>
      <w:r>
        <w:rPr>
          <w:rFonts w:ascii="Times New Roman" w:hAnsi="Times New Roman" w:eastAsia="Times New Roman" w:cs="Times New Roman"/>
          <w:spacing w:val="4"/>
        </w:rPr>
        <w:t>c)</w:t>
      </w:r>
      <w:r>
        <w:rPr>
          <w:rFonts w:ascii="Times New Roman" w:hAnsi="Times New Roman" w:eastAsia="Times New Roman" w:cs="Times New Roman"/>
          <w:spacing w:val="52"/>
        </w:rPr>
        <w:t xml:space="preserve"> </w:t>
      </w:r>
      <w:r>
        <w:rPr>
          <w:spacing w:val="4"/>
        </w:rPr>
        <w:t>协调性，即型号标准化文件体系中的文件在项目、</w:t>
      </w:r>
      <w:r>
        <w:rPr>
          <w:spacing w:val="3"/>
        </w:rPr>
        <w:t>内容和要求等方面要</w:t>
      </w:r>
      <w:r>
        <w:t xml:space="preserve"> </w:t>
      </w:r>
      <w:r>
        <w:rPr>
          <w:spacing w:val="3"/>
        </w:rPr>
        <w:t>做到和相关文件协调一致。</w:t>
      </w:r>
    </w:p>
    <w:p w14:paraId="30ACDF8E">
      <w:pPr>
        <w:pStyle w:val="2"/>
        <w:spacing w:before="99" w:line="219" w:lineRule="auto"/>
        <w:ind w:left="570"/>
      </w:pPr>
      <w:r>
        <w:rPr>
          <w:spacing w:val="2"/>
        </w:rPr>
        <w:t>型号标准化文件体系表的构建程序如下：</w:t>
      </w:r>
    </w:p>
    <w:p w14:paraId="0F270383">
      <w:pPr>
        <w:pStyle w:val="2"/>
        <w:spacing w:before="52" w:line="263" w:lineRule="auto"/>
        <w:ind w:right="122" w:firstLine="570"/>
      </w:pPr>
      <w:r>
        <w:rPr>
          <w:rFonts w:ascii="Times New Roman" w:hAnsi="Times New Roman" w:eastAsia="Times New Roman" w:cs="Times New Roman"/>
          <w:spacing w:val="3"/>
        </w:rPr>
        <w:t>a)</w:t>
      </w:r>
      <w:r>
        <w:rPr>
          <w:rFonts w:ascii="Times New Roman" w:hAnsi="Times New Roman" w:eastAsia="Times New Roman" w:cs="Times New Roman"/>
          <w:spacing w:val="75"/>
        </w:rPr>
        <w:t xml:space="preserve"> </w:t>
      </w:r>
      <w:r>
        <w:rPr>
          <w:spacing w:val="3"/>
        </w:rPr>
        <w:t>在研制的方案阶段，根据产品复杂程度和研制生产需要，进行型号标准</w:t>
      </w:r>
      <w:r>
        <w:t xml:space="preserve"> </w:t>
      </w:r>
      <w:r>
        <w:rPr>
          <w:spacing w:val="5"/>
        </w:rPr>
        <w:t>化文件的需求分析。需求分析包括管理和技术两个方面，覆盖从方案阶段到设</w:t>
      </w:r>
      <w:r>
        <w:rPr>
          <w:spacing w:val="11"/>
        </w:rPr>
        <w:t xml:space="preserve"> </w:t>
      </w:r>
      <w:r>
        <w:rPr>
          <w:spacing w:val="5"/>
        </w:rPr>
        <w:t>计定型阶段对标准化文件的需求。还应根据现有资源条件分析直接采用现有文</w:t>
      </w:r>
      <w:r>
        <w:rPr>
          <w:spacing w:val="13"/>
        </w:rPr>
        <w:t xml:space="preserve"> </w:t>
      </w:r>
      <w:r>
        <w:rPr>
          <w:spacing w:val="-5"/>
        </w:rPr>
        <w:t>件或制定新文件的可能性、紧迫性；</w:t>
      </w:r>
    </w:p>
    <w:p w14:paraId="27E84BEF">
      <w:pPr>
        <w:pStyle w:val="2"/>
        <w:spacing w:before="89"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73"/>
          <w:w w:val="101"/>
        </w:rPr>
        <w:t xml:space="preserve"> </w:t>
      </w:r>
      <w:r>
        <w:rPr>
          <w:spacing w:val="4"/>
        </w:rPr>
        <w:t>在需求分析的基础上编制初步的型号标准化文件体系表；</w:t>
      </w:r>
    </w:p>
    <w:p w14:paraId="54DC7DFC">
      <w:pPr>
        <w:pStyle w:val="2"/>
        <w:spacing w:before="99" w:line="258" w:lineRule="auto"/>
        <w:ind w:firstLine="570"/>
      </w:pPr>
      <w:r>
        <w:rPr>
          <w:rFonts w:ascii="Times New Roman" w:hAnsi="Times New Roman" w:eastAsia="Times New Roman" w:cs="Times New Roman"/>
          <w:spacing w:val="16"/>
        </w:rPr>
        <w:t>c)</w:t>
      </w:r>
      <w:r>
        <w:rPr>
          <w:rFonts w:ascii="Times New Roman" w:hAnsi="Times New Roman" w:eastAsia="Times New Roman" w:cs="Times New Roman"/>
          <w:spacing w:val="62"/>
          <w:w w:val="101"/>
        </w:rPr>
        <w:t xml:space="preserve"> </w:t>
      </w:r>
      <w:r>
        <w:rPr>
          <w:spacing w:val="16"/>
        </w:rPr>
        <w:t>初步的型号标准化文件体系表作为安排文件编制和</w:t>
      </w:r>
      <w:r>
        <w:rPr>
          <w:spacing w:val="15"/>
        </w:rPr>
        <w:t>组织实施的根据。</w:t>
      </w:r>
      <w:r>
        <w:t xml:space="preserve"> </w:t>
      </w:r>
      <w:r>
        <w:rPr>
          <w:spacing w:val="-3"/>
        </w:rPr>
        <w:t>随着研制进展，调整和补充编制需要的文件，逐步形成满足产品定型和生产需要</w:t>
      </w:r>
      <w:r>
        <w:rPr>
          <w:spacing w:val="8"/>
        </w:rPr>
        <w:t xml:space="preserve">  </w:t>
      </w:r>
      <w:r>
        <w:t>的型号标准化文件体系；</w:t>
      </w:r>
    </w:p>
    <w:p w14:paraId="5C561D66">
      <w:pPr>
        <w:pStyle w:val="2"/>
        <w:spacing w:before="79" w:line="256" w:lineRule="auto"/>
        <w:ind w:right="98" w:firstLine="570"/>
      </w:pPr>
      <w:r>
        <w:rPr>
          <w:rFonts w:ascii="Times New Roman" w:hAnsi="Times New Roman" w:eastAsia="Times New Roman" w:cs="Times New Roman"/>
          <w:spacing w:val="11"/>
        </w:rPr>
        <w:t xml:space="preserve">d)  </w:t>
      </w:r>
      <w:r>
        <w:rPr>
          <w:spacing w:val="11"/>
        </w:rPr>
        <w:t xml:space="preserve">每一项需要新编制的型号标准化文件应作为研制各阶段标准化工作内 </w:t>
      </w:r>
      <w:r>
        <w:rPr>
          <w:spacing w:val="10"/>
        </w:rPr>
        <w:t>容(见第7章)纳入型号标准化文件制定计</w:t>
      </w:r>
      <w:r>
        <w:rPr>
          <w:spacing w:val="9"/>
        </w:rPr>
        <w:t>划。</w:t>
      </w:r>
    </w:p>
    <w:p w14:paraId="43382673">
      <w:pPr>
        <w:pStyle w:val="2"/>
        <w:spacing w:before="82" w:line="219" w:lineRule="auto"/>
        <w:ind w:left="570"/>
      </w:pPr>
      <w:r>
        <w:rPr>
          <w:spacing w:val="8"/>
        </w:rPr>
        <w:t>型号标准化文件体系表的表述形式参见表4.1。</w:t>
      </w:r>
    </w:p>
    <w:p w14:paraId="382B49EF">
      <w:pPr>
        <w:spacing w:before="97" w:line="222" w:lineRule="auto"/>
        <w:rPr>
          <w:rFonts w:ascii="黑体" w:hAnsi="黑体" w:eastAsia="黑体" w:cs="黑体"/>
          <w:sz w:val="27"/>
          <w:szCs w:val="27"/>
        </w:rPr>
      </w:pPr>
      <w:r>
        <w:rPr>
          <w:rFonts w:ascii="黑体" w:hAnsi="黑体" w:eastAsia="黑体" w:cs="黑体"/>
          <w:spacing w:val="4"/>
          <w:sz w:val="27"/>
          <w:szCs w:val="27"/>
        </w:rPr>
        <w:t>5.2  型号标准化文件项目表</w:t>
      </w:r>
    </w:p>
    <w:p w14:paraId="4FFED1B8">
      <w:pPr>
        <w:pStyle w:val="2"/>
        <w:spacing w:before="96" w:line="276" w:lineRule="auto"/>
        <w:ind w:right="122" w:firstLine="570"/>
      </w:pPr>
      <w:r>
        <w:rPr>
          <w:spacing w:val="6"/>
        </w:rPr>
        <w:t>根据确定的型号标准化文件体系表编制型号标准</w:t>
      </w:r>
      <w:r>
        <w:rPr>
          <w:spacing w:val="5"/>
        </w:rPr>
        <w:t>化文件项目表，型号标准</w:t>
      </w:r>
      <w:r>
        <w:t xml:space="preserve"> </w:t>
      </w:r>
      <w:r>
        <w:rPr>
          <w:spacing w:val="3"/>
        </w:rPr>
        <w:t>化文件项目表一般包括下列内容：</w:t>
      </w:r>
    </w:p>
    <w:p w14:paraId="32EA4A06">
      <w:pPr>
        <w:pStyle w:val="2"/>
        <w:spacing w:before="5" w:line="219" w:lineRule="auto"/>
        <w:ind w:left="570"/>
      </w:pPr>
      <w:r>
        <w:rPr>
          <w:rFonts w:ascii="Times New Roman" w:hAnsi="Times New Roman" w:eastAsia="Times New Roman" w:cs="Times New Roman"/>
          <w:spacing w:val="11"/>
        </w:rPr>
        <w:t>a</w:t>
      </w:r>
      <w:r>
        <w:rPr>
          <w:spacing w:val="11"/>
        </w:rPr>
        <w:t>)文件名称；</w:t>
      </w:r>
    </w:p>
    <w:p w14:paraId="60E15C59">
      <w:pPr>
        <w:pStyle w:val="2"/>
        <w:spacing w:before="49" w:line="212" w:lineRule="auto"/>
        <w:ind w:left="570"/>
      </w:pPr>
      <w:r>
        <w:rPr>
          <w:rFonts w:ascii="Times New Roman" w:hAnsi="Times New Roman" w:eastAsia="Times New Roman" w:cs="Times New Roman"/>
        </w:rPr>
        <w:t>b)</w:t>
      </w:r>
      <w:r>
        <w:rPr>
          <w:rFonts w:ascii="Times New Roman" w:hAnsi="Times New Roman" w:eastAsia="Times New Roman" w:cs="Times New Roman"/>
          <w:spacing w:val="71"/>
        </w:rPr>
        <w:t xml:space="preserve"> </w:t>
      </w:r>
      <w:r>
        <w:t>文件作用；</w:t>
      </w:r>
    </w:p>
    <w:p w14:paraId="2317D989">
      <w:pPr>
        <w:pStyle w:val="2"/>
        <w:spacing w:before="109" w:line="212" w:lineRule="auto"/>
        <w:ind w:left="570"/>
      </w:pPr>
      <w:r>
        <w:rPr>
          <w:rFonts w:ascii="Times New Roman" w:hAnsi="Times New Roman" w:eastAsia="Times New Roman" w:cs="Times New Roman"/>
          <w:spacing w:val="2"/>
        </w:rPr>
        <w:t>c)</w:t>
      </w:r>
      <w:r>
        <w:rPr>
          <w:rFonts w:ascii="Times New Roman" w:hAnsi="Times New Roman" w:eastAsia="Times New Roman" w:cs="Times New Roman"/>
          <w:spacing w:val="62"/>
          <w:w w:val="101"/>
        </w:rPr>
        <w:t xml:space="preserve"> </w:t>
      </w:r>
      <w:r>
        <w:rPr>
          <w:spacing w:val="2"/>
        </w:rPr>
        <w:t>文件界面和适用范围；</w:t>
      </w:r>
    </w:p>
    <w:p w14:paraId="60E5D57F">
      <w:pPr>
        <w:pStyle w:val="2"/>
        <w:spacing w:before="80" w:line="212" w:lineRule="auto"/>
        <w:ind w:left="570"/>
      </w:pPr>
      <w:r>
        <w:rPr>
          <w:rFonts w:ascii="Times New Roman" w:hAnsi="Times New Roman" w:eastAsia="Times New Roman" w:cs="Times New Roman"/>
        </w:rPr>
        <w:t>d)</w:t>
      </w:r>
      <w:r>
        <w:rPr>
          <w:rFonts w:ascii="Times New Roman" w:hAnsi="Times New Roman" w:eastAsia="Times New Roman" w:cs="Times New Roman"/>
          <w:spacing w:val="71"/>
        </w:rPr>
        <w:t xml:space="preserve"> </w:t>
      </w:r>
      <w:r>
        <w:t>文件主要内容：</w:t>
      </w:r>
    </w:p>
    <w:p w14:paraId="3EA3FAE3">
      <w:pPr>
        <w:pStyle w:val="2"/>
        <w:spacing w:before="151" w:line="219" w:lineRule="auto"/>
        <w:ind w:left="570"/>
      </w:pPr>
      <w:r>
        <w:rPr>
          <w:rFonts w:ascii="Times New Roman" w:hAnsi="Times New Roman" w:eastAsia="Times New Roman" w:cs="Times New Roman"/>
          <w:spacing w:val="5"/>
        </w:rPr>
        <w:t>e</w:t>
      </w:r>
      <w:r>
        <w:rPr>
          <w:rFonts w:ascii="Times New Roman" w:hAnsi="Times New Roman" w:eastAsia="Times New Roman" w:cs="Times New Roman"/>
          <w:spacing w:val="-19"/>
        </w:rPr>
        <w:t xml:space="preserve"> </w:t>
      </w:r>
      <w:r>
        <w:rPr>
          <w:spacing w:val="5"/>
        </w:rPr>
        <w:t>)与相关文件的协调说明等。</w:t>
      </w:r>
    </w:p>
    <w:p w14:paraId="411F8B6A">
      <w:pPr>
        <w:spacing w:before="20" w:line="368" w:lineRule="exact"/>
        <w:rPr>
          <w:rFonts w:ascii="黑体" w:hAnsi="黑体" w:eastAsia="黑体" w:cs="黑体"/>
          <w:sz w:val="27"/>
          <w:szCs w:val="27"/>
        </w:rPr>
      </w:pPr>
      <w:r>
        <w:rPr>
          <w:rFonts w:ascii="Arial" w:hAnsi="Arial" w:eastAsia="Arial" w:cs="Arial"/>
          <w:spacing w:val="1"/>
          <w:position w:val="1"/>
          <w:sz w:val="27"/>
          <w:szCs w:val="27"/>
        </w:rPr>
        <w:t>6</w:t>
      </w:r>
      <w:r>
        <w:rPr>
          <w:rFonts w:ascii="Arial" w:hAnsi="Arial" w:eastAsia="Arial" w:cs="Arial"/>
          <w:position w:val="1"/>
          <w:sz w:val="27"/>
          <w:szCs w:val="27"/>
        </w:rPr>
        <w:t xml:space="preserve">    </w:t>
      </w:r>
      <w:r>
        <w:rPr>
          <w:rFonts w:ascii="黑体" w:hAnsi="黑体" w:eastAsia="黑体" w:cs="黑体"/>
          <w:spacing w:val="1"/>
          <w:position w:val="1"/>
          <w:sz w:val="27"/>
          <w:szCs w:val="27"/>
        </w:rPr>
        <w:t>图样和技术文件要求</w:t>
      </w:r>
    </w:p>
    <w:p w14:paraId="1FBE34A4">
      <w:pPr>
        <w:pStyle w:val="2"/>
        <w:spacing w:before="92" w:line="219" w:lineRule="auto"/>
        <w:ind w:left="570"/>
      </w:pPr>
      <w:r>
        <w:rPr>
          <w:spacing w:val="2"/>
        </w:rPr>
        <w:t>图样和技术文件要求一般包括下列内容：</w:t>
      </w:r>
    </w:p>
    <w:p w14:paraId="7AA03E20">
      <w:pPr>
        <w:pStyle w:val="2"/>
        <w:spacing w:before="69" w:line="212" w:lineRule="auto"/>
        <w:ind w:left="570"/>
      </w:pPr>
      <w:r>
        <w:rPr>
          <w:rFonts w:ascii="Times New Roman" w:hAnsi="Times New Roman" w:eastAsia="Times New Roman" w:cs="Times New Roman"/>
          <w:spacing w:val="-6"/>
        </w:rPr>
        <w:t xml:space="preserve">a)  </w:t>
      </w:r>
      <w:r>
        <w:rPr>
          <w:spacing w:val="-6"/>
        </w:rPr>
        <w:t>图样和技术文件的完整性、正确性、统一性要求；</w:t>
      </w:r>
    </w:p>
    <w:p w14:paraId="4147C9F4">
      <w:pPr>
        <w:pStyle w:val="2"/>
        <w:spacing w:before="90" w:line="212" w:lineRule="auto"/>
        <w:ind w:left="570"/>
      </w:pPr>
      <w:r>
        <w:rPr>
          <w:rFonts w:ascii="Times New Roman" w:hAnsi="Times New Roman" w:eastAsia="Times New Roman" w:cs="Times New Roman"/>
          <w:spacing w:val="3"/>
        </w:rPr>
        <w:t xml:space="preserve">b)  </w:t>
      </w:r>
      <w:r>
        <w:rPr>
          <w:spacing w:val="3"/>
        </w:rPr>
        <w:t>图样和技术文件的管理要求。</w:t>
      </w:r>
    </w:p>
    <w:p w14:paraId="5E22FBDC">
      <w:pPr>
        <w:spacing w:before="104" w:line="327" w:lineRule="exact"/>
        <w:rPr>
          <w:rFonts w:ascii="黑体" w:hAnsi="黑体" w:eastAsia="黑体" w:cs="黑体"/>
          <w:sz w:val="24"/>
          <w:szCs w:val="24"/>
        </w:rPr>
      </w:pPr>
      <w:r>
        <w:rPr>
          <w:rFonts w:ascii="Arial" w:hAnsi="Arial" w:eastAsia="Arial" w:cs="Arial"/>
          <w:spacing w:val="9"/>
          <w:position w:val="1"/>
          <w:sz w:val="24"/>
          <w:szCs w:val="24"/>
        </w:rPr>
        <w:t xml:space="preserve">6.1     </w:t>
      </w:r>
      <w:r>
        <w:rPr>
          <w:rFonts w:ascii="黑体" w:hAnsi="黑体" w:eastAsia="黑体" w:cs="黑体"/>
          <w:spacing w:val="9"/>
          <w:position w:val="1"/>
          <w:sz w:val="24"/>
          <w:szCs w:val="24"/>
        </w:rPr>
        <w:t>完整性、正确性、统一性要求</w:t>
      </w:r>
    </w:p>
    <w:p w14:paraId="515BCE98">
      <w:pPr>
        <w:spacing w:before="106" w:line="221" w:lineRule="auto"/>
        <w:rPr>
          <w:rFonts w:ascii="黑体" w:hAnsi="黑体" w:eastAsia="黑体" w:cs="黑体"/>
          <w:sz w:val="25"/>
          <w:szCs w:val="25"/>
        </w:rPr>
      </w:pPr>
      <w:r>
        <w:rPr>
          <w:rFonts w:ascii="黑体" w:hAnsi="黑体" w:eastAsia="黑体" w:cs="黑体"/>
          <w:spacing w:val="10"/>
          <w:sz w:val="25"/>
          <w:szCs w:val="25"/>
        </w:rPr>
        <w:t>6.1.1</w:t>
      </w:r>
      <w:r>
        <w:rPr>
          <w:rFonts w:ascii="黑体" w:hAnsi="黑体" w:eastAsia="黑体" w:cs="黑体"/>
          <w:spacing w:val="58"/>
          <w:sz w:val="25"/>
          <w:szCs w:val="25"/>
        </w:rPr>
        <w:t xml:space="preserve">  </w:t>
      </w:r>
      <w:r>
        <w:rPr>
          <w:rFonts w:ascii="黑体" w:hAnsi="黑体" w:eastAsia="黑体" w:cs="黑体"/>
          <w:spacing w:val="10"/>
          <w:sz w:val="25"/>
          <w:szCs w:val="25"/>
        </w:rPr>
        <w:t>完整性要求</w:t>
      </w:r>
    </w:p>
    <w:p w14:paraId="1315A064">
      <w:pPr>
        <w:spacing w:line="221" w:lineRule="auto"/>
        <w:rPr>
          <w:rFonts w:ascii="黑体" w:hAnsi="黑体" w:eastAsia="黑体" w:cs="黑体"/>
          <w:sz w:val="25"/>
          <w:szCs w:val="25"/>
        </w:rPr>
        <w:sectPr>
          <w:footerReference r:id="rId299" w:type="default"/>
          <w:pgSz w:w="11910" w:h="17130"/>
          <w:pgMar w:top="1456" w:right="754" w:bottom="1587" w:left="1640" w:header="0" w:footer="1370" w:gutter="0"/>
          <w:cols w:space="720" w:num="1"/>
        </w:sectPr>
      </w:pPr>
    </w:p>
    <w:p w14:paraId="02A9F014">
      <w:pPr>
        <w:pStyle w:val="2"/>
        <w:spacing w:before="96" w:line="293" w:lineRule="auto"/>
        <w:ind w:firstLine="550"/>
        <w:jc w:val="both"/>
      </w:pPr>
      <w:r>
        <w:rPr>
          <w:spacing w:val="-10"/>
        </w:rPr>
        <w:t>应按研制生产全过程和设计、试验、装配、验收、出厂包装、运输</w:t>
      </w:r>
      <w:r>
        <w:rPr>
          <w:spacing w:val="-11"/>
        </w:rPr>
        <w:t>各方面的需</w:t>
      </w:r>
      <w:r>
        <w:t xml:space="preserve"> </w:t>
      </w:r>
      <w:r>
        <w:rPr>
          <w:spacing w:val="-3"/>
        </w:rPr>
        <w:t>要，对图样成套性有关标准进行合理剪裁，制定产品图样及技术文件成套性要求</w:t>
      </w:r>
      <w:r>
        <w:rPr>
          <w:spacing w:val="16"/>
        </w:rPr>
        <w:t xml:space="preserve"> </w:t>
      </w:r>
      <w:r>
        <w:rPr>
          <w:spacing w:val="-1"/>
        </w:rPr>
        <w:t>项目表。</w:t>
      </w:r>
    </w:p>
    <w:p w14:paraId="69085F9A">
      <w:pPr>
        <w:spacing w:line="222" w:lineRule="auto"/>
        <w:ind w:left="2820"/>
        <w:rPr>
          <w:rFonts w:ascii="仿宋" w:hAnsi="仿宋" w:eastAsia="仿宋" w:cs="仿宋"/>
          <w:sz w:val="24"/>
          <w:szCs w:val="24"/>
        </w:rPr>
      </w:pPr>
      <w:r>
        <w:rPr>
          <w:rFonts w:ascii="仿宋" w:hAnsi="仿宋" w:eastAsia="仿宋" w:cs="仿宋"/>
          <w:spacing w:val="22"/>
          <w:sz w:val="24"/>
          <w:szCs w:val="24"/>
        </w:rPr>
        <w:t>表4</w:t>
      </w:r>
      <w:r>
        <w:rPr>
          <w:rFonts w:ascii="仿宋" w:hAnsi="仿宋" w:eastAsia="仿宋" w:cs="仿宋"/>
          <w:spacing w:val="-44"/>
          <w:sz w:val="24"/>
          <w:szCs w:val="24"/>
        </w:rPr>
        <w:t xml:space="preserve"> </w:t>
      </w:r>
      <w:r>
        <w:rPr>
          <w:rFonts w:ascii="仿宋" w:hAnsi="仿宋" w:eastAsia="仿宋" w:cs="仿宋"/>
          <w:spacing w:val="22"/>
          <w:sz w:val="24"/>
          <w:szCs w:val="24"/>
        </w:rPr>
        <w:t>.</w:t>
      </w:r>
      <w:r>
        <w:rPr>
          <w:rFonts w:ascii="仿宋" w:hAnsi="仿宋" w:eastAsia="仿宋" w:cs="仿宋"/>
          <w:spacing w:val="-40"/>
          <w:sz w:val="24"/>
          <w:szCs w:val="24"/>
        </w:rPr>
        <w:t xml:space="preserve"> </w:t>
      </w:r>
      <w:r>
        <w:rPr>
          <w:rFonts w:ascii="仿宋" w:hAnsi="仿宋" w:eastAsia="仿宋" w:cs="仿宋"/>
          <w:spacing w:val="22"/>
          <w:sz w:val="24"/>
          <w:szCs w:val="24"/>
        </w:rPr>
        <w:t>1  型号标准化文件体系表</w:t>
      </w:r>
    </w:p>
    <w:p w14:paraId="190323AA">
      <w:pPr>
        <w:spacing w:line="118" w:lineRule="exact"/>
      </w:pPr>
    </w:p>
    <w:tbl>
      <w:tblPr>
        <w:tblStyle w:val="5"/>
        <w:tblW w:w="934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4"/>
        <w:gridCol w:w="619"/>
        <w:gridCol w:w="3346"/>
        <w:gridCol w:w="829"/>
        <w:gridCol w:w="839"/>
        <w:gridCol w:w="1039"/>
        <w:gridCol w:w="1414"/>
      </w:tblGrid>
      <w:tr w14:paraId="248A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254" w:type="dxa"/>
            <w:vMerge w:val="restart"/>
            <w:tcBorders>
              <w:bottom w:val="nil"/>
            </w:tcBorders>
            <w:vAlign w:val="top"/>
          </w:tcPr>
          <w:p w14:paraId="656725EF">
            <w:pPr>
              <w:spacing w:before="303" w:line="219" w:lineRule="auto"/>
              <w:ind w:left="215"/>
              <w:rPr>
                <w:rFonts w:ascii="宋体" w:hAnsi="宋体" w:eastAsia="宋体" w:cs="宋体"/>
                <w:sz w:val="20"/>
                <w:szCs w:val="20"/>
              </w:rPr>
            </w:pPr>
            <w:r>
              <w:rPr>
                <w:rFonts w:ascii="宋体" w:hAnsi="宋体" w:eastAsia="宋体" w:cs="宋体"/>
                <w:spacing w:val="4"/>
                <w:sz w:val="20"/>
                <w:szCs w:val="20"/>
              </w:rPr>
              <w:t>文件类别</w:t>
            </w:r>
          </w:p>
        </w:tc>
        <w:tc>
          <w:tcPr>
            <w:tcW w:w="619" w:type="dxa"/>
            <w:vMerge w:val="restart"/>
            <w:tcBorders>
              <w:bottom w:val="nil"/>
            </w:tcBorders>
            <w:vAlign w:val="top"/>
          </w:tcPr>
          <w:p w14:paraId="0AD98FBB">
            <w:pPr>
              <w:spacing w:before="304" w:line="221" w:lineRule="auto"/>
              <w:ind w:left="101"/>
              <w:rPr>
                <w:rFonts w:ascii="宋体" w:hAnsi="宋体" w:eastAsia="宋体" w:cs="宋体"/>
                <w:sz w:val="20"/>
                <w:szCs w:val="20"/>
              </w:rPr>
            </w:pPr>
            <w:r>
              <w:rPr>
                <w:rFonts w:ascii="宋体" w:hAnsi="宋体" w:eastAsia="宋体" w:cs="宋体"/>
                <w:spacing w:val="-2"/>
                <w:sz w:val="20"/>
                <w:szCs w:val="20"/>
              </w:rPr>
              <w:t>序号</w:t>
            </w:r>
          </w:p>
        </w:tc>
        <w:tc>
          <w:tcPr>
            <w:tcW w:w="3346" w:type="dxa"/>
            <w:vMerge w:val="restart"/>
            <w:tcBorders>
              <w:bottom w:val="nil"/>
            </w:tcBorders>
            <w:vAlign w:val="top"/>
          </w:tcPr>
          <w:p w14:paraId="7F163061">
            <w:pPr>
              <w:spacing w:before="303" w:line="219" w:lineRule="auto"/>
              <w:ind w:left="1252"/>
              <w:rPr>
                <w:rFonts w:ascii="宋体" w:hAnsi="宋体" w:eastAsia="宋体" w:cs="宋体"/>
                <w:sz w:val="20"/>
                <w:szCs w:val="20"/>
              </w:rPr>
            </w:pPr>
            <w:r>
              <w:rPr>
                <w:rFonts w:ascii="宋体" w:hAnsi="宋体" w:eastAsia="宋体" w:cs="宋体"/>
                <w:spacing w:val="-2"/>
                <w:sz w:val="20"/>
                <w:szCs w:val="20"/>
              </w:rPr>
              <w:t>文件名称</w:t>
            </w:r>
          </w:p>
        </w:tc>
        <w:tc>
          <w:tcPr>
            <w:tcW w:w="829" w:type="dxa"/>
            <w:vMerge w:val="restart"/>
            <w:tcBorders>
              <w:bottom w:val="nil"/>
            </w:tcBorders>
            <w:vAlign w:val="top"/>
          </w:tcPr>
          <w:p w14:paraId="05B13541">
            <w:pPr>
              <w:spacing w:before="133" w:line="220" w:lineRule="auto"/>
              <w:ind w:left="206"/>
              <w:rPr>
                <w:rFonts w:ascii="宋体" w:hAnsi="宋体" w:eastAsia="宋体" w:cs="宋体"/>
                <w:sz w:val="20"/>
                <w:szCs w:val="20"/>
              </w:rPr>
            </w:pPr>
            <w:r>
              <w:rPr>
                <w:rFonts w:ascii="宋体" w:hAnsi="宋体" w:eastAsia="宋体" w:cs="宋体"/>
                <w:spacing w:val="-3"/>
                <w:sz w:val="20"/>
                <w:szCs w:val="20"/>
              </w:rPr>
              <w:t>方案</w:t>
            </w:r>
          </w:p>
          <w:p w14:paraId="55558071">
            <w:pPr>
              <w:spacing w:before="102" w:line="221" w:lineRule="auto"/>
              <w:ind w:left="206"/>
              <w:rPr>
                <w:rFonts w:ascii="宋体" w:hAnsi="宋体" w:eastAsia="宋体" w:cs="宋体"/>
                <w:sz w:val="20"/>
                <w:szCs w:val="20"/>
              </w:rPr>
            </w:pPr>
            <w:r>
              <w:rPr>
                <w:rFonts w:ascii="宋体" w:hAnsi="宋体" w:eastAsia="宋体" w:cs="宋体"/>
                <w:spacing w:val="3"/>
                <w:sz w:val="20"/>
                <w:szCs w:val="20"/>
              </w:rPr>
              <w:t>阶段</w:t>
            </w:r>
          </w:p>
        </w:tc>
        <w:tc>
          <w:tcPr>
            <w:tcW w:w="1878" w:type="dxa"/>
            <w:gridSpan w:val="2"/>
            <w:vAlign w:val="top"/>
          </w:tcPr>
          <w:p w14:paraId="2EA6E044">
            <w:pPr>
              <w:spacing w:before="103" w:line="220" w:lineRule="auto"/>
              <w:ind w:left="327"/>
              <w:rPr>
                <w:rFonts w:ascii="宋体" w:hAnsi="宋体" w:eastAsia="宋体" w:cs="宋体"/>
                <w:sz w:val="20"/>
                <w:szCs w:val="20"/>
              </w:rPr>
            </w:pPr>
            <w:r>
              <w:rPr>
                <w:rFonts w:ascii="宋体" w:hAnsi="宋体" w:eastAsia="宋体" w:cs="宋体"/>
                <w:spacing w:val="-2"/>
                <w:sz w:val="20"/>
                <w:szCs w:val="20"/>
              </w:rPr>
              <w:t>工程研制阶段</w:t>
            </w:r>
          </w:p>
        </w:tc>
        <w:tc>
          <w:tcPr>
            <w:tcW w:w="1414" w:type="dxa"/>
            <w:vMerge w:val="restart"/>
            <w:tcBorders>
              <w:bottom w:val="nil"/>
            </w:tcBorders>
            <w:vAlign w:val="top"/>
          </w:tcPr>
          <w:p w14:paraId="5C691ADF">
            <w:pPr>
              <w:spacing w:before="123" w:line="220" w:lineRule="auto"/>
              <w:ind w:left="299"/>
              <w:rPr>
                <w:rFonts w:ascii="宋体" w:hAnsi="宋体" w:eastAsia="宋体" w:cs="宋体"/>
                <w:sz w:val="20"/>
                <w:szCs w:val="20"/>
              </w:rPr>
            </w:pPr>
            <w:r>
              <w:rPr>
                <w:rFonts w:ascii="宋体" w:hAnsi="宋体" w:eastAsia="宋体" w:cs="宋体"/>
                <w:spacing w:val="3"/>
                <w:sz w:val="20"/>
                <w:szCs w:val="20"/>
              </w:rPr>
              <w:t>设计定型</w:t>
            </w:r>
          </w:p>
          <w:p w14:paraId="1C0738EB">
            <w:pPr>
              <w:spacing w:before="102" w:line="221" w:lineRule="auto"/>
              <w:ind w:left="499"/>
              <w:rPr>
                <w:rFonts w:ascii="宋体" w:hAnsi="宋体" w:eastAsia="宋体" w:cs="宋体"/>
                <w:sz w:val="20"/>
                <w:szCs w:val="20"/>
              </w:rPr>
            </w:pPr>
            <w:r>
              <w:rPr>
                <w:rFonts w:ascii="宋体" w:hAnsi="宋体" w:eastAsia="宋体" w:cs="宋体"/>
                <w:spacing w:val="3"/>
                <w:sz w:val="20"/>
                <w:szCs w:val="20"/>
              </w:rPr>
              <w:t>阶段</w:t>
            </w:r>
          </w:p>
        </w:tc>
      </w:tr>
      <w:tr w14:paraId="406DD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254" w:type="dxa"/>
            <w:vMerge w:val="continue"/>
            <w:tcBorders>
              <w:top w:val="nil"/>
            </w:tcBorders>
            <w:vAlign w:val="top"/>
          </w:tcPr>
          <w:p w14:paraId="0080AADB">
            <w:pPr>
              <w:pStyle w:val="6"/>
            </w:pPr>
          </w:p>
        </w:tc>
        <w:tc>
          <w:tcPr>
            <w:tcW w:w="619" w:type="dxa"/>
            <w:vMerge w:val="continue"/>
            <w:tcBorders>
              <w:top w:val="nil"/>
            </w:tcBorders>
            <w:vAlign w:val="top"/>
          </w:tcPr>
          <w:p w14:paraId="2A59888F">
            <w:pPr>
              <w:pStyle w:val="6"/>
            </w:pPr>
          </w:p>
        </w:tc>
        <w:tc>
          <w:tcPr>
            <w:tcW w:w="3346" w:type="dxa"/>
            <w:vMerge w:val="continue"/>
            <w:tcBorders>
              <w:top w:val="nil"/>
            </w:tcBorders>
            <w:vAlign w:val="top"/>
          </w:tcPr>
          <w:p w14:paraId="76A08F27">
            <w:pPr>
              <w:pStyle w:val="6"/>
            </w:pPr>
          </w:p>
        </w:tc>
        <w:tc>
          <w:tcPr>
            <w:tcW w:w="829" w:type="dxa"/>
            <w:vMerge w:val="continue"/>
            <w:tcBorders>
              <w:top w:val="nil"/>
            </w:tcBorders>
            <w:vAlign w:val="top"/>
          </w:tcPr>
          <w:p w14:paraId="1D41D487">
            <w:pPr>
              <w:pStyle w:val="6"/>
            </w:pPr>
          </w:p>
        </w:tc>
        <w:tc>
          <w:tcPr>
            <w:tcW w:w="839" w:type="dxa"/>
            <w:vAlign w:val="top"/>
          </w:tcPr>
          <w:p w14:paraId="27EFD2D4">
            <w:pPr>
              <w:spacing w:before="99" w:line="219" w:lineRule="auto"/>
              <w:ind w:left="217"/>
              <w:rPr>
                <w:rFonts w:ascii="宋体" w:hAnsi="宋体" w:eastAsia="宋体" w:cs="宋体"/>
                <w:sz w:val="20"/>
                <w:szCs w:val="20"/>
              </w:rPr>
            </w:pPr>
            <w:r>
              <w:rPr>
                <w:rFonts w:ascii="宋体" w:hAnsi="宋体" w:eastAsia="宋体" w:cs="宋体"/>
                <w:spacing w:val="-2"/>
                <w:sz w:val="20"/>
                <w:szCs w:val="20"/>
              </w:rPr>
              <w:t>初样</w:t>
            </w:r>
          </w:p>
        </w:tc>
        <w:tc>
          <w:tcPr>
            <w:tcW w:w="1039" w:type="dxa"/>
            <w:vAlign w:val="top"/>
          </w:tcPr>
          <w:p w14:paraId="241B01CE">
            <w:pPr>
              <w:spacing w:before="99" w:line="219" w:lineRule="auto"/>
              <w:ind w:left="117"/>
              <w:rPr>
                <w:rFonts w:ascii="宋体" w:hAnsi="宋体" w:eastAsia="宋体" w:cs="宋体"/>
                <w:sz w:val="20"/>
                <w:szCs w:val="20"/>
              </w:rPr>
            </w:pPr>
            <w:r>
              <w:rPr>
                <w:rFonts w:ascii="宋体" w:hAnsi="宋体" w:eastAsia="宋体" w:cs="宋体"/>
                <w:spacing w:val="-2"/>
                <w:sz w:val="20"/>
                <w:szCs w:val="20"/>
              </w:rPr>
              <w:t>试样正样</w:t>
            </w:r>
          </w:p>
        </w:tc>
        <w:tc>
          <w:tcPr>
            <w:tcW w:w="1414" w:type="dxa"/>
            <w:vMerge w:val="continue"/>
            <w:tcBorders>
              <w:top w:val="nil"/>
            </w:tcBorders>
            <w:vAlign w:val="top"/>
          </w:tcPr>
          <w:p w14:paraId="296F9B9F">
            <w:pPr>
              <w:pStyle w:val="6"/>
            </w:pPr>
          </w:p>
        </w:tc>
      </w:tr>
      <w:tr w14:paraId="369DC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 w:hRule="atLeast"/>
        </w:trPr>
        <w:tc>
          <w:tcPr>
            <w:tcW w:w="1254" w:type="dxa"/>
            <w:vMerge w:val="restart"/>
            <w:tcBorders>
              <w:bottom w:val="nil"/>
            </w:tcBorders>
            <w:vAlign w:val="top"/>
          </w:tcPr>
          <w:p w14:paraId="343002FF">
            <w:pPr>
              <w:pStyle w:val="6"/>
              <w:spacing w:line="246" w:lineRule="auto"/>
            </w:pPr>
          </w:p>
          <w:p w14:paraId="215BCE2D">
            <w:pPr>
              <w:pStyle w:val="6"/>
              <w:spacing w:line="246" w:lineRule="auto"/>
            </w:pPr>
          </w:p>
          <w:p w14:paraId="72CC0712">
            <w:pPr>
              <w:pStyle w:val="6"/>
              <w:spacing w:line="246" w:lineRule="auto"/>
            </w:pPr>
          </w:p>
          <w:p w14:paraId="274B719C">
            <w:pPr>
              <w:pStyle w:val="6"/>
              <w:spacing w:line="246" w:lineRule="auto"/>
            </w:pPr>
          </w:p>
          <w:p w14:paraId="5A72F430">
            <w:pPr>
              <w:pStyle w:val="6"/>
              <w:spacing w:line="246" w:lineRule="auto"/>
            </w:pPr>
          </w:p>
          <w:p w14:paraId="0FA8D9D3">
            <w:pPr>
              <w:pStyle w:val="6"/>
              <w:spacing w:line="246" w:lineRule="auto"/>
            </w:pPr>
          </w:p>
          <w:p w14:paraId="49C818C3">
            <w:pPr>
              <w:spacing w:before="65" w:line="219" w:lineRule="auto"/>
              <w:ind w:left="215"/>
              <w:rPr>
                <w:rFonts w:ascii="宋体" w:hAnsi="宋体" w:eastAsia="宋体" w:cs="宋体"/>
                <w:sz w:val="20"/>
                <w:szCs w:val="20"/>
              </w:rPr>
            </w:pPr>
            <w:r>
              <w:rPr>
                <w:rFonts w:ascii="宋体" w:hAnsi="宋体" w:eastAsia="宋体" w:cs="宋体"/>
                <w:spacing w:val="2"/>
                <w:sz w:val="20"/>
                <w:szCs w:val="20"/>
              </w:rPr>
              <w:t>管理文件</w:t>
            </w:r>
          </w:p>
        </w:tc>
        <w:tc>
          <w:tcPr>
            <w:tcW w:w="619" w:type="dxa"/>
            <w:vMerge w:val="restart"/>
            <w:tcBorders>
              <w:bottom w:val="nil"/>
            </w:tcBorders>
            <w:vAlign w:val="top"/>
          </w:tcPr>
          <w:p w14:paraId="431AD2D3">
            <w:pPr>
              <w:spacing w:before="120" w:line="241" w:lineRule="auto"/>
              <w:ind w:left="251"/>
              <w:rPr>
                <w:rFonts w:ascii="宋体" w:hAnsi="宋体" w:eastAsia="宋体" w:cs="宋体"/>
                <w:sz w:val="20"/>
                <w:szCs w:val="20"/>
              </w:rPr>
            </w:pPr>
            <w:r>
              <w:rPr>
                <w:rFonts w:ascii="宋体" w:hAnsi="宋体" w:eastAsia="宋体" w:cs="宋体"/>
                <w:sz w:val="20"/>
                <w:szCs w:val="20"/>
              </w:rPr>
              <w:t>1</w:t>
            </w:r>
          </w:p>
        </w:tc>
        <w:tc>
          <w:tcPr>
            <w:tcW w:w="3346" w:type="dxa"/>
            <w:vMerge w:val="restart"/>
            <w:tcBorders>
              <w:bottom w:val="nil"/>
            </w:tcBorders>
            <w:vAlign w:val="top"/>
          </w:tcPr>
          <w:p w14:paraId="36E683B2">
            <w:pPr>
              <w:spacing w:before="100" w:line="220" w:lineRule="auto"/>
              <w:ind w:left="102"/>
              <w:rPr>
                <w:rFonts w:ascii="宋体" w:hAnsi="宋体" w:eastAsia="宋体" w:cs="宋体"/>
                <w:sz w:val="20"/>
                <w:szCs w:val="20"/>
              </w:rPr>
            </w:pPr>
            <w:r>
              <w:rPr>
                <w:rFonts w:ascii="宋体" w:hAnsi="宋体" w:eastAsia="宋体" w:cs="宋体"/>
                <w:spacing w:val="1"/>
                <w:sz w:val="20"/>
                <w:szCs w:val="20"/>
              </w:rPr>
              <w:t>型号标准体系表</w:t>
            </w:r>
          </w:p>
        </w:tc>
        <w:tc>
          <w:tcPr>
            <w:tcW w:w="829" w:type="dxa"/>
            <w:vMerge w:val="restart"/>
            <w:tcBorders>
              <w:bottom w:val="nil"/>
            </w:tcBorders>
            <w:vAlign w:val="top"/>
          </w:tcPr>
          <w:p w14:paraId="256F53AB">
            <w:pPr>
              <w:spacing w:before="151"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5BB24E83">
            <w:pPr>
              <w:pStyle w:val="6"/>
              <w:spacing w:line="190" w:lineRule="exact"/>
              <w:rPr>
                <w:sz w:val="16"/>
              </w:rPr>
            </w:pPr>
          </w:p>
        </w:tc>
        <w:tc>
          <w:tcPr>
            <w:tcW w:w="1039" w:type="dxa"/>
            <w:vAlign w:val="top"/>
          </w:tcPr>
          <w:p w14:paraId="7EDB0EB9">
            <w:pPr>
              <w:pStyle w:val="6"/>
              <w:spacing w:line="190" w:lineRule="exact"/>
              <w:rPr>
                <w:sz w:val="16"/>
              </w:rPr>
            </w:pPr>
          </w:p>
        </w:tc>
        <w:tc>
          <w:tcPr>
            <w:tcW w:w="1414" w:type="dxa"/>
            <w:vAlign w:val="top"/>
          </w:tcPr>
          <w:p w14:paraId="7747CB67">
            <w:pPr>
              <w:pStyle w:val="6"/>
              <w:spacing w:line="190" w:lineRule="exact"/>
              <w:rPr>
                <w:sz w:val="16"/>
              </w:rPr>
            </w:pPr>
          </w:p>
        </w:tc>
      </w:tr>
      <w:tr w14:paraId="30C9E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1254" w:type="dxa"/>
            <w:vMerge w:val="continue"/>
            <w:tcBorders>
              <w:top w:val="nil"/>
              <w:bottom w:val="nil"/>
            </w:tcBorders>
            <w:vAlign w:val="top"/>
          </w:tcPr>
          <w:p w14:paraId="47501CD8">
            <w:pPr>
              <w:pStyle w:val="6"/>
            </w:pPr>
          </w:p>
        </w:tc>
        <w:tc>
          <w:tcPr>
            <w:tcW w:w="619" w:type="dxa"/>
            <w:vMerge w:val="continue"/>
            <w:tcBorders>
              <w:top w:val="nil"/>
            </w:tcBorders>
            <w:vAlign w:val="top"/>
          </w:tcPr>
          <w:p w14:paraId="4EB62746">
            <w:pPr>
              <w:pStyle w:val="6"/>
            </w:pPr>
          </w:p>
        </w:tc>
        <w:tc>
          <w:tcPr>
            <w:tcW w:w="3346" w:type="dxa"/>
            <w:vMerge w:val="continue"/>
            <w:tcBorders>
              <w:top w:val="nil"/>
            </w:tcBorders>
            <w:vAlign w:val="top"/>
          </w:tcPr>
          <w:p w14:paraId="0CE63D43">
            <w:pPr>
              <w:pStyle w:val="6"/>
            </w:pPr>
          </w:p>
        </w:tc>
        <w:tc>
          <w:tcPr>
            <w:tcW w:w="829" w:type="dxa"/>
            <w:vMerge w:val="continue"/>
            <w:tcBorders>
              <w:top w:val="nil"/>
            </w:tcBorders>
            <w:vAlign w:val="top"/>
          </w:tcPr>
          <w:p w14:paraId="5CAF6DF1">
            <w:pPr>
              <w:pStyle w:val="6"/>
            </w:pPr>
          </w:p>
        </w:tc>
        <w:tc>
          <w:tcPr>
            <w:tcW w:w="839" w:type="dxa"/>
            <w:vAlign w:val="top"/>
          </w:tcPr>
          <w:p w14:paraId="0D5AE7E6">
            <w:pPr>
              <w:pStyle w:val="6"/>
              <w:spacing w:line="180" w:lineRule="exact"/>
              <w:rPr>
                <w:sz w:val="15"/>
              </w:rPr>
            </w:pPr>
          </w:p>
        </w:tc>
        <w:tc>
          <w:tcPr>
            <w:tcW w:w="1039" w:type="dxa"/>
            <w:vAlign w:val="top"/>
          </w:tcPr>
          <w:p w14:paraId="274CE15E">
            <w:pPr>
              <w:pStyle w:val="6"/>
              <w:spacing w:line="180" w:lineRule="exact"/>
              <w:rPr>
                <w:sz w:val="15"/>
              </w:rPr>
            </w:pPr>
          </w:p>
        </w:tc>
        <w:tc>
          <w:tcPr>
            <w:tcW w:w="1414" w:type="dxa"/>
            <w:vAlign w:val="top"/>
          </w:tcPr>
          <w:p w14:paraId="2098C766">
            <w:pPr>
              <w:pStyle w:val="6"/>
              <w:spacing w:line="180" w:lineRule="exact"/>
              <w:rPr>
                <w:sz w:val="15"/>
              </w:rPr>
            </w:pPr>
          </w:p>
        </w:tc>
      </w:tr>
      <w:tr w14:paraId="33324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254" w:type="dxa"/>
            <w:vMerge w:val="continue"/>
            <w:tcBorders>
              <w:top w:val="nil"/>
              <w:bottom w:val="nil"/>
            </w:tcBorders>
            <w:vAlign w:val="top"/>
          </w:tcPr>
          <w:p w14:paraId="11330BB8">
            <w:pPr>
              <w:pStyle w:val="6"/>
            </w:pPr>
          </w:p>
        </w:tc>
        <w:tc>
          <w:tcPr>
            <w:tcW w:w="619" w:type="dxa"/>
            <w:vAlign w:val="top"/>
          </w:tcPr>
          <w:p w14:paraId="58A63C41">
            <w:pPr>
              <w:spacing w:before="130" w:line="241" w:lineRule="auto"/>
              <w:ind w:left="251"/>
              <w:rPr>
                <w:rFonts w:ascii="宋体" w:hAnsi="宋体" w:eastAsia="宋体" w:cs="宋体"/>
                <w:sz w:val="20"/>
                <w:szCs w:val="20"/>
              </w:rPr>
            </w:pPr>
            <w:r>
              <w:rPr>
                <w:rFonts w:ascii="宋体" w:hAnsi="宋体" w:eastAsia="宋体" w:cs="宋体"/>
                <w:sz w:val="20"/>
                <w:szCs w:val="20"/>
              </w:rPr>
              <w:t>2</w:t>
            </w:r>
          </w:p>
        </w:tc>
        <w:tc>
          <w:tcPr>
            <w:tcW w:w="3346" w:type="dxa"/>
            <w:vAlign w:val="top"/>
          </w:tcPr>
          <w:p w14:paraId="2C48CEEB">
            <w:pPr>
              <w:spacing w:before="110" w:line="219" w:lineRule="auto"/>
              <w:ind w:left="102"/>
              <w:rPr>
                <w:rFonts w:ascii="宋体" w:hAnsi="宋体" w:eastAsia="宋体" w:cs="宋体"/>
                <w:sz w:val="20"/>
                <w:szCs w:val="20"/>
              </w:rPr>
            </w:pPr>
            <w:r>
              <w:rPr>
                <w:rFonts w:ascii="宋体" w:hAnsi="宋体" w:eastAsia="宋体" w:cs="宋体"/>
                <w:spacing w:val="1"/>
                <w:sz w:val="20"/>
                <w:szCs w:val="20"/>
              </w:rPr>
              <w:t>型号标准化工作年度计划</w:t>
            </w:r>
          </w:p>
        </w:tc>
        <w:tc>
          <w:tcPr>
            <w:tcW w:w="829" w:type="dxa"/>
            <w:vAlign w:val="top"/>
          </w:tcPr>
          <w:p w14:paraId="7A01194D">
            <w:pPr>
              <w:spacing w:before="161"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49953B68">
            <w:pPr>
              <w:spacing w:before="127" w:line="236" w:lineRule="auto"/>
              <w:ind w:left="317"/>
              <w:rPr>
                <w:rFonts w:ascii="宋体" w:hAnsi="宋体" w:eastAsia="宋体" w:cs="宋体"/>
                <w:sz w:val="20"/>
                <w:szCs w:val="20"/>
              </w:rPr>
            </w:pPr>
            <w:r>
              <w:rPr>
                <w:rFonts w:ascii="宋体" w:hAnsi="宋体" w:eastAsia="宋体" w:cs="宋体"/>
                <w:sz w:val="20"/>
                <w:szCs w:val="20"/>
              </w:rPr>
              <w:t>○</w:t>
            </w:r>
          </w:p>
        </w:tc>
        <w:tc>
          <w:tcPr>
            <w:tcW w:w="1039" w:type="dxa"/>
            <w:vAlign w:val="top"/>
          </w:tcPr>
          <w:p w14:paraId="019AC88A">
            <w:pPr>
              <w:spacing w:before="161"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366CA668">
            <w:pPr>
              <w:spacing w:before="161" w:line="183" w:lineRule="auto"/>
              <w:ind w:left="649"/>
              <w:rPr>
                <w:rFonts w:ascii="宋体" w:hAnsi="宋体" w:eastAsia="宋体" w:cs="宋体"/>
                <w:sz w:val="20"/>
                <w:szCs w:val="20"/>
              </w:rPr>
            </w:pPr>
            <w:r>
              <w:rPr>
                <w:rFonts w:ascii="宋体" w:hAnsi="宋体" w:eastAsia="宋体" w:cs="宋体"/>
                <w:sz w:val="20"/>
                <w:szCs w:val="20"/>
              </w:rPr>
              <w:t>O</w:t>
            </w:r>
          </w:p>
        </w:tc>
      </w:tr>
      <w:tr w14:paraId="561C1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254" w:type="dxa"/>
            <w:vMerge w:val="continue"/>
            <w:tcBorders>
              <w:top w:val="nil"/>
              <w:bottom w:val="nil"/>
            </w:tcBorders>
            <w:vAlign w:val="top"/>
          </w:tcPr>
          <w:p w14:paraId="21CBFB26">
            <w:pPr>
              <w:pStyle w:val="6"/>
            </w:pPr>
          </w:p>
        </w:tc>
        <w:tc>
          <w:tcPr>
            <w:tcW w:w="619" w:type="dxa"/>
            <w:vAlign w:val="top"/>
          </w:tcPr>
          <w:p w14:paraId="70A58F7C">
            <w:pPr>
              <w:spacing w:before="120"/>
              <w:ind w:left="251"/>
              <w:rPr>
                <w:rFonts w:ascii="宋体" w:hAnsi="宋体" w:eastAsia="宋体" w:cs="宋体"/>
                <w:sz w:val="20"/>
                <w:szCs w:val="20"/>
              </w:rPr>
            </w:pPr>
            <w:r>
              <w:rPr>
                <w:rFonts w:ascii="宋体" w:hAnsi="宋体" w:eastAsia="宋体" w:cs="宋体"/>
                <w:sz w:val="20"/>
                <w:szCs w:val="20"/>
              </w:rPr>
              <w:t>3</w:t>
            </w:r>
          </w:p>
        </w:tc>
        <w:tc>
          <w:tcPr>
            <w:tcW w:w="3346" w:type="dxa"/>
            <w:vAlign w:val="top"/>
          </w:tcPr>
          <w:p w14:paraId="692E0979">
            <w:pPr>
              <w:spacing w:before="99" w:line="219" w:lineRule="auto"/>
              <w:ind w:left="102"/>
              <w:rPr>
                <w:rFonts w:ascii="宋体" w:hAnsi="宋体" w:eastAsia="宋体" w:cs="宋体"/>
                <w:sz w:val="20"/>
                <w:szCs w:val="20"/>
              </w:rPr>
            </w:pPr>
            <w:r>
              <w:rPr>
                <w:rFonts w:ascii="宋体" w:hAnsi="宋体" w:eastAsia="宋体" w:cs="宋体"/>
                <w:spacing w:val="1"/>
                <w:sz w:val="20"/>
                <w:szCs w:val="20"/>
              </w:rPr>
              <w:t>型号标准化研究课题计划</w:t>
            </w:r>
          </w:p>
        </w:tc>
        <w:tc>
          <w:tcPr>
            <w:tcW w:w="829" w:type="dxa"/>
            <w:vAlign w:val="top"/>
          </w:tcPr>
          <w:p w14:paraId="6F5713E1">
            <w:pPr>
              <w:spacing w:before="152"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6409CC62">
            <w:pPr>
              <w:spacing w:before="152"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47B50396">
            <w:pPr>
              <w:spacing w:before="152"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4E31FC33">
            <w:pPr>
              <w:spacing w:before="196" w:line="155" w:lineRule="exact"/>
              <w:ind w:left="599"/>
              <w:rPr>
                <w:rFonts w:ascii="宋体" w:hAnsi="宋体" w:eastAsia="宋体" w:cs="宋体"/>
                <w:sz w:val="20"/>
                <w:szCs w:val="20"/>
              </w:rPr>
            </w:pPr>
            <w:r>
              <w:rPr>
                <w:rFonts w:ascii="宋体" w:hAnsi="宋体" w:eastAsia="宋体" w:cs="宋体"/>
                <w:position w:val="-4"/>
                <w:sz w:val="20"/>
                <w:szCs w:val="20"/>
              </w:rPr>
              <w:t>一</w:t>
            </w:r>
          </w:p>
        </w:tc>
      </w:tr>
      <w:tr w14:paraId="205E1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254" w:type="dxa"/>
            <w:vMerge w:val="continue"/>
            <w:tcBorders>
              <w:top w:val="nil"/>
              <w:bottom w:val="nil"/>
            </w:tcBorders>
            <w:vAlign w:val="top"/>
          </w:tcPr>
          <w:p w14:paraId="722CBA95">
            <w:pPr>
              <w:pStyle w:val="6"/>
            </w:pPr>
          </w:p>
        </w:tc>
        <w:tc>
          <w:tcPr>
            <w:tcW w:w="619" w:type="dxa"/>
            <w:vAlign w:val="top"/>
          </w:tcPr>
          <w:p w14:paraId="34B5DD1E">
            <w:pPr>
              <w:spacing w:before="121" w:line="241" w:lineRule="auto"/>
              <w:ind w:left="251"/>
              <w:rPr>
                <w:rFonts w:ascii="宋体" w:hAnsi="宋体" w:eastAsia="宋体" w:cs="宋体"/>
                <w:sz w:val="20"/>
                <w:szCs w:val="20"/>
              </w:rPr>
            </w:pPr>
            <w:r>
              <w:rPr>
                <w:rFonts w:ascii="宋体" w:hAnsi="宋体" w:eastAsia="宋体" w:cs="宋体"/>
                <w:sz w:val="20"/>
                <w:szCs w:val="20"/>
              </w:rPr>
              <w:t>4</w:t>
            </w:r>
          </w:p>
        </w:tc>
        <w:tc>
          <w:tcPr>
            <w:tcW w:w="3346" w:type="dxa"/>
            <w:vAlign w:val="top"/>
          </w:tcPr>
          <w:p w14:paraId="3A5FB6A8">
            <w:pPr>
              <w:spacing w:before="101" w:line="219" w:lineRule="auto"/>
              <w:ind w:left="102"/>
              <w:rPr>
                <w:rFonts w:ascii="宋体" w:hAnsi="宋体" w:eastAsia="宋体" w:cs="宋体"/>
                <w:sz w:val="20"/>
                <w:szCs w:val="20"/>
              </w:rPr>
            </w:pPr>
            <w:r>
              <w:rPr>
                <w:rFonts w:ascii="宋体" w:hAnsi="宋体" w:eastAsia="宋体" w:cs="宋体"/>
                <w:spacing w:val="1"/>
                <w:sz w:val="20"/>
                <w:szCs w:val="20"/>
              </w:rPr>
              <w:t>型号标准化文件制定计划</w:t>
            </w:r>
          </w:p>
        </w:tc>
        <w:tc>
          <w:tcPr>
            <w:tcW w:w="829" w:type="dxa"/>
            <w:vAlign w:val="top"/>
          </w:tcPr>
          <w:p w14:paraId="57754C63">
            <w:pPr>
              <w:spacing w:before="152"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272FAEB2">
            <w:pPr>
              <w:spacing w:before="152"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2968AC8C">
            <w:pPr>
              <w:spacing w:before="152"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00C7678D">
            <w:pPr>
              <w:spacing w:before="152" w:line="183" w:lineRule="auto"/>
              <w:ind w:left="649"/>
              <w:rPr>
                <w:rFonts w:ascii="宋体" w:hAnsi="宋体" w:eastAsia="宋体" w:cs="宋体"/>
                <w:sz w:val="20"/>
                <w:szCs w:val="20"/>
              </w:rPr>
            </w:pPr>
            <w:r>
              <w:rPr>
                <w:rFonts w:ascii="宋体" w:hAnsi="宋体" w:eastAsia="宋体" w:cs="宋体"/>
                <w:sz w:val="20"/>
                <w:szCs w:val="20"/>
              </w:rPr>
              <w:t>O</w:t>
            </w:r>
          </w:p>
        </w:tc>
      </w:tr>
      <w:tr w14:paraId="2AA4C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254" w:type="dxa"/>
            <w:vMerge w:val="continue"/>
            <w:tcBorders>
              <w:top w:val="nil"/>
              <w:bottom w:val="nil"/>
            </w:tcBorders>
            <w:vAlign w:val="top"/>
          </w:tcPr>
          <w:p w14:paraId="4C3E4A16">
            <w:pPr>
              <w:pStyle w:val="6"/>
            </w:pPr>
          </w:p>
        </w:tc>
        <w:tc>
          <w:tcPr>
            <w:tcW w:w="619" w:type="dxa"/>
            <w:vAlign w:val="top"/>
          </w:tcPr>
          <w:p w14:paraId="36B1DADC">
            <w:pPr>
              <w:spacing w:before="121"/>
              <w:ind w:left="251"/>
              <w:rPr>
                <w:rFonts w:ascii="宋体" w:hAnsi="宋体" w:eastAsia="宋体" w:cs="宋体"/>
                <w:sz w:val="20"/>
                <w:szCs w:val="20"/>
              </w:rPr>
            </w:pPr>
            <w:r>
              <w:rPr>
                <w:rFonts w:ascii="宋体" w:hAnsi="宋体" w:eastAsia="宋体" w:cs="宋体"/>
                <w:sz w:val="20"/>
                <w:szCs w:val="20"/>
              </w:rPr>
              <w:t>5</w:t>
            </w:r>
          </w:p>
        </w:tc>
        <w:tc>
          <w:tcPr>
            <w:tcW w:w="3346" w:type="dxa"/>
            <w:vAlign w:val="top"/>
          </w:tcPr>
          <w:p w14:paraId="0D3B5E23">
            <w:pPr>
              <w:spacing w:before="102" w:line="219" w:lineRule="auto"/>
              <w:ind w:left="102"/>
              <w:rPr>
                <w:rFonts w:ascii="宋体" w:hAnsi="宋体" w:eastAsia="宋体" w:cs="宋体"/>
                <w:sz w:val="20"/>
                <w:szCs w:val="20"/>
              </w:rPr>
            </w:pPr>
            <w:r>
              <w:rPr>
                <w:rFonts w:ascii="宋体" w:hAnsi="宋体" w:eastAsia="宋体" w:cs="宋体"/>
                <w:spacing w:val="-1"/>
                <w:sz w:val="20"/>
                <w:szCs w:val="20"/>
              </w:rPr>
              <w:t>标准制(修)定建议</w:t>
            </w:r>
          </w:p>
        </w:tc>
        <w:tc>
          <w:tcPr>
            <w:tcW w:w="829" w:type="dxa"/>
            <w:vAlign w:val="top"/>
          </w:tcPr>
          <w:p w14:paraId="50BFBA95">
            <w:pPr>
              <w:spacing w:before="153"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25912AC6">
            <w:pPr>
              <w:spacing w:before="153"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0822664D">
            <w:pPr>
              <w:spacing w:before="197" w:line="155" w:lineRule="exact"/>
              <w:ind w:left="418"/>
              <w:rPr>
                <w:rFonts w:ascii="宋体" w:hAnsi="宋体" w:eastAsia="宋体" w:cs="宋体"/>
                <w:sz w:val="20"/>
                <w:szCs w:val="20"/>
              </w:rPr>
            </w:pPr>
            <w:r>
              <w:rPr>
                <w:rFonts w:ascii="宋体" w:hAnsi="宋体" w:eastAsia="宋体" w:cs="宋体"/>
                <w:position w:val="-4"/>
                <w:sz w:val="20"/>
                <w:szCs w:val="20"/>
              </w:rPr>
              <w:t>一</w:t>
            </w:r>
          </w:p>
        </w:tc>
        <w:tc>
          <w:tcPr>
            <w:tcW w:w="1414" w:type="dxa"/>
            <w:vAlign w:val="top"/>
          </w:tcPr>
          <w:p w14:paraId="4C724AED">
            <w:pPr>
              <w:spacing w:before="197" w:line="155" w:lineRule="exact"/>
              <w:ind w:left="599"/>
              <w:rPr>
                <w:rFonts w:ascii="宋体" w:hAnsi="宋体" w:eastAsia="宋体" w:cs="宋体"/>
                <w:sz w:val="20"/>
                <w:szCs w:val="20"/>
              </w:rPr>
            </w:pPr>
            <w:r>
              <w:rPr>
                <w:rFonts w:ascii="宋体" w:hAnsi="宋体" w:eastAsia="宋体" w:cs="宋体"/>
                <w:position w:val="-4"/>
                <w:sz w:val="20"/>
                <w:szCs w:val="20"/>
              </w:rPr>
              <w:t>一</w:t>
            </w:r>
          </w:p>
        </w:tc>
      </w:tr>
      <w:tr w14:paraId="70DFA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254" w:type="dxa"/>
            <w:vMerge w:val="continue"/>
            <w:tcBorders>
              <w:top w:val="nil"/>
              <w:bottom w:val="nil"/>
            </w:tcBorders>
            <w:vAlign w:val="top"/>
          </w:tcPr>
          <w:p w14:paraId="20815A75">
            <w:pPr>
              <w:pStyle w:val="6"/>
            </w:pPr>
          </w:p>
        </w:tc>
        <w:tc>
          <w:tcPr>
            <w:tcW w:w="619" w:type="dxa"/>
            <w:vAlign w:val="top"/>
          </w:tcPr>
          <w:p w14:paraId="0B7F0CC1">
            <w:pPr>
              <w:spacing w:before="121"/>
              <w:ind w:left="251"/>
              <w:rPr>
                <w:rFonts w:ascii="宋体" w:hAnsi="宋体" w:eastAsia="宋体" w:cs="宋体"/>
                <w:sz w:val="20"/>
                <w:szCs w:val="20"/>
              </w:rPr>
            </w:pPr>
            <w:r>
              <w:rPr>
                <w:rFonts w:ascii="宋体" w:hAnsi="宋体" w:eastAsia="宋体" w:cs="宋体"/>
                <w:sz w:val="20"/>
                <w:szCs w:val="20"/>
              </w:rPr>
              <w:t>6</w:t>
            </w:r>
          </w:p>
        </w:tc>
        <w:tc>
          <w:tcPr>
            <w:tcW w:w="3346" w:type="dxa"/>
            <w:vAlign w:val="top"/>
          </w:tcPr>
          <w:p w14:paraId="21CCDC8B">
            <w:pPr>
              <w:spacing w:before="102" w:line="219" w:lineRule="auto"/>
              <w:ind w:left="102"/>
              <w:rPr>
                <w:rFonts w:ascii="宋体" w:hAnsi="宋体" w:eastAsia="宋体" w:cs="宋体"/>
                <w:sz w:val="20"/>
                <w:szCs w:val="20"/>
              </w:rPr>
            </w:pPr>
            <w:r>
              <w:rPr>
                <w:rFonts w:ascii="宋体" w:hAnsi="宋体" w:eastAsia="宋体" w:cs="宋体"/>
                <w:spacing w:val="1"/>
                <w:sz w:val="20"/>
                <w:szCs w:val="20"/>
              </w:rPr>
              <w:t>型号标准化过程管理规定</w:t>
            </w:r>
          </w:p>
        </w:tc>
        <w:tc>
          <w:tcPr>
            <w:tcW w:w="829" w:type="dxa"/>
            <w:vAlign w:val="top"/>
          </w:tcPr>
          <w:p w14:paraId="7B9A0F5E">
            <w:pPr>
              <w:spacing w:before="153"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6159B31D">
            <w:pPr>
              <w:spacing w:before="153"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132ED3C3">
            <w:pPr>
              <w:spacing w:before="153"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6154C034">
            <w:pPr>
              <w:spacing w:before="153" w:line="183" w:lineRule="auto"/>
              <w:ind w:left="649"/>
              <w:rPr>
                <w:rFonts w:ascii="宋体" w:hAnsi="宋体" w:eastAsia="宋体" w:cs="宋体"/>
                <w:sz w:val="20"/>
                <w:szCs w:val="20"/>
              </w:rPr>
            </w:pPr>
            <w:r>
              <w:rPr>
                <w:rFonts w:ascii="宋体" w:hAnsi="宋体" w:eastAsia="宋体" w:cs="宋体"/>
                <w:sz w:val="20"/>
                <w:szCs w:val="20"/>
              </w:rPr>
              <w:t>O</w:t>
            </w:r>
          </w:p>
        </w:tc>
      </w:tr>
      <w:tr w14:paraId="4887D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254" w:type="dxa"/>
            <w:vMerge w:val="continue"/>
            <w:tcBorders>
              <w:top w:val="nil"/>
              <w:bottom w:val="nil"/>
            </w:tcBorders>
            <w:vAlign w:val="top"/>
          </w:tcPr>
          <w:p w14:paraId="2E2AE993">
            <w:pPr>
              <w:pStyle w:val="6"/>
            </w:pPr>
          </w:p>
        </w:tc>
        <w:tc>
          <w:tcPr>
            <w:tcW w:w="619" w:type="dxa"/>
            <w:vAlign w:val="top"/>
          </w:tcPr>
          <w:p w14:paraId="7703818E">
            <w:pPr>
              <w:spacing w:before="132"/>
              <w:ind w:left="251"/>
              <w:rPr>
                <w:rFonts w:ascii="宋体" w:hAnsi="宋体" w:eastAsia="宋体" w:cs="宋体"/>
                <w:sz w:val="20"/>
                <w:szCs w:val="20"/>
              </w:rPr>
            </w:pPr>
            <w:r>
              <w:rPr>
                <w:rFonts w:ascii="宋体" w:hAnsi="宋体" w:eastAsia="宋体" w:cs="宋体"/>
                <w:sz w:val="20"/>
                <w:szCs w:val="20"/>
              </w:rPr>
              <w:t>7</w:t>
            </w:r>
          </w:p>
        </w:tc>
        <w:tc>
          <w:tcPr>
            <w:tcW w:w="3346" w:type="dxa"/>
            <w:vAlign w:val="top"/>
          </w:tcPr>
          <w:p w14:paraId="349F0C68">
            <w:pPr>
              <w:spacing w:before="113" w:line="219" w:lineRule="auto"/>
              <w:ind w:left="102"/>
              <w:rPr>
                <w:rFonts w:ascii="宋体" w:hAnsi="宋体" w:eastAsia="宋体" w:cs="宋体"/>
                <w:sz w:val="20"/>
                <w:szCs w:val="20"/>
              </w:rPr>
            </w:pPr>
            <w:r>
              <w:rPr>
                <w:rFonts w:ascii="宋体" w:hAnsi="宋体" w:eastAsia="宋体" w:cs="宋体"/>
                <w:sz w:val="20"/>
                <w:szCs w:val="20"/>
              </w:rPr>
              <w:t>型号标准化公文、批复、函件</w:t>
            </w:r>
          </w:p>
        </w:tc>
        <w:tc>
          <w:tcPr>
            <w:tcW w:w="829" w:type="dxa"/>
            <w:vAlign w:val="top"/>
          </w:tcPr>
          <w:p w14:paraId="1803699D">
            <w:pPr>
              <w:spacing w:before="164"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067AA9E7">
            <w:pPr>
              <w:spacing w:before="164"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0CE0421E">
            <w:pPr>
              <w:spacing w:before="164"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0A0E57FA">
            <w:pPr>
              <w:spacing w:before="164" w:line="183" w:lineRule="auto"/>
              <w:ind w:left="649"/>
              <w:rPr>
                <w:rFonts w:ascii="宋体" w:hAnsi="宋体" w:eastAsia="宋体" w:cs="宋体"/>
                <w:sz w:val="20"/>
                <w:szCs w:val="20"/>
              </w:rPr>
            </w:pPr>
            <w:r>
              <w:rPr>
                <w:rFonts w:ascii="宋体" w:hAnsi="宋体" w:eastAsia="宋体" w:cs="宋体"/>
                <w:sz w:val="20"/>
                <w:szCs w:val="20"/>
              </w:rPr>
              <w:t>O</w:t>
            </w:r>
          </w:p>
        </w:tc>
      </w:tr>
      <w:tr w14:paraId="6E671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254" w:type="dxa"/>
            <w:vMerge w:val="continue"/>
            <w:tcBorders>
              <w:top w:val="nil"/>
            </w:tcBorders>
            <w:vAlign w:val="top"/>
          </w:tcPr>
          <w:p w14:paraId="3A489FFA">
            <w:pPr>
              <w:pStyle w:val="6"/>
            </w:pPr>
          </w:p>
        </w:tc>
        <w:tc>
          <w:tcPr>
            <w:tcW w:w="619" w:type="dxa"/>
            <w:vAlign w:val="top"/>
          </w:tcPr>
          <w:p w14:paraId="11EDA367">
            <w:pPr>
              <w:spacing w:before="123"/>
              <w:ind w:left="251"/>
              <w:rPr>
                <w:rFonts w:ascii="宋体" w:hAnsi="宋体" w:eastAsia="宋体" w:cs="宋体"/>
                <w:sz w:val="20"/>
                <w:szCs w:val="20"/>
              </w:rPr>
            </w:pPr>
            <w:r>
              <w:rPr>
                <w:rFonts w:ascii="宋体" w:hAnsi="宋体" w:eastAsia="宋体" w:cs="宋体"/>
                <w:sz w:val="20"/>
                <w:szCs w:val="20"/>
              </w:rPr>
              <w:t>8</w:t>
            </w:r>
          </w:p>
        </w:tc>
        <w:tc>
          <w:tcPr>
            <w:tcW w:w="3346" w:type="dxa"/>
            <w:vAlign w:val="top"/>
          </w:tcPr>
          <w:p w14:paraId="432E2A1F">
            <w:pPr>
              <w:spacing w:before="104" w:line="219" w:lineRule="auto"/>
              <w:ind w:left="102"/>
              <w:rPr>
                <w:rFonts w:ascii="宋体" w:hAnsi="宋体" w:eastAsia="宋体" w:cs="宋体"/>
                <w:sz w:val="20"/>
                <w:szCs w:val="20"/>
              </w:rPr>
            </w:pPr>
            <w:r>
              <w:rPr>
                <w:rFonts w:ascii="宋体" w:hAnsi="宋体" w:eastAsia="宋体" w:cs="宋体"/>
                <w:spacing w:val="1"/>
                <w:sz w:val="20"/>
                <w:szCs w:val="20"/>
              </w:rPr>
              <w:t>型号标准化工作系统管理规定</w:t>
            </w:r>
          </w:p>
        </w:tc>
        <w:tc>
          <w:tcPr>
            <w:tcW w:w="829" w:type="dxa"/>
            <w:vAlign w:val="top"/>
          </w:tcPr>
          <w:p w14:paraId="18FCC020">
            <w:pPr>
              <w:spacing w:before="155"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38F9AA96">
            <w:pPr>
              <w:spacing w:before="199" w:line="155" w:lineRule="exact"/>
              <w:ind w:left="317"/>
              <w:rPr>
                <w:rFonts w:ascii="宋体" w:hAnsi="宋体" w:eastAsia="宋体" w:cs="宋体"/>
                <w:sz w:val="20"/>
                <w:szCs w:val="20"/>
              </w:rPr>
            </w:pPr>
            <w:r>
              <w:rPr>
                <w:rFonts w:ascii="宋体" w:hAnsi="宋体" w:eastAsia="宋体" w:cs="宋体"/>
                <w:position w:val="-4"/>
                <w:sz w:val="20"/>
                <w:szCs w:val="20"/>
              </w:rPr>
              <w:t>一</w:t>
            </w:r>
          </w:p>
        </w:tc>
        <w:tc>
          <w:tcPr>
            <w:tcW w:w="1039" w:type="dxa"/>
            <w:vAlign w:val="top"/>
          </w:tcPr>
          <w:p w14:paraId="704E2E5F">
            <w:pPr>
              <w:spacing w:before="199" w:line="155" w:lineRule="exact"/>
              <w:ind w:left="418"/>
              <w:rPr>
                <w:rFonts w:ascii="宋体" w:hAnsi="宋体" w:eastAsia="宋体" w:cs="宋体"/>
                <w:sz w:val="20"/>
                <w:szCs w:val="20"/>
              </w:rPr>
            </w:pPr>
            <w:r>
              <w:rPr>
                <w:rFonts w:ascii="宋体" w:hAnsi="宋体" w:eastAsia="宋体" w:cs="宋体"/>
                <w:position w:val="-4"/>
                <w:sz w:val="20"/>
                <w:szCs w:val="20"/>
              </w:rPr>
              <w:t>一</w:t>
            </w:r>
          </w:p>
        </w:tc>
        <w:tc>
          <w:tcPr>
            <w:tcW w:w="1414" w:type="dxa"/>
            <w:vAlign w:val="top"/>
          </w:tcPr>
          <w:p w14:paraId="65B05580">
            <w:pPr>
              <w:spacing w:before="199" w:line="155" w:lineRule="exact"/>
              <w:ind w:left="599"/>
              <w:rPr>
                <w:rFonts w:ascii="宋体" w:hAnsi="宋体" w:eastAsia="宋体" w:cs="宋体"/>
                <w:sz w:val="20"/>
                <w:szCs w:val="20"/>
              </w:rPr>
            </w:pPr>
            <w:r>
              <w:rPr>
                <w:rFonts w:ascii="宋体" w:hAnsi="宋体" w:eastAsia="宋体" w:cs="宋体"/>
                <w:position w:val="-4"/>
                <w:sz w:val="20"/>
                <w:szCs w:val="20"/>
              </w:rPr>
              <w:t>一</w:t>
            </w:r>
          </w:p>
        </w:tc>
      </w:tr>
      <w:tr w14:paraId="32F93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254" w:type="dxa"/>
            <w:vMerge w:val="restart"/>
            <w:tcBorders>
              <w:bottom w:val="nil"/>
            </w:tcBorders>
            <w:vAlign w:val="top"/>
          </w:tcPr>
          <w:p w14:paraId="4D0C7937">
            <w:pPr>
              <w:pStyle w:val="6"/>
              <w:spacing w:line="250" w:lineRule="auto"/>
            </w:pPr>
          </w:p>
          <w:p w14:paraId="77B39C60">
            <w:pPr>
              <w:pStyle w:val="6"/>
              <w:spacing w:line="250" w:lineRule="auto"/>
            </w:pPr>
          </w:p>
          <w:p w14:paraId="19A4DEE0">
            <w:pPr>
              <w:pStyle w:val="6"/>
              <w:spacing w:line="250" w:lineRule="auto"/>
            </w:pPr>
          </w:p>
          <w:p w14:paraId="16585B82">
            <w:pPr>
              <w:pStyle w:val="6"/>
              <w:spacing w:line="250" w:lineRule="auto"/>
            </w:pPr>
          </w:p>
          <w:p w14:paraId="76676ED6">
            <w:pPr>
              <w:pStyle w:val="6"/>
              <w:spacing w:line="250" w:lineRule="auto"/>
            </w:pPr>
          </w:p>
          <w:p w14:paraId="5AFB6498">
            <w:pPr>
              <w:pStyle w:val="6"/>
              <w:spacing w:line="250" w:lineRule="auto"/>
            </w:pPr>
          </w:p>
          <w:p w14:paraId="4E32FFFE">
            <w:pPr>
              <w:pStyle w:val="6"/>
              <w:spacing w:line="250" w:lineRule="auto"/>
            </w:pPr>
          </w:p>
          <w:p w14:paraId="7251E74D">
            <w:pPr>
              <w:pStyle w:val="6"/>
              <w:spacing w:line="250" w:lineRule="auto"/>
            </w:pPr>
          </w:p>
          <w:p w14:paraId="776FB9D0">
            <w:pPr>
              <w:pStyle w:val="6"/>
              <w:spacing w:line="250" w:lineRule="auto"/>
            </w:pPr>
          </w:p>
          <w:p w14:paraId="3A1C95CB">
            <w:pPr>
              <w:pStyle w:val="6"/>
              <w:spacing w:line="251" w:lineRule="auto"/>
            </w:pPr>
          </w:p>
          <w:p w14:paraId="1D297561">
            <w:pPr>
              <w:pStyle w:val="6"/>
              <w:spacing w:line="251" w:lineRule="auto"/>
            </w:pPr>
          </w:p>
          <w:p w14:paraId="7B7D5876">
            <w:pPr>
              <w:pStyle w:val="6"/>
              <w:spacing w:line="251" w:lineRule="auto"/>
            </w:pPr>
          </w:p>
          <w:p w14:paraId="68000A00">
            <w:pPr>
              <w:pStyle w:val="6"/>
              <w:spacing w:line="251" w:lineRule="auto"/>
            </w:pPr>
          </w:p>
          <w:p w14:paraId="1A985701">
            <w:pPr>
              <w:pStyle w:val="6"/>
              <w:spacing w:line="251" w:lineRule="auto"/>
            </w:pPr>
          </w:p>
          <w:p w14:paraId="4A7012E0">
            <w:pPr>
              <w:pStyle w:val="6"/>
              <w:spacing w:line="251" w:lineRule="auto"/>
            </w:pPr>
          </w:p>
          <w:p w14:paraId="516090F2">
            <w:pPr>
              <w:spacing w:before="65" w:line="219" w:lineRule="auto"/>
              <w:ind w:left="215"/>
              <w:rPr>
                <w:rFonts w:ascii="宋体" w:hAnsi="宋体" w:eastAsia="宋体" w:cs="宋体"/>
                <w:sz w:val="20"/>
                <w:szCs w:val="20"/>
              </w:rPr>
            </w:pPr>
            <w:r>
              <w:rPr>
                <w:rFonts w:ascii="宋体" w:hAnsi="宋体" w:eastAsia="宋体" w:cs="宋体"/>
                <w:spacing w:val="-2"/>
                <w:sz w:val="20"/>
                <w:szCs w:val="20"/>
              </w:rPr>
              <w:t>技术文件</w:t>
            </w:r>
          </w:p>
        </w:tc>
        <w:tc>
          <w:tcPr>
            <w:tcW w:w="619" w:type="dxa"/>
            <w:vAlign w:val="top"/>
          </w:tcPr>
          <w:p w14:paraId="49A16AF8">
            <w:pPr>
              <w:spacing w:before="124" w:line="241" w:lineRule="auto"/>
              <w:ind w:left="251"/>
              <w:rPr>
                <w:rFonts w:ascii="宋体" w:hAnsi="宋体" w:eastAsia="宋体" w:cs="宋体"/>
                <w:sz w:val="20"/>
                <w:szCs w:val="20"/>
              </w:rPr>
            </w:pPr>
            <w:r>
              <w:rPr>
                <w:rFonts w:ascii="宋体" w:hAnsi="宋体" w:eastAsia="宋体" w:cs="宋体"/>
                <w:sz w:val="20"/>
                <w:szCs w:val="20"/>
              </w:rPr>
              <w:t>1</w:t>
            </w:r>
          </w:p>
        </w:tc>
        <w:tc>
          <w:tcPr>
            <w:tcW w:w="3346" w:type="dxa"/>
            <w:vAlign w:val="top"/>
          </w:tcPr>
          <w:p w14:paraId="04651022">
            <w:pPr>
              <w:spacing w:before="102" w:line="218" w:lineRule="auto"/>
              <w:ind w:left="102"/>
              <w:rPr>
                <w:rFonts w:ascii="宋体" w:hAnsi="宋体" w:eastAsia="宋体" w:cs="宋体"/>
                <w:sz w:val="20"/>
                <w:szCs w:val="20"/>
              </w:rPr>
            </w:pPr>
            <w:r>
              <w:rPr>
                <w:rFonts w:ascii="宋体" w:hAnsi="宋体" w:eastAsia="宋体" w:cs="宋体"/>
                <w:spacing w:val="1"/>
                <w:sz w:val="20"/>
                <w:szCs w:val="20"/>
              </w:rPr>
              <w:t>标准化方案论证报告</w:t>
            </w:r>
          </w:p>
        </w:tc>
        <w:tc>
          <w:tcPr>
            <w:tcW w:w="829" w:type="dxa"/>
            <w:vAlign w:val="top"/>
          </w:tcPr>
          <w:p w14:paraId="5C0444A8">
            <w:pPr>
              <w:spacing w:before="155"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5F984B0B">
            <w:pPr>
              <w:spacing w:before="199" w:line="154" w:lineRule="exact"/>
              <w:ind w:left="317"/>
              <w:rPr>
                <w:rFonts w:ascii="宋体" w:hAnsi="宋体" w:eastAsia="宋体" w:cs="宋体"/>
                <w:sz w:val="20"/>
                <w:szCs w:val="20"/>
              </w:rPr>
            </w:pPr>
            <w:r>
              <w:rPr>
                <w:rFonts w:ascii="宋体" w:hAnsi="宋体" w:eastAsia="宋体" w:cs="宋体"/>
                <w:position w:val="-4"/>
                <w:sz w:val="20"/>
                <w:szCs w:val="20"/>
              </w:rPr>
              <w:t>一</w:t>
            </w:r>
          </w:p>
        </w:tc>
        <w:tc>
          <w:tcPr>
            <w:tcW w:w="1039" w:type="dxa"/>
            <w:vAlign w:val="top"/>
          </w:tcPr>
          <w:p w14:paraId="1A3A9C34">
            <w:pPr>
              <w:spacing w:before="199" w:line="154" w:lineRule="exact"/>
              <w:ind w:left="418"/>
              <w:rPr>
                <w:rFonts w:ascii="宋体" w:hAnsi="宋体" w:eastAsia="宋体" w:cs="宋体"/>
                <w:sz w:val="20"/>
                <w:szCs w:val="20"/>
              </w:rPr>
            </w:pPr>
            <w:r>
              <w:rPr>
                <w:rFonts w:ascii="宋体" w:hAnsi="宋体" w:eastAsia="宋体" w:cs="宋体"/>
                <w:position w:val="-4"/>
                <w:sz w:val="20"/>
                <w:szCs w:val="20"/>
              </w:rPr>
              <w:t>一</w:t>
            </w:r>
          </w:p>
        </w:tc>
        <w:tc>
          <w:tcPr>
            <w:tcW w:w="1414" w:type="dxa"/>
            <w:vAlign w:val="top"/>
          </w:tcPr>
          <w:p w14:paraId="1FED8BDD">
            <w:pPr>
              <w:spacing w:before="199" w:line="154" w:lineRule="exact"/>
              <w:ind w:left="599"/>
              <w:rPr>
                <w:rFonts w:ascii="宋体" w:hAnsi="宋体" w:eastAsia="宋体" w:cs="宋体"/>
                <w:sz w:val="20"/>
                <w:szCs w:val="20"/>
              </w:rPr>
            </w:pPr>
            <w:r>
              <w:rPr>
                <w:rFonts w:ascii="宋体" w:hAnsi="宋体" w:eastAsia="宋体" w:cs="宋体"/>
                <w:position w:val="-4"/>
                <w:sz w:val="20"/>
                <w:szCs w:val="20"/>
              </w:rPr>
              <w:t>一</w:t>
            </w:r>
          </w:p>
        </w:tc>
      </w:tr>
      <w:tr w14:paraId="5E966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254" w:type="dxa"/>
            <w:vMerge w:val="continue"/>
            <w:tcBorders>
              <w:top w:val="nil"/>
              <w:bottom w:val="nil"/>
            </w:tcBorders>
            <w:vAlign w:val="top"/>
          </w:tcPr>
          <w:p w14:paraId="6A1676DA">
            <w:pPr>
              <w:pStyle w:val="6"/>
            </w:pPr>
          </w:p>
        </w:tc>
        <w:tc>
          <w:tcPr>
            <w:tcW w:w="619" w:type="dxa"/>
            <w:vMerge w:val="restart"/>
            <w:tcBorders>
              <w:bottom w:val="nil"/>
            </w:tcBorders>
            <w:vAlign w:val="top"/>
          </w:tcPr>
          <w:p w14:paraId="3D59A4B5">
            <w:pPr>
              <w:spacing w:before="125" w:line="241" w:lineRule="auto"/>
              <w:ind w:left="251"/>
              <w:rPr>
                <w:rFonts w:ascii="宋体" w:hAnsi="宋体" w:eastAsia="宋体" w:cs="宋体"/>
                <w:sz w:val="20"/>
                <w:szCs w:val="20"/>
              </w:rPr>
            </w:pPr>
            <w:r>
              <w:rPr>
                <w:rFonts w:ascii="宋体" w:hAnsi="宋体" w:eastAsia="宋体" w:cs="宋体"/>
                <w:sz w:val="20"/>
                <w:szCs w:val="20"/>
              </w:rPr>
              <w:t>2</w:t>
            </w:r>
          </w:p>
        </w:tc>
        <w:tc>
          <w:tcPr>
            <w:tcW w:w="3346" w:type="dxa"/>
            <w:vMerge w:val="restart"/>
            <w:tcBorders>
              <w:bottom w:val="nil"/>
            </w:tcBorders>
            <w:vAlign w:val="top"/>
          </w:tcPr>
          <w:p w14:paraId="3936058A">
            <w:pPr>
              <w:spacing w:before="105" w:line="219" w:lineRule="auto"/>
              <w:ind w:left="102"/>
              <w:rPr>
                <w:rFonts w:ascii="宋体" w:hAnsi="宋体" w:eastAsia="宋体" w:cs="宋体"/>
                <w:sz w:val="20"/>
                <w:szCs w:val="20"/>
              </w:rPr>
            </w:pPr>
            <w:r>
              <w:rPr>
                <w:rFonts w:ascii="宋体" w:hAnsi="宋体" w:eastAsia="宋体" w:cs="宋体"/>
                <w:spacing w:val="1"/>
                <w:sz w:val="20"/>
                <w:szCs w:val="20"/>
              </w:rPr>
              <w:t>产品标准化大纲</w:t>
            </w:r>
          </w:p>
        </w:tc>
        <w:tc>
          <w:tcPr>
            <w:tcW w:w="829" w:type="dxa"/>
            <w:vMerge w:val="restart"/>
            <w:tcBorders>
              <w:bottom w:val="nil"/>
            </w:tcBorders>
            <w:vAlign w:val="top"/>
          </w:tcPr>
          <w:p w14:paraId="2B0B9A28">
            <w:pPr>
              <w:spacing w:before="123" w:line="237" w:lineRule="auto"/>
              <w:ind w:left="306"/>
              <w:rPr>
                <w:rFonts w:ascii="宋体" w:hAnsi="宋体" w:eastAsia="宋体" w:cs="宋体"/>
                <w:sz w:val="20"/>
                <w:szCs w:val="20"/>
              </w:rPr>
            </w:pPr>
            <w:r>
              <w:rPr>
                <w:rFonts w:ascii="宋体" w:hAnsi="宋体" w:eastAsia="宋体" w:cs="宋体"/>
                <w:sz w:val="20"/>
                <w:szCs w:val="20"/>
              </w:rPr>
              <w:t>●</w:t>
            </w:r>
          </w:p>
        </w:tc>
        <w:tc>
          <w:tcPr>
            <w:tcW w:w="839" w:type="dxa"/>
            <w:vAlign w:val="top"/>
          </w:tcPr>
          <w:p w14:paraId="52C8C89F">
            <w:pPr>
              <w:pStyle w:val="6"/>
              <w:spacing w:line="200" w:lineRule="exact"/>
              <w:rPr>
                <w:sz w:val="17"/>
              </w:rPr>
            </w:pPr>
          </w:p>
        </w:tc>
        <w:tc>
          <w:tcPr>
            <w:tcW w:w="1039" w:type="dxa"/>
            <w:vAlign w:val="top"/>
          </w:tcPr>
          <w:p w14:paraId="005C7A13">
            <w:pPr>
              <w:pStyle w:val="6"/>
              <w:spacing w:line="200" w:lineRule="exact"/>
              <w:rPr>
                <w:sz w:val="17"/>
              </w:rPr>
            </w:pPr>
          </w:p>
        </w:tc>
        <w:tc>
          <w:tcPr>
            <w:tcW w:w="1414" w:type="dxa"/>
            <w:vAlign w:val="top"/>
          </w:tcPr>
          <w:p w14:paraId="0ED59BC6">
            <w:pPr>
              <w:pStyle w:val="6"/>
              <w:spacing w:line="200" w:lineRule="exact"/>
              <w:rPr>
                <w:sz w:val="17"/>
              </w:rPr>
            </w:pPr>
          </w:p>
        </w:tc>
      </w:tr>
      <w:tr w14:paraId="4441B731">
        <w:tblPrEx>
          <w:tblCellMar>
            <w:top w:w="0" w:type="dxa"/>
            <w:left w:w="0" w:type="dxa"/>
            <w:bottom w:w="0" w:type="dxa"/>
            <w:right w:w="0" w:type="dxa"/>
          </w:tblCellMar>
        </w:tblPrEx>
        <w:trPr>
          <w:trHeight w:val="180" w:hRule="atLeast"/>
        </w:trPr>
        <w:tc>
          <w:tcPr>
            <w:tcW w:w="1254" w:type="dxa"/>
            <w:vMerge w:val="continue"/>
            <w:tcBorders>
              <w:top w:val="nil"/>
              <w:bottom w:val="nil"/>
            </w:tcBorders>
            <w:vAlign w:val="top"/>
          </w:tcPr>
          <w:p w14:paraId="22682B41">
            <w:pPr>
              <w:pStyle w:val="6"/>
            </w:pPr>
          </w:p>
        </w:tc>
        <w:tc>
          <w:tcPr>
            <w:tcW w:w="619" w:type="dxa"/>
            <w:vMerge w:val="continue"/>
            <w:tcBorders>
              <w:top w:val="nil"/>
            </w:tcBorders>
            <w:vAlign w:val="top"/>
          </w:tcPr>
          <w:p w14:paraId="2E84E80C">
            <w:pPr>
              <w:pStyle w:val="6"/>
            </w:pPr>
          </w:p>
        </w:tc>
        <w:tc>
          <w:tcPr>
            <w:tcW w:w="3346" w:type="dxa"/>
            <w:vMerge w:val="continue"/>
            <w:tcBorders>
              <w:top w:val="nil"/>
            </w:tcBorders>
            <w:vAlign w:val="top"/>
          </w:tcPr>
          <w:p w14:paraId="4FAD5E89">
            <w:pPr>
              <w:pStyle w:val="6"/>
            </w:pPr>
          </w:p>
        </w:tc>
        <w:tc>
          <w:tcPr>
            <w:tcW w:w="829" w:type="dxa"/>
            <w:vMerge w:val="continue"/>
            <w:tcBorders>
              <w:top w:val="nil"/>
            </w:tcBorders>
            <w:vAlign w:val="top"/>
          </w:tcPr>
          <w:p w14:paraId="2C9E8188">
            <w:pPr>
              <w:pStyle w:val="6"/>
            </w:pPr>
          </w:p>
        </w:tc>
        <w:tc>
          <w:tcPr>
            <w:tcW w:w="839" w:type="dxa"/>
            <w:tcBorders>
              <w:right w:val="single" w:color="000000" w:sz="2" w:space="0"/>
            </w:tcBorders>
            <w:vAlign w:val="top"/>
          </w:tcPr>
          <w:p w14:paraId="12640DED">
            <w:pPr>
              <w:pStyle w:val="6"/>
              <w:spacing w:line="170" w:lineRule="exact"/>
              <w:rPr>
                <w:sz w:val="14"/>
              </w:rPr>
            </w:pPr>
          </w:p>
        </w:tc>
        <w:tc>
          <w:tcPr>
            <w:tcW w:w="1039" w:type="dxa"/>
            <w:tcBorders>
              <w:left w:val="single" w:color="000000" w:sz="2" w:space="0"/>
              <w:right w:val="single" w:color="000000" w:sz="2" w:space="0"/>
            </w:tcBorders>
            <w:vAlign w:val="top"/>
          </w:tcPr>
          <w:p w14:paraId="1F45DFC1">
            <w:pPr>
              <w:pStyle w:val="6"/>
              <w:spacing w:line="170" w:lineRule="exact"/>
              <w:rPr>
                <w:sz w:val="14"/>
              </w:rPr>
            </w:pPr>
          </w:p>
        </w:tc>
        <w:tc>
          <w:tcPr>
            <w:tcW w:w="1414" w:type="dxa"/>
            <w:tcBorders>
              <w:left w:val="single" w:color="000000" w:sz="2" w:space="0"/>
              <w:right w:val="single" w:color="000000" w:sz="2" w:space="0"/>
            </w:tcBorders>
            <w:vAlign w:val="top"/>
          </w:tcPr>
          <w:p w14:paraId="5141316F">
            <w:pPr>
              <w:pStyle w:val="6"/>
              <w:spacing w:line="170" w:lineRule="exact"/>
              <w:rPr>
                <w:sz w:val="14"/>
              </w:rPr>
            </w:pPr>
          </w:p>
        </w:tc>
      </w:tr>
      <w:tr w14:paraId="51847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254" w:type="dxa"/>
            <w:vMerge w:val="continue"/>
            <w:tcBorders>
              <w:top w:val="nil"/>
              <w:bottom w:val="nil"/>
            </w:tcBorders>
            <w:vAlign w:val="top"/>
          </w:tcPr>
          <w:p w14:paraId="5948B904">
            <w:pPr>
              <w:pStyle w:val="6"/>
            </w:pPr>
          </w:p>
        </w:tc>
        <w:tc>
          <w:tcPr>
            <w:tcW w:w="619" w:type="dxa"/>
            <w:vMerge w:val="restart"/>
            <w:tcBorders>
              <w:bottom w:val="nil"/>
            </w:tcBorders>
            <w:vAlign w:val="top"/>
          </w:tcPr>
          <w:p w14:paraId="7F3CD096">
            <w:pPr>
              <w:spacing w:before="124"/>
              <w:ind w:left="251"/>
              <w:rPr>
                <w:rFonts w:ascii="宋体" w:hAnsi="宋体" w:eastAsia="宋体" w:cs="宋体"/>
                <w:sz w:val="20"/>
                <w:szCs w:val="20"/>
              </w:rPr>
            </w:pPr>
            <w:r>
              <w:rPr>
                <w:rFonts w:ascii="宋体" w:hAnsi="宋体" w:eastAsia="宋体" w:cs="宋体"/>
                <w:sz w:val="20"/>
                <w:szCs w:val="20"/>
              </w:rPr>
              <w:t>3</w:t>
            </w:r>
          </w:p>
        </w:tc>
        <w:tc>
          <w:tcPr>
            <w:tcW w:w="3346" w:type="dxa"/>
            <w:vMerge w:val="restart"/>
            <w:tcBorders>
              <w:bottom w:val="nil"/>
            </w:tcBorders>
            <w:vAlign w:val="top"/>
          </w:tcPr>
          <w:p w14:paraId="5177D49C">
            <w:pPr>
              <w:spacing w:before="105" w:line="220" w:lineRule="auto"/>
              <w:ind w:left="102"/>
              <w:rPr>
                <w:rFonts w:ascii="宋体" w:hAnsi="宋体" w:eastAsia="宋体" w:cs="宋体"/>
                <w:sz w:val="20"/>
                <w:szCs w:val="20"/>
              </w:rPr>
            </w:pPr>
            <w:r>
              <w:rPr>
                <w:rFonts w:ascii="宋体" w:hAnsi="宋体" w:eastAsia="宋体" w:cs="宋体"/>
                <w:spacing w:val="-2"/>
                <w:sz w:val="20"/>
                <w:szCs w:val="20"/>
              </w:rPr>
              <w:t>工艺标准化综合要求</w:t>
            </w:r>
          </w:p>
        </w:tc>
        <w:tc>
          <w:tcPr>
            <w:tcW w:w="829" w:type="dxa"/>
            <w:vMerge w:val="restart"/>
            <w:tcBorders>
              <w:bottom w:val="nil"/>
            </w:tcBorders>
            <w:vAlign w:val="top"/>
          </w:tcPr>
          <w:p w14:paraId="0FCAFDB4">
            <w:pPr>
              <w:spacing w:before="200" w:line="155" w:lineRule="exact"/>
              <w:ind w:left="306"/>
              <w:rPr>
                <w:rFonts w:ascii="宋体" w:hAnsi="宋体" w:eastAsia="宋体" w:cs="宋体"/>
                <w:sz w:val="20"/>
                <w:szCs w:val="20"/>
              </w:rPr>
            </w:pPr>
            <w:r>
              <w:rPr>
                <w:rFonts w:ascii="宋体" w:hAnsi="宋体" w:eastAsia="宋体" w:cs="宋体"/>
                <w:position w:val="-4"/>
                <w:sz w:val="20"/>
                <w:szCs w:val="20"/>
              </w:rPr>
              <w:t>一</w:t>
            </w:r>
          </w:p>
        </w:tc>
        <w:tc>
          <w:tcPr>
            <w:tcW w:w="839" w:type="dxa"/>
            <w:vMerge w:val="restart"/>
            <w:tcBorders>
              <w:bottom w:val="nil"/>
            </w:tcBorders>
            <w:vAlign w:val="top"/>
          </w:tcPr>
          <w:p w14:paraId="78694D7D">
            <w:pPr>
              <w:spacing w:before="156"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Merge w:val="restart"/>
            <w:tcBorders>
              <w:bottom w:val="nil"/>
            </w:tcBorders>
            <w:vAlign w:val="top"/>
          </w:tcPr>
          <w:p w14:paraId="22614AE8">
            <w:pPr>
              <w:spacing w:before="156"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59A3A99C">
            <w:pPr>
              <w:pStyle w:val="6"/>
              <w:spacing w:line="200" w:lineRule="exact"/>
              <w:rPr>
                <w:sz w:val="17"/>
              </w:rPr>
            </w:pPr>
          </w:p>
        </w:tc>
      </w:tr>
      <w:tr w14:paraId="29BF6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 w:hRule="atLeast"/>
        </w:trPr>
        <w:tc>
          <w:tcPr>
            <w:tcW w:w="1254" w:type="dxa"/>
            <w:vMerge w:val="continue"/>
            <w:tcBorders>
              <w:top w:val="nil"/>
              <w:bottom w:val="nil"/>
            </w:tcBorders>
            <w:vAlign w:val="top"/>
          </w:tcPr>
          <w:p w14:paraId="1AD2F018">
            <w:pPr>
              <w:pStyle w:val="6"/>
            </w:pPr>
          </w:p>
        </w:tc>
        <w:tc>
          <w:tcPr>
            <w:tcW w:w="619" w:type="dxa"/>
            <w:vMerge w:val="continue"/>
            <w:tcBorders>
              <w:top w:val="nil"/>
            </w:tcBorders>
            <w:vAlign w:val="top"/>
          </w:tcPr>
          <w:p w14:paraId="5904FBDD">
            <w:pPr>
              <w:pStyle w:val="6"/>
            </w:pPr>
          </w:p>
        </w:tc>
        <w:tc>
          <w:tcPr>
            <w:tcW w:w="3346" w:type="dxa"/>
            <w:vMerge w:val="continue"/>
            <w:tcBorders>
              <w:top w:val="nil"/>
            </w:tcBorders>
            <w:vAlign w:val="top"/>
          </w:tcPr>
          <w:p w14:paraId="448B7589">
            <w:pPr>
              <w:pStyle w:val="6"/>
            </w:pPr>
          </w:p>
        </w:tc>
        <w:tc>
          <w:tcPr>
            <w:tcW w:w="829" w:type="dxa"/>
            <w:vMerge w:val="continue"/>
            <w:tcBorders>
              <w:top w:val="nil"/>
            </w:tcBorders>
            <w:vAlign w:val="top"/>
          </w:tcPr>
          <w:p w14:paraId="09826D4E">
            <w:pPr>
              <w:pStyle w:val="6"/>
            </w:pPr>
          </w:p>
        </w:tc>
        <w:tc>
          <w:tcPr>
            <w:tcW w:w="839" w:type="dxa"/>
            <w:vMerge w:val="continue"/>
            <w:tcBorders>
              <w:top w:val="nil"/>
            </w:tcBorders>
            <w:vAlign w:val="top"/>
          </w:tcPr>
          <w:p w14:paraId="1BC0E85C">
            <w:pPr>
              <w:pStyle w:val="6"/>
            </w:pPr>
          </w:p>
        </w:tc>
        <w:tc>
          <w:tcPr>
            <w:tcW w:w="1039" w:type="dxa"/>
            <w:vMerge w:val="continue"/>
            <w:tcBorders>
              <w:top w:val="nil"/>
            </w:tcBorders>
            <w:vAlign w:val="top"/>
          </w:tcPr>
          <w:p w14:paraId="6EF7220D">
            <w:pPr>
              <w:pStyle w:val="6"/>
            </w:pPr>
          </w:p>
        </w:tc>
        <w:tc>
          <w:tcPr>
            <w:tcW w:w="1414" w:type="dxa"/>
            <w:vAlign w:val="top"/>
          </w:tcPr>
          <w:p w14:paraId="6E161D3D">
            <w:pPr>
              <w:pStyle w:val="6"/>
              <w:spacing w:line="170" w:lineRule="exact"/>
              <w:rPr>
                <w:sz w:val="14"/>
              </w:rPr>
            </w:pPr>
          </w:p>
        </w:tc>
      </w:tr>
      <w:tr w14:paraId="0CBDA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254" w:type="dxa"/>
            <w:vMerge w:val="continue"/>
            <w:tcBorders>
              <w:top w:val="nil"/>
              <w:bottom w:val="nil"/>
            </w:tcBorders>
            <w:vAlign w:val="top"/>
          </w:tcPr>
          <w:p w14:paraId="33553141">
            <w:pPr>
              <w:pStyle w:val="6"/>
            </w:pPr>
          </w:p>
        </w:tc>
        <w:tc>
          <w:tcPr>
            <w:tcW w:w="619" w:type="dxa"/>
            <w:vMerge w:val="restart"/>
            <w:tcBorders>
              <w:bottom w:val="nil"/>
            </w:tcBorders>
            <w:vAlign w:val="top"/>
          </w:tcPr>
          <w:p w14:paraId="2D2C530A">
            <w:pPr>
              <w:spacing w:before="135" w:line="241" w:lineRule="auto"/>
              <w:ind w:left="251"/>
              <w:rPr>
                <w:rFonts w:ascii="宋体" w:hAnsi="宋体" w:eastAsia="宋体" w:cs="宋体"/>
                <w:sz w:val="20"/>
                <w:szCs w:val="20"/>
              </w:rPr>
            </w:pPr>
            <w:r>
              <w:rPr>
                <w:rFonts w:ascii="宋体" w:hAnsi="宋体" w:eastAsia="宋体" w:cs="宋体"/>
                <w:sz w:val="20"/>
                <w:szCs w:val="20"/>
              </w:rPr>
              <w:t>4</w:t>
            </w:r>
          </w:p>
        </w:tc>
        <w:tc>
          <w:tcPr>
            <w:tcW w:w="3346" w:type="dxa"/>
            <w:vMerge w:val="restart"/>
            <w:tcBorders>
              <w:bottom w:val="nil"/>
            </w:tcBorders>
            <w:vAlign w:val="top"/>
          </w:tcPr>
          <w:p w14:paraId="78D79D5D">
            <w:pPr>
              <w:spacing w:before="115" w:line="220" w:lineRule="auto"/>
              <w:ind w:left="102"/>
              <w:rPr>
                <w:rFonts w:ascii="宋体" w:hAnsi="宋体" w:eastAsia="宋体" w:cs="宋体"/>
                <w:sz w:val="20"/>
                <w:szCs w:val="20"/>
              </w:rPr>
            </w:pPr>
            <w:r>
              <w:rPr>
                <w:rFonts w:ascii="宋体" w:hAnsi="宋体" w:eastAsia="宋体" w:cs="宋体"/>
                <w:spacing w:val="-1"/>
                <w:sz w:val="20"/>
                <w:szCs w:val="20"/>
              </w:rPr>
              <w:t>大型试验标准化综合要求</w:t>
            </w:r>
          </w:p>
        </w:tc>
        <w:tc>
          <w:tcPr>
            <w:tcW w:w="829" w:type="dxa"/>
            <w:vMerge w:val="restart"/>
            <w:tcBorders>
              <w:bottom w:val="nil"/>
            </w:tcBorders>
            <w:vAlign w:val="top"/>
          </w:tcPr>
          <w:p w14:paraId="3AB0EB96">
            <w:pPr>
              <w:spacing w:before="210" w:line="155" w:lineRule="exact"/>
              <w:ind w:left="306"/>
              <w:rPr>
                <w:rFonts w:ascii="宋体" w:hAnsi="宋体" w:eastAsia="宋体" w:cs="宋体"/>
                <w:sz w:val="20"/>
                <w:szCs w:val="20"/>
              </w:rPr>
            </w:pPr>
            <w:r>
              <w:rPr>
                <w:rFonts w:ascii="宋体" w:hAnsi="宋体" w:eastAsia="宋体" w:cs="宋体"/>
                <w:position w:val="-4"/>
                <w:sz w:val="20"/>
                <w:szCs w:val="20"/>
              </w:rPr>
              <w:t>一</w:t>
            </w:r>
          </w:p>
        </w:tc>
        <w:tc>
          <w:tcPr>
            <w:tcW w:w="839" w:type="dxa"/>
            <w:vMerge w:val="restart"/>
            <w:tcBorders>
              <w:bottom w:val="nil"/>
            </w:tcBorders>
            <w:vAlign w:val="top"/>
          </w:tcPr>
          <w:p w14:paraId="287AFEF6">
            <w:pPr>
              <w:spacing w:before="166"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7F40BB7A">
            <w:pPr>
              <w:pStyle w:val="6"/>
              <w:spacing w:line="200" w:lineRule="exact"/>
              <w:rPr>
                <w:sz w:val="17"/>
              </w:rPr>
            </w:pPr>
          </w:p>
        </w:tc>
        <w:tc>
          <w:tcPr>
            <w:tcW w:w="1414" w:type="dxa"/>
            <w:vAlign w:val="top"/>
          </w:tcPr>
          <w:p w14:paraId="35CE0AF4">
            <w:pPr>
              <w:pStyle w:val="6"/>
              <w:spacing w:line="200" w:lineRule="exact"/>
              <w:rPr>
                <w:sz w:val="17"/>
              </w:rPr>
            </w:pPr>
          </w:p>
        </w:tc>
      </w:tr>
      <w:tr w14:paraId="20648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1254" w:type="dxa"/>
            <w:vMerge w:val="continue"/>
            <w:tcBorders>
              <w:top w:val="nil"/>
              <w:bottom w:val="nil"/>
            </w:tcBorders>
            <w:vAlign w:val="top"/>
          </w:tcPr>
          <w:p w14:paraId="65199ACD">
            <w:pPr>
              <w:pStyle w:val="6"/>
            </w:pPr>
          </w:p>
        </w:tc>
        <w:tc>
          <w:tcPr>
            <w:tcW w:w="619" w:type="dxa"/>
            <w:vMerge w:val="continue"/>
            <w:tcBorders>
              <w:top w:val="nil"/>
            </w:tcBorders>
            <w:vAlign w:val="top"/>
          </w:tcPr>
          <w:p w14:paraId="35253BF8">
            <w:pPr>
              <w:pStyle w:val="6"/>
            </w:pPr>
          </w:p>
        </w:tc>
        <w:tc>
          <w:tcPr>
            <w:tcW w:w="3346" w:type="dxa"/>
            <w:vMerge w:val="continue"/>
            <w:tcBorders>
              <w:top w:val="nil"/>
            </w:tcBorders>
            <w:vAlign w:val="top"/>
          </w:tcPr>
          <w:p w14:paraId="69E22FDC">
            <w:pPr>
              <w:pStyle w:val="6"/>
            </w:pPr>
          </w:p>
        </w:tc>
        <w:tc>
          <w:tcPr>
            <w:tcW w:w="829" w:type="dxa"/>
            <w:vMerge w:val="continue"/>
            <w:tcBorders>
              <w:top w:val="nil"/>
            </w:tcBorders>
            <w:vAlign w:val="top"/>
          </w:tcPr>
          <w:p w14:paraId="2B4DAEC4">
            <w:pPr>
              <w:pStyle w:val="6"/>
            </w:pPr>
          </w:p>
        </w:tc>
        <w:tc>
          <w:tcPr>
            <w:tcW w:w="839" w:type="dxa"/>
            <w:vMerge w:val="continue"/>
            <w:tcBorders>
              <w:top w:val="nil"/>
            </w:tcBorders>
            <w:vAlign w:val="top"/>
          </w:tcPr>
          <w:p w14:paraId="00567859">
            <w:pPr>
              <w:pStyle w:val="6"/>
            </w:pPr>
          </w:p>
        </w:tc>
        <w:tc>
          <w:tcPr>
            <w:tcW w:w="1039" w:type="dxa"/>
            <w:vAlign w:val="top"/>
          </w:tcPr>
          <w:p w14:paraId="69DCC10C">
            <w:pPr>
              <w:pStyle w:val="6"/>
              <w:spacing w:line="180" w:lineRule="exact"/>
              <w:rPr>
                <w:sz w:val="15"/>
              </w:rPr>
            </w:pPr>
          </w:p>
        </w:tc>
        <w:tc>
          <w:tcPr>
            <w:tcW w:w="1414" w:type="dxa"/>
            <w:vAlign w:val="top"/>
          </w:tcPr>
          <w:p w14:paraId="691C0F23">
            <w:pPr>
              <w:pStyle w:val="6"/>
              <w:spacing w:line="180" w:lineRule="exact"/>
              <w:rPr>
                <w:sz w:val="15"/>
              </w:rPr>
            </w:pPr>
          </w:p>
        </w:tc>
      </w:tr>
      <w:tr w14:paraId="6F54F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254" w:type="dxa"/>
            <w:vMerge w:val="continue"/>
            <w:tcBorders>
              <w:top w:val="nil"/>
              <w:bottom w:val="nil"/>
            </w:tcBorders>
            <w:vAlign w:val="top"/>
          </w:tcPr>
          <w:p w14:paraId="3C235C9F">
            <w:pPr>
              <w:pStyle w:val="6"/>
            </w:pPr>
          </w:p>
        </w:tc>
        <w:tc>
          <w:tcPr>
            <w:tcW w:w="619" w:type="dxa"/>
            <w:vMerge w:val="restart"/>
            <w:tcBorders>
              <w:bottom w:val="nil"/>
            </w:tcBorders>
            <w:vAlign w:val="top"/>
          </w:tcPr>
          <w:p w14:paraId="1DDF5736">
            <w:pPr>
              <w:spacing w:before="134"/>
              <w:ind w:left="251"/>
              <w:rPr>
                <w:rFonts w:ascii="宋体" w:hAnsi="宋体" w:eastAsia="宋体" w:cs="宋体"/>
                <w:sz w:val="20"/>
                <w:szCs w:val="20"/>
              </w:rPr>
            </w:pPr>
            <w:r>
              <w:rPr>
                <w:rFonts w:ascii="宋体" w:hAnsi="宋体" w:eastAsia="宋体" w:cs="宋体"/>
                <w:sz w:val="20"/>
                <w:szCs w:val="20"/>
              </w:rPr>
              <w:t>5</w:t>
            </w:r>
          </w:p>
        </w:tc>
        <w:tc>
          <w:tcPr>
            <w:tcW w:w="3346" w:type="dxa"/>
            <w:vMerge w:val="restart"/>
            <w:tcBorders>
              <w:bottom w:val="nil"/>
            </w:tcBorders>
            <w:vAlign w:val="top"/>
          </w:tcPr>
          <w:p w14:paraId="515FFDD2">
            <w:pPr>
              <w:spacing w:before="115" w:line="219" w:lineRule="auto"/>
              <w:ind w:left="102"/>
              <w:rPr>
                <w:rFonts w:ascii="宋体" w:hAnsi="宋体" w:eastAsia="宋体" w:cs="宋体"/>
                <w:sz w:val="20"/>
                <w:szCs w:val="20"/>
              </w:rPr>
            </w:pPr>
            <w:r>
              <w:rPr>
                <w:rFonts w:ascii="宋体" w:hAnsi="宋体" w:eastAsia="宋体" w:cs="宋体"/>
                <w:sz w:val="20"/>
                <w:szCs w:val="20"/>
              </w:rPr>
              <w:t>设计文件编制标准化要求</w:t>
            </w:r>
          </w:p>
        </w:tc>
        <w:tc>
          <w:tcPr>
            <w:tcW w:w="829" w:type="dxa"/>
            <w:vMerge w:val="restart"/>
            <w:tcBorders>
              <w:bottom w:val="nil"/>
            </w:tcBorders>
            <w:vAlign w:val="top"/>
          </w:tcPr>
          <w:p w14:paraId="28EC42A9">
            <w:pPr>
              <w:spacing w:before="166"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5D73C52A">
            <w:pPr>
              <w:pStyle w:val="6"/>
              <w:spacing w:line="200" w:lineRule="exact"/>
              <w:rPr>
                <w:sz w:val="17"/>
              </w:rPr>
            </w:pPr>
          </w:p>
        </w:tc>
        <w:tc>
          <w:tcPr>
            <w:tcW w:w="1039" w:type="dxa"/>
            <w:vAlign w:val="top"/>
          </w:tcPr>
          <w:p w14:paraId="0E2B7D76">
            <w:pPr>
              <w:pStyle w:val="6"/>
              <w:spacing w:line="200" w:lineRule="exact"/>
              <w:rPr>
                <w:sz w:val="17"/>
              </w:rPr>
            </w:pPr>
          </w:p>
        </w:tc>
        <w:tc>
          <w:tcPr>
            <w:tcW w:w="1414" w:type="dxa"/>
            <w:vMerge w:val="restart"/>
            <w:tcBorders>
              <w:bottom w:val="nil"/>
            </w:tcBorders>
            <w:vAlign w:val="top"/>
          </w:tcPr>
          <w:p w14:paraId="676A48A3">
            <w:pPr>
              <w:spacing w:before="210" w:line="155" w:lineRule="exact"/>
              <w:ind w:left="599"/>
              <w:rPr>
                <w:rFonts w:ascii="宋体" w:hAnsi="宋体" w:eastAsia="宋体" w:cs="宋体"/>
                <w:sz w:val="20"/>
                <w:szCs w:val="20"/>
              </w:rPr>
            </w:pPr>
            <w:r>
              <w:rPr>
                <w:rFonts w:ascii="宋体" w:hAnsi="宋体" w:eastAsia="宋体" w:cs="宋体"/>
                <w:position w:val="-4"/>
                <w:sz w:val="20"/>
                <w:szCs w:val="20"/>
              </w:rPr>
              <w:t>一</w:t>
            </w:r>
          </w:p>
        </w:tc>
      </w:tr>
      <w:tr w14:paraId="418AC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 w:hRule="atLeast"/>
        </w:trPr>
        <w:tc>
          <w:tcPr>
            <w:tcW w:w="1254" w:type="dxa"/>
            <w:vMerge w:val="continue"/>
            <w:tcBorders>
              <w:top w:val="nil"/>
              <w:bottom w:val="nil"/>
            </w:tcBorders>
            <w:vAlign w:val="top"/>
          </w:tcPr>
          <w:p w14:paraId="4324AD09">
            <w:pPr>
              <w:pStyle w:val="6"/>
            </w:pPr>
          </w:p>
        </w:tc>
        <w:tc>
          <w:tcPr>
            <w:tcW w:w="619" w:type="dxa"/>
            <w:vMerge w:val="continue"/>
            <w:tcBorders>
              <w:top w:val="nil"/>
            </w:tcBorders>
            <w:vAlign w:val="top"/>
          </w:tcPr>
          <w:p w14:paraId="22B1DCAE">
            <w:pPr>
              <w:pStyle w:val="6"/>
            </w:pPr>
          </w:p>
        </w:tc>
        <w:tc>
          <w:tcPr>
            <w:tcW w:w="3346" w:type="dxa"/>
            <w:vMerge w:val="continue"/>
            <w:tcBorders>
              <w:top w:val="nil"/>
            </w:tcBorders>
            <w:vAlign w:val="top"/>
          </w:tcPr>
          <w:p w14:paraId="4BC4F86D">
            <w:pPr>
              <w:pStyle w:val="6"/>
            </w:pPr>
          </w:p>
        </w:tc>
        <w:tc>
          <w:tcPr>
            <w:tcW w:w="829" w:type="dxa"/>
            <w:vMerge w:val="continue"/>
            <w:tcBorders>
              <w:top w:val="nil"/>
            </w:tcBorders>
            <w:vAlign w:val="top"/>
          </w:tcPr>
          <w:p w14:paraId="48FCE29E">
            <w:pPr>
              <w:pStyle w:val="6"/>
            </w:pPr>
          </w:p>
        </w:tc>
        <w:tc>
          <w:tcPr>
            <w:tcW w:w="839" w:type="dxa"/>
            <w:vAlign w:val="top"/>
          </w:tcPr>
          <w:p w14:paraId="5BA38E6B">
            <w:pPr>
              <w:pStyle w:val="6"/>
              <w:spacing w:line="190" w:lineRule="exact"/>
              <w:rPr>
                <w:sz w:val="16"/>
              </w:rPr>
            </w:pPr>
          </w:p>
        </w:tc>
        <w:tc>
          <w:tcPr>
            <w:tcW w:w="1039" w:type="dxa"/>
            <w:vAlign w:val="top"/>
          </w:tcPr>
          <w:p w14:paraId="2E87F42B">
            <w:pPr>
              <w:pStyle w:val="6"/>
              <w:spacing w:line="190" w:lineRule="exact"/>
              <w:rPr>
                <w:sz w:val="16"/>
              </w:rPr>
            </w:pPr>
          </w:p>
        </w:tc>
        <w:tc>
          <w:tcPr>
            <w:tcW w:w="1414" w:type="dxa"/>
            <w:vMerge w:val="continue"/>
            <w:tcBorders>
              <w:top w:val="nil"/>
            </w:tcBorders>
            <w:vAlign w:val="top"/>
          </w:tcPr>
          <w:p w14:paraId="5E8DB41A">
            <w:pPr>
              <w:pStyle w:val="6"/>
            </w:pPr>
          </w:p>
        </w:tc>
      </w:tr>
      <w:tr w14:paraId="2871F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254" w:type="dxa"/>
            <w:vMerge w:val="continue"/>
            <w:tcBorders>
              <w:top w:val="nil"/>
              <w:bottom w:val="nil"/>
            </w:tcBorders>
            <w:vAlign w:val="top"/>
          </w:tcPr>
          <w:p w14:paraId="48367F0B">
            <w:pPr>
              <w:pStyle w:val="6"/>
            </w:pPr>
          </w:p>
        </w:tc>
        <w:tc>
          <w:tcPr>
            <w:tcW w:w="619" w:type="dxa"/>
            <w:vAlign w:val="top"/>
          </w:tcPr>
          <w:p w14:paraId="20D4EC94">
            <w:pPr>
              <w:spacing w:before="134"/>
              <w:ind w:left="251"/>
              <w:rPr>
                <w:rFonts w:ascii="宋体" w:hAnsi="宋体" w:eastAsia="宋体" w:cs="宋体"/>
                <w:sz w:val="20"/>
                <w:szCs w:val="20"/>
              </w:rPr>
            </w:pPr>
            <w:r>
              <w:rPr>
                <w:rFonts w:ascii="宋体" w:hAnsi="宋体" w:eastAsia="宋体" w:cs="宋体"/>
                <w:sz w:val="20"/>
                <w:szCs w:val="20"/>
              </w:rPr>
              <w:t>6</w:t>
            </w:r>
          </w:p>
        </w:tc>
        <w:tc>
          <w:tcPr>
            <w:tcW w:w="3346" w:type="dxa"/>
            <w:vAlign w:val="top"/>
          </w:tcPr>
          <w:p w14:paraId="4DE7B683">
            <w:pPr>
              <w:spacing w:before="115" w:line="220" w:lineRule="auto"/>
              <w:ind w:left="102"/>
              <w:rPr>
                <w:rFonts w:ascii="宋体" w:hAnsi="宋体" w:eastAsia="宋体" w:cs="宋体"/>
                <w:sz w:val="20"/>
                <w:szCs w:val="20"/>
              </w:rPr>
            </w:pPr>
            <w:r>
              <w:rPr>
                <w:rFonts w:ascii="宋体" w:hAnsi="宋体" w:eastAsia="宋体" w:cs="宋体"/>
                <w:spacing w:val="1"/>
                <w:sz w:val="20"/>
                <w:szCs w:val="20"/>
              </w:rPr>
              <w:t>设计定型标准化要求</w:t>
            </w:r>
          </w:p>
        </w:tc>
        <w:tc>
          <w:tcPr>
            <w:tcW w:w="829" w:type="dxa"/>
            <w:vAlign w:val="top"/>
          </w:tcPr>
          <w:p w14:paraId="32D9B3DE">
            <w:pPr>
              <w:spacing w:before="210" w:line="155" w:lineRule="exact"/>
              <w:ind w:left="306"/>
              <w:rPr>
                <w:rFonts w:ascii="宋体" w:hAnsi="宋体" w:eastAsia="宋体" w:cs="宋体"/>
                <w:sz w:val="20"/>
                <w:szCs w:val="20"/>
              </w:rPr>
            </w:pPr>
            <w:r>
              <w:rPr>
                <w:rFonts w:ascii="宋体" w:hAnsi="宋体" w:eastAsia="宋体" w:cs="宋体"/>
                <w:position w:val="-4"/>
                <w:sz w:val="20"/>
                <w:szCs w:val="20"/>
              </w:rPr>
              <w:t>一</w:t>
            </w:r>
          </w:p>
        </w:tc>
        <w:tc>
          <w:tcPr>
            <w:tcW w:w="839" w:type="dxa"/>
            <w:vAlign w:val="top"/>
          </w:tcPr>
          <w:p w14:paraId="3D678F93">
            <w:pPr>
              <w:spacing w:before="210" w:line="155" w:lineRule="exact"/>
              <w:ind w:left="317"/>
              <w:rPr>
                <w:rFonts w:ascii="宋体" w:hAnsi="宋体" w:eastAsia="宋体" w:cs="宋体"/>
                <w:sz w:val="20"/>
                <w:szCs w:val="20"/>
              </w:rPr>
            </w:pPr>
            <w:r>
              <w:rPr>
                <w:rFonts w:ascii="宋体" w:hAnsi="宋体" w:eastAsia="宋体" w:cs="宋体"/>
                <w:position w:val="-4"/>
                <w:sz w:val="20"/>
                <w:szCs w:val="20"/>
              </w:rPr>
              <w:t>一</w:t>
            </w:r>
          </w:p>
        </w:tc>
        <w:tc>
          <w:tcPr>
            <w:tcW w:w="1039" w:type="dxa"/>
            <w:vAlign w:val="top"/>
          </w:tcPr>
          <w:p w14:paraId="5ACF7132">
            <w:pPr>
              <w:spacing w:before="210" w:line="155" w:lineRule="exact"/>
              <w:ind w:left="418"/>
              <w:rPr>
                <w:rFonts w:ascii="宋体" w:hAnsi="宋体" w:eastAsia="宋体" w:cs="宋体"/>
                <w:sz w:val="20"/>
                <w:szCs w:val="20"/>
              </w:rPr>
            </w:pPr>
            <w:r>
              <w:rPr>
                <w:rFonts w:ascii="宋体" w:hAnsi="宋体" w:eastAsia="宋体" w:cs="宋体"/>
                <w:position w:val="-4"/>
                <w:sz w:val="20"/>
                <w:szCs w:val="20"/>
              </w:rPr>
              <w:t>一</w:t>
            </w:r>
          </w:p>
        </w:tc>
        <w:tc>
          <w:tcPr>
            <w:tcW w:w="1414" w:type="dxa"/>
            <w:vAlign w:val="top"/>
          </w:tcPr>
          <w:p w14:paraId="105F5772">
            <w:pPr>
              <w:spacing w:before="166" w:line="183" w:lineRule="auto"/>
              <w:ind w:left="649"/>
              <w:rPr>
                <w:rFonts w:ascii="宋体" w:hAnsi="宋体" w:eastAsia="宋体" w:cs="宋体"/>
                <w:sz w:val="20"/>
                <w:szCs w:val="20"/>
              </w:rPr>
            </w:pPr>
            <w:r>
              <w:rPr>
                <w:rFonts w:ascii="宋体" w:hAnsi="宋体" w:eastAsia="宋体" w:cs="宋体"/>
                <w:sz w:val="20"/>
                <w:szCs w:val="20"/>
              </w:rPr>
              <w:t>O</w:t>
            </w:r>
          </w:p>
        </w:tc>
      </w:tr>
      <w:tr w14:paraId="6BD65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 w:hRule="atLeast"/>
        </w:trPr>
        <w:tc>
          <w:tcPr>
            <w:tcW w:w="1254" w:type="dxa"/>
            <w:vMerge w:val="continue"/>
            <w:tcBorders>
              <w:top w:val="nil"/>
              <w:bottom w:val="nil"/>
            </w:tcBorders>
            <w:vAlign w:val="top"/>
          </w:tcPr>
          <w:p w14:paraId="0BF7C99A">
            <w:pPr>
              <w:pStyle w:val="6"/>
            </w:pPr>
          </w:p>
        </w:tc>
        <w:tc>
          <w:tcPr>
            <w:tcW w:w="619" w:type="dxa"/>
            <w:vMerge w:val="restart"/>
            <w:tcBorders>
              <w:bottom w:val="nil"/>
            </w:tcBorders>
            <w:vAlign w:val="top"/>
          </w:tcPr>
          <w:p w14:paraId="6FE9964A">
            <w:pPr>
              <w:spacing w:before="125"/>
              <w:ind w:left="251"/>
              <w:rPr>
                <w:rFonts w:ascii="宋体" w:hAnsi="宋体" w:eastAsia="宋体" w:cs="宋体"/>
                <w:sz w:val="20"/>
                <w:szCs w:val="20"/>
              </w:rPr>
            </w:pPr>
            <w:r>
              <w:rPr>
                <w:rFonts w:ascii="宋体" w:hAnsi="宋体" w:eastAsia="宋体" w:cs="宋体"/>
                <w:sz w:val="20"/>
                <w:szCs w:val="20"/>
              </w:rPr>
              <w:t>7</w:t>
            </w:r>
          </w:p>
        </w:tc>
        <w:tc>
          <w:tcPr>
            <w:tcW w:w="3346" w:type="dxa"/>
            <w:vMerge w:val="restart"/>
            <w:tcBorders>
              <w:bottom w:val="nil"/>
            </w:tcBorders>
            <w:vAlign w:val="top"/>
          </w:tcPr>
          <w:p w14:paraId="180E5469">
            <w:pPr>
              <w:spacing w:before="106" w:line="219" w:lineRule="auto"/>
              <w:ind w:left="102"/>
              <w:rPr>
                <w:rFonts w:ascii="宋体" w:hAnsi="宋体" w:eastAsia="宋体" w:cs="宋体"/>
                <w:sz w:val="20"/>
                <w:szCs w:val="20"/>
              </w:rPr>
            </w:pPr>
            <w:r>
              <w:rPr>
                <w:rFonts w:ascii="宋体" w:hAnsi="宋体" w:eastAsia="宋体" w:cs="宋体"/>
                <w:spacing w:val="-1"/>
                <w:sz w:val="20"/>
                <w:szCs w:val="20"/>
              </w:rPr>
              <w:t>产品设计“三化”方案与要求</w:t>
            </w:r>
          </w:p>
        </w:tc>
        <w:tc>
          <w:tcPr>
            <w:tcW w:w="829" w:type="dxa"/>
            <w:vMerge w:val="restart"/>
            <w:tcBorders>
              <w:bottom w:val="nil"/>
            </w:tcBorders>
            <w:vAlign w:val="top"/>
          </w:tcPr>
          <w:p w14:paraId="53792C63">
            <w:pPr>
              <w:spacing w:before="157"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31317D69">
            <w:pPr>
              <w:pStyle w:val="6"/>
              <w:spacing w:line="190" w:lineRule="exact"/>
              <w:rPr>
                <w:sz w:val="16"/>
              </w:rPr>
            </w:pPr>
          </w:p>
        </w:tc>
        <w:tc>
          <w:tcPr>
            <w:tcW w:w="1039" w:type="dxa"/>
            <w:vAlign w:val="top"/>
          </w:tcPr>
          <w:p w14:paraId="32C4298D">
            <w:pPr>
              <w:pStyle w:val="6"/>
              <w:spacing w:line="190" w:lineRule="exact"/>
              <w:rPr>
                <w:sz w:val="16"/>
              </w:rPr>
            </w:pPr>
          </w:p>
        </w:tc>
        <w:tc>
          <w:tcPr>
            <w:tcW w:w="1414" w:type="dxa"/>
            <w:vMerge w:val="restart"/>
            <w:tcBorders>
              <w:bottom w:val="nil"/>
            </w:tcBorders>
            <w:vAlign w:val="top"/>
          </w:tcPr>
          <w:p w14:paraId="03997757">
            <w:pPr>
              <w:spacing w:before="201" w:line="155" w:lineRule="exact"/>
              <w:ind w:left="599"/>
              <w:rPr>
                <w:rFonts w:ascii="宋体" w:hAnsi="宋体" w:eastAsia="宋体" w:cs="宋体"/>
                <w:sz w:val="20"/>
                <w:szCs w:val="20"/>
              </w:rPr>
            </w:pPr>
            <w:r>
              <w:rPr>
                <w:rFonts w:ascii="宋体" w:hAnsi="宋体" w:eastAsia="宋体" w:cs="宋体"/>
                <w:position w:val="-4"/>
                <w:sz w:val="20"/>
                <w:szCs w:val="20"/>
              </w:rPr>
              <w:t>一</w:t>
            </w:r>
          </w:p>
        </w:tc>
      </w:tr>
      <w:tr w14:paraId="319D2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1254" w:type="dxa"/>
            <w:vMerge w:val="continue"/>
            <w:tcBorders>
              <w:top w:val="nil"/>
              <w:bottom w:val="nil"/>
            </w:tcBorders>
            <w:vAlign w:val="top"/>
          </w:tcPr>
          <w:p w14:paraId="22E640A0">
            <w:pPr>
              <w:pStyle w:val="6"/>
            </w:pPr>
          </w:p>
        </w:tc>
        <w:tc>
          <w:tcPr>
            <w:tcW w:w="619" w:type="dxa"/>
            <w:vMerge w:val="continue"/>
            <w:tcBorders>
              <w:top w:val="nil"/>
            </w:tcBorders>
            <w:vAlign w:val="top"/>
          </w:tcPr>
          <w:p w14:paraId="63265FED">
            <w:pPr>
              <w:pStyle w:val="6"/>
            </w:pPr>
          </w:p>
        </w:tc>
        <w:tc>
          <w:tcPr>
            <w:tcW w:w="3346" w:type="dxa"/>
            <w:vMerge w:val="continue"/>
            <w:tcBorders>
              <w:top w:val="nil"/>
            </w:tcBorders>
            <w:vAlign w:val="top"/>
          </w:tcPr>
          <w:p w14:paraId="2CA7C3B3">
            <w:pPr>
              <w:pStyle w:val="6"/>
            </w:pPr>
          </w:p>
        </w:tc>
        <w:tc>
          <w:tcPr>
            <w:tcW w:w="829" w:type="dxa"/>
            <w:vMerge w:val="continue"/>
            <w:tcBorders>
              <w:top w:val="nil"/>
            </w:tcBorders>
            <w:vAlign w:val="top"/>
          </w:tcPr>
          <w:p w14:paraId="7706E212">
            <w:pPr>
              <w:pStyle w:val="6"/>
            </w:pPr>
          </w:p>
        </w:tc>
        <w:tc>
          <w:tcPr>
            <w:tcW w:w="839" w:type="dxa"/>
            <w:vAlign w:val="top"/>
          </w:tcPr>
          <w:p w14:paraId="0B86DC90">
            <w:pPr>
              <w:pStyle w:val="6"/>
              <w:spacing w:line="180" w:lineRule="exact"/>
              <w:rPr>
                <w:sz w:val="15"/>
              </w:rPr>
            </w:pPr>
          </w:p>
        </w:tc>
        <w:tc>
          <w:tcPr>
            <w:tcW w:w="1039" w:type="dxa"/>
            <w:vAlign w:val="top"/>
          </w:tcPr>
          <w:p w14:paraId="45DE356F">
            <w:pPr>
              <w:pStyle w:val="6"/>
              <w:spacing w:line="180" w:lineRule="exact"/>
              <w:rPr>
                <w:sz w:val="15"/>
              </w:rPr>
            </w:pPr>
          </w:p>
        </w:tc>
        <w:tc>
          <w:tcPr>
            <w:tcW w:w="1414" w:type="dxa"/>
            <w:vMerge w:val="continue"/>
            <w:tcBorders>
              <w:top w:val="nil"/>
            </w:tcBorders>
            <w:vAlign w:val="top"/>
          </w:tcPr>
          <w:p w14:paraId="0A243627">
            <w:pPr>
              <w:pStyle w:val="6"/>
            </w:pPr>
          </w:p>
        </w:tc>
      </w:tr>
      <w:tr w14:paraId="16F25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254" w:type="dxa"/>
            <w:vMerge w:val="continue"/>
            <w:tcBorders>
              <w:top w:val="nil"/>
              <w:bottom w:val="nil"/>
            </w:tcBorders>
            <w:vAlign w:val="top"/>
          </w:tcPr>
          <w:p w14:paraId="7BEB5F23">
            <w:pPr>
              <w:pStyle w:val="6"/>
            </w:pPr>
          </w:p>
        </w:tc>
        <w:tc>
          <w:tcPr>
            <w:tcW w:w="619" w:type="dxa"/>
            <w:vMerge w:val="restart"/>
            <w:tcBorders>
              <w:bottom w:val="nil"/>
            </w:tcBorders>
            <w:vAlign w:val="top"/>
          </w:tcPr>
          <w:p w14:paraId="4DE51797">
            <w:pPr>
              <w:spacing w:before="125"/>
              <w:ind w:left="251"/>
              <w:rPr>
                <w:rFonts w:ascii="宋体" w:hAnsi="宋体" w:eastAsia="宋体" w:cs="宋体"/>
                <w:sz w:val="20"/>
                <w:szCs w:val="20"/>
              </w:rPr>
            </w:pPr>
            <w:r>
              <w:rPr>
                <w:rFonts w:ascii="宋体" w:hAnsi="宋体" w:eastAsia="宋体" w:cs="宋体"/>
                <w:sz w:val="20"/>
                <w:szCs w:val="20"/>
              </w:rPr>
              <w:t>8</w:t>
            </w:r>
          </w:p>
        </w:tc>
        <w:tc>
          <w:tcPr>
            <w:tcW w:w="3346" w:type="dxa"/>
            <w:vMerge w:val="restart"/>
            <w:tcBorders>
              <w:bottom w:val="nil"/>
            </w:tcBorders>
            <w:vAlign w:val="top"/>
          </w:tcPr>
          <w:p w14:paraId="7C259FC2">
            <w:pPr>
              <w:spacing w:before="106" w:line="220" w:lineRule="auto"/>
              <w:ind w:left="102"/>
              <w:rPr>
                <w:rFonts w:ascii="宋体" w:hAnsi="宋体" w:eastAsia="宋体" w:cs="宋体"/>
                <w:sz w:val="20"/>
                <w:szCs w:val="20"/>
              </w:rPr>
            </w:pPr>
            <w:r>
              <w:rPr>
                <w:rFonts w:ascii="宋体" w:hAnsi="宋体" w:eastAsia="宋体" w:cs="宋体"/>
                <w:spacing w:val="3"/>
                <w:sz w:val="20"/>
                <w:szCs w:val="20"/>
              </w:rPr>
              <w:t>标准选用范围</w:t>
            </w:r>
          </w:p>
        </w:tc>
        <w:tc>
          <w:tcPr>
            <w:tcW w:w="829" w:type="dxa"/>
            <w:vMerge w:val="restart"/>
            <w:tcBorders>
              <w:bottom w:val="nil"/>
            </w:tcBorders>
            <w:vAlign w:val="top"/>
          </w:tcPr>
          <w:p w14:paraId="60CCDF1A">
            <w:pPr>
              <w:spacing w:before="157"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20E9F684">
            <w:pPr>
              <w:pStyle w:val="6"/>
              <w:spacing w:line="200" w:lineRule="exact"/>
              <w:rPr>
                <w:sz w:val="17"/>
              </w:rPr>
            </w:pPr>
          </w:p>
        </w:tc>
        <w:tc>
          <w:tcPr>
            <w:tcW w:w="1039" w:type="dxa"/>
            <w:vAlign w:val="top"/>
          </w:tcPr>
          <w:p w14:paraId="0F68C893">
            <w:pPr>
              <w:pStyle w:val="6"/>
              <w:spacing w:line="200" w:lineRule="exact"/>
              <w:rPr>
                <w:sz w:val="17"/>
              </w:rPr>
            </w:pPr>
          </w:p>
        </w:tc>
        <w:tc>
          <w:tcPr>
            <w:tcW w:w="1414" w:type="dxa"/>
            <w:vAlign w:val="top"/>
          </w:tcPr>
          <w:p w14:paraId="12BA7B3D">
            <w:pPr>
              <w:pStyle w:val="6"/>
              <w:spacing w:line="200" w:lineRule="exact"/>
              <w:rPr>
                <w:sz w:val="17"/>
              </w:rPr>
            </w:pPr>
          </w:p>
        </w:tc>
      </w:tr>
      <w:tr w14:paraId="5F573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 w:hRule="atLeast"/>
        </w:trPr>
        <w:tc>
          <w:tcPr>
            <w:tcW w:w="1254" w:type="dxa"/>
            <w:vMerge w:val="continue"/>
            <w:tcBorders>
              <w:top w:val="nil"/>
              <w:bottom w:val="nil"/>
            </w:tcBorders>
            <w:vAlign w:val="top"/>
          </w:tcPr>
          <w:p w14:paraId="2D742220">
            <w:pPr>
              <w:pStyle w:val="6"/>
            </w:pPr>
          </w:p>
        </w:tc>
        <w:tc>
          <w:tcPr>
            <w:tcW w:w="619" w:type="dxa"/>
            <w:vMerge w:val="continue"/>
            <w:tcBorders>
              <w:top w:val="nil"/>
            </w:tcBorders>
            <w:vAlign w:val="top"/>
          </w:tcPr>
          <w:p w14:paraId="5F952477">
            <w:pPr>
              <w:pStyle w:val="6"/>
            </w:pPr>
          </w:p>
        </w:tc>
        <w:tc>
          <w:tcPr>
            <w:tcW w:w="3346" w:type="dxa"/>
            <w:vMerge w:val="continue"/>
            <w:tcBorders>
              <w:top w:val="nil"/>
            </w:tcBorders>
            <w:vAlign w:val="top"/>
          </w:tcPr>
          <w:p w14:paraId="38B04160">
            <w:pPr>
              <w:pStyle w:val="6"/>
            </w:pPr>
          </w:p>
        </w:tc>
        <w:tc>
          <w:tcPr>
            <w:tcW w:w="829" w:type="dxa"/>
            <w:vMerge w:val="continue"/>
            <w:tcBorders>
              <w:top w:val="nil"/>
            </w:tcBorders>
            <w:vAlign w:val="top"/>
          </w:tcPr>
          <w:p w14:paraId="3E35E54E">
            <w:pPr>
              <w:pStyle w:val="6"/>
            </w:pPr>
          </w:p>
        </w:tc>
        <w:tc>
          <w:tcPr>
            <w:tcW w:w="839" w:type="dxa"/>
            <w:tcBorders>
              <w:right w:val="single" w:color="000000" w:sz="2" w:space="0"/>
            </w:tcBorders>
            <w:vAlign w:val="top"/>
          </w:tcPr>
          <w:p w14:paraId="17AD226C">
            <w:pPr>
              <w:pStyle w:val="6"/>
              <w:spacing w:line="170" w:lineRule="exact"/>
              <w:rPr>
                <w:sz w:val="14"/>
              </w:rPr>
            </w:pPr>
          </w:p>
        </w:tc>
        <w:tc>
          <w:tcPr>
            <w:tcW w:w="1039" w:type="dxa"/>
            <w:tcBorders>
              <w:left w:val="single" w:color="000000" w:sz="2" w:space="0"/>
              <w:right w:val="single" w:color="000000" w:sz="2" w:space="0"/>
            </w:tcBorders>
            <w:vAlign w:val="top"/>
          </w:tcPr>
          <w:p w14:paraId="74549ABA">
            <w:pPr>
              <w:pStyle w:val="6"/>
              <w:spacing w:line="170" w:lineRule="exact"/>
              <w:rPr>
                <w:sz w:val="14"/>
              </w:rPr>
            </w:pPr>
          </w:p>
        </w:tc>
        <w:tc>
          <w:tcPr>
            <w:tcW w:w="1414" w:type="dxa"/>
            <w:tcBorders>
              <w:left w:val="single" w:color="000000" w:sz="2" w:space="0"/>
              <w:right w:val="single" w:color="000000" w:sz="2" w:space="0"/>
            </w:tcBorders>
            <w:vAlign w:val="top"/>
          </w:tcPr>
          <w:p w14:paraId="28305112">
            <w:pPr>
              <w:pStyle w:val="6"/>
              <w:spacing w:line="170" w:lineRule="exact"/>
              <w:rPr>
                <w:sz w:val="14"/>
              </w:rPr>
            </w:pPr>
          </w:p>
        </w:tc>
      </w:tr>
      <w:tr w14:paraId="75B38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254" w:type="dxa"/>
            <w:vMerge w:val="continue"/>
            <w:tcBorders>
              <w:top w:val="nil"/>
              <w:bottom w:val="nil"/>
            </w:tcBorders>
            <w:vAlign w:val="top"/>
          </w:tcPr>
          <w:p w14:paraId="7DE704E2">
            <w:pPr>
              <w:pStyle w:val="6"/>
            </w:pPr>
          </w:p>
        </w:tc>
        <w:tc>
          <w:tcPr>
            <w:tcW w:w="619" w:type="dxa"/>
            <w:vMerge w:val="restart"/>
            <w:tcBorders>
              <w:bottom w:val="nil"/>
            </w:tcBorders>
            <w:vAlign w:val="top"/>
          </w:tcPr>
          <w:p w14:paraId="262EDA1B">
            <w:pPr>
              <w:spacing w:before="135"/>
              <w:ind w:left="251"/>
              <w:rPr>
                <w:rFonts w:ascii="宋体" w:hAnsi="宋体" w:eastAsia="宋体" w:cs="宋体"/>
                <w:sz w:val="20"/>
                <w:szCs w:val="20"/>
              </w:rPr>
            </w:pPr>
            <w:r>
              <w:rPr>
                <w:rFonts w:ascii="宋体" w:hAnsi="宋体" w:eastAsia="宋体" w:cs="宋体"/>
                <w:sz w:val="20"/>
                <w:szCs w:val="20"/>
              </w:rPr>
              <w:t>9</w:t>
            </w:r>
          </w:p>
        </w:tc>
        <w:tc>
          <w:tcPr>
            <w:tcW w:w="3346" w:type="dxa"/>
            <w:vMerge w:val="restart"/>
            <w:tcBorders>
              <w:bottom w:val="nil"/>
            </w:tcBorders>
            <w:vAlign w:val="top"/>
          </w:tcPr>
          <w:p w14:paraId="57915D30">
            <w:pPr>
              <w:spacing w:before="116" w:line="219" w:lineRule="auto"/>
              <w:ind w:left="102"/>
              <w:rPr>
                <w:rFonts w:ascii="宋体" w:hAnsi="宋体" w:eastAsia="宋体" w:cs="宋体"/>
                <w:sz w:val="20"/>
                <w:szCs w:val="20"/>
              </w:rPr>
            </w:pPr>
            <w:r>
              <w:rPr>
                <w:rFonts w:ascii="宋体" w:hAnsi="宋体" w:eastAsia="宋体" w:cs="宋体"/>
                <w:spacing w:val="2"/>
                <w:sz w:val="20"/>
                <w:szCs w:val="20"/>
              </w:rPr>
              <w:t>标准件选用范围</w:t>
            </w:r>
          </w:p>
        </w:tc>
        <w:tc>
          <w:tcPr>
            <w:tcW w:w="829" w:type="dxa"/>
            <w:vMerge w:val="restart"/>
            <w:tcBorders>
              <w:bottom w:val="nil"/>
            </w:tcBorders>
            <w:vAlign w:val="top"/>
          </w:tcPr>
          <w:p w14:paraId="5C77BA09">
            <w:pPr>
              <w:spacing w:before="167"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53D5B0AD">
            <w:pPr>
              <w:pStyle w:val="6"/>
              <w:spacing w:line="200" w:lineRule="exact"/>
              <w:rPr>
                <w:sz w:val="17"/>
              </w:rPr>
            </w:pPr>
          </w:p>
        </w:tc>
        <w:tc>
          <w:tcPr>
            <w:tcW w:w="1039" w:type="dxa"/>
            <w:vAlign w:val="top"/>
          </w:tcPr>
          <w:p w14:paraId="26475086">
            <w:pPr>
              <w:pStyle w:val="6"/>
              <w:spacing w:line="200" w:lineRule="exact"/>
              <w:rPr>
                <w:sz w:val="17"/>
              </w:rPr>
            </w:pPr>
          </w:p>
        </w:tc>
        <w:tc>
          <w:tcPr>
            <w:tcW w:w="1414" w:type="dxa"/>
            <w:vAlign w:val="top"/>
          </w:tcPr>
          <w:p w14:paraId="33AAD430">
            <w:pPr>
              <w:pStyle w:val="6"/>
              <w:spacing w:line="200" w:lineRule="exact"/>
              <w:rPr>
                <w:sz w:val="17"/>
              </w:rPr>
            </w:pPr>
          </w:p>
        </w:tc>
      </w:tr>
      <w:tr w14:paraId="18D91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1254" w:type="dxa"/>
            <w:vMerge w:val="continue"/>
            <w:tcBorders>
              <w:top w:val="nil"/>
              <w:bottom w:val="nil"/>
            </w:tcBorders>
            <w:vAlign w:val="top"/>
          </w:tcPr>
          <w:p w14:paraId="308AD6CD">
            <w:pPr>
              <w:pStyle w:val="6"/>
            </w:pPr>
          </w:p>
        </w:tc>
        <w:tc>
          <w:tcPr>
            <w:tcW w:w="619" w:type="dxa"/>
            <w:vMerge w:val="continue"/>
            <w:tcBorders>
              <w:top w:val="nil"/>
            </w:tcBorders>
            <w:vAlign w:val="top"/>
          </w:tcPr>
          <w:p w14:paraId="0A427742">
            <w:pPr>
              <w:pStyle w:val="6"/>
            </w:pPr>
          </w:p>
        </w:tc>
        <w:tc>
          <w:tcPr>
            <w:tcW w:w="3346" w:type="dxa"/>
            <w:vMerge w:val="continue"/>
            <w:tcBorders>
              <w:top w:val="nil"/>
            </w:tcBorders>
            <w:vAlign w:val="top"/>
          </w:tcPr>
          <w:p w14:paraId="515F8692">
            <w:pPr>
              <w:pStyle w:val="6"/>
            </w:pPr>
          </w:p>
        </w:tc>
        <w:tc>
          <w:tcPr>
            <w:tcW w:w="829" w:type="dxa"/>
            <w:vMerge w:val="continue"/>
            <w:tcBorders>
              <w:top w:val="nil"/>
            </w:tcBorders>
            <w:vAlign w:val="top"/>
          </w:tcPr>
          <w:p w14:paraId="6261965B">
            <w:pPr>
              <w:pStyle w:val="6"/>
            </w:pPr>
          </w:p>
        </w:tc>
        <w:tc>
          <w:tcPr>
            <w:tcW w:w="839" w:type="dxa"/>
            <w:vAlign w:val="top"/>
          </w:tcPr>
          <w:p w14:paraId="3758F1A0">
            <w:pPr>
              <w:pStyle w:val="6"/>
              <w:spacing w:line="180" w:lineRule="exact"/>
              <w:rPr>
                <w:sz w:val="15"/>
              </w:rPr>
            </w:pPr>
          </w:p>
        </w:tc>
        <w:tc>
          <w:tcPr>
            <w:tcW w:w="1039" w:type="dxa"/>
            <w:vAlign w:val="top"/>
          </w:tcPr>
          <w:p w14:paraId="2D325D08">
            <w:pPr>
              <w:pStyle w:val="6"/>
              <w:spacing w:line="180" w:lineRule="exact"/>
              <w:rPr>
                <w:sz w:val="15"/>
              </w:rPr>
            </w:pPr>
          </w:p>
        </w:tc>
        <w:tc>
          <w:tcPr>
            <w:tcW w:w="1414" w:type="dxa"/>
            <w:vAlign w:val="top"/>
          </w:tcPr>
          <w:p w14:paraId="2388C688">
            <w:pPr>
              <w:pStyle w:val="6"/>
              <w:spacing w:line="180" w:lineRule="exact"/>
              <w:rPr>
                <w:sz w:val="15"/>
              </w:rPr>
            </w:pPr>
          </w:p>
        </w:tc>
      </w:tr>
      <w:tr w14:paraId="1303B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 w:hRule="atLeast"/>
        </w:trPr>
        <w:tc>
          <w:tcPr>
            <w:tcW w:w="1254" w:type="dxa"/>
            <w:vMerge w:val="continue"/>
            <w:tcBorders>
              <w:top w:val="nil"/>
              <w:bottom w:val="nil"/>
            </w:tcBorders>
            <w:vAlign w:val="top"/>
          </w:tcPr>
          <w:p w14:paraId="253BA67C">
            <w:pPr>
              <w:pStyle w:val="6"/>
            </w:pPr>
          </w:p>
        </w:tc>
        <w:tc>
          <w:tcPr>
            <w:tcW w:w="619" w:type="dxa"/>
            <w:vMerge w:val="restart"/>
            <w:tcBorders>
              <w:bottom w:val="nil"/>
            </w:tcBorders>
            <w:vAlign w:val="top"/>
          </w:tcPr>
          <w:p w14:paraId="5CB898B1">
            <w:pPr>
              <w:spacing w:before="135"/>
              <w:ind w:left="201"/>
              <w:rPr>
                <w:rFonts w:ascii="宋体" w:hAnsi="宋体" w:eastAsia="宋体" w:cs="宋体"/>
                <w:sz w:val="20"/>
                <w:szCs w:val="20"/>
              </w:rPr>
            </w:pPr>
            <w:r>
              <w:rPr>
                <w:rFonts w:ascii="宋体" w:hAnsi="宋体" w:eastAsia="宋体" w:cs="宋体"/>
                <w:spacing w:val="-6"/>
                <w:sz w:val="20"/>
                <w:szCs w:val="20"/>
              </w:rPr>
              <w:t>10</w:t>
            </w:r>
          </w:p>
        </w:tc>
        <w:tc>
          <w:tcPr>
            <w:tcW w:w="3346" w:type="dxa"/>
            <w:vMerge w:val="restart"/>
            <w:tcBorders>
              <w:bottom w:val="nil"/>
            </w:tcBorders>
            <w:vAlign w:val="top"/>
          </w:tcPr>
          <w:p w14:paraId="4502987F">
            <w:pPr>
              <w:spacing w:before="114" w:line="219" w:lineRule="auto"/>
              <w:ind w:left="102"/>
              <w:rPr>
                <w:rFonts w:ascii="宋体" w:hAnsi="宋体" w:eastAsia="宋体" w:cs="宋体"/>
                <w:sz w:val="20"/>
                <w:szCs w:val="20"/>
              </w:rPr>
            </w:pPr>
            <w:r>
              <w:rPr>
                <w:rFonts w:ascii="宋体" w:hAnsi="宋体" w:eastAsia="宋体" w:cs="宋体"/>
                <w:spacing w:val="2"/>
                <w:sz w:val="20"/>
                <w:szCs w:val="20"/>
              </w:rPr>
              <w:t>原材料选用范围</w:t>
            </w:r>
          </w:p>
        </w:tc>
        <w:tc>
          <w:tcPr>
            <w:tcW w:w="829" w:type="dxa"/>
            <w:vMerge w:val="restart"/>
            <w:tcBorders>
              <w:bottom w:val="nil"/>
            </w:tcBorders>
            <w:vAlign w:val="top"/>
          </w:tcPr>
          <w:p w14:paraId="5E4907AA">
            <w:pPr>
              <w:spacing w:before="167"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1DBED5F5">
            <w:pPr>
              <w:pStyle w:val="6"/>
              <w:spacing w:line="190" w:lineRule="exact"/>
              <w:rPr>
                <w:sz w:val="16"/>
              </w:rPr>
            </w:pPr>
          </w:p>
        </w:tc>
        <w:tc>
          <w:tcPr>
            <w:tcW w:w="1039" w:type="dxa"/>
            <w:vAlign w:val="top"/>
          </w:tcPr>
          <w:p w14:paraId="652E6F05">
            <w:pPr>
              <w:pStyle w:val="6"/>
              <w:spacing w:line="190" w:lineRule="exact"/>
              <w:rPr>
                <w:sz w:val="16"/>
              </w:rPr>
            </w:pPr>
          </w:p>
        </w:tc>
        <w:tc>
          <w:tcPr>
            <w:tcW w:w="1414" w:type="dxa"/>
            <w:vAlign w:val="top"/>
          </w:tcPr>
          <w:p w14:paraId="31CA9283">
            <w:pPr>
              <w:pStyle w:val="6"/>
              <w:spacing w:line="190" w:lineRule="exact"/>
              <w:rPr>
                <w:sz w:val="16"/>
              </w:rPr>
            </w:pPr>
          </w:p>
        </w:tc>
      </w:tr>
      <w:tr w14:paraId="2C043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 w:hRule="atLeast"/>
        </w:trPr>
        <w:tc>
          <w:tcPr>
            <w:tcW w:w="1254" w:type="dxa"/>
            <w:vMerge w:val="continue"/>
            <w:tcBorders>
              <w:top w:val="nil"/>
              <w:bottom w:val="nil"/>
            </w:tcBorders>
            <w:vAlign w:val="top"/>
          </w:tcPr>
          <w:p w14:paraId="3D5CC869">
            <w:pPr>
              <w:pStyle w:val="6"/>
            </w:pPr>
          </w:p>
        </w:tc>
        <w:tc>
          <w:tcPr>
            <w:tcW w:w="619" w:type="dxa"/>
            <w:vMerge w:val="continue"/>
            <w:tcBorders>
              <w:top w:val="nil"/>
            </w:tcBorders>
            <w:vAlign w:val="top"/>
          </w:tcPr>
          <w:p w14:paraId="6A45930F">
            <w:pPr>
              <w:pStyle w:val="6"/>
            </w:pPr>
          </w:p>
        </w:tc>
        <w:tc>
          <w:tcPr>
            <w:tcW w:w="3346" w:type="dxa"/>
            <w:vMerge w:val="continue"/>
            <w:tcBorders>
              <w:top w:val="nil"/>
            </w:tcBorders>
            <w:vAlign w:val="top"/>
          </w:tcPr>
          <w:p w14:paraId="5AFB5D2A">
            <w:pPr>
              <w:pStyle w:val="6"/>
            </w:pPr>
          </w:p>
        </w:tc>
        <w:tc>
          <w:tcPr>
            <w:tcW w:w="829" w:type="dxa"/>
            <w:vMerge w:val="continue"/>
            <w:tcBorders>
              <w:top w:val="nil"/>
            </w:tcBorders>
            <w:vAlign w:val="top"/>
          </w:tcPr>
          <w:p w14:paraId="47936A40">
            <w:pPr>
              <w:pStyle w:val="6"/>
            </w:pPr>
          </w:p>
        </w:tc>
        <w:tc>
          <w:tcPr>
            <w:tcW w:w="839" w:type="dxa"/>
            <w:vAlign w:val="top"/>
          </w:tcPr>
          <w:p w14:paraId="61532469">
            <w:pPr>
              <w:pStyle w:val="6"/>
              <w:spacing w:line="190" w:lineRule="exact"/>
              <w:rPr>
                <w:sz w:val="16"/>
              </w:rPr>
            </w:pPr>
          </w:p>
        </w:tc>
        <w:tc>
          <w:tcPr>
            <w:tcW w:w="1039" w:type="dxa"/>
            <w:vAlign w:val="top"/>
          </w:tcPr>
          <w:p w14:paraId="13D3CA73">
            <w:pPr>
              <w:pStyle w:val="6"/>
              <w:spacing w:line="190" w:lineRule="exact"/>
              <w:rPr>
                <w:sz w:val="16"/>
              </w:rPr>
            </w:pPr>
          </w:p>
        </w:tc>
        <w:tc>
          <w:tcPr>
            <w:tcW w:w="1414" w:type="dxa"/>
            <w:vAlign w:val="top"/>
          </w:tcPr>
          <w:p w14:paraId="4694670E">
            <w:pPr>
              <w:pStyle w:val="6"/>
              <w:spacing w:line="190" w:lineRule="exact"/>
              <w:rPr>
                <w:sz w:val="16"/>
              </w:rPr>
            </w:pPr>
          </w:p>
        </w:tc>
      </w:tr>
      <w:tr w14:paraId="0658354A">
        <w:tblPrEx>
          <w:tblCellMar>
            <w:top w:w="0" w:type="dxa"/>
            <w:left w:w="0" w:type="dxa"/>
            <w:bottom w:w="0" w:type="dxa"/>
            <w:right w:w="0" w:type="dxa"/>
          </w:tblCellMar>
        </w:tblPrEx>
        <w:trPr>
          <w:trHeight w:val="190" w:hRule="atLeast"/>
        </w:trPr>
        <w:tc>
          <w:tcPr>
            <w:tcW w:w="1254" w:type="dxa"/>
            <w:vMerge w:val="continue"/>
            <w:tcBorders>
              <w:top w:val="nil"/>
              <w:bottom w:val="nil"/>
            </w:tcBorders>
            <w:vAlign w:val="top"/>
          </w:tcPr>
          <w:p w14:paraId="6454228B">
            <w:pPr>
              <w:pStyle w:val="6"/>
            </w:pPr>
          </w:p>
        </w:tc>
        <w:tc>
          <w:tcPr>
            <w:tcW w:w="619" w:type="dxa"/>
            <w:vMerge w:val="restart"/>
            <w:tcBorders>
              <w:bottom w:val="nil"/>
            </w:tcBorders>
            <w:vAlign w:val="top"/>
          </w:tcPr>
          <w:p w14:paraId="73C6F3CD">
            <w:pPr>
              <w:spacing w:before="136" w:line="241" w:lineRule="auto"/>
              <w:ind w:left="201"/>
              <w:rPr>
                <w:rFonts w:ascii="宋体" w:hAnsi="宋体" w:eastAsia="宋体" w:cs="宋体"/>
                <w:sz w:val="20"/>
                <w:szCs w:val="20"/>
              </w:rPr>
            </w:pPr>
            <w:r>
              <w:rPr>
                <w:rFonts w:ascii="宋体" w:hAnsi="宋体" w:eastAsia="宋体" w:cs="宋体"/>
                <w:spacing w:val="-6"/>
                <w:sz w:val="20"/>
                <w:szCs w:val="20"/>
              </w:rPr>
              <w:t>11</w:t>
            </w:r>
          </w:p>
        </w:tc>
        <w:tc>
          <w:tcPr>
            <w:tcW w:w="3346" w:type="dxa"/>
            <w:vMerge w:val="restart"/>
            <w:tcBorders>
              <w:bottom w:val="nil"/>
            </w:tcBorders>
            <w:vAlign w:val="top"/>
          </w:tcPr>
          <w:p w14:paraId="7AF2DA71">
            <w:pPr>
              <w:spacing w:before="116" w:line="219" w:lineRule="auto"/>
              <w:ind w:left="102"/>
              <w:rPr>
                <w:rFonts w:ascii="宋体" w:hAnsi="宋体" w:eastAsia="宋体" w:cs="宋体"/>
                <w:sz w:val="20"/>
                <w:szCs w:val="20"/>
              </w:rPr>
            </w:pPr>
            <w:r>
              <w:rPr>
                <w:rFonts w:ascii="宋体" w:hAnsi="宋体" w:eastAsia="宋体" w:cs="宋体"/>
                <w:spacing w:val="2"/>
                <w:sz w:val="20"/>
                <w:szCs w:val="20"/>
              </w:rPr>
              <w:t>元器件选用范围</w:t>
            </w:r>
          </w:p>
        </w:tc>
        <w:tc>
          <w:tcPr>
            <w:tcW w:w="829" w:type="dxa"/>
            <w:vMerge w:val="restart"/>
            <w:tcBorders>
              <w:bottom w:val="nil"/>
            </w:tcBorders>
            <w:vAlign w:val="top"/>
          </w:tcPr>
          <w:p w14:paraId="58BC64D1">
            <w:pPr>
              <w:spacing w:before="167"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2B863F50">
            <w:pPr>
              <w:pStyle w:val="6"/>
              <w:spacing w:line="180" w:lineRule="exact"/>
              <w:rPr>
                <w:sz w:val="15"/>
              </w:rPr>
            </w:pPr>
          </w:p>
        </w:tc>
        <w:tc>
          <w:tcPr>
            <w:tcW w:w="1039" w:type="dxa"/>
            <w:vAlign w:val="top"/>
          </w:tcPr>
          <w:p w14:paraId="184D2EC0">
            <w:pPr>
              <w:pStyle w:val="6"/>
              <w:spacing w:line="180" w:lineRule="exact"/>
              <w:rPr>
                <w:sz w:val="15"/>
              </w:rPr>
            </w:pPr>
          </w:p>
        </w:tc>
        <w:tc>
          <w:tcPr>
            <w:tcW w:w="1414" w:type="dxa"/>
            <w:vAlign w:val="top"/>
          </w:tcPr>
          <w:p w14:paraId="0DD8F390">
            <w:pPr>
              <w:pStyle w:val="6"/>
              <w:spacing w:line="180" w:lineRule="exact"/>
              <w:rPr>
                <w:sz w:val="15"/>
              </w:rPr>
            </w:pPr>
          </w:p>
        </w:tc>
      </w:tr>
      <w:tr w14:paraId="6D719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254" w:type="dxa"/>
            <w:vMerge w:val="continue"/>
            <w:tcBorders>
              <w:top w:val="nil"/>
              <w:bottom w:val="nil"/>
            </w:tcBorders>
            <w:vAlign w:val="top"/>
          </w:tcPr>
          <w:p w14:paraId="2C000406">
            <w:pPr>
              <w:pStyle w:val="6"/>
            </w:pPr>
          </w:p>
        </w:tc>
        <w:tc>
          <w:tcPr>
            <w:tcW w:w="619" w:type="dxa"/>
            <w:vMerge w:val="continue"/>
            <w:tcBorders>
              <w:top w:val="nil"/>
            </w:tcBorders>
            <w:vAlign w:val="top"/>
          </w:tcPr>
          <w:p w14:paraId="19F8B22C">
            <w:pPr>
              <w:pStyle w:val="6"/>
            </w:pPr>
          </w:p>
        </w:tc>
        <w:tc>
          <w:tcPr>
            <w:tcW w:w="3346" w:type="dxa"/>
            <w:vMerge w:val="continue"/>
            <w:tcBorders>
              <w:top w:val="nil"/>
            </w:tcBorders>
            <w:vAlign w:val="top"/>
          </w:tcPr>
          <w:p w14:paraId="0C416DEA">
            <w:pPr>
              <w:pStyle w:val="6"/>
            </w:pPr>
          </w:p>
        </w:tc>
        <w:tc>
          <w:tcPr>
            <w:tcW w:w="829" w:type="dxa"/>
            <w:vMerge w:val="continue"/>
            <w:tcBorders>
              <w:top w:val="nil"/>
            </w:tcBorders>
            <w:vAlign w:val="top"/>
          </w:tcPr>
          <w:p w14:paraId="10D8C3FE">
            <w:pPr>
              <w:pStyle w:val="6"/>
            </w:pPr>
          </w:p>
        </w:tc>
        <w:tc>
          <w:tcPr>
            <w:tcW w:w="839" w:type="dxa"/>
            <w:vAlign w:val="top"/>
          </w:tcPr>
          <w:p w14:paraId="3DEACD5F">
            <w:pPr>
              <w:pStyle w:val="6"/>
              <w:spacing w:line="200" w:lineRule="exact"/>
              <w:rPr>
                <w:sz w:val="17"/>
              </w:rPr>
            </w:pPr>
          </w:p>
        </w:tc>
        <w:tc>
          <w:tcPr>
            <w:tcW w:w="1039" w:type="dxa"/>
            <w:vAlign w:val="top"/>
          </w:tcPr>
          <w:p w14:paraId="243E369A">
            <w:pPr>
              <w:pStyle w:val="6"/>
              <w:spacing w:line="200" w:lineRule="exact"/>
              <w:rPr>
                <w:sz w:val="17"/>
              </w:rPr>
            </w:pPr>
          </w:p>
        </w:tc>
        <w:tc>
          <w:tcPr>
            <w:tcW w:w="1414" w:type="dxa"/>
            <w:vAlign w:val="top"/>
          </w:tcPr>
          <w:p w14:paraId="41867163">
            <w:pPr>
              <w:pStyle w:val="6"/>
              <w:spacing w:line="200" w:lineRule="exact"/>
              <w:rPr>
                <w:sz w:val="17"/>
              </w:rPr>
            </w:pPr>
          </w:p>
        </w:tc>
      </w:tr>
      <w:tr w14:paraId="65B9F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 w:hRule="atLeast"/>
        </w:trPr>
        <w:tc>
          <w:tcPr>
            <w:tcW w:w="1254" w:type="dxa"/>
            <w:vMerge w:val="continue"/>
            <w:tcBorders>
              <w:top w:val="nil"/>
              <w:bottom w:val="nil"/>
            </w:tcBorders>
            <w:vAlign w:val="top"/>
          </w:tcPr>
          <w:p w14:paraId="0413A7CD">
            <w:pPr>
              <w:pStyle w:val="6"/>
            </w:pPr>
          </w:p>
        </w:tc>
        <w:tc>
          <w:tcPr>
            <w:tcW w:w="619" w:type="dxa"/>
            <w:vMerge w:val="restart"/>
            <w:tcBorders>
              <w:bottom w:val="nil"/>
            </w:tcBorders>
            <w:vAlign w:val="top"/>
          </w:tcPr>
          <w:p w14:paraId="4A8AB568">
            <w:pPr>
              <w:spacing w:before="126" w:line="241" w:lineRule="auto"/>
              <w:ind w:left="201"/>
              <w:rPr>
                <w:rFonts w:ascii="宋体" w:hAnsi="宋体" w:eastAsia="宋体" w:cs="宋体"/>
                <w:sz w:val="20"/>
                <w:szCs w:val="20"/>
              </w:rPr>
            </w:pPr>
            <w:r>
              <w:rPr>
                <w:rFonts w:ascii="宋体" w:hAnsi="宋体" w:eastAsia="宋体" w:cs="宋体"/>
                <w:spacing w:val="-6"/>
                <w:sz w:val="20"/>
                <w:szCs w:val="20"/>
              </w:rPr>
              <w:t>12</w:t>
            </w:r>
          </w:p>
        </w:tc>
        <w:tc>
          <w:tcPr>
            <w:tcW w:w="3346" w:type="dxa"/>
            <w:vMerge w:val="restart"/>
            <w:tcBorders>
              <w:bottom w:val="nil"/>
            </w:tcBorders>
            <w:vAlign w:val="top"/>
          </w:tcPr>
          <w:p w14:paraId="548DC1E4">
            <w:pPr>
              <w:spacing w:before="106" w:line="220" w:lineRule="auto"/>
              <w:ind w:left="102"/>
              <w:rPr>
                <w:rFonts w:ascii="宋体" w:hAnsi="宋体" w:eastAsia="宋体" w:cs="宋体"/>
                <w:sz w:val="20"/>
                <w:szCs w:val="20"/>
              </w:rPr>
            </w:pPr>
            <w:r>
              <w:rPr>
                <w:rFonts w:ascii="宋体" w:hAnsi="宋体" w:eastAsia="宋体" w:cs="宋体"/>
                <w:spacing w:val="1"/>
                <w:sz w:val="20"/>
                <w:szCs w:val="20"/>
              </w:rPr>
              <w:t>大型试验标准选用范围</w:t>
            </w:r>
          </w:p>
        </w:tc>
        <w:tc>
          <w:tcPr>
            <w:tcW w:w="829" w:type="dxa"/>
            <w:vMerge w:val="restart"/>
            <w:tcBorders>
              <w:bottom w:val="nil"/>
            </w:tcBorders>
            <w:vAlign w:val="top"/>
          </w:tcPr>
          <w:p w14:paraId="4DC6E534">
            <w:pPr>
              <w:spacing w:before="201" w:line="155" w:lineRule="exact"/>
              <w:ind w:left="306"/>
              <w:rPr>
                <w:rFonts w:ascii="宋体" w:hAnsi="宋体" w:eastAsia="宋体" w:cs="宋体"/>
                <w:sz w:val="20"/>
                <w:szCs w:val="20"/>
              </w:rPr>
            </w:pPr>
            <w:r>
              <w:rPr>
                <w:rFonts w:ascii="宋体" w:hAnsi="宋体" w:eastAsia="宋体" w:cs="宋体"/>
                <w:position w:val="-4"/>
                <w:sz w:val="20"/>
                <w:szCs w:val="20"/>
              </w:rPr>
              <w:t>一</w:t>
            </w:r>
          </w:p>
        </w:tc>
        <w:tc>
          <w:tcPr>
            <w:tcW w:w="839" w:type="dxa"/>
            <w:vMerge w:val="restart"/>
            <w:tcBorders>
              <w:bottom w:val="nil"/>
            </w:tcBorders>
            <w:vAlign w:val="top"/>
          </w:tcPr>
          <w:p w14:paraId="30BECD10">
            <w:pPr>
              <w:spacing w:before="157"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7C0AFEF2">
            <w:pPr>
              <w:pStyle w:val="6"/>
              <w:spacing w:line="170" w:lineRule="exact"/>
              <w:rPr>
                <w:sz w:val="14"/>
              </w:rPr>
            </w:pPr>
          </w:p>
        </w:tc>
        <w:tc>
          <w:tcPr>
            <w:tcW w:w="1414" w:type="dxa"/>
            <w:vAlign w:val="top"/>
          </w:tcPr>
          <w:p w14:paraId="2479BABF">
            <w:pPr>
              <w:pStyle w:val="6"/>
              <w:spacing w:line="170" w:lineRule="exact"/>
              <w:rPr>
                <w:sz w:val="14"/>
              </w:rPr>
            </w:pPr>
          </w:p>
        </w:tc>
      </w:tr>
      <w:tr w14:paraId="2AFD3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254" w:type="dxa"/>
            <w:vMerge w:val="continue"/>
            <w:tcBorders>
              <w:top w:val="nil"/>
              <w:bottom w:val="nil"/>
            </w:tcBorders>
            <w:vAlign w:val="top"/>
          </w:tcPr>
          <w:p w14:paraId="6983064C">
            <w:pPr>
              <w:pStyle w:val="6"/>
            </w:pPr>
          </w:p>
        </w:tc>
        <w:tc>
          <w:tcPr>
            <w:tcW w:w="619" w:type="dxa"/>
            <w:vMerge w:val="continue"/>
            <w:tcBorders>
              <w:top w:val="nil"/>
            </w:tcBorders>
            <w:vAlign w:val="top"/>
          </w:tcPr>
          <w:p w14:paraId="1A861587">
            <w:pPr>
              <w:pStyle w:val="6"/>
            </w:pPr>
          </w:p>
        </w:tc>
        <w:tc>
          <w:tcPr>
            <w:tcW w:w="3346" w:type="dxa"/>
            <w:vMerge w:val="continue"/>
            <w:tcBorders>
              <w:top w:val="nil"/>
            </w:tcBorders>
            <w:vAlign w:val="top"/>
          </w:tcPr>
          <w:p w14:paraId="18A8AC91">
            <w:pPr>
              <w:pStyle w:val="6"/>
            </w:pPr>
          </w:p>
        </w:tc>
        <w:tc>
          <w:tcPr>
            <w:tcW w:w="829" w:type="dxa"/>
            <w:vMerge w:val="continue"/>
            <w:tcBorders>
              <w:top w:val="nil"/>
            </w:tcBorders>
            <w:vAlign w:val="top"/>
          </w:tcPr>
          <w:p w14:paraId="73121971">
            <w:pPr>
              <w:pStyle w:val="6"/>
            </w:pPr>
          </w:p>
        </w:tc>
        <w:tc>
          <w:tcPr>
            <w:tcW w:w="839" w:type="dxa"/>
            <w:vMerge w:val="continue"/>
            <w:tcBorders>
              <w:top w:val="nil"/>
            </w:tcBorders>
            <w:vAlign w:val="top"/>
          </w:tcPr>
          <w:p w14:paraId="06C9391A">
            <w:pPr>
              <w:pStyle w:val="6"/>
            </w:pPr>
          </w:p>
        </w:tc>
        <w:tc>
          <w:tcPr>
            <w:tcW w:w="1039" w:type="dxa"/>
            <w:vAlign w:val="top"/>
          </w:tcPr>
          <w:p w14:paraId="52B65306">
            <w:pPr>
              <w:pStyle w:val="6"/>
              <w:spacing w:line="200" w:lineRule="exact"/>
              <w:rPr>
                <w:sz w:val="17"/>
              </w:rPr>
            </w:pPr>
          </w:p>
        </w:tc>
        <w:tc>
          <w:tcPr>
            <w:tcW w:w="1414" w:type="dxa"/>
            <w:vAlign w:val="top"/>
          </w:tcPr>
          <w:p w14:paraId="40BF566B">
            <w:pPr>
              <w:pStyle w:val="6"/>
              <w:spacing w:line="200" w:lineRule="exact"/>
              <w:rPr>
                <w:sz w:val="17"/>
              </w:rPr>
            </w:pPr>
          </w:p>
        </w:tc>
      </w:tr>
      <w:tr w14:paraId="20E42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254" w:type="dxa"/>
            <w:vMerge w:val="continue"/>
            <w:tcBorders>
              <w:top w:val="nil"/>
              <w:bottom w:val="nil"/>
            </w:tcBorders>
            <w:vAlign w:val="top"/>
          </w:tcPr>
          <w:p w14:paraId="76F10E69">
            <w:pPr>
              <w:pStyle w:val="6"/>
            </w:pPr>
          </w:p>
        </w:tc>
        <w:tc>
          <w:tcPr>
            <w:tcW w:w="619" w:type="dxa"/>
            <w:vAlign w:val="top"/>
          </w:tcPr>
          <w:p w14:paraId="3E34EC3A">
            <w:pPr>
              <w:spacing w:before="125"/>
              <w:ind w:left="201"/>
              <w:rPr>
                <w:rFonts w:ascii="宋体" w:hAnsi="宋体" w:eastAsia="宋体" w:cs="宋体"/>
                <w:sz w:val="20"/>
                <w:szCs w:val="20"/>
              </w:rPr>
            </w:pPr>
            <w:r>
              <w:rPr>
                <w:rFonts w:ascii="宋体" w:hAnsi="宋体" w:eastAsia="宋体" w:cs="宋体"/>
                <w:spacing w:val="-6"/>
                <w:sz w:val="20"/>
                <w:szCs w:val="20"/>
              </w:rPr>
              <w:t>13</w:t>
            </w:r>
          </w:p>
        </w:tc>
        <w:tc>
          <w:tcPr>
            <w:tcW w:w="3346" w:type="dxa"/>
            <w:vAlign w:val="top"/>
          </w:tcPr>
          <w:p w14:paraId="7F2C380D">
            <w:pPr>
              <w:spacing w:before="106" w:line="220" w:lineRule="auto"/>
              <w:ind w:left="102"/>
              <w:rPr>
                <w:rFonts w:ascii="宋体" w:hAnsi="宋体" w:eastAsia="宋体" w:cs="宋体"/>
                <w:sz w:val="20"/>
                <w:szCs w:val="20"/>
              </w:rPr>
            </w:pPr>
            <w:r>
              <w:rPr>
                <w:rFonts w:ascii="宋体" w:hAnsi="宋体" w:eastAsia="宋体" w:cs="宋体"/>
                <w:spacing w:val="2"/>
                <w:sz w:val="20"/>
                <w:szCs w:val="20"/>
              </w:rPr>
              <w:t>标准实施规定</w:t>
            </w:r>
          </w:p>
        </w:tc>
        <w:tc>
          <w:tcPr>
            <w:tcW w:w="829" w:type="dxa"/>
            <w:vAlign w:val="top"/>
          </w:tcPr>
          <w:p w14:paraId="4C25E2E3">
            <w:pPr>
              <w:spacing w:before="157"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3961C22F">
            <w:pPr>
              <w:spacing w:before="157"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6C1E3801">
            <w:pPr>
              <w:spacing w:before="157"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59B3DD22">
            <w:pPr>
              <w:spacing w:before="157" w:line="183" w:lineRule="auto"/>
              <w:ind w:left="649"/>
              <w:rPr>
                <w:rFonts w:ascii="宋体" w:hAnsi="宋体" w:eastAsia="宋体" w:cs="宋体"/>
                <w:sz w:val="20"/>
                <w:szCs w:val="20"/>
              </w:rPr>
            </w:pPr>
            <w:r>
              <w:rPr>
                <w:rFonts w:ascii="宋体" w:hAnsi="宋体" w:eastAsia="宋体" w:cs="宋体"/>
                <w:sz w:val="20"/>
                <w:szCs w:val="20"/>
              </w:rPr>
              <w:t>O</w:t>
            </w:r>
          </w:p>
        </w:tc>
      </w:tr>
      <w:tr w14:paraId="4A217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254" w:type="dxa"/>
            <w:vMerge w:val="continue"/>
            <w:tcBorders>
              <w:top w:val="nil"/>
              <w:bottom w:val="nil"/>
            </w:tcBorders>
            <w:vAlign w:val="top"/>
          </w:tcPr>
          <w:p w14:paraId="7C78B3B0">
            <w:pPr>
              <w:pStyle w:val="6"/>
            </w:pPr>
          </w:p>
        </w:tc>
        <w:tc>
          <w:tcPr>
            <w:tcW w:w="619" w:type="dxa"/>
            <w:vAlign w:val="top"/>
          </w:tcPr>
          <w:p w14:paraId="5C3AFAD7">
            <w:pPr>
              <w:spacing w:before="136" w:line="241" w:lineRule="auto"/>
              <w:ind w:left="201"/>
              <w:rPr>
                <w:rFonts w:ascii="宋体" w:hAnsi="宋体" w:eastAsia="宋体" w:cs="宋体"/>
                <w:sz w:val="20"/>
                <w:szCs w:val="20"/>
              </w:rPr>
            </w:pPr>
            <w:r>
              <w:rPr>
                <w:rFonts w:ascii="宋体" w:hAnsi="宋体" w:eastAsia="宋体" w:cs="宋体"/>
                <w:spacing w:val="-6"/>
                <w:sz w:val="20"/>
                <w:szCs w:val="20"/>
              </w:rPr>
              <w:t>14</w:t>
            </w:r>
          </w:p>
        </w:tc>
        <w:tc>
          <w:tcPr>
            <w:tcW w:w="3346" w:type="dxa"/>
            <w:vAlign w:val="top"/>
          </w:tcPr>
          <w:p w14:paraId="565C3A71">
            <w:pPr>
              <w:spacing w:before="116" w:line="220" w:lineRule="auto"/>
              <w:ind w:left="102"/>
              <w:rPr>
                <w:rFonts w:ascii="宋体" w:hAnsi="宋体" w:eastAsia="宋体" w:cs="宋体"/>
                <w:sz w:val="20"/>
                <w:szCs w:val="20"/>
              </w:rPr>
            </w:pPr>
            <w:r>
              <w:rPr>
                <w:rFonts w:ascii="宋体" w:hAnsi="宋体" w:eastAsia="宋体" w:cs="宋体"/>
                <w:spacing w:val="-1"/>
                <w:sz w:val="20"/>
                <w:szCs w:val="20"/>
              </w:rPr>
              <w:t>重大标准实施方案</w:t>
            </w:r>
          </w:p>
        </w:tc>
        <w:tc>
          <w:tcPr>
            <w:tcW w:w="829" w:type="dxa"/>
            <w:vAlign w:val="top"/>
          </w:tcPr>
          <w:p w14:paraId="292F9B66">
            <w:pPr>
              <w:spacing w:before="167"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5077D9A1">
            <w:pPr>
              <w:spacing w:before="167"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77B7A132">
            <w:pPr>
              <w:spacing w:before="211" w:line="154" w:lineRule="exact"/>
              <w:ind w:left="418"/>
              <w:rPr>
                <w:rFonts w:ascii="宋体" w:hAnsi="宋体" w:eastAsia="宋体" w:cs="宋体"/>
                <w:sz w:val="20"/>
                <w:szCs w:val="20"/>
              </w:rPr>
            </w:pPr>
            <w:r>
              <w:rPr>
                <w:rFonts w:ascii="宋体" w:hAnsi="宋体" w:eastAsia="宋体" w:cs="宋体"/>
                <w:position w:val="-4"/>
                <w:sz w:val="20"/>
                <w:szCs w:val="20"/>
              </w:rPr>
              <w:t>一</w:t>
            </w:r>
          </w:p>
        </w:tc>
        <w:tc>
          <w:tcPr>
            <w:tcW w:w="1414" w:type="dxa"/>
            <w:vAlign w:val="top"/>
          </w:tcPr>
          <w:p w14:paraId="5011C9ED">
            <w:pPr>
              <w:spacing w:before="211" w:line="154" w:lineRule="exact"/>
              <w:ind w:left="599"/>
              <w:rPr>
                <w:rFonts w:ascii="宋体" w:hAnsi="宋体" w:eastAsia="宋体" w:cs="宋体"/>
                <w:sz w:val="20"/>
                <w:szCs w:val="20"/>
              </w:rPr>
            </w:pPr>
            <w:r>
              <w:rPr>
                <w:rFonts w:ascii="宋体" w:hAnsi="宋体" w:eastAsia="宋体" w:cs="宋体"/>
                <w:position w:val="-4"/>
                <w:sz w:val="20"/>
                <w:szCs w:val="20"/>
              </w:rPr>
              <w:t>一</w:t>
            </w:r>
          </w:p>
        </w:tc>
      </w:tr>
      <w:tr w14:paraId="7F031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254" w:type="dxa"/>
            <w:vMerge w:val="continue"/>
            <w:tcBorders>
              <w:top w:val="nil"/>
              <w:bottom w:val="nil"/>
            </w:tcBorders>
            <w:vAlign w:val="top"/>
          </w:tcPr>
          <w:p w14:paraId="6D8C44FD">
            <w:pPr>
              <w:pStyle w:val="6"/>
            </w:pPr>
          </w:p>
        </w:tc>
        <w:tc>
          <w:tcPr>
            <w:tcW w:w="619" w:type="dxa"/>
            <w:vAlign w:val="top"/>
          </w:tcPr>
          <w:p w14:paraId="373867D0">
            <w:pPr>
              <w:spacing w:before="126"/>
              <w:ind w:left="201"/>
              <w:rPr>
                <w:rFonts w:ascii="宋体" w:hAnsi="宋体" w:eastAsia="宋体" w:cs="宋体"/>
                <w:sz w:val="20"/>
                <w:szCs w:val="20"/>
              </w:rPr>
            </w:pPr>
            <w:r>
              <w:rPr>
                <w:rFonts w:ascii="宋体" w:hAnsi="宋体" w:eastAsia="宋体" w:cs="宋体"/>
                <w:spacing w:val="-6"/>
                <w:sz w:val="20"/>
                <w:szCs w:val="20"/>
              </w:rPr>
              <w:t>15</w:t>
            </w:r>
          </w:p>
        </w:tc>
        <w:tc>
          <w:tcPr>
            <w:tcW w:w="3346" w:type="dxa"/>
            <w:vAlign w:val="top"/>
          </w:tcPr>
          <w:p w14:paraId="04B97FC1">
            <w:pPr>
              <w:spacing w:before="107" w:line="219" w:lineRule="auto"/>
              <w:ind w:left="102"/>
              <w:rPr>
                <w:rFonts w:ascii="宋体" w:hAnsi="宋体" w:eastAsia="宋体" w:cs="宋体"/>
                <w:sz w:val="20"/>
                <w:szCs w:val="20"/>
              </w:rPr>
            </w:pPr>
            <w:r>
              <w:rPr>
                <w:rFonts w:ascii="宋体" w:hAnsi="宋体" w:eastAsia="宋体" w:cs="宋体"/>
                <w:spacing w:val="-1"/>
                <w:sz w:val="20"/>
                <w:szCs w:val="20"/>
              </w:rPr>
              <w:t>标准实施有关问题管理办法</w:t>
            </w:r>
          </w:p>
        </w:tc>
        <w:tc>
          <w:tcPr>
            <w:tcW w:w="829" w:type="dxa"/>
            <w:vAlign w:val="top"/>
          </w:tcPr>
          <w:p w14:paraId="0F5C82EF">
            <w:pPr>
              <w:spacing w:before="158"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58984A34">
            <w:pPr>
              <w:spacing w:before="158"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4D91EF78">
            <w:pPr>
              <w:spacing w:before="158"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4D582DBC">
            <w:pPr>
              <w:spacing w:before="202" w:line="155" w:lineRule="exact"/>
              <w:ind w:left="599"/>
              <w:rPr>
                <w:rFonts w:ascii="宋体" w:hAnsi="宋体" w:eastAsia="宋体" w:cs="宋体"/>
                <w:sz w:val="20"/>
                <w:szCs w:val="20"/>
              </w:rPr>
            </w:pPr>
            <w:r>
              <w:rPr>
                <w:rFonts w:ascii="宋体" w:hAnsi="宋体" w:eastAsia="宋体" w:cs="宋体"/>
                <w:position w:val="-4"/>
                <w:sz w:val="20"/>
                <w:szCs w:val="20"/>
              </w:rPr>
              <w:t>一</w:t>
            </w:r>
          </w:p>
        </w:tc>
      </w:tr>
      <w:tr w14:paraId="09F97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254" w:type="dxa"/>
            <w:vMerge w:val="continue"/>
            <w:tcBorders>
              <w:top w:val="nil"/>
              <w:bottom w:val="nil"/>
            </w:tcBorders>
            <w:vAlign w:val="top"/>
          </w:tcPr>
          <w:p w14:paraId="72AE2B7D">
            <w:pPr>
              <w:pStyle w:val="6"/>
            </w:pPr>
          </w:p>
        </w:tc>
        <w:tc>
          <w:tcPr>
            <w:tcW w:w="619" w:type="dxa"/>
            <w:vAlign w:val="top"/>
          </w:tcPr>
          <w:p w14:paraId="6F7D6216">
            <w:pPr>
              <w:spacing w:before="136"/>
              <w:ind w:left="201"/>
              <w:rPr>
                <w:rFonts w:ascii="宋体" w:hAnsi="宋体" w:eastAsia="宋体" w:cs="宋体"/>
                <w:sz w:val="20"/>
                <w:szCs w:val="20"/>
              </w:rPr>
            </w:pPr>
            <w:r>
              <w:rPr>
                <w:rFonts w:ascii="宋体" w:hAnsi="宋体" w:eastAsia="宋体" w:cs="宋体"/>
                <w:spacing w:val="-6"/>
                <w:sz w:val="20"/>
                <w:szCs w:val="20"/>
              </w:rPr>
              <w:t>16</w:t>
            </w:r>
          </w:p>
        </w:tc>
        <w:tc>
          <w:tcPr>
            <w:tcW w:w="3346" w:type="dxa"/>
            <w:vAlign w:val="top"/>
          </w:tcPr>
          <w:p w14:paraId="39EB5F78">
            <w:pPr>
              <w:spacing w:before="117" w:line="220" w:lineRule="auto"/>
              <w:ind w:left="102"/>
              <w:rPr>
                <w:rFonts w:ascii="宋体" w:hAnsi="宋体" w:eastAsia="宋体" w:cs="宋体"/>
                <w:sz w:val="20"/>
                <w:szCs w:val="20"/>
              </w:rPr>
            </w:pPr>
            <w:r>
              <w:rPr>
                <w:rFonts w:ascii="宋体" w:hAnsi="宋体" w:eastAsia="宋体" w:cs="宋体"/>
                <w:spacing w:val="-2"/>
                <w:sz w:val="20"/>
                <w:szCs w:val="20"/>
              </w:rPr>
              <w:t>新旧标准对照表</w:t>
            </w:r>
          </w:p>
        </w:tc>
        <w:tc>
          <w:tcPr>
            <w:tcW w:w="829" w:type="dxa"/>
            <w:vAlign w:val="top"/>
          </w:tcPr>
          <w:p w14:paraId="0B245E20">
            <w:pPr>
              <w:spacing w:before="212" w:line="155" w:lineRule="exact"/>
              <w:ind w:left="306"/>
              <w:rPr>
                <w:rFonts w:ascii="宋体" w:hAnsi="宋体" w:eastAsia="宋体" w:cs="宋体"/>
                <w:sz w:val="20"/>
                <w:szCs w:val="20"/>
              </w:rPr>
            </w:pPr>
            <w:r>
              <w:rPr>
                <w:rFonts w:ascii="宋体" w:hAnsi="宋体" w:eastAsia="宋体" w:cs="宋体"/>
                <w:position w:val="-4"/>
                <w:sz w:val="20"/>
                <w:szCs w:val="20"/>
              </w:rPr>
              <w:t>一</w:t>
            </w:r>
          </w:p>
        </w:tc>
        <w:tc>
          <w:tcPr>
            <w:tcW w:w="839" w:type="dxa"/>
            <w:vAlign w:val="top"/>
          </w:tcPr>
          <w:p w14:paraId="65800CF0">
            <w:pPr>
              <w:spacing w:before="168"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4A4EB5AC">
            <w:pPr>
              <w:spacing w:before="168"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092F14EA">
            <w:pPr>
              <w:spacing w:before="168" w:line="183" w:lineRule="auto"/>
              <w:ind w:left="649"/>
              <w:rPr>
                <w:rFonts w:ascii="宋体" w:hAnsi="宋体" w:eastAsia="宋体" w:cs="宋体"/>
                <w:sz w:val="20"/>
                <w:szCs w:val="20"/>
              </w:rPr>
            </w:pPr>
            <w:r>
              <w:rPr>
                <w:rFonts w:ascii="宋体" w:hAnsi="宋体" w:eastAsia="宋体" w:cs="宋体"/>
                <w:sz w:val="20"/>
                <w:szCs w:val="20"/>
              </w:rPr>
              <w:t>O</w:t>
            </w:r>
          </w:p>
        </w:tc>
      </w:tr>
      <w:tr w14:paraId="568D8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254" w:type="dxa"/>
            <w:vMerge w:val="continue"/>
            <w:tcBorders>
              <w:top w:val="nil"/>
              <w:bottom w:val="nil"/>
            </w:tcBorders>
            <w:vAlign w:val="top"/>
          </w:tcPr>
          <w:p w14:paraId="2D80FEB3">
            <w:pPr>
              <w:pStyle w:val="6"/>
            </w:pPr>
          </w:p>
        </w:tc>
        <w:tc>
          <w:tcPr>
            <w:tcW w:w="619" w:type="dxa"/>
            <w:vAlign w:val="top"/>
          </w:tcPr>
          <w:p w14:paraId="4F3FC20A">
            <w:pPr>
              <w:spacing w:before="126"/>
              <w:ind w:left="201"/>
              <w:rPr>
                <w:rFonts w:ascii="宋体" w:hAnsi="宋体" w:eastAsia="宋体" w:cs="宋体"/>
                <w:sz w:val="20"/>
                <w:szCs w:val="20"/>
              </w:rPr>
            </w:pPr>
            <w:r>
              <w:rPr>
                <w:rFonts w:ascii="宋体" w:hAnsi="宋体" w:eastAsia="宋体" w:cs="宋体"/>
                <w:spacing w:val="-6"/>
                <w:sz w:val="20"/>
                <w:szCs w:val="20"/>
              </w:rPr>
              <w:t>17</w:t>
            </w:r>
          </w:p>
        </w:tc>
        <w:tc>
          <w:tcPr>
            <w:tcW w:w="3346" w:type="dxa"/>
            <w:vAlign w:val="top"/>
          </w:tcPr>
          <w:p w14:paraId="788F8FF4">
            <w:pPr>
              <w:spacing w:before="107" w:line="219" w:lineRule="auto"/>
              <w:ind w:left="102"/>
              <w:rPr>
                <w:rFonts w:ascii="宋体" w:hAnsi="宋体" w:eastAsia="宋体" w:cs="宋体"/>
                <w:sz w:val="20"/>
                <w:szCs w:val="20"/>
              </w:rPr>
            </w:pPr>
            <w:r>
              <w:rPr>
                <w:rFonts w:ascii="宋体" w:hAnsi="宋体" w:eastAsia="宋体" w:cs="宋体"/>
                <w:spacing w:val="-1"/>
                <w:sz w:val="20"/>
                <w:szCs w:val="20"/>
              </w:rPr>
              <w:t>新旧标准过渡办法</w:t>
            </w:r>
          </w:p>
        </w:tc>
        <w:tc>
          <w:tcPr>
            <w:tcW w:w="829" w:type="dxa"/>
            <w:vAlign w:val="top"/>
          </w:tcPr>
          <w:p w14:paraId="36468131">
            <w:pPr>
              <w:spacing w:before="202" w:line="155" w:lineRule="exact"/>
              <w:ind w:left="306"/>
              <w:rPr>
                <w:rFonts w:ascii="宋体" w:hAnsi="宋体" w:eastAsia="宋体" w:cs="宋体"/>
                <w:sz w:val="20"/>
                <w:szCs w:val="20"/>
              </w:rPr>
            </w:pPr>
            <w:r>
              <w:rPr>
                <w:rFonts w:ascii="宋体" w:hAnsi="宋体" w:eastAsia="宋体" w:cs="宋体"/>
                <w:position w:val="-4"/>
                <w:sz w:val="20"/>
                <w:szCs w:val="20"/>
              </w:rPr>
              <w:t>一</w:t>
            </w:r>
          </w:p>
        </w:tc>
        <w:tc>
          <w:tcPr>
            <w:tcW w:w="839" w:type="dxa"/>
            <w:vAlign w:val="top"/>
          </w:tcPr>
          <w:p w14:paraId="4B6A0AD0">
            <w:pPr>
              <w:spacing w:before="158"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745BC1A0">
            <w:pPr>
              <w:spacing w:before="158" w:line="183" w:lineRule="auto"/>
              <w:ind w:left="468"/>
              <w:rPr>
                <w:rFonts w:ascii="宋体" w:hAnsi="宋体" w:eastAsia="宋体" w:cs="宋体"/>
                <w:sz w:val="20"/>
                <w:szCs w:val="20"/>
              </w:rPr>
            </w:pPr>
            <w:r>
              <w:rPr>
                <w:rFonts w:ascii="宋体" w:hAnsi="宋体" w:eastAsia="宋体" w:cs="宋体"/>
                <w:sz w:val="20"/>
                <w:szCs w:val="20"/>
              </w:rPr>
              <w:t>O</w:t>
            </w:r>
          </w:p>
        </w:tc>
        <w:tc>
          <w:tcPr>
            <w:tcW w:w="1414" w:type="dxa"/>
            <w:vAlign w:val="top"/>
          </w:tcPr>
          <w:p w14:paraId="52D3A715">
            <w:pPr>
              <w:spacing w:before="158" w:line="183" w:lineRule="auto"/>
              <w:ind w:left="649"/>
              <w:rPr>
                <w:rFonts w:ascii="宋体" w:hAnsi="宋体" w:eastAsia="宋体" w:cs="宋体"/>
                <w:sz w:val="20"/>
                <w:szCs w:val="20"/>
              </w:rPr>
            </w:pPr>
            <w:r>
              <w:rPr>
                <w:rFonts w:ascii="宋体" w:hAnsi="宋体" w:eastAsia="宋体" w:cs="宋体"/>
                <w:sz w:val="20"/>
                <w:szCs w:val="20"/>
              </w:rPr>
              <w:t>O</w:t>
            </w:r>
          </w:p>
        </w:tc>
      </w:tr>
      <w:tr w14:paraId="7E5D9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254" w:type="dxa"/>
            <w:vMerge w:val="continue"/>
            <w:tcBorders>
              <w:top w:val="nil"/>
              <w:bottom w:val="nil"/>
            </w:tcBorders>
            <w:vAlign w:val="top"/>
          </w:tcPr>
          <w:p w14:paraId="6E58BF73">
            <w:pPr>
              <w:pStyle w:val="6"/>
            </w:pPr>
          </w:p>
        </w:tc>
        <w:tc>
          <w:tcPr>
            <w:tcW w:w="619" w:type="dxa"/>
            <w:vAlign w:val="top"/>
          </w:tcPr>
          <w:p w14:paraId="28277EC8">
            <w:pPr>
              <w:spacing w:before="127"/>
              <w:ind w:left="201"/>
              <w:rPr>
                <w:rFonts w:ascii="宋体" w:hAnsi="宋体" w:eastAsia="宋体" w:cs="宋体"/>
                <w:sz w:val="20"/>
                <w:szCs w:val="20"/>
              </w:rPr>
            </w:pPr>
            <w:r>
              <w:rPr>
                <w:rFonts w:ascii="宋体" w:hAnsi="宋体" w:eastAsia="宋体" w:cs="宋体"/>
                <w:spacing w:val="-6"/>
                <w:sz w:val="20"/>
                <w:szCs w:val="20"/>
              </w:rPr>
              <w:t>18</w:t>
            </w:r>
          </w:p>
        </w:tc>
        <w:tc>
          <w:tcPr>
            <w:tcW w:w="3346" w:type="dxa"/>
            <w:vAlign w:val="top"/>
          </w:tcPr>
          <w:p w14:paraId="7BE039EC">
            <w:pPr>
              <w:spacing w:before="108" w:line="219" w:lineRule="auto"/>
              <w:ind w:left="102"/>
              <w:rPr>
                <w:rFonts w:ascii="宋体" w:hAnsi="宋体" w:eastAsia="宋体" w:cs="宋体"/>
                <w:sz w:val="20"/>
                <w:szCs w:val="20"/>
              </w:rPr>
            </w:pPr>
            <w:r>
              <w:rPr>
                <w:rFonts w:ascii="宋体" w:hAnsi="宋体" w:eastAsia="宋体" w:cs="宋体"/>
                <w:spacing w:val="1"/>
                <w:sz w:val="20"/>
                <w:szCs w:val="20"/>
              </w:rPr>
              <w:t>技术要素的统一化规定</w:t>
            </w:r>
          </w:p>
        </w:tc>
        <w:tc>
          <w:tcPr>
            <w:tcW w:w="829" w:type="dxa"/>
            <w:vAlign w:val="top"/>
          </w:tcPr>
          <w:p w14:paraId="4B5035EE">
            <w:pPr>
              <w:spacing w:before="159" w:line="183" w:lineRule="auto"/>
              <w:ind w:left="356"/>
              <w:rPr>
                <w:rFonts w:ascii="宋体" w:hAnsi="宋体" w:eastAsia="宋体" w:cs="宋体"/>
                <w:sz w:val="20"/>
                <w:szCs w:val="20"/>
              </w:rPr>
            </w:pPr>
            <w:r>
              <w:rPr>
                <w:rFonts w:ascii="宋体" w:hAnsi="宋体" w:eastAsia="宋体" w:cs="宋体"/>
                <w:sz w:val="20"/>
                <w:szCs w:val="20"/>
              </w:rPr>
              <w:t>O</w:t>
            </w:r>
          </w:p>
        </w:tc>
        <w:tc>
          <w:tcPr>
            <w:tcW w:w="839" w:type="dxa"/>
            <w:vAlign w:val="top"/>
          </w:tcPr>
          <w:p w14:paraId="1AEF76CC">
            <w:pPr>
              <w:spacing w:before="159" w:line="183" w:lineRule="auto"/>
              <w:ind w:left="367"/>
              <w:rPr>
                <w:rFonts w:ascii="宋体" w:hAnsi="宋体" w:eastAsia="宋体" w:cs="宋体"/>
                <w:sz w:val="20"/>
                <w:szCs w:val="20"/>
              </w:rPr>
            </w:pPr>
            <w:r>
              <w:rPr>
                <w:rFonts w:ascii="宋体" w:hAnsi="宋体" w:eastAsia="宋体" w:cs="宋体"/>
                <w:sz w:val="20"/>
                <w:szCs w:val="20"/>
              </w:rPr>
              <w:t>O</w:t>
            </w:r>
          </w:p>
        </w:tc>
        <w:tc>
          <w:tcPr>
            <w:tcW w:w="1039" w:type="dxa"/>
            <w:vAlign w:val="top"/>
          </w:tcPr>
          <w:p w14:paraId="30811389">
            <w:pPr>
              <w:spacing w:before="203" w:line="154" w:lineRule="exact"/>
              <w:ind w:left="418"/>
              <w:rPr>
                <w:rFonts w:ascii="宋体" w:hAnsi="宋体" w:eastAsia="宋体" w:cs="宋体"/>
                <w:sz w:val="20"/>
                <w:szCs w:val="20"/>
              </w:rPr>
            </w:pPr>
            <w:r>
              <w:rPr>
                <w:rFonts w:ascii="宋体" w:hAnsi="宋体" w:eastAsia="宋体" w:cs="宋体"/>
                <w:position w:val="-4"/>
                <w:sz w:val="20"/>
                <w:szCs w:val="20"/>
              </w:rPr>
              <w:t>一</w:t>
            </w:r>
          </w:p>
        </w:tc>
        <w:tc>
          <w:tcPr>
            <w:tcW w:w="1414" w:type="dxa"/>
            <w:vAlign w:val="top"/>
          </w:tcPr>
          <w:p w14:paraId="5C527C85">
            <w:pPr>
              <w:spacing w:before="203" w:line="154" w:lineRule="exact"/>
              <w:ind w:left="599"/>
              <w:rPr>
                <w:rFonts w:ascii="宋体" w:hAnsi="宋体" w:eastAsia="宋体" w:cs="宋体"/>
                <w:sz w:val="20"/>
                <w:szCs w:val="20"/>
              </w:rPr>
            </w:pPr>
            <w:r>
              <w:rPr>
                <w:rFonts w:ascii="宋体" w:hAnsi="宋体" w:eastAsia="宋体" w:cs="宋体"/>
                <w:position w:val="-4"/>
                <w:sz w:val="20"/>
                <w:szCs w:val="20"/>
              </w:rPr>
              <w:t>一</w:t>
            </w:r>
          </w:p>
        </w:tc>
      </w:tr>
      <w:tr w14:paraId="6EA7A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254" w:type="dxa"/>
            <w:vMerge w:val="continue"/>
            <w:tcBorders>
              <w:top w:val="nil"/>
            </w:tcBorders>
            <w:vAlign w:val="top"/>
          </w:tcPr>
          <w:p w14:paraId="07E4D0CF">
            <w:pPr>
              <w:pStyle w:val="6"/>
            </w:pPr>
          </w:p>
        </w:tc>
        <w:tc>
          <w:tcPr>
            <w:tcW w:w="619" w:type="dxa"/>
            <w:vAlign w:val="top"/>
          </w:tcPr>
          <w:p w14:paraId="536004D3">
            <w:pPr>
              <w:spacing w:before="127"/>
              <w:ind w:left="201"/>
              <w:rPr>
                <w:rFonts w:ascii="宋体" w:hAnsi="宋体" w:eastAsia="宋体" w:cs="宋体"/>
                <w:sz w:val="20"/>
                <w:szCs w:val="20"/>
              </w:rPr>
            </w:pPr>
            <w:r>
              <w:rPr>
                <w:rFonts w:ascii="宋体" w:hAnsi="宋体" w:eastAsia="宋体" w:cs="宋体"/>
                <w:spacing w:val="-6"/>
                <w:sz w:val="20"/>
                <w:szCs w:val="20"/>
              </w:rPr>
              <w:t>19</w:t>
            </w:r>
          </w:p>
        </w:tc>
        <w:tc>
          <w:tcPr>
            <w:tcW w:w="3346" w:type="dxa"/>
            <w:vAlign w:val="top"/>
          </w:tcPr>
          <w:p w14:paraId="4AAB0DCC">
            <w:pPr>
              <w:spacing w:before="106" w:line="218" w:lineRule="auto"/>
              <w:ind w:left="102"/>
              <w:rPr>
                <w:rFonts w:ascii="宋体" w:hAnsi="宋体" w:eastAsia="宋体" w:cs="宋体"/>
                <w:sz w:val="20"/>
                <w:szCs w:val="20"/>
              </w:rPr>
            </w:pPr>
            <w:r>
              <w:rPr>
                <w:rFonts w:ascii="宋体" w:hAnsi="宋体" w:eastAsia="宋体" w:cs="宋体"/>
                <w:spacing w:val="1"/>
                <w:sz w:val="20"/>
                <w:szCs w:val="20"/>
              </w:rPr>
              <w:t>设计定型标准化审查报告</w:t>
            </w:r>
          </w:p>
        </w:tc>
        <w:tc>
          <w:tcPr>
            <w:tcW w:w="829" w:type="dxa"/>
            <w:vAlign w:val="top"/>
          </w:tcPr>
          <w:p w14:paraId="78C0170E">
            <w:pPr>
              <w:spacing w:before="203" w:line="155" w:lineRule="exact"/>
              <w:ind w:left="306"/>
              <w:rPr>
                <w:rFonts w:ascii="宋体" w:hAnsi="宋体" w:eastAsia="宋体" w:cs="宋体"/>
                <w:sz w:val="20"/>
                <w:szCs w:val="20"/>
              </w:rPr>
            </w:pPr>
            <w:r>
              <w:rPr>
                <w:rFonts w:ascii="宋体" w:hAnsi="宋体" w:eastAsia="宋体" w:cs="宋体"/>
                <w:position w:val="-4"/>
                <w:sz w:val="20"/>
                <w:szCs w:val="20"/>
              </w:rPr>
              <w:t>一</w:t>
            </w:r>
          </w:p>
        </w:tc>
        <w:tc>
          <w:tcPr>
            <w:tcW w:w="839" w:type="dxa"/>
            <w:vAlign w:val="top"/>
          </w:tcPr>
          <w:p w14:paraId="323515D3">
            <w:pPr>
              <w:spacing w:before="203" w:line="155" w:lineRule="exact"/>
              <w:ind w:left="317"/>
              <w:rPr>
                <w:rFonts w:ascii="宋体" w:hAnsi="宋体" w:eastAsia="宋体" w:cs="宋体"/>
                <w:sz w:val="20"/>
                <w:szCs w:val="20"/>
              </w:rPr>
            </w:pPr>
            <w:r>
              <w:rPr>
                <w:rFonts w:ascii="宋体" w:hAnsi="宋体" w:eastAsia="宋体" w:cs="宋体"/>
                <w:position w:val="-4"/>
                <w:sz w:val="20"/>
                <w:szCs w:val="20"/>
              </w:rPr>
              <w:t>一</w:t>
            </w:r>
          </w:p>
        </w:tc>
        <w:tc>
          <w:tcPr>
            <w:tcW w:w="1039" w:type="dxa"/>
            <w:vAlign w:val="top"/>
          </w:tcPr>
          <w:p w14:paraId="1F9516BB">
            <w:pPr>
              <w:spacing w:before="203" w:line="155" w:lineRule="exact"/>
              <w:ind w:left="418"/>
              <w:rPr>
                <w:rFonts w:ascii="宋体" w:hAnsi="宋体" w:eastAsia="宋体" w:cs="宋体"/>
                <w:sz w:val="20"/>
                <w:szCs w:val="20"/>
              </w:rPr>
            </w:pPr>
            <w:r>
              <w:rPr>
                <w:rFonts w:ascii="宋体" w:hAnsi="宋体" w:eastAsia="宋体" w:cs="宋体"/>
                <w:position w:val="-4"/>
                <w:sz w:val="20"/>
                <w:szCs w:val="20"/>
              </w:rPr>
              <w:t>一</w:t>
            </w:r>
          </w:p>
        </w:tc>
        <w:tc>
          <w:tcPr>
            <w:tcW w:w="1414" w:type="dxa"/>
            <w:vAlign w:val="top"/>
          </w:tcPr>
          <w:p w14:paraId="78C125E7">
            <w:pPr>
              <w:spacing w:before="126" w:line="237" w:lineRule="auto"/>
              <w:ind w:left="599"/>
              <w:rPr>
                <w:rFonts w:ascii="宋体" w:hAnsi="宋体" w:eastAsia="宋体" w:cs="宋体"/>
                <w:sz w:val="20"/>
                <w:szCs w:val="20"/>
              </w:rPr>
            </w:pPr>
            <w:r>
              <w:rPr>
                <w:rFonts w:ascii="宋体" w:hAnsi="宋体" w:eastAsia="宋体" w:cs="宋体"/>
                <w:sz w:val="20"/>
                <w:szCs w:val="20"/>
              </w:rPr>
              <w:t>●</w:t>
            </w:r>
          </w:p>
        </w:tc>
      </w:tr>
    </w:tbl>
    <w:p w14:paraId="79E769F6">
      <w:pPr>
        <w:rPr>
          <w:rFonts w:ascii="Arial"/>
          <w:sz w:val="21"/>
        </w:rPr>
      </w:pPr>
    </w:p>
    <w:p w14:paraId="5A37FD2F">
      <w:pPr>
        <w:rPr>
          <w:rFonts w:ascii="Arial" w:hAnsi="Arial" w:eastAsia="Arial" w:cs="Arial"/>
          <w:sz w:val="21"/>
          <w:szCs w:val="21"/>
        </w:rPr>
        <w:sectPr>
          <w:footerReference r:id="rId300" w:type="default"/>
          <w:pgSz w:w="11910" w:h="17130"/>
          <w:pgMar w:top="1456" w:right="1563" w:bottom="1593" w:left="959" w:header="0" w:footer="1394" w:gutter="0"/>
          <w:cols w:space="720" w:num="1"/>
        </w:sectPr>
      </w:pPr>
    </w:p>
    <w:p w14:paraId="5C5B7E77">
      <w:pPr>
        <w:pStyle w:val="2"/>
        <w:spacing w:before="153" w:line="220" w:lineRule="auto"/>
        <w:ind w:left="8720"/>
        <w:rPr>
          <w:sz w:val="22"/>
          <w:szCs w:val="22"/>
        </w:rPr>
      </w:pPr>
      <w:r>
        <w:rPr>
          <w:spacing w:val="16"/>
          <w:sz w:val="22"/>
          <w:szCs w:val="22"/>
        </w:rPr>
        <w:t>(续)</w:t>
      </w:r>
    </w:p>
    <w:p w14:paraId="4F4B3618">
      <w:pPr>
        <w:spacing w:line="103" w:lineRule="exact"/>
      </w:pPr>
    </w:p>
    <w:tbl>
      <w:tblPr>
        <w:tblStyle w:val="5"/>
        <w:tblW w:w="933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4"/>
        <w:gridCol w:w="629"/>
        <w:gridCol w:w="3346"/>
        <w:gridCol w:w="829"/>
        <w:gridCol w:w="839"/>
        <w:gridCol w:w="1039"/>
        <w:gridCol w:w="1413"/>
      </w:tblGrid>
      <w:tr w14:paraId="4E901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244" w:type="dxa"/>
            <w:vMerge w:val="restart"/>
            <w:tcBorders>
              <w:bottom w:val="nil"/>
            </w:tcBorders>
            <w:vAlign w:val="top"/>
          </w:tcPr>
          <w:p w14:paraId="4DE9CAD3">
            <w:pPr>
              <w:pStyle w:val="6"/>
              <w:spacing w:line="343" w:lineRule="auto"/>
            </w:pPr>
          </w:p>
          <w:p w14:paraId="52B838C1">
            <w:pPr>
              <w:spacing w:before="68" w:line="219" w:lineRule="auto"/>
              <w:ind w:left="194"/>
              <w:rPr>
                <w:rFonts w:ascii="宋体" w:hAnsi="宋体" w:eastAsia="宋体" w:cs="宋体"/>
                <w:sz w:val="21"/>
                <w:szCs w:val="21"/>
              </w:rPr>
            </w:pPr>
            <w:r>
              <w:rPr>
                <w:rFonts w:ascii="宋体" w:hAnsi="宋体" w:eastAsia="宋体" w:cs="宋体"/>
                <w:spacing w:val="4"/>
                <w:sz w:val="21"/>
                <w:szCs w:val="21"/>
              </w:rPr>
              <w:t>文件类别</w:t>
            </w:r>
          </w:p>
        </w:tc>
        <w:tc>
          <w:tcPr>
            <w:tcW w:w="629" w:type="dxa"/>
            <w:vMerge w:val="restart"/>
            <w:tcBorders>
              <w:bottom w:val="nil"/>
            </w:tcBorders>
            <w:vAlign w:val="top"/>
          </w:tcPr>
          <w:p w14:paraId="16994245">
            <w:pPr>
              <w:pStyle w:val="6"/>
              <w:spacing w:line="344" w:lineRule="auto"/>
            </w:pPr>
          </w:p>
          <w:p w14:paraId="7C6A5E85">
            <w:pPr>
              <w:spacing w:before="68" w:line="221" w:lineRule="auto"/>
              <w:ind w:left="90"/>
              <w:rPr>
                <w:rFonts w:ascii="宋体" w:hAnsi="宋体" w:eastAsia="宋体" w:cs="宋体"/>
                <w:sz w:val="21"/>
                <w:szCs w:val="21"/>
              </w:rPr>
            </w:pPr>
            <w:r>
              <w:rPr>
                <w:rFonts w:ascii="宋体" w:hAnsi="宋体" w:eastAsia="宋体" w:cs="宋体"/>
                <w:spacing w:val="6"/>
                <w:sz w:val="21"/>
                <w:szCs w:val="21"/>
              </w:rPr>
              <w:t>序号</w:t>
            </w:r>
          </w:p>
        </w:tc>
        <w:tc>
          <w:tcPr>
            <w:tcW w:w="3346" w:type="dxa"/>
            <w:vMerge w:val="restart"/>
            <w:tcBorders>
              <w:bottom w:val="nil"/>
            </w:tcBorders>
            <w:vAlign w:val="top"/>
          </w:tcPr>
          <w:p w14:paraId="55DE3FEF">
            <w:pPr>
              <w:pStyle w:val="6"/>
              <w:spacing w:line="343" w:lineRule="auto"/>
            </w:pPr>
          </w:p>
          <w:p w14:paraId="1ABD19CE">
            <w:pPr>
              <w:spacing w:before="68" w:line="219" w:lineRule="auto"/>
              <w:ind w:left="1261"/>
              <w:rPr>
                <w:rFonts w:ascii="宋体" w:hAnsi="宋体" w:eastAsia="宋体" w:cs="宋体"/>
                <w:sz w:val="21"/>
                <w:szCs w:val="21"/>
              </w:rPr>
            </w:pPr>
            <w:r>
              <w:rPr>
                <w:rFonts w:ascii="宋体" w:hAnsi="宋体" w:eastAsia="宋体" w:cs="宋体"/>
                <w:spacing w:val="2"/>
                <w:sz w:val="21"/>
                <w:szCs w:val="21"/>
              </w:rPr>
              <w:t>文件名称</w:t>
            </w:r>
          </w:p>
        </w:tc>
        <w:tc>
          <w:tcPr>
            <w:tcW w:w="829" w:type="dxa"/>
            <w:vMerge w:val="restart"/>
            <w:tcBorders>
              <w:bottom w:val="nil"/>
            </w:tcBorders>
            <w:vAlign w:val="top"/>
          </w:tcPr>
          <w:p w14:paraId="1D3B861A">
            <w:pPr>
              <w:spacing w:before="214" w:line="220" w:lineRule="auto"/>
              <w:ind w:left="196"/>
              <w:rPr>
                <w:rFonts w:ascii="宋体" w:hAnsi="宋体" w:eastAsia="宋体" w:cs="宋体"/>
                <w:sz w:val="21"/>
                <w:szCs w:val="21"/>
              </w:rPr>
            </w:pPr>
            <w:r>
              <w:rPr>
                <w:rFonts w:ascii="宋体" w:hAnsi="宋体" w:eastAsia="宋体" w:cs="宋体"/>
                <w:spacing w:val="-3"/>
                <w:sz w:val="21"/>
                <w:szCs w:val="21"/>
              </w:rPr>
              <w:t>方案</w:t>
            </w:r>
          </w:p>
          <w:p w14:paraId="05FE7BD4">
            <w:pPr>
              <w:spacing w:before="110" w:line="221" w:lineRule="auto"/>
              <w:ind w:left="196"/>
              <w:rPr>
                <w:rFonts w:ascii="宋体" w:hAnsi="宋体" w:eastAsia="宋体" w:cs="宋体"/>
                <w:sz w:val="21"/>
                <w:szCs w:val="21"/>
              </w:rPr>
            </w:pPr>
            <w:r>
              <w:rPr>
                <w:rFonts w:ascii="宋体" w:hAnsi="宋体" w:eastAsia="宋体" w:cs="宋体"/>
                <w:spacing w:val="4"/>
                <w:sz w:val="21"/>
                <w:szCs w:val="21"/>
              </w:rPr>
              <w:t>阶段</w:t>
            </w:r>
          </w:p>
        </w:tc>
        <w:tc>
          <w:tcPr>
            <w:tcW w:w="1878" w:type="dxa"/>
            <w:gridSpan w:val="2"/>
            <w:vAlign w:val="top"/>
          </w:tcPr>
          <w:p w14:paraId="7074F695">
            <w:pPr>
              <w:spacing w:before="154" w:line="220" w:lineRule="auto"/>
              <w:ind w:left="316"/>
              <w:rPr>
                <w:rFonts w:ascii="宋体" w:hAnsi="宋体" w:eastAsia="宋体" w:cs="宋体"/>
                <w:sz w:val="21"/>
                <w:szCs w:val="21"/>
              </w:rPr>
            </w:pPr>
            <w:r>
              <w:rPr>
                <w:rFonts w:ascii="宋体" w:hAnsi="宋体" w:eastAsia="宋体" w:cs="宋体"/>
                <w:spacing w:val="-2"/>
                <w:sz w:val="21"/>
                <w:szCs w:val="21"/>
              </w:rPr>
              <w:t>工程研制阶段</w:t>
            </w:r>
          </w:p>
        </w:tc>
        <w:tc>
          <w:tcPr>
            <w:tcW w:w="1413" w:type="dxa"/>
            <w:vMerge w:val="restart"/>
            <w:tcBorders>
              <w:bottom w:val="nil"/>
            </w:tcBorders>
            <w:vAlign w:val="top"/>
          </w:tcPr>
          <w:p w14:paraId="5C71C0FB">
            <w:pPr>
              <w:spacing w:before="234" w:line="220" w:lineRule="auto"/>
              <w:ind w:left="279"/>
              <w:rPr>
                <w:rFonts w:ascii="宋体" w:hAnsi="宋体" w:eastAsia="宋体" w:cs="宋体"/>
                <w:sz w:val="21"/>
                <w:szCs w:val="21"/>
              </w:rPr>
            </w:pPr>
            <w:r>
              <w:rPr>
                <w:rFonts w:ascii="宋体" w:hAnsi="宋体" w:eastAsia="宋体" w:cs="宋体"/>
                <w:spacing w:val="3"/>
                <w:sz w:val="21"/>
                <w:szCs w:val="21"/>
              </w:rPr>
              <w:t>设计定型</w:t>
            </w:r>
          </w:p>
          <w:p w14:paraId="7D98A4AA">
            <w:pPr>
              <w:spacing w:before="90" w:line="221" w:lineRule="auto"/>
              <w:ind w:left="489"/>
              <w:rPr>
                <w:rFonts w:ascii="宋体" w:hAnsi="宋体" w:eastAsia="宋体" w:cs="宋体"/>
                <w:sz w:val="21"/>
                <w:szCs w:val="21"/>
              </w:rPr>
            </w:pPr>
            <w:r>
              <w:rPr>
                <w:rFonts w:ascii="宋体" w:hAnsi="宋体" w:eastAsia="宋体" w:cs="宋体"/>
                <w:spacing w:val="4"/>
                <w:sz w:val="21"/>
                <w:szCs w:val="21"/>
              </w:rPr>
              <w:t>阶段</w:t>
            </w:r>
          </w:p>
        </w:tc>
      </w:tr>
      <w:tr w14:paraId="549EF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244" w:type="dxa"/>
            <w:vMerge w:val="continue"/>
            <w:tcBorders>
              <w:top w:val="nil"/>
            </w:tcBorders>
            <w:vAlign w:val="top"/>
          </w:tcPr>
          <w:p w14:paraId="6576D45E">
            <w:pPr>
              <w:pStyle w:val="6"/>
            </w:pPr>
          </w:p>
        </w:tc>
        <w:tc>
          <w:tcPr>
            <w:tcW w:w="629" w:type="dxa"/>
            <w:vMerge w:val="continue"/>
            <w:tcBorders>
              <w:top w:val="nil"/>
            </w:tcBorders>
            <w:vAlign w:val="top"/>
          </w:tcPr>
          <w:p w14:paraId="11DD3F5F">
            <w:pPr>
              <w:pStyle w:val="6"/>
            </w:pPr>
          </w:p>
        </w:tc>
        <w:tc>
          <w:tcPr>
            <w:tcW w:w="3346" w:type="dxa"/>
            <w:vMerge w:val="continue"/>
            <w:tcBorders>
              <w:top w:val="nil"/>
            </w:tcBorders>
            <w:vAlign w:val="top"/>
          </w:tcPr>
          <w:p w14:paraId="647B076A">
            <w:pPr>
              <w:pStyle w:val="6"/>
            </w:pPr>
          </w:p>
        </w:tc>
        <w:tc>
          <w:tcPr>
            <w:tcW w:w="829" w:type="dxa"/>
            <w:vMerge w:val="continue"/>
            <w:tcBorders>
              <w:top w:val="nil"/>
            </w:tcBorders>
            <w:vAlign w:val="top"/>
          </w:tcPr>
          <w:p w14:paraId="7E3C7606">
            <w:pPr>
              <w:pStyle w:val="6"/>
            </w:pPr>
          </w:p>
        </w:tc>
        <w:tc>
          <w:tcPr>
            <w:tcW w:w="839" w:type="dxa"/>
            <w:vAlign w:val="top"/>
          </w:tcPr>
          <w:p w14:paraId="666A88F5">
            <w:pPr>
              <w:spacing w:before="149" w:line="219" w:lineRule="auto"/>
              <w:ind w:left="207"/>
              <w:rPr>
                <w:rFonts w:ascii="宋体" w:hAnsi="宋体" w:eastAsia="宋体" w:cs="宋体"/>
                <w:sz w:val="21"/>
                <w:szCs w:val="21"/>
              </w:rPr>
            </w:pPr>
            <w:r>
              <w:rPr>
                <w:rFonts w:ascii="宋体" w:hAnsi="宋体" w:eastAsia="宋体" w:cs="宋体"/>
                <w:spacing w:val="-2"/>
                <w:sz w:val="21"/>
                <w:szCs w:val="21"/>
              </w:rPr>
              <w:t>初样</w:t>
            </w:r>
          </w:p>
        </w:tc>
        <w:tc>
          <w:tcPr>
            <w:tcW w:w="1039" w:type="dxa"/>
            <w:vAlign w:val="top"/>
          </w:tcPr>
          <w:p w14:paraId="5B950130">
            <w:pPr>
              <w:spacing w:before="149" w:line="219" w:lineRule="auto"/>
              <w:ind w:left="97"/>
              <w:rPr>
                <w:rFonts w:ascii="宋体" w:hAnsi="宋体" w:eastAsia="宋体" w:cs="宋体"/>
                <w:sz w:val="21"/>
                <w:szCs w:val="21"/>
              </w:rPr>
            </w:pPr>
            <w:r>
              <w:rPr>
                <w:rFonts w:ascii="宋体" w:hAnsi="宋体" w:eastAsia="宋体" w:cs="宋体"/>
                <w:spacing w:val="-2"/>
                <w:sz w:val="21"/>
                <w:szCs w:val="21"/>
              </w:rPr>
              <w:t>试样正样</w:t>
            </w:r>
          </w:p>
        </w:tc>
        <w:tc>
          <w:tcPr>
            <w:tcW w:w="1413" w:type="dxa"/>
            <w:vMerge w:val="continue"/>
            <w:tcBorders>
              <w:top w:val="nil"/>
            </w:tcBorders>
            <w:vAlign w:val="top"/>
          </w:tcPr>
          <w:p w14:paraId="07F3C944">
            <w:pPr>
              <w:pStyle w:val="6"/>
            </w:pPr>
          </w:p>
        </w:tc>
      </w:tr>
      <w:tr w14:paraId="15495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244" w:type="dxa"/>
            <w:vMerge w:val="restart"/>
            <w:tcBorders>
              <w:bottom w:val="nil"/>
            </w:tcBorders>
            <w:vAlign w:val="top"/>
          </w:tcPr>
          <w:p w14:paraId="4BE4683D">
            <w:pPr>
              <w:pStyle w:val="6"/>
              <w:spacing w:line="285" w:lineRule="auto"/>
            </w:pPr>
          </w:p>
          <w:p w14:paraId="61582FF5">
            <w:pPr>
              <w:pStyle w:val="6"/>
              <w:spacing w:line="286" w:lineRule="auto"/>
            </w:pPr>
          </w:p>
          <w:p w14:paraId="6EEF57DF">
            <w:pPr>
              <w:pStyle w:val="6"/>
              <w:spacing w:line="286" w:lineRule="auto"/>
            </w:pPr>
          </w:p>
          <w:p w14:paraId="2BB8528B">
            <w:pPr>
              <w:spacing w:before="68" w:line="219" w:lineRule="auto"/>
              <w:ind w:left="194"/>
              <w:rPr>
                <w:rFonts w:ascii="宋体" w:hAnsi="宋体" w:eastAsia="宋体" w:cs="宋体"/>
                <w:sz w:val="21"/>
                <w:szCs w:val="21"/>
              </w:rPr>
            </w:pPr>
            <w:r>
              <w:rPr>
                <w:rFonts w:ascii="宋体" w:hAnsi="宋体" w:eastAsia="宋体" w:cs="宋体"/>
                <w:spacing w:val="-2"/>
                <w:sz w:val="21"/>
                <w:szCs w:val="21"/>
              </w:rPr>
              <w:t>评审文件</w:t>
            </w:r>
          </w:p>
        </w:tc>
        <w:tc>
          <w:tcPr>
            <w:tcW w:w="629" w:type="dxa"/>
            <w:vAlign w:val="top"/>
          </w:tcPr>
          <w:p w14:paraId="55DCE281">
            <w:pPr>
              <w:spacing w:before="171" w:line="241" w:lineRule="auto"/>
              <w:ind w:left="250"/>
              <w:rPr>
                <w:rFonts w:ascii="宋体" w:hAnsi="宋体" w:eastAsia="宋体" w:cs="宋体"/>
                <w:sz w:val="21"/>
                <w:szCs w:val="21"/>
              </w:rPr>
            </w:pPr>
            <w:r>
              <w:rPr>
                <w:rFonts w:ascii="宋体" w:hAnsi="宋体" w:eastAsia="宋体" w:cs="宋体"/>
                <w:sz w:val="21"/>
                <w:szCs w:val="21"/>
              </w:rPr>
              <w:t>1</w:t>
            </w:r>
          </w:p>
        </w:tc>
        <w:tc>
          <w:tcPr>
            <w:tcW w:w="3346" w:type="dxa"/>
            <w:vAlign w:val="top"/>
          </w:tcPr>
          <w:p w14:paraId="2785F7AA">
            <w:pPr>
              <w:spacing w:before="148" w:line="218" w:lineRule="auto"/>
              <w:ind w:left="92"/>
              <w:rPr>
                <w:rFonts w:ascii="宋体" w:hAnsi="宋体" w:eastAsia="宋体" w:cs="宋体"/>
                <w:sz w:val="21"/>
                <w:szCs w:val="21"/>
              </w:rPr>
            </w:pPr>
            <w:r>
              <w:rPr>
                <w:rFonts w:ascii="宋体" w:hAnsi="宋体" w:eastAsia="宋体" w:cs="宋体"/>
                <w:spacing w:val="1"/>
                <w:sz w:val="21"/>
                <w:szCs w:val="21"/>
              </w:rPr>
              <w:t>标准化评审申请报告</w:t>
            </w:r>
          </w:p>
        </w:tc>
        <w:tc>
          <w:tcPr>
            <w:tcW w:w="829" w:type="dxa"/>
            <w:vAlign w:val="top"/>
          </w:tcPr>
          <w:p w14:paraId="3528A8AE">
            <w:pPr>
              <w:spacing w:before="204" w:line="183" w:lineRule="auto"/>
              <w:ind w:left="355"/>
              <w:rPr>
                <w:rFonts w:ascii="宋体" w:hAnsi="宋体" w:eastAsia="宋体" w:cs="宋体"/>
                <w:sz w:val="21"/>
                <w:szCs w:val="21"/>
              </w:rPr>
            </w:pPr>
            <w:r>
              <w:rPr>
                <w:rFonts w:ascii="宋体" w:hAnsi="宋体" w:eastAsia="宋体" w:cs="宋体"/>
                <w:sz w:val="21"/>
                <w:szCs w:val="21"/>
              </w:rPr>
              <w:t>O</w:t>
            </w:r>
          </w:p>
        </w:tc>
        <w:tc>
          <w:tcPr>
            <w:tcW w:w="839" w:type="dxa"/>
            <w:vAlign w:val="top"/>
          </w:tcPr>
          <w:p w14:paraId="23E3F714">
            <w:pPr>
              <w:spacing w:before="204" w:line="183" w:lineRule="auto"/>
              <w:ind w:left="356"/>
              <w:rPr>
                <w:rFonts w:ascii="宋体" w:hAnsi="宋体" w:eastAsia="宋体" w:cs="宋体"/>
                <w:sz w:val="21"/>
                <w:szCs w:val="21"/>
              </w:rPr>
            </w:pPr>
            <w:r>
              <w:rPr>
                <w:rFonts w:ascii="宋体" w:hAnsi="宋体" w:eastAsia="宋体" w:cs="宋体"/>
                <w:sz w:val="21"/>
                <w:szCs w:val="21"/>
              </w:rPr>
              <w:t>O</w:t>
            </w:r>
          </w:p>
        </w:tc>
        <w:tc>
          <w:tcPr>
            <w:tcW w:w="1039" w:type="dxa"/>
            <w:vAlign w:val="top"/>
          </w:tcPr>
          <w:p w14:paraId="797138BE">
            <w:pPr>
              <w:spacing w:before="204" w:line="183" w:lineRule="auto"/>
              <w:ind w:left="458"/>
              <w:rPr>
                <w:rFonts w:ascii="宋体" w:hAnsi="宋体" w:eastAsia="宋体" w:cs="宋体"/>
                <w:sz w:val="21"/>
                <w:szCs w:val="21"/>
              </w:rPr>
            </w:pPr>
            <w:r>
              <w:rPr>
                <w:rFonts w:ascii="宋体" w:hAnsi="宋体" w:eastAsia="宋体" w:cs="宋体"/>
                <w:sz w:val="21"/>
                <w:szCs w:val="21"/>
              </w:rPr>
              <w:t>O</w:t>
            </w:r>
          </w:p>
        </w:tc>
        <w:tc>
          <w:tcPr>
            <w:tcW w:w="1413" w:type="dxa"/>
            <w:vAlign w:val="top"/>
          </w:tcPr>
          <w:p w14:paraId="461E7BAC">
            <w:pPr>
              <w:spacing w:before="204" w:line="183" w:lineRule="auto"/>
              <w:ind w:left="648"/>
              <w:rPr>
                <w:rFonts w:ascii="宋体" w:hAnsi="宋体" w:eastAsia="宋体" w:cs="宋体"/>
                <w:sz w:val="21"/>
                <w:szCs w:val="21"/>
              </w:rPr>
            </w:pPr>
            <w:r>
              <w:rPr>
                <w:rFonts w:ascii="宋体" w:hAnsi="宋体" w:eastAsia="宋体" w:cs="宋体"/>
                <w:sz w:val="21"/>
                <w:szCs w:val="21"/>
              </w:rPr>
              <w:t>O</w:t>
            </w:r>
          </w:p>
        </w:tc>
      </w:tr>
      <w:tr w14:paraId="4775F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244" w:type="dxa"/>
            <w:vMerge w:val="continue"/>
            <w:tcBorders>
              <w:top w:val="nil"/>
              <w:bottom w:val="nil"/>
            </w:tcBorders>
            <w:vAlign w:val="top"/>
          </w:tcPr>
          <w:p w14:paraId="2AA58AE4">
            <w:pPr>
              <w:pStyle w:val="6"/>
            </w:pPr>
          </w:p>
        </w:tc>
        <w:tc>
          <w:tcPr>
            <w:tcW w:w="629" w:type="dxa"/>
            <w:vAlign w:val="top"/>
          </w:tcPr>
          <w:p w14:paraId="4D5FC3BE">
            <w:pPr>
              <w:spacing w:before="172" w:line="241" w:lineRule="auto"/>
              <w:ind w:left="250"/>
              <w:rPr>
                <w:rFonts w:ascii="宋体" w:hAnsi="宋体" w:eastAsia="宋体" w:cs="宋体"/>
                <w:sz w:val="21"/>
                <w:szCs w:val="21"/>
              </w:rPr>
            </w:pPr>
            <w:r>
              <w:rPr>
                <w:rFonts w:ascii="宋体" w:hAnsi="宋体" w:eastAsia="宋体" w:cs="宋体"/>
                <w:sz w:val="21"/>
                <w:szCs w:val="21"/>
              </w:rPr>
              <w:t>2</w:t>
            </w:r>
          </w:p>
        </w:tc>
        <w:tc>
          <w:tcPr>
            <w:tcW w:w="3346" w:type="dxa"/>
            <w:vAlign w:val="top"/>
          </w:tcPr>
          <w:p w14:paraId="3E2968BD">
            <w:pPr>
              <w:spacing w:before="149" w:line="218" w:lineRule="auto"/>
              <w:ind w:left="92"/>
              <w:rPr>
                <w:rFonts w:ascii="宋体" w:hAnsi="宋体" w:eastAsia="宋体" w:cs="宋体"/>
                <w:sz w:val="21"/>
                <w:szCs w:val="21"/>
              </w:rPr>
            </w:pPr>
            <w:r>
              <w:rPr>
                <w:rFonts w:ascii="宋体" w:hAnsi="宋体" w:eastAsia="宋体" w:cs="宋体"/>
                <w:spacing w:val="1"/>
                <w:sz w:val="21"/>
                <w:szCs w:val="21"/>
              </w:rPr>
              <w:t>标准化评审结论和报告</w:t>
            </w:r>
          </w:p>
        </w:tc>
        <w:tc>
          <w:tcPr>
            <w:tcW w:w="829" w:type="dxa"/>
            <w:vAlign w:val="top"/>
          </w:tcPr>
          <w:p w14:paraId="3FFAF459">
            <w:pPr>
              <w:spacing w:before="205" w:line="183" w:lineRule="auto"/>
              <w:ind w:left="355"/>
              <w:rPr>
                <w:rFonts w:ascii="宋体" w:hAnsi="宋体" w:eastAsia="宋体" w:cs="宋体"/>
                <w:sz w:val="21"/>
                <w:szCs w:val="21"/>
              </w:rPr>
            </w:pPr>
            <w:r>
              <w:rPr>
                <w:rFonts w:ascii="宋体" w:hAnsi="宋体" w:eastAsia="宋体" w:cs="宋体"/>
                <w:sz w:val="21"/>
                <w:szCs w:val="21"/>
              </w:rPr>
              <w:t>O</w:t>
            </w:r>
          </w:p>
        </w:tc>
        <w:tc>
          <w:tcPr>
            <w:tcW w:w="839" w:type="dxa"/>
            <w:vAlign w:val="top"/>
          </w:tcPr>
          <w:p w14:paraId="1A586CB9">
            <w:pPr>
              <w:spacing w:before="205" w:line="183" w:lineRule="auto"/>
              <w:ind w:left="356"/>
              <w:rPr>
                <w:rFonts w:ascii="宋体" w:hAnsi="宋体" w:eastAsia="宋体" w:cs="宋体"/>
                <w:sz w:val="21"/>
                <w:szCs w:val="21"/>
              </w:rPr>
            </w:pPr>
            <w:r>
              <w:rPr>
                <w:rFonts w:ascii="宋体" w:hAnsi="宋体" w:eastAsia="宋体" w:cs="宋体"/>
                <w:sz w:val="21"/>
                <w:szCs w:val="21"/>
              </w:rPr>
              <w:t>O</w:t>
            </w:r>
          </w:p>
        </w:tc>
        <w:tc>
          <w:tcPr>
            <w:tcW w:w="1039" w:type="dxa"/>
            <w:vAlign w:val="top"/>
          </w:tcPr>
          <w:p w14:paraId="348EE013">
            <w:pPr>
              <w:spacing w:before="205" w:line="183" w:lineRule="auto"/>
              <w:ind w:left="458"/>
              <w:rPr>
                <w:rFonts w:ascii="宋体" w:hAnsi="宋体" w:eastAsia="宋体" w:cs="宋体"/>
                <w:sz w:val="21"/>
                <w:szCs w:val="21"/>
              </w:rPr>
            </w:pPr>
            <w:r>
              <w:rPr>
                <w:rFonts w:ascii="宋体" w:hAnsi="宋体" w:eastAsia="宋体" w:cs="宋体"/>
                <w:sz w:val="21"/>
                <w:szCs w:val="21"/>
              </w:rPr>
              <w:t>O</w:t>
            </w:r>
          </w:p>
        </w:tc>
        <w:tc>
          <w:tcPr>
            <w:tcW w:w="1413" w:type="dxa"/>
            <w:vAlign w:val="top"/>
          </w:tcPr>
          <w:p w14:paraId="6F625C59">
            <w:pPr>
              <w:spacing w:before="205" w:line="183" w:lineRule="auto"/>
              <w:ind w:left="648"/>
              <w:rPr>
                <w:rFonts w:ascii="宋体" w:hAnsi="宋体" w:eastAsia="宋体" w:cs="宋体"/>
                <w:sz w:val="21"/>
                <w:szCs w:val="21"/>
              </w:rPr>
            </w:pPr>
            <w:r>
              <w:rPr>
                <w:rFonts w:ascii="宋体" w:hAnsi="宋体" w:eastAsia="宋体" w:cs="宋体"/>
                <w:sz w:val="21"/>
                <w:szCs w:val="21"/>
              </w:rPr>
              <w:t>O</w:t>
            </w:r>
          </w:p>
        </w:tc>
      </w:tr>
      <w:tr w14:paraId="6D779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244" w:type="dxa"/>
            <w:vMerge w:val="continue"/>
            <w:tcBorders>
              <w:top w:val="nil"/>
              <w:bottom w:val="nil"/>
            </w:tcBorders>
            <w:vAlign w:val="top"/>
          </w:tcPr>
          <w:p w14:paraId="1CC3745D">
            <w:pPr>
              <w:pStyle w:val="6"/>
            </w:pPr>
          </w:p>
        </w:tc>
        <w:tc>
          <w:tcPr>
            <w:tcW w:w="629" w:type="dxa"/>
            <w:vAlign w:val="top"/>
          </w:tcPr>
          <w:p w14:paraId="0333D0A1">
            <w:pPr>
              <w:spacing w:before="182"/>
              <w:ind w:left="250"/>
              <w:rPr>
                <w:rFonts w:ascii="宋体" w:hAnsi="宋体" w:eastAsia="宋体" w:cs="宋体"/>
                <w:sz w:val="21"/>
                <w:szCs w:val="21"/>
              </w:rPr>
            </w:pPr>
            <w:r>
              <w:rPr>
                <w:rFonts w:ascii="宋体" w:hAnsi="宋体" w:eastAsia="宋体" w:cs="宋体"/>
                <w:sz w:val="21"/>
                <w:szCs w:val="21"/>
              </w:rPr>
              <w:t>3</w:t>
            </w:r>
          </w:p>
        </w:tc>
        <w:tc>
          <w:tcPr>
            <w:tcW w:w="3346" w:type="dxa"/>
            <w:vAlign w:val="top"/>
          </w:tcPr>
          <w:p w14:paraId="6CFBBFE2">
            <w:pPr>
              <w:spacing w:before="162" w:line="219" w:lineRule="auto"/>
              <w:ind w:left="92"/>
              <w:rPr>
                <w:rFonts w:ascii="宋体" w:hAnsi="宋体" w:eastAsia="宋体" w:cs="宋体"/>
                <w:sz w:val="21"/>
                <w:szCs w:val="21"/>
              </w:rPr>
            </w:pPr>
            <w:r>
              <w:rPr>
                <w:rFonts w:ascii="宋体" w:hAnsi="宋体" w:eastAsia="宋体" w:cs="宋体"/>
                <w:sz w:val="21"/>
                <w:szCs w:val="21"/>
              </w:rPr>
              <w:t>图样和技术文件标准化检查记录</w:t>
            </w:r>
          </w:p>
        </w:tc>
        <w:tc>
          <w:tcPr>
            <w:tcW w:w="829" w:type="dxa"/>
            <w:vAlign w:val="top"/>
          </w:tcPr>
          <w:p w14:paraId="63873BFA">
            <w:pPr>
              <w:spacing w:before="262" w:line="162" w:lineRule="exact"/>
              <w:ind w:left="306"/>
              <w:rPr>
                <w:rFonts w:ascii="宋体" w:hAnsi="宋体" w:eastAsia="宋体" w:cs="宋体"/>
                <w:sz w:val="21"/>
                <w:szCs w:val="21"/>
              </w:rPr>
            </w:pPr>
            <w:r>
              <w:rPr>
                <w:rFonts w:ascii="宋体" w:hAnsi="宋体" w:eastAsia="宋体" w:cs="宋体"/>
                <w:position w:val="-4"/>
                <w:sz w:val="21"/>
                <w:szCs w:val="21"/>
              </w:rPr>
              <w:t>一</w:t>
            </w:r>
          </w:p>
        </w:tc>
        <w:tc>
          <w:tcPr>
            <w:tcW w:w="839" w:type="dxa"/>
            <w:vAlign w:val="top"/>
          </w:tcPr>
          <w:p w14:paraId="15EFCCEA">
            <w:pPr>
              <w:spacing w:before="216" w:line="183" w:lineRule="auto"/>
              <w:ind w:left="356"/>
              <w:rPr>
                <w:rFonts w:ascii="宋体" w:hAnsi="宋体" w:eastAsia="宋体" w:cs="宋体"/>
                <w:sz w:val="21"/>
                <w:szCs w:val="21"/>
              </w:rPr>
            </w:pPr>
            <w:r>
              <w:rPr>
                <w:rFonts w:ascii="宋体" w:hAnsi="宋体" w:eastAsia="宋体" w:cs="宋体"/>
                <w:sz w:val="21"/>
                <w:szCs w:val="21"/>
              </w:rPr>
              <w:t>O</w:t>
            </w:r>
          </w:p>
        </w:tc>
        <w:tc>
          <w:tcPr>
            <w:tcW w:w="1039" w:type="dxa"/>
            <w:vAlign w:val="top"/>
          </w:tcPr>
          <w:p w14:paraId="643E47E4">
            <w:pPr>
              <w:spacing w:before="216" w:line="183" w:lineRule="auto"/>
              <w:ind w:left="458"/>
              <w:rPr>
                <w:rFonts w:ascii="宋体" w:hAnsi="宋体" w:eastAsia="宋体" w:cs="宋体"/>
                <w:sz w:val="21"/>
                <w:szCs w:val="21"/>
              </w:rPr>
            </w:pPr>
            <w:r>
              <w:rPr>
                <w:rFonts w:ascii="宋体" w:hAnsi="宋体" w:eastAsia="宋体" w:cs="宋体"/>
                <w:sz w:val="21"/>
                <w:szCs w:val="21"/>
              </w:rPr>
              <w:t>O</w:t>
            </w:r>
          </w:p>
        </w:tc>
        <w:tc>
          <w:tcPr>
            <w:tcW w:w="1413" w:type="dxa"/>
            <w:vAlign w:val="top"/>
          </w:tcPr>
          <w:p w14:paraId="2317C3F2">
            <w:pPr>
              <w:spacing w:before="216" w:line="183" w:lineRule="auto"/>
              <w:ind w:left="648"/>
              <w:rPr>
                <w:rFonts w:ascii="宋体" w:hAnsi="宋体" w:eastAsia="宋体" w:cs="宋体"/>
                <w:sz w:val="21"/>
                <w:szCs w:val="21"/>
              </w:rPr>
            </w:pPr>
            <w:r>
              <w:rPr>
                <w:rFonts w:ascii="宋体" w:hAnsi="宋体" w:eastAsia="宋体" w:cs="宋体"/>
                <w:sz w:val="21"/>
                <w:szCs w:val="21"/>
              </w:rPr>
              <w:t>O</w:t>
            </w:r>
          </w:p>
        </w:tc>
      </w:tr>
      <w:tr w14:paraId="618ED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1244" w:type="dxa"/>
            <w:vMerge w:val="continue"/>
            <w:tcBorders>
              <w:top w:val="nil"/>
            </w:tcBorders>
            <w:vAlign w:val="top"/>
          </w:tcPr>
          <w:p w14:paraId="6169C0D8">
            <w:pPr>
              <w:pStyle w:val="6"/>
            </w:pPr>
          </w:p>
        </w:tc>
        <w:tc>
          <w:tcPr>
            <w:tcW w:w="629" w:type="dxa"/>
            <w:vAlign w:val="top"/>
          </w:tcPr>
          <w:p w14:paraId="4E16C4C4">
            <w:pPr>
              <w:spacing w:before="174" w:line="241" w:lineRule="auto"/>
              <w:ind w:left="250"/>
              <w:rPr>
                <w:rFonts w:ascii="宋体" w:hAnsi="宋体" w:eastAsia="宋体" w:cs="宋体"/>
                <w:sz w:val="21"/>
                <w:szCs w:val="21"/>
              </w:rPr>
            </w:pPr>
            <w:r>
              <w:rPr>
                <w:rFonts w:ascii="宋体" w:hAnsi="宋体" w:eastAsia="宋体" w:cs="宋体"/>
                <w:sz w:val="21"/>
                <w:szCs w:val="21"/>
              </w:rPr>
              <w:t>4</w:t>
            </w:r>
          </w:p>
        </w:tc>
        <w:tc>
          <w:tcPr>
            <w:tcW w:w="3346" w:type="dxa"/>
            <w:vAlign w:val="top"/>
          </w:tcPr>
          <w:p w14:paraId="426FED9D">
            <w:pPr>
              <w:spacing w:before="151" w:line="218" w:lineRule="auto"/>
              <w:ind w:left="92"/>
              <w:rPr>
                <w:rFonts w:ascii="宋体" w:hAnsi="宋体" w:eastAsia="宋体" w:cs="宋体"/>
                <w:sz w:val="21"/>
                <w:szCs w:val="21"/>
              </w:rPr>
            </w:pPr>
            <w:r>
              <w:rPr>
                <w:rFonts w:ascii="宋体" w:hAnsi="宋体" w:eastAsia="宋体" w:cs="宋体"/>
                <w:spacing w:val="1"/>
                <w:sz w:val="21"/>
                <w:szCs w:val="21"/>
              </w:rPr>
              <w:t>标准化效果分析评估报告</w:t>
            </w:r>
          </w:p>
        </w:tc>
        <w:tc>
          <w:tcPr>
            <w:tcW w:w="829" w:type="dxa"/>
            <w:vAlign w:val="top"/>
          </w:tcPr>
          <w:p w14:paraId="3C75BF2C">
            <w:pPr>
              <w:spacing w:before="253" w:line="162" w:lineRule="exact"/>
              <w:ind w:left="306"/>
              <w:rPr>
                <w:rFonts w:ascii="宋体" w:hAnsi="宋体" w:eastAsia="宋体" w:cs="宋体"/>
                <w:sz w:val="21"/>
                <w:szCs w:val="21"/>
              </w:rPr>
            </w:pPr>
            <w:r>
              <w:rPr>
                <w:rFonts w:ascii="宋体" w:hAnsi="宋体" w:eastAsia="宋体" w:cs="宋体"/>
                <w:position w:val="-4"/>
                <w:sz w:val="21"/>
                <w:szCs w:val="21"/>
              </w:rPr>
              <w:t>一</w:t>
            </w:r>
          </w:p>
        </w:tc>
        <w:tc>
          <w:tcPr>
            <w:tcW w:w="839" w:type="dxa"/>
            <w:vAlign w:val="top"/>
          </w:tcPr>
          <w:p w14:paraId="10A4FC33">
            <w:pPr>
              <w:spacing w:before="253" w:line="162" w:lineRule="exact"/>
              <w:ind w:left="306"/>
              <w:rPr>
                <w:rFonts w:ascii="宋体" w:hAnsi="宋体" w:eastAsia="宋体" w:cs="宋体"/>
                <w:sz w:val="21"/>
                <w:szCs w:val="21"/>
              </w:rPr>
            </w:pPr>
            <w:r>
              <w:rPr>
                <w:rFonts w:ascii="宋体" w:hAnsi="宋体" w:eastAsia="宋体" w:cs="宋体"/>
                <w:position w:val="-4"/>
                <w:sz w:val="21"/>
                <w:szCs w:val="21"/>
              </w:rPr>
              <w:t>一</w:t>
            </w:r>
          </w:p>
        </w:tc>
        <w:tc>
          <w:tcPr>
            <w:tcW w:w="1039" w:type="dxa"/>
            <w:vAlign w:val="top"/>
          </w:tcPr>
          <w:p w14:paraId="6B7C75CA">
            <w:pPr>
              <w:spacing w:before="253" w:line="162" w:lineRule="exact"/>
              <w:ind w:left="407"/>
              <w:rPr>
                <w:rFonts w:ascii="宋体" w:hAnsi="宋体" w:eastAsia="宋体" w:cs="宋体"/>
                <w:sz w:val="21"/>
                <w:szCs w:val="21"/>
              </w:rPr>
            </w:pPr>
            <w:r>
              <w:rPr>
                <w:rFonts w:ascii="宋体" w:hAnsi="宋体" w:eastAsia="宋体" w:cs="宋体"/>
                <w:position w:val="-4"/>
                <w:sz w:val="21"/>
                <w:szCs w:val="21"/>
              </w:rPr>
              <w:t>一</w:t>
            </w:r>
          </w:p>
        </w:tc>
        <w:tc>
          <w:tcPr>
            <w:tcW w:w="1413" w:type="dxa"/>
            <w:vAlign w:val="top"/>
          </w:tcPr>
          <w:p w14:paraId="423932E1">
            <w:pPr>
              <w:spacing w:before="207" w:line="183" w:lineRule="auto"/>
              <w:ind w:left="648"/>
              <w:rPr>
                <w:rFonts w:ascii="宋体" w:hAnsi="宋体" w:eastAsia="宋体" w:cs="宋体"/>
                <w:sz w:val="21"/>
                <w:szCs w:val="21"/>
              </w:rPr>
            </w:pPr>
            <w:r>
              <w:rPr>
                <w:rFonts w:ascii="宋体" w:hAnsi="宋体" w:eastAsia="宋体" w:cs="宋体"/>
                <w:sz w:val="21"/>
                <w:szCs w:val="21"/>
              </w:rPr>
              <w:t>O</w:t>
            </w:r>
          </w:p>
        </w:tc>
      </w:tr>
      <w:tr w14:paraId="58FD4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244" w:type="dxa"/>
            <w:vMerge w:val="restart"/>
            <w:tcBorders>
              <w:bottom w:val="nil"/>
            </w:tcBorders>
            <w:vAlign w:val="top"/>
          </w:tcPr>
          <w:p w14:paraId="61089A34">
            <w:pPr>
              <w:pStyle w:val="6"/>
              <w:spacing w:line="279" w:lineRule="auto"/>
            </w:pPr>
          </w:p>
          <w:p w14:paraId="3E699E9F">
            <w:pPr>
              <w:pStyle w:val="6"/>
              <w:spacing w:line="279" w:lineRule="auto"/>
            </w:pPr>
          </w:p>
          <w:p w14:paraId="42AE981A">
            <w:pPr>
              <w:pStyle w:val="6"/>
              <w:spacing w:line="280" w:lineRule="auto"/>
            </w:pPr>
          </w:p>
          <w:p w14:paraId="7990F837">
            <w:pPr>
              <w:pStyle w:val="6"/>
              <w:spacing w:line="280" w:lineRule="auto"/>
            </w:pPr>
          </w:p>
          <w:p w14:paraId="728471D0">
            <w:pPr>
              <w:spacing w:before="68" w:line="219" w:lineRule="auto"/>
              <w:ind w:left="194"/>
              <w:rPr>
                <w:rFonts w:ascii="宋体" w:hAnsi="宋体" w:eastAsia="宋体" w:cs="宋体"/>
                <w:sz w:val="21"/>
                <w:szCs w:val="21"/>
              </w:rPr>
            </w:pPr>
            <w:r>
              <w:rPr>
                <w:rFonts w:ascii="宋体" w:hAnsi="宋体" w:eastAsia="宋体" w:cs="宋体"/>
                <w:spacing w:val="-2"/>
                <w:sz w:val="21"/>
                <w:szCs w:val="21"/>
              </w:rPr>
              <w:t>信息资料</w:t>
            </w:r>
          </w:p>
        </w:tc>
        <w:tc>
          <w:tcPr>
            <w:tcW w:w="629" w:type="dxa"/>
            <w:vAlign w:val="top"/>
          </w:tcPr>
          <w:p w14:paraId="53A9CA00">
            <w:pPr>
              <w:spacing w:before="184" w:line="241" w:lineRule="auto"/>
              <w:ind w:left="250"/>
              <w:rPr>
                <w:rFonts w:ascii="宋体" w:hAnsi="宋体" w:eastAsia="宋体" w:cs="宋体"/>
                <w:sz w:val="21"/>
                <w:szCs w:val="21"/>
              </w:rPr>
            </w:pPr>
            <w:r>
              <w:rPr>
                <w:rFonts w:ascii="宋体" w:hAnsi="宋体" w:eastAsia="宋体" w:cs="宋体"/>
                <w:sz w:val="21"/>
                <w:szCs w:val="21"/>
              </w:rPr>
              <w:t>1</w:t>
            </w:r>
          </w:p>
        </w:tc>
        <w:tc>
          <w:tcPr>
            <w:tcW w:w="3346" w:type="dxa"/>
            <w:vAlign w:val="top"/>
          </w:tcPr>
          <w:p w14:paraId="22F3B896">
            <w:pPr>
              <w:spacing w:before="164" w:line="220" w:lineRule="auto"/>
              <w:ind w:left="92"/>
              <w:rPr>
                <w:rFonts w:ascii="宋体" w:hAnsi="宋体" w:eastAsia="宋体" w:cs="宋体"/>
                <w:sz w:val="21"/>
                <w:szCs w:val="21"/>
              </w:rPr>
            </w:pPr>
            <w:r>
              <w:rPr>
                <w:rFonts w:ascii="宋体" w:hAnsi="宋体" w:eastAsia="宋体" w:cs="宋体"/>
                <w:spacing w:val="3"/>
                <w:sz w:val="21"/>
                <w:szCs w:val="21"/>
              </w:rPr>
              <w:t>标准化工作总结(阶段小结)</w:t>
            </w:r>
          </w:p>
        </w:tc>
        <w:tc>
          <w:tcPr>
            <w:tcW w:w="829" w:type="dxa"/>
            <w:vAlign w:val="top"/>
          </w:tcPr>
          <w:p w14:paraId="6C527AD3">
            <w:pPr>
              <w:spacing w:before="217" w:line="183" w:lineRule="auto"/>
              <w:ind w:left="355"/>
              <w:rPr>
                <w:rFonts w:ascii="宋体" w:hAnsi="宋体" w:eastAsia="宋体" w:cs="宋体"/>
                <w:sz w:val="21"/>
                <w:szCs w:val="21"/>
              </w:rPr>
            </w:pPr>
            <w:r>
              <w:rPr>
                <w:rFonts w:ascii="宋体" w:hAnsi="宋体" w:eastAsia="宋体" w:cs="宋体"/>
                <w:sz w:val="21"/>
                <w:szCs w:val="21"/>
              </w:rPr>
              <w:t>O</w:t>
            </w:r>
          </w:p>
        </w:tc>
        <w:tc>
          <w:tcPr>
            <w:tcW w:w="839" w:type="dxa"/>
            <w:vAlign w:val="top"/>
          </w:tcPr>
          <w:p w14:paraId="601C9A1D">
            <w:pPr>
              <w:spacing w:before="217" w:line="183" w:lineRule="auto"/>
              <w:ind w:left="356"/>
              <w:rPr>
                <w:rFonts w:ascii="宋体" w:hAnsi="宋体" w:eastAsia="宋体" w:cs="宋体"/>
                <w:sz w:val="21"/>
                <w:szCs w:val="21"/>
              </w:rPr>
            </w:pPr>
            <w:r>
              <w:rPr>
                <w:rFonts w:ascii="宋体" w:hAnsi="宋体" w:eastAsia="宋体" w:cs="宋体"/>
                <w:sz w:val="21"/>
                <w:szCs w:val="21"/>
              </w:rPr>
              <w:t>O</w:t>
            </w:r>
          </w:p>
        </w:tc>
        <w:tc>
          <w:tcPr>
            <w:tcW w:w="1039" w:type="dxa"/>
            <w:vAlign w:val="top"/>
          </w:tcPr>
          <w:p w14:paraId="03BF9519">
            <w:pPr>
              <w:spacing w:before="217" w:line="183" w:lineRule="auto"/>
              <w:ind w:left="458"/>
              <w:rPr>
                <w:rFonts w:ascii="宋体" w:hAnsi="宋体" w:eastAsia="宋体" w:cs="宋体"/>
                <w:sz w:val="21"/>
                <w:szCs w:val="21"/>
              </w:rPr>
            </w:pPr>
            <w:r>
              <w:rPr>
                <w:rFonts w:ascii="宋体" w:hAnsi="宋体" w:eastAsia="宋体" w:cs="宋体"/>
                <w:sz w:val="21"/>
                <w:szCs w:val="21"/>
              </w:rPr>
              <w:t>O</w:t>
            </w:r>
          </w:p>
        </w:tc>
        <w:tc>
          <w:tcPr>
            <w:tcW w:w="1413" w:type="dxa"/>
            <w:vAlign w:val="top"/>
          </w:tcPr>
          <w:p w14:paraId="4226EAED">
            <w:pPr>
              <w:spacing w:before="217" w:line="183" w:lineRule="auto"/>
              <w:ind w:left="648"/>
              <w:rPr>
                <w:rFonts w:ascii="宋体" w:hAnsi="宋体" w:eastAsia="宋体" w:cs="宋体"/>
                <w:sz w:val="21"/>
                <w:szCs w:val="21"/>
              </w:rPr>
            </w:pPr>
            <w:r>
              <w:rPr>
                <w:rFonts w:ascii="宋体" w:hAnsi="宋体" w:eastAsia="宋体" w:cs="宋体"/>
                <w:sz w:val="21"/>
                <w:szCs w:val="21"/>
              </w:rPr>
              <w:t>O</w:t>
            </w:r>
          </w:p>
        </w:tc>
      </w:tr>
      <w:tr w14:paraId="0EC18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244" w:type="dxa"/>
            <w:vMerge w:val="continue"/>
            <w:tcBorders>
              <w:top w:val="nil"/>
              <w:bottom w:val="nil"/>
            </w:tcBorders>
            <w:vAlign w:val="top"/>
          </w:tcPr>
          <w:p w14:paraId="5D790A9A">
            <w:pPr>
              <w:pStyle w:val="6"/>
            </w:pPr>
          </w:p>
        </w:tc>
        <w:tc>
          <w:tcPr>
            <w:tcW w:w="629" w:type="dxa"/>
            <w:vAlign w:val="top"/>
          </w:tcPr>
          <w:p w14:paraId="16900385">
            <w:pPr>
              <w:spacing w:before="175" w:line="241" w:lineRule="auto"/>
              <w:ind w:left="250"/>
              <w:rPr>
                <w:rFonts w:ascii="宋体" w:hAnsi="宋体" w:eastAsia="宋体" w:cs="宋体"/>
                <w:sz w:val="21"/>
                <w:szCs w:val="21"/>
              </w:rPr>
            </w:pPr>
            <w:r>
              <w:rPr>
                <w:rFonts w:ascii="宋体" w:hAnsi="宋体" w:eastAsia="宋体" w:cs="宋体"/>
                <w:sz w:val="21"/>
                <w:szCs w:val="21"/>
              </w:rPr>
              <w:t>2</w:t>
            </w:r>
          </w:p>
        </w:tc>
        <w:tc>
          <w:tcPr>
            <w:tcW w:w="3346" w:type="dxa"/>
            <w:vAlign w:val="top"/>
          </w:tcPr>
          <w:p w14:paraId="0468DA41">
            <w:pPr>
              <w:spacing w:before="155" w:line="220" w:lineRule="auto"/>
              <w:ind w:left="92"/>
              <w:rPr>
                <w:rFonts w:ascii="宋体" w:hAnsi="宋体" w:eastAsia="宋体" w:cs="宋体"/>
                <w:sz w:val="21"/>
                <w:szCs w:val="21"/>
              </w:rPr>
            </w:pPr>
            <w:r>
              <w:rPr>
                <w:rFonts w:ascii="宋体" w:hAnsi="宋体" w:eastAsia="宋体" w:cs="宋体"/>
                <w:spacing w:val="-1"/>
                <w:sz w:val="21"/>
                <w:szCs w:val="21"/>
              </w:rPr>
              <w:t>标准化问题处理记录</w:t>
            </w:r>
          </w:p>
        </w:tc>
        <w:tc>
          <w:tcPr>
            <w:tcW w:w="829" w:type="dxa"/>
            <w:vAlign w:val="top"/>
          </w:tcPr>
          <w:p w14:paraId="79A82423">
            <w:pPr>
              <w:spacing w:before="254" w:line="162" w:lineRule="exact"/>
              <w:ind w:left="306"/>
              <w:rPr>
                <w:rFonts w:ascii="宋体" w:hAnsi="宋体" w:eastAsia="宋体" w:cs="宋体"/>
                <w:sz w:val="21"/>
                <w:szCs w:val="21"/>
              </w:rPr>
            </w:pPr>
            <w:r>
              <w:rPr>
                <w:rFonts w:ascii="宋体" w:hAnsi="宋体" w:eastAsia="宋体" w:cs="宋体"/>
                <w:position w:val="-4"/>
                <w:sz w:val="21"/>
                <w:szCs w:val="21"/>
              </w:rPr>
              <w:t>一</w:t>
            </w:r>
          </w:p>
        </w:tc>
        <w:tc>
          <w:tcPr>
            <w:tcW w:w="839" w:type="dxa"/>
            <w:vAlign w:val="top"/>
          </w:tcPr>
          <w:p w14:paraId="5F3B0921">
            <w:pPr>
              <w:spacing w:before="208" w:line="183" w:lineRule="auto"/>
              <w:ind w:left="356"/>
              <w:rPr>
                <w:rFonts w:ascii="宋体" w:hAnsi="宋体" w:eastAsia="宋体" w:cs="宋体"/>
                <w:sz w:val="21"/>
                <w:szCs w:val="21"/>
              </w:rPr>
            </w:pPr>
            <w:r>
              <w:rPr>
                <w:rFonts w:ascii="宋体" w:hAnsi="宋体" w:eastAsia="宋体" w:cs="宋体"/>
                <w:sz w:val="21"/>
                <w:szCs w:val="21"/>
              </w:rPr>
              <w:t>O</w:t>
            </w:r>
          </w:p>
        </w:tc>
        <w:tc>
          <w:tcPr>
            <w:tcW w:w="1039" w:type="dxa"/>
            <w:vAlign w:val="top"/>
          </w:tcPr>
          <w:p w14:paraId="5E5CCF68">
            <w:pPr>
              <w:spacing w:before="208" w:line="183" w:lineRule="auto"/>
              <w:ind w:left="458"/>
              <w:rPr>
                <w:rFonts w:ascii="宋体" w:hAnsi="宋体" w:eastAsia="宋体" w:cs="宋体"/>
                <w:sz w:val="21"/>
                <w:szCs w:val="21"/>
              </w:rPr>
            </w:pPr>
            <w:r>
              <w:rPr>
                <w:rFonts w:ascii="宋体" w:hAnsi="宋体" w:eastAsia="宋体" w:cs="宋体"/>
                <w:sz w:val="21"/>
                <w:szCs w:val="21"/>
              </w:rPr>
              <w:t>O</w:t>
            </w:r>
          </w:p>
        </w:tc>
        <w:tc>
          <w:tcPr>
            <w:tcW w:w="1413" w:type="dxa"/>
            <w:vAlign w:val="top"/>
          </w:tcPr>
          <w:p w14:paraId="486CD882">
            <w:pPr>
              <w:spacing w:before="208" w:line="183" w:lineRule="auto"/>
              <w:ind w:left="648"/>
              <w:rPr>
                <w:rFonts w:ascii="宋体" w:hAnsi="宋体" w:eastAsia="宋体" w:cs="宋体"/>
                <w:sz w:val="21"/>
                <w:szCs w:val="21"/>
              </w:rPr>
            </w:pPr>
            <w:r>
              <w:rPr>
                <w:rFonts w:ascii="宋体" w:hAnsi="宋体" w:eastAsia="宋体" w:cs="宋体"/>
                <w:sz w:val="21"/>
                <w:szCs w:val="21"/>
              </w:rPr>
              <w:t>O</w:t>
            </w:r>
          </w:p>
        </w:tc>
      </w:tr>
      <w:tr w14:paraId="60763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244" w:type="dxa"/>
            <w:vMerge w:val="continue"/>
            <w:tcBorders>
              <w:top w:val="nil"/>
              <w:bottom w:val="nil"/>
            </w:tcBorders>
            <w:vAlign w:val="top"/>
          </w:tcPr>
          <w:p w14:paraId="2F62E5C0">
            <w:pPr>
              <w:pStyle w:val="6"/>
            </w:pPr>
          </w:p>
        </w:tc>
        <w:tc>
          <w:tcPr>
            <w:tcW w:w="629" w:type="dxa"/>
            <w:vAlign w:val="top"/>
          </w:tcPr>
          <w:p w14:paraId="0D6212AE">
            <w:pPr>
              <w:spacing w:before="175"/>
              <w:ind w:left="250"/>
              <w:rPr>
                <w:rFonts w:ascii="宋体" w:hAnsi="宋体" w:eastAsia="宋体" w:cs="宋体"/>
                <w:sz w:val="21"/>
                <w:szCs w:val="21"/>
              </w:rPr>
            </w:pPr>
            <w:r>
              <w:rPr>
                <w:rFonts w:ascii="宋体" w:hAnsi="宋体" w:eastAsia="宋体" w:cs="宋体"/>
                <w:sz w:val="21"/>
                <w:szCs w:val="21"/>
              </w:rPr>
              <w:t>3</w:t>
            </w:r>
          </w:p>
        </w:tc>
        <w:tc>
          <w:tcPr>
            <w:tcW w:w="3346" w:type="dxa"/>
            <w:vAlign w:val="top"/>
          </w:tcPr>
          <w:p w14:paraId="14B83D27">
            <w:pPr>
              <w:spacing w:before="155" w:line="219" w:lineRule="auto"/>
              <w:ind w:left="92"/>
              <w:rPr>
                <w:rFonts w:ascii="宋体" w:hAnsi="宋体" w:eastAsia="宋体" w:cs="宋体"/>
                <w:sz w:val="21"/>
                <w:szCs w:val="21"/>
              </w:rPr>
            </w:pPr>
            <w:r>
              <w:rPr>
                <w:rFonts w:ascii="宋体" w:hAnsi="宋体" w:eastAsia="宋体" w:cs="宋体"/>
                <w:spacing w:val="2"/>
                <w:sz w:val="21"/>
                <w:szCs w:val="21"/>
              </w:rPr>
              <w:t>标准实施信息</w:t>
            </w:r>
          </w:p>
        </w:tc>
        <w:tc>
          <w:tcPr>
            <w:tcW w:w="829" w:type="dxa"/>
            <w:vAlign w:val="top"/>
          </w:tcPr>
          <w:p w14:paraId="52F3C5C9">
            <w:pPr>
              <w:spacing w:before="255" w:line="162" w:lineRule="exact"/>
              <w:ind w:left="306"/>
              <w:rPr>
                <w:rFonts w:ascii="宋体" w:hAnsi="宋体" w:eastAsia="宋体" w:cs="宋体"/>
                <w:sz w:val="21"/>
                <w:szCs w:val="21"/>
              </w:rPr>
            </w:pPr>
            <w:r>
              <w:rPr>
                <w:rFonts w:ascii="宋体" w:hAnsi="宋体" w:eastAsia="宋体" w:cs="宋体"/>
                <w:position w:val="-4"/>
                <w:sz w:val="21"/>
                <w:szCs w:val="21"/>
              </w:rPr>
              <w:t>一</w:t>
            </w:r>
          </w:p>
        </w:tc>
        <w:tc>
          <w:tcPr>
            <w:tcW w:w="839" w:type="dxa"/>
            <w:vAlign w:val="top"/>
          </w:tcPr>
          <w:p w14:paraId="77676FF3">
            <w:pPr>
              <w:spacing w:before="209" w:line="183" w:lineRule="auto"/>
              <w:ind w:left="356"/>
              <w:rPr>
                <w:rFonts w:ascii="宋体" w:hAnsi="宋体" w:eastAsia="宋体" w:cs="宋体"/>
                <w:sz w:val="21"/>
                <w:szCs w:val="21"/>
              </w:rPr>
            </w:pPr>
            <w:r>
              <w:rPr>
                <w:rFonts w:ascii="宋体" w:hAnsi="宋体" w:eastAsia="宋体" w:cs="宋体"/>
                <w:sz w:val="21"/>
                <w:szCs w:val="21"/>
              </w:rPr>
              <w:t>O</w:t>
            </w:r>
          </w:p>
        </w:tc>
        <w:tc>
          <w:tcPr>
            <w:tcW w:w="1039" w:type="dxa"/>
            <w:vAlign w:val="top"/>
          </w:tcPr>
          <w:p w14:paraId="71854C04">
            <w:pPr>
              <w:spacing w:before="209" w:line="183" w:lineRule="auto"/>
              <w:ind w:left="458"/>
              <w:rPr>
                <w:rFonts w:ascii="宋体" w:hAnsi="宋体" w:eastAsia="宋体" w:cs="宋体"/>
                <w:sz w:val="21"/>
                <w:szCs w:val="21"/>
              </w:rPr>
            </w:pPr>
            <w:r>
              <w:rPr>
                <w:rFonts w:ascii="宋体" w:hAnsi="宋体" w:eastAsia="宋体" w:cs="宋体"/>
                <w:sz w:val="21"/>
                <w:szCs w:val="21"/>
              </w:rPr>
              <w:t>O</w:t>
            </w:r>
          </w:p>
        </w:tc>
        <w:tc>
          <w:tcPr>
            <w:tcW w:w="1413" w:type="dxa"/>
            <w:vAlign w:val="top"/>
          </w:tcPr>
          <w:p w14:paraId="28181863">
            <w:pPr>
              <w:spacing w:before="209" w:line="183" w:lineRule="auto"/>
              <w:ind w:left="648"/>
              <w:rPr>
                <w:rFonts w:ascii="宋体" w:hAnsi="宋体" w:eastAsia="宋体" w:cs="宋体"/>
                <w:sz w:val="21"/>
                <w:szCs w:val="21"/>
              </w:rPr>
            </w:pPr>
            <w:r>
              <w:rPr>
                <w:rFonts w:ascii="宋体" w:hAnsi="宋体" w:eastAsia="宋体" w:cs="宋体"/>
                <w:sz w:val="21"/>
                <w:szCs w:val="21"/>
              </w:rPr>
              <w:t>O</w:t>
            </w:r>
          </w:p>
        </w:tc>
      </w:tr>
      <w:tr w14:paraId="6398F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244" w:type="dxa"/>
            <w:vMerge w:val="continue"/>
            <w:tcBorders>
              <w:top w:val="nil"/>
              <w:bottom w:val="nil"/>
            </w:tcBorders>
            <w:vAlign w:val="top"/>
          </w:tcPr>
          <w:p w14:paraId="7AD8A557">
            <w:pPr>
              <w:pStyle w:val="6"/>
            </w:pPr>
          </w:p>
        </w:tc>
        <w:tc>
          <w:tcPr>
            <w:tcW w:w="629" w:type="dxa"/>
            <w:vAlign w:val="top"/>
          </w:tcPr>
          <w:p w14:paraId="604DCC9D">
            <w:pPr>
              <w:spacing w:before="177" w:line="241" w:lineRule="auto"/>
              <w:ind w:left="250"/>
              <w:rPr>
                <w:rFonts w:ascii="宋体" w:hAnsi="宋体" w:eastAsia="宋体" w:cs="宋体"/>
                <w:sz w:val="21"/>
                <w:szCs w:val="21"/>
              </w:rPr>
            </w:pPr>
            <w:r>
              <w:rPr>
                <w:rFonts w:ascii="宋体" w:hAnsi="宋体" w:eastAsia="宋体" w:cs="宋体"/>
                <w:sz w:val="21"/>
                <w:szCs w:val="21"/>
              </w:rPr>
              <w:t>4</w:t>
            </w:r>
          </w:p>
        </w:tc>
        <w:tc>
          <w:tcPr>
            <w:tcW w:w="3346" w:type="dxa"/>
            <w:vAlign w:val="top"/>
          </w:tcPr>
          <w:p w14:paraId="746C8ED4">
            <w:pPr>
              <w:spacing w:before="156" w:line="219" w:lineRule="auto"/>
              <w:ind w:left="92"/>
              <w:rPr>
                <w:rFonts w:ascii="宋体" w:hAnsi="宋体" w:eastAsia="宋体" w:cs="宋体"/>
                <w:sz w:val="21"/>
                <w:szCs w:val="21"/>
              </w:rPr>
            </w:pPr>
            <w:r>
              <w:rPr>
                <w:rFonts w:ascii="宋体" w:hAnsi="宋体" w:eastAsia="宋体" w:cs="宋体"/>
                <w:spacing w:val="1"/>
                <w:sz w:val="21"/>
                <w:szCs w:val="21"/>
              </w:rPr>
              <w:t>标准化文件更改信息</w:t>
            </w:r>
          </w:p>
        </w:tc>
        <w:tc>
          <w:tcPr>
            <w:tcW w:w="829" w:type="dxa"/>
            <w:vAlign w:val="top"/>
          </w:tcPr>
          <w:p w14:paraId="10BBEC17">
            <w:pPr>
              <w:spacing w:before="256" w:line="162" w:lineRule="exact"/>
              <w:ind w:left="306"/>
              <w:rPr>
                <w:rFonts w:ascii="宋体" w:hAnsi="宋体" w:eastAsia="宋体" w:cs="宋体"/>
                <w:sz w:val="21"/>
                <w:szCs w:val="21"/>
              </w:rPr>
            </w:pPr>
            <w:r>
              <w:rPr>
                <w:rFonts w:ascii="宋体" w:hAnsi="宋体" w:eastAsia="宋体" w:cs="宋体"/>
                <w:position w:val="-4"/>
                <w:sz w:val="21"/>
                <w:szCs w:val="21"/>
              </w:rPr>
              <w:t>一</w:t>
            </w:r>
          </w:p>
        </w:tc>
        <w:tc>
          <w:tcPr>
            <w:tcW w:w="839" w:type="dxa"/>
            <w:vAlign w:val="top"/>
          </w:tcPr>
          <w:p w14:paraId="5F69F287">
            <w:pPr>
              <w:spacing w:before="210" w:line="183" w:lineRule="auto"/>
              <w:ind w:left="356"/>
              <w:rPr>
                <w:rFonts w:ascii="宋体" w:hAnsi="宋体" w:eastAsia="宋体" w:cs="宋体"/>
                <w:sz w:val="21"/>
                <w:szCs w:val="21"/>
              </w:rPr>
            </w:pPr>
            <w:r>
              <w:rPr>
                <w:rFonts w:ascii="宋体" w:hAnsi="宋体" w:eastAsia="宋体" w:cs="宋体"/>
                <w:sz w:val="21"/>
                <w:szCs w:val="21"/>
              </w:rPr>
              <w:t>O</w:t>
            </w:r>
          </w:p>
        </w:tc>
        <w:tc>
          <w:tcPr>
            <w:tcW w:w="1039" w:type="dxa"/>
            <w:vAlign w:val="top"/>
          </w:tcPr>
          <w:p w14:paraId="244A5BE2">
            <w:pPr>
              <w:spacing w:before="210" w:line="183" w:lineRule="auto"/>
              <w:ind w:left="458"/>
              <w:rPr>
                <w:rFonts w:ascii="宋体" w:hAnsi="宋体" w:eastAsia="宋体" w:cs="宋体"/>
                <w:sz w:val="21"/>
                <w:szCs w:val="21"/>
              </w:rPr>
            </w:pPr>
            <w:r>
              <w:rPr>
                <w:rFonts w:ascii="宋体" w:hAnsi="宋体" w:eastAsia="宋体" w:cs="宋体"/>
                <w:sz w:val="21"/>
                <w:szCs w:val="21"/>
              </w:rPr>
              <w:t>O</w:t>
            </w:r>
          </w:p>
        </w:tc>
        <w:tc>
          <w:tcPr>
            <w:tcW w:w="1413" w:type="dxa"/>
            <w:vAlign w:val="top"/>
          </w:tcPr>
          <w:p w14:paraId="72E0A87D">
            <w:pPr>
              <w:spacing w:before="210" w:line="183" w:lineRule="auto"/>
              <w:ind w:left="648"/>
              <w:rPr>
                <w:rFonts w:ascii="宋体" w:hAnsi="宋体" w:eastAsia="宋体" w:cs="宋体"/>
                <w:sz w:val="21"/>
                <w:szCs w:val="21"/>
              </w:rPr>
            </w:pPr>
            <w:r>
              <w:rPr>
                <w:rFonts w:ascii="宋体" w:hAnsi="宋体" w:eastAsia="宋体" w:cs="宋体"/>
                <w:sz w:val="21"/>
                <w:szCs w:val="21"/>
              </w:rPr>
              <w:t>O</w:t>
            </w:r>
          </w:p>
        </w:tc>
      </w:tr>
      <w:tr w14:paraId="519CE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244" w:type="dxa"/>
            <w:vMerge w:val="continue"/>
            <w:tcBorders>
              <w:top w:val="nil"/>
            </w:tcBorders>
            <w:vAlign w:val="top"/>
          </w:tcPr>
          <w:p w14:paraId="4F13AF39">
            <w:pPr>
              <w:pStyle w:val="6"/>
            </w:pPr>
          </w:p>
        </w:tc>
        <w:tc>
          <w:tcPr>
            <w:tcW w:w="629" w:type="dxa"/>
            <w:vAlign w:val="top"/>
          </w:tcPr>
          <w:p w14:paraId="645FC424">
            <w:pPr>
              <w:spacing w:before="178"/>
              <w:ind w:left="250"/>
              <w:rPr>
                <w:rFonts w:ascii="宋体" w:hAnsi="宋体" w:eastAsia="宋体" w:cs="宋体"/>
                <w:sz w:val="21"/>
                <w:szCs w:val="21"/>
              </w:rPr>
            </w:pPr>
            <w:r>
              <w:rPr>
                <w:rFonts w:ascii="宋体" w:hAnsi="宋体" w:eastAsia="宋体" w:cs="宋体"/>
                <w:sz w:val="21"/>
                <w:szCs w:val="21"/>
              </w:rPr>
              <w:t>5</w:t>
            </w:r>
          </w:p>
        </w:tc>
        <w:tc>
          <w:tcPr>
            <w:tcW w:w="3346" w:type="dxa"/>
            <w:vAlign w:val="top"/>
          </w:tcPr>
          <w:p w14:paraId="3CA5355E">
            <w:pPr>
              <w:spacing w:before="157" w:line="219" w:lineRule="auto"/>
              <w:ind w:left="92"/>
              <w:rPr>
                <w:rFonts w:ascii="宋体" w:hAnsi="宋体" w:eastAsia="宋体" w:cs="宋体"/>
                <w:sz w:val="21"/>
                <w:szCs w:val="21"/>
              </w:rPr>
            </w:pPr>
            <w:r>
              <w:rPr>
                <w:rFonts w:ascii="宋体" w:hAnsi="宋体" w:eastAsia="宋体" w:cs="宋体"/>
                <w:spacing w:val="-2"/>
                <w:sz w:val="21"/>
                <w:szCs w:val="21"/>
              </w:rPr>
              <w:t>标准化声像资料</w:t>
            </w:r>
          </w:p>
        </w:tc>
        <w:tc>
          <w:tcPr>
            <w:tcW w:w="829" w:type="dxa"/>
            <w:vAlign w:val="top"/>
          </w:tcPr>
          <w:p w14:paraId="00652302">
            <w:pPr>
              <w:spacing w:before="257" w:line="163" w:lineRule="exact"/>
              <w:ind w:left="306"/>
              <w:rPr>
                <w:rFonts w:ascii="宋体" w:hAnsi="宋体" w:eastAsia="宋体" w:cs="宋体"/>
                <w:sz w:val="21"/>
                <w:szCs w:val="21"/>
              </w:rPr>
            </w:pPr>
            <w:r>
              <w:rPr>
                <w:rFonts w:ascii="宋体" w:hAnsi="宋体" w:eastAsia="宋体" w:cs="宋体"/>
                <w:position w:val="-4"/>
                <w:sz w:val="21"/>
                <w:szCs w:val="21"/>
              </w:rPr>
              <w:t>一</w:t>
            </w:r>
          </w:p>
        </w:tc>
        <w:tc>
          <w:tcPr>
            <w:tcW w:w="839" w:type="dxa"/>
            <w:vAlign w:val="top"/>
          </w:tcPr>
          <w:p w14:paraId="2465D14A">
            <w:pPr>
              <w:spacing w:before="211" w:line="183" w:lineRule="auto"/>
              <w:ind w:left="356"/>
              <w:rPr>
                <w:rFonts w:ascii="宋体" w:hAnsi="宋体" w:eastAsia="宋体" w:cs="宋体"/>
                <w:sz w:val="21"/>
                <w:szCs w:val="21"/>
              </w:rPr>
            </w:pPr>
            <w:r>
              <w:rPr>
                <w:rFonts w:ascii="宋体" w:hAnsi="宋体" w:eastAsia="宋体" w:cs="宋体"/>
                <w:sz w:val="21"/>
                <w:szCs w:val="21"/>
              </w:rPr>
              <w:t>O</w:t>
            </w:r>
          </w:p>
        </w:tc>
        <w:tc>
          <w:tcPr>
            <w:tcW w:w="1039" w:type="dxa"/>
            <w:vAlign w:val="top"/>
          </w:tcPr>
          <w:p w14:paraId="672048CB">
            <w:pPr>
              <w:spacing w:before="211" w:line="183" w:lineRule="auto"/>
              <w:ind w:left="458"/>
              <w:rPr>
                <w:rFonts w:ascii="宋体" w:hAnsi="宋体" w:eastAsia="宋体" w:cs="宋体"/>
                <w:sz w:val="21"/>
                <w:szCs w:val="21"/>
              </w:rPr>
            </w:pPr>
            <w:r>
              <w:rPr>
                <w:rFonts w:ascii="宋体" w:hAnsi="宋体" w:eastAsia="宋体" w:cs="宋体"/>
                <w:sz w:val="21"/>
                <w:szCs w:val="21"/>
              </w:rPr>
              <w:t>O</w:t>
            </w:r>
          </w:p>
        </w:tc>
        <w:tc>
          <w:tcPr>
            <w:tcW w:w="1413" w:type="dxa"/>
            <w:vAlign w:val="top"/>
          </w:tcPr>
          <w:p w14:paraId="25FFE6D0">
            <w:pPr>
              <w:spacing w:before="211" w:line="183" w:lineRule="auto"/>
              <w:ind w:left="648"/>
              <w:rPr>
                <w:rFonts w:ascii="宋体" w:hAnsi="宋体" w:eastAsia="宋体" w:cs="宋体"/>
                <w:sz w:val="21"/>
                <w:szCs w:val="21"/>
              </w:rPr>
            </w:pPr>
            <w:r>
              <w:rPr>
                <w:rFonts w:ascii="宋体" w:hAnsi="宋体" w:eastAsia="宋体" w:cs="宋体"/>
                <w:sz w:val="21"/>
                <w:szCs w:val="21"/>
              </w:rPr>
              <w:t>O</w:t>
            </w:r>
          </w:p>
        </w:tc>
      </w:tr>
      <w:tr w14:paraId="410F8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4" w:hRule="atLeast"/>
        </w:trPr>
        <w:tc>
          <w:tcPr>
            <w:tcW w:w="9339" w:type="dxa"/>
            <w:gridSpan w:val="7"/>
            <w:vAlign w:val="top"/>
          </w:tcPr>
          <w:p w14:paraId="551993C9">
            <w:pPr>
              <w:spacing w:before="157" w:line="328" w:lineRule="auto"/>
              <w:ind w:left="404" w:hanging="339"/>
              <w:rPr>
                <w:rFonts w:ascii="宋体" w:hAnsi="宋体" w:eastAsia="宋体" w:cs="宋体"/>
                <w:sz w:val="21"/>
                <w:szCs w:val="21"/>
              </w:rPr>
            </w:pPr>
            <w:r>
              <w:rPr>
                <w:rFonts w:ascii="宋体" w:hAnsi="宋体" w:eastAsia="宋体" w:cs="宋体"/>
                <w:spacing w:val="-9"/>
                <w:sz w:val="21"/>
                <w:szCs w:val="21"/>
              </w:rPr>
              <w:t>注：●表示应编制并单独成册；○表示根据需要编制，可单独成册，也可与其他文件合并编制；→表示需</w:t>
            </w:r>
            <w:r>
              <w:rPr>
                <w:rFonts w:ascii="宋体" w:hAnsi="宋体" w:eastAsia="宋体" w:cs="宋体"/>
                <w:spacing w:val="16"/>
                <w:sz w:val="21"/>
                <w:szCs w:val="21"/>
              </w:rPr>
              <w:t xml:space="preserve"> </w:t>
            </w:r>
            <w:r>
              <w:rPr>
                <w:rFonts w:ascii="宋体" w:hAnsi="宋体" w:eastAsia="宋体" w:cs="宋体"/>
                <w:spacing w:val="1"/>
                <w:sz w:val="21"/>
                <w:szCs w:val="21"/>
              </w:rPr>
              <w:t>要进行动态管理；一表示不需编制</w:t>
            </w:r>
          </w:p>
        </w:tc>
      </w:tr>
    </w:tbl>
    <w:p w14:paraId="2929440C">
      <w:pPr>
        <w:spacing w:before="140" w:line="222" w:lineRule="auto"/>
        <w:rPr>
          <w:rFonts w:ascii="黑体" w:hAnsi="黑体" w:eastAsia="黑体" w:cs="黑体"/>
          <w:sz w:val="24"/>
          <w:szCs w:val="24"/>
        </w:rPr>
      </w:pPr>
      <w:r>
        <w:rPr>
          <w:rFonts w:ascii="黑体" w:hAnsi="黑体" w:eastAsia="黑体" w:cs="黑体"/>
          <w:spacing w:val="15"/>
          <w:sz w:val="24"/>
          <w:szCs w:val="24"/>
        </w:rPr>
        <w:t>6.1.2</w:t>
      </w:r>
      <w:r>
        <w:rPr>
          <w:rFonts w:ascii="黑体" w:hAnsi="黑体" w:eastAsia="黑体" w:cs="黑体"/>
          <w:spacing w:val="8"/>
          <w:sz w:val="24"/>
          <w:szCs w:val="24"/>
        </w:rPr>
        <w:t xml:space="preserve">   </w:t>
      </w:r>
      <w:r>
        <w:rPr>
          <w:rFonts w:ascii="黑体" w:hAnsi="黑体" w:eastAsia="黑体" w:cs="黑体"/>
          <w:b/>
          <w:bCs/>
          <w:spacing w:val="15"/>
          <w:sz w:val="24"/>
          <w:szCs w:val="24"/>
        </w:rPr>
        <w:t>正确性要求</w:t>
      </w:r>
    </w:p>
    <w:p w14:paraId="02445091">
      <w:pPr>
        <w:pStyle w:val="2"/>
        <w:spacing w:before="117" w:line="219" w:lineRule="auto"/>
        <w:ind w:left="570"/>
      </w:pPr>
      <w:r>
        <w:rPr>
          <w:spacing w:val="4"/>
        </w:rPr>
        <w:t>要对图样和技术文件的正确性和协调性提出要求。</w:t>
      </w:r>
    </w:p>
    <w:p w14:paraId="12AB57F1">
      <w:pPr>
        <w:spacing w:before="52" w:line="221" w:lineRule="auto"/>
        <w:rPr>
          <w:rFonts w:ascii="黑体" w:hAnsi="黑体" w:eastAsia="黑体" w:cs="黑体"/>
          <w:sz w:val="25"/>
          <w:szCs w:val="25"/>
        </w:rPr>
      </w:pPr>
      <w:r>
        <w:rPr>
          <w:rFonts w:ascii="黑体" w:hAnsi="黑体" w:eastAsia="黑体" w:cs="黑体"/>
          <w:spacing w:val="10"/>
          <w:sz w:val="25"/>
          <w:szCs w:val="25"/>
        </w:rPr>
        <w:t>6.1.3</w:t>
      </w:r>
      <w:r>
        <w:rPr>
          <w:rFonts w:ascii="黑体" w:hAnsi="黑体" w:eastAsia="黑体" w:cs="黑体"/>
          <w:spacing w:val="55"/>
          <w:sz w:val="25"/>
          <w:szCs w:val="25"/>
        </w:rPr>
        <w:t xml:space="preserve">  </w:t>
      </w:r>
      <w:r>
        <w:rPr>
          <w:rFonts w:ascii="黑体" w:hAnsi="黑体" w:eastAsia="黑体" w:cs="黑体"/>
          <w:b/>
          <w:bCs/>
          <w:spacing w:val="10"/>
          <w:sz w:val="25"/>
          <w:szCs w:val="25"/>
        </w:rPr>
        <w:t>统一性要求</w:t>
      </w:r>
    </w:p>
    <w:p w14:paraId="21D38D84">
      <w:pPr>
        <w:pStyle w:val="2"/>
        <w:spacing w:before="107" w:line="219" w:lineRule="auto"/>
        <w:ind w:left="570"/>
      </w:pPr>
      <w:r>
        <w:rPr>
          <w:spacing w:val="4"/>
        </w:rPr>
        <w:t>应提出图样和技术文件统一的编制要求。例如：</w:t>
      </w:r>
    </w:p>
    <w:p w14:paraId="2B3A2924">
      <w:pPr>
        <w:pStyle w:val="2"/>
        <w:spacing w:before="40" w:line="212" w:lineRule="auto"/>
        <w:ind w:left="570"/>
      </w:pPr>
      <w:r>
        <w:rPr>
          <w:rFonts w:ascii="Times New Roman" w:hAnsi="Times New Roman" w:eastAsia="Times New Roman" w:cs="Times New Roman"/>
          <w:spacing w:val="-2"/>
        </w:rPr>
        <w:t xml:space="preserve">a)  </w:t>
      </w:r>
      <w:r>
        <w:rPr>
          <w:spacing w:val="-2"/>
        </w:rPr>
        <w:t>图样绘制标准和要求、</w:t>
      </w:r>
      <w:r>
        <w:rPr>
          <w:rFonts w:ascii="Times New Roman" w:hAnsi="Times New Roman" w:eastAsia="Times New Roman" w:cs="Times New Roman"/>
          <w:spacing w:val="-2"/>
        </w:rPr>
        <w:t xml:space="preserve">CAD </w:t>
      </w:r>
      <w:r>
        <w:rPr>
          <w:spacing w:val="-2"/>
        </w:rPr>
        <w:t>文件交换格式要求；</w:t>
      </w:r>
    </w:p>
    <w:p w14:paraId="0CE7BA66">
      <w:pPr>
        <w:pStyle w:val="2"/>
        <w:spacing w:before="90" w:line="212" w:lineRule="auto"/>
        <w:ind w:left="570"/>
      </w:pPr>
      <w:r>
        <w:rPr>
          <w:rFonts w:ascii="Times New Roman" w:hAnsi="Times New Roman" w:eastAsia="Times New Roman" w:cs="Times New Roman"/>
          <w:spacing w:val="6"/>
        </w:rPr>
        <w:t xml:space="preserve">b)  </w:t>
      </w:r>
      <w:r>
        <w:rPr>
          <w:spacing w:val="6"/>
        </w:rPr>
        <w:t>图样统一的编号的方法(隶属编号还是分类编号);</w:t>
      </w:r>
    </w:p>
    <w:p w14:paraId="267856CF">
      <w:pPr>
        <w:pStyle w:val="2"/>
        <w:spacing w:before="100" w:line="212" w:lineRule="auto"/>
        <w:ind w:left="570"/>
      </w:pPr>
      <w:r>
        <w:rPr>
          <w:rFonts w:ascii="Times New Roman" w:hAnsi="Times New Roman" w:eastAsia="Times New Roman" w:cs="Times New Roman"/>
          <w:spacing w:val="3"/>
        </w:rPr>
        <w:t>c)</w:t>
      </w:r>
      <w:r>
        <w:rPr>
          <w:rFonts w:ascii="Times New Roman" w:hAnsi="Times New Roman" w:eastAsia="Times New Roman" w:cs="Times New Roman"/>
          <w:spacing w:val="69"/>
        </w:rPr>
        <w:t xml:space="preserve"> </w:t>
      </w:r>
      <w:r>
        <w:rPr>
          <w:spacing w:val="3"/>
        </w:rPr>
        <w:t>图样及技术文件内容构成及编写要求；</w:t>
      </w:r>
    </w:p>
    <w:p w14:paraId="34750656">
      <w:pPr>
        <w:pStyle w:val="2"/>
        <w:spacing w:before="90" w:line="212" w:lineRule="auto"/>
        <w:ind w:left="570"/>
      </w:pPr>
      <w:r>
        <w:rPr>
          <w:rFonts w:ascii="Times New Roman" w:hAnsi="Times New Roman" w:eastAsia="Times New Roman" w:cs="Times New Roman"/>
          <w:spacing w:val="-2"/>
        </w:rPr>
        <w:t xml:space="preserve">d)  </w:t>
      </w:r>
      <w:r>
        <w:rPr>
          <w:spacing w:val="-2"/>
        </w:rPr>
        <w:t>图样及技术编号的构成、格式和字符数字等。</w:t>
      </w:r>
    </w:p>
    <w:p w14:paraId="013E45CD">
      <w:pPr>
        <w:pStyle w:val="2"/>
        <w:spacing w:before="140" w:line="255" w:lineRule="auto"/>
        <w:ind w:firstLine="570"/>
      </w:pPr>
      <w:r>
        <w:rPr>
          <w:spacing w:val="4"/>
        </w:rPr>
        <w:t>当采用</w:t>
      </w:r>
      <w:r>
        <w:rPr>
          <w:rFonts w:ascii="Times New Roman" w:hAnsi="Times New Roman" w:eastAsia="Times New Roman" w:cs="Times New Roman"/>
        </w:rPr>
        <w:t>CAD</w:t>
      </w:r>
      <w:r>
        <w:rPr>
          <w:rFonts w:ascii="Times New Roman" w:hAnsi="Times New Roman" w:eastAsia="Times New Roman" w:cs="Times New Roman"/>
          <w:spacing w:val="56"/>
        </w:rPr>
        <w:t xml:space="preserve"> </w:t>
      </w:r>
      <w:r>
        <w:rPr>
          <w:spacing w:val="4"/>
        </w:rPr>
        <w:t>和传统常规设计联用时，应提出使两者保持统一协调的要求，</w:t>
      </w:r>
      <w:r>
        <w:t xml:space="preserve"> </w:t>
      </w:r>
      <w:r>
        <w:rPr>
          <w:spacing w:val="-2"/>
        </w:rPr>
        <w:t>例如界面相关数据和符号、代号的统一协调要求。</w:t>
      </w:r>
    </w:p>
    <w:p w14:paraId="49C8F411">
      <w:pPr>
        <w:spacing w:line="222" w:lineRule="auto"/>
        <w:rPr>
          <w:rFonts w:ascii="黑体" w:hAnsi="黑体" w:eastAsia="黑体" w:cs="黑体"/>
          <w:sz w:val="27"/>
          <w:szCs w:val="27"/>
        </w:rPr>
      </w:pPr>
      <w:r>
        <w:rPr>
          <w:rFonts w:ascii="黑体" w:hAnsi="黑体" w:eastAsia="黑体" w:cs="黑体"/>
          <w:spacing w:val="-5"/>
          <w:sz w:val="27"/>
          <w:szCs w:val="27"/>
        </w:rPr>
        <w:t>6.2</w:t>
      </w:r>
      <w:r>
        <w:rPr>
          <w:rFonts w:ascii="黑体" w:hAnsi="黑体" w:eastAsia="黑体" w:cs="黑体"/>
          <w:spacing w:val="26"/>
          <w:sz w:val="27"/>
          <w:szCs w:val="27"/>
        </w:rPr>
        <w:t xml:space="preserve">  </w:t>
      </w:r>
      <w:r>
        <w:rPr>
          <w:rFonts w:ascii="黑体" w:hAnsi="黑体" w:eastAsia="黑体" w:cs="黑体"/>
          <w:b/>
          <w:bCs/>
          <w:spacing w:val="-5"/>
          <w:sz w:val="27"/>
          <w:szCs w:val="27"/>
        </w:rPr>
        <w:t>管理要求</w:t>
      </w:r>
    </w:p>
    <w:p w14:paraId="077D90EE">
      <w:pPr>
        <w:spacing w:before="65" w:line="222" w:lineRule="auto"/>
        <w:rPr>
          <w:rFonts w:ascii="黑体" w:hAnsi="黑体" w:eastAsia="黑体" w:cs="黑体"/>
          <w:sz w:val="27"/>
          <w:szCs w:val="27"/>
        </w:rPr>
      </w:pPr>
      <w:r>
        <w:rPr>
          <w:rFonts w:ascii="黑体" w:hAnsi="黑体" w:eastAsia="黑体" w:cs="黑体"/>
          <w:spacing w:val="-2"/>
          <w:sz w:val="27"/>
          <w:szCs w:val="27"/>
        </w:rPr>
        <w:t>6.2.</w:t>
      </w:r>
      <w:r>
        <w:rPr>
          <w:rFonts w:ascii="黑体" w:hAnsi="黑体" w:eastAsia="黑体" w:cs="黑体"/>
          <w:b/>
          <w:bCs/>
          <w:spacing w:val="-2"/>
          <w:sz w:val="27"/>
          <w:szCs w:val="27"/>
        </w:rPr>
        <w:t>1</w:t>
      </w:r>
      <w:r>
        <w:rPr>
          <w:rFonts w:ascii="黑体" w:hAnsi="黑体" w:eastAsia="黑体" w:cs="黑体"/>
          <w:spacing w:val="29"/>
          <w:sz w:val="27"/>
          <w:szCs w:val="27"/>
        </w:rPr>
        <w:t xml:space="preserve">  </w:t>
      </w:r>
      <w:r>
        <w:rPr>
          <w:rFonts w:ascii="黑体" w:hAnsi="黑体" w:eastAsia="黑体" w:cs="黑体"/>
          <w:b/>
          <w:bCs/>
          <w:spacing w:val="-2"/>
          <w:sz w:val="27"/>
          <w:szCs w:val="27"/>
        </w:rPr>
        <w:t>管理的协调性</w:t>
      </w:r>
    </w:p>
    <w:p w14:paraId="33DBFCAA">
      <w:pPr>
        <w:pStyle w:val="2"/>
        <w:spacing w:before="129" w:line="258" w:lineRule="auto"/>
        <w:ind w:right="72" w:firstLine="570"/>
        <w:jc w:val="both"/>
      </w:pPr>
      <w:r>
        <w:rPr>
          <w:spacing w:val="6"/>
        </w:rPr>
        <w:t>要对在不同时间、用各种方法编制的各类图样和技术文件的管理提出协调</w:t>
      </w:r>
      <w:r>
        <w:rPr>
          <w:spacing w:val="9"/>
        </w:rPr>
        <w:t xml:space="preserve"> </w:t>
      </w:r>
      <w:r>
        <w:rPr>
          <w:spacing w:val="4"/>
        </w:rPr>
        <w:t>性要求，例如要针对图样和技术文件的编制是采用计算机辅助设</w:t>
      </w:r>
      <w:r>
        <w:rPr>
          <w:spacing w:val="3"/>
        </w:rPr>
        <w:t>计(</w:t>
      </w:r>
      <w:r>
        <w:rPr>
          <w:rFonts w:ascii="Times New Roman" w:hAnsi="Times New Roman" w:eastAsia="Times New Roman" w:cs="Times New Roman"/>
        </w:rPr>
        <w:t>CAD</w:t>
      </w:r>
      <w:r>
        <w:rPr>
          <w:rFonts w:ascii="Times New Roman" w:hAnsi="Times New Roman" w:eastAsia="Times New Roman" w:cs="Times New Roman"/>
          <w:spacing w:val="3"/>
        </w:rPr>
        <w:t xml:space="preserve">) </w:t>
      </w:r>
      <w:r>
        <w:rPr>
          <w:spacing w:val="3"/>
        </w:rPr>
        <w:t>或传</w:t>
      </w:r>
      <w:r>
        <w:t xml:space="preserve"> </w:t>
      </w:r>
      <w:r>
        <w:rPr>
          <w:spacing w:val="-1"/>
        </w:rPr>
        <w:t>统常规设计，还是两者联用等实际情况提出相应的管理要求。</w:t>
      </w:r>
    </w:p>
    <w:p w14:paraId="0B138303">
      <w:pPr>
        <w:spacing w:before="5" w:line="222" w:lineRule="auto"/>
        <w:rPr>
          <w:rFonts w:ascii="黑体" w:hAnsi="黑体" w:eastAsia="黑体" w:cs="黑体"/>
          <w:sz w:val="27"/>
          <w:szCs w:val="27"/>
        </w:rPr>
      </w:pPr>
      <w:r>
        <w:rPr>
          <w:rFonts w:ascii="黑体" w:hAnsi="黑体" w:eastAsia="黑体" w:cs="黑体"/>
          <w:spacing w:val="-1"/>
          <w:sz w:val="27"/>
          <w:szCs w:val="27"/>
        </w:rPr>
        <w:t>6.2.2</w:t>
      </w:r>
      <w:r>
        <w:rPr>
          <w:rFonts w:ascii="黑体" w:hAnsi="黑体" w:eastAsia="黑体" w:cs="黑体"/>
          <w:spacing w:val="28"/>
          <w:sz w:val="27"/>
          <w:szCs w:val="27"/>
        </w:rPr>
        <w:t xml:space="preserve">  </w:t>
      </w:r>
      <w:r>
        <w:rPr>
          <w:rFonts w:ascii="黑体" w:hAnsi="黑体" w:eastAsia="黑体" w:cs="黑体"/>
          <w:b/>
          <w:bCs/>
          <w:spacing w:val="-1"/>
          <w:sz w:val="27"/>
          <w:szCs w:val="27"/>
        </w:rPr>
        <w:t>借用件管理要求</w:t>
      </w:r>
    </w:p>
    <w:p w14:paraId="3038B2C1">
      <w:pPr>
        <w:pStyle w:val="2"/>
        <w:spacing w:before="97" w:line="219" w:lineRule="auto"/>
        <w:ind w:left="570"/>
      </w:pPr>
      <w:r>
        <w:rPr>
          <w:spacing w:val="3"/>
        </w:rPr>
        <w:t>应对借用件作出管理规定。其主要内容包括：</w:t>
      </w:r>
    </w:p>
    <w:p w14:paraId="0687D427">
      <w:pPr>
        <w:spacing w:line="219" w:lineRule="auto"/>
        <w:sectPr>
          <w:footerReference r:id="rId301" w:type="default"/>
          <w:pgSz w:w="11910" w:h="17130"/>
          <w:pgMar w:top="1456" w:right="854" w:bottom="1503" w:left="1569" w:header="0" w:footer="1305" w:gutter="0"/>
          <w:cols w:space="720" w:num="1"/>
        </w:sectPr>
      </w:pPr>
    </w:p>
    <w:p w14:paraId="0A1491AC">
      <w:pPr>
        <w:pStyle w:val="2"/>
        <w:spacing w:before="143" w:line="219" w:lineRule="auto"/>
        <w:ind w:left="560"/>
      </w:pPr>
      <w:r>
        <w:rPr>
          <w:rFonts w:ascii="Times New Roman" w:hAnsi="Times New Roman" w:eastAsia="Times New Roman" w:cs="Times New Roman"/>
          <w:spacing w:val="2"/>
        </w:rPr>
        <w:t>a</w:t>
      </w:r>
      <w:r>
        <w:rPr>
          <w:spacing w:val="2"/>
        </w:rPr>
        <w:t>)</w:t>
      </w:r>
      <w:r>
        <w:rPr>
          <w:spacing w:val="-42"/>
        </w:rPr>
        <w:t xml:space="preserve"> </w:t>
      </w:r>
      <w:r>
        <w:rPr>
          <w:spacing w:val="2"/>
        </w:rPr>
        <w:t>被借用文件的最低要求；</w:t>
      </w:r>
    </w:p>
    <w:p w14:paraId="38D7435A">
      <w:pPr>
        <w:pStyle w:val="2"/>
        <w:spacing w:before="50"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69"/>
        </w:rPr>
        <w:t xml:space="preserve"> </w:t>
      </w:r>
      <w:r>
        <w:rPr>
          <w:spacing w:val="3"/>
        </w:rPr>
        <w:t>借用的合法性程序和登记；</w:t>
      </w:r>
    </w:p>
    <w:p w14:paraId="364F7B73">
      <w:pPr>
        <w:pStyle w:val="2"/>
        <w:spacing w:before="89" w:line="212" w:lineRule="auto"/>
        <w:ind w:left="560"/>
      </w:pPr>
      <w:r>
        <w:rPr>
          <w:rFonts w:ascii="Times New Roman" w:hAnsi="Times New Roman" w:eastAsia="Times New Roman" w:cs="Times New Roman"/>
          <w:spacing w:val="1"/>
        </w:rPr>
        <w:t>c)</w:t>
      </w:r>
      <w:r>
        <w:rPr>
          <w:rFonts w:ascii="Times New Roman" w:hAnsi="Times New Roman" w:eastAsia="Times New Roman" w:cs="Times New Roman"/>
          <w:spacing w:val="65"/>
        </w:rPr>
        <w:t xml:space="preserve"> </w:t>
      </w:r>
      <w:r>
        <w:rPr>
          <w:spacing w:val="1"/>
        </w:rPr>
        <w:t>借用文件相关标识；</w:t>
      </w:r>
    </w:p>
    <w:p w14:paraId="283E6ED6">
      <w:pPr>
        <w:pStyle w:val="2"/>
        <w:spacing w:before="100" w:line="212" w:lineRule="auto"/>
        <w:ind w:left="560"/>
      </w:pPr>
      <w:r>
        <w:rPr>
          <w:rFonts w:ascii="Times New Roman" w:hAnsi="Times New Roman" w:eastAsia="Times New Roman" w:cs="Times New Roman"/>
          <w:spacing w:val="4"/>
        </w:rPr>
        <w:t xml:space="preserve">d)  </w:t>
      </w:r>
      <w:r>
        <w:rPr>
          <w:spacing w:val="4"/>
        </w:rPr>
        <w:t>被借用文件更改时通知借用方的规定等。</w:t>
      </w:r>
    </w:p>
    <w:p w14:paraId="4625AC77">
      <w:pPr>
        <w:spacing w:before="134" w:line="222" w:lineRule="auto"/>
        <w:rPr>
          <w:rFonts w:ascii="黑体" w:hAnsi="黑体" w:eastAsia="黑体" w:cs="黑体"/>
          <w:sz w:val="24"/>
          <w:szCs w:val="24"/>
        </w:rPr>
      </w:pPr>
      <w:r>
        <w:rPr>
          <w:rFonts w:ascii="黑体" w:hAnsi="黑体" w:eastAsia="黑体" w:cs="黑体"/>
          <w:spacing w:val="13"/>
          <w:sz w:val="24"/>
          <w:szCs w:val="24"/>
        </w:rPr>
        <w:t xml:space="preserve">6.2.3   </w:t>
      </w:r>
      <w:r>
        <w:rPr>
          <w:rFonts w:ascii="黑体" w:hAnsi="黑体" w:eastAsia="黑体" w:cs="黑体"/>
          <w:b/>
          <w:bCs/>
          <w:spacing w:val="13"/>
          <w:sz w:val="24"/>
          <w:szCs w:val="24"/>
        </w:rPr>
        <w:t>更改管理要求</w:t>
      </w:r>
    </w:p>
    <w:p w14:paraId="4C31A68D">
      <w:pPr>
        <w:pStyle w:val="2"/>
        <w:spacing w:before="66" w:line="291" w:lineRule="auto"/>
        <w:ind w:right="112" w:firstLine="560"/>
      </w:pPr>
      <w:r>
        <w:rPr>
          <w:spacing w:val="5"/>
        </w:rPr>
        <w:t>应按技术状态管理、图样及技术文件管理等标准规定的更改类别对下列相</w:t>
      </w:r>
      <w:r>
        <w:rPr>
          <w:spacing w:val="11"/>
        </w:rPr>
        <w:t xml:space="preserve"> </w:t>
      </w:r>
      <w:r>
        <w:rPr>
          <w:spacing w:val="-1"/>
        </w:rPr>
        <w:t>关要求作出规定：</w:t>
      </w:r>
    </w:p>
    <w:p w14:paraId="1F8E5224">
      <w:pPr>
        <w:pStyle w:val="2"/>
        <w:spacing w:before="1" w:line="219" w:lineRule="auto"/>
        <w:ind w:left="560"/>
      </w:pPr>
      <w:r>
        <w:rPr>
          <w:rFonts w:ascii="Times New Roman" w:hAnsi="Times New Roman" w:eastAsia="Times New Roman" w:cs="Times New Roman"/>
          <w:spacing w:val="11"/>
        </w:rPr>
        <w:t>a</w:t>
      </w:r>
      <w:r>
        <w:rPr>
          <w:spacing w:val="11"/>
        </w:rPr>
        <w:t>)更改程序；</w:t>
      </w:r>
    </w:p>
    <w:p w14:paraId="7212FDBF">
      <w:pPr>
        <w:pStyle w:val="2"/>
        <w:spacing w:before="81" w:line="212" w:lineRule="auto"/>
        <w:ind w:left="560"/>
        <w:rPr>
          <w:sz w:val="24"/>
          <w:szCs w:val="24"/>
        </w:rPr>
      </w:pPr>
      <w:r>
        <w:rPr>
          <w:rFonts w:ascii="Times New Roman" w:hAnsi="Times New Roman" w:eastAsia="Times New Roman" w:cs="Times New Roman"/>
          <w:spacing w:val="17"/>
          <w:sz w:val="24"/>
          <w:szCs w:val="24"/>
        </w:rPr>
        <w:t>b)</w:t>
      </w:r>
      <w:r>
        <w:rPr>
          <w:rFonts w:ascii="Times New Roman" w:hAnsi="Times New Roman" w:eastAsia="Times New Roman" w:cs="Times New Roman"/>
          <w:spacing w:val="25"/>
          <w:sz w:val="24"/>
          <w:szCs w:val="24"/>
        </w:rPr>
        <w:t xml:space="preserve">  </w:t>
      </w:r>
      <w:r>
        <w:rPr>
          <w:spacing w:val="17"/>
          <w:sz w:val="24"/>
          <w:szCs w:val="24"/>
        </w:rPr>
        <w:t>审批权限；</w:t>
      </w:r>
    </w:p>
    <w:p w14:paraId="560E9F5E">
      <w:pPr>
        <w:pStyle w:val="2"/>
        <w:spacing w:before="102"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2"/>
        </w:rPr>
        <w:t xml:space="preserve"> </w:t>
      </w:r>
      <w:r>
        <w:rPr>
          <w:spacing w:val="3"/>
        </w:rPr>
        <w:t>更改方法和更改文件的格式与使用；</w:t>
      </w:r>
    </w:p>
    <w:p w14:paraId="6FB29883">
      <w:pPr>
        <w:pStyle w:val="2"/>
        <w:spacing w:before="110" w:line="212" w:lineRule="auto"/>
        <w:ind w:left="560"/>
      </w:pPr>
      <w:r>
        <w:rPr>
          <w:rFonts w:ascii="Times New Roman" w:hAnsi="Times New Roman" w:eastAsia="Times New Roman" w:cs="Times New Roman"/>
          <w:spacing w:val="3"/>
        </w:rPr>
        <w:t>d)</w:t>
      </w:r>
      <w:r>
        <w:rPr>
          <w:rFonts w:ascii="Times New Roman" w:hAnsi="Times New Roman" w:eastAsia="Times New Roman" w:cs="Times New Roman"/>
          <w:spacing w:val="61"/>
        </w:rPr>
        <w:t xml:space="preserve"> </w:t>
      </w:r>
      <w:r>
        <w:rPr>
          <w:spacing w:val="3"/>
        </w:rPr>
        <w:t>更改文件的传递；</w:t>
      </w:r>
    </w:p>
    <w:p w14:paraId="0D6ED099">
      <w:pPr>
        <w:pStyle w:val="2"/>
        <w:spacing w:before="120" w:line="219" w:lineRule="auto"/>
        <w:ind w:left="560"/>
      </w:pPr>
      <w:r>
        <w:rPr>
          <w:rFonts w:ascii="Times New Roman" w:hAnsi="Times New Roman" w:eastAsia="Times New Roman" w:cs="Times New Roman"/>
          <w:spacing w:val="9"/>
        </w:rPr>
        <w:t>e</w:t>
      </w:r>
      <w:r>
        <w:rPr>
          <w:spacing w:val="9"/>
        </w:rPr>
        <w:t>)更改实施和善后处理等。</w:t>
      </w:r>
    </w:p>
    <w:p w14:paraId="0D795829">
      <w:pPr>
        <w:spacing w:before="76" w:line="222" w:lineRule="auto"/>
        <w:rPr>
          <w:rFonts w:ascii="黑体" w:hAnsi="黑体" w:eastAsia="黑体" w:cs="黑体"/>
          <w:sz w:val="27"/>
          <w:szCs w:val="27"/>
        </w:rPr>
      </w:pPr>
      <w:r>
        <w:rPr>
          <w:rFonts w:ascii="黑体" w:hAnsi="黑体" w:eastAsia="黑体" w:cs="黑体"/>
          <w:spacing w:val="-3"/>
          <w:sz w:val="27"/>
          <w:szCs w:val="27"/>
        </w:rPr>
        <w:t>6.2.4</w:t>
      </w:r>
      <w:r>
        <w:rPr>
          <w:rFonts w:ascii="黑体" w:hAnsi="黑体" w:eastAsia="黑体" w:cs="黑体"/>
          <w:spacing w:val="40"/>
          <w:sz w:val="27"/>
          <w:szCs w:val="27"/>
        </w:rPr>
        <w:t xml:space="preserve">  </w:t>
      </w:r>
      <w:r>
        <w:rPr>
          <w:rFonts w:ascii="黑体" w:hAnsi="黑体" w:eastAsia="黑体" w:cs="黑体"/>
          <w:b/>
          <w:bCs/>
          <w:spacing w:val="-3"/>
          <w:sz w:val="27"/>
          <w:szCs w:val="27"/>
        </w:rPr>
        <w:t>审批会签要求</w:t>
      </w:r>
    </w:p>
    <w:p w14:paraId="48B383A4">
      <w:pPr>
        <w:pStyle w:val="2"/>
        <w:spacing w:before="80" w:line="280" w:lineRule="auto"/>
        <w:ind w:right="111" w:firstLine="560"/>
        <w:jc w:val="both"/>
      </w:pPr>
      <w:r>
        <w:rPr>
          <w:spacing w:val="-3"/>
        </w:rPr>
        <w:t>应根据文件的性质、涉及的范围和重要性设置不同的审签层次，明确逐级审</w:t>
      </w:r>
      <w:r>
        <w:t xml:space="preserve"> </w:t>
      </w:r>
      <w:r>
        <w:rPr>
          <w:spacing w:val="-3"/>
        </w:rPr>
        <w:t>签的要求。应规定设计部门内部、外部会签的项目、军事代表会签项目，会签单</w:t>
      </w:r>
      <w:r>
        <w:rPr>
          <w:spacing w:val="15"/>
        </w:rPr>
        <w:t xml:space="preserve"> </w:t>
      </w:r>
      <w:r>
        <w:rPr>
          <w:spacing w:val="1"/>
        </w:rPr>
        <w:t>位和会签顺序等。</w:t>
      </w:r>
    </w:p>
    <w:p w14:paraId="32BFF708">
      <w:pPr>
        <w:pStyle w:val="2"/>
        <w:spacing w:line="279" w:lineRule="auto"/>
        <w:ind w:right="120" w:firstLine="560"/>
      </w:pPr>
      <w:r>
        <w:rPr>
          <w:spacing w:val="-3"/>
        </w:rPr>
        <w:t>对于推行计算机辅助设计和管理的单位，应对网上审签的</w:t>
      </w:r>
      <w:r>
        <w:rPr>
          <w:spacing w:val="-4"/>
        </w:rPr>
        <w:t>授权、限制、签署</w:t>
      </w:r>
      <w:r>
        <w:t xml:space="preserve"> </w:t>
      </w:r>
      <w:r>
        <w:rPr>
          <w:spacing w:val="1"/>
        </w:rPr>
        <w:t>方式等作出规定。</w:t>
      </w:r>
    </w:p>
    <w:p w14:paraId="1C1D5AA9">
      <w:pPr>
        <w:spacing w:before="1" w:line="221" w:lineRule="auto"/>
        <w:outlineLvl w:val="3"/>
        <w:rPr>
          <w:rFonts w:ascii="黑体" w:hAnsi="黑体" w:eastAsia="黑体" w:cs="黑体"/>
          <w:sz w:val="27"/>
          <w:szCs w:val="27"/>
        </w:rPr>
      </w:pPr>
      <w:r>
        <w:rPr>
          <w:rFonts w:ascii="Arial" w:hAnsi="Arial" w:eastAsia="Arial" w:cs="Arial"/>
          <w:b/>
          <w:bCs/>
          <w:spacing w:val="1"/>
          <w:sz w:val="27"/>
          <w:szCs w:val="27"/>
        </w:rPr>
        <w:t xml:space="preserve">7    </w:t>
      </w:r>
      <w:r>
        <w:rPr>
          <w:rFonts w:ascii="黑体" w:hAnsi="黑体" w:eastAsia="黑体" w:cs="黑体"/>
          <w:b/>
          <w:bCs/>
          <w:spacing w:val="1"/>
          <w:sz w:val="27"/>
          <w:szCs w:val="27"/>
        </w:rPr>
        <w:t>标准化工作范围和研制各阶段的主要工作</w:t>
      </w:r>
    </w:p>
    <w:p w14:paraId="45EFC8AE">
      <w:pPr>
        <w:spacing w:before="75" w:line="222" w:lineRule="auto"/>
        <w:rPr>
          <w:rFonts w:ascii="黑体" w:hAnsi="黑体" w:eastAsia="黑体" w:cs="黑体"/>
          <w:sz w:val="27"/>
          <w:szCs w:val="27"/>
        </w:rPr>
      </w:pPr>
      <w:r>
        <w:rPr>
          <w:rFonts w:ascii="黑体" w:hAnsi="黑体" w:eastAsia="黑体" w:cs="黑体"/>
          <w:spacing w:val="-2"/>
          <w:sz w:val="27"/>
          <w:szCs w:val="27"/>
        </w:rPr>
        <w:t>7.1</w:t>
      </w:r>
      <w:r>
        <w:rPr>
          <w:rFonts w:ascii="黑体" w:hAnsi="黑体" w:eastAsia="黑体" w:cs="黑体"/>
          <w:spacing w:val="38"/>
          <w:sz w:val="27"/>
          <w:szCs w:val="27"/>
        </w:rPr>
        <w:t xml:space="preserve">  </w:t>
      </w:r>
      <w:r>
        <w:rPr>
          <w:rFonts w:ascii="黑体" w:hAnsi="黑体" w:eastAsia="黑体" w:cs="黑体"/>
          <w:b/>
          <w:bCs/>
          <w:spacing w:val="-2"/>
          <w:sz w:val="27"/>
          <w:szCs w:val="27"/>
        </w:rPr>
        <w:t>标准化工作范围</w:t>
      </w:r>
    </w:p>
    <w:p w14:paraId="4F75E761">
      <w:pPr>
        <w:pStyle w:val="2"/>
        <w:spacing w:before="94" w:line="277" w:lineRule="auto"/>
        <w:ind w:firstLine="560"/>
        <w:jc w:val="both"/>
      </w:pPr>
      <w:r>
        <w:rPr>
          <w:spacing w:val="1"/>
        </w:rPr>
        <w:t>标准化工作范围主要是指涉及的工作领域(例如标准化工作涉及的质量、计</w:t>
      </w:r>
      <w:r>
        <w:rPr>
          <w:spacing w:val="12"/>
        </w:rPr>
        <w:t xml:space="preserve"> </w:t>
      </w:r>
      <w:r>
        <w:rPr>
          <w:spacing w:val="-10"/>
        </w:rPr>
        <w:t>量、环境、可靠性等专业领域)及工作的广度和深度(例如为实施标准组织事先研究</w:t>
      </w:r>
      <w:r>
        <w:rPr>
          <w:spacing w:val="6"/>
        </w:rPr>
        <w:t xml:space="preserve">  </w:t>
      </w:r>
      <w:r>
        <w:rPr>
          <w:spacing w:val="-3"/>
        </w:rPr>
        <w:t>或攻关等)。在确定研制各阶段标准化工作的内容时应充分考虑涉及的工作范围。</w:t>
      </w:r>
    </w:p>
    <w:p w14:paraId="7360A821">
      <w:pPr>
        <w:spacing w:before="15" w:line="222" w:lineRule="auto"/>
        <w:rPr>
          <w:rFonts w:ascii="黑体" w:hAnsi="黑体" w:eastAsia="黑体" w:cs="黑体"/>
          <w:sz w:val="24"/>
          <w:szCs w:val="24"/>
        </w:rPr>
      </w:pPr>
      <w:r>
        <w:rPr>
          <w:rFonts w:ascii="黑体" w:hAnsi="黑体" w:eastAsia="黑体" w:cs="黑体"/>
          <w:spacing w:val="25"/>
          <w:sz w:val="24"/>
          <w:szCs w:val="24"/>
        </w:rPr>
        <w:t>7.2</w:t>
      </w:r>
      <w:r>
        <w:rPr>
          <w:rFonts w:ascii="黑体" w:hAnsi="黑体" w:eastAsia="黑体" w:cs="黑体"/>
          <w:spacing w:val="14"/>
          <w:sz w:val="24"/>
          <w:szCs w:val="24"/>
        </w:rPr>
        <w:t xml:space="preserve">   </w:t>
      </w:r>
      <w:r>
        <w:rPr>
          <w:rFonts w:ascii="黑体" w:hAnsi="黑体" w:eastAsia="黑体" w:cs="黑体"/>
          <w:b/>
          <w:bCs/>
          <w:spacing w:val="25"/>
          <w:sz w:val="24"/>
          <w:szCs w:val="24"/>
        </w:rPr>
        <w:t>产品研制各阶段的主要工作</w:t>
      </w:r>
    </w:p>
    <w:p w14:paraId="14CB5142">
      <w:pPr>
        <w:pStyle w:val="2"/>
        <w:spacing w:before="95" w:line="280" w:lineRule="auto"/>
        <w:ind w:right="101" w:firstLine="560"/>
        <w:jc w:val="both"/>
      </w:pPr>
      <w:r>
        <w:rPr>
          <w:spacing w:val="14"/>
        </w:rPr>
        <w:t>产品研制各阶段标准化工作内容可结合产品的具体情</w:t>
      </w:r>
      <w:r>
        <w:rPr>
          <w:spacing w:val="13"/>
        </w:rPr>
        <w:t>况参照表4.2,进行</w:t>
      </w:r>
      <w:r>
        <w:t xml:space="preserve"> </w:t>
      </w:r>
      <w:r>
        <w:rPr>
          <w:spacing w:val="5"/>
        </w:rPr>
        <w:t>适当剪裁和作必要的分解或综合后形成具体的工作项目，并落实到研制各阶段</w:t>
      </w:r>
      <w:r>
        <w:rPr>
          <w:spacing w:val="9"/>
        </w:rPr>
        <w:t xml:space="preserve"> </w:t>
      </w:r>
      <w:r>
        <w:t>的工作计划中。</w:t>
      </w:r>
    </w:p>
    <w:p w14:paraId="3517ABD1">
      <w:pPr>
        <w:spacing w:before="19" w:line="220" w:lineRule="auto"/>
        <w:ind w:left="2039"/>
        <w:rPr>
          <w:rFonts w:ascii="仿宋" w:hAnsi="仿宋" w:eastAsia="仿宋" w:cs="仿宋"/>
          <w:sz w:val="24"/>
          <w:szCs w:val="24"/>
        </w:rPr>
      </w:pPr>
      <w:r>
        <w:rPr>
          <w:rFonts w:ascii="仿宋" w:hAnsi="仿宋" w:eastAsia="仿宋" w:cs="仿宋"/>
          <w:spacing w:val="28"/>
          <w:sz w:val="24"/>
          <w:szCs w:val="24"/>
        </w:rPr>
        <w:t>表4</w:t>
      </w:r>
      <w:r>
        <w:rPr>
          <w:rFonts w:ascii="仿宋" w:hAnsi="仿宋" w:eastAsia="仿宋" w:cs="仿宋"/>
          <w:spacing w:val="-53"/>
          <w:sz w:val="24"/>
          <w:szCs w:val="24"/>
        </w:rPr>
        <w:t xml:space="preserve"> </w:t>
      </w:r>
      <w:r>
        <w:rPr>
          <w:rFonts w:ascii="仿宋" w:hAnsi="仿宋" w:eastAsia="仿宋" w:cs="仿宋"/>
          <w:spacing w:val="28"/>
          <w:sz w:val="24"/>
          <w:szCs w:val="24"/>
        </w:rPr>
        <w:t>.</w:t>
      </w:r>
      <w:r>
        <w:rPr>
          <w:rFonts w:ascii="仿宋" w:hAnsi="仿宋" w:eastAsia="仿宋" w:cs="仿宋"/>
          <w:spacing w:val="-58"/>
          <w:sz w:val="24"/>
          <w:szCs w:val="24"/>
        </w:rPr>
        <w:t xml:space="preserve"> </w:t>
      </w:r>
      <w:r>
        <w:rPr>
          <w:rFonts w:ascii="仿宋" w:hAnsi="仿宋" w:eastAsia="仿宋" w:cs="仿宋"/>
          <w:spacing w:val="28"/>
          <w:sz w:val="24"/>
          <w:szCs w:val="24"/>
        </w:rPr>
        <w:t>2  产品研制各阶段标准化主要工作</w:t>
      </w:r>
      <w:r>
        <w:rPr>
          <w:rFonts w:ascii="仿宋" w:hAnsi="仿宋" w:eastAsia="仿宋" w:cs="仿宋"/>
          <w:spacing w:val="27"/>
          <w:sz w:val="24"/>
          <w:szCs w:val="24"/>
        </w:rPr>
        <w:t>内容</w:t>
      </w:r>
    </w:p>
    <w:p w14:paraId="3E2E6185">
      <w:pPr>
        <w:spacing w:line="113" w:lineRule="exact"/>
      </w:pPr>
    </w:p>
    <w:tbl>
      <w:tblPr>
        <w:tblStyle w:val="5"/>
        <w:tblW w:w="9370" w:type="dxa"/>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8316"/>
      </w:tblGrid>
      <w:tr w14:paraId="4CBA2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1054" w:type="dxa"/>
            <w:vAlign w:val="top"/>
          </w:tcPr>
          <w:p w14:paraId="238BCACB">
            <w:pPr>
              <w:spacing w:before="154" w:line="220" w:lineRule="auto"/>
              <w:ind w:left="95"/>
              <w:rPr>
                <w:rFonts w:ascii="宋体" w:hAnsi="宋体" w:eastAsia="宋体" w:cs="宋体"/>
                <w:sz w:val="21"/>
                <w:szCs w:val="21"/>
              </w:rPr>
            </w:pPr>
            <w:r>
              <w:rPr>
                <w:rFonts w:ascii="宋体" w:hAnsi="宋体" w:eastAsia="宋体" w:cs="宋体"/>
                <w:spacing w:val="-2"/>
                <w:sz w:val="21"/>
                <w:szCs w:val="21"/>
              </w:rPr>
              <w:t>研制阶段</w:t>
            </w:r>
          </w:p>
        </w:tc>
        <w:tc>
          <w:tcPr>
            <w:tcW w:w="8316" w:type="dxa"/>
            <w:vAlign w:val="top"/>
          </w:tcPr>
          <w:p w14:paraId="46F89BBE">
            <w:pPr>
              <w:spacing w:before="153" w:line="219" w:lineRule="auto"/>
              <w:ind w:left="3510"/>
              <w:rPr>
                <w:rFonts w:ascii="宋体" w:hAnsi="宋体" w:eastAsia="宋体" w:cs="宋体"/>
                <w:sz w:val="21"/>
                <w:szCs w:val="21"/>
              </w:rPr>
            </w:pPr>
            <w:r>
              <w:rPr>
                <w:rFonts w:ascii="宋体" w:hAnsi="宋体" w:eastAsia="宋体" w:cs="宋体"/>
                <w:spacing w:val="1"/>
                <w:sz w:val="21"/>
                <w:szCs w:val="21"/>
              </w:rPr>
              <w:t>主要工作内容</w:t>
            </w:r>
          </w:p>
        </w:tc>
      </w:tr>
      <w:tr w14:paraId="2BA3C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7" w:hRule="atLeast"/>
        </w:trPr>
        <w:tc>
          <w:tcPr>
            <w:tcW w:w="1054" w:type="dxa"/>
            <w:vAlign w:val="top"/>
          </w:tcPr>
          <w:p w14:paraId="6392F29C">
            <w:pPr>
              <w:pStyle w:val="6"/>
              <w:spacing w:line="320" w:lineRule="auto"/>
            </w:pPr>
          </w:p>
          <w:p w14:paraId="7B4E72A3">
            <w:pPr>
              <w:pStyle w:val="6"/>
              <w:spacing w:line="320" w:lineRule="auto"/>
            </w:pPr>
          </w:p>
          <w:p w14:paraId="0DA54B88">
            <w:pPr>
              <w:spacing w:before="68" w:line="220" w:lineRule="auto"/>
              <w:ind w:left="95"/>
              <w:rPr>
                <w:rFonts w:ascii="宋体" w:hAnsi="宋体" w:eastAsia="宋体" w:cs="宋体"/>
                <w:sz w:val="21"/>
                <w:szCs w:val="21"/>
              </w:rPr>
            </w:pPr>
            <w:r>
              <w:rPr>
                <w:rFonts w:ascii="宋体" w:hAnsi="宋体" w:eastAsia="宋体" w:cs="宋体"/>
                <w:spacing w:val="-2"/>
                <w:sz w:val="21"/>
                <w:szCs w:val="21"/>
              </w:rPr>
              <w:t>方案阶段</w:t>
            </w:r>
          </w:p>
        </w:tc>
        <w:tc>
          <w:tcPr>
            <w:tcW w:w="8316" w:type="dxa"/>
            <w:vAlign w:val="top"/>
          </w:tcPr>
          <w:p w14:paraId="5891BEE5">
            <w:pPr>
              <w:spacing w:before="211" w:line="219" w:lineRule="auto"/>
              <w:ind w:left="361"/>
              <w:rPr>
                <w:rFonts w:ascii="宋体" w:hAnsi="宋体" w:eastAsia="宋体" w:cs="宋体"/>
                <w:sz w:val="21"/>
                <w:szCs w:val="21"/>
              </w:rPr>
            </w:pPr>
            <w:r>
              <w:rPr>
                <w:rFonts w:ascii="宋体" w:hAnsi="宋体" w:eastAsia="宋体" w:cs="宋体"/>
                <w:spacing w:val="1"/>
                <w:sz w:val="21"/>
                <w:szCs w:val="21"/>
              </w:rPr>
              <w:t>1.编制方案阶段工作计划</w:t>
            </w:r>
          </w:p>
          <w:p w14:paraId="33C3BF8D">
            <w:pPr>
              <w:spacing w:before="89" w:line="219" w:lineRule="auto"/>
              <w:ind w:left="361"/>
              <w:rPr>
                <w:rFonts w:ascii="宋体" w:hAnsi="宋体" w:eastAsia="宋体" w:cs="宋体"/>
                <w:sz w:val="21"/>
                <w:szCs w:val="21"/>
              </w:rPr>
            </w:pPr>
            <w:r>
              <w:rPr>
                <w:rFonts w:ascii="宋体" w:hAnsi="宋体" w:eastAsia="宋体" w:cs="宋体"/>
                <w:spacing w:val="1"/>
                <w:sz w:val="21"/>
                <w:szCs w:val="21"/>
              </w:rPr>
              <w:t>1)研究课题计划</w:t>
            </w:r>
          </w:p>
          <w:p w14:paraId="271406B1">
            <w:pPr>
              <w:spacing w:before="92" w:line="219" w:lineRule="auto"/>
              <w:ind w:left="361"/>
              <w:rPr>
                <w:rFonts w:ascii="宋体" w:hAnsi="宋体" w:eastAsia="宋体" w:cs="宋体"/>
                <w:sz w:val="21"/>
                <w:szCs w:val="21"/>
              </w:rPr>
            </w:pPr>
            <w:r>
              <w:rPr>
                <w:rFonts w:ascii="宋体" w:hAnsi="宋体" w:eastAsia="宋体" w:cs="宋体"/>
                <w:spacing w:val="1"/>
                <w:sz w:val="21"/>
                <w:szCs w:val="21"/>
              </w:rPr>
              <w:t>2)文件制定计划</w:t>
            </w:r>
          </w:p>
          <w:p w14:paraId="7A524F84">
            <w:pPr>
              <w:spacing w:before="100" w:line="219" w:lineRule="auto"/>
              <w:ind w:left="361"/>
              <w:rPr>
                <w:rFonts w:ascii="宋体" w:hAnsi="宋体" w:eastAsia="宋体" w:cs="宋体"/>
                <w:sz w:val="21"/>
                <w:szCs w:val="21"/>
              </w:rPr>
            </w:pPr>
            <w:r>
              <w:rPr>
                <w:rFonts w:ascii="宋体" w:hAnsi="宋体" w:eastAsia="宋体" w:cs="宋体"/>
                <w:spacing w:val="1"/>
                <w:sz w:val="21"/>
                <w:szCs w:val="21"/>
              </w:rPr>
              <w:t>3)年度工作计划等</w:t>
            </w:r>
          </w:p>
        </w:tc>
      </w:tr>
    </w:tbl>
    <w:p w14:paraId="764D31EF">
      <w:pPr>
        <w:rPr>
          <w:rFonts w:ascii="Arial"/>
          <w:sz w:val="21"/>
        </w:rPr>
      </w:pPr>
    </w:p>
    <w:p w14:paraId="3A1E8C7B">
      <w:pPr>
        <w:rPr>
          <w:rFonts w:ascii="Arial" w:hAnsi="Arial" w:eastAsia="Arial" w:cs="Arial"/>
          <w:sz w:val="21"/>
          <w:szCs w:val="21"/>
        </w:rPr>
        <w:sectPr>
          <w:footerReference r:id="rId302" w:type="default"/>
          <w:pgSz w:w="11910" w:h="17130"/>
          <w:pgMar w:top="1456" w:right="1515" w:bottom="1623" w:left="910" w:header="0" w:footer="1424" w:gutter="0"/>
          <w:cols w:space="720" w:num="1"/>
        </w:sectPr>
      </w:pPr>
    </w:p>
    <w:p w14:paraId="753EF04A">
      <w:pPr>
        <w:pStyle w:val="2"/>
        <w:spacing w:before="44" w:line="220" w:lineRule="auto"/>
        <w:ind w:left="8675"/>
        <w:rPr>
          <w:sz w:val="22"/>
          <w:szCs w:val="22"/>
        </w:rPr>
      </w:pPr>
      <w:r>
        <w:rPr>
          <w:spacing w:val="-20"/>
          <w:sz w:val="22"/>
          <w:szCs w:val="22"/>
        </w:rPr>
        <w:t>(</w:t>
      </w:r>
      <w:r>
        <w:rPr>
          <w:spacing w:val="-46"/>
          <w:sz w:val="22"/>
          <w:szCs w:val="22"/>
        </w:rPr>
        <w:t xml:space="preserve"> </w:t>
      </w:r>
      <w:r>
        <w:rPr>
          <w:spacing w:val="-20"/>
          <w:sz w:val="22"/>
          <w:szCs w:val="22"/>
        </w:rPr>
        <w:t>续</w:t>
      </w:r>
      <w:r>
        <w:rPr>
          <w:spacing w:val="-48"/>
          <w:sz w:val="22"/>
          <w:szCs w:val="22"/>
        </w:rPr>
        <w:t xml:space="preserve"> </w:t>
      </w:r>
      <w:r>
        <w:rPr>
          <w:spacing w:val="-20"/>
          <w:sz w:val="22"/>
          <w:szCs w:val="22"/>
        </w:rPr>
        <w:t>)</w:t>
      </w:r>
    </w:p>
    <w:p w14:paraId="149133FF">
      <w:pPr>
        <w:spacing w:line="133" w:lineRule="exact"/>
      </w:pPr>
    </w:p>
    <w:tbl>
      <w:tblPr>
        <w:tblStyle w:val="5"/>
        <w:tblW w:w="93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8326"/>
      </w:tblGrid>
      <w:tr w14:paraId="184C8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044" w:type="dxa"/>
            <w:vAlign w:val="top"/>
          </w:tcPr>
          <w:p w14:paraId="231476CE">
            <w:pPr>
              <w:spacing w:before="103" w:line="220" w:lineRule="auto"/>
              <w:ind w:left="115"/>
              <w:rPr>
                <w:rFonts w:ascii="宋体" w:hAnsi="宋体" w:eastAsia="宋体" w:cs="宋体"/>
                <w:sz w:val="20"/>
                <w:szCs w:val="20"/>
              </w:rPr>
            </w:pPr>
            <w:r>
              <w:rPr>
                <w:rFonts w:ascii="宋体" w:hAnsi="宋体" w:eastAsia="宋体" w:cs="宋体"/>
                <w:spacing w:val="-2"/>
                <w:sz w:val="20"/>
                <w:szCs w:val="20"/>
              </w:rPr>
              <w:t>研制阶段</w:t>
            </w:r>
          </w:p>
        </w:tc>
        <w:tc>
          <w:tcPr>
            <w:tcW w:w="8326" w:type="dxa"/>
            <w:vAlign w:val="top"/>
          </w:tcPr>
          <w:p w14:paraId="6E3D41AB">
            <w:pPr>
              <w:spacing w:before="103" w:line="219" w:lineRule="auto"/>
              <w:ind w:left="3550"/>
              <w:rPr>
                <w:rFonts w:ascii="宋体" w:hAnsi="宋体" w:eastAsia="宋体" w:cs="宋体"/>
                <w:sz w:val="20"/>
                <w:szCs w:val="20"/>
              </w:rPr>
            </w:pPr>
            <w:r>
              <w:rPr>
                <w:rFonts w:ascii="宋体" w:hAnsi="宋体" w:eastAsia="宋体" w:cs="宋体"/>
                <w:spacing w:val="-2"/>
                <w:sz w:val="20"/>
                <w:szCs w:val="20"/>
              </w:rPr>
              <w:t>主要工作内容</w:t>
            </w:r>
          </w:p>
        </w:tc>
      </w:tr>
      <w:tr w14:paraId="5200D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7" w:hRule="atLeast"/>
        </w:trPr>
        <w:tc>
          <w:tcPr>
            <w:tcW w:w="1044" w:type="dxa"/>
            <w:vAlign w:val="top"/>
          </w:tcPr>
          <w:p w14:paraId="7B73B705">
            <w:pPr>
              <w:pStyle w:val="6"/>
            </w:pPr>
          </w:p>
        </w:tc>
        <w:tc>
          <w:tcPr>
            <w:tcW w:w="8326" w:type="dxa"/>
            <w:vAlign w:val="top"/>
          </w:tcPr>
          <w:p w14:paraId="01EAB2BC">
            <w:pPr>
              <w:spacing w:before="169" w:line="220" w:lineRule="auto"/>
              <w:ind w:left="81"/>
              <w:rPr>
                <w:rFonts w:ascii="宋体" w:hAnsi="宋体" w:eastAsia="宋体" w:cs="宋体"/>
                <w:sz w:val="20"/>
                <w:szCs w:val="20"/>
              </w:rPr>
            </w:pPr>
            <w:r>
              <w:rPr>
                <w:rFonts w:ascii="宋体" w:hAnsi="宋体" w:eastAsia="宋体" w:cs="宋体"/>
                <w:spacing w:val="-1"/>
                <w:sz w:val="20"/>
                <w:szCs w:val="20"/>
              </w:rPr>
              <w:t>2.进行标准化目标分析，确定标准化目标和要求</w:t>
            </w:r>
          </w:p>
          <w:p w14:paraId="7E2295DE">
            <w:pPr>
              <w:spacing w:before="109" w:line="219" w:lineRule="auto"/>
              <w:ind w:left="91"/>
              <w:rPr>
                <w:rFonts w:ascii="宋体" w:hAnsi="宋体" w:eastAsia="宋体" w:cs="宋体"/>
                <w:sz w:val="20"/>
                <w:szCs w:val="20"/>
              </w:rPr>
            </w:pPr>
            <w:r>
              <w:rPr>
                <w:rFonts w:ascii="宋体" w:hAnsi="宋体" w:eastAsia="宋体" w:cs="宋体"/>
                <w:sz w:val="20"/>
                <w:szCs w:val="20"/>
              </w:rPr>
              <w:t>3.研究提出型号标准化文件体系表和标准体系表</w:t>
            </w:r>
          </w:p>
          <w:p w14:paraId="25549797">
            <w:pPr>
              <w:spacing w:before="74" w:line="219" w:lineRule="auto"/>
              <w:ind w:left="71"/>
              <w:rPr>
                <w:rFonts w:ascii="宋体" w:hAnsi="宋体" w:eastAsia="宋体" w:cs="宋体"/>
                <w:sz w:val="20"/>
                <w:szCs w:val="20"/>
              </w:rPr>
            </w:pPr>
            <w:r>
              <w:rPr>
                <w:rFonts w:ascii="宋体" w:hAnsi="宋体" w:eastAsia="宋体" w:cs="宋体"/>
                <w:sz w:val="20"/>
                <w:szCs w:val="20"/>
              </w:rPr>
              <w:t>4.组织提出标准实施一般要求、管理办法</w:t>
            </w:r>
            <w:r>
              <w:rPr>
                <w:rFonts w:ascii="宋体" w:hAnsi="宋体" w:eastAsia="宋体" w:cs="宋体"/>
                <w:spacing w:val="-1"/>
                <w:sz w:val="20"/>
                <w:szCs w:val="20"/>
              </w:rPr>
              <w:t>和重大标准实施方案</w:t>
            </w:r>
          </w:p>
          <w:p w14:paraId="720F20E2">
            <w:pPr>
              <w:spacing w:before="132" w:line="219" w:lineRule="auto"/>
              <w:ind w:left="81"/>
              <w:rPr>
                <w:rFonts w:ascii="宋体" w:hAnsi="宋体" w:eastAsia="宋体" w:cs="宋体"/>
                <w:sz w:val="20"/>
                <w:szCs w:val="20"/>
              </w:rPr>
            </w:pPr>
            <w:r>
              <w:rPr>
                <w:rFonts w:ascii="宋体" w:hAnsi="宋体" w:eastAsia="宋体" w:cs="宋体"/>
                <w:sz w:val="20"/>
                <w:szCs w:val="20"/>
              </w:rPr>
              <w:t>5.组织提出产品“三化”设计要求，评审研制方案中的“三化”方案</w:t>
            </w:r>
          </w:p>
          <w:p w14:paraId="27ACAD4B">
            <w:pPr>
              <w:spacing w:before="111" w:line="219" w:lineRule="auto"/>
              <w:ind w:left="111"/>
              <w:rPr>
                <w:rFonts w:ascii="宋体" w:hAnsi="宋体" w:eastAsia="宋体" w:cs="宋体"/>
                <w:sz w:val="20"/>
                <w:szCs w:val="20"/>
              </w:rPr>
            </w:pPr>
            <w:r>
              <w:rPr>
                <w:rFonts w:ascii="宋体" w:hAnsi="宋体" w:eastAsia="宋体" w:cs="宋体"/>
                <w:sz w:val="20"/>
                <w:szCs w:val="20"/>
              </w:rPr>
              <w:t>6.编制标准选用范围，标准件、元器件、原材料选用范围</w:t>
            </w:r>
          </w:p>
          <w:p w14:paraId="06D24544">
            <w:pPr>
              <w:spacing w:before="115" w:line="219" w:lineRule="auto"/>
              <w:ind w:left="111"/>
              <w:rPr>
                <w:rFonts w:ascii="宋体" w:hAnsi="宋体" w:eastAsia="宋体" w:cs="宋体"/>
                <w:sz w:val="20"/>
                <w:szCs w:val="20"/>
              </w:rPr>
            </w:pPr>
            <w:r>
              <w:rPr>
                <w:rFonts w:ascii="宋体" w:hAnsi="宋体" w:eastAsia="宋体" w:cs="宋体"/>
                <w:sz w:val="20"/>
                <w:szCs w:val="20"/>
              </w:rPr>
              <w:t>7.组织标准化方案论证，编制产品标准化大纲</w:t>
            </w:r>
          </w:p>
          <w:p w14:paraId="07894C34">
            <w:pPr>
              <w:spacing w:before="112" w:line="219" w:lineRule="auto"/>
              <w:ind w:left="81"/>
              <w:rPr>
                <w:rFonts w:ascii="宋体" w:hAnsi="宋体" w:eastAsia="宋体" w:cs="宋体"/>
                <w:sz w:val="20"/>
                <w:szCs w:val="20"/>
              </w:rPr>
            </w:pPr>
            <w:r>
              <w:rPr>
                <w:rFonts w:ascii="宋体" w:hAnsi="宋体" w:eastAsia="宋体" w:cs="宋体"/>
                <w:spacing w:val="-1"/>
                <w:sz w:val="20"/>
                <w:szCs w:val="20"/>
              </w:rPr>
              <w:t>8.提出缺项标准制(修)订建议</w:t>
            </w:r>
          </w:p>
          <w:p w14:paraId="03386F1E">
            <w:pPr>
              <w:spacing w:before="103" w:line="219" w:lineRule="auto"/>
              <w:ind w:left="81"/>
              <w:rPr>
                <w:rFonts w:ascii="宋体" w:hAnsi="宋体" w:eastAsia="宋体" w:cs="宋体"/>
                <w:sz w:val="20"/>
                <w:szCs w:val="20"/>
              </w:rPr>
            </w:pPr>
            <w:r>
              <w:rPr>
                <w:rFonts w:ascii="宋体" w:hAnsi="宋体" w:eastAsia="宋体" w:cs="宋体"/>
                <w:spacing w:val="-1"/>
                <w:sz w:val="20"/>
                <w:szCs w:val="20"/>
              </w:rPr>
              <w:t>9.起草标准化管理文件、技术文件</w:t>
            </w:r>
          </w:p>
          <w:p w14:paraId="06B9AF3F">
            <w:pPr>
              <w:spacing w:before="113" w:line="219" w:lineRule="auto"/>
              <w:ind w:left="371"/>
              <w:rPr>
                <w:rFonts w:ascii="宋体" w:hAnsi="宋体" w:eastAsia="宋体" w:cs="宋体"/>
                <w:sz w:val="20"/>
                <w:szCs w:val="20"/>
              </w:rPr>
            </w:pPr>
            <w:r>
              <w:rPr>
                <w:rFonts w:ascii="宋体" w:hAnsi="宋体" w:eastAsia="宋体" w:cs="宋体"/>
                <w:spacing w:val="1"/>
                <w:sz w:val="20"/>
                <w:szCs w:val="20"/>
              </w:rPr>
              <w:t>1)标准化过程管理规定</w:t>
            </w:r>
          </w:p>
          <w:p w14:paraId="3C20D92C">
            <w:pPr>
              <w:spacing w:before="93" w:line="219" w:lineRule="auto"/>
              <w:ind w:left="371"/>
              <w:rPr>
                <w:rFonts w:ascii="宋体" w:hAnsi="宋体" w:eastAsia="宋体" w:cs="宋体"/>
                <w:sz w:val="20"/>
                <w:szCs w:val="20"/>
              </w:rPr>
            </w:pPr>
            <w:r>
              <w:rPr>
                <w:rFonts w:ascii="宋体" w:hAnsi="宋体" w:eastAsia="宋体" w:cs="宋体"/>
                <w:spacing w:val="-1"/>
                <w:sz w:val="20"/>
                <w:szCs w:val="20"/>
              </w:rPr>
              <w:t>2)设计文件编制要求等</w:t>
            </w:r>
          </w:p>
          <w:p w14:paraId="13F8B1E1">
            <w:pPr>
              <w:spacing w:before="122" w:line="219" w:lineRule="auto"/>
              <w:ind w:left="111"/>
              <w:rPr>
                <w:rFonts w:ascii="宋体" w:hAnsi="宋体" w:eastAsia="宋体" w:cs="宋体"/>
                <w:sz w:val="20"/>
                <w:szCs w:val="20"/>
              </w:rPr>
            </w:pPr>
            <w:r>
              <w:rPr>
                <w:rFonts w:ascii="宋体" w:hAnsi="宋体" w:eastAsia="宋体" w:cs="宋体"/>
                <w:spacing w:val="1"/>
                <w:sz w:val="20"/>
                <w:szCs w:val="20"/>
              </w:rPr>
              <w:t>10.组织标准化文件评审</w:t>
            </w:r>
          </w:p>
          <w:p w14:paraId="03F5F1EC">
            <w:pPr>
              <w:spacing w:before="93" w:line="219" w:lineRule="auto"/>
              <w:ind w:left="111"/>
              <w:rPr>
                <w:rFonts w:ascii="宋体" w:hAnsi="宋体" w:eastAsia="宋体" w:cs="宋体"/>
                <w:sz w:val="20"/>
                <w:szCs w:val="20"/>
              </w:rPr>
            </w:pPr>
            <w:r>
              <w:rPr>
                <w:rFonts w:ascii="宋体" w:hAnsi="宋体" w:eastAsia="宋体" w:cs="宋体"/>
                <w:sz w:val="20"/>
                <w:szCs w:val="20"/>
              </w:rPr>
              <w:t>11.编写方案阶段标准化工作小结</w:t>
            </w:r>
          </w:p>
        </w:tc>
      </w:tr>
      <w:tr w14:paraId="103FC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6" w:hRule="atLeast"/>
        </w:trPr>
        <w:tc>
          <w:tcPr>
            <w:tcW w:w="1044" w:type="dxa"/>
            <w:vAlign w:val="top"/>
          </w:tcPr>
          <w:p w14:paraId="2F8E714A">
            <w:pPr>
              <w:pStyle w:val="6"/>
              <w:spacing w:line="272" w:lineRule="auto"/>
            </w:pPr>
          </w:p>
          <w:p w14:paraId="3025E3FD">
            <w:pPr>
              <w:pStyle w:val="6"/>
              <w:spacing w:line="272" w:lineRule="auto"/>
            </w:pPr>
          </w:p>
          <w:p w14:paraId="3774A3B0">
            <w:pPr>
              <w:pStyle w:val="6"/>
              <w:spacing w:line="272" w:lineRule="auto"/>
            </w:pPr>
          </w:p>
          <w:p w14:paraId="2FC449DF">
            <w:pPr>
              <w:pStyle w:val="6"/>
              <w:spacing w:line="272" w:lineRule="auto"/>
            </w:pPr>
          </w:p>
          <w:p w14:paraId="764BF120">
            <w:pPr>
              <w:pStyle w:val="6"/>
              <w:spacing w:line="272" w:lineRule="auto"/>
            </w:pPr>
          </w:p>
          <w:p w14:paraId="743F2EE7">
            <w:pPr>
              <w:pStyle w:val="6"/>
              <w:spacing w:line="272" w:lineRule="auto"/>
            </w:pPr>
          </w:p>
          <w:p w14:paraId="511F9278">
            <w:pPr>
              <w:pStyle w:val="6"/>
              <w:spacing w:line="273" w:lineRule="auto"/>
            </w:pPr>
          </w:p>
          <w:p w14:paraId="34A864C6">
            <w:pPr>
              <w:spacing w:before="65" w:line="319" w:lineRule="auto"/>
              <w:ind w:left="315" w:right="301"/>
              <w:rPr>
                <w:rFonts w:ascii="宋体" w:hAnsi="宋体" w:eastAsia="宋体" w:cs="宋体"/>
                <w:sz w:val="20"/>
                <w:szCs w:val="20"/>
              </w:rPr>
            </w:pPr>
            <w:r>
              <w:rPr>
                <w:rFonts w:ascii="宋体" w:hAnsi="宋体" w:eastAsia="宋体" w:cs="宋体"/>
                <w:spacing w:val="-6"/>
                <w:sz w:val="20"/>
                <w:szCs w:val="20"/>
              </w:rPr>
              <w:t>工程</w:t>
            </w:r>
            <w:r>
              <w:rPr>
                <w:rFonts w:ascii="宋体" w:hAnsi="宋体" w:eastAsia="宋体" w:cs="宋体"/>
                <w:sz w:val="20"/>
                <w:szCs w:val="20"/>
              </w:rPr>
              <w:t xml:space="preserve"> </w:t>
            </w:r>
            <w:r>
              <w:rPr>
                <w:rFonts w:ascii="宋体" w:hAnsi="宋体" w:eastAsia="宋体" w:cs="宋体"/>
                <w:spacing w:val="8"/>
                <w:sz w:val="20"/>
                <w:szCs w:val="20"/>
              </w:rPr>
              <w:t>研制</w:t>
            </w:r>
          </w:p>
          <w:p w14:paraId="7EAF1800">
            <w:pPr>
              <w:spacing w:line="220" w:lineRule="auto"/>
              <w:ind w:left="315"/>
              <w:rPr>
                <w:rFonts w:ascii="宋体" w:hAnsi="宋体" w:eastAsia="宋体" w:cs="宋体"/>
                <w:sz w:val="20"/>
                <w:szCs w:val="20"/>
              </w:rPr>
            </w:pPr>
            <w:r>
              <w:rPr>
                <w:rFonts w:ascii="宋体" w:hAnsi="宋体" w:eastAsia="宋体" w:cs="宋体"/>
                <w:spacing w:val="3"/>
                <w:sz w:val="20"/>
                <w:szCs w:val="20"/>
              </w:rPr>
              <w:t>阶段</w:t>
            </w:r>
          </w:p>
        </w:tc>
        <w:tc>
          <w:tcPr>
            <w:tcW w:w="8326" w:type="dxa"/>
            <w:vAlign w:val="top"/>
          </w:tcPr>
          <w:p w14:paraId="2EA47F12">
            <w:pPr>
              <w:spacing w:before="282" w:line="219" w:lineRule="auto"/>
              <w:ind w:left="111"/>
              <w:rPr>
                <w:rFonts w:ascii="宋体" w:hAnsi="宋体" w:eastAsia="宋体" w:cs="宋体"/>
                <w:sz w:val="20"/>
                <w:szCs w:val="20"/>
              </w:rPr>
            </w:pPr>
            <w:r>
              <w:rPr>
                <w:rFonts w:ascii="宋体" w:hAnsi="宋体" w:eastAsia="宋体" w:cs="宋体"/>
                <w:spacing w:val="1"/>
                <w:sz w:val="20"/>
                <w:szCs w:val="20"/>
              </w:rPr>
              <w:t>1.编制工程研制阶段工作计划</w:t>
            </w:r>
          </w:p>
          <w:p w14:paraId="1583F8DA">
            <w:pPr>
              <w:spacing w:before="111" w:line="219" w:lineRule="auto"/>
              <w:ind w:left="371"/>
              <w:rPr>
                <w:rFonts w:ascii="宋体" w:hAnsi="宋体" w:eastAsia="宋体" w:cs="宋体"/>
                <w:sz w:val="20"/>
                <w:szCs w:val="20"/>
              </w:rPr>
            </w:pPr>
            <w:r>
              <w:rPr>
                <w:rFonts w:ascii="宋体" w:hAnsi="宋体" w:eastAsia="宋体" w:cs="宋体"/>
                <w:spacing w:val="1"/>
                <w:sz w:val="20"/>
                <w:szCs w:val="20"/>
              </w:rPr>
              <w:t>1)研究课题实施计划</w:t>
            </w:r>
          </w:p>
          <w:p w14:paraId="34F48C94">
            <w:pPr>
              <w:spacing w:before="94" w:line="219" w:lineRule="auto"/>
              <w:ind w:left="371"/>
              <w:rPr>
                <w:rFonts w:ascii="宋体" w:hAnsi="宋体" w:eastAsia="宋体" w:cs="宋体"/>
                <w:sz w:val="20"/>
                <w:szCs w:val="20"/>
              </w:rPr>
            </w:pPr>
            <w:r>
              <w:rPr>
                <w:rFonts w:ascii="宋体" w:hAnsi="宋体" w:eastAsia="宋体" w:cs="宋体"/>
                <w:spacing w:val="1"/>
                <w:sz w:val="20"/>
                <w:szCs w:val="20"/>
              </w:rPr>
              <w:t>2)文件制定计划</w:t>
            </w:r>
          </w:p>
          <w:p w14:paraId="01373E3E">
            <w:pPr>
              <w:spacing w:before="112" w:line="219" w:lineRule="auto"/>
              <w:ind w:left="371"/>
              <w:rPr>
                <w:rFonts w:ascii="宋体" w:hAnsi="宋体" w:eastAsia="宋体" w:cs="宋体"/>
                <w:sz w:val="20"/>
                <w:szCs w:val="20"/>
              </w:rPr>
            </w:pPr>
            <w:r>
              <w:rPr>
                <w:rFonts w:ascii="宋体" w:hAnsi="宋体" w:eastAsia="宋体" w:cs="宋体"/>
                <w:spacing w:val="1"/>
                <w:sz w:val="20"/>
                <w:szCs w:val="20"/>
              </w:rPr>
              <w:t>3)年度工作计划</w:t>
            </w:r>
          </w:p>
          <w:p w14:paraId="690005FD">
            <w:pPr>
              <w:spacing w:before="102" w:line="219" w:lineRule="auto"/>
              <w:ind w:left="81"/>
              <w:rPr>
                <w:rFonts w:ascii="宋体" w:hAnsi="宋体" w:eastAsia="宋体" w:cs="宋体"/>
                <w:sz w:val="20"/>
                <w:szCs w:val="20"/>
              </w:rPr>
            </w:pPr>
            <w:r>
              <w:rPr>
                <w:rFonts w:ascii="宋体" w:hAnsi="宋体" w:eastAsia="宋体" w:cs="宋体"/>
                <w:spacing w:val="-1"/>
                <w:sz w:val="20"/>
                <w:szCs w:val="20"/>
              </w:rPr>
              <w:t>2.编制或补充完善各类型号标准化文件</w:t>
            </w:r>
          </w:p>
          <w:p w14:paraId="312BD5FB">
            <w:pPr>
              <w:spacing w:before="113" w:line="219" w:lineRule="auto"/>
              <w:ind w:left="371"/>
              <w:rPr>
                <w:rFonts w:ascii="宋体" w:hAnsi="宋体" w:eastAsia="宋体" w:cs="宋体"/>
                <w:sz w:val="20"/>
                <w:szCs w:val="20"/>
              </w:rPr>
            </w:pPr>
            <w:r>
              <w:rPr>
                <w:rFonts w:ascii="宋体" w:hAnsi="宋体" w:eastAsia="宋体" w:cs="宋体"/>
                <w:sz w:val="20"/>
                <w:szCs w:val="20"/>
              </w:rPr>
              <w:t>1)各种大纲支持文件</w:t>
            </w:r>
          </w:p>
          <w:p w14:paraId="56F983D0">
            <w:pPr>
              <w:spacing w:before="93" w:line="220" w:lineRule="auto"/>
              <w:ind w:left="371"/>
              <w:rPr>
                <w:rFonts w:ascii="宋体" w:hAnsi="宋体" w:eastAsia="宋体" w:cs="宋体"/>
                <w:sz w:val="20"/>
                <w:szCs w:val="20"/>
              </w:rPr>
            </w:pPr>
            <w:r>
              <w:rPr>
                <w:rFonts w:ascii="宋体" w:hAnsi="宋体" w:eastAsia="宋体" w:cs="宋体"/>
                <w:spacing w:val="-1"/>
                <w:sz w:val="20"/>
                <w:szCs w:val="20"/>
              </w:rPr>
              <w:t>2)工艺标准化综合要求</w:t>
            </w:r>
          </w:p>
          <w:p w14:paraId="7B40BE16">
            <w:pPr>
              <w:spacing w:before="112" w:line="220" w:lineRule="auto"/>
              <w:ind w:left="371"/>
              <w:rPr>
                <w:rFonts w:ascii="宋体" w:hAnsi="宋体" w:eastAsia="宋体" w:cs="宋体"/>
                <w:sz w:val="20"/>
                <w:szCs w:val="20"/>
              </w:rPr>
            </w:pPr>
            <w:r>
              <w:rPr>
                <w:rFonts w:ascii="宋体" w:hAnsi="宋体" w:eastAsia="宋体" w:cs="宋体"/>
                <w:sz w:val="20"/>
                <w:szCs w:val="20"/>
              </w:rPr>
              <w:t>3)组织协调实施中有关问题</w:t>
            </w:r>
          </w:p>
          <w:p w14:paraId="5868248C">
            <w:pPr>
              <w:spacing w:before="101" w:line="219" w:lineRule="auto"/>
              <w:ind w:left="111"/>
              <w:rPr>
                <w:rFonts w:ascii="宋体" w:hAnsi="宋体" w:eastAsia="宋体" w:cs="宋体"/>
                <w:sz w:val="20"/>
                <w:szCs w:val="20"/>
              </w:rPr>
            </w:pPr>
            <w:r>
              <w:rPr>
                <w:rFonts w:ascii="宋体" w:hAnsi="宋体" w:eastAsia="宋体" w:cs="宋体"/>
                <w:sz w:val="20"/>
                <w:szCs w:val="20"/>
              </w:rPr>
              <w:t>3.组织“三化”方案实施，监督和检查</w:t>
            </w:r>
          </w:p>
          <w:p w14:paraId="48F7FF73">
            <w:pPr>
              <w:spacing w:before="82" w:line="219" w:lineRule="auto"/>
              <w:ind w:left="371"/>
              <w:rPr>
                <w:rFonts w:ascii="宋体" w:hAnsi="宋体" w:eastAsia="宋体" w:cs="宋体"/>
                <w:sz w:val="20"/>
                <w:szCs w:val="20"/>
              </w:rPr>
            </w:pPr>
            <w:r>
              <w:rPr>
                <w:rFonts w:ascii="宋体" w:hAnsi="宋体" w:eastAsia="宋体" w:cs="宋体"/>
                <w:sz w:val="20"/>
                <w:szCs w:val="20"/>
              </w:rPr>
              <w:t>检查“三化”要求的落实，推动、协调和检查</w:t>
            </w:r>
            <w:r>
              <w:rPr>
                <w:rFonts w:ascii="宋体" w:hAnsi="宋体" w:eastAsia="宋体" w:cs="宋体"/>
                <w:spacing w:val="-1"/>
                <w:sz w:val="20"/>
                <w:szCs w:val="20"/>
              </w:rPr>
              <w:t>“三化”方案的实施</w:t>
            </w:r>
          </w:p>
          <w:p w14:paraId="454A415F">
            <w:pPr>
              <w:spacing w:before="113" w:line="219" w:lineRule="auto"/>
              <w:ind w:left="91"/>
              <w:rPr>
                <w:rFonts w:ascii="宋体" w:hAnsi="宋体" w:eastAsia="宋体" w:cs="宋体"/>
                <w:sz w:val="20"/>
                <w:szCs w:val="20"/>
              </w:rPr>
            </w:pPr>
            <w:r>
              <w:rPr>
                <w:rFonts w:ascii="宋体" w:hAnsi="宋体" w:eastAsia="宋体" w:cs="宋体"/>
                <w:sz w:val="20"/>
                <w:szCs w:val="20"/>
              </w:rPr>
              <w:t>4.开展图样和技术文件的标准化检查，记实和反馈标准实施的信息</w:t>
            </w:r>
          </w:p>
          <w:p w14:paraId="3EC9726B">
            <w:pPr>
              <w:spacing w:before="103" w:line="219" w:lineRule="auto"/>
              <w:ind w:left="101"/>
              <w:rPr>
                <w:rFonts w:ascii="宋体" w:hAnsi="宋体" w:eastAsia="宋体" w:cs="宋体"/>
                <w:sz w:val="20"/>
                <w:szCs w:val="20"/>
              </w:rPr>
            </w:pPr>
            <w:r>
              <w:rPr>
                <w:rFonts w:ascii="宋体" w:hAnsi="宋体" w:eastAsia="宋体" w:cs="宋体"/>
                <w:sz w:val="20"/>
                <w:szCs w:val="20"/>
              </w:rPr>
              <w:t>5.组织标准实施和产品标准化大纲实施评审，参与组织“三化”方案实施的评审</w:t>
            </w:r>
          </w:p>
          <w:p w14:paraId="6C1B866C">
            <w:pPr>
              <w:spacing w:before="133" w:line="220" w:lineRule="auto"/>
              <w:ind w:left="111"/>
              <w:rPr>
                <w:rFonts w:ascii="宋体" w:hAnsi="宋体" w:eastAsia="宋体" w:cs="宋体"/>
                <w:sz w:val="20"/>
                <w:szCs w:val="20"/>
              </w:rPr>
            </w:pPr>
            <w:r>
              <w:rPr>
                <w:rFonts w:ascii="宋体" w:hAnsi="宋体" w:eastAsia="宋体" w:cs="宋体"/>
                <w:sz w:val="20"/>
                <w:szCs w:val="20"/>
              </w:rPr>
              <w:t>6.进行工程研制阶段标准化工作小结</w:t>
            </w:r>
          </w:p>
        </w:tc>
      </w:tr>
      <w:tr w14:paraId="26CAD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2" w:hRule="atLeast"/>
        </w:trPr>
        <w:tc>
          <w:tcPr>
            <w:tcW w:w="1044" w:type="dxa"/>
            <w:vAlign w:val="top"/>
          </w:tcPr>
          <w:p w14:paraId="21E547ED">
            <w:pPr>
              <w:pStyle w:val="6"/>
              <w:spacing w:line="296" w:lineRule="auto"/>
            </w:pPr>
          </w:p>
          <w:p w14:paraId="0AF9D0B1">
            <w:pPr>
              <w:pStyle w:val="6"/>
              <w:spacing w:line="296" w:lineRule="auto"/>
            </w:pPr>
          </w:p>
          <w:p w14:paraId="1F67BC82">
            <w:pPr>
              <w:pStyle w:val="6"/>
              <w:spacing w:line="296" w:lineRule="auto"/>
            </w:pPr>
          </w:p>
          <w:p w14:paraId="336CC7A1">
            <w:pPr>
              <w:pStyle w:val="6"/>
              <w:spacing w:line="297" w:lineRule="auto"/>
            </w:pPr>
          </w:p>
          <w:p w14:paraId="1E0F17FB">
            <w:pPr>
              <w:spacing w:before="65" w:line="221" w:lineRule="auto"/>
              <w:ind w:left="315"/>
              <w:rPr>
                <w:rFonts w:ascii="宋体" w:hAnsi="宋体" w:eastAsia="宋体" w:cs="宋体"/>
                <w:sz w:val="20"/>
                <w:szCs w:val="20"/>
              </w:rPr>
            </w:pPr>
            <w:r>
              <w:rPr>
                <w:rFonts w:ascii="宋体" w:hAnsi="宋体" w:eastAsia="宋体" w:cs="宋体"/>
                <w:spacing w:val="-3"/>
                <w:sz w:val="20"/>
                <w:szCs w:val="20"/>
              </w:rPr>
              <w:t>设计</w:t>
            </w:r>
          </w:p>
          <w:p w14:paraId="192D6F68">
            <w:pPr>
              <w:spacing w:before="100" w:line="220" w:lineRule="auto"/>
              <w:ind w:left="315"/>
              <w:rPr>
                <w:rFonts w:ascii="宋体" w:hAnsi="宋体" w:eastAsia="宋体" w:cs="宋体"/>
                <w:sz w:val="20"/>
                <w:szCs w:val="20"/>
              </w:rPr>
            </w:pPr>
            <w:r>
              <w:rPr>
                <w:rFonts w:ascii="宋体" w:hAnsi="宋体" w:eastAsia="宋体" w:cs="宋体"/>
                <w:spacing w:val="6"/>
                <w:sz w:val="20"/>
                <w:szCs w:val="20"/>
              </w:rPr>
              <w:t>定型</w:t>
            </w:r>
          </w:p>
          <w:p w14:paraId="2D9FA315">
            <w:pPr>
              <w:spacing w:before="111" w:line="220" w:lineRule="auto"/>
              <w:ind w:left="215"/>
              <w:rPr>
                <w:rFonts w:ascii="宋体" w:hAnsi="宋体" w:eastAsia="宋体" w:cs="宋体"/>
                <w:sz w:val="20"/>
                <w:szCs w:val="20"/>
              </w:rPr>
            </w:pPr>
            <w:r>
              <w:rPr>
                <w:rFonts w:ascii="宋体" w:hAnsi="宋体" w:eastAsia="宋体" w:cs="宋体"/>
                <w:spacing w:val="10"/>
                <w:sz w:val="20"/>
                <w:szCs w:val="20"/>
              </w:rPr>
              <w:t>(鉴定)</w:t>
            </w:r>
          </w:p>
          <w:p w14:paraId="27C5DC64">
            <w:pPr>
              <w:spacing w:before="92" w:line="221" w:lineRule="auto"/>
              <w:ind w:left="315"/>
              <w:rPr>
                <w:rFonts w:ascii="宋体" w:hAnsi="宋体" w:eastAsia="宋体" w:cs="宋体"/>
                <w:sz w:val="20"/>
                <w:szCs w:val="20"/>
              </w:rPr>
            </w:pPr>
            <w:r>
              <w:rPr>
                <w:rFonts w:ascii="宋体" w:hAnsi="宋体" w:eastAsia="宋体" w:cs="宋体"/>
                <w:spacing w:val="3"/>
                <w:sz w:val="20"/>
                <w:szCs w:val="20"/>
              </w:rPr>
              <w:t>阶段</w:t>
            </w:r>
          </w:p>
        </w:tc>
        <w:tc>
          <w:tcPr>
            <w:tcW w:w="8326" w:type="dxa"/>
            <w:vAlign w:val="top"/>
          </w:tcPr>
          <w:p w14:paraId="01B412DA">
            <w:pPr>
              <w:spacing w:before="246" w:line="220" w:lineRule="auto"/>
              <w:ind w:left="111"/>
              <w:rPr>
                <w:rFonts w:ascii="宋体" w:hAnsi="宋体" w:eastAsia="宋体" w:cs="宋体"/>
                <w:sz w:val="20"/>
                <w:szCs w:val="20"/>
              </w:rPr>
            </w:pPr>
            <w:r>
              <w:rPr>
                <w:rFonts w:ascii="宋体" w:hAnsi="宋体" w:eastAsia="宋体" w:cs="宋体"/>
                <w:spacing w:val="1"/>
                <w:sz w:val="20"/>
                <w:szCs w:val="20"/>
              </w:rPr>
              <w:t>1.制定设计定型阶段工作计划</w:t>
            </w:r>
          </w:p>
          <w:p w14:paraId="1055E4A9">
            <w:pPr>
              <w:spacing w:before="111" w:line="219" w:lineRule="auto"/>
              <w:ind w:left="81"/>
              <w:rPr>
                <w:rFonts w:ascii="宋体" w:hAnsi="宋体" w:eastAsia="宋体" w:cs="宋体"/>
                <w:sz w:val="20"/>
                <w:szCs w:val="20"/>
              </w:rPr>
            </w:pPr>
            <w:r>
              <w:rPr>
                <w:rFonts w:ascii="宋体" w:hAnsi="宋体" w:eastAsia="宋体" w:cs="宋体"/>
                <w:spacing w:val="-1"/>
                <w:sz w:val="20"/>
                <w:szCs w:val="20"/>
              </w:rPr>
              <w:t>2.编制设计定型阶段相关文件</w:t>
            </w:r>
          </w:p>
          <w:p w14:paraId="5ADA6D8E">
            <w:pPr>
              <w:spacing w:before="103" w:line="220" w:lineRule="auto"/>
              <w:ind w:left="371"/>
              <w:rPr>
                <w:rFonts w:ascii="宋体" w:hAnsi="宋体" w:eastAsia="宋体" w:cs="宋体"/>
                <w:sz w:val="20"/>
                <w:szCs w:val="20"/>
              </w:rPr>
            </w:pPr>
            <w:r>
              <w:rPr>
                <w:rFonts w:ascii="宋体" w:hAnsi="宋体" w:eastAsia="宋体" w:cs="宋体"/>
                <w:sz w:val="20"/>
                <w:szCs w:val="20"/>
              </w:rPr>
              <w:t>1)设计定型标准化要求</w:t>
            </w:r>
          </w:p>
          <w:p w14:paraId="25268EC0">
            <w:pPr>
              <w:spacing w:before="69" w:line="219" w:lineRule="auto"/>
              <w:ind w:left="371"/>
              <w:rPr>
                <w:rFonts w:ascii="宋体" w:hAnsi="宋体" w:eastAsia="宋体" w:cs="宋体"/>
                <w:sz w:val="20"/>
                <w:szCs w:val="20"/>
              </w:rPr>
            </w:pPr>
            <w:r>
              <w:rPr>
                <w:rFonts w:ascii="宋体" w:hAnsi="宋体" w:eastAsia="宋体" w:cs="宋体"/>
                <w:sz w:val="20"/>
                <w:szCs w:val="20"/>
              </w:rPr>
              <w:t>2)修订提出设计定型用标准选用范围，标准件、元器件、原材料选用范围</w:t>
            </w:r>
          </w:p>
          <w:p w14:paraId="58011E9D">
            <w:pPr>
              <w:spacing w:before="134" w:line="219" w:lineRule="auto"/>
              <w:ind w:left="371"/>
              <w:rPr>
                <w:rFonts w:ascii="宋体" w:hAnsi="宋体" w:eastAsia="宋体" w:cs="宋体"/>
                <w:sz w:val="20"/>
                <w:szCs w:val="20"/>
              </w:rPr>
            </w:pPr>
            <w:r>
              <w:rPr>
                <w:rFonts w:ascii="宋体" w:hAnsi="宋体" w:eastAsia="宋体" w:cs="宋体"/>
                <w:sz w:val="20"/>
                <w:szCs w:val="20"/>
              </w:rPr>
              <w:t>3)修订型号标准化文件</w:t>
            </w:r>
          </w:p>
          <w:p w14:paraId="57631DE8">
            <w:pPr>
              <w:spacing w:before="92" w:line="219" w:lineRule="auto"/>
              <w:ind w:left="91"/>
              <w:rPr>
                <w:rFonts w:ascii="宋体" w:hAnsi="宋体" w:eastAsia="宋体" w:cs="宋体"/>
                <w:sz w:val="20"/>
                <w:szCs w:val="20"/>
              </w:rPr>
            </w:pPr>
            <w:r>
              <w:rPr>
                <w:rFonts w:ascii="宋体" w:hAnsi="宋体" w:eastAsia="宋体" w:cs="宋体"/>
                <w:spacing w:val="1"/>
                <w:sz w:val="20"/>
                <w:szCs w:val="20"/>
              </w:rPr>
              <w:t>3.全面检查型号标准化工作</w:t>
            </w:r>
          </w:p>
          <w:p w14:paraId="641FDF22">
            <w:pPr>
              <w:spacing w:before="113" w:line="219" w:lineRule="auto"/>
              <w:ind w:left="371"/>
              <w:rPr>
                <w:rFonts w:ascii="宋体" w:hAnsi="宋体" w:eastAsia="宋体" w:cs="宋体"/>
                <w:sz w:val="20"/>
                <w:szCs w:val="20"/>
              </w:rPr>
            </w:pPr>
            <w:r>
              <w:rPr>
                <w:rFonts w:ascii="宋体" w:hAnsi="宋体" w:eastAsia="宋体" w:cs="宋体"/>
                <w:sz w:val="20"/>
                <w:szCs w:val="20"/>
              </w:rPr>
              <w:t>1)全面检查标准实施情况</w:t>
            </w:r>
          </w:p>
          <w:p w14:paraId="7FE2BBEB">
            <w:pPr>
              <w:spacing w:before="103" w:line="219" w:lineRule="auto"/>
              <w:ind w:left="371"/>
              <w:rPr>
                <w:rFonts w:ascii="宋体" w:hAnsi="宋体" w:eastAsia="宋体" w:cs="宋体"/>
                <w:sz w:val="20"/>
                <w:szCs w:val="20"/>
              </w:rPr>
            </w:pPr>
            <w:r>
              <w:rPr>
                <w:rFonts w:ascii="宋体" w:hAnsi="宋体" w:eastAsia="宋体" w:cs="宋体"/>
                <w:spacing w:val="1"/>
                <w:sz w:val="20"/>
                <w:szCs w:val="20"/>
              </w:rPr>
              <w:t>2)检查产品“三化”工作</w:t>
            </w:r>
          </w:p>
          <w:p w14:paraId="3888F5E8">
            <w:pPr>
              <w:spacing w:before="101" w:line="219" w:lineRule="auto"/>
              <w:ind w:left="371"/>
              <w:rPr>
                <w:rFonts w:ascii="宋体" w:hAnsi="宋体" w:eastAsia="宋体" w:cs="宋体"/>
                <w:sz w:val="20"/>
                <w:szCs w:val="20"/>
              </w:rPr>
            </w:pPr>
            <w:r>
              <w:rPr>
                <w:rFonts w:ascii="宋体" w:hAnsi="宋体" w:eastAsia="宋体" w:cs="宋体"/>
                <w:sz w:val="20"/>
                <w:szCs w:val="20"/>
              </w:rPr>
              <w:t>3)督促“三化”设计试验验证</w:t>
            </w:r>
          </w:p>
          <w:p w14:paraId="7016BB87">
            <w:pPr>
              <w:spacing w:before="93" w:line="218" w:lineRule="auto"/>
              <w:ind w:left="371"/>
              <w:rPr>
                <w:rFonts w:ascii="宋体" w:hAnsi="宋体" w:eastAsia="宋体" w:cs="宋体"/>
                <w:sz w:val="20"/>
                <w:szCs w:val="20"/>
              </w:rPr>
            </w:pPr>
            <w:r>
              <w:rPr>
                <w:rFonts w:ascii="宋体" w:hAnsi="宋体" w:eastAsia="宋体" w:cs="宋体"/>
                <w:spacing w:val="-1"/>
                <w:sz w:val="20"/>
                <w:szCs w:val="20"/>
              </w:rPr>
              <w:t>4)分析与评估标准化效果</w:t>
            </w:r>
          </w:p>
        </w:tc>
      </w:tr>
    </w:tbl>
    <w:p w14:paraId="11A045DD">
      <w:pPr>
        <w:rPr>
          <w:rFonts w:ascii="Arial"/>
          <w:sz w:val="21"/>
        </w:rPr>
      </w:pPr>
    </w:p>
    <w:p w14:paraId="6B2C4106">
      <w:pPr>
        <w:rPr>
          <w:rFonts w:ascii="Arial" w:hAnsi="Arial" w:eastAsia="Arial" w:cs="Arial"/>
          <w:sz w:val="21"/>
          <w:szCs w:val="21"/>
        </w:rPr>
        <w:sectPr>
          <w:footerReference r:id="rId303" w:type="default"/>
          <w:pgSz w:w="11910" w:h="17130"/>
          <w:pgMar w:top="1445" w:right="1004" w:bottom="1673" w:left="1524" w:header="0" w:footer="1474" w:gutter="0"/>
          <w:cols w:space="720" w:num="1"/>
        </w:sectPr>
      </w:pPr>
    </w:p>
    <w:p w14:paraId="03FC3B06">
      <w:pPr>
        <w:pStyle w:val="2"/>
        <w:spacing w:before="40" w:line="220" w:lineRule="auto"/>
        <w:ind w:left="8800"/>
        <w:rPr>
          <w:sz w:val="20"/>
          <w:szCs w:val="20"/>
        </w:rPr>
      </w:pPr>
      <w:r>
        <w:rPr>
          <w:spacing w:val="14"/>
          <w:sz w:val="20"/>
          <w:szCs w:val="20"/>
        </w:rPr>
        <w:t>(续)</w:t>
      </w:r>
    </w:p>
    <w:p w14:paraId="58423488">
      <w:pPr>
        <w:spacing w:line="167" w:lineRule="exact"/>
      </w:pPr>
    </w:p>
    <w:tbl>
      <w:tblPr>
        <w:tblStyle w:val="5"/>
        <w:tblW w:w="935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3"/>
        <w:gridCol w:w="8316"/>
      </w:tblGrid>
      <w:tr w14:paraId="6A205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3" w:type="dxa"/>
            <w:vAlign w:val="top"/>
          </w:tcPr>
          <w:p w14:paraId="5E00CFBB">
            <w:pPr>
              <w:spacing w:before="103" w:line="220" w:lineRule="auto"/>
              <w:ind w:left="94"/>
              <w:rPr>
                <w:rFonts w:ascii="宋体" w:hAnsi="宋体" w:eastAsia="宋体" w:cs="宋体"/>
                <w:sz w:val="20"/>
                <w:szCs w:val="20"/>
              </w:rPr>
            </w:pPr>
            <w:r>
              <w:rPr>
                <w:rFonts w:ascii="宋体" w:hAnsi="宋体" w:eastAsia="宋体" w:cs="宋体"/>
                <w:spacing w:val="-2"/>
                <w:sz w:val="20"/>
                <w:szCs w:val="20"/>
              </w:rPr>
              <w:t>研制阶段</w:t>
            </w:r>
          </w:p>
        </w:tc>
        <w:tc>
          <w:tcPr>
            <w:tcW w:w="8316" w:type="dxa"/>
            <w:vAlign w:val="top"/>
          </w:tcPr>
          <w:p w14:paraId="0FBD4AED">
            <w:pPr>
              <w:spacing w:before="103" w:line="219" w:lineRule="auto"/>
              <w:ind w:left="3521"/>
              <w:rPr>
                <w:rFonts w:ascii="宋体" w:hAnsi="宋体" w:eastAsia="宋体" w:cs="宋体"/>
                <w:sz w:val="20"/>
                <w:szCs w:val="20"/>
              </w:rPr>
            </w:pPr>
            <w:r>
              <w:rPr>
                <w:rFonts w:ascii="宋体" w:hAnsi="宋体" w:eastAsia="宋体" w:cs="宋体"/>
                <w:spacing w:val="-2"/>
                <w:sz w:val="20"/>
                <w:szCs w:val="20"/>
              </w:rPr>
              <w:t>主要工作内容</w:t>
            </w:r>
          </w:p>
        </w:tc>
      </w:tr>
      <w:tr w14:paraId="6D506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1043" w:type="dxa"/>
            <w:vAlign w:val="top"/>
          </w:tcPr>
          <w:p w14:paraId="219904F2">
            <w:pPr>
              <w:pStyle w:val="6"/>
            </w:pPr>
          </w:p>
        </w:tc>
        <w:tc>
          <w:tcPr>
            <w:tcW w:w="8316" w:type="dxa"/>
            <w:vAlign w:val="top"/>
          </w:tcPr>
          <w:p w14:paraId="1598FB69">
            <w:pPr>
              <w:spacing w:before="181" w:line="219" w:lineRule="auto"/>
              <w:ind w:left="92"/>
              <w:rPr>
                <w:rFonts w:ascii="宋体" w:hAnsi="宋体" w:eastAsia="宋体" w:cs="宋体"/>
                <w:sz w:val="20"/>
                <w:szCs w:val="20"/>
              </w:rPr>
            </w:pPr>
            <w:r>
              <w:rPr>
                <w:rFonts w:ascii="宋体" w:hAnsi="宋体" w:eastAsia="宋体" w:cs="宋体"/>
                <w:spacing w:val="-1"/>
                <w:sz w:val="20"/>
                <w:szCs w:val="20"/>
              </w:rPr>
              <w:t>4.进行设计定型图样和技术文件标准化检查</w:t>
            </w:r>
          </w:p>
          <w:p w14:paraId="1FE711AD">
            <w:pPr>
              <w:spacing w:before="99" w:line="216" w:lineRule="auto"/>
              <w:ind w:left="102"/>
              <w:rPr>
                <w:rFonts w:ascii="宋体" w:hAnsi="宋体" w:eastAsia="宋体" w:cs="宋体"/>
                <w:sz w:val="20"/>
                <w:szCs w:val="20"/>
              </w:rPr>
            </w:pPr>
            <w:r>
              <w:rPr>
                <w:rFonts w:ascii="宋体" w:hAnsi="宋体" w:eastAsia="宋体" w:cs="宋体"/>
                <w:sz w:val="20"/>
                <w:szCs w:val="20"/>
              </w:rPr>
              <w:t>5.进行产品标准化大纲终结评审，编写“设计定型(鉴定)标准化审查报告”,参与设计定型</w:t>
            </w:r>
          </w:p>
          <w:p w14:paraId="35F30D47">
            <w:pPr>
              <w:spacing w:before="99" w:line="220" w:lineRule="auto"/>
              <w:ind w:left="92"/>
              <w:rPr>
                <w:rFonts w:ascii="宋体" w:hAnsi="宋体" w:eastAsia="宋体" w:cs="宋体"/>
                <w:sz w:val="20"/>
                <w:szCs w:val="20"/>
              </w:rPr>
            </w:pPr>
            <w:r>
              <w:rPr>
                <w:rFonts w:ascii="宋体" w:hAnsi="宋体" w:eastAsia="宋体" w:cs="宋体"/>
                <w:sz w:val="20"/>
                <w:szCs w:val="20"/>
              </w:rPr>
              <w:t>6.对型号标准化工作进行全面总结</w:t>
            </w:r>
          </w:p>
        </w:tc>
      </w:tr>
    </w:tbl>
    <w:p w14:paraId="37DE18B2">
      <w:pPr>
        <w:spacing w:line="250" w:lineRule="auto"/>
        <w:rPr>
          <w:rFonts w:ascii="Arial"/>
          <w:sz w:val="21"/>
        </w:rPr>
      </w:pPr>
    </w:p>
    <w:p w14:paraId="534F7B4E">
      <w:pPr>
        <w:spacing w:before="78" w:line="222" w:lineRule="auto"/>
        <w:outlineLvl w:val="3"/>
        <w:rPr>
          <w:rFonts w:ascii="黑体" w:hAnsi="黑体" w:eastAsia="黑体" w:cs="黑体"/>
          <w:sz w:val="24"/>
          <w:szCs w:val="24"/>
        </w:rPr>
      </w:pPr>
      <w:r>
        <w:rPr>
          <w:rFonts w:ascii="Arial" w:hAnsi="Arial" w:eastAsia="Arial" w:cs="Arial"/>
          <w:b/>
          <w:bCs/>
          <w:spacing w:val="23"/>
          <w:sz w:val="24"/>
          <w:szCs w:val="24"/>
        </w:rPr>
        <w:t xml:space="preserve">8    </w:t>
      </w:r>
      <w:r>
        <w:rPr>
          <w:rFonts w:ascii="黑体" w:hAnsi="黑体" w:eastAsia="黑体" w:cs="黑体"/>
          <w:b/>
          <w:bCs/>
          <w:spacing w:val="23"/>
          <w:sz w:val="24"/>
          <w:szCs w:val="24"/>
        </w:rPr>
        <w:t>标准化工作协调管理要求</w:t>
      </w:r>
    </w:p>
    <w:p w14:paraId="670FBB63">
      <w:pPr>
        <w:pStyle w:val="2"/>
        <w:spacing w:before="167" w:line="219" w:lineRule="auto"/>
        <w:ind w:left="580"/>
      </w:pPr>
      <w:r>
        <w:rPr>
          <w:spacing w:val="-6"/>
        </w:rPr>
        <w:t>对复杂的系统、分系统，一般应编制标准化工作协调管理要求。</w:t>
      </w:r>
    </w:p>
    <w:p w14:paraId="3810E0F9">
      <w:pPr>
        <w:pStyle w:val="2"/>
        <w:spacing w:before="109" w:line="219" w:lineRule="auto"/>
        <w:ind w:left="580"/>
      </w:pPr>
      <w:r>
        <w:rPr>
          <w:spacing w:val="3"/>
        </w:rPr>
        <w:t>标准化工作协调管理一般应包括下列内容：</w:t>
      </w:r>
    </w:p>
    <w:p w14:paraId="79D6F5D5">
      <w:pPr>
        <w:pStyle w:val="2"/>
        <w:spacing w:before="111" w:line="220" w:lineRule="auto"/>
        <w:ind w:left="580"/>
      </w:pPr>
      <w:r>
        <w:rPr>
          <w:rFonts w:ascii="Times New Roman" w:hAnsi="Times New Roman" w:eastAsia="Times New Roman" w:cs="Times New Roman"/>
          <w:spacing w:val="8"/>
        </w:rPr>
        <w:t>a</w:t>
      </w:r>
      <w:r>
        <w:rPr>
          <w:spacing w:val="8"/>
        </w:rPr>
        <w:t>)标准化工作协调的原则要求；</w:t>
      </w:r>
    </w:p>
    <w:p w14:paraId="28C4EBB9">
      <w:pPr>
        <w:pStyle w:val="2"/>
        <w:spacing w:before="56" w:line="212" w:lineRule="auto"/>
        <w:ind w:left="580"/>
      </w:pPr>
      <w:r>
        <w:rPr>
          <w:rFonts w:ascii="Times New Roman" w:hAnsi="Times New Roman" w:eastAsia="Times New Roman" w:cs="Times New Roman"/>
          <w:spacing w:val="3"/>
        </w:rPr>
        <w:t>b)</w:t>
      </w:r>
      <w:r>
        <w:rPr>
          <w:rFonts w:ascii="Times New Roman" w:hAnsi="Times New Roman" w:eastAsia="Times New Roman" w:cs="Times New Roman"/>
          <w:spacing w:val="60"/>
        </w:rPr>
        <w:t xml:space="preserve"> </w:t>
      </w:r>
      <w:r>
        <w:rPr>
          <w:spacing w:val="3"/>
        </w:rPr>
        <w:t>标准化文件协调程序和传递路线；</w:t>
      </w:r>
    </w:p>
    <w:p w14:paraId="25F8A3FC">
      <w:pPr>
        <w:pStyle w:val="2"/>
        <w:spacing w:before="110" w:line="212" w:lineRule="auto"/>
        <w:ind w:left="580"/>
      </w:pPr>
      <w:r>
        <w:rPr>
          <w:rFonts w:ascii="Times New Roman" w:hAnsi="Times New Roman" w:eastAsia="Times New Roman" w:cs="Times New Roman"/>
          <w:spacing w:val="-1"/>
        </w:rPr>
        <w:t>c)</w:t>
      </w:r>
      <w:r>
        <w:rPr>
          <w:rFonts w:ascii="Times New Roman" w:hAnsi="Times New Roman" w:eastAsia="Times New Roman" w:cs="Times New Roman"/>
          <w:spacing w:val="63"/>
        </w:rPr>
        <w:t xml:space="preserve"> </w:t>
      </w:r>
      <w:r>
        <w:rPr>
          <w:spacing w:val="-1"/>
        </w:rPr>
        <w:t>标准化文件在系统内审批、会签或备案的范围和权限；</w:t>
      </w:r>
    </w:p>
    <w:p w14:paraId="1EB6DFD4">
      <w:pPr>
        <w:pStyle w:val="2"/>
        <w:spacing w:before="101" w:line="260" w:lineRule="auto"/>
        <w:ind w:right="61" w:firstLine="580"/>
      </w:pPr>
      <w:r>
        <w:rPr>
          <w:rFonts w:ascii="Times New Roman" w:hAnsi="Times New Roman" w:eastAsia="Times New Roman" w:cs="Times New Roman"/>
          <w:spacing w:val="19"/>
        </w:rPr>
        <w:t xml:space="preserve">d)  </w:t>
      </w:r>
      <w:r>
        <w:rPr>
          <w:spacing w:val="19"/>
        </w:rPr>
        <w:t>标准化文件更改在系统内审批、会签或备案的范围和权限及传递要</w:t>
      </w:r>
      <w:r>
        <w:rPr>
          <w:spacing w:val="15"/>
        </w:rPr>
        <w:t xml:space="preserve"> </w:t>
      </w:r>
      <w:r>
        <w:rPr>
          <w:spacing w:val="-4"/>
        </w:rPr>
        <w:t>求等。</w:t>
      </w:r>
    </w:p>
    <w:p w14:paraId="19B44B25">
      <w:pPr>
        <w:spacing w:line="415" w:lineRule="auto"/>
        <w:rPr>
          <w:rFonts w:ascii="Arial"/>
          <w:sz w:val="21"/>
        </w:rPr>
      </w:pPr>
    </w:p>
    <w:p w14:paraId="2F3D0606">
      <w:pPr>
        <w:pStyle w:val="2"/>
        <w:spacing w:before="117" w:line="218" w:lineRule="auto"/>
        <w:ind w:left="2969"/>
        <w:rPr>
          <w:sz w:val="36"/>
          <w:szCs w:val="36"/>
        </w:rPr>
      </w:pPr>
      <w:r>
        <w:rPr>
          <w:spacing w:val="3"/>
          <w:sz w:val="36"/>
          <w:szCs w:val="36"/>
        </w:rPr>
        <w:t>4.</w:t>
      </w:r>
      <w:r>
        <w:rPr>
          <w:b/>
          <w:bCs/>
          <w:spacing w:val="3"/>
          <w:sz w:val="36"/>
          <w:szCs w:val="36"/>
        </w:rPr>
        <w:t>2</w:t>
      </w:r>
      <w:r>
        <w:rPr>
          <w:spacing w:val="3"/>
          <w:sz w:val="36"/>
          <w:szCs w:val="36"/>
        </w:rPr>
        <w:t xml:space="preserve">  </w:t>
      </w:r>
      <w:r>
        <w:rPr>
          <w:b/>
          <w:bCs/>
          <w:spacing w:val="3"/>
          <w:sz w:val="36"/>
          <w:szCs w:val="36"/>
        </w:rPr>
        <w:t>标准化工作报告</w:t>
      </w:r>
    </w:p>
    <w:p w14:paraId="633A83F0">
      <w:pPr>
        <w:spacing w:line="429" w:lineRule="auto"/>
        <w:rPr>
          <w:rFonts w:ascii="Arial"/>
          <w:sz w:val="21"/>
        </w:rPr>
      </w:pPr>
    </w:p>
    <w:p w14:paraId="7DFE504C">
      <w:pPr>
        <w:spacing w:before="88" w:line="251" w:lineRule="auto"/>
        <w:ind w:left="3" w:right="95" w:firstLine="580"/>
        <w:rPr>
          <w:rFonts w:ascii="楷体" w:hAnsi="楷体" w:eastAsia="楷体" w:cs="楷体"/>
          <w:sz w:val="28"/>
          <w:szCs w:val="28"/>
        </w:rPr>
      </w:pPr>
      <w:r>
        <w:rPr>
          <w:rFonts w:ascii="楷体" w:hAnsi="楷体" w:eastAsia="楷体" w:cs="楷体"/>
          <w:b/>
          <w:bCs/>
          <w:spacing w:val="-2"/>
          <w:sz w:val="27"/>
          <w:szCs w:val="27"/>
        </w:rPr>
        <w:t>按照国家军用标准《军工产品设计定型文件编制指南</w:t>
      </w:r>
      <w:r>
        <w:rPr>
          <w:rFonts w:ascii="楷体" w:hAnsi="楷体" w:eastAsia="楷体" w:cs="楷体"/>
          <w:spacing w:val="-2"/>
          <w:sz w:val="27"/>
          <w:szCs w:val="27"/>
        </w:rPr>
        <w:t xml:space="preserve">  </w:t>
      </w:r>
      <w:r>
        <w:rPr>
          <w:rFonts w:ascii="楷体" w:hAnsi="楷体" w:eastAsia="楷体" w:cs="楷体"/>
          <w:b/>
          <w:bCs/>
          <w:spacing w:val="-2"/>
          <w:sz w:val="27"/>
          <w:szCs w:val="27"/>
        </w:rPr>
        <w:t>第5部分：标</w:t>
      </w:r>
      <w:r>
        <w:rPr>
          <w:rFonts w:ascii="楷体" w:hAnsi="楷体" w:eastAsia="楷体" w:cs="楷体"/>
          <w:b/>
          <w:bCs/>
          <w:spacing w:val="-3"/>
          <w:sz w:val="27"/>
          <w:szCs w:val="27"/>
        </w:rPr>
        <w:t>准化工</w:t>
      </w:r>
      <w:r>
        <w:rPr>
          <w:rFonts w:ascii="楷体" w:hAnsi="楷体" w:eastAsia="楷体" w:cs="楷体"/>
          <w:sz w:val="27"/>
          <w:szCs w:val="27"/>
        </w:rPr>
        <w:t xml:space="preserve"> </w:t>
      </w:r>
      <w:r>
        <w:rPr>
          <w:rFonts w:ascii="楷体" w:hAnsi="楷体" w:eastAsia="楷体" w:cs="楷体"/>
          <w:b/>
          <w:bCs/>
          <w:spacing w:val="-30"/>
          <w:sz w:val="28"/>
          <w:szCs w:val="28"/>
        </w:rPr>
        <w:t>作报告》编写：</w:t>
      </w:r>
    </w:p>
    <w:p w14:paraId="353373FA">
      <w:pPr>
        <w:spacing w:before="86" w:line="221" w:lineRule="auto"/>
        <w:rPr>
          <w:rFonts w:ascii="黑体" w:hAnsi="黑体" w:eastAsia="黑体" w:cs="黑体"/>
          <w:sz w:val="25"/>
          <w:szCs w:val="25"/>
        </w:rPr>
      </w:pPr>
      <w:r>
        <w:rPr>
          <w:rFonts w:ascii="黑体" w:hAnsi="黑体" w:eastAsia="黑体" w:cs="黑体"/>
          <w:spacing w:val="4"/>
          <w:sz w:val="25"/>
          <w:szCs w:val="25"/>
        </w:rPr>
        <w:t>1</w:t>
      </w:r>
      <w:r>
        <w:rPr>
          <w:rFonts w:ascii="黑体" w:hAnsi="黑体" w:eastAsia="黑体" w:cs="黑体"/>
          <w:spacing w:val="40"/>
          <w:sz w:val="25"/>
          <w:szCs w:val="25"/>
        </w:rPr>
        <w:t xml:space="preserve">  </w:t>
      </w:r>
      <w:r>
        <w:rPr>
          <w:rFonts w:ascii="黑体" w:hAnsi="黑体" w:eastAsia="黑体" w:cs="黑体"/>
          <w:b/>
          <w:bCs/>
          <w:spacing w:val="4"/>
          <w:sz w:val="25"/>
          <w:szCs w:val="25"/>
        </w:rPr>
        <w:t>概述</w:t>
      </w:r>
    </w:p>
    <w:p w14:paraId="23648ACD">
      <w:pPr>
        <w:pStyle w:val="2"/>
        <w:spacing w:before="135" w:line="219" w:lineRule="auto"/>
        <w:ind w:left="580"/>
      </w:pPr>
      <w:r>
        <w:rPr>
          <w:spacing w:val="-1"/>
        </w:rPr>
        <w:t>应概略描述产品的基本情况和标准化目标。 一般包括下列内容：</w:t>
      </w:r>
    </w:p>
    <w:p w14:paraId="0A9B94B1">
      <w:pPr>
        <w:pStyle w:val="2"/>
        <w:spacing w:before="80" w:line="258" w:lineRule="auto"/>
        <w:ind w:right="104" w:firstLine="580"/>
      </w:pPr>
      <w:r>
        <w:rPr>
          <w:rFonts w:ascii="Times New Roman" w:hAnsi="Times New Roman" w:eastAsia="Times New Roman" w:cs="Times New Roman"/>
          <w:spacing w:val="5"/>
        </w:rPr>
        <w:t>a</w:t>
      </w:r>
      <w:r>
        <w:rPr>
          <w:spacing w:val="5"/>
        </w:rPr>
        <w:t>)产品研制任务来源，包括上级装备研制管理部门下达的批准研制装备的</w:t>
      </w:r>
      <w:r>
        <w:t xml:space="preserve"> </w:t>
      </w:r>
      <w:r>
        <w:rPr>
          <w:spacing w:val="13"/>
        </w:rPr>
        <w:t>文件、承研单位名称、完成装备研制的时间要求、研制成果的形式(软件/硬</w:t>
      </w:r>
      <w:r>
        <w:rPr>
          <w:spacing w:val="8"/>
        </w:rPr>
        <w:t xml:space="preserve"> </w:t>
      </w:r>
      <w:r>
        <w:rPr>
          <w:spacing w:val="-6"/>
        </w:rPr>
        <w:t>件)等；</w:t>
      </w:r>
    </w:p>
    <w:p w14:paraId="702BB374">
      <w:pPr>
        <w:pStyle w:val="2"/>
        <w:spacing w:before="119" w:line="212" w:lineRule="auto"/>
        <w:ind w:left="580"/>
      </w:pPr>
      <w:r>
        <w:rPr>
          <w:rFonts w:ascii="Times New Roman" w:hAnsi="Times New Roman" w:eastAsia="Times New Roman" w:cs="Times New Roman"/>
          <w:spacing w:val="-12"/>
        </w:rPr>
        <w:t>b)</w:t>
      </w:r>
      <w:r>
        <w:rPr>
          <w:rFonts w:ascii="Times New Roman" w:hAnsi="Times New Roman" w:eastAsia="Times New Roman" w:cs="Times New Roman"/>
          <w:spacing w:val="48"/>
        </w:rPr>
        <w:t xml:space="preserve"> </w:t>
      </w:r>
      <w:r>
        <w:rPr>
          <w:spacing w:val="-12"/>
        </w:rPr>
        <w:t>产品的概况，包括组成、用途、主要性能、研制</w:t>
      </w:r>
      <w:r>
        <w:rPr>
          <w:spacing w:val="-13"/>
        </w:rPr>
        <w:t>情况和配套情况等；</w:t>
      </w:r>
    </w:p>
    <w:p w14:paraId="2060DA85">
      <w:pPr>
        <w:pStyle w:val="2"/>
        <w:spacing w:before="69" w:line="262" w:lineRule="auto"/>
        <w:ind w:right="103" w:firstLine="580"/>
      </w:pPr>
      <w:r>
        <w:rPr>
          <w:rFonts w:ascii="Times New Roman" w:hAnsi="Times New Roman" w:eastAsia="Times New Roman" w:cs="Times New Roman"/>
          <w:spacing w:val="-5"/>
        </w:rPr>
        <w:t>c)</w:t>
      </w:r>
      <w:r>
        <w:rPr>
          <w:rFonts w:ascii="Times New Roman" w:hAnsi="Times New Roman" w:eastAsia="Times New Roman" w:cs="Times New Roman"/>
          <w:spacing w:val="52"/>
        </w:rPr>
        <w:t xml:space="preserve"> </w:t>
      </w:r>
      <w:r>
        <w:rPr>
          <w:spacing w:val="-5"/>
        </w:rPr>
        <w:t>标准化目标和要求，应简要说明《产品标准化大纲》</w:t>
      </w:r>
      <w:r>
        <w:rPr>
          <w:spacing w:val="-6"/>
        </w:rPr>
        <w:t>提出的标准化目标和</w:t>
      </w:r>
      <w:r>
        <w:t xml:space="preserve"> </w:t>
      </w:r>
      <w:r>
        <w:rPr>
          <w:spacing w:val="-4"/>
        </w:rPr>
        <w:t>要求。</w:t>
      </w:r>
    </w:p>
    <w:p w14:paraId="19AEC067">
      <w:pPr>
        <w:spacing w:before="99" w:line="221" w:lineRule="auto"/>
        <w:rPr>
          <w:rFonts w:ascii="黑体" w:hAnsi="黑体" w:eastAsia="黑体" w:cs="黑体"/>
          <w:sz w:val="27"/>
          <w:szCs w:val="27"/>
        </w:rPr>
      </w:pPr>
      <w:r>
        <w:rPr>
          <w:rFonts w:ascii="黑体" w:hAnsi="黑体" w:eastAsia="黑体" w:cs="黑体"/>
          <w:spacing w:val="-6"/>
          <w:sz w:val="27"/>
          <w:szCs w:val="27"/>
        </w:rPr>
        <w:t>2</w:t>
      </w:r>
      <w:r>
        <w:rPr>
          <w:rFonts w:ascii="黑体" w:hAnsi="黑体" w:eastAsia="黑体" w:cs="黑体"/>
          <w:spacing w:val="15"/>
          <w:sz w:val="27"/>
          <w:szCs w:val="27"/>
        </w:rPr>
        <w:t xml:space="preserve">  </w:t>
      </w:r>
      <w:r>
        <w:rPr>
          <w:rFonts w:ascii="黑体" w:hAnsi="黑体" w:eastAsia="黑体" w:cs="黑体"/>
          <w:b/>
          <w:bCs/>
          <w:spacing w:val="-6"/>
          <w:sz w:val="27"/>
          <w:szCs w:val="27"/>
        </w:rPr>
        <w:t>编制依据</w:t>
      </w:r>
    </w:p>
    <w:p w14:paraId="0B514237">
      <w:pPr>
        <w:pStyle w:val="2"/>
        <w:spacing w:before="111" w:line="218" w:lineRule="auto"/>
        <w:ind w:left="580"/>
      </w:pPr>
      <w:r>
        <w:rPr>
          <w:spacing w:val="3"/>
        </w:rPr>
        <w:t>给出编制标准化工作报告的依据文件一览表。</w:t>
      </w:r>
    </w:p>
    <w:p w14:paraId="12CC08CB">
      <w:pPr>
        <w:spacing w:before="107" w:line="221"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型号标准化工作系统及其工作情况</w:t>
      </w:r>
    </w:p>
    <w:p w14:paraId="2BEF396B">
      <w:pPr>
        <w:spacing w:before="109" w:line="223" w:lineRule="auto"/>
        <w:rPr>
          <w:rFonts w:ascii="黑体" w:hAnsi="黑体" w:eastAsia="黑体" w:cs="黑体"/>
          <w:sz w:val="24"/>
          <w:szCs w:val="24"/>
        </w:rPr>
      </w:pPr>
      <w:r>
        <w:rPr>
          <w:rFonts w:ascii="黑体" w:hAnsi="黑体" w:eastAsia="黑体" w:cs="黑体"/>
          <w:spacing w:val="14"/>
          <w:sz w:val="24"/>
          <w:szCs w:val="24"/>
        </w:rPr>
        <w:t>3.1</w:t>
      </w:r>
      <w:r>
        <w:rPr>
          <w:rFonts w:ascii="黑体" w:hAnsi="黑体" w:eastAsia="黑体" w:cs="黑体"/>
          <w:spacing w:val="58"/>
          <w:sz w:val="24"/>
          <w:szCs w:val="24"/>
        </w:rPr>
        <w:t xml:space="preserve">  </w:t>
      </w:r>
      <w:r>
        <w:rPr>
          <w:rFonts w:ascii="黑体" w:hAnsi="黑体" w:eastAsia="黑体" w:cs="黑体"/>
          <w:b/>
          <w:bCs/>
          <w:spacing w:val="14"/>
          <w:sz w:val="24"/>
          <w:szCs w:val="24"/>
        </w:rPr>
        <w:t>组建情况</w:t>
      </w:r>
    </w:p>
    <w:p w14:paraId="31EC3AFA">
      <w:pPr>
        <w:pStyle w:val="2"/>
        <w:spacing w:before="142" w:line="313" w:lineRule="auto"/>
        <w:ind w:firstLine="580"/>
        <w:rPr>
          <w:sz w:val="25"/>
          <w:szCs w:val="25"/>
        </w:rPr>
      </w:pPr>
      <w:r>
        <w:rPr>
          <w:spacing w:val="12"/>
          <w:sz w:val="25"/>
          <w:szCs w:val="25"/>
        </w:rPr>
        <w:t>简要说明型号标准化工作系统情况，可包括组</w:t>
      </w:r>
      <w:r>
        <w:rPr>
          <w:spacing w:val="11"/>
          <w:sz w:val="25"/>
          <w:szCs w:val="25"/>
        </w:rPr>
        <w:t>织架构、人员职责、议事制度、</w:t>
      </w:r>
      <w:r>
        <w:rPr>
          <w:sz w:val="25"/>
          <w:szCs w:val="25"/>
        </w:rPr>
        <w:t xml:space="preserve"> </w:t>
      </w:r>
      <w:r>
        <w:rPr>
          <w:spacing w:val="22"/>
          <w:sz w:val="25"/>
          <w:szCs w:val="25"/>
        </w:rPr>
        <w:t>管理制度及其执行情况等。</w:t>
      </w:r>
    </w:p>
    <w:p w14:paraId="2A55B6D5">
      <w:pPr>
        <w:spacing w:line="313" w:lineRule="auto"/>
        <w:rPr>
          <w:sz w:val="25"/>
          <w:szCs w:val="25"/>
        </w:rPr>
        <w:sectPr>
          <w:footerReference r:id="rId304" w:type="default"/>
          <w:pgSz w:w="11910" w:h="17130"/>
          <w:pgMar w:top="1428" w:right="1364" w:bottom="1757" w:left="1069" w:header="0" w:footer="1540" w:gutter="0"/>
          <w:cols w:space="720" w:num="1"/>
        </w:sectPr>
      </w:pPr>
    </w:p>
    <w:p w14:paraId="6512B238">
      <w:pPr>
        <w:spacing w:before="50" w:line="222" w:lineRule="auto"/>
        <w:rPr>
          <w:rFonts w:ascii="黑体" w:hAnsi="黑体" w:eastAsia="黑体" w:cs="黑体"/>
          <w:sz w:val="25"/>
          <w:szCs w:val="25"/>
        </w:rPr>
      </w:pPr>
      <w:r>
        <w:rPr>
          <w:rFonts w:ascii="黑体" w:hAnsi="黑体" w:eastAsia="黑体" w:cs="黑体"/>
          <w:spacing w:val="10"/>
          <w:sz w:val="25"/>
          <w:szCs w:val="25"/>
        </w:rPr>
        <w:t>3.2</w:t>
      </w:r>
      <w:r>
        <w:rPr>
          <w:rFonts w:ascii="黑体" w:hAnsi="黑体" w:eastAsia="黑体" w:cs="黑体"/>
          <w:spacing w:val="39"/>
          <w:sz w:val="25"/>
          <w:szCs w:val="25"/>
        </w:rPr>
        <w:t xml:space="preserve">  </w:t>
      </w:r>
      <w:r>
        <w:rPr>
          <w:rFonts w:ascii="黑体" w:hAnsi="黑体" w:eastAsia="黑体" w:cs="黑体"/>
          <w:b/>
          <w:bCs/>
          <w:spacing w:val="10"/>
          <w:sz w:val="25"/>
          <w:szCs w:val="25"/>
        </w:rPr>
        <w:t>履职情况</w:t>
      </w:r>
    </w:p>
    <w:p w14:paraId="40CFAA44">
      <w:pPr>
        <w:pStyle w:val="2"/>
        <w:spacing w:before="93" w:line="219" w:lineRule="auto"/>
        <w:ind w:left="560"/>
      </w:pPr>
      <w:r>
        <w:rPr>
          <w:spacing w:val="-4"/>
        </w:rPr>
        <w:t>简要说明标准化工作系统的工作情况，主要包括：</w:t>
      </w:r>
    </w:p>
    <w:p w14:paraId="4A2898AC">
      <w:pPr>
        <w:pStyle w:val="2"/>
        <w:spacing w:before="93" w:line="261" w:lineRule="auto"/>
        <w:ind w:firstLine="560"/>
      </w:pPr>
      <w:r>
        <w:rPr>
          <w:rFonts w:ascii="Times New Roman" w:hAnsi="Times New Roman" w:eastAsia="Times New Roman" w:cs="Times New Roman"/>
          <w:spacing w:val="6"/>
        </w:rPr>
        <w:t>a</w:t>
      </w:r>
      <w:r>
        <w:rPr>
          <w:spacing w:val="6"/>
        </w:rPr>
        <w:t>)建立型号标准化文件体系情况，包括型号标准化技术文件、型号</w:t>
      </w:r>
      <w:r>
        <w:rPr>
          <w:spacing w:val="5"/>
        </w:rPr>
        <w:t>标准化</w:t>
      </w:r>
      <w:r>
        <w:t xml:space="preserve"> </w:t>
      </w:r>
      <w:r>
        <w:rPr>
          <w:spacing w:val="1"/>
        </w:rPr>
        <w:t>管理文件、型号标准化评审文件和型号标准化信息资料等。如产品标准化大</w:t>
      </w:r>
      <w:r>
        <w:t xml:space="preserve">纲、 </w:t>
      </w:r>
      <w:r>
        <w:rPr>
          <w:spacing w:val="-3"/>
        </w:rPr>
        <w:t>工艺标准化综合要求、设计文件编制要求、借用件管理规定、图样和技术文件会</w:t>
      </w:r>
      <w:r>
        <w:rPr>
          <w:spacing w:val="7"/>
        </w:rPr>
        <w:t xml:space="preserve">  </w:t>
      </w:r>
      <w:r>
        <w:rPr>
          <w:spacing w:val="5"/>
        </w:rPr>
        <w:t>签审批流程等，可重点举例说明某项文件的编制情况。并可以附录形式给出型</w:t>
      </w:r>
      <w:r>
        <w:rPr>
          <w:spacing w:val="8"/>
        </w:rPr>
        <w:t xml:space="preserve">  </w:t>
      </w:r>
      <w:r>
        <w:rPr>
          <w:spacing w:val="3"/>
        </w:rPr>
        <w:t>号标准化文件体系表或型号标准化文件清单。</w:t>
      </w:r>
    </w:p>
    <w:p w14:paraId="724DCAA2">
      <w:pPr>
        <w:pStyle w:val="2"/>
        <w:spacing w:before="89"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81"/>
        </w:rPr>
        <w:t xml:space="preserve"> </w:t>
      </w:r>
      <w:r>
        <w:rPr>
          <w:spacing w:val="4"/>
        </w:rPr>
        <w:t>组织开展的标准化相关课题的研究工作。</w:t>
      </w:r>
    </w:p>
    <w:p w14:paraId="6529D001">
      <w:pPr>
        <w:pStyle w:val="2"/>
        <w:spacing w:before="79" w:line="212" w:lineRule="auto"/>
        <w:ind w:left="560"/>
      </w:pPr>
      <w:r>
        <w:rPr>
          <w:rFonts w:ascii="Times New Roman" w:hAnsi="Times New Roman" w:eastAsia="Times New Roman" w:cs="Times New Roman"/>
          <w:spacing w:val="5"/>
        </w:rPr>
        <w:t>c)</w:t>
      </w:r>
      <w:r>
        <w:rPr>
          <w:rFonts w:ascii="Times New Roman" w:hAnsi="Times New Roman" w:eastAsia="Times New Roman" w:cs="Times New Roman"/>
          <w:spacing w:val="56"/>
          <w:w w:val="101"/>
        </w:rPr>
        <w:t xml:space="preserve"> </w:t>
      </w:r>
      <w:r>
        <w:rPr>
          <w:spacing w:val="5"/>
        </w:rPr>
        <w:t>开展重要标准化问题协调工作情况。</w:t>
      </w:r>
    </w:p>
    <w:p w14:paraId="31D5C2F5">
      <w:pPr>
        <w:pStyle w:val="2"/>
        <w:spacing w:before="100" w:line="212" w:lineRule="auto"/>
        <w:ind w:left="560"/>
      </w:pPr>
      <w:r>
        <w:rPr>
          <w:rFonts w:ascii="Times New Roman" w:hAnsi="Times New Roman" w:eastAsia="Times New Roman" w:cs="Times New Roman"/>
          <w:spacing w:val="-14"/>
        </w:rPr>
        <w:t xml:space="preserve">d)  </w:t>
      </w:r>
      <w:r>
        <w:rPr>
          <w:spacing w:val="-14"/>
        </w:rPr>
        <w:t>组织标准宣贯情况，包括宣贯的内容、次数、规模、对象、取得的效果</w:t>
      </w:r>
      <w:r>
        <w:rPr>
          <w:spacing w:val="-15"/>
        </w:rPr>
        <w:t>等。</w:t>
      </w:r>
    </w:p>
    <w:p w14:paraId="70912962">
      <w:pPr>
        <w:pStyle w:val="2"/>
        <w:spacing w:before="120" w:line="260" w:lineRule="auto"/>
        <w:ind w:right="98" w:firstLine="560"/>
      </w:pPr>
      <w:r>
        <w:rPr>
          <w:rFonts w:ascii="Times New Roman" w:hAnsi="Times New Roman" w:eastAsia="Times New Roman" w:cs="Times New Roman"/>
          <w:spacing w:val="8"/>
        </w:rPr>
        <w:t>e)</w:t>
      </w:r>
      <w:r>
        <w:rPr>
          <w:rFonts w:ascii="Times New Roman" w:hAnsi="Times New Roman" w:eastAsia="Times New Roman" w:cs="Times New Roman"/>
          <w:spacing w:val="53"/>
          <w:w w:val="101"/>
        </w:rPr>
        <w:t xml:space="preserve"> </w:t>
      </w:r>
      <w:r>
        <w:rPr>
          <w:spacing w:val="8"/>
        </w:rPr>
        <w:t>标准化评审工作情况。根据</w:t>
      </w:r>
      <w:r>
        <w:rPr>
          <w:rFonts w:ascii="Times New Roman" w:hAnsi="Times New Roman" w:eastAsia="Times New Roman" w:cs="Times New Roman"/>
        </w:rPr>
        <w:t>GJB</w:t>
      </w:r>
      <w:r>
        <w:rPr>
          <w:rFonts w:ascii="Times New Roman" w:hAnsi="Times New Roman" w:eastAsia="Times New Roman" w:cs="Times New Roman"/>
          <w:spacing w:val="8"/>
        </w:rPr>
        <w:t>/Z    113</w:t>
      </w:r>
      <w:r>
        <w:rPr>
          <w:rFonts w:ascii="Times New Roman" w:hAnsi="Times New Roman" w:eastAsia="Times New Roman" w:cs="Times New Roman"/>
          <w:spacing w:val="7"/>
        </w:rPr>
        <w:t>,</w:t>
      </w:r>
      <w:r>
        <w:rPr>
          <w:spacing w:val="7"/>
        </w:rPr>
        <w:t>说明在产品研制过程中，型号</w:t>
      </w:r>
      <w:r>
        <w:t xml:space="preserve"> </w:t>
      </w:r>
      <w:r>
        <w:rPr>
          <w:spacing w:val="6"/>
        </w:rPr>
        <w:t>标准化工作系统或相应标准化机构开展标准化评</w:t>
      </w:r>
      <w:r>
        <w:rPr>
          <w:spacing w:val="5"/>
        </w:rPr>
        <w:t>审工作的总体情况。例如评审</w:t>
      </w:r>
      <w:r>
        <w:t xml:space="preserve"> </w:t>
      </w:r>
      <w:r>
        <w:rPr>
          <w:spacing w:val="-12"/>
        </w:rPr>
        <w:t>次数、评审内容、评审效果、评审后遗留问题的</w:t>
      </w:r>
      <w:r>
        <w:rPr>
          <w:spacing w:val="-13"/>
        </w:rPr>
        <w:t>处理等。</w:t>
      </w:r>
    </w:p>
    <w:p w14:paraId="6E66716E">
      <w:pPr>
        <w:pStyle w:val="2"/>
        <w:spacing w:before="69" w:line="212" w:lineRule="auto"/>
        <w:ind w:left="560"/>
      </w:pPr>
      <w:r>
        <w:rPr>
          <w:rFonts w:ascii="Times New Roman" w:hAnsi="Times New Roman" w:eastAsia="Times New Roman" w:cs="Times New Roman"/>
          <w:spacing w:val="4"/>
        </w:rPr>
        <w:t xml:space="preserve">f)  </w:t>
      </w:r>
      <w:r>
        <w:rPr>
          <w:spacing w:val="4"/>
        </w:rPr>
        <w:t>组织对图样和技术文件的标准化检查</w:t>
      </w:r>
      <w:r>
        <w:rPr>
          <w:spacing w:val="3"/>
        </w:rPr>
        <w:t>情况。</w:t>
      </w:r>
    </w:p>
    <w:p w14:paraId="52982C48">
      <w:pPr>
        <w:pStyle w:val="2"/>
        <w:spacing w:before="119" w:line="212" w:lineRule="auto"/>
        <w:ind w:left="560"/>
      </w:pPr>
      <w:r>
        <w:rPr>
          <w:rFonts w:ascii="Times New Roman" w:hAnsi="Times New Roman" w:eastAsia="Times New Roman" w:cs="Times New Roman"/>
          <w:spacing w:val="4"/>
        </w:rPr>
        <w:t xml:space="preserve">g)  </w:t>
      </w:r>
      <w:r>
        <w:rPr>
          <w:spacing w:val="4"/>
        </w:rPr>
        <w:t>组织对配套成品标准化工作的检查和走访情况等。</w:t>
      </w:r>
    </w:p>
    <w:p w14:paraId="7767897A">
      <w:pPr>
        <w:pStyle w:val="2"/>
        <w:spacing w:before="102" w:line="212" w:lineRule="auto"/>
        <w:ind w:left="560"/>
        <w:rPr>
          <w:sz w:val="25"/>
          <w:szCs w:val="25"/>
        </w:rPr>
      </w:pPr>
      <w:r>
        <w:rPr>
          <w:rFonts w:ascii="Times New Roman" w:hAnsi="Times New Roman" w:eastAsia="Times New Roman" w:cs="Times New Roman"/>
          <w:spacing w:val="20"/>
          <w:sz w:val="25"/>
          <w:szCs w:val="25"/>
        </w:rPr>
        <w:t xml:space="preserve">h)  </w:t>
      </w:r>
      <w:r>
        <w:rPr>
          <w:spacing w:val="20"/>
          <w:sz w:val="25"/>
          <w:szCs w:val="25"/>
        </w:rPr>
        <w:t>召开年度标准化工作会议情况等。</w:t>
      </w:r>
    </w:p>
    <w:p w14:paraId="3FC69705">
      <w:pPr>
        <w:spacing w:before="136" w:line="222" w:lineRule="auto"/>
        <w:outlineLvl w:val="3"/>
        <w:rPr>
          <w:rFonts w:ascii="黑体" w:hAnsi="黑体" w:eastAsia="黑体" w:cs="黑体"/>
          <w:sz w:val="25"/>
          <w:szCs w:val="25"/>
        </w:rPr>
      </w:pPr>
      <w:r>
        <w:rPr>
          <w:rFonts w:ascii="Arial" w:hAnsi="Arial" w:eastAsia="Arial" w:cs="Arial"/>
          <w:b/>
          <w:bCs/>
          <w:spacing w:val="18"/>
          <w:sz w:val="25"/>
          <w:szCs w:val="25"/>
        </w:rPr>
        <w:t>4</w:t>
      </w:r>
      <w:r>
        <w:rPr>
          <w:rFonts w:ascii="Arial" w:hAnsi="Arial" w:eastAsia="Arial" w:cs="Arial"/>
          <w:b/>
          <w:bCs/>
          <w:spacing w:val="6"/>
          <w:sz w:val="25"/>
          <w:szCs w:val="25"/>
        </w:rPr>
        <w:t xml:space="preserve">    </w:t>
      </w:r>
      <w:r>
        <w:rPr>
          <w:rFonts w:ascii="黑体" w:hAnsi="黑体" w:eastAsia="黑体" w:cs="黑体"/>
          <w:b/>
          <w:bCs/>
          <w:spacing w:val="18"/>
          <w:sz w:val="25"/>
          <w:szCs w:val="25"/>
        </w:rPr>
        <w:t>标准贯彻实施情况</w:t>
      </w:r>
    </w:p>
    <w:p w14:paraId="7023ED44">
      <w:pPr>
        <w:spacing w:before="112" w:line="223" w:lineRule="auto"/>
        <w:rPr>
          <w:rFonts w:ascii="黑体" w:hAnsi="黑体" w:eastAsia="黑体" w:cs="黑体"/>
          <w:sz w:val="24"/>
          <w:szCs w:val="24"/>
        </w:rPr>
      </w:pPr>
      <w:r>
        <w:rPr>
          <w:rFonts w:ascii="黑体" w:hAnsi="黑体" w:eastAsia="黑体" w:cs="黑体"/>
          <w:spacing w:val="24"/>
          <w:sz w:val="24"/>
          <w:szCs w:val="24"/>
        </w:rPr>
        <w:t>4.1</w:t>
      </w:r>
      <w:r>
        <w:rPr>
          <w:rFonts w:ascii="黑体" w:hAnsi="黑体" w:eastAsia="黑体" w:cs="黑体"/>
          <w:spacing w:val="48"/>
          <w:sz w:val="24"/>
          <w:szCs w:val="24"/>
        </w:rPr>
        <w:t xml:space="preserve">  </w:t>
      </w:r>
      <w:r>
        <w:rPr>
          <w:rFonts w:ascii="黑体" w:hAnsi="黑体" w:eastAsia="黑体" w:cs="黑体"/>
          <w:b/>
          <w:bCs/>
          <w:spacing w:val="24"/>
          <w:sz w:val="24"/>
          <w:szCs w:val="24"/>
        </w:rPr>
        <w:t>标准和规范的选用情况</w:t>
      </w:r>
    </w:p>
    <w:p w14:paraId="65782BAF">
      <w:pPr>
        <w:pStyle w:val="2"/>
        <w:spacing w:before="105" w:line="276" w:lineRule="auto"/>
        <w:ind w:right="100" w:firstLine="560"/>
        <w:jc w:val="both"/>
      </w:pPr>
      <w:r>
        <w:rPr>
          <w:spacing w:val="-11"/>
        </w:rPr>
        <w:t>应说明标准和规范的选用情况，包括编制“标准选用范围”的原则和要求、主</w:t>
      </w:r>
      <w:r>
        <w:rPr>
          <w:spacing w:val="17"/>
        </w:rPr>
        <w:t xml:space="preserve"> </w:t>
      </w:r>
      <w:r>
        <w:rPr>
          <w:spacing w:val="4"/>
        </w:rPr>
        <w:t>要工作等，以及随着研制进展，实施补充或调整的动态管</w:t>
      </w:r>
      <w:r>
        <w:rPr>
          <w:spacing w:val="3"/>
        </w:rPr>
        <w:t>理过程。根据</w:t>
      </w:r>
      <w:r>
        <w:rPr>
          <w:spacing w:val="-71"/>
        </w:rPr>
        <w:t xml:space="preserve"> </w:t>
      </w:r>
      <w:r>
        <w:rPr>
          <w:rFonts w:ascii="Times New Roman" w:hAnsi="Times New Roman" w:eastAsia="Times New Roman" w:cs="Times New Roman"/>
        </w:rPr>
        <w:t>GJB</w:t>
      </w:r>
      <w:r>
        <w:rPr>
          <w:rFonts w:ascii="Times New Roman" w:hAnsi="Times New Roman" w:eastAsia="Times New Roman" w:cs="Times New Roman"/>
          <w:spacing w:val="3"/>
        </w:rPr>
        <w:t>/Z</w:t>
      </w:r>
      <w:r>
        <w:rPr>
          <w:rFonts w:ascii="Times New Roman" w:hAnsi="Times New Roman" w:eastAsia="Times New Roman" w:cs="Times New Roman"/>
        </w:rPr>
        <w:t xml:space="preserve">  </w:t>
      </w:r>
      <w:r>
        <w:rPr>
          <w:spacing w:val="-2"/>
        </w:rPr>
        <w:t>114,“标准选用范围”是特定产品研制时对</w:t>
      </w:r>
      <w:r>
        <w:rPr>
          <w:spacing w:val="-3"/>
        </w:rPr>
        <w:t>设计人员选用标准的推荐性规定。可</w:t>
      </w:r>
      <w:r>
        <w:t xml:space="preserve"> </w:t>
      </w:r>
      <w:r>
        <w:rPr>
          <w:spacing w:val="-14"/>
        </w:rPr>
        <w:t>以附录形式给出“标准选用范围”或产品最终的“采用标准清单</w:t>
      </w:r>
      <w:r>
        <w:rPr>
          <w:spacing w:val="-15"/>
        </w:rPr>
        <w:t>”。</w:t>
      </w:r>
    </w:p>
    <w:p w14:paraId="2CB9B02C">
      <w:pPr>
        <w:spacing w:line="222" w:lineRule="auto"/>
        <w:rPr>
          <w:rFonts w:ascii="黑体" w:hAnsi="黑体" w:eastAsia="黑体" w:cs="黑体"/>
          <w:sz w:val="27"/>
          <w:szCs w:val="27"/>
        </w:rPr>
      </w:pPr>
      <w:r>
        <w:rPr>
          <w:rFonts w:ascii="黑体" w:hAnsi="黑体" w:eastAsia="黑体" w:cs="黑体"/>
          <w:spacing w:val="-11"/>
          <w:sz w:val="27"/>
          <w:szCs w:val="27"/>
        </w:rPr>
        <w:t xml:space="preserve">4.2  </w:t>
      </w:r>
      <w:r>
        <w:rPr>
          <w:rFonts w:ascii="黑体" w:hAnsi="黑体" w:eastAsia="黑体" w:cs="黑体"/>
          <w:b/>
          <w:bCs/>
          <w:spacing w:val="-11"/>
          <w:sz w:val="27"/>
          <w:szCs w:val="27"/>
        </w:rPr>
        <w:t>标准件、元器件、原材料选用情况</w:t>
      </w:r>
    </w:p>
    <w:p w14:paraId="5FB59A2C">
      <w:pPr>
        <w:pStyle w:val="2"/>
        <w:spacing w:before="103" w:line="277" w:lineRule="auto"/>
        <w:ind w:right="101" w:firstLine="560"/>
        <w:jc w:val="both"/>
      </w:pPr>
      <w:r>
        <w:rPr>
          <w:spacing w:val="-18"/>
        </w:rPr>
        <w:t>应说明编制“标准件、元器件、原材料选用范围”的原则和要求、主要工作，随</w:t>
      </w:r>
      <w:r>
        <w:rPr>
          <w:spacing w:val="2"/>
        </w:rPr>
        <w:t xml:space="preserve"> </w:t>
      </w:r>
      <w:r>
        <w:rPr>
          <w:spacing w:val="5"/>
        </w:rPr>
        <w:t>研制进展实施补充或调整的动态管理过程，以及采用非标准件的申请审批流程</w:t>
      </w:r>
      <w:r>
        <w:rPr>
          <w:spacing w:val="8"/>
        </w:rPr>
        <w:t xml:space="preserve"> </w:t>
      </w:r>
      <w:r>
        <w:rPr>
          <w:spacing w:val="-3"/>
        </w:rPr>
        <w:t>等。可举例重点描述开展进口标准件国产化研究情况，新材料、新型标准件攻关</w:t>
      </w:r>
      <w:r>
        <w:rPr>
          <w:spacing w:val="16"/>
        </w:rPr>
        <w:t xml:space="preserve"> </w:t>
      </w:r>
      <w:r>
        <w:rPr>
          <w:spacing w:val="-2"/>
        </w:rPr>
        <w:t>情况等。根据</w:t>
      </w:r>
      <w:r>
        <w:rPr>
          <w:rFonts w:ascii="Times New Roman" w:hAnsi="Times New Roman" w:eastAsia="Times New Roman" w:cs="Times New Roman"/>
          <w:spacing w:val="-2"/>
        </w:rPr>
        <w:t>GJB/Z    114,“</w:t>
      </w:r>
      <w:r>
        <w:rPr>
          <w:rFonts w:ascii="Times New Roman" w:hAnsi="Times New Roman" w:eastAsia="Times New Roman" w:cs="Times New Roman"/>
          <w:spacing w:val="-23"/>
        </w:rPr>
        <w:t xml:space="preserve"> </w:t>
      </w:r>
      <w:r>
        <w:rPr>
          <w:spacing w:val="-2"/>
        </w:rPr>
        <w:t>标准件、元器件、原材料选用范围”是特定产品研制</w:t>
      </w:r>
      <w:r>
        <w:t xml:space="preserve"> </w:t>
      </w:r>
      <w:r>
        <w:rPr>
          <w:spacing w:val="-3"/>
        </w:rPr>
        <w:t>时，对设计人员选用标准件、元器件、原材料的品种规格的推荐性规定。可以附</w:t>
      </w:r>
      <w:r>
        <w:rPr>
          <w:spacing w:val="15"/>
        </w:rPr>
        <w:t xml:space="preserve"> </w:t>
      </w:r>
      <w:r>
        <w:rPr>
          <w:spacing w:val="-20"/>
        </w:rPr>
        <w:t>录形式给出“标准件、元器件、原材料选用范围”。</w:t>
      </w:r>
    </w:p>
    <w:p w14:paraId="63061E5D">
      <w:pPr>
        <w:spacing w:before="1" w:line="220" w:lineRule="auto"/>
        <w:rPr>
          <w:rFonts w:ascii="黑体" w:hAnsi="黑体" w:eastAsia="黑体" w:cs="黑体"/>
          <w:sz w:val="27"/>
          <w:szCs w:val="27"/>
        </w:rPr>
      </w:pPr>
      <w:r>
        <w:rPr>
          <w:rFonts w:ascii="黑体" w:hAnsi="黑体" w:eastAsia="黑体" w:cs="黑体"/>
          <w:spacing w:val="2"/>
          <w:sz w:val="27"/>
          <w:szCs w:val="27"/>
        </w:rPr>
        <w:t xml:space="preserve">4.3  </w:t>
      </w:r>
      <w:r>
        <w:rPr>
          <w:rFonts w:ascii="黑体" w:hAnsi="黑体" w:eastAsia="黑体" w:cs="黑体"/>
          <w:b/>
          <w:bCs/>
          <w:spacing w:val="2"/>
          <w:sz w:val="27"/>
          <w:szCs w:val="27"/>
        </w:rPr>
        <w:t>标准和规范的剪裁情况</w:t>
      </w:r>
    </w:p>
    <w:p w14:paraId="04236521">
      <w:pPr>
        <w:pStyle w:val="2"/>
        <w:spacing w:before="103" w:line="275" w:lineRule="auto"/>
        <w:ind w:right="101" w:firstLine="560"/>
      </w:pPr>
      <w:r>
        <w:rPr>
          <w:spacing w:val="6"/>
        </w:rPr>
        <w:t>应说明标准和规范的剪裁情况，可包括剪裁依据、</w:t>
      </w:r>
      <w:r>
        <w:rPr>
          <w:spacing w:val="5"/>
        </w:rPr>
        <w:t>剪裁结果和存在的问题</w:t>
      </w:r>
      <w:r>
        <w:t xml:space="preserve"> </w:t>
      </w:r>
      <w:r>
        <w:rPr>
          <w:spacing w:val="4"/>
        </w:rPr>
        <w:t>等。附录中可附上剪裁汇总表以及评审结论等。</w:t>
      </w:r>
    </w:p>
    <w:p w14:paraId="501875A3">
      <w:pPr>
        <w:spacing w:before="29" w:line="222" w:lineRule="auto"/>
        <w:rPr>
          <w:rFonts w:ascii="黑体" w:hAnsi="黑体" w:eastAsia="黑体" w:cs="黑体"/>
          <w:sz w:val="24"/>
          <w:szCs w:val="24"/>
        </w:rPr>
      </w:pPr>
      <w:r>
        <w:rPr>
          <w:rFonts w:ascii="黑体" w:hAnsi="黑体" w:eastAsia="黑体" w:cs="黑体"/>
          <w:spacing w:val="17"/>
          <w:sz w:val="24"/>
          <w:szCs w:val="24"/>
        </w:rPr>
        <w:t>4.4</w:t>
      </w:r>
      <w:r>
        <w:rPr>
          <w:rFonts w:ascii="黑体" w:hAnsi="黑体" w:eastAsia="黑体" w:cs="黑体"/>
          <w:spacing w:val="49"/>
          <w:sz w:val="24"/>
          <w:szCs w:val="24"/>
        </w:rPr>
        <w:t xml:space="preserve">  </w:t>
      </w:r>
      <w:r>
        <w:rPr>
          <w:rFonts w:ascii="黑体" w:hAnsi="黑体" w:eastAsia="黑体" w:cs="黑体"/>
          <w:b/>
          <w:bCs/>
          <w:spacing w:val="17"/>
          <w:sz w:val="24"/>
          <w:szCs w:val="24"/>
        </w:rPr>
        <w:t>接口、互换性要求实现情况</w:t>
      </w:r>
    </w:p>
    <w:p w14:paraId="61A4AFE5">
      <w:pPr>
        <w:pStyle w:val="2"/>
        <w:spacing w:before="108" w:line="219" w:lineRule="auto"/>
        <w:ind w:left="560"/>
      </w:pPr>
      <w:r>
        <w:t>应说明产品设计时贯彻实施接口标准、互换性标准及其</w:t>
      </w:r>
      <w:r>
        <w:rPr>
          <w:spacing w:val="-1"/>
        </w:rPr>
        <w:t>要求的情况。</w:t>
      </w:r>
    </w:p>
    <w:p w14:paraId="19EAC407">
      <w:pPr>
        <w:spacing w:line="219" w:lineRule="auto"/>
        <w:sectPr>
          <w:footerReference r:id="rId305" w:type="default"/>
          <w:pgSz w:w="11910" w:h="17130"/>
          <w:pgMar w:top="1414" w:right="805" w:bottom="1737" w:left="1619" w:header="0" w:footer="1521" w:gutter="0"/>
          <w:cols w:space="720" w:num="1"/>
        </w:sectPr>
      </w:pPr>
    </w:p>
    <w:p w14:paraId="53BDA00B">
      <w:pPr>
        <w:spacing w:before="58" w:line="222" w:lineRule="auto"/>
        <w:rPr>
          <w:rFonts w:ascii="黑体" w:hAnsi="黑体" w:eastAsia="黑体" w:cs="黑体"/>
          <w:sz w:val="24"/>
          <w:szCs w:val="24"/>
        </w:rPr>
      </w:pPr>
      <w:r>
        <w:rPr>
          <w:rFonts w:ascii="黑体" w:hAnsi="黑体" w:eastAsia="黑体" w:cs="黑体"/>
          <w:spacing w:val="25"/>
          <w:sz w:val="24"/>
          <w:szCs w:val="24"/>
        </w:rPr>
        <w:t>4.5</w:t>
      </w:r>
      <w:r>
        <w:rPr>
          <w:rFonts w:ascii="黑体" w:hAnsi="黑体" w:eastAsia="黑体" w:cs="黑体"/>
          <w:spacing w:val="53"/>
          <w:sz w:val="24"/>
          <w:szCs w:val="24"/>
        </w:rPr>
        <w:t xml:space="preserve">  </w:t>
      </w:r>
      <w:r>
        <w:rPr>
          <w:rFonts w:ascii="黑体" w:hAnsi="黑体" w:eastAsia="黑体" w:cs="黑体"/>
          <w:b/>
          <w:bCs/>
          <w:spacing w:val="25"/>
          <w:sz w:val="24"/>
          <w:szCs w:val="24"/>
        </w:rPr>
        <w:t>重大标准的贯彻实施情况</w:t>
      </w:r>
    </w:p>
    <w:p w14:paraId="74694590">
      <w:pPr>
        <w:pStyle w:val="2"/>
        <w:spacing w:before="118" w:line="220" w:lineRule="auto"/>
        <w:ind w:left="415"/>
      </w:pPr>
      <w:r>
        <w:rPr>
          <w:spacing w:val="-10"/>
        </w:rPr>
        <w:t>“重大标准”主要是指：</w:t>
      </w:r>
    </w:p>
    <w:p w14:paraId="0DEC022A">
      <w:pPr>
        <w:pStyle w:val="2"/>
        <w:spacing w:before="97" w:line="219" w:lineRule="auto"/>
        <w:ind w:left="550"/>
      </w:pPr>
      <w:r>
        <w:rPr>
          <w:rFonts w:ascii="Times New Roman" w:hAnsi="Times New Roman" w:eastAsia="Times New Roman" w:cs="Times New Roman"/>
          <w:spacing w:val="-2"/>
        </w:rPr>
        <w:t>a</w:t>
      </w:r>
      <w:r>
        <w:rPr>
          <w:rFonts w:ascii="Times New Roman" w:hAnsi="Times New Roman" w:eastAsia="Times New Roman" w:cs="Times New Roman"/>
          <w:spacing w:val="-3"/>
        </w:rPr>
        <w:t xml:space="preserve"> </w:t>
      </w:r>
      <w:r>
        <w:rPr>
          <w:spacing w:val="-2"/>
        </w:rPr>
        <w:t>)贯彻实施涉及面宽、难度大的标准；</w:t>
      </w:r>
    </w:p>
    <w:p w14:paraId="0C75BCCF">
      <w:pPr>
        <w:pStyle w:val="2"/>
        <w:spacing w:before="49" w:line="212" w:lineRule="auto"/>
        <w:ind w:left="550"/>
      </w:pPr>
      <w:r>
        <w:rPr>
          <w:rFonts w:ascii="Times New Roman" w:hAnsi="Times New Roman" w:eastAsia="Times New Roman" w:cs="Times New Roman"/>
          <w:spacing w:val="3"/>
        </w:rPr>
        <w:t xml:space="preserve">b)  </w:t>
      </w:r>
      <w:r>
        <w:rPr>
          <w:spacing w:val="3"/>
        </w:rPr>
        <w:t>贯彻实施经费投入大的标准；</w:t>
      </w:r>
    </w:p>
    <w:p w14:paraId="270FC6C1">
      <w:pPr>
        <w:pStyle w:val="2"/>
        <w:spacing w:before="100" w:line="212" w:lineRule="auto"/>
        <w:ind w:left="550"/>
      </w:pPr>
      <w:r>
        <w:rPr>
          <w:rFonts w:ascii="Times New Roman" w:hAnsi="Times New Roman" w:eastAsia="Times New Roman" w:cs="Times New Roman"/>
          <w:spacing w:val="3"/>
        </w:rPr>
        <w:t>c)</w:t>
      </w:r>
      <w:r>
        <w:rPr>
          <w:rFonts w:ascii="Times New Roman" w:hAnsi="Times New Roman" w:eastAsia="Times New Roman" w:cs="Times New Roman"/>
          <w:spacing w:val="65"/>
        </w:rPr>
        <w:t xml:space="preserve"> </w:t>
      </w:r>
      <w:r>
        <w:rPr>
          <w:spacing w:val="3"/>
        </w:rPr>
        <w:t>贯彻实施组织和协调复杂的标准；</w:t>
      </w:r>
    </w:p>
    <w:p w14:paraId="77E764FC">
      <w:pPr>
        <w:pStyle w:val="2"/>
        <w:spacing w:before="99" w:line="212" w:lineRule="auto"/>
        <w:ind w:left="550"/>
      </w:pPr>
      <w:r>
        <w:rPr>
          <w:rFonts w:ascii="Times New Roman" w:hAnsi="Times New Roman" w:eastAsia="Times New Roman" w:cs="Times New Roman"/>
          <w:spacing w:val="3"/>
        </w:rPr>
        <w:t xml:space="preserve">d)  </w:t>
      </w:r>
      <w:r>
        <w:rPr>
          <w:spacing w:val="3"/>
        </w:rPr>
        <w:t>影响战术技术指标实现的标准；</w:t>
      </w:r>
    </w:p>
    <w:p w14:paraId="2BFBC2F5">
      <w:pPr>
        <w:pStyle w:val="2"/>
        <w:spacing w:before="160" w:line="219" w:lineRule="auto"/>
        <w:ind w:left="550"/>
        <w:rPr>
          <w:sz w:val="24"/>
          <w:szCs w:val="24"/>
        </w:rPr>
      </w:pPr>
      <w:r>
        <w:rPr>
          <w:rFonts w:ascii="Times New Roman" w:hAnsi="Times New Roman" w:eastAsia="Times New Roman" w:cs="Times New Roman"/>
          <w:spacing w:val="11"/>
          <w:sz w:val="24"/>
          <w:szCs w:val="24"/>
        </w:rPr>
        <w:t xml:space="preserve">e </w:t>
      </w:r>
      <w:r>
        <w:rPr>
          <w:spacing w:val="11"/>
          <w:sz w:val="24"/>
          <w:szCs w:val="24"/>
        </w:rPr>
        <w:t>)</w:t>
      </w:r>
      <w:r>
        <w:rPr>
          <w:spacing w:val="-36"/>
          <w:sz w:val="24"/>
          <w:szCs w:val="24"/>
        </w:rPr>
        <w:t xml:space="preserve"> </w:t>
      </w:r>
      <w:r>
        <w:rPr>
          <w:spacing w:val="11"/>
          <w:sz w:val="24"/>
          <w:szCs w:val="24"/>
        </w:rPr>
        <w:t>影响互连、互通、互操作的标准；</w:t>
      </w:r>
    </w:p>
    <w:p w14:paraId="53FC787B">
      <w:pPr>
        <w:pStyle w:val="2"/>
        <w:spacing w:before="66" w:line="212" w:lineRule="auto"/>
        <w:ind w:left="550"/>
      </w:pPr>
      <w:r>
        <w:rPr>
          <w:rFonts w:ascii="Times New Roman" w:hAnsi="Times New Roman" w:eastAsia="Times New Roman" w:cs="Times New Roman"/>
          <w:spacing w:val="2"/>
        </w:rPr>
        <w:t xml:space="preserve">f)  </w:t>
      </w:r>
      <w:r>
        <w:rPr>
          <w:spacing w:val="2"/>
        </w:rPr>
        <w:t>与安全关系密切的标准；</w:t>
      </w:r>
    </w:p>
    <w:p w14:paraId="457C7162">
      <w:pPr>
        <w:pStyle w:val="2"/>
        <w:spacing w:before="70" w:line="262" w:lineRule="auto"/>
        <w:ind w:left="550"/>
      </w:pPr>
      <w:r>
        <w:rPr>
          <w:rFonts w:ascii="Times New Roman" w:hAnsi="Times New Roman" w:eastAsia="Times New Roman" w:cs="Times New Roman"/>
          <w:spacing w:val="-2"/>
        </w:rPr>
        <w:t>g</w:t>
      </w:r>
      <w:r>
        <w:rPr>
          <w:rFonts w:ascii="Times New Roman" w:hAnsi="Times New Roman" w:eastAsia="Times New Roman" w:cs="Times New Roman"/>
          <w:spacing w:val="-6"/>
        </w:rPr>
        <w:t xml:space="preserve"> </w:t>
      </w:r>
      <w:r>
        <w:rPr>
          <w:spacing w:val="-2"/>
        </w:rPr>
        <w:t>)对提高产品通用化、系列化、组合化程度及节约费用有重大影响的标准。</w:t>
      </w:r>
      <w:r>
        <w:t xml:space="preserve"> </w:t>
      </w:r>
      <w:r>
        <w:rPr>
          <w:spacing w:val="-2"/>
        </w:rPr>
        <w:t>工作报告应说明组织编制“重大标准实施方案</w:t>
      </w:r>
      <w:r>
        <w:rPr>
          <w:spacing w:val="-3"/>
        </w:rPr>
        <w:t>”情况，贯彻实施这些重大标</w:t>
      </w:r>
    </w:p>
    <w:p w14:paraId="6F285511">
      <w:pPr>
        <w:pStyle w:val="2"/>
        <w:spacing w:before="104" w:line="219" w:lineRule="auto"/>
      </w:pPr>
      <w:r>
        <w:t>准的主要工作程序和内容，以及贯彻实施这些标准所取得的效果。</w:t>
      </w:r>
    </w:p>
    <w:p w14:paraId="134E71CE">
      <w:pPr>
        <w:pStyle w:val="2"/>
        <w:spacing w:before="89" w:line="276" w:lineRule="auto"/>
        <w:ind w:right="90" w:firstLine="550"/>
      </w:pPr>
      <w:r>
        <w:rPr>
          <w:spacing w:val="-3"/>
        </w:rPr>
        <w:t>可举例重点说明研制过程中遇到的主要困难、采取的解决措施、有关问题协</w:t>
      </w:r>
      <w:r>
        <w:rPr>
          <w:spacing w:val="2"/>
        </w:rPr>
        <w:t xml:space="preserve"> </w:t>
      </w:r>
      <w:r>
        <w:rPr>
          <w:spacing w:val="1"/>
        </w:rPr>
        <w:t>调处理的要求及情况等。</w:t>
      </w:r>
    </w:p>
    <w:p w14:paraId="76D43129">
      <w:pPr>
        <w:spacing w:before="20" w:line="223" w:lineRule="auto"/>
        <w:outlineLvl w:val="3"/>
        <w:rPr>
          <w:rFonts w:ascii="黑体" w:hAnsi="黑体" w:eastAsia="黑体" w:cs="黑体"/>
          <w:sz w:val="27"/>
          <w:szCs w:val="27"/>
        </w:rPr>
      </w:pPr>
      <w:r>
        <w:rPr>
          <w:rFonts w:ascii="Arial" w:hAnsi="Arial" w:eastAsia="Arial" w:cs="Arial"/>
          <w:b/>
          <w:bCs/>
          <w:spacing w:val="1"/>
          <w:sz w:val="27"/>
          <w:szCs w:val="27"/>
        </w:rPr>
        <w:t xml:space="preserve">5    </w:t>
      </w:r>
      <w:r>
        <w:rPr>
          <w:rFonts w:ascii="黑体" w:hAnsi="黑体" w:eastAsia="黑体" w:cs="黑体"/>
          <w:b/>
          <w:bCs/>
          <w:spacing w:val="1"/>
          <w:sz w:val="27"/>
          <w:szCs w:val="27"/>
        </w:rPr>
        <w:t>型号标准体系建立情况</w:t>
      </w:r>
    </w:p>
    <w:p w14:paraId="314672BA">
      <w:pPr>
        <w:pStyle w:val="2"/>
        <w:spacing w:before="117" w:line="279" w:lineRule="auto"/>
        <w:ind w:right="87" w:firstLine="550"/>
        <w:jc w:val="both"/>
      </w:pPr>
      <w:r>
        <w:rPr>
          <w:spacing w:val="-3"/>
        </w:rPr>
        <w:t>应说明型号标准体系建立情况，可从标准体系的需求分析、编制原则、结构</w:t>
      </w:r>
      <w:r>
        <w:rPr>
          <w:spacing w:val="5"/>
        </w:rPr>
        <w:t xml:space="preserve"> </w:t>
      </w:r>
      <w:r>
        <w:rPr>
          <w:spacing w:val="-2"/>
        </w:rPr>
        <w:t>框架、项目明细、动态管理及在型号研制中</w:t>
      </w:r>
      <w:r>
        <w:rPr>
          <w:spacing w:val="-3"/>
        </w:rPr>
        <w:t>的应用等方面进行描述，并说明根据</w:t>
      </w:r>
      <w:r>
        <w:t xml:space="preserve"> </w:t>
      </w:r>
      <w:r>
        <w:rPr>
          <w:spacing w:val="5"/>
        </w:rPr>
        <w:t>型号研制情况，对型号急需标准和规范的转化和制定情况等。可用列表的方式</w:t>
      </w:r>
      <w:r>
        <w:rPr>
          <w:spacing w:val="9"/>
        </w:rPr>
        <w:t xml:space="preserve"> </w:t>
      </w:r>
      <w:r>
        <w:rPr>
          <w:spacing w:val="1"/>
        </w:rPr>
        <w:t>表述制修订的新标准和规范。</w:t>
      </w:r>
    </w:p>
    <w:p w14:paraId="55C2EAA5">
      <w:pPr>
        <w:spacing w:before="22" w:line="222" w:lineRule="auto"/>
        <w:rPr>
          <w:rFonts w:ascii="黑体" w:hAnsi="黑体" w:eastAsia="黑体" w:cs="黑体"/>
          <w:sz w:val="27"/>
          <w:szCs w:val="27"/>
        </w:rPr>
      </w:pPr>
      <w:r>
        <w:rPr>
          <w:rFonts w:ascii="黑体" w:hAnsi="黑体" w:eastAsia="黑体" w:cs="黑体"/>
          <w:spacing w:val="-18"/>
          <w:sz w:val="27"/>
          <w:szCs w:val="27"/>
        </w:rPr>
        <w:t>6</w:t>
      </w:r>
      <w:r>
        <w:rPr>
          <w:rFonts w:ascii="黑体" w:hAnsi="黑体" w:eastAsia="黑体" w:cs="黑体"/>
          <w:spacing w:val="29"/>
          <w:sz w:val="27"/>
          <w:szCs w:val="27"/>
        </w:rPr>
        <w:t xml:space="preserve">  </w:t>
      </w:r>
      <w:r>
        <w:rPr>
          <w:rFonts w:ascii="黑体" w:hAnsi="黑体" w:eastAsia="黑体" w:cs="黑体"/>
          <w:b/>
          <w:bCs/>
          <w:spacing w:val="-18"/>
          <w:sz w:val="27"/>
          <w:szCs w:val="27"/>
        </w:rPr>
        <w:t>产品通用化、系列化、组合化(“三化”)设计与应用情况</w:t>
      </w:r>
    </w:p>
    <w:p w14:paraId="69D4E488">
      <w:pPr>
        <w:spacing w:before="165" w:line="222" w:lineRule="auto"/>
        <w:rPr>
          <w:rFonts w:ascii="黑体" w:hAnsi="黑体" w:eastAsia="黑体" w:cs="黑体"/>
          <w:sz w:val="24"/>
          <w:szCs w:val="24"/>
        </w:rPr>
      </w:pPr>
      <w:r>
        <w:rPr>
          <w:rFonts w:ascii="黑体" w:hAnsi="黑体" w:eastAsia="黑体" w:cs="黑体"/>
          <w:spacing w:val="27"/>
          <w:sz w:val="24"/>
          <w:szCs w:val="24"/>
        </w:rPr>
        <w:t>6.1</w:t>
      </w:r>
      <w:r>
        <w:rPr>
          <w:rFonts w:ascii="黑体" w:hAnsi="黑体" w:eastAsia="黑体" w:cs="黑体"/>
          <w:spacing w:val="60"/>
          <w:sz w:val="24"/>
          <w:szCs w:val="24"/>
        </w:rPr>
        <w:t xml:space="preserve">  </w:t>
      </w:r>
      <w:r>
        <w:rPr>
          <w:rFonts w:ascii="黑体" w:hAnsi="黑体" w:eastAsia="黑体" w:cs="黑体"/>
          <w:b/>
          <w:bCs/>
          <w:spacing w:val="27"/>
          <w:sz w:val="24"/>
          <w:szCs w:val="24"/>
        </w:rPr>
        <w:t>选用非研制项目要求和实现情况</w:t>
      </w:r>
    </w:p>
    <w:p w14:paraId="0F74C2AE">
      <w:pPr>
        <w:pStyle w:val="2"/>
        <w:spacing w:before="128" w:line="288" w:lineRule="auto"/>
        <w:ind w:right="72" w:firstLine="550"/>
      </w:pPr>
      <w:r>
        <w:rPr>
          <w:spacing w:val="-2"/>
        </w:rPr>
        <w:t>应说明选用非研制项目的原则和要求、主要工</w:t>
      </w:r>
      <w:r>
        <w:rPr>
          <w:spacing w:val="-3"/>
        </w:rPr>
        <w:t>作，以及随着研制进展，实施</w:t>
      </w:r>
      <w:r>
        <w:t xml:space="preserve"> </w:t>
      </w:r>
      <w:r>
        <w:rPr>
          <w:spacing w:val="-3"/>
        </w:rPr>
        <w:t>补充或调整的动态管理过程。可以附录形式给出产品的“非研制项目清单”。</w:t>
      </w:r>
    </w:p>
    <w:p w14:paraId="0B85BC2A">
      <w:pPr>
        <w:spacing w:before="11" w:line="221" w:lineRule="auto"/>
        <w:rPr>
          <w:rFonts w:ascii="黑体" w:hAnsi="黑体" w:eastAsia="黑体" w:cs="黑体"/>
          <w:sz w:val="27"/>
          <w:szCs w:val="27"/>
        </w:rPr>
      </w:pPr>
      <w:r>
        <w:rPr>
          <w:rFonts w:ascii="黑体" w:hAnsi="黑体" w:eastAsia="黑体" w:cs="黑体"/>
          <w:spacing w:val="-14"/>
          <w:sz w:val="27"/>
          <w:szCs w:val="27"/>
        </w:rPr>
        <w:t>6.2</w:t>
      </w:r>
      <w:r>
        <w:rPr>
          <w:rFonts w:ascii="黑体" w:hAnsi="黑体" w:eastAsia="黑体" w:cs="黑体"/>
          <w:spacing w:val="21"/>
          <w:sz w:val="27"/>
          <w:szCs w:val="27"/>
        </w:rPr>
        <w:t xml:space="preserve">  </w:t>
      </w:r>
      <w:r>
        <w:rPr>
          <w:rFonts w:ascii="黑体" w:hAnsi="黑体" w:eastAsia="黑体" w:cs="黑体"/>
          <w:b/>
          <w:bCs/>
          <w:spacing w:val="-14"/>
          <w:sz w:val="27"/>
          <w:szCs w:val="27"/>
        </w:rPr>
        <w:t>新“三化”产品要求和实现情况</w:t>
      </w:r>
    </w:p>
    <w:p w14:paraId="0B13DF31">
      <w:pPr>
        <w:pStyle w:val="2"/>
        <w:spacing w:before="145" w:line="272" w:lineRule="auto"/>
        <w:ind w:right="86" w:firstLine="550"/>
        <w:jc w:val="both"/>
      </w:pPr>
      <w:r>
        <w:rPr>
          <w:spacing w:val="-3"/>
        </w:rPr>
        <w:t>产品“三化”设计要求一般由标准化工作系统或标准化机构组织设计部门讨</w:t>
      </w:r>
      <w:r>
        <w:rPr>
          <w:spacing w:val="4"/>
        </w:rPr>
        <w:t xml:space="preserve"> </w:t>
      </w:r>
      <w:r>
        <w:rPr>
          <w:spacing w:val="-10"/>
        </w:rPr>
        <w:t>论提出。工作报告应说明组织设计人员开展“三化”方案论证、“三化”设计及其</w:t>
      </w:r>
      <w:r>
        <w:t xml:space="preserve"> </w:t>
      </w:r>
      <w:r>
        <w:rPr>
          <w:spacing w:val="-10"/>
        </w:rPr>
        <w:t>试验验证的具体情况，进行“三化”检查和评审或必要时建立“三化”产品数据库</w:t>
      </w:r>
      <w:r>
        <w:rPr>
          <w:spacing w:val="6"/>
        </w:rPr>
        <w:t xml:space="preserve"> </w:t>
      </w:r>
      <w:r>
        <w:rPr>
          <w:spacing w:val="-2"/>
        </w:rPr>
        <w:t>的工作情况，并对“三化”设计的最终结果进行具</w:t>
      </w:r>
      <w:r>
        <w:rPr>
          <w:spacing w:val="-3"/>
        </w:rPr>
        <w:t>体描述。可举例重点说明遇到</w:t>
      </w:r>
      <w:r>
        <w:t xml:space="preserve"> </w:t>
      </w:r>
      <w:r>
        <w:rPr>
          <w:spacing w:val="-8"/>
        </w:rPr>
        <w:t>的主要问题、采取的解决措施、协调处理的过程等。</w:t>
      </w:r>
    </w:p>
    <w:p w14:paraId="4F713608">
      <w:pPr>
        <w:spacing w:before="53" w:line="221" w:lineRule="auto"/>
        <w:outlineLvl w:val="3"/>
        <w:rPr>
          <w:rFonts w:ascii="黑体" w:hAnsi="黑体" w:eastAsia="黑体" w:cs="黑体"/>
          <w:sz w:val="27"/>
          <w:szCs w:val="27"/>
        </w:rPr>
      </w:pPr>
      <w:r>
        <w:rPr>
          <w:rFonts w:ascii="Arial" w:hAnsi="Arial" w:eastAsia="Arial" w:cs="Arial"/>
          <w:b/>
          <w:bCs/>
          <w:spacing w:val="1"/>
          <w:sz w:val="27"/>
          <w:szCs w:val="27"/>
        </w:rPr>
        <w:t xml:space="preserve">7    </w:t>
      </w:r>
      <w:r>
        <w:rPr>
          <w:rFonts w:ascii="黑体" w:hAnsi="黑体" w:eastAsia="黑体" w:cs="黑体"/>
          <w:b/>
          <w:bCs/>
          <w:spacing w:val="1"/>
          <w:sz w:val="27"/>
          <w:szCs w:val="27"/>
        </w:rPr>
        <w:t>标准化效益分析评估</w:t>
      </w:r>
    </w:p>
    <w:p w14:paraId="5757B769">
      <w:pPr>
        <w:pStyle w:val="2"/>
        <w:spacing w:before="132" w:line="270" w:lineRule="auto"/>
        <w:ind w:right="93" w:firstLine="550"/>
      </w:pPr>
      <w:r>
        <w:rPr>
          <w:spacing w:val="5"/>
        </w:rPr>
        <w:t>对产品采用标准化技术所带来的经济效益进行分析和预测，可从以下几个</w:t>
      </w:r>
      <w:r>
        <w:rPr>
          <w:spacing w:val="10"/>
        </w:rPr>
        <w:t xml:space="preserve"> </w:t>
      </w:r>
      <w:r>
        <w:rPr>
          <w:spacing w:val="3"/>
        </w:rPr>
        <w:t>方面具体说明标准化工作的效益：</w:t>
      </w:r>
    </w:p>
    <w:p w14:paraId="0E949623">
      <w:pPr>
        <w:pStyle w:val="2"/>
        <w:spacing w:before="1" w:line="212" w:lineRule="auto"/>
        <w:ind w:left="550"/>
      </w:pPr>
      <w:r>
        <w:rPr>
          <w:rFonts w:ascii="Times New Roman" w:hAnsi="Times New Roman" w:eastAsia="Times New Roman" w:cs="Times New Roman"/>
          <w:spacing w:val="-8"/>
        </w:rPr>
        <w:t xml:space="preserve">a)  </w:t>
      </w:r>
      <w:r>
        <w:rPr>
          <w:spacing w:val="-8"/>
        </w:rPr>
        <w:t>采用的标准件、元器件、原材料合理简化产品品种、规格的数量；</w:t>
      </w:r>
    </w:p>
    <w:p w14:paraId="431E7DD1">
      <w:pPr>
        <w:pStyle w:val="2"/>
        <w:spacing w:before="80" w:line="212" w:lineRule="auto"/>
        <w:ind w:left="550"/>
      </w:pPr>
      <w:r>
        <w:rPr>
          <w:rFonts w:ascii="Times New Roman" w:hAnsi="Times New Roman" w:eastAsia="Times New Roman" w:cs="Times New Roman"/>
          <w:spacing w:val="-11"/>
        </w:rPr>
        <w:t xml:space="preserve">b)  </w:t>
      </w:r>
      <w:r>
        <w:rPr>
          <w:spacing w:val="-11"/>
        </w:rPr>
        <w:t>产品“三化”设计的水平评价，计算</w:t>
      </w:r>
      <w:r>
        <w:rPr>
          <w:spacing w:val="-12"/>
        </w:rPr>
        <w:t>标准化系数；</w:t>
      </w:r>
    </w:p>
    <w:p w14:paraId="1D0981FD">
      <w:pPr>
        <w:spacing w:line="212" w:lineRule="auto"/>
        <w:sectPr>
          <w:footerReference r:id="rId306" w:type="default"/>
          <w:pgSz w:w="11910" w:h="17130"/>
          <w:pgMar w:top="1456" w:right="1475" w:bottom="1753" w:left="979" w:header="0" w:footer="1554" w:gutter="0"/>
          <w:cols w:space="720" w:num="1"/>
        </w:sectPr>
      </w:pPr>
    </w:p>
    <w:p w14:paraId="3349522C">
      <w:pPr>
        <w:pStyle w:val="2"/>
        <w:spacing w:before="59" w:line="281" w:lineRule="auto"/>
        <w:ind w:right="114" w:firstLine="560"/>
      </w:pPr>
      <w:r>
        <w:rPr>
          <w:rFonts w:ascii="Times New Roman" w:hAnsi="Times New Roman" w:eastAsia="Times New Roman" w:cs="Times New Roman"/>
          <w:spacing w:val="-5"/>
        </w:rPr>
        <w:t>c)</w:t>
      </w:r>
      <w:r>
        <w:rPr>
          <w:rFonts w:ascii="Times New Roman" w:hAnsi="Times New Roman" w:eastAsia="Times New Roman" w:cs="Times New Roman"/>
          <w:spacing w:val="52"/>
          <w:w w:val="101"/>
        </w:rPr>
        <w:t xml:space="preserve"> </w:t>
      </w:r>
      <w:r>
        <w:rPr>
          <w:spacing w:val="-5"/>
        </w:rPr>
        <w:t>有关接口是否统一、协调，是否符合互换性要求</w:t>
      </w:r>
      <w:r>
        <w:rPr>
          <w:spacing w:val="-6"/>
        </w:rPr>
        <w:t>，对缩短作战响应时间的</w:t>
      </w:r>
      <w:r>
        <w:t xml:space="preserve"> </w:t>
      </w:r>
      <w:r>
        <w:rPr>
          <w:spacing w:val="1"/>
        </w:rPr>
        <w:t>作用；</w:t>
      </w:r>
    </w:p>
    <w:p w14:paraId="209D8607">
      <w:pPr>
        <w:pStyle w:val="2"/>
        <w:spacing w:before="46" w:line="212" w:lineRule="auto"/>
        <w:ind w:left="560"/>
      </w:pPr>
      <w:r>
        <w:rPr>
          <w:rFonts w:ascii="Times New Roman" w:hAnsi="Times New Roman" w:eastAsia="Times New Roman" w:cs="Times New Roman"/>
          <w:spacing w:val="3"/>
        </w:rPr>
        <w:t>d)</w:t>
      </w:r>
      <w:r>
        <w:rPr>
          <w:rFonts w:ascii="Times New Roman" w:hAnsi="Times New Roman" w:eastAsia="Times New Roman" w:cs="Times New Roman"/>
          <w:spacing w:val="81"/>
        </w:rPr>
        <w:t xml:space="preserve"> </w:t>
      </w:r>
      <w:r>
        <w:rPr>
          <w:spacing w:val="3"/>
        </w:rPr>
        <w:t>标准化工作对降低研制成本所做的贡献；</w:t>
      </w:r>
    </w:p>
    <w:p w14:paraId="42973BC3">
      <w:pPr>
        <w:pStyle w:val="2"/>
        <w:spacing w:before="122" w:line="212" w:lineRule="auto"/>
        <w:ind w:left="560"/>
        <w:rPr>
          <w:sz w:val="24"/>
          <w:szCs w:val="24"/>
        </w:rPr>
      </w:pPr>
      <w:r>
        <w:rPr>
          <w:rFonts w:ascii="Times New Roman" w:hAnsi="Times New Roman" w:eastAsia="Times New Roman" w:cs="Times New Roman"/>
          <w:spacing w:val="28"/>
          <w:sz w:val="24"/>
          <w:szCs w:val="24"/>
        </w:rPr>
        <w:t xml:space="preserve">e)  </w:t>
      </w:r>
      <w:r>
        <w:rPr>
          <w:spacing w:val="28"/>
          <w:sz w:val="24"/>
          <w:szCs w:val="24"/>
        </w:rPr>
        <w:t>标准化工作对缩短研制周期所做的贡献；</w:t>
      </w:r>
    </w:p>
    <w:p w14:paraId="1F4F2CAA">
      <w:pPr>
        <w:pStyle w:val="2"/>
        <w:spacing w:before="102" w:line="212" w:lineRule="auto"/>
        <w:ind w:left="560"/>
      </w:pPr>
      <w:r>
        <w:rPr>
          <w:rFonts w:ascii="Times New Roman" w:hAnsi="Times New Roman" w:eastAsia="Times New Roman" w:cs="Times New Roman"/>
          <w:spacing w:val="1"/>
        </w:rPr>
        <w:t>f)</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 xml:space="preserve">· </w:t>
      </w:r>
      <w:r>
        <w:rPr>
          <w:spacing w:val="1"/>
        </w:rPr>
        <w:t>标准化工作对满足作战指标要求所做的贡献等。</w:t>
      </w:r>
    </w:p>
    <w:p w14:paraId="3A198A78">
      <w:pPr>
        <w:spacing w:before="110" w:line="368" w:lineRule="exact"/>
        <w:rPr>
          <w:rFonts w:ascii="黑体" w:hAnsi="黑体" w:eastAsia="黑体" w:cs="黑体"/>
          <w:sz w:val="27"/>
          <w:szCs w:val="27"/>
        </w:rPr>
      </w:pPr>
      <w:r>
        <w:rPr>
          <w:rFonts w:ascii="Arial" w:hAnsi="Arial" w:eastAsia="Arial" w:cs="Arial"/>
          <w:spacing w:val="4"/>
          <w:position w:val="1"/>
          <w:sz w:val="27"/>
          <w:szCs w:val="27"/>
        </w:rPr>
        <w:t>8</w:t>
      </w:r>
      <w:r>
        <w:rPr>
          <w:rFonts w:ascii="Arial" w:hAnsi="Arial" w:eastAsia="Arial" w:cs="Arial"/>
          <w:spacing w:val="24"/>
          <w:position w:val="1"/>
          <w:sz w:val="27"/>
          <w:szCs w:val="27"/>
        </w:rPr>
        <w:t xml:space="preserve">   </w:t>
      </w:r>
      <w:r>
        <w:rPr>
          <w:rFonts w:ascii="黑体" w:hAnsi="黑体" w:eastAsia="黑体" w:cs="黑体"/>
          <w:spacing w:val="4"/>
          <w:position w:val="1"/>
          <w:sz w:val="27"/>
          <w:szCs w:val="27"/>
        </w:rPr>
        <w:t>存在的问题及解决措施</w:t>
      </w:r>
    </w:p>
    <w:p w14:paraId="5660A91E">
      <w:pPr>
        <w:pStyle w:val="2"/>
        <w:spacing w:before="102" w:line="278" w:lineRule="auto"/>
        <w:ind w:right="75" w:firstLine="560"/>
        <w:jc w:val="both"/>
      </w:pPr>
      <w:r>
        <w:rPr>
          <w:spacing w:val="6"/>
        </w:rPr>
        <w:t>应说明产品设计定型时是否还存在标准化方面的问题，以及建议</w:t>
      </w:r>
      <w:r>
        <w:rPr>
          <w:spacing w:val="5"/>
        </w:rPr>
        <w:t>采取的解</w:t>
      </w:r>
      <w:r>
        <w:t xml:space="preserve"> </w:t>
      </w:r>
      <w:r>
        <w:rPr>
          <w:spacing w:val="5"/>
        </w:rPr>
        <w:t>决措施。可以列表的方式详细叙述问题。例如设计文</w:t>
      </w:r>
      <w:r>
        <w:rPr>
          <w:spacing w:val="4"/>
        </w:rPr>
        <w:t>件是否存在不符合相关标</w:t>
      </w:r>
      <w:r>
        <w:t xml:space="preserve"> </w:t>
      </w:r>
      <w:r>
        <w:rPr>
          <w:spacing w:val="-5"/>
        </w:rPr>
        <w:t>准规定的问题；未贯彻执行的标准项目、原因及建议采取的措施等。</w:t>
      </w:r>
    </w:p>
    <w:p w14:paraId="0E676DA7">
      <w:pPr>
        <w:spacing w:line="368" w:lineRule="exact"/>
        <w:rPr>
          <w:rFonts w:ascii="黑体" w:hAnsi="黑体" w:eastAsia="黑体" w:cs="黑体"/>
          <w:sz w:val="27"/>
          <w:szCs w:val="27"/>
        </w:rPr>
      </w:pPr>
      <w:r>
        <w:rPr>
          <w:rFonts w:ascii="Arial" w:hAnsi="Arial" w:eastAsia="Arial" w:cs="Arial"/>
          <w:spacing w:val="1"/>
          <w:position w:val="1"/>
          <w:sz w:val="27"/>
          <w:szCs w:val="27"/>
        </w:rPr>
        <w:t>9</w:t>
      </w:r>
      <w:r>
        <w:rPr>
          <w:rFonts w:ascii="Arial" w:hAnsi="Arial" w:eastAsia="Arial" w:cs="Arial"/>
          <w:spacing w:val="23"/>
          <w:position w:val="1"/>
          <w:sz w:val="27"/>
          <w:szCs w:val="27"/>
        </w:rPr>
        <w:t xml:space="preserve">   </w:t>
      </w:r>
      <w:r>
        <w:rPr>
          <w:rFonts w:ascii="黑体" w:hAnsi="黑体" w:eastAsia="黑体" w:cs="黑体"/>
          <w:spacing w:val="1"/>
          <w:position w:val="1"/>
          <w:sz w:val="27"/>
          <w:szCs w:val="27"/>
        </w:rPr>
        <w:t>结论与建议</w:t>
      </w:r>
    </w:p>
    <w:p w14:paraId="22EC46A3">
      <w:pPr>
        <w:spacing w:before="156" w:line="226" w:lineRule="auto"/>
        <w:rPr>
          <w:rFonts w:ascii="黑体" w:hAnsi="黑体" w:eastAsia="黑体" w:cs="黑体"/>
          <w:sz w:val="27"/>
          <w:szCs w:val="27"/>
        </w:rPr>
      </w:pPr>
      <w:r>
        <w:rPr>
          <w:rFonts w:ascii="黑体" w:hAnsi="黑体" w:eastAsia="黑体" w:cs="黑体"/>
          <w:spacing w:val="-2"/>
          <w:sz w:val="27"/>
          <w:szCs w:val="27"/>
        </w:rPr>
        <w:t>9.1</w:t>
      </w:r>
      <w:r>
        <w:rPr>
          <w:rFonts w:ascii="黑体" w:hAnsi="黑体" w:eastAsia="黑体" w:cs="黑体"/>
          <w:spacing w:val="24"/>
          <w:sz w:val="27"/>
          <w:szCs w:val="27"/>
        </w:rPr>
        <w:t xml:space="preserve">  </w:t>
      </w:r>
      <w:r>
        <w:rPr>
          <w:rFonts w:ascii="黑体" w:hAnsi="黑体" w:eastAsia="黑体" w:cs="黑体"/>
          <w:spacing w:val="-2"/>
          <w:sz w:val="27"/>
          <w:szCs w:val="27"/>
        </w:rPr>
        <w:t>结论</w:t>
      </w:r>
    </w:p>
    <w:p w14:paraId="13DDFA4D">
      <w:pPr>
        <w:pStyle w:val="2"/>
        <w:spacing w:before="93" w:line="218" w:lineRule="auto"/>
        <w:ind w:left="560"/>
      </w:pPr>
      <w:r>
        <w:rPr>
          <w:spacing w:val="-1"/>
        </w:rPr>
        <w:t>应对产品研制过程中的标准化工作做出总体性的自我</w:t>
      </w:r>
      <w:r>
        <w:rPr>
          <w:spacing w:val="-2"/>
        </w:rPr>
        <w:t>评价，包括：</w:t>
      </w:r>
    </w:p>
    <w:p w14:paraId="5FE5466D">
      <w:pPr>
        <w:pStyle w:val="2"/>
        <w:spacing w:before="63" w:line="212" w:lineRule="auto"/>
        <w:ind w:left="560"/>
      </w:pPr>
      <w:r>
        <w:rPr>
          <w:rFonts w:ascii="Times New Roman" w:hAnsi="Times New Roman" w:eastAsia="Times New Roman" w:cs="Times New Roman"/>
          <w:spacing w:val="-5"/>
        </w:rPr>
        <w:t>a)</w:t>
      </w:r>
      <w:r>
        <w:rPr>
          <w:rFonts w:ascii="Times New Roman" w:hAnsi="Times New Roman" w:eastAsia="Times New Roman" w:cs="Times New Roman"/>
          <w:spacing w:val="76"/>
        </w:rPr>
        <w:t xml:space="preserve"> </w:t>
      </w:r>
      <w:r>
        <w:rPr>
          <w:spacing w:val="-5"/>
        </w:rPr>
        <w:t>标准化工作是否实现了“产品标准化大纲”提出的各项要求；</w:t>
      </w:r>
    </w:p>
    <w:p w14:paraId="60718482">
      <w:pPr>
        <w:pStyle w:val="2"/>
        <w:spacing w:before="100"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61"/>
        </w:rPr>
        <w:t xml:space="preserve"> </w:t>
      </w:r>
      <w:r>
        <w:rPr>
          <w:spacing w:val="4"/>
        </w:rPr>
        <w:t>是否满足设计定型的要求等。</w:t>
      </w:r>
    </w:p>
    <w:p w14:paraId="1435FE72">
      <w:pPr>
        <w:spacing w:before="187" w:line="222" w:lineRule="auto"/>
        <w:rPr>
          <w:rFonts w:ascii="黑体" w:hAnsi="黑体" w:eastAsia="黑体" w:cs="黑体"/>
          <w:sz w:val="24"/>
          <w:szCs w:val="24"/>
        </w:rPr>
      </w:pPr>
      <w:r>
        <w:rPr>
          <w:rFonts w:ascii="黑体" w:hAnsi="黑体" w:eastAsia="黑体" w:cs="黑体"/>
          <w:spacing w:val="19"/>
          <w:sz w:val="24"/>
          <w:szCs w:val="24"/>
        </w:rPr>
        <w:t>9.2</w:t>
      </w:r>
      <w:r>
        <w:rPr>
          <w:rFonts w:ascii="黑体" w:hAnsi="黑体" w:eastAsia="黑体" w:cs="黑体"/>
          <w:spacing w:val="53"/>
          <w:sz w:val="24"/>
          <w:szCs w:val="24"/>
        </w:rPr>
        <w:t xml:space="preserve">  </w:t>
      </w:r>
      <w:r>
        <w:rPr>
          <w:rFonts w:ascii="黑体" w:hAnsi="黑体" w:eastAsia="黑体" w:cs="黑体"/>
          <w:spacing w:val="19"/>
          <w:sz w:val="24"/>
          <w:szCs w:val="24"/>
        </w:rPr>
        <w:t>工作建议</w:t>
      </w:r>
    </w:p>
    <w:p w14:paraId="25616E9B">
      <w:pPr>
        <w:pStyle w:val="2"/>
        <w:spacing w:before="115" w:line="220" w:lineRule="auto"/>
        <w:ind w:left="560"/>
      </w:pPr>
      <w:r>
        <w:rPr>
          <w:spacing w:val="2"/>
        </w:rPr>
        <w:t>对下一阶段的标准化工作提出建议。</w:t>
      </w:r>
    </w:p>
    <w:p w14:paraId="186A8A61">
      <w:pPr>
        <w:spacing w:before="106" w:line="222" w:lineRule="auto"/>
        <w:rPr>
          <w:rFonts w:ascii="黑体" w:hAnsi="黑体" w:eastAsia="黑体" w:cs="黑体"/>
          <w:sz w:val="27"/>
          <w:szCs w:val="27"/>
        </w:rPr>
      </w:pPr>
      <w:r>
        <w:rPr>
          <w:rFonts w:ascii="黑体" w:hAnsi="黑体" w:eastAsia="黑体" w:cs="黑体"/>
          <w:spacing w:val="-7"/>
          <w:sz w:val="27"/>
          <w:szCs w:val="27"/>
        </w:rPr>
        <w:t>附录</w:t>
      </w:r>
    </w:p>
    <w:p w14:paraId="2DC17C62">
      <w:pPr>
        <w:pStyle w:val="2"/>
        <w:spacing w:before="135" w:line="219" w:lineRule="auto"/>
        <w:ind w:left="560"/>
      </w:pPr>
      <w:r>
        <w:rPr>
          <w:spacing w:val="-4"/>
        </w:rPr>
        <w:t>附录为可选要素，是对正文内容的补充和说明，可包括但不限于以下内容：</w:t>
      </w:r>
    </w:p>
    <w:p w14:paraId="79BBB87D">
      <w:pPr>
        <w:pStyle w:val="2"/>
        <w:spacing w:before="51" w:line="212" w:lineRule="auto"/>
        <w:ind w:left="560"/>
      </w:pPr>
      <w:r>
        <w:rPr>
          <w:rFonts w:ascii="Times New Roman" w:hAnsi="Times New Roman" w:eastAsia="Times New Roman" w:cs="Times New Roman"/>
          <w:spacing w:val="3"/>
        </w:rPr>
        <w:t xml:space="preserve">a)  </w:t>
      </w:r>
      <w:r>
        <w:rPr>
          <w:spacing w:val="3"/>
        </w:rPr>
        <w:t>型号标准化文件体系表或型号标准化文件项目清单等；</w:t>
      </w:r>
    </w:p>
    <w:p w14:paraId="43226609">
      <w:pPr>
        <w:pStyle w:val="2"/>
        <w:spacing w:before="122" w:line="212" w:lineRule="auto"/>
        <w:ind w:left="560"/>
        <w:rPr>
          <w:sz w:val="24"/>
          <w:szCs w:val="24"/>
        </w:rPr>
      </w:pPr>
      <w:r>
        <w:rPr>
          <w:rFonts w:ascii="Times New Roman" w:hAnsi="Times New Roman" w:eastAsia="Times New Roman" w:cs="Times New Roman"/>
          <w:spacing w:val="21"/>
          <w:sz w:val="24"/>
          <w:szCs w:val="24"/>
        </w:rPr>
        <w:t xml:space="preserve">b)  </w:t>
      </w:r>
      <w:r>
        <w:rPr>
          <w:spacing w:val="21"/>
          <w:sz w:val="24"/>
          <w:szCs w:val="24"/>
        </w:rPr>
        <w:t>标准选用范围；</w:t>
      </w:r>
    </w:p>
    <w:p w14:paraId="265C3577">
      <w:pPr>
        <w:pStyle w:val="2"/>
        <w:spacing w:before="103" w:line="212" w:lineRule="auto"/>
        <w:ind w:left="560"/>
      </w:pPr>
      <w:r>
        <w:rPr>
          <w:rFonts w:ascii="Times New Roman" w:hAnsi="Times New Roman" w:eastAsia="Times New Roman" w:cs="Times New Roman"/>
          <w:spacing w:val="-12"/>
        </w:rPr>
        <w:t>c)</w:t>
      </w:r>
      <w:r>
        <w:rPr>
          <w:rFonts w:ascii="Times New Roman" w:hAnsi="Times New Roman" w:eastAsia="Times New Roman" w:cs="Times New Roman"/>
          <w:spacing w:val="65"/>
        </w:rPr>
        <w:t xml:space="preserve"> </w:t>
      </w:r>
      <w:r>
        <w:rPr>
          <w:spacing w:val="-12"/>
        </w:rPr>
        <w:t>标准件、元器件、原材料选用范围；</w:t>
      </w:r>
    </w:p>
    <w:p w14:paraId="6DEA1030">
      <w:pPr>
        <w:pStyle w:val="2"/>
        <w:spacing w:before="100" w:line="212" w:lineRule="auto"/>
        <w:ind w:left="560"/>
      </w:pPr>
      <w:r>
        <w:rPr>
          <w:rFonts w:ascii="Times New Roman" w:hAnsi="Times New Roman" w:eastAsia="Times New Roman" w:cs="Times New Roman"/>
          <w:spacing w:val="2"/>
        </w:rPr>
        <w:t>d)</w:t>
      </w:r>
      <w:r>
        <w:rPr>
          <w:rFonts w:ascii="Times New Roman" w:hAnsi="Times New Roman" w:eastAsia="Times New Roman" w:cs="Times New Roman"/>
          <w:spacing w:val="53"/>
        </w:rPr>
        <w:t xml:space="preserve"> </w:t>
      </w:r>
      <w:r>
        <w:rPr>
          <w:spacing w:val="2"/>
        </w:rPr>
        <w:t>采用标准清单；</w:t>
      </w:r>
    </w:p>
    <w:p w14:paraId="1738D41C">
      <w:pPr>
        <w:pStyle w:val="2"/>
        <w:spacing w:before="110" w:line="212" w:lineRule="auto"/>
        <w:ind w:left="560"/>
      </w:pPr>
      <w:r>
        <w:rPr>
          <w:rFonts w:ascii="Times New Roman" w:hAnsi="Times New Roman" w:eastAsia="Times New Roman" w:cs="Times New Roman"/>
          <w:spacing w:val="2"/>
        </w:rPr>
        <w:t>e)</w:t>
      </w:r>
      <w:r>
        <w:rPr>
          <w:rFonts w:ascii="Times New Roman" w:hAnsi="Times New Roman" w:eastAsia="Times New Roman" w:cs="Times New Roman"/>
          <w:spacing w:val="56"/>
          <w:w w:val="101"/>
        </w:rPr>
        <w:t xml:space="preserve"> </w:t>
      </w:r>
      <w:r>
        <w:rPr>
          <w:spacing w:val="2"/>
        </w:rPr>
        <w:t>非研制项目清单；</w:t>
      </w:r>
    </w:p>
    <w:p w14:paraId="6CA4E644">
      <w:pPr>
        <w:pStyle w:val="2"/>
        <w:spacing w:before="100" w:line="212" w:lineRule="auto"/>
        <w:ind w:left="560"/>
      </w:pPr>
      <w:r>
        <w:rPr>
          <w:rFonts w:ascii="Times New Roman" w:hAnsi="Times New Roman" w:eastAsia="Times New Roman" w:cs="Times New Roman"/>
          <w:spacing w:val="-13"/>
        </w:rPr>
        <w:t xml:space="preserve">f)  </w:t>
      </w:r>
      <w:r>
        <w:rPr>
          <w:spacing w:val="-13"/>
        </w:rPr>
        <w:t>术语、符号代号、缩略语等。</w:t>
      </w:r>
    </w:p>
    <w:p w14:paraId="5C735830">
      <w:pPr>
        <w:spacing w:before="167" w:line="222" w:lineRule="auto"/>
        <w:rPr>
          <w:rFonts w:ascii="黑体" w:hAnsi="黑体" w:eastAsia="黑体" w:cs="黑体"/>
          <w:sz w:val="24"/>
          <w:szCs w:val="24"/>
        </w:rPr>
      </w:pPr>
      <w:r>
        <w:rPr>
          <w:rFonts w:ascii="黑体" w:hAnsi="黑体" w:eastAsia="黑体" w:cs="黑体"/>
          <w:spacing w:val="34"/>
          <w:sz w:val="24"/>
          <w:szCs w:val="24"/>
        </w:rPr>
        <w:t>参考文献</w:t>
      </w:r>
    </w:p>
    <w:p w14:paraId="189880AE">
      <w:pPr>
        <w:pStyle w:val="2"/>
        <w:spacing w:before="152" w:line="273" w:lineRule="auto"/>
        <w:ind w:firstLine="560"/>
        <w:jc w:val="both"/>
      </w:pPr>
      <w:r>
        <w:rPr>
          <w:spacing w:val="8"/>
        </w:rPr>
        <w:t>参考文献为可选要素，视标准化工作报告有无或是否需要参考文献而定。</w:t>
      </w:r>
      <w:r>
        <w:rPr>
          <w:spacing w:val="7"/>
        </w:rPr>
        <w:t xml:space="preserve"> </w:t>
      </w:r>
      <w:r>
        <w:rPr>
          <w:spacing w:val="-10"/>
        </w:rPr>
        <w:t>当有参考文献时，应在最后一个附录之后，以</w:t>
      </w:r>
      <w:r>
        <w:rPr>
          <w:spacing w:val="-11"/>
        </w:rPr>
        <w:t>“参考文献”为标题，给出编制依据</w:t>
      </w:r>
      <w:r>
        <w:t xml:space="preserve">  </w:t>
      </w:r>
      <w:r>
        <w:rPr>
          <w:spacing w:val="5"/>
        </w:rPr>
        <w:t>文件一览表中不能包含的但有助于阅读者理解所需文件</w:t>
      </w:r>
      <w:r>
        <w:rPr>
          <w:spacing w:val="4"/>
        </w:rPr>
        <w:t>的一览表。</w:t>
      </w:r>
    </w:p>
    <w:p w14:paraId="346C2F74">
      <w:pPr>
        <w:pStyle w:val="2"/>
        <w:spacing w:line="220" w:lineRule="auto"/>
        <w:ind w:left="564"/>
        <w:rPr>
          <w:rFonts w:ascii="楷体" w:hAnsi="楷体" w:eastAsia="楷体" w:cs="楷体"/>
          <w:sz w:val="28"/>
          <w:szCs w:val="28"/>
        </w:rPr>
      </w:pPr>
      <w:r>
        <w:rPr>
          <w:rFonts w:ascii="楷体" w:hAnsi="楷体" w:eastAsia="楷体" w:cs="楷体"/>
          <w:b/>
          <w:bCs/>
          <w:spacing w:val="-17"/>
          <w:sz w:val="28"/>
          <w:szCs w:val="28"/>
        </w:rPr>
        <w:t>按照</w:t>
      </w:r>
      <w:r>
        <w:rPr>
          <w:rFonts w:ascii="Times New Roman" w:hAnsi="Times New Roman" w:eastAsia="Times New Roman" w:cs="Times New Roman"/>
          <w:b/>
          <w:bCs/>
          <w:spacing w:val="-17"/>
          <w:sz w:val="28"/>
          <w:szCs w:val="28"/>
        </w:rPr>
        <w:t>GJB/Z</w:t>
      </w:r>
      <w:r>
        <w:rPr>
          <w:rFonts w:ascii="Times New Roman" w:hAnsi="Times New Roman" w:eastAsia="Times New Roman" w:cs="Times New Roman"/>
          <w:b/>
          <w:bCs/>
          <w:spacing w:val="14"/>
          <w:sz w:val="28"/>
          <w:szCs w:val="28"/>
        </w:rPr>
        <w:t xml:space="preserve"> </w:t>
      </w:r>
      <w:r>
        <w:rPr>
          <w:rFonts w:ascii="Times New Roman" w:hAnsi="Times New Roman" w:eastAsia="Times New Roman" w:cs="Times New Roman"/>
          <w:b/>
          <w:bCs/>
          <w:spacing w:val="-17"/>
          <w:sz w:val="28"/>
          <w:szCs w:val="28"/>
        </w:rPr>
        <w:t>113—1998</w:t>
      </w:r>
      <w:r>
        <w:rPr>
          <w:b/>
          <w:bCs/>
          <w:spacing w:val="-17"/>
          <w:sz w:val="28"/>
          <w:szCs w:val="28"/>
        </w:rPr>
        <w:t>《</w:t>
      </w:r>
      <w:r>
        <w:rPr>
          <w:rFonts w:ascii="楷体" w:hAnsi="楷体" w:eastAsia="楷体" w:cs="楷体"/>
          <w:b/>
          <w:bCs/>
          <w:spacing w:val="-17"/>
          <w:sz w:val="28"/>
          <w:szCs w:val="28"/>
        </w:rPr>
        <w:t>标准化评审</w:t>
      </w:r>
      <w:r>
        <w:rPr>
          <w:rFonts w:ascii="楷体" w:hAnsi="楷体" w:eastAsia="楷体" w:cs="楷体"/>
          <w:b/>
          <w:bCs/>
          <w:spacing w:val="-18"/>
          <w:sz w:val="28"/>
          <w:szCs w:val="28"/>
        </w:rPr>
        <w:t>》编写，目次格式如下：</w:t>
      </w:r>
    </w:p>
    <w:p w14:paraId="09533150">
      <w:pPr>
        <w:spacing w:before="63" w:line="232" w:lineRule="auto"/>
        <w:ind w:left="560"/>
        <w:rPr>
          <w:rFonts w:ascii="楷体" w:hAnsi="楷体" w:eastAsia="楷体" w:cs="楷体"/>
          <w:sz w:val="28"/>
          <w:szCs w:val="28"/>
        </w:rPr>
      </w:pPr>
      <w:r>
        <w:rPr>
          <w:rFonts w:ascii="楷体" w:hAnsi="楷体" w:eastAsia="楷体" w:cs="楷体"/>
          <w:spacing w:val="-18"/>
          <w:sz w:val="28"/>
          <w:szCs w:val="28"/>
        </w:rPr>
        <w:t>1</w:t>
      </w:r>
      <w:r>
        <w:rPr>
          <w:rFonts w:ascii="楷体" w:hAnsi="楷体" w:eastAsia="楷体" w:cs="楷体"/>
          <w:spacing w:val="19"/>
          <w:sz w:val="28"/>
          <w:szCs w:val="28"/>
        </w:rPr>
        <w:t xml:space="preserve"> </w:t>
      </w:r>
      <w:r>
        <w:rPr>
          <w:rFonts w:ascii="楷体" w:hAnsi="楷体" w:eastAsia="楷体" w:cs="楷体"/>
          <w:b/>
          <w:bCs/>
          <w:spacing w:val="-18"/>
          <w:sz w:val="28"/>
          <w:szCs w:val="28"/>
        </w:rPr>
        <w:t>概述</w:t>
      </w:r>
    </w:p>
    <w:p w14:paraId="0B2958B3">
      <w:pPr>
        <w:spacing w:before="86" w:line="223" w:lineRule="auto"/>
        <w:ind w:left="560"/>
        <w:rPr>
          <w:rFonts w:ascii="楷体" w:hAnsi="楷体" w:eastAsia="楷体" w:cs="楷体"/>
          <w:sz w:val="28"/>
          <w:szCs w:val="28"/>
        </w:rPr>
      </w:pPr>
      <w:r>
        <w:rPr>
          <w:rFonts w:ascii="Times New Roman" w:hAnsi="Times New Roman" w:eastAsia="Times New Roman" w:cs="Times New Roman"/>
          <w:b/>
          <w:bCs/>
          <w:spacing w:val="-19"/>
          <w:sz w:val="28"/>
          <w:szCs w:val="28"/>
        </w:rPr>
        <w:t>2</w:t>
      </w:r>
      <w:r>
        <w:rPr>
          <w:rFonts w:ascii="Times New Roman" w:hAnsi="Times New Roman" w:eastAsia="Times New Roman" w:cs="Times New Roman"/>
          <w:b/>
          <w:bCs/>
          <w:spacing w:val="70"/>
          <w:w w:val="101"/>
          <w:sz w:val="28"/>
          <w:szCs w:val="28"/>
        </w:rPr>
        <w:t xml:space="preserve"> </w:t>
      </w:r>
      <w:r>
        <w:rPr>
          <w:rFonts w:ascii="楷体" w:hAnsi="楷体" w:eastAsia="楷体" w:cs="楷体"/>
          <w:b/>
          <w:bCs/>
          <w:spacing w:val="-19"/>
          <w:sz w:val="28"/>
          <w:szCs w:val="28"/>
        </w:rPr>
        <w:t>执行《武器装备研制生产标准化工作规定》的情况</w:t>
      </w:r>
    </w:p>
    <w:p w14:paraId="646F2D4F">
      <w:pPr>
        <w:spacing w:before="55" w:line="225" w:lineRule="auto"/>
        <w:ind w:left="563"/>
        <w:rPr>
          <w:rFonts w:ascii="楷体" w:hAnsi="楷体" w:eastAsia="楷体" w:cs="楷体"/>
          <w:sz w:val="28"/>
          <w:szCs w:val="28"/>
        </w:rPr>
      </w:pPr>
      <w:r>
        <w:rPr>
          <w:rFonts w:ascii="楷体" w:hAnsi="楷体" w:eastAsia="楷体" w:cs="楷体"/>
          <w:b/>
          <w:bCs/>
          <w:spacing w:val="-15"/>
          <w:sz w:val="28"/>
          <w:szCs w:val="28"/>
        </w:rPr>
        <w:t>3《标准化大纲》的基本情况或实施情况</w:t>
      </w:r>
    </w:p>
    <w:p w14:paraId="49001BE8">
      <w:pPr>
        <w:spacing w:before="68" w:line="224" w:lineRule="auto"/>
        <w:ind w:left="560"/>
        <w:outlineLvl w:val="2"/>
        <w:rPr>
          <w:rFonts w:ascii="楷体" w:hAnsi="楷体" w:eastAsia="楷体" w:cs="楷体"/>
          <w:sz w:val="28"/>
          <w:szCs w:val="28"/>
        </w:rPr>
      </w:pPr>
      <w:r>
        <w:rPr>
          <w:rFonts w:ascii="Times New Roman" w:hAnsi="Times New Roman" w:eastAsia="Times New Roman" w:cs="Times New Roman"/>
          <w:b/>
          <w:bCs/>
          <w:spacing w:val="-8"/>
          <w:sz w:val="28"/>
          <w:szCs w:val="28"/>
        </w:rPr>
        <w:t xml:space="preserve">4  </w:t>
      </w:r>
      <w:r>
        <w:rPr>
          <w:rFonts w:ascii="楷体" w:hAnsi="楷体" w:eastAsia="楷体" w:cs="楷体"/>
          <w:b/>
          <w:bCs/>
          <w:spacing w:val="-8"/>
          <w:sz w:val="28"/>
          <w:szCs w:val="28"/>
        </w:rPr>
        <w:t>取得的成绩和效益分析</w:t>
      </w:r>
    </w:p>
    <w:p w14:paraId="4DB09F82">
      <w:pPr>
        <w:spacing w:line="224" w:lineRule="auto"/>
        <w:rPr>
          <w:rFonts w:ascii="楷体" w:hAnsi="楷体" w:eastAsia="楷体" w:cs="楷体"/>
          <w:sz w:val="28"/>
          <w:szCs w:val="28"/>
        </w:rPr>
        <w:sectPr>
          <w:footerReference r:id="rId307" w:type="default"/>
          <w:pgSz w:w="11910" w:h="17130"/>
          <w:pgMar w:top="1402" w:right="915" w:bottom="1647" w:left="1529" w:header="0" w:footer="1431" w:gutter="0"/>
          <w:cols w:space="720" w:num="1"/>
        </w:sectPr>
      </w:pPr>
    </w:p>
    <w:p w14:paraId="7CBCFDA2">
      <w:pPr>
        <w:spacing w:before="158" w:line="227" w:lineRule="auto"/>
        <w:ind w:left="550"/>
        <w:rPr>
          <w:rFonts w:ascii="楷体" w:hAnsi="楷体" w:eastAsia="楷体" w:cs="楷体"/>
          <w:sz w:val="24"/>
          <w:szCs w:val="24"/>
        </w:rPr>
      </w:pPr>
      <w:r>
        <w:rPr>
          <w:rFonts w:ascii="Times New Roman" w:hAnsi="Times New Roman" w:eastAsia="Times New Roman" w:cs="Times New Roman"/>
          <w:b/>
          <w:bCs/>
          <w:spacing w:val="28"/>
          <w:sz w:val="24"/>
          <w:szCs w:val="24"/>
        </w:rPr>
        <w:t>5</w:t>
      </w:r>
      <w:r>
        <w:rPr>
          <w:rFonts w:ascii="Times New Roman" w:hAnsi="Times New Roman" w:eastAsia="Times New Roman" w:cs="Times New Roman"/>
          <w:b/>
          <w:bCs/>
          <w:spacing w:val="30"/>
          <w:sz w:val="24"/>
          <w:szCs w:val="24"/>
        </w:rPr>
        <w:t xml:space="preserve">  </w:t>
      </w:r>
      <w:r>
        <w:rPr>
          <w:rFonts w:ascii="楷体" w:hAnsi="楷体" w:eastAsia="楷体" w:cs="楷体"/>
          <w:b/>
          <w:bCs/>
          <w:spacing w:val="28"/>
          <w:sz w:val="24"/>
          <w:szCs w:val="24"/>
        </w:rPr>
        <w:t>存在的问题及解决措施</w:t>
      </w:r>
    </w:p>
    <w:p w14:paraId="50CF706B">
      <w:pPr>
        <w:spacing w:before="143" w:line="232" w:lineRule="auto"/>
        <w:ind w:left="550"/>
        <w:rPr>
          <w:rFonts w:ascii="楷体" w:hAnsi="楷体" w:eastAsia="楷体" w:cs="楷体"/>
          <w:sz w:val="24"/>
          <w:szCs w:val="24"/>
        </w:rPr>
      </w:pPr>
      <w:r>
        <w:rPr>
          <w:rFonts w:ascii="Times New Roman" w:hAnsi="Times New Roman" w:eastAsia="Times New Roman" w:cs="Times New Roman"/>
          <w:b/>
          <w:bCs/>
          <w:spacing w:val="20"/>
          <w:sz w:val="24"/>
          <w:szCs w:val="24"/>
        </w:rPr>
        <w:t>6</w:t>
      </w:r>
      <w:r>
        <w:rPr>
          <w:rFonts w:ascii="Times New Roman" w:hAnsi="Times New Roman" w:eastAsia="Times New Roman" w:cs="Times New Roman"/>
          <w:b/>
          <w:bCs/>
          <w:sz w:val="24"/>
          <w:szCs w:val="24"/>
        </w:rPr>
        <w:t xml:space="preserve">   </w:t>
      </w:r>
      <w:r>
        <w:rPr>
          <w:rFonts w:ascii="楷体" w:hAnsi="楷体" w:eastAsia="楷体" w:cs="楷体"/>
          <w:b/>
          <w:bCs/>
          <w:spacing w:val="20"/>
          <w:sz w:val="24"/>
          <w:szCs w:val="24"/>
        </w:rPr>
        <w:t>结论和建议</w:t>
      </w:r>
    </w:p>
    <w:p w14:paraId="00B10015">
      <w:pPr>
        <w:spacing w:line="352" w:lineRule="auto"/>
        <w:rPr>
          <w:rFonts w:ascii="Arial"/>
          <w:sz w:val="21"/>
        </w:rPr>
      </w:pPr>
    </w:p>
    <w:p w14:paraId="500BB80F">
      <w:pPr>
        <w:pStyle w:val="2"/>
        <w:spacing w:before="117" w:line="218" w:lineRule="auto"/>
        <w:ind w:left="2949"/>
        <w:rPr>
          <w:sz w:val="36"/>
          <w:szCs w:val="36"/>
        </w:rPr>
      </w:pPr>
      <w:r>
        <w:rPr>
          <w:spacing w:val="-1"/>
          <w:sz w:val="36"/>
          <w:szCs w:val="36"/>
        </w:rPr>
        <w:t>4.</w:t>
      </w:r>
      <w:r>
        <w:rPr>
          <w:b/>
          <w:bCs/>
          <w:spacing w:val="-1"/>
          <w:sz w:val="36"/>
          <w:szCs w:val="36"/>
        </w:rPr>
        <w:t>3</w:t>
      </w:r>
      <w:r>
        <w:rPr>
          <w:spacing w:val="24"/>
          <w:sz w:val="36"/>
          <w:szCs w:val="36"/>
        </w:rPr>
        <w:t xml:space="preserve">  </w:t>
      </w:r>
      <w:r>
        <w:rPr>
          <w:b/>
          <w:bCs/>
          <w:spacing w:val="-1"/>
          <w:sz w:val="36"/>
          <w:szCs w:val="36"/>
        </w:rPr>
        <w:t>标准化审查报告</w:t>
      </w:r>
    </w:p>
    <w:p w14:paraId="64ACBD41">
      <w:pPr>
        <w:spacing w:line="387" w:lineRule="auto"/>
        <w:rPr>
          <w:rFonts w:ascii="Arial"/>
          <w:sz w:val="21"/>
        </w:rPr>
      </w:pPr>
    </w:p>
    <w:p w14:paraId="5C4487A1">
      <w:pPr>
        <w:spacing w:before="88" w:line="303" w:lineRule="auto"/>
        <w:ind w:left="3" w:right="17" w:firstLine="550"/>
        <w:rPr>
          <w:rFonts w:ascii="楷体" w:hAnsi="楷体" w:eastAsia="楷体" w:cs="楷体"/>
          <w:sz w:val="27"/>
          <w:szCs w:val="27"/>
        </w:rPr>
      </w:pPr>
      <w:r>
        <w:rPr>
          <w:rFonts w:ascii="楷体" w:hAnsi="楷体" w:eastAsia="楷体" w:cs="楷体"/>
          <w:b/>
          <w:bCs/>
          <w:spacing w:val="-2"/>
          <w:sz w:val="27"/>
          <w:szCs w:val="27"/>
        </w:rPr>
        <w:t>按照国家军用标准《军工产品设计定型文件编制指南</w:t>
      </w:r>
      <w:r>
        <w:rPr>
          <w:rFonts w:ascii="楷体" w:hAnsi="楷体" w:eastAsia="楷体" w:cs="楷体"/>
          <w:spacing w:val="-2"/>
          <w:sz w:val="27"/>
          <w:szCs w:val="27"/>
        </w:rPr>
        <w:t xml:space="preserve">  </w:t>
      </w:r>
      <w:r>
        <w:rPr>
          <w:rFonts w:ascii="楷体" w:hAnsi="楷体" w:eastAsia="楷体" w:cs="楷体"/>
          <w:b/>
          <w:bCs/>
          <w:spacing w:val="-2"/>
          <w:sz w:val="27"/>
          <w:szCs w:val="27"/>
        </w:rPr>
        <w:t>第6部分：标准化审</w:t>
      </w:r>
      <w:r>
        <w:rPr>
          <w:rFonts w:ascii="楷体" w:hAnsi="楷体" w:eastAsia="楷体" w:cs="楷体"/>
          <w:spacing w:val="4"/>
          <w:sz w:val="27"/>
          <w:szCs w:val="27"/>
        </w:rPr>
        <w:t xml:space="preserve"> </w:t>
      </w:r>
      <w:r>
        <w:rPr>
          <w:rFonts w:ascii="楷体" w:hAnsi="楷体" w:eastAsia="楷体" w:cs="楷体"/>
          <w:b/>
          <w:bCs/>
          <w:spacing w:val="-23"/>
          <w:sz w:val="27"/>
          <w:szCs w:val="27"/>
        </w:rPr>
        <w:t>查报告》编写，说明如下。</w:t>
      </w:r>
    </w:p>
    <w:p w14:paraId="2A5ADCF9">
      <w:pPr>
        <w:spacing w:before="32" w:line="221" w:lineRule="auto"/>
        <w:rPr>
          <w:rFonts w:ascii="黑体" w:hAnsi="黑体" w:eastAsia="黑体" w:cs="黑体"/>
          <w:sz w:val="24"/>
          <w:szCs w:val="24"/>
        </w:rPr>
      </w:pPr>
      <w:r>
        <w:rPr>
          <w:rFonts w:ascii="黑体" w:hAnsi="黑体" w:eastAsia="黑体" w:cs="黑体"/>
          <w:spacing w:val="26"/>
          <w:sz w:val="24"/>
          <w:szCs w:val="24"/>
        </w:rPr>
        <w:t>1</w:t>
      </w:r>
      <w:r>
        <w:rPr>
          <w:rFonts w:ascii="黑体" w:hAnsi="黑体" w:eastAsia="黑体" w:cs="黑体"/>
          <w:spacing w:val="53"/>
          <w:sz w:val="24"/>
          <w:szCs w:val="24"/>
        </w:rPr>
        <w:t xml:space="preserve">  </w:t>
      </w:r>
      <w:r>
        <w:rPr>
          <w:rFonts w:ascii="黑体" w:hAnsi="黑体" w:eastAsia="黑体" w:cs="黑体"/>
          <w:spacing w:val="26"/>
          <w:sz w:val="24"/>
          <w:szCs w:val="24"/>
        </w:rPr>
        <w:t>审查工作概况</w:t>
      </w:r>
    </w:p>
    <w:p w14:paraId="24FDC230">
      <w:pPr>
        <w:pStyle w:val="2"/>
        <w:spacing w:before="85" w:line="300" w:lineRule="auto"/>
        <w:ind w:right="3" w:firstLine="550"/>
      </w:pPr>
      <w:r>
        <w:rPr>
          <w:spacing w:val="-3"/>
        </w:rPr>
        <w:t>应简要描述所审查的项目，简要说明审查方式、审查组组成情况以及审查会</w:t>
      </w:r>
      <w:r>
        <w:rPr>
          <w:spacing w:val="9"/>
        </w:rPr>
        <w:t xml:space="preserve"> </w:t>
      </w:r>
      <w:r>
        <w:rPr>
          <w:spacing w:val="-1"/>
        </w:rPr>
        <w:t>概况等。</w:t>
      </w:r>
    </w:p>
    <w:p w14:paraId="53DAA4C7">
      <w:pPr>
        <w:spacing w:before="1" w:line="220" w:lineRule="auto"/>
        <w:rPr>
          <w:rFonts w:ascii="黑体" w:hAnsi="黑体" w:eastAsia="黑体" w:cs="黑体"/>
          <w:sz w:val="25"/>
          <w:szCs w:val="25"/>
        </w:rPr>
      </w:pPr>
      <w:r>
        <w:rPr>
          <w:rFonts w:ascii="黑体" w:hAnsi="黑体" w:eastAsia="黑体" w:cs="黑体"/>
          <w:spacing w:val="18"/>
          <w:sz w:val="25"/>
          <w:szCs w:val="25"/>
        </w:rPr>
        <w:t>2</w:t>
      </w:r>
      <w:r>
        <w:rPr>
          <w:rFonts w:ascii="黑体" w:hAnsi="黑体" w:eastAsia="黑体" w:cs="黑体"/>
          <w:spacing w:val="31"/>
          <w:sz w:val="25"/>
          <w:szCs w:val="25"/>
        </w:rPr>
        <w:t xml:space="preserve">  </w:t>
      </w:r>
      <w:r>
        <w:rPr>
          <w:rFonts w:ascii="黑体" w:hAnsi="黑体" w:eastAsia="黑体" w:cs="黑体"/>
          <w:spacing w:val="18"/>
          <w:sz w:val="25"/>
          <w:szCs w:val="25"/>
        </w:rPr>
        <w:t>审查意见</w:t>
      </w:r>
    </w:p>
    <w:p w14:paraId="16B0AD76">
      <w:pPr>
        <w:pStyle w:val="2"/>
        <w:spacing w:before="119" w:line="294" w:lineRule="auto"/>
        <w:ind w:right="4" w:firstLine="550"/>
        <w:jc w:val="both"/>
        <w:rPr>
          <w:sz w:val="25"/>
          <w:szCs w:val="25"/>
        </w:rPr>
      </w:pPr>
      <w:r>
        <w:rPr>
          <w:spacing w:val="17"/>
          <w:sz w:val="25"/>
          <w:szCs w:val="25"/>
        </w:rPr>
        <w:t>针对《标准化工作报告》反映的工作内容，重点核查型号标准化工作系统履</w:t>
      </w:r>
      <w:r>
        <w:rPr>
          <w:spacing w:val="8"/>
          <w:sz w:val="25"/>
          <w:szCs w:val="25"/>
        </w:rPr>
        <w:t xml:space="preserve"> </w:t>
      </w:r>
      <w:r>
        <w:rPr>
          <w:spacing w:val="10"/>
          <w:sz w:val="25"/>
          <w:szCs w:val="25"/>
        </w:rPr>
        <w:t>职情况，型号标准体系建立情况，标准贯彻实施情况，产</w:t>
      </w:r>
      <w:r>
        <w:rPr>
          <w:spacing w:val="9"/>
          <w:sz w:val="25"/>
          <w:szCs w:val="25"/>
        </w:rPr>
        <w:t>品通用化、系列化、组合</w:t>
      </w:r>
      <w:r>
        <w:rPr>
          <w:sz w:val="25"/>
          <w:szCs w:val="25"/>
        </w:rPr>
        <w:t xml:space="preserve"> </w:t>
      </w:r>
      <w:r>
        <w:rPr>
          <w:spacing w:val="8"/>
          <w:sz w:val="25"/>
          <w:szCs w:val="25"/>
        </w:rPr>
        <w:t>化(“三化”)工作情况和水平，标准化效益评估结果等，给出评价意见。包括：</w:t>
      </w:r>
    </w:p>
    <w:p w14:paraId="5D726FEE">
      <w:pPr>
        <w:pStyle w:val="2"/>
        <w:spacing w:before="2" w:line="256" w:lineRule="auto"/>
        <w:ind w:firstLine="550"/>
      </w:pPr>
      <w:r>
        <w:rPr>
          <w:rFonts w:ascii="Times New Roman" w:hAnsi="Times New Roman" w:eastAsia="Times New Roman" w:cs="Times New Roman"/>
          <w:spacing w:val="3"/>
        </w:rPr>
        <w:t>a)</w:t>
      </w:r>
      <w:r>
        <w:rPr>
          <w:rFonts w:ascii="Times New Roman" w:hAnsi="Times New Roman" w:eastAsia="Times New Roman" w:cs="Times New Roman"/>
          <w:spacing w:val="77"/>
          <w:w w:val="101"/>
        </w:rPr>
        <w:t xml:space="preserve"> </w:t>
      </w:r>
      <w:r>
        <w:rPr>
          <w:spacing w:val="3"/>
        </w:rPr>
        <w:t>是否建立了型号标准化工作系统，工作系统的组成是否合理、是否开展</w:t>
      </w:r>
      <w:r>
        <w:t xml:space="preserve"> </w:t>
      </w:r>
      <w:r>
        <w:rPr>
          <w:spacing w:val="-5"/>
        </w:rPr>
        <w:t>了必要的工作、工作有效性如何，标准化文</w:t>
      </w:r>
      <w:r>
        <w:rPr>
          <w:spacing w:val="-6"/>
        </w:rPr>
        <w:t>件体系是否完备配套等；</w:t>
      </w:r>
    </w:p>
    <w:p w14:paraId="2B90CE9E">
      <w:pPr>
        <w:pStyle w:val="2"/>
        <w:spacing w:before="50" w:line="267" w:lineRule="auto"/>
        <w:ind w:right="5" w:firstLine="550"/>
      </w:pPr>
      <w:r>
        <w:rPr>
          <w:rFonts w:ascii="Times New Roman" w:hAnsi="Times New Roman" w:eastAsia="Times New Roman" w:cs="Times New Roman"/>
          <w:spacing w:val="-15"/>
        </w:rPr>
        <w:t xml:space="preserve">b)  </w:t>
      </w:r>
      <w:r>
        <w:rPr>
          <w:spacing w:val="-15"/>
        </w:rPr>
        <w:t>是否编制了“标准选用范围”和“标准</w:t>
      </w:r>
      <w:r>
        <w:rPr>
          <w:spacing w:val="-16"/>
        </w:rPr>
        <w:t>件、元器件、原材料选用范围”,采标</w:t>
      </w:r>
      <w:r>
        <w:t xml:space="preserve"> </w:t>
      </w:r>
      <w:r>
        <w:rPr>
          <w:spacing w:val="-16"/>
        </w:rPr>
        <w:t>目录的正确性、充分性、协调性等；</w:t>
      </w:r>
    </w:p>
    <w:p w14:paraId="49522CA0">
      <w:pPr>
        <w:pStyle w:val="2"/>
        <w:spacing w:before="49" w:line="212" w:lineRule="auto"/>
        <w:ind w:left="550"/>
      </w:pPr>
      <w:r>
        <w:rPr>
          <w:rFonts w:ascii="Times New Roman" w:hAnsi="Times New Roman" w:eastAsia="Times New Roman" w:cs="Times New Roman"/>
          <w:spacing w:val="3"/>
        </w:rPr>
        <w:t>c)</w:t>
      </w:r>
      <w:r>
        <w:rPr>
          <w:rFonts w:ascii="Times New Roman" w:hAnsi="Times New Roman" w:eastAsia="Times New Roman" w:cs="Times New Roman"/>
          <w:spacing w:val="65"/>
        </w:rPr>
        <w:t xml:space="preserve"> </w:t>
      </w:r>
      <w:r>
        <w:rPr>
          <w:spacing w:val="3"/>
        </w:rPr>
        <w:t>是否建立了合理的型号标准体系；</w:t>
      </w:r>
    </w:p>
    <w:p w14:paraId="16793115">
      <w:pPr>
        <w:pStyle w:val="2"/>
        <w:spacing w:before="109" w:line="212" w:lineRule="auto"/>
        <w:ind w:left="550"/>
      </w:pPr>
      <w:r>
        <w:rPr>
          <w:rFonts w:ascii="Times New Roman" w:hAnsi="Times New Roman" w:eastAsia="Times New Roman" w:cs="Times New Roman"/>
          <w:spacing w:val="4"/>
        </w:rPr>
        <w:t>d)</w:t>
      </w:r>
      <w:r>
        <w:rPr>
          <w:rFonts w:ascii="Times New Roman" w:hAnsi="Times New Roman" w:eastAsia="Times New Roman" w:cs="Times New Roman"/>
          <w:spacing w:val="66"/>
        </w:rPr>
        <w:t xml:space="preserve"> </w:t>
      </w:r>
      <w:r>
        <w:rPr>
          <w:spacing w:val="4"/>
        </w:rPr>
        <w:t>重大标准剪裁的合理性以及实施的有效</w:t>
      </w:r>
      <w:r>
        <w:rPr>
          <w:spacing w:val="3"/>
        </w:rPr>
        <w:t>性等；</w:t>
      </w:r>
    </w:p>
    <w:p w14:paraId="28476985">
      <w:pPr>
        <w:pStyle w:val="2"/>
        <w:spacing w:before="79" w:line="264" w:lineRule="auto"/>
        <w:ind w:right="4" w:firstLine="550"/>
      </w:pPr>
      <w:r>
        <w:rPr>
          <w:rFonts w:ascii="Times New Roman" w:hAnsi="Times New Roman" w:eastAsia="Times New Roman" w:cs="Times New Roman"/>
          <w:spacing w:val="-4"/>
        </w:rPr>
        <w:t>e)</w:t>
      </w:r>
      <w:r>
        <w:rPr>
          <w:rFonts w:ascii="Times New Roman" w:hAnsi="Times New Roman" w:eastAsia="Times New Roman" w:cs="Times New Roman"/>
          <w:spacing w:val="53"/>
        </w:rPr>
        <w:t xml:space="preserve"> </w:t>
      </w:r>
      <w:r>
        <w:rPr>
          <w:spacing w:val="-4"/>
        </w:rPr>
        <w:t>评价产品“三化”设计方案及实施效果</w:t>
      </w:r>
      <w:r>
        <w:rPr>
          <w:spacing w:val="-5"/>
        </w:rPr>
        <w:t>、接口互换性实现情况等，确认标</w:t>
      </w:r>
      <w:r>
        <w:t xml:space="preserve"> </w:t>
      </w:r>
      <w:r>
        <w:rPr>
          <w:spacing w:val="-6"/>
        </w:rPr>
        <w:t>准化系数；</w:t>
      </w:r>
    </w:p>
    <w:p w14:paraId="438FE938">
      <w:pPr>
        <w:pStyle w:val="2"/>
        <w:spacing w:before="38" w:line="264" w:lineRule="auto"/>
        <w:ind w:right="3" w:firstLine="550"/>
      </w:pPr>
      <w:r>
        <w:rPr>
          <w:rFonts w:ascii="Times New Roman" w:hAnsi="Times New Roman" w:eastAsia="Times New Roman" w:cs="Times New Roman"/>
          <w:spacing w:val="-4"/>
        </w:rPr>
        <w:t>f)</w:t>
      </w:r>
      <w:r>
        <w:rPr>
          <w:rFonts w:ascii="Times New Roman" w:hAnsi="Times New Roman" w:eastAsia="Times New Roman" w:cs="Times New Roman"/>
          <w:spacing w:val="69"/>
        </w:rPr>
        <w:t xml:space="preserve"> </w:t>
      </w:r>
      <w:r>
        <w:rPr>
          <w:spacing w:val="-4"/>
        </w:rPr>
        <w:t>设计定型图样及技术文件是否完整、准确、协调、规范以及是否满足设计</w:t>
      </w:r>
      <w:r>
        <w:t xml:space="preserve"> 定型的要求等；</w:t>
      </w:r>
    </w:p>
    <w:p w14:paraId="66CF8738">
      <w:pPr>
        <w:pStyle w:val="2"/>
        <w:spacing w:before="69" w:line="212" w:lineRule="auto"/>
        <w:ind w:left="550"/>
      </w:pPr>
      <w:r>
        <w:rPr>
          <w:rFonts w:ascii="Times New Roman" w:hAnsi="Times New Roman" w:eastAsia="Times New Roman" w:cs="Times New Roman"/>
          <w:spacing w:val="4"/>
        </w:rPr>
        <w:t>g)</w:t>
      </w:r>
      <w:r>
        <w:rPr>
          <w:rFonts w:ascii="Times New Roman" w:hAnsi="Times New Roman" w:eastAsia="Times New Roman" w:cs="Times New Roman"/>
          <w:spacing w:val="75"/>
        </w:rPr>
        <w:t xml:space="preserve"> </w:t>
      </w:r>
      <w:r>
        <w:rPr>
          <w:spacing w:val="4"/>
        </w:rPr>
        <w:t>新产品达到的标准化程度及所获得的标准化效益。</w:t>
      </w:r>
    </w:p>
    <w:p w14:paraId="1B1FB97A">
      <w:pPr>
        <w:spacing w:before="158" w:line="222" w:lineRule="auto"/>
        <w:rPr>
          <w:rFonts w:ascii="黑体" w:hAnsi="黑体" w:eastAsia="黑体" w:cs="黑体"/>
          <w:sz w:val="24"/>
          <w:szCs w:val="24"/>
        </w:rPr>
      </w:pPr>
      <w:r>
        <w:rPr>
          <w:rFonts w:ascii="黑体" w:hAnsi="黑体" w:eastAsia="黑体" w:cs="黑体"/>
          <w:spacing w:val="26"/>
          <w:sz w:val="24"/>
          <w:szCs w:val="24"/>
        </w:rPr>
        <w:t>3</w:t>
      </w:r>
      <w:r>
        <w:rPr>
          <w:rFonts w:ascii="黑体" w:hAnsi="黑体" w:eastAsia="黑体" w:cs="黑体"/>
          <w:spacing w:val="54"/>
          <w:sz w:val="24"/>
          <w:szCs w:val="24"/>
        </w:rPr>
        <w:t xml:space="preserve">  </w:t>
      </w:r>
      <w:r>
        <w:rPr>
          <w:rFonts w:ascii="黑体" w:hAnsi="黑体" w:eastAsia="黑体" w:cs="黑体"/>
          <w:spacing w:val="26"/>
          <w:sz w:val="24"/>
          <w:szCs w:val="24"/>
        </w:rPr>
        <w:t>审查建议</w:t>
      </w:r>
    </w:p>
    <w:p w14:paraId="5A0E3B88">
      <w:pPr>
        <w:pStyle w:val="2"/>
        <w:spacing w:before="134" w:line="219" w:lineRule="auto"/>
        <w:ind w:left="550"/>
      </w:pPr>
      <w:r>
        <w:rPr>
          <w:spacing w:val="2"/>
        </w:rPr>
        <w:t>提出存在的主要问题及改进的措施建议等。</w:t>
      </w:r>
    </w:p>
    <w:p w14:paraId="57690C65">
      <w:pPr>
        <w:spacing w:before="119" w:line="222" w:lineRule="auto"/>
        <w:rPr>
          <w:rFonts w:ascii="黑体" w:hAnsi="黑体" w:eastAsia="黑体" w:cs="黑体"/>
          <w:sz w:val="25"/>
          <w:szCs w:val="25"/>
        </w:rPr>
      </w:pPr>
      <w:r>
        <w:rPr>
          <w:rFonts w:ascii="黑体" w:hAnsi="黑体" w:eastAsia="黑体" w:cs="黑体"/>
          <w:spacing w:val="19"/>
          <w:sz w:val="25"/>
          <w:szCs w:val="25"/>
        </w:rPr>
        <w:t>4</w:t>
      </w:r>
      <w:r>
        <w:rPr>
          <w:rFonts w:ascii="黑体" w:hAnsi="黑体" w:eastAsia="黑体" w:cs="黑体"/>
          <w:spacing w:val="28"/>
          <w:sz w:val="25"/>
          <w:szCs w:val="25"/>
        </w:rPr>
        <w:t xml:space="preserve">  </w:t>
      </w:r>
      <w:r>
        <w:rPr>
          <w:rFonts w:ascii="黑体" w:hAnsi="黑体" w:eastAsia="黑体" w:cs="黑体"/>
          <w:spacing w:val="19"/>
          <w:sz w:val="25"/>
          <w:szCs w:val="25"/>
        </w:rPr>
        <w:t>审查结论</w:t>
      </w:r>
    </w:p>
    <w:p w14:paraId="4D8A47B3">
      <w:pPr>
        <w:pStyle w:val="2"/>
        <w:spacing w:before="120" w:line="219" w:lineRule="auto"/>
        <w:ind w:left="550"/>
      </w:pPr>
      <w:r>
        <w:rPr>
          <w:spacing w:val="1"/>
        </w:rPr>
        <w:t>应主要说明以下两方面内容：</w:t>
      </w:r>
    </w:p>
    <w:p w14:paraId="35F023CA">
      <w:pPr>
        <w:pStyle w:val="2"/>
        <w:spacing w:before="59" w:line="212" w:lineRule="auto"/>
        <w:ind w:left="550"/>
      </w:pPr>
      <w:r>
        <w:rPr>
          <w:rFonts w:ascii="Times New Roman" w:hAnsi="Times New Roman" w:eastAsia="Times New Roman" w:cs="Times New Roman"/>
          <w:spacing w:val="-1"/>
        </w:rPr>
        <w:t>a)</w:t>
      </w:r>
      <w:r>
        <w:rPr>
          <w:spacing w:val="-1"/>
        </w:rPr>
        <w:t>《产品标准化大纲》中规定的标准化目标和标准化要求是否实现；</w:t>
      </w:r>
    </w:p>
    <w:p w14:paraId="2F00686D">
      <w:pPr>
        <w:pStyle w:val="2"/>
        <w:spacing w:before="100" w:line="212" w:lineRule="auto"/>
        <w:ind w:left="550"/>
      </w:pPr>
      <w:r>
        <w:rPr>
          <w:rFonts w:ascii="Times New Roman" w:hAnsi="Times New Roman" w:eastAsia="Times New Roman" w:cs="Times New Roman"/>
          <w:spacing w:val="4"/>
        </w:rPr>
        <w:t>b)</w:t>
      </w:r>
      <w:r>
        <w:rPr>
          <w:rFonts w:ascii="Times New Roman" w:hAnsi="Times New Roman" w:eastAsia="Times New Roman" w:cs="Times New Roman"/>
          <w:spacing w:val="73"/>
        </w:rPr>
        <w:t xml:space="preserve"> </w:t>
      </w:r>
      <w:r>
        <w:rPr>
          <w:spacing w:val="4"/>
        </w:rPr>
        <w:t>从标准化方面论述研制工作是否具备了设计定型的条件。</w:t>
      </w:r>
    </w:p>
    <w:p w14:paraId="1EA5C429">
      <w:pPr>
        <w:spacing w:before="91" w:line="368" w:lineRule="exact"/>
        <w:rPr>
          <w:rFonts w:ascii="黑体" w:hAnsi="黑体" w:eastAsia="黑体" w:cs="黑体"/>
          <w:sz w:val="27"/>
          <w:szCs w:val="27"/>
        </w:rPr>
      </w:pPr>
      <w:r>
        <w:rPr>
          <w:rFonts w:ascii="Arial" w:hAnsi="Arial" w:eastAsia="Arial" w:cs="Arial"/>
          <w:position w:val="1"/>
          <w:sz w:val="27"/>
          <w:szCs w:val="27"/>
        </w:rPr>
        <w:t>5</w:t>
      </w:r>
      <w:r>
        <w:rPr>
          <w:rFonts w:ascii="Arial" w:hAnsi="Arial" w:eastAsia="Arial" w:cs="Arial"/>
          <w:spacing w:val="23"/>
          <w:position w:val="1"/>
          <w:sz w:val="27"/>
          <w:szCs w:val="27"/>
        </w:rPr>
        <w:t xml:space="preserve">   </w:t>
      </w:r>
      <w:r>
        <w:rPr>
          <w:rFonts w:ascii="黑体" w:hAnsi="黑体" w:eastAsia="黑体" w:cs="黑体"/>
          <w:position w:val="1"/>
          <w:sz w:val="27"/>
          <w:szCs w:val="27"/>
        </w:rPr>
        <w:t>审查组专家名单</w:t>
      </w:r>
    </w:p>
    <w:p w14:paraId="675081EB">
      <w:pPr>
        <w:pStyle w:val="2"/>
        <w:spacing w:before="122" w:line="219" w:lineRule="auto"/>
        <w:ind w:left="550"/>
      </w:pPr>
      <w:r>
        <w:rPr>
          <w:spacing w:val="1"/>
        </w:rPr>
        <w:t>以表格形式列出审查组专家名单，见表4.3。</w:t>
      </w:r>
    </w:p>
    <w:p w14:paraId="7B534D20">
      <w:pPr>
        <w:spacing w:line="219" w:lineRule="auto"/>
        <w:sectPr>
          <w:footerReference r:id="rId308" w:type="default"/>
          <w:pgSz w:w="11910" w:h="17130"/>
          <w:pgMar w:top="1456" w:right="1394" w:bottom="1617" w:left="1140" w:header="0" w:footer="1401" w:gutter="0"/>
          <w:cols w:space="720" w:num="1"/>
        </w:sectPr>
      </w:pPr>
    </w:p>
    <w:p w14:paraId="6B007C7D">
      <w:pPr>
        <w:spacing w:before="219" w:line="221" w:lineRule="auto"/>
        <w:ind w:left="2139"/>
        <w:rPr>
          <w:rFonts w:ascii="仿宋" w:hAnsi="仿宋" w:eastAsia="仿宋" w:cs="仿宋"/>
          <w:sz w:val="24"/>
          <w:szCs w:val="24"/>
        </w:rPr>
      </w:pPr>
      <w:r>
        <w:rPr>
          <w:rFonts w:ascii="仿宋" w:hAnsi="仿宋" w:eastAsia="仿宋" w:cs="仿宋"/>
          <w:spacing w:val="28"/>
          <w:sz w:val="24"/>
          <w:szCs w:val="24"/>
        </w:rPr>
        <w:t>表4</w:t>
      </w:r>
      <w:r>
        <w:rPr>
          <w:rFonts w:ascii="仿宋" w:hAnsi="仿宋" w:eastAsia="仿宋" w:cs="仿宋"/>
          <w:spacing w:val="-45"/>
          <w:sz w:val="24"/>
          <w:szCs w:val="24"/>
        </w:rPr>
        <w:t xml:space="preserve"> </w:t>
      </w:r>
      <w:r>
        <w:rPr>
          <w:rFonts w:ascii="仿宋" w:hAnsi="仿宋" w:eastAsia="仿宋" w:cs="仿宋"/>
          <w:spacing w:val="28"/>
          <w:sz w:val="24"/>
          <w:szCs w:val="24"/>
        </w:rPr>
        <w:t>.</w:t>
      </w:r>
      <w:r>
        <w:rPr>
          <w:rFonts w:ascii="仿宋" w:hAnsi="仿宋" w:eastAsia="仿宋" w:cs="仿宋"/>
          <w:spacing w:val="-65"/>
          <w:sz w:val="24"/>
          <w:szCs w:val="24"/>
        </w:rPr>
        <w:t xml:space="preserve"> </w:t>
      </w:r>
      <w:r>
        <w:rPr>
          <w:rFonts w:ascii="仿宋" w:hAnsi="仿宋" w:eastAsia="仿宋" w:cs="仿宋"/>
          <w:spacing w:val="28"/>
          <w:sz w:val="24"/>
          <w:szCs w:val="24"/>
        </w:rPr>
        <w:t>3</w:t>
      </w:r>
      <w:r>
        <w:rPr>
          <w:rFonts w:ascii="仿宋" w:hAnsi="仿宋" w:eastAsia="仿宋" w:cs="仿宋"/>
          <w:spacing w:val="7"/>
          <w:sz w:val="24"/>
          <w:szCs w:val="24"/>
        </w:rPr>
        <w:t xml:space="preserve">  </w:t>
      </w:r>
      <w:r>
        <w:rPr>
          <w:rFonts w:ascii="仿宋" w:hAnsi="仿宋" w:eastAsia="仿宋" w:cs="仿宋"/>
          <w:spacing w:val="28"/>
          <w:sz w:val="24"/>
          <w:szCs w:val="24"/>
        </w:rPr>
        <w:t>(产品名称)标准化审查组专家名单</w:t>
      </w:r>
    </w:p>
    <w:p w14:paraId="45BE7496">
      <w:pPr>
        <w:spacing w:line="111" w:lineRule="exact"/>
      </w:pPr>
    </w:p>
    <w:tbl>
      <w:tblPr>
        <w:tblStyle w:val="5"/>
        <w:tblW w:w="936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1258"/>
        <w:gridCol w:w="1888"/>
        <w:gridCol w:w="1888"/>
        <w:gridCol w:w="1239"/>
        <w:gridCol w:w="1853"/>
      </w:tblGrid>
      <w:tr w14:paraId="16E20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1243" w:type="dxa"/>
            <w:vAlign w:val="top"/>
          </w:tcPr>
          <w:p w14:paraId="1C026912">
            <w:pPr>
              <w:spacing w:before="73" w:line="219" w:lineRule="auto"/>
              <w:ind w:left="204"/>
              <w:rPr>
                <w:rFonts w:ascii="宋体" w:hAnsi="宋体" w:eastAsia="宋体" w:cs="宋体"/>
                <w:sz w:val="21"/>
                <w:szCs w:val="21"/>
              </w:rPr>
            </w:pPr>
            <w:r>
              <w:rPr>
                <w:rFonts w:ascii="宋体" w:hAnsi="宋体" w:eastAsia="宋体" w:cs="宋体"/>
                <w:spacing w:val="2"/>
                <w:sz w:val="21"/>
                <w:szCs w:val="21"/>
              </w:rPr>
              <w:t>组内职务</w:t>
            </w:r>
          </w:p>
        </w:tc>
        <w:tc>
          <w:tcPr>
            <w:tcW w:w="1258" w:type="dxa"/>
            <w:vAlign w:val="top"/>
          </w:tcPr>
          <w:p w14:paraId="7A4D77F5">
            <w:pPr>
              <w:spacing w:before="73" w:line="219" w:lineRule="auto"/>
              <w:ind w:left="391"/>
              <w:rPr>
                <w:rFonts w:ascii="宋体" w:hAnsi="宋体" w:eastAsia="宋体" w:cs="宋体"/>
                <w:sz w:val="21"/>
                <w:szCs w:val="21"/>
              </w:rPr>
            </w:pPr>
            <w:r>
              <w:rPr>
                <w:rFonts w:ascii="宋体" w:hAnsi="宋体" w:eastAsia="宋体" w:cs="宋体"/>
                <w:spacing w:val="13"/>
                <w:sz w:val="21"/>
                <w:szCs w:val="21"/>
              </w:rPr>
              <w:t>姓名</w:t>
            </w:r>
          </w:p>
        </w:tc>
        <w:tc>
          <w:tcPr>
            <w:tcW w:w="1888" w:type="dxa"/>
            <w:vAlign w:val="top"/>
          </w:tcPr>
          <w:p w14:paraId="0FC18FCB">
            <w:pPr>
              <w:spacing w:before="74" w:line="220" w:lineRule="auto"/>
              <w:ind w:left="503"/>
              <w:rPr>
                <w:rFonts w:ascii="宋体" w:hAnsi="宋体" w:eastAsia="宋体" w:cs="宋体"/>
                <w:sz w:val="21"/>
                <w:szCs w:val="21"/>
              </w:rPr>
            </w:pPr>
            <w:r>
              <w:rPr>
                <w:rFonts w:ascii="宋体" w:hAnsi="宋体" w:eastAsia="宋体" w:cs="宋体"/>
                <w:spacing w:val="-3"/>
                <w:sz w:val="21"/>
                <w:szCs w:val="21"/>
              </w:rPr>
              <w:t>工作单位</w:t>
            </w:r>
          </w:p>
        </w:tc>
        <w:tc>
          <w:tcPr>
            <w:tcW w:w="1888" w:type="dxa"/>
            <w:vAlign w:val="top"/>
          </w:tcPr>
          <w:p w14:paraId="21632D0B">
            <w:pPr>
              <w:spacing w:before="73" w:line="219" w:lineRule="auto"/>
              <w:ind w:left="465"/>
              <w:rPr>
                <w:rFonts w:ascii="宋体" w:hAnsi="宋体" w:eastAsia="宋体" w:cs="宋体"/>
                <w:sz w:val="21"/>
                <w:szCs w:val="21"/>
              </w:rPr>
            </w:pPr>
            <w:r>
              <w:rPr>
                <w:rFonts w:ascii="宋体" w:hAnsi="宋体" w:eastAsia="宋体" w:cs="宋体"/>
                <w:spacing w:val="-2"/>
                <w:sz w:val="21"/>
                <w:szCs w:val="21"/>
              </w:rPr>
              <w:t>职务/职称</w:t>
            </w:r>
          </w:p>
        </w:tc>
        <w:tc>
          <w:tcPr>
            <w:tcW w:w="1239" w:type="dxa"/>
            <w:vAlign w:val="top"/>
          </w:tcPr>
          <w:p w14:paraId="1F80591D">
            <w:pPr>
              <w:spacing w:before="74" w:line="220" w:lineRule="auto"/>
              <w:ind w:left="397"/>
              <w:rPr>
                <w:rFonts w:ascii="宋体" w:hAnsi="宋体" w:eastAsia="宋体" w:cs="宋体"/>
                <w:sz w:val="21"/>
                <w:szCs w:val="21"/>
              </w:rPr>
            </w:pPr>
            <w:r>
              <w:rPr>
                <w:rFonts w:ascii="宋体" w:hAnsi="宋体" w:eastAsia="宋体" w:cs="宋体"/>
                <w:spacing w:val="-3"/>
                <w:sz w:val="21"/>
                <w:szCs w:val="21"/>
              </w:rPr>
              <w:t>专业</w:t>
            </w:r>
          </w:p>
        </w:tc>
        <w:tc>
          <w:tcPr>
            <w:tcW w:w="1853" w:type="dxa"/>
            <w:vAlign w:val="top"/>
          </w:tcPr>
          <w:p w14:paraId="06BFC567">
            <w:pPr>
              <w:spacing w:before="73" w:line="219" w:lineRule="auto"/>
              <w:ind w:left="718"/>
              <w:rPr>
                <w:rFonts w:ascii="宋体" w:hAnsi="宋体" w:eastAsia="宋体" w:cs="宋体"/>
                <w:sz w:val="21"/>
                <w:szCs w:val="21"/>
              </w:rPr>
            </w:pPr>
            <w:r>
              <w:rPr>
                <w:rFonts w:ascii="宋体" w:hAnsi="宋体" w:eastAsia="宋体" w:cs="宋体"/>
                <w:spacing w:val="-3"/>
                <w:sz w:val="21"/>
                <w:szCs w:val="21"/>
              </w:rPr>
              <w:t>签字</w:t>
            </w:r>
          </w:p>
        </w:tc>
      </w:tr>
      <w:tr w14:paraId="75ED4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1243" w:type="dxa"/>
            <w:vAlign w:val="top"/>
          </w:tcPr>
          <w:p w14:paraId="7C9AB777">
            <w:pPr>
              <w:pStyle w:val="6"/>
            </w:pPr>
          </w:p>
        </w:tc>
        <w:tc>
          <w:tcPr>
            <w:tcW w:w="1258" w:type="dxa"/>
            <w:vAlign w:val="top"/>
          </w:tcPr>
          <w:p w14:paraId="42F7C7F0">
            <w:pPr>
              <w:pStyle w:val="6"/>
            </w:pPr>
          </w:p>
        </w:tc>
        <w:tc>
          <w:tcPr>
            <w:tcW w:w="1888" w:type="dxa"/>
            <w:vAlign w:val="top"/>
          </w:tcPr>
          <w:p w14:paraId="459D2F31">
            <w:pPr>
              <w:pStyle w:val="6"/>
            </w:pPr>
          </w:p>
        </w:tc>
        <w:tc>
          <w:tcPr>
            <w:tcW w:w="1888" w:type="dxa"/>
            <w:vAlign w:val="top"/>
          </w:tcPr>
          <w:p w14:paraId="441849CA">
            <w:pPr>
              <w:pStyle w:val="6"/>
            </w:pPr>
          </w:p>
        </w:tc>
        <w:tc>
          <w:tcPr>
            <w:tcW w:w="1239" w:type="dxa"/>
            <w:vAlign w:val="top"/>
          </w:tcPr>
          <w:p w14:paraId="15683F0C">
            <w:pPr>
              <w:pStyle w:val="6"/>
            </w:pPr>
          </w:p>
        </w:tc>
        <w:tc>
          <w:tcPr>
            <w:tcW w:w="1853" w:type="dxa"/>
            <w:vAlign w:val="top"/>
          </w:tcPr>
          <w:p w14:paraId="343869ED">
            <w:pPr>
              <w:pStyle w:val="6"/>
            </w:pPr>
          </w:p>
        </w:tc>
      </w:tr>
      <w:tr w14:paraId="0C67D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243" w:type="dxa"/>
            <w:vAlign w:val="top"/>
          </w:tcPr>
          <w:p w14:paraId="63DE16C2">
            <w:pPr>
              <w:pStyle w:val="6"/>
            </w:pPr>
          </w:p>
        </w:tc>
        <w:tc>
          <w:tcPr>
            <w:tcW w:w="1258" w:type="dxa"/>
            <w:vAlign w:val="top"/>
          </w:tcPr>
          <w:p w14:paraId="5E613797">
            <w:pPr>
              <w:pStyle w:val="6"/>
            </w:pPr>
          </w:p>
        </w:tc>
        <w:tc>
          <w:tcPr>
            <w:tcW w:w="1888" w:type="dxa"/>
            <w:vAlign w:val="top"/>
          </w:tcPr>
          <w:p w14:paraId="1328494C">
            <w:pPr>
              <w:pStyle w:val="6"/>
            </w:pPr>
          </w:p>
        </w:tc>
        <w:tc>
          <w:tcPr>
            <w:tcW w:w="1888" w:type="dxa"/>
            <w:vAlign w:val="top"/>
          </w:tcPr>
          <w:p w14:paraId="6A55FFCE">
            <w:pPr>
              <w:pStyle w:val="6"/>
            </w:pPr>
          </w:p>
        </w:tc>
        <w:tc>
          <w:tcPr>
            <w:tcW w:w="1239" w:type="dxa"/>
            <w:vAlign w:val="top"/>
          </w:tcPr>
          <w:p w14:paraId="474C9268">
            <w:pPr>
              <w:pStyle w:val="6"/>
            </w:pPr>
          </w:p>
        </w:tc>
        <w:tc>
          <w:tcPr>
            <w:tcW w:w="1853" w:type="dxa"/>
            <w:vAlign w:val="top"/>
          </w:tcPr>
          <w:p w14:paraId="706C27DD">
            <w:pPr>
              <w:pStyle w:val="6"/>
            </w:pPr>
          </w:p>
        </w:tc>
      </w:tr>
    </w:tbl>
    <w:p w14:paraId="20D572B8">
      <w:pPr>
        <w:spacing w:before="161" w:line="220" w:lineRule="auto"/>
        <w:ind w:left="563"/>
        <w:rPr>
          <w:rFonts w:ascii="楷体" w:hAnsi="楷体" w:eastAsia="楷体" w:cs="楷体"/>
          <w:sz w:val="28"/>
          <w:szCs w:val="28"/>
        </w:rPr>
      </w:pPr>
      <w:r>
        <w:rPr>
          <w:rFonts w:ascii="楷体" w:hAnsi="楷体" w:eastAsia="楷体" w:cs="楷体"/>
          <w:b/>
          <w:bCs/>
          <w:spacing w:val="-23"/>
          <w:sz w:val="28"/>
          <w:szCs w:val="28"/>
        </w:rPr>
        <w:t>按照《武器装备研制生产标准化工作规定》编写</w:t>
      </w:r>
      <w:r>
        <w:rPr>
          <w:rFonts w:ascii="楷体" w:hAnsi="楷体" w:eastAsia="楷体" w:cs="楷体"/>
          <w:b/>
          <w:bCs/>
          <w:spacing w:val="-24"/>
          <w:sz w:val="28"/>
          <w:szCs w:val="28"/>
        </w:rPr>
        <w:t>，说明如下。</w:t>
      </w:r>
    </w:p>
    <w:p w14:paraId="420AD251">
      <w:pPr>
        <w:spacing w:before="107"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05B9AD42">
      <w:pPr>
        <w:pStyle w:val="2"/>
        <w:spacing w:before="82" w:line="219" w:lineRule="auto"/>
        <w:ind w:left="560"/>
      </w:pPr>
      <w:r>
        <w:t>说明文件的适用范围。</w:t>
      </w:r>
    </w:p>
    <w:p w14:paraId="18FDD553">
      <w:pPr>
        <w:pStyle w:val="2"/>
        <w:spacing w:before="98" w:line="279" w:lineRule="auto"/>
        <w:ind w:right="52" w:firstLine="560"/>
      </w:pPr>
      <w:r>
        <w:rPr>
          <w:spacing w:val="-11"/>
        </w:rPr>
        <w:t>说明产品的主要功能、用途、研制性质(自行设计、改型、仿制等)及研制与设</w:t>
      </w:r>
      <w:r>
        <w:rPr>
          <w:spacing w:val="6"/>
        </w:rPr>
        <w:t xml:space="preserve"> </w:t>
      </w:r>
      <w:r>
        <w:rPr>
          <w:spacing w:val="2"/>
        </w:rPr>
        <w:t>计任务书(或合同)的符合情况。</w:t>
      </w:r>
    </w:p>
    <w:p w14:paraId="48606DB0">
      <w:pPr>
        <w:spacing w:line="221" w:lineRule="auto"/>
        <w:rPr>
          <w:rFonts w:ascii="黑体" w:hAnsi="黑体" w:eastAsia="黑体" w:cs="黑体"/>
          <w:sz w:val="25"/>
          <w:szCs w:val="25"/>
        </w:rPr>
      </w:pPr>
      <w:r>
        <w:rPr>
          <w:rFonts w:ascii="黑体" w:hAnsi="黑体" w:eastAsia="黑体" w:cs="黑体"/>
          <w:spacing w:val="15"/>
          <w:sz w:val="25"/>
          <w:szCs w:val="25"/>
        </w:rPr>
        <w:t>2</w:t>
      </w:r>
      <w:r>
        <w:rPr>
          <w:rFonts w:ascii="黑体" w:hAnsi="黑体" w:eastAsia="黑体" w:cs="黑体"/>
          <w:spacing w:val="28"/>
          <w:sz w:val="25"/>
          <w:szCs w:val="25"/>
        </w:rPr>
        <w:t xml:space="preserve">  </w:t>
      </w:r>
      <w:r>
        <w:rPr>
          <w:rFonts w:ascii="黑体" w:hAnsi="黑体" w:eastAsia="黑体" w:cs="黑体"/>
          <w:b/>
          <w:bCs/>
          <w:spacing w:val="15"/>
          <w:sz w:val="25"/>
          <w:szCs w:val="25"/>
        </w:rPr>
        <w:t>引用文件</w:t>
      </w:r>
    </w:p>
    <w:p w14:paraId="7A96A94B">
      <w:pPr>
        <w:pStyle w:val="2"/>
        <w:spacing w:before="93" w:line="218" w:lineRule="auto"/>
        <w:ind w:left="560"/>
      </w:pPr>
      <w:r>
        <w:rPr>
          <w:spacing w:val="4"/>
        </w:rPr>
        <w:t>给出编制标准化审查报告的依据和引用文件一览表。</w:t>
      </w:r>
    </w:p>
    <w:p w14:paraId="6B3829B4">
      <w:pPr>
        <w:spacing w:before="98" w:line="222" w:lineRule="auto"/>
        <w:rPr>
          <w:rFonts w:ascii="黑体" w:hAnsi="黑体" w:eastAsia="黑体" w:cs="黑体"/>
          <w:sz w:val="27"/>
          <w:szCs w:val="27"/>
        </w:rPr>
      </w:pPr>
      <w:r>
        <w:rPr>
          <w:rFonts w:ascii="黑体" w:hAnsi="黑体" w:eastAsia="黑体" w:cs="黑体"/>
          <w:spacing w:val="4"/>
          <w:sz w:val="27"/>
          <w:szCs w:val="27"/>
        </w:rPr>
        <w:t xml:space="preserve">3  </w:t>
      </w:r>
      <w:r>
        <w:rPr>
          <w:rFonts w:ascii="黑体" w:hAnsi="黑体" w:eastAsia="黑体" w:cs="黑体"/>
          <w:b/>
          <w:bCs/>
          <w:spacing w:val="4"/>
          <w:sz w:val="27"/>
          <w:szCs w:val="27"/>
        </w:rPr>
        <w:t>标准及标准化要求的实施情况</w:t>
      </w:r>
    </w:p>
    <w:p w14:paraId="793D29CC">
      <w:pPr>
        <w:spacing w:before="97" w:line="223" w:lineRule="auto"/>
        <w:rPr>
          <w:rFonts w:ascii="黑体" w:hAnsi="黑体" w:eastAsia="黑体" w:cs="黑体"/>
          <w:sz w:val="24"/>
          <w:szCs w:val="24"/>
        </w:rPr>
      </w:pPr>
      <w:r>
        <w:rPr>
          <w:rFonts w:ascii="黑体" w:hAnsi="黑体" w:eastAsia="黑体" w:cs="黑体"/>
          <w:spacing w:val="25"/>
          <w:sz w:val="24"/>
          <w:szCs w:val="24"/>
        </w:rPr>
        <w:t>3.1</w:t>
      </w:r>
      <w:r>
        <w:rPr>
          <w:rFonts w:ascii="黑体" w:hAnsi="黑体" w:eastAsia="黑体" w:cs="黑体"/>
          <w:spacing w:val="42"/>
          <w:sz w:val="24"/>
          <w:szCs w:val="24"/>
        </w:rPr>
        <w:t xml:space="preserve">  </w:t>
      </w:r>
      <w:r>
        <w:rPr>
          <w:rFonts w:ascii="黑体" w:hAnsi="黑体" w:eastAsia="黑体" w:cs="黑体"/>
          <w:b/>
          <w:bCs/>
          <w:spacing w:val="25"/>
          <w:sz w:val="24"/>
          <w:szCs w:val="24"/>
        </w:rPr>
        <w:t>标准和规范的选用情况</w:t>
      </w:r>
    </w:p>
    <w:p w14:paraId="1A074FE3">
      <w:pPr>
        <w:pStyle w:val="2"/>
        <w:spacing w:before="112" w:line="295" w:lineRule="auto"/>
        <w:ind w:right="21" w:firstLine="560"/>
        <w:jc w:val="both"/>
        <w:rPr>
          <w:sz w:val="25"/>
          <w:szCs w:val="25"/>
        </w:rPr>
      </w:pPr>
      <w:r>
        <w:rPr>
          <w:spacing w:val="10"/>
          <w:sz w:val="25"/>
          <w:szCs w:val="25"/>
        </w:rPr>
        <w:t>应说明标准和规范的选用情况，包括编制“标准选用范围”</w:t>
      </w:r>
      <w:r>
        <w:rPr>
          <w:spacing w:val="9"/>
          <w:sz w:val="25"/>
          <w:szCs w:val="25"/>
        </w:rPr>
        <w:t>的原则和要求、主</w:t>
      </w:r>
      <w:r>
        <w:rPr>
          <w:sz w:val="25"/>
          <w:szCs w:val="25"/>
        </w:rPr>
        <w:t xml:space="preserve"> </w:t>
      </w:r>
      <w:r>
        <w:rPr>
          <w:spacing w:val="17"/>
          <w:sz w:val="25"/>
          <w:szCs w:val="25"/>
        </w:rPr>
        <w:t>要工作等，以及随着研制进展，实施补充或调整的动态管理过程。可以附录形式</w:t>
      </w:r>
      <w:r>
        <w:rPr>
          <w:spacing w:val="13"/>
          <w:sz w:val="25"/>
          <w:szCs w:val="25"/>
        </w:rPr>
        <w:t xml:space="preserve"> </w:t>
      </w:r>
      <w:r>
        <w:rPr>
          <w:spacing w:val="5"/>
          <w:sz w:val="25"/>
          <w:szCs w:val="25"/>
        </w:rPr>
        <w:t>给出“标准选用范围”或产品最终的“采用标准清单</w:t>
      </w:r>
      <w:r>
        <w:rPr>
          <w:spacing w:val="4"/>
          <w:sz w:val="25"/>
          <w:szCs w:val="25"/>
        </w:rPr>
        <w:t>”。</w:t>
      </w:r>
    </w:p>
    <w:p w14:paraId="7E46EFF7">
      <w:pPr>
        <w:spacing w:line="222" w:lineRule="auto"/>
        <w:rPr>
          <w:rFonts w:ascii="黑体" w:hAnsi="黑体" w:eastAsia="黑体" w:cs="黑体"/>
          <w:sz w:val="27"/>
          <w:szCs w:val="27"/>
        </w:rPr>
      </w:pPr>
      <w:r>
        <w:rPr>
          <w:rFonts w:ascii="黑体" w:hAnsi="黑体" w:eastAsia="黑体" w:cs="黑体"/>
          <w:spacing w:val="-10"/>
          <w:sz w:val="27"/>
          <w:szCs w:val="27"/>
        </w:rPr>
        <w:t xml:space="preserve">3.2  </w:t>
      </w:r>
      <w:r>
        <w:rPr>
          <w:rFonts w:ascii="黑体" w:hAnsi="黑体" w:eastAsia="黑体" w:cs="黑体"/>
          <w:b/>
          <w:bCs/>
          <w:spacing w:val="-10"/>
          <w:sz w:val="27"/>
          <w:szCs w:val="27"/>
        </w:rPr>
        <w:t>标准件、元器件、原材料选用情况</w:t>
      </w:r>
    </w:p>
    <w:p w14:paraId="27A57AF2">
      <w:pPr>
        <w:pStyle w:val="2"/>
        <w:spacing w:before="99" w:line="272" w:lineRule="auto"/>
        <w:ind w:right="21" w:firstLine="560"/>
        <w:jc w:val="both"/>
      </w:pPr>
      <w:r>
        <w:rPr>
          <w:spacing w:val="-18"/>
        </w:rPr>
        <w:t>应说明编制“标准件、元器件、原材料选用范围”的原则和要求、主要工作，随</w:t>
      </w:r>
      <w:r>
        <w:rPr>
          <w:spacing w:val="12"/>
        </w:rPr>
        <w:t xml:space="preserve"> </w:t>
      </w:r>
      <w:r>
        <w:rPr>
          <w:spacing w:val="5"/>
        </w:rPr>
        <w:t>研制进展实施补充或调整的动态管理过程，以及采用非标准件的申请审批流程</w:t>
      </w:r>
      <w:r>
        <w:rPr>
          <w:spacing w:val="8"/>
        </w:rPr>
        <w:t xml:space="preserve"> </w:t>
      </w:r>
      <w:r>
        <w:rPr>
          <w:spacing w:val="-3"/>
        </w:rPr>
        <w:t>等。可举例重点描述开展进口标准件国产化研究情况，新材料、新型标准件攻关</w:t>
      </w:r>
      <w:r>
        <w:rPr>
          <w:spacing w:val="16"/>
        </w:rPr>
        <w:t xml:space="preserve"> </w:t>
      </w:r>
      <w:r>
        <w:rPr>
          <w:spacing w:val="-13"/>
        </w:rPr>
        <w:t>情况等。可以附录形式给出“标准件、元器件、原材料选用范</w:t>
      </w:r>
      <w:r>
        <w:rPr>
          <w:spacing w:val="-14"/>
        </w:rPr>
        <w:t>围”。</w:t>
      </w:r>
    </w:p>
    <w:p w14:paraId="4B2CACC8">
      <w:pPr>
        <w:spacing w:before="13" w:line="221" w:lineRule="auto"/>
        <w:rPr>
          <w:rFonts w:ascii="黑体" w:hAnsi="黑体" w:eastAsia="黑体" w:cs="黑体"/>
          <w:sz w:val="27"/>
          <w:szCs w:val="27"/>
        </w:rPr>
      </w:pPr>
      <w:r>
        <w:rPr>
          <w:rFonts w:ascii="黑体" w:hAnsi="黑体" w:eastAsia="黑体" w:cs="黑体"/>
          <w:spacing w:val="2"/>
          <w:sz w:val="27"/>
          <w:szCs w:val="27"/>
        </w:rPr>
        <w:t xml:space="preserve">3.3  </w:t>
      </w:r>
      <w:r>
        <w:rPr>
          <w:rFonts w:ascii="黑体" w:hAnsi="黑体" w:eastAsia="黑体" w:cs="黑体"/>
          <w:b/>
          <w:bCs/>
          <w:spacing w:val="2"/>
          <w:sz w:val="27"/>
          <w:szCs w:val="27"/>
        </w:rPr>
        <w:t>标准和规范的剪裁情况</w:t>
      </w:r>
    </w:p>
    <w:p w14:paraId="3443F21D">
      <w:pPr>
        <w:pStyle w:val="2"/>
        <w:spacing w:before="113" w:line="268" w:lineRule="auto"/>
        <w:ind w:right="21" w:firstLine="560"/>
      </w:pPr>
      <w:r>
        <w:rPr>
          <w:spacing w:val="6"/>
        </w:rPr>
        <w:t>应说明标准和规范的剪裁情况，可包括剪裁依据、剪裁结果和存在的问题</w:t>
      </w:r>
      <w:r>
        <w:t xml:space="preserve"> </w:t>
      </w:r>
      <w:r>
        <w:rPr>
          <w:spacing w:val="4"/>
        </w:rPr>
        <w:t>等。附录中可附上剪裁汇总表以及评审结论等。</w:t>
      </w:r>
    </w:p>
    <w:p w14:paraId="4B1076E8">
      <w:pPr>
        <w:spacing w:before="20" w:line="222" w:lineRule="auto"/>
        <w:rPr>
          <w:rFonts w:ascii="黑体" w:hAnsi="黑体" w:eastAsia="黑体" w:cs="黑体"/>
          <w:sz w:val="24"/>
          <w:szCs w:val="24"/>
        </w:rPr>
      </w:pPr>
      <w:r>
        <w:rPr>
          <w:rFonts w:ascii="黑体" w:hAnsi="黑体" w:eastAsia="黑体" w:cs="黑体"/>
          <w:spacing w:val="15"/>
          <w:sz w:val="24"/>
          <w:szCs w:val="24"/>
        </w:rPr>
        <w:t>3.4</w:t>
      </w:r>
      <w:r>
        <w:rPr>
          <w:rFonts w:ascii="黑体" w:hAnsi="黑体" w:eastAsia="黑体" w:cs="黑体"/>
          <w:spacing w:val="54"/>
          <w:sz w:val="24"/>
          <w:szCs w:val="24"/>
        </w:rPr>
        <w:t xml:space="preserve">  </w:t>
      </w:r>
      <w:r>
        <w:rPr>
          <w:rFonts w:ascii="黑体" w:hAnsi="黑体" w:eastAsia="黑体" w:cs="黑体"/>
          <w:b/>
          <w:bCs/>
          <w:spacing w:val="15"/>
          <w:sz w:val="24"/>
          <w:szCs w:val="24"/>
        </w:rPr>
        <w:t>接口、互换性要求实现情况</w:t>
      </w:r>
    </w:p>
    <w:p w14:paraId="145CD5FF">
      <w:pPr>
        <w:pStyle w:val="2"/>
        <w:spacing w:before="118" w:line="219" w:lineRule="auto"/>
        <w:ind w:left="560"/>
      </w:pPr>
      <w:r>
        <w:t>应说明产品设计时贯彻实施接口标准、互换性标准及其要求的情况。</w:t>
      </w:r>
    </w:p>
    <w:p w14:paraId="0782BD64">
      <w:pPr>
        <w:spacing w:before="93" w:line="222" w:lineRule="auto"/>
        <w:rPr>
          <w:rFonts w:ascii="黑体" w:hAnsi="黑体" w:eastAsia="黑体" w:cs="黑体"/>
          <w:sz w:val="24"/>
          <w:szCs w:val="24"/>
        </w:rPr>
      </w:pPr>
      <w:r>
        <w:rPr>
          <w:rFonts w:ascii="黑体" w:hAnsi="黑体" w:eastAsia="黑体" w:cs="黑体"/>
          <w:spacing w:val="22"/>
          <w:sz w:val="24"/>
          <w:szCs w:val="24"/>
        </w:rPr>
        <w:t>3.5</w:t>
      </w:r>
      <w:r>
        <w:rPr>
          <w:rFonts w:ascii="黑体" w:hAnsi="黑体" w:eastAsia="黑体" w:cs="黑体"/>
          <w:spacing w:val="54"/>
          <w:sz w:val="24"/>
          <w:szCs w:val="24"/>
        </w:rPr>
        <w:t xml:space="preserve">  </w:t>
      </w:r>
      <w:r>
        <w:rPr>
          <w:rFonts w:ascii="黑体" w:hAnsi="黑体" w:eastAsia="黑体" w:cs="黑体"/>
          <w:b/>
          <w:bCs/>
          <w:spacing w:val="22"/>
          <w:sz w:val="24"/>
          <w:szCs w:val="24"/>
        </w:rPr>
        <w:t>重大标准的贯彻实施情况</w:t>
      </w:r>
    </w:p>
    <w:p w14:paraId="4422DC03">
      <w:pPr>
        <w:pStyle w:val="2"/>
        <w:spacing w:before="108" w:line="273" w:lineRule="auto"/>
        <w:ind w:right="21" w:firstLine="560"/>
      </w:pPr>
      <w:r>
        <w:rPr>
          <w:spacing w:val="-2"/>
        </w:rPr>
        <w:t>应说明组织编制“重大标准实施方案”情况，贯</w:t>
      </w:r>
      <w:r>
        <w:rPr>
          <w:spacing w:val="-3"/>
        </w:rPr>
        <w:t>彻实施这些重大标准的主要</w:t>
      </w:r>
      <w:r>
        <w:t xml:space="preserve"> </w:t>
      </w:r>
      <w:r>
        <w:rPr>
          <w:spacing w:val="-1"/>
        </w:rPr>
        <w:t>工作程序和内容，以及贯彻实施这些标准所取得的效果。</w:t>
      </w:r>
    </w:p>
    <w:p w14:paraId="31CD3F6E">
      <w:pPr>
        <w:pStyle w:val="2"/>
        <w:spacing w:before="1" w:line="275" w:lineRule="auto"/>
        <w:ind w:right="50" w:firstLine="560"/>
      </w:pPr>
      <w:r>
        <w:rPr>
          <w:spacing w:val="-3"/>
        </w:rPr>
        <w:t>可举例重点说明研制过程中遇到的主要问题、采取的解决</w:t>
      </w:r>
      <w:r>
        <w:rPr>
          <w:spacing w:val="-4"/>
        </w:rPr>
        <w:t>措施、有关问题协</w:t>
      </w:r>
      <w:r>
        <w:t xml:space="preserve"> </w:t>
      </w:r>
      <w:r>
        <w:rPr>
          <w:spacing w:val="1"/>
        </w:rPr>
        <w:t>调处理的要求及情况等。</w:t>
      </w:r>
    </w:p>
    <w:p w14:paraId="464D6CB7">
      <w:pPr>
        <w:spacing w:before="1" w:line="220" w:lineRule="auto"/>
        <w:outlineLvl w:val="3"/>
        <w:rPr>
          <w:rFonts w:ascii="黑体" w:hAnsi="黑体" w:eastAsia="黑体" w:cs="黑体"/>
          <w:sz w:val="27"/>
          <w:szCs w:val="27"/>
        </w:rPr>
      </w:pPr>
      <w:r>
        <w:rPr>
          <w:rFonts w:ascii="Arial" w:hAnsi="Arial" w:eastAsia="Arial" w:cs="Arial"/>
          <w:b/>
          <w:bCs/>
          <w:spacing w:val="-5"/>
          <w:sz w:val="27"/>
          <w:szCs w:val="27"/>
        </w:rPr>
        <w:t>4</w:t>
      </w:r>
      <w:r>
        <w:rPr>
          <w:rFonts w:ascii="Arial" w:hAnsi="Arial" w:eastAsia="Arial" w:cs="Arial"/>
          <w:b/>
          <w:bCs/>
          <w:spacing w:val="23"/>
          <w:w w:val="101"/>
          <w:sz w:val="27"/>
          <w:szCs w:val="27"/>
        </w:rPr>
        <w:t xml:space="preserve">   </w:t>
      </w:r>
      <w:r>
        <w:rPr>
          <w:rFonts w:ascii="黑体" w:hAnsi="黑体" w:eastAsia="黑体" w:cs="黑体"/>
          <w:b/>
          <w:bCs/>
          <w:spacing w:val="-5"/>
          <w:sz w:val="27"/>
          <w:szCs w:val="27"/>
        </w:rPr>
        <w:t>图样和技术文件的完整性、正确性及统一性评价</w:t>
      </w:r>
    </w:p>
    <w:p w14:paraId="63015986">
      <w:pPr>
        <w:pStyle w:val="2"/>
        <w:spacing w:before="121" w:line="305" w:lineRule="auto"/>
        <w:ind w:right="23" w:firstLine="560"/>
        <w:rPr>
          <w:sz w:val="25"/>
          <w:szCs w:val="25"/>
        </w:rPr>
      </w:pPr>
      <w:r>
        <w:rPr>
          <w:spacing w:val="18"/>
          <w:sz w:val="25"/>
          <w:szCs w:val="25"/>
        </w:rPr>
        <w:t>说明承制单位是否已按研制生产全过程和设</w:t>
      </w:r>
      <w:r>
        <w:rPr>
          <w:spacing w:val="17"/>
          <w:sz w:val="25"/>
          <w:szCs w:val="25"/>
        </w:rPr>
        <w:t>计、试验、装配、验收、出厂包</w:t>
      </w:r>
      <w:r>
        <w:rPr>
          <w:sz w:val="25"/>
          <w:szCs w:val="25"/>
        </w:rPr>
        <w:t xml:space="preserve"> </w:t>
      </w:r>
      <w:r>
        <w:rPr>
          <w:spacing w:val="18"/>
          <w:sz w:val="25"/>
          <w:szCs w:val="25"/>
        </w:rPr>
        <w:t>装、运输各方面的需要，对图样成套性有关标准进行了合</w:t>
      </w:r>
      <w:r>
        <w:rPr>
          <w:spacing w:val="17"/>
          <w:sz w:val="25"/>
          <w:szCs w:val="25"/>
        </w:rPr>
        <w:t>理剪裁，制定了产品图</w:t>
      </w:r>
    </w:p>
    <w:p w14:paraId="2E8CB638">
      <w:pPr>
        <w:spacing w:line="305" w:lineRule="auto"/>
        <w:rPr>
          <w:sz w:val="25"/>
          <w:szCs w:val="25"/>
        </w:rPr>
        <w:sectPr>
          <w:footerReference r:id="rId309" w:type="default"/>
          <w:pgSz w:w="11910" w:h="17130"/>
          <w:pgMar w:top="1456" w:right="1054" w:bottom="1507" w:left="1440" w:header="0" w:footer="1291" w:gutter="0"/>
          <w:cols w:space="720" w:num="1"/>
        </w:sectPr>
      </w:pPr>
    </w:p>
    <w:p w14:paraId="14286EEE">
      <w:pPr>
        <w:pStyle w:val="2"/>
        <w:spacing w:before="205" w:line="219" w:lineRule="auto"/>
        <w:ind w:left="30"/>
      </w:pPr>
      <w:r>
        <w:rPr>
          <w:spacing w:val="2"/>
        </w:rPr>
        <w:t>样及技术文件成套性要求项目表。</w:t>
      </w:r>
    </w:p>
    <w:p w14:paraId="20F4E4FB">
      <w:pPr>
        <w:pStyle w:val="2"/>
        <w:spacing w:before="99" w:line="255" w:lineRule="auto"/>
        <w:ind w:left="560" w:right="66" w:firstLine="20"/>
      </w:pPr>
      <w:r>
        <w:rPr>
          <w:spacing w:val="4"/>
        </w:rPr>
        <w:t>说明产品图样和技术文件与产品实物的一致性情况及贯彻标准的正确性。</w:t>
      </w:r>
      <w:r>
        <w:rPr>
          <w:spacing w:val="5"/>
        </w:rPr>
        <w:t xml:space="preserve"> </w:t>
      </w:r>
      <w:r>
        <w:rPr>
          <w:spacing w:val="-9"/>
        </w:rPr>
        <w:t>说明产品图样和技术文件的编制是否做到了完整、准</w:t>
      </w:r>
      <w:r>
        <w:rPr>
          <w:spacing w:val="-10"/>
        </w:rPr>
        <w:t>确、协调、规范。</w:t>
      </w:r>
    </w:p>
    <w:p w14:paraId="42004E9E">
      <w:pPr>
        <w:spacing w:before="40" w:line="213" w:lineRule="auto"/>
        <w:rPr>
          <w:rFonts w:ascii="黑体" w:hAnsi="黑体" w:eastAsia="黑体" w:cs="黑体"/>
          <w:sz w:val="27"/>
          <w:szCs w:val="27"/>
        </w:rPr>
      </w:pPr>
      <w:r>
        <w:rPr>
          <w:rFonts w:ascii="黑体" w:hAnsi="黑体" w:eastAsia="黑体" w:cs="黑体"/>
          <w:spacing w:val="-14"/>
          <w:sz w:val="27"/>
          <w:szCs w:val="27"/>
        </w:rPr>
        <w:t>5  产品“三化”水平评价，标准化系数计算</w:t>
      </w:r>
    </w:p>
    <w:p w14:paraId="6287CF6F">
      <w:pPr>
        <w:spacing w:before="90" w:line="222" w:lineRule="auto"/>
        <w:rPr>
          <w:rFonts w:ascii="黑体" w:hAnsi="黑体" w:eastAsia="黑体" w:cs="黑体"/>
          <w:sz w:val="27"/>
          <w:szCs w:val="27"/>
        </w:rPr>
      </w:pPr>
      <w:r>
        <w:rPr>
          <w:rFonts w:ascii="黑体" w:hAnsi="黑体" w:eastAsia="黑体" w:cs="黑体"/>
          <w:spacing w:val="-13"/>
          <w:sz w:val="27"/>
          <w:szCs w:val="27"/>
        </w:rPr>
        <w:t>5.1  产品“三化”水平评价</w:t>
      </w:r>
    </w:p>
    <w:p w14:paraId="17855AF5">
      <w:pPr>
        <w:pStyle w:val="2"/>
        <w:spacing w:before="94" w:line="272" w:lineRule="auto"/>
        <w:ind w:left="20" w:right="20" w:firstLine="550"/>
        <w:jc w:val="both"/>
      </w:pPr>
      <w:r>
        <w:rPr>
          <w:spacing w:val="-11"/>
        </w:rPr>
        <w:t>应说明组织设计人员开展“三化”方案论证、“三化”设计及其试验验证的具</w:t>
      </w:r>
      <w:r>
        <w:rPr>
          <w:spacing w:val="7"/>
        </w:rPr>
        <w:t xml:space="preserve"> </w:t>
      </w:r>
      <w:r>
        <w:rPr>
          <w:spacing w:val="-17"/>
        </w:rPr>
        <w:t>体情况，进行“三化”检查和评审或必要时建立“三化”产品数据库的工作情况</w:t>
      </w:r>
      <w:r>
        <w:rPr>
          <w:spacing w:val="-18"/>
        </w:rPr>
        <w:t>，并</w:t>
      </w:r>
      <w:r>
        <w:t xml:space="preserve"> </w:t>
      </w:r>
      <w:r>
        <w:rPr>
          <w:spacing w:val="-2"/>
        </w:rPr>
        <w:t>对“三化”设计的最终结果进行具体描述。可举例重点说明遇到的主要问题、采</w:t>
      </w:r>
      <w:r>
        <w:t xml:space="preserve"> </w:t>
      </w:r>
      <w:r>
        <w:rPr>
          <w:spacing w:val="-5"/>
        </w:rPr>
        <w:t>取的解决措施、协调处理的过程等。</w:t>
      </w:r>
    </w:p>
    <w:p w14:paraId="76A3DBF5">
      <w:pPr>
        <w:spacing w:before="1" w:line="221" w:lineRule="auto"/>
        <w:ind w:left="10"/>
        <w:rPr>
          <w:rFonts w:ascii="黑体" w:hAnsi="黑体" w:eastAsia="黑体" w:cs="黑体"/>
          <w:sz w:val="27"/>
          <w:szCs w:val="27"/>
        </w:rPr>
      </w:pPr>
      <w:r>
        <w:rPr>
          <w:rFonts w:ascii="黑体" w:hAnsi="黑体" w:eastAsia="黑体" w:cs="黑体"/>
          <w:spacing w:val="3"/>
          <w:sz w:val="27"/>
          <w:szCs w:val="27"/>
        </w:rPr>
        <w:t>5.2</w:t>
      </w:r>
      <w:r>
        <w:rPr>
          <w:rFonts w:ascii="黑体" w:hAnsi="黑体" w:eastAsia="黑体" w:cs="黑体"/>
          <w:spacing w:val="17"/>
          <w:sz w:val="27"/>
          <w:szCs w:val="27"/>
        </w:rPr>
        <w:t xml:space="preserve">  </w:t>
      </w:r>
      <w:r>
        <w:rPr>
          <w:rFonts w:ascii="黑体" w:hAnsi="黑体" w:eastAsia="黑体" w:cs="黑体"/>
          <w:spacing w:val="3"/>
          <w:sz w:val="27"/>
          <w:szCs w:val="27"/>
        </w:rPr>
        <w:t>标准化系数计算</w:t>
      </w:r>
    </w:p>
    <w:p w14:paraId="36F6119D">
      <w:pPr>
        <w:pStyle w:val="2"/>
        <w:spacing w:before="89" w:line="276" w:lineRule="auto"/>
        <w:ind w:left="40" w:right="78" w:firstLine="539"/>
      </w:pPr>
      <w:r>
        <w:rPr>
          <w:spacing w:val="6"/>
        </w:rPr>
        <w:t>分别计算产品标准化件数系数</w:t>
      </w:r>
      <w:r>
        <w:rPr>
          <w:rFonts w:ascii="Times New Roman" w:hAnsi="Times New Roman" w:eastAsia="Times New Roman" w:cs="Times New Roman"/>
          <w:spacing w:val="6"/>
        </w:rPr>
        <w:t>K;</w:t>
      </w:r>
      <w:r>
        <w:rPr>
          <w:rFonts w:ascii="Times New Roman" w:hAnsi="Times New Roman" w:eastAsia="Times New Roman" w:cs="Times New Roman"/>
          <w:spacing w:val="-38"/>
        </w:rPr>
        <w:t xml:space="preserve"> </w:t>
      </w:r>
      <w:r>
        <w:rPr>
          <w:spacing w:val="6"/>
        </w:rPr>
        <w:t>、标准化种数系数</w:t>
      </w:r>
      <w:r>
        <w:rPr>
          <w:rFonts w:ascii="Times New Roman" w:hAnsi="Times New Roman" w:eastAsia="Times New Roman" w:cs="Times New Roman"/>
          <w:spacing w:val="6"/>
        </w:rPr>
        <w:t xml:space="preserve">K2 </w:t>
      </w:r>
      <w:r>
        <w:rPr>
          <w:spacing w:val="6"/>
        </w:rPr>
        <w:t>和重复系数</w:t>
      </w:r>
      <w:r>
        <w:rPr>
          <w:rFonts w:ascii="Times New Roman" w:hAnsi="Times New Roman" w:eastAsia="Times New Roman" w:cs="Times New Roman"/>
          <w:spacing w:val="6"/>
        </w:rPr>
        <w:t>K</w:t>
      </w:r>
      <w:r>
        <w:rPr>
          <w:rFonts w:ascii="Times New Roman" w:hAnsi="Times New Roman" w:eastAsia="Times New Roman" w:cs="Times New Roman"/>
          <w:spacing w:val="-32"/>
        </w:rPr>
        <w:t xml:space="preserve"> </w:t>
      </w:r>
      <w:r>
        <w:rPr>
          <w:spacing w:val="5"/>
        </w:rPr>
        <w:t>。</w:t>
      </w:r>
      <w:r>
        <w:rPr>
          <w:rFonts w:ascii="Times New Roman" w:hAnsi="Times New Roman" w:eastAsia="Times New Roman" w:cs="Times New Roman"/>
          <w:spacing w:val="5"/>
        </w:rPr>
        <w:t>,</w:t>
      </w:r>
      <w:r>
        <w:rPr>
          <w:spacing w:val="5"/>
        </w:rPr>
        <w:t>并</w:t>
      </w:r>
      <w:r>
        <w:t xml:space="preserve"> </w:t>
      </w:r>
      <w:r>
        <w:rPr>
          <w:spacing w:val="2"/>
        </w:rPr>
        <w:t>按计算结果进行评价。</w:t>
      </w:r>
    </w:p>
    <w:p w14:paraId="296E99DA">
      <w:pPr>
        <w:pStyle w:val="2"/>
        <w:spacing w:line="212" w:lineRule="auto"/>
        <w:ind w:left="580"/>
      </w:pPr>
      <w:r>
        <w:rPr>
          <w:rFonts w:ascii="Times New Roman" w:hAnsi="Times New Roman" w:eastAsia="Times New Roman" w:cs="Times New Roman"/>
          <w:spacing w:val="7"/>
        </w:rPr>
        <w:t>a)</w:t>
      </w:r>
      <w:r>
        <w:rPr>
          <w:rFonts w:ascii="Times New Roman" w:hAnsi="Times New Roman" w:eastAsia="Times New Roman" w:cs="Times New Roman"/>
          <w:spacing w:val="71"/>
        </w:rPr>
        <w:t xml:space="preserve"> </w:t>
      </w:r>
      <w:r>
        <w:rPr>
          <w:spacing w:val="7"/>
        </w:rPr>
        <w:t>标准化件数系数</w:t>
      </w:r>
      <w:r>
        <w:rPr>
          <w:rFonts w:ascii="Times New Roman" w:hAnsi="Times New Roman" w:eastAsia="Times New Roman" w:cs="Times New Roman"/>
          <w:spacing w:val="7"/>
        </w:rPr>
        <w:t>K;</w:t>
      </w:r>
      <w:r>
        <w:rPr>
          <w:rFonts w:ascii="Times New Roman" w:hAnsi="Times New Roman" w:eastAsia="Times New Roman" w:cs="Times New Roman"/>
          <w:spacing w:val="67"/>
          <w:w w:val="101"/>
        </w:rPr>
        <w:t xml:space="preserve"> </w:t>
      </w:r>
      <w:r>
        <w:rPr>
          <w:spacing w:val="7"/>
        </w:rPr>
        <w:t>的计算</w:t>
      </w:r>
    </w:p>
    <w:p w14:paraId="2C46BE86">
      <w:pPr>
        <w:spacing w:before="79" w:line="630" w:lineRule="exact"/>
        <w:ind w:firstLine="2669"/>
      </w:pPr>
      <w:r>
        <w:rPr>
          <w:position w:val="-12"/>
        </w:rPr>
        <w:drawing>
          <wp:inline distT="0" distB="0" distL="0" distR="0">
            <wp:extent cx="2558415" cy="400050"/>
            <wp:effectExtent l="0" t="0" r="0" b="1016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87"/>
                    <a:stretch>
                      <a:fillRect/>
                    </a:stretch>
                  </pic:blipFill>
                  <pic:spPr>
                    <a:xfrm>
                      <a:off x="0" y="0"/>
                      <a:ext cx="2559041" cy="400076"/>
                    </a:xfrm>
                    <a:prstGeom prst="rect">
                      <a:avLst/>
                    </a:prstGeom>
                  </pic:spPr>
                </pic:pic>
              </a:graphicData>
            </a:graphic>
          </wp:inline>
        </w:drawing>
      </w:r>
    </w:p>
    <w:p w14:paraId="32ED4B7F">
      <w:pPr>
        <w:pStyle w:val="2"/>
        <w:spacing w:before="104" w:line="212" w:lineRule="auto"/>
        <w:ind w:left="30"/>
      </w:pPr>
      <w:r>
        <w:rPr>
          <w:spacing w:val="-3"/>
        </w:rPr>
        <w:t>式中  ∑</w:t>
      </w:r>
      <w:r>
        <w:rPr>
          <w:rFonts w:ascii="Times New Roman" w:hAnsi="Times New Roman" w:eastAsia="Times New Roman" w:cs="Times New Roman"/>
          <w:spacing w:val="-3"/>
        </w:rPr>
        <w:t>b;——</w:t>
      </w:r>
      <w:r>
        <w:rPr>
          <w:spacing w:val="-3"/>
        </w:rPr>
        <w:t>产品标准零件、部件、整</w:t>
      </w:r>
      <w:r>
        <w:rPr>
          <w:spacing w:val="-4"/>
        </w:rPr>
        <w:t>(组)件总件数；</w:t>
      </w:r>
    </w:p>
    <w:p w14:paraId="116DA0B1">
      <w:pPr>
        <w:pStyle w:val="2"/>
        <w:spacing w:before="67" w:line="271" w:lineRule="auto"/>
        <w:ind w:left="900" w:right="1785"/>
      </w:pPr>
      <w:r>
        <w:t>∑</w:t>
      </w:r>
      <w:r>
        <w:rPr>
          <w:rFonts w:ascii="Times New Roman" w:hAnsi="Times New Roman" w:eastAsia="Times New Roman" w:cs="Times New Roman"/>
        </w:rPr>
        <w:t>t;——</w:t>
      </w:r>
      <w:r>
        <w:t>产品中通用</w:t>
      </w:r>
      <w:r>
        <w:rPr>
          <w:rFonts w:ascii="Times New Roman" w:hAnsi="Times New Roman" w:eastAsia="Times New Roman" w:cs="Times New Roman"/>
        </w:rPr>
        <w:t>(</w:t>
      </w:r>
      <w:r>
        <w:t>借用</w:t>
      </w:r>
      <w:r>
        <w:rPr>
          <w:rFonts w:ascii="Times New Roman" w:hAnsi="Times New Roman" w:eastAsia="Times New Roman" w:cs="Times New Roman"/>
        </w:rPr>
        <w:t>)</w:t>
      </w:r>
      <w:r>
        <w:t>零件、部件、整</w:t>
      </w:r>
      <w:r>
        <w:rPr>
          <w:rFonts w:ascii="Times New Roman" w:hAnsi="Times New Roman" w:eastAsia="Times New Roman" w:cs="Times New Roman"/>
        </w:rPr>
        <w:t>(</w:t>
      </w:r>
      <w:r>
        <w:t>组</w:t>
      </w:r>
      <w:r>
        <w:rPr>
          <w:rFonts w:ascii="Times New Roman" w:hAnsi="Times New Roman" w:eastAsia="Times New Roman" w:cs="Times New Roman"/>
        </w:rPr>
        <w:t>)</w:t>
      </w:r>
      <w:r>
        <w:t>件总件数；</w:t>
      </w:r>
      <w:r>
        <w:rPr>
          <w:spacing w:val="15"/>
        </w:rPr>
        <w:t xml:space="preserve"> </w:t>
      </w:r>
      <w:r>
        <w:rPr>
          <w:spacing w:val="-2"/>
        </w:rPr>
        <w:t>∑</w:t>
      </w:r>
      <w:r>
        <w:rPr>
          <w:rFonts w:ascii="Times New Roman" w:hAnsi="Times New Roman" w:eastAsia="Times New Roman" w:cs="Times New Roman"/>
          <w:spacing w:val="-2"/>
        </w:rPr>
        <w:t>w;——</w:t>
      </w:r>
      <w:r>
        <w:rPr>
          <w:spacing w:val="-2"/>
        </w:rPr>
        <w:t>产品中外购零件、部件、整</w:t>
      </w:r>
      <w:r>
        <w:rPr>
          <w:rFonts w:ascii="Times New Roman" w:hAnsi="Times New Roman" w:eastAsia="Times New Roman" w:cs="Times New Roman"/>
          <w:spacing w:val="-2"/>
        </w:rPr>
        <w:t>(</w:t>
      </w:r>
      <w:r>
        <w:rPr>
          <w:spacing w:val="-2"/>
        </w:rPr>
        <w:t>组</w:t>
      </w:r>
      <w:r>
        <w:rPr>
          <w:rFonts w:ascii="Times New Roman" w:hAnsi="Times New Roman" w:eastAsia="Times New Roman" w:cs="Times New Roman"/>
          <w:spacing w:val="-2"/>
        </w:rPr>
        <w:t>)</w:t>
      </w:r>
      <w:r>
        <w:rPr>
          <w:spacing w:val="-2"/>
        </w:rPr>
        <w:t>件总件数；</w:t>
      </w:r>
    </w:p>
    <w:p w14:paraId="1C3FFB4C">
      <w:pPr>
        <w:pStyle w:val="2"/>
        <w:spacing w:before="26" w:line="218" w:lineRule="auto"/>
        <w:ind w:left="910"/>
      </w:pPr>
      <w:r>
        <w:rPr>
          <w:rFonts w:ascii="Times New Roman" w:hAnsi="Times New Roman" w:eastAsia="Times New Roman" w:cs="Times New Roman"/>
          <w:position w:val="-5"/>
        </w:rPr>
        <w:drawing>
          <wp:inline distT="0" distB="0" distL="0" distR="0">
            <wp:extent cx="165735" cy="157480"/>
            <wp:effectExtent l="0" t="0" r="6985" b="4445"/>
            <wp:docPr id="1" name="IM 4"/>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688"/>
                    <a:stretch>
                      <a:fillRect/>
                    </a:stretch>
                  </pic:blipFill>
                  <pic:spPr>
                    <a:xfrm>
                      <a:off x="0" y="0"/>
                      <a:ext cx="165963" cy="157733"/>
                    </a:xfrm>
                    <a:prstGeom prst="rect">
                      <a:avLst/>
                    </a:prstGeom>
                  </pic:spPr>
                </pic:pic>
              </a:graphicData>
            </a:graphic>
          </wp:inline>
        </w:drawing>
      </w:r>
      <w:r>
        <w:rPr>
          <w:rFonts w:ascii="Times New Roman" w:hAnsi="Times New Roman" w:eastAsia="Times New Roman" w:cs="Times New Roman"/>
          <w:spacing w:val="-7"/>
        </w:rPr>
        <w:t>——</w:t>
      </w:r>
      <w:r>
        <w:rPr>
          <w:rFonts w:ascii="Times New Roman" w:hAnsi="Times New Roman" w:eastAsia="Times New Roman" w:cs="Times New Roman"/>
          <w:spacing w:val="56"/>
          <w:w w:val="101"/>
        </w:rPr>
        <w:t xml:space="preserve"> </w:t>
      </w:r>
      <w:r>
        <w:rPr>
          <w:spacing w:val="-7"/>
        </w:rPr>
        <w:t>产品中全部零件、部件、整(组)件总件数。</w:t>
      </w:r>
    </w:p>
    <w:p w14:paraId="76E4D2FE">
      <w:pPr>
        <w:pStyle w:val="2"/>
        <w:spacing w:before="62" w:line="212" w:lineRule="auto"/>
        <w:ind w:left="600"/>
      </w:pPr>
      <w:r>
        <w:rPr>
          <w:rFonts w:ascii="Times New Roman" w:hAnsi="Times New Roman" w:eastAsia="Times New Roman" w:cs="Times New Roman"/>
          <w:spacing w:val="10"/>
        </w:rPr>
        <w:t>b)</w:t>
      </w:r>
      <w:r>
        <w:rPr>
          <w:rFonts w:ascii="Times New Roman" w:hAnsi="Times New Roman" w:eastAsia="Times New Roman" w:cs="Times New Roman"/>
          <w:spacing w:val="51"/>
          <w:w w:val="101"/>
        </w:rPr>
        <w:t xml:space="preserve"> </w:t>
      </w:r>
      <w:r>
        <w:rPr>
          <w:spacing w:val="10"/>
        </w:rPr>
        <w:t>标准化种数系数</w:t>
      </w:r>
      <w:r>
        <w:rPr>
          <w:rFonts w:ascii="Times New Roman" w:hAnsi="Times New Roman" w:eastAsia="Times New Roman" w:cs="Times New Roman"/>
          <w:spacing w:val="10"/>
        </w:rPr>
        <w:t xml:space="preserve">K2 </w:t>
      </w:r>
      <w:r>
        <w:rPr>
          <w:spacing w:val="10"/>
        </w:rPr>
        <w:t>的计算</w:t>
      </w:r>
    </w:p>
    <w:p w14:paraId="1141E861">
      <w:pPr>
        <w:spacing w:before="148" w:line="562" w:lineRule="exact"/>
        <w:ind w:firstLine="2689"/>
      </w:pPr>
      <w:r>
        <w:rPr>
          <w:position w:val="-11"/>
        </w:rPr>
        <w:drawing>
          <wp:inline distT="0" distB="0" distL="0" distR="0">
            <wp:extent cx="2533650" cy="356235"/>
            <wp:effectExtent l="0" t="0" r="3175" b="0"/>
            <wp:docPr id="3" name="IM 6"/>
            <wp:cNvGraphicFramePr/>
            <a:graphic xmlns:a="http://schemas.openxmlformats.org/drawingml/2006/main">
              <a:graphicData uri="http://schemas.openxmlformats.org/drawingml/2006/picture">
                <pic:pic xmlns:pic="http://schemas.openxmlformats.org/drawingml/2006/picture">
                  <pic:nvPicPr>
                    <pic:cNvPr id="3" name="IM 6"/>
                    <pic:cNvPicPr/>
                  </pic:nvPicPr>
                  <pic:blipFill>
                    <a:blip r:embed="rId689"/>
                    <a:stretch>
                      <a:fillRect/>
                    </a:stretch>
                  </pic:blipFill>
                  <pic:spPr>
                    <a:xfrm>
                      <a:off x="0" y="0"/>
                      <a:ext cx="2533777" cy="356355"/>
                    </a:xfrm>
                    <a:prstGeom prst="rect">
                      <a:avLst/>
                    </a:prstGeom>
                  </pic:spPr>
                </pic:pic>
              </a:graphicData>
            </a:graphic>
          </wp:inline>
        </w:drawing>
      </w:r>
    </w:p>
    <w:p w14:paraId="66BD1927">
      <w:pPr>
        <w:pStyle w:val="2"/>
        <w:spacing w:before="121" w:line="219" w:lineRule="auto"/>
        <w:ind w:left="40"/>
      </w:pPr>
      <w:r>
        <w:rPr>
          <w:spacing w:val="-3"/>
        </w:rPr>
        <w:t>式中  ∑</w:t>
      </w:r>
      <w:r>
        <w:rPr>
          <w:rFonts w:ascii="Times New Roman" w:hAnsi="Times New Roman" w:eastAsia="Times New Roman" w:cs="Times New Roman"/>
          <w:spacing w:val="-3"/>
        </w:rPr>
        <w:t>b₂——</w:t>
      </w:r>
      <w:r>
        <w:rPr>
          <w:spacing w:val="-3"/>
        </w:rPr>
        <w:t>产品标准零件、部件、整(组)件总品种数；</w:t>
      </w:r>
    </w:p>
    <w:p w14:paraId="1FA7DC1D">
      <w:pPr>
        <w:spacing w:before="59" w:line="289" w:lineRule="exact"/>
        <w:ind w:left="910"/>
      </w:pPr>
      <w:r>
        <w:rPr>
          <w:position w:val="-6"/>
        </w:rPr>
        <w:drawing>
          <wp:inline distT="0" distB="0" distL="0" distR="0">
            <wp:extent cx="4375150" cy="183515"/>
            <wp:effectExtent l="0" t="0" r="762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690"/>
                    <a:stretch>
                      <a:fillRect/>
                    </a:stretch>
                  </pic:blipFill>
                  <pic:spPr>
                    <a:xfrm>
                      <a:off x="0" y="0"/>
                      <a:ext cx="4375345" cy="183794"/>
                    </a:xfrm>
                    <a:prstGeom prst="rect">
                      <a:avLst/>
                    </a:prstGeom>
                  </pic:spPr>
                </pic:pic>
              </a:graphicData>
            </a:graphic>
          </wp:inline>
        </w:drawing>
      </w:r>
    </w:p>
    <w:p w14:paraId="5AD09756">
      <w:pPr>
        <w:spacing w:before="101" w:line="289" w:lineRule="exact"/>
        <w:ind w:left="920"/>
      </w:pPr>
      <w:r>
        <w:rPr>
          <w:position w:val="-6"/>
        </w:rPr>
        <w:drawing>
          <wp:inline distT="0" distB="0" distL="0" distR="0">
            <wp:extent cx="3944620" cy="183515"/>
            <wp:effectExtent l="0" t="0" r="635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691"/>
                    <a:stretch>
                      <a:fillRect/>
                    </a:stretch>
                  </pic:blipFill>
                  <pic:spPr>
                    <a:xfrm>
                      <a:off x="0" y="0"/>
                      <a:ext cx="3944745" cy="183794"/>
                    </a:xfrm>
                    <a:prstGeom prst="rect">
                      <a:avLst/>
                    </a:prstGeom>
                  </pic:spPr>
                </pic:pic>
              </a:graphicData>
            </a:graphic>
          </wp:inline>
        </w:drawing>
      </w:r>
    </w:p>
    <w:p w14:paraId="4074BD1B">
      <w:pPr>
        <w:spacing w:before="111" w:line="289" w:lineRule="exact"/>
        <w:ind w:left="910"/>
      </w:pPr>
      <w:r>
        <w:rPr>
          <w:position w:val="-6"/>
        </w:rPr>
        <w:drawing>
          <wp:inline distT="0" distB="0" distL="0" distR="0">
            <wp:extent cx="3844290" cy="183515"/>
            <wp:effectExtent l="0" t="0" r="9525" b="0"/>
            <wp:docPr id="5" name="IM 12"/>
            <wp:cNvGraphicFramePr/>
            <a:graphic xmlns:a="http://schemas.openxmlformats.org/drawingml/2006/main">
              <a:graphicData uri="http://schemas.openxmlformats.org/drawingml/2006/picture">
                <pic:pic xmlns:pic="http://schemas.openxmlformats.org/drawingml/2006/picture">
                  <pic:nvPicPr>
                    <pic:cNvPr id="5" name="IM 12"/>
                    <pic:cNvPicPr/>
                  </pic:nvPicPr>
                  <pic:blipFill>
                    <a:blip r:embed="rId692"/>
                    <a:stretch>
                      <a:fillRect/>
                    </a:stretch>
                  </pic:blipFill>
                  <pic:spPr>
                    <a:xfrm>
                      <a:off x="0" y="0"/>
                      <a:ext cx="3844886" cy="183794"/>
                    </a:xfrm>
                    <a:prstGeom prst="rect">
                      <a:avLst/>
                    </a:prstGeom>
                  </pic:spPr>
                </pic:pic>
              </a:graphicData>
            </a:graphic>
          </wp:inline>
        </w:drawing>
      </w:r>
    </w:p>
    <w:p w14:paraId="4D1A5A98">
      <w:pPr>
        <w:pStyle w:val="2"/>
        <w:spacing w:before="121" w:line="212" w:lineRule="auto"/>
        <w:ind w:left="590"/>
      </w:pPr>
      <w:r>
        <w:rPr>
          <w:rFonts w:ascii="Times New Roman" w:hAnsi="Times New Roman" w:eastAsia="Times New Roman" w:cs="Times New Roman"/>
          <w:spacing w:val="-2"/>
        </w:rPr>
        <w:t>c)</w:t>
      </w:r>
      <w:r>
        <w:rPr>
          <w:rFonts w:ascii="Times New Roman" w:hAnsi="Times New Roman" w:eastAsia="Times New Roman" w:cs="Times New Roman"/>
          <w:spacing w:val="53"/>
        </w:rPr>
        <w:t xml:space="preserve"> </w:t>
      </w:r>
      <w:r>
        <w:rPr>
          <w:spacing w:val="-2"/>
        </w:rPr>
        <w:t>重复系数</w:t>
      </w:r>
      <w:r>
        <w:rPr>
          <w:spacing w:val="-77"/>
        </w:rPr>
        <w:t xml:space="preserve"> </w:t>
      </w:r>
      <w:r>
        <w:rPr>
          <w:rFonts w:ascii="Times New Roman" w:hAnsi="Times New Roman" w:eastAsia="Times New Roman" w:cs="Times New Roman"/>
          <w:spacing w:val="-2"/>
        </w:rPr>
        <w:t>K</w:t>
      </w:r>
      <w:r>
        <w:rPr>
          <w:spacing w:val="-2"/>
        </w:rPr>
        <w:t>。的计算</w:t>
      </w:r>
    </w:p>
    <w:p w14:paraId="4E751E1B">
      <w:pPr>
        <w:spacing w:before="129" w:line="600" w:lineRule="exact"/>
        <w:ind w:firstLine="4110"/>
      </w:pPr>
      <w:r>
        <w:rPr>
          <w:position w:val="-12"/>
        </w:rPr>
        <w:drawing>
          <wp:inline distT="0" distB="0" distL="0" distR="0">
            <wp:extent cx="768350" cy="381000"/>
            <wp:effectExtent l="0" t="0" r="8890" b="762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693"/>
                    <a:stretch>
                      <a:fillRect/>
                    </a:stretch>
                  </pic:blipFill>
                  <pic:spPr>
                    <a:xfrm>
                      <a:off x="0" y="0"/>
                      <a:ext cx="768385" cy="381040"/>
                    </a:xfrm>
                    <a:prstGeom prst="rect">
                      <a:avLst/>
                    </a:prstGeom>
                  </pic:spPr>
                </pic:pic>
              </a:graphicData>
            </a:graphic>
          </wp:inline>
        </w:drawing>
      </w:r>
    </w:p>
    <w:p w14:paraId="29F0891E">
      <w:pPr>
        <w:spacing w:before="79" w:line="221" w:lineRule="auto"/>
        <w:ind w:left="40"/>
        <w:rPr>
          <w:rFonts w:ascii="黑体" w:hAnsi="黑体" w:eastAsia="黑体" w:cs="黑体"/>
          <w:sz w:val="27"/>
          <w:szCs w:val="27"/>
        </w:rPr>
      </w:pPr>
      <w:r>
        <w:rPr>
          <w:rFonts w:ascii="黑体" w:hAnsi="黑体" w:eastAsia="黑体" w:cs="黑体"/>
          <w:spacing w:val="5"/>
          <w:sz w:val="27"/>
          <w:szCs w:val="27"/>
        </w:rPr>
        <w:t>6  标准化效益分析评估</w:t>
      </w:r>
    </w:p>
    <w:p w14:paraId="1F4F6CA6">
      <w:pPr>
        <w:pStyle w:val="2"/>
        <w:spacing w:before="100" w:line="263" w:lineRule="auto"/>
        <w:ind w:left="50" w:firstLine="550"/>
      </w:pPr>
      <w:r>
        <w:rPr>
          <w:spacing w:val="6"/>
        </w:rPr>
        <w:t>对产品采用标准化技术所带来的经济效益进行</w:t>
      </w:r>
      <w:r>
        <w:rPr>
          <w:spacing w:val="5"/>
        </w:rPr>
        <w:t>分析和预测，可从以下几个</w:t>
      </w:r>
      <w:r>
        <w:t xml:space="preserve"> </w:t>
      </w:r>
      <w:r>
        <w:rPr>
          <w:spacing w:val="2"/>
        </w:rPr>
        <w:t>方面具体说明标准化工作的效益：</w:t>
      </w:r>
    </w:p>
    <w:p w14:paraId="62EDBC79">
      <w:pPr>
        <w:pStyle w:val="2"/>
        <w:spacing w:line="212" w:lineRule="auto"/>
        <w:ind w:left="600"/>
      </w:pPr>
      <w:r>
        <w:rPr>
          <w:rFonts w:ascii="Times New Roman" w:hAnsi="Times New Roman" w:eastAsia="Times New Roman" w:cs="Times New Roman"/>
          <w:spacing w:val="-9"/>
        </w:rPr>
        <w:t>a)</w:t>
      </w:r>
      <w:r>
        <w:rPr>
          <w:rFonts w:ascii="Times New Roman" w:hAnsi="Times New Roman" w:eastAsia="Times New Roman" w:cs="Times New Roman"/>
          <w:spacing w:val="74"/>
          <w:w w:val="101"/>
        </w:rPr>
        <w:t xml:space="preserve"> </w:t>
      </w:r>
      <w:r>
        <w:rPr>
          <w:spacing w:val="-9"/>
        </w:rPr>
        <w:t>采用的标准件、元器件、原材料合理简化产品品种、规格的数量；</w:t>
      </w:r>
    </w:p>
    <w:p w14:paraId="0D7F6451">
      <w:pPr>
        <w:pStyle w:val="2"/>
        <w:spacing w:before="100" w:line="212" w:lineRule="auto"/>
        <w:ind w:left="600"/>
      </w:pPr>
      <w:r>
        <w:rPr>
          <w:rFonts w:ascii="Times New Roman" w:hAnsi="Times New Roman" w:eastAsia="Times New Roman" w:cs="Times New Roman"/>
          <w:spacing w:val="-12"/>
        </w:rPr>
        <w:t>b)</w:t>
      </w:r>
      <w:r>
        <w:rPr>
          <w:rFonts w:ascii="Times New Roman" w:hAnsi="Times New Roman" w:eastAsia="Times New Roman" w:cs="Times New Roman"/>
          <w:spacing w:val="47"/>
        </w:rPr>
        <w:t xml:space="preserve"> </w:t>
      </w:r>
      <w:r>
        <w:rPr>
          <w:spacing w:val="-12"/>
        </w:rPr>
        <w:t>产品“三化”设计的水平评价，产品标准</w:t>
      </w:r>
      <w:r>
        <w:rPr>
          <w:spacing w:val="-13"/>
        </w:rPr>
        <w:t>化系数；</w:t>
      </w:r>
    </w:p>
    <w:p w14:paraId="3C054352">
      <w:pPr>
        <w:pStyle w:val="2"/>
        <w:spacing w:before="123" w:line="212" w:lineRule="auto"/>
        <w:ind w:left="590"/>
      </w:pPr>
      <w:r>
        <w:rPr>
          <w:rFonts w:ascii="Times New Roman" w:hAnsi="Times New Roman" w:eastAsia="Times New Roman" w:cs="Times New Roman"/>
          <w:b/>
          <w:bCs/>
          <w:spacing w:val="-29"/>
        </w:rPr>
        <w:t xml:space="preserve">c)  </w:t>
      </w:r>
      <w:r>
        <w:rPr>
          <w:b/>
          <w:bCs/>
          <w:spacing w:val="-29"/>
        </w:rPr>
        <w:t>有关接口是否统一、协调，是否符合互换性要求，对缩短作战响应时间的作用；</w:t>
      </w:r>
    </w:p>
    <w:p w14:paraId="478427D7">
      <w:pPr>
        <w:spacing w:line="212" w:lineRule="auto"/>
        <w:sectPr>
          <w:footerReference r:id="rId310" w:type="default"/>
          <w:pgSz w:w="11910" w:h="17130"/>
          <w:pgMar w:top="1456" w:right="1448" w:bottom="1643" w:left="1039" w:header="0" w:footer="1293" w:gutter="0"/>
          <w:cols w:space="720" w:num="1"/>
        </w:sectPr>
      </w:pPr>
    </w:p>
    <w:p w14:paraId="119B48BD">
      <w:pPr>
        <w:pStyle w:val="2"/>
        <w:spacing w:before="58" w:line="212" w:lineRule="auto"/>
        <w:ind w:left="550"/>
      </w:pPr>
      <w:r>
        <w:rPr>
          <w:rFonts w:ascii="Times New Roman" w:hAnsi="Times New Roman" w:eastAsia="Times New Roman" w:cs="Times New Roman"/>
          <w:spacing w:val="3"/>
        </w:rPr>
        <w:t xml:space="preserve">d)  </w:t>
      </w:r>
      <w:r>
        <w:rPr>
          <w:spacing w:val="3"/>
        </w:rPr>
        <w:t>标准化工作对降低研制成本所做的贡献；</w:t>
      </w:r>
    </w:p>
    <w:p w14:paraId="2F62AE1E">
      <w:pPr>
        <w:pStyle w:val="2"/>
        <w:spacing w:before="100" w:line="212" w:lineRule="auto"/>
        <w:ind w:left="550"/>
      </w:pPr>
      <w:r>
        <w:rPr>
          <w:rFonts w:ascii="Times New Roman" w:hAnsi="Times New Roman" w:eastAsia="Times New Roman" w:cs="Times New Roman"/>
          <w:spacing w:val="3"/>
        </w:rPr>
        <w:t xml:space="preserve">e)  </w:t>
      </w:r>
      <w:r>
        <w:rPr>
          <w:spacing w:val="3"/>
        </w:rPr>
        <w:t>标准化工作对缩短研制周期所做的贡献；</w:t>
      </w:r>
    </w:p>
    <w:p w14:paraId="4E8DE54A">
      <w:pPr>
        <w:pStyle w:val="2"/>
        <w:spacing w:before="80" w:line="212" w:lineRule="auto"/>
        <w:ind w:left="550"/>
      </w:pPr>
      <w:r>
        <w:rPr>
          <w:rFonts w:ascii="Times New Roman" w:hAnsi="Times New Roman" w:eastAsia="Times New Roman" w:cs="Times New Roman"/>
          <w:spacing w:val="5"/>
        </w:rPr>
        <w:t xml:space="preserve">f)  </w:t>
      </w:r>
      <w:r>
        <w:rPr>
          <w:spacing w:val="5"/>
        </w:rPr>
        <w:t>标准化工作对满足作战指标要求所</w:t>
      </w:r>
      <w:r>
        <w:rPr>
          <w:spacing w:val="4"/>
        </w:rPr>
        <w:t>做的贡献等。</w:t>
      </w:r>
    </w:p>
    <w:p w14:paraId="50DDD1FA">
      <w:pPr>
        <w:spacing w:before="137" w:line="221" w:lineRule="auto"/>
        <w:rPr>
          <w:rFonts w:ascii="黑体" w:hAnsi="黑体" w:eastAsia="黑体" w:cs="黑体"/>
          <w:sz w:val="27"/>
          <w:szCs w:val="27"/>
        </w:rPr>
      </w:pPr>
      <w:r>
        <w:rPr>
          <w:rFonts w:ascii="Arial" w:hAnsi="Arial" w:eastAsia="Arial" w:cs="Arial"/>
          <w:spacing w:val="4"/>
          <w:sz w:val="27"/>
          <w:szCs w:val="27"/>
        </w:rPr>
        <w:t>7</w:t>
      </w:r>
      <w:r>
        <w:rPr>
          <w:rFonts w:ascii="Arial" w:hAnsi="Arial" w:eastAsia="Arial" w:cs="Arial"/>
          <w:spacing w:val="22"/>
          <w:sz w:val="27"/>
          <w:szCs w:val="27"/>
        </w:rPr>
        <w:t xml:space="preserve">   </w:t>
      </w:r>
      <w:r>
        <w:rPr>
          <w:rFonts w:ascii="黑体" w:hAnsi="黑体" w:eastAsia="黑体" w:cs="黑体"/>
          <w:spacing w:val="4"/>
          <w:sz w:val="27"/>
          <w:szCs w:val="27"/>
        </w:rPr>
        <w:t>存在的问题及改进的措施意见</w:t>
      </w:r>
    </w:p>
    <w:p w14:paraId="01E6931E">
      <w:pPr>
        <w:pStyle w:val="2"/>
        <w:spacing w:before="66" w:line="275" w:lineRule="auto"/>
        <w:ind w:right="9" w:firstLine="550"/>
        <w:jc w:val="both"/>
      </w:pPr>
      <w:r>
        <w:rPr>
          <w:spacing w:val="5"/>
        </w:rPr>
        <w:t>应说明产品设计定型时是否还存在标准化方面的问题，以及建议采取的解</w:t>
      </w:r>
      <w:r>
        <w:rPr>
          <w:spacing w:val="18"/>
        </w:rPr>
        <w:t xml:space="preserve"> </w:t>
      </w:r>
      <w:r>
        <w:rPr>
          <w:spacing w:val="6"/>
        </w:rPr>
        <w:t>决措施。可以列表的方式详细叙述问题。例</w:t>
      </w:r>
      <w:r>
        <w:rPr>
          <w:spacing w:val="5"/>
        </w:rPr>
        <w:t>如设计文件是否存在不符合相关标</w:t>
      </w:r>
      <w:r>
        <w:t xml:space="preserve"> </w:t>
      </w:r>
      <w:r>
        <w:rPr>
          <w:spacing w:val="-5"/>
        </w:rPr>
        <w:t>准规定的问题；未贯彻执行的标准项目、原因及建议采取的措施等。</w:t>
      </w:r>
    </w:p>
    <w:p w14:paraId="751E0773">
      <w:pPr>
        <w:spacing w:before="1" w:line="327" w:lineRule="exact"/>
        <w:rPr>
          <w:rFonts w:ascii="黑体" w:hAnsi="黑体" w:eastAsia="黑体" w:cs="黑体"/>
          <w:sz w:val="24"/>
          <w:szCs w:val="24"/>
        </w:rPr>
      </w:pPr>
      <w:r>
        <w:rPr>
          <w:rFonts w:ascii="Arial" w:hAnsi="Arial" w:eastAsia="Arial" w:cs="Arial"/>
          <w:spacing w:val="25"/>
          <w:position w:val="1"/>
          <w:sz w:val="24"/>
          <w:szCs w:val="24"/>
        </w:rPr>
        <w:t>8</w:t>
      </w:r>
      <w:r>
        <w:rPr>
          <w:rFonts w:ascii="Arial" w:hAnsi="Arial" w:eastAsia="Arial" w:cs="Arial"/>
          <w:spacing w:val="8"/>
          <w:position w:val="1"/>
          <w:sz w:val="24"/>
          <w:szCs w:val="24"/>
        </w:rPr>
        <w:t xml:space="preserve">    </w:t>
      </w:r>
      <w:r>
        <w:rPr>
          <w:rFonts w:ascii="黑体" w:hAnsi="黑体" w:eastAsia="黑体" w:cs="黑体"/>
          <w:spacing w:val="25"/>
          <w:position w:val="1"/>
          <w:sz w:val="24"/>
          <w:szCs w:val="24"/>
        </w:rPr>
        <w:t>审查结论</w:t>
      </w:r>
    </w:p>
    <w:p w14:paraId="36C5B574">
      <w:pPr>
        <w:pStyle w:val="2"/>
        <w:spacing w:before="86" w:line="281" w:lineRule="auto"/>
        <w:ind w:right="8" w:firstLine="550"/>
      </w:pPr>
      <w:r>
        <w:rPr>
          <w:spacing w:val="6"/>
        </w:rPr>
        <w:t>简要说明产品的设计是否符合产品标准化大纲</w:t>
      </w:r>
      <w:r>
        <w:rPr>
          <w:spacing w:val="5"/>
        </w:rPr>
        <w:t>、设计定型标准化要求等规</w:t>
      </w:r>
      <w:r>
        <w:t xml:space="preserve"> </w:t>
      </w:r>
      <w:r>
        <w:rPr>
          <w:spacing w:val="-7"/>
        </w:rPr>
        <w:t>定，综合评价产品达到的标准化水平，作出明确结论。</w:t>
      </w:r>
    </w:p>
    <w:p w14:paraId="64B6CEB1">
      <w:pPr>
        <w:spacing w:line="250" w:lineRule="auto"/>
        <w:rPr>
          <w:rFonts w:ascii="Arial"/>
          <w:sz w:val="21"/>
        </w:rPr>
      </w:pPr>
    </w:p>
    <w:p w14:paraId="664208FB">
      <w:pPr>
        <w:pStyle w:val="2"/>
        <w:spacing w:before="117" w:line="220" w:lineRule="auto"/>
        <w:ind w:left="1120"/>
        <w:rPr>
          <w:sz w:val="36"/>
          <w:szCs w:val="36"/>
        </w:rPr>
      </w:pPr>
      <w:r>
        <w:rPr>
          <w:spacing w:val="4"/>
          <w:sz w:val="36"/>
          <w:szCs w:val="36"/>
        </w:rPr>
        <w:t xml:space="preserve">4.4  </w:t>
      </w:r>
      <w:r>
        <w:rPr>
          <w:b/>
          <w:bCs/>
          <w:spacing w:val="4"/>
          <w:sz w:val="36"/>
          <w:szCs w:val="36"/>
        </w:rPr>
        <w:t>工艺标准化大纲(工艺标准化综合要求)</w:t>
      </w:r>
    </w:p>
    <w:p w14:paraId="76E9F4B4">
      <w:pPr>
        <w:spacing w:line="315" w:lineRule="auto"/>
        <w:rPr>
          <w:rFonts w:ascii="Arial"/>
          <w:sz w:val="21"/>
        </w:rPr>
      </w:pPr>
    </w:p>
    <w:p w14:paraId="56B5FC89">
      <w:pPr>
        <w:pStyle w:val="2"/>
        <w:spacing w:before="92" w:line="225" w:lineRule="auto"/>
        <w:ind w:left="55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GJB/Z</w:t>
      </w:r>
      <w:r>
        <w:rPr>
          <w:rFonts w:ascii="Times New Roman" w:hAnsi="Times New Roman" w:eastAsia="Times New Roman" w:cs="Times New Roman"/>
          <w:spacing w:val="42"/>
          <w:sz w:val="28"/>
          <w:szCs w:val="28"/>
        </w:rPr>
        <w:t xml:space="preserve"> </w:t>
      </w:r>
      <w:r>
        <w:rPr>
          <w:rFonts w:ascii="Times New Roman" w:hAnsi="Times New Roman" w:eastAsia="Times New Roman" w:cs="Times New Roman"/>
          <w:spacing w:val="-9"/>
          <w:sz w:val="28"/>
          <w:szCs w:val="28"/>
        </w:rPr>
        <w:t>106A—2005</w:t>
      </w:r>
      <w:r>
        <w:rPr>
          <w:spacing w:val="-9"/>
          <w:sz w:val="28"/>
          <w:szCs w:val="28"/>
        </w:rPr>
        <w:t>《</w:t>
      </w:r>
      <w:r>
        <w:rPr>
          <w:rFonts w:ascii="楷体" w:hAnsi="楷体" w:eastAsia="楷体" w:cs="楷体"/>
          <w:spacing w:val="-9"/>
          <w:sz w:val="28"/>
          <w:szCs w:val="28"/>
        </w:rPr>
        <w:t>工艺标准化大纲编制指南》编写。</w:t>
      </w:r>
    </w:p>
    <w:p w14:paraId="47A32404">
      <w:pPr>
        <w:spacing w:before="82"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24756C99">
      <w:pPr>
        <w:pStyle w:val="2"/>
        <w:spacing w:before="93" w:line="269" w:lineRule="auto"/>
        <w:ind w:right="3" w:firstLine="550"/>
      </w:pPr>
      <w:r>
        <w:rPr>
          <w:spacing w:val="6"/>
        </w:rPr>
        <w:t>说明本工艺标准化大纲(工艺标准化综合要求</w:t>
      </w:r>
      <w:r>
        <w:rPr>
          <w:spacing w:val="5"/>
        </w:rPr>
        <w:t>)的适用范围，包括产品代号</w:t>
      </w:r>
      <w:r>
        <w:t xml:space="preserve"> </w:t>
      </w:r>
      <w:r>
        <w:rPr>
          <w:spacing w:val="-6"/>
        </w:rPr>
        <w:t>(型号)、产品名称及其研制阶段。</w:t>
      </w:r>
    </w:p>
    <w:p w14:paraId="3C01485D">
      <w:pPr>
        <w:spacing w:before="41" w:line="222" w:lineRule="auto"/>
        <w:rPr>
          <w:rFonts w:ascii="黑体" w:hAnsi="黑体" w:eastAsia="黑体" w:cs="黑体"/>
          <w:sz w:val="24"/>
          <w:szCs w:val="24"/>
        </w:rPr>
      </w:pPr>
      <w:r>
        <w:rPr>
          <w:rFonts w:ascii="黑体" w:hAnsi="黑体" w:eastAsia="黑体" w:cs="黑体"/>
          <w:spacing w:val="24"/>
          <w:sz w:val="24"/>
          <w:szCs w:val="24"/>
        </w:rPr>
        <w:t>2</w:t>
      </w:r>
      <w:r>
        <w:rPr>
          <w:rFonts w:ascii="黑体" w:hAnsi="黑体" w:eastAsia="黑体" w:cs="黑体"/>
          <w:spacing w:val="40"/>
          <w:sz w:val="24"/>
          <w:szCs w:val="24"/>
        </w:rPr>
        <w:t xml:space="preserve">  </w:t>
      </w:r>
      <w:r>
        <w:rPr>
          <w:rFonts w:ascii="黑体" w:hAnsi="黑体" w:eastAsia="黑体" w:cs="黑体"/>
          <w:spacing w:val="24"/>
          <w:sz w:val="24"/>
          <w:szCs w:val="24"/>
        </w:rPr>
        <w:t>引用文件</w:t>
      </w:r>
    </w:p>
    <w:p w14:paraId="183CAE79">
      <w:pPr>
        <w:pStyle w:val="2"/>
        <w:spacing w:before="94" w:line="266" w:lineRule="auto"/>
        <w:ind w:firstLine="550"/>
      </w:pPr>
      <w:r>
        <w:rPr>
          <w:spacing w:val="14"/>
        </w:rPr>
        <w:t>列出在制定工艺标准化大纲(工艺标准化综合要求)过程中引用的主要资</w:t>
      </w:r>
      <w:r>
        <w:rPr>
          <w:spacing w:val="11"/>
        </w:rPr>
        <w:t xml:space="preserve"> </w:t>
      </w:r>
      <w:r>
        <w:rPr>
          <w:spacing w:val="-20"/>
        </w:rPr>
        <w:t>料，包括标准、法规、文件和资料等。</w:t>
      </w:r>
    </w:p>
    <w:p w14:paraId="0946ABA2">
      <w:pPr>
        <w:spacing w:before="1" w:line="220"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4"/>
          <w:sz w:val="27"/>
          <w:szCs w:val="27"/>
        </w:rPr>
        <w:t xml:space="preserve">  </w:t>
      </w:r>
      <w:r>
        <w:rPr>
          <w:rFonts w:ascii="黑体" w:hAnsi="黑体" w:eastAsia="黑体" w:cs="黑体"/>
          <w:spacing w:val="1"/>
          <w:sz w:val="27"/>
          <w:szCs w:val="27"/>
        </w:rPr>
        <w:t>产品概述</w:t>
      </w:r>
    </w:p>
    <w:p w14:paraId="44555889">
      <w:pPr>
        <w:spacing w:before="136" w:line="221" w:lineRule="auto"/>
        <w:rPr>
          <w:rFonts w:ascii="黑体" w:hAnsi="黑体" w:eastAsia="黑体" w:cs="黑体"/>
          <w:sz w:val="24"/>
          <w:szCs w:val="24"/>
        </w:rPr>
      </w:pPr>
      <w:r>
        <w:rPr>
          <w:rFonts w:ascii="黑体" w:hAnsi="黑体" w:eastAsia="黑体" w:cs="黑体"/>
          <w:spacing w:val="17"/>
          <w:sz w:val="24"/>
          <w:szCs w:val="24"/>
        </w:rPr>
        <w:t>3.1</w:t>
      </w:r>
      <w:r>
        <w:rPr>
          <w:rFonts w:ascii="黑体" w:hAnsi="黑体" w:eastAsia="黑体" w:cs="黑体"/>
          <w:spacing w:val="55"/>
          <w:sz w:val="24"/>
          <w:szCs w:val="24"/>
        </w:rPr>
        <w:t xml:space="preserve">  </w:t>
      </w:r>
      <w:r>
        <w:rPr>
          <w:rFonts w:ascii="黑体" w:hAnsi="黑体" w:eastAsia="黑体" w:cs="黑体"/>
          <w:spacing w:val="17"/>
          <w:sz w:val="24"/>
          <w:szCs w:val="24"/>
        </w:rPr>
        <w:t>编制依据</w:t>
      </w:r>
    </w:p>
    <w:p w14:paraId="215EBF0B">
      <w:pPr>
        <w:pStyle w:val="2"/>
        <w:spacing w:before="104" w:line="219" w:lineRule="auto"/>
        <w:ind w:left="550"/>
      </w:pPr>
      <w:r>
        <w:rPr>
          <w:spacing w:val="4"/>
        </w:rPr>
        <w:t>说明工艺标准化大纲(工艺标准化综合要求)的编制依据。</w:t>
      </w:r>
    </w:p>
    <w:p w14:paraId="05828866">
      <w:pPr>
        <w:spacing w:before="111" w:line="223" w:lineRule="auto"/>
        <w:rPr>
          <w:rFonts w:ascii="黑体" w:hAnsi="黑体" w:eastAsia="黑体" w:cs="黑体"/>
          <w:sz w:val="24"/>
          <w:szCs w:val="24"/>
        </w:rPr>
      </w:pPr>
      <w:r>
        <w:rPr>
          <w:rFonts w:ascii="黑体" w:hAnsi="黑体" w:eastAsia="黑体" w:cs="黑体"/>
          <w:spacing w:val="19"/>
          <w:sz w:val="24"/>
          <w:szCs w:val="24"/>
        </w:rPr>
        <w:t>3.2</w:t>
      </w:r>
      <w:r>
        <w:rPr>
          <w:rFonts w:ascii="黑体" w:hAnsi="黑体" w:eastAsia="黑体" w:cs="黑体"/>
          <w:spacing w:val="56"/>
          <w:sz w:val="24"/>
          <w:szCs w:val="24"/>
        </w:rPr>
        <w:t xml:space="preserve">  </w:t>
      </w:r>
      <w:r>
        <w:rPr>
          <w:rFonts w:ascii="黑体" w:hAnsi="黑体" w:eastAsia="黑体" w:cs="黑体"/>
          <w:spacing w:val="19"/>
          <w:sz w:val="24"/>
          <w:szCs w:val="24"/>
        </w:rPr>
        <w:t>产品用途</w:t>
      </w:r>
    </w:p>
    <w:p w14:paraId="2B79A830">
      <w:pPr>
        <w:pStyle w:val="2"/>
        <w:spacing w:before="89" w:line="219" w:lineRule="auto"/>
        <w:ind w:left="550"/>
      </w:pPr>
      <w:r>
        <w:rPr>
          <w:spacing w:val="3"/>
        </w:rPr>
        <w:t>概要介绍产品的用途。</w:t>
      </w:r>
    </w:p>
    <w:p w14:paraId="27F49848">
      <w:pPr>
        <w:spacing w:before="57" w:line="327" w:lineRule="exact"/>
        <w:rPr>
          <w:rFonts w:ascii="黑体" w:hAnsi="黑体" w:eastAsia="黑体" w:cs="黑体"/>
          <w:sz w:val="24"/>
          <w:szCs w:val="24"/>
        </w:rPr>
      </w:pPr>
      <w:r>
        <w:rPr>
          <w:rFonts w:ascii="Arial" w:hAnsi="Arial" w:eastAsia="Arial" w:cs="Arial"/>
          <w:spacing w:val="15"/>
          <w:position w:val="1"/>
          <w:sz w:val="24"/>
          <w:szCs w:val="24"/>
        </w:rPr>
        <w:t xml:space="preserve">3.3     </w:t>
      </w:r>
      <w:r>
        <w:rPr>
          <w:rFonts w:ascii="黑体" w:hAnsi="黑体" w:eastAsia="黑体" w:cs="黑体"/>
          <w:spacing w:val="15"/>
          <w:position w:val="1"/>
          <w:sz w:val="24"/>
          <w:szCs w:val="24"/>
        </w:rPr>
        <w:t>产品组成</w:t>
      </w:r>
    </w:p>
    <w:p w14:paraId="47DDEF6B">
      <w:pPr>
        <w:pStyle w:val="2"/>
        <w:spacing w:before="116" w:line="219" w:lineRule="auto"/>
        <w:ind w:left="550"/>
      </w:pPr>
      <w:r>
        <w:rPr>
          <w:spacing w:val="2"/>
        </w:rPr>
        <w:t>概要介绍产品的组成部分。</w:t>
      </w:r>
    </w:p>
    <w:p w14:paraId="19791C5C">
      <w:pPr>
        <w:spacing w:before="69" w:line="222" w:lineRule="auto"/>
        <w:rPr>
          <w:rFonts w:ascii="黑体" w:hAnsi="黑体" w:eastAsia="黑体" w:cs="黑体"/>
          <w:sz w:val="27"/>
          <w:szCs w:val="27"/>
        </w:rPr>
      </w:pPr>
      <w:r>
        <w:rPr>
          <w:rFonts w:ascii="黑体" w:hAnsi="黑体" w:eastAsia="黑体" w:cs="黑体"/>
          <w:sz w:val="27"/>
          <w:szCs w:val="27"/>
        </w:rPr>
        <w:t>3.4</w:t>
      </w:r>
      <w:r>
        <w:rPr>
          <w:rFonts w:ascii="黑体" w:hAnsi="黑体" w:eastAsia="黑体" w:cs="黑体"/>
          <w:spacing w:val="18"/>
          <w:sz w:val="27"/>
          <w:szCs w:val="27"/>
        </w:rPr>
        <w:t xml:space="preserve">  </w:t>
      </w:r>
      <w:r>
        <w:rPr>
          <w:rFonts w:ascii="黑体" w:hAnsi="黑体" w:eastAsia="黑体" w:cs="黑体"/>
          <w:sz w:val="27"/>
          <w:szCs w:val="27"/>
        </w:rPr>
        <w:t>工艺特点</w:t>
      </w:r>
    </w:p>
    <w:p w14:paraId="21384DAE">
      <w:pPr>
        <w:pStyle w:val="2"/>
        <w:spacing w:before="86" w:line="219" w:lineRule="auto"/>
        <w:ind w:left="550"/>
      </w:pPr>
      <w:r>
        <w:rPr>
          <w:spacing w:val="2"/>
        </w:rPr>
        <w:t>概要介绍产品的工艺特点。</w:t>
      </w:r>
    </w:p>
    <w:p w14:paraId="39C73241">
      <w:pPr>
        <w:spacing w:before="99" w:line="222" w:lineRule="auto"/>
        <w:rPr>
          <w:rFonts w:ascii="黑体" w:hAnsi="黑体" w:eastAsia="黑体" w:cs="黑体"/>
          <w:sz w:val="27"/>
          <w:szCs w:val="27"/>
        </w:rPr>
      </w:pPr>
      <w:r>
        <w:rPr>
          <w:rFonts w:ascii="Arial" w:hAnsi="Arial" w:eastAsia="Arial" w:cs="Arial"/>
          <w:spacing w:val="-3"/>
          <w:sz w:val="27"/>
          <w:szCs w:val="27"/>
        </w:rPr>
        <w:t>4</w:t>
      </w:r>
      <w:r>
        <w:rPr>
          <w:rFonts w:ascii="Arial" w:hAnsi="Arial" w:eastAsia="Arial" w:cs="Arial"/>
          <w:spacing w:val="16"/>
          <w:sz w:val="27"/>
          <w:szCs w:val="27"/>
        </w:rPr>
        <w:t xml:space="preserve">   </w:t>
      </w:r>
      <w:r>
        <w:rPr>
          <w:rFonts w:ascii="黑体" w:hAnsi="黑体" w:eastAsia="黑体" w:cs="黑体"/>
          <w:spacing w:val="-3"/>
          <w:sz w:val="27"/>
          <w:szCs w:val="27"/>
        </w:rPr>
        <w:t>工艺、工装标准化目标及工作范围</w:t>
      </w:r>
    </w:p>
    <w:p w14:paraId="4DD3DBD8">
      <w:pPr>
        <w:spacing w:before="90" w:line="224" w:lineRule="auto"/>
        <w:rPr>
          <w:rFonts w:ascii="黑体" w:hAnsi="黑体" w:eastAsia="黑体" w:cs="黑体"/>
          <w:sz w:val="25"/>
          <w:szCs w:val="25"/>
        </w:rPr>
      </w:pPr>
      <w:r>
        <w:rPr>
          <w:rFonts w:ascii="黑体" w:hAnsi="黑体" w:eastAsia="黑体" w:cs="黑体"/>
          <w:spacing w:val="-10"/>
          <w:sz w:val="25"/>
          <w:szCs w:val="25"/>
        </w:rPr>
        <w:t>4.1</w:t>
      </w:r>
      <w:r>
        <w:rPr>
          <w:rFonts w:ascii="黑体" w:hAnsi="黑体" w:eastAsia="黑体" w:cs="黑体"/>
          <w:spacing w:val="40"/>
          <w:sz w:val="25"/>
          <w:szCs w:val="25"/>
        </w:rPr>
        <w:t xml:space="preserve">  </w:t>
      </w:r>
      <w:r>
        <w:rPr>
          <w:rFonts w:ascii="黑体" w:hAnsi="黑体" w:eastAsia="黑体" w:cs="黑体"/>
          <w:spacing w:val="-10"/>
          <w:sz w:val="25"/>
          <w:szCs w:val="25"/>
        </w:rPr>
        <w:t>目 标</w:t>
      </w:r>
    </w:p>
    <w:p w14:paraId="2052706A">
      <w:pPr>
        <w:pStyle w:val="2"/>
        <w:spacing w:before="103" w:line="288" w:lineRule="auto"/>
        <w:ind w:right="26" w:firstLine="550"/>
        <w:rPr>
          <w:sz w:val="25"/>
          <w:szCs w:val="25"/>
        </w:rPr>
      </w:pPr>
      <w:r>
        <w:rPr>
          <w:spacing w:val="9"/>
          <w:sz w:val="25"/>
          <w:szCs w:val="25"/>
        </w:rPr>
        <w:t>根据型号的总目标及性能、费用、进度、保障性等项要求，制定具体</w:t>
      </w:r>
      <w:r>
        <w:rPr>
          <w:spacing w:val="8"/>
          <w:sz w:val="25"/>
          <w:szCs w:val="25"/>
        </w:rPr>
        <w:t>型号的工</w:t>
      </w:r>
      <w:r>
        <w:rPr>
          <w:sz w:val="25"/>
          <w:szCs w:val="25"/>
        </w:rPr>
        <w:t xml:space="preserve"> </w:t>
      </w:r>
      <w:r>
        <w:rPr>
          <w:spacing w:val="15"/>
          <w:sz w:val="25"/>
          <w:szCs w:val="25"/>
        </w:rPr>
        <w:t>艺、工装标准化目标。通常可考虑下列内容：</w:t>
      </w:r>
    </w:p>
    <w:p w14:paraId="758CDC12">
      <w:pPr>
        <w:pStyle w:val="2"/>
        <w:spacing w:before="1" w:line="212" w:lineRule="auto"/>
        <w:ind w:left="550"/>
      </w:pPr>
      <w:r>
        <w:rPr>
          <w:rFonts w:ascii="Times New Roman" w:hAnsi="Times New Roman" w:eastAsia="Times New Roman" w:cs="Times New Roman"/>
          <w:spacing w:val="3"/>
        </w:rPr>
        <w:t>a)</w:t>
      </w:r>
      <w:r>
        <w:rPr>
          <w:rFonts w:ascii="Times New Roman" w:hAnsi="Times New Roman" w:eastAsia="Times New Roman" w:cs="Times New Roman"/>
          <w:spacing w:val="80"/>
          <w:w w:val="101"/>
        </w:rPr>
        <w:t xml:space="preserve"> </w:t>
      </w:r>
      <w:r>
        <w:rPr>
          <w:spacing w:val="3"/>
        </w:rPr>
        <w:t>保证产品质量和产品标准化大纲目标的实现；</w:t>
      </w:r>
    </w:p>
    <w:p w14:paraId="05D3803E">
      <w:pPr>
        <w:spacing w:line="212" w:lineRule="auto"/>
        <w:sectPr>
          <w:footerReference r:id="rId311" w:type="default"/>
          <w:pgSz w:w="11910" w:h="17130"/>
          <w:pgMar w:top="1412" w:right="1089" w:bottom="1693" w:left="1440" w:header="0" w:footer="1495" w:gutter="0"/>
          <w:cols w:space="720" w:num="1"/>
        </w:sectPr>
      </w:pPr>
    </w:p>
    <w:p w14:paraId="277156CE">
      <w:pPr>
        <w:pStyle w:val="2"/>
        <w:spacing w:before="58" w:line="212" w:lineRule="auto"/>
        <w:ind w:left="560"/>
      </w:pPr>
      <w:r>
        <w:rPr>
          <w:rFonts w:ascii="Times New Roman" w:hAnsi="Times New Roman" w:eastAsia="Times New Roman" w:cs="Times New Roman"/>
          <w:spacing w:val="4"/>
        </w:rPr>
        <w:t xml:space="preserve">b)  </w:t>
      </w:r>
      <w:r>
        <w:rPr>
          <w:spacing w:val="4"/>
        </w:rPr>
        <w:t>工艺标准化要达到的水平；</w:t>
      </w:r>
    </w:p>
    <w:p w14:paraId="0E8A05E0">
      <w:pPr>
        <w:pStyle w:val="2"/>
        <w:spacing w:before="89"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9"/>
          <w:w w:val="101"/>
        </w:rPr>
        <w:t xml:space="preserve"> </w:t>
      </w:r>
      <w:r>
        <w:rPr>
          <w:spacing w:val="3"/>
        </w:rPr>
        <w:t>采用国际标准和国外先进标准的目标；</w:t>
      </w:r>
    </w:p>
    <w:p w14:paraId="4E357FFE">
      <w:pPr>
        <w:pStyle w:val="2"/>
        <w:spacing w:before="100" w:line="212" w:lineRule="auto"/>
        <w:ind w:left="560"/>
      </w:pPr>
      <w:r>
        <w:rPr>
          <w:rFonts w:ascii="Times New Roman" w:hAnsi="Times New Roman" w:eastAsia="Times New Roman" w:cs="Times New Roman"/>
          <w:spacing w:val="2"/>
        </w:rPr>
        <w:t xml:space="preserve">d)  </w:t>
      </w:r>
      <w:r>
        <w:rPr>
          <w:spacing w:val="2"/>
        </w:rPr>
        <w:t>引进产品工艺标准的国产化目标；</w:t>
      </w:r>
    </w:p>
    <w:p w14:paraId="58F2FCD8">
      <w:pPr>
        <w:pStyle w:val="2"/>
        <w:spacing w:before="99" w:line="212" w:lineRule="auto"/>
        <w:ind w:left="560"/>
      </w:pPr>
      <w:r>
        <w:rPr>
          <w:rFonts w:ascii="Times New Roman" w:hAnsi="Times New Roman" w:eastAsia="Times New Roman" w:cs="Times New Roman"/>
          <w:spacing w:val="3"/>
        </w:rPr>
        <w:t xml:space="preserve">e)  </w:t>
      </w:r>
      <w:r>
        <w:rPr>
          <w:spacing w:val="3"/>
        </w:rPr>
        <w:t>预计要达到的工装标准化系数及其效果；</w:t>
      </w:r>
    </w:p>
    <w:p w14:paraId="07D889DD">
      <w:pPr>
        <w:pStyle w:val="2"/>
        <w:spacing w:before="79" w:line="212" w:lineRule="auto"/>
        <w:ind w:left="560"/>
      </w:pPr>
      <w:r>
        <w:rPr>
          <w:rFonts w:ascii="Times New Roman" w:hAnsi="Times New Roman" w:eastAsia="Times New Roman" w:cs="Times New Roman"/>
          <w:spacing w:val="-10"/>
        </w:rPr>
        <w:t xml:space="preserve">f)  </w:t>
      </w:r>
      <w:r>
        <w:rPr>
          <w:spacing w:val="-10"/>
        </w:rPr>
        <w:t>建立一个先进、配套、适用的工艺、工装标准体系。</w:t>
      </w:r>
    </w:p>
    <w:p w14:paraId="72CFCFE6">
      <w:pPr>
        <w:spacing w:before="158" w:line="222" w:lineRule="auto"/>
        <w:rPr>
          <w:rFonts w:ascii="黑体" w:hAnsi="黑体" w:eastAsia="黑体" w:cs="黑体"/>
          <w:sz w:val="24"/>
          <w:szCs w:val="24"/>
        </w:rPr>
      </w:pPr>
      <w:r>
        <w:rPr>
          <w:rFonts w:ascii="Arial" w:hAnsi="Arial" w:eastAsia="Arial" w:cs="Arial"/>
          <w:spacing w:val="14"/>
          <w:sz w:val="24"/>
          <w:szCs w:val="24"/>
        </w:rPr>
        <w:t xml:space="preserve">4.2     </w:t>
      </w:r>
      <w:r>
        <w:rPr>
          <w:rFonts w:ascii="黑体" w:hAnsi="黑体" w:eastAsia="黑体" w:cs="黑体"/>
          <w:spacing w:val="14"/>
          <w:sz w:val="24"/>
          <w:szCs w:val="24"/>
        </w:rPr>
        <w:t>工作范围</w:t>
      </w:r>
    </w:p>
    <w:p w14:paraId="13B52E6F">
      <w:pPr>
        <w:pStyle w:val="2"/>
        <w:spacing w:before="93" w:line="274" w:lineRule="auto"/>
        <w:ind w:right="10" w:firstLine="560"/>
      </w:pPr>
      <w:r>
        <w:rPr>
          <w:spacing w:val="-3"/>
        </w:rPr>
        <w:t>根据型号的工艺、工装标准化目标和各项具体要求，确定工艺、工装标准化</w:t>
      </w:r>
      <w:r>
        <w:rPr>
          <w:spacing w:val="9"/>
        </w:rPr>
        <w:t xml:space="preserve"> </w:t>
      </w:r>
      <w:r>
        <w:rPr>
          <w:spacing w:val="2"/>
        </w:rPr>
        <w:t>的工作范围。通常可考虑下列内容：</w:t>
      </w:r>
    </w:p>
    <w:p w14:paraId="03987691">
      <w:pPr>
        <w:pStyle w:val="2"/>
        <w:spacing w:before="1" w:line="220" w:lineRule="auto"/>
        <w:ind w:left="560"/>
      </w:pPr>
      <w:r>
        <w:rPr>
          <w:rFonts w:ascii="Times New Roman" w:hAnsi="Times New Roman" w:eastAsia="Times New Roman" w:cs="Times New Roman"/>
          <w:spacing w:val="-5"/>
        </w:rPr>
        <w:t>a</w:t>
      </w:r>
      <w:r>
        <w:rPr>
          <w:spacing w:val="-5"/>
        </w:rPr>
        <w:t>)</w:t>
      </w:r>
      <w:r>
        <w:rPr>
          <w:spacing w:val="-36"/>
        </w:rPr>
        <w:t xml:space="preserve"> </w:t>
      </w:r>
      <w:r>
        <w:rPr>
          <w:spacing w:val="-5"/>
        </w:rPr>
        <w:t>提出工艺、工装标准的选用范围；</w:t>
      </w:r>
    </w:p>
    <w:p w14:paraId="7BAA3FBC">
      <w:pPr>
        <w:pStyle w:val="2"/>
        <w:spacing w:before="67" w:line="212" w:lineRule="auto"/>
        <w:ind w:left="560"/>
      </w:pPr>
      <w:r>
        <w:rPr>
          <w:rFonts w:ascii="Times New Roman" w:hAnsi="Times New Roman" w:eastAsia="Times New Roman" w:cs="Times New Roman"/>
          <w:spacing w:val="-7"/>
        </w:rPr>
        <w:t xml:space="preserve">b)  </w:t>
      </w:r>
      <w:r>
        <w:rPr>
          <w:spacing w:val="-7"/>
        </w:rPr>
        <w:t>制定(修订)型号所需的工艺、工装标准，</w:t>
      </w:r>
      <w:r>
        <w:rPr>
          <w:spacing w:val="-8"/>
        </w:rPr>
        <w:t>完善工艺、工装标准体系；</w:t>
      </w:r>
    </w:p>
    <w:p w14:paraId="3A61B529">
      <w:pPr>
        <w:pStyle w:val="2"/>
        <w:spacing w:before="120" w:line="219" w:lineRule="auto"/>
        <w:ind w:left="560"/>
      </w:pPr>
      <w:r>
        <w:rPr>
          <w:rFonts w:ascii="Times New Roman" w:hAnsi="Times New Roman" w:eastAsia="Times New Roman" w:cs="Times New Roman"/>
          <w:spacing w:val="-5"/>
        </w:rPr>
        <w:t>c</w:t>
      </w:r>
      <w:r>
        <w:rPr>
          <w:spacing w:val="-5"/>
        </w:rPr>
        <w:t>)</w:t>
      </w:r>
      <w:r>
        <w:rPr>
          <w:spacing w:val="-45"/>
        </w:rPr>
        <w:t xml:space="preserve"> </w:t>
      </w:r>
      <w:r>
        <w:rPr>
          <w:spacing w:val="-5"/>
        </w:rPr>
        <w:t>制定工艺、工装标准化文件；</w:t>
      </w:r>
    </w:p>
    <w:p w14:paraId="4AA3EF9C">
      <w:pPr>
        <w:pStyle w:val="2"/>
        <w:spacing w:before="39" w:line="212" w:lineRule="auto"/>
        <w:ind w:left="560"/>
      </w:pPr>
      <w:r>
        <w:rPr>
          <w:rFonts w:ascii="Times New Roman" w:hAnsi="Times New Roman" w:eastAsia="Times New Roman" w:cs="Times New Roman"/>
          <w:spacing w:val="-7"/>
        </w:rPr>
        <w:t xml:space="preserve">d)  </w:t>
      </w:r>
      <w:r>
        <w:rPr>
          <w:spacing w:val="-7"/>
        </w:rPr>
        <w:t>实施工艺、工装标准，协调实施过程中的</w:t>
      </w:r>
      <w:r>
        <w:rPr>
          <w:spacing w:val="-8"/>
        </w:rPr>
        <w:t>问题；</w:t>
      </w:r>
    </w:p>
    <w:p w14:paraId="294C5818">
      <w:pPr>
        <w:pStyle w:val="2"/>
        <w:spacing w:before="110" w:line="212" w:lineRule="auto"/>
        <w:ind w:left="560"/>
      </w:pPr>
      <w:r>
        <w:rPr>
          <w:rFonts w:ascii="Times New Roman" w:hAnsi="Times New Roman" w:eastAsia="Times New Roman" w:cs="Times New Roman"/>
          <w:spacing w:val="-9"/>
        </w:rPr>
        <w:t xml:space="preserve">e)  </w:t>
      </w:r>
      <w:r>
        <w:rPr>
          <w:spacing w:val="-9"/>
        </w:rPr>
        <w:t>开展工装通用化、系列化、组合化工</w:t>
      </w:r>
      <w:r>
        <w:rPr>
          <w:spacing w:val="-10"/>
        </w:rPr>
        <w:t>作；</w:t>
      </w:r>
    </w:p>
    <w:p w14:paraId="7C5DD002">
      <w:pPr>
        <w:pStyle w:val="2"/>
        <w:spacing w:before="110" w:line="212" w:lineRule="auto"/>
        <w:ind w:left="560"/>
      </w:pPr>
      <w:r>
        <w:rPr>
          <w:rFonts w:ascii="Times New Roman" w:hAnsi="Times New Roman" w:eastAsia="Times New Roman" w:cs="Times New Roman"/>
          <w:spacing w:val="4"/>
        </w:rPr>
        <w:t>f)</w:t>
      </w:r>
      <w:r>
        <w:rPr>
          <w:rFonts w:ascii="Times New Roman" w:hAnsi="Times New Roman" w:eastAsia="Times New Roman" w:cs="Times New Roman"/>
          <w:spacing w:val="68"/>
          <w:w w:val="101"/>
        </w:rPr>
        <w:t xml:space="preserve"> </w:t>
      </w:r>
      <w:r>
        <w:rPr>
          <w:spacing w:val="4"/>
        </w:rPr>
        <w:t>进行工艺文件和工装设计文件的标准化检查；</w:t>
      </w:r>
    </w:p>
    <w:p w14:paraId="73222896">
      <w:pPr>
        <w:pStyle w:val="2"/>
        <w:spacing w:before="109" w:line="212" w:lineRule="auto"/>
        <w:ind w:left="560"/>
      </w:pPr>
      <w:r>
        <w:rPr>
          <w:rFonts w:ascii="Times New Roman" w:hAnsi="Times New Roman" w:eastAsia="Times New Roman" w:cs="Times New Roman"/>
          <w:spacing w:val="3"/>
        </w:rPr>
        <w:t>g</w:t>
      </w:r>
      <w:r>
        <w:rPr>
          <w:spacing w:val="3"/>
        </w:rPr>
        <w:t>)</w:t>
      </w:r>
      <w:r>
        <w:rPr>
          <w:spacing w:val="-43"/>
        </w:rPr>
        <w:t xml:space="preserve"> </w:t>
      </w:r>
      <w:r>
        <w:rPr>
          <w:spacing w:val="3"/>
        </w:rPr>
        <w:t>开展工艺文件定型的标准化工作；</w:t>
      </w:r>
    </w:p>
    <w:p w14:paraId="5C825602">
      <w:pPr>
        <w:pStyle w:val="2"/>
        <w:spacing w:before="71" w:line="212" w:lineRule="auto"/>
        <w:ind w:left="560"/>
      </w:pPr>
      <w:r>
        <w:rPr>
          <w:rFonts w:ascii="Times New Roman" w:hAnsi="Times New Roman" w:eastAsia="Times New Roman" w:cs="Times New Roman"/>
          <w:spacing w:val="-2"/>
        </w:rPr>
        <w:t xml:space="preserve">h)  </w:t>
      </w:r>
      <w:r>
        <w:rPr>
          <w:spacing w:val="-2"/>
        </w:rPr>
        <w:t>其他有关的工艺、工装标准化工作。</w:t>
      </w:r>
    </w:p>
    <w:p w14:paraId="6057EE93">
      <w:pPr>
        <w:spacing w:before="105" w:line="327" w:lineRule="exact"/>
        <w:rPr>
          <w:rFonts w:ascii="黑体" w:hAnsi="黑体" w:eastAsia="黑体" w:cs="黑体"/>
          <w:sz w:val="24"/>
          <w:szCs w:val="24"/>
        </w:rPr>
      </w:pPr>
      <w:r>
        <w:rPr>
          <w:rFonts w:ascii="Arial" w:hAnsi="Arial" w:eastAsia="Arial" w:cs="Arial"/>
          <w:spacing w:val="27"/>
          <w:position w:val="1"/>
          <w:sz w:val="24"/>
          <w:szCs w:val="24"/>
        </w:rPr>
        <w:t>5</w:t>
      </w:r>
      <w:r>
        <w:rPr>
          <w:rFonts w:ascii="Arial" w:hAnsi="Arial" w:eastAsia="Arial" w:cs="Arial"/>
          <w:spacing w:val="15"/>
          <w:position w:val="1"/>
          <w:sz w:val="24"/>
          <w:szCs w:val="24"/>
        </w:rPr>
        <w:t xml:space="preserve">    </w:t>
      </w:r>
      <w:r>
        <w:rPr>
          <w:rFonts w:ascii="黑体" w:hAnsi="黑体" w:eastAsia="黑体" w:cs="黑体"/>
          <w:spacing w:val="27"/>
          <w:position w:val="1"/>
          <w:sz w:val="24"/>
          <w:szCs w:val="24"/>
        </w:rPr>
        <w:t>实施标准要求</w:t>
      </w:r>
    </w:p>
    <w:p w14:paraId="552F417F">
      <w:pPr>
        <w:pStyle w:val="2"/>
        <w:spacing w:before="127" w:line="281" w:lineRule="auto"/>
        <w:ind w:right="12" w:firstLine="560"/>
        <w:rPr>
          <w:sz w:val="25"/>
          <w:szCs w:val="25"/>
        </w:rPr>
      </w:pPr>
      <w:r>
        <w:rPr>
          <w:spacing w:val="25"/>
          <w:sz w:val="25"/>
          <w:szCs w:val="25"/>
        </w:rPr>
        <w:t>应根据型号的需求和本单位的实际情况，提出具体的实施要求。通常可考</w:t>
      </w:r>
      <w:r>
        <w:rPr>
          <w:spacing w:val="18"/>
          <w:sz w:val="25"/>
          <w:szCs w:val="25"/>
        </w:rPr>
        <w:t xml:space="preserve"> </w:t>
      </w:r>
      <w:r>
        <w:rPr>
          <w:spacing w:val="17"/>
          <w:sz w:val="25"/>
          <w:szCs w:val="25"/>
        </w:rPr>
        <w:t>虑下列内容：</w:t>
      </w:r>
    </w:p>
    <w:p w14:paraId="2A6F4827">
      <w:pPr>
        <w:pStyle w:val="2"/>
        <w:spacing w:before="2" w:line="256" w:lineRule="auto"/>
        <w:ind w:firstLine="560"/>
      </w:pPr>
      <w:r>
        <w:rPr>
          <w:rFonts w:ascii="Times New Roman" w:hAnsi="Times New Roman" w:eastAsia="Times New Roman" w:cs="Times New Roman"/>
          <w:spacing w:val="7"/>
        </w:rPr>
        <w:t xml:space="preserve">a)  </w:t>
      </w:r>
      <w:r>
        <w:rPr>
          <w:spacing w:val="7"/>
        </w:rPr>
        <w:t>一般情况下，应将需实施的工艺、工装标准限制在“标准选用范围(目</w:t>
      </w:r>
      <w:r>
        <w:rPr>
          <w:spacing w:val="5"/>
        </w:rPr>
        <w:t xml:space="preserve"> </w:t>
      </w:r>
      <w:r>
        <w:rPr>
          <w:spacing w:val="-11"/>
        </w:rPr>
        <w:t>录)”内，对超范围选用作出规定，并要求办理必要的审批手续；</w:t>
      </w:r>
    </w:p>
    <w:p w14:paraId="2FEF52F3">
      <w:pPr>
        <w:pStyle w:val="2"/>
        <w:spacing w:before="80" w:line="253" w:lineRule="auto"/>
        <w:ind w:right="10" w:firstLine="560"/>
      </w:pPr>
      <w:r>
        <w:rPr>
          <w:rFonts w:ascii="Times New Roman" w:hAnsi="Times New Roman" w:eastAsia="Times New Roman" w:cs="Times New Roman"/>
          <w:spacing w:val="3"/>
        </w:rPr>
        <w:t>b)</w:t>
      </w:r>
      <w:r>
        <w:rPr>
          <w:rFonts w:ascii="Times New Roman" w:hAnsi="Times New Roman" w:eastAsia="Times New Roman" w:cs="Times New Roman"/>
          <w:spacing w:val="67"/>
          <w:w w:val="101"/>
        </w:rPr>
        <w:t xml:space="preserve"> </w:t>
      </w:r>
      <w:r>
        <w:rPr>
          <w:spacing w:val="3"/>
        </w:rPr>
        <w:t>对法律、法规及规范性文件规定强制执行的标准，</w:t>
      </w:r>
      <w:r>
        <w:rPr>
          <w:spacing w:val="2"/>
        </w:rPr>
        <w:t>以及型号研制生产合</w:t>
      </w:r>
      <w:r>
        <w:t xml:space="preserve"> </w:t>
      </w:r>
      <w:r>
        <w:rPr>
          <w:spacing w:val="-4"/>
        </w:rPr>
        <w:t>同和型号文件规定执行的标准，提出强制执行的要求，并提出具</w:t>
      </w:r>
      <w:r>
        <w:rPr>
          <w:spacing w:val="-5"/>
        </w:rPr>
        <w:t>体实施方案；</w:t>
      </w:r>
    </w:p>
    <w:p w14:paraId="357687B8">
      <w:pPr>
        <w:pStyle w:val="2"/>
        <w:spacing w:before="59" w:line="212" w:lineRule="auto"/>
        <w:ind w:left="560"/>
      </w:pPr>
      <w:r>
        <w:rPr>
          <w:rFonts w:ascii="Times New Roman" w:hAnsi="Times New Roman" w:eastAsia="Times New Roman" w:cs="Times New Roman"/>
          <w:spacing w:val="-4"/>
        </w:rPr>
        <w:t xml:space="preserve">c)  </w:t>
      </w:r>
      <w:r>
        <w:rPr>
          <w:spacing w:val="-4"/>
        </w:rPr>
        <w:t>组织制定重要工艺、工装标准的实</w:t>
      </w:r>
      <w:r>
        <w:rPr>
          <w:spacing w:val="-5"/>
        </w:rPr>
        <w:t>施计划，包括技术和资源准备；</w:t>
      </w:r>
    </w:p>
    <w:p w14:paraId="4E6A3086">
      <w:pPr>
        <w:pStyle w:val="2"/>
        <w:spacing w:before="99" w:line="257" w:lineRule="auto"/>
        <w:ind w:right="10" w:firstLine="560"/>
      </w:pPr>
      <w:r>
        <w:rPr>
          <w:rFonts w:ascii="Times New Roman" w:hAnsi="Times New Roman" w:eastAsia="Times New Roman" w:cs="Times New Roman"/>
          <w:spacing w:val="-12"/>
        </w:rPr>
        <w:t xml:space="preserve">d)  </w:t>
      </w:r>
      <w:r>
        <w:rPr>
          <w:spacing w:val="-12"/>
        </w:rPr>
        <w:t>对需实施的标准，必要时提出具体的实施要求，如剪裁、优选、</w:t>
      </w:r>
      <w:r>
        <w:rPr>
          <w:spacing w:val="-13"/>
        </w:rPr>
        <w:t>限用、压缩</w:t>
      </w:r>
      <w:r>
        <w:t xml:space="preserve"> </w:t>
      </w:r>
      <w:r>
        <w:rPr>
          <w:spacing w:val="-1"/>
        </w:rPr>
        <w:t>品种规格等；</w:t>
      </w:r>
    </w:p>
    <w:p w14:paraId="2AD3D7A8">
      <w:pPr>
        <w:pStyle w:val="2"/>
        <w:spacing w:before="39" w:line="261" w:lineRule="auto"/>
        <w:ind w:firstLine="560"/>
      </w:pPr>
      <w:r>
        <w:rPr>
          <w:rFonts w:ascii="Times New Roman" w:hAnsi="Times New Roman" w:eastAsia="Times New Roman" w:cs="Times New Roman"/>
          <w:spacing w:val="3"/>
        </w:rPr>
        <w:t xml:space="preserve">e)  </w:t>
      </w:r>
      <w:r>
        <w:rPr>
          <w:spacing w:val="3"/>
        </w:rPr>
        <w:t>制定新旧标准替代实施细则，提出在新旧标准过渡期间保证互换与协调</w:t>
      </w:r>
      <w:r>
        <w:rPr>
          <w:spacing w:val="11"/>
        </w:rPr>
        <w:t xml:space="preserve"> </w:t>
      </w:r>
      <w:r>
        <w:rPr>
          <w:spacing w:val="-3"/>
        </w:rPr>
        <w:t>的措施；</w:t>
      </w:r>
    </w:p>
    <w:p w14:paraId="67734D33">
      <w:pPr>
        <w:pStyle w:val="2"/>
        <w:spacing w:before="67" w:line="212" w:lineRule="auto"/>
        <w:ind w:left="560"/>
      </w:pPr>
      <w:r>
        <w:rPr>
          <w:rFonts w:ascii="Times New Roman" w:hAnsi="Times New Roman" w:eastAsia="Times New Roman" w:cs="Times New Roman"/>
          <w:spacing w:val="3"/>
        </w:rPr>
        <w:t xml:space="preserve">f)  </w:t>
      </w:r>
      <w:r>
        <w:rPr>
          <w:spacing w:val="3"/>
        </w:rPr>
        <w:t>组织新标准的宣贯和培训；</w:t>
      </w:r>
    </w:p>
    <w:p w14:paraId="7E467B9A">
      <w:pPr>
        <w:pStyle w:val="2"/>
        <w:spacing w:before="119" w:line="212" w:lineRule="auto"/>
        <w:ind w:left="560"/>
      </w:pPr>
      <w:r>
        <w:rPr>
          <w:rFonts w:ascii="Times New Roman" w:hAnsi="Times New Roman" w:eastAsia="Times New Roman" w:cs="Times New Roman"/>
          <w:spacing w:val="-4"/>
        </w:rPr>
        <w:t xml:space="preserve">g)  </w:t>
      </w:r>
      <w:r>
        <w:rPr>
          <w:spacing w:val="-4"/>
        </w:rPr>
        <w:t>根据“标准选用范围(目录)”,</w:t>
      </w:r>
      <w:r>
        <w:rPr>
          <w:spacing w:val="-5"/>
        </w:rPr>
        <w:t>配齐实施标准所需的有关资料；</w:t>
      </w:r>
    </w:p>
    <w:p w14:paraId="773B3105">
      <w:pPr>
        <w:pStyle w:val="2"/>
        <w:spacing w:before="91" w:line="212" w:lineRule="auto"/>
        <w:ind w:left="560"/>
      </w:pPr>
      <w:r>
        <w:rPr>
          <w:rFonts w:ascii="Times New Roman" w:hAnsi="Times New Roman" w:eastAsia="Times New Roman" w:cs="Times New Roman"/>
          <w:spacing w:val="-1"/>
        </w:rPr>
        <w:t xml:space="preserve">h)  </w:t>
      </w:r>
      <w:r>
        <w:rPr>
          <w:spacing w:val="-1"/>
        </w:rPr>
        <w:t>组织检查工艺、工装标准的实施情况和转阶段的标准化评审；</w:t>
      </w:r>
    </w:p>
    <w:p w14:paraId="734626A6">
      <w:pPr>
        <w:pStyle w:val="2"/>
        <w:spacing w:before="90" w:line="212" w:lineRule="auto"/>
        <w:ind w:left="560"/>
      </w:pPr>
      <w:r>
        <w:rPr>
          <w:rFonts w:ascii="Times New Roman" w:hAnsi="Times New Roman" w:eastAsia="Times New Roman" w:cs="Times New Roman"/>
          <w:spacing w:val="3"/>
        </w:rPr>
        <w:t>i)</w:t>
      </w:r>
      <w:r>
        <w:rPr>
          <w:rFonts w:ascii="Times New Roman" w:hAnsi="Times New Roman" w:eastAsia="Times New Roman" w:cs="Times New Roman"/>
          <w:spacing w:val="66"/>
        </w:rPr>
        <w:t xml:space="preserve"> </w:t>
      </w:r>
      <w:r>
        <w:rPr>
          <w:spacing w:val="3"/>
        </w:rPr>
        <w:t>编写重要标准实施总结报告。</w:t>
      </w:r>
    </w:p>
    <w:p w14:paraId="77D2802A">
      <w:pPr>
        <w:spacing w:before="71" w:line="368" w:lineRule="exact"/>
        <w:rPr>
          <w:rFonts w:ascii="黑体" w:hAnsi="黑体" w:eastAsia="黑体" w:cs="黑体"/>
          <w:sz w:val="27"/>
          <w:szCs w:val="27"/>
        </w:rPr>
      </w:pPr>
      <w:r>
        <w:rPr>
          <w:rFonts w:ascii="Arial" w:hAnsi="Arial" w:eastAsia="Arial" w:cs="Arial"/>
          <w:spacing w:val="-23"/>
          <w:position w:val="1"/>
          <w:sz w:val="27"/>
          <w:szCs w:val="27"/>
        </w:rPr>
        <w:t>6</w:t>
      </w:r>
      <w:r>
        <w:rPr>
          <w:rFonts w:ascii="Arial" w:hAnsi="Arial" w:eastAsia="Arial" w:cs="Arial"/>
          <w:spacing w:val="2"/>
          <w:position w:val="1"/>
          <w:sz w:val="27"/>
          <w:szCs w:val="27"/>
        </w:rPr>
        <w:t xml:space="preserve">    </w:t>
      </w:r>
      <w:r>
        <w:rPr>
          <w:rFonts w:ascii="黑体" w:hAnsi="黑体" w:eastAsia="黑体" w:cs="黑体"/>
          <w:spacing w:val="-23"/>
          <w:position w:val="1"/>
          <w:sz w:val="27"/>
          <w:szCs w:val="27"/>
        </w:rPr>
        <w:t>工装的“三化”要求</w:t>
      </w:r>
    </w:p>
    <w:p w14:paraId="07DC5473">
      <w:pPr>
        <w:pStyle w:val="2"/>
        <w:spacing w:before="109" w:line="219" w:lineRule="auto"/>
        <w:jc w:val="right"/>
      </w:pPr>
      <w:r>
        <w:rPr>
          <w:spacing w:val="-11"/>
        </w:rPr>
        <w:t>应根据产品生产的特点，结合本单位的实际情况，提出具体的工装“三化”要</w:t>
      </w:r>
    </w:p>
    <w:p w14:paraId="1F4C8855">
      <w:pPr>
        <w:spacing w:line="219" w:lineRule="auto"/>
        <w:sectPr>
          <w:footerReference r:id="rId312" w:type="default"/>
          <w:pgSz w:w="11910" w:h="17130"/>
          <w:pgMar w:top="1412" w:right="1337" w:bottom="1778" w:left="1180" w:header="0" w:footer="1535" w:gutter="0"/>
          <w:cols w:space="720" w:num="1"/>
        </w:sectPr>
      </w:pPr>
    </w:p>
    <w:p w14:paraId="447376D3">
      <w:pPr>
        <w:pStyle w:val="2"/>
        <w:spacing w:before="202" w:line="219" w:lineRule="auto"/>
        <w:rPr>
          <w:sz w:val="24"/>
          <w:szCs w:val="24"/>
        </w:rPr>
      </w:pPr>
      <w:r>
        <w:rPr>
          <w:spacing w:val="29"/>
          <w:sz w:val="24"/>
          <w:szCs w:val="24"/>
        </w:rPr>
        <w:t>求。通常可考虑下列内容：</w:t>
      </w:r>
    </w:p>
    <w:p w14:paraId="7D1BF858">
      <w:pPr>
        <w:pStyle w:val="2"/>
        <w:spacing w:before="27" w:line="212" w:lineRule="auto"/>
        <w:ind w:left="550"/>
      </w:pPr>
      <w:r>
        <w:rPr>
          <w:rFonts w:ascii="Times New Roman" w:hAnsi="Times New Roman" w:eastAsia="Times New Roman" w:cs="Times New Roman"/>
          <w:spacing w:val="-12"/>
        </w:rPr>
        <w:t xml:space="preserve">a)  </w:t>
      </w:r>
      <w:r>
        <w:rPr>
          <w:spacing w:val="-12"/>
        </w:rPr>
        <w:t>根据型号工艺总方案，提出工装的“三化”目标。</w:t>
      </w:r>
    </w:p>
    <w:p w14:paraId="5D0CCC52">
      <w:pPr>
        <w:pStyle w:val="2"/>
        <w:spacing w:before="89" w:line="271" w:lineRule="auto"/>
        <w:ind w:right="132" w:firstLine="550"/>
      </w:pPr>
      <w:r>
        <w:rPr>
          <w:rFonts w:ascii="Times New Roman" w:hAnsi="Times New Roman" w:eastAsia="Times New Roman" w:cs="Times New Roman"/>
          <w:spacing w:val="-5"/>
        </w:rPr>
        <w:t xml:space="preserve">b)  </w:t>
      </w:r>
      <w:r>
        <w:rPr>
          <w:spacing w:val="-5"/>
        </w:rPr>
        <w:t>在工程研制阶段，将工程的“三化”目标转化为</w:t>
      </w:r>
      <w:r>
        <w:rPr>
          <w:spacing w:val="-6"/>
        </w:rPr>
        <w:t>具体实施方案。根据样机</w:t>
      </w:r>
      <w:r>
        <w:t xml:space="preserve"> </w:t>
      </w:r>
      <w:r>
        <w:rPr>
          <w:spacing w:val="-10"/>
        </w:rPr>
        <w:t>试制数量少、时间紧、变化大的特点，提出最大限度减少专用工装数量的原则；根</w:t>
      </w:r>
      <w:r>
        <w:t xml:space="preserve"> </w:t>
      </w:r>
      <w:r>
        <w:rPr>
          <w:spacing w:val="6"/>
        </w:rPr>
        <w:t>据样机制造的需要和工厂工装的实际情况，提出采用现有和通用工装以</w:t>
      </w:r>
      <w:r>
        <w:rPr>
          <w:spacing w:val="5"/>
        </w:rPr>
        <w:t>及采用</w:t>
      </w:r>
      <w:r>
        <w:t xml:space="preserve"> </w:t>
      </w:r>
      <w:r>
        <w:rPr>
          <w:spacing w:val="5"/>
        </w:rPr>
        <w:t>组合夹具的要求和清单；对专用工装的设计提出采用通用零部件的要求。开展</w:t>
      </w:r>
      <w:r>
        <w:rPr>
          <w:spacing w:val="13"/>
        </w:rPr>
        <w:t xml:space="preserve"> </w:t>
      </w:r>
      <w:r>
        <w:rPr>
          <w:spacing w:val="-9"/>
        </w:rPr>
        <w:t>工装的“三化”设计工作，将具体实施方案落实到工装设计图样中。</w:t>
      </w:r>
    </w:p>
    <w:p w14:paraId="6F1237CD">
      <w:pPr>
        <w:pStyle w:val="2"/>
        <w:spacing w:before="69" w:line="212" w:lineRule="auto"/>
        <w:ind w:left="550"/>
      </w:pPr>
      <w:r>
        <w:rPr>
          <w:rFonts w:ascii="Times New Roman" w:hAnsi="Times New Roman" w:eastAsia="Times New Roman" w:cs="Times New Roman"/>
          <w:spacing w:val="-12"/>
        </w:rPr>
        <w:t xml:space="preserve">c)  </w:t>
      </w:r>
      <w:r>
        <w:rPr>
          <w:spacing w:val="-12"/>
        </w:rPr>
        <w:t>在设计定型阶段，检查和总结工装“三化”工作，提出改进措施；</w:t>
      </w:r>
    </w:p>
    <w:p w14:paraId="11403ACF">
      <w:pPr>
        <w:pStyle w:val="2"/>
        <w:spacing w:before="81" w:line="271" w:lineRule="auto"/>
        <w:ind w:right="145" w:firstLine="550"/>
      </w:pPr>
      <w:r>
        <w:rPr>
          <w:rFonts w:ascii="Times New Roman" w:hAnsi="Times New Roman" w:eastAsia="Times New Roman" w:cs="Times New Roman"/>
          <w:spacing w:val="-5"/>
        </w:rPr>
        <w:t xml:space="preserve">d)  </w:t>
      </w:r>
      <w:r>
        <w:rPr>
          <w:spacing w:val="-5"/>
        </w:rPr>
        <w:t>在生产(工艺)定型阶段，针对批量生产的特点，综合考虑“三化”的效果</w:t>
      </w:r>
      <w:r>
        <w:t xml:space="preserve"> </w:t>
      </w:r>
      <w:r>
        <w:rPr>
          <w:spacing w:val="-17"/>
        </w:rPr>
        <w:t>和加工效率，调整工装“三化”方案。根据产品“三化”程度，提出继续扩大</w:t>
      </w:r>
      <w:r>
        <w:rPr>
          <w:spacing w:val="-18"/>
        </w:rPr>
        <w:t>采用现</w:t>
      </w:r>
      <w:r>
        <w:t xml:space="preserve"> </w:t>
      </w:r>
      <w:r>
        <w:rPr>
          <w:spacing w:val="-2"/>
        </w:rPr>
        <w:t>有和通用工装的要求，开展工装的“三化”设计工作；在生</w:t>
      </w:r>
      <w:r>
        <w:rPr>
          <w:spacing w:val="-3"/>
        </w:rPr>
        <w:t>产(工艺)定型阶段后</w:t>
      </w:r>
      <w:r>
        <w:t xml:space="preserve"> </w:t>
      </w:r>
      <w:r>
        <w:rPr>
          <w:spacing w:val="-10"/>
        </w:rPr>
        <w:t>期，检查和总结工装的“三化”对批量生产的适应性，做必要的修改调整后，最终</w:t>
      </w:r>
      <w:r>
        <w:t xml:space="preserve"> </w:t>
      </w:r>
      <w:r>
        <w:rPr>
          <w:spacing w:val="-21"/>
        </w:rPr>
        <w:t>固化工装的“三化”成果。</w:t>
      </w:r>
    </w:p>
    <w:p w14:paraId="4D5488BE">
      <w:pPr>
        <w:spacing w:before="81" w:line="221" w:lineRule="auto"/>
        <w:rPr>
          <w:rFonts w:ascii="黑体" w:hAnsi="黑体" w:eastAsia="黑体" w:cs="黑体"/>
          <w:sz w:val="27"/>
          <w:szCs w:val="27"/>
        </w:rPr>
      </w:pPr>
      <w:r>
        <w:rPr>
          <w:rFonts w:ascii="黑体" w:hAnsi="黑体" w:eastAsia="黑体" w:cs="黑体"/>
          <w:spacing w:val="-14"/>
          <w:sz w:val="27"/>
          <w:szCs w:val="27"/>
        </w:rPr>
        <w:t>7</w:t>
      </w:r>
      <w:r>
        <w:rPr>
          <w:rFonts w:ascii="黑体" w:hAnsi="黑体" w:eastAsia="黑体" w:cs="黑体"/>
          <w:spacing w:val="30"/>
          <w:sz w:val="27"/>
          <w:szCs w:val="27"/>
        </w:rPr>
        <w:t xml:space="preserve">  </w:t>
      </w:r>
      <w:r>
        <w:rPr>
          <w:rFonts w:ascii="黑体" w:hAnsi="黑体" w:eastAsia="黑体" w:cs="黑体"/>
          <w:b/>
          <w:bCs/>
          <w:spacing w:val="-14"/>
          <w:sz w:val="27"/>
          <w:szCs w:val="27"/>
        </w:rPr>
        <w:t>工艺文件、工装设计文件的完整性、正确性、统一性</w:t>
      </w:r>
      <w:r>
        <w:rPr>
          <w:rFonts w:ascii="黑体" w:hAnsi="黑体" w:eastAsia="黑体" w:cs="黑体"/>
          <w:b/>
          <w:bCs/>
          <w:spacing w:val="-15"/>
          <w:sz w:val="27"/>
          <w:szCs w:val="27"/>
        </w:rPr>
        <w:t>要求</w:t>
      </w:r>
    </w:p>
    <w:p w14:paraId="59E9F96E">
      <w:pPr>
        <w:pStyle w:val="2"/>
        <w:spacing w:before="111" w:line="219" w:lineRule="auto"/>
        <w:jc w:val="right"/>
      </w:pPr>
      <w:r>
        <w:rPr>
          <w:spacing w:val="-8"/>
        </w:rPr>
        <w:t>为保证工艺文件和工装设计文件的完整、正确、统一，通常可考虑下列内容：</w:t>
      </w:r>
    </w:p>
    <w:p w14:paraId="730D37DE">
      <w:pPr>
        <w:pStyle w:val="2"/>
        <w:spacing w:before="61" w:line="212" w:lineRule="auto"/>
        <w:ind w:left="590"/>
      </w:pPr>
      <w:r>
        <w:rPr>
          <w:rFonts w:ascii="Times New Roman" w:hAnsi="Times New Roman" w:eastAsia="Times New Roman" w:cs="Times New Roman"/>
        </w:rPr>
        <w:t>a)</w:t>
      </w:r>
      <w:r>
        <w:rPr>
          <w:rFonts w:ascii="Times New Roman" w:hAnsi="Times New Roman" w:eastAsia="Times New Roman" w:cs="Times New Roman"/>
          <w:spacing w:val="66"/>
        </w:rPr>
        <w:t xml:space="preserve"> </w:t>
      </w:r>
      <w:r>
        <w:t>按产品研制阶段分别提出工艺文件、工装设计文件的完整性要求；</w:t>
      </w:r>
    </w:p>
    <w:p w14:paraId="2F45DD78">
      <w:pPr>
        <w:pStyle w:val="2"/>
        <w:spacing w:before="99" w:line="212" w:lineRule="auto"/>
        <w:ind w:left="590"/>
      </w:pPr>
      <w:r>
        <w:rPr>
          <w:rFonts w:ascii="Times New Roman" w:hAnsi="Times New Roman" w:eastAsia="Times New Roman" w:cs="Times New Roman"/>
        </w:rPr>
        <w:t>b)</w:t>
      </w:r>
      <w:r>
        <w:rPr>
          <w:rFonts w:ascii="Times New Roman" w:hAnsi="Times New Roman" w:eastAsia="Times New Roman" w:cs="Times New Roman"/>
          <w:spacing w:val="67"/>
          <w:w w:val="101"/>
        </w:rPr>
        <w:t xml:space="preserve"> </w:t>
      </w:r>
      <w:r>
        <w:t>制定(或引用)工艺文件、工装设计文件格式及编号</w:t>
      </w:r>
      <w:r>
        <w:rPr>
          <w:spacing w:val="-1"/>
        </w:rPr>
        <w:t>方法的规定；</w:t>
      </w:r>
    </w:p>
    <w:p w14:paraId="216BCFB8">
      <w:pPr>
        <w:pStyle w:val="2"/>
        <w:spacing w:before="110" w:line="212" w:lineRule="auto"/>
        <w:ind w:left="590"/>
      </w:pPr>
      <w:r>
        <w:rPr>
          <w:rFonts w:ascii="Times New Roman" w:hAnsi="Times New Roman" w:eastAsia="Times New Roman" w:cs="Times New Roman"/>
          <w:spacing w:val="-10"/>
        </w:rPr>
        <w:t xml:space="preserve">c)  </w:t>
      </w:r>
      <w:r>
        <w:rPr>
          <w:spacing w:val="-10"/>
        </w:rPr>
        <w:t>制定(或引用)工艺文件、工装设计文件的编制、签署</w:t>
      </w:r>
      <w:r>
        <w:rPr>
          <w:spacing w:val="-11"/>
        </w:rPr>
        <w:t>、更改、归档等规定；</w:t>
      </w:r>
    </w:p>
    <w:p w14:paraId="0F6E7271">
      <w:pPr>
        <w:pStyle w:val="2"/>
        <w:spacing w:before="90" w:line="212" w:lineRule="auto"/>
        <w:ind w:left="590"/>
      </w:pPr>
      <w:r>
        <w:rPr>
          <w:rFonts w:ascii="Times New Roman" w:hAnsi="Times New Roman" w:eastAsia="Times New Roman" w:cs="Times New Roman"/>
          <w:spacing w:val="-2"/>
        </w:rPr>
        <w:t xml:space="preserve">d)  </w:t>
      </w:r>
      <w:r>
        <w:rPr>
          <w:spacing w:val="-2"/>
        </w:rPr>
        <w:t>对工艺文件、工装设计文件进行标准化检查。</w:t>
      </w:r>
    </w:p>
    <w:p w14:paraId="3EDC0FF5">
      <w:pPr>
        <w:spacing w:before="144" w:line="221" w:lineRule="auto"/>
        <w:rPr>
          <w:rFonts w:ascii="黑体" w:hAnsi="黑体" w:eastAsia="黑体" w:cs="黑体"/>
          <w:sz w:val="24"/>
          <w:szCs w:val="24"/>
        </w:rPr>
      </w:pPr>
      <w:r>
        <w:rPr>
          <w:rFonts w:ascii="黑体" w:hAnsi="黑体" w:eastAsia="黑体" w:cs="黑体"/>
          <w:spacing w:val="20"/>
          <w:sz w:val="24"/>
          <w:szCs w:val="24"/>
        </w:rPr>
        <w:t>8</w:t>
      </w:r>
      <w:r>
        <w:rPr>
          <w:rFonts w:ascii="黑体" w:hAnsi="黑体" w:eastAsia="黑体" w:cs="黑体"/>
          <w:spacing w:val="55"/>
          <w:sz w:val="24"/>
          <w:szCs w:val="24"/>
        </w:rPr>
        <w:t xml:space="preserve">  </w:t>
      </w:r>
      <w:r>
        <w:rPr>
          <w:rFonts w:ascii="黑体" w:hAnsi="黑体" w:eastAsia="黑体" w:cs="黑体"/>
          <w:b/>
          <w:bCs/>
          <w:spacing w:val="20"/>
          <w:sz w:val="24"/>
          <w:szCs w:val="24"/>
        </w:rPr>
        <w:t>应完成的主要任务、工作项目</w:t>
      </w:r>
    </w:p>
    <w:p w14:paraId="56A1C4F1">
      <w:pPr>
        <w:pStyle w:val="2"/>
        <w:spacing w:before="98" w:line="289" w:lineRule="auto"/>
        <w:ind w:right="123" w:firstLine="590"/>
      </w:pPr>
      <w:r>
        <w:rPr>
          <w:spacing w:val="5"/>
        </w:rPr>
        <w:t>应依据型号的研制生产要求和本单位的实际，列出各阶段应完成的主要任</w:t>
      </w:r>
      <w:r>
        <w:t xml:space="preserve"> </w:t>
      </w:r>
      <w:r>
        <w:rPr>
          <w:spacing w:val="-2"/>
        </w:rPr>
        <w:t>务和工作项目，见表4.4。</w:t>
      </w:r>
    </w:p>
    <w:p w14:paraId="3071E19E">
      <w:pPr>
        <w:spacing w:line="220" w:lineRule="auto"/>
        <w:ind w:left="1189"/>
        <w:rPr>
          <w:rFonts w:ascii="仿宋" w:hAnsi="仿宋" w:eastAsia="仿宋" w:cs="仿宋"/>
          <w:sz w:val="24"/>
          <w:szCs w:val="24"/>
        </w:rPr>
      </w:pPr>
      <w:r>
        <w:rPr>
          <w:rFonts w:ascii="仿宋" w:hAnsi="仿宋" w:eastAsia="仿宋" w:cs="仿宋"/>
          <w:spacing w:val="27"/>
          <w:sz w:val="24"/>
          <w:szCs w:val="24"/>
        </w:rPr>
        <w:t>表</w:t>
      </w:r>
      <w:r>
        <w:rPr>
          <w:rFonts w:ascii="仿宋" w:hAnsi="仿宋" w:eastAsia="仿宋" w:cs="仿宋"/>
          <w:spacing w:val="-57"/>
          <w:sz w:val="24"/>
          <w:szCs w:val="24"/>
        </w:rPr>
        <w:t xml:space="preserve"> </w:t>
      </w:r>
      <w:r>
        <w:rPr>
          <w:rFonts w:ascii="仿宋" w:hAnsi="仿宋" w:eastAsia="仿宋" w:cs="仿宋"/>
          <w:spacing w:val="27"/>
          <w:sz w:val="24"/>
          <w:szCs w:val="24"/>
        </w:rPr>
        <w:t>4</w:t>
      </w:r>
      <w:r>
        <w:rPr>
          <w:rFonts w:ascii="仿宋" w:hAnsi="仿宋" w:eastAsia="仿宋" w:cs="仿宋"/>
          <w:spacing w:val="-48"/>
          <w:sz w:val="24"/>
          <w:szCs w:val="24"/>
        </w:rPr>
        <w:t xml:space="preserve"> </w:t>
      </w:r>
      <w:r>
        <w:rPr>
          <w:rFonts w:ascii="仿宋" w:hAnsi="仿宋" w:eastAsia="仿宋" w:cs="仿宋"/>
          <w:spacing w:val="27"/>
          <w:sz w:val="24"/>
          <w:szCs w:val="24"/>
        </w:rPr>
        <w:t>.</w:t>
      </w:r>
      <w:r>
        <w:rPr>
          <w:rFonts w:ascii="仿宋" w:hAnsi="仿宋" w:eastAsia="仿宋" w:cs="仿宋"/>
          <w:spacing w:val="-57"/>
          <w:sz w:val="24"/>
          <w:szCs w:val="24"/>
        </w:rPr>
        <w:t xml:space="preserve"> </w:t>
      </w:r>
      <w:r>
        <w:rPr>
          <w:rFonts w:ascii="仿宋" w:hAnsi="仿宋" w:eastAsia="仿宋" w:cs="仿宋"/>
          <w:spacing w:val="27"/>
          <w:sz w:val="24"/>
          <w:szCs w:val="24"/>
        </w:rPr>
        <w:t>4  产品研制各阶段工艺标准化的主要任务和</w:t>
      </w:r>
      <w:r>
        <w:rPr>
          <w:rFonts w:ascii="仿宋" w:hAnsi="仿宋" w:eastAsia="仿宋" w:cs="仿宋"/>
          <w:spacing w:val="26"/>
          <w:sz w:val="24"/>
          <w:szCs w:val="24"/>
        </w:rPr>
        <w:t>工作项目</w:t>
      </w:r>
    </w:p>
    <w:p w14:paraId="2D98EE2B">
      <w:pPr>
        <w:spacing w:line="124" w:lineRule="exact"/>
      </w:pPr>
    </w:p>
    <w:tbl>
      <w:tblPr>
        <w:tblStyle w:val="5"/>
        <w:tblW w:w="936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3"/>
        <w:gridCol w:w="1249"/>
        <w:gridCol w:w="6648"/>
      </w:tblGrid>
      <w:tr w14:paraId="2A8E2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463" w:type="dxa"/>
            <w:vAlign w:val="top"/>
          </w:tcPr>
          <w:p w14:paraId="660A372B">
            <w:pPr>
              <w:spacing w:before="103" w:line="220" w:lineRule="auto"/>
              <w:ind w:left="325"/>
              <w:rPr>
                <w:rFonts w:ascii="宋体" w:hAnsi="宋体" w:eastAsia="宋体" w:cs="宋体"/>
                <w:sz w:val="20"/>
                <w:szCs w:val="20"/>
              </w:rPr>
            </w:pPr>
            <w:r>
              <w:rPr>
                <w:rFonts w:ascii="宋体" w:hAnsi="宋体" w:eastAsia="宋体" w:cs="宋体"/>
                <w:spacing w:val="-2"/>
                <w:sz w:val="20"/>
                <w:szCs w:val="20"/>
              </w:rPr>
              <w:t>研制阶段</w:t>
            </w:r>
          </w:p>
        </w:tc>
        <w:tc>
          <w:tcPr>
            <w:tcW w:w="1249" w:type="dxa"/>
            <w:vAlign w:val="top"/>
          </w:tcPr>
          <w:p w14:paraId="103F3DDC">
            <w:pPr>
              <w:spacing w:before="103" w:line="219" w:lineRule="auto"/>
              <w:ind w:left="212"/>
              <w:rPr>
                <w:rFonts w:ascii="宋体" w:hAnsi="宋体" w:eastAsia="宋体" w:cs="宋体"/>
                <w:sz w:val="20"/>
                <w:szCs w:val="20"/>
              </w:rPr>
            </w:pPr>
            <w:r>
              <w:rPr>
                <w:rFonts w:ascii="宋体" w:hAnsi="宋体" w:eastAsia="宋体" w:cs="宋体"/>
                <w:spacing w:val="-2"/>
                <w:sz w:val="20"/>
                <w:szCs w:val="20"/>
              </w:rPr>
              <w:t>主要任务</w:t>
            </w:r>
          </w:p>
        </w:tc>
        <w:tc>
          <w:tcPr>
            <w:tcW w:w="6648" w:type="dxa"/>
            <w:vAlign w:val="top"/>
          </w:tcPr>
          <w:p w14:paraId="33703DAB">
            <w:pPr>
              <w:spacing w:before="103" w:line="220" w:lineRule="auto"/>
              <w:ind w:left="2893"/>
              <w:rPr>
                <w:rFonts w:ascii="宋体" w:hAnsi="宋体" w:eastAsia="宋体" w:cs="宋体"/>
                <w:sz w:val="20"/>
                <w:szCs w:val="20"/>
              </w:rPr>
            </w:pPr>
            <w:r>
              <w:rPr>
                <w:rFonts w:ascii="宋体" w:hAnsi="宋体" w:eastAsia="宋体" w:cs="宋体"/>
                <w:spacing w:val="9"/>
                <w:sz w:val="20"/>
                <w:szCs w:val="20"/>
              </w:rPr>
              <w:t>工作项目</w:t>
            </w:r>
          </w:p>
        </w:tc>
      </w:tr>
      <w:tr w14:paraId="2D905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6" w:hRule="atLeast"/>
        </w:trPr>
        <w:tc>
          <w:tcPr>
            <w:tcW w:w="1463" w:type="dxa"/>
            <w:vAlign w:val="top"/>
          </w:tcPr>
          <w:p w14:paraId="55520D27">
            <w:pPr>
              <w:pStyle w:val="6"/>
            </w:pPr>
          </w:p>
          <w:p w14:paraId="123A88BD">
            <w:pPr>
              <w:pStyle w:val="6"/>
            </w:pPr>
          </w:p>
          <w:p w14:paraId="2EAF9F50">
            <w:pPr>
              <w:pStyle w:val="6"/>
              <w:spacing w:line="241" w:lineRule="auto"/>
            </w:pPr>
          </w:p>
          <w:p w14:paraId="756B1E67">
            <w:pPr>
              <w:pStyle w:val="6"/>
              <w:spacing w:line="241" w:lineRule="auto"/>
            </w:pPr>
          </w:p>
          <w:p w14:paraId="45B9154B">
            <w:pPr>
              <w:pStyle w:val="6"/>
              <w:spacing w:line="241" w:lineRule="auto"/>
            </w:pPr>
          </w:p>
          <w:p w14:paraId="126A5E0E">
            <w:pPr>
              <w:pStyle w:val="6"/>
              <w:spacing w:line="241" w:lineRule="auto"/>
            </w:pPr>
          </w:p>
          <w:p w14:paraId="6C45B773">
            <w:pPr>
              <w:pStyle w:val="6"/>
              <w:spacing w:line="241" w:lineRule="auto"/>
            </w:pPr>
          </w:p>
          <w:p w14:paraId="62433071">
            <w:pPr>
              <w:spacing w:before="65" w:line="220" w:lineRule="auto"/>
              <w:ind w:left="125"/>
              <w:rPr>
                <w:rFonts w:ascii="宋体" w:hAnsi="宋体" w:eastAsia="宋体" w:cs="宋体"/>
                <w:sz w:val="20"/>
                <w:szCs w:val="20"/>
              </w:rPr>
            </w:pPr>
            <w:r>
              <w:rPr>
                <w:rFonts w:ascii="宋体" w:hAnsi="宋体" w:eastAsia="宋体" w:cs="宋体"/>
                <w:spacing w:val="-2"/>
                <w:sz w:val="20"/>
                <w:szCs w:val="20"/>
              </w:rPr>
              <w:t>工程研制阶段</w:t>
            </w:r>
          </w:p>
        </w:tc>
        <w:tc>
          <w:tcPr>
            <w:tcW w:w="1249" w:type="dxa"/>
            <w:vAlign w:val="top"/>
          </w:tcPr>
          <w:p w14:paraId="1DACE498">
            <w:pPr>
              <w:pStyle w:val="6"/>
              <w:spacing w:line="250" w:lineRule="auto"/>
            </w:pPr>
          </w:p>
          <w:p w14:paraId="1201EED9">
            <w:pPr>
              <w:pStyle w:val="6"/>
              <w:spacing w:line="250" w:lineRule="auto"/>
            </w:pPr>
          </w:p>
          <w:p w14:paraId="74B8A95D">
            <w:pPr>
              <w:pStyle w:val="6"/>
              <w:spacing w:line="250" w:lineRule="auto"/>
            </w:pPr>
          </w:p>
          <w:p w14:paraId="7DA8BC19">
            <w:pPr>
              <w:pStyle w:val="6"/>
              <w:spacing w:line="251" w:lineRule="auto"/>
            </w:pPr>
          </w:p>
          <w:p w14:paraId="41C2EDBA">
            <w:pPr>
              <w:spacing w:before="65" w:line="319" w:lineRule="auto"/>
              <w:ind w:left="82" w:right="135" w:firstLine="30"/>
              <w:jc w:val="both"/>
              <w:rPr>
                <w:rFonts w:ascii="宋体" w:hAnsi="宋体" w:eastAsia="宋体" w:cs="宋体"/>
                <w:sz w:val="20"/>
                <w:szCs w:val="20"/>
              </w:rPr>
            </w:pPr>
            <w:r>
              <w:rPr>
                <w:rFonts w:ascii="宋体" w:hAnsi="宋体" w:eastAsia="宋体" w:cs="宋体"/>
                <w:spacing w:val="-2"/>
                <w:sz w:val="20"/>
                <w:szCs w:val="20"/>
              </w:rPr>
              <w:t>制定工艺标</w:t>
            </w:r>
            <w:r>
              <w:rPr>
                <w:rFonts w:ascii="宋体" w:hAnsi="宋体" w:eastAsia="宋体" w:cs="宋体"/>
                <w:sz w:val="20"/>
                <w:szCs w:val="20"/>
              </w:rPr>
              <w:t xml:space="preserve"> </w:t>
            </w:r>
            <w:r>
              <w:rPr>
                <w:rFonts w:ascii="宋体" w:hAnsi="宋体" w:eastAsia="宋体" w:cs="宋体"/>
                <w:spacing w:val="4"/>
                <w:sz w:val="20"/>
                <w:szCs w:val="20"/>
              </w:rPr>
              <w:t>准化综合要</w:t>
            </w:r>
            <w:r>
              <w:rPr>
                <w:rFonts w:ascii="宋体" w:hAnsi="宋体" w:eastAsia="宋体" w:cs="宋体"/>
                <w:sz w:val="20"/>
                <w:szCs w:val="20"/>
              </w:rPr>
              <w:t xml:space="preserve"> </w:t>
            </w:r>
            <w:r>
              <w:rPr>
                <w:rFonts w:ascii="宋体" w:hAnsi="宋体" w:eastAsia="宋体" w:cs="宋体"/>
                <w:spacing w:val="4"/>
                <w:sz w:val="20"/>
                <w:szCs w:val="20"/>
              </w:rPr>
              <w:t>求及其支持</w:t>
            </w:r>
            <w:r>
              <w:rPr>
                <w:rFonts w:ascii="宋体" w:hAnsi="宋体" w:eastAsia="宋体" w:cs="宋体"/>
                <w:sz w:val="20"/>
                <w:szCs w:val="20"/>
              </w:rPr>
              <w:t xml:space="preserve"> </w:t>
            </w:r>
            <w:r>
              <w:rPr>
                <w:rFonts w:ascii="宋体" w:hAnsi="宋体" w:eastAsia="宋体" w:cs="宋体"/>
                <w:spacing w:val="3"/>
                <w:sz w:val="20"/>
                <w:szCs w:val="20"/>
              </w:rPr>
              <w:t>性文件并组 织实施</w:t>
            </w:r>
          </w:p>
        </w:tc>
        <w:tc>
          <w:tcPr>
            <w:tcW w:w="6648" w:type="dxa"/>
            <w:vAlign w:val="top"/>
          </w:tcPr>
          <w:p w14:paraId="45E476B5">
            <w:pPr>
              <w:spacing w:before="210" w:line="220" w:lineRule="auto"/>
              <w:ind w:left="83"/>
              <w:rPr>
                <w:rFonts w:ascii="宋体" w:hAnsi="宋体" w:eastAsia="宋体" w:cs="宋体"/>
                <w:sz w:val="20"/>
                <w:szCs w:val="20"/>
              </w:rPr>
            </w:pPr>
            <w:r>
              <w:rPr>
                <w:rFonts w:ascii="宋体" w:hAnsi="宋体" w:eastAsia="宋体" w:cs="宋体"/>
                <w:spacing w:val="7"/>
                <w:sz w:val="20"/>
                <w:szCs w:val="20"/>
              </w:rPr>
              <w:t>1.制定工艺标准化综合要求；</w:t>
            </w:r>
          </w:p>
          <w:p w14:paraId="4BB038AA">
            <w:pPr>
              <w:spacing w:before="101" w:line="219" w:lineRule="auto"/>
              <w:ind w:left="83"/>
              <w:rPr>
                <w:rFonts w:ascii="宋体" w:hAnsi="宋体" w:eastAsia="宋体" w:cs="宋体"/>
                <w:sz w:val="20"/>
                <w:szCs w:val="20"/>
              </w:rPr>
            </w:pPr>
            <w:r>
              <w:rPr>
                <w:rFonts w:ascii="宋体" w:hAnsi="宋体" w:eastAsia="宋体" w:cs="宋体"/>
                <w:spacing w:val="6"/>
                <w:sz w:val="20"/>
                <w:szCs w:val="20"/>
              </w:rPr>
              <w:t>2.编制工艺、工装标准体系表；</w:t>
            </w:r>
          </w:p>
          <w:p w14:paraId="643CFD22">
            <w:pPr>
              <w:spacing w:before="102" w:line="219" w:lineRule="auto"/>
              <w:ind w:left="83"/>
              <w:rPr>
                <w:rFonts w:ascii="宋体" w:hAnsi="宋体" w:eastAsia="宋体" w:cs="宋体"/>
                <w:sz w:val="20"/>
                <w:szCs w:val="20"/>
              </w:rPr>
            </w:pPr>
            <w:r>
              <w:rPr>
                <w:rFonts w:ascii="宋体" w:hAnsi="宋体" w:eastAsia="宋体" w:cs="宋体"/>
                <w:spacing w:val="2"/>
                <w:sz w:val="20"/>
                <w:szCs w:val="20"/>
              </w:rPr>
              <w:t>3.编制工艺、工装标准选用范围(目录);</w:t>
            </w:r>
          </w:p>
          <w:p w14:paraId="5300423A">
            <w:pPr>
              <w:spacing w:before="122" w:line="219" w:lineRule="auto"/>
              <w:ind w:left="83"/>
              <w:rPr>
                <w:rFonts w:ascii="宋体" w:hAnsi="宋体" w:eastAsia="宋体" w:cs="宋体"/>
                <w:sz w:val="20"/>
                <w:szCs w:val="20"/>
              </w:rPr>
            </w:pPr>
            <w:r>
              <w:rPr>
                <w:rFonts w:ascii="宋体" w:hAnsi="宋体" w:eastAsia="宋体" w:cs="宋体"/>
                <w:spacing w:val="4"/>
                <w:sz w:val="20"/>
                <w:szCs w:val="20"/>
              </w:rPr>
              <w:t>4.制定有关工艺文件、工装设计文件的标准化要求；</w:t>
            </w:r>
          </w:p>
          <w:p w14:paraId="0000121D">
            <w:pPr>
              <w:spacing w:before="93" w:line="219" w:lineRule="auto"/>
              <w:ind w:left="83"/>
              <w:rPr>
                <w:rFonts w:ascii="宋体" w:hAnsi="宋体" w:eastAsia="宋体" w:cs="宋体"/>
                <w:sz w:val="20"/>
                <w:szCs w:val="20"/>
              </w:rPr>
            </w:pPr>
            <w:r>
              <w:rPr>
                <w:rFonts w:ascii="宋体" w:hAnsi="宋体" w:eastAsia="宋体" w:cs="宋体"/>
                <w:spacing w:val="4"/>
                <w:sz w:val="20"/>
                <w:szCs w:val="20"/>
              </w:rPr>
              <w:t>5.提出制定(修订)标准的项目和计划建议；</w:t>
            </w:r>
          </w:p>
          <w:p w14:paraId="7364154F">
            <w:pPr>
              <w:spacing w:before="123" w:line="220" w:lineRule="auto"/>
              <w:ind w:left="83"/>
              <w:rPr>
                <w:rFonts w:ascii="宋体" w:hAnsi="宋体" w:eastAsia="宋体" w:cs="宋体"/>
                <w:sz w:val="20"/>
                <w:szCs w:val="20"/>
              </w:rPr>
            </w:pPr>
            <w:r>
              <w:rPr>
                <w:rFonts w:ascii="宋体" w:hAnsi="宋体" w:eastAsia="宋体" w:cs="宋体"/>
                <w:spacing w:val="4"/>
                <w:sz w:val="20"/>
                <w:szCs w:val="20"/>
              </w:rPr>
              <w:t>6.组织制定新的型号专用工艺、工装标准；</w:t>
            </w:r>
          </w:p>
          <w:p w14:paraId="5A8091B0">
            <w:pPr>
              <w:spacing w:before="102" w:line="220" w:lineRule="auto"/>
              <w:ind w:left="83"/>
              <w:rPr>
                <w:rFonts w:ascii="宋体" w:hAnsi="宋体" w:eastAsia="宋体" w:cs="宋体"/>
                <w:sz w:val="20"/>
                <w:szCs w:val="20"/>
              </w:rPr>
            </w:pPr>
            <w:r>
              <w:rPr>
                <w:rFonts w:ascii="宋体" w:hAnsi="宋体" w:eastAsia="宋体" w:cs="宋体"/>
                <w:spacing w:val="6"/>
                <w:sz w:val="20"/>
                <w:szCs w:val="20"/>
              </w:rPr>
              <w:t>7.开展工装“三化”设计工作；</w:t>
            </w:r>
          </w:p>
          <w:p w14:paraId="3E5F8FAE">
            <w:pPr>
              <w:spacing w:before="101" w:line="219" w:lineRule="auto"/>
              <w:ind w:left="83"/>
              <w:rPr>
                <w:rFonts w:ascii="宋体" w:hAnsi="宋体" w:eastAsia="宋体" w:cs="宋体"/>
                <w:sz w:val="20"/>
                <w:szCs w:val="20"/>
              </w:rPr>
            </w:pPr>
            <w:r>
              <w:rPr>
                <w:rFonts w:ascii="宋体" w:hAnsi="宋体" w:eastAsia="宋体" w:cs="宋体"/>
                <w:spacing w:val="4"/>
                <w:sz w:val="20"/>
                <w:szCs w:val="20"/>
              </w:rPr>
              <w:t>8.开展对工艺文件、工装设计文件的标准化检查；</w:t>
            </w:r>
          </w:p>
          <w:p w14:paraId="682CB725">
            <w:pPr>
              <w:spacing w:before="93" w:line="219" w:lineRule="auto"/>
              <w:ind w:left="83"/>
              <w:rPr>
                <w:rFonts w:ascii="宋体" w:hAnsi="宋体" w:eastAsia="宋体" w:cs="宋体"/>
                <w:sz w:val="20"/>
                <w:szCs w:val="20"/>
              </w:rPr>
            </w:pPr>
            <w:r>
              <w:rPr>
                <w:rFonts w:ascii="宋体" w:hAnsi="宋体" w:eastAsia="宋体" w:cs="宋体"/>
                <w:spacing w:val="5"/>
                <w:sz w:val="20"/>
                <w:szCs w:val="20"/>
              </w:rPr>
              <w:t>9.收集资料，做好贯标的技术和物质准备；</w:t>
            </w:r>
          </w:p>
          <w:p w14:paraId="7196F373">
            <w:pPr>
              <w:spacing w:before="102" w:line="219" w:lineRule="auto"/>
              <w:ind w:left="83"/>
              <w:rPr>
                <w:rFonts w:ascii="宋体" w:hAnsi="宋体" w:eastAsia="宋体" w:cs="宋体"/>
                <w:sz w:val="20"/>
                <w:szCs w:val="20"/>
              </w:rPr>
            </w:pPr>
            <w:r>
              <w:rPr>
                <w:rFonts w:ascii="宋体" w:hAnsi="宋体" w:eastAsia="宋体" w:cs="宋体"/>
                <w:sz w:val="20"/>
                <w:szCs w:val="20"/>
              </w:rPr>
              <w:t>10.做好阶段工艺标准化工作总结和评审</w:t>
            </w:r>
          </w:p>
        </w:tc>
      </w:tr>
    </w:tbl>
    <w:p w14:paraId="290414F2">
      <w:pPr>
        <w:rPr>
          <w:rFonts w:ascii="Arial"/>
          <w:sz w:val="21"/>
        </w:rPr>
      </w:pPr>
    </w:p>
    <w:p w14:paraId="131721DB">
      <w:pPr>
        <w:rPr>
          <w:rFonts w:ascii="Arial" w:hAnsi="Arial" w:eastAsia="Arial" w:cs="Arial"/>
          <w:sz w:val="21"/>
          <w:szCs w:val="21"/>
        </w:rPr>
        <w:sectPr>
          <w:footerReference r:id="rId313" w:type="default"/>
          <w:pgSz w:w="11910" w:h="17130"/>
          <w:pgMar w:top="1456" w:right="965" w:bottom="1543" w:left="1430" w:header="0" w:footer="1345" w:gutter="0"/>
          <w:cols w:space="720" w:num="1"/>
        </w:sectPr>
      </w:pPr>
    </w:p>
    <w:p w14:paraId="0446ED89">
      <w:pPr>
        <w:pStyle w:val="2"/>
        <w:spacing w:before="153" w:line="220" w:lineRule="auto"/>
        <w:ind w:left="8680"/>
        <w:rPr>
          <w:sz w:val="22"/>
          <w:szCs w:val="22"/>
        </w:rPr>
      </w:pPr>
      <w:r>
        <w:rPr>
          <w:spacing w:val="-20"/>
          <w:sz w:val="22"/>
          <w:szCs w:val="22"/>
        </w:rPr>
        <w:t>(</w:t>
      </w:r>
      <w:r>
        <w:rPr>
          <w:spacing w:val="-46"/>
          <w:sz w:val="22"/>
          <w:szCs w:val="22"/>
        </w:rPr>
        <w:t xml:space="preserve"> </w:t>
      </w:r>
      <w:r>
        <w:rPr>
          <w:spacing w:val="-20"/>
          <w:sz w:val="22"/>
          <w:szCs w:val="22"/>
        </w:rPr>
        <w:t>续</w:t>
      </w:r>
      <w:r>
        <w:rPr>
          <w:spacing w:val="-48"/>
          <w:sz w:val="22"/>
          <w:szCs w:val="22"/>
        </w:rPr>
        <w:t xml:space="preserve"> </w:t>
      </w:r>
      <w:r>
        <w:rPr>
          <w:spacing w:val="-20"/>
          <w:sz w:val="22"/>
          <w:szCs w:val="22"/>
        </w:rPr>
        <w:t>)</w:t>
      </w:r>
    </w:p>
    <w:p w14:paraId="0B89D48B">
      <w:pPr>
        <w:spacing w:line="142" w:lineRule="exact"/>
      </w:pPr>
    </w:p>
    <w:tbl>
      <w:tblPr>
        <w:tblStyle w:val="5"/>
        <w:tblW w:w="935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3"/>
        <w:gridCol w:w="1248"/>
        <w:gridCol w:w="6648"/>
      </w:tblGrid>
      <w:tr w14:paraId="4CEEC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463" w:type="dxa"/>
            <w:vAlign w:val="top"/>
          </w:tcPr>
          <w:p w14:paraId="14D0479E">
            <w:pPr>
              <w:spacing w:before="103" w:line="220" w:lineRule="auto"/>
              <w:ind w:left="325"/>
              <w:rPr>
                <w:rFonts w:ascii="宋体" w:hAnsi="宋体" w:eastAsia="宋体" w:cs="宋体"/>
                <w:sz w:val="20"/>
                <w:szCs w:val="20"/>
              </w:rPr>
            </w:pPr>
            <w:r>
              <w:rPr>
                <w:rFonts w:ascii="宋体" w:hAnsi="宋体" w:eastAsia="宋体" w:cs="宋体"/>
                <w:spacing w:val="-2"/>
                <w:sz w:val="20"/>
                <w:szCs w:val="20"/>
              </w:rPr>
              <w:t>研制阶段</w:t>
            </w:r>
          </w:p>
        </w:tc>
        <w:tc>
          <w:tcPr>
            <w:tcW w:w="1248" w:type="dxa"/>
            <w:vAlign w:val="top"/>
          </w:tcPr>
          <w:p w14:paraId="408A65C4">
            <w:pPr>
              <w:spacing w:before="103" w:line="219" w:lineRule="auto"/>
              <w:ind w:left="212"/>
              <w:rPr>
                <w:rFonts w:ascii="宋体" w:hAnsi="宋体" w:eastAsia="宋体" w:cs="宋体"/>
                <w:sz w:val="20"/>
                <w:szCs w:val="20"/>
              </w:rPr>
            </w:pPr>
            <w:r>
              <w:rPr>
                <w:rFonts w:ascii="宋体" w:hAnsi="宋体" w:eastAsia="宋体" w:cs="宋体"/>
                <w:spacing w:val="-2"/>
                <w:sz w:val="20"/>
                <w:szCs w:val="20"/>
              </w:rPr>
              <w:t>主要任务</w:t>
            </w:r>
          </w:p>
        </w:tc>
        <w:tc>
          <w:tcPr>
            <w:tcW w:w="6648" w:type="dxa"/>
            <w:vAlign w:val="top"/>
          </w:tcPr>
          <w:p w14:paraId="71B60D84">
            <w:pPr>
              <w:spacing w:before="103" w:line="220" w:lineRule="auto"/>
              <w:ind w:left="2913"/>
              <w:rPr>
                <w:rFonts w:ascii="宋体" w:hAnsi="宋体" w:eastAsia="宋体" w:cs="宋体"/>
                <w:sz w:val="20"/>
                <w:szCs w:val="20"/>
              </w:rPr>
            </w:pPr>
            <w:r>
              <w:rPr>
                <w:rFonts w:ascii="宋体" w:hAnsi="宋体" w:eastAsia="宋体" w:cs="宋体"/>
                <w:spacing w:val="9"/>
                <w:sz w:val="20"/>
                <w:szCs w:val="20"/>
              </w:rPr>
              <w:t>工作项目</w:t>
            </w:r>
          </w:p>
        </w:tc>
      </w:tr>
      <w:tr w14:paraId="30C50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6" w:hRule="atLeast"/>
        </w:trPr>
        <w:tc>
          <w:tcPr>
            <w:tcW w:w="1463" w:type="dxa"/>
            <w:vAlign w:val="top"/>
          </w:tcPr>
          <w:p w14:paraId="3BCCAFA6">
            <w:pPr>
              <w:pStyle w:val="6"/>
              <w:spacing w:line="283" w:lineRule="auto"/>
            </w:pPr>
          </w:p>
          <w:p w14:paraId="7554539D">
            <w:pPr>
              <w:pStyle w:val="6"/>
              <w:spacing w:line="283" w:lineRule="auto"/>
            </w:pPr>
          </w:p>
          <w:p w14:paraId="4EBAFF28">
            <w:pPr>
              <w:pStyle w:val="6"/>
              <w:spacing w:line="283" w:lineRule="auto"/>
            </w:pPr>
          </w:p>
          <w:p w14:paraId="2EC90A34">
            <w:pPr>
              <w:spacing w:before="65" w:line="220" w:lineRule="auto"/>
              <w:ind w:left="124"/>
              <w:rPr>
                <w:rFonts w:ascii="宋体" w:hAnsi="宋体" w:eastAsia="宋体" w:cs="宋体"/>
                <w:sz w:val="20"/>
                <w:szCs w:val="20"/>
              </w:rPr>
            </w:pPr>
            <w:r>
              <w:rPr>
                <w:rFonts w:ascii="宋体" w:hAnsi="宋体" w:eastAsia="宋体" w:cs="宋体"/>
                <w:spacing w:val="-2"/>
                <w:sz w:val="20"/>
                <w:szCs w:val="20"/>
              </w:rPr>
              <w:t>设计定型阶段</w:t>
            </w:r>
          </w:p>
        </w:tc>
        <w:tc>
          <w:tcPr>
            <w:tcW w:w="1248" w:type="dxa"/>
            <w:vAlign w:val="top"/>
          </w:tcPr>
          <w:p w14:paraId="56F2396C">
            <w:pPr>
              <w:pStyle w:val="6"/>
              <w:spacing w:line="332" w:lineRule="auto"/>
            </w:pPr>
          </w:p>
          <w:p w14:paraId="597AABD5">
            <w:pPr>
              <w:spacing w:before="65" w:line="220" w:lineRule="auto"/>
              <w:ind w:left="111"/>
              <w:rPr>
                <w:rFonts w:ascii="宋体" w:hAnsi="宋体" w:eastAsia="宋体" w:cs="宋体"/>
                <w:sz w:val="20"/>
                <w:szCs w:val="20"/>
              </w:rPr>
            </w:pPr>
            <w:r>
              <w:rPr>
                <w:rFonts w:ascii="宋体" w:hAnsi="宋体" w:eastAsia="宋体" w:cs="宋体"/>
                <w:spacing w:val="2"/>
                <w:sz w:val="20"/>
                <w:szCs w:val="20"/>
              </w:rPr>
              <w:t>配合设计定</w:t>
            </w:r>
          </w:p>
          <w:p w14:paraId="5C395BD4">
            <w:pPr>
              <w:spacing w:before="121" w:line="315" w:lineRule="auto"/>
              <w:ind w:left="111" w:right="112"/>
              <w:jc w:val="both"/>
              <w:rPr>
                <w:rFonts w:ascii="宋体" w:hAnsi="宋体" w:eastAsia="宋体" w:cs="宋体"/>
                <w:sz w:val="20"/>
                <w:szCs w:val="20"/>
              </w:rPr>
            </w:pPr>
            <w:r>
              <w:rPr>
                <w:rFonts w:ascii="宋体" w:hAnsi="宋体" w:eastAsia="宋体" w:cs="宋体"/>
                <w:spacing w:val="2"/>
                <w:sz w:val="20"/>
                <w:szCs w:val="20"/>
              </w:rPr>
              <w:t xml:space="preserve">型，为制定 </w:t>
            </w:r>
            <w:r>
              <w:rPr>
                <w:rFonts w:ascii="宋体" w:hAnsi="宋体" w:eastAsia="宋体" w:cs="宋体"/>
                <w:spacing w:val="-3"/>
                <w:sz w:val="20"/>
                <w:szCs w:val="20"/>
              </w:rPr>
              <w:t>工艺标准化</w:t>
            </w:r>
            <w:r>
              <w:rPr>
                <w:rFonts w:ascii="宋体" w:hAnsi="宋体" w:eastAsia="宋体" w:cs="宋体"/>
                <w:spacing w:val="3"/>
                <w:sz w:val="20"/>
                <w:szCs w:val="20"/>
              </w:rPr>
              <w:t xml:space="preserve"> </w:t>
            </w:r>
            <w:r>
              <w:rPr>
                <w:rFonts w:ascii="宋体" w:hAnsi="宋体" w:eastAsia="宋体" w:cs="宋体"/>
                <w:spacing w:val="-2"/>
                <w:sz w:val="20"/>
                <w:szCs w:val="20"/>
              </w:rPr>
              <w:t>大纲做准备</w:t>
            </w:r>
          </w:p>
        </w:tc>
        <w:tc>
          <w:tcPr>
            <w:tcW w:w="6648" w:type="dxa"/>
            <w:vAlign w:val="top"/>
          </w:tcPr>
          <w:p w14:paraId="3128DC8C">
            <w:pPr>
              <w:spacing w:before="249" w:line="219" w:lineRule="auto"/>
              <w:ind w:left="103"/>
              <w:rPr>
                <w:rFonts w:ascii="宋体" w:hAnsi="宋体" w:eastAsia="宋体" w:cs="宋体"/>
                <w:sz w:val="20"/>
                <w:szCs w:val="20"/>
              </w:rPr>
            </w:pPr>
            <w:r>
              <w:rPr>
                <w:rFonts w:ascii="宋体" w:hAnsi="宋体" w:eastAsia="宋体" w:cs="宋体"/>
                <w:spacing w:val="5"/>
                <w:sz w:val="20"/>
                <w:szCs w:val="20"/>
              </w:rPr>
              <w:t>1.全面检查工艺、工装标准的实施情况；</w:t>
            </w:r>
          </w:p>
          <w:p w14:paraId="3E62DDB8">
            <w:pPr>
              <w:spacing w:before="71" w:line="276" w:lineRule="auto"/>
              <w:ind w:left="103" w:right="333" w:hanging="9"/>
              <w:rPr>
                <w:rFonts w:ascii="宋体" w:hAnsi="宋体" w:eastAsia="宋体" w:cs="宋体"/>
                <w:sz w:val="20"/>
                <w:szCs w:val="20"/>
              </w:rPr>
            </w:pPr>
            <w:r>
              <w:rPr>
                <w:rFonts w:ascii="宋体" w:hAnsi="宋体" w:eastAsia="宋体" w:cs="宋体"/>
                <w:sz w:val="20"/>
                <w:szCs w:val="20"/>
              </w:rPr>
              <w:t>2.配合设计定型，对图样和技术文件中有关工艺、工装标准的生产可行</w:t>
            </w:r>
            <w:r>
              <w:rPr>
                <w:rFonts w:ascii="宋体" w:hAnsi="宋体" w:eastAsia="宋体" w:cs="宋体"/>
                <w:spacing w:val="9"/>
                <w:sz w:val="20"/>
                <w:szCs w:val="20"/>
              </w:rPr>
              <w:t xml:space="preserve"> 性进行检查并提出意见；</w:t>
            </w:r>
          </w:p>
          <w:p w14:paraId="0A4D9138">
            <w:pPr>
              <w:spacing w:before="113" w:line="263" w:lineRule="auto"/>
              <w:ind w:left="103" w:right="313" w:firstLine="10"/>
              <w:rPr>
                <w:rFonts w:ascii="宋体" w:hAnsi="宋体" w:eastAsia="宋体" w:cs="宋体"/>
                <w:sz w:val="20"/>
                <w:szCs w:val="20"/>
              </w:rPr>
            </w:pPr>
            <w:r>
              <w:rPr>
                <w:rFonts w:ascii="宋体" w:hAnsi="宋体" w:eastAsia="宋体" w:cs="宋体"/>
                <w:sz w:val="20"/>
                <w:szCs w:val="20"/>
              </w:rPr>
              <w:t>3.对工艺标准化综合要求进行总结和评审，为转化为工艺标准化大纲做</w:t>
            </w:r>
            <w:r>
              <w:rPr>
                <w:rFonts w:ascii="宋体" w:hAnsi="宋体" w:eastAsia="宋体" w:cs="宋体"/>
                <w:spacing w:val="9"/>
                <w:sz w:val="20"/>
                <w:szCs w:val="20"/>
              </w:rPr>
              <w:t xml:space="preserve"> </w:t>
            </w:r>
            <w:r>
              <w:rPr>
                <w:rFonts w:ascii="宋体" w:hAnsi="宋体" w:eastAsia="宋体" w:cs="宋体"/>
                <w:spacing w:val="-3"/>
                <w:sz w:val="20"/>
                <w:szCs w:val="20"/>
              </w:rPr>
              <w:t>准备</w:t>
            </w:r>
          </w:p>
        </w:tc>
      </w:tr>
      <w:tr w14:paraId="71F31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9" w:hRule="atLeast"/>
        </w:trPr>
        <w:tc>
          <w:tcPr>
            <w:tcW w:w="1463" w:type="dxa"/>
            <w:vAlign w:val="top"/>
          </w:tcPr>
          <w:p w14:paraId="48162F30">
            <w:pPr>
              <w:pStyle w:val="6"/>
              <w:spacing w:line="254" w:lineRule="auto"/>
            </w:pPr>
          </w:p>
          <w:p w14:paraId="4EE9B534">
            <w:pPr>
              <w:pStyle w:val="6"/>
              <w:spacing w:line="254" w:lineRule="auto"/>
            </w:pPr>
          </w:p>
          <w:p w14:paraId="53815533">
            <w:pPr>
              <w:pStyle w:val="6"/>
              <w:spacing w:line="255" w:lineRule="auto"/>
            </w:pPr>
          </w:p>
          <w:p w14:paraId="3A9CD226">
            <w:pPr>
              <w:pStyle w:val="6"/>
              <w:spacing w:line="255" w:lineRule="auto"/>
            </w:pPr>
          </w:p>
          <w:p w14:paraId="140AAD54">
            <w:pPr>
              <w:pStyle w:val="6"/>
              <w:spacing w:line="255" w:lineRule="auto"/>
            </w:pPr>
          </w:p>
          <w:p w14:paraId="759AD7C5">
            <w:pPr>
              <w:pStyle w:val="6"/>
              <w:spacing w:line="255" w:lineRule="auto"/>
            </w:pPr>
          </w:p>
          <w:p w14:paraId="0552B4FB">
            <w:pPr>
              <w:spacing w:before="65" w:line="308" w:lineRule="auto"/>
              <w:ind w:left="324" w:right="184" w:hanging="100"/>
              <w:rPr>
                <w:rFonts w:ascii="宋体" w:hAnsi="宋体" w:eastAsia="宋体" w:cs="宋体"/>
                <w:sz w:val="20"/>
                <w:szCs w:val="20"/>
              </w:rPr>
            </w:pPr>
            <w:r>
              <w:rPr>
                <w:rFonts w:ascii="宋体" w:hAnsi="宋体" w:eastAsia="宋体" w:cs="宋体"/>
                <w:spacing w:val="7"/>
                <w:sz w:val="20"/>
                <w:szCs w:val="20"/>
              </w:rPr>
              <w:t>生产(工艺)</w:t>
            </w:r>
            <w:r>
              <w:rPr>
                <w:rFonts w:ascii="宋体" w:hAnsi="宋体" w:eastAsia="宋体" w:cs="宋体"/>
                <w:sz w:val="20"/>
                <w:szCs w:val="20"/>
              </w:rPr>
              <w:t xml:space="preserve"> </w:t>
            </w:r>
            <w:r>
              <w:rPr>
                <w:rFonts w:ascii="宋体" w:hAnsi="宋体" w:eastAsia="宋体" w:cs="宋体"/>
                <w:spacing w:val="1"/>
                <w:sz w:val="20"/>
                <w:szCs w:val="20"/>
              </w:rPr>
              <w:t>定型阶段</w:t>
            </w:r>
          </w:p>
        </w:tc>
        <w:tc>
          <w:tcPr>
            <w:tcW w:w="1248" w:type="dxa"/>
            <w:vAlign w:val="top"/>
          </w:tcPr>
          <w:p w14:paraId="28F79994">
            <w:pPr>
              <w:pStyle w:val="6"/>
              <w:spacing w:line="255" w:lineRule="auto"/>
            </w:pPr>
          </w:p>
          <w:p w14:paraId="1784AE08">
            <w:pPr>
              <w:pStyle w:val="6"/>
              <w:spacing w:line="255" w:lineRule="auto"/>
            </w:pPr>
          </w:p>
          <w:p w14:paraId="408AAEC7">
            <w:pPr>
              <w:pStyle w:val="6"/>
              <w:spacing w:line="255" w:lineRule="auto"/>
            </w:pPr>
          </w:p>
          <w:p w14:paraId="2A3FA35B">
            <w:pPr>
              <w:pStyle w:val="6"/>
              <w:spacing w:line="256" w:lineRule="auto"/>
            </w:pPr>
          </w:p>
          <w:p w14:paraId="67E44CA6">
            <w:pPr>
              <w:spacing w:before="65" w:line="308" w:lineRule="auto"/>
              <w:ind w:left="111" w:right="134"/>
              <w:rPr>
                <w:rFonts w:ascii="宋体" w:hAnsi="宋体" w:eastAsia="宋体" w:cs="宋体"/>
                <w:sz w:val="20"/>
                <w:szCs w:val="20"/>
              </w:rPr>
            </w:pPr>
            <w:r>
              <w:rPr>
                <w:rFonts w:ascii="宋体" w:hAnsi="宋体" w:eastAsia="宋体" w:cs="宋体"/>
                <w:spacing w:val="-2"/>
                <w:sz w:val="20"/>
                <w:szCs w:val="20"/>
              </w:rPr>
              <w:t>制定并实施</w:t>
            </w:r>
            <w:r>
              <w:rPr>
                <w:rFonts w:ascii="宋体" w:hAnsi="宋体" w:eastAsia="宋体" w:cs="宋体"/>
                <w:sz w:val="20"/>
                <w:szCs w:val="20"/>
              </w:rPr>
              <w:t xml:space="preserve"> </w:t>
            </w:r>
            <w:r>
              <w:rPr>
                <w:rFonts w:ascii="宋体" w:hAnsi="宋体" w:eastAsia="宋体" w:cs="宋体"/>
                <w:spacing w:val="-3"/>
                <w:sz w:val="20"/>
                <w:szCs w:val="20"/>
              </w:rPr>
              <w:t>工艺标准化</w:t>
            </w:r>
          </w:p>
          <w:p w14:paraId="4A5E50A0">
            <w:pPr>
              <w:spacing w:before="13" w:line="219" w:lineRule="auto"/>
              <w:ind w:left="111"/>
              <w:rPr>
                <w:rFonts w:ascii="宋体" w:hAnsi="宋体" w:eastAsia="宋体" w:cs="宋体"/>
                <w:sz w:val="20"/>
                <w:szCs w:val="20"/>
              </w:rPr>
            </w:pPr>
            <w:r>
              <w:rPr>
                <w:rFonts w:ascii="宋体" w:hAnsi="宋体" w:eastAsia="宋体" w:cs="宋体"/>
                <w:spacing w:val="-2"/>
                <w:sz w:val="20"/>
                <w:szCs w:val="20"/>
              </w:rPr>
              <w:t>大纲，做好</w:t>
            </w:r>
          </w:p>
          <w:p w14:paraId="6A0E2901">
            <w:pPr>
              <w:spacing w:before="113" w:line="307" w:lineRule="auto"/>
              <w:ind w:left="91" w:right="136" w:firstLine="20"/>
              <w:rPr>
                <w:rFonts w:ascii="宋体" w:hAnsi="宋体" w:eastAsia="宋体" w:cs="宋体"/>
                <w:sz w:val="20"/>
                <w:szCs w:val="20"/>
              </w:rPr>
            </w:pPr>
            <w:r>
              <w:rPr>
                <w:rFonts w:ascii="宋体" w:hAnsi="宋体" w:eastAsia="宋体" w:cs="宋体"/>
                <w:spacing w:val="-3"/>
                <w:sz w:val="20"/>
                <w:szCs w:val="20"/>
              </w:rPr>
              <w:t>工艺定型标</w:t>
            </w:r>
            <w:r>
              <w:rPr>
                <w:rFonts w:ascii="宋体" w:hAnsi="宋体" w:eastAsia="宋体" w:cs="宋体"/>
                <w:spacing w:val="3"/>
                <w:sz w:val="20"/>
                <w:szCs w:val="20"/>
              </w:rPr>
              <w:t xml:space="preserve"> 准化工作</w:t>
            </w:r>
          </w:p>
        </w:tc>
        <w:tc>
          <w:tcPr>
            <w:tcW w:w="6648" w:type="dxa"/>
            <w:vAlign w:val="top"/>
          </w:tcPr>
          <w:p w14:paraId="67ED48EC">
            <w:pPr>
              <w:spacing w:before="223" w:line="267" w:lineRule="auto"/>
              <w:ind w:left="382" w:right="305" w:hanging="259"/>
              <w:rPr>
                <w:rFonts w:ascii="宋体" w:hAnsi="宋体" w:eastAsia="宋体" w:cs="宋体"/>
                <w:sz w:val="20"/>
                <w:szCs w:val="20"/>
              </w:rPr>
            </w:pPr>
            <w:r>
              <w:rPr>
                <w:rFonts w:ascii="宋体" w:hAnsi="宋体" w:eastAsia="宋体" w:cs="宋体"/>
                <w:sz w:val="20"/>
                <w:szCs w:val="20"/>
              </w:rPr>
              <w:t>1.以工艺标准化综合要求为基础，进一步修改和补充，形成工艺标准化</w:t>
            </w:r>
            <w:r>
              <w:rPr>
                <w:rFonts w:ascii="宋体" w:hAnsi="宋体" w:eastAsia="宋体" w:cs="宋体"/>
                <w:spacing w:val="7"/>
                <w:sz w:val="20"/>
                <w:szCs w:val="20"/>
              </w:rPr>
              <w:t xml:space="preserve"> </w:t>
            </w:r>
            <w:r>
              <w:rPr>
                <w:rFonts w:ascii="宋体" w:hAnsi="宋体" w:eastAsia="宋体" w:cs="宋体"/>
                <w:spacing w:val="-8"/>
                <w:sz w:val="20"/>
                <w:szCs w:val="20"/>
              </w:rPr>
              <w:t>大</w:t>
            </w:r>
            <w:r>
              <w:rPr>
                <w:rFonts w:ascii="宋体" w:hAnsi="宋体" w:eastAsia="宋体" w:cs="宋体"/>
                <w:spacing w:val="-9"/>
                <w:sz w:val="20"/>
                <w:szCs w:val="20"/>
              </w:rPr>
              <w:t xml:space="preserve"> </w:t>
            </w:r>
            <w:r>
              <w:rPr>
                <w:rFonts w:ascii="宋体" w:hAnsi="宋体" w:eastAsia="宋体" w:cs="宋体"/>
                <w:spacing w:val="-8"/>
                <w:sz w:val="20"/>
                <w:szCs w:val="20"/>
              </w:rPr>
              <w:t>纲</w:t>
            </w:r>
            <w:r>
              <w:rPr>
                <w:rFonts w:ascii="宋体" w:hAnsi="宋体" w:eastAsia="宋体" w:cs="宋体"/>
                <w:spacing w:val="-22"/>
                <w:sz w:val="20"/>
                <w:szCs w:val="20"/>
              </w:rPr>
              <w:t xml:space="preserve"> </w:t>
            </w:r>
            <w:r>
              <w:rPr>
                <w:rFonts w:ascii="宋体" w:hAnsi="宋体" w:eastAsia="宋体" w:cs="宋体"/>
                <w:spacing w:val="-8"/>
                <w:sz w:val="20"/>
                <w:szCs w:val="20"/>
              </w:rPr>
              <w:t>；</w:t>
            </w:r>
          </w:p>
          <w:p w14:paraId="7A71C3CD">
            <w:pPr>
              <w:spacing w:before="121" w:line="219" w:lineRule="auto"/>
              <w:ind w:left="103"/>
              <w:rPr>
                <w:rFonts w:ascii="宋体" w:hAnsi="宋体" w:eastAsia="宋体" w:cs="宋体"/>
                <w:sz w:val="20"/>
                <w:szCs w:val="20"/>
              </w:rPr>
            </w:pPr>
            <w:r>
              <w:rPr>
                <w:rFonts w:ascii="宋体" w:hAnsi="宋体" w:eastAsia="宋体" w:cs="宋体"/>
                <w:spacing w:val="2"/>
                <w:sz w:val="20"/>
                <w:szCs w:val="20"/>
              </w:rPr>
              <w:t>2.修订工艺、工装标准选用范围(目录);</w:t>
            </w:r>
          </w:p>
          <w:p w14:paraId="403C8C22">
            <w:pPr>
              <w:spacing w:before="93" w:line="220" w:lineRule="auto"/>
              <w:ind w:left="103"/>
              <w:rPr>
                <w:rFonts w:ascii="宋体" w:hAnsi="宋体" w:eastAsia="宋体" w:cs="宋体"/>
                <w:sz w:val="20"/>
                <w:szCs w:val="20"/>
              </w:rPr>
            </w:pPr>
            <w:r>
              <w:rPr>
                <w:rFonts w:ascii="宋体" w:hAnsi="宋体" w:eastAsia="宋体" w:cs="宋体"/>
                <w:spacing w:val="4"/>
                <w:sz w:val="20"/>
                <w:szCs w:val="20"/>
              </w:rPr>
              <w:t>3.提出工艺定型标准化方案和相关标准化要求；</w:t>
            </w:r>
          </w:p>
          <w:p w14:paraId="24F7C6DC">
            <w:pPr>
              <w:spacing w:before="121" w:line="219" w:lineRule="auto"/>
              <w:ind w:left="103"/>
              <w:rPr>
                <w:rFonts w:ascii="宋体" w:hAnsi="宋体" w:eastAsia="宋体" w:cs="宋体"/>
                <w:sz w:val="20"/>
                <w:szCs w:val="20"/>
              </w:rPr>
            </w:pPr>
            <w:r>
              <w:rPr>
                <w:rFonts w:ascii="宋体" w:hAnsi="宋体" w:eastAsia="宋体" w:cs="宋体"/>
                <w:spacing w:val="4"/>
                <w:sz w:val="20"/>
                <w:szCs w:val="20"/>
              </w:rPr>
              <w:t>4.对定型工艺文件和工装设计文件进行标准化检查；</w:t>
            </w:r>
          </w:p>
          <w:p w14:paraId="28D33A96">
            <w:pPr>
              <w:spacing w:before="103" w:line="220" w:lineRule="auto"/>
              <w:ind w:left="103"/>
              <w:rPr>
                <w:rFonts w:ascii="宋体" w:hAnsi="宋体" w:eastAsia="宋体" w:cs="宋体"/>
                <w:sz w:val="20"/>
                <w:szCs w:val="20"/>
              </w:rPr>
            </w:pPr>
            <w:r>
              <w:rPr>
                <w:rFonts w:ascii="宋体" w:hAnsi="宋体" w:eastAsia="宋体" w:cs="宋体"/>
                <w:spacing w:val="5"/>
                <w:sz w:val="20"/>
                <w:szCs w:val="20"/>
              </w:rPr>
              <w:t>5.继续开展工装“三化”设计工作；</w:t>
            </w:r>
          </w:p>
          <w:p w14:paraId="131CD51F">
            <w:pPr>
              <w:spacing w:before="91" w:line="220" w:lineRule="auto"/>
              <w:ind w:left="103"/>
              <w:rPr>
                <w:rFonts w:ascii="宋体" w:hAnsi="宋体" w:eastAsia="宋体" w:cs="宋体"/>
                <w:sz w:val="20"/>
                <w:szCs w:val="20"/>
              </w:rPr>
            </w:pPr>
            <w:r>
              <w:rPr>
                <w:rFonts w:ascii="宋体" w:hAnsi="宋体" w:eastAsia="宋体" w:cs="宋体"/>
                <w:spacing w:val="4"/>
                <w:sz w:val="20"/>
                <w:szCs w:val="20"/>
              </w:rPr>
              <w:t>6.协调和处理工艺定型出现的标准化问题；</w:t>
            </w:r>
          </w:p>
          <w:p w14:paraId="7E2C9C51">
            <w:pPr>
              <w:spacing w:before="111" w:line="265" w:lineRule="auto"/>
              <w:ind w:left="382" w:right="306" w:hanging="269"/>
              <w:rPr>
                <w:rFonts w:ascii="宋体" w:hAnsi="宋体" w:eastAsia="宋体" w:cs="宋体"/>
                <w:sz w:val="20"/>
                <w:szCs w:val="20"/>
              </w:rPr>
            </w:pPr>
            <w:r>
              <w:rPr>
                <w:rFonts w:ascii="宋体" w:hAnsi="宋体" w:eastAsia="宋体" w:cs="宋体"/>
                <w:sz w:val="20"/>
                <w:szCs w:val="20"/>
              </w:rPr>
              <w:t>7.全面检查工艺、工装标准的实施情况，编制生产(工艺)定型标准化审</w:t>
            </w:r>
            <w:r>
              <w:rPr>
                <w:rFonts w:ascii="宋体" w:hAnsi="宋体" w:eastAsia="宋体" w:cs="宋体"/>
                <w:spacing w:val="16"/>
                <w:sz w:val="20"/>
                <w:szCs w:val="20"/>
              </w:rPr>
              <w:t xml:space="preserve"> </w:t>
            </w:r>
            <w:r>
              <w:rPr>
                <w:rFonts w:ascii="宋体" w:hAnsi="宋体" w:eastAsia="宋体" w:cs="宋体"/>
                <w:spacing w:val="23"/>
                <w:sz w:val="20"/>
                <w:szCs w:val="20"/>
              </w:rPr>
              <w:t>查报告</w:t>
            </w:r>
            <w:r>
              <w:rPr>
                <w:rFonts w:ascii="宋体" w:hAnsi="宋体" w:eastAsia="宋体" w:cs="宋体"/>
                <w:spacing w:val="-47"/>
                <w:sz w:val="20"/>
                <w:szCs w:val="20"/>
              </w:rPr>
              <w:t xml:space="preserve"> </w:t>
            </w:r>
            <w:r>
              <w:rPr>
                <w:rFonts w:ascii="宋体" w:hAnsi="宋体" w:eastAsia="宋体" w:cs="宋体"/>
                <w:spacing w:val="23"/>
                <w:sz w:val="20"/>
                <w:szCs w:val="20"/>
              </w:rPr>
              <w:t>；</w:t>
            </w:r>
          </w:p>
          <w:p w14:paraId="45DC2427">
            <w:pPr>
              <w:spacing w:before="96" w:line="219" w:lineRule="auto"/>
              <w:ind w:left="103"/>
              <w:rPr>
                <w:rFonts w:ascii="宋体" w:hAnsi="宋体" w:eastAsia="宋体" w:cs="宋体"/>
                <w:sz w:val="20"/>
                <w:szCs w:val="20"/>
              </w:rPr>
            </w:pPr>
            <w:r>
              <w:rPr>
                <w:rFonts w:ascii="宋体" w:hAnsi="宋体" w:eastAsia="宋体" w:cs="宋体"/>
                <w:sz w:val="20"/>
                <w:szCs w:val="20"/>
              </w:rPr>
              <w:t>8.总结生产(工艺)定型标准化工作并做好阶段评审</w:t>
            </w:r>
          </w:p>
        </w:tc>
      </w:tr>
    </w:tbl>
    <w:p w14:paraId="48F842C4">
      <w:pPr>
        <w:spacing w:line="461" w:lineRule="auto"/>
        <w:rPr>
          <w:rFonts w:ascii="Arial"/>
          <w:sz w:val="21"/>
        </w:rPr>
      </w:pPr>
    </w:p>
    <w:p w14:paraId="42FCE47F">
      <w:pPr>
        <w:pStyle w:val="2"/>
        <w:spacing w:before="117" w:line="218" w:lineRule="auto"/>
        <w:ind w:left="2589"/>
        <w:outlineLvl w:val="1"/>
        <w:rPr>
          <w:sz w:val="36"/>
          <w:szCs w:val="36"/>
        </w:rPr>
      </w:pPr>
      <w:r>
        <w:rPr>
          <w:rFonts w:ascii="Times New Roman" w:hAnsi="Times New Roman" w:eastAsia="Times New Roman" w:cs="Times New Roman"/>
          <w:b/>
          <w:bCs/>
          <w:spacing w:val="2"/>
          <w:sz w:val="36"/>
          <w:szCs w:val="36"/>
        </w:rPr>
        <w:t xml:space="preserve">4.5     </w:t>
      </w:r>
      <w:r>
        <w:rPr>
          <w:b/>
          <w:bCs/>
          <w:spacing w:val="2"/>
          <w:sz w:val="36"/>
          <w:szCs w:val="36"/>
        </w:rPr>
        <w:t>工艺标准化工作报告</w:t>
      </w:r>
    </w:p>
    <w:p w14:paraId="7F078C6F">
      <w:pPr>
        <w:spacing w:line="382" w:lineRule="auto"/>
        <w:rPr>
          <w:rFonts w:ascii="Arial"/>
          <w:sz w:val="21"/>
        </w:rPr>
      </w:pPr>
    </w:p>
    <w:p w14:paraId="3E610C0D">
      <w:pPr>
        <w:pStyle w:val="2"/>
        <w:spacing w:before="78" w:line="223" w:lineRule="auto"/>
        <w:ind w:left="550"/>
        <w:rPr>
          <w:rFonts w:ascii="楷体" w:hAnsi="楷体" w:eastAsia="楷体" w:cs="楷体"/>
          <w:sz w:val="24"/>
          <w:szCs w:val="24"/>
        </w:rPr>
      </w:pPr>
      <w:r>
        <w:rPr>
          <w:rFonts w:ascii="楷体" w:hAnsi="楷体" w:eastAsia="楷体" w:cs="楷体"/>
          <w:spacing w:val="6"/>
          <w:sz w:val="24"/>
          <w:szCs w:val="24"/>
        </w:rPr>
        <w:t>按</w:t>
      </w:r>
      <w:r>
        <w:rPr>
          <w:rFonts w:ascii="楷体" w:hAnsi="楷体" w:eastAsia="楷体" w:cs="楷体"/>
          <w:spacing w:val="-16"/>
          <w:sz w:val="24"/>
          <w:szCs w:val="24"/>
        </w:rPr>
        <w:t xml:space="preserve"> </w:t>
      </w:r>
      <w:r>
        <w:rPr>
          <w:rFonts w:ascii="楷体" w:hAnsi="楷体" w:eastAsia="楷体" w:cs="楷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/Z113—1998</w:t>
      </w:r>
      <w:r>
        <w:rPr>
          <w:spacing w:val="6"/>
          <w:sz w:val="24"/>
          <w:szCs w:val="24"/>
        </w:rPr>
        <w:t>《</w:t>
      </w:r>
      <w:r>
        <w:rPr>
          <w:spacing w:val="41"/>
          <w:sz w:val="24"/>
          <w:szCs w:val="24"/>
        </w:rPr>
        <w:t xml:space="preserve">  </w:t>
      </w:r>
      <w:r>
        <w:rPr>
          <w:rFonts w:ascii="楷体" w:hAnsi="楷体" w:eastAsia="楷体" w:cs="楷体"/>
          <w:spacing w:val="6"/>
          <w:sz w:val="24"/>
          <w:szCs w:val="24"/>
        </w:rPr>
        <w:t>标准化评审》编写。</w:t>
      </w:r>
    </w:p>
    <w:p w14:paraId="7B50DC90">
      <w:pPr>
        <w:spacing w:before="121" w:line="221" w:lineRule="auto"/>
        <w:rPr>
          <w:rFonts w:ascii="黑体" w:hAnsi="黑体" w:eastAsia="黑体" w:cs="黑体"/>
          <w:sz w:val="25"/>
          <w:szCs w:val="25"/>
        </w:rPr>
      </w:pPr>
      <w:r>
        <w:rPr>
          <w:rFonts w:ascii="黑体" w:hAnsi="黑体" w:eastAsia="黑体" w:cs="黑体"/>
          <w:spacing w:val="4"/>
          <w:sz w:val="25"/>
          <w:szCs w:val="25"/>
        </w:rPr>
        <w:t>1</w:t>
      </w:r>
      <w:r>
        <w:rPr>
          <w:rFonts w:ascii="黑体" w:hAnsi="黑体" w:eastAsia="黑体" w:cs="黑体"/>
          <w:spacing w:val="30"/>
          <w:sz w:val="25"/>
          <w:szCs w:val="25"/>
        </w:rPr>
        <w:t xml:space="preserve">  </w:t>
      </w:r>
      <w:r>
        <w:rPr>
          <w:rFonts w:ascii="黑体" w:hAnsi="黑体" w:eastAsia="黑体" w:cs="黑体"/>
          <w:b/>
          <w:bCs/>
          <w:spacing w:val="4"/>
          <w:sz w:val="25"/>
          <w:szCs w:val="25"/>
        </w:rPr>
        <w:t>概述</w:t>
      </w:r>
    </w:p>
    <w:p w14:paraId="50BB2DA8">
      <w:pPr>
        <w:pStyle w:val="2"/>
        <w:spacing w:before="117" w:line="269" w:lineRule="auto"/>
        <w:ind w:firstLine="550"/>
      </w:pPr>
      <w:r>
        <w:t>应概略描述产品的基本情况和工艺特点，说明工艺标准化工作目标和范围。</w:t>
      </w:r>
      <w:r>
        <w:rPr>
          <w:spacing w:val="13"/>
        </w:rPr>
        <w:t xml:space="preserve"> </w:t>
      </w:r>
      <w:r>
        <w:t>一般包括下列内容：</w:t>
      </w:r>
    </w:p>
    <w:p w14:paraId="3B7F9E77">
      <w:pPr>
        <w:pStyle w:val="2"/>
        <w:spacing w:before="23" w:line="262" w:lineRule="auto"/>
        <w:ind w:right="91" w:firstLine="550"/>
      </w:pPr>
      <w:r>
        <w:rPr>
          <w:rFonts w:ascii="Times New Roman" w:hAnsi="Times New Roman" w:eastAsia="Times New Roman" w:cs="Times New Roman"/>
          <w:spacing w:val="-4"/>
        </w:rPr>
        <w:t>a)</w:t>
      </w:r>
      <w:r>
        <w:rPr>
          <w:rFonts w:ascii="Times New Roman" w:hAnsi="Times New Roman" w:eastAsia="Times New Roman" w:cs="Times New Roman"/>
          <w:spacing w:val="63"/>
        </w:rPr>
        <w:t xml:space="preserve"> </w:t>
      </w:r>
      <w:r>
        <w:rPr>
          <w:spacing w:val="-4"/>
        </w:rPr>
        <w:t>任务来源和文件的编制依据，包括承研单位名</w:t>
      </w:r>
      <w:r>
        <w:rPr>
          <w:spacing w:val="-5"/>
        </w:rPr>
        <w:t>称、完成装备研制的时间要</w:t>
      </w:r>
      <w:r>
        <w:t xml:space="preserve"> </w:t>
      </w:r>
      <w:r>
        <w:rPr>
          <w:spacing w:val="-17"/>
        </w:rPr>
        <w:t>求、研制成果的形式(软件/硬件)、数量、工艺方案、设计定型标准化审查报告等；</w:t>
      </w:r>
    </w:p>
    <w:p w14:paraId="3DE225D7">
      <w:pPr>
        <w:pStyle w:val="2"/>
        <w:spacing w:before="63" w:line="212" w:lineRule="auto"/>
        <w:ind w:left="550"/>
      </w:pPr>
      <w:r>
        <w:rPr>
          <w:rFonts w:ascii="Times New Roman" w:hAnsi="Times New Roman" w:eastAsia="Times New Roman" w:cs="Times New Roman"/>
          <w:spacing w:val="-8"/>
        </w:rPr>
        <w:t>b)</w:t>
      </w:r>
      <w:r>
        <w:rPr>
          <w:rFonts w:ascii="Times New Roman" w:hAnsi="Times New Roman" w:eastAsia="Times New Roman" w:cs="Times New Roman"/>
          <w:spacing w:val="56"/>
        </w:rPr>
        <w:t xml:space="preserve"> </w:t>
      </w:r>
      <w:r>
        <w:rPr>
          <w:spacing w:val="-8"/>
        </w:rPr>
        <w:t>产品的概况，包括用途、构成和工艺特点等；</w:t>
      </w:r>
    </w:p>
    <w:p w14:paraId="66D05B4E">
      <w:pPr>
        <w:pStyle w:val="2"/>
        <w:spacing w:before="120" w:line="254" w:lineRule="auto"/>
        <w:ind w:right="114" w:firstLine="550"/>
      </w:pPr>
      <w:r>
        <w:rPr>
          <w:rFonts w:ascii="Times New Roman" w:hAnsi="Times New Roman" w:eastAsia="Times New Roman" w:cs="Times New Roman"/>
          <w:spacing w:val="-5"/>
        </w:rPr>
        <w:t>c)</w:t>
      </w:r>
      <w:r>
        <w:rPr>
          <w:rFonts w:ascii="Times New Roman" w:hAnsi="Times New Roman" w:eastAsia="Times New Roman" w:cs="Times New Roman"/>
          <w:spacing w:val="62"/>
        </w:rPr>
        <w:t xml:space="preserve"> </w:t>
      </w:r>
      <w:r>
        <w:rPr>
          <w:spacing w:val="-5"/>
        </w:rPr>
        <w:t>工艺、工装标准化目标和工作范围，应说明《工艺标准化大纲》中拟定的</w:t>
      </w:r>
      <w:r>
        <w:t xml:space="preserve"> </w:t>
      </w:r>
      <w:r>
        <w:rPr>
          <w:spacing w:val="2"/>
        </w:rPr>
        <w:t>标准化目标及提出的各项要求。</w:t>
      </w:r>
    </w:p>
    <w:p w14:paraId="6EF1786C">
      <w:pPr>
        <w:spacing w:before="100" w:line="219" w:lineRule="auto"/>
        <w:rPr>
          <w:rFonts w:ascii="黑体" w:hAnsi="黑体" w:eastAsia="黑体" w:cs="黑体"/>
          <w:sz w:val="27"/>
          <w:szCs w:val="27"/>
        </w:rPr>
      </w:pPr>
      <w:r>
        <w:rPr>
          <w:rFonts w:ascii="黑体" w:hAnsi="黑体" w:eastAsia="黑体" w:cs="黑体"/>
          <w:spacing w:val="-8"/>
          <w:sz w:val="27"/>
          <w:szCs w:val="27"/>
        </w:rPr>
        <w:t xml:space="preserve">2  </w:t>
      </w:r>
      <w:r>
        <w:rPr>
          <w:rFonts w:ascii="黑体" w:hAnsi="黑体" w:eastAsia="黑体" w:cs="黑体"/>
          <w:b/>
          <w:bCs/>
          <w:spacing w:val="-8"/>
          <w:sz w:val="27"/>
          <w:szCs w:val="27"/>
        </w:rPr>
        <w:t>执行《武器装备研制生产标准化工作规定</w:t>
      </w:r>
      <w:r>
        <w:rPr>
          <w:rFonts w:ascii="黑体" w:hAnsi="黑体" w:eastAsia="黑体" w:cs="黑体"/>
          <w:b/>
          <w:bCs/>
          <w:spacing w:val="-9"/>
          <w:sz w:val="27"/>
          <w:szCs w:val="27"/>
        </w:rPr>
        <w:t>》的情况</w:t>
      </w:r>
    </w:p>
    <w:p w14:paraId="703C90BF">
      <w:pPr>
        <w:pStyle w:val="2"/>
        <w:spacing w:before="92" w:line="279" w:lineRule="auto"/>
        <w:ind w:right="122" w:firstLine="550"/>
      </w:pPr>
      <w:r>
        <w:rPr>
          <w:spacing w:val="1"/>
        </w:rPr>
        <w:t>说明按照《武器装备研制生产标准化工作规定》,建立型号</w:t>
      </w:r>
      <w:r>
        <w:t xml:space="preserve">标准化工作系统 </w:t>
      </w:r>
      <w:r>
        <w:rPr>
          <w:spacing w:val="-10"/>
        </w:rPr>
        <w:t>情况；在型号研制各阶段，按系统、分系统、</w:t>
      </w:r>
      <w:r>
        <w:rPr>
          <w:spacing w:val="-11"/>
        </w:rPr>
        <w:t>设备组织开展工艺标准化工作情况。</w:t>
      </w:r>
    </w:p>
    <w:p w14:paraId="6AC1C8DF">
      <w:pPr>
        <w:pStyle w:val="2"/>
        <w:spacing w:line="220" w:lineRule="auto"/>
        <w:ind w:left="550"/>
      </w:pPr>
      <w:r>
        <w:rPr>
          <w:rFonts w:ascii="Times New Roman" w:hAnsi="Times New Roman" w:eastAsia="Times New Roman" w:cs="Times New Roman"/>
          <w:spacing w:val="11"/>
        </w:rPr>
        <w:t>a</w:t>
      </w:r>
      <w:r>
        <w:rPr>
          <w:spacing w:val="11"/>
        </w:rPr>
        <w:t>)标准体系建立和标准制定情况</w:t>
      </w:r>
    </w:p>
    <w:p w14:paraId="641D6511">
      <w:pPr>
        <w:pStyle w:val="2"/>
        <w:spacing w:before="8" w:line="219" w:lineRule="auto"/>
        <w:ind w:left="550"/>
      </w:pPr>
      <w:r>
        <w:rPr>
          <w:spacing w:val="5"/>
        </w:rPr>
        <w:t>应说明建立和完善工艺、工装标准体系的情况。并说明根据型号研制的情</w:t>
      </w:r>
    </w:p>
    <w:p w14:paraId="5E4BEB3D">
      <w:pPr>
        <w:spacing w:line="219" w:lineRule="auto"/>
        <w:sectPr>
          <w:footerReference r:id="rId314" w:type="default"/>
          <w:pgSz w:w="11910" w:h="17130"/>
          <w:pgMar w:top="1456" w:right="1355" w:bottom="1628" w:left="1079" w:header="0" w:footer="1385" w:gutter="0"/>
          <w:cols w:space="720" w:num="1"/>
        </w:sectPr>
      </w:pPr>
    </w:p>
    <w:p w14:paraId="4B031C12">
      <w:pPr>
        <w:pStyle w:val="2"/>
        <w:spacing w:before="54" w:line="219" w:lineRule="auto"/>
      </w:pPr>
      <w:r>
        <w:rPr>
          <w:spacing w:val="-5"/>
        </w:rPr>
        <w:t>况，对急需标准的转化、修订及制定情况等。可用列表的方式表述。</w:t>
      </w:r>
    </w:p>
    <w:p w14:paraId="3D5FDB01">
      <w:pPr>
        <w:pStyle w:val="2"/>
        <w:spacing w:before="39" w:line="212" w:lineRule="auto"/>
        <w:ind w:left="539"/>
      </w:pPr>
      <w:r>
        <w:rPr>
          <w:rFonts w:ascii="Times New Roman" w:hAnsi="Times New Roman" w:eastAsia="Times New Roman" w:cs="Times New Roman"/>
          <w:spacing w:val="-10"/>
        </w:rPr>
        <w:t xml:space="preserve">b)  </w:t>
      </w:r>
      <w:r>
        <w:rPr>
          <w:spacing w:val="-10"/>
        </w:rPr>
        <w:t>工装的“三化”要求实现过程</w:t>
      </w:r>
    </w:p>
    <w:p w14:paraId="5FF83F1A">
      <w:pPr>
        <w:pStyle w:val="2"/>
        <w:spacing w:before="123" w:line="275" w:lineRule="auto"/>
        <w:ind w:right="114" w:firstLine="539"/>
      </w:pPr>
      <w:r>
        <w:rPr>
          <w:spacing w:val="4"/>
        </w:rPr>
        <w:t>参见</w:t>
      </w:r>
      <w:r>
        <w:rPr>
          <w:rFonts w:ascii="Times New Roman" w:hAnsi="Times New Roman" w:eastAsia="Times New Roman" w:cs="Times New Roman"/>
        </w:rPr>
        <w:t>GJB</w:t>
      </w:r>
      <w:r>
        <w:rPr>
          <w:rFonts w:ascii="Times New Roman" w:hAnsi="Times New Roman" w:eastAsia="Times New Roman" w:cs="Times New Roman"/>
          <w:spacing w:val="4"/>
        </w:rPr>
        <w:t>/Z    106A,</w:t>
      </w:r>
      <w:r>
        <w:rPr>
          <w:spacing w:val="4"/>
        </w:rPr>
        <w:t>应根据产品生产的特点，结合单位的实际情况，提</w:t>
      </w:r>
      <w:r>
        <w:rPr>
          <w:spacing w:val="3"/>
        </w:rPr>
        <w:t>出具</w:t>
      </w:r>
      <w:r>
        <w:t xml:space="preserve"> </w:t>
      </w:r>
      <w:r>
        <w:rPr>
          <w:spacing w:val="-3"/>
        </w:rPr>
        <w:t>体的工装“三化”要求。工作报告中应说明如何将具体实施方案落实到工装设计</w:t>
      </w:r>
      <w:r>
        <w:rPr>
          <w:spacing w:val="15"/>
        </w:rPr>
        <w:t xml:space="preserve"> </w:t>
      </w:r>
      <w:r>
        <w:rPr>
          <w:spacing w:val="-17"/>
        </w:rPr>
        <w:t>图样中，在设计定型后对工装“三化”工作采取的改进措施，进行的“三化”检查和</w:t>
      </w:r>
      <w:r>
        <w:rPr>
          <w:spacing w:val="8"/>
        </w:rPr>
        <w:t xml:space="preserve"> </w:t>
      </w:r>
      <w:r>
        <w:rPr>
          <w:spacing w:val="-3"/>
        </w:rPr>
        <w:t>评审，督促“三化”设计试验验证开展的相关工作等。可举典型事例重点说明遇</w:t>
      </w:r>
      <w:r>
        <w:rPr>
          <w:spacing w:val="14"/>
        </w:rPr>
        <w:t xml:space="preserve"> </w:t>
      </w:r>
      <w:r>
        <w:rPr>
          <w:spacing w:val="-7"/>
        </w:rPr>
        <w:t>到的主要问题、采取的解决措施、协调处理的过程等。</w:t>
      </w:r>
    </w:p>
    <w:p w14:paraId="208B5128">
      <w:pPr>
        <w:pStyle w:val="2"/>
        <w:spacing w:before="5" w:line="212" w:lineRule="auto"/>
        <w:ind w:left="539"/>
      </w:pPr>
      <w:r>
        <w:rPr>
          <w:rFonts w:ascii="Times New Roman" w:hAnsi="Times New Roman" w:eastAsia="Times New Roman" w:cs="Times New Roman"/>
          <w:spacing w:val="4"/>
        </w:rPr>
        <w:t xml:space="preserve">c)  </w:t>
      </w:r>
      <w:r>
        <w:rPr>
          <w:spacing w:val="4"/>
        </w:rPr>
        <w:t>编制工艺文件和工装设计文件的情况</w:t>
      </w:r>
    </w:p>
    <w:p w14:paraId="6A73709C">
      <w:pPr>
        <w:pStyle w:val="2"/>
        <w:spacing w:before="109" w:line="269" w:lineRule="auto"/>
        <w:ind w:firstLine="539"/>
      </w:pPr>
      <w:r>
        <w:rPr>
          <w:spacing w:val="6"/>
        </w:rPr>
        <w:t>应说明编制工艺文件和工装设计文件的情况，</w:t>
      </w:r>
      <w:r>
        <w:rPr>
          <w:spacing w:val="5"/>
        </w:rPr>
        <w:t>包括对工艺文件和工装设计</w:t>
      </w:r>
      <w:r>
        <w:t xml:space="preserve">  </w:t>
      </w:r>
      <w:r>
        <w:rPr>
          <w:spacing w:val="1"/>
        </w:rPr>
        <w:t>文件的需求分析情况、对现有文件的直接采用情况及编制的新标准化文件情况。</w:t>
      </w:r>
      <w:r>
        <w:t xml:space="preserve"> </w:t>
      </w:r>
      <w:r>
        <w:rPr>
          <w:spacing w:val="3"/>
        </w:rPr>
        <w:t>可以列表的方式附在工作报告后。</w:t>
      </w:r>
    </w:p>
    <w:p w14:paraId="38FF7287">
      <w:pPr>
        <w:pStyle w:val="2"/>
        <w:spacing w:line="212" w:lineRule="auto"/>
        <w:ind w:left="539"/>
      </w:pPr>
      <w:r>
        <w:rPr>
          <w:rFonts w:ascii="Times New Roman" w:hAnsi="Times New Roman" w:eastAsia="Times New Roman" w:cs="Times New Roman"/>
          <w:spacing w:val="6"/>
        </w:rPr>
        <w:t xml:space="preserve">d)  </w:t>
      </w:r>
      <w:r>
        <w:rPr>
          <w:spacing w:val="6"/>
        </w:rPr>
        <w:t>标准化评审工作情况</w:t>
      </w:r>
    </w:p>
    <w:p w14:paraId="75C990D4">
      <w:pPr>
        <w:pStyle w:val="2"/>
        <w:spacing w:before="133" w:line="280" w:lineRule="auto"/>
        <w:ind w:right="121" w:firstLine="539"/>
      </w:pPr>
      <w:r>
        <w:rPr>
          <w:spacing w:val="2"/>
        </w:rPr>
        <w:t>根据</w:t>
      </w:r>
      <w:r>
        <w:rPr>
          <w:rFonts w:ascii="Times New Roman" w:hAnsi="Times New Roman" w:eastAsia="Times New Roman" w:cs="Times New Roman"/>
        </w:rPr>
        <w:t>GJB</w:t>
      </w:r>
      <w:r>
        <w:rPr>
          <w:rFonts w:ascii="Times New Roman" w:hAnsi="Times New Roman" w:eastAsia="Times New Roman" w:cs="Times New Roman"/>
          <w:spacing w:val="2"/>
        </w:rPr>
        <w:t>/Z    113,</w:t>
      </w:r>
      <w:r>
        <w:rPr>
          <w:spacing w:val="2"/>
        </w:rPr>
        <w:t>应说明在产品生产过程中，生产单位标准化人</w:t>
      </w:r>
      <w:r>
        <w:rPr>
          <w:spacing w:val="1"/>
        </w:rPr>
        <w:t>员开展标准</w:t>
      </w:r>
      <w:r>
        <w:t xml:space="preserve"> </w:t>
      </w:r>
      <w:r>
        <w:rPr>
          <w:spacing w:val="-3"/>
        </w:rPr>
        <w:t>化评审工作的总体情况。例如评审次数、评审内容、评审效果、评审后遗留问题</w:t>
      </w:r>
      <w:r>
        <w:rPr>
          <w:spacing w:val="17"/>
        </w:rPr>
        <w:t xml:space="preserve"> </w:t>
      </w:r>
      <w:r>
        <w:rPr>
          <w:spacing w:val="-1"/>
        </w:rPr>
        <w:t>的处理等。</w:t>
      </w:r>
    </w:p>
    <w:p w14:paraId="7CB3E523">
      <w:pPr>
        <w:spacing w:before="3" w:line="222" w:lineRule="auto"/>
        <w:ind w:left="3"/>
        <w:rPr>
          <w:rFonts w:ascii="黑体" w:hAnsi="黑体" w:eastAsia="黑体" w:cs="黑体"/>
          <w:sz w:val="27"/>
          <w:szCs w:val="27"/>
        </w:rPr>
      </w:pPr>
      <w:r>
        <w:rPr>
          <w:rFonts w:ascii="黑体" w:hAnsi="黑体" w:eastAsia="黑体" w:cs="黑体"/>
          <w:b/>
          <w:bCs/>
          <w:spacing w:val="3"/>
          <w:sz w:val="27"/>
          <w:szCs w:val="27"/>
        </w:rPr>
        <w:t>3《工艺标准化大纲》的基本情况或实施情况</w:t>
      </w:r>
    </w:p>
    <w:p w14:paraId="70655833">
      <w:pPr>
        <w:pStyle w:val="2"/>
        <w:spacing w:before="100" w:line="275" w:lineRule="auto"/>
        <w:ind w:firstLine="539"/>
        <w:jc w:val="both"/>
      </w:pPr>
      <w:r>
        <w:rPr>
          <w:spacing w:val="-3"/>
        </w:rPr>
        <w:t>说明对《工艺标准化大纲》的编制情况。可以从是否符合</w:t>
      </w:r>
      <w:r>
        <w:rPr>
          <w:rFonts w:ascii="Times New Roman" w:hAnsi="Times New Roman" w:eastAsia="Times New Roman" w:cs="Times New Roman"/>
          <w:spacing w:val="-3"/>
        </w:rPr>
        <w:t>GJB/Z</w:t>
      </w:r>
      <w:r>
        <w:rPr>
          <w:rFonts w:ascii="Times New Roman" w:hAnsi="Times New Roman" w:eastAsia="Times New Roman" w:cs="Times New Roman"/>
          <w:spacing w:val="20"/>
          <w:w w:val="101"/>
        </w:rPr>
        <w:t xml:space="preserve">   </w:t>
      </w:r>
      <w:r>
        <w:rPr>
          <w:rFonts w:ascii="Times New Roman" w:hAnsi="Times New Roman" w:eastAsia="Times New Roman" w:cs="Times New Roman"/>
          <w:spacing w:val="-3"/>
        </w:rPr>
        <w:t xml:space="preserve">106A </w:t>
      </w:r>
      <w:r>
        <w:rPr>
          <w:spacing w:val="-3"/>
        </w:rPr>
        <w:t>及相</w:t>
      </w:r>
      <w:r>
        <w:t xml:space="preserve"> </w:t>
      </w:r>
      <w:r>
        <w:rPr>
          <w:spacing w:val="-3"/>
        </w:rPr>
        <w:t>关法规的要求，能否满足“研制总要求(研制任务书或技术协议书)”中规定的标</w:t>
      </w:r>
      <w:r>
        <w:rPr>
          <w:spacing w:val="8"/>
        </w:rPr>
        <w:t xml:space="preserve">  </w:t>
      </w:r>
      <w:r>
        <w:rPr>
          <w:spacing w:val="1"/>
        </w:rPr>
        <w:t>准化目标和要求，是否正确规划和指导了研制中工艺制造工作等方面进行说明。</w:t>
      </w:r>
    </w:p>
    <w:p w14:paraId="743F9986">
      <w:pPr>
        <w:pStyle w:val="2"/>
        <w:spacing w:before="7" w:line="212" w:lineRule="auto"/>
        <w:ind w:left="539"/>
      </w:pPr>
      <w:r>
        <w:t>参见</w:t>
      </w:r>
      <w:r>
        <w:rPr>
          <w:rFonts w:ascii="Times New Roman" w:hAnsi="Times New Roman" w:eastAsia="Times New Roman" w:cs="Times New Roman"/>
        </w:rPr>
        <w:t>GJB/Z    106A,</w:t>
      </w:r>
      <w:r>
        <w:t>应说明对各项实施标准要求的实现过程，主要包括：</w:t>
      </w:r>
    </w:p>
    <w:p w14:paraId="2E8CFF61">
      <w:pPr>
        <w:pStyle w:val="2"/>
        <w:spacing w:before="87" w:line="250" w:lineRule="auto"/>
        <w:ind w:right="122" w:firstLine="539"/>
      </w:pPr>
      <w:r>
        <w:rPr>
          <w:rFonts w:ascii="Times New Roman" w:hAnsi="Times New Roman" w:eastAsia="Times New Roman" w:cs="Times New Roman"/>
          <w:spacing w:val="3"/>
        </w:rPr>
        <w:t xml:space="preserve">a)  </w:t>
      </w:r>
      <w:r>
        <w:rPr>
          <w:spacing w:val="3"/>
        </w:rPr>
        <w:t>编制工艺、工装标准选用范围的原则和要求、开展的主要工作以及实施</w:t>
      </w:r>
      <w:r>
        <w:rPr>
          <w:spacing w:val="2"/>
        </w:rPr>
        <w:t xml:space="preserve"> </w:t>
      </w:r>
      <w:r>
        <w:rPr>
          <w:spacing w:val="1"/>
        </w:rPr>
        <w:t>动态管理的过程；</w:t>
      </w:r>
    </w:p>
    <w:p w14:paraId="63F68282">
      <w:pPr>
        <w:pStyle w:val="2"/>
        <w:spacing w:before="79" w:line="212" w:lineRule="auto"/>
        <w:ind w:left="539"/>
      </w:pPr>
      <w:r>
        <w:rPr>
          <w:rFonts w:ascii="Times New Roman" w:hAnsi="Times New Roman" w:eastAsia="Times New Roman" w:cs="Times New Roman"/>
          <w:spacing w:val="-9"/>
        </w:rPr>
        <w:t xml:space="preserve">b)  </w:t>
      </w:r>
      <w:r>
        <w:rPr>
          <w:spacing w:val="-9"/>
        </w:rPr>
        <w:t>标准件、元器件、原材料的选用情况；</w:t>
      </w:r>
    </w:p>
    <w:p w14:paraId="76CBABC2">
      <w:pPr>
        <w:pStyle w:val="2"/>
        <w:spacing w:before="79" w:line="263" w:lineRule="auto"/>
        <w:ind w:right="116" w:firstLine="539"/>
      </w:pPr>
      <w:r>
        <w:rPr>
          <w:rFonts w:ascii="Times New Roman" w:hAnsi="Times New Roman" w:eastAsia="Times New Roman" w:cs="Times New Roman"/>
          <w:spacing w:val="-5"/>
        </w:rPr>
        <w:t>c)</w:t>
      </w:r>
      <w:r>
        <w:rPr>
          <w:rFonts w:ascii="Times New Roman" w:hAnsi="Times New Roman" w:eastAsia="Times New Roman" w:cs="Times New Roman"/>
          <w:spacing w:val="80"/>
        </w:rPr>
        <w:t xml:space="preserve"> </w:t>
      </w:r>
      <w:r>
        <w:rPr>
          <w:spacing w:val="-5"/>
        </w:rPr>
        <w:t>实施工艺、工装标准总体情况，开展的宣贯、培训工作，实施过程中遇到</w:t>
      </w:r>
      <w:r>
        <w:t xml:space="preserve"> </w:t>
      </w:r>
      <w:r>
        <w:rPr>
          <w:spacing w:val="-8"/>
        </w:rPr>
        <w:t>的主要问题、采取的解决措施、协调处理的过程等；</w:t>
      </w:r>
    </w:p>
    <w:p w14:paraId="2945B7E8">
      <w:pPr>
        <w:pStyle w:val="2"/>
        <w:spacing w:before="71" w:line="212" w:lineRule="auto"/>
        <w:ind w:left="539"/>
      </w:pPr>
      <w:r>
        <w:rPr>
          <w:rFonts w:ascii="Times New Roman" w:hAnsi="Times New Roman" w:eastAsia="Times New Roman" w:cs="Times New Roman"/>
          <w:spacing w:val="-4"/>
        </w:rPr>
        <w:t xml:space="preserve">d)  </w:t>
      </w:r>
      <w:r>
        <w:rPr>
          <w:spacing w:val="-4"/>
        </w:rPr>
        <w:t>采用国际标准和国外先进标准情况，包括采用的数量、剪裁情况等；</w:t>
      </w:r>
    </w:p>
    <w:p w14:paraId="0C141D03">
      <w:pPr>
        <w:pStyle w:val="2"/>
        <w:spacing w:before="100" w:line="212" w:lineRule="auto"/>
        <w:ind w:left="539"/>
      </w:pPr>
      <w:r>
        <w:rPr>
          <w:rFonts w:ascii="Times New Roman" w:hAnsi="Times New Roman" w:eastAsia="Times New Roman" w:cs="Times New Roman"/>
          <w:spacing w:val="3"/>
        </w:rPr>
        <w:t xml:space="preserve">e)  </w:t>
      </w:r>
      <w:r>
        <w:rPr>
          <w:spacing w:val="3"/>
        </w:rPr>
        <w:t>引进产品工艺标准的国产化情况；</w:t>
      </w:r>
    </w:p>
    <w:p w14:paraId="0E770418">
      <w:pPr>
        <w:pStyle w:val="2"/>
        <w:spacing w:before="90" w:line="212" w:lineRule="auto"/>
        <w:ind w:left="539"/>
      </w:pPr>
      <w:r>
        <w:rPr>
          <w:rFonts w:ascii="Times New Roman" w:hAnsi="Times New Roman" w:eastAsia="Times New Roman" w:cs="Times New Roman"/>
          <w:spacing w:val="-2"/>
        </w:rPr>
        <w:t xml:space="preserve">f)  </w:t>
      </w:r>
      <w:r>
        <w:rPr>
          <w:spacing w:val="-2"/>
        </w:rPr>
        <w:t>生产过程质量保证、质量监督的标准化情况；</w:t>
      </w:r>
    </w:p>
    <w:p w14:paraId="6B90C131">
      <w:pPr>
        <w:pStyle w:val="2"/>
        <w:spacing w:before="90" w:line="212" w:lineRule="auto"/>
        <w:ind w:left="539"/>
      </w:pPr>
      <w:r>
        <w:rPr>
          <w:rFonts w:ascii="Times New Roman" w:hAnsi="Times New Roman" w:eastAsia="Times New Roman" w:cs="Times New Roman"/>
        </w:rPr>
        <w:t>g</w:t>
      </w:r>
      <w:r>
        <w:t>)计量、测试的标准化情况。</w:t>
      </w:r>
    </w:p>
    <w:p w14:paraId="3FA6706B">
      <w:pPr>
        <w:pStyle w:val="2"/>
        <w:spacing w:before="119" w:line="219" w:lineRule="auto"/>
        <w:ind w:left="539"/>
      </w:pPr>
      <w:r>
        <w:rPr>
          <w:spacing w:val="2"/>
        </w:rPr>
        <w:t>可举典型事例重点说明。</w:t>
      </w:r>
    </w:p>
    <w:p w14:paraId="12C68215">
      <w:pPr>
        <w:spacing w:before="108" w:line="221" w:lineRule="auto"/>
        <w:rPr>
          <w:rFonts w:ascii="黑体" w:hAnsi="黑体" w:eastAsia="黑体" w:cs="黑体"/>
          <w:sz w:val="24"/>
          <w:szCs w:val="24"/>
        </w:rPr>
      </w:pPr>
      <w:r>
        <w:rPr>
          <w:rFonts w:ascii="黑体" w:hAnsi="黑体" w:eastAsia="黑体" w:cs="黑体"/>
          <w:spacing w:val="32"/>
          <w:sz w:val="24"/>
          <w:szCs w:val="24"/>
        </w:rPr>
        <w:t>4</w:t>
      </w:r>
      <w:r>
        <w:rPr>
          <w:rFonts w:ascii="黑体" w:hAnsi="黑体" w:eastAsia="黑体" w:cs="黑体"/>
          <w:spacing w:val="33"/>
          <w:sz w:val="24"/>
          <w:szCs w:val="24"/>
        </w:rPr>
        <w:t xml:space="preserve">  </w:t>
      </w:r>
      <w:r>
        <w:rPr>
          <w:rFonts w:ascii="黑体" w:hAnsi="黑体" w:eastAsia="黑体" w:cs="黑体"/>
          <w:spacing w:val="32"/>
          <w:sz w:val="24"/>
          <w:szCs w:val="24"/>
        </w:rPr>
        <w:t>取得的成绩和效益分析</w:t>
      </w:r>
    </w:p>
    <w:p w14:paraId="7834F11F">
      <w:pPr>
        <w:pStyle w:val="2"/>
        <w:spacing w:before="136" w:line="280" w:lineRule="auto"/>
        <w:ind w:right="122" w:firstLine="539"/>
      </w:pPr>
      <w:r>
        <w:rPr>
          <w:spacing w:val="-3"/>
        </w:rPr>
        <w:t>综述工艺、工装达到工艺标准化大纲中提出的标准化要求的符合程度，给出</w:t>
      </w:r>
      <w:r>
        <w:rPr>
          <w:spacing w:val="10"/>
        </w:rPr>
        <w:t xml:space="preserve"> </w:t>
      </w:r>
      <w:r>
        <w:rPr>
          <w:spacing w:val="1"/>
        </w:rPr>
        <w:t>工艺标准化系数，并对采用了标准化技术所带来的经</w:t>
      </w:r>
      <w:r>
        <w:t>济效益进行分析和预测。</w:t>
      </w:r>
    </w:p>
    <w:p w14:paraId="72B8B3A5">
      <w:pPr>
        <w:pStyle w:val="2"/>
        <w:spacing w:before="1" w:line="218" w:lineRule="auto"/>
        <w:ind w:left="539"/>
      </w:pPr>
      <w:r>
        <w:rPr>
          <w:spacing w:val="3"/>
        </w:rPr>
        <w:t>可从以下几个方面说明工艺标准化工作的效益：</w:t>
      </w:r>
    </w:p>
    <w:p w14:paraId="49E1317B">
      <w:pPr>
        <w:spacing w:line="218" w:lineRule="auto"/>
        <w:sectPr>
          <w:footerReference r:id="rId315" w:type="default"/>
          <w:pgSz w:w="11910" w:h="17130"/>
          <w:pgMar w:top="1416" w:right="914" w:bottom="1697" w:left="1509" w:header="0" w:footer="1481" w:gutter="0"/>
          <w:cols w:space="720" w:num="1"/>
        </w:sectPr>
      </w:pPr>
    </w:p>
    <w:p w14:paraId="38B87F1C">
      <w:pPr>
        <w:pStyle w:val="2"/>
        <w:spacing w:before="58" w:line="212" w:lineRule="auto"/>
        <w:ind w:left="560"/>
      </w:pPr>
      <w:r>
        <w:rPr>
          <w:rFonts w:ascii="Times New Roman" w:hAnsi="Times New Roman" w:eastAsia="Times New Roman" w:cs="Times New Roman"/>
          <w:spacing w:val="-8"/>
        </w:rPr>
        <w:t>a)</w:t>
      </w:r>
      <w:r>
        <w:rPr>
          <w:rFonts w:ascii="Times New Roman" w:hAnsi="Times New Roman" w:eastAsia="Times New Roman" w:cs="Times New Roman"/>
          <w:spacing w:val="63"/>
        </w:rPr>
        <w:t xml:space="preserve"> </w:t>
      </w:r>
      <w:r>
        <w:rPr>
          <w:spacing w:val="-8"/>
        </w:rPr>
        <w:t>采用的标准件、元器件、原材料合理简化产品品种、规格的数量；</w:t>
      </w:r>
    </w:p>
    <w:p w14:paraId="2E403E9F">
      <w:pPr>
        <w:pStyle w:val="2"/>
        <w:spacing w:before="109" w:line="212" w:lineRule="auto"/>
        <w:ind w:left="560"/>
      </w:pPr>
      <w:r>
        <w:rPr>
          <w:rFonts w:ascii="Times New Roman" w:hAnsi="Times New Roman" w:eastAsia="Times New Roman" w:cs="Times New Roman"/>
          <w:spacing w:val="-11"/>
        </w:rPr>
        <w:t xml:space="preserve">b)  </w:t>
      </w:r>
      <w:r>
        <w:rPr>
          <w:spacing w:val="-11"/>
        </w:rPr>
        <w:t>工装“三化”设计的程度和效果，对加工效率的影响；</w:t>
      </w:r>
    </w:p>
    <w:p w14:paraId="344BC7EB">
      <w:pPr>
        <w:pStyle w:val="2"/>
        <w:spacing w:before="100"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6"/>
          <w:w w:val="101"/>
        </w:rPr>
        <w:t xml:space="preserve"> </w:t>
      </w:r>
      <w:r>
        <w:rPr>
          <w:spacing w:val="3"/>
        </w:rPr>
        <w:t>标准化工作对降低生产成本所做的贡献；</w:t>
      </w:r>
    </w:p>
    <w:p w14:paraId="73E5456B">
      <w:pPr>
        <w:pStyle w:val="2"/>
        <w:spacing w:before="99" w:line="212" w:lineRule="auto"/>
        <w:ind w:left="560"/>
      </w:pPr>
      <w:r>
        <w:rPr>
          <w:rFonts w:ascii="Times New Roman" w:hAnsi="Times New Roman" w:eastAsia="Times New Roman" w:cs="Times New Roman"/>
          <w:spacing w:val="4"/>
        </w:rPr>
        <w:t>d)</w:t>
      </w:r>
      <w:r>
        <w:rPr>
          <w:rFonts w:ascii="Times New Roman" w:hAnsi="Times New Roman" w:eastAsia="Times New Roman" w:cs="Times New Roman"/>
          <w:spacing w:val="81"/>
          <w:w w:val="101"/>
        </w:rPr>
        <w:t xml:space="preserve"> </w:t>
      </w:r>
      <w:r>
        <w:rPr>
          <w:spacing w:val="4"/>
        </w:rPr>
        <w:t>标准化工作对缩短生产周期所做的贡献；</w:t>
      </w:r>
    </w:p>
    <w:p w14:paraId="6A93A01C">
      <w:pPr>
        <w:pStyle w:val="2"/>
        <w:spacing w:before="100"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74"/>
        </w:rPr>
        <w:t xml:space="preserve"> </w:t>
      </w:r>
      <w:r>
        <w:rPr>
          <w:spacing w:val="4"/>
        </w:rPr>
        <w:t>标准化工作对生产过程质量保证所做的贡献等。</w:t>
      </w:r>
    </w:p>
    <w:p w14:paraId="5573CAD7">
      <w:pPr>
        <w:spacing w:before="114" w:line="222" w:lineRule="auto"/>
        <w:rPr>
          <w:rFonts w:ascii="黑体" w:hAnsi="黑体" w:eastAsia="黑体" w:cs="黑体"/>
          <w:sz w:val="27"/>
          <w:szCs w:val="27"/>
        </w:rPr>
      </w:pPr>
      <w:r>
        <w:rPr>
          <w:rFonts w:ascii="黑体" w:hAnsi="黑体" w:eastAsia="黑体" w:cs="黑体"/>
          <w:spacing w:val="5"/>
          <w:sz w:val="27"/>
          <w:szCs w:val="27"/>
        </w:rPr>
        <w:t xml:space="preserve">5  </w:t>
      </w:r>
      <w:r>
        <w:rPr>
          <w:rFonts w:ascii="黑体" w:hAnsi="黑体" w:eastAsia="黑体" w:cs="黑体"/>
          <w:b/>
          <w:bCs/>
          <w:spacing w:val="5"/>
          <w:sz w:val="27"/>
          <w:szCs w:val="27"/>
        </w:rPr>
        <w:t>存在的问题及解决措施</w:t>
      </w:r>
    </w:p>
    <w:p w14:paraId="28738F07">
      <w:pPr>
        <w:pStyle w:val="2"/>
        <w:spacing w:before="92" w:line="280" w:lineRule="auto"/>
        <w:ind w:right="116" w:firstLine="560"/>
      </w:pPr>
      <w:r>
        <w:rPr>
          <w:spacing w:val="5"/>
        </w:rPr>
        <w:t>应对设计定型遗留标准化问题的协调和处理情况进行逐条说明，是否都已</w:t>
      </w:r>
      <w:r>
        <w:rPr>
          <w:spacing w:val="7"/>
        </w:rPr>
        <w:t xml:space="preserve"> </w:t>
      </w:r>
      <w:r>
        <w:rPr>
          <w:spacing w:val="-7"/>
        </w:rPr>
        <w:t>经解决了，如何解决的；对没有解决的问题说明原因</w:t>
      </w:r>
      <w:r>
        <w:rPr>
          <w:spacing w:val="-8"/>
        </w:rPr>
        <w:t>，以及建议采取的措施。</w:t>
      </w:r>
    </w:p>
    <w:p w14:paraId="58CB79AB">
      <w:pPr>
        <w:pStyle w:val="2"/>
        <w:spacing w:before="4" w:line="276" w:lineRule="auto"/>
        <w:ind w:right="124" w:firstLine="560"/>
        <w:jc w:val="both"/>
      </w:pPr>
      <w:r>
        <w:rPr>
          <w:spacing w:val="5"/>
        </w:rPr>
        <w:t>应说明产品生产定型时是否还存在标准化方面的问题，以及建议协调</w:t>
      </w:r>
      <w:r>
        <w:rPr>
          <w:spacing w:val="4"/>
        </w:rPr>
        <w:t>处理</w:t>
      </w:r>
      <w:r>
        <w:t xml:space="preserve"> </w:t>
      </w:r>
      <w:r>
        <w:rPr>
          <w:color w:val="504040"/>
          <w:spacing w:val="5"/>
        </w:rPr>
        <w:t>的办法。</w:t>
      </w:r>
      <w:r>
        <w:rPr>
          <w:spacing w:val="5"/>
        </w:rPr>
        <w:t>可以列表的方式，详细叙述问题。例如工艺文件是否有不符合相关标</w:t>
      </w:r>
      <w:r>
        <w:rPr>
          <w:spacing w:val="9"/>
        </w:rPr>
        <w:t xml:space="preserve"> </w:t>
      </w:r>
      <w:r>
        <w:rPr>
          <w:spacing w:val="-5"/>
        </w:rPr>
        <w:t>准的规定；未贯彻执行的标准项目、原因及应采取的</w:t>
      </w:r>
      <w:r>
        <w:rPr>
          <w:spacing w:val="-6"/>
        </w:rPr>
        <w:t>建议措施等。</w:t>
      </w:r>
    </w:p>
    <w:p w14:paraId="67B5054B">
      <w:pPr>
        <w:spacing w:before="1" w:line="221"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4"/>
          <w:sz w:val="27"/>
          <w:szCs w:val="27"/>
        </w:rPr>
        <w:t xml:space="preserve">  </w:t>
      </w:r>
      <w:r>
        <w:rPr>
          <w:rFonts w:ascii="黑体" w:hAnsi="黑体" w:eastAsia="黑体" w:cs="黑体"/>
          <w:b/>
          <w:bCs/>
          <w:sz w:val="27"/>
          <w:szCs w:val="27"/>
        </w:rPr>
        <w:t>结论和建议</w:t>
      </w:r>
    </w:p>
    <w:p w14:paraId="415BFA2F">
      <w:pPr>
        <w:spacing w:before="131" w:line="226" w:lineRule="auto"/>
        <w:rPr>
          <w:rFonts w:ascii="黑体" w:hAnsi="黑体" w:eastAsia="黑体" w:cs="黑体"/>
          <w:sz w:val="25"/>
          <w:szCs w:val="25"/>
        </w:rPr>
      </w:pPr>
      <w:r>
        <w:rPr>
          <w:rFonts w:ascii="黑体" w:hAnsi="黑体" w:eastAsia="黑体" w:cs="黑体"/>
          <w:spacing w:val="5"/>
          <w:sz w:val="25"/>
          <w:szCs w:val="25"/>
        </w:rPr>
        <w:t>6.1</w:t>
      </w:r>
      <w:r>
        <w:rPr>
          <w:rFonts w:ascii="黑体" w:hAnsi="黑体" w:eastAsia="黑体" w:cs="黑体"/>
          <w:spacing w:val="49"/>
          <w:sz w:val="25"/>
          <w:szCs w:val="25"/>
        </w:rPr>
        <w:t xml:space="preserve">  </w:t>
      </w:r>
      <w:r>
        <w:rPr>
          <w:rFonts w:ascii="黑体" w:hAnsi="黑体" w:eastAsia="黑体" w:cs="黑体"/>
          <w:b/>
          <w:bCs/>
          <w:spacing w:val="5"/>
          <w:sz w:val="25"/>
          <w:szCs w:val="25"/>
        </w:rPr>
        <w:t>结论</w:t>
      </w:r>
    </w:p>
    <w:p w14:paraId="3A33E445">
      <w:pPr>
        <w:pStyle w:val="2"/>
        <w:spacing w:before="102" w:line="218" w:lineRule="auto"/>
        <w:ind w:left="560"/>
      </w:pPr>
      <w:r>
        <w:t>应对产品生产过程中的工艺标准化工作做出总体性的自我</w:t>
      </w:r>
      <w:r>
        <w:rPr>
          <w:spacing w:val="-1"/>
        </w:rPr>
        <w:t>评价，包括：</w:t>
      </w:r>
    </w:p>
    <w:p w14:paraId="25263367">
      <w:pPr>
        <w:pStyle w:val="2"/>
        <w:spacing w:before="63" w:line="212" w:lineRule="auto"/>
        <w:ind w:left="560"/>
      </w:pPr>
      <w:r>
        <w:rPr>
          <w:rFonts w:ascii="Times New Roman" w:hAnsi="Times New Roman" w:eastAsia="Times New Roman" w:cs="Times New Roman"/>
          <w:spacing w:val="-4"/>
        </w:rPr>
        <w:t xml:space="preserve">a)  </w:t>
      </w:r>
      <w:r>
        <w:rPr>
          <w:spacing w:val="-4"/>
        </w:rPr>
        <w:t>工艺标准化工作是否实现了“工艺标准化大纲”提出的各</w:t>
      </w:r>
      <w:r>
        <w:rPr>
          <w:spacing w:val="-5"/>
        </w:rPr>
        <w:t>项要求；</w:t>
      </w:r>
    </w:p>
    <w:p w14:paraId="5AF4A703">
      <w:pPr>
        <w:pStyle w:val="2"/>
        <w:spacing w:before="90"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71"/>
        </w:rPr>
        <w:t xml:space="preserve"> </w:t>
      </w:r>
      <w:r>
        <w:rPr>
          <w:spacing w:val="4"/>
        </w:rPr>
        <w:t>是否满足生产定型的要求等。</w:t>
      </w:r>
    </w:p>
    <w:p w14:paraId="0075F6F0">
      <w:pPr>
        <w:spacing w:before="154" w:line="222" w:lineRule="auto"/>
        <w:rPr>
          <w:rFonts w:ascii="黑体" w:hAnsi="黑体" w:eastAsia="黑体" w:cs="黑体"/>
          <w:sz w:val="24"/>
          <w:szCs w:val="24"/>
        </w:rPr>
      </w:pPr>
      <w:r>
        <w:rPr>
          <w:rFonts w:ascii="黑体" w:hAnsi="黑体" w:eastAsia="黑体" w:cs="黑体"/>
          <w:spacing w:val="16"/>
          <w:sz w:val="24"/>
          <w:szCs w:val="24"/>
        </w:rPr>
        <w:t>6.2</w:t>
      </w:r>
      <w:r>
        <w:rPr>
          <w:rFonts w:ascii="黑体" w:hAnsi="黑体" w:eastAsia="黑体" w:cs="黑体"/>
          <w:spacing w:val="56"/>
          <w:sz w:val="24"/>
          <w:szCs w:val="24"/>
        </w:rPr>
        <w:t xml:space="preserve">  </w:t>
      </w:r>
      <w:r>
        <w:rPr>
          <w:rFonts w:ascii="黑体" w:hAnsi="黑体" w:eastAsia="黑体" w:cs="黑体"/>
          <w:b/>
          <w:bCs/>
          <w:spacing w:val="16"/>
          <w:sz w:val="24"/>
          <w:szCs w:val="24"/>
        </w:rPr>
        <w:t>工作建议</w:t>
      </w:r>
    </w:p>
    <w:p w14:paraId="229B35EC">
      <w:pPr>
        <w:pStyle w:val="2"/>
        <w:spacing w:before="108" w:line="220" w:lineRule="auto"/>
        <w:ind w:left="560"/>
      </w:pPr>
      <w:r>
        <w:rPr>
          <w:spacing w:val="3"/>
        </w:rPr>
        <w:t>对下一阶段的工艺标准化工作提出建议。</w:t>
      </w:r>
    </w:p>
    <w:p w14:paraId="7E511D17">
      <w:pPr>
        <w:spacing w:line="254" w:lineRule="auto"/>
        <w:rPr>
          <w:rFonts w:ascii="Arial"/>
          <w:sz w:val="21"/>
        </w:rPr>
      </w:pPr>
    </w:p>
    <w:p w14:paraId="7CCB43C5">
      <w:pPr>
        <w:pStyle w:val="2"/>
        <w:spacing w:before="117" w:line="218" w:lineRule="auto"/>
        <w:ind w:left="2590"/>
        <w:rPr>
          <w:sz w:val="36"/>
          <w:szCs w:val="36"/>
        </w:rPr>
      </w:pPr>
      <w:r>
        <w:rPr>
          <w:spacing w:val="3"/>
          <w:sz w:val="36"/>
          <w:szCs w:val="36"/>
        </w:rPr>
        <w:t xml:space="preserve">4.6  </w:t>
      </w:r>
      <w:r>
        <w:rPr>
          <w:b/>
          <w:bCs/>
          <w:spacing w:val="3"/>
          <w:sz w:val="36"/>
          <w:szCs w:val="36"/>
        </w:rPr>
        <w:t>工艺标准化审查报告</w:t>
      </w:r>
    </w:p>
    <w:p w14:paraId="10DA8ED3">
      <w:pPr>
        <w:spacing w:line="309" w:lineRule="auto"/>
        <w:rPr>
          <w:rFonts w:ascii="Arial"/>
          <w:sz w:val="21"/>
        </w:rPr>
      </w:pPr>
    </w:p>
    <w:p w14:paraId="1AB24433">
      <w:pPr>
        <w:spacing w:before="79" w:line="223" w:lineRule="auto"/>
        <w:ind w:left="563"/>
        <w:rPr>
          <w:rFonts w:ascii="楷体" w:hAnsi="楷体" w:eastAsia="楷体" w:cs="楷体"/>
          <w:sz w:val="24"/>
          <w:szCs w:val="24"/>
        </w:rPr>
      </w:pPr>
      <w:r>
        <w:rPr>
          <w:rFonts w:ascii="楷体" w:hAnsi="楷体" w:eastAsia="楷体" w:cs="楷体"/>
          <w:b/>
          <w:bCs/>
          <w:spacing w:val="18"/>
          <w:sz w:val="24"/>
          <w:szCs w:val="24"/>
        </w:rPr>
        <w:t>按照《武器装备研制生产标准化工作规定》编写。</w:t>
      </w:r>
    </w:p>
    <w:p w14:paraId="55080768">
      <w:pPr>
        <w:spacing w:before="126"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673BF5A9">
      <w:pPr>
        <w:pStyle w:val="2"/>
        <w:spacing w:before="100" w:line="218" w:lineRule="auto"/>
        <w:ind w:left="560"/>
      </w:pPr>
      <w:r>
        <w:rPr>
          <w:spacing w:val="3"/>
        </w:rPr>
        <w:t>说明工艺标准化审查报告的主题内容和适用范围。</w:t>
      </w:r>
    </w:p>
    <w:p w14:paraId="5933C809">
      <w:pPr>
        <w:pStyle w:val="2"/>
        <w:spacing w:before="113" w:line="270" w:lineRule="auto"/>
        <w:ind w:left="70" w:right="86" w:firstLine="489"/>
      </w:pPr>
      <w:r>
        <w:rPr>
          <w:spacing w:val="-2"/>
        </w:rPr>
        <w:t>概略描述产品的研制任务来源、产品基本情况和工艺特点</w:t>
      </w:r>
      <w:r>
        <w:rPr>
          <w:spacing w:val="-3"/>
        </w:rPr>
        <w:t>，说明标准化工作</w:t>
      </w:r>
      <w:r>
        <w:t xml:space="preserve"> </w:t>
      </w:r>
      <w:r>
        <w:rPr>
          <w:spacing w:val="-7"/>
        </w:rPr>
        <w:t>目标和范围。</w:t>
      </w:r>
    </w:p>
    <w:p w14:paraId="05029D75">
      <w:pPr>
        <w:spacing w:before="15"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20C1580D">
      <w:pPr>
        <w:pStyle w:val="2"/>
        <w:spacing w:before="89" w:line="218" w:lineRule="auto"/>
        <w:ind w:left="560"/>
      </w:pPr>
      <w:r>
        <w:rPr>
          <w:spacing w:val="3"/>
        </w:rPr>
        <w:t>给出工艺标准化审查报告各章的引用文件一览表。</w:t>
      </w:r>
    </w:p>
    <w:p w14:paraId="03E9AC02">
      <w:pPr>
        <w:spacing w:before="127" w:line="222" w:lineRule="auto"/>
        <w:rPr>
          <w:rFonts w:ascii="黑体" w:hAnsi="黑体" w:eastAsia="黑体" w:cs="黑体"/>
          <w:sz w:val="24"/>
          <w:szCs w:val="24"/>
        </w:rPr>
      </w:pPr>
      <w:r>
        <w:rPr>
          <w:rFonts w:ascii="黑体" w:hAnsi="黑体" w:eastAsia="黑体" w:cs="黑体"/>
          <w:spacing w:val="29"/>
          <w:sz w:val="24"/>
          <w:szCs w:val="24"/>
        </w:rPr>
        <w:t>3</w:t>
      </w:r>
      <w:r>
        <w:rPr>
          <w:rFonts w:ascii="黑体" w:hAnsi="黑体" w:eastAsia="黑体" w:cs="黑体"/>
          <w:spacing w:val="38"/>
          <w:sz w:val="24"/>
          <w:szCs w:val="24"/>
        </w:rPr>
        <w:t xml:space="preserve">  </w:t>
      </w:r>
      <w:r>
        <w:rPr>
          <w:rFonts w:ascii="黑体" w:hAnsi="黑体" w:eastAsia="黑体" w:cs="黑体"/>
          <w:b/>
          <w:bCs/>
          <w:spacing w:val="29"/>
          <w:sz w:val="24"/>
          <w:szCs w:val="24"/>
        </w:rPr>
        <w:t>标准及标准化要求的实施情况</w:t>
      </w:r>
    </w:p>
    <w:p w14:paraId="3FFF7336">
      <w:pPr>
        <w:pStyle w:val="2"/>
        <w:spacing w:before="134" w:line="272" w:lineRule="auto"/>
        <w:ind w:firstLine="560"/>
        <w:jc w:val="both"/>
      </w:pPr>
      <w:r>
        <w:t>对标准及标准化要求的实施情况给出评价意见。可以从是否编制了《工艺、</w:t>
      </w:r>
      <w:r>
        <w:rPr>
          <w:spacing w:val="13"/>
        </w:rPr>
        <w:t xml:space="preserve"> </w:t>
      </w:r>
      <w:r>
        <w:rPr>
          <w:spacing w:val="-13"/>
        </w:rPr>
        <w:t>工装标准选用范围》和《标准件、元器件、原材料选用范</w:t>
      </w:r>
      <w:r>
        <w:rPr>
          <w:spacing w:val="-14"/>
        </w:rPr>
        <w:t>围》,在实施标准过程中有</w:t>
      </w:r>
      <w:r>
        <w:t xml:space="preserve">  </w:t>
      </w:r>
      <w:r>
        <w:rPr>
          <w:spacing w:val="-35"/>
        </w:rPr>
        <w:t>无“欠使用”、“过使用”、“使用不当”的现象，“重大标准”的选用和剪</w:t>
      </w:r>
      <w:r>
        <w:rPr>
          <w:spacing w:val="-36"/>
        </w:rPr>
        <w:t>裁情况，采标</w:t>
      </w:r>
    </w:p>
    <w:p w14:paraId="1915D05C">
      <w:pPr>
        <w:pStyle w:val="2"/>
        <w:spacing w:line="219" w:lineRule="auto"/>
      </w:pPr>
      <w:r>
        <w:rPr>
          <w:spacing w:val="-11"/>
        </w:rPr>
        <w:t>目录的正确性、充分性、协调性，生产过程质量保证、质量监督的标准化情况，计</w:t>
      </w:r>
    </w:p>
    <w:p w14:paraId="264CD950">
      <w:pPr>
        <w:pStyle w:val="2"/>
        <w:spacing w:before="77" w:line="218" w:lineRule="auto"/>
      </w:pPr>
      <w:r>
        <w:rPr>
          <w:spacing w:val="-3"/>
        </w:rPr>
        <w:t>量、测试的标准化情况等方面进行评价。</w:t>
      </w:r>
    </w:p>
    <w:p w14:paraId="0F288AC0">
      <w:pPr>
        <w:spacing w:line="218" w:lineRule="auto"/>
        <w:sectPr>
          <w:footerReference r:id="rId316" w:type="default"/>
          <w:pgSz w:w="11910" w:h="17130"/>
          <w:pgMar w:top="1362" w:right="1415" w:bottom="1723" w:left="1009" w:header="0" w:footer="1525" w:gutter="0"/>
          <w:cols w:space="720" w:num="1"/>
        </w:sectPr>
      </w:pPr>
    </w:p>
    <w:p w14:paraId="60366F1D">
      <w:pPr>
        <w:pStyle w:val="2"/>
        <w:spacing w:before="55" w:line="282" w:lineRule="auto"/>
        <w:ind w:left="135" w:right="19" w:firstLine="559"/>
      </w:pPr>
      <w:r>
        <w:rPr>
          <w:spacing w:val="5"/>
        </w:rPr>
        <w:t>对标准体系表建立及标准制修订情况给出评价意见。可以从建立和完善工</w:t>
      </w:r>
      <w:r>
        <w:rPr>
          <w:spacing w:val="13"/>
        </w:rPr>
        <w:t xml:space="preserve"> </w:t>
      </w:r>
      <w:r>
        <w:rPr>
          <w:spacing w:val="-7"/>
        </w:rPr>
        <w:t>艺、工装标准体系的情况，对急需标准的转化、修订及制定情况等方面进行评价。</w:t>
      </w:r>
    </w:p>
    <w:p w14:paraId="2AAA0A71">
      <w:pPr>
        <w:spacing w:before="1" w:line="220" w:lineRule="auto"/>
        <w:ind w:left="135"/>
        <w:outlineLvl w:val="3"/>
        <w:rPr>
          <w:rFonts w:ascii="黑体" w:hAnsi="黑体" w:eastAsia="黑体" w:cs="黑体"/>
          <w:sz w:val="27"/>
          <w:szCs w:val="27"/>
        </w:rPr>
      </w:pPr>
      <w:r>
        <w:rPr>
          <w:rFonts w:ascii="Arial" w:hAnsi="Arial" w:eastAsia="Arial" w:cs="Arial"/>
          <w:b/>
          <w:bCs/>
          <w:spacing w:val="-9"/>
          <w:sz w:val="27"/>
          <w:szCs w:val="27"/>
        </w:rPr>
        <w:t>4</w:t>
      </w:r>
      <w:r>
        <w:rPr>
          <w:rFonts w:ascii="Arial" w:hAnsi="Arial" w:eastAsia="Arial" w:cs="Arial"/>
          <w:b/>
          <w:bCs/>
          <w:spacing w:val="21"/>
          <w:sz w:val="27"/>
          <w:szCs w:val="27"/>
        </w:rPr>
        <w:t xml:space="preserve">   </w:t>
      </w:r>
      <w:r>
        <w:rPr>
          <w:rFonts w:ascii="黑体" w:hAnsi="黑体" w:eastAsia="黑体" w:cs="黑体"/>
          <w:b/>
          <w:bCs/>
          <w:spacing w:val="-9"/>
          <w:sz w:val="27"/>
          <w:szCs w:val="27"/>
        </w:rPr>
        <w:t>工艺文件、工装设计文件的完整性、正确性及</w:t>
      </w:r>
      <w:r>
        <w:rPr>
          <w:rFonts w:ascii="黑体" w:hAnsi="黑体" w:eastAsia="黑体" w:cs="黑体"/>
          <w:b/>
          <w:bCs/>
          <w:spacing w:val="-10"/>
          <w:sz w:val="27"/>
          <w:szCs w:val="27"/>
        </w:rPr>
        <w:t>统一性评价</w:t>
      </w:r>
    </w:p>
    <w:p w14:paraId="6F92599A">
      <w:pPr>
        <w:pStyle w:val="2"/>
        <w:spacing w:before="70" w:line="218" w:lineRule="auto"/>
        <w:ind w:left="694"/>
      </w:pPr>
      <w:r>
        <w:rPr>
          <w:spacing w:val="4"/>
        </w:rPr>
        <w:t>对编制工艺文件和工装设计文件的情况进行评价。</w:t>
      </w:r>
    </w:p>
    <w:p w14:paraId="7ECA9C6B">
      <w:pPr>
        <w:pStyle w:val="2"/>
        <w:spacing w:before="86" w:line="278" w:lineRule="auto"/>
        <w:ind w:left="135" w:right="120" w:firstLine="559"/>
      </w:pPr>
      <w:r>
        <w:t>参见</w:t>
      </w:r>
      <w:r>
        <w:rPr>
          <w:spacing w:val="-72"/>
        </w:rPr>
        <w:t xml:space="preserve"> </w:t>
      </w:r>
      <w:r>
        <w:rPr>
          <w:rFonts w:ascii="Times New Roman" w:hAnsi="Times New Roman" w:eastAsia="Times New Roman" w:cs="Times New Roman"/>
        </w:rPr>
        <w:t>GJB/Z    113,</w:t>
      </w:r>
      <w:r>
        <w:t>对不同时期、用各种方式编制的各类图样和技术文件</w:t>
      </w:r>
      <w:r>
        <w:rPr>
          <w:spacing w:val="-1"/>
        </w:rPr>
        <w:t>开展</w:t>
      </w:r>
      <w:r>
        <w:t xml:space="preserve"> </w:t>
      </w:r>
      <w:r>
        <w:rPr>
          <w:spacing w:val="5"/>
        </w:rPr>
        <w:t>的管理和标准化评审工作给出评价意见。可以在图样及工艺文件的完整性、统</w:t>
      </w:r>
      <w:r>
        <w:rPr>
          <w:spacing w:val="1"/>
        </w:rPr>
        <w:t xml:space="preserve"> </w:t>
      </w:r>
      <w:r>
        <w:t>一性、协调性以及是否满足生产定型的要求等</w:t>
      </w:r>
      <w:r>
        <w:rPr>
          <w:spacing w:val="-1"/>
        </w:rPr>
        <w:t>方面进行评价。</w:t>
      </w:r>
    </w:p>
    <w:p w14:paraId="16FA8AC5">
      <w:pPr>
        <w:spacing w:before="1" w:line="212" w:lineRule="auto"/>
        <w:ind w:left="135"/>
        <w:outlineLvl w:val="3"/>
        <w:rPr>
          <w:rFonts w:ascii="黑体" w:hAnsi="黑体" w:eastAsia="黑体" w:cs="黑体"/>
          <w:sz w:val="27"/>
          <w:szCs w:val="27"/>
        </w:rPr>
      </w:pPr>
      <w:r>
        <w:rPr>
          <w:rFonts w:ascii="Arial" w:hAnsi="Arial" w:eastAsia="Arial" w:cs="Arial"/>
          <w:b/>
          <w:bCs/>
          <w:spacing w:val="-16"/>
          <w:sz w:val="27"/>
          <w:szCs w:val="27"/>
        </w:rPr>
        <w:t xml:space="preserve">5    </w:t>
      </w:r>
      <w:r>
        <w:rPr>
          <w:rFonts w:ascii="黑体" w:hAnsi="黑体" w:eastAsia="黑体" w:cs="黑体"/>
          <w:b/>
          <w:bCs/>
          <w:spacing w:val="-16"/>
          <w:sz w:val="27"/>
          <w:szCs w:val="27"/>
        </w:rPr>
        <w:t>工装“三化”水平评价，标准化系数计算</w:t>
      </w:r>
    </w:p>
    <w:p w14:paraId="3FC1BD82">
      <w:pPr>
        <w:pStyle w:val="2"/>
        <w:spacing w:before="115" w:line="274" w:lineRule="auto"/>
        <w:ind w:right="122" w:firstLine="694"/>
        <w:jc w:val="both"/>
      </w:pPr>
      <w:r>
        <w:rPr>
          <w:spacing w:val="-11"/>
        </w:rPr>
        <w:t>对工装的“三化”水平给出评价意见。可以从工装“三化”的具体要求在工装</w:t>
      </w:r>
      <w:r>
        <w:rPr>
          <w:spacing w:val="5"/>
        </w:rPr>
        <w:t xml:space="preserve"> </w:t>
      </w:r>
      <w:r>
        <w:rPr>
          <w:spacing w:val="1"/>
        </w:rPr>
        <w:t>设计图样中的落实情况、设计定型后工装“三化”工作采取的改进措施、进行的</w:t>
      </w:r>
      <w:r>
        <w:rPr>
          <w:spacing w:val="9"/>
        </w:rPr>
        <w:t xml:space="preserve"> </w:t>
      </w:r>
      <w:r>
        <w:rPr>
          <w:spacing w:val="-4"/>
        </w:rPr>
        <w:t>“三化”检查和评审等方面进行评价。</w:t>
      </w:r>
    </w:p>
    <w:p w14:paraId="30C6F2B7">
      <w:pPr>
        <w:pStyle w:val="2"/>
        <w:spacing w:before="8" w:line="219" w:lineRule="auto"/>
        <w:ind w:left="694"/>
      </w:pPr>
      <w:r>
        <w:rPr>
          <w:spacing w:val="-3"/>
        </w:rPr>
        <w:t>对工艺标准化系数进行计算，给出计算结果。</w:t>
      </w:r>
    </w:p>
    <w:p w14:paraId="5C6FE5DD">
      <w:pPr>
        <w:spacing w:before="84" w:line="221" w:lineRule="auto"/>
        <w:ind w:left="135"/>
        <w:outlineLvl w:val="3"/>
        <w:rPr>
          <w:rFonts w:ascii="黑体" w:hAnsi="黑体" w:eastAsia="黑体" w:cs="黑体"/>
          <w:sz w:val="27"/>
          <w:szCs w:val="27"/>
        </w:rPr>
      </w:pPr>
      <w:r>
        <w:rPr>
          <w:rFonts w:ascii="Arial" w:hAnsi="Arial" w:eastAsia="Arial" w:cs="Arial"/>
          <w:b/>
          <w:bCs/>
          <w:sz w:val="27"/>
          <w:szCs w:val="27"/>
        </w:rPr>
        <w:t>6</w:t>
      </w:r>
      <w:r>
        <w:rPr>
          <w:rFonts w:ascii="Arial" w:hAnsi="Arial" w:eastAsia="Arial" w:cs="Arial"/>
          <w:b/>
          <w:bCs/>
          <w:spacing w:val="23"/>
          <w:sz w:val="27"/>
          <w:szCs w:val="27"/>
        </w:rPr>
        <w:t xml:space="preserve">   </w:t>
      </w:r>
      <w:r>
        <w:rPr>
          <w:rFonts w:ascii="黑体" w:hAnsi="黑体" w:eastAsia="黑体" w:cs="黑体"/>
          <w:b/>
          <w:bCs/>
          <w:sz w:val="27"/>
          <w:szCs w:val="27"/>
        </w:rPr>
        <w:t>标准化效益分析评估</w:t>
      </w:r>
    </w:p>
    <w:p w14:paraId="095900B6">
      <w:pPr>
        <w:pStyle w:val="2"/>
        <w:spacing w:before="110" w:line="218" w:lineRule="auto"/>
        <w:ind w:left="694"/>
        <w:rPr>
          <w:sz w:val="25"/>
          <w:szCs w:val="25"/>
        </w:rPr>
      </w:pPr>
      <w:r>
        <w:rPr>
          <w:spacing w:val="25"/>
          <w:sz w:val="25"/>
          <w:szCs w:val="25"/>
        </w:rPr>
        <w:t>对新产品达到的工艺标准化程度和所获得的标</w:t>
      </w:r>
      <w:r>
        <w:rPr>
          <w:spacing w:val="24"/>
          <w:sz w:val="25"/>
          <w:szCs w:val="25"/>
        </w:rPr>
        <w:t>准化效益给出评价意见。</w:t>
      </w:r>
    </w:p>
    <w:p w14:paraId="63544D6F">
      <w:pPr>
        <w:spacing w:before="72" w:line="222" w:lineRule="auto"/>
        <w:ind w:left="135"/>
        <w:outlineLvl w:val="3"/>
        <w:rPr>
          <w:rFonts w:ascii="黑体" w:hAnsi="黑体" w:eastAsia="黑体" w:cs="黑体"/>
          <w:sz w:val="27"/>
          <w:szCs w:val="27"/>
        </w:rPr>
      </w:pPr>
      <w:r>
        <w:rPr>
          <w:rFonts w:ascii="Arial" w:hAnsi="Arial" w:eastAsia="Arial" w:cs="Arial"/>
          <w:b/>
          <w:bCs/>
          <w:sz w:val="27"/>
          <w:szCs w:val="27"/>
        </w:rPr>
        <w:t>7</w:t>
      </w:r>
      <w:r>
        <w:rPr>
          <w:rFonts w:ascii="Arial" w:hAnsi="Arial" w:eastAsia="Arial" w:cs="Arial"/>
          <w:b/>
          <w:bCs/>
          <w:spacing w:val="23"/>
          <w:w w:val="101"/>
          <w:sz w:val="27"/>
          <w:szCs w:val="27"/>
        </w:rPr>
        <w:t xml:space="preserve">   </w:t>
      </w:r>
      <w:r>
        <w:rPr>
          <w:rFonts w:ascii="黑体" w:hAnsi="黑体" w:eastAsia="黑体" w:cs="黑体"/>
          <w:b/>
          <w:bCs/>
          <w:sz w:val="27"/>
          <w:szCs w:val="27"/>
        </w:rPr>
        <w:t>存在的问题及改进的措施</w:t>
      </w:r>
    </w:p>
    <w:p w14:paraId="2CF7F07E">
      <w:pPr>
        <w:pStyle w:val="2"/>
        <w:spacing w:before="130" w:line="262" w:lineRule="auto"/>
        <w:ind w:left="135" w:right="113" w:firstLine="559"/>
      </w:pPr>
      <w:r>
        <w:rPr>
          <w:spacing w:val="6"/>
        </w:rPr>
        <w:t>说明产品生产定型时是否还存在工艺标准化</w:t>
      </w:r>
      <w:r>
        <w:rPr>
          <w:spacing w:val="5"/>
        </w:rPr>
        <w:t>方面的问题，提出有针对性的</w:t>
      </w:r>
      <w:r>
        <w:t xml:space="preserve"> </w:t>
      </w:r>
      <w:r>
        <w:rPr>
          <w:spacing w:val="2"/>
        </w:rPr>
        <w:t>改进措施建议。</w:t>
      </w:r>
    </w:p>
    <w:p w14:paraId="3C007853">
      <w:pPr>
        <w:spacing w:before="21" w:line="222" w:lineRule="auto"/>
        <w:ind w:left="135"/>
        <w:rPr>
          <w:rFonts w:ascii="黑体" w:hAnsi="黑体" w:eastAsia="黑体" w:cs="黑体"/>
          <w:sz w:val="27"/>
          <w:szCs w:val="27"/>
        </w:rPr>
      </w:pPr>
      <w:r>
        <w:rPr>
          <w:rFonts w:ascii="黑体" w:hAnsi="黑体" w:eastAsia="黑体" w:cs="黑体"/>
          <w:spacing w:val="-7"/>
          <w:sz w:val="27"/>
          <w:szCs w:val="27"/>
        </w:rPr>
        <w:t>8</w:t>
      </w:r>
      <w:r>
        <w:rPr>
          <w:rFonts w:ascii="黑体" w:hAnsi="黑体" w:eastAsia="黑体" w:cs="黑体"/>
          <w:spacing w:val="24"/>
          <w:sz w:val="27"/>
          <w:szCs w:val="27"/>
        </w:rPr>
        <w:t xml:space="preserve">  </w:t>
      </w:r>
      <w:r>
        <w:rPr>
          <w:rFonts w:ascii="黑体" w:hAnsi="黑体" w:eastAsia="黑体" w:cs="黑体"/>
          <w:b/>
          <w:bCs/>
          <w:spacing w:val="-7"/>
          <w:sz w:val="27"/>
          <w:szCs w:val="27"/>
        </w:rPr>
        <w:t>审查结论</w:t>
      </w:r>
    </w:p>
    <w:p w14:paraId="4156A591">
      <w:pPr>
        <w:pStyle w:val="2"/>
        <w:spacing w:before="99" w:line="219" w:lineRule="auto"/>
        <w:ind w:left="694"/>
      </w:pPr>
      <w:r>
        <w:rPr>
          <w:spacing w:val="3"/>
        </w:rPr>
        <w:t>工艺标准化审查结论主要应说明以下两方面内容：</w:t>
      </w:r>
    </w:p>
    <w:p w14:paraId="01D016F5">
      <w:pPr>
        <w:pStyle w:val="2"/>
        <w:spacing w:before="80" w:line="253" w:lineRule="auto"/>
        <w:ind w:left="135" w:right="105" w:firstLine="559"/>
      </w:pPr>
      <w:r>
        <w:rPr>
          <w:rFonts w:ascii="Times New Roman" w:hAnsi="Times New Roman" w:eastAsia="Times New Roman" w:cs="Times New Roman"/>
          <w:spacing w:val="3"/>
        </w:rPr>
        <w:t xml:space="preserve">a)  </w:t>
      </w:r>
      <w:r>
        <w:rPr>
          <w:spacing w:val="3"/>
        </w:rPr>
        <w:t>工艺标准化工作是否满足“研制总要求(研制任务书或技术协议书)”中</w:t>
      </w:r>
      <w:r>
        <w:rPr>
          <w:spacing w:val="5"/>
        </w:rPr>
        <w:t xml:space="preserve"> </w:t>
      </w:r>
      <w:r>
        <w:rPr>
          <w:spacing w:val="-8"/>
        </w:rPr>
        <w:t>应贯彻实施的标准和标准化要求，以及《工艺标</w:t>
      </w:r>
      <w:r>
        <w:rPr>
          <w:spacing w:val="-9"/>
        </w:rPr>
        <w:t>准化大纲》中的规定；</w:t>
      </w:r>
    </w:p>
    <w:p w14:paraId="6E3B6158">
      <w:pPr>
        <w:pStyle w:val="2"/>
        <w:spacing w:before="70" w:line="253" w:lineRule="auto"/>
        <w:ind w:left="135" w:firstLine="559"/>
      </w:pPr>
      <w:r>
        <w:rPr>
          <w:rFonts w:ascii="Times New Roman" w:hAnsi="Times New Roman" w:eastAsia="Times New Roman" w:cs="Times New Roman"/>
          <w:spacing w:val="6"/>
        </w:rPr>
        <w:t xml:space="preserve">b)  </w:t>
      </w:r>
      <w:r>
        <w:rPr>
          <w:spacing w:val="6"/>
        </w:rPr>
        <w:t>从工艺标准化方面论述研制生产工作是否具备转入下阶</w:t>
      </w:r>
      <w:r>
        <w:rPr>
          <w:spacing w:val="5"/>
        </w:rPr>
        <w:t>段工作的条件，</w:t>
      </w:r>
      <w:r>
        <w:t xml:space="preserve"> </w:t>
      </w:r>
      <w:r>
        <w:rPr>
          <w:spacing w:val="4"/>
        </w:rPr>
        <w:t>并可提出需要解决的问题或改进建议等。</w:t>
      </w:r>
    </w:p>
    <w:p w14:paraId="1FEC7725">
      <w:pPr>
        <w:spacing w:line="253" w:lineRule="auto"/>
        <w:sectPr>
          <w:footerReference r:id="rId317" w:type="default"/>
          <w:pgSz w:w="11910" w:h="17130"/>
          <w:pgMar w:top="1354" w:right="935" w:bottom="1747" w:left="1345" w:header="0" w:footer="1531" w:gutter="0"/>
          <w:cols w:space="720" w:num="1"/>
        </w:sectPr>
      </w:pPr>
    </w:p>
    <w:p w14:paraId="3971D192">
      <w:pPr>
        <w:spacing w:line="243" w:lineRule="auto"/>
        <w:rPr>
          <w:rFonts w:ascii="Arial"/>
          <w:sz w:val="21"/>
        </w:rPr>
      </w:pPr>
    </w:p>
    <w:p w14:paraId="073A147A">
      <w:pPr>
        <w:spacing w:line="243" w:lineRule="auto"/>
        <w:rPr>
          <w:rFonts w:ascii="Arial"/>
          <w:sz w:val="21"/>
        </w:rPr>
      </w:pPr>
    </w:p>
    <w:p w14:paraId="1884DD33">
      <w:pPr>
        <w:spacing w:line="243" w:lineRule="auto"/>
        <w:rPr>
          <w:rFonts w:ascii="Arial"/>
          <w:sz w:val="21"/>
        </w:rPr>
      </w:pPr>
    </w:p>
    <w:p w14:paraId="5E2EEFC6">
      <w:pPr>
        <w:spacing w:line="244" w:lineRule="auto"/>
        <w:rPr>
          <w:rFonts w:ascii="Arial"/>
          <w:sz w:val="21"/>
        </w:rPr>
      </w:pPr>
    </w:p>
    <w:p w14:paraId="7D926E33">
      <w:pPr>
        <w:spacing w:before="143" w:line="222" w:lineRule="auto"/>
        <w:ind w:left="2576"/>
        <w:outlineLvl w:val="0"/>
        <w:rPr>
          <w:rFonts w:ascii="黑体" w:hAnsi="黑体" w:eastAsia="黑体" w:cs="黑体"/>
          <w:sz w:val="44"/>
          <w:szCs w:val="44"/>
        </w:rPr>
      </w:pPr>
      <w:r>
        <w:rPr>
          <w:rFonts w:ascii="黑体" w:hAnsi="黑体" w:eastAsia="黑体" w:cs="黑体"/>
          <w:b/>
          <w:bCs/>
          <w:spacing w:val="-15"/>
          <w:sz w:val="44"/>
          <w:szCs w:val="44"/>
        </w:rPr>
        <w:t>第</w:t>
      </w:r>
      <w:r>
        <w:rPr>
          <w:rFonts w:ascii="黑体" w:hAnsi="黑体" w:eastAsia="黑体" w:cs="黑体"/>
          <w:spacing w:val="-84"/>
          <w:sz w:val="44"/>
          <w:szCs w:val="44"/>
        </w:rPr>
        <w:t xml:space="preserve"> </w:t>
      </w:r>
      <w:r>
        <w:rPr>
          <w:rFonts w:ascii="黑体" w:hAnsi="黑体" w:eastAsia="黑体" w:cs="黑体"/>
          <w:b/>
          <w:bCs/>
          <w:spacing w:val="-15"/>
          <w:sz w:val="44"/>
          <w:szCs w:val="44"/>
        </w:rPr>
        <w:t>5</w:t>
      </w:r>
      <w:r>
        <w:rPr>
          <w:rFonts w:ascii="黑体" w:hAnsi="黑体" w:eastAsia="黑体" w:cs="黑体"/>
          <w:spacing w:val="-75"/>
          <w:sz w:val="44"/>
          <w:szCs w:val="44"/>
        </w:rPr>
        <w:t xml:space="preserve"> </w:t>
      </w:r>
      <w:r>
        <w:rPr>
          <w:rFonts w:ascii="黑体" w:hAnsi="黑体" w:eastAsia="黑体" w:cs="黑体"/>
          <w:b/>
          <w:bCs/>
          <w:spacing w:val="-15"/>
          <w:sz w:val="44"/>
          <w:szCs w:val="44"/>
        </w:rPr>
        <w:t>章</w:t>
      </w:r>
      <w:r>
        <w:rPr>
          <w:rFonts w:ascii="黑体" w:hAnsi="黑体" w:eastAsia="黑体" w:cs="黑体"/>
          <w:spacing w:val="42"/>
          <w:sz w:val="44"/>
          <w:szCs w:val="44"/>
        </w:rPr>
        <w:t xml:space="preserve">  </w:t>
      </w:r>
      <w:r>
        <w:rPr>
          <w:rFonts w:ascii="黑体" w:hAnsi="黑体" w:eastAsia="黑体" w:cs="黑体"/>
          <w:b/>
          <w:bCs/>
          <w:spacing w:val="-15"/>
          <w:sz w:val="44"/>
          <w:szCs w:val="44"/>
        </w:rPr>
        <w:t>质</w:t>
      </w:r>
      <w:r>
        <w:rPr>
          <w:rFonts w:ascii="黑体" w:hAnsi="黑体" w:eastAsia="黑体" w:cs="黑体"/>
          <w:spacing w:val="-15"/>
          <w:sz w:val="44"/>
          <w:szCs w:val="44"/>
        </w:rPr>
        <w:t xml:space="preserve"> </w:t>
      </w:r>
      <w:r>
        <w:rPr>
          <w:rFonts w:ascii="黑体" w:hAnsi="黑体" w:eastAsia="黑体" w:cs="黑体"/>
          <w:b/>
          <w:bCs/>
          <w:spacing w:val="-15"/>
          <w:sz w:val="44"/>
          <w:szCs w:val="44"/>
        </w:rPr>
        <w:t>量</w:t>
      </w:r>
      <w:r>
        <w:rPr>
          <w:rFonts w:ascii="黑体" w:hAnsi="黑体" w:eastAsia="黑体" w:cs="黑体"/>
          <w:spacing w:val="-15"/>
          <w:sz w:val="44"/>
          <w:szCs w:val="44"/>
        </w:rPr>
        <w:t xml:space="preserve"> </w:t>
      </w:r>
      <w:r>
        <w:rPr>
          <w:rFonts w:ascii="黑体" w:hAnsi="黑体" w:eastAsia="黑体" w:cs="黑体"/>
          <w:b/>
          <w:bCs/>
          <w:spacing w:val="-15"/>
          <w:sz w:val="44"/>
          <w:szCs w:val="44"/>
        </w:rPr>
        <w:t>文</w:t>
      </w:r>
      <w:r>
        <w:rPr>
          <w:rFonts w:ascii="黑体" w:hAnsi="黑体" w:eastAsia="黑体" w:cs="黑体"/>
          <w:spacing w:val="-2"/>
          <w:sz w:val="44"/>
          <w:szCs w:val="44"/>
        </w:rPr>
        <w:t xml:space="preserve"> </w:t>
      </w:r>
      <w:r>
        <w:rPr>
          <w:rFonts w:ascii="黑体" w:hAnsi="黑体" w:eastAsia="黑体" w:cs="黑体"/>
          <w:b/>
          <w:bCs/>
          <w:spacing w:val="-15"/>
          <w:sz w:val="44"/>
          <w:szCs w:val="44"/>
        </w:rPr>
        <w:t>件</w:t>
      </w:r>
    </w:p>
    <w:p w14:paraId="1BA4BBA1">
      <w:pPr>
        <w:rPr>
          <w:rFonts w:ascii="Arial"/>
          <w:sz w:val="21"/>
        </w:rPr>
      </w:pPr>
    </w:p>
    <w:p w14:paraId="29886F28">
      <w:pPr>
        <w:rPr>
          <w:rFonts w:ascii="Arial"/>
          <w:sz w:val="21"/>
        </w:rPr>
      </w:pPr>
    </w:p>
    <w:p w14:paraId="4D257686">
      <w:pPr>
        <w:spacing w:line="241" w:lineRule="auto"/>
        <w:rPr>
          <w:rFonts w:ascii="Arial"/>
          <w:sz w:val="21"/>
        </w:rPr>
      </w:pPr>
    </w:p>
    <w:p w14:paraId="468E23CC">
      <w:pPr>
        <w:pStyle w:val="2"/>
        <w:spacing w:before="117" w:line="220" w:lineRule="auto"/>
        <w:ind w:left="2200"/>
        <w:rPr>
          <w:sz w:val="36"/>
          <w:szCs w:val="36"/>
        </w:rPr>
      </w:pPr>
      <w:r>
        <w:rPr>
          <w:spacing w:val="5"/>
          <w:sz w:val="36"/>
          <w:szCs w:val="36"/>
        </w:rPr>
        <w:t xml:space="preserve">5.1  </w:t>
      </w:r>
      <w:r>
        <w:rPr>
          <w:b/>
          <w:bCs/>
          <w:spacing w:val="5"/>
          <w:sz w:val="36"/>
          <w:szCs w:val="36"/>
        </w:rPr>
        <w:t>质量保证大纲(质量计划)</w:t>
      </w:r>
    </w:p>
    <w:p w14:paraId="51F2F4B5">
      <w:pPr>
        <w:spacing w:line="325" w:lineRule="auto"/>
        <w:rPr>
          <w:rFonts w:ascii="Arial"/>
          <w:sz w:val="21"/>
        </w:rPr>
      </w:pPr>
    </w:p>
    <w:p w14:paraId="1BDB5D91">
      <w:pPr>
        <w:pStyle w:val="2"/>
        <w:spacing w:before="87" w:line="223" w:lineRule="auto"/>
        <w:ind w:left="550"/>
        <w:rPr>
          <w:rFonts w:ascii="楷体" w:hAnsi="楷体" w:eastAsia="楷体" w:cs="楷体"/>
        </w:rPr>
      </w:pPr>
      <w:r>
        <w:rPr>
          <w:rFonts w:ascii="楷体" w:hAnsi="楷体" w:eastAsia="楷体" w:cs="楷体"/>
          <w:spacing w:val="-2"/>
        </w:rPr>
        <w:t>按照</w:t>
      </w:r>
      <w:r>
        <w:rPr>
          <w:rFonts w:ascii="Times New Roman" w:hAnsi="Times New Roman" w:eastAsia="Times New Roman" w:cs="Times New Roman"/>
          <w:spacing w:val="-2"/>
        </w:rPr>
        <w:t>GJB</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1406A—2005</w:t>
      </w:r>
      <w:r>
        <w:rPr>
          <w:spacing w:val="-2"/>
        </w:rPr>
        <w:t>《</w:t>
      </w:r>
      <w:r>
        <w:rPr>
          <w:rFonts w:ascii="楷体" w:hAnsi="楷体" w:eastAsia="楷体" w:cs="楷体"/>
          <w:spacing w:val="-2"/>
        </w:rPr>
        <w:t>产品质量保证大</w:t>
      </w:r>
      <w:r>
        <w:rPr>
          <w:rFonts w:ascii="楷体" w:hAnsi="楷体" w:eastAsia="楷体" w:cs="楷体"/>
          <w:spacing w:val="-3"/>
        </w:rPr>
        <w:t>纲要求》编写。</w:t>
      </w:r>
    </w:p>
    <w:p w14:paraId="687700E2">
      <w:pPr>
        <w:spacing w:before="107"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1"/>
          <w:sz w:val="27"/>
          <w:szCs w:val="27"/>
        </w:rPr>
        <w:t xml:space="preserve">  </w:t>
      </w:r>
      <w:r>
        <w:rPr>
          <w:rFonts w:ascii="黑体" w:hAnsi="黑体" w:eastAsia="黑体" w:cs="黑体"/>
          <w:b/>
          <w:bCs/>
          <w:spacing w:val="-4"/>
          <w:sz w:val="27"/>
          <w:szCs w:val="27"/>
        </w:rPr>
        <w:t>范围</w:t>
      </w:r>
    </w:p>
    <w:p w14:paraId="5C47A5EB">
      <w:pPr>
        <w:pStyle w:val="2"/>
        <w:spacing w:before="88" w:line="220" w:lineRule="auto"/>
        <w:ind w:left="550"/>
      </w:pPr>
      <w:r>
        <w:rPr>
          <w:spacing w:val="1"/>
        </w:rPr>
        <w:t>大纲的适用范围一般包括：</w:t>
      </w:r>
    </w:p>
    <w:p w14:paraId="0E4A7755">
      <w:pPr>
        <w:pStyle w:val="2"/>
        <w:spacing w:before="96" w:line="219" w:lineRule="auto"/>
        <w:ind w:left="550"/>
        <w:rPr>
          <w:sz w:val="24"/>
          <w:szCs w:val="24"/>
        </w:rPr>
      </w:pPr>
      <w:r>
        <w:rPr>
          <w:rFonts w:ascii="Times New Roman" w:hAnsi="Times New Roman" w:eastAsia="Times New Roman" w:cs="Times New Roman"/>
          <w:spacing w:val="27"/>
          <w:sz w:val="24"/>
          <w:szCs w:val="24"/>
        </w:rPr>
        <w:t>a</w:t>
      </w:r>
      <w:r>
        <w:rPr>
          <w:rFonts w:ascii="Times New Roman" w:hAnsi="Times New Roman" w:eastAsia="Times New Roman" w:cs="Times New Roman"/>
          <w:spacing w:val="-13"/>
          <w:sz w:val="24"/>
          <w:szCs w:val="24"/>
        </w:rPr>
        <w:t xml:space="preserve"> </w:t>
      </w:r>
      <w:r>
        <w:rPr>
          <w:spacing w:val="27"/>
          <w:sz w:val="24"/>
          <w:szCs w:val="24"/>
        </w:rPr>
        <w:t>)</w:t>
      </w:r>
      <w:r>
        <w:rPr>
          <w:spacing w:val="-40"/>
          <w:sz w:val="24"/>
          <w:szCs w:val="24"/>
        </w:rPr>
        <w:t xml:space="preserve"> </w:t>
      </w:r>
      <w:r>
        <w:rPr>
          <w:spacing w:val="27"/>
          <w:sz w:val="24"/>
          <w:szCs w:val="24"/>
        </w:rPr>
        <w:t>所适用的产品或特殊的限制；</w:t>
      </w:r>
    </w:p>
    <w:p w14:paraId="13269DBB">
      <w:pPr>
        <w:pStyle w:val="2"/>
        <w:spacing w:before="56" w:line="212" w:lineRule="auto"/>
        <w:ind w:left="550"/>
      </w:pPr>
      <w:r>
        <w:rPr>
          <w:rFonts w:ascii="Times New Roman" w:hAnsi="Times New Roman" w:eastAsia="Times New Roman" w:cs="Times New Roman"/>
          <w:spacing w:val="2"/>
        </w:rPr>
        <w:t>b)</w:t>
      </w:r>
      <w:r>
        <w:rPr>
          <w:rFonts w:ascii="Times New Roman" w:hAnsi="Times New Roman" w:eastAsia="Times New Roman" w:cs="Times New Roman"/>
          <w:spacing w:val="69"/>
        </w:rPr>
        <w:t xml:space="preserve"> </w:t>
      </w:r>
      <w:r>
        <w:rPr>
          <w:spacing w:val="2"/>
        </w:rPr>
        <w:t>所适用的合同范围；</w:t>
      </w:r>
    </w:p>
    <w:p w14:paraId="2E161825">
      <w:pPr>
        <w:pStyle w:val="2"/>
        <w:spacing w:before="90" w:line="212" w:lineRule="auto"/>
        <w:ind w:left="550"/>
      </w:pPr>
      <w:r>
        <w:rPr>
          <w:rFonts w:ascii="Times New Roman" w:hAnsi="Times New Roman" w:eastAsia="Times New Roman" w:cs="Times New Roman"/>
          <w:spacing w:val="3"/>
        </w:rPr>
        <w:t>c)</w:t>
      </w:r>
      <w:r>
        <w:rPr>
          <w:rFonts w:ascii="Times New Roman" w:hAnsi="Times New Roman" w:eastAsia="Times New Roman" w:cs="Times New Roman"/>
          <w:spacing w:val="64"/>
          <w:w w:val="101"/>
        </w:rPr>
        <w:t xml:space="preserve"> </w:t>
      </w:r>
      <w:r>
        <w:rPr>
          <w:spacing w:val="3"/>
        </w:rPr>
        <w:t>所适用的研制或生产阶段。</w:t>
      </w:r>
    </w:p>
    <w:p w14:paraId="508BE215">
      <w:pPr>
        <w:spacing w:before="154" w:line="222" w:lineRule="auto"/>
        <w:rPr>
          <w:rFonts w:ascii="黑体" w:hAnsi="黑体" w:eastAsia="黑体" w:cs="黑体"/>
          <w:sz w:val="24"/>
          <w:szCs w:val="24"/>
        </w:rPr>
      </w:pPr>
      <w:r>
        <w:rPr>
          <w:rFonts w:ascii="黑体" w:hAnsi="黑体" w:eastAsia="黑体" w:cs="黑体"/>
          <w:spacing w:val="27"/>
          <w:sz w:val="24"/>
          <w:szCs w:val="24"/>
        </w:rPr>
        <w:t>2</w:t>
      </w:r>
      <w:r>
        <w:rPr>
          <w:rFonts w:ascii="黑体" w:hAnsi="黑体" w:eastAsia="黑体" w:cs="黑体"/>
          <w:spacing w:val="40"/>
          <w:sz w:val="24"/>
          <w:szCs w:val="24"/>
        </w:rPr>
        <w:t xml:space="preserve">  </w:t>
      </w:r>
      <w:r>
        <w:rPr>
          <w:rFonts w:ascii="黑体" w:hAnsi="黑体" w:eastAsia="黑体" w:cs="黑体"/>
          <w:b/>
          <w:bCs/>
          <w:spacing w:val="27"/>
          <w:sz w:val="24"/>
          <w:szCs w:val="24"/>
        </w:rPr>
        <w:t>质量工作原则与质量目标</w:t>
      </w:r>
    </w:p>
    <w:p w14:paraId="3267E1C8">
      <w:pPr>
        <w:spacing w:before="72" w:line="222" w:lineRule="auto"/>
        <w:rPr>
          <w:rFonts w:ascii="黑体" w:hAnsi="黑体" w:eastAsia="黑体" w:cs="黑体"/>
          <w:sz w:val="27"/>
          <w:szCs w:val="27"/>
        </w:rPr>
      </w:pPr>
      <w:r>
        <w:rPr>
          <w:rFonts w:ascii="黑体" w:hAnsi="黑体" w:eastAsia="黑体" w:cs="黑体"/>
          <w:spacing w:val="1"/>
          <w:sz w:val="27"/>
          <w:szCs w:val="27"/>
        </w:rPr>
        <w:t>2.1</w:t>
      </w:r>
      <w:r>
        <w:rPr>
          <w:rFonts w:ascii="黑体" w:hAnsi="黑体" w:eastAsia="黑体" w:cs="黑体"/>
          <w:spacing w:val="20"/>
          <w:sz w:val="27"/>
          <w:szCs w:val="27"/>
        </w:rPr>
        <w:t xml:space="preserve">  </w:t>
      </w:r>
      <w:r>
        <w:rPr>
          <w:rFonts w:ascii="黑体" w:hAnsi="黑体" w:eastAsia="黑体" w:cs="黑体"/>
          <w:b/>
          <w:bCs/>
          <w:spacing w:val="1"/>
          <w:sz w:val="27"/>
          <w:szCs w:val="27"/>
        </w:rPr>
        <w:t>质量工作原则</w:t>
      </w:r>
    </w:p>
    <w:p w14:paraId="3850D68C">
      <w:pPr>
        <w:pStyle w:val="2"/>
        <w:spacing w:before="102" w:line="220" w:lineRule="auto"/>
        <w:ind w:left="550"/>
      </w:pPr>
      <w:r>
        <w:rPr>
          <w:spacing w:val="-4"/>
        </w:rPr>
        <w:t>组织应制定质量工作总原则，一般包括：</w:t>
      </w:r>
    </w:p>
    <w:p w14:paraId="108332B0">
      <w:pPr>
        <w:pStyle w:val="2"/>
        <w:spacing w:before="37" w:line="212" w:lineRule="auto"/>
        <w:ind w:left="550"/>
      </w:pPr>
      <w:r>
        <w:rPr>
          <w:rFonts w:ascii="Times New Roman" w:hAnsi="Times New Roman" w:eastAsia="Times New Roman" w:cs="Times New Roman"/>
          <w:spacing w:val="2"/>
        </w:rPr>
        <w:t>a)</w:t>
      </w:r>
      <w:r>
        <w:rPr>
          <w:rFonts w:ascii="Times New Roman" w:hAnsi="Times New Roman" w:eastAsia="Times New Roman" w:cs="Times New Roman"/>
          <w:spacing w:val="62"/>
          <w:w w:val="101"/>
        </w:rPr>
        <w:t xml:space="preserve"> </w:t>
      </w:r>
      <w:r>
        <w:rPr>
          <w:spacing w:val="2"/>
        </w:rPr>
        <w:t>产品质量工作总要求；</w:t>
      </w:r>
    </w:p>
    <w:p w14:paraId="2022FC4A">
      <w:pPr>
        <w:pStyle w:val="2"/>
        <w:spacing w:before="100" w:line="212" w:lineRule="auto"/>
        <w:ind w:left="550"/>
      </w:pPr>
      <w:r>
        <w:rPr>
          <w:rFonts w:ascii="Times New Roman" w:hAnsi="Times New Roman" w:eastAsia="Times New Roman" w:cs="Times New Roman"/>
          <w:spacing w:val="3"/>
        </w:rPr>
        <w:t>b)</w:t>
      </w:r>
      <w:r>
        <w:rPr>
          <w:rFonts w:ascii="Times New Roman" w:hAnsi="Times New Roman" w:eastAsia="Times New Roman" w:cs="Times New Roman"/>
          <w:spacing w:val="67"/>
        </w:rPr>
        <w:t xml:space="preserve"> </w:t>
      </w:r>
      <w:r>
        <w:rPr>
          <w:spacing w:val="3"/>
        </w:rPr>
        <w:t>技术上应用或借鉴其他产品的程度；</w:t>
      </w:r>
    </w:p>
    <w:p w14:paraId="1B531A2F">
      <w:pPr>
        <w:pStyle w:val="2"/>
        <w:spacing w:before="90" w:line="212" w:lineRule="auto"/>
        <w:ind w:left="550"/>
      </w:pPr>
      <w:r>
        <w:rPr>
          <w:rFonts w:ascii="Times New Roman" w:hAnsi="Times New Roman" w:eastAsia="Times New Roman" w:cs="Times New Roman"/>
          <w:spacing w:val="2"/>
        </w:rPr>
        <w:t>c)</w:t>
      </w:r>
      <w:r>
        <w:rPr>
          <w:rFonts w:ascii="Times New Roman" w:hAnsi="Times New Roman" w:eastAsia="Times New Roman" w:cs="Times New Roman"/>
          <w:spacing w:val="54"/>
          <w:w w:val="101"/>
        </w:rPr>
        <w:t xml:space="preserve"> </w:t>
      </w:r>
      <w:r>
        <w:rPr>
          <w:spacing w:val="2"/>
        </w:rPr>
        <w:t>采用新技术的比例；</w:t>
      </w:r>
    </w:p>
    <w:p w14:paraId="4F09AF40">
      <w:pPr>
        <w:pStyle w:val="2"/>
        <w:spacing w:before="100" w:line="212" w:lineRule="auto"/>
        <w:ind w:left="550"/>
      </w:pPr>
      <w:r>
        <w:rPr>
          <w:rFonts w:ascii="Times New Roman" w:hAnsi="Times New Roman" w:eastAsia="Times New Roman" w:cs="Times New Roman"/>
        </w:rPr>
        <w:t xml:space="preserve">d)  </w:t>
      </w:r>
      <w:r>
        <w:t>技术状态管理的要求；</w:t>
      </w:r>
    </w:p>
    <w:p w14:paraId="734CBA95">
      <w:pPr>
        <w:pStyle w:val="2"/>
        <w:spacing w:before="89" w:line="212" w:lineRule="auto"/>
        <w:ind w:left="550"/>
      </w:pPr>
      <w:r>
        <w:rPr>
          <w:rFonts w:ascii="Times New Roman" w:hAnsi="Times New Roman" w:eastAsia="Times New Roman" w:cs="Times New Roman"/>
          <w:spacing w:val="3"/>
        </w:rPr>
        <w:t>e)</w:t>
      </w:r>
      <w:r>
        <w:rPr>
          <w:rFonts w:ascii="Times New Roman" w:hAnsi="Times New Roman" w:eastAsia="Times New Roman" w:cs="Times New Roman"/>
          <w:spacing w:val="66"/>
          <w:w w:val="101"/>
        </w:rPr>
        <w:t xml:space="preserve"> </w:t>
      </w:r>
      <w:r>
        <w:rPr>
          <w:spacing w:val="3"/>
        </w:rPr>
        <w:t>设计的可制造性。</w:t>
      </w:r>
    </w:p>
    <w:p w14:paraId="1D35FC52">
      <w:pPr>
        <w:spacing w:before="117" w:line="222" w:lineRule="auto"/>
        <w:rPr>
          <w:rFonts w:ascii="黑体" w:hAnsi="黑体" w:eastAsia="黑体" w:cs="黑体"/>
          <w:sz w:val="27"/>
          <w:szCs w:val="27"/>
        </w:rPr>
      </w:pPr>
      <w:r>
        <w:rPr>
          <w:rFonts w:ascii="黑体" w:hAnsi="黑体" w:eastAsia="黑体" w:cs="黑体"/>
          <w:spacing w:val="-5"/>
          <w:sz w:val="27"/>
          <w:szCs w:val="27"/>
        </w:rPr>
        <w:t>2.2</w:t>
      </w:r>
      <w:r>
        <w:rPr>
          <w:rFonts w:ascii="黑体" w:hAnsi="黑体" w:eastAsia="黑体" w:cs="黑体"/>
          <w:spacing w:val="35"/>
          <w:sz w:val="27"/>
          <w:szCs w:val="27"/>
        </w:rPr>
        <w:t xml:space="preserve">  </w:t>
      </w:r>
      <w:r>
        <w:rPr>
          <w:rFonts w:ascii="黑体" w:hAnsi="黑体" w:eastAsia="黑体" w:cs="黑体"/>
          <w:b/>
          <w:bCs/>
          <w:spacing w:val="-5"/>
          <w:sz w:val="27"/>
          <w:szCs w:val="27"/>
        </w:rPr>
        <w:t>质量目标</w:t>
      </w:r>
    </w:p>
    <w:p w14:paraId="7DC01A63">
      <w:pPr>
        <w:pStyle w:val="2"/>
        <w:spacing w:before="80" w:line="220" w:lineRule="auto"/>
        <w:ind w:left="550"/>
      </w:pPr>
      <w:r>
        <w:rPr>
          <w:spacing w:val="-7"/>
        </w:rPr>
        <w:t>组织应制定质量目标，一般包括：</w:t>
      </w:r>
    </w:p>
    <w:p w14:paraId="50ABDDA3">
      <w:pPr>
        <w:pStyle w:val="2"/>
        <w:spacing w:before="47" w:line="212" w:lineRule="auto"/>
        <w:ind w:left="550"/>
      </w:pPr>
      <w:r>
        <w:rPr>
          <w:rFonts w:ascii="Times New Roman" w:hAnsi="Times New Roman" w:eastAsia="Times New Roman" w:cs="Times New Roman"/>
          <w:spacing w:val="4"/>
        </w:rPr>
        <w:t>a)</w:t>
      </w:r>
      <w:r>
        <w:rPr>
          <w:rFonts w:ascii="Times New Roman" w:hAnsi="Times New Roman" w:eastAsia="Times New Roman" w:cs="Times New Roman"/>
          <w:spacing w:val="56"/>
        </w:rPr>
        <w:t xml:space="preserve"> </w:t>
      </w:r>
      <w:r>
        <w:rPr>
          <w:spacing w:val="4"/>
        </w:rPr>
        <w:t>对产品或合同规定的质量特性满意程度；</w:t>
      </w:r>
    </w:p>
    <w:p w14:paraId="67FD6796">
      <w:pPr>
        <w:pStyle w:val="2"/>
        <w:spacing w:before="110" w:line="212" w:lineRule="auto"/>
        <w:ind w:left="550"/>
      </w:pPr>
      <w:r>
        <w:rPr>
          <w:rFonts w:ascii="Times New Roman" w:hAnsi="Times New Roman" w:eastAsia="Times New Roman" w:cs="Times New Roman"/>
          <w:spacing w:val="-11"/>
        </w:rPr>
        <w:t xml:space="preserve">b)  </w:t>
      </w:r>
      <w:r>
        <w:rPr>
          <w:spacing w:val="-11"/>
        </w:rPr>
        <w:t>可靠性、维修性、保障性、安全性和测试性指标等；</w:t>
      </w:r>
    </w:p>
    <w:p w14:paraId="07E535F0">
      <w:pPr>
        <w:pStyle w:val="2"/>
        <w:spacing w:before="90" w:line="212" w:lineRule="auto"/>
        <w:ind w:left="550"/>
      </w:pPr>
      <w:r>
        <w:rPr>
          <w:rFonts w:ascii="Times New Roman" w:hAnsi="Times New Roman" w:eastAsia="Times New Roman" w:cs="Times New Roman"/>
          <w:spacing w:val="2"/>
        </w:rPr>
        <w:t>c)</w:t>
      </w:r>
      <w:r>
        <w:rPr>
          <w:rFonts w:ascii="Times New Roman" w:hAnsi="Times New Roman" w:eastAsia="Times New Roman" w:cs="Times New Roman"/>
          <w:spacing w:val="62"/>
          <w:w w:val="101"/>
        </w:rPr>
        <w:t xml:space="preserve"> </w:t>
      </w:r>
      <w:r>
        <w:rPr>
          <w:spacing w:val="2"/>
        </w:rPr>
        <w:t>顾客满意的重要内容。</w:t>
      </w:r>
    </w:p>
    <w:p w14:paraId="525CB832">
      <w:pPr>
        <w:spacing w:before="114" w:line="221"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29"/>
          <w:sz w:val="27"/>
          <w:szCs w:val="27"/>
        </w:rPr>
        <w:t xml:space="preserve">  </w:t>
      </w:r>
      <w:r>
        <w:rPr>
          <w:rFonts w:ascii="黑体" w:hAnsi="黑体" w:eastAsia="黑体" w:cs="黑体"/>
          <w:b/>
          <w:bCs/>
          <w:spacing w:val="-1"/>
          <w:sz w:val="27"/>
          <w:szCs w:val="27"/>
        </w:rPr>
        <w:t>管理职责</w:t>
      </w:r>
    </w:p>
    <w:p w14:paraId="0C511FF1">
      <w:pPr>
        <w:pStyle w:val="2"/>
        <w:spacing w:before="111" w:line="265" w:lineRule="auto"/>
        <w:ind w:firstLine="550"/>
        <w:jc w:val="both"/>
      </w:pPr>
      <w:r>
        <w:rPr>
          <w:spacing w:val="-1"/>
        </w:rPr>
        <w:t>大纲应明确各级各类相关人员的职责、权限、相互关系和内部沟通的方法，</w:t>
      </w:r>
      <w:r>
        <w:rPr>
          <w:spacing w:val="16"/>
        </w:rPr>
        <w:t xml:space="preserve"> </w:t>
      </w:r>
      <w:r>
        <w:rPr>
          <w:spacing w:val="4"/>
        </w:rPr>
        <w:t>以及有关职能部门的质量职责和接口的关系，并作为整个产品保证工作系统的</w:t>
      </w:r>
      <w:r>
        <w:rPr>
          <w:spacing w:val="14"/>
        </w:rPr>
        <w:t xml:space="preserve"> </w:t>
      </w:r>
      <w:r>
        <w:rPr>
          <w:spacing w:val="3"/>
        </w:rPr>
        <w:t>一部分。</w:t>
      </w:r>
    </w:p>
    <w:p w14:paraId="1CEBA6B8">
      <w:pPr>
        <w:spacing w:before="14" w:line="222"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43"/>
          <w:sz w:val="27"/>
          <w:szCs w:val="27"/>
        </w:rPr>
        <w:t xml:space="preserve">  </w:t>
      </w:r>
      <w:r>
        <w:rPr>
          <w:rFonts w:ascii="黑体" w:hAnsi="黑体" w:eastAsia="黑体" w:cs="黑体"/>
          <w:b/>
          <w:bCs/>
          <w:spacing w:val="-2"/>
          <w:sz w:val="27"/>
          <w:szCs w:val="27"/>
        </w:rPr>
        <w:t>文件和记录的控制</w:t>
      </w:r>
    </w:p>
    <w:p w14:paraId="5F6CE8C5">
      <w:pPr>
        <w:pStyle w:val="2"/>
        <w:spacing w:before="99" w:line="276" w:lineRule="auto"/>
        <w:ind w:right="113" w:firstLine="550"/>
      </w:pPr>
      <w:r>
        <w:rPr>
          <w:spacing w:val="4"/>
        </w:rPr>
        <w:t>大纲应对研制、生产全过程中文件和记录的控制作出规定。当控制要求与</w:t>
      </w:r>
      <w:r>
        <w:rPr>
          <w:spacing w:val="12"/>
        </w:rPr>
        <w:t xml:space="preserve"> </w:t>
      </w:r>
      <w:r>
        <w:rPr>
          <w:spacing w:val="-3"/>
        </w:rPr>
        <w:t>组织的质量管理体系文件要求一致时，可直接引</w:t>
      </w:r>
      <w:r>
        <w:rPr>
          <w:spacing w:val="-4"/>
        </w:rPr>
        <w:t>用。</w:t>
      </w:r>
    </w:p>
    <w:p w14:paraId="36E90BB1">
      <w:pPr>
        <w:spacing w:line="276" w:lineRule="auto"/>
        <w:sectPr>
          <w:footerReference r:id="rId318" w:type="default"/>
          <w:pgSz w:w="11910" w:h="17130"/>
          <w:pgMar w:top="1456" w:right="1285" w:bottom="1737" w:left="1180" w:header="0" w:footer="1520" w:gutter="0"/>
          <w:cols w:space="720" w:num="1"/>
        </w:sectPr>
      </w:pPr>
    </w:p>
    <w:p w14:paraId="4884E2A4">
      <w:pPr>
        <w:pStyle w:val="2"/>
        <w:spacing w:before="95" w:line="219" w:lineRule="auto"/>
        <w:ind w:left="560"/>
      </w:pPr>
      <w:r>
        <w:rPr>
          <w:spacing w:val="9"/>
        </w:rPr>
        <w:t>成套资料应符合</w:t>
      </w:r>
      <w:r>
        <w:rPr>
          <w:rFonts w:ascii="Times New Roman" w:hAnsi="Times New Roman" w:eastAsia="Times New Roman" w:cs="Times New Roman"/>
        </w:rPr>
        <w:t>GJB</w:t>
      </w:r>
      <w:r>
        <w:rPr>
          <w:rFonts w:ascii="Times New Roman" w:hAnsi="Times New Roman" w:eastAsia="Times New Roman" w:cs="Times New Roman"/>
          <w:spacing w:val="9"/>
        </w:rPr>
        <w:t xml:space="preserve">  906</w:t>
      </w:r>
      <w:r>
        <w:rPr>
          <w:spacing w:val="9"/>
        </w:rPr>
        <w:t>的规定。</w:t>
      </w:r>
    </w:p>
    <w:p w14:paraId="1622517C">
      <w:pPr>
        <w:spacing w:before="75" w:line="222"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19"/>
          <w:sz w:val="27"/>
          <w:szCs w:val="27"/>
        </w:rPr>
        <w:t xml:space="preserve">  </w:t>
      </w:r>
      <w:r>
        <w:rPr>
          <w:rFonts w:ascii="黑体" w:hAnsi="黑体" w:eastAsia="黑体" w:cs="黑体"/>
          <w:b/>
          <w:bCs/>
          <w:spacing w:val="-1"/>
          <w:sz w:val="27"/>
          <w:szCs w:val="27"/>
        </w:rPr>
        <w:t>质量信息的管理</w:t>
      </w:r>
    </w:p>
    <w:p w14:paraId="66B19B8A">
      <w:pPr>
        <w:pStyle w:val="2"/>
        <w:spacing w:before="90" w:line="278" w:lineRule="auto"/>
        <w:ind w:right="115" w:firstLine="560"/>
        <w:jc w:val="both"/>
      </w:pPr>
      <w:r>
        <w:rPr>
          <w:spacing w:val="5"/>
        </w:rPr>
        <w:t>大纲中应明确规定为达到产品符合规定要求所需要的信息，以及实施信息</w:t>
      </w:r>
      <w:r>
        <w:rPr>
          <w:spacing w:val="8"/>
        </w:rPr>
        <w:t xml:space="preserve"> </w:t>
      </w:r>
      <w:r>
        <w:rPr>
          <w:spacing w:val="-10"/>
        </w:rPr>
        <w:t>的收集、分析、处理、反馈、存储和报告的要求。对发现的产品质量问题应按要求</w:t>
      </w:r>
      <w:r>
        <w:rPr>
          <w:spacing w:val="1"/>
        </w:rPr>
        <w:t xml:space="preserve"> </w:t>
      </w:r>
      <w:r>
        <w:t>实施质量问题归零，并充分利用产品在使用中的质量信息改进产品质量。</w:t>
      </w:r>
    </w:p>
    <w:p w14:paraId="6C8F3E75">
      <w:pPr>
        <w:spacing w:before="5" w:line="222"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20"/>
          <w:sz w:val="27"/>
          <w:szCs w:val="27"/>
        </w:rPr>
        <w:t xml:space="preserve">  </w:t>
      </w:r>
      <w:r>
        <w:rPr>
          <w:rFonts w:ascii="黑体" w:hAnsi="黑体" w:eastAsia="黑体" w:cs="黑体"/>
          <w:b/>
          <w:bCs/>
          <w:spacing w:val="-1"/>
          <w:sz w:val="27"/>
          <w:szCs w:val="27"/>
        </w:rPr>
        <w:t>技术状态管理</w:t>
      </w:r>
    </w:p>
    <w:p w14:paraId="15897118">
      <w:pPr>
        <w:pStyle w:val="2"/>
        <w:spacing w:before="90" w:line="272" w:lineRule="auto"/>
        <w:ind w:firstLine="560"/>
        <w:jc w:val="both"/>
      </w:pPr>
      <w:r>
        <w:rPr>
          <w:spacing w:val="5"/>
        </w:rPr>
        <w:t>组织应针对具体产品按</w:t>
      </w:r>
      <w:r>
        <w:rPr>
          <w:rFonts w:ascii="Times New Roman" w:hAnsi="Times New Roman" w:eastAsia="Times New Roman" w:cs="Times New Roman"/>
        </w:rPr>
        <w:t>GJB</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 xml:space="preserve">3206A </w:t>
      </w:r>
      <w:r>
        <w:rPr>
          <w:spacing w:val="5"/>
        </w:rPr>
        <w:t>的要求策划和实施技术状态管理活动，</w:t>
      </w:r>
      <w:r>
        <w:rPr>
          <w:spacing w:val="1"/>
        </w:rPr>
        <w:t xml:space="preserve"> </w:t>
      </w:r>
      <w:r>
        <w:rPr>
          <w:spacing w:val="-3"/>
        </w:rPr>
        <w:t>明确规定技术状态标识、控制、记实和审核的方法和要求。技术状态管理活动应</w:t>
      </w:r>
      <w:r>
        <w:rPr>
          <w:spacing w:val="7"/>
        </w:rPr>
        <w:t xml:space="preserve">  </w:t>
      </w:r>
      <w:r>
        <w:rPr>
          <w:spacing w:val="5"/>
        </w:rPr>
        <w:t xml:space="preserve">从方案阶段开始，在产品的全寿命周期内，应能准确清楚地表明产品的技术状  </w:t>
      </w:r>
      <w:r>
        <w:rPr>
          <w:spacing w:val="-9"/>
        </w:rPr>
        <w:t>态，并实施有效的控制。</w:t>
      </w:r>
    </w:p>
    <w:p w14:paraId="71CB6639">
      <w:pPr>
        <w:spacing w:before="33" w:line="222" w:lineRule="auto"/>
        <w:rPr>
          <w:rFonts w:ascii="黑体" w:hAnsi="黑体" w:eastAsia="黑体" w:cs="黑体"/>
          <w:sz w:val="25"/>
          <w:szCs w:val="25"/>
        </w:rPr>
      </w:pPr>
      <w:r>
        <w:rPr>
          <w:rFonts w:ascii="黑体" w:hAnsi="黑体" w:eastAsia="黑体" w:cs="黑体"/>
          <w:spacing w:val="17"/>
          <w:sz w:val="25"/>
          <w:szCs w:val="25"/>
        </w:rPr>
        <w:t>6.1</w:t>
      </w:r>
      <w:r>
        <w:rPr>
          <w:rFonts w:ascii="黑体" w:hAnsi="黑体" w:eastAsia="黑体" w:cs="黑体"/>
          <w:spacing w:val="36"/>
          <w:sz w:val="25"/>
          <w:szCs w:val="25"/>
        </w:rPr>
        <w:t xml:space="preserve">  </w:t>
      </w:r>
      <w:r>
        <w:rPr>
          <w:rFonts w:ascii="黑体" w:hAnsi="黑体" w:eastAsia="黑体" w:cs="黑体"/>
          <w:b/>
          <w:bCs/>
          <w:spacing w:val="17"/>
          <w:sz w:val="25"/>
          <w:szCs w:val="25"/>
        </w:rPr>
        <w:t>技术状态标识</w:t>
      </w:r>
    </w:p>
    <w:p w14:paraId="3E149BDD">
      <w:pPr>
        <w:pStyle w:val="2"/>
        <w:spacing w:before="94" w:line="219" w:lineRule="auto"/>
        <w:ind w:left="560"/>
      </w:pPr>
      <w:r>
        <w:rPr>
          <w:spacing w:val="1"/>
        </w:rPr>
        <w:t>技术状态标识的任务包括：</w:t>
      </w:r>
    </w:p>
    <w:p w14:paraId="10D377CC">
      <w:pPr>
        <w:pStyle w:val="2"/>
        <w:spacing w:before="81" w:line="212" w:lineRule="auto"/>
        <w:ind w:left="560"/>
        <w:rPr>
          <w:sz w:val="24"/>
          <w:szCs w:val="24"/>
        </w:rPr>
      </w:pPr>
      <w:r>
        <w:rPr>
          <w:rFonts w:ascii="Times New Roman" w:hAnsi="Times New Roman" w:eastAsia="Times New Roman" w:cs="Times New Roman"/>
          <w:spacing w:val="25"/>
          <w:sz w:val="24"/>
          <w:szCs w:val="24"/>
        </w:rPr>
        <w:t>a)</w:t>
      </w:r>
      <w:r>
        <w:rPr>
          <w:rFonts w:ascii="Times New Roman" w:hAnsi="Times New Roman" w:eastAsia="Times New Roman" w:cs="Times New Roman"/>
          <w:spacing w:val="21"/>
          <w:sz w:val="24"/>
          <w:szCs w:val="24"/>
        </w:rPr>
        <w:t xml:space="preserve">  </w:t>
      </w:r>
      <w:r>
        <w:rPr>
          <w:spacing w:val="25"/>
          <w:sz w:val="24"/>
          <w:szCs w:val="24"/>
        </w:rPr>
        <w:t>选择技术状态项；</w:t>
      </w:r>
    </w:p>
    <w:p w14:paraId="7F924E77">
      <w:pPr>
        <w:pStyle w:val="2"/>
        <w:spacing w:before="92" w:line="212" w:lineRule="auto"/>
        <w:ind w:left="560"/>
      </w:pPr>
      <w:r>
        <w:rPr>
          <w:rFonts w:ascii="Times New Roman" w:hAnsi="Times New Roman" w:eastAsia="Times New Roman" w:cs="Times New Roman"/>
          <w:spacing w:val="4"/>
        </w:rPr>
        <w:t xml:space="preserve">b)  </w:t>
      </w:r>
      <w:r>
        <w:rPr>
          <w:spacing w:val="4"/>
        </w:rPr>
        <w:t>确定各技术状态项在不同阶段所需的技术状态文件；</w:t>
      </w:r>
    </w:p>
    <w:p w14:paraId="3B434BEC">
      <w:pPr>
        <w:pStyle w:val="2"/>
        <w:spacing w:before="110" w:line="212" w:lineRule="auto"/>
        <w:ind w:left="560"/>
      </w:pPr>
      <w:r>
        <w:rPr>
          <w:rFonts w:ascii="Times New Roman" w:hAnsi="Times New Roman" w:eastAsia="Times New Roman" w:cs="Times New Roman"/>
          <w:spacing w:val="3"/>
        </w:rPr>
        <w:t xml:space="preserve">c)  </w:t>
      </w:r>
      <w:r>
        <w:rPr>
          <w:spacing w:val="3"/>
        </w:rPr>
        <w:t>标识技术状态项和技术状态文件；</w:t>
      </w:r>
    </w:p>
    <w:p w14:paraId="477A44D7">
      <w:pPr>
        <w:pStyle w:val="2"/>
        <w:spacing w:before="100" w:line="212" w:lineRule="auto"/>
        <w:ind w:left="560"/>
      </w:pPr>
      <w:r>
        <w:rPr>
          <w:rFonts w:ascii="Times New Roman" w:hAnsi="Times New Roman" w:eastAsia="Times New Roman" w:cs="Times New Roman"/>
          <w:spacing w:val="2"/>
        </w:rPr>
        <w:t xml:space="preserve">d)  </w:t>
      </w:r>
      <w:r>
        <w:rPr>
          <w:spacing w:val="2"/>
        </w:rPr>
        <w:t>建立技术状态基线；</w:t>
      </w:r>
    </w:p>
    <w:p w14:paraId="496C63E4">
      <w:pPr>
        <w:pStyle w:val="2"/>
        <w:spacing w:before="100" w:line="212" w:lineRule="auto"/>
        <w:ind w:left="560"/>
      </w:pPr>
      <w:r>
        <w:rPr>
          <w:rFonts w:ascii="Times New Roman" w:hAnsi="Times New Roman" w:eastAsia="Times New Roman" w:cs="Times New Roman"/>
          <w:spacing w:val="4"/>
        </w:rPr>
        <w:t xml:space="preserve">e)  </w:t>
      </w:r>
      <w:r>
        <w:rPr>
          <w:spacing w:val="4"/>
        </w:rPr>
        <w:t>发放经正式确认的技术状态文件并保持其原件。</w:t>
      </w:r>
    </w:p>
    <w:p w14:paraId="59443000">
      <w:pPr>
        <w:spacing w:before="117" w:line="222" w:lineRule="auto"/>
        <w:rPr>
          <w:rFonts w:ascii="黑体" w:hAnsi="黑体" w:eastAsia="黑体" w:cs="黑体"/>
          <w:sz w:val="27"/>
          <w:szCs w:val="27"/>
        </w:rPr>
      </w:pPr>
      <w:r>
        <w:rPr>
          <w:rFonts w:ascii="黑体" w:hAnsi="黑体" w:eastAsia="黑体" w:cs="黑体"/>
          <w:spacing w:val="-1"/>
          <w:sz w:val="27"/>
          <w:szCs w:val="27"/>
        </w:rPr>
        <w:t>6.2</w:t>
      </w:r>
      <w:r>
        <w:rPr>
          <w:rFonts w:ascii="黑体" w:hAnsi="黑体" w:eastAsia="黑体" w:cs="黑体"/>
          <w:spacing w:val="17"/>
          <w:sz w:val="27"/>
          <w:szCs w:val="27"/>
        </w:rPr>
        <w:t xml:space="preserve">  </w:t>
      </w:r>
      <w:r>
        <w:rPr>
          <w:rFonts w:ascii="黑体" w:hAnsi="黑体" w:eastAsia="黑体" w:cs="黑体"/>
          <w:b/>
          <w:bCs/>
          <w:spacing w:val="-1"/>
          <w:sz w:val="27"/>
          <w:szCs w:val="27"/>
        </w:rPr>
        <w:t>技术状态控制</w:t>
      </w:r>
    </w:p>
    <w:p w14:paraId="711516C0">
      <w:pPr>
        <w:pStyle w:val="2"/>
        <w:spacing w:before="99" w:line="219" w:lineRule="auto"/>
        <w:ind w:left="560"/>
      </w:pPr>
      <w:r>
        <w:rPr>
          <w:spacing w:val="2"/>
        </w:rPr>
        <w:t>技术状态控制的任务包括：</w:t>
      </w:r>
    </w:p>
    <w:p w14:paraId="4D15C4B9">
      <w:pPr>
        <w:pStyle w:val="2"/>
        <w:spacing w:before="49" w:line="212" w:lineRule="auto"/>
        <w:ind w:left="560"/>
      </w:pPr>
      <w:r>
        <w:rPr>
          <w:rFonts w:ascii="Times New Roman" w:hAnsi="Times New Roman" w:eastAsia="Times New Roman" w:cs="Times New Roman"/>
        </w:rPr>
        <w:t xml:space="preserve">a)  </w:t>
      </w:r>
      <w:r>
        <w:t>制定控制技术状态更改、偏离许可和让步的管理程序与方法；</w:t>
      </w:r>
    </w:p>
    <w:p w14:paraId="1B6B205E">
      <w:pPr>
        <w:pStyle w:val="2"/>
        <w:spacing w:before="100" w:line="212" w:lineRule="auto"/>
        <w:ind w:left="560"/>
      </w:pPr>
      <w:r>
        <w:rPr>
          <w:rFonts w:ascii="Times New Roman" w:hAnsi="Times New Roman" w:eastAsia="Times New Roman" w:cs="Times New Roman"/>
          <w:spacing w:val="-3"/>
        </w:rPr>
        <w:t xml:space="preserve">b)  </w:t>
      </w:r>
      <w:r>
        <w:rPr>
          <w:spacing w:val="-3"/>
        </w:rPr>
        <w:t>控制技术状态更改、偏离许可和让步；</w:t>
      </w:r>
    </w:p>
    <w:p w14:paraId="4DE85D36">
      <w:pPr>
        <w:pStyle w:val="2"/>
        <w:spacing w:before="110"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2"/>
        </w:rPr>
        <w:t xml:space="preserve"> </w:t>
      </w:r>
      <w:r>
        <w:rPr>
          <w:spacing w:val="-3"/>
        </w:rPr>
        <w:t>确保已批准的技术状态更改申请，及偏离许可、让步申请得到准确实施。</w:t>
      </w:r>
    </w:p>
    <w:p w14:paraId="52D0562C">
      <w:pPr>
        <w:spacing w:before="105" w:line="222" w:lineRule="auto"/>
        <w:rPr>
          <w:rFonts w:ascii="黑体" w:hAnsi="黑体" w:eastAsia="黑体" w:cs="黑体"/>
          <w:sz w:val="27"/>
          <w:szCs w:val="27"/>
        </w:rPr>
      </w:pPr>
      <w:r>
        <w:rPr>
          <w:rFonts w:ascii="黑体" w:hAnsi="黑体" w:eastAsia="黑体" w:cs="黑体"/>
          <w:spacing w:val="1"/>
          <w:sz w:val="27"/>
          <w:szCs w:val="27"/>
        </w:rPr>
        <w:t>6.3</w:t>
      </w:r>
      <w:r>
        <w:rPr>
          <w:rFonts w:ascii="黑体" w:hAnsi="黑体" w:eastAsia="黑体" w:cs="黑体"/>
          <w:spacing w:val="15"/>
          <w:sz w:val="27"/>
          <w:szCs w:val="27"/>
        </w:rPr>
        <w:t xml:space="preserve">  </w:t>
      </w:r>
      <w:r>
        <w:rPr>
          <w:rFonts w:ascii="黑体" w:hAnsi="黑体" w:eastAsia="黑体" w:cs="黑体"/>
          <w:b/>
          <w:bCs/>
          <w:spacing w:val="1"/>
          <w:sz w:val="27"/>
          <w:szCs w:val="27"/>
        </w:rPr>
        <w:t>技术状态记实</w:t>
      </w:r>
    </w:p>
    <w:p w14:paraId="14F0CEFC">
      <w:pPr>
        <w:pStyle w:val="2"/>
        <w:spacing w:before="101" w:line="219" w:lineRule="auto"/>
        <w:ind w:left="560"/>
      </w:pPr>
      <w:r>
        <w:rPr>
          <w:spacing w:val="1"/>
        </w:rPr>
        <w:t>技术状态记实的任务包括：</w:t>
      </w:r>
    </w:p>
    <w:p w14:paraId="2555DB2E">
      <w:pPr>
        <w:pStyle w:val="2"/>
        <w:spacing w:before="58" w:line="262" w:lineRule="auto"/>
        <w:ind w:right="94" w:firstLine="560"/>
      </w:pPr>
      <w:r>
        <w:rPr>
          <w:rFonts w:ascii="Times New Roman" w:hAnsi="Times New Roman" w:eastAsia="Times New Roman" w:cs="Times New Roman"/>
          <w:spacing w:val="3"/>
        </w:rPr>
        <w:t xml:space="preserve">a)  </w:t>
      </w:r>
      <w:r>
        <w:rPr>
          <w:spacing w:val="3"/>
        </w:rPr>
        <w:t>记录并报告各技术状态项的标识号、现行已批准的技术状态文件及其标</w:t>
      </w:r>
      <w:r>
        <w:rPr>
          <w:spacing w:val="9"/>
        </w:rPr>
        <w:t xml:space="preserve"> </w:t>
      </w:r>
      <w:r>
        <w:rPr>
          <w:spacing w:val="-4"/>
        </w:rPr>
        <w:t>识号；</w:t>
      </w:r>
    </w:p>
    <w:p w14:paraId="79128349">
      <w:pPr>
        <w:pStyle w:val="2"/>
        <w:spacing w:before="64" w:line="212" w:lineRule="auto"/>
        <w:ind w:left="560"/>
      </w:pPr>
      <w:r>
        <w:rPr>
          <w:rFonts w:ascii="Times New Roman" w:hAnsi="Times New Roman" w:eastAsia="Times New Roman" w:cs="Times New Roman"/>
          <w:spacing w:val="5"/>
        </w:rPr>
        <w:t>b)</w:t>
      </w:r>
      <w:r>
        <w:rPr>
          <w:rFonts w:ascii="Times New Roman" w:hAnsi="Times New Roman" w:eastAsia="Times New Roman" w:cs="Times New Roman"/>
          <w:spacing w:val="67"/>
        </w:rPr>
        <w:t xml:space="preserve"> </w:t>
      </w:r>
      <w:r>
        <w:rPr>
          <w:spacing w:val="5"/>
        </w:rPr>
        <w:t>记录并报告每一项技术状态更改从提出到实施的全过程情况；</w:t>
      </w:r>
    </w:p>
    <w:p w14:paraId="0AC73EBA">
      <w:pPr>
        <w:pStyle w:val="2"/>
        <w:spacing w:before="9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62"/>
          <w:w w:val="101"/>
        </w:rPr>
        <w:t xml:space="preserve"> </w:t>
      </w:r>
      <w:r>
        <w:rPr>
          <w:spacing w:val="4"/>
        </w:rPr>
        <w:t>记录并报告技术状态项的所有偏离许可和让步的状况；</w:t>
      </w:r>
    </w:p>
    <w:p w14:paraId="00443453">
      <w:pPr>
        <w:pStyle w:val="2"/>
        <w:spacing w:before="100" w:line="212" w:lineRule="auto"/>
        <w:ind w:left="560"/>
      </w:pPr>
      <w:r>
        <w:rPr>
          <w:rFonts w:ascii="Times New Roman" w:hAnsi="Times New Roman" w:eastAsia="Times New Roman" w:cs="Times New Roman"/>
          <w:spacing w:val="1"/>
        </w:rPr>
        <w:t xml:space="preserve">d)  </w:t>
      </w:r>
      <w:r>
        <w:rPr>
          <w:spacing w:val="1"/>
        </w:rPr>
        <w:t>记录并报告技术状态审核的结果，包括不符合的状况和最终处理情况；</w:t>
      </w:r>
    </w:p>
    <w:p w14:paraId="278FE942">
      <w:pPr>
        <w:pStyle w:val="2"/>
        <w:spacing w:before="100" w:line="212" w:lineRule="auto"/>
        <w:ind w:left="560"/>
      </w:pPr>
      <w:r>
        <w:rPr>
          <w:rFonts w:ascii="Times New Roman" w:hAnsi="Times New Roman" w:eastAsia="Times New Roman" w:cs="Times New Roman"/>
          <w:spacing w:val="3"/>
        </w:rPr>
        <w:t xml:space="preserve">e)  </w:t>
      </w:r>
      <w:r>
        <w:rPr>
          <w:spacing w:val="3"/>
        </w:rPr>
        <w:t>记录并维持已交付产品的版本信息及产品升级的信息；</w:t>
      </w:r>
    </w:p>
    <w:p w14:paraId="780F0E24">
      <w:pPr>
        <w:pStyle w:val="2"/>
        <w:spacing w:before="80" w:line="212" w:lineRule="auto"/>
        <w:ind w:left="560"/>
      </w:pPr>
      <w:r>
        <w:rPr>
          <w:rFonts w:ascii="Times New Roman" w:hAnsi="Times New Roman" w:eastAsia="Times New Roman" w:cs="Times New Roman"/>
          <w:spacing w:val="-2"/>
        </w:rPr>
        <w:t>f)</w:t>
      </w:r>
      <w:r>
        <w:rPr>
          <w:rFonts w:ascii="Times New Roman" w:hAnsi="Times New Roman" w:eastAsia="Times New Roman" w:cs="Times New Roman"/>
          <w:spacing w:val="75"/>
          <w:w w:val="101"/>
        </w:rPr>
        <w:t xml:space="preserve"> </w:t>
      </w:r>
      <w:r>
        <w:rPr>
          <w:spacing w:val="-2"/>
        </w:rPr>
        <w:t>定期备份技术状态记实数据，维护数据的安全性。</w:t>
      </w:r>
    </w:p>
    <w:p w14:paraId="44565F72">
      <w:pPr>
        <w:spacing w:before="117" w:line="222" w:lineRule="auto"/>
        <w:rPr>
          <w:rFonts w:ascii="黑体" w:hAnsi="黑体" w:eastAsia="黑体" w:cs="黑体"/>
          <w:sz w:val="27"/>
          <w:szCs w:val="27"/>
        </w:rPr>
      </w:pPr>
      <w:r>
        <w:rPr>
          <w:rFonts w:ascii="黑体" w:hAnsi="黑体" w:eastAsia="黑体" w:cs="黑体"/>
          <w:sz w:val="27"/>
          <w:szCs w:val="27"/>
        </w:rPr>
        <w:t>6.4</w:t>
      </w:r>
      <w:r>
        <w:rPr>
          <w:rFonts w:ascii="黑体" w:hAnsi="黑体" w:eastAsia="黑体" w:cs="黑体"/>
          <w:spacing w:val="16"/>
          <w:sz w:val="27"/>
          <w:szCs w:val="27"/>
        </w:rPr>
        <w:t xml:space="preserve">  </w:t>
      </w:r>
      <w:r>
        <w:rPr>
          <w:rFonts w:ascii="黑体" w:hAnsi="黑体" w:eastAsia="黑体" w:cs="黑体"/>
          <w:b/>
          <w:bCs/>
          <w:sz w:val="27"/>
          <w:szCs w:val="27"/>
        </w:rPr>
        <w:t>技术状态审核</w:t>
      </w:r>
    </w:p>
    <w:p w14:paraId="09B30796">
      <w:pPr>
        <w:pStyle w:val="2"/>
        <w:spacing w:before="99" w:line="219" w:lineRule="auto"/>
        <w:ind w:left="560"/>
      </w:pPr>
      <w:r>
        <w:rPr>
          <w:spacing w:val="5"/>
        </w:rPr>
        <w:t>每一个技术状态项都应进行功能技术状态审核和物理技</w:t>
      </w:r>
      <w:r>
        <w:rPr>
          <w:spacing w:val="4"/>
        </w:rPr>
        <w:t>术状态审核。</w:t>
      </w:r>
    </w:p>
    <w:p w14:paraId="36CE3797">
      <w:pPr>
        <w:pStyle w:val="2"/>
        <w:spacing w:before="110" w:line="219" w:lineRule="auto"/>
        <w:ind w:left="560"/>
      </w:pPr>
      <w:r>
        <w:rPr>
          <w:spacing w:val="6"/>
        </w:rPr>
        <w:t>应成立技术状态审核组，审核组成员应有代表性和相应的资质。承制</w:t>
      </w:r>
      <w:r>
        <w:rPr>
          <w:spacing w:val="5"/>
        </w:rPr>
        <w:t>方应</w:t>
      </w:r>
    </w:p>
    <w:p w14:paraId="6F09D4C7">
      <w:pPr>
        <w:spacing w:line="219" w:lineRule="auto"/>
        <w:sectPr>
          <w:footerReference r:id="rId319" w:type="default"/>
          <w:pgSz w:w="11910" w:h="17130"/>
          <w:pgMar w:top="1456" w:right="995" w:bottom="1627" w:left="1430" w:header="0" w:footer="1410" w:gutter="0"/>
          <w:cols w:space="720" w:num="1"/>
        </w:sectPr>
      </w:pPr>
    </w:p>
    <w:p w14:paraId="21613515">
      <w:pPr>
        <w:pStyle w:val="2"/>
        <w:spacing w:before="153" w:line="219" w:lineRule="auto"/>
      </w:pPr>
      <w:r>
        <w:rPr>
          <w:spacing w:val="4"/>
        </w:rPr>
        <w:t>采取必要措施配合开展技术状态审核。</w:t>
      </w:r>
    </w:p>
    <w:p w14:paraId="1077071C">
      <w:pPr>
        <w:pStyle w:val="2"/>
        <w:spacing w:before="82" w:line="272" w:lineRule="auto"/>
        <w:ind w:right="560" w:firstLine="550"/>
        <w:rPr>
          <w:rFonts w:ascii="黑体" w:hAnsi="黑体" w:eastAsia="黑体" w:cs="黑体"/>
        </w:rPr>
      </w:pPr>
      <w:r>
        <w:t>在正式的技术状态审核之前，承制方应自行组织内部的技术状态审核。</w:t>
      </w:r>
      <w:r>
        <w:rPr>
          <w:spacing w:val="3"/>
        </w:rPr>
        <w:t xml:space="preserve"> </w:t>
      </w:r>
      <w:r>
        <w:rPr>
          <w:rFonts w:ascii="黑体" w:hAnsi="黑体" w:eastAsia="黑体" w:cs="黑体"/>
          <w:spacing w:val="-1"/>
        </w:rPr>
        <w:t>7</w:t>
      </w:r>
      <w:r>
        <w:rPr>
          <w:rFonts w:ascii="黑体" w:hAnsi="黑体" w:eastAsia="黑体" w:cs="黑体"/>
          <w:spacing w:val="27"/>
        </w:rPr>
        <w:t xml:space="preserve">  </w:t>
      </w:r>
      <w:r>
        <w:rPr>
          <w:rFonts w:ascii="黑体" w:hAnsi="黑体" w:eastAsia="黑体" w:cs="黑体"/>
          <w:b/>
          <w:bCs/>
          <w:spacing w:val="-1"/>
        </w:rPr>
        <w:t>人员培训和资格考核</w:t>
      </w:r>
    </w:p>
    <w:p w14:paraId="6EECC729">
      <w:pPr>
        <w:pStyle w:val="2"/>
        <w:spacing w:before="3" w:line="278" w:lineRule="auto"/>
        <w:ind w:right="105" w:firstLine="550"/>
        <w:jc w:val="both"/>
      </w:pPr>
      <w:r>
        <w:rPr>
          <w:spacing w:val="-3"/>
        </w:rPr>
        <w:t>根据产品的特点，大纲应规定对参与研制、生产、试验的所有人员进行培训</w:t>
      </w:r>
      <w:r>
        <w:rPr>
          <w:spacing w:val="17"/>
        </w:rPr>
        <w:t xml:space="preserve"> </w:t>
      </w:r>
      <w:r>
        <w:rPr>
          <w:spacing w:val="-3"/>
        </w:rPr>
        <w:t>和资格考核的要求。当关键加工过程不能满足要求，工艺、参数或所需技能有较</w:t>
      </w:r>
      <w:r>
        <w:rPr>
          <w:spacing w:val="15"/>
        </w:rPr>
        <w:t xml:space="preserve"> </w:t>
      </w:r>
      <w:r>
        <w:rPr>
          <w:spacing w:val="-2"/>
        </w:rPr>
        <w:t>大改变，或加工工艺较长时间未使用时，应</w:t>
      </w:r>
      <w:r>
        <w:rPr>
          <w:spacing w:val="-3"/>
        </w:rPr>
        <w:t>规定对有关人员重新进行培训和考核</w:t>
      </w:r>
      <w:r>
        <w:t xml:space="preserve"> </w:t>
      </w:r>
      <w:r>
        <w:rPr>
          <w:spacing w:val="-3"/>
        </w:rPr>
        <w:t>的要求。</w:t>
      </w:r>
    </w:p>
    <w:p w14:paraId="49CAD717">
      <w:pPr>
        <w:spacing w:line="222" w:lineRule="auto"/>
        <w:rPr>
          <w:rFonts w:ascii="黑体" w:hAnsi="黑体" w:eastAsia="黑体" w:cs="黑体"/>
          <w:sz w:val="27"/>
          <w:szCs w:val="27"/>
        </w:rPr>
      </w:pPr>
      <w:r>
        <w:rPr>
          <w:rFonts w:ascii="黑体" w:hAnsi="黑体" w:eastAsia="黑体" w:cs="黑体"/>
          <w:spacing w:val="-2"/>
          <w:sz w:val="27"/>
          <w:szCs w:val="27"/>
        </w:rPr>
        <w:t>8</w:t>
      </w:r>
      <w:r>
        <w:rPr>
          <w:rFonts w:ascii="黑体" w:hAnsi="黑体" w:eastAsia="黑体" w:cs="黑体"/>
          <w:spacing w:val="24"/>
          <w:sz w:val="27"/>
          <w:szCs w:val="27"/>
        </w:rPr>
        <w:t xml:space="preserve">  </w:t>
      </w:r>
      <w:r>
        <w:rPr>
          <w:rFonts w:ascii="黑体" w:hAnsi="黑体" w:eastAsia="黑体" w:cs="黑体"/>
          <w:b/>
          <w:bCs/>
          <w:spacing w:val="-2"/>
          <w:sz w:val="27"/>
          <w:szCs w:val="27"/>
        </w:rPr>
        <w:t>顾客沟通</w:t>
      </w:r>
    </w:p>
    <w:p w14:paraId="0FB71551">
      <w:pPr>
        <w:pStyle w:val="2"/>
        <w:spacing w:before="99" w:line="219" w:lineRule="auto"/>
        <w:ind w:left="550"/>
      </w:pPr>
      <w:r>
        <w:rPr>
          <w:spacing w:val="-2"/>
        </w:rPr>
        <w:t>大纲应规定与顾客沟通的内容和方法，一般包括：</w:t>
      </w:r>
    </w:p>
    <w:p w14:paraId="19445D34">
      <w:pPr>
        <w:pStyle w:val="2"/>
        <w:spacing w:before="89" w:line="219" w:lineRule="auto"/>
        <w:ind w:left="550"/>
      </w:pPr>
      <w:r>
        <w:rPr>
          <w:rFonts w:ascii="Times New Roman" w:hAnsi="Times New Roman" w:eastAsia="Times New Roman" w:cs="Times New Roman"/>
        </w:rPr>
        <w:t>a</w:t>
      </w:r>
      <w:r>
        <w:t>)产品信息，包括产品质量信息；</w:t>
      </w:r>
    </w:p>
    <w:p w14:paraId="7C3FC87C">
      <w:pPr>
        <w:pStyle w:val="2"/>
        <w:spacing w:before="49" w:line="212" w:lineRule="auto"/>
        <w:ind w:left="550"/>
      </w:pPr>
      <w:r>
        <w:rPr>
          <w:rFonts w:ascii="Times New Roman" w:hAnsi="Times New Roman" w:eastAsia="Times New Roman" w:cs="Times New Roman"/>
          <w:spacing w:val="-8"/>
        </w:rPr>
        <w:t xml:space="preserve">b)  </w:t>
      </w:r>
      <w:r>
        <w:rPr>
          <w:spacing w:val="-8"/>
        </w:rPr>
        <w:t>问询、合同或订单的处理，包括对其修改；</w:t>
      </w:r>
    </w:p>
    <w:p w14:paraId="0067DFB3">
      <w:pPr>
        <w:pStyle w:val="2"/>
        <w:spacing w:before="90"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77"/>
        </w:rPr>
        <w:t xml:space="preserve"> </w:t>
      </w:r>
      <w:r>
        <w:rPr>
          <w:spacing w:val="-4"/>
        </w:rPr>
        <w:t>顾客反馈，包括抱怨及其处理方式。</w:t>
      </w:r>
    </w:p>
    <w:p w14:paraId="631C9228">
      <w:pPr>
        <w:spacing w:before="104" w:line="222" w:lineRule="auto"/>
        <w:rPr>
          <w:rFonts w:ascii="黑体" w:hAnsi="黑体" w:eastAsia="黑体" w:cs="黑体"/>
          <w:sz w:val="27"/>
          <w:szCs w:val="27"/>
        </w:rPr>
      </w:pPr>
      <w:r>
        <w:rPr>
          <w:rFonts w:ascii="黑体" w:hAnsi="黑体" w:eastAsia="黑体" w:cs="黑体"/>
          <w:spacing w:val="-1"/>
          <w:sz w:val="27"/>
          <w:szCs w:val="27"/>
        </w:rPr>
        <w:t>9</w:t>
      </w:r>
      <w:r>
        <w:rPr>
          <w:rFonts w:ascii="黑体" w:hAnsi="黑体" w:eastAsia="黑体" w:cs="黑体"/>
          <w:spacing w:val="24"/>
          <w:sz w:val="27"/>
          <w:szCs w:val="27"/>
        </w:rPr>
        <w:t xml:space="preserve">  </w:t>
      </w:r>
      <w:r>
        <w:rPr>
          <w:rFonts w:ascii="黑体" w:hAnsi="黑体" w:eastAsia="黑体" w:cs="黑体"/>
          <w:b/>
          <w:bCs/>
          <w:spacing w:val="-1"/>
          <w:sz w:val="27"/>
          <w:szCs w:val="27"/>
        </w:rPr>
        <w:t>设计过程质量控制</w:t>
      </w:r>
    </w:p>
    <w:p w14:paraId="580489C1">
      <w:pPr>
        <w:spacing w:before="125" w:line="221" w:lineRule="auto"/>
        <w:rPr>
          <w:rFonts w:ascii="黑体" w:hAnsi="黑体" w:eastAsia="黑体" w:cs="黑体"/>
          <w:sz w:val="25"/>
          <w:szCs w:val="25"/>
        </w:rPr>
      </w:pPr>
      <w:r>
        <w:rPr>
          <w:rFonts w:ascii="黑体" w:hAnsi="黑体" w:eastAsia="黑体" w:cs="黑体"/>
          <w:spacing w:val="15"/>
          <w:sz w:val="25"/>
          <w:szCs w:val="25"/>
        </w:rPr>
        <w:t>9.1</w:t>
      </w:r>
      <w:r>
        <w:rPr>
          <w:rFonts w:ascii="黑体" w:hAnsi="黑体" w:eastAsia="黑体" w:cs="黑体"/>
          <w:spacing w:val="42"/>
          <w:sz w:val="25"/>
          <w:szCs w:val="25"/>
        </w:rPr>
        <w:t xml:space="preserve">  </w:t>
      </w:r>
      <w:r>
        <w:rPr>
          <w:rFonts w:ascii="黑体" w:hAnsi="黑体" w:eastAsia="黑体" w:cs="黑体"/>
          <w:b/>
          <w:bCs/>
          <w:spacing w:val="15"/>
          <w:sz w:val="25"/>
          <w:szCs w:val="25"/>
        </w:rPr>
        <w:t>任务分析</w:t>
      </w:r>
    </w:p>
    <w:p w14:paraId="1B636EF6">
      <w:pPr>
        <w:pStyle w:val="2"/>
        <w:spacing w:before="75" w:line="282" w:lineRule="auto"/>
        <w:ind w:right="123" w:firstLine="550"/>
        <w:jc w:val="both"/>
      </w:pPr>
      <w:r>
        <w:rPr>
          <w:spacing w:val="5"/>
        </w:rPr>
        <w:t>组织应对产品任务剖面进行分析，以确认对设计最有影响的任务阶段和综</w:t>
      </w:r>
      <w:r>
        <w:rPr>
          <w:spacing w:val="10"/>
        </w:rPr>
        <w:t xml:space="preserve"> </w:t>
      </w:r>
      <w:r>
        <w:rPr>
          <w:spacing w:val="-17"/>
        </w:rPr>
        <w:t>合环境，通过任务剖面分析，确定可靠性、维修性、保障性、安全性、人机工程等各</w:t>
      </w:r>
      <w:r>
        <w:t xml:space="preserve"> 种定量和定性因素，并将结论纳入规范作为设计评审的标准。</w:t>
      </w:r>
    </w:p>
    <w:p w14:paraId="5722DF29">
      <w:pPr>
        <w:spacing w:before="1" w:line="221" w:lineRule="auto"/>
        <w:rPr>
          <w:rFonts w:ascii="黑体" w:hAnsi="黑体" w:eastAsia="黑体" w:cs="黑体"/>
          <w:sz w:val="27"/>
          <w:szCs w:val="27"/>
        </w:rPr>
      </w:pPr>
      <w:r>
        <w:rPr>
          <w:rFonts w:ascii="黑体" w:hAnsi="黑体" w:eastAsia="黑体" w:cs="黑体"/>
          <w:spacing w:val="2"/>
          <w:sz w:val="27"/>
          <w:szCs w:val="27"/>
        </w:rPr>
        <w:t>9.2</w:t>
      </w:r>
      <w:r>
        <w:rPr>
          <w:rFonts w:ascii="黑体" w:hAnsi="黑体" w:eastAsia="黑体" w:cs="黑体"/>
          <w:spacing w:val="22"/>
          <w:sz w:val="27"/>
          <w:szCs w:val="27"/>
        </w:rPr>
        <w:t xml:space="preserve">  </w:t>
      </w:r>
      <w:r>
        <w:rPr>
          <w:rFonts w:ascii="黑体" w:hAnsi="黑体" w:eastAsia="黑体" w:cs="黑体"/>
          <w:b/>
          <w:bCs/>
          <w:spacing w:val="2"/>
          <w:sz w:val="27"/>
          <w:szCs w:val="27"/>
        </w:rPr>
        <w:t>设计分析</w:t>
      </w:r>
    </w:p>
    <w:p w14:paraId="189088BA">
      <w:pPr>
        <w:pStyle w:val="2"/>
        <w:spacing w:before="82" w:line="279" w:lineRule="auto"/>
        <w:ind w:right="98" w:firstLine="550"/>
        <w:jc w:val="both"/>
      </w:pPr>
      <w:r>
        <w:rPr>
          <w:spacing w:val="-10"/>
        </w:rPr>
        <w:t>组织应遵循通用化、系列化、组合化的设计原则，对性能、质量、</w:t>
      </w:r>
      <w:r>
        <w:rPr>
          <w:spacing w:val="-11"/>
        </w:rPr>
        <w:t>可靠性、费</w:t>
      </w:r>
      <w:r>
        <w:t xml:space="preserve"> </w:t>
      </w:r>
      <w:r>
        <w:rPr>
          <w:spacing w:val="-10"/>
        </w:rPr>
        <w:t>用、进度、风险等因素进行综合权衡，开展优化设计。通过设计分析研究，确定产</w:t>
      </w:r>
      <w:r>
        <w:rPr>
          <w:spacing w:val="5"/>
        </w:rPr>
        <w:t xml:space="preserve"> </w:t>
      </w:r>
      <w:r>
        <w:rPr>
          <w:spacing w:val="-4"/>
        </w:rPr>
        <w:t>品特性、容差以及必要的试验和检验要求。</w:t>
      </w:r>
    </w:p>
    <w:p w14:paraId="796B1847">
      <w:pPr>
        <w:spacing w:line="221" w:lineRule="auto"/>
        <w:rPr>
          <w:rFonts w:ascii="黑体" w:hAnsi="黑体" w:eastAsia="黑体" w:cs="黑体"/>
          <w:sz w:val="27"/>
          <w:szCs w:val="27"/>
        </w:rPr>
      </w:pPr>
      <w:r>
        <w:rPr>
          <w:rFonts w:ascii="黑体" w:hAnsi="黑体" w:eastAsia="黑体" w:cs="黑体"/>
          <w:spacing w:val="-4"/>
          <w:sz w:val="27"/>
          <w:szCs w:val="27"/>
        </w:rPr>
        <w:t>9.3</w:t>
      </w:r>
      <w:r>
        <w:rPr>
          <w:rFonts w:ascii="黑体" w:hAnsi="黑体" w:eastAsia="黑体" w:cs="黑体"/>
          <w:spacing w:val="37"/>
          <w:sz w:val="27"/>
          <w:szCs w:val="27"/>
        </w:rPr>
        <w:t xml:space="preserve">  </w:t>
      </w:r>
      <w:r>
        <w:rPr>
          <w:rFonts w:ascii="黑体" w:hAnsi="黑体" w:eastAsia="黑体" w:cs="黑体"/>
          <w:b/>
          <w:bCs/>
          <w:spacing w:val="-4"/>
          <w:sz w:val="27"/>
          <w:szCs w:val="27"/>
        </w:rPr>
        <w:t>设计输入</w:t>
      </w:r>
    </w:p>
    <w:p w14:paraId="3EB651A5">
      <w:pPr>
        <w:pStyle w:val="2"/>
        <w:spacing w:before="80" w:line="284" w:lineRule="auto"/>
        <w:ind w:firstLine="550"/>
      </w:pPr>
      <w:r>
        <w:rPr>
          <w:spacing w:val="-7"/>
        </w:rPr>
        <w:t>组织应确定产品的设计输入要求，包括产品的功能和性能、</w:t>
      </w:r>
      <w:r>
        <w:rPr>
          <w:spacing w:val="-8"/>
        </w:rPr>
        <w:t>可靠性、维修性、</w:t>
      </w:r>
      <w:r>
        <w:t xml:space="preserve"> </w:t>
      </w:r>
      <w:r>
        <w:rPr>
          <w:spacing w:val="-16"/>
        </w:rPr>
        <w:t>安全性、保障性、环境条件等要求，以及有关的法令、法规、标准等要求。</w:t>
      </w:r>
    </w:p>
    <w:p w14:paraId="3645E2F0">
      <w:pPr>
        <w:pStyle w:val="2"/>
        <w:spacing w:before="1" w:line="219" w:lineRule="auto"/>
        <w:ind w:left="550"/>
      </w:pPr>
      <w:r>
        <w:rPr>
          <w:spacing w:val="3"/>
        </w:rPr>
        <w:t>设计输入应形成文件并进行评审和批准。</w:t>
      </w:r>
    </w:p>
    <w:p w14:paraId="6C67779F">
      <w:pPr>
        <w:pStyle w:val="2"/>
        <w:spacing w:before="88" w:line="278" w:lineRule="auto"/>
        <w:ind w:right="30" w:firstLine="550"/>
      </w:pPr>
      <w:r>
        <w:rPr>
          <w:spacing w:val="5"/>
        </w:rPr>
        <w:t>组织应编制设计规范和文件，以保证设计规范化。设计规范和文件应符合</w:t>
      </w:r>
      <w:r>
        <w:rPr>
          <w:spacing w:val="10"/>
        </w:rPr>
        <w:t xml:space="preserve"> </w:t>
      </w:r>
      <w:r>
        <w:t>国家和国家军用标准的要求。为使设计采用统一的标准、规范，在进行设计前，</w:t>
      </w:r>
      <w:r>
        <w:rPr>
          <w:spacing w:val="3"/>
        </w:rPr>
        <w:t xml:space="preserve"> </w:t>
      </w:r>
      <w:r>
        <w:rPr>
          <w:spacing w:val="-5"/>
        </w:rPr>
        <w:t>应编制文件清单，供设计人员使用。</w:t>
      </w:r>
    </w:p>
    <w:p w14:paraId="06DA57D8">
      <w:pPr>
        <w:spacing w:before="15" w:line="222" w:lineRule="auto"/>
        <w:rPr>
          <w:rFonts w:ascii="黑体" w:hAnsi="黑体" w:eastAsia="黑体" w:cs="黑体"/>
          <w:sz w:val="24"/>
          <w:szCs w:val="24"/>
        </w:rPr>
      </w:pPr>
      <w:r>
        <w:rPr>
          <w:rFonts w:ascii="黑体" w:hAnsi="黑体" w:eastAsia="黑体" w:cs="黑体"/>
          <w:spacing w:val="19"/>
          <w:sz w:val="24"/>
          <w:szCs w:val="24"/>
        </w:rPr>
        <w:t>9.4</w:t>
      </w:r>
      <w:r>
        <w:rPr>
          <w:rFonts w:ascii="黑体" w:hAnsi="黑体" w:eastAsia="黑体" w:cs="黑体"/>
          <w:spacing w:val="11"/>
          <w:sz w:val="24"/>
          <w:szCs w:val="24"/>
        </w:rPr>
        <w:t xml:space="preserve">   </w:t>
      </w:r>
      <w:r>
        <w:rPr>
          <w:rFonts w:ascii="黑体" w:hAnsi="黑体" w:eastAsia="黑体" w:cs="黑体"/>
          <w:b/>
          <w:bCs/>
          <w:spacing w:val="19"/>
          <w:sz w:val="24"/>
          <w:szCs w:val="24"/>
        </w:rPr>
        <w:t>可靠性设计</w:t>
      </w:r>
    </w:p>
    <w:p w14:paraId="2D641C29">
      <w:pPr>
        <w:pStyle w:val="2"/>
        <w:spacing w:before="118" w:line="219" w:lineRule="auto"/>
        <w:ind w:left="550"/>
      </w:pPr>
      <w:r>
        <w:rPr>
          <w:spacing w:val="-3"/>
        </w:rPr>
        <w:t>大纲应规定按可靠性大纲，实施可靠性工作项目。</w:t>
      </w:r>
    </w:p>
    <w:p w14:paraId="0BF5A4A3">
      <w:pPr>
        <w:spacing w:before="74" w:line="222" w:lineRule="auto"/>
        <w:rPr>
          <w:rFonts w:ascii="黑体" w:hAnsi="黑体" w:eastAsia="黑体" w:cs="黑体"/>
          <w:sz w:val="27"/>
          <w:szCs w:val="27"/>
        </w:rPr>
      </w:pPr>
      <w:r>
        <w:rPr>
          <w:rFonts w:ascii="黑体" w:hAnsi="黑体" w:eastAsia="黑体" w:cs="黑体"/>
          <w:spacing w:val="1"/>
          <w:sz w:val="27"/>
          <w:szCs w:val="27"/>
        </w:rPr>
        <w:t>9.5</w:t>
      </w:r>
      <w:r>
        <w:rPr>
          <w:rFonts w:ascii="黑体" w:hAnsi="黑体" w:eastAsia="黑体" w:cs="黑体"/>
          <w:spacing w:val="36"/>
          <w:sz w:val="27"/>
          <w:szCs w:val="27"/>
        </w:rPr>
        <w:t xml:space="preserve">  </w:t>
      </w:r>
      <w:r>
        <w:rPr>
          <w:rFonts w:ascii="黑体" w:hAnsi="黑体" w:eastAsia="黑体" w:cs="黑体"/>
          <w:b/>
          <w:bCs/>
          <w:spacing w:val="1"/>
          <w:sz w:val="27"/>
          <w:szCs w:val="27"/>
        </w:rPr>
        <w:t>维修性设计</w:t>
      </w:r>
    </w:p>
    <w:p w14:paraId="01270CED">
      <w:pPr>
        <w:pStyle w:val="2"/>
        <w:spacing w:before="101" w:line="219" w:lineRule="auto"/>
        <w:ind w:left="550"/>
      </w:pPr>
      <w:r>
        <w:rPr>
          <w:spacing w:val="-3"/>
        </w:rPr>
        <w:t>大纲应规定按维修性大纲，实施维修性工作项目。</w:t>
      </w:r>
    </w:p>
    <w:p w14:paraId="401C2C12">
      <w:pPr>
        <w:spacing w:before="73" w:line="221" w:lineRule="auto"/>
        <w:rPr>
          <w:rFonts w:ascii="黑体" w:hAnsi="黑体" w:eastAsia="黑体" w:cs="黑体"/>
          <w:sz w:val="25"/>
          <w:szCs w:val="25"/>
        </w:rPr>
      </w:pPr>
      <w:r>
        <w:rPr>
          <w:rFonts w:ascii="黑体" w:hAnsi="黑体" w:eastAsia="黑体" w:cs="黑体"/>
          <w:spacing w:val="13"/>
          <w:sz w:val="25"/>
          <w:szCs w:val="25"/>
        </w:rPr>
        <w:t>9.6</w:t>
      </w:r>
      <w:r>
        <w:rPr>
          <w:rFonts w:ascii="黑体" w:hAnsi="黑体" w:eastAsia="黑体" w:cs="黑体"/>
          <w:spacing w:val="63"/>
          <w:sz w:val="25"/>
          <w:szCs w:val="25"/>
        </w:rPr>
        <w:t xml:space="preserve">  </w:t>
      </w:r>
      <w:r>
        <w:rPr>
          <w:rFonts w:ascii="黑体" w:hAnsi="黑体" w:eastAsia="黑体" w:cs="黑体"/>
          <w:b/>
          <w:bCs/>
          <w:spacing w:val="13"/>
          <w:sz w:val="25"/>
          <w:szCs w:val="25"/>
        </w:rPr>
        <w:t>测试性设计</w:t>
      </w:r>
    </w:p>
    <w:p w14:paraId="1369F64A">
      <w:pPr>
        <w:pStyle w:val="2"/>
        <w:spacing w:before="118" w:line="219" w:lineRule="auto"/>
        <w:ind w:left="550"/>
      </w:pPr>
      <w:r>
        <w:rPr>
          <w:spacing w:val="-3"/>
        </w:rPr>
        <w:t>大纲应规定按测试性大纲，实施测试性工作项目。</w:t>
      </w:r>
    </w:p>
    <w:p w14:paraId="06C98090">
      <w:pPr>
        <w:spacing w:line="219" w:lineRule="auto"/>
        <w:sectPr>
          <w:footerReference r:id="rId320" w:type="default"/>
          <w:pgSz w:w="11910" w:h="17130"/>
          <w:pgMar w:top="1456" w:right="1454" w:bottom="1566" w:left="969" w:header="0" w:footer="1377" w:gutter="0"/>
          <w:cols w:space="720" w:num="1"/>
        </w:sectPr>
      </w:pPr>
    </w:p>
    <w:p w14:paraId="64491319">
      <w:pPr>
        <w:spacing w:before="69" w:line="222" w:lineRule="auto"/>
        <w:rPr>
          <w:rFonts w:ascii="黑体" w:hAnsi="黑体" w:eastAsia="黑体" w:cs="黑体"/>
          <w:sz w:val="27"/>
          <w:szCs w:val="27"/>
        </w:rPr>
      </w:pPr>
      <w:r>
        <w:rPr>
          <w:rFonts w:ascii="黑体" w:hAnsi="黑体" w:eastAsia="黑体" w:cs="黑体"/>
          <w:spacing w:val="2"/>
          <w:sz w:val="27"/>
          <w:szCs w:val="27"/>
        </w:rPr>
        <w:t>9.7</w:t>
      </w:r>
      <w:r>
        <w:rPr>
          <w:rFonts w:ascii="黑体" w:hAnsi="黑体" w:eastAsia="黑体" w:cs="黑体"/>
          <w:spacing w:val="16"/>
          <w:sz w:val="27"/>
          <w:szCs w:val="27"/>
        </w:rPr>
        <w:t xml:space="preserve">  </w:t>
      </w:r>
      <w:r>
        <w:rPr>
          <w:rFonts w:ascii="黑体" w:hAnsi="黑体" w:eastAsia="黑体" w:cs="黑体"/>
          <w:b/>
          <w:bCs/>
          <w:spacing w:val="2"/>
          <w:sz w:val="27"/>
          <w:szCs w:val="27"/>
        </w:rPr>
        <w:t>保障性设计</w:t>
      </w:r>
    </w:p>
    <w:p w14:paraId="4A4934E0">
      <w:pPr>
        <w:pStyle w:val="2"/>
        <w:spacing w:before="100" w:line="219" w:lineRule="auto"/>
        <w:ind w:left="550"/>
      </w:pPr>
      <w:r>
        <w:rPr>
          <w:spacing w:val="-3"/>
        </w:rPr>
        <w:t>大纲应规定按保障性大纲，实施保障性工作项目。</w:t>
      </w:r>
    </w:p>
    <w:p w14:paraId="2CAAD788">
      <w:pPr>
        <w:spacing w:before="84" w:line="222" w:lineRule="auto"/>
        <w:rPr>
          <w:rFonts w:ascii="黑体" w:hAnsi="黑体" w:eastAsia="黑体" w:cs="黑体"/>
          <w:sz w:val="27"/>
          <w:szCs w:val="27"/>
        </w:rPr>
      </w:pPr>
      <w:r>
        <w:rPr>
          <w:rFonts w:ascii="黑体" w:hAnsi="黑体" w:eastAsia="黑体" w:cs="黑体"/>
          <w:spacing w:val="-1"/>
          <w:sz w:val="27"/>
          <w:szCs w:val="27"/>
        </w:rPr>
        <w:t>9.8</w:t>
      </w:r>
      <w:r>
        <w:rPr>
          <w:rFonts w:ascii="黑体" w:hAnsi="黑体" w:eastAsia="黑体" w:cs="黑体"/>
          <w:spacing w:val="18"/>
          <w:sz w:val="27"/>
          <w:szCs w:val="27"/>
        </w:rPr>
        <w:t xml:space="preserve">  </w:t>
      </w:r>
      <w:r>
        <w:rPr>
          <w:rFonts w:ascii="黑体" w:hAnsi="黑体" w:eastAsia="黑体" w:cs="黑体"/>
          <w:b/>
          <w:bCs/>
          <w:spacing w:val="-1"/>
          <w:sz w:val="27"/>
          <w:szCs w:val="27"/>
        </w:rPr>
        <w:t>安全性设计</w:t>
      </w:r>
    </w:p>
    <w:p w14:paraId="220CF280">
      <w:pPr>
        <w:pStyle w:val="2"/>
        <w:spacing w:before="81" w:line="219" w:lineRule="auto"/>
        <w:ind w:left="550"/>
      </w:pPr>
      <w:r>
        <w:rPr>
          <w:spacing w:val="-3"/>
        </w:rPr>
        <w:t>大纲应规定按安全性大纲，实施安全性工作项目。</w:t>
      </w:r>
    </w:p>
    <w:p w14:paraId="6691E8EB">
      <w:pPr>
        <w:spacing w:before="83" w:line="221" w:lineRule="auto"/>
        <w:rPr>
          <w:rFonts w:ascii="黑体" w:hAnsi="黑体" w:eastAsia="黑体" w:cs="黑体"/>
          <w:sz w:val="27"/>
          <w:szCs w:val="27"/>
        </w:rPr>
      </w:pPr>
      <w:r>
        <w:rPr>
          <w:rFonts w:ascii="黑体" w:hAnsi="黑体" w:eastAsia="黑体" w:cs="黑体"/>
          <w:spacing w:val="-2"/>
          <w:sz w:val="27"/>
          <w:szCs w:val="27"/>
        </w:rPr>
        <w:t xml:space="preserve">9.9  </w:t>
      </w:r>
      <w:r>
        <w:rPr>
          <w:rFonts w:ascii="黑体" w:hAnsi="黑体" w:eastAsia="黑体" w:cs="黑体"/>
          <w:b/>
          <w:bCs/>
          <w:spacing w:val="-2"/>
          <w:sz w:val="27"/>
          <w:szCs w:val="27"/>
        </w:rPr>
        <w:t>元器件、零件和原材料的选择和使用</w:t>
      </w:r>
    </w:p>
    <w:p w14:paraId="3AB93F7B">
      <w:pPr>
        <w:pStyle w:val="2"/>
        <w:spacing w:before="83" w:line="280" w:lineRule="auto"/>
        <w:ind w:right="111" w:firstLine="550"/>
      </w:pPr>
      <w:r>
        <w:rPr>
          <w:spacing w:val="16"/>
        </w:rPr>
        <w:t>大纲应规定按</w:t>
      </w:r>
      <w:r>
        <w:rPr>
          <w:rFonts w:ascii="Times New Roman" w:hAnsi="Times New Roman" w:eastAsia="Times New Roman" w:cs="Times New Roman"/>
        </w:rPr>
        <w:t>GJB</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16"/>
        </w:rPr>
        <w:t>450A</w:t>
      </w:r>
      <w:r>
        <w:rPr>
          <w:spacing w:val="16"/>
        </w:rPr>
        <w:t>工作项目308和工作项目309中的规定选择和使</w:t>
      </w:r>
      <w:r>
        <w:t xml:space="preserve"> </w:t>
      </w:r>
      <w:r>
        <w:rPr>
          <w:spacing w:val="-8"/>
        </w:rPr>
        <w:t>用元器件、零件和原材料。</w:t>
      </w:r>
    </w:p>
    <w:p w14:paraId="052C5EF9">
      <w:pPr>
        <w:pStyle w:val="2"/>
        <w:spacing w:before="1" w:line="219" w:lineRule="auto"/>
        <w:ind w:left="550"/>
      </w:pPr>
      <w:r>
        <w:rPr>
          <w:spacing w:val="3"/>
        </w:rPr>
        <w:t>按</w:t>
      </w:r>
      <w:r>
        <w:rPr>
          <w:spacing w:val="-47"/>
        </w:rPr>
        <w:t xml:space="preserve"> </w:t>
      </w:r>
      <w:r>
        <w:rPr>
          <w:rFonts w:ascii="Times New Roman" w:hAnsi="Times New Roman" w:eastAsia="Times New Roman" w:cs="Times New Roman"/>
        </w:rPr>
        <w:t>GJB</w:t>
      </w:r>
      <w:r>
        <w:rPr>
          <w:rFonts w:ascii="Times New Roman" w:hAnsi="Times New Roman" w:eastAsia="Times New Roman" w:cs="Times New Roman"/>
          <w:spacing w:val="3"/>
        </w:rPr>
        <w:t>/Z   35</w:t>
      </w:r>
      <w:r>
        <w:rPr>
          <w:spacing w:val="3"/>
        </w:rPr>
        <w:t>的要求开展元器件降额设计。</w:t>
      </w:r>
    </w:p>
    <w:p w14:paraId="75094657">
      <w:pPr>
        <w:spacing w:before="93" w:line="222" w:lineRule="auto"/>
        <w:rPr>
          <w:rFonts w:ascii="黑体" w:hAnsi="黑体" w:eastAsia="黑体" w:cs="黑体"/>
          <w:sz w:val="25"/>
          <w:szCs w:val="25"/>
        </w:rPr>
      </w:pPr>
      <w:r>
        <w:rPr>
          <w:rFonts w:ascii="黑体" w:hAnsi="黑体" w:eastAsia="黑体" w:cs="黑体"/>
          <w:spacing w:val="11"/>
          <w:sz w:val="25"/>
          <w:szCs w:val="25"/>
        </w:rPr>
        <w:t>9.10</w:t>
      </w:r>
      <w:r>
        <w:rPr>
          <w:rFonts w:ascii="黑体" w:hAnsi="黑体" w:eastAsia="黑体" w:cs="黑体"/>
          <w:spacing w:val="49"/>
          <w:sz w:val="25"/>
          <w:szCs w:val="25"/>
        </w:rPr>
        <w:t xml:space="preserve">  </w:t>
      </w:r>
      <w:r>
        <w:rPr>
          <w:rFonts w:ascii="黑体" w:hAnsi="黑体" w:eastAsia="黑体" w:cs="黑体"/>
          <w:b/>
          <w:bCs/>
          <w:spacing w:val="11"/>
          <w:sz w:val="25"/>
          <w:szCs w:val="25"/>
        </w:rPr>
        <w:t>软件设计</w:t>
      </w:r>
    </w:p>
    <w:p w14:paraId="78469974">
      <w:pPr>
        <w:pStyle w:val="2"/>
        <w:spacing w:before="83" w:line="280" w:lineRule="auto"/>
        <w:ind w:right="124" w:firstLine="550"/>
        <w:jc w:val="both"/>
      </w:pPr>
      <w:r>
        <w:rPr>
          <w:spacing w:val="-3"/>
        </w:rPr>
        <w:t>大纲应规定按</w:t>
      </w:r>
      <w:r>
        <w:rPr>
          <w:rFonts w:ascii="Times New Roman" w:hAnsi="Times New Roman" w:eastAsia="Times New Roman" w:cs="Times New Roman"/>
          <w:spacing w:val="-3"/>
        </w:rPr>
        <w:t>GJB 437</w:t>
      </w:r>
      <w:r>
        <w:rPr>
          <w:rFonts w:ascii="Times New Roman" w:hAnsi="Times New Roman" w:eastAsia="Times New Roman" w:cs="Times New Roman"/>
          <w:spacing w:val="-29"/>
        </w:rPr>
        <w:t xml:space="preserve"> </w:t>
      </w:r>
      <w:r>
        <w:rPr>
          <w:spacing w:val="-3"/>
        </w:rPr>
        <w:t>、</w:t>
      </w:r>
      <w:r>
        <w:rPr>
          <w:rFonts w:ascii="Times New Roman" w:hAnsi="Times New Roman" w:eastAsia="Times New Roman" w:cs="Times New Roman"/>
          <w:spacing w:val="-3"/>
        </w:rPr>
        <w:t>GJB 438B</w:t>
      </w:r>
      <w:r>
        <w:rPr>
          <w:rFonts w:ascii="Times New Roman" w:hAnsi="Times New Roman" w:eastAsia="Times New Roman" w:cs="Times New Roman"/>
          <w:spacing w:val="-39"/>
        </w:rPr>
        <w:t xml:space="preserve"> </w:t>
      </w:r>
      <w:r>
        <w:rPr>
          <w:spacing w:val="-3"/>
        </w:rPr>
        <w:t>、</w:t>
      </w:r>
      <w:r>
        <w:rPr>
          <w:rFonts w:ascii="Times New Roman" w:hAnsi="Times New Roman" w:eastAsia="Times New Roman" w:cs="Times New Roman"/>
          <w:spacing w:val="-3"/>
        </w:rPr>
        <w:t>GJB 439</w:t>
      </w:r>
      <w:r>
        <w:rPr>
          <w:rFonts w:ascii="Times New Roman" w:hAnsi="Times New Roman" w:eastAsia="Times New Roman" w:cs="Times New Roman"/>
          <w:spacing w:val="-38"/>
        </w:rPr>
        <w:t xml:space="preserve"> </w:t>
      </w:r>
      <w:r>
        <w:rPr>
          <w:spacing w:val="-3"/>
        </w:rPr>
        <w:t>、</w:t>
      </w:r>
      <w:r>
        <w:rPr>
          <w:rFonts w:ascii="Times New Roman" w:hAnsi="Times New Roman" w:eastAsia="Times New Roman" w:cs="Times New Roman"/>
          <w:spacing w:val="-3"/>
        </w:rPr>
        <w:t xml:space="preserve">GJB 2786A </w:t>
      </w:r>
      <w:r>
        <w:rPr>
          <w:spacing w:val="-3"/>
        </w:rPr>
        <w:t>和</w:t>
      </w:r>
      <w:r>
        <w:rPr>
          <w:spacing w:val="-44"/>
        </w:rPr>
        <w:t xml:space="preserve"> </w:t>
      </w:r>
      <w:r>
        <w:rPr>
          <w:rFonts w:ascii="Times New Roman" w:hAnsi="Times New Roman" w:eastAsia="Times New Roman" w:cs="Times New Roman"/>
          <w:spacing w:val="-3"/>
        </w:rPr>
        <w:t xml:space="preserve">GJB/Z   102 </w:t>
      </w:r>
      <w:r>
        <w:rPr>
          <w:spacing w:val="-3"/>
        </w:rPr>
        <w:t>的</w:t>
      </w:r>
      <w:r>
        <w:t xml:space="preserve"> </w:t>
      </w:r>
      <w:r>
        <w:rPr>
          <w:spacing w:val="2"/>
        </w:rPr>
        <w:t>要求对软件的开发、运行、维护和引退进行工程化管理并按</w:t>
      </w:r>
      <w:r>
        <w:rPr>
          <w:rFonts w:ascii="Times New Roman" w:hAnsi="Times New Roman" w:eastAsia="Times New Roman" w:cs="Times New Roman"/>
        </w:rPr>
        <w:t>GJB</w:t>
      </w:r>
      <w:r>
        <w:rPr>
          <w:rFonts w:ascii="Times New Roman" w:hAnsi="Times New Roman" w:eastAsia="Times New Roman" w:cs="Times New Roman"/>
          <w:spacing w:val="18"/>
        </w:rPr>
        <w:t xml:space="preserve">  </w:t>
      </w:r>
      <w:r>
        <w:rPr>
          <w:rFonts w:ascii="Times New Roman" w:hAnsi="Times New Roman" w:eastAsia="Times New Roman" w:cs="Times New Roman"/>
          <w:spacing w:val="2"/>
        </w:rPr>
        <w:t>5000</w:t>
      </w:r>
      <w:r>
        <w:rPr>
          <w:spacing w:val="2"/>
        </w:rPr>
        <w:t>的规定进</w:t>
      </w:r>
      <w:r>
        <w:t xml:space="preserve"> </w:t>
      </w:r>
      <w:r>
        <w:rPr>
          <w:spacing w:val="-2"/>
        </w:rPr>
        <w:t>行软件的分级、分类，对软件整个生存周期内的管理过</w:t>
      </w:r>
      <w:r>
        <w:rPr>
          <w:spacing w:val="-3"/>
        </w:rPr>
        <w:t>程和工程过程实施有效的</w:t>
      </w:r>
      <w:r>
        <w:t xml:space="preserve"> </w:t>
      </w:r>
      <w:r>
        <w:rPr>
          <w:spacing w:val="-2"/>
        </w:rPr>
        <w:t>控制。</w:t>
      </w:r>
    </w:p>
    <w:p w14:paraId="7B34B00D">
      <w:pPr>
        <w:spacing w:before="18" w:line="222" w:lineRule="auto"/>
        <w:rPr>
          <w:rFonts w:ascii="黑体" w:hAnsi="黑体" w:eastAsia="黑体" w:cs="黑体"/>
          <w:sz w:val="24"/>
          <w:szCs w:val="24"/>
        </w:rPr>
      </w:pPr>
      <w:r>
        <w:rPr>
          <w:rFonts w:ascii="黑体" w:hAnsi="黑体" w:eastAsia="黑体" w:cs="黑体"/>
          <w:spacing w:val="19"/>
          <w:sz w:val="24"/>
          <w:szCs w:val="24"/>
        </w:rPr>
        <w:t>9.11</w:t>
      </w:r>
      <w:r>
        <w:rPr>
          <w:rFonts w:ascii="黑体" w:hAnsi="黑体" w:eastAsia="黑体" w:cs="黑体"/>
          <w:spacing w:val="4"/>
          <w:sz w:val="24"/>
          <w:szCs w:val="24"/>
        </w:rPr>
        <w:t xml:space="preserve">   </w:t>
      </w:r>
      <w:r>
        <w:rPr>
          <w:rFonts w:ascii="黑体" w:hAnsi="黑体" w:eastAsia="黑体" w:cs="黑体"/>
          <w:b/>
          <w:bCs/>
          <w:spacing w:val="19"/>
          <w:sz w:val="24"/>
          <w:szCs w:val="24"/>
        </w:rPr>
        <w:t>人机工程设计</w:t>
      </w:r>
    </w:p>
    <w:p w14:paraId="7DACAB48">
      <w:pPr>
        <w:pStyle w:val="2"/>
        <w:spacing w:before="97" w:line="279" w:lineRule="auto"/>
        <w:ind w:right="133" w:firstLine="550"/>
      </w:pPr>
      <w:r>
        <w:rPr>
          <w:spacing w:val="-3"/>
        </w:rPr>
        <w:t>大纲应规定编制人机工程大纲的要求，在保证可靠性、维修性、安全性的条</w:t>
      </w:r>
      <w:r>
        <w:t xml:space="preserve"> </w:t>
      </w:r>
      <w:r>
        <w:rPr>
          <w:spacing w:val="-11"/>
        </w:rPr>
        <w:t>件下，能确保操作人员正常、准确的操作。</w:t>
      </w:r>
    </w:p>
    <w:p w14:paraId="63930AE0">
      <w:pPr>
        <w:spacing w:before="1" w:line="221" w:lineRule="auto"/>
        <w:rPr>
          <w:rFonts w:ascii="黑体" w:hAnsi="黑体" w:eastAsia="黑体" w:cs="黑体"/>
          <w:sz w:val="27"/>
          <w:szCs w:val="27"/>
        </w:rPr>
      </w:pPr>
      <w:r>
        <w:rPr>
          <w:rFonts w:ascii="黑体" w:hAnsi="黑体" w:eastAsia="黑体" w:cs="黑体"/>
          <w:spacing w:val="-3"/>
          <w:sz w:val="27"/>
          <w:szCs w:val="27"/>
        </w:rPr>
        <w:t>9.12</w:t>
      </w:r>
      <w:r>
        <w:rPr>
          <w:rFonts w:ascii="黑体" w:hAnsi="黑体" w:eastAsia="黑体" w:cs="黑体"/>
          <w:spacing w:val="19"/>
          <w:sz w:val="27"/>
          <w:szCs w:val="27"/>
        </w:rPr>
        <w:t xml:space="preserve">  </w:t>
      </w:r>
      <w:r>
        <w:rPr>
          <w:rFonts w:ascii="黑体" w:hAnsi="黑体" w:eastAsia="黑体" w:cs="黑体"/>
          <w:b/>
          <w:bCs/>
          <w:spacing w:val="-3"/>
          <w:sz w:val="27"/>
          <w:szCs w:val="27"/>
        </w:rPr>
        <w:t>特性分析</w:t>
      </w:r>
    </w:p>
    <w:p w14:paraId="56865832">
      <w:pPr>
        <w:pStyle w:val="2"/>
        <w:spacing w:before="90" w:line="278" w:lineRule="auto"/>
        <w:ind w:right="135" w:firstLine="550"/>
      </w:pPr>
      <w:r>
        <w:rPr>
          <w:spacing w:val="11"/>
        </w:rPr>
        <w:t>大纲应按</w:t>
      </w:r>
      <w:r>
        <w:rPr>
          <w:rFonts w:ascii="Times New Roman" w:hAnsi="Times New Roman" w:eastAsia="Times New Roman" w:cs="Times New Roman"/>
        </w:rPr>
        <w:t>GJB</w:t>
      </w:r>
      <w:r>
        <w:rPr>
          <w:rFonts w:ascii="Times New Roman" w:hAnsi="Times New Roman" w:eastAsia="Times New Roman" w:cs="Times New Roman"/>
          <w:spacing w:val="11"/>
        </w:rPr>
        <w:t xml:space="preserve">  190</w:t>
      </w:r>
      <w:r>
        <w:rPr>
          <w:spacing w:val="11"/>
        </w:rPr>
        <w:t>的原则进行特性分析，确定关键</w:t>
      </w:r>
      <w:r>
        <w:rPr>
          <w:spacing w:val="10"/>
        </w:rPr>
        <w:t>件(特性)和重要件(特</w:t>
      </w:r>
      <w:r>
        <w:t xml:space="preserve"> </w:t>
      </w:r>
      <w:r>
        <w:rPr>
          <w:spacing w:val="-4"/>
        </w:rPr>
        <w:t>性)。</w:t>
      </w:r>
    </w:p>
    <w:p w14:paraId="4EAFCA8F">
      <w:pPr>
        <w:spacing w:before="31" w:line="222" w:lineRule="auto"/>
        <w:rPr>
          <w:rFonts w:ascii="黑体" w:hAnsi="黑体" w:eastAsia="黑体" w:cs="黑体"/>
          <w:sz w:val="25"/>
          <w:szCs w:val="25"/>
        </w:rPr>
      </w:pPr>
      <w:r>
        <w:rPr>
          <w:rFonts w:ascii="黑体" w:hAnsi="黑体" w:eastAsia="黑体" w:cs="黑体"/>
          <w:spacing w:val="11"/>
          <w:sz w:val="25"/>
          <w:szCs w:val="25"/>
        </w:rPr>
        <w:t>9.13</w:t>
      </w:r>
      <w:r>
        <w:rPr>
          <w:rFonts w:ascii="黑体" w:hAnsi="黑体" w:eastAsia="黑体" w:cs="黑体"/>
          <w:spacing w:val="48"/>
          <w:sz w:val="25"/>
          <w:szCs w:val="25"/>
        </w:rPr>
        <w:t xml:space="preserve">  </w:t>
      </w:r>
      <w:r>
        <w:rPr>
          <w:rFonts w:ascii="黑体" w:hAnsi="黑体" w:eastAsia="黑体" w:cs="黑体"/>
          <w:b/>
          <w:bCs/>
          <w:spacing w:val="11"/>
          <w:sz w:val="25"/>
          <w:szCs w:val="25"/>
        </w:rPr>
        <w:t>设计输出</w:t>
      </w:r>
    </w:p>
    <w:p w14:paraId="09E8F111">
      <w:pPr>
        <w:pStyle w:val="2"/>
        <w:spacing w:before="96" w:line="219" w:lineRule="auto"/>
        <w:ind w:left="550"/>
      </w:pPr>
      <w:r>
        <w:rPr>
          <w:spacing w:val="-4"/>
        </w:rPr>
        <w:t>大纲应规定设计输出的要求，一般包括：</w:t>
      </w:r>
    </w:p>
    <w:p w14:paraId="799DF29F">
      <w:pPr>
        <w:pStyle w:val="2"/>
        <w:spacing w:before="81" w:line="212" w:lineRule="auto"/>
        <w:ind w:left="550"/>
        <w:rPr>
          <w:sz w:val="24"/>
          <w:szCs w:val="24"/>
        </w:rPr>
      </w:pPr>
      <w:r>
        <w:rPr>
          <w:rFonts w:ascii="Times New Roman" w:hAnsi="Times New Roman" w:eastAsia="Times New Roman" w:cs="Times New Roman"/>
          <w:spacing w:val="27"/>
          <w:sz w:val="24"/>
          <w:szCs w:val="24"/>
        </w:rPr>
        <w:t>a)</w:t>
      </w:r>
      <w:r>
        <w:rPr>
          <w:rFonts w:ascii="Times New Roman" w:hAnsi="Times New Roman" w:eastAsia="Times New Roman" w:cs="Times New Roman"/>
          <w:spacing w:val="24"/>
          <w:sz w:val="24"/>
          <w:szCs w:val="24"/>
        </w:rPr>
        <w:t xml:space="preserve">  </w:t>
      </w:r>
      <w:r>
        <w:rPr>
          <w:spacing w:val="27"/>
          <w:sz w:val="24"/>
          <w:szCs w:val="24"/>
        </w:rPr>
        <w:t>满足设计输入的要求；</w:t>
      </w:r>
    </w:p>
    <w:p w14:paraId="068E84C9">
      <w:pPr>
        <w:pStyle w:val="2"/>
        <w:spacing w:before="125" w:line="212" w:lineRule="auto"/>
        <w:ind w:left="550"/>
        <w:rPr>
          <w:sz w:val="24"/>
          <w:szCs w:val="24"/>
        </w:rPr>
      </w:pPr>
      <w:r>
        <w:rPr>
          <w:rFonts w:ascii="Times New Roman" w:hAnsi="Times New Roman" w:eastAsia="Times New Roman" w:cs="Times New Roman"/>
          <w:spacing w:val="25"/>
          <w:sz w:val="24"/>
          <w:szCs w:val="24"/>
        </w:rPr>
        <w:t>b)</w:t>
      </w:r>
      <w:r>
        <w:rPr>
          <w:rFonts w:ascii="Times New Roman" w:hAnsi="Times New Roman" w:eastAsia="Times New Roman" w:cs="Times New Roman"/>
          <w:spacing w:val="29"/>
          <w:sz w:val="24"/>
          <w:szCs w:val="24"/>
        </w:rPr>
        <w:t xml:space="preserve">  </w:t>
      </w:r>
      <w:r>
        <w:rPr>
          <w:spacing w:val="25"/>
          <w:sz w:val="24"/>
          <w:szCs w:val="24"/>
        </w:rPr>
        <w:t>包含或引用验收准则；</w:t>
      </w:r>
    </w:p>
    <w:p w14:paraId="50329E18">
      <w:pPr>
        <w:pStyle w:val="2"/>
        <w:spacing w:before="122" w:line="212" w:lineRule="auto"/>
        <w:ind w:left="550"/>
      </w:pPr>
      <w:r>
        <w:rPr>
          <w:rFonts w:ascii="Times New Roman" w:hAnsi="Times New Roman" w:eastAsia="Times New Roman" w:cs="Times New Roman"/>
          <w:spacing w:val="-3"/>
        </w:rPr>
        <w:t xml:space="preserve">c)  </w:t>
      </w:r>
      <w:r>
        <w:rPr>
          <w:spacing w:val="-3"/>
        </w:rPr>
        <w:t>给出采购、生产和服务提供的适当信息；</w:t>
      </w:r>
    </w:p>
    <w:p w14:paraId="617A033A">
      <w:pPr>
        <w:pStyle w:val="2"/>
        <w:spacing w:before="102" w:line="271" w:lineRule="auto"/>
        <w:ind w:firstLine="550"/>
        <w:rPr>
          <w:sz w:val="25"/>
          <w:szCs w:val="25"/>
        </w:rPr>
      </w:pPr>
      <w:r>
        <w:rPr>
          <w:rFonts w:ascii="Times New Roman" w:hAnsi="Times New Roman" w:eastAsia="Times New Roman" w:cs="Times New Roman"/>
          <w:spacing w:val="25"/>
          <w:sz w:val="25"/>
          <w:szCs w:val="25"/>
        </w:rPr>
        <w:t xml:space="preserve">d)  </w:t>
      </w:r>
      <w:r>
        <w:rPr>
          <w:spacing w:val="25"/>
          <w:sz w:val="25"/>
          <w:szCs w:val="25"/>
        </w:rPr>
        <w:t>规定并标出与产品安全和正常工作关</w:t>
      </w:r>
      <w:r>
        <w:rPr>
          <w:spacing w:val="24"/>
          <w:sz w:val="25"/>
          <w:szCs w:val="25"/>
        </w:rPr>
        <w:t>系重大的设计特性如操作、贮存、</w:t>
      </w:r>
      <w:r>
        <w:rPr>
          <w:sz w:val="25"/>
          <w:szCs w:val="25"/>
        </w:rPr>
        <w:t xml:space="preserve"> </w:t>
      </w:r>
      <w:r>
        <w:rPr>
          <w:spacing w:val="11"/>
          <w:sz w:val="25"/>
          <w:szCs w:val="25"/>
        </w:rPr>
        <w:t>搬运、维修和处置的要求；</w:t>
      </w:r>
    </w:p>
    <w:p w14:paraId="3A49C875">
      <w:pPr>
        <w:pStyle w:val="2"/>
        <w:spacing w:before="54" w:line="260" w:lineRule="auto"/>
        <w:ind w:right="122" w:firstLine="550"/>
      </w:pPr>
      <w:r>
        <w:rPr>
          <w:rFonts w:ascii="Times New Roman" w:hAnsi="Times New Roman" w:eastAsia="Times New Roman" w:cs="Times New Roman"/>
          <w:spacing w:val="-5"/>
        </w:rPr>
        <w:t xml:space="preserve">e)  </w:t>
      </w:r>
      <w:r>
        <w:rPr>
          <w:spacing w:val="-5"/>
        </w:rPr>
        <w:t>根据特性分类，编制关键件、重要件项目明细表，并在产品设计文件和图</w:t>
      </w:r>
      <w:r>
        <w:rPr>
          <w:spacing w:val="17"/>
        </w:rPr>
        <w:t xml:space="preserve"> </w:t>
      </w:r>
      <w:r>
        <w:rPr>
          <w:spacing w:val="4"/>
        </w:rPr>
        <w:t>样上作相应标识。</w:t>
      </w:r>
    </w:p>
    <w:p w14:paraId="1DD5B531">
      <w:pPr>
        <w:pStyle w:val="2"/>
        <w:spacing w:before="110" w:line="219" w:lineRule="auto"/>
        <w:ind w:left="550"/>
      </w:pPr>
      <w:r>
        <w:rPr>
          <w:spacing w:val="3"/>
        </w:rPr>
        <w:t>设计输出文件在放行前应得到批准。</w:t>
      </w:r>
    </w:p>
    <w:p w14:paraId="0EFC9371">
      <w:pPr>
        <w:spacing w:before="73" w:line="222" w:lineRule="auto"/>
        <w:rPr>
          <w:rFonts w:ascii="黑体" w:hAnsi="黑体" w:eastAsia="黑体" w:cs="黑体"/>
          <w:sz w:val="25"/>
          <w:szCs w:val="25"/>
        </w:rPr>
      </w:pPr>
      <w:r>
        <w:rPr>
          <w:rFonts w:ascii="黑体" w:hAnsi="黑体" w:eastAsia="黑体" w:cs="黑体"/>
          <w:spacing w:val="9"/>
          <w:sz w:val="25"/>
          <w:szCs w:val="25"/>
        </w:rPr>
        <w:t>9.14</w:t>
      </w:r>
      <w:r>
        <w:rPr>
          <w:rFonts w:ascii="黑体" w:hAnsi="黑体" w:eastAsia="黑体" w:cs="黑体"/>
          <w:spacing w:val="50"/>
          <w:sz w:val="25"/>
          <w:szCs w:val="25"/>
        </w:rPr>
        <w:t xml:space="preserve">  </w:t>
      </w:r>
      <w:r>
        <w:rPr>
          <w:rFonts w:ascii="黑体" w:hAnsi="黑体" w:eastAsia="黑体" w:cs="黑体"/>
          <w:b/>
          <w:bCs/>
          <w:spacing w:val="9"/>
          <w:sz w:val="25"/>
          <w:szCs w:val="25"/>
        </w:rPr>
        <w:t>设计评审</w:t>
      </w:r>
    </w:p>
    <w:p w14:paraId="0832E815">
      <w:pPr>
        <w:pStyle w:val="2"/>
        <w:spacing w:before="126" w:line="272" w:lineRule="auto"/>
        <w:ind w:right="127" w:firstLine="550"/>
        <w:jc w:val="both"/>
      </w:pPr>
      <w:r>
        <w:rPr>
          <w:spacing w:val="-1"/>
        </w:rPr>
        <w:t>大纲应根据产品的功能级别和管理级别，按</w:t>
      </w:r>
      <w:r>
        <w:rPr>
          <w:rFonts w:ascii="Times New Roman" w:hAnsi="Times New Roman" w:eastAsia="Times New Roman" w:cs="Times New Roman"/>
          <w:spacing w:val="-1"/>
        </w:rPr>
        <w:t>GJB</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1"/>
        </w:rPr>
        <w:t xml:space="preserve">1310 </w:t>
      </w:r>
      <w:r>
        <w:rPr>
          <w:spacing w:val="-1"/>
        </w:rPr>
        <w:t>的有关要求，规定需</w:t>
      </w:r>
      <w:r>
        <w:t xml:space="preserve"> </w:t>
      </w:r>
      <w:r>
        <w:rPr>
          <w:spacing w:val="-3"/>
        </w:rPr>
        <w:t>实施分级、分阶段的设计评审。当合同要求时，应对顾客或其代表参加评审的方</w:t>
      </w:r>
      <w:r>
        <w:rPr>
          <w:spacing w:val="14"/>
        </w:rPr>
        <w:t xml:space="preserve"> </w:t>
      </w:r>
      <w:r>
        <w:rPr>
          <w:spacing w:val="2"/>
        </w:rPr>
        <w:t>法作出规定。</w:t>
      </w:r>
    </w:p>
    <w:p w14:paraId="2C4EC134">
      <w:pPr>
        <w:pStyle w:val="2"/>
        <w:spacing w:before="17" w:line="220" w:lineRule="auto"/>
        <w:ind w:left="550"/>
      </w:pPr>
      <w:r>
        <w:rPr>
          <w:spacing w:val="-4"/>
        </w:rPr>
        <w:t>如需要，应进行专项评审或工艺可行性评审。</w:t>
      </w:r>
    </w:p>
    <w:p w14:paraId="3309A69F">
      <w:pPr>
        <w:spacing w:line="220" w:lineRule="auto"/>
        <w:sectPr>
          <w:footerReference r:id="rId321" w:type="default"/>
          <w:pgSz w:w="11910" w:h="17130"/>
          <w:pgMar w:top="1456" w:right="914" w:bottom="1603" w:left="1499" w:header="0" w:footer="1405" w:gutter="0"/>
          <w:cols w:space="720" w:num="1"/>
        </w:sectPr>
      </w:pPr>
    </w:p>
    <w:p w14:paraId="0821DC54">
      <w:pPr>
        <w:spacing w:before="199" w:line="222" w:lineRule="auto"/>
        <w:rPr>
          <w:rFonts w:ascii="黑体" w:hAnsi="黑体" w:eastAsia="黑体" w:cs="黑体"/>
          <w:sz w:val="25"/>
          <w:szCs w:val="25"/>
        </w:rPr>
      </w:pPr>
      <w:r>
        <w:rPr>
          <w:rFonts w:ascii="黑体" w:hAnsi="黑体" w:eastAsia="黑体" w:cs="黑体"/>
          <w:spacing w:val="11"/>
          <w:sz w:val="25"/>
          <w:szCs w:val="25"/>
        </w:rPr>
        <w:t>9.15</w:t>
      </w:r>
      <w:r>
        <w:rPr>
          <w:rFonts w:ascii="黑体" w:hAnsi="黑体" w:eastAsia="黑体" w:cs="黑体"/>
          <w:spacing w:val="43"/>
          <w:sz w:val="25"/>
          <w:szCs w:val="25"/>
        </w:rPr>
        <w:t xml:space="preserve">  </w:t>
      </w:r>
      <w:r>
        <w:rPr>
          <w:rFonts w:ascii="黑体" w:hAnsi="黑体" w:eastAsia="黑体" w:cs="黑体"/>
          <w:b/>
          <w:bCs/>
          <w:spacing w:val="11"/>
          <w:sz w:val="25"/>
          <w:szCs w:val="25"/>
        </w:rPr>
        <w:t>设计验证</w:t>
      </w:r>
    </w:p>
    <w:p w14:paraId="75B301F1">
      <w:pPr>
        <w:pStyle w:val="2"/>
        <w:spacing w:before="76" w:line="266" w:lineRule="auto"/>
        <w:ind w:right="25" w:firstLine="570"/>
      </w:pPr>
      <w:r>
        <w:rPr>
          <w:spacing w:val="5"/>
        </w:rPr>
        <w:t>大纲应规定所要进行的设计验证项目及验证方法。在整个研制过程中，应</w:t>
      </w:r>
      <w:r>
        <w:rPr>
          <w:spacing w:val="10"/>
        </w:rPr>
        <w:t xml:space="preserve"> </w:t>
      </w:r>
      <w:r>
        <w:rPr>
          <w:spacing w:val="2"/>
        </w:rPr>
        <w:t>能保证对各项验证进行跟踪和追溯。</w:t>
      </w:r>
    </w:p>
    <w:p w14:paraId="02810EE1">
      <w:pPr>
        <w:pStyle w:val="2"/>
        <w:spacing w:before="2" w:line="288" w:lineRule="auto"/>
        <w:ind w:right="25" w:firstLine="570"/>
        <w:jc w:val="both"/>
      </w:pPr>
      <w:r>
        <w:rPr>
          <w:spacing w:val="-3"/>
        </w:rPr>
        <w:t>在转阶段或靶场试验前，应对尚未经过试验验证的关键技术、直接影响试验</w:t>
      </w:r>
      <w:r>
        <w:t xml:space="preserve"> </w:t>
      </w:r>
      <w:r>
        <w:rPr>
          <w:spacing w:val="-3"/>
        </w:rPr>
        <w:t>成功和危及安全的问题，组织同行专家和专业机构的人员进行复核、复算等设计</w:t>
      </w:r>
      <w:r>
        <w:rPr>
          <w:spacing w:val="15"/>
        </w:rPr>
        <w:t xml:space="preserve"> </w:t>
      </w:r>
      <w:r>
        <w:rPr>
          <w:spacing w:val="-1"/>
        </w:rPr>
        <w:t>验证工作。</w:t>
      </w:r>
    </w:p>
    <w:p w14:paraId="5EAF5161">
      <w:pPr>
        <w:spacing w:line="221" w:lineRule="auto"/>
        <w:rPr>
          <w:rFonts w:ascii="黑体" w:hAnsi="黑体" w:eastAsia="黑体" w:cs="黑体"/>
          <w:sz w:val="27"/>
          <w:szCs w:val="27"/>
        </w:rPr>
      </w:pPr>
      <w:r>
        <w:rPr>
          <w:rFonts w:ascii="黑体" w:hAnsi="黑体" w:eastAsia="黑体" w:cs="黑体"/>
          <w:spacing w:val="4"/>
          <w:sz w:val="27"/>
          <w:szCs w:val="27"/>
        </w:rPr>
        <w:t xml:space="preserve">9.16  </w:t>
      </w:r>
      <w:r>
        <w:rPr>
          <w:rFonts w:ascii="黑体" w:hAnsi="黑体" w:eastAsia="黑体" w:cs="黑体"/>
          <w:b/>
          <w:bCs/>
          <w:spacing w:val="4"/>
          <w:sz w:val="27"/>
          <w:szCs w:val="27"/>
        </w:rPr>
        <w:t>设计确认/定型(鉴定)</w:t>
      </w:r>
    </w:p>
    <w:p w14:paraId="2A10862F">
      <w:pPr>
        <w:pStyle w:val="2"/>
        <w:spacing w:before="78" w:line="281" w:lineRule="auto"/>
        <w:ind w:right="22" w:firstLine="570"/>
      </w:pPr>
      <w:r>
        <w:rPr>
          <w:spacing w:val="-3"/>
        </w:rPr>
        <w:t>大纲应依据所策划的安排，明确规定确认的内容、方式、条件和确认点以及</w:t>
      </w:r>
      <w:r>
        <w:rPr>
          <w:spacing w:val="2"/>
        </w:rPr>
        <w:t xml:space="preserve"> </w:t>
      </w:r>
      <w:r>
        <w:rPr>
          <w:spacing w:val="-6"/>
        </w:rPr>
        <w:t>要进行鉴定的技术状态项目，根据使用环境，提出要求并实施。</w:t>
      </w:r>
    </w:p>
    <w:p w14:paraId="5DE7BA5E">
      <w:pPr>
        <w:pStyle w:val="2"/>
        <w:spacing w:before="3" w:line="271" w:lineRule="auto"/>
        <w:ind w:right="19" w:firstLine="570"/>
      </w:pPr>
      <w:r>
        <w:rPr>
          <w:spacing w:val="2"/>
        </w:rPr>
        <w:t>对需要定型(或鉴定)的产品，按</w:t>
      </w:r>
      <w:r>
        <w:rPr>
          <w:rFonts w:ascii="Times New Roman" w:hAnsi="Times New Roman" w:eastAsia="Times New Roman" w:cs="Times New Roman"/>
        </w:rPr>
        <w:t>GJB</w:t>
      </w:r>
      <w:r>
        <w:rPr>
          <w:rFonts w:ascii="Times New Roman" w:hAnsi="Times New Roman" w:eastAsia="Times New Roman" w:cs="Times New Roman"/>
          <w:spacing w:val="2"/>
        </w:rPr>
        <w:t xml:space="preserve">   1362A</w:t>
      </w:r>
      <w:r>
        <w:rPr>
          <w:rFonts w:ascii="Times New Roman" w:hAnsi="Times New Roman" w:eastAsia="Times New Roman" w:cs="Times New Roman"/>
          <w:spacing w:val="-21"/>
        </w:rPr>
        <w:t xml:space="preserve"> </w:t>
      </w:r>
      <w:r>
        <w:rPr>
          <w:spacing w:val="2"/>
        </w:rPr>
        <w:t>及有</w:t>
      </w:r>
      <w:r>
        <w:rPr>
          <w:spacing w:val="1"/>
        </w:rPr>
        <w:t>关产品定型(或鉴定)工作</w:t>
      </w:r>
      <w:r>
        <w:t xml:space="preserve"> </w:t>
      </w:r>
      <w:r>
        <w:rPr>
          <w:spacing w:val="2"/>
        </w:rPr>
        <w:t>规定的要求完成定型(或鉴定)。</w:t>
      </w:r>
    </w:p>
    <w:p w14:paraId="4F2681AE">
      <w:pPr>
        <w:spacing w:line="221" w:lineRule="auto"/>
        <w:rPr>
          <w:rFonts w:ascii="黑体" w:hAnsi="黑体" w:eastAsia="黑体" w:cs="黑体"/>
          <w:sz w:val="27"/>
          <w:szCs w:val="27"/>
        </w:rPr>
      </w:pPr>
      <w:r>
        <w:rPr>
          <w:rFonts w:ascii="黑体" w:hAnsi="黑体" w:eastAsia="黑体" w:cs="黑体"/>
          <w:spacing w:val="2"/>
          <w:sz w:val="27"/>
          <w:szCs w:val="27"/>
        </w:rPr>
        <w:t xml:space="preserve">9.17  </w:t>
      </w:r>
      <w:r>
        <w:rPr>
          <w:rFonts w:ascii="黑体" w:hAnsi="黑体" w:eastAsia="黑体" w:cs="黑体"/>
          <w:b/>
          <w:bCs/>
          <w:spacing w:val="2"/>
          <w:sz w:val="27"/>
          <w:szCs w:val="27"/>
        </w:rPr>
        <w:t>设计更改的控制</w:t>
      </w:r>
    </w:p>
    <w:p w14:paraId="3A30DDC7">
      <w:pPr>
        <w:pStyle w:val="2"/>
        <w:spacing w:before="91" w:line="219" w:lineRule="auto"/>
        <w:ind w:left="570"/>
      </w:pPr>
      <w:r>
        <w:rPr>
          <w:spacing w:val="5"/>
        </w:rPr>
        <w:t>大纲应规定按</w:t>
      </w:r>
      <w:r>
        <w:rPr>
          <w:rFonts w:ascii="Times New Roman" w:hAnsi="Times New Roman" w:eastAsia="Times New Roman" w:cs="Times New Roman"/>
        </w:rPr>
        <w:t>GJB</w:t>
      </w:r>
      <w:r>
        <w:rPr>
          <w:rFonts w:ascii="Times New Roman" w:hAnsi="Times New Roman" w:eastAsia="Times New Roman" w:cs="Times New Roman"/>
          <w:spacing w:val="5"/>
        </w:rPr>
        <w:t xml:space="preserve">   3206A</w:t>
      </w:r>
      <w:r>
        <w:rPr>
          <w:spacing w:val="5"/>
        </w:rPr>
        <w:t>实施设计更改控制的具</w:t>
      </w:r>
      <w:r>
        <w:rPr>
          <w:spacing w:val="4"/>
        </w:rPr>
        <w:t>体要求。</w:t>
      </w:r>
    </w:p>
    <w:p w14:paraId="356098A2">
      <w:pPr>
        <w:spacing w:before="84" w:line="221" w:lineRule="auto"/>
        <w:rPr>
          <w:rFonts w:ascii="黑体" w:hAnsi="黑体" w:eastAsia="黑体" w:cs="黑体"/>
          <w:sz w:val="27"/>
          <w:szCs w:val="27"/>
        </w:rPr>
      </w:pPr>
      <w:r>
        <w:rPr>
          <w:rFonts w:ascii="黑体" w:hAnsi="黑体" w:eastAsia="黑体" w:cs="黑体"/>
          <w:spacing w:val="-4"/>
          <w:sz w:val="27"/>
          <w:szCs w:val="27"/>
        </w:rPr>
        <w:t>10</w:t>
      </w:r>
      <w:r>
        <w:rPr>
          <w:rFonts w:ascii="黑体" w:hAnsi="黑体" w:eastAsia="黑体" w:cs="黑体"/>
          <w:spacing w:val="29"/>
          <w:sz w:val="27"/>
          <w:szCs w:val="27"/>
        </w:rPr>
        <w:t xml:space="preserve">  </w:t>
      </w:r>
      <w:r>
        <w:rPr>
          <w:rFonts w:ascii="黑体" w:hAnsi="黑体" w:eastAsia="黑体" w:cs="黑体"/>
          <w:b/>
          <w:bCs/>
          <w:spacing w:val="-4"/>
          <w:sz w:val="27"/>
          <w:szCs w:val="27"/>
        </w:rPr>
        <w:t>试验控制</w:t>
      </w:r>
    </w:p>
    <w:p w14:paraId="076D900C">
      <w:pPr>
        <w:pStyle w:val="2"/>
        <w:spacing w:before="94" w:line="282" w:lineRule="auto"/>
        <w:ind w:right="23" w:firstLine="570"/>
      </w:pPr>
      <w:r>
        <w:rPr>
          <w:spacing w:val="-3"/>
        </w:rPr>
        <w:t>大纲应制定实施试验综合计划，该计划包括研制、生产和交付过程中应进行</w:t>
      </w:r>
      <w:r>
        <w:rPr>
          <w:spacing w:val="1"/>
        </w:rPr>
        <w:t xml:space="preserve"> </w:t>
      </w:r>
      <w:r>
        <w:rPr>
          <w:spacing w:val="-4"/>
        </w:rPr>
        <w:t>的全部试验工作，以保证有效地利用全部试验资源，并充分利用试验的结果。</w:t>
      </w:r>
    </w:p>
    <w:p w14:paraId="1A08B17F">
      <w:pPr>
        <w:pStyle w:val="2"/>
        <w:spacing w:before="6" w:line="271" w:lineRule="auto"/>
        <w:ind w:right="24" w:firstLine="570"/>
        <w:jc w:val="both"/>
      </w:pPr>
      <w:r>
        <w:rPr>
          <w:spacing w:val="-2"/>
        </w:rPr>
        <w:t>大纲应规定按</w:t>
      </w:r>
      <w:r>
        <w:rPr>
          <w:rFonts w:ascii="Times New Roman" w:hAnsi="Times New Roman" w:eastAsia="Times New Roman" w:cs="Times New Roman"/>
          <w:spacing w:val="-2"/>
        </w:rPr>
        <w:t>GJB 450A</w:t>
      </w:r>
      <w:r>
        <w:rPr>
          <w:rFonts w:ascii="Times New Roman" w:hAnsi="Times New Roman" w:eastAsia="Times New Roman" w:cs="Times New Roman"/>
          <w:spacing w:val="-26"/>
        </w:rPr>
        <w:t xml:space="preserve"> </w:t>
      </w:r>
      <w:r>
        <w:rPr>
          <w:spacing w:val="-2"/>
        </w:rPr>
        <w:t>、</w:t>
      </w:r>
      <w:r>
        <w:rPr>
          <w:rFonts w:ascii="Times New Roman" w:hAnsi="Times New Roman" w:eastAsia="Times New Roman" w:cs="Times New Roman"/>
          <w:spacing w:val="-2"/>
        </w:rPr>
        <w:t>GJB</w:t>
      </w:r>
      <w:r>
        <w:rPr>
          <w:rFonts w:ascii="Times New Roman" w:hAnsi="Times New Roman" w:eastAsia="Times New Roman" w:cs="Times New Roman"/>
          <w:spacing w:val="30"/>
        </w:rPr>
        <w:t xml:space="preserve"> </w:t>
      </w:r>
      <w:r>
        <w:rPr>
          <w:rFonts w:ascii="Times New Roman" w:hAnsi="Times New Roman" w:eastAsia="Times New Roman" w:cs="Times New Roman"/>
          <w:spacing w:val="-2"/>
        </w:rPr>
        <w:t>1407</w:t>
      </w:r>
      <w:r>
        <w:rPr>
          <w:rFonts w:ascii="Times New Roman" w:hAnsi="Times New Roman" w:eastAsia="Times New Roman" w:cs="Times New Roman"/>
          <w:spacing w:val="-39"/>
        </w:rPr>
        <w:t xml:space="preserve"> </w:t>
      </w:r>
      <w:r>
        <w:rPr>
          <w:spacing w:val="-2"/>
        </w:rPr>
        <w:t>、</w:t>
      </w:r>
      <w:r>
        <w:rPr>
          <w:rFonts w:ascii="Times New Roman" w:hAnsi="Times New Roman" w:eastAsia="Times New Roman" w:cs="Times New Roman"/>
          <w:spacing w:val="-2"/>
        </w:rPr>
        <w:t>GJB 368B</w:t>
      </w:r>
      <w:r>
        <w:rPr>
          <w:rFonts w:ascii="Times New Roman" w:hAnsi="Times New Roman" w:eastAsia="Times New Roman" w:cs="Times New Roman"/>
          <w:spacing w:val="-38"/>
        </w:rPr>
        <w:t xml:space="preserve"> </w:t>
      </w:r>
      <w:r>
        <w:rPr>
          <w:spacing w:val="-2"/>
        </w:rPr>
        <w:t>、</w:t>
      </w:r>
      <w:r>
        <w:rPr>
          <w:rFonts w:ascii="Times New Roman" w:hAnsi="Times New Roman" w:eastAsia="Times New Roman" w:cs="Times New Roman"/>
          <w:spacing w:val="-2"/>
        </w:rPr>
        <w:t xml:space="preserve">GJB1032 </w:t>
      </w:r>
      <w:r>
        <w:rPr>
          <w:spacing w:val="-2"/>
        </w:rPr>
        <w:t>的要求进行可靠</w:t>
      </w:r>
      <w:r>
        <w:t xml:space="preserve"> </w:t>
      </w:r>
      <w:r>
        <w:rPr>
          <w:spacing w:val="-3"/>
        </w:rPr>
        <w:t>性研制试验、可靠性鉴定试验、可靠性增长试验、维修性验证试验和环境应力筛</w:t>
      </w:r>
      <w:r>
        <w:rPr>
          <w:spacing w:val="17"/>
        </w:rPr>
        <w:t xml:space="preserve"> </w:t>
      </w:r>
      <w:r>
        <w:t>选试验，以及按</w:t>
      </w:r>
      <w:r>
        <w:rPr>
          <w:rFonts w:ascii="Times New Roman" w:hAnsi="Times New Roman" w:eastAsia="Times New Roman" w:cs="Times New Roman"/>
        </w:rPr>
        <w:t xml:space="preserve">GJB1452   </w:t>
      </w:r>
      <w:r>
        <w:t>的规定进行大型试验质量管理的要求。</w:t>
      </w:r>
    </w:p>
    <w:p w14:paraId="695381D2">
      <w:pPr>
        <w:spacing w:before="5" w:line="222" w:lineRule="auto"/>
        <w:rPr>
          <w:rFonts w:ascii="黑体" w:hAnsi="黑体" w:eastAsia="黑体" w:cs="黑体"/>
          <w:sz w:val="27"/>
          <w:szCs w:val="27"/>
        </w:rPr>
      </w:pPr>
      <w:r>
        <w:rPr>
          <w:rFonts w:ascii="黑体" w:hAnsi="黑体" w:eastAsia="黑体" w:cs="黑体"/>
          <w:spacing w:val="-3"/>
          <w:sz w:val="27"/>
          <w:szCs w:val="27"/>
        </w:rPr>
        <w:t>11</w:t>
      </w:r>
      <w:r>
        <w:rPr>
          <w:rFonts w:ascii="黑体" w:hAnsi="黑体" w:eastAsia="黑体" w:cs="黑体"/>
          <w:spacing w:val="32"/>
          <w:sz w:val="27"/>
          <w:szCs w:val="27"/>
        </w:rPr>
        <w:t xml:space="preserve">  </w:t>
      </w:r>
      <w:r>
        <w:rPr>
          <w:rFonts w:ascii="黑体" w:hAnsi="黑体" w:eastAsia="黑体" w:cs="黑体"/>
          <w:b/>
          <w:bCs/>
          <w:spacing w:val="-3"/>
          <w:sz w:val="27"/>
          <w:szCs w:val="27"/>
        </w:rPr>
        <w:t>采购质量控制</w:t>
      </w:r>
    </w:p>
    <w:p w14:paraId="03009642">
      <w:pPr>
        <w:spacing w:before="96" w:line="223" w:lineRule="auto"/>
        <w:rPr>
          <w:rFonts w:ascii="黑体" w:hAnsi="黑体" w:eastAsia="黑体" w:cs="黑体"/>
          <w:sz w:val="27"/>
          <w:szCs w:val="27"/>
        </w:rPr>
      </w:pPr>
      <w:r>
        <w:rPr>
          <w:rFonts w:ascii="黑体" w:hAnsi="黑体" w:eastAsia="黑体" w:cs="黑体"/>
          <w:spacing w:val="-2"/>
          <w:sz w:val="27"/>
          <w:szCs w:val="27"/>
        </w:rPr>
        <w:t>11.1</w:t>
      </w:r>
      <w:r>
        <w:rPr>
          <w:rFonts w:ascii="黑体" w:hAnsi="黑体" w:eastAsia="黑体" w:cs="黑体"/>
          <w:spacing w:val="45"/>
          <w:sz w:val="27"/>
          <w:szCs w:val="27"/>
        </w:rPr>
        <w:t xml:space="preserve">  </w:t>
      </w:r>
      <w:r>
        <w:rPr>
          <w:rFonts w:ascii="黑体" w:hAnsi="黑体" w:eastAsia="黑体" w:cs="黑体"/>
          <w:b/>
          <w:bCs/>
          <w:spacing w:val="-2"/>
          <w:sz w:val="27"/>
          <w:szCs w:val="27"/>
        </w:rPr>
        <w:t>采购品的控制</w:t>
      </w:r>
    </w:p>
    <w:p w14:paraId="070F596A">
      <w:pPr>
        <w:pStyle w:val="2"/>
        <w:spacing w:before="87" w:line="277" w:lineRule="auto"/>
        <w:ind w:firstLine="570"/>
      </w:pPr>
      <w:r>
        <w:rPr>
          <w:spacing w:val="4"/>
        </w:rPr>
        <w:t>大纲应按</w:t>
      </w:r>
      <w:r>
        <w:rPr>
          <w:spacing w:val="-80"/>
        </w:rPr>
        <w:t xml:space="preserve"> </w:t>
      </w:r>
      <w:r>
        <w:rPr>
          <w:rFonts w:ascii="Times New Roman" w:hAnsi="Times New Roman" w:eastAsia="Times New Roman" w:cs="Times New Roman"/>
        </w:rPr>
        <w:t>GJB</w:t>
      </w:r>
      <w:r>
        <w:rPr>
          <w:rFonts w:ascii="Times New Roman" w:hAnsi="Times New Roman" w:eastAsia="Times New Roman" w:cs="Times New Roman"/>
          <w:spacing w:val="4"/>
        </w:rPr>
        <w:t>939</w:t>
      </w:r>
      <w:r>
        <w:rPr>
          <w:rFonts w:ascii="Times New Roman" w:hAnsi="Times New Roman" w:eastAsia="Times New Roman" w:cs="Times New Roman"/>
          <w:spacing w:val="-38"/>
        </w:rPr>
        <w:t xml:space="preserve"> </w:t>
      </w:r>
      <w:r>
        <w:rPr>
          <w:spacing w:val="4"/>
        </w:rPr>
        <w:t>、</w:t>
      </w:r>
      <w:r>
        <w:rPr>
          <w:rFonts w:ascii="Times New Roman" w:hAnsi="Times New Roman" w:eastAsia="Times New Roman" w:cs="Times New Roman"/>
        </w:rPr>
        <w:t>GJB</w:t>
      </w:r>
      <w:r>
        <w:rPr>
          <w:rFonts w:ascii="Times New Roman" w:hAnsi="Times New Roman" w:eastAsia="Times New Roman" w:cs="Times New Roman"/>
          <w:spacing w:val="4"/>
        </w:rPr>
        <w:t>1404</w:t>
      </w:r>
      <w:r>
        <w:rPr>
          <w:rFonts w:ascii="Times New Roman" w:hAnsi="Times New Roman" w:eastAsia="Times New Roman" w:cs="Times New Roman"/>
          <w:spacing w:val="24"/>
          <w:w w:val="101"/>
        </w:rPr>
        <w:t xml:space="preserve">  </w:t>
      </w:r>
      <w:r>
        <w:rPr>
          <w:spacing w:val="4"/>
        </w:rPr>
        <w:t>和</w:t>
      </w:r>
      <w:r>
        <w:rPr>
          <w:spacing w:val="-63"/>
        </w:rPr>
        <w:t xml:space="preserve"> </w:t>
      </w:r>
      <w:r>
        <w:rPr>
          <w:rFonts w:ascii="Times New Roman" w:hAnsi="Times New Roman" w:eastAsia="Times New Roman" w:cs="Times New Roman"/>
        </w:rPr>
        <w:t>GJB</w:t>
      </w:r>
      <w:r>
        <w:rPr>
          <w:rFonts w:ascii="Times New Roman" w:hAnsi="Times New Roman" w:eastAsia="Times New Roman" w:cs="Times New Roman"/>
          <w:spacing w:val="4"/>
        </w:rPr>
        <w:t>/Z   2</w:t>
      </w:r>
      <w:r>
        <w:rPr>
          <w:spacing w:val="4"/>
        </w:rPr>
        <w:t>要求规定采购所需要的文件，内</w:t>
      </w:r>
      <w:r>
        <w:t xml:space="preserve"> </w:t>
      </w:r>
      <w:r>
        <w:rPr>
          <w:spacing w:val="-5"/>
        </w:rPr>
        <w:t>容包括：</w:t>
      </w:r>
    </w:p>
    <w:p w14:paraId="4F0783FE">
      <w:pPr>
        <w:pStyle w:val="2"/>
        <w:spacing w:before="2" w:line="212" w:lineRule="auto"/>
        <w:ind w:left="570"/>
        <w:rPr>
          <w:sz w:val="24"/>
          <w:szCs w:val="24"/>
        </w:rPr>
      </w:pPr>
      <w:r>
        <w:rPr>
          <w:rFonts w:ascii="Times New Roman" w:hAnsi="Times New Roman" w:eastAsia="Times New Roman" w:cs="Times New Roman"/>
          <w:spacing w:val="25"/>
          <w:sz w:val="24"/>
          <w:szCs w:val="24"/>
        </w:rPr>
        <w:t xml:space="preserve">a)  </w:t>
      </w:r>
      <w:r>
        <w:rPr>
          <w:spacing w:val="25"/>
          <w:sz w:val="24"/>
          <w:szCs w:val="24"/>
        </w:rPr>
        <w:t>对具有关键(重要)特性的采购产品，应规定适当的控制方式；</w:t>
      </w:r>
    </w:p>
    <w:p w14:paraId="5AFF4396">
      <w:pPr>
        <w:pStyle w:val="2"/>
        <w:spacing w:before="112"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63"/>
          <w:w w:val="101"/>
        </w:rPr>
        <w:t xml:space="preserve"> </w:t>
      </w:r>
      <w:r>
        <w:rPr>
          <w:spacing w:val="-4"/>
        </w:rPr>
        <w:t>选择、评价和重新评价供方的准则，以及对供方所采用的控制方法；</w:t>
      </w:r>
    </w:p>
    <w:p w14:paraId="4852F1C5">
      <w:pPr>
        <w:pStyle w:val="2"/>
        <w:spacing w:before="100" w:line="212" w:lineRule="auto"/>
        <w:ind w:left="570"/>
      </w:pPr>
      <w:r>
        <w:rPr>
          <w:rFonts w:ascii="Times New Roman" w:hAnsi="Times New Roman" w:eastAsia="Times New Roman" w:cs="Times New Roman"/>
          <w:spacing w:val="-2"/>
        </w:rPr>
        <w:t>c)</w:t>
      </w:r>
      <w:r>
        <w:rPr>
          <w:rFonts w:ascii="Times New Roman" w:hAnsi="Times New Roman" w:eastAsia="Times New Roman" w:cs="Times New Roman"/>
          <w:spacing w:val="67"/>
          <w:w w:val="101"/>
        </w:rPr>
        <w:t xml:space="preserve"> </w:t>
      </w:r>
      <w:r>
        <w:rPr>
          <w:spacing w:val="-2"/>
        </w:rPr>
        <w:t>适用时，对供方大纲或其他大纲要求的确认及引用；</w:t>
      </w:r>
    </w:p>
    <w:p w14:paraId="32D3CAD5">
      <w:pPr>
        <w:pStyle w:val="2"/>
        <w:spacing w:before="99" w:line="255" w:lineRule="auto"/>
        <w:ind w:right="16" w:firstLine="570"/>
      </w:pPr>
      <w:r>
        <w:rPr>
          <w:rFonts w:ascii="Times New Roman" w:hAnsi="Times New Roman" w:eastAsia="Times New Roman" w:cs="Times New Roman"/>
          <w:spacing w:val="20"/>
        </w:rPr>
        <w:t>d)</w:t>
      </w:r>
      <w:r>
        <w:rPr>
          <w:rFonts w:ascii="Times New Roman" w:hAnsi="Times New Roman" w:eastAsia="Times New Roman" w:cs="Times New Roman"/>
          <w:spacing w:val="67"/>
        </w:rPr>
        <w:t xml:space="preserve"> </w:t>
      </w:r>
      <w:r>
        <w:rPr>
          <w:spacing w:val="20"/>
        </w:rPr>
        <w:t>满足相关质量保证要求(包括适用于采购产品</w:t>
      </w:r>
      <w:r>
        <w:rPr>
          <w:spacing w:val="19"/>
        </w:rPr>
        <w:t>的法规要求)所采用的</w:t>
      </w:r>
      <w:r>
        <w:t xml:space="preserve"> </w:t>
      </w:r>
      <w:r>
        <w:rPr>
          <w:spacing w:val="-6"/>
        </w:rPr>
        <w:t>方法；</w:t>
      </w:r>
    </w:p>
    <w:p w14:paraId="0C40B190">
      <w:pPr>
        <w:pStyle w:val="2"/>
        <w:spacing w:before="55" w:line="212" w:lineRule="auto"/>
        <w:ind w:left="570"/>
      </w:pPr>
      <w:r>
        <w:rPr>
          <w:rFonts w:ascii="Times New Roman" w:hAnsi="Times New Roman" w:eastAsia="Times New Roman" w:cs="Times New Roman"/>
          <w:spacing w:val="2"/>
        </w:rPr>
        <w:t>e)</w:t>
      </w:r>
      <w:r>
        <w:rPr>
          <w:rFonts w:ascii="Times New Roman" w:hAnsi="Times New Roman" w:eastAsia="Times New Roman" w:cs="Times New Roman"/>
          <w:spacing w:val="76"/>
          <w:w w:val="101"/>
        </w:rPr>
        <w:t xml:space="preserve"> </w:t>
      </w:r>
      <w:r>
        <w:rPr>
          <w:spacing w:val="2"/>
        </w:rPr>
        <w:t>验证采购产品的程序和方法；</w:t>
      </w:r>
    </w:p>
    <w:p w14:paraId="7665293C">
      <w:pPr>
        <w:pStyle w:val="2"/>
        <w:spacing w:before="110" w:line="212" w:lineRule="auto"/>
        <w:ind w:left="570"/>
      </w:pPr>
      <w:r>
        <w:rPr>
          <w:rFonts w:ascii="Times New Roman" w:hAnsi="Times New Roman" w:eastAsia="Times New Roman" w:cs="Times New Roman"/>
          <w:spacing w:val="3"/>
        </w:rPr>
        <w:t xml:space="preserve">f)  </w:t>
      </w:r>
      <w:r>
        <w:rPr>
          <w:spacing w:val="3"/>
        </w:rPr>
        <w:t>向供方派出常驻或流动的质量验收代表的要求。</w:t>
      </w:r>
    </w:p>
    <w:p w14:paraId="6170F2F2">
      <w:pPr>
        <w:pStyle w:val="2"/>
        <w:spacing w:before="118" w:line="219" w:lineRule="auto"/>
        <w:ind w:left="570"/>
      </w:pPr>
      <w:r>
        <w:rPr>
          <w:spacing w:val="3"/>
        </w:rPr>
        <w:t>采购信息所包含的采购要求应是充分与适宜的。</w:t>
      </w:r>
    </w:p>
    <w:p w14:paraId="38C7D49C">
      <w:pPr>
        <w:pStyle w:val="2"/>
        <w:spacing w:before="102" w:line="269" w:lineRule="auto"/>
        <w:ind w:right="22" w:firstLine="570"/>
      </w:pPr>
      <w:r>
        <w:rPr>
          <w:spacing w:val="-3"/>
        </w:rPr>
        <w:t>大纲应规定采购新研制产品的质量控制要求、使用和履行审批的手续，以及</w:t>
      </w:r>
      <w:r>
        <w:rPr>
          <w:spacing w:val="2"/>
        </w:rPr>
        <w:t xml:space="preserve"> </w:t>
      </w:r>
      <w:r>
        <w:t>各方应承担的责任。</w:t>
      </w:r>
    </w:p>
    <w:p w14:paraId="6D96A38F">
      <w:pPr>
        <w:pStyle w:val="2"/>
        <w:spacing w:before="31" w:line="219" w:lineRule="auto"/>
        <w:ind w:left="570"/>
      </w:pPr>
      <w:r>
        <w:rPr>
          <w:spacing w:val="-3"/>
        </w:rPr>
        <w:t>需要时，对供方的确认应征得顾客或其代表的同意。</w:t>
      </w:r>
    </w:p>
    <w:p w14:paraId="3AAE5BC8">
      <w:pPr>
        <w:spacing w:line="219" w:lineRule="auto"/>
        <w:sectPr>
          <w:footerReference r:id="rId322" w:type="default"/>
          <w:pgSz w:w="11910" w:h="17130"/>
          <w:pgMar w:top="1456" w:right="1433" w:bottom="1536" w:left="1069" w:header="0" w:footer="1346" w:gutter="0"/>
          <w:cols w:space="720" w:num="1"/>
        </w:sectPr>
      </w:pPr>
    </w:p>
    <w:p w14:paraId="205A29AC">
      <w:pPr>
        <w:spacing w:before="54" w:line="222" w:lineRule="auto"/>
        <w:rPr>
          <w:rFonts w:ascii="黑体" w:hAnsi="黑体" w:eastAsia="黑体" w:cs="黑体"/>
          <w:sz w:val="27"/>
          <w:szCs w:val="27"/>
        </w:rPr>
      </w:pPr>
      <w:r>
        <w:rPr>
          <w:rFonts w:ascii="黑体" w:hAnsi="黑体" w:eastAsia="黑体" w:cs="黑体"/>
          <w:spacing w:val="-1"/>
          <w:sz w:val="27"/>
          <w:szCs w:val="27"/>
        </w:rPr>
        <w:t>11.2</w:t>
      </w:r>
      <w:r>
        <w:rPr>
          <w:rFonts w:ascii="黑体" w:hAnsi="黑体" w:eastAsia="黑体" w:cs="黑体"/>
          <w:spacing w:val="19"/>
          <w:sz w:val="27"/>
          <w:szCs w:val="27"/>
        </w:rPr>
        <w:t xml:space="preserve">  </w:t>
      </w:r>
      <w:r>
        <w:rPr>
          <w:rFonts w:ascii="黑体" w:hAnsi="黑体" w:eastAsia="黑体" w:cs="黑体"/>
          <w:b/>
          <w:bCs/>
          <w:spacing w:val="-1"/>
          <w:sz w:val="27"/>
          <w:szCs w:val="27"/>
        </w:rPr>
        <w:t>外包过程的控制</w:t>
      </w:r>
    </w:p>
    <w:p w14:paraId="52AF4482">
      <w:pPr>
        <w:pStyle w:val="2"/>
        <w:spacing w:before="71" w:line="219" w:lineRule="auto"/>
        <w:ind w:left="560"/>
      </w:pPr>
      <w:r>
        <w:rPr>
          <w:spacing w:val="-4"/>
        </w:rPr>
        <w:t>大纲应规定在产品实现过程中，对所有外包过程</w:t>
      </w:r>
      <w:r>
        <w:rPr>
          <w:spacing w:val="-5"/>
        </w:rPr>
        <w:t>的控制要求，一般包括：</w:t>
      </w:r>
    </w:p>
    <w:p w14:paraId="75D7732C">
      <w:pPr>
        <w:pStyle w:val="2"/>
        <w:spacing w:before="89" w:line="212" w:lineRule="auto"/>
        <w:ind w:left="560"/>
      </w:pPr>
      <w:r>
        <w:rPr>
          <w:rFonts w:ascii="Times New Roman" w:hAnsi="Times New Roman" w:eastAsia="Times New Roman" w:cs="Times New Roman"/>
          <w:spacing w:val="3"/>
        </w:rPr>
        <w:t xml:space="preserve">a)  </w:t>
      </w:r>
      <w:r>
        <w:rPr>
          <w:spacing w:val="3"/>
        </w:rPr>
        <w:t>正确识别产品在实现过程中所需要的外包过程；</w:t>
      </w:r>
    </w:p>
    <w:p w14:paraId="20CB8DA7">
      <w:pPr>
        <w:pStyle w:val="2"/>
        <w:spacing w:before="40" w:line="281" w:lineRule="auto"/>
        <w:ind w:right="20" w:firstLine="560"/>
      </w:pPr>
      <w:r>
        <w:rPr>
          <w:rFonts w:ascii="Times New Roman" w:hAnsi="Times New Roman" w:eastAsia="Times New Roman" w:cs="Times New Roman"/>
          <w:spacing w:val="-6"/>
        </w:rPr>
        <w:t>b)</w:t>
      </w:r>
      <w:r>
        <w:rPr>
          <w:rFonts w:ascii="Times New Roman" w:hAnsi="Times New Roman" w:eastAsia="Times New Roman" w:cs="Times New Roman"/>
          <w:spacing w:val="70"/>
          <w:w w:val="101"/>
        </w:rPr>
        <w:t xml:space="preserve"> </w:t>
      </w:r>
      <w:r>
        <w:rPr>
          <w:spacing w:val="-6"/>
        </w:rPr>
        <w:t>针对具体的外包过程如：设计外包、试制外包、试验外包和生产外包等过</w:t>
      </w:r>
      <w:r>
        <w:t xml:space="preserve"> </w:t>
      </w:r>
      <w:r>
        <w:rPr>
          <w:spacing w:val="-5"/>
        </w:rPr>
        <w:t>程，制定相应的控制措施和方法；</w:t>
      </w:r>
    </w:p>
    <w:p w14:paraId="6815AF57">
      <w:pPr>
        <w:pStyle w:val="2"/>
        <w:spacing w:before="69" w:line="212" w:lineRule="auto"/>
        <w:ind w:left="560"/>
        <w:rPr>
          <w:sz w:val="24"/>
          <w:szCs w:val="24"/>
        </w:rPr>
      </w:pPr>
      <w:r>
        <w:rPr>
          <w:rFonts w:ascii="Times New Roman" w:hAnsi="Times New Roman" w:eastAsia="Times New Roman" w:cs="Times New Roman"/>
          <w:spacing w:val="25"/>
          <w:sz w:val="24"/>
          <w:szCs w:val="24"/>
        </w:rPr>
        <w:t xml:space="preserve">c)  </w:t>
      </w:r>
      <w:r>
        <w:rPr>
          <w:spacing w:val="25"/>
          <w:sz w:val="24"/>
          <w:szCs w:val="24"/>
        </w:rPr>
        <w:t>对外包单位资格的要求；</w:t>
      </w:r>
    </w:p>
    <w:p w14:paraId="64E31948">
      <w:pPr>
        <w:pStyle w:val="2"/>
        <w:spacing w:before="112" w:line="212" w:lineRule="auto"/>
        <w:ind w:left="560"/>
      </w:pPr>
      <w:r>
        <w:rPr>
          <w:rFonts w:ascii="Times New Roman" w:hAnsi="Times New Roman" w:eastAsia="Times New Roman" w:cs="Times New Roman"/>
          <w:spacing w:val="6"/>
        </w:rPr>
        <w:t xml:space="preserve">d)  </w:t>
      </w:r>
      <w:r>
        <w:rPr>
          <w:spacing w:val="6"/>
        </w:rPr>
        <w:t>对外包单位能力的要求(包括设施和人员要求);</w:t>
      </w:r>
    </w:p>
    <w:p w14:paraId="4B12FF37">
      <w:pPr>
        <w:pStyle w:val="2"/>
        <w:spacing w:before="79" w:line="212" w:lineRule="auto"/>
        <w:ind w:left="560"/>
      </w:pPr>
      <w:r>
        <w:rPr>
          <w:rFonts w:ascii="Times New Roman" w:hAnsi="Times New Roman" w:eastAsia="Times New Roman" w:cs="Times New Roman"/>
          <w:spacing w:val="2"/>
        </w:rPr>
        <w:t>e)</w:t>
      </w:r>
      <w:r>
        <w:rPr>
          <w:rFonts w:ascii="Times New Roman" w:hAnsi="Times New Roman" w:eastAsia="Times New Roman" w:cs="Times New Roman"/>
          <w:spacing w:val="76"/>
          <w:w w:val="101"/>
        </w:rPr>
        <w:t xml:space="preserve"> </w:t>
      </w:r>
      <w:r>
        <w:rPr>
          <w:spacing w:val="2"/>
        </w:rPr>
        <w:t>对外包产品进行验收的准则；</w:t>
      </w:r>
    </w:p>
    <w:p w14:paraId="1C24B89A">
      <w:pPr>
        <w:pStyle w:val="2"/>
        <w:spacing w:before="110" w:line="212" w:lineRule="auto"/>
        <w:ind w:left="560"/>
      </w:pPr>
      <w:r>
        <w:rPr>
          <w:rFonts w:ascii="Times New Roman" w:hAnsi="Times New Roman" w:eastAsia="Times New Roman" w:cs="Times New Roman"/>
          <w:spacing w:val="4"/>
        </w:rPr>
        <w:t>f)</w:t>
      </w:r>
      <w:r>
        <w:rPr>
          <w:rFonts w:ascii="Times New Roman" w:hAnsi="Times New Roman" w:eastAsia="Times New Roman" w:cs="Times New Roman"/>
          <w:spacing w:val="54"/>
        </w:rPr>
        <w:t xml:space="preserve"> </w:t>
      </w:r>
      <w:r>
        <w:rPr>
          <w:spacing w:val="4"/>
        </w:rPr>
        <w:t>对外包单位实行监督的管理办法等。</w:t>
      </w:r>
    </w:p>
    <w:p w14:paraId="5E0217A3">
      <w:pPr>
        <w:spacing w:before="114" w:line="221" w:lineRule="auto"/>
        <w:rPr>
          <w:rFonts w:ascii="黑体" w:hAnsi="黑体" w:eastAsia="黑体" w:cs="黑体"/>
          <w:sz w:val="27"/>
          <w:szCs w:val="27"/>
        </w:rPr>
      </w:pPr>
      <w:r>
        <w:rPr>
          <w:rFonts w:ascii="黑体" w:hAnsi="黑体" w:eastAsia="黑体" w:cs="黑体"/>
          <w:spacing w:val="-1"/>
          <w:sz w:val="27"/>
          <w:szCs w:val="27"/>
        </w:rPr>
        <w:t>12</w:t>
      </w:r>
      <w:r>
        <w:rPr>
          <w:rFonts w:ascii="黑体" w:hAnsi="黑体" w:eastAsia="黑体" w:cs="黑体"/>
          <w:spacing w:val="29"/>
          <w:sz w:val="27"/>
          <w:szCs w:val="27"/>
        </w:rPr>
        <w:t xml:space="preserve">  </w:t>
      </w:r>
      <w:r>
        <w:rPr>
          <w:rFonts w:ascii="黑体" w:hAnsi="黑体" w:eastAsia="黑体" w:cs="黑体"/>
          <w:b/>
          <w:bCs/>
          <w:spacing w:val="-1"/>
          <w:sz w:val="27"/>
          <w:szCs w:val="27"/>
        </w:rPr>
        <w:t>试制和生产过程质量控制</w:t>
      </w:r>
    </w:p>
    <w:p w14:paraId="2546A8D7">
      <w:pPr>
        <w:pStyle w:val="2"/>
        <w:spacing w:before="84" w:line="219" w:lineRule="auto"/>
        <w:ind w:left="560"/>
      </w:pPr>
      <w:r>
        <w:rPr>
          <w:spacing w:val="-12"/>
        </w:rPr>
        <w:t>大纲应对试制、生产、安装和服务过程作出规定</w:t>
      </w:r>
      <w:r>
        <w:rPr>
          <w:spacing w:val="-13"/>
        </w:rPr>
        <w:t>，包括：</w:t>
      </w:r>
    </w:p>
    <w:p w14:paraId="20BFDF34">
      <w:pPr>
        <w:pStyle w:val="2"/>
        <w:spacing w:before="89" w:line="219" w:lineRule="auto"/>
        <w:ind w:left="560"/>
      </w:pPr>
      <w:r>
        <w:rPr>
          <w:rFonts w:ascii="Times New Roman" w:hAnsi="Times New Roman" w:eastAsia="Times New Roman" w:cs="Times New Roman"/>
          <w:spacing w:val="11"/>
        </w:rPr>
        <w:t>a</w:t>
      </w:r>
      <w:r>
        <w:rPr>
          <w:spacing w:val="11"/>
        </w:rPr>
        <w:t>)过程的步骤；</w:t>
      </w:r>
    </w:p>
    <w:p w14:paraId="2B1B67C7">
      <w:pPr>
        <w:pStyle w:val="2"/>
        <w:spacing w:before="59"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73"/>
        </w:rPr>
        <w:t xml:space="preserve"> </w:t>
      </w:r>
      <w:r>
        <w:rPr>
          <w:spacing w:val="2"/>
        </w:rPr>
        <w:t>有关的程序和作业指导书；</w:t>
      </w:r>
    </w:p>
    <w:p w14:paraId="465A84E9">
      <w:pPr>
        <w:pStyle w:val="2"/>
        <w:spacing w:before="110" w:line="212" w:lineRule="auto"/>
        <w:ind w:left="560"/>
      </w:pPr>
      <w:r>
        <w:rPr>
          <w:rFonts w:ascii="Times New Roman" w:hAnsi="Times New Roman" w:eastAsia="Times New Roman" w:cs="Times New Roman"/>
          <w:spacing w:val="-7"/>
        </w:rPr>
        <w:t>c)</w:t>
      </w:r>
      <w:r>
        <w:rPr>
          <w:rFonts w:ascii="Times New Roman" w:hAnsi="Times New Roman" w:eastAsia="Times New Roman" w:cs="Times New Roman"/>
          <w:spacing w:val="52"/>
        </w:rPr>
        <w:t xml:space="preserve"> </w:t>
      </w:r>
      <w:r>
        <w:rPr>
          <w:spacing w:val="-7"/>
        </w:rPr>
        <w:t>达到规定要求所使用的工具、技术、设备和方法；</w:t>
      </w:r>
    </w:p>
    <w:p w14:paraId="098C3D5E">
      <w:pPr>
        <w:pStyle w:val="2"/>
        <w:spacing w:before="90" w:line="212" w:lineRule="auto"/>
        <w:ind w:left="560"/>
      </w:pPr>
      <w:r>
        <w:rPr>
          <w:rFonts w:ascii="Times New Roman" w:hAnsi="Times New Roman" w:eastAsia="Times New Roman" w:cs="Times New Roman"/>
          <w:spacing w:val="2"/>
        </w:rPr>
        <w:t xml:space="preserve">d)  </w:t>
      </w:r>
      <w:r>
        <w:rPr>
          <w:spacing w:val="2"/>
        </w:rPr>
        <w:t>满足策划安排所需的资源；</w:t>
      </w:r>
    </w:p>
    <w:p w14:paraId="583AD9AB">
      <w:pPr>
        <w:pStyle w:val="2"/>
        <w:spacing w:before="100" w:line="261" w:lineRule="auto"/>
        <w:ind w:right="20" w:firstLine="560"/>
      </w:pPr>
      <w:r>
        <w:rPr>
          <w:rFonts w:ascii="Times New Roman" w:hAnsi="Times New Roman" w:eastAsia="Times New Roman" w:cs="Times New Roman"/>
          <w:spacing w:val="3"/>
        </w:rPr>
        <w:t>e)</w:t>
      </w:r>
      <w:r>
        <w:rPr>
          <w:rFonts w:ascii="Times New Roman" w:hAnsi="Times New Roman" w:eastAsia="Times New Roman" w:cs="Times New Roman"/>
          <w:spacing w:val="63"/>
        </w:rPr>
        <w:t xml:space="preserve"> </w:t>
      </w:r>
      <w:r>
        <w:rPr>
          <w:spacing w:val="3"/>
        </w:rPr>
        <w:t>监测和控制过程(含对过程能力的评价</w:t>
      </w:r>
      <w:r>
        <w:rPr>
          <w:spacing w:val="2"/>
        </w:rPr>
        <w:t>)及产品(质量)特性的方法，包括</w:t>
      </w:r>
      <w:r>
        <w:t xml:space="preserve"> </w:t>
      </w:r>
      <w:r>
        <w:rPr>
          <w:spacing w:val="3"/>
        </w:rPr>
        <w:t>规定的统计或其他过程控制方法；</w:t>
      </w:r>
    </w:p>
    <w:p w14:paraId="3F33D56D">
      <w:pPr>
        <w:pStyle w:val="2"/>
        <w:spacing w:before="57" w:line="212" w:lineRule="auto"/>
        <w:ind w:left="560"/>
      </w:pPr>
      <w:r>
        <w:rPr>
          <w:rFonts w:ascii="Times New Roman" w:hAnsi="Times New Roman" w:eastAsia="Times New Roman" w:cs="Times New Roman"/>
          <w:spacing w:val="2"/>
        </w:rPr>
        <w:t>f)</w:t>
      </w:r>
      <w:r>
        <w:rPr>
          <w:rFonts w:ascii="Times New Roman" w:hAnsi="Times New Roman" w:eastAsia="Times New Roman" w:cs="Times New Roman"/>
          <w:spacing w:val="56"/>
          <w:w w:val="101"/>
        </w:rPr>
        <w:t xml:space="preserve"> </w:t>
      </w:r>
      <w:r>
        <w:rPr>
          <w:spacing w:val="2"/>
        </w:rPr>
        <w:t>人员资格的要求；</w:t>
      </w:r>
    </w:p>
    <w:p w14:paraId="7D3BE05C">
      <w:pPr>
        <w:pStyle w:val="2"/>
        <w:spacing w:before="109" w:line="212" w:lineRule="auto"/>
        <w:ind w:left="560"/>
      </w:pPr>
      <w:r>
        <w:rPr>
          <w:rFonts w:ascii="Times New Roman" w:hAnsi="Times New Roman" w:eastAsia="Times New Roman" w:cs="Times New Roman"/>
          <w:spacing w:val="9"/>
        </w:rPr>
        <w:t>g</w:t>
      </w:r>
      <w:r>
        <w:rPr>
          <w:spacing w:val="9"/>
        </w:rPr>
        <w:t>)技能或服务提供的准则；</w:t>
      </w:r>
    </w:p>
    <w:p w14:paraId="6EAACD52">
      <w:pPr>
        <w:pStyle w:val="2"/>
        <w:spacing w:before="91" w:line="212" w:lineRule="auto"/>
        <w:ind w:left="560"/>
      </w:pPr>
      <w:r>
        <w:rPr>
          <w:rFonts w:ascii="Times New Roman" w:hAnsi="Times New Roman" w:eastAsia="Times New Roman" w:cs="Times New Roman"/>
          <w:spacing w:val="2"/>
        </w:rPr>
        <w:t xml:space="preserve">h)  </w:t>
      </w:r>
      <w:r>
        <w:rPr>
          <w:spacing w:val="2"/>
        </w:rPr>
        <w:t>适用的法律法规要求；</w:t>
      </w:r>
    </w:p>
    <w:p w14:paraId="6752BAE3">
      <w:pPr>
        <w:pStyle w:val="2"/>
        <w:spacing w:before="100" w:line="212" w:lineRule="auto"/>
        <w:ind w:left="560"/>
      </w:pPr>
      <w:r>
        <w:rPr>
          <w:rFonts w:ascii="Times New Roman" w:hAnsi="Times New Roman" w:eastAsia="Times New Roman" w:cs="Times New Roman"/>
          <w:spacing w:val="3"/>
        </w:rPr>
        <w:t>i)</w:t>
      </w:r>
      <w:r>
        <w:rPr>
          <w:rFonts w:ascii="Times New Roman" w:hAnsi="Times New Roman" w:eastAsia="Times New Roman" w:cs="Times New Roman"/>
          <w:spacing w:val="62"/>
        </w:rPr>
        <w:t xml:space="preserve"> </w:t>
      </w:r>
      <w:r>
        <w:rPr>
          <w:spacing w:val="3"/>
        </w:rPr>
        <w:t>新产品试制的控制要求。</w:t>
      </w:r>
    </w:p>
    <w:p w14:paraId="4E0CFDC7">
      <w:pPr>
        <w:spacing w:before="117" w:line="223" w:lineRule="auto"/>
        <w:rPr>
          <w:rFonts w:ascii="黑体" w:hAnsi="黑体" w:eastAsia="黑体" w:cs="黑体"/>
          <w:sz w:val="27"/>
          <w:szCs w:val="27"/>
        </w:rPr>
      </w:pPr>
      <w:r>
        <w:rPr>
          <w:rFonts w:ascii="黑体" w:hAnsi="黑体" w:eastAsia="黑体" w:cs="黑体"/>
          <w:spacing w:val="-8"/>
          <w:sz w:val="27"/>
          <w:szCs w:val="27"/>
        </w:rPr>
        <w:t>12.1</w:t>
      </w:r>
      <w:r>
        <w:rPr>
          <w:rFonts w:ascii="黑体" w:hAnsi="黑体" w:eastAsia="黑体" w:cs="黑体"/>
          <w:spacing w:val="48"/>
          <w:sz w:val="27"/>
          <w:szCs w:val="27"/>
        </w:rPr>
        <w:t xml:space="preserve">  </w:t>
      </w:r>
      <w:r>
        <w:rPr>
          <w:rFonts w:ascii="黑体" w:hAnsi="黑体" w:eastAsia="黑体" w:cs="黑体"/>
          <w:b/>
          <w:bCs/>
          <w:spacing w:val="-8"/>
          <w:sz w:val="27"/>
          <w:szCs w:val="27"/>
        </w:rPr>
        <w:t>工艺准备</w:t>
      </w:r>
    </w:p>
    <w:p w14:paraId="6BAD4810">
      <w:pPr>
        <w:pStyle w:val="2"/>
        <w:spacing w:before="87" w:line="219" w:lineRule="auto"/>
        <w:ind w:left="560"/>
      </w:pPr>
      <w:r>
        <w:rPr>
          <w:spacing w:val="-2"/>
        </w:rPr>
        <w:t>在完成设计资料的工艺审查和设计评审后应进行工艺准备，</w:t>
      </w:r>
      <w:r>
        <w:rPr>
          <w:spacing w:val="-76"/>
        </w:rPr>
        <w:t xml:space="preserve"> </w:t>
      </w:r>
      <w:r>
        <w:rPr>
          <w:spacing w:val="-2"/>
        </w:rPr>
        <w:t>一般包括：</w:t>
      </w:r>
    </w:p>
    <w:p w14:paraId="08762295">
      <w:pPr>
        <w:pStyle w:val="2"/>
        <w:spacing w:before="71" w:line="257" w:lineRule="auto"/>
        <w:ind w:right="18" w:firstLine="560"/>
      </w:pPr>
      <w:r>
        <w:rPr>
          <w:rFonts w:ascii="Times New Roman" w:hAnsi="Times New Roman" w:eastAsia="Times New Roman" w:cs="Times New Roman"/>
          <w:spacing w:val="3"/>
        </w:rPr>
        <w:t>a)</w:t>
      </w:r>
      <w:r>
        <w:rPr>
          <w:rFonts w:ascii="Times New Roman" w:hAnsi="Times New Roman" w:eastAsia="Times New Roman" w:cs="Times New Roman"/>
          <w:spacing w:val="63"/>
          <w:w w:val="101"/>
        </w:rPr>
        <w:t xml:space="preserve"> </w:t>
      </w:r>
      <w:r>
        <w:rPr>
          <w:spacing w:val="3"/>
        </w:rPr>
        <w:t>按产品研制需要提出工艺总方案、工艺技术改造方</w:t>
      </w:r>
      <w:r>
        <w:rPr>
          <w:spacing w:val="2"/>
        </w:rPr>
        <w:t>案和工艺攻关计划并</w:t>
      </w:r>
      <w:r>
        <w:t xml:space="preserve"> </w:t>
      </w:r>
      <w:r>
        <w:rPr>
          <w:spacing w:val="-1"/>
        </w:rPr>
        <w:t>进行评审；</w:t>
      </w:r>
    </w:p>
    <w:p w14:paraId="3D3E664F">
      <w:pPr>
        <w:pStyle w:val="2"/>
        <w:spacing w:before="67"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67"/>
        </w:rPr>
        <w:t xml:space="preserve"> </w:t>
      </w:r>
      <w:r>
        <w:rPr>
          <w:spacing w:val="4"/>
        </w:rPr>
        <w:t>对特种工艺应制定专用工艺文件或质量控制程</w:t>
      </w:r>
      <w:r>
        <w:rPr>
          <w:spacing w:val="3"/>
        </w:rPr>
        <w:t>序；</w:t>
      </w:r>
    </w:p>
    <w:p w14:paraId="215AC3EA">
      <w:pPr>
        <w:pStyle w:val="2"/>
        <w:spacing w:before="79" w:line="261" w:lineRule="auto"/>
        <w:ind w:firstLine="560"/>
      </w:pPr>
      <w:r>
        <w:rPr>
          <w:rFonts w:ascii="Times New Roman" w:hAnsi="Times New Roman" w:eastAsia="Times New Roman" w:cs="Times New Roman"/>
          <w:spacing w:val="4"/>
        </w:rPr>
        <w:t>c)</w:t>
      </w:r>
      <w:r>
        <w:rPr>
          <w:rFonts w:ascii="Times New Roman" w:hAnsi="Times New Roman" w:eastAsia="Times New Roman" w:cs="Times New Roman"/>
          <w:spacing w:val="52"/>
        </w:rPr>
        <w:t xml:space="preserve"> </w:t>
      </w:r>
      <w:r>
        <w:rPr>
          <w:spacing w:val="4"/>
        </w:rPr>
        <w:t>进行过程分析，对关键过程进行标识、设置</w:t>
      </w:r>
      <w:r>
        <w:rPr>
          <w:spacing w:val="3"/>
        </w:rPr>
        <w:t>质量控制点及规定详细的质</w:t>
      </w:r>
      <w:r>
        <w:t xml:space="preserve"> </w:t>
      </w:r>
      <w:r>
        <w:rPr>
          <w:spacing w:val="-3"/>
        </w:rPr>
        <w:t>量控制要求；</w:t>
      </w:r>
    </w:p>
    <w:p w14:paraId="7B2ECB9A">
      <w:pPr>
        <w:pStyle w:val="2"/>
        <w:spacing w:before="67" w:line="212" w:lineRule="auto"/>
        <w:ind w:left="560"/>
      </w:pPr>
      <w:r>
        <w:rPr>
          <w:rFonts w:ascii="Times New Roman" w:hAnsi="Times New Roman" w:eastAsia="Times New Roman" w:cs="Times New Roman"/>
          <w:spacing w:val="4"/>
        </w:rPr>
        <w:t>d)</w:t>
      </w:r>
      <w:r>
        <w:rPr>
          <w:rFonts w:ascii="Times New Roman" w:hAnsi="Times New Roman" w:eastAsia="Times New Roman" w:cs="Times New Roman"/>
          <w:spacing w:val="67"/>
        </w:rPr>
        <w:t xml:space="preserve"> </w:t>
      </w:r>
      <w:r>
        <w:rPr>
          <w:spacing w:val="4"/>
        </w:rPr>
        <w:t>工艺更改的控制及有重大更改时进行评审的程</w:t>
      </w:r>
      <w:r>
        <w:rPr>
          <w:spacing w:val="3"/>
        </w:rPr>
        <w:t>序；</w:t>
      </w:r>
    </w:p>
    <w:p w14:paraId="27203E0F">
      <w:pPr>
        <w:pStyle w:val="2"/>
        <w:spacing w:before="100" w:line="212" w:lineRule="auto"/>
        <w:ind w:left="560"/>
      </w:pPr>
      <w:r>
        <w:rPr>
          <w:rFonts w:ascii="Times New Roman" w:hAnsi="Times New Roman" w:eastAsia="Times New Roman" w:cs="Times New Roman"/>
          <w:spacing w:val="-2"/>
        </w:rPr>
        <w:t>e)</w:t>
      </w:r>
      <w:r>
        <w:rPr>
          <w:rFonts w:ascii="Times New Roman" w:hAnsi="Times New Roman" w:eastAsia="Times New Roman" w:cs="Times New Roman"/>
          <w:spacing w:val="68"/>
        </w:rPr>
        <w:t xml:space="preserve"> </w:t>
      </w:r>
      <w:r>
        <w:rPr>
          <w:spacing w:val="-2"/>
        </w:rPr>
        <w:t>试验设备、工艺装备和检测器具应按规定检定合格；</w:t>
      </w:r>
    </w:p>
    <w:p w14:paraId="693BEDD7">
      <w:pPr>
        <w:pStyle w:val="2"/>
        <w:spacing w:before="100" w:line="212" w:lineRule="auto"/>
        <w:ind w:left="560"/>
      </w:pPr>
      <w:r>
        <w:rPr>
          <w:rFonts w:ascii="Times New Roman" w:hAnsi="Times New Roman" w:eastAsia="Times New Roman" w:cs="Times New Roman"/>
          <w:spacing w:val="3"/>
        </w:rPr>
        <w:t>f)</w:t>
      </w:r>
      <w:r>
        <w:rPr>
          <w:rFonts w:ascii="Times New Roman" w:hAnsi="Times New Roman" w:eastAsia="Times New Roman" w:cs="Times New Roman"/>
          <w:spacing w:val="64"/>
        </w:rPr>
        <w:t xml:space="preserve"> </w:t>
      </w:r>
      <w:r>
        <w:rPr>
          <w:spacing w:val="3"/>
        </w:rPr>
        <w:t>有关的程序和作业指导书。</w:t>
      </w:r>
    </w:p>
    <w:p w14:paraId="11CB5208">
      <w:pPr>
        <w:pStyle w:val="2"/>
        <w:spacing w:before="119" w:line="277" w:lineRule="auto"/>
        <w:ind w:right="20" w:firstLine="560"/>
      </w:pPr>
      <w:r>
        <w:rPr>
          <w:spacing w:val="-6"/>
        </w:rPr>
        <w:t>在工艺文件准备阶段，按</w:t>
      </w:r>
      <w:r>
        <w:rPr>
          <w:rFonts w:ascii="Times New Roman" w:hAnsi="Times New Roman" w:eastAsia="Times New Roman" w:cs="Times New Roman"/>
          <w:spacing w:val="-6"/>
        </w:rPr>
        <w:t xml:space="preserve">GJB   1269A—2000 </w:t>
      </w:r>
      <w:r>
        <w:rPr>
          <w:spacing w:val="-6"/>
        </w:rPr>
        <w:t>的有关要求，实施分级、分阶段</w:t>
      </w:r>
      <w:r>
        <w:rPr>
          <w:spacing w:val="6"/>
        </w:rPr>
        <w:t xml:space="preserve"> </w:t>
      </w:r>
      <w:r>
        <w:rPr>
          <w:spacing w:val="-3"/>
        </w:rPr>
        <w:t>的工艺评审。</w:t>
      </w:r>
    </w:p>
    <w:p w14:paraId="4D7979D5">
      <w:pPr>
        <w:spacing w:line="277" w:lineRule="auto"/>
        <w:sectPr>
          <w:footerReference r:id="rId323" w:type="default"/>
          <w:pgSz w:w="11910" w:h="17130"/>
          <w:pgMar w:top="1411" w:right="989" w:bottom="1666" w:left="1539" w:header="0" w:footer="1476" w:gutter="0"/>
          <w:cols w:space="720" w:num="1"/>
        </w:sectPr>
      </w:pPr>
    </w:p>
    <w:p w14:paraId="64807975">
      <w:pPr>
        <w:spacing w:before="88" w:line="221" w:lineRule="auto"/>
        <w:rPr>
          <w:rFonts w:ascii="黑体" w:hAnsi="黑体" w:eastAsia="黑体" w:cs="黑体"/>
          <w:sz w:val="27"/>
          <w:szCs w:val="27"/>
        </w:rPr>
      </w:pPr>
      <w:r>
        <w:rPr>
          <w:rFonts w:ascii="黑体" w:hAnsi="黑体" w:eastAsia="黑体" w:cs="黑体"/>
          <w:spacing w:val="-7"/>
          <w:sz w:val="27"/>
          <w:szCs w:val="27"/>
        </w:rPr>
        <w:t xml:space="preserve">12.2  </w:t>
      </w:r>
      <w:r>
        <w:rPr>
          <w:rFonts w:ascii="黑体" w:hAnsi="黑体" w:eastAsia="黑体" w:cs="黑体"/>
          <w:b/>
          <w:bCs/>
          <w:spacing w:val="-7"/>
          <w:sz w:val="27"/>
          <w:szCs w:val="27"/>
        </w:rPr>
        <w:t>元器件、零件和原材料的控制</w:t>
      </w:r>
    </w:p>
    <w:p w14:paraId="71A39DB3">
      <w:pPr>
        <w:pStyle w:val="2"/>
        <w:spacing w:before="91" w:line="219" w:lineRule="auto"/>
        <w:ind w:left="539"/>
      </w:pPr>
      <w:r>
        <w:rPr>
          <w:spacing w:val="-1"/>
        </w:rPr>
        <w:t>大纲应规定器材(含半成品)的质量控制要求及材料代用程序，确保：</w:t>
      </w:r>
    </w:p>
    <w:p w14:paraId="42124D5E">
      <w:pPr>
        <w:pStyle w:val="2"/>
        <w:spacing w:before="80" w:line="212" w:lineRule="auto"/>
        <w:ind w:left="539"/>
      </w:pPr>
      <w:r>
        <w:rPr>
          <w:rFonts w:ascii="Times New Roman" w:hAnsi="Times New Roman" w:eastAsia="Times New Roman" w:cs="Times New Roman"/>
          <w:spacing w:val="-5"/>
        </w:rPr>
        <w:t>a)</w:t>
      </w:r>
      <w:r>
        <w:rPr>
          <w:rFonts w:ascii="Times New Roman" w:hAnsi="Times New Roman" w:eastAsia="Times New Roman" w:cs="Times New Roman"/>
          <w:spacing w:val="66"/>
          <w:w w:val="101"/>
        </w:rPr>
        <w:t xml:space="preserve"> </w:t>
      </w:r>
      <w:r>
        <w:rPr>
          <w:spacing w:val="-5"/>
        </w:rPr>
        <w:t>合格的元器件、零件、原材料和半成品才可投入加工和组装。</w:t>
      </w:r>
    </w:p>
    <w:p w14:paraId="4AFDDE82">
      <w:pPr>
        <w:pStyle w:val="2"/>
        <w:spacing w:before="88" w:line="264" w:lineRule="auto"/>
        <w:ind w:right="104" w:firstLine="539"/>
      </w:pPr>
      <w:r>
        <w:rPr>
          <w:rFonts w:ascii="Times New Roman" w:hAnsi="Times New Roman" w:eastAsia="Times New Roman" w:cs="Times New Roman"/>
          <w:spacing w:val="-4"/>
        </w:rPr>
        <w:t>b)</w:t>
      </w:r>
      <w:r>
        <w:rPr>
          <w:rFonts w:ascii="Times New Roman" w:hAnsi="Times New Roman" w:eastAsia="Times New Roman" w:cs="Times New Roman"/>
          <w:spacing w:val="47"/>
          <w:w w:val="101"/>
        </w:rPr>
        <w:t xml:space="preserve"> </w:t>
      </w:r>
      <w:r>
        <w:rPr>
          <w:spacing w:val="-4"/>
        </w:rPr>
        <w:t>外购、外协的产品应经进厂复验、筛选</w:t>
      </w:r>
      <w:r>
        <w:rPr>
          <w:spacing w:val="-5"/>
        </w:rPr>
        <w:t>合格，附有复验合格证或标记，方</w:t>
      </w:r>
      <w:r>
        <w:t xml:space="preserve"> </w:t>
      </w:r>
      <w:r>
        <w:rPr>
          <w:spacing w:val="-3"/>
        </w:rPr>
        <w:t>可投入生产。使用代用料时，应履行批准手续。</w:t>
      </w:r>
    </w:p>
    <w:p w14:paraId="00AC3C64">
      <w:pPr>
        <w:pStyle w:val="2"/>
        <w:spacing w:before="69" w:line="212" w:lineRule="auto"/>
        <w:ind w:left="539"/>
      </w:pPr>
      <w:r>
        <w:rPr>
          <w:rFonts w:ascii="Times New Roman" w:hAnsi="Times New Roman" w:eastAsia="Times New Roman" w:cs="Times New Roman"/>
        </w:rPr>
        <w:t>c)</w:t>
      </w:r>
      <w:r>
        <w:rPr>
          <w:rFonts w:ascii="Times New Roman" w:hAnsi="Times New Roman" w:eastAsia="Times New Roman" w:cs="Times New Roman"/>
          <w:spacing w:val="76"/>
          <w:w w:val="101"/>
        </w:rPr>
        <w:t xml:space="preserve"> </w:t>
      </w:r>
      <w:r>
        <w:t>在从事成套设备生产时，贮存的装配件和器材应齐全并作出适当标记。</w:t>
      </w:r>
    </w:p>
    <w:p w14:paraId="66F1E856">
      <w:pPr>
        <w:pStyle w:val="2"/>
        <w:spacing w:before="90" w:line="272" w:lineRule="auto"/>
        <w:ind w:right="121" w:firstLine="539"/>
      </w:pPr>
      <w:r>
        <w:rPr>
          <w:rFonts w:ascii="Times New Roman" w:hAnsi="Times New Roman" w:eastAsia="Times New Roman" w:cs="Times New Roman"/>
          <w:spacing w:val="2"/>
        </w:rPr>
        <w:t xml:space="preserve">d)  </w:t>
      </w:r>
      <w:r>
        <w:rPr>
          <w:spacing w:val="2"/>
        </w:rPr>
        <w:t>经确认易老化或易受环境影响而变质的产品应加以标识、并注明保管有</w:t>
      </w:r>
      <w:r>
        <w:rPr>
          <w:spacing w:val="13"/>
        </w:rPr>
        <w:t xml:space="preserve"> </w:t>
      </w:r>
      <w:r>
        <w:rPr>
          <w:rFonts w:ascii="仿宋" w:hAnsi="仿宋" w:eastAsia="仿宋" w:cs="仿宋"/>
          <w:spacing w:val="3"/>
        </w:rPr>
        <w:t>效</w:t>
      </w:r>
      <w:r>
        <w:rPr>
          <w:spacing w:val="3"/>
        </w:rPr>
        <w:t>日期。</w:t>
      </w:r>
    </w:p>
    <w:p w14:paraId="62310921">
      <w:pPr>
        <w:pStyle w:val="2"/>
        <w:spacing w:before="55" w:line="212" w:lineRule="auto"/>
        <w:ind w:left="539"/>
      </w:pPr>
      <w:r>
        <w:rPr>
          <w:rFonts w:ascii="Times New Roman" w:hAnsi="Times New Roman" w:eastAsia="Times New Roman" w:cs="Times New Roman"/>
          <w:spacing w:val="-7"/>
        </w:rPr>
        <w:t>e)</w:t>
      </w:r>
      <w:r>
        <w:rPr>
          <w:rFonts w:ascii="Times New Roman" w:hAnsi="Times New Roman" w:eastAsia="Times New Roman" w:cs="Times New Roman"/>
          <w:spacing w:val="53"/>
        </w:rPr>
        <w:t xml:space="preserve"> </w:t>
      </w:r>
      <w:r>
        <w:rPr>
          <w:spacing w:val="-7"/>
        </w:rPr>
        <w:t>元器件选用、测试、筛选符合规定的要</w:t>
      </w:r>
      <w:r>
        <w:rPr>
          <w:spacing w:val="-8"/>
        </w:rPr>
        <w:t>求。</w:t>
      </w:r>
    </w:p>
    <w:p w14:paraId="6A713446">
      <w:pPr>
        <w:spacing w:before="134" w:line="221" w:lineRule="auto"/>
        <w:rPr>
          <w:rFonts w:ascii="黑体" w:hAnsi="黑体" w:eastAsia="黑体" w:cs="黑体"/>
          <w:sz w:val="27"/>
          <w:szCs w:val="27"/>
        </w:rPr>
      </w:pPr>
      <w:r>
        <w:rPr>
          <w:rFonts w:ascii="黑体" w:hAnsi="黑体" w:eastAsia="黑体" w:cs="黑体"/>
          <w:spacing w:val="-3"/>
          <w:sz w:val="27"/>
          <w:szCs w:val="27"/>
        </w:rPr>
        <w:t>12.3</w:t>
      </w:r>
      <w:r>
        <w:rPr>
          <w:rFonts w:ascii="黑体" w:hAnsi="黑体" w:eastAsia="黑体" w:cs="黑体"/>
          <w:spacing w:val="34"/>
          <w:sz w:val="27"/>
          <w:szCs w:val="27"/>
        </w:rPr>
        <w:t xml:space="preserve">  </w:t>
      </w:r>
      <w:r>
        <w:rPr>
          <w:rFonts w:ascii="黑体" w:hAnsi="黑体" w:eastAsia="黑体" w:cs="黑体"/>
          <w:b/>
          <w:bCs/>
          <w:spacing w:val="-3"/>
          <w:sz w:val="27"/>
          <w:szCs w:val="27"/>
        </w:rPr>
        <w:t>基础设施和工作环境</w:t>
      </w:r>
    </w:p>
    <w:p w14:paraId="0FB8FD1B">
      <w:pPr>
        <w:pStyle w:val="2"/>
        <w:spacing w:before="83" w:line="219" w:lineRule="auto"/>
        <w:jc w:val="right"/>
      </w:pPr>
      <w:r>
        <w:rPr>
          <w:spacing w:val="1"/>
        </w:rPr>
        <w:t>大纲应明确针对具体产品或服务的基础设施、工作场所</w:t>
      </w:r>
      <w:r>
        <w:t>等方面的特殊要求。</w:t>
      </w:r>
    </w:p>
    <w:p w14:paraId="1F462774">
      <w:pPr>
        <w:pStyle w:val="2"/>
        <w:spacing w:before="110" w:line="292" w:lineRule="auto"/>
        <w:ind w:right="121" w:firstLine="539"/>
      </w:pPr>
      <w:r>
        <w:rPr>
          <w:spacing w:val="5"/>
        </w:rPr>
        <w:t>当工作环境对产品或过程的质量有直接影响时，大纲应规定特殊的环境要</w:t>
      </w:r>
      <w:r>
        <w:rPr>
          <w:spacing w:val="12"/>
        </w:rPr>
        <w:t xml:space="preserve"> </w:t>
      </w:r>
      <w:r>
        <w:rPr>
          <w:spacing w:val="-10"/>
        </w:rPr>
        <w:t>求或特性，如：清洁室空气中的粒子含量、生物危</w:t>
      </w:r>
      <w:r>
        <w:rPr>
          <w:spacing w:val="-11"/>
        </w:rPr>
        <w:t>害的防护等。</w:t>
      </w:r>
    </w:p>
    <w:p w14:paraId="4EBA37C6">
      <w:pPr>
        <w:spacing w:before="1" w:line="221" w:lineRule="auto"/>
        <w:rPr>
          <w:rFonts w:ascii="黑体" w:hAnsi="黑体" w:eastAsia="黑体" w:cs="黑体"/>
          <w:sz w:val="27"/>
          <w:szCs w:val="27"/>
        </w:rPr>
      </w:pPr>
      <w:r>
        <w:rPr>
          <w:rFonts w:ascii="黑体" w:hAnsi="黑体" w:eastAsia="黑体" w:cs="黑体"/>
          <w:spacing w:val="-2"/>
          <w:sz w:val="27"/>
          <w:szCs w:val="27"/>
        </w:rPr>
        <w:t>12.4</w:t>
      </w:r>
      <w:r>
        <w:rPr>
          <w:rFonts w:ascii="黑体" w:hAnsi="黑体" w:eastAsia="黑体" w:cs="黑体"/>
          <w:spacing w:val="15"/>
          <w:sz w:val="27"/>
          <w:szCs w:val="27"/>
        </w:rPr>
        <w:t xml:space="preserve">  </w:t>
      </w:r>
      <w:r>
        <w:rPr>
          <w:rFonts w:ascii="黑体" w:hAnsi="黑体" w:eastAsia="黑体" w:cs="黑体"/>
          <w:b/>
          <w:bCs/>
          <w:spacing w:val="-2"/>
          <w:sz w:val="27"/>
          <w:szCs w:val="27"/>
        </w:rPr>
        <w:t>关键过程控制</w:t>
      </w:r>
    </w:p>
    <w:p w14:paraId="735B7E46">
      <w:pPr>
        <w:pStyle w:val="2"/>
        <w:spacing w:before="80" w:line="296" w:lineRule="auto"/>
        <w:ind w:right="124" w:firstLine="539"/>
      </w:pPr>
      <w:r>
        <w:rPr>
          <w:spacing w:val="-3"/>
        </w:rPr>
        <w:t>大纲应规定按工艺文件或专用的质量控制程序、方法，对关键过程实施</w:t>
      </w:r>
      <w:r>
        <w:rPr>
          <w:spacing w:val="-4"/>
        </w:rPr>
        <w:t>质量</w:t>
      </w:r>
      <w:r>
        <w:t xml:space="preserve"> 控制的要求。</w:t>
      </w:r>
    </w:p>
    <w:p w14:paraId="46953A5B">
      <w:pPr>
        <w:spacing w:before="1" w:line="221" w:lineRule="auto"/>
        <w:rPr>
          <w:rFonts w:ascii="黑体" w:hAnsi="黑体" w:eastAsia="黑体" w:cs="黑体"/>
          <w:sz w:val="27"/>
          <w:szCs w:val="27"/>
        </w:rPr>
      </w:pPr>
      <w:r>
        <w:rPr>
          <w:rFonts w:ascii="黑体" w:hAnsi="黑体" w:eastAsia="黑体" w:cs="黑体"/>
          <w:spacing w:val="-3"/>
          <w:sz w:val="27"/>
          <w:szCs w:val="27"/>
        </w:rPr>
        <w:t>12.5</w:t>
      </w:r>
      <w:r>
        <w:rPr>
          <w:rFonts w:ascii="黑体" w:hAnsi="黑体" w:eastAsia="黑体" w:cs="黑体"/>
          <w:spacing w:val="20"/>
          <w:sz w:val="27"/>
          <w:szCs w:val="27"/>
        </w:rPr>
        <w:t xml:space="preserve">  </w:t>
      </w:r>
      <w:r>
        <w:rPr>
          <w:rFonts w:ascii="黑体" w:hAnsi="黑体" w:eastAsia="黑体" w:cs="黑体"/>
          <w:b/>
          <w:bCs/>
          <w:spacing w:val="-3"/>
          <w:sz w:val="27"/>
          <w:szCs w:val="27"/>
        </w:rPr>
        <w:t>特殊过程控制</w:t>
      </w:r>
    </w:p>
    <w:p w14:paraId="7544B480">
      <w:pPr>
        <w:pStyle w:val="2"/>
        <w:spacing w:before="92" w:line="219" w:lineRule="auto"/>
        <w:ind w:left="539"/>
      </w:pPr>
      <w:r>
        <w:rPr>
          <w:spacing w:val="-4"/>
        </w:rPr>
        <w:t>大纲应根据产品特点，明确规定过程确认的内容和方式，适用时</w:t>
      </w:r>
      <w:r>
        <w:rPr>
          <w:spacing w:val="-5"/>
        </w:rPr>
        <w:t>可包括：</w:t>
      </w:r>
    </w:p>
    <w:p w14:paraId="15CC2AB2">
      <w:pPr>
        <w:pStyle w:val="2"/>
        <w:spacing w:before="110" w:line="220" w:lineRule="auto"/>
        <w:ind w:left="539"/>
      </w:pPr>
      <w:r>
        <w:rPr>
          <w:rFonts w:ascii="Times New Roman" w:hAnsi="Times New Roman" w:eastAsia="Times New Roman" w:cs="Times New Roman"/>
          <w:spacing w:val="10"/>
        </w:rPr>
        <w:t>a</w:t>
      </w:r>
      <w:r>
        <w:rPr>
          <w:spacing w:val="10"/>
        </w:rPr>
        <w:t>)规定对过程评审和批准的准则；</w:t>
      </w:r>
    </w:p>
    <w:p w14:paraId="7EA1C2A8">
      <w:pPr>
        <w:pStyle w:val="2"/>
        <w:spacing w:before="89" w:line="212" w:lineRule="auto"/>
        <w:ind w:left="539"/>
        <w:rPr>
          <w:sz w:val="24"/>
          <w:szCs w:val="24"/>
        </w:rPr>
      </w:pPr>
      <w:r>
        <w:rPr>
          <w:rFonts w:ascii="Times New Roman" w:hAnsi="Times New Roman" w:eastAsia="Times New Roman" w:cs="Times New Roman"/>
          <w:spacing w:val="28"/>
          <w:sz w:val="24"/>
          <w:szCs w:val="24"/>
        </w:rPr>
        <w:t xml:space="preserve">b)  </w:t>
      </w:r>
      <w:r>
        <w:rPr>
          <w:spacing w:val="28"/>
          <w:sz w:val="24"/>
          <w:szCs w:val="24"/>
        </w:rPr>
        <w:t>对设备的认可和人员资格的鉴定；</w:t>
      </w:r>
    </w:p>
    <w:p w14:paraId="1D5FFD12">
      <w:pPr>
        <w:pStyle w:val="2"/>
        <w:spacing w:before="122" w:line="212" w:lineRule="auto"/>
        <w:ind w:left="539"/>
      </w:pPr>
      <w:r>
        <w:rPr>
          <w:rFonts w:ascii="Times New Roman" w:hAnsi="Times New Roman" w:eastAsia="Times New Roman" w:cs="Times New Roman"/>
          <w:spacing w:val="3"/>
        </w:rPr>
        <w:t>c)</w:t>
      </w:r>
      <w:r>
        <w:rPr>
          <w:rFonts w:ascii="Times New Roman" w:hAnsi="Times New Roman" w:eastAsia="Times New Roman" w:cs="Times New Roman"/>
          <w:spacing w:val="65"/>
          <w:w w:val="101"/>
        </w:rPr>
        <w:t xml:space="preserve"> </w:t>
      </w:r>
      <w:r>
        <w:rPr>
          <w:spacing w:val="3"/>
        </w:rPr>
        <w:t>使用针对具体过程的方法和程序；</w:t>
      </w:r>
    </w:p>
    <w:p w14:paraId="3AE80921">
      <w:pPr>
        <w:pStyle w:val="2"/>
        <w:spacing w:before="99" w:line="266" w:lineRule="auto"/>
        <w:ind w:right="116" w:firstLine="539"/>
      </w:pPr>
      <w:r>
        <w:rPr>
          <w:rFonts w:ascii="Times New Roman" w:hAnsi="Times New Roman" w:eastAsia="Times New Roman" w:cs="Times New Roman"/>
          <w:spacing w:val="-5"/>
        </w:rPr>
        <w:t>d)</w:t>
      </w:r>
      <w:r>
        <w:rPr>
          <w:rFonts w:ascii="Times New Roman" w:hAnsi="Times New Roman" w:eastAsia="Times New Roman" w:cs="Times New Roman"/>
          <w:spacing w:val="55"/>
        </w:rPr>
        <w:t xml:space="preserve"> </w:t>
      </w:r>
      <w:r>
        <w:rPr>
          <w:spacing w:val="-5"/>
        </w:rPr>
        <w:t>必要的记录，如：能证实设备认可、人员资格鉴定、过程能力评定等活动</w:t>
      </w:r>
      <w:r>
        <w:t xml:space="preserve"> </w:t>
      </w:r>
      <w:r>
        <w:rPr>
          <w:spacing w:val="-7"/>
        </w:rPr>
        <w:t>的记录；</w:t>
      </w:r>
    </w:p>
    <w:p w14:paraId="2CAD0819">
      <w:pPr>
        <w:pStyle w:val="2"/>
        <w:spacing w:before="92" w:line="219" w:lineRule="auto"/>
        <w:ind w:left="539"/>
      </w:pPr>
      <w:r>
        <w:rPr>
          <w:rFonts w:ascii="Times New Roman" w:hAnsi="Times New Roman" w:eastAsia="Times New Roman" w:cs="Times New Roman"/>
          <w:spacing w:val="5"/>
        </w:rPr>
        <w:t>e</w:t>
      </w:r>
      <w:r>
        <w:rPr>
          <w:rFonts w:ascii="Times New Roman" w:hAnsi="Times New Roman" w:eastAsia="Times New Roman" w:cs="Times New Roman"/>
          <w:spacing w:val="-14"/>
        </w:rPr>
        <w:t xml:space="preserve"> </w:t>
      </w:r>
      <w:r>
        <w:rPr>
          <w:spacing w:val="5"/>
        </w:rPr>
        <w:t>)再次确认或定期确认的时机。</w:t>
      </w:r>
    </w:p>
    <w:p w14:paraId="2E2B7153">
      <w:pPr>
        <w:pStyle w:val="2"/>
        <w:spacing w:before="98" w:line="251" w:lineRule="auto"/>
        <w:ind w:left="539" w:right="5900" w:hanging="539"/>
      </w:pPr>
      <w:r>
        <w:rPr>
          <w:rFonts w:ascii="黑体" w:hAnsi="黑体" w:eastAsia="黑体" w:cs="黑体"/>
          <w:spacing w:val="-11"/>
        </w:rPr>
        <w:t>12.6</w:t>
      </w:r>
      <w:r>
        <w:rPr>
          <w:rFonts w:ascii="黑体" w:hAnsi="黑体" w:eastAsia="黑体" w:cs="黑体"/>
          <w:spacing w:val="16"/>
        </w:rPr>
        <w:t xml:space="preserve">  </w:t>
      </w:r>
      <w:r>
        <w:rPr>
          <w:rFonts w:ascii="黑体" w:hAnsi="黑体" w:eastAsia="黑体" w:cs="黑体"/>
          <w:b/>
          <w:bCs/>
          <w:spacing w:val="-11"/>
        </w:rPr>
        <w:t>关键件、重要件的控制</w:t>
      </w:r>
      <w:r>
        <w:rPr>
          <w:rFonts w:ascii="黑体" w:hAnsi="黑体" w:eastAsia="黑体" w:cs="黑体"/>
        </w:rPr>
        <w:t xml:space="preserve">  </w:t>
      </w:r>
      <w:r>
        <w:rPr>
          <w:spacing w:val="-3"/>
        </w:rPr>
        <w:t>按</w:t>
      </w:r>
      <w:r>
        <w:rPr>
          <w:spacing w:val="-69"/>
        </w:rPr>
        <w:t xml:space="preserve"> </w:t>
      </w:r>
      <w:r>
        <w:rPr>
          <w:rFonts w:ascii="Times New Roman" w:hAnsi="Times New Roman" w:eastAsia="Times New Roman" w:cs="Times New Roman"/>
          <w:spacing w:val="-3"/>
        </w:rPr>
        <w:t>GJB</w:t>
      </w:r>
      <w:r>
        <w:rPr>
          <w:rFonts w:ascii="Times New Roman" w:hAnsi="Times New Roman" w:eastAsia="Times New Roman" w:cs="Times New Roman"/>
          <w:spacing w:val="16"/>
        </w:rPr>
        <w:t xml:space="preserve">  </w:t>
      </w:r>
      <w:r>
        <w:rPr>
          <w:rFonts w:ascii="Times New Roman" w:hAnsi="Times New Roman" w:eastAsia="Times New Roman" w:cs="Times New Roman"/>
          <w:spacing w:val="-3"/>
        </w:rPr>
        <w:t xml:space="preserve">909 </w:t>
      </w:r>
      <w:r>
        <w:rPr>
          <w:spacing w:val="-3"/>
        </w:rPr>
        <w:t>的有关规定。</w:t>
      </w:r>
    </w:p>
    <w:p w14:paraId="726ADCF6">
      <w:pPr>
        <w:pStyle w:val="2"/>
        <w:spacing w:before="151" w:line="260" w:lineRule="auto"/>
        <w:ind w:left="539" w:right="5760" w:hanging="539"/>
      </w:pPr>
      <w:r>
        <w:rPr>
          <w:rFonts w:ascii="黑体" w:hAnsi="黑体" w:eastAsia="黑体" w:cs="黑体"/>
          <w:spacing w:val="15"/>
          <w:sz w:val="24"/>
          <w:szCs w:val="24"/>
        </w:rPr>
        <w:t>12.7</w:t>
      </w:r>
      <w:r>
        <w:rPr>
          <w:rFonts w:ascii="黑体" w:hAnsi="黑体" w:eastAsia="黑体" w:cs="黑体"/>
          <w:spacing w:val="46"/>
          <w:sz w:val="24"/>
          <w:szCs w:val="24"/>
        </w:rPr>
        <w:t xml:space="preserve">  </w:t>
      </w:r>
      <w:r>
        <w:rPr>
          <w:rFonts w:ascii="黑体" w:hAnsi="黑体" w:eastAsia="黑体" w:cs="黑体"/>
          <w:b/>
          <w:bCs/>
          <w:spacing w:val="15"/>
          <w:sz w:val="24"/>
          <w:szCs w:val="24"/>
        </w:rPr>
        <w:t>试制、生产准备状态检查</w:t>
      </w:r>
      <w:r>
        <w:rPr>
          <w:rFonts w:ascii="黑体" w:hAnsi="黑体" w:eastAsia="黑体" w:cs="黑体"/>
          <w:spacing w:val="1"/>
          <w:sz w:val="24"/>
          <w:szCs w:val="24"/>
        </w:rPr>
        <w:t xml:space="preserve"> </w:t>
      </w:r>
      <w:r>
        <w:rPr>
          <w:spacing w:val="-1"/>
        </w:rPr>
        <w:t>按</w:t>
      </w:r>
      <w:r>
        <w:rPr>
          <w:spacing w:val="-57"/>
        </w:rPr>
        <w:t xml:space="preserve"> </w:t>
      </w:r>
      <w:r>
        <w:rPr>
          <w:rFonts w:ascii="Times New Roman" w:hAnsi="Times New Roman" w:eastAsia="Times New Roman" w:cs="Times New Roman"/>
          <w:spacing w:val="-1"/>
        </w:rPr>
        <w:t xml:space="preserve">GJB1710   </w:t>
      </w:r>
      <w:r>
        <w:rPr>
          <w:spacing w:val="-1"/>
        </w:rPr>
        <w:t>的有关规定。</w:t>
      </w:r>
    </w:p>
    <w:p w14:paraId="67028B5C">
      <w:pPr>
        <w:spacing w:before="146" w:line="222" w:lineRule="auto"/>
        <w:rPr>
          <w:rFonts w:ascii="黑体" w:hAnsi="黑体" w:eastAsia="黑体" w:cs="黑体"/>
          <w:sz w:val="25"/>
          <w:szCs w:val="25"/>
        </w:rPr>
      </w:pPr>
      <w:r>
        <w:rPr>
          <w:rFonts w:ascii="黑体" w:hAnsi="黑体" w:eastAsia="黑体" w:cs="黑体"/>
          <w:spacing w:val="7"/>
          <w:sz w:val="25"/>
          <w:szCs w:val="25"/>
        </w:rPr>
        <w:t>12.8</w:t>
      </w:r>
      <w:r>
        <w:rPr>
          <w:rFonts w:ascii="黑体" w:hAnsi="黑体" w:eastAsia="黑体" w:cs="黑体"/>
          <w:spacing w:val="46"/>
          <w:sz w:val="25"/>
          <w:szCs w:val="25"/>
        </w:rPr>
        <w:t xml:space="preserve">  </w:t>
      </w:r>
      <w:r>
        <w:rPr>
          <w:rFonts w:ascii="黑体" w:hAnsi="黑体" w:eastAsia="黑体" w:cs="黑体"/>
          <w:b/>
          <w:bCs/>
          <w:spacing w:val="7"/>
          <w:sz w:val="25"/>
          <w:szCs w:val="25"/>
        </w:rPr>
        <w:t>首件鉴定</w:t>
      </w:r>
    </w:p>
    <w:p w14:paraId="033DC451">
      <w:pPr>
        <w:pStyle w:val="2"/>
        <w:spacing w:before="103" w:line="219" w:lineRule="auto"/>
        <w:ind w:left="539"/>
      </w:pPr>
      <w:r>
        <w:rPr>
          <w:spacing w:val="8"/>
        </w:rPr>
        <w:t>应按</w:t>
      </w:r>
      <w:r>
        <w:rPr>
          <w:rFonts w:ascii="Times New Roman" w:hAnsi="Times New Roman" w:eastAsia="Times New Roman" w:cs="Times New Roman"/>
        </w:rPr>
        <w:t>GJB</w:t>
      </w:r>
      <w:r>
        <w:rPr>
          <w:rFonts w:ascii="Times New Roman" w:hAnsi="Times New Roman" w:eastAsia="Times New Roman" w:cs="Times New Roman"/>
          <w:spacing w:val="8"/>
        </w:rPr>
        <w:t xml:space="preserve">  908</w:t>
      </w:r>
      <w:r>
        <w:rPr>
          <w:spacing w:val="8"/>
        </w:rPr>
        <w:t>的有关规定对首件进行鉴定。</w:t>
      </w:r>
    </w:p>
    <w:p w14:paraId="0EAF2F8D">
      <w:pPr>
        <w:spacing w:before="124" w:line="222" w:lineRule="auto"/>
        <w:rPr>
          <w:rFonts w:ascii="黑体" w:hAnsi="黑体" w:eastAsia="黑体" w:cs="黑体"/>
          <w:sz w:val="25"/>
          <w:szCs w:val="25"/>
        </w:rPr>
      </w:pPr>
      <w:r>
        <w:rPr>
          <w:rFonts w:ascii="黑体" w:hAnsi="黑体" w:eastAsia="黑体" w:cs="黑体"/>
          <w:spacing w:val="12"/>
          <w:sz w:val="25"/>
          <w:szCs w:val="25"/>
        </w:rPr>
        <w:t>12.9</w:t>
      </w:r>
      <w:r>
        <w:rPr>
          <w:rFonts w:ascii="黑体" w:hAnsi="黑体" w:eastAsia="黑体" w:cs="黑体"/>
          <w:spacing w:val="44"/>
          <w:sz w:val="25"/>
          <w:szCs w:val="25"/>
        </w:rPr>
        <w:t xml:space="preserve">  </w:t>
      </w:r>
      <w:r>
        <w:rPr>
          <w:rFonts w:ascii="黑体" w:hAnsi="黑体" w:eastAsia="黑体" w:cs="黑体"/>
          <w:b/>
          <w:bCs/>
          <w:spacing w:val="12"/>
          <w:sz w:val="25"/>
          <w:szCs w:val="25"/>
        </w:rPr>
        <w:t>产品质量评审</w:t>
      </w:r>
    </w:p>
    <w:p w14:paraId="3470267F">
      <w:pPr>
        <w:pStyle w:val="2"/>
        <w:spacing w:before="115" w:line="296" w:lineRule="auto"/>
        <w:ind w:right="123" w:firstLine="539"/>
      </w:pPr>
      <w:r>
        <w:rPr>
          <w:spacing w:val="-3"/>
        </w:rPr>
        <w:t>大纲中应明确按</w:t>
      </w:r>
      <w:r>
        <w:rPr>
          <w:rFonts w:ascii="Times New Roman" w:hAnsi="Times New Roman" w:eastAsia="Times New Roman" w:cs="Times New Roman"/>
          <w:spacing w:val="-3"/>
        </w:rPr>
        <w:t>GJB907</w:t>
      </w:r>
      <w:r>
        <w:rPr>
          <w:rFonts w:ascii="Times New Roman" w:hAnsi="Times New Roman" w:eastAsia="Times New Roman" w:cs="Times New Roman"/>
          <w:spacing w:val="32"/>
        </w:rPr>
        <w:t xml:space="preserve">  </w:t>
      </w:r>
      <w:r>
        <w:rPr>
          <w:spacing w:val="-3"/>
        </w:rPr>
        <w:t>的有关规定，对产品质量进行评审的程序，以及对</w:t>
      </w:r>
      <w:r>
        <w:rPr>
          <w:spacing w:val="1"/>
        </w:rPr>
        <w:t xml:space="preserve"> </w:t>
      </w:r>
      <w:r>
        <w:rPr>
          <w:spacing w:val="-4"/>
        </w:rPr>
        <w:t>评审中提出的问题，由谁负责处理、保存评审记录和问题处理记录的要求。</w:t>
      </w:r>
    </w:p>
    <w:p w14:paraId="152B2735">
      <w:pPr>
        <w:spacing w:line="296" w:lineRule="auto"/>
        <w:sectPr>
          <w:footerReference r:id="rId324" w:type="default"/>
          <w:pgSz w:w="11910" w:h="17130"/>
          <w:pgMar w:top="1456" w:right="1304" w:bottom="1617" w:left="1130" w:header="0" w:footer="1400" w:gutter="0"/>
          <w:cols w:space="720" w:num="1"/>
        </w:sectPr>
      </w:pPr>
    </w:p>
    <w:p w14:paraId="5C142FBE">
      <w:pPr>
        <w:spacing w:before="60" w:line="222" w:lineRule="auto"/>
        <w:rPr>
          <w:rFonts w:ascii="黑体" w:hAnsi="黑体" w:eastAsia="黑体" w:cs="黑体"/>
          <w:sz w:val="25"/>
          <w:szCs w:val="25"/>
        </w:rPr>
      </w:pPr>
      <w:r>
        <w:rPr>
          <w:rFonts w:ascii="黑体" w:hAnsi="黑体" w:eastAsia="黑体" w:cs="黑体"/>
          <w:spacing w:val="9"/>
          <w:sz w:val="25"/>
          <w:szCs w:val="25"/>
        </w:rPr>
        <w:t>12.10</w:t>
      </w:r>
      <w:r>
        <w:rPr>
          <w:rFonts w:ascii="黑体" w:hAnsi="黑体" w:eastAsia="黑体" w:cs="黑体"/>
          <w:spacing w:val="58"/>
          <w:sz w:val="25"/>
          <w:szCs w:val="25"/>
        </w:rPr>
        <w:t xml:space="preserve">  </w:t>
      </w:r>
      <w:r>
        <w:rPr>
          <w:rFonts w:ascii="黑体" w:hAnsi="黑体" w:eastAsia="黑体" w:cs="黑体"/>
          <w:b/>
          <w:bCs/>
          <w:spacing w:val="9"/>
          <w:sz w:val="25"/>
          <w:szCs w:val="25"/>
        </w:rPr>
        <w:t>装配质量控制</w:t>
      </w:r>
    </w:p>
    <w:p w14:paraId="1B7EE187">
      <w:pPr>
        <w:pStyle w:val="2"/>
        <w:spacing w:before="102" w:line="275" w:lineRule="auto"/>
        <w:ind w:right="75" w:firstLine="529"/>
      </w:pPr>
      <w:r>
        <w:rPr>
          <w:spacing w:val="5"/>
        </w:rPr>
        <w:t>大纲应规定对装配质量进行控制的要求，包括编写适宜的装配规程或</w:t>
      </w:r>
      <w:r>
        <w:rPr>
          <w:spacing w:val="4"/>
        </w:rPr>
        <w:t>作业</w:t>
      </w:r>
      <w:r>
        <w:t xml:space="preserve"> 指导书等。</w:t>
      </w:r>
    </w:p>
    <w:p w14:paraId="47937683">
      <w:pPr>
        <w:spacing w:before="1" w:line="222" w:lineRule="auto"/>
        <w:rPr>
          <w:rFonts w:ascii="黑体" w:hAnsi="黑体" w:eastAsia="黑体" w:cs="黑体"/>
          <w:sz w:val="27"/>
          <w:szCs w:val="27"/>
        </w:rPr>
      </w:pPr>
      <w:r>
        <w:rPr>
          <w:rFonts w:ascii="黑体" w:hAnsi="黑体" w:eastAsia="黑体" w:cs="黑体"/>
          <w:spacing w:val="-3"/>
          <w:sz w:val="27"/>
          <w:szCs w:val="27"/>
        </w:rPr>
        <w:t>12.11</w:t>
      </w:r>
      <w:r>
        <w:rPr>
          <w:rFonts w:ascii="黑体" w:hAnsi="黑体" w:eastAsia="黑体" w:cs="黑体"/>
          <w:spacing w:val="31"/>
          <w:sz w:val="27"/>
          <w:szCs w:val="27"/>
        </w:rPr>
        <w:t xml:space="preserve">  </w:t>
      </w:r>
      <w:r>
        <w:rPr>
          <w:rFonts w:ascii="黑体" w:hAnsi="黑体" w:eastAsia="黑体" w:cs="黑体"/>
          <w:b/>
          <w:bCs/>
          <w:spacing w:val="-3"/>
          <w:sz w:val="27"/>
          <w:szCs w:val="27"/>
        </w:rPr>
        <w:t>标识和可追溯性</w:t>
      </w:r>
    </w:p>
    <w:p w14:paraId="48A19034">
      <w:pPr>
        <w:pStyle w:val="2"/>
        <w:spacing w:before="110" w:line="219" w:lineRule="auto"/>
        <w:ind w:left="529"/>
        <w:rPr>
          <w:sz w:val="25"/>
          <w:szCs w:val="25"/>
        </w:rPr>
      </w:pPr>
      <w:r>
        <w:rPr>
          <w:spacing w:val="18"/>
          <w:sz w:val="25"/>
          <w:szCs w:val="25"/>
        </w:rPr>
        <w:t>按</w:t>
      </w:r>
      <w:r>
        <w:rPr>
          <w:spacing w:val="-33"/>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18"/>
          <w:sz w:val="25"/>
          <w:szCs w:val="25"/>
        </w:rPr>
        <w:t xml:space="preserve">726    </w:t>
      </w:r>
      <w:r>
        <w:rPr>
          <w:spacing w:val="18"/>
          <w:sz w:val="25"/>
          <w:szCs w:val="25"/>
        </w:rPr>
        <w:t>的有关规定对产品标识和有可追溯性要求的产品进行控制。</w:t>
      </w:r>
    </w:p>
    <w:p w14:paraId="25DE479B">
      <w:pPr>
        <w:pStyle w:val="2"/>
        <w:spacing w:before="113" w:line="219" w:lineRule="auto"/>
        <w:ind w:left="529"/>
        <w:rPr>
          <w:sz w:val="25"/>
          <w:szCs w:val="25"/>
        </w:rPr>
      </w:pPr>
      <w:r>
        <w:rPr>
          <w:spacing w:val="17"/>
          <w:sz w:val="25"/>
          <w:szCs w:val="25"/>
        </w:rPr>
        <w:t>按</w:t>
      </w:r>
      <w:r>
        <w:rPr>
          <w:spacing w:val="-25"/>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pacing w:val="17"/>
          <w:sz w:val="25"/>
          <w:szCs w:val="25"/>
        </w:rPr>
        <w:t>1330</w:t>
      </w:r>
      <w:r>
        <w:rPr>
          <w:rFonts w:ascii="Times New Roman" w:hAnsi="Times New Roman" w:eastAsia="Times New Roman" w:cs="Times New Roman"/>
          <w:spacing w:val="-21"/>
          <w:sz w:val="25"/>
          <w:szCs w:val="25"/>
        </w:rPr>
        <w:t xml:space="preserve"> </w:t>
      </w:r>
      <w:r>
        <w:rPr>
          <w:spacing w:val="17"/>
          <w:sz w:val="25"/>
          <w:szCs w:val="25"/>
        </w:rPr>
        <w:t>有关规定对批次管理的产品进行标识和记录。</w:t>
      </w:r>
    </w:p>
    <w:p w14:paraId="5443CBEA">
      <w:pPr>
        <w:spacing w:before="100" w:line="222" w:lineRule="auto"/>
        <w:rPr>
          <w:rFonts w:ascii="黑体" w:hAnsi="黑体" w:eastAsia="黑体" w:cs="黑体"/>
          <w:sz w:val="25"/>
          <w:szCs w:val="25"/>
        </w:rPr>
      </w:pPr>
      <w:r>
        <w:rPr>
          <w:rFonts w:ascii="黑体" w:hAnsi="黑体" w:eastAsia="黑体" w:cs="黑体"/>
          <w:spacing w:val="8"/>
          <w:sz w:val="25"/>
          <w:szCs w:val="25"/>
        </w:rPr>
        <w:t>12.12</w:t>
      </w:r>
      <w:r>
        <w:rPr>
          <w:rFonts w:ascii="黑体" w:hAnsi="黑体" w:eastAsia="黑体" w:cs="黑体"/>
          <w:spacing w:val="57"/>
          <w:sz w:val="25"/>
          <w:szCs w:val="25"/>
        </w:rPr>
        <w:t xml:space="preserve">  </w:t>
      </w:r>
      <w:r>
        <w:rPr>
          <w:rFonts w:ascii="黑体" w:hAnsi="黑体" w:eastAsia="黑体" w:cs="黑体"/>
          <w:b/>
          <w:bCs/>
          <w:spacing w:val="8"/>
          <w:sz w:val="25"/>
          <w:szCs w:val="25"/>
        </w:rPr>
        <w:t>顾客财产</w:t>
      </w:r>
    </w:p>
    <w:p w14:paraId="1BF11AB8">
      <w:pPr>
        <w:pStyle w:val="2"/>
        <w:spacing w:before="122" w:line="270" w:lineRule="auto"/>
        <w:ind w:right="65" w:firstLine="529"/>
      </w:pPr>
      <w:r>
        <w:rPr>
          <w:spacing w:val="-11"/>
        </w:rPr>
        <w:t>大纲应规定对顾客提供的产品如材料、工具、试验设备、工艺装备、软件、资</w:t>
      </w:r>
      <w:r>
        <w:rPr>
          <w:spacing w:val="2"/>
        </w:rPr>
        <w:t xml:space="preserve"> </w:t>
      </w:r>
      <w:r>
        <w:rPr>
          <w:spacing w:val="-10"/>
        </w:rPr>
        <w:t>料、信息、知识产权或服务的控制要求。包括：</w:t>
      </w:r>
    </w:p>
    <w:p w14:paraId="4B5ADD5B">
      <w:pPr>
        <w:pStyle w:val="2"/>
        <w:spacing w:before="1" w:line="218" w:lineRule="auto"/>
        <w:ind w:left="529"/>
      </w:pPr>
      <w:r>
        <w:rPr>
          <w:rFonts w:ascii="Times New Roman" w:hAnsi="Times New Roman" w:eastAsia="Times New Roman" w:cs="Times New Roman"/>
          <w:spacing w:val="3"/>
        </w:rPr>
        <w:t>a</w:t>
      </w:r>
      <w:r>
        <w:rPr>
          <w:spacing w:val="3"/>
        </w:rPr>
        <w:t>)</w:t>
      </w:r>
      <w:r>
        <w:rPr>
          <w:spacing w:val="-38"/>
        </w:rPr>
        <w:t xml:space="preserve"> </w:t>
      </w:r>
      <w:r>
        <w:rPr>
          <w:spacing w:val="3"/>
        </w:rPr>
        <w:t>验证顾客提供产品的方法；</w:t>
      </w:r>
    </w:p>
    <w:p w14:paraId="3D75C868">
      <w:pPr>
        <w:pStyle w:val="2"/>
        <w:spacing w:before="71" w:line="212" w:lineRule="auto"/>
        <w:ind w:left="529"/>
      </w:pPr>
      <w:r>
        <w:rPr>
          <w:rFonts w:ascii="Times New Roman" w:hAnsi="Times New Roman" w:eastAsia="Times New Roman" w:cs="Times New Roman"/>
          <w:spacing w:val="4"/>
        </w:rPr>
        <w:t xml:space="preserve">b)  </w:t>
      </w:r>
      <w:r>
        <w:rPr>
          <w:spacing w:val="4"/>
        </w:rPr>
        <w:t>顾客提供不合格产品的处置；</w:t>
      </w:r>
    </w:p>
    <w:p w14:paraId="665C4DEC">
      <w:pPr>
        <w:pStyle w:val="2"/>
        <w:spacing w:before="100" w:line="212" w:lineRule="auto"/>
        <w:ind w:left="529"/>
      </w:pPr>
      <w:r>
        <w:rPr>
          <w:rFonts w:ascii="Times New Roman" w:hAnsi="Times New Roman" w:eastAsia="Times New Roman" w:cs="Times New Roman"/>
          <w:spacing w:val="3"/>
        </w:rPr>
        <w:t xml:space="preserve">c)  </w:t>
      </w:r>
      <w:r>
        <w:rPr>
          <w:spacing w:val="3"/>
        </w:rPr>
        <w:t>对顾客财产进行保护和维护的要求；</w:t>
      </w:r>
    </w:p>
    <w:p w14:paraId="0737E4D6">
      <w:pPr>
        <w:pStyle w:val="2"/>
        <w:spacing w:before="90" w:line="212" w:lineRule="auto"/>
        <w:ind w:left="529"/>
      </w:pPr>
      <w:r>
        <w:rPr>
          <w:rFonts w:ascii="Times New Roman" w:hAnsi="Times New Roman" w:eastAsia="Times New Roman" w:cs="Times New Roman"/>
          <w:spacing w:val="-2"/>
        </w:rPr>
        <w:t xml:space="preserve">d)  </w:t>
      </w:r>
      <w:r>
        <w:rPr>
          <w:spacing w:val="-2"/>
        </w:rPr>
        <w:t>损坏、丢失或不适用产品的记录与报告的要求。</w:t>
      </w:r>
    </w:p>
    <w:p w14:paraId="68E2260F">
      <w:pPr>
        <w:spacing w:before="134" w:line="221" w:lineRule="auto"/>
        <w:rPr>
          <w:rFonts w:ascii="黑体" w:hAnsi="黑体" w:eastAsia="黑体" w:cs="黑体"/>
          <w:sz w:val="25"/>
          <w:szCs w:val="25"/>
        </w:rPr>
      </w:pPr>
      <w:r>
        <w:rPr>
          <w:rFonts w:ascii="黑体" w:hAnsi="黑体" w:eastAsia="黑体" w:cs="黑体"/>
          <w:spacing w:val="8"/>
          <w:sz w:val="25"/>
          <w:szCs w:val="25"/>
        </w:rPr>
        <w:t>12.13</w:t>
      </w:r>
      <w:r>
        <w:rPr>
          <w:rFonts w:ascii="黑体" w:hAnsi="黑体" w:eastAsia="黑体" w:cs="黑体"/>
          <w:spacing w:val="58"/>
          <w:sz w:val="25"/>
          <w:szCs w:val="25"/>
        </w:rPr>
        <w:t xml:space="preserve">  </w:t>
      </w:r>
      <w:r>
        <w:rPr>
          <w:rFonts w:ascii="黑体" w:hAnsi="黑体" w:eastAsia="黑体" w:cs="黑体"/>
          <w:b/>
          <w:bCs/>
          <w:spacing w:val="8"/>
          <w:sz w:val="25"/>
          <w:szCs w:val="25"/>
        </w:rPr>
        <w:t>产品防护</w:t>
      </w:r>
    </w:p>
    <w:p w14:paraId="1386D551">
      <w:pPr>
        <w:pStyle w:val="2"/>
        <w:spacing w:before="105" w:line="274" w:lineRule="auto"/>
        <w:ind w:right="40" w:firstLine="529"/>
      </w:pPr>
      <w:r>
        <w:rPr>
          <w:spacing w:val="-2"/>
        </w:rPr>
        <w:t>在贮存、搬运或制造过程中，对器材(含半成品)或产品</w:t>
      </w:r>
      <w:r>
        <w:rPr>
          <w:spacing w:val="-3"/>
        </w:rPr>
        <w:t>应采取必要的防护措</w:t>
      </w:r>
      <w:r>
        <w:t xml:space="preserve"> </w:t>
      </w:r>
      <w:r>
        <w:rPr>
          <w:spacing w:val="-13"/>
        </w:rPr>
        <w:t>施，并明确规定：</w:t>
      </w:r>
    </w:p>
    <w:p w14:paraId="3BBE9FDF">
      <w:pPr>
        <w:pStyle w:val="2"/>
        <w:spacing w:line="212" w:lineRule="auto"/>
        <w:ind w:left="529"/>
      </w:pPr>
      <w:r>
        <w:rPr>
          <w:rFonts w:ascii="Times New Roman" w:hAnsi="Times New Roman" w:eastAsia="Times New Roman" w:cs="Times New Roman"/>
          <w:spacing w:val="-10"/>
        </w:rPr>
        <w:t xml:space="preserve">a)  </w:t>
      </w:r>
      <w:r>
        <w:rPr>
          <w:spacing w:val="-10"/>
        </w:rPr>
        <w:t>按</w:t>
      </w:r>
      <w:r>
        <w:rPr>
          <w:spacing w:val="-45"/>
        </w:rPr>
        <w:t xml:space="preserve"> </w:t>
      </w:r>
      <w:r>
        <w:rPr>
          <w:rFonts w:ascii="Times New Roman" w:hAnsi="Times New Roman" w:eastAsia="Times New Roman" w:cs="Times New Roman"/>
          <w:spacing w:val="-10"/>
        </w:rPr>
        <w:t>GJB   1443</w:t>
      </w:r>
      <w:r>
        <w:rPr>
          <w:spacing w:val="-10"/>
        </w:rPr>
        <w:t>的要求，对搬运、贮存、包装、防护和交付等活动进行控制；</w:t>
      </w:r>
    </w:p>
    <w:p w14:paraId="5ABE032E">
      <w:pPr>
        <w:pStyle w:val="2"/>
        <w:spacing w:before="90" w:line="212" w:lineRule="auto"/>
        <w:ind w:left="529"/>
      </w:pPr>
      <w:r>
        <w:rPr>
          <w:rFonts w:ascii="Times New Roman" w:hAnsi="Times New Roman" w:eastAsia="Times New Roman" w:cs="Times New Roman"/>
        </w:rPr>
        <w:t xml:space="preserve">b)  </w:t>
      </w:r>
      <w:r>
        <w:t>确保不降低产品特性，安全交付到指定</w:t>
      </w:r>
      <w:r>
        <w:rPr>
          <w:spacing w:val="-1"/>
        </w:rPr>
        <w:t>地点的要求。</w:t>
      </w:r>
    </w:p>
    <w:p w14:paraId="19A292B2">
      <w:pPr>
        <w:spacing w:before="126" w:line="222" w:lineRule="auto"/>
        <w:rPr>
          <w:rFonts w:ascii="黑体" w:hAnsi="黑体" w:eastAsia="黑体" w:cs="黑体"/>
          <w:sz w:val="25"/>
          <w:szCs w:val="25"/>
        </w:rPr>
      </w:pPr>
      <w:r>
        <w:rPr>
          <w:rFonts w:ascii="黑体" w:hAnsi="黑体" w:eastAsia="黑体" w:cs="黑体"/>
          <w:spacing w:val="9"/>
          <w:sz w:val="25"/>
          <w:szCs w:val="25"/>
        </w:rPr>
        <w:t>12.14</w:t>
      </w:r>
      <w:r>
        <w:rPr>
          <w:rFonts w:ascii="黑体" w:hAnsi="黑体" w:eastAsia="黑体" w:cs="黑体"/>
          <w:spacing w:val="56"/>
          <w:sz w:val="25"/>
          <w:szCs w:val="25"/>
        </w:rPr>
        <w:t xml:space="preserve">  </w:t>
      </w:r>
      <w:r>
        <w:rPr>
          <w:rFonts w:ascii="黑体" w:hAnsi="黑体" w:eastAsia="黑体" w:cs="黑体"/>
          <w:b/>
          <w:bCs/>
          <w:spacing w:val="9"/>
          <w:sz w:val="25"/>
          <w:szCs w:val="25"/>
        </w:rPr>
        <w:t>监视和测量</w:t>
      </w:r>
    </w:p>
    <w:p w14:paraId="3AD1D56A">
      <w:pPr>
        <w:spacing w:before="127" w:line="221" w:lineRule="auto"/>
        <w:rPr>
          <w:rFonts w:ascii="黑体" w:hAnsi="黑体" w:eastAsia="黑体" w:cs="黑体"/>
          <w:sz w:val="24"/>
          <w:szCs w:val="24"/>
        </w:rPr>
      </w:pPr>
      <w:r>
        <w:rPr>
          <w:rFonts w:ascii="黑体" w:hAnsi="黑体" w:eastAsia="黑体" w:cs="黑体"/>
          <w:sz w:val="24"/>
          <w:szCs w:val="24"/>
        </w:rPr>
        <w:t>12.14. 1</w:t>
      </w:r>
      <w:r>
        <w:rPr>
          <w:rFonts w:ascii="黑体" w:hAnsi="黑体" w:eastAsia="黑体" w:cs="黑体"/>
          <w:spacing w:val="56"/>
          <w:sz w:val="24"/>
          <w:szCs w:val="24"/>
        </w:rPr>
        <w:t xml:space="preserve">  </w:t>
      </w:r>
      <w:r>
        <w:rPr>
          <w:rFonts w:ascii="黑体" w:hAnsi="黑体" w:eastAsia="黑体" w:cs="黑体"/>
          <w:b/>
          <w:bCs/>
          <w:sz w:val="24"/>
          <w:szCs w:val="24"/>
        </w:rPr>
        <w:t>一</w:t>
      </w:r>
      <w:r>
        <w:rPr>
          <w:rFonts w:ascii="黑体" w:hAnsi="黑体" w:eastAsia="黑体" w:cs="黑体"/>
          <w:spacing w:val="-64"/>
          <w:sz w:val="24"/>
          <w:szCs w:val="24"/>
        </w:rPr>
        <w:t xml:space="preserve"> </w:t>
      </w:r>
      <w:r>
        <w:rPr>
          <w:rFonts w:ascii="黑体" w:hAnsi="黑体" w:eastAsia="黑体" w:cs="黑体"/>
          <w:b/>
          <w:bCs/>
          <w:sz w:val="24"/>
          <w:szCs w:val="24"/>
        </w:rPr>
        <w:t>般要求</w:t>
      </w:r>
    </w:p>
    <w:p w14:paraId="2CA1F623">
      <w:pPr>
        <w:pStyle w:val="2"/>
        <w:spacing w:before="110" w:line="219" w:lineRule="auto"/>
        <w:ind w:left="529"/>
      </w:pPr>
      <w:r>
        <w:rPr>
          <w:spacing w:val="4"/>
        </w:rPr>
        <w:t>大纲应规定对产品进行监视和测量的要求与方法。包括：</w:t>
      </w:r>
    </w:p>
    <w:p w14:paraId="3099ABFC">
      <w:pPr>
        <w:pStyle w:val="2"/>
        <w:spacing w:before="98" w:line="219" w:lineRule="auto"/>
        <w:jc w:val="right"/>
      </w:pPr>
      <w:r>
        <w:rPr>
          <w:rFonts w:ascii="Times New Roman" w:hAnsi="Times New Roman" w:eastAsia="Times New Roman" w:cs="Times New Roman"/>
          <w:spacing w:val="7"/>
        </w:rPr>
        <w:t>a</w:t>
      </w:r>
      <w:r>
        <w:rPr>
          <w:spacing w:val="7"/>
        </w:rPr>
        <w:t>)所采用的过程和产品(包括供方的产品)进行监视和测量的方法与要求；</w:t>
      </w:r>
    </w:p>
    <w:p w14:paraId="35727633">
      <w:pPr>
        <w:pStyle w:val="2"/>
        <w:spacing w:before="41" w:line="212" w:lineRule="auto"/>
        <w:ind w:left="529"/>
      </w:pPr>
      <w:r>
        <w:rPr>
          <w:rFonts w:ascii="Times New Roman" w:hAnsi="Times New Roman" w:eastAsia="Times New Roman" w:cs="Times New Roman"/>
          <w:spacing w:val="4"/>
        </w:rPr>
        <w:t xml:space="preserve">b)  </w:t>
      </w:r>
      <w:r>
        <w:rPr>
          <w:spacing w:val="4"/>
        </w:rPr>
        <w:t>需要进行监视和测量的阶段及其质量特性；</w:t>
      </w:r>
    </w:p>
    <w:p w14:paraId="2C3C9735">
      <w:pPr>
        <w:pStyle w:val="2"/>
        <w:spacing w:before="132" w:line="212" w:lineRule="auto"/>
        <w:ind w:left="529"/>
        <w:rPr>
          <w:sz w:val="24"/>
          <w:szCs w:val="24"/>
        </w:rPr>
      </w:pPr>
      <w:r>
        <w:rPr>
          <w:rFonts w:ascii="Times New Roman" w:hAnsi="Times New Roman" w:eastAsia="Times New Roman" w:cs="Times New Roman"/>
          <w:spacing w:val="23"/>
          <w:sz w:val="24"/>
          <w:szCs w:val="24"/>
        </w:rPr>
        <w:t xml:space="preserve">c)  </w:t>
      </w:r>
      <w:r>
        <w:rPr>
          <w:spacing w:val="23"/>
          <w:sz w:val="24"/>
          <w:szCs w:val="24"/>
        </w:rPr>
        <w:t>每</w:t>
      </w:r>
      <w:r>
        <w:rPr>
          <w:spacing w:val="-58"/>
          <w:sz w:val="24"/>
          <w:szCs w:val="24"/>
        </w:rPr>
        <w:t xml:space="preserve"> </w:t>
      </w:r>
      <w:r>
        <w:rPr>
          <w:spacing w:val="23"/>
          <w:sz w:val="24"/>
          <w:szCs w:val="24"/>
        </w:rPr>
        <w:t>一</w:t>
      </w:r>
      <w:r>
        <w:rPr>
          <w:spacing w:val="-70"/>
          <w:sz w:val="24"/>
          <w:szCs w:val="24"/>
        </w:rPr>
        <w:t xml:space="preserve"> </w:t>
      </w:r>
      <w:r>
        <w:rPr>
          <w:spacing w:val="23"/>
          <w:sz w:val="24"/>
          <w:szCs w:val="24"/>
        </w:rPr>
        <w:t>个阶段监视和测量的质量特性；</w:t>
      </w:r>
    </w:p>
    <w:p w14:paraId="2A5EC9F4">
      <w:pPr>
        <w:pStyle w:val="2"/>
        <w:spacing w:before="102" w:line="212" w:lineRule="auto"/>
        <w:ind w:left="529"/>
      </w:pPr>
      <w:r>
        <w:rPr>
          <w:rFonts w:ascii="Times New Roman" w:hAnsi="Times New Roman" w:eastAsia="Times New Roman" w:cs="Times New Roman"/>
          <w:spacing w:val="3"/>
        </w:rPr>
        <w:t xml:space="preserve">d)  </w:t>
      </w:r>
      <w:r>
        <w:rPr>
          <w:spacing w:val="3"/>
        </w:rPr>
        <w:t>使用的程序和接收准则；</w:t>
      </w:r>
    </w:p>
    <w:p w14:paraId="6094A4E8">
      <w:pPr>
        <w:pStyle w:val="2"/>
        <w:spacing w:before="90" w:line="212" w:lineRule="auto"/>
        <w:ind w:left="529"/>
      </w:pPr>
      <w:r>
        <w:rPr>
          <w:rFonts w:ascii="Times New Roman" w:hAnsi="Times New Roman" w:eastAsia="Times New Roman" w:cs="Times New Roman"/>
          <w:spacing w:val="3"/>
        </w:rPr>
        <w:t xml:space="preserve">e)  </w:t>
      </w:r>
      <w:r>
        <w:rPr>
          <w:spacing w:val="3"/>
        </w:rPr>
        <w:t>使用的统计过程控制方法；</w:t>
      </w:r>
    </w:p>
    <w:p w14:paraId="1C50E96C">
      <w:pPr>
        <w:pStyle w:val="2"/>
        <w:spacing w:before="131" w:line="212" w:lineRule="auto"/>
        <w:ind w:left="529"/>
        <w:rPr>
          <w:sz w:val="25"/>
          <w:szCs w:val="25"/>
        </w:rPr>
      </w:pPr>
      <w:r>
        <w:rPr>
          <w:rFonts w:ascii="Times New Roman" w:hAnsi="Times New Roman" w:eastAsia="Times New Roman" w:cs="Times New Roman"/>
          <w:spacing w:val="16"/>
          <w:sz w:val="25"/>
          <w:szCs w:val="25"/>
        </w:rPr>
        <w:t xml:space="preserve">f)  </w:t>
      </w:r>
      <w:r>
        <w:rPr>
          <w:spacing w:val="16"/>
          <w:sz w:val="25"/>
          <w:szCs w:val="25"/>
        </w:rPr>
        <w:t>测量设备的准确度和精确度，包括其校准批准状态；</w:t>
      </w:r>
    </w:p>
    <w:p w14:paraId="52FE8D1C">
      <w:pPr>
        <w:pStyle w:val="2"/>
        <w:spacing w:before="113" w:line="212" w:lineRule="auto"/>
        <w:ind w:left="529"/>
        <w:rPr>
          <w:sz w:val="24"/>
          <w:szCs w:val="24"/>
        </w:rPr>
      </w:pPr>
      <w:r>
        <w:rPr>
          <w:rFonts w:ascii="Times New Roman" w:hAnsi="Times New Roman" w:eastAsia="Times New Roman" w:cs="Times New Roman"/>
          <w:spacing w:val="19"/>
          <w:sz w:val="24"/>
          <w:szCs w:val="24"/>
        </w:rPr>
        <w:t xml:space="preserve">g </w:t>
      </w:r>
      <w:r>
        <w:rPr>
          <w:spacing w:val="19"/>
          <w:sz w:val="24"/>
          <w:szCs w:val="24"/>
        </w:rPr>
        <w:t>)</w:t>
      </w:r>
      <w:r>
        <w:rPr>
          <w:spacing w:val="-20"/>
          <w:sz w:val="24"/>
          <w:szCs w:val="24"/>
        </w:rPr>
        <w:t xml:space="preserve"> </w:t>
      </w:r>
      <w:r>
        <w:rPr>
          <w:spacing w:val="19"/>
          <w:sz w:val="24"/>
          <w:szCs w:val="24"/>
        </w:rPr>
        <w:t>人员资格和认可；</w:t>
      </w:r>
    </w:p>
    <w:p w14:paraId="6F460602">
      <w:pPr>
        <w:pStyle w:val="2"/>
        <w:spacing w:before="135" w:line="212" w:lineRule="auto"/>
        <w:ind w:left="529"/>
        <w:rPr>
          <w:sz w:val="24"/>
          <w:szCs w:val="24"/>
        </w:rPr>
      </w:pPr>
      <w:r>
        <w:rPr>
          <w:rFonts w:ascii="Times New Roman" w:hAnsi="Times New Roman" w:eastAsia="Times New Roman" w:cs="Times New Roman"/>
          <w:spacing w:val="30"/>
          <w:sz w:val="24"/>
          <w:szCs w:val="24"/>
        </w:rPr>
        <w:t>h)</w:t>
      </w:r>
      <w:r>
        <w:rPr>
          <w:rFonts w:ascii="Times New Roman" w:hAnsi="Times New Roman" w:eastAsia="Times New Roman" w:cs="Times New Roman"/>
          <w:spacing w:val="29"/>
          <w:sz w:val="24"/>
          <w:szCs w:val="24"/>
        </w:rPr>
        <w:t xml:space="preserve">  </w:t>
      </w:r>
      <w:r>
        <w:rPr>
          <w:spacing w:val="30"/>
          <w:sz w:val="24"/>
          <w:szCs w:val="24"/>
        </w:rPr>
        <w:t>要求由法律机构或顾客进行的检验或试验；</w:t>
      </w:r>
    </w:p>
    <w:p w14:paraId="2BC6E031">
      <w:pPr>
        <w:pStyle w:val="2"/>
        <w:spacing w:before="93" w:line="212" w:lineRule="auto"/>
        <w:ind w:left="529"/>
      </w:pPr>
      <w:r>
        <w:rPr>
          <w:rFonts w:ascii="Times New Roman" w:hAnsi="Times New Roman" w:eastAsia="Times New Roman" w:cs="Times New Roman"/>
          <w:spacing w:val="2"/>
        </w:rPr>
        <w:t>i)</w:t>
      </w:r>
      <w:r>
        <w:rPr>
          <w:rFonts w:ascii="Times New Roman" w:hAnsi="Times New Roman" w:eastAsia="Times New Roman" w:cs="Times New Roman"/>
          <w:spacing w:val="61"/>
        </w:rPr>
        <w:t xml:space="preserve"> </w:t>
      </w:r>
      <w:r>
        <w:rPr>
          <w:spacing w:val="2"/>
        </w:rPr>
        <w:t>产品放行的准则；</w:t>
      </w:r>
    </w:p>
    <w:p w14:paraId="20D2AAF8">
      <w:pPr>
        <w:pStyle w:val="2"/>
        <w:spacing w:before="89" w:line="212" w:lineRule="auto"/>
        <w:ind w:left="529"/>
      </w:pPr>
      <w:r>
        <w:rPr>
          <w:rFonts w:ascii="Times New Roman" w:hAnsi="Times New Roman" w:eastAsia="Times New Roman" w:cs="Times New Roman"/>
          <w:spacing w:val="4"/>
        </w:rPr>
        <w:t>j)</w:t>
      </w:r>
      <w:r>
        <w:rPr>
          <w:rFonts w:ascii="Times New Roman" w:hAnsi="Times New Roman" w:eastAsia="Times New Roman" w:cs="Times New Roman"/>
          <w:spacing w:val="53"/>
        </w:rPr>
        <w:t xml:space="preserve"> </w:t>
      </w:r>
      <w:r>
        <w:rPr>
          <w:spacing w:val="4"/>
        </w:rPr>
        <w:t>检验印章的控制方法；</w:t>
      </w:r>
    </w:p>
    <w:p w14:paraId="69198B6F">
      <w:pPr>
        <w:pStyle w:val="2"/>
        <w:spacing w:before="120" w:line="212" w:lineRule="auto"/>
        <w:ind w:left="529"/>
      </w:pPr>
      <w:r>
        <w:rPr>
          <w:rFonts w:ascii="Times New Roman" w:hAnsi="Times New Roman" w:eastAsia="Times New Roman" w:cs="Times New Roman"/>
          <w:spacing w:val="4"/>
        </w:rPr>
        <w:t xml:space="preserve">k)  </w:t>
      </w:r>
      <w:r>
        <w:rPr>
          <w:spacing w:val="4"/>
        </w:rPr>
        <w:t>生产和检验共用设备用作检验手段时的校验方法；</w:t>
      </w:r>
    </w:p>
    <w:p w14:paraId="27332F1F">
      <w:pPr>
        <w:pStyle w:val="2"/>
        <w:spacing w:before="91" w:line="304" w:lineRule="auto"/>
        <w:ind w:right="69" w:firstLine="529"/>
      </w:pPr>
      <w:r>
        <w:rPr>
          <w:spacing w:val="5"/>
        </w:rPr>
        <w:t>1)保存设备使用记录，以便发现设备偏离校准状态时，能确定以前测试结</w:t>
      </w:r>
      <w:r>
        <w:t xml:space="preserve"> 果的有效性。</w:t>
      </w:r>
    </w:p>
    <w:p w14:paraId="2A2BCD92">
      <w:pPr>
        <w:spacing w:line="304" w:lineRule="auto"/>
        <w:sectPr>
          <w:footerReference r:id="rId325" w:type="default"/>
          <w:pgSz w:w="11910" w:h="17130"/>
          <w:pgMar w:top="1456" w:right="1104" w:bottom="1616" w:left="1400" w:header="0" w:footer="1427" w:gutter="0"/>
          <w:cols w:space="720" w:num="1"/>
        </w:sectPr>
      </w:pPr>
    </w:p>
    <w:p w14:paraId="3A63B30D">
      <w:pPr>
        <w:spacing w:before="72" w:line="222" w:lineRule="auto"/>
        <w:rPr>
          <w:rFonts w:ascii="黑体" w:hAnsi="黑体" w:eastAsia="黑体" w:cs="黑体"/>
          <w:sz w:val="25"/>
          <w:szCs w:val="25"/>
        </w:rPr>
      </w:pPr>
      <w:r>
        <w:rPr>
          <w:rFonts w:ascii="黑体" w:hAnsi="黑体" w:eastAsia="黑体" w:cs="黑体"/>
          <w:spacing w:val="7"/>
          <w:sz w:val="25"/>
          <w:szCs w:val="25"/>
        </w:rPr>
        <w:t>12.14.2</w:t>
      </w:r>
      <w:r>
        <w:rPr>
          <w:rFonts w:ascii="黑体" w:hAnsi="黑体" w:eastAsia="黑体" w:cs="黑体"/>
          <w:sz w:val="25"/>
          <w:szCs w:val="25"/>
        </w:rPr>
        <w:t xml:space="preserve">   </w:t>
      </w:r>
      <w:r>
        <w:rPr>
          <w:rFonts w:ascii="黑体" w:hAnsi="黑体" w:eastAsia="黑体" w:cs="黑体"/>
          <w:spacing w:val="7"/>
          <w:sz w:val="25"/>
          <w:szCs w:val="25"/>
        </w:rPr>
        <w:t>过程检验</w:t>
      </w:r>
    </w:p>
    <w:p w14:paraId="093E9F21">
      <w:pPr>
        <w:pStyle w:val="2"/>
        <w:spacing w:before="60" w:line="280" w:lineRule="auto"/>
        <w:ind w:right="4" w:firstLine="560"/>
      </w:pPr>
      <w:r>
        <w:rPr>
          <w:spacing w:val="10"/>
        </w:rPr>
        <w:t>大纲应按</w:t>
      </w:r>
      <w:r>
        <w:rPr>
          <w:rFonts w:ascii="Times New Roman" w:hAnsi="Times New Roman" w:eastAsia="Times New Roman" w:cs="Times New Roman"/>
        </w:rPr>
        <w:t>GJB</w:t>
      </w:r>
      <w:r>
        <w:rPr>
          <w:rFonts w:ascii="Times New Roman" w:hAnsi="Times New Roman" w:eastAsia="Times New Roman" w:cs="Times New Roman"/>
          <w:spacing w:val="32"/>
          <w:w w:val="101"/>
        </w:rPr>
        <w:t xml:space="preserve">  </w:t>
      </w:r>
      <w:r>
        <w:rPr>
          <w:rFonts w:ascii="Times New Roman" w:hAnsi="Times New Roman" w:eastAsia="Times New Roman" w:cs="Times New Roman"/>
          <w:spacing w:val="10"/>
        </w:rPr>
        <w:t>1442</w:t>
      </w:r>
      <w:r>
        <w:rPr>
          <w:spacing w:val="10"/>
        </w:rPr>
        <w:t>的要求，依据检验程序对试制和生产过程进行过程检</w:t>
      </w:r>
      <w:r>
        <w:t xml:space="preserve"> </w:t>
      </w:r>
      <w:r>
        <w:rPr>
          <w:spacing w:val="-14"/>
        </w:rPr>
        <w:t>验，做好原始记录。</w:t>
      </w:r>
    </w:p>
    <w:p w14:paraId="1EAD960D">
      <w:pPr>
        <w:spacing w:before="1" w:line="220" w:lineRule="auto"/>
        <w:rPr>
          <w:rFonts w:ascii="黑体" w:hAnsi="黑体" w:eastAsia="黑体" w:cs="黑体"/>
          <w:sz w:val="27"/>
          <w:szCs w:val="27"/>
        </w:rPr>
      </w:pPr>
      <w:r>
        <w:rPr>
          <w:rFonts w:ascii="黑体" w:hAnsi="黑体" w:eastAsia="黑体" w:cs="黑体"/>
          <w:spacing w:val="1"/>
          <w:sz w:val="27"/>
          <w:szCs w:val="27"/>
        </w:rPr>
        <w:t>12.14.3</w:t>
      </w:r>
      <w:r>
        <w:rPr>
          <w:rFonts w:ascii="黑体" w:hAnsi="黑体" w:eastAsia="黑体" w:cs="黑体"/>
          <w:spacing w:val="20"/>
          <w:sz w:val="27"/>
          <w:szCs w:val="27"/>
        </w:rPr>
        <w:t xml:space="preserve">  </w:t>
      </w:r>
      <w:r>
        <w:rPr>
          <w:rFonts w:ascii="黑体" w:hAnsi="黑体" w:eastAsia="黑体" w:cs="黑体"/>
          <w:spacing w:val="1"/>
          <w:sz w:val="27"/>
          <w:szCs w:val="27"/>
        </w:rPr>
        <w:t>验收试验和检验</w:t>
      </w:r>
    </w:p>
    <w:p w14:paraId="6533CDB5">
      <w:pPr>
        <w:pStyle w:val="2"/>
        <w:spacing w:before="99" w:line="219" w:lineRule="auto"/>
        <w:ind w:left="560"/>
      </w:pPr>
      <w:r>
        <w:rPr>
          <w:spacing w:val="-4"/>
        </w:rPr>
        <w:t>在加工装配完成后，应进行验收试验和检验：</w:t>
      </w:r>
    </w:p>
    <w:p w14:paraId="1824650D">
      <w:pPr>
        <w:pStyle w:val="2"/>
        <w:spacing w:before="49" w:line="212" w:lineRule="auto"/>
        <w:ind w:left="560"/>
      </w:pPr>
      <w:r>
        <w:rPr>
          <w:rFonts w:ascii="Times New Roman" w:hAnsi="Times New Roman" w:eastAsia="Times New Roman" w:cs="Times New Roman"/>
          <w:spacing w:val="-2"/>
        </w:rPr>
        <w:t>a)</w:t>
      </w:r>
      <w:r>
        <w:rPr>
          <w:rFonts w:ascii="Times New Roman" w:hAnsi="Times New Roman" w:eastAsia="Times New Roman" w:cs="Times New Roman"/>
          <w:spacing w:val="77"/>
          <w:w w:val="101"/>
        </w:rPr>
        <w:t xml:space="preserve"> </w:t>
      </w:r>
      <w:r>
        <w:rPr>
          <w:spacing w:val="-2"/>
        </w:rPr>
        <w:t>验收试验和检验的操作应按批准的程序、方法进行；</w:t>
      </w:r>
    </w:p>
    <w:p w14:paraId="054A3A80">
      <w:pPr>
        <w:pStyle w:val="2"/>
        <w:spacing w:before="109" w:line="212" w:lineRule="auto"/>
        <w:ind w:left="560"/>
      </w:pPr>
      <w:r>
        <w:rPr>
          <w:rFonts w:ascii="Times New Roman" w:hAnsi="Times New Roman" w:eastAsia="Times New Roman" w:cs="Times New Roman"/>
          <w:spacing w:val="-1"/>
        </w:rPr>
        <w:t xml:space="preserve">b)  </w:t>
      </w:r>
      <w:r>
        <w:rPr>
          <w:spacing w:val="-1"/>
        </w:rPr>
        <w:t>验收试验和检验结束后，均应提供产品质量和技术特性数据；</w:t>
      </w:r>
    </w:p>
    <w:p w14:paraId="0241550C">
      <w:pPr>
        <w:pStyle w:val="2"/>
        <w:spacing w:before="61" w:line="270" w:lineRule="auto"/>
        <w:ind w:right="4" w:firstLine="560"/>
      </w:pPr>
      <w:r>
        <w:rPr>
          <w:rFonts w:ascii="Times New Roman" w:hAnsi="Times New Roman" w:eastAsia="Times New Roman" w:cs="Times New Roman"/>
          <w:spacing w:val="3"/>
        </w:rPr>
        <w:t>c)</w:t>
      </w:r>
      <w:r>
        <w:rPr>
          <w:rFonts w:ascii="Times New Roman" w:hAnsi="Times New Roman" w:eastAsia="Times New Roman" w:cs="Times New Roman"/>
          <w:spacing w:val="74"/>
        </w:rPr>
        <w:t xml:space="preserve"> </w:t>
      </w:r>
      <w:r>
        <w:rPr>
          <w:spacing w:val="3"/>
        </w:rPr>
        <w:t>在试验和检验中发生故障，均应找出原因并在采取措施后重新进行试验</w:t>
      </w:r>
      <w:r>
        <w:t xml:space="preserve"> </w:t>
      </w:r>
      <w:r>
        <w:rPr>
          <w:spacing w:val="-5"/>
        </w:rPr>
        <w:t>和检验。</w:t>
      </w:r>
    </w:p>
    <w:p w14:paraId="2E866F17">
      <w:pPr>
        <w:spacing w:before="117" w:line="221" w:lineRule="auto"/>
        <w:rPr>
          <w:rFonts w:ascii="黑体" w:hAnsi="黑体" w:eastAsia="黑体" w:cs="黑体"/>
          <w:sz w:val="24"/>
          <w:szCs w:val="24"/>
        </w:rPr>
      </w:pPr>
      <w:r>
        <w:rPr>
          <w:rFonts w:ascii="黑体" w:hAnsi="黑体" w:eastAsia="黑体" w:cs="黑体"/>
          <w:spacing w:val="19"/>
          <w:sz w:val="24"/>
          <w:szCs w:val="24"/>
        </w:rPr>
        <w:t>12.14.</w:t>
      </w:r>
      <w:r>
        <w:rPr>
          <w:rFonts w:ascii="黑体" w:hAnsi="黑体" w:eastAsia="黑体" w:cs="黑体"/>
          <w:spacing w:val="-30"/>
          <w:sz w:val="24"/>
          <w:szCs w:val="24"/>
        </w:rPr>
        <w:t xml:space="preserve"> </w:t>
      </w:r>
      <w:r>
        <w:rPr>
          <w:rFonts w:ascii="黑体" w:hAnsi="黑体" w:eastAsia="黑体" w:cs="黑体"/>
          <w:spacing w:val="19"/>
          <w:sz w:val="24"/>
          <w:szCs w:val="24"/>
        </w:rPr>
        <w:t>4</w:t>
      </w:r>
      <w:r>
        <w:rPr>
          <w:rFonts w:ascii="黑体" w:hAnsi="黑体" w:eastAsia="黑体" w:cs="黑体"/>
          <w:spacing w:val="46"/>
          <w:sz w:val="24"/>
          <w:szCs w:val="24"/>
        </w:rPr>
        <w:t xml:space="preserve">  </w:t>
      </w:r>
      <w:r>
        <w:rPr>
          <w:rFonts w:ascii="黑体" w:hAnsi="黑体" w:eastAsia="黑体" w:cs="黑体"/>
          <w:spacing w:val="19"/>
          <w:sz w:val="24"/>
          <w:szCs w:val="24"/>
        </w:rPr>
        <w:t>例行试验(典型试验)</w:t>
      </w:r>
    </w:p>
    <w:p w14:paraId="61C8A266">
      <w:pPr>
        <w:pStyle w:val="2"/>
        <w:spacing w:before="97" w:line="272" w:lineRule="auto"/>
        <w:ind w:firstLine="560"/>
        <w:jc w:val="both"/>
      </w:pPr>
      <w:r>
        <w:rPr>
          <w:spacing w:val="-3"/>
        </w:rPr>
        <w:t>应按规定进行例行试验，并实施必要的监督，以保证产品性能、可靠性及安</w:t>
      </w:r>
      <w:r>
        <w:rPr>
          <w:spacing w:val="13"/>
        </w:rPr>
        <w:t xml:space="preserve"> </w:t>
      </w:r>
      <w:r>
        <w:rPr>
          <w:spacing w:val="-3"/>
        </w:rPr>
        <w:t>全性满足设计要求，根据环境条件的敏感性、使用的重要性、生产正常变化与规</w:t>
      </w:r>
      <w:r>
        <w:rPr>
          <w:spacing w:val="15"/>
        </w:rPr>
        <w:t xml:space="preserve"> </w:t>
      </w:r>
      <w:r>
        <w:rPr>
          <w:spacing w:val="-2"/>
        </w:rPr>
        <w:t>定公差之间的关系、工艺变化敏感程度、生产工艺(过程)的复</w:t>
      </w:r>
      <w:r>
        <w:rPr>
          <w:spacing w:val="-3"/>
        </w:rPr>
        <w:t>杂性和产品数量确</w:t>
      </w:r>
      <w:r>
        <w:t xml:space="preserve"> </w:t>
      </w:r>
      <w:r>
        <w:rPr>
          <w:spacing w:val="-3"/>
        </w:rPr>
        <w:t>定所需测试的产品，并征得顾客的认可。</w:t>
      </w:r>
    </w:p>
    <w:p w14:paraId="32785017">
      <w:pPr>
        <w:spacing w:before="45" w:line="222" w:lineRule="auto"/>
        <w:rPr>
          <w:rFonts w:ascii="黑体" w:hAnsi="黑体" w:eastAsia="黑体" w:cs="黑体"/>
          <w:sz w:val="25"/>
          <w:szCs w:val="25"/>
        </w:rPr>
      </w:pPr>
      <w:r>
        <w:rPr>
          <w:rFonts w:ascii="黑体" w:hAnsi="黑体" w:eastAsia="黑体" w:cs="黑体"/>
          <w:spacing w:val="6"/>
          <w:sz w:val="25"/>
          <w:szCs w:val="25"/>
        </w:rPr>
        <w:t>12.14.</w:t>
      </w:r>
      <w:r>
        <w:rPr>
          <w:rFonts w:ascii="黑体" w:hAnsi="黑体" w:eastAsia="黑体" w:cs="黑体"/>
          <w:spacing w:val="-67"/>
          <w:sz w:val="25"/>
          <w:szCs w:val="25"/>
        </w:rPr>
        <w:t xml:space="preserve"> </w:t>
      </w:r>
      <w:r>
        <w:rPr>
          <w:rFonts w:ascii="黑体" w:hAnsi="黑体" w:eastAsia="黑体" w:cs="黑体"/>
          <w:spacing w:val="6"/>
          <w:sz w:val="25"/>
          <w:szCs w:val="25"/>
        </w:rPr>
        <w:t>5</w:t>
      </w:r>
      <w:r>
        <w:rPr>
          <w:rFonts w:ascii="黑体" w:hAnsi="黑体" w:eastAsia="黑体" w:cs="黑体"/>
          <w:spacing w:val="39"/>
          <w:sz w:val="25"/>
          <w:szCs w:val="25"/>
        </w:rPr>
        <w:t xml:space="preserve">  </w:t>
      </w:r>
      <w:r>
        <w:rPr>
          <w:rFonts w:ascii="黑体" w:hAnsi="黑体" w:eastAsia="黑体" w:cs="黑体"/>
          <w:spacing w:val="6"/>
          <w:sz w:val="25"/>
          <w:szCs w:val="25"/>
        </w:rPr>
        <w:t>无损检验</w:t>
      </w:r>
    </w:p>
    <w:p w14:paraId="63F647C6">
      <w:pPr>
        <w:pStyle w:val="2"/>
        <w:spacing w:before="92" w:line="219" w:lineRule="auto"/>
        <w:ind w:left="560"/>
      </w:pPr>
      <w:r>
        <w:rPr>
          <w:spacing w:val="3"/>
        </w:rPr>
        <w:t>应按</w:t>
      </w:r>
      <w:r>
        <w:rPr>
          <w:rFonts w:ascii="Times New Roman" w:hAnsi="Times New Roman" w:eastAsia="Times New Roman" w:cs="Times New Roman"/>
        </w:rPr>
        <w:t>GJB</w:t>
      </w:r>
      <w:r>
        <w:rPr>
          <w:rFonts w:ascii="Times New Roman" w:hAnsi="Times New Roman" w:eastAsia="Times New Roman" w:cs="Times New Roman"/>
          <w:spacing w:val="3"/>
        </w:rPr>
        <w:t>466</w:t>
      </w:r>
      <w:r>
        <w:rPr>
          <w:rFonts w:ascii="Times New Roman" w:hAnsi="Times New Roman" w:eastAsia="Times New Roman" w:cs="Times New Roman"/>
          <w:spacing w:val="30"/>
        </w:rPr>
        <w:t xml:space="preserve">  </w:t>
      </w:r>
      <w:r>
        <w:rPr>
          <w:spacing w:val="3"/>
        </w:rPr>
        <w:t>和</w:t>
      </w:r>
      <w:r>
        <w:rPr>
          <w:spacing w:val="-43"/>
        </w:rPr>
        <w:t xml:space="preserve"> </w:t>
      </w:r>
      <w:r>
        <w:rPr>
          <w:rFonts w:ascii="Times New Roman" w:hAnsi="Times New Roman" w:eastAsia="Times New Roman" w:cs="Times New Roman"/>
        </w:rPr>
        <w:t>GJB</w:t>
      </w:r>
      <w:r>
        <w:rPr>
          <w:rFonts w:ascii="Times New Roman" w:hAnsi="Times New Roman" w:eastAsia="Times New Roman" w:cs="Times New Roman"/>
          <w:spacing w:val="3"/>
        </w:rPr>
        <w:t>593</w:t>
      </w:r>
      <w:r>
        <w:rPr>
          <w:rFonts w:ascii="Times New Roman" w:hAnsi="Times New Roman" w:eastAsia="Times New Roman" w:cs="Times New Roman"/>
        </w:rPr>
        <w:t xml:space="preserve">   </w:t>
      </w:r>
      <w:r>
        <w:rPr>
          <w:spacing w:val="3"/>
        </w:rPr>
        <w:t>的有关规定对无损检验进行控制。</w:t>
      </w:r>
    </w:p>
    <w:p w14:paraId="0DD5965B">
      <w:pPr>
        <w:spacing w:before="77" w:line="221" w:lineRule="auto"/>
        <w:rPr>
          <w:rFonts w:ascii="黑体" w:hAnsi="黑体" w:eastAsia="黑体" w:cs="黑体"/>
          <w:sz w:val="27"/>
          <w:szCs w:val="27"/>
        </w:rPr>
      </w:pPr>
      <w:r>
        <w:rPr>
          <w:rFonts w:ascii="黑体" w:hAnsi="黑体" w:eastAsia="黑体" w:cs="黑体"/>
          <w:spacing w:val="1"/>
          <w:sz w:val="27"/>
          <w:szCs w:val="27"/>
        </w:rPr>
        <w:t>12.14.6</w:t>
      </w:r>
      <w:r>
        <w:rPr>
          <w:rFonts w:ascii="黑体" w:hAnsi="黑体" w:eastAsia="黑体" w:cs="黑体"/>
          <w:spacing w:val="21"/>
          <w:sz w:val="27"/>
          <w:szCs w:val="27"/>
        </w:rPr>
        <w:t xml:space="preserve">  </w:t>
      </w:r>
      <w:r>
        <w:rPr>
          <w:rFonts w:ascii="黑体" w:hAnsi="黑体" w:eastAsia="黑体" w:cs="黑体"/>
          <w:spacing w:val="1"/>
          <w:sz w:val="27"/>
          <w:szCs w:val="27"/>
        </w:rPr>
        <w:t>试验和检验记录</w:t>
      </w:r>
    </w:p>
    <w:p w14:paraId="399FD43B">
      <w:pPr>
        <w:pStyle w:val="2"/>
        <w:spacing w:before="99" w:line="276" w:lineRule="auto"/>
        <w:ind w:right="1" w:firstLine="560"/>
        <w:jc w:val="both"/>
      </w:pPr>
      <w:r>
        <w:rPr>
          <w:spacing w:val="-3"/>
        </w:rPr>
        <w:t>大纲应规定保存试验、检验记录的要求，并根据试验和检验的类型、范围及</w:t>
      </w:r>
      <w:r>
        <w:rPr>
          <w:spacing w:val="12"/>
        </w:rPr>
        <w:t xml:space="preserve"> </w:t>
      </w:r>
      <w:r>
        <w:rPr>
          <w:spacing w:val="5"/>
        </w:rPr>
        <w:t>重要性确定记录的详细程度。记录应包括产品的检验状态，必要的试验和检验</w:t>
      </w:r>
      <w:r>
        <w:rPr>
          <w:spacing w:val="10"/>
        </w:rPr>
        <w:t xml:space="preserve"> </w:t>
      </w:r>
      <w:r>
        <w:rPr>
          <w:spacing w:val="-7"/>
        </w:rPr>
        <w:t>特性证明、不合格品报告、纠正措施及抽样方案和数据。</w:t>
      </w:r>
    </w:p>
    <w:p w14:paraId="457C79BA">
      <w:pPr>
        <w:spacing w:line="223" w:lineRule="auto"/>
        <w:rPr>
          <w:rFonts w:ascii="黑体" w:hAnsi="黑体" w:eastAsia="黑体" w:cs="黑体"/>
          <w:sz w:val="27"/>
          <w:szCs w:val="27"/>
        </w:rPr>
      </w:pPr>
      <w:r>
        <w:rPr>
          <w:rFonts w:ascii="黑体" w:hAnsi="黑体" w:eastAsia="黑体" w:cs="黑体"/>
          <w:spacing w:val="-3"/>
          <w:sz w:val="27"/>
          <w:szCs w:val="27"/>
        </w:rPr>
        <w:t>12.15</w:t>
      </w:r>
      <w:r>
        <w:rPr>
          <w:rFonts w:ascii="黑体" w:hAnsi="黑体" w:eastAsia="黑体" w:cs="黑体"/>
          <w:spacing w:val="41"/>
          <w:sz w:val="27"/>
          <w:szCs w:val="27"/>
        </w:rPr>
        <w:t xml:space="preserve">  </w:t>
      </w:r>
      <w:r>
        <w:rPr>
          <w:rFonts w:ascii="黑体" w:hAnsi="黑体" w:eastAsia="黑体" w:cs="黑体"/>
          <w:spacing w:val="-3"/>
          <w:sz w:val="27"/>
          <w:szCs w:val="27"/>
        </w:rPr>
        <w:t>不合格品的控制</w:t>
      </w:r>
    </w:p>
    <w:p w14:paraId="7F650DD0">
      <w:pPr>
        <w:pStyle w:val="2"/>
        <w:spacing w:before="94" w:line="279" w:lineRule="auto"/>
        <w:ind w:right="4" w:firstLine="560"/>
      </w:pPr>
      <w:r>
        <w:rPr>
          <w:spacing w:val="6"/>
        </w:rPr>
        <w:t>大纲应规定对不合格品进行识别和控制的要求</w:t>
      </w:r>
      <w:r>
        <w:rPr>
          <w:spacing w:val="5"/>
        </w:rPr>
        <w:t>，以防止其非预期使用或交</w:t>
      </w:r>
      <w:r>
        <w:t xml:space="preserve"> </w:t>
      </w:r>
      <w:r>
        <w:rPr>
          <w:spacing w:val="-7"/>
        </w:rPr>
        <w:t>付。有关不合格品的标识、评价、隔离、处置和记录执行</w:t>
      </w:r>
      <w:r>
        <w:rPr>
          <w:rFonts w:ascii="Times New Roman" w:hAnsi="Times New Roman" w:eastAsia="Times New Roman" w:cs="Times New Roman"/>
          <w:spacing w:val="-7"/>
        </w:rPr>
        <w:t>GJB</w:t>
      </w:r>
      <w:r>
        <w:rPr>
          <w:rFonts w:ascii="Times New Roman" w:hAnsi="Times New Roman" w:eastAsia="Times New Roman" w:cs="Times New Roman"/>
          <w:spacing w:val="34"/>
        </w:rPr>
        <w:t xml:space="preserve">  </w:t>
      </w:r>
      <w:r>
        <w:rPr>
          <w:rFonts w:ascii="Times New Roman" w:hAnsi="Times New Roman" w:eastAsia="Times New Roman" w:cs="Times New Roman"/>
          <w:spacing w:val="-7"/>
        </w:rPr>
        <w:t>571</w:t>
      </w:r>
      <w:r>
        <w:rPr>
          <w:spacing w:val="-7"/>
        </w:rPr>
        <w:t>的规定。</w:t>
      </w:r>
    </w:p>
    <w:p w14:paraId="0E1C3F00">
      <w:pPr>
        <w:spacing w:before="1" w:line="220" w:lineRule="auto"/>
        <w:rPr>
          <w:rFonts w:ascii="黑体" w:hAnsi="黑体" w:eastAsia="黑体" w:cs="黑体"/>
          <w:sz w:val="24"/>
          <w:szCs w:val="24"/>
        </w:rPr>
      </w:pPr>
      <w:r>
        <w:rPr>
          <w:rFonts w:ascii="黑体" w:hAnsi="黑体" w:eastAsia="黑体" w:cs="黑体"/>
          <w:spacing w:val="14"/>
          <w:sz w:val="24"/>
          <w:szCs w:val="24"/>
        </w:rPr>
        <w:t>12.16   售后服务</w:t>
      </w:r>
    </w:p>
    <w:p w14:paraId="5CC110A2">
      <w:pPr>
        <w:pStyle w:val="2"/>
        <w:spacing w:before="117" w:line="289" w:lineRule="auto"/>
        <w:ind w:right="18" w:firstLine="560"/>
      </w:pPr>
      <w:r>
        <w:rPr>
          <w:spacing w:val="-3"/>
        </w:rPr>
        <w:t>当合同有要求时，大纲应按协议或合同要求组织技术服务队伍到</w:t>
      </w:r>
      <w:r>
        <w:rPr>
          <w:spacing w:val="-4"/>
        </w:rPr>
        <w:t>现场，指导</w:t>
      </w:r>
      <w:r>
        <w:t xml:space="preserve"> </w:t>
      </w:r>
      <w:r>
        <w:rPr>
          <w:spacing w:val="-13"/>
        </w:rPr>
        <w:t>正确安装、调试、使用和维护，及时解决出现的问题。</w:t>
      </w:r>
    </w:p>
    <w:p w14:paraId="33415F7F">
      <w:pPr>
        <w:pStyle w:val="2"/>
        <w:spacing w:before="339" w:line="218" w:lineRule="auto"/>
        <w:ind w:left="3149"/>
        <w:rPr>
          <w:sz w:val="36"/>
          <w:szCs w:val="36"/>
        </w:rPr>
      </w:pPr>
      <w:r>
        <w:rPr>
          <w:sz w:val="36"/>
          <w:szCs w:val="36"/>
        </w:rPr>
        <w:t>5.</w:t>
      </w:r>
      <w:r>
        <w:rPr>
          <w:b/>
          <w:bCs/>
          <w:sz w:val="36"/>
          <w:szCs w:val="36"/>
        </w:rPr>
        <w:t>2</w:t>
      </w:r>
      <w:r>
        <w:rPr>
          <w:spacing w:val="21"/>
          <w:sz w:val="36"/>
          <w:szCs w:val="36"/>
        </w:rPr>
        <w:t xml:space="preserve">  </w:t>
      </w:r>
      <w:r>
        <w:rPr>
          <w:b/>
          <w:bCs/>
          <w:sz w:val="36"/>
          <w:szCs w:val="36"/>
        </w:rPr>
        <w:t>质量分析报告</w:t>
      </w:r>
    </w:p>
    <w:p w14:paraId="209909BB">
      <w:pPr>
        <w:spacing w:line="320" w:lineRule="auto"/>
        <w:rPr>
          <w:rFonts w:ascii="Arial"/>
          <w:sz w:val="21"/>
        </w:rPr>
      </w:pPr>
    </w:p>
    <w:p w14:paraId="1E53F196">
      <w:pPr>
        <w:pStyle w:val="2"/>
        <w:spacing w:before="91" w:line="223"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907A—2006</w:t>
      </w:r>
      <w:r>
        <w:rPr>
          <w:spacing w:val="-10"/>
          <w:sz w:val="28"/>
          <w:szCs w:val="28"/>
        </w:rPr>
        <w:t>《</w:t>
      </w:r>
      <w:r>
        <w:rPr>
          <w:rFonts w:ascii="楷体" w:hAnsi="楷体" w:eastAsia="楷体" w:cs="楷体"/>
          <w:spacing w:val="-10"/>
          <w:sz w:val="28"/>
          <w:szCs w:val="28"/>
        </w:rPr>
        <w:t>产品质量评审</w:t>
      </w:r>
      <w:r>
        <w:rPr>
          <w:rFonts w:ascii="楷体" w:hAnsi="楷体" w:eastAsia="楷体" w:cs="楷体"/>
          <w:spacing w:val="-11"/>
          <w:sz w:val="28"/>
          <w:szCs w:val="28"/>
        </w:rPr>
        <w:t>》要求编写。</w:t>
      </w:r>
    </w:p>
    <w:p w14:paraId="44F6DB21">
      <w:pPr>
        <w:spacing w:before="59"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9"/>
          <w:sz w:val="27"/>
          <w:szCs w:val="27"/>
        </w:rPr>
        <w:t xml:space="preserve">  </w:t>
      </w:r>
      <w:r>
        <w:rPr>
          <w:rFonts w:ascii="黑体" w:hAnsi="黑体" w:eastAsia="黑体" w:cs="黑体"/>
          <w:spacing w:val="-6"/>
          <w:sz w:val="27"/>
          <w:szCs w:val="27"/>
        </w:rPr>
        <w:t>范围</w:t>
      </w:r>
    </w:p>
    <w:p w14:paraId="626B8C26">
      <w:pPr>
        <w:pStyle w:val="2"/>
        <w:spacing w:before="101" w:line="218" w:lineRule="auto"/>
        <w:ind w:left="560"/>
      </w:pPr>
      <w:r>
        <w:rPr>
          <w:spacing w:val="3"/>
        </w:rPr>
        <w:t>说明质量分析报告的主题内容和适用范围。</w:t>
      </w:r>
    </w:p>
    <w:p w14:paraId="7E6E4510">
      <w:pPr>
        <w:spacing w:before="72"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3"/>
          <w:sz w:val="27"/>
          <w:szCs w:val="27"/>
        </w:rPr>
        <w:t xml:space="preserve">  </w:t>
      </w:r>
      <w:r>
        <w:rPr>
          <w:rFonts w:ascii="黑体" w:hAnsi="黑体" w:eastAsia="黑体" w:cs="黑体"/>
          <w:sz w:val="27"/>
          <w:szCs w:val="27"/>
        </w:rPr>
        <w:t>引用文件</w:t>
      </w:r>
    </w:p>
    <w:p w14:paraId="6780EF82">
      <w:pPr>
        <w:pStyle w:val="2"/>
        <w:spacing w:before="135" w:line="218" w:lineRule="auto"/>
        <w:ind w:left="560"/>
      </w:pPr>
      <w:r>
        <w:rPr>
          <w:spacing w:val="4"/>
        </w:rPr>
        <w:t>列出编制质量分析报告的依据文件以及各章中引用的所有文件。</w:t>
      </w:r>
    </w:p>
    <w:p w14:paraId="5257BD6F">
      <w:pPr>
        <w:spacing w:line="218" w:lineRule="auto"/>
        <w:sectPr>
          <w:footerReference r:id="rId326" w:type="default"/>
          <w:pgSz w:w="11910" w:h="17130"/>
          <w:pgMar w:top="1456" w:right="1454" w:bottom="1696" w:left="1069" w:header="0" w:footer="1506" w:gutter="0"/>
          <w:cols w:space="720" w:num="1"/>
        </w:sectPr>
      </w:pPr>
    </w:p>
    <w:p w14:paraId="1D13510A">
      <w:pPr>
        <w:spacing w:before="179" w:line="327" w:lineRule="exact"/>
        <w:rPr>
          <w:rFonts w:ascii="黑体" w:hAnsi="黑体" w:eastAsia="黑体" w:cs="黑体"/>
          <w:sz w:val="24"/>
          <w:szCs w:val="24"/>
        </w:rPr>
      </w:pPr>
      <w:r>
        <w:rPr>
          <w:rFonts w:ascii="Arial" w:hAnsi="Arial" w:eastAsia="Arial" w:cs="Arial"/>
          <w:spacing w:val="30"/>
          <w:position w:val="1"/>
          <w:sz w:val="24"/>
          <w:szCs w:val="24"/>
        </w:rPr>
        <w:t>3</w:t>
      </w:r>
      <w:r>
        <w:rPr>
          <w:rFonts w:ascii="Arial" w:hAnsi="Arial" w:eastAsia="Arial" w:cs="Arial"/>
          <w:spacing w:val="5"/>
          <w:position w:val="1"/>
          <w:sz w:val="24"/>
          <w:szCs w:val="24"/>
        </w:rPr>
        <w:t xml:space="preserve">    </w:t>
      </w:r>
      <w:r>
        <w:rPr>
          <w:rFonts w:ascii="黑体" w:hAnsi="黑体" w:eastAsia="黑体" w:cs="黑体"/>
          <w:spacing w:val="30"/>
          <w:position w:val="1"/>
          <w:sz w:val="24"/>
          <w:szCs w:val="24"/>
        </w:rPr>
        <w:t>研制过程简介</w:t>
      </w:r>
    </w:p>
    <w:p w14:paraId="0548AF6F">
      <w:pPr>
        <w:pStyle w:val="2"/>
        <w:spacing w:before="86" w:line="219" w:lineRule="auto"/>
        <w:ind w:left="550"/>
      </w:pPr>
      <w:r>
        <w:rPr>
          <w:spacing w:val="-5"/>
        </w:rPr>
        <w:t>分阶段简要介绍研制过程，包括时间节点和工作内容</w:t>
      </w:r>
      <w:r>
        <w:rPr>
          <w:spacing w:val="-6"/>
        </w:rPr>
        <w:t>、工作成果。</w:t>
      </w:r>
    </w:p>
    <w:p w14:paraId="48A4C1C8">
      <w:pPr>
        <w:spacing w:before="108" w:line="221" w:lineRule="auto"/>
        <w:rPr>
          <w:rFonts w:ascii="黑体" w:hAnsi="黑体" w:eastAsia="黑体" w:cs="黑体"/>
          <w:sz w:val="27"/>
          <w:szCs w:val="27"/>
        </w:rPr>
      </w:pPr>
      <w:r>
        <w:rPr>
          <w:rFonts w:ascii="黑体" w:hAnsi="黑体" w:eastAsia="黑体" w:cs="黑体"/>
          <w:spacing w:val="5"/>
          <w:sz w:val="27"/>
          <w:szCs w:val="27"/>
        </w:rPr>
        <w:t>4  技术指标符合任务书情况</w:t>
      </w:r>
    </w:p>
    <w:p w14:paraId="356BB1ED">
      <w:pPr>
        <w:pStyle w:val="2"/>
        <w:spacing w:before="30" w:line="290" w:lineRule="auto"/>
        <w:ind w:right="123" w:firstLine="550"/>
      </w:pPr>
      <w:r>
        <w:rPr>
          <w:spacing w:val="10"/>
        </w:rPr>
        <w:t>检查研制方案和/或详细设计中的主要技术指标是否符合研制</w:t>
      </w:r>
      <w:r>
        <w:rPr>
          <w:spacing w:val="9"/>
        </w:rPr>
        <w:t>总要求或研</w:t>
      </w:r>
      <w:r>
        <w:t xml:space="preserve"> </w:t>
      </w:r>
      <w:r>
        <w:rPr>
          <w:spacing w:val="2"/>
        </w:rPr>
        <w:t>制任务书中规定的技术指标要求。</w:t>
      </w:r>
    </w:p>
    <w:p w14:paraId="19BA241C">
      <w:pPr>
        <w:spacing w:before="1" w:line="221" w:lineRule="auto"/>
        <w:rPr>
          <w:rFonts w:ascii="黑体" w:hAnsi="黑体" w:eastAsia="黑体" w:cs="黑体"/>
          <w:sz w:val="27"/>
          <w:szCs w:val="27"/>
        </w:rPr>
      </w:pPr>
      <w:r>
        <w:rPr>
          <w:rFonts w:ascii="黑体" w:hAnsi="黑体" w:eastAsia="黑体" w:cs="黑体"/>
          <w:spacing w:val="4"/>
          <w:sz w:val="27"/>
          <w:szCs w:val="27"/>
        </w:rPr>
        <w:t>5  产品技术状态符合情况</w:t>
      </w:r>
    </w:p>
    <w:p w14:paraId="2BA18F54">
      <w:pPr>
        <w:pStyle w:val="2"/>
        <w:spacing w:before="56" w:line="296" w:lineRule="auto"/>
        <w:ind w:right="121" w:firstLine="550"/>
      </w:pPr>
      <w:r>
        <w:rPr>
          <w:spacing w:val="-11"/>
        </w:rPr>
        <w:t>说明产品技术状态要求及其符合情况，包括产品名称、代号、组成，产品功能</w:t>
      </w:r>
      <w:r>
        <w:rPr>
          <w:spacing w:val="16"/>
        </w:rPr>
        <w:t xml:space="preserve"> </w:t>
      </w:r>
      <w:r>
        <w:rPr>
          <w:spacing w:val="-10"/>
        </w:rPr>
        <w:t>和主要用途，主要战术技术指标，配套情况等。</w:t>
      </w:r>
    </w:p>
    <w:p w14:paraId="0AE02D20">
      <w:pPr>
        <w:spacing w:line="219" w:lineRule="auto"/>
        <w:rPr>
          <w:rFonts w:ascii="黑体" w:hAnsi="黑体" w:eastAsia="黑体" w:cs="黑体"/>
          <w:sz w:val="24"/>
          <w:szCs w:val="24"/>
        </w:rPr>
      </w:pPr>
      <w:r>
        <w:rPr>
          <w:rFonts w:ascii="黑体" w:hAnsi="黑体" w:eastAsia="黑体" w:cs="黑体"/>
          <w:spacing w:val="31"/>
          <w:sz w:val="24"/>
          <w:szCs w:val="24"/>
        </w:rPr>
        <w:t>6</w:t>
      </w:r>
      <w:r>
        <w:rPr>
          <w:rFonts w:ascii="黑体" w:hAnsi="黑体" w:eastAsia="黑体" w:cs="黑体"/>
          <w:spacing w:val="29"/>
          <w:sz w:val="24"/>
          <w:szCs w:val="24"/>
        </w:rPr>
        <w:t xml:space="preserve">  </w:t>
      </w:r>
      <w:r>
        <w:rPr>
          <w:rFonts w:ascii="黑体" w:hAnsi="黑体" w:eastAsia="黑体" w:cs="黑体"/>
          <w:spacing w:val="31"/>
          <w:sz w:val="24"/>
          <w:szCs w:val="24"/>
        </w:rPr>
        <w:t>质量保证大纲执行情况</w:t>
      </w:r>
    </w:p>
    <w:p w14:paraId="70E870B5">
      <w:pPr>
        <w:spacing w:before="127" w:line="221" w:lineRule="auto"/>
        <w:rPr>
          <w:rFonts w:ascii="黑体" w:hAnsi="黑体" w:eastAsia="黑体" w:cs="黑体"/>
          <w:sz w:val="24"/>
          <w:szCs w:val="24"/>
        </w:rPr>
      </w:pPr>
      <w:r>
        <w:rPr>
          <w:rFonts w:ascii="黑体" w:hAnsi="黑体" w:eastAsia="黑体" w:cs="黑体"/>
          <w:spacing w:val="25"/>
          <w:sz w:val="24"/>
          <w:szCs w:val="24"/>
        </w:rPr>
        <w:t>6.1</w:t>
      </w:r>
      <w:r>
        <w:rPr>
          <w:rFonts w:ascii="黑体" w:hAnsi="黑体" w:eastAsia="黑体" w:cs="黑体"/>
          <w:spacing w:val="54"/>
          <w:sz w:val="24"/>
          <w:szCs w:val="24"/>
        </w:rPr>
        <w:t xml:space="preserve">  </w:t>
      </w:r>
      <w:r>
        <w:rPr>
          <w:rFonts w:ascii="黑体" w:hAnsi="黑体" w:eastAsia="黑体" w:cs="黑体"/>
          <w:spacing w:val="25"/>
          <w:sz w:val="24"/>
          <w:szCs w:val="24"/>
        </w:rPr>
        <w:t>质量保证大纲的编制</w:t>
      </w:r>
    </w:p>
    <w:p w14:paraId="345BB4B9">
      <w:pPr>
        <w:pStyle w:val="2"/>
        <w:spacing w:before="95" w:line="283" w:lineRule="auto"/>
        <w:ind w:right="119" w:firstLine="550"/>
      </w:pPr>
      <w:r>
        <w:rPr>
          <w:spacing w:val="-11"/>
        </w:rPr>
        <w:t>说明质量保证大纲的编制情况，包括编制时间、编制依据、主要内容、评审时</w:t>
      </w:r>
      <w:r>
        <w:rPr>
          <w:spacing w:val="18"/>
        </w:rPr>
        <w:t xml:space="preserve"> </w:t>
      </w:r>
      <w:r>
        <w:rPr>
          <w:spacing w:val="-6"/>
        </w:rPr>
        <w:t>间等。</w:t>
      </w:r>
    </w:p>
    <w:p w14:paraId="7CC4AC8D">
      <w:pPr>
        <w:spacing w:before="20" w:line="222" w:lineRule="auto"/>
        <w:rPr>
          <w:rFonts w:ascii="黑体" w:hAnsi="黑体" w:eastAsia="黑体" w:cs="黑体"/>
          <w:sz w:val="24"/>
          <w:szCs w:val="24"/>
        </w:rPr>
      </w:pPr>
      <w:r>
        <w:rPr>
          <w:rFonts w:ascii="黑体" w:hAnsi="黑体" w:eastAsia="黑体" w:cs="黑体"/>
          <w:spacing w:val="27"/>
          <w:sz w:val="24"/>
          <w:szCs w:val="24"/>
        </w:rPr>
        <w:t>6.2</w:t>
      </w:r>
      <w:r>
        <w:rPr>
          <w:rFonts w:ascii="黑体" w:hAnsi="黑体" w:eastAsia="黑体" w:cs="黑体"/>
          <w:spacing w:val="49"/>
          <w:sz w:val="24"/>
          <w:szCs w:val="24"/>
        </w:rPr>
        <w:t xml:space="preserve">  </w:t>
      </w:r>
      <w:r>
        <w:rPr>
          <w:rFonts w:ascii="黑体" w:hAnsi="黑体" w:eastAsia="黑体" w:cs="黑体"/>
          <w:spacing w:val="27"/>
          <w:sz w:val="24"/>
          <w:szCs w:val="24"/>
        </w:rPr>
        <w:t>质量工作原则与质量目标</w:t>
      </w:r>
    </w:p>
    <w:p w14:paraId="02DB9FEC">
      <w:pPr>
        <w:pStyle w:val="2"/>
        <w:spacing w:before="85" w:line="282" w:lineRule="auto"/>
        <w:ind w:right="125" w:firstLine="550"/>
      </w:pPr>
      <w:r>
        <w:rPr>
          <w:spacing w:val="5"/>
        </w:rPr>
        <w:t>说明制定的质量工作原则与质量目标，必须与质量保证大纲(质量计划)保</w:t>
      </w:r>
      <w:r>
        <w:rPr>
          <w:spacing w:val="13"/>
        </w:rPr>
        <w:t xml:space="preserve"> </w:t>
      </w:r>
      <w:r>
        <w:rPr>
          <w:spacing w:val="-1"/>
        </w:rPr>
        <w:t>持一致。</w:t>
      </w:r>
    </w:p>
    <w:p w14:paraId="745A2141">
      <w:pPr>
        <w:spacing w:before="1" w:line="221" w:lineRule="auto"/>
        <w:rPr>
          <w:rFonts w:ascii="黑体" w:hAnsi="黑体" w:eastAsia="黑体" w:cs="黑体"/>
          <w:sz w:val="25"/>
          <w:szCs w:val="25"/>
        </w:rPr>
      </w:pPr>
      <w:r>
        <w:rPr>
          <w:rFonts w:ascii="黑体" w:hAnsi="黑体" w:eastAsia="黑体" w:cs="黑体"/>
          <w:spacing w:val="15"/>
          <w:sz w:val="25"/>
          <w:szCs w:val="25"/>
        </w:rPr>
        <w:t>6.3</w:t>
      </w:r>
      <w:r>
        <w:rPr>
          <w:rFonts w:ascii="黑体" w:hAnsi="黑体" w:eastAsia="黑体" w:cs="黑体"/>
          <w:spacing w:val="36"/>
          <w:sz w:val="25"/>
          <w:szCs w:val="25"/>
        </w:rPr>
        <w:t xml:space="preserve">  </w:t>
      </w:r>
      <w:r>
        <w:rPr>
          <w:rFonts w:ascii="黑体" w:hAnsi="黑体" w:eastAsia="黑体" w:cs="黑体"/>
          <w:spacing w:val="15"/>
          <w:sz w:val="25"/>
          <w:szCs w:val="25"/>
        </w:rPr>
        <w:t>管理职责</w:t>
      </w:r>
    </w:p>
    <w:p w14:paraId="1B17715A">
      <w:pPr>
        <w:pStyle w:val="2"/>
        <w:spacing w:before="84" w:line="279" w:lineRule="auto"/>
        <w:ind w:right="114" w:firstLine="550"/>
        <w:jc w:val="both"/>
      </w:pPr>
      <w:r>
        <w:rPr>
          <w:spacing w:val="-3"/>
        </w:rPr>
        <w:t>说明在研制生产过程中各级各类相关人员的职责、权限、相互关系和内部沟</w:t>
      </w:r>
      <w:r>
        <w:rPr>
          <w:spacing w:val="18"/>
        </w:rPr>
        <w:t xml:space="preserve"> </w:t>
      </w:r>
      <w:r>
        <w:rPr>
          <w:spacing w:val="6"/>
        </w:rPr>
        <w:t>通的方法，以及有关职能部门的质量职责和接</w:t>
      </w:r>
      <w:r>
        <w:rPr>
          <w:spacing w:val="5"/>
        </w:rPr>
        <w:t>口的关系。说明各级各类相关人</w:t>
      </w:r>
      <w:r>
        <w:t xml:space="preserve"> </w:t>
      </w:r>
      <w:r>
        <w:rPr>
          <w:spacing w:val="2"/>
        </w:rPr>
        <w:t>员的履职情况及人员调整情况。</w:t>
      </w:r>
    </w:p>
    <w:p w14:paraId="4BE204C9">
      <w:pPr>
        <w:spacing w:before="43" w:line="222" w:lineRule="auto"/>
        <w:rPr>
          <w:rFonts w:ascii="黑体" w:hAnsi="黑体" w:eastAsia="黑体" w:cs="黑体"/>
          <w:sz w:val="24"/>
          <w:szCs w:val="24"/>
        </w:rPr>
      </w:pPr>
      <w:r>
        <w:rPr>
          <w:rFonts w:ascii="黑体" w:hAnsi="黑体" w:eastAsia="黑体" w:cs="黑体"/>
          <w:spacing w:val="24"/>
          <w:sz w:val="24"/>
          <w:szCs w:val="24"/>
        </w:rPr>
        <w:t>6.4</w:t>
      </w:r>
      <w:r>
        <w:rPr>
          <w:rFonts w:ascii="黑体" w:hAnsi="黑体" w:eastAsia="黑体" w:cs="黑体"/>
          <w:spacing w:val="52"/>
          <w:sz w:val="24"/>
          <w:szCs w:val="24"/>
        </w:rPr>
        <w:t xml:space="preserve">  </w:t>
      </w:r>
      <w:r>
        <w:rPr>
          <w:rFonts w:ascii="黑体" w:hAnsi="黑体" w:eastAsia="黑体" w:cs="黑体"/>
          <w:spacing w:val="24"/>
          <w:sz w:val="24"/>
          <w:szCs w:val="24"/>
        </w:rPr>
        <w:t>文件和记录的控制</w:t>
      </w:r>
    </w:p>
    <w:p w14:paraId="147ED996">
      <w:pPr>
        <w:pStyle w:val="2"/>
        <w:spacing w:before="85" w:line="274" w:lineRule="auto"/>
        <w:ind w:right="178" w:firstLine="550"/>
      </w:pPr>
      <w:r>
        <w:rPr>
          <w:spacing w:val="6"/>
        </w:rPr>
        <w:t>说明研制生产过程中文件和记录的控制情况。</w:t>
      </w:r>
      <w:r>
        <w:rPr>
          <w:spacing w:val="5"/>
        </w:rPr>
        <w:t>成套资料应符合</w:t>
      </w:r>
      <w:r>
        <w:rPr>
          <w:rFonts w:ascii="Times New Roman" w:hAnsi="Times New Roman" w:eastAsia="Times New Roman" w:cs="Times New Roman"/>
        </w:rPr>
        <w:t>GJB</w:t>
      </w:r>
      <w:r>
        <w:rPr>
          <w:rFonts w:ascii="Times New Roman" w:hAnsi="Times New Roman" w:eastAsia="Times New Roman" w:cs="Times New Roman"/>
          <w:spacing w:val="5"/>
        </w:rPr>
        <w:t xml:space="preserve">906  </w:t>
      </w:r>
      <w:r>
        <w:rPr>
          <w:rFonts w:ascii="仿宋" w:hAnsi="仿宋" w:eastAsia="仿宋" w:cs="仿宋"/>
          <w:spacing w:val="5"/>
        </w:rPr>
        <w:t>的</w:t>
      </w:r>
      <w:r>
        <w:rPr>
          <w:rFonts w:ascii="仿宋" w:hAnsi="仿宋" w:eastAsia="仿宋" w:cs="仿宋"/>
        </w:rPr>
        <w:t xml:space="preserve"> </w:t>
      </w:r>
      <w:r>
        <w:rPr>
          <w:spacing w:val="-6"/>
        </w:rPr>
        <w:t>规定。</w:t>
      </w:r>
    </w:p>
    <w:p w14:paraId="75CEDACA">
      <w:pPr>
        <w:spacing w:before="18" w:line="222" w:lineRule="auto"/>
        <w:rPr>
          <w:rFonts w:ascii="黑体" w:hAnsi="黑体" w:eastAsia="黑体" w:cs="黑体"/>
          <w:sz w:val="27"/>
          <w:szCs w:val="27"/>
        </w:rPr>
      </w:pPr>
      <w:r>
        <w:rPr>
          <w:rFonts w:ascii="黑体" w:hAnsi="黑体" w:eastAsia="黑体" w:cs="黑体"/>
          <w:spacing w:val="4"/>
          <w:sz w:val="27"/>
          <w:szCs w:val="27"/>
        </w:rPr>
        <w:t>6.5  质量信息的管理</w:t>
      </w:r>
    </w:p>
    <w:p w14:paraId="73C3B57F">
      <w:pPr>
        <w:pStyle w:val="2"/>
        <w:spacing w:before="95" w:line="277" w:lineRule="auto"/>
        <w:ind w:right="121" w:firstLine="550"/>
      </w:pPr>
      <w:r>
        <w:rPr>
          <w:spacing w:val="6"/>
        </w:rPr>
        <w:t>说明研制生产过程中质量信息管理的情况，对发现的</w:t>
      </w:r>
      <w:r>
        <w:rPr>
          <w:spacing w:val="5"/>
        </w:rPr>
        <w:t>产品质量问题应按要</w:t>
      </w:r>
      <w:r>
        <w:t xml:space="preserve"> 求实施质量问题归零，并充分利用产品在使用中的质量信息改进产品质量。</w:t>
      </w:r>
    </w:p>
    <w:p w14:paraId="785A73BB">
      <w:pPr>
        <w:spacing w:line="222" w:lineRule="auto"/>
        <w:rPr>
          <w:rFonts w:ascii="黑体" w:hAnsi="黑体" w:eastAsia="黑体" w:cs="黑体"/>
          <w:sz w:val="27"/>
          <w:szCs w:val="27"/>
        </w:rPr>
      </w:pPr>
      <w:r>
        <w:rPr>
          <w:rFonts w:ascii="黑体" w:hAnsi="黑体" w:eastAsia="黑体" w:cs="黑体"/>
          <w:spacing w:val="5"/>
          <w:sz w:val="27"/>
          <w:szCs w:val="27"/>
        </w:rPr>
        <w:t>6.6  技术状态管理</w:t>
      </w:r>
    </w:p>
    <w:p w14:paraId="5ADA6D10">
      <w:pPr>
        <w:pStyle w:val="2"/>
        <w:spacing w:before="77" w:line="278" w:lineRule="auto"/>
        <w:ind w:firstLine="550"/>
        <w:jc w:val="both"/>
      </w:pPr>
      <w:r>
        <w:rPr>
          <w:spacing w:val="4"/>
        </w:rPr>
        <w:t>说明按照</w:t>
      </w:r>
      <w:r>
        <w:rPr>
          <w:rFonts w:ascii="Times New Roman" w:hAnsi="Times New Roman" w:eastAsia="Times New Roman" w:cs="Times New Roman"/>
        </w:rPr>
        <w:t>GJB</w:t>
      </w:r>
      <w:r>
        <w:rPr>
          <w:rFonts w:ascii="Times New Roman" w:hAnsi="Times New Roman" w:eastAsia="Times New Roman" w:cs="Times New Roman"/>
          <w:spacing w:val="36"/>
        </w:rPr>
        <w:t xml:space="preserve">  </w:t>
      </w:r>
      <w:r>
        <w:rPr>
          <w:rFonts w:ascii="Times New Roman" w:hAnsi="Times New Roman" w:eastAsia="Times New Roman" w:cs="Times New Roman"/>
          <w:spacing w:val="4"/>
        </w:rPr>
        <w:t>3206A</w:t>
      </w:r>
      <w:r>
        <w:rPr>
          <w:rFonts w:ascii="Times New Roman" w:hAnsi="Times New Roman" w:eastAsia="Times New Roman" w:cs="Times New Roman"/>
          <w:spacing w:val="-20"/>
        </w:rPr>
        <w:t xml:space="preserve"> </w:t>
      </w:r>
      <w:r>
        <w:rPr>
          <w:spacing w:val="4"/>
        </w:rPr>
        <w:t>和</w:t>
      </w:r>
      <w:r>
        <w:rPr>
          <w:spacing w:val="-74"/>
        </w:rPr>
        <w:t xml:space="preserve"> </w:t>
      </w:r>
      <w:r>
        <w:rPr>
          <w:rFonts w:ascii="Times New Roman" w:hAnsi="Times New Roman" w:eastAsia="Times New Roman" w:cs="Times New Roman"/>
        </w:rPr>
        <w:t>GJB</w:t>
      </w:r>
      <w:r>
        <w:rPr>
          <w:rFonts w:ascii="Times New Roman" w:hAnsi="Times New Roman" w:eastAsia="Times New Roman" w:cs="Times New Roman"/>
          <w:spacing w:val="4"/>
        </w:rPr>
        <w:t xml:space="preserve">5709   </w:t>
      </w:r>
      <w:r>
        <w:rPr>
          <w:spacing w:val="4"/>
        </w:rPr>
        <w:t>的要求策划和实施技术状态管理活动的</w:t>
      </w:r>
      <w:r>
        <w:t xml:space="preserve"> </w:t>
      </w:r>
      <w:r>
        <w:rPr>
          <w:spacing w:val="-6"/>
        </w:rPr>
        <w:t>情况，包括确定技术状态项、开展技术状态标识、技术状态</w:t>
      </w:r>
      <w:r>
        <w:rPr>
          <w:spacing w:val="-7"/>
        </w:rPr>
        <w:t>控制、技术状态纪实、</w:t>
      </w:r>
      <w:r>
        <w:t xml:space="preserve"> </w:t>
      </w:r>
      <w:r>
        <w:rPr>
          <w:spacing w:val="2"/>
        </w:rPr>
        <w:t>技术状态审核等活动的情况。</w:t>
      </w:r>
    </w:p>
    <w:p w14:paraId="3EE39186">
      <w:pPr>
        <w:spacing w:before="6" w:line="221" w:lineRule="auto"/>
        <w:rPr>
          <w:rFonts w:ascii="黑体" w:hAnsi="黑体" w:eastAsia="黑体" w:cs="黑体"/>
          <w:sz w:val="27"/>
          <w:szCs w:val="27"/>
        </w:rPr>
      </w:pPr>
      <w:r>
        <w:rPr>
          <w:rFonts w:ascii="黑体" w:hAnsi="黑体" w:eastAsia="黑体" w:cs="黑体"/>
          <w:spacing w:val="3"/>
          <w:sz w:val="27"/>
          <w:szCs w:val="27"/>
        </w:rPr>
        <w:t>6.7  人员培训和资格考核</w:t>
      </w:r>
    </w:p>
    <w:p w14:paraId="61EAD7BA">
      <w:pPr>
        <w:pStyle w:val="2"/>
        <w:spacing w:before="90" w:line="219" w:lineRule="auto"/>
        <w:ind w:left="550"/>
      </w:pPr>
      <w:r>
        <w:rPr>
          <w:spacing w:val="-4"/>
        </w:rPr>
        <w:t>说明对参与研制、生产、试验的所有人员进行培训和</w:t>
      </w:r>
      <w:r>
        <w:rPr>
          <w:spacing w:val="-5"/>
        </w:rPr>
        <w:t>资格考核的情况。</w:t>
      </w:r>
    </w:p>
    <w:p w14:paraId="4938B3F5">
      <w:pPr>
        <w:spacing w:before="60" w:line="222" w:lineRule="auto"/>
        <w:rPr>
          <w:rFonts w:ascii="黑体" w:hAnsi="黑体" w:eastAsia="黑体" w:cs="黑体"/>
          <w:sz w:val="27"/>
          <w:szCs w:val="27"/>
        </w:rPr>
      </w:pPr>
      <w:r>
        <w:rPr>
          <w:rFonts w:ascii="黑体" w:hAnsi="黑体" w:eastAsia="黑体" w:cs="黑体"/>
          <w:spacing w:val="3"/>
          <w:sz w:val="27"/>
          <w:szCs w:val="27"/>
        </w:rPr>
        <w:t>6.8</w:t>
      </w:r>
      <w:r>
        <w:rPr>
          <w:rFonts w:ascii="黑体" w:hAnsi="黑体" w:eastAsia="黑体" w:cs="黑体"/>
          <w:spacing w:val="12"/>
          <w:sz w:val="27"/>
          <w:szCs w:val="27"/>
        </w:rPr>
        <w:t xml:space="preserve">  </w:t>
      </w:r>
      <w:r>
        <w:rPr>
          <w:rFonts w:ascii="黑体" w:hAnsi="黑体" w:eastAsia="黑体" w:cs="黑体"/>
          <w:spacing w:val="3"/>
          <w:sz w:val="27"/>
          <w:szCs w:val="27"/>
        </w:rPr>
        <w:t>顾客沟通</w:t>
      </w:r>
    </w:p>
    <w:p w14:paraId="7191C053">
      <w:pPr>
        <w:pStyle w:val="2"/>
        <w:spacing w:before="123" w:line="305" w:lineRule="auto"/>
        <w:ind w:right="126" w:firstLine="550"/>
        <w:rPr>
          <w:sz w:val="25"/>
          <w:szCs w:val="25"/>
        </w:rPr>
      </w:pPr>
      <w:r>
        <w:rPr>
          <w:spacing w:val="17"/>
          <w:sz w:val="25"/>
          <w:szCs w:val="25"/>
        </w:rPr>
        <w:t>说明研制生产过程中与顾客沟通的情况，包括沟通的主要内容，沟通后的解</w:t>
      </w:r>
      <w:r>
        <w:rPr>
          <w:spacing w:val="7"/>
          <w:sz w:val="25"/>
          <w:szCs w:val="25"/>
        </w:rPr>
        <w:t xml:space="preserve"> </w:t>
      </w:r>
      <w:r>
        <w:rPr>
          <w:spacing w:val="19"/>
          <w:sz w:val="25"/>
          <w:szCs w:val="25"/>
        </w:rPr>
        <w:t>决措施及顾客满意度情况，特别是针对顾客反馈(包括抱怨)的处理情况。</w:t>
      </w:r>
    </w:p>
    <w:p w14:paraId="0E021A3E">
      <w:pPr>
        <w:spacing w:line="305" w:lineRule="auto"/>
        <w:rPr>
          <w:sz w:val="25"/>
          <w:szCs w:val="25"/>
        </w:rPr>
        <w:sectPr>
          <w:footerReference r:id="rId327" w:type="default"/>
          <w:pgSz w:w="11910" w:h="17130"/>
          <w:pgMar w:top="1456" w:right="834" w:bottom="1506" w:left="1579" w:header="0" w:footer="1317" w:gutter="0"/>
          <w:cols w:space="720" w:num="1"/>
        </w:sectPr>
      </w:pPr>
    </w:p>
    <w:p w14:paraId="19EC93B4">
      <w:pPr>
        <w:spacing w:before="173" w:line="222" w:lineRule="auto"/>
        <w:rPr>
          <w:rFonts w:ascii="黑体" w:hAnsi="黑体" w:eastAsia="黑体" w:cs="黑体"/>
          <w:sz w:val="27"/>
          <w:szCs w:val="27"/>
        </w:rPr>
      </w:pPr>
      <w:r>
        <w:rPr>
          <w:rFonts w:ascii="黑体" w:hAnsi="黑体" w:eastAsia="黑体" w:cs="黑体"/>
          <w:spacing w:val="5"/>
          <w:sz w:val="27"/>
          <w:szCs w:val="27"/>
        </w:rPr>
        <w:t>6.9  设计过程质量控制</w:t>
      </w:r>
    </w:p>
    <w:p w14:paraId="2A420882">
      <w:pPr>
        <w:pStyle w:val="2"/>
        <w:spacing w:before="69" w:line="277" w:lineRule="auto"/>
        <w:ind w:right="144" w:firstLine="570"/>
        <w:jc w:val="both"/>
      </w:pPr>
      <w:r>
        <w:rPr>
          <w:spacing w:val="-10"/>
        </w:rPr>
        <w:t>说明设计过程的质量控制情况，包括任务分析，设计</w:t>
      </w:r>
      <w:r>
        <w:rPr>
          <w:spacing w:val="-11"/>
        </w:rPr>
        <w:t>分析，设计输入，可靠性</w:t>
      </w:r>
      <w:r>
        <w:t xml:space="preserve"> </w:t>
      </w:r>
      <w:r>
        <w:rPr>
          <w:spacing w:val="-17"/>
        </w:rPr>
        <w:t>设计，维修性设计，测试性设计，保障性设计，安全性设计，元器件、零件</w:t>
      </w:r>
      <w:r>
        <w:rPr>
          <w:spacing w:val="-18"/>
        </w:rPr>
        <w:t>和原材料</w:t>
      </w:r>
      <w:r>
        <w:t xml:space="preserve"> </w:t>
      </w:r>
      <w:r>
        <w:rPr>
          <w:spacing w:val="-17"/>
        </w:rPr>
        <w:t>的选择和使用，软件设计，人机工程设计，特性分析，设计输出，设计评审，设</w:t>
      </w:r>
      <w:r>
        <w:rPr>
          <w:spacing w:val="-18"/>
        </w:rPr>
        <w:t>计验</w:t>
      </w:r>
      <w:r>
        <w:t xml:space="preserve"> </w:t>
      </w:r>
      <w:r>
        <w:rPr>
          <w:spacing w:val="-2"/>
        </w:rPr>
        <w:t>证，设计确认/定型(鉴定),设计更改的控制等情况。</w:t>
      </w:r>
    </w:p>
    <w:p w14:paraId="23833DC3">
      <w:pPr>
        <w:spacing w:before="14" w:line="221" w:lineRule="auto"/>
        <w:rPr>
          <w:rFonts w:ascii="黑体" w:hAnsi="黑体" w:eastAsia="黑体" w:cs="黑体"/>
          <w:sz w:val="25"/>
          <w:szCs w:val="25"/>
        </w:rPr>
      </w:pPr>
      <w:r>
        <w:rPr>
          <w:rFonts w:ascii="黑体" w:hAnsi="黑体" w:eastAsia="黑体" w:cs="黑体"/>
          <w:spacing w:val="12"/>
          <w:sz w:val="25"/>
          <w:szCs w:val="25"/>
        </w:rPr>
        <w:t>6.10</w:t>
      </w:r>
      <w:r>
        <w:rPr>
          <w:rFonts w:ascii="黑体" w:hAnsi="黑体" w:eastAsia="黑体" w:cs="黑体"/>
          <w:spacing w:val="31"/>
          <w:sz w:val="25"/>
          <w:szCs w:val="25"/>
        </w:rPr>
        <w:t xml:space="preserve">  </w:t>
      </w:r>
      <w:r>
        <w:rPr>
          <w:rFonts w:ascii="黑体" w:hAnsi="黑体" w:eastAsia="黑体" w:cs="黑体"/>
          <w:spacing w:val="12"/>
          <w:sz w:val="25"/>
          <w:szCs w:val="25"/>
        </w:rPr>
        <w:t>试验控制</w:t>
      </w:r>
    </w:p>
    <w:p w14:paraId="694AFED8">
      <w:pPr>
        <w:pStyle w:val="2"/>
        <w:spacing w:before="54" w:line="280" w:lineRule="auto"/>
        <w:ind w:right="144" w:firstLine="570"/>
      </w:pPr>
      <w:r>
        <w:rPr>
          <w:spacing w:val="2"/>
        </w:rPr>
        <w:t>说明试验控制情况，特别是设计定型阶段产品试</w:t>
      </w:r>
      <w:r>
        <w:rPr>
          <w:spacing w:val="1"/>
        </w:rPr>
        <w:t>验(产品验收试验、例行试</w:t>
      </w:r>
      <w:r>
        <w:t xml:space="preserve"> </w:t>
      </w:r>
      <w:r>
        <w:rPr>
          <w:rFonts w:ascii="仿宋" w:hAnsi="仿宋" w:eastAsia="仿宋" w:cs="仿宋"/>
          <w:spacing w:val="-13"/>
        </w:rPr>
        <w:t>验</w:t>
      </w:r>
      <w:r>
        <w:rPr>
          <w:rFonts w:ascii="仿宋" w:hAnsi="仿宋" w:eastAsia="仿宋" w:cs="仿宋"/>
          <w:spacing w:val="-54"/>
        </w:rPr>
        <w:t xml:space="preserve"> </w:t>
      </w:r>
      <w:r>
        <w:rPr>
          <w:rFonts w:ascii="仿宋" w:hAnsi="仿宋" w:eastAsia="仿宋" w:cs="仿宋"/>
          <w:spacing w:val="-13"/>
        </w:rPr>
        <w:t>、</w:t>
      </w:r>
      <w:r>
        <w:rPr>
          <w:spacing w:val="-13"/>
        </w:rPr>
        <w:t>交付后的试验、鉴定试验等)的控制情况。</w:t>
      </w:r>
    </w:p>
    <w:p w14:paraId="4DFF0C96">
      <w:pPr>
        <w:spacing w:line="222" w:lineRule="auto"/>
        <w:rPr>
          <w:rFonts w:ascii="黑体" w:hAnsi="黑体" w:eastAsia="黑体" w:cs="黑体"/>
          <w:sz w:val="27"/>
          <w:szCs w:val="27"/>
        </w:rPr>
      </w:pPr>
      <w:r>
        <w:rPr>
          <w:rFonts w:ascii="黑体" w:hAnsi="黑体" w:eastAsia="黑体" w:cs="黑体"/>
          <w:spacing w:val="2"/>
          <w:sz w:val="27"/>
          <w:szCs w:val="27"/>
        </w:rPr>
        <w:t>6.11</w:t>
      </w:r>
      <w:r>
        <w:rPr>
          <w:rFonts w:ascii="黑体" w:hAnsi="黑体" w:eastAsia="黑体" w:cs="黑体"/>
          <w:spacing w:val="136"/>
          <w:sz w:val="27"/>
          <w:szCs w:val="27"/>
        </w:rPr>
        <w:t xml:space="preserve"> </w:t>
      </w:r>
      <w:r>
        <w:rPr>
          <w:rFonts w:ascii="黑体" w:hAnsi="黑体" w:eastAsia="黑体" w:cs="黑体"/>
          <w:spacing w:val="2"/>
          <w:sz w:val="27"/>
          <w:szCs w:val="27"/>
        </w:rPr>
        <w:t>采购质量控制</w:t>
      </w:r>
    </w:p>
    <w:p w14:paraId="67206BE1">
      <w:pPr>
        <w:pStyle w:val="2"/>
        <w:spacing w:before="83" w:line="300" w:lineRule="auto"/>
        <w:ind w:right="136" w:firstLine="599"/>
        <w:jc w:val="both"/>
        <w:rPr>
          <w:sz w:val="25"/>
          <w:szCs w:val="25"/>
        </w:rPr>
      </w:pPr>
      <w:r>
        <w:rPr>
          <w:spacing w:val="21"/>
          <w:sz w:val="25"/>
          <w:szCs w:val="25"/>
        </w:rPr>
        <w:t>说明采购品的控制和外包过程的控制情况，主要包</w:t>
      </w:r>
      <w:r>
        <w:rPr>
          <w:spacing w:val="20"/>
          <w:sz w:val="25"/>
          <w:szCs w:val="25"/>
        </w:rPr>
        <w:t>括：外包/外购品单位资</w:t>
      </w:r>
      <w:r>
        <w:rPr>
          <w:sz w:val="25"/>
          <w:szCs w:val="25"/>
        </w:rPr>
        <w:t xml:space="preserve"> </w:t>
      </w:r>
      <w:r>
        <w:rPr>
          <w:spacing w:val="3"/>
          <w:sz w:val="25"/>
          <w:szCs w:val="25"/>
        </w:rPr>
        <w:t>质、技术状态控制(分解、传递、文件控制)、交接验收、技术资料完整性及归档</w:t>
      </w:r>
      <w:r>
        <w:rPr>
          <w:spacing w:val="2"/>
          <w:sz w:val="25"/>
          <w:szCs w:val="25"/>
        </w:rPr>
        <w:t>、不</w:t>
      </w:r>
      <w:r>
        <w:rPr>
          <w:sz w:val="25"/>
          <w:szCs w:val="25"/>
        </w:rPr>
        <w:t xml:space="preserve"> </w:t>
      </w:r>
      <w:r>
        <w:rPr>
          <w:spacing w:val="20"/>
          <w:sz w:val="25"/>
          <w:szCs w:val="25"/>
        </w:rPr>
        <w:t>合格品的处理等。</w:t>
      </w:r>
    </w:p>
    <w:p w14:paraId="0FCC0FE0">
      <w:pPr>
        <w:spacing w:before="1" w:line="220" w:lineRule="auto"/>
        <w:rPr>
          <w:rFonts w:ascii="黑体" w:hAnsi="黑体" w:eastAsia="黑体" w:cs="黑体"/>
          <w:sz w:val="24"/>
          <w:szCs w:val="24"/>
        </w:rPr>
      </w:pPr>
      <w:r>
        <w:rPr>
          <w:rFonts w:ascii="黑体" w:hAnsi="黑体" w:eastAsia="黑体" w:cs="黑体"/>
          <w:spacing w:val="26"/>
          <w:sz w:val="24"/>
          <w:szCs w:val="24"/>
        </w:rPr>
        <w:t>6.12</w:t>
      </w:r>
      <w:r>
        <w:rPr>
          <w:rFonts w:ascii="黑体" w:hAnsi="黑体" w:eastAsia="黑体" w:cs="黑体"/>
          <w:spacing w:val="44"/>
          <w:sz w:val="24"/>
          <w:szCs w:val="24"/>
        </w:rPr>
        <w:t xml:space="preserve">  </w:t>
      </w:r>
      <w:r>
        <w:rPr>
          <w:rFonts w:ascii="黑体" w:hAnsi="黑体" w:eastAsia="黑体" w:cs="黑体"/>
          <w:spacing w:val="26"/>
          <w:sz w:val="24"/>
          <w:szCs w:val="24"/>
        </w:rPr>
        <w:t>试制和生产过程质量控制</w:t>
      </w:r>
    </w:p>
    <w:p w14:paraId="51BF5B97">
      <w:pPr>
        <w:pStyle w:val="2"/>
        <w:spacing w:before="74" w:line="273" w:lineRule="auto"/>
        <w:ind w:right="145" w:firstLine="599"/>
        <w:jc w:val="both"/>
      </w:pPr>
      <w:r>
        <w:rPr>
          <w:spacing w:val="-3"/>
        </w:rPr>
        <w:t>说明试制和生产过程质量控制情况，包括工艺</w:t>
      </w:r>
      <w:r>
        <w:rPr>
          <w:spacing w:val="-4"/>
        </w:rPr>
        <w:t>准备，元器件、零件和原材料</w:t>
      </w:r>
      <w:r>
        <w:t xml:space="preserve"> </w:t>
      </w:r>
      <w:r>
        <w:rPr>
          <w:spacing w:val="-10"/>
        </w:rPr>
        <w:t>的控制，基础设施和工作环境，关键过程控制，特殊过程控制，关键件、重要件的</w:t>
      </w:r>
      <w:r>
        <w:rPr>
          <w:spacing w:val="9"/>
        </w:rPr>
        <w:t xml:space="preserve"> </w:t>
      </w:r>
      <w:r>
        <w:rPr>
          <w:spacing w:val="-17"/>
        </w:rPr>
        <w:t>控制，试制、生产准备状态检查，首件鉴定，产品质量评审，装配质量控制，标识和</w:t>
      </w:r>
      <w:r>
        <w:rPr>
          <w:spacing w:val="8"/>
        </w:rPr>
        <w:t xml:space="preserve"> </w:t>
      </w:r>
      <w:r>
        <w:rPr>
          <w:spacing w:val="-13"/>
        </w:rPr>
        <w:t>可追溯性，顾客财产，产品防护，监视和测量(一般</w:t>
      </w:r>
      <w:r>
        <w:rPr>
          <w:spacing w:val="-14"/>
        </w:rPr>
        <w:t>要求，过程检验，验收试验和检</w:t>
      </w:r>
      <w:r>
        <w:t xml:space="preserve"> </w:t>
      </w:r>
      <w:r>
        <w:rPr>
          <w:spacing w:val="-6"/>
        </w:rPr>
        <w:t>验，例行试验(典型试验),无损检验，试验和检验记录),不合格品的控制，售后服</w:t>
      </w:r>
      <w:r>
        <w:rPr>
          <w:spacing w:val="2"/>
        </w:rPr>
        <w:t xml:space="preserve"> </w:t>
      </w:r>
      <w:r>
        <w:rPr>
          <w:spacing w:val="-1"/>
        </w:rPr>
        <w:t>务等情况。</w:t>
      </w:r>
    </w:p>
    <w:p w14:paraId="6B2D6F9A">
      <w:pPr>
        <w:spacing w:before="24" w:line="222" w:lineRule="auto"/>
        <w:rPr>
          <w:rFonts w:ascii="黑体" w:hAnsi="黑体" w:eastAsia="黑体" w:cs="黑体"/>
          <w:sz w:val="27"/>
          <w:szCs w:val="27"/>
        </w:rPr>
      </w:pPr>
      <w:r>
        <w:rPr>
          <w:rFonts w:ascii="Arial" w:hAnsi="Arial" w:eastAsia="Arial" w:cs="Arial"/>
          <w:spacing w:val="4"/>
          <w:sz w:val="27"/>
          <w:szCs w:val="27"/>
        </w:rPr>
        <w:t xml:space="preserve">7    </w:t>
      </w:r>
      <w:r>
        <w:rPr>
          <w:rFonts w:ascii="黑体" w:hAnsi="黑体" w:eastAsia="黑体" w:cs="黑体"/>
          <w:spacing w:val="4"/>
          <w:sz w:val="27"/>
          <w:szCs w:val="27"/>
        </w:rPr>
        <w:t>产品性能符合技术指标情况</w:t>
      </w:r>
    </w:p>
    <w:p w14:paraId="66707C7C">
      <w:pPr>
        <w:pStyle w:val="2"/>
        <w:spacing w:before="109" w:line="271" w:lineRule="auto"/>
        <w:ind w:right="143" w:firstLine="599"/>
        <w:jc w:val="both"/>
      </w:pPr>
      <w:r>
        <w:rPr>
          <w:spacing w:val="5"/>
        </w:rPr>
        <w:t>说明产品性能符合技术指标情况。应对照批准的研制总要求、设计定型技</w:t>
      </w:r>
      <w:r>
        <w:t xml:space="preserve"> </w:t>
      </w:r>
      <w:r>
        <w:rPr>
          <w:spacing w:val="-3"/>
        </w:rPr>
        <w:t>术状态、研制任务书，以表格形式对比说明产品的战术技术性能要求以及实际达</w:t>
      </w:r>
      <w:r>
        <w:rPr>
          <w:spacing w:val="14"/>
        </w:rPr>
        <w:t xml:space="preserve"> </w:t>
      </w:r>
      <w:r>
        <w:rPr>
          <w:spacing w:val="3"/>
        </w:rPr>
        <w:t>到的水平，实际水平应给出实测值。战术技术性能指标对照表见表5.1。</w:t>
      </w:r>
    </w:p>
    <w:p w14:paraId="092BB4BD">
      <w:pPr>
        <w:spacing w:before="34" w:line="220" w:lineRule="auto"/>
        <w:ind w:left="2740"/>
        <w:rPr>
          <w:rFonts w:ascii="仿宋" w:hAnsi="仿宋" w:eastAsia="仿宋" w:cs="仿宋"/>
          <w:sz w:val="24"/>
          <w:szCs w:val="24"/>
        </w:rPr>
      </w:pPr>
      <w:r>
        <w:rPr>
          <w:rFonts w:ascii="仿宋" w:hAnsi="仿宋" w:eastAsia="仿宋" w:cs="仿宋"/>
          <w:spacing w:val="26"/>
          <w:sz w:val="24"/>
          <w:szCs w:val="24"/>
        </w:rPr>
        <w:t>表5</w:t>
      </w:r>
      <w:r>
        <w:rPr>
          <w:rFonts w:ascii="仿宋" w:hAnsi="仿宋" w:eastAsia="仿宋" w:cs="仿宋"/>
          <w:spacing w:val="-44"/>
          <w:sz w:val="24"/>
          <w:szCs w:val="24"/>
        </w:rPr>
        <w:t xml:space="preserve"> </w:t>
      </w:r>
      <w:r>
        <w:rPr>
          <w:rFonts w:ascii="仿宋" w:hAnsi="仿宋" w:eastAsia="仿宋" w:cs="仿宋"/>
          <w:spacing w:val="26"/>
          <w:sz w:val="24"/>
          <w:szCs w:val="24"/>
        </w:rPr>
        <w:t>.</w:t>
      </w:r>
      <w:r>
        <w:rPr>
          <w:rFonts w:ascii="仿宋" w:hAnsi="仿宋" w:eastAsia="仿宋" w:cs="仿宋"/>
          <w:spacing w:val="-43"/>
          <w:sz w:val="24"/>
          <w:szCs w:val="24"/>
        </w:rPr>
        <w:t xml:space="preserve"> </w:t>
      </w:r>
      <w:r>
        <w:rPr>
          <w:rFonts w:ascii="仿宋" w:hAnsi="仿宋" w:eastAsia="仿宋" w:cs="仿宋"/>
          <w:spacing w:val="26"/>
          <w:sz w:val="24"/>
          <w:szCs w:val="24"/>
        </w:rPr>
        <w:t>1</w:t>
      </w:r>
      <w:r>
        <w:rPr>
          <w:rFonts w:ascii="仿宋" w:hAnsi="仿宋" w:eastAsia="仿宋" w:cs="仿宋"/>
          <w:spacing w:val="7"/>
          <w:sz w:val="24"/>
          <w:szCs w:val="24"/>
        </w:rPr>
        <w:t xml:space="preserve">  </w:t>
      </w:r>
      <w:r>
        <w:rPr>
          <w:rFonts w:ascii="仿宋" w:hAnsi="仿宋" w:eastAsia="仿宋" w:cs="仿宋"/>
          <w:spacing w:val="26"/>
          <w:sz w:val="24"/>
          <w:szCs w:val="24"/>
        </w:rPr>
        <w:t>战术技术性能指标对照表</w:t>
      </w:r>
    </w:p>
    <w:p w14:paraId="5CB5CA84">
      <w:pPr>
        <w:spacing w:line="93" w:lineRule="exact"/>
      </w:pPr>
    </w:p>
    <w:tbl>
      <w:tblPr>
        <w:tblStyle w:val="5"/>
        <w:tblW w:w="937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4"/>
        <w:gridCol w:w="1239"/>
        <w:gridCol w:w="1678"/>
        <w:gridCol w:w="1678"/>
        <w:gridCol w:w="1658"/>
        <w:gridCol w:w="1853"/>
      </w:tblGrid>
      <w:tr w14:paraId="076DB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01" w:hRule="atLeast"/>
        </w:trPr>
        <w:tc>
          <w:tcPr>
            <w:tcW w:w="1264" w:type="dxa"/>
            <w:vAlign w:val="top"/>
          </w:tcPr>
          <w:p w14:paraId="6FCE7ED6">
            <w:pPr>
              <w:spacing w:before="104" w:line="221" w:lineRule="auto"/>
              <w:ind w:left="385"/>
              <w:rPr>
                <w:rFonts w:ascii="宋体" w:hAnsi="宋体" w:eastAsia="宋体" w:cs="宋体"/>
                <w:sz w:val="21"/>
                <w:szCs w:val="21"/>
              </w:rPr>
            </w:pPr>
            <w:r>
              <w:rPr>
                <w:rFonts w:ascii="宋体" w:hAnsi="宋体" w:eastAsia="宋体" w:cs="宋体"/>
                <w:spacing w:val="6"/>
                <w:sz w:val="21"/>
                <w:szCs w:val="21"/>
              </w:rPr>
              <w:t>序号</w:t>
            </w:r>
          </w:p>
        </w:tc>
        <w:tc>
          <w:tcPr>
            <w:tcW w:w="1239" w:type="dxa"/>
            <w:vAlign w:val="top"/>
          </w:tcPr>
          <w:p w14:paraId="06B82535">
            <w:pPr>
              <w:spacing w:before="104" w:line="220" w:lineRule="auto"/>
              <w:ind w:left="291"/>
              <w:rPr>
                <w:rFonts w:ascii="宋体" w:hAnsi="宋体" w:eastAsia="宋体" w:cs="宋体"/>
                <w:sz w:val="21"/>
                <w:szCs w:val="21"/>
              </w:rPr>
            </w:pPr>
            <w:r>
              <w:rPr>
                <w:rFonts w:ascii="宋体" w:hAnsi="宋体" w:eastAsia="宋体" w:cs="宋体"/>
                <w:spacing w:val="-6"/>
                <w:sz w:val="21"/>
                <w:szCs w:val="21"/>
              </w:rPr>
              <w:t>项</w:t>
            </w:r>
            <w:r>
              <w:rPr>
                <w:rFonts w:ascii="宋体" w:hAnsi="宋体" w:eastAsia="宋体" w:cs="宋体"/>
                <w:spacing w:val="94"/>
                <w:sz w:val="21"/>
                <w:szCs w:val="21"/>
              </w:rPr>
              <w:t xml:space="preserve"> </w:t>
            </w:r>
            <w:r>
              <w:rPr>
                <w:rFonts w:ascii="宋体" w:hAnsi="宋体" w:eastAsia="宋体" w:cs="宋体"/>
                <w:spacing w:val="-6"/>
                <w:sz w:val="21"/>
                <w:szCs w:val="21"/>
              </w:rPr>
              <w:t>目</w:t>
            </w:r>
          </w:p>
        </w:tc>
        <w:tc>
          <w:tcPr>
            <w:tcW w:w="1678" w:type="dxa"/>
            <w:vAlign w:val="top"/>
          </w:tcPr>
          <w:p w14:paraId="7C661041">
            <w:pPr>
              <w:spacing w:before="104" w:line="220" w:lineRule="auto"/>
              <w:ind w:left="412"/>
              <w:rPr>
                <w:rFonts w:ascii="宋体" w:hAnsi="宋体" w:eastAsia="宋体" w:cs="宋体"/>
                <w:sz w:val="21"/>
                <w:szCs w:val="21"/>
              </w:rPr>
            </w:pPr>
            <w:r>
              <w:rPr>
                <w:rFonts w:ascii="宋体" w:hAnsi="宋体" w:eastAsia="宋体" w:cs="宋体"/>
                <w:spacing w:val="2"/>
                <w:sz w:val="21"/>
                <w:szCs w:val="21"/>
              </w:rPr>
              <w:t>指标要求</w:t>
            </w:r>
          </w:p>
        </w:tc>
        <w:tc>
          <w:tcPr>
            <w:tcW w:w="1678" w:type="dxa"/>
            <w:vAlign w:val="top"/>
          </w:tcPr>
          <w:p w14:paraId="5301AE2D">
            <w:pPr>
              <w:spacing w:before="104" w:line="220" w:lineRule="auto"/>
              <w:ind w:left="294"/>
              <w:rPr>
                <w:rFonts w:ascii="宋体" w:hAnsi="宋体" w:eastAsia="宋体" w:cs="宋体"/>
                <w:sz w:val="21"/>
                <w:szCs w:val="21"/>
              </w:rPr>
            </w:pPr>
            <w:r>
              <w:rPr>
                <w:rFonts w:ascii="宋体" w:hAnsi="宋体" w:eastAsia="宋体" w:cs="宋体"/>
                <w:spacing w:val="-2"/>
                <w:sz w:val="21"/>
                <w:szCs w:val="21"/>
              </w:rPr>
              <w:t>达到的情况</w:t>
            </w:r>
          </w:p>
        </w:tc>
        <w:tc>
          <w:tcPr>
            <w:tcW w:w="1658" w:type="dxa"/>
            <w:vAlign w:val="top"/>
          </w:tcPr>
          <w:p w14:paraId="22A4BBF9">
            <w:pPr>
              <w:spacing w:before="104" w:line="221" w:lineRule="auto"/>
              <w:ind w:left="506"/>
              <w:rPr>
                <w:rFonts w:ascii="宋体" w:hAnsi="宋体" w:eastAsia="宋体" w:cs="宋体"/>
                <w:sz w:val="21"/>
                <w:szCs w:val="21"/>
              </w:rPr>
            </w:pPr>
            <w:r>
              <w:rPr>
                <w:rFonts w:ascii="宋体" w:hAnsi="宋体" w:eastAsia="宋体" w:cs="宋体"/>
                <w:spacing w:val="-7"/>
                <w:sz w:val="21"/>
                <w:szCs w:val="21"/>
              </w:rPr>
              <w:t>结</w:t>
            </w:r>
            <w:r>
              <w:rPr>
                <w:rFonts w:ascii="宋体" w:hAnsi="宋体" w:eastAsia="宋体" w:cs="宋体"/>
                <w:spacing w:val="78"/>
                <w:sz w:val="21"/>
                <w:szCs w:val="21"/>
              </w:rPr>
              <w:t xml:space="preserve"> </w:t>
            </w:r>
            <w:r>
              <w:rPr>
                <w:rFonts w:ascii="宋体" w:hAnsi="宋体" w:eastAsia="宋体" w:cs="宋体"/>
                <w:spacing w:val="-7"/>
                <w:sz w:val="21"/>
                <w:szCs w:val="21"/>
              </w:rPr>
              <w:t>论</w:t>
            </w:r>
          </w:p>
        </w:tc>
        <w:tc>
          <w:tcPr>
            <w:tcW w:w="1853" w:type="dxa"/>
            <w:vAlign w:val="top"/>
          </w:tcPr>
          <w:p w14:paraId="33667BC4">
            <w:pPr>
              <w:spacing w:before="104" w:line="221" w:lineRule="auto"/>
              <w:ind w:left="718"/>
              <w:rPr>
                <w:rFonts w:ascii="宋体" w:hAnsi="宋体" w:eastAsia="宋体" w:cs="宋体"/>
                <w:sz w:val="21"/>
                <w:szCs w:val="21"/>
              </w:rPr>
            </w:pPr>
            <w:r>
              <w:rPr>
                <w:rFonts w:ascii="宋体" w:hAnsi="宋体" w:eastAsia="宋体" w:cs="宋体"/>
                <w:spacing w:val="5"/>
                <w:sz w:val="21"/>
                <w:szCs w:val="21"/>
              </w:rPr>
              <w:t>备注</w:t>
            </w:r>
          </w:p>
        </w:tc>
      </w:tr>
      <w:tr w14:paraId="30011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264" w:type="dxa"/>
            <w:vAlign w:val="top"/>
          </w:tcPr>
          <w:p w14:paraId="21DBEE6E">
            <w:pPr>
              <w:pStyle w:val="6"/>
            </w:pPr>
          </w:p>
        </w:tc>
        <w:tc>
          <w:tcPr>
            <w:tcW w:w="1239" w:type="dxa"/>
            <w:vAlign w:val="top"/>
          </w:tcPr>
          <w:p w14:paraId="6439E795">
            <w:pPr>
              <w:pStyle w:val="6"/>
            </w:pPr>
          </w:p>
        </w:tc>
        <w:tc>
          <w:tcPr>
            <w:tcW w:w="1678" w:type="dxa"/>
            <w:vAlign w:val="top"/>
          </w:tcPr>
          <w:p w14:paraId="3E93D864">
            <w:pPr>
              <w:pStyle w:val="6"/>
            </w:pPr>
          </w:p>
        </w:tc>
        <w:tc>
          <w:tcPr>
            <w:tcW w:w="1678" w:type="dxa"/>
            <w:vAlign w:val="top"/>
          </w:tcPr>
          <w:p w14:paraId="40F01D59">
            <w:pPr>
              <w:pStyle w:val="6"/>
            </w:pPr>
          </w:p>
        </w:tc>
        <w:tc>
          <w:tcPr>
            <w:tcW w:w="1658" w:type="dxa"/>
            <w:vAlign w:val="top"/>
          </w:tcPr>
          <w:p w14:paraId="3F3444E9">
            <w:pPr>
              <w:pStyle w:val="6"/>
            </w:pPr>
          </w:p>
        </w:tc>
        <w:tc>
          <w:tcPr>
            <w:tcW w:w="1853" w:type="dxa"/>
            <w:vAlign w:val="top"/>
          </w:tcPr>
          <w:p w14:paraId="2A50A134">
            <w:pPr>
              <w:pStyle w:val="6"/>
            </w:pPr>
          </w:p>
        </w:tc>
      </w:tr>
      <w:tr w14:paraId="3BD09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264" w:type="dxa"/>
            <w:vAlign w:val="top"/>
          </w:tcPr>
          <w:p w14:paraId="1650C1E1">
            <w:pPr>
              <w:pStyle w:val="6"/>
            </w:pPr>
          </w:p>
        </w:tc>
        <w:tc>
          <w:tcPr>
            <w:tcW w:w="1239" w:type="dxa"/>
            <w:vAlign w:val="top"/>
          </w:tcPr>
          <w:p w14:paraId="38900871">
            <w:pPr>
              <w:pStyle w:val="6"/>
            </w:pPr>
          </w:p>
        </w:tc>
        <w:tc>
          <w:tcPr>
            <w:tcW w:w="1678" w:type="dxa"/>
            <w:vAlign w:val="top"/>
          </w:tcPr>
          <w:p w14:paraId="0282D801">
            <w:pPr>
              <w:pStyle w:val="6"/>
            </w:pPr>
          </w:p>
        </w:tc>
        <w:tc>
          <w:tcPr>
            <w:tcW w:w="1678" w:type="dxa"/>
            <w:vAlign w:val="top"/>
          </w:tcPr>
          <w:p w14:paraId="2FBA72B5">
            <w:pPr>
              <w:pStyle w:val="6"/>
            </w:pPr>
          </w:p>
        </w:tc>
        <w:tc>
          <w:tcPr>
            <w:tcW w:w="1658" w:type="dxa"/>
            <w:vAlign w:val="top"/>
          </w:tcPr>
          <w:p w14:paraId="59CDAC0D">
            <w:pPr>
              <w:pStyle w:val="6"/>
            </w:pPr>
          </w:p>
        </w:tc>
        <w:tc>
          <w:tcPr>
            <w:tcW w:w="1853" w:type="dxa"/>
            <w:vAlign w:val="top"/>
          </w:tcPr>
          <w:p w14:paraId="0A545A0E">
            <w:pPr>
              <w:pStyle w:val="6"/>
            </w:pPr>
          </w:p>
        </w:tc>
      </w:tr>
    </w:tbl>
    <w:p w14:paraId="305BAB68">
      <w:pPr>
        <w:spacing w:before="157" w:line="222" w:lineRule="auto"/>
        <w:rPr>
          <w:rFonts w:ascii="黑体" w:hAnsi="黑体" w:eastAsia="黑体" w:cs="黑体"/>
          <w:sz w:val="27"/>
          <w:szCs w:val="27"/>
        </w:rPr>
      </w:pPr>
      <w:r>
        <w:rPr>
          <w:rFonts w:ascii="黑体" w:hAnsi="黑体" w:eastAsia="黑体" w:cs="黑体"/>
          <w:spacing w:val="1"/>
          <w:sz w:val="27"/>
          <w:szCs w:val="27"/>
        </w:rPr>
        <w:t>8</w:t>
      </w:r>
      <w:r>
        <w:rPr>
          <w:rFonts w:ascii="黑体" w:hAnsi="黑体" w:eastAsia="黑体" w:cs="黑体"/>
          <w:spacing w:val="38"/>
          <w:sz w:val="27"/>
          <w:szCs w:val="27"/>
        </w:rPr>
        <w:t xml:space="preserve">  </w:t>
      </w:r>
      <w:r>
        <w:rPr>
          <w:rFonts w:ascii="黑体" w:hAnsi="黑体" w:eastAsia="黑体" w:cs="黑体"/>
          <w:spacing w:val="1"/>
          <w:sz w:val="27"/>
          <w:szCs w:val="27"/>
        </w:rPr>
        <w:t>产品质量情况</w:t>
      </w:r>
    </w:p>
    <w:p w14:paraId="0BC6232C">
      <w:pPr>
        <w:pStyle w:val="2"/>
        <w:spacing w:before="93" w:line="275" w:lineRule="auto"/>
        <w:ind w:firstLine="599"/>
      </w:pPr>
      <w:r>
        <w:rPr>
          <w:spacing w:val="-7"/>
        </w:rPr>
        <w:t>说明投产产品的质量情况，特别是对产品可靠性、维修性、测试性、保障性、</w:t>
      </w:r>
      <w:r>
        <w:rPr>
          <w:spacing w:val="2"/>
        </w:rPr>
        <w:t xml:space="preserve"> </w:t>
      </w:r>
      <w:r>
        <w:rPr>
          <w:spacing w:val="-10"/>
        </w:rPr>
        <w:t>安全性、电磁兼容性、环境适应性、人机工程等情</w:t>
      </w:r>
      <w:r>
        <w:rPr>
          <w:spacing w:val="-11"/>
        </w:rPr>
        <w:t>况进行说明。</w:t>
      </w:r>
    </w:p>
    <w:p w14:paraId="2D5B499A">
      <w:pPr>
        <w:spacing w:before="14" w:line="221" w:lineRule="auto"/>
        <w:rPr>
          <w:rFonts w:ascii="黑体" w:hAnsi="黑体" w:eastAsia="黑体" w:cs="黑体"/>
          <w:sz w:val="24"/>
          <w:szCs w:val="24"/>
        </w:rPr>
      </w:pPr>
      <w:r>
        <w:rPr>
          <w:rFonts w:ascii="黑体" w:hAnsi="黑体" w:eastAsia="黑体" w:cs="黑体"/>
          <w:spacing w:val="30"/>
          <w:sz w:val="24"/>
          <w:szCs w:val="24"/>
        </w:rPr>
        <w:t>9</w:t>
      </w:r>
      <w:r>
        <w:rPr>
          <w:rFonts w:ascii="黑体" w:hAnsi="黑体" w:eastAsia="黑体" w:cs="黑体"/>
          <w:spacing w:val="59"/>
          <w:sz w:val="24"/>
          <w:szCs w:val="24"/>
        </w:rPr>
        <w:t xml:space="preserve">  </w:t>
      </w:r>
      <w:r>
        <w:rPr>
          <w:rFonts w:ascii="黑体" w:hAnsi="黑体" w:eastAsia="黑体" w:cs="黑体"/>
          <w:spacing w:val="30"/>
          <w:sz w:val="24"/>
          <w:szCs w:val="24"/>
        </w:rPr>
        <w:t>质量问题及归零情况</w:t>
      </w:r>
    </w:p>
    <w:p w14:paraId="6700B74B">
      <w:pPr>
        <w:spacing w:before="66" w:line="327" w:lineRule="exact"/>
        <w:rPr>
          <w:rFonts w:ascii="Arial" w:hAnsi="Arial" w:eastAsia="Arial" w:cs="Arial"/>
          <w:sz w:val="24"/>
          <w:szCs w:val="24"/>
        </w:rPr>
      </w:pPr>
      <w:r>
        <w:rPr>
          <w:rFonts w:ascii="Arial" w:hAnsi="Arial" w:eastAsia="Arial" w:cs="Arial"/>
          <w:spacing w:val="-8"/>
          <w:position w:val="3"/>
          <w:sz w:val="24"/>
          <w:szCs w:val="24"/>
        </w:rPr>
        <w:t xml:space="preserve">9.X       </w:t>
      </w:r>
      <w:r>
        <w:rPr>
          <w:rFonts w:ascii="黑体" w:hAnsi="黑体" w:eastAsia="黑体" w:cs="黑体"/>
          <w:spacing w:val="-8"/>
          <w:position w:val="3"/>
          <w:sz w:val="24"/>
          <w:szCs w:val="24"/>
        </w:rPr>
        <w:t>(</w:t>
      </w:r>
      <w:r>
        <w:rPr>
          <w:rFonts w:ascii="黑体" w:hAnsi="黑体" w:eastAsia="黑体" w:cs="黑体"/>
          <w:spacing w:val="-53"/>
          <w:position w:val="3"/>
          <w:sz w:val="24"/>
          <w:szCs w:val="24"/>
        </w:rPr>
        <w:t xml:space="preserve"> </w:t>
      </w:r>
      <w:r>
        <w:rPr>
          <w:rFonts w:ascii="黑体" w:hAnsi="黑体" w:eastAsia="黑体" w:cs="黑体"/>
          <w:spacing w:val="-8"/>
          <w:position w:val="3"/>
          <w:sz w:val="24"/>
          <w:szCs w:val="24"/>
        </w:rPr>
        <w:t>质</w:t>
      </w:r>
      <w:r>
        <w:rPr>
          <w:rFonts w:ascii="黑体" w:hAnsi="黑体" w:eastAsia="黑体" w:cs="黑体"/>
          <w:spacing w:val="-52"/>
          <w:position w:val="3"/>
          <w:sz w:val="24"/>
          <w:szCs w:val="24"/>
        </w:rPr>
        <w:t xml:space="preserve"> </w:t>
      </w:r>
      <w:r>
        <w:rPr>
          <w:rFonts w:ascii="黑体" w:hAnsi="黑体" w:eastAsia="黑体" w:cs="黑体"/>
          <w:spacing w:val="-8"/>
          <w:position w:val="3"/>
          <w:sz w:val="24"/>
          <w:szCs w:val="24"/>
        </w:rPr>
        <w:t>量</w:t>
      </w:r>
      <w:r>
        <w:rPr>
          <w:rFonts w:ascii="黑体" w:hAnsi="黑体" w:eastAsia="黑体" w:cs="黑体"/>
          <w:spacing w:val="-41"/>
          <w:position w:val="3"/>
          <w:sz w:val="24"/>
          <w:szCs w:val="24"/>
        </w:rPr>
        <w:t xml:space="preserve"> </w:t>
      </w:r>
      <w:r>
        <w:rPr>
          <w:rFonts w:ascii="黑体" w:hAnsi="黑体" w:eastAsia="黑体" w:cs="黑体"/>
          <w:spacing w:val="-8"/>
          <w:position w:val="3"/>
          <w:sz w:val="24"/>
          <w:szCs w:val="24"/>
        </w:rPr>
        <w:t>问</w:t>
      </w:r>
      <w:r>
        <w:rPr>
          <w:rFonts w:ascii="黑体" w:hAnsi="黑体" w:eastAsia="黑体" w:cs="黑体"/>
          <w:spacing w:val="-56"/>
          <w:position w:val="3"/>
          <w:sz w:val="24"/>
          <w:szCs w:val="24"/>
        </w:rPr>
        <w:t xml:space="preserve"> </w:t>
      </w:r>
      <w:r>
        <w:rPr>
          <w:rFonts w:ascii="黑体" w:hAnsi="黑体" w:eastAsia="黑体" w:cs="黑体"/>
          <w:spacing w:val="-8"/>
          <w:position w:val="3"/>
          <w:sz w:val="24"/>
          <w:szCs w:val="24"/>
        </w:rPr>
        <w:t>题</w:t>
      </w:r>
      <w:r>
        <w:rPr>
          <w:rFonts w:ascii="黑体" w:hAnsi="黑体" w:eastAsia="黑体" w:cs="黑体"/>
          <w:spacing w:val="-71"/>
          <w:position w:val="3"/>
          <w:sz w:val="24"/>
          <w:szCs w:val="24"/>
        </w:rPr>
        <w:t xml:space="preserve"> </w:t>
      </w:r>
      <w:r>
        <w:rPr>
          <w:rFonts w:ascii="Arial" w:hAnsi="Arial" w:eastAsia="Arial" w:cs="Arial"/>
          <w:spacing w:val="-8"/>
          <w:position w:val="3"/>
          <w:sz w:val="24"/>
          <w:szCs w:val="24"/>
        </w:rPr>
        <w:t>X)</w:t>
      </w:r>
    </w:p>
    <w:p w14:paraId="01AD5471">
      <w:pPr>
        <w:spacing w:before="122" w:line="222" w:lineRule="auto"/>
        <w:rPr>
          <w:rFonts w:ascii="黑体" w:hAnsi="黑体" w:eastAsia="黑体" w:cs="黑体"/>
          <w:sz w:val="24"/>
          <w:szCs w:val="24"/>
        </w:rPr>
      </w:pPr>
      <w:r>
        <w:rPr>
          <w:rFonts w:ascii="Times New Roman" w:hAnsi="Times New Roman" w:eastAsia="Times New Roman" w:cs="Times New Roman"/>
          <w:spacing w:val="9"/>
          <w:sz w:val="24"/>
          <w:szCs w:val="24"/>
        </w:rPr>
        <w:t>9.X.</w:t>
      </w:r>
      <w:r>
        <w:rPr>
          <w:rFonts w:ascii="Times New Roman" w:hAnsi="Times New Roman" w:eastAsia="Times New Roman" w:cs="Times New Roman"/>
          <w:spacing w:val="30"/>
          <w:w w:val="101"/>
          <w:sz w:val="24"/>
          <w:szCs w:val="24"/>
        </w:rPr>
        <w:t xml:space="preserve">  </w:t>
      </w:r>
      <w:r>
        <w:rPr>
          <w:rFonts w:ascii="黑体" w:hAnsi="黑体" w:eastAsia="黑体" w:cs="黑体"/>
          <w:spacing w:val="9"/>
          <w:sz w:val="24"/>
          <w:szCs w:val="24"/>
        </w:rPr>
        <w:t>1</w:t>
      </w:r>
      <w:r>
        <w:rPr>
          <w:rFonts w:ascii="黑体" w:hAnsi="黑体" w:eastAsia="黑体" w:cs="黑体"/>
          <w:spacing w:val="55"/>
          <w:sz w:val="24"/>
          <w:szCs w:val="24"/>
        </w:rPr>
        <w:t xml:space="preserve">  </w:t>
      </w:r>
      <w:r>
        <w:rPr>
          <w:rFonts w:ascii="黑体" w:hAnsi="黑体" w:eastAsia="黑体" w:cs="黑体"/>
          <w:spacing w:val="9"/>
          <w:sz w:val="24"/>
          <w:szCs w:val="24"/>
        </w:rPr>
        <w:t>问题描述</w:t>
      </w:r>
    </w:p>
    <w:p w14:paraId="4C9DB0EC">
      <w:pPr>
        <w:pStyle w:val="2"/>
        <w:spacing w:before="103" w:line="212" w:lineRule="auto"/>
        <w:ind w:right="29"/>
        <w:jc w:val="right"/>
        <w:rPr>
          <w:sz w:val="25"/>
          <w:szCs w:val="25"/>
        </w:rPr>
      </w:pPr>
      <w:r>
        <w:rPr>
          <w:spacing w:val="11"/>
          <w:sz w:val="25"/>
          <w:szCs w:val="25"/>
        </w:rPr>
        <w:t>清晰叙述(质量问题</w:t>
      </w:r>
      <w:r>
        <w:rPr>
          <w:spacing w:val="-59"/>
          <w:sz w:val="25"/>
          <w:szCs w:val="25"/>
        </w:rPr>
        <w:t xml:space="preserve"> </w:t>
      </w:r>
      <w:r>
        <w:rPr>
          <w:rFonts w:ascii="Times New Roman" w:hAnsi="Times New Roman" w:eastAsia="Times New Roman" w:cs="Times New Roman"/>
          <w:spacing w:val="11"/>
          <w:sz w:val="25"/>
          <w:szCs w:val="25"/>
        </w:rPr>
        <w:t xml:space="preserve">X) </w:t>
      </w:r>
      <w:r>
        <w:rPr>
          <w:spacing w:val="11"/>
          <w:sz w:val="25"/>
          <w:szCs w:val="25"/>
        </w:rPr>
        <w:t>的基本情况，包括质量问题发生的时间、地点、经过、</w:t>
      </w:r>
    </w:p>
    <w:p w14:paraId="691ED8B7">
      <w:pPr>
        <w:spacing w:line="212" w:lineRule="auto"/>
        <w:rPr>
          <w:sz w:val="25"/>
          <w:szCs w:val="25"/>
        </w:rPr>
        <w:sectPr>
          <w:footerReference r:id="rId328" w:type="default"/>
          <w:pgSz w:w="11910" w:h="17130"/>
          <w:pgMar w:top="1456" w:right="1204" w:bottom="1546" w:left="1160" w:header="0" w:footer="1357" w:gutter="0"/>
          <w:cols w:space="720" w:num="1"/>
        </w:sectPr>
      </w:pPr>
    </w:p>
    <w:p w14:paraId="487BD1B0">
      <w:pPr>
        <w:pStyle w:val="2"/>
        <w:spacing w:before="53" w:line="296" w:lineRule="auto"/>
        <w:ind w:right="123"/>
      </w:pPr>
      <w:r>
        <w:rPr>
          <w:spacing w:val="-10"/>
        </w:rPr>
        <w:t>现象、性质、严重程度，质量问题对产品及系统性能(质量)的影响、质量问题的技</w:t>
      </w:r>
      <w:r>
        <w:rPr>
          <w:spacing w:val="10"/>
        </w:rPr>
        <w:t xml:space="preserve"> </w:t>
      </w:r>
      <w:r>
        <w:rPr>
          <w:spacing w:val="3"/>
        </w:rPr>
        <w:t>术难度。</w:t>
      </w:r>
    </w:p>
    <w:p w14:paraId="1A592034">
      <w:pPr>
        <w:spacing w:line="222" w:lineRule="auto"/>
        <w:rPr>
          <w:rFonts w:ascii="黑体" w:hAnsi="黑体" w:eastAsia="黑体" w:cs="黑体"/>
          <w:sz w:val="24"/>
          <w:szCs w:val="24"/>
        </w:rPr>
      </w:pPr>
      <w:r>
        <w:rPr>
          <w:rFonts w:ascii="Times New Roman" w:hAnsi="Times New Roman" w:eastAsia="Times New Roman" w:cs="Times New Roman"/>
          <w:spacing w:val="12"/>
          <w:sz w:val="24"/>
          <w:szCs w:val="24"/>
        </w:rPr>
        <w:t>9.X.2</w:t>
      </w:r>
      <w:r>
        <w:rPr>
          <w:rFonts w:ascii="Times New Roman" w:hAnsi="Times New Roman" w:eastAsia="Times New Roman" w:cs="Times New Roman"/>
          <w:spacing w:val="2"/>
          <w:sz w:val="24"/>
          <w:szCs w:val="24"/>
        </w:rPr>
        <w:t xml:space="preserve">        </w:t>
      </w:r>
      <w:r>
        <w:rPr>
          <w:rFonts w:ascii="黑体" w:hAnsi="黑体" w:eastAsia="黑体" w:cs="黑体"/>
          <w:b/>
          <w:bCs/>
          <w:spacing w:val="12"/>
          <w:sz w:val="24"/>
          <w:szCs w:val="24"/>
        </w:rPr>
        <w:t>原因分析</w:t>
      </w:r>
    </w:p>
    <w:p w14:paraId="5EE21658">
      <w:pPr>
        <w:pStyle w:val="2"/>
        <w:spacing w:before="54" w:line="289" w:lineRule="auto"/>
        <w:ind w:right="114" w:firstLine="550"/>
        <w:jc w:val="both"/>
      </w:pPr>
      <w:r>
        <w:rPr>
          <w:spacing w:val="-1"/>
        </w:rPr>
        <w:t>说明对(质量问题</w:t>
      </w:r>
      <w:r>
        <w:rPr>
          <w:rFonts w:ascii="Times New Roman" w:hAnsi="Times New Roman" w:eastAsia="Times New Roman" w:cs="Times New Roman"/>
          <w:spacing w:val="-1"/>
        </w:rPr>
        <w:t xml:space="preserve">X) </w:t>
      </w:r>
      <w:r>
        <w:rPr>
          <w:spacing w:val="-1"/>
        </w:rPr>
        <w:t>的分析情况，按照逻辑或者时间顺序说明分析过</w:t>
      </w:r>
      <w:r>
        <w:rPr>
          <w:spacing w:val="-2"/>
        </w:rPr>
        <w:t>程，确</w:t>
      </w:r>
      <w:r>
        <w:t xml:space="preserve"> </w:t>
      </w:r>
      <w:r>
        <w:rPr>
          <w:spacing w:val="-3"/>
        </w:rPr>
        <w:t>定质量问题是属于产品设计或制造本身的问题，或是生产、试验条件问题，或是</w:t>
      </w:r>
      <w:r>
        <w:rPr>
          <w:spacing w:val="17"/>
        </w:rPr>
        <w:t xml:space="preserve"> </w:t>
      </w:r>
      <w:r>
        <w:rPr>
          <w:spacing w:val="-4"/>
        </w:rPr>
        <w:t>其他因素(如原材料、对外协作)造成的问题，最后给出明确的分析结果。</w:t>
      </w:r>
    </w:p>
    <w:p w14:paraId="65FE6B66">
      <w:pPr>
        <w:spacing w:line="223" w:lineRule="auto"/>
        <w:rPr>
          <w:rFonts w:ascii="黑体" w:hAnsi="黑体" w:eastAsia="黑体" w:cs="黑体"/>
          <w:sz w:val="27"/>
          <w:szCs w:val="27"/>
        </w:rPr>
      </w:pPr>
      <w:r>
        <w:rPr>
          <w:rFonts w:ascii="Times New Roman" w:hAnsi="Times New Roman" w:eastAsia="Times New Roman" w:cs="Times New Roman"/>
          <w:spacing w:val="-4"/>
          <w:sz w:val="27"/>
          <w:szCs w:val="27"/>
        </w:rPr>
        <w:t>9.X.3</w:t>
      </w:r>
      <w:r>
        <w:rPr>
          <w:rFonts w:ascii="Times New Roman" w:hAnsi="Times New Roman" w:eastAsia="Times New Roman" w:cs="Times New Roman"/>
          <w:spacing w:val="8"/>
          <w:sz w:val="27"/>
          <w:szCs w:val="27"/>
        </w:rPr>
        <w:t xml:space="preserve">      </w:t>
      </w:r>
      <w:r>
        <w:rPr>
          <w:rFonts w:ascii="黑体" w:hAnsi="黑体" w:eastAsia="黑体" w:cs="黑体"/>
          <w:b/>
          <w:bCs/>
          <w:spacing w:val="-4"/>
          <w:sz w:val="27"/>
          <w:szCs w:val="27"/>
        </w:rPr>
        <w:t>纠正措施</w:t>
      </w:r>
    </w:p>
    <w:p w14:paraId="5D56386E">
      <w:pPr>
        <w:pStyle w:val="2"/>
        <w:spacing w:before="46" w:line="286" w:lineRule="auto"/>
        <w:ind w:firstLine="550"/>
        <w:jc w:val="both"/>
      </w:pPr>
      <w:r>
        <w:rPr>
          <w:spacing w:val="12"/>
        </w:rPr>
        <w:t>说明为解决(质量问题</w:t>
      </w:r>
      <w:r>
        <w:rPr>
          <w:spacing w:val="-54"/>
        </w:rPr>
        <w:t xml:space="preserve"> </w:t>
      </w:r>
      <w:r>
        <w:rPr>
          <w:rFonts w:ascii="Times New Roman" w:hAnsi="Times New Roman" w:eastAsia="Times New Roman" w:cs="Times New Roman"/>
          <w:spacing w:val="12"/>
        </w:rPr>
        <w:t>X),</w:t>
      </w:r>
      <w:r>
        <w:rPr>
          <w:rFonts w:ascii="Times New Roman" w:hAnsi="Times New Roman" w:eastAsia="Times New Roman" w:cs="Times New Roman"/>
          <w:spacing w:val="2"/>
        </w:rPr>
        <w:t xml:space="preserve">  </w:t>
      </w:r>
      <w:r>
        <w:rPr>
          <w:spacing w:val="12"/>
        </w:rPr>
        <w:t>研制单位已采取的各种有针对性的解决措施。</w:t>
      </w:r>
      <w:r>
        <w:t xml:space="preserve"> </w:t>
      </w:r>
      <w:r>
        <w:rPr>
          <w:spacing w:val="14"/>
        </w:rPr>
        <w:t>注意纠正措施应与质量问题的原因相对应，以便</w:t>
      </w:r>
      <w:r>
        <w:rPr>
          <w:spacing w:val="13"/>
        </w:rPr>
        <w:t>阅读者更容易地理解和掌握</w:t>
      </w:r>
      <w:r>
        <w:t xml:space="preserve">  </w:t>
      </w:r>
      <w:r>
        <w:rPr>
          <w:spacing w:val="-2"/>
        </w:rPr>
        <w:t>情况。</w:t>
      </w:r>
    </w:p>
    <w:p w14:paraId="15A13F18">
      <w:pPr>
        <w:spacing w:before="1" w:line="220" w:lineRule="auto"/>
        <w:rPr>
          <w:rFonts w:ascii="黑体" w:hAnsi="黑体" w:eastAsia="黑体" w:cs="黑体"/>
          <w:sz w:val="27"/>
          <w:szCs w:val="27"/>
        </w:rPr>
      </w:pPr>
      <w:r>
        <w:rPr>
          <w:rFonts w:ascii="Times New Roman" w:hAnsi="Times New Roman" w:eastAsia="Times New Roman" w:cs="Times New Roman"/>
          <w:spacing w:val="-5"/>
          <w:sz w:val="27"/>
          <w:szCs w:val="27"/>
        </w:rPr>
        <w:t>9.X.</w:t>
      </w:r>
      <w:r>
        <w:rPr>
          <w:rFonts w:ascii="Times New Roman" w:hAnsi="Times New Roman" w:eastAsia="Times New Roman" w:cs="Times New Roman"/>
          <w:spacing w:val="65"/>
          <w:w w:val="101"/>
          <w:sz w:val="27"/>
          <w:szCs w:val="27"/>
        </w:rPr>
        <w:t xml:space="preserve"> </w:t>
      </w:r>
      <w:r>
        <w:rPr>
          <w:rFonts w:ascii="黑体" w:hAnsi="黑体" w:eastAsia="黑体" w:cs="黑体"/>
          <w:spacing w:val="-5"/>
          <w:sz w:val="27"/>
          <w:szCs w:val="27"/>
        </w:rPr>
        <w:t>4</w:t>
      </w:r>
      <w:r>
        <w:rPr>
          <w:rFonts w:ascii="黑体" w:hAnsi="黑体" w:eastAsia="黑体" w:cs="黑体"/>
          <w:spacing w:val="26"/>
          <w:sz w:val="27"/>
          <w:szCs w:val="27"/>
        </w:rPr>
        <w:t xml:space="preserve">  </w:t>
      </w:r>
      <w:r>
        <w:rPr>
          <w:rFonts w:ascii="黑体" w:hAnsi="黑体" w:eastAsia="黑体" w:cs="黑体"/>
          <w:b/>
          <w:bCs/>
          <w:spacing w:val="-5"/>
          <w:sz w:val="27"/>
          <w:szCs w:val="27"/>
        </w:rPr>
        <w:t>归零情况</w:t>
      </w:r>
    </w:p>
    <w:p w14:paraId="0D053894">
      <w:pPr>
        <w:pStyle w:val="2"/>
        <w:spacing w:before="92" w:line="276" w:lineRule="auto"/>
        <w:ind w:right="124" w:firstLine="550"/>
      </w:pPr>
      <w:r>
        <w:rPr>
          <w:spacing w:val="5"/>
        </w:rPr>
        <w:t>简要描述纠正措施验证情况和质量问题归零情况，包括验证时间、验证地</w:t>
      </w:r>
      <w:r>
        <w:rPr>
          <w:spacing w:val="9"/>
        </w:rPr>
        <w:t xml:space="preserve"> </w:t>
      </w:r>
      <w:r>
        <w:rPr>
          <w:spacing w:val="-13"/>
        </w:rPr>
        <w:t>点、试验项目、验证结果、技术归零和管理归零情况等。</w:t>
      </w:r>
    </w:p>
    <w:p w14:paraId="488F6440">
      <w:pPr>
        <w:pStyle w:val="2"/>
        <w:spacing w:before="12" w:line="294" w:lineRule="auto"/>
        <w:ind w:right="114" w:firstLine="550"/>
        <w:rPr>
          <w:sz w:val="25"/>
          <w:szCs w:val="25"/>
        </w:rPr>
      </w:pPr>
      <w:r>
        <w:rPr>
          <w:spacing w:val="17"/>
          <w:sz w:val="25"/>
          <w:szCs w:val="25"/>
        </w:rPr>
        <w:t>对于尚未完全归零的质量问题，应详细说明已开展的工作、未完全归零的原</w:t>
      </w:r>
      <w:r>
        <w:rPr>
          <w:spacing w:val="8"/>
          <w:sz w:val="25"/>
          <w:szCs w:val="25"/>
        </w:rPr>
        <w:t xml:space="preserve"> </w:t>
      </w:r>
      <w:r>
        <w:rPr>
          <w:spacing w:val="9"/>
          <w:sz w:val="25"/>
          <w:szCs w:val="25"/>
        </w:rPr>
        <w:t>因，并明确解决措施、归零时限和责任单位，提请作为遗留问题。</w:t>
      </w:r>
    </w:p>
    <w:p w14:paraId="158EA400">
      <w:pPr>
        <w:spacing w:before="1" w:line="221" w:lineRule="auto"/>
        <w:rPr>
          <w:rFonts w:ascii="黑体" w:hAnsi="黑体" w:eastAsia="黑体" w:cs="黑体"/>
          <w:sz w:val="27"/>
          <w:szCs w:val="27"/>
        </w:rPr>
      </w:pPr>
      <w:r>
        <w:rPr>
          <w:rFonts w:ascii="黑体" w:hAnsi="黑体" w:eastAsia="黑体" w:cs="黑体"/>
          <w:sz w:val="27"/>
          <w:szCs w:val="27"/>
        </w:rPr>
        <w:t>10</w:t>
      </w:r>
      <w:r>
        <w:rPr>
          <w:rFonts w:ascii="黑体" w:hAnsi="黑体" w:eastAsia="黑体" w:cs="黑体"/>
          <w:spacing w:val="19"/>
          <w:sz w:val="27"/>
          <w:szCs w:val="27"/>
        </w:rPr>
        <w:t xml:space="preserve">  </w:t>
      </w:r>
      <w:r>
        <w:rPr>
          <w:rFonts w:ascii="黑体" w:hAnsi="黑体" w:eastAsia="黑体" w:cs="黑体"/>
          <w:b/>
          <w:bCs/>
          <w:sz w:val="27"/>
          <w:szCs w:val="27"/>
        </w:rPr>
        <w:t>专项评审结论</w:t>
      </w:r>
    </w:p>
    <w:p w14:paraId="0DF1CE79">
      <w:pPr>
        <w:spacing w:before="54" w:line="212" w:lineRule="auto"/>
        <w:ind w:left="3"/>
        <w:rPr>
          <w:rFonts w:ascii="Times New Roman" w:hAnsi="Times New Roman" w:eastAsia="Times New Roman" w:cs="Times New Roman"/>
          <w:sz w:val="27"/>
          <w:szCs w:val="27"/>
        </w:rPr>
      </w:pPr>
      <w:r>
        <w:rPr>
          <w:rFonts w:ascii="黑体" w:hAnsi="黑体" w:eastAsia="黑体" w:cs="黑体"/>
          <w:b/>
          <w:bCs/>
          <w:spacing w:val="7"/>
          <w:sz w:val="27"/>
          <w:szCs w:val="27"/>
        </w:rPr>
        <w:t>10.</w:t>
      </w:r>
      <w:r>
        <w:rPr>
          <w:rFonts w:ascii="Times New Roman" w:hAnsi="Times New Roman" w:eastAsia="Times New Roman" w:cs="Times New Roman"/>
          <w:b/>
          <w:bCs/>
          <w:spacing w:val="7"/>
          <w:sz w:val="27"/>
          <w:szCs w:val="27"/>
        </w:rPr>
        <w:t>X</w:t>
      </w:r>
      <w:r>
        <w:rPr>
          <w:rFonts w:ascii="Times New Roman" w:hAnsi="Times New Roman" w:eastAsia="Times New Roman" w:cs="Times New Roman"/>
          <w:b/>
          <w:bCs/>
          <w:spacing w:val="9"/>
          <w:sz w:val="27"/>
          <w:szCs w:val="27"/>
        </w:rPr>
        <w:t xml:space="preserve">    </w:t>
      </w:r>
      <w:r>
        <w:rPr>
          <w:rFonts w:ascii="Times New Roman" w:hAnsi="Times New Roman" w:eastAsia="Times New Roman" w:cs="Times New Roman"/>
          <w:b/>
          <w:bCs/>
          <w:spacing w:val="7"/>
          <w:sz w:val="27"/>
          <w:szCs w:val="27"/>
        </w:rPr>
        <w:t>(</w:t>
      </w:r>
      <w:r>
        <w:rPr>
          <w:rFonts w:ascii="黑体" w:hAnsi="黑体" w:eastAsia="黑体" w:cs="黑体"/>
          <w:b/>
          <w:bCs/>
          <w:spacing w:val="7"/>
          <w:sz w:val="27"/>
          <w:szCs w:val="27"/>
        </w:rPr>
        <w:t>专项评审</w:t>
      </w:r>
      <w:r>
        <w:rPr>
          <w:rFonts w:ascii="Times New Roman" w:hAnsi="Times New Roman" w:eastAsia="Times New Roman" w:cs="Times New Roman"/>
          <w:b/>
          <w:bCs/>
          <w:spacing w:val="7"/>
          <w:sz w:val="27"/>
          <w:szCs w:val="27"/>
        </w:rPr>
        <w:t>X)</w:t>
      </w:r>
    </w:p>
    <w:p w14:paraId="1FC78B96">
      <w:pPr>
        <w:spacing w:before="141" w:line="222" w:lineRule="auto"/>
        <w:rPr>
          <w:rFonts w:ascii="黑体" w:hAnsi="黑体" w:eastAsia="黑体" w:cs="黑体"/>
          <w:sz w:val="25"/>
          <w:szCs w:val="25"/>
        </w:rPr>
      </w:pPr>
      <w:r>
        <w:rPr>
          <w:rFonts w:ascii="Times New Roman" w:hAnsi="Times New Roman" w:eastAsia="Times New Roman" w:cs="Times New Roman"/>
          <w:spacing w:val="3"/>
          <w:sz w:val="25"/>
          <w:szCs w:val="25"/>
        </w:rPr>
        <w:t xml:space="preserve">10.X.   </w:t>
      </w:r>
      <w:r>
        <w:rPr>
          <w:rFonts w:ascii="黑体" w:hAnsi="黑体" w:eastAsia="黑体" w:cs="黑体"/>
          <w:spacing w:val="3"/>
          <w:sz w:val="25"/>
          <w:szCs w:val="25"/>
        </w:rPr>
        <w:t>1</w:t>
      </w:r>
      <w:r>
        <w:rPr>
          <w:rFonts w:ascii="黑体" w:hAnsi="黑体" w:eastAsia="黑体" w:cs="黑体"/>
          <w:spacing w:val="53"/>
          <w:sz w:val="25"/>
          <w:szCs w:val="25"/>
        </w:rPr>
        <w:t xml:space="preserve">  </w:t>
      </w:r>
      <w:r>
        <w:rPr>
          <w:rFonts w:ascii="黑体" w:hAnsi="黑体" w:eastAsia="黑体" w:cs="黑体"/>
          <w:b/>
          <w:bCs/>
          <w:spacing w:val="3"/>
          <w:sz w:val="25"/>
          <w:szCs w:val="25"/>
        </w:rPr>
        <w:t>评审过程</w:t>
      </w:r>
    </w:p>
    <w:p w14:paraId="179D3C7D">
      <w:pPr>
        <w:pStyle w:val="2"/>
        <w:spacing w:before="65" w:line="292" w:lineRule="auto"/>
        <w:ind w:right="123" w:firstLine="550"/>
      </w:pPr>
      <w:r>
        <w:rPr>
          <w:spacing w:val="-1"/>
        </w:rPr>
        <w:t>说明(专项评审</w:t>
      </w:r>
      <w:r>
        <w:rPr>
          <w:rFonts w:ascii="Times New Roman" w:hAnsi="Times New Roman" w:eastAsia="Times New Roman" w:cs="Times New Roman"/>
          <w:spacing w:val="-1"/>
        </w:rPr>
        <w:t xml:space="preserve">X) </w:t>
      </w:r>
      <w:r>
        <w:rPr>
          <w:spacing w:val="-1"/>
        </w:rPr>
        <w:t>的评审过程，包括时间、地</w:t>
      </w:r>
      <w:r>
        <w:rPr>
          <w:spacing w:val="-2"/>
        </w:rPr>
        <w:t>点、主持单位、参加单位与人</w:t>
      </w:r>
      <w:r>
        <w:t xml:space="preserve"> </w:t>
      </w:r>
      <w:r>
        <w:rPr>
          <w:spacing w:val="-11"/>
        </w:rPr>
        <w:t>员、评审工作内容等。</w:t>
      </w:r>
    </w:p>
    <w:p w14:paraId="4372457A">
      <w:pPr>
        <w:spacing w:before="1" w:line="221" w:lineRule="auto"/>
        <w:rPr>
          <w:rFonts w:ascii="黑体" w:hAnsi="黑体" w:eastAsia="黑体" w:cs="黑体"/>
          <w:sz w:val="24"/>
          <w:szCs w:val="24"/>
        </w:rPr>
      </w:pPr>
      <w:r>
        <w:rPr>
          <w:rFonts w:ascii="Times New Roman" w:hAnsi="Times New Roman" w:eastAsia="Times New Roman" w:cs="Times New Roman"/>
          <w:spacing w:val="10"/>
          <w:sz w:val="24"/>
          <w:szCs w:val="24"/>
        </w:rPr>
        <w:t>10.X.2</w:t>
      </w:r>
      <w:r>
        <w:rPr>
          <w:rFonts w:ascii="Times New Roman" w:hAnsi="Times New Roman" w:eastAsia="Times New Roman" w:cs="Times New Roman"/>
          <w:spacing w:val="1"/>
          <w:sz w:val="24"/>
          <w:szCs w:val="24"/>
        </w:rPr>
        <w:t xml:space="preserve">         </w:t>
      </w:r>
      <w:r>
        <w:rPr>
          <w:rFonts w:ascii="黑体" w:hAnsi="黑体" w:eastAsia="黑体" w:cs="黑体"/>
          <w:b/>
          <w:bCs/>
          <w:spacing w:val="10"/>
          <w:sz w:val="24"/>
          <w:szCs w:val="24"/>
        </w:rPr>
        <w:t>评审结论</w:t>
      </w:r>
    </w:p>
    <w:p w14:paraId="5099E5F0">
      <w:pPr>
        <w:pStyle w:val="2"/>
        <w:spacing w:before="77" w:line="284" w:lineRule="auto"/>
        <w:ind w:right="103" w:firstLine="550"/>
        <w:jc w:val="both"/>
      </w:pPr>
      <w:r>
        <w:rPr>
          <w:spacing w:val="8"/>
        </w:rPr>
        <w:t>提供(专项评审</w:t>
      </w:r>
      <w:r>
        <w:rPr>
          <w:rFonts w:ascii="Times New Roman" w:hAnsi="Times New Roman" w:eastAsia="Times New Roman" w:cs="Times New Roman"/>
          <w:spacing w:val="8"/>
        </w:rPr>
        <w:t xml:space="preserve">X) </w:t>
      </w:r>
      <w:r>
        <w:rPr>
          <w:spacing w:val="8"/>
        </w:rPr>
        <w:t>的评审意见。注意必须与(专项评审</w:t>
      </w:r>
      <w:r>
        <w:rPr>
          <w:rFonts w:ascii="Times New Roman" w:hAnsi="Times New Roman" w:eastAsia="Times New Roman" w:cs="Times New Roman"/>
          <w:spacing w:val="8"/>
        </w:rPr>
        <w:t xml:space="preserve">X) </w:t>
      </w:r>
      <w:r>
        <w:rPr>
          <w:spacing w:val="8"/>
        </w:rPr>
        <w:t>评审会上</w:t>
      </w:r>
      <w:r>
        <w:rPr>
          <w:spacing w:val="7"/>
        </w:rPr>
        <w:t>形成的</w:t>
      </w:r>
      <w:r>
        <w:t xml:space="preserve"> </w:t>
      </w:r>
      <w:r>
        <w:rPr>
          <w:spacing w:val="-2"/>
        </w:rPr>
        <w:t>评审意见保持一致，不得有遗漏或故意删减，特别是评审会上与会专家指出的问</w:t>
      </w:r>
      <w:r>
        <w:t xml:space="preserve"> 题和改进建议。</w:t>
      </w:r>
    </w:p>
    <w:p w14:paraId="3C61C144">
      <w:pPr>
        <w:spacing w:before="1" w:line="222" w:lineRule="auto"/>
        <w:rPr>
          <w:rFonts w:ascii="黑体" w:hAnsi="黑体" w:eastAsia="黑体" w:cs="黑体"/>
          <w:sz w:val="27"/>
          <w:szCs w:val="27"/>
        </w:rPr>
      </w:pPr>
      <w:r>
        <w:rPr>
          <w:rFonts w:ascii="黑体" w:hAnsi="黑体" w:eastAsia="黑体" w:cs="黑体"/>
          <w:sz w:val="27"/>
          <w:szCs w:val="27"/>
        </w:rPr>
        <w:t>11</w:t>
      </w:r>
      <w:r>
        <w:rPr>
          <w:rFonts w:ascii="黑体" w:hAnsi="黑体" w:eastAsia="黑体" w:cs="黑体"/>
          <w:spacing w:val="19"/>
          <w:sz w:val="27"/>
          <w:szCs w:val="27"/>
        </w:rPr>
        <w:t xml:space="preserve">  </w:t>
      </w:r>
      <w:r>
        <w:rPr>
          <w:rFonts w:ascii="黑体" w:hAnsi="黑体" w:eastAsia="黑体" w:cs="黑体"/>
          <w:b/>
          <w:bCs/>
          <w:sz w:val="27"/>
          <w:szCs w:val="27"/>
        </w:rPr>
        <w:t>产品质量结论</w:t>
      </w:r>
    </w:p>
    <w:p w14:paraId="63C8C847">
      <w:pPr>
        <w:pStyle w:val="2"/>
        <w:spacing w:before="99" w:line="219" w:lineRule="auto"/>
        <w:ind w:left="550"/>
      </w:pPr>
      <w:r>
        <w:rPr>
          <w:spacing w:val="-4"/>
        </w:rPr>
        <w:t>对产品质量给出结论性意见，内容主要包括：</w:t>
      </w:r>
    </w:p>
    <w:p w14:paraId="5BE57E97">
      <w:pPr>
        <w:pStyle w:val="2"/>
        <w:spacing w:before="49" w:line="212" w:lineRule="auto"/>
        <w:ind w:left="550"/>
      </w:pPr>
      <w:r>
        <w:rPr>
          <w:rFonts w:ascii="Times New Roman" w:hAnsi="Times New Roman" w:eastAsia="Times New Roman" w:cs="Times New Roman"/>
          <w:spacing w:val="4"/>
        </w:rPr>
        <w:t xml:space="preserve">a)  </w:t>
      </w:r>
      <w:r>
        <w:rPr>
          <w:spacing w:val="4"/>
        </w:rPr>
        <w:t>说明研制过程是否符合军工产品研制</w:t>
      </w:r>
      <w:r>
        <w:rPr>
          <w:spacing w:val="3"/>
        </w:rPr>
        <w:t>程序；</w:t>
      </w:r>
    </w:p>
    <w:p w14:paraId="4EB7F26C">
      <w:pPr>
        <w:pStyle w:val="2"/>
        <w:spacing w:before="99" w:line="264" w:lineRule="auto"/>
        <w:ind w:right="121" w:firstLine="550"/>
      </w:pPr>
      <w:r>
        <w:rPr>
          <w:rFonts w:ascii="Times New Roman" w:hAnsi="Times New Roman" w:eastAsia="Times New Roman" w:cs="Times New Roman"/>
          <w:spacing w:val="3"/>
        </w:rPr>
        <w:t>b)</w:t>
      </w:r>
      <w:r>
        <w:rPr>
          <w:rFonts w:ascii="Times New Roman" w:hAnsi="Times New Roman" w:eastAsia="Times New Roman" w:cs="Times New Roman"/>
          <w:spacing w:val="58"/>
        </w:rPr>
        <w:t xml:space="preserve"> </w:t>
      </w:r>
      <w:r>
        <w:rPr>
          <w:spacing w:val="3"/>
        </w:rPr>
        <w:t>说明质量管理体系受控情况：研制过程是否质量受控，</w:t>
      </w:r>
      <w:r>
        <w:rPr>
          <w:spacing w:val="2"/>
        </w:rPr>
        <w:t>设计文件是否完</w:t>
      </w:r>
      <w:r>
        <w:t xml:space="preserve"> </w:t>
      </w:r>
      <w:r>
        <w:rPr>
          <w:spacing w:val="-22"/>
        </w:rPr>
        <w:t>整、准确、协调、规范，是否符合标准化要求；</w:t>
      </w:r>
    </w:p>
    <w:p w14:paraId="4BB62616">
      <w:pPr>
        <w:pStyle w:val="2"/>
        <w:spacing w:before="59" w:line="212" w:lineRule="auto"/>
        <w:ind w:left="550"/>
      </w:pPr>
      <w:r>
        <w:rPr>
          <w:rFonts w:ascii="Times New Roman" w:hAnsi="Times New Roman" w:eastAsia="Times New Roman" w:cs="Times New Roman"/>
          <w:spacing w:val="4"/>
        </w:rPr>
        <w:t xml:space="preserve">c)  </w:t>
      </w:r>
      <w:r>
        <w:rPr>
          <w:spacing w:val="4"/>
        </w:rPr>
        <w:t>说明研制过程中暴露的产品设计和质量问题是否已得到有效解决；</w:t>
      </w:r>
    </w:p>
    <w:p w14:paraId="01672779">
      <w:pPr>
        <w:pStyle w:val="2"/>
        <w:spacing w:before="79" w:line="264" w:lineRule="auto"/>
        <w:ind w:right="120" w:firstLine="550"/>
      </w:pPr>
      <w:r>
        <w:rPr>
          <w:rFonts w:ascii="Times New Roman" w:hAnsi="Times New Roman" w:eastAsia="Times New Roman" w:cs="Times New Roman"/>
          <w:spacing w:val="2"/>
        </w:rPr>
        <w:t xml:space="preserve">d)  </w:t>
      </w:r>
      <w:r>
        <w:rPr>
          <w:spacing w:val="2"/>
        </w:rPr>
        <w:t>说明产品经过各项试验试用考核，功能和性能是否满足研制总要求和部</w:t>
      </w:r>
      <w:r>
        <w:rPr>
          <w:spacing w:val="13"/>
        </w:rPr>
        <w:t xml:space="preserve"> </w:t>
      </w:r>
      <w:r>
        <w:rPr>
          <w:spacing w:val="-4"/>
        </w:rPr>
        <w:t>队使用要求；</w:t>
      </w:r>
    </w:p>
    <w:p w14:paraId="6867FE25">
      <w:pPr>
        <w:pStyle w:val="2"/>
        <w:spacing w:before="38" w:line="264" w:lineRule="auto"/>
        <w:ind w:right="115" w:firstLine="550"/>
      </w:pPr>
      <w:r>
        <w:rPr>
          <w:rFonts w:ascii="Times New Roman" w:hAnsi="Times New Roman" w:eastAsia="Times New Roman" w:cs="Times New Roman"/>
          <w:spacing w:val="-4"/>
        </w:rPr>
        <w:t>e)</w:t>
      </w:r>
      <w:r>
        <w:rPr>
          <w:rFonts w:ascii="Times New Roman" w:hAnsi="Times New Roman" w:eastAsia="Times New Roman" w:cs="Times New Roman"/>
          <w:spacing w:val="53"/>
        </w:rPr>
        <w:t xml:space="preserve"> </w:t>
      </w:r>
      <w:r>
        <w:rPr>
          <w:spacing w:val="-4"/>
        </w:rPr>
        <w:t>说明原材料、元器件、外购件及外协件是否定型</w:t>
      </w:r>
      <w:r>
        <w:rPr>
          <w:spacing w:val="-5"/>
        </w:rPr>
        <w:t>(鉴定)、定点，供货是否</w:t>
      </w:r>
      <w:r>
        <w:t xml:space="preserve"> </w:t>
      </w:r>
      <w:r>
        <w:rPr>
          <w:spacing w:val="-2"/>
        </w:rPr>
        <w:t>有可靠的保证，是否满足小批量试生产和部队使用要求；</w:t>
      </w:r>
    </w:p>
    <w:p w14:paraId="54254B7E">
      <w:pPr>
        <w:spacing w:line="264" w:lineRule="auto"/>
        <w:sectPr>
          <w:footerReference r:id="rId329" w:type="default"/>
          <w:pgSz w:w="11910" w:h="17130"/>
          <w:pgMar w:top="1426" w:right="944" w:bottom="1656" w:left="1480" w:header="0" w:footer="1467" w:gutter="0"/>
          <w:cols w:space="720" w:num="1"/>
        </w:sectPr>
      </w:pPr>
    </w:p>
    <w:p w14:paraId="62C79978">
      <w:pPr>
        <w:pStyle w:val="2"/>
        <w:spacing w:before="53" w:line="311" w:lineRule="auto"/>
        <w:ind w:right="117" w:firstLine="539"/>
      </w:pPr>
      <w:r>
        <w:rPr>
          <w:spacing w:val="-3"/>
        </w:rPr>
        <w:t>最后，明确提出是否具备设计定型(鉴定)条件，给出可否申请申请设计</w:t>
      </w:r>
      <w:r>
        <w:rPr>
          <w:spacing w:val="-4"/>
        </w:rPr>
        <w:t>定型</w:t>
      </w:r>
      <w:r>
        <w:t xml:space="preserve"> </w:t>
      </w:r>
      <w:r>
        <w:rPr>
          <w:spacing w:val="-1"/>
        </w:rPr>
        <w:t>(鉴定)的结论。</w:t>
      </w:r>
    </w:p>
    <w:p w14:paraId="5657281B">
      <w:pPr>
        <w:pStyle w:val="2"/>
        <w:spacing w:before="249" w:line="251" w:lineRule="auto"/>
        <w:ind w:left="3015" w:right="1191" w:hanging="1915"/>
        <w:rPr>
          <w:sz w:val="37"/>
          <w:szCs w:val="37"/>
        </w:rPr>
      </w:pPr>
      <w:r>
        <w:rPr>
          <w:spacing w:val="-21"/>
          <w:sz w:val="37"/>
          <w:szCs w:val="37"/>
        </w:rPr>
        <w:t xml:space="preserve">5.3  </w:t>
      </w:r>
      <w:r>
        <w:rPr>
          <w:b/>
          <w:bCs/>
          <w:spacing w:val="-21"/>
          <w:sz w:val="37"/>
          <w:szCs w:val="37"/>
        </w:rPr>
        <w:t>配套产品、原材料、元器件及检测设备的</w:t>
      </w:r>
      <w:r>
        <w:rPr>
          <w:sz w:val="37"/>
          <w:szCs w:val="37"/>
        </w:rPr>
        <w:t xml:space="preserve"> </w:t>
      </w:r>
      <w:r>
        <w:rPr>
          <w:b/>
          <w:bCs/>
          <w:spacing w:val="-6"/>
          <w:sz w:val="37"/>
          <w:szCs w:val="37"/>
        </w:rPr>
        <w:t>质量和定点供应情况</w:t>
      </w:r>
    </w:p>
    <w:p w14:paraId="24819678">
      <w:pPr>
        <w:spacing w:before="302"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6"/>
          <w:sz w:val="27"/>
          <w:szCs w:val="27"/>
        </w:rPr>
        <w:t xml:space="preserve">  </w:t>
      </w:r>
      <w:r>
        <w:rPr>
          <w:rFonts w:ascii="黑体" w:hAnsi="黑体" w:eastAsia="黑体" w:cs="黑体"/>
          <w:b/>
          <w:bCs/>
          <w:spacing w:val="-4"/>
          <w:sz w:val="27"/>
          <w:szCs w:val="27"/>
        </w:rPr>
        <w:t>范围</w:t>
      </w:r>
    </w:p>
    <w:p w14:paraId="60AB7EAF">
      <w:pPr>
        <w:pStyle w:val="2"/>
        <w:spacing w:before="95" w:line="219" w:lineRule="auto"/>
        <w:ind w:left="539"/>
      </w:pPr>
      <w:r>
        <w:rPr>
          <w:spacing w:val="3"/>
        </w:rPr>
        <w:t>说明本技术文件的主题内容和适用范围。</w:t>
      </w:r>
    </w:p>
    <w:p w14:paraId="2022D890">
      <w:pPr>
        <w:spacing w:before="95" w:line="222" w:lineRule="auto"/>
        <w:rPr>
          <w:rFonts w:ascii="黑体" w:hAnsi="黑体" w:eastAsia="黑体" w:cs="黑体"/>
          <w:sz w:val="24"/>
          <w:szCs w:val="24"/>
        </w:rPr>
      </w:pPr>
      <w:r>
        <w:rPr>
          <w:rFonts w:ascii="黑体" w:hAnsi="黑体" w:eastAsia="黑体" w:cs="黑体"/>
          <w:spacing w:val="23"/>
          <w:sz w:val="24"/>
          <w:szCs w:val="24"/>
        </w:rPr>
        <w:t>2</w:t>
      </w:r>
      <w:r>
        <w:rPr>
          <w:rFonts w:ascii="黑体" w:hAnsi="黑体" w:eastAsia="黑体" w:cs="黑体"/>
          <w:spacing w:val="20"/>
          <w:sz w:val="24"/>
          <w:szCs w:val="24"/>
        </w:rPr>
        <w:t xml:space="preserve">  </w:t>
      </w:r>
      <w:r>
        <w:rPr>
          <w:rFonts w:ascii="黑体" w:hAnsi="黑体" w:eastAsia="黑体" w:cs="黑体"/>
          <w:b/>
          <w:bCs/>
          <w:spacing w:val="23"/>
          <w:sz w:val="24"/>
          <w:szCs w:val="24"/>
        </w:rPr>
        <w:t>引用文件</w:t>
      </w:r>
    </w:p>
    <w:p w14:paraId="4A849883">
      <w:pPr>
        <w:pStyle w:val="2"/>
        <w:spacing w:before="85" w:line="219" w:lineRule="auto"/>
        <w:ind w:left="539"/>
      </w:pPr>
      <w:r>
        <w:rPr>
          <w:spacing w:val="4"/>
        </w:rPr>
        <w:t>列出编写本技术文件的依据文件以及各章中引用的所</w:t>
      </w:r>
      <w:r>
        <w:rPr>
          <w:spacing w:val="3"/>
        </w:rPr>
        <w:t>有文件。</w:t>
      </w:r>
    </w:p>
    <w:p w14:paraId="429576FA">
      <w:pPr>
        <w:spacing w:before="96" w:line="222" w:lineRule="auto"/>
        <w:outlineLvl w:val="3"/>
        <w:rPr>
          <w:rFonts w:ascii="黑体" w:hAnsi="黑体" w:eastAsia="黑体" w:cs="黑体"/>
          <w:sz w:val="27"/>
          <w:szCs w:val="27"/>
        </w:rPr>
      </w:pPr>
      <w:r>
        <w:rPr>
          <w:rFonts w:ascii="Arial" w:hAnsi="Arial" w:eastAsia="Arial" w:cs="Arial"/>
          <w:b/>
          <w:bCs/>
          <w:spacing w:val="-2"/>
          <w:sz w:val="27"/>
          <w:szCs w:val="27"/>
        </w:rPr>
        <w:t>3</w:t>
      </w:r>
      <w:r>
        <w:rPr>
          <w:rFonts w:ascii="Arial" w:hAnsi="Arial" w:eastAsia="Arial" w:cs="Arial"/>
          <w:b/>
          <w:bCs/>
          <w:spacing w:val="10"/>
          <w:sz w:val="27"/>
          <w:szCs w:val="27"/>
        </w:rPr>
        <w:t xml:space="preserve">   </w:t>
      </w:r>
      <w:r>
        <w:rPr>
          <w:rFonts w:ascii="黑体" w:hAnsi="黑体" w:eastAsia="黑体" w:cs="黑体"/>
          <w:b/>
          <w:bCs/>
          <w:spacing w:val="-2"/>
          <w:sz w:val="27"/>
          <w:szCs w:val="27"/>
        </w:rPr>
        <w:t>产品简介</w:t>
      </w:r>
    </w:p>
    <w:p w14:paraId="61E40326">
      <w:pPr>
        <w:pStyle w:val="2"/>
        <w:spacing w:before="69" w:line="219" w:lineRule="auto"/>
        <w:ind w:left="539"/>
      </w:pPr>
      <w:r>
        <w:rPr>
          <w:spacing w:val="-4"/>
        </w:rPr>
        <w:t>简要说明产品的组成、工作原理，在系统工作分解结构中的地位等情况。</w:t>
      </w:r>
    </w:p>
    <w:p w14:paraId="4299CCB2">
      <w:pPr>
        <w:spacing w:before="88" w:line="222"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30"/>
          <w:sz w:val="27"/>
          <w:szCs w:val="27"/>
        </w:rPr>
        <w:t xml:space="preserve"> </w:t>
      </w:r>
      <w:r>
        <w:rPr>
          <w:rFonts w:ascii="黑体" w:hAnsi="黑体" w:eastAsia="黑体" w:cs="黑体"/>
          <w:b/>
          <w:bCs/>
          <w:spacing w:val="1"/>
          <w:sz w:val="27"/>
          <w:szCs w:val="27"/>
        </w:rPr>
        <w:t>配套产品的质量和定点供应情况</w:t>
      </w:r>
    </w:p>
    <w:p w14:paraId="0AC3468C">
      <w:pPr>
        <w:pStyle w:val="2"/>
        <w:spacing w:before="87" w:line="299" w:lineRule="auto"/>
        <w:ind w:right="9" w:firstLine="539"/>
        <w:rPr>
          <w:sz w:val="25"/>
          <w:szCs w:val="25"/>
        </w:rPr>
      </w:pPr>
      <w:r>
        <w:rPr>
          <w:spacing w:val="28"/>
          <w:sz w:val="25"/>
          <w:szCs w:val="25"/>
        </w:rPr>
        <w:t>说明本产品所有配套产品(含软件)的质量和定点供</w:t>
      </w:r>
      <w:r>
        <w:rPr>
          <w:spacing w:val="27"/>
          <w:sz w:val="25"/>
          <w:szCs w:val="25"/>
        </w:rPr>
        <w:t>应情况。可列表说明，</w:t>
      </w:r>
      <w:r>
        <w:rPr>
          <w:sz w:val="25"/>
          <w:szCs w:val="25"/>
        </w:rPr>
        <w:t xml:space="preserve"> </w:t>
      </w:r>
      <w:r>
        <w:rPr>
          <w:spacing w:val="17"/>
          <w:sz w:val="25"/>
          <w:szCs w:val="25"/>
        </w:rPr>
        <w:t>详见表5</w:t>
      </w:r>
      <w:r>
        <w:rPr>
          <w:spacing w:val="-67"/>
          <w:sz w:val="25"/>
          <w:szCs w:val="25"/>
        </w:rPr>
        <w:t xml:space="preserve"> </w:t>
      </w:r>
      <w:r>
        <w:rPr>
          <w:spacing w:val="17"/>
          <w:sz w:val="25"/>
          <w:szCs w:val="25"/>
        </w:rPr>
        <w:t>.2。</w:t>
      </w:r>
    </w:p>
    <w:p w14:paraId="161B661B">
      <w:pPr>
        <w:spacing w:before="1" w:line="222" w:lineRule="auto"/>
        <w:ind w:left="1739"/>
        <w:rPr>
          <w:rFonts w:ascii="仿宋" w:hAnsi="仿宋" w:eastAsia="仿宋" w:cs="仿宋"/>
          <w:sz w:val="27"/>
          <w:szCs w:val="27"/>
        </w:rPr>
      </w:pPr>
      <w:r>
        <w:rPr>
          <w:rFonts w:ascii="仿宋" w:hAnsi="仿宋" w:eastAsia="仿宋" w:cs="仿宋"/>
          <w:spacing w:val="6"/>
          <w:sz w:val="27"/>
          <w:szCs w:val="27"/>
        </w:rPr>
        <w:t>表5.2  配套产品(含软件)的质量和定点供应情况</w:t>
      </w:r>
    </w:p>
    <w:p w14:paraId="4B67D865">
      <w:pPr>
        <w:spacing w:line="100" w:lineRule="exact"/>
      </w:pPr>
    </w:p>
    <w:tbl>
      <w:tblPr>
        <w:tblStyle w:val="5"/>
        <w:tblW w:w="936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1668"/>
        <w:gridCol w:w="1668"/>
        <w:gridCol w:w="1269"/>
        <w:gridCol w:w="1668"/>
        <w:gridCol w:w="2252"/>
      </w:tblGrid>
      <w:tr w14:paraId="5E7DE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844" w:type="dxa"/>
            <w:vAlign w:val="top"/>
          </w:tcPr>
          <w:p w14:paraId="54A61A3B">
            <w:pPr>
              <w:spacing w:before="104" w:line="221" w:lineRule="auto"/>
              <w:ind w:left="184"/>
              <w:rPr>
                <w:rFonts w:ascii="宋体" w:hAnsi="宋体" w:eastAsia="宋体" w:cs="宋体"/>
                <w:sz w:val="21"/>
                <w:szCs w:val="21"/>
              </w:rPr>
            </w:pPr>
            <w:r>
              <w:rPr>
                <w:rFonts w:ascii="宋体" w:hAnsi="宋体" w:eastAsia="宋体" w:cs="宋体"/>
                <w:spacing w:val="6"/>
                <w:sz w:val="21"/>
                <w:szCs w:val="21"/>
              </w:rPr>
              <w:t>序号</w:t>
            </w:r>
          </w:p>
        </w:tc>
        <w:tc>
          <w:tcPr>
            <w:tcW w:w="1668" w:type="dxa"/>
            <w:vAlign w:val="top"/>
          </w:tcPr>
          <w:p w14:paraId="372D61B4">
            <w:pPr>
              <w:spacing w:before="103" w:line="219" w:lineRule="auto"/>
              <w:ind w:left="200"/>
              <w:rPr>
                <w:rFonts w:ascii="宋体" w:hAnsi="宋体" w:eastAsia="宋体" w:cs="宋体"/>
                <w:sz w:val="21"/>
                <w:szCs w:val="21"/>
              </w:rPr>
            </w:pPr>
            <w:r>
              <w:rPr>
                <w:rFonts w:ascii="宋体" w:hAnsi="宋体" w:eastAsia="宋体" w:cs="宋体"/>
                <w:spacing w:val="-2"/>
                <w:sz w:val="21"/>
                <w:szCs w:val="21"/>
              </w:rPr>
              <w:t>配套产品名称</w:t>
            </w:r>
          </w:p>
        </w:tc>
        <w:tc>
          <w:tcPr>
            <w:tcW w:w="1668" w:type="dxa"/>
            <w:vAlign w:val="top"/>
          </w:tcPr>
          <w:p w14:paraId="7FD7CC73">
            <w:pPr>
              <w:spacing w:before="103" w:line="219" w:lineRule="auto"/>
              <w:ind w:left="182"/>
              <w:rPr>
                <w:rFonts w:ascii="宋体" w:hAnsi="宋体" w:eastAsia="宋体" w:cs="宋体"/>
                <w:sz w:val="21"/>
                <w:szCs w:val="21"/>
              </w:rPr>
            </w:pPr>
            <w:r>
              <w:rPr>
                <w:rFonts w:ascii="宋体" w:hAnsi="宋体" w:eastAsia="宋体" w:cs="宋体"/>
                <w:spacing w:val="2"/>
                <w:sz w:val="21"/>
                <w:szCs w:val="21"/>
              </w:rPr>
              <w:t>配套产品型号</w:t>
            </w:r>
          </w:p>
        </w:tc>
        <w:tc>
          <w:tcPr>
            <w:tcW w:w="1269" w:type="dxa"/>
            <w:vAlign w:val="top"/>
          </w:tcPr>
          <w:p w14:paraId="475CED81">
            <w:pPr>
              <w:spacing w:before="103" w:line="219" w:lineRule="auto"/>
              <w:ind w:left="214"/>
              <w:rPr>
                <w:rFonts w:ascii="宋体" w:hAnsi="宋体" w:eastAsia="宋体" w:cs="宋体"/>
                <w:sz w:val="21"/>
                <w:szCs w:val="21"/>
              </w:rPr>
            </w:pPr>
            <w:r>
              <w:rPr>
                <w:rFonts w:ascii="宋体" w:hAnsi="宋体" w:eastAsia="宋体" w:cs="宋体"/>
                <w:spacing w:val="-2"/>
                <w:sz w:val="21"/>
                <w:szCs w:val="21"/>
              </w:rPr>
              <w:t>配套数量</w:t>
            </w:r>
          </w:p>
        </w:tc>
        <w:tc>
          <w:tcPr>
            <w:tcW w:w="1668" w:type="dxa"/>
            <w:vAlign w:val="top"/>
          </w:tcPr>
          <w:p w14:paraId="35AB9107">
            <w:pPr>
              <w:spacing w:before="103" w:line="219" w:lineRule="auto"/>
              <w:ind w:left="185"/>
              <w:rPr>
                <w:rFonts w:ascii="宋体" w:hAnsi="宋体" w:eastAsia="宋体" w:cs="宋体"/>
                <w:sz w:val="21"/>
                <w:szCs w:val="21"/>
              </w:rPr>
            </w:pPr>
            <w:r>
              <w:rPr>
                <w:rFonts w:ascii="宋体" w:hAnsi="宋体" w:eastAsia="宋体" w:cs="宋体"/>
                <w:spacing w:val="-2"/>
                <w:sz w:val="21"/>
                <w:szCs w:val="21"/>
              </w:rPr>
              <w:t>研制生产单位</w:t>
            </w:r>
          </w:p>
        </w:tc>
        <w:tc>
          <w:tcPr>
            <w:tcW w:w="2252" w:type="dxa"/>
            <w:vAlign w:val="top"/>
          </w:tcPr>
          <w:p w14:paraId="50A5FACA">
            <w:pPr>
              <w:spacing w:before="104" w:line="220" w:lineRule="auto"/>
              <w:ind w:left="407"/>
              <w:rPr>
                <w:rFonts w:ascii="宋体" w:hAnsi="宋体" w:eastAsia="宋体" w:cs="宋体"/>
                <w:sz w:val="21"/>
                <w:szCs w:val="21"/>
              </w:rPr>
            </w:pPr>
            <w:r>
              <w:rPr>
                <w:rFonts w:ascii="宋体" w:hAnsi="宋体" w:eastAsia="宋体" w:cs="宋体"/>
                <w:spacing w:val="2"/>
                <w:sz w:val="21"/>
                <w:szCs w:val="21"/>
              </w:rPr>
              <w:t>鉴定(定型)时间</w:t>
            </w:r>
          </w:p>
        </w:tc>
      </w:tr>
      <w:tr w14:paraId="7CABD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44" w:type="dxa"/>
            <w:vAlign w:val="top"/>
          </w:tcPr>
          <w:p w14:paraId="59F98E62">
            <w:pPr>
              <w:pStyle w:val="6"/>
            </w:pPr>
          </w:p>
        </w:tc>
        <w:tc>
          <w:tcPr>
            <w:tcW w:w="1668" w:type="dxa"/>
            <w:vAlign w:val="top"/>
          </w:tcPr>
          <w:p w14:paraId="42E503FC">
            <w:pPr>
              <w:pStyle w:val="6"/>
            </w:pPr>
          </w:p>
        </w:tc>
        <w:tc>
          <w:tcPr>
            <w:tcW w:w="1668" w:type="dxa"/>
            <w:vAlign w:val="top"/>
          </w:tcPr>
          <w:p w14:paraId="6F463B52">
            <w:pPr>
              <w:pStyle w:val="6"/>
            </w:pPr>
          </w:p>
        </w:tc>
        <w:tc>
          <w:tcPr>
            <w:tcW w:w="1269" w:type="dxa"/>
            <w:vAlign w:val="top"/>
          </w:tcPr>
          <w:p w14:paraId="5608999F">
            <w:pPr>
              <w:pStyle w:val="6"/>
            </w:pPr>
          </w:p>
        </w:tc>
        <w:tc>
          <w:tcPr>
            <w:tcW w:w="1668" w:type="dxa"/>
            <w:vAlign w:val="top"/>
          </w:tcPr>
          <w:p w14:paraId="10538AA2">
            <w:pPr>
              <w:pStyle w:val="6"/>
            </w:pPr>
          </w:p>
        </w:tc>
        <w:tc>
          <w:tcPr>
            <w:tcW w:w="2252" w:type="dxa"/>
            <w:vAlign w:val="top"/>
          </w:tcPr>
          <w:p w14:paraId="7FA4EE26">
            <w:pPr>
              <w:pStyle w:val="6"/>
            </w:pPr>
          </w:p>
        </w:tc>
      </w:tr>
      <w:tr w14:paraId="2ACA9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844" w:type="dxa"/>
            <w:vAlign w:val="top"/>
          </w:tcPr>
          <w:p w14:paraId="30EEAEEC">
            <w:pPr>
              <w:pStyle w:val="6"/>
            </w:pPr>
          </w:p>
        </w:tc>
        <w:tc>
          <w:tcPr>
            <w:tcW w:w="1668" w:type="dxa"/>
            <w:vAlign w:val="top"/>
          </w:tcPr>
          <w:p w14:paraId="1E9DC9A7">
            <w:pPr>
              <w:pStyle w:val="6"/>
            </w:pPr>
          </w:p>
        </w:tc>
        <w:tc>
          <w:tcPr>
            <w:tcW w:w="1668" w:type="dxa"/>
            <w:vAlign w:val="top"/>
          </w:tcPr>
          <w:p w14:paraId="5DDA6944">
            <w:pPr>
              <w:pStyle w:val="6"/>
            </w:pPr>
          </w:p>
        </w:tc>
        <w:tc>
          <w:tcPr>
            <w:tcW w:w="1269" w:type="dxa"/>
            <w:vAlign w:val="top"/>
          </w:tcPr>
          <w:p w14:paraId="3D769717">
            <w:pPr>
              <w:pStyle w:val="6"/>
            </w:pPr>
          </w:p>
        </w:tc>
        <w:tc>
          <w:tcPr>
            <w:tcW w:w="1668" w:type="dxa"/>
            <w:vAlign w:val="top"/>
          </w:tcPr>
          <w:p w14:paraId="6FF45787">
            <w:pPr>
              <w:pStyle w:val="6"/>
            </w:pPr>
          </w:p>
        </w:tc>
        <w:tc>
          <w:tcPr>
            <w:tcW w:w="2252" w:type="dxa"/>
            <w:vAlign w:val="top"/>
          </w:tcPr>
          <w:p w14:paraId="351929AA">
            <w:pPr>
              <w:pStyle w:val="6"/>
            </w:pPr>
          </w:p>
        </w:tc>
      </w:tr>
    </w:tbl>
    <w:p w14:paraId="6022A314">
      <w:pPr>
        <w:spacing w:before="173" w:line="222" w:lineRule="auto"/>
        <w:outlineLvl w:val="3"/>
        <w:rPr>
          <w:rFonts w:ascii="黑体" w:hAnsi="黑体" w:eastAsia="黑体" w:cs="黑体"/>
          <w:sz w:val="27"/>
          <w:szCs w:val="27"/>
        </w:rPr>
      </w:pPr>
      <w:r>
        <w:rPr>
          <w:rFonts w:ascii="Arial" w:hAnsi="Arial" w:eastAsia="Arial" w:cs="Arial"/>
          <w:b/>
          <w:bCs/>
          <w:spacing w:val="-4"/>
          <w:sz w:val="27"/>
          <w:szCs w:val="27"/>
        </w:rPr>
        <w:t xml:space="preserve">5    </w:t>
      </w:r>
      <w:r>
        <w:rPr>
          <w:rFonts w:ascii="黑体" w:hAnsi="黑体" w:eastAsia="黑体" w:cs="黑体"/>
          <w:b/>
          <w:bCs/>
          <w:spacing w:val="-4"/>
          <w:sz w:val="27"/>
          <w:szCs w:val="27"/>
        </w:rPr>
        <w:t>配套原材料、元器件的质量和定点供应情况</w:t>
      </w:r>
    </w:p>
    <w:p w14:paraId="35543889">
      <w:pPr>
        <w:pStyle w:val="2"/>
        <w:spacing w:before="89" w:line="277" w:lineRule="auto"/>
        <w:ind w:firstLine="539"/>
        <w:jc w:val="both"/>
      </w:pPr>
      <w:r>
        <w:t>说明本产品的配套原材料、元器件的品种、数量及其质量和定点供应情况。</w:t>
      </w:r>
      <w:r>
        <w:rPr>
          <w:spacing w:val="13"/>
        </w:rPr>
        <w:t xml:space="preserve"> </w:t>
      </w:r>
      <w:r>
        <w:rPr>
          <w:spacing w:val="-3"/>
        </w:rPr>
        <w:t>对于总数不多的情况，可在文件正文中列表说明；对于总数较多的情况，可作为</w:t>
      </w:r>
      <w:r>
        <w:rPr>
          <w:spacing w:val="17"/>
        </w:rPr>
        <w:t xml:space="preserve"> </w:t>
      </w:r>
      <w:r>
        <w:rPr>
          <w:spacing w:val="-6"/>
        </w:rPr>
        <w:t>附录。</w:t>
      </w:r>
    </w:p>
    <w:p w14:paraId="4AFB293B">
      <w:pPr>
        <w:spacing w:line="221" w:lineRule="auto"/>
        <w:outlineLvl w:val="3"/>
        <w:rPr>
          <w:rFonts w:ascii="黑体" w:hAnsi="黑体" w:eastAsia="黑体" w:cs="黑体"/>
          <w:sz w:val="27"/>
          <w:szCs w:val="27"/>
        </w:rPr>
      </w:pPr>
      <w:r>
        <w:rPr>
          <w:rFonts w:ascii="Arial" w:hAnsi="Arial" w:eastAsia="Arial" w:cs="Arial"/>
          <w:b/>
          <w:bCs/>
          <w:spacing w:val="1"/>
          <w:sz w:val="27"/>
          <w:szCs w:val="27"/>
        </w:rPr>
        <w:t xml:space="preserve">6    </w:t>
      </w:r>
      <w:r>
        <w:rPr>
          <w:rFonts w:ascii="黑体" w:hAnsi="黑体" w:eastAsia="黑体" w:cs="黑体"/>
          <w:b/>
          <w:bCs/>
          <w:spacing w:val="1"/>
          <w:sz w:val="27"/>
          <w:szCs w:val="27"/>
        </w:rPr>
        <w:t>配套检测设备的质量和定点供应情况</w:t>
      </w:r>
    </w:p>
    <w:p w14:paraId="62E28320">
      <w:pPr>
        <w:pStyle w:val="2"/>
        <w:spacing w:before="90" w:line="283" w:lineRule="auto"/>
        <w:ind w:right="112" w:firstLine="539"/>
      </w:pPr>
      <w:r>
        <w:rPr>
          <w:spacing w:val="5"/>
        </w:rPr>
        <w:t>说明本产品的所有配套检测设备，逐项说明其质量和定点供应情况。可列</w:t>
      </w:r>
      <w:r>
        <w:rPr>
          <w:spacing w:val="11"/>
        </w:rPr>
        <w:t xml:space="preserve"> </w:t>
      </w:r>
      <w:r>
        <w:rPr>
          <w:spacing w:val="-2"/>
        </w:rPr>
        <w:t>表说明，详见表5.3。</w:t>
      </w:r>
    </w:p>
    <w:p w14:paraId="3AB00154">
      <w:pPr>
        <w:spacing w:before="18" w:line="220" w:lineRule="auto"/>
        <w:ind w:left="2029"/>
        <w:rPr>
          <w:rFonts w:ascii="仿宋" w:hAnsi="仿宋" w:eastAsia="仿宋" w:cs="仿宋"/>
          <w:sz w:val="24"/>
          <w:szCs w:val="24"/>
        </w:rPr>
      </w:pPr>
      <w:r>
        <w:rPr>
          <w:rFonts w:ascii="仿宋" w:hAnsi="仿宋" w:eastAsia="仿宋" w:cs="仿宋"/>
          <w:spacing w:val="27"/>
          <w:sz w:val="24"/>
          <w:szCs w:val="24"/>
        </w:rPr>
        <w:t>表5</w:t>
      </w:r>
      <w:r>
        <w:rPr>
          <w:rFonts w:ascii="仿宋" w:hAnsi="仿宋" w:eastAsia="仿宋" w:cs="仿宋"/>
          <w:spacing w:val="-39"/>
          <w:sz w:val="24"/>
          <w:szCs w:val="24"/>
        </w:rPr>
        <w:t xml:space="preserve"> </w:t>
      </w:r>
      <w:r>
        <w:rPr>
          <w:rFonts w:ascii="仿宋" w:hAnsi="仿宋" w:eastAsia="仿宋" w:cs="仿宋"/>
          <w:spacing w:val="27"/>
          <w:sz w:val="24"/>
          <w:szCs w:val="24"/>
        </w:rPr>
        <w:t>.</w:t>
      </w:r>
      <w:r>
        <w:rPr>
          <w:rFonts w:ascii="仿宋" w:hAnsi="仿宋" w:eastAsia="仿宋" w:cs="仿宋"/>
          <w:spacing w:val="-59"/>
          <w:sz w:val="24"/>
          <w:szCs w:val="24"/>
        </w:rPr>
        <w:t xml:space="preserve"> </w:t>
      </w:r>
      <w:r>
        <w:rPr>
          <w:rFonts w:ascii="仿宋" w:hAnsi="仿宋" w:eastAsia="仿宋" w:cs="仿宋"/>
          <w:spacing w:val="27"/>
          <w:sz w:val="24"/>
          <w:szCs w:val="24"/>
        </w:rPr>
        <w:t>3  配套检测设备的质量和定点供应情况</w:t>
      </w:r>
    </w:p>
    <w:p w14:paraId="1F2FCC91">
      <w:pPr>
        <w:spacing w:line="103" w:lineRule="exact"/>
      </w:pPr>
    </w:p>
    <w:tbl>
      <w:tblPr>
        <w:tblStyle w:val="5"/>
        <w:tblW w:w="936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4"/>
        <w:gridCol w:w="1678"/>
        <w:gridCol w:w="1678"/>
        <w:gridCol w:w="1249"/>
        <w:gridCol w:w="1678"/>
        <w:gridCol w:w="2262"/>
      </w:tblGrid>
      <w:tr w14:paraId="1BF62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824" w:type="dxa"/>
            <w:vAlign w:val="top"/>
          </w:tcPr>
          <w:p w14:paraId="67DEE44F">
            <w:pPr>
              <w:spacing w:before="104" w:line="221" w:lineRule="auto"/>
              <w:ind w:left="174"/>
              <w:rPr>
                <w:rFonts w:ascii="宋体" w:hAnsi="宋体" w:eastAsia="宋体" w:cs="宋体"/>
                <w:sz w:val="21"/>
                <w:szCs w:val="21"/>
              </w:rPr>
            </w:pPr>
            <w:r>
              <w:rPr>
                <w:rFonts w:ascii="宋体" w:hAnsi="宋体" w:eastAsia="宋体" w:cs="宋体"/>
                <w:spacing w:val="6"/>
                <w:sz w:val="21"/>
                <w:szCs w:val="21"/>
              </w:rPr>
              <w:t>序号</w:t>
            </w:r>
          </w:p>
        </w:tc>
        <w:tc>
          <w:tcPr>
            <w:tcW w:w="1678" w:type="dxa"/>
            <w:vAlign w:val="top"/>
          </w:tcPr>
          <w:p w14:paraId="613B3621">
            <w:pPr>
              <w:spacing w:before="103" w:line="219" w:lineRule="auto"/>
              <w:ind w:left="200"/>
              <w:rPr>
                <w:rFonts w:ascii="宋体" w:hAnsi="宋体" w:eastAsia="宋体" w:cs="宋体"/>
                <w:sz w:val="21"/>
                <w:szCs w:val="21"/>
              </w:rPr>
            </w:pPr>
            <w:r>
              <w:rPr>
                <w:rFonts w:ascii="宋体" w:hAnsi="宋体" w:eastAsia="宋体" w:cs="宋体"/>
                <w:spacing w:val="-2"/>
                <w:sz w:val="21"/>
                <w:szCs w:val="21"/>
              </w:rPr>
              <w:t>检测设备名称</w:t>
            </w:r>
          </w:p>
        </w:tc>
        <w:tc>
          <w:tcPr>
            <w:tcW w:w="1678" w:type="dxa"/>
            <w:vAlign w:val="top"/>
          </w:tcPr>
          <w:p w14:paraId="4FF78EB3">
            <w:pPr>
              <w:spacing w:before="103" w:line="219" w:lineRule="auto"/>
              <w:ind w:left="203"/>
              <w:rPr>
                <w:rFonts w:ascii="宋体" w:hAnsi="宋体" w:eastAsia="宋体" w:cs="宋体"/>
                <w:sz w:val="21"/>
                <w:szCs w:val="21"/>
              </w:rPr>
            </w:pPr>
            <w:r>
              <w:rPr>
                <w:rFonts w:ascii="宋体" w:hAnsi="宋体" w:eastAsia="宋体" w:cs="宋体"/>
                <w:spacing w:val="2"/>
                <w:sz w:val="21"/>
                <w:szCs w:val="21"/>
              </w:rPr>
              <w:t>检测设备型号</w:t>
            </w:r>
          </w:p>
        </w:tc>
        <w:tc>
          <w:tcPr>
            <w:tcW w:w="1249" w:type="dxa"/>
            <w:vAlign w:val="top"/>
          </w:tcPr>
          <w:p w14:paraId="50DE5197">
            <w:pPr>
              <w:spacing w:before="103" w:line="219" w:lineRule="auto"/>
              <w:ind w:left="194"/>
              <w:rPr>
                <w:rFonts w:ascii="宋体" w:hAnsi="宋体" w:eastAsia="宋体" w:cs="宋体"/>
                <w:sz w:val="21"/>
                <w:szCs w:val="21"/>
              </w:rPr>
            </w:pPr>
            <w:r>
              <w:rPr>
                <w:rFonts w:ascii="宋体" w:hAnsi="宋体" w:eastAsia="宋体" w:cs="宋体"/>
                <w:spacing w:val="-2"/>
                <w:sz w:val="21"/>
                <w:szCs w:val="21"/>
              </w:rPr>
              <w:t>使用场所</w:t>
            </w:r>
          </w:p>
        </w:tc>
        <w:tc>
          <w:tcPr>
            <w:tcW w:w="1678" w:type="dxa"/>
            <w:vAlign w:val="top"/>
          </w:tcPr>
          <w:p w14:paraId="0F6AA0E0">
            <w:pPr>
              <w:spacing w:before="103" w:line="219" w:lineRule="auto"/>
              <w:ind w:left="205"/>
              <w:rPr>
                <w:rFonts w:ascii="宋体" w:hAnsi="宋体" w:eastAsia="宋体" w:cs="宋体"/>
                <w:sz w:val="21"/>
                <w:szCs w:val="21"/>
              </w:rPr>
            </w:pPr>
            <w:r>
              <w:rPr>
                <w:rFonts w:ascii="宋体" w:hAnsi="宋体" w:eastAsia="宋体" w:cs="宋体"/>
                <w:spacing w:val="-2"/>
                <w:sz w:val="21"/>
                <w:szCs w:val="21"/>
              </w:rPr>
              <w:t>研制生产单位</w:t>
            </w:r>
          </w:p>
        </w:tc>
        <w:tc>
          <w:tcPr>
            <w:tcW w:w="2262" w:type="dxa"/>
            <w:vAlign w:val="top"/>
          </w:tcPr>
          <w:p w14:paraId="0C6557A0">
            <w:pPr>
              <w:spacing w:before="104" w:line="220" w:lineRule="auto"/>
              <w:ind w:left="407"/>
              <w:rPr>
                <w:rFonts w:ascii="宋体" w:hAnsi="宋体" w:eastAsia="宋体" w:cs="宋体"/>
                <w:sz w:val="21"/>
                <w:szCs w:val="21"/>
              </w:rPr>
            </w:pPr>
            <w:r>
              <w:rPr>
                <w:rFonts w:ascii="宋体" w:hAnsi="宋体" w:eastAsia="宋体" w:cs="宋体"/>
                <w:spacing w:val="2"/>
                <w:sz w:val="21"/>
                <w:szCs w:val="21"/>
              </w:rPr>
              <w:t>鉴定(定型)时间</w:t>
            </w:r>
          </w:p>
        </w:tc>
      </w:tr>
      <w:tr w14:paraId="029D9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824" w:type="dxa"/>
            <w:vAlign w:val="top"/>
          </w:tcPr>
          <w:p w14:paraId="2E4F9587">
            <w:pPr>
              <w:pStyle w:val="6"/>
            </w:pPr>
          </w:p>
        </w:tc>
        <w:tc>
          <w:tcPr>
            <w:tcW w:w="1678" w:type="dxa"/>
            <w:vAlign w:val="top"/>
          </w:tcPr>
          <w:p w14:paraId="776D3ACC">
            <w:pPr>
              <w:pStyle w:val="6"/>
            </w:pPr>
          </w:p>
        </w:tc>
        <w:tc>
          <w:tcPr>
            <w:tcW w:w="1678" w:type="dxa"/>
            <w:vAlign w:val="top"/>
          </w:tcPr>
          <w:p w14:paraId="57D71728">
            <w:pPr>
              <w:pStyle w:val="6"/>
            </w:pPr>
          </w:p>
        </w:tc>
        <w:tc>
          <w:tcPr>
            <w:tcW w:w="1249" w:type="dxa"/>
            <w:vAlign w:val="top"/>
          </w:tcPr>
          <w:p w14:paraId="033342F4">
            <w:pPr>
              <w:pStyle w:val="6"/>
            </w:pPr>
          </w:p>
        </w:tc>
        <w:tc>
          <w:tcPr>
            <w:tcW w:w="1678" w:type="dxa"/>
            <w:vAlign w:val="top"/>
          </w:tcPr>
          <w:p w14:paraId="33E6E84D">
            <w:pPr>
              <w:pStyle w:val="6"/>
            </w:pPr>
          </w:p>
        </w:tc>
        <w:tc>
          <w:tcPr>
            <w:tcW w:w="2262" w:type="dxa"/>
            <w:vAlign w:val="top"/>
          </w:tcPr>
          <w:p w14:paraId="7B17B0DE">
            <w:pPr>
              <w:pStyle w:val="6"/>
            </w:pPr>
          </w:p>
        </w:tc>
      </w:tr>
      <w:tr w14:paraId="7F2C6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824" w:type="dxa"/>
            <w:vAlign w:val="top"/>
          </w:tcPr>
          <w:p w14:paraId="0CAC4F3C">
            <w:pPr>
              <w:pStyle w:val="6"/>
            </w:pPr>
          </w:p>
        </w:tc>
        <w:tc>
          <w:tcPr>
            <w:tcW w:w="1678" w:type="dxa"/>
            <w:vAlign w:val="top"/>
          </w:tcPr>
          <w:p w14:paraId="5BE9108B">
            <w:pPr>
              <w:pStyle w:val="6"/>
            </w:pPr>
          </w:p>
        </w:tc>
        <w:tc>
          <w:tcPr>
            <w:tcW w:w="1678" w:type="dxa"/>
            <w:vAlign w:val="top"/>
          </w:tcPr>
          <w:p w14:paraId="2330C315">
            <w:pPr>
              <w:pStyle w:val="6"/>
            </w:pPr>
          </w:p>
        </w:tc>
        <w:tc>
          <w:tcPr>
            <w:tcW w:w="1249" w:type="dxa"/>
            <w:vAlign w:val="top"/>
          </w:tcPr>
          <w:p w14:paraId="13F59E76">
            <w:pPr>
              <w:pStyle w:val="6"/>
            </w:pPr>
          </w:p>
        </w:tc>
        <w:tc>
          <w:tcPr>
            <w:tcW w:w="1678" w:type="dxa"/>
            <w:vAlign w:val="top"/>
          </w:tcPr>
          <w:p w14:paraId="65CF14CE">
            <w:pPr>
              <w:pStyle w:val="6"/>
            </w:pPr>
          </w:p>
        </w:tc>
        <w:tc>
          <w:tcPr>
            <w:tcW w:w="2262" w:type="dxa"/>
            <w:vAlign w:val="top"/>
          </w:tcPr>
          <w:p w14:paraId="4D1C3997">
            <w:pPr>
              <w:pStyle w:val="6"/>
            </w:pPr>
          </w:p>
        </w:tc>
      </w:tr>
    </w:tbl>
    <w:p w14:paraId="7D3A96D0">
      <w:pPr>
        <w:spacing w:before="170" w:line="221" w:lineRule="auto"/>
        <w:rPr>
          <w:rFonts w:ascii="黑体" w:hAnsi="黑体" w:eastAsia="黑体" w:cs="黑体"/>
          <w:sz w:val="27"/>
          <w:szCs w:val="27"/>
        </w:rPr>
      </w:pPr>
      <w:r>
        <w:rPr>
          <w:rFonts w:ascii="黑体" w:hAnsi="黑体" w:eastAsia="黑体" w:cs="黑体"/>
          <w:spacing w:val="-6"/>
          <w:sz w:val="27"/>
          <w:szCs w:val="27"/>
        </w:rPr>
        <w:t>7</w:t>
      </w:r>
      <w:r>
        <w:rPr>
          <w:rFonts w:ascii="黑体" w:hAnsi="黑体" w:eastAsia="黑体" w:cs="黑体"/>
          <w:spacing w:val="36"/>
          <w:sz w:val="27"/>
          <w:szCs w:val="27"/>
        </w:rPr>
        <w:t xml:space="preserve">  </w:t>
      </w:r>
      <w:r>
        <w:rPr>
          <w:rFonts w:ascii="黑体" w:hAnsi="黑体" w:eastAsia="黑体" w:cs="黑体"/>
          <w:b/>
          <w:bCs/>
          <w:spacing w:val="-6"/>
          <w:sz w:val="27"/>
          <w:szCs w:val="27"/>
        </w:rPr>
        <w:t>结论性意见</w:t>
      </w:r>
    </w:p>
    <w:p w14:paraId="7AC4E0A1">
      <w:pPr>
        <w:pStyle w:val="2"/>
        <w:spacing w:before="103" w:line="275" w:lineRule="auto"/>
        <w:ind w:right="124" w:firstLine="539"/>
      </w:pPr>
      <w:r>
        <w:rPr>
          <w:spacing w:val="-3"/>
        </w:rPr>
        <w:t>通过上述统计分析，给出关于配套产品、原材料</w:t>
      </w:r>
      <w:r>
        <w:rPr>
          <w:spacing w:val="-4"/>
        </w:rPr>
        <w:t>、元器件及检测设备的质量</w:t>
      </w:r>
      <w:r>
        <w:t xml:space="preserve"> </w:t>
      </w:r>
      <w:r>
        <w:rPr>
          <w:spacing w:val="-4"/>
        </w:rPr>
        <w:t>和定点供应情况的结论性意见，通常表述为：</w:t>
      </w:r>
    </w:p>
    <w:p w14:paraId="2F789D4B">
      <w:pPr>
        <w:spacing w:line="275" w:lineRule="auto"/>
        <w:sectPr>
          <w:footerReference r:id="rId330" w:type="default"/>
          <w:pgSz w:w="11910" w:h="17130"/>
          <w:pgMar w:top="1406" w:right="1315" w:bottom="1696" w:left="1130" w:header="0" w:footer="1506" w:gutter="0"/>
          <w:cols w:space="720" w:num="1"/>
        </w:sectPr>
      </w:pPr>
    </w:p>
    <w:p w14:paraId="1F3C9F99">
      <w:pPr>
        <w:spacing w:before="118" w:line="322" w:lineRule="auto"/>
        <w:ind w:right="12" w:firstLine="560"/>
        <w:rPr>
          <w:rFonts w:ascii="仿宋" w:hAnsi="仿宋" w:eastAsia="仿宋" w:cs="仿宋"/>
          <w:sz w:val="24"/>
          <w:szCs w:val="24"/>
        </w:rPr>
      </w:pPr>
      <w:r>
        <w:rPr>
          <w:rFonts w:ascii="仿宋" w:hAnsi="仿宋" w:eastAsia="仿宋" w:cs="仿宋"/>
          <w:spacing w:val="19"/>
          <w:sz w:val="24"/>
          <w:szCs w:val="24"/>
        </w:rPr>
        <w:t>产品配套齐全，能独立考核的配套设备、部件、器件、原材料、软件已完成逐</w:t>
      </w:r>
      <w:r>
        <w:rPr>
          <w:rFonts w:ascii="仿宋" w:hAnsi="仿宋" w:eastAsia="仿宋" w:cs="仿宋"/>
          <w:sz w:val="24"/>
          <w:szCs w:val="24"/>
        </w:rPr>
        <w:t xml:space="preserve"> </w:t>
      </w:r>
      <w:r>
        <w:rPr>
          <w:rFonts w:ascii="仿宋" w:hAnsi="仿宋" w:eastAsia="仿宋" w:cs="仿宋"/>
          <w:spacing w:val="17"/>
          <w:sz w:val="24"/>
          <w:szCs w:val="24"/>
        </w:rPr>
        <w:t>级考核，质量可靠，并有稳定的供货来源。</w:t>
      </w:r>
    </w:p>
    <w:p w14:paraId="42B04A77">
      <w:pPr>
        <w:pStyle w:val="2"/>
        <w:spacing w:before="304" w:line="218" w:lineRule="auto"/>
        <w:ind w:left="3130"/>
        <w:rPr>
          <w:sz w:val="36"/>
          <w:szCs w:val="36"/>
        </w:rPr>
      </w:pPr>
      <w:r>
        <w:rPr>
          <w:sz w:val="36"/>
          <w:szCs w:val="36"/>
        </w:rPr>
        <w:t>5.4</w:t>
      </w:r>
      <w:r>
        <w:rPr>
          <w:spacing w:val="18"/>
          <w:sz w:val="36"/>
          <w:szCs w:val="36"/>
        </w:rPr>
        <w:t xml:space="preserve">  </w:t>
      </w:r>
      <w:r>
        <w:rPr>
          <w:b/>
          <w:bCs/>
          <w:sz w:val="36"/>
          <w:szCs w:val="36"/>
        </w:rPr>
        <w:t>质量管理报告</w:t>
      </w:r>
    </w:p>
    <w:p w14:paraId="390A79AA">
      <w:pPr>
        <w:spacing w:line="319" w:lineRule="auto"/>
        <w:rPr>
          <w:rFonts w:ascii="Arial"/>
          <w:sz w:val="21"/>
        </w:rPr>
      </w:pPr>
    </w:p>
    <w:p w14:paraId="2CD0E869">
      <w:pPr>
        <w:pStyle w:val="2"/>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907A—2006</w:t>
      </w:r>
      <w:r>
        <w:rPr>
          <w:spacing w:val="-11"/>
          <w:sz w:val="28"/>
          <w:szCs w:val="28"/>
        </w:rPr>
        <w:t>《</w:t>
      </w:r>
      <w:r>
        <w:rPr>
          <w:rFonts w:ascii="楷体" w:hAnsi="楷体" w:eastAsia="楷体" w:cs="楷体"/>
          <w:spacing w:val="-11"/>
          <w:sz w:val="28"/>
          <w:szCs w:val="28"/>
        </w:rPr>
        <w:t>产品质量评审》要求编写。</w:t>
      </w:r>
    </w:p>
    <w:p w14:paraId="1A409C6D">
      <w:pPr>
        <w:spacing w:before="108"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4"/>
          <w:sz w:val="25"/>
          <w:szCs w:val="25"/>
        </w:rPr>
        <w:t xml:space="preserve">  </w:t>
      </w:r>
      <w:r>
        <w:rPr>
          <w:rFonts w:ascii="黑体" w:hAnsi="黑体" w:eastAsia="黑体" w:cs="黑体"/>
          <w:spacing w:val="-13"/>
          <w:sz w:val="25"/>
          <w:szCs w:val="25"/>
        </w:rPr>
        <w:t>范</w:t>
      </w:r>
      <w:r>
        <w:rPr>
          <w:rFonts w:ascii="黑体" w:hAnsi="黑体" w:eastAsia="黑体" w:cs="黑体"/>
          <w:spacing w:val="-30"/>
          <w:sz w:val="25"/>
          <w:szCs w:val="25"/>
        </w:rPr>
        <w:t xml:space="preserve"> </w:t>
      </w:r>
      <w:r>
        <w:rPr>
          <w:rFonts w:ascii="黑体" w:hAnsi="黑体" w:eastAsia="黑体" w:cs="黑体"/>
          <w:spacing w:val="-13"/>
          <w:sz w:val="25"/>
          <w:szCs w:val="25"/>
        </w:rPr>
        <w:t>围</w:t>
      </w:r>
    </w:p>
    <w:p w14:paraId="4F8ED2E4">
      <w:pPr>
        <w:pStyle w:val="2"/>
        <w:spacing w:before="86" w:line="218" w:lineRule="auto"/>
        <w:ind w:left="560"/>
      </w:pPr>
      <w:r>
        <w:rPr>
          <w:spacing w:val="3"/>
        </w:rPr>
        <w:t>说明质量管理报告的主题内容和适用范围。</w:t>
      </w:r>
    </w:p>
    <w:p w14:paraId="5FEAB6A9">
      <w:pPr>
        <w:spacing w:before="101" w:line="222" w:lineRule="auto"/>
        <w:rPr>
          <w:rFonts w:ascii="黑体" w:hAnsi="黑体" w:eastAsia="黑体" w:cs="黑体"/>
          <w:sz w:val="27"/>
          <w:szCs w:val="27"/>
        </w:rPr>
      </w:pPr>
      <w:r>
        <w:rPr>
          <w:rFonts w:ascii="Arial" w:hAnsi="Arial" w:eastAsia="Arial" w:cs="Arial"/>
          <w:sz w:val="27"/>
          <w:szCs w:val="27"/>
        </w:rPr>
        <w:t>2</w:t>
      </w:r>
      <w:r>
        <w:rPr>
          <w:rFonts w:ascii="Arial" w:hAnsi="Arial" w:eastAsia="Arial" w:cs="Arial"/>
          <w:spacing w:val="18"/>
          <w:w w:val="101"/>
          <w:sz w:val="27"/>
          <w:szCs w:val="27"/>
        </w:rPr>
        <w:t xml:space="preserve">   </w:t>
      </w:r>
      <w:r>
        <w:rPr>
          <w:rFonts w:ascii="黑体" w:hAnsi="黑体" w:eastAsia="黑体" w:cs="黑体"/>
          <w:sz w:val="27"/>
          <w:szCs w:val="27"/>
        </w:rPr>
        <w:t>引用文件</w:t>
      </w:r>
    </w:p>
    <w:p w14:paraId="23FB909E">
      <w:pPr>
        <w:pStyle w:val="2"/>
        <w:spacing w:before="95" w:line="218" w:lineRule="auto"/>
        <w:ind w:left="560"/>
      </w:pPr>
      <w:r>
        <w:rPr>
          <w:spacing w:val="4"/>
        </w:rPr>
        <w:t>列出编制质量管理报告的依据文件以及各章中引用的所有文件。</w:t>
      </w:r>
    </w:p>
    <w:p w14:paraId="7627BE4A">
      <w:pPr>
        <w:spacing w:before="68" w:line="327" w:lineRule="exact"/>
        <w:rPr>
          <w:rFonts w:ascii="黑体" w:hAnsi="黑体" w:eastAsia="黑体" w:cs="黑体"/>
          <w:sz w:val="24"/>
          <w:szCs w:val="24"/>
        </w:rPr>
      </w:pPr>
      <w:r>
        <w:rPr>
          <w:rFonts w:ascii="Arial" w:hAnsi="Arial" w:eastAsia="Arial" w:cs="Arial"/>
          <w:spacing w:val="29"/>
          <w:position w:val="1"/>
          <w:sz w:val="24"/>
          <w:szCs w:val="24"/>
        </w:rPr>
        <w:t>3</w:t>
      </w:r>
      <w:r>
        <w:rPr>
          <w:rFonts w:ascii="Arial" w:hAnsi="Arial" w:eastAsia="Arial" w:cs="Arial"/>
          <w:spacing w:val="7"/>
          <w:position w:val="1"/>
          <w:sz w:val="24"/>
          <w:szCs w:val="24"/>
        </w:rPr>
        <w:t xml:space="preserve">    </w:t>
      </w:r>
      <w:r>
        <w:rPr>
          <w:rFonts w:ascii="黑体" w:hAnsi="黑体" w:eastAsia="黑体" w:cs="黑体"/>
          <w:spacing w:val="29"/>
          <w:position w:val="1"/>
          <w:sz w:val="24"/>
          <w:szCs w:val="24"/>
        </w:rPr>
        <w:t>产品生产过程简介</w:t>
      </w:r>
    </w:p>
    <w:p w14:paraId="4668DC6C">
      <w:pPr>
        <w:pStyle w:val="2"/>
        <w:spacing w:before="119" w:line="269" w:lineRule="auto"/>
        <w:ind w:right="16" w:firstLine="560"/>
      </w:pPr>
      <w:r>
        <w:rPr>
          <w:spacing w:val="-3"/>
        </w:rPr>
        <w:t>概要介绍产品生产过程，包括生产批次、生产批量、时</w:t>
      </w:r>
      <w:r>
        <w:rPr>
          <w:spacing w:val="-4"/>
        </w:rPr>
        <w:t>间节点和生产过程有</w:t>
      </w:r>
      <w:r>
        <w:t xml:space="preserve"> </w:t>
      </w:r>
      <w:r>
        <w:rPr>
          <w:spacing w:val="-8"/>
        </w:rPr>
        <w:t>关生产准备、生产、生产质量评审等主要工作。</w:t>
      </w:r>
    </w:p>
    <w:p w14:paraId="08087DDB">
      <w:pPr>
        <w:spacing w:before="18" w:line="219" w:lineRule="auto"/>
        <w:rPr>
          <w:rFonts w:ascii="黑体" w:hAnsi="黑体" w:eastAsia="黑体" w:cs="黑体"/>
          <w:sz w:val="24"/>
          <w:szCs w:val="24"/>
        </w:rPr>
      </w:pPr>
      <w:r>
        <w:rPr>
          <w:rFonts w:ascii="黑体" w:hAnsi="黑体" w:eastAsia="黑体" w:cs="黑体"/>
          <w:spacing w:val="31"/>
          <w:sz w:val="24"/>
          <w:szCs w:val="24"/>
        </w:rPr>
        <w:t>4</w:t>
      </w:r>
      <w:r>
        <w:rPr>
          <w:rFonts w:ascii="黑体" w:hAnsi="黑体" w:eastAsia="黑体" w:cs="黑体"/>
          <w:spacing w:val="33"/>
          <w:sz w:val="24"/>
          <w:szCs w:val="24"/>
        </w:rPr>
        <w:t xml:space="preserve">  </w:t>
      </w:r>
      <w:r>
        <w:rPr>
          <w:rFonts w:ascii="黑体" w:hAnsi="黑体" w:eastAsia="黑体" w:cs="黑体"/>
          <w:spacing w:val="31"/>
          <w:sz w:val="24"/>
          <w:szCs w:val="24"/>
        </w:rPr>
        <w:t>质量保证大纲执行情况</w:t>
      </w:r>
    </w:p>
    <w:p w14:paraId="5D87411A">
      <w:pPr>
        <w:pStyle w:val="2"/>
        <w:spacing w:before="88" w:line="281" w:lineRule="auto"/>
        <w:ind w:firstLine="560"/>
        <w:jc w:val="both"/>
      </w:pPr>
      <w:r>
        <w:rPr>
          <w:spacing w:val="-3"/>
        </w:rPr>
        <w:t>说明研制生产过程中质量保证大纲执行情况，应对照编制并通过评审的《质</w:t>
      </w:r>
      <w:r>
        <w:rPr>
          <w:spacing w:val="8"/>
        </w:rPr>
        <w:t xml:space="preserve"> </w:t>
      </w:r>
      <w:r>
        <w:rPr>
          <w:spacing w:val="-6"/>
        </w:rPr>
        <w:t>量保证大纲》,逐项说明实际执行情况，具体内容可按照下述章节编写，编写说明</w:t>
      </w:r>
      <w:r>
        <w:rPr>
          <w:spacing w:val="8"/>
        </w:rPr>
        <w:t xml:space="preserve"> </w:t>
      </w:r>
      <w:r>
        <w:t>参见本书5.2《质量分析报告》第6章。</w:t>
      </w:r>
    </w:p>
    <w:p w14:paraId="6A3C7F71">
      <w:pPr>
        <w:pStyle w:val="2"/>
        <w:spacing w:before="38" w:line="219" w:lineRule="auto"/>
        <w:ind w:left="560"/>
        <w:rPr>
          <w:sz w:val="24"/>
          <w:szCs w:val="24"/>
        </w:rPr>
      </w:pPr>
      <w:r>
        <w:rPr>
          <w:rFonts w:ascii="Times New Roman" w:hAnsi="Times New Roman" w:eastAsia="Times New Roman" w:cs="Times New Roman"/>
          <w:spacing w:val="26"/>
          <w:sz w:val="24"/>
          <w:szCs w:val="24"/>
        </w:rPr>
        <w:t>4.1</w:t>
      </w:r>
      <w:r>
        <w:rPr>
          <w:rFonts w:ascii="Times New Roman" w:hAnsi="Times New Roman" w:eastAsia="Times New Roman" w:cs="Times New Roman"/>
          <w:spacing w:val="4"/>
          <w:sz w:val="24"/>
          <w:szCs w:val="24"/>
        </w:rPr>
        <w:t xml:space="preserve">    </w:t>
      </w:r>
      <w:r>
        <w:rPr>
          <w:spacing w:val="26"/>
          <w:sz w:val="24"/>
          <w:szCs w:val="24"/>
        </w:rPr>
        <w:t>质量保证大纲的编制</w:t>
      </w:r>
    </w:p>
    <w:p w14:paraId="42B2B549">
      <w:pPr>
        <w:pStyle w:val="2"/>
        <w:spacing w:before="98" w:line="220" w:lineRule="auto"/>
        <w:ind w:left="560"/>
      </w:pPr>
      <w:r>
        <w:rPr>
          <w:rFonts w:ascii="Times New Roman" w:hAnsi="Times New Roman" w:eastAsia="Times New Roman" w:cs="Times New Roman"/>
          <w:spacing w:val="4"/>
        </w:rPr>
        <w:t xml:space="preserve">4.2   </w:t>
      </w:r>
      <w:r>
        <w:rPr>
          <w:spacing w:val="4"/>
        </w:rPr>
        <w:t>质量工作原则与质量目标</w:t>
      </w:r>
    </w:p>
    <w:p w14:paraId="20951608">
      <w:pPr>
        <w:pStyle w:val="2"/>
        <w:spacing w:before="77" w:line="219" w:lineRule="auto"/>
        <w:ind w:left="560"/>
      </w:pPr>
      <w:r>
        <w:rPr>
          <w:spacing w:val="26"/>
        </w:rPr>
        <w:t>4.3管理职责</w:t>
      </w:r>
    </w:p>
    <w:p w14:paraId="3C644316">
      <w:pPr>
        <w:pStyle w:val="2"/>
        <w:spacing w:before="90" w:line="219" w:lineRule="auto"/>
        <w:ind w:left="560"/>
      </w:pPr>
      <w:r>
        <w:rPr>
          <w:spacing w:val="17"/>
        </w:rPr>
        <w:t>4.4文件和记录的控制</w:t>
      </w:r>
    </w:p>
    <w:p w14:paraId="35F1DF23">
      <w:pPr>
        <w:pStyle w:val="2"/>
        <w:spacing w:before="80" w:line="219" w:lineRule="auto"/>
        <w:ind w:left="560"/>
      </w:pPr>
      <w:r>
        <w:rPr>
          <w:rFonts w:ascii="Times New Roman" w:hAnsi="Times New Roman" w:eastAsia="Times New Roman" w:cs="Times New Roman"/>
          <w:spacing w:val="3"/>
        </w:rPr>
        <w:t xml:space="preserve">4.5   </w:t>
      </w:r>
      <w:r>
        <w:rPr>
          <w:spacing w:val="3"/>
        </w:rPr>
        <w:t>质量信息的管理</w:t>
      </w:r>
    </w:p>
    <w:p w14:paraId="40820DC4">
      <w:pPr>
        <w:pStyle w:val="2"/>
        <w:spacing w:before="89" w:line="219" w:lineRule="auto"/>
        <w:ind w:left="560"/>
      </w:pPr>
      <w:r>
        <w:rPr>
          <w:spacing w:val="20"/>
        </w:rPr>
        <w:t>4.6技术状态管理</w:t>
      </w:r>
    </w:p>
    <w:p w14:paraId="64E45BFD">
      <w:pPr>
        <w:pStyle w:val="2"/>
        <w:spacing w:before="119" w:line="219" w:lineRule="auto"/>
        <w:ind w:left="560"/>
        <w:rPr>
          <w:sz w:val="24"/>
          <w:szCs w:val="24"/>
        </w:rPr>
      </w:pPr>
      <w:r>
        <w:rPr>
          <w:rFonts w:ascii="Times New Roman" w:hAnsi="Times New Roman" w:eastAsia="Times New Roman" w:cs="Times New Roman"/>
          <w:spacing w:val="27"/>
          <w:sz w:val="24"/>
          <w:szCs w:val="24"/>
        </w:rPr>
        <w:t>4.7</w:t>
      </w:r>
      <w:r>
        <w:rPr>
          <w:rFonts w:ascii="Times New Roman" w:hAnsi="Times New Roman" w:eastAsia="Times New Roman" w:cs="Times New Roman"/>
          <w:spacing w:val="19"/>
          <w:w w:val="101"/>
          <w:sz w:val="24"/>
          <w:szCs w:val="24"/>
        </w:rPr>
        <w:t xml:space="preserve">   </w:t>
      </w:r>
      <w:r>
        <w:rPr>
          <w:spacing w:val="27"/>
          <w:sz w:val="24"/>
          <w:szCs w:val="24"/>
        </w:rPr>
        <w:t>人员培训和资格考核</w:t>
      </w:r>
    </w:p>
    <w:p w14:paraId="34930B36">
      <w:pPr>
        <w:pStyle w:val="2"/>
        <w:spacing w:before="97" w:line="220" w:lineRule="auto"/>
        <w:ind w:left="560"/>
      </w:pPr>
      <w:r>
        <w:rPr>
          <w:spacing w:val="25"/>
        </w:rPr>
        <w:t>4.8顾客沟通</w:t>
      </w:r>
    </w:p>
    <w:p w14:paraId="2B9478C0">
      <w:pPr>
        <w:pStyle w:val="2"/>
        <w:spacing w:before="116" w:line="219" w:lineRule="auto"/>
        <w:ind w:left="560"/>
        <w:rPr>
          <w:sz w:val="24"/>
          <w:szCs w:val="24"/>
        </w:rPr>
      </w:pPr>
      <w:r>
        <w:rPr>
          <w:rFonts w:ascii="Times New Roman" w:hAnsi="Times New Roman" w:eastAsia="Times New Roman" w:cs="Times New Roman"/>
          <w:spacing w:val="28"/>
          <w:sz w:val="24"/>
          <w:szCs w:val="24"/>
        </w:rPr>
        <w:t>4.9</w:t>
      </w:r>
      <w:r>
        <w:rPr>
          <w:rFonts w:ascii="Times New Roman" w:hAnsi="Times New Roman" w:eastAsia="Times New Roman" w:cs="Times New Roman"/>
          <w:spacing w:val="3"/>
          <w:sz w:val="24"/>
          <w:szCs w:val="24"/>
        </w:rPr>
        <w:t xml:space="preserve">    </w:t>
      </w:r>
      <w:r>
        <w:rPr>
          <w:spacing w:val="28"/>
          <w:sz w:val="24"/>
          <w:szCs w:val="24"/>
        </w:rPr>
        <w:t>设计过程质量控制(可省略)</w:t>
      </w:r>
    </w:p>
    <w:p w14:paraId="0A054BC4">
      <w:pPr>
        <w:pStyle w:val="2"/>
        <w:spacing w:before="107" w:line="220" w:lineRule="auto"/>
        <w:ind w:left="560"/>
      </w:pPr>
      <w:r>
        <w:rPr>
          <w:rFonts w:ascii="Times New Roman" w:hAnsi="Times New Roman" w:eastAsia="Times New Roman" w:cs="Times New Roman"/>
          <w:spacing w:val="2"/>
        </w:rPr>
        <w:t>4.10</w:t>
      </w:r>
      <w:r>
        <w:rPr>
          <w:rFonts w:ascii="Times New Roman" w:hAnsi="Times New Roman" w:eastAsia="Times New Roman" w:cs="Times New Roman"/>
          <w:spacing w:val="7"/>
        </w:rPr>
        <w:t xml:space="preserve">   </w:t>
      </w:r>
      <w:r>
        <w:rPr>
          <w:spacing w:val="2"/>
        </w:rPr>
        <w:t>试验控制</w:t>
      </w:r>
    </w:p>
    <w:p w14:paraId="74C5DC29">
      <w:pPr>
        <w:pStyle w:val="2"/>
        <w:spacing w:before="86" w:line="219" w:lineRule="auto"/>
        <w:ind w:left="560"/>
      </w:pPr>
      <w:r>
        <w:rPr>
          <w:rFonts w:ascii="Times New Roman" w:hAnsi="Times New Roman" w:eastAsia="Times New Roman" w:cs="Times New Roman"/>
          <w:spacing w:val="3"/>
        </w:rPr>
        <w:t xml:space="preserve">4.11   </w:t>
      </w:r>
      <w:r>
        <w:rPr>
          <w:spacing w:val="3"/>
        </w:rPr>
        <w:t>采购质量控制</w:t>
      </w:r>
    </w:p>
    <w:p w14:paraId="5545879F">
      <w:pPr>
        <w:pStyle w:val="2"/>
        <w:spacing w:before="120" w:line="219" w:lineRule="auto"/>
        <w:ind w:left="560"/>
        <w:rPr>
          <w:sz w:val="24"/>
          <w:szCs w:val="24"/>
        </w:rPr>
      </w:pPr>
      <w:r>
        <w:rPr>
          <w:rFonts w:ascii="Times New Roman" w:hAnsi="Times New Roman" w:eastAsia="Times New Roman" w:cs="Times New Roman"/>
          <w:spacing w:val="26"/>
          <w:sz w:val="24"/>
          <w:szCs w:val="24"/>
        </w:rPr>
        <w:t>4.12</w:t>
      </w:r>
      <w:r>
        <w:rPr>
          <w:rFonts w:ascii="Times New Roman" w:hAnsi="Times New Roman" w:eastAsia="Times New Roman" w:cs="Times New Roman"/>
          <w:spacing w:val="7"/>
          <w:sz w:val="24"/>
          <w:szCs w:val="24"/>
        </w:rPr>
        <w:t xml:space="preserve">    </w:t>
      </w:r>
      <w:r>
        <w:rPr>
          <w:spacing w:val="26"/>
          <w:sz w:val="24"/>
          <w:szCs w:val="24"/>
        </w:rPr>
        <w:t>试制和生产过程质量控制</w:t>
      </w:r>
    </w:p>
    <w:p w14:paraId="4AE9272B">
      <w:pPr>
        <w:spacing w:before="113" w:line="221" w:lineRule="auto"/>
        <w:rPr>
          <w:rFonts w:ascii="黑体" w:hAnsi="黑体" w:eastAsia="黑体" w:cs="黑体"/>
          <w:sz w:val="24"/>
          <w:szCs w:val="24"/>
        </w:rPr>
      </w:pPr>
      <w:r>
        <w:rPr>
          <w:rFonts w:ascii="黑体" w:hAnsi="黑体" w:eastAsia="黑体" w:cs="黑体"/>
          <w:spacing w:val="33"/>
          <w:sz w:val="24"/>
          <w:szCs w:val="24"/>
        </w:rPr>
        <w:t>5  试制和生产过程质量控制情况</w:t>
      </w:r>
    </w:p>
    <w:p w14:paraId="2B669B03">
      <w:pPr>
        <w:spacing w:before="106" w:line="223" w:lineRule="auto"/>
        <w:rPr>
          <w:rFonts w:ascii="黑体" w:hAnsi="黑体" w:eastAsia="黑体" w:cs="黑体"/>
          <w:sz w:val="24"/>
          <w:szCs w:val="24"/>
        </w:rPr>
      </w:pPr>
      <w:r>
        <w:rPr>
          <w:rFonts w:ascii="黑体" w:hAnsi="黑体" w:eastAsia="黑体" w:cs="黑体"/>
          <w:spacing w:val="20"/>
          <w:sz w:val="24"/>
          <w:szCs w:val="24"/>
        </w:rPr>
        <w:t>5.1</w:t>
      </w:r>
      <w:r>
        <w:rPr>
          <w:rFonts w:ascii="黑体" w:hAnsi="黑体" w:eastAsia="黑体" w:cs="黑体"/>
          <w:spacing w:val="58"/>
          <w:sz w:val="24"/>
          <w:szCs w:val="24"/>
        </w:rPr>
        <w:t xml:space="preserve">  </w:t>
      </w:r>
      <w:r>
        <w:rPr>
          <w:rFonts w:ascii="黑体" w:hAnsi="黑体" w:eastAsia="黑体" w:cs="黑体"/>
          <w:spacing w:val="20"/>
          <w:sz w:val="24"/>
          <w:szCs w:val="24"/>
        </w:rPr>
        <w:t>工艺准备</w:t>
      </w:r>
    </w:p>
    <w:p w14:paraId="4537FACF">
      <w:pPr>
        <w:pStyle w:val="2"/>
        <w:spacing w:before="111" w:line="219" w:lineRule="auto"/>
        <w:ind w:left="560"/>
      </w:pPr>
      <w:r>
        <w:rPr>
          <w:spacing w:val="-7"/>
        </w:rPr>
        <w:t>说明工艺准备情况，一般包括：</w:t>
      </w:r>
    </w:p>
    <w:p w14:paraId="0282E278">
      <w:pPr>
        <w:pStyle w:val="2"/>
        <w:spacing w:before="79" w:line="212" w:lineRule="auto"/>
        <w:ind w:left="560"/>
      </w:pPr>
      <w:r>
        <w:rPr>
          <w:rFonts w:ascii="Times New Roman" w:hAnsi="Times New Roman" w:eastAsia="Times New Roman" w:cs="Times New Roman"/>
        </w:rPr>
        <w:t>a)</w:t>
      </w:r>
      <w:r>
        <w:rPr>
          <w:rFonts w:ascii="Times New Roman" w:hAnsi="Times New Roman" w:eastAsia="Times New Roman" w:cs="Times New Roman"/>
          <w:spacing w:val="66"/>
        </w:rPr>
        <w:t xml:space="preserve"> </w:t>
      </w:r>
      <w:r>
        <w:t>工艺总方案、工艺技术改造方案和工艺攻关计划编制与评审情况；</w:t>
      </w:r>
    </w:p>
    <w:p w14:paraId="44BA07AD">
      <w:pPr>
        <w:pStyle w:val="2"/>
        <w:spacing w:before="90"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83"/>
        </w:rPr>
        <w:t xml:space="preserve"> </w:t>
      </w:r>
      <w:r>
        <w:rPr>
          <w:spacing w:val="4"/>
        </w:rPr>
        <w:t>针对特种工艺制定的专用工艺文件或质量控制程序情况；</w:t>
      </w:r>
    </w:p>
    <w:p w14:paraId="14AE5BFF">
      <w:pPr>
        <w:spacing w:line="212" w:lineRule="auto"/>
        <w:sectPr>
          <w:footerReference r:id="rId331" w:type="default"/>
          <w:pgSz w:w="11910" w:h="17130"/>
          <w:pgMar w:top="1456" w:right="1009" w:bottom="1607" w:left="1519" w:header="0" w:footer="1390" w:gutter="0"/>
          <w:cols w:space="720" w:num="1"/>
        </w:sectPr>
      </w:pPr>
    </w:p>
    <w:p w14:paraId="1E8F5AE6">
      <w:pPr>
        <w:pStyle w:val="2"/>
        <w:spacing w:before="67" w:line="279" w:lineRule="auto"/>
        <w:ind w:right="7" w:firstLine="550"/>
        <w:rPr>
          <w:sz w:val="25"/>
          <w:szCs w:val="25"/>
        </w:rPr>
      </w:pPr>
      <w:r>
        <w:rPr>
          <w:rFonts w:ascii="Times New Roman" w:hAnsi="Times New Roman" w:eastAsia="Times New Roman" w:cs="Times New Roman"/>
          <w:spacing w:val="21"/>
          <w:sz w:val="25"/>
          <w:szCs w:val="25"/>
        </w:rPr>
        <w:t xml:space="preserve">c)  </w:t>
      </w:r>
      <w:r>
        <w:rPr>
          <w:spacing w:val="21"/>
          <w:sz w:val="25"/>
          <w:szCs w:val="25"/>
        </w:rPr>
        <w:t>进行过程分析的情况，对关键过程进行标识、设置质量控制点及规定详</w:t>
      </w:r>
      <w:r>
        <w:rPr>
          <w:spacing w:val="18"/>
          <w:sz w:val="25"/>
          <w:szCs w:val="25"/>
        </w:rPr>
        <w:t xml:space="preserve"> 细的质量控制要求情况；</w:t>
      </w:r>
    </w:p>
    <w:p w14:paraId="1D74FB2B">
      <w:pPr>
        <w:pStyle w:val="2"/>
        <w:spacing w:before="61" w:line="212" w:lineRule="auto"/>
        <w:ind w:left="550"/>
      </w:pPr>
      <w:r>
        <w:rPr>
          <w:rFonts w:ascii="Times New Roman" w:hAnsi="Times New Roman" w:eastAsia="Times New Roman" w:cs="Times New Roman"/>
          <w:spacing w:val="4"/>
        </w:rPr>
        <w:t xml:space="preserve">d)  </w:t>
      </w:r>
      <w:r>
        <w:rPr>
          <w:spacing w:val="4"/>
        </w:rPr>
        <w:t>工艺更改的控制情况及工艺有重大更改时的评审情况；</w:t>
      </w:r>
    </w:p>
    <w:p w14:paraId="6261DB01">
      <w:pPr>
        <w:pStyle w:val="2"/>
        <w:spacing w:before="100" w:line="212" w:lineRule="auto"/>
        <w:ind w:left="550"/>
      </w:pPr>
      <w:r>
        <w:rPr>
          <w:rFonts w:ascii="Times New Roman" w:hAnsi="Times New Roman" w:eastAsia="Times New Roman" w:cs="Times New Roman"/>
          <w:spacing w:val="-2"/>
        </w:rPr>
        <w:t>e)</w:t>
      </w:r>
      <w:r>
        <w:rPr>
          <w:rFonts w:ascii="Times New Roman" w:hAnsi="Times New Roman" w:eastAsia="Times New Roman" w:cs="Times New Roman"/>
          <w:spacing w:val="52"/>
          <w:w w:val="101"/>
        </w:rPr>
        <w:t xml:space="preserve"> </w:t>
      </w:r>
      <w:r>
        <w:rPr>
          <w:spacing w:val="-2"/>
        </w:rPr>
        <w:t>试验设备、工艺装备和检测器具的检定情况；</w:t>
      </w:r>
    </w:p>
    <w:p w14:paraId="6E74F255">
      <w:pPr>
        <w:pStyle w:val="2"/>
        <w:spacing w:before="99" w:line="212" w:lineRule="auto"/>
        <w:ind w:left="550"/>
      </w:pPr>
      <w:r>
        <w:rPr>
          <w:rFonts w:ascii="Times New Roman" w:hAnsi="Times New Roman" w:eastAsia="Times New Roman" w:cs="Times New Roman"/>
          <w:spacing w:val="4"/>
        </w:rPr>
        <w:t>f)</w:t>
      </w:r>
      <w:r>
        <w:rPr>
          <w:rFonts w:ascii="Times New Roman" w:hAnsi="Times New Roman" w:eastAsia="Times New Roman" w:cs="Times New Roman"/>
          <w:spacing w:val="64"/>
          <w:w w:val="101"/>
        </w:rPr>
        <w:t xml:space="preserve"> </w:t>
      </w:r>
      <w:r>
        <w:rPr>
          <w:spacing w:val="4"/>
        </w:rPr>
        <w:t>有关程序和作业指导书的编制情况。</w:t>
      </w:r>
    </w:p>
    <w:p w14:paraId="17C6490E">
      <w:pPr>
        <w:pStyle w:val="2"/>
        <w:spacing w:before="120" w:line="273" w:lineRule="auto"/>
        <w:ind w:right="757" w:firstLine="550"/>
        <w:rPr>
          <w:rFonts w:ascii="黑体" w:hAnsi="黑体" w:eastAsia="黑体" w:cs="黑体"/>
        </w:rPr>
      </w:pPr>
      <w:r>
        <w:rPr>
          <w:spacing w:val="5"/>
        </w:rPr>
        <w:t>说明按</w:t>
      </w:r>
      <w:r>
        <w:rPr>
          <w:rFonts w:ascii="Times New Roman" w:hAnsi="Times New Roman" w:eastAsia="Times New Roman" w:cs="Times New Roman"/>
        </w:rPr>
        <w:t>GJB</w:t>
      </w:r>
      <w:r>
        <w:rPr>
          <w:rFonts w:ascii="Times New Roman" w:hAnsi="Times New Roman" w:eastAsia="Times New Roman" w:cs="Times New Roman"/>
          <w:spacing w:val="5"/>
        </w:rPr>
        <w:t xml:space="preserve">   1269A—2000</w:t>
      </w:r>
      <w:r>
        <w:rPr>
          <w:spacing w:val="5"/>
        </w:rPr>
        <w:t>的有关要求进行各阶段的工艺评审情况。</w:t>
      </w:r>
      <w:r>
        <w:rPr>
          <w:spacing w:val="6"/>
        </w:rPr>
        <w:t xml:space="preserve"> </w:t>
      </w:r>
      <w:r>
        <w:rPr>
          <w:rFonts w:ascii="黑体" w:hAnsi="黑体" w:eastAsia="黑体" w:cs="黑体"/>
          <w:spacing w:val="-6"/>
        </w:rPr>
        <w:t xml:space="preserve">5.2  </w:t>
      </w:r>
      <w:r>
        <w:rPr>
          <w:rFonts w:ascii="黑体" w:hAnsi="黑体" w:eastAsia="黑体" w:cs="黑体"/>
          <w:b/>
          <w:bCs/>
          <w:spacing w:val="-6"/>
        </w:rPr>
        <w:t>元器件、零件和原材料的控制</w:t>
      </w:r>
    </w:p>
    <w:p w14:paraId="411EFA08">
      <w:pPr>
        <w:pStyle w:val="2"/>
        <w:spacing w:before="1" w:line="218" w:lineRule="auto"/>
        <w:ind w:left="550"/>
      </w:pPr>
      <w:r>
        <w:rPr>
          <w:spacing w:val="-10"/>
        </w:rPr>
        <w:t>说明元器件、零件和原材料的控制情况，包括：</w:t>
      </w:r>
    </w:p>
    <w:p w14:paraId="529EE966">
      <w:pPr>
        <w:pStyle w:val="2"/>
        <w:spacing w:before="61" w:line="212" w:lineRule="auto"/>
        <w:ind w:left="550"/>
      </w:pPr>
      <w:r>
        <w:rPr>
          <w:rFonts w:ascii="Times New Roman" w:hAnsi="Times New Roman" w:eastAsia="Times New Roman" w:cs="Times New Roman"/>
          <w:spacing w:val="-8"/>
        </w:rPr>
        <w:t>a)</w:t>
      </w:r>
      <w:r>
        <w:rPr>
          <w:rFonts w:ascii="Times New Roman" w:hAnsi="Times New Roman" w:eastAsia="Times New Roman" w:cs="Times New Roman"/>
          <w:spacing w:val="63"/>
        </w:rPr>
        <w:t xml:space="preserve"> </w:t>
      </w:r>
      <w:r>
        <w:rPr>
          <w:spacing w:val="-8"/>
        </w:rPr>
        <w:t>元器件、零件、原材料和半成品的检验情</w:t>
      </w:r>
      <w:r>
        <w:rPr>
          <w:spacing w:val="-9"/>
        </w:rPr>
        <w:t>况；</w:t>
      </w:r>
    </w:p>
    <w:p w14:paraId="53F2900F">
      <w:pPr>
        <w:pStyle w:val="2"/>
        <w:spacing w:before="100" w:line="212" w:lineRule="auto"/>
        <w:ind w:left="550"/>
      </w:pPr>
      <w:r>
        <w:rPr>
          <w:rFonts w:ascii="Times New Roman" w:hAnsi="Times New Roman" w:eastAsia="Times New Roman" w:cs="Times New Roman"/>
          <w:spacing w:val="-8"/>
        </w:rPr>
        <w:t xml:space="preserve">b)  </w:t>
      </w:r>
      <w:r>
        <w:rPr>
          <w:spacing w:val="-8"/>
        </w:rPr>
        <w:t>外购、外协的产品进厂复验、筛选情况，使用代用料时的审批情况；</w:t>
      </w:r>
    </w:p>
    <w:p w14:paraId="3EC21AA5">
      <w:pPr>
        <w:pStyle w:val="2"/>
        <w:spacing w:before="100" w:line="212" w:lineRule="auto"/>
        <w:ind w:left="550"/>
      </w:pPr>
      <w:r>
        <w:rPr>
          <w:rFonts w:ascii="Times New Roman" w:hAnsi="Times New Roman" w:eastAsia="Times New Roman" w:cs="Times New Roman"/>
        </w:rPr>
        <w:t>c)</w:t>
      </w:r>
      <w:r>
        <w:rPr>
          <w:rFonts w:ascii="Times New Roman" w:hAnsi="Times New Roman" w:eastAsia="Times New Roman" w:cs="Times New Roman"/>
          <w:spacing w:val="56"/>
        </w:rPr>
        <w:t xml:space="preserve"> </w:t>
      </w:r>
      <w:r>
        <w:t>成套设备生产时，贮存的装配件和器材的齐套性及其标识情况；</w:t>
      </w:r>
    </w:p>
    <w:p w14:paraId="32C56514">
      <w:pPr>
        <w:pStyle w:val="2"/>
        <w:spacing w:before="100" w:line="212" w:lineRule="auto"/>
        <w:ind w:left="550"/>
      </w:pPr>
      <w:r>
        <w:rPr>
          <w:rFonts w:ascii="Times New Roman" w:hAnsi="Times New Roman" w:eastAsia="Times New Roman" w:cs="Times New Roman"/>
          <w:spacing w:val="3"/>
        </w:rPr>
        <w:t xml:space="preserve">d)  </w:t>
      </w:r>
      <w:r>
        <w:rPr>
          <w:spacing w:val="3"/>
        </w:rPr>
        <w:t>易老化或易受环境影响而变质的产品的标识情况；</w:t>
      </w:r>
    </w:p>
    <w:p w14:paraId="5AA04DDB">
      <w:pPr>
        <w:pStyle w:val="2"/>
        <w:spacing w:before="90" w:line="212" w:lineRule="auto"/>
        <w:ind w:left="550"/>
      </w:pPr>
      <w:r>
        <w:rPr>
          <w:rFonts w:ascii="Times New Roman" w:hAnsi="Times New Roman" w:eastAsia="Times New Roman" w:cs="Times New Roman"/>
          <w:spacing w:val="-7"/>
        </w:rPr>
        <w:t>e)</w:t>
      </w:r>
      <w:r>
        <w:rPr>
          <w:rFonts w:ascii="Times New Roman" w:hAnsi="Times New Roman" w:eastAsia="Times New Roman" w:cs="Times New Roman"/>
          <w:spacing w:val="64"/>
          <w:w w:val="101"/>
        </w:rPr>
        <w:t xml:space="preserve"> </w:t>
      </w:r>
      <w:r>
        <w:rPr>
          <w:spacing w:val="-7"/>
        </w:rPr>
        <w:t>元器件选用、测试、筛选符合规定要求的情况。</w:t>
      </w:r>
    </w:p>
    <w:p w14:paraId="5FE57BCF">
      <w:pPr>
        <w:spacing w:before="124" w:line="221" w:lineRule="auto"/>
        <w:outlineLvl w:val="3"/>
        <w:rPr>
          <w:rFonts w:ascii="黑体" w:hAnsi="黑体" w:eastAsia="黑体" w:cs="黑体"/>
          <w:sz w:val="27"/>
          <w:szCs w:val="27"/>
        </w:rPr>
      </w:pPr>
      <w:r>
        <w:rPr>
          <w:rFonts w:ascii="Arial" w:hAnsi="Arial" w:eastAsia="Arial" w:cs="Arial"/>
          <w:b/>
          <w:bCs/>
          <w:spacing w:val="2"/>
          <w:sz w:val="27"/>
          <w:szCs w:val="27"/>
        </w:rPr>
        <w:t xml:space="preserve">5.3    </w:t>
      </w:r>
      <w:r>
        <w:rPr>
          <w:rFonts w:ascii="黑体" w:hAnsi="黑体" w:eastAsia="黑体" w:cs="黑体"/>
          <w:b/>
          <w:bCs/>
          <w:spacing w:val="2"/>
          <w:sz w:val="27"/>
          <w:szCs w:val="27"/>
        </w:rPr>
        <w:t>基础设施和工作环境</w:t>
      </w:r>
    </w:p>
    <w:p w14:paraId="1E339953">
      <w:pPr>
        <w:pStyle w:val="2"/>
        <w:spacing w:before="103" w:line="219" w:lineRule="auto"/>
        <w:ind w:left="550"/>
      </w:pPr>
      <w:r>
        <w:t>说明产品研制生产所需的基础设施、工作场所等方面的特殊要求情况。</w:t>
      </w:r>
    </w:p>
    <w:p w14:paraId="5E4F8DF0">
      <w:pPr>
        <w:spacing w:before="64" w:line="222" w:lineRule="auto"/>
        <w:rPr>
          <w:rFonts w:ascii="黑体" w:hAnsi="黑体" w:eastAsia="黑体" w:cs="黑体"/>
          <w:sz w:val="27"/>
          <w:szCs w:val="27"/>
        </w:rPr>
      </w:pPr>
      <w:r>
        <w:rPr>
          <w:rFonts w:ascii="黑体" w:hAnsi="黑体" w:eastAsia="黑体" w:cs="黑体"/>
          <w:spacing w:val="2"/>
          <w:sz w:val="27"/>
          <w:szCs w:val="27"/>
        </w:rPr>
        <w:t xml:space="preserve">5.4  </w:t>
      </w:r>
      <w:r>
        <w:rPr>
          <w:rFonts w:ascii="黑体" w:hAnsi="黑体" w:eastAsia="黑体" w:cs="黑体"/>
          <w:b/>
          <w:bCs/>
          <w:spacing w:val="2"/>
          <w:sz w:val="27"/>
          <w:szCs w:val="27"/>
        </w:rPr>
        <w:t>关键过程控制</w:t>
      </w:r>
    </w:p>
    <w:p w14:paraId="18EAB2DB">
      <w:pPr>
        <w:pStyle w:val="2"/>
        <w:spacing w:before="111" w:line="263" w:lineRule="auto"/>
        <w:ind w:right="1" w:firstLine="550"/>
      </w:pPr>
      <w:r>
        <w:rPr>
          <w:spacing w:val="-3"/>
        </w:rPr>
        <w:t>说明按工艺文件或专用的质量控制程序、方法，对关键过程实施质量控制的</w:t>
      </w:r>
      <w:r>
        <w:rPr>
          <w:spacing w:val="18"/>
        </w:rPr>
        <w:t xml:space="preserve"> </w:t>
      </w:r>
      <w:r>
        <w:rPr>
          <w:spacing w:val="-4"/>
        </w:rPr>
        <w:t>情况。</w:t>
      </w:r>
    </w:p>
    <w:p w14:paraId="0DA1A277">
      <w:pPr>
        <w:spacing w:before="15" w:line="222" w:lineRule="auto"/>
        <w:outlineLvl w:val="3"/>
        <w:rPr>
          <w:rFonts w:ascii="黑体" w:hAnsi="黑体" w:eastAsia="黑体" w:cs="黑体"/>
          <w:sz w:val="27"/>
          <w:szCs w:val="27"/>
        </w:rPr>
      </w:pPr>
      <w:r>
        <w:rPr>
          <w:rFonts w:ascii="Arial" w:hAnsi="Arial" w:eastAsia="Arial" w:cs="Arial"/>
          <w:b/>
          <w:bCs/>
          <w:spacing w:val="-1"/>
          <w:sz w:val="27"/>
          <w:szCs w:val="27"/>
        </w:rPr>
        <w:t>5.5</w:t>
      </w:r>
      <w:r>
        <w:rPr>
          <w:rFonts w:ascii="Arial" w:hAnsi="Arial" w:eastAsia="Arial" w:cs="Arial"/>
          <w:b/>
          <w:bCs/>
          <w:spacing w:val="8"/>
          <w:sz w:val="27"/>
          <w:szCs w:val="27"/>
        </w:rPr>
        <w:t xml:space="preserve">    </w:t>
      </w:r>
      <w:r>
        <w:rPr>
          <w:rFonts w:ascii="黑体" w:hAnsi="黑体" w:eastAsia="黑体" w:cs="黑体"/>
          <w:b/>
          <w:bCs/>
          <w:spacing w:val="-1"/>
          <w:sz w:val="27"/>
          <w:szCs w:val="27"/>
        </w:rPr>
        <w:t>特殊过程控制</w:t>
      </w:r>
    </w:p>
    <w:p w14:paraId="111A0AF1">
      <w:pPr>
        <w:pStyle w:val="2"/>
        <w:spacing w:before="123" w:line="271" w:lineRule="auto"/>
        <w:ind w:firstLine="550"/>
        <w:jc w:val="both"/>
      </w:pPr>
      <w:r>
        <w:rPr>
          <w:spacing w:val="6"/>
        </w:rPr>
        <w:t>说明根据产品特点对特殊过程进行控制的情况，包括对特殊过程的评审和</w:t>
      </w:r>
      <w:r>
        <w:t xml:space="preserve"> </w:t>
      </w:r>
      <w:r>
        <w:rPr>
          <w:spacing w:val="-2"/>
        </w:rPr>
        <w:t>批准、对设备的认可和人员资格的鉴定、针对特殊过</w:t>
      </w:r>
      <w:r>
        <w:rPr>
          <w:spacing w:val="-3"/>
        </w:rPr>
        <w:t>程的方法和程序、特殊过程</w:t>
      </w:r>
      <w:r>
        <w:t xml:space="preserve"> </w:t>
      </w:r>
      <w:r>
        <w:rPr>
          <w:spacing w:val="-1"/>
        </w:rPr>
        <w:t>的记录等情况。</w:t>
      </w:r>
    </w:p>
    <w:p w14:paraId="2CDED882">
      <w:pPr>
        <w:spacing w:before="15" w:line="222" w:lineRule="auto"/>
        <w:outlineLvl w:val="3"/>
        <w:rPr>
          <w:rFonts w:ascii="黑体" w:hAnsi="黑体" w:eastAsia="黑体" w:cs="黑体"/>
          <w:sz w:val="27"/>
          <w:szCs w:val="27"/>
        </w:rPr>
      </w:pPr>
      <w:r>
        <w:rPr>
          <w:rFonts w:ascii="Arial" w:hAnsi="Arial" w:eastAsia="Arial" w:cs="Arial"/>
          <w:b/>
          <w:bCs/>
          <w:spacing w:val="-10"/>
          <w:sz w:val="27"/>
          <w:szCs w:val="27"/>
        </w:rPr>
        <w:t>5.6</w:t>
      </w:r>
      <w:r>
        <w:rPr>
          <w:rFonts w:ascii="Arial" w:hAnsi="Arial" w:eastAsia="Arial" w:cs="Arial"/>
          <w:b/>
          <w:bCs/>
          <w:spacing w:val="10"/>
          <w:sz w:val="27"/>
          <w:szCs w:val="27"/>
        </w:rPr>
        <w:t xml:space="preserve">    </w:t>
      </w:r>
      <w:r>
        <w:rPr>
          <w:rFonts w:ascii="黑体" w:hAnsi="黑体" w:eastAsia="黑体" w:cs="黑体"/>
          <w:b/>
          <w:bCs/>
          <w:spacing w:val="-10"/>
          <w:sz w:val="27"/>
          <w:szCs w:val="27"/>
        </w:rPr>
        <w:t>关键件、重要件的控制</w:t>
      </w:r>
    </w:p>
    <w:p w14:paraId="55725517">
      <w:pPr>
        <w:pStyle w:val="2"/>
        <w:spacing w:before="99" w:line="219" w:lineRule="auto"/>
        <w:ind w:left="550"/>
      </w:pPr>
      <w:r>
        <w:t>说明按</w:t>
      </w:r>
      <w:r>
        <w:rPr>
          <w:rFonts w:ascii="Times New Roman" w:hAnsi="Times New Roman" w:eastAsia="Times New Roman" w:cs="Times New Roman"/>
        </w:rPr>
        <w:t xml:space="preserve">GJB909   </w:t>
      </w:r>
      <w:r>
        <w:t>的有关规定对关键件、重要</w:t>
      </w:r>
      <w:r>
        <w:rPr>
          <w:spacing w:val="-1"/>
        </w:rPr>
        <w:t>件的控制情况。</w:t>
      </w:r>
    </w:p>
    <w:p w14:paraId="5CC119BC">
      <w:pPr>
        <w:spacing w:before="103" w:line="221" w:lineRule="auto"/>
        <w:rPr>
          <w:rFonts w:ascii="黑体" w:hAnsi="黑体" w:eastAsia="黑体" w:cs="黑体"/>
          <w:sz w:val="24"/>
          <w:szCs w:val="24"/>
        </w:rPr>
      </w:pPr>
      <w:r>
        <w:rPr>
          <w:rFonts w:ascii="黑体" w:hAnsi="黑体" w:eastAsia="黑体" w:cs="黑体"/>
          <w:spacing w:val="16"/>
          <w:sz w:val="24"/>
          <w:szCs w:val="24"/>
        </w:rPr>
        <w:t>5.7</w:t>
      </w:r>
      <w:r>
        <w:rPr>
          <w:rFonts w:ascii="黑体" w:hAnsi="黑体" w:eastAsia="黑体" w:cs="黑体"/>
          <w:spacing w:val="47"/>
          <w:sz w:val="24"/>
          <w:szCs w:val="24"/>
        </w:rPr>
        <w:t xml:space="preserve">  </w:t>
      </w:r>
      <w:r>
        <w:rPr>
          <w:rFonts w:ascii="黑体" w:hAnsi="黑体" w:eastAsia="黑体" w:cs="黑体"/>
          <w:b/>
          <w:bCs/>
          <w:spacing w:val="16"/>
          <w:sz w:val="24"/>
          <w:szCs w:val="24"/>
        </w:rPr>
        <w:t>试制、生产准备状态检查</w:t>
      </w:r>
    </w:p>
    <w:p w14:paraId="331DD2E3">
      <w:pPr>
        <w:pStyle w:val="2"/>
        <w:spacing w:before="120" w:line="219" w:lineRule="auto"/>
        <w:ind w:left="550"/>
      </w:pPr>
      <w:r>
        <w:t>说明按</w:t>
      </w:r>
      <w:r>
        <w:rPr>
          <w:rFonts w:ascii="Times New Roman" w:hAnsi="Times New Roman" w:eastAsia="Times New Roman" w:cs="Times New Roman"/>
        </w:rPr>
        <w:t>GJB1710</w:t>
      </w:r>
      <w:r>
        <w:rPr>
          <w:rFonts w:ascii="Times New Roman" w:hAnsi="Times New Roman" w:eastAsia="Times New Roman" w:cs="Times New Roman"/>
          <w:spacing w:val="32"/>
          <w:w w:val="101"/>
        </w:rPr>
        <w:t xml:space="preserve">  </w:t>
      </w:r>
      <w:r>
        <w:t>的有关规定对试制、生</w:t>
      </w:r>
      <w:r>
        <w:rPr>
          <w:spacing w:val="-1"/>
        </w:rPr>
        <w:t>产准备状态检查情况。</w:t>
      </w:r>
    </w:p>
    <w:p w14:paraId="4677B2E9">
      <w:pPr>
        <w:spacing w:before="75" w:line="222" w:lineRule="auto"/>
        <w:rPr>
          <w:rFonts w:ascii="黑体" w:hAnsi="黑体" w:eastAsia="黑体" w:cs="黑体"/>
          <w:sz w:val="25"/>
          <w:szCs w:val="25"/>
        </w:rPr>
      </w:pPr>
      <w:r>
        <w:rPr>
          <w:rFonts w:ascii="黑体" w:hAnsi="黑体" w:eastAsia="黑体" w:cs="黑体"/>
          <w:spacing w:val="10"/>
          <w:sz w:val="25"/>
          <w:szCs w:val="25"/>
        </w:rPr>
        <w:t>5.8</w:t>
      </w:r>
      <w:r>
        <w:rPr>
          <w:rFonts w:ascii="黑体" w:hAnsi="黑体" w:eastAsia="黑体" w:cs="黑体"/>
          <w:spacing w:val="36"/>
          <w:sz w:val="25"/>
          <w:szCs w:val="25"/>
        </w:rPr>
        <w:t xml:space="preserve">  </w:t>
      </w:r>
      <w:r>
        <w:rPr>
          <w:rFonts w:ascii="黑体" w:hAnsi="黑体" w:eastAsia="黑体" w:cs="黑体"/>
          <w:b/>
          <w:bCs/>
          <w:spacing w:val="10"/>
          <w:sz w:val="25"/>
          <w:szCs w:val="25"/>
        </w:rPr>
        <w:t>首件鉴定</w:t>
      </w:r>
    </w:p>
    <w:p w14:paraId="1818308F">
      <w:pPr>
        <w:pStyle w:val="2"/>
        <w:spacing w:before="114" w:line="219" w:lineRule="auto"/>
        <w:ind w:left="550"/>
      </w:pPr>
      <w:r>
        <w:rPr>
          <w:spacing w:val="5"/>
        </w:rPr>
        <w:t>说明按</w:t>
      </w:r>
      <w:r>
        <w:rPr>
          <w:rFonts w:ascii="Times New Roman" w:hAnsi="Times New Roman" w:eastAsia="Times New Roman" w:cs="Times New Roman"/>
        </w:rPr>
        <w:t>GJB</w:t>
      </w:r>
      <w:r>
        <w:rPr>
          <w:rFonts w:ascii="Times New Roman" w:hAnsi="Times New Roman" w:eastAsia="Times New Roman" w:cs="Times New Roman"/>
          <w:spacing w:val="5"/>
        </w:rPr>
        <w:t xml:space="preserve">908   </w:t>
      </w:r>
      <w:r>
        <w:rPr>
          <w:spacing w:val="5"/>
        </w:rPr>
        <w:t>的有关规定对首件进行鉴定的情况。</w:t>
      </w:r>
    </w:p>
    <w:p w14:paraId="16D753DF">
      <w:pPr>
        <w:spacing w:before="64" w:line="222" w:lineRule="auto"/>
        <w:rPr>
          <w:rFonts w:ascii="黑体" w:hAnsi="黑体" w:eastAsia="黑体" w:cs="黑体"/>
          <w:sz w:val="27"/>
          <w:szCs w:val="27"/>
        </w:rPr>
      </w:pPr>
      <w:r>
        <w:rPr>
          <w:rFonts w:ascii="黑体" w:hAnsi="黑体" w:eastAsia="黑体" w:cs="黑体"/>
          <w:sz w:val="27"/>
          <w:szCs w:val="27"/>
        </w:rPr>
        <w:t>5.9</w:t>
      </w:r>
      <w:r>
        <w:rPr>
          <w:rFonts w:ascii="黑体" w:hAnsi="黑体" w:eastAsia="黑体" w:cs="黑体"/>
          <w:spacing w:val="11"/>
          <w:sz w:val="27"/>
          <w:szCs w:val="27"/>
        </w:rPr>
        <w:t xml:space="preserve">  </w:t>
      </w:r>
      <w:r>
        <w:rPr>
          <w:rFonts w:ascii="黑体" w:hAnsi="黑体" w:eastAsia="黑体" w:cs="黑体"/>
          <w:b/>
          <w:bCs/>
          <w:sz w:val="27"/>
          <w:szCs w:val="27"/>
        </w:rPr>
        <w:t>产品质量评审</w:t>
      </w:r>
    </w:p>
    <w:p w14:paraId="3FC010BA">
      <w:pPr>
        <w:pStyle w:val="2"/>
        <w:spacing w:before="91" w:line="279" w:lineRule="auto"/>
        <w:ind w:right="12" w:firstLine="550"/>
      </w:pPr>
      <w:r>
        <w:rPr>
          <w:spacing w:val="7"/>
        </w:rPr>
        <w:t>说明按</w:t>
      </w:r>
      <w:r>
        <w:rPr>
          <w:rFonts w:ascii="Times New Roman" w:hAnsi="Times New Roman" w:eastAsia="Times New Roman" w:cs="Times New Roman"/>
        </w:rPr>
        <w:t>GJB</w:t>
      </w:r>
      <w:r>
        <w:rPr>
          <w:rFonts w:ascii="Times New Roman" w:hAnsi="Times New Roman" w:eastAsia="Times New Roman" w:cs="Times New Roman"/>
          <w:spacing w:val="7"/>
        </w:rPr>
        <w:t xml:space="preserve">  907</w:t>
      </w:r>
      <w:r>
        <w:rPr>
          <w:spacing w:val="7"/>
        </w:rPr>
        <w:t xml:space="preserve">的有关规定对产品质量进行评审的情况，以及对评审中所 </w:t>
      </w:r>
      <w:r>
        <w:rPr>
          <w:spacing w:val="-9"/>
        </w:rPr>
        <w:t>提出问题的处理、记录情况。</w:t>
      </w:r>
    </w:p>
    <w:p w14:paraId="5809DAD5">
      <w:pPr>
        <w:spacing w:line="222" w:lineRule="auto"/>
        <w:rPr>
          <w:rFonts w:ascii="黑体" w:hAnsi="黑体" w:eastAsia="黑体" w:cs="黑体"/>
          <w:sz w:val="27"/>
          <w:szCs w:val="27"/>
        </w:rPr>
      </w:pPr>
      <w:r>
        <w:rPr>
          <w:rFonts w:ascii="黑体" w:hAnsi="黑体" w:eastAsia="黑体" w:cs="黑体"/>
          <w:sz w:val="27"/>
          <w:szCs w:val="27"/>
        </w:rPr>
        <w:t>5.10</w:t>
      </w:r>
      <w:r>
        <w:rPr>
          <w:rFonts w:ascii="黑体" w:hAnsi="黑体" w:eastAsia="黑体" w:cs="黑体"/>
          <w:spacing w:val="25"/>
          <w:sz w:val="27"/>
          <w:szCs w:val="27"/>
        </w:rPr>
        <w:t xml:space="preserve">  </w:t>
      </w:r>
      <w:r>
        <w:rPr>
          <w:rFonts w:ascii="黑体" w:hAnsi="黑体" w:eastAsia="黑体" w:cs="黑体"/>
          <w:b/>
          <w:bCs/>
          <w:sz w:val="27"/>
          <w:szCs w:val="27"/>
        </w:rPr>
        <w:t>装配质量控制</w:t>
      </w:r>
    </w:p>
    <w:p w14:paraId="32FBC62D">
      <w:pPr>
        <w:pStyle w:val="2"/>
        <w:spacing w:before="88" w:line="283" w:lineRule="auto"/>
        <w:ind w:right="9" w:firstLine="550"/>
      </w:pPr>
      <w:r>
        <w:rPr>
          <w:spacing w:val="-3"/>
        </w:rPr>
        <w:t>说明对装配质量进行控制的情况，包括装配规程或作业指导书编写情况、装</w:t>
      </w:r>
      <w:r>
        <w:rPr>
          <w:spacing w:val="10"/>
        </w:rPr>
        <w:t xml:space="preserve"> </w:t>
      </w:r>
      <w:r>
        <w:rPr>
          <w:spacing w:val="1"/>
        </w:rPr>
        <w:t>配过程中执行情况等。</w:t>
      </w:r>
    </w:p>
    <w:p w14:paraId="384B10D3">
      <w:pPr>
        <w:spacing w:line="283" w:lineRule="auto"/>
        <w:sectPr>
          <w:footerReference r:id="rId332" w:type="default"/>
          <w:pgSz w:w="11910" w:h="17130"/>
          <w:pgMar w:top="1456" w:right="1487" w:bottom="1616" w:left="1039" w:header="0" w:footer="1426" w:gutter="0"/>
          <w:cols w:space="720" w:num="1"/>
        </w:sectPr>
      </w:pPr>
    </w:p>
    <w:p w14:paraId="28EA4028">
      <w:pPr>
        <w:spacing w:before="109" w:line="222" w:lineRule="auto"/>
        <w:rPr>
          <w:rFonts w:ascii="黑体" w:hAnsi="黑体" w:eastAsia="黑体" w:cs="黑体"/>
          <w:sz w:val="27"/>
          <w:szCs w:val="27"/>
        </w:rPr>
      </w:pPr>
      <w:r>
        <w:rPr>
          <w:rFonts w:ascii="黑体" w:hAnsi="黑体" w:eastAsia="黑体" w:cs="黑体"/>
          <w:spacing w:val="1"/>
          <w:sz w:val="27"/>
          <w:szCs w:val="27"/>
        </w:rPr>
        <w:t>5.11</w:t>
      </w:r>
      <w:r>
        <w:rPr>
          <w:rFonts w:ascii="黑体" w:hAnsi="黑体" w:eastAsia="黑体" w:cs="黑体"/>
          <w:spacing w:val="20"/>
          <w:sz w:val="27"/>
          <w:szCs w:val="27"/>
        </w:rPr>
        <w:t xml:space="preserve">  </w:t>
      </w:r>
      <w:r>
        <w:rPr>
          <w:rFonts w:ascii="黑体" w:hAnsi="黑体" w:eastAsia="黑体" w:cs="黑体"/>
          <w:b/>
          <w:bCs/>
          <w:spacing w:val="1"/>
          <w:sz w:val="27"/>
          <w:szCs w:val="27"/>
        </w:rPr>
        <w:t>标识和可追溯性</w:t>
      </w:r>
    </w:p>
    <w:p w14:paraId="5B86A4D9">
      <w:pPr>
        <w:pStyle w:val="2"/>
        <w:spacing w:before="70" w:line="301" w:lineRule="auto"/>
        <w:ind w:right="111" w:firstLine="580"/>
      </w:pPr>
      <w:r>
        <w:rPr>
          <w:spacing w:val="7"/>
        </w:rPr>
        <w:t>说明按</w:t>
      </w:r>
      <w:r>
        <w:rPr>
          <w:rFonts w:ascii="Times New Roman" w:hAnsi="Times New Roman" w:eastAsia="Times New Roman" w:cs="Times New Roman"/>
        </w:rPr>
        <w:t>GJB</w:t>
      </w:r>
      <w:r>
        <w:rPr>
          <w:rFonts w:ascii="Times New Roman" w:hAnsi="Times New Roman" w:eastAsia="Times New Roman" w:cs="Times New Roman"/>
          <w:spacing w:val="7"/>
        </w:rPr>
        <w:t xml:space="preserve">  726</w:t>
      </w:r>
      <w:r>
        <w:rPr>
          <w:spacing w:val="7"/>
        </w:rPr>
        <w:t>的有关规定对产品标识和有可追溯性要求的产品进行控制</w:t>
      </w:r>
      <w:r>
        <w:rPr>
          <w:spacing w:val="11"/>
        </w:rPr>
        <w:t xml:space="preserve"> </w:t>
      </w:r>
      <w:r>
        <w:rPr>
          <w:spacing w:val="-3"/>
        </w:rPr>
        <w:t>的情况。</w:t>
      </w:r>
    </w:p>
    <w:p w14:paraId="76A66EAF">
      <w:pPr>
        <w:pStyle w:val="2"/>
        <w:spacing w:line="219" w:lineRule="auto"/>
        <w:ind w:left="580"/>
      </w:pPr>
      <w:r>
        <w:rPr>
          <w:spacing w:val="6"/>
        </w:rPr>
        <w:t>说明按</w:t>
      </w:r>
      <w:r>
        <w:rPr>
          <w:rFonts w:ascii="Times New Roman" w:hAnsi="Times New Roman" w:eastAsia="Times New Roman" w:cs="Times New Roman"/>
        </w:rPr>
        <w:t>GJB</w:t>
      </w:r>
      <w:r>
        <w:rPr>
          <w:rFonts w:ascii="Times New Roman" w:hAnsi="Times New Roman" w:eastAsia="Times New Roman" w:cs="Times New Roman"/>
          <w:spacing w:val="29"/>
        </w:rPr>
        <w:t xml:space="preserve">  </w:t>
      </w:r>
      <w:r>
        <w:rPr>
          <w:rFonts w:ascii="Times New Roman" w:hAnsi="Times New Roman" w:eastAsia="Times New Roman" w:cs="Times New Roman"/>
          <w:spacing w:val="6"/>
        </w:rPr>
        <w:t>1330</w:t>
      </w:r>
      <w:r>
        <w:rPr>
          <w:spacing w:val="6"/>
        </w:rPr>
        <w:t>有关规定对批次管理的产品进行标识和记录的情况。</w:t>
      </w:r>
    </w:p>
    <w:p w14:paraId="0B2447AB">
      <w:pPr>
        <w:spacing w:before="124" w:line="222" w:lineRule="auto"/>
        <w:rPr>
          <w:rFonts w:ascii="黑体" w:hAnsi="黑体" w:eastAsia="黑体" w:cs="黑体"/>
          <w:sz w:val="23"/>
          <w:szCs w:val="23"/>
        </w:rPr>
      </w:pPr>
      <w:r>
        <w:rPr>
          <w:rFonts w:ascii="黑体" w:hAnsi="黑体" w:eastAsia="黑体" w:cs="黑体"/>
          <w:spacing w:val="-6"/>
          <w:sz w:val="23"/>
          <w:szCs w:val="23"/>
        </w:rPr>
        <w:t>5.12</w:t>
      </w:r>
      <w:r>
        <w:rPr>
          <w:rFonts w:ascii="黑体" w:hAnsi="黑体" w:eastAsia="黑体" w:cs="黑体"/>
          <w:spacing w:val="16"/>
          <w:sz w:val="23"/>
          <w:szCs w:val="23"/>
        </w:rPr>
        <w:t xml:space="preserve">   </w:t>
      </w:r>
      <w:r>
        <w:rPr>
          <w:rFonts w:ascii="黑体" w:hAnsi="黑体" w:eastAsia="黑体" w:cs="黑体"/>
          <w:b/>
          <w:bCs/>
          <w:spacing w:val="-6"/>
          <w:sz w:val="23"/>
          <w:szCs w:val="23"/>
        </w:rPr>
        <w:t>顾</w:t>
      </w:r>
      <w:r>
        <w:rPr>
          <w:rFonts w:ascii="黑体" w:hAnsi="黑体" w:eastAsia="黑体" w:cs="黑体"/>
          <w:spacing w:val="-44"/>
          <w:sz w:val="23"/>
          <w:szCs w:val="23"/>
        </w:rPr>
        <w:t xml:space="preserve"> </w:t>
      </w:r>
      <w:r>
        <w:rPr>
          <w:rFonts w:ascii="黑体" w:hAnsi="黑体" w:eastAsia="黑体" w:cs="黑体"/>
          <w:b/>
          <w:bCs/>
          <w:spacing w:val="-6"/>
          <w:sz w:val="23"/>
          <w:szCs w:val="23"/>
        </w:rPr>
        <w:t>客</w:t>
      </w:r>
      <w:r>
        <w:rPr>
          <w:rFonts w:ascii="黑体" w:hAnsi="黑体" w:eastAsia="黑体" w:cs="黑体"/>
          <w:spacing w:val="-42"/>
          <w:sz w:val="23"/>
          <w:szCs w:val="23"/>
        </w:rPr>
        <w:t xml:space="preserve"> </w:t>
      </w:r>
      <w:r>
        <w:rPr>
          <w:rFonts w:ascii="黑体" w:hAnsi="黑体" w:eastAsia="黑体" w:cs="黑体"/>
          <w:b/>
          <w:bCs/>
          <w:spacing w:val="-6"/>
          <w:sz w:val="23"/>
          <w:szCs w:val="23"/>
        </w:rPr>
        <w:t>财</w:t>
      </w:r>
      <w:r>
        <w:rPr>
          <w:rFonts w:ascii="黑体" w:hAnsi="黑体" w:eastAsia="黑体" w:cs="黑体"/>
          <w:spacing w:val="-45"/>
          <w:sz w:val="23"/>
          <w:szCs w:val="23"/>
        </w:rPr>
        <w:t xml:space="preserve"> </w:t>
      </w:r>
      <w:r>
        <w:rPr>
          <w:rFonts w:ascii="黑体" w:hAnsi="黑体" w:eastAsia="黑体" w:cs="黑体"/>
          <w:b/>
          <w:bCs/>
          <w:spacing w:val="-6"/>
          <w:sz w:val="23"/>
          <w:szCs w:val="23"/>
        </w:rPr>
        <w:t>产</w:t>
      </w:r>
    </w:p>
    <w:p w14:paraId="3240029E">
      <w:pPr>
        <w:pStyle w:val="2"/>
        <w:spacing w:before="58" w:line="304" w:lineRule="auto"/>
        <w:ind w:right="96" w:firstLine="580"/>
      </w:pPr>
      <w:r>
        <w:rPr>
          <w:spacing w:val="-10"/>
        </w:rPr>
        <w:t>说明对顾客提供的产品如材料、工具、试验设备、工艺装备、软件、资</w:t>
      </w:r>
      <w:r>
        <w:rPr>
          <w:spacing w:val="-11"/>
        </w:rPr>
        <w:t>料、信</w:t>
      </w:r>
      <w:r>
        <w:t xml:space="preserve"> </w:t>
      </w:r>
      <w:r>
        <w:rPr>
          <w:spacing w:val="-12"/>
        </w:rPr>
        <w:t>息、知识产权或服务的控制情况，包括：</w:t>
      </w:r>
    </w:p>
    <w:p w14:paraId="1BCBE449">
      <w:pPr>
        <w:pStyle w:val="2"/>
        <w:spacing w:line="218" w:lineRule="auto"/>
        <w:ind w:left="580"/>
      </w:pPr>
      <w:r>
        <w:rPr>
          <w:rFonts w:ascii="Times New Roman" w:hAnsi="Times New Roman" w:eastAsia="Times New Roman" w:cs="Times New Roman"/>
          <w:spacing w:val="9"/>
        </w:rPr>
        <w:t>a</w:t>
      </w:r>
      <w:r>
        <w:rPr>
          <w:spacing w:val="9"/>
        </w:rPr>
        <w:t>)顾客提供产品的验证情况；</w:t>
      </w:r>
    </w:p>
    <w:p w14:paraId="31652B36">
      <w:pPr>
        <w:pStyle w:val="2"/>
        <w:spacing w:before="61" w:line="212" w:lineRule="auto"/>
        <w:ind w:left="580"/>
      </w:pPr>
      <w:r>
        <w:rPr>
          <w:rFonts w:ascii="Times New Roman" w:hAnsi="Times New Roman" w:eastAsia="Times New Roman" w:cs="Times New Roman"/>
          <w:spacing w:val="3"/>
        </w:rPr>
        <w:t>b)</w:t>
      </w:r>
      <w:r>
        <w:rPr>
          <w:rFonts w:ascii="Times New Roman" w:hAnsi="Times New Roman" w:eastAsia="Times New Roman" w:cs="Times New Roman"/>
          <w:spacing w:val="70"/>
          <w:w w:val="101"/>
        </w:rPr>
        <w:t xml:space="preserve"> </w:t>
      </w:r>
      <w:r>
        <w:rPr>
          <w:spacing w:val="3"/>
        </w:rPr>
        <w:t>顾客提供不合格产品的处置情况；</w:t>
      </w:r>
    </w:p>
    <w:p w14:paraId="2F492290">
      <w:pPr>
        <w:pStyle w:val="2"/>
        <w:spacing w:before="110" w:line="212" w:lineRule="auto"/>
        <w:ind w:left="580"/>
      </w:pPr>
      <w:r>
        <w:rPr>
          <w:rFonts w:ascii="Times New Roman" w:hAnsi="Times New Roman" w:eastAsia="Times New Roman" w:cs="Times New Roman"/>
          <w:spacing w:val="4"/>
        </w:rPr>
        <w:t>c)</w:t>
      </w:r>
      <w:r>
        <w:rPr>
          <w:rFonts w:ascii="Times New Roman" w:hAnsi="Times New Roman" w:eastAsia="Times New Roman" w:cs="Times New Roman"/>
          <w:spacing w:val="64"/>
        </w:rPr>
        <w:t xml:space="preserve"> </w:t>
      </w:r>
      <w:r>
        <w:rPr>
          <w:spacing w:val="4"/>
        </w:rPr>
        <w:t>对顾客财产进行保护和维护的情况；</w:t>
      </w:r>
    </w:p>
    <w:p w14:paraId="20AEC0F3">
      <w:pPr>
        <w:pStyle w:val="2"/>
        <w:spacing w:before="120" w:line="212" w:lineRule="auto"/>
        <w:ind w:left="580"/>
      </w:pPr>
      <w:r>
        <w:rPr>
          <w:rFonts w:ascii="Times New Roman" w:hAnsi="Times New Roman" w:eastAsia="Times New Roman" w:cs="Times New Roman"/>
          <w:spacing w:val="-2"/>
        </w:rPr>
        <w:t xml:space="preserve">d)  </w:t>
      </w:r>
      <w:r>
        <w:rPr>
          <w:spacing w:val="-2"/>
        </w:rPr>
        <w:t>损坏、丢失或不适用产品的记录与报告的情况。</w:t>
      </w:r>
    </w:p>
    <w:p w14:paraId="3FC4AC81">
      <w:pPr>
        <w:spacing w:before="144" w:line="221" w:lineRule="auto"/>
        <w:rPr>
          <w:rFonts w:ascii="黑体" w:hAnsi="黑体" w:eastAsia="黑体" w:cs="黑体"/>
          <w:sz w:val="27"/>
          <w:szCs w:val="27"/>
        </w:rPr>
      </w:pPr>
      <w:r>
        <w:rPr>
          <w:rFonts w:ascii="黑体" w:hAnsi="黑体" w:eastAsia="黑体" w:cs="黑体"/>
          <w:sz w:val="27"/>
          <w:szCs w:val="27"/>
        </w:rPr>
        <w:t>5.13</w:t>
      </w:r>
      <w:r>
        <w:rPr>
          <w:rFonts w:ascii="黑体" w:hAnsi="黑体" w:eastAsia="黑体" w:cs="黑体"/>
          <w:spacing w:val="21"/>
          <w:sz w:val="27"/>
          <w:szCs w:val="27"/>
        </w:rPr>
        <w:t xml:space="preserve">  </w:t>
      </w:r>
      <w:r>
        <w:rPr>
          <w:rFonts w:ascii="黑体" w:hAnsi="黑体" w:eastAsia="黑体" w:cs="黑体"/>
          <w:b/>
          <w:bCs/>
          <w:sz w:val="27"/>
          <w:szCs w:val="27"/>
        </w:rPr>
        <w:t>产品防护</w:t>
      </w:r>
    </w:p>
    <w:p w14:paraId="5B7BF425">
      <w:pPr>
        <w:pStyle w:val="2"/>
        <w:spacing w:before="82" w:line="291" w:lineRule="auto"/>
        <w:ind w:firstLine="580"/>
        <w:jc w:val="both"/>
      </w:pPr>
      <w:r>
        <w:rPr>
          <w:spacing w:val="-10"/>
        </w:rPr>
        <w:t>说明在制造、搬运、贮存、包装、防护和交付等活动中，按</w:t>
      </w:r>
      <w:r>
        <w:rPr>
          <w:rFonts w:ascii="Times New Roman" w:hAnsi="Times New Roman" w:eastAsia="Times New Roman" w:cs="Times New Roman"/>
          <w:spacing w:val="-10"/>
        </w:rPr>
        <w:t>GJB   1443</w:t>
      </w:r>
      <w:r>
        <w:rPr>
          <w:spacing w:val="-10"/>
        </w:rPr>
        <w:t>的要求，</w:t>
      </w:r>
      <w:r>
        <w:rPr>
          <w:spacing w:val="11"/>
        </w:rPr>
        <w:t xml:space="preserve"> </w:t>
      </w:r>
      <w:r>
        <w:rPr>
          <w:spacing w:val="5"/>
        </w:rPr>
        <w:t>对器材(含半成品)或产品采取必要的防护措施的情况，以及确保不降低产品特</w:t>
      </w:r>
      <w:r>
        <w:rPr>
          <w:spacing w:val="1"/>
        </w:rPr>
        <w:t xml:space="preserve">  </w:t>
      </w:r>
      <w:r>
        <w:rPr>
          <w:spacing w:val="-5"/>
        </w:rPr>
        <w:t>性，安全交付到指定地点的情况。</w:t>
      </w:r>
    </w:p>
    <w:p w14:paraId="2CE58FE0">
      <w:pPr>
        <w:spacing w:before="1" w:line="222" w:lineRule="auto"/>
        <w:rPr>
          <w:rFonts w:ascii="黑体" w:hAnsi="黑体" w:eastAsia="黑体" w:cs="黑体"/>
          <w:sz w:val="27"/>
          <w:szCs w:val="27"/>
        </w:rPr>
      </w:pPr>
      <w:r>
        <w:rPr>
          <w:rFonts w:ascii="黑体" w:hAnsi="黑体" w:eastAsia="黑体" w:cs="黑体"/>
          <w:spacing w:val="1"/>
          <w:sz w:val="27"/>
          <w:szCs w:val="27"/>
        </w:rPr>
        <w:t>5.14</w:t>
      </w:r>
      <w:r>
        <w:rPr>
          <w:rFonts w:ascii="黑体" w:hAnsi="黑体" w:eastAsia="黑体" w:cs="黑体"/>
          <w:spacing w:val="19"/>
          <w:sz w:val="27"/>
          <w:szCs w:val="27"/>
        </w:rPr>
        <w:t xml:space="preserve">  </w:t>
      </w:r>
      <w:r>
        <w:rPr>
          <w:rFonts w:ascii="黑体" w:hAnsi="黑体" w:eastAsia="黑体" w:cs="黑体"/>
          <w:b/>
          <w:bCs/>
          <w:spacing w:val="1"/>
          <w:sz w:val="27"/>
          <w:szCs w:val="27"/>
        </w:rPr>
        <w:t>监视和测量</w:t>
      </w:r>
    </w:p>
    <w:p w14:paraId="4C37008C">
      <w:pPr>
        <w:pStyle w:val="2"/>
        <w:spacing w:before="98" w:line="313" w:lineRule="auto"/>
        <w:ind w:right="114" w:firstLine="580"/>
        <w:rPr>
          <w:sz w:val="25"/>
          <w:szCs w:val="25"/>
        </w:rPr>
      </w:pPr>
      <w:r>
        <w:rPr>
          <w:spacing w:val="17"/>
          <w:sz w:val="25"/>
          <w:szCs w:val="25"/>
        </w:rPr>
        <w:t>说明对产品进行监视和测量的情况，包括一般要求、过程检验、验收试验和</w:t>
      </w:r>
      <w:r>
        <w:rPr>
          <w:spacing w:val="8"/>
          <w:sz w:val="25"/>
          <w:szCs w:val="25"/>
        </w:rPr>
        <w:t xml:space="preserve"> </w:t>
      </w:r>
      <w:r>
        <w:rPr>
          <w:spacing w:val="10"/>
          <w:sz w:val="25"/>
          <w:szCs w:val="25"/>
        </w:rPr>
        <w:t>检验、例行试验(典型试验)、无损检验、试验和检验</w:t>
      </w:r>
      <w:r>
        <w:rPr>
          <w:spacing w:val="9"/>
          <w:sz w:val="25"/>
          <w:szCs w:val="25"/>
        </w:rPr>
        <w:t>记录等情况。</w:t>
      </w:r>
    </w:p>
    <w:p w14:paraId="4AF0CA00">
      <w:pPr>
        <w:spacing w:line="223" w:lineRule="auto"/>
        <w:rPr>
          <w:rFonts w:ascii="黑体" w:hAnsi="黑体" w:eastAsia="黑体" w:cs="黑体"/>
          <w:sz w:val="27"/>
          <w:szCs w:val="27"/>
        </w:rPr>
      </w:pPr>
      <w:r>
        <w:rPr>
          <w:rFonts w:ascii="黑体" w:hAnsi="黑体" w:eastAsia="黑体" w:cs="黑体"/>
          <w:spacing w:val="1"/>
          <w:sz w:val="27"/>
          <w:szCs w:val="27"/>
        </w:rPr>
        <w:t>5.15</w:t>
      </w:r>
      <w:r>
        <w:rPr>
          <w:rFonts w:ascii="黑体" w:hAnsi="黑体" w:eastAsia="黑体" w:cs="黑体"/>
          <w:spacing w:val="23"/>
          <w:sz w:val="27"/>
          <w:szCs w:val="27"/>
        </w:rPr>
        <w:t xml:space="preserve">  </w:t>
      </w:r>
      <w:r>
        <w:rPr>
          <w:rFonts w:ascii="黑体" w:hAnsi="黑体" w:eastAsia="黑体" w:cs="黑体"/>
          <w:b/>
          <w:bCs/>
          <w:spacing w:val="1"/>
          <w:sz w:val="27"/>
          <w:szCs w:val="27"/>
        </w:rPr>
        <w:t>不合格品的控制</w:t>
      </w:r>
    </w:p>
    <w:p w14:paraId="7970F6CF">
      <w:pPr>
        <w:pStyle w:val="2"/>
        <w:spacing w:before="85" w:line="296" w:lineRule="auto"/>
        <w:ind w:right="112" w:firstLine="580"/>
      </w:pPr>
      <w:r>
        <w:rPr>
          <w:spacing w:val="-9"/>
        </w:rPr>
        <w:t>说明按</w:t>
      </w:r>
      <w:r>
        <w:rPr>
          <w:rFonts w:ascii="Times New Roman" w:hAnsi="Times New Roman" w:eastAsia="Times New Roman" w:cs="Times New Roman"/>
          <w:spacing w:val="-9"/>
        </w:rPr>
        <w:t xml:space="preserve">GJB571   </w:t>
      </w:r>
      <w:r>
        <w:rPr>
          <w:spacing w:val="-9"/>
        </w:rPr>
        <w:t>的规定，对不合格品进行标</w:t>
      </w:r>
      <w:r>
        <w:rPr>
          <w:spacing w:val="-10"/>
        </w:rPr>
        <w:t>识、评价、隔离、处置和记录，以</w:t>
      </w:r>
      <w:r>
        <w:t xml:space="preserve"> </w:t>
      </w:r>
      <w:r>
        <w:rPr>
          <w:spacing w:val="3"/>
        </w:rPr>
        <w:t>防止其非预期使用或交付的情况。</w:t>
      </w:r>
    </w:p>
    <w:p w14:paraId="45571EB3">
      <w:pPr>
        <w:spacing w:before="1" w:line="220" w:lineRule="auto"/>
        <w:rPr>
          <w:rFonts w:ascii="黑体" w:hAnsi="黑体" w:eastAsia="黑体" w:cs="黑体"/>
          <w:sz w:val="25"/>
          <w:szCs w:val="25"/>
        </w:rPr>
      </w:pPr>
      <w:r>
        <w:rPr>
          <w:rFonts w:ascii="黑体" w:hAnsi="黑体" w:eastAsia="黑体" w:cs="黑体"/>
          <w:spacing w:val="9"/>
          <w:sz w:val="25"/>
          <w:szCs w:val="25"/>
        </w:rPr>
        <w:t>5.16</w:t>
      </w:r>
      <w:r>
        <w:rPr>
          <w:rFonts w:ascii="黑体" w:hAnsi="黑体" w:eastAsia="黑体" w:cs="黑体"/>
          <w:spacing w:val="51"/>
          <w:sz w:val="25"/>
          <w:szCs w:val="25"/>
        </w:rPr>
        <w:t xml:space="preserve">  </w:t>
      </w:r>
      <w:r>
        <w:rPr>
          <w:rFonts w:ascii="黑体" w:hAnsi="黑体" w:eastAsia="黑体" w:cs="黑体"/>
          <w:b/>
          <w:bCs/>
          <w:spacing w:val="9"/>
          <w:sz w:val="25"/>
          <w:szCs w:val="25"/>
        </w:rPr>
        <w:t>售后服务</w:t>
      </w:r>
    </w:p>
    <w:p w14:paraId="423CCD45">
      <w:pPr>
        <w:pStyle w:val="2"/>
        <w:spacing w:before="108" w:line="292" w:lineRule="auto"/>
        <w:ind w:right="121" w:firstLine="580"/>
      </w:pPr>
      <w:r>
        <w:rPr>
          <w:spacing w:val="-3"/>
        </w:rPr>
        <w:t>说明按协议或合同要求组织技术服务队伍到现场，指导正确安装、调试、使</w:t>
      </w:r>
      <w:r>
        <w:rPr>
          <w:spacing w:val="1"/>
        </w:rPr>
        <w:t xml:space="preserve"> </w:t>
      </w:r>
      <w:r>
        <w:rPr>
          <w:spacing w:val="-3"/>
        </w:rPr>
        <w:t>用和维护，及时解决出现的问题等售后服务情况。</w:t>
      </w:r>
    </w:p>
    <w:p w14:paraId="6198CF56">
      <w:pPr>
        <w:spacing w:before="1" w:line="221"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25"/>
          <w:sz w:val="27"/>
          <w:szCs w:val="27"/>
        </w:rPr>
        <w:t xml:space="preserve">  </w:t>
      </w:r>
      <w:r>
        <w:rPr>
          <w:rFonts w:ascii="黑体" w:hAnsi="黑体" w:eastAsia="黑体" w:cs="黑体"/>
          <w:b/>
          <w:bCs/>
          <w:spacing w:val="2"/>
          <w:sz w:val="27"/>
          <w:szCs w:val="27"/>
        </w:rPr>
        <w:t>产品技术状态更改控制情况</w:t>
      </w:r>
    </w:p>
    <w:p w14:paraId="13E74BC2">
      <w:pPr>
        <w:spacing w:before="125" w:line="222" w:lineRule="auto"/>
        <w:rPr>
          <w:rFonts w:ascii="黑体" w:hAnsi="黑体" w:eastAsia="黑体" w:cs="黑体"/>
          <w:sz w:val="24"/>
          <w:szCs w:val="24"/>
        </w:rPr>
      </w:pPr>
      <w:r>
        <w:rPr>
          <w:rFonts w:ascii="黑体" w:hAnsi="黑体" w:eastAsia="黑体" w:cs="黑体"/>
          <w:spacing w:val="25"/>
          <w:sz w:val="24"/>
          <w:szCs w:val="24"/>
        </w:rPr>
        <w:t>6.1</w:t>
      </w:r>
      <w:r>
        <w:rPr>
          <w:rFonts w:ascii="黑体" w:hAnsi="黑体" w:eastAsia="黑体" w:cs="黑体"/>
          <w:spacing w:val="62"/>
          <w:sz w:val="24"/>
          <w:szCs w:val="24"/>
        </w:rPr>
        <w:t xml:space="preserve">  </w:t>
      </w:r>
      <w:r>
        <w:rPr>
          <w:rFonts w:ascii="黑体" w:hAnsi="黑体" w:eastAsia="黑体" w:cs="黑体"/>
          <w:b/>
          <w:bCs/>
          <w:spacing w:val="25"/>
          <w:sz w:val="24"/>
          <w:szCs w:val="24"/>
        </w:rPr>
        <w:t>设计更改及其控制情况</w:t>
      </w:r>
    </w:p>
    <w:p w14:paraId="37697F6D">
      <w:pPr>
        <w:pStyle w:val="2"/>
        <w:spacing w:before="109" w:line="288" w:lineRule="auto"/>
        <w:ind w:right="118" w:firstLine="580"/>
        <w:jc w:val="both"/>
      </w:pPr>
      <w:r>
        <w:rPr>
          <w:spacing w:val="-3"/>
        </w:rPr>
        <w:t>说明产品设计定型后，针对产品使用过程中存在的问题、技术发展要求或产</w:t>
      </w:r>
      <w:r>
        <w:rPr>
          <w:spacing w:val="4"/>
        </w:rPr>
        <w:t xml:space="preserve"> </w:t>
      </w:r>
      <w:r>
        <w:rPr>
          <w:spacing w:val="22"/>
        </w:rPr>
        <w:t>品三化要求等，对产品进行设计更改的情况；以及设计更改时，依据</w:t>
      </w:r>
      <w:r>
        <w:rPr>
          <w:spacing w:val="-56"/>
        </w:rPr>
        <w:t xml:space="preserve"> </w:t>
      </w:r>
      <w:r>
        <w:rPr>
          <w:rFonts w:ascii="Times New Roman" w:hAnsi="Times New Roman" w:eastAsia="Times New Roman" w:cs="Times New Roman"/>
        </w:rPr>
        <w:t xml:space="preserve">GJB  </w:t>
      </w:r>
      <w:r>
        <w:rPr>
          <w:spacing w:val="3"/>
        </w:rPr>
        <w:t>3206</w:t>
      </w:r>
      <w:r>
        <w:rPr>
          <w:rFonts w:ascii="Times New Roman" w:hAnsi="Times New Roman" w:eastAsia="Times New Roman" w:cs="Times New Roman"/>
          <w:spacing w:val="3"/>
        </w:rPr>
        <w:t>A—2010</w:t>
      </w:r>
      <w:r>
        <w:rPr>
          <w:rFonts w:ascii="Times New Roman" w:hAnsi="Times New Roman" w:eastAsia="Times New Roman" w:cs="Times New Roman"/>
          <w:spacing w:val="26"/>
        </w:rPr>
        <w:t xml:space="preserve"> </w:t>
      </w:r>
      <w:r>
        <w:rPr>
          <w:spacing w:val="3"/>
        </w:rPr>
        <w:t>对产品设计更改进行控制的情况。</w:t>
      </w:r>
    </w:p>
    <w:p w14:paraId="3036F966">
      <w:pPr>
        <w:spacing w:before="1" w:line="221" w:lineRule="auto"/>
        <w:rPr>
          <w:rFonts w:ascii="黑体" w:hAnsi="黑体" w:eastAsia="黑体" w:cs="黑体"/>
          <w:sz w:val="27"/>
          <w:szCs w:val="27"/>
        </w:rPr>
      </w:pPr>
      <w:r>
        <w:rPr>
          <w:rFonts w:ascii="黑体" w:hAnsi="黑体" w:eastAsia="黑体" w:cs="黑体"/>
          <w:spacing w:val="-1"/>
          <w:sz w:val="27"/>
          <w:szCs w:val="27"/>
        </w:rPr>
        <w:t>6.2</w:t>
      </w:r>
      <w:r>
        <w:rPr>
          <w:rFonts w:ascii="黑体" w:hAnsi="黑体" w:eastAsia="黑体" w:cs="黑体"/>
          <w:spacing w:val="42"/>
          <w:sz w:val="27"/>
          <w:szCs w:val="27"/>
        </w:rPr>
        <w:t xml:space="preserve">  </w:t>
      </w:r>
      <w:r>
        <w:rPr>
          <w:rFonts w:ascii="黑体" w:hAnsi="黑体" w:eastAsia="黑体" w:cs="黑体"/>
          <w:b/>
          <w:bCs/>
          <w:spacing w:val="-1"/>
          <w:sz w:val="27"/>
          <w:szCs w:val="27"/>
        </w:rPr>
        <w:t>工艺更改及其控制情况</w:t>
      </w:r>
    </w:p>
    <w:p w14:paraId="50851D4A">
      <w:pPr>
        <w:pStyle w:val="2"/>
        <w:spacing w:before="109" w:line="282" w:lineRule="auto"/>
        <w:ind w:right="100" w:firstLine="580"/>
        <w:jc w:val="both"/>
      </w:pPr>
      <w:r>
        <w:rPr>
          <w:spacing w:val="-2"/>
        </w:rPr>
        <w:t>说明产品设计定型后，由于设计更改进行相应的工</w:t>
      </w:r>
      <w:r>
        <w:rPr>
          <w:spacing w:val="-3"/>
        </w:rPr>
        <w:t>艺更改，或者为了解决工</w:t>
      </w:r>
      <w:r>
        <w:t xml:space="preserve"> </w:t>
      </w:r>
      <w:r>
        <w:rPr>
          <w:spacing w:val="-2"/>
        </w:rPr>
        <w:t>艺问题和优化工艺等原因，对产品进行工艺更改的情况；以及工艺更改时，依据</w:t>
      </w:r>
      <w:r>
        <w:rPr>
          <w:spacing w:val="14"/>
        </w:rPr>
        <w:t xml:space="preserve"> </w:t>
      </w:r>
      <w:r>
        <w:rPr>
          <w:rFonts w:ascii="Times New Roman" w:hAnsi="Times New Roman" w:eastAsia="Times New Roman" w:cs="Times New Roman"/>
        </w:rPr>
        <w:t>GJB</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2"/>
        </w:rPr>
        <w:t>3206A—2010</w:t>
      </w:r>
      <w:r>
        <w:rPr>
          <w:rFonts w:ascii="Times New Roman" w:hAnsi="Times New Roman" w:eastAsia="Times New Roman" w:cs="Times New Roman"/>
          <w:spacing w:val="-28"/>
        </w:rPr>
        <w:t xml:space="preserve"> </w:t>
      </w:r>
      <w:r>
        <w:rPr>
          <w:spacing w:val="2"/>
        </w:rPr>
        <w:t>对产品工艺更改进行控制的情况。</w:t>
      </w:r>
    </w:p>
    <w:p w14:paraId="4377E9D0">
      <w:pPr>
        <w:spacing w:line="282" w:lineRule="auto"/>
        <w:sectPr>
          <w:footerReference r:id="rId333" w:type="default"/>
          <w:pgSz w:w="11910" w:h="17130"/>
          <w:pgMar w:top="1456" w:right="854" w:bottom="1610" w:left="1539" w:header="0" w:footer="1337" w:gutter="0"/>
          <w:cols w:space="720" w:num="1"/>
        </w:sectPr>
      </w:pPr>
    </w:p>
    <w:p w14:paraId="7E050989">
      <w:pPr>
        <w:spacing w:before="109" w:line="222" w:lineRule="auto"/>
        <w:rPr>
          <w:rFonts w:ascii="黑体" w:hAnsi="黑体" w:eastAsia="黑体" w:cs="黑体"/>
          <w:sz w:val="27"/>
          <w:szCs w:val="27"/>
        </w:rPr>
      </w:pPr>
      <w:r>
        <w:rPr>
          <w:rFonts w:ascii="黑体" w:hAnsi="黑体" w:eastAsia="黑体" w:cs="黑体"/>
          <w:spacing w:val="2"/>
          <w:sz w:val="27"/>
          <w:szCs w:val="27"/>
        </w:rPr>
        <w:t xml:space="preserve">6.3  </w:t>
      </w:r>
      <w:r>
        <w:rPr>
          <w:rFonts w:ascii="黑体" w:hAnsi="黑体" w:eastAsia="黑体" w:cs="黑体"/>
          <w:b/>
          <w:bCs/>
          <w:spacing w:val="2"/>
          <w:sz w:val="27"/>
          <w:szCs w:val="27"/>
        </w:rPr>
        <w:t>技术文件更改及其控制情况</w:t>
      </w:r>
    </w:p>
    <w:p w14:paraId="6DF3F3A5">
      <w:pPr>
        <w:pStyle w:val="2"/>
        <w:spacing w:before="69" w:line="284" w:lineRule="auto"/>
        <w:ind w:right="142" w:firstLine="560"/>
        <w:jc w:val="both"/>
      </w:pPr>
      <w:r>
        <w:rPr>
          <w:spacing w:val="-3"/>
        </w:rPr>
        <w:t>说明产品设计定型后，由于设计更改或工艺更改，对</w:t>
      </w:r>
      <w:r>
        <w:rPr>
          <w:spacing w:val="-4"/>
        </w:rPr>
        <w:t>产品技术文件更改的情</w:t>
      </w:r>
      <w:r>
        <w:t xml:space="preserve"> 况；以及技术文件更改时，依据</w:t>
      </w:r>
      <w:r>
        <w:rPr>
          <w:spacing w:val="-80"/>
        </w:rPr>
        <w:t xml:space="preserve"> </w:t>
      </w:r>
      <w:r>
        <w:rPr>
          <w:rFonts w:ascii="Times New Roman" w:hAnsi="Times New Roman" w:eastAsia="Times New Roman" w:cs="Times New Roman"/>
        </w:rPr>
        <w:t xml:space="preserve">GJB   3206A—2010 </w:t>
      </w:r>
      <w:r>
        <w:t>或研</w:t>
      </w:r>
      <w:r>
        <w:rPr>
          <w:spacing w:val="-1"/>
        </w:rPr>
        <w:t>制单位技术文件管理规</w:t>
      </w:r>
      <w:r>
        <w:t xml:space="preserve"> </w:t>
      </w:r>
      <w:r>
        <w:rPr>
          <w:spacing w:val="4"/>
        </w:rPr>
        <w:t>定对产品技术文件更改进行控制的情况。</w:t>
      </w:r>
    </w:p>
    <w:p w14:paraId="65E79ACA">
      <w:pPr>
        <w:spacing w:line="221" w:lineRule="auto"/>
        <w:outlineLvl w:val="3"/>
        <w:rPr>
          <w:rFonts w:ascii="黑体" w:hAnsi="黑体" w:eastAsia="黑体" w:cs="黑体"/>
          <w:sz w:val="27"/>
          <w:szCs w:val="27"/>
        </w:rPr>
      </w:pPr>
      <w:r>
        <w:rPr>
          <w:rFonts w:ascii="Arial" w:hAnsi="Arial" w:eastAsia="Arial" w:cs="Arial"/>
          <w:b/>
          <w:bCs/>
          <w:spacing w:val="2"/>
          <w:sz w:val="27"/>
          <w:szCs w:val="27"/>
        </w:rPr>
        <w:t>7</w:t>
      </w:r>
      <w:r>
        <w:rPr>
          <w:rFonts w:ascii="Arial" w:hAnsi="Arial" w:eastAsia="Arial" w:cs="Arial"/>
          <w:b/>
          <w:bCs/>
          <w:spacing w:val="16"/>
          <w:sz w:val="27"/>
          <w:szCs w:val="27"/>
        </w:rPr>
        <w:t xml:space="preserve">   </w:t>
      </w:r>
      <w:r>
        <w:rPr>
          <w:rFonts w:ascii="黑体" w:hAnsi="黑体" w:eastAsia="黑体" w:cs="黑体"/>
          <w:b/>
          <w:bCs/>
          <w:spacing w:val="2"/>
          <w:sz w:val="27"/>
          <w:szCs w:val="27"/>
        </w:rPr>
        <w:t>产品性能符合技术指标情况</w:t>
      </w:r>
    </w:p>
    <w:p w14:paraId="765F10FB">
      <w:pPr>
        <w:pStyle w:val="2"/>
        <w:spacing w:before="93" w:line="282" w:lineRule="auto"/>
        <w:ind w:right="130" w:firstLine="560"/>
        <w:jc w:val="both"/>
        <w:rPr>
          <w:sz w:val="24"/>
          <w:szCs w:val="24"/>
        </w:rPr>
      </w:pPr>
      <w:r>
        <w:rPr>
          <w:spacing w:val="5"/>
        </w:rPr>
        <w:t>说明产品性能符合技术指标情况。应对照批准的研制总要求、生产定型技</w:t>
      </w:r>
      <w:r>
        <w:t xml:space="preserve"> </w:t>
      </w:r>
      <w:r>
        <w:rPr>
          <w:spacing w:val="1"/>
        </w:rPr>
        <w:t>术状态，以表格形式对比说明产品的战术技术性能要求以及实际达到的水平(生</w:t>
      </w:r>
      <w:r>
        <w:rPr>
          <w:spacing w:val="11"/>
        </w:rPr>
        <w:t xml:space="preserve"> </w:t>
      </w:r>
      <w:r>
        <w:rPr>
          <w:spacing w:val="31"/>
        </w:rPr>
        <w:t>产定型试验结果),</w:t>
      </w:r>
      <w:r>
        <w:rPr>
          <w:rFonts w:ascii="仿宋" w:hAnsi="仿宋" w:eastAsia="仿宋" w:cs="仿宋"/>
          <w:spacing w:val="31"/>
        </w:rPr>
        <w:t>实际水平应给出实测值。战术技术性能指标对照表见</w:t>
      </w:r>
      <w:r>
        <w:rPr>
          <w:rFonts w:ascii="仿宋" w:hAnsi="仿宋" w:eastAsia="仿宋" w:cs="仿宋"/>
          <w:spacing w:val="11"/>
        </w:rPr>
        <w:t xml:space="preserve"> </w:t>
      </w:r>
      <w:r>
        <w:rPr>
          <w:spacing w:val="-13"/>
          <w:sz w:val="24"/>
          <w:szCs w:val="24"/>
        </w:rPr>
        <w:t>表</w:t>
      </w:r>
      <w:r>
        <w:rPr>
          <w:spacing w:val="-29"/>
          <w:sz w:val="24"/>
          <w:szCs w:val="24"/>
        </w:rPr>
        <w:t xml:space="preserve"> </w:t>
      </w:r>
      <w:r>
        <w:rPr>
          <w:spacing w:val="-13"/>
          <w:sz w:val="24"/>
          <w:szCs w:val="24"/>
        </w:rPr>
        <w:t>5</w:t>
      </w:r>
      <w:r>
        <w:rPr>
          <w:spacing w:val="-28"/>
          <w:sz w:val="24"/>
          <w:szCs w:val="24"/>
        </w:rPr>
        <w:t xml:space="preserve"> </w:t>
      </w:r>
      <w:r>
        <w:rPr>
          <w:spacing w:val="-13"/>
          <w:sz w:val="24"/>
          <w:szCs w:val="24"/>
        </w:rPr>
        <w:t>.1。</w:t>
      </w:r>
    </w:p>
    <w:p w14:paraId="36A51B11">
      <w:pPr>
        <w:spacing w:line="222" w:lineRule="auto"/>
        <w:rPr>
          <w:rFonts w:ascii="黑体" w:hAnsi="黑体" w:eastAsia="黑体" w:cs="黑体"/>
          <w:sz w:val="27"/>
          <w:szCs w:val="27"/>
        </w:rPr>
      </w:pPr>
      <w:r>
        <w:rPr>
          <w:rFonts w:ascii="黑体" w:hAnsi="黑体" w:eastAsia="黑体" w:cs="黑体"/>
          <w:spacing w:val="2"/>
          <w:sz w:val="27"/>
          <w:szCs w:val="27"/>
        </w:rPr>
        <w:t xml:space="preserve">8  </w:t>
      </w:r>
      <w:r>
        <w:rPr>
          <w:rFonts w:ascii="黑体" w:hAnsi="黑体" w:eastAsia="黑体" w:cs="黑体"/>
          <w:b/>
          <w:bCs/>
          <w:spacing w:val="2"/>
          <w:sz w:val="27"/>
          <w:szCs w:val="27"/>
        </w:rPr>
        <w:t>产品质量情况</w:t>
      </w:r>
    </w:p>
    <w:p w14:paraId="5D6E1FF4">
      <w:pPr>
        <w:pStyle w:val="2"/>
        <w:spacing w:before="100" w:line="281" w:lineRule="auto"/>
        <w:ind w:firstLine="560"/>
      </w:pPr>
      <w:r>
        <w:rPr>
          <w:spacing w:val="-7"/>
        </w:rPr>
        <w:t>说明投产产品的质量情况，特别是对产品可靠性、维修性、测试性、保障性、</w:t>
      </w:r>
      <w:r>
        <w:rPr>
          <w:spacing w:val="1"/>
        </w:rPr>
        <w:t xml:space="preserve"> </w:t>
      </w:r>
      <w:r>
        <w:rPr>
          <w:spacing w:val="-10"/>
        </w:rPr>
        <w:t>安全性、电磁兼容性、环境适应性、人机工程等情况进行说明。</w:t>
      </w:r>
    </w:p>
    <w:p w14:paraId="4B63EF54">
      <w:pPr>
        <w:pStyle w:val="2"/>
        <w:spacing w:before="6" w:line="290" w:lineRule="auto"/>
        <w:ind w:right="30" w:firstLine="560"/>
        <w:rPr>
          <w:sz w:val="25"/>
          <w:szCs w:val="25"/>
        </w:rPr>
      </w:pPr>
      <w:r>
        <w:rPr>
          <w:spacing w:val="20"/>
          <w:sz w:val="25"/>
          <w:szCs w:val="25"/>
        </w:rPr>
        <w:t>对产品生产数据和部队使用情况进行统计分析，给出产品检验验收合格率、</w:t>
      </w:r>
      <w:r>
        <w:rPr>
          <w:spacing w:val="3"/>
          <w:sz w:val="25"/>
          <w:szCs w:val="25"/>
        </w:rPr>
        <w:t xml:space="preserve"> </w:t>
      </w:r>
      <w:r>
        <w:rPr>
          <w:spacing w:val="14"/>
          <w:sz w:val="25"/>
          <w:szCs w:val="25"/>
        </w:rPr>
        <w:t>一次交验合格率、顾客满意度等数据。</w:t>
      </w:r>
    </w:p>
    <w:p w14:paraId="688D2BFB">
      <w:pPr>
        <w:spacing w:before="29" w:line="221" w:lineRule="auto"/>
        <w:rPr>
          <w:rFonts w:ascii="黑体" w:hAnsi="黑体" w:eastAsia="黑体" w:cs="黑体"/>
          <w:sz w:val="24"/>
          <w:szCs w:val="24"/>
        </w:rPr>
      </w:pPr>
      <w:r>
        <w:rPr>
          <w:rFonts w:ascii="黑体" w:hAnsi="黑体" w:eastAsia="黑体" w:cs="黑体"/>
          <w:spacing w:val="27"/>
          <w:sz w:val="24"/>
          <w:szCs w:val="24"/>
        </w:rPr>
        <w:t>9</w:t>
      </w:r>
      <w:r>
        <w:rPr>
          <w:rFonts w:ascii="黑体" w:hAnsi="黑体" w:eastAsia="黑体" w:cs="黑体"/>
          <w:spacing w:val="31"/>
          <w:sz w:val="24"/>
          <w:szCs w:val="24"/>
        </w:rPr>
        <w:t xml:space="preserve">  </w:t>
      </w:r>
      <w:r>
        <w:rPr>
          <w:rFonts w:ascii="黑体" w:hAnsi="黑体" w:eastAsia="黑体" w:cs="黑体"/>
          <w:b/>
          <w:bCs/>
          <w:spacing w:val="27"/>
          <w:sz w:val="24"/>
          <w:szCs w:val="24"/>
        </w:rPr>
        <w:t>质量问题及归零情况</w:t>
      </w:r>
    </w:p>
    <w:p w14:paraId="7CCC7509">
      <w:pPr>
        <w:spacing w:before="90" w:line="212" w:lineRule="auto"/>
        <w:rPr>
          <w:rFonts w:ascii="Times New Roman" w:hAnsi="Times New Roman" w:eastAsia="Times New Roman" w:cs="Times New Roman"/>
          <w:sz w:val="25"/>
          <w:szCs w:val="25"/>
        </w:rPr>
      </w:pPr>
      <w:r>
        <w:rPr>
          <w:rFonts w:ascii="Times New Roman" w:hAnsi="Times New Roman" w:eastAsia="Times New Roman" w:cs="Times New Roman"/>
          <w:spacing w:val="8"/>
          <w:sz w:val="25"/>
          <w:szCs w:val="25"/>
        </w:rPr>
        <w:t>9.</w:t>
      </w:r>
      <w:r>
        <w:rPr>
          <w:rFonts w:ascii="Times New Roman" w:hAnsi="Times New Roman" w:eastAsia="Times New Roman" w:cs="Times New Roman"/>
          <w:spacing w:val="22"/>
          <w:sz w:val="25"/>
          <w:szCs w:val="25"/>
        </w:rPr>
        <w:t xml:space="preserve"> </w:t>
      </w:r>
      <w:r>
        <w:rPr>
          <w:rFonts w:ascii="Times New Roman" w:hAnsi="Times New Roman" w:eastAsia="Times New Roman" w:cs="Times New Roman"/>
          <w:spacing w:val="8"/>
          <w:sz w:val="25"/>
          <w:szCs w:val="25"/>
        </w:rPr>
        <w:t>X</w:t>
      </w:r>
      <w:r>
        <w:rPr>
          <w:rFonts w:ascii="Times New Roman" w:hAnsi="Times New Roman" w:eastAsia="Times New Roman" w:cs="Times New Roman"/>
          <w:spacing w:val="13"/>
          <w:sz w:val="25"/>
          <w:szCs w:val="25"/>
        </w:rPr>
        <w:t xml:space="preserve">    </w:t>
      </w:r>
      <w:r>
        <w:rPr>
          <w:rFonts w:ascii="黑体" w:hAnsi="黑体" w:eastAsia="黑体" w:cs="黑体"/>
          <w:b/>
          <w:bCs/>
          <w:spacing w:val="8"/>
          <w:sz w:val="25"/>
          <w:szCs w:val="25"/>
        </w:rPr>
        <w:t>(质量问题</w:t>
      </w:r>
      <w:r>
        <w:rPr>
          <w:rFonts w:ascii="黑体" w:hAnsi="黑体" w:eastAsia="黑体" w:cs="黑体"/>
          <w:spacing w:val="-50"/>
          <w:sz w:val="25"/>
          <w:szCs w:val="25"/>
        </w:rPr>
        <w:t xml:space="preserve"> </w:t>
      </w:r>
      <w:r>
        <w:rPr>
          <w:rFonts w:ascii="Times New Roman" w:hAnsi="Times New Roman" w:eastAsia="Times New Roman" w:cs="Times New Roman"/>
          <w:spacing w:val="8"/>
          <w:sz w:val="25"/>
          <w:szCs w:val="25"/>
        </w:rPr>
        <w:t>X)</w:t>
      </w:r>
    </w:p>
    <w:p w14:paraId="0CC199F9">
      <w:pPr>
        <w:spacing w:before="138" w:line="222" w:lineRule="auto"/>
        <w:rPr>
          <w:rFonts w:ascii="黑体" w:hAnsi="黑体" w:eastAsia="黑体" w:cs="黑体"/>
          <w:sz w:val="24"/>
          <w:szCs w:val="24"/>
        </w:rPr>
      </w:pPr>
      <w:r>
        <w:rPr>
          <w:rFonts w:ascii="Times New Roman" w:hAnsi="Times New Roman" w:eastAsia="Times New Roman" w:cs="Times New Roman"/>
          <w:spacing w:val="11"/>
          <w:sz w:val="24"/>
          <w:szCs w:val="24"/>
        </w:rPr>
        <w:t>9.X.1</w:t>
      </w:r>
      <w:r>
        <w:rPr>
          <w:rFonts w:ascii="Times New Roman" w:hAnsi="Times New Roman" w:eastAsia="Times New Roman" w:cs="Times New Roman"/>
          <w:spacing w:val="3"/>
          <w:sz w:val="24"/>
          <w:szCs w:val="24"/>
        </w:rPr>
        <w:t xml:space="preserve">        </w:t>
      </w:r>
      <w:r>
        <w:rPr>
          <w:rFonts w:ascii="黑体" w:hAnsi="黑体" w:eastAsia="黑体" w:cs="黑体"/>
          <w:b/>
          <w:bCs/>
          <w:spacing w:val="11"/>
          <w:sz w:val="24"/>
          <w:szCs w:val="24"/>
        </w:rPr>
        <w:t>问题描述</w:t>
      </w:r>
    </w:p>
    <w:p w14:paraId="1B3C124D">
      <w:pPr>
        <w:pStyle w:val="2"/>
        <w:spacing w:before="108" w:line="301" w:lineRule="auto"/>
        <w:ind w:right="30" w:firstLine="560"/>
        <w:jc w:val="both"/>
        <w:rPr>
          <w:sz w:val="25"/>
          <w:szCs w:val="25"/>
        </w:rPr>
      </w:pPr>
      <w:r>
        <w:rPr>
          <w:spacing w:val="12"/>
          <w:sz w:val="25"/>
          <w:szCs w:val="25"/>
        </w:rPr>
        <w:t>清晰叙述(质量问题</w:t>
      </w:r>
      <w:r>
        <w:rPr>
          <w:rFonts w:ascii="Times New Roman" w:hAnsi="Times New Roman" w:eastAsia="Times New Roman" w:cs="Times New Roman"/>
          <w:spacing w:val="12"/>
          <w:sz w:val="25"/>
          <w:szCs w:val="25"/>
        </w:rPr>
        <w:t>X)</w:t>
      </w:r>
      <w:r>
        <w:rPr>
          <w:rFonts w:ascii="Times New Roman" w:hAnsi="Times New Roman" w:eastAsia="Times New Roman" w:cs="Times New Roman"/>
          <w:spacing w:val="42"/>
          <w:sz w:val="25"/>
          <w:szCs w:val="25"/>
        </w:rPr>
        <w:t xml:space="preserve"> </w:t>
      </w:r>
      <w:r>
        <w:rPr>
          <w:spacing w:val="12"/>
          <w:sz w:val="25"/>
          <w:szCs w:val="25"/>
        </w:rPr>
        <w:t>的基本情况，包括质量问题发生的时间、地点、经过、</w:t>
      </w:r>
      <w:r>
        <w:rPr>
          <w:sz w:val="25"/>
          <w:szCs w:val="25"/>
        </w:rPr>
        <w:t xml:space="preserve"> </w:t>
      </w:r>
      <w:r>
        <w:rPr>
          <w:spacing w:val="10"/>
          <w:sz w:val="25"/>
          <w:szCs w:val="25"/>
        </w:rPr>
        <w:t>现象、性质、严重程度，质量问题对产品及系统性能(质量</w:t>
      </w:r>
      <w:r>
        <w:rPr>
          <w:spacing w:val="9"/>
          <w:sz w:val="25"/>
          <w:szCs w:val="25"/>
        </w:rPr>
        <w:t>)的影响、质量问题的技</w:t>
      </w:r>
      <w:r>
        <w:rPr>
          <w:sz w:val="25"/>
          <w:szCs w:val="25"/>
        </w:rPr>
        <w:t xml:space="preserve">  </w:t>
      </w:r>
      <w:r>
        <w:rPr>
          <w:spacing w:val="13"/>
          <w:sz w:val="25"/>
          <w:szCs w:val="25"/>
        </w:rPr>
        <w:t>术难度。</w:t>
      </w:r>
    </w:p>
    <w:p w14:paraId="016EB8CD">
      <w:pPr>
        <w:spacing w:before="1" w:line="222" w:lineRule="auto"/>
        <w:rPr>
          <w:rFonts w:ascii="黑体" w:hAnsi="黑体" w:eastAsia="黑体" w:cs="黑体"/>
          <w:sz w:val="25"/>
          <w:szCs w:val="25"/>
        </w:rPr>
      </w:pPr>
      <w:r>
        <w:rPr>
          <w:rFonts w:ascii="Times New Roman" w:hAnsi="Times New Roman" w:eastAsia="Times New Roman" w:cs="Times New Roman"/>
          <w:spacing w:val="5"/>
          <w:sz w:val="25"/>
          <w:szCs w:val="25"/>
        </w:rPr>
        <w:t>9.X.2</w:t>
      </w:r>
      <w:r>
        <w:rPr>
          <w:rFonts w:ascii="Times New Roman" w:hAnsi="Times New Roman" w:eastAsia="Times New Roman" w:cs="Times New Roman"/>
          <w:spacing w:val="9"/>
          <w:sz w:val="25"/>
          <w:szCs w:val="25"/>
        </w:rPr>
        <w:t xml:space="preserve">       </w:t>
      </w:r>
      <w:r>
        <w:rPr>
          <w:rFonts w:ascii="黑体" w:hAnsi="黑体" w:eastAsia="黑体" w:cs="黑体"/>
          <w:b/>
          <w:bCs/>
          <w:spacing w:val="5"/>
          <w:sz w:val="25"/>
          <w:szCs w:val="25"/>
        </w:rPr>
        <w:t>原因分析</w:t>
      </w:r>
    </w:p>
    <w:p w14:paraId="24966142">
      <w:pPr>
        <w:pStyle w:val="2"/>
        <w:spacing w:before="82" w:line="286" w:lineRule="auto"/>
        <w:ind w:right="20" w:firstLine="560"/>
        <w:jc w:val="both"/>
      </w:pPr>
      <w:r>
        <w:rPr>
          <w:spacing w:val="8"/>
        </w:rPr>
        <w:t>说明对(质量问题</w:t>
      </w:r>
      <w:r>
        <w:rPr>
          <w:rFonts w:ascii="Times New Roman" w:hAnsi="Times New Roman" w:eastAsia="Times New Roman" w:cs="Times New Roman"/>
          <w:spacing w:val="8"/>
        </w:rPr>
        <w:t>X)</w:t>
      </w:r>
      <w:r>
        <w:rPr>
          <w:spacing w:val="8"/>
        </w:rPr>
        <w:t>的原因分析情况，按照逻辑或者时间顺序说明分析过</w:t>
      </w:r>
      <w:r>
        <w:rPr>
          <w:spacing w:val="7"/>
        </w:rPr>
        <w:t xml:space="preserve">  </w:t>
      </w:r>
      <w:r>
        <w:rPr>
          <w:spacing w:val="-7"/>
        </w:rPr>
        <w:t>程，确定质量问题是属于产品设计或制造本身的问题，或是生产、试验条件问题，</w:t>
      </w:r>
      <w:r>
        <w:rPr>
          <w:spacing w:val="15"/>
        </w:rPr>
        <w:t xml:space="preserve"> </w:t>
      </w:r>
      <w:r>
        <w:rPr>
          <w:spacing w:val="-4"/>
        </w:rPr>
        <w:t>或是其他因素(如原材料、对外协作)造成的问题，最后给出明确的分析结果。</w:t>
      </w:r>
    </w:p>
    <w:p w14:paraId="21737724">
      <w:pPr>
        <w:spacing w:before="12" w:line="223" w:lineRule="auto"/>
        <w:rPr>
          <w:rFonts w:ascii="黑体" w:hAnsi="黑体" w:eastAsia="黑体" w:cs="黑体"/>
          <w:sz w:val="24"/>
          <w:szCs w:val="24"/>
        </w:rPr>
      </w:pPr>
      <w:r>
        <w:rPr>
          <w:rFonts w:ascii="Times New Roman" w:hAnsi="Times New Roman" w:eastAsia="Times New Roman" w:cs="Times New Roman"/>
          <w:spacing w:val="7"/>
          <w:sz w:val="24"/>
          <w:szCs w:val="24"/>
        </w:rPr>
        <w:t xml:space="preserve">9.X.3        </w:t>
      </w:r>
      <w:r>
        <w:rPr>
          <w:rFonts w:ascii="黑体" w:hAnsi="黑体" w:eastAsia="黑体" w:cs="黑体"/>
          <w:b/>
          <w:bCs/>
          <w:spacing w:val="7"/>
          <w:sz w:val="24"/>
          <w:szCs w:val="24"/>
        </w:rPr>
        <w:t>纠正措施</w:t>
      </w:r>
    </w:p>
    <w:p w14:paraId="4D0FC3B7">
      <w:pPr>
        <w:pStyle w:val="2"/>
        <w:spacing w:before="83" w:line="286" w:lineRule="auto"/>
        <w:ind w:right="19" w:firstLine="560"/>
        <w:jc w:val="both"/>
      </w:pPr>
      <w:r>
        <w:rPr>
          <w:spacing w:val="12"/>
        </w:rPr>
        <w:t>说明为解决(质量问题</w:t>
      </w:r>
      <w:r>
        <w:rPr>
          <w:spacing w:val="-64"/>
        </w:rPr>
        <w:t xml:space="preserve"> </w:t>
      </w:r>
      <w:r>
        <w:rPr>
          <w:rFonts w:ascii="Times New Roman" w:hAnsi="Times New Roman" w:eastAsia="Times New Roman" w:cs="Times New Roman"/>
          <w:spacing w:val="12"/>
        </w:rPr>
        <w:t>X),</w:t>
      </w:r>
      <w:r>
        <w:rPr>
          <w:rFonts w:ascii="Times New Roman" w:hAnsi="Times New Roman" w:eastAsia="Times New Roman" w:cs="Times New Roman"/>
          <w:spacing w:val="2"/>
        </w:rPr>
        <w:t xml:space="preserve">  </w:t>
      </w:r>
      <w:r>
        <w:rPr>
          <w:spacing w:val="12"/>
        </w:rPr>
        <w:t>生产单位已采取的各种有针对性的解决措施。</w:t>
      </w:r>
      <w:r>
        <w:t xml:space="preserve"> </w:t>
      </w:r>
      <w:r>
        <w:rPr>
          <w:spacing w:val="14"/>
        </w:rPr>
        <w:t>注意纠正措施应与质量问题的原因相对应，以便</w:t>
      </w:r>
      <w:r>
        <w:rPr>
          <w:spacing w:val="13"/>
        </w:rPr>
        <w:t>阅读者更容易地理解和掌握</w:t>
      </w:r>
      <w:r>
        <w:t xml:space="preserve">  </w:t>
      </w:r>
      <w:r>
        <w:rPr>
          <w:spacing w:val="-6"/>
        </w:rPr>
        <w:t>情况。</w:t>
      </w:r>
    </w:p>
    <w:p w14:paraId="217E82EE">
      <w:pPr>
        <w:spacing w:before="1" w:line="220" w:lineRule="auto"/>
        <w:rPr>
          <w:rFonts w:ascii="黑体" w:hAnsi="黑体" w:eastAsia="黑体" w:cs="黑体"/>
          <w:sz w:val="25"/>
          <w:szCs w:val="25"/>
        </w:rPr>
      </w:pPr>
      <w:r>
        <w:rPr>
          <w:rFonts w:ascii="Times New Roman" w:hAnsi="Times New Roman" w:eastAsia="Times New Roman" w:cs="Times New Roman"/>
          <w:spacing w:val="5"/>
          <w:sz w:val="25"/>
          <w:szCs w:val="25"/>
        </w:rPr>
        <w:t>9.X.4</w:t>
      </w:r>
      <w:r>
        <w:rPr>
          <w:rFonts w:ascii="Times New Roman" w:hAnsi="Times New Roman" w:eastAsia="Times New Roman" w:cs="Times New Roman"/>
          <w:spacing w:val="9"/>
          <w:sz w:val="25"/>
          <w:szCs w:val="25"/>
        </w:rPr>
        <w:t xml:space="preserve">       </w:t>
      </w:r>
      <w:r>
        <w:rPr>
          <w:rFonts w:ascii="黑体" w:hAnsi="黑体" w:eastAsia="黑体" w:cs="黑体"/>
          <w:b/>
          <w:bCs/>
          <w:spacing w:val="5"/>
          <w:sz w:val="25"/>
          <w:szCs w:val="25"/>
        </w:rPr>
        <w:t>归零情况</w:t>
      </w:r>
    </w:p>
    <w:p w14:paraId="1B5DD3CD">
      <w:pPr>
        <w:pStyle w:val="2"/>
        <w:spacing w:before="107" w:line="276" w:lineRule="auto"/>
        <w:ind w:right="144" w:firstLine="560"/>
      </w:pPr>
      <w:r>
        <w:rPr>
          <w:spacing w:val="5"/>
        </w:rPr>
        <w:t>简要描述纠正措施验证情况和质量问题归零情况，包括验证时间、验证地</w:t>
      </w:r>
      <w:r>
        <w:t xml:space="preserve"> </w:t>
      </w:r>
      <w:r>
        <w:rPr>
          <w:color w:val="404050"/>
          <w:spacing w:val="-12"/>
        </w:rPr>
        <w:t>点、试验项目、</w:t>
      </w:r>
      <w:r>
        <w:rPr>
          <w:spacing w:val="-12"/>
        </w:rPr>
        <w:t>验证结果、技术归零和管理归零情况等。</w:t>
      </w:r>
    </w:p>
    <w:p w14:paraId="490CCAC8">
      <w:pPr>
        <w:pStyle w:val="2"/>
        <w:spacing w:before="34" w:line="297" w:lineRule="auto"/>
        <w:ind w:right="134" w:firstLine="560"/>
        <w:rPr>
          <w:sz w:val="25"/>
          <w:szCs w:val="25"/>
        </w:rPr>
      </w:pPr>
      <w:r>
        <w:rPr>
          <w:spacing w:val="17"/>
          <w:sz w:val="25"/>
          <w:szCs w:val="25"/>
        </w:rPr>
        <w:t>对于尚未完全归零的质量问题，应详细说明已开展的工作、未完全归零</w:t>
      </w:r>
      <w:r>
        <w:rPr>
          <w:spacing w:val="16"/>
          <w:sz w:val="25"/>
          <w:szCs w:val="25"/>
        </w:rPr>
        <w:t>的原</w:t>
      </w:r>
      <w:r>
        <w:rPr>
          <w:sz w:val="25"/>
          <w:szCs w:val="25"/>
        </w:rPr>
        <w:t xml:space="preserve"> </w:t>
      </w:r>
      <w:r>
        <w:rPr>
          <w:spacing w:val="9"/>
          <w:sz w:val="25"/>
          <w:szCs w:val="25"/>
        </w:rPr>
        <w:t>因，并明确解决措施、归零时限和责任单位，提请作为遗留问题。</w:t>
      </w:r>
    </w:p>
    <w:p w14:paraId="32974870">
      <w:pPr>
        <w:spacing w:line="297" w:lineRule="auto"/>
        <w:rPr>
          <w:sz w:val="25"/>
          <w:szCs w:val="25"/>
        </w:rPr>
        <w:sectPr>
          <w:footerReference r:id="rId334" w:type="default"/>
          <w:pgSz w:w="11910" w:h="17130"/>
          <w:pgMar w:top="1456" w:right="1325" w:bottom="1627" w:left="1079" w:header="0" w:footer="1410" w:gutter="0"/>
          <w:cols w:space="720" w:num="1"/>
        </w:sectPr>
      </w:pPr>
    </w:p>
    <w:p w14:paraId="7E4D55BD">
      <w:pPr>
        <w:spacing w:before="54" w:line="222" w:lineRule="auto"/>
        <w:rPr>
          <w:rFonts w:ascii="黑体" w:hAnsi="黑体" w:eastAsia="黑体" w:cs="黑体"/>
          <w:sz w:val="27"/>
          <w:szCs w:val="27"/>
        </w:rPr>
      </w:pPr>
      <w:r>
        <w:rPr>
          <w:rFonts w:ascii="黑体" w:hAnsi="黑体" w:eastAsia="黑体" w:cs="黑体"/>
          <w:spacing w:val="-2"/>
          <w:sz w:val="27"/>
          <w:szCs w:val="27"/>
        </w:rPr>
        <w:t>10</w:t>
      </w:r>
      <w:r>
        <w:rPr>
          <w:rFonts w:ascii="黑体" w:hAnsi="黑体" w:eastAsia="黑体" w:cs="黑体"/>
          <w:spacing w:val="16"/>
          <w:sz w:val="27"/>
          <w:szCs w:val="27"/>
        </w:rPr>
        <w:t xml:space="preserve">  </w:t>
      </w:r>
      <w:r>
        <w:rPr>
          <w:rFonts w:ascii="黑体" w:hAnsi="黑体" w:eastAsia="黑体" w:cs="黑体"/>
          <w:b/>
          <w:bCs/>
          <w:spacing w:val="-2"/>
          <w:sz w:val="27"/>
          <w:szCs w:val="27"/>
        </w:rPr>
        <w:t>专项评审结论</w:t>
      </w:r>
    </w:p>
    <w:p w14:paraId="65EF5237">
      <w:pPr>
        <w:spacing w:before="54" w:line="212" w:lineRule="auto"/>
        <w:ind w:left="3"/>
        <w:rPr>
          <w:rFonts w:ascii="Times New Roman" w:hAnsi="Times New Roman" w:eastAsia="Times New Roman" w:cs="Times New Roman"/>
          <w:sz w:val="27"/>
          <w:szCs w:val="27"/>
        </w:rPr>
      </w:pPr>
      <w:r>
        <w:rPr>
          <w:rFonts w:ascii="黑体" w:hAnsi="黑体" w:eastAsia="黑体" w:cs="黑体"/>
          <w:b/>
          <w:bCs/>
          <w:spacing w:val="-6"/>
          <w:sz w:val="27"/>
          <w:szCs w:val="27"/>
        </w:rPr>
        <w:t>10.</w:t>
      </w:r>
      <w:r>
        <w:rPr>
          <w:rFonts w:ascii="Times New Roman" w:hAnsi="Times New Roman" w:eastAsia="Times New Roman" w:cs="Times New Roman"/>
          <w:b/>
          <w:bCs/>
          <w:spacing w:val="-6"/>
          <w:sz w:val="27"/>
          <w:szCs w:val="27"/>
        </w:rPr>
        <w:t>X</w:t>
      </w:r>
      <w:r>
        <w:rPr>
          <w:rFonts w:ascii="Times New Roman" w:hAnsi="Times New Roman" w:eastAsia="Times New Roman" w:cs="Times New Roman"/>
          <w:b/>
          <w:bCs/>
          <w:spacing w:val="8"/>
          <w:sz w:val="27"/>
          <w:szCs w:val="27"/>
        </w:rPr>
        <w:t xml:space="preserve">    </w:t>
      </w:r>
      <w:r>
        <w:rPr>
          <w:rFonts w:ascii="Times New Roman" w:hAnsi="Times New Roman" w:eastAsia="Times New Roman" w:cs="Times New Roman"/>
          <w:b/>
          <w:bCs/>
          <w:spacing w:val="-6"/>
          <w:sz w:val="27"/>
          <w:szCs w:val="27"/>
        </w:rPr>
        <w:t xml:space="preserve">( </w:t>
      </w:r>
      <w:r>
        <w:rPr>
          <w:rFonts w:ascii="黑体" w:hAnsi="黑体" w:eastAsia="黑体" w:cs="黑体"/>
          <w:b/>
          <w:bCs/>
          <w:spacing w:val="-6"/>
          <w:sz w:val="27"/>
          <w:szCs w:val="27"/>
        </w:rPr>
        <w:t>专项评审</w:t>
      </w:r>
      <w:r>
        <w:rPr>
          <w:rFonts w:ascii="黑体" w:hAnsi="黑体" w:eastAsia="黑体" w:cs="黑体"/>
          <w:spacing w:val="-69"/>
          <w:sz w:val="27"/>
          <w:szCs w:val="27"/>
        </w:rPr>
        <w:t xml:space="preserve"> </w:t>
      </w:r>
      <w:r>
        <w:rPr>
          <w:rFonts w:ascii="Times New Roman" w:hAnsi="Times New Roman" w:eastAsia="Times New Roman" w:cs="Times New Roman"/>
          <w:b/>
          <w:bCs/>
          <w:spacing w:val="-6"/>
          <w:sz w:val="27"/>
          <w:szCs w:val="27"/>
        </w:rPr>
        <w:t>X)</w:t>
      </w:r>
    </w:p>
    <w:p w14:paraId="40DF16C9">
      <w:pPr>
        <w:spacing w:before="150" w:line="222" w:lineRule="auto"/>
        <w:rPr>
          <w:rFonts w:ascii="黑体" w:hAnsi="黑体" w:eastAsia="黑体" w:cs="黑体"/>
          <w:sz w:val="24"/>
          <w:szCs w:val="24"/>
        </w:rPr>
      </w:pPr>
      <w:r>
        <w:rPr>
          <w:rFonts w:ascii="Times New Roman" w:hAnsi="Times New Roman" w:eastAsia="Times New Roman" w:cs="Times New Roman"/>
          <w:spacing w:val="8"/>
          <w:sz w:val="24"/>
          <w:szCs w:val="24"/>
        </w:rPr>
        <w:t xml:space="preserve">10.X.   </w:t>
      </w:r>
      <w:r>
        <w:rPr>
          <w:rFonts w:ascii="黑体" w:hAnsi="黑体" w:eastAsia="黑体" w:cs="黑体"/>
          <w:spacing w:val="8"/>
          <w:sz w:val="24"/>
          <w:szCs w:val="24"/>
        </w:rPr>
        <w:t>1</w:t>
      </w:r>
      <w:r>
        <w:rPr>
          <w:rFonts w:ascii="黑体" w:hAnsi="黑体" w:eastAsia="黑体" w:cs="黑体"/>
          <w:spacing w:val="43"/>
          <w:sz w:val="24"/>
          <w:szCs w:val="24"/>
        </w:rPr>
        <w:t xml:space="preserve">  </w:t>
      </w:r>
      <w:r>
        <w:rPr>
          <w:rFonts w:ascii="黑体" w:hAnsi="黑体" w:eastAsia="黑体" w:cs="黑体"/>
          <w:b/>
          <w:bCs/>
          <w:spacing w:val="8"/>
          <w:sz w:val="24"/>
          <w:szCs w:val="24"/>
        </w:rPr>
        <w:t>评审过程</w:t>
      </w:r>
    </w:p>
    <w:p w14:paraId="287D2673">
      <w:pPr>
        <w:pStyle w:val="2"/>
        <w:spacing w:before="17" w:line="306" w:lineRule="auto"/>
        <w:ind w:right="53" w:firstLine="539"/>
      </w:pPr>
      <w:r>
        <w:rPr>
          <w:spacing w:val="-2"/>
        </w:rPr>
        <w:t>说明(专项评审</w:t>
      </w:r>
      <w:r>
        <w:rPr>
          <w:rFonts w:ascii="Times New Roman" w:hAnsi="Times New Roman" w:eastAsia="Times New Roman" w:cs="Times New Roman"/>
          <w:spacing w:val="-2"/>
        </w:rPr>
        <w:t>X)</w:t>
      </w:r>
      <w:r>
        <w:rPr>
          <w:rFonts w:ascii="Times New Roman" w:hAnsi="Times New Roman" w:eastAsia="Times New Roman" w:cs="Times New Roman"/>
          <w:spacing w:val="20"/>
          <w:w w:val="101"/>
        </w:rPr>
        <w:t xml:space="preserve"> </w:t>
      </w:r>
      <w:r>
        <w:rPr>
          <w:spacing w:val="-2"/>
        </w:rPr>
        <w:t>的评审过程，包括时间、地点、主持单位、参加单位与人</w:t>
      </w:r>
      <w:r>
        <w:t xml:space="preserve"> </w:t>
      </w:r>
      <w:r>
        <w:rPr>
          <w:spacing w:val="-13"/>
        </w:rPr>
        <w:t>员、评审工作内容等。</w:t>
      </w:r>
    </w:p>
    <w:p w14:paraId="68209BDB">
      <w:pPr>
        <w:spacing w:line="221" w:lineRule="auto"/>
        <w:rPr>
          <w:rFonts w:ascii="黑体" w:hAnsi="黑体" w:eastAsia="黑体" w:cs="黑体"/>
          <w:sz w:val="25"/>
          <w:szCs w:val="25"/>
        </w:rPr>
      </w:pPr>
      <w:r>
        <w:rPr>
          <w:rFonts w:ascii="Times New Roman" w:hAnsi="Times New Roman" w:eastAsia="Times New Roman" w:cs="Times New Roman"/>
          <w:spacing w:val="5"/>
          <w:sz w:val="25"/>
          <w:szCs w:val="25"/>
        </w:rPr>
        <w:t>10.X.2</w:t>
      </w:r>
      <w:r>
        <w:rPr>
          <w:rFonts w:ascii="Times New Roman" w:hAnsi="Times New Roman" w:eastAsia="Times New Roman" w:cs="Times New Roman"/>
          <w:spacing w:val="7"/>
          <w:sz w:val="25"/>
          <w:szCs w:val="25"/>
        </w:rPr>
        <w:t xml:space="preserve">       </w:t>
      </w:r>
      <w:r>
        <w:rPr>
          <w:rFonts w:ascii="黑体" w:hAnsi="黑体" w:eastAsia="黑体" w:cs="黑体"/>
          <w:b/>
          <w:bCs/>
          <w:spacing w:val="5"/>
          <w:sz w:val="25"/>
          <w:szCs w:val="25"/>
        </w:rPr>
        <w:t>评审结论</w:t>
      </w:r>
    </w:p>
    <w:p w14:paraId="286D4F51">
      <w:pPr>
        <w:pStyle w:val="2"/>
        <w:spacing w:before="74" w:line="283" w:lineRule="auto"/>
        <w:ind w:right="33" w:firstLine="539"/>
        <w:jc w:val="both"/>
      </w:pPr>
      <w:r>
        <w:rPr>
          <w:spacing w:val="8"/>
        </w:rPr>
        <w:t>提供(专项评审</w:t>
      </w:r>
      <w:r>
        <w:rPr>
          <w:rFonts w:ascii="Times New Roman" w:hAnsi="Times New Roman" w:eastAsia="Times New Roman" w:cs="Times New Roman"/>
          <w:spacing w:val="8"/>
        </w:rPr>
        <w:t xml:space="preserve">X) </w:t>
      </w:r>
      <w:r>
        <w:rPr>
          <w:spacing w:val="8"/>
        </w:rPr>
        <w:t>的评审意见。注意必须与(专项评审</w:t>
      </w:r>
      <w:r>
        <w:rPr>
          <w:rFonts w:ascii="Times New Roman" w:hAnsi="Times New Roman" w:eastAsia="Times New Roman" w:cs="Times New Roman"/>
          <w:spacing w:val="8"/>
        </w:rPr>
        <w:t xml:space="preserve">X) </w:t>
      </w:r>
      <w:r>
        <w:rPr>
          <w:spacing w:val="8"/>
        </w:rPr>
        <w:t>评审会上</w:t>
      </w:r>
      <w:r>
        <w:rPr>
          <w:spacing w:val="7"/>
        </w:rPr>
        <w:t>形成的</w:t>
      </w:r>
      <w:r>
        <w:t xml:space="preserve"> </w:t>
      </w:r>
      <w:r>
        <w:rPr>
          <w:spacing w:val="-2"/>
        </w:rPr>
        <w:t>评审意见保持一致，不得有遗漏或故意删减，特别是评审</w:t>
      </w:r>
      <w:r>
        <w:rPr>
          <w:spacing w:val="-3"/>
        </w:rPr>
        <w:t>会上与会专家指出的问</w:t>
      </w:r>
      <w:r>
        <w:t xml:space="preserve"> 题和改进建议。</w:t>
      </w:r>
    </w:p>
    <w:p w14:paraId="55B49FDE">
      <w:pPr>
        <w:spacing w:before="5" w:line="222" w:lineRule="auto"/>
        <w:rPr>
          <w:rFonts w:ascii="黑体" w:hAnsi="黑体" w:eastAsia="黑体" w:cs="黑体"/>
          <w:sz w:val="27"/>
          <w:szCs w:val="27"/>
        </w:rPr>
      </w:pPr>
      <w:r>
        <w:rPr>
          <w:rFonts w:ascii="黑体" w:hAnsi="黑体" w:eastAsia="黑体" w:cs="黑体"/>
          <w:spacing w:val="-2"/>
          <w:sz w:val="27"/>
          <w:szCs w:val="27"/>
        </w:rPr>
        <w:t>11</w:t>
      </w:r>
      <w:r>
        <w:rPr>
          <w:rFonts w:ascii="黑体" w:hAnsi="黑体" w:eastAsia="黑体" w:cs="黑体"/>
          <w:spacing w:val="16"/>
          <w:sz w:val="27"/>
          <w:szCs w:val="27"/>
        </w:rPr>
        <w:t xml:space="preserve">  </w:t>
      </w:r>
      <w:r>
        <w:rPr>
          <w:rFonts w:ascii="黑体" w:hAnsi="黑体" w:eastAsia="黑体" w:cs="黑体"/>
          <w:b/>
          <w:bCs/>
          <w:spacing w:val="-2"/>
          <w:sz w:val="27"/>
          <w:szCs w:val="27"/>
        </w:rPr>
        <w:t>产品质量结论</w:t>
      </w:r>
    </w:p>
    <w:p w14:paraId="135B591E">
      <w:pPr>
        <w:pStyle w:val="2"/>
        <w:spacing w:before="79" w:line="219" w:lineRule="auto"/>
        <w:ind w:left="539"/>
      </w:pPr>
      <w:r>
        <w:rPr>
          <w:spacing w:val="-4"/>
        </w:rPr>
        <w:t>对产品质量给出结论性意见，内容主要包括：</w:t>
      </w:r>
    </w:p>
    <w:p w14:paraId="73E2DC7F">
      <w:pPr>
        <w:pStyle w:val="2"/>
        <w:spacing w:before="59" w:line="212" w:lineRule="auto"/>
        <w:ind w:left="539"/>
      </w:pPr>
      <w:r>
        <w:rPr>
          <w:rFonts w:ascii="Times New Roman" w:hAnsi="Times New Roman" w:eastAsia="Times New Roman" w:cs="Times New Roman"/>
          <w:spacing w:val="4"/>
        </w:rPr>
        <w:t>a)</w:t>
      </w:r>
      <w:r>
        <w:rPr>
          <w:rFonts w:ascii="Times New Roman" w:hAnsi="Times New Roman" w:eastAsia="Times New Roman" w:cs="Times New Roman"/>
          <w:spacing w:val="54"/>
          <w:w w:val="101"/>
        </w:rPr>
        <w:t xml:space="preserve"> </w:t>
      </w:r>
      <w:r>
        <w:rPr>
          <w:spacing w:val="4"/>
        </w:rPr>
        <w:t>说明研制生产过程是否符合军工产品研制程序；</w:t>
      </w:r>
    </w:p>
    <w:p w14:paraId="2108C2B3">
      <w:pPr>
        <w:pStyle w:val="2"/>
        <w:spacing w:before="80" w:line="267" w:lineRule="auto"/>
        <w:ind w:right="50" w:firstLine="539"/>
      </w:pPr>
      <w:r>
        <w:rPr>
          <w:rFonts w:ascii="Times New Roman" w:hAnsi="Times New Roman" w:eastAsia="Times New Roman" w:cs="Times New Roman"/>
          <w:spacing w:val="3"/>
        </w:rPr>
        <w:t>b)</w:t>
      </w:r>
      <w:r>
        <w:rPr>
          <w:rFonts w:ascii="Times New Roman" w:hAnsi="Times New Roman" w:eastAsia="Times New Roman" w:cs="Times New Roman"/>
          <w:spacing w:val="57"/>
        </w:rPr>
        <w:t xml:space="preserve"> </w:t>
      </w:r>
      <w:r>
        <w:rPr>
          <w:spacing w:val="3"/>
        </w:rPr>
        <w:t>说明质量管理体系受控情况，包括研制生产过程是否质量受</w:t>
      </w:r>
      <w:r>
        <w:rPr>
          <w:spacing w:val="2"/>
        </w:rPr>
        <w:t>控，技术文</w:t>
      </w:r>
      <w:r>
        <w:t xml:space="preserve"> </w:t>
      </w:r>
      <w:r>
        <w:rPr>
          <w:spacing w:val="-17"/>
        </w:rPr>
        <w:t>件是否完整、准确、协调、规范，是否符合标准化要求；</w:t>
      </w:r>
    </w:p>
    <w:p w14:paraId="3731C689">
      <w:pPr>
        <w:pStyle w:val="2"/>
        <w:spacing w:before="70" w:line="212" w:lineRule="auto"/>
        <w:jc w:val="right"/>
      </w:pPr>
      <w:r>
        <w:rPr>
          <w:rFonts w:ascii="Times New Roman" w:hAnsi="Times New Roman" w:eastAsia="Times New Roman" w:cs="Times New Roman"/>
          <w:spacing w:val="5"/>
        </w:rPr>
        <w:t>c)</w:t>
      </w:r>
      <w:r>
        <w:rPr>
          <w:rFonts w:ascii="Times New Roman" w:hAnsi="Times New Roman" w:eastAsia="Times New Roman" w:cs="Times New Roman"/>
          <w:spacing w:val="52"/>
        </w:rPr>
        <w:t xml:space="preserve"> </w:t>
      </w:r>
      <w:r>
        <w:rPr>
          <w:spacing w:val="5"/>
        </w:rPr>
        <w:t>说明研制生产过程中暴露的产品设计和质量问题是否已得到有效解决；</w:t>
      </w:r>
    </w:p>
    <w:p w14:paraId="195F3A8A">
      <w:pPr>
        <w:pStyle w:val="2"/>
        <w:spacing w:before="79" w:line="257" w:lineRule="auto"/>
        <w:ind w:right="50" w:firstLine="539"/>
      </w:pPr>
      <w:r>
        <w:rPr>
          <w:rFonts w:ascii="Times New Roman" w:hAnsi="Times New Roman" w:eastAsia="Times New Roman" w:cs="Times New Roman"/>
          <w:spacing w:val="2"/>
        </w:rPr>
        <w:t>d)</w:t>
      </w:r>
      <w:r>
        <w:rPr>
          <w:rFonts w:ascii="Times New Roman" w:hAnsi="Times New Roman" w:eastAsia="Times New Roman" w:cs="Times New Roman"/>
          <w:spacing w:val="85"/>
        </w:rPr>
        <w:t xml:space="preserve"> </w:t>
      </w:r>
      <w:r>
        <w:rPr>
          <w:spacing w:val="2"/>
        </w:rPr>
        <w:t>说明产品经过各项试验试用考核，功能和性能是否满足研制总要求和部</w:t>
      </w:r>
      <w:r>
        <w:t xml:space="preserve"> </w:t>
      </w:r>
      <w:r>
        <w:rPr>
          <w:spacing w:val="-3"/>
        </w:rPr>
        <w:t>队使用要求；</w:t>
      </w:r>
    </w:p>
    <w:p w14:paraId="488224FA">
      <w:pPr>
        <w:pStyle w:val="2"/>
        <w:spacing w:before="47" w:line="264" w:lineRule="auto"/>
        <w:ind w:right="45" w:firstLine="539"/>
      </w:pPr>
      <w:r>
        <w:rPr>
          <w:rFonts w:ascii="Times New Roman" w:hAnsi="Times New Roman" w:eastAsia="Times New Roman" w:cs="Times New Roman"/>
          <w:spacing w:val="-4"/>
        </w:rPr>
        <w:t>e)</w:t>
      </w:r>
      <w:r>
        <w:rPr>
          <w:rFonts w:ascii="Times New Roman" w:hAnsi="Times New Roman" w:eastAsia="Times New Roman" w:cs="Times New Roman"/>
          <w:spacing w:val="43"/>
        </w:rPr>
        <w:t xml:space="preserve"> </w:t>
      </w:r>
      <w:r>
        <w:rPr>
          <w:spacing w:val="-4"/>
        </w:rPr>
        <w:t>说明原材料、元器件、外购件及外协件是否定型(鉴定)、定点，供货</w:t>
      </w:r>
      <w:r>
        <w:rPr>
          <w:spacing w:val="-5"/>
        </w:rPr>
        <w:t>是否</w:t>
      </w:r>
      <w:r>
        <w:t xml:space="preserve"> </w:t>
      </w:r>
      <w:r>
        <w:rPr>
          <w:spacing w:val="-2"/>
        </w:rPr>
        <w:t>有可靠的保证，是否满足批量生产和部队使</w:t>
      </w:r>
      <w:r>
        <w:rPr>
          <w:spacing w:val="-3"/>
        </w:rPr>
        <w:t>用要求。</w:t>
      </w:r>
    </w:p>
    <w:p w14:paraId="22FD6038">
      <w:pPr>
        <w:pStyle w:val="2"/>
        <w:spacing w:before="99" w:line="270" w:lineRule="auto"/>
        <w:ind w:right="51" w:firstLine="539"/>
      </w:pPr>
      <w:r>
        <w:rPr>
          <w:spacing w:val="1"/>
        </w:rPr>
        <w:t>最后，明确提出是否具备生产定型(鉴定)条件，给出可否申请生产定型(鉴</w:t>
      </w:r>
      <w:r>
        <w:rPr>
          <w:spacing w:val="4"/>
        </w:rPr>
        <w:t xml:space="preserve"> </w:t>
      </w:r>
      <w:r>
        <w:t>定)的结论。</w:t>
      </w:r>
    </w:p>
    <w:p w14:paraId="3810CF75">
      <w:pPr>
        <w:spacing w:line="270" w:lineRule="auto"/>
        <w:sectPr>
          <w:footerReference r:id="rId335" w:type="default"/>
          <w:pgSz w:w="11910" w:h="17130"/>
          <w:pgMar w:top="1341" w:right="854" w:bottom="1830" w:left="1650" w:header="0" w:footer="1544" w:gutter="0"/>
          <w:cols w:space="720" w:num="1"/>
        </w:sectPr>
      </w:pPr>
    </w:p>
    <w:p w14:paraId="24F34565">
      <w:pPr>
        <w:spacing w:line="249" w:lineRule="auto"/>
        <w:rPr>
          <w:rFonts w:ascii="Arial"/>
          <w:sz w:val="21"/>
        </w:rPr>
      </w:pPr>
    </w:p>
    <w:p w14:paraId="04889F2C">
      <w:pPr>
        <w:spacing w:line="250" w:lineRule="auto"/>
        <w:rPr>
          <w:rFonts w:ascii="Arial"/>
          <w:sz w:val="21"/>
        </w:rPr>
      </w:pPr>
    </w:p>
    <w:p w14:paraId="5D834BCC">
      <w:pPr>
        <w:spacing w:line="250" w:lineRule="auto"/>
        <w:rPr>
          <w:rFonts w:ascii="Arial"/>
          <w:sz w:val="21"/>
        </w:rPr>
      </w:pPr>
    </w:p>
    <w:p w14:paraId="1D5D44B5">
      <w:pPr>
        <w:spacing w:line="250" w:lineRule="auto"/>
        <w:rPr>
          <w:rFonts w:ascii="Arial"/>
          <w:sz w:val="21"/>
        </w:rPr>
      </w:pPr>
    </w:p>
    <w:p w14:paraId="5E14BB17">
      <w:pPr>
        <w:spacing w:before="143" w:line="222" w:lineRule="auto"/>
        <w:ind w:left="2349"/>
        <w:rPr>
          <w:rFonts w:ascii="黑体" w:hAnsi="黑体" w:eastAsia="黑体" w:cs="黑体"/>
          <w:sz w:val="44"/>
          <w:szCs w:val="44"/>
        </w:rPr>
      </w:pPr>
      <w:r>
        <w:rPr>
          <w:rFonts w:ascii="黑体" w:hAnsi="黑体" w:eastAsia="黑体" w:cs="黑体"/>
          <w:spacing w:val="18"/>
          <w:sz w:val="44"/>
          <w:szCs w:val="44"/>
        </w:rPr>
        <w:t>第</w:t>
      </w:r>
      <w:r>
        <w:rPr>
          <w:rFonts w:ascii="黑体" w:hAnsi="黑体" w:eastAsia="黑体" w:cs="黑体"/>
          <w:spacing w:val="-65"/>
          <w:sz w:val="44"/>
          <w:szCs w:val="44"/>
        </w:rPr>
        <w:t xml:space="preserve"> </w:t>
      </w:r>
      <w:r>
        <w:rPr>
          <w:rFonts w:ascii="黑体" w:hAnsi="黑体" w:eastAsia="黑体" w:cs="黑体"/>
          <w:spacing w:val="18"/>
          <w:sz w:val="44"/>
          <w:szCs w:val="44"/>
        </w:rPr>
        <w:t>6</w:t>
      </w:r>
      <w:r>
        <w:rPr>
          <w:rFonts w:ascii="黑体" w:hAnsi="黑体" w:eastAsia="黑体" w:cs="黑体"/>
          <w:spacing w:val="-64"/>
          <w:sz w:val="44"/>
          <w:szCs w:val="44"/>
        </w:rPr>
        <w:t xml:space="preserve"> </w:t>
      </w:r>
      <w:r>
        <w:rPr>
          <w:rFonts w:ascii="黑体" w:hAnsi="黑体" w:eastAsia="黑体" w:cs="黑体"/>
          <w:spacing w:val="18"/>
          <w:sz w:val="44"/>
          <w:szCs w:val="44"/>
        </w:rPr>
        <w:t>章  风险管理文件</w:t>
      </w:r>
    </w:p>
    <w:p w14:paraId="0F3A8F98">
      <w:pPr>
        <w:spacing w:line="241" w:lineRule="auto"/>
        <w:rPr>
          <w:rFonts w:ascii="Arial"/>
          <w:sz w:val="21"/>
        </w:rPr>
      </w:pPr>
    </w:p>
    <w:p w14:paraId="679B3571">
      <w:pPr>
        <w:spacing w:line="241" w:lineRule="auto"/>
        <w:rPr>
          <w:rFonts w:ascii="Arial"/>
          <w:sz w:val="21"/>
        </w:rPr>
      </w:pPr>
    </w:p>
    <w:p w14:paraId="783401C2">
      <w:pPr>
        <w:spacing w:line="242" w:lineRule="auto"/>
        <w:rPr>
          <w:rFonts w:ascii="Arial"/>
          <w:sz w:val="21"/>
        </w:rPr>
      </w:pPr>
    </w:p>
    <w:p w14:paraId="1BE6C182">
      <w:pPr>
        <w:pStyle w:val="2"/>
        <w:spacing w:before="117" w:line="219" w:lineRule="auto"/>
        <w:ind w:left="3139"/>
        <w:rPr>
          <w:sz w:val="36"/>
          <w:szCs w:val="36"/>
        </w:rPr>
      </w:pPr>
      <w:r>
        <w:rPr>
          <w:spacing w:val="-6"/>
          <w:sz w:val="36"/>
          <w:szCs w:val="36"/>
        </w:rPr>
        <w:t>6.</w:t>
      </w:r>
      <w:r>
        <w:rPr>
          <w:b/>
          <w:bCs/>
          <w:spacing w:val="-6"/>
          <w:sz w:val="36"/>
          <w:szCs w:val="36"/>
        </w:rPr>
        <w:t>1</w:t>
      </w:r>
      <w:r>
        <w:rPr>
          <w:spacing w:val="39"/>
          <w:sz w:val="36"/>
          <w:szCs w:val="36"/>
        </w:rPr>
        <w:t xml:space="preserve">  </w:t>
      </w:r>
      <w:r>
        <w:rPr>
          <w:b/>
          <w:bCs/>
          <w:spacing w:val="-6"/>
          <w:sz w:val="36"/>
          <w:szCs w:val="36"/>
        </w:rPr>
        <w:t>风险管理计划</w:t>
      </w:r>
    </w:p>
    <w:p w14:paraId="6BE34C8C">
      <w:pPr>
        <w:spacing w:line="341" w:lineRule="auto"/>
        <w:rPr>
          <w:rFonts w:ascii="Arial"/>
          <w:sz w:val="21"/>
        </w:rPr>
      </w:pPr>
    </w:p>
    <w:p w14:paraId="442D1A34">
      <w:pPr>
        <w:spacing w:before="87"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2"/>
          <w:sz w:val="27"/>
          <w:szCs w:val="27"/>
        </w:rPr>
        <w:t xml:space="preserve">  </w:t>
      </w:r>
      <w:r>
        <w:rPr>
          <w:rFonts w:ascii="黑体" w:hAnsi="黑体" w:eastAsia="黑体" w:cs="黑体"/>
          <w:b/>
          <w:bCs/>
          <w:spacing w:val="-8"/>
          <w:sz w:val="27"/>
          <w:szCs w:val="27"/>
        </w:rPr>
        <w:t>范围</w:t>
      </w:r>
    </w:p>
    <w:p w14:paraId="5FDAD435">
      <w:pPr>
        <w:spacing w:before="90" w:line="222" w:lineRule="auto"/>
        <w:rPr>
          <w:rFonts w:ascii="黑体" w:hAnsi="黑体" w:eastAsia="黑体" w:cs="黑体"/>
          <w:sz w:val="25"/>
          <w:szCs w:val="25"/>
        </w:rPr>
      </w:pPr>
      <w:r>
        <w:rPr>
          <w:rFonts w:ascii="黑体" w:hAnsi="黑体" w:eastAsia="黑体" w:cs="黑体"/>
          <w:spacing w:val="13"/>
          <w:sz w:val="25"/>
          <w:szCs w:val="25"/>
        </w:rPr>
        <w:t>2</w:t>
      </w:r>
      <w:r>
        <w:rPr>
          <w:rFonts w:ascii="黑体" w:hAnsi="黑体" w:eastAsia="黑体" w:cs="黑体"/>
          <w:spacing w:val="18"/>
          <w:sz w:val="25"/>
          <w:szCs w:val="25"/>
        </w:rPr>
        <w:t xml:space="preserve">  </w:t>
      </w:r>
      <w:r>
        <w:rPr>
          <w:rFonts w:ascii="黑体" w:hAnsi="黑体" w:eastAsia="黑体" w:cs="黑体"/>
          <w:b/>
          <w:bCs/>
          <w:spacing w:val="13"/>
          <w:sz w:val="25"/>
          <w:szCs w:val="25"/>
        </w:rPr>
        <w:t>引用文件</w:t>
      </w:r>
    </w:p>
    <w:p w14:paraId="73A636CD">
      <w:pPr>
        <w:spacing w:before="80" w:line="221" w:lineRule="auto"/>
        <w:rPr>
          <w:rFonts w:ascii="黑体" w:hAnsi="黑体" w:eastAsia="黑体" w:cs="黑体"/>
          <w:sz w:val="27"/>
          <w:szCs w:val="27"/>
        </w:rPr>
      </w:pPr>
      <w:r>
        <w:rPr>
          <w:rFonts w:ascii="黑体" w:hAnsi="黑体" w:eastAsia="黑体" w:cs="黑体"/>
          <w:spacing w:val="1"/>
          <w:sz w:val="27"/>
          <w:szCs w:val="27"/>
        </w:rPr>
        <w:t xml:space="preserve">3  </w:t>
      </w:r>
      <w:r>
        <w:rPr>
          <w:rFonts w:ascii="黑体" w:hAnsi="黑体" w:eastAsia="黑体" w:cs="黑体"/>
          <w:b/>
          <w:bCs/>
          <w:spacing w:val="1"/>
          <w:sz w:val="27"/>
          <w:szCs w:val="27"/>
        </w:rPr>
        <w:t>产品概述</w:t>
      </w:r>
    </w:p>
    <w:p w14:paraId="1878AD6B">
      <w:pPr>
        <w:spacing w:before="87" w:line="222" w:lineRule="auto"/>
        <w:rPr>
          <w:rFonts w:ascii="黑体" w:hAnsi="黑体" w:eastAsia="黑体" w:cs="黑体"/>
          <w:sz w:val="27"/>
          <w:szCs w:val="27"/>
        </w:rPr>
      </w:pPr>
      <w:r>
        <w:rPr>
          <w:rFonts w:ascii="黑体" w:hAnsi="黑体" w:eastAsia="黑体" w:cs="黑体"/>
          <w:spacing w:val="-5"/>
          <w:sz w:val="27"/>
          <w:szCs w:val="27"/>
        </w:rPr>
        <w:t>3.1</w:t>
      </w:r>
      <w:r>
        <w:rPr>
          <w:rFonts w:ascii="黑体" w:hAnsi="黑体" w:eastAsia="黑体" w:cs="黑体"/>
          <w:spacing w:val="23"/>
          <w:sz w:val="27"/>
          <w:szCs w:val="27"/>
        </w:rPr>
        <w:t xml:space="preserve">  </w:t>
      </w:r>
      <w:r>
        <w:rPr>
          <w:rFonts w:ascii="黑体" w:hAnsi="黑体" w:eastAsia="黑体" w:cs="黑体"/>
          <w:b/>
          <w:bCs/>
          <w:spacing w:val="-5"/>
          <w:sz w:val="27"/>
          <w:szCs w:val="27"/>
        </w:rPr>
        <w:t>功能特点</w:t>
      </w:r>
    </w:p>
    <w:p w14:paraId="630F0EC2">
      <w:pPr>
        <w:pStyle w:val="2"/>
        <w:spacing w:before="91" w:line="219" w:lineRule="auto"/>
        <w:ind w:left="570"/>
      </w:pPr>
      <w:r>
        <w:rPr>
          <w:spacing w:val="2"/>
        </w:rPr>
        <w:t>描述产品的功能特点。</w:t>
      </w:r>
    </w:p>
    <w:p w14:paraId="670C50FF">
      <w:pPr>
        <w:spacing w:before="83" w:line="221" w:lineRule="auto"/>
        <w:rPr>
          <w:rFonts w:ascii="黑体" w:hAnsi="黑体" w:eastAsia="黑体" w:cs="黑体"/>
          <w:sz w:val="25"/>
          <w:szCs w:val="25"/>
        </w:rPr>
      </w:pPr>
      <w:r>
        <w:rPr>
          <w:rFonts w:ascii="黑体" w:hAnsi="黑体" w:eastAsia="黑体" w:cs="黑体"/>
          <w:spacing w:val="10"/>
          <w:sz w:val="25"/>
          <w:szCs w:val="25"/>
        </w:rPr>
        <w:t>3.2</w:t>
      </w:r>
      <w:r>
        <w:rPr>
          <w:rFonts w:ascii="黑体" w:hAnsi="黑体" w:eastAsia="黑体" w:cs="黑体"/>
          <w:spacing w:val="36"/>
          <w:sz w:val="25"/>
          <w:szCs w:val="25"/>
        </w:rPr>
        <w:t xml:space="preserve">  </w:t>
      </w:r>
      <w:r>
        <w:rPr>
          <w:rFonts w:ascii="黑体" w:hAnsi="黑体" w:eastAsia="黑体" w:cs="黑体"/>
          <w:b/>
          <w:bCs/>
          <w:spacing w:val="10"/>
          <w:sz w:val="25"/>
          <w:szCs w:val="25"/>
        </w:rPr>
        <w:t>任务要求</w:t>
      </w:r>
    </w:p>
    <w:p w14:paraId="656940A2">
      <w:pPr>
        <w:pStyle w:val="2"/>
        <w:spacing w:before="88" w:line="219" w:lineRule="auto"/>
        <w:ind w:left="570"/>
      </w:pPr>
      <w:r>
        <w:rPr>
          <w:spacing w:val="2"/>
        </w:rPr>
        <w:t>描述产品的任务要求。</w:t>
      </w:r>
    </w:p>
    <w:p w14:paraId="5B24AD1A">
      <w:pPr>
        <w:spacing w:before="74" w:line="222" w:lineRule="auto"/>
        <w:rPr>
          <w:rFonts w:ascii="黑体" w:hAnsi="黑体" w:eastAsia="黑体" w:cs="黑体"/>
          <w:sz w:val="27"/>
          <w:szCs w:val="27"/>
        </w:rPr>
      </w:pPr>
      <w:r>
        <w:rPr>
          <w:rFonts w:ascii="黑体" w:hAnsi="黑体" w:eastAsia="黑体" w:cs="黑体"/>
          <w:spacing w:val="2"/>
          <w:sz w:val="27"/>
          <w:szCs w:val="27"/>
        </w:rPr>
        <w:t xml:space="preserve">3.3  </w:t>
      </w:r>
      <w:r>
        <w:rPr>
          <w:rFonts w:ascii="黑体" w:hAnsi="黑体" w:eastAsia="黑体" w:cs="黑体"/>
          <w:b/>
          <w:bCs/>
          <w:spacing w:val="2"/>
          <w:sz w:val="27"/>
          <w:szCs w:val="27"/>
        </w:rPr>
        <w:t>在工作分解结构中的位置</w:t>
      </w:r>
    </w:p>
    <w:p w14:paraId="3900F2D3">
      <w:pPr>
        <w:pStyle w:val="2"/>
        <w:spacing w:before="91" w:line="219" w:lineRule="auto"/>
        <w:ind w:left="570"/>
      </w:pPr>
      <w:r>
        <w:rPr>
          <w:spacing w:val="3"/>
        </w:rPr>
        <w:t>描述产品在工作分解结构中所处位置。</w:t>
      </w:r>
    </w:p>
    <w:p w14:paraId="553FA6C8">
      <w:pPr>
        <w:spacing w:before="93" w:line="222" w:lineRule="auto"/>
        <w:rPr>
          <w:rFonts w:ascii="黑体" w:hAnsi="黑体" w:eastAsia="黑体" w:cs="黑体"/>
          <w:sz w:val="24"/>
          <w:szCs w:val="24"/>
        </w:rPr>
      </w:pPr>
      <w:r>
        <w:rPr>
          <w:rFonts w:ascii="黑体" w:hAnsi="黑体" w:eastAsia="黑体" w:cs="黑体"/>
          <w:spacing w:val="16"/>
          <w:sz w:val="24"/>
          <w:szCs w:val="24"/>
        </w:rPr>
        <w:t>3.4</w:t>
      </w:r>
      <w:r>
        <w:rPr>
          <w:rFonts w:ascii="黑体" w:hAnsi="黑体" w:eastAsia="黑体" w:cs="黑体"/>
          <w:spacing w:val="46"/>
          <w:sz w:val="24"/>
          <w:szCs w:val="24"/>
        </w:rPr>
        <w:t xml:space="preserve">  </w:t>
      </w:r>
      <w:r>
        <w:rPr>
          <w:rFonts w:ascii="黑体" w:hAnsi="黑体" w:eastAsia="黑体" w:cs="黑体"/>
          <w:b/>
          <w:bCs/>
          <w:spacing w:val="16"/>
          <w:sz w:val="24"/>
          <w:szCs w:val="24"/>
        </w:rPr>
        <w:t>研制阶段</w:t>
      </w:r>
    </w:p>
    <w:p w14:paraId="70407FC4">
      <w:pPr>
        <w:pStyle w:val="2"/>
        <w:spacing w:before="98" w:line="219" w:lineRule="auto"/>
        <w:ind w:left="570"/>
      </w:pPr>
      <w:r>
        <w:rPr>
          <w:spacing w:val="1"/>
        </w:rPr>
        <w:t>描述产品所处的研制阶段。</w:t>
      </w:r>
    </w:p>
    <w:p w14:paraId="5FA755D0">
      <w:pPr>
        <w:spacing w:before="63" w:line="221"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4"/>
          <w:sz w:val="27"/>
          <w:szCs w:val="27"/>
        </w:rPr>
        <w:t xml:space="preserve">  </w:t>
      </w:r>
      <w:r>
        <w:rPr>
          <w:rFonts w:ascii="黑体" w:hAnsi="黑体" w:eastAsia="黑体" w:cs="黑体"/>
          <w:b/>
          <w:bCs/>
          <w:spacing w:val="2"/>
          <w:sz w:val="27"/>
          <w:szCs w:val="27"/>
        </w:rPr>
        <w:t>风险管理策略和方法</w:t>
      </w:r>
    </w:p>
    <w:p w14:paraId="795CF436">
      <w:pPr>
        <w:pStyle w:val="2"/>
        <w:spacing w:before="103" w:line="274" w:lineRule="auto"/>
        <w:ind w:left="570"/>
      </w:pPr>
      <w:r>
        <w:rPr>
          <w:spacing w:val="1"/>
        </w:rPr>
        <w:t>综述风险管理方法，包括风险管理工作现状和项目的风险管理策略的说明。</w:t>
      </w:r>
      <w:r>
        <w:t xml:space="preserve"> </w:t>
      </w:r>
      <w:r>
        <w:rPr>
          <w:spacing w:val="-7"/>
        </w:rPr>
        <w:t>美国《国防部采办风险管理指南》提供的风险管理策略示例：</w:t>
      </w:r>
    </w:p>
    <w:p w14:paraId="6D90D031">
      <w:pPr>
        <w:spacing w:line="290" w:lineRule="auto"/>
        <w:ind w:right="133" w:firstLine="570"/>
        <w:rPr>
          <w:rFonts w:ascii="仿宋" w:hAnsi="仿宋" w:eastAsia="仿宋" w:cs="仿宋"/>
          <w:sz w:val="24"/>
          <w:szCs w:val="24"/>
        </w:rPr>
      </w:pPr>
      <w:r>
        <w:rPr>
          <w:rFonts w:ascii="Times New Roman" w:hAnsi="Times New Roman" w:eastAsia="Times New Roman" w:cs="Times New Roman"/>
          <w:spacing w:val="38"/>
          <w:sz w:val="24"/>
          <w:szCs w:val="24"/>
        </w:rPr>
        <w:t xml:space="preserve">a)  </w:t>
      </w:r>
      <w:r>
        <w:rPr>
          <w:rFonts w:ascii="仿宋" w:hAnsi="仿宋" w:eastAsia="仿宋" w:cs="仿宋"/>
          <w:spacing w:val="38"/>
          <w:sz w:val="24"/>
          <w:szCs w:val="24"/>
        </w:rPr>
        <w:t>风险管理的基本策略是识别技术性和非技术性的关键风险区和风险事</w:t>
      </w:r>
      <w:r>
        <w:rPr>
          <w:rFonts w:ascii="仿宋" w:hAnsi="仿宋" w:eastAsia="仿宋" w:cs="仿宋"/>
          <w:spacing w:val="11"/>
          <w:sz w:val="24"/>
          <w:szCs w:val="24"/>
        </w:rPr>
        <w:t xml:space="preserve"> </w:t>
      </w:r>
      <w:r>
        <w:rPr>
          <w:rFonts w:ascii="仿宋" w:hAnsi="仿宋" w:eastAsia="仿宋" w:cs="仿宋"/>
          <w:spacing w:val="27"/>
          <w:sz w:val="24"/>
          <w:szCs w:val="24"/>
        </w:rPr>
        <w:t>件，并在其成为问题，造成严重的费用、进度或性能影响之前采取有效措施进行</w:t>
      </w:r>
      <w:r>
        <w:rPr>
          <w:rFonts w:ascii="仿宋" w:hAnsi="仿宋" w:eastAsia="仿宋" w:cs="仿宋"/>
          <w:spacing w:val="1"/>
          <w:sz w:val="24"/>
          <w:szCs w:val="24"/>
        </w:rPr>
        <w:t xml:space="preserve"> </w:t>
      </w:r>
      <w:r>
        <w:rPr>
          <w:rFonts w:ascii="仿宋" w:hAnsi="仿宋" w:eastAsia="仿宋" w:cs="仿宋"/>
          <w:spacing w:val="16"/>
          <w:sz w:val="24"/>
          <w:szCs w:val="24"/>
        </w:rPr>
        <w:t>处理。</w:t>
      </w:r>
    </w:p>
    <w:p w14:paraId="21F37BE4">
      <w:pPr>
        <w:spacing w:before="57" w:line="212" w:lineRule="auto"/>
        <w:ind w:left="570"/>
        <w:rPr>
          <w:rFonts w:ascii="仿宋" w:hAnsi="仿宋" w:eastAsia="仿宋" w:cs="仿宋"/>
          <w:sz w:val="27"/>
          <w:szCs w:val="27"/>
        </w:rPr>
      </w:pPr>
      <w:r>
        <w:rPr>
          <w:rFonts w:ascii="Times New Roman" w:hAnsi="Times New Roman" w:eastAsia="Times New Roman" w:cs="Times New Roman"/>
          <w:sz w:val="27"/>
          <w:szCs w:val="27"/>
        </w:rPr>
        <w:t>b)</w:t>
      </w:r>
      <w:r>
        <w:rPr>
          <w:rFonts w:ascii="Times New Roman" w:hAnsi="Times New Roman" w:eastAsia="Times New Roman" w:cs="Times New Roman"/>
          <w:spacing w:val="71"/>
          <w:sz w:val="27"/>
          <w:szCs w:val="27"/>
        </w:rPr>
        <w:t xml:space="preserve"> </w:t>
      </w:r>
      <w:r>
        <w:rPr>
          <w:rFonts w:ascii="仿宋" w:hAnsi="仿宋" w:eastAsia="仿宋" w:cs="仿宋"/>
          <w:sz w:val="27"/>
          <w:szCs w:val="27"/>
        </w:rPr>
        <w:t>风险处理措施主要是加大建模与仿真、技术演示和样机试验的力度。</w:t>
      </w:r>
    </w:p>
    <w:p w14:paraId="25DC215C">
      <w:pPr>
        <w:spacing w:before="122" w:line="212" w:lineRule="auto"/>
        <w:ind w:left="570"/>
        <w:rPr>
          <w:rFonts w:ascii="仿宋" w:hAnsi="仿宋" w:eastAsia="仿宋" w:cs="仿宋"/>
          <w:sz w:val="24"/>
          <w:szCs w:val="24"/>
        </w:rPr>
      </w:pPr>
      <w:r>
        <w:rPr>
          <w:rFonts w:ascii="Times New Roman" w:hAnsi="Times New Roman" w:eastAsia="Times New Roman" w:cs="Times New Roman"/>
          <w:spacing w:val="30"/>
          <w:sz w:val="24"/>
          <w:szCs w:val="24"/>
        </w:rPr>
        <w:t xml:space="preserve">c)  </w:t>
      </w:r>
      <w:r>
        <w:rPr>
          <w:rFonts w:ascii="仿宋" w:hAnsi="仿宋" w:eastAsia="仿宋" w:cs="仿宋"/>
          <w:spacing w:val="30"/>
          <w:sz w:val="24"/>
          <w:szCs w:val="24"/>
        </w:rPr>
        <w:t>风险管理工作由政府和承包商联合组成的产品综合组负责进行。</w:t>
      </w:r>
    </w:p>
    <w:p w14:paraId="568FE244">
      <w:pPr>
        <w:spacing w:before="124" w:line="282" w:lineRule="auto"/>
        <w:ind w:right="135" w:firstLine="570"/>
        <w:rPr>
          <w:rFonts w:ascii="仿宋" w:hAnsi="仿宋" w:eastAsia="仿宋" w:cs="仿宋"/>
          <w:sz w:val="24"/>
          <w:szCs w:val="24"/>
        </w:rPr>
      </w:pPr>
      <w:r>
        <w:rPr>
          <w:rFonts w:ascii="Times New Roman" w:hAnsi="Times New Roman" w:eastAsia="Times New Roman" w:cs="Times New Roman"/>
          <w:spacing w:val="38"/>
          <w:sz w:val="24"/>
          <w:szCs w:val="24"/>
        </w:rPr>
        <w:t xml:space="preserve">d)  </w:t>
      </w:r>
      <w:r>
        <w:rPr>
          <w:rFonts w:ascii="仿宋" w:hAnsi="仿宋" w:eastAsia="仿宋" w:cs="仿宋"/>
          <w:spacing w:val="38"/>
          <w:sz w:val="24"/>
          <w:szCs w:val="24"/>
        </w:rPr>
        <w:t>采用完善的评估方法来识别和分析那些对满足项目目标至关</w:t>
      </w:r>
      <w:r>
        <w:rPr>
          <w:rFonts w:ascii="仿宋" w:hAnsi="仿宋" w:eastAsia="仿宋" w:cs="仿宋"/>
          <w:spacing w:val="37"/>
          <w:sz w:val="24"/>
          <w:szCs w:val="24"/>
        </w:rPr>
        <w:t>重要的过</w:t>
      </w:r>
      <w:r>
        <w:rPr>
          <w:rFonts w:ascii="仿宋" w:hAnsi="仿宋" w:eastAsia="仿宋" w:cs="仿宋"/>
          <w:sz w:val="24"/>
          <w:szCs w:val="24"/>
        </w:rPr>
        <w:t xml:space="preserve"> </w:t>
      </w:r>
      <w:r>
        <w:rPr>
          <w:rFonts w:ascii="仿宋" w:hAnsi="仿宋" w:eastAsia="仿宋" w:cs="仿宋"/>
          <w:spacing w:val="26"/>
          <w:sz w:val="24"/>
          <w:szCs w:val="24"/>
        </w:rPr>
        <w:t>程和产品，制定风险处理方案以降低风险，监督所选用</w:t>
      </w:r>
      <w:r>
        <w:rPr>
          <w:rFonts w:ascii="仿宋" w:hAnsi="仿宋" w:eastAsia="仿宋" w:cs="仿宋"/>
          <w:spacing w:val="25"/>
          <w:sz w:val="24"/>
          <w:szCs w:val="24"/>
        </w:rPr>
        <w:t>的风险处理方案的效果。</w:t>
      </w:r>
    </w:p>
    <w:p w14:paraId="0F24434D">
      <w:pPr>
        <w:spacing w:before="54" w:line="255" w:lineRule="auto"/>
        <w:ind w:right="134" w:firstLine="570"/>
        <w:rPr>
          <w:rFonts w:ascii="仿宋" w:hAnsi="仿宋" w:eastAsia="仿宋" w:cs="仿宋"/>
          <w:sz w:val="27"/>
          <w:szCs w:val="27"/>
        </w:rPr>
      </w:pPr>
      <w:r>
        <w:rPr>
          <w:rFonts w:ascii="Times New Roman" w:hAnsi="Times New Roman" w:eastAsia="Times New Roman" w:cs="Times New Roman"/>
          <w:spacing w:val="11"/>
          <w:sz w:val="27"/>
          <w:szCs w:val="27"/>
        </w:rPr>
        <w:t xml:space="preserve">e)  </w:t>
      </w:r>
      <w:r>
        <w:rPr>
          <w:rFonts w:ascii="仿宋" w:hAnsi="仿宋" w:eastAsia="仿宋" w:cs="仿宋"/>
          <w:spacing w:val="11"/>
          <w:sz w:val="27"/>
          <w:szCs w:val="27"/>
        </w:rPr>
        <w:t>配置充分的资源实施选定的风险处理方案。风</w:t>
      </w:r>
      <w:r>
        <w:rPr>
          <w:rFonts w:ascii="仿宋" w:hAnsi="仿宋" w:eastAsia="仿宋" w:cs="仿宋"/>
          <w:spacing w:val="10"/>
          <w:sz w:val="27"/>
          <w:szCs w:val="27"/>
        </w:rPr>
        <w:t>险管理工作成败的关键</w:t>
      </w:r>
      <w:r>
        <w:rPr>
          <w:rFonts w:ascii="仿宋" w:hAnsi="仿宋" w:eastAsia="仿宋" w:cs="仿宋"/>
          <w:sz w:val="27"/>
          <w:szCs w:val="27"/>
        </w:rPr>
        <w:t xml:space="preserve"> </w:t>
      </w:r>
      <w:r>
        <w:rPr>
          <w:rFonts w:ascii="仿宋" w:hAnsi="仿宋" w:eastAsia="仿宋" w:cs="仿宋"/>
          <w:spacing w:val="2"/>
          <w:sz w:val="27"/>
          <w:szCs w:val="27"/>
        </w:rPr>
        <w:t>在于有无必要的资源去实施选定的风险处理方案。</w:t>
      </w:r>
    </w:p>
    <w:p w14:paraId="2D0006C1">
      <w:pPr>
        <w:spacing w:before="98" w:line="212" w:lineRule="auto"/>
        <w:ind w:left="570"/>
        <w:rPr>
          <w:rFonts w:ascii="仿宋" w:hAnsi="仿宋" w:eastAsia="仿宋" w:cs="仿宋"/>
          <w:sz w:val="24"/>
          <w:szCs w:val="24"/>
        </w:rPr>
      </w:pPr>
      <w:r>
        <w:rPr>
          <w:rFonts w:ascii="Times New Roman" w:hAnsi="Times New Roman" w:eastAsia="Times New Roman" w:cs="Times New Roman"/>
          <w:spacing w:val="31"/>
          <w:sz w:val="24"/>
          <w:szCs w:val="24"/>
        </w:rPr>
        <w:t xml:space="preserve">f)  </w:t>
      </w:r>
      <w:r>
        <w:rPr>
          <w:rFonts w:ascii="仿宋" w:hAnsi="仿宋" w:eastAsia="仿宋" w:cs="仿宋"/>
          <w:spacing w:val="31"/>
          <w:sz w:val="24"/>
          <w:szCs w:val="24"/>
        </w:rPr>
        <w:t>风险信息由风险管理信息系统的产品综合组用标准风险信</w:t>
      </w:r>
      <w:r>
        <w:rPr>
          <w:rFonts w:ascii="仿宋" w:hAnsi="仿宋" w:eastAsia="仿宋" w:cs="仿宋"/>
          <w:spacing w:val="30"/>
          <w:sz w:val="24"/>
          <w:szCs w:val="24"/>
        </w:rPr>
        <w:t>息表收集。</w:t>
      </w:r>
    </w:p>
    <w:p w14:paraId="57FF69EF">
      <w:pPr>
        <w:spacing w:before="112" w:line="275" w:lineRule="auto"/>
        <w:ind w:right="127" w:firstLine="570"/>
        <w:rPr>
          <w:rFonts w:ascii="仿宋" w:hAnsi="仿宋" w:eastAsia="仿宋" w:cs="仿宋"/>
          <w:sz w:val="25"/>
          <w:szCs w:val="25"/>
        </w:rPr>
      </w:pPr>
      <w:r>
        <w:rPr>
          <w:rFonts w:ascii="Times New Roman" w:hAnsi="Times New Roman" w:eastAsia="Times New Roman" w:cs="Times New Roman"/>
          <w:spacing w:val="14"/>
          <w:sz w:val="25"/>
          <w:szCs w:val="25"/>
        </w:rPr>
        <w:t>g</w:t>
      </w:r>
      <w:r>
        <w:rPr>
          <w:rFonts w:ascii="Times New Roman" w:hAnsi="Times New Roman" w:eastAsia="Times New Roman" w:cs="Times New Roman"/>
          <w:spacing w:val="-30"/>
          <w:sz w:val="25"/>
          <w:szCs w:val="25"/>
        </w:rPr>
        <w:t xml:space="preserve"> </w:t>
      </w:r>
      <w:r>
        <w:rPr>
          <w:rFonts w:ascii="仿宋" w:hAnsi="仿宋" w:eastAsia="仿宋" w:cs="仿宋"/>
          <w:spacing w:val="14"/>
          <w:sz w:val="25"/>
          <w:szCs w:val="25"/>
        </w:rPr>
        <w:t>)</w:t>
      </w:r>
      <w:r>
        <w:rPr>
          <w:rFonts w:ascii="仿宋" w:hAnsi="仿宋" w:eastAsia="仿宋" w:cs="仿宋"/>
          <w:spacing w:val="-40"/>
          <w:sz w:val="25"/>
          <w:szCs w:val="25"/>
        </w:rPr>
        <w:t xml:space="preserve"> </w:t>
      </w:r>
      <w:r>
        <w:rPr>
          <w:rFonts w:ascii="仿宋" w:hAnsi="仿宋" w:eastAsia="仿宋" w:cs="仿宋"/>
          <w:spacing w:val="14"/>
          <w:sz w:val="25"/>
          <w:szCs w:val="25"/>
        </w:rPr>
        <w:t>项目的所有审查都要审查风险信息，只要得到了新的风险信息</w:t>
      </w:r>
      <w:r>
        <w:rPr>
          <w:rFonts w:ascii="仿宋" w:hAnsi="仿宋" w:eastAsia="仿宋" w:cs="仿宋"/>
          <w:spacing w:val="13"/>
          <w:sz w:val="25"/>
          <w:szCs w:val="25"/>
        </w:rPr>
        <w:t>，项 目</w:t>
      </w:r>
      <w:r>
        <w:rPr>
          <w:rFonts w:ascii="仿宋" w:hAnsi="仿宋" w:eastAsia="仿宋" w:cs="仿宋"/>
          <w:spacing w:val="-23"/>
          <w:sz w:val="25"/>
          <w:szCs w:val="25"/>
        </w:rPr>
        <w:t xml:space="preserve"> </w:t>
      </w:r>
      <w:r>
        <w:rPr>
          <w:rFonts w:ascii="仿宋" w:hAnsi="仿宋" w:eastAsia="仿宋" w:cs="仿宋"/>
          <w:spacing w:val="13"/>
          <w:sz w:val="25"/>
          <w:szCs w:val="25"/>
        </w:rPr>
        <w:t>管</w:t>
      </w:r>
      <w:r>
        <w:rPr>
          <w:rFonts w:ascii="仿宋" w:hAnsi="仿宋" w:eastAsia="仿宋" w:cs="仿宋"/>
          <w:sz w:val="25"/>
          <w:szCs w:val="25"/>
        </w:rPr>
        <w:t xml:space="preserve"> </w:t>
      </w:r>
      <w:r>
        <w:rPr>
          <w:rFonts w:ascii="仿宋" w:hAnsi="仿宋" w:eastAsia="仿宋" w:cs="仿宋"/>
          <w:spacing w:val="17"/>
          <w:sz w:val="25"/>
          <w:szCs w:val="25"/>
        </w:rPr>
        <w:t>理办公室和承包商都要进行一次审查，弄清是否出现了新的风险，目标是始终注</w:t>
      </w:r>
    </w:p>
    <w:p w14:paraId="357718AE">
      <w:pPr>
        <w:spacing w:line="275" w:lineRule="auto"/>
        <w:rPr>
          <w:rFonts w:ascii="仿宋" w:hAnsi="仿宋" w:eastAsia="仿宋" w:cs="仿宋"/>
          <w:sz w:val="25"/>
          <w:szCs w:val="25"/>
        </w:rPr>
        <w:sectPr>
          <w:footerReference r:id="rId336" w:type="default"/>
          <w:pgSz w:w="11910" w:h="17130"/>
          <w:pgMar w:top="1456" w:right="1335" w:bottom="1723" w:left="1059" w:header="0" w:footer="1524" w:gutter="0"/>
          <w:cols w:space="720" w:num="1"/>
        </w:sectPr>
      </w:pPr>
    </w:p>
    <w:p w14:paraId="1A8753A2">
      <w:pPr>
        <w:spacing w:before="48" w:line="222" w:lineRule="auto"/>
        <w:rPr>
          <w:rFonts w:ascii="仿宋" w:hAnsi="仿宋" w:eastAsia="仿宋" w:cs="仿宋"/>
          <w:sz w:val="24"/>
          <w:szCs w:val="24"/>
        </w:rPr>
      </w:pPr>
      <w:r>
        <w:rPr>
          <w:rFonts w:ascii="仿宋" w:hAnsi="仿宋" w:eastAsia="仿宋" w:cs="仿宋"/>
          <w:spacing w:val="31"/>
          <w:sz w:val="24"/>
          <w:szCs w:val="24"/>
        </w:rPr>
        <w:t>视那些可能对项目产生严重影响的区域。</w:t>
      </w:r>
    </w:p>
    <w:p w14:paraId="1767CE6B">
      <w:pPr>
        <w:spacing w:before="122" w:line="222" w:lineRule="auto"/>
        <w:outlineLvl w:val="3"/>
        <w:rPr>
          <w:rFonts w:ascii="黑体" w:hAnsi="黑体" w:eastAsia="黑体" w:cs="黑体"/>
          <w:sz w:val="27"/>
          <w:szCs w:val="27"/>
        </w:rPr>
      </w:pPr>
      <w:r>
        <w:rPr>
          <w:rFonts w:ascii="Arial" w:hAnsi="Arial" w:eastAsia="Arial" w:cs="Arial"/>
          <w:b/>
          <w:bCs/>
          <w:spacing w:val="-2"/>
          <w:sz w:val="27"/>
          <w:szCs w:val="27"/>
        </w:rPr>
        <w:t>5</w:t>
      </w:r>
      <w:r>
        <w:rPr>
          <w:rFonts w:ascii="Arial" w:hAnsi="Arial" w:eastAsia="Arial" w:cs="Arial"/>
          <w:b/>
          <w:bCs/>
          <w:spacing w:val="18"/>
          <w:sz w:val="27"/>
          <w:szCs w:val="27"/>
        </w:rPr>
        <w:t xml:space="preserve">   </w:t>
      </w:r>
      <w:r>
        <w:rPr>
          <w:rFonts w:ascii="黑体" w:hAnsi="黑体" w:eastAsia="黑体" w:cs="黑体"/>
          <w:b/>
          <w:bCs/>
          <w:spacing w:val="-2"/>
          <w:sz w:val="27"/>
          <w:szCs w:val="27"/>
        </w:rPr>
        <w:t>组织机构</w:t>
      </w:r>
    </w:p>
    <w:p w14:paraId="76A6DD3B">
      <w:pPr>
        <w:pStyle w:val="2"/>
        <w:spacing w:before="79" w:line="286" w:lineRule="auto"/>
        <w:ind w:firstLine="560"/>
        <w:jc w:val="both"/>
      </w:pPr>
      <w:r>
        <w:rPr>
          <w:spacing w:val="1"/>
        </w:rPr>
        <w:t>说明风险管理组织，逐个明确风险管理活动参与人员的</w:t>
      </w:r>
      <w:r>
        <w:t xml:space="preserve">职责，包括组织者、 </w:t>
      </w:r>
      <w:r>
        <w:rPr>
          <w:spacing w:val="5"/>
        </w:rPr>
        <w:t>支持者和参与者的职能定位、任务分工及其各自的责任和能力要求。风险</w:t>
      </w:r>
      <w:r>
        <w:rPr>
          <w:spacing w:val="4"/>
        </w:rPr>
        <w:t>管理</w:t>
      </w:r>
      <w:r>
        <w:t xml:space="preserve">  </w:t>
      </w:r>
      <w:r>
        <w:rPr>
          <w:spacing w:val="-1"/>
        </w:rPr>
        <w:t>组织不是一成不变的，要根据项目所在寿命周期阶段作出相应的规定。</w:t>
      </w:r>
    </w:p>
    <w:p w14:paraId="2773C8DD">
      <w:pPr>
        <w:spacing w:line="221"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风险管理过程和程序</w:t>
      </w:r>
    </w:p>
    <w:p w14:paraId="1CC3C461">
      <w:pPr>
        <w:pStyle w:val="2"/>
        <w:spacing w:before="87" w:line="287" w:lineRule="auto"/>
        <w:ind w:right="120" w:firstLine="560"/>
        <w:jc w:val="both"/>
      </w:pPr>
      <w:r>
        <w:rPr>
          <w:spacing w:val="-3"/>
        </w:rPr>
        <w:t>说明项目所采用的风险管理过程，包括风险规划、风险评估、风险处理和风</w:t>
      </w:r>
      <w:r>
        <w:t xml:space="preserve"> </w:t>
      </w:r>
      <w:r>
        <w:rPr>
          <w:spacing w:val="-2"/>
        </w:rPr>
        <w:t>险监控等，并对这些过程环节作基本解释，同时要介绍</w:t>
      </w:r>
      <w:r>
        <w:rPr>
          <w:spacing w:val="-3"/>
        </w:rPr>
        <w:t>过程中每种管理职能的适</w:t>
      </w:r>
      <w:r>
        <w:t xml:space="preserve"> </w:t>
      </w:r>
      <w:r>
        <w:rPr>
          <w:spacing w:val="-2"/>
        </w:rPr>
        <w:t>用对象。如有可能，应尽量概括通用，使项目的风险管理组织在</w:t>
      </w:r>
      <w:r>
        <w:rPr>
          <w:spacing w:val="-3"/>
        </w:rPr>
        <w:t>进行项目风险管</w:t>
      </w:r>
      <w:r>
        <w:t xml:space="preserve"> </w:t>
      </w:r>
      <w:r>
        <w:rPr>
          <w:spacing w:val="14"/>
        </w:rPr>
        <w:t>理时有一定的灵活性，但又要足够具体，保证有一种通用的协调的</w:t>
      </w:r>
      <w:r>
        <w:rPr>
          <w:spacing w:val="13"/>
        </w:rPr>
        <w:t>风险管理</w:t>
      </w:r>
      <w:r>
        <w:t xml:space="preserve"> </w:t>
      </w:r>
      <w:r>
        <w:rPr>
          <w:spacing w:val="-4"/>
        </w:rPr>
        <w:t>方法。</w:t>
      </w:r>
    </w:p>
    <w:p w14:paraId="01E50DF1">
      <w:pPr>
        <w:spacing w:before="1" w:line="221" w:lineRule="auto"/>
        <w:rPr>
          <w:rFonts w:ascii="黑体" w:hAnsi="黑体" w:eastAsia="黑体" w:cs="黑体"/>
          <w:sz w:val="27"/>
          <w:szCs w:val="27"/>
        </w:rPr>
      </w:pPr>
      <w:r>
        <w:rPr>
          <w:rFonts w:ascii="黑体" w:hAnsi="黑体" w:eastAsia="黑体" w:cs="黑体"/>
          <w:spacing w:val="2"/>
          <w:sz w:val="27"/>
          <w:szCs w:val="27"/>
        </w:rPr>
        <w:t>6.1</w:t>
      </w:r>
      <w:r>
        <w:rPr>
          <w:rFonts w:ascii="黑体" w:hAnsi="黑体" w:eastAsia="黑体" w:cs="黑体"/>
          <w:spacing w:val="15"/>
          <w:sz w:val="27"/>
          <w:szCs w:val="27"/>
        </w:rPr>
        <w:t xml:space="preserve">  </w:t>
      </w:r>
      <w:r>
        <w:rPr>
          <w:rFonts w:ascii="黑体" w:hAnsi="黑体" w:eastAsia="黑体" w:cs="黑体"/>
          <w:b/>
          <w:bCs/>
          <w:spacing w:val="2"/>
          <w:sz w:val="27"/>
          <w:szCs w:val="27"/>
        </w:rPr>
        <w:t>风险规划</w:t>
      </w:r>
    </w:p>
    <w:p w14:paraId="73F39383">
      <w:pPr>
        <w:pStyle w:val="2"/>
        <w:spacing w:before="111" w:line="285" w:lineRule="auto"/>
        <w:ind w:right="100" w:firstLine="560"/>
        <w:jc w:val="both"/>
      </w:pPr>
      <w:r>
        <w:rPr>
          <w:spacing w:val="-2"/>
        </w:rPr>
        <w:t>规定风险规划过程，并提出如何完成这一过程的指</w:t>
      </w:r>
      <w:r>
        <w:rPr>
          <w:spacing w:val="-3"/>
        </w:rPr>
        <w:t>导意见；规定持续风险管</w:t>
      </w:r>
      <w:r>
        <w:t xml:space="preserve"> </w:t>
      </w:r>
      <w:r>
        <w:rPr>
          <w:spacing w:val="6"/>
        </w:rPr>
        <w:t>理计划和该风险管理计划之间的关系；就风险管</w:t>
      </w:r>
      <w:r>
        <w:rPr>
          <w:spacing w:val="5"/>
        </w:rPr>
        <w:t>理计划的更新和需遵守的批准</w:t>
      </w:r>
      <w:r>
        <w:t xml:space="preserve"> </w:t>
      </w:r>
      <w:r>
        <w:rPr>
          <w:spacing w:val="1"/>
        </w:rPr>
        <w:t>过程提出指导意见。</w:t>
      </w:r>
    </w:p>
    <w:p w14:paraId="6B8BD286">
      <w:pPr>
        <w:spacing w:before="33" w:line="222" w:lineRule="auto"/>
        <w:rPr>
          <w:rFonts w:ascii="黑体" w:hAnsi="黑体" w:eastAsia="黑体" w:cs="黑体"/>
          <w:sz w:val="24"/>
          <w:szCs w:val="24"/>
        </w:rPr>
      </w:pPr>
      <w:r>
        <w:rPr>
          <w:rFonts w:ascii="黑体" w:hAnsi="黑体" w:eastAsia="黑体" w:cs="黑体"/>
          <w:spacing w:val="18"/>
          <w:sz w:val="24"/>
          <w:szCs w:val="24"/>
        </w:rPr>
        <w:t>6.2</w:t>
      </w:r>
      <w:r>
        <w:rPr>
          <w:rFonts w:ascii="黑体" w:hAnsi="黑体" w:eastAsia="黑体" w:cs="黑体"/>
          <w:spacing w:val="52"/>
          <w:sz w:val="24"/>
          <w:szCs w:val="24"/>
        </w:rPr>
        <w:t xml:space="preserve">  </w:t>
      </w:r>
      <w:r>
        <w:rPr>
          <w:rFonts w:ascii="黑体" w:hAnsi="黑体" w:eastAsia="黑体" w:cs="黑体"/>
          <w:b/>
          <w:bCs/>
          <w:spacing w:val="18"/>
          <w:sz w:val="24"/>
          <w:szCs w:val="24"/>
        </w:rPr>
        <w:t>风险评估</w:t>
      </w:r>
    </w:p>
    <w:p w14:paraId="7255661E">
      <w:pPr>
        <w:pStyle w:val="2"/>
        <w:spacing w:before="126" w:line="280" w:lineRule="auto"/>
        <w:ind w:right="102" w:firstLine="560"/>
      </w:pPr>
      <w:r>
        <w:rPr>
          <w:spacing w:val="6"/>
        </w:rPr>
        <w:t>规定对关键风险区和风险过程检验的评估过程和程序，以识别和记录相关</w:t>
      </w:r>
      <w:r>
        <w:t xml:space="preserve"> </w:t>
      </w:r>
      <w:r>
        <w:rPr>
          <w:spacing w:val="-1"/>
        </w:rPr>
        <w:t>的风险；概述每个风险区的分析过程从而确定风险等级。本节可包括：</w:t>
      </w:r>
    </w:p>
    <w:p w14:paraId="79A8EE99">
      <w:pPr>
        <w:pStyle w:val="2"/>
        <w:spacing w:before="2" w:line="217" w:lineRule="auto"/>
        <w:ind w:left="560"/>
      </w:pPr>
      <w:r>
        <w:rPr>
          <w:rFonts w:ascii="Times New Roman" w:hAnsi="Times New Roman" w:eastAsia="Times New Roman" w:cs="Times New Roman"/>
          <w:spacing w:val="9"/>
        </w:rPr>
        <w:t>a</w:t>
      </w:r>
      <w:r>
        <w:rPr>
          <w:spacing w:val="9"/>
        </w:rPr>
        <w:t>)评估过程的概述和范围；</w:t>
      </w:r>
    </w:p>
    <w:p w14:paraId="034723FF">
      <w:pPr>
        <w:pStyle w:val="2"/>
        <w:spacing w:before="73" w:line="212" w:lineRule="auto"/>
        <w:ind w:left="560"/>
      </w:pPr>
      <w:r>
        <w:rPr>
          <w:rFonts w:ascii="Times New Roman" w:hAnsi="Times New Roman" w:eastAsia="Times New Roman" w:cs="Times New Roman"/>
        </w:rPr>
        <w:t>b)</w:t>
      </w:r>
      <w:r>
        <w:rPr>
          <w:rFonts w:ascii="Times New Roman" w:hAnsi="Times New Roman" w:eastAsia="Times New Roman" w:cs="Times New Roman"/>
          <w:spacing w:val="61"/>
        </w:rPr>
        <w:t xml:space="preserve"> </w:t>
      </w:r>
      <w:r>
        <w:t>信息源；</w:t>
      </w:r>
    </w:p>
    <w:p w14:paraId="4D5F37FB">
      <w:pPr>
        <w:pStyle w:val="2"/>
        <w:spacing w:before="142" w:line="212" w:lineRule="auto"/>
        <w:ind w:left="560"/>
        <w:rPr>
          <w:sz w:val="24"/>
          <w:szCs w:val="24"/>
        </w:rPr>
      </w:pPr>
      <w:r>
        <w:rPr>
          <w:rFonts w:ascii="Times New Roman" w:hAnsi="Times New Roman" w:eastAsia="Times New Roman" w:cs="Times New Roman"/>
          <w:spacing w:val="25"/>
          <w:sz w:val="24"/>
          <w:szCs w:val="24"/>
        </w:rPr>
        <w:t xml:space="preserve">c)  </w:t>
      </w:r>
      <w:r>
        <w:rPr>
          <w:spacing w:val="25"/>
          <w:sz w:val="24"/>
          <w:szCs w:val="24"/>
        </w:rPr>
        <w:t>需报告的信息及报告格式；</w:t>
      </w:r>
    </w:p>
    <w:p w14:paraId="15333A11">
      <w:pPr>
        <w:pStyle w:val="2"/>
        <w:spacing w:before="122" w:line="212" w:lineRule="auto"/>
        <w:ind w:left="560"/>
      </w:pPr>
      <w:r>
        <w:rPr>
          <w:rFonts w:ascii="Times New Roman" w:hAnsi="Times New Roman" w:eastAsia="Times New Roman" w:cs="Times New Roman"/>
          <w:spacing w:val="2"/>
        </w:rPr>
        <w:t xml:space="preserve">d)  </w:t>
      </w:r>
      <w:r>
        <w:rPr>
          <w:spacing w:val="2"/>
        </w:rPr>
        <w:t>如何保存风险信息的说明；</w:t>
      </w:r>
    </w:p>
    <w:p w14:paraId="5AEFE30E">
      <w:pPr>
        <w:pStyle w:val="2"/>
        <w:spacing w:before="100" w:line="212" w:lineRule="auto"/>
        <w:ind w:left="560"/>
      </w:pPr>
      <w:r>
        <w:rPr>
          <w:rFonts w:ascii="Times New Roman" w:hAnsi="Times New Roman" w:eastAsia="Times New Roman" w:cs="Times New Roman"/>
          <w:spacing w:val="2"/>
        </w:rPr>
        <w:t>e)</w:t>
      </w:r>
      <w:r>
        <w:rPr>
          <w:rFonts w:ascii="Times New Roman" w:hAnsi="Times New Roman" w:eastAsia="Times New Roman" w:cs="Times New Roman"/>
          <w:spacing w:val="64"/>
          <w:w w:val="101"/>
        </w:rPr>
        <w:t xml:space="preserve"> </w:t>
      </w:r>
      <w:r>
        <w:rPr>
          <w:spacing w:val="2"/>
        </w:rPr>
        <w:t>评估的技术和手段。</w:t>
      </w:r>
    </w:p>
    <w:p w14:paraId="5AF4C3CE">
      <w:pPr>
        <w:spacing w:before="164" w:line="222" w:lineRule="auto"/>
        <w:rPr>
          <w:rFonts w:ascii="黑体" w:hAnsi="黑体" w:eastAsia="黑体" w:cs="黑体"/>
          <w:sz w:val="24"/>
          <w:szCs w:val="24"/>
        </w:rPr>
      </w:pPr>
      <w:r>
        <w:rPr>
          <w:rFonts w:ascii="黑体" w:hAnsi="黑体" w:eastAsia="黑体" w:cs="黑体"/>
          <w:spacing w:val="17"/>
          <w:sz w:val="24"/>
          <w:szCs w:val="24"/>
        </w:rPr>
        <w:t>6.3</w:t>
      </w:r>
      <w:r>
        <w:rPr>
          <w:rFonts w:ascii="黑体" w:hAnsi="黑体" w:eastAsia="黑体" w:cs="黑体"/>
          <w:spacing w:val="52"/>
          <w:sz w:val="24"/>
          <w:szCs w:val="24"/>
        </w:rPr>
        <w:t xml:space="preserve">  </w:t>
      </w:r>
      <w:r>
        <w:rPr>
          <w:rFonts w:ascii="黑体" w:hAnsi="黑体" w:eastAsia="黑体" w:cs="黑体"/>
          <w:b/>
          <w:bCs/>
          <w:spacing w:val="17"/>
          <w:sz w:val="24"/>
          <w:szCs w:val="24"/>
        </w:rPr>
        <w:t>风险处理</w:t>
      </w:r>
    </w:p>
    <w:p w14:paraId="22253D2D">
      <w:pPr>
        <w:pStyle w:val="2"/>
        <w:spacing w:before="115" w:line="293" w:lineRule="auto"/>
        <w:ind w:right="123" w:firstLine="560"/>
      </w:pPr>
      <w:r>
        <w:rPr>
          <w:spacing w:val="5"/>
        </w:rPr>
        <w:t>阐述可被用来确定和评价各种风险处理方案的程序；明确有助于实施风险</w:t>
      </w:r>
      <w:r>
        <w:rPr>
          <w:spacing w:val="10"/>
        </w:rPr>
        <w:t xml:space="preserve"> </w:t>
      </w:r>
      <w:r>
        <w:t>处理过程的工具；就使用各种风险处理方案处理具体风险提出指导意见。</w:t>
      </w:r>
    </w:p>
    <w:p w14:paraId="444E9A6D">
      <w:pPr>
        <w:spacing w:before="1" w:line="221" w:lineRule="auto"/>
        <w:rPr>
          <w:rFonts w:ascii="黑体" w:hAnsi="黑体" w:eastAsia="黑体" w:cs="黑体"/>
          <w:sz w:val="24"/>
          <w:szCs w:val="24"/>
        </w:rPr>
      </w:pPr>
      <w:r>
        <w:rPr>
          <w:rFonts w:ascii="黑体" w:hAnsi="黑体" w:eastAsia="黑体" w:cs="黑体"/>
          <w:spacing w:val="17"/>
          <w:sz w:val="24"/>
          <w:szCs w:val="24"/>
        </w:rPr>
        <w:t>6.4</w:t>
      </w:r>
      <w:r>
        <w:rPr>
          <w:rFonts w:ascii="黑体" w:hAnsi="黑体" w:eastAsia="黑体" w:cs="黑体"/>
          <w:spacing w:val="53"/>
          <w:sz w:val="24"/>
          <w:szCs w:val="24"/>
        </w:rPr>
        <w:t xml:space="preserve">  </w:t>
      </w:r>
      <w:r>
        <w:rPr>
          <w:rFonts w:ascii="黑体" w:hAnsi="黑体" w:eastAsia="黑体" w:cs="黑体"/>
          <w:b/>
          <w:bCs/>
          <w:spacing w:val="17"/>
          <w:sz w:val="24"/>
          <w:szCs w:val="24"/>
        </w:rPr>
        <w:t>风险监控</w:t>
      </w:r>
    </w:p>
    <w:p w14:paraId="4E01248F">
      <w:pPr>
        <w:pStyle w:val="2"/>
        <w:spacing w:before="138" w:line="285" w:lineRule="auto"/>
        <w:ind w:right="123" w:firstLine="560"/>
      </w:pPr>
      <w:r>
        <w:rPr>
          <w:spacing w:val="5"/>
        </w:rPr>
        <w:t>规定监控各种已识别风险事件需遵守的过程和程序；规定按照什么准则来</w:t>
      </w:r>
      <w:r>
        <w:rPr>
          <w:spacing w:val="10"/>
        </w:rPr>
        <w:t xml:space="preserve"> </w:t>
      </w:r>
      <w:r>
        <w:rPr>
          <w:spacing w:val="-1"/>
        </w:rPr>
        <w:t>选择需报告的风险和报告频次；就指标的选择问题提出指导意见。</w:t>
      </w:r>
    </w:p>
    <w:p w14:paraId="0D5C5518">
      <w:pPr>
        <w:spacing w:before="1" w:line="220" w:lineRule="auto"/>
        <w:outlineLvl w:val="3"/>
        <w:rPr>
          <w:rFonts w:ascii="黑体" w:hAnsi="黑体" w:eastAsia="黑体" w:cs="黑体"/>
          <w:sz w:val="27"/>
          <w:szCs w:val="27"/>
        </w:rPr>
      </w:pPr>
      <w:r>
        <w:rPr>
          <w:rFonts w:ascii="Arial" w:hAnsi="Arial" w:eastAsia="Arial" w:cs="Arial"/>
          <w:b/>
          <w:bCs/>
          <w:spacing w:val="-7"/>
          <w:sz w:val="27"/>
          <w:szCs w:val="27"/>
        </w:rPr>
        <w:t>7</w:t>
      </w:r>
      <w:r>
        <w:rPr>
          <w:rFonts w:ascii="Arial" w:hAnsi="Arial" w:eastAsia="Arial" w:cs="Arial"/>
          <w:b/>
          <w:bCs/>
          <w:spacing w:val="21"/>
          <w:sz w:val="27"/>
          <w:szCs w:val="27"/>
        </w:rPr>
        <w:t xml:space="preserve">   </w:t>
      </w:r>
      <w:r>
        <w:rPr>
          <w:rFonts w:ascii="黑体" w:hAnsi="黑体" w:eastAsia="黑体" w:cs="黑体"/>
          <w:b/>
          <w:bCs/>
          <w:spacing w:val="-7"/>
          <w:sz w:val="27"/>
          <w:szCs w:val="27"/>
        </w:rPr>
        <w:t>风险管理信息系统、文件及报告</w:t>
      </w:r>
    </w:p>
    <w:p w14:paraId="36DBC00C">
      <w:pPr>
        <w:pStyle w:val="2"/>
        <w:spacing w:before="71" w:line="297" w:lineRule="auto"/>
        <w:ind w:right="115" w:firstLine="560"/>
        <w:jc w:val="both"/>
      </w:pPr>
      <w:r>
        <w:rPr>
          <w:spacing w:val="5"/>
        </w:rPr>
        <w:t>规定风险管理信息系统的结构、规则和程序，用于记录风险管理过程的结</w:t>
      </w:r>
      <w:r>
        <w:rPr>
          <w:spacing w:val="15"/>
        </w:rPr>
        <w:t xml:space="preserve"> </w:t>
      </w:r>
      <w:r>
        <w:rPr>
          <w:spacing w:val="-2"/>
        </w:rPr>
        <w:t>果；规定需要编写的风险管理文件和报告，规定报告的格式和频次，并明确</w:t>
      </w:r>
      <w:r>
        <w:rPr>
          <w:spacing w:val="-3"/>
        </w:rPr>
        <w:t>编写</w:t>
      </w:r>
      <w:r>
        <w:t xml:space="preserve"> </w:t>
      </w:r>
      <w:r>
        <w:rPr>
          <w:spacing w:val="-4"/>
        </w:rPr>
        <w:t>职责。</w:t>
      </w:r>
    </w:p>
    <w:p w14:paraId="674073CA">
      <w:pPr>
        <w:spacing w:line="297" w:lineRule="auto"/>
        <w:sectPr>
          <w:footerReference r:id="rId337" w:type="default"/>
          <w:pgSz w:w="11910" w:h="17130"/>
          <w:pgMar w:top="1437" w:right="834" w:bottom="1687" w:left="1579" w:header="0" w:footer="1471" w:gutter="0"/>
          <w:cols w:space="720" w:num="1"/>
        </w:sectPr>
      </w:pPr>
    </w:p>
    <w:p w14:paraId="7275625B">
      <w:pPr>
        <w:pStyle w:val="2"/>
        <w:spacing w:before="330" w:line="218" w:lineRule="auto"/>
        <w:ind w:left="3120"/>
        <w:rPr>
          <w:sz w:val="36"/>
          <w:szCs w:val="36"/>
        </w:rPr>
      </w:pPr>
      <w:r>
        <w:rPr>
          <w:sz w:val="36"/>
          <w:szCs w:val="36"/>
        </w:rPr>
        <w:t>6.2</w:t>
      </w:r>
      <w:r>
        <w:rPr>
          <w:spacing w:val="23"/>
          <w:sz w:val="36"/>
          <w:szCs w:val="36"/>
        </w:rPr>
        <w:t xml:space="preserve">  </w:t>
      </w:r>
      <w:r>
        <w:rPr>
          <w:b/>
          <w:bCs/>
          <w:sz w:val="36"/>
          <w:szCs w:val="36"/>
        </w:rPr>
        <w:t>风险分析报告</w:t>
      </w:r>
    </w:p>
    <w:p w14:paraId="12C2B58F">
      <w:pPr>
        <w:spacing w:line="354" w:lineRule="auto"/>
        <w:rPr>
          <w:rFonts w:ascii="Arial"/>
          <w:sz w:val="21"/>
        </w:rPr>
      </w:pPr>
    </w:p>
    <w:p w14:paraId="34E49FB5">
      <w:pPr>
        <w:pStyle w:val="2"/>
        <w:spacing w:before="91" w:line="226"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5852—2006</w:t>
      </w:r>
      <w:r>
        <w:rPr>
          <w:spacing w:val="-10"/>
          <w:sz w:val="28"/>
          <w:szCs w:val="28"/>
        </w:rPr>
        <w:t>《</w:t>
      </w:r>
      <w:r>
        <w:rPr>
          <w:rFonts w:ascii="楷体" w:hAnsi="楷体" w:eastAsia="楷体" w:cs="楷体"/>
          <w:spacing w:val="-10"/>
          <w:sz w:val="28"/>
          <w:szCs w:val="28"/>
        </w:rPr>
        <w:t>装备研制风险分析要求》编写。</w:t>
      </w:r>
    </w:p>
    <w:p w14:paraId="162C4288">
      <w:pPr>
        <w:spacing w:before="90" w:line="223" w:lineRule="auto"/>
        <w:rPr>
          <w:rFonts w:ascii="黑体" w:hAnsi="黑体" w:eastAsia="黑体" w:cs="黑体"/>
          <w:sz w:val="27"/>
          <w:szCs w:val="27"/>
        </w:rPr>
      </w:pPr>
      <w:r>
        <w:rPr>
          <w:rFonts w:ascii="黑体" w:hAnsi="黑体" w:eastAsia="黑体" w:cs="黑体"/>
          <w:sz w:val="27"/>
          <w:szCs w:val="27"/>
        </w:rPr>
        <w:t>1</w:t>
      </w:r>
      <w:r>
        <w:rPr>
          <w:rFonts w:ascii="黑体" w:hAnsi="黑体" w:eastAsia="黑体" w:cs="黑体"/>
          <w:spacing w:val="20"/>
          <w:sz w:val="27"/>
          <w:szCs w:val="27"/>
        </w:rPr>
        <w:t xml:space="preserve">  </w:t>
      </w:r>
      <w:r>
        <w:rPr>
          <w:rFonts w:ascii="黑体" w:hAnsi="黑体" w:eastAsia="黑体" w:cs="黑体"/>
          <w:sz w:val="27"/>
          <w:szCs w:val="27"/>
        </w:rPr>
        <w:t>范围</w:t>
      </w:r>
    </w:p>
    <w:p w14:paraId="7BABE3E4">
      <w:pPr>
        <w:spacing w:before="81"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3"/>
          <w:sz w:val="27"/>
          <w:szCs w:val="27"/>
        </w:rPr>
        <w:t xml:space="preserve">  </w:t>
      </w:r>
      <w:r>
        <w:rPr>
          <w:rFonts w:ascii="黑体" w:hAnsi="黑体" w:eastAsia="黑体" w:cs="黑体"/>
          <w:sz w:val="27"/>
          <w:szCs w:val="27"/>
        </w:rPr>
        <w:t>引用文件</w:t>
      </w:r>
    </w:p>
    <w:p w14:paraId="54D974E8">
      <w:pPr>
        <w:spacing w:before="74" w:line="221"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14"/>
          <w:sz w:val="27"/>
          <w:szCs w:val="27"/>
        </w:rPr>
        <w:t xml:space="preserve">  </w:t>
      </w:r>
      <w:r>
        <w:rPr>
          <w:rFonts w:ascii="黑体" w:hAnsi="黑体" w:eastAsia="黑体" w:cs="黑体"/>
          <w:spacing w:val="3"/>
          <w:sz w:val="27"/>
          <w:szCs w:val="27"/>
        </w:rPr>
        <w:t>产品概述</w:t>
      </w:r>
    </w:p>
    <w:p w14:paraId="2F818CCA">
      <w:pPr>
        <w:spacing w:before="116" w:line="222" w:lineRule="auto"/>
        <w:rPr>
          <w:rFonts w:ascii="黑体" w:hAnsi="黑体" w:eastAsia="黑体" w:cs="黑体"/>
          <w:sz w:val="25"/>
          <w:szCs w:val="25"/>
        </w:rPr>
      </w:pPr>
      <w:r>
        <w:rPr>
          <w:rFonts w:ascii="黑体" w:hAnsi="黑体" w:eastAsia="黑体" w:cs="黑体"/>
          <w:spacing w:val="14"/>
          <w:sz w:val="25"/>
          <w:szCs w:val="25"/>
        </w:rPr>
        <w:t>3.1</w:t>
      </w:r>
      <w:r>
        <w:rPr>
          <w:rFonts w:ascii="黑体" w:hAnsi="黑体" w:eastAsia="黑体" w:cs="黑体"/>
          <w:spacing w:val="39"/>
          <w:sz w:val="25"/>
          <w:szCs w:val="25"/>
        </w:rPr>
        <w:t xml:space="preserve">  </w:t>
      </w:r>
      <w:r>
        <w:rPr>
          <w:rFonts w:ascii="黑体" w:hAnsi="黑体" w:eastAsia="黑体" w:cs="黑体"/>
          <w:spacing w:val="14"/>
          <w:sz w:val="25"/>
          <w:szCs w:val="25"/>
        </w:rPr>
        <w:t>功能特点</w:t>
      </w:r>
    </w:p>
    <w:p w14:paraId="15A55541">
      <w:pPr>
        <w:pStyle w:val="2"/>
        <w:spacing w:before="121" w:line="219" w:lineRule="auto"/>
        <w:ind w:left="560"/>
        <w:rPr>
          <w:sz w:val="24"/>
          <w:szCs w:val="24"/>
        </w:rPr>
      </w:pPr>
      <w:r>
        <w:rPr>
          <w:spacing w:val="31"/>
          <w:sz w:val="24"/>
          <w:szCs w:val="24"/>
        </w:rPr>
        <w:t>描述被分析对象的功能特点。</w:t>
      </w:r>
    </w:p>
    <w:p w14:paraId="626F050F">
      <w:pPr>
        <w:spacing w:before="113" w:line="221" w:lineRule="auto"/>
        <w:rPr>
          <w:rFonts w:ascii="黑体" w:hAnsi="黑体" w:eastAsia="黑体" w:cs="黑体"/>
          <w:sz w:val="25"/>
          <w:szCs w:val="25"/>
        </w:rPr>
      </w:pPr>
      <w:r>
        <w:rPr>
          <w:rFonts w:ascii="黑体" w:hAnsi="黑体" w:eastAsia="黑体" w:cs="黑体"/>
          <w:spacing w:val="14"/>
          <w:sz w:val="25"/>
          <w:szCs w:val="25"/>
        </w:rPr>
        <w:t>3.2</w:t>
      </w:r>
      <w:r>
        <w:rPr>
          <w:rFonts w:ascii="黑体" w:hAnsi="黑体" w:eastAsia="黑体" w:cs="黑体"/>
          <w:spacing w:val="39"/>
          <w:sz w:val="25"/>
          <w:szCs w:val="25"/>
        </w:rPr>
        <w:t xml:space="preserve">  </w:t>
      </w:r>
      <w:r>
        <w:rPr>
          <w:rFonts w:ascii="黑体" w:hAnsi="黑体" w:eastAsia="黑体" w:cs="黑体"/>
          <w:spacing w:val="14"/>
          <w:sz w:val="25"/>
          <w:szCs w:val="25"/>
        </w:rPr>
        <w:t>任务要求</w:t>
      </w:r>
    </w:p>
    <w:p w14:paraId="16EDF853">
      <w:pPr>
        <w:pStyle w:val="2"/>
        <w:spacing w:before="104" w:line="219" w:lineRule="auto"/>
        <w:ind w:left="560"/>
      </w:pPr>
      <w:r>
        <w:rPr>
          <w:spacing w:val="2"/>
        </w:rPr>
        <w:t>描述被分析对象的任务要求。</w:t>
      </w:r>
    </w:p>
    <w:p w14:paraId="78080D1A">
      <w:pPr>
        <w:spacing w:before="60" w:line="368" w:lineRule="exact"/>
        <w:rPr>
          <w:rFonts w:ascii="黑体" w:hAnsi="黑体" w:eastAsia="黑体" w:cs="黑体"/>
          <w:sz w:val="27"/>
          <w:szCs w:val="27"/>
        </w:rPr>
      </w:pPr>
      <w:r>
        <w:rPr>
          <w:rFonts w:ascii="Arial" w:hAnsi="Arial" w:eastAsia="Arial" w:cs="Arial"/>
          <w:spacing w:val="4"/>
          <w:position w:val="1"/>
          <w:sz w:val="27"/>
          <w:szCs w:val="27"/>
        </w:rPr>
        <w:t xml:space="preserve">3.3    </w:t>
      </w:r>
      <w:r>
        <w:rPr>
          <w:rFonts w:ascii="黑体" w:hAnsi="黑体" w:eastAsia="黑体" w:cs="黑体"/>
          <w:spacing w:val="4"/>
          <w:position w:val="1"/>
          <w:sz w:val="27"/>
          <w:szCs w:val="27"/>
        </w:rPr>
        <w:t>在工作分解结构中的位置</w:t>
      </w:r>
    </w:p>
    <w:p w14:paraId="42C525D7">
      <w:pPr>
        <w:pStyle w:val="2"/>
        <w:spacing w:before="92" w:line="219" w:lineRule="auto"/>
        <w:ind w:left="560"/>
      </w:pPr>
      <w:r>
        <w:rPr>
          <w:spacing w:val="4"/>
        </w:rPr>
        <w:t>描述被分析对象在工作分解结构中所处位置。</w:t>
      </w:r>
    </w:p>
    <w:p w14:paraId="479B1B3D">
      <w:pPr>
        <w:spacing w:before="127" w:line="222" w:lineRule="auto"/>
        <w:rPr>
          <w:rFonts w:ascii="黑体" w:hAnsi="黑体" w:eastAsia="黑体" w:cs="黑体"/>
          <w:sz w:val="24"/>
          <w:szCs w:val="24"/>
        </w:rPr>
      </w:pPr>
      <w:r>
        <w:rPr>
          <w:rFonts w:ascii="黑体" w:hAnsi="黑体" w:eastAsia="黑体" w:cs="黑体"/>
          <w:spacing w:val="20"/>
          <w:sz w:val="24"/>
          <w:szCs w:val="24"/>
        </w:rPr>
        <w:t>3.4</w:t>
      </w:r>
      <w:r>
        <w:rPr>
          <w:rFonts w:ascii="黑体" w:hAnsi="黑体" w:eastAsia="黑体" w:cs="黑体"/>
          <w:spacing w:val="49"/>
          <w:sz w:val="24"/>
          <w:szCs w:val="24"/>
        </w:rPr>
        <w:t xml:space="preserve">  </w:t>
      </w:r>
      <w:r>
        <w:rPr>
          <w:rFonts w:ascii="黑体" w:hAnsi="黑体" w:eastAsia="黑体" w:cs="黑体"/>
          <w:spacing w:val="20"/>
          <w:sz w:val="24"/>
          <w:szCs w:val="24"/>
        </w:rPr>
        <w:t>研制阶段</w:t>
      </w:r>
    </w:p>
    <w:p w14:paraId="5FE99F2A">
      <w:pPr>
        <w:pStyle w:val="2"/>
        <w:spacing w:before="94" w:line="219" w:lineRule="auto"/>
        <w:ind w:left="560"/>
      </w:pPr>
      <w:r>
        <w:rPr>
          <w:spacing w:val="3"/>
        </w:rPr>
        <w:t>描述被分析对象所处的研制阶段。</w:t>
      </w:r>
    </w:p>
    <w:p w14:paraId="58A31E54">
      <w:pPr>
        <w:spacing w:before="98" w:line="222" w:lineRule="auto"/>
        <w:rPr>
          <w:rFonts w:ascii="黑体" w:hAnsi="黑体" w:eastAsia="黑体" w:cs="黑体"/>
          <w:sz w:val="27"/>
          <w:szCs w:val="27"/>
        </w:rPr>
      </w:pPr>
      <w:r>
        <w:rPr>
          <w:rFonts w:ascii="黑体" w:hAnsi="黑体" w:eastAsia="黑体" w:cs="黑体"/>
          <w:spacing w:val="4"/>
          <w:sz w:val="27"/>
          <w:szCs w:val="27"/>
        </w:rPr>
        <w:t>4  风险分析过程</w:t>
      </w:r>
    </w:p>
    <w:p w14:paraId="0DDB1DB0">
      <w:pPr>
        <w:spacing w:before="84" w:line="221" w:lineRule="auto"/>
        <w:rPr>
          <w:rFonts w:ascii="黑体" w:hAnsi="黑体" w:eastAsia="黑体" w:cs="黑体"/>
          <w:sz w:val="27"/>
          <w:szCs w:val="27"/>
        </w:rPr>
      </w:pPr>
      <w:r>
        <w:rPr>
          <w:rFonts w:ascii="黑体" w:hAnsi="黑体" w:eastAsia="黑体" w:cs="黑体"/>
          <w:spacing w:val="4"/>
          <w:sz w:val="27"/>
          <w:szCs w:val="27"/>
        </w:rPr>
        <w:t>4.1  风险分析概述</w:t>
      </w:r>
    </w:p>
    <w:p w14:paraId="1493AC15">
      <w:pPr>
        <w:pStyle w:val="2"/>
        <w:spacing w:before="110" w:line="220" w:lineRule="auto"/>
        <w:ind w:left="560"/>
      </w:pPr>
      <w:r>
        <w:rPr>
          <w:spacing w:val="1"/>
        </w:rPr>
        <w:t>描述风险分析过程。</w:t>
      </w:r>
    </w:p>
    <w:p w14:paraId="47AE26DA">
      <w:pPr>
        <w:pStyle w:val="2"/>
        <w:spacing w:before="57" w:line="263" w:lineRule="auto"/>
        <w:ind w:left="80" w:firstLine="479"/>
      </w:pPr>
      <w:r>
        <w:rPr>
          <w:spacing w:val="1"/>
        </w:rPr>
        <w:t>风险分析过程如图6.1所示。一般分为三个步骤，即风险识别、风险发生的</w:t>
      </w:r>
      <w:r>
        <w:t xml:space="preserve"> </w:t>
      </w:r>
      <w:r>
        <w:rPr>
          <w:spacing w:val="-6"/>
        </w:rPr>
        <w:t>可能性及后果严重性分析、风险排序。</w:t>
      </w:r>
    </w:p>
    <w:p w14:paraId="797A3343">
      <w:pPr>
        <w:pStyle w:val="2"/>
        <w:spacing w:line="4930" w:lineRule="exact"/>
        <w:ind w:firstLine="120"/>
      </w:pPr>
      <w:r>
        <w:rPr>
          <w:position w:val="-98"/>
        </w:rPr>
        <w:pict>
          <v:group id="_x0000_s1030" o:spid="_x0000_s1030" o:spt="203" style="height:246.5pt;width:462.05pt;" coordsize="9240,4930">
            <o:lock v:ext="edit"/>
            <v:shape id="_x0000_s1031" o:spid="_x0000_s1031" o:spt="75" type="#_x0000_t75" style="position:absolute;left:0;top:0;height:4930;width:9240;" filled="f" stroked="f" coordsize="21600,21600">
              <v:path/>
              <v:fill on="f" focussize="0,0"/>
              <v:stroke on="f"/>
              <v:imagedata r:id="rId694" o:title=""/>
              <o:lock v:ext="edit" aspectratio="t"/>
            </v:shape>
            <v:shape id="_x0000_s1032" o:spid="_x0000_s1032" o:spt="202" type="#_x0000_t202" style="position:absolute;left:280;top:155;height:4567;width:5862;" filled="f" stroked="f" coordsize="21600,21600">
              <v:path/>
              <v:fill on="f" focussize="0,0"/>
              <v:stroke on="f"/>
              <v:imagedata o:title=""/>
              <o:lock v:ext="edit" aspectratio="f"/>
              <v:textbox inset="0mm,0mm,0mm,0mm">
                <w:txbxContent>
                  <w:p w14:paraId="6A34A52F">
                    <w:pPr>
                      <w:spacing w:before="20" w:line="220" w:lineRule="auto"/>
                      <w:ind w:left="3512"/>
                      <w:rPr>
                        <w:rFonts w:ascii="宋体" w:hAnsi="宋体" w:eastAsia="宋体" w:cs="宋体"/>
                        <w:sz w:val="20"/>
                        <w:szCs w:val="20"/>
                      </w:rPr>
                    </w:pPr>
                    <w:r>
                      <w:rPr>
                        <w:rFonts w:ascii="宋体" w:hAnsi="宋体" w:eastAsia="宋体" w:cs="宋体"/>
                        <w:b/>
                        <w:bCs/>
                        <w:spacing w:val="11"/>
                        <w:sz w:val="20"/>
                        <w:szCs w:val="20"/>
                      </w:rPr>
                      <w:t>风险分析</w:t>
                    </w:r>
                  </w:p>
                  <w:p w14:paraId="1442E3E3">
                    <w:pPr>
                      <w:spacing w:before="270" w:line="214" w:lineRule="auto"/>
                      <w:ind w:left="412" w:right="3156" w:hanging="392"/>
                      <w:rPr>
                        <w:rFonts w:ascii="宋体" w:hAnsi="宋体" w:eastAsia="宋体" w:cs="宋体"/>
                        <w:sz w:val="20"/>
                        <w:szCs w:val="20"/>
                      </w:rPr>
                    </w:pPr>
                    <w:r>
                      <w:rPr>
                        <w:rFonts w:ascii="Times New Roman" w:hAnsi="Times New Roman" w:eastAsia="Times New Roman" w:cs="Times New Roman"/>
                        <w:spacing w:val="15"/>
                        <w:sz w:val="20"/>
                        <w:szCs w:val="20"/>
                      </w:rPr>
                      <w:t xml:space="preserve">a)   </w:t>
                    </w:r>
                    <w:r>
                      <w:rPr>
                        <w:rFonts w:ascii="宋体" w:hAnsi="宋体" w:eastAsia="宋体" w:cs="宋体"/>
                        <w:b/>
                        <w:bCs/>
                        <w:spacing w:val="15"/>
                        <w:sz w:val="20"/>
                        <w:szCs w:val="20"/>
                      </w:rPr>
                      <w:t>装备研制合同和/或研制</w:t>
                    </w:r>
                    <w:r>
                      <w:rPr>
                        <w:rFonts w:ascii="宋体" w:hAnsi="宋体" w:eastAsia="宋体" w:cs="宋体"/>
                        <w:spacing w:val="14"/>
                        <w:sz w:val="20"/>
                        <w:szCs w:val="20"/>
                      </w:rPr>
                      <w:t xml:space="preserve"> </w:t>
                    </w:r>
                    <w:r>
                      <w:rPr>
                        <w:rFonts w:ascii="宋体" w:hAnsi="宋体" w:eastAsia="宋体" w:cs="宋体"/>
                        <w:b/>
                        <w:bCs/>
                        <w:spacing w:val="-2"/>
                        <w:sz w:val="20"/>
                        <w:szCs w:val="20"/>
                      </w:rPr>
                      <w:t>任务书；</w:t>
                    </w:r>
                  </w:p>
                  <w:p w14:paraId="72C03171">
                    <w:pPr>
                      <w:spacing w:line="220" w:lineRule="auto"/>
                      <w:ind w:left="412" w:right="3158" w:hanging="392"/>
                      <w:rPr>
                        <w:rFonts w:ascii="宋体" w:hAnsi="宋体" w:eastAsia="宋体" w:cs="宋体"/>
                        <w:sz w:val="20"/>
                        <w:szCs w:val="20"/>
                      </w:rPr>
                    </w:pPr>
                    <w:r>
                      <w:rPr>
                        <w:rFonts w:ascii="Times New Roman" w:hAnsi="Times New Roman" w:eastAsia="Times New Roman" w:cs="Times New Roman"/>
                        <w:b/>
                        <w:bCs/>
                        <w:spacing w:val="8"/>
                        <w:sz w:val="20"/>
                        <w:szCs w:val="20"/>
                      </w:rPr>
                      <w:t xml:space="preserve">b)   </w:t>
                    </w:r>
                    <w:r>
                      <w:rPr>
                        <w:rFonts w:ascii="宋体" w:hAnsi="宋体" w:eastAsia="宋体" w:cs="宋体"/>
                        <w:b/>
                        <w:bCs/>
                        <w:spacing w:val="8"/>
                        <w:sz w:val="20"/>
                        <w:szCs w:val="20"/>
                      </w:rPr>
                      <w:t>装备研制风险管理的目的</w:t>
                    </w:r>
                    <w:r>
                      <w:rPr>
                        <w:rFonts w:ascii="宋体" w:hAnsi="宋体" w:eastAsia="宋体" w:cs="宋体"/>
                        <w:spacing w:val="2"/>
                        <w:sz w:val="20"/>
                        <w:szCs w:val="20"/>
                      </w:rPr>
                      <w:t xml:space="preserve"> </w:t>
                    </w:r>
                    <w:r>
                      <w:rPr>
                        <w:rFonts w:ascii="宋体" w:hAnsi="宋体" w:eastAsia="宋体" w:cs="宋体"/>
                        <w:b/>
                        <w:bCs/>
                        <w:spacing w:val="-2"/>
                        <w:sz w:val="20"/>
                        <w:szCs w:val="20"/>
                      </w:rPr>
                      <w:t>和目标；</w:t>
                    </w:r>
                  </w:p>
                  <w:p w14:paraId="553CAEC4">
                    <w:pPr>
                      <w:spacing w:line="212" w:lineRule="auto"/>
                      <w:ind w:left="20"/>
                      <w:rPr>
                        <w:rFonts w:ascii="宋体" w:hAnsi="宋体" w:eastAsia="宋体" w:cs="宋体"/>
                        <w:sz w:val="20"/>
                        <w:szCs w:val="20"/>
                      </w:rPr>
                    </w:pPr>
                    <w:r>
                      <w:rPr>
                        <w:rFonts w:ascii="Times New Roman" w:hAnsi="Times New Roman" w:eastAsia="Times New Roman" w:cs="Times New Roman"/>
                        <w:spacing w:val="4"/>
                        <w:sz w:val="20"/>
                        <w:szCs w:val="20"/>
                      </w:rPr>
                      <w:t>c)</w:t>
                    </w:r>
                    <w:r>
                      <w:rPr>
                        <w:rFonts w:ascii="Times New Roman" w:hAnsi="Times New Roman" w:eastAsia="Times New Roman" w:cs="Times New Roman"/>
                        <w:spacing w:val="16"/>
                        <w:w w:val="101"/>
                        <w:sz w:val="20"/>
                        <w:szCs w:val="20"/>
                      </w:rPr>
                      <w:t xml:space="preserve">   </w:t>
                    </w:r>
                    <w:r>
                      <w:rPr>
                        <w:rFonts w:ascii="宋体" w:hAnsi="宋体" w:eastAsia="宋体" w:cs="宋体"/>
                        <w:b/>
                        <w:bCs/>
                        <w:spacing w:val="4"/>
                        <w:sz w:val="20"/>
                        <w:szCs w:val="20"/>
                      </w:rPr>
                      <w:t>风险管理计划；</w:t>
                    </w:r>
                  </w:p>
                  <w:p w14:paraId="41201C83">
                    <w:pPr>
                      <w:spacing w:before="4" w:line="211" w:lineRule="auto"/>
                      <w:ind w:left="412" w:right="3125" w:hanging="392"/>
                      <w:rPr>
                        <w:rFonts w:ascii="宋体" w:hAnsi="宋体" w:eastAsia="宋体" w:cs="宋体"/>
                        <w:sz w:val="20"/>
                        <w:szCs w:val="20"/>
                      </w:rPr>
                    </w:pPr>
                    <w:r>
                      <w:rPr>
                        <w:rFonts w:ascii="Times New Roman" w:hAnsi="Times New Roman" w:eastAsia="Times New Roman" w:cs="Times New Roman"/>
                        <w:b/>
                        <w:bCs/>
                        <w:spacing w:val="5"/>
                        <w:sz w:val="20"/>
                        <w:szCs w:val="20"/>
                      </w:rPr>
                      <w:t>d)</w:t>
                    </w:r>
                    <w:r>
                      <w:rPr>
                        <w:rFonts w:ascii="Times New Roman" w:hAnsi="Times New Roman" w:eastAsia="Times New Roman" w:cs="Times New Roman"/>
                        <w:b/>
                        <w:bCs/>
                        <w:spacing w:val="16"/>
                        <w:w w:val="101"/>
                        <w:sz w:val="20"/>
                        <w:szCs w:val="20"/>
                      </w:rPr>
                      <w:t xml:space="preserve">   </w:t>
                    </w:r>
                    <w:r>
                      <w:rPr>
                        <w:rFonts w:ascii="宋体" w:hAnsi="宋体" w:eastAsia="宋体" w:cs="宋体"/>
                        <w:b/>
                        <w:bCs/>
                        <w:spacing w:val="5"/>
                        <w:sz w:val="20"/>
                        <w:szCs w:val="20"/>
                      </w:rPr>
                      <w:t>风险分析方法选择准则、</w:t>
                    </w:r>
                    <w:r>
                      <w:rPr>
                        <w:rFonts w:ascii="宋体" w:hAnsi="宋体" w:eastAsia="宋体" w:cs="宋体"/>
                        <w:sz w:val="20"/>
                        <w:szCs w:val="20"/>
                      </w:rPr>
                      <w:t xml:space="preserve"> </w:t>
                    </w:r>
                    <w:r>
                      <w:rPr>
                        <w:rFonts w:ascii="宋体" w:hAnsi="宋体" w:eastAsia="宋体" w:cs="宋体"/>
                        <w:b/>
                        <w:bCs/>
                        <w:spacing w:val="9"/>
                        <w:sz w:val="20"/>
                        <w:szCs w:val="20"/>
                      </w:rPr>
                      <w:t>风险排序准则和风险接受</w:t>
                    </w:r>
                    <w:r>
                      <w:rPr>
                        <w:rFonts w:ascii="宋体" w:hAnsi="宋体" w:eastAsia="宋体" w:cs="宋体"/>
                        <w:sz w:val="20"/>
                        <w:szCs w:val="20"/>
                      </w:rPr>
                      <w:t xml:space="preserve"> </w:t>
                    </w:r>
                    <w:r>
                      <w:rPr>
                        <w:rFonts w:ascii="宋体" w:hAnsi="宋体" w:eastAsia="宋体" w:cs="宋体"/>
                        <w:b/>
                        <w:bCs/>
                        <w:spacing w:val="-1"/>
                        <w:sz w:val="20"/>
                        <w:szCs w:val="20"/>
                      </w:rPr>
                      <w:t>准则；</w:t>
                    </w:r>
                  </w:p>
                  <w:p w14:paraId="5E1FA05C">
                    <w:pPr>
                      <w:spacing w:line="218" w:lineRule="auto"/>
                      <w:ind w:left="412" w:right="3156" w:hanging="392"/>
                      <w:rPr>
                        <w:rFonts w:ascii="宋体" w:hAnsi="宋体" w:eastAsia="宋体" w:cs="宋体"/>
                        <w:sz w:val="20"/>
                        <w:szCs w:val="20"/>
                      </w:rPr>
                    </w:pPr>
                    <w:r>
                      <w:rPr>
                        <w:rFonts w:ascii="Times New Roman" w:hAnsi="Times New Roman" w:eastAsia="Times New Roman" w:cs="Times New Roman"/>
                        <w:spacing w:val="7"/>
                        <w:sz w:val="20"/>
                        <w:szCs w:val="20"/>
                      </w:rPr>
                      <w:t>e)</w:t>
                    </w:r>
                    <w:r>
                      <w:rPr>
                        <w:rFonts w:ascii="Times New Roman" w:hAnsi="Times New Roman" w:eastAsia="Times New Roman" w:cs="Times New Roman"/>
                        <w:spacing w:val="3"/>
                        <w:sz w:val="20"/>
                        <w:szCs w:val="20"/>
                      </w:rPr>
                      <w:t xml:space="preserve">    </w:t>
                    </w:r>
                    <w:r>
                      <w:rPr>
                        <w:rFonts w:ascii="宋体" w:hAnsi="宋体" w:eastAsia="宋体" w:cs="宋体"/>
                        <w:b/>
                        <w:bCs/>
                        <w:spacing w:val="7"/>
                        <w:sz w:val="20"/>
                        <w:szCs w:val="20"/>
                      </w:rPr>
                      <w:t>装备工作分解结构及研制</w:t>
                    </w:r>
                    <w:r>
                      <w:rPr>
                        <w:rFonts w:ascii="宋体" w:hAnsi="宋体" w:eastAsia="宋体" w:cs="宋体"/>
                        <w:spacing w:val="1"/>
                        <w:sz w:val="20"/>
                        <w:szCs w:val="20"/>
                      </w:rPr>
                      <w:t xml:space="preserve"> </w:t>
                    </w:r>
                    <w:r>
                      <w:rPr>
                        <w:rFonts w:ascii="宋体" w:hAnsi="宋体" w:eastAsia="宋体" w:cs="宋体"/>
                        <w:b/>
                        <w:bCs/>
                        <w:spacing w:val="-1"/>
                        <w:sz w:val="20"/>
                        <w:szCs w:val="20"/>
                      </w:rPr>
                      <w:t>阶段；</w:t>
                    </w:r>
                  </w:p>
                  <w:p w14:paraId="421FE236">
                    <w:pPr>
                      <w:spacing w:line="212" w:lineRule="auto"/>
                      <w:ind w:left="20"/>
                      <w:rPr>
                        <w:rFonts w:ascii="宋体" w:hAnsi="宋体" w:eastAsia="宋体" w:cs="宋体"/>
                        <w:sz w:val="20"/>
                        <w:szCs w:val="20"/>
                      </w:rPr>
                    </w:pPr>
                    <w:r>
                      <w:rPr>
                        <w:rFonts w:ascii="Times New Roman" w:hAnsi="Times New Roman" w:eastAsia="Times New Roman" w:cs="Times New Roman"/>
                        <w:b/>
                        <w:bCs/>
                        <w:spacing w:val="4"/>
                        <w:sz w:val="20"/>
                        <w:szCs w:val="20"/>
                      </w:rPr>
                      <w:t>f)</w:t>
                    </w:r>
                    <w:r>
                      <w:rPr>
                        <w:rFonts w:ascii="Times New Roman" w:hAnsi="Times New Roman" w:eastAsia="Times New Roman" w:cs="Times New Roman"/>
                        <w:b/>
                        <w:bCs/>
                        <w:spacing w:val="13"/>
                        <w:sz w:val="20"/>
                        <w:szCs w:val="20"/>
                      </w:rPr>
                      <w:t xml:space="preserve">   </w:t>
                    </w:r>
                    <w:r>
                      <w:rPr>
                        <w:rFonts w:ascii="宋体" w:hAnsi="宋体" w:eastAsia="宋体" w:cs="宋体"/>
                        <w:b/>
                        <w:bCs/>
                        <w:spacing w:val="4"/>
                        <w:sz w:val="20"/>
                        <w:szCs w:val="20"/>
                      </w:rPr>
                      <w:t>装备研制经费概算；</w:t>
                    </w:r>
                  </w:p>
                  <w:p w14:paraId="359EC071">
                    <w:pPr>
                      <w:spacing w:before="7" w:line="206" w:lineRule="auto"/>
                      <w:ind w:left="20"/>
                      <w:rPr>
                        <w:rFonts w:ascii="宋体" w:hAnsi="宋体" w:eastAsia="宋体" w:cs="宋体"/>
                        <w:sz w:val="20"/>
                        <w:szCs w:val="20"/>
                      </w:rPr>
                    </w:pPr>
                    <w:r>
                      <w:rPr>
                        <w:rFonts w:ascii="Times New Roman" w:hAnsi="Times New Roman" w:eastAsia="Times New Roman" w:cs="Times New Roman"/>
                        <w:spacing w:val="4"/>
                        <w:sz w:val="20"/>
                        <w:szCs w:val="20"/>
                      </w:rPr>
                      <w:t>g)</w:t>
                    </w:r>
                    <w:r>
                      <w:rPr>
                        <w:rFonts w:ascii="Times New Roman" w:hAnsi="Times New Roman" w:eastAsia="Times New Roman" w:cs="Times New Roman"/>
                        <w:spacing w:val="12"/>
                        <w:w w:val="101"/>
                        <w:sz w:val="20"/>
                        <w:szCs w:val="20"/>
                      </w:rPr>
                      <w:t xml:space="preserve">   </w:t>
                    </w:r>
                    <w:r>
                      <w:rPr>
                        <w:rFonts w:ascii="宋体" w:hAnsi="宋体" w:eastAsia="宋体" w:cs="宋体"/>
                        <w:b/>
                        <w:bCs/>
                        <w:spacing w:val="4"/>
                        <w:sz w:val="20"/>
                        <w:szCs w:val="20"/>
                      </w:rPr>
                      <w:t>计划进度要求；</w:t>
                    </w:r>
                  </w:p>
                  <w:p w14:paraId="176143B2">
                    <w:pPr>
                      <w:spacing w:before="1" w:line="223" w:lineRule="auto"/>
                      <w:ind w:left="412" w:right="3159" w:hanging="392"/>
                      <w:rPr>
                        <w:rFonts w:ascii="宋体" w:hAnsi="宋体" w:eastAsia="宋体" w:cs="宋体"/>
                        <w:sz w:val="20"/>
                        <w:szCs w:val="20"/>
                      </w:rPr>
                    </w:pPr>
                    <w:r>
                      <w:rPr>
                        <w:rFonts w:ascii="Times New Roman" w:hAnsi="Times New Roman" w:eastAsia="Times New Roman" w:cs="Times New Roman"/>
                        <w:b/>
                        <w:bCs/>
                        <w:spacing w:val="7"/>
                        <w:sz w:val="20"/>
                        <w:szCs w:val="20"/>
                      </w:rPr>
                      <w:t>h)</w:t>
                    </w:r>
                    <w:r>
                      <w:rPr>
                        <w:rFonts w:ascii="Times New Roman" w:hAnsi="Times New Roman" w:eastAsia="Times New Roman" w:cs="Times New Roman"/>
                        <w:b/>
                        <w:bCs/>
                        <w:spacing w:val="13"/>
                        <w:sz w:val="20"/>
                        <w:szCs w:val="20"/>
                      </w:rPr>
                      <w:t xml:space="preserve">   </w:t>
                    </w:r>
                    <w:r>
                      <w:rPr>
                        <w:rFonts w:ascii="宋体" w:hAnsi="宋体" w:eastAsia="宋体" w:cs="宋体"/>
                        <w:b/>
                        <w:bCs/>
                        <w:spacing w:val="7"/>
                        <w:sz w:val="20"/>
                        <w:szCs w:val="20"/>
                      </w:rPr>
                      <w:t>装备已有的可利用的信息</w:t>
                    </w:r>
                    <w:r>
                      <w:rPr>
                        <w:rFonts w:ascii="宋体" w:hAnsi="宋体" w:eastAsia="宋体" w:cs="宋体"/>
                        <w:sz w:val="20"/>
                        <w:szCs w:val="20"/>
                      </w:rPr>
                      <w:t xml:space="preserve"> </w:t>
                    </w:r>
                    <w:r>
                      <w:rPr>
                        <w:rFonts w:ascii="宋体" w:hAnsi="宋体" w:eastAsia="宋体" w:cs="宋体"/>
                        <w:b/>
                        <w:bCs/>
                        <w:spacing w:val="4"/>
                        <w:sz w:val="20"/>
                        <w:szCs w:val="20"/>
                      </w:rPr>
                      <w:t>和试验数据等。</w:t>
                    </w:r>
                  </w:p>
                  <w:p w14:paraId="705A87EE">
                    <w:pPr>
                      <w:spacing w:line="473" w:lineRule="auto"/>
                      <w:rPr>
                        <w:rFonts w:ascii="Arial"/>
                        <w:sz w:val="21"/>
                      </w:rPr>
                    </w:pPr>
                  </w:p>
                  <w:p w14:paraId="3D4BA3D2">
                    <w:pPr>
                      <w:spacing w:before="65" w:line="218" w:lineRule="auto"/>
                      <w:ind w:right="20"/>
                      <w:jc w:val="right"/>
                      <w:rPr>
                        <w:rFonts w:ascii="宋体" w:hAnsi="宋体" w:eastAsia="宋体" w:cs="宋体"/>
                        <w:sz w:val="20"/>
                        <w:szCs w:val="20"/>
                      </w:rPr>
                    </w:pPr>
                    <w:r>
                      <w:rPr>
                        <w:rFonts w:ascii="宋体" w:hAnsi="宋体" w:eastAsia="宋体" w:cs="宋体"/>
                        <w:b/>
                        <w:bCs/>
                        <w:spacing w:val="7"/>
                        <w:sz w:val="20"/>
                        <w:szCs w:val="20"/>
                      </w:rPr>
                      <w:t>风险分析报告</w:t>
                    </w:r>
                  </w:p>
                </w:txbxContent>
              </v:textbox>
            </v:shape>
            <v:shape id="_x0000_s1033" o:spid="_x0000_s1033" o:spt="202" type="#_x0000_t202" style="position:absolute;left:4422;top:1935;height:470;width:1946;" filled="f" stroked="f" coordsize="21600,21600">
              <v:path/>
              <v:fill on="f" focussize="0,0"/>
              <v:stroke on="f"/>
              <v:imagedata o:title=""/>
              <o:lock v:ext="edit" aspectratio="f"/>
              <v:textbox inset="0mm,0mm,0mm,0mm">
                <w:txbxContent>
                  <w:p w14:paraId="24706952">
                    <w:pPr>
                      <w:spacing w:before="20" w:line="216" w:lineRule="auto"/>
                      <w:ind w:left="220" w:right="20" w:hanging="200"/>
                      <w:rPr>
                        <w:rFonts w:ascii="宋体" w:hAnsi="宋体" w:eastAsia="宋体" w:cs="宋体"/>
                        <w:sz w:val="20"/>
                        <w:szCs w:val="20"/>
                      </w:rPr>
                    </w:pPr>
                    <w:r>
                      <w:rPr>
                        <w:rFonts w:ascii="宋体" w:hAnsi="宋体" w:eastAsia="宋体" w:cs="宋体"/>
                        <w:b/>
                        <w:bCs/>
                        <w:spacing w:val="9"/>
                        <w:sz w:val="20"/>
                        <w:szCs w:val="20"/>
                      </w:rPr>
                      <w:t>风险发生的可能性及</w:t>
                    </w:r>
                    <w:r>
                      <w:rPr>
                        <w:rFonts w:ascii="宋体" w:hAnsi="宋体" w:eastAsia="宋体" w:cs="宋体"/>
                        <w:spacing w:val="4"/>
                        <w:sz w:val="20"/>
                        <w:szCs w:val="20"/>
                      </w:rPr>
                      <w:t xml:space="preserve"> </w:t>
                    </w:r>
                    <w:r>
                      <w:rPr>
                        <w:rFonts w:ascii="宋体" w:hAnsi="宋体" w:eastAsia="宋体" w:cs="宋体"/>
                        <w:b/>
                        <w:bCs/>
                        <w:spacing w:val="8"/>
                        <w:sz w:val="20"/>
                        <w:szCs w:val="20"/>
                      </w:rPr>
                      <w:t>后果严重性分析</w:t>
                    </w:r>
                  </w:p>
                </w:txbxContent>
              </v:textbox>
            </v:shape>
            <v:shape id="_x0000_s1034" o:spid="_x0000_s1034" o:spt="202" type="#_x0000_t202" style="position:absolute;left:7823;top:3306;height:260;width:1303;" filled="f" stroked="f" coordsize="21600,21600">
              <v:path/>
              <v:fill on="f" focussize="0,0"/>
              <v:stroke on="f"/>
              <v:imagedata o:title=""/>
              <o:lock v:ext="edit" aspectratio="f"/>
              <v:textbox inset="0mm,0mm,0mm,0mm">
                <w:txbxContent>
                  <w:p w14:paraId="07D308AA">
                    <w:pPr>
                      <w:spacing w:before="20" w:line="220" w:lineRule="auto"/>
                      <w:ind w:left="20"/>
                      <w:rPr>
                        <w:rFonts w:ascii="宋体" w:hAnsi="宋体" w:eastAsia="宋体" w:cs="宋体"/>
                        <w:sz w:val="22"/>
                        <w:szCs w:val="22"/>
                      </w:rPr>
                    </w:pPr>
                    <w:r>
                      <w:rPr>
                        <w:rFonts w:ascii="宋体" w:hAnsi="宋体" w:eastAsia="宋体" w:cs="宋体"/>
                        <w:b/>
                        <w:bCs/>
                        <w:spacing w:val="-11"/>
                        <w:sz w:val="22"/>
                        <w:szCs w:val="22"/>
                      </w:rPr>
                      <w:t>风险排序清单</w:t>
                    </w:r>
                  </w:p>
                </w:txbxContent>
              </v:textbox>
            </v:shape>
            <v:shape id="_x0000_s1035" o:spid="_x0000_s1035" o:spt="202" type="#_x0000_t202" style="position:absolute;left:7932;top:735;height:240;width:1094;" filled="f" stroked="f" coordsize="21600,21600">
              <v:path/>
              <v:fill on="f" focussize="0,0"/>
              <v:stroke on="f"/>
              <v:imagedata o:title=""/>
              <o:lock v:ext="edit" aspectratio="f"/>
              <v:textbox inset="0mm,0mm,0mm,0mm">
                <w:txbxContent>
                  <w:p w14:paraId="5B15CF28">
                    <w:pPr>
                      <w:spacing w:before="20" w:line="220" w:lineRule="auto"/>
                      <w:ind w:left="20"/>
                      <w:rPr>
                        <w:rFonts w:ascii="宋体" w:hAnsi="宋体" w:eastAsia="宋体" w:cs="宋体"/>
                        <w:sz w:val="20"/>
                        <w:szCs w:val="20"/>
                      </w:rPr>
                    </w:pPr>
                    <w:r>
                      <w:rPr>
                        <w:rFonts w:ascii="宋体" w:hAnsi="宋体" w:eastAsia="宋体" w:cs="宋体"/>
                        <w:b/>
                        <w:bCs/>
                        <w:spacing w:val="8"/>
                        <w:sz w:val="20"/>
                        <w:szCs w:val="20"/>
                      </w:rPr>
                      <w:t>风险源清单</w:t>
                    </w:r>
                  </w:p>
                </w:txbxContent>
              </v:textbox>
            </v:shape>
            <v:shape id="_x0000_s1036" o:spid="_x0000_s1036" o:spt="202" type="#_x0000_t202" style="position:absolute;left:4982;top:3275;height:240;width:896;" filled="f" stroked="f" coordsize="21600,21600">
              <v:path/>
              <v:fill on="f" focussize="0,0"/>
              <v:stroke on="f"/>
              <v:imagedata o:title=""/>
              <o:lock v:ext="edit" aspectratio="f"/>
              <v:textbox inset="0mm,0mm,0mm,0mm">
                <w:txbxContent>
                  <w:p w14:paraId="79019FD5">
                    <w:pPr>
                      <w:spacing w:before="20" w:line="220" w:lineRule="auto"/>
                      <w:ind w:left="20"/>
                      <w:rPr>
                        <w:rFonts w:ascii="宋体" w:hAnsi="宋体" w:eastAsia="宋体" w:cs="宋体"/>
                        <w:sz w:val="20"/>
                        <w:szCs w:val="20"/>
                      </w:rPr>
                    </w:pPr>
                    <w:r>
                      <w:rPr>
                        <w:rFonts w:ascii="宋体" w:hAnsi="宋体" w:eastAsia="宋体" w:cs="宋体"/>
                        <w:b/>
                        <w:bCs/>
                        <w:spacing w:val="11"/>
                        <w:sz w:val="20"/>
                        <w:szCs w:val="20"/>
                      </w:rPr>
                      <w:t>风险排序</w:t>
                    </w:r>
                  </w:p>
                </w:txbxContent>
              </v:textbox>
            </v:shape>
            <v:shape id="_x0000_s1037" o:spid="_x0000_s1037" o:spt="202" type="#_x0000_t202" style="position:absolute;left:4952;top:725;height:240;width:890;" filled="f" stroked="f" coordsize="21600,21600">
              <v:path/>
              <v:fill on="f" focussize="0,0"/>
              <v:stroke on="f"/>
              <v:imagedata o:title=""/>
              <o:lock v:ext="edit" aspectratio="f"/>
              <v:textbox inset="0mm,0mm,0mm,0mm">
                <w:txbxContent>
                  <w:p w14:paraId="6768C7AA">
                    <w:pPr>
                      <w:spacing w:before="20" w:line="220" w:lineRule="auto"/>
                      <w:ind w:left="20"/>
                      <w:rPr>
                        <w:rFonts w:ascii="宋体" w:hAnsi="宋体" w:eastAsia="宋体" w:cs="宋体"/>
                        <w:sz w:val="20"/>
                        <w:szCs w:val="20"/>
                      </w:rPr>
                    </w:pPr>
                    <w:r>
                      <w:rPr>
                        <w:rFonts w:ascii="宋体" w:hAnsi="宋体" w:eastAsia="宋体" w:cs="宋体"/>
                        <w:b/>
                        <w:bCs/>
                        <w:spacing w:val="10"/>
                        <w:sz w:val="20"/>
                        <w:szCs w:val="20"/>
                      </w:rPr>
                      <w:t>风险识别</w:t>
                    </w:r>
                  </w:p>
                </w:txbxContent>
              </v:textbox>
            </v:shape>
            <w10:wrap type="none"/>
            <w10:anchorlock/>
          </v:group>
        </w:pict>
      </w:r>
    </w:p>
    <w:p w14:paraId="6427C8DC">
      <w:pPr>
        <w:pStyle w:val="2"/>
        <w:spacing w:before="227" w:line="220" w:lineRule="auto"/>
        <w:ind w:left="3633"/>
        <w:rPr>
          <w:sz w:val="22"/>
          <w:szCs w:val="22"/>
        </w:rPr>
      </w:pPr>
      <w:r>
        <w:rPr>
          <w:b/>
          <w:bCs/>
          <w:spacing w:val="4"/>
          <w:sz w:val="22"/>
          <w:szCs w:val="22"/>
        </w:rPr>
        <w:t>图6</w:t>
      </w:r>
      <w:r>
        <w:rPr>
          <w:spacing w:val="-55"/>
          <w:sz w:val="22"/>
          <w:szCs w:val="22"/>
        </w:rPr>
        <w:t xml:space="preserve"> </w:t>
      </w:r>
      <w:r>
        <w:rPr>
          <w:b/>
          <w:bCs/>
          <w:spacing w:val="4"/>
          <w:sz w:val="22"/>
          <w:szCs w:val="22"/>
        </w:rPr>
        <w:t>.</w:t>
      </w:r>
      <w:r>
        <w:rPr>
          <w:spacing w:val="-46"/>
          <w:sz w:val="22"/>
          <w:szCs w:val="22"/>
        </w:rPr>
        <w:t xml:space="preserve"> </w:t>
      </w:r>
      <w:r>
        <w:rPr>
          <w:b/>
          <w:bCs/>
          <w:spacing w:val="4"/>
          <w:sz w:val="22"/>
          <w:szCs w:val="22"/>
        </w:rPr>
        <w:t>1</w:t>
      </w:r>
      <w:r>
        <w:rPr>
          <w:spacing w:val="4"/>
          <w:sz w:val="22"/>
          <w:szCs w:val="22"/>
        </w:rPr>
        <w:t xml:space="preserve">  </w:t>
      </w:r>
      <w:r>
        <w:rPr>
          <w:b/>
          <w:bCs/>
          <w:spacing w:val="4"/>
          <w:sz w:val="22"/>
          <w:szCs w:val="22"/>
        </w:rPr>
        <w:t>风险分析过程</w:t>
      </w:r>
    </w:p>
    <w:p w14:paraId="54C48ECE">
      <w:pPr>
        <w:spacing w:line="220" w:lineRule="auto"/>
        <w:rPr>
          <w:sz w:val="22"/>
          <w:szCs w:val="22"/>
        </w:rPr>
        <w:sectPr>
          <w:footerReference r:id="rId338" w:type="default"/>
          <w:pgSz w:w="11910" w:h="17130"/>
          <w:pgMar w:top="1456" w:right="1529" w:bottom="1743" w:left="1009" w:header="0" w:footer="1544" w:gutter="0"/>
          <w:cols w:space="720" w:num="1"/>
        </w:sectPr>
      </w:pPr>
    </w:p>
    <w:p w14:paraId="6EAF117F">
      <w:pPr>
        <w:spacing w:before="69" w:line="222" w:lineRule="auto"/>
        <w:rPr>
          <w:rFonts w:ascii="黑体" w:hAnsi="黑体" w:eastAsia="黑体" w:cs="黑体"/>
          <w:sz w:val="27"/>
          <w:szCs w:val="27"/>
        </w:rPr>
      </w:pPr>
      <w:r>
        <w:rPr>
          <w:rFonts w:ascii="黑体" w:hAnsi="黑体" w:eastAsia="黑体" w:cs="黑体"/>
          <w:spacing w:val="1"/>
          <w:sz w:val="27"/>
          <w:szCs w:val="27"/>
        </w:rPr>
        <w:t>4.2</w:t>
      </w:r>
      <w:r>
        <w:rPr>
          <w:rFonts w:ascii="黑体" w:hAnsi="黑体" w:eastAsia="黑体" w:cs="黑体"/>
          <w:spacing w:val="13"/>
          <w:sz w:val="27"/>
          <w:szCs w:val="27"/>
        </w:rPr>
        <w:t xml:space="preserve">  </w:t>
      </w:r>
      <w:r>
        <w:rPr>
          <w:rFonts w:ascii="黑体" w:hAnsi="黑体" w:eastAsia="黑体" w:cs="黑体"/>
          <w:b/>
          <w:bCs/>
          <w:spacing w:val="1"/>
          <w:sz w:val="27"/>
          <w:szCs w:val="27"/>
        </w:rPr>
        <w:t>风险识别</w:t>
      </w:r>
    </w:p>
    <w:p w14:paraId="10EC610F">
      <w:pPr>
        <w:pStyle w:val="2"/>
        <w:spacing w:before="100" w:line="269" w:lineRule="auto"/>
        <w:ind w:right="123" w:firstLine="529"/>
        <w:jc w:val="both"/>
      </w:pPr>
      <w:r>
        <w:rPr>
          <w:spacing w:val="-3"/>
        </w:rPr>
        <w:t>风险识别是对装备研制的各个方面，特别是关键技术过程进行考察研究，从</w:t>
      </w:r>
      <w:r>
        <w:rPr>
          <w:spacing w:val="18"/>
        </w:rPr>
        <w:t xml:space="preserve"> </w:t>
      </w:r>
      <w:r>
        <w:rPr>
          <w:spacing w:val="5"/>
        </w:rPr>
        <w:t>而识别和记录风险源的过程，即确定风险源。识别风险源是风险分析工作的基</w:t>
      </w:r>
      <w:r>
        <w:rPr>
          <w:spacing w:val="10"/>
        </w:rPr>
        <w:t xml:space="preserve"> </w:t>
      </w:r>
      <w:r>
        <w:rPr>
          <w:spacing w:val="1"/>
        </w:rPr>
        <w:t>础。识别风险源的输入是：</w:t>
      </w:r>
    </w:p>
    <w:p w14:paraId="1E15309D">
      <w:pPr>
        <w:pStyle w:val="2"/>
        <w:spacing w:line="212" w:lineRule="auto"/>
        <w:ind w:left="529"/>
      </w:pPr>
      <w:r>
        <w:rPr>
          <w:rFonts w:ascii="Times New Roman" w:hAnsi="Times New Roman" w:eastAsia="Times New Roman" w:cs="Times New Roman"/>
          <w:spacing w:val="-2"/>
        </w:rPr>
        <w:t xml:space="preserve">a)  </w:t>
      </w:r>
      <w:r>
        <w:rPr>
          <w:spacing w:val="-2"/>
        </w:rPr>
        <w:t>装备研制技术风险、进度风险和费用风险的判据；</w:t>
      </w:r>
    </w:p>
    <w:p w14:paraId="1627D567">
      <w:pPr>
        <w:pStyle w:val="2"/>
        <w:spacing w:before="99" w:line="212" w:lineRule="auto"/>
        <w:ind w:left="529"/>
      </w:pPr>
      <w:r>
        <w:rPr>
          <w:rFonts w:ascii="Times New Roman" w:hAnsi="Times New Roman" w:eastAsia="Times New Roman" w:cs="Times New Roman"/>
          <w:spacing w:val="-4"/>
        </w:rPr>
        <w:t xml:space="preserve">b)  </w:t>
      </w:r>
      <w:r>
        <w:rPr>
          <w:spacing w:val="-4"/>
        </w:rPr>
        <w:t>相似装备的经验、教训及有关数据；</w:t>
      </w:r>
    </w:p>
    <w:p w14:paraId="3EBA2DCC">
      <w:pPr>
        <w:pStyle w:val="2"/>
        <w:spacing w:before="90" w:line="212" w:lineRule="auto"/>
        <w:ind w:left="529"/>
      </w:pPr>
      <w:r>
        <w:rPr>
          <w:rFonts w:ascii="Times New Roman" w:hAnsi="Times New Roman" w:eastAsia="Times New Roman" w:cs="Times New Roman"/>
          <w:spacing w:val="-2"/>
        </w:rPr>
        <w:t>c)</w:t>
      </w:r>
      <w:r>
        <w:rPr>
          <w:rFonts w:ascii="Times New Roman" w:hAnsi="Times New Roman" w:eastAsia="Times New Roman" w:cs="Times New Roman"/>
          <w:spacing w:val="62"/>
        </w:rPr>
        <w:t xml:space="preserve"> </w:t>
      </w:r>
      <w:r>
        <w:rPr>
          <w:spacing w:val="-2"/>
        </w:rPr>
        <w:t>工程模型、样机研制及试验结果或预测数据；</w:t>
      </w:r>
    </w:p>
    <w:p w14:paraId="129023B5">
      <w:pPr>
        <w:pStyle w:val="2"/>
        <w:spacing w:before="99" w:line="212" w:lineRule="auto"/>
        <w:ind w:left="529"/>
      </w:pPr>
      <w:r>
        <w:rPr>
          <w:rFonts w:ascii="Times New Roman" w:hAnsi="Times New Roman" w:eastAsia="Times New Roman" w:cs="Times New Roman"/>
          <w:spacing w:val="3"/>
        </w:rPr>
        <w:t>d)</w:t>
      </w:r>
      <w:r>
        <w:rPr>
          <w:rFonts w:ascii="Times New Roman" w:hAnsi="Times New Roman" w:eastAsia="Times New Roman" w:cs="Times New Roman"/>
          <w:spacing w:val="58"/>
        </w:rPr>
        <w:t xml:space="preserve"> </w:t>
      </w:r>
      <w:r>
        <w:rPr>
          <w:spacing w:val="3"/>
        </w:rPr>
        <w:t>其他可利用的信息；</w:t>
      </w:r>
    </w:p>
    <w:p w14:paraId="23BFB000">
      <w:pPr>
        <w:pStyle w:val="2"/>
        <w:spacing w:before="110" w:line="212" w:lineRule="auto"/>
        <w:ind w:left="529"/>
      </w:pPr>
      <w:r>
        <w:rPr>
          <w:rFonts w:ascii="Times New Roman" w:hAnsi="Times New Roman" w:eastAsia="Times New Roman" w:cs="Times New Roman"/>
          <w:spacing w:val="1"/>
        </w:rPr>
        <w:t>e)</w:t>
      </w:r>
      <w:r>
        <w:rPr>
          <w:rFonts w:ascii="Times New Roman" w:hAnsi="Times New Roman" w:eastAsia="Times New Roman" w:cs="Times New Roman"/>
          <w:spacing w:val="68"/>
          <w:w w:val="101"/>
        </w:rPr>
        <w:t xml:space="preserve"> </w:t>
      </w:r>
      <w:r>
        <w:rPr>
          <w:spacing w:val="1"/>
        </w:rPr>
        <w:t>专家意见等。</w:t>
      </w:r>
    </w:p>
    <w:p w14:paraId="7DAD0B44">
      <w:pPr>
        <w:pStyle w:val="2"/>
        <w:spacing w:before="139" w:line="292" w:lineRule="auto"/>
        <w:ind w:right="122" w:firstLine="529"/>
        <w:rPr>
          <w:sz w:val="25"/>
          <w:szCs w:val="25"/>
        </w:rPr>
      </w:pPr>
      <w:r>
        <w:rPr>
          <w:spacing w:val="26"/>
          <w:sz w:val="25"/>
          <w:szCs w:val="25"/>
        </w:rPr>
        <w:t>风险识别应参考相似装备的研制经验，发挥专家和集体智慧。装备研</w:t>
      </w:r>
      <w:r>
        <w:rPr>
          <w:spacing w:val="25"/>
          <w:sz w:val="25"/>
          <w:szCs w:val="25"/>
        </w:rPr>
        <w:t>制风</w:t>
      </w:r>
      <w:r>
        <w:rPr>
          <w:sz w:val="25"/>
          <w:szCs w:val="25"/>
        </w:rPr>
        <w:t xml:space="preserve"> </w:t>
      </w:r>
      <w:r>
        <w:rPr>
          <w:spacing w:val="24"/>
          <w:sz w:val="25"/>
          <w:szCs w:val="25"/>
        </w:rPr>
        <w:t>险识别可采用如下方法(不限于此):</w:t>
      </w:r>
    </w:p>
    <w:p w14:paraId="2748D6A9">
      <w:pPr>
        <w:pStyle w:val="2"/>
        <w:spacing w:before="1" w:line="253" w:lineRule="auto"/>
        <w:ind w:firstLine="529"/>
      </w:pPr>
      <w:r>
        <w:rPr>
          <w:rFonts w:ascii="Times New Roman" w:hAnsi="Times New Roman" w:eastAsia="Times New Roman" w:cs="Times New Roman"/>
          <w:spacing w:val="3"/>
        </w:rPr>
        <w:t xml:space="preserve">a)  </w:t>
      </w:r>
      <w:r>
        <w:rPr>
          <w:spacing w:val="3"/>
        </w:rPr>
        <w:t>检查单法。根据经验和可获得的信息，将装备研制可能的风险源列在检</w:t>
      </w:r>
      <w:r>
        <w:rPr>
          <w:spacing w:val="5"/>
        </w:rPr>
        <w:t xml:space="preserve">  </w:t>
      </w:r>
      <w:r>
        <w:rPr>
          <w:spacing w:val="1"/>
        </w:rPr>
        <w:t>查单上，检查装备研制是否存在检查单中所列出的或类似的风险源并统计汇</w:t>
      </w:r>
      <w:r>
        <w:t>总。</w:t>
      </w:r>
    </w:p>
    <w:p w14:paraId="4DB7BCD3">
      <w:pPr>
        <w:pStyle w:val="2"/>
        <w:spacing w:before="60" w:line="262" w:lineRule="auto"/>
        <w:ind w:right="117" w:firstLine="529"/>
      </w:pPr>
      <w:r>
        <w:rPr>
          <w:rFonts w:ascii="Times New Roman" w:hAnsi="Times New Roman" w:eastAsia="Times New Roman" w:cs="Times New Roman"/>
          <w:spacing w:val="3"/>
        </w:rPr>
        <w:t xml:space="preserve">b)  </w:t>
      </w:r>
      <w:r>
        <w:rPr>
          <w:spacing w:val="3"/>
        </w:rPr>
        <w:t>流程图法。给出装备研制的工作流程、各个阶段之间的相互关系，帮助</w:t>
      </w:r>
      <w:r>
        <w:rPr>
          <w:spacing w:val="1"/>
        </w:rPr>
        <w:t xml:space="preserve"> </w:t>
      </w:r>
      <w:r>
        <w:rPr>
          <w:spacing w:val="-3"/>
        </w:rPr>
        <w:t>风险识别人员分析和了解装备研制的具体环节，通过对装备研制流程的分析，发</w:t>
      </w:r>
      <w:r>
        <w:rPr>
          <w:spacing w:val="15"/>
        </w:rPr>
        <w:t xml:space="preserve"> </w:t>
      </w:r>
      <w:r>
        <w:rPr>
          <w:spacing w:val="1"/>
        </w:rPr>
        <w:t>现和识别存在风险的环节。</w:t>
      </w:r>
    </w:p>
    <w:p w14:paraId="33F07296">
      <w:pPr>
        <w:pStyle w:val="2"/>
        <w:spacing w:before="79" w:line="250" w:lineRule="auto"/>
        <w:ind w:right="112" w:firstLine="529"/>
      </w:pPr>
      <w:r>
        <w:rPr>
          <w:rFonts w:ascii="Times New Roman" w:hAnsi="Times New Roman" w:eastAsia="Times New Roman" w:cs="Times New Roman"/>
          <w:spacing w:val="-4"/>
        </w:rPr>
        <w:t xml:space="preserve">c)  </w:t>
      </w:r>
      <w:r>
        <w:rPr>
          <w:spacing w:val="-4"/>
        </w:rPr>
        <w:t>头脑风暴法。采用会议的方式，与会者提出自己的意见，充分交流，互相</w:t>
      </w:r>
      <w:r>
        <w:t xml:space="preserve"> </w:t>
      </w:r>
      <w:r>
        <w:rPr>
          <w:spacing w:val="-8"/>
        </w:rPr>
        <w:t>启迪，总结归纳形成结论。</w:t>
      </w:r>
    </w:p>
    <w:p w14:paraId="18D18E83">
      <w:pPr>
        <w:pStyle w:val="2"/>
        <w:spacing w:before="69" w:line="267" w:lineRule="auto"/>
        <w:ind w:right="119" w:firstLine="529"/>
      </w:pPr>
      <w:r>
        <w:rPr>
          <w:rFonts w:ascii="Times New Roman" w:hAnsi="Times New Roman" w:eastAsia="Times New Roman" w:cs="Times New Roman"/>
          <w:spacing w:val="3"/>
        </w:rPr>
        <w:t xml:space="preserve">d)  </w:t>
      </w:r>
      <w:r>
        <w:rPr>
          <w:spacing w:val="3"/>
        </w:rPr>
        <w:t>反复函询法。将风险识别有关的问题征求专家意见，并将</w:t>
      </w:r>
      <w:r>
        <w:rPr>
          <w:spacing w:val="2"/>
        </w:rPr>
        <w:t>返回意见经过</w:t>
      </w:r>
      <w:r>
        <w:t xml:space="preserve"> </w:t>
      </w:r>
      <w:r>
        <w:rPr>
          <w:spacing w:val="-10"/>
        </w:rPr>
        <w:t>整理、归纳，将结果反馈给专家，再次征求意见，如此反复直到专家的意见稳定。</w:t>
      </w:r>
    </w:p>
    <w:p w14:paraId="74217352">
      <w:pPr>
        <w:pStyle w:val="2"/>
        <w:spacing w:before="81" w:line="220" w:lineRule="auto"/>
        <w:ind w:left="529"/>
      </w:pPr>
      <w:r>
        <w:rPr>
          <w:spacing w:val="3"/>
        </w:rPr>
        <w:t>装备研制各阶段识别风险源的线索表如下。</w:t>
      </w:r>
    </w:p>
    <w:p w14:paraId="5537F310">
      <w:pPr>
        <w:pStyle w:val="2"/>
        <w:spacing w:before="107" w:line="220" w:lineRule="auto"/>
        <w:ind w:left="529"/>
        <w:rPr>
          <w:sz w:val="24"/>
          <w:szCs w:val="24"/>
        </w:rPr>
      </w:pPr>
      <w:r>
        <w:rPr>
          <w:spacing w:val="29"/>
          <w:sz w:val="24"/>
          <w:szCs w:val="24"/>
        </w:rPr>
        <w:t>方案阶段的风险源主要有：</w:t>
      </w:r>
    </w:p>
    <w:p w14:paraId="0FD8BCFF">
      <w:pPr>
        <w:pStyle w:val="2"/>
        <w:spacing w:before="54" w:line="212" w:lineRule="auto"/>
        <w:ind w:left="529"/>
      </w:pPr>
      <w:r>
        <w:rPr>
          <w:rFonts w:ascii="Times New Roman" w:hAnsi="Times New Roman" w:eastAsia="Times New Roman" w:cs="Times New Roman"/>
          <w:spacing w:val="3"/>
        </w:rPr>
        <w:t xml:space="preserve">a)  </w:t>
      </w:r>
      <w:r>
        <w:rPr>
          <w:spacing w:val="3"/>
        </w:rPr>
        <w:t>方案论证中新技术成分采用过多；</w:t>
      </w:r>
    </w:p>
    <w:p w14:paraId="4692B241">
      <w:pPr>
        <w:pStyle w:val="2"/>
        <w:spacing w:before="100" w:line="212" w:lineRule="auto"/>
        <w:ind w:left="529"/>
      </w:pPr>
      <w:r>
        <w:rPr>
          <w:rFonts w:ascii="Times New Roman" w:hAnsi="Times New Roman" w:eastAsia="Times New Roman" w:cs="Times New Roman"/>
          <w:spacing w:val="3"/>
        </w:rPr>
        <w:t xml:space="preserve">b)  </w:t>
      </w:r>
      <w:r>
        <w:rPr>
          <w:spacing w:val="3"/>
        </w:rPr>
        <w:t>方案论证中大型试验考虑不当；</w:t>
      </w:r>
    </w:p>
    <w:p w14:paraId="763808CC">
      <w:pPr>
        <w:pStyle w:val="2"/>
        <w:spacing w:before="119" w:line="212" w:lineRule="auto"/>
        <w:ind w:left="529"/>
      </w:pPr>
      <w:r>
        <w:rPr>
          <w:rFonts w:ascii="Times New Roman" w:hAnsi="Times New Roman" w:eastAsia="Times New Roman" w:cs="Times New Roman"/>
          <w:spacing w:val="-2"/>
        </w:rPr>
        <w:t>c)</w:t>
      </w:r>
      <w:r>
        <w:rPr>
          <w:rFonts w:ascii="Times New Roman" w:hAnsi="Times New Roman" w:eastAsia="Times New Roman" w:cs="Times New Roman"/>
          <w:spacing w:val="62"/>
        </w:rPr>
        <w:t xml:space="preserve"> </w:t>
      </w:r>
      <w:r>
        <w:rPr>
          <w:spacing w:val="-2"/>
        </w:rPr>
        <w:t>方案论证不充分，对难点与困难认识不足等；</w:t>
      </w:r>
    </w:p>
    <w:p w14:paraId="0E98280F">
      <w:pPr>
        <w:pStyle w:val="2"/>
        <w:spacing w:before="80" w:line="212" w:lineRule="auto"/>
        <w:ind w:left="529"/>
      </w:pPr>
      <w:r>
        <w:rPr>
          <w:rFonts w:ascii="Times New Roman" w:hAnsi="Times New Roman" w:eastAsia="Times New Roman" w:cs="Times New Roman"/>
          <w:spacing w:val="3"/>
        </w:rPr>
        <w:t xml:space="preserve">d)  </w:t>
      </w:r>
      <w:r>
        <w:rPr>
          <w:spacing w:val="3"/>
        </w:rPr>
        <w:t>不重视保障性要求；</w:t>
      </w:r>
    </w:p>
    <w:p w14:paraId="23A6BDD9">
      <w:pPr>
        <w:pStyle w:val="2"/>
        <w:spacing w:before="100" w:line="212" w:lineRule="auto"/>
        <w:ind w:left="529"/>
      </w:pPr>
      <w:r>
        <w:rPr>
          <w:rFonts w:ascii="Times New Roman" w:hAnsi="Times New Roman" w:eastAsia="Times New Roman" w:cs="Times New Roman"/>
          <w:spacing w:val="2"/>
        </w:rPr>
        <w:t xml:space="preserve">e)  </w:t>
      </w:r>
      <w:r>
        <w:rPr>
          <w:spacing w:val="2"/>
        </w:rPr>
        <w:t>采用不成熟的新技术；</w:t>
      </w:r>
    </w:p>
    <w:p w14:paraId="2D7B0523">
      <w:pPr>
        <w:pStyle w:val="2"/>
        <w:spacing w:before="100" w:line="212" w:lineRule="auto"/>
        <w:ind w:left="529"/>
      </w:pPr>
      <w:r>
        <w:rPr>
          <w:rFonts w:ascii="Times New Roman" w:hAnsi="Times New Roman" w:eastAsia="Times New Roman" w:cs="Times New Roman"/>
          <w:spacing w:val="2"/>
        </w:rPr>
        <w:t xml:space="preserve">f)  </w:t>
      </w:r>
      <w:r>
        <w:rPr>
          <w:spacing w:val="2"/>
        </w:rPr>
        <w:t>参数设计缺少优化；</w:t>
      </w:r>
    </w:p>
    <w:p w14:paraId="7406A69C">
      <w:pPr>
        <w:pStyle w:val="2"/>
        <w:spacing w:before="122" w:line="212" w:lineRule="auto"/>
        <w:ind w:left="529"/>
        <w:rPr>
          <w:sz w:val="24"/>
          <w:szCs w:val="24"/>
        </w:rPr>
      </w:pPr>
      <w:r>
        <w:rPr>
          <w:rFonts w:ascii="Times New Roman" w:hAnsi="Times New Roman" w:eastAsia="Times New Roman" w:cs="Times New Roman"/>
          <w:spacing w:val="28"/>
          <w:sz w:val="24"/>
          <w:szCs w:val="24"/>
        </w:rPr>
        <w:t xml:space="preserve">g)  </w:t>
      </w:r>
      <w:r>
        <w:rPr>
          <w:spacing w:val="28"/>
          <w:sz w:val="24"/>
          <w:szCs w:val="24"/>
        </w:rPr>
        <w:t>各种要求的分配缺少权衡研究；</w:t>
      </w:r>
    </w:p>
    <w:p w14:paraId="172BD492">
      <w:pPr>
        <w:pStyle w:val="2"/>
        <w:spacing w:before="103" w:line="212" w:lineRule="auto"/>
        <w:ind w:left="529"/>
      </w:pPr>
      <w:r>
        <w:rPr>
          <w:rFonts w:ascii="Times New Roman" w:hAnsi="Times New Roman" w:eastAsia="Times New Roman" w:cs="Times New Roman"/>
          <w:spacing w:val="2"/>
        </w:rPr>
        <w:t xml:space="preserve">h)  </w:t>
      </w:r>
      <w:r>
        <w:rPr>
          <w:spacing w:val="2"/>
        </w:rPr>
        <w:t>接口协调不够；</w:t>
      </w:r>
    </w:p>
    <w:p w14:paraId="1D3EC17B">
      <w:pPr>
        <w:pStyle w:val="2"/>
        <w:spacing w:before="90" w:line="212" w:lineRule="auto"/>
        <w:ind w:left="529"/>
      </w:pPr>
      <w:r>
        <w:rPr>
          <w:rFonts w:ascii="Times New Roman" w:hAnsi="Times New Roman" w:eastAsia="Times New Roman" w:cs="Times New Roman"/>
        </w:rPr>
        <w:t>i)</w:t>
      </w:r>
      <w:r>
        <w:rPr>
          <w:rFonts w:ascii="Times New Roman" w:hAnsi="Times New Roman" w:eastAsia="Times New Roman" w:cs="Times New Roman"/>
          <w:spacing w:val="61"/>
        </w:rPr>
        <w:t xml:space="preserve"> </w:t>
      </w:r>
      <w:r>
        <w:t>更改过多控制不严；</w:t>
      </w:r>
    </w:p>
    <w:p w14:paraId="7C015B26">
      <w:pPr>
        <w:pStyle w:val="2"/>
        <w:spacing w:before="109" w:line="212" w:lineRule="auto"/>
        <w:ind w:left="529"/>
      </w:pPr>
      <w:r>
        <w:rPr>
          <w:rFonts w:ascii="Times New Roman" w:hAnsi="Times New Roman" w:eastAsia="Times New Roman" w:cs="Times New Roman"/>
          <w:spacing w:val="5"/>
        </w:rPr>
        <w:t>j)</w:t>
      </w:r>
      <w:r>
        <w:rPr>
          <w:rFonts w:ascii="Times New Roman" w:hAnsi="Times New Roman" w:eastAsia="Times New Roman" w:cs="Times New Roman"/>
          <w:spacing w:val="57"/>
        </w:rPr>
        <w:t xml:space="preserve"> </w:t>
      </w:r>
      <w:r>
        <w:rPr>
          <w:spacing w:val="5"/>
        </w:rPr>
        <w:t>引用标准剪裁不准；</w:t>
      </w:r>
    </w:p>
    <w:p w14:paraId="7C072A4D">
      <w:pPr>
        <w:pStyle w:val="2"/>
        <w:spacing w:before="101" w:line="212" w:lineRule="auto"/>
        <w:ind w:left="529"/>
      </w:pPr>
      <w:r>
        <w:rPr>
          <w:rFonts w:ascii="Times New Roman" w:hAnsi="Times New Roman" w:eastAsia="Times New Roman" w:cs="Times New Roman"/>
          <w:spacing w:val="3"/>
        </w:rPr>
        <w:t xml:space="preserve">k)  </w:t>
      </w:r>
      <w:r>
        <w:rPr>
          <w:spacing w:val="3"/>
        </w:rPr>
        <w:t>设计周期不能保证；</w:t>
      </w:r>
    </w:p>
    <w:p w14:paraId="4A872780">
      <w:pPr>
        <w:pStyle w:val="2"/>
        <w:spacing w:before="121" w:line="220" w:lineRule="auto"/>
        <w:ind w:left="529"/>
      </w:pPr>
      <w:r>
        <w:rPr>
          <w:spacing w:val="5"/>
        </w:rPr>
        <w:t>1)未及早制定切实可行的费用目标；</w:t>
      </w:r>
    </w:p>
    <w:p w14:paraId="056449B5">
      <w:pPr>
        <w:spacing w:line="220" w:lineRule="auto"/>
        <w:sectPr>
          <w:footerReference r:id="rId339" w:type="default"/>
          <w:pgSz w:w="11910" w:h="17130"/>
          <w:pgMar w:top="1456" w:right="905" w:bottom="1616" w:left="1519" w:header="0" w:footer="1426" w:gutter="0"/>
          <w:cols w:space="720" w:num="1"/>
        </w:sectPr>
      </w:pPr>
    </w:p>
    <w:p w14:paraId="2796EA91">
      <w:pPr>
        <w:pStyle w:val="2"/>
        <w:spacing w:before="95" w:line="220" w:lineRule="auto"/>
        <w:ind w:left="529"/>
      </w:pPr>
      <w:r>
        <w:rPr>
          <w:rFonts w:ascii="Times New Roman" w:hAnsi="Times New Roman" w:eastAsia="Times New Roman" w:cs="Times New Roman"/>
          <w:spacing w:val="-5"/>
        </w:rPr>
        <w:t>m</w:t>
      </w:r>
      <w:r>
        <w:rPr>
          <w:spacing w:val="-5"/>
        </w:rPr>
        <w:t>)</w:t>
      </w:r>
      <w:r>
        <w:rPr>
          <w:spacing w:val="-49"/>
        </w:rPr>
        <w:t xml:space="preserve"> </w:t>
      </w:r>
      <w:r>
        <w:rPr>
          <w:spacing w:val="-5"/>
        </w:rPr>
        <w:t>进度目标不切实际，难以实现；</w:t>
      </w:r>
    </w:p>
    <w:p w14:paraId="300A0841">
      <w:pPr>
        <w:pStyle w:val="2"/>
        <w:spacing w:before="75" w:line="219" w:lineRule="auto"/>
        <w:ind w:left="529"/>
      </w:pPr>
      <w:r>
        <w:rPr>
          <w:rFonts w:ascii="Times New Roman" w:hAnsi="Times New Roman" w:eastAsia="Times New Roman" w:cs="Times New Roman"/>
          <w:spacing w:val="8"/>
        </w:rPr>
        <w:t>n</w:t>
      </w:r>
      <w:r>
        <w:rPr>
          <w:spacing w:val="8"/>
        </w:rPr>
        <w:t>)资源供应不能满足进度要求；</w:t>
      </w:r>
    </w:p>
    <w:p w14:paraId="484BCA51">
      <w:pPr>
        <w:pStyle w:val="2"/>
        <w:spacing w:before="70" w:line="212" w:lineRule="auto"/>
        <w:ind w:left="529"/>
      </w:pPr>
      <w:r>
        <w:rPr>
          <w:rFonts w:ascii="Times New Roman" w:hAnsi="Times New Roman" w:eastAsia="Times New Roman" w:cs="Times New Roman"/>
          <w:spacing w:val="4"/>
        </w:rPr>
        <w:t>o)</w:t>
      </w:r>
      <w:r>
        <w:rPr>
          <w:rFonts w:ascii="Times New Roman" w:hAnsi="Times New Roman" w:eastAsia="Times New Roman" w:cs="Times New Roman"/>
          <w:spacing w:val="75"/>
        </w:rPr>
        <w:t xml:space="preserve"> </w:t>
      </w:r>
      <w:r>
        <w:rPr>
          <w:spacing w:val="4"/>
        </w:rPr>
        <w:t>权衡研究未考虑进度问题；</w:t>
      </w:r>
    </w:p>
    <w:p w14:paraId="30F98E34">
      <w:pPr>
        <w:pStyle w:val="2"/>
        <w:spacing w:before="122" w:line="212" w:lineRule="auto"/>
        <w:ind w:left="529"/>
        <w:rPr>
          <w:sz w:val="25"/>
          <w:szCs w:val="25"/>
        </w:rPr>
      </w:pPr>
      <w:r>
        <w:rPr>
          <w:rFonts w:ascii="Times New Roman" w:hAnsi="Times New Roman" w:eastAsia="Times New Roman" w:cs="Times New Roman"/>
          <w:spacing w:val="26"/>
          <w:sz w:val="25"/>
          <w:szCs w:val="25"/>
        </w:rPr>
        <w:t>p</w:t>
      </w:r>
      <w:r>
        <w:rPr>
          <w:spacing w:val="26"/>
          <w:sz w:val="25"/>
          <w:szCs w:val="25"/>
        </w:rPr>
        <w:t>)方案阶段未充分考虑各种影响因素；</w:t>
      </w:r>
    </w:p>
    <w:p w14:paraId="7009E418">
      <w:pPr>
        <w:pStyle w:val="2"/>
        <w:spacing w:before="112" w:line="212" w:lineRule="auto"/>
        <w:ind w:left="529"/>
        <w:rPr>
          <w:sz w:val="25"/>
          <w:szCs w:val="25"/>
        </w:rPr>
      </w:pPr>
      <w:r>
        <w:rPr>
          <w:rFonts w:ascii="Times New Roman" w:hAnsi="Times New Roman" w:eastAsia="Times New Roman" w:cs="Times New Roman"/>
          <w:spacing w:val="20"/>
          <w:sz w:val="25"/>
          <w:szCs w:val="25"/>
        </w:rPr>
        <w:t xml:space="preserve">q)  </w:t>
      </w:r>
      <w:r>
        <w:rPr>
          <w:spacing w:val="20"/>
          <w:sz w:val="25"/>
          <w:szCs w:val="25"/>
        </w:rPr>
        <w:t>方案论证未经不同方案对比和优选；</w:t>
      </w:r>
    </w:p>
    <w:p w14:paraId="12151006">
      <w:pPr>
        <w:pStyle w:val="2"/>
        <w:spacing w:before="142" w:line="220" w:lineRule="auto"/>
        <w:ind w:left="529"/>
        <w:rPr>
          <w:sz w:val="25"/>
          <w:szCs w:val="25"/>
        </w:rPr>
      </w:pPr>
      <w:r>
        <w:rPr>
          <w:rFonts w:ascii="Times New Roman" w:hAnsi="Times New Roman" w:eastAsia="Times New Roman" w:cs="Times New Roman"/>
          <w:spacing w:val="21"/>
          <w:sz w:val="25"/>
          <w:szCs w:val="25"/>
        </w:rPr>
        <w:t>r</w:t>
      </w:r>
      <w:r>
        <w:rPr>
          <w:spacing w:val="21"/>
          <w:sz w:val="25"/>
          <w:szCs w:val="25"/>
        </w:rPr>
        <w:t>)</w:t>
      </w:r>
      <w:r>
        <w:rPr>
          <w:spacing w:val="-33"/>
          <w:sz w:val="25"/>
          <w:szCs w:val="25"/>
        </w:rPr>
        <w:t xml:space="preserve"> </w:t>
      </w:r>
      <w:r>
        <w:rPr>
          <w:spacing w:val="21"/>
          <w:sz w:val="25"/>
          <w:szCs w:val="25"/>
        </w:rPr>
        <w:t>未开展工艺可行性分析；</w:t>
      </w:r>
    </w:p>
    <w:p w14:paraId="1E3EA99C">
      <w:pPr>
        <w:pStyle w:val="2"/>
        <w:spacing w:before="83" w:line="212" w:lineRule="auto"/>
        <w:ind w:left="529"/>
        <w:rPr>
          <w:sz w:val="25"/>
          <w:szCs w:val="25"/>
        </w:rPr>
      </w:pPr>
      <w:r>
        <w:rPr>
          <w:rFonts w:ascii="Times New Roman" w:hAnsi="Times New Roman" w:eastAsia="Times New Roman" w:cs="Times New Roman"/>
          <w:spacing w:val="20"/>
          <w:sz w:val="25"/>
          <w:szCs w:val="25"/>
        </w:rPr>
        <w:t xml:space="preserve">s)  </w:t>
      </w:r>
      <w:r>
        <w:rPr>
          <w:spacing w:val="20"/>
          <w:sz w:val="25"/>
          <w:szCs w:val="25"/>
        </w:rPr>
        <w:t>技术风险对费用和进度的影响不够等。</w:t>
      </w:r>
    </w:p>
    <w:p w14:paraId="00D40C31">
      <w:pPr>
        <w:pStyle w:val="2"/>
        <w:spacing w:before="142" w:line="220" w:lineRule="auto"/>
        <w:ind w:left="529"/>
        <w:rPr>
          <w:sz w:val="25"/>
          <w:szCs w:val="25"/>
        </w:rPr>
      </w:pPr>
      <w:r>
        <w:rPr>
          <w:spacing w:val="21"/>
          <w:sz w:val="25"/>
          <w:szCs w:val="25"/>
        </w:rPr>
        <w:t>工程研制阶段的风险源主要有：</w:t>
      </w:r>
    </w:p>
    <w:p w14:paraId="058F70F9">
      <w:pPr>
        <w:pStyle w:val="2"/>
        <w:spacing w:before="62" w:line="212" w:lineRule="auto"/>
        <w:ind w:left="529"/>
      </w:pPr>
      <w:r>
        <w:rPr>
          <w:rFonts w:ascii="Times New Roman" w:hAnsi="Times New Roman" w:eastAsia="Times New Roman" w:cs="Times New Roman"/>
          <w:spacing w:val="-8"/>
        </w:rPr>
        <w:t>a)</w:t>
      </w:r>
      <w:r>
        <w:rPr>
          <w:rFonts w:ascii="Times New Roman" w:hAnsi="Times New Roman" w:eastAsia="Times New Roman" w:cs="Times New Roman"/>
          <w:spacing w:val="62"/>
          <w:w w:val="101"/>
        </w:rPr>
        <w:t xml:space="preserve"> </w:t>
      </w:r>
      <w:r>
        <w:rPr>
          <w:spacing w:val="-8"/>
        </w:rPr>
        <w:t>权衡不周，分配不当；</w:t>
      </w:r>
    </w:p>
    <w:p w14:paraId="14E52E2E">
      <w:pPr>
        <w:pStyle w:val="2"/>
        <w:spacing w:before="69" w:line="274" w:lineRule="auto"/>
        <w:ind w:firstLine="529"/>
      </w:pPr>
      <w:r>
        <w:rPr>
          <w:rFonts w:ascii="Times New Roman" w:hAnsi="Times New Roman" w:eastAsia="Times New Roman" w:cs="Times New Roman"/>
          <w:spacing w:val="2"/>
        </w:rPr>
        <w:t>b)</w:t>
      </w:r>
      <w:r>
        <w:rPr>
          <w:rFonts w:ascii="Times New Roman" w:hAnsi="Times New Roman" w:eastAsia="Times New Roman" w:cs="Times New Roman"/>
          <w:spacing w:val="78"/>
        </w:rPr>
        <w:t xml:space="preserve"> </w:t>
      </w:r>
      <w:r>
        <w:rPr>
          <w:spacing w:val="2"/>
        </w:rPr>
        <w:t>未进行各种专门的设计分析(如应力和应力一强度分析、最坏情况分析、</w:t>
      </w:r>
      <w:r>
        <w:t xml:space="preserve"> </w:t>
      </w:r>
      <w:r>
        <w:rPr>
          <w:spacing w:val="-10"/>
        </w:rPr>
        <w:t>潜在分析、</w:t>
      </w:r>
      <w:r>
        <w:rPr>
          <w:rFonts w:ascii="Times New Roman" w:hAnsi="Times New Roman" w:eastAsia="Times New Roman" w:cs="Times New Roman"/>
          <w:spacing w:val="-10"/>
        </w:rPr>
        <w:t>FMECA</w:t>
      </w:r>
      <w:r>
        <w:rPr>
          <w:rFonts w:ascii="Times New Roman" w:hAnsi="Times New Roman" w:eastAsia="Times New Roman" w:cs="Times New Roman"/>
          <w:spacing w:val="-22"/>
        </w:rPr>
        <w:t xml:space="preserve"> </w:t>
      </w:r>
      <w:r>
        <w:rPr>
          <w:spacing w:val="-10"/>
        </w:rPr>
        <w:t>、</w:t>
      </w:r>
      <w:r>
        <w:rPr>
          <w:rFonts w:ascii="Times New Roman" w:hAnsi="Times New Roman" w:eastAsia="Times New Roman" w:cs="Times New Roman"/>
          <w:spacing w:val="-10"/>
        </w:rPr>
        <w:t>FTA</w:t>
      </w:r>
      <w:r>
        <w:rPr>
          <w:spacing w:val="-10"/>
        </w:rPr>
        <w:t>、安全性分析等);</w:t>
      </w:r>
    </w:p>
    <w:p w14:paraId="4EDFBB64">
      <w:pPr>
        <w:pStyle w:val="2"/>
        <w:spacing w:before="39" w:line="212" w:lineRule="auto"/>
        <w:ind w:left="529"/>
      </w:pPr>
      <w:r>
        <w:rPr>
          <w:rFonts w:ascii="Times New Roman" w:hAnsi="Times New Roman" w:eastAsia="Times New Roman" w:cs="Times New Roman"/>
          <w:spacing w:val="2"/>
        </w:rPr>
        <w:t>c)</w:t>
      </w:r>
      <w:r>
        <w:rPr>
          <w:rFonts w:ascii="Times New Roman" w:hAnsi="Times New Roman" w:eastAsia="Times New Roman" w:cs="Times New Roman"/>
          <w:spacing w:val="62"/>
          <w:w w:val="101"/>
        </w:rPr>
        <w:t xml:space="preserve"> </w:t>
      </w:r>
      <w:r>
        <w:rPr>
          <w:spacing w:val="2"/>
        </w:rPr>
        <w:t>元器件选择使用不当；</w:t>
      </w:r>
    </w:p>
    <w:p w14:paraId="4F4C2821">
      <w:pPr>
        <w:pStyle w:val="2"/>
        <w:spacing w:before="110" w:line="212" w:lineRule="auto"/>
        <w:ind w:left="529"/>
      </w:pPr>
      <w:r>
        <w:rPr>
          <w:rFonts w:ascii="Times New Roman" w:hAnsi="Times New Roman" w:eastAsia="Times New Roman" w:cs="Times New Roman"/>
          <w:spacing w:val="2"/>
        </w:rPr>
        <w:t>d)</w:t>
      </w:r>
      <w:r>
        <w:rPr>
          <w:rFonts w:ascii="Times New Roman" w:hAnsi="Times New Roman" w:eastAsia="Times New Roman" w:cs="Times New Roman"/>
          <w:spacing w:val="67"/>
        </w:rPr>
        <w:t xml:space="preserve"> </w:t>
      </w:r>
      <w:r>
        <w:rPr>
          <w:spacing w:val="2"/>
        </w:rPr>
        <w:t>生产定点不当与多变；</w:t>
      </w:r>
    </w:p>
    <w:p w14:paraId="0160ABFE">
      <w:pPr>
        <w:pStyle w:val="2"/>
        <w:spacing w:before="80" w:line="212" w:lineRule="auto"/>
        <w:ind w:left="529"/>
      </w:pPr>
      <w:r>
        <w:rPr>
          <w:rFonts w:ascii="Times New Roman" w:hAnsi="Times New Roman" w:eastAsia="Times New Roman" w:cs="Times New Roman"/>
          <w:spacing w:val="2"/>
        </w:rPr>
        <w:t>e)</w:t>
      </w:r>
      <w:r>
        <w:rPr>
          <w:rFonts w:ascii="Times New Roman" w:hAnsi="Times New Roman" w:eastAsia="Times New Roman" w:cs="Times New Roman"/>
          <w:spacing w:val="64"/>
          <w:w w:val="101"/>
        </w:rPr>
        <w:t xml:space="preserve"> </w:t>
      </w:r>
      <w:r>
        <w:rPr>
          <w:spacing w:val="2"/>
        </w:rPr>
        <w:t>产品特点分析不够；</w:t>
      </w:r>
    </w:p>
    <w:p w14:paraId="355338B0">
      <w:pPr>
        <w:pStyle w:val="2"/>
        <w:spacing w:before="110" w:line="212" w:lineRule="auto"/>
        <w:ind w:left="529"/>
      </w:pPr>
      <w:r>
        <w:rPr>
          <w:rFonts w:ascii="Times New Roman" w:hAnsi="Times New Roman" w:eastAsia="Times New Roman" w:cs="Times New Roman"/>
          <w:spacing w:val="-2"/>
        </w:rPr>
        <w:t>f)</w:t>
      </w:r>
      <w:r>
        <w:rPr>
          <w:rFonts w:ascii="Times New Roman" w:hAnsi="Times New Roman" w:eastAsia="Times New Roman" w:cs="Times New Roman"/>
          <w:spacing w:val="53"/>
        </w:rPr>
        <w:t xml:space="preserve"> </w:t>
      </w:r>
      <w:r>
        <w:rPr>
          <w:spacing w:val="-2"/>
        </w:rPr>
        <w:t>设计提出过高的工艺要求，制造能力达不到；</w:t>
      </w:r>
    </w:p>
    <w:p w14:paraId="6F0B11CD">
      <w:pPr>
        <w:pStyle w:val="2"/>
        <w:spacing w:before="110" w:line="212" w:lineRule="auto"/>
        <w:ind w:left="529"/>
      </w:pPr>
      <w:r>
        <w:rPr>
          <w:rFonts w:ascii="Times New Roman" w:hAnsi="Times New Roman" w:eastAsia="Times New Roman" w:cs="Times New Roman"/>
          <w:spacing w:val="-2"/>
        </w:rPr>
        <w:t xml:space="preserve">g)  </w:t>
      </w:r>
      <w:r>
        <w:rPr>
          <w:spacing w:val="-2"/>
        </w:rPr>
        <w:t>未有或未实施适宜的设计准则、规范和程序；</w:t>
      </w:r>
    </w:p>
    <w:p w14:paraId="5A3F9E67">
      <w:pPr>
        <w:pStyle w:val="2"/>
        <w:spacing w:before="80" w:line="212" w:lineRule="auto"/>
        <w:ind w:left="529"/>
      </w:pPr>
      <w:r>
        <w:rPr>
          <w:rFonts w:ascii="Times New Roman" w:hAnsi="Times New Roman" w:eastAsia="Times New Roman" w:cs="Times New Roman"/>
          <w:spacing w:val="3"/>
        </w:rPr>
        <w:t>h)</w:t>
      </w:r>
      <w:r>
        <w:rPr>
          <w:rFonts w:ascii="Times New Roman" w:hAnsi="Times New Roman" w:eastAsia="Times New Roman" w:cs="Times New Roman"/>
          <w:spacing w:val="61"/>
        </w:rPr>
        <w:t xml:space="preserve"> </w:t>
      </w:r>
      <w:r>
        <w:rPr>
          <w:spacing w:val="3"/>
        </w:rPr>
        <w:t>设计评审不充分；</w:t>
      </w:r>
    </w:p>
    <w:p w14:paraId="490CB8C5">
      <w:pPr>
        <w:pStyle w:val="2"/>
        <w:spacing w:before="89" w:line="268" w:lineRule="auto"/>
        <w:ind w:left="20" w:right="125" w:firstLine="509"/>
      </w:pPr>
      <w:r>
        <w:rPr>
          <w:rFonts w:ascii="Times New Roman" w:hAnsi="Times New Roman" w:eastAsia="Times New Roman" w:cs="Times New Roman"/>
        </w:rPr>
        <w:t>i)</w:t>
      </w:r>
      <w:r>
        <w:rPr>
          <w:rFonts w:ascii="Times New Roman" w:hAnsi="Times New Roman" w:eastAsia="Times New Roman" w:cs="Times New Roman"/>
          <w:spacing w:val="80"/>
          <w:w w:val="101"/>
        </w:rPr>
        <w:t xml:space="preserve"> </w:t>
      </w:r>
      <w:r>
        <w:t xml:space="preserve">未在项目的早期启动试验规划、编制试验计划(包括主系统、分系统的所 </w:t>
      </w:r>
      <w:r>
        <w:rPr>
          <w:spacing w:val="8"/>
        </w:rPr>
        <w:t>有研制试验和鉴定试验);</w:t>
      </w:r>
    </w:p>
    <w:p w14:paraId="4900A697">
      <w:pPr>
        <w:pStyle w:val="2"/>
        <w:spacing w:before="67" w:line="212" w:lineRule="auto"/>
        <w:ind w:left="529"/>
      </w:pPr>
      <w:r>
        <w:rPr>
          <w:rFonts w:ascii="Times New Roman" w:hAnsi="Times New Roman" w:eastAsia="Times New Roman" w:cs="Times New Roman"/>
          <w:spacing w:val="6"/>
        </w:rPr>
        <w:t>j)</w:t>
      </w:r>
      <w:r>
        <w:rPr>
          <w:rFonts w:ascii="Times New Roman" w:hAnsi="Times New Roman" w:eastAsia="Times New Roman" w:cs="Times New Roman"/>
          <w:spacing w:val="43"/>
        </w:rPr>
        <w:t xml:space="preserve"> </w:t>
      </w:r>
      <w:r>
        <w:rPr>
          <w:spacing w:val="6"/>
        </w:rPr>
        <w:t>试验方案不能保证取得可信的结果；</w:t>
      </w:r>
    </w:p>
    <w:p w14:paraId="75C8E8E8">
      <w:pPr>
        <w:pStyle w:val="2"/>
        <w:spacing w:before="70" w:line="212" w:lineRule="auto"/>
        <w:ind w:left="529"/>
      </w:pPr>
      <w:r>
        <w:rPr>
          <w:rFonts w:ascii="Times New Roman" w:hAnsi="Times New Roman" w:eastAsia="Times New Roman" w:cs="Times New Roman"/>
          <w:spacing w:val="3"/>
        </w:rPr>
        <w:t xml:space="preserve">k)  </w:t>
      </w:r>
      <w:r>
        <w:rPr>
          <w:spacing w:val="3"/>
        </w:rPr>
        <w:t>设计提出过高的人员技能和要求；</w:t>
      </w:r>
    </w:p>
    <w:p w14:paraId="75029CE8">
      <w:pPr>
        <w:pStyle w:val="2"/>
        <w:spacing w:before="141" w:line="219" w:lineRule="auto"/>
        <w:ind w:left="529"/>
      </w:pPr>
      <w:r>
        <w:rPr>
          <w:spacing w:val="6"/>
        </w:rPr>
        <w:t>1)不成熟或未经验证的技术在生产前尚不</w:t>
      </w:r>
      <w:r>
        <w:rPr>
          <w:spacing w:val="5"/>
        </w:rPr>
        <w:t>能得到充分的改进或验证；</w:t>
      </w:r>
    </w:p>
    <w:p w14:paraId="5C7A6809">
      <w:pPr>
        <w:pStyle w:val="2"/>
        <w:spacing w:before="59" w:line="212" w:lineRule="auto"/>
        <w:ind w:left="529"/>
      </w:pPr>
      <w:r>
        <w:rPr>
          <w:rFonts w:ascii="Times New Roman" w:hAnsi="Times New Roman" w:eastAsia="Times New Roman" w:cs="Times New Roman"/>
          <w:spacing w:val="-4"/>
        </w:rPr>
        <w:t>m)</w:t>
      </w:r>
      <w:r>
        <w:rPr>
          <w:rFonts w:ascii="Times New Roman" w:hAnsi="Times New Roman" w:eastAsia="Times New Roman" w:cs="Times New Roman"/>
          <w:spacing w:val="64"/>
          <w:w w:val="101"/>
        </w:rPr>
        <w:t xml:space="preserve"> </w:t>
      </w:r>
      <w:r>
        <w:rPr>
          <w:spacing w:val="-4"/>
        </w:rPr>
        <w:t>采用新技术、新工艺或新的工作流程，生产工艺过程未进行验证；</w:t>
      </w:r>
    </w:p>
    <w:p w14:paraId="64312F73">
      <w:pPr>
        <w:pStyle w:val="2"/>
        <w:spacing w:before="80" w:line="212" w:lineRule="auto"/>
        <w:ind w:left="529"/>
      </w:pPr>
      <w:r>
        <w:rPr>
          <w:rFonts w:ascii="Times New Roman" w:hAnsi="Times New Roman" w:eastAsia="Times New Roman" w:cs="Times New Roman"/>
          <w:spacing w:val="3"/>
        </w:rPr>
        <w:t>n)</w:t>
      </w:r>
      <w:r>
        <w:rPr>
          <w:rFonts w:ascii="Times New Roman" w:hAnsi="Times New Roman" w:eastAsia="Times New Roman" w:cs="Times New Roman"/>
          <w:spacing w:val="5"/>
        </w:rPr>
        <w:t xml:space="preserve">  </w:t>
      </w:r>
      <w:r>
        <w:rPr>
          <w:spacing w:val="3"/>
        </w:rPr>
        <w:t>对特殊过程的过程参数未进行鉴定或验证；</w:t>
      </w:r>
    </w:p>
    <w:p w14:paraId="52E02FC4">
      <w:pPr>
        <w:pStyle w:val="2"/>
        <w:spacing w:before="110" w:line="212" w:lineRule="auto"/>
        <w:ind w:left="529"/>
      </w:pPr>
      <w:r>
        <w:rPr>
          <w:rFonts w:ascii="Times New Roman" w:hAnsi="Times New Roman" w:eastAsia="Times New Roman" w:cs="Times New Roman"/>
          <w:spacing w:val="-5"/>
        </w:rPr>
        <w:t xml:space="preserve">o)  </w:t>
      </w:r>
      <w:r>
        <w:rPr>
          <w:spacing w:val="-5"/>
        </w:rPr>
        <w:t>加工工艺不稳定，经常更改；</w:t>
      </w:r>
    </w:p>
    <w:p w14:paraId="05C873D2">
      <w:pPr>
        <w:pStyle w:val="2"/>
        <w:spacing w:before="110" w:line="212" w:lineRule="auto"/>
        <w:ind w:left="529"/>
      </w:pPr>
      <w:r>
        <w:rPr>
          <w:rFonts w:ascii="Times New Roman" w:hAnsi="Times New Roman" w:eastAsia="Times New Roman" w:cs="Times New Roman"/>
        </w:rPr>
        <w:t>p</w:t>
      </w:r>
      <w:r>
        <w:t>)设施、设备不能满足工艺要求；</w:t>
      </w:r>
    </w:p>
    <w:p w14:paraId="61C83A34">
      <w:pPr>
        <w:pStyle w:val="2"/>
        <w:spacing w:before="100" w:line="212" w:lineRule="auto"/>
        <w:ind w:left="529"/>
      </w:pPr>
      <w:r>
        <w:rPr>
          <w:rFonts w:ascii="Times New Roman" w:hAnsi="Times New Roman" w:eastAsia="Times New Roman" w:cs="Times New Roman"/>
          <w:spacing w:val="-6"/>
        </w:rPr>
        <w:t xml:space="preserve">q)  </w:t>
      </w:r>
      <w:r>
        <w:rPr>
          <w:spacing w:val="-6"/>
        </w:rPr>
        <w:t>无适宜的专用工装、工具，不能防止</w:t>
      </w:r>
      <w:r>
        <w:rPr>
          <w:spacing w:val="-7"/>
        </w:rPr>
        <w:t>加工中出差错；</w:t>
      </w:r>
    </w:p>
    <w:p w14:paraId="2ADD21B7">
      <w:pPr>
        <w:pStyle w:val="2"/>
        <w:spacing w:before="90" w:line="212" w:lineRule="auto"/>
        <w:ind w:left="529"/>
      </w:pPr>
      <w:r>
        <w:rPr>
          <w:rFonts w:ascii="Times New Roman" w:hAnsi="Times New Roman" w:eastAsia="Times New Roman" w:cs="Times New Roman"/>
          <w:spacing w:val="-1"/>
        </w:rPr>
        <w:t xml:space="preserve">r)  </w:t>
      </w:r>
      <w:r>
        <w:rPr>
          <w:spacing w:val="-1"/>
        </w:rPr>
        <w:t>手工操作，未采用自动化或半自动化的加工和测试手段；</w:t>
      </w:r>
    </w:p>
    <w:p w14:paraId="4BED6DD1">
      <w:pPr>
        <w:pStyle w:val="2"/>
        <w:spacing w:before="90" w:line="212" w:lineRule="auto"/>
        <w:ind w:left="529"/>
      </w:pPr>
      <w:r>
        <w:rPr>
          <w:rFonts w:ascii="Times New Roman" w:hAnsi="Times New Roman" w:eastAsia="Times New Roman" w:cs="Times New Roman"/>
          <w:spacing w:val="3"/>
        </w:rPr>
        <w:t xml:space="preserve">s)  </w:t>
      </w:r>
      <w:r>
        <w:rPr>
          <w:spacing w:val="3"/>
        </w:rPr>
        <w:t>采购产品未经过充分验证和筛选；</w:t>
      </w:r>
    </w:p>
    <w:p w14:paraId="1A6F00F1">
      <w:pPr>
        <w:pStyle w:val="2"/>
        <w:spacing w:before="90" w:line="212" w:lineRule="auto"/>
        <w:ind w:left="529"/>
      </w:pPr>
      <w:r>
        <w:rPr>
          <w:rFonts w:ascii="Times New Roman" w:hAnsi="Times New Roman" w:eastAsia="Times New Roman" w:cs="Times New Roman"/>
          <w:spacing w:val="2"/>
        </w:rPr>
        <w:t xml:space="preserve">t)  </w:t>
      </w:r>
      <w:r>
        <w:rPr>
          <w:spacing w:val="2"/>
        </w:rPr>
        <w:t>产品测试性不满足要求；</w:t>
      </w:r>
    </w:p>
    <w:p w14:paraId="2CBD7395">
      <w:pPr>
        <w:pStyle w:val="2"/>
        <w:spacing w:before="109" w:line="212" w:lineRule="auto"/>
        <w:ind w:left="529"/>
      </w:pPr>
      <w:r>
        <w:rPr>
          <w:rFonts w:ascii="Times New Roman" w:hAnsi="Times New Roman" w:eastAsia="Times New Roman" w:cs="Times New Roman"/>
          <w:spacing w:val="-1"/>
        </w:rPr>
        <w:t xml:space="preserve">u)  </w:t>
      </w:r>
      <w:r>
        <w:rPr>
          <w:spacing w:val="-1"/>
        </w:rPr>
        <w:t>没有建立和保持强有力的技术状态管理系统，随意更改设计；</w:t>
      </w:r>
    </w:p>
    <w:p w14:paraId="254C70AA">
      <w:pPr>
        <w:pStyle w:val="2"/>
        <w:spacing w:before="90" w:line="212" w:lineRule="auto"/>
        <w:ind w:left="529"/>
      </w:pPr>
      <w:r>
        <w:rPr>
          <w:rFonts w:ascii="Times New Roman" w:hAnsi="Times New Roman" w:eastAsia="Times New Roman" w:cs="Times New Roman"/>
          <w:spacing w:val="4"/>
        </w:rPr>
        <w:t>v)</w:t>
      </w:r>
      <w:r>
        <w:rPr>
          <w:rFonts w:ascii="Times New Roman" w:hAnsi="Times New Roman" w:eastAsia="Times New Roman" w:cs="Times New Roman"/>
          <w:spacing w:val="43"/>
        </w:rPr>
        <w:t xml:space="preserve"> </w:t>
      </w:r>
      <w:r>
        <w:rPr>
          <w:spacing w:val="4"/>
        </w:rPr>
        <w:t>设计采用未成熟技术；</w:t>
      </w:r>
    </w:p>
    <w:p w14:paraId="11A8A18F">
      <w:pPr>
        <w:pStyle w:val="2"/>
        <w:spacing w:before="100" w:line="212" w:lineRule="auto"/>
        <w:ind w:left="529"/>
      </w:pPr>
      <w:r>
        <w:rPr>
          <w:rFonts w:ascii="Times New Roman" w:hAnsi="Times New Roman" w:eastAsia="Times New Roman" w:cs="Times New Roman"/>
          <w:spacing w:val="3"/>
        </w:rPr>
        <w:t>w)</w:t>
      </w:r>
      <w:r>
        <w:rPr>
          <w:rFonts w:ascii="Times New Roman" w:hAnsi="Times New Roman" w:eastAsia="Times New Roman" w:cs="Times New Roman"/>
          <w:spacing w:val="69"/>
        </w:rPr>
        <w:t xml:space="preserve"> </w:t>
      </w:r>
      <w:r>
        <w:rPr>
          <w:spacing w:val="3"/>
        </w:rPr>
        <w:t>设计分析缺少工具与指南；</w:t>
      </w:r>
    </w:p>
    <w:p w14:paraId="2D95A8E4">
      <w:pPr>
        <w:pStyle w:val="2"/>
        <w:spacing w:before="100" w:line="212" w:lineRule="auto"/>
        <w:ind w:left="529"/>
      </w:pPr>
      <w:r>
        <w:rPr>
          <w:rFonts w:ascii="Times New Roman" w:hAnsi="Times New Roman" w:eastAsia="Times New Roman" w:cs="Times New Roman"/>
          <w:spacing w:val="3"/>
        </w:rPr>
        <w:t>x)</w:t>
      </w:r>
      <w:r>
        <w:rPr>
          <w:rFonts w:ascii="Times New Roman" w:hAnsi="Times New Roman" w:eastAsia="Times New Roman" w:cs="Times New Roman"/>
          <w:spacing w:val="69"/>
        </w:rPr>
        <w:t xml:space="preserve"> </w:t>
      </w:r>
      <w:r>
        <w:rPr>
          <w:spacing w:val="3"/>
        </w:rPr>
        <w:t>设计人员知识结构不适应；</w:t>
      </w:r>
    </w:p>
    <w:p w14:paraId="4E2A5E9E">
      <w:pPr>
        <w:spacing w:line="212" w:lineRule="auto"/>
        <w:sectPr>
          <w:footerReference r:id="rId340" w:type="default"/>
          <w:pgSz w:w="11910" w:h="17130"/>
          <w:pgMar w:top="1456" w:right="1275" w:bottom="1633" w:left="1160" w:header="0" w:footer="1435" w:gutter="0"/>
          <w:cols w:space="720" w:num="1"/>
        </w:sectPr>
      </w:pPr>
    </w:p>
    <w:p w14:paraId="19D05844">
      <w:pPr>
        <w:pStyle w:val="2"/>
        <w:spacing w:before="154" w:line="212" w:lineRule="auto"/>
        <w:ind w:left="529"/>
      </w:pPr>
      <w:r>
        <w:rPr>
          <w:rFonts w:ascii="Times New Roman" w:hAnsi="Times New Roman" w:eastAsia="Times New Roman" w:cs="Times New Roman"/>
          <w:spacing w:val="2"/>
        </w:rPr>
        <w:t>y)</w:t>
      </w:r>
      <w:r>
        <w:rPr>
          <w:rFonts w:ascii="Times New Roman" w:hAnsi="Times New Roman" w:eastAsia="Times New Roman" w:cs="Times New Roman"/>
          <w:spacing w:val="59"/>
        </w:rPr>
        <w:t xml:space="preserve"> </w:t>
      </w:r>
      <w:r>
        <w:rPr>
          <w:spacing w:val="2"/>
        </w:rPr>
        <w:t>疏忽可生产性设计；</w:t>
      </w:r>
    </w:p>
    <w:p w14:paraId="70FCD604">
      <w:pPr>
        <w:pStyle w:val="2"/>
        <w:spacing w:before="80" w:line="212" w:lineRule="auto"/>
        <w:ind w:left="529"/>
      </w:pPr>
      <w:r>
        <w:rPr>
          <w:rFonts w:ascii="Times New Roman" w:hAnsi="Times New Roman" w:eastAsia="Times New Roman" w:cs="Times New Roman"/>
          <w:spacing w:val="-3"/>
        </w:rPr>
        <w:t>z)</w:t>
      </w:r>
      <w:r>
        <w:rPr>
          <w:rFonts w:ascii="Times New Roman" w:hAnsi="Times New Roman" w:eastAsia="Times New Roman" w:cs="Times New Roman"/>
          <w:spacing w:val="69"/>
        </w:rPr>
        <w:t xml:space="preserve"> </w:t>
      </w:r>
      <w:r>
        <w:rPr>
          <w:spacing w:val="-3"/>
        </w:rPr>
        <w:t>设计工具落后，先进设计工具应用不够；</w:t>
      </w:r>
    </w:p>
    <w:p w14:paraId="6D38FF78">
      <w:pPr>
        <w:pStyle w:val="2"/>
        <w:spacing w:before="100" w:line="212" w:lineRule="auto"/>
        <w:ind w:left="529"/>
      </w:pPr>
      <w:r>
        <w:rPr>
          <w:rFonts w:ascii="Times New Roman" w:hAnsi="Times New Roman" w:eastAsia="Times New Roman" w:cs="Times New Roman"/>
          <w:spacing w:val="-1"/>
        </w:rPr>
        <w:t xml:space="preserve">aa)  </w:t>
      </w:r>
      <w:r>
        <w:rPr>
          <w:spacing w:val="-1"/>
        </w:rPr>
        <w:t>未对试验中出现问题做深入分析，留</w:t>
      </w:r>
      <w:r>
        <w:rPr>
          <w:spacing w:val="-2"/>
        </w:rPr>
        <w:t>下隐患；</w:t>
      </w:r>
    </w:p>
    <w:p w14:paraId="285CCC71">
      <w:pPr>
        <w:pStyle w:val="2"/>
        <w:spacing w:before="89" w:line="212" w:lineRule="auto"/>
        <w:ind w:left="529"/>
      </w:pPr>
      <w:r>
        <w:rPr>
          <w:rFonts w:ascii="Times New Roman" w:hAnsi="Times New Roman" w:eastAsia="Times New Roman" w:cs="Times New Roman"/>
        </w:rPr>
        <w:t>bb</w:t>
      </w:r>
      <w:r>
        <w:rPr>
          <w:rFonts w:ascii="Times New Roman" w:hAnsi="Times New Roman" w:eastAsia="Times New Roman" w:cs="Times New Roman"/>
          <w:spacing w:val="5"/>
        </w:rPr>
        <w:t xml:space="preserve">)  </w:t>
      </w:r>
      <w:r>
        <w:rPr>
          <w:spacing w:val="5"/>
        </w:rPr>
        <w:t>预算周期内投资进程不稳定或资金不能及时到位；</w:t>
      </w:r>
    </w:p>
    <w:p w14:paraId="3CAAA669">
      <w:pPr>
        <w:pStyle w:val="2"/>
        <w:spacing w:before="89" w:line="212" w:lineRule="auto"/>
        <w:ind w:left="529"/>
      </w:pPr>
      <w:r>
        <w:rPr>
          <w:rFonts w:ascii="Times New Roman" w:hAnsi="Times New Roman" w:eastAsia="Times New Roman" w:cs="Times New Roman"/>
        </w:rPr>
        <w:t>cc</w:t>
      </w:r>
      <w:r>
        <w:rPr>
          <w:rFonts w:ascii="Times New Roman" w:hAnsi="Times New Roman" w:eastAsia="Times New Roman" w:cs="Times New Roman"/>
          <w:spacing w:val="1"/>
        </w:rPr>
        <w:t>)</w:t>
      </w:r>
      <w:r>
        <w:rPr>
          <w:rFonts w:ascii="Times New Roman" w:hAnsi="Times New Roman" w:eastAsia="Times New Roman" w:cs="Times New Roman"/>
          <w:spacing w:val="43"/>
        </w:rPr>
        <w:t xml:space="preserve"> </w:t>
      </w:r>
      <w:r>
        <w:rPr>
          <w:spacing w:val="1"/>
        </w:rPr>
        <w:t>冗余性能能力占去过多费用，即所作出的费用一性能权衡不</w:t>
      </w:r>
      <w:r>
        <w:t>够适宜；</w:t>
      </w:r>
    </w:p>
    <w:p w14:paraId="06EA6F41">
      <w:pPr>
        <w:pStyle w:val="2"/>
        <w:spacing w:before="89" w:line="243" w:lineRule="auto"/>
        <w:ind w:left="529" w:right="1458"/>
      </w:pPr>
      <w:r>
        <w:rPr>
          <w:rFonts w:ascii="Times New Roman" w:hAnsi="Times New Roman" w:eastAsia="Times New Roman" w:cs="Times New Roman"/>
          <w:spacing w:val="-5"/>
        </w:rPr>
        <w:t xml:space="preserve">dd)  </w:t>
      </w:r>
      <w:r>
        <w:rPr>
          <w:spacing w:val="-5"/>
        </w:rPr>
        <w:t>研制后期才发现问题需要工程更改，增加费用、拖延进度；</w:t>
      </w:r>
      <w:r>
        <w:rPr>
          <w:spacing w:val="14"/>
        </w:rPr>
        <w:t xml:space="preserve"> </w:t>
      </w:r>
      <w:r>
        <w:rPr>
          <w:rFonts w:ascii="Times New Roman" w:hAnsi="Times New Roman" w:eastAsia="Times New Roman" w:cs="Times New Roman"/>
        </w:rPr>
        <w:t>ee</w:t>
      </w:r>
      <w:r>
        <w:rPr>
          <w:rFonts w:ascii="Times New Roman" w:hAnsi="Times New Roman" w:eastAsia="Times New Roman" w:cs="Times New Roman"/>
          <w:spacing w:val="4"/>
        </w:rPr>
        <w:t xml:space="preserve">)  </w:t>
      </w:r>
      <w:r>
        <w:rPr>
          <w:spacing w:val="4"/>
        </w:rPr>
        <w:t>技术风险对费用和进度的影响考虑不够等。</w:t>
      </w:r>
    </w:p>
    <w:p w14:paraId="7AFC28B5">
      <w:pPr>
        <w:pStyle w:val="2"/>
        <w:spacing w:before="121" w:line="219" w:lineRule="auto"/>
        <w:ind w:left="529"/>
      </w:pPr>
      <w:r>
        <w:rPr>
          <w:spacing w:val="3"/>
        </w:rPr>
        <w:t>设计定型和生产定型阶段的风险源主要有：</w:t>
      </w:r>
    </w:p>
    <w:p w14:paraId="40DF882E">
      <w:pPr>
        <w:pStyle w:val="2"/>
        <w:spacing w:before="69" w:line="212" w:lineRule="auto"/>
        <w:ind w:left="529"/>
      </w:pPr>
      <w:r>
        <w:rPr>
          <w:rFonts w:ascii="Times New Roman" w:hAnsi="Times New Roman" w:eastAsia="Times New Roman" w:cs="Times New Roman"/>
          <w:spacing w:val="2"/>
        </w:rPr>
        <w:t xml:space="preserve">a)  </w:t>
      </w:r>
      <w:r>
        <w:rPr>
          <w:spacing w:val="2"/>
        </w:rPr>
        <w:t>技术状态疏于管理；</w:t>
      </w:r>
    </w:p>
    <w:p w14:paraId="0D086FB2">
      <w:pPr>
        <w:pStyle w:val="2"/>
        <w:spacing w:before="132" w:line="212" w:lineRule="auto"/>
        <w:ind w:left="529"/>
        <w:rPr>
          <w:sz w:val="24"/>
          <w:szCs w:val="24"/>
        </w:rPr>
      </w:pPr>
      <w:r>
        <w:rPr>
          <w:rFonts w:ascii="Times New Roman" w:hAnsi="Times New Roman" w:eastAsia="Times New Roman" w:cs="Times New Roman"/>
          <w:spacing w:val="26"/>
          <w:sz w:val="24"/>
          <w:szCs w:val="24"/>
        </w:rPr>
        <w:t>b)</w:t>
      </w:r>
      <w:r>
        <w:rPr>
          <w:rFonts w:ascii="Times New Roman" w:hAnsi="Times New Roman" w:eastAsia="Times New Roman" w:cs="Times New Roman"/>
          <w:spacing w:val="30"/>
          <w:sz w:val="24"/>
          <w:szCs w:val="24"/>
        </w:rPr>
        <w:t xml:space="preserve">  </w:t>
      </w:r>
      <w:r>
        <w:rPr>
          <w:spacing w:val="26"/>
          <w:sz w:val="24"/>
          <w:szCs w:val="24"/>
        </w:rPr>
        <w:t>制造缺乏最佳途径分析；</w:t>
      </w:r>
    </w:p>
    <w:p w14:paraId="421472F4">
      <w:pPr>
        <w:pStyle w:val="2"/>
        <w:spacing w:before="112" w:line="212" w:lineRule="auto"/>
        <w:ind w:left="529"/>
      </w:pPr>
      <w:r>
        <w:rPr>
          <w:rFonts w:ascii="Times New Roman" w:hAnsi="Times New Roman" w:eastAsia="Times New Roman" w:cs="Times New Roman"/>
          <w:spacing w:val="3"/>
        </w:rPr>
        <w:t xml:space="preserve">c)  </w:t>
      </w:r>
      <w:r>
        <w:rPr>
          <w:spacing w:val="3"/>
        </w:rPr>
        <w:t>制造计划缺乏人员培训规划和具体实施措施；</w:t>
      </w:r>
    </w:p>
    <w:p w14:paraId="478A4A45">
      <w:pPr>
        <w:pStyle w:val="2"/>
        <w:spacing w:before="90" w:line="212" w:lineRule="auto"/>
        <w:ind w:left="529"/>
      </w:pPr>
      <w:r>
        <w:rPr>
          <w:rFonts w:ascii="Times New Roman" w:hAnsi="Times New Roman" w:eastAsia="Times New Roman" w:cs="Times New Roman"/>
          <w:spacing w:val="4"/>
        </w:rPr>
        <w:t xml:space="preserve">d)  </w:t>
      </w:r>
      <w:r>
        <w:rPr>
          <w:spacing w:val="4"/>
        </w:rPr>
        <w:t>质量计划和检验要求及有关评审程序未纳入制造计划；</w:t>
      </w:r>
    </w:p>
    <w:p w14:paraId="615E96C4">
      <w:pPr>
        <w:pStyle w:val="2"/>
        <w:spacing w:before="100" w:line="212" w:lineRule="auto"/>
        <w:ind w:left="529"/>
      </w:pPr>
      <w:r>
        <w:rPr>
          <w:rFonts w:ascii="Times New Roman" w:hAnsi="Times New Roman" w:eastAsia="Times New Roman" w:cs="Times New Roman"/>
          <w:spacing w:val="2"/>
        </w:rPr>
        <w:t xml:space="preserve">e)  </w:t>
      </w:r>
      <w:r>
        <w:rPr>
          <w:spacing w:val="2"/>
        </w:rPr>
        <w:t>工艺方案不够完善；</w:t>
      </w:r>
    </w:p>
    <w:p w14:paraId="39D4AE92">
      <w:pPr>
        <w:pStyle w:val="2"/>
        <w:spacing w:before="100" w:line="212" w:lineRule="auto"/>
        <w:ind w:left="529"/>
      </w:pPr>
      <w:r>
        <w:rPr>
          <w:rFonts w:ascii="Times New Roman" w:hAnsi="Times New Roman" w:eastAsia="Times New Roman" w:cs="Times New Roman"/>
          <w:spacing w:val="3"/>
        </w:rPr>
        <w:t xml:space="preserve">f)  </w:t>
      </w:r>
      <w:r>
        <w:rPr>
          <w:spacing w:val="3"/>
        </w:rPr>
        <w:t>没有制定合理经济的工艺路线；</w:t>
      </w:r>
    </w:p>
    <w:p w14:paraId="545D5DD6">
      <w:pPr>
        <w:pStyle w:val="2"/>
        <w:spacing w:before="99" w:line="212" w:lineRule="auto"/>
        <w:ind w:left="529"/>
      </w:pPr>
      <w:r>
        <w:rPr>
          <w:rFonts w:ascii="Times New Roman" w:hAnsi="Times New Roman" w:eastAsia="Times New Roman" w:cs="Times New Roman"/>
          <w:spacing w:val="6"/>
        </w:rPr>
        <w:t>g</w:t>
      </w:r>
      <w:r>
        <w:rPr>
          <w:rFonts w:ascii="Times New Roman" w:hAnsi="Times New Roman" w:eastAsia="Times New Roman" w:cs="Times New Roman"/>
          <w:spacing w:val="-14"/>
        </w:rPr>
        <w:t xml:space="preserve"> </w:t>
      </w:r>
      <w:r>
        <w:rPr>
          <w:spacing w:val="6"/>
        </w:rPr>
        <w:t>)工艺规程编制脱离现场实际；</w:t>
      </w:r>
    </w:p>
    <w:p w14:paraId="140D45BD">
      <w:pPr>
        <w:pStyle w:val="2"/>
        <w:spacing w:before="91" w:line="212" w:lineRule="auto"/>
        <w:ind w:left="529"/>
      </w:pPr>
      <w:r>
        <w:rPr>
          <w:rFonts w:ascii="Times New Roman" w:hAnsi="Times New Roman" w:eastAsia="Times New Roman" w:cs="Times New Roman"/>
          <w:spacing w:val="3"/>
        </w:rPr>
        <w:t>h)</w:t>
      </w:r>
      <w:r>
        <w:rPr>
          <w:rFonts w:ascii="Times New Roman" w:hAnsi="Times New Roman" w:eastAsia="Times New Roman" w:cs="Times New Roman"/>
          <w:spacing w:val="4"/>
        </w:rPr>
        <w:t xml:space="preserve">  </w:t>
      </w:r>
      <w:r>
        <w:rPr>
          <w:spacing w:val="3"/>
        </w:rPr>
        <w:t>专用工艺装备和设备不完善；</w:t>
      </w:r>
    </w:p>
    <w:p w14:paraId="01092B59">
      <w:pPr>
        <w:pStyle w:val="2"/>
        <w:spacing w:before="100" w:line="212" w:lineRule="auto"/>
        <w:ind w:left="529"/>
      </w:pPr>
      <w:r>
        <w:rPr>
          <w:rFonts w:ascii="Times New Roman" w:hAnsi="Times New Roman" w:eastAsia="Times New Roman" w:cs="Times New Roman"/>
          <w:spacing w:val="1"/>
        </w:rPr>
        <w:t xml:space="preserve">i)  </w:t>
      </w:r>
      <w:r>
        <w:rPr>
          <w:spacing w:val="1"/>
        </w:rPr>
        <w:t>缺乏工艺技术验证；</w:t>
      </w:r>
    </w:p>
    <w:p w14:paraId="5F378344">
      <w:pPr>
        <w:pStyle w:val="2"/>
        <w:spacing w:before="99" w:line="212" w:lineRule="auto"/>
        <w:ind w:left="529"/>
      </w:pPr>
      <w:r>
        <w:rPr>
          <w:rFonts w:ascii="Times New Roman" w:hAnsi="Times New Roman" w:eastAsia="Times New Roman" w:cs="Times New Roman"/>
          <w:spacing w:val="5"/>
        </w:rPr>
        <w:t>j)</w:t>
      </w:r>
      <w:r>
        <w:rPr>
          <w:rFonts w:ascii="Times New Roman" w:hAnsi="Times New Roman" w:eastAsia="Times New Roman" w:cs="Times New Roman"/>
          <w:spacing w:val="71"/>
          <w:w w:val="101"/>
        </w:rPr>
        <w:t xml:space="preserve"> </w:t>
      </w:r>
      <w:r>
        <w:rPr>
          <w:spacing w:val="5"/>
        </w:rPr>
        <w:t>缺乏对工艺人员和工人的培训；</w:t>
      </w:r>
    </w:p>
    <w:p w14:paraId="062B6019">
      <w:pPr>
        <w:pStyle w:val="2"/>
        <w:spacing w:before="91" w:line="212" w:lineRule="auto"/>
        <w:ind w:left="529"/>
      </w:pPr>
      <w:r>
        <w:rPr>
          <w:rFonts w:ascii="Times New Roman" w:hAnsi="Times New Roman" w:eastAsia="Times New Roman" w:cs="Times New Roman"/>
          <w:spacing w:val="2"/>
        </w:rPr>
        <w:t xml:space="preserve">k)  </w:t>
      </w:r>
      <w:r>
        <w:rPr>
          <w:spacing w:val="2"/>
        </w:rPr>
        <w:t>忽视工艺评审；</w:t>
      </w:r>
    </w:p>
    <w:p w14:paraId="6B29737C">
      <w:pPr>
        <w:pStyle w:val="2"/>
        <w:spacing w:before="140" w:line="219" w:lineRule="auto"/>
        <w:ind w:left="529"/>
      </w:pPr>
      <w:r>
        <w:rPr>
          <w:spacing w:val="6"/>
        </w:rPr>
        <w:t>1)工艺文件准备不充分；</w:t>
      </w:r>
    </w:p>
    <w:p w14:paraId="65AD1B2A">
      <w:pPr>
        <w:pStyle w:val="2"/>
        <w:spacing w:before="59" w:line="212" w:lineRule="auto"/>
        <w:ind w:left="529"/>
      </w:pPr>
      <w:r>
        <w:rPr>
          <w:rFonts w:ascii="Times New Roman" w:hAnsi="Times New Roman" w:eastAsia="Times New Roman" w:cs="Times New Roman"/>
          <w:spacing w:val="3"/>
        </w:rPr>
        <w:t>m)</w:t>
      </w:r>
      <w:r>
        <w:rPr>
          <w:rFonts w:ascii="Times New Roman" w:hAnsi="Times New Roman" w:eastAsia="Times New Roman" w:cs="Times New Roman"/>
          <w:spacing w:val="70"/>
        </w:rPr>
        <w:t xml:space="preserve"> </w:t>
      </w:r>
      <w:r>
        <w:rPr>
          <w:spacing w:val="3"/>
        </w:rPr>
        <w:t>对采购质量控制不严；</w:t>
      </w:r>
    </w:p>
    <w:p w14:paraId="67F0F4B5">
      <w:pPr>
        <w:pStyle w:val="2"/>
        <w:spacing w:before="100" w:line="212" w:lineRule="auto"/>
        <w:ind w:left="529"/>
      </w:pPr>
      <w:r>
        <w:rPr>
          <w:rFonts w:ascii="Times New Roman" w:hAnsi="Times New Roman" w:eastAsia="Times New Roman" w:cs="Times New Roman"/>
          <w:spacing w:val="2"/>
        </w:rPr>
        <w:t xml:space="preserve">n)  </w:t>
      </w:r>
      <w:r>
        <w:rPr>
          <w:spacing w:val="2"/>
        </w:rPr>
        <w:t>工艺更改失控；</w:t>
      </w:r>
    </w:p>
    <w:p w14:paraId="0E920B5E">
      <w:pPr>
        <w:pStyle w:val="2"/>
        <w:spacing w:before="110" w:line="212" w:lineRule="auto"/>
        <w:ind w:left="529"/>
      </w:pPr>
      <w:r>
        <w:rPr>
          <w:rFonts w:ascii="Times New Roman" w:hAnsi="Times New Roman" w:eastAsia="Times New Roman" w:cs="Times New Roman"/>
          <w:spacing w:val="2"/>
        </w:rPr>
        <w:t xml:space="preserve">o)  </w:t>
      </w:r>
      <w:r>
        <w:rPr>
          <w:spacing w:val="2"/>
        </w:rPr>
        <w:t>多余物控制不严；</w:t>
      </w:r>
    </w:p>
    <w:p w14:paraId="3FFA0C65">
      <w:pPr>
        <w:pStyle w:val="2"/>
        <w:spacing w:before="132" w:line="212" w:lineRule="auto"/>
        <w:ind w:left="529"/>
        <w:rPr>
          <w:sz w:val="24"/>
          <w:szCs w:val="24"/>
        </w:rPr>
      </w:pPr>
      <w:r>
        <w:rPr>
          <w:rFonts w:ascii="Times New Roman" w:hAnsi="Times New Roman" w:eastAsia="Times New Roman" w:cs="Times New Roman"/>
          <w:spacing w:val="27"/>
          <w:sz w:val="24"/>
          <w:szCs w:val="24"/>
        </w:rPr>
        <w:t xml:space="preserve">p)  </w:t>
      </w:r>
      <w:r>
        <w:rPr>
          <w:spacing w:val="27"/>
          <w:sz w:val="24"/>
          <w:szCs w:val="24"/>
        </w:rPr>
        <w:t>对不合格品未及时采取措施；</w:t>
      </w:r>
    </w:p>
    <w:p w14:paraId="668AD609">
      <w:pPr>
        <w:pStyle w:val="2"/>
        <w:spacing w:before="103" w:line="212" w:lineRule="auto"/>
        <w:ind w:left="529"/>
      </w:pPr>
      <w:r>
        <w:rPr>
          <w:rFonts w:ascii="Times New Roman" w:hAnsi="Times New Roman" w:eastAsia="Times New Roman" w:cs="Times New Roman"/>
          <w:spacing w:val="4"/>
        </w:rPr>
        <w:t xml:space="preserve">q)  </w:t>
      </w:r>
      <w:r>
        <w:rPr>
          <w:spacing w:val="4"/>
        </w:rPr>
        <w:t>工艺装备及设备不适应产品设计的需要；</w:t>
      </w:r>
    </w:p>
    <w:p w14:paraId="6C26AF87">
      <w:pPr>
        <w:pStyle w:val="2"/>
        <w:spacing w:before="118" w:line="247" w:lineRule="auto"/>
        <w:ind w:right="2" w:firstLine="529"/>
      </w:pPr>
      <w:r>
        <w:rPr>
          <w:rFonts w:ascii="Times New Roman" w:hAnsi="Times New Roman" w:eastAsia="Times New Roman" w:cs="Times New Roman"/>
          <w:spacing w:val="6"/>
        </w:rPr>
        <w:t>r</w:t>
      </w:r>
      <w:r>
        <w:rPr>
          <w:rFonts w:ascii="Times New Roman" w:hAnsi="Times New Roman" w:eastAsia="Times New Roman" w:cs="Times New Roman"/>
          <w:spacing w:val="-17"/>
        </w:rPr>
        <w:t xml:space="preserve"> </w:t>
      </w:r>
      <w:r>
        <w:rPr>
          <w:spacing w:val="6"/>
        </w:rPr>
        <w:t>)试验未考虑最终使用环境，未考虑使用周</w:t>
      </w:r>
      <w:r>
        <w:rPr>
          <w:spacing w:val="5"/>
        </w:rPr>
        <w:t>期的极端情况和最恶劣的环境</w:t>
      </w:r>
      <w:r>
        <w:t xml:space="preserve"> </w:t>
      </w:r>
      <w:r>
        <w:rPr>
          <w:spacing w:val="-4"/>
        </w:rPr>
        <w:t>条件；</w:t>
      </w:r>
    </w:p>
    <w:p w14:paraId="15F585D8">
      <w:pPr>
        <w:pStyle w:val="2"/>
        <w:spacing w:before="59" w:line="212" w:lineRule="auto"/>
        <w:ind w:left="529"/>
      </w:pPr>
      <w:r>
        <w:rPr>
          <w:rFonts w:ascii="Times New Roman" w:hAnsi="Times New Roman" w:eastAsia="Times New Roman" w:cs="Times New Roman"/>
          <w:spacing w:val="3"/>
        </w:rPr>
        <w:t xml:space="preserve">s)  </w:t>
      </w:r>
      <w:r>
        <w:rPr>
          <w:spacing w:val="3"/>
        </w:rPr>
        <w:t>重大更改或改型后未进行验证；</w:t>
      </w:r>
    </w:p>
    <w:p w14:paraId="58CB3802">
      <w:pPr>
        <w:pStyle w:val="2"/>
        <w:spacing w:before="100" w:line="212" w:lineRule="auto"/>
        <w:ind w:left="529"/>
      </w:pPr>
      <w:r>
        <w:rPr>
          <w:rFonts w:ascii="Times New Roman" w:hAnsi="Times New Roman" w:eastAsia="Times New Roman" w:cs="Times New Roman"/>
          <w:spacing w:val="3"/>
        </w:rPr>
        <w:t xml:space="preserve">t)  </w:t>
      </w:r>
      <w:r>
        <w:rPr>
          <w:spacing w:val="3"/>
        </w:rPr>
        <w:t>定型试验不充分；</w:t>
      </w:r>
    </w:p>
    <w:p w14:paraId="17F6A767">
      <w:pPr>
        <w:pStyle w:val="2"/>
        <w:spacing w:before="100" w:line="212" w:lineRule="auto"/>
        <w:ind w:left="529"/>
      </w:pPr>
      <w:r>
        <w:rPr>
          <w:rFonts w:ascii="Times New Roman" w:hAnsi="Times New Roman" w:eastAsia="Times New Roman" w:cs="Times New Roman"/>
          <w:spacing w:val="5"/>
        </w:rPr>
        <w:t>u)</w:t>
      </w:r>
      <w:r>
        <w:rPr>
          <w:rFonts w:ascii="Times New Roman" w:hAnsi="Times New Roman" w:eastAsia="Times New Roman" w:cs="Times New Roman"/>
        </w:rPr>
        <w:t xml:space="preserve">  </w:t>
      </w:r>
      <w:r>
        <w:rPr>
          <w:spacing w:val="5"/>
        </w:rPr>
        <w:t>技术风险对费用和进度的影响考虑不够</w:t>
      </w:r>
      <w:r>
        <w:rPr>
          <w:spacing w:val="4"/>
        </w:rPr>
        <w:t>等。</w:t>
      </w:r>
    </w:p>
    <w:p w14:paraId="22ADB212">
      <w:pPr>
        <w:pStyle w:val="2"/>
        <w:spacing w:before="132" w:line="278" w:lineRule="auto"/>
        <w:ind w:firstLine="529"/>
        <w:jc w:val="both"/>
      </w:pPr>
      <w:r>
        <w:rPr>
          <w:spacing w:val="6"/>
        </w:rPr>
        <w:t>风险识别的输出是风险源清单，为风险发生的可能性及后果严重性分</w:t>
      </w:r>
      <w:r>
        <w:rPr>
          <w:spacing w:val="5"/>
        </w:rPr>
        <w:t>析提</w:t>
      </w:r>
      <w:r>
        <w:t xml:space="preserve"> </w:t>
      </w:r>
      <w:r>
        <w:rPr>
          <w:spacing w:val="-3"/>
        </w:rPr>
        <w:t>供信息输入，至少应包括风险源名称、风险源编号、风险发生的原因和风险可能</w:t>
      </w:r>
      <w:r>
        <w:rPr>
          <w:spacing w:val="17"/>
        </w:rPr>
        <w:t xml:space="preserve"> </w:t>
      </w:r>
      <w:r>
        <w:rPr>
          <w:spacing w:val="8"/>
        </w:rPr>
        <w:t>导致的后果等项目。风险源清单格式见表6.1。</w:t>
      </w:r>
    </w:p>
    <w:p w14:paraId="0B017783">
      <w:pPr>
        <w:spacing w:line="278" w:lineRule="auto"/>
        <w:sectPr>
          <w:footerReference r:id="rId341" w:type="default"/>
          <w:pgSz w:w="11910" w:h="17130"/>
          <w:pgMar w:top="1456" w:right="1026" w:bottom="1513" w:left="1519" w:header="0" w:footer="1314" w:gutter="0"/>
          <w:cols w:space="720" w:num="1"/>
        </w:sectPr>
      </w:pPr>
    </w:p>
    <w:p w14:paraId="3018A040">
      <w:pPr>
        <w:spacing w:before="169" w:line="221" w:lineRule="auto"/>
        <w:ind w:left="3550"/>
        <w:rPr>
          <w:rFonts w:ascii="仿宋" w:hAnsi="仿宋" w:eastAsia="仿宋" w:cs="仿宋"/>
          <w:sz w:val="24"/>
          <w:szCs w:val="24"/>
        </w:rPr>
      </w:pPr>
      <w:r>
        <w:rPr>
          <w:rFonts w:ascii="仿宋" w:hAnsi="仿宋" w:eastAsia="仿宋" w:cs="仿宋"/>
          <w:spacing w:val="11"/>
          <w:sz w:val="24"/>
          <w:szCs w:val="24"/>
        </w:rPr>
        <w:t>表</w:t>
      </w:r>
      <w:r>
        <w:rPr>
          <w:rFonts w:ascii="仿宋" w:hAnsi="仿宋" w:eastAsia="仿宋" w:cs="仿宋"/>
          <w:spacing w:val="-49"/>
          <w:sz w:val="24"/>
          <w:szCs w:val="24"/>
        </w:rPr>
        <w:t xml:space="preserve"> </w:t>
      </w:r>
      <w:r>
        <w:rPr>
          <w:rFonts w:ascii="仿宋" w:hAnsi="仿宋" w:eastAsia="仿宋" w:cs="仿宋"/>
          <w:spacing w:val="11"/>
          <w:sz w:val="24"/>
          <w:szCs w:val="24"/>
        </w:rPr>
        <w:t>6</w:t>
      </w:r>
      <w:r>
        <w:rPr>
          <w:rFonts w:ascii="仿宋" w:hAnsi="仿宋" w:eastAsia="仿宋" w:cs="仿宋"/>
          <w:spacing w:val="-44"/>
          <w:sz w:val="24"/>
          <w:szCs w:val="24"/>
        </w:rPr>
        <w:t xml:space="preserve"> </w:t>
      </w:r>
      <w:r>
        <w:rPr>
          <w:rFonts w:ascii="仿宋" w:hAnsi="仿宋" w:eastAsia="仿宋" w:cs="仿宋"/>
          <w:spacing w:val="11"/>
          <w:sz w:val="24"/>
          <w:szCs w:val="24"/>
        </w:rPr>
        <w:t>.</w:t>
      </w:r>
      <w:r>
        <w:rPr>
          <w:rFonts w:ascii="仿宋" w:hAnsi="仿宋" w:eastAsia="仿宋" w:cs="仿宋"/>
          <w:spacing w:val="-33"/>
          <w:sz w:val="24"/>
          <w:szCs w:val="24"/>
        </w:rPr>
        <w:t xml:space="preserve"> </w:t>
      </w:r>
      <w:r>
        <w:rPr>
          <w:rFonts w:ascii="仿宋" w:hAnsi="仿宋" w:eastAsia="仿宋" w:cs="仿宋"/>
          <w:spacing w:val="11"/>
          <w:sz w:val="24"/>
          <w:szCs w:val="24"/>
        </w:rPr>
        <w:t>1  风险源清单</w:t>
      </w:r>
    </w:p>
    <w:p w14:paraId="6A212176">
      <w:pPr>
        <w:pStyle w:val="2"/>
        <w:spacing w:before="105" w:line="220" w:lineRule="auto"/>
        <w:ind w:left="479"/>
        <w:rPr>
          <w:sz w:val="20"/>
          <w:szCs w:val="20"/>
        </w:rPr>
      </w:pPr>
      <w:r>
        <w:rPr>
          <w:spacing w:val="-3"/>
          <w:sz w:val="17"/>
          <w:szCs w:val="17"/>
        </w:rPr>
        <w:t>装</w:t>
      </w:r>
      <w:r>
        <w:rPr>
          <w:spacing w:val="-23"/>
          <w:sz w:val="17"/>
          <w:szCs w:val="17"/>
        </w:rPr>
        <w:t xml:space="preserve"> </w:t>
      </w:r>
      <w:r>
        <w:rPr>
          <w:spacing w:val="-3"/>
          <w:sz w:val="17"/>
          <w:szCs w:val="17"/>
        </w:rPr>
        <w:t>备</w:t>
      </w:r>
      <w:r>
        <w:rPr>
          <w:spacing w:val="-26"/>
          <w:sz w:val="17"/>
          <w:szCs w:val="17"/>
        </w:rPr>
        <w:t xml:space="preserve"> </w:t>
      </w:r>
      <w:r>
        <w:rPr>
          <w:spacing w:val="-3"/>
          <w:sz w:val="17"/>
          <w:szCs w:val="17"/>
        </w:rPr>
        <w:t>型</w:t>
      </w:r>
      <w:r>
        <w:rPr>
          <w:spacing w:val="-28"/>
          <w:sz w:val="17"/>
          <w:szCs w:val="17"/>
        </w:rPr>
        <w:t xml:space="preserve"> </w:t>
      </w:r>
      <w:r>
        <w:rPr>
          <w:spacing w:val="-3"/>
          <w:sz w:val="17"/>
          <w:szCs w:val="17"/>
        </w:rPr>
        <w:t>号</w:t>
      </w:r>
      <w:r>
        <w:rPr>
          <w:spacing w:val="-29"/>
          <w:sz w:val="17"/>
          <w:szCs w:val="17"/>
        </w:rPr>
        <w:t xml:space="preserve"> </w:t>
      </w:r>
      <w:r>
        <w:rPr>
          <w:spacing w:val="-3"/>
          <w:sz w:val="17"/>
          <w:szCs w:val="17"/>
        </w:rPr>
        <w:t>名</w:t>
      </w:r>
      <w:r>
        <w:rPr>
          <w:spacing w:val="-32"/>
          <w:sz w:val="17"/>
          <w:szCs w:val="17"/>
        </w:rPr>
        <w:t xml:space="preserve"> </w:t>
      </w:r>
      <w:r>
        <w:rPr>
          <w:spacing w:val="-3"/>
          <w:sz w:val="17"/>
          <w:szCs w:val="17"/>
        </w:rPr>
        <w:t>称</w:t>
      </w:r>
      <w:r>
        <w:rPr>
          <w:spacing w:val="-17"/>
          <w:sz w:val="17"/>
          <w:szCs w:val="17"/>
        </w:rPr>
        <w:t xml:space="preserve"> </w:t>
      </w:r>
      <w:r>
        <w:rPr>
          <w:spacing w:val="-3"/>
          <w:sz w:val="17"/>
          <w:szCs w:val="17"/>
        </w:rPr>
        <w:t>：</w:t>
      </w:r>
      <w:r>
        <w:rPr>
          <w:spacing w:val="1"/>
          <w:sz w:val="17"/>
          <w:szCs w:val="17"/>
        </w:rPr>
        <w:t xml:space="preserve">                       </w:t>
      </w:r>
      <w:r>
        <w:rPr>
          <w:spacing w:val="-3"/>
          <w:sz w:val="20"/>
          <w:szCs w:val="20"/>
        </w:rPr>
        <w:t>装备研制阶段：</w:t>
      </w:r>
    </w:p>
    <w:p w14:paraId="1C795D5B">
      <w:pPr>
        <w:spacing w:line="87" w:lineRule="exact"/>
      </w:pPr>
    </w:p>
    <w:tbl>
      <w:tblPr>
        <w:tblStyle w:val="5"/>
        <w:tblW w:w="936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4"/>
        <w:gridCol w:w="1059"/>
        <w:gridCol w:w="1678"/>
        <w:gridCol w:w="2088"/>
        <w:gridCol w:w="2507"/>
        <w:gridCol w:w="1213"/>
      </w:tblGrid>
      <w:tr w14:paraId="60123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824" w:type="dxa"/>
            <w:vAlign w:val="top"/>
          </w:tcPr>
          <w:p w14:paraId="7BC1D9F0">
            <w:pPr>
              <w:spacing w:before="94" w:line="221" w:lineRule="auto"/>
              <w:ind w:left="184"/>
              <w:rPr>
                <w:rFonts w:ascii="宋体" w:hAnsi="宋体" w:eastAsia="宋体" w:cs="宋体"/>
                <w:sz w:val="21"/>
                <w:szCs w:val="21"/>
              </w:rPr>
            </w:pPr>
            <w:r>
              <w:rPr>
                <w:rFonts w:ascii="宋体" w:hAnsi="宋体" w:eastAsia="宋体" w:cs="宋体"/>
                <w:spacing w:val="6"/>
                <w:sz w:val="21"/>
                <w:szCs w:val="21"/>
              </w:rPr>
              <w:t>序号</w:t>
            </w:r>
          </w:p>
        </w:tc>
        <w:tc>
          <w:tcPr>
            <w:tcW w:w="1059" w:type="dxa"/>
            <w:vAlign w:val="top"/>
          </w:tcPr>
          <w:p w14:paraId="04D45AFA">
            <w:pPr>
              <w:spacing w:before="94" w:line="220" w:lineRule="auto"/>
              <w:ind w:left="210"/>
              <w:rPr>
                <w:rFonts w:ascii="宋体" w:hAnsi="宋体" w:eastAsia="宋体" w:cs="宋体"/>
                <w:sz w:val="21"/>
                <w:szCs w:val="21"/>
              </w:rPr>
            </w:pPr>
            <w:r>
              <w:rPr>
                <w:rFonts w:ascii="宋体" w:hAnsi="宋体" w:eastAsia="宋体" w:cs="宋体"/>
                <w:spacing w:val="-3"/>
                <w:sz w:val="21"/>
                <w:szCs w:val="21"/>
              </w:rPr>
              <w:t>风险源</w:t>
            </w:r>
          </w:p>
        </w:tc>
        <w:tc>
          <w:tcPr>
            <w:tcW w:w="1678" w:type="dxa"/>
            <w:vAlign w:val="top"/>
          </w:tcPr>
          <w:p w14:paraId="761058AD">
            <w:pPr>
              <w:spacing w:before="93" w:line="219" w:lineRule="auto"/>
              <w:ind w:left="312"/>
              <w:rPr>
                <w:rFonts w:ascii="宋体" w:hAnsi="宋体" w:eastAsia="宋体" w:cs="宋体"/>
                <w:sz w:val="21"/>
                <w:szCs w:val="21"/>
              </w:rPr>
            </w:pPr>
            <w:r>
              <w:rPr>
                <w:rFonts w:ascii="宋体" w:hAnsi="宋体" w:eastAsia="宋体" w:cs="宋体"/>
                <w:spacing w:val="2"/>
                <w:sz w:val="21"/>
                <w:szCs w:val="21"/>
              </w:rPr>
              <w:t>风险源编号</w:t>
            </w:r>
          </w:p>
        </w:tc>
        <w:tc>
          <w:tcPr>
            <w:tcW w:w="2088" w:type="dxa"/>
            <w:vAlign w:val="top"/>
          </w:tcPr>
          <w:p w14:paraId="17073ACA">
            <w:pPr>
              <w:spacing w:before="94" w:line="220" w:lineRule="auto"/>
              <w:ind w:left="314"/>
              <w:rPr>
                <w:rFonts w:ascii="宋体" w:hAnsi="宋体" w:eastAsia="宋体" w:cs="宋体"/>
                <w:sz w:val="21"/>
                <w:szCs w:val="21"/>
              </w:rPr>
            </w:pPr>
            <w:r>
              <w:rPr>
                <w:rFonts w:ascii="宋体" w:hAnsi="宋体" w:eastAsia="宋体" w:cs="宋体"/>
                <w:spacing w:val="3"/>
                <w:sz w:val="21"/>
                <w:szCs w:val="21"/>
              </w:rPr>
              <w:t>风险发生的原因</w:t>
            </w:r>
          </w:p>
        </w:tc>
        <w:tc>
          <w:tcPr>
            <w:tcW w:w="2507" w:type="dxa"/>
            <w:vAlign w:val="top"/>
          </w:tcPr>
          <w:p w14:paraId="652BD383">
            <w:pPr>
              <w:spacing w:before="94" w:line="220" w:lineRule="auto"/>
              <w:ind w:left="306"/>
              <w:rPr>
                <w:rFonts w:ascii="宋体" w:hAnsi="宋体" w:eastAsia="宋体" w:cs="宋体"/>
                <w:sz w:val="21"/>
                <w:szCs w:val="21"/>
              </w:rPr>
            </w:pPr>
            <w:r>
              <w:rPr>
                <w:rFonts w:ascii="宋体" w:hAnsi="宋体" w:eastAsia="宋体" w:cs="宋体"/>
                <w:spacing w:val="1"/>
                <w:sz w:val="21"/>
                <w:szCs w:val="21"/>
              </w:rPr>
              <w:t>风险可能导致的后果</w:t>
            </w:r>
          </w:p>
        </w:tc>
        <w:tc>
          <w:tcPr>
            <w:tcW w:w="1213" w:type="dxa"/>
            <w:vAlign w:val="top"/>
          </w:tcPr>
          <w:p w14:paraId="57D5BBF7">
            <w:pPr>
              <w:spacing w:before="94" w:line="221" w:lineRule="auto"/>
              <w:ind w:left="378"/>
              <w:rPr>
                <w:rFonts w:ascii="宋体" w:hAnsi="宋体" w:eastAsia="宋体" w:cs="宋体"/>
                <w:sz w:val="21"/>
                <w:szCs w:val="21"/>
              </w:rPr>
            </w:pPr>
            <w:r>
              <w:rPr>
                <w:rFonts w:ascii="宋体" w:hAnsi="宋体" w:eastAsia="宋体" w:cs="宋体"/>
                <w:spacing w:val="5"/>
                <w:sz w:val="21"/>
                <w:szCs w:val="21"/>
              </w:rPr>
              <w:t>备注</w:t>
            </w:r>
          </w:p>
        </w:tc>
      </w:tr>
      <w:tr w14:paraId="1A34C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24" w:type="dxa"/>
            <w:vAlign w:val="top"/>
          </w:tcPr>
          <w:p w14:paraId="57963D41">
            <w:pPr>
              <w:pStyle w:val="6"/>
            </w:pPr>
          </w:p>
        </w:tc>
        <w:tc>
          <w:tcPr>
            <w:tcW w:w="1059" w:type="dxa"/>
            <w:vAlign w:val="top"/>
          </w:tcPr>
          <w:p w14:paraId="3CE53CDF">
            <w:pPr>
              <w:pStyle w:val="6"/>
            </w:pPr>
          </w:p>
        </w:tc>
        <w:tc>
          <w:tcPr>
            <w:tcW w:w="1678" w:type="dxa"/>
            <w:vAlign w:val="top"/>
          </w:tcPr>
          <w:p w14:paraId="1CA0F3B2">
            <w:pPr>
              <w:pStyle w:val="6"/>
            </w:pPr>
          </w:p>
        </w:tc>
        <w:tc>
          <w:tcPr>
            <w:tcW w:w="2088" w:type="dxa"/>
            <w:vAlign w:val="top"/>
          </w:tcPr>
          <w:p w14:paraId="0D86BD82">
            <w:pPr>
              <w:pStyle w:val="6"/>
            </w:pPr>
          </w:p>
        </w:tc>
        <w:tc>
          <w:tcPr>
            <w:tcW w:w="2507" w:type="dxa"/>
            <w:vAlign w:val="top"/>
          </w:tcPr>
          <w:p w14:paraId="17A20251">
            <w:pPr>
              <w:pStyle w:val="6"/>
            </w:pPr>
          </w:p>
        </w:tc>
        <w:tc>
          <w:tcPr>
            <w:tcW w:w="1213" w:type="dxa"/>
            <w:vAlign w:val="top"/>
          </w:tcPr>
          <w:p w14:paraId="1FD80208">
            <w:pPr>
              <w:pStyle w:val="6"/>
            </w:pPr>
          </w:p>
        </w:tc>
      </w:tr>
      <w:tr w14:paraId="216B4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824" w:type="dxa"/>
            <w:vAlign w:val="top"/>
          </w:tcPr>
          <w:p w14:paraId="02813C6A">
            <w:pPr>
              <w:pStyle w:val="6"/>
            </w:pPr>
          </w:p>
        </w:tc>
        <w:tc>
          <w:tcPr>
            <w:tcW w:w="1059" w:type="dxa"/>
            <w:vAlign w:val="top"/>
          </w:tcPr>
          <w:p w14:paraId="1C5A987B">
            <w:pPr>
              <w:pStyle w:val="6"/>
            </w:pPr>
          </w:p>
        </w:tc>
        <w:tc>
          <w:tcPr>
            <w:tcW w:w="1678" w:type="dxa"/>
            <w:vAlign w:val="top"/>
          </w:tcPr>
          <w:p w14:paraId="04D57572">
            <w:pPr>
              <w:pStyle w:val="6"/>
            </w:pPr>
          </w:p>
        </w:tc>
        <w:tc>
          <w:tcPr>
            <w:tcW w:w="2088" w:type="dxa"/>
            <w:vAlign w:val="top"/>
          </w:tcPr>
          <w:p w14:paraId="0E601F39">
            <w:pPr>
              <w:pStyle w:val="6"/>
            </w:pPr>
          </w:p>
        </w:tc>
        <w:tc>
          <w:tcPr>
            <w:tcW w:w="2507" w:type="dxa"/>
            <w:vAlign w:val="top"/>
          </w:tcPr>
          <w:p w14:paraId="09BDD5A5">
            <w:pPr>
              <w:pStyle w:val="6"/>
            </w:pPr>
          </w:p>
        </w:tc>
        <w:tc>
          <w:tcPr>
            <w:tcW w:w="1213" w:type="dxa"/>
            <w:vAlign w:val="top"/>
          </w:tcPr>
          <w:p w14:paraId="3520BEEB">
            <w:pPr>
              <w:pStyle w:val="6"/>
            </w:pPr>
          </w:p>
        </w:tc>
      </w:tr>
      <w:tr w14:paraId="10647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9369" w:type="dxa"/>
            <w:gridSpan w:val="6"/>
            <w:vAlign w:val="top"/>
          </w:tcPr>
          <w:p w14:paraId="344A2CDF">
            <w:pPr>
              <w:spacing w:before="106" w:line="219" w:lineRule="auto"/>
              <w:ind w:left="85"/>
              <w:rPr>
                <w:rFonts w:ascii="宋体" w:hAnsi="宋体" w:eastAsia="宋体" w:cs="宋体"/>
                <w:sz w:val="21"/>
                <w:szCs w:val="21"/>
              </w:rPr>
            </w:pPr>
            <w:r>
              <w:rPr>
                <w:rFonts w:ascii="宋体" w:hAnsi="宋体" w:eastAsia="宋体" w:cs="宋体"/>
                <w:sz w:val="21"/>
                <w:szCs w:val="21"/>
              </w:rPr>
              <w:t>注：风险源编号由装备代号+研制阶段代码+数字</w:t>
            </w:r>
            <w:r>
              <w:rPr>
                <w:rFonts w:ascii="宋体" w:hAnsi="宋体" w:eastAsia="宋体" w:cs="宋体"/>
                <w:spacing w:val="-1"/>
                <w:sz w:val="21"/>
                <w:szCs w:val="21"/>
              </w:rPr>
              <w:t>编码三部分内容组成</w:t>
            </w:r>
          </w:p>
        </w:tc>
      </w:tr>
    </w:tbl>
    <w:p w14:paraId="3E1BE93D">
      <w:pPr>
        <w:pStyle w:val="2"/>
        <w:spacing w:before="163" w:line="229" w:lineRule="auto"/>
        <w:ind w:left="469"/>
        <w:rPr>
          <w:sz w:val="20"/>
          <w:szCs w:val="20"/>
        </w:rPr>
      </w:pPr>
      <w:r>
        <w:rPr>
          <w:spacing w:val="-2"/>
          <w:sz w:val="20"/>
          <w:szCs w:val="20"/>
        </w:rPr>
        <w:t>编写</w:t>
      </w:r>
      <w:r>
        <w:rPr>
          <w:spacing w:val="5"/>
          <w:sz w:val="20"/>
          <w:szCs w:val="20"/>
        </w:rPr>
        <w:t xml:space="preserve">            </w:t>
      </w:r>
      <w:r>
        <w:rPr>
          <w:spacing w:val="-2"/>
          <w:position w:val="1"/>
          <w:sz w:val="20"/>
          <w:szCs w:val="20"/>
        </w:rPr>
        <w:t>日期</w:t>
      </w:r>
      <w:r>
        <w:rPr>
          <w:spacing w:val="5"/>
          <w:position w:val="1"/>
          <w:sz w:val="20"/>
          <w:szCs w:val="20"/>
        </w:rPr>
        <w:t xml:space="preserve">            </w:t>
      </w:r>
      <w:r>
        <w:rPr>
          <w:spacing w:val="-2"/>
          <w:position w:val="1"/>
          <w:sz w:val="20"/>
          <w:szCs w:val="20"/>
        </w:rPr>
        <w:t>审</w:t>
      </w:r>
      <w:r>
        <w:rPr>
          <w:spacing w:val="-29"/>
          <w:position w:val="1"/>
          <w:sz w:val="20"/>
          <w:szCs w:val="20"/>
        </w:rPr>
        <w:t xml:space="preserve"> </w:t>
      </w:r>
      <w:r>
        <w:rPr>
          <w:spacing w:val="-2"/>
          <w:position w:val="1"/>
          <w:sz w:val="20"/>
          <w:szCs w:val="20"/>
        </w:rPr>
        <w:t xml:space="preserve">核             </w:t>
      </w:r>
      <w:r>
        <w:rPr>
          <w:spacing w:val="-2"/>
          <w:sz w:val="20"/>
          <w:szCs w:val="20"/>
        </w:rPr>
        <w:t>日期</w:t>
      </w:r>
      <w:r>
        <w:rPr>
          <w:spacing w:val="3"/>
          <w:sz w:val="20"/>
          <w:szCs w:val="20"/>
        </w:rPr>
        <w:t xml:space="preserve">          </w:t>
      </w:r>
      <w:r>
        <w:rPr>
          <w:spacing w:val="-2"/>
          <w:sz w:val="20"/>
          <w:szCs w:val="20"/>
        </w:rPr>
        <w:t>第</w:t>
      </w:r>
      <w:r>
        <w:rPr>
          <w:spacing w:val="11"/>
          <w:sz w:val="20"/>
          <w:szCs w:val="20"/>
        </w:rPr>
        <w:t xml:space="preserve">    </w:t>
      </w:r>
      <w:r>
        <w:rPr>
          <w:spacing w:val="-2"/>
          <w:sz w:val="20"/>
          <w:szCs w:val="20"/>
        </w:rPr>
        <w:t>页  共</w:t>
      </w:r>
      <w:r>
        <w:rPr>
          <w:spacing w:val="9"/>
          <w:sz w:val="20"/>
          <w:szCs w:val="20"/>
        </w:rPr>
        <w:t xml:space="preserve">    </w:t>
      </w:r>
      <w:r>
        <w:rPr>
          <w:spacing w:val="-2"/>
          <w:sz w:val="20"/>
          <w:szCs w:val="20"/>
        </w:rPr>
        <w:t>页</w:t>
      </w:r>
    </w:p>
    <w:p w14:paraId="7F4D688B">
      <w:pPr>
        <w:spacing w:before="99" w:line="221"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35"/>
          <w:sz w:val="27"/>
          <w:szCs w:val="27"/>
        </w:rPr>
        <w:t xml:space="preserve">  </w:t>
      </w:r>
      <w:r>
        <w:rPr>
          <w:rFonts w:ascii="黑体" w:hAnsi="黑体" w:eastAsia="黑体" w:cs="黑体"/>
          <w:b/>
          <w:bCs/>
          <w:spacing w:val="1"/>
          <w:sz w:val="27"/>
          <w:szCs w:val="27"/>
        </w:rPr>
        <w:t>风险发生可能性及后果严重性等级划分准则</w:t>
      </w:r>
    </w:p>
    <w:p w14:paraId="0B069B6C">
      <w:pPr>
        <w:pStyle w:val="2"/>
        <w:spacing w:before="113" w:line="219" w:lineRule="auto"/>
        <w:ind w:left="570"/>
      </w:pPr>
      <w:r>
        <w:rPr>
          <w:spacing w:val="4"/>
        </w:rPr>
        <w:t>描述风险发生可能性等级及后果严重性等级划分的准则。</w:t>
      </w:r>
    </w:p>
    <w:p w14:paraId="7E11194A">
      <w:pPr>
        <w:pStyle w:val="2"/>
        <w:spacing w:before="89" w:line="268" w:lineRule="auto"/>
        <w:ind w:right="103" w:firstLine="570"/>
      </w:pPr>
      <w:r>
        <w:rPr>
          <w:spacing w:val="5"/>
        </w:rPr>
        <w:t>风险发生的可能性及后果严重性分析是对识别出来的风险特别是重大风险</w:t>
      </w:r>
      <w:r>
        <w:rPr>
          <w:spacing w:val="10"/>
        </w:rPr>
        <w:t xml:space="preserve"> </w:t>
      </w:r>
      <w:r>
        <w:rPr>
          <w:spacing w:val="-3"/>
        </w:rPr>
        <w:t>进一步分析，确定每一个风险事件发生的可能性，判定后果严重性和关键过程对</w:t>
      </w:r>
      <w:r>
        <w:rPr>
          <w:spacing w:val="15"/>
        </w:rPr>
        <w:t xml:space="preserve"> </w:t>
      </w:r>
      <w:r>
        <w:t>预期目标偏离的程度。</w:t>
      </w:r>
    </w:p>
    <w:p w14:paraId="7AB82D8A">
      <w:pPr>
        <w:pStyle w:val="2"/>
        <w:spacing w:before="25" w:line="220" w:lineRule="auto"/>
        <w:ind w:left="570"/>
      </w:pPr>
      <w:r>
        <w:rPr>
          <w:spacing w:val="3"/>
        </w:rPr>
        <w:t>风险发生的可能性及后果严重性分析方法有：</w:t>
      </w:r>
    </w:p>
    <w:p w14:paraId="447BCD7E">
      <w:pPr>
        <w:pStyle w:val="2"/>
        <w:spacing w:before="84" w:line="276" w:lineRule="auto"/>
        <w:ind w:right="119" w:firstLine="570"/>
        <w:jc w:val="both"/>
      </w:pPr>
      <w:r>
        <w:rPr>
          <w:spacing w:val="5"/>
        </w:rPr>
        <w:t>风险评价指数法。由熟悉装备每个风险区及产品分解结构的</w:t>
      </w:r>
      <w:r>
        <w:rPr>
          <w:spacing w:val="4"/>
        </w:rPr>
        <w:t>风险问题的专</w:t>
      </w:r>
      <w:r>
        <w:t xml:space="preserve"> </w:t>
      </w:r>
      <w:r>
        <w:rPr>
          <w:spacing w:val="-3"/>
        </w:rPr>
        <w:t>家，在进行风险识别的基础上，分析风险发生的可能及其后果严重性，确定风险</w:t>
      </w:r>
      <w:r>
        <w:rPr>
          <w:spacing w:val="15"/>
        </w:rPr>
        <w:t xml:space="preserve"> </w:t>
      </w:r>
      <w:r>
        <w:rPr>
          <w:spacing w:val="1"/>
        </w:rPr>
        <w:t>等级及风险处理的优先次序。</w:t>
      </w:r>
    </w:p>
    <w:p w14:paraId="33F4A813">
      <w:pPr>
        <w:pStyle w:val="2"/>
        <w:spacing w:before="26" w:line="291" w:lineRule="auto"/>
        <w:ind w:right="104" w:firstLine="570"/>
        <w:jc w:val="both"/>
        <w:rPr>
          <w:sz w:val="25"/>
          <w:szCs w:val="25"/>
        </w:rPr>
      </w:pPr>
      <w:r>
        <w:rPr>
          <w:spacing w:val="22"/>
          <w:sz w:val="25"/>
          <w:szCs w:val="25"/>
        </w:rPr>
        <w:t>故障模式影响及危害性分析(</w:t>
      </w:r>
      <w:r>
        <w:rPr>
          <w:spacing w:val="-48"/>
          <w:sz w:val="25"/>
          <w:szCs w:val="25"/>
        </w:rPr>
        <w:t xml:space="preserve"> </w:t>
      </w:r>
      <w:r>
        <w:rPr>
          <w:rFonts w:ascii="Times New Roman" w:hAnsi="Times New Roman" w:eastAsia="Times New Roman" w:cs="Times New Roman"/>
          <w:sz w:val="25"/>
          <w:szCs w:val="25"/>
        </w:rPr>
        <w:t>FMECA</w:t>
      </w:r>
      <w:r>
        <w:rPr>
          <w:rFonts w:ascii="Times New Roman" w:hAnsi="Times New Roman" w:eastAsia="Times New Roman" w:cs="Times New Roman"/>
          <w:spacing w:val="22"/>
          <w:sz w:val="25"/>
          <w:szCs w:val="25"/>
        </w:rPr>
        <w:t>)</w:t>
      </w:r>
      <w:r>
        <w:rPr>
          <w:rFonts w:ascii="Times New Roman" w:hAnsi="Times New Roman" w:eastAsia="Times New Roman" w:cs="Times New Roman"/>
          <w:spacing w:val="-28"/>
          <w:sz w:val="25"/>
          <w:szCs w:val="25"/>
        </w:rPr>
        <w:t xml:space="preserve"> </w:t>
      </w:r>
      <w:r>
        <w:rPr>
          <w:spacing w:val="22"/>
          <w:sz w:val="25"/>
          <w:szCs w:val="25"/>
        </w:rPr>
        <w:t>。</w:t>
      </w:r>
      <w:r>
        <w:rPr>
          <w:spacing w:val="115"/>
          <w:sz w:val="25"/>
          <w:szCs w:val="25"/>
        </w:rPr>
        <w:t xml:space="preserve"> </w:t>
      </w:r>
      <w:r>
        <w:rPr>
          <w:spacing w:val="22"/>
          <w:sz w:val="25"/>
          <w:szCs w:val="25"/>
        </w:rPr>
        <w:t>确定所有可能的故障，根据对每</w:t>
      </w:r>
      <w:r>
        <w:rPr>
          <w:sz w:val="25"/>
          <w:szCs w:val="25"/>
        </w:rPr>
        <w:t xml:space="preserve"> </w:t>
      </w:r>
      <w:r>
        <w:rPr>
          <w:spacing w:val="17"/>
          <w:sz w:val="25"/>
          <w:szCs w:val="25"/>
        </w:rPr>
        <w:t>一个故障模式的分析，确定故障模式的影响，找出单点故障，并按故障模式的严</w:t>
      </w:r>
      <w:r>
        <w:rPr>
          <w:spacing w:val="14"/>
          <w:sz w:val="25"/>
          <w:szCs w:val="25"/>
        </w:rPr>
        <w:t xml:space="preserve"> </w:t>
      </w:r>
      <w:r>
        <w:rPr>
          <w:spacing w:val="21"/>
          <w:sz w:val="25"/>
          <w:szCs w:val="25"/>
        </w:rPr>
        <w:t>酷度及其发生概率确定其危害性。</w:t>
      </w:r>
      <w:r>
        <w:rPr>
          <w:spacing w:val="-7"/>
          <w:sz w:val="25"/>
          <w:szCs w:val="25"/>
        </w:rPr>
        <w:t xml:space="preserve"> </w:t>
      </w:r>
      <w:r>
        <w:rPr>
          <w:rFonts w:ascii="Times New Roman" w:hAnsi="Times New Roman" w:eastAsia="Times New Roman" w:cs="Times New Roman"/>
          <w:sz w:val="25"/>
          <w:szCs w:val="25"/>
        </w:rPr>
        <w:t>FMECA</w:t>
      </w:r>
      <w:r>
        <w:rPr>
          <w:rFonts w:ascii="Times New Roman" w:hAnsi="Times New Roman" w:eastAsia="Times New Roman" w:cs="Times New Roman"/>
          <w:spacing w:val="21"/>
          <w:sz w:val="25"/>
          <w:szCs w:val="25"/>
        </w:rPr>
        <w:t xml:space="preserve">   </w:t>
      </w:r>
      <w:r>
        <w:rPr>
          <w:spacing w:val="21"/>
          <w:sz w:val="25"/>
          <w:szCs w:val="25"/>
        </w:rPr>
        <w:t>分两个步骤完成，即故障模式及影</w:t>
      </w:r>
      <w:r>
        <w:rPr>
          <w:sz w:val="25"/>
          <w:szCs w:val="25"/>
        </w:rPr>
        <w:t xml:space="preserve"> </w:t>
      </w:r>
      <w:r>
        <w:rPr>
          <w:spacing w:val="12"/>
          <w:sz w:val="25"/>
          <w:szCs w:val="25"/>
        </w:rPr>
        <w:t>响分析(</w:t>
      </w:r>
      <w:r>
        <w:rPr>
          <w:rFonts w:ascii="Times New Roman" w:hAnsi="Times New Roman" w:eastAsia="Times New Roman" w:cs="Times New Roman"/>
          <w:sz w:val="25"/>
          <w:szCs w:val="25"/>
        </w:rPr>
        <w:t>FMEA</w:t>
      </w:r>
      <w:r>
        <w:rPr>
          <w:rFonts w:ascii="Times New Roman" w:hAnsi="Times New Roman" w:eastAsia="Times New Roman" w:cs="Times New Roman"/>
          <w:spacing w:val="12"/>
          <w:sz w:val="25"/>
          <w:szCs w:val="25"/>
        </w:rPr>
        <w:t>)</w:t>
      </w:r>
      <w:r>
        <w:rPr>
          <w:rFonts w:ascii="Times New Roman" w:hAnsi="Times New Roman" w:eastAsia="Times New Roman" w:cs="Times New Roman"/>
          <w:spacing w:val="3"/>
          <w:sz w:val="25"/>
          <w:szCs w:val="25"/>
        </w:rPr>
        <w:t xml:space="preserve">   </w:t>
      </w:r>
      <w:r>
        <w:rPr>
          <w:spacing w:val="12"/>
          <w:sz w:val="25"/>
          <w:szCs w:val="25"/>
        </w:rPr>
        <w:t>和危害性分析(</w:t>
      </w:r>
      <w:r>
        <w:rPr>
          <w:rFonts w:ascii="Times New Roman" w:hAnsi="Times New Roman" w:eastAsia="Times New Roman" w:cs="Times New Roman"/>
          <w:sz w:val="25"/>
          <w:szCs w:val="25"/>
        </w:rPr>
        <w:t>CA</w:t>
      </w:r>
      <w:r>
        <w:rPr>
          <w:rFonts w:ascii="Times New Roman" w:hAnsi="Times New Roman" w:eastAsia="Times New Roman" w:cs="Times New Roman"/>
          <w:spacing w:val="12"/>
          <w:sz w:val="25"/>
          <w:szCs w:val="25"/>
        </w:rPr>
        <w:t>)</w:t>
      </w:r>
      <w:r>
        <w:rPr>
          <w:rFonts w:ascii="Times New Roman" w:hAnsi="Times New Roman" w:eastAsia="Times New Roman" w:cs="Times New Roman"/>
          <w:spacing w:val="-29"/>
          <w:sz w:val="25"/>
          <w:szCs w:val="25"/>
        </w:rPr>
        <w:t xml:space="preserve"> </w:t>
      </w:r>
      <w:r>
        <w:rPr>
          <w:spacing w:val="12"/>
          <w:sz w:val="25"/>
          <w:szCs w:val="25"/>
        </w:rPr>
        <w:t>。 具体方法按</w:t>
      </w:r>
      <w:r>
        <w:rPr>
          <w:rFonts w:ascii="Times New Roman" w:hAnsi="Times New Roman" w:eastAsia="Times New Roman" w:cs="Times New Roman"/>
          <w:sz w:val="25"/>
          <w:szCs w:val="25"/>
        </w:rPr>
        <w:t>GJB</w:t>
      </w:r>
      <w:r>
        <w:rPr>
          <w:rFonts w:ascii="Times New Roman" w:hAnsi="Times New Roman" w:eastAsia="Times New Roman" w:cs="Times New Roman"/>
          <w:spacing w:val="12"/>
          <w:sz w:val="25"/>
          <w:szCs w:val="25"/>
        </w:rPr>
        <w:t xml:space="preserve">/Z1391—2006      </w:t>
      </w:r>
      <w:r>
        <w:rPr>
          <w:spacing w:val="11"/>
          <w:sz w:val="25"/>
          <w:szCs w:val="25"/>
        </w:rPr>
        <w:t>的规定。</w:t>
      </w:r>
    </w:p>
    <w:p w14:paraId="7F3F141D">
      <w:pPr>
        <w:pStyle w:val="2"/>
        <w:spacing w:before="3" w:line="277" w:lineRule="auto"/>
        <w:ind w:firstLine="570"/>
        <w:jc w:val="both"/>
      </w:pPr>
      <w:r>
        <w:rPr>
          <w:spacing w:val="2"/>
        </w:rPr>
        <w:t>故障树分析(</w:t>
      </w:r>
      <w:r>
        <w:rPr>
          <w:spacing w:val="-72"/>
        </w:rPr>
        <w:t xml:space="preserve"> </w:t>
      </w:r>
      <w:r>
        <w:rPr>
          <w:rFonts w:ascii="Times New Roman" w:hAnsi="Times New Roman" w:eastAsia="Times New Roman" w:cs="Times New Roman"/>
        </w:rPr>
        <w:t>FTA</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w:t>
      </w:r>
      <w:r>
        <w:rPr>
          <w:spacing w:val="-30"/>
        </w:rPr>
        <w:t xml:space="preserve"> </w:t>
      </w:r>
      <w:r>
        <w:rPr>
          <w:spacing w:val="2"/>
        </w:rPr>
        <w:t>是一种逻辑因果关系图，</w:t>
      </w:r>
      <w:r>
        <w:rPr>
          <w:spacing w:val="1"/>
        </w:rPr>
        <w:t>描述系统中各种事件之间的</w:t>
      </w:r>
      <w:r>
        <w:t xml:space="preserve"> </w:t>
      </w:r>
      <w:r>
        <w:rPr>
          <w:spacing w:val="-13"/>
        </w:rPr>
        <w:t>因果关系，将拟分析的重大风险作为“顶事件”,“顶事件”的发生是由于若干“中</w:t>
      </w:r>
      <w:r>
        <w:rPr>
          <w:spacing w:val="3"/>
        </w:rPr>
        <w:t xml:space="preserve"> </w:t>
      </w:r>
      <w:r>
        <w:rPr>
          <w:spacing w:val="-14"/>
        </w:rPr>
        <w:t>间事件”的逻辑组合所导致，“中间事件”又是由各个“底事件”逻辑组合所导致。</w:t>
      </w:r>
      <w:r>
        <w:rPr>
          <w:spacing w:val="12"/>
        </w:rPr>
        <w:t xml:space="preserve"> </w:t>
      </w:r>
      <w:r>
        <w:rPr>
          <w:spacing w:val="6"/>
        </w:rPr>
        <w:t>这样自上而下地按层次进行因果逻辑分析，逐</w:t>
      </w:r>
      <w:r>
        <w:rPr>
          <w:spacing w:val="5"/>
        </w:rPr>
        <w:t>层找出风险发生的必要而充分的</w:t>
      </w:r>
      <w:r>
        <w:t xml:space="preserve"> </w:t>
      </w:r>
      <w:r>
        <w:rPr>
          <w:spacing w:val="3"/>
        </w:rPr>
        <w:t>所有原因和原因组合。具体方法按</w:t>
      </w:r>
      <w:r>
        <w:rPr>
          <w:rFonts w:ascii="Times New Roman" w:hAnsi="Times New Roman" w:eastAsia="Times New Roman" w:cs="Times New Roman"/>
        </w:rPr>
        <w:t>GJB</w:t>
      </w:r>
      <w:r>
        <w:rPr>
          <w:rFonts w:ascii="Times New Roman" w:hAnsi="Times New Roman" w:eastAsia="Times New Roman" w:cs="Times New Roman"/>
          <w:spacing w:val="3"/>
        </w:rPr>
        <w:t xml:space="preserve">/Z768A    </w:t>
      </w:r>
      <w:r>
        <w:rPr>
          <w:spacing w:val="3"/>
        </w:rPr>
        <w:t>的规定。</w:t>
      </w:r>
    </w:p>
    <w:p w14:paraId="5F506D1D">
      <w:pPr>
        <w:pStyle w:val="2"/>
        <w:spacing w:before="21" w:line="272" w:lineRule="auto"/>
        <w:ind w:right="97" w:firstLine="570"/>
        <w:jc w:val="both"/>
      </w:pPr>
      <w:r>
        <w:rPr>
          <w:spacing w:val="5"/>
        </w:rPr>
        <w:t>可靠性预计。根据以往积累的信息，运用自下而上综合的方法对未来的产</w:t>
      </w:r>
      <w:r>
        <w:rPr>
          <w:spacing w:val="16"/>
        </w:rPr>
        <w:t xml:space="preserve"> </w:t>
      </w:r>
      <w:r>
        <w:rPr>
          <w:spacing w:val="4"/>
        </w:rPr>
        <w:t>品的可靠性进行预先计算的过程。可靠性预计作为风险分析的一种方法，找出</w:t>
      </w:r>
      <w:r>
        <w:rPr>
          <w:spacing w:val="15"/>
        </w:rPr>
        <w:t xml:space="preserve"> </w:t>
      </w:r>
      <w:r>
        <w:rPr>
          <w:spacing w:val="-3"/>
        </w:rPr>
        <w:t>需要重点关注的单元和环节并确定其影响程度，进行定量分析，作为进行风险处</w:t>
      </w:r>
      <w:r>
        <w:rPr>
          <w:spacing w:val="15"/>
        </w:rPr>
        <w:t xml:space="preserve"> </w:t>
      </w:r>
      <w:r>
        <w:rPr>
          <w:spacing w:val="7"/>
        </w:rPr>
        <w:t>理的依据。具体方法按</w:t>
      </w:r>
      <w:r>
        <w:rPr>
          <w:rFonts w:ascii="Times New Roman" w:hAnsi="Times New Roman" w:eastAsia="Times New Roman" w:cs="Times New Roman"/>
        </w:rPr>
        <w:t>GJB</w:t>
      </w:r>
      <w:r>
        <w:rPr>
          <w:rFonts w:ascii="Times New Roman" w:hAnsi="Times New Roman" w:eastAsia="Times New Roman" w:cs="Times New Roman"/>
          <w:spacing w:val="7"/>
        </w:rPr>
        <w:t xml:space="preserve">  813</w:t>
      </w:r>
      <w:r>
        <w:rPr>
          <w:spacing w:val="7"/>
        </w:rPr>
        <w:t>的规定。</w:t>
      </w:r>
    </w:p>
    <w:p w14:paraId="015BDC32">
      <w:pPr>
        <w:pStyle w:val="2"/>
        <w:spacing w:before="18" w:line="278" w:lineRule="auto"/>
        <w:ind w:right="107" w:firstLine="570"/>
        <w:jc w:val="both"/>
      </w:pPr>
      <w:r>
        <w:rPr>
          <w:spacing w:val="5"/>
        </w:rPr>
        <w:t>建模与仿真。在计算机上或实体上建立系统的有效模型，虚拟地复制产品</w:t>
      </w:r>
      <w:r>
        <w:rPr>
          <w:spacing w:val="6"/>
        </w:rPr>
        <w:t xml:space="preserve"> </w:t>
      </w:r>
      <w:r>
        <w:rPr>
          <w:spacing w:val="-3"/>
        </w:rPr>
        <w:t>或过程，并在较容易获得和易于操作的真实环境中模仿这些产品或过程，采用建</w:t>
      </w:r>
      <w:r>
        <w:rPr>
          <w:spacing w:val="15"/>
        </w:rPr>
        <w:t xml:space="preserve"> </w:t>
      </w:r>
      <w:r>
        <w:t>模和仿真发现系统或过程存在的问题，可作为分析风险问</w:t>
      </w:r>
      <w:r>
        <w:rPr>
          <w:spacing w:val="-1"/>
        </w:rPr>
        <w:t>题的有力手段。</w:t>
      </w:r>
    </w:p>
    <w:p w14:paraId="32B0C921">
      <w:pPr>
        <w:spacing w:before="1" w:line="221" w:lineRule="auto"/>
        <w:rPr>
          <w:rFonts w:ascii="黑体" w:hAnsi="黑体" w:eastAsia="黑体" w:cs="黑体"/>
          <w:sz w:val="24"/>
          <w:szCs w:val="24"/>
        </w:rPr>
      </w:pPr>
      <w:r>
        <w:rPr>
          <w:rFonts w:ascii="黑体" w:hAnsi="黑体" w:eastAsia="黑体" w:cs="黑体"/>
          <w:spacing w:val="23"/>
          <w:sz w:val="24"/>
          <w:szCs w:val="24"/>
        </w:rPr>
        <w:t>4.4</w:t>
      </w:r>
      <w:r>
        <w:rPr>
          <w:rFonts w:ascii="黑体" w:hAnsi="黑体" w:eastAsia="黑体" w:cs="黑体"/>
          <w:spacing w:val="52"/>
          <w:sz w:val="24"/>
          <w:szCs w:val="24"/>
        </w:rPr>
        <w:t xml:space="preserve">  </w:t>
      </w:r>
      <w:r>
        <w:rPr>
          <w:rFonts w:ascii="黑体" w:hAnsi="黑体" w:eastAsia="黑体" w:cs="黑体"/>
          <w:spacing w:val="23"/>
          <w:sz w:val="24"/>
          <w:szCs w:val="24"/>
        </w:rPr>
        <w:t>风险排序准则</w:t>
      </w:r>
    </w:p>
    <w:p w14:paraId="074A2FA2">
      <w:pPr>
        <w:pStyle w:val="2"/>
        <w:spacing w:before="105" w:line="220" w:lineRule="auto"/>
        <w:ind w:left="570"/>
      </w:pPr>
      <w:r>
        <w:rPr>
          <w:spacing w:val="-1"/>
        </w:rPr>
        <w:t>描述风险排序准则。</w:t>
      </w:r>
    </w:p>
    <w:p w14:paraId="6DB407F6">
      <w:pPr>
        <w:spacing w:line="220" w:lineRule="auto"/>
        <w:sectPr>
          <w:footerReference r:id="rId342" w:type="default"/>
          <w:pgSz w:w="11910" w:h="17130"/>
          <w:pgMar w:top="1456" w:right="1374" w:bottom="1589" w:left="1049" w:header="0" w:footer="1409" w:gutter="0"/>
          <w:cols w:space="720" w:num="1"/>
        </w:sectPr>
      </w:pPr>
    </w:p>
    <w:p w14:paraId="58247C87">
      <w:pPr>
        <w:pStyle w:val="2"/>
        <w:spacing w:before="49" w:line="307" w:lineRule="auto"/>
        <w:ind w:right="119" w:firstLine="550"/>
        <w:jc w:val="both"/>
        <w:rPr>
          <w:sz w:val="25"/>
          <w:szCs w:val="25"/>
        </w:rPr>
      </w:pPr>
      <w:r>
        <w:rPr>
          <w:spacing w:val="25"/>
          <w:sz w:val="25"/>
          <w:szCs w:val="25"/>
        </w:rPr>
        <w:t>风险排序是对风险发生可能性及后果严重性的综合量化结果进行排序，找</w:t>
      </w:r>
      <w:r>
        <w:rPr>
          <w:spacing w:val="14"/>
          <w:sz w:val="25"/>
          <w:szCs w:val="25"/>
        </w:rPr>
        <w:t xml:space="preserve"> </w:t>
      </w:r>
      <w:r>
        <w:rPr>
          <w:spacing w:val="25"/>
          <w:sz w:val="25"/>
          <w:szCs w:val="25"/>
        </w:rPr>
        <w:t>出关键和重要的风险。除考虑综合影响外，对于发生的可能性大或后果影响严</w:t>
      </w:r>
      <w:r>
        <w:rPr>
          <w:spacing w:val="9"/>
          <w:sz w:val="25"/>
          <w:szCs w:val="25"/>
        </w:rPr>
        <w:t xml:space="preserve"> </w:t>
      </w:r>
      <w:r>
        <w:rPr>
          <w:spacing w:val="24"/>
          <w:sz w:val="25"/>
          <w:szCs w:val="25"/>
        </w:rPr>
        <w:t>重的风险应给予特别的关注。风险排序清单是风险处置的依据。</w:t>
      </w:r>
    </w:p>
    <w:p w14:paraId="6930BE53">
      <w:pPr>
        <w:pStyle w:val="2"/>
        <w:spacing w:before="1" w:line="280" w:lineRule="auto"/>
        <w:ind w:right="123" w:firstLine="550"/>
      </w:pPr>
      <w:r>
        <w:rPr>
          <w:spacing w:val="-3"/>
        </w:rPr>
        <w:t>风险排序方法有专家多次投票法、专家会签法、两两比较法、风险评价指数</w:t>
      </w:r>
      <w:r>
        <w:t xml:space="preserve"> </w:t>
      </w:r>
      <w:r>
        <w:rPr>
          <w:spacing w:val="4"/>
        </w:rPr>
        <w:t>排序法等。可按照</w:t>
      </w:r>
      <w:r>
        <w:rPr>
          <w:rFonts w:ascii="Times New Roman" w:hAnsi="Times New Roman" w:eastAsia="Times New Roman" w:cs="Times New Roman"/>
        </w:rPr>
        <w:t>GJB</w:t>
      </w:r>
      <w:r>
        <w:rPr>
          <w:rFonts w:ascii="Times New Roman" w:hAnsi="Times New Roman" w:eastAsia="Times New Roman" w:cs="Times New Roman"/>
          <w:spacing w:val="4"/>
        </w:rPr>
        <w:t xml:space="preserve">5852—2006   </w:t>
      </w:r>
      <w:r>
        <w:rPr>
          <w:spacing w:val="4"/>
        </w:rPr>
        <w:t>描述的方法进行风险排序。</w:t>
      </w:r>
    </w:p>
    <w:p w14:paraId="74427868">
      <w:pPr>
        <w:pStyle w:val="2"/>
        <w:spacing w:before="5" w:line="278" w:lineRule="auto"/>
        <w:ind w:firstLine="550"/>
        <w:jc w:val="both"/>
      </w:pPr>
      <w:r>
        <w:rPr>
          <w:spacing w:val="5"/>
        </w:rPr>
        <w:t>以风险评价指数排序法为例加以说明。从风险发生可能性的大小及可能造</w:t>
      </w:r>
      <w:r>
        <w:rPr>
          <w:spacing w:val="4"/>
        </w:rPr>
        <w:t xml:space="preserve">  </w:t>
      </w:r>
      <w:r>
        <w:rPr>
          <w:spacing w:val="10"/>
        </w:rPr>
        <w:t>成后果的严重性进行综合度量。以风险评价指数量化排序</w:t>
      </w:r>
      <w:r>
        <w:rPr>
          <w:spacing w:val="9"/>
        </w:rPr>
        <w:t>结果的示例如图6.2</w:t>
      </w:r>
      <w:r>
        <w:t xml:space="preserve"> </w:t>
      </w:r>
      <w:r>
        <w:rPr>
          <w:spacing w:val="7"/>
        </w:rPr>
        <w:t>所示，图中风险指数(</w:t>
      </w:r>
      <w:r>
        <w:rPr>
          <w:rFonts w:ascii="Times New Roman" w:hAnsi="Times New Roman" w:eastAsia="Times New Roman" w:cs="Times New Roman"/>
          <w:spacing w:val="7"/>
        </w:rPr>
        <w:t xml:space="preserve">R) </w:t>
      </w:r>
      <w:r>
        <w:rPr>
          <w:spacing w:val="7"/>
        </w:rPr>
        <w:t>为严重性和可能性的乘积。纵坐标是风险发生的</w:t>
      </w:r>
      <w:r>
        <w:rPr>
          <w:spacing w:val="6"/>
        </w:rPr>
        <w:t>可能</w:t>
      </w:r>
      <w:r>
        <w:t xml:space="preserve">  </w:t>
      </w:r>
      <w:r>
        <w:rPr>
          <w:spacing w:val="1"/>
        </w:rPr>
        <w:t>性，横坐标是风险的后果严重性。以可能性和严重性的等级乘积表示风险指</w:t>
      </w:r>
      <w:r>
        <w:t xml:space="preserve">数， </w:t>
      </w:r>
      <w:r>
        <w:rPr>
          <w:spacing w:val="-13"/>
        </w:rPr>
        <w:t>指数越高，风险越大。</w:t>
      </w:r>
    </w:p>
    <w:p w14:paraId="58E20FF3">
      <w:pPr>
        <w:pStyle w:val="2"/>
        <w:spacing w:before="145" w:line="221" w:lineRule="auto"/>
        <w:ind w:left="1390"/>
        <w:rPr>
          <w:rFonts w:ascii="Times New Roman" w:hAnsi="Times New Roman" w:eastAsia="Times New Roman" w:cs="Times New Roman"/>
          <w:sz w:val="24"/>
          <w:szCs w:val="24"/>
        </w:rPr>
      </w:pPr>
      <w:r>
        <w:pict>
          <v:shape id="_x0000_s1038" o:spid="_x0000_s1038" o:spt="202" type="#_x0000_t202" style="position:absolute;left:0pt;margin-left:82.5pt;margin-top:31.1pt;height:96.4pt;width:8.35pt;z-index:251664384;mso-width-relative:page;mso-height-relative:page;" filled="f" stroked="f" coordsize="21600,21600">
            <v:path/>
            <v:fill on="f" focussize="0,0"/>
            <v:stroke on="f"/>
            <v:imagedata o:title=""/>
            <o:lock v:ext="edit" aspectratio="f"/>
            <v:textbox inset="0mm,0mm,0mm,0mm">
              <w:txbxContent>
                <w:p w14:paraId="7AB21A79">
                  <w:pPr>
                    <w:spacing w:before="20" w:line="388" w:lineRule="auto"/>
                    <w:ind w:left="20" w:right="20"/>
                    <w:jc w:val="both"/>
                    <w:rPr>
                      <w:rFonts w:ascii="楷体" w:hAnsi="楷体" w:eastAsia="楷体" w:cs="楷体"/>
                      <w:sz w:val="20"/>
                      <w:szCs w:val="20"/>
                    </w:rPr>
                  </w:pPr>
                  <w:r>
                    <w:rPr>
                      <w:rFonts w:ascii="Arial" w:hAnsi="Arial" w:eastAsia="Arial" w:cs="Arial"/>
                      <w:spacing w:val="-9"/>
                      <w:sz w:val="19"/>
                      <w:szCs w:val="19"/>
                    </w:rPr>
                    <w:t>5</w:t>
                  </w:r>
                  <w:r>
                    <w:rPr>
                      <w:rFonts w:ascii="Arial" w:hAnsi="Arial" w:eastAsia="Arial" w:cs="Arial"/>
                      <w:sz w:val="19"/>
                      <w:szCs w:val="19"/>
                    </w:rPr>
                    <w:t xml:space="preserve"> </w:t>
                  </w:r>
                  <w:r>
                    <w:rPr>
                      <w:rFonts w:ascii="Times New Roman" w:hAnsi="Times New Roman" w:eastAsia="Times New Roman" w:cs="Times New Roman"/>
                      <w:spacing w:val="-4"/>
                      <w:sz w:val="20"/>
                      <w:szCs w:val="20"/>
                    </w:rPr>
                    <w:t>4</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9"/>
                      <w:sz w:val="20"/>
                      <w:szCs w:val="20"/>
                    </w:rPr>
                    <w:t>3</w:t>
                  </w:r>
                  <w:r>
                    <w:rPr>
                      <w:rFonts w:ascii="Times New Roman" w:hAnsi="Times New Roman" w:eastAsia="Times New Roman" w:cs="Times New Roman"/>
                      <w:sz w:val="20"/>
                      <w:szCs w:val="20"/>
                    </w:rPr>
                    <w:t xml:space="preserve">  </w:t>
                  </w:r>
                  <w:r>
                    <w:rPr>
                      <w:rFonts w:ascii="Arial" w:hAnsi="Arial" w:eastAsia="Arial" w:cs="Arial"/>
                      <w:spacing w:val="-7"/>
                      <w:sz w:val="21"/>
                      <w:szCs w:val="21"/>
                    </w:rPr>
                    <w:t>2</w:t>
                  </w:r>
                  <w:r>
                    <w:rPr>
                      <w:rFonts w:ascii="Arial" w:hAnsi="Arial" w:eastAsia="Arial" w:cs="Arial"/>
                      <w:sz w:val="21"/>
                      <w:szCs w:val="21"/>
                    </w:rPr>
                    <w:t xml:space="preserve"> </w:t>
                  </w:r>
                  <w:r>
                    <w:rPr>
                      <w:rFonts w:ascii="楷体" w:hAnsi="楷体" w:eastAsia="楷体" w:cs="楷体"/>
                      <w:spacing w:val="-11"/>
                      <w:w w:val="68"/>
                      <w:sz w:val="20"/>
                      <w:szCs w:val="20"/>
                    </w:rPr>
                    <w:t>工</w:t>
                  </w:r>
                </w:p>
              </w:txbxContent>
            </v:textbox>
          </v:shape>
        </w:pict>
      </w:r>
      <w:r>
        <w:rPr>
          <w:spacing w:val="16"/>
        </w:rPr>
        <w:t xml:space="preserve">可能性               </w:t>
      </w:r>
      <w:r>
        <w:rPr>
          <w:spacing w:val="16"/>
          <w:sz w:val="24"/>
          <w:szCs w:val="24"/>
        </w:rPr>
        <w:t>风险指数</w:t>
      </w:r>
      <w:r>
        <w:rPr>
          <w:rFonts w:ascii="Times New Roman" w:hAnsi="Times New Roman" w:eastAsia="Times New Roman" w:cs="Times New Roman"/>
          <w:spacing w:val="16"/>
          <w:sz w:val="24"/>
          <w:szCs w:val="24"/>
        </w:rPr>
        <w:t>R</w:t>
      </w:r>
    </w:p>
    <w:p w14:paraId="71214D28">
      <w:pPr>
        <w:spacing w:line="99" w:lineRule="exact"/>
      </w:pPr>
    </w:p>
    <w:tbl>
      <w:tblPr>
        <w:tblStyle w:val="5"/>
        <w:tblW w:w="4129" w:type="dxa"/>
        <w:tblInd w:w="3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3"/>
        <w:gridCol w:w="818"/>
        <w:gridCol w:w="827"/>
        <w:gridCol w:w="828"/>
        <w:gridCol w:w="823"/>
      </w:tblGrid>
      <w:tr w14:paraId="22914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833" w:type="dxa"/>
            <w:vAlign w:val="top"/>
          </w:tcPr>
          <w:p w14:paraId="45757B3B">
            <w:pPr>
              <w:spacing w:before="108" w:line="211" w:lineRule="auto"/>
              <w:ind w:left="344"/>
              <w:rPr>
                <w:rFonts w:ascii="宋体" w:hAnsi="宋体" w:eastAsia="宋体" w:cs="宋体"/>
                <w:sz w:val="24"/>
                <w:szCs w:val="24"/>
              </w:rPr>
            </w:pPr>
            <w:r>
              <w:rPr>
                <w:rFonts w:ascii="宋体" w:hAnsi="宋体" w:eastAsia="宋体" w:cs="宋体"/>
                <w:sz w:val="24"/>
                <w:szCs w:val="24"/>
              </w:rPr>
              <w:t>5</w:t>
            </w:r>
          </w:p>
        </w:tc>
        <w:tc>
          <w:tcPr>
            <w:tcW w:w="818" w:type="dxa"/>
            <w:vAlign w:val="top"/>
          </w:tcPr>
          <w:p w14:paraId="475D6A93">
            <w:pPr>
              <w:spacing w:before="108" w:line="211" w:lineRule="auto"/>
              <w:ind w:left="281"/>
              <w:rPr>
                <w:rFonts w:ascii="宋体" w:hAnsi="宋体" w:eastAsia="宋体" w:cs="宋体"/>
                <w:sz w:val="24"/>
                <w:szCs w:val="24"/>
              </w:rPr>
            </w:pPr>
            <w:r>
              <w:rPr>
                <w:rFonts w:ascii="宋体" w:hAnsi="宋体" w:eastAsia="宋体" w:cs="宋体"/>
                <w:spacing w:val="-7"/>
                <w:sz w:val="24"/>
                <w:szCs w:val="24"/>
              </w:rPr>
              <w:t>10</w:t>
            </w:r>
          </w:p>
        </w:tc>
        <w:tc>
          <w:tcPr>
            <w:tcW w:w="827" w:type="dxa"/>
            <w:vAlign w:val="top"/>
          </w:tcPr>
          <w:p w14:paraId="30B54674">
            <w:pPr>
              <w:spacing w:before="108" w:line="211" w:lineRule="auto"/>
              <w:ind w:left="283"/>
              <w:rPr>
                <w:rFonts w:ascii="宋体" w:hAnsi="宋体" w:eastAsia="宋体" w:cs="宋体"/>
                <w:sz w:val="24"/>
                <w:szCs w:val="24"/>
              </w:rPr>
            </w:pPr>
            <w:r>
              <w:rPr>
                <w:rFonts w:ascii="宋体" w:hAnsi="宋体" w:eastAsia="宋体" w:cs="宋体"/>
                <w:spacing w:val="-7"/>
                <w:sz w:val="24"/>
                <w:szCs w:val="24"/>
              </w:rPr>
              <w:t>15</w:t>
            </w:r>
          </w:p>
        </w:tc>
        <w:tc>
          <w:tcPr>
            <w:tcW w:w="828" w:type="dxa"/>
            <w:vAlign w:val="top"/>
          </w:tcPr>
          <w:p w14:paraId="5D57D13F">
            <w:pPr>
              <w:spacing w:before="108" w:line="211" w:lineRule="auto"/>
              <w:ind w:left="286"/>
              <w:rPr>
                <w:rFonts w:ascii="宋体" w:hAnsi="宋体" w:eastAsia="宋体" w:cs="宋体"/>
                <w:sz w:val="24"/>
                <w:szCs w:val="24"/>
              </w:rPr>
            </w:pPr>
            <w:r>
              <w:rPr>
                <w:rFonts w:ascii="宋体" w:hAnsi="宋体" w:eastAsia="宋体" w:cs="宋体"/>
                <w:spacing w:val="-4"/>
                <w:sz w:val="24"/>
                <w:szCs w:val="24"/>
              </w:rPr>
              <w:t>20</w:t>
            </w:r>
          </w:p>
        </w:tc>
        <w:tc>
          <w:tcPr>
            <w:tcW w:w="823" w:type="dxa"/>
            <w:vAlign w:val="top"/>
          </w:tcPr>
          <w:p w14:paraId="6ABDA2BC">
            <w:pPr>
              <w:spacing w:before="108" w:line="211" w:lineRule="auto"/>
              <w:ind w:left="288"/>
              <w:rPr>
                <w:rFonts w:ascii="宋体" w:hAnsi="宋体" w:eastAsia="宋体" w:cs="宋体"/>
                <w:sz w:val="24"/>
                <w:szCs w:val="24"/>
              </w:rPr>
            </w:pPr>
            <w:r>
              <w:rPr>
                <w:rFonts w:ascii="宋体" w:hAnsi="宋体" w:eastAsia="宋体" w:cs="宋体"/>
                <w:spacing w:val="-4"/>
                <w:sz w:val="24"/>
                <w:szCs w:val="24"/>
              </w:rPr>
              <w:t>25</w:t>
            </w:r>
          </w:p>
        </w:tc>
      </w:tr>
      <w:tr w14:paraId="72F84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833" w:type="dxa"/>
            <w:vAlign w:val="top"/>
          </w:tcPr>
          <w:p w14:paraId="556B0C0D">
            <w:pPr>
              <w:spacing w:before="105" w:line="217" w:lineRule="auto"/>
              <w:ind w:left="344"/>
              <w:rPr>
                <w:rFonts w:ascii="宋体" w:hAnsi="宋体" w:eastAsia="宋体" w:cs="宋体"/>
                <w:sz w:val="24"/>
                <w:szCs w:val="24"/>
              </w:rPr>
            </w:pPr>
            <w:r>
              <w:rPr>
                <w:rFonts w:ascii="宋体" w:hAnsi="宋体" w:eastAsia="宋体" w:cs="宋体"/>
                <w:sz w:val="24"/>
                <w:szCs w:val="24"/>
              </w:rPr>
              <w:t>4</w:t>
            </w:r>
          </w:p>
        </w:tc>
        <w:tc>
          <w:tcPr>
            <w:tcW w:w="818" w:type="dxa"/>
            <w:vAlign w:val="top"/>
          </w:tcPr>
          <w:p w14:paraId="3846ACFF">
            <w:pPr>
              <w:spacing w:before="105" w:line="217" w:lineRule="auto"/>
              <w:ind w:left="341"/>
              <w:rPr>
                <w:rFonts w:ascii="宋体" w:hAnsi="宋体" w:eastAsia="宋体" w:cs="宋体"/>
                <w:sz w:val="24"/>
                <w:szCs w:val="24"/>
              </w:rPr>
            </w:pPr>
            <w:r>
              <w:rPr>
                <w:rFonts w:ascii="宋体" w:hAnsi="宋体" w:eastAsia="宋体" w:cs="宋体"/>
                <w:sz w:val="24"/>
                <w:szCs w:val="24"/>
              </w:rPr>
              <w:t>8</w:t>
            </w:r>
          </w:p>
        </w:tc>
        <w:tc>
          <w:tcPr>
            <w:tcW w:w="827" w:type="dxa"/>
            <w:vAlign w:val="top"/>
          </w:tcPr>
          <w:p w14:paraId="1EB7A744">
            <w:pPr>
              <w:spacing w:before="105" w:line="217" w:lineRule="auto"/>
              <w:ind w:left="283"/>
              <w:rPr>
                <w:rFonts w:ascii="宋体" w:hAnsi="宋体" w:eastAsia="宋体" w:cs="宋体"/>
                <w:sz w:val="24"/>
                <w:szCs w:val="24"/>
              </w:rPr>
            </w:pPr>
            <w:r>
              <w:rPr>
                <w:rFonts w:ascii="宋体" w:hAnsi="宋体" w:eastAsia="宋体" w:cs="宋体"/>
                <w:spacing w:val="-7"/>
                <w:sz w:val="24"/>
                <w:szCs w:val="24"/>
              </w:rPr>
              <w:t>12</w:t>
            </w:r>
          </w:p>
        </w:tc>
        <w:tc>
          <w:tcPr>
            <w:tcW w:w="828" w:type="dxa"/>
            <w:vAlign w:val="top"/>
          </w:tcPr>
          <w:p w14:paraId="65E6B371">
            <w:pPr>
              <w:spacing w:before="105" w:line="217" w:lineRule="auto"/>
              <w:ind w:left="286"/>
              <w:rPr>
                <w:rFonts w:ascii="宋体" w:hAnsi="宋体" w:eastAsia="宋体" w:cs="宋体"/>
                <w:sz w:val="24"/>
                <w:szCs w:val="24"/>
              </w:rPr>
            </w:pPr>
            <w:r>
              <w:rPr>
                <w:rFonts w:ascii="宋体" w:hAnsi="宋体" w:eastAsia="宋体" w:cs="宋体"/>
                <w:spacing w:val="-7"/>
                <w:sz w:val="24"/>
                <w:szCs w:val="24"/>
              </w:rPr>
              <w:t>16</w:t>
            </w:r>
          </w:p>
        </w:tc>
        <w:tc>
          <w:tcPr>
            <w:tcW w:w="823" w:type="dxa"/>
            <w:vAlign w:val="top"/>
          </w:tcPr>
          <w:p w14:paraId="03E513EB">
            <w:pPr>
              <w:spacing w:before="105" w:line="217" w:lineRule="auto"/>
              <w:ind w:left="288"/>
              <w:rPr>
                <w:rFonts w:ascii="宋体" w:hAnsi="宋体" w:eastAsia="宋体" w:cs="宋体"/>
                <w:sz w:val="24"/>
                <w:szCs w:val="24"/>
              </w:rPr>
            </w:pPr>
            <w:r>
              <w:rPr>
                <w:rFonts w:ascii="宋体" w:hAnsi="宋体" w:eastAsia="宋体" w:cs="宋体"/>
                <w:spacing w:val="-4"/>
                <w:sz w:val="24"/>
                <w:szCs w:val="24"/>
              </w:rPr>
              <w:t>20</w:t>
            </w:r>
          </w:p>
        </w:tc>
      </w:tr>
      <w:tr w14:paraId="3CF86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833" w:type="dxa"/>
            <w:vAlign w:val="top"/>
          </w:tcPr>
          <w:p w14:paraId="088F9111">
            <w:pPr>
              <w:spacing w:before="108" w:line="215" w:lineRule="auto"/>
              <w:ind w:left="344"/>
              <w:rPr>
                <w:rFonts w:ascii="宋体" w:hAnsi="宋体" w:eastAsia="宋体" w:cs="宋体"/>
                <w:sz w:val="24"/>
                <w:szCs w:val="24"/>
              </w:rPr>
            </w:pPr>
            <w:r>
              <w:rPr>
                <w:rFonts w:ascii="宋体" w:hAnsi="宋体" w:eastAsia="宋体" w:cs="宋体"/>
                <w:sz w:val="24"/>
                <w:szCs w:val="24"/>
              </w:rPr>
              <w:t>3</w:t>
            </w:r>
          </w:p>
        </w:tc>
        <w:tc>
          <w:tcPr>
            <w:tcW w:w="818" w:type="dxa"/>
            <w:vAlign w:val="top"/>
          </w:tcPr>
          <w:p w14:paraId="1F4866F5">
            <w:pPr>
              <w:spacing w:before="108" w:line="215" w:lineRule="auto"/>
              <w:ind w:left="341"/>
              <w:rPr>
                <w:rFonts w:ascii="宋体" w:hAnsi="宋体" w:eastAsia="宋体" w:cs="宋体"/>
                <w:sz w:val="24"/>
                <w:szCs w:val="24"/>
              </w:rPr>
            </w:pPr>
            <w:r>
              <w:rPr>
                <w:rFonts w:ascii="宋体" w:hAnsi="宋体" w:eastAsia="宋体" w:cs="宋体"/>
                <w:sz w:val="24"/>
                <w:szCs w:val="24"/>
              </w:rPr>
              <w:t>6</w:t>
            </w:r>
          </w:p>
        </w:tc>
        <w:tc>
          <w:tcPr>
            <w:tcW w:w="827" w:type="dxa"/>
            <w:vAlign w:val="top"/>
          </w:tcPr>
          <w:p w14:paraId="53C9E475">
            <w:pPr>
              <w:spacing w:before="108" w:line="215" w:lineRule="auto"/>
              <w:ind w:left="343"/>
              <w:rPr>
                <w:rFonts w:ascii="宋体" w:hAnsi="宋体" w:eastAsia="宋体" w:cs="宋体"/>
                <w:sz w:val="24"/>
                <w:szCs w:val="24"/>
              </w:rPr>
            </w:pPr>
            <w:r>
              <w:rPr>
                <w:rFonts w:ascii="宋体" w:hAnsi="宋体" w:eastAsia="宋体" w:cs="宋体"/>
                <w:sz w:val="24"/>
                <w:szCs w:val="24"/>
              </w:rPr>
              <w:t>9</w:t>
            </w:r>
          </w:p>
        </w:tc>
        <w:tc>
          <w:tcPr>
            <w:tcW w:w="828" w:type="dxa"/>
            <w:vAlign w:val="top"/>
          </w:tcPr>
          <w:p w14:paraId="798EC389">
            <w:pPr>
              <w:spacing w:before="108" w:line="215" w:lineRule="auto"/>
              <w:ind w:left="286"/>
              <w:rPr>
                <w:rFonts w:ascii="宋体" w:hAnsi="宋体" w:eastAsia="宋体" w:cs="宋体"/>
                <w:sz w:val="24"/>
                <w:szCs w:val="24"/>
              </w:rPr>
            </w:pPr>
            <w:r>
              <w:rPr>
                <w:rFonts w:ascii="宋体" w:hAnsi="宋体" w:eastAsia="宋体" w:cs="宋体"/>
                <w:spacing w:val="-7"/>
                <w:sz w:val="24"/>
                <w:szCs w:val="24"/>
              </w:rPr>
              <w:t>12</w:t>
            </w:r>
          </w:p>
        </w:tc>
        <w:tc>
          <w:tcPr>
            <w:tcW w:w="823" w:type="dxa"/>
            <w:vAlign w:val="top"/>
          </w:tcPr>
          <w:p w14:paraId="7BEAF594">
            <w:pPr>
              <w:spacing w:before="108" w:line="215" w:lineRule="auto"/>
              <w:ind w:left="288"/>
              <w:rPr>
                <w:rFonts w:ascii="宋体" w:hAnsi="宋体" w:eastAsia="宋体" w:cs="宋体"/>
                <w:sz w:val="24"/>
                <w:szCs w:val="24"/>
              </w:rPr>
            </w:pPr>
            <w:r>
              <w:rPr>
                <w:rFonts w:ascii="宋体" w:hAnsi="宋体" w:eastAsia="宋体" w:cs="宋体"/>
                <w:spacing w:val="-7"/>
                <w:sz w:val="24"/>
                <w:szCs w:val="24"/>
              </w:rPr>
              <w:t>15</w:t>
            </w:r>
          </w:p>
        </w:tc>
      </w:tr>
      <w:tr w14:paraId="393E5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833" w:type="dxa"/>
            <w:vAlign w:val="top"/>
          </w:tcPr>
          <w:p w14:paraId="3C4FFF72">
            <w:pPr>
              <w:spacing w:before="110" w:line="206" w:lineRule="auto"/>
              <w:ind w:left="344"/>
              <w:rPr>
                <w:rFonts w:ascii="宋体" w:hAnsi="宋体" w:eastAsia="宋体" w:cs="宋体"/>
                <w:sz w:val="24"/>
                <w:szCs w:val="24"/>
              </w:rPr>
            </w:pPr>
            <w:r>
              <w:rPr>
                <w:rFonts w:ascii="宋体" w:hAnsi="宋体" w:eastAsia="宋体" w:cs="宋体"/>
                <w:sz w:val="24"/>
                <w:szCs w:val="24"/>
              </w:rPr>
              <w:t>2</w:t>
            </w:r>
          </w:p>
        </w:tc>
        <w:tc>
          <w:tcPr>
            <w:tcW w:w="818" w:type="dxa"/>
            <w:vAlign w:val="top"/>
          </w:tcPr>
          <w:p w14:paraId="5AABFDF0">
            <w:pPr>
              <w:spacing w:before="110" w:line="206" w:lineRule="auto"/>
              <w:ind w:left="341"/>
              <w:rPr>
                <w:rFonts w:ascii="宋体" w:hAnsi="宋体" w:eastAsia="宋体" w:cs="宋体"/>
                <w:sz w:val="24"/>
                <w:szCs w:val="24"/>
              </w:rPr>
            </w:pPr>
            <w:r>
              <w:rPr>
                <w:rFonts w:ascii="宋体" w:hAnsi="宋体" w:eastAsia="宋体" w:cs="宋体"/>
                <w:sz w:val="24"/>
                <w:szCs w:val="24"/>
              </w:rPr>
              <w:t>4</w:t>
            </w:r>
          </w:p>
        </w:tc>
        <w:tc>
          <w:tcPr>
            <w:tcW w:w="827" w:type="dxa"/>
            <w:vAlign w:val="top"/>
          </w:tcPr>
          <w:p w14:paraId="4207F924">
            <w:pPr>
              <w:spacing w:before="110" w:line="206" w:lineRule="auto"/>
              <w:ind w:left="343"/>
              <w:rPr>
                <w:rFonts w:ascii="宋体" w:hAnsi="宋体" w:eastAsia="宋体" w:cs="宋体"/>
                <w:sz w:val="24"/>
                <w:szCs w:val="24"/>
              </w:rPr>
            </w:pPr>
            <w:r>
              <w:rPr>
                <w:rFonts w:ascii="宋体" w:hAnsi="宋体" w:eastAsia="宋体" w:cs="宋体"/>
                <w:sz w:val="24"/>
                <w:szCs w:val="24"/>
              </w:rPr>
              <w:t>6</w:t>
            </w:r>
          </w:p>
        </w:tc>
        <w:tc>
          <w:tcPr>
            <w:tcW w:w="828" w:type="dxa"/>
            <w:vAlign w:val="top"/>
          </w:tcPr>
          <w:p w14:paraId="4D930820">
            <w:pPr>
              <w:spacing w:before="110" w:line="206" w:lineRule="auto"/>
              <w:ind w:left="346"/>
              <w:rPr>
                <w:rFonts w:ascii="宋体" w:hAnsi="宋体" w:eastAsia="宋体" w:cs="宋体"/>
                <w:sz w:val="24"/>
                <w:szCs w:val="24"/>
              </w:rPr>
            </w:pPr>
            <w:r>
              <w:rPr>
                <w:rFonts w:ascii="宋体" w:hAnsi="宋体" w:eastAsia="宋体" w:cs="宋体"/>
                <w:sz w:val="24"/>
                <w:szCs w:val="24"/>
              </w:rPr>
              <w:t>8</w:t>
            </w:r>
          </w:p>
        </w:tc>
        <w:tc>
          <w:tcPr>
            <w:tcW w:w="823" w:type="dxa"/>
            <w:vAlign w:val="top"/>
          </w:tcPr>
          <w:p w14:paraId="059A9818">
            <w:pPr>
              <w:spacing w:before="110" w:line="206" w:lineRule="auto"/>
              <w:ind w:left="288"/>
              <w:rPr>
                <w:rFonts w:ascii="宋体" w:hAnsi="宋体" w:eastAsia="宋体" w:cs="宋体"/>
                <w:sz w:val="24"/>
                <w:szCs w:val="24"/>
              </w:rPr>
            </w:pPr>
            <w:r>
              <w:rPr>
                <w:rFonts w:ascii="宋体" w:hAnsi="宋体" w:eastAsia="宋体" w:cs="宋体"/>
                <w:spacing w:val="-7"/>
                <w:sz w:val="24"/>
                <w:szCs w:val="24"/>
              </w:rPr>
              <w:t>10</w:t>
            </w:r>
          </w:p>
        </w:tc>
      </w:tr>
      <w:tr w14:paraId="7B3D1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833" w:type="dxa"/>
            <w:vAlign w:val="top"/>
          </w:tcPr>
          <w:p w14:paraId="3DA0E8FC">
            <w:pPr>
              <w:spacing w:before="112" w:line="216" w:lineRule="auto"/>
              <w:ind w:left="344"/>
              <w:rPr>
                <w:rFonts w:ascii="宋体" w:hAnsi="宋体" w:eastAsia="宋体" w:cs="宋体"/>
                <w:sz w:val="24"/>
                <w:szCs w:val="24"/>
              </w:rPr>
            </w:pPr>
            <w:r>
              <w:rPr>
                <w:rFonts w:ascii="宋体" w:hAnsi="宋体" w:eastAsia="宋体" w:cs="宋体"/>
                <w:sz w:val="24"/>
                <w:szCs w:val="24"/>
              </w:rPr>
              <w:t>1</w:t>
            </w:r>
          </w:p>
        </w:tc>
        <w:tc>
          <w:tcPr>
            <w:tcW w:w="818" w:type="dxa"/>
            <w:vAlign w:val="top"/>
          </w:tcPr>
          <w:p w14:paraId="1F42CEDC">
            <w:pPr>
              <w:spacing w:before="112" w:line="216" w:lineRule="auto"/>
              <w:ind w:left="341"/>
              <w:rPr>
                <w:rFonts w:ascii="宋体" w:hAnsi="宋体" w:eastAsia="宋体" w:cs="宋体"/>
                <w:sz w:val="24"/>
                <w:szCs w:val="24"/>
              </w:rPr>
            </w:pPr>
            <w:r>
              <w:rPr>
                <w:rFonts w:ascii="宋体" w:hAnsi="宋体" w:eastAsia="宋体" w:cs="宋体"/>
                <w:sz w:val="24"/>
                <w:szCs w:val="24"/>
              </w:rPr>
              <w:t>2</w:t>
            </w:r>
          </w:p>
        </w:tc>
        <w:tc>
          <w:tcPr>
            <w:tcW w:w="827" w:type="dxa"/>
            <w:vAlign w:val="top"/>
          </w:tcPr>
          <w:p w14:paraId="6DB5D1FA">
            <w:pPr>
              <w:spacing w:before="112" w:line="216" w:lineRule="auto"/>
              <w:ind w:left="343"/>
              <w:rPr>
                <w:rFonts w:ascii="宋体" w:hAnsi="宋体" w:eastAsia="宋体" w:cs="宋体"/>
                <w:sz w:val="24"/>
                <w:szCs w:val="24"/>
              </w:rPr>
            </w:pPr>
            <w:r>
              <w:rPr>
                <w:rFonts w:ascii="宋体" w:hAnsi="宋体" w:eastAsia="宋体" w:cs="宋体"/>
                <w:sz w:val="24"/>
                <w:szCs w:val="24"/>
              </w:rPr>
              <w:t>3</w:t>
            </w:r>
          </w:p>
        </w:tc>
        <w:tc>
          <w:tcPr>
            <w:tcW w:w="828" w:type="dxa"/>
            <w:vAlign w:val="top"/>
          </w:tcPr>
          <w:p w14:paraId="53FDA302">
            <w:pPr>
              <w:spacing w:before="112" w:line="216" w:lineRule="auto"/>
              <w:ind w:left="346"/>
              <w:rPr>
                <w:rFonts w:ascii="宋体" w:hAnsi="宋体" w:eastAsia="宋体" w:cs="宋体"/>
                <w:sz w:val="24"/>
                <w:szCs w:val="24"/>
              </w:rPr>
            </w:pPr>
            <w:r>
              <w:rPr>
                <w:rFonts w:ascii="宋体" w:hAnsi="宋体" w:eastAsia="宋体" w:cs="宋体"/>
                <w:sz w:val="24"/>
                <w:szCs w:val="24"/>
              </w:rPr>
              <w:t>4</w:t>
            </w:r>
          </w:p>
        </w:tc>
        <w:tc>
          <w:tcPr>
            <w:tcW w:w="823" w:type="dxa"/>
            <w:vAlign w:val="top"/>
          </w:tcPr>
          <w:p w14:paraId="245BF9B9">
            <w:pPr>
              <w:spacing w:before="112" w:line="216" w:lineRule="auto"/>
              <w:ind w:left="348"/>
              <w:rPr>
                <w:rFonts w:ascii="宋体" w:hAnsi="宋体" w:eastAsia="宋体" w:cs="宋体"/>
                <w:sz w:val="24"/>
                <w:szCs w:val="24"/>
              </w:rPr>
            </w:pPr>
            <w:r>
              <w:rPr>
                <w:rFonts w:ascii="宋体" w:hAnsi="宋体" w:eastAsia="宋体" w:cs="宋体"/>
                <w:sz w:val="24"/>
                <w:szCs w:val="24"/>
              </w:rPr>
              <w:t>5</w:t>
            </w:r>
          </w:p>
        </w:tc>
      </w:tr>
    </w:tbl>
    <w:p w14:paraId="39DE0EE9">
      <w:pPr>
        <w:pStyle w:val="2"/>
        <w:spacing w:before="117" w:line="260" w:lineRule="auto"/>
        <w:ind w:left="4169" w:right="1184" w:hanging="680"/>
        <w:rPr>
          <w:sz w:val="22"/>
          <w:szCs w:val="22"/>
        </w:rPr>
      </w:pPr>
      <w:r>
        <w:rPr>
          <w:rFonts w:ascii="Times New Roman" w:hAnsi="Times New Roman" w:eastAsia="Times New Roman" w:cs="Times New Roman"/>
          <w:spacing w:val="-1"/>
          <w:sz w:val="20"/>
          <w:szCs w:val="20"/>
        </w:rPr>
        <w:t xml:space="preserve">1               2               </w:t>
      </w:r>
      <w:r>
        <w:rPr>
          <w:rFonts w:ascii="Arial" w:hAnsi="Arial" w:eastAsia="Arial" w:cs="Arial"/>
          <w:spacing w:val="-1"/>
          <w:sz w:val="19"/>
          <w:szCs w:val="19"/>
        </w:rPr>
        <w:t xml:space="preserve">3              </w:t>
      </w:r>
      <w:r>
        <w:rPr>
          <w:rFonts w:ascii="Times New Roman" w:hAnsi="Times New Roman" w:eastAsia="Times New Roman" w:cs="Times New Roman"/>
          <w:b/>
          <w:bCs/>
          <w:spacing w:val="-1"/>
          <w:sz w:val="20"/>
          <w:szCs w:val="20"/>
        </w:rPr>
        <w:t xml:space="preserve">4               </w:t>
      </w:r>
      <w:r>
        <w:rPr>
          <w:rFonts w:ascii="Arial" w:hAnsi="Arial" w:eastAsia="Arial" w:cs="Arial"/>
          <w:spacing w:val="-1"/>
          <w:sz w:val="19"/>
          <w:szCs w:val="19"/>
        </w:rPr>
        <w:t xml:space="preserve">5          </w:t>
      </w:r>
      <w:r>
        <w:rPr>
          <w:rFonts w:ascii="Arial" w:hAnsi="Arial" w:eastAsia="Arial" w:cs="Arial"/>
          <w:spacing w:val="-2"/>
          <w:sz w:val="19"/>
          <w:szCs w:val="19"/>
        </w:rPr>
        <w:t xml:space="preserve"> </w:t>
      </w:r>
      <w:r>
        <w:rPr>
          <w:spacing w:val="-2"/>
        </w:rPr>
        <w:t>严重性</w:t>
      </w:r>
      <w:r>
        <w:t xml:space="preserve"> </w:t>
      </w:r>
      <w:r>
        <w:rPr>
          <w:spacing w:val="8"/>
          <w:sz w:val="22"/>
          <w:szCs w:val="22"/>
        </w:rPr>
        <w:t>图6</w:t>
      </w:r>
      <w:r>
        <w:rPr>
          <w:spacing w:val="-50"/>
          <w:sz w:val="22"/>
          <w:szCs w:val="22"/>
        </w:rPr>
        <w:t xml:space="preserve"> </w:t>
      </w:r>
      <w:r>
        <w:rPr>
          <w:spacing w:val="8"/>
          <w:sz w:val="22"/>
          <w:szCs w:val="22"/>
        </w:rPr>
        <w:t>.</w:t>
      </w:r>
      <w:r>
        <w:rPr>
          <w:spacing w:val="-61"/>
          <w:sz w:val="22"/>
          <w:szCs w:val="22"/>
        </w:rPr>
        <w:t xml:space="preserve"> </w:t>
      </w:r>
      <w:r>
        <w:rPr>
          <w:spacing w:val="8"/>
          <w:sz w:val="22"/>
          <w:szCs w:val="22"/>
        </w:rPr>
        <w:t>2  风险排序图</w:t>
      </w:r>
    </w:p>
    <w:p w14:paraId="54F53889">
      <w:pPr>
        <w:spacing w:before="87" w:line="222" w:lineRule="auto"/>
        <w:rPr>
          <w:rFonts w:ascii="黑体" w:hAnsi="黑体" w:eastAsia="黑体" w:cs="黑体"/>
          <w:sz w:val="27"/>
          <w:szCs w:val="27"/>
        </w:rPr>
      </w:pPr>
      <w:r>
        <w:rPr>
          <w:rFonts w:ascii="黑体" w:hAnsi="黑体" w:eastAsia="黑体" w:cs="黑体"/>
          <w:spacing w:val="2"/>
          <w:sz w:val="27"/>
          <w:szCs w:val="27"/>
        </w:rPr>
        <w:t>4.5</w:t>
      </w:r>
      <w:r>
        <w:rPr>
          <w:rFonts w:ascii="黑体" w:hAnsi="黑体" w:eastAsia="黑体" w:cs="黑体"/>
          <w:spacing w:val="31"/>
          <w:sz w:val="27"/>
          <w:szCs w:val="27"/>
        </w:rPr>
        <w:t xml:space="preserve">  </w:t>
      </w:r>
      <w:r>
        <w:rPr>
          <w:rFonts w:ascii="黑体" w:hAnsi="黑体" w:eastAsia="黑体" w:cs="黑体"/>
          <w:spacing w:val="2"/>
          <w:sz w:val="27"/>
          <w:szCs w:val="27"/>
        </w:rPr>
        <w:t>风险接受准则</w:t>
      </w:r>
    </w:p>
    <w:p w14:paraId="095EC510">
      <w:pPr>
        <w:pStyle w:val="2"/>
        <w:spacing w:before="99" w:line="284" w:lineRule="auto"/>
        <w:ind w:right="120" w:firstLine="550"/>
        <w:jc w:val="both"/>
      </w:pPr>
      <w:r>
        <w:rPr>
          <w:spacing w:val="5"/>
        </w:rPr>
        <w:t>描述风险接受准则。已排序的风险应按照风险接受准则确定其可接受或不</w:t>
      </w:r>
      <w:r>
        <w:rPr>
          <w:spacing w:val="13"/>
        </w:rPr>
        <w:t xml:space="preserve"> </w:t>
      </w:r>
      <w:r>
        <w:rPr>
          <w:spacing w:val="5"/>
        </w:rPr>
        <w:t>可接受。按照风险评价指数排序法进行风险排序所确定的风险接受准则示例见</w:t>
      </w:r>
      <w:r>
        <w:rPr>
          <w:spacing w:val="12"/>
        </w:rPr>
        <w:t xml:space="preserve"> </w:t>
      </w:r>
      <w:r>
        <w:rPr>
          <w:spacing w:val="15"/>
        </w:rPr>
        <w:t>表6.2。</w:t>
      </w:r>
    </w:p>
    <w:p w14:paraId="47D1D80C">
      <w:pPr>
        <w:spacing w:before="1" w:line="222" w:lineRule="auto"/>
        <w:ind w:left="3119"/>
        <w:rPr>
          <w:rFonts w:ascii="仿宋" w:hAnsi="仿宋" w:eastAsia="仿宋" w:cs="仿宋"/>
          <w:sz w:val="27"/>
          <w:szCs w:val="27"/>
        </w:rPr>
      </w:pPr>
      <w:r>
        <w:rPr>
          <w:rFonts w:ascii="仿宋" w:hAnsi="仿宋" w:eastAsia="仿宋" w:cs="仿宋"/>
          <w:spacing w:val="7"/>
          <w:sz w:val="27"/>
          <w:szCs w:val="27"/>
        </w:rPr>
        <w:t>表6.2  风险接受准则示例</w:t>
      </w:r>
    </w:p>
    <w:p w14:paraId="48638B4E">
      <w:pPr>
        <w:spacing w:line="111" w:lineRule="exact"/>
      </w:pPr>
    </w:p>
    <w:tbl>
      <w:tblPr>
        <w:tblStyle w:val="5"/>
        <w:tblW w:w="936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31"/>
        <w:gridCol w:w="3137"/>
        <w:gridCol w:w="3101"/>
      </w:tblGrid>
      <w:tr w14:paraId="3E81E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131" w:type="dxa"/>
            <w:vAlign w:val="top"/>
          </w:tcPr>
          <w:p w14:paraId="1BC08352">
            <w:pPr>
              <w:spacing w:before="114" w:line="219" w:lineRule="auto"/>
              <w:ind w:left="1115"/>
              <w:rPr>
                <w:rFonts w:ascii="宋体" w:hAnsi="宋体" w:eastAsia="宋体" w:cs="宋体"/>
                <w:sz w:val="22"/>
                <w:szCs w:val="22"/>
              </w:rPr>
            </w:pPr>
            <w:r>
              <w:rPr>
                <w:rFonts w:ascii="宋体" w:hAnsi="宋体" w:eastAsia="宋体" w:cs="宋体"/>
                <w:spacing w:val="-2"/>
                <w:sz w:val="22"/>
                <w:szCs w:val="22"/>
              </w:rPr>
              <w:t>风险指数</w:t>
            </w:r>
          </w:p>
        </w:tc>
        <w:tc>
          <w:tcPr>
            <w:tcW w:w="3137" w:type="dxa"/>
            <w:vAlign w:val="top"/>
          </w:tcPr>
          <w:p w14:paraId="0F546D7F">
            <w:pPr>
              <w:spacing w:before="114" w:line="220" w:lineRule="auto"/>
              <w:ind w:left="1123"/>
              <w:rPr>
                <w:rFonts w:ascii="宋体" w:hAnsi="宋体" w:eastAsia="宋体" w:cs="宋体"/>
                <w:sz w:val="22"/>
                <w:szCs w:val="22"/>
              </w:rPr>
            </w:pPr>
            <w:r>
              <w:rPr>
                <w:rFonts w:ascii="宋体" w:hAnsi="宋体" w:eastAsia="宋体" w:cs="宋体"/>
                <w:spacing w:val="4"/>
                <w:sz w:val="22"/>
                <w:szCs w:val="22"/>
              </w:rPr>
              <w:t>风险级别</w:t>
            </w:r>
          </w:p>
        </w:tc>
        <w:tc>
          <w:tcPr>
            <w:tcW w:w="3101" w:type="dxa"/>
            <w:vAlign w:val="top"/>
          </w:tcPr>
          <w:p w14:paraId="79050E42">
            <w:pPr>
              <w:spacing w:before="114" w:line="219" w:lineRule="auto"/>
              <w:ind w:left="1327"/>
              <w:rPr>
                <w:rFonts w:ascii="宋体" w:hAnsi="宋体" w:eastAsia="宋体" w:cs="宋体"/>
                <w:sz w:val="22"/>
                <w:szCs w:val="22"/>
              </w:rPr>
            </w:pPr>
            <w:r>
              <w:rPr>
                <w:rFonts w:ascii="宋体" w:hAnsi="宋体" w:eastAsia="宋体" w:cs="宋体"/>
                <w:spacing w:val="11"/>
                <w:sz w:val="22"/>
                <w:szCs w:val="22"/>
              </w:rPr>
              <w:t>说明</w:t>
            </w:r>
          </w:p>
        </w:tc>
      </w:tr>
      <w:tr w14:paraId="6DB64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3131" w:type="dxa"/>
            <w:vAlign w:val="top"/>
          </w:tcPr>
          <w:p w14:paraId="4CF02048">
            <w:pPr>
              <w:spacing w:before="132" w:line="237" w:lineRule="auto"/>
              <w:ind w:left="1284"/>
              <w:rPr>
                <w:rFonts w:ascii="宋体" w:hAnsi="宋体" w:eastAsia="宋体" w:cs="宋体"/>
                <w:sz w:val="22"/>
                <w:szCs w:val="22"/>
              </w:rPr>
            </w:pPr>
            <w:r>
              <w:rPr>
                <w:rFonts w:ascii="宋体" w:hAnsi="宋体" w:eastAsia="宋体" w:cs="宋体"/>
                <w:spacing w:val="-2"/>
                <w:sz w:val="22"/>
                <w:szCs w:val="22"/>
              </w:rPr>
              <w:t>R≥20</w:t>
            </w:r>
          </w:p>
        </w:tc>
        <w:tc>
          <w:tcPr>
            <w:tcW w:w="3137" w:type="dxa"/>
            <w:vAlign w:val="top"/>
          </w:tcPr>
          <w:p w14:paraId="1099B559">
            <w:pPr>
              <w:spacing w:before="111" w:line="219" w:lineRule="auto"/>
              <w:ind w:left="1123"/>
              <w:rPr>
                <w:rFonts w:ascii="宋体" w:hAnsi="宋体" w:eastAsia="宋体" w:cs="宋体"/>
                <w:sz w:val="22"/>
                <w:szCs w:val="22"/>
              </w:rPr>
            </w:pPr>
            <w:r>
              <w:rPr>
                <w:rFonts w:ascii="宋体" w:hAnsi="宋体" w:eastAsia="宋体" w:cs="宋体"/>
                <w:spacing w:val="2"/>
                <w:sz w:val="22"/>
                <w:szCs w:val="22"/>
              </w:rPr>
              <w:t>最大风险</w:t>
            </w:r>
          </w:p>
        </w:tc>
        <w:tc>
          <w:tcPr>
            <w:tcW w:w="3101" w:type="dxa"/>
            <w:vAlign w:val="top"/>
          </w:tcPr>
          <w:p w14:paraId="182A7F62">
            <w:pPr>
              <w:spacing w:before="111" w:line="220" w:lineRule="auto"/>
              <w:ind w:left="886"/>
              <w:rPr>
                <w:rFonts w:ascii="宋体" w:hAnsi="宋体" w:eastAsia="宋体" w:cs="宋体"/>
                <w:sz w:val="22"/>
                <w:szCs w:val="22"/>
              </w:rPr>
            </w:pPr>
            <w:r>
              <w:rPr>
                <w:rFonts w:ascii="宋体" w:hAnsi="宋体" w:eastAsia="宋体" w:cs="宋体"/>
                <w:spacing w:val="1"/>
                <w:sz w:val="22"/>
                <w:szCs w:val="22"/>
              </w:rPr>
              <w:t>不可接受风险</w:t>
            </w:r>
          </w:p>
        </w:tc>
      </w:tr>
      <w:tr w14:paraId="12CAB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3131" w:type="dxa"/>
            <w:vAlign w:val="top"/>
          </w:tcPr>
          <w:p w14:paraId="5BF285D6">
            <w:pPr>
              <w:spacing w:before="132" w:line="236" w:lineRule="auto"/>
              <w:ind w:left="1115"/>
              <w:rPr>
                <w:rFonts w:ascii="宋体" w:hAnsi="宋体" w:eastAsia="宋体" w:cs="宋体"/>
                <w:sz w:val="22"/>
                <w:szCs w:val="22"/>
              </w:rPr>
            </w:pPr>
            <w:r>
              <w:rPr>
                <w:rFonts w:ascii="宋体" w:hAnsi="宋体" w:eastAsia="宋体" w:cs="宋体"/>
                <w:spacing w:val="-4"/>
                <w:sz w:val="22"/>
                <w:szCs w:val="22"/>
              </w:rPr>
              <w:t>15≤R&lt;20</w:t>
            </w:r>
          </w:p>
        </w:tc>
        <w:tc>
          <w:tcPr>
            <w:tcW w:w="3137" w:type="dxa"/>
            <w:vAlign w:val="top"/>
          </w:tcPr>
          <w:p w14:paraId="298E562D">
            <w:pPr>
              <w:spacing w:before="113" w:line="219" w:lineRule="auto"/>
              <w:ind w:left="1234"/>
              <w:rPr>
                <w:rFonts w:ascii="宋体" w:hAnsi="宋体" w:eastAsia="宋体" w:cs="宋体"/>
                <w:sz w:val="22"/>
                <w:szCs w:val="22"/>
              </w:rPr>
            </w:pPr>
            <w:r>
              <w:rPr>
                <w:rFonts w:ascii="宋体" w:hAnsi="宋体" w:eastAsia="宋体" w:cs="宋体"/>
                <w:spacing w:val="3"/>
                <w:sz w:val="22"/>
                <w:szCs w:val="22"/>
              </w:rPr>
              <w:t>高风险</w:t>
            </w:r>
          </w:p>
        </w:tc>
        <w:tc>
          <w:tcPr>
            <w:tcW w:w="3101" w:type="dxa"/>
            <w:vAlign w:val="top"/>
          </w:tcPr>
          <w:p w14:paraId="22EA04A9">
            <w:pPr>
              <w:spacing w:before="113" w:line="220" w:lineRule="auto"/>
              <w:ind w:left="886"/>
              <w:rPr>
                <w:rFonts w:ascii="宋体" w:hAnsi="宋体" w:eastAsia="宋体" w:cs="宋体"/>
                <w:sz w:val="22"/>
                <w:szCs w:val="22"/>
              </w:rPr>
            </w:pPr>
            <w:r>
              <w:rPr>
                <w:rFonts w:ascii="宋体" w:hAnsi="宋体" w:eastAsia="宋体" w:cs="宋体"/>
                <w:spacing w:val="1"/>
                <w:sz w:val="22"/>
                <w:szCs w:val="22"/>
              </w:rPr>
              <w:t>不可接受风险</w:t>
            </w:r>
          </w:p>
        </w:tc>
      </w:tr>
      <w:tr w14:paraId="195AE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3131" w:type="dxa"/>
            <w:vAlign w:val="top"/>
          </w:tcPr>
          <w:p w14:paraId="736F97AA">
            <w:pPr>
              <w:spacing w:before="144" w:line="236" w:lineRule="auto"/>
              <w:ind w:left="1115"/>
              <w:rPr>
                <w:rFonts w:ascii="宋体" w:hAnsi="宋体" w:eastAsia="宋体" w:cs="宋体"/>
                <w:sz w:val="22"/>
                <w:szCs w:val="22"/>
              </w:rPr>
            </w:pPr>
            <w:r>
              <w:rPr>
                <w:rFonts w:ascii="宋体" w:hAnsi="宋体" w:eastAsia="宋体" w:cs="宋体"/>
                <w:spacing w:val="-4"/>
                <w:sz w:val="22"/>
                <w:szCs w:val="22"/>
              </w:rPr>
              <w:t>10≤R&lt;15</w:t>
            </w:r>
          </w:p>
        </w:tc>
        <w:tc>
          <w:tcPr>
            <w:tcW w:w="3137" w:type="dxa"/>
            <w:vAlign w:val="top"/>
          </w:tcPr>
          <w:p w14:paraId="7380A830">
            <w:pPr>
              <w:spacing w:before="125" w:line="219" w:lineRule="auto"/>
              <w:ind w:left="1123"/>
              <w:rPr>
                <w:rFonts w:ascii="宋体" w:hAnsi="宋体" w:eastAsia="宋体" w:cs="宋体"/>
                <w:sz w:val="22"/>
                <w:szCs w:val="22"/>
              </w:rPr>
            </w:pPr>
            <w:r>
              <w:rPr>
                <w:rFonts w:ascii="宋体" w:hAnsi="宋体" w:eastAsia="宋体" w:cs="宋体"/>
                <w:spacing w:val="2"/>
                <w:sz w:val="22"/>
                <w:szCs w:val="22"/>
              </w:rPr>
              <w:t>中等风险</w:t>
            </w:r>
          </w:p>
        </w:tc>
        <w:tc>
          <w:tcPr>
            <w:tcW w:w="3101" w:type="dxa"/>
            <w:vAlign w:val="top"/>
          </w:tcPr>
          <w:p w14:paraId="6015F06F">
            <w:pPr>
              <w:spacing w:before="125" w:line="220" w:lineRule="auto"/>
              <w:ind w:left="886"/>
              <w:rPr>
                <w:rFonts w:ascii="宋体" w:hAnsi="宋体" w:eastAsia="宋体" w:cs="宋体"/>
                <w:sz w:val="22"/>
                <w:szCs w:val="22"/>
              </w:rPr>
            </w:pPr>
            <w:r>
              <w:rPr>
                <w:rFonts w:ascii="宋体" w:hAnsi="宋体" w:eastAsia="宋体" w:cs="宋体"/>
                <w:spacing w:val="1"/>
                <w:sz w:val="22"/>
                <w:szCs w:val="22"/>
              </w:rPr>
              <w:t>不可接受风险</w:t>
            </w:r>
          </w:p>
        </w:tc>
      </w:tr>
      <w:tr w14:paraId="008EA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3131" w:type="dxa"/>
            <w:vAlign w:val="top"/>
          </w:tcPr>
          <w:p w14:paraId="20D6A64A">
            <w:pPr>
              <w:spacing w:before="136" w:line="236" w:lineRule="auto"/>
              <w:ind w:left="1174"/>
              <w:rPr>
                <w:rFonts w:ascii="宋体" w:hAnsi="宋体" w:eastAsia="宋体" w:cs="宋体"/>
                <w:sz w:val="22"/>
                <w:szCs w:val="22"/>
              </w:rPr>
            </w:pPr>
            <w:r>
              <w:rPr>
                <w:rFonts w:ascii="宋体" w:hAnsi="宋体" w:eastAsia="宋体" w:cs="宋体"/>
                <w:spacing w:val="-2"/>
                <w:sz w:val="22"/>
                <w:szCs w:val="22"/>
              </w:rPr>
              <w:t>4≤R&lt;10</w:t>
            </w:r>
          </w:p>
        </w:tc>
        <w:tc>
          <w:tcPr>
            <w:tcW w:w="3137" w:type="dxa"/>
            <w:vAlign w:val="top"/>
          </w:tcPr>
          <w:p w14:paraId="282F958F">
            <w:pPr>
              <w:spacing w:before="117" w:line="220" w:lineRule="auto"/>
              <w:ind w:left="1234"/>
              <w:rPr>
                <w:rFonts w:ascii="宋体" w:hAnsi="宋体" w:eastAsia="宋体" w:cs="宋体"/>
                <w:sz w:val="22"/>
                <w:szCs w:val="22"/>
              </w:rPr>
            </w:pPr>
            <w:r>
              <w:rPr>
                <w:rFonts w:ascii="宋体" w:hAnsi="宋体" w:eastAsia="宋体" w:cs="宋体"/>
                <w:spacing w:val="-2"/>
                <w:sz w:val="22"/>
                <w:szCs w:val="22"/>
              </w:rPr>
              <w:t>低风险</w:t>
            </w:r>
          </w:p>
        </w:tc>
        <w:tc>
          <w:tcPr>
            <w:tcW w:w="3101" w:type="dxa"/>
            <w:vAlign w:val="top"/>
          </w:tcPr>
          <w:p w14:paraId="0AFE3D00">
            <w:pPr>
              <w:spacing w:before="117" w:line="220" w:lineRule="auto"/>
              <w:ind w:left="996"/>
              <w:rPr>
                <w:rFonts w:ascii="宋体" w:hAnsi="宋体" w:eastAsia="宋体" w:cs="宋体"/>
                <w:sz w:val="22"/>
                <w:szCs w:val="22"/>
              </w:rPr>
            </w:pPr>
            <w:r>
              <w:rPr>
                <w:rFonts w:ascii="宋体" w:hAnsi="宋体" w:eastAsia="宋体" w:cs="宋体"/>
                <w:spacing w:val="-2"/>
                <w:sz w:val="22"/>
                <w:szCs w:val="22"/>
              </w:rPr>
              <w:t>可接受风险</w:t>
            </w:r>
          </w:p>
        </w:tc>
      </w:tr>
      <w:tr w14:paraId="2D3B6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131" w:type="dxa"/>
            <w:vAlign w:val="top"/>
          </w:tcPr>
          <w:p w14:paraId="0236CBC1">
            <w:pPr>
              <w:spacing w:before="171" w:line="186" w:lineRule="auto"/>
              <w:ind w:left="1395"/>
              <w:rPr>
                <w:rFonts w:ascii="宋体" w:hAnsi="宋体" w:eastAsia="宋体" w:cs="宋体"/>
                <w:sz w:val="22"/>
                <w:szCs w:val="22"/>
              </w:rPr>
            </w:pPr>
            <w:r>
              <w:rPr>
                <w:rFonts w:ascii="宋体" w:hAnsi="宋体" w:eastAsia="宋体" w:cs="宋体"/>
                <w:spacing w:val="-2"/>
                <w:sz w:val="22"/>
                <w:szCs w:val="22"/>
              </w:rPr>
              <w:t>R&lt;4</w:t>
            </w:r>
          </w:p>
        </w:tc>
        <w:tc>
          <w:tcPr>
            <w:tcW w:w="3137" w:type="dxa"/>
            <w:vAlign w:val="top"/>
          </w:tcPr>
          <w:p w14:paraId="377836DE">
            <w:pPr>
              <w:spacing w:before="118" w:line="219" w:lineRule="auto"/>
              <w:ind w:left="1123"/>
              <w:rPr>
                <w:rFonts w:ascii="宋体" w:hAnsi="宋体" w:eastAsia="宋体" w:cs="宋体"/>
                <w:sz w:val="22"/>
                <w:szCs w:val="22"/>
              </w:rPr>
            </w:pPr>
            <w:r>
              <w:rPr>
                <w:rFonts w:ascii="宋体" w:hAnsi="宋体" w:eastAsia="宋体" w:cs="宋体"/>
                <w:spacing w:val="2"/>
                <w:sz w:val="22"/>
                <w:szCs w:val="22"/>
              </w:rPr>
              <w:t>最小风险</w:t>
            </w:r>
          </w:p>
        </w:tc>
        <w:tc>
          <w:tcPr>
            <w:tcW w:w="3101" w:type="dxa"/>
            <w:vAlign w:val="top"/>
          </w:tcPr>
          <w:p w14:paraId="06636C9E">
            <w:pPr>
              <w:spacing w:before="118" w:line="220" w:lineRule="auto"/>
              <w:ind w:left="996"/>
              <w:rPr>
                <w:rFonts w:ascii="宋体" w:hAnsi="宋体" w:eastAsia="宋体" w:cs="宋体"/>
                <w:sz w:val="22"/>
                <w:szCs w:val="22"/>
              </w:rPr>
            </w:pPr>
            <w:r>
              <w:rPr>
                <w:rFonts w:ascii="宋体" w:hAnsi="宋体" w:eastAsia="宋体" w:cs="宋体"/>
                <w:spacing w:val="-2"/>
                <w:sz w:val="22"/>
                <w:szCs w:val="22"/>
              </w:rPr>
              <w:t>可接受风险</w:t>
            </w:r>
          </w:p>
        </w:tc>
      </w:tr>
    </w:tbl>
    <w:p w14:paraId="1BC58377">
      <w:pPr>
        <w:spacing w:before="196" w:line="222" w:lineRule="auto"/>
        <w:rPr>
          <w:rFonts w:ascii="黑体" w:hAnsi="黑体" w:eastAsia="黑体" w:cs="黑体"/>
          <w:sz w:val="27"/>
          <w:szCs w:val="27"/>
        </w:rPr>
      </w:pPr>
      <w:r>
        <w:rPr>
          <w:rFonts w:ascii="黑体" w:hAnsi="黑体" w:eastAsia="黑体" w:cs="黑体"/>
          <w:spacing w:val="8"/>
          <w:sz w:val="27"/>
          <w:szCs w:val="27"/>
        </w:rPr>
        <w:t>5</w:t>
      </w:r>
      <w:r>
        <w:rPr>
          <w:rFonts w:ascii="黑体" w:hAnsi="黑体" w:eastAsia="黑体" w:cs="黑体"/>
          <w:spacing w:val="19"/>
          <w:sz w:val="27"/>
          <w:szCs w:val="27"/>
        </w:rPr>
        <w:t xml:space="preserve">  </w:t>
      </w:r>
      <w:r>
        <w:rPr>
          <w:rFonts w:ascii="黑体" w:hAnsi="黑体" w:eastAsia="黑体" w:cs="黑体"/>
          <w:spacing w:val="8"/>
          <w:sz w:val="27"/>
          <w:szCs w:val="27"/>
        </w:rPr>
        <w:t>分析结果</w:t>
      </w:r>
    </w:p>
    <w:p w14:paraId="6C0CF967">
      <w:pPr>
        <w:spacing w:before="122" w:line="221" w:lineRule="auto"/>
        <w:rPr>
          <w:rFonts w:ascii="黑体" w:hAnsi="黑体" w:eastAsia="黑体" w:cs="黑体"/>
          <w:sz w:val="24"/>
          <w:szCs w:val="24"/>
        </w:rPr>
      </w:pPr>
      <w:r>
        <w:rPr>
          <w:rFonts w:ascii="黑体" w:hAnsi="黑体" w:eastAsia="黑体" w:cs="黑体"/>
          <w:spacing w:val="23"/>
          <w:sz w:val="24"/>
          <w:szCs w:val="24"/>
        </w:rPr>
        <w:t>5.1</w:t>
      </w:r>
      <w:r>
        <w:rPr>
          <w:rFonts w:ascii="黑体" w:hAnsi="黑体" w:eastAsia="黑体" w:cs="黑体"/>
          <w:spacing w:val="6"/>
          <w:sz w:val="24"/>
          <w:szCs w:val="24"/>
        </w:rPr>
        <w:t xml:space="preserve">   </w:t>
      </w:r>
      <w:r>
        <w:rPr>
          <w:rFonts w:ascii="黑体" w:hAnsi="黑体" w:eastAsia="黑体" w:cs="黑体"/>
          <w:spacing w:val="23"/>
          <w:sz w:val="24"/>
          <w:szCs w:val="24"/>
        </w:rPr>
        <w:t>风险源清单</w:t>
      </w:r>
    </w:p>
    <w:p w14:paraId="53251E14">
      <w:pPr>
        <w:pStyle w:val="2"/>
        <w:spacing w:before="65" w:line="212" w:lineRule="auto"/>
        <w:ind w:left="550"/>
      </w:pPr>
      <w:r>
        <w:t>列出风险源清单(内容较多时，可作为附件</w:t>
      </w:r>
      <w:r>
        <w:rPr>
          <w:rFonts w:ascii="Times New Roman" w:hAnsi="Times New Roman" w:eastAsia="Times New Roman" w:cs="Times New Roman"/>
        </w:rPr>
        <w:t>A1)</w:t>
      </w:r>
      <w:r>
        <w:t>。</w:t>
      </w:r>
    </w:p>
    <w:p w14:paraId="0E9A578E">
      <w:pPr>
        <w:spacing w:line="212" w:lineRule="auto"/>
        <w:sectPr>
          <w:footerReference r:id="rId343" w:type="default"/>
          <w:pgSz w:w="11910" w:h="17130"/>
          <w:pgMar w:top="1401" w:right="805" w:bottom="1709" w:left="1619" w:header="0" w:footer="1529" w:gutter="0"/>
          <w:cols w:space="720" w:num="1"/>
        </w:sectPr>
      </w:pPr>
    </w:p>
    <w:p w14:paraId="71D5D433">
      <w:pPr>
        <w:spacing w:before="54" w:line="222" w:lineRule="auto"/>
        <w:rPr>
          <w:rFonts w:ascii="黑体" w:hAnsi="黑体" w:eastAsia="黑体" w:cs="黑体"/>
          <w:sz w:val="27"/>
          <w:szCs w:val="27"/>
        </w:rPr>
      </w:pPr>
      <w:r>
        <w:rPr>
          <w:rFonts w:ascii="黑体" w:hAnsi="黑体" w:eastAsia="黑体" w:cs="黑体"/>
          <w:spacing w:val="4"/>
          <w:sz w:val="27"/>
          <w:szCs w:val="27"/>
        </w:rPr>
        <w:t>5.2  风险排序清单</w:t>
      </w:r>
    </w:p>
    <w:p w14:paraId="1A917C3B">
      <w:pPr>
        <w:pStyle w:val="2"/>
        <w:spacing w:before="56" w:line="212" w:lineRule="auto"/>
        <w:ind w:left="560"/>
      </w:pPr>
      <w:r>
        <w:rPr>
          <w:spacing w:val="1"/>
        </w:rPr>
        <w:t>列出风险排序清单(内容较多时，可作为附件</w:t>
      </w:r>
      <w:r>
        <w:rPr>
          <w:rFonts w:ascii="Times New Roman" w:hAnsi="Times New Roman" w:eastAsia="Times New Roman" w:cs="Times New Roman"/>
          <w:spacing w:val="1"/>
        </w:rPr>
        <w:t>A</w:t>
      </w:r>
      <w:r>
        <w:rPr>
          <w:rFonts w:ascii="Times New Roman" w:hAnsi="Times New Roman" w:eastAsia="Times New Roman" w:cs="Times New Roman"/>
        </w:rPr>
        <w:t>2)</w:t>
      </w:r>
      <w:r>
        <w:t>。</w:t>
      </w:r>
    </w:p>
    <w:p w14:paraId="63FE5732">
      <w:pPr>
        <w:pStyle w:val="2"/>
        <w:spacing w:before="127" w:line="312" w:lineRule="auto"/>
        <w:ind w:right="54" w:firstLine="560"/>
        <w:rPr>
          <w:sz w:val="25"/>
          <w:szCs w:val="25"/>
        </w:rPr>
      </w:pPr>
      <w:r>
        <w:rPr>
          <w:spacing w:val="17"/>
          <w:sz w:val="25"/>
          <w:szCs w:val="25"/>
        </w:rPr>
        <w:t>综合考虑风险发生的可能性及后果的严重性，根据风险接受准则，对已</w:t>
      </w:r>
      <w:r>
        <w:rPr>
          <w:spacing w:val="16"/>
          <w:sz w:val="25"/>
          <w:szCs w:val="25"/>
        </w:rPr>
        <w:t>识别</w:t>
      </w:r>
      <w:r>
        <w:rPr>
          <w:sz w:val="25"/>
          <w:szCs w:val="25"/>
        </w:rPr>
        <w:t xml:space="preserve"> </w:t>
      </w:r>
      <w:r>
        <w:rPr>
          <w:spacing w:val="25"/>
          <w:sz w:val="25"/>
          <w:szCs w:val="25"/>
        </w:rPr>
        <w:t>的风险按照采取措施的优先次序排序，排序结果列入风险排序清单。推荐的风</w:t>
      </w:r>
      <w:r>
        <w:rPr>
          <w:spacing w:val="10"/>
          <w:sz w:val="25"/>
          <w:szCs w:val="25"/>
        </w:rPr>
        <w:t xml:space="preserve"> </w:t>
      </w:r>
      <w:r>
        <w:rPr>
          <w:spacing w:val="24"/>
          <w:sz w:val="25"/>
          <w:szCs w:val="25"/>
        </w:rPr>
        <w:t>险排序清单格式见表6.3。</w:t>
      </w:r>
    </w:p>
    <w:p w14:paraId="1FAFF596">
      <w:pPr>
        <w:spacing w:before="1" w:line="220" w:lineRule="auto"/>
        <w:ind w:left="3369"/>
        <w:rPr>
          <w:rFonts w:ascii="仿宋" w:hAnsi="仿宋" w:eastAsia="仿宋" w:cs="仿宋"/>
          <w:sz w:val="24"/>
          <w:szCs w:val="24"/>
        </w:rPr>
      </w:pPr>
      <w:r>
        <w:rPr>
          <w:rFonts w:ascii="仿宋" w:hAnsi="仿宋" w:eastAsia="仿宋" w:cs="仿宋"/>
          <w:spacing w:val="13"/>
          <w:sz w:val="24"/>
          <w:szCs w:val="24"/>
        </w:rPr>
        <w:t>表</w:t>
      </w:r>
      <w:r>
        <w:rPr>
          <w:rFonts w:ascii="仿宋" w:hAnsi="仿宋" w:eastAsia="仿宋" w:cs="仿宋"/>
          <w:spacing w:val="-45"/>
          <w:sz w:val="24"/>
          <w:szCs w:val="24"/>
        </w:rPr>
        <w:t xml:space="preserve"> </w:t>
      </w:r>
      <w:r>
        <w:rPr>
          <w:rFonts w:ascii="仿宋" w:hAnsi="仿宋" w:eastAsia="仿宋" w:cs="仿宋"/>
          <w:spacing w:val="13"/>
          <w:sz w:val="24"/>
          <w:szCs w:val="24"/>
        </w:rPr>
        <w:t>6</w:t>
      </w:r>
      <w:r>
        <w:rPr>
          <w:rFonts w:ascii="仿宋" w:hAnsi="仿宋" w:eastAsia="仿宋" w:cs="仿宋"/>
          <w:spacing w:val="-47"/>
          <w:sz w:val="24"/>
          <w:szCs w:val="24"/>
        </w:rPr>
        <w:t xml:space="preserve"> </w:t>
      </w:r>
      <w:r>
        <w:rPr>
          <w:rFonts w:ascii="仿宋" w:hAnsi="仿宋" w:eastAsia="仿宋" w:cs="仿宋"/>
          <w:spacing w:val="13"/>
          <w:sz w:val="24"/>
          <w:szCs w:val="24"/>
        </w:rPr>
        <w:t>.</w:t>
      </w:r>
      <w:r>
        <w:rPr>
          <w:rFonts w:ascii="仿宋" w:hAnsi="仿宋" w:eastAsia="仿宋" w:cs="仿宋"/>
          <w:spacing w:val="-49"/>
          <w:sz w:val="24"/>
          <w:szCs w:val="24"/>
        </w:rPr>
        <w:t xml:space="preserve"> </w:t>
      </w:r>
      <w:r>
        <w:rPr>
          <w:rFonts w:ascii="仿宋" w:hAnsi="仿宋" w:eastAsia="仿宋" w:cs="仿宋"/>
          <w:spacing w:val="13"/>
          <w:sz w:val="24"/>
          <w:szCs w:val="24"/>
        </w:rPr>
        <w:t>3  风险排序清单</w:t>
      </w:r>
    </w:p>
    <w:p w14:paraId="053BA1E1">
      <w:pPr>
        <w:pStyle w:val="2"/>
        <w:spacing w:before="94" w:line="221" w:lineRule="auto"/>
        <w:ind w:left="429"/>
        <w:rPr>
          <w:sz w:val="20"/>
          <w:szCs w:val="20"/>
        </w:rPr>
      </w:pPr>
      <w:r>
        <w:rPr>
          <w:spacing w:val="2"/>
          <w:position w:val="-1"/>
          <w:sz w:val="20"/>
          <w:szCs w:val="20"/>
        </w:rPr>
        <w:t xml:space="preserve">装备型号名称：                                     </w:t>
      </w:r>
      <w:r>
        <w:rPr>
          <w:spacing w:val="1"/>
          <w:position w:val="-1"/>
          <w:sz w:val="20"/>
          <w:szCs w:val="20"/>
        </w:rPr>
        <w:t xml:space="preserve">    </w:t>
      </w:r>
      <w:r>
        <w:rPr>
          <w:spacing w:val="1"/>
          <w:position w:val="1"/>
          <w:sz w:val="20"/>
          <w:szCs w:val="20"/>
        </w:rPr>
        <w:t>承研承制单位：</w:t>
      </w:r>
    </w:p>
    <w:p w14:paraId="6A96E017">
      <w:pPr>
        <w:spacing w:line="128" w:lineRule="exact"/>
      </w:pPr>
    </w:p>
    <w:tbl>
      <w:tblPr>
        <w:tblStyle w:val="5"/>
        <w:tblW w:w="936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4"/>
        <w:gridCol w:w="1448"/>
        <w:gridCol w:w="1059"/>
        <w:gridCol w:w="829"/>
        <w:gridCol w:w="1049"/>
        <w:gridCol w:w="1049"/>
        <w:gridCol w:w="1039"/>
        <w:gridCol w:w="1258"/>
        <w:gridCol w:w="1004"/>
      </w:tblGrid>
      <w:tr w14:paraId="43188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634" w:type="dxa"/>
            <w:vAlign w:val="top"/>
          </w:tcPr>
          <w:p w14:paraId="18979A91">
            <w:pPr>
              <w:spacing w:before="74" w:line="221" w:lineRule="auto"/>
              <w:ind w:left="94"/>
              <w:rPr>
                <w:rFonts w:ascii="宋体" w:hAnsi="宋体" w:eastAsia="宋体" w:cs="宋体"/>
                <w:sz w:val="21"/>
                <w:szCs w:val="21"/>
              </w:rPr>
            </w:pPr>
            <w:r>
              <w:rPr>
                <w:rFonts w:ascii="宋体" w:hAnsi="宋体" w:eastAsia="宋体" w:cs="宋体"/>
                <w:spacing w:val="6"/>
                <w:sz w:val="21"/>
                <w:szCs w:val="21"/>
              </w:rPr>
              <w:t>排序</w:t>
            </w:r>
          </w:p>
        </w:tc>
        <w:tc>
          <w:tcPr>
            <w:tcW w:w="1448" w:type="dxa"/>
            <w:vAlign w:val="top"/>
          </w:tcPr>
          <w:p w14:paraId="2322A902">
            <w:pPr>
              <w:spacing w:before="73" w:line="219" w:lineRule="auto"/>
              <w:ind w:left="191"/>
              <w:rPr>
                <w:rFonts w:ascii="宋体" w:hAnsi="宋体" w:eastAsia="宋体" w:cs="宋体"/>
                <w:sz w:val="21"/>
                <w:szCs w:val="21"/>
              </w:rPr>
            </w:pPr>
            <w:r>
              <w:rPr>
                <w:rFonts w:ascii="宋体" w:hAnsi="宋体" w:eastAsia="宋体" w:cs="宋体"/>
                <w:spacing w:val="2"/>
                <w:sz w:val="21"/>
                <w:szCs w:val="21"/>
              </w:rPr>
              <w:t>风险源编号</w:t>
            </w:r>
          </w:p>
        </w:tc>
        <w:tc>
          <w:tcPr>
            <w:tcW w:w="1059" w:type="dxa"/>
            <w:vAlign w:val="top"/>
          </w:tcPr>
          <w:p w14:paraId="1AC43BA5">
            <w:pPr>
              <w:spacing w:before="73" w:line="219" w:lineRule="auto"/>
              <w:ind w:left="103"/>
              <w:rPr>
                <w:rFonts w:ascii="宋体" w:hAnsi="宋体" w:eastAsia="宋体" w:cs="宋体"/>
                <w:sz w:val="21"/>
                <w:szCs w:val="21"/>
              </w:rPr>
            </w:pPr>
            <w:r>
              <w:rPr>
                <w:rFonts w:ascii="宋体" w:hAnsi="宋体" w:eastAsia="宋体" w:cs="宋体"/>
                <w:spacing w:val="-3"/>
                <w:sz w:val="21"/>
                <w:szCs w:val="21"/>
              </w:rPr>
              <w:t>最大风险</w:t>
            </w:r>
          </w:p>
        </w:tc>
        <w:tc>
          <w:tcPr>
            <w:tcW w:w="829" w:type="dxa"/>
            <w:vAlign w:val="top"/>
          </w:tcPr>
          <w:p w14:paraId="0805A6C7">
            <w:pPr>
              <w:spacing w:before="73" w:line="219" w:lineRule="auto"/>
              <w:ind w:left="93"/>
              <w:rPr>
                <w:rFonts w:ascii="宋体" w:hAnsi="宋体" w:eastAsia="宋体" w:cs="宋体"/>
                <w:sz w:val="21"/>
                <w:szCs w:val="21"/>
              </w:rPr>
            </w:pPr>
            <w:r>
              <w:rPr>
                <w:rFonts w:ascii="宋体" w:hAnsi="宋体" w:eastAsia="宋体" w:cs="宋体"/>
                <w:spacing w:val="2"/>
                <w:sz w:val="21"/>
                <w:szCs w:val="21"/>
              </w:rPr>
              <w:t>高风险</w:t>
            </w:r>
          </w:p>
        </w:tc>
        <w:tc>
          <w:tcPr>
            <w:tcW w:w="1049" w:type="dxa"/>
            <w:vAlign w:val="top"/>
          </w:tcPr>
          <w:p w14:paraId="728E753A">
            <w:pPr>
              <w:spacing w:before="73" w:line="219" w:lineRule="auto"/>
              <w:ind w:left="95"/>
              <w:rPr>
                <w:rFonts w:ascii="宋体" w:hAnsi="宋体" w:eastAsia="宋体" w:cs="宋体"/>
                <w:sz w:val="21"/>
                <w:szCs w:val="21"/>
              </w:rPr>
            </w:pPr>
            <w:r>
              <w:rPr>
                <w:rFonts w:ascii="宋体" w:hAnsi="宋体" w:eastAsia="宋体" w:cs="宋体"/>
                <w:spacing w:val="2"/>
                <w:sz w:val="21"/>
                <w:szCs w:val="21"/>
              </w:rPr>
              <w:t>中等风险</w:t>
            </w:r>
          </w:p>
        </w:tc>
        <w:tc>
          <w:tcPr>
            <w:tcW w:w="1049" w:type="dxa"/>
            <w:vAlign w:val="top"/>
          </w:tcPr>
          <w:p w14:paraId="39618E96">
            <w:pPr>
              <w:spacing w:before="74" w:line="220" w:lineRule="auto"/>
              <w:ind w:left="205"/>
              <w:rPr>
                <w:rFonts w:ascii="宋体" w:hAnsi="宋体" w:eastAsia="宋体" w:cs="宋体"/>
                <w:sz w:val="21"/>
                <w:szCs w:val="21"/>
              </w:rPr>
            </w:pPr>
            <w:r>
              <w:rPr>
                <w:rFonts w:ascii="宋体" w:hAnsi="宋体" w:eastAsia="宋体" w:cs="宋体"/>
                <w:spacing w:val="-2"/>
                <w:sz w:val="21"/>
                <w:szCs w:val="21"/>
              </w:rPr>
              <w:t>低风险</w:t>
            </w:r>
          </w:p>
        </w:tc>
        <w:tc>
          <w:tcPr>
            <w:tcW w:w="1039" w:type="dxa"/>
            <w:vAlign w:val="top"/>
          </w:tcPr>
          <w:p w14:paraId="30A804BD">
            <w:pPr>
              <w:spacing w:before="73" w:line="219" w:lineRule="auto"/>
              <w:ind w:left="96"/>
              <w:rPr>
                <w:rFonts w:ascii="宋体" w:hAnsi="宋体" w:eastAsia="宋体" w:cs="宋体"/>
                <w:sz w:val="21"/>
                <w:szCs w:val="21"/>
              </w:rPr>
            </w:pPr>
            <w:r>
              <w:rPr>
                <w:rFonts w:ascii="宋体" w:hAnsi="宋体" w:eastAsia="宋体" w:cs="宋体"/>
                <w:spacing w:val="-3"/>
                <w:sz w:val="21"/>
                <w:szCs w:val="21"/>
              </w:rPr>
              <w:t>最小风险</w:t>
            </w:r>
          </w:p>
        </w:tc>
        <w:tc>
          <w:tcPr>
            <w:tcW w:w="1258" w:type="dxa"/>
            <w:vAlign w:val="top"/>
          </w:tcPr>
          <w:p w14:paraId="6180A3E0">
            <w:pPr>
              <w:spacing w:before="73" w:line="219" w:lineRule="auto"/>
              <w:ind w:left="208"/>
              <w:rPr>
                <w:rFonts w:ascii="宋体" w:hAnsi="宋体" w:eastAsia="宋体" w:cs="宋体"/>
                <w:sz w:val="21"/>
                <w:szCs w:val="21"/>
              </w:rPr>
            </w:pPr>
            <w:r>
              <w:rPr>
                <w:rFonts w:ascii="宋体" w:hAnsi="宋体" w:eastAsia="宋体" w:cs="宋体"/>
                <w:spacing w:val="3"/>
                <w:sz w:val="21"/>
                <w:szCs w:val="21"/>
              </w:rPr>
              <w:t>风险类型</w:t>
            </w:r>
          </w:p>
        </w:tc>
        <w:tc>
          <w:tcPr>
            <w:tcW w:w="1004" w:type="dxa"/>
            <w:vAlign w:val="top"/>
          </w:tcPr>
          <w:p w14:paraId="0ADAA2B6">
            <w:pPr>
              <w:spacing w:before="74" w:line="221" w:lineRule="auto"/>
              <w:ind w:left="289"/>
              <w:rPr>
                <w:rFonts w:ascii="宋体" w:hAnsi="宋体" w:eastAsia="宋体" w:cs="宋体"/>
                <w:sz w:val="21"/>
                <w:szCs w:val="21"/>
              </w:rPr>
            </w:pPr>
            <w:r>
              <w:rPr>
                <w:rFonts w:ascii="宋体" w:hAnsi="宋体" w:eastAsia="宋体" w:cs="宋体"/>
                <w:spacing w:val="5"/>
                <w:sz w:val="21"/>
                <w:szCs w:val="21"/>
              </w:rPr>
              <w:t>备注</w:t>
            </w:r>
          </w:p>
        </w:tc>
      </w:tr>
      <w:tr w14:paraId="5A20D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634" w:type="dxa"/>
            <w:vAlign w:val="top"/>
          </w:tcPr>
          <w:p w14:paraId="0C2A7F83">
            <w:pPr>
              <w:pStyle w:val="6"/>
            </w:pPr>
          </w:p>
        </w:tc>
        <w:tc>
          <w:tcPr>
            <w:tcW w:w="1448" w:type="dxa"/>
            <w:vAlign w:val="top"/>
          </w:tcPr>
          <w:p w14:paraId="51196A9B">
            <w:pPr>
              <w:pStyle w:val="6"/>
            </w:pPr>
          </w:p>
        </w:tc>
        <w:tc>
          <w:tcPr>
            <w:tcW w:w="1059" w:type="dxa"/>
            <w:vAlign w:val="top"/>
          </w:tcPr>
          <w:p w14:paraId="43CC06F2">
            <w:pPr>
              <w:spacing w:before="137" w:line="153" w:lineRule="exact"/>
              <w:ind w:left="492"/>
              <w:rPr>
                <w:rFonts w:ascii="宋体" w:hAnsi="宋体" w:eastAsia="宋体" w:cs="宋体"/>
                <w:sz w:val="11"/>
                <w:szCs w:val="11"/>
              </w:rPr>
            </w:pPr>
            <w:r>
              <w:rPr>
                <w:rFonts w:ascii="宋体" w:hAnsi="宋体" w:eastAsia="宋体" w:cs="宋体"/>
                <w:position w:val="1"/>
                <w:sz w:val="11"/>
                <w:szCs w:val="11"/>
              </w:rPr>
              <w:t>*</w:t>
            </w:r>
          </w:p>
        </w:tc>
        <w:tc>
          <w:tcPr>
            <w:tcW w:w="829" w:type="dxa"/>
            <w:vAlign w:val="top"/>
          </w:tcPr>
          <w:p w14:paraId="7E0DE1F4">
            <w:pPr>
              <w:spacing w:before="137" w:line="153" w:lineRule="exact"/>
              <w:ind w:left="374"/>
              <w:rPr>
                <w:rFonts w:ascii="宋体" w:hAnsi="宋体" w:eastAsia="宋体" w:cs="宋体"/>
                <w:sz w:val="11"/>
                <w:szCs w:val="11"/>
              </w:rPr>
            </w:pPr>
            <w:r>
              <w:rPr>
                <w:rFonts w:ascii="宋体" w:hAnsi="宋体" w:eastAsia="宋体" w:cs="宋体"/>
                <w:position w:val="1"/>
                <w:sz w:val="11"/>
                <w:szCs w:val="11"/>
              </w:rPr>
              <w:t>*</w:t>
            </w:r>
          </w:p>
        </w:tc>
        <w:tc>
          <w:tcPr>
            <w:tcW w:w="1049" w:type="dxa"/>
            <w:vAlign w:val="top"/>
          </w:tcPr>
          <w:p w14:paraId="2AED3762">
            <w:pPr>
              <w:spacing w:before="137" w:line="153" w:lineRule="exact"/>
              <w:ind w:left="484"/>
              <w:rPr>
                <w:rFonts w:ascii="宋体" w:hAnsi="宋体" w:eastAsia="宋体" w:cs="宋体"/>
                <w:sz w:val="11"/>
                <w:szCs w:val="11"/>
              </w:rPr>
            </w:pPr>
            <w:r>
              <w:rPr>
                <w:rFonts w:ascii="宋体" w:hAnsi="宋体" w:eastAsia="宋体" w:cs="宋体"/>
                <w:position w:val="1"/>
                <w:sz w:val="11"/>
                <w:szCs w:val="11"/>
              </w:rPr>
              <w:t>*</w:t>
            </w:r>
          </w:p>
        </w:tc>
        <w:tc>
          <w:tcPr>
            <w:tcW w:w="1049" w:type="dxa"/>
            <w:vAlign w:val="top"/>
          </w:tcPr>
          <w:p w14:paraId="45492D6A">
            <w:pPr>
              <w:spacing w:before="137" w:line="153" w:lineRule="exact"/>
              <w:ind w:left="485"/>
              <w:rPr>
                <w:rFonts w:ascii="宋体" w:hAnsi="宋体" w:eastAsia="宋体" w:cs="宋体"/>
                <w:sz w:val="11"/>
                <w:szCs w:val="11"/>
              </w:rPr>
            </w:pPr>
            <w:r>
              <w:rPr>
                <w:rFonts w:ascii="宋体" w:hAnsi="宋体" w:eastAsia="宋体" w:cs="宋体"/>
                <w:position w:val="1"/>
                <w:sz w:val="11"/>
                <w:szCs w:val="11"/>
              </w:rPr>
              <w:t>*</w:t>
            </w:r>
          </w:p>
        </w:tc>
        <w:tc>
          <w:tcPr>
            <w:tcW w:w="1039" w:type="dxa"/>
            <w:vAlign w:val="top"/>
          </w:tcPr>
          <w:p w14:paraId="4B2631FB">
            <w:pPr>
              <w:spacing w:before="137" w:line="153" w:lineRule="exact"/>
              <w:ind w:left="487"/>
              <w:rPr>
                <w:rFonts w:ascii="宋体" w:hAnsi="宋体" w:eastAsia="宋体" w:cs="宋体"/>
                <w:sz w:val="11"/>
                <w:szCs w:val="11"/>
              </w:rPr>
            </w:pPr>
            <w:r>
              <w:rPr>
                <w:rFonts w:ascii="宋体" w:hAnsi="宋体" w:eastAsia="宋体" w:cs="宋体"/>
                <w:position w:val="1"/>
                <w:sz w:val="11"/>
                <w:szCs w:val="11"/>
              </w:rPr>
              <w:t>*</w:t>
            </w:r>
          </w:p>
        </w:tc>
        <w:tc>
          <w:tcPr>
            <w:tcW w:w="1258" w:type="dxa"/>
            <w:vAlign w:val="top"/>
          </w:tcPr>
          <w:p w14:paraId="5D8020FD">
            <w:pPr>
              <w:spacing w:before="137" w:line="153" w:lineRule="exact"/>
              <w:ind w:left="567"/>
              <w:rPr>
                <w:rFonts w:ascii="宋体" w:hAnsi="宋体" w:eastAsia="宋体" w:cs="宋体"/>
                <w:sz w:val="11"/>
                <w:szCs w:val="11"/>
              </w:rPr>
            </w:pPr>
            <w:r>
              <w:rPr>
                <w:rFonts w:ascii="宋体" w:hAnsi="宋体" w:eastAsia="宋体" w:cs="宋体"/>
                <w:spacing w:val="-1"/>
                <w:position w:val="1"/>
                <w:sz w:val="11"/>
                <w:szCs w:val="11"/>
              </w:rPr>
              <w:t>**</w:t>
            </w:r>
          </w:p>
        </w:tc>
        <w:tc>
          <w:tcPr>
            <w:tcW w:w="1004" w:type="dxa"/>
            <w:vAlign w:val="top"/>
          </w:tcPr>
          <w:p w14:paraId="0526CF5D">
            <w:pPr>
              <w:pStyle w:val="6"/>
            </w:pPr>
          </w:p>
        </w:tc>
      </w:tr>
      <w:tr w14:paraId="1C91F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634" w:type="dxa"/>
            <w:vAlign w:val="top"/>
          </w:tcPr>
          <w:p w14:paraId="39F89819">
            <w:pPr>
              <w:pStyle w:val="6"/>
            </w:pPr>
          </w:p>
        </w:tc>
        <w:tc>
          <w:tcPr>
            <w:tcW w:w="1448" w:type="dxa"/>
            <w:vAlign w:val="top"/>
          </w:tcPr>
          <w:p w14:paraId="6BAE0EAB">
            <w:pPr>
              <w:pStyle w:val="6"/>
            </w:pPr>
          </w:p>
        </w:tc>
        <w:tc>
          <w:tcPr>
            <w:tcW w:w="1059" w:type="dxa"/>
            <w:vAlign w:val="top"/>
          </w:tcPr>
          <w:p w14:paraId="3B494A73">
            <w:pPr>
              <w:pStyle w:val="6"/>
            </w:pPr>
          </w:p>
        </w:tc>
        <w:tc>
          <w:tcPr>
            <w:tcW w:w="829" w:type="dxa"/>
            <w:vAlign w:val="top"/>
          </w:tcPr>
          <w:p w14:paraId="3D69A3C2">
            <w:pPr>
              <w:pStyle w:val="6"/>
            </w:pPr>
          </w:p>
        </w:tc>
        <w:tc>
          <w:tcPr>
            <w:tcW w:w="1049" w:type="dxa"/>
            <w:vAlign w:val="top"/>
          </w:tcPr>
          <w:p w14:paraId="5813205B">
            <w:pPr>
              <w:pStyle w:val="6"/>
            </w:pPr>
          </w:p>
        </w:tc>
        <w:tc>
          <w:tcPr>
            <w:tcW w:w="1049" w:type="dxa"/>
            <w:vAlign w:val="top"/>
          </w:tcPr>
          <w:p w14:paraId="6613F70B">
            <w:pPr>
              <w:pStyle w:val="6"/>
            </w:pPr>
          </w:p>
        </w:tc>
        <w:tc>
          <w:tcPr>
            <w:tcW w:w="1039" w:type="dxa"/>
            <w:vAlign w:val="top"/>
          </w:tcPr>
          <w:p w14:paraId="7F3BF234">
            <w:pPr>
              <w:pStyle w:val="6"/>
            </w:pPr>
          </w:p>
        </w:tc>
        <w:tc>
          <w:tcPr>
            <w:tcW w:w="1258" w:type="dxa"/>
            <w:vAlign w:val="top"/>
          </w:tcPr>
          <w:p w14:paraId="3C681069">
            <w:pPr>
              <w:pStyle w:val="6"/>
            </w:pPr>
          </w:p>
        </w:tc>
        <w:tc>
          <w:tcPr>
            <w:tcW w:w="1004" w:type="dxa"/>
            <w:vAlign w:val="top"/>
          </w:tcPr>
          <w:p w14:paraId="0EE6062A">
            <w:pPr>
              <w:pStyle w:val="6"/>
            </w:pPr>
          </w:p>
        </w:tc>
      </w:tr>
      <w:tr w14:paraId="602B7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634" w:type="dxa"/>
            <w:vAlign w:val="top"/>
          </w:tcPr>
          <w:p w14:paraId="7A113999">
            <w:pPr>
              <w:pStyle w:val="6"/>
            </w:pPr>
          </w:p>
        </w:tc>
        <w:tc>
          <w:tcPr>
            <w:tcW w:w="1448" w:type="dxa"/>
            <w:vAlign w:val="top"/>
          </w:tcPr>
          <w:p w14:paraId="70F23FC1">
            <w:pPr>
              <w:pStyle w:val="6"/>
            </w:pPr>
          </w:p>
        </w:tc>
        <w:tc>
          <w:tcPr>
            <w:tcW w:w="1059" w:type="dxa"/>
            <w:vAlign w:val="top"/>
          </w:tcPr>
          <w:p w14:paraId="4AB7536E">
            <w:pPr>
              <w:pStyle w:val="6"/>
            </w:pPr>
          </w:p>
        </w:tc>
        <w:tc>
          <w:tcPr>
            <w:tcW w:w="829" w:type="dxa"/>
            <w:vAlign w:val="top"/>
          </w:tcPr>
          <w:p w14:paraId="352D858D">
            <w:pPr>
              <w:pStyle w:val="6"/>
            </w:pPr>
          </w:p>
        </w:tc>
        <w:tc>
          <w:tcPr>
            <w:tcW w:w="1049" w:type="dxa"/>
            <w:vAlign w:val="top"/>
          </w:tcPr>
          <w:p w14:paraId="16EFA1FE">
            <w:pPr>
              <w:pStyle w:val="6"/>
            </w:pPr>
          </w:p>
        </w:tc>
        <w:tc>
          <w:tcPr>
            <w:tcW w:w="1049" w:type="dxa"/>
            <w:vAlign w:val="top"/>
          </w:tcPr>
          <w:p w14:paraId="62E1EE86">
            <w:pPr>
              <w:pStyle w:val="6"/>
            </w:pPr>
          </w:p>
        </w:tc>
        <w:tc>
          <w:tcPr>
            <w:tcW w:w="1039" w:type="dxa"/>
            <w:vAlign w:val="top"/>
          </w:tcPr>
          <w:p w14:paraId="3F4A546D">
            <w:pPr>
              <w:pStyle w:val="6"/>
            </w:pPr>
          </w:p>
        </w:tc>
        <w:tc>
          <w:tcPr>
            <w:tcW w:w="1258" w:type="dxa"/>
            <w:vAlign w:val="top"/>
          </w:tcPr>
          <w:p w14:paraId="0DCB33AB">
            <w:pPr>
              <w:pStyle w:val="6"/>
            </w:pPr>
          </w:p>
        </w:tc>
        <w:tc>
          <w:tcPr>
            <w:tcW w:w="1004" w:type="dxa"/>
            <w:vAlign w:val="top"/>
          </w:tcPr>
          <w:p w14:paraId="5676CA6C">
            <w:pPr>
              <w:pStyle w:val="6"/>
            </w:pPr>
          </w:p>
        </w:tc>
      </w:tr>
      <w:tr w14:paraId="333A2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0" w:hRule="atLeast"/>
        </w:trPr>
        <w:tc>
          <w:tcPr>
            <w:tcW w:w="9369" w:type="dxa"/>
            <w:gridSpan w:val="9"/>
            <w:vAlign w:val="top"/>
          </w:tcPr>
          <w:p w14:paraId="1EF7AED0">
            <w:pPr>
              <w:spacing w:before="184" w:line="219" w:lineRule="auto"/>
              <w:ind w:left="104"/>
              <w:rPr>
                <w:rFonts w:ascii="宋体" w:hAnsi="宋体" w:eastAsia="宋体" w:cs="宋体"/>
                <w:sz w:val="21"/>
                <w:szCs w:val="21"/>
              </w:rPr>
            </w:pPr>
            <w:r>
              <w:rPr>
                <w:rFonts w:ascii="宋体" w:hAnsi="宋体" w:eastAsia="宋体" w:cs="宋体"/>
                <w:sz w:val="21"/>
                <w:szCs w:val="21"/>
              </w:rPr>
              <w:t>注1:风险源编号与表6.1一致。</w:t>
            </w:r>
          </w:p>
          <w:p w14:paraId="4AA8BE33">
            <w:pPr>
              <w:spacing w:before="90" w:line="219" w:lineRule="auto"/>
              <w:ind w:left="104"/>
              <w:rPr>
                <w:rFonts w:ascii="宋体" w:hAnsi="宋体" w:eastAsia="宋体" w:cs="宋体"/>
                <w:sz w:val="21"/>
                <w:szCs w:val="21"/>
              </w:rPr>
            </w:pPr>
            <w:r>
              <w:rPr>
                <w:rFonts w:ascii="宋体" w:hAnsi="宋体" w:eastAsia="宋体" w:cs="宋体"/>
                <w:sz w:val="21"/>
                <w:szCs w:val="21"/>
              </w:rPr>
              <w:t>注2:(*)根据风险接受准则适当地标记风险指数值。</w:t>
            </w:r>
          </w:p>
          <w:p w14:paraId="300CC367">
            <w:pPr>
              <w:spacing w:before="90" w:line="219" w:lineRule="auto"/>
              <w:ind w:left="104"/>
              <w:rPr>
                <w:rFonts w:ascii="宋体" w:hAnsi="宋体" w:eastAsia="宋体" w:cs="宋体"/>
                <w:sz w:val="21"/>
                <w:szCs w:val="21"/>
              </w:rPr>
            </w:pPr>
            <w:r>
              <w:rPr>
                <w:rFonts w:ascii="宋体" w:hAnsi="宋体" w:eastAsia="宋体" w:cs="宋体"/>
                <w:sz w:val="21"/>
                <w:szCs w:val="21"/>
              </w:rPr>
              <w:t>注3:(**)指出风险类型，例如技术、费用或进度</w:t>
            </w:r>
          </w:p>
        </w:tc>
      </w:tr>
    </w:tbl>
    <w:p w14:paraId="6AA902F3">
      <w:pPr>
        <w:pStyle w:val="2"/>
        <w:spacing w:before="242" w:line="229" w:lineRule="auto"/>
        <w:ind w:left="429"/>
        <w:rPr>
          <w:sz w:val="20"/>
          <w:szCs w:val="20"/>
        </w:rPr>
      </w:pPr>
      <w:r>
        <w:rPr>
          <w:spacing w:val="-2"/>
          <w:sz w:val="20"/>
          <w:szCs w:val="20"/>
        </w:rPr>
        <w:t>编写             日期             审</w:t>
      </w:r>
      <w:r>
        <w:rPr>
          <w:spacing w:val="-40"/>
          <w:sz w:val="20"/>
          <w:szCs w:val="20"/>
        </w:rPr>
        <w:t xml:space="preserve"> </w:t>
      </w:r>
      <w:r>
        <w:rPr>
          <w:spacing w:val="-2"/>
          <w:sz w:val="20"/>
          <w:szCs w:val="20"/>
        </w:rPr>
        <w:t>核             日</w:t>
      </w:r>
      <w:r>
        <w:rPr>
          <w:spacing w:val="-3"/>
          <w:sz w:val="20"/>
          <w:szCs w:val="20"/>
        </w:rPr>
        <w:t>期</w:t>
      </w:r>
      <w:r>
        <w:rPr>
          <w:spacing w:val="3"/>
          <w:sz w:val="20"/>
          <w:szCs w:val="20"/>
        </w:rPr>
        <w:t xml:space="preserve">          </w:t>
      </w:r>
      <w:r>
        <w:rPr>
          <w:spacing w:val="-3"/>
          <w:sz w:val="20"/>
          <w:szCs w:val="20"/>
        </w:rPr>
        <w:t>第</w:t>
      </w:r>
      <w:r>
        <w:rPr>
          <w:spacing w:val="11"/>
          <w:sz w:val="20"/>
          <w:szCs w:val="20"/>
        </w:rPr>
        <w:t xml:space="preserve">    </w:t>
      </w:r>
      <w:r>
        <w:rPr>
          <w:spacing w:val="-3"/>
          <w:sz w:val="20"/>
          <w:szCs w:val="20"/>
        </w:rPr>
        <w:t>页  共</w:t>
      </w:r>
      <w:r>
        <w:rPr>
          <w:spacing w:val="12"/>
          <w:sz w:val="20"/>
          <w:szCs w:val="20"/>
        </w:rPr>
        <w:t xml:space="preserve">    </w:t>
      </w:r>
      <w:r>
        <w:rPr>
          <w:spacing w:val="-3"/>
          <w:sz w:val="20"/>
          <w:szCs w:val="20"/>
        </w:rPr>
        <w:t>页</w:t>
      </w:r>
    </w:p>
    <w:p w14:paraId="116E9284">
      <w:pPr>
        <w:spacing w:before="163" w:line="222" w:lineRule="auto"/>
        <w:rPr>
          <w:rFonts w:ascii="黑体" w:hAnsi="黑体" w:eastAsia="黑体" w:cs="黑体"/>
          <w:sz w:val="24"/>
          <w:szCs w:val="24"/>
        </w:rPr>
      </w:pPr>
      <w:r>
        <w:rPr>
          <w:rFonts w:ascii="黑体" w:hAnsi="黑体" w:eastAsia="黑体" w:cs="黑体"/>
          <w:spacing w:val="26"/>
          <w:sz w:val="24"/>
          <w:szCs w:val="24"/>
        </w:rPr>
        <w:t>5.3</w:t>
      </w:r>
      <w:r>
        <w:rPr>
          <w:rFonts w:ascii="黑体" w:hAnsi="黑体" w:eastAsia="黑体" w:cs="黑体"/>
          <w:spacing w:val="8"/>
          <w:sz w:val="24"/>
          <w:szCs w:val="24"/>
        </w:rPr>
        <w:t xml:space="preserve">   </w:t>
      </w:r>
      <w:r>
        <w:rPr>
          <w:rFonts w:ascii="黑体" w:hAnsi="黑体" w:eastAsia="黑体" w:cs="黑体"/>
          <w:spacing w:val="26"/>
          <w:sz w:val="24"/>
          <w:szCs w:val="24"/>
        </w:rPr>
        <w:t>高风险项目处置措施建议</w:t>
      </w:r>
    </w:p>
    <w:p w14:paraId="6C364C04">
      <w:pPr>
        <w:pStyle w:val="2"/>
        <w:spacing w:before="84" w:line="219" w:lineRule="auto"/>
        <w:ind w:left="560"/>
      </w:pPr>
      <w:r>
        <w:rPr>
          <w:spacing w:val="3"/>
        </w:rPr>
        <w:t>必要时可对高风险项目提出处置措施建议。</w:t>
      </w:r>
    </w:p>
    <w:p w14:paraId="6F80F456">
      <w:pPr>
        <w:spacing w:before="110" w:line="222"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19"/>
          <w:sz w:val="27"/>
          <w:szCs w:val="27"/>
        </w:rPr>
        <w:t xml:space="preserve">  </w:t>
      </w:r>
      <w:r>
        <w:rPr>
          <w:rFonts w:ascii="黑体" w:hAnsi="黑体" w:eastAsia="黑体" w:cs="黑体"/>
          <w:spacing w:val="3"/>
          <w:sz w:val="27"/>
          <w:szCs w:val="27"/>
        </w:rPr>
        <w:t>分析结论</w:t>
      </w:r>
    </w:p>
    <w:p w14:paraId="7A1C9FE8">
      <w:pPr>
        <w:pStyle w:val="2"/>
        <w:spacing w:before="95" w:line="219" w:lineRule="auto"/>
        <w:ind w:left="560"/>
      </w:pPr>
      <w:r>
        <w:rPr>
          <w:spacing w:val="-6"/>
        </w:rPr>
        <w:t>总结风险分析工作，得出结论和建议。</w:t>
      </w:r>
    </w:p>
    <w:p w14:paraId="528DF520">
      <w:pPr>
        <w:spacing w:before="107" w:line="221" w:lineRule="auto"/>
        <w:rPr>
          <w:rFonts w:ascii="黑体" w:hAnsi="黑体" w:eastAsia="黑体" w:cs="黑体"/>
          <w:sz w:val="25"/>
          <w:szCs w:val="25"/>
        </w:rPr>
      </w:pPr>
      <w:r>
        <w:rPr>
          <w:rFonts w:ascii="黑体" w:hAnsi="黑体" w:eastAsia="黑体" w:cs="黑体"/>
          <w:spacing w:val="15"/>
          <w:sz w:val="25"/>
          <w:szCs w:val="25"/>
        </w:rPr>
        <w:t>附</w:t>
      </w:r>
      <w:r>
        <w:rPr>
          <w:rFonts w:ascii="黑体" w:hAnsi="黑体" w:eastAsia="黑体" w:cs="黑体"/>
          <w:spacing w:val="-48"/>
          <w:sz w:val="25"/>
          <w:szCs w:val="25"/>
        </w:rPr>
        <w:t xml:space="preserve"> </w:t>
      </w:r>
      <w:r>
        <w:rPr>
          <w:rFonts w:ascii="黑体" w:hAnsi="黑体" w:eastAsia="黑体" w:cs="黑体"/>
          <w:spacing w:val="15"/>
          <w:sz w:val="25"/>
          <w:szCs w:val="25"/>
        </w:rPr>
        <w:t>件</w:t>
      </w:r>
      <w:r>
        <w:rPr>
          <w:rFonts w:ascii="Times New Roman" w:hAnsi="Times New Roman" w:eastAsia="Times New Roman" w:cs="Times New Roman"/>
          <w:spacing w:val="15"/>
          <w:sz w:val="25"/>
          <w:szCs w:val="25"/>
        </w:rPr>
        <w:t>A1</w:t>
      </w:r>
      <w:r>
        <w:rPr>
          <w:rFonts w:ascii="Times New Roman" w:hAnsi="Times New Roman" w:eastAsia="Times New Roman" w:cs="Times New Roman"/>
          <w:spacing w:val="10"/>
          <w:sz w:val="25"/>
          <w:szCs w:val="25"/>
        </w:rPr>
        <w:t xml:space="preserve">     </w:t>
      </w:r>
      <w:r>
        <w:rPr>
          <w:rFonts w:ascii="黑体" w:hAnsi="黑体" w:eastAsia="黑体" w:cs="黑体"/>
          <w:spacing w:val="15"/>
          <w:sz w:val="25"/>
          <w:szCs w:val="25"/>
        </w:rPr>
        <w:t>风险源清单</w:t>
      </w:r>
    </w:p>
    <w:p w14:paraId="0E9AA814">
      <w:pPr>
        <w:spacing w:before="131" w:line="222" w:lineRule="auto"/>
        <w:ind w:left="3"/>
        <w:rPr>
          <w:rFonts w:ascii="黑体" w:hAnsi="黑体" w:eastAsia="黑体" w:cs="黑体"/>
          <w:sz w:val="25"/>
          <w:szCs w:val="25"/>
        </w:rPr>
      </w:pPr>
      <w:r>
        <w:rPr>
          <w:rFonts w:ascii="黑体" w:hAnsi="黑体" w:eastAsia="黑体" w:cs="黑体"/>
          <w:b/>
          <w:bCs/>
          <w:spacing w:val="14"/>
          <w:sz w:val="25"/>
          <w:szCs w:val="25"/>
        </w:rPr>
        <w:t>附</w:t>
      </w:r>
      <w:r>
        <w:rPr>
          <w:rFonts w:ascii="黑体" w:hAnsi="黑体" w:eastAsia="黑体" w:cs="黑体"/>
          <w:spacing w:val="-58"/>
          <w:sz w:val="25"/>
          <w:szCs w:val="25"/>
        </w:rPr>
        <w:t xml:space="preserve"> </w:t>
      </w:r>
      <w:r>
        <w:rPr>
          <w:rFonts w:ascii="黑体" w:hAnsi="黑体" w:eastAsia="黑体" w:cs="黑体"/>
          <w:b/>
          <w:bCs/>
          <w:spacing w:val="14"/>
          <w:sz w:val="25"/>
          <w:szCs w:val="25"/>
        </w:rPr>
        <w:t>件</w:t>
      </w:r>
      <w:r>
        <w:rPr>
          <w:rFonts w:ascii="Times New Roman" w:hAnsi="Times New Roman" w:eastAsia="Times New Roman" w:cs="Times New Roman"/>
          <w:b/>
          <w:bCs/>
          <w:spacing w:val="14"/>
          <w:sz w:val="25"/>
          <w:szCs w:val="25"/>
        </w:rPr>
        <w:t xml:space="preserve">A2     </w:t>
      </w:r>
      <w:r>
        <w:rPr>
          <w:rFonts w:ascii="黑体" w:hAnsi="黑体" w:eastAsia="黑体" w:cs="黑体"/>
          <w:spacing w:val="14"/>
          <w:sz w:val="25"/>
          <w:szCs w:val="25"/>
        </w:rPr>
        <w:t>风险排序清单</w:t>
      </w:r>
    </w:p>
    <w:p w14:paraId="5A8C7C7D">
      <w:pPr>
        <w:pStyle w:val="2"/>
        <w:spacing w:before="257" w:line="218" w:lineRule="auto"/>
        <w:ind w:left="2240"/>
        <w:rPr>
          <w:sz w:val="36"/>
          <w:szCs w:val="36"/>
        </w:rPr>
      </w:pPr>
      <w:r>
        <w:rPr>
          <w:spacing w:val="2"/>
          <w:sz w:val="36"/>
          <w:szCs w:val="36"/>
        </w:rPr>
        <w:t xml:space="preserve">6.3  </w:t>
      </w:r>
      <w:r>
        <w:rPr>
          <w:b/>
          <w:bCs/>
          <w:spacing w:val="2"/>
          <w:sz w:val="36"/>
          <w:szCs w:val="36"/>
        </w:rPr>
        <w:t>技术成熟度评价工作计划</w:t>
      </w:r>
    </w:p>
    <w:p w14:paraId="4DD43C3D">
      <w:pPr>
        <w:spacing w:before="257" w:line="221"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spacing w:val="24"/>
          <w:sz w:val="27"/>
          <w:szCs w:val="27"/>
        </w:rPr>
        <w:t xml:space="preserve">  </w:t>
      </w:r>
      <w:r>
        <w:rPr>
          <w:rFonts w:ascii="黑体" w:hAnsi="黑体" w:eastAsia="黑体" w:cs="黑体"/>
          <w:spacing w:val="1"/>
          <w:sz w:val="27"/>
          <w:szCs w:val="27"/>
        </w:rPr>
        <w:t>项目概述</w:t>
      </w:r>
    </w:p>
    <w:p w14:paraId="67CC8404">
      <w:pPr>
        <w:pStyle w:val="2"/>
        <w:spacing w:before="89" w:line="299" w:lineRule="auto"/>
        <w:ind w:right="59" w:firstLine="560"/>
      </w:pPr>
      <w:r>
        <w:rPr>
          <w:spacing w:val="-3"/>
        </w:rPr>
        <w:t>列表描述项目目标、项目研究内容、国内外发展现状与差距</w:t>
      </w:r>
      <w:r>
        <w:rPr>
          <w:spacing w:val="-4"/>
        </w:rPr>
        <w:t>、应用背景与范</w:t>
      </w:r>
      <w:r>
        <w:t xml:space="preserve"> </w:t>
      </w:r>
      <w:r>
        <w:rPr>
          <w:spacing w:val="-1"/>
        </w:rPr>
        <w:t>围、系统简介(如果需要),见表6.4。</w:t>
      </w:r>
    </w:p>
    <w:p w14:paraId="71DCC9CD">
      <w:pPr>
        <w:spacing w:before="3" w:line="222" w:lineRule="auto"/>
        <w:ind w:left="3669"/>
        <w:rPr>
          <w:rFonts w:ascii="仿宋" w:hAnsi="仿宋" w:eastAsia="仿宋" w:cs="仿宋"/>
          <w:sz w:val="24"/>
          <w:szCs w:val="24"/>
        </w:rPr>
      </w:pPr>
      <w:r>
        <w:rPr>
          <w:rFonts w:ascii="仿宋" w:hAnsi="仿宋" w:eastAsia="仿宋" w:cs="仿宋"/>
          <w:spacing w:val="16"/>
          <w:sz w:val="24"/>
          <w:szCs w:val="24"/>
        </w:rPr>
        <w:t>表6</w:t>
      </w:r>
      <w:r>
        <w:rPr>
          <w:rFonts w:ascii="仿宋" w:hAnsi="仿宋" w:eastAsia="仿宋" w:cs="仿宋"/>
          <w:spacing w:val="-56"/>
          <w:sz w:val="24"/>
          <w:szCs w:val="24"/>
        </w:rPr>
        <w:t xml:space="preserve"> </w:t>
      </w:r>
      <w:r>
        <w:rPr>
          <w:rFonts w:ascii="仿宋" w:hAnsi="仿宋" w:eastAsia="仿宋" w:cs="仿宋"/>
          <w:spacing w:val="16"/>
          <w:sz w:val="24"/>
          <w:szCs w:val="24"/>
        </w:rPr>
        <w:t>.</w:t>
      </w:r>
      <w:r>
        <w:rPr>
          <w:rFonts w:ascii="仿宋" w:hAnsi="仿宋" w:eastAsia="仿宋" w:cs="仿宋"/>
          <w:spacing w:val="-67"/>
          <w:sz w:val="24"/>
          <w:szCs w:val="24"/>
        </w:rPr>
        <w:t xml:space="preserve"> </w:t>
      </w:r>
      <w:r>
        <w:rPr>
          <w:rFonts w:ascii="仿宋" w:hAnsi="仿宋" w:eastAsia="仿宋" w:cs="仿宋"/>
          <w:spacing w:val="16"/>
          <w:sz w:val="24"/>
          <w:szCs w:val="24"/>
        </w:rPr>
        <w:t>4</w:t>
      </w:r>
      <w:r>
        <w:rPr>
          <w:rFonts w:ascii="仿宋" w:hAnsi="仿宋" w:eastAsia="仿宋" w:cs="仿宋"/>
          <w:spacing w:val="25"/>
          <w:sz w:val="24"/>
          <w:szCs w:val="24"/>
        </w:rPr>
        <w:t xml:space="preserve">  </w:t>
      </w:r>
      <w:r>
        <w:rPr>
          <w:rFonts w:ascii="仿宋" w:hAnsi="仿宋" w:eastAsia="仿宋" w:cs="仿宋"/>
          <w:spacing w:val="16"/>
          <w:sz w:val="24"/>
          <w:szCs w:val="24"/>
        </w:rPr>
        <w:t>项目概述</w:t>
      </w:r>
    </w:p>
    <w:p w14:paraId="37D5E615">
      <w:pPr>
        <w:spacing w:line="128" w:lineRule="exact"/>
      </w:pPr>
    </w:p>
    <w:tbl>
      <w:tblPr>
        <w:tblStyle w:val="5"/>
        <w:tblW w:w="934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2"/>
        <w:gridCol w:w="6847"/>
      </w:tblGrid>
      <w:tr w14:paraId="41FDD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2502" w:type="dxa"/>
            <w:vAlign w:val="top"/>
          </w:tcPr>
          <w:p w14:paraId="081CD467">
            <w:pPr>
              <w:spacing w:before="74" w:line="220" w:lineRule="auto"/>
              <w:ind w:left="84"/>
              <w:rPr>
                <w:rFonts w:ascii="宋体" w:hAnsi="宋体" w:eastAsia="宋体" w:cs="宋体"/>
                <w:sz w:val="21"/>
                <w:szCs w:val="21"/>
              </w:rPr>
            </w:pPr>
            <w:r>
              <w:rPr>
                <w:rFonts w:ascii="宋体" w:hAnsi="宋体" w:eastAsia="宋体" w:cs="宋体"/>
                <w:spacing w:val="2"/>
                <w:sz w:val="21"/>
                <w:szCs w:val="21"/>
              </w:rPr>
              <w:t>项目名称</w:t>
            </w:r>
          </w:p>
        </w:tc>
        <w:tc>
          <w:tcPr>
            <w:tcW w:w="6847" w:type="dxa"/>
            <w:vAlign w:val="top"/>
          </w:tcPr>
          <w:p w14:paraId="1D07FECD">
            <w:pPr>
              <w:pStyle w:val="6"/>
            </w:pPr>
          </w:p>
        </w:tc>
      </w:tr>
      <w:tr w14:paraId="00CA0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2502" w:type="dxa"/>
            <w:vAlign w:val="top"/>
          </w:tcPr>
          <w:p w14:paraId="63D303CA">
            <w:pPr>
              <w:spacing w:before="80" w:line="219" w:lineRule="auto"/>
              <w:ind w:left="84"/>
              <w:rPr>
                <w:rFonts w:ascii="宋体" w:hAnsi="宋体" w:eastAsia="宋体" w:cs="宋体"/>
                <w:sz w:val="21"/>
                <w:szCs w:val="21"/>
              </w:rPr>
            </w:pPr>
            <w:r>
              <w:rPr>
                <w:rFonts w:ascii="宋体" w:hAnsi="宋体" w:eastAsia="宋体" w:cs="宋体"/>
                <w:spacing w:val="-2"/>
                <w:sz w:val="21"/>
                <w:szCs w:val="21"/>
              </w:rPr>
              <w:t>承研单位</w:t>
            </w:r>
          </w:p>
        </w:tc>
        <w:tc>
          <w:tcPr>
            <w:tcW w:w="6847" w:type="dxa"/>
            <w:vAlign w:val="top"/>
          </w:tcPr>
          <w:p w14:paraId="0D9210A7">
            <w:pPr>
              <w:pStyle w:val="6"/>
            </w:pPr>
          </w:p>
        </w:tc>
      </w:tr>
      <w:tr w14:paraId="2424B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02" w:type="dxa"/>
            <w:vAlign w:val="top"/>
          </w:tcPr>
          <w:p w14:paraId="7F0DDADE">
            <w:pPr>
              <w:spacing w:before="73" w:line="220" w:lineRule="auto"/>
              <w:ind w:left="84"/>
              <w:rPr>
                <w:rFonts w:ascii="宋体" w:hAnsi="宋体" w:eastAsia="宋体" w:cs="宋体"/>
                <w:sz w:val="21"/>
                <w:szCs w:val="21"/>
              </w:rPr>
            </w:pPr>
            <w:r>
              <w:rPr>
                <w:rFonts w:ascii="宋体" w:hAnsi="宋体" w:eastAsia="宋体" w:cs="宋体"/>
                <w:spacing w:val="-3"/>
                <w:sz w:val="21"/>
                <w:szCs w:val="21"/>
              </w:rPr>
              <w:t>项目目标</w:t>
            </w:r>
          </w:p>
        </w:tc>
        <w:tc>
          <w:tcPr>
            <w:tcW w:w="6847" w:type="dxa"/>
            <w:vAlign w:val="top"/>
          </w:tcPr>
          <w:p w14:paraId="08267B14">
            <w:pPr>
              <w:pStyle w:val="6"/>
            </w:pPr>
          </w:p>
        </w:tc>
      </w:tr>
      <w:tr w14:paraId="3E627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502" w:type="dxa"/>
            <w:vAlign w:val="top"/>
          </w:tcPr>
          <w:p w14:paraId="70941F28">
            <w:pPr>
              <w:spacing w:before="73" w:line="219" w:lineRule="auto"/>
              <w:ind w:left="84"/>
              <w:rPr>
                <w:rFonts w:ascii="宋体" w:hAnsi="宋体" w:eastAsia="宋体" w:cs="宋体"/>
                <w:sz w:val="21"/>
                <w:szCs w:val="21"/>
              </w:rPr>
            </w:pPr>
            <w:r>
              <w:rPr>
                <w:rFonts w:ascii="宋体" w:hAnsi="宋体" w:eastAsia="宋体" w:cs="宋体"/>
                <w:sz w:val="21"/>
                <w:szCs w:val="21"/>
              </w:rPr>
              <w:t>国内外发展现状与差距</w:t>
            </w:r>
          </w:p>
        </w:tc>
        <w:tc>
          <w:tcPr>
            <w:tcW w:w="6847" w:type="dxa"/>
            <w:vAlign w:val="top"/>
          </w:tcPr>
          <w:p w14:paraId="25C583EF">
            <w:pPr>
              <w:pStyle w:val="6"/>
            </w:pPr>
          </w:p>
        </w:tc>
      </w:tr>
      <w:tr w14:paraId="37AC8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02" w:type="dxa"/>
            <w:vAlign w:val="top"/>
          </w:tcPr>
          <w:p w14:paraId="77FE81AA">
            <w:pPr>
              <w:spacing w:before="74" w:line="219" w:lineRule="auto"/>
              <w:ind w:left="84"/>
              <w:rPr>
                <w:rFonts w:ascii="宋体" w:hAnsi="宋体" w:eastAsia="宋体" w:cs="宋体"/>
                <w:sz w:val="21"/>
                <w:szCs w:val="21"/>
              </w:rPr>
            </w:pPr>
            <w:r>
              <w:rPr>
                <w:rFonts w:ascii="宋体" w:hAnsi="宋体" w:eastAsia="宋体" w:cs="宋体"/>
                <w:spacing w:val="-2"/>
                <w:sz w:val="21"/>
                <w:szCs w:val="21"/>
              </w:rPr>
              <w:t>研究内容</w:t>
            </w:r>
          </w:p>
        </w:tc>
        <w:tc>
          <w:tcPr>
            <w:tcW w:w="6847" w:type="dxa"/>
            <w:vAlign w:val="top"/>
          </w:tcPr>
          <w:p w14:paraId="07589746">
            <w:pPr>
              <w:pStyle w:val="6"/>
            </w:pPr>
          </w:p>
        </w:tc>
      </w:tr>
      <w:tr w14:paraId="22BFC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02" w:type="dxa"/>
            <w:vAlign w:val="top"/>
          </w:tcPr>
          <w:p w14:paraId="22BAFB58">
            <w:pPr>
              <w:spacing w:before="76" w:line="219" w:lineRule="auto"/>
              <w:ind w:left="84"/>
              <w:rPr>
                <w:rFonts w:ascii="宋体" w:hAnsi="宋体" w:eastAsia="宋体" w:cs="宋体"/>
                <w:sz w:val="21"/>
                <w:szCs w:val="21"/>
              </w:rPr>
            </w:pPr>
            <w:r>
              <w:rPr>
                <w:rFonts w:ascii="宋体" w:hAnsi="宋体" w:eastAsia="宋体" w:cs="宋体"/>
                <w:spacing w:val="2"/>
                <w:sz w:val="21"/>
                <w:szCs w:val="21"/>
              </w:rPr>
              <w:t>应用背景和范围</w:t>
            </w:r>
          </w:p>
        </w:tc>
        <w:tc>
          <w:tcPr>
            <w:tcW w:w="6847" w:type="dxa"/>
            <w:vAlign w:val="top"/>
          </w:tcPr>
          <w:p w14:paraId="18F3F87F">
            <w:pPr>
              <w:pStyle w:val="6"/>
            </w:pPr>
          </w:p>
        </w:tc>
      </w:tr>
      <w:tr w14:paraId="12F71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2502" w:type="dxa"/>
            <w:vAlign w:val="top"/>
          </w:tcPr>
          <w:p w14:paraId="73B14051">
            <w:pPr>
              <w:spacing w:before="76" w:line="219" w:lineRule="auto"/>
              <w:ind w:left="84"/>
              <w:rPr>
                <w:rFonts w:ascii="宋体" w:hAnsi="宋体" w:eastAsia="宋体" w:cs="宋体"/>
                <w:sz w:val="21"/>
                <w:szCs w:val="21"/>
              </w:rPr>
            </w:pPr>
            <w:r>
              <w:rPr>
                <w:rFonts w:ascii="宋体" w:hAnsi="宋体" w:eastAsia="宋体" w:cs="宋体"/>
                <w:spacing w:val="3"/>
                <w:sz w:val="21"/>
                <w:szCs w:val="21"/>
              </w:rPr>
              <w:t>系统简介</w:t>
            </w:r>
          </w:p>
        </w:tc>
        <w:tc>
          <w:tcPr>
            <w:tcW w:w="6847" w:type="dxa"/>
            <w:vAlign w:val="top"/>
          </w:tcPr>
          <w:p w14:paraId="49C43EC4">
            <w:pPr>
              <w:pStyle w:val="6"/>
            </w:pPr>
          </w:p>
        </w:tc>
      </w:tr>
    </w:tbl>
    <w:p w14:paraId="2C771FDB">
      <w:pPr>
        <w:spacing w:line="189" w:lineRule="exact"/>
        <w:rPr>
          <w:rFonts w:ascii="Arial"/>
          <w:sz w:val="16"/>
        </w:rPr>
      </w:pPr>
    </w:p>
    <w:p w14:paraId="30ADFACB">
      <w:pPr>
        <w:spacing w:line="189" w:lineRule="exact"/>
        <w:rPr>
          <w:rFonts w:ascii="Arial" w:hAnsi="Arial" w:eastAsia="Arial" w:cs="Arial"/>
          <w:sz w:val="16"/>
          <w:szCs w:val="16"/>
        </w:rPr>
        <w:sectPr>
          <w:footerReference r:id="rId344" w:type="default"/>
          <w:pgSz w:w="11910" w:h="17130"/>
          <w:pgMar w:top="1455" w:right="1385" w:bottom="1676" w:left="1100" w:header="0" w:footer="1487" w:gutter="0"/>
          <w:cols w:space="720" w:num="1"/>
        </w:sectPr>
      </w:pPr>
    </w:p>
    <w:p w14:paraId="573C5571">
      <w:pPr>
        <w:spacing w:before="128" w:line="221" w:lineRule="auto"/>
        <w:rPr>
          <w:rFonts w:ascii="黑体" w:hAnsi="黑体" w:eastAsia="黑体" w:cs="黑体"/>
          <w:sz w:val="27"/>
          <w:szCs w:val="27"/>
        </w:rPr>
      </w:pPr>
      <w:r>
        <w:rPr>
          <w:rFonts w:ascii="黑体" w:hAnsi="黑体" w:eastAsia="黑体" w:cs="黑体"/>
          <w:spacing w:val="2"/>
          <w:sz w:val="27"/>
          <w:szCs w:val="27"/>
        </w:rPr>
        <w:t xml:space="preserve">2  </w:t>
      </w:r>
      <w:r>
        <w:rPr>
          <w:rFonts w:ascii="黑体" w:hAnsi="黑体" w:eastAsia="黑体" w:cs="黑体"/>
          <w:b/>
          <w:bCs/>
          <w:spacing w:val="2"/>
          <w:sz w:val="27"/>
          <w:szCs w:val="27"/>
        </w:rPr>
        <w:t>技术成熟度评价工作组</w:t>
      </w:r>
    </w:p>
    <w:p w14:paraId="3D1E6ED7">
      <w:pPr>
        <w:pStyle w:val="2"/>
        <w:spacing w:before="93" w:line="219" w:lineRule="auto"/>
        <w:ind w:left="570"/>
      </w:pPr>
      <w:r>
        <w:rPr>
          <w:spacing w:val="2"/>
        </w:rPr>
        <w:t>列表描述各相关参与人员的信息，见表6.5。</w:t>
      </w:r>
    </w:p>
    <w:p w14:paraId="783E1699">
      <w:pPr>
        <w:spacing w:before="103" w:line="220" w:lineRule="auto"/>
        <w:ind w:left="2820"/>
        <w:rPr>
          <w:rFonts w:ascii="仿宋" w:hAnsi="仿宋" w:eastAsia="仿宋" w:cs="仿宋"/>
          <w:sz w:val="24"/>
          <w:szCs w:val="24"/>
        </w:rPr>
      </w:pPr>
      <w:r>
        <w:rPr>
          <w:rFonts w:ascii="仿宋" w:hAnsi="仿宋" w:eastAsia="仿宋" w:cs="仿宋"/>
          <w:spacing w:val="24"/>
          <w:sz w:val="24"/>
          <w:szCs w:val="24"/>
        </w:rPr>
        <w:t>表6</w:t>
      </w:r>
      <w:r>
        <w:rPr>
          <w:rFonts w:ascii="仿宋" w:hAnsi="仿宋" w:eastAsia="仿宋" w:cs="仿宋"/>
          <w:spacing w:val="-50"/>
          <w:sz w:val="24"/>
          <w:szCs w:val="24"/>
        </w:rPr>
        <w:t xml:space="preserve"> </w:t>
      </w:r>
      <w:r>
        <w:rPr>
          <w:rFonts w:ascii="仿宋" w:hAnsi="仿宋" w:eastAsia="仿宋" w:cs="仿宋"/>
          <w:spacing w:val="24"/>
          <w:sz w:val="24"/>
          <w:szCs w:val="24"/>
        </w:rPr>
        <w:t>.</w:t>
      </w:r>
      <w:r>
        <w:rPr>
          <w:rFonts w:ascii="仿宋" w:hAnsi="仿宋" w:eastAsia="仿宋" w:cs="仿宋"/>
          <w:spacing w:val="-59"/>
          <w:sz w:val="24"/>
          <w:szCs w:val="24"/>
        </w:rPr>
        <w:t xml:space="preserve"> </w:t>
      </w:r>
      <w:r>
        <w:rPr>
          <w:rFonts w:ascii="仿宋" w:hAnsi="仿宋" w:eastAsia="仿宋" w:cs="仿宋"/>
          <w:spacing w:val="24"/>
          <w:sz w:val="24"/>
          <w:szCs w:val="24"/>
        </w:rPr>
        <w:t>5  技术成熟度评价工作组</w:t>
      </w:r>
    </w:p>
    <w:p w14:paraId="4CBF3B46">
      <w:pPr>
        <w:spacing w:line="103" w:lineRule="exact"/>
      </w:pPr>
    </w:p>
    <w:tbl>
      <w:tblPr>
        <w:tblStyle w:val="5"/>
        <w:tblW w:w="9370"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3"/>
        <w:gridCol w:w="839"/>
        <w:gridCol w:w="829"/>
        <w:gridCol w:w="839"/>
        <w:gridCol w:w="1459"/>
        <w:gridCol w:w="1478"/>
        <w:gridCol w:w="1039"/>
        <w:gridCol w:w="1004"/>
      </w:tblGrid>
      <w:tr w14:paraId="54388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883" w:type="dxa"/>
            <w:vAlign w:val="top"/>
          </w:tcPr>
          <w:p w14:paraId="1A7A3A11">
            <w:pPr>
              <w:pStyle w:val="6"/>
            </w:pPr>
          </w:p>
        </w:tc>
        <w:tc>
          <w:tcPr>
            <w:tcW w:w="839" w:type="dxa"/>
            <w:vAlign w:val="top"/>
          </w:tcPr>
          <w:p w14:paraId="4B2727F8">
            <w:pPr>
              <w:spacing w:before="93" w:line="219" w:lineRule="auto"/>
              <w:ind w:left="201"/>
              <w:rPr>
                <w:rFonts w:ascii="宋体" w:hAnsi="宋体" w:eastAsia="宋体" w:cs="宋体"/>
                <w:sz w:val="21"/>
                <w:szCs w:val="21"/>
              </w:rPr>
            </w:pPr>
            <w:r>
              <w:rPr>
                <w:rFonts w:ascii="宋体" w:hAnsi="宋体" w:eastAsia="宋体" w:cs="宋体"/>
                <w:spacing w:val="13"/>
                <w:sz w:val="21"/>
                <w:szCs w:val="21"/>
              </w:rPr>
              <w:t>姓名</w:t>
            </w:r>
          </w:p>
        </w:tc>
        <w:tc>
          <w:tcPr>
            <w:tcW w:w="829" w:type="dxa"/>
            <w:vAlign w:val="top"/>
          </w:tcPr>
          <w:p w14:paraId="05EC5C22">
            <w:pPr>
              <w:spacing w:before="94" w:line="220" w:lineRule="auto"/>
              <w:ind w:left="192"/>
              <w:rPr>
                <w:rFonts w:ascii="宋体" w:hAnsi="宋体" w:eastAsia="宋体" w:cs="宋体"/>
                <w:sz w:val="21"/>
                <w:szCs w:val="21"/>
              </w:rPr>
            </w:pPr>
            <w:r>
              <w:rPr>
                <w:rFonts w:ascii="宋体" w:hAnsi="宋体" w:eastAsia="宋体" w:cs="宋体"/>
                <w:spacing w:val="8"/>
                <w:sz w:val="21"/>
                <w:szCs w:val="21"/>
              </w:rPr>
              <w:t>性别</w:t>
            </w:r>
          </w:p>
        </w:tc>
        <w:tc>
          <w:tcPr>
            <w:tcW w:w="839" w:type="dxa"/>
            <w:vAlign w:val="top"/>
          </w:tcPr>
          <w:p w14:paraId="74F003F2">
            <w:pPr>
              <w:spacing w:before="93" w:line="219" w:lineRule="auto"/>
              <w:ind w:left="203"/>
              <w:rPr>
                <w:rFonts w:ascii="宋体" w:hAnsi="宋体" w:eastAsia="宋体" w:cs="宋体"/>
                <w:sz w:val="21"/>
                <w:szCs w:val="21"/>
              </w:rPr>
            </w:pPr>
            <w:r>
              <w:rPr>
                <w:rFonts w:ascii="宋体" w:hAnsi="宋体" w:eastAsia="宋体" w:cs="宋体"/>
                <w:spacing w:val="-3"/>
                <w:sz w:val="21"/>
                <w:szCs w:val="21"/>
              </w:rPr>
              <w:t>年龄</w:t>
            </w:r>
          </w:p>
        </w:tc>
        <w:tc>
          <w:tcPr>
            <w:tcW w:w="1459" w:type="dxa"/>
            <w:vAlign w:val="top"/>
          </w:tcPr>
          <w:p w14:paraId="03965121">
            <w:pPr>
              <w:spacing w:before="93" w:line="219" w:lineRule="auto"/>
              <w:ind w:left="255"/>
              <w:rPr>
                <w:rFonts w:ascii="宋体" w:hAnsi="宋体" w:eastAsia="宋体" w:cs="宋体"/>
                <w:sz w:val="21"/>
                <w:szCs w:val="21"/>
              </w:rPr>
            </w:pPr>
            <w:r>
              <w:rPr>
                <w:rFonts w:ascii="宋体" w:hAnsi="宋体" w:eastAsia="宋体" w:cs="宋体"/>
                <w:spacing w:val="-2"/>
                <w:sz w:val="21"/>
                <w:szCs w:val="21"/>
              </w:rPr>
              <w:t>职务/职称</w:t>
            </w:r>
          </w:p>
        </w:tc>
        <w:tc>
          <w:tcPr>
            <w:tcW w:w="1478" w:type="dxa"/>
            <w:vAlign w:val="top"/>
          </w:tcPr>
          <w:p w14:paraId="2299D457">
            <w:pPr>
              <w:spacing w:before="93" w:line="219" w:lineRule="auto"/>
              <w:ind w:left="256"/>
              <w:rPr>
                <w:rFonts w:ascii="宋体" w:hAnsi="宋体" w:eastAsia="宋体" w:cs="宋体"/>
                <w:sz w:val="21"/>
                <w:szCs w:val="21"/>
              </w:rPr>
            </w:pPr>
            <w:r>
              <w:rPr>
                <w:rFonts w:ascii="宋体" w:hAnsi="宋体" w:eastAsia="宋体" w:cs="宋体"/>
                <w:spacing w:val="-2"/>
                <w:sz w:val="21"/>
                <w:szCs w:val="21"/>
              </w:rPr>
              <w:t>特长/专业</w:t>
            </w:r>
          </w:p>
        </w:tc>
        <w:tc>
          <w:tcPr>
            <w:tcW w:w="1039" w:type="dxa"/>
            <w:vAlign w:val="top"/>
          </w:tcPr>
          <w:p w14:paraId="341E5D6F">
            <w:pPr>
              <w:spacing w:before="94" w:line="220" w:lineRule="auto"/>
              <w:ind w:left="98"/>
              <w:rPr>
                <w:rFonts w:ascii="宋体" w:hAnsi="宋体" w:eastAsia="宋体" w:cs="宋体"/>
                <w:sz w:val="21"/>
                <w:szCs w:val="21"/>
              </w:rPr>
            </w:pPr>
            <w:r>
              <w:rPr>
                <w:rFonts w:ascii="宋体" w:hAnsi="宋体" w:eastAsia="宋体" w:cs="宋体"/>
                <w:spacing w:val="-3"/>
                <w:sz w:val="21"/>
                <w:szCs w:val="21"/>
              </w:rPr>
              <w:t>工作单位</w:t>
            </w:r>
          </w:p>
        </w:tc>
        <w:tc>
          <w:tcPr>
            <w:tcW w:w="1004" w:type="dxa"/>
            <w:vAlign w:val="top"/>
          </w:tcPr>
          <w:p w14:paraId="5B71FAC6">
            <w:pPr>
              <w:spacing w:before="94" w:line="221" w:lineRule="auto"/>
              <w:ind w:left="79"/>
              <w:rPr>
                <w:rFonts w:ascii="宋体" w:hAnsi="宋体" w:eastAsia="宋体" w:cs="宋体"/>
                <w:sz w:val="21"/>
                <w:szCs w:val="21"/>
              </w:rPr>
            </w:pPr>
            <w:r>
              <w:rPr>
                <w:rFonts w:ascii="宋体" w:hAnsi="宋体" w:eastAsia="宋体" w:cs="宋体"/>
                <w:spacing w:val="-2"/>
                <w:sz w:val="21"/>
                <w:szCs w:val="21"/>
              </w:rPr>
              <w:t>联系方式</w:t>
            </w:r>
          </w:p>
        </w:tc>
      </w:tr>
      <w:tr w14:paraId="4EA51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883" w:type="dxa"/>
            <w:vAlign w:val="top"/>
          </w:tcPr>
          <w:p w14:paraId="553067A2">
            <w:pPr>
              <w:spacing w:before="99" w:line="219" w:lineRule="auto"/>
              <w:ind w:left="105"/>
              <w:rPr>
                <w:rFonts w:ascii="宋体" w:hAnsi="宋体" w:eastAsia="宋体" w:cs="宋体"/>
                <w:sz w:val="21"/>
                <w:szCs w:val="21"/>
              </w:rPr>
            </w:pPr>
            <w:r>
              <w:rPr>
                <w:rFonts w:ascii="宋体" w:hAnsi="宋体" w:eastAsia="宋体" w:cs="宋体"/>
                <w:spacing w:val="1"/>
                <w:sz w:val="21"/>
                <w:szCs w:val="21"/>
              </w:rPr>
              <w:t>项目负责人</w:t>
            </w:r>
          </w:p>
        </w:tc>
        <w:tc>
          <w:tcPr>
            <w:tcW w:w="839" w:type="dxa"/>
            <w:vAlign w:val="top"/>
          </w:tcPr>
          <w:p w14:paraId="167D71F5">
            <w:pPr>
              <w:pStyle w:val="6"/>
            </w:pPr>
          </w:p>
        </w:tc>
        <w:tc>
          <w:tcPr>
            <w:tcW w:w="829" w:type="dxa"/>
            <w:vAlign w:val="top"/>
          </w:tcPr>
          <w:p w14:paraId="26DC3F50">
            <w:pPr>
              <w:pStyle w:val="6"/>
            </w:pPr>
          </w:p>
        </w:tc>
        <w:tc>
          <w:tcPr>
            <w:tcW w:w="839" w:type="dxa"/>
            <w:vAlign w:val="top"/>
          </w:tcPr>
          <w:p w14:paraId="09A3C380">
            <w:pPr>
              <w:pStyle w:val="6"/>
            </w:pPr>
          </w:p>
        </w:tc>
        <w:tc>
          <w:tcPr>
            <w:tcW w:w="1459" w:type="dxa"/>
            <w:vAlign w:val="top"/>
          </w:tcPr>
          <w:p w14:paraId="421B568B">
            <w:pPr>
              <w:pStyle w:val="6"/>
            </w:pPr>
          </w:p>
        </w:tc>
        <w:tc>
          <w:tcPr>
            <w:tcW w:w="1478" w:type="dxa"/>
            <w:vAlign w:val="top"/>
          </w:tcPr>
          <w:p w14:paraId="1E2413A1">
            <w:pPr>
              <w:pStyle w:val="6"/>
            </w:pPr>
          </w:p>
        </w:tc>
        <w:tc>
          <w:tcPr>
            <w:tcW w:w="1039" w:type="dxa"/>
            <w:vAlign w:val="top"/>
          </w:tcPr>
          <w:p w14:paraId="2192655C">
            <w:pPr>
              <w:pStyle w:val="6"/>
            </w:pPr>
          </w:p>
        </w:tc>
        <w:tc>
          <w:tcPr>
            <w:tcW w:w="1004" w:type="dxa"/>
            <w:vAlign w:val="top"/>
          </w:tcPr>
          <w:p w14:paraId="68F230E7">
            <w:pPr>
              <w:pStyle w:val="6"/>
            </w:pPr>
          </w:p>
        </w:tc>
      </w:tr>
      <w:tr w14:paraId="27481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883" w:type="dxa"/>
            <w:vAlign w:val="top"/>
          </w:tcPr>
          <w:p w14:paraId="60A0EE6A">
            <w:pPr>
              <w:spacing w:before="98" w:line="218" w:lineRule="auto"/>
              <w:ind w:left="105"/>
              <w:rPr>
                <w:rFonts w:ascii="宋体" w:hAnsi="宋体" w:eastAsia="宋体" w:cs="宋体"/>
                <w:sz w:val="21"/>
                <w:szCs w:val="21"/>
              </w:rPr>
            </w:pPr>
            <w:r>
              <w:rPr>
                <w:rFonts w:ascii="宋体" w:hAnsi="宋体" w:eastAsia="宋体" w:cs="宋体"/>
                <w:spacing w:val="-1"/>
                <w:sz w:val="21"/>
                <w:szCs w:val="21"/>
              </w:rPr>
              <w:t>评价工作负责人</w:t>
            </w:r>
          </w:p>
        </w:tc>
        <w:tc>
          <w:tcPr>
            <w:tcW w:w="839" w:type="dxa"/>
            <w:vAlign w:val="top"/>
          </w:tcPr>
          <w:p w14:paraId="16332113">
            <w:pPr>
              <w:pStyle w:val="6"/>
            </w:pPr>
          </w:p>
        </w:tc>
        <w:tc>
          <w:tcPr>
            <w:tcW w:w="829" w:type="dxa"/>
            <w:vAlign w:val="top"/>
          </w:tcPr>
          <w:p w14:paraId="486CA1EA">
            <w:pPr>
              <w:pStyle w:val="6"/>
            </w:pPr>
          </w:p>
        </w:tc>
        <w:tc>
          <w:tcPr>
            <w:tcW w:w="839" w:type="dxa"/>
            <w:vAlign w:val="top"/>
          </w:tcPr>
          <w:p w14:paraId="442AA421">
            <w:pPr>
              <w:pStyle w:val="6"/>
            </w:pPr>
          </w:p>
        </w:tc>
        <w:tc>
          <w:tcPr>
            <w:tcW w:w="1459" w:type="dxa"/>
            <w:vAlign w:val="top"/>
          </w:tcPr>
          <w:p w14:paraId="4CC125FB">
            <w:pPr>
              <w:pStyle w:val="6"/>
            </w:pPr>
          </w:p>
        </w:tc>
        <w:tc>
          <w:tcPr>
            <w:tcW w:w="1478" w:type="dxa"/>
            <w:vAlign w:val="top"/>
          </w:tcPr>
          <w:p w14:paraId="1C2E225C">
            <w:pPr>
              <w:pStyle w:val="6"/>
            </w:pPr>
          </w:p>
        </w:tc>
        <w:tc>
          <w:tcPr>
            <w:tcW w:w="1039" w:type="dxa"/>
            <w:vAlign w:val="top"/>
          </w:tcPr>
          <w:p w14:paraId="1384F017">
            <w:pPr>
              <w:pStyle w:val="6"/>
            </w:pPr>
          </w:p>
        </w:tc>
        <w:tc>
          <w:tcPr>
            <w:tcW w:w="1004" w:type="dxa"/>
            <w:vAlign w:val="top"/>
          </w:tcPr>
          <w:p w14:paraId="114E2537">
            <w:pPr>
              <w:pStyle w:val="6"/>
            </w:pPr>
          </w:p>
        </w:tc>
      </w:tr>
      <w:tr w14:paraId="438E1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883" w:type="dxa"/>
            <w:vAlign w:val="top"/>
          </w:tcPr>
          <w:p w14:paraId="39223968">
            <w:pPr>
              <w:spacing w:before="102" w:line="220" w:lineRule="auto"/>
              <w:ind w:left="105"/>
              <w:rPr>
                <w:rFonts w:ascii="宋体" w:hAnsi="宋体" w:eastAsia="宋体" w:cs="宋体"/>
                <w:sz w:val="21"/>
                <w:szCs w:val="21"/>
              </w:rPr>
            </w:pPr>
            <w:r>
              <w:rPr>
                <w:rFonts w:ascii="宋体" w:hAnsi="宋体" w:eastAsia="宋体" w:cs="宋体"/>
                <w:spacing w:val="-2"/>
                <w:sz w:val="21"/>
                <w:szCs w:val="21"/>
              </w:rPr>
              <w:t>专家组组长</w:t>
            </w:r>
          </w:p>
        </w:tc>
        <w:tc>
          <w:tcPr>
            <w:tcW w:w="839" w:type="dxa"/>
            <w:vAlign w:val="top"/>
          </w:tcPr>
          <w:p w14:paraId="4DFFE023">
            <w:pPr>
              <w:pStyle w:val="6"/>
            </w:pPr>
          </w:p>
        </w:tc>
        <w:tc>
          <w:tcPr>
            <w:tcW w:w="829" w:type="dxa"/>
            <w:vAlign w:val="top"/>
          </w:tcPr>
          <w:p w14:paraId="6E0B19BA">
            <w:pPr>
              <w:pStyle w:val="6"/>
            </w:pPr>
          </w:p>
        </w:tc>
        <w:tc>
          <w:tcPr>
            <w:tcW w:w="839" w:type="dxa"/>
            <w:vAlign w:val="top"/>
          </w:tcPr>
          <w:p w14:paraId="401CF89F">
            <w:pPr>
              <w:pStyle w:val="6"/>
            </w:pPr>
          </w:p>
        </w:tc>
        <w:tc>
          <w:tcPr>
            <w:tcW w:w="1459" w:type="dxa"/>
            <w:vAlign w:val="top"/>
          </w:tcPr>
          <w:p w14:paraId="37845B98">
            <w:pPr>
              <w:pStyle w:val="6"/>
            </w:pPr>
          </w:p>
        </w:tc>
        <w:tc>
          <w:tcPr>
            <w:tcW w:w="1478" w:type="dxa"/>
            <w:vAlign w:val="top"/>
          </w:tcPr>
          <w:p w14:paraId="11D60E24">
            <w:pPr>
              <w:pStyle w:val="6"/>
            </w:pPr>
          </w:p>
        </w:tc>
        <w:tc>
          <w:tcPr>
            <w:tcW w:w="1039" w:type="dxa"/>
            <w:vAlign w:val="top"/>
          </w:tcPr>
          <w:p w14:paraId="7FA9FE8F">
            <w:pPr>
              <w:pStyle w:val="6"/>
            </w:pPr>
          </w:p>
        </w:tc>
        <w:tc>
          <w:tcPr>
            <w:tcW w:w="1004" w:type="dxa"/>
            <w:vAlign w:val="top"/>
          </w:tcPr>
          <w:p w14:paraId="005214F0">
            <w:pPr>
              <w:pStyle w:val="6"/>
            </w:pPr>
          </w:p>
        </w:tc>
      </w:tr>
      <w:tr w14:paraId="09A75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883" w:type="dxa"/>
            <w:vMerge w:val="restart"/>
            <w:tcBorders>
              <w:bottom w:val="nil"/>
            </w:tcBorders>
            <w:vAlign w:val="top"/>
          </w:tcPr>
          <w:p w14:paraId="2091F653">
            <w:pPr>
              <w:pStyle w:val="6"/>
              <w:spacing w:line="453" w:lineRule="auto"/>
            </w:pPr>
          </w:p>
          <w:p w14:paraId="4BCBF341">
            <w:pPr>
              <w:spacing w:before="68" w:line="220" w:lineRule="auto"/>
              <w:ind w:left="105"/>
              <w:rPr>
                <w:rFonts w:ascii="宋体" w:hAnsi="宋体" w:eastAsia="宋体" w:cs="宋体"/>
                <w:sz w:val="21"/>
                <w:szCs w:val="21"/>
              </w:rPr>
            </w:pPr>
            <w:r>
              <w:rPr>
                <w:rFonts w:ascii="宋体" w:hAnsi="宋体" w:eastAsia="宋体" w:cs="宋体"/>
                <w:spacing w:val="5"/>
                <w:sz w:val="21"/>
                <w:szCs w:val="21"/>
              </w:rPr>
              <w:t>专家组成员</w:t>
            </w:r>
          </w:p>
        </w:tc>
        <w:tc>
          <w:tcPr>
            <w:tcW w:w="839" w:type="dxa"/>
            <w:vAlign w:val="top"/>
          </w:tcPr>
          <w:p w14:paraId="48D7AACB">
            <w:pPr>
              <w:pStyle w:val="6"/>
            </w:pPr>
          </w:p>
        </w:tc>
        <w:tc>
          <w:tcPr>
            <w:tcW w:w="829" w:type="dxa"/>
            <w:vAlign w:val="top"/>
          </w:tcPr>
          <w:p w14:paraId="35B8A5F4">
            <w:pPr>
              <w:pStyle w:val="6"/>
            </w:pPr>
          </w:p>
        </w:tc>
        <w:tc>
          <w:tcPr>
            <w:tcW w:w="839" w:type="dxa"/>
            <w:vAlign w:val="top"/>
          </w:tcPr>
          <w:p w14:paraId="7E11404F">
            <w:pPr>
              <w:pStyle w:val="6"/>
            </w:pPr>
          </w:p>
        </w:tc>
        <w:tc>
          <w:tcPr>
            <w:tcW w:w="1459" w:type="dxa"/>
            <w:vAlign w:val="top"/>
          </w:tcPr>
          <w:p w14:paraId="30361980">
            <w:pPr>
              <w:pStyle w:val="6"/>
            </w:pPr>
          </w:p>
        </w:tc>
        <w:tc>
          <w:tcPr>
            <w:tcW w:w="1478" w:type="dxa"/>
            <w:vAlign w:val="top"/>
          </w:tcPr>
          <w:p w14:paraId="34575424">
            <w:pPr>
              <w:pStyle w:val="6"/>
            </w:pPr>
          </w:p>
        </w:tc>
        <w:tc>
          <w:tcPr>
            <w:tcW w:w="1039" w:type="dxa"/>
            <w:vAlign w:val="top"/>
          </w:tcPr>
          <w:p w14:paraId="3E495C1E">
            <w:pPr>
              <w:pStyle w:val="6"/>
            </w:pPr>
          </w:p>
        </w:tc>
        <w:tc>
          <w:tcPr>
            <w:tcW w:w="1004" w:type="dxa"/>
            <w:vAlign w:val="top"/>
          </w:tcPr>
          <w:p w14:paraId="70B74738">
            <w:pPr>
              <w:pStyle w:val="6"/>
            </w:pPr>
          </w:p>
        </w:tc>
      </w:tr>
      <w:tr w14:paraId="7C6F9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883" w:type="dxa"/>
            <w:vMerge w:val="continue"/>
            <w:tcBorders>
              <w:top w:val="nil"/>
              <w:bottom w:val="nil"/>
            </w:tcBorders>
            <w:vAlign w:val="top"/>
          </w:tcPr>
          <w:p w14:paraId="7604CA27">
            <w:pPr>
              <w:pStyle w:val="6"/>
            </w:pPr>
          </w:p>
        </w:tc>
        <w:tc>
          <w:tcPr>
            <w:tcW w:w="839" w:type="dxa"/>
            <w:vAlign w:val="top"/>
          </w:tcPr>
          <w:p w14:paraId="67570045">
            <w:pPr>
              <w:pStyle w:val="6"/>
            </w:pPr>
          </w:p>
        </w:tc>
        <w:tc>
          <w:tcPr>
            <w:tcW w:w="829" w:type="dxa"/>
            <w:vAlign w:val="top"/>
          </w:tcPr>
          <w:p w14:paraId="5AD7533B">
            <w:pPr>
              <w:pStyle w:val="6"/>
            </w:pPr>
          </w:p>
        </w:tc>
        <w:tc>
          <w:tcPr>
            <w:tcW w:w="839" w:type="dxa"/>
            <w:vAlign w:val="top"/>
          </w:tcPr>
          <w:p w14:paraId="23A4479D">
            <w:pPr>
              <w:pStyle w:val="6"/>
            </w:pPr>
          </w:p>
        </w:tc>
        <w:tc>
          <w:tcPr>
            <w:tcW w:w="1459" w:type="dxa"/>
            <w:vAlign w:val="top"/>
          </w:tcPr>
          <w:p w14:paraId="3C792EA8">
            <w:pPr>
              <w:pStyle w:val="6"/>
            </w:pPr>
          </w:p>
        </w:tc>
        <w:tc>
          <w:tcPr>
            <w:tcW w:w="1478" w:type="dxa"/>
            <w:vAlign w:val="top"/>
          </w:tcPr>
          <w:p w14:paraId="5AF2426A">
            <w:pPr>
              <w:pStyle w:val="6"/>
            </w:pPr>
          </w:p>
        </w:tc>
        <w:tc>
          <w:tcPr>
            <w:tcW w:w="1039" w:type="dxa"/>
            <w:vAlign w:val="top"/>
          </w:tcPr>
          <w:p w14:paraId="4E0E172D">
            <w:pPr>
              <w:pStyle w:val="6"/>
            </w:pPr>
          </w:p>
        </w:tc>
        <w:tc>
          <w:tcPr>
            <w:tcW w:w="1004" w:type="dxa"/>
            <w:vAlign w:val="top"/>
          </w:tcPr>
          <w:p w14:paraId="50C03AE8">
            <w:pPr>
              <w:pStyle w:val="6"/>
            </w:pPr>
          </w:p>
        </w:tc>
      </w:tr>
      <w:tr w14:paraId="762E5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883" w:type="dxa"/>
            <w:vMerge w:val="continue"/>
            <w:tcBorders>
              <w:top w:val="nil"/>
            </w:tcBorders>
            <w:vAlign w:val="top"/>
          </w:tcPr>
          <w:p w14:paraId="7D0C151A">
            <w:pPr>
              <w:pStyle w:val="6"/>
            </w:pPr>
          </w:p>
        </w:tc>
        <w:tc>
          <w:tcPr>
            <w:tcW w:w="839" w:type="dxa"/>
            <w:vAlign w:val="top"/>
          </w:tcPr>
          <w:p w14:paraId="5B5BA6E5">
            <w:pPr>
              <w:pStyle w:val="6"/>
            </w:pPr>
          </w:p>
        </w:tc>
        <w:tc>
          <w:tcPr>
            <w:tcW w:w="829" w:type="dxa"/>
            <w:vAlign w:val="top"/>
          </w:tcPr>
          <w:p w14:paraId="04C63A95">
            <w:pPr>
              <w:pStyle w:val="6"/>
            </w:pPr>
          </w:p>
        </w:tc>
        <w:tc>
          <w:tcPr>
            <w:tcW w:w="839" w:type="dxa"/>
            <w:vAlign w:val="top"/>
          </w:tcPr>
          <w:p w14:paraId="3E358087">
            <w:pPr>
              <w:pStyle w:val="6"/>
            </w:pPr>
          </w:p>
        </w:tc>
        <w:tc>
          <w:tcPr>
            <w:tcW w:w="1459" w:type="dxa"/>
            <w:vAlign w:val="top"/>
          </w:tcPr>
          <w:p w14:paraId="4BFFCA56">
            <w:pPr>
              <w:pStyle w:val="6"/>
            </w:pPr>
          </w:p>
        </w:tc>
        <w:tc>
          <w:tcPr>
            <w:tcW w:w="1478" w:type="dxa"/>
            <w:vAlign w:val="top"/>
          </w:tcPr>
          <w:p w14:paraId="2BA42FAF">
            <w:pPr>
              <w:pStyle w:val="6"/>
            </w:pPr>
          </w:p>
        </w:tc>
        <w:tc>
          <w:tcPr>
            <w:tcW w:w="1039" w:type="dxa"/>
            <w:vAlign w:val="top"/>
          </w:tcPr>
          <w:p w14:paraId="0F3A26E3">
            <w:pPr>
              <w:pStyle w:val="6"/>
            </w:pPr>
          </w:p>
        </w:tc>
        <w:tc>
          <w:tcPr>
            <w:tcW w:w="1004" w:type="dxa"/>
            <w:vAlign w:val="top"/>
          </w:tcPr>
          <w:p w14:paraId="4611F5BA">
            <w:pPr>
              <w:pStyle w:val="6"/>
            </w:pPr>
          </w:p>
        </w:tc>
      </w:tr>
    </w:tbl>
    <w:p w14:paraId="55CF6BAD">
      <w:pPr>
        <w:spacing w:before="120" w:line="221" w:lineRule="auto"/>
        <w:rPr>
          <w:rFonts w:ascii="黑体" w:hAnsi="黑体" w:eastAsia="黑体" w:cs="黑体"/>
          <w:sz w:val="27"/>
          <w:szCs w:val="27"/>
        </w:rPr>
      </w:pPr>
      <w:r>
        <w:rPr>
          <w:rFonts w:ascii="黑体" w:hAnsi="黑体" w:eastAsia="黑体" w:cs="黑体"/>
          <w:spacing w:val="2"/>
          <w:sz w:val="27"/>
          <w:szCs w:val="27"/>
        </w:rPr>
        <w:t xml:space="preserve">3  </w:t>
      </w:r>
      <w:r>
        <w:rPr>
          <w:rFonts w:ascii="黑体" w:hAnsi="黑体" w:eastAsia="黑体" w:cs="黑体"/>
          <w:b/>
          <w:bCs/>
          <w:spacing w:val="2"/>
          <w:sz w:val="27"/>
          <w:szCs w:val="27"/>
        </w:rPr>
        <w:t>技术成熟度评价工作计划表</w:t>
      </w:r>
    </w:p>
    <w:p w14:paraId="3D4F5D09">
      <w:pPr>
        <w:pStyle w:val="2"/>
        <w:spacing w:before="71" w:line="296" w:lineRule="auto"/>
        <w:ind w:firstLine="600"/>
      </w:pPr>
      <w:r>
        <w:t>列表描述</w:t>
      </w:r>
      <w:r>
        <w:rPr>
          <w:spacing w:val="-75"/>
        </w:rPr>
        <w:t xml:space="preserve"> </w:t>
      </w:r>
      <w:r>
        <w:rPr>
          <w:rFonts w:ascii="Times New Roman" w:hAnsi="Times New Roman" w:eastAsia="Times New Roman" w:cs="Times New Roman"/>
        </w:rPr>
        <w:t xml:space="preserve">TRA  </w:t>
      </w:r>
      <w:r>
        <w:t>流程中各步骤的研究内容、大概起始时间</w:t>
      </w:r>
      <w:r>
        <w:rPr>
          <w:spacing w:val="-1"/>
        </w:rPr>
        <w:t>、完成形式及成果</w:t>
      </w:r>
      <w:r>
        <w:t xml:space="preserve"> </w:t>
      </w:r>
      <w:r>
        <w:rPr>
          <w:spacing w:val="-3"/>
        </w:rPr>
        <w:t>形式，见表6.6。</w:t>
      </w:r>
    </w:p>
    <w:p w14:paraId="0281B56C">
      <w:pPr>
        <w:spacing w:line="220" w:lineRule="auto"/>
        <w:ind w:left="2550"/>
        <w:rPr>
          <w:rFonts w:ascii="仿宋" w:hAnsi="仿宋" w:eastAsia="仿宋" w:cs="仿宋"/>
          <w:sz w:val="24"/>
          <w:szCs w:val="24"/>
        </w:rPr>
      </w:pPr>
      <w:r>
        <w:rPr>
          <w:rFonts w:ascii="仿宋" w:hAnsi="仿宋" w:eastAsia="仿宋" w:cs="仿宋"/>
          <w:spacing w:val="22"/>
          <w:sz w:val="24"/>
          <w:szCs w:val="24"/>
        </w:rPr>
        <w:t>表</w:t>
      </w:r>
      <w:r>
        <w:rPr>
          <w:rFonts w:ascii="仿宋" w:hAnsi="仿宋" w:eastAsia="仿宋" w:cs="仿宋"/>
          <w:spacing w:val="-48"/>
          <w:sz w:val="24"/>
          <w:szCs w:val="24"/>
        </w:rPr>
        <w:t xml:space="preserve"> </w:t>
      </w:r>
      <w:r>
        <w:rPr>
          <w:rFonts w:ascii="仿宋" w:hAnsi="仿宋" w:eastAsia="仿宋" w:cs="仿宋"/>
          <w:spacing w:val="22"/>
          <w:sz w:val="24"/>
          <w:szCs w:val="24"/>
        </w:rPr>
        <w:t>6</w:t>
      </w:r>
      <w:r>
        <w:rPr>
          <w:rFonts w:ascii="仿宋" w:hAnsi="仿宋" w:eastAsia="仿宋" w:cs="仿宋"/>
          <w:spacing w:val="-47"/>
          <w:sz w:val="24"/>
          <w:szCs w:val="24"/>
        </w:rPr>
        <w:t xml:space="preserve"> </w:t>
      </w:r>
      <w:r>
        <w:rPr>
          <w:rFonts w:ascii="仿宋" w:hAnsi="仿宋" w:eastAsia="仿宋" w:cs="仿宋"/>
          <w:spacing w:val="22"/>
          <w:sz w:val="24"/>
          <w:szCs w:val="24"/>
        </w:rPr>
        <w:t>.</w:t>
      </w:r>
      <w:r>
        <w:rPr>
          <w:rFonts w:ascii="仿宋" w:hAnsi="仿宋" w:eastAsia="仿宋" w:cs="仿宋"/>
          <w:spacing w:val="-53"/>
          <w:sz w:val="24"/>
          <w:szCs w:val="24"/>
        </w:rPr>
        <w:t xml:space="preserve"> </w:t>
      </w:r>
      <w:r>
        <w:rPr>
          <w:rFonts w:ascii="仿宋" w:hAnsi="仿宋" w:eastAsia="仿宋" w:cs="仿宋"/>
          <w:spacing w:val="22"/>
          <w:sz w:val="24"/>
          <w:szCs w:val="24"/>
        </w:rPr>
        <w:t>6  技术成熟度评价工作计划表</w:t>
      </w:r>
    </w:p>
    <w:p w14:paraId="73E58FF0">
      <w:pPr>
        <w:spacing w:line="104" w:lineRule="exact"/>
      </w:pPr>
    </w:p>
    <w:tbl>
      <w:tblPr>
        <w:tblStyle w:val="5"/>
        <w:tblW w:w="9364"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4"/>
        <w:gridCol w:w="2817"/>
        <w:gridCol w:w="739"/>
        <w:gridCol w:w="729"/>
        <w:gridCol w:w="939"/>
        <w:gridCol w:w="939"/>
        <w:gridCol w:w="939"/>
        <w:gridCol w:w="968"/>
      </w:tblGrid>
      <w:tr w14:paraId="09B5D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294" w:type="dxa"/>
            <w:vAlign w:val="top"/>
          </w:tcPr>
          <w:p w14:paraId="1F4EC072">
            <w:pPr>
              <w:spacing w:before="92" w:line="218" w:lineRule="auto"/>
              <w:ind w:left="174"/>
              <w:rPr>
                <w:rFonts w:ascii="宋体" w:hAnsi="宋体" w:eastAsia="宋体" w:cs="宋体"/>
                <w:sz w:val="23"/>
                <w:szCs w:val="23"/>
              </w:rPr>
            </w:pPr>
            <w:r>
              <w:rPr>
                <w:rFonts w:ascii="宋体" w:hAnsi="宋体" w:eastAsia="宋体" w:cs="宋体"/>
                <w:spacing w:val="-2"/>
                <w:sz w:val="23"/>
                <w:szCs w:val="23"/>
              </w:rPr>
              <w:t>评价阶段</w:t>
            </w:r>
          </w:p>
        </w:tc>
        <w:tc>
          <w:tcPr>
            <w:tcW w:w="2817" w:type="dxa"/>
            <w:vAlign w:val="top"/>
          </w:tcPr>
          <w:p w14:paraId="59E41EC1">
            <w:pPr>
              <w:spacing w:before="94" w:line="219" w:lineRule="auto"/>
              <w:ind w:left="81"/>
              <w:rPr>
                <w:rFonts w:ascii="宋体" w:hAnsi="宋体" w:eastAsia="宋体" w:cs="宋体"/>
                <w:sz w:val="23"/>
                <w:szCs w:val="23"/>
              </w:rPr>
            </w:pPr>
            <w:r>
              <w:rPr>
                <w:rFonts w:ascii="宋体" w:hAnsi="宋体" w:eastAsia="宋体" w:cs="宋体"/>
                <w:spacing w:val="1"/>
                <w:sz w:val="23"/>
                <w:szCs w:val="23"/>
              </w:rPr>
              <w:t>具体工作内容</w:t>
            </w:r>
          </w:p>
        </w:tc>
        <w:tc>
          <w:tcPr>
            <w:tcW w:w="739" w:type="dxa"/>
            <w:vAlign w:val="top"/>
          </w:tcPr>
          <w:p w14:paraId="51883D9E">
            <w:pPr>
              <w:spacing w:before="94" w:line="219" w:lineRule="auto"/>
              <w:jc w:val="right"/>
              <w:rPr>
                <w:rFonts w:ascii="宋体" w:hAnsi="宋体" w:eastAsia="宋体" w:cs="宋体"/>
                <w:sz w:val="23"/>
                <w:szCs w:val="23"/>
              </w:rPr>
            </w:pPr>
            <w:r>
              <w:rPr>
                <w:rFonts w:ascii="宋体" w:hAnsi="宋体" w:eastAsia="宋体" w:cs="宋体"/>
                <w:spacing w:val="1"/>
                <w:sz w:val="23"/>
                <w:szCs w:val="23"/>
              </w:rPr>
              <w:t>负责人</w:t>
            </w:r>
          </w:p>
        </w:tc>
        <w:tc>
          <w:tcPr>
            <w:tcW w:w="729" w:type="dxa"/>
            <w:vAlign w:val="top"/>
          </w:tcPr>
          <w:p w14:paraId="4253A0DE">
            <w:pPr>
              <w:spacing w:before="97" w:line="221" w:lineRule="auto"/>
              <w:jc w:val="right"/>
              <w:rPr>
                <w:rFonts w:ascii="宋体" w:hAnsi="宋体" w:eastAsia="宋体" w:cs="宋体"/>
                <w:sz w:val="23"/>
                <w:szCs w:val="23"/>
              </w:rPr>
            </w:pPr>
            <w:r>
              <w:rPr>
                <w:rFonts w:ascii="宋体" w:hAnsi="宋体" w:eastAsia="宋体" w:cs="宋体"/>
                <w:spacing w:val="-3"/>
                <w:sz w:val="23"/>
                <w:szCs w:val="23"/>
              </w:rPr>
              <w:t>参与人</w:t>
            </w:r>
          </w:p>
        </w:tc>
        <w:tc>
          <w:tcPr>
            <w:tcW w:w="939" w:type="dxa"/>
            <w:vAlign w:val="top"/>
          </w:tcPr>
          <w:p w14:paraId="528EDC10">
            <w:pPr>
              <w:spacing w:before="95" w:line="220" w:lineRule="auto"/>
              <w:jc w:val="right"/>
              <w:rPr>
                <w:rFonts w:ascii="宋体" w:hAnsi="宋体" w:eastAsia="宋体" w:cs="宋体"/>
                <w:sz w:val="23"/>
                <w:szCs w:val="23"/>
              </w:rPr>
            </w:pPr>
            <w:r>
              <w:rPr>
                <w:rFonts w:ascii="宋体" w:hAnsi="宋体" w:eastAsia="宋体" w:cs="宋体"/>
                <w:spacing w:val="-2"/>
                <w:sz w:val="23"/>
                <w:szCs w:val="23"/>
              </w:rPr>
              <w:t>起始日期</w:t>
            </w:r>
          </w:p>
        </w:tc>
        <w:tc>
          <w:tcPr>
            <w:tcW w:w="939" w:type="dxa"/>
            <w:vAlign w:val="top"/>
          </w:tcPr>
          <w:p w14:paraId="417A7301">
            <w:pPr>
              <w:spacing w:before="94" w:line="219" w:lineRule="auto"/>
              <w:jc w:val="right"/>
              <w:rPr>
                <w:rFonts w:ascii="宋体" w:hAnsi="宋体" w:eastAsia="宋体" w:cs="宋体"/>
                <w:sz w:val="23"/>
                <w:szCs w:val="23"/>
              </w:rPr>
            </w:pPr>
            <w:r>
              <w:rPr>
                <w:rFonts w:ascii="宋体" w:hAnsi="宋体" w:eastAsia="宋体" w:cs="宋体"/>
                <w:spacing w:val="-3"/>
                <w:sz w:val="23"/>
                <w:szCs w:val="23"/>
              </w:rPr>
              <w:t>结束日期</w:t>
            </w:r>
          </w:p>
        </w:tc>
        <w:tc>
          <w:tcPr>
            <w:tcW w:w="939" w:type="dxa"/>
            <w:vAlign w:val="top"/>
          </w:tcPr>
          <w:p w14:paraId="12F89B40">
            <w:pPr>
              <w:spacing w:before="94" w:line="219" w:lineRule="auto"/>
              <w:jc w:val="right"/>
              <w:rPr>
                <w:rFonts w:ascii="宋体" w:hAnsi="宋体" w:eastAsia="宋体" w:cs="宋体"/>
                <w:sz w:val="23"/>
                <w:szCs w:val="23"/>
              </w:rPr>
            </w:pPr>
            <w:r>
              <w:rPr>
                <w:rFonts w:ascii="宋体" w:hAnsi="宋体" w:eastAsia="宋体" w:cs="宋体"/>
                <w:spacing w:val="-3"/>
                <w:sz w:val="23"/>
                <w:szCs w:val="23"/>
              </w:rPr>
              <w:t>完成情况</w:t>
            </w:r>
          </w:p>
        </w:tc>
        <w:tc>
          <w:tcPr>
            <w:tcW w:w="968" w:type="dxa"/>
            <w:vAlign w:val="top"/>
          </w:tcPr>
          <w:p w14:paraId="65D5013F">
            <w:pPr>
              <w:spacing w:before="95" w:line="220" w:lineRule="auto"/>
              <w:jc w:val="right"/>
              <w:rPr>
                <w:rFonts w:ascii="宋体" w:hAnsi="宋体" w:eastAsia="宋体" w:cs="宋体"/>
                <w:sz w:val="23"/>
                <w:szCs w:val="23"/>
              </w:rPr>
            </w:pPr>
            <w:r>
              <w:rPr>
                <w:rFonts w:ascii="宋体" w:hAnsi="宋体" w:eastAsia="宋体" w:cs="宋体"/>
                <w:spacing w:val="-6"/>
                <w:sz w:val="23"/>
                <w:szCs w:val="23"/>
              </w:rPr>
              <w:t>成果形式</w:t>
            </w:r>
          </w:p>
        </w:tc>
      </w:tr>
      <w:tr w14:paraId="57B20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1294" w:type="dxa"/>
            <w:vAlign w:val="top"/>
          </w:tcPr>
          <w:p w14:paraId="38E83AD3">
            <w:pPr>
              <w:spacing w:before="137" w:line="265" w:lineRule="auto"/>
              <w:ind w:left="174" w:right="59" w:hanging="109"/>
              <w:rPr>
                <w:rFonts w:ascii="宋体" w:hAnsi="宋体" w:eastAsia="宋体" w:cs="宋体"/>
                <w:sz w:val="23"/>
                <w:szCs w:val="23"/>
              </w:rPr>
            </w:pPr>
            <w:r>
              <w:rPr>
                <w:rFonts w:ascii="宋体" w:hAnsi="宋体" w:eastAsia="宋体" w:cs="宋体"/>
                <w:spacing w:val="1"/>
                <w:sz w:val="23"/>
                <w:szCs w:val="23"/>
              </w:rPr>
              <w:t>1.制定评价</w:t>
            </w:r>
            <w:r>
              <w:rPr>
                <w:rFonts w:ascii="宋体" w:hAnsi="宋体" w:eastAsia="宋体" w:cs="宋体"/>
                <w:spacing w:val="2"/>
                <w:sz w:val="23"/>
                <w:szCs w:val="23"/>
              </w:rPr>
              <w:t xml:space="preserve"> </w:t>
            </w:r>
            <w:r>
              <w:rPr>
                <w:rFonts w:ascii="宋体" w:hAnsi="宋体" w:eastAsia="宋体" w:cs="宋体"/>
                <w:spacing w:val="4"/>
                <w:sz w:val="23"/>
                <w:szCs w:val="23"/>
              </w:rPr>
              <w:t>工作计划</w:t>
            </w:r>
          </w:p>
        </w:tc>
        <w:tc>
          <w:tcPr>
            <w:tcW w:w="2817" w:type="dxa"/>
            <w:vAlign w:val="top"/>
          </w:tcPr>
          <w:p w14:paraId="03C757D3">
            <w:pPr>
              <w:spacing w:before="288" w:line="218" w:lineRule="auto"/>
              <w:ind w:left="81"/>
              <w:rPr>
                <w:rFonts w:ascii="宋体" w:hAnsi="宋体" w:eastAsia="宋体" w:cs="宋体"/>
                <w:sz w:val="23"/>
                <w:szCs w:val="23"/>
              </w:rPr>
            </w:pPr>
            <w:r>
              <w:rPr>
                <w:rFonts w:ascii="宋体" w:hAnsi="宋体" w:eastAsia="宋体" w:cs="宋体"/>
                <w:spacing w:val="2"/>
                <w:sz w:val="23"/>
                <w:szCs w:val="23"/>
              </w:rPr>
              <w:t>1.1制定评价工作计划</w:t>
            </w:r>
          </w:p>
        </w:tc>
        <w:tc>
          <w:tcPr>
            <w:tcW w:w="739" w:type="dxa"/>
            <w:vAlign w:val="top"/>
          </w:tcPr>
          <w:p w14:paraId="0D988700">
            <w:pPr>
              <w:pStyle w:val="6"/>
            </w:pPr>
          </w:p>
        </w:tc>
        <w:tc>
          <w:tcPr>
            <w:tcW w:w="729" w:type="dxa"/>
            <w:vAlign w:val="top"/>
          </w:tcPr>
          <w:p w14:paraId="220E4619">
            <w:pPr>
              <w:pStyle w:val="6"/>
            </w:pPr>
          </w:p>
        </w:tc>
        <w:tc>
          <w:tcPr>
            <w:tcW w:w="939" w:type="dxa"/>
            <w:vAlign w:val="top"/>
          </w:tcPr>
          <w:p w14:paraId="3FC623B8">
            <w:pPr>
              <w:pStyle w:val="6"/>
            </w:pPr>
          </w:p>
        </w:tc>
        <w:tc>
          <w:tcPr>
            <w:tcW w:w="939" w:type="dxa"/>
            <w:vAlign w:val="top"/>
          </w:tcPr>
          <w:p w14:paraId="16F8DBBB">
            <w:pPr>
              <w:pStyle w:val="6"/>
            </w:pPr>
          </w:p>
        </w:tc>
        <w:tc>
          <w:tcPr>
            <w:tcW w:w="939" w:type="dxa"/>
            <w:vAlign w:val="top"/>
          </w:tcPr>
          <w:p w14:paraId="32A76C17">
            <w:pPr>
              <w:pStyle w:val="6"/>
            </w:pPr>
          </w:p>
        </w:tc>
        <w:tc>
          <w:tcPr>
            <w:tcW w:w="968" w:type="dxa"/>
            <w:vAlign w:val="top"/>
          </w:tcPr>
          <w:p w14:paraId="5C89E64D">
            <w:pPr>
              <w:pStyle w:val="6"/>
            </w:pPr>
          </w:p>
        </w:tc>
      </w:tr>
      <w:tr w14:paraId="56E0D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294" w:type="dxa"/>
            <w:vMerge w:val="restart"/>
            <w:tcBorders>
              <w:bottom w:val="nil"/>
            </w:tcBorders>
            <w:vAlign w:val="top"/>
          </w:tcPr>
          <w:p w14:paraId="3614EEA2">
            <w:pPr>
              <w:pStyle w:val="6"/>
              <w:spacing w:line="342" w:lineRule="auto"/>
            </w:pPr>
          </w:p>
          <w:p w14:paraId="7224DE74">
            <w:pPr>
              <w:pStyle w:val="6"/>
              <w:spacing w:line="342" w:lineRule="auto"/>
            </w:pPr>
          </w:p>
          <w:p w14:paraId="3A6E8DF3">
            <w:pPr>
              <w:spacing w:before="75" w:line="282" w:lineRule="auto"/>
              <w:ind w:left="174" w:right="60" w:hanging="109"/>
              <w:rPr>
                <w:rFonts w:ascii="宋体" w:hAnsi="宋体" w:eastAsia="宋体" w:cs="宋体"/>
                <w:sz w:val="23"/>
                <w:szCs w:val="23"/>
              </w:rPr>
            </w:pPr>
            <w:r>
              <w:rPr>
                <w:rFonts w:ascii="宋体" w:hAnsi="宋体" w:eastAsia="宋体" w:cs="宋体"/>
                <w:spacing w:val="1"/>
                <w:sz w:val="23"/>
                <w:szCs w:val="23"/>
              </w:rPr>
              <w:t xml:space="preserve">2.识别关键 </w:t>
            </w:r>
            <w:r>
              <w:rPr>
                <w:rFonts w:ascii="宋体" w:hAnsi="宋体" w:eastAsia="宋体" w:cs="宋体"/>
                <w:spacing w:val="2"/>
                <w:sz w:val="23"/>
                <w:szCs w:val="23"/>
              </w:rPr>
              <w:t>技术元素</w:t>
            </w:r>
          </w:p>
        </w:tc>
        <w:tc>
          <w:tcPr>
            <w:tcW w:w="2817" w:type="dxa"/>
            <w:vAlign w:val="top"/>
          </w:tcPr>
          <w:p w14:paraId="54B67E2A">
            <w:pPr>
              <w:spacing w:before="92" w:line="219" w:lineRule="auto"/>
              <w:ind w:left="81"/>
              <w:rPr>
                <w:rFonts w:ascii="宋体" w:hAnsi="宋体" w:eastAsia="宋体" w:cs="宋体"/>
                <w:sz w:val="23"/>
                <w:szCs w:val="23"/>
              </w:rPr>
            </w:pPr>
            <w:r>
              <w:rPr>
                <w:rFonts w:ascii="宋体" w:hAnsi="宋体" w:eastAsia="宋体" w:cs="宋体"/>
                <w:spacing w:val="1"/>
                <w:sz w:val="23"/>
                <w:szCs w:val="23"/>
              </w:rPr>
              <w:t>2.1筛选</w:t>
            </w:r>
            <w:r>
              <w:rPr>
                <w:rFonts w:ascii="宋体" w:hAnsi="宋体" w:eastAsia="宋体" w:cs="宋体"/>
                <w:sz w:val="23"/>
                <w:szCs w:val="23"/>
              </w:rPr>
              <w:t>CTE</w:t>
            </w:r>
            <w:r>
              <w:rPr>
                <w:rFonts w:ascii="宋体" w:hAnsi="宋体" w:eastAsia="宋体" w:cs="宋体"/>
                <w:spacing w:val="1"/>
                <w:sz w:val="23"/>
                <w:szCs w:val="23"/>
              </w:rPr>
              <w:t>候选清单</w:t>
            </w:r>
          </w:p>
        </w:tc>
        <w:tc>
          <w:tcPr>
            <w:tcW w:w="739" w:type="dxa"/>
            <w:vAlign w:val="top"/>
          </w:tcPr>
          <w:p w14:paraId="24A6682B">
            <w:pPr>
              <w:pStyle w:val="6"/>
            </w:pPr>
          </w:p>
        </w:tc>
        <w:tc>
          <w:tcPr>
            <w:tcW w:w="729" w:type="dxa"/>
            <w:vAlign w:val="top"/>
          </w:tcPr>
          <w:p w14:paraId="749C80A1">
            <w:pPr>
              <w:pStyle w:val="6"/>
            </w:pPr>
          </w:p>
        </w:tc>
        <w:tc>
          <w:tcPr>
            <w:tcW w:w="939" w:type="dxa"/>
            <w:vAlign w:val="top"/>
          </w:tcPr>
          <w:p w14:paraId="08E40F30">
            <w:pPr>
              <w:pStyle w:val="6"/>
            </w:pPr>
          </w:p>
        </w:tc>
        <w:tc>
          <w:tcPr>
            <w:tcW w:w="939" w:type="dxa"/>
            <w:vAlign w:val="top"/>
          </w:tcPr>
          <w:p w14:paraId="15402BB6">
            <w:pPr>
              <w:pStyle w:val="6"/>
            </w:pPr>
          </w:p>
        </w:tc>
        <w:tc>
          <w:tcPr>
            <w:tcW w:w="939" w:type="dxa"/>
            <w:vAlign w:val="top"/>
          </w:tcPr>
          <w:p w14:paraId="2F227678">
            <w:pPr>
              <w:pStyle w:val="6"/>
            </w:pPr>
          </w:p>
        </w:tc>
        <w:tc>
          <w:tcPr>
            <w:tcW w:w="968" w:type="dxa"/>
            <w:vAlign w:val="top"/>
          </w:tcPr>
          <w:p w14:paraId="512D9423">
            <w:pPr>
              <w:pStyle w:val="6"/>
            </w:pPr>
          </w:p>
        </w:tc>
      </w:tr>
      <w:tr w14:paraId="4CBB7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294" w:type="dxa"/>
            <w:vMerge w:val="continue"/>
            <w:tcBorders>
              <w:top w:val="nil"/>
              <w:bottom w:val="nil"/>
            </w:tcBorders>
            <w:vAlign w:val="top"/>
          </w:tcPr>
          <w:p w14:paraId="29BCA92C">
            <w:pPr>
              <w:pStyle w:val="6"/>
            </w:pPr>
          </w:p>
        </w:tc>
        <w:tc>
          <w:tcPr>
            <w:tcW w:w="2817" w:type="dxa"/>
            <w:vAlign w:val="top"/>
          </w:tcPr>
          <w:p w14:paraId="6B51D67B">
            <w:pPr>
              <w:spacing w:before="93" w:line="219" w:lineRule="auto"/>
              <w:ind w:left="81"/>
              <w:rPr>
                <w:rFonts w:ascii="宋体" w:hAnsi="宋体" w:eastAsia="宋体" w:cs="宋体"/>
                <w:sz w:val="23"/>
                <w:szCs w:val="23"/>
              </w:rPr>
            </w:pPr>
            <w:r>
              <w:rPr>
                <w:rFonts w:ascii="宋体" w:hAnsi="宋体" w:eastAsia="宋体" w:cs="宋体"/>
                <w:spacing w:val="1"/>
                <w:sz w:val="23"/>
                <w:szCs w:val="23"/>
              </w:rPr>
              <w:t>2.2数据及信息准备</w:t>
            </w:r>
          </w:p>
        </w:tc>
        <w:tc>
          <w:tcPr>
            <w:tcW w:w="739" w:type="dxa"/>
            <w:vAlign w:val="top"/>
          </w:tcPr>
          <w:p w14:paraId="12EFEDA7">
            <w:pPr>
              <w:pStyle w:val="6"/>
            </w:pPr>
          </w:p>
        </w:tc>
        <w:tc>
          <w:tcPr>
            <w:tcW w:w="729" w:type="dxa"/>
            <w:vAlign w:val="top"/>
          </w:tcPr>
          <w:p w14:paraId="0DE0FF0D">
            <w:pPr>
              <w:pStyle w:val="6"/>
            </w:pPr>
          </w:p>
        </w:tc>
        <w:tc>
          <w:tcPr>
            <w:tcW w:w="939" w:type="dxa"/>
            <w:vAlign w:val="top"/>
          </w:tcPr>
          <w:p w14:paraId="72B5F17B">
            <w:pPr>
              <w:pStyle w:val="6"/>
            </w:pPr>
          </w:p>
        </w:tc>
        <w:tc>
          <w:tcPr>
            <w:tcW w:w="939" w:type="dxa"/>
            <w:vAlign w:val="top"/>
          </w:tcPr>
          <w:p w14:paraId="4C618866">
            <w:pPr>
              <w:pStyle w:val="6"/>
            </w:pPr>
          </w:p>
        </w:tc>
        <w:tc>
          <w:tcPr>
            <w:tcW w:w="939" w:type="dxa"/>
            <w:vAlign w:val="top"/>
          </w:tcPr>
          <w:p w14:paraId="5FA7C58B">
            <w:pPr>
              <w:pStyle w:val="6"/>
            </w:pPr>
          </w:p>
        </w:tc>
        <w:tc>
          <w:tcPr>
            <w:tcW w:w="968" w:type="dxa"/>
            <w:vAlign w:val="top"/>
          </w:tcPr>
          <w:p w14:paraId="06E8CF46">
            <w:pPr>
              <w:pStyle w:val="6"/>
            </w:pPr>
          </w:p>
        </w:tc>
      </w:tr>
      <w:tr w14:paraId="5EE2A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294" w:type="dxa"/>
            <w:vMerge w:val="continue"/>
            <w:tcBorders>
              <w:top w:val="nil"/>
              <w:bottom w:val="nil"/>
            </w:tcBorders>
            <w:vAlign w:val="top"/>
          </w:tcPr>
          <w:p w14:paraId="6760BEF5">
            <w:pPr>
              <w:pStyle w:val="6"/>
            </w:pPr>
          </w:p>
        </w:tc>
        <w:tc>
          <w:tcPr>
            <w:tcW w:w="2817" w:type="dxa"/>
            <w:vAlign w:val="top"/>
          </w:tcPr>
          <w:p w14:paraId="2F54463F">
            <w:pPr>
              <w:spacing w:before="94" w:line="219" w:lineRule="auto"/>
              <w:ind w:left="81"/>
              <w:rPr>
                <w:rFonts w:ascii="宋体" w:hAnsi="宋体" w:eastAsia="宋体" w:cs="宋体"/>
                <w:sz w:val="23"/>
                <w:szCs w:val="23"/>
              </w:rPr>
            </w:pPr>
            <w:r>
              <w:rPr>
                <w:rFonts w:ascii="宋体" w:hAnsi="宋体" w:eastAsia="宋体" w:cs="宋体"/>
                <w:spacing w:val="1"/>
                <w:sz w:val="23"/>
                <w:szCs w:val="23"/>
              </w:rPr>
              <w:t>2.3编写具体化</w:t>
            </w:r>
            <w:r>
              <w:rPr>
                <w:rFonts w:ascii="宋体" w:hAnsi="宋体" w:eastAsia="宋体" w:cs="宋体"/>
                <w:sz w:val="23"/>
                <w:szCs w:val="23"/>
              </w:rPr>
              <w:t>TRL</w:t>
            </w:r>
            <w:r>
              <w:rPr>
                <w:rFonts w:ascii="宋体" w:hAnsi="宋体" w:eastAsia="宋体" w:cs="宋体"/>
                <w:spacing w:val="1"/>
                <w:sz w:val="23"/>
                <w:szCs w:val="23"/>
              </w:rPr>
              <w:t>定义</w:t>
            </w:r>
          </w:p>
        </w:tc>
        <w:tc>
          <w:tcPr>
            <w:tcW w:w="739" w:type="dxa"/>
            <w:vAlign w:val="top"/>
          </w:tcPr>
          <w:p w14:paraId="06E88D2B">
            <w:pPr>
              <w:pStyle w:val="6"/>
            </w:pPr>
          </w:p>
        </w:tc>
        <w:tc>
          <w:tcPr>
            <w:tcW w:w="729" w:type="dxa"/>
            <w:vAlign w:val="top"/>
          </w:tcPr>
          <w:p w14:paraId="69FB3748">
            <w:pPr>
              <w:pStyle w:val="6"/>
            </w:pPr>
          </w:p>
        </w:tc>
        <w:tc>
          <w:tcPr>
            <w:tcW w:w="939" w:type="dxa"/>
            <w:vAlign w:val="top"/>
          </w:tcPr>
          <w:p w14:paraId="57179EFF">
            <w:pPr>
              <w:pStyle w:val="6"/>
            </w:pPr>
          </w:p>
        </w:tc>
        <w:tc>
          <w:tcPr>
            <w:tcW w:w="939" w:type="dxa"/>
            <w:vAlign w:val="top"/>
          </w:tcPr>
          <w:p w14:paraId="794BEA54">
            <w:pPr>
              <w:pStyle w:val="6"/>
            </w:pPr>
          </w:p>
        </w:tc>
        <w:tc>
          <w:tcPr>
            <w:tcW w:w="939" w:type="dxa"/>
            <w:vAlign w:val="top"/>
          </w:tcPr>
          <w:p w14:paraId="29A51171">
            <w:pPr>
              <w:pStyle w:val="6"/>
            </w:pPr>
          </w:p>
        </w:tc>
        <w:tc>
          <w:tcPr>
            <w:tcW w:w="968" w:type="dxa"/>
            <w:vAlign w:val="top"/>
          </w:tcPr>
          <w:p w14:paraId="01AD1DFB">
            <w:pPr>
              <w:pStyle w:val="6"/>
            </w:pPr>
          </w:p>
        </w:tc>
      </w:tr>
      <w:tr w14:paraId="2FB90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1294" w:type="dxa"/>
            <w:vMerge w:val="continue"/>
            <w:tcBorders>
              <w:top w:val="nil"/>
            </w:tcBorders>
            <w:vAlign w:val="top"/>
          </w:tcPr>
          <w:p w14:paraId="32B3DB52">
            <w:pPr>
              <w:pStyle w:val="6"/>
            </w:pPr>
          </w:p>
        </w:tc>
        <w:tc>
          <w:tcPr>
            <w:tcW w:w="2817" w:type="dxa"/>
            <w:vAlign w:val="top"/>
          </w:tcPr>
          <w:p w14:paraId="5D5248EC">
            <w:pPr>
              <w:spacing w:before="145" w:line="262" w:lineRule="auto"/>
              <w:ind w:left="631" w:right="437" w:hanging="550"/>
              <w:rPr>
                <w:rFonts w:ascii="宋体" w:hAnsi="宋体" w:eastAsia="宋体" w:cs="宋体"/>
                <w:sz w:val="23"/>
                <w:szCs w:val="23"/>
              </w:rPr>
            </w:pPr>
            <w:r>
              <w:rPr>
                <w:rFonts w:ascii="宋体" w:hAnsi="宋体" w:eastAsia="宋体" w:cs="宋体"/>
                <w:spacing w:val="-1"/>
                <w:sz w:val="23"/>
                <w:szCs w:val="23"/>
              </w:rPr>
              <w:t>2.4协调及确定最终CTE</w:t>
            </w:r>
            <w:r>
              <w:rPr>
                <w:rFonts w:ascii="宋体" w:hAnsi="宋体" w:eastAsia="宋体" w:cs="宋体"/>
                <w:sz w:val="23"/>
                <w:szCs w:val="23"/>
              </w:rPr>
              <w:t xml:space="preserve"> </w:t>
            </w:r>
            <w:r>
              <w:rPr>
                <w:rFonts w:ascii="宋体" w:hAnsi="宋体" w:eastAsia="宋体" w:cs="宋体"/>
                <w:spacing w:val="-1"/>
                <w:sz w:val="23"/>
                <w:szCs w:val="23"/>
              </w:rPr>
              <w:t>清单、TRL定义</w:t>
            </w:r>
          </w:p>
        </w:tc>
        <w:tc>
          <w:tcPr>
            <w:tcW w:w="739" w:type="dxa"/>
            <w:vAlign w:val="top"/>
          </w:tcPr>
          <w:p w14:paraId="72D618D0">
            <w:pPr>
              <w:pStyle w:val="6"/>
            </w:pPr>
          </w:p>
        </w:tc>
        <w:tc>
          <w:tcPr>
            <w:tcW w:w="729" w:type="dxa"/>
            <w:vAlign w:val="top"/>
          </w:tcPr>
          <w:p w14:paraId="0597200F">
            <w:pPr>
              <w:pStyle w:val="6"/>
            </w:pPr>
          </w:p>
        </w:tc>
        <w:tc>
          <w:tcPr>
            <w:tcW w:w="939" w:type="dxa"/>
            <w:vAlign w:val="top"/>
          </w:tcPr>
          <w:p w14:paraId="400D2954">
            <w:pPr>
              <w:pStyle w:val="6"/>
            </w:pPr>
          </w:p>
        </w:tc>
        <w:tc>
          <w:tcPr>
            <w:tcW w:w="939" w:type="dxa"/>
            <w:vAlign w:val="top"/>
          </w:tcPr>
          <w:p w14:paraId="6BFBB879">
            <w:pPr>
              <w:pStyle w:val="6"/>
            </w:pPr>
          </w:p>
        </w:tc>
        <w:tc>
          <w:tcPr>
            <w:tcW w:w="939" w:type="dxa"/>
            <w:vAlign w:val="top"/>
          </w:tcPr>
          <w:p w14:paraId="24DF08A8">
            <w:pPr>
              <w:pStyle w:val="6"/>
            </w:pPr>
          </w:p>
        </w:tc>
        <w:tc>
          <w:tcPr>
            <w:tcW w:w="968" w:type="dxa"/>
            <w:vAlign w:val="top"/>
          </w:tcPr>
          <w:p w14:paraId="0BDCE560">
            <w:pPr>
              <w:pStyle w:val="6"/>
            </w:pPr>
          </w:p>
        </w:tc>
      </w:tr>
      <w:tr w14:paraId="28CEC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294" w:type="dxa"/>
            <w:vMerge w:val="restart"/>
            <w:tcBorders>
              <w:bottom w:val="nil"/>
            </w:tcBorders>
            <w:vAlign w:val="top"/>
          </w:tcPr>
          <w:p w14:paraId="2A561872">
            <w:pPr>
              <w:spacing w:before="165" w:line="260" w:lineRule="auto"/>
              <w:ind w:left="174" w:right="59" w:hanging="109"/>
              <w:rPr>
                <w:rFonts w:ascii="宋体" w:hAnsi="宋体" w:eastAsia="宋体" w:cs="宋体"/>
                <w:sz w:val="23"/>
                <w:szCs w:val="23"/>
              </w:rPr>
            </w:pPr>
            <w:r>
              <w:rPr>
                <w:rFonts w:ascii="宋体" w:hAnsi="宋体" w:eastAsia="宋体" w:cs="宋体"/>
                <w:spacing w:val="1"/>
                <w:sz w:val="23"/>
                <w:szCs w:val="23"/>
              </w:rPr>
              <w:t>3.评价关键</w:t>
            </w:r>
            <w:r>
              <w:rPr>
                <w:rFonts w:ascii="宋体" w:hAnsi="宋体" w:eastAsia="宋体" w:cs="宋体"/>
                <w:spacing w:val="2"/>
                <w:sz w:val="23"/>
                <w:szCs w:val="23"/>
              </w:rPr>
              <w:t xml:space="preserve"> 技术元素</w:t>
            </w:r>
          </w:p>
        </w:tc>
        <w:tc>
          <w:tcPr>
            <w:tcW w:w="2817" w:type="dxa"/>
            <w:vAlign w:val="top"/>
          </w:tcPr>
          <w:p w14:paraId="11173130">
            <w:pPr>
              <w:spacing w:before="95" w:line="218" w:lineRule="auto"/>
              <w:ind w:left="81"/>
              <w:rPr>
                <w:rFonts w:ascii="宋体" w:hAnsi="宋体" w:eastAsia="宋体" w:cs="宋体"/>
                <w:sz w:val="23"/>
                <w:szCs w:val="23"/>
              </w:rPr>
            </w:pPr>
            <w:r>
              <w:rPr>
                <w:rFonts w:ascii="宋体" w:hAnsi="宋体" w:eastAsia="宋体" w:cs="宋体"/>
                <w:spacing w:val="27"/>
                <w:sz w:val="23"/>
                <w:szCs w:val="23"/>
              </w:rPr>
              <w:t>3</w:t>
            </w:r>
            <w:r>
              <w:rPr>
                <w:rFonts w:ascii="宋体" w:hAnsi="宋体" w:eastAsia="宋体" w:cs="宋体"/>
                <w:spacing w:val="-48"/>
                <w:sz w:val="23"/>
                <w:szCs w:val="23"/>
              </w:rPr>
              <w:t xml:space="preserve"> </w:t>
            </w:r>
            <w:r>
              <w:rPr>
                <w:rFonts w:ascii="宋体" w:hAnsi="宋体" w:eastAsia="宋体" w:cs="宋体"/>
                <w:spacing w:val="27"/>
                <w:sz w:val="23"/>
                <w:szCs w:val="23"/>
              </w:rPr>
              <w:t>.</w:t>
            </w:r>
            <w:r>
              <w:rPr>
                <w:rFonts w:ascii="宋体" w:hAnsi="宋体" w:eastAsia="宋体" w:cs="宋体"/>
                <w:spacing w:val="-45"/>
                <w:sz w:val="23"/>
                <w:szCs w:val="23"/>
              </w:rPr>
              <w:t xml:space="preserve"> </w:t>
            </w:r>
            <w:r>
              <w:rPr>
                <w:rFonts w:ascii="宋体" w:hAnsi="宋体" w:eastAsia="宋体" w:cs="宋体"/>
                <w:spacing w:val="27"/>
                <w:sz w:val="23"/>
                <w:szCs w:val="23"/>
              </w:rPr>
              <w:t>1评价CTE的TRL</w:t>
            </w:r>
          </w:p>
        </w:tc>
        <w:tc>
          <w:tcPr>
            <w:tcW w:w="739" w:type="dxa"/>
            <w:vAlign w:val="top"/>
          </w:tcPr>
          <w:p w14:paraId="2ED5D41F">
            <w:pPr>
              <w:pStyle w:val="6"/>
            </w:pPr>
          </w:p>
        </w:tc>
        <w:tc>
          <w:tcPr>
            <w:tcW w:w="729" w:type="dxa"/>
            <w:vAlign w:val="top"/>
          </w:tcPr>
          <w:p w14:paraId="0EDB58A9">
            <w:pPr>
              <w:pStyle w:val="6"/>
            </w:pPr>
          </w:p>
        </w:tc>
        <w:tc>
          <w:tcPr>
            <w:tcW w:w="939" w:type="dxa"/>
            <w:vAlign w:val="top"/>
          </w:tcPr>
          <w:p w14:paraId="0AF0A79E">
            <w:pPr>
              <w:pStyle w:val="6"/>
            </w:pPr>
          </w:p>
        </w:tc>
        <w:tc>
          <w:tcPr>
            <w:tcW w:w="939" w:type="dxa"/>
            <w:vAlign w:val="top"/>
          </w:tcPr>
          <w:p w14:paraId="5C11B84C">
            <w:pPr>
              <w:pStyle w:val="6"/>
            </w:pPr>
          </w:p>
        </w:tc>
        <w:tc>
          <w:tcPr>
            <w:tcW w:w="939" w:type="dxa"/>
            <w:vAlign w:val="top"/>
          </w:tcPr>
          <w:p w14:paraId="638684AA">
            <w:pPr>
              <w:pStyle w:val="6"/>
            </w:pPr>
          </w:p>
        </w:tc>
        <w:tc>
          <w:tcPr>
            <w:tcW w:w="968" w:type="dxa"/>
            <w:vAlign w:val="top"/>
          </w:tcPr>
          <w:p w14:paraId="474B7056">
            <w:pPr>
              <w:pStyle w:val="6"/>
            </w:pPr>
          </w:p>
        </w:tc>
      </w:tr>
      <w:tr w14:paraId="5F1AD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94" w:type="dxa"/>
            <w:vMerge w:val="continue"/>
            <w:tcBorders>
              <w:top w:val="nil"/>
            </w:tcBorders>
            <w:vAlign w:val="top"/>
          </w:tcPr>
          <w:p w14:paraId="0002273B">
            <w:pPr>
              <w:pStyle w:val="6"/>
            </w:pPr>
          </w:p>
        </w:tc>
        <w:tc>
          <w:tcPr>
            <w:tcW w:w="2817" w:type="dxa"/>
            <w:vAlign w:val="top"/>
          </w:tcPr>
          <w:p w14:paraId="493C40A2">
            <w:pPr>
              <w:spacing w:before="96" w:line="218" w:lineRule="auto"/>
              <w:ind w:left="81"/>
              <w:rPr>
                <w:rFonts w:ascii="宋体" w:hAnsi="宋体" w:eastAsia="宋体" w:cs="宋体"/>
                <w:sz w:val="23"/>
                <w:szCs w:val="23"/>
              </w:rPr>
            </w:pPr>
            <w:r>
              <w:rPr>
                <w:rFonts w:ascii="宋体" w:hAnsi="宋体" w:eastAsia="宋体" w:cs="宋体"/>
                <w:spacing w:val="31"/>
                <w:sz w:val="23"/>
                <w:szCs w:val="23"/>
              </w:rPr>
              <w:t>3</w:t>
            </w:r>
            <w:r>
              <w:rPr>
                <w:rFonts w:ascii="宋体" w:hAnsi="宋体" w:eastAsia="宋体" w:cs="宋体"/>
                <w:spacing w:val="-57"/>
                <w:sz w:val="23"/>
                <w:szCs w:val="23"/>
              </w:rPr>
              <w:t xml:space="preserve"> </w:t>
            </w:r>
            <w:r>
              <w:rPr>
                <w:rFonts w:ascii="宋体" w:hAnsi="宋体" w:eastAsia="宋体" w:cs="宋体"/>
                <w:spacing w:val="31"/>
                <w:sz w:val="23"/>
                <w:szCs w:val="23"/>
              </w:rPr>
              <w:t>.</w:t>
            </w:r>
            <w:r>
              <w:rPr>
                <w:rFonts w:ascii="宋体" w:hAnsi="宋体" w:eastAsia="宋体" w:cs="宋体"/>
                <w:spacing w:val="-65"/>
                <w:sz w:val="23"/>
                <w:szCs w:val="23"/>
              </w:rPr>
              <w:t xml:space="preserve"> </w:t>
            </w:r>
            <w:r>
              <w:rPr>
                <w:rFonts w:ascii="宋体" w:hAnsi="宋体" w:eastAsia="宋体" w:cs="宋体"/>
                <w:spacing w:val="31"/>
                <w:sz w:val="23"/>
                <w:szCs w:val="23"/>
              </w:rPr>
              <w:t>2完成</w:t>
            </w:r>
            <w:r>
              <w:rPr>
                <w:rFonts w:ascii="宋体" w:hAnsi="宋体" w:eastAsia="宋体" w:cs="宋体"/>
                <w:sz w:val="23"/>
                <w:szCs w:val="23"/>
              </w:rPr>
              <w:t>TRA</w:t>
            </w:r>
            <w:r>
              <w:rPr>
                <w:rFonts w:ascii="宋体" w:hAnsi="宋体" w:eastAsia="宋体" w:cs="宋体"/>
                <w:spacing w:val="31"/>
                <w:sz w:val="23"/>
                <w:szCs w:val="23"/>
              </w:rPr>
              <w:t>报告</w:t>
            </w:r>
          </w:p>
        </w:tc>
        <w:tc>
          <w:tcPr>
            <w:tcW w:w="739" w:type="dxa"/>
            <w:vAlign w:val="top"/>
          </w:tcPr>
          <w:p w14:paraId="688F93C3">
            <w:pPr>
              <w:pStyle w:val="6"/>
            </w:pPr>
          </w:p>
        </w:tc>
        <w:tc>
          <w:tcPr>
            <w:tcW w:w="729" w:type="dxa"/>
            <w:vAlign w:val="top"/>
          </w:tcPr>
          <w:p w14:paraId="6E65F689">
            <w:pPr>
              <w:pStyle w:val="6"/>
            </w:pPr>
          </w:p>
        </w:tc>
        <w:tc>
          <w:tcPr>
            <w:tcW w:w="939" w:type="dxa"/>
            <w:vAlign w:val="top"/>
          </w:tcPr>
          <w:p w14:paraId="2F78D3C2">
            <w:pPr>
              <w:pStyle w:val="6"/>
            </w:pPr>
          </w:p>
        </w:tc>
        <w:tc>
          <w:tcPr>
            <w:tcW w:w="939" w:type="dxa"/>
            <w:vAlign w:val="top"/>
          </w:tcPr>
          <w:p w14:paraId="38DC5DE7">
            <w:pPr>
              <w:pStyle w:val="6"/>
            </w:pPr>
          </w:p>
        </w:tc>
        <w:tc>
          <w:tcPr>
            <w:tcW w:w="939" w:type="dxa"/>
            <w:vAlign w:val="top"/>
          </w:tcPr>
          <w:p w14:paraId="26C62F38">
            <w:pPr>
              <w:pStyle w:val="6"/>
            </w:pPr>
          </w:p>
        </w:tc>
        <w:tc>
          <w:tcPr>
            <w:tcW w:w="968" w:type="dxa"/>
            <w:vAlign w:val="top"/>
          </w:tcPr>
          <w:p w14:paraId="169491F2">
            <w:pPr>
              <w:pStyle w:val="6"/>
            </w:pPr>
          </w:p>
        </w:tc>
      </w:tr>
    </w:tbl>
    <w:p w14:paraId="57C0AD7C">
      <w:pPr>
        <w:spacing w:line="385" w:lineRule="auto"/>
        <w:rPr>
          <w:rFonts w:ascii="Arial"/>
          <w:sz w:val="21"/>
        </w:rPr>
      </w:pPr>
    </w:p>
    <w:p w14:paraId="40CE86CE">
      <w:pPr>
        <w:pStyle w:val="2"/>
        <w:spacing w:before="117" w:line="219" w:lineRule="auto"/>
        <w:ind w:left="1900"/>
        <w:outlineLvl w:val="1"/>
        <w:rPr>
          <w:sz w:val="36"/>
          <w:szCs w:val="36"/>
        </w:rPr>
      </w:pPr>
      <w:r>
        <w:rPr>
          <w:rFonts w:ascii="Times New Roman" w:hAnsi="Times New Roman" w:eastAsia="Times New Roman" w:cs="Times New Roman"/>
          <w:b/>
          <w:bCs/>
          <w:spacing w:val="1"/>
          <w:sz w:val="36"/>
          <w:szCs w:val="36"/>
        </w:rPr>
        <w:t xml:space="preserve">6.4     </w:t>
      </w:r>
      <w:r>
        <w:rPr>
          <w:b/>
          <w:bCs/>
          <w:spacing w:val="1"/>
          <w:sz w:val="36"/>
          <w:szCs w:val="36"/>
        </w:rPr>
        <w:t>关键技术元素(初始候选)清单</w:t>
      </w:r>
    </w:p>
    <w:p w14:paraId="5D9EC237">
      <w:pPr>
        <w:spacing w:line="364" w:lineRule="auto"/>
        <w:rPr>
          <w:rFonts w:ascii="Arial"/>
          <w:sz w:val="21"/>
        </w:rPr>
      </w:pPr>
    </w:p>
    <w:p w14:paraId="6FB7A28D">
      <w:pPr>
        <w:spacing w:before="82" w:line="221"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6"/>
          <w:sz w:val="25"/>
          <w:szCs w:val="25"/>
        </w:rPr>
        <w:t xml:space="preserve">  </w:t>
      </w:r>
      <w:r>
        <w:rPr>
          <w:rFonts w:ascii="黑体" w:hAnsi="黑体" w:eastAsia="黑体" w:cs="黑体"/>
          <w:b/>
          <w:bCs/>
          <w:spacing w:val="13"/>
          <w:sz w:val="25"/>
          <w:szCs w:val="25"/>
        </w:rPr>
        <w:t>项目概述</w:t>
      </w:r>
    </w:p>
    <w:p w14:paraId="66A9D048">
      <w:pPr>
        <w:pStyle w:val="2"/>
        <w:spacing w:before="96" w:line="282" w:lineRule="auto"/>
        <w:ind w:right="7" w:firstLine="600"/>
      </w:pPr>
      <w:r>
        <w:rPr>
          <w:spacing w:val="-11"/>
        </w:rPr>
        <w:t>简述项目概况，包括项目目标、国内外发展现状、主要研究内容、应用背景和</w:t>
      </w:r>
      <w:r>
        <w:rPr>
          <w:spacing w:val="14"/>
        </w:rPr>
        <w:t xml:space="preserve"> </w:t>
      </w:r>
      <w:r>
        <w:rPr>
          <w:spacing w:val="-8"/>
        </w:rPr>
        <w:t>应用范围、系统简介，参照表6.4。</w:t>
      </w:r>
    </w:p>
    <w:p w14:paraId="630EAE5C">
      <w:pPr>
        <w:spacing w:before="10" w:line="222" w:lineRule="auto"/>
        <w:rPr>
          <w:rFonts w:ascii="黑体" w:hAnsi="黑体" w:eastAsia="黑体" w:cs="黑体"/>
          <w:sz w:val="25"/>
          <w:szCs w:val="25"/>
        </w:rPr>
      </w:pPr>
      <w:r>
        <w:rPr>
          <w:rFonts w:ascii="黑体" w:hAnsi="黑体" w:eastAsia="黑体" w:cs="黑体"/>
          <w:spacing w:val="8"/>
          <w:sz w:val="25"/>
          <w:szCs w:val="25"/>
        </w:rPr>
        <w:t>1.1</w:t>
      </w:r>
      <w:r>
        <w:rPr>
          <w:rFonts w:ascii="黑体" w:hAnsi="黑体" w:eastAsia="黑体" w:cs="黑体"/>
          <w:spacing w:val="2"/>
          <w:sz w:val="25"/>
          <w:szCs w:val="25"/>
        </w:rPr>
        <w:t xml:space="preserve">   </w:t>
      </w:r>
      <w:r>
        <w:rPr>
          <w:rFonts w:ascii="黑体" w:hAnsi="黑体" w:eastAsia="黑体" w:cs="黑体"/>
          <w:b/>
          <w:bCs/>
          <w:spacing w:val="8"/>
          <w:sz w:val="25"/>
          <w:szCs w:val="25"/>
        </w:rPr>
        <w:t>项目目标</w:t>
      </w:r>
    </w:p>
    <w:p w14:paraId="20D3F6A6">
      <w:pPr>
        <w:pStyle w:val="2"/>
        <w:spacing w:before="106" w:line="220" w:lineRule="auto"/>
        <w:ind w:left="600"/>
      </w:pPr>
      <w:r>
        <w:rPr>
          <w:spacing w:val="2"/>
        </w:rPr>
        <w:t>分阶段提出项目的可量度的发展目标。</w:t>
      </w:r>
    </w:p>
    <w:p w14:paraId="52E9CA61">
      <w:pPr>
        <w:pStyle w:val="2"/>
        <w:spacing w:before="98" w:line="219" w:lineRule="auto"/>
        <w:ind w:left="600"/>
      </w:pPr>
      <w:r>
        <w:rPr>
          <w:spacing w:val="-1"/>
        </w:rPr>
        <w:t>技术指标目标：定量化描述项目要达到的主要技术指标目标。</w:t>
      </w:r>
    </w:p>
    <w:p w14:paraId="66F5B57C">
      <w:pPr>
        <w:spacing w:line="219" w:lineRule="auto"/>
        <w:sectPr>
          <w:footerReference r:id="rId345" w:type="default"/>
          <w:pgSz w:w="11910" w:h="17130"/>
          <w:pgMar w:top="1456" w:right="950" w:bottom="1566" w:left="1529" w:header="0" w:footer="1377" w:gutter="0"/>
          <w:cols w:space="720" w:num="1"/>
        </w:sectPr>
      </w:pPr>
    </w:p>
    <w:p w14:paraId="4E47C3BF">
      <w:pPr>
        <w:pStyle w:val="2"/>
        <w:spacing w:before="125" w:line="219" w:lineRule="auto"/>
        <w:ind w:left="539"/>
      </w:pPr>
      <w:r>
        <w:rPr>
          <w:spacing w:val="-2"/>
        </w:rPr>
        <w:t>技术能力目标：描述项目要达到的提高性能和能力的目标。</w:t>
      </w:r>
    </w:p>
    <w:p w14:paraId="66023374">
      <w:pPr>
        <w:spacing w:before="123" w:line="221" w:lineRule="auto"/>
        <w:rPr>
          <w:rFonts w:ascii="黑体" w:hAnsi="黑体" w:eastAsia="黑体" w:cs="黑体"/>
          <w:sz w:val="27"/>
          <w:szCs w:val="27"/>
        </w:rPr>
      </w:pPr>
      <w:r>
        <w:rPr>
          <w:rFonts w:ascii="黑体" w:hAnsi="黑体" w:eastAsia="黑体" w:cs="黑体"/>
          <w:spacing w:val="-2"/>
          <w:sz w:val="27"/>
          <w:szCs w:val="27"/>
        </w:rPr>
        <w:t>1.</w:t>
      </w:r>
      <w:r>
        <w:rPr>
          <w:rFonts w:ascii="黑体" w:hAnsi="黑体" w:eastAsia="黑体" w:cs="黑体"/>
          <w:b/>
          <w:bCs/>
          <w:spacing w:val="-2"/>
          <w:sz w:val="27"/>
          <w:szCs w:val="27"/>
        </w:rPr>
        <w:t>2</w:t>
      </w:r>
      <w:r>
        <w:rPr>
          <w:rFonts w:ascii="黑体" w:hAnsi="黑体" w:eastAsia="黑体" w:cs="黑体"/>
          <w:spacing w:val="21"/>
          <w:sz w:val="27"/>
          <w:szCs w:val="27"/>
        </w:rPr>
        <w:t xml:space="preserve">  </w:t>
      </w:r>
      <w:r>
        <w:rPr>
          <w:rFonts w:ascii="黑体" w:hAnsi="黑体" w:eastAsia="黑体" w:cs="黑体"/>
          <w:b/>
          <w:bCs/>
          <w:spacing w:val="-2"/>
          <w:sz w:val="27"/>
          <w:szCs w:val="27"/>
        </w:rPr>
        <w:t>国内外发展现状与差距分析</w:t>
      </w:r>
    </w:p>
    <w:p w14:paraId="2BDD89D6">
      <w:pPr>
        <w:pStyle w:val="2"/>
        <w:spacing w:before="50" w:line="293" w:lineRule="auto"/>
        <w:ind w:right="157" w:firstLine="539"/>
      </w:pPr>
      <w:r>
        <w:rPr>
          <w:spacing w:val="-4"/>
        </w:rPr>
        <w:t>分析国内外该项目领域的研究现状，针对具体项目，列出国内外的差距，指</w:t>
      </w:r>
      <w:r>
        <w:rPr>
          <w:spacing w:val="18"/>
        </w:rPr>
        <w:t xml:space="preserve"> </w:t>
      </w:r>
      <w:r>
        <w:t>出重点发展方向。</w:t>
      </w:r>
    </w:p>
    <w:p w14:paraId="7F851412">
      <w:pPr>
        <w:spacing w:line="221" w:lineRule="auto"/>
        <w:rPr>
          <w:rFonts w:ascii="黑体" w:hAnsi="黑体" w:eastAsia="黑体" w:cs="黑体"/>
          <w:sz w:val="25"/>
          <w:szCs w:val="25"/>
        </w:rPr>
      </w:pPr>
      <w:r>
        <w:rPr>
          <w:rFonts w:ascii="黑体" w:hAnsi="黑体" w:eastAsia="黑体" w:cs="黑体"/>
          <w:spacing w:val="11"/>
          <w:sz w:val="25"/>
          <w:szCs w:val="25"/>
        </w:rPr>
        <w:t>1.3</w:t>
      </w:r>
      <w:r>
        <w:rPr>
          <w:rFonts w:ascii="黑体" w:hAnsi="黑体" w:eastAsia="黑体" w:cs="黑体"/>
          <w:spacing w:val="43"/>
          <w:sz w:val="25"/>
          <w:szCs w:val="25"/>
        </w:rPr>
        <w:t xml:space="preserve">  </w:t>
      </w:r>
      <w:r>
        <w:rPr>
          <w:rFonts w:ascii="黑体" w:hAnsi="黑体" w:eastAsia="黑体" w:cs="黑体"/>
          <w:b/>
          <w:bCs/>
          <w:spacing w:val="11"/>
          <w:sz w:val="25"/>
          <w:szCs w:val="25"/>
        </w:rPr>
        <w:t>主要研究内容</w:t>
      </w:r>
    </w:p>
    <w:p w14:paraId="198BA537">
      <w:pPr>
        <w:pStyle w:val="2"/>
        <w:spacing w:before="93" w:line="219" w:lineRule="auto"/>
        <w:ind w:left="539"/>
      </w:pPr>
      <w:r>
        <w:rPr>
          <w:spacing w:val="-1"/>
        </w:rPr>
        <w:t>描述项目目标的实现途径，项目的研究思路及工作计划安排等。</w:t>
      </w:r>
    </w:p>
    <w:p w14:paraId="20D31848">
      <w:pPr>
        <w:spacing w:before="125" w:line="221" w:lineRule="auto"/>
        <w:rPr>
          <w:rFonts w:ascii="黑体" w:hAnsi="黑体" w:eastAsia="黑体" w:cs="黑体"/>
          <w:sz w:val="24"/>
          <w:szCs w:val="24"/>
        </w:rPr>
      </w:pPr>
      <w:r>
        <w:rPr>
          <w:rFonts w:ascii="黑体" w:hAnsi="黑体" w:eastAsia="黑体" w:cs="黑体"/>
          <w:spacing w:val="23"/>
          <w:sz w:val="24"/>
          <w:szCs w:val="24"/>
        </w:rPr>
        <w:t>1.4</w:t>
      </w:r>
      <w:r>
        <w:rPr>
          <w:rFonts w:ascii="黑体" w:hAnsi="黑体" w:eastAsia="黑体" w:cs="黑体"/>
          <w:spacing w:val="55"/>
          <w:sz w:val="24"/>
          <w:szCs w:val="24"/>
        </w:rPr>
        <w:t xml:space="preserve">  </w:t>
      </w:r>
      <w:r>
        <w:rPr>
          <w:rFonts w:ascii="黑体" w:hAnsi="黑体" w:eastAsia="黑体" w:cs="黑体"/>
          <w:b/>
          <w:bCs/>
          <w:spacing w:val="23"/>
          <w:sz w:val="24"/>
          <w:szCs w:val="24"/>
        </w:rPr>
        <w:t>应用背景和应用范围</w:t>
      </w:r>
    </w:p>
    <w:p w14:paraId="5546A9F8">
      <w:pPr>
        <w:pStyle w:val="2"/>
        <w:spacing w:before="87" w:line="219" w:lineRule="auto"/>
        <w:ind w:left="539"/>
      </w:pPr>
      <w:r>
        <w:rPr>
          <w:spacing w:val="-5"/>
        </w:rPr>
        <w:t>简述项目的应用背景和应用范围，包括项目的使用环境、使用条件等。</w:t>
      </w:r>
    </w:p>
    <w:p w14:paraId="3094239D">
      <w:pPr>
        <w:spacing w:before="96" w:line="221" w:lineRule="auto"/>
        <w:rPr>
          <w:rFonts w:ascii="黑体" w:hAnsi="黑体" w:eastAsia="黑体" w:cs="黑体"/>
          <w:sz w:val="27"/>
          <w:szCs w:val="27"/>
        </w:rPr>
      </w:pPr>
      <w:r>
        <w:rPr>
          <w:rFonts w:ascii="黑体" w:hAnsi="黑体" w:eastAsia="黑体" w:cs="黑体"/>
          <w:spacing w:val="3"/>
          <w:sz w:val="27"/>
          <w:szCs w:val="27"/>
        </w:rPr>
        <w:t xml:space="preserve">1.5  </w:t>
      </w:r>
      <w:r>
        <w:rPr>
          <w:rFonts w:ascii="黑体" w:hAnsi="黑体" w:eastAsia="黑体" w:cs="黑体"/>
          <w:b/>
          <w:bCs/>
          <w:spacing w:val="3"/>
          <w:sz w:val="27"/>
          <w:szCs w:val="27"/>
        </w:rPr>
        <w:t>系统简介(对与系统相关的项目)</w:t>
      </w:r>
    </w:p>
    <w:p w14:paraId="4445A64B">
      <w:pPr>
        <w:pStyle w:val="2"/>
        <w:spacing w:before="73" w:line="282" w:lineRule="auto"/>
        <w:ind w:right="123" w:firstLine="539"/>
      </w:pPr>
      <w:r>
        <w:rPr>
          <w:spacing w:val="-2"/>
        </w:rPr>
        <w:t>描述系统、主要子系统和必要的部件，以便</w:t>
      </w:r>
      <w:r>
        <w:rPr>
          <w:spacing w:val="-3"/>
        </w:rPr>
        <w:t>挖掘出项目中较特殊的方面，应</w:t>
      </w:r>
      <w:r>
        <w:t xml:space="preserve"> </w:t>
      </w:r>
      <w:r>
        <w:rPr>
          <w:spacing w:val="-1"/>
        </w:rPr>
        <w:t>该包括系统、部件以及与其相关的成为关键技术元素的技术。</w:t>
      </w:r>
    </w:p>
    <w:p w14:paraId="7EDC4156">
      <w:pPr>
        <w:spacing w:before="1" w:line="221" w:lineRule="auto"/>
        <w:rPr>
          <w:rFonts w:ascii="黑体" w:hAnsi="黑体" w:eastAsia="黑体" w:cs="黑体"/>
          <w:sz w:val="27"/>
          <w:szCs w:val="27"/>
        </w:rPr>
      </w:pPr>
      <w:r>
        <w:rPr>
          <w:rFonts w:ascii="黑体" w:hAnsi="黑体" w:eastAsia="黑体" w:cs="黑体"/>
          <w:spacing w:val="3"/>
          <w:sz w:val="27"/>
          <w:szCs w:val="27"/>
        </w:rPr>
        <w:t xml:space="preserve">2  </w:t>
      </w:r>
      <w:r>
        <w:rPr>
          <w:rFonts w:ascii="黑体" w:hAnsi="黑体" w:eastAsia="黑体" w:cs="黑体"/>
          <w:b/>
          <w:bCs/>
          <w:spacing w:val="3"/>
          <w:sz w:val="27"/>
          <w:szCs w:val="27"/>
        </w:rPr>
        <w:t>工作分解结构或技术分解结构</w:t>
      </w:r>
    </w:p>
    <w:p w14:paraId="555565F3">
      <w:pPr>
        <w:pStyle w:val="2"/>
        <w:spacing w:before="87" w:line="279" w:lineRule="auto"/>
        <w:ind w:firstLine="539"/>
        <w:jc w:val="both"/>
      </w:pPr>
      <w:r>
        <w:rPr>
          <w:spacing w:val="1"/>
        </w:rPr>
        <w:t>按照</w:t>
      </w:r>
      <w:r>
        <w:rPr>
          <w:rFonts w:ascii="Times New Roman" w:hAnsi="Times New Roman" w:eastAsia="Times New Roman" w:cs="Times New Roman"/>
        </w:rPr>
        <w:t>GJB</w:t>
      </w:r>
      <w:r>
        <w:rPr>
          <w:rFonts w:ascii="Times New Roman" w:hAnsi="Times New Roman" w:eastAsia="Times New Roman" w:cs="Times New Roman"/>
          <w:spacing w:val="1"/>
        </w:rPr>
        <w:t xml:space="preserve"> 2116—1994</w:t>
      </w:r>
      <w:r>
        <w:rPr>
          <w:spacing w:val="1"/>
        </w:rPr>
        <w:t>《武器装备研制项目工作分解结构》,给出完整的系统</w:t>
      </w:r>
      <w:r>
        <w:rPr>
          <w:spacing w:val="6"/>
        </w:rPr>
        <w:t xml:space="preserve">  </w:t>
      </w:r>
      <w:r>
        <w:rPr>
          <w:rFonts w:ascii="Times New Roman" w:hAnsi="Times New Roman" w:eastAsia="Times New Roman" w:cs="Times New Roman"/>
        </w:rPr>
        <w:t>WBS</w:t>
      </w:r>
      <w:r>
        <w:rPr>
          <w:rFonts w:ascii="Times New Roman" w:hAnsi="Times New Roman" w:eastAsia="Times New Roman" w:cs="Times New Roman"/>
          <w:spacing w:val="9"/>
        </w:rPr>
        <w:t xml:space="preserve"> </w:t>
      </w:r>
      <w:r>
        <w:rPr>
          <w:spacing w:val="9"/>
        </w:rPr>
        <w:t>或项目关键技术分解结构，见表6.7,并对</w:t>
      </w:r>
      <w:r>
        <w:rPr>
          <w:spacing w:val="-77"/>
        </w:rPr>
        <w:t xml:space="preserve"> </w:t>
      </w:r>
      <w:r>
        <w:rPr>
          <w:rFonts w:ascii="Times New Roman" w:hAnsi="Times New Roman" w:eastAsia="Times New Roman" w:cs="Times New Roman"/>
        </w:rPr>
        <w:t>WBS</w:t>
      </w:r>
      <w:r>
        <w:rPr>
          <w:rFonts w:ascii="Times New Roman" w:hAnsi="Times New Roman" w:eastAsia="Times New Roman" w:cs="Times New Roman"/>
          <w:spacing w:val="21"/>
          <w:w w:val="101"/>
        </w:rPr>
        <w:t xml:space="preserve"> </w:t>
      </w:r>
      <w:r>
        <w:rPr>
          <w:spacing w:val="9"/>
        </w:rPr>
        <w:t>或关</w:t>
      </w:r>
      <w:r>
        <w:rPr>
          <w:spacing w:val="8"/>
        </w:rPr>
        <w:t>键技术分解的背景、</w:t>
      </w:r>
      <w:r>
        <w:t xml:space="preserve"> </w:t>
      </w:r>
      <w:r>
        <w:rPr>
          <w:spacing w:val="-8"/>
        </w:rPr>
        <w:t>时间、依据等内容加以说明。</w:t>
      </w:r>
    </w:p>
    <w:p w14:paraId="589EB5EE">
      <w:pPr>
        <w:spacing w:before="17" w:line="222" w:lineRule="auto"/>
        <w:ind w:left="2319"/>
        <w:rPr>
          <w:rFonts w:ascii="仿宋" w:hAnsi="仿宋" w:eastAsia="仿宋" w:cs="仿宋"/>
          <w:sz w:val="24"/>
          <w:szCs w:val="24"/>
        </w:rPr>
      </w:pPr>
      <w:r>
        <w:rPr>
          <w:rFonts w:ascii="仿宋" w:hAnsi="仿宋" w:eastAsia="仿宋" w:cs="仿宋"/>
          <w:spacing w:val="13"/>
          <w:sz w:val="24"/>
          <w:szCs w:val="24"/>
        </w:rPr>
        <w:t>表</w:t>
      </w:r>
      <w:r>
        <w:rPr>
          <w:rFonts w:ascii="仿宋" w:hAnsi="仿宋" w:eastAsia="仿宋" w:cs="仿宋"/>
          <w:spacing w:val="-51"/>
          <w:sz w:val="24"/>
          <w:szCs w:val="24"/>
        </w:rPr>
        <w:t xml:space="preserve"> </w:t>
      </w:r>
      <w:r>
        <w:rPr>
          <w:rFonts w:ascii="仿宋" w:hAnsi="仿宋" w:eastAsia="仿宋" w:cs="仿宋"/>
          <w:spacing w:val="13"/>
          <w:sz w:val="24"/>
          <w:szCs w:val="24"/>
        </w:rPr>
        <w:t>6</w:t>
      </w:r>
      <w:r>
        <w:rPr>
          <w:rFonts w:ascii="仿宋" w:hAnsi="仿宋" w:eastAsia="仿宋" w:cs="仿宋"/>
          <w:spacing w:val="-47"/>
          <w:sz w:val="24"/>
          <w:szCs w:val="24"/>
        </w:rPr>
        <w:t xml:space="preserve"> </w:t>
      </w:r>
      <w:r>
        <w:rPr>
          <w:rFonts w:ascii="仿宋" w:hAnsi="仿宋" w:eastAsia="仿宋" w:cs="仿宋"/>
          <w:spacing w:val="13"/>
          <w:sz w:val="24"/>
          <w:szCs w:val="24"/>
        </w:rPr>
        <w:t>.</w:t>
      </w:r>
      <w:r>
        <w:rPr>
          <w:rFonts w:ascii="仿宋" w:hAnsi="仿宋" w:eastAsia="仿宋" w:cs="仿宋"/>
          <w:spacing w:val="-48"/>
          <w:sz w:val="24"/>
          <w:szCs w:val="24"/>
        </w:rPr>
        <w:t xml:space="preserve"> </w:t>
      </w:r>
      <w:r>
        <w:rPr>
          <w:rFonts w:ascii="仿宋" w:hAnsi="仿宋" w:eastAsia="仿宋" w:cs="仿宋"/>
          <w:spacing w:val="13"/>
          <w:sz w:val="24"/>
          <w:szCs w:val="24"/>
        </w:rPr>
        <w:t>7  系</w:t>
      </w:r>
      <w:r>
        <w:rPr>
          <w:rFonts w:ascii="仿宋" w:hAnsi="仿宋" w:eastAsia="仿宋" w:cs="仿宋"/>
          <w:spacing w:val="-15"/>
          <w:sz w:val="24"/>
          <w:szCs w:val="24"/>
        </w:rPr>
        <w:t xml:space="preserve"> </w:t>
      </w:r>
      <w:r>
        <w:rPr>
          <w:rFonts w:ascii="仿宋" w:hAnsi="仿宋" w:eastAsia="仿宋" w:cs="仿宋"/>
          <w:spacing w:val="13"/>
          <w:sz w:val="24"/>
          <w:szCs w:val="24"/>
        </w:rPr>
        <w:t>统</w:t>
      </w:r>
      <w:r>
        <w:rPr>
          <w:rFonts w:ascii="仿宋" w:hAnsi="仿宋" w:eastAsia="仿宋" w:cs="仿宋"/>
          <w:spacing w:val="-49"/>
          <w:sz w:val="24"/>
          <w:szCs w:val="24"/>
        </w:rPr>
        <w:t xml:space="preserve"> </w:t>
      </w:r>
      <w:r>
        <w:rPr>
          <w:rFonts w:ascii="Times New Roman" w:hAnsi="Times New Roman" w:eastAsia="Times New Roman" w:cs="Times New Roman"/>
          <w:sz w:val="24"/>
          <w:szCs w:val="24"/>
        </w:rPr>
        <w:t>WBS</w:t>
      </w:r>
      <w:r>
        <w:rPr>
          <w:rFonts w:ascii="Times New Roman" w:hAnsi="Times New Roman" w:eastAsia="Times New Roman" w:cs="Times New Roman"/>
          <w:spacing w:val="22"/>
          <w:sz w:val="24"/>
          <w:szCs w:val="24"/>
        </w:rPr>
        <w:t xml:space="preserve">  </w:t>
      </w:r>
      <w:r>
        <w:rPr>
          <w:rFonts w:ascii="仿宋" w:hAnsi="仿宋" w:eastAsia="仿宋" w:cs="仿宋"/>
          <w:spacing w:val="13"/>
          <w:sz w:val="24"/>
          <w:szCs w:val="24"/>
        </w:rPr>
        <w:t>或项目技术分解结构</w:t>
      </w:r>
    </w:p>
    <w:p w14:paraId="76411BB2">
      <w:pPr>
        <w:spacing w:line="118" w:lineRule="exact"/>
      </w:pPr>
    </w:p>
    <w:tbl>
      <w:tblPr>
        <w:tblStyle w:val="5"/>
        <w:tblW w:w="935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3"/>
        <w:gridCol w:w="8106"/>
      </w:tblGrid>
      <w:tr w14:paraId="14640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253" w:type="dxa"/>
            <w:vAlign w:val="top"/>
          </w:tcPr>
          <w:p w14:paraId="66DD8D2F">
            <w:pPr>
              <w:spacing w:before="113" w:line="219" w:lineRule="auto"/>
              <w:ind w:left="194"/>
              <w:rPr>
                <w:rFonts w:ascii="宋体" w:hAnsi="宋体" w:eastAsia="宋体" w:cs="宋体"/>
                <w:sz w:val="21"/>
                <w:szCs w:val="21"/>
              </w:rPr>
            </w:pPr>
            <w:r>
              <w:rPr>
                <w:rFonts w:ascii="宋体" w:hAnsi="宋体" w:eastAsia="宋体" w:cs="宋体"/>
                <w:spacing w:val="-3"/>
                <w:sz w:val="21"/>
                <w:szCs w:val="21"/>
              </w:rPr>
              <w:t>分级层次</w:t>
            </w:r>
          </w:p>
        </w:tc>
        <w:tc>
          <w:tcPr>
            <w:tcW w:w="8106" w:type="dxa"/>
            <w:vAlign w:val="top"/>
          </w:tcPr>
          <w:p w14:paraId="0FE6663A">
            <w:pPr>
              <w:spacing w:before="114" w:line="220" w:lineRule="auto"/>
              <w:ind w:left="3401"/>
              <w:rPr>
                <w:rFonts w:ascii="宋体" w:hAnsi="宋体" w:eastAsia="宋体" w:cs="宋体"/>
                <w:sz w:val="21"/>
                <w:szCs w:val="21"/>
              </w:rPr>
            </w:pPr>
            <w:r>
              <w:rPr>
                <w:rFonts w:ascii="宋体" w:hAnsi="宋体" w:eastAsia="宋体" w:cs="宋体"/>
                <w:spacing w:val="1"/>
                <w:sz w:val="21"/>
                <w:szCs w:val="21"/>
              </w:rPr>
              <w:t>分解结果名称</w:t>
            </w:r>
          </w:p>
        </w:tc>
      </w:tr>
      <w:tr w14:paraId="1EF9F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1BAC187A">
            <w:pPr>
              <w:spacing w:before="139" w:line="241" w:lineRule="auto"/>
              <w:ind w:left="74"/>
              <w:rPr>
                <w:rFonts w:ascii="宋体" w:hAnsi="宋体" w:eastAsia="宋体" w:cs="宋体"/>
                <w:sz w:val="21"/>
                <w:szCs w:val="21"/>
              </w:rPr>
            </w:pPr>
            <w:r>
              <w:rPr>
                <w:rFonts w:ascii="宋体" w:hAnsi="宋体" w:eastAsia="宋体" w:cs="宋体"/>
                <w:sz w:val="21"/>
                <w:szCs w:val="21"/>
              </w:rPr>
              <w:t>1</w:t>
            </w:r>
          </w:p>
        </w:tc>
        <w:tc>
          <w:tcPr>
            <w:tcW w:w="8106" w:type="dxa"/>
            <w:vAlign w:val="top"/>
          </w:tcPr>
          <w:p w14:paraId="6CB2799D">
            <w:pPr>
              <w:pStyle w:val="6"/>
            </w:pPr>
          </w:p>
        </w:tc>
      </w:tr>
      <w:tr w14:paraId="2D112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10E33240">
            <w:pPr>
              <w:spacing w:before="140" w:line="239" w:lineRule="auto"/>
              <w:ind w:left="74"/>
              <w:rPr>
                <w:rFonts w:ascii="宋体" w:hAnsi="宋体" w:eastAsia="宋体" w:cs="宋体"/>
                <w:sz w:val="21"/>
                <w:szCs w:val="21"/>
              </w:rPr>
            </w:pPr>
            <w:r>
              <w:rPr>
                <w:rFonts w:ascii="宋体" w:hAnsi="宋体" w:eastAsia="宋体" w:cs="宋体"/>
                <w:spacing w:val="-6"/>
                <w:sz w:val="21"/>
                <w:szCs w:val="21"/>
              </w:rPr>
              <w:t>1.1</w:t>
            </w:r>
          </w:p>
        </w:tc>
        <w:tc>
          <w:tcPr>
            <w:tcW w:w="8106" w:type="dxa"/>
            <w:vAlign w:val="top"/>
          </w:tcPr>
          <w:p w14:paraId="44B9F38E">
            <w:pPr>
              <w:pStyle w:val="6"/>
            </w:pPr>
          </w:p>
        </w:tc>
      </w:tr>
      <w:tr w14:paraId="1528E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066048A1">
            <w:pPr>
              <w:spacing w:before="141" w:line="239" w:lineRule="auto"/>
              <w:ind w:left="74"/>
              <w:rPr>
                <w:rFonts w:ascii="宋体" w:hAnsi="宋体" w:eastAsia="宋体" w:cs="宋体"/>
                <w:sz w:val="21"/>
                <w:szCs w:val="21"/>
              </w:rPr>
            </w:pPr>
            <w:r>
              <w:rPr>
                <w:rFonts w:ascii="宋体" w:hAnsi="宋体" w:eastAsia="宋体" w:cs="宋体"/>
                <w:spacing w:val="-4"/>
                <w:sz w:val="21"/>
                <w:szCs w:val="21"/>
              </w:rPr>
              <w:t>1.1.1</w:t>
            </w:r>
          </w:p>
        </w:tc>
        <w:tc>
          <w:tcPr>
            <w:tcW w:w="8106" w:type="dxa"/>
            <w:vAlign w:val="top"/>
          </w:tcPr>
          <w:p w14:paraId="116DEFF1">
            <w:pPr>
              <w:pStyle w:val="6"/>
            </w:pPr>
          </w:p>
        </w:tc>
      </w:tr>
      <w:tr w14:paraId="2B2DD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33C4A02F">
            <w:pPr>
              <w:spacing w:before="142" w:line="239" w:lineRule="auto"/>
              <w:ind w:left="74"/>
              <w:rPr>
                <w:rFonts w:ascii="宋体" w:hAnsi="宋体" w:eastAsia="宋体" w:cs="宋体"/>
                <w:sz w:val="21"/>
                <w:szCs w:val="21"/>
              </w:rPr>
            </w:pPr>
            <w:r>
              <w:rPr>
                <w:rFonts w:ascii="宋体" w:hAnsi="宋体" w:eastAsia="宋体" w:cs="宋体"/>
                <w:spacing w:val="-3"/>
                <w:sz w:val="21"/>
                <w:szCs w:val="21"/>
              </w:rPr>
              <w:t>1.1.1.1</w:t>
            </w:r>
          </w:p>
        </w:tc>
        <w:tc>
          <w:tcPr>
            <w:tcW w:w="8106" w:type="dxa"/>
            <w:vAlign w:val="top"/>
          </w:tcPr>
          <w:p w14:paraId="5B06CE3C">
            <w:pPr>
              <w:pStyle w:val="6"/>
            </w:pPr>
          </w:p>
        </w:tc>
      </w:tr>
      <w:tr w14:paraId="5D034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551DFAA2">
            <w:pPr>
              <w:spacing w:before="143" w:line="286" w:lineRule="exact"/>
              <w:ind w:left="74"/>
              <w:rPr>
                <w:rFonts w:ascii="宋体" w:hAnsi="宋体" w:eastAsia="宋体" w:cs="宋体"/>
                <w:sz w:val="21"/>
                <w:szCs w:val="21"/>
              </w:rPr>
            </w:pPr>
            <w:r>
              <w:rPr>
                <w:rFonts w:ascii="宋体" w:hAnsi="宋体" w:eastAsia="宋体" w:cs="宋体"/>
                <w:position w:val="1"/>
                <w:sz w:val="21"/>
                <w:szCs w:val="21"/>
              </w:rPr>
              <w:t>…</w:t>
            </w:r>
          </w:p>
        </w:tc>
        <w:tc>
          <w:tcPr>
            <w:tcW w:w="8106" w:type="dxa"/>
            <w:vAlign w:val="top"/>
          </w:tcPr>
          <w:p w14:paraId="114DA253">
            <w:pPr>
              <w:pStyle w:val="6"/>
            </w:pPr>
          </w:p>
        </w:tc>
      </w:tr>
      <w:tr w14:paraId="3152A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61CBDA12">
            <w:pPr>
              <w:spacing w:before="144" w:line="241" w:lineRule="auto"/>
              <w:ind w:left="74"/>
              <w:rPr>
                <w:rFonts w:ascii="宋体" w:hAnsi="宋体" w:eastAsia="宋体" w:cs="宋体"/>
                <w:sz w:val="21"/>
                <w:szCs w:val="21"/>
              </w:rPr>
            </w:pPr>
            <w:r>
              <w:rPr>
                <w:rFonts w:ascii="宋体" w:hAnsi="宋体" w:eastAsia="宋体" w:cs="宋体"/>
                <w:sz w:val="21"/>
                <w:szCs w:val="21"/>
              </w:rPr>
              <w:t>2</w:t>
            </w:r>
          </w:p>
        </w:tc>
        <w:tc>
          <w:tcPr>
            <w:tcW w:w="8106" w:type="dxa"/>
            <w:vAlign w:val="top"/>
          </w:tcPr>
          <w:p w14:paraId="43E1D7FB">
            <w:pPr>
              <w:pStyle w:val="6"/>
            </w:pPr>
          </w:p>
        </w:tc>
      </w:tr>
      <w:tr w14:paraId="30589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4058986B">
            <w:pPr>
              <w:spacing w:before="145" w:line="239" w:lineRule="auto"/>
              <w:ind w:left="74"/>
              <w:rPr>
                <w:rFonts w:ascii="宋体" w:hAnsi="宋体" w:eastAsia="宋体" w:cs="宋体"/>
                <w:sz w:val="21"/>
                <w:szCs w:val="21"/>
              </w:rPr>
            </w:pPr>
            <w:r>
              <w:rPr>
                <w:rFonts w:ascii="宋体" w:hAnsi="宋体" w:eastAsia="宋体" w:cs="宋体"/>
                <w:spacing w:val="-3"/>
                <w:sz w:val="21"/>
                <w:szCs w:val="21"/>
              </w:rPr>
              <w:t>2.1</w:t>
            </w:r>
          </w:p>
        </w:tc>
        <w:tc>
          <w:tcPr>
            <w:tcW w:w="8106" w:type="dxa"/>
            <w:vAlign w:val="top"/>
          </w:tcPr>
          <w:p w14:paraId="6E165C53">
            <w:pPr>
              <w:pStyle w:val="6"/>
            </w:pPr>
          </w:p>
        </w:tc>
      </w:tr>
      <w:tr w14:paraId="37441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253" w:type="dxa"/>
            <w:vAlign w:val="top"/>
          </w:tcPr>
          <w:p w14:paraId="6A361AAB">
            <w:pPr>
              <w:spacing w:before="136" w:line="239" w:lineRule="auto"/>
              <w:ind w:left="74"/>
              <w:rPr>
                <w:rFonts w:ascii="宋体" w:hAnsi="宋体" w:eastAsia="宋体" w:cs="宋体"/>
                <w:sz w:val="21"/>
                <w:szCs w:val="21"/>
              </w:rPr>
            </w:pPr>
            <w:r>
              <w:rPr>
                <w:rFonts w:ascii="宋体" w:hAnsi="宋体" w:eastAsia="宋体" w:cs="宋体"/>
                <w:spacing w:val="-2"/>
                <w:sz w:val="21"/>
                <w:szCs w:val="21"/>
              </w:rPr>
              <w:t>2.1.1</w:t>
            </w:r>
          </w:p>
        </w:tc>
        <w:tc>
          <w:tcPr>
            <w:tcW w:w="8106" w:type="dxa"/>
            <w:vAlign w:val="top"/>
          </w:tcPr>
          <w:p w14:paraId="7304BDFC">
            <w:pPr>
              <w:pStyle w:val="6"/>
            </w:pPr>
          </w:p>
        </w:tc>
      </w:tr>
      <w:tr w14:paraId="69A5D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2C9EF900">
            <w:pPr>
              <w:spacing w:before="146" w:line="239" w:lineRule="auto"/>
              <w:ind w:left="74"/>
              <w:rPr>
                <w:rFonts w:ascii="宋体" w:hAnsi="宋体" w:eastAsia="宋体" w:cs="宋体"/>
                <w:sz w:val="21"/>
                <w:szCs w:val="21"/>
              </w:rPr>
            </w:pPr>
            <w:r>
              <w:rPr>
                <w:rFonts w:ascii="宋体" w:hAnsi="宋体" w:eastAsia="宋体" w:cs="宋体"/>
                <w:spacing w:val="-2"/>
                <w:sz w:val="21"/>
                <w:szCs w:val="21"/>
              </w:rPr>
              <w:t>2.1.1.1</w:t>
            </w:r>
          </w:p>
        </w:tc>
        <w:tc>
          <w:tcPr>
            <w:tcW w:w="8106" w:type="dxa"/>
            <w:vAlign w:val="top"/>
          </w:tcPr>
          <w:p w14:paraId="0AF93BD7">
            <w:pPr>
              <w:pStyle w:val="6"/>
            </w:pPr>
          </w:p>
        </w:tc>
      </w:tr>
      <w:tr w14:paraId="2CBB3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1FB9149E">
            <w:pPr>
              <w:spacing w:before="147" w:line="281" w:lineRule="exact"/>
              <w:ind w:left="74"/>
              <w:rPr>
                <w:rFonts w:ascii="宋体" w:hAnsi="宋体" w:eastAsia="宋体" w:cs="宋体"/>
                <w:sz w:val="21"/>
                <w:szCs w:val="21"/>
              </w:rPr>
            </w:pPr>
            <w:r>
              <w:rPr>
                <w:rFonts w:ascii="宋体" w:hAnsi="宋体" w:eastAsia="宋体" w:cs="宋体"/>
                <w:position w:val="1"/>
                <w:sz w:val="21"/>
                <w:szCs w:val="21"/>
              </w:rPr>
              <w:t>…</w:t>
            </w:r>
          </w:p>
        </w:tc>
        <w:tc>
          <w:tcPr>
            <w:tcW w:w="8106" w:type="dxa"/>
            <w:vAlign w:val="top"/>
          </w:tcPr>
          <w:p w14:paraId="675A586E">
            <w:pPr>
              <w:pStyle w:val="6"/>
            </w:pPr>
          </w:p>
        </w:tc>
      </w:tr>
      <w:tr w14:paraId="22712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253" w:type="dxa"/>
            <w:vAlign w:val="top"/>
          </w:tcPr>
          <w:p w14:paraId="22336EB8">
            <w:pPr>
              <w:spacing w:before="172" w:line="182" w:lineRule="auto"/>
              <w:ind w:left="74"/>
              <w:rPr>
                <w:rFonts w:ascii="宋体" w:hAnsi="宋体" w:eastAsia="宋体" w:cs="宋体"/>
                <w:sz w:val="21"/>
                <w:szCs w:val="21"/>
              </w:rPr>
            </w:pPr>
            <w:r>
              <w:rPr>
                <w:rFonts w:ascii="宋体" w:hAnsi="宋体" w:eastAsia="宋体" w:cs="宋体"/>
                <w:sz w:val="21"/>
                <w:szCs w:val="21"/>
              </w:rPr>
              <w:t>N</w:t>
            </w:r>
          </w:p>
        </w:tc>
        <w:tc>
          <w:tcPr>
            <w:tcW w:w="8106" w:type="dxa"/>
            <w:vAlign w:val="top"/>
          </w:tcPr>
          <w:p w14:paraId="2190C9EE">
            <w:pPr>
              <w:pStyle w:val="6"/>
            </w:pPr>
          </w:p>
        </w:tc>
      </w:tr>
      <w:tr w14:paraId="677DB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253" w:type="dxa"/>
            <w:vAlign w:val="top"/>
          </w:tcPr>
          <w:p w14:paraId="2353AF21">
            <w:pPr>
              <w:spacing w:before="148" w:line="239" w:lineRule="auto"/>
              <w:ind w:left="74"/>
              <w:rPr>
                <w:rFonts w:ascii="宋体" w:hAnsi="宋体" w:eastAsia="宋体" w:cs="宋体"/>
                <w:sz w:val="21"/>
                <w:szCs w:val="21"/>
              </w:rPr>
            </w:pPr>
            <w:r>
              <w:rPr>
                <w:rFonts w:ascii="宋体" w:hAnsi="宋体" w:eastAsia="宋体" w:cs="宋体"/>
                <w:spacing w:val="-1"/>
                <w:sz w:val="21"/>
                <w:szCs w:val="21"/>
              </w:rPr>
              <w:t>N.1</w:t>
            </w:r>
          </w:p>
        </w:tc>
        <w:tc>
          <w:tcPr>
            <w:tcW w:w="8106" w:type="dxa"/>
            <w:vAlign w:val="top"/>
          </w:tcPr>
          <w:p w14:paraId="5C535112">
            <w:pPr>
              <w:pStyle w:val="6"/>
            </w:pPr>
          </w:p>
        </w:tc>
      </w:tr>
      <w:tr w14:paraId="46B64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53" w:type="dxa"/>
            <w:vAlign w:val="top"/>
          </w:tcPr>
          <w:p w14:paraId="436E1D67">
            <w:pPr>
              <w:spacing w:before="149" w:line="239" w:lineRule="auto"/>
              <w:ind w:left="74"/>
              <w:rPr>
                <w:rFonts w:ascii="宋体" w:hAnsi="宋体" w:eastAsia="宋体" w:cs="宋体"/>
                <w:sz w:val="21"/>
                <w:szCs w:val="21"/>
              </w:rPr>
            </w:pPr>
            <w:r>
              <w:rPr>
                <w:rFonts w:ascii="宋体" w:hAnsi="宋体" w:eastAsia="宋体" w:cs="宋体"/>
                <w:spacing w:val="-1"/>
                <w:sz w:val="21"/>
                <w:szCs w:val="21"/>
              </w:rPr>
              <w:t>N.1.1</w:t>
            </w:r>
          </w:p>
        </w:tc>
        <w:tc>
          <w:tcPr>
            <w:tcW w:w="8106" w:type="dxa"/>
            <w:vAlign w:val="top"/>
          </w:tcPr>
          <w:p w14:paraId="3A2D480F">
            <w:pPr>
              <w:pStyle w:val="6"/>
            </w:pPr>
          </w:p>
        </w:tc>
      </w:tr>
      <w:tr w14:paraId="42972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253" w:type="dxa"/>
            <w:vAlign w:val="top"/>
          </w:tcPr>
          <w:p w14:paraId="1AC71F02">
            <w:pPr>
              <w:spacing w:before="139" w:line="239" w:lineRule="auto"/>
              <w:ind w:left="74"/>
              <w:rPr>
                <w:rFonts w:ascii="宋体" w:hAnsi="宋体" w:eastAsia="宋体" w:cs="宋体"/>
                <w:sz w:val="21"/>
                <w:szCs w:val="21"/>
              </w:rPr>
            </w:pPr>
            <w:r>
              <w:rPr>
                <w:rFonts w:ascii="宋体" w:hAnsi="宋体" w:eastAsia="宋体" w:cs="宋体"/>
                <w:spacing w:val="-1"/>
                <w:sz w:val="21"/>
                <w:szCs w:val="21"/>
              </w:rPr>
              <w:t>N.1.1.1</w:t>
            </w:r>
          </w:p>
        </w:tc>
        <w:tc>
          <w:tcPr>
            <w:tcW w:w="8106" w:type="dxa"/>
            <w:vAlign w:val="top"/>
          </w:tcPr>
          <w:p w14:paraId="5BD60D00">
            <w:pPr>
              <w:pStyle w:val="6"/>
            </w:pPr>
          </w:p>
        </w:tc>
      </w:tr>
      <w:tr w14:paraId="2D4E7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1253" w:type="dxa"/>
            <w:vAlign w:val="top"/>
          </w:tcPr>
          <w:p w14:paraId="259CD855">
            <w:pPr>
              <w:spacing w:before="149" w:line="284" w:lineRule="exact"/>
              <w:ind w:left="74"/>
              <w:rPr>
                <w:rFonts w:ascii="宋体" w:hAnsi="宋体" w:eastAsia="宋体" w:cs="宋体"/>
                <w:sz w:val="21"/>
                <w:szCs w:val="21"/>
              </w:rPr>
            </w:pPr>
            <w:r>
              <w:rPr>
                <w:rFonts w:ascii="宋体" w:hAnsi="宋体" w:eastAsia="宋体" w:cs="宋体"/>
                <w:position w:val="1"/>
                <w:sz w:val="21"/>
                <w:szCs w:val="21"/>
              </w:rPr>
              <w:t>…</w:t>
            </w:r>
          </w:p>
        </w:tc>
        <w:tc>
          <w:tcPr>
            <w:tcW w:w="8106" w:type="dxa"/>
            <w:vAlign w:val="top"/>
          </w:tcPr>
          <w:p w14:paraId="10874C53">
            <w:pPr>
              <w:pStyle w:val="6"/>
            </w:pPr>
          </w:p>
        </w:tc>
      </w:tr>
    </w:tbl>
    <w:p w14:paraId="650D5284">
      <w:pPr>
        <w:spacing w:line="189" w:lineRule="exact"/>
        <w:rPr>
          <w:rFonts w:ascii="Arial"/>
          <w:sz w:val="16"/>
        </w:rPr>
      </w:pPr>
    </w:p>
    <w:p w14:paraId="2695CA21">
      <w:pPr>
        <w:spacing w:line="189" w:lineRule="exact"/>
        <w:rPr>
          <w:rFonts w:ascii="Arial" w:hAnsi="Arial" w:eastAsia="Arial" w:cs="Arial"/>
          <w:sz w:val="16"/>
          <w:szCs w:val="16"/>
        </w:rPr>
        <w:sectPr>
          <w:footerReference r:id="rId346" w:type="default"/>
          <w:pgSz w:w="11910" w:h="17130"/>
          <w:pgMar w:top="1456" w:right="1294" w:bottom="1586" w:left="1120" w:header="0" w:footer="1396" w:gutter="0"/>
          <w:cols w:space="720" w:num="1"/>
        </w:sectPr>
      </w:pPr>
    </w:p>
    <w:p w14:paraId="7EB18453">
      <w:pPr>
        <w:spacing w:before="73" w:line="368" w:lineRule="exact"/>
        <w:rPr>
          <w:rFonts w:ascii="黑体" w:hAnsi="黑体" w:eastAsia="黑体" w:cs="黑体"/>
          <w:sz w:val="27"/>
          <w:szCs w:val="27"/>
        </w:rPr>
      </w:pPr>
      <w:r>
        <w:rPr>
          <w:rFonts w:ascii="Arial" w:hAnsi="Arial" w:eastAsia="Arial" w:cs="Arial"/>
          <w:spacing w:val="6"/>
          <w:position w:val="1"/>
          <w:sz w:val="27"/>
          <w:szCs w:val="27"/>
        </w:rPr>
        <w:t xml:space="preserve">3   </w:t>
      </w:r>
      <w:r>
        <w:rPr>
          <w:rFonts w:ascii="黑体" w:hAnsi="黑体" w:eastAsia="黑体" w:cs="黑体"/>
          <w:spacing w:val="6"/>
          <w:position w:val="1"/>
          <w:sz w:val="27"/>
          <w:szCs w:val="27"/>
        </w:rPr>
        <w:t>技术元素未列入关键技术元素(初始候选)清单的详细解释说明</w:t>
      </w:r>
    </w:p>
    <w:p w14:paraId="0BF14127">
      <w:pPr>
        <w:pStyle w:val="2"/>
        <w:spacing w:before="91" w:line="280" w:lineRule="auto"/>
        <w:ind w:right="40" w:firstLine="570"/>
      </w:pPr>
      <w:r>
        <w:rPr>
          <w:spacing w:val="5"/>
        </w:rPr>
        <w:t>对技术元素未列入关键技术元素(初始候选)清单给出详细解释说明，必要</w:t>
      </w:r>
      <w:r>
        <w:rPr>
          <w:spacing w:val="17"/>
        </w:rPr>
        <w:t xml:space="preserve"> </w:t>
      </w:r>
      <w:r>
        <w:rPr>
          <w:spacing w:val="-12"/>
        </w:rPr>
        <w:t>时给出相关的判据，例如会议、期刊、研究或试验报告、专利等相关信息。</w:t>
      </w:r>
    </w:p>
    <w:p w14:paraId="27E77C40">
      <w:pPr>
        <w:spacing w:before="1" w:line="220" w:lineRule="auto"/>
        <w:rPr>
          <w:rFonts w:ascii="黑体" w:hAnsi="黑体" w:eastAsia="黑体" w:cs="黑体"/>
          <w:sz w:val="27"/>
          <w:szCs w:val="27"/>
        </w:rPr>
      </w:pPr>
      <w:r>
        <w:rPr>
          <w:rFonts w:ascii="Arial" w:hAnsi="Arial" w:eastAsia="Arial" w:cs="Arial"/>
          <w:spacing w:val="6"/>
          <w:sz w:val="27"/>
          <w:szCs w:val="27"/>
        </w:rPr>
        <w:t xml:space="preserve">4   </w:t>
      </w:r>
      <w:r>
        <w:rPr>
          <w:rFonts w:ascii="黑体" w:hAnsi="黑体" w:eastAsia="黑体" w:cs="黑体"/>
          <w:spacing w:val="6"/>
          <w:sz w:val="27"/>
          <w:szCs w:val="27"/>
        </w:rPr>
        <w:t>关键技术元素(初始候选)清单及其</w:t>
      </w:r>
      <w:r>
        <w:rPr>
          <w:rFonts w:ascii="黑体" w:hAnsi="黑体" w:eastAsia="黑体" w:cs="黑体"/>
          <w:spacing w:val="5"/>
          <w:sz w:val="27"/>
          <w:szCs w:val="27"/>
        </w:rPr>
        <w:t>解释说明</w:t>
      </w:r>
    </w:p>
    <w:p w14:paraId="5E1802E0">
      <w:pPr>
        <w:pStyle w:val="2"/>
        <w:spacing w:before="80" w:line="287" w:lineRule="auto"/>
        <w:ind w:right="42" w:firstLine="570"/>
        <w:jc w:val="both"/>
      </w:pPr>
      <w:r>
        <w:rPr>
          <w:spacing w:val="5"/>
        </w:rPr>
        <w:t>列表给出关键技术元素(初始候选)清单，并对技术元素被判定为关键技术</w:t>
      </w:r>
      <w:r>
        <w:rPr>
          <w:spacing w:val="16"/>
        </w:rPr>
        <w:t xml:space="preserve"> </w:t>
      </w:r>
      <w:r>
        <w:rPr>
          <w:spacing w:val="-10"/>
        </w:rPr>
        <w:t>元素给出详细解释说明，必要时给出相关的判据，例如会议、期刊、研究或试验报</w:t>
      </w:r>
      <w:r>
        <w:rPr>
          <w:spacing w:val="11"/>
        </w:rPr>
        <w:t xml:space="preserve"> </w:t>
      </w:r>
      <w:r>
        <w:rPr>
          <w:spacing w:val="-8"/>
        </w:rPr>
        <w:t>告、专利等相关信息，见表6.8。</w:t>
      </w:r>
    </w:p>
    <w:p w14:paraId="0948A3E4">
      <w:pPr>
        <w:spacing w:before="14" w:line="221" w:lineRule="auto"/>
        <w:ind w:left="2149"/>
        <w:rPr>
          <w:rFonts w:ascii="仿宋" w:hAnsi="仿宋" w:eastAsia="仿宋" w:cs="仿宋"/>
          <w:sz w:val="24"/>
          <w:szCs w:val="24"/>
        </w:rPr>
      </w:pPr>
      <w:r>
        <w:rPr>
          <w:rFonts w:ascii="仿宋" w:hAnsi="仿宋" w:eastAsia="仿宋" w:cs="仿宋"/>
          <w:spacing w:val="26"/>
          <w:sz w:val="24"/>
          <w:szCs w:val="24"/>
        </w:rPr>
        <w:t>表6</w:t>
      </w:r>
      <w:r>
        <w:rPr>
          <w:rFonts w:ascii="仿宋" w:hAnsi="仿宋" w:eastAsia="仿宋" w:cs="仿宋"/>
          <w:spacing w:val="-54"/>
          <w:sz w:val="24"/>
          <w:szCs w:val="24"/>
        </w:rPr>
        <w:t xml:space="preserve"> </w:t>
      </w:r>
      <w:r>
        <w:rPr>
          <w:rFonts w:ascii="仿宋" w:hAnsi="仿宋" w:eastAsia="仿宋" w:cs="仿宋"/>
          <w:spacing w:val="26"/>
          <w:sz w:val="24"/>
          <w:szCs w:val="24"/>
        </w:rPr>
        <w:t>.</w:t>
      </w:r>
      <w:r>
        <w:rPr>
          <w:rFonts w:ascii="仿宋" w:hAnsi="仿宋" w:eastAsia="仿宋" w:cs="仿宋"/>
          <w:spacing w:val="-63"/>
          <w:sz w:val="24"/>
          <w:szCs w:val="24"/>
        </w:rPr>
        <w:t xml:space="preserve"> </w:t>
      </w:r>
      <w:r>
        <w:rPr>
          <w:rFonts w:ascii="仿宋" w:hAnsi="仿宋" w:eastAsia="仿宋" w:cs="仿宋"/>
          <w:spacing w:val="26"/>
          <w:sz w:val="24"/>
          <w:szCs w:val="24"/>
        </w:rPr>
        <w:t>8  项目关键技术元素(初始候选)清单</w:t>
      </w:r>
    </w:p>
    <w:p w14:paraId="53244C04">
      <w:pPr>
        <w:spacing w:line="112" w:lineRule="exact"/>
      </w:pPr>
    </w:p>
    <w:tbl>
      <w:tblPr>
        <w:tblStyle w:val="5"/>
        <w:tblW w:w="936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2"/>
        <w:gridCol w:w="2517"/>
        <w:gridCol w:w="2507"/>
        <w:gridCol w:w="1843"/>
      </w:tblGrid>
      <w:tr w14:paraId="2D1B9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2502" w:type="dxa"/>
            <w:vAlign w:val="top"/>
          </w:tcPr>
          <w:p w14:paraId="6B82EFC4">
            <w:pPr>
              <w:spacing w:before="94" w:line="219" w:lineRule="auto"/>
              <w:ind w:left="1024"/>
              <w:rPr>
                <w:rFonts w:ascii="宋体" w:hAnsi="宋体" w:eastAsia="宋体" w:cs="宋体"/>
                <w:sz w:val="22"/>
                <w:szCs w:val="22"/>
              </w:rPr>
            </w:pPr>
            <w:r>
              <w:rPr>
                <w:rFonts w:ascii="宋体" w:hAnsi="宋体" w:eastAsia="宋体" w:cs="宋体"/>
                <w:spacing w:val="6"/>
                <w:sz w:val="22"/>
                <w:szCs w:val="22"/>
              </w:rPr>
              <w:t>编号</w:t>
            </w:r>
          </w:p>
        </w:tc>
        <w:tc>
          <w:tcPr>
            <w:tcW w:w="2517" w:type="dxa"/>
            <w:vAlign w:val="top"/>
          </w:tcPr>
          <w:p w14:paraId="2847D328">
            <w:pPr>
              <w:spacing w:before="97" w:line="221" w:lineRule="auto"/>
              <w:ind w:left="793"/>
              <w:rPr>
                <w:rFonts w:ascii="宋体" w:hAnsi="宋体" w:eastAsia="宋体" w:cs="宋体"/>
                <w:sz w:val="22"/>
                <w:szCs w:val="22"/>
              </w:rPr>
            </w:pPr>
            <w:r>
              <w:rPr>
                <w:rFonts w:ascii="宋体" w:hAnsi="宋体" w:eastAsia="宋体" w:cs="宋体"/>
                <w:spacing w:val="-1"/>
                <w:sz w:val="22"/>
                <w:szCs w:val="22"/>
              </w:rPr>
              <w:t>CTE名称</w:t>
            </w:r>
          </w:p>
        </w:tc>
        <w:tc>
          <w:tcPr>
            <w:tcW w:w="2507" w:type="dxa"/>
            <w:vAlign w:val="top"/>
          </w:tcPr>
          <w:p w14:paraId="2D7336D2">
            <w:pPr>
              <w:spacing w:before="97" w:line="221" w:lineRule="auto"/>
              <w:ind w:left="785"/>
              <w:rPr>
                <w:rFonts w:ascii="宋体" w:hAnsi="宋体" w:eastAsia="宋体" w:cs="宋体"/>
                <w:sz w:val="22"/>
                <w:szCs w:val="22"/>
              </w:rPr>
            </w:pPr>
            <w:r>
              <w:rPr>
                <w:rFonts w:ascii="宋体" w:hAnsi="宋体" w:eastAsia="宋体" w:cs="宋体"/>
                <w:spacing w:val="-1"/>
                <w:sz w:val="22"/>
                <w:szCs w:val="22"/>
              </w:rPr>
              <w:t>CTE描述</w:t>
            </w:r>
          </w:p>
        </w:tc>
        <w:tc>
          <w:tcPr>
            <w:tcW w:w="1843" w:type="dxa"/>
            <w:vAlign w:val="top"/>
          </w:tcPr>
          <w:p w14:paraId="1CA4C711">
            <w:pPr>
              <w:spacing w:before="100" w:line="224" w:lineRule="auto"/>
              <w:ind w:left="518"/>
              <w:rPr>
                <w:rFonts w:ascii="宋体" w:hAnsi="宋体" w:eastAsia="宋体" w:cs="宋体"/>
                <w:sz w:val="22"/>
                <w:szCs w:val="22"/>
              </w:rPr>
            </w:pPr>
            <w:r>
              <w:rPr>
                <w:rFonts w:ascii="宋体" w:hAnsi="宋体" w:eastAsia="宋体" w:cs="宋体"/>
                <w:spacing w:val="6"/>
                <w:sz w:val="22"/>
                <w:szCs w:val="22"/>
              </w:rPr>
              <w:t>入选理由</w:t>
            </w:r>
          </w:p>
        </w:tc>
      </w:tr>
      <w:tr w14:paraId="6A494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2502" w:type="dxa"/>
            <w:vAlign w:val="top"/>
          </w:tcPr>
          <w:p w14:paraId="42453068">
            <w:pPr>
              <w:pStyle w:val="6"/>
            </w:pPr>
          </w:p>
        </w:tc>
        <w:tc>
          <w:tcPr>
            <w:tcW w:w="2517" w:type="dxa"/>
            <w:vAlign w:val="top"/>
          </w:tcPr>
          <w:p w14:paraId="58F402CB">
            <w:pPr>
              <w:pStyle w:val="6"/>
            </w:pPr>
          </w:p>
        </w:tc>
        <w:tc>
          <w:tcPr>
            <w:tcW w:w="2507" w:type="dxa"/>
            <w:vAlign w:val="top"/>
          </w:tcPr>
          <w:p w14:paraId="32802A48">
            <w:pPr>
              <w:pStyle w:val="6"/>
            </w:pPr>
          </w:p>
        </w:tc>
        <w:tc>
          <w:tcPr>
            <w:tcW w:w="1843" w:type="dxa"/>
            <w:vAlign w:val="top"/>
          </w:tcPr>
          <w:p w14:paraId="427CD2EE">
            <w:pPr>
              <w:pStyle w:val="6"/>
            </w:pPr>
          </w:p>
        </w:tc>
      </w:tr>
      <w:tr w14:paraId="2171F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502" w:type="dxa"/>
            <w:vAlign w:val="top"/>
          </w:tcPr>
          <w:p w14:paraId="10F939DE">
            <w:pPr>
              <w:pStyle w:val="6"/>
            </w:pPr>
          </w:p>
        </w:tc>
        <w:tc>
          <w:tcPr>
            <w:tcW w:w="2517" w:type="dxa"/>
            <w:vAlign w:val="top"/>
          </w:tcPr>
          <w:p w14:paraId="0FD26480">
            <w:pPr>
              <w:pStyle w:val="6"/>
            </w:pPr>
          </w:p>
        </w:tc>
        <w:tc>
          <w:tcPr>
            <w:tcW w:w="2507" w:type="dxa"/>
            <w:vAlign w:val="top"/>
          </w:tcPr>
          <w:p w14:paraId="41D1ECE0">
            <w:pPr>
              <w:pStyle w:val="6"/>
            </w:pPr>
          </w:p>
        </w:tc>
        <w:tc>
          <w:tcPr>
            <w:tcW w:w="1843" w:type="dxa"/>
            <w:vAlign w:val="top"/>
          </w:tcPr>
          <w:p w14:paraId="1E5604A9">
            <w:pPr>
              <w:pStyle w:val="6"/>
            </w:pPr>
          </w:p>
        </w:tc>
      </w:tr>
    </w:tbl>
    <w:p w14:paraId="41189BB3">
      <w:pPr>
        <w:spacing w:line="451" w:lineRule="auto"/>
        <w:rPr>
          <w:rFonts w:ascii="Arial"/>
          <w:sz w:val="21"/>
        </w:rPr>
      </w:pPr>
    </w:p>
    <w:p w14:paraId="0D81896E">
      <w:pPr>
        <w:pStyle w:val="2"/>
        <w:spacing w:before="117" w:line="218" w:lineRule="auto"/>
        <w:ind w:left="2599"/>
        <w:rPr>
          <w:sz w:val="36"/>
          <w:szCs w:val="36"/>
        </w:rPr>
      </w:pPr>
      <w:r>
        <w:rPr>
          <w:spacing w:val="4"/>
          <w:sz w:val="36"/>
          <w:szCs w:val="36"/>
        </w:rPr>
        <w:t xml:space="preserve">6.5  </w:t>
      </w:r>
      <w:r>
        <w:rPr>
          <w:b/>
          <w:bCs/>
          <w:spacing w:val="4"/>
          <w:sz w:val="36"/>
          <w:szCs w:val="36"/>
        </w:rPr>
        <w:t>技术成熟度评价报告</w:t>
      </w:r>
    </w:p>
    <w:p w14:paraId="0A8DAEA3">
      <w:pPr>
        <w:spacing w:line="382" w:lineRule="auto"/>
        <w:rPr>
          <w:rFonts w:ascii="Arial"/>
          <w:sz w:val="21"/>
        </w:rPr>
      </w:pPr>
    </w:p>
    <w:p w14:paraId="12011F5B">
      <w:pPr>
        <w:pStyle w:val="2"/>
        <w:spacing w:before="82" w:line="298" w:lineRule="auto"/>
        <w:ind w:firstLine="570"/>
        <w:rPr>
          <w:sz w:val="25"/>
          <w:szCs w:val="25"/>
        </w:rPr>
      </w:pPr>
      <w:r>
        <w:rPr>
          <w:spacing w:val="18"/>
          <w:sz w:val="25"/>
          <w:szCs w:val="25"/>
        </w:rPr>
        <w:t>依次附上各级主管部门(归口业务管理部门、评价执行机构、评价决策机构)</w:t>
      </w:r>
      <w:r>
        <w:rPr>
          <w:spacing w:val="1"/>
          <w:sz w:val="25"/>
          <w:szCs w:val="25"/>
        </w:rPr>
        <w:t xml:space="preserve"> </w:t>
      </w:r>
      <w:r>
        <w:rPr>
          <w:spacing w:val="20"/>
          <w:sz w:val="25"/>
          <w:szCs w:val="25"/>
        </w:rPr>
        <w:t>的审核或审定意见书。</w:t>
      </w:r>
    </w:p>
    <w:p w14:paraId="4C72321C">
      <w:pPr>
        <w:spacing w:before="23" w:line="221" w:lineRule="auto"/>
        <w:rPr>
          <w:rFonts w:ascii="黑体" w:hAnsi="黑体" w:eastAsia="黑体" w:cs="黑体"/>
          <w:sz w:val="24"/>
          <w:szCs w:val="24"/>
        </w:rPr>
      </w:pPr>
      <w:r>
        <w:rPr>
          <w:rFonts w:ascii="黑体" w:hAnsi="黑体" w:eastAsia="黑体" w:cs="黑体"/>
          <w:spacing w:val="-16"/>
          <w:sz w:val="24"/>
          <w:szCs w:val="24"/>
        </w:rPr>
        <w:t>1</w:t>
      </w:r>
      <w:r>
        <w:rPr>
          <w:rFonts w:ascii="黑体" w:hAnsi="黑体" w:eastAsia="黑体" w:cs="黑体"/>
          <w:spacing w:val="41"/>
          <w:sz w:val="24"/>
          <w:szCs w:val="24"/>
        </w:rPr>
        <w:t xml:space="preserve">  </w:t>
      </w:r>
      <w:r>
        <w:rPr>
          <w:rFonts w:ascii="黑体" w:hAnsi="黑体" w:eastAsia="黑体" w:cs="黑体"/>
          <w:spacing w:val="-16"/>
          <w:sz w:val="24"/>
          <w:szCs w:val="24"/>
        </w:rPr>
        <w:t>项</w:t>
      </w:r>
      <w:r>
        <w:rPr>
          <w:rFonts w:ascii="黑体" w:hAnsi="黑体" w:eastAsia="黑体" w:cs="黑体"/>
          <w:spacing w:val="-23"/>
          <w:sz w:val="24"/>
          <w:szCs w:val="24"/>
        </w:rPr>
        <w:t xml:space="preserve"> </w:t>
      </w:r>
      <w:r>
        <w:rPr>
          <w:rFonts w:ascii="黑体" w:hAnsi="黑体" w:eastAsia="黑体" w:cs="黑体"/>
          <w:spacing w:val="-16"/>
          <w:sz w:val="24"/>
          <w:szCs w:val="24"/>
        </w:rPr>
        <w:t>目</w:t>
      </w:r>
      <w:r>
        <w:rPr>
          <w:rFonts w:ascii="黑体" w:hAnsi="黑体" w:eastAsia="黑体" w:cs="黑体"/>
          <w:spacing w:val="-58"/>
          <w:sz w:val="24"/>
          <w:szCs w:val="24"/>
        </w:rPr>
        <w:t xml:space="preserve"> </w:t>
      </w:r>
      <w:r>
        <w:rPr>
          <w:rFonts w:ascii="黑体" w:hAnsi="黑体" w:eastAsia="黑体" w:cs="黑体"/>
          <w:spacing w:val="-16"/>
          <w:sz w:val="24"/>
          <w:szCs w:val="24"/>
        </w:rPr>
        <w:t>概</w:t>
      </w:r>
      <w:r>
        <w:rPr>
          <w:rFonts w:ascii="黑体" w:hAnsi="黑体" w:eastAsia="黑体" w:cs="黑体"/>
          <w:spacing w:val="-57"/>
          <w:sz w:val="24"/>
          <w:szCs w:val="24"/>
        </w:rPr>
        <w:t xml:space="preserve"> </w:t>
      </w:r>
      <w:r>
        <w:rPr>
          <w:rFonts w:ascii="黑体" w:hAnsi="黑体" w:eastAsia="黑体" w:cs="黑体"/>
          <w:spacing w:val="-16"/>
          <w:sz w:val="24"/>
          <w:szCs w:val="24"/>
        </w:rPr>
        <w:t>述</w:t>
      </w:r>
    </w:p>
    <w:p w14:paraId="55D336FB">
      <w:pPr>
        <w:pStyle w:val="2"/>
        <w:spacing w:before="115" w:line="275" w:lineRule="auto"/>
        <w:ind w:right="53" w:firstLine="570"/>
      </w:pPr>
      <w:r>
        <w:rPr>
          <w:spacing w:val="-11"/>
        </w:rPr>
        <w:t>简述项目概况，包括项目目标、国内外发展现状、主要研究内容、应用背景和</w:t>
      </w:r>
      <w:r>
        <w:rPr>
          <w:spacing w:val="4"/>
        </w:rPr>
        <w:t xml:space="preserve"> </w:t>
      </w:r>
      <w:r>
        <w:rPr>
          <w:spacing w:val="-8"/>
        </w:rPr>
        <w:t>应用范围、系统简介，参照表6.4。</w:t>
      </w:r>
    </w:p>
    <w:p w14:paraId="5A9A08C6">
      <w:pPr>
        <w:spacing w:before="24" w:line="222" w:lineRule="auto"/>
        <w:rPr>
          <w:rFonts w:ascii="黑体" w:hAnsi="黑体" w:eastAsia="黑体" w:cs="黑体"/>
          <w:sz w:val="25"/>
          <w:szCs w:val="25"/>
        </w:rPr>
      </w:pPr>
      <w:r>
        <w:rPr>
          <w:rFonts w:ascii="黑体" w:hAnsi="黑体" w:eastAsia="黑体" w:cs="黑体"/>
          <w:spacing w:val="11"/>
          <w:sz w:val="25"/>
          <w:szCs w:val="25"/>
        </w:rPr>
        <w:t>1.1</w:t>
      </w:r>
      <w:r>
        <w:rPr>
          <w:rFonts w:ascii="黑体" w:hAnsi="黑体" w:eastAsia="黑体" w:cs="黑体"/>
          <w:spacing w:val="48"/>
          <w:sz w:val="25"/>
          <w:szCs w:val="25"/>
        </w:rPr>
        <w:t xml:space="preserve">  </w:t>
      </w:r>
      <w:r>
        <w:rPr>
          <w:rFonts w:ascii="黑体" w:hAnsi="黑体" w:eastAsia="黑体" w:cs="黑体"/>
          <w:spacing w:val="11"/>
          <w:sz w:val="25"/>
          <w:szCs w:val="25"/>
        </w:rPr>
        <w:t>项目目标</w:t>
      </w:r>
    </w:p>
    <w:p w14:paraId="61EA441F">
      <w:pPr>
        <w:pStyle w:val="2"/>
        <w:spacing w:before="93" w:line="220" w:lineRule="auto"/>
        <w:ind w:left="570"/>
      </w:pPr>
      <w:r>
        <w:rPr>
          <w:spacing w:val="2"/>
        </w:rPr>
        <w:t>分阶段提出项目的可量度的发展目标：</w:t>
      </w:r>
    </w:p>
    <w:p w14:paraId="556BBA89">
      <w:pPr>
        <w:pStyle w:val="2"/>
        <w:spacing w:before="117" w:line="219" w:lineRule="auto"/>
        <w:ind w:left="570"/>
      </w:pPr>
      <w:r>
        <w:rPr>
          <w:spacing w:val="4"/>
        </w:rPr>
        <w:t>技术指标目标  定量化描述项目要达到的主要技术指标目标。</w:t>
      </w:r>
    </w:p>
    <w:p w14:paraId="7D6AFEC9">
      <w:pPr>
        <w:pStyle w:val="2"/>
        <w:spacing w:before="100" w:line="219" w:lineRule="auto"/>
        <w:ind w:left="570"/>
      </w:pPr>
      <w:r>
        <w:rPr>
          <w:spacing w:val="4"/>
        </w:rPr>
        <w:t>技术能力目标  描述项目要达到的提高性能和能力的目标。</w:t>
      </w:r>
    </w:p>
    <w:p w14:paraId="2BC7F5D6">
      <w:pPr>
        <w:spacing w:before="77" w:line="221" w:lineRule="auto"/>
        <w:rPr>
          <w:rFonts w:ascii="黑体" w:hAnsi="黑体" w:eastAsia="黑体" w:cs="黑体"/>
          <w:sz w:val="27"/>
          <w:szCs w:val="27"/>
        </w:rPr>
      </w:pPr>
      <w:r>
        <w:rPr>
          <w:rFonts w:ascii="黑体" w:hAnsi="黑体" w:eastAsia="黑体" w:cs="黑体"/>
          <w:spacing w:val="3"/>
          <w:sz w:val="27"/>
          <w:szCs w:val="27"/>
        </w:rPr>
        <w:t>1.2</w:t>
      </w:r>
      <w:r>
        <w:rPr>
          <w:rFonts w:ascii="黑体" w:hAnsi="黑体" w:eastAsia="黑体" w:cs="黑体"/>
          <w:spacing w:val="29"/>
          <w:sz w:val="27"/>
          <w:szCs w:val="27"/>
        </w:rPr>
        <w:t xml:space="preserve">  </w:t>
      </w:r>
      <w:r>
        <w:rPr>
          <w:rFonts w:ascii="黑体" w:hAnsi="黑体" w:eastAsia="黑体" w:cs="黑体"/>
          <w:spacing w:val="3"/>
          <w:sz w:val="27"/>
          <w:szCs w:val="27"/>
        </w:rPr>
        <w:t>国内外发展现状与差距分析</w:t>
      </w:r>
    </w:p>
    <w:p w14:paraId="527750BF">
      <w:pPr>
        <w:pStyle w:val="2"/>
        <w:spacing w:before="68" w:line="297" w:lineRule="auto"/>
        <w:ind w:right="36" w:firstLine="570"/>
      </w:pPr>
      <w:r>
        <w:rPr>
          <w:spacing w:val="-3"/>
        </w:rPr>
        <w:t>分析国内外该项目领域的研究现状，针对具体项目，列出国内外的差距，指</w:t>
      </w:r>
      <w:r>
        <w:rPr>
          <w:spacing w:val="15"/>
        </w:rPr>
        <w:t xml:space="preserve"> </w:t>
      </w:r>
      <w:r>
        <w:t>出重点发展方向。</w:t>
      </w:r>
    </w:p>
    <w:p w14:paraId="32620129">
      <w:pPr>
        <w:spacing w:before="1" w:line="221" w:lineRule="auto"/>
        <w:rPr>
          <w:rFonts w:ascii="黑体" w:hAnsi="黑体" w:eastAsia="黑体" w:cs="黑体"/>
          <w:sz w:val="24"/>
          <w:szCs w:val="24"/>
        </w:rPr>
      </w:pPr>
      <w:r>
        <w:rPr>
          <w:rFonts w:ascii="黑体" w:hAnsi="黑体" w:eastAsia="黑体" w:cs="黑体"/>
          <w:spacing w:val="20"/>
          <w:sz w:val="24"/>
          <w:szCs w:val="24"/>
        </w:rPr>
        <w:t>1.3</w:t>
      </w:r>
      <w:r>
        <w:rPr>
          <w:rFonts w:ascii="黑体" w:hAnsi="黑体" w:eastAsia="黑体" w:cs="黑体"/>
          <w:spacing w:val="60"/>
          <w:sz w:val="24"/>
          <w:szCs w:val="24"/>
        </w:rPr>
        <w:t xml:space="preserve">  </w:t>
      </w:r>
      <w:r>
        <w:rPr>
          <w:rFonts w:ascii="黑体" w:hAnsi="黑体" w:eastAsia="黑体" w:cs="黑体"/>
          <w:spacing w:val="20"/>
          <w:sz w:val="24"/>
          <w:szCs w:val="24"/>
        </w:rPr>
        <w:t>主要研究内容</w:t>
      </w:r>
    </w:p>
    <w:p w14:paraId="38465110">
      <w:pPr>
        <w:pStyle w:val="2"/>
        <w:spacing w:before="113" w:line="219" w:lineRule="auto"/>
        <w:ind w:left="570"/>
      </w:pPr>
      <w:r>
        <w:rPr>
          <w:spacing w:val="-1"/>
        </w:rPr>
        <w:t>描述项目目标的实现途径，项目的研究思路及工作计划安排等。</w:t>
      </w:r>
    </w:p>
    <w:p w14:paraId="42827D35">
      <w:pPr>
        <w:spacing w:before="118" w:line="221" w:lineRule="auto"/>
        <w:rPr>
          <w:rFonts w:ascii="黑体" w:hAnsi="黑体" w:eastAsia="黑体" w:cs="黑体"/>
          <w:sz w:val="24"/>
          <w:szCs w:val="24"/>
        </w:rPr>
      </w:pPr>
      <w:r>
        <w:rPr>
          <w:rFonts w:ascii="黑体" w:hAnsi="黑体" w:eastAsia="黑体" w:cs="黑体"/>
          <w:spacing w:val="25"/>
          <w:sz w:val="24"/>
          <w:szCs w:val="24"/>
        </w:rPr>
        <w:t>1.4</w:t>
      </w:r>
      <w:r>
        <w:rPr>
          <w:rFonts w:ascii="黑体" w:hAnsi="黑体" w:eastAsia="黑体" w:cs="黑体"/>
          <w:spacing w:val="61"/>
          <w:sz w:val="24"/>
          <w:szCs w:val="24"/>
        </w:rPr>
        <w:t xml:space="preserve">  </w:t>
      </w:r>
      <w:r>
        <w:rPr>
          <w:rFonts w:ascii="黑体" w:hAnsi="黑体" w:eastAsia="黑体" w:cs="黑体"/>
          <w:spacing w:val="25"/>
          <w:sz w:val="24"/>
          <w:szCs w:val="24"/>
        </w:rPr>
        <w:t>应用背景和应用范围</w:t>
      </w:r>
    </w:p>
    <w:p w14:paraId="7FFA1D8B">
      <w:pPr>
        <w:pStyle w:val="2"/>
        <w:spacing w:before="124" w:line="219" w:lineRule="auto"/>
        <w:ind w:left="570"/>
      </w:pPr>
      <w:r>
        <w:rPr>
          <w:spacing w:val="-5"/>
        </w:rPr>
        <w:t>简述项目的应用背景和应用范围，包括项目的使用环境、使用条件等。</w:t>
      </w:r>
    </w:p>
    <w:p w14:paraId="4A3E6135">
      <w:pPr>
        <w:spacing w:before="89" w:line="221" w:lineRule="auto"/>
        <w:rPr>
          <w:rFonts w:ascii="黑体" w:hAnsi="黑体" w:eastAsia="黑体" w:cs="黑体"/>
          <w:sz w:val="27"/>
          <w:szCs w:val="27"/>
        </w:rPr>
      </w:pPr>
      <w:r>
        <w:rPr>
          <w:rFonts w:ascii="黑体" w:hAnsi="黑体" w:eastAsia="黑体" w:cs="黑体"/>
          <w:spacing w:val="4"/>
          <w:sz w:val="27"/>
          <w:szCs w:val="27"/>
        </w:rPr>
        <w:t>1.5</w:t>
      </w:r>
      <w:r>
        <w:rPr>
          <w:rFonts w:ascii="黑体" w:hAnsi="黑体" w:eastAsia="黑体" w:cs="黑体"/>
          <w:spacing w:val="33"/>
          <w:sz w:val="27"/>
          <w:szCs w:val="27"/>
        </w:rPr>
        <w:t xml:space="preserve">  </w:t>
      </w:r>
      <w:r>
        <w:rPr>
          <w:rFonts w:ascii="黑体" w:hAnsi="黑体" w:eastAsia="黑体" w:cs="黑体"/>
          <w:spacing w:val="4"/>
          <w:sz w:val="27"/>
          <w:szCs w:val="27"/>
        </w:rPr>
        <w:t>系统简介(对与系统相关的项目)</w:t>
      </w:r>
    </w:p>
    <w:p w14:paraId="4C523AE3">
      <w:pPr>
        <w:pStyle w:val="2"/>
        <w:spacing w:before="97" w:line="320" w:lineRule="auto"/>
        <w:ind w:right="43" w:firstLine="570"/>
        <w:rPr>
          <w:sz w:val="25"/>
          <w:szCs w:val="25"/>
        </w:rPr>
      </w:pPr>
      <w:r>
        <w:rPr>
          <w:spacing w:val="17"/>
          <w:sz w:val="25"/>
          <w:szCs w:val="25"/>
        </w:rPr>
        <w:t>描述系统、主要子系统和必要的部件，以便挖掘出项目中较特殊的方面，应</w:t>
      </w:r>
      <w:r>
        <w:rPr>
          <w:spacing w:val="8"/>
          <w:sz w:val="25"/>
          <w:szCs w:val="25"/>
        </w:rPr>
        <w:t xml:space="preserve"> </w:t>
      </w:r>
      <w:r>
        <w:rPr>
          <w:spacing w:val="19"/>
          <w:sz w:val="25"/>
          <w:szCs w:val="25"/>
        </w:rPr>
        <w:t>该包括系统、部件以及与其相关的成为关键技术元素的技术。</w:t>
      </w:r>
    </w:p>
    <w:p w14:paraId="45D6D17A">
      <w:pPr>
        <w:spacing w:line="320" w:lineRule="auto"/>
        <w:rPr>
          <w:sz w:val="25"/>
          <w:szCs w:val="25"/>
        </w:rPr>
        <w:sectPr>
          <w:footerReference r:id="rId347" w:type="default"/>
          <w:pgSz w:w="11910" w:h="17130"/>
          <w:pgMar w:top="1366" w:right="855" w:bottom="1653" w:left="1619" w:header="0" w:footer="1455" w:gutter="0"/>
          <w:cols w:space="720" w:num="1"/>
        </w:sectPr>
      </w:pPr>
    </w:p>
    <w:p w14:paraId="21C5FCDF">
      <w:pPr>
        <w:spacing w:before="108" w:line="221" w:lineRule="auto"/>
        <w:rPr>
          <w:rFonts w:ascii="黑体" w:hAnsi="黑体" w:eastAsia="黑体" w:cs="黑体"/>
          <w:sz w:val="24"/>
          <w:szCs w:val="24"/>
        </w:rPr>
      </w:pPr>
      <w:r>
        <w:rPr>
          <w:rFonts w:ascii="黑体" w:hAnsi="黑体" w:eastAsia="黑体" w:cs="黑体"/>
          <w:spacing w:val="29"/>
          <w:sz w:val="24"/>
          <w:szCs w:val="24"/>
        </w:rPr>
        <w:t>2</w:t>
      </w:r>
      <w:r>
        <w:rPr>
          <w:rFonts w:ascii="黑体" w:hAnsi="黑体" w:eastAsia="黑体" w:cs="黑体"/>
          <w:spacing w:val="39"/>
          <w:sz w:val="24"/>
          <w:szCs w:val="24"/>
        </w:rPr>
        <w:t xml:space="preserve">  </w:t>
      </w:r>
      <w:r>
        <w:rPr>
          <w:rFonts w:ascii="黑体" w:hAnsi="黑体" w:eastAsia="黑体" w:cs="黑体"/>
          <w:b/>
          <w:bCs/>
          <w:spacing w:val="29"/>
          <w:sz w:val="24"/>
          <w:szCs w:val="24"/>
        </w:rPr>
        <w:t>技术成熟度评价工作概况</w:t>
      </w:r>
    </w:p>
    <w:p w14:paraId="04462680">
      <w:pPr>
        <w:spacing w:before="103" w:line="221" w:lineRule="auto"/>
        <w:rPr>
          <w:rFonts w:ascii="黑体" w:hAnsi="黑体" w:eastAsia="黑体" w:cs="黑体"/>
          <w:sz w:val="27"/>
          <w:szCs w:val="27"/>
        </w:rPr>
      </w:pPr>
      <w:r>
        <w:rPr>
          <w:rFonts w:ascii="黑体" w:hAnsi="黑体" w:eastAsia="黑体" w:cs="黑体"/>
          <w:sz w:val="27"/>
          <w:szCs w:val="27"/>
        </w:rPr>
        <w:t>2.1</w:t>
      </w:r>
      <w:r>
        <w:rPr>
          <w:rFonts w:ascii="黑体" w:hAnsi="黑体" w:eastAsia="黑体" w:cs="黑体"/>
          <w:spacing w:val="26"/>
          <w:sz w:val="27"/>
          <w:szCs w:val="27"/>
        </w:rPr>
        <w:t xml:space="preserve">  </w:t>
      </w:r>
      <w:r>
        <w:rPr>
          <w:rFonts w:ascii="黑体" w:hAnsi="黑体" w:eastAsia="黑体" w:cs="黑体"/>
          <w:b/>
          <w:bCs/>
          <w:sz w:val="27"/>
          <w:szCs w:val="27"/>
        </w:rPr>
        <w:t>技术成熟度评价工作组</w:t>
      </w:r>
    </w:p>
    <w:p w14:paraId="2ACC1369">
      <w:pPr>
        <w:pStyle w:val="2"/>
        <w:spacing w:before="90" w:line="218" w:lineRule="auto"/>
        <w:ind w:left="570"/>
      </w:pPr>
      <w:r>
        <w:rPr>
          <w:spacing w:val="2"/>
        </w:rPr>
        <w:t>给出评价过程中参与人员的相关信息，参照表6.5。</w:t>
      </w:r>
    </w:p>
    <w:p w14:paraId="54BC15AA">
      <w:pPr>
        <w:spacing w:before="87" w:line="221" w:lineRule="auto"/>
        <w:rPr>
          <w:rFonts w:ascii="黑体" w:hAnsi="黑体" w:eastAsia="黑体" w:cs="黑体"/>
          <w:sz w:val="27"/>
          <w:szCs w:val="27"/>
        </w:rPr>
      </w:pPr>
      <w:r>
        <w:rPr>
          <w:rFonts w:ascii="黑体" w:hAnsi="黑体" w:eastAsia="黑体" w:cs="黑体"/>
          <w:spacing w:val="3"/>
          <w:sz w:val="27"/>
          <w:szCs w:val="27"/>
        </w:rPr>
        <w:t xml:space="preserve">2.2  </w:t>
      </w:r>
      <w:r>
        <w:rPr>
          <w:rFonts w:ascii="黑体" w:hAnsi="黑体" w:eastAsia="黑体" w:cs="黑体"/>
          <w:b/>
          <w:bCs/>
          <w:spacing w:val="3"/>
          <w:sz w:val="27"/>
          <w:szCs w:val="27"/>
        </w:rPr>
        <w:t>技术成熟度评价工作计划</w:t>
      </w:r>
    </w:p>
    <w:p w14:paraId="58EF2EF2">
      <w:pPr>
        <w:pStyle w:val="2"/>
        <w:spacing w:before="39" w:line="299" w:lineRule="auto"/>
        <w:ind w:right="124" w:firstLine="570"/>
      </w:pPr>
      <w:r>
        <w:rPr>
          <w:spacing w:val="-11"/>
        </w:rPr>
        <w:t>给出评价中各阶段的内容、负责人、输入输出结果形式、完成</w:t>
      </w:r>
      <w:r>
        <w:rPr>
          <w:spacing w:val="-12"/>
        </w:rPr>
        <w:t>形式、进度安排</w:t>
      </w:r>
      <w:r>
        <w:t xml:space="preserve"> </w:t>
      </w:r>
      <w:r>
        <w:rPr>
          <w:spacing w:val="-2"/>
        </w:rPr>
        <w:t>等，参照表6.6。</w:t>
      </w:r>
    </w:p>
    <w:p w14:paraId="60FF7E27">
      <w:pPr>
        <w:spacing w:line="219" w:lineRule="auto"/>
        <w:rPr>
          <w:rFonts w:ascii="黑体" w:hAnsi="黑体" w:eastAsia="黑体" w:cs="黑体"/>
          <w:sz w:val="24"/>
          <w:szCs w:val="24"/>
        </w:rPr>
      </w:pPr>
      <w:r>
        <w:rPr>
          <w:rFonts w:ascii="黑体" w:hAnsi="黑体" w:eastAsia="黑体" w:cs="黑体"/>
          <w:spacing w:val="24"/>
          <w:sz w:val="24"/>
          <w:szCs w:val="24"/>
        </w:rPr>
        <w:t>2.3</w:t>
      </w:r>
      <w:r>
        <w:rPr>
          <w:rFonts w:ascii="黑体" w:hAnsi="黑体" w:eastAsia="黑体" w:cs="黑体"/>
          <w:spacing w:val="55"/>
          <w:sz w:val="24"/>
          <w:szCs w:val="24"/>
        </w:rPr>
        <w:t xml:space="preserve">  </w:t>
      </w:r>
      <w:r>
        <w:rPr>
          <w:rFonts w:ascii="黑体" w:hAnsi="黑体" w:eastAsia="黑体" w:cs="黑体"/>
          <w:b/>
          <w:bCs/>
          <w:spacing w:val="24"/>
          <w:sz w:val="24"/>
          <w:szCs w:val="24"/>
        </w:rPr>
        <w:t>技术成熟度计划执行情况</w:t>
      </w:r>
    </w:p>
    <w:p w14:paraId="71CE6E98">
      <w:pPr>
        <w:pStyle w:val="2"/>
        <w:spacing w:before="91" w:line="218" w:lineRule="auto"/>
        <w:ind w:left="570"/>
      </w:pPr>
      <w:r>
        <w:rPr>
          <w:spacing w:val="2"/>
        </w:rPr>
        <w:t>简要介绍评价工作计划的执行情况。</w:t>
      </w:r>
    </w:p>
    <w:p w14:paraId="466BC9E5">
      <w:pPr>
        <w:spacing w:before="88" w:line="222"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6"/>
          <w:sz w:val="27"/>
          <w:szCs w:val="27"/>
        </w:rPr>
        <w:t xml:space="preserve">  </w:t>
      </w:r>
      <w:r>
        <w:rPr>
          <w:rFonts w:ascii="黑体" w:hAnsi="黑体" w:eastAsia="黑体" w:cs="黑体"/>
          <w:b/>
          <w:bCs/>
          <w:sz w:val="27"/>
          <w:szCs w:val="27"/>
        </w:rPr>
        <w:t>关键技术元素识别</w:t>
      </w:r>
    </w:p>
    <w:p w14:paraId="03654D81">
      <w:pPr>
        <w:spacing w:before="85" w:line="221" w:lineRule="auto"/>
        <w:rPr>
          <w:rFonts w:ascii="黑体" w:hAnsi="黑体" w:eastAsia="黑体" w:cs="黑体"/>
          <w:sz w:val="27"/>
          <w:szCs w:val="27"/>
        </w:rPr>
      </w:pPr>
      <w:r>
        <w:rPr>
          <w:rFonts w:ascii="黑体" w:hAnsi="黑体" w:eastAsia="黑体" w:cs="黑体"/>
          <w:spacing w:val="2"/>
          <w:sz w:val="27"/>
          <w:szCs w:val="27"/>
        </w:rPr>
        <w:t xml:space="preserve">3.1  </w:t>
      </w:r>
      <w:r>
        <w:rPr>
          <w:rFonts w:ascii="黑体" w:hAnsi="黑体" w:eastAsia="黑体" w:cs="黑体"/>
          <w:b/>
          <w:bCs/>
          <w:spacing w:val="2"/>
          <w:sz w:val="27"/>
          <w:szCs w:val="27"/>
        </w:rPr>
        <w:t>关键技术分解结构或系统分解结构</w:t>
      </w:r>
    </w:p>
    <w:p w14:paraId="3ADB1BF4">
      <w:pPr>
        <w:pStyle w:val="2"/>
        <w:spacing w:before="93" w:line="272" w:lineRule="auto"/>
        <w:ind w:right="125" w:firstLine="570"/>
      </w:pPr>
      <w:r>
        <w:rPr>
          <w:spacing w:val="-2"/>
        </w:rPr>
        <w:t>给出完整的系统</w:t>
      </w:r>
      <w:r>
        <w:rPr>
          <w:rFonts w:ascii="Times New Roman" w:hAnsi="Times New Roman" w:eastAsia="Times New Roman" w:cs="Times New Roman"/>
          <w:spacing w:val="-2"/>
        </w:rPr>
        <w:t>WBS</w:t>
      </w:r>
      <w:r>
        <w:rPr>
          <w:spacing w:val="-2"/>
        </w:rPr>
        <w:t>、项目关键技术分解结构，并对</w:t>
      </w:r>
      <w:r>
        <w:rPr>
          <w:spacing w:val="-65"/>
        </w:rPr>
        <w:t xml:space="preserve"> </w:t>
      </w:r>
      <w:r>
        <w:rPr>
          <w:rFonts w:ascii="Times New Roman" w:hAnsi="Times New Roman" w:eastAsia="Times New Roman" w:cs="Times New Roman"/>
          <w:spacing w:val="-2"/>
        </w:rPr>
        <w:t xml:space="preserve">WBS </w:t>
      </w:r>
      <w:r>
        <w:rPr>
          <w:spacing w:val="-2"/>
        </w:rPr>
        <w:t>或关键技术分解</w:t>
      </w:r>
      <w:r>
        <w:t xml:space="preserve"> </w:t>
      </w:r>
      <w:r>
        <w:rPr>
          <w:spacing w:val="-9"/>
        </w:rPr>
        <w:t>的背景、时间、依据等内容加以说明，参照表6.7。</w:t>
      </w:r>
    </w:p>
    <w:p w14:paraId="6F0F984F">
      <w:pPr>
        <w:spacing w:before="1" w:line="222" w:lineRule="auto"/>
        <w:rPr>
          <w:rFonts w:ascii="黑体" w:hAnsi="黑体" w:eastAsia="黑体" w:cs="黑体"/>
          <w:sz w:val="27"/>
          <w:szCs w:val="27"/>
        </w:rPr>
      </w:pPr>
      <w:r>
        <w:rPr>
          <w:rFonts w:ascii="黑体" w:hAnsi="黑体" w:eastAsia="黑体" w:cs="黑体"/>
          <w:spacing w:val="3"/>
          <w:sz w:val="27"/>
          <w:szCs w:val="27"/>
        </w:rPr>
        <w:t xml:space="preserve">3.2  </w:t>
      </w:r>
      <w:r>
        <w:rPr>
          <w:rFonts w:ascii="黑体" w:hAnsi="黑体" w:eastAsia="黑体" w:cs="黑体"/>
          <w:b/>
          <w:bCs/>
          <w:spacing w:val="3"/>
          <w:sz w:val="27"/>
          <w:szCs w:val="27"/>
        </w:rPr>
        <w:t>关键技术元素清单</w:t>
      </w:r>
    </w:p>
    <w:p w14:paraId="70D3A4C1">
      <w:pPr>
        <w:pStyle w:val="2"/>
        <w:spacing w:before="90" w:line="280" w:lineRule="auto"/>
        <w:ind w:right="117" w:firstLine="570"/>
        <w:jc w:val="both"/>
      </w:pPr>
      <w:r>
        <w:rPr>
          <w:spacing w:val="5"/>
        </w:rPr>
        <w:t xml:space="preserve">给出初始筛选的关键技术元素清单和最终的关键技术元素清单，以及各项 </w:t>
      </w:r>
      <w:r>
        <w:rPr>
          <w:spacing w:val="6"/>
        </w:rPr>
        <w:t>关键技术元素入选的理由，针对初始关键技术元素</w:t>
      </w:r>
      <w:r>
        <w:rPr>
          <w:spacing w:val="5"/>
        </w:rPr>
        <w:t>清单与最终的关键技术元素</w:t>
      </w:r>
      <w:r>
        <w:t xml:space="preserve"> </w:t>
      </w:r>
      <w:r>
        <w:rPr>
          <w:spacing w:val="14"/>
        </w:rPr>
        <w:t>清单中增删的关键技术元素，给出详细说明，并提</w:t>
      </w:r>
      <w:r>
        <w:rPr>
          <w:spacing w:val="13"/>
        </w:rPr>
        <w:t>供必要的支持信息。参照</w:t>
      </w:r>
      <w:r>
        <w:t xml:space="preserve"> </w:t>
      </w:r>
      <w:r>
        <w:rPr>
          <w:spacing w:val="15"/>
        </w:rPr>
        <w:t>表6.8。</w:t>
      </w:r>
    </w:p>
    <w:p w14:paraId="10373D46">
      <w:pPr>
        <w:pStyle w:val="2"/>
        <w:spacing w:before="3" w:line="281" w:lineRule="auto"/>
        <w:ind w:firstLine="570"/>
      </w:pPr>
      <w:r>
        <w:rPr>
          <w:spacing w:val="9"/>
        </w:rPr>
        <w:t>另外，关键技术元素列表中还应该包含每个关键技术元素的环</w:t>
      </w:r>
      <w:r>
        <w:rPr>
          <w:spacing w:val="8"/>
        </w:rPr>
        <w:t>境的描述。</w:t>
      </w:r>
      <w:r>
        <w:t xml:space="preserve"> </w:t>
      </w:r>
      <w:r>
        <w:rPr>
          <w:spacing w:val="-10"/>
        </w:rPr>
        <w:t>建议给出一个技术列表，内容包括技术名称、技术的简短描述、功能</w:t>
      </w:r>
      <w:r>
        <w:rPr>
          <w:spacing w:val="-11"/>
        </w:rPr>
        <w:t>、适用环境。</w:t>
      </w:r>
    </w:p>
    <w:p w14:paraId="6F427F3E">
      <w:pPr>
        <w:spacing w:before="1" w:line="220" w:lineRule="auto"/>
        <w:outlineLvl w:val="3"/>
        <w:rPr>
          <w:rFonts w:ascii="黑体" w:hAnsi="黑体" w:eastAsia="黑体" w:cs="黑体"/>
          <w:sz w:val="27"/>
          <w:szCs w:val="27"/>
        </w:rPr>
      </w:pPr>
      <w:r>
        <w:rPr>
          <w:rFonts w:ascii="Arial" w:hAnsi="Arial" w:eastAsia="Arial" w:cs="Arial"/>
          <w:b/>
          <w:bCs/>
          <w:spacing w:val="2"/>
          <w:sz w:val="27"/>
          <w:szCs w:val="27"/>
        </w:rPr>
        <w:t>4</w:t>
      </w:r>
      <w:r>
        <w:rPr>
          <w:rFonts w:ascii="Arial" w:hAnsi="Arial" w:eastAsia="Arial" w:cs="Arial"/>
          <w:b/>
          <w:bCs/>
          <w:spacing w:val="18"/>
          <w:sz w:val="27"/>
          <w:szCs w:val="27"/>
        </w:rPr>
        <w:t xml:space="preserve">   </w:t>
      </w:r>
      <w:r>
        <w:rPr>
          <w:rFonts w:ascii="黑体" w:hAnsi="黑体" w:eastAsia="黑体" w:cs="黑体"/>
          <w:b/>
          <w:bCs/>
          <w:spacing w:val="2"/>
          <w:sz w:val="27"/>
          <w:szCs w:val="27"/>
        </w:rPr>
        <w:t>关键技术元素成熟度评价</w:t>
      </w:r>
    </w:p>
    <w:p w14:paraId="3B2E1987">
      <w:pPr>
        <w:spacing w:before="87" w:line="221" w:lineRule="auto"/>
        <w:rPr>
          <w:rFonts w:ascii="黑体" w:hAnsi="黑体" w:eastAsia="黑体" w:cs="黑体"/>
          <w:sz w:val="27"/>
          <w:szCs w:val="27"/>
        </w:rPr>
      </w:pPr>
      <w:r>
        <w:rPr>
          <w:rFonts w:ascii="黑体" w:hAnsi="黑体" w:eastAsia="黑体" w:cs="黑体"/>
          <w:sz w:val="27"/>
          <w:szCs w:val="27"/>
        </w:rPr>
        <w:t>4.1</w:t>
      </w:r>
      <w:r>
        <w:rPr>
          <w:rFonts w:ascii="黑体" w:hAnsi="黑体" w:eastAsia="黑体" w:cs="黑体"/>
          <w:spacing w:val="21"/>
          <w:sz w:val="27"/>
          <w:szCs w:val="27"/>
        </w:rPr>
        <w:t xml:space="preserve">  </w:t>
      </w:r>
      <w:r>
        <w:rPr>
          <w:rFonts w:ascii="黑体" w:hAnsi="黑体" w:eastAsia="黑体" w:cs="黑体"/>
          <w:b/>
          <w:bCs/>
          <w:sz w:val="27"/>
          <w:szCs w:val="27"/>
        </w:rPr>
        <w:t>技术成熟度等级及判定细则</w:t>
      </w:r>
    </w:p>
    <w:p w14:paraId="0B81C0D0">
      <w:pPr>
        <w:pStyle w:val="2"/>
        <w:spacing w:before="81" w:line="282" w:lineRule="auto"/>
        <w:ind w:right="124" w:firstLine="570"/>
        <w:jc w:val="both"/>
      </w:pPr>
      <w:r>
        <w:rPr>
          <w:spacing w:val="17"/>
        </w:rPr>
        <w:t>给出通用和具体化的技术成熟度等级，针对具体化的</w:t>
      </w:r>
      <w:r>
        <w:rPr>
          <w:spacing w:val="-51"/>
        </w:rPr>
        <w:t xml:space="preserve"> </w:t>
      </w:r>
      <w:r>
        <w:rPr>
          <w:rFonts w:ascii="Times New Roman" w:hAnsi="Times New Roman" w:eastAsia="Times New Roman" w:cs="Times New Roman"/>
        </w:rPr>
        <w:t>TRL</w:t>
      </w:r>
      <w:r>
        <w:rPr>
          <w:rFonts w:ascii="Times New Roman" w:hAnsi="Times New Roman" w:eastAsia="Times New Roman" w:cs="Times New Roman"/>
          <w:spacing w:val="17"/>
        </w:rPr>
        <w:t xml:space="preserve">  </w:t>
      </w:r>
      <w:r>
        <w:rPr>
          <w:spacing w:val="17"/>
        </w:rPr>
        <w:t>定义与通过</w:t>
      </w:r>
      <w:r>
        <w:t xml:space="preserve"> </w:t>
      </w:r>
      <w:r>
        <w:rPr>
          <w:rFonts w:ascii="Times New Roman" w:hAnsi="Times New Roman" w:eastAsia="Times New Roman" w:cs="Times New Roman"/>
        </w:rPr>
        <w:t>TRL</w:t>
      </w:r>
      <w:r>
        <w:rPr>
          <w:rFonts w:ascii="Times New Roman" w:hAnsi="Times New Roman" w:eastAsia="Times New Roman" w:cs="Times New Roman"/>
          <w:spacing w:val="44"/>
        </w:rPr>
        <w:t xml:space="preserve"> </w:t>
      </w:r>
      <w:r>
        <w:t>定义的区别，给出详细的说明，并提供必要的支持信息。列出通用的</w:t>
      </w:r>
      <w:r>
        <w:rPr>
          <w:spacing w:val="-77"/>
        </w:rPr>
        <w:t xml:space="preserve"> </w:t>
      </w:r>
      <w:r>
        <w:rPr>
          <w:rFonts w:ascii="Times New Roman" w:hAnsi="Times New Roman" w:eastAsia="Times New Roman" w:cs="Times New Roman"/>
        </w:rPr>
        <w:t xml:space="preserve">TRL  </w:t>
      </w:r>
      <w:r>
        <w:rPr>
          <w:spacing w:val="-2"/>
        </w:rPr>
        <w:t>判定细则，见表6.9。</w:t>
      </w:r>
    </w:p>
    <w:p w14:paraId="7478D359">
      <w:pPr>
        <w:spacing w:before="32" w:line="222" w:lineRule="auto"/>
        <w:ind w:left="2870"/>
        <w:rPr>
          <w:rFonts w:ascii="仿宋" w:hAnsi="仿宋" w:eastAsia="仿宋" w:cs="仿宋"/>
          <w:sz w:val="24"/>
          <w:szCs w:val="24"/>
        </w:rPr>
      </w:pPr>
      <w:r>
        <w:rPr>
          <w:rFonts w:ascii="仿宋" w:hAnsi="仿宋" w:eastAsia="仿宋" w:cs="仿宋"/>
          <w:spacing w:val="24"/>
          <w:sz w:val="24"/>
          <w:szCs w:val="24"/>
        </w:rPr>
        <w:t>表6</w:t>
      </w:r>
      <w:r>
        <w:rPr>
          <w:rFonts w:ascii="仿宋" w:hAnsi="仿宋" w:eastAsia="仿宋" w:cs="仿宋"/>
          <w:spacing w:val="-52"/>
          <w:sz w:val="24"/>
          <w:szCs w:val="24"/>
        </w:rPr>
        <w:t xml:space="preserve"> </w:t>
      </w:r>
      <w:r>
        <w:rPr>
          <w:rFonts w:ascii="仿宋" w:hAnsi="仿宋" w:eastAsia="仿宋" w:cs="仿宋"/>
          <w:spacing w:val="24"/>
          <w:sz w:val="24"/>
          <w:szCs w:val="24"/>
        </w:rPr>
        <w:t>.</w:t>
      </w:r>
      <w:r>
        <w:rPr>
          <w:rFonts w:ascii="仿宋" w:hAnsi="仿宋" w:eastAsia="仿宋" w:cs="仿宋"/>
          <w:spacing w:val="-64"/>
          <w:sz w:val="24"/>
          <w:szCs w:val="24"/>
        </w:rPr>
        <w:t xml:space="preserve"> </w:t>
      </w:r>
      <w:r>
        <w:rPr>
          <w:rFonts w:ascii="仿宋" w:hAnsi="仿宋" w:eastAsia="仿宋" w:cs="仿宋"/>
          <w:spacing w:val="24"/>
          <w:sz w:val="24"/>
          <w:szCs w:val="24"/>
        </w:rPr>
        <w:t>9  评价等级及判定细则表</w:t>
      </w:r>
    </w:p>
    <w:p w14:paraId="453E636E">
      <w:pPr>
        <w:spacing w:line="98" w:lineRule="exact"/>
      </w:pPr>
    </w:p>
    <w:tbl>
      <w:tblPr>
        <w:tblStyle w:val="5"/>
        <w:tblW w:w="936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3"/>
        <w:gridCol w:w="8116"/>
      </w:tblGrid>
      <w:tr w14:paraId="3C47F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253" w:type="dxa"/>
            <w:vAlign w:val="top"/>
          </w:tcPr>
          <w:p w14:paraId="64FE2933">
            <w:pPr>
              <w:spacing w:before="114" w:line="220" w:lineRule="auto"/>
              <w:ind w:left="174"/>
              <w:rPr>
                <w:rFonts w:ascii="宋体" w:hAnsi="宋体" w:eastAsia="宋体" w:cs="宋体"/>
                <w:sz w:val="22"/>
                <w:szCs w:val="22"/>
              </w:rPr>
            </w:pPr>
            <w:r>
              <w:rPr>
                <w:rFonts w:ascii="宋体" w:hAnsi="宋体" w:eastAsia="宋体" w:cs="宋体"/>
                <w:spacing w:val="-1"/>
                <w:sz w:val="22"/>
                <w:szCs w:val="22"/>
              </w:rPr>
              <w:t>TRL1定义</w:t>
            </w:r>
          </w:p>
        </w:tc>
        <w:tc>
          <w:tcPr>
            <w:tcW w:w="8116" w:type="dxa"/>
            <w:vAlign w:val="top"/>
          </w:tcPr>
          <w:p w14:paraId="0B37BD0B">
            <w:pPr>
              <w:pStyle w:val="6"/>
            </w:pPr>
          </w:p>
        </w:tc>
      </w:tr>
      <w:tr w14:paraId="335E2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253" w:type="dxa"/>
            <w:vAlign w:val="top"/>
          </w:tcPr>
          <w:p w14:paraId="716FD06B">
            <w:pPr>
              <w:spacing w:before="121" w:line="220" w:lineRule="auto"/>
              <w:ind w:left="174"/>
              <w:rPr>
                <w:rFonts w:ascii="宋体" w:hAnsi="宋体" w:eastAsia="宋体" w:cs="宋体"/>
                <w:sz w:val="22"/>
                <w:szCs w:val="22"/>
              </w:rPr>
            </w:pPr>
            <w:r>
              <w:rPr>
                <w:rFonts w:ascii="宋体" w:hAnsi="宋体" w:eastAsia="宋体" w:cs="宋体"/>
                <w:spacing w:val="4"/>
                <w:sz w:val="22"/>
                <w:szCs w:val="22"/>
              </w:rPr>
              <w:t>判定细则</w:t>
            </w:r>
          </w:p>
        </w:tc>
        <w:tc>
          <w:tcPr>
            <w:tcW w:w="8116" w:type="dxa"/>
            <w:vAlign w:val="top"/>
          </w:tcPr>
          <w:p w14:paraId="71ABE3F8">
            <w:pPr>
              <w:spacing w:before="121" w:line="219" w:lineRule="auto"/>
              <w:ind w:left="3752"/>
              <w:rPr>
                <w:rFonts w:ascii="宋体" w:hAnsi="宋体" w:eastAsia="宋体" w:cs="宋体"/>
                <w:sz w:val="22"/>
                <w:szCs w:val="22"/>
              </w:rPr>
            </w:pPr>
            <w:r>
              <w:rPr>
                <w:rFonts w:ascii="宋体" w:hAnsi="宋体" w:eastAsia="宋体" w:cs="宋体"/>
                <w:spacing w:val="-18"/>
                <w:sz w:val="22"/>
                <w:szCs w:val="22"/>
              </w:rPr>
              <w:t>内</w:t>
            </w:r>
            <w:r>
              <w:rPr>
                <w:rFonts w:ascii="宋体" w:hAnsi="宋体" w:eastAsia="宋体" w:cs="宋体"/>
                <w:spacing w:val="35"/>
                <w:sz w:val="22"/>
                <w:szCs w:val="22"/>
              </w:rPr>
              <w:t xml:space="preserve"> </w:t>
            </w:r>
            <w:r>
              <w:rPr>
                <w:rFonts w:ascii="宋体" w:hAnsi="宋体" w:eastAsia="宋体" w:cs="宋体"/>
                <w:spacing w:val="-18"/>
                <w:sz w:val="22"/>
                <w:szCs w:val="22"/>
              </w:rPr>
              <w:t>容</w:t>
            </w:r>
          </w:p>
        </w:tc>
      </w:tr>
      <w:tr w14:paraId="77112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4EC364BB">
            <w:pPr>
              <w:spacing w:before="135" w:line="241" w:lineRule="auto"/>
              <w:ind w:left="565"/>
              <w:rPr>
                <w:rFonts w:ascii="宋体" w:hAnsi="宋体" w:eastAsia="宋体" w:cs="宋体"/>
                <w:sz w:val="22"/>
                <w:szCs w:val="22"/>
              </w:rPr>
            </w:pPr>
            <w:r>
              <w:rPr>
                <w:rFonts w:ascii="宋体" w:hAnsi="宋体" w:eastAsia="宋体" w:cs="宋体"/>
                <w:sz w:val="22"/>
                <w:szCs w:val="22"/>
              </w:rPr>
              <w:t>1</w:t>
            </w:r>
          </w:p>
        </w:tc>
        <w:tc>
          <w:tcPr>
            <w:tcW w:w="8116" w:type="dxa"/>
            <w:vAlign w:val="top"/>
          </w:tcPr>
          <w:p w14:paraId="36324C2E">
            <w:pPr>
              <w:pStyle w:val="6"/>
            </w:pPr>
          </w:p>
        </w:tc>
      </w:tr>
      <w:tr w14:paraId="5A1C9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253" w:type="dxa"/>
            <w:vAlign w:val="top"/>
          </w:tcPr>
          <w:p w14:paraId="58E7A1B5">
            <w:pPr>
              <w:spacing w:before="136" w:line="241" w:lineRule="auto"/>
              <w:ind w:left="565"/>
              <w:rPr>
                <w:rFonts w:ascii="宋体" w:hAnsi="宋体" w:eastAsia="宋体" w:cs="宋体"/>
                <w:sz w:val="22"/>
                <w:szCs w:val="22"/>
              </w:rPr>
            </w:pPr>
            <w:r>
              <w:rPr>
                <w:rFonts w:ascii="宋体" w:hAnsi="宋体" w:eastAsia="宋体" w:cs="宋体"/>
                <w:sz w:val="22"/>
                <w:szCs w:val="22"/>
              </w:rPr>
              <w:t>2</w:t>
            </w:r>
          </w:p>
        </w:tc>
        <w:tc>
          <w:tcPr>
            <w:tcW w:w="8116" w:type="dxa"/>
            <w:vAlign w:val="top"/>
          </w:tcPr>
          <w:p w14:paraId="59E66640">
            <w:pPr>
              <w:pStyle w:val="6"/>
            </w:pPr>
          </w:p>
        </w:tc>
      </w:tr>
      <w:tr w14:paraId="01026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253" w:type="dxa"/>
            <w:vAlign w:val="top"/>
          </w:tcPr>
          <w:p w14:paraId="3942E004">
            <w:pPr>
              <w:spacing w:before="148" w:line="289" w:lineRule="exact"/>
              <w:ind w:left="504"/>
              <w:rPr>
                <w:rFonts w:ascii="宋体" w:hAnsi="宋体" w:eastAsia="宋体" w:cs="宋体"/>
                <w:sz w:val="22"/>
                <w:szCs w:val="22"/>
              </w:rPr>
            </w:pPr>
            <w:r>
              <w:rPr>
                <w:rFonts w:ascii="宋体" w:hAnsi="宋体" w:eastAsia="宋体" w:cs="宋体"/>
                <w:position w:val="1"/>
                <w:sz w:val="22"/>
                <w:szCs w:val="22"/>
              </w:rPr>
              <w:t>…</w:t>
            </w:r>
          </w:p>
        </w:tc>
        <w:tc>
          <w:tcPr>
            <w:tcW w:w="8116" w:type="dxa"/>
            <w:vAlign w:val="top"/>
          </w:tcPr>
          <w:p w14:paraId="27F65926">
            <w:pPr>
              <w:pStyle w:val="6"/>
            </w:pPr>
          </w:p>
        </w:tc>
      </w:tr>
      <w:tr w14:paraId="6358A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12B6CD27">
            <w:pPr>
              <w:spacing w:before="175" w:line="182" w:lineRule="auto"/>
              <w:ind w:left="565"/>
              <w:rPr>
                <w:rFonts w:ascii="宋体" w:hAnsi="宋体" w:eastAsia="宋体" w:cs="宋体"/>
                <w:sz w:val="22"/>
                <w:szCs w:val="22"/>
              </w:rPr>
            </w:pPr>
            <w:r>
              <w:rPr>
                <w:rFonts w:ascii="宋体" w:hAnsi="宋体" w:eastAsia="宋体" w:cs="宋体"/>
                <w:sz w:val="22"/>
                <w:szCs w:val="22"/>
              </w:rPr>
              <w:t>N</w:t>
            </w:r>
          </w:p>
        </w:tc>
        <w:tc>
          <w:tcPr>
            <w:tcW w:w="8116" w:type="dxa"/>
            <w:vAlign w:val="top"/>
          </w:tcPr>
          <w:p w14:paraId="332E64F2">
            <w:pPr>
              <w:pStyle w:val="6"/>
            </w:pPr>
          </w:p>
        </w:tc>
      </w:tr>
      <w:tr w14:paraId="7EDC8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369" w:type="dxa"/>
            <w:gridSpan w:val="2"/>
            <w:vAlign w:val="top"/>
          </w:tcPr>
          <w:p w14:paraId="4A670D85">
            <w:pPr>
              <w:spacing w:before="131" w:line="229" w:lineRule="auto"/>
              <w:ind w:left="4474"/>
              <w:rPr>
                <w:rFonts w:ascii="宋体" w:hAnsi="宋体" w:eastAsia="宋体" w:cs="宋体"/>
                <w:sz w:val="22"/>
                <w:szCs w:val="22"/>
              </w:rPr>
            </w:pPr>
            <w:r>
              <w:rPr>
                <w:rFonts w:ascii="宋体" w:hAnsi="宋体" w:eastAsia="宋体" w:cs="宋体"/>
                <w:spacing w:val="-6"/>
                <w:sz w:val="22"/>
                <w:szCs w:val="22"/>
              </w:rPr>
              <w:t>……</w:t>
            </w:r>
          </w:p>
        </w:tc>
      </w:tr>
    </w:tbl>
    <w:p w14:paraId="5DA05FCB">
      <w:pPr>
        <w:rPr>
          <w:rFonts w:ascii="Arial"/>
          <w:sz w:val="21"/>
        </w:rPr>
      </w:pPr>
    </w:p>
    <w:p w14:paraId="79D98B8E">
      <w:pPr>
        <w:rPr>
          <w:rFonts w:ascii="Arial" w:hAnsi="Arial" w:eastAsia="Arial" w:cs="Arial"/>
          <w:sz w:val="21"/>
          <w:szCs w:val="21"/>
        </w:rPr>
        <w:sectPr>
          <w:footerReference r:id="rId348" w:type="default"/>
          <w:pgSz w:w="11910" w:h="17130"/>
          <w:pgMar w:top="1456" w:right="1405" w:bottom="1599" w:left="1009" w:header="0" w:footer="1419" w:gutter="0"/>
          <w:cols w:space="720" w:num="1"/>
        </w:sectPr>
      </w:pPr>
    </w:p>
    <w:p w14:paraId="411CF38D">
      <w:pPr>
        <w:pStyle w:val="2"/>
        <w:spacing w:before="44" w:line="220" w:lineRule="auto"/>
        <w:ind w:left="8690"/>
        <w:rPr>
          <w:sz w:val="22"/>
          <w:szCs w:val="22"/>
        </w:rPr>
      </w:pPr>
      <w:r>
        <w:rPr>
          <w:spacing w:val="16"/>
          <w:sz w:val="22"/>
          <w:szCs w:val="22"/>
        </w:rPr>
        <w:t>(续)</w:t>
      </w:r>
    </w:p>
    <w:p w14:paraId="707E36C3">
      <w:pPr>
        <w:spacing w:line="133" w:lineRule="exact"/>
      </w:pPr>
    </w:p>
    <w:tbl>
      <w:tblPr>
        <w:tblStyle w:val="5"/>
        <w:tblW w:w="936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3"/>
        <w:gridCol w:w="8116"/>
      </w:tblGrid>
      <w:tr w14:paraId="71A41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253" w:type="dxa"/>
            <w:vAlign w:val="top"/>
          </w:tcPr>
          <w:p w14:paraId="05190821">
            <w:pPr>
              <w:spacing w:before="104" w:line="220" w:lineRule="auto"/>
              <w:ind w:left="104"/>
              <w:rPr>
                <w:rFonts w:ascii="宋体" w:hAnsi="宋体" w:eastAsia="宋体" w:cs="宋体"/>
                <w:sz w:val="21"/>
                <w:szCs w:val="21"/>
              </w:rPr>
            </w:pPr>
            <w:r>
              <w:rPr>
                <w:rFonts w:ascii="宋体" w:hAnsi="宋体" w:eastAsia="宋体" w:cs="宋体"/>
                <w:spacing w:val="31"/>
                <w:sz w:val="21"/>
                <w:szCs w:val="21"/>
              </w:rPr>
              <w:t>TRL9定义</w:t>
            </w:r>
          </w:p>
        </w:tc>
        <w:tc>
          <w:tcPr>
            <w:tcW w:w="8116" w:type="dxa"/>
            <w:vAlign w:val="top"/>
          </w:tcPr>
          <w:p w14:paraId="31E4D594">
            <w:pPr>
              <w:pStyle w:val="6"/>
            </w:pPr>
          </w:p>
        </w:tc>
      </w:tr>
      <w:tr w14:paraId="704AF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253" w:type="dxa"/>
            <w:vAlign w:val="top"/>
          </w:tcPr>
          <w:p w14:paraId="153BE627">
            <w:pPr>
              <w:spacing w:before="101" w:line="220" w:lineRule="auto"/>
              <w:ind w:left="194"/>
              <w:rPr>
                <w:rFonts w:ascii="宋体" w:hAnsi="宋体" w:eastAsia="宋体" w:cs="宋体"/>
                <w:sz w:val="21"/>
                <w:szCs w:val="21"/>
              </w:rPr>
            </w:pPr>
            <w:r>
              <w:rPr>
                <w:rFonts w:ascii="宋体" w:hAnsi="宋体" w:eastAsia="宋体" w:cs="宋体"/>
                <w:spacing w:val="4"/>
                <w:sz w:val="21"/>
                <w:szCs w:val="21"/>
              </w:rPr>
              <w:t>判定细则</w:t>
            </w:r>
          </w:p>
        </w:tc>
        <w:tc>
          <w:tcPr>
            <w:tcW w:w="8116" w:type="dxa"/>
            <w:vAlign w:val="top"/>
          </w:tcPr>
          <w:p w14:paraId="508C00C0">
            <w:pPr>
              <w:spacing w:before="100" w:line="219" w:lineRule="auto"/>
              <w:ind w:left="3741"/>
              <w:rPr>
                <w:rFonts w:ascii="宋体" w:hAnsi="宋体" w:eastAsia="宋体" w:cs="宋体"/>
                <w:sz w:val="21"/>
                <w:szCs w:val="21"/>
              </w:rPr>
            </w:pPr>
            <w:r>
              <w:rPr>
                <w:rFonts w:ascii="宋体" w:hAnsi="宋体" w:eastAsia="宋体" w:cs="宋体"/>
                <w:spacing w:val="-17"/>
                <w:sz w:val="21"/>
                <w:szCs w:val="21"/>
              </w:rPr>
              <w:t>内</w:t>
            </w:r>
            <w:r>
              <w:rPr>
                <w:rFonts w:ascii="宋体" w:hAnsi="宋体" w:eastAsia="宋体" w:cs="宋体"/>
                <w:spacing w:val="28"/>
                <w:sz w:val="21"/>
                <w:szCs w:val="21"/>
              </w:rPr>
              <w:t xml:space="preserve"> </w:t>
            </w:r>
            <w:r>
              <w:rPr>
                <w:rFonts w:ascii="宋体" w:hAnsi="宋体" w:eastAsia="宋体" w:cs="宋体"/>
                <w:spacing w:val="-17"/>
                <w:sz w:val="21"/>
                <w:szCs w:val="21"/>
              </w:rPr>
              <w:t>容</w:t>
            </w:r>
          </w:p>
        </w:tc>
      </w:tr>
      <w:tr w14:paraId="24642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253" w:type="dxa"/>
            <w:vAlign w:val="top"/>
          </w:tcPr>
          <w:p w14:paraId="1A51649B">
            <w:pPr>
              <w:spacing w:before="123" w:line="233" w:lineRule="auto"/>
              <w:ind w:left="564"/>
              <w:rPr>
                <w:rFonts w:ascii="宋体" w:hAnsi="宋体" w:eastAsia="宋体" w:cs="宋体"/>
                <w:sz w:val="21"/>
                <w:szCs w:val="21"/>
              </w:rPr>
            </w:pPr>
            <w:r>
              <w:rPr>
                <w:rFonts w:ascii="宋体" w:hAnsi="宋体" w:eastAsia="宋体" w:cs="宋体"/>
                <w:sz w:val="21"/>
                <w:szCs w:val="21"/>
              </w:rPr>
              <w:t>1</w:t>
            </w:r>
          </w:p>
        </w:tc>
        <w:tc>
          <w:tcPr>
            <w:tcW w:w="8116" w:type="dxa"/>
            <w:vAlign w:val="top"/>
          </w:tcPr>
          <w:p w14:paraId="2EB8C968">
            <w:pPr>
              <w:pStyle w:val="6"/>
            </w:pPr>
          </w:p>
        </w:tc>
      </w:tr>
      <w:tr w14:paraId="68BB1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53" w:type="dxa"/>
            <w:vAlign w:val="top"/>
          </w:tcPr>
          <w:p w14:paraId="7FF5D192">
            <w:pPr>
              <w:spacing w:before="124" w:line="232" w:lineRule="auto"/>
              <w:ind w:left="564"/>
              <w:rPr>
                <w:rFonts w:ascii="宋体" w:hAnsi="宋体" w:eastAsia="宋体" w:cs="宋体"/>
                <w:sz w:val="21"/>
                <w:szCs w:val="21"/>
              </w:rPr>
            </w:pPr>
            <w:r>
              <w:rPr>
                <w:rFonts w:ascii="宋体" w:hAnsi="宋体" w:eastAsia="宋体" w:cs="宋体"/>
                <w:sz w:val="21"/>
                <w:szCs w:val="21"/>
              </w:rPr>
              <w:t>2</w:t>
            </w:r>
          </w:p>
        </w:tc>
        <w:tc>
          <w:tcPr>
            <w:tcW w:w="8116" w:type="dxa"/>
            <w:vAlign w:val="top"/>
          </w:tcPr>
          <w:p w14:paraId="35A22444">
            <w:pPr>
              <w:pStyle w:val="6"/>
            </w:pPr>
          </w:p>
        </w:tc>
      </w:tr>
      <w:tr w14:paraId="2C0BF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53" w:type="dxa"/>
            <w:vAlign w:val="top"/>
          </w:tcPr>
          <w:p w14:paraId="314C2374">
            <w:pPr>
              <w:spacing w:before="126" w:line="230" w:lineRule="auto"/>
              <w:ind w:left="514"/>
              <w:rPr>
                <w:rFonts w:ascii="宋体" w:hAnsi="宋体" w:eastAsia="宋体" w:cs="宋体"/>
                <w:sz w:val="21"/>
                <w:szCs w:val="21"/>
              </w:rPr>
            </w:pPr>
            <w:r>
              <w:rPr>
                <w:rFonts w:ascii="宋体" w:hAnsi="宋体" w:eastAsia="宋体" w:cs="宋体"/>
                <w:sz w:val="21"/>
                <w:szCs w:val="21"/>
              </w:rPr>
              <w:t>…</w:t>
            </w:r>
          </w:p>
        </w:tc>
        <w:tc>
          <w:tcPr>
            <w:tcW w:w="8116" w:type="dxa"/>
            <w:vAlign w:val="top"/>
          </w:tcPr>
          <w:p w14:paraId="226AF078">
            <w:pPr>
              <w:pStyle w:val="6"/>
            </w:pPr>
          </w:p>
        </w:tc>
      </w:tr>
      <w:tr w14:paraId="56014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253" w:type="dxa"/>
            <w:vAlign w:val="top"/>
          </w:tcPr>
          <w:p w14:paraId="72855077">
            <w:pPr>
              <w:spacing w:before="162" w:line="182" w:lineRule="auto"/>
              <w:ind w:left="564"/>
              <w:rPr>
                <w:rFonts w:ascii="宋体" w:hAnsi="宋体" w:eastAsia="宋体" w:cs="宋体"/>
                <w:sz w:val="21"/>
                <w:szCs w:val="21"/>
              </w:rPr>
            </w:pPr>
            <w:r>
              <w:rPr>
                <w:rFonts w:ascii="宋体" w:hAnsi="宋体" w:eastAsia="宋体" w:cs="宋体"/>
                <w:sz w:val="21"/>
                <w:szCs w:val="21"/>
              </w:rPr>
              <w:t>N</w:t>
            </w:r>
          </w:p>
        </w:tc>
        <w:tc>
          <w:tcPr>
            <w:tcW w:w="8116" w:type="dxa"/>
            <w:vAlign w:val="top"/>
          </w:tcPr>
          <w:p w14:paraId="13796E44">
            <w:pPr>
              <w:pStyle w:val="6"/>
            </w:pPr>
          </w:p>
        </w:tc>
      </w:tr>
    </w:tbl>
    <w:p w14:paraId="0F91E90E">
      <w:pPr>
        <w:spacing w:before="189" w:line="221" w:lineRule="auto"/>
        <w:rPr>
          <w:rFonts w:ascii="黑体" w:hAnsi="黑体" w:eastAsia="黑体" w:cs="黑体"/>
          <w:sz w:val="27"/>
          <w:szCs w:val="27"/>
        </w:rPr>
      </w:pPr>
      <w:r>
        <w:rPr>
          <w:rFonts w:ascii="黑体" w:hAnsi="黑体" w:eastAsia="黑体" w:cs="黑体"/>
          <w:spacing w:val="1"/>
          <w:sz w:val="27"/>
          <w:szCs w:val="27"/>
        </w:rPr>
        <w:t xml:space="preserve">4.2  </w:t>
      </w:r>
      <w:r>
        <w:rPr>
          <w:rFonts w:ascii="黑体" w:hAnsi="黑体" w:eastAsia="黑体" w:cs="黑体"/>
          <w:b/>
          <w:bCs/>
          <w:spacing w:val="1"/>
          <w:sz w:val="27"/>
          <w:szCs w:val="27"/>
        </w:rPr>
        <w:t>关键技术元素成熟度评价</w:t>
      </w:r>
    </w:p>
    <w:p w14:paraId="69A5A284">
      <w:pPr>
        <w:pStyle w:val="2"/>
        <w:spacing w:before="88" w:line="248" w:lineRule="auto"/>
        <w:ind w:left="560" w:right="5949" w:hanging="560"/>
      </w:pPr>
      <w:r>
        <w:rPr>
          <w:rFonts w:ascii="Arial" w:hAnsi="Arial" w:eastAsia="Arial" w:cs="Arial"/>
          <w:spacing w:val="5"/>
        </w:rPr>
        <w:t xml:space="preserve">4.2. X    </w:t>
      </w:r>
      <w:r>
        <w:rPr>
          <w:rFonts w:ascii="黑体" w:hAnsi="黑体" w:eastAsia="黑体" w:cs="黑体"/>
          <w:b/>
          <w:bCs/>
          <w:spacing w:val="5"/>
        </w:rPr>
        <w:t>第</w:t>
      </w:r>
      <w:r>
        <w:rPr>
          <w:rFonts w:ascii="Arial" w:hAnsi="Arial" w:eastAsia="Arial" w:cs="Arial"/>
          <w:b/>
          <w:bCs/>
          <w:spacing w:val="5"/>
        </w:rPr>
        <w:t xml:space="preserve">X </w:t>
      </w:r>
      <w:r>
        <w:rPr>
          <w:rFonts w:ascii="黑体" w:hAnsi="黑体" w:eastAsia="黑体" w:cs="黑体"/>
          <w:b/>
          <w:bCs/>
          <w:spacing w:val="5"/>
        </w:rPr>
        <w:t>个关键技术元素</w:t>
      </w:r>
      <w:r>
        <w:rPr>
          <w:rFonts w:ascii="黑体" w:hAnsi="黑体" w:eastAsia="黑体" w:cs="黑体"/>
        </w:rPr>
        <w:t xml:space="preserve"> </w:t>
      </w:r>
      <w:r>
        <w:rPr>
          <w:spacing w:val="1"/>
        </w:rPr>
        <w:t>关键技术元素描述：</w:t>
      </w:r>
    </w:p>
    <w:p w14:paraId="62DBE2D2">
      <w:pPr>
        <w:pStyle w:val="2"/>
        <w:spacing w:before="80" w:line="278" w:lineRule="auto"/>
        <w:ind w:firstLine="560"/>
        <w:jc w:val="both"/>
      </w:pPr>
      <w:r>
        <w:rPr>
          <w:spacing w:val="-7"/>
        </w:rPr>
        <w:t>简要描述该技术(子系统、部件或技术)的相关信息，包括名称、完成的功</w:t>
      </w:r>
      <w:r>
        <w:rPr>
          <w:spacing w:val="-8"/>
        </w:rPr>
        <w:t>能、</w:t>
      </w:r>
      <w:r>
        <w:t xml:space="preserve"> </w:t>
      </w:r>
      <w:r>
        <w:rPr>
          <w:spacing w:val="1"/>
        </w:rPr>
        <w:t xml:space="preserve">与系统其他部件的关系、发展历程及现状(例如同样或相似技术的应用情况、样  </w:t>
      </w:r>
      <w:r>
        <w:rPr>
          <w:spacing w:val="-16"/>
        </w:rPr>
        <w:t>机数量、试验时间、试验条件、试验结果)。</w:t>
      </w:r>
    </w:p>
    <w:p w14:paraId="590614E6">
      <w:pPr>
        <w:pStyle w:val="2"/>
        <w:spacing w:line="220" w:lineRule="auto"/>
        <w:ind w:left="560"/>
      </w:pPr>
      <w:r>
        <w:rPr>
          <w:spacing w:val="-1"/>
        </w:rPr>
        <w:t>环境描述：</w:t>
      </w:r>
    </w:p>
    <w:p w14:paraId="7AE962CA">
      <w:pPr>
        <w:pStyle w:val="2"/>
        <w:spacing w:before="86" w:line="280" w:lineRule="auto"/>
        <w:ind w:right="123" w:firstLine="560"/>
      </w:pPr>
      <w:r>
        <w:rPr>
          <w:spacing w:val="5"/>
        </w:rPr>
        <w:t>描述该技术演示试验所用的环境。要求给出对于演示环境和实际使用环境</w:t>
      </w:r>
      <w:r>
        <w:rPr>
          <w:spacing w:val="10"/>
        </w:rPr>
        <w:t xml:space="preserve"> </w:t>
      </w:r>
      <w:r>
        <w:rPr>
          <w:spacing w:val="3"/>
        </w:rPr>
        <w:t>之间相似性的简要分析。</w:t>
      </w:r>
    </w:p>
    <w:p w14:paraId="49C64D23">
      <w:pPr>
        <w:pStyle w:val="2"/>
        <w:spacing w:before="1" w:line="217" w:lineRule="auto"/>
        <w:ind w:left="560"/>
      </w:pPr>
      <w:r>
        <w:rPr>
          <w:spacing w:val="-1"/>
        </w:rPr>
        <w:t>等级评价：</w:t>
      </w:r>
    </w:p>
    <w:p w14:paraId="04D397FF">
      <w:pPr>
        <w:pStyle w:val="2"/>
        <w:spacing w:before="103" w:line="278" w:lineRule="auto"/>
        <w:ind w:right="121" w:firstLine="560"/>
        <w:jc w:val="both"/>
      </w:pPr>
      <w:r>
        <w:rPr>
          <w:spacing w:val="-3"/>
        </w:rPr>
        <w:t>给出该技术的成熟度等级，陈述该等级的具体化定义，以及该技术发展状态</w:t>
      </w:r>
      <w:r>
        <w:rPr>
          <w:spacing w:val="1"/>
        </w:rPr>
        <w:t xml:space="preserve"> </w:t>
      </w:r>
      <w:r>
        <w:rPr>
          <w:spacing w:val="17"/>
        </w:rPr>
        <w:t>的详细说明，并提供达到该</w:t>
      </w:r>
      <w:r>
        <w:rPr>
          <w:spacing w:val="-48"/>
        </w:rPr>
        <w:t xml:space="preserve"> </w:t>
      </w:r>
      <w:r>
        <w:rPr>
          <w:rFonts w:ascii="Times New Roman" w:hAnsi="Times New Roman" w:eastAsia="Times New Roman" w:cs="Times New Roman"/>
        </w:rPr>
        <w:t>TRL</w:t>
      </w:r>
      <w:r>
        <w:rPr>
          <w:rFonts w:ascii="Times New Roman" w:hAnsi="Times New Roman" w:eastAsia="Times New Roman" w:cs="Times New Roman"/>
          <w:spacing w:val="17"/>
        </w:rPr>
        <w:t xml:space="preserve">  </w:t>
      </w:r>
      <w:r>
        <w:rPr>
          <w:spacing w:val="17"/>
        </w:rPr>
        <w:t>等级的证据</w:t>
      </w:r>
      <w:r>
        <w:rPr>
          <w:spacing w:val="16"/>
        </w:rPr>
        <w:t>，对应突破的关键技术点加以</w:t>
      </w:r>
      <w:r>
        <w:t xml:space="preserve"> </w:t>
      </w:r>
      <w:r>
        <w:rPr>
          <w:spacing w:val="-2"/>
        </w:rPr>
        <w:t>分析。</w:t>
      </w:r>
    </w:p>
    <w:p w14:paraId="26E0A6E0">
      <w:pPr>
        <w:pStyle w:val="2"/>
        <w:spacing w:before="2" w:line="271" w:lineRule="auto"/>
        <w:ind w:right="137" w:firstLine="560"/>
        <w:jc w:val="both"/>
      </w:pPr>
      <w:r>
        <w:rPr>
          <w:spacing w:val="2"/>
        </w:rPr>
        <w:t>针对该</w:t>
      </w:r>
      <w:r>
        <w:rPr>
          <w:rFonts w:ascii="Times New Roman" w:hAnsi="Times New Roman" w:eastAsia="Times New Roman" w:cs="Times New Roman"/>
        </w:rPr>
        <w:t>TRL</w:t>
      </w:r>
      <w:r>
        <w:rPr>
          <w:rFonts w:ascii="Times New Roman" w:hAnsi="Times New Roman" w:eastAsia="Times New Roman" w:cs="Times New Roman"/>
          <w:spacing w:val="2"/>
        </w:rPr>
        <w:t xml:space="preserve">  </w:t>
      </w:r>
      <w:r>
        <w:rPr>
          <w:spacing w:val="2"/>
        </w:rPr>
        <w:t>等级对应的判定细则，逐条给出</w:t>
      </w:r>
      <w:r>
        <w:rPr>
          <w:spacing w:val="1"/>
        </w:rPr>
        <w:t>具体判定结论及详细说明，并</w:t>
      </w:r>
      <w:r>
        <w:t xml:space="preserve"> </w:t>
      </w:r>
      <w:r>
        <w:rPr>
          <w:spacing w:val="-3"/>
        </w:rPr>
        <w:t>提供完整的支持信息，包括参考文献、报告、数据(表格)、图形和其他证明材料</w:t>
      </w:r>
      <w:r>
        <w:rPr>
          <w:spacing w:val="6"/>
        </w:rPr>
        <w:t xml:space="preserve"> </w:t>
      </w:r>
      <w:r>
        <w:rPr>
          <w:spacing w:val="-2"/>
        </w:rPr>
        <w:t>等，见表6.10。</w:t>
      </w:r>
    </w:p>
    <w:p w14:paraId="48E5410A">
      <w:pPr>
        <w:spacing w:before="67" w:line="222" w:lineRule="auto"/>
        <w:ind w:left="2919"/>
        <w:rPr>
          <w:rFonts w:ascii="仿宋" w:hAnsi="仿宋" w:eastAsia="仿宋" w:cs="仿宋"/>
          <w:sz w:val="24"/>
          <w:szCs w:val="24"/>
        </w:rPr>
      </w:pPr>
      <w:r>
        <w:rPr>
          <w:rFonts w:ascii="仿宋" w:hAnsi="仿宋" w:eastAsia="仿宋" w:cs="仿宋"/>
          <w:spacing w:val="23"/>
          <w:sz w:val="24"/>
          <w:szCs w:val="24"/>
        </w:rPr>
        <w:t>表6</w:t>
      </w:r>
      <w:r>
        <w:rPr>
          <w:rFonts w:ascii="仿宋" w:hAnsi="仿宋" w:eastAsia="仿宋" w:cs="仿宋"/>
          <w:spacing w:val="-56"/>
          <w:sz w:val="24"/>
          <w:szCs w:val="24"/>
        </w:rPr>
        <w:t xml:space="preserve"> </w:t>
      </w:r>
      <w:r>
        <w:rPr>
          <w:rFonts w:ascii="仿宋" w:hAnsi="仿宋" w:eastAsia="仿宋" w:cs="仿宋"/>
          <w:spacing w:val="23"/>
          <w:sz w:val="24"/>
          <w:szCs w:val="24"/>
        </w:rPr>
        <w:t>.</w:t>
      </w:r>
      <w:r>
        <w:rPr>
          <w:rFonts w:ascii="仿宋" w:hAnsi="仿宋" w:eastAsia="仿宋" w:cs="仿宋"/>
          <w:spacing w:val="-54"/>
          <w:sz w:val="24"/>
          <w:szCs w:val="24"/>
        </w:rPr>
        <w:t xml:space="preserve"> </w:t>
      </w:r>
      <w:r>
        <w:rPr>
          <w:rFonts w:ascii="仿宋" w:hAnsi="仿宋" w:eastAsia="仿宋" w:cs="仿宋"/>
          <w:spacing w:val="23"/>
          <w:sz w:val="24"/>
          <w:szCs w:val="24"/>
        </w:rPr>
        <w:t>10  关键技术元素评价表</w:t>
      </w:r>
    </w:p>
    <w:p w14:paraId="42644EE0">
      <w:pPr>
        <w:spacing w:line="98" w:lineRule="exact"/>
      </w:pPr>
    </w:p>
    <w:tbl>
      <w:tblPr>
        <w:tblStyle w:val="5"/>
        <w:tblW w:w="936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3"/>
        <w:gridCol w:w="2088"/>
        <w:gridCol w:w="2098"/>
        <w:gridCol w:w="1668"/>
        <w:gridCol w:w="2053"/>
      </w:tblGrid>
      <w:tr w14:paraId="07B8E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453" w:type="dxa"/>
            <w:vAlign w:val="top"/>
          </w:tcPr>
          <w:p w14:paraId="1D87F0C7">
            <w:pPr>
              <w:spacing w:before="97" w:line="221" w:lineRule="auto"/>
              <w:ind w:left="335"/>
              <w:rPr>
                <w:rFonts w:ascii="宋体" w:hAnsi="宋体" w:eastAsia="宋体" w:cs="宋体"/>
                <w:sz w:val="22"/>
                <w:szCs w:val="22"/>
              </w:rPr>
            </w:pPr>
            <w:r>
              <w:rPr>
                <w:rFonts w:ascii="宋体" w:hAnsi="宋体" w:eastAsia="宋体" w:cs="宋体"/>
                <w:spacing w:val="-1"/>
                <w:sz w:val="22"/>
                <w:szCs w:val="22"/>
              </w:rPr>
              <w:t>CTE名称</w:t>
            </w:r>
          </w:p>
        </w:tc>
        <w:tc>
          <w:tcPr>
            <w:tcW w:w="4186" w:type="dxa"/>
            <w:gridSpan w:val="2"/>
            <w:vAlign w:val="top"/>
          </w:tcPr>
          <w:p w14:paraId="408E4DA8">
            <w:pPr>
              <w:pStyle w:val="6"/>
            </w:pPr>
          </w:p>
        </w:tc>
        <w:tc>
          <w:tcPr>
            <w:tcW w:w="1668" w:type="dxa"/>
            <w:vAlign w:val="top"/>
          </w:tcPr>
          <w:p w14:paraId="45A722B8">
            <w:pPr>
              <w:spacing w:before="94" w:line="219" w:lineRule="auto"/>
              <w:ind w:left="376"/>
              <w:rPr>
                <w:rFonts w:ascii="宋体" w:hAnsi="宋体" w:eastAsia="宋体" w:cs="宋体"/>
                <w:sz w:val="22"/>
                <w:szCs w:val="22"/>
              </w:rPr>
            </w:pPr>
            <w:r>
              <w:rPr>
                <w:rFonts w:ascii="宋体" w:hAnsi="宋体" w:eastAsia="宋体" w:cs="宋体"/>
                <w:spacing w:val="-1"/>
                <w:sz w:val="22"/>
                <w:szCs w:val="22"/>
              </w:rPr>
              <w:t>TRL等级</w:t>
            </w:r>
          </w:p>
        </w:tc>
        <w:tc>
          <w:tcPr>
            <w:tcW w:w="2053" w:type="dxa"/>
            <w:vAlign w:val="top"/>
          </w:tcPr>
          <w:p w14:paraId="562D9A7C">
            <w:pPr>
              <w:pStyle w:val="6"/>
            </w:pPr>
          </w:p>
        </w:tc>
      </w:tr>
      <w:tr w14:paraId="51362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453" w:type="dxa"/>
            <w:vAlign w:val="top"/>
          </w:tcPr>
          <w:p w14:paraId="417C39B2">
            <w:pPr>
              <w:spacing w:before="91" w:line="219" w:lineRule="auto"/>
              <w:ind w:left="275"/>
              <w:rPr>
                <w:rFonts w:ascii="宋体" w:hAnsi="宋体" w:eastAsia="宋体" w:cs="宋体"/>
                <w:sz w:val="22"/>
                <w:szCs w:val="22"/>
              </w:rPr>
            </w:pPr>
            <w:r>
              <w:rPr>
                <w:rFonts w:ascii="宋体" w:hAnsi="宋体" w:eastAsia="宋体" w:cs="宋体"/>
                <w:spacing w:val="2"/>
                <w:sz w:val="22"/>
                <w:szCs w:val="22"/>
              </w:rPr>
              <w:t>是否满足</w:t>
            </w:r>
          </w:p>
        </w:tc>
        <w:tc>
          <w:tcPr>
            <w:tcW w:w="2088" w:type="dxa"/>
            <w:vAlign w:val="top"/>
          </w:tcPr>
          <w:p w14:paraId="0D599C99">
            <w:pPr>
              <w:spacing w:before="91" w:line="220" w:lineRule="auto"/>
              <w:ind w:left="431"/>
              <w:rPr>
                <w:rFonts w:ascii="宋体" w:hAnsi="宋体" w:eastAsia="宋体" w:cs="宋体"/>
                <w:sz w:val="22"/>
                <w:szCs w:val="22"/>
              </w:rPr>
            </w:pPr>
            <w:r>
              <w:rPr>
                <w:rFonts w:ascii="宋体" w:hAnsi="宋体" w:eastAsia="宋体" w:cs="宋体"/>
                <w:sz w:val="22"/>
                <w:szCs w:val="22"/>
              </w:rPr>
              <w:t>TRL</w:t>
            </w:r>
            <w:r>
              <w:rPr>
                <w:rFonts w:ascii="宋体" w:hAnsi="宋体" w:eastAsia="宋体" w:cs="宋体"/>
                <w:spacing w:val="4"/>
                <w:sz w:val="22"/>
                <w:szCs w:val="22"/>
              </w:rPr>
              <w:t>判定细则</w:t>
            </w:r>
          </w:p>
        </w:tc>
        <w:tc>
          <w:tcPr>
            <w:tcW w:w="5819" w:type="dxa"/>
            <w:gridSpan w:val="3"/>
            <w:vAlign w:val="top"/>
          </w:tcPr>
          <w:p w14:paraId="56F0F8DE">
            <w:pPr>
              <w:spacing w:before="91" w:line="219" w:lineRule="auto"/>
              <w:ind w:left="2494"/>
              <w:rPr>
                <w:rFonts w:ascii="宋体" w:hAnsi="宋体" w:eastAsia="宋体" w:cs="宋体"/>
                <w:sz w:val="22"/>
                <w:szCs w:val="22"/>
              </w:rPr>
            </w:pPr>
            <w:r>
              <w:rPr>
                <w:rFonts w:ascii="宋体" w:hAnsi="宋体" w:eastAsia="宋体" w:cs="宋体"/>
                <w:spacing w:val="5"/>
                <w:sz w:val="22"/>
                <w:szCs w:val="22"/>
              </w:rPr>
              <w:t>详细说明</w:t>
            </w:r>
          </w:p>
        </w:tc>
      </w:tr>
      <w:tr w14:paraId="0CC5E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453" w:type="dxa"/>
            <w:vAlign w:val="top"/>
          </w:tcPr>
          <w:p w14:paraId="5CC719F0">
            <w:pPr>
              <w:pStyle w:val="6"/>
            </w:pPr>
          </w:p>
        </w:tc>
        <w:tc>
          <w:tcPr>
            <w:tcW w:w="2088" w:type="dxa"/>
            <w:vAlign w:val="top"/>
          </w:tcPr>
          <w:p w14:paraId="7838C624">
            <w:pPr>
              <w:spacing w:before="102" w:line="220" w:lineRule="auto"/>
              <w:ind w:left="542"/>
              <w:rPr>
                <w:rFonts w:ascii="宋体" w:hAnsi="宋体" w:eastAsia="宋体" w:cs="宋体"/>
                <w:sz w:val="22"/>
                <w:szCs w:val="22"/>
              </w:rPr>
            </w:pPr>
            <w:r>
              <w:rPr>
                <w:rFonts w:ascii="宋体" w:hAnsi="宋体" w:eastAsia="宋体" w:cs="宋体"/>
                <w:spacing w:val="4"/>
                <w:sz w:val="22"/>
                <w:szCs w:val="22"/>
              </w:rPr>
              <w:t>判定细则1</w:t>
            </w:r>
          </w:p>
        </w:tc>
        <w:tc>
          <w:tcPr>
            <w:tcW w:w="5819" w:type="dxa"/>
            <w:gridSpan w:val="3"/>
            <w:vAlign w:val="top"/>
          </w:tcPr>
          <w:p w14:paraId="68FCC22C">
            <w:pPr>
              <w:pStyle w:val="6"/>
            </w:pPr>
          </w:p>
        </w:tc>
      </w:tr>
      <w:tr w14:paraId="6F8CC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453" w:type="dxa"/>
            <w:vAlign w:val="top"/>
          </w:tcPr>
          <w:p w14:paraId="56E902E8">
            <w:pPr>
              <w:pStyle w:val="6"/>
            </w:pPr>
          </w:p>
        </w:tc>
        <w:tc>
          <w:tcPr>
            <w:tcW w:w="2088" w:type="dxa"/>
            <w:vAlign w:val="top"/>
          </w:tcPr>
          <w:p w14:paraId="275938F2">
            <w:pPr>
              <w:spacing w:before="104" w:line="220" w:lineRule="auto"/>
              <w:ind w:left="542"/>
              <w:rPr>
                <w:rFonts w:ascii="宋体" w:hAnsi="宋体" w:eastAsia="宋体" w:cs="宋体"/>
                <w:sz w:val="22"/>
                <w:szCs w:val="22"/>
              </w:rPr>
            </w:pPr>
            <w:r>
              <w:rPr>
                <w:rFonts w:ascii="宋体" w:hAnsi="宋体" w:eastAsia="宋体" w:cs="宋体"/>
                <w:spacing w:val="2"/>
                <w:sz w:val="22"/>
                <w:szCs w:val="22"/>
              </w:rPr>
              <w:t>判定细则2</w:t>
            </w:r>
          </w:p>
        </w:tc>
        <w:tc>
          <w:tcPr>
            <w:tcW w:w="5819" w:type="dxa"/>
            <w:gridSpan w:val="3"/>
            <w:vAlign w:val="top"/>
          </w:tcPr>
          <w:p w14:paraId="0F6E437E">
            <w:pPr>
              <w:pStyle w:val="6"/>
            </w:pPr>
          </w:p>
        </w:tc>
      </w:tr>
      <w:tr w14:paraId="5678D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53" w:type="dxa"/>
            <w:vAlign w:val="top"/>
          </w:tcPr>
          <w:p w14:paraId="2719CFBF">
            <w:pPr>
              <w:pStyle w:val="6"/>
            </w:pPr>
          </w:p>
        </w:tc>
        <w:tc>
          <w:tcPr>
            <w:tcW w:w="2088" w:type="dxa"/>
            <w:vAlign w:val="top"/>
          </w:tcPr>
          <w:p w14:paraId="19CF26A5">
            <w:pPr>
              <w:spacing w:before="118" w:line="218" w:lineRule="auto"/>
              <w:ind w:left="922"/>
              <w:rPr>
                <w:rFonts w:ascii="宋体" w:hAnsi="宋体" w:eastAsia="宋体" w:cs="宋体"/>
                <w:sz w:val="22"/>
                <w:szCs w:val="22"/>
              </w:rPr>
            </w:pPr>
            <w:r>
              <w:rPr>
                <w:rFonts w:ascii="宋体" w:hAnsi="宋体" w:eastAsia="宋体" w:cs="宋体"/>
                <w:sz w:val="22"/>
                <w:szCs w:val="22"/>
              </w:rPr>
              <w:t>…</w:t>
            </w:r>
          </w:p>
        </w:tc>
        <w:tc>
          <w:tcPr>
            <w:tcW w:w="5819" w:type="dxa"/>
            <w:gridSpan w:val="3"/>
            <w:vAlign w:val="top"/>
          </w:tcPr>
          <w:p w14:paraId="7F4F9166">
            <w:pPr>
              <w:pStyle w:val="6"/>
            </w:pPr>
          </w:p>
        </w:tc>
      </w:tr>
      <w:tr w14:paraId="192B4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453" w:type="dxa"/>
            <w:vAlign w:val="top"/>
          </w:tcPr>
          <w:p w14:paraId="0DB79ED6">
            <w:pPr>
              <w:pStyle w:val="6"/>
            </w:pPr>
          </w:p>
        </w:tc>
        <w:tc>
          <w:tcPr>
            <w:tcW w:w="2088" w:type="dxa"/>
            <w:vAlign w:val="top"/>
          </w:tcPr>
          <w:p w14:paraId="0CC4F31A">
            <w:pPr>
              <w:spacing w:before="108" w:line="220" w:lineRule="auto"/>
              <w:ind w:left="542"/>
              <w:rPr>
                <w:rFonts w:ascii="宋体" w:hAnsi="宋体" w:eastAsia="宋体" w:cs="宋体"/>
                <w:sz w:val="22"/>
                <w:szCs w:val="22"/>
              </w:rPr>
            </w:pPr>
            <w:r>
              <w:rPr>
                <w:rFonts w:ascii="宋体" w:hAnsi="宋体" w:eastAsia="宋体" w:cs="宋体"/>
                <w:spacing w:val="-2"/>
                <w:sz w:val="22"/>
                <w:szCs w:val="22"/>
              </w:rPr>
              <w:t>判定细则N</w:t>
            </w:r>
          </w:p>
        </w:tc>
        <w:tc>
          <w:tcPr>
            <w:tcW w:w="5819" w:type="dxa"/>
            <w:gridSpan w:val="3"/>
            <w:vAlign w:val="top"/>
          </w:tcPr>
          <w:p w14:paraId="48EFF5CC">
            <w:pPr>
              <w:pStyle w:val="6"/>
            </w:pPr>
          </w:p>
        </w:tc>
      </w:tr>
    </w:tbl>
    <w:p w14:paraId="6A9DA7D9">
      <w:pPr>
        <w:spacing w:before="170" w:line="222" w:lineRule="auto"/>
        <w:rPr>
          <w:rFonts w:ascii="黑体" w:hAnsi="黑体" w:eastAsia="黑体" w:cs="黑体"/>
          <w:sz w:val="27"/>
          <w:szCs w:val="27"/>
        </w:rPr>
      </w:pPr>
      <w:r>
        <w:rPr>
          <w:rFonts w:ascii="黑体" w:hAnsi="黑体" w:eastAsia="黑体" w:cs="黑体"/>
          <w:spacing w:val="-2"/>
          <w:sz w:val="27"/>
          <w:szCs w:val="27"/>
        </w:rPr>
        <w:t>4.3</w:t>
      </w:r>
      <w:r>
        <w:rPr>
          <w:rFonts w:ascii="黑体" w:hAnsi="黑体" w:eastAsia="黑体" w:cs="黑体"/>
          <w:spacing w:val="45"/>
          <w:sz w:val="27"/>
          <w:szCs w:val="27"/>
        </w:rPr>
        <w:t xml:space="preserve">  </w:t>
      </w:r>
      <w:r>
        <w:rPr>
          <w:rFonts w:ascii="黑体" w:hAnsi="黑体" w:eastAsia="黑体" w:cs="黑体"/>
          <w:b/>
          <w:bCs/>
          <w:spacing w:val="-2"/>
          <w:sz w:val="27"/>
          <w:szCs w:val="27"/>
        </w:rPr>
        <w:t>评价结果小结</w:t>
      </w:r>
    </w:p>
    <w:p w14:paraId="6321FB25">
      <w:pPr>
        <w:pStyle w:val="2"/>
        <w:spacing w:before="110" w:line="290" w:lineRule="auto"/>
        <w:ind w:right="113" w:firstLine="560"/>
      </w:pPr>
      <w:r>
        <w:rPr>
          <w:spacing w:val="6"/>
        </w:rPr>
        <w:t>提供关键技术元素和相应技术成熟度等级的列</w:t>
      </w:r>
      <w:r>
        <w:rPr>
          <w:spacing w:val="5"/>
        </w:rPr>
        <w:t>表，对各项关键技术元素的</w:t>
      </w:r>
      <w:r>
        <w:t xml:space="preserve"> </w:t>
      </w:r>
      <w:r>
        <w:rPr>
          <w:rFonts w:ascii="Times New Roman" w:hAnsi="Times New Roman" w:eastAsia="Times New Roman" w:cs="Times New Roman"/>
        </w:rPr>
        <w:t>TRL</w:t>
      </w:r>
      <w:r>
        <w:rPr>
          <w:rFonts w:ascii="Times New Roman" w:hAnsi="Times New Roman" w:eastAsia="Times New Roman" w:cs="Times New Roman"/>
          <w:spacing w:val="52"/>
        </w:rPr>
        <w:t xml:space="preserve"> </w:t>
      </w:r>
      <w:r>
        <w:rPr>
          <w:spacing w:val="7"/>
        </w:rPr>
        <w:t>进行汇总说明，包括</w:t>
      </w:r>
      <w:r>
        <w:rPr>
          <w:spacing w:val="-66"/>
        </w:rPr>
        <w:t xml:space="preserve"> </w:t>
      </w:r>
      <w:r>
        <w:rPr>
          <w:rFonts w:ascii="Times New Roman" w:hAnsi="Times New Roman" w:eastAsia="Times New Roman" w:cs="Times New Roman"/>
        </w:rPr>
        <w:t>CTE</w:t>
      </w:r>
      <w:r>
        <w:rPr>
          <w:rFonts w:ascii="Times New Roman" w:hAnsi="Times New Roman" w:eastAsia="Times New Roman" w:cs="Times New Roman"/>
          <w:spacing w:val="7"/>
        </w:rPr>
        <w:t xml:space="preserve">  </w:t>
      </w:r>
      <w:r>
        <w:rPr>
          <w:spacing w:val="7"/>
        </w:rPr>
        <w:t>名称、对应的</w:t>
      </w:r>
      <w:r>
        <w:rPr>
          <w:spacing w:val="-76"/>
        </w:rPr>
        <w:t xml:space="preserve"> </w:t>
      </w:r>
      <w:r>
        <w:rPr>
          <w:rFonts w:ascii="Times New Roman" w:hAnsi="Times New Roman" w:eastAsia="Times New Roman" w:cs="Times New Roman"/>
        </w:rPr>
        <w:t>TRL</w:t>
      </w:r>
      <w:r>
        <w:rPr>
          <w:rFonts w:ascii="Times New Roman" w:hAnsi="Times New Roman" w:eastAsia="Times New Roman" w:cs="Times New Roman"/>
          <w:spacing w:val="7"/>
        </w:rPr>
        <w:t xml:space="preserve">   </w:t>
      </w:r>
      <w:r>
        <w:rPr>
          <w:spacing w:val="7"/>
        </w:rPr>
        <w:t>以及必要的支持信息，见</w:t>
      </w:r>
    </w:p>
    <w:p w14:paraId="42C067F8">
      <w:pPr>
        <w:spacing w:line="290" w:lineRule="auto"/>
        <w:sectPr>
          <w:footerReference r:id="rId349" w:type="default"/>
          <w:pgSz w:w="11910" w:h="17130"/>
          <w:pgMar w:top="1405" w:right="964" w:bottom="1646" w:left="1450" w:header="0" w:footer="1457" w:gutter="0"/>
          <w:cols w:space="720" w:num="1"/>
        </w:sectPr>
      </w:pPr>
    </w:p>
    <w:p w14:paraId="2C85D604">
      <w:pPr>
        <w:pStyle w:val="2"/>
        <w:spacing w:before="53" w:line="221" w:lineRule="auto"/>
      </w:pPr>
      <w:r>
        <w:rPr>
          <w:spacing w:val="-6"/>
        </w:rPr>
        <w:t>表6</w:t>
      </w:r>
      <w:r>
        <w:rPr>
          <w:spacing w:val="-63"/>
        </w:rPr>
        <w:t xml:space="preserve"> </w:t>
      </w:r>
      <w:r>
        <w:rPr>
          <w:spacing w:val="-6"/>
        </w:rPr>
        <w:t>.11。</w:t>
      </w:r>
    </w:p>
    <w:p w14:paraId="67EB92F4">
      <w:pPr>
        <w:spacing w:before="93" w:line="222" w:lineRule="auto"/>
        <w:ind w:left="3189"/>
        <w:rPr>
          <w:rFonts w:ascii="仿宋" w:hAnsi="仿宋" w:eastAsia="仿宋" w:cs="仿宋"/>
          <w:sz w:val="27"/>
          <w:szCs w:val="27"/>
        </w:rPr>
      </w:pPr>
      <w:r>
        <w:rPr>
          <w:rFonts w:ascii="仿宋" w:hAnsi="仿宋" w:eastAsia="仿宋" w:cs="仿宋"/>
          <w:spacing w:val="4"/>
          <w:sz w:val="27"/>
          <w:szCs w:val="27"/>
        </w:rPr>
        <w:t>表6.</w:t>
      </w:r>
      <w:r>
        <w:rPr>
          <w:rFonts w:ascii="仿宋" w:hAnsi="仿宋" w:eastAsia="仿宋" w:cs="仿宋"/>
          <w:spacing w:val="-74"/>
          <w:sz w:val="27"/>
          <w:szCs w:val="27"/>
        </w:rPr>
        <w:t xml:space="preserve"> </w:t>
      </w:r>
      <w:r>
        <w:rPr>
          <w:rFonts w:ascii="仿宋" w:hAnsi="仿宋" w:eastAsia="仿宋" w:cs="仿宋"/>
          <w:spacing w:val="4"/>
          <w:sz w:val="27"/>
          <w:szCs w:val="27"/>
        </w:rPr>
        <w:t>11</w:t>
      </w:r>
      <w:r>
        <w:rPr>
          <w:rFonts w:ascii="仿宋" w:hAnsi="仿宋" w:eastAsia="仿宋" w:cs="仿宋"/>
          <w:spacing w:val="1"/>
          <w:sz w:val="27"/>
          <w:szCs w:val="27"/>
        </w:rPr>
        <w:t xml:space="preserve">  </w:t>
      </w:r>
      <w:r>
        <w:rPr>
          <w:rFonts w:ascii="仿宋" w:hAnsi="仿宋" w:eastAsia="仿宋" w:cs="仿宋"/>
          <w:spacing w:val="4"/>
          <w:sz w:val="27"/>
          <w:szCs w:val="27"/>
        </w:rPr>
        <w:t>项目评价结果表</w:t>
      </w:r>
    </w:p>
    <w:p w14:paraId="383D97D2">
      <w:pPr>
        <w:spacing w:line="100" w:lineRule="exact"/>
      </w:pPr>
    </w:p>
    <w:tbl>
      <w:tblPr>
        <w:tblStyle w:val="5"/>
        <w:tblW w:w="936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2098"/>
        <w:gridCol w:w="1658"/>
        <w:gridCol w:w="2097"/>
        <w:gridCol w:w="1843"/>
      </w:tblGrid>
      <w:tr w14:paraId="2A399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673" w:type="dxa"/>
            <w:vAlign w:val="top"/>
          </w:tcPr>
          <w:p w14:paraId="0C739F38">
            <w:pPr>
              <w:spacing w:before="94" w:line="219" w:lineRule="auto"/>
              <w:ind w:left="604"/>
              <w:rPr>
                <w:rFonts w:ascii="宋体" w:hAnsi="宋体" w:eastAsia="宋体" w:cs="宋体"/>
                <w:sz w:val="22"/>
                <w:szCs w:val="22"/>
              </w:rPr>
            </w:pPr>
            <w:r>
              <w:rPr>
                <w:rFonts w:ascii="宋体" w:hAnsi="宋体" w:eastAsia="宋体" w:cs="宋体"/>
                <w:spacing w:val="6"/>
                <w:sz w:val="22"/>
                <w:szCs w:val="22"/>
              </w:rPr>
              <w:t>编号</w:t>
            </w:r>
          </w:p>
        </w:tc>
        <w:tc>
          <w:tcPr>
            <w:tcW w:w="2098" w:type="dxa"/>
            <w:vAlign w:val="top"/>
          </w:tcPr>
          <w:p w14:paraId="7174E44C">
            <w:pPr>
              <w:spacing w:before="97" w:line="221" w:lineRule="auto"/>
              <w:ind w:left="571"/>
              <w:rPr>
                <w:rFonts w:ascii="宋体" w:hAnsi="宋体" w:eastAsia="宋体" w:cs="宋体"/>
                <w:sz w:val="22"/>
                <w:szCs w:val="22"/>
              </w:rPr>
            </w:pPr>
            <w:r>
              <w:rPr>
                <w:rFonts w:ascii="宋体" w:hAnsi="宋体" w:eastAsia="宋体" w:cs="宋体"/>
                <w:spacing w:val="-1"/>
                <w:sz w:val="22"/>
                <w:szCs w:val="22"/>
              </w:rPr>
              <w:t>CTE名称</w:t>
            </w:r>
          </w:p>
        </w:tc>
        <w:tc>
          <w:tcPr>
            <w:tcW w:w="1658" w:type="dxa"/>
            <w:vAlign w:val="top"/>
          </w:tcPr>
          <w:p w14:paraId="38302ECC">
            <w:pPr>
              <w:spacing w:before="152" w:line="182" w:lineRule="auto"/>
              <w:ind w:left="603"/>
              <w:rPr>
                <w:rFonts w:ascii="宋体" w:hAnsi="宋体" w:eastAsia="宋体" w:cs="宋体"/>
                <w:sz w:val="22"/>
                <w:szCs w:val="22"/>
              </w:rPr>
            </w:pPr>
            <w:r>
              <w:rPr>
                <w:rFonts w:ascii="宋体" w:hAnsi="宋体" w:eastAsia="宋体" w:cs="宋体"/>
                <w:spacing w:val="-2"/>
                <w:sz w:val="22"/>
                <w:szCs w:val="22"/>
              </w:rPr>
              <w:t>TRL</w:t>
            </w:r>
          </w:p>
        </w:tc>
        <w:tc>
          <w:tcPr>
            <w:tcW w:w="2097" w:type="dxa"/>
            <w:vAlign w:val="top"/>
          </w:tcPr>
          <w:p w14:paraId="2DAAF58D">
            <w:pPr>
              <w:spacing w:before="94" w:line="219" w:lineRule="auto"/>
              <w:ind w:left="635"/>
              <w:rPr>
                <w:rFonts w:ascii="宋体" w:hAnsi="宋体" w:eastAsia="宋体" w:cs="宋体"/>
                <w:sz w:val="22"/>
                <w:szCs w:val="22"/>
              </w:rPr>
            </w:pPr>
            <w:r>
              <w:rPr>
                <w:rFonts w:ascii="宋体" w:hAnsi="宋体" w:eastAsia="宋体" w:cs="宋体"/>
                <w:spacing w:val="5"/>
                <w:sz w:val="22"/>
                <w:szCs w:val="22"/>
              </w:rPr>
              <w:t>详细说明</w:t>
            </w:r>
          </w:p>
        </w:tc>
        <w:tc>
          <w:tcPr>
            <w:tcW w:w="1843" w:type="dxa"/>
            <w:vAlign w:val="top"/>
          </w:tcPr>
          <w:p w14:paraId="2E271660">
            <w:pPr>
              <w:spacing w:before="95" w:line="221" w:lineRule="auto"/>
              <w:ind w:left="708"/>
              <w:rPr>
                <w:rFonts w:ascii="宋体" w:hAnsi="宋体" w:eastAsia="宋体" w:cs="宋体"/>
                <w:sz w:val="22"/>
                <w:szCs w:val="22"/>
              </w:rPr>
            </w:pPr>
            <w:r>
              <w:rPr>
                <w:rFonts w:ascii="宋体" w:hAnsi="宋体" w:eastAsia="宋体" w:cs="宋体"/>
                <w:spacing w:val="5"/>
                <w:sz w:val="22"/>
                <w:szCs w:val="22"/>
              </w:rPr>
              <w:t>备注</w:t>
            </w:r>
          </w:p>
        </w:tc>
      </w:tr>
      <w:tr w14:paraId="3E1BF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07" w:hRule="atLeast"/>
        </w:trPr>
        <w:tc>
          <w:tcPr>
            <w:tcW w:w="1673" w:type="dxa"/>
            <w:vAlign w:val="top"/>
          </w:tcPr>
          <w:p w14:paraId="7AAE9932">
            <w:pPr>
              <w:pStyle w:val="6"/>
            </w:pPr>
          </w:p>
        </w:tc>
        <w:tc>
          <w:tcPr>
            <w:tcW w:w="2098" w:type="dxa"/>
            <w:vAlign w:val="top"/>
          </w:tcPr>
          <w:p w14:paraId="028E58E7">
            <w:pPr>
              <w:pStyle w:val="6"/>
            </w:pPr>
          </w:p>
        </w:tc>
        <w:tc>
          <w:tcPr>
            <w:tcW w:w="1658" w:type="dxa"/>
            <w:vAlign w:val="top"/>
          </w:tcPr>
          <w:p w14:paraId="11E83AFD">
            <w:pPr>
              <w:pStyle w:val="6"/>
            </w:pPr>
          </w:p>
        </w:tc>
        <w:tc>
          <w:tcPr>
            <w:tcW w:w="2097" w:type="dxa"/>
            <w:vAlign w:val="top"/>
          </w:tcPr>
          <w:p w14:paraId="396AF52A">
            <w:pPr>
              <w:pStyle w:val="6"/>
            </w:pPr>
          </w:p>
        </w:tc>
        <w:tc>
          <w:tcPr>
            <w:tcW w:w="1843" w:type="dxa"/>
            <w:vAlign w:val="top"/>
          </w:tcPr>
          <w:p w14:paraId="041185A0">
            <w:pPr>
              <w:pStyle w:val="6"/>
            </w:pPr>
          </w:p>
        </w:tc>
      </w:tr>
      <w:tr w14:paraId="538D6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673" w:type="dxa"/>
            <w:vAlign w:val="top"/>
          </w:tcPr>
          <w:p w14:paraId="5F9CB2AF">
            <w:pPr>
              <w:pStyle w:val="6"/>
            </w:pPr>
          </w:p>
        </w:tc>
        <w:tc>
          <w:tcPr>
            <w:tcW w:w="2098" w:type="dxa"/>
            <w:vAlign w:val="top"/>
          </w:tcPr>
          <w:p w14:paraId="4B145212">
            <w:pPr>
              <w:pStyle w:val="6"/>
            </w:pPr>
          </w:p>
        </w:tc>
        <w:tc>
          <w:tcPr>
            <w:tcW w:w="1658" w:type="dxa"/>
            <w:vAlign w:val="top"/>
          </w:tcPr>
          <w:p w14:paraId="787621B7">
            <w:pPr>
              <w:pStyle w:val="6"/>
            </w:pPr>
          </w:p>
        </w:tc>
        <w:tc>
          <w:tcPr>
            <w:tcW w:w="2097" w:type="dxa"/>
            <w:vAlign w:val="top"/>
          </w:tcPr>
          <w:p w14:paraId="213CAFB5">
            <w:pPr>
              <w:pStyle w:val="6"/>
            </w:pPr>
          </w:p>
        </w:tc>
        <w:tc>
          <w:tcPr>
            <w:tcW w:w="1843" w:type="dxa"/>
            <w:vAlign w:val="top"/>
          </w:tcPr>
          <w:p w14:paraId="5C7C8133">
            <w:pPr>
              <w:pStyle w:val="6"/>
            </w:pPr>
          </w:p>
        </w:tc>
      </w:tr>
    </w:tbl>
    <w:p w14:paraId="6A814E99">
      <w:pPr>
        <w:spacing w:before="180" w:line="222"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16"/>
          <w:sz w:val="27"/>
          <w:szCs w:val="27"/>
        </w:rPr>
        <w:t xml:space="preserve">  </w:t>
      </w:r>
      <w:r>
        <w:rPr>
          <w:rFonts w:ascii="黑体" w:hAnsi="黑体" w:eastAsia="黑体" w:cs="黑体"/>
          <w:b/>
          <w:bCs/>
          <w:spacing w:val="-1"/>
          <w:sz w:val="27"/>
          <w:szCs w:val="27"/>
        </w:rPr>
        <w:t>结论与建议</w:t>
      </w:r>
    </w:p>
    <w:p w14:paraId="77FAEB11">
      <w:pPr>
        <w:spacing w:before="121" w:line="226" w:lineRule="auto"/>
        <w:rPr>
          <w:rFonts w:ascii="黑体" w:hAnsi="黑体" w:eastAsia="黑体" w:cs="黑体"/>
          <w:sz w:val="25"/>
          <w:szCs w:val="25"/>
        </w:rPr>
      </w:pPr>
      <w:r>
        <w:rPr>
          <w:rFonts w:ascii="黑体" w:hAnsi="黑体" w:eastAsia="黑体" w:cs="黑体"/>
          <w:spacing w:val="4"/>
          <w:sz w:val="25"/>
          <w:szCs w:val="25"/>
        </w:rPr>
        <w:t>5.1</w:t>
      </w:r>
      <w:r>
        <w:rPr>
          <w:rFonts w:ascii="黑体" w:hAnsi="黑体" w:eastAsia="黑体" w:cs="黑体"/>
          <w:spacing w:val="36"/>
          <w:sz w:val="25"/>
          <w:szCs w:val="25"/>
        </w:rPr>
        <w:t xml:space="preserve">  </w:t>
      </w:r>
      <w:r>
        <w:rPr>
          <w:rFonts w:ascii="黑体" w:hAnsi="黑体" w:eastAsia="黑体" w:cs="黑体"/>
          <w:b/>
          <w:bCs/>
          <w:spacing w:val="4"/>
          <w:sz w:val="25"/>
          <w:szCs w:val="25"/>
        </w:rPr>
        <w:t>结论</w:t>
      </w:r>
    </w:p>
    <w:p w14:paraId="0EA213A0">
      <w:pPr>
        <w:pStyle w:val="2"/>
        <w:spacing w:before="91" w:line="218" w:lineRule="auto"/>
        <w:ind w:left="560"/>
        <w:rPr>
          <w:sz w:val="25"/>
          <w:szCs w:val="25"/>
        </w:rPr>
      </w:pPr>
      <w:r>
        <w:rPr>
          <w:spacing w:val="16"/>
          <w:sz w:val="25"/>
          <w:szCs w:val="25"/>
        </w:rPr>
        <w:t>对评价工作进行总结，并对评价结果进行评述。</w:t>
      </w:r>
    </w:p>
    <w:p w14:paraId="651AE68A">
      <w:pPr>
        <w:pStyle w:val="2"/>
        <w:spacing w:before="95" w:line="220" w:lineRule="auto"/>
        <w:outlineLvl w:val="3"/>
      </w:pPr>
      <w:r>
        <w:rPr>
          <w:rFonts w:ascii="Times New Roman" w:hAnsi="Times New Roman" w:eastAsia="Times New Roman" w:cs="Times New Roman"/>
          <w:b/>
          <w:bCs/>
          <w:spacing w:val="-5"/>
        </w:rPr>
        <w:t>5.2</w:t>
      </w:r>
      <w:r>
        <w:rPr>
          <w:rFonts w:ascii="Times New Roman" w:hAnsi="Times New Roman" w:eastAsia="Times New Roman" w:cs="Times New Roman"/>
          <w:b/>
          <w:bCs/>
          <w:spacing w:val="4"/>
        </w:rPr>
        <w:t xml:space="preserve">     </w:t>
      </w:r>
      <w:r>
        <w:rPr>
          <w:b/>
          <w:bCs/>
          <w:spacing w:val="-5"/>
        </w:rPr>
        <w:t>建议</w:t>
      </w:r>
    </w:p>
    <w:p w14:paraId="3766A4F9">
      <w:pPr>
        <w:pStyle w:val="2"/>
        <w:spacing w:before="109" w:line="219" w:lineRule="auto"/>
        <w:ind w:left="560"/>
      </w:pPr>
      <w:r>
        <w:rPr>
          <w:spacing w:val="2"/>
        </w:rPr>
        <w:t>提出促进技术成熟的设想或计划。</w:t>
      </w:r>
    </w:p>
    <w:p w14:paraId="02CFB253">
      <w:pPr>
        <w:spacing w:before="96" w:line="222" w:lineRule="auto"/>
        <w:ind w:left="3"/>
        <w:rPr>
          <w:rFonts w:ascii="黑体" w:hAnsi="黑体" w:eastAsia="黑体" w:cs="黑体"/>
          <w:sz w:val="27"/>
          <w:szCs w:val="27"/>
        </w:rPr>
      </w:pPr>
      <w:r>
        <w:rPr>
          <w:rFonts w:ascii="黑体" w:hAnsi="黑体" w:eastAsia="黑体" w:cs="黑体"/>
          <w:b/>
          <w:bCs/>
          <w:spacing w:val="2"/>
          <w:sz w:val="27"/>
          <w:szCs w:val="27"/>
        </w:rPr>
        <w:t>附件</w:t>
      </w:r>
      <w:r>
        <w:rPr>
          <w:rFonts w:ascii="黑体" w:hAnsi="黑体" w:eastAsia="黑体" w:cs="黑体"/>
          <w:spacing w:val="2"/>
          <w:sz w:val="27"/>
          <w:szCs w:val="27"/>
        </w:rPr>
        <w:t xml:space="preserve">  </w:t>
      </w:r>
      <w:r>
        <w:rPr>
          <w:rFonts w:ascii="黑体" w:hAnsi="黑体" w:eastAsia="黑体" w:cs="黑体"/>
          <w:b/>
          <w:bCs/>
          <w:spacing w:val="2"/>
          <w:sz w:val="27"/>
          <w:szCs w:val="27"/>
        </w:rPr>
        <w:t>关键技术元素评价资料</w:t>
      </w:r>
    </w:p>
    <w:p w14:paraId="7563793C">
      <w:pPr>
        <w:pStyle w:val="2"/>
        <w:spacing w:before="88" w:line="289" w:lineRule="auto"/>
        <w:ind w:right="92" w:firstLine="560"/>
      </w:pPr>
      <w:r>
        <w:rPr>
          <w:spacing w:val="-2"/>
        </w:rPr>
        <w:t>编号列出关键技术元素等级评价过程中所采用</w:t>
      </w:r>
      <w:r>
        <w:rPr>
          <w:spacing w:val="-3"/>
        </w:rPr>
        <w:t>的参考文献、介绍、数据和事</w:t>
      </w:r>
      <w:r>
        <w:t xml:space="preserve"> </w:t>
      </w:r>
      <w:r>
        <w:rPr>
          <w:spacing w:val="-6"/>
        </w:rPr>
        <w:t>实等依据，并在报告内容中标示。</w:t>
      </w:r>
    </w:p>
    <w:p w14:paraId="50FAA4CB">
      <w:pPr>
        <w:pStyle w:val="2"/>
        <w:spacing w:before="147" w:line="219" w:lineRule="auto"/>
        <w:ind w:left="3159"/>
        <w:rPr>
          <w:sz w:val="36"/>
          <w:szCs w:val="36"/>
        </w:rPr>
      </w:pPr>
      <w:r>
        <w:rPr>
          <w:spacing w:val="2"/>
          <w:sz w:val="36"/>
          <w:szCs w:val="36"/>
        </w:rPr>
        <w:t xml:space="preserve">6.6  </w:t>
      </w:r>
      <w:r>
        <w:rPr>
          <w:b/>
          <w:bCs/>
          <w:spacing w:val="2"/>
          <w:sz w:val="36"/>
          <w:szCs w:val="36"/>
        </w:rPr>
        <w:t>技术成熟计划</w:t>
      </w:r>
    </w:p>
    <w:p w14:paraId="270A365C">
      <w:pPr>
        <w:spacing w:before="221" w:line="223" w:lineRule="auto"/>
        <w:rPr>
          <w:rFonts w:ascii="黑体" w:hAnsi="黑体" w:eastAsia="黑体" w:cs="黑体"/>
          <w:sz w:val="27"/>
          <w:szCs w:val="27"/>
        </w:rPr>
      </w:pPr>
      <w:r>
        <w:rPr>
          <w:rFonts w:ascii="黑体" w:hAnsi="黑体" w:eastAsia="黑体" w:cs="黑体"/>
          <w:spacing w:val="-11"/>
          <w:sz w:val="27"/>
          <w:szCs w:val="27"/>
        </w:rPr>
        <w:t>1</w:t>
      </w:r>
      <w:r>
        <w:rPr>
          <w:rFonts w:ascii="黑体" w:hAnsi="黑体" w:eastAsia="黑体" w:cs="黑体"/>
          <w:spacing w:val="26"/>
          <w:sz w:val="27"/>
          <w:szCs w:val="27"/>
        </w:rPr>
        <w:t xml:space="preserve">  </w:t>
      </w:r>
      <w:r>
        <w:rPr>
          <w:rFonts w:ascii="黑体" w:hAnsi="黑体" w:eastAsia="黑体" w:cs="黑体"/>
          <w:b/>
          <w:bCs/>
          <w:spacing w:val="-11"/>
          <w:sz w:val="27"/>
          <w:szCs w:val="27"/>
        </w:rPr>
        <w:t>目的</w:t>
      </w:r>
    </w:p>
    <w:p w14:paraId="5F5C410B">
      <w:pPr>
        <w:spacing w:before="121" w:line="222" w:lineRule="auto"/>
        <w:rPr>
          <w:rFonts w:ascii="黑体" w:hAnsi="黑体" w:eastAsia="黑体" w:cs="黑体"/>
          <w:sz w:val="25"/>
          <w:szCs w:val="25"/>
        </w:rPr>
      </w:pPr>
      <w:r>
        <w:rPr>
          <w:rFonts w:ascii="黑体" w:hAnsi="黑体" w:eastAsia="黑体" w:cs="黑体"/>
          <w:spacing w:val="9"/>
          <w:sz w:val="25"/>
          <w:szCs w:val="25"/>
        </w:rPr>
        <w:t>1.1</w:t>
      </w:r>
      <w:r>
        <w:rPr>
          <w:rFonts w:ascii="黑体" w:hAnsi="黑体" w:eastAsia="黑体" w:cs="黑体"/>
          <w:spacing w:val="53"/>
          <w:sz w:val="25"/>
          <w:szCs w:val="25"/>
        </w:rPr>
        <w:t xml:space="preserve">  </w:t>
      </w:r>
      <w:r>
        <w:rPr>
          <w:rFonts w:ascii="黑体" w:hAnsi="黑体" w:eastAsia="黑体" w:cs="黑体"/>
          <w:b/>
          <w:bCs/>
          <w:spacing w:val="9"/>
          <w:sz w:val="25"/>
          <w:szCs w:val="25"/>
        </w:rPr>
        <w:t>项目的目的</w:t>
      </w:r>
    </w:p>
    <w:p w14:paraId="5360ED4F">
      <w:pPr>
        <w:pStyle w:val="2"/>
        <w:spacing w:before="103" w:line="219" w:lineRule="auto"/>
        <w:ind w:left="560"/>
      </w:pPr>
      <w:r>
        <w:rPr>
          <w:spacing w:val="-11"/>
        </w:rPr>
        <w:t>简要概述项目任务、状态、采用技术等。</w:t>
      </w:r>
    </w:p>
    <w:p w14:paraId="11473DE9">
      <w:pPr>
        <w:spacing w:before="85" w:line="221" w:lineRule="auto"/>
        <w:rPr>
          <w:rFonts w:ascii="黑体" w:hAnsi="黑体" w:eastAsia="黑体" w:cs="黑体"/>
          <w:sz w:val="27"/>
          <w:szCs w:val="27"/>
        </w:rPr>
      </w:pPr>
      <w:r>
        <w:rPr>
          <w:rFonts w:ascii="黑体" w:hAnsi="黑体" w:eastAsia="黑体" w:cs="黑体"/>
          <w:spacing w:val="-1"/>
          <w:sz w:val="27"/>
          <w:szCs w:val="27"/>
        </w:rPr>
        <w:t>1.2</w:t>
      </w:r>
      <w:r>
        <w:rPr>
          <w:rFonts w:ascii="黑体" w:hAnsi="黑体" w:eastAsia="黑体" w:cs="黑体"/>
          <w:spacing w:val="19"/>
          <w:sz w:val="27"/>
          <w:szCs w:val="27"/>
        </w:rPr>
        <w:t xml:space="preserve">  </w:t>
      </w:r>
      <w:r>
        <w:rPr>
          <w:rFonts w:ascii="黑体" w:hAnsi="黑体" w:eastAsia="黑体" w:cs="黑体"/>
          <w:b/>
          <w:bCs/>
          <w:spacing w:val="-1"/>
          <w:sz w:val="27"/>
          <w:szCs w:val="27"/>
        </w:rPr>
        <w:t>技术成熟计划的目的</w:t>
      </w:r>
    </w:p>
    <w:p w14:paraId="410869EB">
      <w:pPr>
        <w:pStyle w:val="2"/>
        <w:spacing w:before="143" w:line="269" w:lineRule="auto"/>
        <w:ind w:right="109" w:firstLine="560"/>
        <w:jc w:val="both"/>
      </w:pPr>
      <w:r>
        <w:rPr>
          <w:spacing w:val="5"/>
        </w:rPr>
        <w:t>描述技术成熟计划的目的和内容，并将其与项目状态和所有重大决策联系</w:t>
      </w:r>
      <w:r>
        <w:rPr>
          <w:spacing w:val="14"/>
        </w:rPr>
        <w:t xml:space="preserve"> </w:t>
      </w:r>
      <w:r>
        <w:rPr>
          <w:spacing w:val="-2"/>
        </w:rPr>
        <w:t>起来。如目的是为了阐述：1)解决产品技术成熟所需的</w:t>
      </w:r>
      <w:r>
        <w:rPr>
          <w:spacing w:val="-3"/>
        </w:rPr>
        <w:t>活动和进度；2)技术成熟</w:t>
      </w:r>
      <w:r>
        <w:t xml:space="preserve"> </w:t>
      </w:r>
      <w:r>
        <w:rPr>
          <w:spacing w:val="13"/>
        </w:rPr>
        <w:t>度评价方法与其他独立技术评审之间的关系；3)实施产品研制项目的管理计</w:t>
      </w:r>
      <w:r>
        <w:rPr>
          <w:spacing w:val="8"/>
        </w:rPr>
        <w:t xml:space="preserve"> </w:t>
      </w:r>
      <w:r>
        <w:rPr>
          <w:spacing w:val="-21"/>
        </w:rPr>
        <w:t>划；……。</w:t>
      </w:r>
    </w:p>
    <w:p w14:paraId="201A0761">
      <w:pPr>
        <w:spacing w:before="31"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9"/>
          <w:sz w:val="27"/>
          <w:szCs w:val="27"/>
        </w:rPr>
        <w:t xml:space="preserve">  </w:t>
      </w:r>
      <w:r>
        <w:rPr>
          <w:rFonts w:ascii="黑体" w:hAnsi="黑体" w:eastAsia="黑体" w:cs="黑体"/>
          <w:b/>
          <w:bCs/>
          <w:sz w:val="27"/>
          <w:szCs w:val="27"/>
        </w:rPr>
        <w:t>技术评价</w:t>
      </w:r>
    </w:p>
    <w:p w14:paraId="01CAE5C0">
      <w:pPr>
        <w:spacing w:before="105" w:line="221" w:lineRule="auto"/>
        <w:rPr>
          <w:rFonts w:ascii="黑体" w:hAnsi="黑体" w:eastAsia="黑体" w:cs="黑体"/>
          <w:sz w:val="27"/>
          <w:szCs w:val="27"/>
        </w:rPr>
      </w:pPr>
      <w:r>
        <w:rPr>
          <w:rFonts w:ascii="黑体" w:hAnsi="黑体" w:eastAsia="黑体" w:cs="黑体"/>
          <w:spacing w:val="1"/>
          <w:sz w:val="27"/>
          <w:szCs w:val="27"/>
        </w:rPr>
        <w:t xml:space="preserve">2.1  </w:t>
      </w:r>
      <w:r>
        <w:rPr>
          <w:rFonts w:ascii="黑体" w:hAnsi="黑体" w:eastAsia="黑体" w:cs="黑体"/>
          <w:b/>
          <w:bCs/>
          <w:spacing w:val="1"/>
          <w:sz w:val="27"/>
          <w:szCs w:val="27"/>
        </w:rPr>
        <w:t>前期独立技术评审情况</w:t>
      </w:r>
    </w:p>
    <w:p w14:paraId="7E8C83F3">
      <w:pPr>
        <w:pStyle w:val="2"/>
        <w:spacing w:before="112" w:line="268" w:lineRule="auto"/>
        <w:ind w:firstLine="560"/>
      </w:pPr>
      <w:r>
        <w:rPr>
          <w:spacing w:val="-8"/>
        </w:rPr>
        <w:t>描述前期已开展的独立技术评审情况，说明技术评审时间、地点、主持单位、</w:t>
      </w:r>
      <w:r>
        <w:rPr>
          <w:spacing w:val="15"/>
        </w:rPr>
        <w:t xml:space="preserve"> </w:t>
      </w:r>
      <w:r>
        <w:rPr>
          <w:spacing w:val="-5"/>
        </w:rPr>
        <w:t>参会单位和人数、评审意见和建议。</w:t>
      </w:r>
    </w:p>
    <w:p w14:paraId="3BAA94BA">
      <w:pPr>
        <w:spacing w:before="50" w:line="221" w:lineRule="auto"/>
        <w:rPr>
          <w:rFonts w:ascii="黑体" w:hAnsi="黑体" w:eastAsia="黑体" w:cs="黑体"/>
          <w:sz w:val="24"/>
          <w:szCs w:val="24"/>
        </w:rPr>
      </w:pPr>
      <w:r>
        <w:rPr>
          <w:rFonts w:ascii="黑体" w:hAnsi="黑体" w:eastAsia="黑体" w:cs="黑体"/>
          <w:spacing w:val="24"/>
          <w:sz w:val="24"/>
          <w:szCs w:val="24"/>
        </w:rPr>
        <w:t>2.2</w:t>
      </w:r>
      <w:r>
        <w:rPr>
          <w:rFonts w:ascii="黑体" w:hAnsi="黑体" w:eastAsia="黑体" w:cs="黑体"/>
          <w:spacing w:val="45"/>
          <w:sz w:val="24"/>
          <w:szCs w:val="24"/>
        </w:rPr>
        <w:t xml:space="preserve">  </w:t>
      </w:r>
      <w:r>
        <w:rPr>
          <w:rFonts w:ascii="黑体" w:hAnsi="黑体" w:eastAsia="黑体" w:cs="黑体"/>
          <w:b/>
          <w:bCs/>
          <w:spacing w:val="24"/>
          <w:sz w:val="24"/>
          <w:szCs w:val="24"/>
        </w:rPr>
        <w:t>前期技术成熟度评价情况</w:t>
      </w:r>
    </w:p>
    <w:p w14:paraId="0DCD513E">
      <w:pPr>
        <w:pStyle w:val="2"/>
        <w:spacing w:before="127" w:line="278" w:lineRule="auto"/>
        <w:ind w:firstLine="560"/>
        <w:jc w:val="both"/>
      </w:pPr>
      <w:r>
        <w:rPr>
          <w:spacing w:val="5"/>
        </w:rPr>
        <w:t>描述前期已开展的技术成熟度评价情况，给出关键技术元素和相应技术成</w:t>
      </w:r>
      <w:r>
        <w:t xml:space="preserve">  </w:t>
      </w:r>
      <w:r>
        <w:rPr>
          <w:spacing w:val="1"/>
        </w:rPr>
        <w:t>熟度等级的列表，对各项关键技术元素的</w:t>
      </w:r>
      <w:r>
        <w:rPr>
          <w:spacing w:val="-75"/>
        </w:rPr>
        <w:t xml:space="preserve"> </w:t>
      </w:r>
      <w:r>
        <w:rPr>
          <w:rFonts w:ascii="Times New Roman" w:hAnsi="Times New Roman" w:eastAsia="Times New Roman" w:cs="Times New Roman"/>
        </w:rPr>
        <w:t>TRL</w:t>
      </w:r>
      <w:r>
        <w:rPr>
          <w:rFonts w:ascii="Times New Roman" w:hAnsi="Times New Roman" w:eastAsia="Times New Roman" w:cs="Times New Roman"/>
          <w:spacing w:val="1"/>
        </w:rPr>
        <w:t xml:space="preserve">  </w:t>
      </w:r>
      <w:r>
        <w:rPr>
          <w:spacing w:val="1"/>
        </w:rPr>
        <w:t>进行汇总说明，包括</w:t>
      </w:r>
      <w:r>
        <w:rPr>
          <w:rFonts w:ascii="Times New Roman" w:hAnsi="Times New Roman" w:eastAsia="Times New Roman" w:cs="Times New Roman"/>
        </w:rPr>
        <w:t>CTE</w:t>
      </w:r>
      <w:r>
        <w:rPr>
          <w:rFonts w:ascii="Times New Roman" w:hAnsi="Times New Roman" w:eastAsia="Times New Roman" w:cs="Times New Roman"/>
          <w:spacing w:val="1"/>
        </w:rPr>
        <w:t xml:space="preserve">  </w:t>
      </w:r>
      <w:r>
        <w:rPr>
          <w:rFonts w:ascii="仿宋" w:hAnsi="仿宋" w:eastAsia="仿宋" w:cs="仿宋"/>
          <w:spacing w:val="1"/>
        </w:rPr>
        <w:t>名称、</w:t>
      </w:r>
      <w:r>
        <w:rPr>
          <w:rFonts w:ascii="仿宋" w:hAnsi="仿宋" w:eastAsia="仿宋" w:cs="仿宋"/>
        </w:rPr>
        <w:t xml:space="preserve"> </w:t>
      </w:r>
      <w:r>
        <w:rPr>
          <w:spacing w:val="3"/>
        </w:rPr>
        <w:t>对应的</w:t>
      </w:r>
      <w:r>
        <w:rPr>
          <w:spacing w:val="-71"/>
        </w:rPr>
        <w:t xml:space="preserve"> </w:t>
      </w:r>
      <w:r>
        <w:rPr>
          <w:rFonts w:ascii="Times New Roman" w:hAnsi="Times New Roman" w:eastAsia="Times New Roman" w:cs="Times New Roman"/>
        </w:rPr>
        <w:t>TRL</w:t>
      </w:r>
      <w:r>
        <w:rPr>
          <w:rFonts w:ascii="Times New Roman" w:hAnsi="Times New Roman" w:eastAsia="Times New Roman" w:cs="Times New Roman"/>
          <w:spacing w:val="3"/>
        </w:rPr>
        <w:t xml:space="preserve">  </w:t>
      </w:r>
      <w:r>
        <w:rPr>
          <w:spacing w:val="3"/>
        </w:rPr>
        <w:t>以及必要的支持信息。</w:t>
      </w:r>
    </w:p>
    <w:p w14:paraId="0822156D">
      <w:pPr>
        <w:spacing w:before="6" w:line="221" w:lineRule="auto"/>
        <w:rPr>
          <w:rFonts w:ascii="黑体" w:hAnsi="黑体" w:eastAsia="黑体" w:cs="黑体"/>
          <w:sz w:val="24"/>
          <w:szCs w:val="24"/>
        </w:rPr>
      </w:pPr>
      <w:r>
        <w:rPr>
          <w:rFonts w:ascii="黑体" w:hAnsi="黑体" w:eastAsia="黑体" w:cs="黑体"/>
          <w:spacing w:val="23"/>
          <w:sz w:val="24"/>
          <w:szCs w:val="24"/>
        </w:rPr>
        <w:t>2.3</w:t>
      </w:r>
      <w:r>
        <w:rPr>
          <w:rFonts w:ascii="黑体" w:hAnsi="黑体" w:eastAsia="黑体" w:cs="黑体"/>
          <w:spacing w:val="45"/>
          <w:sz w:val="24"/>
          <w:szCs w:val="24"/>
        </w:rPr>
        <w:t xml:space="preserve">  </w:t>
      </w:r>
      <w:r>
        <w:rPr>
          <w:rFonts w:ascii="黑体" w:hAnsi="黑体" w:eastAsia="黑体" w:cs="黑体"/>
          <w:b/>
          <w:bCs/>
          <w:spacing w:val="23"/>
          <w:sz w:val="24"/>
          <w:szCs w:val="24"/>
        </w:rPr>
        <w:t>技术成熟度等级定义</w:t>
      </w:r>
    </w:p>
    <w:p w14:paraId="7821752F">
      <w:pPr>
        <w:pStyle w:val="2"/>
        <w:spacing w:before="110" w:line="219" w:lineRule="auto"/>
        <w:ind w:left="560"/>
      </w:pPr>
      <w:r>
        <w:rPr>
          <w:spacing w:val="2"/>
        </w:rPr>
        <w:t>描述技术成熟度等级定义。</w:t>
      </w:r>
    </w:p>
    <w:p w14:paraId="5A415158">
      <w:pPr>
        <w:spacing w:line="219" w:lineRule="auto"/>
        <w:sectPr>
          <w:footerReference r:id="rId350" w:type="default"/>
          <w:pgSz w:w="11910" w:h="17130"/>
          <w:pgMar w:top="1388" w:right="1315" w:bottom="1719" w:left="1110" w:header="0" w:footer="1539" w:gutter="0"/>
          <w:cols w:space="720" w:num="1"/>
        </w:sectPr>
      </w:pPr>
    </w:p>
    <w:p w14:paraId="6786CAFD">
      <w:pPr>
        <w:pStyle w:val="2"/>
        <w:spacing w:before="84" w:line="294" w:lineRule="auto"/>
        <w:ind w:firstLine="550"/>
      </w:pPr>
      <w:r>
        <w:rPr>
          <w:spacing w:val="5"/>
        </w:rPr>
        <w:t>通用的技术成熟度等级共分9个级别，其中1级最低</w:t>
      </w:r>
      <w:r>
        <w:rPr>
          <w:spacing w:val="4"/>
        </w:rPr>
        <w:t>，9级最高，层层递进。</w:t>
      </w:r>
      <w:r>
        <w:t xml:space="preserve"> </w:t>
      </w:r>
      <w:r>
        <w:rPr>
          <w:spacing w:val="9"/>
        </w:rPr>
        <w:t>具体的等级划分见表6.12。</w:t>
      </w:r>
    </w:p>
    <w:p w14:paraId="0BD440C4">
      <w:pPr>
        <w:pStyle w:val="2"/>
        <w:spacing w:line="219" w:lineRule="auto"/>
        <w:ind w:left="550"/>
      </w:pPr>
      <w:r>
        <w:rPr>
          <w:spacing w:val="2"/>
        </w:rPr>
        <w:t>表中的每条技术成熟度等级定义解释如下：</w:t>
      </w:r>
    </w:p>
    <w:p w14:paraId="2578C19E">
      <w:pPr>
        <w:pStyle w:val="2"/>
        <w:spacing w:before="77" w:line="292" w:lineRule="auto"/>
        <w:ind w:right="124" w:firstLine="550"/>
        <w:rPr>
          <w:sz w:val="25"/>
          <w:szCs w:val="25"/>
        </w:rPr>
      </w:pPr>
      <w:r>
        <w:rPr>
          <w:spacing w:val="21"/>
          <w:sz w:val="25"/>
          <w:szCs w:val="25"/>
        </w:rPr>
        <w:t>1级：技术成熟过程中的最低等级，在这一等级，科学</w:t>
      </w:r>
      <w:r>
        <w:rPr>
          <w:spacing w:val="20"/>
          <w:sz w:val="25"/>
          <w:szCs w:val="25"/>
        </w:rPr>
        <w:t>理论开始转向应用研</w:t>
      </w:r>
      <w:r>
        <w:rPr>
          <w:sz w:val="25"/>
          <w:szCs w:val="25"/>
        </w:rPr>
        <w:t xml:space="preserve"> </w:t>
      </w:r>
      <w:r>
        <w:rPr>
          <w:spacing w:val="23"/>
          <w:sz w:val="25"/>
          <w:szCs w:val="25"/>
        </w:rPr>
        <w:t>究。例如技术基本特性的纸面研究。</w:t>
      </w:r>
    </w:p>
    <w:p w14:paraId="72628AA2">
      <w:pPr>
        <w:pStyle w:val="2"/>
        <w:spacing w:line="275" w:lineRule="auto"/>
        <w:ind w:right="133" w:firstLine="550"/>
      </w:pPr>
      <w:r>
        <w:rPr>
          <w:spacing w:val="1"/>
        </w:rPr>
        <w:t>2级：技术基本原理开始被用于发明活动。在这一等级，技</w:t>
      </w:r>
      <w:r>
        <w:t xml:space="preserve">术用途还是推测 </w:t>
      </w:r>
      <w:r>
        <w:rPr>
          <w:spacing w:val="-1"/>
        </w:rPr>
        <w:t>性的，没有经过详细分析或试验证明。只限于分析研究。</w:t>
      </w:r>
    </w:p>
    <w:p w14:paraId="42FD848F">
      <w:pPr>
        <w:spacing w:before="23" w:line="222" w:lineRule="auto"/>
        <w:ind w:left="2890"/>
        <w:rPr>
          <w:rFonts w:ascii="仿宋" w:hAnsi="仿宋" w:eastAsia="仿宋" w:cs="仿宋"/>
          <w:sz w:val="24"/>
          <w:szCs w:val="24"/>
        </w:rPr>
      </w:pPr>
      <w:r>
        <w:rPr>
          <w:rFonts w:ascii="仿宋" w:hAnsi="仿宋" w:eastAsia="仿宋" w:cs="仿宋"/>
          <w:spacing w:val="23"/>
          <w:sz w:val="24"/>
          <w:szCs w:val="24"/>
        </w:rPr>
        <w:t>表6</w:t>
      </w:r>
      <w:r>
        <w:rPr>
          <w:rFonts w:ascii="仿宋" w:hAnsi="仿宋" w:eastAsia="仿宋" w:cs="仿宋"/>
          <w:spacing w:val="-44"/>
          <w:sz w:val="24"/>
          <w:szCs w:val="24"/>
        </w:rPr>
        <w:t xml:space="preserve"> </w:t>
      </w:r>
      <w:r>
        <w:rPr>
          <w:rFonts w:ascii="仿宋" w:hAnsi="仿宋" w:eastAsia="仿宋" w:cs="仿宋"/>
          <w:spacing w:val="23"/>
          <w:sz w:val="24"/>
          <w:szCs w:val="24"/>
        </w:rPr>
        <w:t>.</w:t>
      </w:r>
      <w:r>
        <w:rPr>
          <w:rFonts w:ascii="仿宋" w:hAnsi="仿宋" w:eastAsia="仿宋" w:cs="仿宋"/>
          <w:spacing w:val="-48"/>
          <w:sz w:val="24"/>
          <w:szCs w:val="24"/>
        </w:rPr>
        <w:t xml:space="preserve"> </w:t>
      </w:r>
      <w:r>
        <w:rPr>
          <w:rFonts w:ascii="仿宋" w:hAnsi="仿宋" w:eastAsia="仿宋" w:cs="仿宋"/>
          <w:spacing w:val="23"/>
          <w:sz w:val="24"/>
          <w:szCs w:val="24"/>
        </w:rPr>
        <w:t>12  技术成熟度等级定义</w:t>
      </w:r>
    </w:p>
    <w:p w14:paraId="66E5CC0E">
      <w:pPr>
        <w:spacing w:line="98" w:lineRule="exact"/>
      </w:pPr>
    </w:p>
    <w:tbl>
      <w:tblPr>
        <w:tblStyle w:val="5"/>
        <w:tblW w:w="9370"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3"/>
        <w:gridCol w:w="7287"/>
      </w:tblGrid>
      <w:tr w14:paraId="07710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2083" w:type="dxa"/>
            <w:vAlign w:val="top"/>
          </w:tcPr>
          <w:p w14:paraId="29E10874">
            <w:pPr>
              <w:spacing w:before="126" w:line="182" w:lineRule="auto"/>
              <w:ind w:left="885"/>
              <w:rPr>
                <w:rFonts w:ascii="宋体" w:hAnsi="宋体" w:eastAsia="宋体" w:cs="宋体"/>
                <w:sz w:val="20"/>
                <w:szCs w:val="20"/>
              </w:rPr>
            </w:pPr>
            <w:r>
              <w:rPr>
                <w:rFonts w:ascii="宋体" w:hAnsi="宋体" w:eastAsia="宋体" w:cs="宋体"/>
                <w:spacing w:val="-2"/>
                <w:sz w:val="20"/>
                <w:szCs w:val="20"/>
              </w:rPr>
              <w:t>TRL</w:t>
            </w:r>
          </w:p>
        </w:tc>
        <w:tc>
          <w:tcPr>
            <w:tcW w:w="7287" w:type="dxa"/>
            <w:vAlign w:val="top"/>
          </w:tcPr>
          <w:p w14:paraId="08F98652">
            <w:pPr>
              <w:spacing w:before="74" w:line="220" w:lineRule="auto"/>
              <w:ind w:left="3321"/>
              <w:rPr>
                <w:rFonts w:ascii="宋体" w:hAnsi="宋体" w:eastAsia="宋体" w:cs="宋体"/>
                <w:sz w:val="20"/>
                <w:szCs w:val="20"/>
              </w:rPr>
            </w:pPr>
            <w:r>
              <w:rPr>
                <w:rFonts w:ascii="宋体" w:hAnsi="宋体" w:eastAsia="宋体" w:cs="宋体"/>
                <w:spacing w:val="-7"/>
                <w:sz w:val="20"/>
                <w:szCs w:val="20"/>
              </w:rPr>
              <w:t>定</w:t>
            </w:r>
            <w:r>
              <w:rPr>
                <w:rFonts w:ascii="宋体" w:hAnsi="宋体" w:eastAsia="宋体" w:cs="宋体"/>
                <w:spacing w:val="33"/>
                <w:sz w:val="20"/>
                <w:szCs w:val="20"/>
              </w:rPr>
              <w:t xml:space="preserve"> </w:t>
            </w:r>
            <w:r>
              <w:rPr>
                <w:rFonts w:ascii="宋体" w:hAnsi="宋体" w:eastAsia="宋体" w:cs="宋体"/>
                <w:spacing w:val="-7"/>
                <w:sz w:val="20"/>
                <w:szCs w:val="20"/>
              </w:rPr>
              <w:t>义</w:t>
            </w:r>
          </w:p>
        </w:tc>
      </w:tr>
      <w:tr w14:paraId="6D2D4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083" w:type="dxa"/>
            <w:vAlign w:val="top"/>
          </w:tcPr>
          <w:p w14:paraId="2936CDAB">
            <w:pPr>
              <w:spacing w:before="99" w:line="221" w:lineRule="auto"/>
              <w:ind w:left="985"/>
              <w:rPr>
                <w:rFonts w:ascii="宋体" w:hAnsi="宋体" w:eastAsia="宋体" w:cs="宋体"/>
                <w:sz w:val="20"/>
                <w:szCs w:val="20"/>
              </w:rPr>
            </w:pPr>
            <w:r>
              <w:rPr>
                <w:rFonts w:ascii="宋体" w:hAnsi="宋体" w:eastAsia="宋体" w:cs="宋体"/>
                <w:sz w:val="20"/>
                <w:szCs w:val="20"/>
              </w:rPr>
              <w:t>1</w:t>
            </w:r>
          </w:p>
        </w:tc>
        <w:tc>
          <w:tcPr>
            <w:tcW w:w="7287" w:type="dxa"/>
            <w:vAlign w:val="top"/>
          </w:tcPr>
          <w:p w14:paraId="730B0685">
            <w:pPr>
              <w:spacing w:before="77" w:line="218" w:lineRule="auto"/>
              <w:ind w:left="112"/>
              <w:rPr>
                <w:rFonts w:ascii="宋体" w:hAnsi="宋体" w:eastAsia="宋体" w:cs="宋体"/>
                <w:sz w:val="20"/>
                <w:szCs w:val="20"/>
              </w:rPr>
            </w:pPr>
            <w:r>
              <w:rPr>
                <w:rFonts w:ascii="宋体" w:hAnsi="宋体" w:eastAsia="宋体" w:cs="宋体"/>
                <w:spacing w:val="1"/>
                <w:sz w:val="20"/>
                <w:szCs w:val="20"/>
              </w:rPr>
              <w:t>基本原理被发现和报告</w:t>
            </w:r>
          </w:p>
        </w:tc>
      </w:tr>
      <w:tr w14:paraId="47DA9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083" w:type="dxa"/>
            <w:vAlign w:val="top"/>
          </w:tcPr>
          <w:p w14:paraId="6A50FD58">
            <w:pPr>
              <w:spacing w:before="99" w:line="230" w:lineRule="auto"/>
              <w:ind w:left="985"/>
              <w:rPr>
                <w:rFonts w:ascii="宋体" w:hAnsi="宋体" w:eastAsia="宋体" w:cs="宋体"/>
                <w:sz w:val="20"/>
                <w:szCs w:val="20"/>
              </w:rPr>
            </w:pPr>
            <w:r>
              <w:rPr>
                <w:rFonts w:ascii="宋体" w:hAnsi="宋体" w:eastAsia="宋体" w:cs="宋体"/>
                <w:sz w:val="20"/>
                <w:szCs w:val="20"/>
              </w:rPr>
              <w:t>2</w:t>
            </w:r>
          </w:p>
        </w:tc>
        <w:tc>
          <w:tcPr>
            <w:tcW w:w="7287" w:type="dxa"/>
            <w:vAlign w:val="top"/>
          </w:tcPr>
          <w:p w14:paraId="77A02CF7">
            <w:pPr>
              <w:spacing w:before="80" w:line="219" w:lineRule="auto"/>
              <w:ind w:left="112"/>
              <w:rPr>
                <w:rFonts w:ascii="宋体" w:hAnsi="宋体" w:eastAsia="宋体" w:cs="宋体"/>
                <w:sz w:val="20"/>
                <w:szCs w:val="20"/>
              </w:rPr>
            </w:pPr>
            <w:r>
              <w:rPr>
                <w:rFonts w:ascii="宋体" w:hAnsi="宋体" w:eastAsia="宋体" w:cs="宋体"/>
                <w:spacing w:val="2"/>
                <w:sz w:val="20"/>
                <w:szCs w:val="20"/>
              </w:rPr>
              <w:t>技术概念和用途被阐明</w:t>
            </w:r>
          </w:p>
        </w:tc>
      </w:tr>
      <w:tr w14:paraId="59823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083" w:type="dxa"/>
            <w:vAlign w:val="top"/>
          </w:tcPr>
          <w:p w14:paraId="0A229800">
            <w:pPr>
              <w:spacing w:before="100" w:line="229" w:lineRule="auto"/>
              <w:ind w:left="985"/>
              <w:rPr>
                <w:rFonts w:ascii="宋体" w:hAnsi="宋体" w:eastAsia="宋体" w:cs="宋体"/>
                <w:sz w:val="20"/>
                <w:szCs w:val="20"/>
              </w:rPr>
            </w:pPr>
            <w:r>
              <w:rPr>
                <w:rFonts w:ascii="宋体" w:hAnsi="宋体" w:eastAsia="宋体" w:cs="宋体"/>
                <w:sz w:val="20"/>
                <w:szCs w:val="20"/>
              </w:rPr>
              <w:t>3</w:t>
            </w:r>
          </w:p>
        </w:tc>
        <w:tc>
          <w:tcPr>
            <w:tcW w:w="7287" w:type="dxa"/>
            <w:vAlign w:val="top"/>
          </w:tcPr>
          <w:p w14:paraId="108F838B">
            <w:pPr>
              <w:spacing w:before="81" w:line="219" w:lineRule="auto"/>
              <w:ind w:left="112"/>
              <w:rPr>
                <w:rFonts w:ascii="宋体" w:hAnsi="宋体" w:eastAsia="宋体" w:cs="宋体"/>
                <w:sz w:val="20"/>
                <w:szCs w:val="20"/>
              </w:rPr>
            </w:pPr>
            <w:r>
              <w:rPr>
                <w:rFonts w:ascii="宋体" w:hAnsi="宋体" w:eastAsia="宋体" w:cs="宋体"/>
                <w:spacing w:val="-1"/>
                <w:sz w:val="20"/>
                <w:szCs w:val="20"/>
              </w:rPr>
              <w:t>关键功能和特性的概念验证</w:t>
            </w:r>
          </w:p>
        </w:tc>
      </w:tr>
      <w:tr w14:paraId="2A348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083" w:type="dxa"/>
            <w:vAlign w:val="top"/>
          </w:tcPr>
          <w:p w14:paraId="3330E8E0">
            <w:pPr>
              <w:spacing w:before="102" w:line="218" w:lineRule="auto"/>
              <w:ind w:left="985"/>
              <w:rPr>
                <w:rFonts w:ascii="宋体" w:hAnsi="宋体" w:eastAsia="宋体" w:cs="宋体"/>
                <w:sz w:val="20"/>
                <w:szCs w:val="20"/>
              </w:rPr>
            </w:pPr>
            <w:r>
              <w:rPr>
                <w:rFonts w:ascii="宋体" w:hAnsi="宋体" w:eastAsia="宋体" w:cs="宋体"/>
                <w:sz w:val="20"/>
                <w:szCs w:val="20"/>
              </w:rPr>
              <w:t>4</w:t>
            </w:r>
          </w:p>
        </w:tc>
        <w:tc>
          <w:tcPr>
            <w:tcW w:w="7287" w:type="dxa"/>
            <w:vAlign w:val="top"/>
          </w:tcPr>
          <w:p w14:paraId="1014C01B">
            <w:pPr>
              <w:spacing w:before="81" w:line="219" w:lineRule="auto"/>
              <w:ind w:left="112"/>
              <w:rPr>
                <w:rFonts w:ascii="宋体" w:hAnsi="宋体" w:eastAsia="宋体" w:cs="宋体"/>
                <w:sz w:val="20"/>
                <w:szCs w:val="20"/>
              </w:rPr>
            </w:pPr>
            <w:r>
              <w:rPr>
                <w:rFonts w:ascii="宋体" w:hAnsi="宋体" w:eastAsia="宋体" w:cs="宋体"/>
                <w:sz w:val="20"/>
                <w:szCs w:val="20"/>
              </w:rPr>
              <w:t>实验室环境下的基础部件/原理样机验证</w:t>
            </w:r>
          </w:p>
        </w:tc>
      </w:tr>
      <w:tr w14:paraId="350CD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083" w:type="dxa"/>
            <w:vAlign w:val="top"/>
          </w:tcPr>
          <w:p w14:paraId="27810806">
            <w:pPr>
              <w:spacing w:before="102" w:line="218" w:lineRule="auto"/>
              <w:ind w:left="985"/>
              <w:rPr>
                <w:rFonts w:ascii="宋体" w:hAnsi="宋体" w:eastAsia="宋体" w:cs="宋体"/>
                <w:sz w:val="20"/>
                <w:szCs w:val="20"/>
              </w:rPr>
            </w:pPr>
            <w:r>
              <w:rPr>
                <w:rFonts w:ascii="宋体" w:hAnsi="宋体" w:eastAsia="宋体" w:cs="宋体"/>
                <w:sz w:val="20"/>
                <w:szCs w:val="20"/>
              </w:rPr>
              <w:t>5</w:t>
            </w:r>
          </w:p>
        </w:tc>
        <w:tc>
          <w:tcPr>
            <w:tcW w:w="7287" w:type="dxa"/>
            <w:vAlign w:val="top"/>
          </w:tcPr>
          <w:p w14:paraId="5C990B1F">
            <w:pPr>
              <w:spacing w:before="82" w:line="219" w:lineRule="auto"/>
              <w:ind w:left="112"/>
              <w:rPr>
                <w:rFonts w:ascii="宋体" w:hAnsi="宋体" w:eastAsia="宋体" w:cs="宋体"/>
                <w:sz w:val="20"/>
                <w:szCs w:val="20"/>
              </w:rPr>
            </w:pPr>
            <w:r>
              <w:rPr>
                <w:rFonts w:ascii="宋体" w:hAnsi="宋体" w:eastAsia="宋体" w:cs="宋体"/>
                <w:spacing w:val="-1"/>
                <w:sz w:val="20"/>
                <w:szCs w:val="20"/>
              </w:rPr>
              <w:t>相关环境下的部件/原理样机验证</w:t>
            </w:r>
          </w:p>
        </w:tc>
      </w:tr>
      <w:tr w14:paraId="3251C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083" w:type="dxa"/>
            <w:vAlign w:val="top"/>
          </w:tcPr>
          <w:p w14:paraId="2E23F46F">
            <w:pPr>
              <w:spacing w:before="103" w:line="217" w:lineRule="auto"/>
              <w:ind w:left="985"/>
              <w:rPr>
                <w:rFonts w:ascii="宋体" w:hAnsi="宋体" w:eastAsia="宋体" w:cs="宋体"/>
                <w:sz w:val="20"/>
                <w:szCs w:val="20"/>
              </w:rPr>
            </w:pPr>
            <w:r>
              <w:rPr>
                <w:rFonts w:ascii="宋体" w:hAnsi="宋体" w:eastAsia="宋体" w:cs="宋体"/>
                <w:sz w:val="20"/>
                <w:szCs w:val="20"/>
              </w:rPr>
              <w:t>6</w:t>
            </w:r>
          </w:p>
        </w:tc>
        <w:tc>
          <w:tcPr>
            <w:tcW w:w="7287" w:type="dxa"/>
            <w:vAlign w:val="top"/>
          </w:tcPr>
          <w:p w14:paraId="0D73F46F">
            <w:pPr>
              <w:spacing w:before="83" w:line="219" w:lineRule="auto"/>
              <w:ind w:left="112"/>
              <w:rPr>
                <w:rFonts w:ascii="宋体" w:hAnsi="宋体" w:eastAsia="宋体" w:cs="宋体"/>
                <w:sz w:val="20"/>
                <w:szCs w:val="20"/>
              </w:rPr>
            </w:pPr>
            <w:r>
              <w:rPr>
                <w:rFonts w:ascii="宋体" w:hAnsi="宋体" w:eastAsia="宋体" w:cs="宋体"/>
                <w:spacing w:val="-1"/>
                <w:sz w:val="20"/>
                <w:szCs w:val="20"/>
              </w:rPr>
              <w:t>相关环境下的系统/子系统模型或样机验证</w:t>
            </w:r>
          </w:p>
        </w:tc>
      </w:tr>
      <w:tr w14:paraId="78376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083" w:type="dxa"/>
            <w:vAlign w:val="top"/>
          </w:tcPr>
          <w:p w14:paraId="2B9609EB">
            <w:pPr>
              <w:spacing w:before="105" w:line="216" w:lineRule="auto"/>
              <w:ind w:left="985"/>
              <w:rPr>
                <w:rFonts w:ascii="宋体" w:hAnsi="宋体" w:eastAsia="宋体" w:cs="宋体"/>
                <w:sz w:val="20"/>
                <w:szCs w:val="20"/>
              </w:rPr>
            </w:pPr>
            <w:r>
              <w:rPr>
                <w:rFonts w:ascii="宋体" w:hAnsi="宋体" w:eastAsia="宋体" w:cs="宋体"/>
                <w:sz w:val="20"/>
                <w:szCs w:val="20"/>
              </w:rPr>
              <w:t>7</w:t>
            </w:r>
          </w:p>
        </w:tc>
        <w:tc>
          <w:tcPr>
            <w:tcW w:w="7287" w:type="dxa"/>
            <w:vAlign w:val="top"/>
          </w:tcPr>
          <w:p w14:paraId="5E7D8CF8">
            <w:pPr>
              <w:spacing w:before="83" w:line="219" w:lineRule="auto"/>
              <w:ind w:left="112"/>
              <w:rPr>
                <w:rFonts w:ascii="宋体" w:hAnsi="宋体" w:eastAsia="宋体" w:cs="宋体"/>
                <w:sz w:val="20"/>
                <w:szCs w:val="20"/>
              </w:rPr>
            </w:pPr>
            <w:r>
              <w:rPr>
                <w:rFonts w:ascii="宋体" w:hAnsi="宋体" w:eastAsia="宋体" w:cs="宋体"/>
                <w:spacing w:val="-1"/>
                <w:sz w:val="20"/>
                <w:szCs w:val="20"/>
              </w:rPr>
              <w:t>模拟使用环境下的系统样机验证</w:t>
            </w:r>
          </w:p>
        </w:tc>
      </w:tr>
      <w:tr w14:paraId="0E117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083" w:type="dxa"/>
            <w:vAlign w:val="top"/>
          </w:tcPr>
          <w:p w14:paraId="5D939301">
            <w:pPr>
              <w:spacing w:before="106" w:line="215" w:lineRule="auto"/>
              <w:ind w:left="985"/>
              <w:rPr>
                <w:rFonts w:ascii="宋体" w:hAnsi="宋体" w:eastAsia="宋体" w:cs="宋体"/>
                <w:sz w:val="20"/>
                <w:szCs w:val="20"/>
              </w:rPr>
            </w:pPr>
            <w:r>
              <w:rPr>
                <w:rFonts w:ascii="宋体" w:hAnsi="宋体" w:eastAsia="宋体" w:cs="宋体"/>
                <w:sz w:val="20"/>
                <w:szCs w:val="20"/>
              </w:rPr>
              <w:t>8</w:t>
            </w:r>
          </w:p>
        </w:tc>
        <w:tc>
          <w:tcPr>
            <w:tcW w:w="7287" w:type="dxa"/>
            <w:vAlign w:val="top"/>
          </w:tcPr>
          <w:p w14:paraId="179C590C">
            <w:pPr>
              <w:spacing w:before="86" w:line="219" w:lineRule="auto"/>
              <w:ind w:left="112"/>
              <w:rPr>
                <w:rFonts w:ascii="宋体" w:hAnsi="宋体" w:eastAsia="宋体" w:cs="宋体"/>
                <w:sz w:val="20"/>
                <w:szCs w:val="20"/>
              </w:rPr>
            </w:pPr>
            <w:r>
              <w:rPr>
                <w:rFonts w:ascii="宋体" w:hAnsi="宋体" w:eastAsia="宋体" w:cs="宋体"/>
                <w:spacing w:val="1"/>
                <w:sz w:val="20"/>
                <w:szCs w:val="20"/>
              </w:rPr>
              <w:t>系统完成试验验证</w:t>
            </w:r>
          </w:p>
        </w:tc>
      </w:tr>
      <w:tr w14:paraId="2D6AD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083" w:type="dxa"/>
            <w:vAlign w:val="top"/>
          </w:tcPr>
          <w:p w14:paraId="53FCADE9">
            <w:pPr>
              <w:spacing w:before="107" w:line="218" w:lineRule="auto"/>
              <w:ind w:left="985"/>
              <w:rPr>
                <w:rFonts w:ascii="宋体" w:hAnsi="宋体" w:eastAsia="宋体" w:cs="宋体"/>
                <w:sz w:val="20"/>
                <w:szCs w:val="20"/>
              </w:rPr>
            </w:pPr>
            <w:r>
              <w:rPr>
                <w:rFonts w:ascii="宋体" w:hAnsi="宋体" w:eastAsia="宋体" w:cs="宋体"/>
                <w:sz w:val="20"/>
                <w:szCs w:val="20"/>
              </w:rPr>
              <w:t>9</w:t>
            </w:r>
          </w:p>
        </w:tc>
        <w:tc>
          <w:tcPr>
            <w:tcW w:w="7287" w:type="dxa"/>
            <w:vAlign w:val="top"/>
          </w:tcPr>
          <w:p w14:paraId="75392F73">
            <w:pPr>
              <w:spacing w:before="87" w:line="219" w:lineRule="auto"/>
              <w:ind w:left="112"/>
              <w:rPr>
                <w:rFonts w:ascii="宋体" w:hAnsi="宋体" w:eastAsia="宋体" w:cs="宋体"/>
                <w:sz w:val="20"/>
                <w:szCs w:val="20"/>
              </w:rPr>
            </w:pPr>
            <w:r>
              <w:rPr>
                <w:rFonts w:ascii="宋体" w:hAnsi="宋体" w:eastAsia="宋体" w:cs="宋体"/>
                <w:spacing w:val="1"/>
                <w:sz w:val="20"/>
                <w:szCs w:val="20"/>
              </w:rPr>
              <w:t>系统完成使用验证</w:t>
            </w:r>
          </w:p>
        </w:tc>
      </w:tr>
    </w:tbl>
    <w:p w14:paraId="4F1B377A">
      <w:pPr>
        <w:pStyle w:val="2"/>
        <w:spacing w:before="176" w:line="269" w:lineRule="auto"/>
        <w:ind w:right="122" w:firstLine="550"/>
      </w:pPr>
      <w:r>
        <w:rPr>
          <w:spacing w:val="1"/>
        </w:rPr>
        <w:t>3级：开始技术研发。在这一等级，开展实验室研究，验证各独立技术元素</w:t>
      </w:r>
      <w:r>
        <w:rPr>
          <w:spacing w:val="3"/>
        </w:rPr>
        <w:t xml:space="preserve"> 的分析预测。例如还未集成的或有代表性的元件。</w:t>
      </w:r>
    </w:p>
    <w:p w14:paraId="06884781">
      <w:pPr>
        <w:pStyle w:val="2"/>
        <w:spacing w:before="3" w:line="284" w:lineRule="auto"/>
        <w:ind w:right="123" w:firstLine="550"/>
      </w:pPr>
      <w:r>
        <w:rPr>
          <w:spacing w:val="1"/>
        </w:rPr>
        <w:t>4级：基础部件或原理样机在实验室进行试验，与最终系统相比，试验逼真</w:t>
      </w:r>
      <w:r>
        <w:rPr>
          <w:spacing w:val="2"/>
        </w:rPr>
        <w:t xml:space="preserve"> </w:t>
      </w:r>
      <w:r>
        <w:rPr>
          <w:spacing w:val="1"/>
        </w:rPr>
        <w:t>度相当低。</w:t>
      </w:r>
    </w:p>
    <w:p w14:paraId="771DC0E6">
      <w:pPr>
        <w:pStyle w:val="2"/>
        <w:spacing w:before="9" w:line="260" w:lineRule="auto"/>
        <w:ind w:right="117" w:firstLine="550"/>
      </w:pPr>
      <w:r>
        <w:rPr>
          <w:rFonts w:ascii="仿宋" w:hAnsi="仿宋" w:eastAsia="仿宋" w:cs="仿宋"/>
          <w:spacing w:val="14"/>
        </w:rPr>
        <w:t>5</w:t>
      </w:r>
      <w:r>
        <w:rPr>
          <w:rFonts w:ascii="仿宋" w:hAnsi="仿宋" w:eastAsia="仿宋" w:cs="仿宋"/>
          <w:spacing w:val="-50"/>
        </w:rPr>
        <w:t xml:space="preserve"> </w:t>
      </w:r>
      <w:r>
        <w:rPr>
          <w:rFonts w:ascii="仿宋" w:hAnsi="仿宋" w:eastAsia="仿宋" w:cs="仿宋"/>
          <w:spacing w:val="14"/>
        </w:rPr>
        <w:t>级</w:t>
      </w:r>
      <w:r>
        <w:rPr>
          <w:rFonts w:ascii="仿宋" w:hAnsi="仿宋" w:eastAsia="仿宋" w:cs="仿宋"/>
          <w:spacing w:val="-72"/>
        </w:rPr>
        <w:t xml:space="preserve"> </w:t>
      </w:r>
      <w:r>
        <w:rPr>
          <w:rFonts w:ascii="仿宋" w:hAnsi="仿宋" w:eastAsia="仿宋" w:cs="仿宋"/>
          <w:spacing w:val="14"/>
        </w:rPr>
        <w:t>：</w:t>
      </w:r>
      <w:r>
        <w:rPr>
          <w:spacing w:val="14"/>
        </w:rPr>
        <w:t>部件或部件级原理样机在相关环境下进行试验，试验逼真度明显</w:t>
      </w:r>
      <w:r>
        <w:t xml:space="preserve"> </w:t>
      </w:r>
      <w:r>
        <w:rPr>
          <w:spacing w:val="-4"/>
        </w:rPr>
        <w:t>提高。</w:t>
      </w:r>
    </w:p>
    <w:p w14:paraId="0D7460A2">
      <w:pPr>
        <w:pStyle w:val="2"/>
        <w:spacing w:before="40" w:line="270" w:lineRule="auto"/>
        <w:ind w:right="123" w:firstLine="550"/>
      </w:pPr>
      <w:r>
        <w:rPr>
          <w:spacing w:val="1"/>
        </w:rPr>
        <w:t xml:space="preserve">6级：系统/子系统在相关环境下进行试验，系统/子系统技术成熟度显著提 </w:t>
      </w:r>
      <w:r>
        <w:rPr>
          <w:spacing w:val="4"/>
        </w:rPr>
        <w:t>高。例如在高逼真度实验室环境或模拟使用环境中进行样机试验。</w:t>
      </w:r>
    </w:p>
    <w:p w14:paraId="133EB51F">
      <w:pPr>
        <w:pStyle w:val="2"/>
        <w:spacing w:line="223" w:lineRule="auto"/>
        <w:ind w:left="550"/>
      </w:pPr>
      <w:r>
        <w:rPr>
          <w:rFonts w:ascii="仿宋" w:hAnsi="仿宋" w:eastAsia="仿宋" w:cs="仿宋"/>
          <w:spacing w:val="-6"/>
        </w:rPr>
        <w:t>7</w:t>
      </w:r>
      <w:r>
        <w:rPr>
          <w:rFonts w:ascii="仿宋" w:hAnsi="仿宋" w:eastAsia="仿宋" w:cs="仿宋"/>
          <w:spacing w:val="-51"/>
        </w:rPr>
        <w:t xml:space="preserve"> </w:t>
      </w:r>
      <w:r>
        <w:rPr>
          <w:rFonts w:ascii="仿宋" w:hAnsi="仿宋" w:eastAsia="仿宋" w:cs="仿宋"/>
          <w:spacing w:val="-6"/>
        </w:rPr>
        <w:t>级</w:t>
      </w:r>
      <w:r>
        <w:rPr>
          <w:rFonts w:ascii="仿宋" w:hAnsi="仿宋" w:eastAsia="仿宋" w:cs="仿宋"/>
          <w:spacing w:val="-72"/>
        </w:rPr>
        <w:t xml:space="preserve"> </w:t>
      </w:r>
      <w:r>
        <w:rPr>
          <w:rFonts w:ascii="仿宋" w:hAnsi="仿宋" w:eastAsia="仿宋" w:cs="仿宋"/>
          <w:spacing w:val="-6"/>
        </w:rPr>
        <w:t>：</w:t>
      </w:r>
      <w:r>
        <w:rPr>
          <w:spacing w:val="-6"/>
        </w:rPr>
        <w:t>系统样机验证。在这一等级，系统样机在近似真实环境下进行验证。</w:t>
      </w:r>
    </w:p>
    <w:p w14:paraId="1271E6BC">
      <w:pPr>
        <w:pStyle w:val="2"/>
        <w:spacing w:before="75" w:line="219" w:lineRule="auto"/>
        <w:ind w:left="550"/>
      </w:pPr>
      <w:r>
        <w:rPr>
          <w:spacing w:val="-2"/>
        </w:rPr>
        <w:t>8级：系统试验验证。在这一等级，系统在真实环境下完成试验验证。</w:t>
      </w:r>
    </w:p>
    <w:p w14:paraId="02F7A32F">
      <w:pPr>
        <w:pStyle w:val="2"/>
        <w:spacing w:before="68" w:line="278" w:lineRule="auto"/>
        <w:ind w:right="116" w:firstLine="550"/>
      </w:pPr>
      <w:r>
        <w:rPr>
          <w:spacing w:val="10"/>
        </w:rPr>
        <w:t>9级：系统使用验证。在这一等级，技术以其最终形式</w:t>
      </w:r>
      <w:r>
        <w:rPr>
          <w:spacing w:val="9"/>
        </w:rPr>
        <w:t>在任务环境中得到</w:t>
      </w:r>
      <w:r>
        <w:t xml:space="preserve"> </w:t>
      </w:r>
      <w:r>
        <w:rPr>
          <w:spacing w:val="-4"/>
        </w:rPr>
        <w:t>应用。</w:t>
      </w:r>
    </w:p>
    <w:p w14:paraId="0EC59B6C">
      <w:pPr>
        <w:spacing w:before="4" w:line="222" w:lineRule="auto"/>
        <w:rPr>
          <w:rFonts w:ascii="黑体" w:hAnsi="黑体" w:eastAsia="黑体" w:cs="黑体"/>
          <w:sz w:val="27"/>
          <w:szCs w:val="27"/>
        </w:rPr>
      </w:pPr>
      <w:r>
        <w:rPr>
          <w:rFonts w:ascii="黑体" w:hAnsi="黑体" w:eastAsia="黑体" w:cs="黑体"/>
          <w:sz w:val="27"/>
          <w:szCs w:val="27"/>
        </w:rPr>
        <w:t>2.4</w:t>
      </w:r>
      <w:r>
        <w:rPr>
          <w:rFonts w:ascii="黑体" w:hAnsi="黑体" w:eastAsia="黑体" w:cs="黑体"/>
          <w:spacing w:val="20"/>
          <w:sz w:val="27"/>
          <w:szCs w:val="27"/>
        </w:rPr>
        <w:t xml:space="preserve">  </w:t>
      </w:r>
      <w:r>
        <w:rPr>
          <w:rFonts w:ascii="黑体" w:hAnsi="黑体" w:eastAsia="黑体" w:cs="黑体"/>
          <w:b/>
          <w:bCs/>
          <w:sz w:val="27"/>
          <w:szCs w:val="27"/>
        </w:rPr>
        <w:t>技术继承性</w:t>
      </w:r>
    </w:p>
    <w:p w14:paraId="4D497878">
      <w:pPr>
        <w:pStyle w:val="2"/>
        <w:spacing w:before="99" w:line="266" w:lineRule="auto"/>
        <w:ind w:right="123" w:firstLine="550"/>
      </w:pPr>
      <w:r>
        <w:rPr>
          <w:spacing w:val="-3"/>
        </w:rPr>
        <w:t>描述产品的技术继承性，以前在其他项目上开展过的研究工作，或者预先研</w:t>
      </w:r>
      <w:r>
        <w:t xml:space="preserve"> </w:t>
      </w:r>
      <w:r>
        <w:rPr>
          <w:spacing w:val="3"/>
        </w:rPr>
        <w:t>究工作已突破的关键技术。</w:t>
      </w:r>
    </w:p>
    <w:p w14:paraId="5AC82880">
      <w:pPr>
        <w:spacing w:before="1" w:line="220" w:lineRule="auto"/>
        <w:rPr>
          <w:rFonts w:ascii="黑体" w:hAnsi="黑体" w:eastAsia="黑体" w:cs="黑体"/>
          <w:sz w:val="27"/>
          <w:szCs w:val="27"/>
        </w:rPr>
      </w:pPr>
      <w:r>
        <w:rPr>
          <w:rFonts w:ascii="黑体" w:hAnsi="黑体" w:eastAsia="黑体" w:cs="黑体"/>
          <w:spacing w:val="4"/>
          <w:sz w:val="27"/>
          <w:szCs w:val="27"/>
        </w:rPr>
        <w:t>2.5  当前项目活动和技术成熟情况</w:t>
      </w:r>
    </w:p>
    <w:p w14:paraId="77A1D7A6">
      <w:pPr>
        <w:pStyle w:val="2"/>
        <w:spacing w:before="137" w:line="218" w:lineRule="auto"/>
        <w:ind w:left="550"/>
        <w:rPr>
          <w:sz w:val="25"/>
          <w:szCs w:val="25"/>
        </w:rPr>
      </w:pPr>
      <w:r>
        <w:rPr>
          <w:spacing w:val="17"/>
          <w:sz w:val="25"/>
          <w:szCs w:val="25"/>
        </w:rPr>
        <w:t>按照前期技术成熟度评价结果，以及之后的最新研究成果，描述当前项目的</w:t>
      </w:r>
    </w:p>
    <w:p w14:paraId="6D185D2E">
      <w:pPr>
        <w:spacing w:line="218" w:lineRule="auto"/>
        <w:rPr>
          <w:sz w:val="25"/>
          <w:szCs w:val="25"/>
        </w:rPr>
        <w:sectPr>
          <w:footerReference r:id="rId351" w:type="default"/>
          <w:pgSz w:w="11910" w:h="17130"/>
          <w:pgMar w:top="1456" w:right="884" w:bottom="1556" w:left="1539" w:header="0" w:footer="1367" w:gutter="0"/>
          <w:cols w:space="720" w:num="1"/>
        </w:sectPr>
      </w:pPr>
    </w:p>
    <w:p w14:paraId="721ABE31">
      <w:pPr>
        <w:pStyle w:val="2"/>
        <w:spacing w:before="115" w:line="219" w:lineRule="auto"/>
      </w:pPr>
      <w:r>
        <w:rPr>
          <w:spacing w:val="2"/>
        </w:rPr>
        <w:t>活动和技术成熟情况。</w:t>
      </w:r>
    </w:p>
    <w:p w14:paraId="3208D6E7">
      <w:pPr>
        <w:spacing w:before="87" w:line="221" w:lineRule="auto"/>
        <w:rPr>
          <w:rFonts w:ascii="黑体" w:hAnsi="黑体" w:eastAsia="黑体" w:cs="黑体"/>
          <w:sz w:val="27"/>
          <w:szCs w:val="27"/>
        </w:rPr>
      </w:pPr>
      <w:r>
        <w:rPr>
          <w:rFonts w:ascii="黑体" w:hAnsi="黑体" w:eastAsia="黑体" w:cs="黑体"/>
          <w:spacing w:val="2"/>
          <w:sz w:val="27"/>
          <w:szCs w:val="27"/>
        </w:rPr>
        <w:t>2.6  技术成熟度管理</w:t>
      </w:r>
    </w:p>
    <w:p w14:paraId="34807C24">
      <w:pPr>
        <w:pStyle w:val="2"/>
        <w:spacing w:before="48" w:line="270" w:lineRule="auto"/>
        <w:ind w:right="77" w:firstLine="560"/>
      </w:pPr>
      <w:r>
        <w:rPr>
          <w:spacing w:val="5"/>
        </w:rPr>
        <w:t>描述拟采取的技术成熟度管理措施。例如将组建一个技术成熟度管理工作</w:t>
      </w:r>
      <w:r>
        <w:rPr>
          <w:spacing w:val="16"/>
        </w:rPr>
        <w:t xml:space="preserve"> </w:t>
      </w:r>
      <w:r>
        <w:rPr>
          <w:spacing w:val="-5"/>
        </w:rPr>
        <w:t>组对技术成熟过程进行监督，包括：</w:t>
      </w:r>
    </w:p>
    <w:p w14:paraId="7D0E3E57">
      <w:pPr>
        <w:pStyle w:val="2"/>
        <w:spacing w:line="212" w:lineRule="auto"/>
        <w:ind w:right="30"/>
        <w:jc w:val="right"/>
      </w:pPr>
      <w:r>
        <w:rPr>
          <w:rFonts w:ascii="Times New Roman" w:hAnsi="Times New Roman" w:eastAsia="Times New Roman" w:cs="Times New Roman"/>
          <w:spacing w:val="4"/>
        </w:rPr>
        <w:t xml:space="preserve">a)  </w:t>
      </w:r>
      <w:r>
        <w:rPr>
          <w:spacing w:val="4"/>
        </w:rPr>
        <w:t>监督技术成熟计划中所涉及的技术试验和工程工作的计划和完成情况；</w:t>
      </w:r>
    </w:p>
    <w:p w14:paraId="50FE116F">
      <w:pPr>
        <w:pStyle w:val="2"/>
        <w:spacing w:before="89"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61"/>
        </w:rPr>
        <w:t xml:space="preserve"> </w:t>
      </w:r>
      <w:r>
        <w:rPr>
          <w:spacing w:val="4"/>
        </w:rPr>
        <w:t>使用风险评估和价值工程方法识别和评估额外的技术发展需求；</w:t>
      </w:r>
    </w:p>
    <w:p w14:paraId="1EE33B04">
      <w:pPr>
        <w:pStyle w:val="2"/>
        <w:spacing w:before="120" w:line="212" w:lineRule="auto"/>
        <w:ind w:left="560"/>
      </w:pPr>
      <w:r>
        <w:rPr>
          <w:rFonts w:ascii="Times New Roman" w:hAnsi="Times New Roman" w:eastAsia="Times New Roman" w:cs="Times New Roman"/>
        </w:rPr>
        <w:t xml:space="preserve">c)  </w:t>
      </w:r>
      <w:r>
        <w:t>审批技术问题。</w:t>
      </w:r>
    </w:p>
    <w:p w14:paraId="743F401F">
      <w:pPr>
        <w:spacing w:before="118" w:line="221" w:lineRule="auto"/>
        <w:rPr>
          <w:rFonts w:ascii="黑体" w:hAnsi="黑体" w:eastAsia="黑体" w:cs="黑体"/>
          <w:sz w:val="27"/>
          <w:szCs w:val="27"/>
        </w:rPr>
      </w:pPr>
      <w:r>
        <w:rPr>
          <w:rFonts w:ascii="黑体" w:hAnsi="黑体" w:eastAsia="黑体" w:cs="黑体"/>
          <w:spacing w:val="4"/>
          <w:sz w:val="27"/>
          <w:szCs w:val="27"/>
        </w:rPr>
        <w:t>3</w:t>
      </w:r>
      <w:r>
        <w:rPr>
          <w:rFonts w:ascii="黑体" w:hAnsi="黑体" w:eastAsia="黑体" w:cs="黑体"/>
          <w:spacing w:val="25"/>
          <w:sz w:val="27"/>
          <w:szCs w:val="27"/>
        </w:rPr>
        <w:t xml:space="preserve">  </w:t>
      </w:r>
      <w:r>
        <w:rPr>
          <w:rFonts w:ascii="黑体" w:hAnsi="黑体" w:eastAsia="黑体" w:cs="黑体"/>
          <w:spacing w:val="4"/>
          <w:sz w:val="27"/>
          <w:szCs w:val="27"/>
        </w:rPr>
        <w:t>技术成熟计划</w:t>
      </w:r>
    </w:p>
    <w:p w14:paraId="4E7F492E">
      <w:pPr>
        <w:spacing w:before="116" w:line="221" w:lineRule="auto"/>
        <w:rPr>
          <w:rFonts w:ascii="黑体" w:hAnsi="黑体" w:eastAsia="黑体" w:cs="黑体"/>
          <w:sz w:val="24"/>
          <w:szCs w:val="24"/>
        </w:rPr>
      </w:pPr>
      <w:r>
        <w:rPr>
          <w:rFonts w:ascii="黑体" w:hAnsi="黑体" w:eastAsia="黑体" w:cs="黑体"/>
          <w:spacing w:val="23"/>
          <w:sz w:val="24"/>
          <w:szCs w:val="24"/>
        </w:rPr>
        <w:t>3.1</w:t>
      </w:r>
      <w:r>
        <w:rPr>
          <w:rFonts w:ascii="黑体" w:hAnsi="黑体" w:eastAsia="黑体" w:cs="黑体"/>
          <w:spacing w:val="47"/>
          <w:sz w:val="24"/>
          <w:szCs w:val="24"/>
        </w:rPr>
        <w:t xml:space="preserve">  </w:t>
      </w:r>
      <w:r>
        <w:rPr>
          <w:rFonts w:ascii="黑体" w:hAnsi="黑体" w:eastAsia="黑体" w:cs="黑体"/>
          <w:spacing w:val="23"/>
          <w:sz w:val="24"/>
          <w:szCs w:val="24"/>
        </w:rPr>
        <w:t>技术成熟需求</w:t>
      </w:r>
    </w:p>
    <w:p w14:paraId="52E6D08C">
      <w:pPr>
        <w:pStyle w:val="2"/>
        <w:spacing w:before="96" w:line="219" w:lineRule="auto"/>
        <w:ind w:left="560"/>
      </w:pPr>
      <w:r>
        <w:rPr>
          <w:spacing w:val="5"/>
        </w:rPr>
        <w:t>描述尚不满足产品研制总要求的技术成熟需求。</w:t>
      </w:r>
    </w:p>
    <w:p w14:paraId="7CE8F95A">
      <w:pPr>
        <w:spacing w:before="106" w:line="221" w:lineRule="auto"/>
        <w:rPr>
          <w:rFonts w:ascii="黑体" w:hAnsi="黑体" w:eastAsia="黑体" w:cs="黑体"/>
          <w:sz w:val="25"/>
          <w:szCs w:val="25"/>
        </w:rPr>
      </w:pPr>
      <w:r>
        <w:rPr>
          <w:rFonts w:ascii="黑体" w:hAnsi="黑体" w:eastAsia="黑体" w:cs="黑体"/>
          <w:spacing w:val="15"/>
          <w:sz w:val="25"/>
          <w:szCs w:val="25"/>
        </w:rPr>
        <w:t>3.2</w:t>
      </w:r>
      <w:r>
        <w:rPr>
          <w:rFonts w:ascii="黑体" w:hAnsi="黑体" w:eastAsia="黑体" w:cs="黑体"/>
          <w:spacing w:val="36"/>
          <w:sz w:val="25"/>
          <w:szCs w:val="25"/>
        </w:rPr>
        <w:t xml:space="preserve">  </w:t>
      </w:r>
      <w:r>
        <w:rPr>
          <w:rFonts w:ascii="黑体" w:hAnsi="黑体" w:eastAsia="黑体" w:cs="黑体"/>
          <w:spacing w:val="15"/>
          <w:sz w:val="25"/>
          <w:szCs w:val="25"/>
        </w:rPr>
        <w:t>全寿命周期效益</w:t>
      </w:r>
    </w:p>
    <w:p w14:paraId="1B5AC532">
      <w:pPr>
        <w:pStyle w:val="2"/>
        <w:spacing w:before="94" w:line="219" w:lineRule="auto"/>
        <w:ind w:left="560"/>
      </w:pPr>
      <w:r>
        <w:rPr>
          <w:spacing w:val="5"/>
        </w:rPr>
        <w:t>描述通过技术成熟计划可以获得的全寿命周期效</w:t>
      </w:r>
      <w:r>
        <w:rPr>
          <w:spacing w:val="4"/>
        </w:rPr>
        <w:t>益。</w:t>
      </w:r>
    </w:p>
    <w:p w14:paraId="4A3FC2EA">
      <w:pPr>
        <w:spacing w:before="19" w:line="368" w:lineRule="exact"/>
        <w:rPr>
          <w:rFonts w:ascii="黑体" w:hAnsi="黑体" w:eastAsia="黑体" w:cs="黑体"/>
          <w:sz w:val="27"/>
          <w:szCs w:val="27"/>
        </w:rPr>
      </w:pPr>
      <w:r>
        <w:rPr>
          <w:rFonts w:ascii="Arial" w:hAnsi="Arial" w:eastAsia="Arial" w:cs="Arial"/>
          <w:spacing w:val="5"/>
          <w:position w:val="1"/>
          <w:sz w:val="27"/>
          <w:szCs w:val="27"/>
        </w:rPr>
        <w:t xml:space="preserve">3.3    </w:t>
      </w:r>
      <w:r>
        <w:rPr>
          <w:rFonts w:ascii="黑体" w:hAnsi="黑体" w:eastAsia="黑体" w:cs="黑体"/>
          <w:spacing w:val="5"/>
          <w:position w:val="1"/>
          <w:sz w:val="27"/>
          <w:szCs w:val="27"/>
        </w:rPr>
        <w:t>具体技术的成熟计划</w:t>
      </w:r>
    </w:p>
    <w:p w14:paraId="6AF5DC81">
      <w:pPr>
        <w:spacing w:before="82" w:line="212" w:lineRule="auto"/>
        <w:rPr>
          <w:rFonts w:ascii="黑体" w:hAnsi="黑体" w:eastAsia="黑体" w:cs="黑体"/>
          <w:sz w:val="27"/>
          <w:szCs w:val="27"/>
        </w:rPr>
      </w:pPr>
      <w:r>
        <w:rPr>
          <w:rFonts w:ascii="黑体" w:hAnsi="黑体" w:eastAsia="黑体" w:cs="黑体"/>
          <w:spacing w:val="4"/>
          <w:sz w:val="27"/>
          <w:szCs w:val="27"/>
        </w:rPr>
        <w:t>3.3.</w:t>
      </w:r>
      <w:r>
        <w:rPr>
          <w:rFonts w:ascii="Times New Roman" w:hAnsi="Times New Roman" w:eastAsia="Times New Roman" w:cs="Times New Roman"/>
          <w:spacing w:val="4"/>
          <w:sz w:val="27"/>
          <w:szCs w:val="27"/>
        </w:rPr>
        <w:t>X</w:t>
      </w:r>
      <w:r>
        <w:rPr>
          <w:rFonts w:ascii="Times New Roman" w:hAnsi="Times New Roman" w:eastAsia="Times New Roman" w:cs="Times New Roman"/>
          <w:spacing w:val="14"/>
          <w:sz w:val="27"/>
          <w:szCs w:val="27"/>
        </w:rPr>
        <w:t xml:space="preserve">    </w:t>
      </w:r>
      <w:r>
        <w:rPr>
          <w:rFonts w:ascii="Times New Roman" w:hAnsi="Times New Roman" w:eastAsia="Times New Roman" w:cs="Times New Roman"/>
          <w:spacing w:val="4"/>
          <w:sz w:val="27"/>
          <w:szCs w:val="27"/>
        </w:rPr>
        <w:t>(</w:t>
      </w:r>
      <w:r>
        <w:rPr>
          <w:rFonts w:ascii="Times New Roman" w:hAnsi="Times New Roman" w:eastAsia="Times New Roman" w:cs="Times New Roman"/>
          <w:spacing w:val="-26"/>
          <w:sz w:val="27"/>
          <w:szCs w:val="27"/>
        </w:rPr>
        <w:t xml:space="preserve"> </w:t>
      </w:r>
      <w:r>
        <w:rPr>
          <w:rFonts w:ascii="黑体" w:hAnsi="黑体" w:eastAsia="黑体" w:cs="黑体"/>
          <w:spacing w:val="4"/>
          <w:sz w:val="27"/>
          <w:szCs w:val="27"/>
        </w:rPr>
        <w:t>第</w:t>
      </w:r>
      <w:r>
        <w:rPr>
          <w:rFonts w:ascii="黑体" w:hAnsi="黑体" w:eastAsia="黑体" w:cs="黑体"/>
          <w:spacing w:val="-64"/>
          <w:sz w:val="27"/>
          <w:szCs w:val="27"/>
        </w:rPr>
        <w:t xml:space="preserve"> </w:t>
      </w:r>
      <w:r>
        <w:rPr>
          <w:rFonts w:ascii="Times New Roman" w:hAnsi="Times New Roman" w:eastAsia="Times New Roman" w:cs="Times New Roman"/>
          <w:spacing w:val="4"/>
          <w:sz w:val="27"/>
          <w:szCs w:val="27"/>
        </w:rPr>
        <w:t xml:space="preserve">X </w:t>
      </w:r>
      <w:r>
        <w:rPr>
          <w:rFonts w:ascii="黑体" w:hAnsi="黑体" w:eastAsia="黑体" w:cs="黑体"/>
          <w:spacing w:val="4"/>
          <w:sz w:val="27"/>
          <w:szCs w:val="27"/>
        </w:rPr>
        <w:t>项技术的成熟计划)</w:t>
      </w:r>
    </w:p>
    <w:p w14:paraId="472605CD">
      <w:pPr>
        <w:pStyle w:val="2"/>
        <w:spacing w:before="120" w:line="275" w:lineRule="auto"/>
        <w:ind w:right="62" w:firstLine="560"/>
      </w:pPr>
      <w:r>
        <w:rPr>
          <w:spacing w:val="-9"/>
        </w:rPr>
        <w:t>描述第</w:t>
      </w:r>
      <w:r>
        <w:rPr>
          <w:rFonts w:ascii="Times New Roman" w:hAnsi="Times New Roman" w:eastAsia="Times New Roman" w:cs="Times New Roman"/>
          <w:spacing w:val="-9"/>
        </w:rPr>
        <w:t>X</w:t>
      </w:r>
      <w:r>
        <w:rPr>
          <w:rFonts w:ascii="Times New Roman" w:hAnsi="Times New Roman" w:eastAsia="Times New Roman" w:cs="Times New Roman"/>
          <w:spacing w:val="-21"/>
        </w:rPr>
        <w:t xml:space="preserve"> </w:t>
      </w:r>
      <w:r>
        <w:rPr>
          <w:spacing w:val="-9"/>
        </w:rPr>
        <w:t>项关键技术的成熟计划，说明关键</w:t>
      </w:r>
      <w:r>
        <w:rPr>
          <w:spacing w:val="-10"/>
        </w:rPr>
        <w:t>技术名称、当前技术状态、技术成</w:t>
      </w:r>
      <w:r>
        <w:t xml:space="preserve"> </w:t>
      </w:r>
      <w:r>
        <w:rPr>
          <w:spacing w:val="-17"/>
        </w:rPr>
        <w:t>熟目标、技术开发方法、主要工作内容(关键步骤、关键点、性</w:t>
      </w:r>
      <w:r>
        <w:rPr>
          <w:spacing w:val="-18"/>
        </w:rPr>
        <w:t>能指标和成本等)。</w:t>
      </w:r>
    </w:p>
    <w:p w14:paraId="590752F6">
      <w:pPr>
        <w:spacing w:before="23" w:line="221" w:lineRule="auto"/>
        <w:rPr>
          <w:rFonts w:ascii="黑体" w:hAnsi="黑体" w:eastAsia="黑体" w:cs="黑体"/>
          <w:sz w:val="24"/>
          <w:szCs w:val="24"/>
        </w:rPr>
      </w:pPr>
      <w:r>
        <w:rPr>
          <w:rFonts w:ascii="黑体" w:hAnsi="黑体" w:eastAsia="黑体" w:cs="黑体"/>
          <w:spacing w:val="29"/>
          <w:sz w:val="24"/>
          <w:szCs w:val="24"/>
        </w:rPr>
        <w:t>4</w:t>
      </w:r>
      <w:r>
        <w:rPr>
          <w:rFonts w:ascii="黑体" w:hAnsi="黑体" w:eastAsia="黑体" w:cs="黑体"/>
          <w:spacing w:val="58"/>
          <w:sz w:val="24"/>
          <w:szCs w:val="24"/>
        </w:rPr>
        <w:t xml:space="preserve">  </w:t>
      </w:r>
      <w:r>
        <w:rPr>
          <w:rFonts w:ascii="黑体" w:hAnsi="黑体" w:eastAsia="黑体" w:cs="黑体"/>
          <w:spacing w:val="29"/>
          <w:sz w:val="24"/>
          <w:szCs w:val="24"/>
        </w:rPr>
        <w:t>技术成熟进度表</w:t>
      </w:r>
    </w:p>
    <w:p w14:paraId="4DECB25F">
      <w:pPr>
        <w:pStyle w:val="2"/>
        <w:spacing w:before="116" w:line="219" w:lineRule="auto"/>
        <w:ind w:left="560"/>
      </w:pPr>
      <w:r>
        <w:rPr>
          <w:spacing w:val="1"/>
        </w:rPr>
        <w:t>列表给出技术成熟进度表，见表6.13。</w:t>
      </w:r>
    </w:p>
    <w:p w14:paraId="0A8AEA28">
      <w:pPr>
        <w:spacing w:before="107" w:line="222" w:lineRule="auto"/>
        <w:ind w:left="2379"/>
        <w:rPr>
          <w:rFonts w:ascii="仿宋" w:hAnsi="仿宋" w:eastAsia="仿宋" w:cs="仿宋"/>
          <w:sz w:val="24"/>
          <w:szCs w:val="24"/>
        </w:rPr>
      </w:pPr>
      <w:r>
        <w:rPr>
          <w:rFonts w:ascii="仿宋" w:hAnsi="仿宋" w:eastAsia="仿宋" w:cs="仿宋"/>
          <w:spacing w:val="25"/>
          <w:sz w:val="24"/>
          <w:szCs w:val="24"/>
        </w:rPr>
        <w:t>表6</w:t>
      </w:r>
      <w:r>
        <w:rPr>
          <w:rFonts w:ascii="仿宋" w:hAnsi="仿宋" w:eastAsia="仿宋" w:cs="仿宋"/>
          <w:spacing w:val="-54"/>
          <w:sz w:val="24"/>
          <w:szCs w:val="24"/>
        </w:rPr>
        <w:t xml:space="preserve"> </w:t>
      </w:r>
      <w:r>
        <w:rPr>
          <w:rFonts w:ascii="仿宋" w:hAnsi="仿宋" w:eastAsia="仿宋" w:cs="仿宋"/>
          <w:spacing w:val="25"/>
          <w:sz w:val="24"/>
          <w:szCs w:val="24"/>
        </w:rPr>
        <w:t>.</w:t>
      </w:r>
      <w:r>
        <w:rPr>
          <w:rFonts w:ascii="仿宋" w:hAnsi="仿宋" w:eastAsia="仿宋" w:cs="仿宋"/>
          <w:spacing w:val="-48"/>
          <w:sz w:val="24"/>
          <w:szCs w:val="24"/>
        </w:rPr>
        <w:t xml:space="preserve"> </w:t>
      </w:r>
      <w:r>
        <w:rPr>
          <w:rFonts w:ascii="仿宋" w:hAnsi="仿宋" w:eastAsia="仿宋" w:cs="仿宋"/>
          <w:spacing w:val="25"/>
          <w:sz w:val="24"/>
          <w:szCs w:val="24"/>
        </w:rPr>
        <w:t>13  关键技术元素技术成熟进度表</w:t>
      </w:r>
    </w:p>
    <w:p w14:paraId="6784312A">
      <w:pPr>
        <w:spacing w:line="108" w:lineRule="exact"/>
      </w:pPr>
    </w:p>
    <w:tbl>
      <w:tblPr>
        <w:tblStyle w:val="5"/>
        <w:tblW w:w="936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42"/>
        <w:gridCol w:w="510"/>
        <w:gridCol w:w="530"/>
        <w:gridCol w:w="529"/>
        <w:gridCol w:w="510"/>
        <w:gridCol w:w="529"/>
        <w:gridCol w:w="529"/>
        <w:gridCol w:w="519"/>
        <w:gridCol w:w="519"/>
        <w:gridCol w:w="529"/>
        <w:gridCol w:w="519"/>
        <w:gridCol w:w="519"/>
        <w:gridCol w:w="485"/>
      </w:tblGrid>
      <w:tr w14:paraId="2F2F3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3142" w:type="dxa"/>
            <w:vMerge w:val="restart"/>
            <w:tcBorders>
              <w:bottom w:val="nil"/>
            </w:tcBorders>
            <w:vAlign w:val="top"/>
          </w:tcPr>
          <w:p w14:paraId="120091C6">
            <w:pPr>
              <w:pStyle w:val="6"/>
              <w:spacing w:line="244" w:lineRule="auto"/>
            </w:pPr>
          </w:p>
          <w:p w14:paraId="6A5948EB">
            <w:pPr>
              <w:spacing w:before="68" w:line="219" w:lineRule="auto"/>
              <w:ind w:left="944"/>
              <w:rPr>
                <w:rFonts w:ascii="宋体" w:hAnsi="宋体" w:eastAsia="宋体" w:cs="宋体"/>
                <w:sz w:val="21"/>
                <w:szCs w:val="21"/>
              </w:rPr>
            </w:pPr>
            <w:r>
              <w:rPr>
                <w:rFonts w:ascii="宋体" w:hAnsi="宋体" w:eastAsia="宋体" w:cs="宋体"/>
                <w:spacing w:val="1"/>
                <w:sz w:val="21"/>
                <w:szCs w:val="21"/>
              </w:rPr>
              <w:t>关键技术元素</w:t>
            </w:r>
          </w:p>
        </w:tc>
        <w:tc>
          <w:tcPr>
            <w:tcW w:w="6227" w:type="dxa"/>
            <w:gridSpan w:val="12"/>
            <w:vAlign w:val="top"/>
          </w:tcPr>
          <w:p w14:paraId="6CD7D040">
            <w:pPr>
              <w:spacing w:before="103" w:line="219" w:lineRule="auto"/>
              <w:ind w:left="2702"/>
              <w:rPr>
                <w:rFonts w:ascii="宋体" w:hAnsi="宋体" w:eastAsia="宋体" w:cs="宋体"/>
                <w:sz w:val="21"/>
                <w:szCs w:val="21"/>
              </w:rPr>
            </w:pPr>
            <w:r>
              <w:rPr>
                <w:rFonts w:ascii="宋体" w:hAnsi="宋体" w:eastAsia="宋体" w:cs="宋体"/>
                <w:spacing w:val="3"/>
                <w:sz w:val="21"/>
                <w:szCs w:val="21"/>
              </w:rPr>
              <w:t>日历年度</w:t>
            </w:r>
          </w:p>
        </w:tc>
      </w:tr>
      <w:tr w14:paraId="39DE2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3142" w:type="dxa"/>
            <w:vMerge w:val="continue"/>
            <w:tcBorders>
              <w:top w:val="nil"/>
            </w:tcBorders>
            <w:vAlign w:val="top"/>
          </w:tcPr>
          <w:p w14:paraId="76631844">
            <w:pPr>
              <w:pStyle w:val="6"/>
            </w:pPr>
          </w:p>
        </w:tc>
        <w:tc>
          <w:tcPr>
            <w:tcW w:w="2079" w:type="dxa"/>
            <w:gridSpan w:val="4"/>
            <w:vAlign w:val="top"/>
          </w:tcPr>
          <w:p w14:paraId="44101820">
            <w:pPr>
              <w:spacing w:before="121"/>
              <w:ind w:left="812"/>
              <w:rPr>
                <w:rFonts w:ascii="宋体" w:hAnsi="宋体" w:eastAsia="宋体" w:cs="宋体"/>
                <w:sz w:val="21"/>
                <w:szCs w:val="21"/>
              </w:rPr>
            </w:pPr>
            <w:r>
              <w:rPr>
                <w:rFonts w:ascii="宋体" w:hAnsi="宋体" w:eastAsia="宋体" w:cs="宋体"/>
                <w:spacing w:val="-3"/>
                <w:sz w:val="21"/>
                <w:szCs w:val="21"/>
              </w:rPr>
              <w:t>2011</w:t>
            </w:r>
          </w:p>
        </w:tc>
        <w:tc>
          <w:tcPr>
            <w:tcW w:w="2096" w:type="dxa"/>
            <w:gridSpan w:val="4"/>
            <w:vAlign w:val="top"/>
          </w:tcPr>
          <w:p w14:paraId="69F681B7">
            <w:pPr>
              <w:spacing w:before="121"/>
              <w:ind w:left="834"/>
              <w:rPr>
                <w:rFonts w:ascii="宋体" w:hAnsi="宋体" w:eastAsia="宋体" w:cs="宋体"/>
                <w:sz w:val="21"/>
                <w:szCs w:val="21"/>
              </w:rPr>
            </w:pPr>
            <w:r>
              <w:rPr>
                <w:rFonts w:ascii="宋体" w:hAnsi="宋体" w:eastAsia="宋体" w:cs="宋体"/>
                <w:spacing w:val="-3"/>
                <w:sz w:val="21"/>
                <w:szCs w:val="21"/>
              </w:rPr>
              <w:t>2012</w:t>
            </w:r>
          </w:p>
        </w:tc>
        <w:tc>
          <w:tcPr>
            <w:tcW w:w="2052" w:type="dxa"/>
            <w:gridSpan w:val="4"/>
            <w:vAlign w:val="top"/>
          </w:tcPr>
          <w:p w14:paraId="415D7191">
            <w:pPr>
              <w:spacing w:before="121"/>
              <w:ind w:left="808"/>
              <w:rPr>
                <w:rFonts w:ascii="宋体" w:hAnsi="宋体" w:eastAsia="宋体" w:cs="宋体"/>
                <w:sz w:val="21"/>
                <w:szCs w:val="21"/>
              </w:rPr>
            </w:pPr>
            <w:r>
              <w:rPr>
                <w:rFonts w:ascii="宋体" w:hAnsi="宋体" w:eastAsia="宋体" w:cs="宋体"/>
                <w:spacing w:val="-3"/>
                <w:sz w:val="21"/>
                <w:szCs w:val="21"/>
              </w:rPr>
              <w:t>2013</w:t>
            </w:r>
          </w:p>
        </w:tc>
      </w:tr>
      <w:tr w14:paraId="2FC35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3142" w:type="dxa"/>
            <w:vAlign w:val="top"/>
          </w:tcPr>
          <w:p w14:paraId="4B66AFC2">
            <w:pPr>
              <w:spacing w:before="103" w:line="219" w:lineRule="auto"/>
              <w:ind w:left="105"/>
              <w:rPr>
                <w:rFonts w:ascii="宋体" w:hAnsi="宋体" w:eastAsia="宋体" w:cs="宋体"/>
                <w:sz w:val="21"/>
                <w:szCs w:val="21"/>
              </w:rPr>
            </w:pPr>
            <w:r>
              <w:rPr>
                <w:rFonts w:ascii="宋体" w:hAnsi="宋体" w:eastAsia="宋体" w:cs="宋体"/>
                <w:spacing w:val="3"/>
                <w:sz w:val="21"/>
                <w:szCs w:val="21"/>
              </w:rPr>
              <w:t>(第1项关键技术元素名称)</w:t>
            </w:r>
          </w:p>
        </w:tc>
        <w:tc>
          <w:tcPr>
            <w:tcW w:w="510" w:type="dxa"/>
            <w:vAlign w:val="top"/>
          </w:tcPr>
          <w:p w14:paraId="26639DF4">
            <w:pPr>
              <w:pStyle w:val="6"/>
            </w:pPr>
          </w:p>
        </w:tc>
        <w:tc>
          <w:tcPr>
            <w:tcW w:w="530" w:type="dxa"/>
            <w:vAlign w:val="top"/>
          </w:tcPr>
          <w:p w14:paraId="0FA7BF29">
            <w:pPr>
              <w:pStyle w:val="6"/>
            </w:pPr>
          </w:p>
        </w:tc>
        <w:tc>
          <w:tcPr>
            <w:tcW w:w="529" w:type="dxa"/>
            <w:vAlign w:val="top"/>
          </w:tcPr>
          <w:p w14:paraId="121084C4">
            <w:pPr>
              <w:pStyle w:val="6"/>
            </w:pPr>
          </w:p>
        </w:tc>
        <w:tc>
          <w:tcPr>
            <w:tcW w:w="510" w:type="dxa"/>
            <w:vAlign w:val="top"/>
          </w:tcPr>
          <w:p w14:paraId="4FEA8107">
            <w:pPr>
              <w:pStyle w:val="6"/>
            </w:pPr>
          </w:p>
        </w:tc>
        <w:tc>
          <w:tcPr>
            <w:tcW w:w="529" w:type="dxa"/>
            <w:vAlign w:val="top"/>
          </w:tcPr>
          <w:p w14:paraId="0A782AE6">
            <w:pPr>
              <w:pStyle w:val="6"/>
            </w:pPr>
          </w:p>
        </w:tc>
        <w:tc>
          <w:tcPr>
            <w:tcW w:w="529" w:type="dxa"/>
            <w:vAlign w:val="top"/>
          </w:tcPr>
          <w:p w14:paraId="09CB4105">
            <w:pPr>
              <w:pStyle w:val="6"/>
            </w:pPr>
          </w:p>
        </w:tc>
        <w:tc>
          <w:tcPr>
            <w:tcW w:w="519" w:type="dxa"/>
            <w:vAlign w:val="top"/>
          </w:tcPr>
          <w:p w14:paraId="550D4265">
            <w:pPr>
              <w:pStyle w:val="6"/>
            </w:pPr>
          </w:p>
        </w:tc>
        <w:tc>
          <w:tcPr>
            <w:tcW w:w="519" w:type="dxa"/>
            <w:vAlign w:val="top"/>
          </w:tcPr>
          <w:p w14:paraId="4350BD8B">
            <w:pPr>
              <w:pStyle w:val="6"/>
            </w:pPr>
          </w:p>
        </w:tc>
        <w:tc>
          <w:tcPr>
            <w:tcW w:w="529" w:type="dxa"/>
            <w:vAlign w:val="top"/>
          </w:tcPr>
          <w:p w14:paraId="46477C7D">
            <w:pPr>
              <w:pStyle w:val="6"/>
            </w:pPr>
          </w:p>
        </w:tc>
        <w:tc>
          <w:tcPr>
            <w:tcW w:w="519" w:type="dxa"/>
            <w:vAlign w:val="top"/>
          </w:tcPr>
          <w:p w14:paraId="75A44C46">
            <w:pPr>
              <w:pStyle w:val="6"/>
            </w:pPr>
          </w:p>
        </w:tc>
        <w:tc>
          <w:tcPr>
            <w:tcW w:w="519" w:type="dxa"/>
            <w:vAlign w:val="top"/>
          </w:tcPr>
          <w:p w14:paraId="7A19DF75">
            <w:pPr>
              <w:pStyle w:val="6"/>
            </w:pPr>
          </w:p>
        </w:tc>
        <w:tc>
          <w:tcPr>
            <w:tcW w:w="485" w:type="dxa"/>
            <w:vAlign w:val="top"/>
          </w:tcPr>
          <w:p w14:paraId="683635ED">
            <w:pPr>
              <w:pStyle w:val="6"/>
            </w:pPr>
          </w:p>
        </w:tc>
      </w:tr>
      <w:tr w14:paraId="05AD7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3142" w:type="dxa"/>
            <w:vAlign w:val="top"/>
          </w:tcPr>
          <w:p w14:paraId="23DB16FB">
            <w:pPr>
              <w:spacing w:before="106" w:line="219" w:lineRule="auto"/>
              <w:ind w:left="105"/>
              <w:rPr>
                <w:rFonts w:ascii="宋体" w:hAnsi="宋体" w:eastAsia="宋体" w:cs="宋体"/>
                <w:sz w:val="21"/>
                <w:szCs w:val="21"/>
              </w:rPr>
            </w:pPr>
            <w:r>
              <w:rPr>
                <w:rFonts w:ascii="宋体" w:hAnsi="宋体" w:eastAsia="宋体" w:cs="宋体"/>
                <w:spacing w:val="3"/>
                <w:sz w:val="21"/>
                <w:szCs w:val="21"/>
              </w:rPr>
              <w:t>(第2项关键技术元素名称)</w:t>
            </w:r>
          </w:p>
        </w:tc>
        <w:tc>
          <w:tcPr>
            <w:tcW w:w="510" w:type="dxa"/>
            <w:vAlign w:val="top"/>
          </w:tcPr>
          <w:p w14:paraId="1346A812">
            <w:pPr>
              <w:pStyle w:val="6"/>
            </w:pPr>
          </w:p>
        </w:tc>
        <w:tc>
          <w:tcPr>
            <w:tcW w:w="530" w:type="dxa"/>
            <w:vAlign w:val="top"/>
          </w:tcPr>
          <w:p w14:paraId="2918305A">
            <w:pPr>
              <w:pStyle w:val="6"/>
            </w:pPr>
          </w:p>
        </w:tc>
        <w:tc>
          <w:tcPr>
            <w:tcW w:w="529" w:type="dxa"/>
            <w:vAlign w:val="top"/>
          </w:tcPr>
          <w:p w14:paraId="09DFAFBB">
            <w:pPr>
              <w:pStyle w:val="6"/>
            </w:pPr>
          </w:p>
        </w:tc>
        <w:tc>
          <w:tcPr>
            <w:tcW w:w="510" w:type="dxa"/>
            <w:vAlign w:val="top"/>
          </w:tcPr>
          <w:p w14:paraId="448D7063">
            <w:pPr>
              <w:pStyle w:val="6"/>
            </w:pPr>
          </w:p>
        </w:tc>
        <w:tc>
          <w:tcPr>
            <w:tcW w:w="529" w:type="dxa"/>
            <w:vAlign w:val="top"/>
          </w:tcPr>
          <w:p w14:paraId="356312EE">
            <w:pPr>
              <w:pStyle w:val="6"/>
            </w:pPr>
          </w:p>
        </w:tc>
        <w:tc>
          <w:tcPr>
            <w:tcW w:w="529" w:type="dxa"/>
            <w:vAlign w:val="top"/>
          </w:tcPr>
          <w:p w14:paraId="37241FBF">
            <w:pPr>
              <w:pStyle w:val="6"/>
            </w:pPr>
          </w:p>
        </w:tc>
        <w:tc>
          <w:tcPr>
            <w:tcW w:w="519" w:type="dxa"/>
            <w:vAlign w:val="top"/>
          </w:tcPr>
          <w:p w14:paraId="40A27DCB">
            <w:pPr>
              <w:pStyle w:val="6"/>
            </w:pPr>
          </w:p>
        </w:tc>
        <w:tc>
          <w:tcPr>
            <w:tcW w:w="519" w:type="dxa"/>
            <w:vAlign w:val="top"/>
          </w:tcPr>
          <w:p w14:paraId="60C7B7D8">
            <w:pPr>
              <w:pStyle w:val="6"/>
            </w:pPr>
          </w:p>
        </w:tc>
        <w:tc>
          <w:tcPr>
            <w:tcW w:w="529" w:type="dxa"/>
            <w:vAlign w:val="top"/>
          </w:tcPr>
          <w:p w14:paraId="0D6B058C">
            <w:pPr>
              <w:pStyle w:val="6"/>
            </w:pPr>
          </w:p>
        </w:tc>
        <w:tc>
          <w:tcPr>
            <w:tcW w:w="519" w:type="dxa"/>
            <w:vAlign w:val="top"/>
          </w:tcPr>
          <w:p w14:paraId="1658CBB2">
            <w:pPr>
              <w:pStyle w:val="6"/>
            </w:pPr>
          </w:p>
        </w:tc>
        <w:tc>
          <w:tcPr>
            <w:tcW w:w="519" w:type="dxa"/>
            <w:vAlign w:val="top"/>
          </w:tcPr>
          <w:p w14:paraId="1A08775D">
            <w:pPr>
              <w:pStyle w:val="6"/>
            </w:pPr>
          </w:p>
        </w:tc>
        <w:tc>
          <w:tcPr>
            <w:tcW w:w="485" w:type="dxa"/>
            <w:vAlign w:val="top"/>
          </w:tcPr>
          <w:p w14:paraId="21421478">
            <w:pPr>
              <w:pStyle w:val="6"/>
            </w:pPr>
          </w:p>
        </w:tc>
      </w:tr>
    </w:tbl>
    <w:p w14:paraId="1BB8DBF8">
      <w:pPr>
        <w:spacing w:before="170" w:line="327" w:lineRule="exact"/>
        <w:rPr>
          <w:rFonts w:ascii="黑体" w:hAnsi="黑体" w:eastAsia="黑体" w:cs="黑体"/>
          <w:sz w:val="24"/>
          <w:szCs w:val="24"/>
        </w:rPr>
      </w:pPr>
      <w:r>
        <w:rPr>
          <w:rFonts w:ascii="Arial" w:hAnsi="Arial" w:eastAsia="Arial" w:cs="Arial"/>
          <w:spacing w:val="29"/>
          <w:position w:val="1"/>
          <w:sz w:val="24"/>
          <w:szCs w:val="24"/>
        </w:rPr>
        <w:t>5</w:t>
      </w:r>
      <w:r>
        <w:rPr>
          <w:rFonts w:ascii="Arial" w:hAnsi="Arial" w:eastAsia="Arial" w:cs="Arial"/>
          <w:spacing w:val="6"/>
          <w:position w:val="1"/>
          <w:sz w:val="24"/>
          <w:szCs w:val="24"/>
        </w:rPr>
        <w:t xml:space="preserve">     </w:t>
      </w:r>
      <w:r>
        <w:rPr>
          <w:rFonts w:ascii="黑体" w:hAnsi="黑体" w:eastAsia="黑体" w:cs="黑体"/>
          <w:spacing w:val="29"/>
          <w:position w:val="1"/>
          <w:sz w:val="24"/>
          <w:szCs w:val="24"/>
        </w:rPr>
        <w:t>技术成熟经费预算</w:t>
      </w:r>
    </w:p>
    <w:p w14:paraId="79E6CD8B">
      <w:pPr>
        <w:pStyle w:val="2"/>
        <w:spacing w:before="108" w:line="219" w:lineRule="auto"/>
        <w:ind w:left="560"/>
        <w:rPr>
          <w:sz w:val="25"/>
          <w:szCs w:val="25"/>
        </w:rPr>
      </w:pPr>
      <w:r>
        <w:rPr>
          <w:spacing w:val="16"/>
          <w:sz w:val="25"/>
          <w:szCs w:val="25"/>
        </w:rPr>
        <w:t>列表给出技术成熟经费预算表，见表6.</w:t>
      </w:r>
      <w:r>
        <w:rPr>
          <w:spacing w:val="-67"/>
          <w:sz w:val="25"/>
          <w:szCs w:val="25"/>
        </w:rPr>
        <w:t xml:space="preserve"> </w:t>
      </w:r>
      <w:r>
        <w:rPr>
          <w:spacing w:val="16"/>
          <w:sz w:val="25"/>
          <w:szCs w:val="25"/>
        </w:rPr>
        <w:t>14。</w:t>
      </w:r>
    </w:p>
    <w:p w14:paraId="71D60BB9">
      <w:pPr>
        <w:spacing w:before="120" w:line="222" w:lineRule="auto"/>
        <w:ind w:left="2099"/>
        <w:rPr>
          <w:rFonts w:ascii="仿宋" w:hAnsi="仿宋" w:eastAsia="仿宋" w:cs="仿宋"/>
          <w:sz w:val="24"/>
          <w:szCs w:val="24"/>
        </w:rPr>
      </w:pPr>
      <w:r>
        <w:rPr>
          <w:rFonts w:ascii="仿宋" w:hAnsi="仿宋" w:eastAsia="仿宋" w:cs="仿宋"/>
          <w:spacing w:val="27"/>
          <w:sz w:val="24"/>
          <w:szCs w:val="24"/>
        </w:rPr>
        <w:t>表6</w:t>
      </w:r>
      <w:r>
        <w:rPr>
          <w:rFonts w:ascii="仿宋" w:hAnsi="仿宋" w:eastAsia="仿宋" w:cs="仿宋"/>
          <w:spacing w:val="-56"/>
          <w:sz w:val="24"/>
          <w:szCs w:val="24"/>
        </w:rPr>
        <w:t xml:space="preserve"> </w:t>
      </w:r>
      <w:r>
        <w:rPr>
          <w:rFonts w:ascii="仿宋" w:hAnsi="仿宋" w:eastAsia="仿宋" w:cs="仿宋"/>
          <w:spacing w:val="27"/>
          <w:sz w:val="24"/>
          <w:szCs w:val="24"/>
        </w:rPr>
        <w:t>.</w:t>
      </w:r>
      <w:r>
        <w:rPr>
          <w:rFonts w:ascii="仿宋" w:hAnsi="仿宋" w:eastAsia="仿宋" w:cs="仿宋"/>
          <w:spacing w:val="-50"/>
          <w:sz w:val="24"/>
          <w:szCs w:val="24"/>
        </w:rPr>
        <w:t xml:space="preserve"> </w:t>
      </w:r>
      <w:r>
        <w:rPr>
          <w:rFonts w:ascii="仿宋" w:hAnsi="仿宋" w:eastAsia="仿宋" w:cs="仿宋"/>
          <w:spacing w:val="27"/>
          <w:sz w:val="24"/>
          <w:szCs w:val="24"/>
        </w:rPr>
        <w:t>14  关键技术元素技术成熟经费预算表</w:t>
      </w:r>
    </w:p>
    <w:p w14:paraId="38956447">
      <w:pPr>
        <w:spacing w:line="110" w:lineRule="exact"/>
      </w:pPr>
    </w:p>
    <w:tbl>
      <w:tblPr>
        <w:tblStyle w:val="5"/>
        <w:tblW w:w="936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41"/>
        <w:gridCol w:w="3137"/>
        <w:gridCol w:w="3091"/>
      </w:tblGrid>
      <w:tr w14:paraId="68611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3141" w:type="dxa"/>
            <w:vAlign w:val="top"/>
          </w:tcPr>
          <w:p w14:paraId="3F29F0DB">
            <w:pPr>
              <w:spacing w:before="73" w:line="219" w:lineRule="auto"/>
              <w:ind w:left="934"/>
              <w:rPr>
                <w:rFonts w:ascii="宋体" w:hAnsi="宋体" w:eastAsia="宋体" w:cs="宋体"/>
                <w:sz w:val="21"/>
                <w:szCs w:val="21"/>
              </w:rPr>
            </w:pPr>
            <w:r>
              <w:rPr>
                <w:rFonts w:ascii="宋体" w:hAnsi="宋体" w:eastAsia="宋体" w:cs="宋体"/>
                <w:spacing w:val="1"/>
                <w:sz w:val="21"/>
                <w:szCs w:val="21"/>
              </w:rPr>
              <w:t>关键技术元素</w:t>
            </w:r>
          </w:p>
        </w:tc>
        <w:tc>
          <w:tcPr>
            <w:tcW w:w="3137" w:type="dxa"/>
            <w:vAlign w:val="top"/>
          </w:tcPr>
          <w:p w14:paraId="22094EAD">
            <w:pPr>
              <w:spacing w:before="73" w:line="219" w:lineRule="auto"/>
              <w:ind w:left="434"/>
              <w:rPr>
                <w:rFonts w:ascii="宋体" w:hAnsi="宋体" w:eastAsia="宋体" w:cs="宋体"/>
                <w:sz w:val="21"/>
                <w:szCs w:val="21"/>
              </w:rPr>
            </w:pPr>
            <w:r>
              <w:rPr>
                <w:rFonts w:ascii="宋体" w:hAnsi="宋体" w:eastAsia="宋体" w:cs="宋体"/>
                <w:spacing w:val="3"/>
                <w:sz w:val="21"/>
                <w:szCs w:val="21"/>
              </w:rPr>
              <w:t>当前技术开发费用(万元)</w:t>
            </w:r>
          </w:p>
        </w:tc>
        <w:tc>
          <w:tcPr>
            <w:tcW w:w="3091" w:type="dxa"/>
            <w:vAlign w:val="top"/>
          </w:tcPr>
          <w:p w14:paraId="63BE40C9">
            <w:pPr>
              <w:spacing w:before="73" w:line="219" w:lineRule="auto"/>
              <w:ind w:left="406"/>
              <w:rPr>
                <w:rFonts w:ascii="宋体" w:hAnsi="宋体" w:eastAsia="宋体" w:cs="宋体"/>
                <w:sz w:val="21"/>
                <w:szCs w:val="21"/>
              </w:rPr>
            </w:pPr>
            <w:r>
              <w:rPr>
                <w:rFonts w:ascii="宋体" w:hAnsi="宋体" w:eastAsia="宋体" w:cs="宋体"/>
                <w:spacing w:val="3"/>
                <w:sz w:val="21"/>
                <w:szCs w:val="21"/>
              </w:rPr>
              <w:t>额外技术成熟费用(万元)</w:t>
            </w:r>
          </w:p>
        </w:tc>
      </w:tr>
      <w:tr w14:paraId="0A15A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3141" w:type="dxa"/>
            <w:vAlign w:val="top"/>
          </w:tcPr>
          <w:p w14:paraId="1F58B2FB">
            <w:pPr>
              <w:spacing w:before="71" w:line="219" w:lineRule="auto"/>
              <w:ind w:left="355"/>
              <w:rPr>
                <w:rFonts w:ascii="宋体" w:hAnsi="宋体" w:eastAsia="宋体" w:cs="宋体"/>
                <w:sz w:val="21"/>
                <w:szCs w:val="21"/>
              </w:rPr>
            </w:pPr>
            <w:r>
              <w:rPr>
                <w:rFonts w:ascii="宋体" w:hAnsi="宋体" w:eastAsia="宋体" w:cs="宋体"/>
                <w:spacing w:val="3"/>
                <w:sz w:val="21"/>
                <w:szCs w:val="21"/>
              </w:rPr>
              <w:t>(第1项关键技术元素名称)</w:t>
            </w:r>
          </w:p>
        </w:tc>
        <w:tc>
          <w:tcPr>
            <w:tcW w:w="3137" w:type="dxa"/>
            <w:vAlign w:val="top"/>
          </w:tcPr>
          <w:p w14:paraId="2E23679A">
            <w:pPr>
              <w:pStyle w:val="6"/>
            </w:pPr>
          </w:p>
        </w:tc>
        <w:tc>
          <w:tcPr>
            <w:tcW w:w="3091" w:type="dxa"/>
            <w:vAlign w:val="top"/>
          </w:tcPr>
          <w:p w14:paraId="7BA21693">
            <w:pPr>
              <w:pStyle w:val="6"/>
            </w:pPr>
          </w:p>
        </w:tc>
      </w:tr>
      <w:tr w14:paraId="77937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3141" w:type="dxa"/>
            <w:vAlign w:val="top"/>
          </w:tcPr>
          <w:p w14:paraId="2360971E">
            <w:pPr>
              <w:spacing w:before="84" w:line="219" w:lineRule="auto"/>
              <w:ind w:left="355"/>
              <w:rPr>
                <w:rFonts w:ascii="宋体" w:hAnsi="宋体" w:eastAsia="宋体" w:cs="宋体"/>
                <w:sz w:val="21"/>
                <w:szCs w:val="21"/>
              </w:rPr>
            </w:pPr>
            <w:r>
              <w:rPr>
                <w:rFonts w:ascii="宋体" w:hAnsi="宋体" w:eastAsia="宋体" w:cs="宋体"/>
                <w:spacing w:val="3"/>
                <w:sz w:val="21"/>
                <w:szCs w:val="21"/>
              </w:rPr>
              <w:t>(第2项关键技术元素名称)</w:t>
            </w:r>
          </w:p>
        </w:tc>
        <w:tc>
          <w:tcPr>
            <w:tcW w:w="3137" w:type="dxa"/>
            <w:vAlign w:val="top"/>
          </w:tcPr>
          <w:p w14:paraId="5A67B412">
            <w:pPr>
              <w:pStyle w:val="6"/>
            </w:pPr>
          </w:p>
        </w:tc>
        <w:tc>
          <w:tcPr>
            <w:tcW w:w="3091" w:type="dxa"/>
            <w:vAlign w:val="top"/>
          </w:tcPr>
          <w:p w14:paraId="69C768D7">
            <w:pPr>
              <w:pStyle w:val="6"/>
            </w:pPr>
          </w:p>
        </w:tc>
      </w:tr>
      <w:tr w14:paraId="19864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3141" w:type="dxa"/>
            <w:vAlign w:val="top"/>
          </w:tcPr>
          <w:p w14:paraId="6CDB43F8">
            <w:pPr>
              <w:spacing w:before="98" w:line="215" w:lineRule="auto"/>
              <w:ind w:left="1455"/>
              <w:rPr>
                <w:rFonts w:ascii="宋体" w:hAnsi="宋体" w:eastAsia="宋体" w:cs="宋体"/>
                <w:sz w:val="21"/>
                <w:szCs w:val="21"/>
              </w:rPr>
            </w:pPr>
            <w:r>
              <w:rPr>
                <w:rFonts w:ascii="宋体" w:hAnsi="宋体" w:eastAsia="宋体" w:cs="宋体"/>
                <w:sz w:val="21"/>
                <w:szCs w:val="21"/>
              </w:rPr>
              <w:t>…</w:t>
            </w:r>
          </w:p>
        </w:tc>
        <w:tc>
          <w:tcPr>
            <w:tcW w:w="3137" w:type="dxa"/>
            <w:vAlign w:val="top"/>
          </w:tcPr>
          <w:p w14:paraId="308C4C1F">
            <w:pPr>
              <w:pStyle w:val="6"/>
            </w:pPr>
          </w:p>
        </w:tc>
        <w:tc>
          <w:tcPr>
            <w:tcW w:w="3091" w:type="dxa"/>
            <w:vAlign w:val="top"/>
          </w:tcPr>
          <w:p w14:paraId="72A517D3">
            <w:pPr>
              <w:pStyle w:val="6"/>
            </w:pPr>
          </w:p>
        </w:tc>
      </w:tr>
    </w:tbl>
    <w:p w14:paraId="2582D219">
      <w:pPr>
        <w:spacing w:before="184" w:line="222" w:lineRule="auto"/>
        <w:rPr>
          <w:rFonts w:ascii="黑体" w:hAnsi="黑体" w:eastAsia="黑体" w:cs="黑体"/>
          <w:sz w:val="27"/>
          <w:szCs w:val="27"/>
        </w:rPr>
      </w:pPr>
      <w:r>
        <w:rPr>
          <w:rFonts w:ascii="黑体" w:hAnsi="黑体" w:eastAsia="黑体" w:cs="黑体"/>
          <w:spacing w:val="-7"/>
          <w:sz w:val="27"/>
          <w:szCs w:val="27"/>
        </w:rPr>
        <w:t>附录</w:t>
      </w:r>
    </w:p>
    <w:p w14:paraId="204B220B">
      <w:pPr>
        <w:pStyle w:val="2"/>
        <w:spacing w:before="95" w:line="277" w:lineRule="auto"/>
        <w:ind w:right="83" w:firstLine="560"/>
      </w:pPr>
      <w:r>
        <w:rPr>
          <w:spacing w:val="-3"/>
        </w:rPr>
        <w:t>根据需要将有关资料作为附录提供，如技术成熟度评价识别的技术风险；技</w:t>
      </w:r>
      <w:r>
        <w:t xml:space="preserve"> </w:t>
      </w:r>
      <w:r>
        <w:rPr>
          <w:spacing w:val="3"/>
        </w:rPr>
        <w:t>术成熟度等级的计算等。</w:t>
      </w:r>
    </w:p>
    <w:p w14:paraId="2502F704">
      <w:pPr>
        <w:spacing w:line="277" w:lineRule="auto"/>
        <w:sectPr>
          <w:footerReference r:id="rId352" w:type="default"/>
          <w:pgSz w:w="11910" w:h="17130"/>
          <w:pgMar w:top="1456" w:right="1165" w:bottom="1599" w:left="1289" w:header="0" w:footer="1419" w:gutter="0"/>
          <w:cols w:space="720" w:num="1"/>
        </w:sectPr>
      </w:pPr>
    </w:p>
    <w:p w14:paraId="7E2070FF">
      <w:pPr>
        <w:spacing w:line="279" w:lineRule="auto"/>
        <w:rPr>
          <w:rFonts w:ascii="Arial"/>
          <w:sz w:val="21"/>
        </w:rPr>
      </w:pPr>
    </w:p>
    <w:p w14:paraId="3F3F3383">
      <w:pPr>
        <w:spacing w:line="280" w:lineRule="auto"/>
        <w:rPr>
          <w:rFonts w:ascii="Arial"/>
          <w:sz w:val="21"/>
        </w:rPr>
      </w:pPr>
    </w:p>
    <w:p w14:paraId="77D10413">
      <w:pPr>
        <w:spacing w:line="280" w:lineRule="auto"/>
        <w:rPr>
          <w:rFonts w:ascii="Arial"/>
          <w:sz w:val="21"/>
        </w:rPr>
      </w:pPr>
    </w:p>
    <w:p w14:paraId="5B5CEE35">
      <w:pPr>
        <w:spacing w:line="280" w:lineRule="auto"/>
        <w:rPr>
          <w:rFonts w:ascii="Arial"/>
          <w:sz w:val="21"/>
        </w:rPr>
      </w:pPr>
    </w:p>
    <w:p w14:paraId="5477957A">
      <w:pPr>
        <w:spacing w:before="143" w:line="222" w:lineRule="auto"/>
        <w:ind w:left="2580"/>
        <w:rPr>
          <w:rFonts w:ascii="黑体" w:hAnsi="黑体" w:eastAsia="黑体" w:cs="黑体"/>
          <w:sz w:val="44"/>
          <w:szCs w:val="44"/>
        </w:rPr>
      </w:pPr>
      <w:r>
        <w:rPr>
          <w:rFonts w:ascii="黑体" w:hAnsi="黑体" w:eastAsia="黑体" w:cs="黑体"/>
          <w:spacing w:val="14"/>
          <w:sz w:val="44"/>
          <w:szCs w:val="44"/>
        </w:rPr>
        <w:t>第</w:t>
      </w:r>
      <w:r>
        <w:rPr>
          <w:rFonts w:ascii="黑体" w:hAnsi="黑体" w:eastAsia="黑体" w:cs="黑体"/>
          <w:spacing w:val="-52"/>
          <w:sz w:val="44"/>
          <w:szCs w:val="44"/>
        </w:rPr>
        <w:t xml:space="preserve"> </w:t>
      </w:r>
      <w:r>
        <w:rPr>
          <w:rFonts w:ascii="黑体" w:hAnsi="黑体" w:eastAsia="黑体" w:cs="黑体"/>
          <w:spacing w:val="14"/>
          <w:sz w:val="44"/>
          <w:szCs w:val="44"/>
        </w:rPr>
        <w:t>7</w:t>
      </w:r>
      <w:r>
        <w:rPr>
          <w:rFonts w:ascii="黑体" w:hAnsi="黑体" w:eastAsia="黑体" w:cs="黑体"/>
          <w:spacing w:val="-54"/>
          <w:sz w:val="44"/>
          <w:szCs w:val="44"/>
        </w:rPr>
        <w:t xml:space="preserve"> </w:t>
      </w:r>
      <w:r>
        <w:rPr>
          <w:rFonts w:ascii="黑体" w:hAnsi="黑体" w:eastAsia="黑体" w:cs="黑体"/>
          <w:spacing w:val="14"/>
          <w:sz w:val="44"/>
          <w:szCs w:val="44"/>
        </w:rPr>
        <w:t>章</w:t>
      </w:r>
      <w:r>
        <w:rPr>
          <w:rFonts w:ascii="黑体" w:hAnsi="黑体" w:eastAsia="黑体" w:cs="黑体"/>
          <w:spacing w:val="26"/>
          <w:sz w:val="44"/>
          <w:szCs w:val="44"/>
        </w:rPr>
        <w:t xml:space="preserve">  </w:t>
      </w:r>
      <w:r>
        <w:rPr>
          <w:rFonts w:ascii="黑体" w:hAnsi="黑体" w:eastAsia="黑体" w:cs="黑体"/>
          <w:spacing w:val="14"/>
          <w:sz w:val="44"/>
          <w:szCs w:val="44"/>
        </w:rPr>
        <w:t>可靠性文件</w:t>
      </w:r>
    </w:p>
    <w:p w14:paraId="630AF0C5">
      <w:pPr>
        <w:spacing w:line="258" w:lineRule="auto"/>
        <w:rPr>
          <w:rFonts w:ascii="Arial"/>
          <w:sz w:val="21"/>
        </w:rPr>
      </w:pPr>
    </w:p>
    <w:p w14:paraId="7FAFFA8D">
      <w:pPr>
        <w:spacing w:line="258" w:lineRule="auto"/>
        <w:rPr>
          <w:rFonts w:ascii="Arial"/>
          <w:sz w:val="21"/>
        </w:rPr>
      </w:pPr>
    </w:p>
    <w:p w14:paraId="10440543">
      <w:pPr>
        <w:spacing w:line="259" w:lineRule="auto"/>
        <w:rPr>
          <w:rFonts w:ascii="Arial"/>
          <w:sz w:val="21"/>
        </w:rPr>
      </w:pPr>
    </w:p>
    <w:p w14:paraId="2EE97983">
      <w:pPr>
        <w:pStyle w:val="2"/>
        <w:spacing w:before="117" w:line="221" w:lineRule="auto"/>
        <w:ind w:left="3310"/>
        <w:rPr>
          <w:sz w:val="36"/>
          <w:szCs w:val="36"/>
        </w:rPr>
      </w:pPr>
      <w:r>
        <w:rPr>
          <w:spacing w:val="-4"/>
          <w:sz w:val="36"/>
          <w:szCs w:val="36"/>
        </w:rPr>
        <w:t>7.1</w:t>
      </w:r>
      <w:r>
        <w:rPr>
          <w:spacing w:val="21"/>
          <w:sz w:val="36"/>
          <w:szCs w:val="36"/>
        </w:rPr>
        <w:t xml:space="preserve">  </w:t>
      </w:r>
      <w:r>
        <w:rPr>
          <w:b/>
          <w:bCs/>
          <w:spacing w:val="-4"/>
          <w:sz w:val="36"/>
          <w:szCs w:val="36"/>
        </w:rPr>
        <w:t>可靠性要求</w:t>
      </w:r>
    </w:p>
    <w:p w14:paraId="3E14EDB0">
      <w:pPr>
        <w:spacing w:line="333" w:lineRule="auto"/>
        <w:rPr>
          <w:rFonts w:ascii="Arial"/>
          <w:sz w:val="21"/>
        </w:rPr>
      </w:pPr>
    </w:p>
    <w:p w14:paraId="635D27C7">
      <w:pPr>
        <w:pStyle w:val="2"/>
        <w:spacing w:before="88" w:line="304" w:lineRule="auto"/>
        <w:ind w:right="124" w:firstLine="539"/>
        <w:rPr>
          <w:rFonts w:ascii="楷体" w:hAnsi="楷体" w:eastAsia="楷体" w:cs="楷体"/>
        </w:rPr>
      </w:pPr>
      <w:r>
        <w:rPr>
          <w:rFonts w:ascii="楷体" w:hAnsi="楷体" w:eastAsia="楷体" w:cs="楷体"/>
          <w:spacing w:val="-3"/>
        </w:rPr>
        <w:t>按照</w:t>
      </w:r>
      <w:r>
        <w:rPr>
          <w:rFonts w:ascii="Times New Roman" w:hAnsi="Times New Roman" w:eastAsia="Times New Roman" w:cs="Times New Roman"/>
          <w:spacing w:val="-3"/>
        </w:rPr>
        <w:t>GJB 450A—2004</w:t>
      </w:r>
      <w:r>
        <w:rPr>
          <w:spacing w:val="-3"/>
        </w:rPr>
        <w:t>《</w:t>
      </w:r>
      <w:r>
        <w:rPr>
          <w:rFonts w:ascii="楷体" w:hAnsi="楷体" w:eastAsia="楷体" w:cs="楷体"/>
          <w:spacing w:val="-3"/>
        </w:rPr>
        <w:t>装备可靠性工作通用要求》、</w:t>
      </w:r>
      <w:r>
        <w:rPr>
          <w:rFonts w:ascii="Times New Roman" w:hAnsi="Times New Roman" w:eastAsia="Times New Roman" w:cs="Times New Roman"/>
          <w:spacing w:val="-3"/>
        </w:rPr>
        <w:t>GJB</w:t>
      </w:r>
      <w:r>
        <w:rPr>
          <w:rFonts w:ascii="Times New Roman" w:hAnsi="Times New Roman" w:eastAsia="Times New Roman" w:cs="Times New Roman"/>
          <w:spacing w:val="32"/>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4"/>
        </w:rPr>
        <w:t>909A—2009</w:t>
      </w:r>
      <w:r>
        <w:rPr>
          <w:spacing w:val="-4"/>
        </w:rPr>
        <w:t>《</w:t>
      </w:r>
      <w:r>
        <w:rPr>
          <w:rFonts w:ascii="楷体" w:hAnsi="楷体" w:eastAsia="楷体" w:cs="楷体"/>
          <w:spacing w:val="-4"/>
        </w:rPr>
        <w:t>装</w:t>
      </w:r>
      <w:r>
        <w:rPr>
          <w:rFonts w:ascii="楷体" w:hAnsi="楷体" w:eastAsia="楷体" w:cs="楷体"/>
        </w:rPr>
        <w:t xml:space="preserve"> </w:t>
      </w:r>
      <w:r>
        <w:rPr>
          <w:rFonts w:ascii="楷体" w:hAnsi="楷体" w:eastAsia="楷体" w:cs="楷体"/>
          <w:spacing w:val="-5"/>
        </w:rPr>
        <w:t>备可靠性维修性保障性要求论证》编写。</w:t>
      </w:r>
    </w:p>
    <w:p w14:paraId="0259F6E8">
      <w:pPr>
        <w:spacing w:before="22"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3521AEAD">
      <w:pPr>
        <w:spacing w:before="21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669A0ED6">
      <w:pPr>
        <w:spacing w:before="234" w:line="221" w:lineRule="auto"/>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36"/>
          <w:sz w:val="24"/>
          <w:szCs w:val="24"/>
        </w:rPr>
        <w:t xml:space="preserve">  </w:t>
      </w:r>
      <w:r>
        <w:rPr>
          <w:rFonts w:ascii="黑体" w:hAnsi="黑体" w:eastAsia="黑体" w:cs="黑体"/>
          <w:b/>
          <w:bCs/>
          <w:spacing w:val="-7"/>
          <w:sz w:val="24"/>
          <w:szCs w:val="24"/>
        </w:rPr>
        <w:t>概</w:t>
      </w:r>
      <w:r>
        <w:rPr>
          <w:rFonts w:ascii="黑体" w:hAnsi="黑体" w:eastAsia="黑体" w:cs="黑体"/>
          <w:spacing w:val="-55"/>
          <w:sz w:val="24"/>
          <w:szCs w:val="24"/>
        </w:rPr>
        <w:t xml:space="preserve"> </w:t>
      </w:r>
      <w:r>
        <w:rPr>
          <w:rFonts w:ascii="黑体" w:hAnsi="黑体" w:eastAsia="黑体" w:cs="黑体"/>
          <w:b/>
          <w:bCs/>
          <w:spacing w:val="-7"/>
          <w:sz w:val="24"/>
          <w:szCs w:val="24"/>
        </w:rPr>
        <w:t>述</w:t>
      </w:r>
    </w:p>
    <w:p w14:paraId="160BFC8D">
      <w:pPr>
        <w:pStyle w:val="2"/>
        <w:spacing w:before="190" w:line="219" w:lineRule="auto"/>
        <w:ind w:left="539"/>
      </w:pPr>
      <w:r>
        <w:rPr>
          <w:spacing w:val="-2"/>
        </w:rPr>
        <w:t>主要说明装备可靠性要求论证的作用、目标和意</w:t>
      </w:r>
      <w:r>
        <w:rPr>
          <w:spacing w:val="-3"/>
        </w:rPr>
        <w:t>义等。</w:t>
      </w:r>
    </w:p>
    <w:p w14:paraId="208380CD">
      <w:pPr>
        <w:spacing w:before="143" w:line="221"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装备的使命和任务</w:t>
      </w:r>
    </w:p>
    <w:p w14:paraId="4D1B0B2E">
      <w:pPr>
        <w:pStyle w:val="2"/>
        <w:spacing w:before="192" w:line="294" w:lineRule="auto"/>
        <w:ind w:right="103" w:firstLine="539"/>
        <w:jc w:val="both"/>
        <w:rPr>
          <w:sz w:val="25"/>
          <w:szCs w:val="25"/>
        </w:rPr>
      </w:pPr>
      <w:r>
        <w:rPr>
          <w:spacing w:val="25"/>
          <w:sz w:val="25"/>
          <w:szCs w:val="25"/>
        </w:rPr>
        <w:t>说明装备的使命和任务，主要包括新研装备担负的主要任务和辅助任务及</w:t>
      </w:r>
      <w:r>
        <w:rPr>
          <w:spacing w:val="2"/>
          <w:sz w:val="25"/>
          <w:szCs w:val="25"/>
        </w:rPr>
        <w:t xml:space="preserve"> </w:t>
      </w:r>
      <w:r>
        <w:rPr>
          <w:spacing w:val="17"/>
          <w:sz w:val="25"/>
          <w:szCs w:val="25"/>
        </w:rPr>
        <w:t>其使用环境条件，论述现有装备在战备完好性、任务成功性、持续性和部署性等</w:t>
      </w:r>
      <w:r>
        <w:rPr>
          <w:spacing w:val="16"/>
          <w:sz w:val="25"/>
          <w:szCs w:val="25"/>
        </w:rPr>
        <w:t xml:space="preserve"> </w:t>
      </w:r>
      <w:r>
        <w:rPr>
          <w:spacing w:val="18"/>
          <w:sz w:val="25"/>
          <w:szCs w:val="25"/>
        </w:rPr>
        <w:t>方面的不足和缺陷，以及国内外相似装备可靠性现状分析。</w:t>
      </w:r>
    </w:p>
    <w:p w14:paraId="3879B9BF">
      <w:pPr>
        <w:spacing w:before="2" w:line="220" w:lineRule="auto"/>
        <w:rPr>
          <w:rFonts w:ascii="黑体" w:hAnsi="黑体" w:eastAsia="黑体" w:cs="黑体"/>
          <w:sz w:val="27"/>
          <w:szCs w:val="27"/>
        </w:rPr>
      </w:pPr>
      <w:r>
        <w:rPr>
          <w:rFonts w:ascii="黑体" w:hAnsi="黑体" w:eastAsia="黑体" w:cs="黑体"/>
          <w:spacing w:val="-5"/>
          <w:sz w:val="27"/>
          <w:szCs w:val="27"/>
        </w:rPr>
        <w:t xml:space="preserve">5  </w:t>
      </w:r>
      <w:r>
        <w:rPr>
          <w:rFonts w:ascii="黑体" w:hAnsi="黑体" w:eastAsia="黑体" w:cs="黑体"/>
          <w:b/>
          <w:bCs/>
          <w:spacing w:val="-5"/>
          <w:sz w:val="27"/>
          <w:szCs w:val="27"/>
        </w:rPr>
        <w:t>装备使用方案、设计方案和保障方案</w:t>
      </w:r>
    </w:p>
    <w:p w14:paraId="7A0E54EA">
      <w:pPr>
        <w:pStyle w:val="2"/>
        <w:spacing w:before="86" w:line="273" w:lineRule="auto"/>
        <w:ind w:firstLine="539"/>
        <w:jc w:val="both"/>
      </w:pPr>
      <w:r>
        <w:rPr>
          <w:spacing w:val="5"/>
        </w:rPr>
        <w:t>使用方案、设计方案和保障方案是进一步确定可靠性要求的依据。使用方</w:t>
      </w:r>
      <w:r>
        <w:t xml:space="preserve">  </w:t>
      </w:r>
      <w:r>
        <w:rPr>
          <w:spacing w:val="-3"/>
        </w:rPr>
        <w:t>案主要说明装备将如何使用和使用时的组织机构、人员安排，还应包括装</w:t>
      </w:r>
      <w:r>
        <w:rPr>
          <w:spacing w:val="-4"/>
        </w:rPr>
        <w:t>备的寿</w:t>
      </w:r>
      <w:r>
        <w:t xml:space="preserve">  </w:t>
      </w:r>
      <w:r>
        <w:rPr>
          <w:spacing w:val="-3"/>
        </w:rPr>
        <w:t>命剖面和任务剖面；设计方案简述装备的基本组成，列出为完成使用任</w:t>
      </w:r>
      <w:r>
        <w:rPr>
          <w:spacing w:val="-4"/>
        </w:rPr>
        <w:t>务，装备</w:t>
      </w:r>
      <w:r>
        <w:t xml:space="preserve">  </w:t>
      </w:r>
      <w:r>
        <w:rPr>
          <w:spacing w:val="8"/>
        </w:rPr>
        <w:t>必要的功能清单和相应的分系统清单；保障方案说明对保障工作的总体设想。</w:t>
      </w:r>
      <w:r>
        <w:rPr>
          <w:spacing w:val="12"/>
        </w:rPr>
        <w:t xml:space="preserve"> </w:t>
      </w:r>
      <w:r>
        <w:rPr>
          <w:spacing w:val="13"/>
        </w:rPr>
        <w:t>它由满足功能的保障要求、与设计方案及使用方案相协调的各保障要素方案</w:t>
      </w:r>
      <w:r>
        <w:rPr>
          <w:spacing w:val="1"/>
        </w:rPr>
        <w:t xml:space="preserve">  </w:t>
      </w:r>
      <w:r>
        <w:rPr>
          <w:spacing w:val="-2"/>
        </w:rPr>
        <w:t>组成。</w:t>
      </w:r>
    </w:p>
    <w:p w14:paraId="6D9B8053">
      <w:pPr>
        <w:spacing w:before="65" w:line="222" w:lineRule="auto"/>
        <w:rPr>
          <w:rFonts w:ascii="黑体" w:hAnsi="黑体" w:eastAsia="黑体" w:cs="黑体"/>
          <w:sz w:val="24"/>
          <w:szCs w:val="24"/>
        </w:rPr>
      </w:pPr>
      <w:r>
        <w:rPr>
          <w:rFonts w:ascii="黑体" w:hAnsi="黑体" w:eastAsia="黑体" w:cs="黑体"/>
          <w:spacing w:val="28"/>
          <w:sz w:val="24"/>
          <w:szCs w:val="24"/>
        </w:rPr>
        <w:t>6</w:t>
      </w:r>
      <w:r>
        <w:rPr>
          <w:rFonts w:ascii="黑体" w:hAnsi="黑体" w:eastAsia="黑体" w:cs="黑体"/>
          <w:spacing w:val="38"/>
          <w:sz w:val="24"/>
          <w:szCs w:val="24"/>
        </w:rPr>
        <w:t xml:space="preserve">  </w:t>
      </w:r>
      <w:r>
        <w:rPr>
          <w:rFonts w:ascii="黑体" w:hAnsi="黑体" w:eastAsia="黑体" w:cs="黑体"/>
          <w:b/>
          <w:bCs/>
          <w:spacing w:val="28"/>
          <w:sz w:val="24"/>
          <w:szCs w:val="24"/>
        </w:rPr>
        <w:t>故障定义和判断准则</w:t>
      </w:r>
    </w:p>
    <w:p w14:paraId="79A75F66">
      <w:pPr>
        <w:pStyle w:val="2"/>
        <w:spacing w:before="107" w:line="272" w:lineRule="auto"/>
        <w:ind w:right="123" w:firstLine="539"/>
      </w:pPr>
      <w:r>
        <w:rPr>
          <w:spacing w:val="5"/>
        </w:rPr>
        <w:t>给出故障定义和判断准则，说明在试验过程中对故障原因和后果进行分类</w:t>
      </w:r>
      <w:r>
        <w:t xml:space="preserve"> </w:t>
      </w:r>
      <w:r>
        <w:rPr>
          <w:spacing w:val="4"/>
        </w:rPr>
        <w:t>所需的指导原则。故障分类的结果将用来评价装备的</w:t>
      </w:r>
      <w:r>
        <w:rPr>
          <w:spacing w:val="3"/>
        </w:rPr>
        <w:t>可靠性。</w:t>
      </w:r>
    </w:p>
    <w:p w14:paraId="68107A51">
      <w:pPr>
        <w:spacing w:before="1" w:line="221" w:lineRule="auto"/>
        <w:rPr>
          <w:rFonts w:ascii="黑体" w:hAnsi="黑体" w:eastAsia="黑体" w:cs="黑体"/>
          <w:sz w:val="27"/>
          <w:szCs w:val="27"/>
        </w:rPr>
      </w:pPr>
      <w:r>
        <w:rPr>
          <w:rFonts w:ascii="黑体" w:hAnsi="黑体" w:eastAsia="黑体" w:cs="黑体"/>
          <w:spacing w:val="2"/>
          <w:sz w:val="27"/>
          <w:szCs w:val="27"/>
        </w:rPr>
        <w:t xml:space="preserve">7  </w:t>
      </w:r>
      <w:r>
        <w:rPr>
          <w:rFonts w:ascii="黑体" w:hAnsi="黑体" w:eastAsia="黑体" w:cs="黑体"/>
          <w:b/>
          <w:bCs/>
          <w:spacing w:val="2"/>
          <w:sz w:val="27"/>
          <w:szCs w:val="27"/>
        </w:rPr>
        <w:t>装备可靠性定性定量要求及约束条件</w:t>
      </w:r>
    </w:p>
    <w:p w14:paraId="19C1642F">
      <w:pPr>
        <w:pStyle w:val="2"/>
        <w:spacing w:before="110" w:line="275" w:lineRule="auto"/>
        <w:ind w:right="122" w:firstLine="539"/>
      </w:pPr>
      <w:r>
        <w:rPr>
          <w:spacing w:val="-3"/>
        </w:rPr>
        <w:t>列出装备的可靠性定性和定量要求，可靠性定量要求</w:t>
      </w:r>
      <w:r>
        <w:rPr>
          <w:spacing w:val="-4"/>
        </w:rPr>
        <w:t>参数及其计算方法，装</w:t>
      </w:r>
      <w:r>
        <w:t xml:space="preserve"> </w:t>
      </w:r>
      <w:r>
        <w:rPr>
          <w:spacing w:val="3"/>
        </w:rPr>
        <w:t>备形成初始作战能力和保障能力的时机和状态等。</w:t>
      </w:r>
    </w:p>
    <w:p w14:paraId="32776E12">
      <w:pPr>
        <w:pStyle w:val="2"/>
        <w:spacing w:before="17" w:line="220" w:lineRule="auto"/>
        <w:ind w:left="539"/>
      </w:pPr>
      <w:r>
        <w:rPr>
          <w:spacing w:val="2"/>
        </w:rPr>
        <w:t>确定装备可靠性定性要求一般原则是：</w:t>
      </w:r>
    </w:p>
    <w:p w14:paraId="78D6FDA5">
      <w:pPr>
        <w:spacing w:line="220" w:lineRule="auto"/>
        <w:sectPr>
          <w:footerReference r:id="rId353" w:type="default"/>
          <w:pgSz w:w="11910" w:h="17130"/>
          <w:pgMar w:top="1456" w:right="924" w:bottom="1710" w:left="1519" w:header="0" w:footer="1437" w:gutter="0"/>
          <w:cols w:space="720" w:num="1"/>
        </w:sectPr>
      </w:pPr>
    </w:p>
    <w:p w14:paraId="2ABA5740">
      <w:pPr>
        <w:pStyle w:val="2"/>
        <w:spacing w:before="58" w:line="212" w:lineRule="auto"/>
        <w:ind w:left="550"/>
      </w:pPr>
      <w:r>
        <w:rPr>
          <w:rFonts w:ascii="Times New Roman" w:hAnsi="Times New Roman" w:eastAsia="Times New Roman" w:cs="Times New Roman"/>
          <w:spacing w:val="-5"/>
        </w:rPr>
        <w:t xml:space="preserve">a)  </w:t>
      </w:r>
      <w:r>
        <w:rPr>
          <w:spacing w:val="-5"/>
        </w:rPr>
        <w:t>应根据装备的类型、技术复杂程度、使用与维修要求等提出；</w:t>
      </w:r>
    </w:p>
    <w:p w14:paraId="3CF05C17">
      <w:pPr>
        <w:pStyle w:val="2"/>
        <w:spacing w:before="88" w:line="264" w:lineRule="auto"/>
        <w:ind w:right="86" w:firstLine="550"/>
      </w:pPr>
      <w:r>
        <w:rPr>
          <w:rFonts w:ascii="Times New Roman" w:hAnsi="Times New Roman" w:eastAsia="Times New Roman" w:cs="Times New Roman"/>
          <w:spacing w:val="4"/>
        </w:rPr>
        <w:t>b)</w:t>
      </w:r>
      <w:r>
        <w:rPr>
          <w:rFonts w:ascii="Times New Roman" w:hAnsi="Times New Roman" w:eastAsia="Times New Roman" w:cs="Times New Roman"/>
          <w:spacing w:val="47"/>
          <w:w w:val="101"/>
        </w:rPr>
        <w:t xml:space="preserve"> </w:t>
      </w:r>
      <w:r>
        <w:rPr>
          <w:spacing w:val="4"/>
        </w:rPr>
        <w:t>应综合反映装备战备完好性、任务成功性、维修人力费用和</w:t>
      </w:r>
      <w:r>
        <w:rPr>
          <w:spacing w:val="3"/>
        </w:rPr>
        <w:t>保障费用四</w:t>
      </w:r>
      <w:r>
        <w:t xml:space="preserve"> 个方面的目标；</w:t>
      </w:r>
    </w:p>
    <w:p w14:paraId="6FF2678D">
      <w:pPr>
        <w:pStyle w:val="2"/>
        <w:spacing w:before="38" w:line="261" w:lineRule="auto"/>
        <w:ind w:left="550" w:right="2140"/>
      </w:pPr>
      <w:r>
        <w:rPr>
          <w:rFonts w:ascii="Times New Roman" w:hAnsi="Times New Roman" w:eastAsia="Times New Roman" w:cs="Times New Roman"/>
          <w:spacing w:val="-1"/>
        </w:rPr>
        <w:t>c)</w:t>
      </w:r>
      <w:r>
        <w:rPr>
          <w:rFonts w:ascii="Times New Roman" w:hAnsi="Times New Roman" w:eastAsia="Times New Roman" w:cs="Times New Roman"/>
          <w:spacing w:val="52"/>
        </w:rPr>
        <w:t xml:space="preserve"> </w:t>
      </w:r>
      <w:r>
        <w:rPr>
          <w:spacing w:val="-1"/>
        </w:rPr>
        <w:t>装备可靠性定性要求应明确，保证设计中更好地落实。</w:t>
      </w:r>
      <w:r>
        <w:t xml:space="preserve"> </w:t>
      </w:r>
      <w:r>
        <w:rPr>
          <w:spacing w:val="3"/>
        </w:rPr>
        <w:t>确定装备可靠性定量要求的原则主要有：</w:t>
      </w:r>
    </w:p>
    <w:p w14:paraId="6F21085C">
      <w:pPr>
        <w:pStyle w:val="2"/>
        <w:spacing w:before="67" w:line="260" w:lineRule="auto"/>
        <w:ind w:right="93" w:firstLine="550"/>
      </w:pPr>
      <w:r>
        <w:rPr>
          <w:rFonts w:ascii="Times New Roman" w:hAnsi="Times New Roman" w:eastAsia="Times New Roman" w:cs="Times New Roman"/>
          <w:spacing w:val="-4"/>
        </w:rPr>
        <w:t>a)</w:t>
      </w:r>
      <w:r>
        <w:rPr>
          <w:rFonts w:ascii="Times New Roman" w:hAnsi="Times New Roman" w:eastAsia="Times New Roman" w:cs="Times New Roman"/>
          <w:spacing w:val="63"/>
        </w:rPr>
        <w:t xml:space="preserve"> </w:t>
      </w:r>
      <w:r>
        <w:rPr>
          <w:spacing w:val="-4"/>
        </w:rPr>
        <w:t>在确定可靠性要求时，应全面考虑使用要</w:t>
      </w:r>
      <w:r>
        <w:rPr>
          <w:spacing w:val="-5"/>
        </w:rPr>
        <w:t>求、费用、进度、技术水平及相</w:t>
      </w:r>
      <w:r>
        <w:t xml:space="preserve"> </w:t>
      </w:r>
      <w:r>
        <w:rPr>
          <w:spacing w:val="1"/>
        </w:rPr>
        <w:t>似产品的可靠性水平等因素；</w:t>
      </w:r>
    </w:p>
    <w:p w14:paraId="41E3B058">
      <w:pPr>
        <w:pStyle w:val="2"/>
        <w:spacing w:before="48" w:line="257" w:lineRule="auto"/>
        <w:ind w:right="99" w:firstLine="550"/>
      </w:pPr>
      <w:r>
        <w:rPr>
          <w:rFonts w:ascii="Times New Roman" w:hAnsi="Times New Roman" w:eastAsia="Times New Roman" w:cs="Times New Roman"/>
          <w:spacing w:val="-5"/>
        </w:rPr>
        <w:t>b)</w:t>
      </w:r>
      <w:r>
        <w:rPr>
          <w:rFonts w:ascii="Times New Roman" w:hAnsi="Times New Roman" w:eastAsia="Times New Roman" w:cs="Times New Roman"/>
          <w:spacing w:val="62"/>
        </w:rPr>
        <w:t xml:space="preserve"> </w:t>
      </w:r>
      <w:r>
        <w:rPr>
          <w:spacing w:val="-5"/>
        </w:rPr>
        <w:t>在选择可靠性参数时，应全面考虑装备的使命任务、类型特点、复杂程度</w:t>
      </w:r>
      <w:r>
        <w:t xml:space="preserve"> </w:t>
      </w:r>
      <w:r>
        <w:rPr>
          <w:spacing w:val="1"/>
        </w:rPr>
        <w:t>及参数是否能且便于度量等因素；</w:t>
      </w:r>
    </w:p>
    <w:p w14:paraId="52D7343E">
      <w:pPr>
        <w:pStyle w:val="2"/>
        <w:spacing w:before="59" w:line="260" w:lineRule="auto"/>
        <w:ind w:right="103" w:firstLine="550"/>
      </w:pPr>
      <w:r>
        <w:rPr>
          <w:rFonts w:ascii="Times New Roman" w:hAnsi="Times New Roman" w:eastAsia="Times New Roman" w:cs="Times New Roman"/>
          <w:spacing w:val="4"/>
        </w:rPr>
        <w:t>c)</w:t>
      </w:r>
      <w:r>
        <w:rPr>
          <w:rFonts w:ascii="Times New Roman" w:hAnsi="Times New Roman" w:eastAsia="Times New Roman" w:cs="Times New Roman"/>
          <w:spacing w:val="52"/>
        </w:rPr>
        <w:t xml:space="preserve"> </w:t>
      </w:r>
      <w:r>
        <w:rPr>
          <w:spacing w:val="4"/>
        </w:rPr>
        <w:t>在满足系统战备完好性和任务成功性要求的前</w:t>
      </w:r>
      <w:r>
        <w:rPr>
          <w:spacing w:val="3"/>
        </w:rPr>
        <w:t>提下，选择的可靠性参数</w:t>
      </w:r>
      <w:r>
        <w:t xml:space="preserve"> </w:t>
      </w:r>
      <w:r>
        <w:rPr>
          <w:spacing w:val="3"/>
        </w:rPr>
        <w:t>数量应尽可能最少且参数之间相互协调；</w:t>
      </w:r>
    </w:p>
    <w:p w14:paraId="0E66B2B7">
      <w:pPr>
        <w:pStyle w:val="2"/>
        <w:spacing w:before="57" w:line="265" w:lineRule="auto"/>
        <w:ind w:right="102" w:firstLine="550"/>
      </w:pPr>
      <w:r>
        <w:rPr>
          <w:rFonts w:ascii="Times New Roman" w:hAnsi="Times New Roman" w:eastAsia="Times New Roman" w:cs="Times New Roman"/>
        </w:rPr>
        <w:t>d)</w:t>
      </w:r>
      <w:r>
        <w:rPr>
          <w:rFonts w:ascii="Times New Roman" w:hAnsi="Times New Roman" w:eastAsia="Times New Roman" w:cs="Times New Roman"/>
          <w:spacing w:val="69"/>
        </w:rPr>
        <w:t xml:space="preserve"> </w:t>
      </w:r>
      <w:r>
        <w:t>可靠性要求应由系统战备完好性要求导出，按</w:t>
      </w:r>
      <w:r>
        <w:rPr>
          <w:spacing w:val="-80"/>
        </w:rPr>
        <w:t xml:space="preserve"> </w:t>
      </w:r>
      <w:r>
        <w:rPr>
          <w:rFonts w:ascii="Times New Roman" w:hAnsi="Times New Roman" w:eastAsia="Times New Roman" w:cs="Times New Roman"/>
        </w:rPr>
        <w:t>GJB</w:t>
      </w:r>
      <w:r>
        <w:rPr>
          <w:rFonts w:ascii="Times New Roman" w:hAnsi="Times New Roman" w:eastAsia="Times New Roman" w:cs="Times New Roman"/>
          <w:spacing w:val="23"/>
        </w:rPr>
        <w:t xml:space="preserve">  </w:t>
      </w:r>
      <w:r>
        <w:rPr>
          <w:rFonts w:ascii="Times New Roman" w:hAnsi="Times New Roman" w:eastAsia="Times New Roman" w:cs="Times New Roman"/>
        </w:rPr>
        <w:t>3872</w:t>
      </w:r>
      <w:r>
        <w:rPr>
          <w:rFonts w:ascii="Times New Roman" w:hAnsi="Times New Roman" w:eastAsia="Times New Roman" w:cs="Times New Roman"/>
          <w:spacing w:val="-18"/>
        </w:rPr>
        <w:t xml:space="preserve"> </w:t>
      </w:r>
      <w:r>
        <w:t>和</w:t>
      </w:r>
      <w:r>
        <w:rPr>
          <w:spacing w:val="-63"/>
        </w:rPr>
        <w:t xml:space="preserve"> </w:t>
      </w:r>
      <w:r>
        <w:rPr>
          <w:rFonts w:ascii="Times New Roman" w:hAnsi="Times New Roman" w:eastAsia="Times New Roman" w:cs="Times New Roman"/>
        </w:rPr>
        <w:t xml:space="preserve">GJB1909A    </w:t>
      </w:r>
      <w:r>
        <w:rPr>
          <w:spacing w:val="-2"/>
        </w:rPr>
        <w:t>的规定，协调权衡确定可靠性、维修性和保障系统及其资源</w:t>
      </w:r>
      <w:r>
        <w:rPr>
          <w:spacing w:val="-3"/>
        </w:rPr>
        <w:t>等要求，以满足系统</w:t>
      </w:r>
      <w:r>
        <w:t xml:space="preserve"> </w:t>
      </w:r>
      <w:r>
        <w:rPr>
          <w:spacing w:val="-2"/>
        </w:rPr>
        <w:t>战备完好性要求；</w:t>
      </w:r>
    </w:p>
    <w:p w14:paraId="679AE0E1">
      <w:pPr>
        <w:pStyle w:val="2"/>
        <w:spacing w:before="59" w:line="212" w:lineRule="auto"/>
        <w:ind w:left="550"/>
      </w:pPr>
      <w:r>
        <w:rPr>
          <w:rFonts w:ascii="Times New Roman" w:hAnsi="Times New Roman" w:eastAsia="Times New Roman" w:cs="Times New Roman"/>
          <w:spacing w:val="4"/>
        </w:rPr>
        <w:t>e)</w:t>
      </w:r>
      <w:r>
        <w:rPr>
          <w:rFonts w:ascii="Times New Roman" w:hAnsi="Times New Roman" w:eastAsia="Times New Roman" w:cs="Times New Roman"/>
          <w:spacing w:val="53"/>
          <w:w w:val="101"/>
        </w:rPr>
        <w:t xml:space="preserve"> </w:t>
      </w:r>
      <w:r>
        <w:rPr>
          <w:spacing w:val="4"/>
        </w:rPr>
        <w:t>任务可靠性要求应由装备的任务成功性要求</w:t>
      </w:r>
      <w:r>
        <w:rPr>
          <w:spacing w:val="3"/>
        </w:rPr>
        <w:t>导出；</w:t>
      </w:r>
    </w:p>
    <w:p w14:paraId="12F9364F">
      <w:pPr>
        <w:pStyle w:val="2"/>
        <w:spacing w:before="100" w:line="257" w:lineRule="auto"/>
        <w:ind w:right="100" w:firstLine="550"/>
      </w:pPr>
      <w:r>
        <w:rPr>
          <w:rFonts w:ascii="Times New Roman" w:hAnsi="Times New Roman" w:eastAsia="Times New Roman" w:cs="Times New Roman"/>
          <w:spacing w:val="12"/>
        </w:rPr>
        <w:t xml:space="preserve">f)  </w:t>
      </w:r>
      <w:r>
        <w:rPr>
          <w:spacing w:val="12"/>
        </w:rPr>
        <w:t>在确定可靠性要求的过程中，应充分权衡基本可靠性和任务可靠性要</w:t>
      </w:r>
      <w:r>
        <w:t xml:space="preserve"> </w:t>
      </w:r>
      <w:r>
        <w:rPr>
          <w:spacing w:val="-3"/>
        </w:rPr>
        <w:t>求，以最终满足系统战备完好性和任务成功性要求；</w:t>
      </w:r>
    </w:p>
    <w:p w14:paraId="3842F3E1">
      <w:pPr>
        <w:pStyle w:val="2"/>
        <w:spacing w:before="88" w:line="212" w:lineRule="auto"/>
        <w:ind w:left="550"/>
      </w:pPr>
      <w:r>
        <w:rPr>
          <w:rFonts w:ascii="Times New Roman" w:hAnsi="Times New Roman" w:eastAsia="Times New Roman" w:cs="Times New Roman"/>
        </w:rPr>
        <w:t xml:space="preserve">g)  </w:t>
      </w:r>
      <w:r>
        <w:t>在确定可靠性要求时，必须同时明确故障判据</w:t>
      </w:r>
      <w:r>
        <w:rPr>
          <w:spacing w:val="-1"/>
        </w:rPr>
        <w:t>和验证方法；</w:t>
      </w:r>
    </w:p>
    <w:p w14:paraId="1BEFA325">
      <w:pPr>
        <w:pStyle w:val="2"/>
        <w:spacing w:before="71" w:line="260" w:lineRule="auto"/>
        <w:ind w:firstLine="550"/>
      </w:pPr>
      <w:r>
        <w:rPr>
          <w:rFonts w:ascii="Times New Roman" w:hAnsi="Times New Roman" w:eastAsia="Times New Roman" w:cs="Times New Roman"/>
          <w:spacing w:val="3"/>
        </w:rPr>
        <w:t>h)</w:t>
      </w:r>
      <w:r>
        <w:rPr>
          <w:rFonts w:ascii="Times New Roman" w:hAnsi="Times New Roman" w:eastAsia="Times New Roman" w:cs="Times New Roman"/>
          <w:spacing w:val="61"/>
        </w:rPr>
        <w:t xml:space="preserve"> </w:t>
      </w:r>
      <w:r>
        <w:rPr>
          <w:spacing w:val="3"/>
        </w:rPr>
        <w:t>订购方可以单独提出关键分系统和设备的可靠性要求，对于订购方没有</w:t>
      </w:r>
      <w:r>
        <w:t xml:space="preserve"> </w:t>
      </w:r>
      <w:r>
        <w:rPr>
          <w:spacing w:val="1"/>
        </w:rPr>
        <w:t>明确规定的较低层次产品的可靠性要求，由承制方通</w:t>
      </w:r>
      <w:r>
        <w:t>过可靠性分配的方法确定。</w:t>
      </w:r>
    </w:p>
    <w:p w14:paraId="600A0997">
      <w:pPr>
        <w:pStyle w:val="2"/>
        <w:spacing w:before="90" w:line="219" w:lineRule="auto"/>
        <w:ind w:left="550"/>
      </w:pPr>
      <w:r>
        <w:rPr>
          <w:spacing w:val="3"/>
        </w:rPr>
        <w:t>对可靠性要求有影响的约束条件主要有：</w:t>
      </w:r>
    </w:p>
    <w:p w14:paraId="16059B03">
      <w:pPr>
        <w:pStyle w:val="2"/>
        <w:spacing w:before="79" w:line="212" w:lineRule="auto"/>
        <w:ind w:left="550"/>
      </w:pPr>
      <w:r>
        <w:rPr>
          <w:rFonts w:ascii="Times New Roman" w:hAnsi="Times New Roman" w:eastAsia="Times New Roman" w:cs="Times New Roman"/>
          <w:spacing w:val="-8"/>
        </w:rPr>
        <w:t>a)</w:t>
      </w:r>
      <w:r>
        <w:rPr>
          <w:rFonts w:ascii="Times New Roman" w:hAnsi="Times New Roman" w:eastAsia="Times New Roman" w:cs="Times New Roman"/>
          <w:spacing w:val="58"/>
          <w:w w:val="101"/>
        </w:rPr>
        <w:t xml:space="preserve"> </w:t>
      </w:r>
      <w:r>
        <w:rPr>
          <w:spacing w:val="-8"/>
        </w:rPr>
        <w:t>平时战备训练的环境条件，包括使用、维修、贮存和运输等环境条件；</w:t>
      </w:r>
    </w:p>
    <w:p w14:paraId="7D48A108">
      <w:pPr>
        <w:pStyle w:val="2"/>
        <w:spacing w:before="100" w:line="212" w:lineRule="auto"/>
        <w:ind w:right="8"/>
        <w:jc w:val="right"/>
      </w:pPr>
      <w:r>
        <w:rPr>
          <w:rFonts w:ascii="Times New Roman" w:hAnsi="Times New Roman" w:eastAsia="Times New Roman" w:cs="Times New Roman"/>
          <w:spacing w:val="-10"/>
        </w:rPr>
        <w:t xml:space="preserve">b)  </w:t>
      </w:r>
      <w:r>
        <w:rPr>
          <w:spacing w:val="-10"/>
        </w:rPr>
        <w:t>作战环境条件，包括自然环境、核生化环境、电子环境、复杂电磁环境等；</w:t>
      </w:r>
    </w:p>
    <w:p w14:paraId="572D050B">
      <w:pPr>
        <w:pStyle w:val="2"/>
        <w:spacing w:before="100" w:line="212" w:lineRule="auto"/>
        <w:ind w:left="550"/>
      </w:pPr>
      <w:r>
        <w:rPr>
          <w:rFonts w:ascii="Times New Roman" w:hAnsi="Times New Roman" w:eastAsia="Times New Roman" w:cs="Times New Roman"/>
          <w:spacing w:val="-5"/>
        </w:rPr>
        <w:t>c)</w:t>
      </w:r>
      <w:r>
        <w:rPr>
          <w:rFonts w:ascii="Times New Roman" w:hAnsi="Times New Roman" w:eastAsia="Times New Roman" w:cs="Times New Roman"/>
          <w:spacing w:val="56"/>
          <w:w w:val="101"/>
        </w:rPr>
        <w:t xml:space="preserve"> </w:t>
      </w:r>
      <w:r>
        <w:rPr>
          <w:spacing w:val="-5"/>
        </w:rPr>
        <w:t>与装备保障有关的指挥、控制、通信和情报系统之间的接口；</w:t>
      </w:r>
    </w:p>
    <w:p w14:paraId="6B9DE3DF">
      <w:pPr>
        <w:pStyle w:val="2"/>
        <w:spacing w:before="90" w:line="212" w:lineRule="auto"/>
        <w:ind w:left="550"/>
      </w:pPr>
      <w:r>
        <w:rPr>
          <w:rFonts w:ascii="Times New Roman" w:hAnsi="Times New Roman" w:eastAsia="Times New Roman" w:cs="Times New Roman"/>
          <w:spacing w:val="3"/>
        </w:rPr>
        <w:t>d)</w:t>
      </w:r>
      <w:r>
        <w:rPr>
          <w:rFonts w:ascii="Times New Roman" w:hAnsi="Times New Roman" w:eastAsia="Times New Roman" w:cs="Times New Roman"/>
          <w:spacing w:val="66"/>
        </w:rPr>
        <w:t xml:space="preserve"> </w:t>
      </w:r>
      <w:r>
        <w:rPr>
          <w:spacing w:val="3"/>
        </w:rPr>
        <w:t>标准化和互用性的总体要求；</w:t>
      </w:r>
    </w:p>
    <w:p w14:paraId="2280549B">
      <w:pPr>
        <w:pStyle w:val="2"/>
        <w:spacing w:before="138" w:line="218" w:lineRule="auto"/>
        <w:ind w:left="550"/>
      </w:pPr>
      <w:r>
        <w:rPr>
          <w:rFonts w:ascii="Times New Roman" w:hAnsi="Times New Roman" w:eastAsia="Times New Roman" w:cs="Times New Roman"/>
          <w:spacing w:val="1"/>
        </w:rPr>
        <w:t>e</w:t>
      </w:r>
      <w:r>
        <w:rPr>
          <w:rFonts w:ascii="Times New Roman" w:hAnsi="Times New Roman" w:eastAsia="Times New Roman" w:cs="Times New Roman"/>
          <w:spacing w:val="-12"/>
        </w:rPr>
        <w:t xml:space="preserve"> </w:t>
      </w:r>
      <w:r>
        <w:rPr>
          <w:spacing w:val="1"/>
        </w:rPr>
        <w:t>)装备寿命周期费用分析结论，特别是使用和保障费用方面的估算结果；</w:t>
      </w:r>
    </w:p>
    <w:p w14:paraId="15621981">
      <w:pPr>
        <w:pStyle w:val="2"/>
        <w:spacing w:before="63" w:line="212" w:lineRule="auto"/>
        <w:ind w:left="550"/>
      </w:pPr>
      <w:r>
        <w:rPr>
          <w:rFonts w:ascii="Times New Roman" w:hAnsi="Times New Roman" w:eastAsia="Times New Roman" w:cs="Times New Roman"/>
          <w:spacing w:val="4"/>
        </w:rPr>
        <w:t>f)</w:t>
      </w:r>
      <w:r>
        <w:rPr>
          <w:rFonts w:ascii="Times New Roman" w:hAnsi="Times New Roman" w:eastAsia="Times New Roman" w:cs="Times New Roman"/>
          <w:spacing w:val="62"/>
          <w:w w:val="101"/>
        </w:rPr>
        <w:t xml:space="preserve"> </w:t>
      </w:r>
      <w:r>
        <w:rPr>
          <w:spacing w:val="4"/>
        </w:rPr>
        <w:t>装备形成初始作战使用能力和保障能力的时机和状态；</w:t>
      </w:r>
    </w:p>
    <w:p w14:paraId="267ED33B">
      <w:pPr>
        <w:pStyle w:val="2"/>
        <w:spacing w:before="89" w:line="212" w:lineRule="auto"/>
        <w:ind w:left="550"/>
      </w:pPr>
      <w:r>
        <w:rPr>
          <w:rFonts w:ascii="Times New Roman" w:hAnsi="Times New Roman" w:eastAsia="Times New Roman" w:cs="Times New Roman"/>
          <w:spacing w:val="13"/>
        </w:rPr>
        <w:t>g</w:t>
      </w:r>
      <w:r>
        <w:rPr>
          <w:spacing w:val="13"/>
        </w:rPr>
        <w:t>)风险和进度。</w:t>
      </w:r>
    </w:p>
    <w:p w14:paraId="4540B81B">
      <w:pPr>
        <w:pStyle w:val="2"/>
        <w:spacing w:before="121" w:line="219" w:lineRule="auto"/>
        <w:ind w:left="550"/>
      </w:pPr>
      <w:r>
        <w:rPr>
          <w:spacing w:val="1"/>
        </w:rPr>
        <w:t>可靠性参数可分为以下四类：</w:t>
      </w:r>
    </w:p>
    <w:p w14:paraId="199B8705">
      <w:pPr>
        <w:pStyle w:val="2"/>
        <w:spacing w:before="69" w:line="243" w:lineRule="auto"/>
        <w:ind w:right="99" w:firstLine="550"/>
      </w:pPr>
      <w:r>
        <w:rPr>
          <w:rFonts w:ascii="Times New Roman" w:hAnsi="Times New Roman" w:eastAsia="Times New Roman" w:cs="Times New Roman"/>
          <w:spacing w:val="2"/>
        </w:rPr>
        <w:t>a)</w:t>
      </w:r>
      <w:r>
        <w:rPr>
          <w:rFonts w:ascii="Times New Roman" w:hAnsi="Times New Roman" w:eastAsia="Times New Roman" w:cs="Times New Roman"/>
          <w:spacing w:val="63"/>
        </w:rPr>
        <w:t xml:space="preserve"> </w:t>
      </w:r>
      <w:r>
        <w:rPr>
          <w:spacing w:val="2"/>
        </w:rPr>
        <w:t>基本可靠性参数，如反映使用要求的平均维</w:t>
      </w:r>
      <w:r>
        <w:rPr>
          <w:spacing w:val="1"/>
        </w:rPr>
        <w:t>修间隔时间(</w:t>
      </w:r>
      <w:r>
        <w:rPr>
          <w:spacing w:val="-72"/>
        </w:rPr>
        <w:t xml:space="preserve"> </w:t>
      </w:r>
      <w:r>
        <w:rPr>
          <w:rFonts w:ascii="Times New Roman" w:hAnsi="Times New Roman" w:eastAsia="Times New Roman" w:cs="Times New Roman"/>
        </w:rPr>
        <w:t>MTBM</w:t>
      </w:r>
      <w:r>
        <w:rPr>
          <w:rFonts w:ascii="Times New Roman" w:hAnsi="Times New Roman" w:eastAsia="Times New Roman" w:cs="Times New Roman"/>
          <w:spacing w:val="1"/>
        </w:rPr>
        <w:t>)</w:t>
      </w:r>
      <w:r>
        <w:rPr>
          <w:rFonts w:ascii="Times New Roman" w:hAnsi="Times New Roman" w:eastAsia="Times New Roman" w:cs="Times New Roman"/>
          <w:spacing w:val="-38"/>
        </w:rPr>
        <w:t xml:space="preserve"> </w:t>
      </w:r>
      <w:r>
        <w:rPr>
          <w:spacing w:val="1"/>
        </w:rPr>
        <w:t>、用于</w:t>
      </w:r>
      <w:r>
        <w:t xml:space="preserve"> </w:t>
      </w:r>
      <w:r>
        <w:rPr>
          <w:spacing w:val="1"/>
        </w:rPr>
        <w:t>设计的平均故障间隔时间(</w:t>
      </w:r>
      <w:r>
        <w:rPr>
          <w:rFonts w:ascii="Times New Roman" w:hAnsi="Times New Roman" w:eastAsia="Times New Roman" w:cs="Times New Roman"/>
        </w:rPr>
        <w:t>MTBF</w:t>
      </w:r>
      <w:r>
        <w:rPr>
          <w:rFonts w:ascii="Times New Roman" w:hAnsi="Times New Roman" w:eastAsia="Times New Roman" w:cs="Times New Roman"/>
          <w:spacing w:val="1"/>
        </w:rPr>
        <w:t>)</w:t>
      </w:r>
      <w:r>
        <w:rPr>
          <w:rFonts w:ascii="Times New Roman" w:hAnsi="Times New Roman" w:eastAsia="Times New Roman" w:cs="Times New Roman"/>
          <w:spacing w:val="48"/>
          <w:w w:val="101"/>
        </w:rPr>
        <w:t xml:space="preserve"> </w:t>
      </w:r>
      <w:r>
        <w:rPr>
          <w:spacing w:val="1"/>
        </w:rPr>
        <w:t>等；</w:t>
      </w:r>
    </w:p>
    <w:p w14:paraId="304CBEE8">
      <w:pPr>
        <w:pStyle w:val="2"/>
        <w:spacing w:before="90" w:line="212" w:lineRule="auto"/>
        <w:ind w:left="550"/>
        <w:rPr>
          <w:rFonts w:ascii="Times New Roman" w:hAnsi="Times New Roman" w:eastAsia="Times New Roman" w:cs="Times New Roman"/>
        </w:rPr>
      </w:pPr>
      <w:r>
        <w:rPr>
          <w:rFonts w:ascii="Times New Roman" w:hAnsi="Times New Roman" w:eastAsia="Times New Roman" w:cs="Times New Roman"/>
          <w:spacing w:val="1"/>
        </w:rPr>
        <w:t>b)</w:t>
      </w:r>
      <w:r>
        <w:rPr>
          <w:rFonts w:ascii="Times New Roman" w:hAnsi="Times New Roman" w:eastAsia="Times New Roman" w:cs="Times New Roman"/>
          <w:spacing w:val="85"/>
          <w:w w:val="101"/>
        </w:rPr>
        <w:t xml:space="preserve"> </w:t>
      </w:r>
      <w:r>
        <w:rPr>
          <w:spacing w:val="1"/>
        </w:rPr>
        <w:t>任务可靠性参数，如平均致命性故障间隔时间(</w:t>
      </w:r>
      <w:r>
        <w:rPr>
          <w:rFonts w:ascii="Times New Roman" w:hAnsi="Times New Roman" w:eastAsia="Times New Roman" w:cs="Times New Roman"/>
        </w:rPr>
        <w:t>MTBCF</w:t>
      </w:r>
      <w:r>
        <w:rPr>
          <w:rFonts w:ascii="Times New Roman" w:hAnsi="Times New Roman" w:eastAsia="Times New Roman" w:cs="Times New Roman"/>
          <w:spacing w:val="1"/>
        </w:rPr>
        <w:t>)</w:t>
      </w:r>
      <w:r>
        <w:rPr>
          <w:rFonts w:ascii="Times New Roman" w:hAnsi="Times New Roman" w:eastAsia="Times New Roman" w:cs="Times New Roman"/>
          <w:spacing w:val="-38"/>
        </w:rPr>
        <w:t xml:space="preserve"> </w:t>
      </w:r>
      <w:r>
        <w:rPr>
          <w:spacing w:val="1"/>
        </w:rPr>
        <w:t>、任务可靠度</w:t>
      </w:r>
      <w:r>
        <w:rPr>
          <w:rFonts w:ascii="Times New Roman" w:hAnsi="Times New Roman" w:eastAsia="Times New Roman" w:cs="Times New Roman"/>
          <w:spacing w:val="1"/>
        </w:rPr>
        <w:t>R</w:t>
      </w:r>
    </w:p>
    <w:p w14:paraId="71EC78F7">
      <w:pPr>
        <w:pStyle w:val="2"/>
        <w:spacing w:before="100" w:line="212" w:lineRule="auto"/>
      </w:pPr>
      <w:r>
        <w:rPr>
          <w:rFonts w:ascii="Times New Roman" w:hAnsi="Times New Roman" w:eastAsia="Times New Roman" w:cs="Times New Roman"/>
          <w:spacing w:val="-7"/>
        </w:rPr>
        <w:t>(t</w:t>
      </w:r>
      <w:r>
        <w:rPr>
          <w:rFonts w:ascii="Times New Roman" w:hAnsi="Times New Roman" w:eastAsia="Times New Roman" w:cs="Times New Roman"/>
          <w:spacing w:val="10"/>
        </w:rPr>
        <w:t xml:space="preserve"> </w:t>
      </w:r>
      <w:r>
        <w:rPr>
          <w:spacing w:val="-7"/>
        </w:rPr>
        <w:t>)等；</w:t>
      </w:r>
    </w:p>
    <w:p w14:paraId="6B2D1DFC">
      <w:pPr>
        <w:pStyle w:val="2"/>
        <w:spacing w:before="120" w:line="212" w:lineRule="auto"/>
        <w:ind w:left="550"/>
      </w:pPr>
      <w:r>
        <w:rPr>
          <w:rFonts w:ascii="Times New Roman" w:hAnsi="Times New Roman" w:eastAsia="Times New Roman" w:cs="Times New Roman"/>
          <w:spacing w:val="-8"/>
        </w:rPr>
        <w:t xml:space="preserve">c)  </w:t>
      </w:r>
      <w:r>
        <w:rPr>
          <w:spacing w:val="-8"/>
        </w:rPr>
        <w:t>耐久性参数，如使用寿命(首次翻修期、翻修间隔期限)、贮存寿命等；</w:t>
      </w:r>
    </w:p>
    <w:p w14:paraId="3EA5FAA0">
      <w:pPr>
        <w:spacing w:line="212" w:lineRule="auto"/>
        <w:sectPr>
          <w:footerReference r:id="rId354" w:type="default"/>
          <w:pgSz w:w="11910" w:h="17130"/>
          <w:pgMar w:top="1432" w:right="1365" w:bottom="1700" w:left="1069" w:header="0" w:footer="1414" w:gutter="0"/>
          <w:cols w:space="720" w:num="1"/>
        </w:sectPr>
      </w:pPr>
    </w:p>
    <w:p w14:paraId="6C3961AC">
      <w:pPr>
        <w:pStyle w:val="2"/>
        <w:spacing w:before="58" w:line="212" w:lineRule="auto"/>
        <w:ind w:left="550"/>
      </w:pPr>
      <w:r>
        <w:rPr>
          <w:rFonts w:ascii="Times New Roman" w:hAnsi="Times New Roman" w:eastAsia="Times New Roman" w:cs="Times New Roman"/>
          <w:spacing w:val="-4"/>
        </w:rPr>
        <w:t>d)</w:t>
      </w:r>
      <w:r>
        <w:rPr>
          <w:rFonts w:ascii="Times New Roman" w:hAnsi="Times New Roman" w:eastAsia="Times New Roman" w:cs="Times New Roman"/>
          <w:spacing w:val="71"/>
        </w:rPr>
        <w:t xml:space="preserve"> </w:t>
      </w:r>
      <w:r>
        <w:rPr>
          <w:spacing w:val="-4"/>
        </w:rPr>
        <w:t>贮存可靠性参数，如贮存可靠度等。</w:t>
      </w:r>
    </w:p>
    <w:p w14:paraId="70009753">
      <w:pPr>
        <w:pStyle w:val="2"/>
        <w:spacing w:before="131" w:line="220" w:lineRule="auto"/>
        <w:ind w:left="550"/>
      </w:pPr>
      <w:r>
        <w:rPr>
          <w:spacing w:val="-2"/>
        </w:rPr>
        <w:t>装备可靠性要求论证时，应至少提出如下可靠性定性要求：</w:t>
      </w:r>
    </w:p>
    <w:p w14:paraId="33028757">
      <w:pPr>
        <w:pStyle w:val="2"/>
        <w:spacing w:before="16" w:line="274" w:lineRule="auto"/>
        <w:ind w:right="122" w:firstLine="550"/>
      </w:pPr>
      <w:r>
        <w:rPr>
          <w:rFonts w:ascii="Times New Roman" w:hAnsi="Times New Roman" w:eastAsia="Times New Roman" w:cs="Times New Roman"/>
          <w:spacing w:val="3"/>
        </w:rPr>
        <w:t xml:space="preserve">a)  </w:t>
      </w:r>
      <w:r>
        <w:rPr>
          <w:spacing w:val="3"/>
        </w:rPr>
        <w:t>不易用定量指标来描述的可靠性要求，如紧固件应可</w:t>
      </w:r>
      <w:r>
        <w:rPr>
          <w:spacing w:val="2"/>
        </w:rPr>
        <w:t>靠的锁紧要求、大</w:t>
      </w:r>
      <w:r>
        <w:t xml:space="preserve"> </w:t>
      </w:r>
      <w:r>
        <w:rPr>
          <w:spacing w:val="3"/>
        </w:rPr>
        <w:t>型装备的门窗开启和关闭时应锁紧可靠的要求；</w:t>
      </w:r>
    </w:p>
    <w:p w14:paraId="55F704A9">
      <w:pPr>
        <w:pStyle w:val="2"/>
        <w:spacing w:before="18" w:line="274" w:lineRule="auto"/>
        <w:ind w:right="123" w:firstLine="550"/>
      </w:pPr>
      <w:r>
        <w:rPr>
          <w:rFonts w:ascii="Times New Roman" w:hAnsi="Times New Roman" w:eastAsia="Times New Roman" w:cs="Times New Roman"/>
          <w:spacing w:val="3"/>
        </w:rPr>
        <w:t>b)</w:t>
      </w:r>
      <w:r>
        <w:rPr>
          <w:rFonts w:ascii="Times New Roman" w:hAnsi="Times New Roman" w:eastAsia="Times New Roman" w:cs="Times New Roman"/>
          <w:spacing w:val="58"/>
        </w:rPr>
        <w:t xml:space="preserve"> </w:t>
      </w:r>
      <w:r>
        <w:rPr>
          <w:spacing w:val="3"/>
        </w:rPr>
        <w:t>有关使用操作的可靠性要求，如操纵件位置准确性</w:t>
      </w:r>
      <w:r>
        <w:rPr>
          <w:spacing w:val="2"/>
        </w:rPr>
        <w:t>的要求，操纵件与人</w:t>
      </w:r>
      <w:r>
        <w:t xml:space="preserve"> 的因素有关的设计要求；</w:t>
      </w:r>
    </w:p>
    <w:p w14:paraId="3B0DFF97">
      <w:pPr>
        <w:pStyle w:val="2"/>
        <w:spacing w:before="68" w:line="253" w:lineRule="auto"/>
        <w:ind w:right="107" w:firstLine="550"/>
      </w:pPr>
      <w:r>
        <w:rPr>
          <w:rFonts w:ascii="Times New Roman" w:hAnsi="Times New Roman" w:eastAsia="Times New Roman" w:cs="Times New Roman"/>
          <w:spacing w:val="6"/>
        </w:rPr>
        <w:t>c</w:t>
      </w:r>
      <w:r>
        <w:rPr>
          <w:spacing w:val="6"/>
        </w:rPr>
        <w:t>)对具体产品的可靠性设计要求，如某一功能应有冗余的要求、某一产品</w:t>
      </w:r>
      <w:r>
        <w:rPr>
          <w:spacing w:val="3"/>
        </w:rPr>
        <w:t xml:space="preserve"> </w:t>
      </w:r>
      <w:r>
        <w:rPr>
          <w:spacing w:val="-1"/>
        </w:rPr>
        <w:t>应进行某种热设计的要求、采用某种元器件应有降额设计的要求等；</w:t>
      </w:r>
    </w:p>
    <w:p w14:paraId="5E67C24D">
      <w:pPr>
        <w:pStyle w:val="2"/>
        <w:spacing w:before="41" w:line="212" w:lineRule="auto"/>
        <w:ind w:left="550"/>
      </w:pPr>
      <w:r>
        <w:rPr>
          <w:rFonts w:ascii="Times New Roman" w:hAnsi="Times New Roman" w:eastAsia="Times New Roman" w:cs="Times New Roman"/>
          <w:spacing w:val="5"/>
        </w:rPr>
        <w:t>d)</w:t>
      </w:r>
      <w:r>
        <w:rPr>
          <w:rFonts w:ascii="Times New Roman" w:hAnsi="Times New Roman" w:eastAsia="Times New Roman" w:cs="Times New Roman"/>
          <w:spacing w:val="67"/>
        </w:rPr>
        <w:t xml:space="preserve"> </w:t>
      </w:r>
      <w:r>
        <w:rPr>
          <w:spacing w:val="5"/>
        </w:rPr>
        <w:t>对危及或可能危及到装备安全的故障提出</w:t>
      </w:r>
      <w:r>
        <w:rPr>
          <w:spacing w:val="4"/>
        </w:rPr>
        <w:t>的保护或预防措施要求；</w:t>
      </w:r>
    </w:p>
    <w:p w14:paraId="02CB1D65">
      <w:pPr>
        <w:pStyle w:val="2"/>
        <w:spacing w:before="109" w:line="212" w:lineRule="auto"/>
        <w:ind w:left="550"/>
      </w:pPr>
      <w:r>
        <w:rPr>
          <w:rFonts w:ascii="Times New Roman" w:hAnsi="Times New Roman" w:eastAsia="Times New Roman" w:cs="Times New Roman"/>
          <w:spacing w:val="4"/>
        </w:rPr>
        <w:t>e)</w:t>
      </w:r>
      <w:r>
        <w:rPr>
          <w:rFonts w:ascii="Times New Roman" w:hAnsi="Times New Roman" w:eastAsia="Times New Roman" w:cs="Times New Roman"/>
          <w:spacing w:val="63"/>
          <w:w w:val="101"/>
        </w:rPr>
        <w:t xml:space="preserve"> </w:t>
      </w:r>
      <w:r>
        <w:rPr>
          <w:spacing w:val="4"/>
        </w:rPr>
        <w:t>软件可靠性要求应高于所嵌入硬件的可靠性</w:t>
      </w:r>
      <w:r>
        <w:rPr>
          <w:spacing w:val="3"/>
        </w:rPr>
        <w:t>要求；</w:t>
      </w:r>
    </w:p>
    <w:p w14:paraId="0A310F11">
      <w:pPr>
        <w:pStyle w:val="2"/>
        <w:spacing w:before="90" w:line="212" w:lineRule="auto"/>
        <w:ind w:left="550"/>
      </w:pPr>
      <w:r>
        <w:rPr>
          <w:rFonts w:ascii="Times New Roman" w:hAnsi="Times New Roman" w:eastAsia="Times New Roman" w:cs="Times New Roman"/>
          <w:spacing w:val="4"/>
        </w:rPr>
        <w:t>f)</w:t>
      </w:r>
      <w:r>
        <w:rPr>
          <w:rFonts w:ascii="Times New Roman" w:hAnsi="Times New Roman" w:eastAsia="Times New Roman" w:cs="Times New Roman"/>
          <w:spacing w:val="64"/>
          <w:w w:val="101"/>
        </w:rPr>
        <w:t xml:space="preserve"> </w:t>
      </w:r>
      <w:r>
        <w:rPr>
          <w:spacing w:val="4"/>
        </w:rPr>
        <w:t>其他的可靠性定性要求。</w:t>
      </w:r>
    </w:p>
    <w:p w14:paraId="4ACEAEFB">
      <w:pPr>
        <w:spacing w:before="124" w:line="221" w:lineRule="auto"/>
        <w:rPr>
          <w:rFonts w:ascii="黑体" w:hAnsi="黑体" w:eastAsia="黑体" w:cs="黑体"/>
          <w:sz w:val="27"/>
          <w:szCs w:val="27"/>
        </w:rPr>
      </w:pPr>
      <w:r>
        <w:rPr>
          <w:rFonts w:ascii="黑体" w:hAnsi="黑体" w:eastAsia="黑体" w:cs="黑体"/>
          <w:spacing w:val="3"/>
          <w:sz w:val="27"/>
          <w:szCs w:val="27"/>
        </w:rPr>
        <w:t xml:space="preserve">8  </w:t>
      </w:r>
      <w:r>
        <w:rPr>
          <w:rFonts w:ascii="黑体" w:hAnsi="黑体" w:eastAsia="黑体" w:cs="黑体"/>
          <w:b/>
          <w:bCs/>
          <w:spacing w:val="3"/>
          <w:sz w:val="27"/>
          <w:szCs w:val="27"/>
        </w:rPr>
        <w:t>装备可靠性要求确定的过程和分析方法</w:t>
      </w:r>
    </w:p>
    <w:p w14:paraId="422ECCD0">
      <w:pPr>
        <w:pStyle w:val="2"/>
        <w:spacing w:before="94" w:line="220" w:lineRule="auto"/>
        <w:ind w:left="550"/>
      </w:pPr>
      <w:r>
        <w:rPr>
          <w:spacing w:val="-1"/>
        </w:rPr>
        <w:t>列出确定装备可靠性要求的过程、所用的分析方法和理由。</w:t>
      </w:r>
    </w:p>
    <w:p w14:paraId="4CA5349A">
      <w:pPr>
        <w:spacing w:before="72" w:line="222" w:lineRule="auto"/>
        <w:rPr>
          <w:rFonts w:ascii="黑体" w:hAnsi="黑体" w:eastAsia="黑体" w:cs="黑体"/>
          <w:sz w:val="27"/>
          <w:szCs w:val="27"/>
        </w:rPr>
      </w:pPr>
      <w:r>
        <w:rPr>
          <w:rFonts w:ascii="黑体" w:hAnsi="黑体" w:eastAsia="黑体" w:cs="黑体"/>
          <w:spacing w:val="3"/>
          <w:sz w:val="27"/>
          <w:szCs w:val="27"/>
        </w:rPr>
        <w:t xml:space="preserve">9  </w:t>
      </w:r>
      <w:r>
        <w:rPr>
          <w:rFonts w:ascii="黑体" w:hAnsi="黑体" w:eastAsia="黑体" w:cs="黑体"/>
          <w:b/>
          <w:bCs/>
          <w:spacing w:val="3"/>
          <w:sz w:val="27"/>
          <w:szCs w:val="27"/>
        </w:rPr>
        <w:t>装备可靠性要求可验证性分析</w:t>
      </w:r>
    </w:p>
    <w:p w14:paraId="0E9534BD">
      <w:pPr>
        <w:pStyle w:val="2"/>
        <w:spacing w:before="100" w:line="276" w:lineRule="auto"/>
        <w:ind w:right="124" w:firstLine="550"/>
      </w:pPr>
      <w:r>
        <w:rPr>
          <w:spacing w:val="-3"/>
        </w:rPr>
        <w:t>列出装备可靠性要求可验证性分析的结果，包括验证的参数、验证时机</w:t>
      </w:r>
      <w:r>
        <w:rPr>
          <w:spacing w:val="-4"/>
        </w:rPr>
        <w:t>和方</w:t>
      </w:r>
      <w:r>
        <w:t xml:space="preserve"> </w:t>
      </w:r>
      <w:r>
        <w:rPr>
          <w:spacing w:val="-4"/>
        </w:rPr>
        <w:t>法等。</w:t>
      </w:r>
    </w:p>
    <w:p w14:paraId="3E10185B">
      <w:pPr>
        <w:pStyle w:val="2"/>
        <w:spacing w:before="12" w:line="276" w:lineRule="auto"/>
        <w:ind w:right="123" w:firstLine="550"/>
      </w:pPr>
      <w:r>
        <w:rPr>
          <w:spacing w:val="5"/>
        </w:rPr>
        <w:t>可验证性分析是确定提出的各项可靠性指标能否得到验证的过程。通过可</w:t>
      </w:r>
      <w:r>
        <w:rPr>
          <w:spacing w:val="10"/>
        </w:rPr>
        <w:t xml:space="preserve"> </w:t>
      </w:r>
      <w:r>
        <w:rPr>
          <w:spacing w:val="-6"/>
        </w:rPr>
        <w:t>验证性分析，应明确如下主要内容：</w:t>
      </w:r>
    </w:p>
    <w:p w14:paraId="6EF3FF8A">
      <w:pPr>
        <w:pStyle w:val="2"/>
        <w:spacing w:before="15" w:line="246" w:lineRule="auto"/>
        <w:ind w:right="103" w:firstLine="550"/>
      </w:pPr>
      <w:r>
        <w:rPr>
          <w:rFonts w:ascii="Times New Roman" w:hAnsi="Times New Roman" w:eastAsia="Times New Roman" w:cs="Times New Roman"/>
          <w:spacing w:val="6"/>
        </w:rPr>
        <w:t>a</w:t>
      </w:r>
      <w:r>
        <w:rPr>
          <w:spacing w:val="6"/>
        </w:rPr>
        <w:t>)待验证参数的定义和内涵，包括试验时应记录的数据、如何利用数据计</w:t>
      </w:r>
      <w:r>
        <w:rPr>
          <w:spacing w:val="7"/>
        </w:rPr>
        <w:t xml:space="preserve"> </w:t>
      </w:r>
      <w:r>
        <w:rPr>
          <w:spacing w:val="1"/>
        </w:rPr>
        <w:t>算参数量值的方法。</w:t>
      </w:r>
    </w:p>
    <w:p w14:paraId="37310BF8">
      <w:pPr>
        <w:pStyle w:val="2"/>
        <w:spacing w:before="57" w:line="265" w:lineRule="auto"/>
        <w:ind w:firstLine="550"/>
      </w:pPr>
      <w:r>
        <w:rPr>
          <w:rFonts w:ascii="Times New Roman" w:hAnsi="Times New Roman" w:eastAsia="Times New Roman" w:cs="Times New Roman"/>
          <w:spacing w:val="11"/>
        </w:rPr>
        <w:t>b)</w:t>
      </w:r>
      <w:r>
        <w:rPr>
          <w:rFonts w:ascii="Times New Roman" w:hAnsi="Times New Roman" w:eastAsia="Times New Roman" w:cs="Times New Roman"/>
          <w:spacing w:val="68"/>
        </w:rPr>
        <w:t xml:space="preserve"> </w:t>
      </w:r>
      <w:r>
        <w:rPr>
          <w:spacing w:val="11"/>
        </w:rPr>
        <w:t>装备的故障判断准则。包括关联和非关联(</w:t>
      </w:r>
      <w:r>
        <w:rPr>
          <w:spacing w:val="10"/>
        </w:rPr>
        <w:t>责任和非责任)故障判断准</w:t>
      </w:r>
      <w:r>
        <w:t xml:space="preserve">  </w:t>
      </w:r>
      <w:r>
        <w:rPr>
          <w:spacing w:val="1"/>
        </w:rPr>
        <w:t>则，任务成功的准则和严重故障(任务故障)判断准则等。有耐久性要求的装</w:t>
      </w:r>
      <w:r>
        <w:t xml:space="preserve">备， </w:t>
      </w:r>
      <w:r>
        <w:rPr>
          <w:spacing w:val="3"/>
        </w:rPr>
        <w:t>应明确极限状态(耐久性损坏)的判断准则。</w:t>
      </w:r>
    </w:p>
    <w:p w14:paraId="21FABDA3">
      <w:pPr>
        <w:pStyle w:val="2"/>
        <w:spacing w:before="69" w:line="267" w:lineRule="auto"/>
        <w:ind w:right="117" w:firstLine="550"/>
      </w:pPr>
      <w:r>
        <w:rPr>
          <w:rFonts w:ascii="Times New Roman" w:hAnsi="Times New Roman" w:eastAsia="Times New Roman" w:cs="Times New Roman"/>
          <w:spacing w:val="7"/>
        </w:rPr>
        <w:t>c)</w:t>
      </w:r>
      <w:r>
        <w:rPr>
          <w:rFonts w:ascii="Times New Roman" w:hAnsi="Times New Roman" w:eastAsia="Times New Roman" w:cs="Times New Roman"/>
          <w:spacing w:val="63"/>
        </w:rPr>
        <w:t xml:space="preserve"> </w:t>
      </w:r>
      <w:r>
        <w:rPr>
          <w:spacing w:val="7"/>
        </w:rPr>
        <w:t>验证试验方案。根据</w:t>
      </w:r>
      <w:r>
        <w:rPr>
          <w:rFonts w:ascii="Times New Roman" w:hAnsi="Times New Roman" w:eastAsia="Times New Roman" w:cs="Times New Roman"/>
        </w:rPr>
        <w:t>GJB</w:t>
      </w:r>
      <w:r>
        <w:rPr>
          <w:rFonts w:ascii="Times New Roman" w:hAnsi="Times New Roman" w:eastAsia="Times New Roman" w:cs="Times New Roman"/>
          <w:spacing w:val="29"/>
        </w:rPr>
        <w:t xml:space="preserve">  </w:t>
      </w:r>
      <w:r>
        <w:rPr>
          <w:rFonts w:ascii="Times New Roman" w:hAnsi="Times New Roman" w:eastAsia="Times New Roman" w:cs="Times New Roman"/>
          <w:spacing w:val="7"/>
        </w:rPr>
        <w:t>899A,</w:t>
      </w:r>
      <w:r>
        <w:rPr>
          <w:rFonts w:ascii="Times New Roman" w:hAnsi="Times New Roman" w:eastAsia="Times New Roman" w:cs="Times New Roman"/>
        </w:rPr>
        <w:t>GJB</w:t>
      </w:r>
      <w:r>
        <w:rPr>
          <w:rFonts w:ascii="Times New Roman" w:hAnsi="Times New Roman" w:eastAsia="Times New Roman" w:cs="Times New Roman"/>
          <w:spacing w:val="24"/>
        </w:rPr>
        <w:t xml:space="preserve">  </w:t>
      </w:r>
      <w:r>
        <w:rPr>
          <w:rFonts w:ascii="Times New Roman" w:hAnsi="Times New Roman" w:eastAsia="Times New Roman" w:cs="Times New Roman"/>
          <w:spacing w:val="7"/>
        </w:rPr>
        <w:t>2072</w:t>
      </w:r>
      <w:r>
        <w:rPr>
          <w:rFonts w:ascii="Times New Roman" w:hAnsi="Times New Roman" w:eastAsia="Times New Roman" w:cs="Times New Roman"/>
          <w:spacing w:val="-29"/>
        </w:rPr>
        <w:t xml:space="preserve"> </w:t>
      </w:r>
      <w:r>
        <w:rPr>
          <w:spacing w:val="7"/>
        </w:rPr>
        <w:t>和有关标准规定的原则确定</w:t>
      </w:r>
      <w:r>
        <w:t xml:space="preserve"> </w:t>
      </w:r>
      <w:r>
        <w:rPr>
          <w:spacing w:val="-2"/>
        </w:rPr>
        <w:t>试验方案时，应明确指标的统计含义，说明所</w:t>
      </w:r>
      <w:r>
        <w:rPr>
          <w:spacing w:val="-3"/>
        </w:rPr>
        <w:t>提指标是用置信下限(或上限)还是</w:t>
      </w:r>
      <w:r>
        <w:t xml:space="preserve"> </w:t>
      </w:r>
      <w:r>
        <w:rPr>
          <w:spacing w:val="-2"/>
        </w:rPr>
        <w:t>均值来度量；应规定检验的统计准则，包括</w:t>
      </w:r>
      <w:r>
        <w:rPr>
          <w:spacing w:val="-3"/>
        </w:rPr>
        <w:t>试验的判决风险、样本数、试验总时</w:t>
      </w:r>
      <w:r>
        <w:t xml:space="preserve"> </w:t>
      </w:r>
      <w:r>
        <w:rPr>
          <w:spacing w:val="-3"/>
        </w:rPr>
        <w:t>间、置信水平等。当有多种任务剖面时，还应明确试验剖面，规定试验剖面的持</w:t>
      </w:r>
      <w:r>
        <w:rPr>
          <w:spacing w:val="14"/>
        </w:rPr>
        <w:t xml:space="preserve"> </w:t>
      </w:r>
      <w:r>
        <w:rPr>
          <w:spacing w:val="-3"/>
        </w:rPr>
        <w:t>续时间、各分系统的试验时间、综合环境试验条件等，试验剖面的设计应与任务</w:t>
      </w:r>
      <w:r>
        <w:rPr>
          <w:spacing w:val="16"/>
        </w:rPr>
        <w:t xml:space="preserve"> </w:t>
      </w:r>
      <w:r>
        <w:rPr>
          <w:spacing w:val="-3"/>
        </w:rPr>
        <w:t>剖面相协调。</w:t>
      </w:r>
    </w:p>
    <w:p w14:paraId="04B07F0A">
      <w:pPr>
        <w:pStyle w:val="2"/>
        <w:spacing w:before="128" w:line="259" w:lineRule="auto"/>
        <w:ind w:right="102" w:firstLine="550"/>
      </w:pPr>
      <w:r>
        <w:rPr>
          <w:rFonts w:ascii="Times New Roman" w:hAnsi="Times New Roman" w:eastAsia="Times New Roman" w:cs="Times New Roman"/>
          <w:spacing w:val="3"/>
        </w:rPr>
        <w:t>d)</w:t>
      </w:r>
      <w:r>
        <w:rPr>
          <w:rFonts w:ascii="Times New Roman" w:hAnsi="Times New Roman" w:eastAsia="Times New Roman" w:cs="Times New Roman"/>
          <w:spacing w:val="58"/>
          <w:w w:val="101"/>
        </w:rPr>
        <w:t xml:space="preserve"> </w:t>
      </w:r>
      <w:r>
        <w:rPr>
          <w:spacing w:val="3"/>
        </w:rPr>
        <w:t>对不能或不适宜用统计试验方案验证的参数提出评估验证的要求，有的</w:t>
      </w:r>
      <w:r>
        <w:t xml:space="preserve"> </w:t>
      </w:r>
      <w:r>
        <w:rPr>
          <w:spacing w:val="6"/>
        </w:rPr>
        <w:t>指标可采用演示试验的方法进行验证，有的指标(如小子样</w:t>
      </w:r>
      <w:r>
        <w:rPr>
          <w:spacing w:val="5"/>
        </w:rPr>
        <w:t>的成功概率)可利用</w:t>
      </w:r>
      <w:r>
        <w:t xml:space="preserve"> </w:t>
      </w:r>
      <w:r>
        <w:rPr>
          <w:spacing w:val="4"/>
        </w:rPr>
        <w:t>不同层次的数据通过建模仿真或其他综合的方法进行评估。</w:t>
      </w:r>
    </w:p>
    <w:p w14:paraId="66BD5937">
      <w:pPr>
        <w:pStyle w:val="2"/>
        <w:spacing w:before="63" w:line="267" w:lineRule="auto"/>
        <w:ind w:right="122" w:firstLine="550"/>
      </w:pPr>
      <w:r>
        <w:rPr>
          <w:rFonts w:ascii="Times New Roman" w:hAnsi="Times New Roman" w:eastAsia="Times New Roman" w:cs="Times New Roman"/>
          <w:spacing w:val="11"/>
        </w:rPr>
        <w:t>e)</w:t>
      </w:r>
      <w:r>
        <w:rPr>
          <w:rFonts w:ascii="Times New Roman" w:hAnsi="Times New Roman" w:eastAsia="Times New Roman" w:cs="Times New Roman"/>
          <w:spacing w:val="81"/>
        </w:rPr>
        <w:t xml:space="preserve"> </w:t>
      </w:r>
      <w:r>
        <w:rPr>
          <w:spacing w:val="11"/>
        </w:rPr>
        <w:t>装备可靠性使用要求的验证应在装备实际使用条件下通过使用试验来</w:t>
      </w:r>
      <w:r>
        <w:t xml:space="preserve"> </w:t>
      </w:r>
      <w:r>
        <w:rPr>
          <w:spacing w:val="5"/>
        </w:rPr>
        <w:t>验证。在不具备使用验证条件的情况下，可利用定型试验期间收集的数据和装</w:t>
      </w:r>
    </w:p>
    <w:p w14:paraId="3BE2EDBB">
      <w:pPr>
        <w:spacing w:line="267" w:lineRule="auto"/>
        <w:sectPr>
          <w:footerReference r:id="rId355" w:type="default"/>
          <w:pgSz w:w="11910" w:h="17130"/>
          <w:pgMar w:top="1412" w:right="854" w:bottom="1636" w:left="1569" w:header="0" w:footer="1447" w:gutter="0"/>
          <w:cols w:space="720" w:num="1"/>
        </w:sectPr>
      </w:pPr>
    </w:p>
    <w:p w14:paraId="08A04C26">
      <w:pPr>
        <w:pStyle w:val="2"/>
        <w:spacing w:before="54" w:line="293" w:lineRule="auto"/>
        <w:ind w:right="63" w:firstLine="10"/>
      </w:pPr>
      <w:r>
        <w:rPr>
          <w:spacing w:val="5"/>
        </w:rPr>
        <w:t>备设计过程中的数据，利用仿真等技术进行分析评估，以评估使用要求的实现</w:t>
      </w:r>
      <w:r>
        <w:t xml:space="preserve"> </w:t>
      </w:r>
      <w:r>
        <w:rPr>
          <w:spacing w:val="-4"/>
        </w:rPr>
        <w:t>情况。</w:t>
      </w:r>
    </w:p>
    <w:p w14:paraId="20050427">
      <w:pPr>
        <w:spacing w:line="221" w:lineRule="auto"/>
        <w:ind w:left="13"/>
        <w:outlineLvl w:val="3"/>
        <w:rPr>
          <w:rFonts w:ascii="黑体" w:hAnsi="黑体" w:eastAsia="黑体" w:cs="黑体"/>
          <w:sz w:val="27"/>
          <w:szCs w:val="27"/>
        </w:rPr>
      </w:pPr>
      <w:r>
        <w:rPr>
          <w:rFonts w:ascii="黑体" w:hAnsi="黑体" w:eastAsia="黑体" w:cs="黑体"/>
          <w:b/>
          <w:bCs/>
          <w:spacing w:val="1"/>
          <w:sz w:val="27"/>
          <w:szCs w:val="27"/>
        </w:rPr>
        <w:t>10</w:t>
      </w:r>
      <w:r>
        <w:rPr>
          <w:rFonts w:ascii="黑体" w:hAnsi="黑体" w:eastAsia="黑体" w:cs="黑体"/>
          <w:spacing w:val="1"/>
          <w:sz w:val="27"/>
          <w:szCs w:val="27"/>
        </w:rPr>
        <w:t xml:space="preserve">  </w:t>
      </w:r>
      <w:r>
        <w:rPr>
          <w:rFonts w:ascii="黑体" w:hAnsi="黑体" w:eastAsia="黑体" w:cs="黑体"/>
          <w:b/>
          <w:bCs/>
          <w:spacing w:val="1"/>
          <w:sz w:val="27"/>
          <w:szCs w:val="27"/>
        </w:rPr>
        <w:t>装备可靠性专项经费预计分析</w:t>
      </w:r>
    </w:p>
    <w:p w14:paraId="76268C66">
      <w:pPr>
        <w:pStyle w:val="2"/>
        <w:spacing w:before="70" w:line="282" w:lineRule="auto"/>
        <w:ind w:left="10" w:right="57" w:firstLine="539"/>
      </w:pPr>
      <w:r>
        <w:rPr>
          <w:spacing w:val="5"/>
        </w:rPr>
        <w:t>通过寿命周期费用影响的费用分析，列出装备可靠性专项经费需求分析结</w:t>
      </w:r>
      <w:r>
        <w:rPr>
          <w:spacing w:val="15"/>
        </w:rPr>
        <w:t xml:space="preserve"> </w:t>
      </w:r>
      <w:r>
        <w:rPr>
          <w:spacing w:val="-10"/>
        </w:rPr>
        <w:t>果、支付进度和要求等。</w:t>
      </w:r>
    </w:p>
    <w:p w14:paraId="6499D891">
      <w:pPr>
        <w:pStyle w:val="2"/>
        <w:spacing w:before="345" w:line="220" w:lineRule="auto"/>
        <w:ind w:left="2593"/>
        <w:outlineLvl w:val="2"/>
        <w:rPr>
          <w:sz w:val="36"/>
          <w:szCs w:val="36"/>
        </w:rPr>
      </w:pPr>
      <w:r>
        <w:rPr>
          <w:b/>
          <w:bCs/>
          <w:spacing w:val="-2"/>
        </w:rPr>
        <w:t>7.2</w:t>
      </w:r>
      <w:r>
        <w:rPr>
          <w:spacing w:val="46"/>
        </w:rPr>
        <w:t xml:space="preserve">   </w:t>
      </w:r>
      <w:r>
        <w:rPr>
          <w:b/>
          <w:bCs/>
          <w:spacing w:val="-2"/>
          <w:sz w:val="36"/>
          <w:szCs w:val="36"/>
        </w:rPr>
        <w:t>可靠性工作项目要求</w:t>
      </w:r>
    </w:p>
    <w:p w14:paraId="02A4910D">
      <w:pPr>
        <w:spacing w:line="325" w:lineRule="auto"/>
        <w:rPr>
          <w:rFonts w:ascii="Arial"/>
          <w:sz w:val="21"/>
        </w:rPr>
      </w:pPr>
    </w:p>
    <w:p w14:paraId="65A34C54">
      <w:pPr>
        <w:pStyle w:val="2"/>
        <w:spacing w:before="87" w:line="223" w:lineRule="auto"/>
        <w:ind w:left="570"/>
        <w:rPr>
          <w:rFonts w:ascii="楷体" w:hAnsi="楷体" w:eastAsia="楷体" w:cs="楷体"/>
        </w:rPr>
      </w:pPr>
      <w:r>
        <w:rPr>
          <w:rFonts w:ascii="楷体" w:hAnsi="楷体" w:eastAsia="楷体" w:cs="楷体"/>
          <w:spacing w:val="-2"/>
        </w:rPr>
        <w:t>按照</w:t>
      </w:r>
      <w:r>
        <w:rPr>
          <w:rFonts w:ascii="Times New Roman" w:hAnsi="Times New Roman" w:eastAsia="Times New Roman" w:cs="Times New Roman"/>
          <w:spacing w:val="-2"/>
        </w:rPr>
        <w:t>GJB 450A—2004</w:t>
      </w:r>
      <w:r>
        <w:rPr>
          <w:spacing w:val="-2"/>
        </w:rPr>
        <w:t>《</w:t>
      </w:r>
      <w:r>
        <w:rPr>
          <w:rFonts w:ascii="楷体" w:hAnsi="楷体" w:eastAsia="楷体" w:cs="楷体"/>
          <w:spacing w:val="-2"/>
        </w:rPr>
        <w:t>装备可靠性工作通用要求》编写。</w:t>
      </w:r>
    </w:p>
    <w:p w14:paraId="048A3200">
      <w:pPr>
        <w:spacing w:before="87" w:line="223" w:lineRule="auto"/>
        <w:ind w:left="33"/>
        <w:rPr>
          <w:rFonts w:ascii="黑体" w:hAnsi="黑体" w:eastAsia="黑体" w:cs="黑体"/>
          <w:sz w:val="27"/>
          <w:szCs w:val="27"/>
        </w:rPr>
      </w:pPr>
      <w:r>
        <w:rPr>
          <w:rFonts w:ascii="黑体" w:hAnsi="黑体" w:eastAsia="黑体" w:cs="黑体"/>
          <w:b/>
          <w:bCs/>
          <w:spacing w:val="-5"/>
          <w:sz w:val="27"/>
          <w:szCs w:val="27"/>
        </w:rPr>
        <w:t>1</w:t>
      </w:r>
      <w:r>
        <w:rPr>
          <w:rFonts w:ascii="黑体" w:hAnsi="黑体" w:eastAsia="黑体" w:cs="黑体"/>
          <w:spacing w:val="4"/>
          <w:sz w:val="27"/>
          <w:szCs w:val="27"/>
        </w:rPr>
        <w:t xml:space="preserve">  </w:t>
      </w:r>
      <w:r>
        <w:rPr>
          <w:rFonts w:ascii="黑体" w:hAnsi="黑体" w:eastAsia="黑体" w:cs="黑体"/>
          <w:b/>
          <w:bCs/>
          <w:spacing w:val="-5"/>
          <w:sz w:val="27"/>
          <w:szCs w:val="27"/>
        </w:rPr>
        <w:t>范围</w:t>
      </w:r>
    </w:p>
    <w:p w14:paraId="43C801E7">
      <w:pPr>
        <w:spacing w:before="92" w:line="222" w:lineRule="auto"/>
        <w:ind w:left="13"/>
        <w:rPr>
          <w:rFonts w:ascii="黑体" w:hAnsi="黑体" w:eastAsia="黑体" w:cs="黑体"/>
          <w:sz w:val="27"/>
          <w:szCs w:val="27"/>
        </w:rPr>
      </w:pPr>
      <w:r>
        <w:rPr>
          <w:rFonts w:ascii="黑体" w:hAnsi="黑体" w:eastAsia="黑体" w:cs="黑体"/>
          <w:b/>
          <w:bCs/>
          <w:spacing w:val="-4"/>
          <w:sz w:val="27"/>
          <w:szCs w:val="27"/>
        </w:rPr>
        <w:t>2</w:t>
      </w:r>
      <w:r>
        <w:rPr>
          <w:rFonts w:ascii="黑体" w:hAnsi="黑体" w:eastAsia="黑体" w:cs="黑体"/>
          <w:spacing w:val="17"/>
          <w:sz w:val="27"/>
          <w:szCs w:val="27"/>
        </w:rPr>
        <w:t xml:space="preserve">  </w:t>
      </w:r>
      <w:r>
        <w:rPr>
          <w:rFonts w:ascii="黑体" w:hAnsi="黑体" w:eastAsia="黑体" w:cs="黑体"/>
          <w:b/>
          <w:bCs/>
          <w:spacing w:val="-4"/>
          <w:sz w:val="27"/>
          <w:szCs w:val="27"/>
        </w:rPr>
        <w:t>引用文件</w:t>
      </w:r>
    </w:p>
    <w:p w14:paraId="056D8F79">
      <w:pPr>
        <w:spacing w:before="75" w:line="222" w:lineRule="auto"/>
        <w:ind w:left="13"/>
        <w:rPr>
          <w:rFonts w:ascii="黑体" w:hAnsi="黑体" w:eastAsia="黑体" w:cs="黑体"/>
          <w:sz w:val="27"/>
          <w:szCs w:val="27"/>
        </w:rPr>
      </w:pPr>
      <w:r>
        <w:rPr>
          <w:rFonts w:ascii="黑体" w:hAnsi="黑体" w:eastAsia="黑体" w:cs="黑体"/>
          <w:b/>
          <w:bCs/>
          <w:spacing w:val="2"/>
          <w:sz w:val="27"/>
          <w:szCs w:val="27"/>
        </w:rPr>
        <w:t>3</w:t>
      </w:r>
      <w:r>
        <w:rPr>
          <w:rFonts w:ascii="黑体" w:hAnsi="黑体" w:eastAsia="黑体" w:cs="黑体"/>
          <w:spacing w:val="2"/>
          <w:sz w:val="27"/>
          <w:szCs w:val="27"/>
        </w:rPr>
        <w:t xml:space="preserve">  </w:t>
      </w:r>
      <w:r>
        <w:rPr>
          <w:rFonts w:ascii="黑体" w:hAnsi="黑体" w:eastAsia="黑体" w:cs="黑体"/>
          <w:b/>
          <w:bCs/>
          <w:spacing w:val="2"/>
          <w:sz w:val="27"/>
          <w:szCs w:val="27"/>
        </w:rPr>
        <w:t>可靠性工作项目选择原则</w:t>
      </w:r>
    </w:p>
    <w:p w14:paraId="724DE656">
      <w:pPr>
        <w:pStyle w:val="2"/>
        <w:spacing w:before="89" w:line="267" w:lineRule="auto"/>
        <w:ind w:left="10" w:right="22" w:firstLine="580"/>
      </w:pPr>
      <w:r>
        <w:rPr>
          <w:spacing w:val="5"/>
        </w:rPr>
        <w:t>制定可靠性工作项目选择原则。可靠性工作项目的选择取决于具体产品的</w:t>
      </w:r>
      <w:r>
        <w:rPr>
          <w:spacing w:val="10"/>
        </w:rPr>
        <w:t xml:space="preserve"> </w:t>
      </w:r>
      <w:r>
        <w:rPr>
          <w:spacing w:val="-8"/>
        </w:rPr>
        <w:t>情况，考虑的主要因素有：</w:t>
      </w:r>
    </w:p>
    <w:p w14:paraId="3C99717E">
      <w:pPr>
        <w:pStyle w:val="2"/>
        <w:spacing w:before="1" w:line="212" w:lineRule="auto"/>
        <w:ind w:left="570"/>
      </w:pPr>
      <w:r>
        <w:rPr>
          <w:rFonts w:ascii="Times New Roman" w:hAnsi="Times New Roman" w:eastAsia="Times New Roman" w:cs="Times New Roman"/>
          <w:spacing w:val="2"/>
        </w:rPr>
        <w:t xml:space="preserve">a)  </w:t>
      </w:r>
      <w:r>
        <w:rPr>
          <w:spacing w:val="2"/>
        </w:rPr>
        <w:t>产品要求的可靠性水平；</w:t>
      </w:r>
    </w:p>
    <w:p w14:paraId="0363813A">
      <w:pPr>
        <w:pStyle w:val="2"/>
        <w:spacing w:before="100" w:line="212" w:lineRule="auto"/>
        <w:ind w:left="570"/>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产品的类型和特点；</w:t>
      </w:r>
    </w:p>
    <w:p w14:paraId="54209373">
      <w:pPr>
        <w:pStyle w:val="2"/>
        <w:spacing w:before="99" w:line="212" w:lineRule="auto"/>
        <w:ind w:left="570"/>
      </w:pPr>
      <w:r>
        <w:rPr>
          <w:rFonts w:ascii="Times New Roman" w:hAnsi="Times New Roman" w:eastAsia="Times New Roman" w:cs="Times New Roman"/>
          <w:spacing w:val="3"/>
        </w:rPr>
        <w:t>c)</w:t>
      </w:r>
      <w:r>
        <w:rPr>
          <w:rFonts w:ascii="Times New Roman" w:hAnsi="Times New Roman" w:eastAsia="Times New Roman" w:cs="Times New Roman"/>
          <w:spacing w:val="64"/>
        </w:rPr>
        <w:t xml:space="preserve"> </w:t>
      </w:r>
      <w:r>
        <w:rPr>
          <w:spacing w:val="3"/>
        </w:rPr>
        <w:t>产品的复杂程度和关键性；</w:t>
      </w:r>
    </w:p>
    <w:p w14:paraId="2DA644B3">
      <w:pPr>
        <w:pStyle w:val="2"/>
        <w:spacing w:before="101" w:line="212" w:lineRule="auto"/>
        <w:ind w:left="580"/>
      </w:pPr>
      <w:r>
        <w:rPr>
          <w:rFonts w:ascii="Times New Roman" w:hAnsi="Times New Roman" w:eastAsia="Times New Roman" w:cs="Times New Roman"/>
          <w:spacing w:val="2"/>
        </w:rPr>
        <w:t>d)</w:t>
      </w:r>
      <w:r>
        <w:rPr>
          <w:rFonts w:ascii="Times New Roman" w:hAnsi="Times New Roman" w:eastAsia="Times New Roman" w:cs="Times New Roman"/>
          <w:spacing w:val="71"/>
        </w:rPr>
        <w:t xml:space="preserve"> </w:t>
      </w:r>
      <w:r>
        <w:rPr>
          <w:spacing w:val="2"/>
        </w:rPr>
        <w:t>产品新技术含量；</w:t>
      </w:r>
    </w:p>
    <w:p w14:paraId="54876908">
      <w:pPr>
        <w:pStyle w:val="2"/>
        <w:spacing w:before="99" w:line="212" w:lineRule="auto"/>
        <w:ind w:left="570"/>
      </w:pPr>
      <w:r>
        <w:rPr>
          <w:rFonts w:ascii="Times New Roman" w:hAnsi="Times New Roman" w:eastAsia="Times New Roman" w:cs="Times New Roman"/>
          <w:spacing w:val="-5"/>
        </w:rPr>
        <w:t xml:space="preserve">e)  </w:t>
      </w:r>
      <w:r>
        <w:rPr>
          <w:spacing w:val="-5"/>
        </w:rPr>
        <w:t>费用、进度及所处阶段等。</w:t>
      </w:r>
    </w:p>
    <w:p w14:paraId="731FB9FB">
      <w:pPr>
        <w:spacing w:before="125" w:line="222" w:lineRule="auto"/>
        <w:ind w:left="23"/>
        <w:outlineLvl w:val="3"/>
        <w:rPr>
          <w:rFonts w:ascii="黑体" w:hAnsi="黑体" w:eastAsia="黑体" w:cs="黑体"/>
          <w:sz w:val="27"/>
          <w:szCs w:val="27"/>
        </w:rPr>
      </w:pPr>
      <w:r>
        <w:rPr>
          <w:rFonts w:ascii="黑体" w:hAnsi="黑体" w:eastAsia="黑体" w:cs="黑体"/>
          <w:b/>
          <w:bCs/>
          <w:spacing w:val="3"/>
          <w:sz w:val="27"/>
          <w:szCs w:val="27"/>
        </w:rPr>
        <w:t>4</w:t>
      </w:r>
      <w:r>
        <w:rPr>
          <w:rFonts w:ascii="黑体" w:hAnsi="黑体" w:eastAsia="黑体" w:cs="黑体"/>
          <w:spacing w:val="3"/>
          <w:sz w:val="27"/>
          <w:szCs w:val="27"/>
        </w:rPr>
        <w:t xml:space="preserve">  </w:t>
      </w:r>
      <w:r>
        <w:rPr>
          <w:rFonts w:ascii="黑体" w:hAnsi="黑体" w:eastAsia="黑体" w:cs="黑体"/>
          <w:b/>
          <w:bCs/>
          <w:spacing w:val="3"/>
          <w:sz w:val="27"/>
          <w:szCs w:val="27"/>
        </w:rPr>
        <w:t>可靠性工作项目选择权衡分析</w:t>
      </w:r>
    </w:p>
    <w:p w14:paraId="1142117E">
      <w:pPr>
        <w:pStyle w:val="2"/>
        <w:spacing w:before="91" w:line="219" w:lineRule="auto"/>
        <w:ind w:left="580"/>
      </w:pPr>
      <w:r>
        <w:rPr>
          <w:spacing w:val="3"/>
        </w:rPr>
        <w:t>说明可靠性工作项目选择权衡分析过程。</w:t>
      </w:r>
    </w:p>
    <w:p w14:paraId="04A90D3F">
      <w:pPr>
        <w:pStyle w:val="2"/>
        <w:spacing w:before="78" w:line="279" w:lineRule="auto"/>
        <w:ind w:left="20" w:firstLine="580"/>
      </w:pPr>
      <w:r>
        <w:rPr>
          <w:spacing w:val="10"/>
        </w:rPr>
        <w:t>表7.1可靠性工作项目应用矩阵表说明了各</w:t>
      </w:r>
      <w:r>
        <w:rPr>
          <w:spacing w:val="9"/>
        </w:rPr>
        <w:t>工作项目的适用阶段，为初步</w:t>
      </w:r>
      <w:r>
        <w:t xml:space="preserve"> </w:t>
      </w:r>
      <w:r>
        <w:rPr>
          <w:spacing w:val="4"/>
        </w:rPr>
        <w:t>选择工作项目提供了一般性的指导。</w:t>
      </w:r>
    </w:p>
    <w:p w14:paraId="526435CE">
      <w:pPr>
        <w:spacing w:before="1" w:line="220" w:lineRule="auto"/>
        <w:ind w:left="2550"/>
        <w:rPr>
          <w:rFonts w:ascii="仿宋" w:hAnsi="仿宋" w:eastAsia="仿宋" w:cs="仿宋"/>
          <w:sz w:val="27"/>
          <w:szCs w:val="27"/>
        </w:rPr>
      </w:pPr>
      <w:r>
        <w:rPr>
          <w:rFonts w:ascii="仿宋" w:hAnsi="仿宋" w:eastAsia="仿宋" w:cs="仿宋"/>
          <w:spacing w:val="1"/>
          <w:sz w:val="27"/>
          <w:szCs w:val="27"/>
        </w:rPr>
        <w:t>表7</w:t>
      </w:r>
      <w:r>
        <w:rPr>
          <w:rFonts w:ascii="仿宋" w:hAnsi="仿宋" w:eastAsia="仿宋" w:cs="仿宋"/>
          <w:spacing w:val="-74"/>
          <w:sz w:val="27"/>
          <w:szCs w:val="27"/>
        </w:rPr>
        <w:t xml:space="preserve"> </w:t>
      </w:r>
      <w:r>
        <w:rPr>
          <w:rFonts w:ascii="仿宋" w:hAnsi="仿宋" w:eastAsia="仿宋" w:cs="仿宋"/>
          <w:spacing w:val="1"/>
          <w:sz w:val="27"/>
          <w:szCs w:val="27"/>
        </w:rPr>
        <w:t>.</w:t>
      </w:r>
      <w:r>
        <w:rPr>
          <w:rFonts w:ascii="仿宋" w:hAnsi="仿宋" w:eastAsia="仿宋" w:cs="仿宋"/>
          <w:spacing w:val="-68"/>
          <w:sz w:val="27"/>
          <w:szCs w:val="27"/>
        </w:rPr>
        <w:t xml:space="preserve"> </w:t>
      </w:r>
      <w:r>
        <w:rPr>
          <w:rFonts w:ascii="仿宋" w:hAnsi="仿宋" w:eastAsia="仿宋" w:cs="仿宋"/>
          <w:spacing w:val="1"/>
          <w:sz w:val="27"/>
          <w:szCs w:val="27"/>
        </w:rPr>
        <w:t>1</w:t>
      </w:r>
      <w:r>
        <w:rPr>
          <w:rFonts w:ascii="仿宋" w:hAnsi="仿宋" w:eastAsia="仿宋" w:cs="仿宋"/>
          <w:spacing w:val="127"/>
          <w:sz w:val="27"/>
          <w:szCs w:val="27"/>
        </w:rPr>
        <w:t xml:space="preserve"> </w:t>
      </w:r>
      <w:r>
        <w:rPr>
          <w:rFonts w:ascii="仿宋" w:hAnsi="仿宋" w:eastAsia="仿宋" w:cs="仿宋"/>
          <w:spacing w:val="1"/>
          <w:sz w:val="27"/>
          <w:szCs w:val="27"/>
        </w:rPr>
        <w:t>可靠性工作项目应用矩阵表</w:t>
      </w:r>
    </w:p>
    <w:p w14:paraId="26914F79">
      <w:pPr>
        <w:spacing w:line="97" w:lineRule="exact"/>
      </w:pPr>
    </w:p>
    <w:tbl>
      <w:tblPr>
        <w:tblStyle w:val="5"/>
        <w:tblW w:w="936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3"/>
        <w:gridCol w:w="1259"/>
        <w:gridCol w:w="2927"/>
        <w:gridCol w:w="829"/>
        <w:gridCol w:w="839"/>
        <w:gridCol w:w="1249"/>
        <w:gridCol w:w="1004"/>
      </w:tblGrid>
      <w:tr w14:paraId="48562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2" w:hRule="atLeast"/>
        </w:trPr>
        <w:tc>
          <w:tcPr>
            <w:tcW w:w="1253" w:type="dxa"/>
            <w:vAlign w:val="top"/>
          </w:tcPr>
          <w:p w14:paraId="62CA0462">
            <w:pPr>
              <w:spacing w:before="183" w:line="289" w:lineRule="auto"/>
              <w:ind w:left="194" w:right="194"/>
              <w:rPr>
                <w:rFonts w:ascii="宋体" w:hAnsi="宋体" w:eastAsia="宋体" w:cs="宋体"/>
                <w:sz w:val="21"/>
                <w:szCs w:val="21"/>
              </w:rPr>
            </w:pPr>
            <w:r>
              <w:rPr>
                <w:rFonts w:ascii="宋体" w:hAnsi="宋体" w:eastAsia="宋体" w:cs="宋体"/>
                <w:spacing w:val="-2"/>
                <w:sz w:val="21"/>
                <w:szCs w:val="21"/>
              </w:rPr>
              <w:t>GJB</w:t>
            </w:r>
            <w:r>
              <w:rPr>
                <w:rFonts w:ascii="宋体" w:hAnsi="宋体" w:eastAsia="宋体" w:cs="宋体"/>
                <w:spacing w:val="7"/>
                <w:sz w:val="21"/>
                <w:szCs w:val="21"/>
              </w:rPr>
              <w:t xml:space="preserve"> </w:t>
            </w:r>
            <w:r>
              <w:rPr>
                <w:rFonts w:ascii="宋体" w:hAnsi="宋体" w:eastAsia="宋体" w:cs="宋体"/>
                <w:spacing w:val="-2"/>
                <w:sz w:val="21"/>
                <w:szCs w:val="21"/>
              </w:rPr>
              <w:t>450A</w:t>
            </w:r>
            <w:r>
              <w:rPr>
                <w:rFonts w:ascii="宋体" w:hAnsi="宋体" w:eastAsia="宋体" w:cs="宋体"/>
                <w:sz w:val="21"/>
                <w:szCs w:val="21"/>
              </w:rPr>
              <w:t xml:space="preserve"> </w:t>
            </w:r>
            <w:r>
              <w:rPr>
                <w:rFonts w:ascii="宋体" w:hAnsi="宋体" w:eastAsia="宋体" w:cs="宋体"/>
                <w:spacing w:val="3"/>
                <w:sz w:val="21"/>
                <w:szCs w:val="21"/>
              </w:rPr>
              <w:t>条款编号</w:t>
            </w:r>
          </w:p>
        </w:tc>
        <w:tc>
          <w:tcPr>
            <w:tcW w:w="1259" w:type="dxa"/>
            <w:vAlign w:val="top"/>
          </w:tcPr>
          <w:p w14:paraId="3E98F92F">
            <w:pPr>
              <w:spacing w:before="155" w:line="291" w:lineRule="auto"/>
              <w:ind w:left="411" w:right="166" w:hanging="209"/>
              <w:rPr>
                <w:rFonts w:ascii="宋体" w:hAnsi="宋体" w:eastAsia="宋体" w:cs="宋体"/>
                <w:sz w:val="21"/>
                <w:szCs w:val="21"/>
              </w:rPr>
            </w:pPr>
            <w:r>
              <w:rPr>
                <w:rFonts w:ascii="宋体" w:hAnsi="宋体" w:eastAsia="宋体" w:cs="宋体"/>
                <w:spacing w:val="10"/>
                <w:sz w:val="21"/>
                <w:szCs w:val="21"/>
              </w:rPr>
              <w:t>工作项目</w:t>
            </w:r>
            <w:r>
              <w:rPr>
                <w:rFonts w:ascii="宋体" w:hAnsi="宋体" w:eastAsia="宋体" w:cs="宋体"/>
                <w:sz w:val="21"/>
                <w:szCs w:val="21"/>
              </w:rPr>
              <w:t xml:space="preserve"> </w:t>
            </w:r>
            <w:r>
              <w:rPr>
                <w:rFonts w:ascii="宋体" w:hAnsi="宋体" w:eastAsia="宋体" w:cs="宋体"/>
                <w:spacing w:val="6"/>
                <w:sz w:val="21"/>
                <w:szCs w:val="21"/>
              </w:rPr>
              <w:t>编号</w:t>
            </w:r>
          </w:p>
        </w:tc>
        <w:tc>
          <w:tcPr>
            <w:tcW w:w="2927" w:type="dxa"/>
            <w:vAlign w:val="top"/>
          </w:tcPr>
          <w:p w14:paraId="04477743">
            <w:pPr>
              <w:pStyle w:val="6"/>
              <w:spacing w:line="254" w:lineRule="auto"/>
            </w:pPr>
          </w:p>
          <w:p w14:paraId="1F456653">
            <w:pPr>
              <w:spacing w:before="68" w:line="220" w:lineRule="auto"/>
              <w:ind w:left="823"/>
              <w:rPr>
                <w:rFonts w:ascii="宋体" w:hAnsi="宋体" w:eastAsia="宋体" w:cs="宋体"/>
                <w:sz w:val="21"/>
                <w:szCs w:val="21"/>
              </w:rPr>
            </w:pPr>
            <w:r>
              <w:rPr>
                <w:rFonts w:ascii="宋体" w:hAnsi="宋体" w:eastAsia="宋体" w:cs="宋体"/>
                <w:spacing w:val="1"/>
                <w:sz w:val="21"/>
                <w:szCs w:val="21"/>
              </w:rPr>
              <w:t>工作项目名称</w:t>
            </w:r>
          </w:p>
        </w:tc>
        <w:tc>
          <w:tcPr>
            <w:tcW w:w="829" w:type="dxa"/>
            <w:vAlign w:val="top"/>
          </w:tcPr>
          <w:p w14:paraId="2F4D5A14">
            <w:pPr>
              <w:spacing w:before="151" w:line="227" w:lineRule="auto"/>
              <w:ind w:left="195"/>
              <w:rPr>
                <w:rFonts w:ascii="宋体" w:hAnsi="宋体" w:eastAsia="宋体" w:cs="宋体"/>
                <w:sz w:val="21"/>
                <w:szCs w:val="21"/>
              </w:rPr>
            </w:pPr>
            <w:r>
              <w:rPr>
                <w:rFonts w:ascii="宋体" w:hAnsi="宋体" w:eastAsia="宋体" w:cs="宋体"/>
                <w:spacing w:val="-3"/>
                <w:sz w:val="21"/>
                <w:szCs w:val="21"/>
              </w:rPr>
              <w:t>论证</w:t>
            </w:r>
          </w:p>
          <w:p w14:paraId="4B0CC041">
            <w:pPr>
              <w:spacing w:before="75" w:line="221" w:lineRule="auto"/>
              <w:ind w:left="195"/>
              <w:rPr>
                <w:rFonts w:ascii="宋体" w:hAnsi="宋体" w:eastAsia="宋体" w:cs="宋体"/>
                <w:sz w:val="21"/>
                <w:szCs w:val="21"/>
              </w:rPr>
            </w:pPr>
            <w:r>
              <w:rPr>
                <w:rFonts w:ascii="宋体" w:hAnsi="宋体" w:eastAsia="宋体" w:cs="宋体"/>
                <w:spacing w:val="4"/>
                <w:sz w:val="21"/>
                <w:szCs w:val="21"/>
              </w:rPr>
              <w:t>阶段</w:t>
            </w:r>
          </w:p>
        </w:tc>
        <w:tc>
          <w:tcPr>
            <w:tcW w:w="839" w:type="dxa"/>
            <w:vAlign w:val="top"/>
          </w:tcPr>
          <w:p w14:paraId="370ED7B0">
            <w:pPr>
              <w:spacing w:before="144" w:line="220" w:lineRule="auto"/>
              <w:ind w:left="206"/>
              <w:rPr>
                <w:rFonts w:ascii="宋体" w:hAnsi="宋体" w:eastAsia="宋体" w:cs="宋体"/>
                <w:sz w:val="21"/>
                <w:szCs w:val="21"/>
              </w:rPr>
            </w:pPr>
            <w:r>
              <w:rPr>
                <w:rFonts w:ascii="宋体" w:hAnsi="宋体" w:eastAsia="宋体" w:cs="宋体"/>
                <w:spacing w:val="-3"/>
                <w:sz w:val="21"/>
                <w:szCs w:val="21"/>
              </w:rPr>
              <w:t>方案</w:t>
            </w:r>
          </w:p>
          <w:p w14:paraId="664B658B">
            <w:pPr>
              <w:spacing w:before="90" w:line="221" w:lineRule="auto"/>
              <w:ind w:left="206"/>
              <w:rPr>
                <w:rFonts w:ascii="宋体" w:hAnsi="宋体" w:eastAsia="宋体" w:cs="宋体"/>
                <w:sz w:val="21"/>
                <w:szCs w:val="21"/>
              </w:rPr>
            </w:pPr>
            <w:r>
              <w:rPr>
                <w:rFonts w:ascii="宋体" w:hAnsi="宋体" w:eastAsia="宋体" w:cs="宋体"/>
                <w:spacing w:val="4"/>
                <w:sz w:val="21"/>
                <w:szCs w:val="21"/>
              </w:rPr>
              <w:t>阶段</w:t>
            </w:r>
          </w:p>
        </w:tc>
        <w:tc>
          <w:tcPr>
            <w:tcW w:w="1249" w:type="dxa"/>
            <w:vAlign w:val="top"/>
          </w:tcPr>
          <w:p w14:paraId="34599051">
            <w:pPr>
              <w:spacing w:before="143" w:line="307" w:lineRule="auto"/>
              <w:ind w:left="197" w:right="73" w:hanging="100"/>
              <w:rPr>
                <w:rFonts w:ascii="宋体" w:hAnsi="宋体" w:eastAsia="宋体" w:cs="宋体"/>
                <w:sz w:val="21"/>
                <w:szCs w:val="21"/>
              </w:rPr>
            </w:pPr>
            <w:r>
              <w:rPr>
                <w:rFonts w:ascii="宋体" w:hAnsi="宋体" w:eastAsia="宋体" w:cs="宋体"/>
                <w:spacing w:val="3"/>
                <w:sz w:val="21"/>
                <w:szCs w:val="21"/>
              </w:rPr>
              <w:t>工程研制与</w:t>
            </w:r>
            <w:r>
              <w:rPr>
                <w:rFonts w:ascii="宋体" w:hAnsi="宋体" w:eastAsia="宋体" w:cs="宋体"/>
                <w:spacing w:val="1"/>
                <w:sz w:val="21"/>
                <w:szCs w:val="21"/>
              </w:rPr>
              <w:t xml:space="preserve"> </w:t>
            </w:r>
            <w:r>
              <w:rPr>
                <w:rFonts w:ascii="宋体" w:hAnsi="宋体" w:eastAsia="宋体" w:cs="宋体"/>
                <w:spacing w:val="2"/>
                <w:sz w:val="21"/>
                <w:szCs w:val="21"/>
              </w:rPr>
              <w:t>定型阶段</w:t>
            </w:r>
          </w:p>
        </w:tc>
        <w:tc>
          <w:tcPr>
            <w:tcW w:w="1004" w:type="dxa"/>
            <w:vAlign w:val="top"/>
          </w:tcPr>
          <w:p w14:paraId="3E292EAB">
            <w:pPr>
              <w:spacing w:before="143" w:line="307" w:lineRule="auto"/>
              <w:ind w:left="179" w:right="64" w:hanging="100"/>
              <w:rPr>
                <w:rFonts w:ascii="宋体" w:hAnsi="宋体" w:eastAsia="宋体" w:cs="宋体"/>
                <w:sz w:val="21"/>
                <w:szCs w:val="21"/>
              </w:rPr>
            </w:pPr>
            <w:r>
              <w:rPr>
                <w:rFonts w:ascii="宋体" w:hAnsi="宋体" w:eastAsia="宋体" w:cs="宋体"/>
                <w:spacing w:val="2"/>
                <w:sz w:val="21"/>
                <w:szCs w:val="21"/>
              </w:rPr>
              <w:t>生产与使</w:t>
            </w:r>
            <w:r>
              <w:rPr>
                <w:rFonts w:ascii="宋体" w:hAnsi="宋体" w:eastAsia="宋体" w:cs="宋体"/>
                <w:spacing w:val="1"/>
                <w:sz w:val="21"/>
                <w:szCs w:val="21"/>
              </w:rPr>
              <w:t xml:space="preserve"> </w:t>
            </w:r>
            <w:r>
              <w:rPr>
                <w:rFonts w:ascii="宋体" w:hAnsi="宋体" w:eastAsia="宋体" w:cs="宋体"/>
                <w:spacing w:val="-3"/>
                <w:sz w:val="21"/>
                <w:szCs w:val="21"/>
              </w:rPr>
              <w:t>用阶段</w:t>
            </w:r>
          </w:p>
        </w:tc>
      </w:tr>
      <w:tr w14:paraId="42B63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253" w:type="dxa"/>
            <w:vAlign w:val="top"/>
          </w:tcPr>
          <w:p w14:paraId="7412A658">
            <w:pPr>
              <w:spacing w:before="142" w:line="239" w:lineRule="auto"/>
              <w:ind w:left="454"/>
              <w:rPr>
                <w:rFonts w:ascii="宋体" w:hAnsi="宋体" w:eastAsia="宋体" w:cs="宋体"/>
                <w:sz w:val="21"/>
                <w:szCs w:val="21"/>
              </w:rPr>
            </w:pPr>
            <w:r>
              <w:rPr>
                <w:rFonts w:ascii="宋体" w:hAnsi="宋体" w:eastAsia="宋体" w:cs="宋体"/>
                <w:spacing w:val="-3"/>
                <w:sz w:val="21"/>
                <w:szCs w:val="21"/>
              </w:rPr>
              <w:t>5.1</w:t>
            </w:r>
          </w:p>
        </w:tc>
        <w:tc>
          <w:tcPr>
            <w:tcW w:w="1259" w:type="dxa"/>
            <w:vAlign w:val="top"/>
          </w:tcPr>
          <w:p w14:paraId="01F60500">
            <w:pPr>
              <w:spacing w:before="142"/>
              <w:ind w:left="462"/>
              <w:rPr>
                <w:rFonts w:ascii="宋体" w:hAnsi="宋体" w:eastAsia="宋体" w:cs="宋体"/>
                <w:sz w:val="21"/>
                <w:szCs w:val="21"/>
              </w:rPr>
            </w:pPr>
            <w:r>
              <w:rPr>
                <w:rFonts w:ascii="宋体" w:hAnsi="宋体" w:eastAsia="宋体" w:cs="宋体"/>
                <w:spacing w:val="-6"/>
                <w:sz w:val="21"/>
                <w:szCs w:val="21"/>
              </w:rPr>
              <w:t>101</w:t>
            </w:r>
          </w:p>
        </w:tc>
        <w:tc>
          <w:tcPr>
            <w:tcW w:w="2927" w:type="dxa"/>
            <w:vAlign w:val="top"/>
          </w:tcPr>
          <w:p w14:paraId="48FF8BD9">
            <w:pPr>
              <w:spacing w:before="122" w:line="220" w:lineRule="auto"/>
              <w:ind w:left="92"/>
              <w:rPr>
                <w:rFonts w:ascii="宋体" w:hAnsi="宋体" w:eastAsia="宋体" w:cs="宋体"/>
                <w:sz w:val="21"/>
                <w:szCs w:val="21"/>
              </w:rPr>
            </w:pPr>
            <w:r>
              <w:rPr>
                <w:rFonts w:ascii="宋体" w:hAnsi="宋体" w:eastAsia="宋体" w:cs="宋体"/>
                <w:spacing w:val="-2"/>
                <w:sz w:val="21"/>
                <w:szCs w:val="21"/>
              </w:rPr>
              <w:t>确定可靠性要求</w:t>
            </w:r>
          </w:p>
        </w:tc>
        <w:tc>
          <w:tcPr>
            <w:tcW w:w="829" w:type="dxa"/>
            <w:vAlign w:val="top"/>
          </w:tcPr>
          <w:p w14:paraId="348874A0">
            <w:pPr>
              <w:spacing w:before="142" w:line="238" w:lineRule="auto"/>
              <w:ind w:left="306"/>
              <w:rPr>
                <w:rFonts w:ascii="宋体" w:hAnsi="宋体" w:eastAsia="宋体" w:cs="宋体"/>
                <w:sz w:val="21"/>
                <w:szCs w:val="21"/>
              </w:rPr>
            </w:pPr>
            <w:r>
              <w:rPr>
                <w:rFonts w:ascii="宋体" w:hAnsi="宋体" w:eastAsia="宋体" w:cs="宋体"/>
                <w:sz w:val="21"/>
                <w:szCs w:val="21"/>
              </w:rPr>
              <w:t>√</w:t>
            </w:r>
          </w:p>
        </w:tc>
        <w:tc>
          <w:tcPr>
            <w:tcW w:w="839" w:type="dxa"/>
            <w:vAlign w:val="top"/>
          </w:tcPr>
          <w:p w14:paraId="6DEB337B">
            <w:pPr>
              <w:spacing w:before="142" w:line="238" w:lineRule="auto"/>
              <w:ind w:left="307"/>
              <w:rPr>
                <w:rFonts w:ascii="宋体" w:hAnsi="宋体" w:eastAsia="宋体" w:cs="宋体"/>
                <w:sz w:val="21"/>
                <w:szCs w:val="21"/>
              </w:rPr>
            </w:pPr>
            <w:r>
              <w:rPr>
                <w:rFonts w:ascii="宋体" w:hAnsi="宋体" w:eastAsia="宋体" w:cs="宋体"/>
                <w:sz w:val="21"/>
                <w:szCs w:val="21"/>
              </w:rPr>
              <w:t>√</w:t>
            </w:r>
          </w:p>
        </w:tc>
        <w:tc>
          <w:tcPr>
            <w:tcW w:w="1249" w:type="dxa"/>
            <w:vAlign w:val="top"/>
          </w:tcPr>
          <w:p w14:paraId="0619E0EF">
            <w:pPr>
              <w:spacing w:before="142" w:line="282" w:lineRule="exact"/>
              <w:ind w:left="518"/>
              <w:rPr>
                <w:rFonts w:ascii="宋体" w:hAnsi="宋体" w:eastAsia="宋体" w:cs="宋体"/>
                <w:sz w:val="21"/>
                <w:szCs w:val="21"/>
              </w:rPr>
            </w:pPr>
            <w:r>
              <w:rPr>
                <w:rFonts w:ascii="宋体" w:hAnsi="宋体" w:eastAsia="宋体" w:cs="宋体"/>
                <w:position w:val="1"/>
                <w:sz w:val="21"/>
                <w:szCs w:val="21"/>
              </w:rPr>
              <w:t>×</w:t>
            </w:r>
          </w:p>
        </w:tc>
        <w:tc>
          <w:tcPr>
            <w:tcW w:w="1004" w:type="dxa"/>
            <w:vAlign w:val="top"/>
          </w:tcPr>
          <w:p w14:paraId="638F3569">
            <w:pPr>
              <w:spacing w:before="142" w:line="282" w:lineRule="exact"/>
              <w:ind w:left="389"/>
              <w:rPr>
                <w:rFonts w:ascii="宋体" w:hAnsi="宋体" w:eastAsia="宋体" w:cs="宋体"/>
                <w:sz w:val="21"/>
                <w:szCs w:val="21"/>
              </w:rPr>
            </w:pPr>
            <w:r>
              <w:rPr>
                <w:rFonts w:ascii="宋体" w:hAnsi="宋体" w:eastAsia="宋体" w:cs="宋体"/>
                <w:position w:val="1"/>
                <w:sz w:val="21"/>
                <w:szCs w:val="21"/>
              </w:rPr>
              <w:t>×</w:t>
            </w:r>
          </w:p>
        </w:tc>
      </w:tr>
      <w:tr w14:paraId="17D95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5805010B">
            <w:pPr>
              <w:spacing w:before="143" w:line="239" w:lineRule="auto"/>
              <w:ind w:left="454"/>
              <w:rPr>
                <w:rFonts w:ascii="宋体" w:hAnsi="宋体" w:eastAsia="宋体" w:cs="宋体"/>
                <w:sz w:val="21"/>
                <w:szCs w:val="21"/>
              </w:rPr>
            </w:pPr>
            <w:r>
              <w:rPr>
                <w:rFonts w:ascii="宋体" w:hAnsi="宋体" w:eastAsia="宋体" w:cs="宋体"/>
                <w:spacing w:val="-3"/>
                <w:sz w:val="21"/>
                <w:szCs w:val="21"/>
              </w:rPr>
              <w:t>5.2</w:t>
            </w:r>
          </w:p>
        </w:tc>
        <w:tc>
          <w:tcPr>
            <w:tcW w:w="1259" w:type="dxa"/>
            <w:vAlign w:val="top"/>
          </w:tcPr>
          <w:p w14:paraId="35A207C2">
            <w:pPr>
              <w:spacing w:before="143"/>
              <w:ind w:left="462"/>
              <w:rPr>
                <w:rFonts w:ascii="宋体" w:hAnsi="宋体" w:eastAsia="宋体" w:cs="宋体"/>
                <w:sz w:val="21"/>
                <w:szCs w:val="21"/>
              </w:rPr>
            </w:pPr>
            <w:r>
              <w:rPr>
                <w:rFonts w:ascii="宋体" w:hAnsi="宋体" w:eastAsia="宋体" w:cs="宋体"/>
                <w:spacing w:val="-6"/>
                <w:sz w:val="21"/>
                <w:szCs w:val="21"/>
              </w:rPr>
              <w:t>102</w:t>
            </w:r>
          </w:p>
        </w:tc>
        <w:tc>
          <w:tcPr>
            <w:tcW w:w="2927" w:type="dxa"/>
            <w:vAlign w:val="top"/>
          </w:tcPr>
          <w:p w14:paraId="652BA362">
            <w:pPr>
              <w:spacing w:before="123" w:line="220" w:lineRule="auto"/>
              <w:ind w:left="92"/>
              <w:rPr>
                <w:rFonts w:ascii="宋体" w:hAnsi="宋体" w:eastAsia="宋体" w:cs="宋体"/>
                <w:sz w:val="21"/>
                <w:szCs w:val="21"/>
              </w:rPr>
            </w:pPr>
            <w:r>
              <w:rPr>
                <w:rFonts w:ascii="宋体" w:hAnsi="宋体" w:eastAsia="宋体" w:cs="宋体"/>
                <w:spacing w:val="-1"/>
                <w:sz w:val="21"/>
                <w:szCs w:val="21"/>
              </w:rPr>
              <w:t>确定可靠性工作项目要求</w:t>
            </w:r>
          </w:p>
        </w:tc>
        <w:tc>
          <w:tcPr>
            <w:tcW w:w="829" w:type="dxa"/>
            <w:vAlign w:val="top"/>
          </w:tcPr>
          <w:p w14:paraId="691A7DAD">
            <w:pPr>
              <w:spacing w:before="143" w:line="238" w:lineRule="auto"/>
              <w:ind w:left="306"/>
              <w:rPr>
                <w:rFonts w:ascii="宋体" w:hAnsi="宋体" w:eastAsia="宋体" w:cs="宋体"/>
                <w:sz w:val="21"/>
                <w:szCs w:val="21"/>
              </w:rPr>
            </w:pPr>
            <w:r>
              <w:rPr>
                <w:rFonts w:ascii="宋体" w:hAnsi="宋体" w:eastAsia="宋体" w:cs="宋体"/>
                <w:sz w:val="21"/>
                <w:szCs w:val="21"/>
              </w:rPr>
              <w:t>√</w:t>
            </w:r>
          </w:p>
        </w:tc>
        <w:tc>
          <w:tcPr>
            <w:tcW w:w="839" w:type="dxa"/>
            <w:vAlign w:val="top"/>
          </w:tcPr>
          <w:p w14:paraId="32259DEF">
            <w:pPr>
              <w:spacing w:before="143" w:line="238" w:lineRule="auto"/>
              <w:ind w:left="307"/>
              <w:rPr>
                <w:rFonts w:ascii="宋体" w:hAnsi="宋体" w:eastAsia="宋体" w:cs="宋体"/>
                <w:sz w:val="21"/>
                <w:szCs w:val="21"/>
              </w:rPr>
            </w:pPr>
            <w:r>
              <w:rPr>
                <w:rFonts w:ascii="宋体" w:hAnsi="宋体" w:eastAsia="宋体" w:cs="宋体"/>
                <w:sz w:val="21"/>
                <w:szCs w:val="21"/>
              </w:rPr>
              <w:t>√</w:t>
            </w:r>
          </w:p>
        </w:tc>
        <w:tc>
          <w:tcPr>
            <w:tcW w:w="1249" w:type="dxa"/>
            <w:vAlign w:val="top"/>
          </w:tcPr>
          <w:p w14:paraId="75D6C203">
            <w:pPr>
              <w:spacing w:before="143" w:line="282" w:lineRule="exact"/>
              <w:ind w:left="518"/>
              <w:rPr>
                <w:rFonts w:ascii="宋体" w:hAnsi="宋体" w:eastAsia="宋体" w:cs="宋体"/>
                <w:sz w:val="21"/>
                <w:szCs w:val="21"/>
              </w:rPr>
            </w:pPr>
            <w:r>
              <w:rPr>
                <w:rFonts w:ascii="宋体" w:hAnsi="宋体" w:eastAsia="宋体" w:cs="宋体"/>
                <w:position w:val="1"/>
                <w:sz w:val="21"/>
                <w:szCs w:val="21"/>
              </w:rPr>
              <w:t>×</w:t>
            </w:r>
          </w:p>
        </w:tc>
        <w:tc>
          <w:tcPr>
            <w:tcW w:w="1004" w:type="dxa"/>
            <w:vAlign w:val="top"/>
          </w:tcPr>
          <w:p w14:paraId="6ADAF9ED">
            <w:pPr>
              <w:spacing w:before="143" w:line="282" w:lineRule="exact"/>
              <w:ind w:left="389"/>
              <w:rPr>
                <w:rFonts w:ascii="宋体" w:hAnsi="宋体" w:eastAsia="宋体" w:cs="宋体"/>
                <w:sz w:val="21"/>
                <w:szCs w:val="21"/>
              </w:rPr>
            </w:pPr>
            <w:r>
              <w:rPr>
                <w:rFonts w:ascii="宋体" w:hAnsi="宋体" w:eastAsia="宋体" w:cs="宋体"/>
                <w:position w:val="1"/>
                <w:sz w:val="21"/>
                <w:szCs w:val="21"/>
              </w:rPr>
              <w:t>×</w:t>
            </w:r>
          </w:p>
        </w:tc>
      </w:tr>
      <w:tr w14:paraId="46374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253" w:type="dxa"/>
            <w:vAlign w:val="top"/>
          </w:tcPr>
          <w:p w14:paraId="1C9EC2C9">
            <w:pPr>
              <w:spacing w:before="154" w:line="239" w:lineRule="auto"/>
              <w:ind w:left="454"/>
              <w:rPr>
                <w:rFonts w:ascii="宋体" w:hAnsi="宋体" w:eastAsia="宋体" w:cs="宋体"/>
                <w:sz w:val="21"/>
                <w:szCs w:val="21"/>
              </w:rPr>
            </w:pPr>
            <w:r>
              <w:rPr>
                <w:rFonts w:ascii="宋体" w:hAnsi="宋体" w:eastAsia="宋体" w:cs="宋体"/>
                <w:spacing w:val="-3"/>
                <w:sz w:val="21"/>
                <w:szCs w:val="21"/>
              </w:rPr>
              <w:t>6.1</w:t>
            </w:r>
          </w:p>
        </w:tc>
        <w:tc>
          <w:tcPr>
            <w:tcW w:w="1259" w:type="dxa"/>
            <w:vAlign w:val="top"/>
          </w:tcPr>
          <w:p w14:paraId="69CB5489">
            <w:pPr>
              <w:spacing w:before="154"/>
              <w:ind w:left="462"/>
              <w:rPr>
                <w:rFonts w:ascii="宋体" w:hAnsi="宋体" w:eastAsia="宋体" w:cs="宋体"/>
                <w:sz w:val="21"/>
                <w:szCs w:val="21"/>
              </w:rPr>
            </w:pPr>
            <w:r>
              <w:rPr>
                <w:rFonts w:ascii="宋体" w:hAnsi="宋体" w:eastAsia="宋体" w:cs="宋体"/>
                <w:spacing w:val="-3"/>
                <w:sz w:val="21"/>
                <w:szCs w:val="21"/>
              </w:rPr>
              <w:t>201</w:t>
            </w:r>
          </w:p>
        </w:tc>
        <w:tc>
          <w:tcPr>
            <w:tcW w:w="2927" w:type="dxa"/>
            <w:vAlign w:val="top"/>
          </w:tcPr>
          <w:p w14:paraId="0E8C3FF7">
            <w:pPr>
              <w:spacing w:before="134" w:line="220" w:lineRule="auto"/>
              <w:ind w:left="92"/>
              <w:rPr>
                <w:rFonts w:ascii="宋体" w:hAnsi="宋体" w:eastAsia="宋体" w:cs="宋体"/>
                <w:sz w:val="21"/>
                <w:szCs w:val="21"/>
              </w:rPr>
            </w:pPr>
            <w:r>
              <w:rPr>
                <w:rFonts w:ascii="宋体" w:hAnsi="宋体" w:eastAsia="宋体" w:cs="宋体"/>
                <w:spacing w:val="2"/>
                <w:sz w:val="21"/>
                <w:szCs w:val="21"/>
              </w:rPr>
              <w:t>制定可靠性计划</w:t>
            </w:r>
          </w:p>
        </w:tc>
        <w:tc>
          <w:tcPr>
            <w:tcW w:w="829" w:type="dxa"/>
            <w:vAlign w:val="top"/>
          </w:tcPr>
          <w:p w14:paraId="5270A669">
            <w:pPr>
              <w:spacing w:before="154" w:line="238" w:lineRule="auto"/>
              <w:ind w:left="306"/>
              <w:rPr>
                <w:rFonts w:ascii="宋体" w:hAnsi="宋体" w:eastAsia="宋体" w:cs="宋体"/>
                <w:sz w:val="21"/>
                <w:szCs w:val="21"/>
              </w:rPr>
            </w:pPr>
            <w:r>
              <w:rPr>
                <w:rFonts w:ascii="宋体" w:hAnsi="宋体" w:eastAsia="宋体" w:cs="宋体"/>
                <w:sz w:val="21"/>
                <w:szCs w:val="21"/>
              </w:rPr>
              <w:t>√</w:t>
            </w:r>
          </w:p>
        </w:tc>
        <w:tc>
          <w:tcPr>
            <w:tcW w:w="839" w:type="dxa"/>
            <w:vAlign w:val="top"/>
          </w:tcPr>
          <w:p w14:paraId="446A35E3">
            <w:pPr>
              <w:spacing w:before="154" w:line="238" w:lineRule="auto"/>
              <w:ind w:left="307"/>
              <w:rPr>
                <w:rFonts w:ascii="宋体" w:hAnsi="宋体" w:eastAsia="宋体" w:cs="宋体"/>
                <w:sz w:val="21"/>
                <w:szCs w:val="21"/>
              </w:rPr>
            </w:pPr>
            <w:r>
              <w:rPr>
                <w:rFonts w:ascii="宋体" w:hAnsi="宋体" w:eastAsia="宋体" w:cs="宋体"/>
                <w:sz w:val="21"/>
                <w:szCs w:val="21"/>
              </w:rPr>
              <w:t>√</w:t>
            </w:r>
          </w:p>
        </w:tc>
        <w:tc>
          <w:tcPr>
            <w:tcW w:w="1249" w:type="dxa"/>
            <w:vAlign w:val="top"/>
          </w:tcPr>
          <w:p w14:paraId="7170FECF">
            <w:pPr>
              <w:spacing w:before="154" w:line="238" w:lineRule="auto"/>
              <w:ind w:left="518"/>
              <w:rPr>
                <w:rFonts w:ascii="宋体" w:hAnsi="宋体" w:eastAsia="宋体" w:cs="宋体"/>
                <w:sz w:val="21"/>
                <w:szCs w:val="21"/>
              </w:rPr>
            </w:pPr>
            <w:r>
              <w:rPr>
                <w:rFonts w:ascii="宋体" w:hAnsi="宋体" w:eastAsia="宋体" w:cs="宋体"/>
                <w:sz w:val="21"/>
                <w:szCs w:val="21"/>
              </w:rPr>
              <w:t>√</w:t>
            </w:r>
          </w:p>
        </w:tc>
        <w:tc>
          <w:tcPr>
            <w:tcW w:w="1004" w:type="dxa"/>
            <w:vAlign w:val="top"/>
          </w:tcPr>
          <w:p w14:paraId="18C108BD">
            <w:pPr>
              <w:spacing w:before="154" w:line="238" w:lineRule="auto"/>
              <w:ind w:left="389"/>
              <w:rPr>
                <w:rFonts w:ascii="宋体" w:hAnsi="宋体" w:eastAsia="宋体" w:cs="宋体"/>
                <w:sz w:val="21"/>
                <w:szCs w:val="21"/>
              </w:rPr>
            </w:pPr>
            <w:r>
              <w:rPr>
                <w:rFonts w:ascii="宋体" w:hAnsi="宋体" w:eastAsia="宋体" w:cs="宋体"/>
                <w:sz w:val="21"/>
                <w:szCs w:val="21"/>
              </w:rPr>
              <w:t>√</w:t>
            </w:r>
          </w:p>
        </w:tc>
      </w:tr>
      <w:tr w14:paraId="7E100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53" w:type="dxa"/>
            <w:vAlign w:val="top"/>
          </w:tcPr>
          <w:p w14:paraId="705DAEBC">
            <w:pPr>
              <w:spacing w:before="146" w:line="239" w:lineRule="auto"/>
              <w:ind w:left="454"/>
              <w:rPr>
                <w:rFonts w:ascii="宋体" w:hAnsi="宋体" w:eastAsia="宋体" w:cs="宋体"/>
                <w:sz w:val="21"/>
                <w:szCs w:val="21"/>
              </w:rPr>
            </w:pPr>
            <w:r>
              <w:rPr>
                <w:rFonts w:ascii="宋体" w:hAnsi="宋体" w:eastAsia="宋体" w:cs="宋体"/>
                <w:spacing w:val="-3"/>
                <w:sz w:val="21"/>
                <w:szCs w:val="21"/>
              </w:rPr>
              <w:t>6.2</w:t>
            </w:r>
          </w:p>
        </w:tc>
        <w:tc>
          <w:tcPr>
            <w:tcW w:w="1259" w:type="dxa"/>
            <w:vAlign w:val="top"/>
          </w:tcPr>
          <w:p w14:paraId="5082B34A">
            <w:pPr>
              <w:spacing w:before="146"/>
              <w:ind w:left="462"/>
              <w:rPr>
                <w:rFonts w:ascii="宋体" w:hAnsi="宋体" w:eastAsia="宋体" w:cs="宋体"/>
                <w:sz w:val="21"/>
                <w:szCs w:val="21"/>
              </w:rPr>
            </w:pPr>
            <w:r>
              <w:rPr>
                <w:rFonts w:ascii="宋体" w:hAnsi="宋体" w:eastAsia="宋体" w:cs="宋体"/>
                <w:spacing w:val="-3"/>
                <w:sz w:val="21"/>
                <w:szCs w:val="21"/>
              </w:rPr>
              <w:t>202</w:t>
            </w:r>
          </w:p>
        </w:tc>
        <w:tc>
          <w:tcPr>
            <w:tcW w:w="2927" w:type="dxa"/>
            <w:vAlign w:val="top"/>
          </w:tcPr>
          <w:p w14:paraId="27E7BAE4">
            <w:pPr>
              <w:spacing w:before="126" w:line="220" w:lineRule="auto"/>
              <w:ind w:left="92"/>
              <w:rPr>
                <w:rFonts w:ascii="宋体" w:hAnsi="宋体" w:eastAsia="宋体" w:cs="宋体"/>
                <w:sz w:val="21"/>
                <w:szCs w:val="21"/>
              </w:rPr>
            </w:pPr>
            <w:r>
              <w:rPr>
                <w:rFonts w:ascii="宋体" w:hAnsi="宋体" w:eastAsia="宋体" w:cs="宋体"/>
                <w:spacing w:val="1"/>
                <w:sz w:val="21"/>
                <w:szCs w:val="21"/>
              </w:rPr>
              <w:t>制定可靠性工作计划</w:t>
            </w:r>
          </w:p>
        </w:tc>
        <w:tc>
          <w:tcPr>
            <w:tcW w:w="829" w:type="dxa"/>
            <w:vAlign w:val="top"/>
          </w:tcPr>
          <w:p w14:paraId="5C8FECE8">
            <w:pPr>
              <w:spacing w:before="146" w:line="237" w:lineRule="auto"/>
              <w:ind w:left="306"/>
              <w:rPr>
                <w:rFonts w:ascii="宋体" w:hAnsi="宋体" w:eastAsia="宋体" w:cs="宋体"/>
                <w:sz w:val="21"/>
                <w:szCs w:val="21"/>
              </w:rPr>
            </w:pPr>
            <w:r>
              <w:rPr>
                <w:rFonts w:ascii="宋体" w:hAnsi="宋体" w:eastAsia="宋体" w:cs="宋体"/>
                <w:sz w:val="21"/>
                <w:szCs w:val="21"/>
              </w:rPr>
              <w:t>△</w:t>
            </w:r>
          </w:p>
        </w:tc>
        <w:tc>
          <w:tcPr>
            <w:tcW w:w="839" w:type="dxa"/>
            <w:vAlign w:val="top"/>
          </w:tcPr>
          <w:p w14:paraId="1E6FFC66">
            <w:pPr>
              <w:spacing w:before="146" w:line="238" w:lineRule="auto"/>
              <w:ind w:left="307"/>
              <w:rPr>
                <w:rFonts w:ascii="宋体" w:hAnsi="宋体" w:eastAsia="宋体" w:cs="宋体"/>
                <w:sz w:val="21"/>
                <w:szCs w:val="21"/>
              </w:rPr>
            </w:pPr>
            <w:r>
              <w:rPr>
                <w:rFonts w:ascii="宋体" w:hAnsi="宋体" w:eastAsia="宋体" w:cs="宋体"/>
                <w:sz w:val="21"/>
                <w:szCs w:val="21"/>
              </w:rPr>
              <w:t>√</w:t>
            </w:r>
          </w:p>
        </w:tc>
        <w:tc>
          <w:tcPr>
            <w:tcW w:w="1249" w:type="dxa"/>
            <w:vAlign w:val="top"/>
          </w:tcPr>
          <w:p w14:paraId="0AA3B81C">
            <w:pPr>
              <w:spacing w:before="146" w:line="238" w:lineRule="auto"/>
              <w:ind w:left="518"/>
              <w:rPr>
                <w:rFonts w:ascii="宋体" w:hAnsi="宋体" w:eastAsia="宋体" w:cs="宋体"/>
                <w:sz w:val="21"/>
                <w:szCs w:val="21"/>
              </w:rPr>
            </w:pPr>
            <w:r>
              <w:rPr>
                <w:rFonts w:ascii="宋体" w:hAnsi="宋体" w:eastAsia="宋体" w:cs="宋体"/>
                <w:sz w:val="21"/>
                <w:szCs w:val="21"/>
              </w:rPr>
              <w:t>√</w:t>
            </w:r>
          </w:p>
        </w:tc>
        <w:tc>
          <w:tcPr>
            <w:tcW w:w="1004" w:type="dxa"/>
            <w:vAlign w:val="top"/>
          </w:tcPr>
          <w:p w14:paraId="442E4159">
            <w:pPr>
              <w:spacing w:before="146" w:line="238" w:lineRule="auto"/>
              <w:ind w:left="389"/>
              <w:rPr>
                <w:rFonts w:ascii="宋体" w:hAnsi="宋体" w:eastAsia="宋体" w:cs="宋体"/>
                <w:sz w:val="21"/>
                <w:szCs w:val="21"/>
              </w:rPr>
            </w:pPr>
            <w:r>
              <w:rPr>
                <w:rFonts w:ascii="宋体" w:hAnsi="宋体" w:eastAsia="宋体" w:cs="宋体"/>
                <w:sz w:val="21"/>
                <w:szCs w:val="21"/>
              </w:rPr>
              <w:t>√</w:t>
            </w:r>
          </w:p>
        </w:tc>
      </w:tr>
      <w:tr w14:paraId="2FC46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3" w:hRule="atLeast"/>
        </w:trPr>
        <w:tc>
          <w:tcPr>
            <w:tcW w:w="1253" w:type="dxa"/>
            <w:vAlign w:val="top"/>
          </w:tcPr>
          <w:p w14:paraId="10F5CB68">
            <w:pPr>
              <w:pStyle w:val="6"/>
              <w:spacing w:line="277" w:lineRule="auto"/>
            </w:pPr>
          </w:p>
          <w:p w14:paraId="67CD493F">
            <w:pPr>
              <w:spacing w:before="68" w:line="239" w:lineRule="auto"/>
              <w:ind w:left="454"/>
              <w:rPr>
                <w:rFonts w:ascii="宋体" w:hAnsi="宋体" w:eastAsia="宋体" w:cs="宋体"/>
                <w:sz w:val="21"/>
                <w:szCs w:val="21"/>
              </w:rPr>
            </w:pPr>
            <w:r>
              <w:rPr>
                <w:rFonts w:ascii="宋体" w:hAnsi="宋体" w:eastAsia="宋体" w:cs="宋体"/>
                <w:spacing w:val="-3"/>
                <w:sz w:val="21"/>
                <w:szCs w:val="21"/>
              </w:rPr>
              <w:t>6.3</w:t>
            </w:r>
          </w:p>
        </w:tc>
        <w:tc>
          <w:tcPr>
            <w:tcW w:w="1259" w:type="dxa"/>
            <w:vAlign w:val="top"/>
          </w:tcPr>
          <w:p w14:paraId="145F6DAD">
            <w:pPr>
              <w:pStyle w:val="6"/>
              <w:spacing w:line="277" w:lineRule="auto"/>
            </w:pPr>
          </w:p>
          <w:p w14:paraId="6E503971">
            <w:pPr>
              <w:spacing w:before="68"/>
              <w:ind w:left="462"/>
              <w:rPr>
                <w:rFonts w:ascii="宋体" w:hAnsi="宋体" w:eastAsia="宋体" w:cs="宋体"/>
                <w:sz w:val="21"/>
                <w:szCs w:val="21"/>
              </w:rPr>
            </w:pPr>
            <w:r>
              <w:rPr>
                <w:rFonts w:ascii="宋体" w:hAnsi="宋体" w:eastAsia="宋体" w:cs="宋体"/>
                <w:spacing w:val="-3"/>
                <w:sz w:val="21"/>
                <w:szCs w:val="21"/>
              </w:rPr>
              <w:t>203</w:t>
            </w:r>
          </w:p>
        </w:tc>
        <w:tc>
          <w:tcPr>
            <w:tcW w:w="2927" w:type="dxa"/>
            <w:vAlign w:val="top"/>
          </w:tcPr>
          <w:p w14:paraId="078DC8BD">
            <w:pPr>
              <w:spacing w:before="165" w:line="298" w:lineRule="auto"/>
              <w:ind w:left="92" w:right="101"/>
              <w:rPr>
                <w:rFonts w:ascii="宋体" w:hAnsi="宋体" w:eastAsia="宋体" w:cs="宋体"/>
                <w:sz w:val="21"/>
                <w:szCs w:val="21"/>
              </w:rPr>
            </w:pPr>
            <w:r>
              <w:rPr>
                <w:rFonts w:ascii="宋体" w:hAnsi="宋体" w:eastAsia="宋体" w:cs="宋体"/>
                <w:spacing w:val="-1"/>
                <w:sz w:val="21"/>
                <w:szCs w:val="21"/>
              </w:rPr>
              <w:t>对承制方、转承制方和供应方</w:t>
            </w:r>
            <w:r>
              <w:rPr>
                <w:rFonts w:ascii="宋体" w:hAnsi="宋体" w:eastAsia="宋体" w:cs="宋体"/>
                <w:spacing w:val="4"/>
                <w:sz w:val="21"/>
                <w:szCs w:val="21"/>
              </w:rPr>
              <w:t xml:space="preserve"> </w:t>
            </w:r>
            <w:r>
              <w:rPr>
                <w:rFonts w:ascii="宋体" w:hAnsi="宋体" w:eastAsia="宋体" w:cs="宋体"/>
                <w:spacing w:val="3"/>
                <w:sz w:val="21"/>
                <w:szCs w:val="21"/>
              </w:rPr>
              <w:t>的监督和控制</w:t>
            </w:r>
          </w:p>
        </w:tc>
        <w:tc>
          <w:tcPr>
            <w:tcW w:w="829" w:type="dxa"/>
            <w:vAlign w:val="top"/>
          </w:tcPr>
          <w:p w14:paraId="120689D7">
            <w:pPr>
              <w:pStyle w:val="6"/>
              <w:spacing w:line="277" w:lineRule="auto"/>
            </w:pPr>
          </w:p>
          <w:p w14:paraId="2E131BC0">
            <w:pPr>
              <w:spacing w:before="68" w:line="237" w:lineRule="auto"/>
              <w:ind w:left="306"/>
              <w:rPr>
                <w:rFonts w:ascii="宋体" w:hAnsi="宋体" w:eastAsia="宋体" w:cs="宋体"/>
                <w:sz w:val="21"/>
                <w:szCs w:val="21"/>
              </w:rPr>
            </w:pPr>
            <w:r>
              <w:rPr>
                <w:rFonts w:ascii="宋体" w:hAnsi="宋体" w:eastAsia="宋体" w:cs="宋体"/>
                <w:sz w:val="21"/>
                <w:szCs w:val="21"/>
              </w:rPr>
              <w:t>△</w:t>
            </w:r>
          </w:p>
        </w:tc>
        <w:tc>
          <w:tcPr>
            <w:tcW w:w="839" w:type="dxa"/>
            <w:vAlign w:val="top"/>
          </w:tcPr>
          <w:p w14:paraId="26524B44">
            <w:pPr>
              <w:pStyle w:val="6"/>
              <w:spacing w:line="277" w:lineRule="auto"/>
            </w:pPr>
          </w:p>
          <w:p w14:paraId="6B707EF1">
            <w:pPr>
              <w:spacing w:before="68" w:line="238" w:lineRule="auto"/>
              <w:ind w:left="307"/>
              <w:rPr>
                <w:rFonts w:ascii="宋体" w:hAnsi="宋体" w:eastAsia="宋体" w:cs="宋体"/>
                <w:sz w:val="21"/>
                <w:szCs w:val="21"/>
              </w:rPr>
            </w:pPr>
            <w:r>
              <w:rPr>
                <w:rFonts w:ascii="宋体" w:hAnsi="宋体" w:eastAsia="宋体" w:cs="宋体"/>
                <w:sz w:val="21"/>
                <w:szCs w:val="21"/>
              </w:rPr>
              <w:t>√</w:t>
            </w:r>
          </w:p>
        </w:tc>
        <w:tc>
          <w:tcPr>
            <w:tcW w:w="1249" w:type="dxa"/>
            <w:vAlign w:val="top"/>
          </w:tcPr>
          <w:p w14:paraId="15297DB3">
            <w:pPr>
              <w:pStyle w:val="6"/>
              <w:spacing w:line="277" w:lineRule="auto"/>
            </w:pPr>
          </w:p>
          <w:p w14:paraId="7CD105D9">
            <w:pPr>
              <w:spacing w:before="68" w:line="238" w:lineRule="auto"/>
              <w:ind w:left="518"/>
              <w:rPr>
                <w:rFonts w:ascii="宋体" w:hAnsi="宋体" w:eastAsia="宋体" w:cs="宋体"/>
                <w:sz w:val="21"/>
                <w:szCs w:val="21"/>
              </w:rPr>
            </w:pPr>
            <w:r>
              <w:rPr>
                <w:rFonts w:ascii="宋体" w:hAnsi="宋体" w:eastAsia="宋体" w:cs="宋体"/>
                <w:sz w:val="21"/>
                <w:szCs w:val="21"/>
              </w:rPr>
              <w:t>√</w:t>
            </w:r>
          </w:p>
        </w:tc>
        <w:tc>
          <w:tcPr>
            <w:tcW w:w="1004" w:type="dxa"/>
            <w:vAlign w:val="top"/>
          </w:tcPr>
          <w:p w14:paraId="14374D78">
            <w:pPr>
              <w:pStyle w:val="6"/>
              <w:spacing w:line="277" w:lineRule="auto"/>
            </w:pPr>
          </w:p>
          <w:p w14:paraId="2305A4AB">
            <w:pPr>
              <w:spacing w:before="68" w:line="238" w:lineRule="auto"/>
              <w:ind w:left="389"/>
              <w:rPr>
                <w:rFonts w:ascii="宋体" w:hAnsi="宋体" w:eastAsia="宋体" w:cs="宋体"/>
                <w:sz w:val="21"/>
                <w:szCs w:val="21"/>
              </w:rPr>
            </w:pPr>
            <w:r>
              <w:rPr>
                <w:rFonts w:ascii="宋体" w:hAnsi="宋体" w:eastAsia="宋体" w:cs="宋体"/>
                <w:sz w:val="21"/>
                <w:szCs w:val="21"/>
              </w:rPr>
              <w:t>√</w:t>
            </w:r>
          </w:p>
        </w:tc>
      </w:tr>
    </w:tbl>
    <w:p w14:paraId="2DFC1B98">
      <w:pPr>
        <w:rPr>
          <w:rFonts w:ascii="Arial"/>
          <w:sz w:val="21"/>
        </w:rPr>
      </w:pPr>
    </w:p>
    <w:p w14:paraId="63082F83">
      <w:pPr>
        <w:rPr>
          <w:rFonts w:ascii="Arial" w:hAnsi="Arial" w:eastAsia="Arial" w:cs="Arial"/>
          <w:sz w:val="21"/>
          <w:szCs w:val="21"/>
        </w:rPr>
        <w:sectPr>
          <w:footerReference r:id="rId356" w:type="default"/>
          <w:pgSz w:w="11910" w:h="17130"/>
          <w:pgMar w:top="1394" w:right="1196" w:bottom="1801" w:left="1289" w:header="0" w:footer="1451" w:gutter="0"/>
          <w:cols w:space="720" w:num="1"/>
        </w:sectPr>
      </w:pPr>
    </w:p>
    <w:p w14:paraId="1F01591C">
      <w:pPr>
        <w:spacing w:before="44" w:line="224" w:lineRule="auto"/>
        <w:ind w:left="8675"/>
        <w:rPr>
          <w:rFonts w:ascii="仿宋" w:hAnsi="仿宋" w:eastAsia="仿宋" w:cs="仿宋"/>
          <w:sz w:val="22"/>
          <w:szCs w:val="22"/>
        </w:rPr>
      </w:pPr>
      <w:r>
        <w:rPr>
          <w:rFonts w:ascii="仿宋" w:hAnsi="仿宋" w:eastAsia="仿宋" w:cs="仿宋"/>
          <w:spacing w:val="-21"/>
          <w:sz w:val="22"/>
          <w:szCs w:val="22"/>
        </w:rPr>
        <w:t>(</w:t>
      </w:r>
      <w:r>
        <w:rPr>
          <w:rFonts w:ascii="仿宋" w:hAnsi="仿宋" w:eastAsia="仿宋" w:cs="仿宋"/>
          <w:spacing w:val="-42"/>
          <w:sz w:val="22"/>
          <w:szCs w:val="22"/>
        </w:rPr>
        <w:t xml:space="preserve"> </w:t>
      </w:r>
      <w:r>
        <w:rPr>
          <w:rFonts w:ascii="仿宋" w:hAnsi="仿宋" w:eastAsia="仿宋" w:cs="仿宋"/>
          <w:spacing w:val="-21"/>
          <w:sz w:val="22"/>
          <w:szCs w:val="22"/>
        </w:rPr>
        <w:t>续</w:t>
      </w:r>
      <w:r>
        <w:rPr>
          <w:rFonts w:ascii="仿宋" w:hAnsi="仿宋" w:eastAsia="仿宋" w:cs="仿宋"/>
          <w:spacing w:val="-49"/>
          <w:sz w:val="22"/>
          <w:szCs w:val="22"/>
        </w:rPr>
        <w:t xml:space="preserve"> </w:t>
      </w:r>
      <w:r>
        <w:rPr>
          <w:rFonts w:ascii="仿宋" w:hAnsi="仿宋" w:eastAsia="仿宋" w:cs="仿宋"/>
          <w:spacing w:val="-21"/>
          <w:sz w:val="22"/>
          <w:szCs w:val="22"/>
        </w:rPr>
        <w:t>)</w:t>
      </w:r>
    </w:p>
    <w:p w14:paraId="3FC36BF4">
      <w:pPr>
        <w:spacing w:line="159" w:lineRule="exact"/>
      </w:pPr>
    </w:p>
    <w:tbl>
      <w:tblPr>
        <w:tblStyle w:val="5"/>
        <w:tblW w:w="93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4"/>
        <w:gridCol w:w="1258"/>
        <w:gridCol w:w="2927"/>
        <w:gridCol w:w="829"/>
        <w:gridCol w:w="839"/>
        <w:gridCol w:w="1259"/>
        <w:gridCol w:w="994"/>
      </w:tblGrid>
      <w:tr w14:paraId="7108E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4" w:hRule="atLeast"/>
        </w:trPr>
        <w:tc>
          <w:tcPr>
            <w:tcW w:w="1244" w:type="dxa"/>
            <w:vAlign w:val="top"/>
          </w:tcPr>
          <w:p w14:paraId="4F483352">
            <w:pPr>
              <w:spacing w:before="151" w:line="301" w:lineRule="auto"/>
              <w:ind w:left="214" w:right="206"/>
              <w:rPr>
                <w:rFonts w:ascii="宋体" w:hAnsi="宋体" w:eastAsia="宋体" w:cs="宋体"/>
                <w:sz w:val="20"/>
                <w:szCs w:val="20"/>
              </w:rPr>
            </w:pPr>
            <w:r>
              <w:rPr>
                <w:rFonts w:ascii="宋体" w:hAnsi="宋体" w:eastAsia="宋体" w:cs="宋体"/>
                <w:spacing w:val="-2"/>
                <w:sz w:val="20"/>
                <w:szCs w:val="20"/>
              </w:rPr>
              <w:t>GJB</w:t>
            </w:r>
            <w:r>
              <w:rPr>
                <w:rFonts w:ascii="宋体" w:hAnsi="宋体" w:eastAsia="宋体" w:cs="宋体"/>
                <w:spacing w:val="7"/>
                <w:sz w:val="20"/>
                <w:szCs w:val="20"/>
              </w:rPr>
              <w:t xml:space="preserve"> </w:t>
            </w:r>
            <w:r>
              <w:rPr>
                <w:rFonts w:ascii="宋体" w:hAnsi="宋体" w:eastAsia="宋体" w:cs="宋体"/>
                <w:spacing w:val="-2"/>
                <w:sz w:val="20"/>
                <w:szCs w:val="20"/>
              </w:rPr>
              <w:t>450A</w:t>
            </w:r>
            <w:r>
              <w:rPr>
                <w:rFonts w:ascii="宋体" w:hAnsi="宋体" w:eastAsia="宋体" w:cs="宋体"/>
                <w:sz w:val="20"/>
                <w:szCs w:val="20"/>
              </w:rPr>
              <w:t xml:space="preserve"> </w:t>
            </w:r>
            <w:r>
              <w:rPr>
                <w:rFonts w:ascii="宋体" w:hAnsi="宋体" w:eastAsia="宋体" w:cs="宋体"/>
                <w:spacing w:val="3"/>
                <w:sz w:val="20"/>
                <w:szCs w:val="20"/>
              </w:rPr>
              <w:t>条款编号</w:t>
            </w:r>
          </w:p>
        </w:tc>
        <w:tc>
          <w:tcPr>
            <w:tcW w:w="1258" w:type="dxa"/>
            <w:vAlign w:val="top"/>
          </w:tcPr>
          <w:p w14:paraId="71D49668">
            <w:pPr>
              <w:spacing w:before="134" w:line="309" w:lineRule="auto"/>
              <w:ind w:left="420" w:right="188" w:hanging="199"/>
              <w:rPr>
                <w:rFonts w:ascii="宋体" w:hAnsi="宋体" w:eastAsia="宋体" w:cs="宋体"/>
                <w:sz w:val="20"/>
                <w:szCs w:val="20"/>
              </w:rPr>
            </w:pPr>
            <w:r>
              <w:rPr>
                <w:rFonts w:ascii="宋体" w:hAnsi="宋体" w:eastAsia="宋体" w:cs="宋体"/>
                <w:spacing w:val="9"/>
                <w:sz w:val="20"/>
                <w:szCs w:val="20"/>
              </w:rPr>
              <w:t>工作项目</w:t>
            </w:r>
            <w:r>
              <w:rPr>
                <w:rFonts w:ascii="宋体" w:hAnsi="宋体" w:eastAsia="宋体" w:cs="宋体"/>
                <w:spacing w:val="1"/>
                <w:sz w:val="20"/>
                <w:szCs w:val="20"/>
              </w:rPr>
              <w:t xml:space="preserve"> </w:t>
            </w:r>
            <w:r>
              <w:rPr>
                <w:rFonts w:ascii="宋体" w:hAnsi="宋体" w:eastAsia="宋体" w:cs="宋体"/>
                <w:spacing w:val="6"/>
                <w:sz w:val="20"/>
                <w:szCs w:val="20"/>
              </w:rPr>
              <w:t>编号</w:t>
            </w:r>
          </w:p>
        </w:tc>
        <w:tc>
          <w:tcPr>
            <w:tcW w:w="2927" w:type="dxa"/>
            <w:vAlign w:val="top"/>
          </w:tcPr>
          <w:p w14:paraId="71213A66">
            <w:pPr>
              <w:pStyle w:val="6"/>
              <w:spacing w:line="247" w:lineRule="auto"/>
            </w:pPr>
          </w:p>
          <w:p w14:paraId="4AD27020">
            <w:pPr>
              <w:spacing w:before="65" w:line="220" w:lineRule="auto"/>
              <w:ind w:left="823"/>
              <w:rPr>
                <w:rFonts w:ascii="宋体" w:hAnsi="宋体" w:eastAsia="宋体" w:cs="宋体"/>
                <w:sz w:val="20"/>
                <w:szCs w:val="20"/>
              </w:rPr>
            </w:pPr>
            <w:r>
              <w:rPr>
                <w:rFonts w:ascii="宋体" w:hAnsi="宋体" w:eastAsia="宋体" w:cs="宋体"/>
                <w:spacing w:val="1"/>
                <w:sz w:val="20"/>
                <w:szCs w:val="20"/>
              </w:rPr>
              <w:t>工作项目名称</w:t>
            </w:r>
          </w:p>
        </w:tc>
        <w:tc>
          <w:tcPr>
            <w:tcW w:w="829" w:type="dxa"/>
            <w:vAlign w:val="top"/>
          </w:tcPr>
          <w:p w14:paraId="63F33951">
            <w:pPr>
              <w:spacing w:before="141" w:line="227" w:lineRule="auto"/>
              <w:ind w:left="185"/>
              <w:rPr>
                <w:rFonts w:ascii="宋体" w:hAnsi="宋体" w:eastAsia="宋体" w:cs="宋体"/>
                <w:sz w:val="22"/>
                <w:szCs w:val="22"/>
              </w:rPr>
            </w:pPr>
            <w:r>
              <w:rPr>
                <w:rFonts w:ascii="宋体" w:hAnsi="宋体" w:eastAsia="宋体" w:cs="宋体"/>
                <w:spacing w:val="-3"/>
                <w:sz w:val="22"/>
                <w:szCs w:val="22"/>
              </w:rPr>
              <w:t>论证</w:t>
            </w:r>
          </w:p>
          <w:p w14:paraId="5F276CB6">
            <w:pPr>
              <w:spacing w:before="72" w:line="221" w:lineRule="auto"/>
              <w:ind w:left="185"/>
              <w:rPr>
                <w:rFonts w:ascii="宋体" w:hAnsi="宋体" w:eastAsia="宋体" w:cs="宋体"/>
                <w:sz w:val="22"/>
                <w:szCs w:val="22"/>
              </w:rPr>
            </w:pPr>
            <w:r>
              <w:rPr>
                <w:rFonts w:ascii="宋体" w:hAnsi="宋体" w:eastAsia="宋体" w:cs="宋体"/>
                <w:spacing w:val="4"/>
                <w:sz w:val="22"/>
                <w:szCs w:val="22"/>
              </w:rPr>
              <w:t>阶段</w:t>
            </w:r>
          </w:p>
        </w:tc>
        <w:tc>
          <w:tcPr>
            <w:tcW w:w="839" w:type="dxa"/>
            <w:vAlign w:val="top"/>
          </w:tcPr>
          <w:p w14:paraId="1632273A">
            <w:pPr>
              <w:spacing w:before="123" w:line="220" w:lineRule="auto"/>
              <w:ind w:left="216"/>
              <w:rPr>
                <w:rFonts w:ascii="宋体" w:hAnsi="宋体" w:eastAsia="宋体" w:cs="宋体"/>
                <w:sz w:val="20"/>
                <w:szCs w:val="20"/>
              </w:rPr>
            </w:pPr>
            <w:r>
              <w:rPr>
                <w:rFonts w:ascii="宋体" w:hAnsi="宋体" w:eastAsia="宋体" w:cs="宋体"/>
                <w:spacing w:val="-3"/>
                <w:sz w:val="20"/>
                <w:szCs w:val="20"/>
              </w:rPr>
              <w:t>方案</w:t>
            </w:r>
          </w:p>
          <w:p w14:paraId="03F0C6EE">
            <w:pPr>
              <w:spacing w:before="112" w:line="221" w:lineRule="auto"/>
              <w:ind w:left="216"/>
              <w:rPr>
                <w:rFonts w:ascii="宋体" w:hAnsi="宋体" w:eastAsia="宋体" w:cs="宋体"/>
                <w:sz w:val="20"/>
                <w:szCs w:val="20"/>
              </w:rPr>
            </w:pPr>
            <w:r>
              <w:rPr>
                <w:rFonts w:ascii="宋体" w:hAnsi="宋体" w:eastAsia="宋体" w:cs="宋体"/>
                <w:spacing w:val="3"/>
                <w:sz w:val="20"/>
                <w:szCs w:val="20"/>
              </w:rPr>
              <w:t>阶段</w:t>
            </w:r>
          </w:p>
        </w:tc>
        <w:tc>
          <w:tcPr>
            <w:tcW w:w="1259" w:type="dxa"/>
            <w:vAlign w:val="top"/>
          </w:tcPr>
          <w:p w14:paraId="46A58E99">
            <w:pPr>
              <w:spacing w:before="134" w:line="309" w:lineRule="auto"/>
              <w:ind w:left="227" w:right="104" w:hanging="100"/>
              <w:rPr>
                <w:rFonts w:ascii="宋体" w:hAnsi="宋体" w:eastAsia="宋体" w:cs="宋体"/>
                <w:sz w:val="20"/>
                <w:szCs w:val="20"/>
              </w:rPr>
            </w:pPr>
            <w:r>
              <w:rPr>
                <w:rFonts w:ascii="宋体" w:hAnsi="宋体" w:eastAsia="宋体" w:cs="宋体"/>
                <w:spacing w:val="3"/>
                <w:sz w:val="20"/>
                <w:szCs w:val="20"/>
              </w:rPr>
              <w:t>工程研制与</w:t>
            </w:r>
            <w:r>
              <w:rPr>
                <w:rFonts w:ascii="宋体" w:hAnsi="宋体" w:eastAsia="宋体" w:cs="宋体"/>
                <w:sz w:val="20"/>
                <w:szCs w:val="20"/>
              </w:rPr>
              <w:t xml:space="preserve"> </w:t>
            </w:r>
            <w:r>
              <w:rPr>
                <w:rFonts w:ascii="宋体" w:hAnsi="宋体" w:eastAsia="宋体" w:cs="宋体"/>
                <w:spacing w:val="1"/>
                <w:sz w:val="20"/>
                <w:szCs w:val="20"/>
              </w:rPr>
              <w:t>定型阶段</w:t>
            </w:r>
          </w:p>
        </w:tc>
        <w:tc>
          <w:tcPr>
            <w:tcW w:w="994" w:type="dxa"/>
            <w:vAlign w:val="top"/>
          </w:tcPr>
          <w:p w14:paraId="29A4B756">
            <w:pPr>
              <w:spacing w:before="123" w:line="314" w:lineRule="auto"/>
              <w:ind w:left="189" w:right="104" w:hanging="100"/>
              <w:rPr>
                <w:rFonts w:ascii="宋体" w:hAnsi="宋体" w:eastAsia="宋体" w:cs="宋体"/>
                <w:sz w:val="20"/>
                <w:szCs w:val="20"/>
              </w:rPr>
            </w:pPr>
            <w:r>
              <w:rPr>
                <w:rFonts w:ascii="宋体" w:hAnsi="宋体" w:eastAsia="宋体" w:cs="宋体"/>
                <w:spacing w:val="-3"/>
                <w:sz w:val="20"/>
                <w:szCs w:val="20"/>
              </w:rPr>
              <w:t>生产与使</w:t>
            </w:r>
            <w:r>
              <w:rPr>
                <w:rFonts w:ascii="宋体" w:hAnsi="宋体" w:eastAsia="宋体" w:cs="宋体"/>
                <w:spacing w:val="1"/>
                <w:sz w:val="20"/>
                <w:szCs w:val="20"/>
              </w:rPr>
              <w:t xml:space="preserve"> </w:t>
            </w:r>
            <w:r>
              <w:rPr>
                <w:rFonts w:ascii="宋体" w:hAnsi="宋体" w:eastAsia="宋体" w:cs="宋体"/>
                <w:spacing w:val="-3"/>
                <w:sz w:val="20"/>
                <w:szCs w:val="20"/>
              </w:rPr>
              <w:t>用阶段</w:t>
            </w:r>
          </w:p>
        </w:tc>
      </w:tr>
      <w:tr w14:paraId="49845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2F854458">
            <w:pPr>
              <w:spacing w:before="138" w:line="239" w:lineRule="auto"/>
              <w:ind w:left="464"/>
              <w:rPr>
                <w:rFonts w:ascii="宋体" w:hAnsi="宋体" w:eastAsia="宋体" w:cs="宋体"/>
                <w:sz w:val="20"/>
                <w:szCs w:val="20"/>
              </w:rPr>
            </w:pPr>
            <w:r>
              <w:rPr>
                <w:rFonts w:ascii="宋体" w:hAnsi="宋体" w:eastAsia="宋体" w:cs="宋体"/>
                <w:spacing w:val="-3"/>
                <w:sz w:val="20"/>
                <w:szCs w:val="20"/>
              </w:rPr>
              <w:t>6.4</w:t>
            </w:r>
          </w:p>
        </w:tc>
        <w:tc>
          <w:tcPr>
            <w:tcW w:w="1258" w:type="dxa"/>
            <w:vAlign w:val="top"/>
          </w:tcPr>
          <w:p w14:paraId="6E0121E6">
            <w:pPr>
              <w:spacing w:before="138"/>
              <w:ind w:left="471"/>
              <w:rPr>
                <w:rFonts w:ascii="宋体" w:hAnsi="宋体" w:eastAsia="宋体" w:cs="宋体"/>
                <w:sz w:val="20"/>
                <w:szCs w:val="20"/>
              </w:rPr>
            </w:pPr>
            <w:r>
              <w:rPr>
                <w:rFonts w:ascii="宋体" w:hAnsi="宋体" w:eastAsia="宋体" w:cs="宋体"/>
                <w:spacing w:val="-3"/>
                <w:sz w:val="20"/>
                <w:szCs w:val="20"/>
              </w:rPr>
              <w:t>204</w:t>
            </w:r>
          </w:p>
        </w:tc>
        <w:tc>
          <w:tcPr>
            <w:tcW w:w="2927" w:type="dxa"/>
            <w:vAlign w:val="top"/>
          </w:tcPr>
          <w:p w14:paraId="18FF0BB4">
            <w:pPr>
              <w:spacing w:before="119" w:line="220" w:lineRule="auto"/>
              <w:ind w:left="93"/>
              <w:rPr>
                <w:rFonts w:ascii="宋体" w:hAnsi="宋体" w:eastAsia="宋体" w:cs="宋体"/>
                <w:sz w:val="20"/>
                <w:szCs w:val="20"/>
              </w:rPr>
            </w:pPr>
            <w:r>
              <w:rPr>
                <w:rFonts w:ascii="宋体" w:hAnsi="宋体" w:eastAsia="宋体" w:cs="宋体"/>
                <w:spacing w:val="3"/>
                <w:sz w:val="20"/>
                <w:szCs w:val="20"/>
              </w:rPr>
              <w:t>可靠性评审</w:t>
            </w:r>
          </w:p>
        </w:tc>
        <w:tc>
          <w:tcPr>
            <w:tcW w:w="829" w:type="dxa"/>
            <w:vAlign w:val="top"/>
          </w:tcPr>
          <w:p w14:paraId="27A6629B">
            <w:pPr>
              <w:spacing w:before="132" w:line="238" w:lineRule="auto"/>
              <w:ind w:left="296"/>
              <w:rPr>
                <w:rFonts w:ascii="宋体" w:hAnsi="宋体" w:eastAsia="宋体" w:cs="宋体"/>
                <w:sz w:val="22"/>
                <w:szCs w:val="22"/>
              </w:rPr>
            </w:pPr>
            <w:r>
              <w:rPr>
                <w:rFonts w:ascii="宋体" w:hAnsi="宋体" w:eastAsia="宋体" w:cs="宋体"/>
                <w:sz w:val="22"/>
                <w:szCs w:val="22"/>
              </w:rPr>
              <w:t>√</w:t>
            </w:r>
          </w:p>
        </w:tc>
        <w:tc>
          <w:tcPr>
            <w:tcW w:w="839" w:type="dxa"/>
            <w:vAlign w:val="top"/>
          </w:tcPr>
          <w:p w14:paraId="17670BF2">
            <w:pPr>
              <w:spacing w:before="139" w:line="238"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2D647E9C">
            <w:pPr>
              <w:spacing w:before="139"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7E11354D">
            <w:pPr>
              <w:spacing w:before="139" w:line="238" w:lineRule="auto"/>
              <w:ind w:left="389"/>
              <w:rPr>
                <w:rFonts w:ascii="宋体" w:hAnsi="宋体" w:eastAsia="宋体" w:cs="宋体"/>
                <w:sz w:val="20"/>
                <w:szCs w:val="20"/>
              </w:rPr>
            </w:pPr>
            <w:r>
              <w:rPr>
                <w:rFonts w:ascii="宋体" w:hAnsi="宋体" w:eastAsia="宋体" w:cs="宋体"/>
                <w:sz w:val="20"/>
                <w:szCs w:val="20"/>
              </w:rPr>
              <w:t>√</w:t>
            </w:r>
          </w:p>
        </w:tc>
      </w:tr>
      <w:tr w14:paraId="249EE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244" w:type="dxa"/>
            <w:vAlign w:val="top"/>
          </w:tcPr>
          <w:p w14:paraId="531814AE">
            <w:pPr>
              <w:pStyle w:val="6"/>
              <w:spacing w:line="282" w:lineRule="auto"/>
            </w:pPr>
          </w:p>
          <w:p w14:paraId="7B7B78B3">
            <w:pPr>
              <w:spacing w:before="65" w:line="239" w:lineRule="auto"/>
              <w:ind w:left="464"/>
              <w:rPr>
                <w:rFonts w:ascii="宋体" w:hAnsi="宋体" w:eastAsia="宋体" w:cs="宋体"/>
                <w:sz w:val="20"/>
                <w:szCs w:val="20"/>
              </w:rPr>
            </w:pPr>
            <w:r>
              <w:rPr>
                <w:rFonts w:ascii="宋体" w:hAnsi="宋体" w:eastAsia="宋体" w:cs="宋体"/>
                <w:spacing w:val="-3"/>
                <w:sz w:val="20"/>
                <w:szCs w:val="20"/>
              </w:rPr>
              <w:t>6.5</w:t>
            </w:r>
          </w:p>
        </w:tc>
        <w:tc>
          <w:tcPr>
            <w:tcW w:w="1258" w:type="dxa"/>
            <w:vAlign w:val="top"/>
          </w:tcPr>
          <w:p w14:paraId="625A64DA">
            <w:pPr>
              <w:pStyle w:val="6"/>
              <w:spacing w:line="281" w:lineRule="auto"/>
            </w:pPr>
          </w:p>
          <w:p w14:paraId="6DED66BC">
            <w:pPr>
              <w:spacing w:before="65"/>
              <w:ind w:left="471"/>
              <w:rPr>
                <w:rFonts w:ascii="宋体" w:hAnsi="宋体" w:eastAsia="宋体" w:cs="宋体"/>
                <w:sz w:val="20"/>
                <w:szCs w:val="20"/>
              </w:rPr>
            </w:pPr>
            <w:r>
              <w:rPr>
                <w:rFonts w:ascii="宋体" w:hAnsi="宋体" w:eastAsia="宋体" w:cs="宋体"/>
                <w:spacing w:val="-3"/>
                <w:sz w:val="20"/>
                <w:szCs w:val="20"/>
              </w:rPr>
              <w:t>205</w:t>
            </w:r>
          </w:p>
        </w:tc>
        <w:tc>
          <w:tcPr>
            <w:tcW w:w="2927" w:type="dxa"/>
            <w:vAlign w:val="top"/>
          </w:tcPr>
          <w:p w14:paraId="46EAB916">
            <w:pPr>
              <w:spacing w:before="167" w:line="301" w:lineRule="auto"/>
              <w:ind w:left="93" w:right="213"/>
              <w:rPr>
                <w:rFonts w:ascii="宋体" w:hAnsi="宋体" w:eastAsia="宋体" w:cs="宋体"/>
                <w:sz w:val="20"/>
                <w:szCs w:val="20"/>
              </w:rPr>
            </w:pPr>
            <w:r>
              <w:rPr>
                <w:rFonts w:ascii="宋体" w:hAnsi="宋体" w:eastAsia="宋体" w:cs="宋体"/>
                <w:sz w:val="20"/>
                <w:szCs w:val="20"/>
              </w:rPr>
              <w:t>建立故障报告、分析和纠正措</w:t>
            </w:r>
            <w:r>
              <w:rPr>
                <w:rFonts w:ascii="宋体" w:hAnsi="宋体" w:eastAsia="宋体" w:cs="宋体"/>
                <w:spacing w:val="9"/>
                <w:sz w:val="20"/>
                <w:szCs w:val="20"/>
              </w:rPr>
              <w:t xml:space="preserve"> </w:t>
            </w:r>
            <w:r>
              <w:rPr>
                <w:rFonts w:ascii="宋体" w:hAnsi="宋体" w:eastAsia="宋体" w:cs="宋体"/>
                <w:spacing w:val="-2"/>
                <w:sz w:val="20"/>
                <w:szCs w:val="20"/>
              </w:rPr>
              <w:t>施系统</w:t>
            </w:r>
          </w:p>
        </w:tc>
        <w:tc>
          <w:tcPr>
            <w:tcW w:w="829" w:type="dxa"/>
            <w:vAlign w:val="top"/>
          </w:tcPr>
          <w:p w14:paraId="0FA588F5">
            <w:pPr>
              <w:pStyle w:val="6"/>
              <w:spacing w:line="311" w:lineRule="auto"/>
            </w:pPr>
          </w:p>
          <w:p w14:paraId="7589864D">
            <w:pPr>
              <w:spacing w:before="4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61BCAF11">
            <w:pPr>
              <w:pStyle w:val="6"/>
              <w:spacing w:line="282" w:lineRule="auto"/>
            </w:pPr>
          </w:p>
          <w:p w14:paraId="2BCF6D54">
            <w:pPr>
              <w:spacing w:before="65"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697D91C0">
            <w:pPr>
              <w:pStyle w:val="6"/>
              <w:spacing w:line="282" w:lineRule="auto"/>
            </w:pPr>
          </w:p>
          <w:p w14:paraId="3018E5FC">
            <w:pPr>
              <w:spacing w:before="65"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6AB2E74A">
            <w:pPr>
              <w:pStyle w:val="6"/>
              <w:spacing w:line="282" w:lineRule="auto"/>
            </w:pPr>
          </w:p>
          <w:p w14:paraId="77170AA9">
            <w:pPr>
              <w:spacing w:before="65" w:line="238" w:lineRule="auto"/>
              <w:ind w:left="389"/>
              <w:rPr>
                <w:rFonts w:ascii="宋体" w:hAnsi="宋体" w:eastAsia="宋体" w:cs="宋体"/>
                <w:sz w:val="20"/>
                <w:szCs w:val="20"/>
              </w:rPr>
            </w:pPr>
            <w:r>
              <w:rPr>
                <w:rFonts w:ascii="宋体" w:hAnsi="宋体" w:eastAsia="宋体" w:cs="宋体"/>
                <w:sz w:val="20"/>
                <w:szCs w:val="20"/>
              </w:rPr>
              <w:t>√</w:t>
            </w:r>
          </w:p>
        </w:tc>
      </w:tr>
      <w:tr w14:paraId="296B4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244" w:type="dxa"/>
            <w:vAlign w:val="top"/>
          </w:tcPr>
          <w:p w14:paraId="2A05A2D4">
            <w:pPr>
              <w:spacing w:before="150" w:line="239" w:lineRule="auto"/>
              <w:ind w:left="464"/>
              <w:rPr>
                <w:rFonts w:ascii="宋体" w:hAnsi="宋体" w:eastAsia="宋体" w:cs="宋体"/>
                <w:sz w:val="20"/>
                <w:szCs w:val="20"/>
              </w:rPr>
            </w:pPr>
            <w:r>
              <w:rPr>
                <w:rFonts w:ascii="宋体" w:hAnsi="宋体" w:eastAsia="宋体" w:cs="宋体"/>
                <w:spacing w:val="-3"/>
                <w:sz w:val="20"/>
                <w:szCs w:val="20"/>
              </w:rPr>
              <w:t>6.6</w:t>
            </w:r>
          </w:p>
        </w:tc>
        <w:tc>
          <w:tcPr>
            <w:tcW w:w="1258" w:type="dxa"/>
            <w:vAlign w:val="top"/>
          </w:tcPr>
          <w:p w14:paraId="353D36B2">
            <w:pPr>
              <w:spacing w:before="149"/>
              <w:ind w:left="471"/>
              <w:rPr>
                <w:rFonts w:ascii="宋体" w:hAnsi="宋体" w:eastAsia="宋体" w:cs="宋体"/>
                <w:sz w:val="20"/>
                <w:szCs w:val="20"/>
              </w:rPr>
            </w:pPr>
            <w:r>
              <w:rPr>
                <w:rFonts w:ascii="宋体" w:hAnsi="宋体" w:eastAsia="宋体" w:cs="宋体"/>
                <w:spacing w:val="-3"/>
                <w:sz w:val="20"/>
                <w:szCs w:val="20"/>
              </w:rPr>
              <w:t>206</w:t>
            </w:r>
          </w:p>
        </w:tc>
        <w:tc>
          <w:tcPr>
            <w:tcW w:w="2927" w:type="dxa"/>
            <w:vAlign w:val="top"/>
          </w:tcPr>
          <w:p w14:paraId="66E9FCD4">
            <w:pPr>
              <w:spacing w:before="130" w:line="219" w:lineRule="auto"/>
              <w:ind w:left="93"/>
              <w:rPr>
                <w:rFonts w:ascii="宋体" w:hAnsi="宋体" w:eastAsia="宋体" w:cs="宋体"/>
                <w:sz w:val="20"/>
                <w:szCs w:val="20"/>
              </w:rPr>
            </w:pPr>
            <w:r>
              <w:rPr>
                <w:rFonts w:ascii="宋体" w:hAnsi="宋体" w:eastAsia="宋体" w:cs="宋体"/>
                <w:spacing w:val="1"/>
                <w:sz w:val="20"/>
                <w:szCs w:val="20"/>
              </w:rPr>
              <w:t>建立故障审查组织</w:t>
            </w:r>
          </w:p>
        </w:tc>
        <w:tc>
          <w:tcPr>
            <w:tcW w:w="829" w:type="dxa"/>
            <w:vAlign w:val="top"/>
          </w:tcPr>
          <w:p w14:paraId="677F53C3">
            <w:pPr>
              <w:spacing w:before="163"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278F3FE7">
            <w:pPr>
              <w:spacing w:before="150"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75378926">
            <w:pPr>
              <w:spacing w:before="150"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4C711158">
            <w:pPr>
              <w:spacing w:before="150" w:line="238" w:lineRule="auto"/>
              <w:ind w:left="389"/>
              <w:rPr>
                <w:rFonts w:ascii="宋体" w:hAnsi="宋体" w:eastAsia="宋体" w:cs="宋体"/>
                <w:sz w:val="20"/>
                <w:szCs w:val="20"/>
              </w:rPr>
            </w:pPr>
            <w:r>
              <w:rPr>
                <w:rFonts w:ascii="宋体" w:hAnsi="宋体" w:eastAsia="宋体" w:cs="宋体"/>
                <w:sz w:val="20"/>
                <w:szCs w:val="20"/>
              </w:rPr>
              <w:t>√</w:t>
            </w:r>
          </w:p>
        </w:tc>
      </w:tr>
      <w:tr w14:paraId="1E4BE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244" w:type="dxa"/>
            <w:vAlign w:val="top"/>
          </w:tcPr>
          <w:p w14:paraId="235FD05A">
            <w:pPr>
              <w:spacing w:before="150" w:line="239" w:lineRule="auto"/>
              <w:ind w:left="464"/>
              <w:rPr>
                <w:rFonts w:ascii="宋体" w:hAnsi="宋体" w:eastAsia="宋体" w:cs="宋体"/>
                <w:sz w:val="20"/>
                <w:szCs w:val="20"/>
              </w:rPr>
            </w:pPr>
            <w:r>
              <w:rPr>
                <w:rFonts w:ascii="宋体" w:hAnsi="宋体" w:eastAsia="宋体" w:cs="宋体"/>
                <w:spacing w:val="-3"/>
                <w:sz w:val="20"/>
                <w:szCs w:val="20"/>
              </w:rPr>
              <w:t>6.7</w:t>
            </w:r>
          </w:p>
        </w:tc>
        <w:tc>
          <w:tcPr>
            <w:tcW w:w="1258" w:type="dxa"/>
            <w:vAlign w:val="top"/>
          </w:tcPr>
          <w:p w14:paraId="447618DB">
            <w:pPr>
              <w:spacing w:before="149"/>
              <w:ind w:left="471"/>
              <w:rPr>
                <w:rFonts w:ascii="宋体" w:hAnsi="宋体" w:eastAsia="宋体" w:cs="宋体"/>
                <w:sz w:val="20"/>
                <w:szCs w:val="20"/>
              </w:rPr>
            </w:pPr>
            <w:r>
              <w:rPr>
                <w:rFonts w:ascii="宋体" w:hAnsi="宋体" w:eastAsia="宋体" w:cs="宋体"/>
                <w:spacing w:val="-3"/>
                <w:sz w:val="20"/>
                <w:szCs w:val="20"/>
              </w:rPr>
              <w:t>207</w:t>
            </w:r>
          </w:p>
        </w:tc>
        <w:tc>
          <w:tcPr>
            <w:tcW w:w="2927" w:type="dxa"/>
            <w:vAlign w:val="top"/>
          </w:tcPr>
          <w:p w14:paraId="30E1BC70">
            <w:pPr>
              <w:spacing w:before="130" w:line="219" w:lineRule="auto"/>
              <w:ind w:left="93"/>
              <w:rPr>
                <w:rFonts w:ascii="宋体" w:hAnsi="宋体" w:eastAsia="宋体" w:cs="宋体"/>
                <w:sz w:val="20"/>
                <w:szCs w:val="20"/>
              </w:rPr>
            </w:pPr>
            <w:r>
              <w:rPr>
                <w:rFonts w:ascii="宋体" w:hAnsi="宋体" w:eastAsia="宋体" w:cs="宋体"/>
                <w:spacing w:val="-2"/>
                <w:sz w:val="20"/>
                <w:szCs w:val="20"/>
              </w:rPr>
              <w:t>可靠性增长管理</w:t>
            </w:r>
          </w:p>
        </w:tc>
        <w:tc>
          <w:tcPr>
            <w:tcW w:w="829" w:type="dxa"/>
            <w:vAlign w:val="top"/>
          </w:tcPr>
          <w:p w14:paraId="51FB2C7A">
            <w:pPr>
              <w:spacing w:before="163"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37E218DF">
            <w:pPr>
              <w:spacing w:before="150" w:line="238"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70A68BD7">
            <w:pPr>
              <w:spacing w:before="150"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66F58502">
            <w:pPr>
              <w:spacing w:before="181" w:line="183" w:lineRule="auto"/>
              <w:ind w:left="439"/>
              <w:rPr>
                <w:rFonts w:ascii="宋体" w:hAnsi="宋体" w:eastAsia="宋体" w:cs="宋体"/>
                <w:sz w:val="20"/>
                <w:szCs w:val="20"/>
              </w:rPr>
            </w:pPr>
            <w:r>
              <w:rPr>
                <w:rFonts w:ascii="宋体" w:hAnsi="宋体" w:eastAsia="宋体" w:cs="宋体"/>
                <w:sz w:val="20"/>
                <w:szCs w:val="20"/>
              </w:rPr>
              <w:t>O</w:t>
            </w:r>
          </w:p>
        </w:tc>
      </w:tr>
      <w:tr w14:paraId="0ED7D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63E81CE2">
            <w:pPr>
              <w:spacing w:before="140" w:line="239" w:lineRule="auto"/>
              <w:ind w:left="464"/>
              <w:rPr>
                <w:rFonts w:ascii="宋体" w:hAnsi="宋体" w:eastAsia="宋体" w:cs="宋体"/>
                <w:sz w:val="20"/>
                <w:szCs w:val="20"/>
              </w:rPr>
            </w:pPr>
            <w:r>
              <w:rPr>
                <w:rFonts w:ascii="宋体" w:hAnsi="宋体" w:eastAsia="宋体" w:cs="宋体"/>
                <w:spacing w:val="-3"/>
                <w:sz w:val="20"/>
                <w:szCs w:val="20"/>
              </w:rPr>
              <w:t>7.1</w:t>
            </w:r>
          </w:p>
        </w:tc>
        <w:tc>
          <w:tcPr>
            <w:tcW w:w="1258" w:type="dxa"/>
            <w:vAlign w:val="top"/>
          </w:tcPr>
          <w:p w14:paraId="5FFFFB3F">
            <w:pPr>
              <w:spacing w:before="140"/>
              <w:ind w:left="471"/>
              <w:rPr>
                <w:rFonts w:ascii="宋体" w:hAnsi="宋体" w:eastAsia="宋体" w:cs="宋体"/>
                <w:sz w:val="20"/>
                <w:szCs w:val="20"/>
              </w:rPr>
            </w:pPr>
            <w:r>
              <w:rPr>
                <w:rFonts w:ascii="宋体" w:hAnsi="宋体" w:eastAsia="宋体" w:cs="宋体"/>
                <w:spacing w:val="-3"/>
                <w:sz w:val="20"/>
                <w:szCs w:val="20"/>
              </w:rPr>
              <w:t>301</w:t>
            </w:r>
          </w:p>
        </w:tc>
        <w:tc>
          <w:tcPr>
            <w:tcW w:w="2927" w:type="dxa"/>
            <w:vAlign w:val="top"/>
          </w:tcPr>
          <w:p w14:paraId="2B3A26D9">
            <w:pPr>
              <w:spacing w:before="121" w:line="219" w:lineRule="auto"/>
              <w:ind w:left="93"/>
              <w:rPr>
                <w:rFonts w:ascii="宋体" w:hAnsi="宋体" w:eastAsia="宋体" w:cs="宋体"/>
                <w:sz w:val="20"/>
                <w:szCs w:val="20"/>
              </w:rPr>
            </w:pPr>
            <w:r>
              <w:rPr>
                <w:rFonts w:ascii="宋体" w:hAnsi="宋体" w:eastAsia="宋体" w:cs="宋体"/>
                <w:spacing w:val="1"/>
                <w:sz w:val="20"/>
                <w:szCs w:val="20"/>
              </w:rPr>
              <w:t>建立可靠性模型</w:t>
            </w:r>
          </w:p>
        </w:tc>
        <w:tc>
          <w:tcPr>
            <w:tcW w:w="829" w:type="dxa"/>
            <w:vAlign w:val="top"/>
          </w:tcPr>
          <w:p w14:paraId="33ECB292">
            <w:pPr>
              <w:spacing w:before="164" w:line="237" w:lineRule="auto"/>
              <w:ind w:left="336"/>
              <w:rPr>
                <w:rFonts w:ascii="宋体" w:hAnsi="宋体" w:eastAsia="宋体" w:cs="宋体"/>
                <w:sz w:val="15"/>
                <w:szCs w:val="15"/>
              </w:rPr>
            </w:pPr>
            <w:r>
              <w:rPr>
                <w:rFonts w:ascii="宋体" w:hAnsi="宋体" w:eastAsia="宋体" w:cs="宋体"/>
                <w:sz w:val="15"/>
                <w:szCs w:val="15"/>
              </w:rPr>
              <w:t>△</w:t>
            </w:r>
          </w:p>
        </w:tc>
        <w:tc>
          <w:tcPr>
            <w:tcW w:w="839" w:type="dxa"/>
            <w:vAlign w:val="top"/>
          </w:tcPr>
          <w:p w14:paraId="4BE944DA">
            <w:pPr>
              <w:spacing w:before="141" w:line="238"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08852E15">
            <w:pPr>
              <w:spacing w:before="141"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7B1C201B">
            <w:pPr>
              <w:spacing w:before="172" w:line="183" w:lineRule="auto"/>
              <w:ind w:left="439"/>
              <w:rPr>
                <w:rFonts w:ascii="宋体" w:hAnsi="宋体" w:eastAsia="宋体" w:cs="宋体"/>
                <w:sz w:val="20"/>
                <w:szCs w:val="20"/>
              </w:rPr>
            </w:pPr>
            <w:r>
              <w:rPr>
                <w:rFonts w:ascii="宋体" w:hAnsi="宋体" w:eastAsia="宋体" w:cs="宋体"/>
                <w:sz w:val="20"/>
                <w:szCs w:val="20"/>
              </w:rPr>
              <w:t>O</w:t>
            </w:r>
          </w:p>
        </w:tc>
      </w:tr>
      <w:tr w14:paraId="22A55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2E8F9D5B">
            <w:pPr>
              <w:spacing w:before="140" w:line="239" w:lineRule="auto"/>
              <w:ind w:left="464"/>
              <w:rPr>
                <w:rFonts w:ascii="宋体" w:hAnsi="宋体" w:eastAsia="宋体" w:cs="宋体"/>
                <w:sz w:val="20"/>
                <w:szCs w:val="20"/>
              </w:rPr>
            </w:pPr>
            <w:r>
              <w:rPr>
                <w:rFonts w:ascii="宋体" w:hAnsi="宋体" w:eastAsia="宋体" w:cs="宋体"/>
                <w:spacing w:val="-3"/>
                <w:sz w:val="20"/>
                <w:szCs w:val="20"/>
              </w:rPr>
              <w:t>7.2</w:t>
            </w:r>
          </w:p>
        </w:tc>
        <w:tc>
          <w:tcPr>
            <w:tcW w:w="1258" w:type="dxa"/>
            <w:vAlign w:val="top"/>
          </w:tcPr>
          <w:p w14:paraId="0722B56B">
            <w:pPr>
              <w:spacing w:before="140"/>
              <w:ind w:left="471"/>
              <w:rPr>
                <w:rFonts w:ascii="宋体" w:hAnsi="宋体" w:eastAsia="宋体" w:cs="宋体"/>
                <w:sz w:val="20"/>
                <w:szCs w:val="20"/>
              </w:rPr>
            </w:pPr>
            <w:r>
              <w:rPr>
                <w:rFonts w:ascii="宋体" w:hAnsi="宋体" w:eastAsia="宋体" w:cs="宋体"/>
                <w:spacing w:val="-3"/>
                <w:sz w:val="20"/>
                <w:szCs w:val="20"/>
              </w:rPr>
              <w:t>302</w:t>
            </w:r>
          </w:p>
        </w:tc>
        <w:tc>
          <w:tcPr>
            <w:tcW w:w="2927" w:type="dxa"/>
            <w:vAlign w:val="top"/>
          </w:tcPr>
          <w:p w14:paraId="23459085">
            <w:pPr>
              <w:spacing w:before="121" w:line="220" w:lineRule="auto"/>
              <w:ind w:left="93"/>
              <w:rPr>
                <w:rFonts w:ascii="宋体" w:hAnsi="宋体" w:eastAsia="宋体" w:cs="宋体"/>
                <w:sz w:val="20"/>
                <w:szCs w:val="20"/>
              </w:rPr>
            </w:pPr>
            <w:r>
              <w:rPr>
                <w:rFonts w:ascii="宋体" w:hAnsi="宋体" w:eastAsia="宋体" w:cs="宋体"/>
                <w:spacing w:val="-2"/>
                <w:sz w:val="20"/>
                <w:szCs w:val="20"/>
              </w:rPr>
              <w:t>可靠性分配</w:t>
            </w:r>
          </w:p>
        </w:tc>
        <w:tc>
          <w:tcPr>
            <w:tcW w:w="829" w:type="dxa"/>
            <w:vAlign w:val="top"/>
          </w:tcPr>
          <w:p w14:paraId="2BD2A22A">
            <w:pPr>
              <w:spacing w:before="140" w:line="237" w:lineRule="auto"/>
              <w:ind w:left="306"/>
              <w:rPr>
                <w:rFonts w:ascii="宋体" w:hAnsi="宋体" w:eastAsia="宋体" w:cs="宋体"/>
                <w:sz w:val="20"/>
                <w:szCs w:val="20"/>
              </w:rPr>
            </w:pPr>
            <w:r>
              <w:rPr>
                <w:rFonts w:ascii="宋体" w:hAnsi="宋体" w:eastAsia="宋体" w:cs="宋体"/>
                <w:sz w:val="20"/>
                <w:szCs w:val="20"/>
              </w:rPr>
              <w:t>△</w:t>
            </w:r>
          </w:p>
        </w:tc>
        <w:tc>
          <w:tcPr>
            <w:tcW w:w="839" w:type="dxa"/>
            <w:vAlign w:val="top"/>
          </w:tcPr>
          <w:p w14:paraId="7A7A847E">
            <w:pPr>
              <w:spacing w:before="141" w:line="238"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491B9DEB">
            <w:pPr>
              <w:spacing w:before="141"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09465855">
            <w:pPr>
              <w:spacing w:before="172" w:line="183" w:lineRule="auto"/>
              <w:ind w:left="439"/>
              <w:rPr>
                <w:rFonts w:ascii="宋体" w:hAnsi="宋体" w:eastAsia="宋体" w:cs="宋体"/>
                <w:sz w:val="20"/>
                <w:szCs w:val="20"/>
              </w:rPr>
            </w:pPr>
            <w:r>
              <w:rPr>
                <w:rFonts w:ascii="宋体" w:hAnsi="宋体" w:eastAsia="宋体" w:cs="宋体"/>
                <w:sz w:val="20"/>
                <w:szCs w:val="20"/>
              </w:rPr>
              <w:t>O</w:t>
            </w:r>
          </w:p>
        </w:tc>
      </w:tr>
      <w:tr w14:paraId="2047F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1620C06E">
            <w:pPr>
              <w:spacing w:before="140" w:line="239" w:lineRule="auto"/>
              <w:ind w:left="464"/>
              <w:rPr>
                <w:rFonts w:ascii="宋体" w:hAnsi="宋体" w:eastAsia="宋体" w:cs="宋体"/>
                <w:sz w:val="20"/>
                <w:szCs w:val="20"/>
              </w:rPr>
            </w:pPr>
            <w:r>
              <w:rPr>
                <w:rFonts w:ascii="宋体" w:hAnsi="宋体" w:eastAsia="宋体" w:cs="宋体"/>
                <w:spacing w:val="-3"/>
                <w:sz w:val="20"/>
                <w:szCs w:val="20"/>
              </w:rPr>
              <w:t>7.3</w:t>
            </w:r>
          </w:p>
        </w:tc>
        <w:tc>
          <w:tcPr>
            <w:tcW w:w="1258" w:type="dxa"/>
            <w:vAlign w:val="top"/>
          </w:tcPr>
          <w:p w14:paraId="447B901E">
            <w:pPr>
              <w:spacing w:before="140"/>
              <w:ind w:left="471"/>
              <w:rPr>
                <w:rFonts w:ascii="宋体" w:hAnsi="宋体" w:eastAsia="宋体" w:cs="宋体"/>
                <w:sz w:val="20"/>
                <w:szCs w:val="20"/>
              </w:rPr>
            </w:pPr>
            <w:r>
              <w:rPr>
                <w:rFonts w:ascii="宋体" w:hAnsi="宋体" w:eastAsia="宋体" w:cs="宋体"/>
                <w:spacing w:val="-3"/>
                <w:sz w:val="20"/>
                <w:szCs w:val="20"/>
              </w:rPr>
              <w:t>303</w:t>
            </w:r>
          </w:p>
        </w:tc>
        <w:tc>
          <w:tcPr>
            <w:tcW w:w="2927" w:type="dxa"/>
            <w:vAlign w:val="top"/>
          </w:tcPr>
          <w:p w14:paraId="55B4C1A5">
            <w:pPr>
              <w:spacing w:before="121" w:line="220" w:lineRule="auto"/>
              <w:ind w:left="93"/>
              <w:rPr>
                <w:rFonts w:ascii="宋体" w:hAnsi="宋体" w:eastAsia="宋体" w:cs="宋体"/>
                <w:sz w:val="20"/>
                <w:szCs w:val="20"/>
              </w:rPr>
            </w:pPr>
            <w:r>
              <w:rPr>
                <w:rFonts w:ascii="宋体" w:hAnsi="宋体" w:eastAsia="宋体" w:cs="宋体"/>
                <w:spacing w:val="-2"/>
                <w:sz w:val="20"/>
                <w:szCs w:val="20"/>
              </w:rPr>
              <w:t>可靠性预计</w:t>
            </w:r>
          </w:p>
        </w:tc>
        <w:tc>
          <w:tcPr>
            <w:tcW w:w="829" w:type="dxa"/>
            <w:vAlign w:val="top"/>
          </w:tcPr>
          <w:p w14:paraId="4F897CDD">
            <w:pPr>
              <w:spacing w:before="164" w:line="237" w:lineRule="auto"/>
              <w:ind w:left="336"/>
              <w:rPr>
                <w:rFonts w:ascii="宋体" w:hAnsi="宋体" w:eastAsia="宋体" w:cs="宋体"/>
                <w:sz w:val="15"/>
                <w:szCs w:val="15"/>
              </w:rPr>
            </w:pPr>
            <w:r>
              <w:rPr>
                <w:rFonts w:ascii="宋体" w:hAnsi="宋体" w:eastAsia="宋体" w:cs="宋体"/>
                <w:sz w:val="15"/>
                <w:szCs w:val="15"/>
              </w:rPr>
              <w:t>△</w:t>
            </w:r>
          </w:p>
        </w:tc>
        <w:tc>
          <w:tcPr>
            <w:tcW w:w="839" w:type="dxa"/>
            <w:vAlign w:val="top"/>
          </w:tcPr>
          <w:p w14:paraId="0AE46B33">
            <w:pPr>
              <w:spacing w:before="141" w:line="238"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13331B2A">
            <w:pPr>
              <w:spacing w:before="141"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71782224">
            <w:pPr>
              <w:spacing w:before="172" w:line="183" w:lineRule="auto"/>
              <w:ind w:left="439"/>
              <w:rPr>
                <w:rFonts w:ascii="宋体" w:hAnsi="宋体" w:eastAsia="宋体" w:cs="宋体"/>
                <w:sz w:val="20"/>
                <w:szCs w:val="20"/>
              </w:rPr>
            </w:pPr>
            <w:r>
              <w:rPr>
                <w:rFonts w:ascii="宋体" w:hAnsi="宋体" w:eastAsia="宋体" w:cs="宋体"/>
                <w:sz w:val="20"/>
                <w:szCs w:val="20"/>
              </w:rPr>
              <w:t>O</w:t>
            </w:r>
          </w:p>
        </w:tc>
      </w:tr>
      <w:tr w14:paraId="34342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244" w:type="dxa"/>
            <w:vAlign w:val="top"/>
          </w:tcPr>
          <w:p w14:paraId="391E668C">
            <w:pPr>
              <w:spacing w:before="151" w:line="239" w:lineRule="auto"/>
              <w:ind w:left="464"/>
              <w:rPr>
                <w:rFonts w:ascii="宋体" w:hAnsi="宋体" w:eastAsia="宋体" w:cs="宋体"/>
                <w:sz w:val="20"/>
                <w:szCs w:val="20"/>
              </w:rPr>
            </w:pPr>
            <w:r>
              <w:rPr>
                <w:rFonts w:ascii="宋体" w:hAnsi="宋体" w:eastAsia="宋体" w:cs="宋体"/>
                <w:spacing w:val="-3"/>
                <w:sz w:val="20"/>
                <w:szCs w:val="20"/>
              </w:rPr>
              <w:t>7.4</w:t>
            </w:r>
          </w:p>
        </w:tc>
        <w:tc>
          <w:tcPr>
            <w:tcW w:w="1258" w:type="dxa"/>
            <w:vAlign w:val="top"/>
          </w:tcPr>
          <w:p w14:paraId="214ACCE0">
            <w:pPr>
              <w:spacing w:before="150"/>
              <w:ind w:left="471"/>
              <w:rPr>
                <w:rFonts w:ascii="宋体" w:hAnsi="宋体" w:eastAsia="宋体" w:cs="宋体"/>
                <w:sz w:val="20"/>
                <w:szCs w:val="20"/>
              </w:rPr>
            </w:pPr>
            <w:r>
              <w:rPr>
                <w:rFonts w:ascii="宋体" w:hAnsi="宋体" w:eastAsia="宋体" w:cs="宋体"/>
                <w:spacing w:val="-3"/>
                <w:sz w:val="20"/>
                <w:szCs w:val="20"/>
              </w:rPr>
              <w:t>304</w:t>
            </w:r>
          </w:p>
        </w:tc>
        <w:tc>
          <w:tcPr>
            <w:tcW w:w="2927" w:type="dxa"/>
            <w:vAlign w:val="top"/>
          </w:tcPr>
          <w:p w14:paraId="6C416EE8">
            <w:pPr>
              <w:spacing w:before="131" w:line="219" w:lineRule="auto"/>
              <w:ind w:left="93"/>
              <w:rPr>
                <w:rFonts w:ascii="宋体" w:hAnsi="宋体" w:eastAsia="宋体" w:cs="宋体"/>
                <w:sz w:val="20"/>
                <w:szCs w:val="20"/>
              </w:rPr>
            </w:pPr>
            <w:r>
              <w:rPr>
                <w:rFonts w:ascii="宋体" w:hAnsi="宋体" w:eastAsia="宋体" w:cs="宋体"/>
                <w:spacing w:val="-1"/>
                <w:sz w:val="20"/>
                <w:szCs w:val="20"/>
              </w:rPr>
              <w:t>故障模式、影响及危害性分析</w:t>
            </w:r>
          </w:p>
        </w:tc>
        <w:tc>
          <w:tcPr>
            <w:tcW w:w="829" w:type="dxa"/>
            <w:vAlign w:val="top"/>
          </w:tcPr>
          <w:p w14:paraId="7EC565E2">
            <w:pPr>
              <w:spacing w:before="164" w:line="237" w:lineRule="auto"/>
              <w:ind w:left="336"/>
              <w:rPr>
                <w:rFonts w:ascii="宋体" w:hAnsi="宋体" w:eastAsia="宋体" w:cs="宋体"/>
                <w:sz w:val="15"/>
                <w:szCs w:val="15"/>
              </w:rPr>
            </w:pPr>
            <w:r>
              <w:rPr>
                <w:rFonts w:ascii="宋体" w:hAnsi="宋体" w:eastAsia="宋体" w:cs="宋体"/>
                <w:sz w:val="15"/>
                <w:szCs w:val="15"/>
              </w:rPr>
              <w:t>△</w:t>
            </w:r>
          </w:p>
        </w:tc>
        <w:tc>
          <w:tcPr>
            <w:tcW w:w="839" w:type="dxa"/>
            <w:vAlign w:val="top"/>
          </w:tcPr>
          <w:p w14:paraId="49BEEB46">
            <w:pPr>
              <w:spacing w:before="151" w:line="238"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0CB86B01">
            <w:pPr>
              <w:spacing w:before="151"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5A8F8F50">
            <w:pPr>
              <w:spacing w:before="151" w:line="237" w:lineRule="auto"/>
              <w:ind w:left="389"/>
              <w:rPr>
                <w:rFonts w:ascii="宋体" w:hAnsi="宋体" w:eastAsia="宋体" w:cs="宋体"/>
                <w:sz w:val="20"/>
                <w:szCs w:val="20"/>
              </w:rPr>
            </w:pPr>
            <w:r>
              <w:rPr>
                <w:rFonts w:ascii="宋体" w:hAnsi="宋体" w:eastAsia="宋体" w:cs="宋体"/>
                <w:sz w:val="20"/>
                <w:szCs w:val="20"/>
              </w:rPr>
              <w:t>△</w:t>
            </w:r>
          </w:p>
        </w:tc>
      </w:tr>
      <w:tr w14:paraId="3461E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244" w:type="dxa"/>
            <w:vAlign w:val="top"/>
          </w:tcPr>
          <w:p w14:paraId="3BFDC7AD">
            <w:pPr>
              <w:spacing w:before="151" w:line="239" w:lineRule="auto"/>
              <w:ind w:left="464"/>
              <w:rPr>
                <w:rFonts w:ascii="宋体" w:hAnsi="宋体" w:eastAsia="宋体" w:cs="宋体"/>
                <w:sz w:val="20"/>
                <w:szCs w:val="20"/>
              </w:rPr>
            </w:pPr>
            <w:r>
              <w:rPr>
                <w:rFonts w:ascii="宋体" w:hAnsi="宋体" w:eastAsia="宋体" w:cs="宋体"/>
                <w:spacing w:val="-3"/>
                <w:sz w:val="20"/>
                <w:szCs w:val="20"/>
              </w:rPr>
              <w:t>7.5</w:t>
            </w:r>
          </w:p>
        </w:tc>
        <w:tc>
          <w:tcPr>
            <w:tcW w:w="1258" w:type="dxa"/>
            <w:vAlign w:val="top"/>
          </w:tcPr>
          <w:p w14:paraId="46DE96EC">
            <w:pPr>
              <w:spacing w:before="150"/>
              <w:ind w:left="471"/>
              <w:rPr>
                <w:rFonts w:ascii="宋体" w:hAnsi="宋体" w:eastAsia="宋体" w:cs="宋体"/>
                <w:sz w:val="20"/>
                <w:szCs w:val="20"/>
              </w:rPr>
            </w:pPr>
            <w:r>
              <w:rPr>
                <w:rFonts w:ascii="宋体" w:hAnsi="宋体" w:eastAsia="宋体" w:cs="宋体"/>
                <w:spacing w:val="-3"/>
                <w:sz w:val="20"/>
                <w:szCs w:val="20"/>
              </w:rPr>
              <w:t>305</w:t>
            </w:r>
          </w:p>
        </w:tc>
        <w:tc>
          <w:tcPr>
            <w:tcW w:w="2927" w:type="dxa"/>
            <w:vAlign w:val="top"/>
          </w:tcPr>
          <w:p w14:paraId="476C1FEA">
            <w:pPr>
              <w:spacing w:before="131" w:line="219" w:lineRule="auto"/>
              <w:ind w:left="93"/>
              <w:rPr>
                <w:rFonts w:ascii="宋体" w:hAnsi="宋体" w:eastAsia="宋体" w:cs="宋体"/>
                <w:sz w:val="20"/>
                <w:szCs w:val="20"/>
              </w:rPr>
            </w:pPr>
            <w:r>
              <w:rPr>
                <w:rFonts w:ascii="宋体" w:hAnsi="宋体" w:eastAsia="宋体" w:cs="宋体"/>
                <w:spacing w:val="-2"/>
                <w:sz w:val="20"/>
                <w:szCs w:val="20"/>
              </w:rPr>
              <w:t>故障树分析</w:t>
            </w:r>
          </w:p>
        </w:tc>
        <w:tc>
          <w:tcPr>
            <w:tcW w:w="829" w:type="dxa"/>
            <w:vAlign w:val="top"/>
          </w:tcPr>
          <w:p w14:paraId="0DC2CB70">
            <w:pPr>
              <w:spacing w:before="164"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01F7ED31">
            <w:pPr>
              <w:spacing w:before="151"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29E6A247">
            <w:pPr>
              <w:spacing w:before="151"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4370292C">
            <w:pPr>
              <w:spacing w:before="151" w:line="237" w:lineRule="auto"/>
              <w:ind w:left="389"/>
              <w:rPr>
                <w:rFonts w:ascii="宋体" w:hAnsi="宋体" w:eastAsia="宋体" w:cs="宋体"/>
                <w:sz w:val="20"/>
                <w:szCs w:val="20"/>
              </w:rPr>
            </w:pPr>
            <w:r>
              <w:rPr>
                <w:rFonts w:ascii="宋体" w:hAnsi="宋体" w:eastAsia="宋体" w:cs="宋体"/>
                <w:sz w:val="20"/>
                <w:szCs w:val="20"/>
              </w:rPr>
              <w:t>△</w:t>
            </w:r>
          </w:p>
        </w:tc>
      </w:tr>
      <w:tr w14:paraId="00B74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2789F512">
            <w:pPr>
              <w:spacing w:before="142" w:line="239" w:lineRule="auto"/>
              <w:ind w:left="464"/>
              <w:rPr>
                <w:rFonts w:ascii="宋体" w:hAnsi="宋体" w:eastAsia="宋体" w:cs="宋体"/>
                <w:sz w:val="20"/>
                <w:szCs w:val="20"/>
              </w:rPr>
            </w:pPr>
            <w:r>
              <w:rPr>
                <w:rFonts w:ascii="宋体" w:hAnsi="宋体" w:eastAsia="宋体" w:cs="宋体"/>
                <w:spacing w:val="-3"/>
                <w:sz w:val="20"/>
                <w:szCs w:val="20"/>
              </w:rPr>
              <w:t>7.6</w:t>
            </w:r>
          </w:p>
        </w:tc>
        <w:tc>
          <w:tcPr>
            <w:tcW w:w="1258" w:type="dxa"/>
            <w:vAlign w:val="top"/>
          </w:tcPr>
          <w:p w14:paraId="2B73C2A1">
            <w:pPr>
              <w:spacing w:before="141"/>
              <w:ind w:left="471"/>
              <w:rPr>
                <w:rFonts w:ascii="宋体" w:hAnsi="宋体" w:eastAsia="宋体" w:cs="宋体"/>
                <w:sz w:val="20"/>
                <w:szCs w:val="20"/>
              </w:rPr>
            </w:pPr>
            <w:r>
              <w:rPr>
                <w:rFonts w:ascii="宋体" w:hAnsi="宋体" w:eastAsia="宋体" w:cs="宋体"/>
                <w:spacing w:val="-3"/>
                <w:sz w:val="20"/>
                <w:szCs w:val="20"/>
              </w:rPr>
              <w:t>306</w:t>
            </w:r>
          </w:p>
        </w:tc>
        <w:tc>
          <w:tcPr>
            <w:tcW w:w="2927" w:type="dxa"/>
            <w:vAlign w:val="top"/>
          </w:tcPr>
          <w:p w14:paraId="799406A7">
            <w:pPr>
              <w:spacing w:before="122" w:line="219" w:lineRule="auto"/>
              <w:ind w:left="93"/>
              <w:rPr>
                <w:rFonts w:ascii="宋体" w:hAnsi="宋体" w:eastAsia="宋体" w:cs="宋体"/>
                <w:sz w:val="20"/>
                <w:szCs w:val="20"/>
              </w:rPr>
            </w:pPr>
            <w:r>
              <w:rPr>
                <w:rFonts w:ascii="宋体" w:hAnsi="宋体" w:eastAsia="宋体" w:cs="宋体"/>
                <w:spacing w:val="-1"/>
                <w:sz w:val="20"/>
                <w:szCs w:val="20"/>
              </w:rPr>
              <w:t>潜在通路分析</w:t>
            </w:r>
          </w:p>
        </w:tc>
        <w:tc>
          <w:tcPr>
            <w:tcW w:w="829" w:type="dxa"/>
            <w:vAlign w:val="top"/>
          </w:tcPr>
          <w:p w14:paraId="1C0D7852">
            <w:pPr>
              <w:spacing w:before="165"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17BF0D79">
            <w:pPr>
              <w:spacing w:before="142" w:line="268" w:lineRule="exact"/>
              <w:ind w:left="317"/>
              <w:rPr>
                <w:rFonts w:ascii="宋体" w:hAnsi="宋体" w:eastAsia="宋体" w:cs="宋体"/>
                <w:sz w:val="20"/>
                <w:szCs w:val="20"/>
              </w:rPr>
            </w:pPr>
            <w:r>
              <w:rPr>
                <w:rFonts w:ascii="宋体" w:hAnsi="宋体" w:eastAsia="宋体" w:cs="宋体"/>
                <w:position w:val="1"/>
                <w:sz w:val="20"/>
                <w:szCs w:val="20"/>
              </w:rPr>
              <w:t>×</w:t>
            </w:r>
          </w:p>
        </w:tc>
        <w:tc>
          <w:tcPr>
            <w:tcW w:w="1259" w:type="dxa"/>
            <w:vAlign w:val="top"/>
          </w:tcPr>
          <w:p w14:paraId="31D903F7">
            <w:pPr>
              <w:spacing w:before="142"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5F56A2F8">
            <w:pPr>
              <w:spacing w:before="173" w:line="183" w:lineRule="auto"/>
              <w:ind w:left="439"/>
              <w:rPr>
                <w:rFonts w:ascii="宋体" w:hAnsi="宋体" w:eastAsia="宋体" w:cs="宋体"/>
                <w:sz w:val="20"/>
                <w:szCs w:val="20"/>
              </w:rPr>
            </w:pPr>
            <w:r>
              <w:rPr>
                <w:rFonts w:ascii="宋体" w:hAnsi="宋体" w:eastAsia="宋体" w:cs="宋体"/>
                <w:sz w:val="20"/>
                <w:szCs w:val="20"/>
              </w:rPr>
              <w:t>O</w:t>
            </w:r>
          </w:p>
        </w:tc>
      </w:tr>
      <w:tr w14:paraId="18C87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244" w:type="dxa"/>
            <w:vAlign w:val="top"/>
          </w:tcPr>
          <w:p w14:paraId="2DFFC41D">
            <w:pPr>
              <w:spacing w:before="151" w:line="239" w:lineRule="auto"/>
              <w:ind w:left="464"/>
              <w:rPr>
                <w:rFonts w:ascii="宋体" w:hAnsi="宋体" w:eastAsia="宋体" w:cs="宋体"/>
                <w:sz w:val="20"/>
                <w:szCs w:val="20"/>
              </w:rPr>
            </w:pPr>
            <w:r>
              <w:rPr>
                <w:rFonts w:ascii="宋体" w:hAnsi="宋体" w:eastAsia="宋体" w:cs="宋体"/>
                <w:spacing w:val="-3"/>
                <w:sz w:val="20"/>
                <w:szCs w:val="20"/>
              </w:rPr>
              <w:t>7.7</w:t>
            </w:r>
          </w:p>
        </w:tc>
        <w:tc>
          <w:tcPr>
            <w:tcW w:w="1258" w:type="dxa"/>
            <w:vAlign w:val="top"/>
          </w:tcPr>
          <w:p w14:paraId="215529DB">
            <w:pPr>
              <w:spacing w:before="151"/>
              <w:ind w:left="471"/>
              <w:rPr>
                <w:rFonts w:ascii="宋体" w:hAnsi="宋体" w:eastAsia="宋体" w:cs="宋体"/>
                <w:sz w:val="20"/>
                <w:szCs w:val="20"/>
              </w:rPr>
            </w:pPr>
            <w:r>
              <w:rPr>
                <w:rFonts w:ascii="宋体" w:hAnsi="宋体" w:eastAsia="宋体" w:cs="宋体"/>
                <w:spacing w:val="-3"/>
                <w:sz w:val="20"/>
                <w:szCs w:val="20"/>
              </w:rPr>
              <w:t>307</w:t>
            </w:r>
          </w:p>
        </w:tc>
        <w:tc>
          <w:tcPr>
            <w:tcW w:w="2927" w:type="dxa"/>
            <w:vAlign w:val="top"/>
          </w:tcPr>
          <w:p w14:paraId="58C90170">
            <w:pPr>
              <w:spacing w:before="132" w:line="219" w:lineRule="auto"/>
              <w:ind w:left="93"/>
              <w:rPr>
                <w:rFonts w:ascii="宋体" w:hAnsi="宋体" w:eastAsia="宋体" w:cs="宋体"/>
                <w:sz w:val="20"/>
                <w:szCs w:val="20"/>
              </w:rPr>
            </w:pPr>
            <w:r>
              <w:rPr>
                <w:rFonts w:ascii="宋体" w:hAnsi="宋体" w:eastAsia="宋体" w:cs="宋体"/>
                <w:spacing w:val="1"/>
                <w:sz w:val="20"/>
                <w:szCs w:val="20"/>
              </w:rPr>
              <w:t>电路容差分析</w:t>
            </w:r>
          </w:p>
        </w:tc>
        <w:tc>
          <w:tcPr>
            <w:tcW w:w="829" w:type="dxa"/>
            <w:vAlign w:val="top"/>
          </w:tcPr>
          <w:p w14:paraId="67599329">
            <w:pPr>
              <w:spacing w:before="165"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106B06EF">
            <w:pPr>
              <w:spacing w:before="152" w:line="268" w:lineRule="exact"/>
              <w:ind w:left="317"/>
              <w:rPr>
                <w:rFonts w:ascii="宋体" w:hAnsi="宋体" w:eastAsia="宋体" w:cs="宋体"/>
                <w:sz w:val="20"/>
                <w:szCs w:val="20"/>
              </w:rPr>
            </w:pPr>
            <w:r>
              <w:rPr>
                <w:rFonts w:ascii="宋体" w:hAnsi="宋体" w:eastAsia="宋体" w:cs="宋体"/>
                <w:position w:val="1"/>
                <w:sz w:val="20"/>
                <w:szCs w:val="20"/>
              </w:rPr>
              <w:t>×</w:t>
            </w:r>
          </w:p>
        </w:tc>
        <w:tc>
          <w:tcPr>
            <w:tcW w:w="1259" w:type="dxa"/>
            <w:vAlign w:val="top"/>
          </w:tcPr>
          <w:p w14:paraId="1E64E503">
            <w:pPr>
              <w:spacing w:before="152"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6851AC49">
            <w:pPr>
              <w:spacing w:before="183" w:line="183" w:lineRule="auto"/>
              <w:ind w:left="439"/>
              <w:rPr>
                <w:rFonts w:ascii="宋体" w:hAnsi="宋体" w:eastAsia="宋体" w:cs="宋体"/>
                <w:sz w:val="20"/>
                <w:szCs w:val="20"/>
              </w:rPr>
            </w:pPr>
            <w:r>
              <w:rPr>
                <w:rFonts w:ascii="宋体" w:hAnsi="宋体" w:eastAsia="宋体" w:cs="宋体"/>
                <w:sz w:val="20"/>
                <w:szCs w:val="20"/>
              </w:rPr>
              <w:t>O</w:t>
            </w:r>
          </w:p>
        </w:tc>
      </w:tr>
      <w:tr w14:paraId="04668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796817ED">
            <w:pPr>
              <w:spacing w:before="142" w:line="239" w:lineRule="auto"/>
              <w:ind w:left="464"/>
              <w:rPr>
                <w:rFonts w:ascii="宋体" w:hAnsi="宋体" w:eastAsia="宋体" w:cs="宋体"/>
                <w:sz w:val="20"/>
                <w:szCs w:val="20"/>
              </w:rPr>
            </w:pPr>
            <w:r>
              <w:rPr>
                <w:rFonts w:ascii="宋体" w:hAnsi="宋体" w:eastAsia="宋体" w:cs="宋体"/>
                <w:spacing w:val="-3"/>
                <w:sz w:val="20"/>
                <w:szCs w:val="20"/>
              </w:rPr>
              <w:t>7.8</w:t>
            </w:r>
          </w:p>
        </w:tc>
        <w:tc>
          <w:tcPr>
            <w:tcW w:w="1258" w:type="dxa"/>
            <w:vAlign w:val="top"/>
          </w:tcPr>
          <w:p w14:paraId="78E3A53F">
            <w:pPr>
              <w:spacing w:before="142"/>
              <w:ind w:left="471"/>
              <w:rPr>
                <w:rFonts w:ascii="宋体" w:hAnsi="宋体" w:eastAsia="宋体" w:cs="宋体"/>
                <w:sz w:val="20"/>
                <w:szCs w:val="20"/>
              </w:rPr>
            </w:pPr>
            <w:r>
              <w:rPr>
                <w:rFonts w:ascii="宋体" w:hAnsi="宋体" w:eastAsia="宋体" w:cs="宋体"/>
                <w:spacing w:val="-3"/>
                <w:sz w:val="20"/>
                <w:szCs w:val="20"/>
              </w:rPr>
              <w:t>308</w:t>
            </w:r>
          </w:p>
        </w:tc>
        <w:tc>
          <w:tcPr>
            <w:tcW w:w="2927" w:type="dxa"/>
            <w:vAlign w:val="top"/>
          </w:tcPr>
          <w:p w14:paraId="0DF8FBD2">
            <w:pPr>
              <w:spacing w:before="123" w:line="220" w:lineRule="auto"/>
              <w:ind w:left="93"/>
              <w:rPr>
                <w:rFonts w:ascii="宋体" w:hAnsi="宋体" w:eastAsia="宋体" w:cs="宋体"/>
                <w:sz w:val="20"/>
                <w:szCs w:val="20"/>
              </w:rPr>
            </w:pPr>
            <w:r>
              <w:rPr>
                <w:rFonts w:ascii="宋体" w:hAnsi="宋体" w:eastAsia="宋体" w:cs="宋体"/>
                <w:spacing w:val="1"/>
                <w:sz w:val="20"/>
                <w:szCs w:val="20"/>
              </w:rPr>
              <w:t>制定可靠性设计准则</w:t>
            </w:r>
          </w:p>
        </w:tc>
        <w:tc>
          <w:tcPr>
            <w:tcW w:w="829" w:type="dxa"/>
            <w:vAlign w:val="top"/>
          </w:tcPr>
          <w:p w14:paraId="28C8441E">
            <w:pPr>
              <w:spacing w:before="166" w:line="237" w:lineRule="auto"/>
              <w:ind w:left="336"/>
              <w:rPr>
                <w:rFonts w:ascii="宋体" w:hAnsi="宋体" w:eastAsia="宋体" w:cs="宋体"/>
                <w:sz w:val="15"/>
                <w:szCs w:val="15"/>
              </w:rPr>
            </w:pPr>
            <w:r>
              <w:rPr>
                <w:rFonts w:ascii="宋体" w:hAnsi="宋体" w:eastAsia="宋体" w:cs="宋体"/>
                <w:sz w:val="15"/>
                <w:szCs w:val="15"/>
              </w:rPr>
              <w:t>△</w:t>
            </w:r>
          </w:p>
        </w:tc>
        <w:tc>
          <w:tcPr>
            <w:tcW w:w="839" w:type="dxa"/>
            <w:vAlign w:val="top"/>
          </w:tcPr>
          <w:p w14:paraId="0E611EA6">
            <w:pPr>
              <w:spacing w:before="143" w:line="238"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29DEDAE0">
            <w:pPr>
              <w:spacing w:before="143"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2644593E">
            <w:pPr>
              <w:spacing w:before="174" w:line="183" w:lineRule="auto"/>
              <w:ind w:left="439"/>
              <w:rPr>
                <w:rFonts w:ascii="宋体" w:hAnsi="宋体" w:eastAsia="宋体" w:cs="宋体"/>
                <w:sz w:val="20"/>
                <w:szCs w:val="20"/>
              </w:rPr>
            </w:pPr>
            <w:r>
              <w:rPr>
                <w:rFonts w:ascii="宋体" w:hAnsi="宋体" w:eastAsia="宋体" w:cs="宋体"/>
                <w:sz w:val="20"/>
                <w:szCs w:val="20"/>
              </w:rPr>
              <w:t>O</w:t>
            </w:r>
          </w:p>
        </w:tc>
      </w:tr>
      <w:tr w14:paraId="398A9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244" w:type="dxa"/>
            <w:vAlign w:val="top"/>
          </w:tcPr>
          <w:p w14:paraId="2BDB406B">
            <w:pPr>
              <w:pStyle w:val="6"/>
              <w:spacing w:line="286" w:lineRule="auto"/>
            </w:pPr>
          </w:p>
          <w:p w14:paraId="60416A5D">
            <w:pPr>
              <w:spacing w:before="65" w:line="239" w:lineRule="auto"/>
              <w:ind w:left="464"/>
              <w:rPr>
                <w:rFonts w:ascii="宋体" w:hAnsi="宋体" w:eastAsia="宋体" w:cs="宋体"/>
                <w:sz w:val="20"/>
                <w:szCs w:val="20"/>
              </w:rPr>
            </w:pPr>
            <w:r>
              <w:rPr>
                <w:rFonts w:ascii="宋体" w:hAnsi="宋体" w:eastAsia="宋体" w:cs="宋体"/>
                <w:spacing w:val="-3"/>
                <w:sz w:val="20"/>
                <w:szCs w:val="20"/>
              </w:rPr>
              <w:t>7.9</w:t>
            </w:r>
          </w:p>
        </w:tc>
        <w:tc>
          <w:tcPr>
            <w:tcW w:w="1258" w:type="dxa"/>
            <w:vAlign w:val="top"/>
          </w:tcPr>
          <w:p w14:paraId="34231094">
            <w:pPr>
              <w:pStyle w:val="6"/>
              <w:spacing w:line="285" w:lineRule="auto"/>
            </w:pPr>
          </w:p>
          <w:p w14:paraId="533AA577">
            <w:pPr>
              <w:spacing w:before="65"/>
              <w:ind w:left="471"/>
              <w:rPr>
                <w:rFonts w:ascii="宋体" w:hAnsi="宋体" w:eastAsia="宋体" w:cs="宋体"/>
                <w:sz w:val="20"/>
                <w:szCs w:val="20"/>
              </w:rPr>
            </w:pPr>
            <w:r>
              <w:rPr>
                <w:rFonts w:ascii="宋体" w:hAnsi="宋体" w:eastAsia="宋体" w:cs="宋体"/>
                <w:spacing w:val="-3"/>
                <w:sz w:val="20"/>
                <w:szCs w:val="20"/>
              </w:rPr>
              <w:t>309</w:t>
            </w:r>
          </w:p>
        </w:tc>
        <w:tc>
          <w:tcPr>
            <w:tcW w:w="2927" w:type="dxa"/>
            <w:vAlign w:val="top"/>
          </w:tcPr>
          <w:p w14:paraId="023F6730">
            <w:pPr>
              <w:spacing w:before="163" w:line="308" w:lineRule="auto"/>
              <w:ind w:left="93" w:right="233"/>
              <w:rPr>
                <w:rFonts w:ascii="宋体" w:hAnsi="宋体" w:eastAsia="宋体" w:cs="宋体"/>
                <w:sz w:val="20"/>
                <w:szCs w:val="20"/>
              </w:rPr>
            </w:pPr>
            <w:r>
              <w:rPr>
                <w:rFonts w:ascii="宋体" w:hAnsi="宋体" w:eastAsia="宋体" w:cs="宋体"/>
                <w:spacing w:val="-1"/>
                <w:sz w:val="20"/>
                <w:szCs w:val="20"/>
              </w:rPr>
              <w:t>元器件、零部件和原材料的选</w:t>
            </w:r>
            <w:r>
              <w:rPr>
                <w:rFonts w:ascii="宋体" w:hAnsi="宋体" w:eastAsia="宋体" w:cs="宋体"/>
                <w:spacing w:val="2"/>
                <w:sz w:val="20"/>
                <w:szCs w:val="20"/>
              </w:rPr>
              <w:t xml:space="preserve"> </w:t>
            </w:r>
            <w:r>
              <w:rPr>
                <w:rFonts w:ascii="宋体" w:hAnsi="宋体" w:eastAsia="宋体" w:cs="宋体"/>
                <w:spacing w:val="4"/>
                <w:sz w:val="20"/>
                <w:szCs w:val="20"/>
              </w:rPr>
              <w:t>择与控制</w:t>
            </w:r>
          </w:p>
        </w:tc>
        <w:tc>
          <w:tcPr>
            <w:tcW w:w="829" w:type="dxa"/>
            <w:vAlign w:val="top"/>
          </w:tcPr>
          <w:p w14:paraId="0AEAF33F">
            <w:pPr>
              <w:pStyle w:val="6"/>
              <w:spacing w:line="315" w:lineRule="auto"/>
            </w:pPr>
          </w:p>
          <w:p w14:paraId="2D6F1A70">
            <w:pPr>
              <w:spacing w:before="4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6DA85C4F">
            <w:pPr>
              <w:pStyle w:val="6"/>
              <w:spacing w:line="286" w:lineRule="auto"/>
            </w:pPr>
          </w:p>
          <w:p w14:paraId="762E5764">
            <w:pPr>
              <w:spacing w:before="65"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7424619F">
            <w:pPr>
              <w:pStyle w:val="6"/>
              <w:spacing w:line="286" w:lineRule="auto"/>
            </w:pPr>
          </w:p>
          <w:p w14:paraId="63A0814A">
            <w:pPr>
              <w:spacing w:before="65"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41C761A5">
            <w:pPr>
              <w:pStyle w:val="6"/>
              <w:spacing w:line="286" w:lineRule="auto"/>
            </w:pPr>
          </w:p>
          <w:p w14:paraId="3435ED4A">
            <w:pPr>
              <w:spacing w:before="65" w:line="238" w:lineRule="auto"/>
              <w:ind w:left="389"/>
              <w:rPr>
                <w:rFonts w:ascii="宋体" w:hAnsi="宋体" w:eastAsia="宋体" w:cs="宋体"/>
                <w:sz w:val="20"/>
                <w:szCs w:val="20"/>
              </w:rPr>
            </w:pPr>
            <w:r>
              <w:rPr>
                <w:rFonts w:ascii="宋体" w:hAnsi="宋体" w:eastAsia="宋体" w:cs="宋体"/>
                <w:sz w:val="20"/>
                <w:szCs w:val="20"/>
              </w:rPr>
              <w:t>√</w:t>
            </w:r>
          </w:p>
        </w:tc>
      </w:tr>
      <w:tr w14:paraId="4378A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244" w:type="dxa"/>
            <w:vAlign w:val="top"/>
          </w:tcPr>
          <w:p w14:paraId="424838B9">
            <w:pPr>
              <w:spacing w:before="154" w:line="239" w:lineRule="auto"/>
              <w:ind w:left="415"/>
              <w:rPr>
                <w:rFonts w:ascii="宋体" w:hAnsi="宋体" w:eastAsia="宋体" w:cs="宋体"/>
                <w:sz w:val="20"/>
                <w:szCs w:val="20"/>
              </w:rPr>
            </w:pPr>
            <w:r>
              <w:rPr>
                <w:rFonts w:ascii="宋体" w:hAnsi="宋体" w:eastAsia="宋体" w:cs="宋体"/>
                <w:spacing w:val="-3"/>
                <w:sz w:val="20"/>
                <w:szCs w:val="20"/>
              </w:rPr>
              <w:t>7.10</w:t>
            </w:r>
          </w:p>
        </w:tc>
        <w:tc>
          <w:tcPr>
            <w:tcW w:w="1258" w:type="dxa"/>
            <w:vAlign w:val="top"/>
          </w:tcPr>
          <w:p w14:paraId="30538C98">
            <w:pPr>
              <w:spacing w:before="153"/>
              <w:ind w:left="471"/>
              <w:rPr>
                <w:rFonts w:ascii="宋体" w:hAnsi="宋体" w:eastAsia="宋体" w:cs="宋体"/>
                <w:sz w:val="20"/>
                <w:szCs w:val="20"/>
              </w:rPr>
            </w:pPr>
            <w:r>
              <w:rPr>
                <w:rFonts w:ascii="宋体" w:hAnsi="宋体" w:eastAsia="宋体" w:cs="宋体"/>
                <w:spacing w:val="-3"/>
                <w:sz w:val="20"/>
                <w:szCs w:val="20"/>
              </w:rPr>
              <w:t>310</w:t>
            </w:r>
          </w:p>
        </w:tc>
        <w:tc>
          <w:tcPr>
            <w:tcW w:w="2927" w:type="dxa"/>
            <w:vAlign w:val="top"/>
          </w:tcPr>
          <w:p w14:paraId="0C3C6B77">
            <w:pPr>
              <w:spacing w:before="134" w:line="219" w:lineRule="auto"/>
              <w:ind w:left="93"/>
              <w:rPr>
                <w:rFonts w:ascii="宋体" w:hAnsi="宋体" w:eastAsia="宋体" w:cs="宋体"/>
                <w:sz w:val="20"/>
                <w:szCs w:val="20"/>
              </w:rPr>
            </w:pPr>
            <w:r>
              <w:rPr>
                <w:rFonts w:ascii="宋体" w:hAnsi="宋体" w:eastAsia="宋体" w:cs="宋体"/>
                <w:spacing w:val="2"/>
                <w:sz w:val="20"/>
                <w:szCs w:val="20"/>
              </w:rPr>
              <w:t>确定可靠性关键产品</w:t>
            </w:r>
          </w:p>
        </w:tc>
        <w:tc>
          <w:tcPr>
            <w:tcW w:w="829" w:type="dxa"/>
            <w:vAlign w:val="top"/>
          </w:tcPr>
          <w:p w14:paraId="719A9865">
            <w:pPr>
              <w:spacing w:before="167"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0F81122C">
            <w:pPr>
              <w:spacing w:before="154"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1EBD4D06">
            <w:pPr>
              <w:spacing w:before="154"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6FF582F7">
            <w:pPr>
              <w:spacing w:before="185" w:line="183" w:lineRule="auto"/>
              <w:ind w:left="439"/>
              <w:rPr>
                <w:rFonts w:ascii="宋体" w:hAnsi="宋体" w:eastAsia="宋体" w:cs="宋体"/>
                <w:sz w:val="20"/>
                <w:szCs w:val="20"/>
              </w:rPr>
            </w:pPr>
            <w:r>
              <w:rPr>
                <w:rFonts w:ascii="宋体" w:hAnsi="宋体" w:eastAsia="宋体" w:cs="宋体"/>
                <w:sz w:val="20"/>
                <w:szCs w:val="20"/>
              </w:rPr>
              <w:t>O</w:t>
            </w:r>
          </w:p>
        </w:tc>
      </w:tr>
      <w:tr w14:paraId="2D98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1244" w:type="dxa"/>
            <w:vAlign w:val="top"/>
          </w:tcPr>
          <w:p w14:paraId="0F29CF43">
            <w:pPr>
              <w:pStyle w:val="6"/>
              <w:spacing w:line="477" w:lineRule="auto"/>
            </w:pPr>
          </w:p>
          <w:p w14:paraId="2ADE4BF5">
            <w:pPr>
              <w:spacing w:before="65" w:line="239" w:lineRule="auto"/>
              <w:ind w:left="415"/>
              <w:rPr>
                <w:rFonts w:ascii="宋体" w:hAnsi="宋体" w:eastAsia="宋体" w:cs="宋体"/>
                <w:sz w:val="20"/>
                <w:szCs w:val="20"/>
              </w:rPr>
            </w:pPr>
            <w:r>
              <w:rPr>
                <w:rFonts w:ascii="宋体" w:hAnsi="宋体" w:eastAsia="宋体" w:cs="宋体"/>
                <w:spacing w:val="-3"/>
                <w:sz w:val="20"/>
                <w:szCs w:val="20"/>
              </w:rPr>
              <w:t>7.11</w:t>
            </w:r>
          </w:p>
        </w:tc>
        <w:tc>
          <w:tcPr>
            <w:tcW w:w="1258" w:type="dxa"/>
            <w:vAlign w:val="top"/>
          </w:tcPr>
          <w:p w14:paraId="0B9C82C5">
            <w:pPr>
              <w:pStyle w:val="6"/>
              <w:spacing w:line="476" w:lineRule="auto"/>
            </w:pPr>
          </w:p>
          <w:p w14:paraId="3B8B7FA7">
            <w:pPr>
              <w:spacing w:before="65"/>
              <w:ind w:left="471"/>
              <w:rPr>
                <w:rFonts w:ascii="宋体" w:hAnsi="宋体" w:eastAsia="宋体" w:cs="宋体"/>
                <w:sz w:val="20"/>
                <w:szCs w:val="20"/>
              </w:rPr>
            </w:pPr>
            <w:r>
              <w:rPr>
                <w:rFonts w:ascii="宋体" w:hAnsi="宋体" w:eastAsia="宋体" w:cs="宋体"/>
                <w:spacing w:val="-3"/>
                <w:sz w:val="20"/>
                <w:szCs w:val="20"/>
              </w:rPr>
              <w:t>311</w:t>
            </w:r>
          </w:p>
        </w:tc>
        <w:tc>
          <w:tcPr>
            <w:tcW w:w="2927" w:type="dxa"/>
            <w:vAlign w:val="top"/>
          </w:tcPr>
          <w:p w14:paraId="6A240B08">
            <w:pPr>
              <w:spacing w:before="204" w:line="307" w:lineRule="auto"/>
              <w:ind w:left="93" w:right="31"/>
              <w:rPr>
                <w:rFonts w:ascii="宋体" w:hAnsi="宋体" w:eastAsia="宋体" w:cs="宋体"/>
                <w:sz w:val="20"/>
                <w:szCs w:val="20"/>
              </w:rPr>
            </w:pPr>
            <w:r>
              <w:rPr>
                <w:rFonts w:ascii="宋体" w:hAnsi="宋体" w:eastAsia="宋体" w:cs="宋体"/>
                <w:spacing w:val="-1"/>
                <w:sz w:val="20"/>
                <w:szCs w:val="20"/>
              </w:rPr>
              <w:t>确定功能测试、包装、贮存、装</w:t>
            </w:r>
            <w:r>
              <w:rPr>
                <w:rFonts w:ascii="宋体" w:hAnsi="宋体" w:eastAsia="宋体" w:cs="宋体"/>
                <w:spacing w:val="5"/>
                <w:sz w:val="20"/>
                <w:szCs w:val="20"/>
              </w:rPr>
              <w:t xml:space="preserve"> </w:t>
            </w:r>
            <w:r>
              <w:rPr>
                <w:rFonts w:ascii="宋体" w:hAnsi="宋体" w:eastAsia="宋体" w:cs="宋体"/>
                <w:spacing w:val="-1"/>
                <w:sz w:val="20"/>
                <w:szCs w:val="20"/>
              </w:rPr>
              <w:t>卸、运输和维修对产品可靠性</w:t>
            </w:r>
          </w:p>
          <w:p w14:paraId="51A9A892">
            <w:pPr>
              <w:spacing w:before="8" w:line="221" w:lineRule="auto"/>
              <w:ind w:left="93"/>
              <w:rPr>
                <w:rFonts w:ascii="宋体" w:hAnsi="宋体" w:eastAsia="宋体" w:cs="宋体"/>
                <w:sz w:val="20"/>
                <w:szCs w:val="20"/>
              </w:rPr>
            </w:pPr>
            <w:r>
              <w:rPr>
                <w:rFonts w:ascii="宋体" w:hAnsi="宋体" w:eastAsia="宋体" w:cs="宋体"/>
                <w:spacing w:val="5"/>
                <w:sz w:val="20"/>
                <w:szCs w:val="20"/>
              </w:rPr>
              <w:t>的影响</w:t>
            </w:r>
          </w:p>
        </w:tc>
        <w:tc>
          <w:tcPr>
            <w:tcW w:w="829" w:type="dxa"/>
            <w:vAlign w:val="top"/>
          </w:tcPr>
          <w:p w14:paraId="1B513E59">
            <w:pPr>
              <w:pStyle w:val="6"/>
              <w:spacing w:line="258" w:lineRule="auto"/>
            </w:pPr>
          </w:p>
          <w:p w14:paraId="530A173B">
            <w:pPr>
              <w:pStyle w:val="6"/>
              <w:spacing w:line="258" w:lineRule="auto"/>
            </w:pPr>
          </w:p>
          <w:p w14:paraId="3BA0CE24">
            <w:pPr>
              <w:spacing w:before="48" w:line="202"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6BC8EFC5">
            <w:pPr>
              <w:pStyle w:val="6"/>
              <w:spacing w:line="477" w:lineRule="auto"/>
            </w:pPr>
          </w:p>
          <w:p w14:paraId="1E675429">
            <w:pPr>
              <w:spacing w:before="65"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69A043BC">
            <w:pPr>
              <w:pStyle w:val="6"/>
              <w:spacing w:line="477" w:lineRule="auto"/>
            </w:pPr>
          </w:p>
          <w:p w14:paraId="03A8A871">
            <w:pPr>
              <w:spacing w:before="65"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3A22E49C">
            <w:pPr>
              <w:pStyle w:val="6"/>
              <w:spacing w:line="254" w:lineRule="auto"/>
            </w:pPr>
          </w:p>
          <w:p w14:paraId="34225209">
            <w:pPr>
              <w:pStyle w:val="6"/>
              <w:spacing w:line="254" w:lineRule="auto"/>
            </w:pPr>
          </w:p>
          <w:p w14:paraId="0C9ECCD1">
            <w:pPr>
              <w:spacing w:before="65" w:line="183" w:lineRule="auto"/>
              <w:ind w:left="439"/>
              <w:rPr>
                <w:rFonts w:ascii="宋体" w:hAnsi="宋体" w:eastAsia="宋体" w:cs="宋体"/>
                <w:sz w:val="20"/>
                <w:szCs w:val="20"/>
              </w:rPr>
            </w:pPr>
            <w:r>
              <w:rPr>
                <w:rFonts w:ascii="宋体" w:hAnsi="宋体" w:eastAsia="宋体" w:cs="宋体"/>
                <w:sz w:val="20"/>
                <w:szCs w:val="20"/>
              </w:rPr>
              <w:t>O</w:t>
            </w:r>
          </w:p>
        </w:tc>
      </w:tr>
      <w:tr w14:paraId="6CCAB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69B7F303">
            <w:pPr>
              <w:spacing w:before="146" w:line="239" w:lineRule="auto"/>
              <w:ind w:left="415"/>
              <w:rPr>
                <w:rFonts w:ascii="宋体" w:hAnsi="宋体" w:eastAsia="宋体" w:cs="宋体"/>
                <w:sz w:val="20"/>
                <w:szCs w:val="20"/>
              </w:rPr>
            </w:pPr>
            <w:r>
              <w:rPr>
                <w:rFonts w:ascii="宋体" w:hAnsi="宋体" w:eastAsia="宋体" w:cs="宋体"/>
                <w:spacing w:val="-3"/>
                <w:sz w:val="20"/>
                <w:szCs w:val="20"/>
              </w:rPr>
              <w:t>7.12</w:t>
            </w:r>
          </w:p>
        </w:tc>
        <w:tc>
          <w:tcPr>
            <w:tcW w:w="1258" w:type="dxa"/>
            <w:vAlign w:val="top"/>
          </w:tcPr>
          <w:p w14:paraId="305C7E03">
            <w:pPr>
              <w:spacing w:before="145"/>
              <w:ind w:left="471"/>
              <w:rPr>
                <w:rFonts w:ascii="宋体" w:hAnsi="宋体" w:eastAsia="宋体" w:cs="宋体"/>
                <w:sz w:val="20"/>
                <w:szCs w:val="20"/>
              </w:rPr>
            </w:pPr>
            <w:r>
              <w:rPr>
                <w:rFonts w:ascii="宋体" w:hAnsi="宋体" w:eastAsia="宋体" w:cs="宋体"/>
                <w:spacing w:val="-3"/>
                <w:sz w:val="20"/>
                <w:szCs w:val="20"/>
              </w:rPr>
              <w:t>312</w:t>
            </w:r>
          </w:p>
        </w:tc>
        <w:tc>
          <w:tcPr>
            <w:tcW w:w="2927" w:type="dxa"/>
            <w:vAlign w:val="top"/>
          </w:tcPr>
          <w:p w14:paraId="4B77B46D">
            <w:pPr>
              <w:spacing w:before="126" w:line="220" w:lineRule="auto"/>
              <w:ind w:left="93"/>
              <w:rPr>
                <w:rFonts w:ascii="宋体" w:hAnsi="宋体" w:eastAsia="宋体" w:cs="宋体"/>
                <w:sz w:val="20"/>
                <w:szCs w:val="20"/>
              </w:rPr>
            </w:pPr>
            <w:r>
              <w:rPr>
                <w:rFonts w:ascii="宋体" w:hAnsi="宋体" w:eastAsia="宋体" w:cs="宋体"/>
                <w:spacing w:val="-2"/>
                <w:sz w:val="20"/>
                <w:szCs w:val="20"/>
              </w:rPr>
              <w:t>有限元分析</w:t>
            </w:r>
          </w:p>
        </w:tc>
        <w:tc>
          <w:tcPr>
            <w:tcW w:w="829" w:type="dxa"/>
            <w:vAlign w:val="top"/>
          </w:tcPr>
          <w:p w14:paraId="6BFF68F0">
            <w:pPr>
              <w:spacing w:before="16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74F0D68C">
            <w:pPr>
              <w:spacing w:before="146"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21311BA5">
            <w:pPr>
              <w:spacing w:before="146"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279EB504">
            <w:pPr>
              <w:spacing w:before="177" w:line="183" w:lineRule="auto"/>
              <w:ind w:left="439"/>
              <w:rPr>
                <w:rFonts w:ascii="宋体" w:hAnsi="宋体" w:eastAsia="宋体" w:cs="宋体"/>
                <w:sz w:val="20"/>
                <w:szCs w:val="20"/>
              </w:rPr>
            </w:pPr>
            <w:r>
              <w:rPr>
                <w:rFonts w:ascii="宋体" w:hAnsi="宋体" w:eastAsia="宋体" w:cs="宋体"/>
                <w:sz w:val="20"/>
                <w:szCs w:val="20"/>
              </w:rPr>
              <w:t>O</w:t>
            </w:r>
          </w:p>
        </w:tc>
      </w:tr>
      <w:tr w14:paraId="4CF55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244" w:type="dxa"/>
            <w:vAlign w:val="top"/>
          </w:tcPr>
          <w:p w14:paraId="5BAF188D">
            <w:pPr>
              <w:spacing w:before="156" w:line="239" w:lineRule="auto"/>
              <w:ind w:left="415"/>
              <w:rPr>
                <w:rFonts w:ascii="宋体" w:hAnsi="宋体" w:eastAsia="宋体" w:cs="宋体"/>
                <w:sz w:val="20"/>
                <w:szCs w:val="20"/>
              </w:rPr>
            </w:pPr>
            <w:r>
              <w:rPr>
                <w:rFonts w:ascii="宋体" w:hAnsi="宋体" w:eastAsia="宋体" w:cs="宋体"/>
                <w:spacing w:val="-3"/>
                <w:sz w:val="20"/>
                <w:szCs w:val="20"/>
              </w:rPr>
              <w:t>7.13</w:t>
            </w:r>
          </w:p>
        </w:tc>
        <w:tc>
          <w:tcPr>
            <w:tcW w:w="1258" w:type="dxa"/>
            <w:vAlign w:val="top"/>
          </w:tcPr>
          <w:p w14:paraId="36283783">
            <w:pPr>
              <w:spacing w:before="155"/>
              <w:ind w:left="471"/>
              <w:rPr>
                <w:rFonts w:ascii="宋体" w:hAnsi="宋体" w:eastAsia="宋体" w:cs="宋体"/>
                <w:sz w:val="20"/>
                <w:szCs w:val="20"/>
              </w:rPr>
            </w:pPr>
            <w:r>
              <w:rPr>
                <w:rFonts w:ascii="宋体" w:hAnsi="宋体" w:eastAsia="宋体" w:cs="宋体"/>
                <w:spacing w:val="-3"/>
                <w:sz w:val="20"/>
                <w:szCs w:val="20"/>
              </w:rPr>
              <w:t>313</w:t>
            </w:r>
          </w:p>
        </w:tc>
        <w:tc>
          <w:tcPr>
            <w:tcW w:w="2927" w:type="dxa"/>
            <w:vAlign w:val="top"/>
          </w:tcPr>
          <w:p w14:paraId="417914FA">
            <w:pPr>
              <w:spacing w:before="136" w:line="220" w:lineRule="auto"/>
              <w:ind w:left="93"/>
              <w:rPr>
                <w:rFonts w:ascii="宋体" w:hAnsi="宋体" w:eastAsia="宋体" w:cs="宋体"/>
                <w:sz w:val="20"/>
                <w:szCs w:val="20"/>
              </w:rPr>
            </w:pPr>
            <w:r>
              <w:rPr>
                <w:rFonts w:ascii="宋体" w:hAnsi="宋体" w:eastAsia="宋体" w:cs="宋体"/>
                <w:spacing w:val="-2"/>
                <w:sz w:val="20"/>
                <w:szCs w:val="20"/>
              </w:rPr>
              <w:t>耐久性分析</w:t>
            </w:r>
          </w:p>
        </w:tc>
        <w:tc>
          <w:tcPr>
            <w:tcW w:w="829" w:type="dxa"/>
            <w:vAlign w:val="top"/>
          </w:tcPr>
          <w:p w14:paraId="5677F60E">
            <w:pPr>
              <w:spacing w:before="16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53B26DC5">
            <w:pPr>
              <w:spacing w:before="156"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63860635">
            <w:pPr>
              <w:spacing w:before="156"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7FC1CF0A">
            <w:pPr>
              <w:spacing w:before="187" w:line="183" w:lineRule="auto"/>
              <w:ind w:left="439"/>
              <w:rPr>
                <w:rFonts w:ascii="宋体" w:hAnsi="宋体" w:eastAsia="宋体" w:cs="宋体"/>
                <w:sz w:val="20"/>
                <w:szCs w:val="20"/>
              </w:rPr>
            </w:pPr>
            <w:r>
              <w:rPr>
                <w:rFonts w:ascii="宋体" w:hAnsi="宋体" w:eastAsia="宋体" w:cs="宋体"/>
                <w:sz w:val="20"/>
                <w:szCs w:val="20"/>
              </w:rPr>
              <w:t>O</w:t>
            </w:r>
          </w:p>
        </w:tc>
      </w:tr>
      <w:tr w14:paraId="25E7A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609F6F9D">
            <w:pPr>
              <w:spacing w:before="146" w:line="239" w:lineRule="auto"/>
              <w:ind w:left="464"/>
              <w:rPr>
                <w:rFonts w:ascii="宋体" w:hAnsi="宋体" w:eastAsia="宋体" w:cs="宋体"/>
                <w:sz w:val="20"/>
                <w:szCs w:val="20"/>
              </w:rPr>
            </w:pPr>
            <w:r>
              <w:rPr>
                <w:rFonts w:ascii="宋体" w:hAnsi="宋体" w:eastAsia="宋体" w:cs="宋体"/>
                <w:spacing w:val="-2"/>
                <w:sz w:val="20"/>
                <w:szCs w:val="20"/>
              </w:rPr>
              <w:t>8.1</w:t>
            </w:r>
          </w:p>
        </w:tc>
        <w:tc>
          <w:tcPr>
            <w:tcW w:w="1258" w:type="dxa"/>
            <w:vAlign w:val="top"/>
          </w:tcPr>
          <w:p w14:paraId="53320890">
            <w:pPr>
              <w:spacing w:before="145"/>
              <w:ind w:left="471"/>
              <w:rPr>
                <w:rFonts w:ascii="宋体" w:hAnsi="宋体" w:eastAsia="宋体" w:cs="宋体"/>
                <w:sz w:val="20"/>
                <w:szCs w:val="20"/>
              </w:rPr>
            </w:pPr>
            <w:r>
              <w:rPr>
                <w:rFonts w:ascii="宋体" w:hAnsi="宋体" w:eastAsia="宋体" w:cs="宋体"/>
                <w:spacing w:val="-2"/>
                <w:sz w:val="20"/>
                <w:szCs w:val="20"/>
              </w:rPr>
              <w:t>401</w:t>
            </w:r>
          </w:p>
        </w:tc>
        <w:tc>
          <w:tcPr>
            <w:tcW w:w="2927" w:type="dxa"/>
            <w:vAlign w:val="top"/>
          </w:tcPr>
          <w:p w14:paraId="23981EDF">
            <w:pPr>
              <w:spacing w:before="126" w:line="219" w:lineRule="auto"/>
              <w:ind w:left="93"/>
              <w:rPr>
                <w:rFonts w:ascii="宋体" w:hAnsi="宋体" w:eastAsia="宋体" w:cs="宋体"/>
                <w:sz w:val="20"/>
                <w:szCs w:val="20"/>
              </w:rPr>
            </w:pPr>
            <w:r>
              <w:rPr>
                <w:rFonts w:ascii="宋体" w:hAnsi="宋体" w:eastAsia="宋体" w:cs="宋体"/>
                <w:spacing w:val="-2"/>
                <w:sz w:val="20"/>
                <w:szCs w:val="20"/>
              </w:rPr>
              <w:t>环境应力筛选</w:t>
            </w:r>
          </w:p>
        </w:tc>
        <w:tc>
          <w:tcPr>
            <w:tcW w:w="829" w:type="dxa"/>
            <w:vAlign w:val="top"/>
          </w:tcPr>
          <w:p w14:paraId="32BA5024">
            <w:pPr>
              <w:spacing w:before="16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6539D9F4">
            <w:pPr>
              <w:spacing w:before="146"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4FDCE2D5">
            <w:pPr>
              <w:spacing w:before="146"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3DADAB94">
            <w:pPr>
              <w:spacing w:before="146" w:line="238" w:lineRule="auto"/>
              <w:ind w:left="389"/>
              <w:rPr>
                <w:rFonts w:ascii="宋体" w:hAnsi="宋体" w:eastAsia="宋体" w:cs="宋体"/>
                <w:sz w:val="20"/>
                <w:szCs w:val="20"/>
              </w:rPr>
            </w:pPr>
            <w:r>
              <w:rPr>
                <w:rFonts w:ascii="宋体" w:hAnsi="宋体" w:eastAsia="宋体" w:cs="宋体"/>
                <w:sz w:val="20"/>
                <w:szCs w:val="20"/>
              </w:rPr>
              <w:t>√</w:t>
            </w:r>
          </w:p>
        </w:tc>
      </w:tr>
      <w:tr w14:paraId="483C8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244" w:type="dxa"/>
            <w:vAlign w:val="top"/>
          </w:tcPr>
          <w:p w14:paraId="17A19A1D">
            <w:pPr>
              <w:spacing w:before="146" w:line="239" w:lineRule="auto"/>
              <w:ind w:left="464"/>
              <w:rPr>
                <w:rFonts w:ascii="宋体" w:hAnsi="宋体" w:eastAsia="宋体" w:cs="宋体"/>
                <w:sz w:val="20"/>
                <w:szCs w:val="20"/>
              </w:rPr>
            </w:pPr>
            <w:r>
              <w:rPr>
                <w:rFonts w:ascii="宋体" w:hAnsi="宋体" w:eastAsia="宋体" w:cs="宋体"/>
                <w:spacing w:val="-2"/>
                <w:sz w:val="20"/>
                <w:szCs w:val="20"/>
              </w:rPr>
              <w:t>8.2</w:t>
            </w:r>
          </w:p>
        </w:tc>
        <w:tc>
          <w:tcPr>
            <w:tcW w:w="1258" w:type="dxa"/>
            <w:vAlign w:val="top"/>
          </w:tcPr>
          <w:p w14:paraId="6BC83B44">
            <w:pPr>
              <w:spacing w:before="145"/>
              <w:ind w:left="471"/>
              <w:rPr>
                <w:rFonts w:ascii="宋体" w:hAnsi="宋体" w:eastAsia="宋体" w:cs="宋体"/>
                <w:sz w:val="20"/>
                <w:szCs w:val="20"/>
              </w:rPr>
            </w:pPr>
            <w:r>
              <w:rPr>
                <w:rFonts w:ascii="宋体" w:hAnsi="宋体" w:eastAsia="宋体" w:cs="宋体"/>
                <w:spacing w:val="-2"/>
                <w:sz w:val="20"/>
                <w:szCs w:val="20"/>
              </w:rPr>
              <w:t>402</w:t>
            </w:r>
          </w:p>
        </w:tc>
        <w:tc>
          <w:tcPr>
            <w:tcW w:w="2927" w:type="dxa"/>
            <w:vAlign w:val="top"/>
          </w:tcPr>
          <w:p w14:paraId="0F38C466">
            <w:pPr>
              <w:spacing w:before="126" w:line="220" w:lineRule="auto"/>
              <w:ind w:left="93"/>
              <w:rPr>
                <w:rFonts w:ascii="宋体" w:hAnsi="宋体" w:eastAsia="宋体" w:cs="宋体"/>
                <w:sz w:val="20"/>
                <w:szCs w:val="20"/>
              </w:rPr>
            </w:pPr>
            <w:r>
              <w:rPr>
                <w:rFonts w:ascii="宋体" w:hAnsi="宋体" w:eastAsia="宋体" w:cs="宋体"/>
                <w:spacing w:val="-2"/>
                <w:sz w:val="20"/>
                <w:szCs w:val="20"/>
              </w:rPr>
              <w:t>可靠性研制试验</w:t>
            </w:r>
          </w:p>
        </w:tc>
        <w:tc>
          <w:tcPr>
            <w:tcW w:w="829" w:type="dxa"/>
            <w:vAlign w:val="top"/>
          </w:tcPr>
          <w:p w14:paraId="42BAFDF1">
            <w:pPr>
              <w:spacing w:before="16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4A5D6A08">
            <w:pPr>
              <w:spacing w:before="146"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6D1C382F">
            <w:pPr>
              <w:spacing w:before="146"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1675EF75">
            <w:pPr>
              <w:spacing w:before="177" w:line="183" w:lineRule="auto"/>
              <w:ind w:left="439"/>
              <w:rPr>
                <w:rFonts w:ascii="宋体" w:hAnsi="宋体" w:eastAsia="宋体" w:cs="宋体"/>
                <w:sz w:val="20"/>
                <w:szCs w:val="20"/>
              </w:rPr>
            </w:pPr>
            <w:r>
              <w:rPr>
                <w:rFonts w:ascii="宋体" w:hAnsi="宋体" w:eastAsia="宋体" w:cs="宋体"/>
                <w:sz w:val="20"/>
                <w:szCs w:val="20"/>
              </w:rPr>
              <w:t>O</w:t>
            </w:r>
          </w:p>
        </w:tc>
      </w:tr>
      <w:tr w14:paraId="09C85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07A28BBF">
            <w:pPr>
              <w:spacing w:before="147" w:line="239" w:lineRule="auto"/>
              <w:ind w:left="464"/>
              <w:rPr>
                <w:rFonts w:ascii="宋体" w:hAnsi="宋体" w:eastAsia="宋体" w:cs="宋体"/>
                <w:sz w:val="20"/>
                <w:szCs w:val="20"/>
              </w:rPr>
            </w:pPr>
            <w:r>
              <w:rPr>
                <w:rFonts w:ascii="宋体" w:hAnsi="宋体" w:eastAsia="宋体" w:cs="宋体"/>
                <w:spacing w:val="-2"/>
                <w:sz w:val="20"/>
                <w:szCs w:val="20"/>
              </w:rPr>
              <w:t>8.3</w:t>
            </w:r>
          </w:p>
        </w:tc>
        <w:tc>
          <w:tcPr>
            <w:tcW w:w="1258" w:type="dxa"/>
            <w:vAlign w:val="top"/>
          </w:tcPr>
          <w:p w14:paraId="4190CE5A">
            <w:pPr>
              <w:spacing w:before="146"/>
              <w:ind w:left="471"/>
              <w:rPr>
                <w:rFonts w:ascii="宋体" w:hAnsi="宋体" w:eastAsia="宋体" w:cs="宋体"/>
                <w:sz w:val="20"/>
                <w:szCs w:val="20"/>
              </w:rPr>
            </w:pPr>
            <w:r>
              <w:rPr>
                <w:rFonts w:ascii="宋体" w:hAnsi="宋体" w:eastAsia="宋体" w:cs="宋体"/>
                <w:spacing w:val="-2"/>
                <w:sz w:val="20"/>
                <w:szCs w:val="20"/>
              </w:rPr>
              <w:t>403</w:t>
            </w:r>
          </w:p>
        </w:tc>
        <w:tc>
          <w:tcPr>
            <w:tcW w:w="2927" w:type="dxa"/>
            <w:vAlign w:val="top"/>
          </w:tcPr>
          <w:p w14:paraId="4384476F">
            <w:pPr>
              <w:spacing w:before="128" w:line="221" w:lineRule="auto"/>
              <w:ind w:left="93"/>
              <w:rPr>
                <w:rFonts w:ascii="宋体" w:hAnsi="宋体" w:eastAsia="宋体" w:cs="宋体"/>
                <w:sz w:val="20"/>
                <w:szCs w:val="20"/>
              </w:rPr>
            </w:pPr>
            <w:r>
              <w:rPr>
                <w:rFonts w:ascii="宋体" w:hAnsi="宋体" w:eastAsia="宋体" w:cs="宋体"/>
                <w:spacing w:val="-2"/>
                <w:sz w:val="20"/>
                <w:szCs w:val="20"/>
              </w:rPr>
              <w:t>可靠性增长试验</w:t>
            </w:r>
          </w:p>
        </w:tc>
        <w:tc>
          <w:tcPr>
            <w:tcW w:w="829" w:type="dxa"/>
            <w:vAlign w:val="top"/>
          </w:tcPr>
          <w:p w14:paraId="6ADA3727">
            <w:pPr>
              <w:spacing w:before="170"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5456F96D">
            <w:pPr>
              <w:spacing w:before="147" w:line="237" w:lineRule="auto"/>
              <w:ind w:left="317"/>
              <w:rPr>
                <w:rFonts w:ascii="宋体" w:hAnsi="宋体" w:eastAsia="宋体" w:cs="宋体"/>
                <w:sz w:val="20"/>
                <w:szCs w:val="20"/>
              </w:rPr>
            </w:pPr>
            <w:r>
              <w:rPr>
                <w:rFonts w:ascii="宋体" w:hAnsi="宋体" w:eastAsia="宋体" w:cs="宋体"/>
                <w:sz w:val="20"/>
                <w:szCs w:val="20"/>
              </w:rPr>
              <w:t>△</w:t>
            </w:r>
          </w:p>
        </w:tc>
        <w:tc>
          <w:tcPr>
            <w:tcW w:w="1259" w:type="dxa"/>
            <w:vAlign w:val="top"/>
          </w:tcPr>
          <w:p w14:paraId="3DC85247">
            <w:pPr>
              <w:spacing w:before="147"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78AE54DE">
            <w:pPr>
              <w:spacing w:before="178" w:line="183" w:lineRule="auto"/>
              <w:ind w:left="439"/>
              <w:rPr>
                <w:rFonts w:ascii="宋体" w:hAnsi="宋体" w:eastAsia="宋体" w:cs="宋体"/>
                <w:sz w:val="20"/>
                <w:szCs w:val="20"/>
              </w:rPr>
            </w:pPr>
            <w:r>
              <w:rPr>
                <w:rFonts w:ascii="宋体" w:hAnsi="宋体" w:eastAsia="宋体" w:cs="宋体"/>
                <w:sz w:val="20"/>
                <w:szCs w:val="20"/>
              </w:rPr>
              <w:t>O</w:t>
            </w:r>
          </w:p>
        </w:tc>
      </w:tr>
      <w:tr w14:paraId="27DD0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244" w:type="dxa"/>
            <w:vAlign w:val="top"/>
          </w:tcPr>
          <w:p w14:paraId="514027D5">
            <w:pPr>
              <w:spacing w:before="157" w:line="239" w:lineRule="auto"/>
              <w:ind w:left="464"/>
              <w:rPr>
                <w:rFonts w:ascii="宋体" w:hAnsi="宋体" w:eastAsia="宋体" w:cs="宋体"/>
                <w:sz w:val="20"/>
                <w:szCs w:val="20"/>
              </w:rPr>
            </w:pPr>
            <w:r>
              <w:rPr>
                <w:rFonts w:ascii="宋体" w:hAnsi="宋体" w:eastAsia="宋体" w:cs="宋体"/>
                <w:spacing w:val="-2"/>
                <w:sz w:val="20"/>
                <w:szCs w:val="20"/>
              </w:rPr>
              <w:t>8.4</w:t>
            </w:r>
          </w:p>
        </w:tc>
        <w:tc>
          <w:tcPr>
            <w:tcW w:w="1258" w:type="dxa"/>
            <w:vAlign w:val="top"/>
          </w:tcPr>
          <w:p w14:paraId="12164372">
            <w:pPr>
              <w:spacing w:before="156"/>
              <w:ind w:left="471"/>
              <w:rPr>
                <w:rFonts w:ascii="宋体" w:hAnsi="宋体" w:eastAsia="宋体" w:cs="宋体"/>
                <w:sz w:val="20"/>
                <w:szCs w:val="20"/>
              </w:rPr>
            </w:pPr>
            <w:r>
              <w:rPr>
                <w:rFonts w:ascii="宋体" w:hAnsi="宋体" w:eastAsia="宋体" w:cs="宋体"/>
                <w:spacing w:val="-2"/>
                <w:sz w:val="20"/>
                <w:szCs w:val="20"/>
              </w:rPr>
              <w:t>404</w:t>
            </w:r>
          </w:p>
        </w:tc>
        <w:tc>
          <w:tcPr>
            <w:tcW w:w="2927" w:type="dxa"/>
            <w:vAlign w:val="top"/>
          </w:tcPr>
          <w:p w14:paraId="69F07AE0">
            <w:pPr>
              <w:spacing w:before="137" w:line="220" w:lineRule="auto"/>
              <w:ind w:left="93"/>
              <w:rPr>
                <w:rFonts w:ascii="宋体" w:hAnsi="宋体" w:eastAsia="宋体" w:cs="宋体"/>
                <w:sz w:val="20"/>
                <w:szCs w:val="20"/>
              </w:rPr>
            </w:pPr>
            <w:r>
              <w:rPr>
                <w:rFonts w:ascii="宋体" w:hAnsi="宋体" w:eastAsia="宋体" w:cs="宋体"/>
                <w:spacing w:val="-2"/>
                <w:sz w:val="20"/>
                <w:szCs w:val="20"/>
              </w:rPr>
              <w:t>可靠性鉴定试验</w:t>
            </w:r>
          </w:p>
        </w:tc>
        <w:tc>
          <w:tcPr>
            <w:tcW w:w="829" w:type="dxa"/>
            <w:vAlign w:val="top"/>
          </w:tcPr>
          <w:p w14:paraId="02CBEDA2">
            <w:pPr>
              <w:spacing w:before="170"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2BD1061D">
            <w:pPr>
              <w:spacing w:before="157" w:line="268" w:lineRule="exact"/>
              <w:ind w:left="317"/>
              <w:rPr>
                <w:rFonts w:ascii="宋体" w:hAnsi="宋体" w:eastAsia="宋体" w:cs="宋体"/>
                <w:sz w:val="20"/>
                <w:szCs w:val="20"/>
              </w:rPr>
            </w:pPr>
            <w:r>
              <w:rPr>
                <w:rFonts w:ascii="宋体" w:hAnsi="宋体" w:eastAsia="宋体" w:cs="宋体"/>
                <w:position w:val="1"/>
                <w:sz w:val="20"/>
                <w:szCs w:val="20"/>
              </w:rPr>
              <w:t>×</w:t>
            </w:r>
          </w:p>
        </w:tc>
        <w:tc>
          <w:tcPr>
            <w:tcW w:w="1259" w:type="dxa"/>
            <w:vAlign w:val="top"/>
          </w:tcPr>
          <w:p w14:paraId="73AD099A">
            <w:pPr>
              <w:spacing w:before="157"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2D4CF665">
            <w:pPr>
              <w:spacing w:before="188" w:line="183" w:lineRule="auto"/>
              <w:ind w:left="439"/>
              <w:rPr>
                <w:rFonts w:ascii="宋体" w:hAnsi="宋体" w:eastAsia="宋体" w:cs="宋体"/>
                <w:sz w:val="20"/>
                <w:szCs w:val="20"/>
              </w:rPr>
            </w:pPr>
            <w:r>
              <w:rPr>
                <w:rFonts w:ascii="宋体" w:hAnsi="宋体" w:eastAsia="宋体" w:cs="宋体"/>
                <w:sz w:val="20"/>
                <w:szCs w:val="20"/>
              </w:rPr>
              <w:t>O</w:t>
            </w:r>
          </w:p>
        </w:tc>
      </w:tr>
      <w:tr w14:paraId="4A83B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244" w:type="dxa"/>
            <w:vAlign w:val="top"/>
          </w:tcPr>
          <w:p w14:paraId="151C64FD">
            <w:pPr>
              <w:spacing w:before="157" w:line="239" w:lineRule="auto"/>
              <w:ind w:left="464"/>
              <w:rPr>
                <w:rFonts w:ascii="宋体" w:hAnsi="宋体" w:eastAsia="宋体" w:cs="宋体"/>
                <w:sz w:val="20"/>
                <w:szCs w:val="20"/>
              </w:rPr>
            </w:pPr>
            <w:r>
              <w:rPr>
                <w:rFonts w:ascii="宋体" w:hAnsi="宋体" w:eastAsia="宋体" w:cs="宋体"/>
                <w:spacing w:val="-2"/>
                <w:sz w:val="20"/>
                <w:szCs w:val="20"/>
              </w:rPr>
              <w:t>8.5</w:t>
            </w:r>
          </w:p>
        </w:tc>
        <w:tc>
          <w:tcPr>
            <w:tcW w:w="1258" w:type="dxa"/>
            <w:vAlign w:val="top"/>
          </w:tcPr>
          <w:p w14:paraId="4930B422">
            <w:pPr>
              <w:spacing w:before="156"/>
              <w:ind w:left="471"/>
              <w:rPr>
                <w:rFonts w:ascii="宋体" w:hAnsi="宋体" w:eastAsia="宋体" w:cs="宋体"/>
                <w:sz w:val="20"/>
                <w:szCs w:val="20"/>
              </w:rPr>
            </w:pPr>
            <w:r>
              <w:rPr>
                <w:rFonts w:ascii="宋体" w:hAnsi="宋体" w:eastAsia="宋体" w:cs="宋体"/>
                <w:spacing w:val="-2"/>
                <w:sz w:val="20"/>
                <w:szCs w:val="20"/>
              </w:rPr>
              <w:t>405</w:t>
            </w:r>
          </w:p>
        </w:tc>
        <w:tc>
          <w:tcPr>
            <w:tcW w:w="2927" w:type="dxa"/>
            <w:vAlign w:val="top"/>
          </w:tcPr>
          <w:p w14:paraId="3256C3C1">
            <w:pPr>
              <w:spacing w:before="137" w:line="219" w:lineRule="auto"/>
              <w:ind w:left="93"/>
              <w:rPr>
                <w:rFonts w:ascii="宋体" w:hAnsi="宋体" w:eastAsia="宋体" w:cs="宋体"/>
                <w:sz w:val="20"/>
                <w:szCs w:val="20"/>
              </w:rPr>
            </w:pPr>
            <w:r>
              <w:rPr>
                <w:rFonts w:ascii="宋体" w:hAnsi="宋体" w:eastAsia="宋体" w:cs="宋体"/>
                <w:spacing w:val="-2"/>
                <w:sz w:val="20"/>
                <w:szCs w:val="20"/>
              </w:rPr>
              <w:t>可靠性验收试验</w:t>
            </w:r>
          </w:p>
        </w:tc>
        <w:tc>
          <w:tcPr>
            <w:tcW w:w="829" w:type="dxa"/>
            <w:vAlign w:val="top"/>
          </w:tcPr>
          <w:p w14:paraId="3377181A">
            <w:pPr>
              <w:spacing w:before="170"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15A3CFDA">
            <w:pPr>
              <w:spacing w:before="157" w:line="268" w:lineRule="exact"/>
              <w:ind w:left="317"/>
              <w:rPr>
                <w:rFonts w:ascii="宋体" w:hAnsi="宋体" w:eastAsia="宋体" w:cs="宋体"/>
                <w:sz w:val="20"/>
                <w:szCs w:val="20"/>
              </w:rPr>
            </w:pPr>
            <w:r>
              <w:rPr>
                <w:rFonts w:ascii="宋体" w:hAnsi="宋体" w:eastAsia="宋体" w:cs="宋体"/>
                <w:position w:val="1"/>
                <w:sz w:val="20"/>
                <w:szCs w:val="20"/>
              </w:rPr>
              <w:t>×</w:t>
            </w:r>
          </w:p>
        </w:tc>
        <w:tc>
          <w:tcPr>
            <w:tcW w:w="1259" w:type="dxa"/>
            <w:vAlign w:val="top"/>
          </w:tcPr>
          <w:p w14:paraId="0B5B11F5">
            <w:pPr>
              <w:spacing w:before="157" w:line="237"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65BD0857">
            <w:pPr>
              <w:spacing w:before="157" w:line="238" w:lineRule="auto"/>
              <w:ind w:left="389"/>
              <w:rPr>
                <w:rFonts w:ascii="宋体" w:hAnsi="宋体" w:eastAsia="宋体" w:cs="宋体"/>
                <w:sz w:val="20"/>
                <w:szCs w:val="20"/>
              </w:rPr>
            </w:pPr>
            <w:r>
              <w:rPr>
                <w:rFonts w:ascii="宋体" w:hAnsi="宋体" w:eastAsia="宋体" w:cs="宋体"/>
                <w:sz w:val="20"/>
                <w:szCs w:val="20"/>
              </w:rPr>
              <w:t>√</w:t>
            </w:r>
          </w:p>
        </w:tc>
      </w:tr>
      <w:tr w14:paraId="2D5C7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44" w:type="dxa"/>
            <w:vAlign w:val="top"/>
          </w:tcPr>
          <w:p w14:paraId="486C8219">
            <w:pPr>
              <w:spacing w:before="148" w:line="239" w:lineRule="auto"/>
              <w:ind w:left="464"/>
              <w:rPr>
                <w:rFonts w:ascii="宋体" w:hAnsi="宋体" w:eastAsia="宋体" w:cs="宋体"/>
                <w:sz w:val="20"/>
                <w:szCs w:val="20"/>
              </w:rPr>
            </w:pPr>
            <w:r>
              <w:rPr>
                <w:rFonts w:ascii="宋体" w:hAnsi="宋体" w:eastAsia="宋体" w:cs="宋体"/>
                <w:spacing w:val="-2"/>
                <w:sz w:val="20"/>
                <w:szCs w:val="20"/>
              </w:rPr>
              <w:t>8.6</w:t>
            </w:r>
          </w:p>
        </w:tc>
        <w:tc>
          <w:tcPr>
            <w:tcW w:w="1258" w:type="dxa"/>
            <w:vAlign w:val="top"/>
          </w:tcPr>
          <w:p w14:paraId="3653CDDC">
            <w:pPr>
              <w:spacing w:before="147"/>
              <w:ind w:left="471"/>
              <w:rPr>
                <w:rFonts w:ascii="宋体" w:hAnsi="宋体" w:eastAsia="宋体" w:cs="宋体"/>
                <w:sz w:val="20"/>
                <w:szCs w:val="20"/>
              </w:rPr>
            </w:pPr>
            <w:r>
              <w:rPr>
                <w:rFonts w:ascii="宋体" w:hAnsi="宋体" w:eastAsia="宋体" w:cs="宋体"/>
                <w:spacing w:val="-2"/>
                <w:sz w:val="20"/>
                <w:szCs w:val="20"/>
              </w:rPr>
              <w:t>406</w:t>
            </w:r>
          </w:p>
        </w:tc>
        <w:tc>
          <w:tcPr>
            <w:tcW w:w="2927" w:type="dxa"/>
            <w:vAlign w:val="top"/>
          </w:tcPr>
          <w:p w14:paraId="4728D849">
            <w:pPr>
              <w:spacing w:before="126" w:line="218" w:lineRule="auto"/>
              <w:ind w:left="93"/>
              <w:rPr>
                <w:rFonts w:ascii="宋体" w:hAnsi="宋体" w:eastAsia="宋体" w:cs="宋体"/>
                <w:sz w:val="20"/>
                <w:szCs w:val="20"/>
              </w:rPr>
            </w:pPr>
            <w:r>
              <w:rPr>
                <w:rFonts w:ascii="宋体" w:hAnsi="宋体" w:eastAsia="宋体" w:cs="宋体"/>
                <w:spacing w:val="-2"/>
                <w:sz w:val="20"/>
                <w:szCs w:val="20"/>
              </w:rPr>
              <w:t>可靠性分析评价</w:t>
            </w:r>
          </w:p>
        </w:tc>
        <w:tc>
          <w:tcPr>
            <w:tcW w:w="829" w:type="dxa"/>
            <w:vAlign w:val="top"/>
          </w:tcPr>
          <w:p w14:paraId="00AFDC99">
            <w:pPr>
              <w:spacing w:before="171"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7E479B17">
            <w:pPr>
              <w:spacing w:before="148" w:line="268" w:lineRule="exact"/>
              <w:ind w:left="317"/>
              <w:rPr>
                <w:rFonts w:ascii="宋体" w:hAnsi="宋体" w:eastAsia="宋体" w:cs="宋体"/>
                <w:sz w:val="20"/>
                <w:szCs w:val="20"/>
              </w:rPr>
            </w:pPr>
            <w:r>
              <w:rPr>
                <w:rFonts w:ascii="宋体" w:hAnsi="宋体" w:eastAsia="宋体" w:cs="宋体"/>
                <w:position w:val="1"/>
                <w:sz w:val="20"/>
                <w:szCs w:val="20"/>
              </w:rPr>
              <w:t>×</w:t>
            </w:r>
          </w:p>
        </w:tc>
        <w:tc>
          <w:tcPr>
            <w:tcW w:w="1259" w:type="dxa"/>
            <w:vAlign w:val="top"/>
          </w:tcPr>
          <w:p w14:paraId="1EA020C7">
            <w:pPr>
              <w:spacing w:before="148"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2D9AB362">
            <w:pPr>
              <w:spacing w:before="148" w:line="238" w:lineRule="auto"/>
              <w:ind w:left="389"/>
              <w:rPr>
                <w:rFonts w:ascii="宋体" w:hAnsi="宋体" w:eastAsia="宋体" w:cs="宋体"/>
                <w:sz w:val="20"/>
                <w:szCs w:val="20"/>
              </w:rPr>
            </w:pPr>
            <w:r>
              <w:rPr>
                <w:rFonts w:ascii="宋体" w:hAnsi="宋体" w:eastAsia="宋体" w:cs="宋体"/>
                <w:sz w:val="20"/>
                <w:szCs w:val="20"/>
              </w:rPr>
              <w:t>√</w:t>
            </w:r>
          </w:p>
        </w:tc>
      </w:tr>
      <w:tr w14:paraId="5B0C1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1244" w:type="dxa"/>
            <w:vAlign w:val="top"/>
          </w:tcPr>
          <w:p w14:paraId="0DC02137">
            <w:pPr>
              <w:spacing w:before="148" w:line="239" w:lineRule="auto"/>
              <w:ind w:left="464"/>
              <w:rPr>
                <w:rFonts w:ascii="宋体" w:hAnsi="宋体" w:eastAsia="宋体" w:cs="宋体"/>
                <w:sz w:val="20"/>
                <w:szCs w:val="20"/>
              </w:rPr>
            </w:pPr>
            <w:r>
              <w:rPr>
                <w:rFonts w:ascii="宋体" w:hAnsi="宋体" w:eastAsia="宋体" w:cs="宋体"/>
                <w:spacing w:val="-2"/>
                <w:sz w:val="20"/>
                <w:szCs w:val="20"/>
              </w:rPr>
              <w:t>8.7</w:t>
            </w:r>
          </w:p>
        </w:tc>
        <w:tc>
          <w:tcPr>
            <w:tcW w:w="1258" w:type="dxa"/>
            <w:vAlign w:val="top"/>
          </w:tcPr>
          <w:p w14:paraId="1A13B2DF">
            <w:pPr>
              <w:spacing w:before="147"/>
              <w:ind w:left="471"/>
              <w:rPr>
                <w:rFonts w:ascii="宋体" w:hAnsi="宋体" w:eastAsia="宋体" w:cs="宋体"/>
                <w:sz w:val="20"/>
                <w:szCs w:val="20"/>
              </w:rPr>
            </w:pPr>
            <w:r>
              <w:rPr>
                <w:rFonts w:ascii="宋体" w:hAnsi="宋体" w:eastAsia="宋体" w:cs="宋体"/>
                <w:spacing w:val="-2"/>
                <w:sz w:val="20"/>
                <w:szCs w:val="20"/>
              </w:rPr>
              <w:t>407</w:t>
            </w:r>
          </w:p>
        </w:tc>
        <w:tc>
          <w:tcPr>
            <w:tcW w:w="2927" w:type="dxa"/>
            <w:vAlign w:val="top"/>
          </w:tcPr>
          <w:p w14:paraId="1FFA4488">
            <w:pPr>
              <w:spacing w:before="128" w:line="220" w:lineRule="auto"/>
              <w:ind w:left="93"/>
              <w:rPr>
                <w:rFonts w:ascii="宋体" w:hAnsi="宋体" w:eastAsia="宋体" w:cs="宋体"/>
                <w:sz w:val="20"/>
                <w:szCs w:val="20"/>
              </w:rPr>
            </w:pPr>
            <w:r>
              <w:rPr>
                <w:rFonts w:ascii="宋体" w:hAnsi="宋体" w:eastAsia="宋体" w:cs="宋体"/>
                <w:spacing w:val="-2"/>
                <w:sz w:val="20"/>
                <w:szCs w:val="20"/>
              </w:rPr>
              <w:t>寿命试验</w:t>
            </w:r>
          </w:p>
        </w:tc>
        <w:tc>
          <w:tcPr>
            <w:tcW w:w="829" w:type="dxa"/>
            <w:vAlign w:val="top"/>
          </w:tcPr>
          <w:p w14:paraId="4A65765E">
            <w:pPr>
              <w:spacing w:before="171"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17615679">
            <w:pPr>
              <w:spacing w:before="148" w:line="268" w:lineRule="exact"/>
              <w:ind w:left="317"/>
              <w:rPr>
                <w:rFonts w:ascii="宋体" w:hAnsi="宋体" w:eastAsia="宋体" w:cs="宋体"/>
                <w:sz w:val="20"/>
                <w:szCs w:val="20"/>
              </w:rPr>
            </w:pPr>
            <w:r>
              <w:rPr>
                <w:rFonts w:ascii="宋体" w:hAnsi="宋体" w:eastAsia="宋体" w:cs="宋体"/>
                <w:position w:val="1"/>
                <w:sz w:val="20"/>
                <w:szCs w:val="20"/>
              </w:rPr>
              <w:t>×</w:t>
            </w:r>
          </w:p>
        </w:tc>
        <w:tc>
          <w:tcPr>
            <w:tcW w:w="1259" w:type="dxa"/>
            <w:vAlign w:val="top"/>
          </w:tcPr>
          <w:p w14:paraId="15773274">
            <w:pPr>
              <w:spacing w:before="148" w:line="238" w:lineRule="auto"/>
              <w:ind w:left="528"/>
              <w:rPr>
                <w:rFonts w:ascii="宋体" w:hAnsi="宋体" w:eastAsia="宋体" w:cs="宋体"/>
                <w:sz w:val="20"/>
                <w:szCs w:val="20"/>
              </w:rPr>
            </w:pPr>
            <w:r>
              <w:rPr>
                <w:rFonts w:ascii="宋体" w:hAnsi="宋体" w:eastAsia="宋体" w:cs="宋体"/>
                <w:sz w:val="20"/>
                <w:szCs w:val="20"/>
              </w:rPr>
              <w:t>√</w:t>
            </w:r>
          </w:p>
        </w:tc>
        <w:tc>
          <w:tcPr>
            <w:tcW w:w="994" w:type="dxa"/>
            <w:vAlign w:val="top"/>
          </w:tcPr>
          <w:p w14:paraId="164BFAB0">
            <w:pPr>
              <w:spacing w:before="148" w:line="237" w:lineRule="auto"/>
              <w:ind w:left="389"/>
              <w:rPr>
                <w:rFonts w:ascii="宋体" w:hAnsi="宋体" w:eastAsia="宋体" w:cs="宋体"/>
                <w:sz w:val="20"/>
                <w:szCs w:val="20"/>
              </w:rPr>
            </w:pPr>
            <w:r>
              <w:rPr>
                <w:rFonts w:ascii="宋体" w:hAnsi="宋体" w:eastAsia="宋体" w:cs="宋体"/>
                <w:sz w:val="20"/>
                <w:szCs w:val="20"/>
              </w:rPr>
              <w:t>△</w:t>
            </w:r>
          </w:p>
        </w:tc>
      </w:tr>
    </w:tbl>
    <w:p w14:paraId="0733CE73">
      <w:pPr>
        <w:spacing w:line="228" w:lineRule="exact"/>
        <w:rPr>
          <w:rFonts w:ascii="Arial"/>
          <w:sz w:val="19"/>
        </w:rPr>
      </w:pPr>
    </w:p>
    <w:p w14:paraId="605E9F6E">
      <w:pPr>
        <w:spacing w:line="228" w:lineRule="exact"/>
        <w:rPr>
          <w:rFonts w:ascii="Arial" w:hAnsi="Arial" w:eastAsia="Arial" w:cs="Arial"/>
          <w:sz w:val="19"/>
          <w:szCs w:val="19"/>
        </w:rPr>
        <w:sectPr>
          <w:footerReference r:id="rId357" w:type="default"/>
          <w:pgSz w:w="11910" w:h="17130"/>
          <w:pgMar w:top="1363" w:right="974" w:bottom="1716" w:left="1574" w:header="0" w:footer="1527" w:gutter="0"/>
          <w:cols w:space="720" w:num="1"/>
        </w:sectPr>
      </w:pPr>
    </w:p>
    <w:p w14:paraId="387FDC1F">
      <w:pPr>
        <w:pStyle w:val="2"/>
        <w:spacing w:before="44" w:line="220" w:lineRule="auto"/>
        <w:ind w:left="8700"/>
        <w:rPr>
          <w:sz w:val="22"/>
          <w:szCs w:val="22"/>
        </w:rPr>
      </w:pPr>
      <w:r>
        <w:rPr>
          <w:spacing w:val="-20"/>
          <w:sz w:val="22"/>
          <w:szCs w:val="22"/>
        </w:rPr>
        <w:t>(</w:t>
      </w:r>
      <w:r>
        <w:rPr>
          <w:spacing w:val="-46"/>
          <w:sz w:val="22"/>
          <w:szCs w:val="22"/>
        </w:rPr>
        <w:t xml:space="preserve"> </w:t>
      </w:r>
      <w:r>
        <w:rPr>
          <w:spacing w:val="-20"/>
          <w:sz w:val="22"/>
          <w:szCs w:val="22"/>
        </w:rPr>
        <w:t>续</w:t>
      </w:r>
      <w:r>
        <w:rPr>
          <w:spacing w:val="-48"/>
          <w:sz w:val="22"/>
          <w:szCs w:val="22"/>
        </w:rPr>
        <w:t xml:space="preserve"> </w:t>
      </w:r>
      <w:r>
        <w:rPr>
          <w:spacing w:val="-20"/>
          <w:sz w:val="22"/>
          <w:szCs w:val="22"/>
        </w:rPr>
        <w:t>)</w:t>
      </w:r>
    </w:p>
    <w:p w14:paraId="32D566ED">
      <w:pPr>
        <w:spacing w:line="173" w:lineRule="exact"/>
      </w:pPr>
    </w:p>
    <w:tbl>
      <w:tblPr>
        <w:tblStyle w:val="5"/>
        <w:tblW w:w="936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3"/>
        <w:gridCol w:w="1249"/>
        <w:gridCol w:w="2937"/>
        <w:gridCol w:w="829"/>
        <w:gridCol w:w="839"/>
        <w:gridCol w:w="1258"/>
        <w:gridCol w:w="1004"/>
      </w:tblGrid>
      <w:tr w14:paraId="681B5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2" w:hRule="atLeast"/>
        </w:trPr>
        <w:tc>
          <w:tcPr>
            <w:tcW w:w="1253" w:type="dxa"/>
            <w:vAlign w:val="top"/>
          </w:tcPr>
          <w:p w14:paraId="4ADD80A3">
            <w:pPr>
              <w:spacing w:before="161" w:line="300" w:lineRule="auto"/>
              <w:ind w:left="214" w:right="215"/>
              <w:rPr>
                <w:rFonts w:ascii="宋体" w:hAnsi="宋体" w:eastAsia="宋体" w:cs="宋体"/>
                <w:sz w:val="20"/>
                <w:szCs w:val="20"/>
              </w:rPr>
            </w:pPr>
            <w:r>
              <w:rPr>
                <w:rFonts w:ascii="宋体" w:hAnsi="宋体" w:eastAsia="宋体" w:cs="宋体"/>
                <w:spacing w:val="-2"/>
                <w:sz w:val="20"/>
                <w:szCs w:val="20"/>
              </w:rPr>
              <w:t>GJB</w:t>
            </w:r>
            <w:r>
              <w:rPr>
                <w:rFonts w:ascii="宋体" w:hAnsi="宋体" w:eastAsia="宋体" w:cs="宋体"/>
                <w:spacing w:val="7"/>
                <w:sz w:val="20"/>
                <w:szCs w:val="20"/>
              </w:rPr>
              <w:t xml:space="preserve"> </w:t>
            </w:r>
            <w:r>
              <w:rPr>
                <w:rFonts w:ascii="宋体" w:hAnsi="宋体" w:eastAsia="宋体" w:cs="宋体"/>
                <w:spacing w:val="-2"/>
                <w:sz w:val="20"/>
                <w:szCs w:val="20"/>
              </w:rPr>
              <w:t>450A</w:t>
            </w:r>
            <w:r>
              <w:rPr>
                <w:rFonts w:ascii="宋体" w:hAnsi="宋体" w:eastAsia="宋体" w:cs="宋体"/>
                <w:sz w:val="20"/>
                <w:szCs w:val="20"/>
              </w:rPr>
              <w:t xml:space="preserve"> </w:t>
            </w:r>
            <w:r>
              <w:rPr>
                <w:rFonts w:ascii="宋体" w:hAnsi="宋体" w:eastAsia="宋体" w:cs="宋体"/>
                <w:spacing w:val="3"/>
                <w:sz w:val="20"/>
                <w:szCs w:val="20"/>
              </w:rPr>
              <w:t>条款编号</w:t>
            </w:r>
          </w:p>
        </w:tc>
        <w:tc>
          <w:tcPr>
            <w:tcW w:w="1249" w:type="dxa"/>
            <w:vAlign w:val="top"/>
          </w:tcPr>
          <w:p w14:paraId="3B9B63C9">
            <w:pPr>
              <w:spacing w:before="143" w:line="306" w:lineRule="auto"/>
              <w:ind w:left="411" w:right="188" w:hanging="200"/>
              <w:rPr>
                <w:rFonts w:ascii="宋体" w:hAnsi="宋体" w:eastAsia="宋体" w:cs="宋体"/>
                <w:sz w:val="20"/>
                <w:szCs w:val="20"/>
              </w:rPr>
            </w:pPr>
            <w:r>
              <w:rPr>
                <w:rFonts w:ascii="宋体" w:hAnsi="宋体" w:eastAsia="宋体" w:cs="宋体"/>
                <w:spacing w:val="9"/>
                <w:sz w:val="20"/>
                <w:szCs w:val="20"/>
              </w:rPr>
              <w:t>工作项目</w:t>
            </w:r>
            <w:r>
              <w:rPr>
                <w:rFonts w:ascii="宋体" w:hAnsi="宋体" w:eastAsia="宋体" w:cs="宋体"/>
                <w:spacing w:val="1"/>
                <w:sz w:val="20"/>
                <w:szCs w:val="20"/>
              </w:rPr>
              <w:t xml:space="preserve"> </w:t>
            </w:r>
            <w:r>
              <w:rPr>
                <w:rFonts w:ascii="宋体" w:hAnsi="宋体" w:eastAsia="宋体" w:cs="宋体"/>
                <w:spacing w:val="6"/>
                <w:sz w:val="20"/>
                <w:szCs w:val="20"/>
              </w:rPr>
              <w:t>编号</w:t>
            </w:r>
          </w:p>
        </w:tc>
        <w:tc>
          <w:tcPr>
            <w:tcW w:w="2937" w:type="dxa"/>
            <w:vAlign w:val="top"/>
          </w:tcPr>
          <w:p w14:paraId="4A3E8B3A">
            <w:pPr>
              <w:pStyle w:val="6"/>
              <w:spacing w:line="247" w:lineRule="auto"/>
            </w:pPr>
          </w:p>
          <w:p w14:paraId="6E8DC335">
            <w:pPr>
              <w:spacing w:before="65" w:line="220" w:lineRule="auto"/>
              <w:ind w:left="852"/>
              <w:rPr>
                <w:rFonts w:ascii="宋体" w:hAnsi="宋体" w:eastAsia="宋体" w:cs="宋体"/>
                <w:sz w:val="20"/>
                <w:szCs w:val="20"/>
              </w:rPr>
            </w:pPr>
            <w:r>
              <w:rPr>
                <w:rFonts w:ascii="宋体" w:hAnsi="宋体" w:eastAsia="宋体" w:cs="宋体"/>
                <w:spacing w:val="1"/>
                <w:sz w:val="20"/>
                <w:szCs w:val="20"/>
              </w:rPr>
              <w:t>工作项目名称</w:t>
            </w:r>
          </w:p>
        </w:tc>
        <w:tc>
          <w:tcPr>
            <w:tcW w:w="829" w:type="dxa"/>
            <w:vAlign w:val="top"/>
          </w:tcPr>
          <w:p w14:paraId="361AA1D3">
            <w:pPr>
              <w:spacing w:before="130" w:line="227" w:lineRule="auto"/>
              <w:ind w:left="205"/>
              <w:rPr>
                <w:rFonts w:ascii="宋体" w:hAnsi="宋体" w:eastAsia="宋体" w:cs="宋体"/>
                <w:sz w:val="20"/>
                <w:szCs w:val="20"/>
              </w:rPr>
            </w:pPr>
            <w:r>
              <w:rPr>
                <w:rFonts w:ascii="宋体" w:hAnsi="宋体" w:eastAsia="宋体" w:cs="宋体"/>
                <w:spacing w:val="-3"/>
                <w:sz w:val="20"/>
                <w:szCs w:val="20"/>
              </w:rPr>
              <w:t>论证</w:t>
            </w:r>
          </w:p>
          <w:p w14:paraId="62B7593F">
            <w:pPr>
              <w:spacing w:before="98" w:line="221" w:lineRule="auto"/>
              <w:ind w:left="205"/>
              <w:rPr>
                <w:rFonts w:ascii="宋体" w:hAnsi="宋体" w:eastAsia="宋体" w:cs="宋体"/>
                <w:sz w:val="20"/>
                <w:szCs w:val="20"/>
              </w:rPr>
            </w:pPr>
            <w:r>
              <w:rPr>
                <w:rFonts w:ascii="宋体" w:hAnsi="宋体" w:eastAsia="宋体" w:cs="宋体"/>
                <w:spacing w:val="3"/>
                <w:sz w:val="20"/>
                <w:szCs w:val="20"/>
              </w:rPr>
              <w:t>阶段</w:t>
            </w:r>
          </w:p>
        </w:tc>
        <w:tc>
          <w:tcPr>
            <w:tcW w:w="839" w:type="dxa"/>
            <w:vAlign w:val="top"/>
          </w:tcPr>
          <w:p w14:paraId="5020C84B">
            <w:pPr>
              <w:spacing w:before="113" w:line="220" w:lineRule="auto"/>
              <w:ind w:left="216"/>
              <w:rPr>
                <w:rFonts w:ascii="宋体" w:hAnsi="宋体" w:eastAsia="宋体" w:cs="宋体"/>
                <w:sz w:val="20"/>
                <w:szCs w:val="20"/>
              </w:rPr>
            </w:pPr>
            <w:r>
              <w:rPr>
                <w:rFonts w:ascii="宋体" w:hAnsi="宋体" w:eastAsia="宋体" w:cs="宋体"/>
                <w:spacing w:val="-3"/>
                <w:sz w:val="20"/>
                <w:szCs w:val="20"/>
              </w:rPr>
              <w:t>方案</w:t>
            </w:r>
          </w:p>
          <w:p w14:paraId="7498B118">
            <w:pPr>
              <w:spacing w:before="112" w:line="221" w:lineRule="auto"/>
              <w:ind w:left="216"/>
              <w:rPr>
                <w:rFonts w:ascii="宋体" w:hAnsi="宋体" w:eastAsia="宋体" w:cs="宋体"/>
                <w:sz w:val="20"/>
                <w:szCs w:val="20"/>
              </w:rPr>
            </w:pPr>
            <w:r>
              <w:rPr>
                <w:rFonts w:ascii="宋体" w:hAnsi="宋体" w:eastAsia="宋体" w:cs="宋体"/>
                <w:spacing w:val="3"/>
                <w:sz w:val="20"/>
                <w:szCs w:val="20"/>
              </w:rPr>
              <w:t>阶段</w:t>
            </w:r>
          </w:p>
        </w:tc>
        <w:tc>
          <w:tcPr>
            <w:tcW w:w="1258" w:type="dxa"/>
            <w:vAlign w:val="top"/>
          </w:tcPr>
          <w:p w14:paraId="4E5C049C">
            <w:pPr>
              <w:spacing w:before="143" w:line="307" w:lineRule="auto"/>
              <w:ind w:left="227" w:right="103" w:hanging="100"/>
              <w:rPr>
                <w:rFonts w:ascii="宋体" w:hAnsi="宋体" w:eastAsia="宋体" w:cs="宋体"/>
                <w:sz w:val="20"/>
                <w:szCs w:val="20"/>
              </w:rPr>
            </w:pPr>
            <w:r>
              <w:rPr>
                <w:rFonts w:ascii="宋体" w:hAnsi="宋体" w:eastAsia="宋体" w:cs="宋体"/>
                <w:spacing w:val="3"/>
                <w:sz w:val="20"/>
                <w:szCs w:val="20"/>
              </w:rPr>
              <w:t>工程研制与</w:t>
            </w:r>
            <w:r>
              <w:rPr>
                <w:rFonts w:ascii="宋体" w:hAnsi="宋体" w:eastAsia="宋体" w:cs="宋体"/>
                <w:sz w:val="20"/>
                <w:szCs w:val="20"/>
              </w:rPr>
              <w:t xml:space="preserve"> </w:t>
            </w:r>
            <w:r>
              <w:rPr>
                <w:rFonts w:ascii="宋体" w:hAnsi="宋体" w:eastAsia="宋体" w:cs="宋体"/>
                <w:spacing w:val="1"/>
                <w:sz w:val="20"/>
                <w:szCs w:val="20"/>
              </w:rPr>
              <w:t>定型阶段</w:t>
            </w:r>
          </w:p>
        </w:tc>
        <w:tc>
          <w:tcPr>
            <w:tcW w:w="1004" w:type="dxa"/>
            <w:vAlign w:val="top"/>
          </w:tcPr>
          <w:p w14:paraId="56E2F041">
            <w:pPr>
              <w:spacing w:before="122" w:line="318" w:lineRule="auto"/>
              <w:ind w:left="199" w:right="103" w:hanging="100"/>
              <w:rPr>
                <w:rFonts w:ascii="宋体" w:hAnsi="宋体" w:eastAsia="宋体" w:cs="宋体"/>
                <w:sz w:val="20"/>
                <w:szCs w:val="20"/>
              </w:rPr>
            </w:pPr>
            <w:r>
              <w:rPr>
                <w:rFonts w:ascii="宋体" w:hAnsi="宋体" w:eastAsia="宋体" w:cs="宋体"/>
                <w:spacing w:val="-3"/>
                <w:sz w:val="20"/>
                <w:szCs w:val="20"/>
              </w:rPr>
              <w:t>生产与使</w:t>
            </w:r>
            <w:r>
              <w:rPr>
                <w:rFonts w:ascii="宋体" w:hAnsi="宋体" w:eastAsia="宋体" w:cs="宋体"/>
                <w:spacing w:val="1"/>
                <w:sz w:val="20"/>
                <w:szCs w:val="20"/>
              </w:rPr>
              <w:t xml:space="preserve"> </w:t>
            </w:r>
            <w:r>
              <w:rPr>
                <w:rFonts w:ascii="宋体" w:hAnsi="宋体" w:eastAsia="宋体" w:cs="宋体"/>
                <w:spacing w:val="-3"/>
                <w:sz w:val="20"/>
                <w:szCs w:val="20"/>
              </w:rPr>
              <w:t>用阶段</w:t>
            </w:r>
          </w:p>
        </w:tc>
      </w:tr>
      <w:tr w14:paraId="06B6C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253" w:type="dxa"/>
            <w:vAlign w:val="top"/>
          </w:tcPr>
          <w:p w14:paraId="01F4901F">
            <w:pPr>
              <w:spacing w:before="140" w:line="239" w:lineRule="auto"/>
              <w:ind w:left="464"/>
              <w:rPr>
                <w:rFonts w:ascii="宋体" w:hAnsi="宋体" w:eastAsia="宋体" w:cs="宋体"/>
                <w:sz w:val="20"/>
                <w:szCs w:val="20"/>
              </w:rPr>
            </w:pPr>
            <w:r>
              <w:rPr>
                <w:rFonts w:ascii="宋体" w:hAnsi="宋体" w:eastAsia="宋体" w:cs="宋体"/>
                <w:spacing w:val="-2"/>
                <w:sz w:val="20"/>
                <w:szCs w:val="20"/>
              </w:rPr>
              <w:t>9.1</w:t>
            </w:r>
          </w:p>
        </w:tc>
        <w:tc>
          <w:tcPr>
            <w:tcW w:w="1249" w:type="dxa"/>
            <w:vAlign w:val="top"/>
          </w:tcPr>
          <w:p w14:paraId="15793B04">
            <w:pPr>
              <w:spacing w:before="140"/>
              <w:ind w:left="461"/>
              <w:rPr>
                <w:rFonts w:ascii="宋体" w:hAnsi="宋体" w:eastAsia="宋体" w:cs="宋体"/>
                <w:sz w:val="20"/>
                <w:szCs w:val="20"/>
              </w:rPr>
            </w:pPr>
            <w:r>
              <w:rPr>
                <w:rFonts w:ascii="宋体" w:hAnsi="宋体" w:eastAsia="宋体" w:cs="宋体"/>
                <w:spacing w:val="-3"/>
                <w:sz w:val="20"/>
                <w:szCs w:val="20"/>
              </w:rPr>
              <w:t>501</w:t>
            </w:r>
          </w:p>
        </w:tc>
        <w:tc>
          <w:tcPr>
            <w:tcW w:w="2937" w:type="dxa"/>
            <w:vAlign w:val="top"/>
          </w:tcPr>
          <w:p w14:paraId="573FDA42">
            <w:pPr>
              <w:spacing w:before="121" w:line="219" w:lineRule="auto"/>
              <w:ind w:left="102"/>
              <w:rPr>
                <w:rFonts w:ascii="宋体" w:hAnsi="宋体" w:eastAsia="宋体" w:cs="宋体"/>
                <w:sz w:val="20"/>
                <w:szCs w:val="20"/>
              </w:rPr>
            </w:pPr>
            <w:r>
              <w:rPr>
                <w:rFonts w:ascii="宋体" w:hAnsi="宋体" w:eastAsia="宋体" w:cs="宋体"/>
                <w:spacing w:val="-1"/>
                <w:sz w:val="20"/>
                <w:szCs w:val="20"/>
              </w:rPr>
              <w:t>使用可靠性信息收集</w:t>
            </w:r>
          </w:p>
        </w:tc>
        <w:tc>
          <w:tcPr>
            <w:tcW w:w="829" w:type="dxa"/>
            <w:vAlign w:val="top"/>
          </w:tcPr>
          <w:p w14:paraId="6257D7A1">
            <w:pPr>
              <w:spacing w:before="164" w:line="201" w:lineRule="exact"/>
              <w:ind w:left="335"/>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4CBE8CE8">
            <w:pPr>
              <w:spacing w:before="164"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258" w:type="dxa"/>
            <w:vAlign w:val="top"/>
          </w:tcPr>
          <w:p w14:paraId="2BDB6E8E">
            <w:pPr>
              <w:spacing w:before="164" w:line="201" w:lineRule="exact"/>
              <w:ind w:left="547"/>
              <w:rPr>
                <w:rFonts w:ascii="宋体" w:hAnsi="宋体" w:eastAsia="宋体" w:cs="宋体"/>
                <w:sz w:val="15"/>
                <w:szCs w:val="15"/>
              </w:rPr>
            </w:pPr>
            <w:r>
              <w:rPr>
                <w:rFonts w:ascii="宋体" w:hAnsi="宋体" w:eastAsia="宋体" w:cs="宋体"/>
                <w:position w:val="1"/>
                <w:sz w:val="15"/>
                <w:szCs w:val="15"/>
              </w:rPr>
              <w:t>×</w:t>
            </w:r>
          </w:p>
        </w:tc>
        <w:tc>
          <w:tcPr>
            <w:tcW w:w="1004" w:type="dxa"/>
            <w:vAlign w:val="top"/>
          </w:tcPr>
          <w:p w14:paraId="4123020F">
            <w:pPr>
              <w:spacing w:before="141" w:line="238" w:lineRule="auto"/>
              <w:ind w:left="399"/>
              <w:rPr>
                <w:rFonts w:ascii="宋体" w:hAnsi="宋体" w:eastAsia="宋体" w:cs="宋体"/>
                <w:sz w:val="20"/>
                <w:szCs w:val="20"/>
              </w:rPr>
            </w:pPr>
            <w:r>
              <w:rPr>
                <w:rFonts w:ascii="宋体" w:hAnsi="宋体" w:eastAsia="宋体" w:cs="宋体"/>
                <w:sz w:val="20"/>
                <w:szCs w:val="20"/>
              </w:rPr>
              <w:t>√</w:t>
            </w:r>
          </w:p>
        </w:tc>
      </w:tr>
      <w:tr w14:paraId="13859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253" w:type="dxa"/>
            <w:vAlign w:val="top"/>
          </w:tcPr>
          <w:p w14:paraId="7E12E3C5">
            <w:pPr>
              <w:spacing w:before="142" w:line="239" w:lineRule="auto"/>
              <w:ind w:left="464"/>
              <w:rPr>
                <w:rFonts w:ascii="宋体" w:hAnsi="宋体" w:eastAsia="宋体" w:cs="宋体"/>
                <w:sz w:val="20"/>
                <w:szCs w:val="20"/>
              </w:rPr>
            </w:pPr>
            <w:r>
              <w:rPr>
                <w:rFonts w:ascii="宋体" w:hAnsi="宋体" w:eastAsia="宋体" w:cs="宋体"/>
                <w:spacing w:val="-2"/>
                <w:sz w:val="20"/>
                <w:szCs w:val="20"/>
              </w:rPr>
              <w:t>9.2</w:t>
            </w:r>
          </w:p>
        </w:tc>
        <w:tc>
          <w:tcPr>
            <w:tcW w:w="1249" w:type="dxa"/>
            <w:vAlign w:val="top"/>
          </w:tcPr>
          <w:p w14:paraId="58FE1632">
            <w:pPr>
              <w:spacing w:before="142"/>
              <w:ind w:left="461"/>
              <w:rPr>
                <w:rFonts w:ascii="宋体" w:hAnsi="宋体" w:eastAsia="宋体" w:cs="宋体"/>
                <w:sz w:val="20"/>
                <w:szCs w:val="20"/>
              </w:rPr>
            </w:pPr>
            <w:r>
              <w:rPr>
                <w:rFonts w:ascii="宋体" w:hAnsi="宋体" w:eastAsia="宋体" w:cs="宋体"/>
                <w:spacing w:val="-3"/>
                <w:sz w:val="20"/>
                <w:szCs w:val="20"/>
              </w:rPr>
              <w:t>502</w:t>
            </w:r>
          </w:p>
        </w:tc>
        <w:tc>
          <w:tcPr>
            <w:tcW w:w="2937" w:type="dxa"/>
            <w:vAlign w:val="top"/>
          </w:tcPr>
          <w:p w14:paraId="48FF6803">
            <w:pPr>
              <w:spacing w:before="121" w:line="218" w:lineRule="auto"/>
              <w:ind w:left="102"/>
              <w:rPr>
                <w:rFonts w:ascii="宋体" w:hAnsi="宋体" w:eastAsia="宋体" w:cs="宋体"/>
                <w:sz w:val="20"/>
                <w:szCs w:val="20"/>
              </w:rPr>
            </w:pPr>
            <w:r>
              <w:rPr>
                <w:rFonts w:ascii="宋体" w:hAnsi="宋体" w:eastAsia="宋体" w:cs="宋体"/>
                <w:spacing w:val="-2"/>
                <w:sz w:val="20"/>
                <w:szCs w:val="20"/>
              </w:rPr>
              <w:t>使用可靠性评估</w:t>
            </w:r>
          </w:p>
        </w:tc>
        <w:tc>
          <w:tcPr>
            <w:tcW w:w="829" w:type="dxa"/>
            <w:vAlign w:val="top"/>
          </w:tcPr>
          <w:p w14:paraId="56B5BF73">
            <w:pPr>
              <w:spacing w:before="166" w:line="201" w:lineRule="exact"/>
              <w:ind w:left="335"/>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0562AEB4">
            <w:pPr>
              <w:spacing w:before="166"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258" w:type="dxa"/>
            <w:vAlign w:val="top"/>
          </w:tcPr>
          <w:p w14:paraId="6318E74A">
            <w:pPr>
              <w:spacing w:before="166" w:line="201" w:lineRule="exact"/>
              <w:ind w:left="547"/>
              <w:rPr>
                <w:rFonts w:ascii="宋体" w:hAnsi="宋体" w:eastAsia="宋体" w:cs="宋体"/>
                <w:sz w:val="15"/>
                <w:szCs w:val="15"/>
              </w:rPr>
            </w:pPr>
            <w:r>
              <w:rPr>
                <w:rFonts w:ascii="宋体" w:hAnsi="宋体" w:eastAsia="宋体" w:cs="宋体"/>
                <w:position w:val="1"/>
                <w:sz w:val="15"/>
                <w:szCs w:val="15"/>
              </w:rPr>
              <w:t>×</w:t>
            </w:r>
          </w:p>
        </w:tc>
        <w:tc>
          <w:tcPr>
            <w:tcW w:w="1004" w:type="dxa"/>
            <w:vAlign w:val="top"/>
          </w:tcPr>
          <w:p w14:paraId="182DE984">
            <w:pPr>
              <w:spacing w:before="143" w:line="238" w:lineRule="auto"/>
              <w:ind w:left="399"/>
              <w:rPr>
                <w:rFonts w:ascii="宋体" w:hAnsi="宋体" w:eastAsia="宋体" w:cs="宋体"/>
                <w:sz w:val="20"/>
                <w:szCs w:val="20"/>
              </w:rPr>
            </w:pPr>
            <w:r>
              <w:rPr>
                <w:rFonts w:ascii="宋体" w:hAnsi="宋体" w:eastAsia="宋体" w:cs="宋体"/>
                <w:sz w:val="20"/>
                <w:szCs w:val="20"/>
              </w:rPr>
              <w:t>√</w:t>
            </w:r>
          </w:p>
        </w:tc>
      </w:tr>
      <w:tr w14:paraId="6C32E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253" w:type="dxa"/>
            <w:vAlign w:val="top"/>
          </w:tcPr>
          <w:p w14:paraId="4C98EE8B">
            <w:pPr>
              <w:spacing w:before="144" w:line="239" w:lineRule="auto"/>
              <w:ind w:left="464"/>
              <w:rPr>
                <w:rFonts w:ascii="宋体" w:hAnsi="宋体" w:eastAsia="宋体" w:cs="宋体"/>
                <w:sz w:val="20"/>
                <w:szCs w:val="20"/>
              </w:rPr>
            </w:pPr>
            <w:r>
              <w:rPr>
                <w:rFonts w:ascii="宋体" w:hAnsi="宋体" w:eastAsia="宋体" w:cs="宋体"/>
                <w:spacing w:val="-2"/>
                <w:sz w:val="20"/>
                <w:szCs w:val="20"/>
              </w:rPr>
              <w:t>9.3</w:t>
            </w:r>
          </w:p>
        </w:tc>
        <w:tc>
          <w:tcPr>
            <w:tcW w:w="1249" w:type="dxa"/>
            <w:vAlign w:val="top"/>
          </w:tcPr>
          <w:p w14:paraId="26DB3514">
            <w:pPr>
              <w:spacing w:before="144"/>
              <w:ind w:left="461"/>
              <w:rPr>
                <w:rFonts w:ascii="宋体" w:hAnsi="宋体" w:eastAsia="宋体" w:cs="宋体"/>
                <w:sz w:val="20"/>
                <w:szCs w:val="20"/>
              </w:rPr>
            </w:pPr>
            <w:r>
              <w:rPr>
                <w:rFonts w:ascii="宋体" w:hAnsi="宋体" w:eastAsia="宋体" w:cs="宋体"/>
                <w:spacing w:val="-3"/>
                <w:sz w:val="20"/>
                <w:szCs w:val="20"/>
              </w:rPr>
              <w:t>503</w:t>
            </w:r>
          </w:p>
        </w:tc>
        <w:tc>
          <w:tcPr>
            <w:tcW w:w="2937" w:type="dxa"/>
            <w:vAlign w:val="top"/>
          </w:tcPr>
          <w:p w14:paraId="72E737E9">
            <w:pPr>
              <w:spacing w:before="125" w:line="219" w:lineRule="auto"/>
              <w:ind w:left="102"/>
              <w:rPr>
                <w:rFonts w:ascii="宋体" w:hAnsi="宋体" w:eastAsia="宋体" w:cs="宋体"/>
                <w:sz w:val="20"/>
                <w:szCs w:val="20"/>
              </w:rPr>
            </w:pPr>
            <w:r>
              <w:rPr>
                <w:rFonts w:ascii="宋体" w:hAnsi="宋体" w:eastAsia="宋体" w:cs="宋体"/>
                <w:spacing w:val="-2"/>
                <w:sz w:val="20"/>
                <w:szCs w:val="20"/>
              </w:rPr>
              <w:t>使用可靠性改进</w:t>
            </w:r>
          </w:p>
        </w:tc>
        <w:tc>
          <w:tcPr>
            <w:tcW w:w="829" w:type="dxa"/>
            <w:vAlign w:val="top"/>
          </w:tcPr>
          <w:p w14:paraId="360E0397">
            <w:pPr>
              <w:spacing w:before="168" w:line="201" w:lineRule="exact"/>
              <w:ind w:left="335"/>
              <w:rPr>
                <w:rFonts w:ascii="宋体" w:hAnsi="宋体" w:eastAsia="宋体" w:cs="宋体"/>
                <w:sz w:val="15"/>
                <w:szCs w:val="15"/>
              </w:rPr>
            </w:pPr>
            <w:r>
              <w:rPr>
                <w:rFonts w:ascii="宋体" w:hAnsi="宋体" w:eastAsia="宋体" w:cs="宋体"/>
                <w:position w:val="1"/>
                <w:sz w:val="15"/>
                <w:szCs w:val="15"/>
              </w:rPr>
              <w:t>×</w:t>
            </w:r>
          </w:p>
        </w:tc>
        <w:tc>
          <w:tcPr>
            <w:tcW w:w="839" w:type="dxa"/>
            <w:vAlign w:val="top"/>
          </w:tcPr>
          <w:p w14:paraId="6FF58470">
            <w:pPr>
              <w:spacing w:before="168"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258" w:type="dxa"/>
            <w:vAlign w:val="top"/>
          </w:tcPr>
          <w:p w14:paraId="06F025BE">
            <w:pPr>
              <w:spacing w:before="168" w:line="201" w:lineRule="exact"/>
              <w:ind w:left="547"/>
              <w:rPr>
                <w:rFonts w:ascii="宋体" w:hAnsi="宋体" w:eastAsia="宋体" w:cs="宋体"/>
                <w:sz w:val="15"/>
                <w:szCs w:val="15"/>
              </w:rPr>
            </w:pPr>
            <w:r>
              <w:rPr>
                <w:rFonts w:ascii="宋体" w:hAnsi="宋体" w:eastAsia="宋体" w:cs="宋体"/>
                <w:position w:val="1"/>
                <w:sz w:val="15"/>
                <w:szCs w:val="15"/>
              </w:rPr>
              <w:t>×</w:t>
            </w:r>
          </w:p>
        </w:tc>
        <w:tc>
          <w:tcPr>
            <w:tcW w:w="1004" w:type="dxa"/>
            <w:vAlign w:val="top"/>
          </w:tcPr>
          <w:p w14:paraId="008E3AA1">
            <w:pPr>
              <w:spacing w:before="145" w:line="238" w:lineRule="auto"/>
              <w:ind w:left="399"/>
              <w:rPr>
                <w:rFonts w:ascii="宋体" w:hAnsi="宋体" w:eastAsia="宋体" w:cs="宋体"/>
                <w:sz w:val="20"/>
                <w:szCs w:val="20"/>
              </w:rPr>
            </w:pPr>
            <w:r>
              <w:rPr>
                <w:rFonts w:ascii="宋体" w:hAnsi="宋体" w:eastAsia="宋体" w:cs="宋体"/>
                <w:sz w:val="20"/>
                <w:szCs w:val="20"/>
              </w:rPr>
              <w:t>√</w:t>
            </w:r>
          </w:p>
        </w:tc>
      </w:tr>
      <w:tr w14:paraId="526E0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9369" w:type="dxa"/>
            <w:gridSpan w:val="7"/>
            <w:vAlign w:val="top"/>
          </w:tcPr>
          <w:p w14:paraId="7CF4A91A">
            <w:pPr>
              <w:spacing w:before="117" w:line="219" w:lineRule="auto"/>
              <w:ind w:left="84"/>
              <w:rPr>
                <w:rFonts w:ascii="宋体" w:hAnsi="宋体" w:eastAsia="宋体" w:cs="宋体"/>
                <w:sz w:val="20"/>
                <w:szCs w:val="20"/>
              </w:rPr>
            </w:pPr>
            <w:r>
              <w:rPr>
                <w:rFonts w:ascii="宋体" w:hAnsi="宋体" w:eastAsia="宋体" w:cs="宋体"/>
                <w:spacing w:val="-1"/>
                <w:sz w:val="20"/>
                <w:szCs w:val="20"/>
              </w:rPr>
              <w:t>注：</w:t>
            </w:r>
            <w:r>
              <w:rPr>
                <w:rFonts w:ascii="宋体" w:hAnsi="宋体" w:eastAsia="宋体" w:cs="宋体"/>
                <w:spacing w:val="-42"/>
                <w:sz w:val="20"/>
                <w:szCs w:val="20"/>
              </w:rPr>
              <w:t xml:space="preserve"> </w:t>
            </w:r>
            <w:r>
              <w:rPr>
                <w:rFonts w:ascii="宋体" w:hAnsi="宋体" w:eastAsia="宋体" w:cs="宋体"/>
                <w:spacing w:val="-1"/>
                <w:sz w:val="20"/>
                <w:szCs w:val="20"/>
              </w:rPr>
              <w:t>√表示适用；△表示可选用；〇表示仅设计更改时适用；×表示不</w:t>
            </w:r>
            <w:r>
              <w:rPr>
                <w:rFonts w:ascii="宋体" w:hAnsi="宋体" w:eastAsia="宋体" w:cs="宋体"/>
                <w:spacing w:val="-2"/>
                <w:sz w:val="20"/>
                <w:szCs w:val="20"/>
              </w:rPr>
              <w:t>适用</w:t>
            </w:r>
          </w:p>
        </w:tc>
      </w:tr>
    </w:tbl>
    <w:p w14:paraId="281066A9">
      <w:pPr>
        <w:pStyle w:val="2"/>
        <w:spacing w:before="209" w:line="279" w:lineRule="auto"/>
        <w:ind w:firstLine="570"/>
      </w:pPr>
      <w:r>
        <w:rPr>
          <w:spacing w:val="-3"/>
        </w:rPr>
        <w:t>为了选择适用的工作项目，应对工作项目的适用性，可采用“工作项目重要</w:t>
      </w:r>
      <w:r>
        <w:rPr>
          <w:spacing w:val="1"/>
        </w:rPr>
        <w:t xml:space="preserve"> </w:t>
      </w:r>
      <w:r>
        <w:rPr>
          <w:spacing w:val="5"/>
        </w:rPr>
        <w:t>性系数分析矩阵”的方法(见表7.2),得出各工作项目的重要性系数，重要性系</w:t>
      </w:r>
      <w:r>
        <w:rPr>
          <w:spacing w:val="9"/>
        </w:rPr>
        <w:t xml:space="preserve"> 数相对高的工件项目就是可选择的适用项目。表7.2中每一因素的加权系数通</w:t>
      </w:r>
      <w:r>
        <w:t xml:space="preserve"> </w:t>
      </w:r>
      <w:r>
        <w:rPr>
          <w:spacing w:val="1"/>
        </w:rPr>
        <w:t>过打分确定(取值为1～5),一般，对复杂的产品，大多数可靠性工作项目的加权</w:t>
      </w:r>
      <w:r>
        <w:rPr>
          <w:spacing w:val="7"/>
        </w:rPr>
        <w:t xml:space="preserve"> </w:t>
      </w:r>
      <w:r>
        <w:rPr>
          <w:spacing w:val="4"/>
        </w:rPr>
        <w:t>系数取值为4～5,不太复杂的产品可取1～3。例如</w:t>
      </w:r>
      <w:r>
        <w:rPr>
          <w:spacing w:val="3"/>
        </w:rPr>
        <w:t>航天航空的关键产品，</w:t>
      </w:r>
      <w:r>
        <w:rPr>
          <w:rFonts w:ascii="Times New Roman" w:hAnsi="Times New Roman" w:eastAsia="Times New Roman" w:cs="Times New Roman"/>
        </w:rPr>
        <w:t>FRA</w:t>
      </w:r>
      <w:r>
        <w:rPr>
          <w:rFonts w:ascii="Times New Roman" w:hAnsi="Times New Roman" w:eastAsia="Times New Roman" w:cs="Times New Roman"/>
          <w:spacing w:val="3"/>
        </w:rPr>
        <w:t>-</w:t>
      </w:r>
      <w:r>
        <w:rPr>
          <w:rFonts w:ascii="Times New Roman" w:hAnsi="Times New Roman" w:eastAsia="Times New Roman" w:cs="Times New Roman"/>
        </w:rPr>
        <w:t xml:space="preserve">    </w:t>
      </w:r>
      <w:r>
        <w:rPr>
          <w:rFonts w:ascii="Times New Roman" w:hAnsi="Times New Roman" w:eastAsia="Times New Roman" w:cs="Times New Roman"/>
          <w:spacing w:val="-10"/>
        </w:rPr>
        <w:t>CAS</w:t>
      </w:r>
      <w:r>
        <w:rPr>
          <w:rFonts w:ascii="Times New Roman" w:hAnsi="Times New Roman" w:eastAsia="Times New Roman" w:cs="Times New Roman"/>
          <w:spacing w:val="-39"/>
        </w:rPr>
        <w:t xml:space="preserve"> </w:t>
      </w:r>
      <w:r>
        <w:rPr>
          <w:spacing w:val="-10"/>
        </w:rPr>
        <w:t>、</w:t>
      </w:r>
      <w:r>
        <w:rPr>
          <w:rFonts w:ascii="Times New Roman" w:hAnsi="Times New Roman" w:eastAsia="Times New Roman" w:cs="Times New Roman"/>
          <w:spacing w:val="-10"/>
        </w:rPr>
        <w:t>FMECA</w:t>
      </w:r>
      <w:r>
        <w:rPr>
          <w:rFonts w:ascii="Times New Roman" w:hAnsi="Times New Roman" w:eastAsia="Times New Roman" w:cs="Times New Roman"/>
          <w:spacing w:val="-40"/>
        </w:rPr>
        <w:t xml:space="preserve"> </w:t>
      </w:r>
      <w:r>
        <w:rPr>
          <w:spacing w:val="-10"/>
        </w:rPr>
        <w:t>、</w:t>
      </w:r>
      <w:r>
        <w:rPr>
          <w:rFonts w:ascii="Times New Roman" w:hAnsi="Times New Roman" w:eastAsia="Times New Roman" w:cs="Times New Roman"/>
          <w:spacing w:val="-10"/>
        </w:rPr>
        <w:t>SCA</w:t>
      </w:r>
      <w:r>
        <w:rPr>
          <w:spacing w:val="-10"/>
        </w:rPr>
        <w:t>、元器件零部件</w:t>
      </w:r>
      <w:r>
        <w:rPr>
          <w:spacing w:val="-11"/>
        </w:rPr>
        <w:t>原材料选择与控制、</w:t>
      </w:r>
      <w:r>
        <w:rPr>
          <w:rFonts w:ascii="Times New Roman" w:hAnsi="Times New Roman" w:eastAsia="Times New Roman" w:cs="Times New Roman"/>
          <w:spacing w:val="-11"/>
        </w:rPr>
        <w:t>ESS</w:t>
      </w:r>
      <w:r>
        <w:rPr>
          <w:spacing w:val="-11"/>
        </w:rPr>
        <w:t>、可靠性鉴定试验等</w:t>
      </w:r>
      <w:r>
        <w:t xml:space="preserve"> </w:t>
      </w:r>
      <w:r>
        <w:rPr>
          <w:spacing w:val="-2"/>
        </w:rPr>
        <w:t>工作项目加权系数一般取5;对机械类的关键产品，</w:t>
      </w:r>
      <w:r>
        <w:rPr>
          <w:rFonts w:ascii="Times New Roman" w:hAnsi="Times New Roman" w:eastAsia="Times New Roman" w:cs="Times New Roman"/>
          <w:spacing w:val="-2"/>
        </w:rPr>
        <w:t>FRACAS</w:t>
      </w:r>
      <w:r>
        <w:rPr>
          <w:rFonts w:ascii="Times New Roman" w:hAnsi="Times New Roman" w:eastAsia="Times New Roman" w:cs="Times New Roman"/>
          <w:spacing w:val="-38"/>
        </w:rPr>
        <w:t xml:space="preserve"> </w:t>
      </w:r>
      <w:r>
        <w:rPr>
          <w:spacing w:val="-2"/>
        </w:rPr>
        <w:t>、</w:t>
      </w:r>
      <w:r>
        <w:rPr>
          <w:rFonts w:ascii="Times New Roman" w:hAnsi="Times New Roman" w:eastAsia="Times New Roman" w:cs="Times New Roman"/>
          <w:spacing w:val="-2"/>
        </w:rPr>
        <w:t>FMCA</w:t>
      </w:r>
      <w:r>
        <w:rPr>
          <w:rFonts w:ascii="Times New Roman" w:hAnsi="Times New Roman" w:eastAsia="Times New Roman" w:cs="Times New Roman"/>
          <w:spacing w:val="-38"/>
        </w:rPr>
        <w:t xml:space="preserve"> </w:t>
      </w:r>
      <w:r>
        <w:rPr>
          <w:spacing w:val="-2"/>
        </w:rPr>
        <w:t>、</w:t>
      </w:r>
      <w:r>
        <w:rPr>
          <w:rFonts w:ascii="Times New Roman" w:hAnsi="Times New Roman" w:eastAsia="Times New Roman" w:cs="Times New Roman"/>
          <w:spacing w:val="-2"/>
        </w:rPr>
        <w:t>FEA</w:t>
      </w:r>
      <w:r>
        <w:rPr>
          <w:spacing w:val="-2"/>
        </w:rPr>
        <w:t>、耐</w:t>
      </w:r>
      <w:r>
        <w:t xml:space="preserve">  </w:t>
      </w:r>
      <w:r>
        <w:rPr>
          <w:spacing w:val="12"/>
        </w:rPr>
        <w:t>久性分析等工作项目加权系数一般取5。确定了考虑因素并选取了加权值后，</w:t>
      </w:r>
      <w:r>
        <w:rPr>
          <w:spacing w:val="10"/>
        </w:rPr>
        <w:t xml:space="preserve"> </w:t>
      </w:r>
      <w:r>
        <w:rPr>
          <w:spacing w:val="5"/>
        </w:rPr>
        <w:t>将每一个工作项目的加权值连乘，然后按表中的方法计算每一工作项目的重要</w:t>
      </w:r>
      <w:r>
        <w:rPr>
          <w:spacing w:val="12"/>
        </w:rPr>
        <w:t xml:space="preserve"> </w:t>
      </w:r>
      <w:r>
        <w:rPr>
          <w:spacing w:val="3"/>
        </w:rPr>
        <w:t>性系数。</w:t>
      </w:r>
    </w:p>
    <w:p w14:paraId="69F85797">
      <w:pPr>
        <w:spacing w:before="80" w:line="222" w:lineRule="auto"/>
        <w:rPr>
          <w:rFonts w:ascii="黑体" w:hAnsi="黑体" w:eastAsia="黑体" w:cs="黑体"/>
          <w:sz w:val="27"/>
          <w:szCs w:val="27"/>
        </w:rPr>
      </w:pPr>
      <w:r>
        <w:rPr>
          <w:rFonts w:ascii="黑体" w:hAnsi="黑体" w:eastAsia="黑体" w:cs="黑体"/>
          <w:spacing w:val="2"/>
          <w:sz w:val="27"/>
          <w:szCs w:val="27"/>
        </w:rPr>
        <w:t xml:space="preserve">5  </w:t>
      </w:r>
      <w:r>
        <w:rPr>
          <w:rFonts w:ascii="黑体" w:hAnsi="黑体" w:eastAsia="黑体" w:cs="黑体"/>
          <w:b/>
          <w:bCs/>
          <w:spacing w:val="2"/>
          <w:sz w:val="27"/>
          <w:szCs w:val="27"/>
        </w:rPr>
        <w:t>可靠性工作项目与其他工程的协调</w:t>
      </w:r>
    </w:p>
    <w:p w14:paraId="73D7683B">
      <w:pPr>
        <w:pStyle w:val="2"/>
        <w:spacing w:before="90" w:line="299" w:lineRule="auto"/>
        <w:ind w:right="77" w:firstLine="570"/>
      </w:pPr>
      <w:r>
        <w:rPr>
          <w:spacing w:val="-3"/>
        </w:rPr>
        <w:t>说明可靠性工作项目与综合保障、维修性、测试性、安全性等相关工程确定</w:t>
      </w:r>
      <w:r>
        <w:rPr>
          <w:spacing w:val="5"/>
        </w:rPr>
        <w:t xml:space="preserve"> </w:t>
      </w:r>
      <w:r>
        <w:rPr>
          <w:spacing w:val="-6"/>
        </w:rPr>
        <w:t>的工作项目协调、结合进行等情况。</w:t>
      </w:r>
    </w:p>
    <w:p w14:paraId="574E2DA1">
      <w:pPr>
        <w:spacing w:line="220" w:lineRule="auto"/>
        <w:ind w:left="2409"/>
        <w:rPr>
          <w:rFonts w:ascii="仿宋" w:hAnsi="仿宋" w:eastAsia="仿宋" w:cs="仿宋"/>
          <w:sz w:val="24"/>
          <w:szCs w:val="24"/>
        </w:rPr>
      </w:pPr>
      <w:r>
        <w:rPr>
          <w:rFonts w:ascii="仿宋" w:hAnsi="仿宋" w:eastAsia="仿宋" w:cs="仿宋"/>
          <w:spacing w:val="26"/>
          <w:sz w:val="24"/>
          <w:szCs w:val="24"/>
        </w:rPr>
        <w:t>表7</w:t>
      </w:r>
      <w:r>
        <w:rPr>
          <w:rFonts w:ascii="仿宋" w:hAnsi="仿宋" w:eastAsia="仿宋" w:cs="仿宋"/>
          <w:spacing w:val="-42"/>
          <w:sz w:val="24"/>
          <w:szCs w:val="24"/>
        </w:rPr>
        <w:t xml:space="preserve"> </w:t>
      </w:r>
      <w:r>
        <w:rPr>
          <w:rFonts w:ascii="仿宋" w:hAnsi="仿宋" w:eastAsia="仿宋" w:cs="仿宋"/>
          <w:spacing w:val="26"/>
          <w:sz w:val="24"/>
          <w:szCs w:val="24"/>
        </w:rPr>
        <w:t>.</w:t>
      </w:r>
      <w:r>
        <w:rPr>
          <w:rFonts w:ascii="仿宋" w:hAnsi="仿宋" w:eastAsia="仿宋" w:cs="仿宋"/>
          <w:spacing w:val="-58"/>
          <w:sz w:val="24"/>
          <w:szCs w:val="24"/>
        </w:rPr>
        <w:t xml:space="preserve"> </w:t>
      </w:r>
      <w:r>
        <w:rPr>
          <w:rFonts w:ascii="仿宋" w:hAnsi="仿宋" w:eastAsia="仿宋" w:cs="仿宋"/>
          <w:spacing w:val="26"/>
          <w:sz w:val="24"/>
          <w:szCs w:val="24"/>
        </w:rPr>
        <w:t>2  工作项目重要性系数分析矩阵</w:t>
      </w:r>
    </w:p>
    <w:p w14:paraId="21DA7368">
      <w:pPr>
        <w:spacing w:line="123" w:lineRule="exact"/>
      </w:pPr>
    </w:p>
    <w:tbl>
      <w:tblPr>
        <w:tblStyle w:val="5"/>
        <w:tblW w:w="935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1029"/>
        <w:gridCol w:w="829"/>
        <w:gridCol w:w="1268"/>
        <w:gridCol w:w="1039"/>
        <w:gridCol w:w="839"/>
        <w:gridCol w:w="839"/>
        <w:gridCol w:w="639"/>
        <w:gridCol w:w="829"/>
        <w:gridCol w:w="994"/>
      </w:tblGrid>
      <w:tr w14:paraId="2E93B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054" w:type="dxa"/>
            <w:vMerge w:val="restart"/>
            <w:tcBorders>
              <w:bottom w:val="nil"/>
            </w:tcBorders>
            <w:vAlign w:val="top"/>
          </w:tcPr>
          <w:p w14:paraId="01DB5DF9">
            <w:pPr>
              <w:pStyle w:val="6"/>
              <w:spacing w:line="265" w:lineRule="auto"/>
            </w:pPr>
          </w:p>
          <w:p w14:paraId="17EF0B2B">
            <w:pPr>
              <w:spacing w:before="68" w:line="301" w:lineRule="auto"/>
              <w:ind w:left="305" w:right="278"/>
              <w:rPr>
                <w:rFonts w:ascii="宋体" w:hAnsi="宋体" w:eastAsia="宋体" w:cs="宋体"/>
                <w:sz w:val="21"/>
                <w:szCs w:val="21"/>
              </w:rPr>
            </w:pPr>
            <w:r>
              <w:rPr>
                <w:rFonts w:ascii="宋体" w:hAnsi="宋体" w:eastAsia="宋体" w:cs="宋体"/>
                <w:spacing w:val="6"/>
                <w:sz w:val="21"/>
                <w:szCs w:val="21"/>
              </w:rPr>
              <w:t>工作</w:t>
            </w:r>
            <w:r>
              <w:rPr>
                <w:rFonts w:ascii="宋体" w:hAnsi="宋体" w:eastAsia="宋体" w:cs="宋体"/>
                <w:sz w:val="21"/>
                <w:szCs w:val="21"/>
              </w:rPr>
              <w:t xml:space="preserve"> </w:t>
            </w:r>
            <w:r>
              <w:rPr>
                <w:rFonts w:ascii="宋体" w:hAnsi="宋体" w:eastAsia="宋体" w:cs="宋体"/>
                <w:spacing w:val="-30"/>
                <w:sz w:val="21"/>
                <w:szCs w:val="21"/>
              </w:rPr>
              <w:t>项</w:t>
            </w:r>
            <w:r>
              <w:rPr>
                <w:rFonts w:ascii="宋体" w:hAnsi="宋体" w:eastAsia="宋体" w:cs="宋体"/>
                <w:spacing w:val="-6"/>
                <w:sz w:val="21"/>
                <w:szCs w:val="21"/>
              </w:rPr>
              <w:t xml:space="preserve"> </w:t>
            </w:r>
            <w:r>
              <w:rPr>
                <w:rFonts w:ascii="宋体" w:hAnsi="宋体" w:eastAsia="宋体" w:cs="宋体"/>
                <w:spacing w:val="-30"/>
                <w:sz w:val="21"/>
                <w:szCs w:val="21"/>
              </w:rPr>
              <w:t>目</w:t>
            </w:r>
          </w:p>
        </w:tc>
        <w:tc>
          <w:tcPr>
            <w:tcW w:w="6482" w:type="dxa"/>
            <w:gridSpan w:val="7"/>
            <w:vAlign w:val="top"/>
          </w:tcPr>
          <w:p w14:paraId="6D011FA1">
            <w:pPr>
              <w:spacing w:before="103" w:line="219" w:lineRule="auto"/>
              <w:ind w:left="2491"/>
              <w:rPr>
                <w:rFonts w:ascii="宋体" w:hAnsi="宋体" w:eastAsia="宋体" w:cs="宋体"/>
                <w:sz w:val="21"/>
                <w:szCs w:val="21"/>
              </w:rPr>
            </w:pPr>
            <w:r>
              <w:rPr>
                <w:rFonts w:ascii="宋体" w:hAnsi="宋体" w:eastAsia="宋体" w:cs="宋体"/>
                <w:spacing w:val="5"/>
                <w:sz w:val="21"/>
                <w:szCs w:val="21"/>
              </w:rPr>
              <w:t>加权系数(1～5)</w:t>
            </w:r>
          </w:p>
        </w:tc>
        <w:tc>
          <w:tcPr>
            <w:tcW w:w="829" w:type="dxa"/>
            <w:vMerge w:val="restart"/>
            <w:tcBorders>
              <w:bottom w:val="nil"/>
            </w:tcBorders>
            <w:vAlign w:val="top"/>
          </w:tcPr>
          <w:p w14:paraId="40E870E3">
            <w:pPr>
              <w:pStyle w:val="6"/>
              <w:spacing w:line="443" w:lineRule="auto"/>
            </w:pPr>
          </w:p>
          <w:p w14:paraId="151E2BCB">
            <w:pPr>
              <w:spacing w:before="68" w:line="220" w:lineRule="auto"/>
              <w:ind w:left="148"/>
              <w:rPr>
                <w:rFonts w:ascii="宋体" w:hAnsi="宋体" w:eastAsia="宋体" w:cs="宋体"/>
                <w:sz w:val="21"/>
                <w:szCs w:val="21"/>
              </w:rPr>
            </w:pPr>
            <w:r>
              <w:rPr>
                <w:rFonts w:ascii="宋体" w:hAnsi="宋体" w:eastAsia="宋体" w:cs="宋体"/>
                <w:spacing w:val="6"/>
                <w:sz w:val="21"/>
                <w:szCs w:val="21"/>
              </w:rPr>
              <w:t>乘积</w:t>
            </w:r>
          </w:p>
        </w:tc>
        <w:tc>
          <w:tcPr>
            <w:tcW w:w="994" w:type="dxa"/>
            <w:vMerge w:val="restart"/>
            <w:tcBorders>
              <w:bottom w:val="nil"/>
            </w:tcBorders>
            <w:vAlign w:val="top"/>
          </w:tcPr>
          <w:p w14:paraId="37E655EB">
            <w:pPr>
              <w:pStyle w:val="6"/>
              <w:spacing w:line="255" w:lineRule="auto"/>
            </w:pPr>
          </w:p>
          <w:p w14:paraId="4B28E08E">
            <w:pPr>
              <w:spacing w:before="68" w:line="221" w:lineRule="auto"/>
              <w:ind w:left="179"/>
              <w:rPr>
                <w:rFonts w:ascii="宋体" w:hAnsi="宋体" w:eastAsia="宋体" w:cs="宋体"/>
                <w:sz w:val="21"/>
                <w:szCs w:val="21"/>
              </w:rPr>
            </w:pPr>
            <w:r>
              <w:rPr>
                <w:rFonts w:ascii="宋体" w:hAnsi="宋体" w:eastAsia="宋体" w:cs="宋体"/>
                <w:spacing w:val="-3"/>
                <w:sz w:val="21"/>
                <w:szCs w:val="21"/>
              </w:rPr>
              <w:t>重要性</w:t>
            </w:r>
          </w:p>
          <w:p w14:paraId="3ED84A4D">
            <w:pPr>
              <w:spacing w:before="97" w:line="219" w:lineRule="auto"/>
              <w:ind w:left="229"/>
              <w:rPr>
                <w:rFonts w:ascii="宋体" w:hAnsi="宋体" w:eastAsia="宋体" w:cs="宋体"/>
                <w:sz w:val="21"/>
                <w:szCs w:val="21"/>
              </w:rPr>
            </w:pPr>
            <w:r>
              <w:rPr>
                <w:rFonts w:ascii="宋体" w:hAnsi="宋体" w:eastAsia="宋体" w:cs="宋体"/>
                <w:spacing w:val="-4"/>
                <w:sz w:val="21"/>
                <w:szCs w:val="21"/>
              </w:rPr>
              <w:t>系数b</w:t>
            </w:r>
          </w:p>
        </w:tc>
      </w:tr>
      <w:tr w14:paraId="27F19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1054" w:type="dxa"/>
            <w:vMerge w:val="continue"/>
            <w:tcBorders>
              <w:top w:val="nil"/>
            </w:tcBorders>
            <w:vAlign w:val="top"/>
          </w:tcPr>
          <w:p w14:paraId="15C2605A">
            <w:pPr>
              <w:pStyle w:val="6"/>
            </w:pPr>
          </w:p>
        </w:tc>
        <w:tc>
          <w:tcPr>
            <w:tcW w:w="1029" w:type="dxa"/>
            <w:vAlign w:val="top"/>
          </w:tcPr>
          <w:p w14:paraId="4D734B11">
            <w:pPr>
              <w:spacing w:before="129" w:line="294" w:lineRule="auto"/>
              <w:ind w:left="290" w:right="291"/>
              <w:rPr>
                <w:rFonts w:ascii="宋体" w:hAnsi="宋体" w:eastAsia="宋体" w:cs="宋体"/>
                <w:sz w:val="21"/>
                <w:szCs w:val="21"/>
              </w:rPr>
            </w:pPr>
            <w:r>
              <w:rPr>
                <w:rFonts w:ascii="宋体" w:hAnsi="宋体" w:eastAsia="宋体" w:cs="宋体"/>
                <w:spacing w:val="8"/>
                <w:sz w:val="21"/>
                <w:szCs w:val="21"/>
              </w:rPr>
              <w:t>复杂</w:t>
            </w:r>
            <w:r>
              <w:rPr>
                <w:rFonts w:ascii="宋体" w:hAnsi="宋体" w:eastAsia="宋体" w:cs="宋体"/>
                <w:sz w:val="21"/>
                <w:szCs w:val="21"/>
              </w:rPr>
              <w:t xml:space="preserve"> </w:t>
            </w:r>
            <w:r>
              <w:rPr>
                <w:rFonts w:ascii="宋体" w:hAnsi="宋体" w:eastAsia="宋体" w:cs="宋体"/>
                <w:spacing w:val="-2"/>
                <w:sz w:val="21"/>
                <w:szCs w:val="21"/>
              </w:rPr>
              <w:t>程度</w:t>
            </w:r>
          </w:p>
        </w:tc>
        <w:tc>
          <w:tcPr>
            <w:tcW w:w="829" w:type="dxa"/>
            <w:vAlign w:val="top"/>
          </w:tcPr>
          <w:p w14:paraId="56577B82">
            <w:pPr>
              <w:spacing w:before="300" w:line="220" w:lineRule="auto"/>
              <w:ind w:left="102"/>
              <w:rPr>
                <w:rFonts w:ascii="宋体" w:hAnsi="宋体" w:eastAsia="宋体" w:cs="宋体"/>
                <w:sz w:val="21"/>
                <w:szCs w:val="21"/>
              </w:rPr>
            </w:pPr>
            <w:r>
              <w:rPr>
                <w:rFonts w:ascii="宋体" w:hAnsi="宋体" w:eastAsia="宋体" w:cs="宋体"/>
                <w:spacing w:val="-3"/>
                <w:sz w:val="21"/>
                <w:szCs w:val="21"/>
              </w:rPr>
              <w:t>关键性</w:t>
            </w:r>
          </w:p>
        </w:tc>
        <w:tc>
          <w:tcPr>
            <w:tcW w:w="1268" w:type="dxa"/>
            <w:vAlign w:val="top"/>
          </w:tcPr>
          <w:p w14:paraId="2ABC93F2">
            <w:pPr>
              <w:spacing w:before="120" w:line="298" w:lineRule="auto"/>
              <w:ind w:left="312" w:right="201" w:hanging="110"/>
              <w:rPr>
                <w:rFonts w:ascii="宋体" w:hAnsi="宋体" w:eastAsia="宋体" w:cs="宋体"/>
                <w:sz w:val="21"/>
                <w:szCs w:val="21"/>
              </w:rPr>
            </w:pPr>
            <w:r>
              <w:rPr>
                <w:rFonts w:ascii="宋体" w:hAnsi="宋体" w:eastAsia="宋体" w:cs="宋体"/>
                <w:spacing w:val="3"/>
                <w:sz w:val="21"/>
                <w:szCs w:val="21"/>
              </w:rPr>
              <w:t>产品类型</w:t>
            </w:r>
            <w:r>
              <w:rPr>
                <w:rFonts w:ascii="宋体" w:hAnsi="宋体" w:eastAsia="宋体" w:cs="宋体"/>
                <w:sz w:val="21"/>
                <w:szCs w:val="21"/>
              </w:rPr>
              <w:t xml:space="preserve"> </w:t>
            </w:r>
            <w:r>
              <w:rPr>
                <w:rFonts w:ascii="宋体" w:hAnsi="宋体" w:eastAsia="宋体" w:cs="宋体"/>
                <w:spacing w:val="6"/>
                <w:sz w:val="21"/>
                <w:szCs w:val="21"/>
              </w:rPr>
              <w:t>及特点</w:t>
            </w:r>
          </w:p>
        </w:tc>
        <w:tc>
          <w:tcPr>
            <w:tcW w:w="1039" w:type="dxa"/>
            <w:vAlign w:val="top"/>
          </w:tcPr>
          <w:p w14:paraId="6BA7B867">
            <w:pPr>
              <w:spacing w:before="120" w:line="298" w:lineRule="auto"/>
              <w:ind w:left="304" w:right="213" w:hanging="110"/>
              <w:rPr>
                <w:rFonts w:ascii="宋体" w:hAnsi="宋体" w:eastAsia="宋体" w:cs="宋体"/>
                <w:sz w:val="21"/>
                <w:szCs w:val="21"/>
              </w:rPr>
            </w:pPr>
            <w:r>
              <w:rPr>
                <w:rFonts w:ascii="宋体" w:hAnsi="宋体" w:eastAsia="宋体" w:cs="宋体"/>
                <w:spacing w:val="-4"/>
                <w:sz w:val="21"/>
                <w:szCs w:val="21"/>
              </w:rPr>
              <w:t>新技术</w:t>
            </w:r>
            <w:r>
              <w:rPr>
                <w:rFonts w:ascii="宋体" w:hAnsi="宋体" w:eastAsia="宋体" w:cs="宋体"/>
                <w:spacing w:val="1"/>
                <w:sz w:val="21"/>
                <w:szCs w:val="21"/>
              </w:rPr>
              <w:t xml:space="preserve"> </w:t>
            </w:r>
            <w:r>
              <w:rPr>
                <w:rFonts w:ascii="宋体" w:hAnsi="宋体" w:eastAsia="宋体" w:cs="宋体"/>
                <w:spacing w:val="-3"/>
                <w:sz w:val="21"/>
                <w:szCs w:val="21"/>
              </w:rPr>
              <w:t>含量</w:t>
            </w:r>
          </w:p>
        </w:tc>
        <w:tc>
          <w:tcPr>
            <w:tcW w:w="839" w:type="dxa"/>
            <w:vAlign w:val="top"/>
          </w:tcPr>
          <w:p w14:paraId="2685076D">
            <w:pPr>
              <w:spacing w:before="120" w:line="298" w:lineRule="auto"/>
              <w:ind w:left="206" w:right="177"/>
              <w:rPr>
                <w:rFonts w:ascii="宋体" w:hAnsi="宋体" w:eastAsia="宋体" w:cs="宋体"/>
                <w:sz w:val="21"/>
                <w:szCs w:val="21"/>
              </w:rPr>
            </w:pPr>
            <w:r>
              <w:rPr>
                <w:rFonts w:ascii="宋体" w:hAnsi="宋体" w:eastAsia="宋体" w:cs="宋体"/>
                <w:spacing w:val="12"/>
                <w:sz w:val="21"/>
                <w:szCs w:val="21"/>
              </w:rPr>
              <w:t>使用</w:t>
            </w:r>
            <w:r>
              <w:rPr>
                <w:rFonts w:ascii="宋体" w:hAnsi="宋体" w:eastAsia="宋体" w:cs="宋体"/>
                <w:sz w:val="21"/>
                <w:szCs w:val="21"/>
              </w:rPr>
              <w:t xml:space="preserve"> </w:t>
            </w:r>
            <w:r>
              <w:rPr>
                <w:rFonts w:ascii="宋体" w:hAnsi="宋体" w:eastAsia="宋体" w:cs="宋体"/>
                <w:spacing w:val="-3"/>
                <w:sz w:val="21"/>
                <w:szCs w:val="21"/>
              </w:rPr>
              <w:t>环境</w:t>
            </w:r>
          </w:p>
        </w:tc>
        <w:tc>
          <w:tcPr>
            <w:tcW w:w="839" w:type="dxa"/>
            <w:vAlign w:val="top"/>
          </w:tcPr>
          <w:p w14:paraId="600A0235">
            <w:pPr>
              <w:spacing w:before="120" w:line="220" w:lineRule="auto"/>
              <w:ind w:left="207"/>
              <w:rPr>
                <w:rFonts w:ascii="宋体" w:hAnsi="宋体" w:eastAsia="宋体" w:cs="宋体"/>
                <w:sz w:val="21"/>
                <w:szCs w:val="21"/>
              </w:rPr>
            </w:pPr>
            <w:r>
              <w:rPr>
                <w:rFonts w:ascii="宋体" w:hAnsi="宋体" w:eastAsia="宋体" w:cs="宋体"/>
                <w:spacing w:val="-3"/>
                <w:sz w:val="21"/>
                <w:szCs w:val="21"/>
              </w:rPr>
              <w:t>所处</w:t>
            </w:r>
          </w:p>
          <w:p w14:paraId="30CC5082">
            <w:pPr>
              <w:spacing w:before="100" w:line="221" w:lineRule="auto"/>
              <w:ind w:left="207"/>
              <w:rPr>
                <w:rFonts w:ascii="宋体" w:hAnsi="宋体" w:eastAsia="宋体" w:cs="宋体"/>
                <w:sz w:val="21"/>
                <w:szCs w:val="21"/>
              </w:rPr>
            </w:pPr>
            <w:r>
              <w:rPr>
                <w:rFonts w:ascii="宋体" w:hAnsi="宋体" w:eastAsia="宋体" w:cs="宋体"/>
                <w:spacing w:val="4"/>
                <w:sz w:val="21"/>
                <w:szCs w:val="21"/>
              </w:rPr>
              <w:t>阶段</w:t>
            </w:r>
          </w:p>
        </w:tc>
        <w:tc>
          <w:tcPr>
            <w:tcW w:w="639" w:type="dxa"/>
            <w:vAlign w:val="top"/>
          </w:tcPr>
          <w:p w14:paraId="29A8ECB1">
            <w:pPr>
              <w:pStyle w:val="6"/>
              <w:spacing w:line="250" w:lineRule="auto"/>
            </w:pPr>
          </w:p>
          <w:p w14:paraId="2C8336E3">
            <w:pPr>
              <w:spacing w:before="69" w:line="330" w:lineRule="exact"/>
              <w:ind w:left="178"/>
              <w:rPr>
                <w:rFonts w:ascii="宋体" w:hAnsi="宋体" w:eastAsia="宋体" w:cs="宋体"/>
                <w:sz w:val="21"/>
                <w:szCs w:val="21"/>
              </w:rPr>
            </w:pPr>
            <w:r>
              <w:rPr>
                <w:rFonts w:ascii="宋体" w:hAnsi="宋体" w:eastAsia="宋体" w:cs="宋体"/>
                <w:position w:val="2"/>
                <w:sz w:val="21"/>
                <w:szCs w:val="21"/>
              </w:rPr>
              <w:t>…</w:t>
            </w:r>
          </w:p>
        </w:tc>
        <w:tc>
          <w:tcPr>
            <w:tcW w:w="829" w:type="dxa"/>
            <w:vMerge w:val="continue"/>
            <w:tcBorders>
              <w:top w:val="nil"/>
            </w:tcBorders>
            <w:vAlign w:val="top"/>
          </w:tcPr>
          <w:p w14:paraId="507D48FE">
            <w:pPr>
              <w:pStyle w:val="6"/>
            </w:pPr>
          </w:p>
        </w:tc>
        <w:tc>
          <w:tcPr>
            <w:tcW w:w="994" w:type="dxa"/>
            <w:vMerge w:val="continue"/>
            <w:tcBorders>
              <w:top w:val="nil"/>
            </w:tcBorders>
            <w:vAlign w:val="top"/>
          </w:tcPr>
          <w:p w14:paraId="49AA9BAB">
            <w:pPr>
              <w:pStyle w:val="6"/>
            </w:pPr>
          </w:p>
        </w:tc>
      </w:tr>
      <w:tr w14:paraId="01821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54" w:type="dxa"/>
            <w:vAlign w:val="top"/>
          </w:tcPr>
          <w:p w14:paraId="70CD86FB">
            <w:pPr>
              <w:spacing w:before="122" w:line="234" w:lineRule="auto"/>
              <w:ind w:left="354"/>
              <w:rPr>
                <w:rFonts w:ascii="宋体" w:hAnsi="宋体" w:eastAsia="宋体" w:cs="宋体"/>
                <w:sz w:val="21"/>
                <w:szCs w:val="21"/>
              </w:rPr>
            </w:pPr>
            <w:r>
              <w:rPr>
                <w:rFonts w:ascii="宋体" w:hAnsi="宋体" w:eastAsia="宋体" w:cs="宋体"/>
                <w:spacing w:val="-6"/>
                <w:sz w:val="21"/>
                <w:szCs w:val="21"/>
              </w:rPr>
              <w:t>101</w:t>
            </w:r>
          </w:p>
        </w:tc>
        <w:tc>
          <w:tcPr>
            <w:tcW w:w="1029" w:type="dxa"/>
            <w:vAlign w:val="top"/>
          </w:tcPr>
          <w:p w14:paraId="4773D322">
            <w:pPr>
              <w:pStyle w:val="6"/>
            </w:pPr>
          </w:p>
        </w:tc>
        <w:tc>
          <w:tcPr>
            <w:tcW w:w="829" w:type="dxa"/>
            <w:vAlign w:val="top"/>
          </w:tcPr>
          <w:p w14:paraId="5837A1ED">
            <w:pPr>
              <w:pStyle w:val="6"/>
            </w:pPr>
          </w:p>
        </w:tc>
        <w:tc>
          <w:tcPr>
            <w:tcW w:w="1268" w:type="dxa"/>
            <w:vAlign w:val="top"/>
          </w:tcPr>
          <w:p w14:paraId="7EAE4F81">
            <w:pPr>
              <w:pStyle w:val="6"/>
            </w:pPr>
          </w:p>
        </w:tc>
        <w:tc>
          <w:tcPr>
            <w:tcW w:w="1039" w:type="dxa"/>
            <w:vAlign w:val="top"/>
          </w:tcPr>
          <w:p w14:paraId="142830AD">
            <w:pPr>
              <w:pStyle w:val="6"/>
            </w:pPr>
          </w:p>
        </w:tc>
        <w:tc>
          <w:tcPr>
            <w:tcW w:w="839" w:type="dxa"/>
            <w:vAlign w:val="top"/>
          </w:tcPr>
          <w:p w14:paraId="218BF854">
            <w:pPr>
              <w:pStyle w:val="6"/>
            </w:pPr>
          </w:p>
        </w:tc>
        <w:tc>
          <w:tcPr>
            <w:tcW w:w="839" w:type="dxa"/>
            <w:vAlign w:val="top"/>
          </w:tcPr>
          <w:p w14:paraId="3B53F688">
            <w:pPr>
              <w:pStyle w:val="6"/>
            </w:pPr>
          </w:p>
        </w:tc>
        <w:tc>
          <w:tcPr>
            <w:tcW w:w="639" w:type="dxa"/>
            <w:vAlign w:val="top"/>
          </w:tcPr>
          <w:p w14:paraId="14F52512">
            <w:pPr>
              <w:pStyle w:val="6"/>
            </w:pPr>
          </w:p>
        </w:tc>
        <w:tc>
          <w:tcPr>
            <w:tcW w:w="1823" w:type="dxa"/>
            <w:gridSpan w:val="2"/>
            <w:vAlign w:val="top"/>
          </w:tcPr>
          <w:p w14:paraId="1A148EE9">
            <w:pPr>
              <w:pStyle w:val="6"/>
            </w:pPr>
          </w:p>
        </w:tc>
      </w:tr>
      <w:tr w14:paraId="72BFF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054" w:type="dxa"/>
            <w:vAlign w:val="top"/>
          </w:tcPr>
          <w:p w14:paraId="191130AC">
            <w:pPr>
              <w:spacing w:before="122"/>
              <w:ind w:left="354"/>
              <w:rPr>
                <w:rFonts w:ascii="宋体" w:hAnsi="宋体" w:eastAsia="宋体" w:cs="宋体"/>
                <w:sz w:val="21"/>
                <w:szCs w:val="21"/>
              </w:rPr>
            </w:pPr>
            <w:r>
              <w:rPr>
                <w:rFonts w:ascii="宋体" w:hAnsi="宋体" w:eastAsia="宋体" w:cs="宋体"/>
                <w:spacing w:val="-6"/>
                <w:sz w:val="21"/>
                <w:szCs w:val="21"/>
              </w:rPr>
              <w:t>102</w:t>
            </w:r>
          </w:p>
        </w:tc>
        <w:tc>
          <w:tcPr>
            <w:tcW w:w="1029" w:type="dxa"/>
            <w:vAlign w:val="top"/>
          </w:tcPr>
          <w:p w14:paraId="4A8F0742">
            <w:pPr>
              <w:pStyle w:val="6"/>
            </w:pPr>
          </w:p>
        </w:tc>
        <w:tc>
          <w:tcPr>
            <w:tcW w:w="829" w:type="dxa"/>
            <w:vAlign w:val="top"/>
          </w:tcPr>
          <w:p w14:paraId="135097A4">
            <w:pPr>
              <w:pStyle w:val="6"/>
            </w:pPr>
          </w:p>
        </w:tc>
        <w:tc>
          <w:tcPr>
            <w:tcW w:w="1268" w:type="dxa"/>
            <w:vAlign w:val="top"/>
          </w:tcPr>
          <w:p w14:paraId="45A5F273">
            <w:pPr>
              <w:pStyle w:val="6"/>
            </w:pPr>
          </w:p>
        </w:tc>
        <w:tc>
          <w:tcPr>
            <w:tcW w:w="1039" w:type="dxa"/>
            <w:vAlign w:val="top"/>
          </w:tcPr>
          <w:p w14:paraId="5A8722D4">
            <w:pPr>
              <w:pStyle w:val="6"/>
            </w:pPr>
          </w:p>
        </w:tc>
        <w:tc>
          <w:tcPr>
            <w:tcW w:w="839" w:type="dxa"/>
            <w:vAlign w:val="top"/>
          </w:tcPr>
          <w:p w14:paraId="0460B577">
            <w:pPr>
              <w:pStyle w:val="6"/>
            </w:pPr>
          </w:p>
        </w:tc>
        <w:tc>
          <w:tcPr>
            <w:tcW w:w="839" w:type="dxa"/>
            <w:vAlign w:val="top"/>
          </w:tcPr>
          <w:p w14:paraId="42689459">
            <w:pPr>
              <w:pStyle w:val="6"/>
            </w:pPr>
          </w:p>
        </w:tc>
        <w:tc>
          <w:tcPr>
            <w:tcW w:w="639" w:type="dxa"/>
            <w:vAlign w:val="top"/>
          </w:tcPr>
          <w:p w14:paraId="4D1BB21F">
            <w:pPr>
              <w:pStyle w:val="6"/>
            </w:pPr>
          </w:p>
        </w:tc>
        <w:tc>
          <w:tcPr>
            <w:tcW w:w="1823" w:type="dxa"/>
            <w:gridSpan w:val="2"/>
            <w:vAlign w:val="top"/>
          </w:tcPr>
          <w:p w14:paraId="435CF470">
            <w:pPr>
              <w:pStyle w:val="6"/>
            </w:pPr>
          </w:p>
        </w:tc>
      </w:tr>
      <w:tr w14:paraId="12225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54" w:type="dxa"/>
            <w:vAlign w:val="top"/>
          </w:tcPr>
          <w:p w14:paraId="5A14F5C5">
            <w:pPr>
              <w:spacing w:before="125" w:line="232" w:lineRule="auto"/>
              <w:ind w:left="414"/>
              <w:rPr>
                <w:rFonts w:ascii="宋体" w:hAnsi="宋体" w:eastAsia="宋体" w:cs="宋体"/>
                <w:sz w:val="21"/>
                <w:szCs w:val="21"/>
              </w:rPr>
            </w:pPr>
            <w:r>
              <w:rPr>
                <w:rFonts w:ascii="宋体" w:hAnsi="宋体" w:eastAsia="宋体" w:cs="宋体"/>
                <w:sz w:val="21"/>
                <w:szCs w:val="21"/>
              </w:rPr>
              <w:t>…</w:t>
            </w:r>
          </w:p>
        </w:tc>
        <w:tc>
          <w:tcPr>
            <w:tcW w:w="1029" w:type="dxa"/>
            <w:vAlign w:val="top"/>
          </w:tcPr>
          <w:p w14:paraId="664B2708">
            <w:pPr>
              <w:pStyle w:val="6"/>
            </w:pPr>
          </w:p>
        </w:tc>
        <w:tc>
          <w:tcPr>
            <w:tcW w:w="829" w:type="dxa"/>
            <w:vAlign w:val="top"/>
          </w:tcPr>
          <w:p w14:paraId="4D3030D6">
            <w:pPr>
              <w:pStyle w:val="6"/>
            </w:pPr>
          </w:p>
        </w:tc>
        <w:tc>
          <w:tcPr>
            <w:tcW w:w="1268" w:type="dxa"/>
            <w:vAlign w:val="top"/>
          </w:tcPr>
          <w:p w14:paraId="302197CE">
            <w:pPr>
              <w:pStyle w:val="6"/>
            </w:pPr>
          </w:p>
        </w:tc>
        <w:tc>
          <w:tcPr>
            <w:tcW w:w="1039" w:type="dxa"/>
            <w:vAlign w:val="top"/>
          </w:tcPr>
          <w:p w14:paraId="6564BE25">
            <w:pPr>
              <w:pStyle w:val="6"/>
            </w:pPr>
          </w:p>
        </w:tc>
        <w:tc>
          <w:tcPr>
            <w:tcW w:w="839" w:type="dxa"/>
            <w:vAlign w:val="top"/>
          </w:tcPr>
          <w:p w14:paraId="7332FCE0">
            <w:pPr>
              <w:pStyle w:val="6"/>
            </w:pPr>
          </w:p>
        </w:tc>
        <w:tc>
          <w:tcPr>
            <w:tcW w:w="839" w:type="dxa"/>
            <w:vAlign w:val="top"/>
          </w:tcPr>
          <w:p w14:paraId="1DE80AAC">
            <w:pPr>
              <w:pStyle w:val="6"/>
            </w:pPr>
          </w:p>
        </w:tc>
        <w:tc>
          <w:tcPr>
            <w:tcW w:w="639" w:type="dxa"/>
            <w:vAlign w:val="top"/>
          </w:tcPr>
          <w:p w14:paraId="0F29EA52">
            <w:pPr>
              <w:pStyle w:val="6"/>
            </w:pPr>
          </w:p>
        </w:tc>
        <w:tc>
          <w:tcPr>
            <w:tcW w:w="1823" w:type="dxa"/>
            <w:gridSpan w:val="2"/>
            <w:vAlign w:val="top"/>
          </w:tcPr>
          <w:p w14:paraId="075B1552">
            <w:pPr>
              <w:pStyle w:val="6"/>
            </w:pPr>
          </w:p>
        </w:tc>
      </w:tr>
      <w:tr w14:paraId="77EB0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1" w:hRule="atLeast"/>
        </w:trPr>
        <w:tc>
          <w:tcPr>
            <w:tcW w:w="9359" w:type="dxa"/>
            <w:gridSpan w:val="10"/>
            <w:vAlign w:val="top"/>
          </w:tcPr>
          <w:p w14:paraId="0B2E202D">
            <w:pPr>
              <w:spacing w:before="74" w:line="219" w:lineRule="auto"/>
              <w:ind w:left="74"/>
              <w:rPr>
                <w:rFonts w:ascii="宋体" w:hAnsi="宋体" w:eastAsia="宋体" w:cs="宋体"/>
                <w:sz w:val="21"/>
                <w:szCs w:val="21"/>
              </w:rPr>
            </w:pPr>
            <w:r>
              <w:rPr>
                <w:rFonts w:ascii="宋体" w:hAnsi="宋体" w:eastAsia="宋体" w:cs="宋体"/>
                <w:spacing w:val="7"/>
                <w:sz w:val="21"/>
                <w:szCs w:val="21"/>
              </w:rPr>
              <w:t>a乘积=各因素加权系数的连乘；</w:t>
            </w:r>
          </w:p>
          <w:p w14:paraId="27AB4B8D">
            <w:pPr>
              <w:spacing w:before="67" w:line="216" w:lineRule="auto"/>
              <w:ind w:left="74"/>
              <w:rPr>
                <w:rFonts w:ascii="宋体" w:hAnsi="宋体" w:eastAsia="宋体" w:cs="宋体"/>
                <w:sz w:val="21"/>
                <w:szCs w:val="21"/>
              </w:rPr>
            </w:pPr>
            <w:r>
              <w:rPr>
                <w:rFonts w:ascii="宋体" w:hAnsi="宋体" w:eastAsia="宋体" w:cs="宋体"/>
                <w:sz w:val="21"/>
                <w:szCs w:val="21"/>
              </w:rPr>
              <w:t>b重要性系数：假设乘积值最大的工作项目重要性系数为10(或20、30),则</w:t>
            </w:r>
          </w:p>
          <w:p w14:paraId="07274F67">
            <w:pPr>
              <w:spacing w:before="117" w:line="432" w:lineRule="exact"/>
              <w:ind w:firstLine="1824"/>
            </w:pPr>
            <w:r>
              <w:rPr>
                <w:position w:val="-8"/>
              </w:rPr>
              <w:drawing>
                <wp:inline distT="0" distB="0" distL="0" distR="0">
                  <wp:extent cx="3613150" cy="273685"/>
                  <wp:effectExtent l="0" t="0" r="3175" b="6985"/>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695"/>
                          <a:stretch>
                            <a:fillRect/>
                          </a:stretch>
                        </pic:blipFill>
                        <pic:spPr>
                          <a:xfrm>
                            <a:off x="0" y="0"/>
                            <a:ext cx="3613506" cy="274005"/>
                          </a:xfrm>
                          <a:prstGeom prst="rect">
                            <a:avLst/>
                          </a:prstGeom>
                        </pic:spPr>
                      </pic:pic>
                    </a:graphicData>
                  </a:graphic>
                </wp:inline>
              </w:drawing>
            </w:r>
          </w:p>
        </w:tc>
      </w:tr>
    </w:tbl>
    <w:p w14:paraId="4D013E7C">
      <w:pPr>
        <w:spacing w:before="240" w:line="222"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27"/>
          <w:sz w:val="27"/>
          <w:szCs w:val="27"/>
        </w:rPr>
        <w:t xml:space="preserve">  </w:t>
      </w:r>
      <w:r>
        <w:rPr>
          <w:rFonts w:ascii="黑体" w:hAnsi="黑体" w:eastAsia="黑体" w:cs="黑体"/>
          <w:b/>
          <w:bCs/>
          <w:sz w:val="27"/>
          <w:szCs w:val="27"/>
        </w:rPr>
        <w:t>可靠性工作项目主要实施内容</w:t>
      </w:r>
    </w:p>
    <w:p w14:paraId="4CFA19EF">
      <w:pPr>
        <w:pStyle w:val="2"/>
        <w:spacing w:before="122" w:line="219" w:lineRule="auto"/>
        <w:ind w:left="570"/>
      </w:pPr>
      <w:r>
        <w:t>明确可靠性工作项目要求的细节，以确保可靠性工作项目的实施效果。</w:t>
      </w:r>
    </w:p>
    <w:p w14:paraId="5E288BD6">
      <w:pPr>
        <w:spacing w:line="219" w:lineRule="auto"/>
        <w:sectPr>
          <w:footerReference r:id="rId358" w:type="default"/>
          <w:pgSz w:w="11910" w:h="17130"/>
          <w:pgMar w:top="1385" w:right="1305" w:bottom="1716" w:left="1140" w:header="0" w:footer="1527" w:gutter="0"/>
          <w:cols w:space="720" w:num="1"/>
        </w:sectPr>
      </w:pPr>
    </w:p>
    <w:p w14:paraId="0F09F67A">
      <w:pPr>
        <w:spacing w:line="339" w:lineRule="auto"/>
        <w:rPr>
          <w:rFonts w:ascii="Arial"/>
          <w:sz w:val="21"/>
        </w:rPr>
      </w:pPr>
    </w:p>
    <w:p w14:paraId="0A93898D">
      <w:pPr>
        <w:pStyle w:val="2"/>
        <w:spacing w:before="114" w:line="221" w:lineRule="auto"/>
        <w:ind w:left="3340"/>
        <w:rPr>
          <w:sz w:val="35"/>
          <w:szCs w:val="35"/>
        </w:rPr>
      </w:pPr>
      <w:r>
        <w:rPr>
          <w:spacing w:val="4"/>
          <w:sz w:val="35"/>
          <w:szCs w:val="35"/>
        </w:rPr>
        <w:t>7.3</w:t>
      </w:r>
      <w:r>
        <w:rPr>
          <w:spacing w:val="32"/>
          <w:sz w:val="35"/>
          <w:szCs w:val="35"/>
        </w:rPr>
        <w:t xml:space="preserve">  </w:t>
      </w:r>
      <w:r>
        <w:rPr>
          <w:b/>
          <w:bCs/>
          <w:spacing w:val="4"/>
          <w:sz w:val="35"/>
          <w:szCs w:val="35"/>
        </w:rPr>
        <w:t>可靠性计划</w:t>
      </w:r>
    </w:p>
    <w:p w14:paraId="0A31A166">
      <w:pPr>
        <w:spacing w:line="341" w:lineRule="auto"/>
        <w:rPr>
          <w:rFonts w:ascii="Arial"/>
          <w:sz w:val="21"/>
        </w:rPr>
      </w:pPr>
    </w:p>
    <w:p w14:paraId="39FE2E0C">
      <w:pPr>
        <w:pStyle w:val="2"/>
        <w:spacing w:before="91" w:line="223" w:lineRule="auto"/>
        <w:ind w:left="57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 450A—2004</w:t>
      </w:r>
      <w:r>
        <w:rPr>
          <w:spacing w:val="-9"/>
          <w:sz w:val="28"/>
          <w:szCs w:val="28"/>
        </w:rPr>
        <w:t>《</w:t>
      </w:r>
      <w:r>
        <w:rPr>
          <w:rFonts w:ascii="楷体" w:hAnsi="楷体" w:eastAsia="楷体" w:cs="楷体"/>
          <w:spacing w:val="-9"/>
          <w:sz w:val="28"/>
          <w:szCs w:val="28"/>
        </w:rPr>
        <w:t>装备可靠性工</w:t>
      </w:r>
      <w:r>
        <w:rPr>
          <w:rFonts w:ascii="楷体" w:hAnsi="楷体" w:eastAsia="楷体" w:cs="楷体"/>
          <w:spacing w:val="-10"/>
          <w:sz w:val="28"/>
          <w:szCs w:val="28"/>
        </w:rPr>
        <w:t>作通用要求》编写。</w:t>
      </w:r>
    </w:p>
    <w:p w14:paraId="45DD7223">
      <w:pPr>
        <w:spacing w:before="10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32"/>
          <w:sz w:val="27"/>
          <w:szCs w:val="27"/>
        </w:rPr>
        <w:t xml:space="preserve">  </w:t>
      </w:r>
      <w:r>
        <w:rPr>
          <w:rFonts w:ascii="黑体" w:hAnsi="黑体" w:eastAsia="黑体" w:cs="黑体"/>
          <w:b/>
          <w:bCs/>
          <w:spacing w:val="-8"/>
          <w:sz w:val="27"/>
          <w:szCs w:val="27"/>
        </w:rPr>
        <w:t>范围</w:t>
      </w:r>
    </w:p>
    <w:p w14:paraId="18DD0BBB">
      <w:pPr>
        <w:spacing w:before="14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23"/>
          <w:sz w:val="27"/>
          <w:szCs w:val="27"/>
        </w:rPr>
        <w:t xml:space="preserve">  </w:t>
      </w:r>
      <w:r>
        <w:rPr>
          <w:rFonts w:ascii="黑体" w:hAnsi="黑体" w:eastAsia="黑体" w:cs="黑体"/>
          <w:b/>
          <w:bCs/>
          <w:spacing w:val="-1"/>
          <w:sz w:val="27"/>
          <w:szCs w:val="27"/>
        </w:rPr>
        <w:t>引用文件</w:t>
      </w:r>
    </w:p>
    <w:p w14:paraId="39326C6A">
      <w:pPr>
        <w:spacing w:before="147"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24"/>
          <w:sz w:val="27"/>
          <w:szCs w:val="27"/>
        </w:rPr>
        <w:t xml:space="preserve">  </w:t>
      </w:r>
      <w:r>
        <w:rPr>
          <w:rFonts w:ascii="黑体" w:hAnsi="黑体" w:eastAsia="黑体" w:cs="黑体"/>
          <w:b/>
          <w:bCs/>
          <w:spacing w:val="-1"/>
          <w:sz w:val="27"/>
          <w:szCs w:val="27"/>
        </w:rPr>
        <w:t>总体要求和安排</w:t>
      </w:r>
    </w:p>
    <w:p w14:paraId="6F97CA70">
      <w:pPr>
        <w:pStyle w:val="2"/>
        <w:spacing w:before="119" w:line="219" w:lineRule="auto"/>
        <w:ind w:left="570"/>
      </w:pPr>
      <w:r>
        <w:rPr>
          <w:spacing w:val="4"/>
        </w:rPr>
        <w:t>说明装备可靠性工作的总体要求和安排。</w:t>
      </w:r>
    </w:p>
    <w:p w14:paraId="072E8024">
      <w:pPr>
        <w:spacing w:before="113" w:line="221" w:lineRule="auto"/>
        <w:outlineLvl w:val="3"/>
        <w:rPr>
          <w:rFonts w:ascii="黑体" w:hAnsi="黑体" w:eastAsia="黑体" w:cs="黑体"/>
          <w:sz w:val="27"/>
          <w:szCs w:val="27"/>
        </w:rPr>
      </w:pPr>
      <w:r>
        <w:rPr>
          <w:rFonts w:ascii="Arial" w:hAnsi="Arial" w:eastAsia="Arial" w:cs="Arial"/>
          <w:b/>
          <w:bCs/>
          <w:spacing w:val="2"/>
          <w:sz w:val="27"/>
          <w:szCs w:val="27"/>
        </w:rPr>
        <w:t>4</w:t>
      </w:r>
      <w:r>
        <w:rPr>
          <w:rFonts w:ascii="Arial" w:hAnsi="Arial" w:eastAsia="Arial" w:cs="Arial"/>
          <w:b/>
          <w:bCs/>
          <w:spacing w:val="26"/>
          <w:w w:val="101"/>
          <w:sz w:val="27"/>
          <w:szCs w:val="27"/>
        </w:rPr>
        <w:t xml:space="preserve">   </w:t>
      </w:r>
      <w:r>
        <w:rPr>
          <w:rFonts w:ascii="黑体" w:hAnsi="黑体" w:eastAsia="黑体" w:cs="黑体"/>
          <w:b/>
          <w:bCs/>
          <w:spacing w:val="2"/>
          <w:sz w:val="27"/>
          <w:szCs w:val="27"/>
        </w:rPr>
        <w:t>管理和实施机构及其职责</w:t>
      </w:r>
    </w:p>
    <w:p w14:paraId="1522FB22">
      <w:pPr>
        <w:pStyle w:val="2"/>
        <w:spacing w:before="122" w:line="276" w:lineRule="auto"/>
        <w:ind w:right="120" w:firstLine="570"/>
      </w:pPr>
      <w:r>
        <w:rPr>
          <w:spacing w:val="5"/>
        </w:rPr>
        <w:t>分别确定可靠性工作的管理与实施机构及其职责。应明确订购方完成的工</w:t>
      </w:r>
      <w:r>
        <w:rPr>
          <w:spacing w:val="3"/>
        </w:rPr>
        <w:t xml:space="preserve"> </w:t>
      </w:r>
      <w:r>
        <w:rPr>
          <w:spacing w:val="-5"/>
        </w:rPr>
        <w:t>作项目及其要求、主要工作内容、进度安排以及</w:t>
      </w:r>
      <w:r>
        <w:rPr>
          <w:spacing w:val="-6"/>
        </w:rPr>
        <w:t>实施单位等。</w:t>
      </w:r>
    </w:p>
    <w:p w14:paraId="45459EE5">
      <w:pPr>
        <w:spacing w:before="17" w:line="222" w:lineRule="auto"/>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spacing w:val="23"/>
          <w:sz w:val="27"/>
          <w:szCs w:val="27"/>
        </w:rPr>
        <w:t xml:space="preserve">  </w:t>
      </w:r>
      <w:r>
        <w:rPr>
          <w:rFonts w:ascii="黑体" w:hAnsi="黑体" w:eastAsia="黑体" w:cs="黑体"/>
          <w:b/>
          <w:bCs/>
          <w:spacing w:val="-2"/>
          <w:sz w:val="27"/>
          <w:szCs w:val="27"/>
        </w:rPr>
        <w:t>论证工作安排</w:t>
      </w:r>
    </w:p>
    <w:p w14:paraId="7FD260AD">
      <w:pPr>
        <w:pStyle w:val="2"/>
        <w:spacing w:before="131" w:line="219" w:lineRule="auto"/>
        <w:ind w:left="570"/>
      </w:pPr>
      <w:r>
        <w:rPr>
          <w:spacing w:val="-2"/>
        </w:rPr>
        <w:t>说明可靠性要求、可靠性工作项目要求的论证工作的安排。</w:t>
      </w:r>
    </w:p>
    <w:p w14:paraId="3E567553">
      <w:pPr>
        <w:spacing w:before="94" w:line="222"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27"/>
          <w:sz w:val="27"/>
          <w:szCs w:val="27"/>
        </w:rPr>
        <w:t xml:space="preserve">  </w:t>
      </w:r>
      <w:r>
        <w:rPr>
          <w:rFonts w:ascii="黑体" w:hAnsi="黑体" w:eastAsia="黑体" w:cs="黑体"/>
          <w:b/>
          <w:bCs/>
          <w:sz w:val="27"/>
          <w:szCs w:val="27"/>
        </w:rPr>
        <w:t>信息工作要求与安排</w:t>
      </w:r>
    </w:p>
    <w:p w14:paraId="45BCF6DB">
      <w:pPr>
        <w:pStyle w:val="2"/>
        <w:spacing w:before="131" w:line="219" w:lineRule="auto"/>
        <w:ind w:left="570"/>
      </w:pPr>
      <w:r>
        <w:rPr>
          <w:spacing w:val="2"/>
        </w:rPr>
        <w:t>说明可靠性信息工作的要求与安排。</w:t>
      </w:r>
    </w:p>
    <w:p w14:paraId="667CBF90">
      <w:pPr>
        <w:pStyle w:val="2"/>
        <w:spacing w:before="81" w:line="273" w:lineRule="auto"/>
        <w:ind w:firstLine="570"/>
      </w:pPr>
      <w:r>
        <w:t>可靠性信息包括装备论证、研制、生产和使用期间产生的有关可靠性数据、</w:t>
      </w:r>
      <w:r>
        <w:rPr>
          <w:spacing w:val="14"/>
        </w:rPr>
        <w:t xml:space="preserve"> </w:t>
      </w:r>
      <w:r>
        <w:rPr>
          <w:spacing w:val="4"/>
        </w:rPr>
        <w:t>报告及文件等。可靠性信息工作的主要要求有：</w:t>
      </w:r>
    </w:p>
    <w:p w14:paraId="301EC3D9">
      <w:pPr>
        <w:pStyle w:val="2"/>
        <w:spacing w:line="260" w:lineRule="auto"/>
        <w:ind w:right="122" w:firstLine="570"/>
      </w:pPr>
      <w:r>
        <w:rPr>
          <w:rFonts w:ascii="Times New Roman" w:hAnsi="Times New Roman" w:eastAsia="Times New Roman" w:cs="Times New Roman"/>
          <w:spacing w:val="7"/>
        </w:rPr>
        <w:t>a)</w:t>
      </w:r>
      <w:r>
        <w:rPr>
          <w:rFonts w:ascii="Times New Roman" w:hAnsi="Times New Roman" w:eastAsia="Times New Roman" w:cs="Times New Roman"/>
          <w:spacing w:val="68"/>
        </w:rPr>
        <w:t xml:space="preserve"> </w:t>
      </w:r>
      <w:r>
        <w:rPr>
          <w:spacing w:val="7"/>
        </w:rPr>
        <w:t>可靠性信息应作为装备质量信息的重要内容按</w:t>
      </w:r>
      <w:r>
        <w:rPr>
          <w:rFonts w:ascii="Times New Roman" w:hAnsi="Times New Roman" w:eastAsia="Times New Roman" w:cs="Times New Roman"/>
        </w:rPr>
        <w:t>GJB</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7"/>
        </w:rPr>
        <w:t>1686</w:t>
      </w:r>
      <w:r>
        <w:rPr>
          <w:spacing w:val="7"/>
        </w:rPr>
        <w:t>的规定实施统</w:t>
      </w:r>
      <w:r>
        <w:t xml:space="preserve"> </w:t>
      </w:r>
      <w:r>
        <w:rPr>
          <w:spacing w:val="-2"/>
        </w:rPr>
        <w:t>一管理；</w:t>
      </w:r>
    </w:p>
    <w:p w14:paraId="33CB8EE0">
      <w:pPr>
        <w:pStyle w:val="2"/>
        <w:spacing w:before="68" w:line="265" w:lineRule="auto"/>
        <w:ind w:right="20" w:firstLine="570"/>
      </w:pPr>
      <w:r>
        <w:rPr>
          <w:rFonts w:ascii="Times New Roman" w:hAnsi="Times New Roman" w:eastAsia="Times New Roman" w:cs="Times New Roman"/>
          <w:spacing w:val="2"/>
        </w:rPr>
        <w:t>b)</w:t>
      </w:r>
      <w:r>
        <w:rPr>
          <w:rFonts w:ascii="Times New Roman" w:hAnsi="Times New Roman" w:eastAsia="Times New Roman" w:cs="Times New Roman"/>
          <w:spacing w:val="71"/>
        </w:rPr>
        <w:t xml:space="preserve"> </w:t>
      </w:r>
      <w:r>
        <w:rPr>
          <w:spacing w:val="2"/>
        </w:rPr>
        <w:t>应明确装备寿命周期各阶段对可靠性信息的要求，并通过利用或完善现</w:t>
      </w:r>
      <w:r>
        <w:t xml:space="preserve"> </w:t>
      </w:r>
      <w:r>
        <w:rPr>
          <w:spacing w:val="1"/>
        </w:rPr>
        <w:t>有的信息系统，建立故障报告、分析和纠正措施系统(</w:t>
      </w:r>
      <w:r>
        <w:rPr>
          <w:spacing w:val="-62"/>
        </w:rPr>
        <w:t xml:space="preserve"> </w:t>
      </w:r>
      <w:r>
        <w:rPr>
          <w:rFonts w:ascii="Times New Roman" w:hAnsi="Times New Roman" w:eastAsia="Times New Roman" w:cs="Times New Roman"/>
        </w:rPr>
        <w:t>FRACAS</w:t>
      </w:r>
      <w:r>
        <w:rPr>
          <w:rFonts w:ascii="Times New Roman" w:hAnsi="Times New Roman" w:eastAsia="Times New Roman" w:cs="Times New Roman"/>
          <w:spacing w:val="1"/>
        </w:rPr>
        <w:t>)</w:t>
      </w:r>
      <w:r>
        <w:rPr>
          <w:rFonts w:ascii="Times New Roman" w:hAnsi="Times New Roman" w:eastAsia="Times New Roman" w:cs="Times New Roman"/>
        </w:rPr>
        <w:t xml:space="preserve">,   </w:t>
      </w:r>
      <w:r>
        <w:t xml:space="preserve">有效地收集、 </w:t>
      </w:r>
      <w:r>
        <w:rPr>
          <w:spacing w:val="-12"/>
        </w:rPr>
        <w:t>记录、分析、处理和反馈可靠性信息；</w:t>
      </w:r>
    </w:p>
    <w:p w14:paraId="4066D9A4">
      <w:pPr>
        <w:pStyle w:val="2"/>
        <w:spacing w:before="68" w:line="257" w:lineRule="auto"/>
        <w:ind w:right="123" w:firstLine="570"/>
      </w:pPr>
      <w:r>
        <w:rPr>
          <w:rFonts w:ascii="Times New Roman" w:hAnsi="Times New Roman" w:eastAsia="Times New Roman" w:cs="Times New Roman"/>
        </w:rPr>
        <w:t>c)</w:t>
      </w:r>
      <w:r>
        <w:rPr>
          <w:rFonts w:ascii="Times New Roman" w:hAnsi="Times New Roman" w:eastAsia="Times New Roman" w:cs="Times New Roman"/>
          <w:spacing w:val="53"/>
        </w:rPr>
        <w:t xml:space="preserve"> </w:t>
      </w:r>
      <w:r>
        <w:t>有关可靠性信息应按</w:t>
      </w:r>
      <w:r>
        <w:rPr>
          <w:rFonts w:ascii="Times New Roman" w:hAnsi="Times New Roman" w:eastAsia="Times New Roman" w:cs="Times New Roman"/>
        </w:rPr>
        <w:t>GJB</w:t>
      </w:r>
      <w:r>
        <w:rPr>
          <w:rFonts w:ascii="Times New Roman" w:hAnsi="Times New Roman" w:eastAsia="Times New Roman" w:cs="Times New Roman"/>
          <w:spacing w:val="31"/>
          <w:w w:val="101"/>
        </w:rPr>
        <w:t xml:space="preserve"> </w:t>
      </w:r>
      <w:r>
        <w:rPr>
          <w:rFonts w:ascii="Times New Roman" w:hAnsi="Times New Roman" w:eastAsia="Times New Roman" w:cs="Times New Roman"/>
        </w:rPr>
        <w:t>1775</w:t>
      </w:r>
      <w:r>
        <w:rPr>
          <w:rFonts w:ascii="Times New Roman" w:hAnsi="Times New Roman" w:eastAsia="Times New Roman" w:cs="Times New Roman"/>
          <w:spacing w:val="-39"/>
        </w:rPr>
        <w:t xml:space="preserve"> </w:t>
      </w:r>
      <w:r>
        <w:t>、</w:t>
      </w:r>
      <w:r>
        <w:rPr>
          <w:rFonts w:ascii="Times New Roman" w:hAnsi="Times New Roman" w:eastAsia="Times New Roman" w:cs="Times New Roman"/>
          <w:spacing w:val="-1"/>
        </w:rPr>
        <w:t>GJB 3837</w:t>
      </w:r>
      <w:r>
        <w:rPr>
          <w:rFonts w:ascii="Times New Roman" w:hAnsi="Times New Roman" w:eastAsia="Times New Roman" w:cs="Times New Roman"/>
          <w:spacing w:val="-22"/>
        </w:rPr>
        <w:t xml:space="preserve"> </w:t>
      </w:r>
      <w:r>
        <w:rPr>
          <w:spacing w:val="-1"/>
        </w:rPr>
        <w:t>等标准的要求，规定信息单元</w:t>
      </w:r>
      <w:r>
        <w:t xml:space="preserve"> </w:t>
      </w:r>
      <w:r>
        <w:rPr>
          <w:spacing w:val="2"/>
        </w:rPr>
        <w:t>的名称和代码；</w:t>
      </w:r>
    </w:p>
    <w:p w14:paraId="3C6C26C0">
      <w:pPr>
        <w:pStyle w:val="2"/>
        <w:spacing w:before="80" w:line="255" w:lineRule="auto"/>
        <w:ind w:right="106" w:firstLine="570"/>
      </w:pPr>
      <w:r>
        <w:rPr>
          <w:rFonts w:ascii="Times New Roman" w:hAnsi="Times New Roman" w:eastAsia="Times New Roman" w:cs="Times New Roman"/>
          <w:spacing w:val="12"/>
        </w:rPr>
        <w:t>d)</w:t>
      </w:r>
      <w:r>
        <w:rPr>
          <w:rFonts w:ascii="Times New Roman" w:hAnsi="Times New Roman" w:eastAsia="Times New Roman" w:cs="Times New Roman"/>
          <w:spacing w:val="46"/>
          <w:w w:val="101"/>
        </w:rPr>
        <w:t xml:space="preserve"> </w:t>
      </w:r>
      <w:r>
        <w:rPr>
          <w:spacing w:val="12"/>
        </w:rPr>
        <w:t>订购方和承制方相互提供的可靠性信息及其要求均应在相</w:t>
      </w:r>
      <w:r>
        <w:rPr>
          <w:spacing w:val="11"/>
        </w:rPr>
        <w:t>应的合同中</w:t>
      </w:r>
      <w:r>
        <w:t xml:space="preserve"> </w:t>
      </w:r>
      <w:r>
        <w:rPr>
          <w:spacing w:val="1"/>
        </w:rPr>
        <w:t>明确，其中可靠性工作报告的格式应符合</w:t>
      </w:r>
      <w:r>
        <w:rPr>
          <w:rFonts w:ascii="Times New Roman" w:hAnsi="Times New Roman" w:eastAsia="Times New Roman" w:cs="Times New Roman"/>
        </w:rPr>
        <w:t>GJB</w:t>
      </w:r>
      <w:r>
        <w:rPr>
          <w:rFonts w:ascii="Times New Roman" w:hAnsi="Times New Roman" w:eastAsia="Times New Roman" w:cs="Times New Roman"/>
          <w:spacing w:val="1"/>
        </w:rPr>
        <w:t>/Z   23</w:t>
      </w:r>
      <w:r>
        <w:rPr>
          <w:spacing w:val="1"/>
        </w:rPr>
        <w:t>的规定。</w:t>
      </w:r>
    </w:p>
    <w:p w14:paraId="50C565F1">
      <w:pPr>
        <w:spacing w:before="117" w:line="221" w:lineRule="auto"/>
        <w:outlineLvl w:val="3"/>
        <w:rPr>
          <w:rFonts w:ascii="黑体" w:hAnsi="黑体" w:eastAsia="黑体" w:cs="黑体"/>
          <w:sz w:val="24"/>
          <w:szCs w:val="24"/>
        </w:rPr>
      </w:pPr>
      <w:r>
        <w:rPr>
          <w:rFonts w:ascii="Arial" w:hAnsi="Arial" w:eastAsia="Arial" w:cs="Arial"/>
          <w:b/>
          <w:bCs/>
          <w:spacing w:val="26"/>
          <w:sz w:val="24"/>
          <w:szCs w:val="24"/>
        </w:rPr>
        <w:t xml:space="preserve">7    </w:t>
      </w:r>
      <w:r>
        <w:rPr>
          <w:rFonts w:ascii="黑体" w:hAnsi="黑体" w:eastAsia="黑体" w:cs="黑体"/>
          <w:b/>
          <w:bCs/>
          <w:spacing w:val="26"/>
          <w:sz w:val="24"/>
          <w:szCs w:val="24"/>
        </w:rPr>
        <w:t>对承制方监督与控制工作安排</w:t>
      </w:r>
    </w:p>
    <w:p w14:paraId="29168E7C">
      <w:pPr>
        <w:pStyle w:val="2"/>
        <w:spacing w:before="106" w:line="280" w:lineRule="auto"/>
        <w:ind w:right="119" w:firstLine="570"/>
        <w:jc w:val="both"/>
      </w:pPr>
      <w:r>
        <w:rPr>
          <w:spacing w:val="5"/>
        </w:rPr>
        <w:t>明确订购方对承制方(或承制方对转承制方和供应方)可靠性工作实施监督</w:t>
      </w:r>
      <w:r>
        <w:t xml:space="preserve"> </w:t>
      </w:r>
      <w:r>
        <w:rPr>
          <w:spacing w:val="-3"/>
        </w:rPr>
        <w:t>与控制等工作安排。主要包括下述内容：可靠性定量与定性要求及验证方法；对</w:t>
      </w:r>
      <w:r>
        <w:rPr>
          <w:spacing w:val="5"/>
        </w:rPr>
        <w:t xml:space="preserve"> </w:t>
      </w:r>
      <w:r>
        <w:rPr>
          <w:spacing w:val="6"/>
        </w:rPr>
        <w:t>转承制方可靠性工作项目的要求；对转承制方可靠性工作</w:t>
      </w:r>
      <w:r>
        <w:rPr>
          <w:spacing w:val="5"/>
        </w:rPr>
        <w:t>实施监督和检查的安</w:t>
      </w:r>
      <w:r>
        <w:t xml:space="preserve"> </w:t>
      </w:r>
      <w:r>
        <w:rPr>
          <w:spacing w:val="3"/>
        </w:rPr>
        <w:t>排；转承制方执行</w:t>
      </w:r>
      <w:r>
        <w:rPr>
          <w:rFonts w:ascii="Times New Roman" w:hAnsi="Times New Roman" w:eastAsia="Times New Roman" w:cs="Times New Roman"/>
        </w:rPr>
        <w:t>FRACAS</w:t>
      </w:r>
      <w:r>
        <w:rPr>
          <w:rFonts w:ascii="Times New Roman" w:hAnsi="Times New Roman" w:eastAsia="Times New Roman" w:cs="Times New Roman"/>
          <w:spacing w:val="3"/>
        </w:rPr>
        <w:t xml:space="preserve">  </w:t>
      </w:r>
      <w:r>
        <w:rPr>
          <w:spacing w:val="3"/>
        </w:rPr>
        <w:t>的要求；承制方参加转承制</w:t>
      </w:r>
      <w:r>
        <w:rPr>
          <w:spacing w:val="2"/>
        </w:rPr>
        <w:t>方产品设计评审、可靠</w:t>
      </w:r>
      <w:r>
        <w:t xml:space="preserve"> </w:t>
      </w:r>
      <w:r>
        <w:rPr>
          <w:spacing w:val="-2"/>
        </w:rPr>
        <w:t>性试验的规定；转承制方或供应方提供产品规范、图样</w:t>
      </w:r>
      <w:r>
        <w:rPr>
          <w:spacing w:val="-3"/>
        </w:rPr>
        <w:t>、可靠性数据资料和其他</w:t>
      </w:r>
      <w:r>
        <w:t xml:space="preserve"> </w:t>
      </w:r>
      <w:r>
        <w:rPr>
          <w:spacing w:val="5"/>
        </w:rPr>
        <w:t>技术文件等要求。</w:t>
      </w:r>
    </w:p>
    <w:p w14:paraId="734B504B">
      <w:pPr>
        <w:spacing w:line="280" w:lineRule="auto"/>
        <w:sectPr>
          <w:footerReference r:id="rId359" w:type="default"/>
          <w:pgSz w:w="11910" w:h="17130"/>
          <w:pgMar w:top="1456" w:right="884" w:bottom="1617" w:left="1529" w:header="0" w:footer="1400" w:gutter="0"/>
          <w:cols w:space="720" w:num="1"/>
        </w:sectPr>
      </w:pPr>
    </w:p>
    <w:p w14:paraId="1C406EC8">
      <w:pPr>
        <w:spacing w:before="109" w:line="222" w:lineRule="auto"/>
        <w:rPr>
          <w:rFonts w:ascii="黑体" w:hAnsi="黑体" w:eastAsia="黑体" w:cs="黑体"/>
          <w:sz w:val="27"/>
          <w:szCs w:val="27"/>
        </w:rPr>
      </w:pPr>
      <w:r>
        <w:rPr>
          <w:rFonts w:ascii="黑体" w:hAnsi="黑体" w:eastAsia="黑体" w:cs="黑体"/>
          <w:spacing w:val="3"/>
          <w:sz w:val="27"/>
          <w:szCs w:val="27"/>
        </w:rPr>
        <w:t xml:space="preserve">8  </w:t>
      </w:r>
      <w:r>
        <w:rPr>
          <w:rFonts w:ascii="黑体" w:hAnsi="黑体" w:eastAsia="黑体" w:cs="黑体"/>
          <w:b/>
          <w:bCs/>
          <w:spacing w:val="3"/>
          <w:sz w:val="27"/>
          <w:szCs w:val="27"/>
        </w:rPr>
        <w:t>评审工作要求与安排</w:t>
      </w:r>
    </w:p>
    <w:p w14:paraId="7B43C217">
      <w:pPr>
        <w:pStyle w:val="2"/>
        <w:spacing w:before="101" w:line="273" w:lineRule="auto"/>
        <w:ind w:right="72" w:firstLine="570"/>
        <w:jc w:val="both"/>
      </w:pPr>
      <w:r>
        <w:rPr>
          <w:spacing w:val="-3"/>
        </w:rPr>
        <w:t>明确需要进行的可靠性评审，提出对评审工作的要求和安排，即在制定可靠</w:t>
      </w:r>
      <w:r>
        <w:rPr>
          <w:spacing w:val="10"/>
        </w:rPr>
        <w:t xml:space="preserve"> </w:t>
      </w:r>
      <w:r>
        <w:rPr>
          <w:spacing w:val="-10"/>
        </w:rPr>
        <w:t>性评审计划，提供有关评审的文件和资料，与作战性能、安全性、维修性、综合保</w:t>
      </w:r>
      <w:r>
        <w:rPr>
          <w:spacing w:val="8"/>
        </w:rPr>
        <w:t xml:space="preserve"> </w:t>
      </w:r>
      <w:r>
        <w:rPr>
          <w:spacing w:val="-2"/>
        </w:rPr>
        <w:t>障等评审的协调情况，形成文件的评审结果等方面的要求。</w:t>
      </w:r>
    </w:p>
    <w:p w14:paraId="3735CD8C">
      <w:pPr>
        <w:pStyle w:val="2"/>
        <w:spacing w:before="1" w:line="297" w:lineRule="auto"/>
        <w:ind w:firstLine="570"/>
        <w:rPr>
          <w:sz w:val="25"/>
          <w:szCs w:val="25"/>
        </w:rPr>
      </w:pPr>
      <w:r>
        <w:rPr>
          <w:spacing w:val="26"/>
          <w:sz w:val="25"/>
          <w:szCs w:val="25"/>
        </w:rPr>
        <w:t>可靠性评审主要包括订购方内部的可靠性评</w:t>
      </w:r>
      <w:r>
        <w:rPr>
          <w:spacing w:val="25"/>
          <w:sz w:val="25"/>
          <w:szCs w:val="25"/>
        </w:rPr>
        <w:t>审和按合同要求对承制方、转</w:t>
      </w:r>
      <w:r>
        <w:rPr>
          <w:sz w:val="25"/>
          <w:szCs w:val="25"/>
        </w:rPr>
        <w:t xml:space="preserve"> </w:t>
      </w:r>
      <w:r>
        <w:rPr>
          <w:spacing w:val="20"/>
          <w:sz w:val="25"/>
          <w:szCs w:val="25"/>
        </w:rPr>
        <w:t>承制方进行的可靠性评审，还应包括承制方和转承制方进行的内部可靠性评审。</w:t>
      </w:r>
    </w:p>
    <w:p w14:paraId="67DD3F39">
      <w:pPr>
        <w:spacing w:before="1" w:line="221" w:lineRule="auto"/>
        <w:rPr>
          <w:rFonts w:ascii="黑体" w:hAnsi="黑体" w:eastAsia="黑体" w:cs="黑体"/>
          <w:sz w:val="27"/>
          <w:szCs w:val="27"/>
        </w:rPr>
      </w:pPr>
      <w:r>
        <w:rPr>
          <w:rFonts w:ascii="黑体" w:hAnsi="黑体" w:eastAsia="黑体" w:cs="黑体"/>
          <w:spacing w:val="3"/>
          <w:sz w:val="27"/>
          <w:szCs w:val="27"/>
        </w:rPr>
        <w:t xml:space="preserve">9  </w:t>
      </w:r>
      <w:r>
        <w:rPr>
          <w:rFonts w:ascii="黑体" w:hAnsi="黑体" w:eastAsia="黑体" w:cs="黑体"/>
          <w:b/>
          <w:bCs/>
          <w:spacing w:val="3"/>
          <w:sz w:val="27"/>
          <w:szCs w:val="27"/>
        </w:rPr>
        <w:t>使用可靠性评估与改进工作要求与安排</w:t>
      </w:r>
    </w:p>
    <w:p w14:paraId="4EA55814">
      <w:pPr>
        <w:pStyle w:val="2"/>
        <w:spacing w:before="68" w:line="283" w:lineRule="auto"/>
        <w:ind w:left="70" w:right="68" w:firstLine="499"/>
      </w:pPr>
      <w:r>
        <w:rPr>
          <w:spacing w:val="-3"/>
        </w:rPr>
        <w:t>明确对使用可靠性信息收集、使用可靠性评估、使用可靠性改进三个工作项</w:t>
      </w:r>
      <w:r>
        <w:rPr>
          <w:spacing w:val="14"/>
        </w:rPr>
        <w:t xml:space="preserve"> </w:t>
      </w:r>
      <w:r>
        <w:rPr>
          <w:spacing w:val="-2"/>
        </w:rPr>
        <w:t>目的要求与安排。</w:t>
      </w:r>
    </w:p>
    <w:p w14:paraId="3FC4B3D3">
      <w:pPr>
        <w:spacing w:before="1" w:line="221" w:lineRule="auto"/>
        <w:rPr>
          <w:rFonts w:ascii="黑体" w:hAnsi="黑体" w:eastAsia="黑体" w:cs="黑体"/>
          <w:sz w:val="27"/>
          <w:szCs w:val="27"/>
        </w:rPr>
      </w:pPr>
      <w:r>
        <w:rPr>
          <w:rFonts w:ascii="黑体" w:hAnsi="黑体" w:eastAsia="黑体" w:cs="黑体"/>
          <w:spacing w:val="-2"/>
          <w:sz w:val="27"/>
          <w:szCs w:val="27"/>
        </w:rPr>
        <w:t>10</w:t>
      </w:r>
      <w:r>
        <w:rPr>
          <w:rFonts w:ascii="黑体" w:hAnsi="黑体" w:eastAsia="黑体" w:cs="黑体"/>
          <w:spacing w:val="29"/>
          <w:sz w:val="27"/>
          <w:szCs w:val="27"/>
        </w:rPr>
        <w:t xml:space="preserve">  </w:t>
      </w:r>
      <w:r>
        <w:rPr>
          <w:rFonts w:ascii="黑体" w:hAnsi="黑体" w:eastAsia="黑体" w:cs="黑体"/>
          <w:b/>
          <w:bCs/>
          <w:spacing w:val="-2"/>
          <w:sz w:val="27"/>
          <w:szCs w:val="27"/>
        </w:rPr>
        <w:t>工作进度</w:t>
      </w:r>
    </w:p>
    <w:p w14:paraId="170C8978">
      <w:pPr>
        <w:pStyle w:val="2"/>
        <w:spacing w:before="91" w:line="219" w:lineRule="auto"/>
        <w:ind w:left="570"/>
      </w:pPr>
      <w:r>
        <w:rPr>
          <w:spacing w:val="1"/>
        </w:rPr>
        <w:t>明确可靠性各项工作的计划进度。</w:t>
      </w:r>
    </w:p>
    <w:p w14:paraId="26690194">
      <w:pPr>
        <w:spacing w:line="350" w:lineRule="auto"/>
        <w:rPr>
          <w:rFonts w:ascii="Arial"/>
          <w:sz w:val="21"/>
        </w:rPr>
      </w:pPr>
    </w:p>
    <w:p w14:paraId="0B6ECA81">
      <w:pPr>
        <w:pStyle w:val="2"/>
        <w:spacing w:before="117" w:line="220" w:lineRule="auto"/>
        <w:ind w:left="1869"/>
        <w:outlineLvl w:val="1"/>
        <w:rPr>
          <w:sz w:val="36"/>
          <w:szCs w:val="36"/>
        </w:rPr>
      </w:pPr>
      <w:r>
        <w:rPr>
          <w:rFonts w:ascii="Times New Roman" w:hAnsi="Times New Roman" w:eastAsia="Times New Roman" w:cs="Times New Roman"/>
          <w:b/>
          <w:bCs/>
          <w:spacing w:val="4"/>
          <w:sz w:val="36"/>
          <w:szCs w:val="36"/>
        </w:rPr>
        <w:t xml:space="preserve">7.4     </w:t>
      </w:r>
      <w:r>
        <w:rPr>
          <w:b/>
          <w:bCs/>
          <w:spacing w:val="4"/>
          <w:sz w:val="36"/>
          <w:szCs w:val="36"/>
        </w:rPr>
        <w:t>可靠性工作计划(可靠性大纲)</w:t>
      </w:r>
    </w:p>
    <w:p w14:paraId="5090A0F2">
      <w:pPr>
        <w:spacing w:line="361" w:lineRule="auto"/>
        <w:rPr>
          <w:rFonts w:ascii="Arial"/>
          <w:sz w:val="21"/>
        </w:rPr>
      </w:pPr>
    </w:p>
    <w:p w14:paraId="6883D87F">
      <w:pPr>
        <w:pStyle w:val="2"/>
        <w:spacing w:before="91" w:line="223" w:lineRule="auto"/>
        <w:ind w:left="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530C4BD0">
      <w:pPr>
        <w:spacing w:before="86"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034D58CF">
      <w:pPr>
        <w:spacing w:before="121" w:line="222" w:lineRule="auto"/>
        <w:rPr>
          <w:rFonts w:ascii="黑体" w:hAnsi="黑体" w:eastAsia="黑体" w:cs="黑体"/>
          <w:sz w:val="27"/>
          <w:szCs w:val="27"/>
        </w:rPr>
      </w:pPr>
      <w:r>
        <w:rPr>
          <w:rFonts w:ascii="黑体" w:hAnsi="黑体" w:eastAsia="黑体" w:cs="黑体"/>
          <w:spacing w:val="-5"/>
          <w:sz w:val="27"/>
          <w:szCs w:val="27"/>
        </w:rPr>
        <w:t>2</w:t>
      </w:r>
      <w:r>
        <w:rPr>
          <w:rFonts w:ascii="黑体" w:hAnsi="黑体" w:eastAsia="黑体" w:cs="黑体"/>
          <w:spacing w:val="13"/>
          <w:sz w:val="27"/>
          <w:szCs w:val="27"/>
        </w:rPr>
        <w:t xml:space="preserve">  </w:t>
      </w:r>
      <w:r>
        <w:rPr>
          <w:rFonts w:ascii="黑体" w:hAnsi="黑体" w:eastAsia="黑体" w:cs="黑体"/>
          <w:b/>
          <w:bCs/>
          <w:spacing w:val="-5"/>
          <w:sz w:val="27"/>
          <w:szCs w:val="27"/>
        </w:rPr>
        <w:t>引用文件</w:t>
      </w:r>
    </w:p>
    <w:p w14:paraId="39FE1A7C">
      <w:pPr>
        <w:spacing w:before="125" w:line="222"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14"/>
          <w:sz w:val="27"/>
          <w:szCs w:val="27"/>
        </w:rPr>
        <w:t xml:space="preserve">  </w:t>
      </w:r>
      <w:r>
        <w:rPr>
          <w:rFonts w:ascii="黑体" w:hAnsi="黑体" w:eastAsia="黑体" w:cs="黑体"/>
          <w:b/>
          <w:bCs/>
          <w:spacing w:val="-3"/>
          <w:sz w:val="27"/>
          <w:szCs w:val="27"/>
        </w:rPr>
        <w:t>可靠性要求</w:t>
      </w:r>
    </w:p>
    <w:p w14:paraId="05EF2151">
      <w:pPr>
        <w:pStyle w:val="2"/>
        <w:spacing w:before="141" w:line="219" w:lineRule="auto"/>
        <w:ind w:left="570"/>
      </w:pPr>
      <w:r>
        <w:rPr>
          <w:spacing w:val="-3"/>
        </w:rPr>
        <w:t>说明订购方提出的产品可靠性定量、定性要求。</w:t>
      </w:r>
    </w:p>
    <w:p w14:paraId="3E0A3535">
      <w:pPr>
        <w:spacing w:before="74" w:line="222"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可靠性工作项目</w:t>
      </w:r>
    </w:p>
    <w:p w14:paraId="1AB7BC01">
      <w:pPr>
        <w:pStyle w:val="2"/>
        <w:spacing w:before="150" w:line="294" w:lineRule="auto"/>
        <w:ind w:right="71" w:firstLine="570"/>
        <w:rPr>
          <w:sz w:val="25"/>
          <w:szCs w:val="25"/>
        </w:rPr>
      </w:pPr>
      <w:r>
        <w:rPr>
          <w:spacing w:val="26"/>
          <w:sz w:val="25"/>
          <w:szCs w:val="25"/>
        </w:rPr>
        <w:t>明确产品的可靠性工作项目的要求，至少应包含合</w:t>
      </w:r>
      <w:r>
        <w:rPr>
          <w:spacing w:val="25"/>
          <w:sz w:val="25"/>
          <w:szCs w:val="25"/>
        </w:rPr>
        <w:t>同规定的全部可靠性工</w:t>
      </w:r>
      <w:r>
        <w:rPr>
          <w:sz w:val="25"/>
          <w:szCs w:val="25"/>
        </w:rPr>
        <w:t xml:space="preserve"> </w:t>
      </w:r>
      <w:r>
        <w:rPr>
          <w:spacing w:val="18"/>
          <w:sz w:val="25"/>
          <w:szCs w:val="25"/>
        </w:rPr>
        <w:t>作项目。</w:t>
      </w:r>
    </w:p>
    <w:p w14:paraId="2E48DFE5">
      <w:pPr>
        <w:spacing w:before="1" w:line="221" w:lineRule="auto"/>
        <w:outlineLvl w:val="3"/>
        <w:rPr>
          <w:rFonts w:ascii="黑体" w:hAnsi="黑体" w:eastAsia="黑体" w:cs="黑体"/>
          <w:sz w:val="27"/>
          <w:szCs w:val="27"/>
        </w:rPr>
      </w:pPr>
      <w:r>
        <w:rPr>
          <w:rFonts w:ascii="Arial" w:hAnsi="Arial" w:eastAsia="Arial" w:cs="Arial"/>
          <w:b/>
          <w:bCs/>
          <w:spacing w:val="-3"/>
          <w:sz w:val="27"/>
          <w:szCs w:val="27"/>
        </w:rPr>
        <w:t>5</w:t>
      </w:r>
      <w:r>
        <w:rPr>
          <w:rFonts w:ascii="Arial" w:hAnsi="Arial" w:eastAsia="Arial" w:cs="Arial"/>
          <w:b/>
          <w:bCs/>
          <w:spacing w:val="20"/>
          <w:sz w:val="27"/>
          <w:szCs w:val="27"/>
        </w:rPr>
        <w:t xml:space="preserve">   </w:t>
      </w:r>
      <w:r>
        <w:rPr>
          <w:rFonts w:ascii="黑体" w:hAnsi="黑体" w:eastAsia="黑体" w:cs="黑体"/>
          <w:b/>
          <w:bCs/>
          <w:spacing w:val="-3"/>
          <w:sz w:val="27"/>
          <w:szCs w:val="27"/>
        </w:rPr>
        <w:t>实施细则</w:t>
      </w:r>
    </w:p>
    <w:p w14:paraId="79F8616E">
      <w:pPr>
        <w:pStyle w:val="2"/>
        <w:spacing w:before="131" w:line="278" w:lineRule="auto"/>
        <w:ind w:right="72" w:firstLine="570"/>
      </w:pPr>
      <w:r>
        <w:rPr>
          <w:spacing w:val="-11"/>
        </w:rPr>
        <w:t>明确各个可靠性工作项目的实施细则，如工作项目的目的、内容、范围、实施</w:t>
      </w:r>
      <w:r>
        <w:rPr>
          <w:spacing w:val="15"/>
        </w:rPr>
        <w:t xml:space="preserve"> </w:t>
      </w:r>
      <w:r>
        <w:rPr>
          <w:spacing w:val="-3"/>
        </w:rPr>
        <w:t>程序、完成形式和对完成结果检查评价的方式。</w:t>
      </w:r>
    </w:p>
    <w:p w14:paraId="71974310">
      <w:pPr>
        <w:spacing w:before="2" w:line="220" w:lineRule="auto"/>
        <w:rPr>
          <w:rFonts w:ascii="黑体" w:hAnsi="黑体" w:eastAsia="黑体" w:cs="黑体"/>
          <w:sz w:val="27"/>
          <w:szCs w:val="27"/>
        </w:rPr>
      </w:pPr>
      <w:r>
        <w:rPr>
          <w:rFonts w:ascii="黑体" w:hAnsi="黑体" w:eastAsia="黑体" w:cs="黑体"/>
          <w:spacing w:val="1"/>
          <w:sz w:val="27"/>
          <w:szCs w:val="27"/>
        </w:rPr>
        <w:t xml:space="preserve">6  </w:t>
      </w:r>
      <w:r>
        <w:rPr>
          <w:rFonts w:ascii="黑体" w:hAnsi="黑体" w:eastAsia="黑体" w:cs="黑体"/>
          <w:b/>
          <w:bCs/>
          <w:spacing w:val="1"/>
          <w:sz w:val="27"/>
          <w:szCs w:val="27"/>
        </w:rPr>
        <w:t>可靠性工作管理机构及职责</w:t>
      </w:r>
    </w:p>
    <w:p w14:paraId="3532904A">
      <w:pPr>
        <w:pStyle w:val="2"/>
        <w:spacing w:before="131" w:line="219" w:lineRule="auto"/>
        <w:ind w:left="570"/>
      </w:pPr>
      <w:r>
        <w:rPr>
          <w:spacing w:val="3"/>
        </w:rPr>
        <w:t>明确可靠性工作管理机构及其职责。</w:t>
      </w:r>
    </w:p>
    <w:p w14:paraId="24B9320D">
      <w:pPr>
        <w:spacing w:before="95" w:line="221"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21"/>
          <w:sz w:val="27"/>
          <w:szCs w:val="27"/>
        </w:rPr>
        <w:t xml:space="preserve">   </w:t>
      </w:r>
      <w:r>
        <w:rPr>
          <w:rFonts w:ascii="黑体" w:hAnsi="黑体" w:eastAsia="黑体" w:cs="黑体"/>
          <w:b/>
          <w:bCs/>
          <w:spacing w:val="-1"/>
          <w:sz w:val="27"/>
          <w:szCs w:val="27"/>
        </w:rPr>
        <w:t>可靠性工作实施机构及职责</w:t>
      </w:r>
    </w:p>
    <w:p w14:paraId="73A1C39A">
      <w:pPr>
        <w:pStyle w:val="2"/>
        <w:spacing w:before="142" w:line="219" w:lineRule="auto"/>
        <w:ind w:left="570"/>
      </w:pPr>
      <w:r>
        <w:rPr>
          <w:spacing w:val="2"/>
        </w:rPr>
        <w:t>明确可靠性工作实施机构及其职责。</w:t>
      </w:r>
    </w:p>
    <w:p w14:paraId="2AEA9669">
      <w:pPr>
        <w:spacing w:before="85" w:line="221" w:lineRule="auto"/>
        <w:outlineLvl w:val="3"/>
        <w:rPr>
          <w:rFonts w:ascii="黑体" w:hAnsi="黑体" w:eastAsia="黑体" w:cs="黑体"/>
          <w:sz w:val="27"/>
          <w:szCs w:val="27"/>
        </w:rPr>
      </w:pPr>
      <w:r>
        <w:rPr>
          <w:rFonts w:ascii="Arial" w:hAnsi="Arial" w:eastAsia="Arial" w:cs="Arial"/>
          <w:b/>
          <w:bCs/>
          <w:sz w:val="27"/>
          <w:szCs w:val="27"/>
        </w:rPr>
        <w:t>8</w:t>
      </w:r>
      <w:r>
        <w:rPr>
          <w:rFonts w:ascii="Arial" w:hAnsi="Arial" w:eastAsia="Arial" w:cs="Arial"/>
          <w:b/>
          <w:bCs/>
          <w:spacing w:val="21"/>
          <w:sz w:val="27"/>
          <w:szCs w:val="27"/>
        </w:rPr>
        <w:t xml:space="preserve">   </w:t>
      </w:r>
      <w:r>
        <w:rPr>
          <w:rFonts w:ascii="黑体" w:hAnsi="黑体" w:eastAsia="黑体" w:cs="黑体"/>
          <w:b/>
          <w:bCs/>
          <w:sz w:val="27"/>
          <w:szCs w:val="27"/>
        </w:rPr>
        <w:t>可靠性工作与其他工作协调的说明</w:t>
      </w:r>
    </w:p>
    <w:p w14:paraId="047E7B87">
      <w:pPr>
        <w:pStyle w:val="2"/>
        <w:spacing w:before="143" w:line="219" w:lineRule="auto"/>
        <w:ind w:left="570"/>
      </w:pPr>
      <w:r>
        <w:rPr>
          <w:spacing w:val="-2"/>
        </w:rPr>
        <w:t>说明可靠性工作与其他相关工作的协调要求，主要包括：</w:t>
      </w:r>
    </w:p>
    <w:p w14:paraId="52193308">
      <w:pPr>
        <w:pStyle w:val="2"/>
        <w:spacing w:before="50" w:line="288" w:lineRule="auto"/>
        <w:ind w:right="64" w:firstLine="570"/>
      </w:pPr>
      <w:r>
        <w:rPr>
          <w:rFonts w:ascii="Times New Roman" w:hAnsi="Times New Roman" w:eastAsia="Times New Roman" w:cs="Times New Roman"/>
          <w:spacing w:val="-4"/>
        </w:rPr>
        <w:t xml:space="preserve">a)  </w:t>
      </w:r>
      <w:r>
        <w:rPr>
          <w:spacing w:val="-4"/>
        </w:rPr>
        <w:t>可靠性工作应与综合保障、维修性、测试性、</w:t>
      </w:r>
      <w:r>
        <w:rPr>
          <w:spacing w:val="-5"/>
        </w:rPr>
        <w:t>安全性、质量管理等相关的</w:t>
      </w:r>
      <w:r>
        <w:t xml:space="preserve"> </w:t>
      </w:r>
      <w:r>
        <w:rPr>
          <w:spacing w:val="-10"/>
        </w:rPr>
        <w:t>工作相协调，并尽可能结合进行，减少重复；</w:t>
      </w:r>
    </w:p>
    <w:p w14:paraId="100D43A2">
      <w:pPr>
        <w:spacing w:line="288" w:lineRule="auto"/>
        <w:sectPr>
          <w:footerReference r:id="rId360" w:type="default"/>
          <w:pgSz w:w="11910" w:h="17130"/>
          <w:pgMar w:top="1456" w:right="1305" w:bottom="1616" w:left="1140" w:header="0" w:footer="1426" w:gutter="0"/>
          <w:cols w:space="720" w:num="1"/>
        </w:sectPr>
      </w:pPr>
    </w:p>
    <w:p w14:paraId="3D4FD462">
      <w:pPr>
        <w:pStyle w:val="2"/>
        <w:spacing w:before="56" w:line="291" w:lineRule="auto"/>
        <w:ind w:right="3" w:firstLine="560"/>
        <w:rPr>
          <w:rFonts w:ascii="Times New Roman" w:hAnsi="Times New Roman" w:eastAsia="Times New Roman" w:cs="Times New Roman"/>
        </w:rPr>
      </w:pPr>
      <w:r>
        <w:rPr>
          <w:rFonts w:ascii="Times New Roman" w:hAnsi="Times New Roman" w:eastAsia="Times New Roman" w:cs="Times New Roman"/>
          <w:spacing w:val="3"/>
        </w:rPr>
        <w:t>b)</w:t>
      </w:r>
      <w:r>
        <w:rPr>
          <w:rFonts w:ascii="Times New Roman" w:hAnsi="Times New Roman" w:eastAsia="Times New Roman" w:cs="Times New Roman"/>
          <w:spacing w:val="58"/>
        </w:rPr>
        <w:t xml:space="preserve"> </w:t>
      </w:r>
      <w:r>
        <w:rPr>
          <w:spacing w:val="3"/>
        </w:rPr>
        <w:t>承制方从可靠性工作获得的信息应能满足有关保障性、维修性、安全性</w:t>
      </w:r>
      <w:r>
        <w:t xml:space="preserve"> </w:t>
      </w:r>
      <w:r>
        <w:rPr>
          <w:spacing w:val="2"/>
        </w:rPr>
        <w:t>等分析工作的输入要求，应明确这些接口关系，</w:t>
      </w:r>
      <w:r>
        <w:rPr>
          <w:spacing w:val="1"/>
        </w:rPr>
        <w:t>例如与保障性分析计划(见</w:t>
      </w:r>
      <w:r>
        <w:rPr>
          <w:rFonts w:ascii="Times New Roman" w:hAnsi="Times New Roman" w:eastAsia="Times New Roman" w:cs="Times New Roman"/>
        </w:rPr>
        <w:t>GJB</w:t>
      </w:r>
    </w:p>
    <w:p w14:paraId="6193D81E">
      <w:pPr>
        <w:pStyle w:val="2"/>
        <w:spacing w:line="219" w:lineRule="auto"/>
      </w:pPr>
      <w:r>
        <w:rPr>
          <w:spacing w:val="4"/>
        </w:rPr>
        <w:t>1371)中规定的各项分析工作的输入与输出关系等。</w:t>
      </w:r>
    </w:p>
    <w:p w14:paraId="43991A14">
      <w:pPr>
        <w:spacing w:before="93" w:line="222" w:lineRule="auto"/>
        <w:rPr>
          <w:rFonts w:ascii="黑体" w:hAnsi="黑体" w:eastAsia="黑体" w:cs="黑体"/>
          <w:sz w:val="24"/>
          <w:szCs w:val="24"/>
        </w:rPr>
      </w:pPr>
      <w:r>
        <w:rPr>
          <w:rFonts w:ascii="黑体" w:hAnsi="黑体" w:eastAsia="黑体" w:cs="黑体"/>
          <w:spacing w:val="29"/>
          <w:sz w:val="24"/>
          <w:szCs w:val="24"/>
        </w:rPr>
        <w:t>9</w:t>
      </w:r>
      <w:r>
        <w:rPr>
          <w:rFonts w:ascii="黑体" w:hAnsi="黑体" w:eastAsia="黑体" w:cs="黑体"/>
          <w:spacing w:val="33"/>
          <w:sz w:val="24"/>
          <w:szCs w:val="24"/>
        </w:rPr>
        <w:t xml:space="preserve">  </w:t>
      </w:r>
      <w:r>
        <w:rPr>
          <w:rFonts w:ascii="黑体" w:hAnsi="黑体" w:eastAsia="黑体" w:cs="黑体"/>
          <w:b/>
          <w:bCs/>
          <w:spacing w:val="29"/>
          <w:sz w:val="24"/>
          <w:szCs w:val="24"/>
        </w:rPr>
        <w:t>实施计划所需相关数据资料</w:t>
      </w:r>
    </w:p>
    <w:p w14:paraId="0BFD7BCF">
      <w:pPr>
        <w:spacing w:before="120" w:line="221" w:lineRule="auto"/>
        <w:rPr>
          <w:rFonts w:ascii="黑体" w:hAnsi="黑体" w:eastAsia="黑体" w:cs="黑体"/>
          <w:sz w:val="24"/>
          <w:szCs w:val="24"/>
        </w:rPr>
      </w:pPr>
      <w:r>
        <w:rPr>
          <w:rFonts w:ascii="黑体" w:hAnsi="黑体" w:eastAsia="黑体" w:cs="黑体"/>
          <w:spacing w:val="24"/>
          <w:sz w:val="24"/>
          <w:szCs w:val="24"/>
        </w:rPr>
        <w:t>9.1</w:t>
      </w:r>
      <w:r>
        <w:rPr>
          <w:rFonts w:ascii="黑体" w:hAnsi="黑体" w:eastAsia="黑体" w:cs="黑体"/>
          <w:spacing w:val="51"/>
          <w:sz w:val="24"/>
          <w:szCs w:val="24"/>
        </w:rPr>
        <w:t xml:space="preserve">  </w:t>
      </w:r>
      <w:r>
        <w:rPr>
          <w:rFonts w:ascii="黑体" w:hAnsi="黑体" w:eastAsia="黑体" w:cs="黑体"/>
          <w:b/>
          <w:bCs/>
          <w:spacing w:val="24"/>
          <w:sz w:val="24"/>
          <w:szCs w:val="24"/>
        </w:rPr>
        <w:t>数据资料种类及来源</w:t>
      </w:r>
    </w:p>
    <w:p w14:paraId="4DB354B7">
      <w:pPr>
        <w:pStyle w:val="2"/>
        <w:spacing w:before="100" w:line="219" w:lineRule="auto"/>
        <w:ind w:left="560"/>
      </w:pPr>
      <w:r>
        <w:rPr>
          <w:spacing w:val="-3"/>
        </w:rPr>
        <w:t>明确进行可靠性工作所需数据资料种类、获取途径。</w:t>
      </w:r>
    </w:p>
    <w:p w14:paraId="6F1D65BE">
      <w:pPr>
        <w:spacing w:before="113" w:line="222" w:lineRule="auto"/>
        <w:rPr>
          <w:rFonts w:ascii="黑体" w:hAnsi="黑体" w:eastAsia="黑体" w:cs="黑体"/>
          <w:sz w:val="24"/>
          <w:szCs w:val="24"/>
        </w:rPr>
      </w:pPr>
      <w:r>
        <w:rPr>
          <w:rFonts w:ascii="黑体" w:hAnsi="黑体" w:eastAsia="黑体" w:cs="黑体"/>
          <w:spacing w:val="24"/>
          <w:sz w:val="24"/>
          <w:szCs w:val="24"/>
        </w:rPr>
        <w:t>9.2</w:t>
      </w:r>
      <w:r>
        <w:rPr>
          <w:rFonts w:ascii="黑体" w:hAnsi="黑体" w:eastAsia="黑体" w:cs="黑体"/>
          <w:spacing w:val="48"/>
          <w:sz w:val="24"/>
          <w:szCs w:val="24"/>
        </w:rPr>
        <w:t xml:space="preserve">  </w:t>
      </w:r>
      <w:r>
        <w:rPr>
          <w:rFonts w:ascii="黑体" w:hAnsi="黑体" w:eastAsia="黑体" w:cs="黑体"/>
          <w:b/>
          <w:bCs/>
          <w:spacing w:val="24"/>
          <w:sz w:val="24"/>
          <w:szCs w:val="24"/>
        </w:rPr>
        <w:t>数据资料应用程序</w:t>
      </w:r>
    </w:p>
    <w:p w14:paraId="4480E1E0">
      <w:pPr>
        <w:pStyle w:val="2"/>
        <w:spacing w:before="106" w:line="219" w:lineRule="auto"/>
        <w:ind w:right="37"/>
        <w:jc w:val="right"/>
      </w:pPr>
      <w:r>
        <w:rPr>
          <w:spacing w:val="-12"/>
        </w:rPr>
        <w:t>明确进行可靠性工作所需数据资料的收集、传递、分析、处理、反馈的程序。</w:t>
      </w:r>
    </w:p>
    <w:p w14:paraId="680B326E">
      <w:pPr>
        <w:spacing w:before="66" w:line="222" w:lineRule="auto"/>
        <w:rPr>
          <w:rFonts w:ascii="黑体" w:hAnsi="黑体" w:eastAsia="黑体" w:cs="黑体"/>
          <w:sz w:val="27"/>
          <w:szCs w:val="27"/>
        </w:rPr>
      </w:pPr>
      <w:r>
        <w:rPr>
          <w:rFonts w:ascii="黑体" w:hAnsi="黑体" w:eastAsia="黑体" w:cs="黑体"/>
          <w:spacing w:val="-4"/>
          <w:sz w:val="27"/>
          <w:szCs w:val="27"/>
        </w:rPr>
        <w:t>10</w:t>
      </w:r>
      <w:r>
        <w:rPr>
          <w:rFonts w:ascii="黑体" w:hAnsi="黑体" w:eastAsia="黑体" w:cs="黑体"/>
          <w:spacing w:val="25"/>
          <w:sz w:val="27"/>
          <w:szCs w:val="27"/>
        </w:rPr>
        <w:t xml:space="preserve">  </w:t>
      </w:r>
      <w:r>
        <w:rPr>
          <w:rFonts w:ascii="黑体" w:hAnsi="黑体" w:eastAsia="黑体" w:cs="黑体"/>
          <w:b/>
          <w:bCs/>
          <w:spacing w:val="-4"/>
          <w:sz w:val="27"/>
          <w:szCs w:val="27"/>
        </w:rPr>
        <w:t>可靠性评审安排</w:t>
      </w:r>
    </w:p>
    <w:p w14:paraId="265F9DFE">
      <w:pPr>
        <w:pStyle w:val="2"/>
        <w:spacing w:before="120" w:line="275" w:lineRule="auto"/>
        <w:ind w:right="1" w:firstLine="560"/>
        <w:jc w:val="both"/>
      </w:pPr>
      <w:r>
        <w:rPr>
          <w:spacing w:val="-3"/>
        </w:rPr>
        <w:t>明确需要进行的可靠性评审，提出对评审工作的要求和安排，即在制定可靠</w:t>
      </w:r>
      <w:r>
        <w:rPr>
          <w:spacing w:val="10"/>
        </w:rPr>
        <w:t xml:space="preserve"> </w:t>
      </w:r>
      <w:r>
        <w:rPr>
          <w:spacing w:val="-10"/>
        </w:rPr>
        <w:t>性评审计划，提供有关评审的文件和资料，与作战性能、安全性、维修性、综合保</w:t>
      </w:r>
      <w:r>
        <w:rPr>
          <w:spacing w:val="18"/>
        </w:rPr>
        <w:t xml:space="preserve"> </w:t>
      </w:r>
      <w:r>
        <w:rPr>
          <w:spacing w:val="-1"/>
        </w:rPr>
        <w:t>障等评审的协调情况，形成文件的评审结果等方面的要求。</w:t>
      </w:r>
    </w:p>
    <w:p w14:paraId="6FCDFEC2">
      <w:pPr>
        <w:spacing w:before="10" w:line="222" w:lineRule="auto"/>
        <w:rPr>
          <w:rFonts w:ascii="黑体" w:hAnsi="黑体" w:eastAsia="黑体" w:cs="黑体"/>
          <w:sz w:val="25"/>
          <w:szCs w:val="25"/>
        </w:rPr>
      </w:pPr>
      <w:r>
        <w:rPr>
          <w:rFonts w:ascii="黑体" w:hAnsi="黑体" w:eastAsia="黑体" w:cs="黑体"/>
          <w:spacing w:val="10"/>
          <w:sz w:val="25"/>
          <w:szCs w:val="25"/>
        </w:rPr>
        <w:t>11</w:t>
      </w:r>
      <w:r>
        <w:rPr>
          <w:rFonts w:ascii="黑体" w:hAnsi="黑体" w:eastAsia="黑体" w:cs="黑体"/>
          <w:spacing w:val="43"/>
          <w:sz w:val="25"/>
          <w:szCs w:val="25"/>
        </w:rPr>
        <w:t xml:space="preserve">  </w:t>
      </w:r>
      <w:r>
        <w:rPr>
          <w:rFonts w:ascii="黑体" w:hAnsi="黑体" w:eastAsia="黑体" w:cs="黑体"/>
          <w:b/>
          <w:bCs/>
          <w:spacing w:val="10"/>
          <w:sz w:val="25"/>
          <w:szCs w:val="25"/>
        </w:rPr>
        <w:t>关键问题</w:t>
      </w:r>
    </w:p>
    <w:p w14:paraId="777F66C6">
      <w:pPr>
        <w:spacing w:before="107" w:line="221" w:lineRule="auto"/>
        <w:rPr>
          <w:rFonts w:ascii="黑体" w:hAnsi="黑体" w:eastAsia="黑体" w:cs="黑体"/>
          <w:sz w:val="24"/>
          <w:szCs w:val="24"/>
        </w:rPr>
      </w:pPr>
      <w:r>
        <w:rPr>
          <w:rFonts w:ascii="黑体" w:hAnsi="黑体" w:eastAsia="黑体" w:cs="黑体"/>
          <w:spacing w:val="25"/>
          <w:sz w:val="24"/>
          <w:szCs w:val="24"/>
        </w:rPr>
        <w:t>11.1</w:t>
      </w:r>
      <w:r>
        <w:rPr>
          <w:rFonts w:ascii="黑体" w:hAnsi="黑体" w:eastAsia="黑体" w:cs="黑体"/>
          <w:spacing w:val="9"/>
          <w:sz w:val="24"/>
          <w:szCs w:val="24"/>
        </w:rPr>
        <w:t xml:space="preserve">   </w:t>
      </w:r>
      <w:r>
        <w:rPr>
          <w:rFonts w:ascii="黑体" w:hAnsi="黑体" w:eastAsia="黑体" w:cs="黑体"/>
          <w:b/>
          <w:bCs/>
          <w:spacing w:val="25"/>
          <w:sz w:val="24"/>
          <w:szCs w:val="24"/>
        </w:rPr>
        <w:t>关键问题种类及其对可靠性工作的影响</w:t>
      </w:r>
    </w:p>
    <w:p w14:paraId="6CD4FDE8">
      <w:pPr>
        <w:pStyle w:val="2"/>
        <w:spacing w:before="110" w:line="220" w:lineRule="auto"/>
        <w:ind w:left="560"/>
      </w:pPr>
      <w:r>
        <w:rPr>
          <w:spacing w:val="-2"/>
        </w:rPr>
        <w:t>确定关键问题，分析关键问题对可靠性要求实现的影响。</w:t>
      </w:r>
    </w:p>
    <w:p w14:paraId="22EA1E2B">
      <w:pPr>
        <w:spacing w:before="111" w:line="221" w:lineRule="auto"/>
        <w:rPr>
          <w:rFonts w:ascii="黑体" w:hAnsi="黑体" w:eastAsia="黑体" w:cs="黑体"/>
          <w:sz w:val="24"/>
          <w:szCs w:val="24"/>
        </w:rPr>
      </w:pPr>
      <w:r>
        <w:rPr>
          <w:rFonts w:ascii="黑体" w:hAnsi="黑体" w:eastAsia="黑体" w:cs="黑体"/>
          <w:spacing w:val="23"/>
          <w:sz w:val="24"/>
          <w:szCs w:val="24"/>
        </w:rPr>
        <w:t>11.2</w:t>
      </w:r>
      <w:r>
        <w:rPr>
          <w:rFonts w:ascii="黑体" w:hAnsi="黑体" w:eastAsia="黑体" w:cs="黑体"/>
          <w:spacing w:val="9"/>
          <w:sz w:val="24"/>
          <w:szCs w:val="24"/>
        </w:rPr>
        <w:t xml:space="preserve">   </w:t>
      </w:r>
      <w:r>
        <w:rPr>
          <w:rFonts w:ascii="黑体" w:hAnsi="黑体" w:eastAsia="黑体" w:cs="黑体"/>
          <w:b/>
          <w:bCs/>
          <w:spacing w:val="23"/>
          <w:sz w:val="24"/>
          <w:szCs w:val="24"/>
        </w:rPr>
        <w:t>关键问题的解决方法或途径</w:t>
      </w:r>
    </w:p>
    <w:p w14:paraId="03A5F4EC">
      <w:pPr>
        <w:pStyle w:val="2"/>
        <w:spacing w:before="99" w:line="219" w:lineRule="auto"/>
        <w:ind w:left="560"/>
      </w:pPr>
      <w:r>
        <w:rPr>
          <w:spacing w:val="-3"/>
        </w:rPr>
        <w:t>针对关键问题，提出解决方法或技术途径。</w:t>
      </w:r>
    </w:p>
    <w:p w14:paraId="2B7B91C0">
      <w:pPr>
        <w:spacing w:before="104" w:line="222" w:lineRule="auto"/>
        <w:rPr>
          <w:rFonts w:ascii="黑体" w:hAnsi="黑体" w:eastAsia="黑体" w:cs="黑体"/>
          <w:sz w:val="24"/>
          <w:szCs w:val="24"/>
        </w:rPr>
      </w:pPr>
      <w:r>
        <w:rPr>
          <w:rFonts w:ascii="黑体" w:hAnsi="黑体" w:eastAsia="黑体" w:cs="黑体"/>
          <w:spacing w:val="25"/>
          <w:sz w:val="24"/>
          <w:szCs w:val="24"/>
        </w:rPr>
        <w:t>12</w:t>
      </w:r>
      <w:r>
        <w:rPr>
          <w:rFonts w:ascii="黑体" w:hAnsi="黑体" w:eastAsia="黑体" w:cs="黑体"/>
          <w:spacing w:val="53"/>
          <w:sz w:val="24"/>
          <w:szCs w:val="24"/>
        </w:rPr>
        <w:t xml:space="preserve">  </w:t>
      </w:r>
      <w:r>
        <w:rPr>
          <w:rFonts w:ascii="黑体" w:hAnsi="黑体" w:eastAsia="黑体" w:cs="黑体"/>
          <w:b/>
          <w:bCs/>
          <w:spacing w:val="25"/>
          <w:sz w:val="24"/>
          <w:szCs w:val="24"/>
        </w:rPr>
        <w:t>可靠性工作进度安排</w:t>
      </w:r>
    </w:p>
    <w:p w14:paraId="790FD99E">
      <w:pPr>
        <w:pStyle w:val="2"/>
        <w:spacing w:before="97" w:line="219" w:lineRule="auto"/>
        <w:ind w:left="560"/>
      </w:pPr>
      <w:r>
        <w:rPr>
          <w:spacing w:val="-1"/>
        </w:rPr>
        <w:t>明确可靠性工作进度安排，使其与研制阶段决策点保持一致。</w:t>
      </w:r>
    </w:p>
    <w:p w14:paraId="3C178904">
      <w:pPr>
        <w:spacing w:before="94" w:line="221" w:lineRule="auto"/>
        <w:rPr>
          <w:rFonts w:ascii="黑体" w:hAnsi="黑体" w:eastAsia="黑体" w:cs="黑体"/>
          <w:sz w:val="27"/>
          <w:szCs w:val="27"/>
        </w:rPr>
      </w:pPr>
      <w:r>
        <w:rPr>
          <w:rFonts w:ascii="黑体" w:hAnsi="黑体" w:eastAsia="黑体" w:cs="黑体"/>
          <w:spacing w:val="-1"/>
          <w:sz w:val="27"/>
          <w:szCs w:val="27"/>
        </w:rPr>
        <w:t>13</w:t>
      </w:r>
      <w:r>
        <w:rPr>
          <w:rFonts w:ascii="黑体" w:hAnsi="黑体" w:eastAsia="黑体" w:cs="黑体"/>
          <w:spacing w:val="29"/>
          <w:sz w:val="27"/>
          <w:szCs w:val="27"/>
        </w:rPr>
        <w:t xml:space="preserve">  </w:t>
      </w:r>
      <w:r>
        <w:rPr>
          <w:rFonts w:ascii="黑体" w:hAnsi="黑体" w:eastAsia="黑体" w:cs="黑体"/>
          <w:b/>
          <w:bCs/>
          <w:spacing w:val="-1"/>
          <w:sz w:val="27"/>
          <w:szCs w:val="27"/>
        </w:rPr>
        <w:t>相应的保证条件与资源</w:t>
      </w:r>
    </w:p>
    <w:p w14:paraId="7BAEAE05">
      <w:pPr>
        <w:pStyle w:val="2"/>
        <w:spacing w:before="103" w:line="219" w:lineRule="auto"/>
        <w:ind w:left="560"/>
      </w:pPr>
      <w:r>
        <w:t>说明保证计划得以实施所需的组织、人员和经费等</w:t>
      </w:r>
      <w:r>
        <w:rPr>
          <w:spacing w:val="-1"/>
        </w:rPr>
        <w:t>资源的配备。</w:t>
      </w:r>
    </w:p>
    <w:p w14:paraId="60C8C543">
      <w:pPr>
        <w:spacing w:line="319" w:lineRule="auto"/>
        <w:rPr>
          <w:rFonts w:ascii="Arial"/>
          <w:sz w:val="21"/>
        </w:rPr>
      </w:pPr>
    </w:p>
    <w:p w14:paraId="64235FD1">
      <w:pPr>
        <w:pStyle w:val="2"/>
        <w:spacing w:before="117" w:line="219" w:lineRule="auto"/>
        <w:ind w:left="3339"/>
        <w:rPr>
          <w:sz w:val="36"/>
          <w:szCs w:val="36"/>
        </w:rPr>
      </w:pPr>
      <w:r>
        <w:rPr>
          <w:spacing w:val="-4"/>
          <w:sz w:val="36"/>
          <w:szCs w:val="36"/>
        </w:rPr>
        <w:t>7.</w:t>
      </w:r>
      <w:r>
        <w:rPr>
          <w:b/>
          <w:bCs/>
          <w:spacing w:val="-4"/>
          <w:sz w:val="36"/>
          <w:szCs w:val="36"/>
        </w:rPr>
        <w:t>5</w:t>
      </w:r>
      <w:r>
        <w:rPr>
          <w:spacing w:val="23"/>
          <w:sz w:val="36"/>
          <w:szCs w:val="36"/>
        </w:rPr>
        <w:t xml:space="preserve">  </w:t>
      </w:r>
      <w:r>
        <w:rPr>
          <w:b/>
          <w:bCs/>
          <w:spacing w:val="-4"/>
          <w:sz w:val="36"/>
          <w:szCs w:val="36"/>
        </w:rPr>
        <w:t>可靠性模型</w:t>
      </w:r>
    </w:p>
    <w:p w14:paraId="0E0F9766">
      <w:pPr>
        <w:spacing w:line="334" w:lineRule="auto"/>
        <w:rPr>
          <w:rFonts w:ascii="Arial"/>
          <w:sz w:val="21"/>
        </w:rPr>
      </w:pPr>
    </w:p>
    <w:p w14:paraId="6CEB1D85">
      <w:pPr>
        <w:pStyle w:val="2"/>
        <w:spacing w:before="92" w:line="223" w:lineRule="auto"/>
        <w:ind w:right="9"/>
        <w:jc w:val="right"/>
        <w:rPr>
          <w:rFonts w:ascii="楷体" w:hAnsi="楷体" w:eastAsia="楷体" w:cs="楷体"/>
          <w:sz w:val="28"/>
          <w:szCs w:val="28"/>
        </w:rPr>
      </w:pPr>
      <w:r>
        <w:rPr>
          <w:rFonts w:ascii="楷体" w:hAnsi="楷体" w:eastAsia="楷体" w:cs="楷体"/>
          <w:spacing w:val="-7"/>
          <w:sz w:val="28"/>
          <w:szCs w:val="28"/>
        </w:rPr>
        <w:t>按照</w:t>
      </w:r>
      <w:r>
        <w:rPr>
          <w:rFonts w:ascii="Times New Roman" w:hAnsi="Times New Roman" w:eastAsia="Times New Roman" w:cs="Times New Roman"/>
          <w:spacing w:val="-7"/>
          <w:sz w:val="28"/>
          <w:szCs w:val="28"/>
        </w:rPr>
        <w:t>GJB450A—2004</w:t>
      </w:r>
      <w:r>
        <w:rPr>
          <w:spacing w:val="-7"/>
          <w:sz w:val="28"/>
          <w:szCs w:val="28"/>
        </w:rPr>
        <w:t>《</w:t>
      </w:r>
      <w:r>
        <w:rPr>
          <w:rFonts w:ascii="楷体" w:hAnsi="楷体" w:eastAsia="楷体" w:cs="楷体"/>
          <w:spacing w:val="-7"/>
          <w:sz w:val="28"/>
          <w:szCs w:val="28"/>
        </w:rPr>
        <w:t>装备可靠性工作通用要求》、</w:t>
      </w:r>
      <w:r>
        <w:rPr>
          <w:rFonts w:ascii="Times New Roman" w:hAnsi="Times New Roman" w:eastAsia="Times New Roman" w:cs="Times New Roman"/>
          <w:spacing w:val="-7"/>
          <w:sz w:val="28"/>
          <w:szCs w:val="28"/>
        </w:rPr>
        <w:t>GJB 813—1990</w:t>
      </w:r>
      <w:r>
        <w:rPr>
          <w:spacing w:val="-7"/>
          <w:sz w:val="28"/>
          <w:szCs w:val="28"/>
        </w:rPr>
        <w:t>《</w:t>
      </w:r>
      <w:r>
        <w:rPr>
          <w:rFonts w:ascii="楷体" w:hAnsi="楷体" w:eastAsia="楷体" w:cs="楷体"/>
          <w:spacing w:val="-7"/>
          <w:sz w:val="28"/>
          <w:szCs w:val="28"/>
        </w:rPr>
        <w:t>可靠</w:t>
      </w:r>
    </w:p>
    <w:p w14:paraId="356E08BF">
      <w:pPr>
        <w:spacing w:before="52" w:line="226" w:lineRule="auto"/>
        <w:ind w:left="3"/>
        <w:rPr>
          <w:rFonts w:ascii="楷体" w:hAnsi="楷体" w:eastAsia="楷体" w:cs="楷体"/>
          <w:sz w:val="28"/>
          <w:szCs w:val="28"/>
        </w:rPr>
      </w:pPr>
      <w:r>
        <w:rPr>
          <w:rFonts w:ascii="楷体" w:hAnsi="楷体" w:eastAsia="楷体" w:cs="楷体"/>
          <w:b/>
          <w:bCs/>
          <w:spacing w:val="-17"/>
          <w:sz w:val="28"/>
          <w:szCs w:val="28"/>
        </w:rPr>
        <w:t>性模型的建立和可靠性预计》编写。</w:t>
      </w:r>
    </w:p>
    <w:p w14:paraId="61BEC669">
      <w:pPr>
        <w:spacing w:before="61" w:line="223" w:lineRule="auto"/>
        <w:rPr>
          <w:rFonts w:ascii="黑体" w:hAnsi="黑体" w:eastAsia="黑体" w:cs="黑体"/>
          <w:sz w:val="28"/>
          <w:szCs w:val="28"/>
        </w:rPr>
      </w:pPr>
      <w:r>
        <w:rPr>
          <w:rFonts w:ascii="黑体" w:hAnsi="黑体" w:eastAsia="黑体" w:cs="黑体"/>
          <w:spacing w:val="-13"/>
          <w:sz w:val="28"/>
          <w:szCs w:val="28"/>
        </w:rPr>
        <w:t>1</w:t>
      </w:r>
      <w:r>
        <w:rPr>
          <w:rFonts w:ascii="黑体" w:hAnsi="黑体" w:eastAsia="黑体" w:cs="黑体"/>
          <w:spacing w:val="14"/>
          <w:sz w:val="28"/>
          <w:szCs w:val="28"/>
        </w:rPr>
        <w:t xml:space="preserve">  </w:t>
      </w:r>
      <w:r>
        <w:rPr>
          <w:rFonts w:ascii="黑体" w:hAnsi="黑体" w:eastAsia="黑体" w:cs="黑体"/>
          <w:b/>
          <w:bCs/>
          <w:spacing w:val="-13"/>
          <w:sz w:val="28"/>
          <w:szCs w:val="28"/>
        </w:rPr>
        <w:t>范围</w:t>
      </w:r>
    </w:p>
    <w:p w14:paraId="5DF5198B">
      <w:pPr>
        <w:spacing w:before="79"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7CFD9EAF">
      <w:pPr>
        <w:spacing w:before="116" w:line="223" w:lineRule="auto"/>
        <w:rPr>
          <w:rFonts w:ascii="黑体" w:hAnsi="黑体" w:eastAsia="黑体" w:cs="黑体"/>
          <w:sz w:val="24"/>
          <w:szCs w:val="24"/>
        </w:rPr>
      </w:pPr>
      <w:r>
        <w:rPr>
          <w:rFonts w:ascii="Arial" w:hAnsi="Arial" w:eastAsia="Arial" w:cs="Arial"/>
          <w:b/>
          <w:bCs/>
          <w:spacing w:val="16"/>
          <w:sz w:val="24"/>
          <w:szCs w:val="24"/>
        </w:rPr>
        <w:t xml:space="preserve">3    </w:t>
      </w:r>
      <w:r>
        <w:rPr>
          <w:rFonts w:ascii="黑体" w:hAnsi="黑体" w:eastAsia="黑体" w:cs="黑体"/>
          <w:b/>
          <w:bCs/>
          <w:spacing w:val="16"/>
          <w:sz w:val="24"/>
          <w:szCs w:val="24"/>
        </w:rPr>
        <w:t>定义产品</w:t>
      </w:r>
    </w:p>
    <w:p w14:paraId="2C18B009">
      <w:pPr>
        <w:spacing w:before="118" w:line="221" w:lineRule="auto"/>
        <w:rPr>
          <w:rFonts w:ascii="黑体" w:hAnsi="黑体" w:eastAsia="黑体" w:cs="黑体"/>
          <w:sz w:val="24"/>
          <w:szCs w:val="24"/>
        </w:rPr>
      </w:pPr>
      <w:r>
        <w:rPr>
          <w:rFonts w:ascii="黑体" w:hAnsi="黑体" w:eastAsia="黑体" w:cs="黑体"/>
          <w:spacing w:val="-5"/>
          <w:sz w:val="24"/>
          <w:szCs w:val="24"/>
        </w:rPr>
        <w:t>3.1</w:t>
      </w:r>
      <w:r>
        <w:rPr>
          <w:rFonts w:ascii="黑体" w:hAnsi="黑体" w:eastAsia="黑体" w:cs="黑体"/>
          <w:spacing w:val="52"/>
          <w:sz w:val="24"/>
          <w:szCs w:val="24"/>
        </w:rPr>
        <w:t xml:space="preserve">  </w:t>
      </w:r>
      <w:r>
        <w:rPr>
          <w:rFonts w:ascii="黑体" w:hAnsi="黑体" w:eastAsia="黑体" w:cs="黑体"/>
          <w:b/>
          <w:bCs/>
          <w:spacing w:val="-5"/>
          <w:sz w:val="24"/>
          <w:szCs w:val="24"/>
        </w:rPr>
        <w:t>概</w:t>
      </w:r>
      <w:r>
        <w:rPr>
          <w:rFonts w:ascii="黑体" w:hAnsi="黑体" w:eastAsia="黑体" w:cs="黑体"/>
          <w:spacing w:val="-43"/>
          <w:sz w:val="24"/>
          <w:szCs w:val="24"/>
        </w:rPr>
        <w:t xml:space="preserve"> </w:t>
      </w:r>
      <w:r>
        <w:rPr>
          <w:rFonts w:ascii="黑体" w:hAnsi="黑体" w:eastAsia="黑体" w:cs="黑体"/>
          <w:b/>
          <w:bCs/>
          <w:spacing w:val="-5"/>
          <w:sz w:val="24"/>
          <w:szCs w:val="24"/>
        </w:rPr>
        <w:t>述</w:t>
      </w:r>
    </w:p>
    <w:p w14:paraId="6BA5A390">
      <w:pPr>
        <w:pStyle w:val="2"/>
        <w:spacing w:before="131" w:line="272" w:lineRule="auto"/>
        <w:ind w:firstLine="560"/>
        <w:jc w:val="both"/>
      </w:pPr>
      <w:r>
        <w:rPr>
          <w:spacing w:val="6"/>
        </w:rPr>
        <w:t>在拟定可靠性模型时应该按照对产品了解的程度尽</w:t>
      </w:r>
      <w:r>
        <w:rPr>
          <w:spacing w:val="5"/>
        </w:rPr>
        <w:t>可能全面表述产品性能</w:t>
      </w:r>
      <w:r>
        <w:t xml:space="preserve"> </w:t>
      </w:r>
      <w:r>
        <w:rPr>
          <w:spacing w:val="-2"/>
        </w:rPr>
        <w:t>要求。随着产品设计阶段向前推移，诸如环境条件、结构设计、应力水平等方面</w:t>
      </w:r>
      <w:r>
        <w:t xml:space="preserve"> </w:t>
      </w:r>
      <w:r>
        <w:rPr>
          <w:spacing w:val="-3"/>
        </w:rPr>
        <w:t>的信息越来越多，产品定义也应该不断修改和充实，从而保证可靠性模型的精确</w:t>
      </w:r>
      <w:r>
        <w:rPr>
          <w:spacing w:val="4"/>
        </w:rPr>
        <w:t xml:space="preserve"> </w:t>
      </w:r>
      <w:r>
        <w:t>程度不断提高。</w:t>
      </w:r>
    </w:p>
    <w:p w14:paraId="3D63BE6B">
      <w:pPr>
        <w:spacing w:line="272" w:lineRule="auto"/>
        <w:sectPr>
          <w:footerReference r:id="rId361" w:type="default"/>
          <w:pgSz w:w="11910" w:h="17130"/>
          <w:pgMar w:top="1442" w:right="855" w:bottom="1599" w:left="1670" w:header="0" w:footer="1419" w:gutter="0"/>
          <w:cols w:space="720" w:num="1"/>
        </w:sectPr>
      </w:pPr>
    </w:p>
    <w:p w14:paraId="3CE46110">
      <w:pPr>
        <w:pStyle w:val="2"/>
        <w:spacing w:before="93" w:line="283" w:lineRule="auto"/>
        <w:ind w:right="122" w:firstLine="539"/>
        <w:jc w:val="both"/>
      </w:pPr>
      <w:r>
        <w:rPr>
          <w:spacing w:val="1"/>
        </w:rPr>
        <w:t>建立基本可靠性模型时，产品的定义是简单的，即构成产品的所有单元(包</w:t>
      </w:r>
      <w:r>
        <w:rPr>
          <w:spacing w:val="13"/>
        </w:rPr>
        <w:t xml:space="preserve"> </w:t>
      </w:r>
      <w:r>
        <w:rPr>
          <w:spacing w:val="9"/>
        </w:rPr>
        <w:t xml:space="preserve">括冗余或代替工作的单元)建立串联模型。建立任务可靠性模型，情况就比较 </w:t>
      </w:r>
      <w:r>
        <w:rPr>
          <w:spacing w:val="-6"/>
        </w:rPr>
        <w:t>复杂。</w:t>
      </w:r>
    </w:p>
    <w:p w14:paraId="1AC3F97F">
      <w:pPr>
        <w:pStyle w:val="2"/>
        <w:spacing w:line="219" w:lineRule="auto"/>
        <w:ind w:left="539"/>
      </w:pPr>
      <w:r>
        <w:rPr>
          <w:spacing w:val="-2"/>
        </w:rPr>
        <w:t>根据可靠性定义，产品完成任务的可靠性要求必须包括：</w:t>
      </w:r>
    </w:p>
    <w:p w14:paraId="6A9778C9">
      <w:pPr>
        <w:pStyle w:val="2"/>
        <w:spacing w:before="49" w:line="212" w:lineRule="auto"/>
        <w:ind w:left="539"/>
      </w:pPr>
      <w:r>
        <w:rPr>
          <w:rFonts w:ascii="Times New Roman" w:hAnsi="Times New Roman" w:eastAsia="Times New Roman" w:cs="Times New Roman"/>
          <w:spacing w:val="6"/>
        </w:rPr>
        <w:t>a)</w:t>
      </w:r>
      <w:r>
        <w:rPr>
          <w:rFonts w:ascii="Times New Roman" w:hAnsi="Times New Roman" w:eastAsia="Times New Roman" w:cs="Times New Roman"/>
          <w:spacing w:val="67"/>
        </w:rPr>
        <w:t xml:space="preserve"> </w:t>
      </w:r>
      <w:r>
        <w:rPr>
          <w:spacing w:val="6"/>
        </w:rPr>
        <w:t>规定产品性能</w:t>
      </w:r>
    </w:p>
    <w:p w14:paraId="61BC882C">
      <w:pPr>
        <w:pStyle w:val="2"/>
        <w:spacing w:before="140" w:line="219" w:lineRule="auto"/>
        <w:ind w:left="539"/>
      </w:pPr>
      <w:r>
        <w:rPr>
          <w:spacing w:val="3"/>
        </w:rPr>
        <w:t>应该规定每种状态下的产品性能和失效判据。</w:t>
      </w:r>
    </w:p>
    <w:p w14:paraId="1963244C">
      <w:pPr>
        <w:pStyle w:val="2"/>
        <w:spacing w:before="59" w:line="212" w:lineRule="auto"/>
        <w:ind w:left="539"/>
      </w:pPr>
      <w:r>
        <w:rPr>
          <w:rFonts w:ascii="Times New Roman" w:hAnsi="Times New Roman" w:eastAsia="Times New Roman" w:cs="Times New Roman"/>
          <w:spacing w:val="5"/>
        </w:rPr>
        <w:t>b)</w:t>
      </w:r>
      <w:r>
        <w:rPr>
          <w:rFonts w:ascii="Times New Roman" w:hAnsi="Times New Roman" w:eastAsia="Times New Roman" w:cs="Times New Roman"/>
          <w:spacing w:val="58"/>
        </w:rPr>
        <w:t xml:space="preserve"> </w:t>
      </w:r>
      <w:r>
        <w:rPr>
          <w:spacing w:val="5"/>
        </w:rPr>
        <w:t>规定条件</w:t>
      </w:r>
    </w:p>
    <w:p w14:paraId="57489AAE">
      <w:pPr>
        <w:pStyle w:val="2"/>
        <w:spacing w:before="127" w:line="273" w:lineRule="auto"/>
        <w:ind w:right="113" w:firstLine="539"/>
      </w:pPr>
      <w:r>
        <w:rPr>
          <w:spacing w:val="6"/>
        </w:rPr>
        <w:t>规定在执行任务过程中产品各单元所遇到的环境</w:t>
      </w:r>
      <w:r>
        <w:rPr>
          <w:spacing w:val="5"/>
        </w:rPr>
        <w:t>和工作应力。还应规定各</w:t>
      </w:r>
      <w:r>
        <w:t xml:space="preserve"> </w:t>
      </w:r>
      <w:r>
        <w:rPr>
          <w:spacing w:val="5"/>
        </w:rPr>
        <w:t>单元的占空因数或工作周期及后勤周期。占空因数是单元工作时间与总任务时</w:t>
      </w:r>
      <w:r>
        <w:rPr>
          <w:spacing w:val="14"/>
        </w:rPr>
        <w:t xml:space="preserve"> </w:t>
      </w:r>
      <w:r>
        <w:rPr>
          <w:spacing w:val="6"/>
        </w:rPr>
        <w:t>间之比。工作周期应当描述预期的持续时间，以</w:t>
      </w:r>
      <w:r>
        <w:rPr>
          <w:spacing w:val="5"/>
        </w:rPr>
        <w:t>及从产品分配给操作者直到损</w:t>
      </w:r>
      <w:r>
        <w:t xml:space="preserve"> </w:t>
      </w:r>
      <w:r>
        <w:rPr>
          <w:spacing w:val="5"/>
        </w:rPr>
        <w:t>坏或返回后勤的某一时间周期及在这个期间内的一系列事件。后勤周期应当描</w:t>
      </w:r>
      <w:r>
        <w:rPr>
          <w:spacing w:val="13"/>
        </w:rPr>
        <w:t xml:space="preserve"> </w:t>
      </w:r>
      <w:r>
        <w:rPr>
          <w:spacing w:val="-8"/>
        </w:rPr>
        <w:t>述维修、运输、贮存等事件的预期持续时间</w:t>
      </w:r>
      <w:r>
        <w:rPr>
          <w:spacing w:val="-9"/>
        </w:rPr>
        <w:t>及顺序。</w:t>
      </w:r>
    </w:p>
    <w:p w14:paraId="196154FD">
      <w:pPr>
        <w:pStyle w:val="2"/>
        <w:spacing w:before="6" w:line="212" w:lineRule="auto"/>
        <w:ind w:left="539"/>
      </w:pPr>
      <w:r>
        <w:rPr>
          <w:rFonts w:ascii="Times New Roman" w:hAnsi="Times New Roman" w:eastAsia="Times New Roman" w:cs="Times New Roman"/>
          <w:spacing w:val="4"/>
        </w:rPr>
        <w:t>c)</w:t>
      </w:r>
      <w:r>
        <w:rPr>
          <w:rFonts w:ascii="Times New Roman" w:hAnsi="Times New Roman" w:eastAsia="Times New Roman" w:cs="Times New Roman"/>
          <w:spacing w:val="66"/>
        </w:rPr>
        <w:t xml:space="preserve"> </w:t>
      </w:r>
      <w:r>
        <w:rPr>
          <w:spacing w:val="4"/>
        </w:rPr>
        <w:t>规定任务时间</w:t>
      </w:r>
    </w:p>
    <w:p w14:paraId="683C4C3F">
      <w:pPr>
        <w:pStyle w:val="2"/>
        <w:spacing w:before="132" w:line="273" w:lineRule="auto"/>
        <w:ind w:firstLine="539"/>
      </w:pPr>
      <w:r>
        <w:rPr>
          <w:spacing w:val="6"/>
        </w:rPr>
        <w:t>必须对产品工作的时间做出明确的定量规定。对于在任务的不同阶段，以</w:t>
      </w:r>
      <w:r>
        <w:rPr>
          <w:spacing w:val="1"/>
        </w:rPr>
        <w:t xml:space="preserve"> </w:t>
      </w:r>
      <w:r>
        <w:rPr>
          <w:spacing w:val="5"/>
        </w:rPr>
        <w:t>不同的工作模式进行工作，或者只有在必要条件下才使用某些分系统的复杂产</w:t>
      </w:r>
      <w:r>
        <w:rPr>
          <w:spacing w:val="8"/>
        </w:rPr>
        <w:t xml:space="preserve">  </w:t>
      </w:r>
      <w:r>
        <w:rPr>
          <w:spacing w:val="1"/>
        </w:rPr>
        <w:t>品来说，要给每一下级单元规定工作时间要求。如果不能确切地规定工作时</w:t>
      </w:r>
      <w:r>
        <w:t xml:space="preserve">间， </w:t>
      </w:r>
      <w:r>
        <w:rPr>
          <w:spacing w:val="4"/>
        </w:rPr>
        <w:t>则需要规定在任务期限内成功地工作的概率。</w:t>
      </w:r>
    </w:p>
    <w:p w14:paraId="063A33B9">
      <w:pPr>
        <w:pStyle w:val="2"/>
        <w:spacing w:line="212" w:lineRule="auto"/>
        <w:ind w:left="539"/>
      </w:pPr>
      <w:r>
        <w:rPr>
          <w:rFonts w:ascii="Times New Roman" w:hAnsi="Times New Roman" w:eastAsia="Times New Roman" w:cs="Times New Roman"/>
          <w:spacing w:val="6"/>
        </w:rPr>
        <w:t>d)</w:t>
      </w:r>
      <w:r>
        <w:rPr>
          <w:rFonts w:ascii="Times New Roman" w:hAnsi="Times New Roman" w:eastAsia="Times New Roman" w:cs="Times New Roman"/>
          <w:spacing w:val="53"/>
        </w:rPr>
        <w:t xml:space="preserve"> </w:t>
      </w:r>
      <w:r>
        <w:rPr>
          <w:spacing w:val="6"/>
        </w:rPr>
        <w:t>定义产品单元的可靠性变量</w:t>
      </w:r>
    </w:p>
    <w:p w14:paraId="505CECCD">
      <w:pPr>
        <w:pStyle w:val="2"/>
        <w:spacing w:before="150" w:line="269" w:lineRule="auto"/>
        <w:ind w:right="113" w:firstLine="539"/>
      </w:pPr>
      <w:r>
        <w:rPr>
          <w:spacing w:val="6"/>
        </w:rPr>
        <w:t>可靠性变量是用来描述任务可靠性框图中的每个单元完成其功能所需</w:t>
      </w:r>
      <w:r>
        <w:rPr>
          <w:spacing w:val="5"/>
        </w:rPr>
        <w:t>要的</w:t>
      </w:r>
      <w:r>
        <w:t xml:space="preserve"> </w:t>
      </w:r>
      <w:r>
        <w:rPr>
          <w:spacing w:val="-13"/>
        </w:rPr>
        <w:t>时间、周期或事件。</w:t>
      </w:r>
    </w:p>
    <w:p w14:paraId="58DCCD1B">
      <w:pPr>
        <w:spacing w:before="17" w:line="221" w:lineRule="auto"/>
        <w:rPr>
          <w:rFonts w:ascii="黑体" w:hAnsi="黑体" w:eastAsia="黑体" w:cs="黑体"/>
          <w:sz w:val="25"/>
          <w:szCs w:val="25"/>
        </w:rPr>
      </w:pPr>
      <w:r>
        <w:rPr>
          <w:rFonts w:ascii="黑体" w:hAnsi="黑体" w:eastAsia="黑体" w:cs="黑体"/>
          <w:spacing w:val="-7"/>
          <w:sz w:val="25"/>
          <w:szCs w:val="25"/>
        </w:rPr>
        <w:t>3.2</w:t>
      </w:r>
      <w:r>
        <w:rPr>
          <w:rFonts w:ascii="黑体" w:hAnsi="黑体" w:eastAsia="黑体" w:cs="黑体"/>
          <w:spacing w:val="39"/>
          <w:sz w:val="25"/>
          <w:szCs w:val="25"/>
        </w:rPr>
        <w:t xml:space="preserve">  </w:t>
      </w:r>
      <w:r>
        <w:rPr>
          <w:rFonts w:ascii="黑体" w:hAnsi="黑体" w:eastAsia="黑体" w:cs="黑体"/>
          <w:b/>
          <w:bCs/>
          <w:spacing w:val="-7"/>
          <w:sz w:val="25"/>
          <w:szCs w:val="25"/>
        </w:rPr>
        <w:t>步</w:t>
      </w:r>
      <w:r>
        <w:rPr>
          <w:rFonts w:ascii="黑体" w:hAnsi="黑体" w:eastAsia="黑体" w:cs="黑体"/>
          <w:spacing w:val="-47"/>
          <w:sz w:val="25"/>
          <w:szCs w:val="25"/>
        </w:rPr>
        <w:t xml:space="preserve"> </w:t>
      </w:r>
      <w:r>
        <w:rPr>
          <w:rFonts w:ascii="黑体" w:hAnsi="黑体" w:eastAsia="黑体" w:cs="黑体"/>
          <w:b/>
          <w:bCs/>
          <w:spacing w:val="-7"/>
          <w:sz w:val="25"/>
          <w:szCs w:val="25"/>
        </w:rPr>
        <w:t>骤</w:t>
      </w:r>
    </w:p>
    <w:p w14:paraId="6D5E3B8B">
      <w:pPr>
        <w:spacing w:before="131" w:line="221" w:lineRule="auto"/>
        <w:rPr>
          <w:rFonts w:ascii="黑体" w:hAnsi="黑体" w:eastAsia="黑体" w:cs="黑体"/>
          <w:sz w:val="24"/>
          <w:szCs w:val="24"/>
        </w:rPr>
      </w:pPr>
      <w:r>
        <w:rPr>
          <w:rFonts w:ascii="黑体" w:hAnsi="黑体" w:eastAsia="黑体" w:cs="黑体"/>
          <w:spacing w:val="21"/>
          <w:sz w:val="24"/>
          <w:szCs w:val="24"/>
        </w:rPr>
        <w:t>3.2.</w:t>
      </w:r>
      <w:r>
        <w:rPr>
          <w:rFonts w:ascii="黑体" w:hAnsi="黑体" w:eastAsia="黑体" w:cs="黑体"/>
          <w:spacing w:val="-38"/>
          <w:sz w:val="24"/>
          <w:szCs w:val="24"/>
        </w:rPr>
        <w:t xml:space="preserve"> </w:t>
      </w:r>
      <w:r>
        <w:rPr>
          <w:rFonts w:ascii="黑体" w:hAnsi="黑体" w:eastAsia="黑体" w:cs="黑体"/>
          <w:spacing w:val="21"/>
          <w:sz w:val="24"/>
          <w:szCs w:val="24"/>
        </w:rPr>
        <w:t>1</w:t>
      </w:r>
      <w:r>
        <w:rPr>
          <w:rFonts w:ascii="黑体" w:hAnsi="黑体" w:eastAsia="黑体" w:cs="黑体"/>
          <w:spacing w:val="47"/>
          <w:sz w:val="24"/>
          <w:szCs w:val="24"/>
        </w:rPr>
        <w:t xml:space="preserve">  </w:t>
      </w:r>
      <w:r>
        <w:rPr>
          <w:rFonts w:ascii="黑体" w:hAnsi="黑体" w:eastAsia="黑体" w:cs="黑体"/>
          <w:b/>
          <w:bCs/>
          <w:spacing w:val="21"/>
          <w:sz w:val="24"/>
          <w:szCs w:val="24"/>
        </w:rPr>
        <w:t>确定产品的任务或工作模式</w:t>
      </w:r>
    </w:p>
    <w:p w14:paraId="7BBFCCF3">
      <w:pPr>
        <w:pStyle w:val="2"/>
        <w:spacing w:before="100" w:line="219" w:lineRule="auto"/>
        <w:ind w:left="539"/>
      </w:pPr>
      <w:r>
        <w:rPr>
          <w:rFonts w:ascii="Times New Roman" w:hAnsi="Times New Roman" w:eastAsia="Times New Roman" w:cs="Times New Roman"/>
          <w:spacing w:val="14"/>
        </w:rPr>
        <w:t>a</w:t>
      </w:r>
      <w:r>
        <w:rPr>
          <w:rFonts w:ascii="Times New Roman" w:hAnsi="Times New Roman" w:eastAsia="Times New Roman" w:cs="Times New Roman"/>
          <w:spacing w:val="-25"/>
        </w:rPr>
        <w:t xml:space="preserve"> </w:t>
      </w:r>
      <w:r>
        <w:rPr>
          <w:spacing w:val="14"/>
        </w:rPr>
        <w:t>)确定任务</w:t>
      </w:r>
    </w:p>
    <w:p w14:paraId="1D1CB155">
      <w:pPr>
        <w:pStyle w:val="2"/>
        <w:spacing w:before="89" w:line="219" w:lineRule="auto"/>
        <w:ind w:left="539"/>
      </w:pPr>
      <w:r>
        <w:rPr>
          <w:spacing w:val="-3"/>
        </w:rPr>
        <w:t>说明产品的任务，有的产品可以用于完成多项任务。</w:t>
      </w:r>
    </w:p>
    <w:p w14:paraId="40399DD8">
      <w:pPr>
        <w:pStyle w:val="2"/>
        <w:spacing w:before="49" w:line="212" w:lineRule="auto"/>
        <w:ind w:left="539"/>
      </w:pPr>
      <w:r>
        <w:rPr>
          <w:rFonts w:ascii="Times New Roman" w:hAnsi="Times New Roman" w:eastAsia="Times New Roman" w:cs="Times New Roman"/>
          <w:spacing w:val="3"/>
        </w:rPr>
        <w:t>b)</w:t>
      </w:r>
      <w:r>
        <w:rPr>
          <w:rFonts w:ascii="Times New Roman" w:hAnsi="Times New Roman" w:eastAsia="Times New Roman" w:cs="Times New Roman"/>
          <w:spacing w:val="73"/>
        </w:rPr>
        <w:t xml:space="preserve"> </w:t>
      </w:r>
      <w:r>
        <w:rPr>
          <w:spacing w:val="3"/>
        </w:rPr>
        <w:t>确定工作模式</w:t>
      </w:r>
    </w:p>
    <w:p w14:paraId="4E778D28">
      <w:pPr>
        <w:pStyle w:val="2"/>
        <w:spacing w:before="151" w:line="219" w:lineRule="auto"/>
        <w:ind w:left="539"/>
      </w:pPr>
      <w:r>
        <w:rPr>
          <w:spacing w:val="-2"/>
        </w:rPr>
        <w:t>功能工作模式：一种功能工作模式执行一种特定的功能。</w:t>
      </w:r>
    </w:p>
    <w:p w14:paraId="6665F6F4">
      <w:pPr>
        <w:pStyle w:val="2"/>
        <w:spacing w:before="99" w:line="255" w:lineRule="auto"/>
        <w:ind w:right="121" w:firstLine="539"/>
      </w:pPr>
      <w:r>
        <w:rPr>
          <w:spacing w:val="-3"/>
        </w:rPr>
        <w:t>代替工作模式：当产品有不止一种方法完成某一特定功能时，它就是具有代</w:t>
      </w:r>
      <w:r>
        <w:rPr>
          <w:spacing w:val="11"/>
        </w:rPr>
        <w:t xml:space="preserve"> </w:t>
      </w:r>
      <w:r>
        <w:rPr>
          <w:spacing w:val="-1"/>
        </w:rPr>
        <w:t>替工作模式。</w:t>
      </w:r>
    </w:p>
    <w:p w14:paraId="7C93E296">
      <w:pPr>
        <w:pStyle w:val="2"/>
        <w:spacing w:before="72" w:line="275" w:lineRule="auto"/>
        <w:ind w:firstLine="539"/>
        <w:jc w:val="both"/>
      </w:pPr>
      <w:r>
        <w:rPr>
          <w:spacing w:val="-3"/>
        </w:rPr>
        <w:t>在拟定数学模型之前，必须先规定要求。必须编写出一个文字说明，说明完</w:t>
      </w:r>
      <w:r>
        <w:rPr>
          <w:spacing w:val="5"/>
        </w:rPr>
        <w:t xml:space="preserve">  </w:t>
      </w:r>
      <w:r>
        <w:rPr>
          <w:spacing w:val="9"/>
        </w:rPr>
        <w:t>成任务需要的条件。任务可靠性框图则是说明完成任务需要什么的一种图</w:t>
      </w:r>
      <w:r>
        <w:rPr>
          <w:spacing w:val="8"/>
        </w:rPr>
        <w:t>形。</w:t>
      </w:r>
      <w:r>
        <w:t xml:space="preserve"> </w:t>
      </w:r>
      <w:r>
        <w:rPr>
          <w:spacing w:val="-4"/>
        </w:rPr>
        <w:t>当要求不是单一的，可能需要拟定几个任务可靠性模型，以适应不同的要求。</w:t>
      </w:r>
    </w:p>
    <w:p w14:paraId="3922C06D">
      <w:pPr>
        <w:spacing w:before="1" w:line="220" w:lineRule="auto"/>
        <w:rPr>
          <w:rFonts w:ascii="黑体" w:hAnsi="黑体" w:eastAsia="黑体" w:cs="黑体"/>
          <w:sz w:val="27"/>
          <w:szCs w:val="27"/>
        </w:rPr>
      </w:pPr>
      <w:r>
        <w:rPr>
          <w:rFonts w:ascii="黑体" w:hAnsi="黑体" w:eastAsia="黑体" w:cs="黑体"/>
          <w:spacing w:val="2"/>
          <w:sz w:val="27"/>
          <w:szCs w:val="27"/>
        </w:rPr>
        <w:t xml:space="preserve">3.2.2  </w:t>
      </w:r>
      <w:r>
        <w:rPr>
          <w:rFonts w:ascii="黑体" w:hAnsi="黑体" w:eastAsia="黑体" w:cs="黑体"/>
          <w:b/>
          <w:bCs/>
          <w:spacing w:val="2"/>
          <w:sz w:val="27"/>
          <w:szCs w:val="27"/>
        </w:rPr>
        <w:t>规定产品及其分系统的性能参数及容许界限</w:t>
      </w:r>
    </w:p>
    <w:p w14:paraId="41DC80E8">
      <w:pPr>
        <w:pStyle w:val="2"/>
        <w:spacing w:before="82" w:line="283" w:lineRule="auto"/>
        <w:ind w:right="118" w:firstLine="539"/>
      </w:pPr>
      <w:r>
        <w:rPr>
          <w:spacing w:val="6"/>
        </w:rPr>
        <w:t>应该编制一个清单或图表。参数清单应该是全面的，即对</w:t>
      </w:r>
      <w:r>
        <w:rPr>
          <w:spacing w:val="5"/>
        </w:rPr>
        <w:t>所考虑的整个产</w:t>
      </w:r>
      <w:r>
        <w:t xml:space="preserve"> </w:t>
      </w:r>
      <w:r>
        <w:rPr>
          <w:spacing w:val="-3"/>
        </w:rPr>
        <w:t>品做全面规定。应该规定这些参数的允许上、下限。</w:t>
      </w:r>
    </w:p>
    <w:p w14:paraId="48A672E8">
      <w:pPr>
        <w:spacing w:line="283" w:lineRule="auto"/>
        <w:sectPr>
          <w:footerReference r:id="rId362" w:type="default"/>
          <w:pgSz w:w="11910" w:h="17130"/>
          <w:pgMar w:top="1456" w:right="1384" w:bottom="1579" w:left="1039" w:header="0" w:footer="1399" w:gutter="0"/>
          <w:cols w:space="720" w:num="1"/>
        </w:sectPr>
      </w:pPr>
    </w:p>
    <w:p w14:paraId="3204707E">
      <w:pPr>
        <w:spacing w:before="153" w:line="222" w:lineRule="auto"/>
        <w:rPr>
          <w:rFonts w:ascii="黑体" w:hAnsi="黑体" w:eastAsia="黑体" w:cs="黑体"/>
          <w:sz w:val="27"/>
          <w:szCs w:val="27"/>
        </w:rPr>
      </w:pPr>
      <w:r>
        <w:rPr>
          <w:rFonts w:ascii="黑体" w:hAnsi="黑体" w:eastAsia="黑体" w:cs="黑体"/>
          <w:spacing w:val="6"/>
          <w:sz w:val="27"/>
          <w:szCs w:val="27"/>
        </w:rPr>
        <w:t>3.2.3  确定产品的物理限和功能接口</w:t>
      </w:r>
    </w:p>
    <w:p w14:paraId="36266398">
      <w:pPr>
        <w:pStyle w:val="2"/>
        <w:spacing w:before="107" w:line="219" w:lineRule="auto"/>
        <w:ind w:left="570"/>
      </w:pPr>
      <w:r>
        <w:rPr>
          <w:spacing w:val="3"/>
        </w:rPr>
        <w:t>说明产品的物理限和功能接口。</w:t>
      </w:r>
    </w:p>
    <w:p w14:paraId="4E879EBB">
      <w:pPr>
        <w:pStyle w:val="2"/>
        <w:spacing w:before="27" w:line="294" w:lineRule="auto"/>
        <w:ind w:right="21" w:firstLine="570"/>
      </w:pPr>
      <w:r>
        <w:rPr>
          <w:spacing w:val="-11"/>
        </w:rPr>
        <w:t>物理限应包括：最大尺寸；最大重量；安全规定；人的因素限制；材料性能极</w:t>
      </w:r>
      <w:r>
        <w:rPr>
          <w:spacing w:val="14"/>
        </w:rPr>
        <w:t xml:space="preserve"> </w:t>
      </w:r>
      <w:r>
        <w:rPr>
          <w:spacing w:val="-25"/>
        </w:rPr>
        <w:t>限；其他。</w:t>
      </w:r>
    </w:p>
    <w:p w14:paraId="6BC8EFA5">
      <w:pPr>
        <w:pStyle w:val="2"/>
        <w:spacing w:line="290" w:lineRule="auto"/>
        <w:ind w:right="29" w:firstLine="570"/>
        <w:rPr>
          <w:sz w:val="25"/>
          <w:szCs w:val="25"/>
        </w:rPr>
      </w:pPr>
      <w:r>
        <w:rPr>
          <w:spacing w:val="25"/>
          <w:sz w:val="25"/>
          <w:szCs w:val="25"/>
        </w:rPr>
        <w:t>功能接口是指被考虑的产品只要包括或依赖于另一产品，产品的相互关系</w:t>
      </w:r>
      <w:r>
        <w:rPr>
          <w:spacing w:val="12"/>
          <w:sz w:val="25"/>
          <w:szCs w:val="25"/>
        </w:rPr>
        <w:t xml:space="preserve"> </w:t>
      </w:r>
      <w:r>
        <w:rPr>
          <w:spacing w:val="23"/>
          <w:sz w:val="25"/>
          <w:szCs w:val="25"/>
        </w:rPr>
        <w:t>在兼容性方面就必须协调一致。</w:t>
      </w:r>
    </w:p>
    <w:p w14:paraId="68BCF8AD">
      <w:pPr>
        <w:spacing w:line="327" w:lineRule="exact"/>
        <w:rPr>
          <w:rFonts w:ascii="黑体" w:hAnsi="黑体" w:eastAsia="黑体" w:cs="黑体"/>
          <w:sz w:val="24"/>
          <w:szCs w:val="24"/>
        </w:rPr>
      </w:pPr>
      <w:r>
        <w:rPr>
          <w:rFonts w:ascii="Arial" w:hAnsi="Arial" w:eastAsia="Arial" w:cs="Arial"/>
          <w:spacing w:val="23"/>
          <w:position w:val="1"/>
          <w:sz w:val="24"/>
          <w:szCs w:val="24"/>
        </w:rPr>
        <w:t>3.2.4</w:t>
      </w:r>
      <w:r>
        <w:rPr>
          <w:rFonts w:ascii="Arial" w:hAnsi="Arial" w:eastAsia="Arial" w:cs="Arial"/>
          <w:spacing w:val="9"/>
          <w:position w:val="1"/>
          <w:sz w:val="24"/>
          <w:szCs w:val="24"/>
        </w:rPr>
        <w:t xml:space="preserve">      </w:t>
      </w:r>
      <w:r>
        <w:rPr>
          <w:rFonts w:ascii="黑体" w:hAnsi="黑体" w:eastAsia="黑体" w:cs="黑体"/>
          <w:spacing w:val="23"/>
          <w:position w:val="1"/>
          <w:sz w:val="24"/>
          <w:szCs w:val="24"/>
        </w:rPr>
        <w:t>确定构成任务失败的条件</w:t>
      </w:r>
    </w:p>
    <w:p w14:paraId="4B1011C5">
      <w:pPr>
        <w:pStyle w:val="2"/>
        <w:spacing w:before="99" w:line="219" w:lineRule="auto"/>
        <w:ind w:left="570"/>
      </w:pPr>
      <w:r>
        <w:rPr>
          <w:spacing w:val="3"/>
        </w:rPr>
        <w:t>应确定和列出构成任务失败的条件。</w:t>
      </w:r>
    </w:p>
    <w:p w14:paraId="73D87984">
      <w:pPr>
        <w:pStyle w:val="2"/>
        <w:spacing w:before="90" w:line="282" w:lineRule="auto"/>
        <w:ind w:right="21" w:firstLine="570"/>
      </w:pPr>
      <w:r>
        <w:rPr>
          <w:spacing w:val="-3"/>
        </w:rPr>
        <w:t>在某些情况下，虽然出现失效，但是仍然可以在某种程度上完成任务。在这</w:t>
      </w:r>
      <w:r>
        <w:rPr>
          <w:spacing w:val="9"/>
        </w:rPr>
        <w:t xml:space="preserve"> </w:t>
      </w:r>
      <w:r>
        <w:rPr>
          <w:spacing w:val="-1"/>
        </w:rPr>
        <w:t>种情况下，确定仍然可以完成任务的项目是有意义的。</w:t>
      </w:r>
    </w:p>
    <w:p w14:paraId="3FA2CC29">
      <w:pPr>
        <w:spacing w:before="21" w:line="222" w:lineRule="auto"/>
        <w:rPr>
          <w:rFonts w:ascii="黑体" w:hAnsi="黑体" w:eastAsia="黑体" w:cs="黑体"/>
          <w:sz w:val="24"/>
          <w:szCs w:val="24"/>
        </w:rPr>
      </w:pPr>
      <w:r>
        <w:rPr>
          <w:rFonts w:ascii="黑体" w:hAnsi="黑体" w:eastAsia="黑体" w:cs="黑体"/>
          <w:spacing w:val="22"/>
          <w:sz w:val="24"/>
          <w:szCs w:val="24"/>
        </w:rPr>
        <w:t>3.2</w:t>
      </w:r>
      <w:r>
        <w:rPr>
          <w:rFonts w:ascii="黑体" w:hAnsi="黑体" w:eastAsia="黑体" w:cs="黑体"/>
          <w:spacing w:val="-51"/>
          <w:sz w:val="24"/>
          <w:szCs w:val="24"/>
        </w:rPr>
        <w:t xml:space="preserve"> </w:t>
      </w:r>
      <w:r>
        <w:rPr>
          <w:rFonts w:ascii="黑体" w:hAnsi="黑体" w:eastAsia="黑体" w:cs="黑体"/>
          <w:spacing w:val="22"/>
          <w:sz w:val="24"/>
          <w:szCs w:val="24"/>
        </w:rPr>
        <w:t>.5</w:t>
      </w:r>
      <w:r>
        <w:rPr>
          <w:rFonts w:ascii="黑体" w:hAnsi="黑体" w:eastAsia="黑体" w:cs="黑体"/>
          <w:spacing w:val="44"/>
          <w:sz w:val="24"/>
          <w:szCs w:val="24"/>
        </w:rPr>
        <w:t xml:space="preserve">  </w:t>
      </w:r>
      <w:r>
        <w:rPr>
          <w:rFonts w:ascii="黑体" w:hAnsi="黑体" w:eastAsia="黑体" w:cs="黑体"/>
          <w:spacing w:val="22"/>
          <w:sz w:val="24"/>
          <w:szCs w:val="24"/>
        </w:rPr>
        <w:t>确定产品的寿命剖面</w:t>
      </w:r>
    </w:p>
    <w:p w14:paraId="6F4FAFCE">
      <w:pPr>
        <w:pStyle w:val="2"/>
        <w:spacing w:before="84" w:line="269" w:lineRule="auto"/>
        <w:ind w:right="20" w:firstLine="570"/>
        <w:jc w:val="both"/>
      </w:pPr>
      <w:r>
        <w:rPr>
          <w:spacing w:val="6"/>
        </w:rPr>
        <w:t>应确定产品的寿命剖面，全面描述从产品接收</w:t>
      </w:r>
      <w:r>
        <w:rPr>
          <w:spacing w:val="5"/>
        </w:rPr>
        <w:t>至它退出使用期的所有事件</w:t>
      </w:r>
      <w:r>
        <w:t xml:space="preserve"> </w:t>
      </w:r>
      <w:r>
        <w:rPr>
          <w:spacing w:val="2"/>
        </w:rPr>
        <w:t>和环境。这个剖面描述每一事件预期的时间间</w:t>
      </w:r>
      <w:r>
        <w:rPr>
          <w:spacing w:val="1"/>
        </w:rPr>
        <w:t>隔、环境、工作模式(包括备用模</w:t>
      </w:r>
      <w:r>
        <w:t xml:space="preserve"> </w:t>
      </w:r>
      <w:r>
        <w:rPr>
          <w:spacing w:val="3"/>
        </w:rPr>
        <w:t>式)。最重要的是任务剖面和环境剖面。</w:t>
      </w:r>
    </w:p>
    <w:p w14:paraId="6B7FAB80">
      <w:pPr>
        <w:pStyle w:val="2"/>
        <w:spacing w:before="1" w:line="270" w:lineRule="auto"/>
        <w:ind w:right="22" w:firstLine="570"/>
      </w:pPr>
      <w:r>
        <w:rPr>
          <w:rFonts w:ascii="Times New Roman" w:hAnsi="Times New Roman" w:eastAsia="Times New Roman" w:cs="Times New Roman"/>
          <w:spacing w:val="12"/>
        </w:rPr>
        <w:t>a)</w:t>
      </w:r>
      <w:r>
        <w:rPr>
          <w:rFonts w:ascii="Times New Roman" w:hAnsi="Times New Roman" w:eastAsia="Times New Roman" w:cs="Times New Roman"/>
          <w:spacing w:val="62"/>
          <w:w w:val="101"/>
        </w:rPr>
        <w:t xml:space="preserve"> </w:t>
      </w:r>
      <w:r>
        <w:rPr>
          <w:spacing w:val="12"/>
        </w:rPr>
        <w:t>任务剖面说明与产品特定的使用过程有关的事件和条件。</w:t>
      </w:r>
      <w:r>
        <w:rPr>
          <w:spacing w:val="11"/>
        </w:rPr>
        <w:t>为了恰当地</w:t>
      </w:r>
      <w:r>
        <w:t xml:space="preserve"> 描述产品的多重或多阶段任务能力，需要有多重多阶段任务剖面。</w:t>
      </w:r>
    </w:p>
    <w:p w14:paraId="74EF494F">
      <w:pPr>
        <w:pStyle w:val="2"/>
        <w:spacing w:before="61" w:line="271" w:lineRule="auto"/>
        <w:ind w:right="19" w:firstLine="570"/>
        <w:rPr>
          <w:sz w:val="25"/>
          <w:szCs w:val="25"/>
        </w:rPr>
      </w:pPr>
      <w:r>
        <w:rPr>
          <w:rFonts w:ascii="Times New Roman" w:hAnsi="Times New Roman" w:eastAsia="Times New Roman" w:cs="Times New Roman"/>
          <w:spacing w:val="25"/>
          <w:sz w:val="25"/>
          <w:szCs w:val="25"/>
        </w:rPr>
        <w:t xml:space="preserve">b)  </w:t>
      </w:r>
      <w:r>
        <w:rPr>
          <w:spacing w:val="25"/>
          <w:sz w:val="25"/>
          <w:szCs w:val="25"/>
        </w:rPr>
        <w:t>环境剖面描述与操作、事件或功能有关的特</w:t>
      </w:r>
      <w:r>
        <w:rPr>
          <w:spacing w:val="24"/>
          <w:sz w:val="25"/>
          <w:szCs w:val="25"/>
        </w:rPr>
        <w:t>定的固有和诱导环境(标称</w:t>
      </w:r>
      <w:r>
        <w:rPr>
          <w:sz w:val="25"/>
          <w:szCs w:val="25"/>
        </w:rPr>
        <w:t xml:space="preserve"> </w:t>
      </w:r>
      <w:r>
        <w:rPr>
          <w:spacing w:val="22"/>
          <w:sz w:val="25"/>
          <w:szCs w:val="25"/>
        </w:rPr>
        <w:t>的和最坏的情况)。产品可能不止用于一种环境。</w:t>
      </w:r>
    </w:p>
    <w:p w14:paraId="5D927066">
      <w:pPr>
        <w:pStyle w:val="2"/>
        <w:spacing w:before="105" w:line="219" w:lineRule="auto"/>
        <w:ind w:left="570"/>
      </w:pPr>
      <w:r>
        <w:rPr>
          <w:spacing w:val="3"/>
        </w:rPr>
        <w:t>在任务可靠性模型中对环境条件的处理：</w:t>
      </w:r>
    </w:p>
    <w:p w14:paraId="5F4EB5D2">
      <w:pPr>
        <w:pStyle w:val="2"/>
        <w:spacing w:before="49" w:line="260" w:lineRule="auto"/>
        <w:ind w:right="20" w:firstLine="570"/>
      </w:pPr>
      <w:r>
        <w:rPr>
          <w:rFonts w:ascii="Times New Roman" w:hAnsi="Times New Roman" w:eastAsia="Times New Roman" w:cs="Times New Roman"/>
          <w:spacing w:val="3"/>
        </w:rPr>
        <w:t xml:space="preserve">a)  </w:t>
      </w:r>
      <w:r>
        <w:rPr>
          <w:spacing w:val="3"/>
        </w:rPr>
        <w:t>当产品用于不同的环境条件其任务可靠性模型都相同，但在不同的环境</w:t>
      </w:r>
      <w:r>
        <w:t xml:space="preserve"> </w:t>
      </w:r>
      <w:r>
        <w:rPr>
          <w:spacing w:val="3"/>
        </w:rPr>
        <w:t>条件下产品各个单元的失效率不同。</w:t>
      </w:r>
    </w:p>
    <w:p w14:paraId="2E21ECD8">
      <w:pPr>
        <w:pStyle w:val="2"/>
        <w:spacing w:before="59" w:line="263" w:lineRule="auto"/>
        <w:ind w:right="8" w:firstLine="570"/>
      </w:pPr>
      <w:r>
        <w:rPr>
          <w:rFonts w:ascii="Times New Roman" w:hAnsi="Times New Roman" w:eastAsia="Times New Roman" w:cs="Times New Roman"/>
          <w:spacing w:val="3"/>
        </w:rPr>
        <w:t xml:space="preserve">b)  </w:t>
      </w:r>
      <w:r>
        <w:rPr>
          <w:spacing w:val="3"/>
        </w:rPr>
        <w:t>当产品有几个工作阶段时，可拟定单独任务可靠性模型，包括对于</w:t>
      </w:r>
      <w:r>
        <w:rPr>
          <w:spacing w:val="2"/>
        </w:rPr>
        <w:t>不同</w:t>
      </w:r>
      <w:r>
        <w:t xml:space="preserve"> </w:t>
      </w:r>
      <w:r>
        <w:rPr>
          <w:spacing w:val="-1"/>
        </w:rPr>
        <w:t>环境条件的考虑，然后将结果综合到一个总的可靠性模型中。</w:t>
      </w:r>
    </w:p>
    <w:p w14:paraId="6C02B3C9">
      <w:pPr>
        <w:spacing w:before="99" w:line="222" w:lineRule="auto"/>
        <w:rPr>
          <w:rFonts w:ascii="黑体" w:hAnsi="黑体" w:eastAsia="黑体" w:cs="黑体"/>
          <w:sz w:val="24"/>
          <w:szCs w:val="24"/>
        </w:rPr>
      </w:pPr>
      <w:r>
        <w:rPr>
          <w:rFonts w:ascii="黑体" w:hAnsi="黑体" w:eastAsia="黑体" w:cs="黑体"/>
          <w:spacing w:val="31"/>
          <w:sz w:val="24"/>
          <w:szCs w:val="24"/>
        </w:rPr>
        <w:t>4</w:t>
      </w:r>
      <w:r>
        <w:rPr>
          <w:rFonts w:ascii="黑体" w:hAnsi="黑体" w:eastAsia="黑体" w:cs="黑体"/>
          <w:spacing w:val="60"/>
          <w:sz w:val="24"/>
          <w:szCs w:val="24"/>
        </w:rPr>
        <w:t xml:space="preserve">  </w:t>
      </w:r>
      <w:r>
        <w:rPr>
          <w:rFonts w:ascii="黑体" w:hAnsi="黑体" w:eastAsia="黑体" w:cs="黑体"/>
          <w:spacing w:val="31"/>
          <w:sz w:val="24"/>
          <w:szCs w:val="24"/>
        </w:rPr>
        <w:t>确定产品可靠性框图</w:t>
      </w:r>
    </w:p>
    <w:p w14:paraId="41E52FFE">
      <w:pPr>
        <w:pStyle w:val="2"/>
        <w:spacing w:before="94" w:line="280" w:lineRule="auto"/>
        <w:ind w:firstLine="570"/>
        <w:jc w:val="both"/>
      </w:pPr>
      <w:r>
        <w:rPr>
          <w:spacing w:val="-2"/>
        </w:rPr>
        <w:t>应确定产品可靠性框图，通过简明扼要的直观方法，表现出产品在每</w:t>
      </w:r>
      <w:r>
        <w:rPr>
          <w:spacing w:val="-3"/>
        </w:rPr>
        <w:t>次使用</w:t>
      </w:r>
      <w:r>
        <w:t xml:space="preserve"> </w:t>
      </w:r>
      <w:r>
        <w:rPr>
          <w:spacing w:val="-2"/>
        </w:rPr>
        <w:t>能完成任务的条件下，所有单元之间的相互依赖关系。为了编制可靠</w:t>
      </w:r>
      <w:r>
        <w:rPr>
          <w:spacing w:val="-3"/>
        </w:rPr>
        <w:t>性框图，需</w:t>
      </w:r>
      <w:r>
        <w:t xml:space="preserve"> </w:t>
      </w:r>
      <w:r>
        <w:rPr>
          <w:spacing w:val="6"/>
        </w:rPr>
        <w:t>要深入地了解产品任务及使用过程中的要求。绘制可靠性框图时，应注意下述</w:t>
      </w:r>
      <w:r>
        <w:rPr>
          <w:spacing w:val="5"/>
        </w:rPr>
        <w:t xml:space="preserve"> </w:t>
      </w:r>
      <w:r>
        <w:rPr>
          <w:spacing w:val="-6"/>
        </w:rPr>
        <w:t>要求：</w:t>
      </w:r>
    </w:p>
    <w:p w14:paraId="69A4B932">
      <w:pPr>
        <w:pStyle w:val="2"/>
        <w:spacing w:before="4" w:line="212" w:lineRule="auto"/>
        <w:ind w:left="570"/>
        <w:rPr>
          <w:sz w:val="24"/>
          <w:szCs w:val="24"/>
        </w:rPr>
      </w:pPr>
      <w:r>
        <w:rPr>
          <w:rFonts w:ascii="Times New Roman" w:hAnsi="Times New Roman" w:eastAsia="Times New Roman" w:cs="Times New Roman"/>
          <w:spacing w:val="28"/>
          <w:sz w:val="24"/>
          <w:szCs w:val="24"/>
        </w:rPr>
        <w:t xml:space="preserve">a)  </w:t>
      </w:r>
      <w:r>
        <w:rPr>
          <w:spacing w:val="28"/>
          <w:sz w:val="24"/>
          <w:szCs w:val="24"/>
        </w:rPr>
        <w:t>框图的标题和任务</w:t>
      </w:r>
    </w:p>
    <w:p w14:paraId="5F83E3BA">
      <w:pPr>
        <w:pStyle w:val="2"/>
        <w:spacing w:before="141" w:line="281" w:lineRule="auto"/>
        <w:ind w:firstLine="570"/>
      </w:pPr>
      <w:r>
        <w:rPr>
          <w:spacing w:val="-2"/>
        </w:rPr>
        <w:t>每个可靠性框图应该有一个标题，该标题包括产品的标志、任务说明</w:t>
      </w:r>
      <w:r>
        <w:rPr>
          <w:spacing w:val="-3"/>
        </w:rPr>
        <w:t>或使用</w:t>
      </w:r>
      <w:r>
        <w:t xml:space="preserve"> </w:t>
      </w:r>
      <w:r>
        <w:rPr>
          <w:spacing w:val="-2"/>
        </w:rPr>
        <w:t>过程要求的有关部分。完成任务的规定应确切地说明：在</w:t>
      </w:r>
      <w:r>
        <w:rPr>
          <w:spacing w:val="-3"/>
        </w:rPr>
        <w:t>规定条件下，计算出来</w:t>
      </w:r>
      <w:r>
        <w:t xml:space="preserve"> </w:t>
      </w:r>
      <w:r>
        <w:rPr>
          <w:spacing w:val="3"/>
        </w:rPr>
        <w:t>的可靠性特征量对框图所示的产品及其性能的意义和作用。</w:t>
      </w:r>
    </w:p>
    <w:p w14:paraId="2A0BB1C5">
      <w:pPr>
        <w:pStyle w:val="2"/>
        <w:spacing w:line="212" w:lineRule="auto"/>
        <w:ind w:left="570"/>
        <w:rPr>
          <w:sz w:val="24"/>
          <w:szCs w:val="24"/>
        </w:rPr>
      </w:pPr>
      <w:r>
        <w:rPr>
          <w:rFonts w:ascii="Times New Roman" w:hAnsi="Times New Roman" w:eastAsia="Times New Roman" w:cs="Times New Roman"/>
          <w:spacing w:val="-8"/>
          <w:sz w:val="24"/>
          <w:szCs w:val="24"/>
        </w:rPr>
        <w:t>b)</w:t>
      </w:r>
      <w:r>
        <w:rPr>
          <w:rFonts w:ascii="Times New Roman" w:hAnsi="Times New Roman" w:eastAsia="Times New Roman" w:cs="Times New Roman"/>
          <w:spacing w:val="24"/>
          <w:w w:val="101"/>
          <w:sz w:val="24"/>
          <w:szCs w:val="24"/>
        </w:rPr>
        <w:t xml:space="preserve">  </w:t>
      </w:r>
      <w:r>
        <w:rPr>
          <w:spacing w:val="-8"/>
          <w:sz w:val="24"/>
          <w:szCs w:val="24"/>
        </w:rPr>
        <w:t>限</w:t>
      </w:r>
      <w:r>
        <w:rPr>
          <w:spacing w:val="-51"/>
          <w:sz w:val="24"/>
          <w:szCs w:val="24"/>
        </w:rPr>
        <w:t xml:space="preserve"> </w:t>
      </w:r>
      <w:r>
        <w:rPr>
          <w:spacing w:val="-8"/>
          <w:sz w:val="24"/>
          <w:szCs w:val="24"/>
        </w:rPr>
        <w:t>制</w:t>
      </w:r>
      <w:r>
        <w:rPr>
          <w:spacing w:val="-50"/>
          <w:sz w:val="24"/>
          <w:szCs w:val="24"/>
        </w:rPr>
        <w:t xml:space="preserve"> </w:t>
      </w:r>
      <w:r>
        <w:rPr>
          <w:spacing w:val="-8"/>
          <w:sz w:val="24"/>
          <w:szCs w:val="24"/>
        </w:rPr>
        <w:t>条</w:t>
      </w:r>
      <w:r>
        <w:rPr>
          <w:spacing w:val="-53"/>
          <w:sz w:val="24"/>
          <w:szCs w:val="24"/>
        </w:rPr>
        <w:t xml:space="preserve"> </w:t>
      </w:r>
      <w:r>
        <w:rPr>
          <w:spacing w:val="-8"/>
          <w:sz w:val="24"/>
          <w:szCs w:val="24"/>
        </w:rPr>
        <w:t>件</w:t>
      </w:r>
    </w:p>
    <w:p w14:paraId="6FA36C54">
      <w:pPr>
        <w:pStyle w:val="2"/>
        <w:spacing w:before="152" w:line="219" w:lineRule="auto"/>
        <w:ind w:right="31"/>
        <w:jc w:val="right"/>
        <w:rPr>
          <w:sz w:val="25"/>
          <w:szCs w:val="25"/>
        </w:rPr>
      </w:pPr>
      <w:r>
        <w:rPr>
          <w:spacing w:val="34"/>
          <w:sz w:val="25"/>
          <w:szCs w:val="25"/>
        </w:rPr>
        <w:t>每个可靠性框图应该包括所有规定的限制条件。这些限制条件影响框图</w:t>
      </w:r>
    </w:p>
    <w:p w14:paraId="42A5E47B">
      <w:pPr>
        <w:spacing w:line="219" w:lineRule="auto"/>
        <w:rPr>
          <w:sz w:val="25"/>
          <w:szCs w:val="25"/>
        </w:rPr>
        <w:sectPr>
          <w:footerReference r:id="rId363" w:type="default"/>
          <w:pgSz w:w="11910" w:h="17130"/>
          <w:pgMar w:top="1456" w:right="887" w:bottom="1536" w:left="1609" w:header="0" w:footer="1346" w:gutter="0"/>
          <w:cols w:space="720" w:num="1"/>
        </w:sectPr>
      </w:pPr>
    </w:p>
    <w:p w14:paraId="311A6B4A">
      <w:pPr>
        <w:pStyle w:val="2"/>
        <w:spacing w:before="92" w:line="283" w:lineRule="auto"/>
        <w:ind w:right="102"/>
        <w:jc w:val="both"/>
      </w:pPr>
      <w:r>
        <w:rPr>
          <w:spacing w:val="6"/>
        </w:rPr>
        <w:t>表达形式的选择、用于分析的可靠性参数或可靠性变量，以及拟定框图</w:t>
      </w:r>
      <w:r>
        <w:rPr>
          <w:spacing w:val="5"/>
        </w:rPr>
        <w:t>时所用</w:t>
      </w:r>
      <w:r>
        <w:t xml:space="preserve"> </w:t>
      </w:r>
      <w:r>
        <w:rPr>
          <w:spacing w:val="22"/>
        </w:rPr>
        <w:t>的假设或简化形式。这些条件一旦被确定下来，就应该在整个分析过程中</w:t>
      </w:r>
      <w:r>
        <w:rPr>
          <w:spacing w:val="14"/>
        </w:rPr>
        <w:t xml:space="preserve"> </w:t>
      </w:r>
      <w:r>
        <w:rPr>
          <w:spacing w:val="-2"/>
        </w:rPr>
        <w:t>遵守。</w:t>
      </w:r>
    </w:p>
    <w:p w14:paraId="013FA096">
      <w:pPr>
        <w:pStyle w:val="2"/>
        <w:spacing w:line="212" w:lineRule="auto"/>
        <w:ind w:left="550"/>
      </w:pPr>
      <w:r>
        <w:rPr>
          <w:rFonts w:ascii="Times New Roman" w:hAnsi="Times New Roman" w:eastAsia="Times New Roman" w:cs="Times New Roman"/>
          <w:spacing w:val="6"/>
        </w:rPr>
        <w:t>c)</w:t>
      </w:r>
      <w:r>
        <w:rPr>
          <w:rFonts w:ascii="Times New Roman" w:hAnsi="Times New Roman" w:eastAsia="Times New Roman" w:cs="Times New Roman"/>
          <w:spacing w:val="59"/>
        </w:rPr>
        <w:t xml:space="preserve"> </w:t>
      </w:r>
      <w:r>
        <w:rPr>
          <w:spacing w:val="6"/>
        </w:rPr>
        <w:t>方框的顺序和标志</w:t>
      </w:r>
    </w:p>
    <w:p w14:paraId="7DA4AAD4">
      <w:pPr>
        <w:pStyle w:val="2"/>
        <w:spacing w:before="120" w:line="273" w:lineRule="auto"/>
        <w:ind w:right="110" w:firstLine="550"/>
      </w:pPr>
      <w:r>
        <w:rPr>
          <w:spacing w:val="14"/>
        </w:rPr>
        <w:t>框图中的方框按一个逻辑顺序排列，这个顺序表示产品操作过程中事件</w:t>
      </w:r>
      <w:r>
        <w:rPr>
          <w:spacing w:val="6"/>
        </w:rPr>
        <w:t xml:space="preserve"> </w:t>
      </w:r>
      <w:r>
        <w:rPr>
          <w:spacing w:val="14"/>
        </w:rPr>
        <w:t>发生的次序。每个方框都应该加以标志。对只包含少数几个方框的框图可以</w:t>
      </w:r>
      <w:r>
        <w:rPr>
          <w:spacing w:val="1"/>
        </w:rPr>
        <w:t xml:space="preserve"> </w:t>
      </w:r>
      <w:r>
        <w:rPr>
          <w:spacing w:val="14"/>
        </w:rPr>
        <w:t>在每个方框内填写全标志。对含有许多方框的框图</w:t>
      </w:r>
      <w:r>
        <w:rPr>
          <w:spacing w:val="13"/>
        </w:rPr>
        <w:t>应该将统一的编码标志填</w:t>
      </w:r>
      <w:r>
        <w:t xml:space="preserve"> </w:t>
      </w:r>
      <w:r>
        <w:rPr>
          <w:spacing w:val="14"/>
        </w:rPr>
        <w:t>入每个方框。统一标志系统应能保证将可靠性框图中的</w:t>
      </w:r>
      <w:r>
        <w:rPr>
          <w:spacing w:val="13"/>
        </w:rPr>
        <w:t>方框追溯到可靠性文</w:t>
      </w:r>
      <w:r>
        <w:t xml:space="preserve"> </w:t>
      </w:r>
      <w:r>
        <w:rPr>
          <w:spacing w:val="14"/>
        </w:rPr>
        <w:t>件中规定的相应硬件(或功能)而不致发生混淆</w:t>
      </w:r>
      <w:r>
        <w:rPr>
          <w:spacing w:val="13"/>
        </w:rPr>
        <w:t>。编码应以单独一张清单加以</w:t>
      </w:r>
      <w:r>
        <w:t xml:space="preserve"> </w:t>
      </w:r>
      <w:r>
        <w:rPr>
          <w:spacing w:val="-2"/>
        </w:rPr>
        <w:t>规定。</w:t>
      </w:r>
    </w:p>
    <w:p w14:paraId="0EBD940D">
      <w:pPr>
        <w:pStyle w:val="2"/>
        <w:spacing w:before="7" w:line="212" w:lineRule="auto"/>
        <w:ind w:left="550"/>
      </w:pPr>
      <w:r>
        <w:rPr>
          <w:rFonts w:ascii="Times New Roman" w:hAnsi="Times New Roman" w:eastAsia="Times New Roman" w:cs="Times New Roman"/>
          <w:b/>
          <w:bCs/>
          <w:spacing w:val="2"/>
        </w:rPr>
        <w:t>d)</w:t>
      </w:r>
      <w:r>
        <w:rPr>
          <w:rFonts w:ascii="Times New Roman" w:hAnsi="Times New Roman" w:eastAsia="Times New Roman" w:cs="Times New Roman"/>
          <w:b/>
          <w:bCs/>
          <w:spacing w:val="60"/>
          <w:w w:val="101"/>
        </w:rPr>
        <w:t xml:space="preserve"> </w:t>
      </w:r>
      <w:r>
        <w:rPr>
          <w:b/>
          <w:bCs/>
          <w:spacing w:val="2"/>
        </w:rPr>
        <w:t>方框代表性和可靠性变量</w:t>
      </w:r>
    </w:p>
    <w:p w14:paraId="10069754">
      <w:pPr>
        <w:pStyle w:val="2"/>
        <w:spacing w:before="126" w:line="278" w:lineRule="auto"/>
        <w:ind w:right="104" w:firstLine="550"/>
        <w:jc w:val="both"/>
      </w:pPr>
      <w:r>
        <w:rPr>
          <w:spacing w:val="6"/>
        </w:rPr>
        <w:t>可靠性框图的绘制应该使产品中每一个单元或功能都得到表现。每</w:t>
      </w:r>
      <w:r>
        <w:rPr>
          <w:spacing w:val="5"/>
        </w:rPr>
        <w:t>一个方</w:t>
      </w:r>
      <w:r>
        <w:t xml:space="preserve"> </w:t>
      </w:r>
      <w:r>
        <w:rPr>
          <w:spacing w:val="-3"/>
        </w:rPr>
        <w:t>框应该只代表一个功能单元。所有方框应该按需要以串联、并联、贮备或其他组</w:t>
      </w:r>
      <w:r>
        <w:rPr>
          <w:spacing w:val="13"/>
        </w:rPr>
        <w:t xml:space="preserve"> </w:t>
      </w:r>
      <w:r>
        <w:t>合方式进行连接。</w:t>
      </w:r>
    </w:p>
    <w:p w14:paraId="1698AAFA">
      <w:pPr>
        <w:pStyle w:val="2"/>
        <w:spacing w:before="1" w:line="219" w:lineRule="auto"/>
        <w:ind w:left="550"/>
      </w:pPr>
      <w:r>
        <w:rPr>
          <w:spacing w:val="3"/>
        </w:rPr>
        <w:t>应给每个方框确定可靠性变量。</w:t>
      </w:r>
    </w:p>
    <w:p w14:paraId="5E0A42E6">
      <w:pPr>
        <w:pStyle w:val="2"/>
        <w:spacing w:before="59" w:line="212" w:lineRule="auto"/>
        <w:ind w:left="550"/>
      </w:pPr>
      <w:r>
        <w:rPr>
          <w:rFonts w:ascii="Times New Roman" w:hAnsi="Times New Roman" w:eastAsia="Times New Roman" w:cs="Times New Roman"/>
          <w:spacing w:val="5"/>
        </w:rPr>
        <w:t>e)</w:t>
      </w:r>
      <w:r>
        <w:rPr>
          <w:rFonts w:ascii="Times New Roman" w:hAnsi="Times New Roman" w:eastAsia="Times New Roman" w:cs="Times New Roman"/>
          <w:spacing w:val="68"/>
        </w:rPr>
        <w:t xml:space="preserve"> </w:t>
      </w:r>
      <w:r>
        <w:rPr>
          <w:spacing w:val="5"/>
        </w:rPr>
        <w:t>未列入模型单元</w:t>
      </w:r>
    </w:p>
    <w:p w14:paraId="02C3ABD3">
      <w:pPr>
        <w:pStyle w:val="2"/>
        <w:spacing w:before="150" w:line="273" w:lineRule="auto"/>
        <w:ind w:right="103" w:firstLine="550"/>
        <w:rPr>
          <w:sz w:val="25"/>
          <w:szCs w:val="25"/>
        </w:rPr>
      </w:pPr>
      <w:r>
        <w:rPr>
          <w:spacing w:val="26"/>
          <w:sz w:val="25"/>
          <w:szCs w:val="25"/>
        </w:rPr>
        <w:t>产品中没有包括在可靠性模型里的硬件或功能单元必须以单独的一</w:t>
      </w:r>
      <w:r>
        <w:rPr>
          <w:spacing w:val="25"/>
          <w:sz w:val="25"/>
          <w:szCs w:val="25"/>
        </w:rPr>
        <w:t>张清单</w:t>
      </w:r>
      <w:r>
        <w:rPr>
          <w:sz w:val="25"/>
          <w:szCs w:val="25"/>
        </w:rPr>
        <w:t xml:space="preserve"> </w:t>
      </w:r>
      <w:r>
        <w:rPr>
          <w:spacing w:val="20"/>
          <w:sz w:val="25"/>
          <w:szCs w:val="25"/>
        </w:rPr>
        <w:t>加以规定，对没有列入可靠性模型的每项工作单元应</w:t>
      </w:r>
      <w:r>
        <w:rPr>
          <w:spacing w:val="19"/>
          <w:sz w:val="25"/>
          <w:szCs w:val="25"/>
        </w:rPr>
        <w:t>该说明理由。</w:t>
      </w:r>
    </w:p>
    <w:p w14:paraId="708B5ABC">
      <w:pPr>
        <w:pStyle w:val="2"/>
        <w:spacing w:line="212" w:lineRule="auto"/>
        <w:ind w:left="550"/>
      </w:pPr>
      <w:r>
        <w:rPr>
          <w:rFonts w:ascii="Times New Roman" w:hAnsi="Times New Roman" w:eastAsia="Times New Roman" w:cs="Times New Roman"/>
          <w:spacing w:val="5"/>
        </w:rPr>
        <w:t xml:space="preserve">f)  </w:t>
      </w:r>
      <w:r>
        <w:rPr>
          <w:spacing w:val="5"/>
        </w:rPr>
        <w:t>方框图中的假设</w:t>
      </w:r>
    </w:p>
    <w:p w14:paraId="3BD0FC56">
      <w:pPr>
        <w:pStyle w:val="2"/>
        <w:spacing w:before="139" w:line="219" w:lineRule="auto"/>
        <w:ind w:left="550"/>
      </w:pPr>
      <w:r>
        <w:rPr>
          <w:spacing w:val="-1"/>
        </w:rPr>
        <w:t>在绘制可靠性框图时，应采用技术假设或一般假设。</w:t>
      </w:r>
    </w:p>
    <w:p w14:paraId="18B51D9B">
      <w:pPr>
        <w:pStyle w:val="2"/>
        <w:spacing w:before="81" w:line="278" w:lineRule="auto"/>
        <w:ind w:right="102" w:firstLine="550"/>
      </w:pPr>
      <w:r>
        <w:rPr>
          <w:spacing w:val="6"/>
        </w:rPr>
        <w:t>技术假设对每一个产品或每一种工作模式来说，可能是不同的。技术假设</w:t>
      </w:r>
      <w:r>
        <w:t xml:space="preserve"> </w:t>
      </w:r>
      <w:r>
        <w:rPr>
          <w:spacing w:val="3"/>
        </w:rPr>
        <w:t>应按规定的条件加以确定。</w:t>
      </w:r>
      <w:r>
        <w:rPr>
          <w:spacing w:val="-57"/>
        </w:rPr>
        <w:t xml:space="preserve"> </w:t>
      </w:r>
      <w:r>
        <w:rPr>
          <w:spacing w:val="3"/>
        </w:rPr>
        <w:t>一般假设适合于所有可靠性框图。若本条下列一般</w:t>
      </w:r>
      <w:r>
        <w:t xml:space="preserve"> 假设已经得到引证，就不需要再列出对可靠性框图规定的一般假设。</w:t>
      </w:r>
    </w:p>
    <w:p w14:paraId="1E4D89D3">
      <w:pPr>
        <w:pStyle w:val="2"/>
        <w:spacing w:before="21" w:line="279" w:lineRule="auto"/>
        <w:ind w:firstLine="550"/>
        <w:jc w:val="both"/>
      </w:pPr>
      <w:r>
        <w:rPr>
          <w:spacing w:val="5"/>
        </w:rPr>
        <w:t>可靠性框图采用的一般假设如下：1)在分析产品可靠性时必须考虑方框代</w:t>
      </w:r>
      <w:r>
        <w:rPr>
          <w:spacing w:val="3"/>
        </w:rPr>
        <w:t xml:space="preserve">  </w:t>
      </w:r>
      <w:r>
        <w:rPr>
          <w:spacing w:val="5"/>
        </w:rPr>
        <w:t>表的单元或功能的可靠性特征值；2)所有连接方框的线没有可靠性值，不代表</w:t>
      </w:r>
      <w:r>
        <w:rPr>
          <w:spacing w:val="3"/>
        </w:rPr>
        <w:t xml:space="preserve">  </w:t>
      </w:r>
      <w:r>
        <w:rPr>
          <w:spacing w:val="5"/>
        </w:rPr>
        <w:t>与产品有关的导线和连接器。导线和连接器单独放入一个方框或作为另一个单  元或功能的一部分；3)产品的所有输入在规范极限之内；4)用框图中一个方框</w:t>
      </w:r>
      <w:r>
        <w:t xml:space="preserve">  </w:t>
      </w:r>
      <w:r>
        <w:rPr>
          <w:spacing w:val="6"/>
        </w:rPr>
        <w:t>表示的单元或功能失效就会造成整个产品的失效，有代替工作模式的除外；5)</w:t>
      </w:r>
      <w:r>
        <w:rPr>
          <w:spacing w:val="18"/>
        </w:rPr>
        <w:t xml:space="preserve"> </w:t>
      </w:r>
      <w:r>
        <w:rPr>
          <w:spacing w:val="1"/>
        </w:rPr>
        <w:t>就失效概率来说，用一个方框表示的每一单元或功能的失效概率是相互独立</w:t>
      </w:r>
      <w:r>
        <w:t>的；</w:t>
      </w:r>
    </w:p>
    <w:p w14:paraId="4A24DB9D">
      <w:pPr>
        <w:pStyle w:val="2"/>
        <w:spacing w:before="1" w:line="218" w:lineRule="auto"/>
      </w:pPr>
      <w:r>
        <w:rPr>
          <w:spacing w:val="9"/>
        </w:rPr>
        <w:t>6)当软件可靠性没有纳入产品可靠性模型时，应假</w:t>
      </w:r>
      <w:r>
        <w:rPr>
          <w:spacing w:val="8"/>
        </w:rPr>
        <w:t>设整个软件是完全可靠的；</w:t>
      </w:r>
    </w:p>
    <w:p w14:paraId="31CF8290">
      <w:pPr>
        <w:pStyle w:val="2"/>
        <w:spacing w:before="90"/>
        <w:ind w:right="98"/>
      </w:pPr>
      <w:r>
        <w:rPr>
          <w:spacing w:val="6"/>
        </w:rPr>
        <w:t>7)当人员可靠性没有纳入产品可靠性模型时，应假设人员完全可靠</w:t>
      </w:r>
      <w:r>
        <w:rPr>
          <w:spacing w:val="5"/>
        </w:rPr>
        <w:t>，而且人员</w:t>
      </w:r>
      <w:r>
        <w:t xml:space="preserve"> </w:t>
      </w:r>
      <w:r>
        <w:rPr>
          <w:spacing w:val="1"/>
        </w:rPr>
        <w:t>与产品之间没有相互作用问题。</w:t>
      </w:r>
    </w:p>
    <w:p w14:paraId="64347E48">
      <w:pPr>
        <w:spacing w:before="93" w:line="221"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确定可靠性数学模型</w:t>
      </w:r>
    </w:p>
    <w:p w14:paraId="3AEFEE22">
      <w:pPr>
        <w:pStyle w:val="2"/>
        <w:spacing w:before="173" w:line="219" w:lineRule="auto"/>
        <w:ind w:left="550"/>
        <w:rPr>
          <w:sz w:val="25"/>
          <w:szCs w:val="25"/>
        </w:rPr>
      </w:pPr>
      <w:r>
        <w:rPr>
          <w:spacing w:val="34"/>
          <w:sz w:val="25"/>
          <w:szCs w:val="25"/>
        </w:rPr>
        <w:t>按照已建立的系统可靠性框图，根据常用的可靠性模型所对应的数学公</w:t>
      </w:r>
    </w:p>
    <w:p w14:paraId="0E7500DE">
      <w:pPr>
        <w:spacing w:line="219" w:lineRule="auto"/>
        <w:rPr>
          <w:sz w:val="25"/>
          <w:szCs w:val="25"/>
        </w:rPr>
        <w:sectPr>
          <w:footerReference r:id="rId364" w:type="default"/>
          <w:pgSz w:w="11910" w:h="17130"/>
          <w:pgMar w:top="1456" w:right="1335" w:bottom="1586" w:left="1090" w:header="0" w:footer="1396" w:gutter="0"/>
          <w:cols w:space="720" w:num="1"/>
        </w:sectPr>
      </w:pPr>
    </w:p>
    <w:p w14:paraId="0419C54F">
      <w:pPr>
        <w:pStyle w:val="2"/>
        <w:spacing w:before="84" w:line="303" w:lineRule="auto"/>
        <w:ind w:right="104"/>
        <w:rPr>
          <w:rFonts w:ascii="仿宋" w:hAnsi="仿宋" w:eastAsia="仿宋" w:cs="仿宋"/>
          <w:sz w:val="25"/>
          <w:szCs w:val="25"/>
        </w:rPr>
      </w:pPr>
      <w:r>
        <w:rPr>
          <w:spacing w:val="25"/>
          <w:sz w:val="25"/>
          <w:szCs w:val="25"/>
        </w:rPr>
        <w:t>式，建立系统的可靠性数学模型，以表示系统及其组成单元之间的可靠性函数</w:t>
      </w:r>
      <w:r>
        <w:rPr>
          <w:spacing w:val="9"/>
          <w:sz w:val="25"/>
          <w:szCs w:val="25"/>
        </w:rPr>
        <w:t xml:space="preserve"> </w:t>
      </w:r>
      <w:r>
        <w:rPr>
          <w:spacing w:val="4"/>
          <w:sz w:val="25"/>
          <w:szCs w:val="25"/>
        </w:rPr>
        <w:t>关</w:t>
      </w:r>
      <w:r>
        <w:rPr>
          <w:rFonts w:ascii="仿宋" w:hAnsi="仿宋" w:eastAsia="仿宋" w:cs="仿宋"/>
          <w:spacing w:val="4"/>
          <w:sz w:val="25"/>
          <w:szCs w:val="25"/>
        </w:rPr>
        <w:t>系</w:t>
      </w:r>
      <w:r>
        <w:rPr>
          <w:rFonts w:ascii="仿宋" w:hAnsi="仿宋" w:eastAsia="仿宋" w:cs="仿宋"/>
          <w:spacing w:val="-50"/>
          <w:sz w:val="25"/>
          <w:szCs w:val="25"/>
        </w:rPr>
        <w:t xml:space="preserve"> </w:t>
      </w:r>
      <w:r>
        <w:rPr>
          <w:rFonts w:ascii="仿宋" w:hAnsi="仿宋" w:eastAsia="仿宋" w:cs="仿宋"/>
          <w:spacing w:val="4"/>
          <w:sz w:val="25"/>
          <w:szCs w:val="25"/>
        </w:rPr>
        <w:t>。</w:t>
      </w:r>
    </w:p>
    <w:p w14:paraId="06AEE924">
      <w:pPr>
        <w:pStyle w:val="2"/>
        <w:spacing w:line="219" w:lineRule="auto"/>
        <w:ind w:left="560"/>
      </w:pPr>
      <w:r>
        <w:rPr>
          <w:spacing w:val="4"/>
        </w:rPr>
        <w:t>应该确保数学模型中各单元的可靠性数据与其对应的任务阶段相匹配。</w:t>
      </w:r>
    </w:p>
    <w:p w14:paraId="093AE93B">
      <w:pPr>
        <w:spacing w:before="106" w:line="222" w:lineRule="auto"/>
        <w:rPr>
          <w:rFonts w:ascii="黑体" w:hAnsi="黑体" w:eastAsia="黑体" w:cs="黑体"/>
          <w:sz w:val="24"/>
          <w:szCs w:val="24"/>
        </w:rPr>
      </w:pPr>
      <w:r>
        <w:rPr>
          <w:rFonts w:ascii="黑体" w:hAnsi="黑体" w:eastAsia="黑体" w:cs="黑体"/>
          <w:spacing w:val="18"/>
          <w:sz w:val="24"/>
          <w:szCs w:val="24"/>
        </w:rPr>
        <w:t>6</w:t>
      </w:r>
      <w:r>
        <w:rPr>
          <w:rFonts w:ascii="黑体" w:hAnsi="黑体" w:eastAsia="黑体" w:cs="黑体"/>
          <w:spacing w:val="30"/>
          <w:sz w:val="24"/>
          <w:szCs w:val="24"/>
        </w:rPr>
        <w:t xml:space="preserve">  </w:t>
      </w:r>
      <w:r>
        <w:rPr>
          <w:rFonts w:ascii="黑体" w:hAnsi="黑体" w:eastAsia="黑体" w:cs="黑体"/>
          <w:spacing w:val="18"/>
          <w:sz w:val="24"/>
          <w:szCs w:val="24"/>
        </w:rPr>
        <w:t>运行比</w:t>
      </w:r>
    </w:p>
    <w:p w14:paraId="5191FCD7">
      <w:pPr>
        <w:pStyle w:val="2"/>
        <w:spacing w:before="64" w:line="296" w:lineRule="auto"/>
        <w:ind w:right="88" w:firstLine="560"/>
      </w:pPr>
      <w:r>
        <w:rPr>
          <w:spacing w:val="5"/>
        </w:rPr>
        <w:t>建立系统任务可靠性模型时，如果各组成单元工作时间与系统的任务时间</w:t>
      </w:r>
      <w:r>
        <w:rPr>
          <w:spacing w:val="15"/>
        </w:rPr>
        <w:t xml:space="preserve"> </w:t>
      </w:r>
      <w:r>
        <w:rPr>
          <w:spacing w:val="-2"/>
        </w:rPr>
        <w:t>不同，要根据其任务时间对任务可靠性数学模型加以修正。</w:t>
      </w:r>
    </w:p>
    <w:p w14:paraId="01B428B8">
      <w:pPr>
        <w:pStyle w:val="2"/>
        <w:spacing w:before="323" w:line="220" w:lineRule="auto"/>
        <w:ind w:left="3330"/>
        <w:rPr>
          <w:sz w:val="36"/>
          <w:szCs w:val="36"/>
        </w:rPr>
      </w:pPr>
      <w:r>
        <w:rPr>
          <w:spacing w:val="-4"/>
          <w:sz w:val="36"/>
          <w:szCs w:val="36"/>
        </w:rPr>
        <w:t>7.6</w:t>
      </w:r>
      <w:r>
        <w:rPr>
          <w:spacing w:val="21"/>
          <w:sz w:val="36"/>
          <w:szCs w:val="36"/>
        </w:rPr>
        <w:t xml:space="preserve">  </w:t>
      </w:r>
      <w:r>
        <w:rPr>
          <w:b/>
          <w:bCs/>
          <w:spacing w:val="-4"/>
          <w:sz w:val="36"/>
          <w:szCs w:val="36"/>
        </w:rPr>
        <w:t>可靠性分配</w:t>
      </w:r>
    </w:p>
    <w:p w14:paraId="1168AD71">
      <w:pPr>
        <w:spacing w:line="330" w:lineRule="auto"/>
        <w:rPr>
          <w:rFonts w:ascii="Arial"/>
          <w:sz w:val="21"/>
        </w:rPr>
      </w:pPr>
    </w:p>
    <w:p w14:paraId="41B64A4D">
      <w:pPr>
        <w:pStyle w:val="2"/>
        <w:spacing w:before="92" w:line="273" w:lineRule="auto"/>
        <w:ind w:right="96" w:firstLine="560"/>
        <w:rPr>
          <w:rFonts w:ascii="楷体" w:hAnsi="楷体" w:eastAsia="楷体" w:cs="楷体"/>
          <w:sz w:val="28"/>
          <w:szCs w:val="28"/>
        </w:rPr>
      </w:pPr>
      <w:r>
        <w:rPr>
          <w:rFonts w:ascii="楷体" w:hAnsi="楷体" w:eastAsia="楷体" w:cs="楷体"/>
          <w:spacing w:val="-7"/>
          <w:sz w:val="28"/>
          <w:szCs w:val="28"/>
        </w:rPr>
        <w:t>按照</w:t>
      </w:r>
      <w:r>
        <w:rPr>
          <w:rFonts w:ascii="Times New Roman" w:hAnsi="Times New Roman" w:eastAsia="Times New Roman" w:cs="Times New Roman"/>
          <w:spacing w:val="-7"/>
          <w:sz w:val="28"/>
          <w:szCs w:val="28"/>
        </w:rPr>
        <w:t>GJB 450A—2004</w:t>
      </w:r>
      <w:r>
        <w:rPr>
          <w:spacing w:val="-7"/>
          <w:sz w:val="28"/>
          <w:szCs w:val="28"/>
        </w:rPr>
        <w:t>《</w:t>
      </w:r>
      <w:r>
        <w:rPr>
          <w:rFonts w:ascii="楷体" w:hAnsi="楷体" w:eastAsia="楷体" w:cs="楷体"/>
          <w:spacing w:val="-7"/>
          <w:sz w:val="28"/>
          <w:szCs w:val="28"/>
        </w:rPr>
        <w:t>装备可靠</w:t>
      </w:r>
      <w:r>
        <w:rPr>
          <w:rFonts w:ascii="楷体" w:hAnsi="楷体" w:eastAsia="楷体" w:cs="楷体"/>
          <w:spacing w:val="-8"/>
          <w:sz w:val="28"/>
          <w:szCs w:val="28"/>
        </w:rPr>
        <w:t>性工作通用要求》,</w:t>
      </w:r>
      <w:r>
        <w:rPr>
          <w:rFonts w:ascii="Times New Roman" w:hAnsi="Times New Roman" w:eastAsia="Times New Roman" w:cs="Times New Roman"/>
          <w:spacing w:val="-8"/>
          <w:sz w:val="28"/>
          <w:szCs w:val="28"/>
        </w:rPr>
        <w:t>GJB/Z 23—1991</w:t>
      </w:r>
      <w:r>
        <w:rPr>
          <w:spacing w:val="-8"/>
          <w:sz w:val="28"/>
          <w:szCs w:val="28"/>
        </w:rPr>
        <w:t>《</w:t>
      </w:r>
      <w:r>
        <w:rPr>
          <w:rFonts w:ascii="楷体" w:hAnsi="楷体" w:eastAsia="楷体" w:cs="楷体"/>
          <w:spacing w:val="-8"/>
          <w:sz w:val="28"/>
          <w:szCs w:val="28"/>
        </w:rPr>
        <w:t>可靠</w:t>
      </w:r>
      <w:r>
        <w:rPr>
          <w:rFonts w:ascii="楷体" w:hAnsi="楷体" w:eastAsia="楷体" w:cs="楷体"/>
          <w:sz w:val="28"/>
          <w:szCs w:val="28"/>
        </w:rPr>
        <w:t xml:space="preserve"> </w:t>
      </w:r>
      <w:r>
        <w:rPr>
          <w:rFonts w:ascii="楷体" w:hAnsi="楷体" w:eastAsia="楷体" w:cs="楷体"/>
          <w:spacing w:val="-13"/>
          <w:sz w:val="28"/>
          <w:szCs w:val="28"/>
        </w:rPr>
        <w:t>性和维修性工程报告编写一般要求》编写。</w:t>
      </w:r>
    </w:p>
    <w:p w14:paraId="2C1FC959">
      <w:pPr>
        <w:spacing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4"/>
          <w:sz w:val="27"/>
          <w:szCs w:val="27"/>
        </w:rPr>
        <w:t xml:space="preserve">  </w:t>
      </w:r>
      <w:r>
        <w:rPr>
          <w:rFonts w:ascii="黑体" w:hAnsi="黑体" w:eastAsia="黑体" w:cs="黑体"/>
          <w:spacing w:val="4"/>
          <w:sz w:val="27"/>
          <w:szCs w:val="27"/>
        </w:rPr>
        <w:t>范围</w:t>
      </w:r>
    </w:p>
    <w:p w14:paraId="27B9E17B">
      <w:pPr>
        <w:spacing w:before="71" w:line="222" w:lineRule="auto"/>
        <w:rPr>
          <w:rFonts w:ascii="黑体" w:hAnsi="黑体" w:eastAsia="黑体" w:cs="黑体"/>
          <w:sz w:val="27"/>
          <w:szCs w:val="27"/>
        </w:rPr>
      </w:pPr>
      <w:r>
        <w:rPr>
          <w:rFonts w:ascii="黑体" w:hAnsi="黑体" w:eastAsia="黑体" w:cs="黑体"/>
          <w:spacing w:val="3"/>
          <w:sz w:val="27"/>
          <w:szCs w:val="27"/>
        </w:rPr>
        <w:t>2  引用文件</w:t>
      </w:r>
    </w:p>
    <w:p w14:paraId="4986F410">
      <w:pPr>
        <w:spacing w:before="36" w:line="369" w:lineRule="exact"/>
        <w:rPr>
          <w:rFonts w:ascii="黑体" w:hAnsi="黑体" w:eastAsia="黑体" w:cs="黑体"/>
          <w:sz w:val="27"/>
          <w:szCs w:val="27"/>
        </w:rPr>
      </w:pPr>
      <w:r>
        <w:rPr>
          <w:rFonts w:ascii="Arial" w:hAnsi="Arial" w:eastAsia="Arial" w:cs="Arial"/>
          <w:spacing w:val="4"/>
          <w:position w:val="1"/>
          <w:sz w:val="27"/>
          <w:szCs w:val="27"/>
        </w:rPr>
        <w:t>3</w:t>
      </w:r>
      <w:r>
        <w:rPr>
          <w:rFonts w:ascii="Arial" w:hAnsi="Arial" w:eastAsia="Arial" w:cs="Arial"/>
          <w:spacing w:val="15"/>
          <w:position w:val="1"/>
          <w:sz w:val="27"/>
          <w:szCs w:val="27"/>
        </w:rPr>
        <w:t xml:space="preserve">   </w:t>
      </w:r>
      <w:r>
        <w:rPr>
          <w:rFonts w:ascii="黑体" w:hAnsi="黑体" w:eastAsia="黑体" w:cs="黑体"/>
          <w:spacing w:val="4"/>
          <w:position w:val="1"/>
          <w:sz w:val="27"/>
          <w:szCs w:val="27"/>
        </w:rPr>
        <w:t>待分配的可靠性指标及其来源</w:t>
      </w:r>
    </w:p>
    <w:p w14:paraId="719BADD8">
      <w:pPr>
        <w:pStyle w:val="2"/>
        <w:spacing w:before="103" w:line="219" w:lineRule="auto"/>
        <w:ind w:left="560"/>
      </w:pPr>
      <w:r>
        <w:rPr>
          <w:spacing w:val="3"/>
        </w:rPr>
        <w:t>确定进行分配的可靠性指标值及其来源。</w:t>
      </w:r>
    </w:p>
    <w:p w14:paraId="024EA975">
      <w:pPr>
        <w:pStyle w:val="2"/>
        <w:spacing w:before="87" w:line="279" w:lineRule="auto"/>
        <w:ind w:firstLine="560"/>
      </w:pPr>
      <w:r>
        <w:rPr>
          <w:spacing w:val="-3"/>
        </w:rPr>
        <w:t>系统可靠性分配的参数分为两类：第一类是描述系统基本</w:t>
      </w:r>
      <w:r>
        <w:rPr>
          <w:spacing w:val="-4"/>
        </w:rPr>
        <w:t>可靠性的参数，常</w:t>
      </w:r>
      <w:r>
        <w:t xml:space="preserve"> </w:t>
      </w:r>
      <w:r>
        <w:rPr>
          <w:spacing w:val="-4"/>
        </w:rPr>
        <w:t>用的有：故障率λ、平均故障间隔时间</w:t>
      </w:r>
      <w:r>
        <w:rPr>
          <w:rFonts w:ascii="Times New Roman" w:hAnsi="Times New Roman" w:eastAsia="Times New Roman" w:cs="Times New Roman"/>
          <w:spacing w:val="-4"/>
        </w:rPr>
        <w:t xml:space="preserve">MTBF  </w:t>
      </w:r>
      <w:r>
        <w:rPr>
          <w:spacing w:val="-4"/>
        </w:rPr>
        <w:t>等；第</w:t>
      </w:r>
      <w:r>
        <w:rPr>
          <w:spacing w:val="-5"/>
        </w:rPr>
        <w:t>二类是描述系统任务可靠性</w:t>
      </w:r>
      <w:r>
        <w:t xml:space="preserve">  的参数，常用的有：任务可靠度</w:t>
      </w:r>
      <w:r>
        <w:rPr>
          <w:rFonts w:ascii="Times New Roman" w:hAnsi="Times New Roman" w:eastAsia="Times New Roman" w:cs="Times New Roman"/>
        </w:rPr>
        <w:t>Rm</w:t>
      </w:r>
      <w:r>
        <w:t>、平均严重故障间隔时间</w:t>
      </w:r>
      <w:r>
        <w:rPr>
          <w:spacing w:val="-44"/>
        </w:rPr>
        <w:t xml:space="preserve"> </w:t>
      </w:r>
      <w:r>
        <w:rPr>
          <w:rFonts w:ascii="Times New Roman" w:hAnsi="Times New Roman" w:eastAsia="Times New Roman" w:cs="Times New Roman"/>
        </w:rPr>
        <w:t xml:space="preserve">MTBCF  </w:t>
      </w:r>
      <w:r>
        <w:t>等。可靠 性分配的指标可以是规定值，作为可靠性设计的依据；也可以是最低可接受值，</w:t>
      </w:r>
      <w:r>
        <w:rPr>
          <w:spacing w:val="14"/>
        </w:rPr>
        <w:t xml:space="preserve"> </w:t>
      </w:r>
      <w:r>
        <w:rPr>
          <w:spacing w:val="3"/>
        </w:rPr>
        <w:t>作为论证的依据。</w:t>
      </w:r>
    </w:p>
    <w:p w14:paraId="7B54BFF5">
      <w:pPr>
        <w:spacing w:before="1" w:line="220" w:lineRule="auto"/>
        <w:rPr>
          <w:rFonts w:ascii="黑体" w:hAnsi="黑体" w:eastAsia="黑体" w:cs="黑体"/>
          <w:sz w:val="27"/>
          <w:szCs w:val="27"/>
        </w:rPr>
      </w:pPr>
      <w:r>
        <w:rPr>
          <w:rFonts w:ascii="Arial" w:hAnsi="Arial" w:eastAsia="Arial" w:cs="Arial"/>
          <w:spacing w:val="2"/>
          <w:sz w:val="27"/>
          <w:szCs w:val="27"/>
        </w:rPr>
        <w:t>4</w:t>
      </w:r>
      <w:r>
        <w:rPr>
          <w:rFonts w:ascii="Arial" w:hAnsi="Arial" w:eastAsia="Arial" w:cs="Arial"/>
          <w:spacing w:val="13"/>
          <w:sz w:val="27"/>
          <w:szCs w:val="27"/>
        </w:rPr>
        <w:t xml:space="preserve">   </w:t>
      </w:r>
      <w:r>
        <w:rPr>
          <w:rFonts w:ascii="黑体" w:hAnsi="黑体" w:eastAsia="黑体" w:cs="黑体"/>
          <w:spacing w:val="2"/>
          <w:sz w:val="27"/>
          <w:szCs w:val="27"/>
        </w:rPr>
        <w:t>系统组成及特点</w:t>
      </w:r>
    </w:p>
    <w:p w14:paraId="1B55171E">
      <w:pPr>
        <w:pStyle w:val="2"/>
        <w:spacing w:before="100" w:line="276" w:lineRule="auto"/>
        <w:ind w:right="102" w:firstLine="560"/>
      </w:pPr>
      <w:r>
        <w:rPr>
          <w:spacing w:val="-3"/>
        </w:rPr>
        <w:t>说明系统组成及特点，包括系统的使用环境、技术成</w:t>
      </w:r>
      <w:r>
        <w:rPr>
          <w:spacing w:val="-4"/>
        </w:rPr>
        <w:t>熟度等所有能够对系统</w:t>
      </w:r>
      <w:r>
        <w:t xml:space="preserve"> </w:t>
      </w:r>
      <w:r>
        <w:rPr>
          <w:spacing w:val="-1"/>
        </w:rPr>
        <w:t>可靠性造成影响的因素以及系统现有的设计信息、相似系统的信息等。</w:t>
      </w:r>
    </w:p>
    <w:p w14:paraId="21910DE0">
      <w:pPr>
        <w:spacing w:before="1" w:line="233" w:lineRule="auto"/>
        <w:rPr>
          <w:rFonts w:ascii="黑体" w:hAnsi="黑体" w:eastAsia="黑体" w:cs="黑体"/>
          <w:sz w:val="27"/>
          <w:szCs w:val="27"/>
        </w:rPr>
      </w:pPr>
      <w:r>
        <w:rPr>
          <w:rFonts w:ascii="隶书" w:hAnsi="隶书" w:eastAsia="隶书" w:cs="隶书"/>
          <w:spacing w:val="5"/>
          <w:sz w:val="27"/>
          <w:szCs w:val="27"/>
        </w:rPr>
        <w:t>5  货</w:t>
      </w:r>
      <w:r>
        <w:rPr>
          <w:rFonts w:ascii="黑体" w:hAnsi="黑体" w:eastAsia="黑体" w:cs="黑体"/>
          <w:spacing w:val="5"/>
          <w:sz w:val="27"/>
          <w:szCs w:val="27"/>
        </w:rPr>
        <w:t>架产品及单独有可靠性指标要求的产品清单及其可靠性水平</w:t>
      </w:r>
    </w:p>
    <w:p w14:paraId="4E82EF4F">
      <w:pPr>
        <w:pStyle w:val="2"/>
        <w:spacing w:before="80" w:line="269" w:lineRule="auto"/>
        <w:ind w:right="103" w:firstLine="560"/>
      </w:pPr>
      <w:r>
        <w:rPr>
          <w:spacing w:val="5"/>
        </w:rPr>
        <w:t>最好用表格形式说明货架产品及单独有可靠性指标要求的产品清单及其可</w:t>
      </w:r>
      <w:r>
        <w:t xml:space="preserve"> </w:t>
      </w:r>
      <w:r>
        <w:rPr>
          <w:spacing w:val="-3"/>
        </w:rPr>
        <w:t>靠性水平。</w:t>
      </w:r>
    </w:p>
    <w:p w14:paraId="55CEB5CE">
      <w:pPr>
        <w:spacing w:before="30" w:line="222" w:lineRule="auto"/>
        <w:rPr>
          <w:rFonts w:ascii="黑体" w:hAnsi="黑体" w:eastAsia="黑体" w:cs="黑体"/>
          <w:sz w:val="24"/>
          <w:szCs w:val="24"/>
        </w:rPr>
      </w:pPr>
      <w:r>
        <w:rPr>
          <w:rFonts w:ascii="黑体" w:hAnsi="黑体" w:eastAsia="黑体" w:cs="黑体"/>
          <w:spacing w:val="-9"/>
          <w:sz w:val="24"/>
          <w:szCs w:val="24"/>
        </w:rPr>
        <w:t>6</w:t>
      </w:r>
      <w:r>
        <w:rPr>
          <w:rFonts w:ascii="黑体" w:hAnsi="黑体" w:eastAsia="黑体" w:cs="黑体"/>
          <w:spacing w:val="29"/>
          <w:sz w:val="24"/>
          <w:szCs w:val="24"/>
        </w:rPr>
        <w:t xml:space="preserve">  </w:t>
      </w:r>
      <w:r>
        <w:rPr>
          <w:rFonts w:ascii="黑体" w:hAnsi="黑体" w:eastAsia="黑体" w:cs="黑体"/>
          <w:spacing w:val="-9"/>
          <w:sz w:val="24"/>
          <w:szCs w:val="24"/>
        </w:rPr>
        <w:t>分</w:t>
      </w:r>
      <w:r>
        <w:rPr>
          <w:rFonts w:ascii="黑体" w:hAnsi="黑体" w:eastAsia="黑体" w:cs="黑体"/>
          <w:spacing w:val="-54"/>
          <w:sz w:val="24"/>
          <w:szCs w:val="24"/>
        </w:rPr>
        <w:t xml:space="preserve"> </w:t>
      </w:r>
      <w:r>
        <w:rPr>
          <w:rFonts w:ascii="黑体" w:hAnsi="黑体" w:eastAsia="黑体" w:cs="黑体"/>
          <w:spacing w:val="-9"/>
          <w:sz w:val="24"/>
          <w:szCs w:val="24"/>
        </w:rPr>
        <w:t>配</w:t>
      </w:r>
      <w:r>
        <w:rPr>
          <w:rFonts w:ascii="黑体" w:hAnsi="黑体" w:eastAsia="黑体" w:cs="黑体"/>
          <w:spacing w:val="-53"/>
          <w:sz w:val="24"/>
          <w:szCs w:val="24"/>
        </w:rPr>
        <w:t xml:space="preserve"> </w:t>
      </w:r>
      <w:r>
        <w:rPr>
          <w:rFonts w:ascii="黑体" w:hAnsi="黑体" w:eastAsia="黑体" w:cs="黑体"/>
          <w:spacing w:val="-9"/>
          <w:sz w:val="24"/>
          <w:szCs w:val="24"/>
        </w:rPr>
        <w:t>原</w:t>
      </w:r>
      <w:r>
        <w:rPr>
          <w:rFonts w:ascii="黑体" w:hAnsi="黑体" w:eastAsia="黑体" w:cs="黑体"/>
          <w:spacing w:val="-56"/>
          <w:sz w:val="24"/>
          <w:szCs w:val="24"/>
        </w:rPr>
        <w:t xml:space="preserve"> </w:t>
      </w:r>
      <w:r>
        <w:rPr>
          <w:rFonts w:ascii="黑体" w:hAnsi="黑体" w:eastAsia="黑体" w:cs="黑体"/>
          <w:spacing w:val="-9"/>
          <w:sz w:val="24"/>
          <w:szCs w:val="24"/>
        </w:rPr>
        <w:t>则</w:t>
      </w:r>
    </w:p>
    <w:p w14:paraId="129824D1">
      <w:pPr>
        <w:pStyle w:val="2"/>
        <w:spacing w:before="115" w:line="219" w:lineRule="auto"/>
        <w:ind w:left="560"/>
      </w:pPr>
      <w:r>
        <w:rPr>
          <w:spacing w:val="-1"/>
        </w:rPr>
        <w:t>说明可靠性分配原则。</w:t>
      </w:r>
      <w:r>
        <w:rPr>
          <w:spacing w:val="-62"/>
        </w:rPr>
        <w:t xml:space="preserve"> </w:t>
      </w:r>
      <w:r>
        <w:rPr>
          <w:spacing w:val="-1"/>
        </w:rPr>
        <w:t>一般应遵循以下原则：</w:t>
      </w:r>
    </w:p>
    <w:p w14:paraId="1B90506B">
      <w:pPr>
        <w:pStyle w:val="2"/>
        <w:spacing w:before="80" w:line="270" w:lineRule="auto"/>
        <w:ind w:right="70" w:firstLine="560"/>
        <w:rPr>
          <w:sz w:val="25"/>
          <w:szCs w:val="25"/>
        </w:rPr>
      </w:pPr>
      <w:r>
        <w:rPr>
          <w:rFonts w:ascii="Times New Roman" w:hAnsi="Times New Roman" w:eastAsia="Times New Roman" w:cs="Times New Roman"/>
          <w:spacing w:val="22"/>
          <w:sz w:val="25"/>
          <w:szCs w:val="25"/>
        </w:rPr>
        <w:t xml:space="preserve">a)  </w:t>
      </w:r>
      <w:r>
        <w:rPr>
          <w:spacing w:val="22"/>
          <w:sz w:val="25"/>
          <w:szCs w:val="25"/>
        </w:rPr>
        <w:t>分配时应综合考虑系统下属各功能级产品的复杂度、重要</w:t>
      </w:r>
      <w:r>
        <w:rPr>
          <w:spacing w:val="21"/>
          <w:sz w:val="25"/>
          <w:szCs w:val="25"/>
        </w:rPr>
        <w:t>度、技术成熟</w:t>
      </w:r>
      <w:r>
        <w:rPr>
          <w:sz w:val="25"/>
          <w:szCs w:val="25"/>
        </w:rPr>
        <w:t xml:space="preserve"> </w:t>
      </w:r>
      <w:r>
        <w:rPr>
          <w:spacing w:val="20"/>
          <w:sz w:val="25"/>
          <w:szCs w:val="25"/>
        </w:rPr>
        <w:t>度、任务时间的长短以及实现可靠性要求所花费的代价及时间周期等因素。</w:t>
      </w:r>
    </w:p>
    <w:p w14:paraId="5DC876C1">
      <w:pPr>
        <w:pStyle w:val="2"/>
        <w:spacing w:before="68" w:line="212" w:lineRule="auto"/>
        <w:ind w:left="560"/>
      </w:pPr>
      <w:r>
        <w:rPr>
          <w:rFonts w:ascii="Times New Roman" w:hAnsi="Times New Roman" w:eastAsia="Times New Roman" w:cs="Times New Roman"/>
          <w:spacing w:val="1"/>
        </w:rPr>
        <w:t>b)</w:t>
      </w:r>
      <w:r>
        <w:rPr>
          <w:rFonts w:ascii="Times New Roman" w:hAnsi="Times New Roman" w:eastAsia="Times New Roman" w:cs="Times New Roman"/>
          <w:spacing w:val="47"/>
        </w:rPr>
        <w:t xml:space="preserve"> </w:t>
      </w:r>
      <w:r>
        <w:rPr>
          <w:spacing w:val="1"/>
        </w:rPr>
        <w:t>分配到同一层次产品的划分规模应尽可能适当，以</w:t>
      </w:r>
      <w:r>
        <w:t>便于权衡和比较。</w:t>
      </w:r>
    </w:p>
    <w:p w14:paraId="60CDF3A5">
      <w:pPr>
        <w:pStyle w:val="2"/>
        <w:spacing w:before="110" w:line="212" w:lineRule="auto"/>
        <w:ind w:left="560"/>
      </w:pPr>
      <w:r>
        <w:rPr>
          <w:rFonts w:ascii="Times New Roman" w:hAnsi="Times New Roman" w:eastAsia="Times New Roman" w:cs="Times New Roman"/>
        </w:rPr>
        <w:t>c)</w:t>
      </w:r>
      <w:r>
        <w:rPr>
          <w:rFonts w:ascii="Times New Roman" w:hAnsi="Times New Roman" w:eastAsia="Times New Roman" w:cs="Times New Roman"/>
          <w:spacing w:val="67"/>
          <w:w w:val="101"/>
        </w:rPr>
        <w:t xml:space="preserve"> </w:t>
      </w:r>
      <w:r>
        <w:t>应根据产品特点和使用要求，确定采用哪一种可靠性参数进行分配。</w:t>
      </w:r>
    </w:p>
    <w:p w14:paraId="3509770C">
      <w:pPr>
        <w:pStyle w:val="2"/>
        <w:spacing w:before="60" w:line="260" w:lineRule="auto"/>
        <w:ind w:right="93" w:firstLine="560"/>
      </w:pPr>
      <w:r>
        <w:rPr>
          <w:rFonts w:ascii="Times New Roman" w:hAnsi="Times New Roman" w:eastAsia="Times New Roman" w:cs="Times New Roman"/>
          <w:spacing w:val="3"/>
        </w:rPr>
        <w:t>d)</w:t>
      </w:r>
      <w:r>
        <w:rPr>
          <w:rFonts w:ascii="Times New Roman" w:hAnsi="Times New Roman" w:eastAsia="Times New Roman" w:cs="Times New Roman"/>
          <w:spacing w:val="56"/>
          <w:w w:val="101"/>
        </w:rPr>
        <w:t xml:space="preserve"> </w:t>
      </w:r>
      <w:r>
        <w:rPr>
          <w:spacing w:val="3"/>
        </w:rPr>
        <w:t>应按规定值进行可靠性分配。分配时应适当留有余地</w:t>
      </w:r>
      <w:r>
        <w:rPr>
          <w:spacing w:val="2"/>
        </w:rPr>
        <w:t>，以便在系统增加</w:t>
      </w:r>
      <w:r>
        <w:t xml:space="preserve"> </w:t>
      </w:r>
      <w:r>
        <w:rPr>
          <w:spacing w:val="-3"/>
        </w:rPr>
        <w:t>功能或局部改进设计时，不必再重新进行分配。</w:t>
      </w:r>
    </w:p>
    <w:p w14:paraId="085633EA">
      <w:pPr>
        <w:spacing w:line="260" w:lineRule="auto"/>
        <w:sectPr>
          <w:footerReference r:id="rId365" w:type="default"/>
          <w:pgSz w:w="11910" w:h="17130"/>
          <w:pgMar w:top="1456" w:right="794" w:bottom="1606" w:left="1650" w:header="0" w:footer="1417" w:gutter="0"/>
          <w:cols w:space="720" w:num="1"/>
        </w:sectPr>
      </w:pPr>
    </w:p>
    <w:p w14:paraId="2CFBCAD1">
      <w:pPr>
        <w:spacing w:before="73" w:line="222" w:lineRule="auto"/>
        <w:rPr>
          <w:rFonts w:ascii="黑体" w:hAnsi="黑体" w:eastAsia="黑体" w:cs="黑体"/>
          <w:sz w:val="27"/>
          <w:szCs w:val="27"/>
        </w:rPr>
      </w:pPr>
      <w:r>
        <w:rPr>
          <w:rFonts w:ascii="黑体" w:hAnsi="黑体" w:eastAsia="黑体" w:cs="黑体"/>
          <w:spacing w:val="5"/>
          <w:sz w:val="27"/>
          <w:szCs w:val="27"/>
        </w:rPr>
        <w:t>7  分配余量的确定及其理由</w:t>
      </w:r>
    </w:p>
    <w:p w14:paraId="7659C546">
      <w:pPr>
        <w:pStyle w:val="2"/>
        <w:spacing w:before="77" w:line="219" w:lineRule="auto"/>
        <w:ind w:left="560"/>
      </w:pPr>
      <w:r>
        <w:t>应根据实际情况给分配指标增加一定余量，说明确定余量</w:t>
      </w:r>
      <w:r>
        <w:rPr>
          <w:spacing w:val="-1"/>
        </w:rPr>
        <w:t>值的理由。</w:t>
      </w:r>
    </w:p>
    <w:p w14:paraId="48377F06">
      <w:pPr>
        <w:spacing w:before="69" w:line="368" w:lineRule="exact"/>
        <w:rPr>
          <w:rFonts w:ascii="黑体" w:hAnsi="黑体" w:eastAsia="黑体" w:cs="黑体"/>
          <w:sz w:val="27"/>
          <w:szCs w:val="27"/>
        </w:rPr>
      </w:pPr>
      <w:r>
        <w:rPr>
          <w:rFonts w:ascii="Arial" w:hAnsi="Arial" w:eastAsia="Arial" w:cs="Arial"/>
          <w:spacing w:val="4"/>
          <w:position w:val="1"/>
          <w:sz w:val="27"/>
          <w:szCs w:val="27"/>
        </w:rPr>
        <w:t>8</w:t>
      </w:r>
      <w:r>
        <w:rPr>
          <w:rFonts w:ascii="Arial" w:hAnsi="Arial" w:eastAsia="Arial" w:cs="Arial"/>
          <w:spacing w:val="20"/>
          <w:position w:val="1"/>
          <w:sz w:val="27"/>
          <w:szCs w:val="27"/>
        </w:rPr>
        <w:t xml:space="preserve">   </w:t>
      </w:r>
      <w:r>
        <w:rPr>
          <w:rFonts w:ascii="黑体" w:hAnsi="黑体" w:eastAsia="黑体" w:cs="黑体"/>
          <w:spacing w:val="4"/>
          <w:position w:val="1"/>
          <w:sz w:val="27"/>
          <w:szCs w:val="27"/>
        </w:rPr>
        <w:t>不直接参加分配部分的可靠性影响</w:t>
      </w:r>
    </w:p>
    <w:p w14:paraId="6A4B25AF">
      <w:pPr>
        <w:pStyle w:val="2"/>
        <w:spacing w:before="81" w:line="219" w:lineRule="auto"/>
        <w:jc w:val="right"/>
      </w:pPr>
      <w:r>
        <w:t>对系统中未参加分配部分的可靠性进行分析，确定其对系统可靠性的影响。</w:t>
      </w:r>
    </w:p>
    <w:p w14:paraId="6FFB1021">
      <w:pPr>
        <w:spacing w:before="147" w:line="221" w:lineRule="auto"/>
        <w:rPr>
          <w:rFonts w:ascii="黑体" w:hAnsi="黑体" w:eastAsia="黑体" w:cs="黑体"/>
          <w:sz w:val="27"/>
          <w:szCs w:val="27"/>
        </w:rPr>
      </w:pPr>
      <w:r>
        <w:rPr>
          <w:rFonts w:ascii="黑体" w:hAnsi="黑体" w:eastAsia="黑体" w:cs="黑体"/>
          <w:spacing w:val="2"/>
          <w:sz w:val="27"/>
          <w:szCs w:val="27"/>
        </w:rPr>
        <w:t>9</w:t>
      </w:r>
      <w:r>
        <w:rPr>
          <w:rFonts w:ascii="黑体" w:hAnsi="黑体" w:eastAsia="黑体" w:cs="黑体"/>
          <w:spacing w:val="10"/>
          <w:sz w:val="27"/>
          <w:szCs w:val="27"/>
        </w:rPr>
        <w:t xml:space="preserve">  </w:t>
      </w:r>
      <w:r>
        <w:rPr>
          <w:rFonts w:ascii="黑体" w:hAnsi="黑体" w:eastAsia="黑体" w:cs="黑体"/>
          <w:spacing w:val="2"/>
          <w:sz w:val="27"/>
          <w:szCs w:val="27"/>
        </w:rPr>
        <w:t>有关说明</w:t>
      </w:r>
    </w:p>
    <w:p w14:paraId="7E9908CB">
      <w:pPr>
        <w:pStyle w:val="2"/>
        <w:spacing w:before="99" w:line="280" w:lineRule="auto"/>
        <w:ind w:right="123" w:firstLine="560"/>
      </w:pPr>
      <w:r>
        <w:rPr>
          <w:spacing w:val="5"/>
        </w:rPr>
        <w:t>对专家评分值的处理说明(评分分配法)或相似产品的相似程</w:t>
      </w:r>
      <w:r>
        <w:rPr>
          <w:spacing w:val="4"/>
        </w:rPr>
        <w:t>度及其可靠性</w:t>
      </w:r>
      <w:r>
        <w:t xml:space="preserve"> </w:t>
      </w:r>
      <w:r>
        <w:rPr>
          <w:spacing w:val="3"/>
        </w:rPr>
        <w:t>数据来源(评分分配法)的说明等。</w:t>
      </w:r>
    </w:p>
    <w:p w14:paraId="5AB7E227">
      <w:pPr>
        <w:spacing w:line="368" w:lineRule="exact"/>
        <w:rPr>
          <w:rFonts w:ascii="黑体" w:hAnsi="黑体" w:eastAsia="黑体" w:cs="黑体"/>
          <w:sz w:val="27"/>
          <w:szCs w:val="27"/>
        </w:rPr>
      </w:pPr>
      <w:r>
        <w:rPr>
          <w:rFonts w:ascii="Arial" w:hAnsi="Arial" w:eastAsia="Arial" w:cs="Arial"/>
          <w:spacing w:val="3"/>
          <w:position w:val="1"/>
          <w:sz w:val="27"/>
          <w:szCs w:val="27"/>
        </w:rPr>
        <w:t>10</w:t>
      </w:r>
      <w:r>
        <w:rPr>
          <w:rFonts w:ascii="Arial" w:hAnsi="Arial" w:eastAsia="Arial" w:cs="Arial"/>
          <w:spacing w:val="25"/>
          <w:position w:val="1"/>
          <w:sz w:val="27"/>
          <w:szCs w:val="27"/>
        </w:rPr>
        <w:t xml:space="preserve">   </w:t>
      </w:r>
      <w:r>
        <w:rPr>
          <w:rFonts w:ascii="黑体" w:hAnsi="黑体" w:eastAsia="黑体" w:cs="黑体"/>
          <w:spacing w:val="3"/>
          <w:position w:val="1"/>
          <w:sz w:val="27"/>
          <w:szCs w:val="27"/>
        </w:rPr>
        <w:t>分配方法的选择及影响选择的各种因素</w:t>
      </w:r>
    </w:p>
    <w:p w14:paraId="7D4B844A">
      <w:pPr>
        <w:pStyle w:val="2"/>
        <w:spacing w:before="123" w:line="219" w:lineRule="auto"/>
        <w:ind w:left="560"/>
      </w:pPr>
      <w:r>
        <w:rPr>
          <w:spacing w:val="-6"/>
        </w:rPr>
        <w:t>确定分配方法，说明选择的理由。</w:t>
      </w:r>
    </w:p>
    <w:p w14:paraId="3A402EE8">
      <w:pPr>
        <w:pStyle w:val="2"/>
        <w:spacing w:before="79" w:line="282" w:lineRule="auto"/>
        <w:ind w:right="123" w:firstLine="560"/>
        <w:jc w:val="both"/>
      </w:pPr>
      <w:r>
        <w:rPr>
          <w:spacing w:val="-3"/>
        </w:rPr>
        <w:t>工程上适用的基本可靠性分配方法包括评分分配</w:t>
      </w:r>
      <w:r>
        <w:rPr>
          <w:spacing w:val="-4"/>
        </w:rPr>
        <w:t>法、比例组合分配法、层次</w:t>
      </w:r>
      <w:r>
        <w:t xml:space="preserve"> </w:t>
      </w:r>
      <w:r>
        <w:rPr>
          <w:spacing w:val="-3"/>
        </w:rPr>
        <w:t>分析分配法等；工程上适用的任务可靠性分配方法包括</w:t>
      </w:r>
      <w:r>
        <w:rPr>
          <w:spacing w:val="-70"/>
        </w:rPr>
        <w:t xml:space="preserve"> </w:t>
      </w:r>
      <w:r>
        <w:rPr>
          <w:rFonts w:ascii="Times New Roman" w:hAnsi="Times New Roman" w:eastAsia="Times New Roman" w:cs="Times New Roman"/>
          <w:spacing w:val="-3"/>
        </w:rPr>
        <w:t>AGREE</w:t>
      </w:r>
      <w:r>
        <w:rPr>
          <w:rFonts w:ascii="Times New Roman" w:hAnsi="Times New Roman" w:eastAsia="Times New Roman" w:cs="Times New Roman"/>
          <w:spacing w:val="65"/>
          <w:w w:val="101"/>
        </w:rPr>
        <w:t xml:space="preserve"> </w:t>
      </w:r>
      <w:r>
        <w:rPr>
          <w:spacing w:val="-3"/>
        </w:rPr>
        <w:t>分配法、直接分</w:t>
      </w:r>
      <w:r>
        <w:t xml:space="preserve"> </w:t>
      </w:r>
      <w:r>
        <w:rPr>
          <w:spacing w:val="-3"/>
        </w:rPr>
        <w:t>配法等。</w:t>
      </w:r>
    </w:p>
    <w:p w14:paraId="6EFDDCB2">
      <w:pPr>
        <w:spacing w:before="24" w:line="222" w:lineRule="auto"/>
        <w:rPr>
          <w:rFonts w:ascii="黑体" w:hAnsi="黑体" w:eastAsia="黑体" w:cs="黑体"/>
          <w:sz w:val="27"/>
          <w:szCs w:val="27"/>
        </w:rPr>
      </w:pPr>
      <w:r>
        <w:rPr>
          <w:rFonts w:ascii="黑体" w:hAnsi="黑体" w:eastAsia="黑体" w:cs="黑体"/>
          <w:sz w:val="27"/>
          <w:szCs w:val="27"/>
        </w:rPr>
        <w:t>11</w:t>
      </w:r>
      <w:r>
        <w:rPr>
          <w:rFonts w:ascii="黑体" w:hAnsi="黑体" w:eastAsia="黑体" w:cs="黑体"/>
          <w:spacing w:val="22"/>
          <w:sz w:val="27"/>
          <w:szCs w:val="27"/>
        </w:rPr>
        <w:t xml:space="preserve">  </w:t>
      </w:r>
      <w:r>
        <w:rPr>
          <w:rFonts w:ascii="黑体" w:hAnsi="黑体" w:eastAsia="黑体" w:cs="黑体"/>
          <w:sz w:val="27"/>
          <w:szCs w:val="27"/>
        </w:rPr>
        <w:t>最终分配结果</w:t>
      </w:r>
    </w:p>
    <w:p w14:paraId="7E5F4F70">
      <w:pPr>
        <w:pStyle w:val="2"/>
        <w:spacing w:before="114" w:line="277" w:lineRule="auto"/>
        <w:ind w:right="125" w:firstLine="560"/>
      </w:pPr>
      <w:r>
        <w:rPr>
          <w:spacing w:val="5"/>
        </w:rPr>
        <w:t>根据确定的分配层次以及在每个层次应用的分配方法，计算通过这些</w:t>
      </w:r>
      <w:r>
        <w:rPr>
          <w:spacing w:val="4"/>
        </w:rPr>
        <w:t>方法</w:t>
      </w:r>
      <w:r>
        <w:t xml:space="preserve"> </w:t>
      </w:r>
      <w:r>
        <w:rPr>
          <w:spacing w:val="1"/>
        </w:rPr>
        <w:t>分配的可靠性结果。</w:t>
      </w:r>
    </w:p>
    <w:p w14:paraId="5F3142F0">
      <w:pPr>
        <w:spacing w:line="321" w:lineRule="auto"/>
        <w:rPr>
          <w:rFonts w:ascii="Arial"/>
          <w:sz w:val="21"/>
        </w:rPr>
      </w:pPr>
    </w:p>
    <w:p w14:paraId="38EB0D7D">
      <w:pPr>
        <w:pStyle w:val="2"/>
        <w:spacing w:before="117" w:line="220" w:lineRule="auto"/>
        <w:ind w:left="3340"/>
        <w:outlineLvl w:val="1"/>
        <w:rPr>
          <w:sz w:val="36"/>
          <w:szCs w:val="36"/>
        </w:rPr>
      </w:pPr>
      <w:r>
        <w:rPr>
          <w:rFonts w:ascii="Times New Roman" w:hAnsi="Times New Roman" w:eastAsia="Times New Roman" w:cs="Times New Roman"/>
          <w:b/>
          <w:bCs/>
          <w:spacing w:val="-1"/>
          <w:sz w:val="36"/>
          <w:szCs w:val="36"/>
        </w:rPr>
        <w:t>7.7</w:t>
      </w:r>
      <w:r>
        <w:rPr>
          <w:rFonts w:ascii="Times New Roman" w:hAnsi="Times New Roman" w:eastAsia="Times New Roman" w:cs="Times New Roman"/>
          <w:b/>
          <w:bCs/>
          <w:spacing w:val="5"/>
          <w:sz w:val="36"/>
          <w:szCs w:val="36"/>
        </w:rPr>
        <w:t xml:space="preserve">     </w:t>
      </w:r>
      <w:r>
        <w:rPr>
          <w:b/>
          <w:bCs/>
          <w:spacing w:val="-1"/>
          <w:sz w:val="36"/>
          <w:szCs w:val="36"/>
        </w:rPr>
        <w:t>可靠性预计</w:t>
      </w:r>
    </w:p>
    <w:p w14:paraId="26BF56D1">
      <w:pPr>
        <w:spacing w:line="414" w:lineRule="auto"/>
        <w:rPr>
          <w:rFonts w:ascii="Arial"/>
          <w:sz w:val="21"/>
        </w:rPr>
      </w:pPr>
    </w:p>
    <w:p w14:paraId="52716562">
      <w:pPr>
        <w:pStyle w:val="2"/>
        <w:spacing w:before="88" w:line="223" w:lineRule="auto"/>
        <w:ind w:left="560"/>
        <w:rPr>
          <w:rFonts w:ascii="楷体" w:hAnsi="楷体" w:eastAsia="楷体" w:cs="楷体"/>
        </w:rPr>
      </w:pPr>
      <w:r>
        <w:rPr>
          <w:rFonts w:ascii="楷体" w:hAnsi="楷体" w:eastAsia="楷体" w:cs="楷体"/>
          <w:spacing w:val="-1"/>
        </w:rPr>
        <w:t>按照</w:t>
      </w:r>
      <w:r>
        <w:rPr>
          <w:rFonts w:ascii="Times New Roman" w:hAnsi="Times New Roman" w:eastAsia="Times New Roman" w:cs="Times New Roman"/>
          <w:spacing w:val="-1"/>
        </w:rPr>
        <w:t>GJB 450A—2004</w:t>
      </w:r>
      <w:r>
        <w:rPr>
          <w:spacing w:val="-1"/>
        </w:rPr>
        <w:t>《</w:t>
      </w:r>
      <w:r>
        <w:rPr>
          <w:rFonts w:ascii="楷体" w:hAnsi="楷体" w:eastAsia="楷体" w:cs="楷体"/>
          <w:spacing w:val="-1"/>
        </w:rPr>
        <w:t>装备可靠性工作通用要求》、</w:t>
      </w:r>
      <w:r>
        <w:rPr>
          <w:rFonts w:ascii="Times New Roman" w:hAnsi="Times New Roman" w:eastAsia="Times New Roman" w:cs="Times New Roman"/>
          <w:spacing w:val="-1"/>
        </w:rPr>
        <w:t>GJB 813—1990</w:t>
      </w:r>
      <w:r>
        <w:rPr>
          <w:spacing w:val="-1"/>
        </w:rPr>
        <w:t>《</w:t>
      </w:r>
      <w:r>
        <w:rPr>
          <w:rFonts w:ascii="楷体" w:hAnsi="楷体" w:eastAsia="楷体" w:cs="楷体"/>
          <w:spacing w:val="-2"/>
        </w:rPr>
        <w:t>可靠</w:t>
      </w:r>
    </w:p>
    <w:p w14:paraId="0F7B7B6D">
      <w:pPr>
        <w:spacing w:before="85" w:line="226" w:lineRule="auto"/>
        <w:ind w:left="3"/>
        <w:rPr>
          <w:rFonts w:ascii="楷体" w:hAnsi="楷体" w:eastAsia="楷体" w:cs="楷体"/>
          <w:sz w:val="27"/>
          <w:szCs w:val="27"/>
        </w:rPr>
      </w:pPr>
      <w:r>
        <w:rPr>
          <w:rFonts w:ascii="楷体" w:hAnsi="楷体" w:eastAsia="楷体" w:cs="楷体"/>
          <w:b/>
          <w:bCs/>
          <w:spacing w:val="-8"/>
          <w:sz w:val="27"/>
          <w:szCs w:val="27"/>
        </w:rPr>
        <w:t>性模型的建立和可靠性预计》编写。</w:t>
      </w:r>
    </w:p>
    <w:p w14:paraId="2B02E962">
      <w:pPr>
        <w:spacing w:before="146" w:line="223" w:lineRule="auto"/>
        <w:rPr>
          <w:rFonts w:ascii="黑体" w:hAnsi="黑体" w:eastAsia="黑体" w:cs="黑体"/>
          <w:sz w:val="27"/>
          <w:szCs w:val="27"/>
        </w:rPr>
      </w:pPr>
      <w:r>
        <w:rPr>
          <w:rFonts w:ascii="黑体" w:hAnsi="黑体" w:eastAsia="黑体" w:cs="黑体"/>
          <w:spacing w:val="-11"/>
          <w:sz w:val="27"/>
          <w:szCs w:val="27"/>
        </w:rPr>
        <w:t>1</w:t>
      </w:r>
      <w:r>
        <w:rPr>
          <w:rFonts w:ascii="黑体" w:hAnsi="黑体" w:eastAsia="黑体" w:cs="黑体"/>
          <w:spacing w:val="19"/>
          <w:sz w:val="27"/>
          <w:szCs w:val="27"/>
        </w:rPr>
        <w:t xml:space="preserve">  </w:t>
      </w:r>
      <w:r>
        <w:rPr>
          <w:rFonts w:ascii="黑体" w:hAnsi="黑体" w:eastAsia="黑体" w:cs="黑体"/>
          <w:spacing w:val="-11"/>
          <w:sz w:val="27"/>
          <w:szCs w:val="27"/>
        </w:rPr>
        <w:t>范围</w:t>
      </w:r>
    </w:p>
    <w:p w14:paraId="737D937B">
      <w:pPr>
        <w:spacing w:before="222"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7C235801">
      <w:pPr>
        <w:spacing w:before="225" w:line="222" w:lineRule="auto"/>
        <w:rPr>
          <w:rFonts w:ascii="黑体" w:hAnsi="黑体" w:eastAsia="黑体" w:cs="黑体"/>
          <w:sz w:val="27"/>
          <w:szCs w:val="27"/>
        </w:rPr>
      </w:pPr>
      <w:r>
        <w:rPr>
          <w:rFonts w:ascii="黑体" w:hAnsi="黑体" w:eastAsia="黑体" w:cs="黑体"/>
          <w:spacing w:val="6"/>
          <w:sz w:val="27"/>
          <w:szCs w:val="27"/>
        </w:rPr>
        <w:t>3  产品的可靠性指标</w:t>
      </w:r>
    </w:p>
    <w:p w14:paraId="6DAB0232">
      <w:pPr>
        <w:pStyle w:val="2"/>
        <w:spacing w:before="177" w:line="219" w:lineRule="auto"/>
        <w:ind w:left="560"/>
      </w:pPr>
      <w:r>
        <w:rPr>
          <w:spacing w:val="-2"/>
        </w:rPr>
        <w:t>根据合同或协议要求，说明所预计产品的可靠性指标。</w:t>
      </w:r>
    </w:p>
    <w:p w14:paraId="0C06B6B7">
      <w:pPr>
        <w:spacing w:before="97" w:line="222" w:lineRule="auto"/>
        <w:rPr>
          <w:rFonts w:ascii="黑体" w:hAnsi="黑体" w:eastAsia="黑体" w:cs="黑体"/>
          <w:sz w:val="24"/>
          <w:szCs w:val="24"/>
        </w:rPr>
      </w:pPr>
      <w:r>
        <w:rPr>
          <w:rFonts w:ascii="黑体" w:hAnsi="黑体" w:eastAsia="黑体" w:cs="黑体"/>
          <w:spacing w:val="31"/>
          <w:sz w:val="24"/>
          <w:szCs w:val="24"/>
        </w:rPr>
        <w:t>4</w:t>
      </w:r>
      <w:r>
        <w:rPr>
          <w:rFonts w:ascii="黑体" w:hAnsi="黑体" w:eastAsia="黑体" w:cs="黑体"/>
          <w:spacing w:val="33"/>
          <w:sz w:val="24"/>
          <w:szCs w:val="24"/>
        </w:rPr>
        <w:t xml:space="preserve">  </w:t>
      </w:r>
      <w:r>
        <w:rPr>
          <w:rFonts w:ascii="黑体" w:hAnsi="黑体" w:eastAsia="黑体" w:cs="黑体"/>
          <w:spacing w:val="31"/>
          <w:sz w:val="24"/>
          <w:szCs w:val="24"/>
        </w:rPr>
        <w:t>产品的组成及工作原理</w:t>
      </w:r>
    </w:p>
    <w:p w14:paraId="427F1029">
      <w:pPr>
        <w:pStyle w:val="2"/>
        <w:spacing w:before="134" w:line="265" w:lineRule="auto"/>
        <w:ind w:right="91" w:firstLine="560"/>
        <w:jc w:val="both"/>
      </w:pPr>
      <w:r>
        <w:rPr>
          <w:spacing w:val="6"/>
        </w:rPr>
        <w:t>利用功能方框图和文字简要说明所预计产品的组成结构及其功能关系。包</w:t>
      </w:r>
      <w:r>
        <w:t xml:space="preserve"> </w:t>
      </w:r>
      <w:r>
        <w:rPr>
          <w:spacing w:val="-10"/>
        </w:rPr>
        <w:t>括产品的功能和任务、组成及其接口、所处研制阶段、工作条件、产品工作模式及</w:t>
      </w:r>
      <w:r>
        <w:rPr>
          <w:spacing w:val="3"/>
        </w:rPr>
        <w:t xml:space="preserve"> </w:t>
      </w:r>
      <w:r>
        <w:rPr>
          <w:spacing w:val="-2"/>
        </w:rPr>
        <w:t>不同工作模式下产品的组成成分、产品工作模式</w:t>
      </w:r>
      <w:r>
        <w:rPr>
          <w:spacing w:val="-3"/>
        </w:rPr>
        <w:t>和任务的对应关系、产品的工作</w:t>
      </w:r>
      <w:r>
        <w:t xml:space="preserve"> 时间和故障判据。</w:t>
      </w:r>
    </w:p>
    <w:p w14:paraId="1F778B5C">
      <w:pPr>
        <w:spacing w:line="368" w:lineRule="exact"/>
        <w:rPr>
          <w:rFonts w:ascii="黑体" w:hAnsi="黑体" w:eastAsia="黑体" w:cs="黑体"/>
          <w:sz w:val="27"/>
          <w:szCs w:val="27"/>
        </w:rPr>
      </w:pPr>
      <w:r>
        <w:rPr>
          <w:rFonts w:ascii="Arial" w:hAnsi="Arial" w:eastAsia="Arial" w:cs="Arial"/>
          <w:spacing w:val="2"/>
          <w:position w:val="1"/>
          <w:sz w:val="27"/>
          <w:szCs w:val="27"/>
        </w:rPr>
        <w:t>5</w:t>
      </w:r>
      <w:r>
        <w:rPr>
          <w:rFonts w:ascii="Arial" w:hAnsi="Arial" w:eastAsia="Arial" w:cs="Arial"/>
          <w:spacing w:val="19"/>
          <w:position w:val="1"/>
          <w:sz w:val="27"/>
          <w:szCs w:val="27"/>
        </w:rPr>
        <w:t xml:space="preserve">   </w:t>
      </w:r>
      <w:r>
        <w:rPr>
          <w:rFonts w:ascii="黑体" w:hAnsi="黑体" w:eastAsia="黑体" w:cs="黑体"/>
          <w:spacing w:val="2"/>
          <w:position w:val="1"/>
          <w:sz w:val="27"/>
          <w:szCs w:val="27"/>
        </w:rPr>
        <w:t>产品的可靠性模型</w:t>
      </w:r>
    </w:p>
    <w:p w14:paraId="39E4777F">
      <w:pPr>
        <w:pStyle w:val="2"/>
        <w:spacing w:before="100" w:line="290" w:lineRule="auto"/>
        <w:ind w:right="122" w:firstLine="560"/>
      </w:pPr>
      <w:r>
        <w:rPr>
          <w:spacing w:val="-3"/>
        </w:rPr>
        <w:t>根据产品定义，绘制产品可靠性框图，建立产品可靠</w:t>
      </w:r>
      <w:r>
        <w:rPr>
          <w:spacing w:val="-4"/>
        </w:rPr>
        <w:t>性数学模型，包括基本</w:t>
      </w:r>
      <w:r>
        <w:t xml:space="preserve"> </w:t>
      </w:r>
      <w:r>
        <w:rPr>
          <w:spacing w:val="3"/>
        </w:rPr>
        <w:t>可靠性模型和任务可靠性模型。</w:t>
      </w:r>
    </w:p>
    <w:p w14:paraId="3032119C">
      <w:pPr>
        <w:spacing w:line="290" w:lineRule="auto"/>
        <w:sectPr>
          <w:footerReference r:id="rId366" w:type="default"/>
          <w:pgSz w:w="11910" w:h="17130"/>
          <w:pgMar w:top="1456" w:right="1415" w:bottom="1626" w:left="1009" w:header="0" w:footer="1437" w:gutter="0"/>
          <w:cols w:space="720" w:num="1"/>
        </w:sectPr>
      </w:pPr>
    </w:p>
    <w:p w14:paraId="69EC8AF1">
      <w:pPr>
        <w:spacing w:before="78" w:line="221"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6"/>
          <w:sz w:val="27"/>
          <w:szCs w:val="27"/>
        </w:rPr>
        <w:t xml:space="preserve">  </w:t>
      </w:r>
      <w:r>
        <w:rPr>
          <w:rFonts w:ascii="黑体" w:hAnsi="黑体" w:eastAsia="黑体" w:cs="黑体"/>
          <w:b/>
          <w:bCs/>
          <w:sz w:val="27"/>
          <w:szCs w:val="27"/>
        </w:rPr>
        <w:t>选择预计的方法</w:t>
      </w:r>
    </w:p>
    <w:p w14:paraId="0163E467">
      <w:pPr>
        <w:pStyle w:val="2"/>
        <w:spacing w:before="52" w:line="296" w:lineRule="auto"/>
        <w:ind w:right="19" w:firstLine="560"/>
      </w:pPr>
      <w:r>
        <w:rPr>
          <w:spacing w:val="-3"/>
        </w:rPr>
        <w:t>根据产品所处研制阶段及其拥有的信息量，选择适</w:t>
      </w:r>
      <w:r>
        <w:rPr>
          <w:spacing w:val="-4"/>
        </w:rPr>
        <w:t>当的可靠性预计方法，并</w:t>
      </w:r>
      <w:r>
        <w:t xml:space="preserve"> </w:t>
      </w:r>
      <w:r>
        <w:rPr>
          <w:spacing w:val="3"/>
        </w:rPr>
        <w:t>说明选择这些方法的理由。</w:t>
      </w:r>
    </w:p>
    <w:p w14:paraId="5D437700">
      <w:pPr>
        <w:spacing w:line="221" w:lineRule="auto"/>
        <w:rPr>
          <w:rFonts w:ascii="黑体" w:hAnsi="黑体" w:eastAsia="黑体" w:cs="黑体"/>
          <w:sz w:val="27"/>
          <w:szCs w:val="27"/>
        </w:rPr>
      </w:pPr>
      <w:r>
        <w:rPr>
          <w:rFonts w:ascii="黑体" w:hAnsi="黑体" w:eastAsia="黑体" w:cs="黑体"/>
          <w:sz w:val="27"/>
          <w:szCs w:val="27"/>
        </w:rPr>
        <w:t>7</w:t>
      </w:r>
      <w:r>
        <w:rPr>
          <w:rFonts w:ascii="黑体" w:hAnsi="黑体" w:eastAsia="黑体" w:cs="黑体"/>
          <w:spacing w:val="16"/>
          <w:sz w:val="27"/>
          <w:szCs w:val="27"/>
        </w:rPr>
        <w:t xml:space="preserve">  </w:t>
      </w:r>
      <w:r>
        <w:rPr>
          <w:rFonts w:ascii="黑体" w:hAnsi="黑体" w:eastAsia="黑体" w:cs="黑体"/>
          <w:b/>
          <w:bCs/>
          <w:sz w:val="27"/>
          <w:szCs w:val="27"/>
        </w:rPr>
        <w:t>预计的假设条件</w:t>
      </w:r>
    </w:p>
    <w:p w14:paraId="06800856">
      <w:pPr>
        <w:pStyle w:val="2"/>
        <w:spacing w:before="109" w:line="289" w:lineRule="auto"/>
        <w:ind w:right="19" w:firstLine="560"/>
      </w:pPr>
      <w:r>
        <w:rPr>
          <w:spacing w:val="-3"/>
        </w:rPr>
        <w:t>说明预计的假设条件。在进行可靠性预计时，除非</w:t>
      </w:r>
      <w:r>
        <w:rPr>
          <w:spacing w:val="-4"/>
        </w:rPr>
        <w:t>特殊说明，寿命分布一般</w:t>
      </w:r>
      <w:r>
        <w:t xml:space="preserve"> </w:t>
      </w:r>
      <w:r>
        <w:rPr>
          <w:spacing w:val="-3"/>
        </w:rPr>
        <w:t>假设为指数分布，故障之间是相互独立的。</w:t>
      </w:r>
    </w:p>
    <w:p w14:paraId="7297DF02">
      <w:pPr>
        <w:spacing w:before="29" w:line="221" w:lineRule="auto"/>
        <w:outlineLvl w:val="3"/>
        <w:rPr>
          <w:rFonts w:ascii="黑体" w:hAnsi="黑体" w:eastAsia="黑体" w:cs="黑体"/>
          <w:sz w:val="24"/>
          <w:szCs w:val="24"/>
        </w:rPr>
      </w:pPr>
      <w:r>
        <w:rPr>
          <w:rFonts w:ascii="Arial" w:hAnsi="Arial" w:eastAsia="Arial" w:cs="Arial"/>
          <w:b/>
          <w:bCs/>
          <w:spacing w:val="28"/>
          <w:sz w:val="24"/>
          <w:szCs w:val="24"/>
        </w:rPr>
        <w:t>8</w:t>
      </w:r>
      <w:r>
        <w:rPr>
          <w:rFonts w:ascii="Arial" w:hAnsi="Arial" w:eastAsia="Arial" w:cs="Arial"/>
          <w:b/>
          <w:bCs/>
          <w:spacing w:val="8"/>
          <w:sz w:val="24"/>
          <w:szCs w:val="24"/>
        </w:rPr>
        <w:t xml:space="preserve">    </w:t>
      </w:r>
      <w:r>
        <w:rPr>
          <w:rFonts w:ascii="黑体" w:hAnsi="黑体" w:eastAsia="黑体" w:cs="黑体"/>
          <w:b/>
          <w:bCs/>
          <w:spacing w:val="28"/>
          <w:sz w:val="24"/>
          <w:szCs w:val="24"/>
        </w:rPr>
        <w:t>数据来源及数据的有效性</w:t>
      </w:r>
    </w:p>
    <w:p w14:paraId="4D6E80FD">
      <w:pPr>
        <w:pStyle w:val="2"/>
        <w:spacing w:before="130" w:line="219" w:lineRule="auto"/>
        <w:ind w:left="560"/>
      </w:pPr>
      <w:r>
        <w:t>说明预计中使用的数据及其来源，对数据的有效性进行分析。</w:t>
      </w:r>
    </w:p>
    <w:p w14:paraId="304DD7F3">
      <w:pPr>
        <w:spacing w:before="113" w:line="222" w:lineRule="auto"/>
        <w:rPr>
          <w:rFonts w:ascii="黑体" w:hAnsi="黑体" w:eastAsia="黑体" w:cs="黑体"/>
          <w:sz w:val="24"/>
          <w:szCs w:val="24"/>
        </w:rPr>
      </w:pPr>
      <w:r>
        <w:rPr>
          <w:rFonts w:ascii="黑体" w:hAnsi="黑体" w:eastAsia="黑体" w:cs="黑体"/>
          <w:spacing w:val="25"/>
          <w:sz w:val="24"/>
          <w:szCs w:val="24"/>
        </w:rPr>
        <w:t>9</w:t>
      </w:r>
      <w:r>
        <w:rPr>
          <w:rFonts w:ascii="黑体" w:hAnsi="黑体" w:eastAsia="黑体" w:cs="黑体"/>
          <w:spacing w:val="33"/>
          <w:sz w:val="24"/>
          <w:szCs w:val="24"/>
        </w:rPr>
        <w:t xml:space="preserve">  </w:t>
      </w:r>
      <w:r>
        <w:rPr>
          <w:rFonts w:ascii="黑体" w:hAnsi="黑体" w:eastAsia="黑体" w:cs="黑体"/>
          <w:b/>
          <w:bCs/>
          <w:spacing w:val="25"/>
          <w:sz w:val="24"/>
          <w:szCs w:val="24"/>
        </w:rPr>
        <w:t>可靠性预计过程</w:t>
      </w:r>
    </w:p>
    <w:p w14:paraId="24A789B5">
      <w:pPr>
        <w:pStyle w:val="2"/>
        <w:spacing w:before="136" w:line="219" w:lineRule="auto"/>
        <w:ind w:left="560"/>
      </w:pPr>
      <w:r>
        <w:rPr>
          <w:spacing w:val="-3"/>
        </w:rPr>
        <w:t>分别说明产品基本可靠性、任务可靠性预计过程。</w:t>
      </w:r>
    </w:p>
    <w:p w14:paraId="169E9F48">
      <w:pPr>
        <w:spacing w:before="106" w:line="222" w:lineRule="auto"/>
        <w:rPr>
          <w:rFonts w:ascii="黑体" w:hAnsi="黑体" w:eastAsia="黑体" w:cs="黑体"/>
          <w:sz w:val="27"/>
          <w:szCs w:val="27"/>
        </w:rPr>
      </w:pPr>
      <w:r>
        <w:rPr>
          <w:rFonts w:ascii="黑体" w:hAnsi="黑体" w:eastAsia="黑体" w:cs="黑体"/>
          <w:spacing w:val="-4"/>
          <w:sz w:val="27"/>
          <w:szCs w:val="27"/>
        </w:rPr>
        <w:t>10</w:t>
      </w:r>
      <w:r>
        <w:rPr>
          <w:rFonts w:ascii="黑体" w:hAnsi="黑体" w:eastAsia="黑体" w:cs="黑体"/>
          <w:spacing w:val="26"/>
          <w:sz w:val="27"/>
          <w:szCs w:val="27"/>
        </w:rPr>
        <w:t xml:space="preserve">  </w:t>
      </w:r>
      <w:r>
        <w:rPr>
          <w:rFonts w:ascii="黑体" w:hAnsi="黑体" w:eastAsia="黑体" w:cs="黑体"/>
          <w:b/>
          <w:bCs/>
          <w:spacing w:val="-4"/>
          <w:sz w:val="27"/>
          <w:szCs w:val="27"/>
        </w:rPr>
        <w:t>预计结果</w:t>
      </w:r>
    </w:p>
    <w:p w14:paraId="51760342">
      <w:pPr>
        <w:pStyle w:val="2"/>
        <w:spacing w:before="112" w:line="279" w:lineRule="auto"/>
        <w:ind w:firstLine="560"/>
        <w:jc w:val="both"/>
      </w:pPr>
      <w:r>
        <w:rPr>
          <w:spacing w:val="6"/>
        </w:rPr>
        <w:t>给出产品可靠性预计结果。以方案对比为目</w:t>
      </w:r>
      <w:r>
        <w:rPr>
          <w:spacing w:val="5"/>
        </w:rPr>
        <w:t>的的可靠性预计要对比多个方</w:t>
      </w:r>
      <w:r>
        <w:t xml:space="preserve"> </w:t>
      </w:r>
      <w:r>
        <w:rPr>
          <w:spacing w:val="-3"/>
        </w:rPr>
        <w:t>案的可靠性预计值，选出可靠性最优的方案；以评价产品可靠性水平为目的的可</w:t>
      </w:r>
      <w:r>
        <w:rPr>
          <w:spacing w:val="15"/>
        </w:rPr>
        <w:t xml:space="preserve"> </w:t>
      </w:r>
      <w:r>
        <w:rPr>
          <w:spacing w:val="5"/>
        </w:rPr>
        <w:t>靠性预计要判断预计值是否达到了产品成熟期的可靠性规定值。其中，基本可</w:t>
      </w:r>
      <w:r>
        <w:rPr>
          <w:spacing w:val="10"/>
        </w:rPr>
        <w:t xml:space="preserve"> </w:t>
      </w:r>
      <w:r>
        <w:rPr>
          <w:spacing w:val="9"/>
        </w:rPr>
        <w:t>靠性预计结果一般应达到规定值或目标值的1.2倍以上。如果产品的组成部分</w:t>
      </w:r>
      <w:r>
        <w:t xml:space="preserve"> </w:t>
      </w:r>
      <w:r>
        <w:rPr>
          <w:spacing w:val="-3"/>
        </w:rPr>
        <w:t>有可靠性分配值，则应列出这些组成部分的可靠性预计结果，并与其可靠性分配</w:t>
      </w:r>
      <w:r>
        <w:rPr>
          <w:spacing w:val="15"/>
        </w:rPr>
        <w:t xml:space="preserve"> </w:t>
      </w:r>
      <w:r>
        <w:rPr>
          <w:spacing w:val="1"/>
        </w:rPr>
        <w:t>值比较，以评价产品各组成部分是否达到了可靠性分</w:t>
      </w:r>
      <w:r>
        <w:t>配所确定的要求。</w:t>
      </w:r>
    </w:p>
    <w:p w14:paraId="33A53F66">
      <w:pPr>
        <w:spacing w:before="34" w:line="221" w:lineRule="auto"/>
        <w:rPr>
          <w:rFonts w:ascii="黑体" w:hAnsi="黑体" w:eastAsia="黑体" w:cs="黑体"/>
          <w:sz w:val="27"/>
          <w:szCs w:val="27"/>
        </w:rPr>
      </w:pPr>
      <w:r>
        <w:rPr>
          <w:rFonts w:ascii="黑体" w:hAnsi="黑体" w:eastAsia="黑体" w:cs="黑体"/>
          <w:spacing w:val="-1"/>
          <w:sz w:val="27"/>
          <w:szCs w:val="27"/>
        </w:rPr>
        <w:t>11</w:t>
      </w:r>
      <w:r>
        <w:rPr>
          <w:rFonts w:ascii="黑体" w:hAnsi="黑体" w:eastAsia="黑体" w:cs="黑体"/>
          <w:spacing w:val="25"/>
          <w:sz w:val="27"/>
          <w:szCs w:val="27"/>
        </w:rPr>
        <w:t xml:space="preserve">  </w:t>
      </w:r>
      <w:r>
        <w:rPr>
          <w:rFonts w:ascii="黑体" w:hAnsi="黑体" w:eastAsia="黑体" w:cs="黑体"/>
          <w:b/>
          <w:bCs/>
          <w:spacing w:val="-1"/>
          <w:sz w:val="27"/>
          <w:szCs w:val="27"/>
        </w:rPr>
        <w:t>薄弱环节分析及结论</w:t>
      </w:r>
    </w:p>
    <w:p w14:paraId="62511B16">
      <w:pPr>
        <w:pStyle w:val="2"/>
        <w:spacing w:before="112" w:line="219" w:lineRule="auto"/>
        <w:ind w:left="560"/>
      </w:pPr>
      <w:r>
        <w:rPr>
          <w:spacing w:val="-1"/>
        </w:rPr>
        <w:t>依据预计结果，分析产品可靠性设计中存在的薄弱环节。</w:t>
      </w:r>
    </w:p>
    <w:p w14:paraId="4C7DF751">
      <w:pPr>
        <w:spacing w:before="106" w:line="222" w:lineRule="auto"/>
        <w:rPr>
          <w:rFonts w:ascii="黑体" w:hAnsi="黑体" w:eastAsia="黑体" w:cs="黑体"/>
          <w:sz w:val="27"/>
          <w:szCs w:val="27"/>
        </w:rPr>
      </w:pPr>
      <w:r>
        <w:rPr>
          <w:rFonts w:ascii="黑体" w:hAnsi="黑体" w:eastAsia="黑体" w:cs="黑体"/>
          <w:spacing w:val="-1"/>
          <w:sz w:val="27"/>
          <w:szCs w:val="27"/>
        </w:rPr>
        <w:t>12</w:t>
      </w:r>
      <w:r>
        <w:rPr>
          <w:rFonts w:ascii="黑体" w:hAnsi="黑体" w:eastAsia="黑体" w:cs="黑体"/>
          <w:spacing w:val="17"/>
          <w:sz w:val="27"/>
          <w:szCs w:val="27"/>
        </w:rPr>
        <w:t xml:space="preserve">  </w:t>
      </w:r>
      <w:r>
        <w:rPr>
          <w:rFonts w:ascii="黑体" w:hAnsi="黑体" w:eastAsia="黑体" w:cs="黑体"/>
          <w:b/>
          <w:bCs/>
          <w:spacing w:val="-1"/>
          <w:sz w:val="27"/>
          <w:szCs w:val="27"/>
        </w:rPr>
        <w:t>改进措施与建议</w:t>
      </w:r>
    </w:p>
    <w:p w14:paraId="3978A684">
      <w:pPr>
        <w:pStyle w:val="2"/>
        <w:spacing w:before="121" w:line="219" w:lineRule="auto"/>
        <w:ind w:left="560"/>
      </w:pPr>
      <w:r>
        <w:t>针对发现产品可靠性设计中的薄弱环节，提出相应的改进措施与建议。</w:t>
      </w:r>
    </w:p>
    <w:p w14:paraId="053F75AA">
      <w:pPr>
        <w:spacing w:line="398" w:lineRule="auto"/>
        <w:rPr>
          <w:rFonts w:ascii="Arial"/>
          <w:sz w:val="21"/>
        </w:rPr>
      </w:pPr>
    </w:p>
    <w:p w14:paraId="52251603">
      <w:pPr>
        <w:pStyle w:val="2"/>
        <w:spacing w:before="117" w:line="219" w:lineRule="auto"/>
        <w:ind w:left="1989"/>
        <w:outlineLvl w:val="1"/>
        <w:rPr>
          <w:sz w:val="36"/>
          <w:szCs w:val="36"/>
        </w:rPr>
      </w:pPr>
      <w:r>
        <w:rPr>
          <w:rFonts w:ascii="Times New Roman" w:hAnsi="Times New Roman" w:eastAsia="Times New Roman" w:cs="Times New Roman"/>
          <w:b/>
          <w:bCs/>
          <w:spacing w:val="-6"/>
          <w:sz w:val="36"/>
          <w:szCs w:val="36"/>
        </w:rPr>
        <w:t xml:space="preserve">7.8     </w:t>
      </w:r>
      <w:r>
        <w:rPr>
          <w:b/>
          <w:bCs/>
          <w:spacing w:val="-6"/>
          <w:sz w:val="36"/>
          <w:szCs w:val="36"/>
        </w:rPr>
        <w:t>故障模式、影响及危害性分析</w:t>
      </w:r>
    </w:p>
    <w:p w14:paraId="36A14F30">
      <w:pPr>
        <w:spacing w:line="425" w:lineRule="auto"/>
        <w:rPr>
          <w:rFonts w:ascii="Arial"/>
          <w:sz w:val="21"/>
        </w:rPr>
      </w:pPr>
    </w:p>
    <w:p w14:paraId="7A3FCCEB">
      <w:pPr>
        <w:pStyle w:val="2"/>
        <w:spacing w:before="89" w:line="258" w:lineRule="auto"/>
        <w:ind w:right="10" w:firstLine="560"/>
        <w:rPr>
          <w:rFonts w:ascii="楷体" w:hAnsi="楷体" w:eastAsia="楷体" w:cs="楷体"/>
        </w:rPr>
      </w:pPr>
      <w:r>
        <w:rPr>
          <w:rFonts w:ascii="楷体" w:hAnsi="楷体" w:eastAsia="楷体" w:cs="楷体"/>
          <w:spacing w:val="-3"/>
        </w:rPr>
        <w:t>按照</w:t>
      </w:r>
      <w:r>
        <w:rPr>
          <w:rFonts w:ascii="Times New Roman" w:hAnsi="Times New Roman" w:eastAsia="Times New Roman" w:cs="Times New Roman"/>
          <w:spacing w:val="-3"/>
        </w:rPr>
        <w:t>GJB/Z1391—2006</w:t>
      </w:r>
      <w:r>
        <w:rPr>
          <w:spacing w:val="-3"/>
        </w:rPr>
        <w:t xml:space="preserve">《 </w:t>
      </w:r>
      <w:r>
        <w:rPr>
          <w:rFonts w:ascii="楷体" w:hAnsi="楷体" w:eastAsia="楷体" w:cs="楷体"/>
          <w:spacing w:val="-3"/>
        </w:rPr>
        <w:t>故障模式、影响及危害性分析指南》,</w:t>
      </w:r>
      <w:r>
        <w:rPr>
          <w:rFonts w:ascii="Times New Roman" w:hAnsi="Times New Roman" w:eastAsia="Times New Roman" w:cs="Times New Roman"/>
          <w:spacing w:val="-3"/>
        </w:rPr>
        <w:t>GJB/Z   23—</w:t>
      </w:r>
      <w:r>
        <w:rPr>
          <w:rFonts w:ascii="Times New Roman" w:hAnsi="Times New Roman" w:eastAsia="Times New Roman" w:cs="Times New Roman"/>
          <w:spacing w:val="14"/>
        </w:rPr>
        <w:t xml:space="preserve"> </w:t>
      </w:r>
      <w:r>
        <w:rPr>
          <w:rFonts w:ascii="楷体" w:hAnsi="楷体" w:eastAsia="楷体" w:cs="楷体"/>
          <w:spacing w:val="-7"/>
        </w:rPr>
        <w:t>1991《可靠性和维修性工程报告编写一般要求》编写。</w:t>
      </w:r>
    </w:p>
    <w:p w14:paraId="18468EA2">
      <w:pPr>
        <w:spacing w:before="100"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3E9E73B1">
      <w:pPr>
        <w:spacing w:before="222" w:line="222" w:lineRule="auto"/>
        <w:rPr>
          <w:rFonts w:ascii="黑体" w:hAnsi="黑体" w:eastAsia="黑体" w:cs="黑体"/>
          <w:sz w:val="27"/>
          <w:szCs w:val="27"/>
        </w:rPr>
      </w:pPr>
      <w:r>
        <w:rPr>
          <w:rFonts w:ascii="Arial" w:hAnsi="Arial" w:eastAsia="Arial" w:cs="Arial"/>
          <w:b/>
          <w:bCs/>
          <w:spacing w:val="-3"/>
          <w:sz w:val="27"/>
          <w:szCs w:val="27"/>
        </w:rPr>
        <w:t>2</w:t>
      </w:r>
      <w:r>
        <w:rPr>
          <w:rFonts w:ascii="Arial" w:hAnsi="Arial" w:eastAsia="Arial" w:cs="Arial"/>
          <w:b/>
          <w:bCs/>
          <w:spacing w:val="18"/>
          <w:sz w:val="27"/>
          <w:szCs w:val="27"/>
        </w:rPr>
        <w:t xml:space="preserve">   </w:t>
      </w:r>
      <w:r>
        <w:rPr>
          <w:rFonts w:ascii="黑体" w:hAnsi="黑体" w:eastAsia="黑体" w:cs="黑体"/>
          <w:b/>
          <w:bCs/>
          <w:spacing w:val="-3"/>
          <w:sz w:val="27"/>
          <w:szCs w:val="27"/>
        </w:rPr>
        <w:t>引用文件</w:t>
      </w:r>
    </w:p>
    <w:p w14:paraId="38302611">
      <w:pPr>
        <w:spacing w:before="224" w:line="221" w:lineRule="auto"/>
        <w:rPr>
          <w:rFonts w:ascii="黑体" w:hAnsi="黑体" w:eastAsia="黑体" w:cs="黑体"/>
          <w:sz w:val="25"/>
          <w:szCs w:val="25"/>
        </w:rPr>
      </w:pPr>
      <w:r>
        <w:rPr>
          <w:rFonts w:ascii="黑体" w:hAnsi="黑体" w:eastAsia="黑体" w:cs="黑体"/>
          <w:spacing w:val="5"/>
          <w:sz w:val="25"/>
          <w:szCs w:val="25"/>
        </w:rPr>
        <w:t>3</w:t>
      </w:r>
      <w:r>
        <w:rPr>
          <w:rFonts w:ascii="黑体" w:hAnsi="黑体" w:eastAsia="黑体" w:cs="黑体"/>
          <w:spacing w:val="29"/>
          <w:sz w:val="25"/>
          <w:szCs w:val="25"/>
        </w:rPr>
        <w:t xml:space="preserve">  </w:t>
      </w:r>
      <w:r>
        <w:rPr>
          <w:rFonts w:ascii="黑体" w:hAnsi="黑体" w:eastAsia="黑体" w:cs="黑体"/>
          <w:b/>
          <w:bCs/>
          <w:spacing w:val="5"/>
          <w:sz w:val="25"/>
          <w:szCs w:val="25"/>
        </w:rPr>
        <w:t>概述</w:t>
      </w:r>
    </w:p>
    <w:p w14:paraId="2D47B79D">
      <w:pPr>
        <w:spacing w:before="184" w:line="223" w:lineRule="auto"/>
        <w:rPr>
          <w:rFonts w:ascii="黑体" w:hAnsi="黑体" w:eastAsia="黑体" w:cs="黑体"/>
          <w:sz w:val="27"/>
          <w:szCs w:val="27"/>
        </w:rPr>
      </w:pPr>
      <w:r>
        <w:rPr>
          <w:rFonts w:ascii="黑体" w:hAnsi="黑体" w:eastAsia="黑体" w:cs="黑体"/>
          <w:spacing w:val="-2"/>
          <w:sz w:val="27"/>
          <w:szCs w:val="27"/>
        </w:rPr>
        <w:t>3.1</w:t>
      </w:r>
      <w:r>
        <w:rPr>
          <w:rFonts w:ascii="黑体" w:hAnsi="黑体" w:eastAsia="黑体" w:cs="黑体"/>
          <w:spacing w:val="41"/>
          <w:sz w:val="27"/>
          <w:szCs w:val="27"/>
        </w:rPr>
        <w:t xml:space="preserve">  </w:t>
      </w:r>
      <w:r>
        <w:rPr>
          <w:rFonts w:ascii="黑体" w:hAnsi="黑体" w:eastAsia="黑体" w:cs="黑体"/>
          <w:b/>
          <w:bCs/>
          <w:spacing w:val="-2"/>
          <w:sz w:val="27"/>
          <w:szCs w:val="27"/>
        </w:rPr>
        <w:t>基本情况</w:t>
      </w:r>
    </w:p>
    <w:p w14:paraId="0579446F">
      <w:pPr>
        <w:pStyle w:val="2"/>
        <w:spacing w:before="68" w:line="288" w:lineRule="auto"/>
        <w:ind w:right="17" w:firstLine="560"/>
      </w:pPr>
      <w:r>
        <w:rPr>
          <w:spacing w:val="6"/>
        </w:rPr>
        <w:t>说明实施</w:t>
      </w:r>
      <w:r>
        <w:rPr>
          <w:rFonts w:ascii="Times New Roman" w:hAnsi="Times New Roman" w:eastAsia="Times New Roman" w:cs="Times New Roman"/>
        </w:rPr>
        <w:t>FMECA</w:t>
      </w:r>
      <w:r>
        <w:rPr>
          <w:rFonts w:ascii="Times New Roman" w:hAnsi="Times New Roman" w:eastAsia="Times New Roman" w:cs="Times New Roman"/>
          <w:spacing w:val="6"/>
        </w:rPr>
        <w:t xml:space="preserve">  </w:t>
      </w:r>
      <w:r>
        <w:rPr>
          <w:spacing w:val="6"/>
        </w:rPr>
        <w:t>的目的、产品所处的寿命周期阶段、分析任务</w:t>
      </w:r>
      <w:r>
        <w:rPr>
          <w:spacing w:val="5"/>
        </w:rPr>
        <w:t>的来源等</w:t>
      </w:r>
      <w:r>
        <w:t xml:space="preserve"> </w:t>
      </w:r>
      <w:r>
        <w:rPr>
          <w:spacing w:val="-5"/>
        </w:rPr>
        <w:t>基本情况。</w:t>
      </w:r>
    </w:p>
    <w:p w14:paraId="0EE1A79D">
      <w:pPr>
        <w:spacing w:line="288" w:lineRule="auto"/>
        <w:sectPr>
          <w:footerReference r:id="rId367" w:type="default"/>
          <w:pgSz w:w="11910" w:h="17130"/>
          <w:pgMar w:top="1456" w:right="839" w:bottom="1566" w:left="1690" w:header="0" w:footer="1377" w:gutter="0"/>
          <w:cols w:space="720" w:num="1"/>
        </w:sectPr>
      </w:pPr>
    </w:p>
    <w:p w14:paraId="49A77686">
      <w:pPr>
        <w:spacing w:before="54" w:line="222" w:lineRule="auto"/>
        <w:ind w:left="179"/>
        <w:rPr>
          <w:rFonts w:ascii="黑体" w:hAnsi="黑体" w:eastAsia="黑体" w:cs="黑体"/>
          <w:sz w:val="27"/>
          <w:szCs w:val="27"/>
        </w:rPr>
      </w:pPr>
      <w:r>
        <w:rPr>
          <w:rFonts w:ascii="黑体" w:hAnsi="黑体" w:eastAsia="黑体" w:cs="黑体"/>
          <w:spacing w:val="1"/>
          <w:sz w:val="27"/>
          <w:szCs w:val="27"/>
        </w:rPr>
        <w:t xml:space="preserve">3.2  </w:t>
      </w:r>
      <w:r>
        <w:rPr>
          <w:rFonts w:ascii="黑体" w:hAnsi="黑体" w:eastAsia="黑体" w:cs="黑体"/>
          <w:b/>
          <w:bCs/>
          <w:spacing w:val="1"/>
          <w:sz w:val="27"/>
          <w:szCs w:val="27"/>
        </w:rPr>
        <w:t>基本准则和假设</w:t>
      </w:r>
    </w:p>
    <w:p w14:paraId="2F5BA060">
      <w:pPr>
        <w:pStyle w:val="2"/>
        <w:spacing w:before="109" w:line="219" w:lineRule="auto"/>
        <w:ind w:left="749"/>
      </w:pPr>
      <w:r>
        <w:rPr>
          <w:spacing w:val="1"/>
        </w:rPr>
        <w:t>实施</w:t>
      </w:r>
      <w:r>
        <w:rPr>
          <w:rFonts w:ascii="Times New Roman" w:hAnsi="Times New Roman" w:eastAsia="Times New Roman" w:cs="Times New Roman"/>
        </w:rPr>
        <w:t>FMECA</w:t>
      </w:r>
      <w:r>
        <w:rPr>
          <w:rFonts w:ascii="Times New Roman" w:hAnsi="Times New Roman" w:eastAsia="Times New Roman" w:cs="Times New Roman"/>
          <w:spacing w:val="1"/>
        </w:rPr>
        <w:t xml:space="preserve">  </w:t>
      </w:r>
      <w:r>
        <w:rPr>
          <w:spacing w:val="1"/>
        </w:rPr>
        <w:t>的前提条件、基本准则和假设的有关</w:t>
      </w:r>
      <w:r>
        <w:t>说明。</w:t>
      </w:r>
    </w:p>
    <w:p w14:paraId="5C561C85">
      <w:pPr>
        <w:spacing w:before="64" w:line="221" w:lineRule="auto"/>
        <w:ind w:left="179"/>
        <w:rPr>
          <w:rFonts w:ascii="黑体" w:hAnsi="黑体" w:eastAsia="黑体" w:cs="黑体"/>
          <w:sz w:val="27"/>
          <w:szCs w:val="27"/>
        </w:rPr>
      </w:pPr>
      <w:r>
        <w:rPr>
          <w:rFonts w:ascii="黑体" w:hAnsi="黑体" w:eastAsia="黑体" w:cs="黑体"/>
          <w:sz w:val="27"/>
          <w:szCs w:val="27"/>
        </w:rPr>
        <w:t>3.3</w:t>
      </w:r>
      <w:r>
        <w:rPr>
          <w:rFonts w:ascii="黑体" w:hAnsi="黑体" w:eastAsia="黑体" w:cs="黑体"/>
          <w:spacing w:val="11"/>
          <w:sz w:val="27"/>
          <w:szCs w:val="27"/>
        </w:rPr>
        <w:t xml:space="preserve">  </w:t>
      </w:r>
      <w:r>
        <w:rPr>
          <w:rFonts w:ascii="黑体" w:hAnsi="黑体" w:eastAsia="黑体" w:cs="黑体"/>
          <w:b/>
          <w:bCs/>
          <w:sz w:val="27"/>
          <w:szCs w:val="27"/>
        </w:rPr>
        <w:t>分析方法</w:t>
      </w:r>
    </w:p>
    <w:p w14:paraId="46D5896B">
      <w:pPr>
        <w:pStyle w:val="2"/>
        <w:spacing w:before="73" w:line="286" w:lineRule="auto"/>
        <w:ind w:left="179" w:right="20" w:firstLine="570"/>
      </w:pPr>
      <w:r>
        <w:rPr>
          <w:spacing w:val="3"/>
        </w:rPr>
        <w:t>说明选用的</w:t>
      </w:r>
      <w:r>
        <w:rPr>
          <w:rFonts w:ascii="Times New Roman" w:hAnsi="Times New Roman" w:eastAsia="Times New Roman" w:cs="Times New Roman"/>
        </w:rPr>
        <w:t>FMECA</w:t>
      </w:r>
      <w:r>
        <w:rPr>
          <w:rFonts w:ascii="Times New Roman" w:hAnsi="Times New Roman" w:eastAsia="Times New Roman" w:cs="Times New Roman"/>
          <w:spacing w:val="79"/>
          <w:w w:val="101"/>
        </w:rPr>
        <w:t xml:space="preserve"> </w:t>
      </w:r>
      <w:r>
        <w:rPr>
          <w:spacing w:val="3"/>
        </w:rPr>
        <w:t>分析方法；说明</w:t>
      </w:r>
      <w:r>
        <w:rPr>
          <w:rFonts w:ascii="Times New Roman" w:hAnsi="Times New Roman" w:eastAsia="Times New Roman" w:cs="Times New Roman"/>
        </w:rPr>
        <w:t>FMEA</w:t>
      </w:r>
      <w:r>
        <w:rPr>
          <w:rFonts w:ascii="Times New Roman" w:hAnsi="Times New Roman" w:eastAsia="Times New Roman" w:cs="Times New Roman"/>
          <w:spacing w:val="-38"/>
        </w:rPr>
        <w:t xml:space="preserve"> </w:t>
      </w:r>
      <w:r>
        <w:rPr>
          <w:spacing w:val="3"/>
        </w:rPr>
        <w:t>、</w:t>
      </w:r>
      <w:r>
        <w:rPr>
          <w:rFonts w:ascii="Times New Roman" w:hAnsi="Times New Roman" w:eastAsia="Times New Roman" w:cs="Times New Roman"/>
        </w:rPr>
        <w:t>CA</w:t>
      </w:r>
      <w:r>
        <w:rPr>
          <w:rFonts w:ascii="Times New Roman" w:hAnsi="Times New Roman" w:eastAsia="Times New Roman" w:cs="Times New Roman"/>
          <w:spacing w:val="-28"/>
        </w:rPr>
        <w:t xml:space="preserve"> </w:t>
      </w:r>
      <w:r>
        <w:rPr>
          <w:spacing w:val="3"/>
        </w:rPr>
        <w:t>表的选用或剪裁；说明初</w:t>
      </w:r>
      <w:r>
        <w:t xml:space="preserve"> </w:t>
      </w:r>
      <w:r>
        <w:rPr>
          <w:spacing w:val="4"/>
        </w:rPr>
        <w:t>始约定层次及最低约定层次的选取原则。</w:t>
      </w:r>
    </w:p>
    <w:p w14:paraId="687A7F1A">
      <w:pPr>
        <w:spacing w:line="223" w:lineRule="auto"/>
        <w:ind w:left="179"/>
        <w:rPr>
          <w:rFonts w:ascii="黑体" w:hAnsi="黑体" w:eastAsia="黑体" w:cs="黑体"/>
          <w:sz w:val="27"/>
          <w:szCs w:val="27"/>
        </w:rPr>
      </w:pPr>
      <w:r>
        <w:rPr>
          <w:rFonts w:ascii="黑体" w:hAnsi="黑体" w:eastAsia="黑体" w:cs="黑体"/>
          <w:sz w:val="27"/>
          <w:szCs w:val="27"/>
        </w:rPr>
        <w:t>3.4</w:t>
      </w:r>
      <w:r>
        <w:rPr>
          <w:rFonts w:ascii="黑体" w:hAnsi="黑体" w:eastAsia="黑体" w:cs="黑体"/>
          <w:spacing w:val="10"/>
          <w:sz w:val="27"/>
          <w:szCs w:val="27"/>
        </w:rPr>
        <w:t xml:space="preserve">  </w:t>
      </w:r>
      <w:r>
        <w:rPr>
          <w:rFonts w:ascii="黑体" w:hAnsi="黑体" w:eastAsia="黑体" w:cs="黑体"/>
          <w:b/>
          <w:bCs/>
          <w:sz w:val="27"/>
          <w:szCs w:val="27"/>
        </w:rPr>
        <w:t>故障判据</w:t>
      </w:r>
    </w:p>
    <w:p w14:paraId="5DE3477E">
      <w:pPr>
        <w:pStyle w:val="2"/>
        <w:spacing w:before="77" w:line="219" w:lineRule="auto"/>
        <w:ind w:left="749"/>
      </w:pPr>
      <w:r>
        <w:rPr>
          <w:spacing w:val="-1"/>
        </w:rPr>
        <w:t>明确故障判据定义。</w:t>
      </w:r>
    </w:p>
    <w:p w14:paraId="27FEBE0B">
      <w:pPr>
        <w:pStyle w:val="2"/>
        <w:spacing w:before="41" w:line="272" w:lineRule="auto"/>
        <w:ind w:left="179" w:right="22" w:firstLine="570"/>
      </w:pPr>
      <w:r>
        <w:rPr>
          <w:rFonts w:ascii="Times New Roman" w:hAnsi="Times New Roman" w:eastAsia="Times New Roman" w:cs="Times New Roman"/>
          <w:spacing w:val="3"/>
        </w:rPr>
        <w:t>a)</w:t>
      </w:r>
      <w:r>
        <w:rPr>
          <w:rFonts w:ascii="Times New Roman" w:hAnsi="Times New Roman" w:eastAsia="Times New Roman" w:cs="Times New Roman"/>
          <w:spacing w:val="72"/>
        </w:rPr>
        <w:t xml:space="preserve"> </w:t>
      </w:r>
      <w:r>
        <w:rPr>
          <w:spacing w:val="3"/>
        </w:rPr>
        <w:t>故障判据的依据如下：1)产品在规定的条件下和规定时间内，不能完成</w:t>
      </w:r>
      <w:r>
        <w:t xml:space="preserve"> </w:t>
      </w:r>
      <w:r>
        <w:rPr>
          <w:spacing w:val="5"/>
        </w:rPr>
        <w:t>规定的功能；2)产品在规定的条件下和规定时间内，某些性能指标不能保</w:t>
      </w:r>
      <w:r>
        <w:rPr>
          <w:spacing w:val="4"/>
        </w:rPr>
        <w:t>持在</w:t>
      </w:r>
      <w:r>
        <w:t xml:space="preserve"> </w:t>
      </w:r>
      <w:r>
        <w:rPr>
          <w:spacing w:val="-3"/>
        </w:rPr>
        <w:t>规定的范围内；3)产品在规定的条件下和规定时间内，引起对人员、环境、能源</w:t>
      </w:r>
      <w:r>
        <w:rPr>
          <w:spacing w:val="8"/>
        </w:rPr>
        <w:t xml:space="preserve"> </w:t>
      </w:r>
      <w:r>
        <w:rPr>
          <w:spacing w:val="21"/>
        </w:rPr>
        <w:t>和物资等方面的影响超出了允许范围；4)技术协议或其他文件规定的故障</w:t>
      </w:r>
      <w:r>
        <w:rPr>
          <w:spacing w:val="17"/>
        </w:rPr>
        <w:t xml:space="preserve"> </w:t>
      </w:r>
      <w:r>
        <w:rPr>
          <w:spacing w:val="-12"/>
        </w:rPr>
        <w:t>判据。</w:t>
      </w:r>
    </w:p>
    <w:p w14:paraId="02DCC613">
      <w:pPr>
        <w:pStyle w:val="2"/>
        <w:spacing w:before="109" w:line="212" w:lineRule="auto"/>
        <w:ind w:left="749"/>
      </w:pPr>
      <w:r>
        <w:rPr>
          <w:rFonts w:ascii="Times New Roman" w:hAnsi="Times New Roman" w:eastAsia="Times New Roman" w:cs="Times New Roman"/>
          <w:spacing w:val="2"/>
        </w:rPr>
        <w:t>b)</w:t>
      </w:r>
      <w:r>
        <w:rPr>
          <w:rFonts w:ascii="Times New Roman" w:hAnsi="Times New Roman" w:eastAsia="Times New Roman" w:cs="Times New Roman"/>
          <w:spacing w:val="67"/>
        </w:rPr>
        <w:t xml:space="preserve"> </w:t>
      </w:r>
      <w:r>
        <w:rPr>
          <w:spacing w:val="2"/>
        </w:rPr>
        <w:t>定义故障判据的原则：</w:t>
      </w:r>
    </w:p>
    <w:p w14:paraId="0945C237">
      <w:pPr>
        <w:pStyle w:val="2"/>
        <w:spacing w:before="71" w:line="273" w:lineRule="auto"/>
        <w:ind w:left="179" w:right="18" w:firstLine="570"/>
      </w:pPr>
      <w:r>
        <w:rPr>
          <w:spacing w:val="6"/>
        </w:rPr>
        <w:t>故障判据是判别产品故障的界限。它一般是由承制方和订</w:t>
      </w:r>
      <w:r>
        <w:rPr>
          <w:spacing w:val="5"/>
        </w:rPr>
        <w:t>购方共同根据产</w:t>
      </w:r>
      <w:r>
        <w:t xml:space="preserve"> </w:t>
      </w:r>
      <w:r>
        <w:rPr>
          <w:spacing w:val="-7"/>
        </w:rPr>
        <w:t>品的功能、性能指标、使用环境等允许极限进行确定的。</w:t>
      </w:r>
    </w:p>
    <w:p w14:paraId="6BFCA015">
      <w:pPr>
        <w:pStyle w:val="2"/>
        <w:spacing w:line="212" w:lineRule="auto"/>
        <w:ind w:left="749"/>
      </w:pPr>
      <w:r>
        <w:rPr>
          <w:rFonts w:ascii="Times New Roman" w:hAnsi="Times New Roman" w:eastAsia="Times New Roman" w:cs="Times New Roman"/>
          <w:spacing w:val="3"/>
        </w:rPr>
        <w:t>c)</w:t>
      </w:r>
      <w:r>
        <w:rPr>
          <w:rFonts w:ascii="Times New Roman" w:hAnsi="Times New Roman" w:eastAsia="Times New Roman" w:cs="Times New Roman"/>
          <w:spacing w:val="54"/>
        </w:rPr>
        <w:t xml:space="preserve"> </w:t>
      </w:r>
      <w:r>
        <w:rPr>
          <w:spacing w:val="3"/>
        </w:rPr>
        <w:t>定义故障判据的注意事项：</w:t>
      </w:r>
    </w:p>
    <w:p w14:paraId="22A8DBF9">
      <w:pPr>
        <w:pStyle w:val="2"/>
        <w:spacing w:before="121" w:line="219" w:lineRule="auto"/>
        <w:ind w:right="14"/>
        <w:jc w:val="right"/>
      </w:pPr>
      <w:r>
        <w:rPr>
          <w:spacing w:val="5"/>
        </w:rPr>
        <w:t>应对产品的组成、功能及技术要求和进行</w:t>
      </w:r>
      <w:r>
        <w:rPr>
          <w:spacing w:val="-75"/>
        </w:rPr>
        <w:t xml:space="preserve"> </w:t>
      </w:r>
      <w:r>
        <w:rPr>
          <w:rFonts w:ascii="Times New Roman" w:hAnsi="Times New Roman" w:eastAsia="Times New Roman" w:cs="Times New Roman"/>
        </w:rPr>
        <w:t>FMECA</w:t>
      </w:r>
      <w:r>
        <w:rPr>
          <w:rFonts w:ascii="Times New Roman" w:hAnsi="Times New Roman" w:eastAsia="Times New Roman" w:cs="Times New Roman"/>
          <w:spacing w:val="5"/>
        </w:rPr>
        <w:t xml:space="preserve">  </w:t>
      </w:r>
      <w:r>
        <w:rPr>
          <w:spacing w:val="5"/>
        </w:rPr>
        <w:t>工作的目</w:t>
      </w:r>
      <w:r>
        <w:rPr>
          <w:spacing w:val="4"/>
        </w:rPr>
        <w:t>的等有清晰的</w:t>
      </w:r>
    </w:p>
    <w:p w14:paraId="56AA365D">
      <w:pPr>
        <w:pStyle w:val="2"/>
        <w:spacing w:before="99" w:line="258" w:lineRule="auto"/>
        <w:ind w:left="178" w:right="2" w:hanging="179"/>
        <w:rPr>
          <w:sz w:val="25"/>
          <w:szCs w:val="25"/>
        </w:rPr>
      </w:pPr>
      <w:r>
        <w:rPr>
          <w:spacing w:val="19"/>
          <w:sz w:val="25"/>
          <w:szCs w:val="25"/>
        </w:rPr>
        <w:t>·</w:t>
      </w:r>
      <w:r>
        <w:rPr>
          <w:spacing w:val="-89"/>
          <w:sz w:val="25"/>
          <w:szCs w:val="25"/>
        </w:rPr>
        <w:t xml:space="preserve"> </w:t>
      </w:r>
      <w:r>
        <w:rPr>
          <w:spacing w:val="19"/>
          <w:sz w:val="25"/>
          <w:szCs w:val="25"/>
        </w:rPr>
        <w:t>理解，进而针对特定产品准确地给出故障判据的具体内容(包含功能界</w:t>
      </w:r>
      <w:r>
        <w:rPr>
          <w:spacing w:val="18"/>
          <w:sz w:val="25"/>
          <w:szCs w:val="25"/>
        </w:rPr>
        <w:t>限和性能</w:t>
      </w:r>
      <w:r>
        <w:rPr>
          <w:sz w:val="25"/>
          <w:szCs w:val="25"/>
        </w:rPr>
        <w:t xml:space="preserve"> </w:t>
      </w:r>
      <w:r>
        <w:rPr>
          <w:spacing w:val="23"/>
          <w:sz w:val="25"/>
          <w:szCs w:val="25"/>
        </w:rPr>
        <w:t>界限等),以避免</w:t>
      </w:r>
      <w:r>
        <w:rPr>
          <w:rFonts w:ascii="Times New Roman" w:hAnsi="Times New Roman" w:eastAsia="Times New Roman" w:cs="Times New Roman"/>
          <w:sz w:val="25"/>
          <w:szCs w:val="25"/>
        </w:rPr>
        <w:t>FMECA</w:t>
      </w:r>
      <w:r>
        <w:rPr>
          <w:rFonts w:ascii="Times New Roman" w:hAnsi="Times New Roman" w:eastAsia="Times New Roman" w:cs="Times New Roman"/>
          <w:spacing w:val="23"/>
          <w:sz w:val="25"/>
          <w:szCs w:val="25"/>
        </w:rPr>
        <w:t xml:space="preserve">   </w:t>
      </w:r>
      <w:r>
        <w:rPr>
          <w:spacing w:val="23"/>
          <w:sz w:val="25"/>
          <w:szCs w:val="25"/>
        </w:rPr>
        <w:t>工作的随意性和模糊性。</w:t>
      </w:r>
    </w:p>
    <w:p w14:paraId="7C592A86">
      <w:pPr>
        <w:spacing w:before="105" w:line="221" w:lineRule="auto"/>
        <w:ind w:left="179"/>
        <w:rPr>
          <w:rFonts w:ascii="黑体" w:hAnsi="黑体" w:eastAsia="黑体" w:cs="黑体"/>
          <w:sz w:val="27"/>
          <w:szCs w:val="27"/>
        </w:rPr>
      </w:pPr>
      <w:r>
        <w:rPr>
          <w:rFonts w:ascii="黑体" w:hAnsi="黑体" w:eastAsia="黑体" w:cs="黑体"/>
          <w:spacing w:val="-1"/>
          <w:sz w:val="27"/>
          <w:szCs w:val="27"/>
        </w:rPr>
        <w:t>3.5</w:t>
      </w:r>
      <w:r>
        <w:rPr>
          <w:rFonts w:ascii="黑体" w:hAnsi="黑体" w:eastAsia="黑体" w:cs="黑体"/>
          <w:spacing w:val="36"/>
          <w:sz w:val="27"/>
          <w:szCs w:val="27"/>
        </w:rPr>
        <w:t xml:space="preserve">  </w:t>
      </w:r>
      <w:r>
        <w:rPr>
          <w:rFonts w:ascii="黑体" w:hAnsi="黑体" w:eastAsia="黑体" w:cs="黑体"/>
          <w:b/>
          <w:bCs/>
          <w:spacing w:val="-1"/>
          <w:sz w:val="27"/>
          <w:szCs w:val="27"/>
        </w:rPr>
        <w:t>其他有关解释和说明</w:t>
      </w:r>
    </w:p>
    <w:p w14:paraId="4D8F99A7">
      <w:pPr>
        <w:pStyle w:val="2"/>
        <w:spacing w:before="93" w:line="276" w:lineRule="auto"/>
        <w:ind w:left="179" w:right="24" w:firstLine="570"/>
      </w:pPr>
      <w:r>
        <w:rPr>
          <w:spacing w:val="1"/>
        </w:rPr>
        <w:t>解释和说明编码体系、严酷度定义、数据的来源和依据等(装备常用的严酷</w:t>
      </w:r>
      <w:r>
        <w:rPr>
          <w:spacing w:val="11"/>
        </w:rPr>
        <w:t xml:space="preserve"> </w:t>
      </w:r>
      <w:r>
        <w:rPr>
          <w:spacing w:val="8"/>
        </w:rPr>
        <w:t>度类别见表7.3)。</w:t>
      </w:r>
    </w:p>
    <w:p w14:paraId="7ECA03CF">
      <w:pPr>
        <w:spacing w:before="40" w:line="222" w:lineRule="auto"/>
        <w:ind w:left="3019"/>
        <w:rPr>
          <w:rFonts w:ascii="仿宋" w:hAnsi="仿宋" w:eastAsia="仿宋" w:cs="仿宋"/>
          <w:sz w:val="24"/>
          <w:szCs w:val="24"/>
        </w:rPr>
      </w:pPr>
      <w:r>
        <w:rPr>
          <w:rFonts w:ascii="仿宋" w:hAnsi="仿宋" w:eastAsia="仿宋" w:cs="仿宋"/>
          <w:spacing w:val="23"/>
          <w:sz w:val="24"/>
          <w:szCs w:val="24"/>
        </w:rPr>
        <w:t>表7</w:t>
      </w:r>
      <w:r>
        <w:rPr>
          <w:rFonts w:ascii="仿宋" w:hAnsi="仿宋" w:eastAsia="仿宋" w:cs="仿宋"/>
          <w:spacing w:val="-43"/>
          <w:sz w:val="24"/>
          <w:szCs w:val="24"/>
        </w:rPr>
        <w:t xml:space="preserve"> </w:t>
      </w:r>
      <w:r>
        <w:rPr>
          <w:rFonts w:ascii="仿宋" w:hAnsi="仿宋" w:eastAsia="仿宋" w:cs="仿宋"/>
          <w:spacing w:val="23"/>
          <w:sz w:val="24"/>
          <w:szCs w:val="24"/>
        </w:rPr>
        <w:t>.</w:t>
      </w:r>
      <w:r>
        <w:rPr>
          <w:rFonts w:ascii="仿宋" w:hAnsi="仿宋" w:eastAsia="仿宋" w:cs="仿宋"/>
          <w:spacing w:val="-55"/>
          <w:sz w:val="24"/>
          <w:szCs w:val="24"/>
        </w:rPr>
        <w:t xml:space="preserve"> </w:t>
      </w:r>
      <w:r>
        <w:rPr>
          <w:rFonts w:ascii="仿宋" w:hAnsi="仿宋" w:eastAsia="仿宋" w:cs="仿宋"/>
          <w:spacing w:val="23"/>
          <w:sz w:val="24"/>
          <w:szCs w:val="24"/>
        </w:rPr>
        <w:t>3  装备常用的严酷度类别</w:t>
      </w:r>
    </w:p>
    <w:p w14:paraId="4D509AD2">
      <w:pPr>
        <w:spacing w:line="108" w:lineRule="exact"/>
      </w:pPr>
    </w:p>
    <w:tbl>
      <w:tblPr>
        <w:tblStyle w:val="5"/>
        <w:tblW w:w="9359" w:type="dxa"/>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7686"/>
      </w:tblGrid>
      <w:tr w14:paraId="5B32D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673" w:type="dxa"/>
            <w:vAlign w:val="top"/>
          </w:tcPr>
          <w:p w14:paraId="613A4F68">
            <w:pPr>
              <w:spacing w:before="153" w:line="219" w:lineRule="auto"/>
              <w:ind w:left="305"/>
              <w:rPr>
                <w:rFonts w:ascii="宋体" w:hAnsi="宋体" w:eastAsia="宋体" w:cs="宋体"/>
                <w:sz w:val="21"/>
                <w:szCs w:val="21"/>
              </w:rPr>
            </w:pPr>
            <w:r>
              <w:rPr>
                <w:rFonts w:ascii="宋体" w:hAnsi="宋体" w:eastAsia="宋体" w:cs="宋体"/>
                <w:spacing w:val="3"/>
                <w:sz w:val="21"/>
                <w:szCs w:val="21"/>
              </w:rPr>
              <w:t>严酷度类别</w:t>
            </w:r>
          </w:p>
        </w:tc>
        <w:tc>
          <w:tcPr>
            <w:tcW w:w="7686" w:type="dxa"/>
            <w:vAlign w:val="top"/>
          </w:tcPr>
          <w:p w14:paraId="2D6680E1">
            <w:pPr>
              <w:spacing w:before="154" w:line="220" w:lineRule="auto"/>
              <w:ind w:left="3301"/>
              <w:rPr>
                <w:rFonts w:ascii="宋体" w:hAnsi="宋体" w:eastAsia="宋体" w:cs="宋体"/>
                <w:sz w:val="21"/>
                <w:szCs w:val="21"/>
              </w:rPr>
            </w:pPr>
            <w:r>
              <w:rPr>
                <w:rFonts w:ascii="宋体" w:hAnsi="宋体" w:eastAsia="宋体" w:cs="宋体"/>
                <w:spacing w:val="-2"/>
                <w:sz w:val="21"/>
                <w:szCs w:val="21"/>
              </w:rPr>
              <w:t>严酷度定义</w:t>
            </w:r>
          </w:p>
        </w:tc>
      </w:tr>
      <w:tr w14:paraId="08A2F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673" w:type="dxa"/>
            <w:vAlign w:val="top"/>
          </w:tcPr>
          <w:p w14:paraId="4EFAD453">
            <w:pPr>
              <w:spacing w:before="149" w:line="219" w:lineRule="auto"/>
              <w:ind w:left="244"/>
              <w:rPr>
                <w:rFonts w:ascii="宋体" w:hAnsi="宋体" w:eastAsia="宋体" w:cs="宋体"/>
                <w:sz w:val="21"/>
                <w:szCs w:val="21"/>
              </w:rPr>
            </w:pPr>
            <w:r>
              <w:rPr>
                <w:rFonts w:ascii="宋体" w:hAnsi="宋体" w:eastAsia="宋体" w:cs="宋体"/>
                <w:spacing w:val="7"/>
                <w:sz w:val="21"/>
                <w:szCs w:val="21"/>
              </w:rPr>
              <w:t>I类(灾难的)</w:t>
            </w:r>
          </w:p>
        </w:tc>
        <w:tc>
          <w:tcPr>
            <w:tcW w:w="7686" w:type="dxa"/>
            <w:vAlign w:val="top"/>
          </w:tcPr>
          <w:p w14:paraId="1C5D357E">
            <w:pPr>
              <w:spacing w:before="148" w:line="219" w:lineRule="auto"/>
              <w:ind w:left="81"/>
              <w:rPr>
                <w:rFonts w:ascii="宋体" w:hAnsi="宋体" w:eastAsia="宋体" w:cs="宋体"/>
                <w:sz w:val="21"/>
                <w:szCs w:val="21"/>
              </w:rPr>
            </w:pPr>
            <w:r>
              <w:rPr>
                <w:rFonts w:ascii="宋体" w:hAnsi="宋体" w:eastAsia="宋体" w:cs="宋体"/>
                <w:sz w:val="21"/>
                <w:szCs w:val="21"/>
              </w:rPr>
              <w:t>引起人员死亡或产品(如飞机、导弹、坦克及舰船等)毁坏及重大环境损害</w:t>
            </w:r>
          </w:p>
        </w:tc>
      </w:tr>
      <w:tr w14:paraId="2FB4B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7" w:hRule="atLeast"/>
        </w:trPr>
        <w:tc>
          <w:tcPr>
            <w:tcW w:w="1673" w:type="dxa"/>
            <w:vAlign w:val="top"/>
          </w:tcPr>
          <w:p w14:paraId="68B68C38">
            <w:pPr>
              <w:pStyle w:val="6"/>
              <w:spacing w:line="290" w:lineRule="auto"/>
            </w:pPr>
          </w:p>
          <w:p w14:paraId="3C4C0B0C">
            <w:pPr>
              <w:spacing w:before="68" w:line="219" w:lineRule="auto"/>
              <w:ind w:left="194"/>
              <w:rPr>
                <w:rFonts w:ascii="宋体" w:hAnsi="宋体" w:eastAsia="宋体" w:cs="宋体"/>
                <w:sz w:val="21"/>
                <w:szCs w:val="21"/>
              </w:rPr>
            </w:pPr>
            <w:r>
              <w:rPr>
                <w:rFonts w:ascii="宋体" w:hAnsi="宋体" w:eastAsia="宋体" w:cs="宋体"/>
                <w:spacing w:val="6"/>
                <w:sz w:val="21"/>
                <w:szCs w:val="21"/>
              </w:rPr>
              <w:t>Ⅱ类(致命的)</w:t>
            </w:r>
          </w:p>
        </w:tc>
        <w:tc>
          <w:tcPr>
            <w:tcW w:w="7686" w:type="dxa"/>
            <w:vAlign w:val="top"/>
          </w:tcPr>
          <w:p w14:paraId="1716C3E2">
            <w:pPr>
              <w:spacing w:before="190" w:line="311" w:lineRule="auto"/>
              <w:ind w:left="81" w:right="235"/>
              <w:rPr>
                <w:rFonts w:ascii="宋体" w:hAnsi="宋体" w:eastAsia="宋体" w:cs="宋体"/>
                <w:sz w:val="21"/>
                <w:szCs w:val="21"/>
              </w:rPr>
            </w:pPr>
            <w:r>
              <w:rPr>
                <w:rFonts w:ascii="宋体" w:hAnsi="宋体" w:eastAsia="宋体" w:cs="宋体"/>
                <w:sz w:val="21"/>
                <w:szCs w:val="21"/>
              </w:rPr>
              <w:t>引起人员严重伤害、或重大经济损失或导致任务失败、产品严重毁坏及严重环境</w:t>
            </w:r>
            <w:r>
              <w:rPr>
                <w:rFonts w:ascii="宋体" w:hAnsi="宋体" w:eastAsia="宋体" w:cs="宋体"/>
                <w:spacing w:val="7"/>
                <w:sz w:val="21"/>
                <w:szCs w:val="21"/>
              </w:rPr>
              <w:t xml:space="preserve"> </w:t>
            </w:r>
            <w:r>
              <w:rPr>
                <w:rFonts w:ascii="宋体" w:hAnsi="宋体" w:eastAsia="宋体" w:cs="宋体"/>
                <w:spacing w:val="6"/>
                <w:sz w:val="21"/>
                <w:szCs w:val="21"/>
              </w:rPr>
              <w:t>损害</w:t>
            </w:r>
          </w:p>
        </w:tc>
      </w:tr>
      <w:tr w14:paraId="3ABB9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trPr>
        <w:tc>
          <w:tcPr>
            <w:tcW w:w="1673" w:type="dxa"/>
            <w:vAlign w:val="top"/>
          </w:tcPr>
          <w:p w14:paraId="37E34440">
            <w:pPr>
              <w:pStyle w:val="6"/>
              <w:spacing w:line="283" w:lineRule="auto"/>
            </w:pPr>
          </w:p>
          <w:p w14:paraId="2EA476AC">
            <w:pPr>
              <w:spacing w:before="69" w:line="219" w:lineRule="auto"/>
              <w:ind w:left="194"/>
              <w:rPr>
                <w:rFonts w:ascii="宋体" w:hAnsi="宋体" w:eastAsia="宋体" w:cs="宋体"/>
                <w:sz w:val="21"/>
                <w:szCs w:val="21"/>
              </w:rPr>
            </w:pPr>
            <w:r>
              <w:rPr>
                <w:rFonts w:ascii="宋体" w:hAnsi="宋体" w:eastAsia="宋体" w:cs="宋体"/>
                <w:spacing w:val="6"/>
                <w:sz w:val="21"/>
                <w:szCs w:val="21"/>
              </w:rPr>
              <w:t>Ⅲ类(中等的)</w:t>
            </w:r>
          </w:p>
        </w:tc>
        <w:tc>
          <w:tcPr>
            <w:tcW w:w="7686" w:type="dxa"/>
            <w:vAlign w:val="top"/>
          </w:tcPr>
          <w:p w14:paraId="15F8F90B">
            <w:pPr>
              <w:spacing w:before="183" w:line="314" w:lineRule="auto"/>
              <w:ind w:left="81" w:firstLine="9"/>
              <w:rPr>
                <w:rFonts w:ascii="宋体" w:hAnsi="宋体" w:eastAsia="宋体" w:cs="宋体"/>
                <w:sz w:val="21"/>
                <w:szCs w:val="21"/>
              </w:rPr>
            </w:pPr>
            <w:r>
              <w:rPr>
                <w:rFonts w:ascii="宋体" w:hAnsi="宋体" w:eastAsia="宋体" w:cs="宋体"/>
                <w:spacing w:val="-5"/>
                <w:sz w:val="21"/>
                <w:szCs w:val="21"/>
              </w:rPr>
              <w:t>引起人员中等程度伤害、或中等程度的经济损失、或导致任务延误或降级、产品</w:t>
            </w:r>
            <w:r>
              <w:rPr>
                <w:rFonts w:ascii="宋体" w:hAnsi="宋体" w:eastAsia="宋体" w:cs="宋体"/>
                <w:spacing w:val="-6"/>
                <w:sz w:val="21"/>
                <w:szCs w:val="21"/>
              </w:rPr>
              <w:t>中等</w:t>
            </w:r>
            <w:r>
              <w:rPr>
                <w:rFonts w:ascii="宋体" w:hAnsi="宋体" w:eastAsia="宋体" w:cs="宋体"/>
                <w:sz w:val="21"/>
                <w:szCs w:val="21"/>
              </w:rPr>
              <w:t xml:space="preserve"> 程度损坏或中等程度的环境损害</w:t>
            </w:r>
          </w:p>
        </w:tc>
      </w:tr>
      <w:tr w14:paraId="20880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2" w:hRule="atLeast"/>
        </w:trPr>
        <w:tc>
          <w:tcPr>
            <w:tcW w:w="1673" w:type="dxa"/>
            <w:vAlign w:val="top"/>
          </w:tcPr>
          <w:p w14:paraId="1E85C289">
            <w:pPr>
              <w:pStyle w:val="6"/>
              <w:spacing w:line="295" w:lineRule="auto"/>
            </w:pPr>
          </w:p>
          <w:p w14:paraId="3FB142C6">
            <w:pPr>
              <w:spacing w:before="69" w:line="219" w:lineRule="auto"/>
              <w:ind w:left="305"/>
              <w:rPr>
                <w:rFonts w:ascii="宋体" w:hAnsi="宋体" w:eastAsia="宋体" w:cs="宋体"/>
                <w:sz w:val="21"/>
                <w:szCs w:val="21"/>
              </w:rPr>
            </w:pPr>
            <w:r>
              <w:rPr>
                <w:rFonts w:ascii="宋体" w:hAnsi="宋体" w:eastAsia="宋体" w:cs="宋体"/>
                <w:sz w:val="21"/>
                <w:szCs w:val="21"/>
              </w:rPr>
              <w:t>IV</w:t>
            </w:r>
            <w:r>
              <w:rPr>
                <w:rFonts w:ascii="宋体" w:hAnsi="宋体" w:eastAsia="宋体" w:cs="宋体"/>
                <w:spacing w:val="9"/>
                <w:sz w:val="21"/>
                <w:szCs w:val="21"/>
              </w:rPr>
              <w:t>(轻度的)</w:t>
            </w:r>
          </w:p>
        </w:tc>
        <w:tc>
          <w:tcPr>
            <w:tcW w:w="7686" w:type="dxa"/>
            <w:vAlign w:val="top"/>
          </w:tcPr>
          <w:p w14:paraId="071B2B9F">
            <w:pPr>
              <w:spacing w:before="185" w:line="310" w:lineRule="auto"/>
              <w:ind w:left="81" w:right="35" w:hanging="10"/>
              <w:rPr>
                <w:rFonts w:ascii="宋体" w:hAnsi="宋体" w:eastAsia="宋体" w:cs="宋体"/>
                <w:sz w:val="21"/>
                <w:szCs w:val="21"/>
              </w:rPr>
            </w:pPr>
            <w:r>
              <w:rPr>
                <w:rFonts w:ascii="宋体" w:hAnsi="宋体" w:eastAsia="宋体" w:cs="宋体"/>
                <w:sz w:val="21"/>
                <w:szCs w:val="21"/>
              </w:rPr>
              <w:t>不足以导致人员伤害、或轻度经济损失或产品轻度损坏及环境损害，但它会导致非</w:t>
            </w:r>
            <w:r>
              <w:rPr>
                <w:rFonts w:ascii="宋体" w:hAnsi="宋体" w:eastAsia="宋体" w:cs="宋体"/>
                <w:spacing w:val="7"/>
                <w:sz w:val="21"/>
                <w:szCs w:val="21"/>
              </w:rPr>
              <w:t xml:space="preserve"> </w:t>
            </w:r>
            <w:r>
              <w:rPr>
                <w:rFonts w:ascii="宋体" w:hAnsi="宋体" w:eastAsia="宋体" w:cs="宋体"/>
                <w:spacing w:val="-1"/>
                <w:sz w:val="21"/>
                <w:szCs w:val="21"/>
              </w:rPr>
              <w:t>计划性维护或修理</w:t>
            </w:r>
          </w:p>
        </w:tc>
      </w:tr>
    </w:tbl>
    <w:p w14:paraId="1B049B30">
      <w:pPr>
        <w:rPr>
          <w:rFonts w:ascii="Arial"/>
          <w:sz w:val="21"/>
        </w:rPr>
      </w:pPr>
    </w:p>
    <w:p w14:paraId="0DD7704B">
      <w:pPr>
        <w:rPr>
          <w:rFonts w:ascii="Arial" w:hAnsi="Arial" w:eastAsia="Arial" w:cs="Arial"/>
          <w:sz w:val="21"/>
          <w:szCs w:val="21"/>
        </w:rPr>
        <w:sectPr>
          <w:footerReference r:id="rId368" w:type="default"/>
          <w:pgSz w:w="11910" w:h="17130"/>
          <w:pgMar w:top="1441" w:right="1375" w:bottom="1680" w:left="940" w:header="0" w:footer="1472" w:gutter="0"/>
          <w:cols w:space="720" w:num="1"/>
        </w:sectPr>
      </w:pPr>
    </w:p>
    <w:p w14:paraId="29D819CD">
      <w:pPr>
        <w:spacing w:before="71" w:line="222"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11"/>
          <w:sz w:val="27"/>
          <w:szCs w:val="27"/>
        </w:rPr>
        <w:t xml:space="preserve">  </w:t>
      </w:r>
      <w:r>
        <w:rPr>
          <w:rFonts w:ascii="黑体" w:hAnsi="黑体" w:eastAsia="黑体" w:cs="黑体"/>
          <w:b/>
          <w:bCs/>
          <w:spacing w:val="-5"/>
          <w:sz w:val="27"/>
          <w:szCs w:val="27"/>
        </w:rPr>
        <w:t>功能原理</w:t>
      </w:r>
    </w:p>
    <w:p w14:paraId="7622DA9E">
      <w:pPr>
        <w:pStyle w:val="2"/>
        <w:spacing w:before="19" w:line="309" w:lineRule="auto"/>
        <w:ind w:right="57" w:firstLine="560"/>
      </w:pPr>
      <w:r>
        <w:rPr>
          <w:spacing w:val="-3"/>
        </w:rPr>
        <w:t>概要介绍产品的功能原理，并指明本次分析所涉及的系统、分系统及其相应</w:t>
      </w:r>
      <w:r>
        <w:t xml:space="preserve"> </w:t>
      </w:r>
      <w:r>
        <w:rPr>
          <w:spacing w:val="-7"/>
        </w:rPr>
        <w:t>的功能。</w:t>
      </w:r>
    </w:p>
    <w:p w14:paraId="48F668B9">
      <w:pPr>
        <w:spacing w:before="1" w:line="220" w:lineRule="auto"/>
        <w:outlineLvl w:val="3"/>
        <w:rPr>
          <w:rFonts w:ascii="黑体" w:hAnsi="黑体" w:eastAsia="黑体" w:cs="黑体"/>
          <w:sz w:val="27"/>
          <w:szCs w:val="27"/>
        </w:rPr>
      </w:pPr>
      <w:r>
        <w:rPr>
          <w:rFonts w:ascii="Arial" w:hAnsi="Arial" w:eastAsia="Arial" w:cs="Arial"/>
          <w:b/>
          <w:bCs/>
          <w:spacing w:val="-5"/>
          <w:sz w:val="27"/>
          <w:szCs w:val="27"/>
        </w:rPr>
        <w:t xml:space="preserve">5    </w:t>
      </w:r>
      <w:r>
        <w:rPr>
          <w:rFonts w:ascii="黑体" w:hAnsi="黑体" w:eastAsia="黑体" w:cs="黑体"/>
          <w:b/>
          <w:bCs/>
          <w:spacing w:val="-5"/>
          <w:sz w:val="27"/>
          <w:szCs w:val="27"/>
        </w:rPr>
        <w:t>系统定义</w:t>
      </w:r>
    </w:p>
    <w:p w14:paraId="7E5779BC">
      <w:pPr>
        <w:pStyle w:val="2"/>
        <w:spacing w:before="113" w:line="219" w:lineRule="auto"/>
        <w:ind w:left="560"/>
      </w:pPr>
      <w:r>
        <w:rPr>
          <w:spacing w:val="-2"/>
        </w:rPr>
        <w:t>产品的功能分析、绘制功能框图和任务可靠性</w:t>
      </w:r>
      <w:r>
        <w:rPr>
          <w:spacing w:val="-3"/>
        </w:rPr>
        <w:t>框图。</w:t>
      </w:r>
    </w:p>
    <w:p w14:paraId="595593AC">
      <w:pPr>
        <w:spacing w:before="103" w:line="221"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24"/>
          <w:sz w:val="27"/>
          <w:szCs w:val="27"/>
        </w:rPr>
        <w:t xml:space="preserve">  </w:t>
      </w:r>
      <w:r>
        <w:rPr>
          <w:rFonts w:ascii="黑体" w:hAnsi="黑体" w:eastAsia="黑体" w:cs="黑体"/>
          <w:b/>
          <w:bCs/>
          <w:sz w:val="27"/>
          <w:szCs w:val="27"/>
        </w:rPr>
        <w:t>表的格式及其填写说明</w:t>
      </w:r>
    </w:p>
    <w:p w14:paraId="16006534">
      <w:pPr>
        <w:pStyle w:val="2"/>
        <w:spacing w:before="113" w:line="276" w:lineRule="auto"/>
        <w:ind w:right="57" w:firstLine="560"/>
        <w:jc w:val="both"/>
      </w:pPr>
      <w:r>
        <w:rPr>
          <w:spacing w:val="2"/>
        </w:rPr>
        <w:t>根据表7.4的内容选用不同的</w:t>
      </w:r>
      <w:r>
        <w:rPr>
          <w:rFonts w:ascii="Times New Roman" w:hAnsi="Times New Roman" w:eastAsia="Times New Roman" w:cs="Times New Roman"/>
        </w:rPr>
        <w:t>FMECA</w:t>
      </w:r>
      <w:r>
        <w:rPr>
          <w:rFonts w:ascii="Times New Roman" w:hAnsi="Times New Roman" w:eastAsia="Times New Roman" w:cs="Times New Roman"/>
          <w:spacing w:val="67"/>
        </w:rPr>
        <w:t xml:space="preserve"> </w:t>
      </w:r>
      <w:r>
        <w:rPr>
          <w:spacing w:val="2"/>
        </w:rPr>
        <w:t>方法，对硬件</w:t>
      </w:r>
      <w:r>
        <w:rPr>
          <w:spacing w:val="1"/>
        </w:rPr>
        <w:t>设计的“故障模式及影</w:t>
      </w:r>
      <w:r>
        <w:t xml:space="preserve"> </w:t>
      </w:r>
      <w:r>
        <w:rPr>
          <w:spacing w:val="-4"/>
        </w:rPr>
        <w:t>响分析(</w:t>
      </w:r>
      <w:r>
        <w:rPr>
          <w:rFonts w:ascii="Times New Roman" w:hAnsi="Times New Roman" w:eastAsia="Times New Roman" w:cs="Times New Roman"/>
          <w:spacing w:val="-4"/>
        </w:rPr>
        <w:t>FMEA)</w:t>
      </w:r>
      <w:r>
        <w:rPr>
          <w:rFonts w:ascii="Times New Roman" w:hAnsi="Times New Roman" w:eastAsia="Times New Roman" w:cs="Times New Roman"/>
          <w:spacing w:val="63"/>
          <w:w w:val="101"/>
        </w:rPr>
        <w:t xml:space="preserve"> </w:t>
      </w:r>
      <w:r>
        <w:rPr>
          <w:spacing w:val="-4"/>
        </w:rPr>
        <w:t>表”、“危害性分析(</w:t>
      </w:r>
      <w:r>
        <w:rPr>
          <w:rFonts w:ascii="Times New Roman" w:hAnsi="Times New Roman" w:eastAsia="Times New Roman" w:cs="Times New Roman"/>
          <w:spacing w:val="-4"/>
        </w:rPr>
        <w:t>CA)</w:t>
      </w:r>
      <w:r>
        <w:rPr>
          <w:rFonts w:ascii="Times New Roman" w:hAnsi="Times New Roman" w:eastAsia="Times New Roman" w:cs="Times New Roman"/>
          <w:spacing w:val="37"/>
          <w:w w:val="101"/>
        </w:rPr>
        <w:t xml:space="preserve"> </w:t>
      </w:r>
      <w:r>
        <w:rPr>
          <w:spacing w:val="-4"/>
        </w:rPr>
        <w:t>表”分别选用表7.5、表7.6;对“过程</w:t>
      </w:r>
      <w:r>
        <w:t xml:space="preserve"> </w:t>
      </w:r>
      <w:r>
        <w:rPr>
          <w:rFonts w:ascii="Times New Roman" w:hAnsi="Times New Roman" w:eastAsia="Times New Roman" w:cs="Times New Roman"/>
          <w:spacing w:val="-2"/>
        </w:rPr>
        <w:t>FMECA</w:t>
      </w:r>
      <w:r>
        <w:rPr>
          <w:rFonts w:ascii="Times New Roman" w:hAnsi="Times New Roman" w:eastAsia="Times New Roman" w:cs="Times New Roman"/>
          <w:spacing w:val="68"/>
        </w:rPr>
        <w:t xml:space="preserve"> </w:t>
      </w:r>
      <w:r>
        <w:rPr>
          <w:spacing w:val="-2"/>
        </w:rPr>
        <w:t>表”选用表7.7。</w:t>
      </w:r>
    </w:p>
    <w:p w14:paraId="2BAAB15D">
      <w:pPr>
        <w:spacing w:before="112" w:line="219" w:lineRule="auto"/>
        <w:ind w:left="1579"/>
        <w:rPr>
          <w:rFonts w:ascii="仿宋" w:hAnsi="仿宋" w:eastAsia="仿宋" w:cs="仿宋"/>
          <w:sz w:val="24"/>
          <w:szCs w:val="24"/>
        </w:rPr>
      </w:pPr>
      <w:r>
        <w:rPr>
          <w:rFonts w:ascii="仿宋" w:hAnsi="仿宋" w:eastAsia="仿宋" w:cs="仿宋"/>
          <w:spacing w:val="20"/>
          <w:sz w:val="24"/>
          <w:szCs w:val="24"/>
        </w:rPr>
        <w:t>表7</w:t>
      </w:r>
      <w:r>
        <w:rPr>
          <w:rFonts w:ascii="仿宋" w:hAnsi="仿宋" w:eastAsia="仿宋" w:cs="仿宋"/>
          <w:spacing w:val="-52"/>
          <w:sz w:val="24"/>
          <w:szCs w:val="24"/>
        </w:rPr>
        <w:t xml:space="preserve"> </w:t>
      </w:r>
      <w:r>
        <w:rPr>
          <w:rFonts w:ascii="仿宋" w:hAnsi="仿宋" w:eastAsia="仿宋" w:cs="仿宋"/>
          <w:spacing w:val="20"/>
          <w:sz w:val="24"/>
          <w:szCs w:val="24"/>
        </w:rPr>
        <w:t>.</w:t>
      </w:r>
      <w:r>
        <w:rPr>
          <w:rFonts w:ascii="仿宋" w:hAnsi="仿宋" w:eastAsia="仿宋" w:cs="仿宋"/>
          <w:spacing w:val="-60"/>
          <w:sz w:val="24"/>
          <w:szCs w:val="24"/>
        </w:rPr>
        <w:t xml:space="preserve"> </w:t>
      </w:r>
      <w:r>
        <w:rPr>
          <w:rFonts w:ascii="仿宋" w:hAnsi="仿宋" w:eastAsia="仿宋" w:cs="仿宋"/>
          <w:spacing w:val="20"/>
          <w:sz w:val="24"/>
          <w:szCs w:val="24"/>
        </w:rPr>
        <w:t>4  在产品寿命周期各阶段选用的</w:t>
      </w:r>
      <w:r>
        <w:rPr>
          <w:rFonts w:ascii="仿宋" w:hAnsi="仿宋" w:eastAsia="仿宋" w:cs="仿宋"/>
          <w:spacing w:val="-64"/>
          <w:sz w:val="24"/>
          <w:szCs w:val="24"/>
        </w:rPr>
        <w:t xml:space="preserve"> </w:t>
      </w:r>
      <w:r>
        <w:rPr>
          <w:rFonts w:ascii="Times New Roman" w:hAnsi="Times New Roman" w:eastAsia="Times New Roman" w:cs="Times New Roman"/>
          <w:sz w:val="24"/>
          <w:szCs w:val="24"/>
        </w:rPr>
        <w:t>FMECA</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9"/>
          <w:sz w:val="24"/>
          <w:szCs w:val="24"/>
        </w:rPr>
        <w:t xml:space="preserve">  </w:t>
      </w:r>
      <w:r>
        <w:rPr>
          <w:rFonts w:ascii="仿宋" w:hAnsi="仿宋" w:eastAsia="仿宋" w:cs="仿宋"/>
          <w:spacing w:val="19"/>
          <w:sz w:val="24"/>
          <w:szCs w:val="24"/>
        </w:rPr>
        <w:t>方</w:t>
      </w:r>
      <w:r>
        <w:rPr>
          <w:rFonts w:ascii="仿宋" w:hAnsi="仿宋" w:eastAsia="仿宋" w:cs="仿宋"/>
          <w:spacing w:val="-19"/>
          <w:sz w:val="24"/>
          <w:szCs w:val="24"/>
        </w:rPr>
        <w:t xml:space="preserve"> </w:t>
      </w:r>
      <w:r>
        <w:rPr>
          <w:rFonts w:ascii="仿宋" w:hAnsi="仿宋" w:eastAsia="仿宋" w:cs="仿宋"/>
          <w:spacing w:val="19"/>
          <w:sz w:val="24"/>
          <w:szCs w:val="24"/>
        </w:rPr>
        <w:t>法</w:t>
      </w:r>
    </w:p>
    <w:p w14:paraId="685E721A">
      <w:pPr>
        <w:spacing w:line="185" w:lineRule="exact"/>
      </w:pPr>
    </w:p>
    <w:tbl>
      <w:tblPr>
        <w:tblStyle w:val="5"/>
        <w:tblW w:w="9363"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4"/>
        <w:gridCol w:w="1668"/>
        <w:gridCol w:w="2098"/>
        <w:gridCol w:w="1878"/>
        <w:gridCol w:w="3095"/>
      </w:tblGrid>
      <w:tr w14:paraId="1FEB2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624" w:type="dxa"/>
            <w:vAlign w:val="top"/>
          </w:tcPr>
          <w:p w14:paraId="78D1771E">
            <w:pPr>
              <w:pStyle w:val="6"/>
            </w:pPr>
          </w:p>
        </w:tc>
        <w:tc>
          <w:tcPr>
            <w:tcW w:w="1668" w:type="dxa"/>
            <w:vAlign w:val="top"/>
          </w:tcPr>
          <w:p w14:paraId="05403CCA">
            <w:pPr>
              <w:spacing w:before="144" w:line="220" w:lineRule="auto"/>
              <w:ind w:left="271"/>
              <w:rPr>
                <w:rFonts w:ascii="宋体" w:hAnsi="宋体" w:eastAsia="宋体" w:cs="宋体"/>
                <w:sz w:val="22"/>
                <w:szCs w:val="22"/>
              </w:rPr>
            </w:pPr>
            <w:r>
              <w:rPr>
                <w:rFonts w:ascii="宋体" w:hAnsi="宋体" w:eastAsia="宋体" w:cs="宋体"/>
                <w:spacing w:val="2"/>
                <w:sz w:val="22"/>
                <w:szCs w:val="22"/>
              </w:rPr>
              <w:t>论证与方案</w:t>
            </w:r>
          </w:p>
          <w:p w14:paraId="243E1AC6">
            <w:pPr>
              <w:spacing w:before="78" w:line="221" w:lineRule="auto"/>
              <w:ind w:left="600"/>
              <w:rPr>
                <w:rFonts w:ascii="宋体" w:hAnsi="宋体" w:eastAsia="宋体" w:cs="宋体"/>
                <w:sz w:val="22"/>
                <w:szCs w:val="22"/>
              </w:rPr>
            </w:pPr>
            <w:r>
              <w:rPr>
                <w:rFonts w:ascii="宋体" w:hAnsi="宋体" w:eastAsia="宋体" w:cs="宋体"/>
                <w:spacing w:val="4"/>
                <w:sz w:val="22"/>
                <w:szCs w:val="22"/>
              </w:rPr>
              <w:t>阶段</w:t>
            </w:r>
          </w:p>
        </w:tc>
        <w:tc>
          <w:tcPr>
            <w:tcW w:w="2098" w:type="dxa"/>
            <w:vAlign w:val="top"/>
          </w:tcPr>
          <w:p w14:paraId="322F2417">
            <w:pPr>
              <w:spacing w:before="154" w:line="220" w:lineRule="auto"/>
              <w:ind w:left="382"/>
              <w:rPr>
                <w:rFonts w:ascii="宋体" w:hAnsi="宋体" w:eastAsia="宋体" w:cs="宋体"/>
                <w:sz w:val="22"/>
                <w:szCs w:val="22"/>
              </w:rPr>
            </w:pPr>
            <w:r>
              <w:rPr>
                <w:rFonts w:ascii="宋体" w:hAnsi="宋体" w:eastAsia="宋体" w:cs="宋体"/>
                <w:spacing w:val="-2"/>
                <w:sz w:val="22"/>
                <w:szCs w:val="22"/>
              </w:rPr>
              <w:t>工程研制阶段</w:t>
            </w:r>
          </w:p>
          <w:p w14:paraId="42457DA6">
            <w:pPr>
              <w:spacing w:before="67" w:line="219" w:lineRule="auto"/>
              <w:ind w:left="382"/>
              <w:rPr>
                <w:rFonts w:ascii="宋体" w:hAnsi="宋体" w:eastAsia="宋体" w:cs="宋体"/>
                <w:sz w:val="22"/>
                <w:szCs w:val="22"/>
              </w:rPr>
            </w:pPr>
            <w:r>
              <w:rPr>
                <w:rFonts w:ascii="宋体" w:hAnsi="宋体" w:eastAsia="宋体" w:cs="宋体"/>
                <w:spacing w:val="6"/>
                <w:sz w:val="22"/>
                <w:szCs w:val="22"/>
              </w:rPr>
              <w:t>(含设计定型)</w:t>
            </w:r>
          </w:p>
        </w:tc>
        <w:tc>
          <w:tcPr>
            <w:tcW w:w="1878" w:type="dxa"/>
            <w:vAlign w:val="top"/>
          </w:tcPr>
          <w:p w14:paraId="3DE6FF58">
            <w:pPr>
              <w:pStyle w:val="6"/>
              <w:spacing w:line="241" w:lineRule="auto"/>
            </w:pPr>
          </w:p>
          <w:p w14:paraId="21F4834E">
            <w:pPr>
              <w:spacing w:before="71" w:line="219" w:lineRule="auto"/>
              <w:ind w:left="495"/>
              <w:rPr>
                <w:rFonts w:ascii="宋体" w:hAnsi="宋体" w:eastAsia="宋体" w:cs="宋体"/>
                <w:sz w:val="22"/>
                <w:szCs w:val="22"/>
              </w:rPr>
            </w:pPr>
            <w:r>
              <w:rPr>
                <w:rFonts w:ascii="宋体" w:hAnsi="宋体" w:eastAsia="宋体" w:cs="宋体"/>
                <w:spacing w:val="-2"/>
                <w:sz w:val="22"/>
                <w:szCs w:val="22"/>
              </w:rPr>
              <w:t>生产阶段</w:t>
            </w:r>
          </w:p>
        </w:tc>
        <w:tc>
          <w:tcPr>
            <w:tcW w:w="3095" w:type="dxa"/>
            <w:vAlign w:val="top"/>
          </w:tcPr>
          <w:p w14:paraId="7C7EA325">
            <w:pPr>
              <w:pStyle w:val="6"/>
              <w:spacing w:line="241" w:lineRule="auto"/>
            </w:pPr>
          </w:p>
          <w:p w14:paraId="410BDB2C">
            <w:pPr>
              <w:spacing w:before="71" w:line="219" w:lineRule="auto"/>
              <w:ind w:left="1097"/>
              <w:rPr>
                <w:rFonts w:ascii="宋体" w:hAnsi="宋体" w:eastAsia="宋体" w:cs="宋体"/>
                <w:sz w:val="22"/>
                <w:szCs w:val="22"/>
              </w:rPr>
            </w:pPr>
            <w:r>
              <w:rPr>
                <w:rFonts w:ascii="宋体" w:hAnsi="宋体" w:eastAsia="宋体" w:cs="宋体"/>
                <w:spacing w:val="-2"/>
                <w:sz w:val="22"/>
                <w:szCs w:val="22"/>
              </w:rPr>
              <w:t>使用阶段</w:t>
            </w:r>
          </w:p>
        </w:tc>
      </w:tr>
      <w:tr w14:paraId="3DB03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66" w:hRule="atLeast"/>
        </w:trPr>
        <w:tc>
          <w:tcPr>
            <w:tcW w:w="624" w:type="dxa"/>
            <w:vAlign w:val="top"/>
          </w:tcPr>
          <w:p w14:paraId="3012A1DD">
            <w:pPr>
              <w:pStyle w:val="6"/>
              <w:spacing w:line="284" w:lineRule="auto"/>
            </w:pPr>
          </w:p>
          <w:p w14:paraId="6758ACD8">
            <w:pPr>
              <w:pStyle w:val="6"/>
              <w:spacing w:line="285" w:lineRule="auto"/>
            </w:pPr>
          </w:p>
          <w:p w14:paraId="086C152E">
            <w:pPr>
              <w:pStyle w:val="6"/>
              <w:spacing w:line="285" w:lineRule="auto"/>
            </w:pPr>
          </w:p>
          <w:p w14:paraId="36917E68">
            <w:pPr>
              <w:spacing w:before="72" w:line="221" w:lineRule="auto"/>
              <w:ind w:left="85"/>
              <w:rPr>
                <w:rFonts w:ascii="宋体" w:hAnsi="宋体" w:eastAsia="宋体" w:cs="宋体"/>
                <w:sz w:val="22"/>
                <w:szCs w:val="22"/>
              </w:rPr>
            </w:pPr>
            <w:r>
              <w:rPr>
                <w:rFonts w:ascii="宋体" w:hAnsi="宋体" w:eastAsia="宋体" w:cs="宋体"/>
                <w:spacing w:val="-3"/>
                <w:sz w:val="22"/>
                <w:szCs w:val="22"/>
              </w:rPr>
              <w:t>方法</w:t>
            </w:r>
          </w:p>
        </w:tc>
        <w:tc>
          <w:tcPr>
            <w:tcW w:w="1668" w:type="dxa"/>
            <w:vAlign w:val="top"/>
          </w:tcPr>
          <w:p w14:paraId="5560A0DC">
            <w:pPr>
              <w:spacing w:before="91" w:line="221" w:lineRule="auto"/>
              <w:ind w:left="201"/>
              <w:rPr>
                <w:rFonts w:ascii="宋体" w:hAnsi="宋体" w:eastAsia="宋体" w:cs="宋体"/>
                <w:sz w:val="22"/>
                <w:szCs w:val="22"/>
              </w:rPr>
            </w:pPr>
            <w:r>
              <w:rPr>
                <w:rFonts w:ascii="宋体" w:hAnsi="宋体" w:eastAsia="宋体" w:cs="宋体"/>
                <w:spacing w:val="29"/>
                <w:sz w:val="22"/>
                <w:szCs w:val="22"/>
              </w:rPr>
              <w:t>功能FM</w:t>
            </w:r>
            <w:r>
              <w:rPr>
                <w:rFonts w:ascii="宋体" w:hAnsi="宋体" w:eastAsia="宋体" w:cs="宋体"/>
                <w:spacing w:val="-60"/>
                <w:sz w:val="22"/>
                <w:szCs w:val="22"/>
              </w:rPr>
              <w:t xml:space="preserve"> </w:t>
            </w:r>
            <w:r>
              <w:rPr>
                <w:rFonts w:ascii="宋体" w:hAnsi="宋体" w:eastAsia="宋体" w:cs="宋体"/>
                <w:spacing w:val="29"/>
                <w:sz w:val="22"/>
                <w:szCs w:val="22"/>
              </w:rPr>
              <w:t>ECA</w:t>
            </w:r>
          </w:p>
        </w:tc>
        <w:tc>
          <w:tcPr>
            <w:tcW w:w="2098" w:type="dxa"/>
            <w:vAlign w:val="top"/>
          </w:tcPr>
          <w:p w14:paraId="4C73ECBA">
            <w:pPr>
              <w:spacing w:before="91" w:line="221" w:lineRule="auto"/>
              <w:ind w:left="382"/>
              <w:rPr>
                <w:rFonts w:ascii="宋体" w:hAnsi="宋体" w:eastAsia="宋体" w:cs="宋体"/>
                <w:sz w:val="22"/>
                <w:szCs w:val="22"/>
              </w:rPr>
            </w:pPr>
            <w:r>
              <w:rPr>
                <w:rFonts w:ascii="宋体" w:hAnsi="宋体" w:eastAsia="宋体" w:cs="宋体"/>
                <w:spacing w:val="27"/>
                <w:sz w:val="22"/>
                <w:szCs w:val="22"/>
              </w:rPr>
              <w:t>功能FM</w:t>
            </w:r>
            <w:r>
              <w:rPr>
                <w:rFonts w:ascii="宋体" w:hAnsi="宋体" w:eastAsia="宋体" w:cs="宋体"/>
                <w:spacing w:val="-61"/>
                <w:sz w:val="22"/>
                <w:szCs w:val="22"/>
              </w:rPr>
              <w:t xml:space="preserve"> </w:t>
            </w:r>
            <w:r>
              <w:rPr>
                <w:rFonts w:ascii="宋体" w:hAnsi="宋体" w:eastAsia="宋体" w:cs="宋体"/>
                <w:spacing w:val="27"/>
                <w:sz w:val="22"/>
                <w:szCs w:val="22"/>
              </w:rPr>
              <w:t>ECA;</w:t>
            </w:r>
          </w:p>
          <w:p w14:paraId="72E5D033">
            <w:pPr>
              <w:spacing w:before="75" w:line="219" w:lineRule="auto"/>
              <w:ind w:left="382"/>
              <w:rPr>
                <w:rFonts w:ascii="宋体" w:hAnsi="宋体" w:eastAsia="宋体" w:cs="宋体"/>
                <w:sz w:val="22"/>
                <w:szCs w:val="22"/>
              </w:rPr>
            </w:pPr>
            <w:r>
              <w:rPr>
                <w:rFonts w:ascii="宋体" w:hAnsi="宋体" w:eastAsia="宋体" w:cs="宋体"/>
                <w:spacing w:val="27"/>
                <w:sz w:val="22"/>
                <w:szCs w:val="22"/>
              </w:rPr>
              <w:t>硬件FM</w:t>
            </w:r>
            <w:r>
              <w:rPr>
                <w:rFonts w:ascii="宋体" w:hAnsi="宋体" w:eastAsia="宋体" w:cs="宋体"/>
                <w:spacing w:val="-61"/>
                <w:sz w:val="22"/>
                <w:szCs w:val="22"/>
              </w:rPr>
              <w:t xml:space="preserve"> </w:t>
            </w:r>
            <w:r>
              <w:rPr>
                <w:rFonts w:ascii="宋体" w:hAnsi="宋体" w:eastAsia="宋体" w:cs="宋体"/>
                <w:spacing w:val="27"/>
                <w:sz w:val="22"/>
                <w:szCs w:val="22"/>
              </w:rPr>
              <w:t>ECA;</w:t>
            </w:r>
          </w:p>
          <w:p w14:paraId="4007B746">
            <w:pPr>
              <w:spacing w:before="99" w:line="219" w:lineRule="auto"/>
              <w:ind w:left="382"/>
              <w:rPr>
                <w:rFonts w:ascii="宋体" w:hAnsi="宋体" w:eastAsia="宋体" w:cs="宋体"/>
                <w:sz w:val="22"/>
                <w:szCs w:val="22"/>
              </w:rPr>
            </w:pPr>
            <w:r>
              <w:rPr>
                <w:rFonts w:ascii="宋体" w:hAnsi="宋体" w:eastAsia="宋体" w:cs="宋体"/>
                <w:spacing w:val="27"/>
                <w:sz w:val="22"/>
                <w:szCs w:val="22"/>
              </w:rPr>
              <w:t>软件FM</w:t>
            </w:r>
            <w:r>
              <w:rPr>
                <w:rFonts w:ascii="宋体" w:hAnsi="宋体" w:eastAsia="宋体" w:cs="宋体"/>
                <w:spacing w:val="-61"/>
                <w:sz w:val="22"/>
                <w:szCs w:val="22"/>
              </w:rPr>
              <w:t xml:space="preserve"> </w:t>
            </w:r>
            <w:r>
              <w:rPr>
                <w:rFonts w:ascii="宋体" w:hAnsi="宋体" w:eastAsia="宋体" w:cs="宋体"/>
                <w:spacing w:val="27"/>
                <w:sz w:val="22"/>
                <w:szCs w:val="22"/>
              </w:rPr>
              <w:t>ECA;</w:t>
            </w:r>
          </w:p>
          <w:p w14:paraId="1474D0E1">
            <w:pPr>
              <w:spacing w:before="114" w:line="184" w:lineRule="auto"/>
              <w:ind w:left="713"/>
              <w:rPr>
                <w:rFonts w:ascii="宋体" w:hAnsi="宋体" w:eastAsia="宋体" w:cs="宋体"/>
                <w:sz w:val="22"/>
                <w:szCs w:val="22"/>
              </w:rPr>
            </w:pPr>
            <w:r>
              <w:rPr>
                <w:rFonts w:ascii="宋体" w:hAnsi="宋体" w:eastAsia="宋体" w:cs="宋体"/>
                <w:spacing w:val="-1"/>
                <w:sz w:val="22"/>
                <w:szCs w:val="22"/>
              </w:rPr>
              <w:t>DMECA;</w:t>
            </w:r>
          </w:p>
          <w:p w14:paraId="7B8CD9CD">
            <w:pPr>
              <w:spacing w:before="105" w:line="220" w:lineRule="auto"/>
              <w:ind w:left="423"/>
              <w:rPr>
                <w:rFonts w:ascii="宋体" w:hAnsi="宋体" w:eastAsia="宋体" w:cs="宋体"/>
                <w:sz w:val="22"/>
                <w:szCs w:val="22"/>
              </w:rPr>
            </w:pPr>
            <w:r>
              <w:rPr>
                <w:rFonts w:ascii="宋体" w:hAnsi="宋体" w:eastAsia="宋体" w:cs="宋体"/>
                <w:spacing w:val="29"/>
                <w:sz w:val="22"/>
                <w:szCs w:val="22"/>
              </w:rPr>
              <w:t>过程FM</w:t>
            </w:r>
            <w:r>
              <w:rPr>
                <w:rFonts w:ascii="宋体" w:hAnsi="宋体" w:eastAsia="宋体" w:cs="宋体"/>
                <w:spacing w:val="-60"/>
                <w:sz w:val="22"/>
                <w:szCs w:val="22"/>
              </w:rPr>
              <w:t xml:space="preserve"> </w:t>
            </w:r>
            <w:r>
              <w:rPr>
                <w:rFonts w:ascii="宋体" w:hAnsi="宋体" w:eastAsia="宋体" w:cs="宋体"/>
                <w:spacing w:val="29"/>
                <w:sz w:val="22"/>
                <w:szCs w:val="22"/>
              </w:rPr>
              <w:t>ECA</w:t>
            </w:r>
          </w:p>
        </w:tc>
        <w:tc>
          <w:tcPr>
            <w:tcW w:w="1878" w:type="dxa"/>
            <w:vAlign w:val="top"/>
          </w:tcPr>
          <w:p w14:paraId="4F9CF918">
            <w:pPr>
              <w:spacing w:before="110" w:line="220" w:lineRule="auto"/>
              <w:ind w:left="315"/>
              <w:rPr>
                <w:rFonts w:ascii="宋体" w:hAnsi="宋体" w:eastAsia="宋体" w:cs="宋体"/>
                <w:sz w:val="22"/>
                <w:szCs w:val="22"/>
              </w:rPr>
            </w:pPr>
            <w:r>
              <w:rPr>
                <w:rFonts w:ascii="宋体" w:hAnsi="宋体" w:eastAsia="宋体" w:cs="宋体"/>
                <w:spacing w:val="29"/>
                <w:sz w:val="22"/>
                <w:szCs w:val="22"/>
              </w:rPr>
              <w:t>过程FM</w:t>
            </w:r>
            <w:r>
              <w:rPr>
                <w:rFonts w:ascii="宋体" w:hAnsi="宋体" w:eastAsia="宋体" w:cs="宋体"/>
                <w:spacing w:val="-60"/>
                <w:sz w:val="22"/>
                <w:szCs w:val="22"/>
              </w:rPr>
              <w:t xml:space="preserve"> </w:t>
            </w:r>
            <w:r>
              <w:rPr>
                <w:rFonts w:ascii="宋体" w:hAnsi="宋体" w:eastAsia="宋体" w:cs="宋体"/>
                <w:spacing w:val="29"/>
                <w:sz w:val="22"/>
                <w:szCs w:val="22"/>
              </w:rPr>
              <w:t>ECA</w:t>
            </w:r>
          </w:p>
        </w:tc>
        <w:tc>
          <w:tcPr>
            <w:tcW w:w="3095" w:type="dxa"/>
            <w:vAlign w:val="top"/>
          </w:tcPr>
          <w:p w14:paraId="4BB5DE76">
            <w:pPr>
              <w:spacing w:before="90" w:line="219" w:lineRule="auto"/>
              <w:ind w:left="876"/>
              <w:rPr>
                <w:rFonts w:ascii="宋体" w:hAnsi="宋体" w:eastAsia="宋体" w:cs="宋体"/>
                <w:sz w:val="22"/>
                <w:szCs w:val="22"/>
              </w:rPr>
            </w:pPr>
            <w:r>
              <w:rPr>
                <w:rFonts w:ascii="宋体" w:hAnsi="宋体" w:eastAsia="宋体" w:cs="宋体"/>
                <w:spacing w:val="27"/>
                <w:sz w:val="22"/>
                <w:szCs w:val="22"/>
              </w:rPr>
              <w:t>硬件FM</w:t>
            </w:r>
            <w:r>
              <w:rPr>
                <w:rFonts w:ascii="宋体" w:hAnsi="宋体" w:eastAsia="宋体" w:cs="宋体"/>
                <w:spacing w:val="-61"/>
                <w:sz w:val="22"/>
                <w:szCs w:val="22"/>
              </w:rPr>
              <w:t xml:space="preserve"> </w:t>
            </w:r>
            <w:r>
              <w:rPr>
                <w:rFonts w:ascii="宋体" w:hAnsi="宋体" w:eastAsia="宋体" w:cs="宋体"/>
                <w:spacing w:val="27"/>
                <w:sz w:val="22"/>
                <w:szCs w:val="22"/>
              </w:rPr>
              <w:t>ECA;</w:t>
            </w:r>
          </w:p>
          <w:p w14:paraId="2861E4AB">
            <w:pPr>
              <w:spacing w:before="79" w:line="219" w:lineRule="auto"/>
              <w:ind w:left="876"/>
              <w:rPr>
                <w:rFonts w:ascii="宋体" w:hAnsi="宋体" w:eastAsia="宋体" w:cs="宋体"/>
                <w:sz w:val="22"/>
                <w:szCs w:val="22"/>
              </w:rPr>
            </w:pPr>
            <w:r>
              <w:rPr>
                <w:rFonts w:ascii="宋体" w:hAnsi="宋体" w:eastAsia="宋体" w:cs="宋体"/>
                <w:spacing w:val="27"/>
                <w:sz w:val="22"/>
                <w:szCs w:val="22"/>
              </w:rPr>
              <w:t>软件FM</w:t>
            </w:r>
            <w:r>
              <w:rPr>
                <w:rFonts w:ascii="宋体" w:hAnsi="宋体" w:eastAsia="宋体" w:cs="宋体"/>
                <w:spacing w:val="-61"/>
                <w:sz w:val="22"/>
                <w:szCs w:val="22"/>
              </w:rPr>
              <w:t xml:space="preserve"> </w:t>
            </w:r>
            <w:r>
              <w:rPr>
                <w:rFonts w:ascii="宋体" w:hAnsi="宋体" w:eastAsia="宋体" w:cs="宋体"/>
                <w:spacing w:val="27"/>
                <w:sz w:val="22"/>
                <w:szCs w:val="22"/>
              </w:rPr>
              <w:t>ECA;</w:t>
            </w:r>
          </w:p>
          <w:p w14:paraId="4B7660EB">
            <w:pPr>
              <w:spacing w:before="114" w:line="184" w:lineRule="auto"/>
              <w:ind w:left="1206"/>
              <w:rPr>
                <w:rFonts w:ascii="宋体" w:hAnsi="宋体" w:eastAsia="宋体" w:cs="宋体"/>
                <w:sz w:val="22"/>
                <w:szCs w:val="22"/>
              </w:rPr>
            </w:pPr>
            <w:r>
              <w:rPr>
                <w:rFonts w:ascii="宋体" w:hAnsi="宋体" w:eastAsia="宋体" w:cs="宋体"/>
                <w:spacing w:val="-1"/>
                <w:sz w:val="22"/>
                <w:szCs w:val="22"/>
              </w:rPr>
              <w:t>DMECA;</w:t>
            </w:r>
          </w:p>
          <w:p w14:paraId="23524920">
            <w:pPr>
              <w:spacing w:before="95" w:line="220" w:lineRule="auto"/>
              <w:ind w:left="916"/>
              <w:rPr>
                <w:rFonts w:ascii="宋体" w:hAnsi="宋体" w:eastAsia="宋体" w:cs="宋体"/>
                <w:sz w:val="22"/>
                <w:szCs w:val="22"/>
              </w:rPr>
            </w:pPr>
            <w:r>
              <w:rPr>
                <w:rFonts w:ascii="宋体" w:hAnsi="宋体" w:eastAsia="宋体" w:cs="宋体"/>
                <w:spacing w:val="29"/>
                <w:sz w:val="22"/>
                <w:szCs w:val="22"/>
              </w:rPr>
              <w:t>过程FM</w:t>
            </w:r>
            <w:r>
              <w:rPr>
                <w:rFonts w:ascii="宋体" w:hAnsi="宋体" w:eastAsia="宋体" w:cs="宋体"/>
                <w:spacing w:val="-60"/>
                <w:sz w:val="22"/>
                <w:szCs w:val="22"/>
              </w:rPr>
              <w:t xml:space="preserve"> </w:t>
            </w:r>
            <w:r>
              <w:rPr>
                <w:rFonts w:ascii="宋体" w:hAnsi="宋体" w:eastAsia="宋体" w:cs="宋体"/>
                <w:spacing w:val="29"/>
                <w:sz w:val="22"/>
                <w:szCs w:val="22"/>
              </w:rPr>
              <w:t>ECA</w:t>
            </w:r>
          </w:p>
        </w:tc>
      </w:tr>
      <w:tr w14:paraId="40AE6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0" w:hRule="atLeast"/>
        </w:trPr>
        <w:tc>
          <w:tcPr>
            <w:tcW w:w="624" w:type="dxa"/>
            <w:vAlign w:val="top"/>
          </w:tcPr>
          <w:p w14:paraId="33AF9C6F">
            <w:pPr>
              <w:pStyle w:val="6"/>
              <w:spacing w:line="241" w:lineRule="auto"/>
            </w:pPr>
          </w:p>
          <w:p w14:paraId="21C6BD64">
            <w:pPr>
              <w:pStyle w:val="6"/>
              <w:spacing w:line="241" w:lineRule="auto"/>
            </w:pPr>
          </w:p>
          <w:p w14:paraId="10EC520A">
            <w:pPr>
              <w:pStyle w:val="6"/>
              <w:spacing w:line="242" w:lineRule="auto"/>
            </w:pPr>
          </w:p>
          <w:p w14:paraId="5F4669F5">
            <w:pPr>
              <w:pStyle w:val="6"/>
              <w:spacing w:line="242" w:lineRule="auto"/>
            </w:pPr>
          </w:p>
          <w:p w14:paraId="0F4A8C06">
            <w:pPr>
              <w:pStyle w:val="6"/>
              <w:spacing w:line="242" w:lineRule="auto"/>
            </w:pPr>
          </w:p>
          <w:p w14:paraId="28F05864">
            <w:pPr>
              <w:spacing w:before="72" w:line="222" w:lineRule="auto"/>
              <w:ind w:left="85"/>
              <w:rPr>
                <w:rFonts w:ascii="宋体" w:hAnsi="宋体" w:eastAsia="宋体" w:cs="宋体"/>
                <w:sz w:val="22"/>
                <w:szCs w:val="22"/>
              </w:rPr>
            </w:pPr>
            <w:r>
              <w:rPr>
                <w:rFonts w:ascii="宋体" w:hAnsi="宋体" w:eastAsia="宋体" w:cs="宋体"/>
                <w:spacing w:val="-26"/>
                <w:sz w:val="22"/>
                <w:szCs w:val="22"/>
              </w:rPr>
              <w:t>目</w:t>
            </w:r>
            <w:r>
              <w:rPr>
                <w:rFonts w:ascii="宋体" w:hAnsi="宋体" w:eastAsia="宋体" w:cs="宋体"/>
                <w:spacing w:val="-16"/>
                <w:sz w:val="22"/>
                <w:szCs w:val="22"/>
              </w:rPr>
              <w:t xml:space="preserve"> </w:t>
            </w:r>
            <w:r>
              <w:rPr>
                <w:rFonts w:ascii="宋体" w:hAnsi="宋体" w:eastAsia="宋体" w:cs="宋体"/>
                <w:spacing w:val="-26"/>
                <w:sz w:val="22"/>
                <w:szCs w:val="22"/>
              </w:rPr>
              <w:t>的</w:t>
            </w:r>
          </w:p>
        </w:tc>
        <w:tc>
          <w:tcPr>
            <w:tcW w:w="1668" w:type="dxa"/>
            <w:vAlign w:val="top"/>
          </w:tcPr>
          <w:p w14:paraId="3EC94D1A">
            <w:pPr>
              <w:pStyle w:val="6"/>
              <w:spacing w:line="366" w:lineRule="auto"/>
            </w:pPr>
          </w:p>
          <w:p w14:paraId="2B5BC8EE">
            <w:pPr>
              <w:spacing w:before="71" w:line="288" w:lineRule="auto"/>
              <w:ind w:left="50" w:right="48"/>
              <w:jc w:val="both"/>
              <w:rPr>
                <w:rFonts w:ascii="宋体" w:hAnsi="宋体" w:eastAsia="宋体" w:cs="宋体"/>
                <w:sz w:val="22"/>
                <w:szCs w:val="22"/>
              </w:rPr>
            </w:pPr>
            <w:r>
              <w:rPr>
                <w:rFonts w:ascii="宋体" w:hAnsi="宋体" w:eastAsia="宋体" w:cs="宋体"/>
                <w:spacing w:val="2"/>
                <w:sz w:val="22"/>
                <w:szCs w:val="22"/>
              </w:rPr>
              <w:t>分析研究产品功</w:t>
            </w:r>
            <w:r>
              <w:rPr>
                <w:rFonts w:ascii="宋体" w:hAnsi="宋体" w:eastAsia="宋体" w:cs="宋体"/>
                <w:sz w:val="22"/>
                <w:szCs w:val="22"/>
              </w:rPr>
              <w:t xml:space="preserve"> </w:t>
            </w:r>
            <w:r>
              <w:rPr>
                <w:rFonts w:ascii="宋体" w:hAnsi="宋体" w:eastAsia="宋体" w:cs="宋体"/>
                <w:spacing w:val="2"/>
                <w:sz w:val="22"/>
                <w:szCs w:val="22"/>
              </w:rPr>
              <w:t>能设计的缺陷与</w:t>
            </w:r>
            <w:r>
              <w:rPr>
                <w:rFonts w:ascii="宋体" w:hAnsi="宋体" w:eastAsia="宋体" w:cs="宋体"/>
                <w:spacing w:val="3"/>
                <w:sz w:val="22"/>
                <w:szCs w:val="22"/>
              </w:rPr>
              <w:t xml:space="preserve"> </w:t>
            </w:r>
            <w:r>
              <w:rPr>
                <w:rFonts w:ascii="宋体" w:hAnsi="宋体" w:eastAsia="宋体" w:cs="宋体"/>
                <w:spacing w:val="1"/>
                <w:sz w:val="22"/>
                <w:szCs w:val="22"/>
              </w:rPr>
              <w:t>薄弱环节，为产</w:t>
            </w:r>
            <w:r>
              <w:rPr>
                <w:rFonts w:ascii="宋体" w:hAnsi="宋体" w:eastAsia="宋体" w:cs="宋体"/>
                <w:spacing w:val="5"/>
                <w:sz w:val="22"/>
                <w:szCs w:val="22"/>
              </w:rPr>
              <w:t xml:space="preserve"> </w:t>
            </w:r>
            <w:r>
              <w:rPr>
                <w:rFonts w:ascii="宋体" w:hAnsi="宋体" w:eastAsia="宋体" w:cs="宋体"/>
                <w:spacing w:val="1"/>
                <w:sz w:val="22"/>
                <w:szCs w:val="22"/>
              </w:rPr>
              <w:t xml:space="preserve">品功能设计的改 </w:t>
            </w:r>
            <w:r>
              <w:rPr>
                <w:rFonts w:ascii="宋体" w:hAnsi="宋体" w:eastAsia="宋体" w:cs="宋体"/>
                <w:spacing w:val="-1"/>
                <w:sz w:val="22"/>
                <w:szCs w:val="22"/>
              </w:rPr>
              <w:t>进和方案的权衡</w:t>
            </w:r>
            <w:r>
              <w:rPr>
                <w:rFonts w:ascii="宋体" w:hAnsi="宋体" w:eastAsia="宋体" w:cs="宋体"/>
                <w:sz w:val="22"/>
                <w:szCs w:val="22"/>
              </w:rPr>
              <w:t xml:space="preserve"> </w:t>
            </w:r>
            <w:r>
              <w:rPr>
                <w:rFonts w:ascii="宋体" w:hAnsi="宋体" w:eastAsia="宋体" w:cs="宋体"/>
                <w:spacing w:val="15"/>
                <w:sz w:val="22"/>
                <w:szCs w:val="22"/>
              </w:rPr>
              <w:t>提供依据</w:t>
            </w:r>
          </w:p>
        </w:tc>
        <w:tc>
          <w:tcPr>
            <w:tcW w:w="2098" w:type="dxa"/>
            <w:vAlign w:val="top"/>
          </w:tcPr>
          <w:p w14:paraId="0106D8BA">
            <w:pPr>
              <w:spacing w:before="273" w:line="290" w:lineRule="auto"/>
              <w:ind w:left="52"/>
              <w:jc w:val="both"/>
              <w:rPr>
                <w:rFonts w:ascii="宋体" w:hAnsi="宋体" w:eastAsia="宋体" w:cs="宋体"/>
                <w:sz w:val="22"/>
                <w:szCs w:val="22"/>
              </w:rPr>
            </w:pPr>
            <w:r>
              <w:rPr>
                <w:rFonts w:ascii="宋体" w:hAnsi="宋体" w:eastAsia="宋体" w:cs="宋体"/>
                <w:spacing w:val="6"/>
                <w:sz w:val="22"/>
                <w:szCs w:val="22"/>
              </w:rPr>
              <w:t>分析研究产品硬件、</w:t>
            </w:r>
            <w:r>
              <w:rPr>
                <w:rFonts w:ascii="宋体" w:hAnsi="宋体" w:eastAsia="宋体" w:cs="宋体"/>
                <w:sz w:val="22"/>
                <w:szCs w:val="22"/>
              </w:rPr>
              <w:t xml:space="preserve"> </w:t>
            </w:r>
            <w:r>
              <w:rPr>
                <w:rFonts w:ascii="宋体" w:hAnsi="宋体" w:eastAsia="宋体" w:cs="宋体"/>
                <w:spacing w:val="-7"/>
                <w:sz w:val="22"/>
                <w:szCs w:val="22"/>
              </w:rPr>
              <w:t>软件、过程和生存性</w:t>
            </w:r>
            <w:r>
              <w:rPr>
                <w:rFonts w:ascii="宋体" w:hAnsi="宋体" w:eastAsia="宋体" w:cs="宋体"/>
                <w:sz w:val="22"/>
                <w:szCs w:val="22"/>
              </w:rPr>
              <w:t xml:space="preserve">  </w:t>
            </w:r>
            <w:r>
              <w:rPr>
                <w:rFonts w:ascii="宋体" w:hAnsi="宋体" w:eastAsia="宋体" w:cs="宋体"/>
                <w:spacing w:val="-4"/>
                <w:sz w:val="22"/>
                <w:szCs w:val="22"/>
              </w:rPr>
              <w:t>与易损性设计的缺陷</w:t>
            </w:r>
            <w:r>
              <w:rPr>
                <w:rFonts w:ascii="宋体" w:hAnsi="宋体" w:eastAsia="宋体" w:cs="宋体"/>
                <w:sz w:val="22"/>
                <w:szCs w:val="22"/>
              </w:rPr>
              <w:t xml:space="preserve">  </w:t>
            </w:r>
            <w:r>
              <w:rPr>
                <w:rFonts w:ascii="宋体" w:hAnsi="宋体" w:eastAsia="宋体" w:cs="宋体"/>
                <w:spacing w:val="-4"/>
                <w:sz w:val="22"/>
                <w:szCs w:val="22"/>
              </w:rPr>
              <w:t>与薄弱环节，为产品</w:t>
            </w:r>
            <w:r>
              <w:rPr>
                <w:rFonts w:ascii="宋体" w:hAnsi="宋体" w:eastAsia="宋体" w:cs="宋体"/>
                <w:spacing w:val="4"/>
                <w:sz w:val="22"/>
                <w:szCs w:val="22"/>
              </w:rPr>
              <w:t xml:space="preserve"> </w:t>
            </w:r>
            <w:r>
              <w:rPr>
                <w:rFonts w:ascii="宋体" w:hAnsi="宋体" w:eastAsia="宋体" w:cs="宋体"/>
                <w:spacing w:val="-21"/>
                <w:sz w:val="22"/>
                <w:szCs w:val="22"/>
              </w:rPr>
              <w:t>的硬件、软件、工艺和</w:t>
            </w:r>
            <w:r>
              <w:rPr>
                <w:rFonts w:ascii="宋体" w:hAnsi="宋体" w:eastAsia="宋体" w:cs="宋体"/>
                <w:spacing w:val="1"/>
                <w:sz w:val="22"/>
                <w:szCs w:val="22"/>
              </w:rPr>
              <w:t xml:space="preserve"> </w:t>
            </w:r>
            <w:r>
              <w:rPr>
                <w:rFonts w:ascii="宋体" w:hAnsi="宋体" w:eastAsia="宋体" w:cs="宋体"/>
                <w:spacing w:val="-7"/>
                <w:sz w:val="22"/>
                <w:szCs w:val="22"/>
              </w:rPr>
              <w:t>生存性与易损性设计</w:t>
            </w:r>
            <w:r>
              <w:rPr>
                <w:rFonts w:ascii="宋体" w:hAnsi="宋体" w:eastAsia="宋体" w:cs="宋体"/>
                <w:sz w:val="22"/>
                <w:szCs w:val="22"/>
              </w:rPr>
              <w:t xml:space="preserve">  </w:t>
            </w:r>
            <w:r>
              <w:rPr>
                <w:rFonts w:ascii="宋体" w:hAnsi="宋体" w:eastAsia="宋体" w:cs="宋体"/>
                <w:spacing w:val="2"/>
                <w:sz w:val="22"/>
                <w:szCs w:val="22"/>
              </w:rPr>
              <w:t>的改进提供依据</w:t>
            </w:r>
          </w:p>
        </w:tc>
        <w:tc>
          <w:tcPr>
            <w:tcW w:w="1878" w:type="dxa"/>
            <w:vAlign w:val="top"/>
          </w:tcPr>
          <w:p w14:paraId="212D12EB">
            <w:pPr>
              <w:pStyle w:val="6"/>
              <w:spacing w:line="268" w:lineRule="auto"/>
            </w:pPr>
          </w:p>
          <w:p w14:paraId="769542AB">
            <w:pPr>
              <w:pStyle w:val="6"/>
              <w:spacing w:line="269" w:lineRule="auto"/>
            </w:pPr>
          </w:p>
          <w:p w14:paraId="4ED9CF28">
            <w:pPr>
              <w:spacing w:before="72" w:line="219" w:lineRule="auto"/>
              <w:ind w:left="54"/>
              <w:rPr>
                <w:rFonts w:ascii="宋体" w:hAnsi="宋体" w:eastAsia="宋体" w:cs="宋体"/>
                <w:sz w:val="22"/>
                <w:szCs w:val="22"/>
              </w:rPr>
            </w:pPr>
            <w:r>
              <w:rPr>
                <w:rFonts w:ascii="宋体" w:hAnsi="宋体" w:eastAsia="宋体" w:cs="宋体"/>
                <w:spacing w:val="1"/>
                <w:sz w:val="22"/>
                <w:szCs w:val="22"/>
              </w:rPr>
              <w:t>分析研究产品工艺</w:t>
            </w:r>
          </w:p>
          <w:p w14:paraId="367FABCF">
            <w:pPr>
              <w:spacing w:before="91" w:line="220" w:lineRule="auto"/>
              <w:ind w:left="54"/>
              <w:rPr>
                <w:rFonts w:ascii="宋体" w:hAnsi="宋体" w:eastAsia="宋体" w:cs="宋体"/>
                <w:sz w:val="22"/>
                <w:szCs w:val="22"/>
              </w:rPr>
            </w:pPr>
            <w:r>
              <w:rPr>
                <w:rFonts w:ascii="宋体" w:hAnsi="宋体" w:eastAsia="宋体" w:cs="宋体"/>
                <w:spacing w:val="2"/>
                <w:sz w:val="22"/>
                <w:szCs w:val="22"/>
              </w:rPr>
              <w:t>过程的缺陷和薄弱</w:t>
            </w:r>
          </w:p>
          <w:p w14:paraId="3212BC71">
            <w:pPr>
              <w:spacing w:before="87" w:line="219" w:lineRule="auto"/>
              <w:ind w:left="54"/>
              <w:rPr>
                <w:rFonts w:ascii="宋体" w:hAnsi="宋体" w:eastAsia="宋体" w:cs="宋体"/>
                <w:sz w:val="22"/>
                <w:szCs w:val="22"/>
              </w:rPr>
            </w:pPr>
            <w:r>
              <w:rPr>
                <w:rFonts w:ascii="宋体" w:hAnsi="宋体" w:eastAsia="宋体" w:cs="宋体"/>
                <w:spacing w:val="1"/>
                <w:sz w:val="22"/>
                <w:szCs w:val="22"/>
              </w:rPr>
              <w:t>环节，为产品工艺</w:t>
            </w:r>
          </w:p>
          <w:p w14:paraId="1A7DDD98">
            <w:pPr>
              <w:spacing w:before="77" w:line="219" w:lineRule="auto"/>
              <w:ind w:left="164"/>
              <w:rPr>
                <w:rFonts w:ascii="宋体" w:hAnsi="宋体" w:eastAsia="宋体" w:cs="宋体"/>
                <w:sz w:val="22"/>
                <w:szCs w:val="22"/>
              </w:rPr>
            </w:pPr>
            <w:r>
              <w:rPr>
                <w:rFonts w:ascii="宋体" w:hAnsi="宋体" w:eastAsia="宋体" w:cs="宋体"/>
                <w:spacing w:val="-2"/>
                <w:sz w:val="22"/>
                <w:szCs w:val="22"/>
              </w:rPr>
              <w:t>设计的改进提供</w:t>
            </w:r>
          </w:p>
          <w:p w14:paraId="652B95FB">
            <w:pPr>
              <w:spacing w:before="59" w:line="219" w:lineRule="auto"/>
              <w:ind w:left="94"/>
              <w:rPr>
                <w:rFonts w:ascii="宋体" w:hAnsi="宋体" w:eastAsia="宋体" w:cs="宋体"/>
                <w:sz w:val="22"/>
                <w:szCs w:val="22"/>
              </w:rPr>
            </w:pPr>
            <w:r>
              <w:rPr>
                <w:rFonts w:ascii="宋体" w:hAnsi="宋体" w:eastAsia="宋体" w:cs="宋体"/>
                <w:spacing w:val="6"/>
                <w:sz w:val="22"/>
                <w:szCs w:val="22"/>
              </w:rPr>
              <w:t>依据</w:t>
            </w:r>
          </w:p>
        </w:tc>
        <w:tc>
          <w:tcPr>
            <w:tcW w:w="3095" w:type="dxa"/>
            <w:vAlign w:val="top"/>
          </w:tcPr>
          <w:p w14:paraId="0ED8BCB6">
            <w:pPr>
              <w:pStyle w:val="6"/>
              <w:spacing w:line="269" w:lineRule="auto"/>
            </w:pPr>
          </w:p>
          <w:p w14:paraId="65C680EF">
            <w:pPr>
              <w:pStyle w:val="6"/>
              <w:spacing w:line="270" w:lineRule="auto"/>
            </w:pPr>
          </w:p>
          <w:p w14:paraId="25F8E3C9">
            <w:pPr>
              <w:spacing w:before="71" w:line="288" w:lineRule="auto"/>
              <w:ind w:left="17" w:firstLine="89"/>
              <w:rPr>
                <w:rFonts w:ascii="宋体" w:hAnsi="宋体" w:eastAsia="宋体" w:cs="宋体"/>
                <w:sz w:val="22"/>
                <w:szCs w:val="22"/>
              </w:rPr>
            </w:pPr>
            <w:r>
              <w:rPr>
                <w:rFonts w:ascii="宋体" w:hAnsi="宋体" w:eastAsia="宋体" w:cs="宋体"/>
                <w:spacing w:val="-1"/>
                <w:sz w:val="22"/>
                <w:szCs w:val="22"/>
              </w:rPr>
              <w:t>分析研究产品使用过程中实际</w:t>
            </w:r>
            <w:r>
              <w:rPr>
                <w:rFonts w:ascii="宋体" w:hAnsi="宋体" w:eastAsia="宋体" w:cs="宋体"/>
                <w:spacing w:val="5"/>
                <w:sz w:val="22"/>
                <w:szCs w:val="22"/>
              </w:rPr>
              <w:t xml:space="preserve">  </w:t>
            </w:r>
            <w:r>
              <w:rPr>
                <w:rFonts w:ascii="宋体" w:hAnsi="宋体" w:eastAsia="宋体" w:cs="宋体"/>
                <w:spacing w:val="-2"/>
                <w:sz w:val="22"/>
                <w:szCs w:val="22"/>
              </w:rPr>
              <w:t>发生的故障、原因及其影响，为</w:t>
            </w:r>
            <w:r>
              <w:rPr>
                <w:rFonts w:ascii="宋体" w:hAnsi="宋体" w:eastAsia="宋体" w:cs="宋体"/>
                <w:spacing w:val="4"/>
                <w:sz w:val="22"/>
                <w:szCs w:val="22"/>
              </w:rPr>
              <w:t xml:space="preserve"> </w:t>
            </w:r>
            <w:r>
              <w:rPr>
                <w:rFonts w:ascii="宋体" w:hAnsi="宋体" w:eastAsia="宋体" w:cs="宋体"/>
                <w:spacing w:val="7"/>
                <w:sz w:val="22"/>
                <w:szCs w:val="22"/>
              </w:rPr>
              <w:t>提高产品使用可靠性和进行产</w:t>
            </w:r>
            <w:r>
              <w:rPr>
                <w:rFonts w:ascii="宋体" w:hAnsi="宋体" w:eastAsia="宋体" w:cs="宋体"/>
                <w:sz w:val="22"/>
                <w:szCs w:val="22"/>
              </w:rPr>
              <w:t xml:space="preserve">  </w:t>
            </w:r>
            <w:r>
              <w:rPr>
                <w:rFonts w:ascii="宋体" w:hAnsi="宋体" w:eastAsia="宋体" w:cs="宋体"/>
                <w:spacing w:val="-1"/>
                <w:sz w:val="22"/>
                <w:szCs w:val="22"/>
              </w:rPr>
              <w:t>品的改进、改型或新产品的研制</w:t>
            </w:r>
            <w:r>
              <w:rPr>
                <w:rFonts w:ascii="宋体" w:hAnsi="宋体" w:eastAsia="宋体" w:cs="宋体"/>
                <w:sz w:val="22"/>
                <w:szCs w:val="22"/>
              </w:rPr>
              <w:t xml:space="preserve"> </w:t>
            </w:r>
            <w:r>
              <w:rPr>
                <w:rFonts w:ascii="宋体" w:hAnsi="宋体" w:eastAsia="宋体" w:cs="宋体"/>
                <w:spacing w:val="24"/>
                <w:sz w:val="22"/>
                <w:szCs w:val="22"/>
              </w:rPr>
              <w:t>提供依据</w:t>
            </w:r>
          </w:p>
        </w:tc>
      </w:tr>
    </w:tbl>
    <w:p w14:paraId="6314587B">
      <w:pPr>
        <w:spacing w:before="170" w:line="221" w:lineRule="auto"/>
        <w:rPr>
          <w:rFonts w:ascii="黑体" w:hAnsi="黑体" w:eastAsia="黑体" w:cs="黑体"/>
          <w:sz w:val="27"/>
          <w:szCs w:val="27"/>
        </w:rPr>
      </w:pPr>
      <w:r>
        <w:rPr>
          <w:rFonts w:ascii="Times New Roman" w:hAnsi="Times New Roman" w:eastAsia="Times New Roman" w:cs="Times New Roman"/>
          <w:spacing w:val="-2"/>
          <w:sz w:val="27"/>
          <w:szCs w:val="27"/>
        </w:rPr>
        <w:t>6.1</w:t>
      </w:r>
      <w:r>
        <w:rPr>
          <w:rFonts w:ascii="Times New Roman" w:hAnsi="Times New Roman" w:eastAsia="Times New Roman" w:cs="Times New Roman"/>
          <w:spacing w:val="15"/>
          <w:sz w:val="27"/>
          <w:szCs w:val="27"/>
        </w:rPr>
        <w:t xml:space="preserve">     </w:t>
      </w:r>
      <w:r>
        <w:rPr>
          <w:rFonts w:ascii="Times New Roman" w:hAnsi="Times New Roman" w:eastAsia="Times New Roman" w:cs="Times New Roman"/>
          <w:spacing w:val="-2"/>
          <w:sz w:val="27"/>
          <w:szCs w:val="27"/>
        </w:rPr>
        <w:t>F</w:t>
      </w:r>
      <w:r>
        <w:rPr>
          <w:rFonts w:ascii="Times New Roman" w:hAnsi="Times New Roman" w:eastAsia="Times New Roman" w:cs="Times New Roman"/>
          <w:b/>
          <w:bCs/>
          <w:spacing w:val="-2"/>
          <w:sz w:val="27"/>
          <w:szCs w:val="27"/>
        </w:rPr>
        <w:t xml:space="preserve">MEA </w:t>
      </w:r>
      <w:r>
        <w:rPr>
          <w:rFonts w:ascii="黑体" w:hAnsi="黑体" w:eastAsia="黑体" w:cs="黑体"/>
          <w:b/>
          <w:bCs/>
          <w:spacing w:val="-2"/>
          <w:sz w:val="27"/>
          <w:szCs w:val="27"/>
        </w:rPr>
        <w:t>表的格式及其填写说明</w:t>
      </w:r>
    </w:p>
    <w:p w14:paraId="5CDA0772">
      <w:pPr>
        <w:pStyle w:val="2"/>
        <w:spacing w:before="93" w:line="250" w:lineRule="auto"/>
        <w:ind w:right="57" w:firstLine="560"/>
      </w:pPr>
      <w:r>
        <w:rPr>
          <w:spacing w:val="1"/>
        </w:rPr>
        <w:t>设计</w:t>
      </w:r>
      <w:r>
        <w:rPr>
          <w:rFonts w:ascii="Times New Roman" w:hAnsi="Times New Roman" w:eastAsia="Times New Roman" w:cs="Times New Roman"/>
        </w:rPr>
        <w:t>FMEA</w:t>
      </w:r>
      <w:r>
        <w:rPr>
          <w:rFonts w:ascii="Times New Roman" w:hAnsi="Times New Roman" w:eastAsia="Times New Roman" w:cs="Times New Roman"/>
          <w:spacing w:val="1"/>
        </w:rPr>
        <w:t xml:space="preserve">  </w:t>
      </w:r>
      <w:r>
        <w:rPr>
          <w:spacing w:val="1"/>
        </w:rPr>
        <w:t>的实施一般是通过填写</w:t>
      </w:r>
      <w:r>
        <w:rPr>
          <w:rFonts w:ascii="Times New Roman" w:hAnsi="Times New Roman" w:eastAsia="Times New Roman" w:cs="Times New Roman"/>
        </w:rPr>
        <w:t>FMEA</w:t>
      </w:r>
      <w:r>
        <w:rPr>
          <w:rFonts w:ascii="Times New Roman" w:hAnsi="Times New Roman" w:eastAsia="Times New Roman" w:cs="Times New Roman"/>
          <w:spacing w:val="1"/>
        </w:rPr>
        <w:t xml:space="preserve">  </w:t>
      </w:r>
      <w:r>
        <w:rPr>
          <w:spacing w:val="1"/>
        </w:rPr>
        <w:t>表格进</w:t>
      </w:r>
      <w:r>
        <w:t>行的，对硬件设计的“故 障模式及影响分析(</w:t>
      </w:r>
      <w:r>
        <w:rPr>
          <w:rFonts w:ascii="Times New Roman" w:hAnsi="Times New Roman" w:eastAsia="Times New Roman" w:cs="Times New Roman"/>
        </w:rPr>
        <w:t>FMEA)</w:t>
      </w:r>
      <w:r>
        <w:rPr>
          <w:rFonts w:ascii="Times New Roman" w:hAnsi="Times New Roman" w:eastAsia="Times New Roman" w:cs="Times New Roman"/>
          <w:spacing w:val="64"/>
        </w:rPr>
        <w:t xml:space="preserve"> </w:t>
      </w:r>
      <w:r>
        <w:t>表”选用表7.5。</w:t>
      </w:r>
    </w:p>
    <w:p w14:paraId="578A151E">
      <w:pPr>
        <w:pStyle w:val="2"/>
        <w:spacing w:before="106" w:line="273" w:lineRule="auto"/>
        <w:ind w:right="53" w:firstLine="560"/>
        <w:jc w:val="both"/>
      </w:pPr>
      <w:r>
        <w:rPr>
          <w:spacing w:val="-14"/>
        </w:rPr>
        <w:t>表7.5中“初始约定层次产品”处填写“初始约定层次”的产品名称；“约定层</w:t>
      </w:r>
      <w:r>
        <w:rPr>
          <w:spacing w:val="3"/>
        </w:rPr>
        <w:t xml:space="preserve"> </w:t>
      </w:r>
      <w:r>
        <w:rPr>
          <w:spacing w:val="-10"/>
        </w:rPr>
        <w:t>次产品”处填写正在被分析的产品紧邻的上一层次产品；“任务</w:t>
      </w:r>
      <w:r>
        <w:rPr>
          <w:spacing w:val="-11"/>
        </w:rPr>
        <w:t>”处填写“初始约</w:t>
      </w:r>
      <w:r>
        <w:t xml:space="preserve"> </w:t>
      </w:r>
      <w:r>
        <w:rPr>
          <w:spacing w:val="-10"/>
        </w:rPr>
        <w:t>定层次产品”所需完成的任务，若“初始约定层次”具有不同的任务，则应分开填</w:t>
      </w:r>
      <w:r>
        <w:rPr>
          <w:spacing w:val="11"/>
        </w:rPr>
        <w:t xml:space="preserve"> </w:t>
      </w:r>
      <w:r>
        <w:rPr>
          <w:spacing w:val="19"/>
        </w:rPr>
        <w:t>写</w:t>
      </w:r>
      <w:r>
        <w:rPr>
          <w:spacing w:val="-68"/>
        </w:rPr>
        <w:t xml:space="preserve"> </w:t>
      </w:r>
      <w:r>
        <w:rPr>
          <w:rFonts w:ascii="Times New Roman" w:hAnsi="Times New Roman" w:eastAsia="Times New Roman" w:cs="Times New Roman"/>
        </w:rPr>
        <w:t>FMEA</w:t>
      </w:r>
      <w:r>
        <w:rPr>
          <w:rFonts w:ascii="Times New Roman" w:hAnsi="Times New Roman" w:eastAsia="Times New Roman" w:cs="Times New Roman"/>
          <w:spacing w:val="19"/>
        </w:rPr>
        <w:t xml:space="preserve">  </w:t>
      </w:r>
      <w:r>
        <w:rPr>
          <w:spacing w:val="19"/>
        </w:rPr>
        <w:t>表；表中其他各栏的填写说明见表中相应栏目的描述和本节有关</w:t>
      </w:r>
      <w:r>
        <w:t xml:space="preserve"> </w:t>
      </w:r>
      <w:r>
        <w:rPr>
          <w:spacing w:val="-6"/>
        </w:rPr>
        <w:t>内容。</w:t>
      </w:r>
    </w:p>
    <w:p w14:paraId="33AB8BD2">
      <w:pPr>
        <w:spacing w:line="273" w:lineRule="auto"/>
        <w:sectPr>
          <w:footerReference r:id="rId369" w:type="default"/>
          <w:pgSz w:w="11910" w:h="17130"/>
          <w:pgMar w:top="1456" w:right="891" w:bottom="1623" w:left="1589" w:header="0" w:footer="1424" w:gutter="0"/>
          <w:cols w:space="720" w:num="1"/>
        </w:sectPr>
      </w:pPr>
    </w:p>
    <w:p w14:paraId="42FB28A4">
      <w:pPr>
        <w:spacing w:line="383" w:lineRule="auto"/>
        <w:rPr>
          <w:rFonts w:ascii="Arial"/>
          <w:sz w:val="21"/>
        </w:rPr>
      </w:pPr>
    </w:p>
    <w:p w14:paraId="5986DB78">
      <w:pPr>
        <w:spacing w:before="91" w:line="229" w:lineRule="auto"/>
        <w:rPr>
          <w:rFonts w:ascii="仿宋" w:hAnsi="仿宋" w:eastAsia="仿宋" w:cs="仿宋"/>
          <w:sz w:val="28"/>
          <w:szCs w:val="28"/>
        </w:rPr>
      </w:pPr>
      <w:r>
        <w:rPr>
          <w:rFonts w:ascii="仿宋" w:hAnsi="仿宋" w:eastAsia="仿宋" w:cs="仿宋"/>
          <w:position w:val="-4"/>
          <w:sz w:val="28"/>
          <w:szCs w:val="28"/>
        </w:rPr>
        <w:drawing>
          <wp:inline distT="0" distB="0" distL="0" distR="0">
            <wp:extent cx="202565" cy="258445"/>
            <wp:effectExtent l="0" t="0" r="0" b="635"/>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696"/>
                    <a:stretch>
                      <a:fillRect/>
                    </a:stretch>
                  </pic:blipFill>
                  <pic:spPr>
                    <a:xfrm>
                      <a:off x="0" y="0"/>
                      <a:ext cx="202996" cy="258818"/>
                    </a:xfrm>
                    <a:prstGeom prst="rect">
                      <a:avLst/>
                    </a:prstGeom>
                  </pic:spPr>
                </pic:pic>
              </a:graphicData>
            </a:graphic>
          </wp:inline>
        </w:drawing>
      </w:r>
      <w:r>
        <w:rPr>
          <w:rFonts w:ascii="仿宋" w:hAnsi="仿宋" w:eastAsia="仿宋" w:cs="仿宋"/>
          <w:spacing w:val="2"/>
          <w:sz w:val="28"/>
          <w:szCs w:val="28"/>
        </w:rPr>
        <w:t xml:space="preserve">                          </w:t>
      </w:r>
      <w:r>
        <w:rPr>
          <w:rFonts w:ascii="仿宋" w:hAnsi="仿宋" w:eastAsia="仿宋" w:cs="仿宋"/>
          <w:spacing w:val="1"/>
          <w:sz w:val="28"/>
          <w:szCs w:val="28"/>
        </w:rPr>
        <w:t xml:space="preserve">     </w:t>
      </w:r>
      <w:r>
        <w:rPr>
          <w:rFonts w:ascii="仿宋" w:hAnsi="仿宋" w:eastAsia="仿宋" w:cs="仿宋"/>
          <w:spacing w:val="-5"/>
          <w:sz w:val="28"/>
          <w:szCs w:val="28"/>
        </w:rPr>
        <w:t>表7.5</w:t>
      </w:r>
      <w:r>
        <w:rPr>
          <w:rFonts w:ascii="仿宋" w:hAnsi="仿宋" w:eastAsia="仿宋" w:cs="仿宋"/>
          <w:spacing w:val="133"/>
          <w:sz w:val="28"/>
          <w:szCs w:val="28"/>
        </w:rPr>
        <w:t xml:space="preserve"> </w:t>
      </w:r>
      <w:r>
        <w:rPr>
          <w:rFonts w:ascii="仿宋" w:hAnsi="仿宋" w:eastAsia="仿宋" w:cs="仿宋"/>
          <w:spacing w:val="-5"/>
          <w:sz w:val="28"/>
          <w:szCs w:val="28"/>
        </w:rPr>
        <w:t>故障模式及影响分析(</w:t>
      </w:r>
      <w:r>
        <w:rPr>
          <w:rFonts w:ascii="仿宋" w:hAnsi="仿宋" w:eastAsia="仿宋" w:cs="仿宋"/>
          <w:spacing w:val="-81"/>
          <w:sz w:val="28"/>
          <w:szCs w:val="28"/>
        </w:rPr>
        <w:t xml:space="preserve"> </w:t>
      </w:r>
      <w:r>
        <w:rPr>
          <w:rFonts w:ascii="Times New Roman" w:hAnsi="Times New Roman" w:eastAsia="Times New Roman" w:cs="Times New Roman"/>
          <w:spacing w:val="-5"/>
          <w:sz w:val="28"/>
          <w:szCs w:val="28"/>
        </w:rPr>
        <w:t>FMEA)</w:t>
      </w:r>
      <w:r>
        <w:rPr>
          <w:rFonts w:ascii="仿宋" w:hAnsi="仿宋" w:eastAsia="仿宋" w:cs="仿宋"/>
          <w:spacing w:val="-5"/>
          <w:sz w:val="28"/>
          <w:szCs w:val="28"/>
        </w:rPr>
        <w:t>表</w:t>
      </w:r>
    </w:p>
    <w:p w14:paraId="7AB6E27F">
      <w:pPr>
        <w:spacing w:line="94" w:lineRule="exact"/>
      </w:pPr>
    </w:p>
    <w:tbl>
      <w:tblPr>
        <w:tblStyle w:val="5"/>
        <w:tblW w:w="11386" w:type="dxa"/>
        <w:tblInd w:w="65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74"/>
        <w:gridCol w:w="2495"/>
        <w:gridCol w:w="2997"/>
        <w:gridCol w:w="3620"/>
      </w:tblGrid>
      <w:tr w14:paraId="3EB3A8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8" w:hRule="atLeast"/>
        </w:trPr>
        <w:tc>
          <w:tcPr>
            <w:tcW w:w="2274" w:type="dxa"/>
            <w:vAlign w:val="top"/>
          </w:tcPr>
          <w:p w14:paraId="53D729BC">
            <w:pPr>
              <w:spacing w:line="219" w:lineRule="auto"/>
              <w:ind w:left="2"/>
              <w:rPr>
                <w:rFonts w:ascii="宋体" w:hAnsi="宋体" w:eastAsia="宋体" w:cs="宋体"/>
                <w:sz w:val="22"/>
                <w:szCs w:val="22"/>
              </w:rPr>
            </w:pPr>
            <w:r>
              <w:rPr>
                <w:rFonts w:ascii="宋体" w:hAnsi="宋体" w:eastAsia="宋体" w:cs="宋体"/>
                <w:b/>
                <w:bCs/>
                <w:spacing w:val="-14"/>
                <w:sz w:val="22"/>
                <w:szCs w:val="22"/>
              </w:rPr>
              <w:t>初始约定层次产品</w:t>
            </w:r>
          </w:p>
        </w:tc>
        <w:tc>
          <w:tcPr>
            <w:tcW w:w="2495" w:type="dxa"/>
            <w:vAlign w:val="top"/>
          </w:tcPr>
          <w:p w14:paraId="34F0C776">
            <w:pPr>
              <w:spacing w:before="2" w:line="223" w:lineRule="auto"/>
              <w:ind w:left="616"/>
              <w:rPr>
                <w:rFonts w:ascii="仿宋" w:hAnsi="仿宋" w:eastAsia="仿宋" w:cs="仿宋"/>
                <w:sz w:val="22"/>
                <w:szCs w:val="22"/>
              </w:rPr>
            </w:pPr>
            <w:r>
              <w:rPr>
                <w:rFonts w:ascii="宋体" w:hAnsi="宋体" w:eastAsia="宋体" w:cs="宋体"/>
                <w:spacing w:val="-4"/>
                <w:sz w:val="22"/>
                <w:szCs w:val="22"/>
              </w:rPr>
              <w:t>任</w:t>
            </w:r>
            <w:r>
              <w:rPr>
                <w:rFonts w:ascii="宋体" w:hAnsi="宋体" w:eastAsia="宋体" w:cs="宋体"/>
                <w:spacing w:val="22"/>
                <w:sz w:val="22"/>
                <w:szCs w:val="22"/>
              </w:rPr>
              <w:t xml:space="preserve">   </w:t>
            </w:r>
            <w:r>
              <w:rPr>
                <w:rFonts w:ascii="仿宋" w:hAnsi="仿宋" w:eastAsia="仿宋" w:cs="仿宋"/>
                <w:spacing w:val="-4"/>
                <w:sz w:val="22"/>
                <w:szCs w:val="22"/>
              </w:rPr>
              <w:t>务</w:t>
            </w:r>
          </w:p>
        </w:tc>
        <w:tc>
          <w:tcPr>
            <w:tcW w:w="2997" w:type="dxa"/>
            <w:vAlign w:val="top"/>
          </w:tcPr>
          <w:p w14:paraId="49DC16B1">
            <w:pPr>
              <w:spacing w:before="4" w:line="220" w:lineRule="auto"/>
              <w:ind w:left="1011"/>
              <w:rPr>
                <w:rFonts w:ascii="宋体" w:hAnsi="宋体" w:eastAsia="宋体" w:cs="宋体"/>
                <w:sz w:val="22"/>
                <w:szCs w:val="22"/>
              </w:rPr>
            </w:pPr>
            <w:r>
              <w:rPr>
                <w:rFonts w:ascii="宋体" w:hAnsi="宋体" w:eastAsia="宋体" w:cs="宋体"/>
                <w:spacing w:val="-5"/>
                <w:sz w:val="22"/>
                <w:szCs w:val="22"/>
              </w:rPr>
              <w:t>审核</w:t>
            </w:r>
          </w:p>
        </w:tc>
        <w:tc>
          <w:tcPr>
            <w:tcW w:w="3620" w:type="dxa"/>
            <w:vAlign w:val="top"/>
          </w:tcPr>
          <w:p w14:paraId="12E09546">
            <w:pPr>
              <w:spacing w:before="13" w:line="219" w:lineRule="auto"/>
              <w:jc w:val="right"/>
              <w:rPr>
                <w:rFonts w:ascii="宋体" w:hAnsi="宋体" w:eastAsia="宋体" w:cs="宋体"/>
                <w:sz w:val="22"/>
                <w:szCs w:val="22"/>
              </w:rPr>
            </w:pPr>
            <w:r>
              <w:rPr>
                <w:rFonts w:ascii="宋体" w:hAnsi="宋体" w:eastAsia="宋体" w:cs="宋体"/>
                <w:spacing w:val="-28"/>
                <w:sz w:val="22"/>
                <w:szCs w:val="22"/>
              </w:rPr>
              <w:t>第</w:t>
            </w:r>
            <w:r>
              <w:rPr>
                <w:rFonts w:ascii="宋体" w:hAnsi="宋体" w:eastAsia="宋体" w:cs="宋体"/>
                <w:spacing w:val="26"/>
                <w:sz w:val="22"/>
                <w:szCs w:val="22"/>
              </w:rPr>
              <w:t xml:space="preserve">   </w:t>
            </w:r>
            <w:r>
              <w:rPr>
                <w:rFonts w:ascii="宋体" w:hAnsi="宋体" w:eastAsia="宋体" w:cs="宋体"/>
                <w:spacing w:val="-28"/>
                <w:sz w:val="22"/>
                <w:szCs w:val="22"/>
              </w:rPr>
              <w:t>页</w:t>
            </w:r>
            <w:r>
              <w:rPr>
                <w:rFonts w:ascii="宋体" w:hAnsi="宋体" w:eastAsia="宋体" w:cs="宋体"/>
                <w:spacing w:val="-25"/>
                <w:sz w:val="22"/>
                <w:szCs w:val="22"/>
              </w:rPr>
              <w:t xml:space="preserve"> </w:t>
            </w:r>
            <w:r>
              <w:rPr>
                <w:rFonts w:ascii="宋体" w:hAnsi="宋体" w:eastAsia="宋体" w:cs="宋体"/>
                <w:spacing w:val="-28"/>
                <w:sz w:val="22"/>
                <w:szCs w:val="22"/>
              </w:rPr>
              <w:t>·</w:t>
            </w:r>
            <w:r>
              <w:rPr>
                <w:rFonts w:ascii="宋体" w:hAnsi="宋体" w:eastAsia="宋体" w:cs="宋体"/>
                <w:spacing w:val="74"/>
                <w:sz w:val="22"/>
                <w:szCs w:val="22"/>
              </w:rPr>
              <w:t xml:space="preserve"> </w:t>
            </w:r>
            <w:r>
              <w:rPr>
                <w:rFonts w:ascii="宋体" w:hAnsi="宋体" w:eastAsia="宋体" w:cs="宋体"/>
                <w:spacing w:val="-27"/>
                <w:sz w:val="22"/>
                <w:szCs w:val="22"/>
              </w:rPr>
              <w:t>共</w:t>
            </w:r>
            <w:r>
              <w:rPr>
                <w:rFonts w:ascii="宋体" w:hAnsi="宋体" w:eastAsia="宋体" w:cs="宋体"/>
                <w:spacing w:val="29"/>
                <w:sz w:val="22"/>
                <w:szCs w:val="22"/>
              </w:rPr>
              <w:t xml:space="preserve">   </w:t>
            </w:r>
            <w:r>
              <w:rPr>
                <w:rFonts w:ascii="宋体" w:hAnsi="宋体" w:eastAsia="宋体" w:cs="宋体"/>
                <w:spacing w:val="-19"/>
                <w:sz w:val="22"/>
                <w:szCs w:val="22"/>
              </w:rPr>
              <w:t>页</w:t>
            </w:r>
          </w:p>
        </w:tc>
      </w:tr>
      <w:tr w14:paraId="3822D6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2274" w:type="dxa"/>
            <w:vAlign w:val="top"/>
          </w:tcPr>
          <w:p w14:paraId="0CF86C8B">
            <w:pPr>
              <w:spacing w:before="65" w:line="177" w:lineRule="auto"/>
              <w:rPr>
                <w:rFonts w:ascii="宋体" w:hAnsi="宋体" w:eastAsia="宋体" w:cs="宋体"/>
                <w:sz w:val="22"/>
                <w:szCs w:val="22"/>
              </w:rPr>
            </w:pPr>
            <w:r>
              <w:rPr>
                <w:rFonts w:ascii="宋体" w:hAnsi="宋体" w:eastAsia="宋体" w:cs="宋体"/>
                <w:spacing w:val="-10"/>
                <w:sz w:val="22"/>
                <w:szCs w:val="22"/>
              </w:rPr>
              <w:t>约定层次产品</w:t>
            </w:r>
          </w:p>
        </w:tc>
        <w:tc>
          <w:tcPr>
            <w:tcW w:w="2495" w:type="dxa"/>
            <w:vAlign w:val="top"/>
          </w:tcPr>
          <w:p w14:paraId="4075306B">
            <w:pPr>
              <w:spacing w:before="66" w:line="176" w:lineRule="auto"/>
              <w:ind w:left="616"/>
              <w:rPr>
                <w:rFonts w:ascii="宋体" w:hAnsi="宋体" w:eastAsia="宋体" w:cs="宋体"/>
                <w:sz w:val="22"/>
                <w:szCs w:val="22"/>
              </w:rPr>
            </w:pPr>
            <w:r>
              <w:rPr>
                <w:rFonts w:ascii="宋体" w:hAnsi="宋体" w:eastAsia="宋体" w:cs="宋体"/>
                <w:spacing w:val="-3"/>
                <w:sz w:val="22"/>
                <w:szCs w:val="22"/>
              </w:rPr>
              <w:t>分析人员</w:t>
            </w:r>
          </w:p>
        </w:tc>
        <w:tc>
          <w:tcPr>
            <w:tcW w:w="2997" w:type="dxa"/>
            <w:vAlign w:val="top"/>
          </w:tcPr>
          <w:p w14:paraId="5BFEC00A">
            <w:pPr>
              <w:spacing w:before="66" w:line="176" w:lineRule="auto"/>
              <w:ind w:left="1011"/>
              <w:rPr>
                <w:rFonts w:ascii="宋体" w:hAnsi="宋体" w:eastAsia="宋体" w:cs="宋体"/>
                <w:sz w:val="22"/>
                <w:szCs w:val="22"/>
              </w:rPr>
            </w:pPr>
            <w:r>
              <w:rPr>
                <w:rFonts w:ascii="宋体" w:hAnsi="宋体" w:eastAsia="宋体" w:cs="宋体"/>
                <w:spacing w:val="-2"/>
                <w:sz w:val="22"/>
                <w:szCs w:val="22"/>
              </w:rPr>
              <w:t>批准</w:t>
            </w:r>
          </w:p>
        </w:tc>
        <w:tc>
          <w:tcPr>
            <w:tcW w:w="3620" w:type="dxa"/>
            <w:vAlign w:val="top"/>
          </w:tcPr>
          <w:p w14:paraId="42697FCA">
            <w:pPr>
              <w:spacing w:before="55" w:line="185" w:lineRule="auto"/>
              <w:ind w:left="1553"/>
              <w:rPr>
                <w:rFonts w:ascii="宋体" w:hAnsi="宋体" w:eastAsia="宋体" w:cs="宋体"/>
                <w:sz w:val="22"/>
                <w:szCs w:val="22"/>
              </w:rPr>
            </w:pPr>
            <w:r>
              <w:rPr>
                <w:rFonts w:ascii="宋体" w:hAnsi="宋体" w:eastAsia="宋体" w:cs="宋体"/>
                <w:spacing w:val="-9"/>
                <w:sz w:val="22"/>
                <w:szCs w:val="22"/>
              </w:rPr>
              <w:t>填表日期</w:t>
            </w:r>
          </w:p>
        </w:tc>
      </w:tr>
    </w:tbl>
    <w:p w14:paraId="6882234B">
      <w:pPr>
        <w:spacing w:line="124" w:lineRule="exact"/>
      </w:pPr>
    </w:p>
    <w:tbl>
      <w:tblPr>
        <w:tblStyle w:val="5"/>
        <w:tblW w:w="13620" w:type="dxa"/>
        <w:tblInd w:w="2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4"/>
        <w:gridCol w:w="1239"/>
        <w:gridCol w:w="1029"/>
        <w:gridCol w:w="1039"/>
        <w:gridCol w:w="1049"/>
        <w:gridCol w:w="1229"/>
        <w:gridCol w:w="820"/>
        <w:gridCol w:w="829"/>
        <w:gridCol w:w="840"/>
        <w:gridCol w:w="1019"/>
        <w:gridCol w:w="1029"/>
        <w:gridCol w:w="620"/>
        <w:gridCol w:w="620"/>
        <w:gridCol w:w="1004"/>
      </w:tblGrid>
      <w:tr w14:paraId="726AB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4" w:type="dxa"/>
            <w:vMerge w:val="restart"/>
            <w:tcBorders>
              <w:bottom w:val="nil"/>
            </w:tcBorders>
            <w:vAlign w:val="top"/>
          </w:tcPr>
          <w:p w14:paraId="6424B488">
            <w:pPr>
              <w:pStyle w:val="6"/>
              <w:spacing w:line="442" w:lineRule="auto"/>
            </w:pPr>
          </w:p>
          <w:p w14:paraId="0E15E979">
            <w:pPr>
              <w:spacing w:before="69" w:line="219" w:lineRule="auto"/>
              <w:ind w:left="405"/>
              <w:rPr>
                <w:rFonts w:ascii="宋体" w:hAnsi="宋体" w:eastAsia="宋体" w:cs="宋体"/>
                <w:sz w:val="21"/>
                <w:szCs w:val="21"/>
              </w:rPr>
            </w:pPr>
            <w:r>
              <w:rPr>
                <w:rFonts w:ascii="宋体" w:hAnsi="宋体" w:eastAsia="宋体" w:cs="宋体"/>
                <w:spacing w:val="-2"/>
                <w:sz w:val="21"/>
                <w:szCs w:val="21"/>
              </w:rPr>
              <w:t>代码</w:t>
            </w:r>
          </w:p>
        </w:tc>
        <w:tc>
          <w:tcPr>
            <w:tcW w:w="1239" w:type="dxa"/>
            <w:vMerge w:val="restart"/>
            <w:tcBorders>
              <w:bottom w:val="nil"/>
            </w:tcBorders>
            <w:vAlign w:val="top"/>
          </w:tcPr>
          <w:p w14:paraId="4D3E25BB">
            <w:pPr>
              <w:pStyle w:val="6"/>
              <w:spacing w:line="263" w:lineRule="auto"/>
            </w:pPr>
          </w:p>
          <w:p w14:paraId="130975F6">
            <w:pPr>
              <w:spacing w:before="68" w:line="311" w:lineRule="auto"/>
              <w:ind w:left="191" w:right="184" w:firstLine="100"/>
              <w:rPr>
                <w:rFonts w:ascii="宋体" w:hAnsi="宋体" w:eastAsia="宋体" w:cs="宋体"/>
                <w:sz w:val="21"/>
                <w:szCs w:val="21"/>
              </w:rPr>
            </w:pPr>
            <w:r>
              <w:rPr>
                <w:rFonts w:ascii="宋体" w:hAnsi="宋体" w:eastAsia="宋体" w:cs="宋体"/>
                <w:spacing w:val="-3"/>
                <w:sz w:val="21"/>
                <w:szCs w:val="21"/>
              </w:rPr>
              <w:t>产品或</w:t>
            </w:r>
            <w:r>
              <w:rPr>
                <w:rFonts w:ascii="宋体" w:hAnsi="宋体" w:eastAsia="宋体" w:cs="宋体"/>
                <w:sz w:val="21"/>
                <w:szCs w:val="21"/>
              </w:rPr>
              <w:t xml:space="preserve">  </w:t>
            </w:r>
            <w:r>
              <w:rPr>
                <w:rFonts w:ascii="宋体" w:hAnsi="宋体" w:eastAsia="宋体" w:cs="宋体"/>
                <w:spacing w:val="3"/>
                <w:sz w:val="21"/>
                <w:szCs w:val="21"/>
              </w:rPr>
              <w:t>功能标志</w:t>
            </w:r>
          </w:p>
        </w:tc>
        <w:tc>
          <w:tcPr>
            <w:tcW w:w="1029" w:type="dxa"/>
            <w:vMerge w:val="restart"/>
            <w:tcBorders>
              <w:bottom w:val="nil"/>
            </w:tcBorders>
            <w:vAlign w:val="top"/>
          </w:tcPr>
          <w:p w14:paraId="29FA24EC">
            <w:pPr>
              <w:pStyle w:val="6"/>
              <w:spacing w:line="443" w:lineRule="auto"/>
            </w:pPr>
          </w:p>
          <w:p w14:paraId="202BA625">
            <w:pPr>
              <w:spacing w:before="69" w:line="221" w:lineRule="auto"/>
              <w:ind w:left="291"/>
              <w:rPr>
                <w:rFonts w:ascii="宋体" w:hAnsi="宋体" w:eastAsia="宋体" w:cs="宋体"/>
                <w:sz w:val="21"/>
                <w:szCs w:val="21"/>
              </w:rPr>
            </w:pPr>
            <w:r>
              <w:rPr>
                <w:rFonts w:ascii="宋体" w:hAnsi="宋体" w:eastAsia="宋体" w:cs="宋体"/>
                <w:spacing w:val="5"/>
                <w:sz w:val="21"/>
                <w:szCs w:val="21"/>
              </w:rPr>
              <w:t>功能</w:t>
            </w:r>
          </w:p>
        </w:tc>
        <w:tc>
          <w:tcPr>
            <w:tcW w:w="1039" w:type="dxa"/>
            <w:vMerge w:val="restart"/>
            <w:tcBorders>
              <w:bottom w:val="nil"/>
            </w:tcBorders>
            <w:vAlign w:val="top"/>
          </w:tcPr>
          <w:p w14:paraId="2A6A06D3">
            <w:pPr>
              <w:pStyle w:val="6"/>
              <w:spacing w:line="253" w:lineRule="auto"/>
            </w:pPr>
          </w:p>
          <w:p w14:paraId="0366D4A6">
            <w:pPr>
              <w:spacing w:before="69" w:line="219" w:lineRule="auto"/>
              <w:ind w:left="303"/>
              <w:rPr>
                <w:rFonts w:ascii="宋体" w:hAnsi="宋体" w:eastAsia="宋体" w:cs="宋体"/>
                <w:sz w:val="21"/>
                <w:szCs w:val="21"/>
              </w:rPr>
            </w:pPr>
            <w:r>
              <w:rPr>
                <w:rFonts w:ascii="宋体" w:hAnsi="宋体" w:eastAsia="宋体" w:cs="宋体"/>
                <w:spacing w:val="4"/>
                <w:sz w:val="21"/>
                <w:szCs w:val="21"/>
              </w:rPr>
              <w:t>故障</w:t>
            </w:r>
          </w:p>
          <w:p w14:paraId="080F68BD">
            <w:pPr>
              <w:spacing w:before="90" w:line="219" w:lineRule="auto"/>
              <w:ind w:left="303"/>
              <w:rPr>
                <w:rFonts w:ascii="宋体" w:hAnsi="宋体" w:eastAsia="宋体" w:cs="宋体"/>
                <w:sz w:val="21"/>
                <w:szCs w:val="21"/>
              </w:rPr>
            </w:pPr>
            <w:r>
              <w:rPr>
                <w:rFonts w:ascii="宋体" w:hAnsi="宋体" w:eastAsia="宋体" w:cs="宋体"/>
                <w:spacing w:val="-2"/>
                <w:sz w:val="21"/>
                <w:szCs w:val="21"/>
              </w:rPr>
              <w:t>模式</w:t>
            </w:r>
          </w:p>
        </w:tc>
        <w:tc>
          <w:tcPr>
            <w:tcW w:w="1049" w:type="dxa"/>
            <w:vMerge w:val="restart"/>
            <w:tcBorders>
              <w:bottom w:val="nil"/>
            </w:tcBorders>
            <w:vAlign w:val="top"/>
          </w:tcPr>
          <w:p w14:paraId="0BD6FBD1">
            <w:pPr>
              <w:pStyle w:val="6"/>
              <w:spacing w:line="253" w:lineRule="auto"/>
            </w:pPr>
          </w:p>
          <w:p w14:paraId="1048D708">
            <w:pPr>
              <w:spacing w:before="69" w:line="219" w:lineRule="auto"/>
              <w:ind w:left="304"/>
              <w:rPr>
                <w:rFonts w:ascii="宋体" w:hAnsi="宋体" w:eastAsia="宋体" w:cs="宋体"/>
                <w:sz w:val="21"/>
                <w:szCs w:val="21"/>
              </w:rPr>
            </w:pPr>
            <w:r>
              <w:rPr>
                <w:rFonts w:ascii="宋体" w:hAnsi="宋体" w:eastAsia="宋体" w:cs="宋体"/>
                <w:spacing w:val="4"/>
                <w:sz w:val="21"/>
                <w:szCs w:val="21"/>
              </w:rPr>
              <w:t>故障</w:t>
            </w:r>
          </w:p>
          <w:p w14:paraId="30FAB398">
            <w:pPr>
              <w:spacing w:before="114" w:line="222" w:lineRule="auto"/>
              <w:ind w:left="304"/>
              <w:rPr>
                <w:rFonts w:ascii="宋体" w:hAnsi="宋体" w:eastAsia="宋体" w:cs="宋体"/>
                <w:sz w:val="21"/>
                <w:szCs w:val="21"/>
              </w:rPr>
            </w:pPr>
            <w:r>
              <w:rPr>
                <w:rFonts w:ascii="宋体" w:hAnsi="宋体" w:eastAsia="宋体" w:cs="宋体"/>
                <w:spacing w:val="10"/>
                <w:sz w:val="21"/>
                <w:szCs w:val="21"/>
              </w:rPr>
              <w:t>原因</w:t>
            </w:r>
          </w:p>
        </w:tc>
        <w:tc>
          <w:tcPr>
            <w:tcW w:w="1229" w:type="dxa"/>
            <w:vMerge w:val="restart"/>
            <w:tcBorders>
              <w:bottom w:val="nil"/>
            </w:tcBorders>
            <w:vAlign w:val="top"/>
          </w:tcPr>
          <w:p w14:paraId="322B81A4">
            <w:pPr>
              <w:pStyle w:val="6"/>
              <w:spacing w:line="272" w:lineRule="auto"/>
            </w:pPr>
          </w:p>
          <w:p w14:paraId="2F1C86EF">
            <w:pPr>
              <w:spacing w:before="69" w:line="320" w:lineRule="auto"/>
              <w:ind w:left="85" w:right="75" w:firstLine="100"/>
              <w:rPr>
                <w:rFonts w:ascii="宋体" w:hAnsi="宋体" w:eastAsia="宋体" w:cs="宋体"/>
                <w:sz w:val="21"/>
                <w:szCs w:val="21"/>
              </w:rPr>
            </w:pPr>
            <w:r>
              <w:rPr>
                <w:rFonts w:ascii="宋体" w:hAnsi="宋体" w:eastAsia="宋体" w:cs="宋体"/>
                <w:spacing w:val="-2"/>
                <w:sz w:val="21"/>
                <w:szCs w:val="21"/>
              </w:rPr>
              <w:t>任务阶段</w:t>
            </w:r>
            <w:r>
              <w:rPr>
                <w:rFonts w:ascii="宋体" w:hAnsi="宋体" w:eastAsia="宋体" w:cs="宋体"/>
                <w:sz w:val="21"/>
                <w:szCs w:val="21"/>
              </w:rPr>
              <w:t xml:space="preserve">  </w:t>
            </w:r>
            <w:r>
              <w:rPr>
                <w:rFonts w:ascii="宋体" w:hAnsi="宋体" w:eastAsia="宋体" w:cs="宋体"/>
                <w:spacing w:val="1"/>
                <w:sz w:val="21"/>
                <w:szCs w:val="21"/>
              </w:rPr>
              <w:t>与工作方式</w:t>
            </w:r>
          </w:p>
        </w:tc>
        <w:tc>
          <w:tcPr>
            <w:tcW w:w="2489" w:type="dxa"/>
            <w:gridSpan w:val="3"/>
            <w:vAlign w:val="top"/>
          </w:tcPr>
          <w:p w14:paraId="57602981">
            <w:pPr>
              <w:spacing w:before="103" w:line="219" w:lineRule="auto"/>
              <w:ind w:left="816"/>
              <w:rPr>
                <w:rFonts w:ascii="宋体" w:hAnsi="宋体" w:eastAsia="宋体" w:cs="宋体"/>
                <w:sz w:val="21"/>
                <w:szCs w:val="21"/>
              </w:rPr>
            </w:pPr>
            <w:r>
              <w:rPr>
                <w:rFonts w:ascii="宋体" w:hAnsi="宋体" w:eastAsia="宋体" w:cs="宋体"/>
                <w:spacing w:val="4"/>
                <w:sz w:val="21"/>
                <w:szCs w:val="21"/>
              </w:rPr>
              <w:t>故障影响</w:t>
            </w:r>
          </w:p>
        </w:tc>
        <w:tc>
          <w:tcPr>
            <w:tcW w:w="1019" w:type="dxa"/>
            <w:vMerge w:val="restart"/>
            <w:tcBorders>
              <w:bottom w:val="nil"/>
            </w:tcBorders>
            <w:vAlign w:val="top"/>
          </w:tcPr>
          <w:p w14:paraId="40888EB8">
            <w:pPr>
              <w:pStyle w:val="6"/>
              <w:spacing w:line="274" w:lineRule="auto"/>
            </w:pPr>
          </w:p>
          <w:p w14:paraId="7CAC563D">
            <w:pPr>
              <w:spacing w:before="69" w:line="300" w:lineRule="auto"/>
              <w:ind w:left="295" w:right="179" w:hanging="109"/>
              <w:rPr>
                <w:rFonts w:ascii="宋体" w:hAnsi="宋体" w:eastAsia="宋体" w:cs="宋体"/>
                <w:sz w:val="21"/>
                <w:szCs w:val="21"/>
              </w:rPr>
            </w:pPr>
            <w:r>
              <w:rPr>
                <w:rFonts w:ascii="宋体" w:hAnsi="宋体" w:eastAsia="宋体" w:cs="宋体"/>
                <w:spacing w:val="4"/>
                <w:sz w:val="21"/>
                <w:szCs w:val="21"/>
              </w:rPr>
              <w:t>严酷度</w:t>
            </w:r>
            <w:r>
              <w:rPr>
                <w:rFonts w:ascii="宋体" w:hAnsi="宋体" w:eastAsia="宋体" w:cs="宋体"/>
                <w:sz w:val="21"/>
                <w:szCs w:val="21"/>
              </w:rPr>
              <w:t xml:space="preserve"> </w:t>
            </w:r>
            <w:r>
              <w:rPr>
                <w:rFonts w:ascii="宋体" w:hAnsi="宋体" w:eastAsia="宋体" w:cs="宋体"/>
                <w:spacing w:val="8"/>
                <w:sz w:val="21"/>
                <w:szCs w:val="21"/>
              </w:rPr>
              <w:t>类别</w:t>
            </w:r>
          </w:p>
        </w:tc>
        <w:tc>
          <w:tcPr>
            <w:tcW w:w="1029" w:type="dxa"/>
            <w:vMerge w:val="restart"/>
            <w:tcBorders>
              <w:bottom w:val="nil"/>
            </w:tcBorders>
            <w:vAlign w:val="top"/>
          </w:tcPr>
          <w:p w14:paraId="060D0631">
            <w:pPr>
              <w:pStyle w:val="6"/>
              <w:spacing w:line="273" w:lineRule="auto"/>
            </w:pPr>
          </w:p>
          <w:p w14:paraId="7B9B8AF2">
            <w:pPr>
              <w:spacing w:before="69" w:line="303" w:lineRule="auto"/>
              <w:ind w:left="298" w:right="73" w:hanging="210"/>
              <w:rPr>
                <w:rFonts w:ascii="宋体" w:hAnsi="宋体" w:eastAsia="宋体" w:cs="宋体"/>
                <w:sz w:val="21"/>
                <w:szCs w:val="21"/>
              </w:rPr>
            </w:pPr>
            <w:r>
              <w:rPr>
                <w:rFonts w:ascii="宋体" w:hAnsi="宋体" w:eastAsia="宋体" w:cs="宋体"/>
                <w:spacing w:val="4"/>
                <w:sz w:val="21"/>
                <w:szCs w:val="21"/>
              </w:rPr>
              <w:t>故障检测</w:t>
            </w:r>
            <w:r>
              <w:rPr>
                <w:rFonts w:ascii="宋体" w:hAnsi="宋体" w:eastAsia="宋体" w:cs="宋体"/>
                <w:sz w:val="21"/>
                <w:szCs w:val="21"/>
              </w:rPr>
              <w:t xml:space="preserve"> </w:t>
            </w:r>
            <w:r>
              <w:rPr>
                <w:rFonts w:ascii="宋体" w:hAnsi="宋体" w:eastAsia="宋体" w:cs="宋体"/>
                <w:spacing w:val="-3"/>
                <w:sz w:val="21"/>
                <w:szCs w:val="21"/>
              </w:rPr>
              <w:t>方法</w:t>
            </w:r>
          </w:p>
        </w:tc>
        <w:tc>
          <w:tcPr>
            <w:tcW w:w="620" w:type="dxa"/>
            <w:vMerge w:val="restart"/>
            <w:tcBorders>
              <w:bottom w:val="nil"/>
            </w:tcBorders>
            <w:vAlign w:val="top"/>
          </w:tcPr>
          <w:p w14:paraId="1634CD8C">
            <w:pPr>
              <w:spacing w:before="174" w:line="221" w:lineRule="auto"/>
              <w:ind w:left="99"/>
              <w:rPr>
                <w:rFonts w:ascii="宋体" w:hAnsi="宋体" w:eastAsia="宋体" w:cs="宋体"/>
                <w:sz w:val="21"/>
                <w:szCs w:val="21"/>
              </w:rPr>
            </w:pPr>
            <w:r>
              <w:rPr>
                <w:rFonts w:ascii="宋体" w:hAnsi="宋体" w:eastAsia="宋体" w:cs="宋体"/>
                <w:spacing w:val="4"/>
                <w:sz w:val="21"/>
                <w:szCs w:val="21"/>
              </w:rPr>
              <w:t>设计</w:t>
            </w:r>
          </w:p>
          <w:p w14:paraId="1B899036">
            <w:pPr>
              <w:spacing w:before="87" w:line="219" w:lineRule="auto"/>
              <w:ind w:left="99"/>
              <w:rPr>
                <w:rFonts w:ascii="宋体" w:hAnsi="宋体" w:eastAsia="宋体" w:cs="宋体"/>
                <w:sz w:val="21"/>
                <w:szCs w:val="21"/>
              </w:rPr>
            </w:pPr>
            <w:r>
              <w:rPr>
                <w:rFonts w:ascii="宋体" w:hAnsi="宋体" w:eastAsia="宋体" w:cs="宋体"/>
                <w:spacing w:val="4"/>
                <w:sz w:val="21"/>
                <w:szCs w:val="21"/>
              </w:rPr>
              <w:t>改进</w:t>
            </w:r>
          </w:p>
          <w:p w14:paraId="4DBAA848">
            <w:pPr>
              <w:spacing w:before="91" w:line="220" w:lineRule="auto"/>
              <w:ind w:left="99"/>
              <w:rPr>
                <w:rFonts w:ascii="宋体" w:hAnsi="宋体" w:eastAsia="宋体" w:cs="宋体"/>
                <w:sz w:val="21"/>
                <w:szCs w:val="21"/>
              </w:rPr>
            </w:pPr>
            <w:r>
              <w:rPr>
                <w:rFonts w:ascii="宋体" w:hAnsi="宋体" w:eastAsia="宋体" w:cs="宋体"/>
                <w:spacing w:val="-3"/>
                <w:sz w:val="21"/>
                <w:szCs w:val="21"/>
              </w:rPr>
              <w:t>措施</w:t>
            </w:r>
          </w:p>
        </w:tc>
        <w:tc>
          <w:tcPr>
            <w:tcW w:w="620" w:type="dxa"/>
            <w:vMerge w:val="restart"/>
            <w:tcBorders>
              <w:bottom w:val="nil"/>
            </w:tcBorders>
            <w:vAlign w:val="top"/>
          </w:tcPr>
          <w:p w14:paraId="24171785">
            <w:pPr>
              <w:spacing w:before="173" w:line="301" w:lineRule="auto"/>
              <w:ind w:left="99" w:right="65"/>
              <w:jc w:val="both"/>
              <w:rPr>
                <w:rFonts w:ascii="宋体" w:hAnsi="宋体" w:eastAsia="宋体" w:cs="宋体"/>
                <w:sz w:val="21"/>
                <w:szCs w:val="21"/>
              </w:rPr>
            </w:pPr>
            <w:r>
              <w:rPr>
                <w:rFonts w:ascii="宋体" w:hAnsi="宋体" w:eastAsia="宋体" w:cs="宋体"/>
                <w:spacing w:val="12"/>
                <w:sz w:val="21"/>
                <w:szCs w:val="21"/>
              </w:rPr>
              <w:t>使用</w:t>
            </w:r>
            <w:r>
              <w:rPr>
                <w:rFonts w:ascii="宋体" w:hAnsi="宋体" w:eastAsia="宋体" w:cs="宋体"/>
                <w:sz w:val="21"/>
                <w:szCs w:val="21"/>
              </w:rPr>
              <w:t xml:space="preserve"> </w:t>
            </w:r>
            <w:r>
              <w:rPr>
                <w:rFonts w:ascii="宋体" w:hAnsi="宋体" w:eastAsia="宋体" w:cs="宋体"/>
                <w:spacing w:val="-5"/>
                <w:sz w:val="21"/>
                <w:szCs w:val="21"/>
              </w:rPr>
              <w:t>补偿</w:t>
            </w:r>
            <w:r>
              <w:rPr>
                <w:rFonts w:ascii="宋体" w:hAnsi="宋体" w:eastAsia="宋体" w:cs="宋体"/>
                <w:sz w:val="21"/>
                <w:szCs w:val="21"/>
              </w:rPr>
              <w:t xml:space="preserve"> </w:t>
            </w:r>
            <w:r>
              <w:rPr>
                <w:rFonts w:ascii="宋体" w:hAnsi="宋体" w:eastAsia="宋体" w:cs="宋体"/>
                <w:spacing w:val="-3"/>
                <w:sz w:val="21"/>
                <w:szCs w:val="21"/>
              </w:rPr>
              <w:t>措施</w:t>
            </w:r>
          </w:p>
        </w:tc>
        <w:tc>
          <w:tcPr>
            <w:tcW w:w="1004" w:type="dxa"/>
            <w:vMerge w:val="restart"/>
            <w:tcBorders>
              <w:bottom w:val="nil"/>
            </w:tcBorders>
            <w:vAlign w:val="top"/>
          </w:tcPr>
          <w:p w14:paraId="77FB8D2F">
            <w:pPr>
              <w:pStyle w:val="6"/>
              <w:spacing w:line="443" w:lineRule="auto"/>
            </w:pPr>
          </w:p>
          <w:p w14:paraId="53F638ED">
            <w:pPr>
              <w:spacing w:before="69" w:line="221" w:lineRule="auto"/>
              <w:ind w:left="289"/>
              <w:rPr>
                <w:rFonts w:ascii="宋体" w:hAnsi="宋体" w:eastAsia="宋体" w:cs="宋体"/>
                <w:sz w:val="21"/>
                <w:szCs w:val="21"/>
              </w:rPr>
            </w:pPr>
            <w:r>
              <w:rPr>
                <w:rFonts w:ascii="宋体" w:hAnsi="宋体" w:eastAsia="宋体" w:cs="宋体"/>
                <w:spacing w:val="5"/>
                <w:sz w:val="21"/>
                <w:szCs w:val="21"/>
              </w:rPr>
              <w:t>备注</w:t>
            </w:r>
          </w:p>
        </w:tc>
      </w:tr>
      <w:tr w14:paraId="65BCA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1254" w:type="dxa"/>
            <w:vMerge w:val="continue"/>
            <w:tcBorders>
              <w:top w:val="nil"/>
            </w:tcBorders>
            <w:vAlign w:val="top"/>
          </w:tcPr>
          <w:p w14:paraId="41155861">
            <w:pPr>
              <w:pStyle w:val="6"/>
            </w:pPr>
          </w:p>
        </w:tc>
        <w:tc>
          <w:tcPr>
            <w:tcW w:w="1239" w:type="dxa"/>
            <w:vMerge w:val="continue"/>
            <w:tcBorders>
              <w:top w:val="nil"/>
            </w:tcBorders>
            <w:vAlign w:val="top"/>
          </w:tcPr>
          <w:p w14:paraId="49060C78">
            <w:pPr>
              <w:pStyle w:val="6"/>
            </w:pPr>
          </w:p>
        </w:tc>
        <w:tc>
          <w:tcPr>
            <w:tcW w:w="1029" w:type="dxa"/>
            <w:vMerge w:val="continue"/>
            <w:tcBorders>
              <w:top w:val="nil"/>
            </w:tcBorders>
            <w:vAlign w:val="top"/>
          </w:tcPr>
          <w:p w14:paraId="224EC07F">
            <w:pPr>
              <w:pStyle w:val="6"/>
            </w:pPr>
          </w:p>
        </w:tc>
        <w:tc>
          <w:tcPr>
            <w:tcW w:w="1039" w:type="dxa"/>
            <w:vMerge w:val="continue"/>
            <w:tcBorders>
              <w:top w:val="nil"/>
            </w:tcBorders>
            <w:vAlign w:val="top"/>
          </w:tcPr>
          <w:p w14:paraId="1927DA1F">
            <w:pPr>
              <w:pStyle w:val="6"/>
            </w:pPr>
          </w:p>
        </w:tc>
        <w:tc>
          <w:tcPr>
            <w:tcW w:w="1049" w:type="dxa"/>
            <w:vMerge w:val="continue"/>
            <w:tcBorders>
              <w:top w:val="nil"/>
            </w:tcBorders>
            <w:vAlign w:val="top"/>
          </w:tcPr>
          <w:p w14:paraId="3660E80B">
            <w:pPr>
              <w:pStyle w:val="6"/>
            </w:pPr>
          </w:p>
        </w:tc>
        <w:tc>
          <w:tcPr>
            <w:tcW w:w="1229" w:type="dxa"/>
            <w:vMerge w:val="continue"/>
            <w:tcBorders>
              <w:top w:val="nil"/>
            </w:tcBorders>
            <w:vAlign w:val="top"/>
          </w:tcPr>
          <w:p w14:paraId="217EEC77">
            <w:pPr>
              <w:pStyle w:val="6"/>
            </w:pPr>
          </w:p>
        </w:tc>
        <w:tc>
          <w:tcPr>
            <w:tcW w:w="820" w:type="dxa"/>
            <w:vAlign w:val="top"/>
          </w:tcPr>
          <w:p w14:paraId="3DFD2885">
            <w:pPr>
              <w:spacing w:before="129" w:line="219" w:lineRule="auto"/>
              <w:ind w:left="196"/>
              <w:rPr>
                <w:rFonts w:ascii="宋体" w:hAnsi="宋体" w:eastAsia="宋体" w:cs="宋体"/>
                <w:sz w:val="21"/>
                <w:szCs w:val="21"/>
              </w:rPr>
            </w:pPr>
            <w:r>
              <w:rPr>
                <w:rFonts w:ascii="宋体" w:hAnsi="宋体" w:eastAsia="宋体" w:cs="宋体"/>
                <w:spacing w:val="5"/>
                <w:sz w:val="21"/>
                <w:szCs w:val="21"/>
              </w:rPr>
              <w:t>局部</w:t>
            </w:r>
          </w:p>
          <w:p w14:paraId="15CE06BE">
            <w:pPr>
              <w:spacing w:before="103" w:line="221" w:lineRule="auto"/>
              <w:ind w:left="196"/>
              <w:rPr>
                <w:rFonts w:ascii="宋体" w:hAnsi="宋体" w:eastAsia="宋体" w:cs="宋体"/>
                <w:sz w:val="21"/>
                <w:szCs w:val="21"/>
              </w:rPr>
            </w:pPr>
            <w:r>
              <w:rPr>
                <w:rFonts w:ascii="宋体" w:hAnsi="宋体" w:eastAsia="宋体" w:cs="宋体"/>
                <w:spacing w:val="8"/>
                <w:sz w:val="21"/>
                <w:szCs w:val="21"/>
              </w:rPr>
              <w:t>影响</w:t>
            </w:r>
          </w:p>
        </w:tc>
        <w:tc>
          <w:tcPr>
            <w:tcW w:w="829" w:type="dxa"/>
            <w:vAlign w:val="top"/>
          </w:tcPr>
          <w:p w14:paraId="058C3932">
            <w:pPr>
              <w:spacing w:before="119" w:line="219" w:lineRule="auto"/>
              <w:ind w:left="96"/>
              <w:rPr>
                <w:rFonts w:ascii="宋体" w:hAnsi="宋体" w:eastAsia="宋体" w:cs="宋体"/>
                <w:sz w:val="21"/>
                <w:szCs w:val="21"/>
              </w:rPr>
            </w:pPr>
            <w:r>
              <w:rPr>
                <w:rFonts w:ascii="宋体" w:hAnsi="宋体" w:eastAsia="宋体" w:cs="宋体"/>
                <w:spacing w:val="4"/>
                <w:sz w:val="21"/>
                <w:szCs w:val="21"/>
              </w:rPr>
              <w:t>高一层</w:t>
            </w:r>
          </w:p>
          <w:p w14:paraId="35DF5B03">
            <w:pPr>
              <w:spacing w:before="110" w:line="219" w:lineRule="auto"/>
              <w:ind w:left="96"/>
              <w:rPr>
                <w:rFonts w:ascii="宋体" w:hAnsi="宋体" w:eastAsia="宋体" w:cs="宋体"/>
                <w:sz w:val="21"/>
                <w:szCs w:val="21"/>
              </w:rPr>
            </w:pPr>
            <w:r>
              <w:rPr>
                <w:rFonts w:ascii="宋体" w:hAnsi="宋体" w:eastAsia="宋体" w:cs="宋体"/>
                <w:spacing w:val="5"/>
                <w:sz w:val="21"/>
                <w:szCs w:val="21"/>
              </w:rPr>
              <w:t>次影响</w:t>
            </w:r>
          </w:p>
        </w:tc>
        <w:tc>
          <w:tcPr>
            <w:tcW w:w="840" w:type="dxa"/>
            <w:vAlign w:val="top"/>
          </w:tcPr>
          <w:p w14:paraId="38EC0784">
            <w:pPr>
              <w:spacing w:before="129" w:line="294" w:lineRule="auto"/>
              <w:ind w:left="206" w:right="185"/>
              <w:rPr>
                <w:rFonts w:ascii="宋体" w:hAnsi="宋体" w:eastAsia="宋体" w:cs="宋体"/>
                <w:sz w:val="21"/>
                <w:szCs w:val="21"/>
              </w:rPr>
            </w:pPr>
            <w:r>
              <w:rPr>
                <w:rFonts w:ascii="宋体" w:hAnsi="宋体" w:eastAsia="宋体" w:cs="宋体"/>
                <w:spacing w:val="-6"/>
                <w:sz w:val="21"/>
                <w:szCs w:val="21"/>
              </w:rPr>
              <w:t>最终</w:t>
            </w:r>
            <w:r>
              <w:rPr>
                <w:rFonts w:ascii="宋体" w:hAnsi="宋体" w:eastAsia="宋体" w:cs="宋体"/>
                <w:sz w:val="21"/>
                <w:szCs w:val="21"/>
              </w:rPr>
              <w:t xml:space="preserve"> </w:t>
            </w:r>
            <w:r>
              <w:rPr>
                <w:rFonts w:ascii="宋体" w:hAnsi="宋体" w:eastAsia="宋体" w:cs="宋体"/>
                <w:spacing w:val="8"/>
                <w:sz w:val="21"/>
                <w:szCs w:val="21"/>
              </w:rPr>
              <w:t>影响</w:t>
            </w:r>
          </w:p>
        </w:tc>
        <w:tc>
          <w:tcPr>
            <w:tcW w:w="1019" w:type="dxa"/>
            <w:vMerge w:val="continue"/>
            <w:tcBorders>
              <w:top w:val="nil"/>
            </w:tcBorders>
            <w:vAlign w:val="top"/>
          </w:tcPr>
          <w:p w14:paraId="401C86EF">
            <w:pPr>
              <w:pStyle w:val="6"/>
            </w:pPr>
          </w:p>
        </w:tc>
        <w:tc>
          <w:tcPr>
            <w:tcW w:w="1029" w:type="dxa"/>
            <w:vMerge w:val="continue"/>
            <w:tcBorders>
              <w:top w:val="nil"/>
            </w:tcBorders>
            <w:vAlign w:val="top"/>
          </w:tcPr>
          <w:p w14:paraId="1C5DF747">
            <w:pPr>
              <w:pStyle w:val="6"/>
            </w:pPr>
          </w:p>
        </w:tc>
        <w:tc>
          <w:tcPr>
            <w:tcW w:w="620" w:type="dxa"/>
            <w:vMerge w:val="continue"/>
            <w:tcBorders>
              <w:top w:val="nil"/>
            </w:tcBorders>
            <w:vAlign w:val="top"/>
          </w:tcPr>
          <w:p w14:paraId="68840184">
            <w:pPr>
              <w:pStyle w:val="6"/>
            </w:pPr>
          </w:p>
        </w:tc>
        <w:tc>
          <w:tcPr>
            <w:tcW w:w="620" w:type="dxa"/>
            <w:vMerge w:val="continue"/>
            <w:tcBorders>
              <w:top w:val="nil"/>
            </w:tcBorders>
            <w:vAlign w:val="top"/>
          </w:tcPr>
          <w:p w14:paraId="3663B7D5">
            <w:pPr>
              <w:pStyle w:val="6"/>
            </w:pPr>
          </w:p>
        </w:tc>
        <w:tc>
          <w:tcPr>
            <w:tcW w:w="1004" w:type="dxa"/>
            <w:vMerge w:val="continue"/>
            <w:tcBorders>
              <w:top w:val="nil"/>
            </w:tcBorders>
            <w:vAlign w:val="top"/>
          </w:tcPr>
          <w:p w14:paraId="60F9B349">
            <w:pPr>
              <w:pStyle w:val="6"/>
            </w:pPr>
          </w:p>
        </w:tc>
      </w:tr>
      <w:tr w14:paraId="3CE82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254" w:type="dxa"/>
            <w:vAlign w:val="top"/>
          </w:tcPr>
          <w:p w14:paraId="0BD99640">
            <w:pPr>
              <w:spacing w:before="124" w:line="222" w:lineRule="auto"/>
              <w:ind w:left="455"/>
              <w:rPr>
                <w:rFonts w:ascii="宋体" w:hAnsi="宋体" w:eastAsia="宋体" w:cs="宋体"/>
                <w:sz w:val="21"/>
                <w:szCs w:val="21"/>
              </w:rPr>
            </w:pPr>
            <w:r>
              <w:rPr>
                <w:rFonts w:ascii="宋体" w:hAnsi="宋体" w:eastAsia="宋体" w:cs="宋体"/>
                <w:spacing w:val="-11"/>
                <w:sz w:val="21"/>
                <w:szCs w:val="21"/>
              </w:rPr>
              <w:t>(1)</w:t>
            </w:r>
          </w:p>
        </w:tc>
        <w:tc>
          <w:tcPr>
            <w:tcW w:w="1239" w:type="dxa"/>
            <w:vAlign w:val="top"/>
          </w:tcPr>
          <w:p w14:paraId="53807164">
            <w:pPr>
              <w:spacing w:before="124" w:line="222" w:lineRule="auto"/>
              <w:ind w:left="451"/>
              <w:rPr>
                <w:rFonts w:ascii="宋体" w:hAnsi="宋体" w:eastAsia="宋体" w:cs="宋体"/>
                <w:sz w:val="21"/>
                <w:szCs w:val="21"/>
              </w:rPr>
            </w:pPr>
            <w:r>
              <w:rPr>
                <w:rFonts w:ascii="宋体" w:hAnsi="宋体" w:eastAsia="宋体" w:cs="宋体"/>
                <w:spacing w:val="-11"/>
                <w:sz w:val="21"/>
                <w:szCs w:val="21"/>
              </w:rPr>
              <w:t>(2)</w:t>
            </w:r>
          </w:p>
        </w:tc>
        <w:tc>
          <w:tcPr>
            <w:tcW w:w="1029" w:type="dxa"/>
            <w:vAlign w:val="top"/>
          </w:tcPr>
          <w:p w14:paraId="31918A72">
            <w:pPr>
              <w:spacing w:before="124" w:line="222" w:lineRule="auto"/>
              <w:ind w:left="341"/>
              <w:rPr>
                <w:rFonts w:ascii="宋体" w:hAnsi="宋体" w:eastAsia="宋体" w:cs="宋体"/>
                <w:sz w:val="21"/>
                <w:szCs w:val="21"/>
              </w:rPr>
            </w:pPr>
            <w:r>
              <w:rPr>
                <w:rFonts w:ascii="宋体" w:hAnsi="宋体" w:eastAsia="宋体" w:cs="宋体"/>
                <w:spacing w:val="-11"/>
                <w:sz w:val="21"/>
                <w:szCs w:val="21"/>
              </w:rPr>
              <w:t>(3)</w:t>
            </w:r>
          </w:p>
        </w:tc>
        <w:tc>
          <w:tcPr>
            <w:tcW w:w="1039" w:type="dxa"/>
            <w:vAlign w:val="top"/>
          </w:tcPr>
          <w:p w14:paraId="677E9C77">
            <w:pPr>
              <w:spacing w:before="124" w:line="222" w:lineRule="auto"/>
              <w:ind w:left="353"/>
              <w:rPr>
                <w:rFonts w:ascii="宋体" w:hAnsi="宋体" w:eastAsia="宋体" w:cs="宋体"/>
                <w:sz w:val="21"/>
                <w:szCs w:val="21"/>
              </w:rPr>
            </w:pPr>
            <w:r>
              <w:rPr>
                <w:rFonts w:ascii="宋体" w:hAnsi="宋体" w:eastAsia="宋体" w:cs="宋体"/>
                <w:spacing w:val="-11"/>
                <w:sz w:val="21"/>
                <w:szCs w:val="21"/>
              </w:rPr>
              <w:t>(4)</w:t>
            </w:r>
          </w:p>
        </w:tc>
        <w:tc>
          <w:tcPr>
            <w:tcW w:w="1049" w:type="dxa"/>
            <w:vAlign w:val="top"/>
          </w:tcPr>
          <w:p w14:paraId="086AC942">
            <w:pPr>
              <w:spacing w:before="124" w:line="222" w:lineRule="auto"/>
              <w:ind w:left="354"/>
              <w:rPr>
                <w:rFonts w:ascii="宋体" w:hAnsi="宋体" w:eastAsia="宋体" w:cs="宋体"/>
                <w:sz w:val="21"/>
                <w:szCs w:val="21"/>
              </w:rPr>
            </w:pPr>
            <w:r>
              <w:rPr>
                <w:rFonts w:ascii="宋体" w:hAnsi="宋体" w:eastAsia="宋体" w:cs="宋体"/>
                <w:spacing w:val="-11"/>
                <w:sz w:val="21"/>
                <w:szCs w:val="21"/>
              </w:rPr>
              <w:t>(5)</w:t>
            </w:r>
          </w:p>
        </w:tc>
        <w:tc>
          <w:tcPr>
            <w:tcW w:w="1229" w:type="dxa"/>
            <w:vAlign w:val="top"/>
          </w:tcPr>
          <w:p w14:paraId="52F3428F">
            <w:pPr>
              <w:spacing w:before="124" w:line="222" w:lineRule="auto"/>
              <w:ind w:left="445"/>
              <w:rPr>
                <w:rFonts w:ascii="宋体" w:hAnsi="宋体" w:eastAsia="宋体" w:cs="宋体"/>
                <w:sz w:val="21"/>
                <w:szCs w:val="21"/>
              </w:rPr>
            </w:pPr>
            <w:r>
              <w:rPr>
                <w:rFonts w:ascii="宋体" w:hAnsi="宋体" w:eastAsia="宋体" w:cs="宋体"/>
                <w:spacing w:val="-11"/>
                <w:sz w:val="21"/>
                <w:szCs w:val="21"/>
              </w:rPr>
              <w:t>(6)</w:t>
            </w:r>
          </w:p>
        </w:tc>
        <w:tc>
          <w:tcPr>
            <w:tcW w:w="820" w:type="dxa"/>
            <w:vAlign w:val="top"/>
          </w:tcPr>
          <w:p w14:paraId="2AE18305">
            <w:pPr>
              <w:spacing w:before="124" w:line="222" w:lineRule="auto"/>
              <w:ind w:left="246"/>
              <w:rPr>
                <w:rFonts w:ascii="宋体" w:hAnsi="宋体" w:eastAsia="宋体" w:cs="宋体"/>
                <w:sz w:val="21"/>
                <w:szCs w:val="21"/>
              </w:rPr>
            </w:pPr>
            <w:r>
              <w:rPr>
                <w:rFonts w:ascii="宋体" w:hAnsi="宋体" w:eastAsia="宋体" w:cs="宋体"/>
                <w:spacing w:val="-11"/>
                <w:sz w:val="21"/>
                <w:szCs w:val="21"/>
              </w:rPr>
              <w:t>(7)</w:t>
            </w:r>
          </w:p>
        </w:tc>
        <w:tc>
          <w:tcPr>
            <w:tcW w:w="829" w:type="dxa"/>
            <w:vAlign w:val="top"/>
          </w:tcPr>
          <w:p w14:paraId="1933EE77">
            <w:pPr>
              <w:spacing w:before="124" w:line="222" w:lineRule="auto"/>
              <w:ind w:left="246"/>
              <w:rPr>
                <w:rFonts w:ascii="宋体" w:hAnsi="宋体" w:eastAsia="宋体" w:cs="宋体"/>
                <w:sz w:val="21"/>
                <w:szCs w:val="21"/>
              </w:rPr>
            </w:pPr>
            <w:r>
              <w:rPr>
                <w:rFonts w:ascii="宋体" w:hAnsi="宋体" w:eastAsia="宋体" w:cs="宋体"/>
                <w:spacing w:val="-11"/>
                <w:sz w:val="21"/>
                <w:szCs w:val="21"/>
              </w:rPr>
              <w:t>(8)</w:t>
            </w:r>
          </w:p>
        </w:tc>
        <w:tc>
          <w:tcPr>
            <w:tcW w:w="840" w:type="dxa"/>
            <w:vAlign w:val="top"/>
          </w:tcPr>
          <w:p w14:paraId="6E076307">
            <w:pPr>
              <w:spacing w:before="124" w:line="222" w:lineRule="auto"/>
              <w:ind w:left="257"/>
              <w:rPr>
                <w:rFonts w:ascii="宋体" w:hAnsi="宋体" w:eastAsia="宋体" w:cs="宋体"/>
                <w:sz w:val="21"/>
                <w:szCs w:val="21"/>
              </w:rPr>
            </w:pPr>
            <w:r>
              <w:rPr>
                <w:rFonts w:ascii="宋体" w:hAnsi="宋体" w:eastAsia="宋体" w:cs="宋体"/>
                <w:spacing w:val="-11"/>
                <w:sz w:val="21"/>
                <w:szCs w:val="21"/>
              </w:rPr>
              <w:t>(9)</w:t>
            </w:r>
          </w:p>
        </w:tc>
        <w:tc>
          <w:tcPr>
            <w:tcW w:w="1019" w:type="dxa"/>
            <w:vAlign w:val="top"/>
          </w:tcPr>
          <w:p w14:paraId="5FCDD48A">
            <w:pPr>
              <w:spacing w:before="124" w:line="222" w:lineRule="auto"/>
              <w:ind w:left="296"/>
              <w:rPr>
                <w:rFonts w:ascii="宋体" w:hAnsi="宋体" w:eastAsia="宋体" w:cs="宋体"/>
                <w:sz w:val="21"/>
                <w:szCs w:val="21"/>
              </w:rPr>
            </w:pPr>
            <w:r>
              <w:rPr>
                <w:rFonts w:ascii="宋体" w:hAnsi="宋体" w:eastAsia="宋体" w:cs="宋体"/>
                <w:spacing w:val="-9"/>
                <w:sz w:val="21"/>
                <w:szCs w:val="21"/>
              </w:rPr>
              <w:t>(10)</w:t>
            </w:r>
          </w:p>
        </w:tc>
        <w:tc>
          <w:tcPr>
            <w:tcW w:w="1029" w:type="dxa"/>
            <w:vAlign w:val="top"/>
          </w:tcPr>
          <w:p w14:paraId="6A86A60D">
            <w:pPr>
              <w:spacing w:before="124" w:line="222" w:lineRule="auto"/>
              <w:ind w:left="298"/>
              <w:rPr>
                <w:rFonts w:ascii="宋体" w:hAnsi="宋体" w:eastAsia="宋体" w:cs="宋体"/>
                <w:sz w:val="21"/>
                <w:szCs w:val="21"/>
              </w:rPr>
            </w:pPr>
            <w:r>
              <w:rPr>
                <w:rFonts w:ascii="宋体" w:hAnsi="宋体" w:eastAsia="宋体" w:cs="宋体"/>
                <w:spacing w:val="-9"/>
                <w:sz w:val="21"/>
                <w:szCs w:val="21"/>
              </w:rPr>
              <w:t>(11)</w:t>
            </w:r>
          </w:p>
        </w:tc>
        <w:tc>
          <w:tcPr>
            <w:tcW w:w="620" w:type="dxa"/>
            <w:vAlign w:val="top"/>
          </w:tcPr>
          <w:p w14:paraId="08FCD5A2">
            <w:pPr>
              <w:spacing w:before="124" w:line="222" w:lineRule="auto"/>
              <w:ind w:left="99"/>
              <w:rPr>
                <w:rFonts w:ascii="宋体" w:hAnsi="宋体" w:eastAsia="宋体" w:cs="宋体"/>
                <w:sz w:val="21"/>
                <w:szCs w:val="21"/>
              </w:rPr>
            </w:pPr>
            <w:r>
              <w:rPr>
                <w:rFonts w:ascii="宋体" w:hAnsi="宋体" w:eastAsia="宋体" w:cs="宋体"/>
                <w:spacing w:val="-9"/>
                <w:sz w:val="21"/>
                <w:szCs w:val="21"/>
              </w:rPr>
              <w:t>(12)</w:t>
            </w:r>
          </w:p>
        </w:tc>
        <w:tc>
          <w:tcPr>
            <w:tcW w:w="620" w:type="dxa"/>
            <w:vAlign w:val="top"/>
          </w:tcPr>
          <w:p w14:paraId="30FB07E0">
            <w:pPr>
              <w:spacing w:before="124" w:line="222" w:lineRule="auto"/>
              <w:ind w:left="99"/>
              <w:rPr>
                <w:rFonts w:ascii="宋体" w:hAnsi="宋体" w:eastAsia="宋体" w:cs="宋体"/>
                <w:sz w:val="21"/>
                <w:szCs w:val="21"/>
              </w:rPr>
            </w:pPr>
            <w:r>
              <w:rPr>
                <w:rFonts w:ascii="宋体" w:hAnsi="宋体" w:eastAsia="宋体" w:cs="宋体"/>
                <w:spacing w:val="-9"/>
                <w:sz w:val="21"/>
                <w:szCs w:val="21"/>
              </w:rPr>
              <w:t>(13)</w:t>
            </w:r>
          </w:p>
        </w:tc>
        <w:tc>
          <w:tcPr>
            <w:tcW w:w="1004" w:type="dxa"/>
            <w:vAlign w:val="top"/>
          </w:tcPr>
          <w:p w14:paraId="5364B91D">
            <w:pPr>
              <w:spacing w:before="124" w:line="222" w:lineRule="auto"/>
              <w:ind w:left="289"/>
              <w:rPr>
                <w:rFonts w:ascii="宋体" w:hAnsi="宋体" w:eastAsia="宋体" w:cs="宋体"/>
                <w:sz w:val="21"/>
                <w:szCs w:val="21"/>
              </w:rPr>
            </w:pPr>
            <w:r>
              <w:rPr>
                <w:rFonts w:ascii="宋体" w:hAnsi="宋体" w:eastAsia="宋体" w:cs="宋体"/>
                <w:spacing w:val="-9"/>
                <w:sz w:val="21"/>
                <w:szCs w:val="21"/>
              </w:rPr>
              <w:t>(14)</w:t>
            </w:r>
          </w:p>
        </w:tc>
      </w:tr>
      <w:tr w14:paraId="6370A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9" w:hRule="atLeast"/>
        </w:trPr>
        <w:tc>
          <w:tcPr>
            <w:tcW w:w="1254" w:type="dxa"/>
            <w:vAlign w:val="top"/>
          </w:tcPr>
          <w:p w14:paraId="4FB470F0">
            <w:pPr>
              <w:spacing w:before="123" w:line="303" w:lineRule="auto"/>
              <w:ind w:left="65" w:right="77" w:firstLine="29"/>
              <w:jc w:val="both"/>
              <w:rPr>
                <w:rFonts w:ascii="宋体" w:hAnsi="宋体" w:eastAsia="宋体" w:cs="宋体"/>
                <w:sz w:val="21"/>
                <w:szCs w:val="21"/>
              </w:rPr>
            </w:pPr>
            <w:r>
              <w:rPr>
                <w:rFonts w:ascii="宋体" w:hAnsi="宋体" w:eastAsia="宋体" w:cs="宋体"/>
                <w:spacing w:val="4"/>
                <w:sz w:val="21"/>
                <w:szCs w:val="21"/>
              </w:rPr>
              <w:t>对每一产品</w:t>
            </w:r>
            <w:r>
              <w:rPr>
                <w:rFonts w:ascii="宋体" w:hAnsi="宋体" w:eastAsia="宋体" w:cs="宋体"/>
                <w:sz w:val="21"/>
                <w:szCs w:val="21"/>
              </w:rPr>
              <w:t xml:space="preserve"> </w:t>
            </w:r>
            <w:r>
              <w:rPr>
                <w:rFonts w:ascii="宋体" w:hAnsi="宋体" w:eastAsia="宋体" w:cs="宋体"/>
                <w:spacing w:val="9"/>
                <w:sz w:val="21"/>
                <w:szCs w:val="21"/>
              </w:rPr>
              <w:t>采用一种编</w:t>
            </w:r>
            <w:r>
              <w:rPr>
                <w:rFonts w:ascii="宋体" w:hAnsi="宋体" w:eastAsia="宋体" w:cs="宋体"/>
                <w:sz w:val="21"/>
                <w:szCs w:val="21"/>
              </w:rPr>
              <w:t xml:space="preserve"> </w:t>
            </w:r>
            <w:r>
              <w:rPr>
                <w:rFonts w:ascii="宋体" w:hAnsi="宋体" w:eastAsia="宋体" w:cs="宋体"/>
                <w:spacing w:val="4"/>
                <w:sz w:val="21"/>
                <w:szCs w:val="21"/>
              </w:rPr>
              <w:t>码体系进行</w:t>
            </w:r>
            <w:r>
              <w:rPr>
                <w:rFonts w:ascii="宋体" w:hAnsi="宋体" w:eastAsia="宋体" w:cs="宋体"/>
                <w:spacing w:val="1"/>
                <w:sz w:val="21"/>
                <w:szCs w:val="21"/>
              </w:rPr>
              <w:t xml:space="preserve"> </w:t>
            </w:r>
            <w:r>
              <w:rPr>
                <w:rFonts w:ascii="宋体" w:hAnsi="宋体" w:eastAsia="宋体" w:cs="宋体"/>
                <w:spacing w:val="6"/>
                <w:sz w:val="21"/>
                <w:szCs w:val="21"/>
              </w:rPr>
              <w:t>标识</w:t>
            </w:r>
          </w:p>
        </w:tc>
        <w:tc>
          <w:tcPr>
            <w:tcW w:w="1239" w:type="dxa"/>
            <w:vAlign w:val="top"/>
          </w:tcPr>
          <w:p w14:paraId="24DA7E6F">
            <w:pPr>
              <w:spacing w:before="122" w:line="219" w:lineRule="auto"/>
              <w:ind w:left="81"/>
              <w:rPr>
                <w:rFonts w:ascii="宋体" w:hAnsi="宋体" w:eastAsia="宋体" w:cs="宋体"/>
                <w:sz w:val="21"/>
                <w:szCs w:val="21"/>
              </w:rPr>
            </w:pPr>
            <w:r>
              <w:rPr>
                <w:rFonts w:ascii="宋体" w:hAnsi="宋体" w:eastAsia="宋体" w:cs="宋体"/>
                <w:spacing w:val="-2"/>
                <w:sz w:val="21"/>
                <w:szCs w:val="21"/>
              </w:rPr>
              <w:t>记录被分析</w:t>
            </w:r>
          </w:p>
          <w:p w14:paraId="6AAFD78C">
            <w:pPr>
              <w:spacing w:before="90" w:line="219" w:lineRule="auto"/>
              <w:ind w:left="81"/>
              <w:rPr>
                <w:rFonts w:ascii="宋体" w:hAnsi="宋体" w:eastAsia="宋体" w:cs="宋体"/>
                <w:sz w:val="21"/>
                <w:szCs w:val="21"/>
              </w:rPr>
            </w:pPr>
            <w:r>
              <w:rPr>
                <w:rFonts w:ascii="宋体" w:hAnsi="宋体" w:eastAsia="宋体" w:cs="宋体"/>
                <w:spacing w:val="-2"/>
                <w:sz w:val="21"/>
                <w:szCs w:val="21"/>
              </w:rPr>
              <w:t>产品或功能</w:t>
            </w:r>
          </w:p>
          <w:p w14:paraId="1C3A247E">
            <w:pPr>
              <w:spacing w:before="101" w:line="324" w:lineRule="auto"/>
              <w:ind w:left="81" w:right="89"/>
              <w:rPr>
                <w:rFonts w:ascii="宋体" w:hAnsi="宋体" w:eastAsia="宋体" w:cs="宋体"/>
                <w:sz w:val="21"/>
                <w:szCs w:val="21"/>
              </w:rPr>
            </w:pPr>
            <w:r>
              <w:rPr>
                <w:rFonts w:ascii="宋体" w:hAnsi="宋体" w:eastAsia="宋体" w:cs="宋体"/>
                <w:spacing w:val="1"/>
                <w:sz w:val="21"/>
                <w:szCs w:val="21"/>
              </w:rPr>
              <w:t>的名称与标</w:t>
            </w:r>
            <w:r>
              <w:rPr>
                <w:rFonts w:ascii="宋体" w:hAnsi="宋体" w:eastAsia="宋体" w:cs="宋体"/>
                <w:spacing w:val="2"/>
                <w:sz w:val="21"/>
                <w:szCs w:val="21"/>
              </w:rPr>
              <w:t xml:space="preserve"> </w:t>
            </w:r>
            <w:r>
              <w:rPr>
                <w:rFonts w:ascii="宋体" w:hAnsi="宋体" w:eastAsia="宋体" w:cs="宋体"/>
                <w:sz w:val="21"/>
                <w:szCs w:val="21"/>
              </w:rPr>
              <w:t>志</w:t>
            </w:r>
          </w:p>
        </w:tc>
        <w:tc>
          <w:tcPr>
            <w:tcW w:w="1029" w:type="dxa"/>
            <w:vAlign w:val="top"/>
          </w:tcPr>
          <w:p w14:paraId="149E61C7">
            <w:pPr>
              <w:spacing w:before="121" w:line="219" w:lineRule="auto"/>
              <w:ind w:left="82"/>
              <w:rPr>
                <w:rFonts w:ascii="宋体" w:hAnsi="宋体" w:eastAsia="宋体" w:cs="宋体"/>
                <w:sz w:val="21"/>
                <w:szCs w:val="21"/>
              </w:rPr>
            </w:pPr>
            <w:r>
              <w:rPr>
                <w:rFonts w:ascii="宋体" w:hAnsi="宋体" w:eastAsia="宋体" w:cs="宋体"/>
                <w:spacing w:val="2"/>
                <w:sz w:val="21"/>
                <w:szCs w:val="21"/>
              </w:rPr>
              <w:t>简要描述</w:t>
            </w:r>
          </w:p>
          <w:p w14:paraId="0378A681">
            <w:pPr>
              <w:spacing w:before="92" w:line="219" w:lineRule="auto"/>
              <w:ind w:left="82"/>
              <w:rPr>
                <w:rFonts w:ascii="宋体" w:hAnsi="宋体" w:eastAsia="宋体" w:cs="宋体"/>
                <w:sz w:val="21"/>
                <w:szCs w:val="21"/>
              </w:rPr>
            </w:pPr>
            <w:r>
              <w:rPr>
                <w:rFonts w:ascii="宋体" w:hAnsi="宋体" w:eastAsia="宋体" w:cs="宋体"/>
                <w:spacing w:val="-2"/>
                <w:sz w:val="21"/>
                <w:szCs w:val="21"/>
              </w:rPr>
              <w:t>产品所具</w:t>
            </w:r>
          </w:p>
          <w:p w14:paraId="15A2E40C">
            <w:pPr>
              <w:spacing w:before="102" w:line="302" w:lineRule="auto"/>
              <w:ind w:left="91" w:right="105" w:hanging="9"/>
              <w:rPr>
                <w:rFonts w:ascii="宋体" w:hAnsi="宋体" w:eastAsia="宋体" w:cs="宋体"/>
                <w:sz w:val="21"/>
                <w:szCs w:val="21"/>
              </w:rPr>
            </w:pPr>
            <w:r>
              <w:rPr>
                <w:rFonts w:ascii="宋体" w:hAnsi="宋体" w:eastAsia="宋体" w:cs="宋体"/>
                <w:spacing w:val="-3"/>
                <w:sz w:val="21"/>
                <w:szCs w:val="21"/>
              </w:rPr>
              <w:t>有的主要</w:t>
            </w:r>
            <w:r>
              <w:rPr>
                <w:rFonts w:ascii="宋体" w:hAnsi="宋体" w:eastAsia="宋体" w:cs="宋体"/>
                <w:spacing w:val="1"/>
                <w:sz w:val="21"/>
                <w:szCs w:val="21"/>
              </w:rPr>
              <w:t xml:space="preserve"> </w:t>
            </w:r>
            <w:r>
              <w:rPr>
                <w:rFonts w:ascii="宋体" w:hAnsi="宋体" w:eastAsia="宋体" w:cs="宋体"/>
                <w:spacing w:val="5"/>
                <w:sz w:val="21"/>
                <w:szCs w:val="21"/>
              </w:rPr>
              <w:t>功能</w:t>
            </w:r>
          </w:p>
        </w:tc>
        <w:tc>
          <w:tcPr>
            <w:tcW w:w="1039" w:type="dxa"/>
            <w:vAlign w:val="top"/>
          </w:tcPr>
          <w:p w14:paraId="470BBCFF">
            <w:pPr>
              <w:spacing w:before="123" w:line="303" w:lineRule="auto"/>
              <w:ind w:left="93" w:right="50"/>
              <w:jc w:val="both"/>
              <w:rPr>
                <w:rFonts w:ascii="宋体" w:hAnsi="宋体" w:eastAsia="宋体" w:cs="宋体"/>
                <w:sz w:val="21"/>
                <w:szCs w:val="21"/>
              </w:rPr>
            </w:pPr>
            <w:r>
              <w:rPr>
                <w:rFonts w:ascii="宋体" w:hAnsi="宋体" w:eastAsia="宋体" w:cs="宋体"/>
                <w:spacing w:val="-3"/>
                <w:sz w:val="21"/>
                <w:szCs w:val="21"/>
              </w:rPr>
              <w:t>根据故障</w:t>
            </w:r>
            <w:r>
              <w:rPr>
                <w:rFonts w:ascii="宋体" w:hAnsi="宋体" w:eastAsia="宋体" w:cs="宋体"/>
                <w:spacing w:val="2"/>
                <w:sz w:val="21"/>
                <w:szCs w:val="21"/>
              </w:rPr>
              <w:t xml:space="preserve"> </w:t>
            </w:r>
            <w:r>
              <w:rPr>
                <w:rFonts w:ascii="宋体" w:hAnsi="宋体" w:eastAsia="宋体" w:cs="宋体"/>
                <w:spacing w:val="-2"/>
                <w:sz w:val="21"/>
                <w:szCs w:val="21"/>
              </w:rPr>
              <w:t>模式分析</w:t>
            </w:r>
            <w:r>
              <w:rPr>
                <w:rFonts w:ascii="宋体" w:hAnsi="宋体" w:eastAsia="宋体" w:cs="宋体"/>
                <w:sz w:val="21"/>
                <w:szCs w:val="21"/>
              </w:rPr>
              <w:t xml:space="preserve"> </w:t>
            </w:r>
            <w:r>
              <w:rPr>
                <w:rFonts w:ascii="宋体" w:hAnsi="宋体" w:eastAsia="宋体" w:cs="宋体"/>
                <w:spacing w:val="11"/>
                <w:sz w:val="21"/>
                <w:szCs w:val="21"/>
              </w:rPr>
              <w:t>的结果，</w:t>
            </w:r>
            <w:r>
              <w:rPr>
                <w:rFonts w:ascii="宋体" w:hAnsi="宋体" w:eastAsia="宋体" w:cs="宋体"/>
                <w:sz w:val="21"/>
                <w:szCs w:val="21"/>
              </w:rPr>
              <w:t xml:space="preserve"> </w:t>
            </w:r>
            <w:r>
              <w:rPr>
                <w:rFonts w:ascii="宋体" w:hAnsi="宋体" w:eastAsia="宋体" w:cs="宋体"/>
                <w:spacing w:val="3"/>
                <w:sz w:val="21"/>
                <w:szCs w:val="21"/>
              </w:rPr>
              <w:t>依次填写</w:t>
            </w:r>
          </w:p>
          <w:p w14:paraId="4BDE7B4E">
            <w:pPr>
              <w:spacing w:line="219" w:lineRule="auto"/>
              <w:ind w:left="93"/>
              <w:rPr>
                <w:rFonts w:ascii="宋体" w:hAnsi="宋体" w:eastAsia="宋体" w:cs="宋体"/>
                <w:sz w:val="21"/>
                <w:szCs w:val="21"/>
              </w:rPr>
            </w:pPr>
            <w:r>
              <w:rPr>
                <w:rFonts w:ascii="宋体" w:hAnsi="宋体" w:eastAsia="宋体" w:cs="宋体"/>
                <w:spacing w:val="5"/>
                <w:sz w:val="21"/>
                <w:szCs w:val="21"/>
              </w:rPr>
              <w:t>每一产品</w:t>
            </w:r>
          </w:p>
          <w:p w14:paraId="6FE97251">
            <w:pPr>
              <w:spacing w:before="101" w:line="309" w:lineRule="auto"/>
              <w:ind w:left="102" w:right="87" w:hanging="9"/>
              <w:rPr>
                <w:rFonts w:ascii="宋体" w:hAnsi="宋体" w:eastAsia="宋体" w:cs="宋体"/>
                <w:sz w:val="21"/>
                <w:szCs w:val="21"/>
              </w:rPr>
            </w:pPr>
            <w:r>
              <w:rPr>
                <w:rFonts w:ascii="宋体" w:hAnsi="宋体" w:eastAsia="宋体" w:cs="宋体"/>
                <w:spacing w:val="2"/>
                <w:sz w:val="21"/>
                <w:szCs w:val="21"/>
              </w:rPr>
              <w:t>的所有故</w:t>
            </w:r>
            <w:r>
              <w:rPr>
                <w:rFonts w:ascii="宋体" w:hAnsi="宋体" w:eastAsia="宋体" w:cs="宋体"/>
                <w:sz w:val="21"/>
                <w:szCs w:val="21"/>
              </w:rPr>
              <w:t xml:space="preserve"> </w:t>
            </w:r>
            <w:r>
              <w:rPr>
                <w:rFonts w:ascii="宋体" w:hAnsi="宋体" w:eastAsia="宋体" w:cs="宋体"/>
                <w:spacing w:val="2"/>
                <w:sz w:val="21"/>
                <w:szCs w:val="21"/>
              </w:rPr>
              <w:t>障模式</w:t>
            </w:r>
          </w:p>
        </w:tc>
        <w:tc>
          <w:tcPr>
            <w:tcW w:w="1049" w:type="dxa"/>
            <w:vAlign w:val="top"/>
          </w:tcPr>
          <w:p w14:paraId="1D587EF1">
            <w:pPr>
              <w:spacing w:before="122" w:line="302" w:lineRule="auto"/>
              <w:ind w:left="94" w:right="95"/>
              <w:rPr>
                <w:rFonts w:ascii="宋体" w:hAnsi="宋体" w:eastAsia="宋体" w:cs="宋体"/>
                <w:sz w:val="21"/>
                <w:szCs w:val="21"/>
              </w:rPr>
            </w:pPr>
            <w:r>
              <w:rPr>
                <w:rFonts w:ascii="宋体" w:hAnsi="宋体" w:eastAsia="宋体" w:cs="宋体"/>
                <w:spacing w:val="-3"/>
                <w:sz w:val="21"/>
                <w:szCs w:val="21"/>
              </w:rPr>
              <w:t>根据故障</w:t>
            </w:r>
            <w:r>
              <w:rPr>
                <w:rFonts w:ascii="宋体" w:hAnsi="宋体" w:eastAsia="宋体" w:cs="宋体"/>
                <w:spacing w:val="2"/>
                <w:sz w:val="21"/>
                <w:szCs w:val="21"/>
              </w:rPr>
              <w:t xml:space="preserve"> 原因分析</w:t>
            </w:r>
          </w:p>
          <w:p w14:paraId="16632ABF">
            <w:pPr>
              <w:spacing w:before="1" w:line="219" w:lineRule="auto"/>
              <w:ind w:left="94"/>
              <w:rPr>
                <w:rFonts w:ascii="宋体" w:hAnsi="宋体" w:eastAsia="宋体" w:cs="宋体"/>
                <w:sz w:val="21"/>
                <w:szCs w:val="21"/>
              </w:rPr>
            </w:pPr>
            <w:r>
              <w:rPr>
                <w:rFonts w:ascii="宋体" w:hAnsi="宋体" w:eastAsia="宋体" w:cs="宋体"/>
                <w:spacing w:val="3"/>
                <w:sz w:val="21"/>
                <w:szCs w:val="21"/>
              </w:rPr>
              <w:t>结果，依</w:t>
            </w:r>
          </w:p>
          <w:p w14:paraId="7F8CB604">
            <w:pPr>
              <w:spacing w:before="102" w:line="219" w:lineRule="auto"/>
              <w:ind w:left="94"/>
              <w:rPr>
                <w:rFonts w:ascii="宋体" w:hAnsi="宋体" w:eastAsia="宋体" w:cs="宋体"/>
                <w:sz w:val="21"/>
                <w:szCs w:val="21"/>
              </w:rPr>
            </w:pPr>
            <w:r>
              <w:rPr>
                <w:rFonts w:ascii="宋体" w:hAnsi="宋体" w:eastAsia="宋体" w:cs="宋体"/>
                <w:spacing w:val="2"/>
                <w:sz w:val="21"/>
                <w:szCs w:val="21"/>
              </w:rPr>
              <w:t>次填写每</w:t>
            </w:r>
          </w:p>
          <w:p w14:paraId="486F6A06">
            <w:pPr>
              <w:spacing w:before="90" w:line="219" w:lineRule="auto"/>
              <w:ind w:left="94"/>
              <w:rPr>
                <w:rFonts w:ascii="宋体" w:hAnsi="宋体" w:eastAsia="宋体" w:cs="宋体"/>
                <w:sz w:val="21"/>
                <w:szCs w:val="21"/>
              </w:rPr>
            </w:pPr>
            <w:r>
              <w:rPr>
                <w:rFonts w:ascii="宋体" w:hAnsi="宋体" w:eastAsia="宋体" w:cs="宋体"/>
                <w:spacing w:val="2"/>
                <w:sz w:val="21"/>
                <w:szCs w:val="21"/>
              </w:rPr>
              <w:t>一故障模</w:t>
            </w:r>
          </w:p>
          <w:p w14:paraId="0725E217">
            <w:pPr>
              <w:spacing w:before="101" w:line="220" w:lineRule="auto"/>
              <w:ind w:left="94"/>
              <w:rPr>
                <w:rFonts w:ascii="宋体" w:hAnsi="宋体" w:eastAsia="宋体" w:cs="宋体"/>
                <w:sz w:val="21"/>
                <w:szCs w:val="21"/>
              </w:rPr>
            </w:pPr>
            <w:r>
              <w:rPr>
                <w:rFonts w:ascii="宋体" w:hAnsi="宋体" w:eastAsia="宋体" w:cs="宋体"/>
                <w:spacing w:val="2"/>
                <w:sz w:val="21"/>
                <w:szCs w:val="21"/>
              </w:rPr>
              <w:t>式的所有</w:t>
            </w:r>
          </w:p>
          <w:p w14:paraId="6B8E27AF">
            <w:pPr>
              <w:spacing w:before="100" w:line="219" w:lineRule="auto"/>
              <w:ind w:left="94"/>
              <w:rPr>
                <w:rFonts w:ascii="宋体" w:hAnsi="宋体" w:eastAsia="宋体" w:cs="宋体"/>
                <w:sz w:val="21"/>
                <w:szCs w:val="21"/>
              </w:rPr>
            </w:pPr>
            <w:r>
              <w:rPr>
                <w:rFonts w:ascii="宋体" w:hAnsi="宋体" w:eastAsia="宋体" w:cs="宋体"/>
                <w:spacing w:val="5"/>
                <w:sz w:val="21"/>
                <w:szCs w:val="21"/>
              </w:rPr>
              <w:t>故障原因</w:t>
            </w:r>
          </w:p>
        </w:tc>
        <w:tc>
          <w:tcPr>
            <w:tcW w:w="1229" w:type="dxa"/>
            <w:vAlign w:val="top"/>
          </w:tcPr>
          <w:p w14:paraId="44B4B6C8">
            <w:pPr>
              <w:spacing w:before="122" w:line="219" w:lineRule="auto"/>
              <w:ind w:left="85"/>
              <w:rPr>
                <w:rFonts w:ascii="宋体" w:hAnsi="宋体" w:eastAsia="宋体" w:cs="宋体"/>
                <w:sz w:val="21"/>
                <w:szCs w:val="21"/>
              </w:rPr>
            </w:pPr>
            <w:r>
              <w:rPr>
                <w:rFonts w:ascii="宋体" w:hAnsi="宋体" w:eastAsia="宋体" w:cs="宋体"/>
                <w:spacing w:val="3"/>
                <w:sz w:val="21"/>
                <w:szCs w:val="21"/>
              </w:rPr>
              <w:t>根据任务剖</w:t>
            </w:r>
          </w:p>
          <w:p w14:paraId="7C9689D2">
            <w:pPr>
              <w:spacing w:before="89" w:line="219" w:lineRule="auto"/>
              <w:ind w:left="85"/>
              <w:rPr>
                <w:rFonts w:ascii="宋体" w:hAnsi="宋体" w:eastAsia="宋体" w:cs="宋体"/>
                <w:sz w:val="21"/>
                <w:szCs w:val="21"/>
              </w:rPr>
            </w:pPr>
            <w:r>
              <w:rPr>
                <w:rFonts w:ascii="宋体" w:hAnsi="宋体" w:eastAsia="宋体" w:cs="宋体"/>
                <w:spacing w:val="3"/>
                <w:sz w:val="21"/>
                <w:szCs w:val="21"/>
              </w:rPr>
              <w:t>面依次填写</w:t>
            </w:r>
          </w:p>
          <w:p w14:paraId="75010282">
            <w:pPr>
              <w:spacing w:before="102" w:line="219" w:lineRule="auto"/>
              <w:ind w:left="85"/>
              <w:rPr>
                <w:rFonts w:ascii="宋体" w:hAnsi="宋体" w:eastAsia="宋体" w:cs="宋体"/>
                <w:sz w:val="21"/>
                <w:szCs w:val="21"/>
              </w:rPr>
            </w:pPr>
            <w:r>
              <w:rPr>
                <w:rFonts w:ascii="宋体" w:hAnsi="宋体" w:eastAsia="宋体" w:cs="宋体"/>
                <w:spacing w:val="3"/>
                <w:sz w:val="21"/>
                <w:szCs w:val="21"/>
              </w:rPr>
              <w:t>发生故障的</w:t>
            </w:r>
          </w:p>
          <w:p w14:paraId="07C8CCCB">
            <w:pPr>
              <w:spacing w:before="100" w:line="219" w:lineRule="auto"/>
              <w:ind w:left="85"/>
              <w:rPr>
                <w:rFonts w:ascii="宋体" w:hAnsi="宋体" w:eastAsia="宋体" w:cs="宋体"/>
                <w:sz w:val="21"/>
                <w:szCs w:val="21"/>
              </w:rPr>
            </w:pPr>
            <w:r>
              <w:rPr>
                <w:rFonts w:ascii="宋体" w:hAnsi="宋体" w:eastAsia="宋体" w:cs="宋体"/>
                <w:spacing w:val="3"/>
                <w:sz w:val="21"/>
                <w:szCs w:val="21"/>
              </w:rPr>
              <w:t>任务阶段与</w:t>
            </w:r>
          </w:p>
          <w:p w14:paraId="78C651FD">
            <w:pPr>
              <w:spacing w:before="91" w:line="219" w:lineRule="auto"/>
              <w:ind w:left="85"/>
              <w:rPr>
                <w:rFonts w:ascii="宋体" w:hAnsi="宋体" w:eastAsia="宋体" w:cs="宋体"/>
                <w:sz w:val="21"/>
                <w:szCs w:val="21"/>
              </w:rPr>
            </w:pPr>
            <w:r>
              <w:rPr>
                <w:rFonts w:ascii="宋体" w:hAnsi="宋体" w:eastAsia="宋体" w:cs="宋体"/>
                <w:spacing w:val="2"/>
                <w:sz w:val="21"/>
                <w:szCs w:val="21"/>
              </w:rPr>
              <w:t>该阶段内产</w:t>
            </w:r>
          </w:p>
          <w:p w14:paraId="6E95347F">
            <w:pPr>
              <w:spacing w:before="101" w:line="320" w:lineRule="auto"/>
              <w:ind w:left="95" w:right="75" w:hanging="10"/>
              <w:rPr>
                <w:rFonts w:ascii="宋体" w:hAnsi="宋体" w:eastAsia="宋体" w:cs="宋体"/>
                <w:sz w:val="21"/>
                <w:szCs w:val="21"/>
              </w:rPr>
            </w:pPr>
            <w:r>
              <w:rPr>
                <w:rFonts w:ascii="宋体" w:hAnsi="宋体" w:eastAsia="宋体" w:cs="宋体"/>
                <w:spacing w:val="1"/>
                <w:sz w:val="21"/>
                <w:szCs w:val="21"/>
              </w:rPr>
              <w:t>品的工作方</w:t>
            </w:r>
            <w:r>
              <w:rPr>
                <w:rFonts w:ascii="宋体" w:hAnsi="宋体" w:eastAsia="宋体" w:cs="宋体"/>
                <w:spacing w:val="2"/>
                <w:sz w:val="21"/>
                <w:szCs w:val="21"/>
              </w:rPr>
              <w:t xml:space="preserve"> </w:t>
            </w:r>
            <w:r>
              <w:rPr>
                <w:rFonts w:ascii="宋体" w:hAnsi="宋体" w:eastAsia="宋体" w:cs="宋体"/>
                <w:sz w:val="21"/>
                <w:szCs w:val="21"/>
              </w:rPr>
              <w:t>式</w:t>
            </w:r>
          </w:p>
        </w:tc>
        <w:tc>
          <w:tcPr>
            <w:tcW w:w="2489" w:type="dxa"/>
            <w:gridSpan w:val="3"/>
            <w:vAlign w:val="top"/>
          </w:tcPr>
          <w:p w14:paraId="3BDF76BA">
            <w:pPr>
              <w:spacing w:before="123" w:line="304" w:lineRule="auto"/>
              <w:ind w:left="86" w:right="65" w:firstLine="99"/>
              <w:rPr>
                <w:rFonts w:ascii="宋体" w:hAnsi="宋体" w:eastAsia="宋体" w:cs="宋体"/>
                <w:sz w:val="21"/>
                <w:szCs w:val="21"/>
              </w:rPr>
            </w:pPr>
            <w:r>
              <w:rPr>
                <w:rFonts w:ascii="宋体" w:hAnsi="宋体" w:eastAsia="宋体" w:cs="宋体"/>
                <w:spacing w:val="1"/>
                <w:sz w:val="21"/>
                <w:szCs w:val="21"/>
              </w:rPr>
              <w:t>根据故障影响分析的结</w:t>
            </w:r>
            <w:r>
              <w:rPr>
                <w:rFonts w:ascii="宋体" w:hAnsi="宋体" w:eastAsia="宋体" w:cs="宋体"/>
                <w:sz w:val="21"/>
                <w:szCs w:val="21"/>
              </w:rPr>
              <w:t xml:space="preserve">  果，依次填写每一个故障</w:t>
            </w:r>
            <w:r>
              <w:rPr>
                <w:rFonts w:ascii="宋体" w:hAnsi="宋体" w:eastAsia="宋体" w:cs="宋体"/>
                <w:spacing w:val="8"/>
                <w:sz w:val="21"/>
                <w:szCs w:val="21"/>
              </w:rPr>
              <w:t xml:space="preserve"> </w:t>
            </w:r>
            <w:r>
              <w:rPr>
                <w:rFonts w:ascii="宋体" w:hAnsi="宋体" w:eastAsia="宋体" w:cs="宋体"/>
                <w:spacing w:val="1"/>
                <w:sz w:val="21"/>
                <w:szCs w:val="21"/>
              </w:rPr>
              <w:t>模式的局部、高一层次和</w:t>
            </w:r>
            <w:r>
              <w:rPr>
                <w:rFonts w:ascii="宋体" w:hAnsi="宋体" w:eastAsia="宋体" w:cs="宋体"/>
                <w:spacing w:val="5"/>
                <w:sz w:val="21"/>
                <w:szCs w:val="21"/>
              </w:rPr>
              <w:t xml:space="preserve"> </w:t>
            </w:r>
            <w:r>
              <w:rPr>
                <w:rFonts w:ascii="宋体" w:hAnsi="宋体" w:eastAsia="宋体" w:cs="宋体"/>
                <w:spacing w:val="11"/>
                <w:sz w:val="21"/>
                <w:szCs w:val="21"/>
              </w:rPr>
              <w:t>最终影响并分别填入第</w:t>
            </w:r>
            <w:r>
              <w:rPr>
                <w:rFonts w:ascii="宋体" w:hAnsi="宋体" w:eastAsia="宋体" w:cs="宋体"/>
                <w:spacing w:val="1"/>
                <w:sz w:val="21"/>
                <w:szCs w:val="21"/>
              </w:rPr>
              <w:t xml:space="preserve">  </w:t>
            </w:r>
            <w:r>
              <w:rPr>
                <w:rFonts w:ascii="宋体" w:hAnsi="宋体" w:eastAsia="宋体" w:cs="宋体"/>
                <w:spacing w:val="4"/>
                <w:sz w:val="21"/>
                <w:szCs w:val="21"/>
              </w:rPr>
              <w:t>(7)栏～第(9)栏</w:t>
            </w:r>
          </w:p>
        </w:tc>
        <w:tc>
          <w:tcPr>
            <w:tcW w:w="1019" w:type="dxa"/>
            <w:vAlign w:val="top"/>
          </w:tcPr>
          <w:p w14:paraId="17E56A95">
            <w:pPr>
              <w:spacing w:before="112" w:line="306" w:lineRule="auto"/>
              <w:ind w:left="86" w:right="36"/>
              <w:jc w:val="both"/>
              <w:rPr>
                <w:rFonts w:ascii="宋体" w:hAnsi="宋体" w:eastAsia="宋体" w:cs="宋体"/>
                <w:sz w:val="21"/>
                <w:szCs w:val="21"/>
              </w:rPr>
            </w:pPr>
            <w:r>
              <w:rPr>
                <w:rFonts w:ascii="宋体" w:hAnsi="宋体" w:eastAsia="宋体" w:cs="宋体"/>
                <w:spacing w:val="-3"/>
                <w:sz w:val="21"/>
                <w:szCs w:val="21"/>
              </w:rPr>
              <w:t>根据最终</w:t>
            </w:r>
            <w:r>
              <w:rPr>
                <w:rFonts w:ascii="宋体" w:hAnsi="宋体" w:eastAsia="宋体" w:cs="宋体"/>
                <w:spacing w:val="2"/>
                <w:sz w:val="21"/>
                <w:szCs w:val="21"/>
              </w:rPr>
              <w:t xml:space="preserve"> </w:t>
            </w:r>
            <w:r>
              <w:rPr>
                <w:rFonts w:ascii="宋体" w:hAnsi="宋体" w:eastAsia="宋体" w:cs="宋体"/>
                <w:spacing w:val="-3"/>
                <w:sz w:val="21"/>
                <w:szCs w:val="21"/>
              </w:rPr>
              <w:t>影响分析</w:t>
            </w:r>
            <w:r>
              <w:rPr>
                <w:rFonts w:ascii="宋体" w:hAnsi="宋体" w:eastAsia="宋体" w:cs="宋体"/>
                <w:spacing w:val="2"/>
                <w:sz w:val="21"/>
                <w:szCs w:val="21"/>
              </w:rPr>
              <w:t xml:space="preserve"> </w:t>
            </w:r>
            <w:r>
              <w:rPr>
                <w:rFonts w:ascii="宋体" w:hAnsi="宋体" w:eastAsia="宋体" w:cs="宋体"/>
                <w:spacing w:val="11"/>
                <w:sz w:val="21"/>
                <w:szCs w:val="21"/>
              </w:rPr>
              <w:t>的结果，</w:t>
            </w:r>
            <w:r>
              <w:rPr>
                <w:rFonts w:ascii="宋体" w:hAnsi="宋体" w:eastAsia="宋体" w:cs="宋体"/>
                <w:sz w:val="21"/>
                <w:szCs w:val="21"/>
              </w:rPr>
              <w:t xml:space="preserve"> </w:t>
            </w:r>
            <w:r>
              <w:rPr>
                <w:rFonts w:ascii="宋体" w:hAnsi="宋体" w:eastAsia="宋体" w:cs="宋体"/>
                <w:spacing w:val="-3"/>
                <w:sz w:val="21"/>
                <w:szCs w:val="21"/>
              </w:rPr>
              <w:t>按每个故</w:t>
            </w:r>
            <w:r>
              <w:rPr>
                <w:rFonts w:ascii="宋体" w:hAnsi="宋体" w:eastAsia="宋体" w:cs="宋体"/>
                <w:spacing w:val="1"/>
                <w:sz w:val="21"/>
                <w:szCs w:val="21"/>
              </w:rPr>
              <w:t xml:space="preserve"> </w:t>
            </w:r>
            <w:r>
              <w:rPr>
                <w:rFonts w:ascii="宋体" w:hAnsi="宋体" w:eastAsia="宋体" w:cs="宋体"/>
                <w:spacing w:val="4"/>
                <w:sz w:val="21"/>
                <w:szCs w:val="21"/>
              </w:rPr>
              <w:t>障模式确</w:t>
            </w:r>
          </w:p>
          <w:p w14:paraId="15706F56">
            <w:pPr>
              <w:spacing w:line="300" w:lineRule="auto"/>
              <w:ind w:left="86" w:right="73"/>
              <w:rPr>
                <w:rFonts w:ascii="宋体" w:hAnsi="宋体" w:eastAsia="宋体" w:cs="宋体"/>
                <w:sz w:val="21"/>
                <w:szCs w:val="21"/>
              </w:rPr>
            </w:pPr>
            <w:r>
              <w:rPr>
                <w:rFonts w:ascii="宋体" w:hAnsi="宋体" w:eastAsia="宋体" w:cs="宋体"/>
                <w:spacing w:val="2"/>
                <w:sz w:val="21"/>
                <w:szCs w:val="21"/>
              </w:rPr>
              <w:t>定其严酷</w:t>
            </w:r>
            <w:r>
              <w:rPr>
                <w:rFonts w:ascii="宋体" w:hAnsi="宋体" w:eastAsia="宋体" w:cs="宋体"/>
                <w:sz w:val="21"/>
                <w:szCs w:val="21"/>
              </w:rPr>
              <w:t xml:space="preserve"> </w:t>
            </w:r>
            <w:r>
              <w:rPr>
                <w:rFonts w:ascii="宋体" w:hAnsi="宋体" w:eastAsia="宋体" w:cs="宋体"/>
                <w:spacing w:val="5"/>
                <w:sz w:val="21"/>
                <w:szCs w:val="21"/>
              </w:rPr>
              <w:t>度类别</w:t>
            </w:r>
          </w:p>
        </w:tc>
        <w:tc>
          <w:tcPr>
            <w:tcW w:w="1029" w:type="dxa"/>
            <w:vAlign w:val="top"/>
          </w:tcPr>
          <w:p w14:paraId="1F1E1F80">
            <w:pPr>
              <w:spacing w:before="111" w:line="308" w:lineRule="auto"/>
              <w:ind w:left="88" w:right="69"/>
              <w:jc w:val="both"/>
              <w:rPr>
                <w:rFonts w:ascii="宋体" w:hAnsi="宋体" w:eastAsia="宋体" w:cs="宋体"/>
                <w:sz w:val="21"/>
                <w:szCs w:val="21"/>
              </w:rPr>
            </w:pPr>
            <w:r>
              <w:rPr>
                <w:rFonts w:ascii="宋体" w:hAnsi="宋体" w:eastAsia="宋体" w:cs="宋体"/>
                <w:spacing w:val="5"/>
                <w:sz w:val="21"/>
                <w:szCs w:val="21"/>
              </w:rPr>
              <w:t>根据产品</w:t>
            </w:r>
            <w:r>
              <w:rPr>
                <w:rFonts w:ascii="宋体" w:hAnsi="宋体" w:eastAsia="宋体" w:cs="宋体"/>
                <w:sz w:val="21"/>
                <w:szCs w:val="21"/>
              </w:rPr>
              <w:t xml:space="preserve"> </w:t>
            </w:r>
            <w:r>
              <w:rPr>
                <w:rFonts w:ascii="宋体" w:hAnsi="宋体" w:eastAsia="宋体" w:cs="宋体"/>
                <w:spacing w:val="-3"/>
                <w:sz w:val="21"/>
                <w:szCs w:val="21"/>
              </w:rPr>
              <w:t>故障模式</w:t>
            </w:r>
            <w:r>
              <w:rPr>
                <w:rFonts w:ascii="宋体" w:hAnsi="宋体" w:eastAsia="宋体" w:cs="宋体"/>
                <w:sz w:val="21"/>
                <w:szCs w:val="21"/>
              </w:rPr>
              <w:t xml:space="preserve"> </w:t>
            </w:r>
            <w:r>
              <w:rPr>
                <w:rFonts w:ascii="宋体" w:hAnsi="宋体" w:eastAsia="宋体" w:cs="宋体"/>
                <w:spacing w:val="2"/>
                <w:sz w:val="21"/>
                <w:szCs w:val="21"/>
              </w:rPr>
              <w:t>原因、影</w:t>
            </w:r>
          </w:p>
          <w:p w14:paraId="167153DC">
            <w:pPr>
              <w:spacing w:line="219" w:lineRule="auto"/>
              <w:ind w:left="88"/>
              <w:rPr>
                <w:rFonts w:ascii="宋体" w:hAnsi="宋体" w:eastAsia="宋体" w:cs="宋体"/>
                <w:sz w:val="21"/>
                <w:szCs w:val="21"/>
              </w:rPr>
            </w:pPr>
            <w:r>
              <w:rPr>
                <w:rFonts w:ascii="宋体" w:hAnsi="宋体" w:eastAsia="宋体" w:cs="宋体"/>
                <w:spacing w:val="2"/>
                <w:sz w:val="21"/>
                <w:szCs w:val="21"/>
              </w:rPr>
              <w:t>响等分析</w:t>
            </w:r>
          </w:p>
          <w:p w14:paraId="31DA1DA3">
            <w:pPr>
              <w:spacing w:before="99" w:line="219" w:lineRule="auto"/>
              <w:ind w:left="88"/>
              <w:rPr>
                <w:rFonts w:ascii="宋体" w:hAnsi="宋体" w:eastAsia="宋体" w:cs="宋体"/>
                <w:sz w:val="21"/>
                <w:szCs w:val="21"/>
              </w:rPr>
            </w:pPr>
            <w:r>
              <w:rPr>
                <w:rFonts w:ascii="宋体" w:hAnsi="宋体" w:eastAsia="宋体" w:cs="宋体"/>
                <w:spacing w:val="3"/>
                <w:sz w:val="21"/>
                <w:szCs w:val="21"/>
              </w:rPr>
              <w:t>结果，依</w:t>
            </w:r>
          </w:p>
          <w:p w14:paraId="728C06EA">
            <w:pPr>
              <w:spacing w:before="102" w:line="219" w:lineRule="auto"/>
              <w:ind w:left="88"/>
              <w:rPr>
                <w:rFonts w:ascii="宋体" w:hAnsi="宋体" w:eastAsia="宋体" w:cs="宋体"/>
                <w:sz w:val="21"/>
                <w:szCs w:val="21"/>
              </w:rPr>
            </w:pPr>
            <w:r>
              <w:rPr>
                <w:rFonts w:ascii="宋体" w:hAnsi="宋体" w:eastAsia="宋体" w:cs="宋体"/>
                <w:spacing w:val="2"/>
                <w:sz w:val="21"/>
                <w:szCs w:val="21"/>
              </w:rPr>
              <w:t>次填写故</w:t>
            </w:r>
          </w:p>
          <w:p w14:paraId="1EB35FE8">
            <w:pPr>
              <w:spacing w:before="100" w:line="306" w:lineRule="auto"/>
              <w:ind w:left="88" w:right="82"/>
              <w:rPr>
                <w:rFonts w:ascii="宋体" w:hAnsi="宋体" w:eastAsia="宋体" w:cs="宋体"/>
                <w:sz w:val="21"/>
                <w:szCs w:val="21"/>
              </w:rPr>
            </w:pPr>
            <w:r>
              <w:rPr>
                <w:rFonts w:ascii="宋体" w:hAnsi="宋体" w:eastAsia="宋体" w:cs="宋体"/>
                <w:spacing w:val="2"/>
                <w:sz w:val="21"/>
                <w:szCs w:val="21"/>
              </w:rPr>
              <w:t>障检测方</w:t>
            </w:r>
            <w:r>
              <w:rPr>
                <w:rFonts w:ascii="宋体" w:hAnsi="宋体" w:eastAsia="宋体" w:cs="宋体"/>
                <w:sz w:val="21"/>
                <w:szCs w:val="21"/>
              </w:rPr>
              <w:t xml:space="preserve"> 法</w:t>
            </w:r>
          </w:p>
        </w:tc>
        <w:tc>
          <w:tcPr>
            <w:tcW w:w="1240" w:type="dxa"/>
            <w:gridSpan w:val="2"/>
            <w:vAlign w:val="top"/>
          </w:tcPr>
          <w:p w14:paraId="74B71B62">
            <w:pPr>
              <w:spacing w:before="122" w:line="301" w:lineRule="auto"/>
              <w:ind w:left="89" w:right="81"/>
              <w:rPr>
                <w:rFonts w:ascii="宋体" w:hAnsi="宋体" w:eastAsia="宋体" w:cs="宋体"/>
                <w:sz w:val="21"/>
                <w:szCs w:val="21"/>
              </w:rPr>
            </w:pPr>
            <w:r>
              <w:rPr>
                <w:rFonts w:ascii="宋体" w:hAnsi="宋体" w:eastAsia="宋体" w:cs="宋体"/>
                <w:spacing w:val="-2"/>
                <w:sz w:val="21"/>
                <w:szCs w:val="21"/>
              </w:rPr>
              <w:t>根据故障影</w:t>
            </w:r>
            <w:r>
              <w:rPr>
                <w:rFonts w:ascii="宋体" w:hAnsi="宋体" w:eastAsia="宋体" w:cs="宋体"/>
                <w:sz w:val="21"/>
                <w:szCs w:val="21"/>
              </w:rPr>
              <w:t xml:space="preserve"> </w:t>
            </w:r>
            <w:r>
              <w:rPr>
                <w:rFonts w:ascii="宋体" w:hAnsi="宋体" w:eastAsia="宋体" w:cs="宋体"/>
                <w:spacing w:val="1"/>
                <w:sz w:val="21"/>
                <w:szCs w:val="21"/>
              </w:rPr>
              <w:t>响、故障检</w:t>
            </w:r>
          </w:p>
          <w:p w14:paraId="16D4F150">
            <w:pPr>
              <w:spacing w:before="15" w:line="219" w:lineRule="auto"/>
              <w:ind w:left="89"/>
              <w:rPr>
                <w:rFonts w:ascii="宋体" w:hAnsi="宋体" w:eastAsia="宋体" w:cs="宋体"/>
                <w:sz w:val="21"/>
                <w:szCs w:val="21"/>
              </w:rPr>
            </w:pPr>
            <w:r>
              <w:rPr>
                <w:rFonts w:ascii="宋体" w:hAnsi="宋体" w:eastAsia="宋体" w:cs="宋体"/>
                <w:spacing w:val="2"/>
                <w:sz w:val="21"/>
                <w:szCs w:val="21"/>
              </w:rPr>
              <w:t>测等分析结</w:t>
            </w:r>
          </w:p>
          <w:p w14:paraId="2AE65192">
            <w:pPr>
              <w:spacing w:before="99" w:line="219" w:lineRule="auto"/>
              <w:ind w:left="89"/>
              <w:rPr>
                <w:rFonts w:ascii="宋体" w:hAnsi="宋体" w:eastAsia="宋体" w:cs="宋体"/>
                <w:sz w:val="21"/>
                <w:szCs w:val="21"/>
              </w:rPr>
            </w:pPr>
            <w:r>
              <w:rPr>
                <w:rFonts w:ascii="宋体" w:hAnsi="宋体" w:eastAsia="宋体" w:cs="宋体"/>
                <w:spacing w:val="3"/>
                <w:sz w:val="21"/>
                <w:szCs w:val="21"/>
              </w:rPr>
              <w:t>果依次填写</w:t>
            </w:r>
          </w:p>
          <w:p w14:paraId="361049D2">
            <w:pPr>
              <w:spacing w:before="102" w:line="219" w:lineRule="auto"/>
              <w:ind w:left="89"/>
              <w:rPr>
                <w:rFonts w:ascii="宋体" w:hAnsi="宋体" w:eastAsia="宋体" w:cs="宋体"/>
                <w:sz w:val="21"/>
                <w:szCs w:val="21"/>
              </w:rPr>
            </w:pPr>
            <w:r>
              <w:rPr>
                <w:rFonts w:ascii="宋体" w:hAnsi="宋体" w:eastAsia="宋体" w:cs="宋体"/>
                <w:spacing w:val="3"/>
                <w:sz w:val="21"/>
                <w:szCs w:val="21"/>
              </w:rPr>
              <w:t>设计改进与</w:t>
            </w:r>
          </w:p>
          <w:p w14:paraId="69151707">
            <w:pPr>
              <w:spacing w:before="91" w:line="305" w:lineRule="auto"/>
              <w:ind w:left="98" w:right="79" w:hanging="9"/>
              <w:rPr>
                <w:rFonts w:ascii="宋体" w:hAnsi="宋体" w:eastAsia="宋体" w:cs="宋体"/>
                <w:sz w:val="21"/>
                <w:szCs w:val="21"/>
              </w:rPr>
            </w:pPr>
            <w:r>
              <w:rPr>
                <w:rFonts w:ascii="宋体" w:hAnsi="宋体" w:eastAsia="宋体" w:cs="宋体"/>
                <w:spacing w:val="2"/>
                <w:sz w:val="21"/>
                <w:szCs w:val="21"/>
              </w:rPr>
              <w:t>使用补偿措</w:t>
            </w:r>
            <w:r>
              <w:rPr>
                <w:rFonts w:ascii="宋体" w:hAnsi="宋体" w:eastAsia="宋体" w:cs="宋体"/>
                <w:sz w:val="21"/>
                <w:szCs w:val="21"/>
              </w:rPr>
              <w:t xml:space="preserve"> 施</w:t>
            </w:r>
          </w:p>
        </w:tc>
        <w:tc>
          <w:tcPr>
            <w:tcW w:w="1004" w:type="dxa"/>
            <w:vAlign w:val="top"/>
          </w:tcPr>
          <w:p w14:paraId="7AF56B43">
            <w:pPr>
              <w:spacing w:before="121" w:line="219" w:lineRule="auto"/>
              <w:ind w:left="79"/>
              <w:rPr>
                <w:rFonts w:ascii="宋体" w:hAnsi="宋体" w:eastAsia="宋体" w:cs="宋体"/>
                <w:sz w:val="21"/>
                <w:szCs w:val="21"/>
              </w:rPr>
            </w:pPr>
            <w:r>
              <w:rPr>
                <w:rFonts w:ascii="宋体" w:hAnsi="宋体" w:eastAsia="宋体" w:cs="宋体"/>
                <w:spacing w:val="-8"/>
                <w:sz w:val="21"/>
                <w:szCs w:val="21"/>
              </w:rPr>
              <w:t>简</w:t>
            </w:r>
            <w:r>
              <w:rPr>
                <w:rFonts w:ascii="宋体" w:hAnsi="宋体" w:eastAsia="宋体" w:cs="宋体"/>
                <w:spacing w:val="21"/>
                <w:sz w:val="21"/>
                <w:szCs w:val="21"/>
              </w:rPr>
              <w:t xml:space="preserve"> </w:t>
            </w:r>
            <w:r>
              <w:rPr>
                <w:rFonts w:ascii="宋体" w:hAnsi="宋体" w:eastAsia="宋体" w:cs="宋体"/>
                <w:spacing w:val="-8"/>
                <w:sz w:val="21"/>
                <w:szCs w:val="21"/>
              </w:rPr>
              <w:t>要</w:t>
            </w:r>
            <w:r>
              <w:rPr>
                <w:rFonts w:ascii="宋体" w:hAnsi="宋体" w:eastAsia="宋体" w:cs="宋体"/>
                <w:spacing w:val="19"/>
                <w:sz w:val="21"/>
                <w:szCs w:val="21"/>
              </w:rPr>
              <w:t xml:space="preserve"> </w:t>
            </w:r>
            <w:r>
              <w:rPr>
                <w:rFonts w:ascii="宋体" w:hAnsi="宋体" w:eastAsia="宋体" w:cs="宋体"/>
                <w:spacing w:val="-8"/>
                <w:sz w:val="21"/>
                <w:szCs w:val="21"/>
              </w:rPr>
              <w:t>记</w:t>
            </w:r>
          </w:p>
          <w:p w14:paraId="682F3E5D">
            <w:pPr>
              <w:spacing w:before="103" w:line="221" w:lineRule="auto"/>
              <w:ind w:left="79"/>
              <w:rPr>
                <w:rFonts w:ascii="宋体" w:hAnsi="宋体" w:eastAsia="宋体" w:cs="宋体"/>
                <w:sz w:val="21"/>
                <w:szCs w:val="21"/>
              </w:rPr>
            </w:pPr>
            <w:r>
              <w:rPr>
                <w:rFonts w:ascii="宋体" w:hAnsi="宋体" w:eastAsia="宋体" w:cs="宋体"/>
                <w:spacing w:val="-6"/>
                <w:sz w:val="21"/>
                <w:szCs w:val="21"/>
              </w:rPr>
              <w:t>录</w:t>
            </w:r>
            <w:r>
              <w:rPr>
                <w:rFonts w:ascii="宋体" w:hAnsi="宋体" w:eastAsia="宋体" w:cs="宋体"/>
                <w:spacing w:val="17"/>
                <w:sz w:val="21"/>
                <w:szCs w:val="21"/>
              </w:rPr>
              <w:t xml:space="preserve"> </w:t>
            </w:r>
            <w:r>
              <w:rPr>
                <w:rFonts w:ascii="宋体" w:hAnsi="宋体" w:eastAsia="宋体" w:cs="宋体"/>
                <w:spacing w:val="-6"/>
                <w:sz w:val="21"/>
                <w:szCs w:val="21"/>
              </w:rPr>
              <w:t>对</w:t>
            </w:r>
            <w:r>
              <w:rPr>
                <w:rFonts w:ascii="宋体" w:hAnsi="宋体" w:eastAsia="宋体" w:cs="宋体"/>
                <w:spacing w:val="18"/>
                <w:sz w:val="21"/>
                <w:szCs w:val="21"/>
              </w:rPr>
              <w:t xml:space="preserve"> </w:t>
            </w:r>
            <w:r>
              <w:rPr>
                <w:rFonts w:ascii="宋体" w:hAnsi="宋体" w:eastAsia="宋体" w:cs="宋体"/>
                <w:spacing w:val="-6"/>
                <w:sz w:val="21"/>
                <w:szCs w:val="21"/>
              </w:rPr>
              <w:t>其</w:t>
            </w:r>
          </w:p>
          <w:p w14:paraId="77FA6627">
            <w:pPr>
              <w:spacing w:before="98" w:line="220" w:lineRule="auto"/>
              <w:ind w:left="79"/>
              <w:rPr>
                <w:rFonts w:ascii="宋体" w:hAnsi="宋体" w:eastAsia="宋体" w:cs="宋体"/>
                <w:sz w:val="21"/>
                <w:szCs w:val="21"/>
              </w:rPr>
            </w:pPr>
            <w:r>
              <w:rPr>
                <w:rFonts w:ascii="宋体" w:hAnsi="宋体" w:eastAsia="宋体" w:cs="宋体"/>
                <w:spacing w:val="-6"/>
                <w:sz w:val="21"/>
                <w:szCs w:val="21"/>
              </w:rPr>
              <w:t>他</w:t>
            </w:r>
            <w:r>
              <w:rPr>
                <w:rFonts w:ascii="宋体" w:hAnsi="宋体" w:eastAsia="宋体" w:cs="宋体"/>
                <w:spacing w:val="21"/>
                <w:sz w:val="21"/>
                <w:szCs w:val="21"/>
              </w:rPr>
              <w:t xml:space="preserve"> </w:t>
            </w:r>
            <w:r>
              <w:rPr>
                <w:rFonts w:ascii="宋体" w:hAnsi="宋体" w:eastAsia="宋体" w:cs="宋体"/>
                <w:spacing w:val="-6"/>
                <w:sz w:val="21"/>
                <w:szCs w:val="21"/>
              </w:rPr>
              <w:t>栏</w:t>
            </w:r>
            <w:r>
              <w:rPr>
                <w:rFonts w:ascii="宋体" w:hAnsi="宋体" w:eastAsia="宋体" w:cs="宋体"/>
                <w:spacing w:val="37"/>
                <w:sz w:val="21"/>
                <w:szCs w:val="21"/>
              </w:rPr>
              <w:t xml:space="preserve"> </w:t>
            </w:r>
            <w:r>
              <w:rPr>
                <w:rFonts w:ascii="宋体" w:hAnsi="宋体" w:eastAsia="宋体" w:cs="宋体"/>
                <w:spacing w:val="-6"/>
                <w:sz w:val="21"/>
                <w:szCs w:val="21"/>
              </w:rPr>
              <w:t>的</w:t>
            </w:r>
          </w:p>
          <w:p w14:paraId="19C223BA">
            <w:pPr>
              <w:spacing w:before="89" w:line="219" w:lineRule="auto"/>
              <w:ind w:left="79"/>
              <w:rPr>
                <w:rFonts w:ascii="宋体" w:hAnsi="宋体" w:eastAsia="宋体" w:cs="宋体"/>
                <w:sz w:val="21"/>
                <w:szCs w:val="21"/>
              </w:rPr>
            </w:pPr>
            <w:r>
              <w:rPr>
                <w:rFonts w:ascii="宋体" w:hAnsi="宋体" w:eastAsia="宋体" w:cs="宋体"/>
                <w:spacing w:val="-6"/>
                <w:sz w:val="21"/>
                <w:szCs w:val="21"/>
              </w:rPr>
              <w:t>注</w:t>
            </w:r>
            <w:r>
              <w:rPr>
                <w:rFonts w:ascii="宋体" w:hAnsi="宋体" w:eastAsia="宋体" w:cs="宋体"/>
                <w:spacing w:val="21"/>
                <w:sz w:val="21"/>
                <w:szCs w:val="21"/>
              </w:rPr>
              <w:t xml:space="preserve"> </w:t>
            </w:r>
            <w:r>
              <w:rPr>
                <w:rFonts w:ascii="宋体" w:hAnsi="宋体" w:eastAsia="宋体" w:cs="宋体"/>
                <w:spacing w:val="-6"/>
                <w:sz w:val="21"/>
                <w:szCs w:val="21"/>
              </w:rPr>
              <w:t>释</w:t>
            </w:r>
            <w:r>
              <w:rPr>
                <w:rFonts w:ascii="宋体" w:hAnsi="宋体" w:eastAsia="宋体" w:cs="宋体"/>
                <w:spacing w:val="22"/>
                <w:sz w:val="21"/>
                <w:szCs w:val="21"/>
              </w:rPr>
              <w:t xml:space="preserve"> </w:t>
            </w:r>
            <w:r>
              <w:rPr>
                <w:rFonts w:ascii="宋体" w:hAnsi="宋体" w:eastAsia="宋体" w:cs="宋体"/>
                <w:spacing w:val="-6"/>
                <w:sz w:val="21"/>
                <w:szCs w:val="21"/>
              </w:rPr>
              <w:t>和</w:t>
            </w:r>
          </w:p>
          <w:p w14:paraId="3FF2F3AF">
            <w:pPr>
              <w:spacing w:before="111" w:line="300" w:lineRule="auto"/>
              <w:ind w:left="108" w:right="45" w:hanging="50"/>
              <w:rPr>
                <w:rFonts w:ascii="宋体" w:hAnsi="宋体" w:eastAsia="宋体" w:cs="宋体"/>
                <w:sz w:val="21"/>
                <w:szCs w:val="21"/>
              </w:rPr>
            </w:pPr>
            <w:r>
              <w:rPr>
                <w:rFonts w:ascii="宋体" w:hAnsi="宋体" w:eastAsia="宋体" w:cs="宋体"/>
                <w:spacing w:val="-10"/>
                <w:sz w:val="21"/>
                <w:szCs w:val="21"/>
              </w:rPr>
              <w:t>补</w:t>
            </w:r>
            <w:r>
              <w:rPr>
                <w:rFonts w:ascii="宋体" w:hAnsi="宋体" w:eastAsia="宋体" w:cs="宋体"/>
                <w:spacing w:val="39"/>
                <w:sz w:val="21"/>
                <w:szCs w:val="21"/>
              </w:rPr>
              <w:t xml:space="preserve"> </w:t>
            </w:r>
            <w:r>
              <w:rPr>
                <w:rFonts w:ascii="宋体" w:hAnsi="宋体" w:eastAsia="宋体" w:cs="宋体"/>
                <w:spacing w:val="-10"/>
                <w:sz w:val="21"/>
                <w:szCs w:val="21"/>
              </w:rPr>
              <w:t>充</w:t>
            </w:r>
            <w:r>
              <w:rPr>
                <w:rFonts w:ascii="宋体" w:hAnsi="宋体" w:eastAsia="宋体" w:cs="宋体"/>
                <w:spacing w:val="39"/>
                <w:sz w:val="21"/>
                <w:szCs w:val="21"/>
              </w:rPr>
              <w:t xml:space="preserve"> </w:t>
            </w:r>
            <w:r>
              <w:rPr>
                <w:rFonts w:ascii="宋体" w:hAnsi="宋体" w:eastAsia="宋体" w:cs="宋体"/>
                <w:spacing w:val="-10"/>
                <w:sz w:val="21"/>
                <w:szCs w:val="21"/>
              </w:rPr>
              <w:t>说</w:t>
            </w:r>
            <w:r>
              <w:rPr>
                <w:rFonts w:ascii="宋体" w:hAnsi="宋体" w:eastAsia="宋体" w:cs="宋体"/>
                <w:sz w:val="21"/>
                <w:szCs w:val="21"/>
              </w:rPr>
              <w:t xml:space="preserve"> 明</w:t>
            </w:r>
          </w:p>
        </w:tc>
      </w:tr>
    </w:tbl>
    <w:p w14:paraId="4C12BBC4">
      <w:pPr>
        <w:spacing w:line="74" w:lineRule="exact"/>
        <w:rPr>
          <w:rFonts w:ascii="Arial"/>
          <w:sz w:val="6"/>
        </w:rPr>
      </w:pPr>
    </w:p>
    <w:p w14:paraId="530C5032">
      <w:pPr>
        <w:spacing w:line="74" w:lineRule="exact"/>
        <w:rPr>
          <w:rFonts w:ascii="Arial" w:hAnsi="Arial" w:eastAsia="Arial" w:cs="Arial"/>
          <w:sz w:val="6"/>
          <w:szCs w:val="6"/>
        </w:rPr>
        <w:sectPr>
          <w:footerReference r:id="rId370" w:type="default"/>
          <w:pgSz w:w="17130" w:h="11910"/>
          <w:pgMar w:top="1012" w:right="1875" w:bottom="400" w:left="1325" w:header="0" w:footer="0" w:gutter="0"/>
          <w:cols w:equalWidth="0" w:num="1">
            <w:col w:w="13930"/>
          </w:cols>
        </w:sectPr>
      </w:pPr>
    </w:p>
    <w:p w14:paraId="358C0443">
      <w:pPr>
        <w:spacing w:line="474" w:lineRule="auto"/>
        <w:rPr>
          <w:rFonts w:ascii="Arial"/>
          <w:sz w:val="21"/>
        </w:rPr>
      </w:pPr>
    </w:p>
    <w:p w14:paraId="500F3321">
      <w:pPr>
        <w:pStyle w:val="2"/>
        <w:spacing w:before="72" w:line="292" w:lineRule="auto"/>
        <w:ind w:left="1074" w:right="1128" w:hanging="420"/>
        <w:rPr>
          <w:sz w:val="22"/>
          <w:szCs w:val="22"/>
        </w:rPr>
      </w:pPr>
      <w:r>
        <w:rPr>
          <w:spacing w:val="-13"/>
          <w:sz w:val="22"/>
          <w:szCs w:val="22"/>
        </w:rPr>
        <w:t>初始约定层次产品</w:t>
      </w:r>
      <w:r>
        <w:rPr>
          <w:spacing w:val="4"/>
          <w:sz w:val="22"/>
          <w:szCs w:val="22"/>
        </w:rPr>
        <w:t xml:space="preserve"> </w:t>
      </w:r>
      <w:r>
        <w:rPr>
          <w:spacing w:val="-14"/>
          <w:sz w:val="22"/>
          <w:szCs w:val="22"/>
        </w:rPr>
        <w:t>约定层次产品</w:t>
      </w:r>
    </w:p>
    <w:p w14:paraId="5382A608">
      <w:pPr>
        <w:spacing w:line="14" w:lineRule="auto"/>
        <w:rPr>
          <w:rFonts w:ascii="Arial"/>
          <w:sz w:val="2"/>
        </w:rPr>
      </w:pPr>
      <w:r>
        <w:rPr>
          <w:rFonts w:ascii="Arial" w:hAnsi="Arial" w:eastAsia="Arial" w:cs="Arial"/>
          <w:sz w:val="2"/>
          <w:szCs w:val="2"/>
        </w:rPr>
        <w:br w:type="column"/>
      </w:r>
    </w:p>
    <w:p w14:paraId="054A591E">
      <w:pPr>
        <w:spacing w:line="473" w:lineRule="auto"/>
        <w:rPr>
          <w:rFonts w:ascii="Arial"/>
          <w:sz w:val="21"/>
        </w:rPr>
      </w:pPr>
    </w:p>
    <w:p w14:paraId="2847E82E">
      <w:pPr>
        <w:pStyle w:val="2"/>
        <w:spacing w:before="72" w:line="292" w:lineRule="auto"/>
        <w:ind w:right="778"/>
        <w:rPr>
          <w:sz w:val="22"/>
          <w:szCs w:val="22"/>
        </w:rPr>
      </w:pPr>
      <w:r>
        <w:rPr>
          <w:spacing w:val="-11"/>
          <w:sz w:val="22"/>
          <w:szCs w:val="22"/>
        </w:rPr>
        <w:t xml:space="preserve">任    </w:t>
      </w:r>
      <w:r>
        <w:rPr>
          <w:rFonts w:ascii="仿宋" w:hAnsi="仿宋" w:eastAsia="仿宋" w:cs="仿宋"/>
          <w:spacing w:val="-11"/>
          <w:sz w:val="22"/>
          <w:szCs w:val="22"/>
        </w:rPr>
        <w:t>务</w:t>
      </w:r>
      <w:r>
        <w:rPr>
          <w:rFonts w:ascii="仿宋" w:hAnsi="仿宋" w:eastAsia="仿宋" w:cs="仿宋"/>
          <w:spacing w:val="-23"/>
          <w:sz w:val="22"/>
          <w:szCs w:val="22"/>
        </w:rPr>
        <w:t xml:space="preserve"> </w:t>
      </w:r>
      <w:r>
        <w:rPr>
          <w:rFonts w:ascii="仿宋" w:hAnsi="仿宋" w:eastAsia="仿宋" w:cs="仿宋"/>
          <w:spacing w:val="-11"/>
          <w:sz w:val="22"/>
          <w:szCs w:val="22"/>
        </w:rPr>
        <w:t>.</w:t>
      </w:r>
      <w:r>
        <w:rPr>
          <w:rFonts w:ascii="仿宋" w:hAnsi="仿宋" w:eastAsia="仿宋" w:cs="仿宋"/>
          <w:sz w:val="22"/>
          <w:szCs w:val="22"/>
        </w:rPr>
        <w:t xml:space="preserve"> </w:t>
      </w:r>
      <w:r>
        <w:rPr>
          <w:spacing w:val="-3"/>
          <w:sz w:val="22"/>
          <w:szCs w:val="22"/>
        </w:rPr>
        <w:t>分析人员</w:t>
      </w:r>
    </w:p>
    <w:p w14:paraId="6579FCCE">
      <w:pPr>
        <w:spacing w:line="14" w:lineRule="auto"/>
        <w:rPr>
          <w:rFonts w:ascii="Arial"/>
          <w:sz w:val="2"/>
        </w:rPr>
      </w:pPr>
      <w:r>
        <w:rPr>
          <w:rFonts w:ascii="Arial" w:hAnsi="Arial" w:eastAsia="Arial" w:cs="Arial"/>
          <w:sz w:val="2"/>
          <w:szCs w:val="2"/>
        </w:rPr>
        <w:br w:type="column"/>
      </w:r>
    </w:p>
    <w:p w14:paraId="0B82BFC7">
      <w:pPr>
        <w:spacing w:before="58" w:line="212" w:lineRule="auto"/>
        <w:rPr>
          <w:rFonts w:ascii="仿宋" w:hAnsi="仿宋" w:eastAsia="仿宋" w:cs="仿宋"/>
          <w:sz w:val="28"/>
          <w:szCs w:val="28"/>
        </w:rPr>
      </w:pPr>
      <w:r>
        <w:rPr>
          <w:rFonts w:ascii="仿宋" w:hAnsi="仿宋" w:eastAsia="仿宋" w:cs="仿宋"/>
          <w:spacing w:val="-3"/>
          <w:sz w:val="28"/>
          <w:szCs w:val="28"/>
        </w:rPr>
        <w:t>表7.6</w:t>
      </w:r>
      <w:r>
        <w:rPr>
          <w:rFonts w:ascii="仿宋" w:hAnsi="仿宋" w:eastAsia="仿宋" w:cs="仿宋"/>
          <w:spacing w:val="112"/>
          <w:sz w:val="28"/>
          <w:szCs w:val="28"/>
        </w:rPr>
        <w:t xml:space="preserve"> </w:t>
      </w:r>
      <w:r>
        <w:rPr>
          <w:rFonts w:ascii="仿宋" w:hAnsi="仿宋" w:eastAsia="仿宋" w:cs="仿宋"/>
          <w:spacing w:val="-3"/>
          <w:sz w:val="28"/>
          <w:szCs w:val="28"/>
        </w:rPr>
        <w:t>危害性分析(</w:t>
      </w:r>
      <w:r>
        <w:rPr>
          <w:rFonts w:ascii="仿宋" w:hAnsi="仿宋" w:eastAsia="仿宋" w:cs="仿宋"/>
          <w:spacing w:val="-81"/>
          <w:sz w:val="28"/>
          <w:szCs w:val="28"/>
        </w:rPr>
        <w:t xml:space="preserve"> </w:t>
      </w:r>
      <w:r>
        <w:rPr>
          <w:rFonts w:ascii="Times New Roman" w:hAnsi="Times New Roman" w:eastAsia="Times New Roman" w:cs="Times New Roman"/>
          <w:spacing w:val="-3"/>
          <w:sz w:val="28"/>
          <w:szCs w:val="28"/>
        </w:rPr>
        <w:t xml:space="preserve">CA) </w:t>
      </w:r>
      <w:r>
        <w:rPr>
          <w:rFonts w:ascii="仿宋" w:hAnsi="仿宋" w:eastAsia="仿宋" w:cs="仿宋"/>
          <w:spacing w:val="-3"/>
          <w:sz w:val="28"/>
          <w:szCs w:val="28"/>
        </w:rPr>
        <w:t>表</w:t>
      </w:r>
    </w:p>
    <w:p w14:paraId="7506A4EF">
      <w:pPr>
        <w:pStyle w:val="2"/>
        <w:spacing w:before="139" w:line="220" w:lineRule="auto"/>
        <w:ind w:left="1009"/>
        <w:rPr>
          <w:sz w:val="22"/>
          <w:szCs w:val="22"/>
        </w:rPr>
      </w:pPr>
      <w:r>
        <w:rPr>
          <w:spacing w:val="-5"/>
          <w:sz w:val="22"/>
          <w:szCs w:val="22"/>
        </w:rPr>
        <w:t>审核</w:t>
      </w:r>
    </w:p>
    <w:p w14:paraId="43F7B6CC">
      <w:pPr>
        <w:pStyle w:val="2"/>
        <w:spacing w:before="108" w:line="221" w:lineRule="auto"/>
        <w:ind w:left="1009"/>
        <w:rPr>
          <w:sz w:val="22"/>
          <w:szCs w:val="22"/>
        </w:rPr>
      </w:pPr>
      <w:r>
        <w:rPr>
          <w:spacing w:val="-2"/>
          <w:sz w:val="22"/>
          <w:szCs w:val="22"/>
        </w:rPr>
        <w:t>批准</w:t>
      </w:r>
    </w:p>
    <w:p w14:paraId="46BAB46C">
      <w:pPr>
        <w:spacing w:line="14" w:lineRule="auto"/>
        <w:rPr>
          <w:rFonts w:ascii="Arial"/>
          <w:sz w:val="2"/>
        </w:rPr>
      </w:pPr>
      <w:r>
        <w:rPr>
          <w:rFonts w:ascii="Arial" w:hAnsi="Arial" w:eastAsia="Arial" w:cs="Arial"/>
          <w:sz w:val="2"/>
          <w:szCs w:val="2"/>
        </w:rPr>
        <w:br w:type="column"/>
      </w:r>
    </w:p>
    <w:p w14:paraId="2175AFD8">
      <w:pPr>
        <w:spacing w:line="241" w:lineRule="auto"/>
        <w:rPr>
          <w:rFonts w:ascii="Arial"/>
          <w:sz w:val="21"/>
        </w:rPr>
      </w:pPr>
    </w:p>
    <w:p w14:paraId="3FA1F422">
      <w:pPr>
        <w:spacing w:line="242" w:lineRule="auto"/>
        <w:rPr>
          <w:rFonts w:ascii="Arial"/>
          <w:sz w:val="21"/>
        </w:rPr>
      </w:pPr>
    </w:p>
    <w:p w14:paraId="50488EE9">
      <w:pPr>
        <w:pStyle w:val="2"/>
        <w:spacing w:before="71" w:line="280" w:lineRule="auto"/>
        <w:ind w:right="1858"/>
        <w:rPr>
          <w:sz w:val="22"/>
          <w:szCs w:val="22"/>
        </w:rPr>
      </w:pPr>
      <w:r>
        <w:rPr>
          <w:spacing w:val="-26"/>
          <w:sz w:val="22"/>
          <w:szCs w:val="22"/>
        </w:rPr>
        <w:t>第</w:t>
      </w:r>
      <w:r>
        <w:rPr>
          <w:spacing w:val="26"/>
          <w:sz w:val="22"/>
          <w:szCs w:val="22"/>
        </w:rPr>
        <w:t xml:space="preserve">   </w:t>
      </w:r>
      <w:r>
        <w:rPr>
          <w:spacing w:val="-26"/>
          <w:sz w:val="22"/>
          <w:szCs w:val="22"/>
        </w:rPr>
        <w:t>页</w:t>
      </w:r>
      <w:r>
        <w:rPr>
          <w:spacing w:val="-25"/>
          <w:sz w:val="22"/>
          <w:szCs w:val="22"/>
        </w:rPr>
        <w:t xml:space="preserve"> </w:t>
      </w:r>
      <w:r>
        <w:rPr>
          <w:spacing w:val="-26"/>
          <w:sz w:val="22"/>
          <w:szCs w:val="22"/>
        </w:rPr>
        <w:t>·</w:t>
      </w:r>
      <w:r>
        <w:rPr>
          <w:spacing w:val="84"/>
          <w:sz w:val="22"/>
          <w:szCs w:val="22"/>
        </w:rPr>
        <w:t xml:space="preserve"> </w:t>
      </w:r>
      <w:r>
        <w:rPr>
          <w:spacing w:val="-26"/>
          <w:sz w:val="22"/>
          <w:szCs w:val="22"/>
        </w:rPr>
        <w:t>共</w:t>
      </w:r>
      <w:r>
        <w:rPr>
          <w:spacing w:val="36"/>
          <w:sz w:val="22"/>
          <w:szCs w:val="22"/>
        </w:rPr>
        <w:t xml:space="preserve">   </w:t>
      </w:r>
      <w:r>
        <w:rPr>
          <w:spacing w:val="-26"/>
          <w:sz w:val="22"/>
          <w:szCs w:val="22"/>
        </w:rPr>
        <w:t>页</w:t>
      </w:r>
      <w:r>
        <w:rPr>
          <w:sz w:val="22"/>
          <w:szCs w:val="22"/>
        </w:rPr>
        <w:t xml:space="preserve"> </w:t>
      </w:r>
      <w:r>
        <w:rPr>
          <w:spacing w:val="-9"/>
          <w:sz w:val="22"/>
          <w:szCs w:val="22"/>
        </w:rPr>
        <w:t>填表日期</w:t>
      </w:r>
    </w:p>
    <w:p w14:paraId="5F214EA7">
      <w:pPr>
        <w:spacing w:line="280" w:lineRule="auto"/>
        <w:rPr>
          <w:sz w:val="22"/>
          <w:szCs w:val="22"/>
        </w:rPr>
        <w:sectPr>
          <w:type w:val="continuous"/>
          <w:pgSz w:w="17130" w:h="11910"/>
          <w:pgMar w:top="1012" w:right="1875" w:bottom="400" w:left="1325" w:header="0" w:footer="0" w:gutter="0"/>
          <w:cols w:equalWidth="0" w:num="4">
            <w:col w:w="3445" w:space="100"/>
            <w:col w:w="1781" w:space="100"/>
            <w:col w:w="4450" w:space="100"/>
            <w:col w:w="3956"/>
          </w:cols>
        </w:sectPr>
      </w:pPr>
    </w:p>
    <w:tbl>
      <w:tblPr>
        <w:tblStyle w:val="5"/>
        <w:tblW w:w="13700" w:type="dxa"/>
        <w:tblInd w:w="2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5"/>
        <w:gridCol w:w="1039"/>
        <w:gridCol w:w="610"/>
        <w:gridCol w:w="630"/>
        <w:gridCol w:w="820"/>
        <w:gridCol w:w="829"/>
        <w:gridCol w:w="1039"/>
        <w:gridCol w:w="1269"/>
        <w:gridCol w:w="1039"/>
        <w:gridCol w:w="1009"/>
        <w:gridCol w:w="1049"/>
        <w:gridCol w:w="1039"/>
        <w:gridCol w:w="1259"/>
        <w:gridCol w:w="829"/>
        <w:gridCol w:w="605"/>
      </w:tblGrid>
      <w:tr w14:paraId="78CFD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635" w:type="dxa"/>
            <w:tcBorders>
              <w:top w:val="single" w:color="000000" w:sz="2" w:space="0"/>
              <w:bottom w:val="single" w:color="000000" w:sz="2" w:space="0"/>
            </w:tcBorders>
            <w:vAlign w:val="top"/>
          </w:tcPr>
          <w:p w14:paraId="4EF9D199">
            <w:pPr>
              <w:pStyle w:val="6"/>
              <w:spacing w:line="444" w:lineRule="auto"/>
            </w:pPr>
          </w:p>
          <w:p w14:paraId="6B968083">
            <w:pPr>
              <w:spacing w:before="71" w:line="219" w:lineRule="auto"/>
              <w:ind w:left="85"/>
              <w:rPr>
                <w:rFonts w:ascii="宋体" w:hAnsi="宋体" w:eastAsia="宋体" w:cs="宋体"/>
                <w:sz w:val="22"/>
                <w:szCs w:val="22"/>
              </w:rPr>
            </w:pPr>
            <w:r>
              <w:rPr>
                <w:rFonts w:ascii="宋体" w:hAnsi="宋体" w:eastAsia="宋体" w:cs="宋体"/>
                <w:spacing w:val="-2"/>
                <w:sz w:val="22"/>
                <w:szCs w:val="22"/>
              </w:rPr>
              <w:t>代码</w:t>
            </w:r>
          </w:p>
        </w:tc>
        <w:tc>
          <w:tcPr>
            <w:tcW w:w="1039" w:type="dxa"/>
            <w:tcBorders>
              <w:top w:val="single" w:color="000000" w:sz="2" w:space="0"/>
              <w:bottom w:val="single" w:color="000000" w:sz="2" w:space="0"/>
            </w:tcBorders>
            <w:vAlign w:val="top"/>
          </w:tcPr>
          <w:p w14:paraId="19BC272D">
            <w:pPr>
              <w:pStyle w:val="6"/>
              <w:spacing w:line="274" w:lineRule="auto"/>
            </w:pPr>
          </w:p>
          <w:p w14:paraId="371DC76D">
            <w:pPr>
              <w:spacing w:before="72" w:line="297" w:lineRule="auto"/>
              <w:ind w:left="70" w:right="64" w:firstLine="109"/>
              <w:rPr>
                <w:rFonts w:ascii="宋体" w:hAnsi="宋体" w:eastAsia="宋体" w:cs="宋体"/>
                <w:sz w:val="22"/>
                <w:szCs w:val="22"/>
              </w:rPr>
            </w:pPr>
            <w:r>
              <w:rPr>
                <w:rFonts w:ascii="宋体" w:hAnsi="宋体" w:eastAsia="宋体" w:cs="宋体"/>
                <w:spacing w:val="-3"/>
                <w:sz w:val="22"/>
                <w:szCs w:val="22"/>
              </w:rPr>
              <w:t>产品或</w:t>
            </w:r>
            <w:r>
              <w:rPr>
                <w:rFonts w:ascii="宋体" w:hAnsi="宋体" w:eastAsia="宋体" w:cs="宋体"/>
                <w:sz w:val="22"/>
                <w:szCs w:val="22"/>
              </w:rPr>
              <w:t xml:space="preserve">  </w:t>
            </w:r>
            <w:r>
              <w:rPr>
                <w:rFonts w:ascii="宋体" w:hAnsi="宋体" w:eastAsia="宋体" w:cs="宋体"/>
                <w:spacing w:val="3"/>
                <w:sz w:val="22"/>
                <w:szCs w:val="22"/>
              </w:rPr>
              <w:t>功能标志</w:t>
            </w:r>
          </w:p>
        </w:tc>
        <w:tc>
          <w:tcPr>
            <w:tcW w:w="610" w:type="dxa"/>
            <w:tcBorders>
              <w:top w:val="single" w:color="000000" w:sz="2" w:space="0"/>
              <w:bottom w:val="single" w:color="000000" w:sz="2" w:space="0"/>
            </w:tcBorders>
            <w:vAlign w:val="top"/>
          </w:tcPr>
          <w:p w14:paraId="392F00C6">
            <w:pPr>
              <w:pStyle w:val="6"/>
              <w:spacing w:line="445" w:lineRule="auto"/>
            </w:pPr>
          </w:p>
          <w:p w14:paraId="1AF2449E">
            <w:pPr>
              <w:spacing w:before="71" w:line="221" w:lineRule="auto"/>
              <w:ind w:left="71"/>
              <w:rPr>
                <w:rFonts w:ascii="宋体" w:hAnsi="宋体" w:eastAsia="宋体" w:cs="宋体"/>
                <w:sz w:val="22"/>
                <w:szCs w:val="22"/>
              </w:rPr>
            </w:pPr>
            <w:r>
              <w:rPr>
                <w:rFonts w:ascii="宋体" w:hAnsi="宋体" w:eastAsia="宋体" w:cs="宋体"/>
                <w:spacing w:val="5"/>
                <w:sz w:val="22"/>
                <w:szCs w:val="22"/>
              </w:rPr>
              <w:t>功能</w:t>
            </w:r>
          </w:p>
        </w:tc>
        <w:tc>
          <w:tcPr>
            <w:tcW w:w="630" w:type="dxa"/>
            <w:tcBorders>
              <w:top w:val="single" w:color="000000" w:sz="2" w:space="0"/>
              <w:bottom w:val="single" w:color="000000" w:sz="2" w:space="0"/>
            </w:tcBorders>
            <w:vAlign w:val="top"/>
          </w:tcPr>
          <w:p w14:paraId="0C00FE9F">
            <w:pPr>
              <w:pStyle w:val="6"/>
              <w:spacing w:line="275" w:lineRule="auto"/>
            </w:pPr>
          </w:p>
          <w:p w14:paraId="7BEF3EC6">
            <w:pPr>
              <w:spacing w:before="72" w:line="219" w:lineRule="auto"/>
              <w:ind w:left="81"/>
              <w:rPr>
                <w:rFonts w:ascii="宋体" w:hAnsi="宋体" w:eastAsia="宋体" w:cs="宋体"/>
                <w:sz w:val="22"/>
                <w:szCs w:val="22"/>
              </w:rPr>
            </w:pPr>
            <w:r>
              <w:rPr>
                <w:rFonts w:ascii="宋体" w:hAnsi="宋体" w:eastAsia="宋体" w:cs="宋体"/>
                <w:spacing w:val="4"/>
                <w:sz w:val="22"/>
                <w:szCs w:val="22"/>
              </w:rPr>
              <w:t>故障</w:t>
            </w:r>
          </w:p>
          <w:p w14:paraId="14514FFC">
            <w:pPr>
              <w:spacing w:before="78" w:line="219" w:lineRule="auto"/>
              <w:ind w:left="81"/>
              <w:rPr>
                <w:rFonts w:ascii="宋体" w:hAnsi="宋体" w:eastAsia="宋体" w:cs="宋体"/>
                <w:sz w:val="22"/>
                <w:szCs w:val="22"/>
              </w:rPr>
            </w:pPr>
            <w:r>
              <w:rPr>
                <w:rFonts w:ascii="宋体" w:hAnsi="宋体" w:eastAsia="宋体" w:cs="宋体"/>
                <w:spacing w:val="-2"/>
                <w:sz w:val="22"/>
                <w:szCs w:val="22"/>
              </w:rPr>
              <w:t>模式</w:t>
            </w:r>
          </w:p>
        </w:tc>
        <w:tc>
          <w:tcPr>
            <w:tcW w:w="820" w:type="dxa"/>
            <w:tcBorders>
              <w:top w:val="single" w:color="000000" w:sz="2" w:space="0"/>
              <w:bottom w:val="single" w:color="000000" w:sz="2" w:space="0"/>
            </w:tcBorders>
            <w:vAlign w:val="top"/>
          </w:tcPr>
          <w:p w14:paraId="636E2A30">
            <w:pPr>
              <w:pStyle w:val="6"/>
              <w:spacing w:line="275" w:lineRule="auto"/>
            </w:pPr>
          </w:p>
          <w:p w14:paraId="479EB7E8">
            <w:pPr>
              <w:spacing w:before="72" w:line="219" w:lineRule="auto"/>
              <w:ind w:left="181"/>
              <w:rPr>
                <w:rFonts w:ascii="宋体" w:hAnsi="宋体" w:eastAsia="宋体" w:cs="宋体"/>
                <w:sz w:val="22"/>
                <w:szCs w:val="22"/>
              </w:rPr>
            </w:pPr>
            <w:r>
              <w:rPr>
                <w:rFonts w:ascii="宋体" w:hAnsi="宋体" w:eastAsia="宋体" w:cs="宋体"/>
                <w:spacing w:val="4"/>
                <w:sz w:val="22"/>
                <w:szCs w:val="22"/>
              </w:rPr>
              <w:t>故障</w:t>
            </w:r>
          </w:p>
          <w:p w14:paraId="625A43C0">
            <w:pPr>
              <w:spacing w:before="82" w:line="222" w:lineRule="auto"/>
              <w:ind w:left="181"/>
              <w:rPr>
                <w:rFonts w:ascii="宋体" w:hAnsi="宋体" w:eastAsia="宋体" w:cs="宋体"/>
                <w:sz w:val="22"/>
                <w:szCs w:val="22"/>
              </w:rPr>
            </w:pPr>
            <w:r>
              <w:rPr>
                <w:rFonts w:ascii="宋体" w:hAnsi="宋体" w:eastAsia="宋体" w:cs="宋体"/>
                <w:spacing w:val="11"/>
                <w:sz w:val="22"/>
                <w:szCs w:val="22"/>
              </w:rPr>
              <w:t>原因</w:t>
            </w:r>
          </w:p>
        </w:tc>
        <w:tc>
          <w:tcPr>
            <w:tcW w:w="829" w:type="dxa"/>
            <w:tcBorders>
              <w:top w:val="single" w:color="000000" w:sz="2" w:space="0"/>
              <w:bottom w:val="single" w:color="000000" w:sz="2" w:space="0"/>
            </w:tcBorders>
            <w:vAlign w:val="top"/>
          </w:tcPr>
          <w:p w14:paraId="7321CA8F">
            <w:pPr>
              <w:spacing w:before="148" w:line="219" w:lineRule="auto"/>
              <w:ind w:left="71"/>
              <w:rPr>
                <w:rFonts w:ascii="宋体" w:hAnsi="宋体" w:eastAsia="宋体" w:cs="宋体"/>
                <w:sz w:val="22"/>
                <w:szCs w:val="22"/>
              </w:rPr>
            </w:pPr>
            <w:r>
              <w:rPr>
                <w:rFonts w:ascii="宋体" w:hAnsi="宋体" w:eastAsia="宋体" w:cs="宋体"/>
                <w:spacing w:val="-2"/>
                <w:sz w:val="22"/>
                <w:szCs w:val="22"/>
              </w:rPr>
              <w:t>任务阶</w:t>
            </w:r>
          </w:p>
          <w:p w14:paraId="639390CA">
            <w:pPr>
              <w:spacing w:before="110" w:line="300" w:lineRule="auto"/>
              <w:ind w:left="71" w:right="75"/>
              <w:rPr>
                <w:rFonts w:ascii="宋体" w:hAnsi="宋体" w:eastAsia="宋体" w:cs="宋体"/>
                <w:sz w:val="22"/>
                <w:szCs w:val="22"/>
              </w:rPr>
            </w:pPr>
            <w:r>
              <w:rPr>
                <w:rFonts w:ascii="宋体" w:hAnsi="宋体" w:eastAsia="宋体" w:cs="宋体"/>
                <w:spacing w:val="4"/>
                <w:sz w:val="22"/>
                <w:szCs w:val="22"/>
              </w:rPr>
              <w:t>段与工</w:t>
            </w:r>
            <w:r>
              <w:rPr>
                <w:rFonts w:ascii="宋体" w:hAnsi="宋体" w:eastAsia="宋体" w:cs="宋体"/>
                <w:sz w:val="22"/>
                <w:szCs w:val="22"/>
              </w:rPr>
              <w:t xml:space="preserve"> </w:t>
            </w:r>
            <w:r>
              <w:rPr>
                <w:rFonts w:ascii="宋体" w:hAnsi="宋体" w:eastAsia="宋体" w:cs="宋体"/>
                <w:spacing w:val="-3"/>
                <w:sz w:val="22"/>
                <w:szCs w:val="22"/>
              </w:rPr>
              <w:t>作方式</w:t>
            </w:r>
          </w:p>
        </w:tc>
        <w:tc>
          <w:tcPr>
            <w:tcW w:w="1039" w:type="dxa"/>
            <w:tcBorders>
              <w:top w:val="single" w:color="000000" w:sz="2" w:space="0"/>
              <w:bottom w:val="single" w:color="000000" w:sz="2" w:space="0"/>
            </w:tcBorders>
            <w:vAlign w:val="top"/>
          </w:tcPr>
          <w:p w14:paraId="6B6ABD8C">
            <w:pPr>
              <w:pStyle w:val="6"/>
              <w:spacing w:line="277" w:lineRule="auto"/>
            </w:pPr>
          </w:p>
          <w:p w14:paraId="6ED183E2">
            <w:pPr>
              <w:spacing w:before="71" w:line="286" w:lineRule="auto"/>
              <w:ind w:left="291" w:right="174" w:hanging="109"/>
              <w:rPr>
                <w:rFonts w:ascii="宋体" w:hAnsi="宋体" w:eastAsia="宋体" w:cs="宋体"/>
                <w:sz w:val="22"/>
                <w:szCs w:val="22"/>
              </w:rPr>
            </w:pPr>
            <w:r>
              <w:rPr>
                <w:rFonts w:ascii="宋体" w:hAnsi="宋体" w:eastAsia="宋体" w:cs="宋体"/>
                <w:spacing w:val="4"/>
                <w:sz w:val="22"/>
                <w:szCs w:val="22"/>
              </w:rPr>
              <w:t>严酷度</w:t>
            </w:r>
            <w:r>
              <w:rPr>
                <w:rFonts w:ascii="宋体" w:hAnsi="宋体" w:eastAsia="宋体" w:cs="宋体"/>
                <w:sz w:val="22"/>
                <w:szCs w:val="22"/>
              </w:rPr>
              <w:t xml:space="preserve"> </w:t>
            </w:r>
            <w:r>
              <w:rPr>
                <w:rFonts w:ascii="宋体" w:hAnsi="宋体" w:eastAsia="宋体" w:cs="宋体"/>
                <w:spacing w:val="8"/>
                <w:sz w:val="22"/>
                <w:szCs w:val="22"/>
              </w:rPr>
              <w:t>类别</w:t>
            </w:r>
          </w:p>
        </w:tc>
        <w:tc>
          <w:tcPr>
            <w:tcW w:w="1269" w:type="dxa"/>
            <w:tcBorders>
              <w:top w:val="single" w:color="000000" w:sz="2" w:space="0"/>
              <w:bottom w:val="single" w:color="000000" w:sz="2" w:space="0"/>
            </w:tcBorders>
            <w:vAlign w:val="top"/>
          </w:tcPr>
          <w:p w14:paraId="50CD2EA7">
            <w:pPr>
              <w:spacing w:before="177" w:line="294" w:lineRule="auto"/>
              <w:ind w:left="73" w:right="94" w:firstLine="109"/>
              <w:rPr>
                <w:rFonts w:ascii="宋体" w:hAnsi="宋体" w:eastAsia="宋体" w:cs="宋体"/>
                <w:sz w:val="22"/>
                <w:szCs w:val="22"/>
              </w:rPr>
            </w:pPr>
            <w:r>
              <w:rPr>
                <w:rFonts w:ascii="宋体" w:hAnsi="宋体" w:eastAsia="宋体" w:cs="宋体"/>
                <w:spacing w:val="2"/>
                <w:sz w:val="22"/>
                <w:szCs w:val="22"/>
              </w:rPr>
              <w:t>故障模式</w:t>
            </w:r>
            <w:r>
              <w:rPr>
                <w:rFonts w:ascii="宋体" w:hAnsi="宋体" w:eastAsia="宋体" w:cs="宋体"/>
                <w:sz w:val="22"/>
                <w:szCs w:val="22"/>
              </w:rPr>
              <w:t xml:space="preserve">  </w:t>
            </w:r>
            <w:r>
              <w:rPr>
                <w:rFonts w:ascii="宋体" w:hAnsi="宋体" w:eastAsia="宋体" w:cs="宋体"/>
                <w:spacing w:val="-2"/>
                <w:sz w:val="22"/>
                <w:szCs w:val="22"/>
              </w:rPr>
              <w:t>概率等级或</w:t>
            </w:r>
          </w:p>
          <w:p w14:paraId="631B14DC">
            <w:pPr>
              <w:spacing w:line="219" w:lineRule="auto"/>
              <w:ind w:left="73"/>
              <w:rPr>
                <w:rFonts w:ascii="宋体" w:hAnsi="宋体" w:eastAsia="宋体" w:cs="宋体"/>
                <w:sz w:val="22"/>
                <w:szCs w:val="22"/>
              </w:rPr>
            </w:pPr>
            <w:r>
              <w:rPr>
                <w:rFonts w:ascii="宋体" w:hAnsi="宋体" w:eastAsia="宋体" w:cs="宋体"/>
                <w:spacing w:val="1"/>
                <w:sz w:val="22"/>
                <w:szCs w:val="22"/>
              </w:rPr>
              <w:t>故障数据源</w:t>
            </w:r>
          </w:p>
        </w:tc>
        <w:tc>
          <w:tcPr>
            <w:tcW w:w="1039" w:type="dxa"/>
            <w:tcBorders>
              <w:top w:val="single" w:color="000000" w:sz="2" w:space="0"/>
              <w:bottom w:val="single" w:color="000000" w:sz="2" w:space="0"/>
            </w:tcBorders>
            <w:vAlign w:val="top"/>
          </w:tcPr>
          <w:p w14:paraId="346B05EB">
            <w:pPr>
              <w:pStyle w:val="6"/>
              <w:spacing w:line="269" w:lineRule="auto"/>
            </w:pPr>
          </w:p>
          <w:p w14:paraId="27F6D5C1">
            <w:pPr>
              <w:spacing w:before="72" w:line="214" w:lineRule="auto"/>
              <w:ind w:left="14"/>
              <w:rPr>
                <w:rFonts w:ascii="宋体" w:hAnsi="宋体" w:eastAsia="宋体" w:cs="宋体"/>
                <w:sz w:val="22"/>
                <w:szCs w:val="22"/>
              </w:rPr>
            </w:pPr>
            <w:r>
              <w:rPr>
                <w:rFonts w:ascii="宋体" w:hAnsi="宋体" w:eastAsia="宋体" w:cs="宋体"/>
                <w:spacing w:val="2"/>
                <w:sz w:val="22"/>
                <w:szCs w:val="22"/>
              </w:rPr>
              <w:t>故障率λp</w:t>
            </w:r>
          </w:p>
          <w:p w14:paraId="47BC9126">
            <w:pPr>
              <w:spacing w:before="123" w:line="222" w:lineRule="auto"/>
              <w:ind w:left="234"/>
              <w:rPr>
                <w:rFonts w:ascii="宋体" w:hAnsi="宋体" w:eastAsia="宋体" w:cs="宋体"/>
                <w:sz w:val="22"/>
                <w:szCs w:val="22"/>
              </w:rPr>
            </w:pPr>
            <w:r>
              <w:rPr>
                <w:rFonts w:ascii="宋体" w:hAnsi="宋体" w:eastAsia="宋体" w:cs="宋体"/>
                <w:spacing w:val="-8"/>
                <w:sz w:val="22"/>
                <w:szCs w:val="22"/>
              </w:rPr>
              <w:t>(1/h)</w:t>
            </w:r>
          </w:p>
        </w:tc>
        <w:tc>
          <w:tcPr>
            <w:tcW w:w="1009" w:type="dxa"/>
            <w:tcBorders>
              <w:top w:val="single" w:color="000000" w:sz="2" w:space="0"/>
              <w:bottom w:val="single" w:color="000000" w:sz="2" w:space="0"/>
            </w:tcBorders>
            <w:vAlign w:val="top"/>
          </w:tcPr>
          <w:p w14:paraId="48ECC066">
            <w:pPr>
              <w:pStyle w:val="6"/>
              <w:spacing w:line="255" w:lineRule="auto"/>
            </w:pPr>
          </w:p>
          <w:p w14:paraId="1E8793C8">
            <w:pPr>
              <w:spacing w:before="71" w:line="279" w:lineRule="auto"/>
              <w:ind w:left="55"/>
              <w:rPr>
                <w:rFonts w:ascii="宋体" w:hAnsi="宋体" w:eastAsia="宋体" w:cs="宋体"/>
                <w:sz w:val="22"/>
                <w:szCs w:val="22"/>
              </w:rPr>
            </w:pPr>
            <w:r>
              <w:rPr>
                <w:rFonts w:ascii="宋体" w:hAnsi="宋体" w:eastAsia="宋体" w:cs="宋体"/>
                <w:sz w:val="22"/>
                <w:szCs w:val="22"/>
              </w:rPr>
              <w:t>故障模式</w:t>
            </w:r>
            <w:r>
              <w:rPr>
                <w:rFonts w:ascii="宋体" w:hAnsi="宋体" w:eastAsia="宋体" w:cs="宋体"/>
                <w:spacing w:val="1"/>
                <w:sz w:val="22"/>
                <w:szCs w:val="22"/>
              </w:rPr>
              <w:t xml:space="preserve"> </w:t>
            </w:r>
            <w:r>
              <w:rPr>
                <w:rFonts w:ascii="宋体" w:hAnsi="宋体" w:eastAsia="宋体" w:cs="宋体"/>
                <w:spacing w:val="15"/>
                <w:sz w:val="22"/>
                <w:szCs w:val="22"/>
              </w:rPr>
              <w:t>频数比α</w:t>
            </w:r>
          </w:p>
        </w:tc>
        <w:tc>
          <w:tcPr>
            <w:tcW w:w="1049" w:type="dxa"/>
            <w:tcBorders>
              <w:top w:val="single" w:color="000000" w:sz="2" w:space="0"/>
              <w:bottom w:val="single" w:color="000000" w:sz="2" w:space="0"/>
            </w:tcBorders>
            <w:vAlign w:val="top"/>
          </w:tcPr>
          <w:p w14:paraId="005B0847">
            <w:pPr>
              <w:pStyle w:val="6"/>
              <w:spacing w:line="254" w:lineRule="auto"/>
            </w:pPr>
          </w:p>
          <w:p w14:paraId="2171ED4A">
            <w:pPr>
              <w:spacing w:before="72" w:line="296" w:lineRule="auto"/>
              <w:ind w:left="135" w:right="64" w:hanging="59"/>
              <w:rPr>
                <w:rFonts w:ascii="宋体" w:hAnsi="宋体" w:eastAsia="宋体" w:cs="宋体"/>
                <w:sz w:val="22"/>
                <w:szCs w:val="22"/>
              </w:rPr>
            </w:pPr>
            <w:r>
              <w:rPr>
                <w:rFonts w:ascii="宋体" w:hAnsi="宋体" w:eastAsia="宋体" w:cs="宋体"/>
                <w:spacing w:val="4"/>
                <w:sz w:val="22"/>
                <w:szCs w:val="22"/>
              </w:rPr>
              <w:t>故障影响</w:t>
            </w:r>
            <w:r>
              <w:rPr>
                <w:rFonts w:ascii="宋体" w:hAnsi="宋体" w:eastAsia="宋体" w:cs="宋体"/>
                <w:spacing w:val="1"/>
                <w:sz w:val="22"/>
                <w:szCs w:val="22"/>
              </w:rPr>
              <w:t xml:space="preserve"> </w:t>
            </w:r>
            <w:r>
              <w:rPr>
                <w:rFonts w:ascii="宋体" w:hAnsi="宋体" w:eastAsia="宋体" w:cs="宋体"/>
                <w:spacing w:val="11"/>
                <w:sz w:val="22"/>
                <w:szCs w:val="22"/>
              </w:rPr>
              <w:t>概率β;</w:t>
            </w:r>
          </w:p>
        </w:tc>
        <w:tc>
          <w:tcPr>
            <w:tcW w:w="1039" w:type="dxa"/>
            <w:tcBorders>
              <w:top w:val="single" w:color="000000" w:sz="2" w:space="0"/>
              <w:bottom w:val="single" w:color="000000" w:sz="2" w:space="0"/>
            </w:tcBorders>
            <w:vAlign w:val="top"/>
          </w:tcPr>
          <w:p w14:paraId="5C5107DF">
            <w:pPr>
              <w:pStyle w:val="6"/>
              <w:spacing w:line="276" w:lineRule="auto"/>
            </w:pPr>
          </w:p>
          <w:p w14:paraId="08180E9A">
            <w:pPr>
              <w:spacing w:before="71" w:line="220" w:lineRule="auto"/>
              <w:ind w:left="297"/>
              <w:rPr>
                <w:rFonts w:ascii="宋体" w:hAnsi="宋体" w:eastAsia="宋体" w:cs="宋体"/>
                <w:sz w:val="22"/>
                <w:szCs w:val="22"/>
              </w:rPr>
            </w:pPr>
            <w:r>
              <w:rPr>
                <w:rFonts w:ascii="宋体" w:hAnsi="宋体" w:eastAsia="宋体" w:cs="宋体"/>
                <w:spacing w:val="7"/>
                <w:sz w:val="22"/>
                <w:szCs w:val="22"/>
              </w:rPr>
              <w:t>工作</w:t>
            </w:r>
          </w:p>
          <w:p w14:paraId="426297CA">
            <w:pPr>
              <w:spacing w:before="99" w:line="221" w:lineRule="auto"/>
              <w:ind w:left="76"/>
              <w:rPr>
                <w:rFonts w:ascii="宋体" w:hAnsi="宋体" w:eastAsia="宋体" w:cs="宋体"/>
                <w:sz w:val="22"/>
                <w:szCs w:val="22"/>
              </w:rPr>
            </w:pPr>
            <w:r>
              <w:rPr>
                <w:rFonts w:ascii="宋体" w:hAnsi="宋体" w:eastAsia="宋体" w:cs="宋体"/>
                <w:spacing w:val="8"/>
                <w:sz w:val="22"/>
                <w:szCs w:val="22"/>
              </w:rPr>
              <w:t>时间t(h)</w:t>
            </w:r>
          </w:p>
        </w:tc>
        <w:tc>
          <w:tcPr>
            <w:tcW w:w="1259" w:type="dxa"/>
            <w:tcBorders>
              <w:top w:val="single" w:color="000000" w:sz="2" w:space="0"/>
              <w:bottom w:val="single" w:color="000000" w:sz="2" w:space="0"/>
            </w:tcBorders>
            <w:vAlign w:val="top"/>
          </w:tcPr>
          <w:p w14:paraId="59DD9C0E">
            <w:pPr>
              <w:pStyle w:val="6"/>
              <w:spacing w:line="276" w:lineRule="auto"/>
            </w:pPr>
          </w:p>
          <w:p w14:paraId="20752FFE">
            <w:pPr>
              <w:spacing w:before="71" w:line="288" w:lineRule="auto"/>
              <w:ind w:left="88" w:right="79" w:firstLine="100"/>
              <w:rPr>
                <w:rFonts w:ascii="宋体" w:hAnsi="宋体" w:eastAsia="宋体" w:cs="宋体"/>
                <w:sz w:val="22"/>
                <w:szCs w:val="22"/>
              </w:rPr>
            </w:pPr>
            <w:r>
              <w:rPr>
                <w:rFonts w:ascii="宋体" w:hAnsi="宋体" w:eastAsia="宋体" w:cs="宋体"/>
                <w:spacing w:val="2"/>
                <w:sz w:val="22"/>
                <w:szCs w:val="22"/>
              </w:rPr>
              <w:t>故障模式</w:t>
            </w:r>
            <w:r>
              <w:rPr>
                <w:rFonts w:ascii="宋体" w:hAnsi="宋体" w:eastAsia="宋体" w:cs="宋体"/>
                <w:sz w:val="22"/>
                <w:szCs w:val="22"/>
              </w:rPr>
              <w:t xml:space="preserve">  </w:t>
            </w:r>
            <w:r>
              <w:rPr>
                <w:rFonts w:ascii="宋体" w:hAnsi="宋体" w:eastAsia="宋体" w:cs="宋体"/>
                <w:spacing w:val="-9"/>
                <w:sz w:val="22"/>
                <w:szCs w:val="22"/>
              </w:rPr>
              <w:t>危</w:t>
            </w:r>
            <w:r>
              <w:rPr>
                <w:rFonts w:ascii="宋体" w:hAnsi="宋体" w:eastAsia="宋体" w:cs="宋体"/>
                <w:spacing w:val="-42"/>
                <w:sz w:val="22"/>
                <w:szCs w:val="22"/>
              </w:rPr>
              <w:t xml:space="preserve"> </w:t>
            </w:r>
            <w:r>
              <w:rPr>
                <w:rFonts w:ascii="宋体" w:hAnsi="宋体" w:eastAsia="宋体" w:cs="宋体"/>
                <w:spacing w:val="-9"/>
                <w:sz w:val="22"/>
                <w:szCs w:val="22"/>
              </w:rPr>
              <w:t>害</w:t>
            </w:r>
            <w:r>
              <w:rPr>
                <w:rFonts w:ascii="宋体" w:hAnsi="宋体" w:eastAsia="宋体" w:cs="宋体"/>
                <w:spacing w:val="-49"/>
                <w:sz w:val="22"/>
                <w:szCs w:val="22"/>
              </w:rPr>
              <w:t xml:space="preserve"> </w:t>
            </w:r>
            <w:r>
              <w:rPr>
                <w:rFonts w:ascii="宋体" w:hAnsi="宋体" w:eastAsia="宋体" w:cs="宋体"/>
                <w:spacing w:val="-9"/>
                <w:sz w:val="22"/>
                <w:szCs w:val="22"/>
              </w:rPr>
              <w:t>度</w:t>
            </w:r>
            <w:r>
              <w:rPr>
                <w:rFonts w:ascii="宋体" w:hAnsi="宋体" w:eastAsia="宋体" w:cs="宋体"/>
                <w:spacing w:val="-50"/>
                <w:sz w:val="22"/>
                <w:szCs w:val="22"/>
              </w:rPr>
              <w:t xml:space="preserve"> </w:t>
            </w:r>
            <w:r>
              <w:rPr>
                <w:rFonts w:ascii="宋体" w:hAnsi="宋体" w:eastAsia="宋体" w:cs="宋体"/>
                <w:spacing w:val="-9"/>
                <w:sz w:val="22"/>
                <w:szCs w:val="22"/>
              </w:rPr>
              <w:t>C</w:t>
            </w:r>
            <w:r>
              <w:rPr>
                <w:rFonts w:ascii="宋体" w:hAnsi="宋体" w:eastAsia="宋体" w:cs="宋体"/>
                <w:spacing w:val="-55"/>
                <w:sz w:val="22"/>
                <w:szCs w:val="22"/>
              </w:rPr>
              <w:t xml:space="preserve"> </w:t>
            </w:r>
            <w:r>
              <w:rPr>
                <w:rFonts w:ascii="宋体" w:hAnsi="宋体" w:eastAsia="宋体" w:cs="宋体"/>
                <w:spacing w:val="-9"/>
                <w:sz w:val="22"/>
                <w:szCs w:val="22"/>
              </w:rPr>
              <w:t>m</w:t>
            </w:r>
          </w:p>
        </w:tc>
        <w:tc>
          <w:tcPr>
            <w:tcW w:w="829" w:type="dxa"/>
            <w:tcBorders>
              <w:top w:val="single" w:color="000000" w:sz="2" w:space="0"/>
              <w:bottom w:val="single" w:color="000000" w:sz="2" w:space="0"/>
            </w:tcBorders>
            <w:vAlign w:val="top"/>
          </w:tcPr>
          <w:p w14:paraId="708B3213">
            <w:pPr>
              <w:pStyle w:val="6"/>
              <w:spacing w:line="265" w:lineRule="auto"/>
            </w:pPr>
          </w:p>
          <w:p w14:paraId="6FFABA4F">
            <w:pPr>
              <w:spacing w:before="71" w:line="283" w:lineRule="auto"/>
              <w:ind w:left="79" w:right="11"/>
              <w:rPr>
                <w:rFonts w:ascii="宋体" w:hAnsi="宋体" w:eastAsia="宋体" w:cs="宋体"/>
                <w:sz w:val="22"/>
                <w:szCs w:val="22"/>
              </w:rPr>
            </w:pPr>
            <w:r>
              <w:rPr>
                <w:rFonts w:ascii="宋体" w:hAnsi="宋体" w:eastAsia="宋体" w:cs="宋体"/>
                <w:spacing w:val="-3"/>
                <w:sz w:val="22"/>
                <w:szCs w:val="22"/>
              </w:rPr>
              <w:t>产品危</w:t>
            </w:r>
            <w:r>
              <w:rPr>
                <w:rFonts w:ascii="宋体" w:hAnsi="宋体" w:eastAsia="宋体" w:cs="宋体"/>
                <w:sz w:val="22"/>
                <w:szCs w:val="22"/>
              </w:rPr>
              <w:t xml:space="preserve"> </w:t>
            </w:r>
            <w:r>
              <w:rPr>
                <w:rFonts w:ascii="宋体" w:hAnsi="宋体" w:eastAsia="宋体" w:cs="宋体"/>
                <w:spacing w:val="17"/>
                <w:sz w:val="22"/>
                <w:szCs w:val="22"/>
              </w:rPr>
              <w:t>害度C,</w:t>
            </w:r>
          </w:p>
        </w:tc>
        <w:tc>
          <w:tcPr>
            <w:tcW w:w="605" w:type="dxa"/>
            <w:tcBorders>
              <w:top w:val="single" w:color="000000" w:sz="2" w:space="0"/>
              <w:bottom w:val="single" w:color="000000" w:sz="2" w:space="0"/>
            </w:tcBorders>
            <w:vAlign w:val="top"/>
          </w:tcPr>
          <w:p w14:paraId="2E03CDDB">
            <w:pPr>
              <w:pStyle w:val="6"/>
              <w:spacing w:line="445" w:lineRule="auto"/>
            </w:pPr>
          </w:p>
          <w:p w14:paraId="6FA590C4">
            <w:pPr>
              <w:spacing w:before="71" w:line="221" w:lineRule="auto"/>
              <w:ind w:left="79"/>
              <w:rPr>
                <w:rFonts w:ascii="宋体" w:hAnsi="宋体" w:eastAsia="宋体" w:cs="宋体"/>
                <w:sz w:val="22"/>
                <w:szCs w:val="22"/>
              </w:rPr>
            </w:pPr>
            <w:r>
              <w:rPr>
                <w:rFonts w:ascii="宋体" w:hAnsi="宋体" w:eastAsia="宋体" w:cs="宋体"/>
                <w:spacing w:val="5"/>
                <w:sz w:val="22"/>
                <w:szCs w:val="22"/>
              </w:rPr>
              <w:t>备注</w:t>
            </w:r>
          </w:p>
        </w:tc>
      </w:tr>
      <w:tr w14:paraId="266C8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635" w:type="dxa"/>
            <w:tcBorders>
              <w:top w:val="single" w:color="000000" w:sz="2" w:space="0"/>
              <w:bottom w:val="single" w:color="000000" w:sz="2" w:space="0"/>
            </w:tcBorders>
            <w:vAlign w:val="top"/>
          </w:tcPr>
          <w:p w14:paraId="3BE423D0">
            <w:pPr>
              <w:spacing w:before="161" w:line="222" w:lineRule="auto"/>
              <w:ind w:left="145"/>
              <w:rPr>
                <w:rFonts w:ascii="宋体" w:hAnsi="宋体" w:eastAsia="宋体" w:cs="宋体"/>
                <w:sz w:val="22"/>
                <w:szCs w:val="22"/>
              </w:rPr>
            </w:pPr>
            <w:r>
              <w:rPr>
                <w:rFonts w:ascii="宋体" w:hAnsi="宋体" w:eastAsia="宋体" w:cs="宋体"/>
                <w:spacing w:val="-11"/>
                <w:sz w:val="22"/>
                <w:szCs w:val="22"/>
              </w:rPr>
              <w:t>(1)</w:t>
            </w:r>
          </w:p>
        </w:tc>
        <w:tc>
          <w:tcPr>
            <w:tcW w:w="1039" w:type="dxa"/>
            <w:tcBorders>
              <w:top w:val="single" w:color="000000" w:sz="2" w:space="0"/>
              <w:bottom w:val="single" w:color="000000" w:sz="2" w:space="0"/>
            </w:tcBorders>
            <w:vAlign w:val="top"/>
          </w:tcPr>
          <w:p w14:paraId="5E4168ED">
            <w:pPr>
              <w:spacing w:before="161" w:line="222" w:lineRule="auto"/>
              <w:ind w:left="340"/>
              <w:rPr>
                <w:rFonts w:ascii="宋体" w:hAnsi="宋体" w:eastAsia="宋体" w:cs="宋体"/>
                <w:sz w:val="22"/>
                <w:szCs w:val="22"/>
              </w:rPr>
            </w:pPr>
            <w:r>
              <w:rPr>
                <w:rFonts w:ascii="宋体" w:hAnsi="宋体" w:eastAsia="宋体" w:cs="宋体"/>
                <w:spacing w:val="-11"/>
                <w:sz w:val="22"/>
                <w:szCs w:val="22"/>
              </w:rPr>
              <w:t>(2)</w:t>
            </w:r>
          </w:p>
        </w:tc>
        <w:tc>
          <w:tcPr>
            <w:tcW w:w="610" w:type="dxa"/>
            <w:tcBorders>
              <w:top w:val="single" w:color="000000" w:sz="2" w:space="0"/>
              <w:bottom w:val="single" w:color="000000" w:sz="2" w:space="0"/>
            </w:tcBorders>
            <w:vAlign w:val="top"/>
          </w:tcPr>
          <w:p w14:paraId="7E2517E3">
            <w:pPr>
              <w:spacing w:before="161" w:line="222" w:lineRule="auto"/>
              <w:ind w:left="131"/>
              <w:rPr>
                <w:rFonts w:ascii="宋体" w:hAnsi="宋体" w:eastAsia="宋体" w:cs="宋体"/>
                <w:sz w:val="22"/>
                <w:szCs w:val="22"/>
              </w:rPr>
            </w:pPr>
            <w:r>
              <w:rPr>
                <w:rFonts w:ascii="宋体" w:hAnsi="宋体" w:eastAsia="宋体" w:cs="宋体"/>
                <w:spacing w:val="-11"/>
                <w:sz w:val="22"/>
                <w:szCs w:val="22"/>
              </w:rPr>
              <w:t>(3)</w:t>
            </w:r>
          </w:p>
        </w:tc>
        <w:tc>
          <w:tcPr>
            <w:tcW w:w="630" w:type="dxa"/>
            <w:tcBorders>
              <w:top w:val="single" w:color="000000" w:sz="2" w:space="0"/>
              <w:bottom w:val="single" w:color="000000" w:sz="2" w:space="0"/>
            </w:tcBorders>
            <w:vAlign w:val="top"/>
          </w:tcPr>
          <w:p w14:paraId="6045D81D">
            <w:pPr>
              <w:spacing w:before="161" w:line="222" w:lineRule="auto"/>
              <w:ind w:left="141"/>
              <w:rPr>
                <w:rFonts w:ascii="宋体" w:hAnsi="宋体" w:eastAsia="宋体" w:cs="宋体"/>
                <w:sz w:val="22"/>
                <w:szCs w:val="22"/>
              </w:rPr>
            </w:pPr>
            <w:r>
              <w:rPr>
                <w:rFonts w:ascii="宋体" w:hAnsi="宋体" w:eastAsia="宋体" w:cs="宋体"/>
                <w:spacing w:val="-11"/>
                <w:sz w:val="22"/>
                <w:szCs w:val="22"/>
              </w:rPr>
              <w:t>(4)</w:t>
            </w:r>
          </w:p>
        </w:tc>
        <w:tc>
          <w:tcPr>
            <w:tcW w:w="820" w:type="dxa"/>
            <w:tcBorders>
              <w:top w:val="single" w:color="000000" w:sz="2" w:space="0"/>
              <w:bottom w:val="single" w:color="000000" w:sz="2" w:space="0"/>
            </w:tcBorders>
            <w:vAlign w:val="top"/>
          </w:tcPr>
          <w:p w14:paraId="5600011A">
            <w:pPr>
              <w:spacing w:before="161" w:line="222" w:lineRule="auto"/>
              <w:ind w:left="231"/>
              <w:rPr>
                <w:rFonts w:ascii="宋体" w:hAnsi="宋体" w:eastAsia="宋体" w:cs="宋体"/>
                <w:sz w:val="22"/>
                <w:szCs w:val="22"/>
              </w:rPr>
            </w:pPr>
            <w:r>
              <w:rPr>
                <w:rFonts w:ascii="宋体" w:hAnsi="宋体" w:eastAsia="宋体" w:cs="宋体"/>
                <w:spacing w:val="-11"/>
                <w:sz w:val="22"/>
                <w:szCs w:val="22"/>
              </w:rPr>
              <w:t>(5)</w:t>
            </w:r>
          </w:p>
        </w:tc>
        <w:tc>
          <w:tcPr>
            <w:tcW w:w="829" w:type="dxa"/>
            <w:tcBorders>
              <w:top w:val="single" w:color="000000" w:sz="2" w:space="0"/>
              <w:bottom w:val="single" w:color="000000" w:sz="2" w:space="0"/>
            </w:tcBorders>
            <w:vAlign w:val="top"/>
          </w:tcPr>
          <w:p w14:paraId="5A526770">
            <w:pPr>
              <w:spacing w:before="161" w:line="222" w:lineRule="auto"/>
              <w:ind w:left="241"/>
              <w:rPr>
                <w:rFonts w:ascii="宋体" w:hAnsi="宋体" w:eastAsia="宋体" w:cs="宋体"/>
                <w:sz w:val="22"/>
                <w:szCs w:val="22"/>
              </w:rPr>
            </w:pPr>
            <w:r>
              <w:rPr>
                <w:rFonts w:ascii="宋体" w:hAnsi="宋体" w:eastAsia="宋体" w:cs="宋体"/>
                <w:spacing w:val="-11"/>
                <w:sz w:val="22"/>
                <w:szCs w:val="22"/>
              </w:rPr>
              <w:t>(6)</w:t>
            </w:r>
          </w:p>
        </w:tc>
        <w:tc>
          <w:tcPr>
            <w:tcW w:w="1039" w:type="dxa"/>
            <w:tcBorders>
              <w:top w:val="single" w:color="000000" w:sz="2" w:space="0"/>
              <w:bottom w:val="single" w:color="000000" w:sz="2" w:space="0"/>
            </w:tcBorders>
            <w:vAlign w:val="top"/>
          </w:tcPr>
          <w:p w14:paraId="7D2837ED">
            <w:pPr>
              <w:spacing w:before="161" w:line="222" w:lineRule="auto"/>
              <w:ind w:left="342"/>
              <w:rPr>
                <w:rFonts w:ascii="宋体" w:hAnsi="宋体" w:eastAsia="宋体" w:cs="宋体"/>
                <w:sz w:val="22"/>
                <w:szCs w:val="22"/>
              </w:rPr>
            </w:pPr>
            <w:r>
              <w:rPr>
                <w:rFonts w:ascii="宋体" w:hAnsi="宋体" w:eastAsia="宋体" w:cs="宋体"/>
                <w:spacing w:val="-11"/>
                <w:sz w:val="22"/>
                <w:szCs w:val="22"/>
              </w:rPr>
              <w:t>(7)</w:t>
            </w:r>
          </w:p>
        </w:tc>
        <w:tc>
          <w:tcPr>
            <w:tcW w:w="1269" w:type="dxa"/>
            <w:tcBorders>
              <w:top w:val="single" w:color="000000" w:sz="2" w:space="0"/>
              <w:bottom w:val="single" w:color="000000" w:sz="2" w:space="0"/>
            </w:tcBorders>
            <w:vAlign w:val="top"/>
          </w:tcPr>
          <w:p w14:paraId="7B91BC9D">
            <w:pPr>
              <w:spacing w:before="161" w:line="222" w:lineRule="auto"/>
              <w:ind w:left="463"/>
              <w:rPr>
                <w:rFonts w:ascii="宋体" w:hAnsi="宋体" w:eastAsia="宋体" w:cs="宋体"/>
                <w:sz w:val="22"/>
                <w:szCs w:val="22"/>
              </w:rPr>
            </w:pPr>
            <w:r>
              <w:rPr>
                <w:rFonts w:ascii="宋体" w:hAnsi="宋体" w:eastAsia="宋体" w:cs="宋体"/>
                <w:spacing w:val="-11"/>
                <w:sz w:val="22"/>
                <w:szCs w:val="22"/>
              </w:rPr>
              <w:t>(8)</w:t>
            </w:r>
          </w:p>
        </w:tc>
        <w:tc>
          <w:tcPr>
            <w:tcW w:w="1039" w:type="dxa"/>
            <w:tcBorders>
              <w:top w:val="single" w:color="000000" w:sz="2" w:space="0"/>
              <w:bottom w:val="single" w:color="000000" w:sz="2" w:space="0"/>
            </w:tcBorders>
            <w:vAlign w:val="top"/>
          </w:tcPr>
          <w:p w14:paraId="1F55FE97">
            <w:pPr>
              <w:spacing w:before="161" w:line="222" w:lineRule="auto"/>
              <w:ind w:left="344"/>
              <w:rPr>
                <w:rFonts w:ascii="宋体" w:hAnsi="宋体" w:eastAsia="宋体" w:cs="宋体"/>
                <w:sz w:val="22"/>
                <w:szCs w:val="22"/>
              </w:rPr>
            </w:pPr>
            <w:r>
              <w:rPr>
                <w:rFonts w:ascii="宋体" w:hAnsi="宋体" w:eastAsia="宋体" w:cs="宋体"/>
                <w:spacing w:val="-11"/>
                <w:sz w:val="22"/>
                <w:szCs w:val="22"/>
              </w:rPr>
              <w:t>(9)</w:t>
            </w:r>
          </w:p>
        </w:tc>
        <w:tc>
          <w:tcPr>
            <w:tcW w:w="1009" w:type="dxa"/>
            <w:tcBorders>
              <w:top w:val="single" w:color="000000" w:sz="2" w:space="0"/>
              <w:bottom w:val="single" w:color="000000" w:sz="2" w:space="0"/>
            </w:tcBorders>
            <w:vAlign w:val="top"/>
          </w:tcPr>
          <w:p w14:paraId="2F5B96EC">
            <w:pPr>
              <w:spacing w:before="161" w:line="222" w:lineRule="auto"/>
              <w:ind w:left="275"/>
              <w:rPr>
                <w:rFonts w:ascii="宋体" w:hAnsi="宋体" w:eastAsia="宋体" w:cs="宋体"/>
                <w:sz w:val="22"/>
                <w:szCs w:val="22"/>
              </w:rPr>
            </w:pPr>
            <w:r>
              <w:rPr>
                <w:rFonts w:ascii="宋体" w:hAnsi="宋体" w:eastAsia="宋体" w:cs="宋体"/>
                <w:spacing w:val="-9"/>
                <w:sz w:val="22"/>
                <w:szCs w:val="22"/>
              </w:rPr>
              <w:t>(10)</w:t>
            </w:r>
          </w:p>
        </w:tc>
        <w:tc>
          <w:tcPr>
            <w:tcW w:w="1049" w:type="dxa"/>
            <w:tcBorders>
              <w:top w:val="single" w:color="000000" w:sz="2" w:space="0"/>
              <w:bottom w:val="single" w:color="000000" w:sz="2" w:space="0"/>
            </w:tcBorders>
            <w:vAlign w:val="top"/>
          </w:tcPr>
          <w:p w14:paraId="4ABD46D3">
            <w:pPr>
              <w:spacing w:before="161" w:line="222" w:lineRule="auto"/>
              <w:ind w:left="296"/>
              <w:rPr>
                <w:rFonts w:ascii="宋体" w:hAnsi="宋体" w:eastAsia="宋体" w:cs="宋体"/>
                <w:sz w:val="22"/>
                <w:szCs w:val="22"/>
              </w:rPr>
            </w:pPr>
            <w:r>
              <w:rPr>
                <w:rFonts w:ascii="宋体" w:hAnsi="宋体" w:eastAsia="宋体" w:cs="宋体"/>
                <w:spacing w:val="-9"/>
                <w:sz w:val="22"/>
                <w:szCs w:val="22"/>
              </w:rPr>
              <w:t>(11)</w:t>
            </w:r>
          </w:p>
        </w:tc>
        <w:tc>
          <w:tcPr>
            <w:tcW w:w="1039" w:type="dxa"/>
            <w:tcBorders>
              <w:top w:val="single" w:color="000000" w:sz="2" w:space="0"/>
              <w:bottom w:val="single" w:color="000000" w:sz="2" w:space="0"/>
            </w:tcBorders>
            <w:vAlign w:val="top"/>
          </w:tcPr>
          <w:p w14:paraId="551CAB8F">
            <w:pPr>
              <w:spacing w:before="161" w:line="222" w:lineRule="auto"/>
              <w:ind w:left="297"/>
              <w:rPr>
                <w:rFonts w:ascii="宋体" w:hAnsi="宋体" w:eastAsia="宋体" w:cs="宋体"/>
                <w:sz w:val="22"/>
                <w:szCs w:val="22"/>
              </w:rPr>
            </w:pPr>
            <w:r>
              <w:rPr>
                <w:rFonts w:ascii="宋体" w:hAnsi="宋体" w:eastAsia="宋体" w:cs="宋体"/>
                <w:spacing w:val="-9"/>
                <w:sz w:val="22"/>
                <w:szCs w:val="22"/>
              </w:rPr>
              <w:t>(12)</w:t>
            </w:r>
          </w:p>
        </w:tc>
        <w:tc>
          <w:tcPr>
            <w:tcW w:w="1259" w:type="dxa"/>
            <w:tcBorders>
              <w:top w:val="single" w:color="000000" w:sz="2" w:space="0"/>
              <w:bottom w:val="single" w:color="000000" w:sz="2" w:space="0"/>
            </w:tcBorders>
            <w:vAlign w:val="top"/>
          </w:tcPr>
          <w:p w14:paraId="6D4D7482">
            <w:pPr>
              <w:spacing w:before="161" w:line="222" w:lineRule="auto"/>
              <w:ind w:left="408"/>
              <w:rPr>
                <w:rFonts w:ascii="宋体" w:hAnsi="宋体" w:eastAsia="宋体" w:cs="宋体"/>
                <w:sz w:val="22"/>
                <w:szCs w:val="22"/>
              </w:rPr>
            </w:pPr>
            <w:r>
              <w:rPr>
                <w:rFonts w:ascii="宋体" w:hAnsi="宋体" w:eastAsia="宋体" w:cs="宋体"/>
                <w:spacing w:val="-9"/>
                <w:sz w:val="22"/>
                <w:szCs w:val="22"/>
              </w:rPr>
              <w:t>(13)</w:t>
            </w:r>
          </w:p>
        </w:tc>
        <w:tc>
          <w:tcPr>
            <w:tcW w:w="829" w:type="dxa"/>
            <w:tcBorders>
              <w:top w:val="single" w:color="000000" w:sz="2" w:space="0"/>
              <w:bottom w:val="single" w:color="000000" w:sz="2" w:space="0"/>
            </w:tcBorders>
            <w:vAlign w:val="top"/>
          </w:tcPr>
          <w:p w14:paraId="1F12DAF0">
            <w:pPr>
              <w:spacing w:before="161" w:line="222" w:lineRule="auto"/>
              <w:ind w:left="189"/>
              <w:rPr>
                <w:rFonts w:ascii="宋体" w:hAnsi="宋体" w:eastAsia="宋体" w:cs="宋体"/>
                <w:sz w:val="22"/>
                <w:szCs w:val="22"/>
              </w:rPr>
            </w:pPr>
            <w:r>
              <w:rPr>
                <w:rFonts w:ascii="宋体" w:hAnsi="宋体" w:eastAsia="宋体" w:cs="宋体"/>
                <w:spacing w:val="-9"/>
                <w:sz w:val="22"/>
                <w:szCs w:val="22"/>
              </w:rPr>
              <w:t>(14)</w:t>
            </w:r>
          </w:p>
        </w:tc>
        <w:tc>
          <w:tcPr>
            <w:tcW w:w="605" w:type="dxa"/>
            <w:tcBorders>
              <w:top w:val="single" w:color="000000" w:sz="2" w:space="0"/>
              <w:bottom w:val="single" w:color="000000" w:sz="2" w:space="0"/>
            </w:tcBorders>
            <w:vAlign w:val="top"/>
          </w:tcPr>
          <w:p w14:paraId="7517D336">
            <w:pPr>
              <w:spacing w:before="161" w:line="222" w:lineRule="auto"/>
              <w:ind w:left="79"/>
              <w:rPr>
                <w:rFonts w:ascii="宋体" w:hAnsi="宋体" w:eastAsia="宋体" w:cs="宋体"/>
                <w:sz w:val="22"/>
                <w:szCs w:val="22"/>
              </w:rPr>
            </w:pPr>
            <w:r>
              <w:rPr>
                <w:rFonts w:ascii="宋体" w:hAnsi="宋体" w:eastAsia="宋体" w:cs="宋体"/>
                <w:spacing w:val="-9"/>
                <w:sz w:val="22"/>
                <w:szCs w:val="22"/>
              </w:rPr>
              <w:t>(15)</w:t>
            </w:r>
          </w:p>
        </w:tc>
      </w:tr>
    </w:tbl>
    <w:p w14:paraId="00A66A3B">
      <w:pPr>
        <w:spacing w:line="14" w:lineRule="auto"/>
        <w:rPr>
          <w:rFonts w:ascii="Arial"/>
          <w:sz w:val="2"/>
        </w:rPr>
      </w:pPr>
    </w:p>
    <w:p w14:paraId="781545AB">
      <w:pPr>
        <w:spacing w:line="14" w:lineRule="auto"/>
        <w:rPr>
          <w:rFonts w:ascii="Arial" w:hAnsi="Arial" w:eastAsia="Arial" w:cs="Arial"/>
          <w:sz w:val="2"/>
          <w:szCs w:val="2"/>
        </w:rPr>
        <w:sectPr>
          <w:type w:val="continuous"/>
          <w:pgSz w:w="17130" w:h="11910"/>
          <w:pgMar w:top="1012" w:right="1875" w:bottom="400" w:left="1325" w:header="0" w:footer="0" w:gutter="0"/>
          <w:cols w:equalWidth="0" w:num="1">
            <w:col w:w="13930"/>
          </w:cols>
        </w:sectPr>
      </w:pPr>
    </w:p>
    <w:p w14:paraId="197EDEDE">
      <w:pPr>
        <w:pStyle w:val="2"/>
        <w:spacing w:before="113" w:line="276" w:lineRule="auto"/>
        <w:ind w:left="135" w:right="204" w:firstLine="560"/>
      </w:pPr>
      <w:r>
        <w:rPr>
          <w:spacing w:val="1"/>
        </w:rPr>
        <w:t>实施</w:t>
      </w:r>
      <w:r>
        <w:rPr>
          <w:rFonts w:ascii="Times New Roman" w:hAnsi="Times New Roman" w:eastAsia="Times New Roman" w:cs="Times New Roman"/>
        </w:rPr>
        <w:t>PFMECA</w:t>
      </w:r>
      <w:r>
        <w:rPr>
          <w:rFonts w:ascii="Times New Roman" w:hAnsi="Times New Roman" w:eastAsia="Times New Roman" w:cs="Times New Roman"/>
          <w:spacing w:val="19"/>
          <w:w w:val="101"/>
        </w:rPr>
        <w:t xml:space="preserve">  </w:t>
      </w:r>
      <w:r>
        <w:rPr>
          <w:spacing w:val="1"/>
        </w:rPr>
        <w:t>与设计</w:t>
      </w:r>
      <w:r>
        <w:rPr>
          <w:rFonts w:ascii="Times New Roman" w:hAnsi="Times New Roman" w:eastAsia="Times New Roman" w:cs="Times New Roman"/>
        </w:rPr>
        <w:t>FMECA</w:t>
      </w:r>
      <w:r>
        <w:rPr>
          <w:rFonts w:ascii="Times New Roman" w:hAnsi="Times New Roman" w:eastAsia="Times New Roman" w:cs="Times New Roman"/>
          <w:spacing w:val="1"/>
        </w:rPr>
        <w:t xml:space="preserve">  </w:t>
      </w:r>
      <w:r>
        <w:rPr>
          <w:spacing w:val="1"/>
        </w:rPr>
        <w:t>一样，其主要工作是通过填写“过程</w:t>
      </w:r>
      <w:r>
        <w:rPr>
          <w:spacing w:val="-75"/>
        </w:rPr>
        <w:t xml:space="preserve"> </w:t>
      </w:r>
      <w:r>
        <w:rPr>
          <w:rFonts w:ascii="Times New Roman" w:hAnsi="Times New Roman" w:eastAsia="Times New Roman" w:cs="Times New Roman"/>
        </w:rPr>
        <w:t>FME</w:t>
      </w:r>
      <w:r>
        <w:rPr>
          <w:rFonts w:ascii="Times New Roman" w:hAnsi="Times New Roman" w:eastAsia="Times New Roman" w:cs="Times New Roman"/>
          <w:spacing w:val="1"/>
        </w:rPr>
        <w:t>-</w:t>
      </w:r>
      <w:r>
        <w:rPr>
          <w:rFonts w:ascii="Times New Roman" w:hAnsi="Times New Roman" w:eastAsia="Times New Roman" w:cs="Times New Roman"/>
        </w:rPr>
        <w:t xml:space="preserve"> CA</w:t>
      </w:r>
      <w:r>
        <w:rPr>
          <w:rFonts w:ascii="Times New Roman" w:hAnsi="Times New Roman" w:eastAsia="Times New Roman" w:cs="Times New Roman"/>
          <w:spacing w:val="8"/>
        </w:rPr>
        <w:t xml:space="preserve"> </w:t>
      </w:r>
      <w:r>
        <w:rPr>
          <w:spacing w:val="8"/>
        </w:rPr>
        <w:t>表(见表7.7)进行的。</w:t>
      </w:r>
    </w:p>
    <w:p w14:paraId="5F344426">
      <w:pPr>
        <w:spacing w:before="3" w:line="223" w:lineRule="auto"/>
        <w:ind w:left="3354"/>
        <w:rPr>
          <w:rFonts w:ascii="仿宋" w:hAnsi="仿宋" w:eastAsia="仿宋" w:cs="仿宋"/>
          <w:sz w:val="27"/>
          <w:szCs w:val="27"/>
        </w:rPr>
      </w:pPr>
      <w:r>
        <w:rPr>
          <w:rFonts w:ascii="仿宋" w:hAnsi="仿宋" w:eastAsia="仿宋" w:cs="仿宋"/>
          <w:spacing w:val="14"/>
          <w:sz w:val="27"/>
          <w:szCs w:val="27"/>
        </w:rPr>
        <w:t>表7.7</w:t>
      </w:r>
      <w:r>
        <w:rPr>
          <w:rFonts w:ascii="仿宋" w:hAnsi="仿宋" w:eastAsia="仿宋" w:cs="仿宋"/>
          <w:spacing w:val="1"/>
          <w:sz w:val="27"/>
          <w:szCs w:val="27"/>
        </w:rPr>
        <w:t xml:space="preserve">  </w:t>
      </w:r>
      <w:r>
        <w:rPr>
          <w:rFonts w:ascii="仿宋" w:hAnsi="仿宋" w:eastAsia="仿宋" w:cs="仿宋"/>
          <w:spacing w:val="14"/>
          <w:sz w:val="27"/>
          <w:szCs w:val="27"/>
        </w:rPr>
        <w:t>过程</w:t>
      </w:r>
      <w:r>
        <w:rPr>
          <w:rFonts w:ascii="Times New Roman" w:hAnsi="Times New Roman" w:eastAsia="Times New Roman" w:cs="Times New Roman"/>
          <w:sz w:val="27"/>
          <w:szCs w:val="27"/>
        </w:rPr>
        <w:t>FMECA</w:t>
      </w:r>
      <w:r>
        <w:rPr>
          <w:rFonts w:ascii="Times New Roman" w:hAnsi="Times New Roman" w:eastAsia="Times New Roman" w:cs="Times New Roman"/>
          <w:spacing w:val="14"/>
          <w:sz w:val="27"/>
          <w:szCs w:val="27"/>
        </w:rPr>
        <w:t xml:space="preserve">  </w:t>
      </w:r>
      <w:r>
        <w:rPr>
          <w:rFonts w:ascii="仿宋" w:hAnsi="仿宋" w:eastAsia="仿宋" w:cs="仿宋"/>
          <w:spacing w:val="14"/>
          <w:sz w:val="27"/>
          <w:szCs w:val="27"/>
        </w:rPr>
        <w:t>表</w:t>
      </w:r>
    </w:p>
    <w:p w14:paraId="5FC39A48">
      <w:pPr>
        <w:pStyle w:val="2"/>
        <w:spacing w:before="90" w:line="231" w:lineRule="auto"/>
        <w:ind w:left="505"/>
        <w:rPr>
          <w:sz w:val="17"/>
          <w:szCs w:val="17"/>
        </w:rPr>
      </w:pPr>
      <w:r>
        <w:rPr>
          <w:spacing w:val="5"/>
          <w:position w:val="-1"/>
          <w:sz w:val="15"/>
          <w:szCs w:val="15"/>
        </w:rPr>
        <w:t>产品名称(标识)(1)</w:t>
      </w:r>
      <w:r>
        <w:rPr>
          <w:spacing w:val="2"/>
          <w:position w:val="-1"/>
          <w:sz w:val="15"/>
          <w:szCs w:val="15"/>
        </w:rPr>
        <w:t xml:space="preserve">              </w:t>
      </w:r>
      <w:r>
        <w:rPr>
          <w:spacing w:val="5"/>
          <w:sz w:val="15"/>
          <w:szCs w:val="15"/>
        </w:rPr>
        <w:t>生</w:t>
      </w:r>
      <w:r>
        <w:rPr>
          <w:spacing w:val="-23"/>
          <w:sz w:val="15"/>
          <w:szCs w:val="15"/>
        </w:rPr>
        <w:t xml:space="preserve"> </w:t>
      </w:r>
      <w:r>
        <w:rPr>
          <w:spacing w:val="5"/>
          <w:sz w:val="15"/>
          <w:szCs w:val="15"/>
        </w:rPr>
        <w:t>产</w:t>
      </w:r>
      <w:r>
        <w:rPr>
          <w:spacing w:val="-31"/>
          <w:sz w:val="15"/>
          <w:szCs w:val="15"/>
        </w:rPr>
        <w:t xml:space="preserve"> </w:t>
      </w:r>
      <w:r>
        <w:rPr>
          <w:spacing w:val="5"/>
          <w:sz w:val="15"/>
          <w:szCs w:val="15"/>
        </w:rPr>
        <w:t>过</w:t>
      </w:r>
      <w:r>
        <w:rPr>
          <w:spacing w:val="-32"/>
          <w:sz w:val="15"/>
          <w:szCs w:val="15"/>
        </w:rPr>
        <w:t xml:space="preserve"> </w:t>
      </w:r>
      <w:r>
        <w:rPr>
          <w:spacing w:val="5"/>
          <w:sz w:val="15"/>
          <w:szCs w:val="15"/>
        </w:rPr>
        <w:t>程 (</w:t>
      </w:r>
      <w:r>
        <w:rPr>
          <w:spacing w:val="-29"/>
          <w:sz w:val="15"/>
          <w:szCs w:val="15"/>
        </w:rPr>
        <w:t xml:space="preserve"> </w:t>
      </w:r>
      <w:r>
        <w:rPr>
          <w:spacing w:val="5"/>
          <w:sz w:val="15"/>
          <w:szCs w:val="15"/>
        </w:rPr>
        <w:t>3</w:t>
      </w:r>
      <w:r>
        <w:rPr>
          <w:spacing w:val="-31"/>
          <w:sz w:val="15"/>
          <w:szCs w:val="15"/>
        </w:rPr>
        <w:t xml:space="preserve"> </w:t>
      </w:r>
      <w:r>
        <w:rPr>
          <w:spacing w:val="5"/>
          <w:sz w:val="15"/>
          <w:szCs w:val="15"/>
        </w:rPr>
        <w:t>)</w:t>
      </w:r>
      <w:r>
        <w:rPr>
          <w:sz w:val="15"/>
          <w:szCs w:val="15"/>
        </w:rPr>
        <w:t xml:space="preserve">             </w:t>
      </w:r>
      <w:r>
        <w:rPr>
          <w:spacing w:val="5"/>
          <w:position w:val="1"/>
          <w:sz w:val="15"/>
          <w:szCs w:val="15"/>
        </w:rPr>
        <w:t xml:space="preserve">审 核              </w:t>
      </w:r>
      <w:r>
        <w:rPr>
          <w:spacing w:val="5"/>
          <w:sz w:val="17"/>
          <w:szCs w:val="17"/>
        </w:rPr>
        <w:t xml:space="preserve">第 </w:t>
      </w:r>
      <w:r>
        <w:rPr>
          <w:spacing w:val="4"/>
          <w:sz w:val="17"/>
          <w:szCs w:val="17"/>
        </w:rPr>
        <w:t xml:space="preserve"> 页</w:t>
      </w:r>
      <w:r>
        <w:rPr>
          <w:spacing w:val="38"/>
          <w:sz w:val="17"/>
          <w:szCs w:val="17"/>
        </w:rPr>
        <w:t xml:space="preserve"> </w:t>
      </w:r>
      <w:r>
        <w:rPr>
          <w:spacing w:val="4"/>
          <w:sz w:val="17"/>
          <w:szCs w:val="17"/>
        </w:rPr>
        <w:t>·</w:t>
      </w:r>
      <w:r>
        <w:rPr>
          <w:spacing w:val="-34"/>
          <w:sz w:val="17"/>
          <w:szCs w:val="17"/>
        </w:rPr>
        <w:t xml:space="preserve"> </w:t>
      </w:r>
      <w:r>
        <w:rPr>
          <w:spacing w:val="4"/>
          <w:sz w:val="17"/>
          <w:szCs w:val="17"/>
        </w:rPr>
        <w:t>共  页</w:t>
      </w:r>
    </w:p>
    <w:p w14:paraId="6F32B54B">
      <w:pPr>
        <w:pStyle w:val="2"/>
        <w:spacing w:before="103" w:line="230" w:lineRule="auto"/>
        <w:ind w:left="515"/>
        <w:rPr>
          <w:sz w:val="15"/>
          <w:szCs w:val="15"/>
        </w:rPr>
      </w:pPr>
      <w:r>
        <w:rPr>
          <w:spacing w:val="9"/>
          <w:sz w:val="16"/>
          <w:szCs w:val="16"/>
        </w:rPr>
        <w:t>所属装备/型号(2)</w:t>
      </w:r>
      <w:r>
        <w:rPr>
          <w:spacing w:val="3"/>
          <w:sz w:val="16"/>
          <w:szCs w:val="16"/>
        </w:rPr>
        <w:t xml:space="preserve">              </w:t>
      </w:r>
      <w:r>
        <w:rPr>
          <w:spacing w:val="9"/>
          <w:sz w:val="17"/>
          <w:szCs w:val="17"/>
        </w:rPr>
        <w:t>分析人员</w:t>
      </w:r>
      <w:r>
        <w:rPr>
          <w:spacing w:val="6"/>
          <w:sz w:val="17"/>
          <w:szCs w:val="17"/>
        </w:rPr>
        <w:t xml:space="preserve">              </w:t>
      </w:r>
      <w:r>
        <w:rPr>
          <w:spacing w:val="9"/>
          <w:sz w:val="17"/>
          <w:szCs w:val="17"/>
        </w:rPr>
        <w:t>批</w:t>
      </w:r>
      <w:r>
        <w:rPr>
          <w:spacing w:val="-27"/>
          <w:sz w:val="17"/>
          <w:szCs w:val="17"/>
        </w:rPr>
        <w:t xml:space="preserve"> </w:t>
      </w:r>
      <w:r>
        <w:rPr>
          <w:spacing w:val="9"/>
          <w:sz w:val="17"/>
          <w:szCs w:val="17"/>
        </w:rPr>
        <w:t xml:space="preserve">准            </w:t>
      </w:r>
      <w:r>
        <w:rPr>
          <w:spacing w:val="9"/>
          <w:position w:val="1"/>
          <w:sz w:val="15"/>
          <w:szCs w:val="15"/>
        </w:rPr>
        <w:t>填</w:t>
      </w:r>
      <w:r>
        <w:rPr>
          <w:spacing w:val="-24"/>
          <w:position w:val="1"/>
          <w:sz w:val="15"/>
          <w:szCs w:val="15"/>
        </w:rPr>
        <w:t xml:space="preserve"> </w:t>
      </w:r>
      <w:r>
        <w:rPr>
          <w:spacing w:val="8"/>
          <w:position w:val="1"/>
          <w:sz w:val="15"/>
          <w:szCs w:val="15"/>
        </w:rPr>
        <w:t>表 日</w:t>
      </w:r>
      <w:r>
        <w:rPr>
          <w:spacing w:val="-22"/>
          <w:position w:val="1"/>
          <w:sz w:val="15"/>
          <w:szCs w:val="15"/>
        </w:rPr>
        <w:t xml:space="preserve"> </w:t>
      </w:r>
      <w:r>
        <w:rPr>
          <w:spacing w:val="8"/>
          <w:position w:val="1"/>
          <w:sz w:val="15"/>
          <w:szCs w:val="15"/>
        </w:rPr>
        <w:t>期</w:t>
      </w:r>
    </w:p>
    <w:p w14:paraId="7049F03E">
      <w:pPr>
        <w:spacing w:line="115" w:lineRule="exact"/>
      </w:pPr>
    </w:p>
    <w:tbl>
      <w:tblPr>
        <w:tblStyle w:val="5"/>
        <w:tblW w:w="9360"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5"/>
        <w:gridCol w:w="470"/>
        <w:gridCol w:w="450"/>
        <w:gridCol w:w="450"/>
        <w:gridCol w:w="559"/>
        <w:gridCol w:w="559"/>
        <w:gridCol w:w="539"/>
        <w:gridCol w:w="549"/>
        <w:gridCol w:w="549"/>
        <w:gridCol w:w="559"/>
        <w:gridCol w:w="549"/>
        <w:gridCol w:w="549"/>
        <w:gridCol w:w="540"/>
        <w:gridCol w:w="569"/>
        <w:gridCol w:w="360"/>
        <w:gridCol w:w="370"/>
        <w:gridCol w:w="360"/>
        <w:gridCol w:w="549"/>
        <w:gridCol w:w="375"/>
      </w:tblGrid>
      <w:tr w14:paraId="366CC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55" w:type="dxa"/>
            <w:vMerge w:val="restart"/>
            <w:tcBorders>
              <w:bottom w:val="nil"/>
            </w:tcBorders>
            <w:vAlign w:val="top"/>
          </w:tcPr>
          <w:p w14:paraId="4213F640">
            <w:pPr>
              <w:pStyle w:val="6"/>
              <w:spacing w:line="332" w:lineRule="auto"/>
            </w:pPr>
          </w:p>
          <w:p w14:paraId="2185D321">
            <w:pPr>
              <w:spacing w:before="59" w:line="221" w:lineRule="auto"/>
              <w:ind w:left="35"/>
              <w:rPr>
                <w:rFonts w:ascii="宋体" w:hAnsi="宋体" w:eastAsia="宋体" w:cs="宋体"/>
                <w:sz w:val="18"/>
                <w:szCs w:val="18"/>
              </w:rPr>
            </w:pPr>
            <w:r>
              <w:rPr>
                <w:rFonts w:ascii="宋体" w:hAnsi="宋体" w:eastAsia="宋体" w:cs="宋体"/>
                <w:spacing w:val="-3"/>
                <w:sz w:val="18"/>
                <w:szCs w:val="18"/>
              </w:rPr>
              <w:t>工序</w:t>
            </w:r>
          </w:p>
          <w:p w14:paraId="25FAA0E9">
            <w:pPr>
              <w:spacing w:before="95" w:line="221" w:lineRule="auto"/>
              <w:ind w:left="35"/>
              <w:rPr>
                <w:rFonts w:ascii="宋体" w:hAnsi="宋体" w:eastAsia="宋体" w:cs="宋体"/>
                <w:sz w:val="18"/>
                <w:szCs w:val="18"/>
              </w:rPr>
            </w:pPr>
            <w:r>
              <w:rPr>
                <w:rFonts w:ascii="宋体" w:hAnsi="宋体" w:eastAsia="宋体" w:cs="宋体"/>
                <w:spacing w:val="-3"/>
                <w:sz w:val="18"/>
                <w:szCs w:val="18"/>
              </w:rPr>
              <w:t>名称</w:t>
            </w:r>
          </w:p>
        </w:tc>
        <w:tc>
          <w:tcPr>
            <w:tcW w:w="470" w:type="dxa"/>
            <w:vMerge w:val="restart"/>
            <w:tcBorders>
              <w:bottom w:val="nil"/>
            </w:tcBorders>
            <w:vAlign w:val="top"/>
          </w:tcPr>
          <w:p w14:paraId="7773110F">
            <w:pPr>
              <w:spacing w:before="53" w:line="221" w:lineRule="auto"/>
              <w:ind w:left="39"/>
              <w:rPr>
                <w:rFonts w:ascii="宋体" w:hAnsi="宋体" w:eastAsia="宋体" w:cs="宋体"/>
                <w:sz w:val="18"/>
                <w:szCs w:val="18"/>
              </w:rPr>
            </w:pPr>
            <w:r>
              <w:rPr>
                <w:rFonts w:ascii="宋体" w:hAnsi="宋体" w:eastAsia="宋体" w:cs="宋体"/>
                <w:spacing w:val="-3"/>
                <w:sz w:val="18"/>
                <w:szCs w:val="18"/>
              </w:rPr>
              <w:t>工序</w:t>
            </w:r>
          </w:p>
          <w:p w14:paraId="7A2FBFA5">
            <w:pPr>
              <w:spacing w:before="124" w:line="323" w:lineRule="auto"/>
              <w:ind w:left="179" w:right="69" w:hanging="140"/>
              <w:rPr>
                <w:rFonts w:ascii="宋体" w:hAnsi="宋体" w:eastAsia="宋体" w:cs="宋体"/>
                <w:sz w:val="18"/>
                <w:szCs w:val="18"/>
              </w:rPr>
            </w:pPr>
            <w:r>
              <w:rPr>
                <w:rFonts w:ascii="宋体" w:hAnsi="宋体" w:eastAsia="宋体" w:cs="宋体"/>
                <w:spacing w:val="-5"/>
                <w:sz w:val="18"/>
                <w:szCs w:val="18"/>
              </w:rPr>
              <w:t>功能</w:t>
            </w:r>
            <w:r>
              <w:rPr>
                <w:rFonts w:ascii="宋体" w:hAnsi="宋体" w:eastAsia="宋体" w:cs="宋体"/>
                <w:sz w:val="18"/>
                <w:szCs w:val="18"/>
              </w:rPr>
              <w:t xml:space="preserve"> /</w:t>
            </w:r>
          </w:p>
          <w:p w14:paraId="6775003B">
            <w:pPr>
              <w:spacing w:line="218" w:lineRule="auto"/>
              <w:ind w:left="39"/>
              <w:rPr>
                <w:rFonts w:ascii="宋体" w:hAnsi="宋体" w:eastAsia="宋体" w:cs="宋体"/>
                <w:sz w:val="18"/>
                <w:szCs w:val="18"/>
              </w:rPr>
            </w:pPr>
            <w:r>
              <w:rPr>
                <w:rFonts w:ascii="宋体" w:hAnsi="宋体" w:eastAsia="宋体" w:cs="宋体"/>
                <w:spacing w:val="-2"/>
                <w:sz w:val="18"/>
                <w:szCs w:val="18"/>
              </w:rPr>
              <w:t>要求</w:t>
            </w:r>
          </w:p>
        </w:tc>
        <w:tc>
          <w:tcPr>
            <w:tcW w:w="450" w:type="dxa"/>
            <w:vMerge w:val="restart"/>
            <w:tcBorders>
              <w:bottom w:val="nil"/>
            </w:tcBorders>
            <w:vAlign w:val="top"/>
          </w:tcPr>
          <w:p w14:paraId="3A04918C">
            <w:pPr>
              <w:pStyle w:val="6"/>
              <w:spacing w:line="332" w:lineRule="auto"/>
            </w:pPr>
          </w:p>
          <w:p w14:paraId="1F1FC1B1">
            <w:pPr>
              <w:spacing w:before="58" w:line="219" w:lineRule="auto"/>
              <w:ind w:left="30"/>
              <w:rPr>
                <w:rFonts w:ascii="宋体" w:hAnsi="宋体" w:eastAsia="宋体" w:cs="宋体"/>
                <w:sz w:val="18"/>
                <w:szCs w:val="18"/>
              </w:rPr>
            </w:pPr>
            <w:r>
              <w:rPr>
                <w:rFonts w:ascii="宋体" w:hAnsi="宋体" w:eastAsia="宋体" w:cs="宋体"/>
                <w:spacing w:val="-3"/>
                <w:sz w:val="18"/>
                <w:szCs w:val="18"/>
              </w:rPr>
              <w:t>故障</w:t>
            </w:r>
          </w:p>
          <w:p w14:paraId="4DA4826F">
            <w:pPr>
              <w:spacing w:before="96" w:line="219" w:lineRule="auto"/>
              <w:ind w:left="30"/>
              <w:rPr>
                <w:rFonts w:ascii="宋体" w:hAnsi="宋体" w:eastAsia="宋体" w:cs="宋体"/>
                <w:sz w:val="18"/>
                <w:szCs w:val="18"/>
              </w:rPr>
            </w:pPr>
            <w:r>
              <w:rPr>
                <w:rFonts w:ascii="宋体" w:hAnsi="宋体" w:eastAsia="宋体" w:cs="宋体"/>
                <w:spacing w:val="-2"/>
                <w:sz w:val="18"/>
                <w:szCs w:val="18"/>
              </w:rPr>
              <w:t>模式</w:t>
            </w:r>
          </w:p>
        </w:tc>
        <w:tc>
          <w:tcPr>
            <w:tcW w:w="450" w:type="dxa"/>
            <w:vMerge w:val="restart"/>
            <w:tcBorders>
              <w:bottom w:val="nil"/>
            </w:tcBorders>
            <w:vAlign w:val="top"/>
          </w:tcPr>
          <w:p w14:paraId="7F6D3D93">
            <w:pPr>
              <w:pStyle w:val="6"/>
              <w:spacing w:line="332" w:lineRule="auto"/>
            </w:pPr>
          </w:p>
          <w:p w14:paraId="4A63D697">
            <w:pPr>
              <w:spacing w:before="58" w:line="324" w:lineRule="auto"/>
              <w:ind w:left="30" w:right="31"/>
              <w:rPr>
                <w:rFonts w:ascii="宋体" w:hAnsi="宋体" w:eastAsia="宋体" w:cs="宋体"/>
                <w:sz w:val="18"/>
                <w:szCs w:val="18"/>
              </w:rPr>
            </w:pPr>
            <w:r>
              <w:rPr>
                <w:rFonts w:ascii="宋体" w:hAnsi="宋体" w:eastAsia="宋体" w:cs="宋体"/>
                <w:spacing w:val="-5"/>
                <w:sz w:val="18"/>
                <w:szCs w:val="18"/>
              </w:rPr>
              <w:t>故障</w:t>
            </w:r>
            <w:r>
              <w:rPr>
                <w:rFonts w:ascii="宋体" w:hAnsi="宋体" w:eastAsia="宋体" w:cs="宋体"/>
                <w:sz w:val="18"/>
                <w:szCs w:val="18"/>
              </w:rPr>
              <w:t xml:space="preserve"> </w:t>
            </w:r>
            <w:r>
              <w:rPr>
                <w:rFonts w:ascii="宋体" w:hAnsi="宋体" w:eastAsia="宋体" w:cs="宋体"/>
                <w:spacing w:val="9"/>
                <w:sz w:val="18"/>
                <w:szCs w:val="18"/>
              </w:rPr>
              <w:t>原因</w:t>
            </w:r>
          </w:p>
        </w:tc>
        <w:tc>
          <w:tcPr>
            <w:tcW w:w="1657" w:type="dxa"/>
            <w:gridSpan w:val="3"/>
            <w:vAlign w:val="top"/>
          </w:tcPr>
          <w:p w14:paraId="13F5A212">
            <w:pPr>
              <w:spacing w:before="92" w:line="219" w:lineRule="auto"/>
              <w:ind w:left="450"/>
              <w:rPr>
                <w:rFonts w:ascii="宋体" w:hAnsi="宋体" w:eastAsia="宋体" w:cs="宋体"/>
                <w:sz w:val="18"/>
                <w:szCs w:val="18"/>
              </w:rPr>
            </w:pPr>
            <w:r>
              <w:rPr>
                <w:rFonts w:ascii="宋体" w:hAnsi="宋体" w:eastAsia="宋体" w:cs="宋体"/>
                <w:spacing w:val="3"/>
                <w:sz w:val="18"/>
                <w:szCs w:val="18"/>
              </w:rPr>
              <w:t>故障影响</w:t>
            </w:r>
          </w:p>
        </w:tc>
        <w:tc>
          <w:tcPr>
            <w:tcW w:w="549" w:type="dxa"/>
            <w:vMerge w:val="restart"/>
            <w:tcBorders>
              <w:bottom w:val="nil"/>
            </w:tcBorders>
            <w:vAlign w:val="top"/>
          </w:tcPr>
          <w:p w14:paraId="0934B21A">
            <w:pPr>
              <w:pStyle w:val="6"/>
              <w:spacing w:line="312" w:lineRule="auto"/>
            </w:pPr>
          </w:p>
          <w:p w14:paraId="536A0EDC">
            <w:pPr>
              <w:spacing w:before="59" w:line="220" w:lineRule="auto"/>
              <w:ind w:left="83"/>
              <w:rPr>
                <w:rFonts w:ascii="宋体" w:hAnsi="宋体" w:eastAsia="宋体" w:cs="宋体"/>
                <w:sz w:val="18"/>
                <w:szCs w:val="18"/>
              </w:rPr>
            </w:pPr>
            <w:r>
              <w:rPr>
                <w:rFonts w:ascii="宋体" w:hAnsi="宋体" w:eastAsia="宋体" w:cs="宋体"/>
                <w:spacing w:val="-2"/>
                <w:sz w:val="18"/>
                <w:szCs w:val="18"/>
              </w:rPr>
              <w:t>严酷</w:t>
            </w:r>
          </w:p>
          <w:p w14:paraId="78B0F598">
            <w:pPr>
              <w:spacing w:before="125" w:line="220" w:lineRule="auto"/>
              <w:ind w:left="73"/>
              <w:rPr>
                <w:rFonts w:ascii="宋体" w:hAnsi="宋体" w:eastAsia="宋体" w:cs="宋体"/>
                <w:sz w:val="18"/>
                <w:szCs w:val="18"/>
              </w:rPr>
            </w:pPr>
            <w:r>
              <w:rPr>
                <w:rFonts w:ascii="宋体" w:hAnsi="宋体" w:eastAsia="宋体" w:cs="宋体"/>
                <w:spacing w:val="-4"/>
                <w:sz w:val="18"/>
                <w:szCs w:val="18"/>
              </w:rPr>
              <w:t>度</w:t>
            </w:r>
            <w:r>
              <w:rPr>
                <w:rFonts w:ascii="宋体" w:hAnsi="宋体" w:eastAsia="宋体" w:cs="宋体"/>
                <w:spacing w:val="45"/>
                <w:sz w:val="18"/>
                <w:szCs w:val="18"/>
              </w:rPr>
              <w:t xml:space="preserve"> </w:t>
            </w:r>
            <w:r>
              <w:rPr>
                <w:rFonts w:ascii="宋体" w:hAnsi="宋体" w:eastAsia="宋体" w:cs="宋体"/>
                <w:spacing w:val="-4"/>
                <w:sz w:val="18"/>
                <w:szCs w:val="18"/>
              </w:rPr>
              <w:t>S</w:t>
            </w:r>
          </w:p>
        </w:tc>
        <w:tc>
          <w:tcPr>
            <w:tcW w:w="549" w:type="dxa"/>
            <w:vMerge w:val="restart"/>
            <w:tcBorders>
              <w:bottom w:val="nil"/>
            </w:tcBorders>
            <w:vAlign w:val="top"/>
          </w:tcPr>
          <w:p w14:paraId="11422187">
            <w:pPr>
              <w:spacing w:before="233" w:line="220" w:lineRule="auto"/>
              <w:ind w:left="84"/>
              <w:rPr>
                <w:rFonts w:ascii="宋体" w:hAnsi="宋体" w:eastAsia="宋体" w:cs="宋体"/>
                <w:sz w:val="18"/>
                <w:szCs w:val="18"/>
              </w:rPr>
            </w:pPr>
            <w:r>
              <w:rPr>
                <w:rFonts w:ascii="宋体" w:hAnsi="宋体" w:eastAsia="宋体" w:cs="宋体"/>
                <w:spacing w:val="-3"/>
                <w:sz w:val="18"/>
                <w:szCs w:val="18"/>
              </w:rPr>
              <w:t>发生</w:t>
            </w:r>
          </w:p>
          <w:p w14:paraId="7B33E630">
            <w:pPr>
              <w:spacing w:before="94" w:line="349" w:lineRule="auto"/>
              <w:ind w:left="224" w:right="101" w:hanging="140"/>
              <w:rPr>
                <w:rFonts w:ascii="宋体" w:hAnsi="宋体" w:eastAsia="宋体" w:cs="宋体"/>
                <w:sz w:val="18"/>
                <w:szCs w:val="18"/>
              </w:rPr>
            </w:pPr>
            <w:r>
              <w:rPr>
                <w:rFonts w:ascii="宋体" w:hAnsi="宋体" w:eastAsia="宋体" w:cs="宋体"/>
                <w:spacing w:val="-4"/>
                <w:sz w:val="18"/>
                <w:szCs w:val="18"/>
              </w:rPr>
              <w:t>概率</w:t>
            </w:r>
            <w:r>
              <w:rPr>
                <w:rFonts w:ascii="宋体" w:hAnsi="宋体" w:eastAsia="宋体" w:cs="宋体"/>
                <w:sz w:val="18"/>
                <w:szCs w:val="18"/>
              </w:rPr>
              <w:t xml:space="preserve"> 0</w:t>
            </w:r>
          </w:p>
        </w:tc>
        <w:tc>
          <w:tcPr>
            <w:tcW w:w="559" w:type="dxa"/>
            <w:vMerge w:val="restart"/>
            <w:tcBorders>
              <w:bottom w:val="nil"/>
            </w:tcBorders>
            <w:vAlign w:val="top"/>
          </w:tcPr>
          <w:p w14:paraId="42E5D2B4">
            <w:pPr>
              <w:pStyle w:val="6"/>
              <w:spacing w:line="313" w:lineRule="auto"/>
            </w:pPr>
          </w:p>
          <w:p w14:paraId="33D47850">
            <w:pPr>
              <w:spacing w:before="58" w:line="221" w:lineRule="auto"/>
              <w:ind w:left="95"/>
              <w:rPr>
                <w:rFonts w:ascii="宋体" w:hAnsi="宋体" w:eastAsia="宋体" w:cs="宋体"/>
                <w:sz w:val="18"/>
                <w:szCs w:val="18"/>
              </w:rPr>
            </w:pPr>
            <w:r>
              <w:rPr>
                <w:rFonts w:ascii="宋体" w:hAnsi="宋体" w:eastAsia="宋体" w:cs="宋体"/>
                <w:spacing w:val="7"/>
                <w:sz w:val="18"/>
                <w:szCs w:val="18"/>
              </w:rPr>
              <w:t>探测</w:t>
            </w:r>
          </w:p>
          <w:p w14:paraId="7C32157C">
            <w:pPr>
              <w:spacing w:before="124" w:line="220" w:lineRule="auto"/>
              <w:ind w:left="85"/>
              <w:rPr>
                <w:rFonts w:ascii="宋体" w:hAnsi="宋体" w:eastAsia="宋体" w:cs="宋体"/>
                <w:sz w:val="18"/>
                <w:szCs w:val="18"/>
              </w:rPr>
            </w:pPr>
            <w:r>
              <w:rPr>
                <w:rFonts w:ascii="宋体" w:hAnsi="宋体" w:eastAsia="宋体" w:cs="宋体"/>
                <w:spacing w:val="-4"/>
                <w:sz w:val="18"/>
                <w:szCs w:val="18"/>
              </w:rPr>
              <w:t>度</w:t>
            </w:r>
            <w:r>
              <w:rPr>
                <w:rFonts w:ascii="宋体" w:hAnsi="宋体" w:eastAsia="宋体" w:cs="宋体"/>
                <w:spacing w:val="36"/>
                <w:w w:val="101"/>
                <w:sz w:val="18"/>
                <w:szCs w:val="18"/>
              </w:rPr>
              <w:t xml:space="preserve"> </w:t>
            </w:r>
            <w:r>
              <w:rPr>
                <w:rFonts w:ascii="宋体" w:hAnsi="宋体" w:eastAsia="宋体" w:cs="宋体"/>
                <w:spacing w:val="-4"/>
                <w:sz w:val="18"/>
                <w:szCs w:val="18"/>
              </w:rPr>
              <w:t>D</w:t>
            </w:r>
          </w:p>
        </w:tc>
        <w:tc>
          <w:tcPr>
            <w:tcW w:w="549" w:type="dxa"/>
            <w:vMerge w:val="restart"/>
            <w:tcBorders>
              <w:bottom w:val="nil"/>
            </w:tcBorders>
            <w:vAlign w:val="top"/>
          </w:tcPr>
          <w:p w14:paraId="784D1F7C">
            <w:pPr>
              <w:spacing w:before="53" w:line="220" w:lineRule="auto"/>
              <w:ind w:left="86"/>
              <w:rPr>
                <w:rFonts w:ascii="宋体" w:hAnsi="宋体" w:eastAsia="宋体" w:cs="宋体"/>
                <w:sz w:val="18"/>
                <w:szCs w:val="18"/>
              </w:rPr>
            </w:pPr>
            <w:r>
              <w:rPr>
                <w:rFonts w:ascii="宋体" w:hAnsi="宋体" w:eastAsia="宋体" w:cs="宋体"/>
                <w:spacing w:val="-2"/>
                <w:sz w:val="18"/>
                <w:szCs w:val="18"/>
              </w:rPr>
              <w:t>风险</w:t>
            </w:r>
          </w:p>
          <w:p w14:paraId="6FA00E86">
            <w:pPr>
              <w:spacing w:before="105" w:line="219" w:lineRule="auto"/>
              <w:ind w:left="86"/>
              <w:rPr>
                <w:rFonts w:ascii="宋体" w:hAnsi="宋体" w:eastAsia="宋体" w:cs="宋体"/>
                <w:sz w:val="18"/>
                <w:szCs w:val="18"/>
              </w:rPr>
            </w:pPr>
            <w:r>
              <w:rPr>
                <w:rFonts w:ascii="宋体" w:hAnsi="宋体" w:eastAsia="宋体" w:cs="宋体"/>
                <w:spacing w:val="-2"/>
                <w:sz w:val="18"/>
                <w:szCs w:val="18"/>
              </w:rPr>
              <w:t>优先</w:t>
            </w:r>
          </w:p>
          <w:p w14:paraId="35BFF68C">
            <w:pPr>
              <w:spacing w:before="106" w:line="219" w:lineRule="auto"/>
              <w:ind w:left="176"/>
              <w:rPr>
                <w:rFonts w:ascii="宋体" w:hAnsi="宋体" w:eastAsia="宋体" w:cs="宋体"/>
                <w:sz w:val="18"/>
                <w:szCs w:val="18"/>
              </w:rPr>
            </w:pPr>
            <w:r>
              <w:rPr>
                <w:rFonts w:ascii="宋体" w:hAnsi="宋体" w:eastAsia="宋体" w:cs="宋体"/>
                <w:sz w:val="18"/>
                <w:szCs w:val="18"/>
              </w:rPr>
              <w:t>数</w:t>
            </w:r>
          </w:p>
          <w:p w14:paraId="6BCBFBA5">
            <w:pPr>
              <w:spacing w:before="164" w:line="171" w:lineRule="auto"/>
              <w:ind w:left="136"/>
              <w:rPr>
                <w:rFonts w:ascii="宋体" w:hAnsi="宋体" w:eastAsia="宋体" w:cs="宋体"/>
                <w:sz w:val="18"/>
                <w:szCs w:val="18"/>
              </w:rPr>
            </w:pPr>
            <w:r>
              <w:rPr>
                <w:rFonts w:ascii="宋体" w:hAnsi="宋体" w:eastAsia="宋体" w:cs="宋体"/>
                <w:spacing w:val="-2"/>
                <w:sz w:val="18"/>
                <w:szCs w:val="18"/>
              </w:rPr>
              <w:t>RPN</w:t>
            </w:r>
          </w:p>
        </w:tc>
        <w:tc>
          <w:tcPr>
            <w:tcW w:w="549" w:type="dxa"/>
            <w:vMerge w:val="restart"/>
            <w:tcBorders>
              <w:bottom w:val="nil"/>
            </w:tcBorders>
            <w:vAlign w:val="top"/>
          </w:tcPr>
          <w:p w14:paraId="10AC98F9">
            <w:pPr>
              <w:pStyle w:val="6"/>
              <w:spacing w:line="312" w:lineRule="auto"/>
            </w:pPr>
          </w:p>
          <w:p w14:paraId="6F25589F">
            <w:pPr>
              <w:spacing w:before="58" w:line="219" w:lineRule="auto"/>
              <w:ind w:left="87"/>
              <w:rPr>
                <w:rFonts w:ascii="宋体" w:hAnsi="宋体" w:eastAsia="宋体" w:cs="宋体"/>
                <w:sz w:val="18"/>
                <w:szCs w:val="18"/>
              </w:rPr>
            </w:pPr>
            <w:r>
              <w:rPr>
                <w:rFonts w:ascii="宋体" w:hAnsi="宋体" w:eastAsia="宋体" w:cs="宋体"/>
                <w:spacing w:val="3"/>
                <w:sz w:val="18"/>
                <w:szCs w:val="18"/>
              </w:rPr>
              <w:t>改进</w:t>
            </w:r>
          </w:p>
          <w:p w14:paraId="6B0B5783">
            <w:pPr>
              <w:spacing w:before="126" w:line="220" w:lineRule="auto"/>
              <w:ind w:left="87"/>
              <w:rPr>
                <w:rFonts w:ascii="宋体" w:hAnsi="宋体" w:eastAsia="宋体" w:cs="宋体"/>
                <w:sz w:val="18"/>
                <w:szCs w:val="18"/>
              </w:rPr>
            </w:pPr>
            <w:r>
              <w:rPr>
                <w:rFonts w:ascii="宋体" w:hAnsi="宋体" w:eastAsia="宋体" w:cs="宋体"/>
                <w:spacing w:val="-2"/>
                <w:sz w:val="18"/>
                <w:szCs w:val="18"/>
              </w:rPr>
              <w:t>措施</w:t>
            </w:r>
          </w:p>
        </w:tc>
        <w:tc>
          <w:tcPr>
            <w:tcW w:w="540" w:type="dxa"/>
            <w:vMerge w:val="restart"/>
            <w:tcBorders>
              <w:bottom w:val="nil"/>
            </w:tcBorders>
            <w:vAlign w:val="top"/>
          </w:tcPr>
          <w:p w14:paraId="33149048">
            <w:pPr>
              <w:pStyle w:val="6"/>
              <w:spacing w:line="312" w:lineRule="auto"/>
            </w:pPr>
          </w:p>
          <w:p w14:paraId="1C8959AD">
            <w:pPr>
              <w:spacing w:before="58" w:line="219" w:lineRule="auto"/>
              <w:ind w:left="88"/>
              <w:rPr>
                <w:rFonts w:ascii="宋体" w:hAnsi="宋体" w:eastAsia="宋体" w:cs="宋体"/>
                <w:sz w:val="18"/>
                <w:szCs w:val="18"/>
              </w:rPr>
            </w:pPr>
            <w:r>
              <w:rPr>
                <w:rFonts w:ascii="宋体" w:hAnsi="宋体" w:eastAsia="宋体" w:cs="宋体"/>
                <w:spacing w:val="3"/>
                <w:sz w:val="18"/>
                <w:szCs w:val="18"/>
              </w:rPr>
              <w:t>责任</w:t>
            </w:r>
          </w:p>
          <w:p w14:paraId="7092B5EA">
            <w:pPr>
              <w:spacing w:before="106" w:line="219" w:lineRule="auto"/>
              <w:ind w:left="88"/>
              <w:rPr>
                <w:rFonts w:ascii="宋体" w:hAnsi="宋体" w:eastAsia="宋体" w:cs="宋体"/>
                <w:sz w:val="18"/>
                <w:szCs w:val="18"/>
              </w:rPr>
            </w:pPr>
            <w:r>
              <w:rPr>
                <w:rFonts w:ascii="宋体" w:hAnsi="宋体" w:eastAsia="宋体" w:cs="宋体"/>
                <w:spacing w:val="10"/>
                <w:sz w:val="18"/>
                <w:szCs w:val="18"/>
              </w:rPr>
              <w:t>部门</w:t>
            </w:r>
          </w:p>
        </w:tc>
        <w:tc>
          <w:tcPr>
            <w:tcW w:w="569" w:type="dxa"/>
            <w:vMerge w:val="restart"/>
            <w:tcBorders>
              <w:bottom w:val="nil"/>
            </w:tcBorders>
            <w:vAlign w:val="top"/>
          </w:tcPr>
          <w:p w14:paraId="6C5105C5">
            <w:pPr>
              <w:spacing w:before="62" w:line="219" w:lineRule="auto"/>
              <w:ind w:left="98"/>
              <w:rPr>
                <w:rFonts w:ascii="宋体" w:hAnsi="宋体" w:eastAsia="宋体" w:cs="宋体"/>
                <w:sz w:val="18"/>
                <w:szCs w:val="18"/>
              </w:rPr>
            </w:pPr>
            <w:r>
              <w:rPr>
                <w:rFonts w:ascii="宋体" w:hAnsi="宋体" w:eastAsia="宋体" w:cs="宋体"/>
                <w:spacing w:val="3"/>
                <w:sz w:val="18"/>
                <w:szCs w:val="18"/>
              </w:rPr>
              <w:t>改进</w:t>
            </w:r>
          </w:p>
          <w:p w14:paraId="3C9F991B">
            <w:pPr>
              <w:spacing w:before="96" w:line="220" w:lineRule="auto"/>
              <w:ind w:left="98"/>
              <w:rPr>
                <w:rFonts w:ascii="宋体" w:hAnsi="宋体" w:eastAsia="宋体" w:cs="宋体"/>
                <w:sz w:val="18"/>
                <w:szCs w:val="18"/>
              </w:rPr>
            </w:pPr>
            <w:r>
              <w:rPr>
                <w:rFonts w:ascii="宋体" w:hAnsi="宋体" w:eastAsia="宋体" w:cs="宋体"/>
                <w:spacing w:val="-2"/>
                <w:sz w:val="18"/>
                <w:szCs w:val="18"/>
              </w:rPr>
              <w:t>措施</w:t>
            </w:r>
          </w:p>
          <w:p w14:paraId="4DF47144">
            <w:pPr>
              <w:spacing w:before="105" w:line="219" w:lineRule="auto"/>
              <w:ind w:left="98"/>
              <w:rPr>
                <w:rFonts w:ascii="宋体" w:hAnsi="宋体" w:eastAsia="宋体" w:cs="宋体"/>
                <w:sz w:val="18"/>
                <w:szCs w:val="18"/>
              </w:rPr>
            </w:pPr>
            <w:r>
              <w:rPr>
                <w:rFonts w:ascii="宋体" w:hAnsi="宋体" w:eastAsia="宋体" w:cs="宋体"/>
                <w:spacing w:val="-2"/>
                <w:sz w:val="18"/>
                <w:szCs w:val="18"/>
              </w:rPr>
              <w:t>执行</w:t>
            </w:r>
          </w:p>
          <w:p w14:paraId="00487F60">
            <w:pPr>
              <w:spacing w:before="116" w:line="220" w:lineRule="auto"/>
              <w:ind w:left="98"/>
              <w:rPr>
                <w:rFonts w:ascii="宋体" w:hAnsi="宋体" w:eastAsia="宋体" w:cs="宋体"/>
                <w:sz w:val="18"/>
                <w:szCs w:val="18"/>
              </w:rPr>
            </w:pPr>
            <w:r>
              <w:rPr>
                <w:rFonts w:ascii="宋体" w:hAnsi="宋体" w:eastAsia="宋体" w:cs="宋体"/>
                <w:spacing w:val="-2"/>
                <w:sz w:val="18"/>
                <w:szCs w:val="18"/>
              </w:rPr>
              <w:t>情况</w:t>
            </w:r>
          </w:p>
        </w:tc>
        <w:tc>
          <w:tcPr>
            <w:tcW w:w="1639" w:type="dxa"/>
            <w:gridSpan w:val="4"/>
            <w:vAlign w:val="top"/>
          </w:tcPr>
          <w:p w14:paraId="10CB1608">
            <w:pPr>
              <w:spacing w:before="92" w:line="219" w:lineRule="auto"/>
              <w:ind w:left="109"/>
              <w:rPr>
                <w:rFonts w:ascii="宋体" w:hAnsi="宋体" w:eastAsia="宋体" w:cs="宋体"/>
                <w:sz w:val="18"/>
                <w:szCs w:val="18"/>
              </w:rPr>
            </w:pPr>
            <w:r>
              <w:rPr>
                <w:rFonts w:ascii="宋体" w:hAnsi="宋体" w:eastAsia="宋体" w:cs="宋体"/>
                <w:spacing w:val="-1"/>
                <w:sz w:val="18"/>
                <w:szCs w:val="18"/>
              </w:rPr>
              <w:t>措施执行后的RPN</w:t>
            </w:r>
          </w:p>
        </w:tc>
        <w:tc>
          <w:tcPr>
            <w:tcW w:w="375" w:type="dxa"/>
            <w:vMerge w:val="restart"/>
            <w:tcBorders>
              <w:bottom w:val="nil"/>
            </w:tcBorders>
            <w:textDirection w:val="tbRlV"/>
            <w:vAlign w:val="top"/>
          </w:tcPr>
          <w:p w14:paraId="2E0AD7C0">
            <w:pPr>
              <w:spacing w:before="103" w:line="201" w:lineRule="auto"/>
              <w:ind w:left="356"/>
              <w:rPr>
                <w:rFonts w:ascii="宋体" w:hAnsi="宋体" w:eastAsia="宋体" w:cs="宋体"/>
                <w:sz w:val="18"/>
                <w:szCs w:val="18"/>
              </w:rPr>
            </w:pPr>
            <w:r>
              <w:rPr>
                <w:rFonts w:ascii="宋体" w:hAnsi="宋体" w:eastAsia="宋体" w:cs="宋体"/>
                <w:sz w:val="18"/>
                <w:szCs w:val="18"/>
              </w:rPr>
              <w:t>备</w:t>
            </w:r>
            <w:r>
              <w:rPr>
                <w:rFonts w:ascii="宋体" w:hAnsi="宋体" w:eastAsia="宋体" w:cs="宋体"/>
                <w:spacing w:val="86"/>
                <w:sz w:val="18"/>
                <w:szCs w:val="18"/>
              </w:rPr>
              <w:t xml:space="preserve"> </w:t>
            </w:r>
            <w:r>
              <w:rPr>
                <w:rFonts w:ascii="宋体" w:hAnsi="宋体" w:eastAsia="宋体" w:cs="宋体"/>
                <w:sz w:val="18"/>
                <w:szCs w:val="18"/>
              </w:rPr>
              <w:t>注</w:t>
            </w:r>
          </w:p>
        </w:tc>
      </w:tr>
      <w:tr w14:paraId="55D33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4" w:hRule="atLeast"/>
        </w:trPr>
        <w:tc>
          <w:tcPr>
            <w:tcW w:w="455" w:type="dxa"/>
            <w:vMerge w:val="continue"/>
            <w:tcBorders>
              <w:top w:val="nil"/>
            </w:tcBorders>
            <w:vAlign w:val="top"/>
          </w:tcPr>
          <w:p w14:paraId="05130011">
            <w:pPr>
              <w:pStyle w:val="6"/>
            </w:pPr>
          </w:p>
        </w:tc>
        <w:tc>
          <w:tcPr>
            <w:tcW w:w="470" w:type="dxa"/>
            <w:vMerge w:val="continue"/>
            <w:tcBorders>
              <w:top w:val="nil"/>
            </w:tcBorders>
            <w:vAlign w:val="top"/>
          </w:tcPr>
          <w:p w14:paraId="7814E517">
            <w:pPr>
              <w:pStyle w:val="6"/>
            </w:pPr>
          </w:p>
        </w:tc>
        <w:tc>
          <w:tcPr>
            <w:tcW w:w="450" w:type="dxa"/>
            <w:vMerge w:val="continue"/>
            <w:tcBorders>
              <w:top w:val="nil"/>
            </w:tcBorders>
            <w:vAlign w:val="top"/>
          </w:tcPr>
          <w:p w14:paraId="3E8FD04E">
            <w:pPr>
              <w:pStyle w:val="6"/>
            </w:pPr>
          </w:p>
        </w:tc>
        <w:tc>
          <w:tcPr>
            <w:tcW w:w="450" w:type="dxa"/>
            <w:vMerge w:val="continue"/>
            <w:tcBorders>
              <w:top w:val="nil"/>
            </w:tcBorders>
            <w:vAlign w:val="top"/>
          </w:tcPr>
          <w:p w14:paraId="5888F3E7">
            <w:pPr>
              <w:pStyle w:val="6"/>
            </w:pPr>
          </w:p>
        </w:tc>
        <w:tc>
          <w:tcPr>
            <w:tcW w:w="559" w:type="dxa"/>
            <w:vAlign w:val="top"/>
          </w:tcPr>
          <w:p w14:paraId="20F1854D">
            <w:pPr>
              <w:spacing w:before="49" w:line="282" w:lineRule="auto"/>
              <w:ind w:left="90" w:right="84"/>
              <w:jc w:val="both"/>
              <w:rPr>
                <w:rFonts w:ascii="宋体" w:hAnsi="宋体" w:eastAsia="宋体" w:cs="宋体"/>
                <w:sz w:val="18"/>
                <w:szCs w:val="18"/>
              </w:rPr>
            </w:pPr>
            <w:r>
              <w:rPr>
                <w:rFonts w:ascii="宋体" w:hAnsi="宋体" w:eastAsia="宋体" w:cs="宋体"/>
                <w:spacing w:val="4"/>
                <w:sz w:val="18"/>
                <w:szCs w:val="18"/>
              </w:rPr>
              <w:t>下道</w:t>
            </w:r>
            <w:r>
              <w:rPr>
                <w:rFonts w:ascii="宋体" w:hAnsi="宋体" w:eastAsia="宋体" w:cs="宋体"/>
                <w:sz w:val="18"/>
                <w:szCs w:val="18"/>
              </w:rPr>
              <w:t xml:space="preserve"> </w:t>
            </w:r>
            <w:r>
              <w:rPr>
                <w:rFonts w:ascii="宋体" w:hAnsi="宋体" w:eastAsia="宋体" w:cs="宋体"/>
                <w:spacing w:val="-5"/>
                <w:sz w:val="18"/>
                <w:szCs w:val="18"/>
              </w:rPr>
              <w:t>工序</w:t>
            </w:r>
            <w:r>
              <w:rPr>
                <w:rFonts w:ascii="宋体" w:hAnsi="宋体" w:eastAsia="宋体" w:cs="宋体"/>
                <w:sz w:val="18"/>
                <w:szCs w:val="18"/>
              </w:rPr>
              <w:t xml:space="preserve"> </w:t>
            </w:r>
            <w:r>
              <w:rPr>
                <w:rFonts w:ascii="宋体" w:hAnsi="宋体" w:eastAsia="宋体" w:cs="宋体"/>
                <w:spacing w:val="7"/>
                <w:sz w:val="18"/>
                <w:szCs w:val="18"/>
              </w:rPr>
              <w:t>影响</w:t>
            </w:r>
          </w:p>
        </w:tc>
        <w:tc>
          <w:tcPr>
            <w:tcW w:w="559" w:type="dxa"/>
            <w:vAlign w:val="top"/>
          </w:tcPr>
          <w:p w14:paraId="0DDA5B6C">
            <w:pPr>
              <w:spacing w:before="209" w:line="323" w:lineRule="auto"/>
              <w:ind w:left="91" w:right="83"/>
              <w:rPr>
                <w:rFonts w:ascii="宋体" w:hAnsi="宋体" w:eastAsia="宋体" w:cs="宋体"/>
                <w:sz w:val="18"/>
                <w:szCs w:val="18"/>
              </w:rPr>
            </w:pPr>
            <w:r>
              <w:rPr>
                <w:rFonts w:ascii="宋体" w:hAnsi="宋体" w:eastAsia="宋体" w:cs="宋体"/>
                <w:spacing w:val="-5"/>
                <w:sz w:val="18"/>
                <w:szCs w:val="18"/>
              </w:rPr>
              <w:t>组件</w:t>
            </w:r>
            <w:r>
              <w:rPr>
                <w:rFonts w:ascii="宋体" w:hAnsi="宋体" w:eastAsia="宋体" w:cs="宋体"/>
                <w:sz w:val="18"/>
                <w:szCs w:val="18"/>
              </w:rPr>
              <w:t xml:space="preserve"> </w:t>
            </w:r>
            <w:r>
              <w:rPr>
                <w:rFonts w:ascii="宋体" w:hAnsi="宋体" w:eastAsia="宋体" w:cs="宋体"/>
                <w:spacing w:val="7"/>
                <w:sz w:val="18"/>
                <w:szCs w:val="18"/>
              </w:rPr>
              <w:t>影响</w:t>
            </w:r>
          </w:p>
        </w:tc>
        <w:tc>
          <w:tcPr>
            <w:tcW w:w="539" w:type="dxa"/>
            <w:vAlign w:val="top"/>
          </w:tcPr>
          <w:p w14:paraId="4C5DAEF2">
            <w:pPr>
              <w:spacing w:before="209" w:line="323" w:lineRule="auto"/>
              <w:ind w:left="82" w:right="72"/>
              <w:rPr>
                <w:rFonts w:ascii="宋体" w:hAnsi="宋体" w:eastAsia="宋体" w:cs="宋体"/>
                <w:sz w:val="18"/>
                <w:szCs w:val="18"/>
              </w:rPr>
            </w:pPr>
            <w:r>
              <w:rPr>
                <w:rFonts w:ascii="宋体" w:hAnsi="宋体" w:eastAsia="宋体" w:cs="宋体"/>
                <w:spacing w:val="-4"/>
                <w:sz w:val="18"/>
                <w:szCs w:val="18"/>
              </w:rPr>
              <w:t>装备</w:t>
            </w:r>
            <w:r>
              <w:rPr>
                <w:rFonts w:ascii="宋体" w:hAnsi="宋体" w:eastAsia="宋体" w:cs="宋体"/>
                <w:sz w:val="18"/>
                <w:szCs w:val="18"/>
              </w:rPr>
              <w:t xml:space="preserve"> </w:t>
            </w:r>
            <w:r>
              <w:rPr>
                <w:rFonts w:ascii="宋体" w:hAnsi="宋体" w:eastAsia="宋体" w:cs="宋体"/>
                <w:spacing w:val="7"/>
                <w:sz w:val="18"/>
                <w:szCs w:val="18"/>
              </w:rPr>
              <w:t>影响</w:t>
            </w:r>
          </w:p>
        </w:tc>
        <w:tc>
          <w:tcPr>
            <w:tcW w:w="549" w:type="dxa"/>
            <w:vMerge w:val="continue"/>
            <w:tcBorders>
              <w:top w:val="nil"/>
            </w:tcBorders>
            <w:vAlign w:val="top"/>
          </w:tcPr>
          <w:p w14:paraId="4929DC83">
            <w:pPr>
              <w:pStyle w:val="6"/>
            </w:pPr>
          </w:p>
        </w:tc>
        <w:tc>
          <w:tcPr>
            <w:tcW w:w="549" w:type="dxa"/>
            <w:vMerge w:val="continue"/>
            <w:tcBorders>
              <w:top w:val="nil"/>
            </w:tcBorders>
            <w:vAlign w:val="top"/>
          </w:tcPr>
          <w:p w14:paraId="1F4125B5">
            <w:pPr>
              <w:pStyle w:val="6"/>
            </w:pPr>
          </w:p>
        </w:tc>
        <w:tc>
          <w:tcPr>
            <w:tcW w:w="559" w:type="dxa"/>
            <w:vMerge w:val="continue"/>
            <w:tcBorders>
              <w:top w:val="nil"/>
            </w:tcBorders>
            <w:vAlign w:val="top"/>
          </w:tcPr>
          <w:p w14:paraId="23E361A7">
            <w:pPr>
              <w:pStyle w:val="6"/>
            </w:pPr>
          </w:p>
        </w:tc>
        <w:tc>
          <w:tcPr>
            <w:tcW w:w="549" w:type="dxa"/>
            <w:vMerge w:val="continue"/>
            <w:tcBorders>
              <w:top w:val="nil"/>
            </w:tcBorders>
            <w:vAlign w:val="top"/>
          </w:tcPr>
          <w:p w14:paraId="18D5016B">
            <w:pPr>
              <w:pStyle w:val="6"/>
            </w:pPr>
          </w:p>
        </w:tc>
        <w:tc>
          <w:tcPr>
            <w:tcW w:w="549" w:type="dxa"/>
            <w:vMerge w:val="continue"/>
            <w:tcBorders>
              <w:top w:val="nil"/>
            </w:tcBorders>
            <w:vAlign w:val="top"/>
          </w:tcPr>
          <w:p w14:paraId="48B1855B">
            <w:pPr>
              <w:pStyle w:val="6"/>
            </w:pPr>
          </w:p>
        </w:tc>
        <w:tc>
          <w:tcPr>
            <w:tcW w:w="540" w:type="dxa"/>
            <w:vMerge w:val="continue"/>
            <w:tcBorders>
              <w:top w:val="nil"/>
            </w:tcBorders>
            <w:vAlign w:val="top"/>
          </w:tcPr>
          <w:p w14:paraId="7839EE60">
            <w:pPr>
              <w:pStyle w:val="6"/>
            </w:pPr>
          </w:p>
        </w:tc>
        <w:tc>
          <w:tcPr>
            <w:tcW w:w="569" w:type="dxa"/>
            <w:vMerge w:val="continue"/>
            <w:tcBorders>
              <w:top w:val="nil"/>
            </w:tcBorders>
            <w:vAlign w:val="top"/>
          </w:tcPr>
          <w:p w14:paraId="004FF8DB">
            <w:pPr>
              <w:pStyle w:val="6"/>
            </w:pPr>
          </w:p>
        </w:tc>
        <w:tc>
          <w:tcPr>
            <w:tcW w:w="360" w:type="dxa"/>
            <w:vAlign w:val="top"/>
          </w:tcPr>
          <w:p w14:paraId="6165A882">
            <w:pPr>
              <w:pStyle w:val="6"/>
              <w:spacing w:line="345" w:lineRule="auto"/>
            </w:pPr>
          </w:p>
          <w:p w14:paraId="39AB8F61">
            <w:pPr>
              <w:spacing w:before="58" w:line="183" w:lineRule="auto"/>
              <w:ind w:left="129"/>
              <w:rPr>
                <w:rFonts w:ascii="宋体" w:hAnsi="宋体" w:eastAsia="宋体" w:cs="宋体"/>
                <w:sz w:val="18"/>
                <w:szCs w:val="18"/>
              </w:rPr>
            </w:pPr>
            <w:r>
              <w:rPr>
                <w:rFonts w:ascii="宋体" w:hAnsi="宋体" w:eastAsia="宋体" w:cs="宋体"/>
                <w:sz w:val="18"/>
                <w:szCs w:val="18"/>
              </w:rPr>
              <w:t>S</w:t>
            </w:r>
          </w:p>
        </w:tc>
        <w:tc>
          <w:tcPr>
            <w:tcW w:w="370" w:type="dxa"/>
            <w:vAlign w:val="top"/>
          </w:tcPr>
          <w:p w14:paraId="1619723E">
            <w:pPr>
              <w:pStyle w:val="6"/>
              <w:spacing w:line="316" w:lineRule="auto"/>
            </w:pPr>
          </w:p>
          <w:p w14:paraId="37FE855C">
            <w:pPr>
              <w:spacing w:before="58"/>
              <w:ind w:left="138"/>
              <w:rPr>
                <w:rFonts w:ascii="宋体" w:hAnsi="宋体" w:eastAsia="宋体" w:cs="宋体"/>
                <w:sz w:val="18"/>
                <w:szCs w:val="18"/>
              </w:rPr>
            </w:pPr>
            <w:r>
              <w:rPr>
                <w:rFonts w:ascii="宋体" w:hAnsi="宋体" w:eastAsia="宋体" w:cs="宋体"/>
                <w:sz w:val="18"/>
                <w:szCs w:val="18"/>
              </w:rPr>
              <w:t>0</w:t>
            </w:r>
          </w:p>
        </w:tc>
        <w:tc>
          <w:tcPr>
            <w:tcW w:w="360" w:type="dxa"/>
            <w:vAlign w:val="top"/>
          </w:tcPr>
          <w:p w14:paraId="5931F31D">
            <w:pPr>
              <w:pStyle w:val="6"/>
              <w:spacing w:line="346" w:lineRule="auto"/>
            </w:pPr>
          </w:p>
          <w:p w14:paraId="391B46C0">
            <w:pPr>
              <w:spacing w:before="58" w:line="182" w:lineRule="auto"/>
              <w:ind w:left="129"/>
              <w:rPr>
                <w:rFonts w:ascii="宋体" w:hAnsi="宋体" w:eastAsia="宋体" w:cs="宋体"/>
                <w:sz w:val="18"/>
                <w:szCs w:val="18"/>
              </w:rPr>
            </w:pPr>
            <w:r>
              <w:rPr>
                <w:rFonts w:ascii="宋体" w:hAnsi="宋体" w:eastAsia="宋体" w:cs="宋体"/>
                <w:sz w:val="18"/>
                <w:szCs w:val="18"/>
              </w:rPr>
              <w:t>D</w:t>
            </w:r>
          </w:p>
        </w:tc>
        <w:tc>
          <w:tcPr>
            <w:tcW w:w="549" w:type="dxa"/>
            <w:vAlign w:val="top"/>
          </w:tcPr>
          <w:p w14:paraId="6A06BB59">
            <w:pPr>
              <w:pStyle w:val="6"/>
              <w:spacing w:line="346" w:lineRule="auto"/>
            </w:pPr>
          </w:p>
          <w:p w14:paraId="1E3E6DC7">
            <w:pPr>
              <w:spacing w:before="58" w:line="182" w:lineRule="auto"/>
              <w:ind w:left="139"/>
              <w:rPr>
                <w:rFonts w:ascii="宋体" w:hAnsi="宋体" w:eastAsia="宋体" w:cs="宋体"/>
                <w:sz w:val="18"/>
                <w:szCs w:val="18"/>
              </w:rPr>
            </w:pPr>
            <w:r>
              <w:rPr>
                <w:rFonts w:ascii="宋体" w:hAnsi="宋体" w:eastAsia="宋体" w:cs="宋体"/>
                <w:spacing w:val="-2"/>
                <w:sz w:val="18"/>
                <w:szCs w:val="18"/>
              </w:rPr>
              <w:t>RPN</w:t>
            </w:r>
          </w:p>
        </w:tc>
        <w:tc>
          <w:tcPr>
            <w:tcW w:w="375" w:type="dxa"/>
            <w:vMerge w:val="continue"/>
            <w:tcBorders>
              <w:top w:val="nil"/>
            </w:tcBorders>
            <w:textDirection w:val="tbRlV"/>
            <w:vAlign w:val="top"/>
          </w:tcPr>
          <w:p w14:paraId="12FD2E6B">
            <w:pPr>
              <w:pStyle w:val="6"/>
            </w:pPr>
          </w:p>
        </w:tc>
      </w:tr>
      <w:tr w14:paraId="05864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455" w:type="dxa"/>
            <w:vAlign w:val="top"/>
          </w:tcPr>
          <w:p w14:paraId="35C1564B">
            <w:pPr>
              <w:spacing w:before="78" w:line="222" w:lineRule="auto"/>
              <w:ind w:left="85"/>
              <w:rPr>
                <w:rFonts w:ascii="宋体" w:hAnsi="宋体" w:eastAsia="宋体" w:cs="宋体"/>
                <w:sz w:val="18"/>
                <w:szCs w:val="18"/>
              </w:rPr>
            </w:pPr>
            <w:r>
              <w:rPr>
                <w:rFonts w:ascii="宋体" w:hAnsi="宋体" w:eastAsia="宋体" w:cs="宋体"/>
                <w:spacing w:val="-9"/>
                <w:sz w:val="18"/>
                <w:szCs w:val="18"/>
              </w:rPr>
              <w:t>(4)</w:t>
            </w:r>
          </w:p>
        </w:tc>
        <w:tc>
          <w:tcPr>
            <w:tcW w:w="470" w:type="dxa"/>
            <w:vAlign w:val="top"/>
          </w:tcPr>
          <w:p w14:paraId="743596ED">
            <w:pPr>
              <w:spacing w:before="78" w:line="222" w:lineRule="auto"/>
              <w:ind w:left="90"/>
              <w:rPr>
                <w:rFonts w:ascii="宋体" w:hAnsi="宋体" w:eastAsia="宋体" w:cs="宋体"/>
                <w:sz w:val="18"/>
                <w:szCs w:val="18"/>
              </w:rPr>
            </w:pPr>
            <w:r>
              <w:rPr>
                <w:rFonts w:ascii="宋体" w:hAnsi="宋体" w:eastAsia="宋体" w:cs="宋体"/>
                <w:spacing w:val="-9"/>
                <w:sz w:val="18"/>
                <w:szCs w:val="18"/>
              </w:rPr>
              <w:t>(5)</w:t>
            </w:r>
          </w:p>
        </w:tc>
        <w:tc>
          <w:tcPr>
            <w:tcW w:w="450" w:type="dxa"/>
            <w:vAlign w:val="top"/>
          </w:tcPr>
          <w:p w14:paraId="2432F990">
            <w:pPr>
              <w:spacing w:before="78" w:line="222" w:lineRule="auto"/>
              <w:ind w:left="80"/>
              <w:rPr>
                <w:rFonts w:ascii="宋体" w:hAnsi="宋体" w:eastAsia="宋体" w:cs="宋体"/>
                <w:sz w:val="18"/>
                <w:szCs w:val="18"/>
              </w:rPr>
            </w:pPr>
            <w:r>
              <w:rPr>
                <w:rFonts w:ascii="宋体" w:hAnsi="宋体" w:eastAsia="宋体" w:cs="宋体"/>
                <w:spacing w:val="-9"/>
                <w:sz w:val="18"/>
                <w:szCs w:val="18"/>
              </w:rPr>
              <w:t>(6)</w:t>
            </w:r>
          </w:p>
        </w:tc>
        <w:tc>
          <w:tcPr>
            <w:tcW w:w="450" w:type="dxa"/>
            <w:vAlign w:val="top"/>
          </w:tcPr>
          <w:p w14:paraId="46A3C73E">
            <w:pPr>
              <w:spacing w:before="78" w:line="222" w:lineRule="auto"/>
              <w:ind w:left="80"/>
              <w:rPr>
                <w:rFonts w:ascii="宋体" w:hAnsi="宋体" w:eastAsia="宋体" w:cs="宋体"/>
                <w:sz w:val="18"/>
                <w:szCs w:val="18"/>
              </w:rPr>
            </w:pPr>
            <w:r>
              <w:rPr>
                <w:rFonts w:ascii="宋体" w:hAnsi="宋体" w:eastAsia="宋体" w:cs="宋体"/>
                <w:spacing w:val="-9"/>
                <w:sz w:val="18"/>
                <w:szCs w:val="18"/>
              </w:rPr>
              <w:t>(7)</w:t>
            </w:r>
          </w:p>
        </w:tc>
        <w:tc>
          <w:tcPr>
            <w:tcW w:w="559" w:type="dxa"/>
            <w:vAlign w:val="top"/>
          </w:tcPr>
          <w:p w14:paraId="4B9CED4F">
            <w:pPr>
              <w:spacing w:before="78" w:line="222" w:lineRule="auto"/>
              <w:ind w:left="130"/>
              <w:rPr>
                <w:rFonts w:ascii="宋体" w:hAnsi="宋体" w:eastAsia="宋体" w:cs="宋体"/>
                <w:sz w:val="18"/>
                <w:szCs w:val="18"/>
              </w:rPr>
            </w:pPr>
            <w:r>
              <w:rPr>
                <w:rFonts w:ascii="宋体" w:hAnsi="宋体" w:eastAsia="宋体" w:cs="宋体"/>
                <w:spacing w:val="-9"/>
                <w:sz w:val="18"/>
                <w:szCs w:val="18"/>
              </w:rPr>
              <w:t>(8)</w:t>
            </w:r>
          </w:p>
        </w:tc>
        <w:tc>
          <w:tcPr>
            <w:tcW w:w="559" w:type="dxa"/>
            <w:vAlign w:val="top"/>
          </w:tcPr>
          <w:p w14:paraId="48322EBA">
            <w:pPr>
              <w:spacing w:before="78" w:line="222" w:lineRule="auto"/>
              <w:ind w:left="131"/>
              <w:rPr>
                <w:rFonts w:ascii="宋体" w:hAnsi="宋体" w:eastAsia="宋体" w:cs="宋体"/>
                <w:sz w:val="18"/>
                <w:szCs w:val="18"/>
              </w:rPr>
            </w:pPr>
            <w:r>
              <w:rPr>
                <w:rFonts w:ascii="宋体" w:hAnsi="宋体" w:eastAsia="宋体" w:cs="宋体"/>
                <w:spacing w:val="-9"/>
                <w:sz w:val="18"/>
                <w:szCs w:val="18"/>
              </w:rPr>
              <w:t>(9)</w:t>
            </w:r>
          </w:p>
        </w:tc>
        <w:tc>
          <w:tcPr>
            <w:tcW w:w="539" w:type="dxa"/>
            <w:vAlign w:val="top"/>
          </w:tcPr>
          <w:p w14:paraId="02107040">
            <w:pPr>
              <w:spacing w:before="78" w:line="222" w:lineRule="auto"/>
              <w:ind w:left="82"/>
              <w:rPr>
                <w:rFonts w:ascii="宋体" w:hAnsi="宋体" w:eastAsia="宋体" w:cs="宋体"/>
                <w:sz w:val="18"/>
                <w:szCs w:val="18"/>
              </w:rPr>
            </w:pPr>
            <w:r>
              <w:rPr>
                <w:rFonts w:ascii="宋体" w:hAnsi="宋体" w:eastAsia="宋体" w:cs="宋体"/>
                <w:spacing w:val="-8"/>
                <w:sz w:val="18"/>
                <w:szCs w:val="18"/>
              </w:rPr>
              <w:t>(10)</w:t>
            </w:r>
          </w:p>
        </w:tc>
        <w:tc>
          <w:tcPr>
            <w:tcW w:w="549" w:type="dxa"/>
            <w:vAlign w:val="top"/>
          </w:tcPr>
          <w:p w14:paraId="3F6238A5">
            <w:pPr>
              <w:spacing w:before="78" w:line="222" w:lineRule="auto"/>
              <w:ind w:left="83"/>
              <w:rPr>
                <w:rFonts w:ascii="宋体" w:hAnsi="宋体" w:eastAsia="宋体" w:cs="宋体"/>
                <w:sz w:val="18"/>
                <w:szCs w:val="18"/>
              </w:rPr>
            </w:pPr>
            <w:r>
              <w:rPr>
                <w:rFonts w:ascii="宋体" w:hAnsi="宋体" w:eastAsia="宋体" w:cs="宋体"/>
                <w:spacing w:val="-8"/>
                <w:sz w:val="18"/>
                <w:szCs w:val="18"/>
              </w:rPr>
              <w:t>(11)</w:t>
            </w:r>
          </w:p>
        </w:tc>
        <w:tc>
          <w:tcPr>
            <w:tcW w:w="549" w:type="dxa"/>
            <w:vAlign w:val="top"/>
          </w:tcPr>
          <w:p w14:paraId="0B05D1A2">
            <w:pPr>
              <w:spacing w:before="78" w:line="222" w:lineRule="auto"/>
              <w:ind w:left="84"/>
              <w:rPr>
                <w:rFonts w:ascii="宋体" w:hAnsi="宋体" w:eastAsia="宋体" w:cs="宋体"/>
                <w:sz w:val="18"/>
                <w:szCs w:val="18"/>
              </w:rPr>
            </w:pPr>
            <w:r>
              <w:rPr>
                <w:rFonts w:ascii="宋体" w:hAnsi="宋体" w:eastAsia="宋体" w:cs="宋体"/>
                <w:spacing w:val="-8"/>
                <w:sz w:val="18"/>
                <w:szCs w:val="18"/>
              </w:rPr>
              <w:t>(12)</w:t>
            </w:r>
          </w:p>
        </w:tc>
        <w:tc>
          <w:tcPr>
            <w:tcW w:w="559" w:type="dxa"/>
            <w:vAlign w:val="top"/>
          </w:tcPr>
          <w:p w14:paraId="3AFD7913">
            <w:pPr>
              <w:spacing w:before="78" w:line="222" w:lineRule="auto"/>
              <w:ind w:left="95"/>
              <w:rPr>
                <w:rFonts w:ascii="宋体" w:hAnsi="宋体" w:eastAsia="宋体" w:cs="宋体"/>
                <w:sz w:val="18"/>
                <w:szCs w:val="18"/>
              </w:rPr>
            </w:pPr>
            <w:r>
              <w:rPr>
                <w:rFonts w:ascii="宋体" w:hAnsi="宋体" w:eastAsia="宋体" w:cs="宋体"/>
                <w:spacing w:val="-8"/>
                <w:sz w:val="18"/>
                <w:szCs w:val="18"/>
              </w:rPr>
              <w:t>(13)</w:t>
            </w:r>
          </w:p>
        </w:tc>
        <w:tc>
          <w:tcPr>
            <w:tcW w:w="549" w:type="dxa"/>
            <w:vAlign w:val="top"/>
          </w:tcPr>
          <w:p w14:paraId="69A0B6AF">
            <w:pPr>
              <w:spacing w:before="78" w:line="222" w:lineRule="auto"/>
              <w:ind w:left="86"/>
              <w:rPr>
                <w:rFonts w:ascii="宋体" w:hAnsi="宋体" w:eastAsia="宋体" w:cs="宋体"/>
                <w:sz w:val="18"/>
                <w:szCs w:val="18"/>
              </w:rPr>
            </w:pPr>
            <w:r>
              <w:rPr>
                <w:rFonts w:ascii="宋体" w:hAnsi="宋体" w:eastAsia="宋体" w:cs="宋体"/>
                <w:spacing w:val="-8"/>
                <w:sz w:val="18"/>
                <w:szCs w:val="18"/>
              </w:rPr>
              <w:t>(14)</w:t>
            </w:r>
          </w:p>
        </w:tc>
        <w:tc>
          <w:tcPr>
            <w:tcW w:w="549" w:type="dxa"/>
            <w:vAlign w:val="top"/>
          </w:tcPr>
          <w:p w14:paraId="6A82189D">
            <w:pPr>
              <w:spacing w:before="78" w:line="222" w:lineRule="auto"/>
              <w:ind w:left="87"/>
              <w:rPr>
                <w:rFonts w:ascii="宋体" w:hAnsi="宋体" w:eastAsia="宋体" w:cs="宋体"/>
                <w:sz w:val="18"/>
                <w:szCs w:val="18"/>
              </w:rPr>
            </w:pPr>
            <w:r>
              <w:rPr>
                <w:rFonts w:ascii="宋体" w:hAnsi="宋体" w:eastAsia="宋体" w:cs="宋体"/>
                <w:spacing w:val="-8"/>
                <w:sz w:val="18"/>
                <w:szCs w:val="18"/>
              </w:rPr>
              <w:t>(15)</w:t>
            </w:r>
          </w:p>
        </w:tc>
        <w:tc>
          <w:tcPr>
            <w:tcW w:w="540" w:type="dxa"/>
            <w:vAlign w:val="top"/>
          </w:tcPr>
          <w:p w14:paraId="2D01ADEE">
            <w:pPr>
              <w:spacing w:before="78" w:line="222" w:lineRule="auto"/>
              <w:ind w:left="88"/>
              <w:rPr>
                <w:rFonts w:ascii="宋体" w:hAnsi="宋体" w:eastAsia="宋体" w:cs="宋体"/>
                <w:sz w:val="18"/>
                <w:szCs w:val="18"/>
              </w:rPr>
            </w:pPr>
            <w:r>
              <w:rPr>
                <w:rFonts w:ascii="宋体" w:hAnsi="宋体" w:eastAsia="宋体" w:cs="宋体"/>
                <w:spacing w:val="-8"/>
                <w:sz w:val="18"/>
                <w:szCs w:val="18"/>
              </w:rPr>
              <w:t>(16)</w:t>
            </w:r>
          </w:p>
        </w:tc>
        <w:tc>
          <w:tcPr>
            <w:tcW w:w="569" w:type="dxa"/>
            <w:vAlign w:val="top"/>
          </w:tcPr>
          <w:p w14:paraId="439C515B">
            <w:pPr>
              <w:spacing w:before="78" w:line="222" w:lineRule="auto"/>
              <w:ind w:left="98"/>
              <w:rPr>
                <w:rFonts w:ascii="宋体" w:hAnsi="宋体" w:eastAsia="宋体" w:cs="宋体"/>
                <w:sz w:val="18"/>
                <w:szCs w:val="18"/>
              </w:rPr>
            </w:pPr>
            <w:r>
              <w:rPr>
                <w:rFonts w:ascii="宋体" w:hAnsi="宋体" w:eastAsia="宋体" w:cs="宋体"/>
                <w:spacing w:val="-8"/>
                <w:sz w:val="18"/>
                <w:szCs w:val="18"/>
              </w:rPr>
              <w:t>(17)</w:t>
            </w:r>
          </w:p>
        </w:tc>
        <w:tc>
          <w:tcPr>
            <w:tcW w:w="360" w:type="dxa"/>
            <w:vAlign w:val="top"/>
          </w:tcPr>
          <w:p w14:paraId="2BB87B83">
            <w:pPr>
              <w:spacing w:before="78" w:line="222" w:lineRule="auto"/>
              <w:jc w:val="right"/>
              <w:rPr>
                <w:rFonts w:ascii="宋体" w:hAnsi="宋体" w:eastAsia="宋体" w:cs="宋体"/>
                <w:sz w:val="18"/>
                <w:szCs w:val="18"/>
              </w:rPr>
            </w:pPr>
            <w:r>
              <w:rPr>
                <w:rFonts w:ascii="宋体" w:hAnsi="宋体" w:eastAsia="宋体" w:cs="宋体"/>
                <w:spacing w:val="-10"/>
                <w:sz w:val="18"/>
                <w:szCs w:val="18"/>
              </w:rPr>
              <w:t>(18)</w:t>
            </w:r>
          </w:p>
        </w:tc>
        <w:tc>
          <w:tcPr>
            <w:tcW w:w="370" w:type="dxa"/>
            <w:vAlign w:val="top"/>
          </w:tcPr>
          <w:p w14:paraId="14A7743B">
            <w:pPr>
              <w:spacing w:before="78" w:line="222" w:lineRule="auto"/>
              <w:ind w:left="19"/>
              <w:rPr>
                <w:rFonts w:ascii="宋体" w:hAnsi="宋体" w:eastAsia="宋体" w:cs="宋体"/>
                <w:sz w:val="18"/>
                <w:szCs w:val="18"/>
              </w:rPr>
            </w:pPr>
            <w:r>
              <w:rPr>
                <w:rFonts w:ascii="宋体" w:hAnsi="宋体" w:eastAsia="宋体" w:cs="宋体"/>
                <w:spacing w:val="-8"/>
                <w:sz w:val="18"/>
                <w:szCs w:val="18"/>
              </w:rPr>
              <w:t>(19)</w:t>
            </w:r>
          </w:p>
        </w:tc>
        <w:tc>
          <w:tcPr>
            <w:tcW w:w="360" w:type="dxa"/>
            <w:vAlign w:val="top"/>
          </w:tcPr>
          <w:p w14:paraId="100298FD">
            <w:pPr>
              <w:spacing w:before="78" w:line="222" w:lineRule="auto"/>
              <w:jc w:val="right"/>
              <w:rPr>
                <w:rFonts w:ascii="宋体" w:hAnsi="宋体" w:eastAsia="宋体" w:cs="宋体"/>
                <w:sz w:val="18"/>
                <w:szCs w:val="18"/>
              </w:rPr>
            </w:pPr>
            <w:r>
              <w:rPr>
                <w:rFonts w:ascii="宋体" w:hAnsi="宋体" w:eastAsia="宋体" w:cs="宋体"/>
                <w:spacing w:val="-8"/>
                <w:sz w:val="18"/>
                <w:szCs w:val="18"/>
              </w:rPr>
              <w:t>(20)</w:t>
            </w:r>
          </w:p>
        </w:tc>
        <w:tc>
          <w:tcPr>
            <w:tcW w:w="549" w:type="dxa"/>
            <w:vAlign w:val="top"/>
          </w:tcPr>
          <w:p w14:paraId="26090341">
            <w:pPr>
              <w:spacing w:before="78" w:line="222" w:lineRule="auto"/>
              <w:ind w:left="89"/>
              <w:rPr>
                <w:rFonts w:ascii="宋体" w:hAnsi="宋体" w:eastAsia="宋体" w:cs="宋体"/>
                <w:sz w:val="18"/>
                <w:szCs w:val="18"/>
              </w:rPr>
            </w:pPr>
            <w:r>
              <w:rPr>
                <w:rFonts w:ascii="宋体" w:hAnsi="宋体" w:eastAsia="宋体" w:cs="宋体"/>
                <w:spacing w:val="-8"/>
                <w:sz w:val="18"/>
                <w:szCs w:val="18"/>
              </w:rPr>
              <w:t>(21)</w:t>
            </w:r>
          </w:p>
        </w:tc>
        <w:tc>
          <w:tcPr>
            <w:tcW w:w="375" w:type="dxa"/>
            <w:vAlign w:val="top"/>
          </w:tcPr>
          <w:p w14:paraId="01D8B3D6">
            <w:pPr>
              <w:spacing w:before="78" w:line="222" w:lineRule="auto"/>
              <w:ind w:left="20"/>
              <w:rPr>
                <w:rFonts w:ascii="宋体" w:hAnsi="宋体" w:eastAsia="宋体" w:cs="宋体"/>
                <w:sz w:val="18"/>
                <w:szCs w:val="18"/>
              </w:rPr>
            </w:pPr>
            <w:r>
              <w:rPr>
                <w:rFonts w:ascii="宋体" w:hAnsi="宋体" w:eastAsia="宋体" w:cs="宋体"/>
                <w:spacing w:val="-8"/>
                <w:sz w:val="18"/>
                <w:szCs w:val="18"/>
              </w:rPr>
              <w:t>(22)</w:t>
            </w:r>
          </w:p>
        </w:tc>
      </w:tr>
    </w:tbl>
    <w:p w14:paraId="4BFA92C1">
      <w:pPr>
        <w:pStyle w:val="2"/>
        <w:spacing w:before="176" w:line="219" w:lineRule="auto"/>
        <w:ind w:left="695"/>
      </w:pPr>
      <w:r>
        <w:rPr>
          <w:spacing w:val="9"/>
        </w:rPr>
        <w:t>表7.7中各序号及相关栏的填写说明如下。</w:t>
      </w:r>
    </w:p>
    <w:p w14:paraId="047DDF1B">
      <w:pPr>
        <w:pStyle w:val="2"/>
        <w:spacing w:before="80" w:line="219" w:lineRule="auto"/>
        <w:ind w:left="695"/>
      </w:pPr>
      <w:r>
        <w:rPr>
          <w:spacing w:val="-25"/>
        </w:rPr>
        <w:t>(1):“产品名称(标识)”指被分析产品的名称与标识(如产</w:t>
      </w:r>
      <w:r>
        <w:rPr>
          <w:spacing w:val="-26"/>
        </w:rPr>
        <w:t>品代号、工程图号等);</w:t>
      </w:r>
    </w:p>
    <w:p w14:paraId="65C1B87F">
      <w:pPr>
        <w:pStyle w:val="2"/>
        <w:spacing w:before="108"/>
        <w:ind w:left="135" w:right="127" w:firstLine="560"/>
      </w:pPr>
      <w:r>
        <w:rPr>
          <w:spacing w:val="1"/>
        </w:rPr>
        <w:t>(2):“所属装备/型号”指被分析的产品安</w:t>
      </w:r>
      <w:r>
        <w:t xml:space="preserve">装在哪一种装备上，如果该产品 </w:t>
      </w:r>
      <w:r>
        <w:rPr>
          <w:spacing w:val="-4"/>
        </w:rPr>
        <w:t>被多个装备选用，则应一一列出；</w:t>
      </w:r>
    </w:p>
    <w:p w14:paraId="56F44D82">
      <w:pPr>
        <w:pStyle w:val="2"/>
        <w:spacing w:before="110" w:line="219" w:lineRule="auto"/>
        <w:ind w:left="695"/>
      </w:pPr>
      <w:r>
        <w:rPr>
          <w:spacing w:val="-10"/>
        </w:rPr>
        <w:t>(3):“生产过程”指被分析产品工艺过程的</w:t>
      </w:r>
      <w:r>
        <w:rPr>
          <w:spacing w:val="-11"/>
        </w:rPr>
        <w:t>名称(如××加工、××装配等);</w:t>
      </w:r>
    </w:p>
    <w:p w14:paraId="453E4775">
      <w:pPr>
        <w:pStyle w:val="2"/>
        <w:spacing w:before="98" w:line="244" w:lineRule="auto"/>
        <w:ind w:right="122" w:firstLine="695"/>
      </w:pPr>
      <w:r>
        <w:rPr>
          <w:spacing w:val="-11"/>
        </w:rPr>
        <w:t>(4):“工序名称”指被分析的过程名称，该名称应与“工艺过程流表”中的各</w:t>
      </w:r>
      <w:r>
        <w:rPr>
          <w:spacing w:val="17"/>
        </w:rPr>
        <w:t xml:space="preserve"> </w:t>
      </w:r>
      <w:r>
        <w:rPr>
          <w:spacing w:val="-6"/>
        </w:rPr>
        <w:t>“工序流程”的名称相一致；</w:t>
      </w:r>
    </w:p>
    <w:p w14:paraId="79CA7216">
      <w:pPr>
        <w:pStyle w:val="2"/>
        <w:spacing w:before="107" w:line="256" w:lineRule="auto"/>
        <w:ind w:left="135" w:firstLine="560"/>
      </w:pPr>
      <w:r>
        <w:rPr>
          <w:spacing w:val="-7"/>
        </w:rPr>
        <w:t>(5):“工序功能/要求”指被分析的过程或作业的功能(如车、铣、钻、焊接、</w:t>
      </w:r>
      <w:r>
        <w:rPr>
          <w:spacing w:val="3"/>
        </w:rPr>
        <w:t xml:space="preserve"> </w:t>
      </w:r>
      <w:r>
        <w:rPr>
          <w:spacing w:val="9"/>
        </w:rPr>
        <w:t>装配等),并记录被分析对象的相关过程/作业编号。如果过程包括许多具有不</w:t>
      </w:r>
      <w:r>
        <w:rPr>
          <w:spacing w:val="1"/>
        </w:rPr>
        <w:t xml:space="preserve">  </w:t>
      </w:r>
      <w:r>
        <w:rPr>
          <w:spacing w:val="4"/>
        </w:rPr>
        <w:t>同故障模式的作业(例如装配),则可以把这些作业以独立项目逐一列出；</w:t>
      </w:r>
    </w:p>
    <w:p w14:paraId="19E622CB">
      <w:pPr>
        <w:pStyle w:val="2"/>
        <w:spacing w:before="115" w:line="241" w:lineRule="auto"/>
        <w:ind w:left="135" w:right="124" w:firstLine="560"/>
      </w:pPr>
      <w:r>
        <w:rPr>
          <w:spacing w:val="1"/>
        </w:rPr>
        <w:t>(6):“故障模式”工艺故障模式(简称故障模式)</w:t>
      </w:r>
      <w:r>
        <w:t xml:space="preserve">是指不能满足过程要求和/ </w:t>
      </w:r>
      <w:r>
        <w:rPr>
          <w:spacing w:val="1"/>
        </w:rPr>
        <w:t>或设计意图的缺陷；</w:t>
      </w:r>
    </w:p>
    <w:p w14:paraId="3DE87803">
      <w:pPr>
        <w:pStyle w:val="2"/>
        <w:spacing w:before="118" w:line="219" w:lineRule="auto"/>
        <w:ind w:left="695"/>
      </w:pPr>
      <w:r>
        <w:rPr>
          <w:spacing w:val="-3"/>
        </w:rPr>
        <w:t>(7):“故障原因”故障模式原因是指该故障模式为何发生；</w:t>
      </w:r>
    </w:p>
    <w:p w14:paraId="7D8E3522">
      <w:pPr>
        <w:pStyle w:val="2"/>
        <w:spacing w:before="99" w:line="260" w:lineRule="auto"/>
        <w:ind w:left="135" w:right="20" w:firstLine="560"/>
      </w:pPr>
      <w:r>
        <w:rPr>
          <w:spacing w:val="1"/>
        </w:rPr>
        <w:t>(8)～(10):“故障影响”工艺故障模式影响是指该故障模式对下道</w:t>
      </w:r>
      <w:r>
        <w:t xml:space="preserve">工序/后 </w:t>
      </w:r>
      <w:r>
        <w:rPr>
          <w:spacing w:val="1"/>
        </w:rPr>
        <w:t>续的工序和/或最终产品的影响。故障影响可分为对下道工序、组件和装备的影</w:t>
      </w:r>
      <w:r>
        <w:rPr>
          <w:spacing w:val="10"/>
        </w:rPr>
        <w:t xml:space="preserve"> </w:t>
      </w:r>
      <w:r>
        <w:t>响。对下道工序/后续工序而言：故障模式影响应该用过程/工序特性进行描述；</w:t>
      </w:r>
      <w:r>
        <w:rPr>
          <w:spacing w:val="13"/>
        </w:rPr>
        <w:t xml:space="preserve"> </w:t>
      </w:r>
      <w:r>
        <w:t>对最终产品而言：故障模式影响应该用产品的特</w:t>
      </w:r>
      <w:r>
        <w:rPr>
          <w:spacing w:val="-1"/>
        </w:rPr>
        <w:t>性进行描述；</w:t>
      </w:r>
    </w:p>
    <w:p w14:paraId="69B436F6">
      <w:pPr>
        <w:pStyle w:val="2"/>
        <w:spacing w:before="98" w:line="243" w:lineRule="auto"/>
        <w:ind w:left="135" w:right="103" w:firstLine="560"/>
      </w:pPr>
      <w:r>
        <w:rPr>
          <w:spacing w:val="-2"/>
        </w:rPr>
        <w:t>(11)～(14):“严酷度(</w:t>
      </w:r>
      <w:r>
        <w:rPr>
          <w:rFonts w:ascii="Times New Roman" w:hAnsi="Times New Roman" w:eastAsia="Times New Roman" w:cs="Times New Roman"/>
          <w:spacing w:val="-2"/>
        </w:rPr>
        <w:t>S)”</w:t>
      </w:r>
      <w:r>
        <w:rPr>
          <w:spacing w:val="-2"/>
        </w:rPr>
        <w:t>、</w:t>
      </w:r>
      <w:r>
        <w:rPr>
          <w:rFonts w:ascii="Times New Roman" w:hAnsi="Times New Roman" w:eastAsia="Times New Roman" w:cs="Times New Roman"/>
          <w:spacing w:val="-2"/>
        </w:rPr>
        <w:t>“</w:t>
      </w:r>
      <w:r>
        <w:rPr>
          <w:rFonts w:ascii="Times New Roman" w:hAnsi="Times New Roman" w:eastAsia="Times New Roman" w:cs="Times New Roman"/>
          <w:spacing w:val="34"/>
        </w:rPr>
        <w:t xml:space="preserve"> </w:t>
      </w:r>
      <w:r>
        <w:rPr>
          <w:spacing w:val="-2"/>
        </w:rPr>
        <w:t>发生概率(</w:t>
      </w:r>
      <w:r>
        <w:rPr>
          <w:rFonts w:ascii="Times New Roman" w:hAnsi="Times New Roman" w:eastAsia="Times New Roman" w:cs="Times New Roman"/>
          <w:spacing w:val="-2"/>
        </w:rPr>
        <w:t>O)”</w:t>
      </w:r>
      <w:r>
        <w:rPr>
          <w:rFonts w:ascii="Times New Roman" w:hAnsi="Times New Roman" w:eastAsia="Times New Roman" w:cs="Times New Roman"/>
          <w:spacing w:val="-38"/>
        </w:rPr>
        <w:t xml:space="preserve"> </w:t>
      </w:r>
      <w:r>
        <w:rPr>
          <w:spacing w:val="-2"/>
        </w:rPr>
        <w:t>、</w:t>
      </w:r>
      <w:r>
        <w:rPr>
          <w:rFonts w:ascii="Times New Roman" w:hAnsi="Times New Roman" w:eastAsia="Times New Roman" w:cs="Times New Roman"/>
          <w:spacing w:val="-2"/>
        </w:rPr>
        <w:t>“</w:t>
      </w:r>
      <w:r>
        <w:rPr>
          <w:spacing w:val="-2"/>
        </w:rPr>
        <w:t>探测度(</w:t>
      </w:r>
      <w:r>
        <w:rPr>
          <w:rFonts w:ascii="Times New Roman" w:hAnsi="Times New Roman" w:eastAsia="Times New Roman" w:cs="Times New Roman"/>
          <w:spacing w:val="-2"/>
        </w:rPr>
        <w:t>D)”</w:t>
      </w:r>
      <w:r>
        <w:rPr>
          <w:rFonts w:ascii="Times New Roman" w:hAnsi="Times New Roman" w:eastAsia="Times New Roman" w:cs="Times New Roman"/>
          <w:spacing w:val="-38"/>
        </w:rPr>
        <w:t xml:space="preserve"> </w:t>
      </w:r>
      <w:r>
        <w:rPr>
          <w:spacing w:val="-2"/>
        </w:rPr>
        <w:t>、</w:t>
      </w:r>
      <w:r>
        <w:rPr>
          <w:rFonts w:ascii="Times New Roman" w:hAnsi="Times New Roman" w:eastAsia="Times New Roman" w:cs="Times New Roman"/>
          <w:spacing w:val="-2"/>
        </w:rPr>
        <w:t xml:space="preserve">RPN </w:t>
      </w:r>
      <w:r>
        <w:rPr>
          <w:spacing w:val="-2"/>
        </w:rPr>
        <w:t>指风险优</w:t>
      </w:r>
      <w:r>
        <w:t xml:space="preserve"> </w:t>
      </w:r>
      <w:r>
        <w:rPr>
          <w:spacing w:val="6"/>
        </w:rPr>
        <w:t>先数(</w:t>
      </w:r>
      <w:r>
        <w:rPr>
          <w:rFonts w:ascii="Times New Roman" w:hAnsi="Times New Roman" w:eastAsia="Times New Roman" w:cs="Times New Roman"/>
        </w:rPr>
        <w:t>RPN</w:t>
      </w:r>
      <w:r>
        <w:rPr>
          <w:rFonts w:ascii="Times New Roman" w:hAnsi="Times New Roman" w:eastAsia="Times New Roman" w:cs="Times New Roman"/>
          <w:spacing w:val="6"/>
        </w:rPr>
        <w:t>)</w:t>
      </w:r>
      <w:r>
        <w:rPr>
          <w:rFonts w:ascii="Times New Roman" w:hAnsi="Times New Roman" w:eastAsia="Times New Roman" w:cs="Times New Roman"/>
          <w:spacing w:val="42"/>
          <w:w w:val="101"/>
        </w:rPr>
        <w:t xml:space="preserve"> </w:t>
      </w:r>
      <w:r>
        <w:rPr>
          <w:spacing w:val="6"/>
        </w:rPr>
        <w:t>是故障模式严酷度(</w:t>
      </w:r>
      <w:r>
        <w:rPr>
          <w:spacing w:val="-72"/>
        </w:rPr>
        <w:t xml:space="preserve"> </w:t>
      </w:r>
      <w:r>
        <w:rPr>
          <w:rFonts w:ascii="Times New Roman" w:hAnsi="Times New Roman" w:eastAsia="Times New Roman" w:cs="Times New Roman"/>
          <w:spacing w:val="6"/>
        </w:rPr>
        <w:t>S)</w:t>
      </w:r>
      <w:r>
        <w:rPr>
          <w:spacing w:val="6"/>
        </w:rPr>
        <w:t>、故障模式发生概率(</w:t>
      </w:r>
      <w:r>
        <w:rPr>
          <w:spacing w:val="-62"/>
        </w:rPr>
        <w:t xml:space="preserve"> </w:t>
      </w:r>
      <w:r>
        <w:rPr>
          <w:rFonts w:ascii="Times New Roman" w:hAnsi="Times New Roman" w:eastAsia="Times New Roman" w:cs="Times New Roman"/>
          <w:spacing w:val="6"/>
        </w:rPr>
        <w:t xml:space="preserve">O) </w:t>
      </w:r>
      <w:r>
        <w:rPr>
          <w:spacing w:val="6"/>
        </w:rPr>
        <w:t>和故障模式探测度</w:t>
      </w:r>
    </w:p>
    <w:p w14:paraId="0031632F">
      <w:pPr>
        <w:pStyle w:val="2"/>
        <w:spacing w:before="99" w:line="276" w:lineRule="auto"/>
        <w:ind w:left="135" w:right="113"/>
        <w:jc w:val="both"/>
      </w:pPr>
      <w:r>
        <w:rPr>
          <w:spacing w:val="3"/>
        </w:rPr>
        <w:t>(</w:t>
      </w:r>
      <w:r>
        <w:rPr>
          <w:rFonts w:ascii="Times New Roman" w:hAnsi="Times New Roman" w:eastAsia="Times New Roman" w:cs="Times New Roman"/>
          <w:spacing w:val="3"/>
        </w:rPr>
        <w:t>D)</w:t>
      </w:r>
      <w:r>
        <w:rPr>
          <w:spacing w:val="3"/>
        </w:rPr>
        <w:t>的乘积。</w:t>
      </w:r>
      <w:r>
        <w:rPr>
          <w:spacing w:val="-35"/>
        </w:rPr>
        <w:t xml:space="preserve"> </w:t>
      </w:r>
      <w:r>
        <w:rPr>
          <w:rFonts w:ascii="Times New Roman" w:hAnsi="Times New Roman" w:eastAsia="Times New Roman" w:cs="Times New Roman"/>
        </w:rPr>
        <w:t>RPN</w:t>
      </w:r>
      <w:r>
        <w:rPr>
          <w:rFonts w:ascii="Times New Roman" w:hAnsi="Times New Roman" w:eastAsia="Times New Roman" w:cs="Times New Roman"/>
          <w:spacing w:val="62"/>
        </w:rPr>
        <w:t xml:space="preserve"> </w:t>
      </w:r>
      <w:r>
        <w:rPr>
          <w:spacing w:val="3"/>
        </w:rPr>
        <w:t>是对故障模式风险等级的评价，它反映了对故障模</w:t>
      </w:r>
      <w:r>
        <w:rPr>
          <w:spacing w:val="2"/>
        </w:rPr>
        <w:t>式发生的</w:t>
      </w:r>
      <w:r>
        <w:t xml:space="preserve"> </w:t>
      </w:r>
      <w:r>
        <w:rPr>
          <w:spacing w:val="9"/>
        </w:rPr>
        <w:t>可能性及其后果严重性的综合度量。若</w:t>
      </w:r>
      <w:r>
        <w:rPr>
          <w:rFonts w:ascii="Times New Roman" w:hAnsi="Times New Roman" w:eastAsia="Times New Roman" w:cs="Times New Roman"/>
        </w:rPr>
        <w:t>RPN</w:t>
      </w:r>
      <w:r>
        <w:rPr>
          <w:rFonts w:ascii="Times New Roman" w:hAnsi="Times New Roman" w:eastAsia="Times New Roman" w:cs="Times New Roman"/>
          <w:spacing w:val="25"/>
        </w:rPr>
        <w:t xml:space="preserve">  </w:t>
      </w:r>
      <w:r>
        <w:rPr>
          <w:spacing w:val="9"/>
        </w:rPr>
        <w:t>值越大，则该故障模式的危害性</w:t>
      </w:r>
      <w:r>
        <w:t xml:space="preserve"> </w:t>
      </w:r>
      <w:r>
        <w:rPr>
          <w:spacing w:val="11"/>
        </w:rPr>
        <w:t>越大。故障模式严酷度(</w:t>
      </w:r>
      <w:r>
        <w:rPr>
          <w:rFonts w:ascii="Times New Roman" w:hAnsi="Times New Roman" w:eastAsia="Times New Roman" w:cs="Times New Roman"/>
          <w:spacing w:val="11"/>
        </w:rPr>
        <w:t xml:space="preserve">S):  </w:t>
      </w:r>
      <w:r>
        <w:rPr>
          <w:spacing w:val="11"/>
        </w:rPr>
        <w:t>是指过程中的某个故障模式可能产生的最严重的</w:t>
      </w:r>
      <w:r>
        <w:rPr>
          <w:spacing w:val="8"/>
        </w:rPr>
        <w:t xml:space="preserve"> </w:t>
      </w:r>
      <w:r>
        <w:rPr>
          <w:spacing w:val="3"/>
        </w:rPr>
        <w:t>影响程度；故障模式发生概率(</w:t>
      </w:r>
      <w:r>
        <w:rPr>
          <w:rFonts w:ascii="Times New Roman" w:hAnsi="Times New Roman" w:eastAsia="Times New Roman" w:cs="Times New Roman"/>
          <w:spacing w:val="3"/>
        </w:rPr>
        <w:t>O):</w:t>
      </w:r>
      <w:r>
        <w:rPr>
          <w:rFonts w:ascii="Times New Roman" w:hAnsi="Times New Roman" w:eastAsia="Times New Roman" w:cs="Times New Roman"/>
          <w:spacing w:val="63"/>
        </w:rPr>
        <w:t xml:space="preserve"> </w:t>
      </w:r>
      <w:r>
        <w:rPr>
          <w:spacing w:val="3"/>
        </w:rPr>
        <w:t>是指某个故</w:t>
      </w:r>
      <w:r>
        <w:rPr>
          <w:spacing w:val="2"/>
        </w:rPr>
        <w:t>障模式发生的可能性；故障模式</w:t>
      </w:r>
      <w:r>
        <w:t xml:space="preserve"> </w:t>
      </w:r>
      <w:r>
        <w:rPr>
          <w:spacing w:val="4"/>
        </w:rPr>
        <w:t>探测度(</w:t>
      </w:r>
      <w:r>
        <w:rPr>
          <w:rFonts w:ascii="Times New Roman" w:hAnsi="Times New Roman" w:eastAsia="Times New Roman" w:cs="Times New Roman"/>
          <w:spacing w:val="4"/>
        </w:rPr>
        <w:t>D):</w:t>
      </w:r>
      <w:r>
        <w:rPr>
          <w:rFonts w:ascii="Times New Roman" w:hAnsi="Times New Roman" w:eastAsia="Times New Roman" w:cs="Times New Roman"/>
          <w:spacing w:val="41"/>
          <w:w w:val="101"/>
        </w:rPr>
        <w:t xml:space="preserve"> </w:t>
      </w:r>
      <w:r>
        <w:rPr>
          <w:spacing w:val="4"/>
        </w:rPr>
        <w:t>是描述在过程控制中故障模式被探测发现的可能性；</w:t>
      </w:r>
    </w:p>
    <w:p w14:paraId="78884315">
      <w:pPr>
        <w:pStyle w:val="2"/>
        <w:spacing w:before="54" w:line="219" w:lineRule="auto"/>
        <w:ind w:left="695"/>
      </w:pPr>
      <w:r>
        <w:rPr>
          <w:spacing w:val="1"/>
        </w:rPr>
        <w:t>(15):“改进措施”指任何改进措施均应按严酷度、发生率和探</w:t>
      </w:r>
      <w:r>
        <w:t>测度的顺序</w:t>
      </w:r>
    </w:p>
    <w:p w14:paraId="70EF4804">
      <w:pPr>
        <w:spacing w:line="219" w:lineRule="auto"/>
        <w:sectPr>
          <w:footerReference r:id="rId371" w:type="default"/>
          <w:pgSz w:w="11910" w:h="17130"/>
          <w:pgMar w:top="1456" w:right="904" w:bottom="1610" w:left="1384" w:header="0" w:footer="1324" w:gutter="0"/>
          <w:cols w:space="720" w:num="1"/>
        </w:sectPr>
      </w:pPr>
    </w:p>
    <w:p w14:paraId="13949288">
      <w:pPr>
        <w:pStyle w:val="2"/>
        <w:spacing w:before="85" w:line="283" w:lineRule="auto"/>
        <w:jc w:val="both"/>
      </w:pPr>
      <w:r>
        <w:rPr>
          <w:spacing w:val="12"/>
        </w:rPr>
        <w:t>减少级别为出发点。一般不论</w:t>
      </w:r>
      <w:r>
        <w:rPr>
          <w:spacing w:val="-59"/>
        </w:rPr>
        <w:t xml:space="preserve"> </w:t>
      </w:r>
      <w:r>
        <w:rPr>
          <w:rFonts w:ascii="Times New Roman" w:hAnsi="Times New Roman" w:eastAsia="Times New Roman" w:cs="Times New Roman"/>
        </w:rPr>
        <w:t>RPN</w:t>
      </w:r>
      <w:r>
        <w:rPr>
          <w:rFonts w:ascii="Times New Roman" w:hAnsi="Times New Roman" w:eastAsia="Times New Roman" w:cs="Times New Roman"/>
          <w:spacing w:val="62"/>
        </w:rPr>
        <w:t xml:space="preserve"> </w:t>
      </w:r>
      <w:r>
        <w:rPr>
          <w:spacing w:val="12"/>
        </w:rPr>
        <w:t>的大小如何，对严酷度为9或10的项目应</w:t>
      </w:r>
      <w:r>
        <w:t xml:space="preserve">  </w:t>
      </w:r>
      <w:r>
        <w:rPr>
          <w:spacing w:val="1"/>
        </w:rPr>
        <w:t xml:space="preserve">通过现有的设计措施、或过程控制或预防/改进措施等，以满足降低该风险的要  </w:t>
      </w:r>
      <w:r>
        <w:rPr>
          <w:spacing w:val="4"/>
        </w:rPr>
        <w:t>求。在所有的状况下，若某故障模式的后果可能对制造/组装人员产生危害时，</w:t>
      </w:r>
      <w:r>
        <w:rPr>
          <w:spacing w:val="18"/>
        </w:rPr>
        <w:t xml:space="preserve"> </w:t>
      </w:r>
      <w:r>
        <w:rPr>
          <w:spacing w:val="-7"/>
        </w:rPr>
        <w:t>应该采取预防/改进措施，以排除、减轻、控制或避免该故障模式的发生。对某故</w:t>
      </w:r>
      <w:r>
        <w:rPr>
          <w:spacing w:val="8"/>
        </w:rPr>
        <w:t xml:space="preserve">  </w:t>
      </w:r>
      <w:r>
        <w:rPr>
          <w:spacing w:val="-17"/>
        </w:rPr>
        <w:t>障模式确无改进措施，则在此栏应填写“无”,</w:t>
      </w:r>
      <w:r>
        <w:rPr>
          <w:spacing w:val="-18"/>
        </w:rPr>
        <w:t>但不能均填“无”;</w:t>
      </w:r>
    </w:p>
    <w:p w14:paraId="66DE878D">
      <w:pPr>
        <w:pStyle w:val="2"/>
        <w:spacing w:line="219" w:lineRule="auto"/>
        <w:jc w:val="right"/>
      </w:pPr>
      <w:r>
        <w:rPr>
          <w:spacing w:val="-11"/>
        </w:rPr>
        <w:t>(16):“责任部门”指负责改进措施实施的部门或个人，以及预计完成的日期；</w:t>
      </w:r>
    </w:p>
    <w:p w14:paraId="46DA8995">
      <w:pPr>
        <w:pStyle w:val="2"/>
        <w:spacing w:before="118" w:line="261" w:lineRule="auto"/>
        <w:ind w:right="122" w:firstLine="560"/>
      </w:pPr>
      <w:r>
        <w:t>(17):“改进措施执行情况”指在实施措施后，简要记录具体措施情况和生</w:t>
      </w:r>
      <w:r>
        <w:rPr>
          <w:spacing w:val="16"/>
        </w:rPr>
        <w:t xml:space="preserve"> </w:t>
      </w:r>
      <w:r>
        <w:rPr>
          <w:spacing w:val="-3"/>
        </w:rPr>
        <w:t>效日期；</w:t>
      </w:r>
    </w:p>
    <w:p w14:paraId="72911BD9">
      <w:pPr>
        <w:pStyle w:val="2"/>
        <w:spacing w:before="87" w:line="260" w:lineRule="auto"/>
        <w:ind w:firstLine="560"/>
      </w:pPr>
      <w:r>
        <w:rPr>
          <w:spacing w:val="6"/>
        </w:rPr>
        <w:t>(18)～(21):“措施执行后的</w:t>
      </w:r>
      <w:r>
        <w:rPr>
          <w:rFonts w:ascii="Times New Roman" w:hAnsi="Times New Roman" w:eastAsia="Times New Roman" w:cs="Times New Roman"/>
        </w:rPr>
        <w:t>RPN</w:t>
      </w:r>
      <w:r>
        <w:rPr>
          <w:rFonts w:ascii="Times New Roman" w:hAnsi="Times New Roman" w:eastAsia="Times New Roman" w:cs="Times New Roman"/>
          <w:spacing w:val="6"/>
        </w:rPr>
        <w:t>”</w:t>
      </w:r>
      <w:r>
        <w:rPr>
          <w:rFonts w:ascii="Times New Roman" w:hAnsi="Times New Roman" w:eastAsia="Times New Roman" w:cs="Times New Roman"/>
          <w:spacing w:val="38"/>
        </w:rPr>
        <w:t xml:space="preserve"> </w:t>
      </w:r>
      <w:r>
        <w:rPr>
          <w:spacing w:val="6"/>
        </w:rPr>
        <w:t>指当确认了预防/改进措施后，应估计</w:t>
      </w:r>
      <w:r>
        <w:t xml:space="preserve">  </w:t>
      </w:r>
      <w:r>
        <w:rPr>
          <w:spacing w:val="5"/>
        </w:rPr>
        <w:t>并记录执行措施后的</w:t>
      </w:r>
      <w:r>
        <w:rPr>
          <w:rFonts w:ascii="Times New Roman" w:hAnsi="Times New Roman" w:eastAsia="Times New Roman" w:cs="Times New Roman"/>
        </w:rPr>
        <w:t>RPN</w:t>
      </w:r>
      <w:r>
        <w:rPr>
          <w:rFonts w:ascii="Times New Roman" w:hAnsi="Times New Roman" w:eastAsia="Times New Roman" w:cs="Times New Roman"/>
          <w:spacing w:val="81"/>
        </w:rPr>
        <w:t xml:space="preserve"> </w:t>
      </w:r>
      <w:r>
        <w:rPr>
          <w:spacing w:val="5"/>
        </w:rPr>
        <w:t>结果，并进行评审。如果有必要考虑进一步的措施，</w:t>
      </w:r>
      <w:r>
        <w:t xml:space="preserve"> </w:t>
      </w:r>
      <w:r>
        <w:rPr>
          <w:spacing w:val="-3"/>
        </w:rPr>
        <w:t>还要按上述有关步骤重复进行，其重点应该在持续改进上；</w:t>
      </w:r>
    </w:p>
    <w:p w14:paraId="666519A4">
      <w:pPr>
        <w:pStyle w:val="2"/>
        <w:spacing w:before="89" w:line="219" w:lineRule="auto"/>
        <w:ind w:left="560"/>
      </w:pPr>
      <w:r>
        <w:rPr>
          <w:spacing w:val="-6"/>
        </w:rPr>
        <w:t>(22):“备注”指记录对其他栏的注释和补充。</w:t>
      </w:r>
    </w:p>
    <w:p w14:paraId="2FDDAF4D">
      <w:pPr>
        <w:spacing w:before="123" w:line="221" w:lineRule="auto"/>
        <w:rPr>
          <w:rFonts w:ascii="黑体" w:hAnsi="黑体" w:eastAsia="黑体" w:cs="黑体"/>
          <w:sz w:val="27"/>
          <w:szCs w:val="27"/>
        </w:rPr>
      </w:pPr>
      <w:r>
        <w:rPr>
          <w:rFonts w:ascii="黑体" w:hAnsi="黑体" w:eastAsia="黑体" w:cs="黑体"/>
          <w:spacing w:val="1"/>
          <w:sz w:val="27"/>
          <w:szCs w:val="27"/>
        </w:rPr>
        <w:t xml:space="preserve">6.2  </w:t>
      </w:r>
      <w:r>
        <w:rPr>
          <w:rFonts w:ascii="Times New Roman" w:hAnsi="Times New Roman" w:eastAsia="Times New Roman" w:cs="Times New Roman"/>
          <w:b/>
          <w:bCs/>
          <w:sz w:val="27"/>
          <w:szCs w:val="27"/>
        </w:rPr>
        <w:t>CA</w:t>
      </w:r>
      <w:r>
        <w:rPr>
          <w:rFonts w:ascii="Times New Roman" w:hAnsi="Times New Roman" w:eastAsia="Times New Roman" w:cs="Times New Roman"/>
          <w:b/>
          <w:bCs/>
          <w:spacing w:val="-5"/>
          <w:sz w:val="27"/>
          <w:szCs w:val="27"/>
        </w:rPr>
        <w:t xml:space="preserve"> </w:t>
      </w:r>
      <w:r>
        <w:rPr>
          <w:rFonts w:ascii="黑体" w:hAnsi="黑体" w:eastAsia="黑体" w:cs="黑体"/>
          <w:b/>
          <w:bCs/>
          <w:spacing w:val="1"/>
          <w:sz w:val="27"/>
          <w:szCs w:val="27"/>
        </w:rPr>
        <w:t>表的格式及其填写说明</w:t>
      </w:r>
    </w:p>
    <w:p w14:paraId="127BFB27">
      <w:pPr>
        <w:pStyle w:val="2"/>
        <w:spacing w:before="63" w:line="212" w:lineRule="auto"/>
        <w:ind w:left="560"/>
      </w:pPr>
      <w:r>
        <w:rPr>
          <w:spacing w:val="-4"/>
        </w:rPr>
        <w:t>对硬件设计的“危害性分析(</w:t>
      </w:r>
      <w:r>
        <w:rPr>
          <w:rFonts w:ascii="Times New Roman" w:hAnsi="Times New Roman" w:eastAsia="Times New Roman" w:cs="Times New Roman"/>
          <w:spacing w:val="-4"/>
        </w:rPr>
        <w:t xml:space="preserve">CA) </w:t>
      </w:r>
      <w:r>
        <w:rPr>
          <w:spacing w:val="-4"/>
        </w:rPr>
        <w:t>表”选用表7.6。</w:t>
      </w:r>
    </w:p>
    <w:p w14:paraId="77CB07C7">
      <w:pPr>
        <w:pStyle w:val="2"/>
        <w:spacing w:before="153" w:line="279" w:lineRule="auto"/>
        <w:ind w:right="101" w:firstLine="560"/>
      </w:pPr>
      <w:r>
        <w:rPr>
          <w:spacing w:val="10"/>
        </w:rPr>
        <w:t>在表7.6中，第(1)～(7)栏的内容与</w:t>
      </w:r>
      <w:r>
        <w:rPr>
          <w:rFonts w:ascii="Times New Roman" w:hAnsi="Times New Roman" w:eastAsia="Times New Roman" w:cs="Times New Roman"/>
        </w:rPr>
        <w:t>FMEA</w:t>
      </w:r>
      <w:r>
        <w:rPr>
          <w:rFonts w:ascii="Times New Roman" w:hAnsi="Times New Roman" w:eastAsia="Times New Roman" w:cs="Times New Roman"/>
          <w:spacing w:val="10"/>
        </w:rPr>
        <w:t xml:space="preserve">  </w:t>
      </w:r>
      <w:r>
        <w:rPr>
          <w:spacing w:val="10"/>
        </w:rPr>
        <w:t>表(见表7.5)中对应栏</w:t>
      </w:r>
      <w:r>
        <w:rPr>
          <w:spacing w:val="9"/>
        </w:rPr>
        <w:t>的内容</w:t>
      </w:r>
      <w:r>
        <w:t xml:space="preserve"> </w:t>
      </w:r>
      <w:r>
        <w:rPr>
          <w:spacing w:val="5"/>
        </w:rPr>
        <w:t>相同。第(8)栏记录在危害性分析时所采用的故障数据(</w:t>
      </w:r>
      <w:r>
        <w:rPr>
          <w:spacing w:val="4"/>
        </w:rPr>
        <w:t>含故障率数据和故障模</w:t>
      </w:r>
      <w:r>
        <w:t xml:space="preserve"> </w:t>
      </w:r>
      <w:r>
        <w:rPr>
          <w:spacing w:val="1"/>
        </w:rPr>
        <w:t>式频数比数据)的来源，当采用定性危害性分析方法时，此栏记录故障模式概率 等级；第(9)～(14)栏记录危害度计算的相关数据及计算结果；第(15</w:t>
      </w:r>
      <w:r>
        <w:t xml:space="preserve">)栏记录对 </w:t>
      </w:r>
      <w:r>
        <w:rPr>
          <w:spacing w:val="2"/>
        </w:rPr>
        <w:t>其他栏的注释和补充。</w:t>
      </w:r>
    </w:p>
    <w:p w14:paraId="3F685D59">
      <w:pPr>
        <w:spacing w:before="41" w:line="222"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21"/>
          <w:sz w:val="27"/>
          <w:szCs w:val="27"/>
        </w:rPr>
        <w:t xml:space="preserve">  </w:t>
      </w:r>
      <w:r>
        <w:rPr>
          <w:rFonts w:ascii="黑体" w:hAnsi="黑体" w:eastAsia="黑体" w:cs="黑体"/>
          <w:b/>
          <w:bCs/>
          <w:spacing w:val="-1"/>
          <w:sz w:val="27"/>
          <w:szCs w:val="27"/>
        </w:rPr>
        <w:t>结论与建议</w:t>
      </w:r>
    </w:p>
    <w:p w14:paraId="7ED181F8">
      <w:pPr>
        <w:pStyle w:val="2"/>
        <w:spacing w:before="90" w:line="289" w:lineRule="auto"/>
        <w:ind w:right="102" w:firstLine="560"/>
        <w:jc w:val="both"/>
      </w:pPr>
      <w:r>
        <w:rPr>
          <w:spacing w:val="-3"/>
        </w:rPr>
        <w:t>除阐述结论外，还应包括为排除或降低故障影响已经采取的措</w:t>
      </w:r>
      <w:r>
        <w:rPr>
          <w:spacing w:val="-4"/>
        </w:rPr>
        <w:t>施，对无法消</w:t>
      </w:r>
      <w:r>
        <w:t xml:space="preserve"> </w:t>
      </w:r>
      <w:r>
        <w:rPr>
          <w:spacing w:val="7"/>
        </w:rPr>
        <w:t>除严酷度为</w:t>
      </w:r>
      <w:r>
        <w:rPr>
          <w:rFonts w:ascii="Times New Roman" w:hAnsi="Times New Roman" w:eastAsia="Times New Roman" w:cs="Times New Roman"/>
          <w:spacing w:val="7"/>
        </w:rPr>
        <w:t xml:space="preserve">I  </w:t>
      </w:r>
      <w:r>
        <w:rPr>
          <w:spacing w:val="7"/>
        </w:rPr>
        <w:t>类和Ⅱ类单点故障模式的说</w:t>
      </w:r>
      <w:r>
        <w:rPr>
          <w:spacing w:val="6"/>
        </w:rPr>
        <w:t>明、可能的设计改进和使用补偿措施</w:t>
      </w:r>
      <w:r>
        <w:t xml:space="preserve"> </w:t>
      </w:r>
      <w:r>
        <w:rPr>
          <w:spacing w:val="-6"/>
        </w:rPr>
        <w:t>的建议，以及执行措施后的效果说明。</w:t>
      </w:r>
    </w:p>
    <w:p w14:paraId="65361FF0">
      <w:pPr>
        <w:spacing w:before="20" w:line="223" w:lineRule="auto"/>
        <w:rPr>
          <w:rFonts w:ascii="黑体" w:hAnsi="黑体" w:eastAsia="黑体" w:cs="黑体"/>
          <w:sz w:val="27"/>
          <w:szCs w:val="27"/>
        </w:rPr>
      </w:pPr>
      <w:r>
        <w:rPr>
          <w:rFonts w:ascii="黑体" w:hAnsi="黑体" w:eastAsia="黑体" w:cs="黑体"/>
          <w:spacing w:val="-6"/>
          <w:sz w:val="27"/>
          <w:szCs w:val="27"/>
        </w:rPr>
        <w:t>8</w:t>
      </w:r>
      <w:r>
        <w:rPr>
          <w:rFonts w:ascii="黑体" w:hAnsi="黑体" w:eastAsia="黑体" w:cs="黑体"/>
          <w:spacing w:val="9"/>
          <w:sz w:val="27"/>
          <w:szCs w:val="27"/>
        </w:rPr>
        <w:t xml:space="preserve">  </w:t>
      </w:r>
      <w:r>
        <w:rPr>
          <w:rFonts w:ascii="Times New Roman" w:hAnsi="Times New Roman" w:eastAsia="Times New Roman" w:cs="Times New Roman"/>
          <w:b/>
          <w:bCs/>
          <w:spacing w:val="-6"/>
          <w:sz w:val="27"/>
          <w:szCs w:val="27"/>
        </w:rPr>
        <w:t>FMECA</w:t>
      </w:r>
      <w:r>
        <w:rPr>
          <w:rFonts w:ascii="Times New Roman" w:hAnsi="Times New Roman" w:eastAsia="Times New Roman" w:cs="Times New Roman"/>
          <w:b/>
          <w:bCs/>
          <w:spacing w:val="-17"/>
          <w:sz w:val="27"/>
          <w:szCs w:val="27"/>
        </w:rPr>
        <w:t xml:space="preserve"> </w:t>
      </w:r>
      <w:r>
        <w:rPr>
          <w:rFonts w:ascii="黑体" w:hAnsi="黑体" w:eastAsia="黑体" w:cs="黑体"/>
          <w:b/>
          <w:bCs/>
          <w:spacing w:val="-6"/>
          <w:sz w:val="27"/>
          <w:szCs w:val="27"/>
        </w:rPr>
        <w:t>清单</w:t>
      </w:r>
    </w:p>
    <w:p w14:paraId="0BF379F3">
      <w:pPr>
        <w:pStyle w:val="2"/>
        <w:spacing w:before="88" w:line="289" w:lineRule="auto"/>
        <w:ind w:right="104" w:firstLine="425"/>
      </w:pPr>
      <w:r>
        <w:rPr>
          <w:spacing w:val="2"/>
        </w:rPr>
        <w:t>“可靠性关键产品清单”(见表7.8);“严酷度为</w:t>
      </w:r>
      <w:r>
        <w:rPr>
          <w:rFonts w:ascii="Times New Roman" w:hAnsi="Times New Roman" w:eastAsia="Times New Roman" w:cs="Times New Roman"/>
          <w:spacing w:val="2"/>
        </w:rPr>
        <w:t xml:space="preserve">I  </w:t>
      </w:r>
      <w:r>
        <w:rPr>
          <w:spacing w:val="2"/>
        </w:rPr>
        <w:t>类和Ⅱ类的单点故障模式</w:t>
      </w:r>
      <w:r>
        <w:rPr>
          <w:spacing w:val="3"/>
        </w:rPr>
        <w:t xml:space="preserve"> </w:t>
      </w:r>
      <w:r>
        <w:rPr>
          <w:spacing w:val="-4"/>
        </w:rPr>
        <w:t>清单”(见表7.9)。</w:t>
      </w:r>
    </w:p>
    <w:p w14:paraId="6AB07707">
      <w:pPr>
        <w:spacing w:before="28" w:line="220" w:lineRule="auto"/>
        <w:ind w:left="2980"/>
        <w:rPr>
          <w:rFonts w:ascii="仿宋" w:hAnsi="仿宋" w:eastAsia="仿宋" w:cs="仿宋"/>
          <w:sz w:val="24"/>
          <w:szCs w:val="24"/>
        </w:rPr>
      </w:pPr>
      <w:r>
        <w:rPr>
          <w:rFonts w:ascii="仿宋" w:hAnsi="仿宋" w:eastAsia="仿宋" w:cs="仿宋"/>
          <w:spacing w:val="21"/>
          <w:sz w:val="24"/>
          <w:szCs w:val="24"/>
        </w:rPr>
        <w:t>表7</w:t>
      </w:r>
      <w:r>
        <w:rPr>
          <w:rFonts w:ascii="仿宋" w:hAnsi="仿宋" w:eastAsia="仿宋" w:cs="仿宋"/>
          <w:spacing w:val="-40"/>
          <w:sz w:val="24"/>
          <w:szCs w:val="24"/>
        </w:rPr>
        <w:t xml:space="preserve"> </w:t>
      </w:r>
      <w:r>
        <w:rPr>
          <w:rFonts w:ascii="仿宋" w:hAnsi="仿宋" w:eastAsia="仿宋" w:cs="仿宋"/>
          <w:spacing w:val="21"/>
          <w:sz w:val="24"/>
          <w:szCs w:val="24"/>
        </w:rPr>
        <w:t>.</w:t>
      </w:r>
      <w:r>
        <w:rPr>
          <w:rFonts w:ascii="仿宋" w:hAnsi="仿宋" w:eastAsia="仿宋" w:cs="仿宋"/>
          <w:spacing w:val="-60"/>
          <w:sz w:val="24"/>
          <w:szCs w:val="24"/>
        </w:rPr>
        <w:t xml:space="preserve"> </w:t>
      </w:r>
      <w:r>
        <w:rPr>
          <w:rFonts w:ascii="仿宋" w:hAnsi="仿宋" w:eastAsia="仿宋" w:cs="仿宋"/>
          <w:spacing w:val="21"/>
          <w:sz w:val="24"/>
          <w:szCs w:val="24"/>
        </w:rPr>
        <w:t>8  可靠性关键产品清单</w:t>
      </w:r>
    </w:p>
    <w:p w14:paraId="510C2B80">
      <w:pPr>
        <w:pStyle w:val="2"/>
        <w:spacing w:before="84" w:line="221" w:lineRule="auto"/>
        <w:ind w:left="429"/>
        <w:rPr>
          <w:sz w:val="20"/>
          <w:szCs w:val="20"/>
        </w:rPr>
      </w:pPr>
      <w:r>
        <w:rPr>
          <w:rFonts w:ascii="仿宋" w:hAnsi="仿宋" w:eastAsia="仿宋" w:cs="仿宋"/>
          <w:spacing w:val="-4"/>
          <w:sz w:val="22"/>
          <w:szCs w:val="22"/>
        </w:rPr>
        <w:t>名称：</w:t>
      </w:r>
      <w:r>
        <w:rPr>
          <w:rFonts w:ascii="仿宋" w:hAnsi="仿宋" w:eastAsia="仿宋" w:cs="仿宋"/>
          <w:spacing w:val="16"/>
          <w:sz w:val="22"/>
          <w:szCs w:val="22"/>
        </w:rPr>
        <w:t xml:space="preserve">    </w:t>
      </w:r>
      <w:r>
        <w:rPr>
          <w:spacing w:val="-4"/>
          <w:sz w:val="20"/>
          <w:szCs w:val="20"/>
        </w:rPr>
        <w:t>填表：        审核：</w:t>
      </w:r>
      <w:r>
        <w:rPr>
          <w:spacing w:val="6"/>
          <w:sz w:val="20"/>
          <w:szCs w:val="20"/>
        </w:rPr>
        <w:t xml:space="preserve">       </w:t>
      </w:r>
      <w:r>
        <w:rPr>
          <w:spacing w:val="-4"/>
          <w:sz w:val="20"/>
          <w:szCs w:val="20"/>
        </w:rPr>
        <w:t xml:space="preserve">批准：          </w:t>
      </w:r>
      <w:r>
        <w:rPr>
          <w:spacing w:val="-5"/>
          <w:sz w:val="20"/>
          <w:szCs w:val="20"/>
        </w:rPr>
        <w:t>共</w:t>
      </w:r>
      <w:r>
        <w:rPr>
          <w:spacing w:val="13"/>
          <w:sz w:val="20"/>
          <w:szCs w:val="20"/>
        </w:rPr>
        <w:t xml:space="preserve">  </w:t>
      </w:r>
      <w:r>
        <w:rPr>
          <w:spacing w:val="-5"/>
          <w:sz w:val="20"/>
          <w:szCs w:val="20"/>
        </w:rPr>
        <w:t>页 ·</w:t>
      </w:r>
      <w:r>
        <w:rPr>
          <w:spacing w:val="-74"/>
          <w:sz w:val="20"/>
          <w:szCs w:val="20"/>
        </w:rPr>
        <w:t xml:space="preserve"> </w:t>
      </w:r>
      <w:r>
        <w:rPr>
          <w:spacing w:val="-5"/>
          <w:sz w:val="20"/>
          <w:szCs w:val="20"/>
        </w:rPr>
        <w:t>第  页</w:t>
      </w:r>
    </w:p>
    <w:p w14:paraId="083C34A7">
      <w:pPr>
        <w:pStyle w:val="2"/>
        <w:spacing w:before="179" w:line="220" w:lineRule="auto"/>
        <w:ind w:left="429"/>
        <w:rPr>
          <w:sz w:val="17"/>
          <w:szCs w:val="17"/>
        </w:rPr>
      </w:pPr>
      <w:r>
        <w:rPr>
          <w:spacing w:val="27"/>
          <w:sz w:val="17"/>
          <w:szCs w:val="17"/>
        </w:rPr>
        <w:t>填表日期</w:t>
      </w:r>
      <w:r>
        <w:rPr>
          <w:spacing w:val="-37"/>
          <w:sz w:val="17"/>
          <w:szCs w:val="17"/>
        </w:rPr>
        <w:t xml:space="preserve"> </w:t>
      </w:r>
      <w:r>
        <w:rPr>
          <w:spacing w:val="27"/>
          <w:sz w:val="17"/>
          <w:szCs w:val="17"/>
        </w:rPr>
        <w:t>：</w:t>
      </w:r>
    </w:p>
    <w:p w14:paraId="4307B5D6">
      <w:pPr>
        <w:spacing w:line="155" w:lineRule="exact"/>
      </w:pPr>
    </w:p>
    <w:tbl>
      <w:tblPr>
        <w:tblStyle w:val="5"/>
        <w:tblW w:w="936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4"/>
        <w:gridCol w:w="639"/>
        <w:gridCol w:w="929"/>
        <w:gridCol w:w="929"/>
        <w:gridCol w:w="949"/>
        <w:gridCol w:w="939"/>
        <w:gridCol w:w="939"/>
        <w:gridCol w:w="949"/>
        <w:gridCol w:w="939"/>
        <w:gridCol w:w="939"/>
        <w:gridCol w:w="594"/>
      </w:tblGrid>
      <w:tr w14:paraId="52326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624" w:type="dxa"/>
            <w:vAlign w:val="top"/>
          </w:tcPr>
          <w:p w14:paraId="1CB97D8F">
            <w:pPr>
              <w:spacing w:before="304" w:line="221" w:lineRule="auto"/>
              <w:ind w:left="74"/>
              <w:rPr>
                <w:rFonts w:ascii="宋体" w:hAnsi="宋体" w:eastAsia="宋体" w:cs="宋体"/>
                <w:sz w:val="21"/>
                <w:szCs w:val="21"/>
              </w:rPr>
            </w:pPr>
            <w:r>
              <w:rPr>
                <w:rFonts w:ascii="宋体" w:hAnsi="宋体" w:eastAsia="宋体" w:cs="宋体"/>
                <w:spacing w:val="6"/>
                <w:sz w:val="21"/>
                <w:szCs w:val="21"/>
              </w:rPr>
              <w:t>序号</w:t>
            </w:r>
          </w:p>
        </w:tc>
        <w:tc>
          <w:tcPr>
            <w:tcW w:w="639" w:type="dxa"/>
            <w:vAlign w:val="top"/>
          </w:tcPr>
          <w:p w14:paraId="3AB49A53">
            <w:pPr>
              <w:spacing w:before="123" w:line="219" w:lineRule="auto"/>
              <w:ind w:left="100"/>
              <w:rPr>
                <w:rFonts w:ascii="宋体" w:hAnsi="宋体" w:eastAsia="宋体" w:cs="宋体"/>
                <w:sz w:val="21"/>
                <w:szCs w:val="21"/>
              </w:rPr>
            </w:pPr>
            <w:r>
              <w:rPr>
                <w:rFonts w:ascii="宋体" w:hAnsi="宋体" w:eastAsia="宋体" w:cs="宋体"/>
                <w:spacing w:val="10"/>
                <w:sz w:val="21"/>
                <w:szCs w:val="21"/>
              </w:rPr>
              <w:t>产品</w:t>
            </w:r>
          </w:p>
          <w:p w14:paraId="119FD77C">
            <w:pPr>
              <w:spacing w:before="103" w:line="221" w:lineRule="auto"/>
              <w:ind w:left="100"/>
              <w:rPr>
                <w:rFonts w:ascii="宋体" w:hAnsi="宋体" w:eastAsia="宋体" w:cs="宋体"/>
                <w:sz w:val="21"/>
                <w:szCs w:val="21"/>
              </w:rPr>
            </w:pPr>
            <w:r>
              <w:rPr>
                <w:rFonts w:ascii="宋体" w:hAnsi="宋体" w:eastAsia="宋体" w:cs="宋体"/>
                <w:spacing w:val="5"/>
                <w:sz w:val="21"/>
                <w:szCs w:val="21"/>
              </w:rPr>
              <w:t>名称</w:t>
            </w:r>
          </w:p>
        </w:tc>
        <w:tc>
          <w:tcPr>
            <w:tcW w:w="929" w:type="dxa"/>
            <w:vAlign w:val="top"/>
          </w:tcPr>
          <w:p w14:paraId="17E30B58">
            <w:pPr>
              <w:spacing w:before="123" w:line="219" w:lineRule="auto"/>
              <w:ind w:left="31"/>
              <w:rPr>
                <w:rFonts w:ascii="宋体" w:hAnsi="宋体" w:eastAsia="宋体" w:cs="宋体"/>
                <w:sz w:val="21"/>
                <w:szCs w:val="21"/>
              </w:rPr>
            </w:pPr>
            <w:r>
              <w:rPr>
                <w:rFonts w:ascii="宋体" w:hAnsi="宋体" w:eastAsia="宋体" w:cs="宋体"/>
                <w:spacing w:val="2"/>
                <w:sz w:val="21"/>
                <w:szCs w:val="21"/>
              </w:rPr>
              <w:t>关键故障</w:t>
            </w:r>
          </w:p>
          <w:p w14:paraId="45E6E620">
            <w:pPr>
              <w:spacing w:before="100" w:line="219" w:lineRule="auto"/>
              <w:ind w:left="241"/>
              <w:rPr>
                <w:rFonts w:ascii="宋体" w:hAnsi="宋体" w:eastAsia="宋体" w:cs="宋体"/>
                <w:sz w:val="21"/>
                <w:szCs w:val="21"/>
              </w:rPr>
            </w:pPr>
            <w:r>
              <w:rPr>
                <w:rFonts w:ascii="宋体" w:hAnsi="宋体" w:eastAsia="宋体" w:cs="宋体"/>
                <w:spacing w:val="-2"/>
                <w:sz w:val="21"/>
                <w:szCs w:val="21"/>
              </w:rPr>
              <w:t>模式</w:t>
            </w:r>
          </w:p>
        </w:tc>
        <w:tc>
          <w:tcPr>
            <w:tcW w:w="929" w:type="dxa"/>
            <w:vAlign w:val="top"/>
          </w:tcPr>
          <w:p w14:paraId="41BE26E3">
            <w:pPr>
              <w:spacing w:before="133" w:line="293" w:lineRule="auto"/>
              <w:ind w:left="242" w:right="56" w:hanging="210"/>
              <w:rPr>
                <w:rFonts w:ascii="宋体" w:hAnsi="宋体" w:eastAsia="宋体" w:cs="宋体"/>
                <w:sz w:val="21"/>
                <w:szCs w:val="21"/>
              </w:rPr>
            </w:pPr>
            <w:r>
              <w:rPr>
                <w:rFonts w:ascii="宋体" w:hAnsi="宋体" w:eastAsia="宋体" w:cs="宋体"/>
                <w:spacing w:val="-3"/>
                <w:sz w:val="21"/>
                <w:szCs w:val="21"/>
              </w:rPr>
              <w:t>最终故障</w:t>
            </w:r>
            <w:r>
              <w:rPr>
                <w:rFonts w:ascii="宋体" w:hAnsi="宋体" w:eastAsia="宋体" w:cs="宋体"/>
                <w:sz w:val="21"/>
                <w:szCs w:val="21"/>
              </w:rPr>
              <w:t xml:space="preserve"> </w:t>
            </w:r>
            <w:r>
              <w:rPr>
                <w:rFonts w:ascii="宋体" w:hAnsi="宋体" w:eastAsia="宋体" w:cs="宋体"/>
                <w:spacing w:val="8"/>
                <w:sz w:val="21"/>
                <w:szCs w:val="21"/>
              </w:rPr>
              <w:t>影响</w:t>
            </w:r>
          </w:p>
        </w:tc>
        <w:tc>
          <w:tcPr>
            <w:tcW w:w="949" w:type="dxa"/>
            <w:vAlign w:val="top"/>
          </w:tcPr>
          <w:p w14:paraId="699A156E">
            <w:pPr>
              <w:spacing w:before="115" w:line="301" w:lineRule="auto"/>
              <w:ind w:left="253" w:right="142" w:hanging="100"/>
              <w:rPr>
                <w:rFonts w:ascii="宋体" w:hAnsi="宋体" w:eastAsia="宋体" w:cs="宋体"/>
                <w:sz w:val="21"/>
                <w:szCs w:val="21"/>
              </w:rPr>
            </w:pPr>
            <w:r>
              <w:rPr>
                <w:rFonts w:ascii="宋体" w:hAnsi="宋体" w:eastAsia="宋体" w:cs="宋体"/>
                <w:spacing w:val="4"/>
                <w:sz w:val="21"/>
                <w:szCs w:val="21"/>
              </w:rPr>
              <w:t>严酷度</w:t>
            </w:r>
            <w:r>
              <w:rPr>
                <w:rFonts w:ascii="宋体" w:hAnsi="宋体" w:eastAsia="宋体" w:cs="宋体"/>
                <w:sz w:val="21"/>
                <w:szCs w:val="21"/>
              </w:rPr>
              <w:t xml:space="preserve"> </w:t>
            </w:r>
            <w:r>
              <w:rPr>
                <w:rFonts w:ascii="宋体" w:hAnsi="宋体" w:eastAsia="宋体" w:cs="宋体"/>
                <w:spacing w:val="6"/>
                <w:sz w:val="21"/>
                <w:szCs w:val="21"/>
              </w:rPr>
              <w:t>等级</w:t>
            </w:r>
          </w:p>
        </w:tc>
        <w:tc>
          <w:tcPr>
            <w:tcW w:w="939" w:type="dxa"/>
            <w:vAlign w:val="top"/>
          </w:tcPr>
          <w:p w14:paraId="774B3CEE">
            <w:pPr>
              <w:spacing w:before="133" w:line="293" w:lineRule="auto"/>
              <w:ind w:left="254" w:right="141" w:hanging="110"/>
              <w:rPr>
                <w:rFonts w:ascii="宋体" w:hAnsi="宋体" w:eastAsia="宋体" w:cs="宋体"/>
                <w:sz w:val="21"/>
                <w:szCs w:val="21"/>
              </w:rPr>
            </w:pPr>
            <w:r>
              <w:rPr>
                <w:rFonts w:ascii="宋体" w:hAnsi="宋体" w:eastAsia="宋体" w:cs="宋体"/>
                <w:spacing w:val="4"/>
                <w:sz w:val="21"/>
                <w:szCs w:val="21"/>
              </w:rPr>
              <w:t>危害度</w:t>
            </w:r>
            <w:r>
              <w:rPr>
                <w:rFonts w:ascii="宋体" w:hAnsi="宋体" w:eastAsia="宋体" w:cs="宋体"/>
                <w:sz w:val="21"/>
                <w:szCs w:val="21"/>
              </w:rPr>
              <w:t xml:space="preserve"> </w:t>
            </w:r>
            <w:r>
              <w:rPr>
                <w:rFonts w:ascii="宋体" w:hAnsi="宋体" w:eastAsia="宋体" w:cs="宋体"/>
                <w:spacing w:val="6"/>
                <w:sz w:val="21"/>
                <w:szCs w:val="21"/>
              </w:rPr>
              <w:t>等级</w:t>
            </w:r>
          </w:p>
        </w:tc>
        <w:tc>
          <w:tcPr>
            <w:tcW w:w="939" w:type="dxa"/>
            <w:vAlign w:val="top"/>
          </w:tcPr>
          <w:p w14:paraId="632E13F5">
            <w:pPr>
              <w:spacing w:before="133" w:line="219" w:lineRule="auto"/>
              <w:ind w:left="45"/>
              <w:rPr>
                <w:rFonts w:ascii="宋体" w:hAnsi="宋体" w:eastAsia="宋体" w:cs="宋体"/>
                <w:sz w:val="21"/>
                <w:szCs w:val="21"/>
              </w:rPr>
            </w:pPr>
            <w:r>
              <w:rPr>
                <w:rFonts w:ascii="宋体" w:hAnsi="宋体" w:eastAsia="宋体" w:cs="宋体"/>
                <w:spacing w:val="-3"/>
                <w:sz w:val="21"/>
                <w:szCs w:val="21"/>
              </w:rPr>
              <w:t>设计改进</w:t>
            </w:r>
          </w:p>
          <w:p w14:paraId="1D4CFC7F">
            <w:pPr>
              <w:spacing w:before="81" w:line="220" w:lineRule="auto"/>
              <w:ind w:left="255"/>
              <w:rPr>
                <w:rFonts w:ascii="宋体" w:hAnsi="宋体" w:eastAsia="宋体" w:cs="宋体"/>
                <w:sz w:val="21"/>
                <w:szCs w:val="21"/>
              </w:rPr>
            </w:pPr>
            <w:r>
              <w:rPr>
                <w:rFonts w:ascii="宋体" w:hAnsi="宋体" w:eastAsia="宋体" w:cs="宋体"/>
                <w:spacing w:val="-3"/>
                <w:sz w:val="21"/>
                <w:szCs w:val="21"/>
              </w:rPr>
              <w:t>措施</w:t>
            </w:r>
          </w:p>
        </w:tc>
        <w:tc>
          <w:tcPr>
            <w:tcW w:w="949" w:type="dxa"/>
            <w:vAlign w:val="top"/>
          </w:tcPr>
          <w:p w14:paraId="37857AF6">
            <w:pPr>
              <w:spacing w:before="133" w:line="219" w:lineRule="auto"/>
              <w:ind w:left="46"/>
              <w:rPr>
                <w:rFonts w:ascii="宋体" w:hAnsi="宋体" w:eastAsia="宋体" w:cs="宋体"/>
                <w:sz w:val="21"/>
                <w:szCs w:val="21"/>
              </w:rPr>
            </w:pPr>
            <w:r>
              <w:rPr>
                <w:rFonts w:ascii="宋体" w:hAnsi="宋体" w:eastAsia="宋体" w:cs="宋体"/>
                <w:spacing w:val="-2"/>
                <w:sz w:val="21"/>
                <w:szCs w:val="21"/>
              </w:rPr>
              <w:t>使用补偿</w:t>
            </w:r>
          </w:p>
          <w:p w14:paraId="216B84C8">
            <w:pPr>
              <w:spacing w:before="81" w:line="220" w:lineRule="auto"/>
              <w:ind w:left="256"/>
              <w:rPr>
                <w:rFonts w:ascii="宋体" w:hAnsi="宋体" w:eastAsia="宋体" w:cs="宋体"/>
                <w:sz w:val="21"/>
                <w:szCs w:val="21"/>
              </w:rPr>
            </w:pPr>
            <w:r>
              <w:rPr>
                <w:rFonts w:ascii="宋体" w:hAnsi="宋体" w:eastAsia="宋体" w:cs="宋体"/>
                <w:spacing w:val="-3"/>
                <w:sz w:val="21"/>
                <w:szCs w:val="21"/>
              </w:rPr>
              <w:t>措施</w:t>
            </w:r>
          </w:p>
        </w:tc>
        <w:tc>
          <w:tcPr>
            <w:tcW w:w="939" w:type="dxa"/>
            <w:vAlign w:val="top"/>
          </w:tcPr>
          <w:p w14:paraId="6235244A">
            <w:pPr>
              <w:spacing w:before="134" w:line="220" w:lineRule="auto"/>
              <w:ind w:left="257"/>
              <w:rPr>
                <w:rFonts w:ascii="宋体" w:hAnsi="宋体" w:eastAsia="宋体" w:cs="宋体"/>
                <w:sz w:val="21"/>
                <w:szCs w:val="21"/>
              </w:rPr>
            </w:pPr>
            <w:r>
              <w:rPr>
                <w:rFonts w:ascii="宋体" w:hAnsi="宋体" w:eastAsia="宋体" w:cs="宋体"/>
                <w:spacing w:val="4"/>
                <w:sz w:val="21"/>
                <w:szCs w:val="21"/>
              </w:rPr>
              <w:t>实施</w:t>
            </w:r>
          </w:p>
          <w:p w14:paraId="6C5B22E0">
            <w:pPr>
              <w:spacing w:before="79" w:line="219" w:lineRule="auto"/>
              <w:ind w:left="257"/>
              <w:rPr>
                <w:rFonts w:ascii="宋体" w:hAnsi="宋体" w:eastAsia="宋体" w:cs="宋体"/>
                <w:sz w:val="21"/>
                <w:szCs w:val="21"/>
              </w:rPr>
            </w:pPr>
            <w:r>
              <w:rPr>
                <w:rFonts w:ascii="宋体" w:hAnsi="宋体" w:eastAsia="宋体" w:cs="宋体"/>
                <w:spacing w:val="11"/>
                <w:sz w:val="21"/>
                <w:szCs w:val="21"/>
              </w:rPr>
              <w:t>部门</w:t>
            </w:r>
          </w:p>
        </w:tc>
        <w:tc>
          <w:tcPr>
            <w:tcW w:w="939" w:type="dxa"/>
            <w:vAlign w:val="top"/>
          </w:tcPr>
          <w:p w14:paraId="08E419B4">
            <w:pPr>
              <w:spacing w:before="134" w:line="220" w:lineRule="auto"/>
              <w:ind w:left="258"/>
              <w:rPr>
                <w:rFonts w:ascii="宋体" w:hAnsi="宋体" w:eastAsia="宋体" w:cs="宋体"/>
                <w:sz w:val="21"/>
                <w:szCs w:val="21"/>
              </w:rPr>
            </w:pPr>
            <w:r>
              <w:rPr>
                <w:rFonts w:ascii="宋体" w:hAnsi="宋体" w:eastAsia="宋体" w:cs="宋体"/>
                <w:spacing w:val="4"/>
                <w:sz w:val="21"/>
                <w:szCs w:val="21"/>
              </w:rPr>
              <w:t>实施</w:t>
            </w:r>
          </w:p>
          <w:p w14:paraId="5AA7A201">
            <w:pPr>
              <w:spacing w:before="79" w:line="220" w:lineRule="auto"/>
              <w:ind w:left="258"/>
              <w:rPr>
                <w:rFonts w:ascii="宋体" w:hAnsi="宋体" w:eastAsia="宋体" w:cs="宋体"/>
                <w:sz w:val="21"/>
                <w:szCs w:val="21"/>
              </w:rPr>
            </w:pPr>
            <w:r>
              <w:rPr>
                <w:rFonts w:ascii="宋体" w:hAnsi="宋体" w:eastAsia="宋体" w:cs="宋体"/>
                <w:spacing w:val="-3"/>
                <w:sz w:val="21"/>
                <w:szCs w:val="21"/>
              </w:rPr>
              <w:t>情况</w:t>
            </w:r>
          </w:p>
        </w:tc>
        <w:tc>
          <w:tcPr>
            <w:tcW w:w="594" w:type="dxa"/>
            <w:vAlign w:val="top"/>
          </w:tcPr>
          <w:p w14:paraId="1E62FDD7">
            <w:pPr>
              <w:spacing w:before="304" w:line="221" w:lineRule="auto"/>
              <w:ind w:left="89"/>
              <w:rPr>
                <w:rFonts w:ascii="宋体" w:hAnsi="宋体" w:eastAsia="宋体" w:cs="宋体"/>
                <w:sz w:val="21"/>
                <w:szCs w:val="21"/>
              </w:rPr>
            </w:pPr>
            <w:r>
              <w:rPr>
                <w:rFonts w:ascii="宋体" w:hAnsi="宋体" w:eastAsia="宋体" w:cs="宋体"/>
                <w:spacing w:val="5"/>
                <w:sz w:val="21"/>
                <w:szCs w:val="21"/>
              </w:rPr>
              <w:t>备注</w:t>
            </w:r>
          </w:p>
        </w:tc>
      </w:tr>
      <w:tr w14:paraId="0A631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624" w:type="dxa"/>
            <w:vAlign w:val="top"/>
          </w:tcPr>
          <w:p w14:paraId="16BFB6E0">
            <w:pPr>
              <w:pStyle w:val="6"/>
            </w:pPr>
          </w:p>
        </w:tc>
        <w:tc>
          <w:tcPr>
            <w:tcW w:w="639" w:type="dxa"/>
            <w:vAlign w:val="top"/>
          </w:tcPr>
          <w:p w14:paraId="280A93A7">
            <w:pPr>
              <w:pStyle w:val="6"/>
            </w:pPr>
          </w:p>
        </w:tc>
        <w:tc>
          <w:tcPr>
            <w:tcW w:w="929" w:type="dxa"/>
            <w:vAlign w:val="top"/>
          </w:tcPr>
          <w:p w14:paraId="1E9FAEE1">
            <w:pPr>
              <w:pStyle w:val="6"/>
            </w:pPr>
          </w:p>
        </w:tc>
        <w:tc>
          <w:tcPr>
            <w:tcW w:w="929" w:type="dxa"/>
            <w:vAlign w:val="top"/>
          </w:tcPr>
          <w:p w14:paraId="61BFBAAA">
            <w:pPr>
              <w:pStyle w:val="6"/>
            </w:pPr>
          </w:p>
        </w:tc>
        <w:tc>
          <w:tcPr>
            <w:tcW w:w="949" w:type="dxa"/>
            <w:vAlign w:val="top"/>
          </w:tcPr>
          <w:p w14:paraId="23BD525F">
            <w:pPr>
              <w:pStyle w:val="6"/>
            </w:pPr>
          </w:p>
        </w:tc>
        <w:tc>
          <w:tcPr>
            <w:tcW w:w="939" w:type="dxa"/>
            <w:vAlign w:val="top"/>
          </w:tcPr>
          <w:p w14:paraId="51B334C5">
            <w:pPr>
              <w:pStyle w:val="6"/>
            </w:pPr>
          </w:p>
        </w:tc>
        <w:tc>
          <w:tcPr>
            <w:tcW w:w="939" w:type="dxa"/>
            <w:vAlign w:val="top"/>
          </w:tcPr>
          <w:p w14:paraId="583A4A82">
            <w:pPr>
              <w:pStyle w:val="6"/>
            </w:pPr>
          </w:p>
        </w:tc>
        <w:tc>
          <w:tcPr>
            <w:tcW w:w="949" w:type="dxa"/>
            <w:vAlign w:val="top"/>
          </w:tcPr>
          <w:p w14:paraId="0882F380">
            <w:pPr>
              <w:pStyle w:val="6"/>
            </w:pPr>
          </w:p>
        </w:tc>
        <w:tc>
          <w:tcPr>
            <w:tcW w:w="939" w:type="dxa"/>
            <w:vAlign w:val="top"/>
          </w:tcPr>
          <w:p w14:paraId="6BD16C9F">
            <w:pPr>
              <w:pStyle w:val="6"/>
            </w:pPr>
          </w:p>
        </w:tc>
        <w:tc>
          <w:tcPr>
            <w:tcW w:w="939" w:type="dxa"/>
            <w:vAlign w:val="top"/>
          </w:tcPr>
          <w:p w14:paraId="02EE0DA2">
            <w:pPr>
              <w:pStyle w:val="6"/>
            </w:pPr>
          </w:p>
        </w:tc>
        <w:tc>
          <w:tcPr>
            <w:tcW w:w="594" w:type="dxa"/>
            <w:vAlign w:val="top"/>
          </w:tcPr>
          <w:p w14:paraId="3F94C18B">
            <w:pPr>
              <w:pStyle w:val="6"/>
            </w:pPr>
          </w:p>
        </w:tc>
      </w:tr>
      <w:tr w14:paraId="3CF73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624" w:type="dxa"/>
            <w:vAlign w:val="top"/>
          </w:tcPr>
          <w:p w14:paraId="087624AD">
            <w:pPr>
              <w:pStyle w:val="6"/>
            </w:pPr>
          </w:p>
        </w:tc>
        <w:tc>
          <w:tcPr>
            <w:tcW w:w="639" w:type="dxa"/>
            <w:vAlign w:val="top"/>
          </w:tcPr>
          <w:p w14:paraId="399A1557">
            <w:pPr>
              <w:pStyle w:val="6"/>
            </w:pPr>
          </w:p>
        </w:tc>
        <w:tc>
          <w:tcPr>
            <w:tcW w:w="929" w:type="dxa"/>
            <w:vAlign w:val="top"/>
          </w:tcPr>
          <w:p w14:paraId="26670BDB">
            <w:pPr>
              <w:pStyle w:val="6"/>
            </w:pPr>
          </w:p>
        </w:tc>
        <w:tc>
          <w:tcPr>
            <w:tcW w:w="929" w:type="dxa"/>
            <w:vAlign w:val="top"/>
          </w:tcPr>
          <w:p w14:paraId="3832A683">
            <w:pPr>
              <w:pStyle w:val="6"/>
            </w:pPr>
          </w:p>
        </w:tc>
        <w:tc>
          <w:tcPr>
            <w:tcW w:w="949" w:type="dxa"/>
            <w:vAlign w:val="top"/>
          </w:tcPr>
          <w:p w14:paraId="2033E499">
            <w:pPr>
              <w:pStyle w:val="6"/>
            </w:pPr>
          </w:p>
        </w:tc>
        <w:tc>
          <w:tcPr>
            <w:tcW w:w="939" w:type="dxa"/>
            <w:vAlign w:val="top"/>
          </w:tcPr>
          <w:p w14:paraId="39712C3A">
            <w:pPr>
              <w:pStyle w:val="6"/>
            </w:pPr>
          </w:p>
        </w:tc>
        <w:tc>
          <w:tcPr>
            <w:tcW w:w="939" w:type="dxa"/>
            <w:vAlign w:val="top"/>
          </w:tcPr>
          <w:p w14:paraId="1F458862">
            <w:pPr>
              <w:pStyle w:val="6"/>
            </w:pPr>
          </w:p>
        </w:tc>
        <w:tc>
          <w:tcPr>
            <w:tcW w:w="949" w:type="dxa"/>
            <w:vAlign w:val="top"/>
          </w:tcPr>
          <w:p w14:paraId="7B7018BA">
            <w:pPr>
              <w:pStyle w:val="6"/>
            </w:pPr>
          </w:p>
        </w:tc>
        <w:tc>
          <w:tcPr>
            <w:tcW w:w="939" w:type="dxa"/>
            <w:vAlign w:val="top"/>
          </w:tcPr>
          <w:p w14:paraId="355B9794">
            <w:pPr>
              <w:pStyle w:val="6"/>
            </w:pPr>
          </w:p>
        </w:tc>
        <w:tc>
          <w:tcPr>
            <w:tcW w:w="939" w:type="dxa"/>
            <w:vAlign w:val="top"/>
          </w:tcPr>
          <w:p w14:paraId="0F902396">
            <w:pPr>
              <w:pStyle w:val="6"/>
            </w:pPr>
          </w:p>
        </w:tc>
        <w:tc>
          <w:tcPr>
            <w:tcW w:w="594" w:type="dxa"/>
            <w:vAlign w:val="top"/>
          </w:tcPr>
          <w:p w14:paraId="3F69488C">
            <w:pPr>
              <w:pStyle w:val="6"/>
            </w:pPr>
          </w:p>
        </w:tc>
      </w:tr>
    </w:tbl>
    <w:p w14:paraId="1A83D0A6">
      <w:pPr>
        <w:spacing w:line="201" w:lineRule="exact"/>
        <w:rPr>
          <w:rFonts w:ascii="Arial"/>
          <w:sz w:val="17"/>
        </w:rPr>
      </w:pPr>
    </w:p>
    <w:p w14:paraId="562CEF7C">
      <w:pPr>
        <w:spacing w:line="201" w:lineRule="exact"/>
        <w:rPr>
          <w:rFonts w:ascii="Arial" w:hAnsi="Arial" w:eastAsia="Arial" w:cs="Arial"/>
          <w:sz w:val="17"/>
          <w:szCs w:val="17"/>
        </w:rPr>
        <w:sectPr>
          <w:footerReference r:id="rId372" w:type="default"/>
          <w:pgSz w:w="11910" w:h="17130"/>
          <w:pgMar w:top="1456" w:right="1285" w:bottom="1603" w:left="1150" w:header="0" w:footer="1405" w:gutter="0"/>
          <w:cols w:space="720" w:num="1"/>
        </w:sectPr>
      </w:pPr>
    </w:p>
    <w:p w14:paraId="07933F9E">
      <w:pPr>
        <w:spacing w:before="229" w:line="221" w:lineRule="auto"/>
        <w:ind w:left="1730"/>
        <w:rPr>
          <w:rFonts w:ascii="仿宋" w:hAnsi="仿宋" w:eastAsia="仿宋" w:cs="仿宋"/>
          <w:sz w:val="22"/>
          <w:szCs w:val="22"/>
        </w:rPr>
      </w:pPr>
      <w:r>
        <w:rPr>
          <w:rFonts w:ascii="仿宋" w:hAnsi="仿宋" w:eastAsia="仿宋" w:cs="仿宋"/>
          <w:spacing w:val="-16"/>
          <w:sz w:val="22"/>
          <w:szCs w:val="22"/>
        </w:rPr>
        <w:t>表 7</w:t>
      </w:r>
      <w:r>
        <w:rPr>
          <w:rFonts w:ascii="仿宋" w:hAnsi="仿宋" w:eastAsia="仿宋" w:cs="仿宋"/>
          <w:spacing w:val="-12"/>
          <w:sz w:val="22"/>
          <w:szCs w:val="22"/>
        </w:rPr>
        <w:t xml:space="preserve"> </w:t>
      </w:r>
      <w:r>
        <w:rPr>
          <w:rFonts w:ascii="仿宋" w:hAnsi="仿宋" w:eastAsia="仿宋" w:cs="仿宋"/>
          <w:spacing w:val="-16"/>
          <w:sz w:val="22"/>
          <w:szCs w:val="22"/>
        </w:rPr>
        <w:t>.</w:t>
      </w:r>
      <w:r>
        <w:rPr>
          <w:rFonts w:ascii="仿宋" w:hAnsi="仿宋" w:eastAsia="仿宋" w:cs="仿宋"/>
          <w:spacing w:val="-28"/>
          <w:sz w:val="22"/>
          <w:szCs w:val="22"/>
        </w:rPr>
        <w:t xml:space="preserve"> </w:t>
      </w:r>
      <w:r>
        <w:rPr>
          <w:rFonts w:ascii="仿宋" w:hAnsi="仿宋" w:eastAsia="仿宋" w:cs="仿宋"/>
          <w:spacing w:val="-16"/>
          <w:sz w:val="22"/>
          <w:szCs w:val="22"/>
        </w:rPr>
        <w:t>9</w:t>
      </w:r>
      <w:r>
        <w:rPr>
          <w:rFonts w:ascii="仿宋" w:hAnsi="仿宋" w:eastAsia="仿宋" w:cs="仿宋"/>
          <w:spacing w:val="23"/>
          <w:sz w:val="22"/>
          <w:szCs w:val="22"/>
        </w:rPr>
        <w:t xml:space="preserve">  </w:t>
      </w:r>
      <w:r>
        <w:rPr>
          <w:rFonts w:ascii="仿宋" w:hAnsi="仿宋" w:eastAsia="仿宋" w:cs="仿宋"/>
          <w:spacing w:val="-16"/>
          <w:sz w:val="22"/>
          <w:szCs w:val="22"/>
        </w:rPr>
        <w:t>严</w:t>
      </w:r>
      <w:r>
        <w:rPr>
          <w:rFonts w:ascii="仿宋" w:hAnsi="仿宋" w:eastAsia="仿宋" w:cs="仿宋"/>
          <w:spacing w:val="-15"/>
          <w:sz w:val="22"/>
          <w:szCs w:val="22"/>
        </w:rPr>
        <w:t xml:space="preserve"> </w:t>
      </w:r>
      <w:r>
        <w:rPr>
          <w:rFonts w:ascii="仿宋" w:hAnsi="仿宋" w:eastAsia="仿宋" w:cs="仿宋"/>
          <w:spacing w:val="-16"/>
          <w:sz w:val="22"/>
          <w:szCs w:val="22"/>
        </w:rPr>
        <w:t>酷 度 为</w:t>
      </w:r>
      <w:r>
        <w:rPr>
          <w:rFonts w:ascii="仿宋" w:hAnsi="仿宋" w:eastAsia="仿宋" w:cs="仿宋"/>
          <w:spacing w:val="-62"/>
          <w:sz w:val="22"/>
          <w:szCs w:val="22"/>
        </w:rPr>
        <w:t xml:space="preserve"> </w:t>
      </w:r>
      <w:r>
        <w:rPr>
          <w:rFonts w:ascii="Times New Roman" w:hAnsi="Times New Roman" w:eastAsia="Times New Roman" w:cs="Times New Roman"/>
          <w:spacing w:val="-16"/>
          <w:sz w:val="22"/>
          <w:szCs w:val="22"/>
        </w:rPr>
        <w:t xml:space="preserve">I   </w:t>
      </w:r>
      <w:r>
        <w:rPr>
          <w:rFonts w:ascii="仿宋" w:hAnsi="仿宋" w:eastAsia="仿宋" w:cs="仿宋"/>
          <w:spacing w:val="-16"/>
          <w:sz w:val="22"/>
          <w:szCs w:val="22"/>
        </w:rPr>
        <w:t>类</w:t>
      </w:r>
      <w:r>
        <w:rPr>
          <w:rFonts w:ascii="仿宋" w:hAnsi="仿宋" w:eastAsia="仿宋" w:cs="仿宋"/>
          <w:spacing w:val="-35"/>
          <w:sz w:val="22"/>
          <w:szCs w:val="22"/>
        </w:rPr>
        <w:t xml:space="preserve"> </w:t>
      </w:r>
      <w:r>
        <w:rPr>
          <w:rFonts w:ascii="仿宋" w:hAnsi="仿宋" w:eastAsia="仿宋" w:cs="仿宋"/>
          <w:spacing w:val="-16"/>
          <w:sz w:val="22"/>
          <w:szCs w:val="22"/>
        </w:rPr>
        <w:t>和 Ⅱ</w:t>
      </w:r>
      <w:r>
        <w:rPr>
          <w:rFonts w:ascii="仿宋" w:hAnsi="仿宋" w:eastAsia="仿宋" w:cs="仿宋"/>
          <w:spacing w:val="-31"/>
          <w:sz w:val="22"/>
          <w:szCs w:val="22"/>
        </w:rPr>
        <w:t xml:space="preserve"> </w:t>
      </w:r>
      <w:r>
        <w:rPr>
          <w:rFonts w:ascii="仿宋" w:hAnsi="仿宋" w:eastAsia="仿宋" w:cs="仿宋"/>
          <w:spacing w:val="-16"/>
          <w:sz w:val="22"/>
          <w:szCs w:val="22"/>
        </w:rPr>
        <w:t>类 的</w:t>
      </w:r>
      <w:r>
        <w:rPr>
          <w:rFonts w:ascii="仿宋" w:hAnsi="仿宋" w:eastAsia="仿宋" w:cs="仿宋"/>
          <w:spacing w:val="-31"/>
          <w:sz w:val="22"/>
          <w:szCs w:val="22"/>
        </w:rPr>
        <w:t xml:space="preserve"> </w:t>
      </w:r>
      <w:r>
        <w:rPr>
          <w:rFonts w:ascii="仿宋" w:hAnsi="仿宋" w:eastAsia="仿宋" w:cs="仿宋"/>
          <w:spacing w:val="-16"/>
          <w:sz w:val="22"/>
          <w:szCs w:val="22"/>
        </w:rPr>
        <w:t>单 点</w:t>
      </w:r>
      <w:r>
        <w:rPr>
          <w:rFonts w:ascii="仿宋" w:hAnsi="仿宋" w:eastAsia="仿宋" w:cs="仿宋"/>
          <w:spacing w:val="-33"/>
          <w:sz w:val="22"/>
          <w:szCs w:val="22"/>
        </w:rPr>
        <w:t xml:space="preserve"> </w:t>
      </w:r>
      <w:r>
        <w:rPr>
          <w:rFonts w:ascii="仿宋" w:hAnsi="仿宋" w:eastAsia="仿宋" w:cs="仿宋"/>
          <w:spacing w:val="-16"/>
          <w:sz w:val="22"/>
          <w:szCs w:val="22"/>
        </w:rPr>
        <w:t>故</w:t>
      </w:r>
      <w:r>
        <w:rPr>
          <w:rFonts w:ascii="仿宋" w:hAnsi="仿宋" w:eastAsia="仿宋" w:cs="仿宋"/>
          <w:spacing w:val="-22"/>
          <w:sz w:val="22"/>
          <w:szCs w:val="22"/>
        </w:rPr>
        <w:t xml:space="preserve"> </w:t>
      </w:r>
      <w:r>
        <w:rPr>
          <w:rFonts w:ascii="仿宋" w:hAnsi="仿宋" w:eastAsia="仿宋" w:cs="仿宋"/>
          <w:spacing w:val="-16"/>
          <w:sz w:val="22"/>
          <w:szCs w:val="22"/>
        </w:rPr>
        <w:t>障</w:t>
      </w:r>
      <w:r>
        <w:rPr>
          <w:rFonts w:ascii="仿宋" w:hAnsi="仿宋" w:eastAsia="仿宋" w:cs="仿宋"/>
          <w:spacing w:val="-36"/>
          <w:sz w:val="22"/>
          <w:szCs w:val="22"/>
        </w:rPr>
        <w:t xml:space="preserve"> </w:t>
      </w:r>
      <w:r>
        <w:rPr>
          <w:rFonts w:ascii="仿宋" w:hAnsi="仿宋" w:eastAsia="仿宋" w:cs="仿宋"/>
          <w:spacing w:val="-16"/>
          <w:sz w:val="22"/>
          <w:szCs w:val="22"/>
        </w:rPr>
        <w:t>模</w:t>
      </w:r>
      <w:r>
        <w:rPr>
          <w:rFonts w:ascii="仿宋" w:hAnsi="仿宋" w:eastAsia="仿宋" w:cs="仿宋"/>
          <w:spacing w:val="-29"/>
          <w:sz w:val="22"/>
          <w:szCs w:val="22"/>
        </w:rPr>
        <w:t xml:space="preserve"> </w:t>
      </w:r>
      <w:r>
        <w:rPr>
          <w:rFonts w:ascii="仿宋" w:hAnsi="仿宋" w:eastAsia="仿宋" w:cs="仿宋"/>
          <w:spacing w:val="-16"/>
          <w:sz w:val="22"/>
          <w:szCs w:val="22"/>
        </w:rPr>
        <w:t>式</w:t>
      </w:r>
      <w:r>
        <w:rPr>
          <w:rFonts w:ascii="仿宋" w:hAnsi="仿宋" w:eastAsia="仿宋" w:cs="仿宋"/>
          <w:spacing w:val="-31"/>
          <w:sz w:val="22"/>
          <w:szCs w:val="22"/>
        </w:rPr>
        <w:t xml:space="preserve"> </w:t>
      </w:r>
      <w:r>
        <w:rPr>
          <w:rFonts w:ascii="仿宋" w:hAnsi="仿宋" w:eastAsia="仿宋" w:cs="仿宋"/>
          <w:spacing w:val="-16"/>
          <w:sz w:val="22"/>
          <w:szCs w:val="22"/>
        </w:rPr>
        <w:t>清</w:t>
      </w:r>
      <w:r>
        <w:rPr>
          <w:rFonts w:ascii="仿宋" w:hAnsi="仿宋" w:eastAsia="仿宋" w:cs="仿宋"/>
          <w:spacing w:val="-31"/>
          <w:sz w:val="22"/>
          <w:szCs w:val="22"/>
        </w:rPr>
        <w:t xml:space="preserve"> </w:t>
      </w:r>
      <w:r>
        <w:rPr>
          <w:rFonts w:ascii="仿宋" w:hAnsi="仿宋" w:eastAsia="仿宋" w:cs="仿宋"/>
          <w:spacing w:val="-16"/>
          <w:sz w:val="22"/>
          <w:szCs w:val="22"/>
        </w:rPr>
        <w:t>单</w:t>
      </w:r>
    </w:p>
    <w:p w14:paraId="3DA523E5">
      <w:pPr>
        <w:pStyle w:val="2"/>
        <w:spacing w:before="70" w:line="229" w:lineRule="auto"/>
        <w:ind w:left="430"/>
        <w:rPr>
          <w:sz w:val="22"/>
          <w:szCs w:val="22"/>
        </w:rPr>
      </w:pPr>
      <w:r>
        <w:rPr>
          <w:spacing w:val="-8"/>
          <w:sz w:val="22"/>
          <w:szCs w:val="22"/>
        </w:rPr>
        <w:t>名称：</w:t>
      </w:r>
      <w:r>
        <w:rPr>
          <w:spacing w:val="21"/>
          <w:sz w:val="22"/>
          <w:szCs w:val="22"/>
        </w:rPr>
        <w:t xml:space="preserve">    </w:t>
      </w:r>
      <w:r>
        <w:rPr>
          <w:spacing w:val="-8"/>
          <w:sz w:val="22"/>
          <w:szCs w:val="22"/>
        </w:rPr>
        <w:t>填表：</w:t>
      </w:r>
      <w:r>
        <w:rPr>
          <w:spacing w:val="8"/>
          <w:sz w:val="22"/>
          <w:szCs w:val="22"/>
        </w:rPr>
        <w:t xml:space="preserve">      </w:t>
      </w:r>
      <w:r>
        <w:rPr>
          <w:rFonts w:ascii="仿宋" w:hAnsi="仿宋" w:eastAsia="仿宋" w:cs="仿宋"/>
          <w:spacing w:val="-8"/>
          <w:sz w:val="22"/>
          <w:szCs w:val="22"/>
        </w:rPr>
        <w:t>审核：</w:t>
      </w:r>
      <w:r>
        <w:rPr>
          <w:rFonts w:ascii="仿宋" w:hAnsi="仿宋" w:eastAsia="仿宋" w:cs="仿宋"/>
          <w:spacing w:val="5"/>
          <w:sz w:val="22"/>
          <w:szCs w:val="22"/>
        </w:rPr>
        <w:t xml:space="preserve">      </w:t>
      </w:r>
      <w:r>
        <w:rPr>
          <w:spacing w:val="-8"/>
          <w:sz w:val="22"/>
          <w:szCs w:val="22"/>
        </w:rPr>
        <w:t>批准：</w:t>
      </w:r>
      <w:r>
        <w:rPr>
          <w:spacing w:val="9"/>
          <w:sz w:val="22"/>
          <w:szCs w:val="22"/>
        </w:rPr>
        <w:t xml:space="preserve">      </w:t>
      </w:r>
      <w:r>
        <w:rPr>
          <w:spacing w:val="-8"/>
          <w:position w:val="1"/>
          <w:sz w:val="22"/>
          <w:szCs w:val="22"/>
        </w:rPr>
        <w:t>共</w:t>
      </w:r>
      <w:r>
        <w:rPr>
          <w:spacing w:val="103"/>
          <w:position w:val="1"/>
          <w:sz w:val="22"/>
          <w:szCs w:val="22"/>
        </w:rPr>
        <w:t xml:space="preserve"> </w:t>
      </w:r>
      <w:r>
        <w:rPr>
          <w:spacing w:val="-8"/>
          <w:position w:val="1"/>
          <w:sz w:val="22"/>
          <w:szCs w:val="22"/>
        </w:rPr>
        <w:t>页</w:t>
      </w:r>
      <w:r>
        <w:rPr>
          <w:spacing w:val="-28"/>
          <w:position w:val="1"/>
          <w:sz w:val="22"/>
          <w:szCs w:val="22"/>
        </w:rPr>
        <w:t xml:space="preserve"> </w:t>
      </w:r>
      <w:r>
        <w:rPr>
          <w:spacing w:val="-8"/>
          <w:position w:val="1"/>
          <w:sz w:val="22"/>
          <w:szCs w:val="22"/>
        </w:rPr>
        <w:t>·第  页</w:t>
      </w:r>
    </w:p>
    <w:p w14:paraId="1165A550">
      <w:pPr>
        <w:pStyle w:val="2"/>
        <w:spacing w:before="67" w:line="220" w:lineRule="auto"/>
        <w:ind w:left="430"/>
        <w:rPr>
          <w:sz w:val="22"/>
          <w:szCs w:val="22"/>
        </w:rPr>
      </w:pPr>
      <w:r>
        <w:rPr>
          <w:spacing w:val="-10"/>
          <w:sz w:val="22"/>
          <w:szCs w:val="22"/>
        </w:rPr>
        <w:t>填表日期：</w:t>
      </w:r>
    </w:p>
    <w:p w14:paraId="5E8E0F6F">
      <w:pPr>
        <w:spacing w:line="103" w:lineRule="exact"/>
      </w:pPr>
    </w:p>
    <w:tbl>
      <w:tblPr>
        <w:tblStyle w:val="5"/>
        <w:tblW w:w="9380"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839"/>
        <w:gridCol w:w="829"/>
        <w:gridCol w:w="849"/>
        <w:gridCol w:w="939"/>
        <w:gridCol w:w="939"/>
        <w:gridCol w:w="939"/>
        <w:gridCol w:w="949"/>
        <w:gridCol w:w="1469"/>
        <w:gridCol w:w="794"/>
      </w:tblGrid>
      <w:tr w14:paraId="123E8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834" w:type="dxa"/>
            <w:vAlign w:val="top"/>
          </w:tcPr>
          <w:p w14:paraId="7C5BB424">
            <w:pPr>
              <w:pStyle w:val="6"/>
              <w:spacing w:line="446" w:lineRule="auto"/>
            </w:pPr>
          </w:p>
          <w:p w14:paraId="67DED513">
            <w:pPr>
              <w:spacing w:before="65" w:line="221" w:lineRule="auto"/>
              <w:ind w:left="185"/>
              <w:rPr>
                <w:rFonts w:ascii="宋体" w:hAnsi="宋体" w:eastAsia="宋体" w:cs="宋体"/>
                <w:sz w:val="20"/>
                <w:szCs w:val="20"/>
              </w:rPr>
            </w:pPr>
            <w:r>
              <w:rPr>
                <w:rFonts w:ascii="宋体" w:hAnsi="宋体" w:eastAsia="宋体" w:cs="宋体"/>
                <w:spacing w:val="-2"/>
                <w:sz w:val="20"/>
                <w:szCs w:val="20"/>
              </w:rPr>
              <w:t>序号</w:t>
            </w:r>
          </w:p>
        </w:tc>
        <w:tc>
          <w:tcPr>
            <w:tcW w:w="839" w:type="dxa"/>
            <w:vAlign w:val="top"/>
          </w:tcPr>
          <w:p w14:paraId="009B7A99">
            <w:pPr>
              <w:pStyle w:val="6"/>
              <w:spacing w:line="256" w:lineRule="auto"/>
            </w:pPr>
          </w:p>
          <w:p w14:paraId="253B9A11">
            <w:pPr>
              <w:spacing w:before="65" w:line="219" w:lineRule="auto"/>
              <w:ind w:left="210"/>
              <w:rPr>
                <w:rFonts w:ascii="宋体" w:hAnsi="宋体" w:eastAsia="宋体" w:cs="宋体"/>
                <w:sz w:val="20"/>
                <w:szCs w:val="20"/>
              </w:rPr>
            </w:pPr>
            <w:r>
              <w:rPr>
                <w:rFonts w:ascii="宋体" w:hAnsi="宋体" w:eastAsia="宋体" w:cs="宋体"/>
                <w:spacing w:val="10"/>
                <w:sz w:val="20"/>
                <w:szCs w:val="20"/>
              </w:rPr>
              <w:t>产品</w:t>
            </w:r>
          </w:p>
          <w:p w14:paraId="0B97EA74">
            <w:pPr>
              <w:spacing w:before="125" w:line="221" w:lineRule="auto"/>
              <w:ind w:left="210"/>
              <w:rPr>
                <w:rFonts w:ascii="宋体" w:hAnsi="宋体" w:eastAsia="宋体" w:cs="宋体"/>
                <w:sz w:val="20"/>
                <w:szCs w:val="20"/>
              </w:rPr>
            </w:pPr>
            <w:r>
              <w:rPr>
                <w:rFonts w:ascii="宋体" w:hAnsi="宋体" w:eastAsia="宋体" w:cs="宋体"/>
                <w:spacing w:val="5"/>
                <w:sz w:val="20"/>
                <w:szCs w:val="20"/>
              </w:rPr>
              <w:t>名称</w:t>
            </w:r>
          </w:p>
        </w:tc>
        <w:tc>
          <w:tcPr>
            <w:tcW w:w="829" w:type="dxa"/>
            <w:vAlign w:val="top"/>
          </w:tcPr>
          <w:p w14:paraId="1620E6D6">
            <w:pPr>
              <w:pStyle w:val="6"/>
              <w:spacing w:line="256" w:lineRule="auto"/>
            </w:pPr>
          </w:p>
          <w:p w14:paraId="13E4DB24">
            <w:pPr>
              <w:spacing w:before="65" w:line="219" w:lineRule="auto"/>
              <w:ind w:left="201"/>
              <w:rPr>
                <w:rFonts w:ascii="宋体" w:hAnsi="宋体" w:eastAsia="宋体" w:cs="宋体"/>
                <w:sz w:val="20"/>
                <w:szCs w:val="20"/>
              </w:rPr>
            </w:pPr>
            <w:r>
              <w:rPr>
                <w:rFonts w:ascii="宋体" w:hAnsi="宋体" w:eastAsia="宋体" w:cs="宋体"/>
                <w:spacing w:val="-3"/>
                <w:sz w:val="20"/>
                <w:szCs w:val="20"/>
              </w:rPr>
              <w:t>故障</w:t>
            </w:r>
          </w:p>
          <w:p w14:paraId="5E523DA2">
            <w:pPr>
              <w:spacing w:before="112" w:line="219" w:lineRule="auto"/>
              <w:ind w:left="201"/>
              <w:rPr>
                <w:rFonts w:ascii="宋体" w:hAnsi="宋体" w:eastAsia="宋体" w:cs="宋体"/>
                <w:sz w:val="20"/>
                <w:szCs w:val="20"/>
              </w:rPr>
            </w:pPr>
            <w:r>
              <w:rPr>
                <w:rFonts w:ascii="宋体" w:hAnsi="宋体" w:eastAsia="宋体" w:cs="宋体"/>
                <w:spacing w:val="-2"/>
                <w:sz w:val="20"/>
                <w:szCs w:val="20"/>
              </w:rPr>
              <w:t>模式</w:t>
            </w:r>
          </w:p>
        </w:tc>
        <w:tc>
          <w:tcPr>
            <w:tcW w:w="849" w:type="dxa"/>
            <w:vAlign w:val="top"/>
          </w:tcPr>
          <w:p w14:paraId="37B4F166">
            <w:pPr>
              <w:pStyle w:val="6"/>
              <w:spacing w:line="256" w:lineRule="auto"/>
            </w:pPr>
          </w:p>
          <w:p w14:paraId="04BAB221">
            <w:pPr>
              <w:spacing w:before="65" w:line="325" w:lineRule="auto"/>
              <w:ind w:left="113" w:right="109"/>
              <w:rPr>
                <w:rFonts w:ascii="宋体" w:hAnsi="宋体" w:eastAsia="宋体" w:cs="宋体"/>
                <w:sz w:val="20"/>
                <w:szCs w:val="20"/>
              </w:rPr>
            </w:pPr>
            <w:r>
              <w:rPr>
                <w:rFonts w:ascii="宋体" w:hAnsi="宋体" w:eastAsia="宋体" w:cs="宋体"/>
                <w:spacing w:val="-4"/>
                <w:sz w:val="20"/>
                <w:szCs w:val="20"/>
              </w:rPr>
              <w:t>最终故</w:t>
            </w:r>
            <w:r>
              <w:rPr>
                <w:rFonts w:ascii="宋体" w:hAnsi="宋体" w:eastAsia="宋体" w:cs="宋体"/>
                <w:sz w:val="20"/>
                <w:szCs w:val="20"/>
              </w:rPr>
              <w:t xml:space="preserve"> </w:t>
            </w:r>
            <w:r>
              <w:rPr>
                <w:rFonts w:ascii="宋体" w:hAnsi="宋体" w:eastAsia="宋体" w:cs="宋体"/>
                <w:spacing w:val="5"/>
                <w:sz w:val="20"/>
                <w:szCs w:val="20"/>
              </w:rPr>
              <w:t>障影响</w:t>
            </w:r>
          </w:p>
        </w:tc>
        <w:tc>
          <w:tcPr>
            <w:tcW w:w="939" w:type="dxa"/>
            <w:vAlign w:val="top"/>
          </w:tcPr>
          <w:p w14:paraId="4F47E3C8">
            <w:pPr>
              <w:pStyle w:val="6"/>
              <w:spacing w:line="258" w:lineRule="auto"/>
            </w:pPr>
          </w:p>
          <w:p w14:paraId="5FE80ABA">
            <w:pPr>
              <w:spacing w:before="65" w:line="324" w:lineRule="auto"/>
              <w:ind w:left="94" w:right="73" w:hanging="10"/>
              <w:rPr>
                <w:rFonts w:ascii="宋体" w:hAnsi="宋体" w:eastAsia="宋体" w:cs="宋体"/>
                <w:sz w:val="20"/>
                <w:szCs w:val="20"/>
              </w:rPr>
            </w:pPr>
            <w:r>
              <w:rPr>
                <w:rFonts w:ascii="宋体" w:hAnsi="宋体" w:eastAsia="宋体" w:cs="宋体"/>
                <w:spacing w:val="-6"/>
                <w:sz w:val="20"/>
                <w:szCs w:val="20"/>
              </w:rPr>
              <w:t>严 酷 度</w:t>
            </w:r>
            <w:r>
              <w:rPr>
                <w:rFonts w:ascii="宋体" w:hAnsi="宋体" w:eastAsia="宋体" w:cs="宋体"/>
                <w:sz w:val="20"/>
                <w:szCs w:val="20"/>
              </w:rPr>
              <w:t xml:space="preserve"> </w:t>
            </w:r>
            <w:r>
              <w:rPr>
                <w:rFonts w:ascii="宋体" w:hAnsi="宋体" w:eastAsia="宋体" w:cs="宋体"/>
                <w:spacing w:val="6"/>
                <w:sz w:val="20"/>
                <w:szCs w:val="20"/>
              </w:rPr>
              <w:t>等级</w:t>
            </w:r>
          </w:p>
        </w:tc>
        <w:tc>
          <w:tcPr>
            <w:tcW w:w="939" w:type="dxa"/>
            <w:vAlign w:val="top"/>
          </w:tcPr>
          <w:p w14:paraId="1B870DA9">
            <w:pPr>
              <w:pStyle w:val="6"/>
              <w:spacing w:line="267" w:lineRule="auto"/>
            </w:pPr>
          </w:p>
          <w:p w14:paraId="4764720E">
            <w:pPr>
              <w:spacing w:before="65" w:line="315" w:lineRule="auto"/>
              <w:ind w:left="95" w:right="82"/>
              <w:rPr>
                <w:rFonts w:ascii="宋体" w:hAnsi="宋体" w:eastAsia="宋体" w:cs="宋体"/>
                <w:sz w:val="20"/>
                <w:szCs w:val="20"/>
              </w:rPr>
            </w:pPr>
            <w:r>
              <w:rPr>
                <w:rFonts w:ascii="宋体" w:hAnsi="宋体" w:eastAsia="宋体" w:cs="宋体"/>
                <w:spacing w:val="-10"/>
                <w:sz w:val="20"/>
                <w:szCs w:val="20"/>
              </w:rPr>
              <w:t>危 害 度</w:t>
            </w:r>
            <w:r>
              <w:rPr>
                <w:rFonts w:ascii="宋体" w:hAnsi="宋体" w:eastAsia="宋体" w:cs="宋体"/>
                <w:sz w:val="20"/>
                <w:szCs w:val="20"/>
              </w:rPr>
              <w:t xml:space="preserve"> </w:t>
            </w:r>
            <w:r>
              <w:rPr>
                <w:rFonts w:ascii="宋体" w:hAnsi="宋体" w:eastAsia="宋体" w:cs="宋体"/>
                <w:spacing w:val="6"/>
                <w:sz w:val="20"/>
                <w:szCs w:val="20"/>
              </w:rPr>
              <w:t>等级</w:t>
            </w:r>
          </w:p>
        </w:tc>
        <w:tc>
          <w:tcPr>
            <w:tcW w:w="939" w:type="dxa"/>
            <w:vAlign w:val="top"/>
          </w:tcPr>
          <w:p w14:paraId="61E76F7E">
            <w:pPr>
              <w:pStyle w:val="6"/>
              <w:spacing w:line="276" w:lineRule="auto"/>
            </w:pPr>
          </w:p>
          <w:p w14:paraId="6E266F6C">
            <w:pPr>
              <w:spacing w:before="65" w:line="219" w:lineRule="auto"/>
              <w:ind w:left="96"/>
              <w:rPr>
                <w:rFonts w:ascii="宋体" w:hAnsi="宋体" w:eastAsia="宋体" w:cs="宋体"/>
                <w:sz w:val="20"/>
                <w:szCs w:val="20"/>
              </w:rPr>
            </w:pPr>
            <w:r>
              <w:rPr>
                <w:rFonts w:ascii="宋体" w:hAnsi="宋体" w:eastAsia="宋体" w:cs="宋体"/>
                <w:spacing w:val="-7"/>
                <w:sz w:val="20"/>
                <w:szCs w:val="20"/>
              </w:rPr>
              <w:t>设</w:t>
            </w:r>
            <w:r>
              <w:rPr>
                <w:rFonts w:ascii="宋体" w:hAnsi="宋体" w:eastAsia="宋体" w:cs="宋体"/>
                <w:spacing w:val="-10"/>
                <w:sz w:val="20"/>
                <w:szCs w:val="20"/>
              </w:rPr>
              <w:t xml:space="preserve"> </w:t>
            </w:r>
            <w:r>
              <w:rPr>
                <w:rFonts w:ascii="宋体" w:hAnsi="宋体" w:eastAsia="宋体" w:cs="宋体"/>
                <w:spacing w:val="-7"/>
                <w:sz w:val="20"/>
                <w:szCs w:val="20"/>
              </w:rPr>
              <w:t>计 改</w:t>
            </w:r>
          </w:p>
          <w:p w14:paraId="52C3ED00">
            <w:pPr>
              <w:spacing w:before="93" w:line="220" w:lineRule="auto"/>
              <w:ind w:left="165"/>
              <w:rPr>
                <w:rFonts w:ascii="宋体" w:hAnsi="宋体" w:eastAsia="宋体" w:cs="宋体"/>
                <w:sz w:val="20"/>
                <w:szCs w:val="20"/>
              </w:rPr>
            </w:pPr>
            <w:r>
              <w:rPr>
                <w:rFonts w:ascii="宋体" w:hAnsi="宋体" w:eastAsia="宋体" w:cs="宋体"/>
                <w:spacing w:val="-2"/>
                <w:sz w:val="20"/>
                <w:szCs w:val="20"/>
              </w:rPr>
              <w:t>进措施</w:t>
            </w:r>
          </w:p>
        </w:tc>
        <w:tc>
          <w:tcPr>
            <w:tcW w:w="949" w:type="dxa"/>
            <w:vAlign w:val="top"/>
          </w:tcPr>
          <w:p w14:paraId="65D3755B">
            <w:pPr>
              <w:pStyle w:val="6"/>
              <w:spacing w:line="285" w:lineRule="auto"/>
            </w:pPr>
          </w:p>
          <w:p w14:paraId="4ED4FF06">
            <w:pPr>
              <w:spacing w:before="65" w:line="299" w:lineRule="auto"/>
              <w:ind w:left="167" w:right="87" w:hanging="70"/>
              <w:rPr>
                <w:rFonts w:ascii="宋体" w:hAnsi="宋体" w:eastAsia="宋体" w:cs="宋体"/>
                <w:sz w:val="20"/>
                <w:szCs w:val="20"/>
              </w:rPr>
            </w:pPr>
            <w:r>
              <w:rPr>
                <w:rFonts w:ascii="宋体" w:hAnsi="宋体" w:eastAsia="宋体" w:cs="宋体"/>
                <w:spacing w:val="-9"/>
                <w:sz w:val="20"/>
                <w:szCs w:val="20"/>
              </w:rPr>
              <w:t>使 用</w:t>
            </w:r>
            <w:r>
              <w:rPr>
                <w:rFonts w:ascii="宋体" w:hAnsi="宋体" w:eastAsia="宋体" w:cs="宋体"/>
                <w:spacing w:val="-11"/>
                <w:sz w:val="20"/>
                <w:szCs w:val="20"/>
              </w:rPr>
              <w:t xml:space="preserve"> </w:t>
            </w:r>
            <w:r>
              <w:rPr>
                <w:rFonts w:ascii="宋体" w:hAnsi="宋体" w:eastAsia="宋体" w:cs="宋体"/>
                <w:spacing w:val="-9"/>
                <w:sz w:val="20"/>
                <w:szCs w:val="20"/>
              </w:rPr>
              <w:t>补</w:t>
            </w:r>
            <w:r>
              <w:rPr>
                <w:rFonts w:ascii="宋体" w:hAnsi="宋体" w:eastAsia="宋体" w:cs="宋体"/>
                <w:sz w:val="20"/>
                <w:szCs w:val="20"/>
              </w:rPr>
              <w:t xml:space="preserve"> </w:t>
            </w:r>
            <w:r>
              <w:rPr>
                <w:rFonts w:ascii="宋体" w:hAnsi="宋体" w:eastAsia="宋体" w:cs="宋体"/>
                <w:spacing w:val="-2"/>
                <w:sz w:val="20"/>
                <w:szCs w:val="20"/>
              </w:rPr>
              <w:t>偿措施</w:t>
            </w:r>
          </w:p>
        </w:tc>
        <w:tc>
          <w:tcPr>
            <w:tcW w:w="1469" w:type="dxa"/>
            <w:vAlign w:val="top"/>
          </w:tcPr>
          <w:p w14:paraId="7A9F1D26">
            <w:pPr>
              <w:pStyle w:val="6"/>
              <w:spacing w:line="286" w:lineRule="auto"/>
            </w:pPr>
          </w:p>
          <w:p w14:paraId="540431A7">
            <w:pPr>
              <w:spacing w:before="65" w:line="219" w:lineRule="auto"/>
              <w:ind w:left="228"/>
              <w:rPr>
                <w:rFonts w:ascii="宋体" w:hAnsi="宋体" w:eastAsia="宋体" w:cs="宋体"/>
                <w:sz w:val="20"/>
                <w:szCs w:val="20"/>
              </w:rPr>
            </w:pPr>
            <w:r>
              <w:rPr>
                <w:rFonts w:ascii="宋体" w:hAnsi="宋体" w:eastAsia="宋体" w:cs="宋体"/>
                <w:spacing w:val="2"/>
                <w:sz w:val="20"/>
                <w:szCs w:val="20"/>
              </w:rPr>
              <w:t>故障模式未</w:t>
            </w:r>
          </w:p>
          <w:p w14:paraId="553E5B97">
            <w:pPr>
              <w:spacing w:before="82" w:line="219" w:lineRule="auto"/>
              <w:ind w:left="228"/>
              <w:rPr>
                <w:rFonts w:ascii="宋体" w:hAnsi="宋体" w:eastAsia="宋体" w:cs="宋体"/>
                <w:sz w:val="20"/>
                <w:szCs w:val="20"/>
              </w:rPr>
            </w:pPr>
            <w:r>
              <w:rPr>
                <w:rFonts w:ascii="宋体" w:hAnsi="宋体" w:eastAsia="宋体" w:cs="宋体"/>
                <w:spacing w:val="4"/>
                <w:sz w:val="20"/>
                <w:szCs w:val="20"/>
              </w:rPr>
              <w:t>被消除原因</w:t>
            </w:r>
          </w:p>
        </w:tc>
        <w:tc>
          <w:tcPr>
            <w:tcW w:w="794" w:type="dxa"/>
            <w:vAlign w:val="top"/>
          </w:tcPr>
          <w:p w14:paraId="7F46A1E0">
            <w:pPr>
              <w:pStyle w:val="6"/>
              <w:spacing w:line="446" w:lineRule="auto"/>
            </w:pPr>
          </w:p>
          <w:p w14:paraId="2D08F9EA">
            <w:pPr>
              <w:spacing w:before="65" w:line="221" w:lineRule="auto"/>
              <w:ind w:left="189"/>
              <w:rPr>
                <w:rFonts w:ascii="宋体" w:hAnsi="宋体" w:eastAsia="宋体" w:cs="宋体"/>
                <w:sz w:val="20"/>
                <w:szCs w:val="20"/>
              </w:rPr>
            </w:pPr>
            <w:r>
              <w:rPr>
                <w:rFonts w:ascii="宋体" w:hAnsi="宋体" w:eastAsia="宋体" w:cs="宋体"/>
                <w:spacing w:val="5"/>
                <w:sz w:val="20"/>
                <w:szCs w:val="20"/>
              </w:rPr>
              <w:t>备注</w:t>
            </w:r>
          </w:p>
        </w:tc>
      </w:tr>
      <w:tr w14:paraId="14BD6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834" w:type="dxa"/>
            <w:vAlign w:val="top"/>
          </w:tcPr>
          <w:p w14:paraId="4A856D9A">
            <w:pPr>
              <w:pStyle w:val="6"/>
            </w:pPr>
          </w:p>
        </w:tc>
        <w:tc>
          <w:tcPr>
            <w:tcW w:w="839" w:type="dxa"/>
            <w:vAlign w:val="top"/>
          </w:tcPr>
          <w:p w14:paraId="054D7C55">
            <w:pPr>
              <w:pStyle w:val="6"/>
            </w:pPr>
          </w:p>
        </w:tc>
        <w:tc>
          <w:tcPr>
            <w:tcW w:w="829" w:type="dxa"/>
            <w:vAlign w:val="top"/>
          </w:tcPr>
          <w:p w14:paraId="66A9677D">
            <w:pPr>
              <w:pStyle w:val="6"/>
            </w:pPr>
          </w:p>
        </w:tc>
        <w:tc>
          <w:tcPr>
            <w:tcW w:w="849" w:type="dxa"/>
            <w:vAlign w:val="top"/>
          </w:tcPr>
          <w:p w14:paraId="67FA6A6F">
            <w:pPr>
              <w:pStyle w:val="6"/>
            </w:pPr>
          </w:p>
        </w:tc>
        <w:tc>
          <w:tcPr>
            <w:tcW w:w="939" w:type="dxa"/>
            <w:vAlign w:val="top"/>
          </w:tcPr>
          <w:p w14:paraId="75D8995C">
            <w:pPr>
              <w:pStyle w:val="6"/>
            </w:pPr>
          </w:p>
        </w:tc>
        <w:tc>
          <w:tcPr>
            <w:tcW w:w="939" w:type="dxa"/>
            <w:vAlign w:val="top"/>
          </w:tcPr>
          <w:p w14:paraId="60FE6844">
            <w:pPr>
              <w:pStyle w:val="6"/>
            </w:pPr>
          </w:p>
        </w:tc>
        <w:tc>
          <w:tcPr>
            <w:tcW w:w="939" w:type="dxa"/>
            <w:vAlign w:val="top"/>
          </w:tcPr>
          <w:p w14:paraId="2081B7C0">
            <w:pPr>
              <w:pStyle w:val="6"/>
            </w:pPr>
          </w:p>
        </w:tc>
        <w:tc>
          <w:tcPr>
            <w:tcW w:w="949" w:type="dxa"/>
            <w:vAlign w:val="top"/>
          </w:tcPr>
          <w:p w14:paraId="6166A992">
            <w:pPr>
              <w:pStyle w:val="6"/>
            </w:pPr>
          </w:p>
        </w:tc>
        <w:tc>
          <w:tcPr>
            <w:tcW w:w="1469" w:type="dxa"/>
            <w:vAlign w:val="top"/>
          </w:tcPr>
          <w:p w14:paraId="2CAF8AC1">
            <w:pPr>
              <w:pStyle w:val="6"/>
            </w:pPr>
          </w:p>
        </w:tc>
        <w:tc>
          <w:tcPr>
            <w:tcW w:w="794" w:type="dxa"/>
            <w:vAlign w:val="top"/>
          </w:tcPr>
          <w:p w14:paraId="0A02C662">
            <w:pPr>
              <w:pStyle w:val="6"/>
            </w:pPr>
          </w:p>
        </w:tc>
      </w:tr>
      <w:tr w14:paraId="1795C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834" w:type="dxa"/>
            <w:vAlign w:val="top"/>
          </w:tcPr>
          <w:p w14:paraId="498D1A71">
            <w:pPr>
              <w:pStyle w:val="6"/>
            </w:pPr>
          </w:p>
        </w:tc>
        <w:tc>
          <w:tcPr>
            <w:tcW w:w="839" w:type="dxa"/>
            <w:vAlign w:val="top"/>
          </w:tcPr>
          <w:p w14:paraId="55064D38">
            <w:pPr>
              <w:pStyle w:val="6"/>
            </w:pPr>
          </w:p>
        </w:tc>
        <w:tc>
          <w:tcPr>
            <w:tcW w:w="829" w:type="dxa"/>
            <w:vAlign w:val="top"/>
          </w:tcPr>
          <w:p w14:paraId="70429351">
            <w:pPr>
              <w:pStyle w:val="6"/>
            </w:pPr>
          </w:p>
        </w:tc>
        <w:tc>
          <w:tcPr>
            <w:tcW w:w="849" w:type="dxa"/>
            <w:vAlign w:val="top"/>
          </w:tcPr>
          <w:p w14:paraId="1457FC8B">
            <w:pPr>
              <w:pStyle w:val="6"/>
            </w:pPr>
          </w:p>
        </w:tc>
        <w:tc>
          <w:tcPr>
            <w:tcW w:w="939" w:type="dxa"/>
            <w:vAlign w:val="top"/>
          </w:tcPr>
          <w:p w14:paraId="7685A061">
            <w:pPr>
              <w:pStyle w:val="6"/>
            </w:pPr>
          </w:p>
        </w:tc>
        <w:tc>
          <w:tcPr>
            <w:tcW w:w="939" w:type="dxa"/>
            <w:vAlign w:val="top"/>
          </w:tcPr>
          <w:p w14:paraId="3724EB96">
            <w:pPr>
              <w:pStyle w:val="6"/>
            </w:pPr>
          </w:p>
        </w:tc>
        <w:tc>
          <w:tcPr>
            <w:tcW w:w="939" w:type="dxa"/>
            <w:vAlign w:val="top"/>
          </w:tcPr>
          <w:p w14:paraId="76A3ACF4">
            <w:pPr>
              <w:pStyle w:val="6"/>
            </w:pPr>
          </w:p>
        </w:tc>
        <w:tc>
          <w:tcPr>
            <w:tcW w:w="949" w:type="dxa"/>
            <w:vAlign w:val="top"/>
          </w:tcPr>
          <w:p w14:paraId="6AE3AC0C">
            <w:pPr>
              <w:pStyle w:val="6"/>
            </w:pPr>
          </w:p>
        </w:tc>
        <w:tc>
          <w:tcPr>
            <w:tcW w:w="1469" w:type="dxa"/>
            <w:vAlign w:val="top"/>
          </w:tcPr>
          <w:p w14:paraId="26658CC1">
            <w:pPr>
              <w:pStyle w:val="6"/>
            </w:pPr>
          </w:p>
        </w:tc>
        <w:tc>
          <w:tcPr>
            <w:tcW w:w="794" w:type="dxa"/>
            <w:vAlign w:val="top"/>
          </w:tcPr>
          <w:p w14:paraId="5D4A2D08">
            <w:pPr>
              <w:pStyle w:val="6"/>
            </w:pPr>
          </w:p>
        </w:tc>
      </w:tr>
    </w:tbl>
    <w:p w14:paraId="6036043A">
      <w:pPr>
        <w:spacing w:before="198" w:line="224" w:lineRule="auto"/>
        <w:rPr>
          <w:rFonts w:ascii="黑体" w:hAnsi="黑体" w:eastAsia="黑体" w:cs="黑体"/>
          <w:sz w:val="25"/>
          <w:szCs w:val="25"/>
        </w:rPr>
      </w:pPr>
      <w:r>
        <w:rPr>
          <w:rFonts w:ascii="黑体" w:hAnsi="黑体" w:eastAsia="黑体" w:cs="黑体"/>
          <w:spacing w:val="9"/>
          <w:sz w:val="25"/>
          <w:szCs w:val="25"/>
        </w:rPr>
        <w:t>9</w:t>
      </w:r>
      <w:r>
        <w:rPr>
          <w:rFonts w:ascii="黑体" w:hAnsi="黑体" w:eastAsia="黑体" w:cs="黑体"/>
          <w:spacing w:val="29"/>
          <w:sz w:val="25"/>
          <w:szCs w:val="25"/>
        </w:rPr>
        <w:t xml:space="preserve">  </w:t>
      </w:r>
      <w:r>
        <w:rPr>
          <w:rFonts w:ascii="黑体" w:hAnsi="黑体" w:eastAsia="黑体" w:cs="黑体"/>
          <w:spacing w:val="9"/>
          <w:sz w:val="25"/>
          <w:szCs w:val="25"/>
        </w:rPr>
        <w:t>附件</w:t>
      </w:r>
    </w:p>
    <w:p w14:paraId="7D0DB5E6">
      <w:pPr>
        <w:pStyle w:val="2"/>
        <w:spacing w:before="84" w:line="219" w:lineRule="auto"/>
        <w:ind w:left="560"/>
      </w:pPr>
      <w:r>
        <w:rPr>
          <w:spacing w:val="-5"/>
        </w:rPr>
        <w:t>包括</w:t>
      </w:r>
      <w:r>
        <w:rPr>
          <w:spacing w:val="-75"/>
        </w:rPr>
        <w:t xml:space="preserve"> </w:t>
      </w:r>
      <w:r>
        <w:rPr>
          <w:rFonts w:ascii="Times New Roman" w:hAnsi="Times New Roman" w:eastAsia="Times New Roman" w:cs="Times New Roman"/>
          <w:spacing w:val="-5"/>
        </w:rPr>
        <w:t xml:space="preserve">FMEA  </w:t>
      </w:r>
      <w:r>
        <w:rPr>
          <w:spacing w:val="-5"/>
        </w:rPr>
        <w:t>表、</w:t>
      </w:r>
      <w:r>
        <w:rPr>
          <w:rFonts w:ascii="Times New Roman" w:hAnsi="Times New Roman" w:eastAsia="Times New Roman" w:cs="Times New Roman"/>
          <w:spacing w:val="-5"/>
        </w:rPr>
        <w:t>CA</w:t>
      </w:r>
      <w:r>
        <w:rPr>
          <w:rFonts w:ascii="Times New Roman" w:hAnsi="Times New Roman" w:eastAsia="Times New Roman" w:cs="Times New Roman"/>
          <w:spacing w:val="38"/>
        </w:rPr>
        <w:t xml:space="preserve"> </w:t>
      </w:r>
      <w:r>
        <w:rPr>
          <w:spacing w:val="-5"/>
        </w:rPr>
        <w:t>表和危害性矩阵图</w:t>
      </w:r>
      <w:r>
        <w:rPr>
          <w:spacing w:val="-6"/>
        </w:rPr>
        <w:t>等。</w:t>
      </w:r>
    </w:p>
    <w:p w14:paraId="3A0FF2A4">
      <w:pPr>
        <w:spacing w:line="299" w:lineRule="auto"/>
        <w:rPr>
          <w:rFonts w:ascii="Arial"/>
          <w:sz w:val="21"/>
        </w:rPr>
      </w:pPr>
    </w:p>
    <w:p w14:paraId="6C9B5A5F">
      <w:pPr>
        <w:pStyle w:val="2"/>
        <w:spacing w:before="117" w:line="219" w:lineRule="auto"/>
        <w:ind w:left="3340"/>
        <w:rPr>
          <w:sz w:val="36"/>
          <w:szCs w:val="36"/>
        </w:rPr>
      </w:pPr>
      <w:r>
        <w:rPr>
          <w:spacing w:val="-1"/>
          <w:sz w:val="36"/>
          <w:szCs w:val="36"/>
        </w:rPr>
        <w:t>7.9</w:t>
      </w:r>
      <w:r>
        <w:rPr>
          <w:spacing w:val="19"/>
          <w:sz w:val="36"/>
          <w:szCs w:val="36"/>
        </w:rPr>
        <w:t xml:space="preserve">  </w:t>
      </w:r>
      <w:r>
        <w:rPr>
          <w:b/>
          <w:bCs/>
          <w:spacing w:val="-1"/>
          <w:sz w:val="36"/>
          <w:szCs w:val="36"/>
        </w:rPr>
        <w:t>故障树分析</w:t>
      </w:r>
    </w:p>
    <w:p w14:paraId="7118CF1C">
      <w:pPr>
        <w:spacing w:line="328" w:lineRule="auto"/>
        <w:rPr>
          <w:rFonts w:ascii="Arial"/>
          <w:sz w:val="21"/>
        </w:rPr>
      </w:pPr>
    </w:p>
    <w:p w14:paraId="449C9982">
      <w:pPr>
        <w:pStyle w:val="2"/>
        <w:spacing w:before="92" w:line="225" w:lineRule="auto"/>
        <w:ind w:left="560"/>
        <w:rPr>
          <w:rFonts w:ascii="楷体" w:hAnsi="楷体" w:eastAsia="楷体" w:cs="楷体"/>
          <w:sz w:val="28"/>
          <w:szCs w:val="28"/>
        </w:rPr>
      </w:pPr>
      <w:r>
        <w:rPr>
          <w:rFonts w:ascii="Times New Roman" w:hAnsi="Times New Roman" w:eastAsia="Times New Roman" w:cs="Times New Roman"/>
          <w:spacing w:val="-8"/>
          <w:sz w:val="28"/>
          <w:szCs w:val="28"/>
        </w:rPr>
        <w:t>GJB/Z768A—1998</w:t>
      </w:r>
      <w:r>
        <w:rPr>
          <w:spacing w:val="-8"/>
          <w:sz w:val="28"/>
          <w:szCs w:val="28"/>
        </w:rPr>
        <w:t>《</w:t>
      </w:r>
      <w:r>
        <w:rPr>
          <w:rFonts w:ascii="楷体" w:hAnsi="楷体" w:eastAsia="楷体" w:cs="楷体"/>
          <w:spacing w:val="-8"/>
          <w:sz w:val="28"/>
          <w:szCs w:val="28"/>
        </w:rPr>
        <w:t>故障树分析指</w:t>
      </w:r>
      <w:r>
        <w:rPr>
          <w:rFonts w:ascii="楷体" w:hAnsi="楷体" w:eastAsia="楷体" w:cs="楷体"/>
          <w:spacing w:val="-9"/>
          <w:sz w:val="28"/>
          <w:szCs w:val="28"/>
        </w:rPr>
        <w:t>南》编写。</w:t>
      </w:r>
    </w:p>
    <w:p w14:paraId="487481FA">
      <w:pPr>
        <w:spacing w:before="91"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9"/>
          <w:sz w:val="25"/>
          <w:szCs w:val="25"/>
        </w:rPr>
        <w:t xml:space="preserve">  </w:t>
      </w:r>
      <w:r>
        <w:rPr>
          <w:rFonts w:ascii="黑体" w:hAnsi="黑体" w:eastAsia="黑体" w:cs="黑体"/>
          <w:spacing w:val="-13"/>
          <w:sz w:val="25"/>
          <w:szCs w:val="25"/>
        </w:rPr>
        <w:t>范</w:t>
      </w:r>
      <w:r>
        <w:rPr>
          <w:rFonts w:ascii="黑体" w:hAnsi="黑体" w:eastAsia="黑体" w:cs="黑体"/>
          <w:spacing w:val="-40"/>
          <w:sz w:val="25"/>
          <w:szCs w:val="25"/>
        </w:rPr>
        <w:t xml:space="preserve"> </w:t>
      </w:r>
      <w:r>
        <w:rPr>
          <w:rFonts w:ascii="黑体" w:hAnsi="黑体" w:eastAsia="黑体" w:cs="黑体"/>
          <w:spacing w:val="-13"/>
          <w:sz w:val="25"/>
          <w:szCs w:val="25"/>
        </w:rPr>
        <w:t>围</w:t>
      </w:r>
    </w:p>
    <w:p w14:paraId="31B9EB2B">
      <w:pPr>
        <w:spacing w:before="87" w:line="222" w:lineRule="auto"/>
        <w:rPr>
          <w:rFonts w:ascii="黑体" w:hAnsi="黑体" w:eastAsia="黑体" w:cs="黑体"/>
          <w:sz w:val="27"/>
          <w:szCs w:val="27"/>
        </w:rPr>
      </w:pPr>
      <w:r>
        <w:rPr>
          <w:rFonts w:ascii="Arial" w:hAnsi="Arial" w:eastAsia="Arial" w:cs="Arial"/>
          <w:sz w:val="27"/>
          <w:szCs w:val="27"/>
        </w:rPr>
        <w:t>2</w:t>
      </w:r>
      <w:r>
        <w:rPr>
          <w:rFonts w:ascii="Arial" w:hAnsi="Arial" w:eastAsia="Arial" w:cs="Arial"/>
          <w:spacing w:val="22"/>
          <w:sz w:val="27"/>
          <w:szCs w:val="27"/>
        </w:rPr>
        <w:t xml:space="preserve">   </w:t>
      </w:r>
      <w:r>
        <w:rPr>
          <w:rFonts w:ascii="黑体" w:hAnsi="黑体" w:eastAsia="黑体" w:cs="黑体"/>
          <w:sz w:val="27"/>
          <w:szCs w:val="27"/>
        </w:rPr>
        <w:t>引用文件</w:t>
      </w:r>
    </w:p>
    <w:p w14:paraId="3A2B9D10">
      <w:pPr>
        <w:spacing w:before="106" w:line="223" w:lineRule="auto"/>
        <w:rPr>
          <w:rFonts w:ascii="黑体" w:hAnsi="黑体" w:eastAsia="黑体" w:cs="黑体"/>
          <w:sz w:val="25"/>
          <w:szCs w:val="25"/>
        </w:rPr>
      </w:pPr>
      <w:r>
        <w:rPr>
          <w:rFonts w:ascii="黑体" w:hAnsi="黑体" w:eastAsia="黑体" w:cs="黑体"/>
          <w:spacing w:val="15"/>
          <w:sz w:val="25"/>
          <w:szCs w:val="25"/>
        </w:rPr>
        <w:t>3</w:t>
      </w:r>
      <w:r>
        <w:rPr>
          <w:rFonts w:ascii="黑体" w:hAnsi="黑体" w:eastAsia="黑体" w:cs="黑体"/>
          <w:spacing w:val="33"/>
          <w:sz w:val="25"/>
          <w:szCs w:val="25"/>
        </w:rPr>
        <w:t xml:space="preserve">  </w:t>
      </w:r>
      <w:r>
        <w:rPr>
          <w:rFonts w:ascii="黑体" w:hAnsi="黑体" w:eastAsia="黑体" w:cs="黑体"/>
          <w:spacing w:val="15"/>
          <w:sz w:val="25"/>
          <w:szCs w:val="25"/>
        </w:rPr>
        <w:t>产品描述</w:t>
      </w:r>
    </w:p>
    <w:p w14:paraId="6CC9CBF2">
      <w:pPr>
        <w:pStyle w:val="2"/>
        <w:spacing w:before="99" w:line="219" w:lineRule="auto"/>
        <w:ind w:left="560"/>
      </w:pPr>
      <w:r>
        <w:rPr>
          <w:spacing w:val="-9"/>
        </w:rPr>
        <w:t>说明产品的功能原理、系统定义、运行状态、系统边界定义等。</w:t>
      </w:r>
    </w:p>
    <w:p w14:paraId="623F2FC5">
      <w:pPr>
        <w:spacing w:before="76" w:line="223" w:lineRule="auto"/>
        <w:rPr>
          <w:rFonts w:ascii="黑体" w:hAnsi="黑体" w:eastAsia="黑体" w:cs="黑体"/>
          <w:sz w:val="25"/>
          <w:szCs w:val="25"/>
        </w:rPr>
      </w:pPr>
      <w:r>
        <w:rPr>
          <w:rFonts w:ascii="黑体" w:hAnsi="黑体" w:eastAsia="黑体" w:cs="黑体"/>
          <w:spacing w:val="-5"/>
          <w:sz w:val="25"/>
          <w:szCs w:val="25"/>
        </w:rPr>
        <w:t>4</w:t>
      </w:r>
      <w:r>
        <w:rPr>
          <w:rFonts w:ascii="黑体" w:hAnsi="黑体" w:eastAsia="黑体" w:cs="黑体"/>
          <w:spacing w:val="24"/>
          <w:sz w:val="25"/>
          <w:szCs w:val="25"/>
        </w:rPr>
        <w:t xml:space="preserve">  </w:t>
      </w:r>
      <w:r>
        <w:rPr>
          <w:rFonts w:ascii="Times New Roman" w:hAnsi="Times New Roman" w:eastAsia="Times New Roman" w:cs="Times New Roman"/>
          <w:b/>
          <w:bCs/>
          <w:spacing w:val="-5"/>
          <w:sz w:val="25"/>
          <w:szCs w:val="25"/>
        </w:rPr>
        <w:t>FTA</w:t>
      </w:r>
      <w:r>
        <w:rPr>
          <w:rFonts w:ascii="Times New Roman" w:hAnsi="Times New Roman" w:eastAsia="Times New Roman" w:cs="Times New Roman"/>
          <w:b/>
          <w:bCs/>
          <w:spacing w:val="37"/>
          <w:sz w:val="25"/>
          <w:szCs w:val="25"/>
        </w:rPr>
        <w:t xml:space="preserve"> </w:t>
      </w:r>
      <w:r>
        <w:rPr>
          <w:rFonts w:ascii="黑体" w:hAnsi="黑体" w:eastAsia="黑体" w:cs="黑体"/>
          <w:b/>
          <w:bCs/>
          <w:spacing w:val="-5"/>
          <w:sz w:val="25"/>
          <w:szCs w:val="25"/>
        </w:rPr>
        <w:t>约</w:t>
      </w:r>
      <w:r>
        <w:rPr>
          <w:rFonts w:ascii="黑体" w:hAnsi="黑体" w:eastAsia="黑体" w:cs="黑体"/>
          <w:spacing w:val="-57"/>
          <w:sz w:val="25"/>
          <w:szCs w:val="25"/>
        </w:rPr>
        <w:t xml:space="preserve"> </w:t>
      </w:r>
      <w:r>
        <w:rPr>
          <w:rFonts w:ascii="黑体" w:hAnsi="黑体" w:eastAsia="黑体" w:cs="黑体"/>
          <w:b/>
          <w:bCs/>
          <w:spacing w:val="-5"/>
          <w:sz w:val="25"/>
          <w:szCs w:val="25"/>
        </w:rPr>
        <w:t>定</w:t>
      </w:r>
    </w:p>
    <w:p w14:paraId="160042D8">
      <w:pPr>
        <w:pStyle w:val="2"/>
        <w:spacing w:before="90" w:line="281" w:lineRule="auto"/>
        <w:ind w:right="138" w:firstLine="560"/>
      </w:pPr>
      <w:r>
        <w:rPr>
          <w:spacing w:val="2"/>
        </w:rPr>
        <w:t>说明进行</w:t>
      </w:r>
      <w:r>
        <w:rPr>
          <w:rFonts w:ascii="Times New Roman" w:hAnsi="Times New Roman" w:eastAsia="Times New Roman" w:cs="Times New Roman"/>
        </w:rPr>
        <w:t>FTA</w:t>
      </w:r>
      <w:r>
        <w:rPr>
          <w:rFonts w:ascii="Times New Roman" w:hAnsi="Times New Roman" w:eastAsia="Times New Roman" w:cs="Times New Roman"/>
          <w:spacing w:val="2"/>
        </w:rPr>
        <w:t xml:space="preserve">  </w:t>
      </w:r>
      <w:r>
        <w:rPr>
          <w:spacing w:val="2"/>
        </w:rPr>
        <w:t>时的若干基本假设，系统故障的定义和判据，顶事</w:t>
      </w:r>
      <w:r>
        <w:rPr>
          <w:spacing w:val="1"/>
        </w:rPr>
        <w:t>件的定义</w:t>
      </w:r>
      <w:r>
        <w:t xml:space="preserve"> </w:t>
      </w:r>
      <w:r>
        <w:rPr>
          <w:spacing w:val="-1"/>
        </w:rPr>
        <w:t>和描述等。</w:t>
      </w:r>
    </w:p>
    <w:p w14:paraId="636A90CB">
      <w:pPr>
        <w:spacing w:line="223" w:lineRule="auto"/>
        <w:rPr>
          <w:rFonts w:ascii="黑体" w:hAnsi="黑体" w:eastAsia="黑体" w:cs="黑体"/>
          <w:sz w:val="27"/>
          <w:szCs w:val="27"/>
        </w:rPr>
      </w:pPr>
      <w:r>
        <w:rPr>
          <w:rFonts w:ascii="黑体" w:hAnsi="黑体" w:eastAsia="黑体" w:cs="黑体"/>
          <w:spacing w:val="4"/>
          <w:sz w:val="27"/>
          <w:szCs w:val="27"/>
        </w:rPr>
        <w:t>5</w:t>
      </w:r>
      <w:r>
        <w:rPr>
          <w:rFonts w:ascii="黑体" w:hAnsi="黑体" w:eastAsia="黑体" w:cs="黑体"/>
          <w:spacing w:val="14"/>
          <w:sz w:val="27"/>
          <w:szCs w:val="27"/>
        </w:rPr>
        <w:t xml:space="preserve">  </w:t>
      </w:r>
      <w:r>
        <w:rPr>
          <w:rFonts w:ascii="黑体" w:hAnsi="黑体" w:eastAsia="黑体" w:cs="黑体"/>
          <w:spacing w:val="4"/>
          <w:sz w:val="27"/>
          <w:szCs w:val="27"/>
        </w:rPr>
        <w:t>故障树建造</w:t>
      </w:r>
    </w:p>
    <w:p w14:paraId="480C47EE">
      <w:pPr>
        <w:pStyle w:val="2"/>
        <w:spacing w:before="111" w:line="219" w:lineRule="auto"/>
        <w:ind w:left="560"/>
        <w:rPr>
          <w:sz w:val="25"/>
          <w:szCs w:val="25"/>
        </w:rPr>
      </w:pPr>
      <w:r>
        <w:rPr>
          <w:spacing w:val="13"/>
          <w:sz w:val="25"/>
          <w:szCs w:val="25"/>
        </w:rPr>
        <w:t>建立故障树的图形表示，并进行简化、规范化和模块分解。</w:t>
      </w:r>
    </w:p>
    <w:p w14:paraId="607113FC">
      <w:pPr>
        <w:spacing w:before="17" w:line="368" w:lineRule="exact"/>
        <w:rPr>
          <w:rFonts w:ascii="黑体" w:hAnsi="黑体" w:eastAsia="黑体" w:cs="黑体"/>
          <w:sz w:val="27"/>
          <w:szCs w:val="27"/>
        </w:rPr>
      </w:pPr>
      <w:r>
        <w:rPr>
          <w:rFonts w:ascii="Arial" w:hAnsi="Arial" w:eastAsia="Arial" w:cs="Arial"/>
          <w:spacing w:val="3"/>
          <w:position w:val="1"/>
          <w:sz w:val="27"/>
          <w:szCs w:val="27"/>
        </w:rPr>
        <w:t>6</w:t>
      </w:r>
      <w:r>
        <w:rPr>
          <w:rFonts w:ascii="Arial" w:hAnsi="Arial" w:eastAsia="Arial" w:cs="Arial"/>
          <w:spacing w:val="23"/>
          <w:position w:val="1"/>
          <w:sz w:val="27"/>
          <w:szCs w:val="27"/>
        </w:rPr>
        <w:t xml:space="preserve">   </w:t>
      </w:r>
      <w:r>
        <w:rPr>
          <w:rFonts w:ascii="黑体" w:hAnsi="黑体" w:eastAsia="黑体" w:cs="黑体"/>
          <w:spacing w:val="3"/>
          <w:position w:val="1"/>
          <w:sz w:val="27"/>
          <w:szCs w:val="27"/>
        </w:rPr>
        <w:t>故障树定性分析</w:t>
      </w:r>
    </w:p>
    <w:p w14:paraId="00D61347">
      <w:pPr>
        <w:pStyle w:val="2"/>
        <w:spacing w:before="109" w:line="274" w:lineRule="auto"/>
        <w:ind w:right="119" w:firstLine="560"/>
      </w:pPr>
      <w:r>
        <w:rPr>
          <w:spacing w:val="2"/>
        </w:rPr>
        <w:t>进行故障树定性分析，计算故障树的最小割集。若采用</w:t>
      </w:r>
      <w:r>
        <w:rPr>
          <w:rFonts w:ascii="Times New Roman" w:hAnsi="Times New Roman" w:eastAsia="Times New Roman" w:cs="Times New Roman"/>
        </w:rPr>
        <w:t>CAD</w:t>
      </w:r>
      <w:r>
        <w:rPr>
          <w:rFonts w:ascii="Times New Roman" w:hAnsi="Times New Roman" w:eastAsia="Times New Roman" w:cs="Times New Roman"/>
          <w:spacing w:val="33"/>
        </w:rPr>
        <w:t xml:space="preserve"> </w:t>
      </w:r>
      <w:r>
        <w:rPr>
          <w:spacing w:val="1"/>
        </w:rPr>
        <w:t>软件，则补充</w:t>
      </w:r>
      <w:r>
        <w:t xml:space="preserve"> </w:t>
      </w:r>
      <w:r>
        <w:rPr>
          <w:spacing w:val="2"/>
        </w:rPr>
        <w:t>说明软件名称及其开发单位等。</w:t>
      </w:r>
    </w:p>
    <w:p w14:paraId="42A6C555">
      <w:pPr>
        <w:spacing w:before="1" w:line="222" w:lineRule="auto"/>
        <w:rPr>
          <w:rFonts w:ascii="黑体" w:hAnsi="黑体" w:eastAsia="黑体" w:cs="黑体"/>
          <w:sz w:val="27"/>
          <w:szCs w:val="27"/>
        </w:rPr>
      </w:pPr>
      <w:r>
        <w:rPr>
          <w:rFonts w:ascii="Arial" w:hAnsi="Arial" w:eastAsia="Arial" w:cs="Arial"/>
          <w:spacing w:val="3"/>
          <w:sz w:val="27"/>
          <w:szCs w:val="27"/>
        </w:rPr>
        <w:t>7</w:t>
      </w:r>
      <w:r>
        <w:rPr>
          <w:rFonts w:ascii="Arial" w:hAnsi="Arial" w:eastAsia="Arial" w:cs="Arial"/>
          <w:spacing w:val="23"/>
          <w:sz w:val="27"/>
          <w:szCs w:val="27"/>
        </w:rPr>
        <w:t xml:space="preserve">   </w:t>
      </w:r>
      <w:r>
        <w:rPr>
          <w:rFonts w:ascii="黑体" w:hAnsi="黑体" w:eastAsia="黑体" w:cs="黑体"/>
          <w:spacing w:val="3"/>
          <w:sz w:val="27"/>
          <w:szCs w:val="27"/>
        </w:rPr>
        <w:t>故障树定量分析</w:t>
      </w:r>
    </w:p>
    <w:p w14:paraId="36490485">
      <w:pPr>
        <w:pStyle w:val="2"/>
        <w:spacing w:before="82" w:line="265" w:lineRule="auto"/>
        <w:ind w:firstLine="560"/>
        <w:jc w:val="both"/>
      </w:pPr>
      <w:r>
        <w:rPr>
          <w:spacing w:val="1"/>
        </w:rPr>
        <w:t xml:space="preserve">进行故障树定量分析，计算故障树顶事件发生概率，分析故障树重要度等。 </w:t>
      </w:r>
      <w:r>
        <w:rPr>
          <w:spacing w:val="11"/>
        </w:rPr>
        <w:t>若采用</w:t>
      </w:r>
      <w:r>
        <w:rPr>
          <w:rFonts w:ascii="Times New Roman" w:hAnsi="Times New Roman" w:eastAsia="Times New Roman" w:cs="Times New Roman"/>
        </w:rPr>
        <w:t>CAD</w:t>
      </w:r>
      <w:r>
        <w:rPr>
          <w:rFonts w:ascii="Times New Roman" w:hAnsi="Times New Roman" w:eastAsia="Times New Roman" w:cs="Times New Roman"/>
          <w:spacing w:val="34"/>
        </w:rPr>
        <w:t xml:space="preserve"> </w:t>
      </w:r>
      <w:r>
        <w:rPr>
          <w:spacing w:val="11"/>
        </w:rPr>
        <w:t>软件，则补充说明软件名称，开发单位等。对数据的来源要进行</w:t>
      </w:r>
      <w:r>
        <w:t xml:space="preserve">  </w:t>
      </w:r>
      <w:r>
        <w:rPr>
          <w:spacing w:val="-2"/>
        </w:rPr>
        <w:t>说明。</w:t>
      </w:r>
    </w:p>
    <w:p w14:paraId="3CE9B0E1">
      <w:pPr>
        <w:spacing w:line="368" w:lineRule="exact"/>
        <w:rPr>
          <w:rFonts w:ascii="黑体" w:hAnsi="黑体" w:eastAsia="黑体" w:cs="黑体"/>
          <w:sz w:val="27"/>
          <w:szCs w:val="27"/>
        </w:rPr>
      </w:pPr>
      <w:r>
        <w:rPr>
          <w:rFonts w:ascii="Arial" w:hAnsi="Arial" w:eastAsia="Arial" w:cs="Arial"/>
          <w:spacing w:val="3"/>
          <w:position w:val="1"/>
          <w:sz w:val="27"/>
          <w:szCs w:val="27"/>
        </w:rPr>
        <w:t>8</w:t>
      </w:r>
      <w:r>
        <w:rPr>
          <w:rFonts w:ascii="Arial" w:hAnsi="Arial" w:eastAsia="Arial" w:cs="Arial"/>
          <w:spacing w:val="23"/>
          <w:w w:val="101"/>
          <w:position w:val="1"/>
          <w:sz w:val="27"/>
          <w:szCs w:val="27"/>
        </w:rPr>
        <w:t xml:space="preserve">   </w:t>
      </w:r>
      <w:r>
        <w:rPr>
          <w:rFonts w:ascii="黑体" w:hAnsi="黑体" w:eastAsia="黑体" w:cs="黑体"/>
          <w:spacing w:val="3"/>
          <w:position w:val="1"/>
          <w:sz w:val="27"/>
          <w:szCs w:val="27"/>
        </w:rPr>
        <w:t>分析结论和建议</w:t>
      </w:r>
    </w:p>
    <w:p w14:paraId="3441C676">
      <w:pPr>
        <w:pStyle w:val="2"/>
        <w:spacing w:before="113" w:line="265" w:lineRule="auto"/>
        <w:ind w:right="118" w:firstLine="560"/>
        <w:jc w:val="both"/>
      </w:pPr>
      <w:r>
        <w:rPr>
          <w:spacing w:val="6"/>
        </w:rPr>
        <w:t>根据故障树定性分析和定量分析结果，确定出哪些底事件</w:t>
      </w:r>
      <w:r>
        <w:rPr>
          <w:spacing w:val="5"/>
        </w:rPr>
        <w:t>或最小割集是产</w:t>
      </w:r>
      <w:r>
        <w:t xml:space="preserve"> </w:t>
      </w:r>
      <w:r>
        <w:rPr>
          <w:spacing w:val="-3"/>
        </w:rPr>
        <w:t>品最为薄弱的环节，即定为可靠性关键项目，并针对这些项目提出相应的改进措</w:t>
      </w:r>
      <w:r>
        <w:rPr>
          <w:spacing w:val="8"/>
        </w:rPr>
        <w:t xml:space="preserve"> </w:t>
      </w:r>
      <w:r>
        <w:rPr>
          <w:spacing w:val="-1"/>
        </w:rPr>
        <w:t>施或建议。</w:t>
      </w:r>
    </w:p>
    <w:p w14:paraId="1016AE8C">
      <w:pPr>
        <w:spacing w:line="265" w:lineRule="auto"/>
        <w:sectPr>
          <w:footerReference r:id="rId373" w:type="default"/>
          <w:pgSz w:w="11910" w:h="17130"/>
          <w:pgMar w:top="1456" w:right="915" w:bottom="1476" w:left="1489" w:header="0" w:footer="1287" w:gutter="0"/>
          <w:cols w:space="720" w:num="1"/>
        </w:sectPr>
      </w:pPr>
    </w:p>
    <w:p w14:paraId="2A8C1BAD">
      <w:pPr>
        <w:spacing w:before="159" w:line="368" w:lineRule="exact"/>
        <w:rPr>
          <w:rFonts w:ascii="黑体" w:hAnsi="黑体" w:eastAsia="黑体" w:cs="黑体"/>
          <w:sz w:val="27"/>
          <w:szCs w:val="27"/>
        </w:rPr>
      </w:pPr>
      <w:r>
        <w:rPr>
          <w:rFonts w:ascii="Arial" w:hAnsi="Arial" w:eastAsia="Arial" w:cs="Arial"/>
          <w:spacing w:val="-3"/>
          <w:position w:val="1"/>
          <w:sz w:val="27"/>
          <w:szCs w:val="27"/>
        </w:rPr>
        <w:t>9</w:t>
      </w:r>
      <w:r>
        <w:rPr>
          <w:rFonts w:ascii="Arial" w:hAnsi="Arial" w:eastAsia="Arial" w:cs="Arial"/>
          <w:spacing w:val="22"/>
          <w:position w:val="1"/>
          <w:sz w:val="27"/>
          <w:szCs w:val="27"/>
        </w:rPr>
        <w:t xml:space="preserve">   </w:t>
      </w:r>
      <w:r>
        <w:rPr>
          <w:rFonts w:ascii="黑体" w:hAnsi="黑体" w:eastAsia="黑体" w:cs="黑体"/>
          <w:spacing w:val="-3"/>
          <w:position w:val="1"/>
          <w:sz w:val="27"/>
          <w:szCs w:val="27"/>
        </w:rPr>
        <w:t>附件</w:t>
      </w:r>
    </w:p>
    <w:p w14:paraId="387D5D55">
      <w:pPr>
        <w:pStyle w:val="2"/>
        <w:spacing w:before="57" w:line="306" w:lineRule="auto"/>
        <w:ind w:firstLine="560"/>
      </w:pPr>
      <w:r>
        <w:rPr>
          <w:spacing w:val="-3"/>
        </w:rPr>
        <w:t>附件包括可靠性数据表及数据来源说明，系统资料(如原理图，功能方框图，</w:t>
      </w:r>
      <w:r>
        <w:rPr>
          <w:spacing w:val="9"/>
        </w:rPr>
        <w:t xml:space="preserve"> </w:t>
      </w:r>
      <w:r>
        <w:rPr>
          <w:spacing w:val="2"/>
        </w:rPr>
        <w:t>可靠性框图等),其他的补充资料。</w:t>
      </w:r>
    </w:p>
    <w:p w14:paraId="21CB03E6">
      <w:pPr>
        <w:pStyle w:val="2"/>
        <w:spacing w:before="304" w:line="219" w:lineRule="auto"/>
        <w:ind w:left="3049"/>
        <w:rPr>
          <w:sz w:val="36"/>
          <w:szCs w:val="36"/>
        </w:rPr>
      </w:pPr>
      <w:r>
        <w:rPr>
          <w:spacing w:val="2"/>
          <w:sz w:val="36"/>
          <w:szCs w:val="36"/>
        </w:rPr>
        <w:t xml:space="preserve">7.10  </w:t>
      </w:r>
      <w:r>
        <w:rPr>
          <w:b/>
          <w:bCs/>
          <w:spacing w:val="2"/>
          <w:sz w:val="36"/>
          <w:szCs w:val="36"/>
        </w:rPr>
        <w:t>潜在通路分析</w:t>
      </w:r>
    </w:p>
    <w:p w14:paraId="3F9D2FA3">
      <w:pPr>
        <w:spacing w:line="324" w:lineRule="auto"/>
        <w:rPr>
          <w:rFonts w:ascii="Arial"/>
          <w:sz w:val="21"/>
        </w:rPr>
      </w:pPr>
    </w:p>
    <w:p w14:paraId="41FC2692">
      <w:pPr>
        <w:pStyle w:val="2"/>
        <w:spacing w:before="91" w:line="223"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2923FAEB">
      <w:pPr>
        <w:pStyle w:val="2"/>
        <w:spacing w:before="46" w:line="277" w:lineRule="auto"/>
        <w:ind w:right="158" w:firstLine="560"/>
        <w:rPr>
          <w:rFonts w:ascii="楷体" w:hAnsi="楷体" w:eastAsia="楷体" w:cs="楷体"/>
        </w:rPr>
      </w:pPr>
      <w:r>
        <w:rPr>
          <w:rFonts w:ascii="楷体" w:hAnsi="楷体" w:eastAsia="楷体" w:cs="楷体"/>
          <w:spacing w:val="-4"/>
        </w:rPr>
        <w:t>根据所分析的对象，潜在分析可分为：针对电路的潜在电路分析(</w:t>
      </w:r>
      <w:r>
        <w:rPr>
          <w:rFonts w:ascii="楷体" w:hAnsi="楷体" w:eastAsia="楷体" w:cs="楷体"/>
          <w:spacing w:val="-52"/>
        </w:rPr>
        <w:t xml:space="preserve"> </w:t>
      </w:r>
      <w:r>
        <w:rPr>
          <w:rFonts w:ascii="Times New Roman" w:hAnsi="Times New Roman" w:eastAsia="Times New Roman" w:cs="Times New Roman"/>
          <w:spacing w:val="-4"/>
        </w:rPr>
        <w:t>SCA)</w:t>
      </w:r>
      <w:r>
        <w:rPr>
          <w:spacing w:val="-4"/>
        </w:rPr>
        <w:t>、</w:t>
      </w:r>
      <w:r>
        <w:rPr>
          <w:rFonts w:ascii="楷体" w:hAnsi="楷体" w:eastAsia="楷体" w:cs="楷体"/>
          <w:spacing w:val="-4"/>
        </w:rPr>
        <w:t>针</w:t>
      </w:r>
      <w:r>
        <w:rPr>
          <w:rFonts w:ascii="楷体" w:hAnsi="楷体" w:eastAsia="楷体" w:cs="楷体"/>
        </w:rPr>
        <w:t xml:space="preserve"> </w:t>
      </w:r>
      <w:r>
        <w:rPr>
          <w:rFonts w:ascii="楷体" w:hAnsi="楷体" w:eastAsia="楷体" w:cs="楷体"/>
          <w:spacing w:val="-2"/>
        </w:rPr>
        <w:t>对软件的潜在分析和针对液管路、气管路的潜在通路分析。</w:t>
      </w:r>
    </w:p>
    <w:p w14:paraId="5F1663C9">
      <w:pPr>
        <w:spacing w:line="212" w:lineRule="auto"/>
        <w:ind w:left="560"/>
        <w:rPr>
          <w:rFonts w:ascii="楷体" w:hAnsi="楷体" w:eastAsia="楷体" w:cs="楷体"/>
          <w:sz w:val="28"/>
          <w:szCs w:val="28"/>
        </w:rPr>
      </w:pPr>
      <w:r>
        <w:rPr>
          <w:rFonts w:ascii="楷体" w:hAnsi="楷体" w:eastAsia="楷体" w:cs="楷体"/>
          <w:spacing w:val="-11"/>
          <w:sz w:val="28"/>
          <w:szCs w:val="28"/>
        </w:rPr>
        <w:t>以针对电路的潜在电路分析(</w:t>
      </w:r>
      <w:r>
        <w:rPr>
          <w:rFonts w:ascii="Times New Roman" w:hAnsi="Times New Roman" w:eastAsia="Times New Roman" w:cs="Times New Roman"/>
          <w:spacing w:val="-11"/>
          <w:sz w:val="28"/>
          <w:szCs w:val="28"/>
        </w:rPr>
        <w:t xml:space="preserve">SCA) </w:t>
      </w:r>
      <w:r>
        <w:rPr>
          <w:rFonts w:ascii="楷体" w:hAnsi="楷体" w:eastAsia="楷体" w:cs="楷体"/>
          <w:spacing w:val="-11"/>
          <w:sz w:val="28"/>
          <w:szCs w:val="28"/>
        </w:rPr>
        <w:t>为例，说明如下：</w:t>
      </w:r>
    </w:p>
    <w:p w14:paraId="4AEDA264">
      <w:pPr>
        <w:spacing w:before="130"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4"/>
          <w:sz w:val="27"/>
          <w:szCs w:val="27"/>
        </w:rPr>
        <w:t xml:space="preserve">  </w:t>
      </w:r>
      <w:r>
        <w:rPr>
          <w:rFonts w:ascii="黑体" w:hAnsi="黑体" w:eastAsia="黑体" w:cs="黑体"/>
          <w:spacing w:val="-3"/>
          <w:sz w:val="27"/>
          <w:szCs w:val="27"/>
        </w:rPr>
        <w:t>范围</w:t>
      </w:r>
    </w:p>
    <w:p w14:paraId="744B061E">
      <w:pPr>
        <w:spacing w:before="121" w:line="222" w:lineRule="auto"/>
        <w:rPr>
          <w:rFonts w:ascii="黑体" w:hAnsi="黑体" w:eastAsia="黑体" w:cs="黑体"/>
          <w:sz w:val="24"/>
          <w:szCs w:val="24"/>
        </w:rPr>
      </w:pPr>
      <w:r>
        <w:rPr>
          <w:rFonts w:ascii="黑体" w:hAnsi="黑体" w:eastAsia="黑体" w:cs="黑体"/>
          <w:spacing w:val="24"/>
          <w:sz w:val="24"/>
          <w:szCs w:val="24"/>
        </w:rPr>
        <w:t>2</w:t>
      </w:r>
      <w:r>
        <w:rPr>
          <w:rFonts w:ascii="黑体" w:hAnsi="黑体" w:eastAsia="黑体" w:cs="黑体"/>
          <w:spacing w:val="40"/>
          <w:sz w:val="24"/>
          <w:szCs w:val="24"/>
        </w:rPr>
        <w:t xml:space="preserve">  </w:t>
      </w:r>
      <w:r>
        <w:rPr>
          <w:rFonts w:ascii="黑体" w:hAnsi="黑体" w:eastAsia="黑体" w:cs="黑体"/>
          <w:spacing w:val="24"/>
          <w:sz w:val="24"/>
          <w:szCs w:val="24"/>
        </w:rPr>
        <w:t>引用文件</w:t>
      </w:r>
    </w:p>
    <w:p w14:paraId="3BDD4511">
      <w:pPr>
        <w:spacing w:before="23" w:line="368" w:lineRule="exact"/>
        <w:rPr>
          <w:rFonts w:ascii="黑体" w:hAnsi="黑体" w:eastAsia="黑体" w:cs="黑体"/>
          <w:sz w:val="27"/>
          <w:szCs w:val="27"/>
        </w:rPr>
      </w:pPr>
      <w:r>
        <w:rPr>
          <w:rFonts w:ascii="Arial" w:hAnsi="Arial" w:eastAsia="Arial" w:cs="Arial"/>
          <w:spacing w:val="-1"/>
          <w:position w:val="1"/>
          <w:sz w:val="27"/>
          <w:szCs w:val="27"/>
        </w:rPr>
        <w:t>3</w:t>
      </w:r>
      <w:r>
        <w:rPr>
          <w:rFonts w:ascii="Arial" w:hAnsi="Arial" w:eastAsia="Arial" w:cs="Arial"/>
          <w:spacing w:val="23"/>
          <w:position w:val="1"/>
          <w:sz w:val="27"/>
          <w:szCs w:val="27"/>
        </w:rPr>
        <w:t xml:space="preserve">   </w:t>
      </w:r>
      <w:r>
        <w:rPr>
          <w:rFonts w:ascii="黑体" w:hAnsi="黑体" w:eastAsia="黑体" w:cs="黑体"/>
          <w:spacing w:val="-1"/>
          <w:position w:val="1"/>
          <w:sz w:val="27"/>
          <w:szCs w:val="27"/>
        </w:rPr>
        <w:t>分析任务</w:t>
      </w:r>
    </w:p>
    <w:p w14:paraId="6F8188E8">
      <w:pPr>
        <w:pStyle w:val="2"/>
        <w:spacing w:before="83" w:line="290" w:lineRule="auto"/>
        <w:ind w:right="140" w:firstLine="560"/>
      </w:pPr>
      <w:r>
        <w:rPr>
          <w:spacing w:val="5"/>
        </w:rPr>
        <w:t>需要明确的事项包括：分析内容、任务输入、指标要求、完成形式和任务</w:t>
      </w:r>
      <w:r>
        <w:rPr>
          <w:spacing w:val="11"/>
        </w:rPr>
        <w:t xml:space="preserve"> </w:t>
      </w:r>
      <w:r>
        <w:rPr>
          <w:spacing w:val="-6"/>
        </w:rPr>
        <w:t>进度。</w:t>
      </w:r>
    </w:p>
    <w:p w14:paraId="29D7A87A">
      <w:pPr>
        <w:spacing w:line="222" w:lineRule="auto"/>
        <w:rPr>
          <w:rFonts w:ascii="黑体" w:hAnsi="黑体" w:eastAsia="黑体" w:cs="黑体"/>
          <w:sz w:val="24"/>
          <w:szCs w:val="24"/>
        </w:rPr>
      </w:pPr>
      <w:r>
        <w:rPr>
          <w:rFonts w:ascii="Arial" w:hAnsi="Arial" w:eastAsia="Arial" w:cs="Arial"/>
          <w:spacing w:val="29"/>
          <w:sz w:val="24"/>
          <w:szCs w:val="24"/>
        </w:rPr>
        <w:t>4</w:t>
      </w:r>
      <w:r>
        <w:rPr>
          <w:rFonts w:ascii="Arial" w:hAnsi="Arial" w:eastAsia="Arial" w:cs="Arial"/>
          <w:spacing w:val="9"/>
          <w:sz w:val="24"/>
          <w:szCs w:val="24"/>
        </w:rPr>
        <w:t xml:space="preserve">    </w:t>
      </w:r>
      <w:r>
        <w:rPr>
          <w:rFonts w:ascii="黑体" w:hAnsi="黑体" w:eastAsia="黑体" w:cs="黑体"/>
          <w:spacing w:val="29"/>
          <w:sz w:val="24"/>
          <w:szCs w:val="24"/>
        </w:rPr>
        <w:t>收集和处理数据</w:t>
      </w:r>
    </w:p>
    <w:p w14:paraId="467B567D">
      <w:pPr>
        <w:spacing w:before="122" w:line="222" w:lineRule="auto"/>
        <w:rPr>
          <w:rFonts w:ascii="黑体" w:hAnsi="黑体" w:eastAsia="黑体" w:cs="黑体"/>
          <w:sz w:val="25"/>
          <w:szCs w:val="25"/>
        </w:rPr>
      </w:pPr>
      <w:r>
        <w:rPr>
          <w:rFonts w:ascii="黑体" w:hAnsi="黑体" w:eastAsia="黑体" w:cs="黑体"/>
          <w:spacing w:val="11"/>
          <w:sz w:val="25"/>
          <w:szCs w:val="25"/>
        </w:rPr>
        <w:t>4.1</w:t>
      </w:r>
      <w:r>
        <w:rPr>
          <w:rFonts w:ascii="黑体" w:hAnsi="黑体" w:eastAsia="黑体" w:cs="黑体"/>
          <w:spacing w:val="54"/>
          <w:sz w:val="25"/>
          <w:szCs w:val="25"/>
        </w:rPr>
        <w:t xml:space="preserve">  </w:t>
      </w:r>
      <w:r>
        <w:rPr>
          <w:rFonts w:ascii="黑体" w:hAnsi="黑体" w:eastAsia="黑体" w:cs="黑体"/>
          <w:spacing w:val="11"/>
          <w:sz w:val="25"/>
          <w:szCs w:val="25"/>
        </w:rPr>
        <w:t>数据收集</w:t>
      </w:r>
    </w:p>
    <w:p w14:paraId="14F6D280">
      <w:pPr>
        <w:pStyle w:val="2"/>
        <w:spacing w:before="89" w:line="219" w:lineRule="auto"/>
        <w:ind w:left="560"/>
      </w:pPr>
      <w:r>
        <w:rPr>
          <w:spacing w:val="3"/>
        </w:rPr>
        <w:t>对数据收集情况进行说明。收集数据的基本原则：</w:t>
      </w:r>
    </w:p>
    <w:p w14:paraId="2B494FFD">
      <w:pPr>
        <w:pStyle w:val="2"/>
        <w:spacing w:before="61" w:line="212" w:lineRule="auto"/>
        <w:ind w:left="560"/>
      </w:pPr>
      <w:r>
        <w:rPr>
          <w:rFonts w:ascii="Times New Roman" w:hAnsi="Times New Roman" w:eastAsia="Times New Roman" w:cs="Times New Roman"/>
          <w:spacing w:val="4"/>
        </w:rPr>
        <w:t xml:space="preserve">a)  </w:t>
      </w:r>
      <w:r>
        <w:rPr>
          <w:spacing w:val="4"/>
        </w:rPr>
        <w:t>收集的数据必须是最反映当前设计实际技术状态的数据；</w:t>
      </w:r>
    </w:p>
    <w:p w14:paraId="255354A9">
      <w:pPr>
        <w:pStyle w:val="2"/>
        <w:spacing w:before="109" w:line="212" w:lineRule="auto"/>
        <w:ind w:left="560"/>
      </w:pPr>
      <w:r>
        <w:rPr>
          <w:rFonts w:ascii="Times New Roman" w:hAnsi="Times New Roman" w:eastAsia="Times New Roman" w:cs="Times New Roman"/>
          <w:spacing w:val="5"/>
        </w:rPr>
        <w:t>b)</w:t>
      </w:r>
      <w:r>
        <w:rPr>
          <w:rFonts w:ascii="Times New Roman" w:hAnsi="Times New Roman" w:eastAsia="Times New Roman" w:cs="Times New Roman"/>
          <w:spacing w:val="67"/>
        </w:rPr>
        <w:t xml:space="preserve"> </w:t>
      </w:r>
      <w:r>
        <w:rPr>
          <w:spacing w:val="5"/>
        </w:rPr>
        <w:t>要尽可能全面收集到能准确表达任务要求和设计意图的资料；</w:t>
      </w:r>
    </w:p>
    <w:p w14:paraId="79935723">
      <w:pPr>
        <w:pStyle w:val="2"/>
        <w:spacing w:before="90" w:line="212" w:lineRule="auto"/>
        <w:ind w:left="560"/>
      </w:pPr>
      <w:r>
        <w:rPr>
          <w:rFonts w:ascii="Times New Roman" w:hAnsi="Times New Roman" w:eastAsia="Times New Roman" w:cs="Times New Roman"/>
          <w:spacing w:val="-1"/>
        </w:rPr>
        <w:t>c)</w:t>
      </w:r>
      <w:r>
        <w:rPr>
          <w:rFonts w:ascii="Times New Roman" w:hAnsi="Times New Roman" w:eastAsia="Times New Roman" w:cs="Times New Roman"/>
          <w:spacing w:val="72"/>
          <w:w w:val="101"/>
        </w:rPr>
        <w:t xml:space="preserve"> </w:t>
      </w:r>
      <w:r>
        <w:rPr>
          <w:spacing w:val="-1"/>
        </w:rPr>
        <w:t>对原理设计进行潜在电路分析时，要收集原理设计图；</w:t>
      </w:r>
    </w:p>
    <w:p w14:paraId="324DE236">
      <w:pPr>
        <w:pStyle w:val="2"/>
        <w:spacing w:before="100" w:line="257" w:lineRule="auto"/>
        <w:ind w:right="119" w:firstLine="560"/>
      </w:pPr>
      <w:r>
        <w:rPr>
          <w:rFonts w:ascii="Times New Roman" w:hAnsi="Times New Roman" w:eastAsia="Times New Roman" w:cs="Times New Roman"/>
          <w:spacing w:val="3"/>
        </w:rPr>
        <w:t xml:space="preserve">d)  </w:t>
      </w:r>
      <w:r>
        <w:rPr>
          <w:spacing w:val="3"/>
        </w:rPr>
        <w:t>对物理实现进行潜在电路分析时，要收集直接用于生产制造的图</w:t>
      </w:r>
      <w:r>
        <w:rPr>
          <w:spacing w:val="2"/>
        </w:rPr>
        <w:t>纸或物</w:t>
      </w:r>
      <w:r>
        <w:t xml:space="preserve"> </w:t>
      </w:r>
      <w:r>
        <w:rPr>
          <w:spacing w:val="3"/>
        </w:rPr>
        <w:t>理连接数据以及有关元器件的电气参数。</w:t>
      </w:r>
    </w:p>
    <w:p w14:paraId="19FB0EDF">
      <w:pPr>
        <w:spacing w:before="128" w:line="222" w:lineRule="auto"/>
        <w:rPr>
          <w:rFonts w:ascii="黑体" w:hAnsi="黑体" w:eastAsia="黑体" w:cs="黑体"/>
          <w:sz w:val="24"/>
          <w:szCs w:val="24"/>
        </w:rPr>
      </w:pPr>
      <w:r>
        <w:rPr>
          <w:rFonts w:ascii="黑体" w:hAnsi="黑体" w:eastAsia="黑体" w:cs="黑体"/>
          <w:spacing w:val="19"/>
          <w:sz w:val="24"/>
          <w:szCs w:val="24"/>
        </w:rPr>
        <w:t>4.2</w:t>
      </w:r>
      <w:r>
        <w:rPr>
          <w:rFonts w:ascii="黑体" w:hAnsi="黑体" w:eastAsia="黑体" w:cs="黑体"/>
          <w:spacing w:val="57"/>
          <w:sz w:val="24"/>
          <w:szCs w:val="24"/>
        </w:rPr>
        <w:t xml:space="preserve">  </w:t>
      </w:r>
      <w:r>
        <w:rPr>
          <w:rFonts w:ascii="黑体" w:hAnsi="黑体" w:eastAsia="黑体" w:cs="黑体"/>
          <w:spacing w:val="19"/>
          <w:sz w:val="24"/>
          <w:szCs w:val="24"/>
        </w:rPr>
        <w:t>数据审核</w:t>
      </w:r>
    </w:p>
    <w:p w14:paraId="187E1DC6">
      <w:pPr>
        <w:pStyle w:val="2"/>
        <w:spacing w:before="81" w:line="219" w:lineRule="auto"/>
        <w:ind w:left="560"/>
      </w:pPr>
      <w:r>
        <w:rPr>
          <w:spacing w:val="4"/>
        </w:rPr>
        <w:t>对数据审核情况进行说明。数据审核的范围包括以下几个方面：</w:t>
      </w:r>
    </w:p>
    <w:p w14:paraId="6C39A8D5">
      <w:pPr>
        <w:pStyle w:val="2"/>
        <w:spacing w:before="92" w:line="249" w:lineRule="auto"/>
        <w:ind w:right="135" w:firstLine="560"/>
      </w:pPr>
      <w:r>
        <w:rPr>
          <w:rFonts w:ascii="Times New Roman" w:hAnsi="Times New Roman" w:eastAsia="Times New Roman" w:cs="Times New Roman"/>
          <w:spacing w:val="3"/>
        </w:rPr>
        <w:t>a)</w:t>
      </w:r>
      <w:r>
        <w:rPr>
          <w:rFonts w:ascii="Times New Roman" w:hAnsi="Times New Roman" w:eastAsia="Times New Roman" w:cs="Times New Roman"/>
          <w:spacing w:val="70"/>
        </w:rPr>
        <w:t xml:space="preserve"> </w:t>
      </w:r>
      <w:r>
        <w:rPr>
          <w:spacing w:val="3"/>
        </w:rPr>
        <w:t>任务要求和设计意图。主要是审核设计意图与任务要求的一致性，上下</w:t>
      </w:r>
      <w:r>
        <w:t xml:space="preserve"> </w:t>
      </w:r>
      <w:r>
        <w:rPr>
          <w:spacing w:val="-4"/>
        </w:rPr>
        <w:t>级的技术任务书、接口、软件等有关文件(文字资料)相互的一致性。</w:t>
      </w:r>
    </w:p>
    <w:p w14:paraId="3F59835B">
      <w:pPr>
        <w:pStyle w:val="2"/>
        <w:spacing w:before="62" w:line="266" w:lineRule="auto"/>
        <w:ind w:right="132" w:firstLine="560"/>
      </w:pPr>
      <w:r>
        <w:rPr>
          <w:rFonts w:ascii="Times New Roman" w:hAnsi="Times New Roman" w:eastAsia="Times New Roman" w:cs="Times New Roman"/>
          <w:spacing w:val="2"/>
        </w:rPr>
        <w:t xml:space="preserve">b)  </w:t>
      </w:r>
      <w:r>
        <w:rPr>
          <w:spacing w:val="2"/>
        </w:rPr>
        <w:t>原理设计。审核每个设计意图对应的原理设计的正确性；图纸上的注解</w:t>
      </w:r>
      <w:r>
        <w:rPr>
          <w:spacing w:val="8"/>
        </w:rPr>
        <w:t xml:space="preserve"> </w:t>
      </w:r>
      <w:r>
        <w:rPr>
          <w:spacing w:val="-9"/>
        </w:rPr>
        <w:t>是否完整、准确，元器件符号是否正确，各</w:t>
      </w:r>
      <w:r>
        <w:rPr>
          <w:spacing w:val="-10"/>
        </w:rPr>
        <w:t>种图纸和说明书是否一致，图纸表达的</w:t>
      </w:r>
      <w:r>
        <w:t xml:space="preserve"> </w:t>
      </w:r>
      <w:r>
        <w:rPr>
          <w:spacing w:val="3"/>
        </w:rPr>
        <w:t>接口电路是否符合任务书中规定的约定。</w:t>
      </w:r>
    </w:p>
    <w:p w14:paraId="773C4CB5">
      <w:pPr>
        <w:pStyle w:val="2"/>
        <w:spacing w:before="103" w:line="270" w:lineRule="auto"/>
        <w:ind w:right="142" w:firstLine="560"/>
        <w:rPr>
          <w:sz w:val="24"/>
          <w:szCs w:val="24"/>
        </w:rPr>
      </w:pPr>
      <w:r>
        <w:rPr>
          <w:rFonts w:ascii="Times New Roman" w:hAnsi="Times New Roman" w:eastAsia="Times New Roman" w:cs="Times New Roman"/>
          <w:spacing w:val="47"/>
          <w:sz w:val="24"/>
          <w:szCs w:val="24"/>
        </w:rPr>
        <w:t xml:space="preserve">c)  </w:t>
      </w:r>
      <w:r>
        <w:rPr>
          <w:spacing w:val="47"/>
          <w:sz w:val="24"/>
          <w:szCs w:val="24"/>
        </w:rPr>
        <w:t>物理实现。包含对电气连接及元器件和电缆线电</w:t>
      </w:r>
      <w:r>
        <w:rPr>
          <w:spacing w:val="46"/>
          <w:sz w:val="24"/>
          <w:szCs w:val="24"/>
        </w:rPr>
        <w:t>气参数进行审核两</w:t>
      </w:r>
      <w:r>
        <w:rPr>
          <w:sz w:val="24"/>
          <w:szCs w:val="24"/>
        </w:rPr>
        <w:t xml:space="preserve"> </w:t>
      </w:r>
      <w:r>
        <w:rPr>
          <w:spacing w:val="16"/>
          <w:sz w:val="24"/>
          <w:szCs w:val="24"/>
        </w:rPr>
        <w:t>部分。</w:t>
      </w:r>
    </w:p>
    <w:p w14:paraId="388DC478">
      <w:pPr>
        <w:pStyle w:val="2"/>
        <w:spacing w:before="106" w:line="287" w:lineRule="auto"/>
        <w:ind w:left="560" w:right="133"/>
      </w:pPr>
      <w:r>
        <w:rPr>
          <w:spacing w:val="4"/>
        </w:rPr>
        <w:t>电气连接审核物理实现中各元器件的连接关系是否与原理设计保持一致。</w:t>
      </w:r>
      <w:r>
        <w:rPr>
          <w:spacing w:val="16"/>
        </w:rPr>
        <w:t xml:space="preserve"> </w:t>
      </w:r>
      <w:r>
        <w:rPr>
          <w:spacing w:val="14"/>
        </w:rPr>
        <w:t>元器件和电缆线电气参数审核主要是审核这些电气参数对分析人员是否</w:t>
      </w:r>
    </w:p>
    <w:p w14:paraId="2BB12E88">
      <w:pPr>
        <w:spacing w:line="287" w:lineRule="auto"/>
        <w:sectPr>
          <w:footerReference r:id="rId374" w:type="default"/>
          <w:pgSz w:w="11910" w:h="17130"/>
          <w:pgMar w:top="1456" w:right="1236" w:bottom="1550" w:left="1160" w:header="0" w:footer="1264" w:gutter="0"/>
          <w:cols w:space="720" w:num="1"/>
        </w:sectPr>
      </w:pPr>
    </w:p>
    <w:p w14:paraId="7D4F9B86">
      <w:pPr>
        <w:pStyle w:val="2"/>
        <w:spacing w:before="186" w:line="221" w:lineRule="auto"/>
      </w:pPr>
      <w:r>
        <w:rPr>
          <w:spacing w:val="-6"/>
        </w:rPr>
        <w:t>足够。</w:t>
      </w:r>
    </w:p>
    <w:p w14:paraId="12D1E044">
      <w:pPr>
        <w:spacing w:before="78" w:line="222" w:lineRule="auto"/>
        <w:rPr>
          <w:rFonts w:ascii="黑体" w:hAnsi="黑体" w:eastAsia="黑体" w:cs="黑体"/>
          <w:sz w:val="24"/>
          <w:szCs w:val="24"/>
        </w:rPr>
      </w:pPr>
      <w:r>
        <w:rPr>
          <w:rFonts w:ascii="黑体" w:hAnsi="黑体" w:eastAsia="黑体" w:cs="黑体"/>
          <w:spacing w:val="20"/>
          <w:sz w:val="24"/>
          <w:szCs w:val="24"/>
        </w:rPr>
        <w:t>4.3</w:t>
      </w:r>
      <w:r>
        <w:rPr>
          <w:rFonts w:ascii="黑体" w:hAnsi="黑体" w:eastAsia="黑体" w:cs="黑体"/>
          <w:spacing w:val="46"/>
          <w:sz w:val="24"/>
          <w:szCs w:val="24"/>
        </w:rPr>
        <w:t xml:space="preserve">  </w:t>
      </w:r>
      <w:r>
        <w:rPr>
          <w:rFonts w:ascii="黑体" w:hAnsi="黑体" w:eastAsia="黑体" w:cs="黑体"/>
          <w:b/>
          <w:bCs/>
          <w:spacing w:val="20"/>
          <w:sz w:val="24"/>
          <w:szCs w:val="24"/>
        </w:rPr>
        <w:t>数据预处理</w:t>
      </w:r>
    </w:p>
    <w:p w14:paraId="07975FE6">
      <w:pPr>
        <w:pStyle w:val="2"/>
        <w:spacing w:before="88" w:line="288" w:lineRule="auto"/>
        <w:ind w:right="10" w:firstLine="560"/>
      </w:pPr>
      <w:r>
        <w:rPr>
          <w:spacing w:val="6"/>
        </w:rPr>
        <w:t>说明对数据进行预处理的过程和结果。预处理的主要工作是对分析</w:t>
      </w:r>
      <w:r>
        <w:rPr>
          <w:spacing w:val="5"/>
        </w:rPr>
        <w:t>电路进</w:t>
      </w:r>
      <w:r>
        <w:t xml:space="preserve"> </w:t>
      </w:r>
      <w:r>
        <w:rPr>
          <w:spacing w:val="-3"/>
        </w:rPr>
        <w:t>行简化处理，突出待分析功能的电路。</w:t>
      </w:r>
    </w:p>
    <w:p w14:paraId="26C4D4BE">
      <w:pPr>
        <w:spacing w:line="221" w:lineRule="auto"/>
        <w:rPr>
          <w:rFonts w:ascii="黑体" w:hAnsi="黑体" w:eastAsia="黑体" w:cs="黑体"/>
          <w:sz w:val="24"/>
          <w:szCs w:val="24"/>
        </w:rPr>
      </w:pPr>
      <w:r>
        <w:rPr>
          <w:rFonts w:ascii="黑体" w:hAnsi="黑体" w:eastAsia="黑体" w:cs="黑体"/>
          <w:spacing w:val="29"/>
          <w:sz w:val="24"/>
          <w:szCs w:val="24"/>
        </w:rPr>
        <w:t>5</w:t>
      </w:r>
      <w:r>
        <w:rPr>
          <w:rFonts w:ascii="黑体" w:hAnsi="黑体" w:eastAsia="黑体" w:cs="黑体"/>
          <w:spacing w:val="34"/>
          <w:sz w:val="24"/>
          <w:szCs w:val="24"/>
        </w:rPr>
        <w:t xml:space="preserve">  </w:t>
      </w:r>
      <w:r>
        <w:rPr>
          <w:rFonts w:ascii="黑体" w:hAnsi="黑体" w:eastAsia="黑体" w:cs="黑体"/>
          <w:b/>
          <w:bCs/>
          <w:spacing w:val="29"/>
          <w:sz w:val="24"/>
          <w:szCs w:val="24"/>
        </w:rPr>
        <w:t>网络森林生成或路径追踪</w:t>
      </w:r>
    </w:p>
    <w:p w14:paraId="374E0808">
      <w:pPr>
        <w:pStyle w:val="2"/>
        <w:spacing w:before="78" w:line="288" w:lineRule="auto"/>
        <w:ind w:right="7" w:firstLine="560"/>
      </w:pPr>
      <w:r>
        <w:rPr>
          <w:spacing w:val="6"/>
        </w:rPr>
        <w:t>确定或输入用于分析的电路图或网表及各种设置数据、生成并绘制网络森</w:t>
      </w:r>
      <w:r>
        <w:t xml:space="preserve"> </w:t>
      </w:r>
      <w:r>
        <w:rPr>
          <w:spacing w:val="1"/>
        </w:rPr>
        <w:t>林或进行路径追踪。</w:t>
      </w:r>
    </w:p>
    <w:p w14:paraId="237199EF">
      <w:pPr>
        <w:spacing w:before="1" w:line="219" w:lineRule="auto"/>
        <w:rPr>
          <w:rFonts w:ascii="黑体" w:hAnsi="黑体" w:eastAsia="黑体" w:cs="黑体"/>
          <w:sz w:val="27"/>
          <w:szCs w:val="27"/>
        </w:rPr>
      </w:pPr>
      <w:r>
        <w:rPr>
          <w:rFonts w:ascii="黑体" w:hAnsi="黑体" w:eastAsia="黑体" w:cs="黑体"/>
          <w:spacing w:val="3"/>
          <w:sz w:val="27"/>
          <w:szCs w:val="27"/>
        </w:rPr>
        <w:t xml:space="preserve">6  </w:t>
      </w:r>
      <w:r>
        <w:rPr>
          <w:rFonts w:ascii="黑体" w:hAnsi="黑体" w:eastAsia="黑体" w:cs="黑体"/>
          <w:b/>
          <w:bCs/>
          <w:spacing w:val="3"/>
          <w:sz w:val="27"/>
          <w:szCs w:val="27"/>
        </w:rPr>
        <w:t>应用潜在电路分析线索表进行分析</w:t>
      </w:r>
    </w:p>
    <w:p w14:paraId="19455125">
      <w:pPr>
        <w:spacing w:before="84" w:line="222"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b/>
          <w:bCs/>
          <w:spacing w:val="3"/>
          <w:sz w:val="27"/>
          <w:szCs w:val="27"/>
        </w:rPr>
        <w:t>1</w:t>
      </w:r>
      <w:r>
        <w:rPr>
          <w:rFonts w:ascii="黑体" w:hAnsi="黑体" w:eastAsia="黑体" w:cs="黑体"/>
          <w:spacing w:val="3"/>
          <w:sz w:val="27"/>
          <w:szCs w:val="27"/>
        </w:rPr>
        <w:t xml:space="preserve">  </w:t>
      </w:r>
      <w:r>
        <w:rPr>
          <w:rFonts w:ascii="黑体" w:hAnsi="黑体" w:eastAsia="黑体" w:cs="黑体"/>
          <w:b/>
          <w:bCs/>
          <w:spacing w:val="3"/>
          <w:sz w:val="27"/>
          <w:szCs w:val="27"/>
        </w:rPr>
        <w:t>潜在功能分析检查</w:t>
      </w:r>
    </w:p>
    <w:p w14:paraId="47842D1B">
      <w:pPr>
        <w:pStyle w:val="2"/>
        <w:spacing w:before="89" w:line="219" w:lineRule="auto"/>
        <w:ind w:left="560"/>
      </w:pPr>
      <w:r>
        <w:rPr>
          <w:spacing w:val="4"/>
        </w:rPr>
        <w:t>说明潜在功能分析检查的内容和结果。主要内容包括：</w:t>
      </w:r>
    </w:p>
    <w:p w14:paraId="13B3E4A3">
      <w:pPr>
        <w:pStyle w:val="2"/>
        <w:spacing w:before="80" w:line="219" w:lineRule="auto"/>
        <w:ind w:left="560"/>
      </w:pPr>
      <w:r>
        <w:rPr>
          <w:rFonts w:ascii="Times New Roman" w:hAnsi="Times New Roman" w:eastAsia="Times New Roman" w:cs="Times New Roman"/>
          <w:spacing w:val="7"/>
        </w:rPr>
        <w:t>a</w:t>
      </w:r>
      <w:r>
        <w:rPr>
          <w:spacing w:val="7"/>
        </w:rPr>
        <w:t>)</w:t>
      </w:r>
      <w:r>
        <w:rPr>
          <w:spacing w:val="-48"/>
        </w:rPr>
        <w:t xml:space="preserve"> </w:t>
      </w:r>
      <w:r>
        <w:rPr>
          <w:spacing w:val="7"/>
        </w:rPr>
        <w:t>设备的功能是否按意图完成?</w:t>
      </w:r>
    </w:p>
    <w:p w14:paraId="3FD3705F">
      <w:pPr>
        <w:pStyle w:val="2"/>
        <w:spacing w:before="69" w:line="212" w:lineRule="auto"/>
        <w:ind w:left="560"/>
      </w:pPr>
      <w:r>
        <w:rPr>
          <w:rFonts w:ascii="Times New Roman" w:hAnsi="Times New Roman" w:eastAsia="Times New Roman" w:cs="Times New Roman"/>
          <w:spacing w:val="5"/>
        </w:rPr>
        <w:t xml:space="preserve">b)  </w:t>
      </w:r>
      <w:r>
        <w:rPr>
          <w:spacing w:val="5"/>
        </w:rPr>
        <w:t>一切功能与接地是否都与各电源匹配?</w:t>
      </w:r>
    </w:p>
    <w:p w14:paraId="4655443F">
      <w:pPr>
        <w:pStyle w:val="2"/>
        <w:spacing w:before="100" w:line="212" w:lineRule="auto"/>
        <w:ind w:left="560"/>
      </w:pPr>
      <w:r>
        <w:rPr>
          <w:rFonts w:ascii="Times New Roman" w:hAnsi="Times New Roman" w:eastAsia="Times New Roman" w:cs="Times New Roman"/>
          <w:spacing w:val="7"/>
        </w:rPr>
        <w:t>c)</w:t>
      </w:r>
      <w:r>
        <w:rPr>
          <w:rFonts w:ascii="Times New Roman" w:hAnsi="Times New Roman" w:eastAsia="Times New Roman" w:cs="Times New Roman"/>
          <w:spacing w:val="62"/>
        </w:rPr>
        <w:t xml:space="preserve"> </w:t>
      </w:r>
      <w:r>
        <w:rPr>
          <w:spacing w:val="7"/>
        </w:rPr>
        <w:t>启动一种功能时是否有所需电源?</w:t>
      </w:r>
    </w:p>
    <w:p w14:paraId="737410FF">
      <w:pPr>
        <w:pStyle w:val="2"/>
        <w:spacing w:before="90" w:line="212" w:lineRule="auto"/>
        <w:ind w:left="560"/>
      </w:pPr>
      <w:r>
        <w:rPr>
          <w:rFonts w:ascii="Times New Roman" w:hAnsi="Times New Roman" w:eastAsia="Times New Roman" w:cs="Times New Roman"/>
          <w:spacing w:val="6"/>
        </w:rPr>
        <w:t xml:space="preserve">d)  </w:t>
      </w:r>
      <w:r>
        <w:rPr>
          <w:spacing w:val="6"/>
        </w:rPr>
        <w:t>各接地连接是否协调一致?</w:t>
      </w:r>
    </w:p>
    <w:p w14:paraId="310A25F3">
      <w:pPr>
        <w:pStyle w:val="2"/>
        <w:spacing w:before="98" w:line="262" w:lineRule="auto"/>
        <w:ind w:firstLine="560"/>
      </w:pPr>
      <w:r>
        <w:rPr>
          <w:rFonts w:ascii="Times New Roman" w:hAnsi="Times New Roman" w:eastAsia="Times New Roman" w:cs="Times New Roman"/>
          <w:spacing w:val="12"/>
        </w:rPr>
        <w:t>e)</w:t>
      </w:r>
      <w:r>
        <w:rPr>
          <w:rFonts w:ascii="Times New Roman" w:hAnsi="Times New Roman" w:eastAsia="Times New Roman" w:cs="Times New Roman"/>
          <w:spacing w:val="5"/>
        </w:rPr>
        <w:t xml:space="preserve">  </w:t>
      </w:r>
      <w:r>
        <w:rPr>
          <w:spacing w:val="12"/>
        </w:rPr>
        <w:t>连接的电源是否来自不同的电源母线，即是否有潜在的电源到电源的</w:t>
      </w:r>
      <w:r>
        <w:rPr>
          <w:spacing w:val="1"/>
        </w:rPr>
        <w:t xml:space="preserve"> </w:t>
      </w:r>
      <w:r>
        <w:rPr>
          <w:spacing w:val="6"/>
        </w:rPr>
        <w:t>连接?</w:t>
      </w:r>
    </w:p>
    <w:p w14:paraId="1E3CEAC7">
      <w:pPr>
        <w:pStyle w:val="2"/>
        <w:spacing w:before="56" w:line="257" w:lineRule="auto"/>
        <w:ind w:right="2" w:firstLine="560"/>
      </w:pPr>
      <w:r>
        <w:rPr>
          <w:rFonts w:ascii="Times New Roman" w:hAnsi="Times New Roman" w:eastAsia="Times New Roman" w:cs="Times New Roman"/>
          <w:spacing w:val="12"/>
        </w:rPr>
        <w:t xml:space="preserve">f)  </w:t>
      </w:r>
      <w:r>
        <w:rPr>
          <w:spacing w:val="12"/>
        </w:rPr>
        <w:t>是否有任何功能可以在粗心大意的情况下被启动或者在不正确的时刻</w:t>
      </w:r>
      <w:r>
        <w:rPr>
          <w:spacing w:val="14"/>
        </w:rPr>
        <w:t xml:space="preserve"> </w:t>
      </w:r>
      <w:r>
        <w:rPr>
          <w:spacing w:val="6"/>
        </w:rPr>
        <w:t>启动?</w:t>
      </w:r>
    </w:p>
    <w:p w14:paraId="07816757">
      <w:pPr>
        <w:pStyle w:val="2"/>
        <w:spacing w:before="75" w:line="265" w:lineRule="auto"/>
        <w:ind w:firstLine="560"/>
      </w:pPr>
      <w:r>
        <w:rPr>
          <w:rFonts w:ascii="Times New Roman" w:hAnsi="Times New Roman" w:eastAsia="Times New Roman" w:cs="Times New Roman"/>
          <w:spacing w:val="11"/>
        </w:rPr>
        <w:t xml:space="preserve">g)  </w:t>
      </w:r>
      <w:r>
        <w:rPr>
          <w:spacing w:val="11"/>
        </w:rPr>
        <w:t>无意中断开或闭合一个电源通路或能源通路时是否产生不希望发生的</w:t>
      </w:r>
      <w:r>
        <w:rPr>
          <w:spacing w:val="5"/>
        </w:rPr>
        <w:t xml:space="preserve"> </w:t>
      </w:r>
      <w:r>
        <w:rPr>
          <w:spacing w:val="6"/>
        </w:rPr>
        <w:t>效应?</w:t>
      </w:r>
    </w:p>
    <w:p w14:paraId="737FA82D">
      <w:pPr>
        <w:pStyle w:val="2"/>
        <w:spacing w:before="37" w:line="212" w:lineRule="auto"/>
        <w:ind w:left="560"/>
      </w:pPr>
      <w:r>
        <w:rPr>
          <w:rFonts w:ascii="Times New Roman" w:hAnsi="Times New Roman" w:eastAsia="Times New Roman" w:cs="Times New Roman"/>
          <w:spacing w:val="6"/>
        </w:rPr>
        <w:t>h)</w:t>
      </w:r>
      <w:r>
        <w:rPr>
          <w:rFonts w:ascii="Times New Roman" w:hAnsi="Times New Roman" w:eastAsia="Times New Roman" w:cs="Times New Roman"/>
          <w:spacing w:val="8"/>
        </w:rPr>
        <w:t xml:space="preserve">  </w:t>
      </w:r>
      <w:r>
        <w:rPr>
          <w:spacing w:val="6"/>
        </w:rPr>
        <w:t>是否有无意中形成的电源通路或能源通路能同时启动多种功能?</w:t>
      </w:r>
    </w:p>
    <w:p w14:paraId="2E7DB934">
      <w:pPr>
        <w:spacing w:before="125" w:line="222" w:lineRule="auto"/>
        <w:rPr>
          <w:rFonts w:ascii="黑体" w:hAnsi="黑体" w:eastAsia="黑体" w:cs="黑体"/>
          <w:sz w:val="27"/>
          <w:szCs w:val="27"/>
        </w:rPr>
      </w:pPr>
      <w:r>
        <w:rPr>
          <w:rFonts w:ascii="黑体" w:hAnsi="黑体" w:eastAsia="黑体" w:cs="黑体"/>
          <w:spacing w:val="3"/>
          <w:sz w:val="27"/>
          <w:szCs w:val="27"/>
        </w:rPr>
        <w:t xml:space="preserve">6.2  </w:t>
      </w:r>
      <w:r>
        <w:rPr>
          <w:rFonts w:ascii="黑体" w:hAnsi="黑体" w:eastAsia="黑体" w:cs="黑体"/>
          <w:b/>
          <w:bCs/>
          <w:spacing w:val="3"/>
          <w:sz w:val="27"/>
          <w:szCs w:val="27"/>
        </w:rPr>
        <w:t>设计检查</w:t>
      </w:r>
    </w:p>
    <w:p w14:paraId="440D893C">
      <w:pPr>
        <w:spacing w:before="107" w:line="222" w:lineRule="auto"/>
        <w:rPr>
          <w:rFonts w:ascii="黑体" w:hAnsi="黑体" w:eastAsia="黑体" w:cs="黑体"/>
          <w:sz w:val="25"/>
          <w:szCs w:val="25"/>
        </w:rPr>
      </w:pPr>
      <w:r>
        <w:rPr>
          <w:rFonts w:ascii="黑体" w:hAnsi="黑体" w:eastAsia="黑体" w:cs="黑体"/>
          <w:spacing w:val="8"/>
          <w:sz w:val="25"/>
          <w:szCs w:val="25"/>
        </w:rPr>
        <w:t>6.2.1</w:t>
      </w:r>
      <w:r>
        <w:rPr>
          <w:rFonts w:ascii="黑体" w:hAnsi="黑体" w:eastAsia="黑体" w:cs="黑体"/>
          <w:spacing w:val="1"/>
          <w:sz w:val="25"/>
          <w:szCs w:val="25"/>
        </w:rPr>
        <w:t xml:space="preserve">   </w:t>
      </w:r>
      <w:r>
        <w:rPr>
          <w:rFonts w:ascii="黑体" w:hAnsi="黑体" w:eastAsia="黑体" w:cs="黑体"/>
          <w:b/>
          <w:bCs/>
          <w:spacing w:val="8"/>
          <w:sz w:val="25"/>
          <w:szCs w:val="25"/>
        </w:rPr>
        <w:t>潜在路径</w:t>
      </w:r>
    </w:p>
    <w:p w14:paraId="6625127C">
      <w:pPr>
        <w:pStyle w:val="2"/>
        <w:spacing w:before="104" w:line="219" w:lineRule="auto"/>
        <w:ind w:left="560"/>
      </w:pPr>
      <w:r>
        <w:rPr>
          <w:spacing w:val="4"/>
        </w:rPr>
        <w:t>说明潜在路径检查的内容和结果。主要内容包括：</w:t>
      </w:r>
    </w:p>
    <w:p w14:paraId="722241C1">
      <w:pPr>
        <w:pStyle w:val="2"/>
        <w:spacing w:before="19" w:line="271" w:lineRule="auto"/>
        <w:ind w:right="9" w:firstLine="560"/>
      </w:pPr>
      <w:r>
        <w:rPr>
          <w:rFonts w:ascii="Times New Roman" w:hAnsi="Times New Roman" w:eastAsia="Times New Roman" w:cs="Times New Roman"/>
          <w:spacing w:val="16"/>
        </w:rPr>
        <w:t>a)</w:t>
      </w:r>
      <w:r>
        <w:rPr>
          <w:rFonts w:ascii="Times New Roman" w:hAnsi="Times New Roman" w:eastAsia="Times New Roman" w:cs="Times New Roman"/>
          <w:spacing w:val="4"/>
        </w:rPr>
        <w:t xml:space="preserve">  </w:t>
      </w:r>
      <w:r>
        <w:rPr>
          <w:spacing w:val="16"/>
        </w:rPr>
        <w:t>信号是否明显地通往不需要的地方?信号之间是否有明显的极性反转</w:t>
      </w:r>
      <w:r>
        <w:t xml:space="preserve"> </w:t>
      </w:r>
      <w:r>
        <w:rPr>
          <w:spacing w:val="6"/>
        </w:rPr>
        <w:t>或相位反转?</w:t>
      </w:r>
    </w:p>
    <w:p w14:paraId="685B5749">
      <w:pPr>
        <w:pStyle w:val="2"/>
        <w:spacing w:before="57" w:line="212" w:lineRule="auto"/>
        <w:ind w:left="560"/>
      </w:pPr>
      <w:r>
        <w:rPr>
          <w:rFonts w:ascii="Times New Roman" w:hAnsi="Times New Roman" w:eastAsia="Times New Roman" w:cs="Times New Roman"/>
          <w:spacing w:val="6"/>
        </w:rPr>
        <w:t>b)</w:t>
      </w:r>
      <w:r>
        <w:rPr>
          <w:rFonts w:ascii="Times New Roman" w:hAnsi="Times New Roman" w:eastAsia="Times New Roman" w:cs="Times New Roman"/>
          <w:spacing w:val="71"/>
        </w:rPr>
        <w:t xml:space="preserve"> </w:t>
      </w:r>
      <w:r>
        <w:rPr>
          <w:spacing w:val="6"/>
        </w:rPr>
        <w:t>运算放大器能否无意识地被推向饱和?</w:t>
      </w:r>
    </w:p>
    <w:p w14:paraId="1C33048D">
      <w:pPr>
        <w:pStyle w:val="2"/>
        <w:spacing w:before="100" w:line="212" w:lineRule="auto"/>
        <w:ind w:left="560"/>
      </w:pPr>
      <w:r>
        <w:rPr>
          <w:rFonts w:ascii="Times New Roman" w:hAnsi="Times New Roman" w:eastAsia="Times New Roman" w:cs="Times New Roman"/>
          <w:spacing w:val="5"/>
        </w:rPr>
        <w:t xml:space="preserve">c)  </w:t>
      </w:r>
      <w:r>
        <w:rPr>
          <w:spacing w:val="5"/>
        </w:rPr>
        <w:t>数字装置的推挽电路引线输出端是否连接在一起?</w:t>
      </w:r>
    </w:p>
    <w:p w14:paraId="3FEFC6EC">
      <w:pPr>
        <w:pStyle w:val="2"/>
        <w:spacing w:before="110" w:line="212" w:lineRule="auto"/>
        <w:ind w:left="560"/>
      </w:pPr>
      <w:r>
        <w:rPr>
          <w:rFonts w:ascii="Times New Roman" w:hAnsi="Times New Roman" w:eastAsia="Times New Roman" w:cs="Times New Roman"/>
          <w:spacing w:val="6"/>
        </w:rPr>
        <w:t xml:space="preserve">d)  </w:t>
      </w:r>
      <w:r>
        <w:rPr>
          <w:spacing w:val="6"/>
        </w:rPr>
        <w:t>含有对称性的电路是否有不对称的元件或</w:t>
      </w:r>
      <w:r>
        <w:rPr>
          <w:spacing w:val="5"/>
        </w:rPr>
        <w:t>通路?</w:t>
      </w:r>
    </w:p>
    <w:p w14:paraId="2BA893CD">
      <w:pPr>
        <w:pStyle w:val="2"/>
        <w:spacing w:before="80" w:line="212" w:lineRule="auto"/>
        <w:ind w:left="560"/>
      </w:pPr>
      <w:r>
        <w:rPr>
          <w:rFonts w:ascii="Times New Roman" w:hAnsi="Times New Roman" w:eastAsia="Times New Roman" w:cs="Times New Roman"/>
          <w:spacing w:val="7"/>
        </w:rPr>
        <w:t>e)</w:t>
      </w:r>
      <w:r>
        <w:rPr>
          <w:rFonts w:ascii="Times New Roman" w:hAnsi="Times New Roman" w:eastAsia="Times New Roman" w:cs="Times New Roman"/>
          <w:spacing w:val="54"/>
        </w:rPr>
        <w:t xml:space="preserve"> </w:t>
      </w:r>
      <w:r>
        <w:rPr>
          <w:spacing w:val="7"/>
        </w:rPr>
        <w:t>同一电路是否有混合的多个接地点?</w:t>
      </w:r>
    </w:p>
    <w:p w14:paraId="751BD883">
      <w:pPr>
        <w:pStyle w:val="2"/>
        <w:spacing w:before="110" w:line="212" w:lineRule="auto"/>
        <w:ind w:left="560"/>
      </w:pPr>
      <w:r>
        <w:rPr>
          <w:rFonts w:ascii="Times New Roman" w:hAnsi="Times New Roman" w:eastAsia="Times New Roman" w:cs="Times New Roman"/>
        </w:rPr>
        <w:t xml:space="preserve">f)  </w:t>
      </w:r>
      <w:r>
        <w:t>数字电路、继电器或电爆管是否在同一地线上?</w:t>
      </w:r>
    </w:p>
    <w:p w14:paraId="472999F3">
      <w:pPr>
        <w:pStyle w:val="2"/>
        <w:spacing w:before="109" w:line="212" w:lineRule="auto"/>
        <w:ind w:left="560"/>
      </w:pPr>
      <w:r>
        <w:rPr>
          <w:rFonts w:ascii="Times New Roman" w:hAnsi="Times New Roman" w:eastAsia="Times New Roman" w:cs="Times New Roman"/>
          <w:spacing w:val="5"/>
        </w:rPr>
        <w:t xml:space="preserve">g)  </w:t>
      </w:r>
      <w:r>
        <w:rPr>
          <w:spacing w:val="5"/>
        </w:rPr>
        <w:t>捆扎在一起的不同电源之间的绝缘是否不足?</w:t>
      </w:r>
    </w:p>
    <w:p w14:paraId="608B4D41">
      <w:pPr>
        <w:pStyle w:val="2"/>
        <w:spacing w:before="91" w:line="212" w:lineRule="auto"/>
        <w:ind w:left="560"/>
      </w:pPr>
      <w:r>
        <w:rPr>
          <w:rFonts w:ascii="Times New Roman" w:hAnsi="Times New Roman" w:eastAsia="Times New Roman" w:cs="Times New Roman"/>
          <w:spacing w:val="5"/>
        </w:rPr>
        <w:t xml:space="preserve">h)  </w:t>
      </w:r>
      <w:r>
        <w:rPr>
          <w:spacing w:val="5"/>
        </w:rPr>
        <w:t>电源与其有关的地线是否位于不同的基准点?</w:t>
      </w:r>
    </w:p>
    <w:p w14:paraId="316116D5">
      <w:pPr>
        <w:pStyle w:val="2"/>
        <w:spacing w:before="100" w:line="212" w:lineRule="auto"/>
        <w:ind w:left="560"/>
      </w:pPr>
      <w:r>
        <w:rPr>
          <w:rFonts w:ascii="Times New Roman" w:hAnsi="Times New Roman" w:eastAsia="Times New Roman" w:cs="Times New Roman"/>
          <w:spacing w:val="5"/>
        </w:rPr>
        <w:t xml:space="preserve">i)  </w:t>
      </w:r>
      <w:r>
        <w:rPr>
          <w:spacing w:val="5"/>
        </w:rPr>
        <w:t>是否有不希望有的电容器放电通路?</w:t>
      </w:r>
    </w:p>
    <w:p w14:paraId="32C4CF1D">
      <w:pPr>
        <w:spacing w:line="212" w:lineRule="auto"/>
        <w:sectPr>
          <w:footerReference r:id="rId375" w:type="default"/>
          <w:pgSz w:w="11910" w:h="17130"/>
          <w:pgMar w:top="1456" w:right="1149" w:bottom="1550" w:left="1360" w:header="0" w:footer="1264" w:gutter="0"/>
          <w:cols w:space="720" w:num="1"/>
        </w:sectPr>
      </w:pPr>
    </w:p>
    <w:p w14:paraId="147CEABA">
      <w:pPr>
        <w:pStyle w:val="2"/>
        <w:spacing w:before="74" w:line="212" w:lineRule="auto"/>
        <w:ind w:left="550"/>
      </w:pPr>
      <w:r>
        <w:rPr>
          <w:rFonts w:ascii="Times New Roman" w:hAnsi="Times New Roman" w:eastAsia="Times New Roman" w:cs="Times New Roman"/>
          <w:spacing w:val="6"/>
        </w:rPr>
        <w:t>j)</w:t>
      </w:r>
      <w:r>
        <w:rPr>
          <w:rFonts w:ascii="Times New Roman" w:hAnsi="Times New Roman" w:eastAsia="Times New Roman" w:cs="Times New Roman"/>
          <w:spacing w:val="49"/>
        </w:rPr>
        <w:t xml:space="preserve"> </w:t>
      </w:r>
      <w:r>
        <w:rPr>
          <w:spacing w:val="6"/>
        </w:rPr>
        <w:t>在状态或开关电路改变过程中是否有瞬时不希望发生的电流通路?</w:t>
      </w:r>
    </w:p>
    <w:p w14:paraId="0677B500">
      <w:pPr>
        <w:spacing w:before="166" w:line="222" w:lineRule="auto"/>
        <w:rPr>
          <w:rFonts w:ascii="黑体" w:hAnsi="黑体" w:eastAsia="黑体" w:cs="黑体"/>
          <w:sz w:val="25"/>
          <w:szCs w:val="25"/>
        </w:rPr>
      </w:pPr>
      <w:r>
        <w:rPr>
          <w:rFonts w:ascii="黑体" w:hAnsi="黑体" w:eastAsia="黑体" w:cs="黑体"/>
          <w:spacing w:val="7"/>
          <w:sz w:val="25"/>
          <w:szCs w:val="25"/>
        </w:rPr>
        <w:t>6.2.2</w:t>
      </w:r>
      <w:r>
        <w:rPr>
          <w:rFonts w:ascii="黑体" w:hAnsi="黑体" w:eastAsia="黑体" w:cs="黑体"/>
          <w:spacing w:val="56"/>
          <w:sz w:val="25"/>
          <w:szCs w:val="25"/>
        </w:rPr>
        <w:t xml:space="preserve">  </w:t>
      </w:r>
      <w:r>
        <w:rPr>
          <w:rFonts w:ascii="黑体" w:hAnsi="黑体" w:eastAsia="黑体" w:cs="黑体"/>
          <w:b/>
          <w:bCs/>
          <w:spacing w:val="7"/>
          <w:sz w:val="25"/>
          <w:szCs w:val="25"/>
        </w:rPr>
        <w:t>潜在时序</w:t>
      </w:r>
    </w:p>
    <w:p w14:paraId="7C5C4EC2">
      <w:pPr>
        <w:pStyle w:val="2"/>
        <w:spacing w:before="83" w:line="219" w:lineRule="auto"/>
        <w:ind w:left="550"/>
      </w:pPr>
      <w:r>
        <w:rPr>
          <w:spacing w:val="3"/>
        </w:rPr>
        <w:t>说明潜在时序检查的内容和结果。主要内容包括：</w:t>
      </w:r>
    </w:p>
    <w:p w14:paraId="2DEEF8E2">
      <w:pPr>
        <w:pStyle w:val="2"/>
        <w:spacing w:before="49" w:line="212" w:lineRule="auto"/>
        <w:ind w:left="550"/>
      </w:pPr>
      <w:r>
        <w:rPr>
          <w:rFonts w:ascii="Times New Roman" w:hAnsi="Times New Roman" w:eastAsia="Times New Roman" w:cs="Times New Roman"/>
          <w:spacing w:val="1"/>
        </w:rPr>
        <w:t xml:space="preserve">a)  </w:t>
      </w:r>
      <w:r>
        <w:rPr>
          <w:spacing w:val="1"/>
        </w:rPr>
        <w:t>在加电过程中，电路是否经受到不需要的模式或虚假输出?</w:t>
      </w:r>
    </w:p>
    <w:p w14:paraId="21AC89A0">
      <w:pPr>
        <w:pStyle w:val="2"/>
        <w:spacing w:before="99" w:line="212" w:lineRule="auto"/>
        <w:ind w:left="550"/>
      </w:pPr>
      <w:r>
        <w:rPr>
          <w:rFonts w:ascii="Times New Roman" w:hAnsi="Times New Roman" w:eastAsia="Times New Roman" w:cs="Times New Roman"/>
          <w:spacing w:val="5"/>
        </w:rPr>
        <w:t>b)</w:t>
      </w:r>
      <w:r>
        <w:rPr>
          <w:rFonts w:ascii="Times New Roman" w:hAnsi="Times New Roman" w:eastAsia="Times New Roman" w:cs="Times New Roman"/>
          <w:spacing w:val="75"/>
        </w:rPr>
        <w:t xml:space="preserve"> </w:t>
      </w:r>
      <w:r>
        <w:rPr>
          <w:spacing w:val="5"/>
        </w:rPr>
        <w:t>有共用信号源共同负载的数字信号是否先分开而后又合并?</w:t>
      </w:r>
    </w:p>
    <w:p w14:paraId="1AD0FE45">
      <w:pPr>
        <w:pStyle w:val="2"/>
        <w:spacing w:before="110" w:line="212" w:lineRule="auto"/>
        <w:ind w:left="550"/>
      </w:pPr>
      <w:r>
        <w:rPr>
          <w:rFonts w:ascii="Times New Roman" w:hAnsi="Times New Roman" w:eastAsia="Times New Roman" w:cs="Times New Roman"/>
          <w:spacing w:val="6"/>
        </w:rPr>
        <w:t xml:space="preserve">c)  </w:t>
      </w:r>
      <w:r>
        <w:rPr>
          <w:spacing w:val="6"/>
        </w:rPr>
        <w:t>串行的数字装置是否由不同的电源供电?</w:t>
      </w:r>
    </w:p>
    <w:p w14:paraId="206B0FEA">
      <w:pPr>
        <w:pStyle w:val="2"/>
        <w:spacing w:before="90" w:line="212" w:lineRule="auto"/>
        <w:ind w:left="550"/>
      </w:pPr>
      <w:r>
        <w:rPr>
          <w:rFonts w:ascii="Times New Roman" w:hAnsi="Times New Roman" w:eastAsia="Times New Roman" w:cs="Times New Roman"/>
          <w:spacing w:val="5"/>
        </w:rPr>
        <w:t xml:space="preserve">d)  </w:t>
      </w:r>
      <w:r>
        <w:rPr>
          <w:spacing w:val="5"/>
        </w:rPr>
        <w:t>数字装置的噪声电平极限是否已超过?</w:t>
      </w:r>
    </w:p>
    <w:p w14:paraId="45E7CB2C">
      <w:pPr>
        <w:pStyle w:val="2"/>
        <w:spacing w:before="49" w:line="279" w:lineRule="auto"/>
        <w:ind w:right="2" w:firstLine="550"/>
      </w:pPr>
      <w:r>
        <w:rPr>
          <w:rFonts w:ascii="Times New Roman" w:hAnsi="Times New Roman" w:eastAsia="Times New Roman" w:cs="Times New Roman"/>
          <w:spacing w:val="12"/>
        </w:rPr>
        <w:t>e)</w:t>
      </w:r>
      <w:r>
        <w:rPr>
          <w:rFonts w:ascii="Times New Roman" w:hAnsi="Times New Roman" w:eastAsia="Times New Roman" w:cs="Times New Roman"/>
          <w:spacing w:val="63"/>
        </w:rPr>
        <w:t xml:space="preserve"> </w:t>
      </w:r>
      <w:r>
        <w:rPr>
          <w:spacing w:val="12"/>
        </w:rPr>
        <w:t>数字电路的电容电阻网络特性，例如脉冲宽度和开关速率等</w:t>
      </w:r>
      <w:r>
        <w:rPr>
          <w:spacing w:val="11"/>
        </w:rPr>
        <w:t>是否符合</w:t>
      </w:r>
      <w:r>
        <w:t xml:space="preserve"> </w:t>
      </w:r>
      <w:r>
        <w:rPr>
          <w:spacing w:val="-4"/>
        </w:rPr>
        <w:t>要求?</w:t>
      </w:r>
    </w:p>
    <w:p w14:paraId="441C3DD7">
      <w:pPr>
        <w:pStyle w:val="2"/>
        <w:spacing w:before="45" w:line="212" w:lineRule="auto"/>
        <w:ind w:left="550"/>
      </w:pPr>
      <w:r>
        <w:rPr>
          <w:rFonts w:ascii="Times New Roman" w:hAnsi="Times New Roman" w:eastAsia="Times New Roman" w:cs="Times New Roman"/>
          <w:spacing w:val="5"/>
        </w:rPr>
        <w:t>f)</w:t>
      </w:r>
      <w:r>
        <w:rPr>
          <w:rFonts w:ascii="Times New Roman" w:hAnsi="Times New Roman" w:eastAsia="Times New Roman" w:cs="Times New Roman"/>
          <w:spacing w:val="80"/>
        </w:rPr>
        <w:t xml:space="preserve"> </w:t>
      </w:r>
      <w:r>
        <w:rPr>
          <w:spacing w:val="5"/>
        </w:rPr>
        <w:t>大的阻容时间常数是否会造成开关电路升降时间过长?</w:t>
      </w:r>
    </w:p>
    <w:p w14:paraId="519C63B9">
      <w:pPr>
        <w:pStyle w:val="2"/>
        <w:spacing w:before="109" w:line="212" w:lineRule="auto"/>
        <w:ind w:left="550"/>
      </w:pPr>
      <w:r>
        <w:rPr>
          <w:rFonts w:ascii="Times New Roman" w:hAnsi="Times New Roman" w:eastAsia="Times New Roman" w:cs="Times New Roman"/>
          <w:spacing w:val="6"/>
        </w:rPr>
        <w:t xml:space="preserve">g)  </w:t>
      </w:r>
      <w:r>
        <w:rPr>
          <w:spacing w:val="6"/>
        </w:rPr>
        <w:t>在开关改变状态过程中是否有瞬时不希望</w:t>
      </w:r>
      <w:r>
        <w:rPr>
          <w:spacing w:val="5"/>
        </w:rPr>
        <w:t>有的电流通路?</w:t>
      </w:r>
    </w:p>
    <w:p w14:paraId="5A30F365">
      <w:pPr>
        <w:pStyle w:val="2"/>
        <w:spacing w:before="81" w:line="212" w:lineRule="auto"/>
        <w:ind w:left="550"/>
      </w:pPr>
      <w:r>
        <w:rPr>
          <w:rFonts w:ascii="Times New Roman" w:hAnsi="Times New Roman" w:eastAsia="Times New Roman" w:cs="Times New Roman"/>
          <w:spacing w:val="5"/>
        </w:rPr>
        <w:t xml:space="preserve">h)  </w:t>
      </w:r>
      <w:r>
        <w:rPr>
          <w:spacing w:val="5"/>
        </w:rPr>
        <w:t>继电器绕组是否有抑制瞬态电流的措施?</w:t>
      </w:r>
    </w:p>
    <w:p w14:paraId="32C2FE30">
      <w:pPr>
        <w:pStyle w:val="2"/>
        <w:spacing w:before="80" w:line="267" w:lineRule="auto"/>
        <w:ind w:firstLine="550"/>
      </w:pPr>
      <w:r>
        <w:rPr>
          <w:rFonts w:ascii="Times New Roman" w:hAnsi="Times New Roman" w:eastAsia="Times New Roman" w:cs="Times New Roman"/>
          <w:spacing w:val="2"/>
        </w:rPr>
        <w:t>i)</w:t>
      </w:r>
      <w:r>
        <w:rPr>
          <w:rFonts w:ascii="Times New Roman" w:hAnsi="Times New Roman" w:eastAsia="Times New Roman" w:cs="Times New Roman"/>
          <w:spacing w:val="66"/>
        </w:rPr>
        <w:t xml:space="preserve"> </w:t>
      </w:r>
      <w:r>
        <w:rPr>
          <w:spacing w:val="2"/>
        </w:rPr>
        <w:t>晶体管一晶体管逻辑电路(</w:t>
      </w:r>
      <w:r>
        <w:rPr>
          <w:spacing w:val="-72"/>
        </w:rPr>
        <w:t xml:space="preserve"> </w:t>
      </w:r>
      <w:r>
        <w:rPr>
          <w:rFonts w:ascii="Times New Roman" w:hAnsi="Times New Roman" w:eastAsia="Times New Roman" w:cs="Times New Roman"/>
        </w:rPr>
        <w:t>TTL</w:t>
      </w:r>
      <w:r>
        <w:rPr>
          <w:rFonts w:ascii="Times New Roman" w:hAnsi="Times New Roman" w:eastAsia="Times New Roman" w:cs="Times New Roman"/>
          <w:spacing w:val="2"/>
        </w:rPr>
        <w:t>)</w:t>
      </w:r>
      <w:r>
        <w:rPr>
          <w:rFonts w:ascii="Times New Roman" w:hAnsi="Times New Roman" w:eastAsia="Times New Roman" w:cs="Times New Roman"/>
          <w:spacing w:val="57"/>
        </w:rPr>
        <w:t xml:space="preserve"> </w:t>
      </w:r>
      <w:r>
        <w:rPr>
          <w:spacing w:val="2"/>
        </w:rPr>
        <w:t>装置的高输出阻抗是否</w:t>
      </w:r>
      <w:r>
        <w:rPr>
          <w:spacing w:val="1"/>
        </w:rPr>
        <w:t>造成电阻、电容</w:t>
      </w:r>
      <w:r>
        <w:t xml:space="preserve"> </w:t>
      </w:r>
      <w:r>
        <w:rPr>
          <w:spacing w:val="4"/>
        </w:rPr>
        <w:t>时间常数过大?</w:t>
      </w:r>
    </w:p>
    <w:p w14:paraId="349E7FB5">
      <w:pPr>
        <w:pStyle w:val="2"/>
        <w:spacing w:before="29" w:line="267" w:lineRule="auto"/>
        <w:ind w:right="3" w:firstLine="550"/>
      </w:pPr>
      <w:r>
        <w:rPr>
          <w:rFonts w:ascii="Times New Roman" w:hAnsi="Times New Roman" w:eastAsia="Times New Roman" w:cs="Times New Roman"/>
          <w:spacing w:val="9"/>
        </w:rPr>
        <w:t>j)</w:t>
      </w:r>
      <w:r>
        <w:rPr>
          <w:rFonts w:ascii="Times New Roman" w:hAnsi="Times New Roman" w:eastAsia="Times New Roman" w:cs="Times New Roman"/>
          <w:spacing w:val="73"/>
        </w:rPr>
        <w:t xml:space="preserve"> </w:t>
      </w:r>
      <w:r>
        <w:rPr>
          <w:spacing w:val="9"/>
        </w:rPr>
        <w:t>晶体管一晶体管逻辑电路(</w:t>
      </w:r>
      <w:r>
        <w:rPr>
          <w:spacing w:val="-72"/>
        </w:rPr>
        <w:t xml:space="preserve"> </w:t>
      </w:r>
      <w:r>
        <w:rPr>
          <w:rFonts w:ascii="Times New Roman" w:hAnsi="Times New Roman" w:eastAsia="Times New Roman" w:cs="Times New Roman"/>
        </w:rPr>
        <w:t>TTL</w:t>
      </w:r>
      <w:r>
        <w:rPr>
          <w:rFonts w:ascii="Times New Roman" w:hAnsi="Times New Roman" w:eastAsia="Times New Roman" w:cs="Times New Roman"/>
          <w:spacing w:val="9"/>
        </w:rPr>
        <w:t xml:space="preserve">)  </w:t>
      </w:r>
      <w:r>
        <w:rPr>
          <w:spacing w:val="9"/>
        </w:rPr>
        <w:t>装置的输入(瞬时或非瞬时)是否有接</w:t>
      </w:r>
      <w:r>
        <w:t xml:space="preserve"> </w:t>
      </w:r>
      <w:r>
        <w:rPr>
          <w:spacing w:val="4"/>
        </w:rPr>
        <w:t>地通路能使装置通电?</w:t>
      </w:r>
    </w:p>
    <w:p w14:paraId="5D212201">
      <w:pPr>
        <w:pStyle w:val="2"/>
        <w:spacing w:before="80" w:line="253" w:lineRule="auto"/>
        <w:ind w:firstLine="550"/>
      </w:pPr>
      <w:r>
        <w:rPr>
          <w:rFonts w:ascii="Times New Roman" w:hAnsi="Times New Roman" w:eastAsia="Times New Roman" w:cs="Times New Roman"/>
          <w:spacing w:val="-5"/>
        </w:rPr>
        <w:t xml:space="preserve">k)  </w:t>
      </w:r>
      <w:r>
        <w:rPr>
          <w:spacing w:val="-5"/>
        </w:rPr>
        <w:t>是否有任何装置的接通、断开，或开、关的定时造成应用中发生不希望有</w:t>
      </w:r>
      <w:r>
        <w:rPr>
          <w:spacing w:val="2"/>
        </w:rPr>
        <w:t xml:space="preserve"> </w:t>
      </w:r>
      <w:r>
        <w:rPr>
          <w:spacing w:val="4"/>
        </w:rPr>
        <w:t>的电路动作?</w:t>
      </w:r>
    </w:p>
    <w:p w14:paraId="4739278C">
      <w:pPr>
        <w:pStyle w:val="2"/>
        <w:spacing w:before="79" w:line="219" w:lineRule="auto"/>
        <w:ind w:left="550"/>
      </w:pPr>
      <w:r>
        <w:rPr>
          <w:spacing w:val="6"/>
        </w:rPr>
        <w:t>1)开关电路是否有定时空隙(先断后通)或重叠(先通后断)?</w:t>
      </w:r>
    </w:p>
    <w:p w14:paraId="45818062">
      <w:pPr>
        <w:pStyle w:val="2"/>
        <w:spacing w:before="59" w:line="212" w:lineRule="auto"/>
        <w:ind w:left="550"/>
      </w:pPr>
      <w:r>
        <w:rPr>
          <w:rFonts w:ascii="Times New Roman" w:hAnsi="Times New Roman" w:eastAsia="Times New Roman" w:cs="Times New Roman"/>
          <w:spacing w:val="6"/>
        </w:rPr>
        <w:t>m)</w:t>
      </w:r>
      <w:r>
        <w:rPr>
          <w:rFonts w:ascii="Times New Roman" w:hAnsi="Times New Roman" w:eastAsia="Times New Roman" w:cs="Times New Roman"/>
          <w:spacing w:val="65"/>
        </w:rPr>
        <w:t xml:space="preserve"> </w:t>
      </w:r>
      <w:r>
        <w:rPr>
          <w:spacing w:val="6"/>
        </w:rPr>
        <w:t>指令信号线是否与电源线邻近?</w:t>
      </w:r>
    </w:p>
    <w:p w14:paraId="21E29009">
      <w:pPr>
        <w:pStyle w:val="2"/>
        <w:spacing w:before="100" w:line="212" w:lineRule="auto"/>
        <w:ind w:left="550"/>
      </w:pPr>
      <w:r>
        <w:rPr>
          <w:rFonts w:ascii="Times New Roman" w:hAnsi="Times New Roman" w:eastAsia="Times New Roman" w:cs="Times New Roman"/>
          <w:spacing w:val="-4"/>
        </w:rPr>
        <w:t xml:space="preserve">n)  </w:t>
      </w:r>
      <w:r>
        <w:rPr>
          <w:spacing w:val="-4"/>
        </w:rPr>
        <w:t>导线的电容是否造成导线所传信号过大的“歪斜失真”?</w:t>
      </w:r>
    </w:p>
    <w:p w14:paraId="79DA776F">
      <w:pPr>
        <w:spacing w:before="125" w:line="222" w:lineRule="auto"/>
        <w:rPr>
          <w:rFonts w:ascii="黑体" w:hAnsi="黑体" w:eastAsia="黑体" w:cs="黑体"/>
          <w:sz w:val="25"/>
          <w:szCs w:val="25"/>
        </w:rPr>
      </w:pPr>
      <w:r>
        <w:rPr>
          <w:rFonts w:ascii="黑体" w:hAnsi="黑体" w:eastAsia="黑体" w:cs="黑体"/>
          <w:spacing w:val="7"/>
          <w:sz w:val="25"/>
          <w:szCs w:val="25"/>
        </w:rPr>
        <w:t>6.2.3</w:t>
      </w:r>
      <w:r>
        <w:rPr>
          <w:rFonts w:ascii="黑体" w:hAnsi="黑体" w:eastAsia="黑体" w:cs="黑体"/>
          <w:spacing w:val="56"/>
          <w:sz w:val="25"/>
          <w:szCs w:val="25"/>
        </w:rPr>
        <w:t xml:space="preserve">  </w:t>
      </w:r>
      <w:r>
        <w:rPr>
          <w:rFonts w:ascii="黑体" w:hAnsi="黑体" w:eastAsia="黑体" w:cs="黑体"/>
          <w:b/>
          <w:bCs/>
          <w:spacing w:val="7"/>
          <w:sz w:val="25"/>
          <w:szCs w:val="25"/>
        </w:rPr>
        <w:t>潜在指示</w:t>
      </w:r>
    </w:p>
    <w:p w14:paraId="5763A6E9">
      <w:pPr>
        <w:pStyle w:val="2"/>
        <w:spacing w:before="125" w:line="219" w:lineRule="auto"/>
        <w:ind w:left="550"/>
      </w:pPr>
      <w:r>
        <w:rPr>
          <w:spacing w:val="3"/>
        </w:rPr>
        <w:t>说明潜在指示检查的内容和结果。主要内容包括：</w:t>
      </w:r>
    </w:p>
    <w:p w14:paraId="47D5A967">
      <w:pPr>
        <w:pStyle w:val="2"/>
        <w:spacing w:before="50" w:line="212" w:lineRule="auto"/>
        <w:ind w:left="550"/>
      </w:pPr>
      <w:r>
        <w:rPr>
          <w:rFonts w:ascii="Times New Roman" w:hAnsi="Times New Roman" w:eastAsia="Times New Roman" w:cs="Times New Roman"/>
          <w:spacing w:val="5"/>
        </w:rPr>
        <w:t xml:space="preserve">a)  </w:t>
      </w:r>
      <w:r>
        <w:rPr>
          <w:spacing w:val="5"/>
        </w:rPr>
        <w:t>指示器所监测的是否为功能的指令信号而非功能本身?</w:t>
      </w:r>
    </w:p>
    <w:p w14:paraId="73B2830C">
      <w:pPr>
        <w:pStyle w:val="2"/>
        <w:spacing w:before="99" w:line="212" w:lineRule="auto"/>
        <w:ind w:left="550"/>
      </w:pPr>
      <w:r>
        <w:rPr>
          <w:rFonts w:ascii="Times New Roman" w:hAnsi="Times New Roman" w:eastAsia="Times New Roman" w:cs="Times New Roman"/>
          <w:spacing w:val="6"/>
        </w:rPr>
        <w:t>b)</w:t>
      </w:r>
      <w:r>
        <w:rPr>
          <w:rFonts w:ascii="Times New Roman" w:hAnsi="Times New Roman" w:eastAsia="Times New Roman" w:cs="Times New Roman"/>
          <w:spacing w:val="75"/>
        </w:rPr>
        <w:t xml:space="preserve"> </w:t>
      </w:r>
      <w:r>
        <w:rPr>
          <w:spacing w:val="6"/>
        </w:rPr>
        <w:t>指示器电路的正常工作是否要依靠它所监测的功能?</w:t>
      </w:r>
    </w:p>
    <w:p w14:paraId="3C5EE89E">
      <w:pPr>
        <w:pStyle w:val="2"/>
        <w:spacing w:before="100" w:line="212" w:lineRule="auto"/>
        <w:ind w:left="550"/>
      </w:pPr>
      <w:r>
        <w:rPr>
          <w:rFonts w:ascii="Times New Roman" w:hAnsi="Times New Roman" w:eastAsia="Times New Roman" w:cs="Times New Roman"/>
          <w:spacing w:val="5"/>
        </w:rPr>
        <w:t>c)</w:t>
      </w:r>
      <w:r>
        <w:rPr>
          <w:rFonts w:ascii="Times New Roman" w:hAnsi="Times New Roman" w:eastAsia="Times New Roman" w:cs="Times New Roman"/>
          <w:spacing w:val="65"/>
        </w:rPr>
        <w:t xml:space="preserve"> </w:t>
      </w:r>
      <w:r>
        <w:rPr>
          <w:spacing w:val="5"/>
        </w:rPr>
        <w:t>一个负载是否会产生不希望有的功能?</w:t>
      </w:r>
    </w:p>
    <w:p w14:paraId="6D9E8EF5">
      <w:pPr>
        <w:pStyle w:val="2"/>
        <w:spacing w:before="120" w:line="212" w:lineRule="auto"/>
        <w:ind w:left="550"/>
      </w:pPr>
      <w:r>
        <w:rPr>
          <w:rFonts w:ascii="Times New Roman" w:hAnsi="Times New Roman" w:eastAsia="Times New Roman" w:cs="Times New Roman"/>
          <w:spacing w:val="4"/>
        </w:rPr>
        <w:t xml:space="preserve">d)  </w:t>
      </w:r>
      <w:r>
        <w:rPr>
          <w:spacing w:val="4"/>
        </w:rPr>
        <w:t>一个按压式测试电路是否会激活系统?</w:t>
      </w:r>
    </w:p>
    <w:p w14:paraId="76AB177B">
      <w:pPr>
        <w:spacing w:before="107" w:line="222" w:lineRule="auto"/>
        <w:rPr>
          <w:rFonts w:ascii="黑体" w:hAnsi="黑体" w:eastAsia="黑体" w:cs="黑体"/>
          <w:sz w:val="27"/>
          <w:szCs w:val="27"/>
        </w:rPr>
      </w:pPr>
      <w:r>
        <w:rPr>
          <w:rFonts w:ascii="黑体" w:hAnsi="黑体" w:eastAsia="黑体" w:cs="黑体"/>
          <w:spacing w:val="-4"/>
          <w:sz w:val="27"/>
          <w:szCs w:val="27"/>
        </w:rPr>
        <w:t>6.2.4</w:t>
      </w:r>
      <w:r>
        <w:rPr>
          <w:rFonts w:ascii="黑体" w:hAnsi="黑体" w:eastAsia="黑体" w:cs="黑体"/>
          <w:spacing w:val="22"/>
          <w:sz w:val="27"/>
          <w:szCs w:val="27"/>
        </w:rPr>
        <w:t xml:space="preserve">  </w:t>
      </w:r>
      <w:r>
        <w:rPr>
          <w:rFonts w:ascii="黑体" w:hAnsi="黑体" w:eastAsia="黑体" w:cs="黑体"/>
          <w:b/>
          <w:bCs/>
          <w:spacing w:val="-4"/>
          <w:sz w:val="27"/>
          <w:szCs w:val="27"/>
        </w:rPr>
        <w:t>潜在标志</w:t>
      </w:r>
    </w:p>
    <w:p w14:paraId="7314D748">
      <w:pPr>
        <w:pStyle w:val="2"/>
        <w:spacing w:before="99" w:line="219" w:lineRule="auto"/>
        <w:ind w:left="550"/>
      </w:pPr>
      <w:r>
        <w:rPr>
          <w:spacing w:val="3"/>
        </w:rPr>
        <w:t>说明潜在标志检查的内容和结果。主要内容包括：</w:t>
      </w:r>
    </w:p>
    <w:p w14:paraId="28203F57">
      <w:pPr>
        <w:pStyle w:val="2"/>
        <w:spacing w:before="80" w:line="219" w:lineRule="auto"/>
        <w:ind w:left="550"/>
      </w:pPr>
      <w:r>
        <w:rPr>
          <w:rFonts w:ascii="Times New Roman" w:hAnsi="Times New Roman" w:eastAsia="Times New Roman" w:cs="Times New Roman"/>
          <w:spacing w:val="6"/>
        </w:rPr>
        <w:t>a</w:t>
      </w:r>
      <w:r>
        <w:rPr>
          <w:spacing w:val="6"/>
        </w:rPr>
        <w:t>)</w:t>
      </w:r>
      <w:r>
        <w:rPr>
          <w:spacing w:val="-47"/>
        </w:rPr>
        <w:t xml:space="preserve"> </w:t>
      </w:r>
      <w:r>
        <w:rPr>
          <w:spacing w:val="6"/>
        </w:rPr>
        <w:t>是否每一标志都协调无误?</w:t>
      </w:r>
    </w:p>
    <w:p w14:paraId="6061FD81">
      <w:pPr>
        <w:pStyle w:val="2"/>
        <w:spacing w:before="49" w:line="212" w:lineRule="auto"/>
        <w:ind w:left="550"/>
      </w:pPr>
      <w:r>
        <w:rPr>
          <w:rFonts w:ascii="Times New Roman" w:hAnsi="Times New Roman" w:eastAsia="Times New Roman" w:cs="Times New Roman"/>
          <w:spacing w:val="6"/>
        </w:rPr>
        <w:t>b)</w:t>
      </w:r>
      <w:r>
        <w:rPr>
          <w:rFonts w:ascii="Times New Roman" w:hAnsi="Times New Roman" w:eastAsia="Times New Roman" w:cs="Times New Roman"/>
          <w:spacing w:val="67"/>
        </w:rPr>
        <w:t xml:space="preserve"> </w:t>
      </w:r>
      <w:r>
        <w:rPr>
          <w:spacing w:val="6"/>
        </w:rPr>
        <w:t>标志是否指示真实功能?</w:t>
      </w:r>
    </w:p>
    <w:p w14:paraId="2227AF40">
      <w:pPr>
        <w:spacing w:before="117" w:line="222" w:lineRule="auto"/>
        <w:rPr>
          <w:rFonts w:ascii="黑体" w:hAnsi="黑体" w:eastAsia="黑体" w:cs="黑体"/>
          <w:sz w:val="27"/>
          <w:szCs w:val="27"/>
        </w:rPr>
      </w:pPr>
      <w:r>
        <w:rPr>
          <w:rFonts w:ascii="黑体" w:hAnsi="黑体" w:eastAsia="黑体" w:cs="黑体"/>
          <w:spacing w:val="-3"/>
          <w:sz w:val="27"/>
          <w:szCs w:val="27"/>
        </w:rPr>
        <w:t>7</w:t>
      </w:r>
      <w:r>
        <w:rPr>
          <w:rFonts w:ascii="黑体" w:hAnsi="黑体" w:eastAsia="黑体" w:cs="黑体"/>
          <w:spacing w:val="26"/>
          <w:sz w:val="27"/>
          <w:szCs w:val="27"/>
        </w:rPr>
        <w:t xml:space="preserve">  </w:t>
      </w:r>
      <w:r>
        <w:rPr>
          <w:rFonts w:ascii="黑体" w:hAnsi="黑体" w:eastAsia="黑体" w:cs="黑体"/>
          <w:b/>
          <w:bCs/>
          <w:spacing w:val="-3"/>
          <w:sz w:val="27"/>
          <w:szCs w:val="27"/>
        </w:rPr>
        <w:t>分析结论</w:t>
      </w:r>
    </w:p>
    <w:p w14:paraId="2209C0BF">
      <w:pPr>
        <w:spacing w:before="104" w:line="222" w:lineRule="auto"/>
        <w:rPr>
          <w:rFonts w:ascii="Times New Roman" w:hAnsi="Times New Roman" w:eastAsia="Times New Roman" w:cs="Times New Roman"/>
          <w:sz w:val="25"/>
          <w:szCs w:val="25"/>
        </w:rPr>
      </w:pPr>
      <w:r>
        <w:rPr>
          <w:rFonts w:ascii="Times New Roman" w:hAnsi="Times New Roman" w:eastAsia="Times New Roman" w:cs="Times New Roman"/>
          <w:b/>
          <w:bCs/>
          <w:spacing w:val="10"/>
          <w:sz w:val="25"/>
          <w:szCs w:val="25"/>
        </w:rPr>
        <w:t>7.X</w:t>
      </w:r>
      <w:r>
        <w:rPr>
          <w:rFonts w:ascii="Times New Roman" w:hAnsi="Times New Roman" w:eastAsia="Times New Roman" w:cs="Times New Roman"/>
          <w:b/>
          <w:bCs/>
          <w:spacing w:val="3"/>
          <w:sz w:val="25"/>
          <w:szCs w:val="25"/>
        </w:rPr>
        <w:t xml:space="preserve">      </w:t>
      </w:r>
      <w:r>
        <w:rPr>
          <w:rFonts w:ascii="黑体" w:hAnsi="黑体" w:eastAsia="黑体" w:cs="黑体"/>
          <w:b/>
          <w:bCs/>
          <w:spacing w:val="10"/>
          <w:sz w:val="25"/>
          <w:szCs w:val="25"/>
        </w:rPr>
        <w:t>潜在问题</w:t>
      </w:r>
      <w:r>
        <w:rPr>
          <w:rFonts w:ascii="黑体" w:hAnsi="黑体" w:eastAsia="黑体" w:cs="黑体"/>
          <w:spacing w:val="-68"/>
          <w:sz w:val="25"/>
          <w:szCs w:val="25"/>
        </w:rPr>
        <w:t xml:space="preserve"> </w:t>
      </w:r>
      <w:r>
        <w:rPr>
          <w:rFonts w:ascii="Times New Roman" w:hAnsi="Times New Roman" w:eastAsia="Times New Roman" w:cs="Times New Roman"/>
          <w:spacing w:val="10"/>
          <w:sz w:val="25"/>
          <w:szCs w:val="25"/>
        </w:rPr>
        <w:t>X</w:t>
      </w:r>
    </w:p>
    <w:p w14:paraId="19619A08">
      <w:pPr>
        <w:spacing w:line="222" w:lineRule="auto"/>
        <w:rPr>
          <w:rFonts w:ascii="Times New Roman" w:hAnsi="Times New Roman" w:eastAsia="Times New Roman" w:cs="Times New Roman"/>
          <w:sz w:val="25"/>
          <w:szCs w:val="25"/>
        </w:rPr>
        <w:sectPr>
          <w:footerReference r:id="rId376" w:type="default"/>
          <w:pgSz w:w="11910" w:h="17130"/>
          <w:pgMar w:top="1456" w:right="1296" w:bottom="1596" w:left="1239" w:header="0" w:footer="1407" w:gutter="0"/>
          <w:cols w:space="720" w:num="1"/>
        </w:sectPr>
      </w:pPr>
    </w:p>
    <w:p w14:paraId="4A809E69">
      <w:pPr>
        <w:spacing w:before="57" w:line="212" w:lineRule="auto"/>
        <w:rPr>
          <w:rFonts w:ascii="黑体" w:hAnsi="黑体" w:eastAsia="黑体" w:cs="黑体"/>
          <w:sz w:val="27"/>
          <w:szCs w:val="27"/>
        </w:rPr>
      </w:pPr>
      <w:r>
        <w:rPr>
          <w:rFonts w:ascii="Times New Roman" w:hAnsi="Times New Roman" w:eastAsia="Times New Roman" w:cs="Times New Roman"/>
          <w:sz w:val="27"/>
          <w:szCs w:val="27"/>
        </w:rPr>
        <w:t>7.X.</w:t>
      </w:r>
      <w:r>
        <w:rPr>
          <w:rFonts w:ascii="Times New Roman" w:hAnsi="Times New Roman" w:eastAsia="Times New Roman" w:cs="Times New Roman"/>
          <w:spacing w:val="57"/>
          <w:sz w:val="27"/>
          <w:szCs w:val="27"/>
        </w:rPr>
        <w:t xml:space="preserve"> </w:t>
      </w:r>
      <w:r>
        <w:rPr>
          <w:rFonts w:ascii="黑体" w:hAnsi="黑体" w:eastAsia="黑体" w:cs="黑体"/>
          <w:sz w:val="27"/>
          <w:szCs w:val="27"/>
        </w:rPr>
        <w:t>1</w:t>
      </w:r>
      <w:r>
        <w:rPr>
          <w:rFonts w:ascii="黑体" w:hAnsi="黑体" w:eastAsia="黑体" w:cs="黑体"/>
          <w:spacing w:val="26"/>
          <w:sz w:val="27"/>
          <w:szCs w:val="27"/>
        </w:rPr>
        <w:t xml:space="preserve">  </w:t>
      </w:r>
      <w:r>
        <w:rPr>
          <w:rFonts w:ascii="黑体" w:hAnsi="黑体" w:eastAsia="黑体" w:cs="黑体"/>
          <w:b/>
          <w:bCs/>
          <w:sz w:val="27"/>
          <w:szCs w:val="27"/>
        </w:rPr>
        <w:t>(潜在问题</w:t>
      </w:r>
      <w:r>
        <w:rPr>
          <w:rFonts w:ascii="Arial" w:hAnsi="Arial" w:eastAsia="Arial" w:cs="Arial"/>
          <w:b/>
          <w:bCs/>
          <w:sz w:val="27"/>
          <w:szCs w:val="27"/>
        </w:rPr>
        <w:t xml:space="preserve">X) </w:t>
      </w:r>
      <w:r>
        <w:rPr>
          <w:rFonts w:ascii="黑体" w:hAnsi="黑体" w:eastAsia="黑体" w:cs="黑体"/>
          <w:b/>
          <w:bCs/>
          <w:sz w:val="27"/>
          <w:szCs w:val="27"/>
        </w:rPr>
        <w:t>描述</w:t>
      </w:r>
    </w:p>
    <w:p w14:paraId="11D8159C">
      <w:pPr>
        <w:pStyle w:val="2"/>
        <w:spacing w:before="59" w:line="294" w:lineRule="auto"/>
        <w:ind w:right="6" w:firstLine="560"/>
      </w:pPr>
      <w:r>
        <w:rPr>
          <w:spacing w:val="-1"/>
        </w:rPr>
        <w:t>描述(潜在问题</w:t>
      </w:r>
      <w:r>
        <w:rPr>
          <w:rFonts w:ascii="Times New Roman" w:hAnsi="Times New Roman" w:eastAsia="Times New Roman" w:cs="Times New Roman"/>
          <w:spacing w:val="-1"/>
        </w:rPr>
        <w:t xml:space="preserve">X) </w:t>
      </w:r>
      <w:r>
        <w:rPr>
          <w:spacing w:val="-1"/>
        </w:rPr>
        <w:t>所在的设备、印制电路板及</w:t>
      </w:r>
      <w:r>
        <w:rPr>
          <w:spacing w:val="-2"/>
        </w:rPr>
        <w:t>元器件，问题现象，激励条件</w:t>
      </w:r>
      <w:r>
        <w:t xml:space="preserve"> </w:t>
      </w:r>
      <w:r>
        <w:rPr>
          <w:spacing w:val="-3"/>
        </w:rPr>
        <w:t>等内容。</w:t>
      </w:r>
    </w:p>
    <w:p w14:paraId="4F15A301">
      <w:pPr>
        <w:spacing w:before="1" w:line="211" w:lineRule="auto"/>
        <w:rPr>
          <w:rFonts w:ascii="黑体" w:hAnsi="黑体" w:eastAsia="黑体" w:cs="黑体"/>
          <w:sz w:val="27"/>
          <w:szCs w:val="27"/>
        </w:rPr>
      </w:pPr>
      <w:r>
        <w:rPr>
          <w:rFonts w:ascii="Times New Roman" w:hAnsi="Times New Roman" w:eastAsia="Times New Roman" w:cs="Times New Roman"/>
          <w:spacing w:val="2"/>
          <w:sz w:val="27"/>
          <w:szCs w:val="27"/>
        </w:rPr>
        <w:t xml:space="preserve">7.X.2      </w:t>
      </w:r>
      <w:r>
        <w:rPr>
          <w:rFonts w:ascii="黑体" w:hAnsi="黑体" w:eastAsia="黑体" w:cs="黑体"/>
          <w:b/>
          <w:bCs/>
          <w:spacing w:val="2"/>
          <w:sz w:val="27"/>
          <w:szCs w:val="27"/>
        </w:rPr>
        <w:t>(潜在问题</w:t>
      </w:r>
      <w:r>
        <w:rPr>
          <w:rFonts w:ascii="黑体" w:hAnsi="黑体" w:eastAsia="黑体" w:cs="黑体"/>
          <w:spacing w:val="-63"/>
          <w:sz w:val="27"/>
          <w:szCs w:val="27"/>
        </w:rPr>
        <w:t xml:space="preserve"> </w:t>
      </w:r>
      <w:r>
        <w:rPr>
          <w:rFonts w:ascii="Arial" w:hAnsi="Arial" w:eastAsia="Arial" w:cs="Arial"/>
          <w:b/>
          <w:bCs/>
          <w:spacing w:val="2"/>
          <w:sz w:val="27"/>
          <w:szCs w:val="27"/>
        </w:rPr>
        <w:t>X)</w:t>
      </w:r>
      <w:r>
        <w:rPr>
          <w:rFonts w:ascii="Arial" w:hAnsi="Arial" w:eastAsia="Arial" w:cs="Arial"/>
          <w:b/>
          <w:bCs/>
          <w:spacing w:val="-31"/>
          <w:sz w:val="27"/>
          <w:szCs w:val="27"/>
        </w:rPr>
        <w:t xml:space="preserve"> </w:t>
      </w:r>
      <w:r>
        <w:rPr>
          <w:rFonts w:ascii="黑体" w:hAnsi="黑体" w:eastAsia="黑体" w:cs="黑体"/>
          <w:b/>
          <w:bCs/>
          <w:spacing w:val="2"/>
          <w:sz w:val="27"/>
          <w:szCs w:val="27"/>
        </w:rPr>
        <w:t>危害性</w:t>
      </w:r>
    </w:p>
    <w:p w14:paraId="02C650A0">
      <w:pPr>
        <w:pStyle w:val="2"/>
        <w:spacing w:before="99" w:line="212" w:lineRule="auto"/>
        <w:ind w:left="560"/>
      </w:pPr>
      <w:r>
        <w:rPr>
          <w:spacing w:val="-6"/>
        </w:rPr>
        <w:t>说明(潜在问题</w:t>
      </w:r>
      <w:r>
        <w:rPr>
          <w:rFonts w:ascii="Times New Roman" w:hAnsi="Times New Roman" w:eastAsia="Times New Roman" w:cs="Times New Roman"/>
          <w:spacing w:val="-6"/>
        </w:rPr>
        <w:t xml:space="preserve">X) </w:t>
      </w:r>
      <w:r>
        <w:rPr>
          <w:spacing w:val="-6"/>
        </w:rPr>
        <w:t>的危害性，即对本设备、分系统、总</w:t>
      </w:r>
      <w:r>
        <w:rPr>
          <w:spacing w:val="-7"/>
        </w:rPr>
        <w:t>体危害的严酷度。</w:t>
      </w:r>
    </w:p>
    <w:p w14:paraId="0A42BDB9">
      <w:pPr>
        <w:spacing w:before="103" w:line="212" w:lineRule="auto"/>
        <w:rPr>
          <w:rFonts w:ascii="黑体" w:hAnsi="黑体" w:eastAsia="黑体" w:cs="黑体"/>
          <w:sz w:val="27"/>
          <w:szCs w:val="27"/>
        </w:rPr>
      </w:pPr>
      <w:r>
        <w:rPr>
          <w:rFonts w:ascii="Times New Roman" w:hAnsi="Times New Roman" w:eastAsia="Times New Roman" w:cs="Times New Roman"/>
          <w:spacing w:val="3"/>
          <w:sz w:val="27"/>
          <w:szCs w:val="27"/>
        </w:rPr>
        <w:t xml:space="preserve">7.X.3      </w:t>
      </w:r>
      <w:r>
        <w:rPr>
          <w:rFonts w:ascii="黑体" w:hAnsi="黑体" w:eastAsia="黑体" w:cs="黑体"/>
          <w:b/>
          <w:bCs/>
          <w:spacing w:val="3"/>
          <w:sz w:val="27"/>
          <w:szCs w:val="27"/>
        </w:rPr>
        <w:t>(潜在问题</w:t>
      </w:r>
      <w:r>
        <w:rPr>
          <w:rFonts w:ascii="黑体" w:hAnsi="黑体" w:eastAsia="黑体" w:cs="黑体"/>
          <w:spacing w:val="-74"/>
          <w:sz w:val="27"/>
          <w:szCs w:val="27"/>
        </w:rPr>
        <w:t xml:space="preserve"> </w:t>
      </w:r>
      <w:r>
        <w:rPr>
          <w:rFonts w:ascii="Times New Roman" w:hAnsi="Times New Roman" w:eastAsia="Times New Roman" w:cs="Times New Roman"/>
          <w:b/>
          <w:bCs/>
          <w:spacing w:val="3"/>
          <w:sz w:val="27"/>
          <w:szCs w:val="27"/>
        </w:rPr>
        <w:t>X)</w:t>
      </w:r>
      <w:r>
        <w:rPr>
          <w:rFonts w:ascii="黑体" w:hAnsi="黑体" w:eastAsia="黑体" w:cs="黑体"/>
          <w:b/>
          <w:bCs/>
          <w:spacing w:val="3"/>
          <w:sz w:val="27"/>
          <w:szCs w:val="27"/>
        </w:rPr>
        <w:t>改进措</w:t>
      </w:r>
      <w:r>
        <w:rPr>
          <w:rFonts w:ascii="黑体" w:hAnsi="黑体" w:eastAsia="黑体" w:cs="黑体"/>
          <w:b/>
          <w:bCs/>
          <w:spacing w:val="2"/>
          <w:sz w:val="27"/>
          <w:szCs w:val="27"/>
        </w:rPr>
        <w:t>施建议</w:t>
      </w:r>
    </w:p>
    <w:p w14:paraId="315DEC02">
      <w:pPr>
        <w:pStyle w:val="2"/>
        <w:spacing w:before="86" w:line="212" w:lineRule="auto"/>
        <w:ind w:left="560"/>
      </w:pPr>
      <w:r>
        <w:rPr>
          <w:spacing w:val="6"/>
        </w:rPr>
        <w:t>为了消除(潜在问题</w:t>
      </w:r>
      <w:r>
        <w:rPr>
          <w:rFonts w:ascii="Times New Roman" w:hAnsi="Times New Roman" w:eastAsia="Times New Roman" w:cs="Times New Roman"/>
          <w:spacing w:val="6"/>
        </w:rPr>
        <w:t>X)</w:t>
      </w:r>
      <w:r>
        <w:rPr>
          <w:rFonts w:ascii="Times New Roman" w:hAnsi="Times New Roman" w:eastAsia="Times New Roman" w:cs="Times New Roman"/>
          <w:spacing w:val="-10"/>
        </w:rPr>
        <w:t xml:space="preserve"> </w:t>
      </w:r>
      <w:r>
        <w:rPr>
          <w:spacing w:val="6"/>
        </w:rPr>
        <w:t>而提出相应的电路改正措施建议。</w:t>
      </w:r>
    </w:p>
    <w:p w14:paraId="297EFC12">
      <w:pPr>
        <w:spacing w:line="359" w:lineRule="auto"/>
        <w:rPr>
          <w:rFonts w:ascii="Arial"/>
          <w:sz w:val="21"/>
        </w:rPr>
      </w:pPr>
    </w:p>
    <w:p w14:paraId="40BF2AD7">
      <w:pPr>
        <w:pStyle w:val="2"/>
        <w:spacing w:before="118" w:line="219" w:lineRule="auto"/>
        <w:ind w:left="3060"/>
        <w:outlineLvl w:val="1"/>
        <w:rPr>
          <w:sz w:val="36"/>
          <w:szCs w:val="36"/>
        </w:rPr>
      </w:pPr>
      <w:r>
        <w:rPr>
          <w:rFonts w:ascii="Times New Roman" w:hAnsi="Times New Roman" w:eastAsia="Times New Roman" w:cs="Times New Roman"/>
          <w:b/>
          <w:bCs/>
          <w:spacing w:val="-1"/>
          <w:sz w:val="36"/>
          <w:szCs w:val="36"/>
        </w:rPr>
        <w:t>7.11</w:t>
      </w:r>
      <w:r>
        <w:rPr>
          <w:rFonts w:ascii="Times New Roman" w:hAnsi="Times New Roman" w:eastAsia="Times New Roman" w:cs="Times New Roman"/>
          <w:b/>
          <w:bCs/>
          <w:spacing w:val="7"/>
          <w:sz w:val="36"/>
          <w:szCs w:val="36"/>
        </w:rPr>
        <w:t xml:space="preserve">     </w:t>
      </w:r>
      <w:r>
        <w:rPr>
          <w:b/>
          <w:bCs/>
          <w:spacing w:val="-1"/>
          <w:sz w:val="36"/>
          <w:szCs w:val="36"/>
        </w:rPr>
        <w:t>电路容差分析</w:t>
      </w:r>
    </w:p>
    <w:p w14:paraId="5E2AA10E">
      <w:pPr>
        <w:spacing w:line="376" w:lineRule="auto"/>
        <w:rPr>
          <w:rFonts w:ascii="Arial"/>
          <w:sz w:val="21"/>
        </w:rPr>
      </w:pPr>
    </w:p>
    <w:p w14:paraId="03567E11">
      <w:pPr>
        <w:pStyle w:val="2"/>
        <w:spacing w:before="79" w:line="309" w:lineRule="auto"/>
        <w:ind w:right="15" w:firstLine="560"/>
        <w:rPr>
          <w:rFonts w:ascii="楷体" w:hAnsi="楷体" w:eastAsia="楷体" w:cs="楷体"/>
          <w:sz w:val="24"/>
          <w:szCs w:val="24"/>
        </w:rPr>
      </w:pPr>
      <w:r>
        <w:rPr>
          <w:rFonts w:ascii="楷体" w:hAnsi="楷体" w:eastAsia="楷体" w:cs="楷体"/>
          <w:spacing w:val="4"/>
          <w:sz w:val="24"/>
          <w:szCs w:val="24"/>
        </w:rPr>
        <w:t>按</w:t>
      </w:r>
      <w:r>
        <w:rPr>
          <w:rFonts w:ascii="楷体" w:hAnsi="楷体" w:eastAsia="楷体" w:cs="楷体"/>
          <w:spacing w:val="-31"/>
          <w:sz w:val="24"/>
          <w:szCs w:val="24"/>
        </w:rPr>
        <w:t xml:space="preserve"> </w:t>
      </w:r>
      <w:r>
        <w:rPr>
          <w:rFonts w:ascii="楷体" w:hAnsi="楷体" w:eastAsia="楷体" w:cs="楷体"/>
          <w:spacing w:val="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450A—2004</w:t>
      </w:r>
      <w:r>
        <w:rPr>
          <w:spacing w:val="4"/>
          <w:sz w:val="24"/>
          <w:szCs w:val="24"/>
        </w:rPr>
        <w:t>《</w:t>
      </w:r>
      <w:r>
        <w:rPr>
          <w:rFonts w:ascii="楷体" w:hAnsi="楷体" w:eastAsia="楷体" w:cs="楷体"/>
          <w:spacing w:val="4"/>
          <w:sz w:val="24"/>
          <w:szCs w:val="24"/>
        </w:rPr>
        <w:t>装备可靠性工作通用要求》、</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/Z      89—19</w:t>
      </w:r>
      <w:r>
        <w:rPr>
          <w:rFonts w:ascii="Times New Roman" w:hAnsi="Times New Roman" w:eastAsia="Times New Roman" w:cs="Times New Roman"/>
          <w:spacing w:val="3"/>
          <w:sz w:val="24"/>
          <w:szCs w:val="24"/>
        </w:rPr>
        <w:t>97</w:t>
      </w:r>
      <w:r>
        <w:rPr>
          <w:spacing w:val="3"/>
          <w:sz w:val="24"/>
          <w:szCs w:val="24"/>
        </w:rPr>
        <w:t>《</w:t>
      </w:r>
      <w:r>
        <w:rPr>
          <w:rFonts w:ascii="楷体" w:hAnsi="楷体" w:eastAsia="楷体" w:cs="楷体"/>
          <w:spacing w:val="3"/>
          <w:sz w:val="24"/>
          <w:szCs w:val="24"/>
        </w:rPr>
        <w:t>电</w:t>
      </w:r>
      <w:r>
        <w:rPr>
          <w:rFonts w:ascii="楷体" w:hAnsi="楷体" w:eastAsia="楷体" w:cs="楷体"/>
          <w:spacing w:val="-31"/>
          <w:sz w:val="24"/>
          <w:szCs w:val="24"/>
        </w:rPr>
        <w:t xml:space="preserve"> </w:t>
      </w:r>
      <w:r>
        <w:rPr>
          <w:rFonts w:ascii="楷体" w:hAnsi="楷体" w:eastAsia="楷体" w:cs="楷体"/>
          <w:spacing w:val="3"/>
          <w:sz w:val="24"/>
          <w:szCs w:val="24"/>
        </w:rPr>
        <w:t>路</w:t>
      </w:r>
      <w:r>
        <w:rPr>
          <w:rFonts w:ascii="楷体" w:hAnsi="楷体" w:eastAsia="楷体" w:cs="楷体"/>
          <w:sz w:val="24"/>
          <w:szCs w:val="24"/>
        </w:rPr>
        <w:t xml:space="preserve"> </w:t>
      </w:r>
      <w:r>
        <w:rPr>
          <w:rFonts w:ascii="楷体" w:hAnsi="楷体" w:eastAsia="楷体" w:cs="楷体"/>
          <w:spacing w:val="16"/>
          <w:sz w:val="24"/>
          <w:szCs w:val="24"/>
        </w:rPr>
        <w:t>容差分析指南》编写。</w:t>
      </w:r>
    </w:p>
    <w:p w14:paraId="091AE180">
      <w:pPr>
        <w:spacing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40"/>
          <w:sz w:val="25"/>
          <w:szCs w:val="25"/>
        </w:rPr>
        <w:t xml:space="preserve">  </w:t>
      </w:r>
      <w:r>
        <w:rPr>
          <w:rFonts w:ascii="黑体" w:hAnsi="黑体" w:eastAsia="黑体" w:cs="黑体"/>
          <w:b/>
          <w:bCs/>
          <w:spacing w:val="3"/>
          <w:sz w:val="25"/>
          <w:szCs w:val="25"/>
        </w:rPr>
        <w:t>范围</w:t>
      </w:r>
    </w:p>
    <w:p w14:paraId="7ADAC103">
      <w:pPr>
        <w:spacing w:before="76" w:line="222" w:lineRule="auto"/>
        <w:rPr>
          <w:rFonts w:ascii="黑体" w:hAnsi="黑体" w:eastAsia="黑体" w:cs="黑体"/>
          <w:sz w:val="27"/>
          <w:szCs w:val="27"/>
        </w:rPr>
      </w:pPr>
      <w:r>
        <w:rPr>
          <w:rFonts w:ascii="黑体" w:hAnsi="黑体" w:eastAsia="黑体" w:cs="黑体"/>
          <w:spacing w:val="-5"/>
          <w:sz w:val="27"/>
          <w:szCs w:val="27"/>
        </w:rPr>
        <w:t>2</w:t>
      </w:r>
      <w:r>
        <w:rPr>
          <w:rFonts w:ascii="黑体" w:hAnsi="黑体" w:eastAsia="黑体" w:cs="黑体"/>
          <w:spacing w:val="18"/>
          <w:sz w:val="27"/>
          <w:szCs w:val="27"/>
        </w:rPr>
        <w:t xml:space="preserve">  </w:t>
      </w:r>
      <w:r>
        <w:rPr>
          <w:rFonts w:ascii="黑体" w:hAnsi="黑体" w:eastAsia="黑体" w:cs="黑体"/>
          <w:b/>
          <w:bCs/>
          <w:spacing w:val="-5"/>
          <w:sz w:val="27"/>
          <w:szCs w:val="27"/>
        </w:rPr>
        <w:t>引用文件</w:t>
      </w:r>
    </w:p>
    <w:p w14:paraId="68AB962F">
      <w:pPr>
        <w:spacing w:before="88" w:line="223" w:lineRule="auto"/>
        <w:rPr>
          <w:rFonts w:ascii="黑体" w:hAnsi="黑体" w:eastAsia="黑体" w:cs="黑体"/>
          <w:sz w:val="27"/>
          <w:szCs w:val="27"/>
        </w:rPr>
      </w:pPr>
      <w:r>
        <w:rPr>
          <w:rFonts w:ascii="黑体" w:hAnsi="黑体" w:eastAsia="黑体" w:cs="黑体"/>
          <w:spacing w:val="-9"/>
          <w:sz w:val="27"/>
          <w:szCs w:val="27"/>
        </w:rPr>
        <w:t>3</w:t>
      </w:r>
      <w:r>
        <w:rPr>
          <w:rFonts w:ascii="黑体" w:hAnsi="黑体" w:eastAsia="黑体" w:cs="黑体"/>
          <w:spacing w:val="20"/>
          <w:sz w:val="27"/>
          <w:szCs w:val="27"/>
        </w:rPr>
        <w:t xml:space="preserve">  </w:t>
      </w:r>
      <w:r>
        <w:rPr>
          <w:rFonts w:ascii="黑体" w:hAnsi="黑体" w:eastAsia="黑体" w:cs="黑体"/>
          <w:b/>
          <w:bCs/>
          <w:spacing w:val="-9"/>
          <w:sz w:val="27"/>
          <w:szCs w:val="27"/>
        </w:rPr>
        <w:t>电路描述</w:t>
      </w:r>
    </w:p>
    <w:p w14:paraId="0C4FF901">
      <w:pPr>
        <w:pStyle w:val="2"/>
        <w:spacing w:before="77" w:line="219" w:lineRule="auto"/>
        <w:ind w:left="560"/>
      </w:pPr>
      <w:r>
        <w:rPr>
          <w:spacing w:val="-1"/>
        </w:rPr>
        <w:t>说明电路的功能、关键性以及电路原理图或者详细电路图。</w:t>
      </w:r>
    </w:p>
    <w:p w14:paraId="0F6498AF">
      <w:pPr>
        <w:spacing w:before="124" w:line="222" w:lineRule="auto"/>
        <w:rPr>
          <w:rFonts w:ascii="黑体" w:hAnsi="黑体" w:eastAsia="黑体" w:cs="黑体"/>
          <w:sz w:val="24"/>
          <w:szCs w:val="24"/>
        </w:rPr>
      </w:pPr>
      <w:r>
        <w:rPr>
          <w:rFonts w:ascii="黑体" w:hAnsi="黑体" w:eastAsia="黑体" w:cs="黑体"/>
          <w:spacing w:val="26"/>
          <w:sz w:val="24"/>
          <w:szCs w:val="24"/>
        </w:rPr>
        <w:t>4</w:t>
      </w:r>
      <w:r>
        <w:rPr>
          <w:rFonts w:ascii="黑体" w:hAnsi="黑体" w:eastAsia="黑体" w:cs="黑体"/>
          <w:spacing w:val="43"/>
          <w:sz w:val="24"/>
          <w:szCs w:val="24"/>
        </w:rPr>
        <w:t xml:space="preserve">  </w:t>
      </w:r>
      <w:r>
        <w:rPr>
          <w:rFonts w:ascii="黑体" w:hAnsi="黑体" w:eastAsia="黑体" w:cs="黑体"/>
          <w:b/>
          <w:bCs/>
          <w:spacing w:val="26"/>
          <w:sz w:val="24"/>
          <w:szCs w:val="24"/>
        </w:rPr>
        <w:t>电路特性的极限要求</w:t>
      </w:r>
    </w:p>
    <w:p w14:paraId="3ABC0AE5">
      <w:pPr>
        <w:pStyle w:val="2"/>
        <w:spacing w:before="87" w:line="219" w:lineRule="auto"/>
        <w:ind w:left="560"/>
      </w:pPr>
      <w:r>
        <w:t>说明电路特性参数的允许偏差极限要求，以及容差分析的环境温度条件。</w:t>
      </w:r>
    </w:p>
    <w:p w14:paraId="338BBE67">
      <w:pPr>
        <w:spacing w:before="84" w:line="222"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容差分析考虑的设计参数</w:t>
      </w:r>
    </w:p>
    <w:p w14:paraId="33569E83">
      <w:pPr>
        <w:pStyle w:val="2"/>
        <w:spacing w:before="100" w:line="272" w:lineRule="auto"/>
        <w:ind w:firstLine="560"/>
      </w:pPr>
      <w:r>
        <w:rPr>
          <w:spacing w:val="10"/>
        </w:rPr>
        <w:t>说明在容差分析过程中需要考虑的设计参数名称、标</w:t>
      </w:r>
      <w:r>
        <w:rPr>
          <w:spacing w:val="9"/>
        </w:rPr>
        <w:t>识、标称值(或者均</w:t>
      </w:r>
      <w:r>
        <w:t xml:space="preserve"> </w:t>
      </w:r>
      <w:r>
        <w:rPr>
          <w:spacing w:val="3"/>
        </w:rPr>
        <w:t>值),以及偏差量(或者均方差)及其数据</w:t>
      </w:r>
      <w:r>
        <w:rPr>
          <w:spacing w:val="2"/>
        </w:rPr>
        <w:t>来源。</w:t>
      </w:r>
    </w:p>
    <w:p w14:paraId="7E87DA9A">
      <w:pPr>
        <w:spacing w:before="1" w:line="220" w:lineRule="auto"/>
        <w:outlineLvl w:val="3"/>
        <w:rPr>
          <w:rFonts w:ascii="黑体" w:hAnsi="黑体" w:eastAsia="黑体" w:cs="黑体"/>
          <w:sz w:val="27"/>
          <w:szCs w:val="27"/>
        </w:rPr>
      </w:pPr>
      <w:r>
        <w:rPr>
          <w:rFonts w:ascii="Arial" w:hAnsi="Arial" w:eastAsia="Arial" w:cs="Arial"/>
          <w:b/>
          <w:bCs/>
          <w:spacing w:val="-2"/>
          <w:sz w:val="27"/>
          <w:szCs w:val="27"/>
        </w:rPr>
        <w:t>6</w:t>
      </w:r>
      <w:r>
        <w:rPr>
          <w:rFonts w:ascii="Arial" w:hAnsi="Arial" w:eastAsia="Arial" w:cs="Arial"/>
          <w:b/>
          <w:bCs/>
          <w:spacing w:val="25"/>
          <w:sz w:val="27"/>
          <w:szCs w:val="27"/>
        </w:rPr>
        <w:t xml:space="preserve">   </w:t>
      </w:r>
      <w:r>
        <w:rPr>
          <w:rFonts w:ascii="黑体" w:hAnsi="黑体" w:eastAsia="黑体" w:cs="黑体"/>
          <w:b/>
          <w:bCs/>
          <w:spacing w:val="-2"/>
          <w:sz w:val="27"/>
          <w:szCs w:val="27"/>
        </w:rPr>
        <w:t>容差分析方法选择</w:t>
      </w:r>
    </w:p>
    <w:p w14:paraId="3A1D4F35">
      <w:pPr>
        <w:pStyle w:val="2"/>
        <w:spacing w:before="93" w:line="219" w:lineRule="auto"/>
        <w:ind w:left="560"/>
      </w:pPr>
      <w:r>
        <w:rPr>
          <w:spacing w:val="2"/>
        </w:rPr>
        <w:t>说明所选择的容差分析方法和选择原因。</w:t>
      </w:r>
    </w:p>
    <w:p w14:paraId="7C4749C7">
      <w:pPr>
        <w:spacing w:before="94" w:line="222" w:lineRule="auto"/>
        <w:rPr>
          <w:rFonts w:ascii="黑体" w:hAnsi="黑体" w:eastAsia="黑体" w:cs="黑体"/>
          <w:sz w:val="27"/>
          <w:szCs w:val="27"/>
        </w:rPr>
      </w:pPr>
      <w:r>
        <w:rPr>
          <w:rFonts w:ascii="黑体" w:hAnsi="黑体" w:eastAsia="黑体" w:cs="黑体"/>
          <w:spacing w:val="-3"/>
          <w:sz w:val="27"/>
          <w:szCs w:val="27"/>
        </w:rPr>
        <w:t>7</w:t>
      </w:r>
      <w:r>
        <w:rPr>
          <w:rFonts w:ascii="黑体" w:hAnsi="黑体" w:eastAsia="黑体" w:cs="黑体"/>
          <w:spacing w:val="21"/>
          <w:sz w:val="27"/>
          <w:szCs w:val="27"/>
        </w:rPr>
        <w:t xml:space="preserve">  </w:t>
      </w:r>
      <w:r>
        <w:rPr>
          <w:rFonts w:ascii="黑体" w:hAnsi="黑体" w:eastAsia="黑体" w:cs="黑体"/>
          <w:b/>
          <w:bCs/>
          <w:spacing w:val="-3"/>
          <w:sz w:val="27"/>
          <w:szCs w:val="27"/>
        </w:rPr>
        <w:t>容差分析过程</w:t>
      </w:r>
    </w:p>
    <w:p w14:paraId="24F10A03">
      <w:pPr>
        <w:pStyle w:val="2"/>
        <w:spacing w:before="81" w:line="279" w:lineRule="auto"/>
        <w:ind w:right="6" w:firstLine="560"/>
      </w:pPr>
      <w:r>
        <w:rPr>
          <w:spacing w:val="5"/>
        </w:rPr>
        <w:t>说明容差分析的整个过程，列出必要的计算公式和计算结果。当采用仿真</w:t>
      </w:r>
      <w:r>
        <w:rPr>
          <w:spacing w:val="10"/>
        </w:rPr>
        <w:t xml:space="preserve"> </w:t>
      </w:r>
      <w:r>
        <w:rPr>
          <w:spacing w:val="-3"/>
        </w:rPr>
        <w:t>方法时，应该给出仿真结果的曲线或者图形。</w:t>
      </w:r>
    </w:p>
    <w:p w14:paraId="0C63C424">
      <w:pPr>
        <w:spacing w:line="222" w:lineRule="auto"/>
        <w:rPr>
          <w:rFonts w:ascii="黑体" w:hAnsi="黑体" w:eastAsia="黑体" w:cs="黑体"/>
          <w:sz w:val="27"/>
          <w:szCs w:val="27"/>
        </w:rPr>
      </w:pPr>
      <w:r>
        <w:rPr>
          <w:rFonts w:ascii="黑体" w:hAnsi="黑体" w:eastAsia="黑体" w:cs="黑体"/>
          <w:sz w:val="27"/>
          <w:szCs w:val="27"/>
        </w:rPr>
        <w:t>8</w:t>
      </w:r>
      <w:r>
        <w:rPr>
          <w:rFonts w:ascii="黑体" w:hAnsi="黑体" w:eastAsia="黑体" w:cs="黑体"/>
          <w:spacing w:val="19"/>
          <w:sz w:val="27"/>
          <w:szCs w:val="27"/>
        </w:rPr>
        <w:t xml:space="preserve">  </w:t>
      </w:r>
      <w:r>
        <w:rPr>
          <w:rFonts w:ascii="黑体" w:hAnsi="黑体" w:eastAsia="黑体" w:cs="黑体"/>
          <w:b/>
          <w:bCs/>
          <w:sz w:val="27"/>
          <w:szCs w:val="27"/>
        </w:rPr>
        <w:t>分析结论</w:t>
      </w:r>
    </w:p>
    <w:p w14:paraId="5890DA98">
      <w:pPr>
        <w:pStyle w:val="2"/>
        <w:spacing w:before="99" w:line="219" w:lineRule="auto"/>
        <w:ind w:right="1"/>
        <w:jc w:val="right"/>
      </w:pPr>
      <w:r>
        <w:rPr>
          <w:spacing w:val="-11"/>
        </w:rPr>
        <w:t>给出容差分析是否合格的结论，当容差分析不合格时，给出相应的改进建议。</w:t>
      </w:r>
    </w:p>
    <w:p w14:paraId="79D0C1E9">
      <w:pPr>
        <w:spacing w:line="330" w:lineRule="auto"/>
        <w:rPr>
          <w:rFonts w:ascii="Arial"/>
          <w:sz w:val="21"/>
        </w:rPr>
      </w:pPr>
    </w:p>
    <w:p w14:paraId="08D59BFB">
      <w:pPr>
        <w:pStyle w:val="2"/>
        <w:spacing w:before="117" w:line="220" w:lineRule="auto"/>
        <w:ind w:left="2889"/>
        <w:rPr>
          <w:sz w:val="36"/>
          <w:szCs w:val="36"/>
        </w:rPr>
      </w:pPr>
      <w:r>
        <w:rPr>
          <w:spacing w:val="-4"/>
          <w:sz w:val="36"/>
          <w:szCs w:val="36"/>
        </w:rPr>
        <w:t>7.</w:t>
      </w:r>
      <w:r>
        <w:rPr>
          <w:b/>
          <w:bCs/>
          <w:spacing w:val="-4"/>
          <w:sz w:val="36"/>
          <w:szCs w:val="36"/>
        </w:rPr>
        <w:t>12</w:t>
      </w:r>
      <w:r>
        <w:rPr>
          <w:spacing w:val="33"/>
          <w:sz w:val="36"/>
          <w:szCs w:val="36"/>
        </w:rPr>
        <w:t xml:space="preserve">  </w:t>
      </w:r>
      <w:r>
        <w:rPr>
          <w:b/>
          <w:bCs/>
          <w:spacing w:val="-4"/>
          <w:sz w:val="36"/>
          <w:szCs w:val="36"/>
        </w:rPr>
        <w:t>可靠性设计准则</w:t>
      </w:r>
    </w:p>
    <w:p w14:paraId="707EF6BB">
      <w:pPr>
        <w:spacing w:line="331" w:lineRule="auto"/>
        <w:rPr>
          <w:rFonts w:ascii="Arial"/>
          <w:sz w:val="21"/>
        </w:rPr>
      </w:pPr>
    </w:p>
    <w:p w14:paraId="32575729">
      <w:pPr>
        <w:pStyle w:val="2"/>
        <w:spacing w:before="92" w:line="223"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704AAB37">
      <w:pPr>
        <w:spacing w:before="55"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6"/>
          <w:sz w:val="27"/>
          <w:szCs w:val="27"/>
        </w:rPr>
        <w:t xml:space="preserve">  </w:t>
      </w:r>
      <w:r>
        <w:rPr>
          <w:rFonts w:ascii="黑体" w:hAnsi="黑体" w:eastAsia="黑体" w:cs="黑体"/>
          <w:b/>
          <w:bCs/>
          <w:spacing w:val="-13"/>
          <w:sz w:val="27"/>
          <w:szCs w:val="27"/>
        </w:rPr>
        <w:t>范围</w:t>
      </w:r>
    </w:p>
    <w:p w14:paraId="582A9C26">
      <w:pPr>
        <w:spacing w:before="82" w:line="222" w:lineRule="auto"/>
        <w:rPr>
          <w:rFonts w:ascii="黑体" w:hAnsi="黑体" w:eastAsia="黑体" w:cs="黑体"/>
          <w:sz w:val="27"/>
          <w:szCs w:val="27"/>
        </w:rPr>
      </w:pPr>
      <w:r>
        <w:rPr>
          <w:rFonts w:ascii="黑体" w:hAnsi="黑体" w:eastAsia="黑体" w:cs="黑体"/>
          <w:spacing w:val="-5"/>
          <w:sz w:val="27"/>
          <w:szCs w:val="27"/>
        </w:rPr>
        <w:t>2</w:t>
      </w:r>
      <w:r>
        <w:rPr>
          <w:rFonts w:ascii="黑体" w:hAnsi="黑体" w:eastAsia="黑体" w:cs="黑体"/>
          <w:spacing w:val="18"/>
          <w:sz w:val="27"/>
          <w:szCs w:val="27"/>
        </w:rPr>
        <w:t xml:space="preserve">  </w:t>
      </w:r>
      <w:r>
        <w:rPr>
          <w:rFonts w:ascii="黑体" w:hAnsi="黑体" w:eastAsia="黑体" w:cs="黑体"/>
          <w:b/>
          <w:bCs/>
          <w:spacing w:val="-5"/>
          <w:sz w:val="27"/>
          <w:szCs w:val="27"/>
        </w:rPr>
        <w:t>引用文件</w:t>
      </w:r>
    </w:p>
    <w:p w14:paraId="71027952">
      <w:pPr>
        <w:spacing w:line="222" w:lineRule="auto"/>
        <w:rPr>
          <w:rFonts w:ascii="黑体" w:hAnsi="黑体" w:eastAsia="黑体" w:cs="黑体"/>
          <w:sz w:val="27"/>
          <w:szCs w:val="27"/>
        </w:rPr>
        <w:sectPr>
          <w:footerReference r:id="rId377" w:type="default"/>
          <w:pgSz w:w="11910" w:h="17130"/>
          <w:pgMar w:top="1424" w:right="1131" w:bottom="1646" w:left="1400" w:header="0" w:footer="1457" w:gutter="0"/>
          <w:cols w:space="720" w:num="1"/>
        </w:sectPr>
      </w:pPr>
    </w:p>
    <w:p w14:paraId="24A61485">
      <w:pPr>
        <w:spacing w:before="54" w:line="221"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16"/>
          <w:sz w:val="27"/>
          <w:szCs w:val="27"/>
        </w:rPr>
        <w:t xml:space="preserve">  </w:t>
      </w:r>
      <w:r>
        <w:rPr>
          <w:rFonts w:ascii="黑体" w:hAnsi="黑体" w:eastAsia="黑体" w:cs="黑体"/>
          <w:b/>
          <w:bCs/>
          <w:spacing w:val="-3"/>
          <w:sz w:val="27"/>
          <w:szCs w:val="27"/>
        </w:rPr>
        <w:t>产品概述</w:t>
      </w:r>
    </w:p>
    <w:p w14:paraId="27FFEFC1">
      <w:pPr>
        <w:pStyle w:val="2"/>
        <w:spacing w:before="83" w:line="270" w:lineRule="auto"/>
        <w:ind w:right="103" w:firstLine="550"/>
      </w:pPr>
      <w:r>
        <w:rPr>
          <w:spacing w:val="-2"/>
        </w:rPr>
        <w:t>说明产品层次和结构特性，以及影响可靠性</w:t>
      </w:r>
      <w:r>
        <w:rPr>
          <w:spacing w:val="-3"/>
        </w:rPr>
        <w:t>的因素与问题，明确可靠性设计</w:t>
      </w:r>
      <w:r>
        <w:t xml:space="preserve"> </w:t>
      </w:r>
      <w:r>
        <w:rPr>
          <w:spacing w:val="-3"/>
        </w:rPr>
        <w:t>准则覆盖的产品层次范围，以及产品对象组成类别。</w:t>
      </w:r>
    </w:p>
    <w:p w14:paraId="1C69EE65">
      <w:pPr>
        <w:pStyle w:val="2"/>
        <w:spacing w:before="2" w:line="280" w:lineRule="auto"/>
        <w:ind w:firstLine="550"/>
        <w:jc w:val="both"/>
      </w:pPr>
      <w:r>
        <w:rPr>
          <w:spacing w:val="-18"/>
        </w:rPr>
        <w:t>产品层次范围是指型号、系统、分系统、设备、部件、元器件等，不同层次产品</w:t>
      </w:r>
      <w:r>
        <w:rPr>
          <w:spacing w:val="4"/>
        </w:rPr>
        <w:t xml:space="preserve"> </w:t>
      </w:r>
      <w:r>
        <w:rPr>
          <w:spacing w:val="1"/>
        </w:rPr>
        <w:t>的可靠性设计准则是不同的；产品对象组成类别包括电子类产品、机械类产</w:t>
      </w:r>
      <w:r>
        <w:t xml:space="preserve">品、 </w:t>
      </w:r>
      <w:r>
        <w:rPr>
          <w:spacing w:val="-2"/>
        </w:rPr>
        <w:t>机电类产品、软件产品以及这些类别的各种组合等，不同类别的</w:t>
      </w:r>
      <w:r>
        <w:rPr>
          <w:spacing w:val="-3"/>
        </w:rPr>
        <w:t>可靠性设计准则</w:t>
      </w:r>
      <w:r>
        <w:t xml:space="preserve"> </w:t>
      </w:r>
      <w:r>
        <w:rPr>
          <w:spacing w:val="-1"/>
        </w:rPr>
        <w:t>是不同的。</w:t>
      </w:r>
    </w:p>
    <w:p w14:paraId="650B92AF">
      <w:pPr>
        <w:spacing w:before="4" w:line="222"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可靠性设计准则</w:t>
      </w:r>
    </w:p>
    <w:p w14:paraId="65389F63">
      <w:pPr>
        <w:pStyle w:val="2"/>
        <w:spacing w:before="88" w:line="281" w:lineRule="auto"/>
        <w:ind w:right="103" w:firstLine="550"/>
        <w:jc w:val="both"/>
      </w:pPr>
      <w:r>
        <w:rPr>
          <w:spacing w:val="-2"/>
        </w:rPr>
        <w:t>将产品的可靠性设计准则以“××产品可靠</w:t>
      </w:r>
      <w:r>
        <w:rPr>
          <w:spacing w:val="-3"/>
        </w:rPr>
        <w:t>性设计准则”条款形式输出。这</w:t>
      </w:r>
      <w:r>
        <w:t xml:space="preserve"> </w:t>
      </w:r>
      <w:r>
        <w:rPr>
          <w:spacing w:val="-3"/>
        </w:rPr>
        <w:t>些条款从诸如简化设计、耐环境设计、冗余设计等多种不同的方面对可靠性设计</w:t>
      </w:r>
      <w:r>
        <w:rPr>
          <w:spacing w:val="15"/>
        </w:rPr>
        <w:t xml:space="preserve"> </w:t>
      </w:r>
      <w:r>
        <w:rPr>
          <w:spacing w:val="4"/>
        </w:rPr>
        <w:t>提出具体的要求。可靠性设计准则可根据需要分为通用部分和专用部分。</w:t>
      </w:r>
    </w:p>
    <w:p w14:paraId="2D4C3D0D">
      <w:pPr>
        <w:pStyle w:val="2"/>
        <w:spacing w:line="220" w:lineRule="auto"/>
        <w:ind w:left="550"/>
      </w:pPr>
      <w:r>
        <w:rPr>
          <w:spacing w:val="2"/>
        </w:rPr>
        <w:t>可靠性设计准则主要包括以下方面：</w:t>
      </w:r>
    </w:p>
    <w:p w14:paraId="35A2FA53">
      <w:pPr>
        <w:pStyle w:val="2"/>
        <w:spacing w:before="75" w:line="219" w:lineRule="auto"/>
        <w:ind w:left="550"/>
      </w:pPr>
      <w:r>
        <w:rPr>
          <w:rFonts w:ascii="Times New Roman" w:hAnsi="Times New Roman" w:eastAsia="Times New Roman" w:cs="Times New Roman"/>
          <w:spacing w:val="9"/>
        </w:rPr>
        <w:t>a</w:t>
      </w:r>
      <w:r>
        <w:rPr>
          <w:spacing w:val="9"/>
        </w:rPr>
        <w:t>)采用成熟的技术和工艺；</w:t>
      </w:r>
    </w:p>
    <w:p w14:paraId="70E0F1DD">
      <w:pPr>
        <w:pStyle w:val="2"/>
        <w:spacing w:before="51" w:line="212" w:lineRule="auto"/>
        <w:ind w:left="550"/>
      </w:pPr>
      <w:r>
        <w:rPr>
          <w:rFonts w:ascii="Times New Roman" w:hAnsi="Times New Roman" w:eastAsia="Times New Roman" w:cs="Times New Roman"/>
        </w:rPr>
        <w:t>b)</w:t>
      </w:r>
      <w:r>
        <w:rPr>
          <w:rFonts w:ascii="Times New Roman" w:hAnsi="Times New Roman" w:eastAsia="Times New Roman" w:cs="Times New Roman"/>
          <w:spacing w:val="71"/>
        </w:rPr>
        <w:t xml:space="preserve"> </w:t>
      </w:r>
      <w:r>
        <w:t>简化设计；</w:t>
      </w:r>
    </w:p>
    <w:p w14:paraId="5C829746">
      <w:pPr>
        <w:pStyle w:val="2"/>
        <w:spacing w:before="120" w:line="212" w:lineRule="auto"/>
        <w:ind w:left="550"/>
      </w:pPr>
      <w:r>
        <w:rPr>
          <w:rFonts w:ascii="Times New Roman" w:hAnsi="Times New Roman" w:eastAsia="Times New Roman" w:cs="Times New Roman"/>
          <w:spacing w:val="-8"/>
        </w:rPr>
        <w:t>c)</w:t>
      </w:r>
      <w:r>
        <w:rPr>
          <w:rFonts w:ascii="Times New Roman" w:hAnsi="Times New Roman" w:eastAsia="Times New Roman" w:cs="Times New Roman"/>
          <w:spacing w:val="68"/>
        </w:rPr>
        <w:t xml:space="preserve"> </w:t>
      </w:r>
      <w:r>
        <w:rPr>
          <w:spacing w:val="-8"/>
        </w:rPr>
        <w:t>合理选择、正确使用元器件、零部件和原材料；</w:t>
      </w:r>
    </w:p>
    <w:p w14:paraId="0794FFEB">
      <w:pPr>
        <w:pStyle w:val="2"/>
        <w:spacing w:before="90" w:line="212" w:lineRule="auto"/>
        <w:ind w:left="550"/>
      </w:pPr>
      <w:r>
        <w:rPr>
          <w:rFonts w:ascii="Times New Roman" w:hAnsi="Times New Roman" w:eastAsia="Times New Roman" w:cs="Times New Roman"/>
          <w:spacing w:val="-4"/>
        </w:rPr>
        <w:t xml:space="preserve">d)  </w:t>
      </w:r>
      <w:r>
        <w:rPr>
          <w:spacing w:val="-4"/>
        </w:rPr>
        <w:t>降额设计准则，元器件降额准则，应参照</w:t>
      </w:r>
      <w:r>
        <w:rPr>
          <w:rFonts w:ascii="Times New Roman" w:hAnsi="Times New Roman" w:eastAsia="Times New Roman" w:cs="Times New Roman"/>
          <w:spacing w:val="-4"/>
        </w:rPr>
        <w:t>GJB/Z   35</w:t>
      </w:r>
      <w:r>
        <w:rPr>
          <w:rFonts w:ascii="Times New Roman" w:hAnsi="Times New Roman" w:eastAsia="Times New Roman" w:cs="Times New Roman"/>
          <w:spacing w:val="-12"/>
        </w:rPr>
        <w:t xml:space="preserve"> </w:t>
      </w:r>
      <w:r>
        <w:rPr>
          <w:spacing w:val="-4"/>
        </w:rPr>
        <w:t>制定；</w:t>
      </w:r>
    </w:p>
    <w:p w14:paraId="41E08E6C">
      <w:pPr>
        <w:pStyle w:val="2"/>
        <w:spacing w:before="90" w:line="212" w:lineRule="auto"/>
        <w:ind w:left="550"/>
      </w:pPr>
      <w:r>
        <w:rPr>
          <w:rFonts w:ascii="Times New Roman" w:hAnsi="Times New Roman" w:eastAsia="Times New Roman" w:cs="Times New Roman"/>
          <w:spacing w:val="-6"/>
        </w:rPr>
        <w:t>e)</w:t>
      </w:r>
      <w:r>
        <w:rPr>
          <w:rFonts w:ascii="Times New Roman" w:hAnsi="Times New Roman" w:eastAsia="Times New Roman" w:cs="Times New Roman"/>
          <w:spacing w:val="65"/>
        </w:rPr>
        <w:t xml:space="preserve"> </w:t>
      </w:r>
      <w:r>
        <w:rPr>
          <w:spacing w:val="-6"/>
        </w:rPr>
        <w:t>容错、冗余和防差错设计；</w:t>
      </w:r>
    </w:p>
    <w:p w14:paraId="567CFD26">
      <w:pPr>
        <w:pStyle w:val="2"/>
        <w:spacing w:before="90" w:line="212" w:lineRule="auto"/>
        <w:ind w:left="550"/>
      </w:pPr>
      <w:r>
        <w:rPr>
          <w:rFonts w:ascii="Times New Roman" w:hAnsi="Times New Roman" w:eastAsia="Times New Roman" w:cs="Times New Roman"/>
        </w:rPr>
        <w:t xml:space="preserve">f)  </w:t>
      </w:r>
      <w:r>
        <w:t>电路容差设计；</w:t>
      </w:r>
    </w:p>
    <w:p w14:paraId="43CA6ACF">
      <w:pPr>
        <w:pStyle w:val="2"/>
        <w:spacing w:before="110" w:line="212" w:lineRule="auto"/>
        <w:ind w:left="550"/>
      </w:pPr>
      <w:r>
        <w:rPr>
          <w:rFonts w:ascii="Times New Roman" w:hAnsi="Times New Roman" w:eastAsia="Times New Roman" w:cs="Times New Roman"/>
          <w:spacing w:val="9"/>
        </w:rPr>
        <w:t>g</w:t>
      </w:r>
      <w:r>
        <w:rPr>
          <w:spacing w:val="9"/>
        </w:rPr>
        <w:t>)防瞬态过应力设计；</w:t>
      </w:r>
    </w:p>
    <w:p w14:paraId="74E534FB">
      <w:pPr>
        <w:pStyle w:val="2"/>
        <w:spacing w:before="120" w:line="212" w:lineRule="auto"/>
        <w:ind w:left="550"/>
      </w:pPr>
      <w:r>
        <w:rPr>
          <w:rFonts w:ascii="Times New Roman" w:hAnsi="Times New Roman" w:eastAsia="Times New Roman" w:cs="Times New Roman"/>
          <w:spacing w:val="-1"/>
        </w:rPr>
        <w:t xml:space="preserve">h)  </w:t>
      </w:r>
      <w:r>
        <w:rPr>
          <w:spacing w:val="-1"/>
        </w:rPr>
        <w:t>热设计准则，电子产品应参照</w:t>
      </w:r>
      <w:r>
        <w:rPr>
          <w:rFonts w:ascii="Times New Roman" w:hAnsi="Times New Roman" w:eastAsia="Times New Roman" w:cs="Times New Roman"/>
          <w:spacing w:val="-1"/>
        </w:rPr>
        <w:t>GJB/Z</w:t>
      </w:r>
      <w:r>
        <w:rPr>
          <w:rFonts w:ascii="Times New Roman" w:hAnsi="Times New Roman" w:eastAsia="Times New Roman" w:cs="Times New Roman"/>
          <w:spacing w:val="37"/>
        </w:rPr>
        <w:t xml:space="preserve">  </w:t>
      </w:r>
      <w:r>
        <w:rPr>
          <w:rFonts w:ascii="Times New Roman" w:hAnsi="Times New Roman" w:eastAsia="Times New Roman" w:cs="Times New Roman"/>
          <w:spacing w:val="-1"/>
        </w:rPr>
        <w:t xml:space="preserve">27 </w:t>
      </w:r>
      <w:r>
        <w:rPr>
          <w:spacing w:val="-1"/>
        </w:rPr>
        <w:t>制定；</w:t>
      </w:r>
    </w:p>
    <w:p w14:paraId="33A55911">
      <w:pPr>
        <w:pStyle w:val="2"/>
        <w:spacing w:before="90" w:line="212" w:lineRule="auto"/>
        <w:ind w:left="550"/>
      </w:pPr>
      <w:r>
        <w:rPr>
          <w:rFonts w:ascii="Times New Roman" w:hAnsi="Times New Roman" w:eastAsia="Times New Roman" w:cs="Times New Roman"/>
          <w:spacing w:val="6"/>
        </w:rPr>
        <w:t>i)</w:t>
      </w:r>
      <w:r>
        <w:rPr>
          <w:rFonts w:ascii="Times New Roman" w:hAnsi="Times New Roman" w:eastAsia="Times New Roman" w:cs="Times New Roman"/>
          <w:spacing w:val="72"/>
        </w:rPr>
        <w:t xml:space="preserve"> </w:t>
      </w:r>
      <w:r>
        <w:rPr>
          <w:spacing w:val="6"/>
        </w:rPr>
        <w:t>环境防护设计(包括工作与非工作状态);</w:t>
      </w:r>
    </w:p>
    <w:p w14:paraId="44992BA6">
      <w:pPr>
        <w:pStyle w:val="2"/>
        <w:spacing w:before="99" w:line="212" w:lineRule="auto"/>
        <w:ind w:left="550"/>
      </w:pPr>
      <w:r>
        <w:rPr>
          <w:rFonts w:ascii="Times New Roman" w:hAnsi="Times New Roman" w:eastAsia="Times New Roman" w:cs="Times New Roman"/>
          <w:spacing w:val="1"/>
        </w:rPr>
        <w:t>j)</w:t>
      </w:r>
      <w:r>
        <w:rPr>
          <w:rFonts w:ascii="Times New Roman" w:hAnsi="Times New Roman" w:eastAsia="Times New Roman" w:cs="Times New Roman"/>
          <w:spacing w:val="73"/>
        </w:rPr>
        <w:t xml:space="preserve"> </w:t>
      </w:r>
      <w:r>
        <w:rPr>
          <w:spacing w:val="1"/>
        </w:rPr>
        <w:t>电磁兼容设计；</w:t>
      </w:r>
    </w:p>
    <w:p w14:paraId="1A736A26">
      <w:pPr>
        <w:pStyle w:val="2"/>
        <w:spacing w:before="101" w:line="212" w:lineRule="auto"/>
        <w:ind w:left="550"/>
      </w:pPr>
      <w:r>
        <w:rPr>
          <w:rFonts w:ascii="Times New Roman" w:hAnsi="Times New Roman" w:eastAsia="Times New Roman" w:cs="Times New Roman"/>
          <w:spacing w:val="2"/>
        </w:rPr>
        <w:t xml:space="preserve">k)  </w:t>
      </w:r>
      <w:r>
        <w:rPr>
          <w:spacing w:val="2"/>
        </w:rPr>
        <w:t>与人的因素有关的设计；</w:t>
      </w:r>
    </w:p>
    <w:p w14:paraId="665CA108">
      <w:pPr>
        <w:pStyle w:val="2"/>
        <w:spacing w:before="130" w:line="219" w:lineRule="auto"/>
        <w:ind w:left="550"/>
      </w:pPr>
      <w:r>
        <w:t>1)软件可靠性设计准则，参照</w:t>
      </w:r>
      <w:r>
        <w:rPr>
          <w:rFonts w:ascii="Times New Roman" w:hAnsi="Times New Roman" w:eastAsia="Times New Roman" w:cs="Times New Roman"/>
        </w:rPr>
        <w:t>GJB/Z   102</w:t>
      </w:r>
      <w:r>
        <w:rPr>
          <w:rFonts w:ascii="Times New Roman" w:hAnsi="Times New Roman" w:eastAsia="Times New Roman" w:cs="Times New Roman"/>
          <w:spacing w:val="-19"/>
        </w:rPr>
        <w:t xml:space="preserve"> </w:t>
      </w:r>
      <w:r>
        <w:t>制定。</w:t>
      </w:r>
    </w:p>
    <w:p w14:paraId="24C2894E">
      <w:pPr>
        <w:spacing w:line="326" w:lineRule="auto"/>
        <w:rPr>
          <w:rFonts w:ascii="Arial"/>
          <w:sz w:val="21"/>
        </w:rPr>
      </w:pPr>
    </w:p>
    <w:p w14:paraId="756A550E">
      <w:pPr>
        <w:pStyle w:val="2"/>
        <w:spacing w:before="118" w:line="219" w:lineRule="auto"/>
        <w:ind w:left="1309"/>
        <w:outlineLvl w:val="1"/>
        <w:rPr>
          <w:sz w:val="36"/>
          <w:szCs w:val="36"/>
        </w:rPr>
      </w:pPr>
      <w:r>
        <w:rPr>
          <w:rFonts w:ascii="Times New Roman" w:hAnsi="Times New Roman" w:eastAsia="Times New Roman" w:cs="Times New Roman"/>
          <w:b/>
          <w:bCs/>
          <w:spacing w:val="-4"/>
          <w:sz w:val="36"/>
          <w:szCs w:val="36"/>
        </w:rPr>
        <w:t xml:space="preserve">7.13     </w:t>
      </w:r>
      <w:r>
        <w:rPr>
          <w:b/>
          <w:bCs/>
          <w:spacing w:val="-4"/>
          <w:sz w:val="36"/>
          <w:szCs w:val="36"/>
        </w:rPr>
        <w:t>元器件、零部件和原材料选</w:t>
      </w:r>
      <w:r>
        <w:rPr>
          <w:b/>
          <w:bCs/>
          <w:spacing w:val="-5"/>
          <w:sz w:val="36"/>
          <w:szCs w:val="36"/>
        </w:rPr>
        <w:t>择与控制</w:t>
      </w:r>
    </w:p>
    <w:p w14:paraId="7E74E9DD">
      <w:pPr>
        <w:spacing w:line="327" w:lineRule="auto"/>
        <w:rPr>
          <w:rFonts w:ascii="Arial"/>
          <w:sz w:val="21"/>
        </w:rPr>
      </w:pPr>
    </w:p>
    <w:p w14:paraId="7DCD3697">
      <w:pPr>
        <w:pStyle w:val="2"/>
        <w:spacing w:before="91" w:line="223" w:lineRule="auto"/>
        <w:ind w:left="550"/>
        <w:rPr>
          <w:rFonts w:ascii="楷体" w:hAnsi="楷体" w:eastAsia="楷体" w:cs="楷体"/>
          <w:sz w:val="28"/>
          <w:szCs w:val="28"/>
        </w:rPr>
      </w:pPr>
      <w:r>
        <w:rPr>
          <w:rFonts w:ascii="楷体" w:hAnsi="楷体" w:eastAsia="楷体" w:cs="楷体"/>
          <w:spacing w:val="-8"/>
          <w:sz w:val="28"/>
          <w:szCs w:val="28"/>
        </w:rPr>
        <w:t>按照</w:t>
      </w:r>
      <w:r>
        <w:rPr>
          <w:rFonts w:ascii="Times New Roman" w:hAnsi="Times New Roman" w:eastAsia="Times New Roman" w:cs="Times New Roman"/>
          <w:spacing w:val="-8"/>
          <w:sz w:val="28"/>
          <w:szCs w:val="28"/>
        </w:rPr>
        <w:t>GJB450A—2004</w:t>
      </w:r>
      <w:r>
        <w:rPr>
          <w:spacing w:val="-8"/>
          <w:sz w:val="28"/>
          <w:szCs w:val="28"/>
        </w:rPr>
        <w:t>《</w:t>
      </w:r>
      <w:r>
        <w:rPr>
          <w:rFonts w:ascii="楷体" w:hAnsi="楷体" w:eastAsia="楷体" w:cs="楷体"/>
          <w:spacing w:val="-8"/>
          <w:sz w:val="28"/>
          <w:szCs w:val="28"/>
        </w:rPr>
        <w:t>装备可靠性工作通用要求》编写。</w:t>
      </w:r>
    </w:p>
    <w:p w14:paraId="675393E6">
      <w:pPr>
        <w:spacing w:before="66"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4AF11598">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5A2DCC33">
      <w:pPr>
        <w:spacing w:before="77"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4"/>
          <w:sz w:val="27"/>
          <w:szCs w:val="27"/>
        </w:rPr>
        <w:t xml:space="preserve">  </w:t>
      </w:r>
      <w:r>
        <w:rPr>
          <w:rFonts w:ascii="黑体" w:hAnsi="黑体" w:eastAsia="黑体" w:cs="黑体"/>
          <w:b/>
          <w:bCs/>
          <w:spacing w:val="-1"/>
          <w:sz w:val="27"/>
          <w:szCs w:val="27"/>
        </w:rPr>
        <w:t>控制要求</w:t>
      </w:r>
    </w:p>
    <w:p w14:paraId="62121662">
      <w:pPr>
        <w:pStyle w:val="2"/>
        <w:spacing w:before="140" w:line="281" w:lineRule="auto"/>
        <w:ind w:right="122" w:firstLine="550"/>
        <w:jc w:val="both"/>
      </w:pPr>
      <w:r>
        <w:rPr>
          <w:spacing w:val="-3"/>
        </w:rPr>
        <w:t>根据研制产品的特点提出控制要求，主要考虑以下因素：任务的关键性、元</w:t>
      </w:r>
      <w:r>
        <w:t xml:space="preserve"> </w:t>
      </w:r>
      <w:r>
        <w:rPr>
          <w:spacing w:val="-2"/>
        </w:rPr>
        <w:t>器件和零部件的重要性(就成功地完成任务</w:t>
      </w:r>
      <w:r>
        <w:rPr>
          <w:spacing w:val="-3"/>
        </w:rPr>
        <w:t>和减少维修次数来说)、维修方案、生</w:t>
      </w:r>
      <w:r>
        <w:t xml:space="preserve"> </w:t>
      </w:r>
      <w:r>
        <w:rPr>
          <w:spacing w:val="-3"/>
        </w:rPr>
        <w:t>产数量、元器件、零部件和原材料的质量、新的元器件所占百分比以及供应和标</w:t>
      </w:r>
    </w:p>
    <w:p w14:paraId="1C99C2C1">
      <w:pPr>
        <w:spacing w:line="281" w:lineRule="auto"/>
        <w:sectPr>
          <w:footerReference r:id="rId378" w:type="default"/>
          <w:pgSz w:w="11910" w:h="17130"/>
          <w:pgMar w:top="1400" w:right="1325" w:bottom="1733" w:left="1100" w:header="0" w:footer="1535" w:gutter="0"/>
          <w:cols w:space="720" w:num="1"/>
        </w:sectPr>
      </w:pPr>
    </w:p>
    <w:p w14:paraId="6FA905F9">
      <w:pPr>
        <w:pStyle w:val="2"/>
        <w:spacing w:before="54" w:line="219" w:lineRule="auto"/>
      </w:pPr>
      <w:r>
        <w:t>准状况等。</w:t>
      </w:r>
    </w:p>
    <w:p w14:paraId="68CBAF48">
      <w:pPr>
        <w:spacing w:before="105" w:line="222"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8"/>
          <w:sz w:val="27"/>
          <w:szCs w:val="27"/>
        </w:rPr>
        <w:t xml:space="preserve">  </w:t>
      </w:r>
      <w:r>
        <w:rPr>
          <w:rFonts w:ascii="黑体" w:hAnsi="黑体" w:eastAsia="黑体" w:cs="黑体"/>
          <w:b/>
          <w:bCs/>
          <w:spacing w:val="-1"/>
          <w:sz w:val="27"/>
          <w:szCs w:val="27"/>
        </w:rPr>
        <w:t>标准化要求</w:t>
      </w:r>
    </w:p>
    <w:p w14:paraId="3F22B4AC">
      <w:pPr>
        <w:pStyle w:val="2"/>
        <w:spacing w:before="68" w:line="296" w:lineRule="auto"/>
        <w:ind w:firstLine="579"/>
      </w:pPr>
      <w:r>
        <w:rPr>
          <w:spacing w:val="9"/>
        </w:rPr>
        <w:t>明确在元器件、零部件和原材料的选择与控制工作中标准化方面</w:t>
      </w:r>
      <w:r>
        <w:rPr>
          <w:spacing w:val="8"/>
        </w:rPr>
        <w:t>的要求。</w:t>
      </w:r>
      <w:r>
        <w:t xml:space="preserve"> </w:t>
      </w:r>
      <w:r>
        <w:rPr>
          <w:spacing w:val="-8"/>
        </w:rPr>
        <w:t>如标准件选用要求、国产化要求、货架产品级别要求、必要的试验要求等。</w:t>
      </w:r>
    </w:p>
    <w:p w14:paraId="108D03EB">
      <w:pPr>
        <w:spacing w:line="221" w:lineRule="auto"/>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spacing w:val="16"/>
          <w:sz w:val="27"/>
          <w:szCs w:val="27"/>
        </w:rPr>
        <w:t xml:space="preserve">  </w:t>
      </w:r>
      <w:r>
        <w:rPr>
          <w:rFonts w:ascii="黑体" w:hAnsi="黑体" w:eastAsia="黑体" w:cs="黑体"/>
          <w:b/>
          <w:bCs/>
          <w:spacing w:val="2"/>
          <w:sz w:val="27"/>
          <w:szCs w:val="27"/>
        </w:rPr>
        <w:t>优选目录</w:t>
      </w:r>
    </w:p>
    <w:p w14:paraId="748C6C0F">
      <w:pPr>
        <w:pStyle w:val="2"/>
        <w:spacing w:before="91" w:line="286" w:lineRule="auto"/>
        <w:ind w:right="93" w:firstLine="579"/>
        <w:jc w:val="both"/>
      </w:pPr>
      <w:r>
        <w:rPr>
          <w:spacing w:val="-2"/>
        </w:rPr>
        <w:t>应制定元器件、零部件及原材料的优选目录</w:t>
      </w:r>
      <w:r>
        <w:rPr>
          <w:spacing w:val="-3"/>
        </w:rPr>
        <w:t>，并经订购方认可。对于超出优</w:t>
      </w:r>
      <w:r>
        <w:t xml:space="preserve"> </w:t>
      </w:r>
      <w:r>
        <w:rPr>
          <w:spacing w:val="-3"/>
        </w:rPr>
        <w:t>选目录的，应规定批准控制程序。必须首先考虑采用标准件，当标准件不能满足</w:t>
      </w:r>
      <w:r>
        <w:rPr>
          <w:spacing w:val="15"/>
        </w:rPr>
        <w:t xml:space="preserve"> </w:t>
      </w:r>
      <w:r>
        <w:rPr>
          <w:spacing w:val="-3"/>
        </w:rPr>
        <w:t>要求时，才可考虑采用非标准件。当采用新研元器件和原材料时，必须经过试验</w:t>
      </w:r>
      <w:r>
        <w:rPr>
          <w:spacing w:val="15"/>
        </w:rPr>
        <w:t xml:space="preserve"> </w:t>
      </w:r>
      <w:r>
        <w:rPr>
          <w:spacing w:val="-7"/>
        </w:rPr>
        <w:t>验证，并严格履行审批手续。</w:t>
      </w:r>
    </w:p>
    <w:p w14:paraId="54CC0881">
      <w:pPr>
        <w:spacing w:before="50" w:line="221" w:lineRule="auto"/>
        <w:rPr>
          <w:rFonts w:ascii="黑体" w:hAnsi="黑体" w:eastAsia="黑体" w:cs="黑体"/>
          <w:sz w:val="24"/>
          <w:szCs w:val="24"/>
        </w:rPr>
      </w:pPr>
      <w:r>
        <w:rPr>
          <w:rFonts w:ascii="黑体" w:hAnsi="黑体" w:eastAsia="黑体" w:cs="黑体"/>
          <w:spacing w:val="28"/>
          <w:sz w:val="24"/>
          <w:szCs w:val="24"/>
        </w:rPr>
        <w:t>6</w:t>
      </w:r>
      <w:r>
        <w:rPr>
          <w:rFonts w:ascii="黑体" w:hAnsi="黑体" w:eastAsia="黑体" w:cs="黑体"/>
          <w:spacing w:val="47"/>
          <w:sz w:val="24"/>
          <w:szCs w:val="24"/>
        </w:rPr>
        <w:t xml:space="preserve">  </w:t>
      </w:r>
      <w:r>
        <w:rPr>
          <w:rFonts w:ascii="黑体" w:hAnsi="黑体" w:eastAsia="黑体" w:cs="黑体"/>
          <w:b/>
          <w:bCs/>
          <w:spacing w:val="28"/>
          <w:sz w:val="24"/>
          <w:szCs w:val="24"/>
        </w:rPr>
        <w:t>禁止和限制使用的种类和范围</w:t>
      </w:r>
    </w:p>
    <w:p w14:paraId="62717016">
      <w:pPr>
        <w:pStyle w:val="2"/>
        <w:spacing w:before="89" w:line="296" w:lineRule="auto"/>
        <w:ind w:right="95" w:firstLine="579"/>
      </w:pPr>
      <w:r>
        <w:rPr>
          <w:spacing w:val="-3"/>
        </w:rPr>
        <w:t>根据产品设计的要求，最好以相应表格的形式确定元器件、零部件和原材料</w:t>
      </w:r>
      <w:r>
        <w:rPr>
          <w:spacing w:val="17"/>
        </w:rPr>
        <w:t xml:space="preserve"> </w:t>
      </w:r>
      <w:r>
        <w:rPr>
          <w:spacing w:val="3"/>
        </w:rPr>
        <w:t>禁止和限制使用的种类和范围。</w:t>
      </w:r>
    </w:p>
    <w:p w14:paraId="574E7968">
      <w:pPr>
        <w:spacing w:before="1" w:line="221" w:lineRule="auto"/>
        <w:rPr>
          <w:rFonts w:ascii="黑体" w:hAnsi="黑体" w:eastAsia="黑体" w:cs="黑体"/>
          <w:sz w:val="27"/>
          <w:szCs w:val="27"/>
        </w:rPr>
      </w:pPr>
      <w:r>
        <w:rPr>
          <w:rFonts w:ascii="黑体" w:hAnsi="黑体" w:eastAsia="黑体" w:cs="黑体"/>
          <w:spacing w:val="4"/>
          <w:sz w:val="27"/>
          <w:szCs w:val="27"/>
        </w:rPr>
        <w:t xml:space="preserve">7  </w:t>
      </w:r>
      <w:r>
        <w:rPr>
          <w:rFonts w:ascii="黑体" w:hAnsi="黑体" w:eastAsia="黑体" w:cs="黑体"/>
          <w:b/>
          <w:bCs/>
          <w:spacing w:val="4"/>
          <w:sz w:val="27"/>
          <w:szCs w:val="27"/>
        </w:rPr>
        <w:t>应用指南(包括降额准则或安全系数)</w:t>
      </w:r>
    </w:p>
    <w:p w14:paraId="313E078A">
      <w:pPr>
        <w:pStyle w:val="2"/>
        <w:spacing w:before="78" w:line="287" w:lineRule="auto"/>
        <w:ind w:right="91" w:firstLine="579"/>
        <w:jc w:val="both"/>
      </w:pPr>
      <w:r>
        <w:rPr>
          <w:spacing w:val="6"/>
        </w:rPr>
        <w:t>制定相应的应用指南作为设计人员必须遵循的设计指南，包括元器件的降</w:t>
      </w:r>
      <w:r>
        <w:t xml:space="preserve"> </w:t>
      </w:r>
      <w:r>
        <w:rPr>
          <w:spacing w:val="6"/>
        </w:rPr>
        <w:t>额准则和零部件的安全系数、关键材料的选</w:t>
      </w:r>
      <w:r>
        <w:rPr>
          <w:spacing w:val="5"/>
        </w:rPr>
        <w:t>取准则等。只有在估计了元器件的</w:t>
      </w:r>
      <w:r>
        <w:t xml:space="preserve"> </w:t>
      </w:r>
      <w:r>
        <w:rPr>
          <w:spacing w:val="-3"/>
        </w:rPr>
        <w:t>实际应力条件、设计方案以及这种偏离对产品性能影响是可以接受的条件下，才</w:t>
      </w:r>
      <w:r>
        <w:rPr>
          <w:spacing w:val="15"/>
        </w:rPr>
        <w:t xml:space="preserve"> </w:t>
      </w:r>
      <w:r>
        <w:rPr>
          <w:spacing w:val="-3"/>
        </w:rPr>
        <w:t>允许这种偏离。可靠性、安全性、质量控制、维修性及耐久性等有关分析将从不</w:t>
      </w:r>
      <w:r>
        <w:rPr>
          <w:spacing w:val="18"/>
        </w:rPr>
        <w:t xml:space="preserve"> </w:t>
      </w:r>
      <w:r>
        <w:rPr>
          <w:spacing w:val="-10"/>
        </w:rPr>
        <w:t>同的角度对元器件、零部件、原材料提出不同的要求，应权衡这些要求，制定恰当</w:t>
      </w:r>
      <w:r>
        <w:rPr>
          <w:spacing w:val="13"/>
        </w:rPr>
        <w:t xml:space="preserve"> </w:t>
      </w:r>
      <w:r>
        <w:rPr>
          <w:spacing w:val="1"/>
        </w:rPr>
        <w:t>的选择和控制准则。</w:t>
      </w:r>
    </w:p>
    <w:p w14:paraId="6ECEDCE8">
      <w:pPr>
        <w:spacing w:before="8" w:line="221" w:lineRule="auto"/>
        <w:rPr>
          <w:rFonts w:ascii="黑体" w:hAnsi="黑体" w:eastAsia="黑体" w:cs="黑体"/>
          <w:sz w:val="27"/>
          <w:szCs w:val="27"/>
        </w:rPr>
      </w:pPr>
      <w:r>
        <w:rPr>
          <w:rFonts w:ascii="黑体" w:hAnsi="黑体" w:eastAsia="黑体" w:cs="黑体"/>
          <w:spacing w:val="5"/>
          <w:sz w:val="27"/>
          <w:szCs w:val="27"/>
        </w:rPr>
        <w:t xml:space="preserve">8  </w:t>
      </w:r>
      <w:r>
        <w:rPr>
          <w:rFonts w:ascii="黑体" w:hAnsi="黑体" w:eastAsia="黑体" w:cs="黑体"/>
          <w:b/>
          <w:bCs/>
          <w:spacing w:val="5"/>
          <w:sz w:val="27"/>
          <w:szCs w:val="27"/>
        </w:rPr>
        <w:t>试验和筛选的要求与方法</w:t>
      </w:r>
    </w:p>
    <w:p w14:paraId="30DBFA4D">
      <w:pPr>
        <w:pStyle w:val="2"/>
        <w:spacing w:before="111" w:line="290" w:lineRule="auto"/>
        <w:ind w:right="93" w:firstLine="579"/>
      </w:pPr>
      <w:r>
        <w:rPr>
          <w:spacing w:val="-2"/>
        </w:rPr>
        <w:t>提出元器件、零部件和原材料试验和筛选的</w:t>
      </w:r>
      <w:r>
        <w:rPr>
          <w:spacing w:val="-3"/>
        </w:rPr>
        <w:t>要求，选择试验和筛选方法，并</w:t>
      </w:r>
      <w:r>
        <w:t xml:space="preserve"> 说明选择理由。</w:t>
      </w:r>
    </w:p>
    <w:p w14:paraId="3A0172BD">
      <w:pPr>
        <w:pStyle w:val="2"/>
        <w:spacing w:before="3" w:line="284" w:lineRule="auto"/>
        <w:ind w:right="93" w:firstLine="579"/>
      </w:pPr>
      <w:r>
        <w:rPr>
          <w:spacing w:val="-2"/>
        </w:rPr>
        <w:t>在设计时就要考虑元器件的淘汰、供货和替</w:t>
      </w:r>
      <w:r>
        <w:rPr>
          <w:spacing w:val="-3"/>
        </w:rPr>
        <w:t>代问题，以避免影响使用、保障</w:t>
      </w:r>
      <w:r>
        <w:t xml:space="preserve"> </w:t>
      </w:r>
      <w:r>
        <w:rPr>
          <w:spacing w:val="1"/>
        </w:rPr>
        <w:t>及导致费用的增加。</w:t>
      </w:r>
    </w:p>
    <w:p w14:paraId="42D7358C">
      <w:pPr>
        <w:spacing w:before="6" w:line="222" w:lineRule="auto"/>
        <w:rPr>
          <w:rFonts w:ascii="黑体" w:hAnsi="黑体" w:eastAsia="黑体" w:cs="黑体"/>
          <w:sz w:val="27"/>
          <w:szCs w:val="27"/>
        </w:rPr>
      </w:pPr>
      <w:r>
        <w:rPr>
          <w:rFonts w:ascii="黑体" w:hAnsi="黑体" w:eastAsia="黑体" w:cs="黑体"/>
          <w:sz w:val="27"/>
          <w:szCs w:val="27"/>
        </w:rPr>
        <w:t>9</w:t>
      </w:r>
      <w:r>
        <w:rPr>
          <w:rFonts w:ascii="黑体" w:hAnsi="黑体" w:eastAsia="黑体" w:cs="黑体"/>
          <w:spacing w:val="18"/>
          <w:sz w:val="27"/>
          <w:szCs w:val="27"/>
        </w:rPr>
        <w:t xml:space="preserve">  </w:t>
      </w:r>
      <w:r>
        <w:rPr>
          <w:rFonts w:ascii="黑体" w:hAnsi="黑体" w:eastAsia="黑体" w:cs="黑体"/>
          <w:b/>
          <w:bCs/>
          <w:sz w:val="27"/>
          <w:szCs w:val="27"/>
        </w:rPr>
        <w:t>参加信息交换网的要求</w:t>
      </w:r>
    </w:p>
    <w:p w14:paraId="04E10EB5">
      <w:pPr>
        <w:pStyle w:val="2"/>
        <w:spacing w:before="87" w:line="290" w:lineRule="auto"/>
        <w:ind w:right="114" w:firstLine="579"/>
      </w:pPr>
      <w:r>
        <w:rPr>
          <w:spacing w:val="-3"/>
        </w:rPr>
        <w:t>根据订购方及有关方面对提供信息的要求，确定提供信息的层次、数量</w:t>
      </w:r>
      <w:r>
        <w:rPr>
          <w:spacing w:val="-4"/>
        </w:rPr>
        <w:t>和加</w:t>
      </w:r>
      <w:r>
        <w:t xml:space="preserve"> </w:t>
      </w:r>
      <w:r>
        <w:rPr>
          <w:spacing w:val="2"/>
        </w:rPr>
        <w:t>入有关信息交换网的约定。</w:t>
      </w:r>
    </w:p>
    <w:p w14:paraId="716BFF3A">
      <w:pPr>
        <w:spacing w:line="244" w:lineRule="auto"/>
        <w:rPr>
          <w:rFonts w:ascii="Arial"/>
          <w:sz w:val="21"/>
        </w:rPr>
      </w:pPr>
    </w:p>
    <w:p w14:paraId="0031FF07">
      <w:pPr>
        <w:pStyle w:val="2"/>
        <w:spacing w:before="118" w:line="220" w:lineRule="auto"/>
        <w:ind w:left="2919"/>
        <w:rPr>
          <w:sz w:val="36"/>
          <w:szCs w:val="36"/>
        </w:rPr>
      </w:pPr>
      <w:r>
        <w:rPr>
          <w:spacing w:val="-2"/>
          <w:sz w:val="36"/>
          <w:szCs w:val="36"/>
        </w:rPr>
        <w:t>7.</w:t>
      </w:r>
      <w:r>
        <w:rPr>
          <w:b/>
          <w:bCs/>
          <w:spacing w:val="-2"/>
          <w:sz w:val="36"/>
          <w:szCs w:val="36"/>
        </w:rPr>
        <w:t>14</w:t>
      </w:r>
      <w:r>
        <w:rPr>
          <w:spacing w:val="35"/>
          <w:sz w:val="36"/>
          <w:szCs w:val="36"/>
        </w:rPr>
        <w:t xml:space="preserve">  </w:t>
      </w:r>
      <w:r>
        <w:rPr>
          <w:b/>
          <w:bCs/>
          <w:spacing w:val="-2"/>
          <w:sz w:val="36"/>
          <w:szCs w:val="36"/>
        </w:rPr>
        <w:t>可靠性关键项目</w:t>
      </w:r>
    </w:p>
    <w:p w14:paraId="1B14A0CE">
      <w:pPr>
        <w:spacing w:line="341" w:lineRule="auto"/>
        <w:rPr>
          <w:rFonts w:ascii="Arial"/>
          <w:sz w:val="21"/>
        </w:rPr>
      </w:pPr>
    </w:p>
    <w:p w14:paraId="24AFF5A7">
      <w:pPr>
        <w:pStyle w:val="2"/>
        <w:spacing w:before="92" w:line="223" w:lineRule="auto"/>
        <w:ind w:left="579"/>
        <w:rPr>
          <w:rFonts w:ascii="楷体" w:hAnsi="楷体" w:eastAsia="楷体" w:cs="楷体"/>
          <w:sz w:val="28"/>
          <w:szCs w:val="28"/>
        </w:rPr>
      </w:pPr>
      <w:r>
        <w:rPr>
          <w:rFonts w:ascii="楷体" w:hAnsi="楷体" w:eastAsia="楷体" w:cs="楷体"/>
          <w:spacing w:val="-7"/>
          <w:sz w:val="28"/>
          <w:szCs w:val="28"/>
        </w:rPr>
        <w:t>按照</w:t>
      </w:r>
      <w:r>
        <w:rPr>
          <w:rFonts w:ascii="Times New Roman" w:hAnsi="Times New Roman" w:eastAsia="Times New Roman" w:cs="Times New Roman"/>
          <w:spacing w:val="-7"/>
          <w:sz w:val="28"/>
          <w:szCs w:val="28"/>
        </w:rPr>
        <w:t>GJB450A—2004</w:t>
      </w:r>
      <w:r>
        <w:rPr>
          <w:spacing w:val="-7"/>
          <w:sz w:val="28"/>
          <w:szCs w:val="28"/>
        </w:rPr>
        <w:t>《</w:t>
      </w:r>
      <w:r>
        <w:rPr>
          <w:rFonts w:ascii="楷体" w:hAnsi="楷体" w:eastAsia="楷体" w:cs="楷体"/>
          <w:spacing w:val="-7"/>
          <w:sz w:val="28"/>
          <w:szCs w:val="28"/>
        </w:rPr>
        <w:t>装备可靠性工作</w:t>
      </w:r>
      <w:r>
        <w:rPr>
          <w:rFonts w:ascii="楷体" w:hAnsi="楷体" w:eastAsia="楷体" w:cs="楷体"/>
          <w:spacing w:val="-8"/>
          <w:sz w:val="28"/>
          <w:szCs w:val="28"/>
        </w:rPr>
        <w:t>通用要求》编写。</w:t>
      </w:r>
    </w:p>
    <w:p w14:paraId="22A0117B">
      <w:pPr>
        <w:spacing w:before="8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489BADD2">
      <w:pPr>
        <w:spacing w:before="101" w:line="222" w:lineRule="auto"/>
        <w:rPr>
          <w:rFonts w:ascii="黑体" w:hAnsi="黑体" w:eastAsia="黑体" w:cs="黑体"/>
          <w:sz w:val="27"/>
          <w:szCs w:val="27"/>
        </w:rPr>
      </w:pPr>
      <w:r>
        <w:rPr>
          <w:rFonts w:ascii="Arial" w:hAnsi="Arial" w:eastAsia="Arial" w:cs="Arial"/>
          <w:b/>
          <w:bCs/>
          <w:spacing w:val="-3"/>
          <w:sz w:val="27"/>
          <w:szCs w:val="27"/>
        </w:rPr>
        <w:t>2</w:t>
      </w:r>
      <w:r>
        <w:rPr>
          <w:rFonts w:ascii="Arial" w:hAnsi="Arial" w:eastAsia="Arial" w:cs="Arial"/>
          <w:b/>
          <w:bCs/>
          <w:spacing w:val="22"/>
          <w:sz w:val="27"/>
          <w:szCs w:val="27"/>
        </w:rPr>
        <w:t xml:space="preserve">   </w:t>
      </w:r>
      <w:r>
        <w:rPr>
          <w:rFonts w:ascii="黑体" w:hAnsi="黑体" w:eastAsia="黑体" w:cs="黑体"/>
          <w:b/>
          <w:bCs/>
          <w:spacing w:val="-3"/>
          <w:sz w:val="27"/>
          <w:szCs w:val="27"/>
        </w:rPr>
        <w:t>引用文件</w:t>
      </w:r>
    </w:p>
    <w:p w14:paraId="574A81C6">
      <w:pPr>
        <w:spacing w:line="222" w:lineRule="auto"/>
        <w:rPr>
          <w:rFonts w:ascii="黑体" w:hAnsi="黑体" w:eastAsia="黑体" w:cs="黑体"/>
          <w:sz w:val="27"/>
          <w:szCs w:val="27"/>
        </w:rPr>
        <w:sectPr>
          <w:footerReference r:id="rId379" w:type="default"/>
          <w:pgSz w:w="11910" w:h="17130"/>
          <w:pgMar w:top="1396" w:right="934" w:bottom="1717" w:left="1470" w:header="0" w:footer="1500" w:gutter="0"/>
          <w:cols w:space="720" w:num="1"/>
        </w:sectPr>
      </w:pPr>
    </w:p>
    <w:p w14:paraId="173BFB09">
      <w:pPr>
        <w:spacing w:before="54" w:line="222"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可靠性关键项目的判别准则</w:t>
      </w:r>
    </w:p>
    <w:p w14:paraId="50513EC3">
      <w:pPr>
        <w:pStyle w:val="2"/>
        <w:spacing w:before="78" w:line="288" w:lineRule="auto"/>
        <w:ind w:right="37" w:firstLine="550"/>
        <w:rPr>
          <w:sz w:val="25"/>
          <w:szCs w:val="25"/>
        </w:rPr>
      </w:pPr>
      <w:r>
        <w:rPr>
          <w:spacing w:val="25"/>
          <w:sz w:val="25"/>
          <w:szCs w:val="25"/>
        </w:rPr>
        <w:t>明确可靠性关键项目的判别准则。通常根据如下判别准则来确定可靠性关</w:t>
      </w:r>
      <w:r>
        <w:rPr>
          <w:sz w:val="25"/>
          <w:szCs w:val="25"/>
        </w:rPr>
        <w:t xml:space="preserve"> </w:t>
      </w:r>
      <w:r>
        <w:rPr>
          <w:spacing w:val="11"/>
          <w:sz w:val="25"/>
          <w:szCs w:val="25"/>
        </w:rPr>
        <w:t>键项目：</w:t>
      </w:r>
    </w:p>
    <w:p w14:paraId="092735EB">
      <w:pPr>
        <w:pStyle w:val="2"/>
        <w:spacing w:before="1" w:line="263" w:lineRule="auto"/>
        <w:ind w:right="18" w:firstLine="550"/>
      </w:pPr>
      <w:r>
        <w:rPr>
          <w:rFonts w:ascii="Times New Roman" w:hAnsi="Times New Roman" w:eastAsia="Times New Roman" w:cs="Times New Roman"/>
          <w:spacing w:val="6"/>
        </w:rPr>
        <w:t>a</w:t>
      </w:r>
      <w:r>
        <w:rPr>
          <w:spacing w:val="6"/>
        </w:rPr>
        <w:t>)其故障会严重影响安全、不能完成规定任务及维修费用高的项目</w:t>
      </w:r>
      <w:r>
        <w:rPr>
          <w:spacing w:val="5"/>
        </w:rPr>
        <w:t>，价格</w:t>
      </w:r>
      <w:r>
        <w:t xml:space="preserve"> </w:t>
      </w:r>
      <w:r>
        <w:rPr>
          <w:spacing w:val="2"/>
        </w:rPr>
        <w:t>昂贵的项目本身就是可靠性关键项目；</w:t>
      </w:r>
    </w:p>
    <w:p w14:paraId="1C0573EF">
      <w:pPr>
        <w:pStyle w:val="2"/>
        <w:spacing w:before="20" w:line="267" w:lineRule="auto"/>
        <w:ind w:right="7" w:firstLine="550"/>
      </w:pPr>
      <w:r>
        <w:rPr>
          <w:rFonts w:ascii="Times New Roman" w:hAnsi="Times New Roman" w:eastAsia="Times New Roman" w:cs="Times New Roman"/>
          <w:spacing w:val="3"/>
        </w:rPr>
        <w:t>b)</w:t>
      </w:r>
      <w:r>
        <w:rPr>
          <w:rFonts w:ascii="Times New Roman" w:hAnsi="Times New Roman" w:eastAsia="Times New Roman" w:cs="Times New Roman"/>
          <w:spacing w:val="69"/>
          <w:w w:val="101"/>
        </w:rPr>
        <w:t xml:space="preserve"> </w:t>
      </w:r>
      <w:r>
        <w:rPr>
          <w:spacing w:val="3"/>
        </w:rPr>
        <w:t>故障后得不到用于评价系统安全、可用性、任务成功性或维修所需的必</w:t>
      </w:r>
      <w:r>
        <w:t xml:space="preserve"> 要数据的项目；</w:t>
      </w:r>
    </w:p>
    <w:p w14:paraId="2AE8F034">
      <w:pPr>
        <w:pStyle w:val="2"/>
        <w:spacing w:before="59"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68"/>
          <w:w w:val="101"/>
        </w:rPr>
        <w:t xml:space="preserve"> </w:t>
      </w:r>
      <w:r>
        <w:rPr>
          <w:spacing w:val="4"/>
        </w:rPr>
        <w:t>具有严格性能要求的新技术含量较高的项目；</w:t>
      </w:r>
    </w:p>
    <w:p w14:paraId="52096FF8">
      <w:pPr>
        <w:pStyle w:val="2"/>
        <w:spacing w:before="100" w:line="212" w:lineRule="auto"/>
        <w:ind w:left="550"/>
      </w:pPr>
      <w:r>
        <w:rPr>
          <w:rFonts w:ascii="Times New Roman" w:hAnsi="Times New Roman" w:eastAsia="Times New Roman" w:cs="Times New Roman"/>
          <w:spacing w:val="3"/>
        </w:rPr>
        <w:t>d)</w:t>
      </w:r>
      <w:r>
        <w:rPr>
          <w:rFonts w:ascii="Times New Roman" w:hAnsi="Times New Roman" w:eastAsia="Times New Roman" w:cs="Times New Roman"/>
          <w:spacing w:val="66"/>
        </w:rPr>
        <w:t xml:space="preserve"> </w:t>
      </w:r>
      <w:r>
        <w:rPr>
          <w:spacing w:val="3"/>
        </w:rPr>
        <w:t>其故障引起装备故障的项目；</w:t>
      </w:r>
    </w:p>
    <w:p w14:paraId="01A82208">
      <w:pPr>
        <w:pStyle w:val="2"/>
        <w:spacing w:before="80" w:line="212" w:lineRule="auto"/>
        <w:ind w:left="550"/>
      </w:pPr>
      <w:r>
        <w:rPr>
          <w:rFonts w:ascii="Times New Roman" w:hAnsi="Times New Roman" w:eastAsia="Times New Roman" w:cs="Times New Roman"/>
          <w:spacing w:val="3"/>
        </w:rPr>
        <w:t>e)</w:t>
      </w:r>
      <w:r>
        <w:rPr>
          <w:rFonts w:ascii="Times New Roman" w:hAnsi="Times New Roman" w:eastAsia="Times New Roman" w:cs="Times New Roman"/>
          <w:spacing w:val="65"/>
          <w:w w:val="101"/>
        </w:rPr>
        <w:t xml:space="preserve"> </w:t>
      </w:r>
      <w:r>
        <w:rPr>
          <w:spacing w:val="3"/>
        </w:rPr>
        <w:t>应力超出规定的降额准则的项目；</w:t>
      </w:r>
    </w:p>
    <w:p w14:paraId="5A9A3366">
      <w:pPr>
        <w:pStyle w:val="2"/>
        <w:spacing w:before="109" w:line="257" w:lineRule="auto"/>
        <w:ind w:right="13" w:firstLine="550"/>
      </w:pPr>
      <w:r>
        <w:rPr>
          <w:rFonts w:ascii="Times New Roman" w:hAnsi="Times New Roman" w:eastAsia="Times New Roman" w:cs="Times New Roman"/>
          <w:spacing w:val="5"/>
        </w:rPr>
        <w:t>f)</w:t>
      </w:r>
      <w:r>
        <w:rPr>
          <w:rFonts w:ascii="Times New Roman" w:hAnsi="Times New Roman" w:eastAsia="Times New Roman" w:cs="Times New Roman"/>
          <w:spacing w:val="54"/>
        </w:rPr>
        <w:t xml:space="preserve"> </w:t>
      </w:r>
      <w:r>
        <w:rPr>
          <w:spacing w:val="5"/>
        </w:rPr>
        <w:t>具有已知使用寿命、贮存寿命或经受诸如振动</w:t>
      </w:r>
      <w:r>
        <w:rPr>
          <w:spacing w:val="4"/>
        </w:rPr>
        <w:t>、冲击和加速度环境的项</w:t>
      </w:r>
      <w:r>
        <w:t xml:space="preserve"> </w:t>
      </w:r>
      <w:r>
        <w:rPr>
          <w:spacing w:val="3"/>
        </w:rPr>
        <w:t>目或受某种使用限制需要在规定条件下对其加以控制的项目；</w:t>
      </w:r>
    </w:p>
    <w:p w14:paraId="3A2AC042">
      <w:pPr>
        <w:pStyle w:val="2"/>
        <w:spacing w:before="59" w:line="212" w:lineRule="auto"/>
        <w:ind w:left="550"/>
      </w:pPr>
      <w:r>
        <w:rPr>
          <w:rFonts w:ascii="Times New Roman" w:hAnsi="Times New Roman" w:eastAsia="Times New Roman" w:cs="Times New Roman"/>
          <w:spacing w:val="-5"/>
        </w:rPr>
        <w:t xml:space="preserve">g)  </w:t>
      </w:r>
      <w:r>
        <w:rPr>
          <w:spacing w:val="-5"/>
        </w:rPr>
        <w:t>要求采取专门装卸、运输、贮存或测试等预防措施的项目；</w:t>
      </w:r>
    </w:p>
    <w:p w14:paraId="19F08B8D">
      <w:pPr>
        <w:pStyle w:val="2"/>
        <w:spacing w:before="90" w:line="212" w:lineRule="auto"/>
        <w:ind w:left="550"/>
      </w:pPr>
      <w:r>
        <w:rPr>
          <w:rFonts w:ascii="Times New Roman" w:hAnsi="Times New Roman" w:eastAsia="Times New Roman" w:cs="Times New Roman"/>
          <w:spacing w:val="4"/>
        </w:rPr>
        <w:t>h)</w:t>
      </w:r>
      <w:r>
        <w:rPr>
          <w:rFonts w:ascii="Times New Roman" w:hAnsi="Times New Roman" w:eastAsia="Times New Roman" w:cs="Times New Roman"/>
          <w:spacing w:val="7"/>
        </w:rPr>
        <w:t xml:space="preserve">  </w:t>
      </w:r>
      <w:r>
        <w:rPr>
          <w:spacing w:val="4"/>
        </w:rPr>
        <w:t>难以采购或由于技术新难以制造的项目；</w:t>
      </w:r>
    </w:p>
    <w:p w14:paraId="23FABFB2">
      <w:pPr>
        <w:pStyle w:val="2"/>
        <w:spacing w:before="90" w:line="212" w:lineRule="auto"/>
        <w:ind w:left="550"/>
      </w:pPr>
      <w:r>
        <w:rPr>
          <w:rFonts w:ascii="Times New Roman" w:hAnsi="Times New Roman" w:eastAsia="Times New Roman" w:cs="Times New Roman"/>
          <w:spacing w:val="3"/>
        </w:rPr>
        <w:t>i)</w:t>
      </w:r>
      <w:r>
        <w:rPr>
          <w:rFonts w:ascii="Times New Roman" w:hAnsi="Times New Roman" w:eastAsia="Times New Roman" w:cs="Times New Roman"/>
          <w:spacing w:val="56"/>
        </w:rPr>
        <w:t xml:space="preserve"> </w:t>
      </w:r>
      <w:r>
        <w:rPr>
          <w:spacing w:val="3"/>
        </w:rPr>
        <w:t>历来使用中可靠性差的项目；</w:t>
      </w:r>
    </w:p>
    <w:p w14:paraId="6BD58917">
      <w:pPr>
        <w:pStyle w:val="2"/>
        <w:spacing w:before="109" w:line="212" w:lineRule="auto"/>
        <w:ind w:left="550"/>
      </w:pPr>
      <w:r>
        <w:rPr>
          <w:rFonts w:ascii="Times New Roman" w:hAnsi="Times New Roman" w:eastAsia="Times New Roman" w:cs="Times New Roman"/>
          <w:spacing w:val="-1"/>
        </w:rPr>
        <w:t>j)</w:t>
      </w:r>
      <w:r>
        <w:rPr>
          <w:rFonts w:ascii="Times New Roman" w:hAnsi="Times New Roman" w:eastAsia="Times New Roman" w:cs="Times New Roman"/>
          <w:spacing w:val="67"/>
          <w:w w:val="101"/>
        </w:rPr>
        <w:t xml:space="preserve"> </w:t>
      </w:r>
      <w:r>
        <w:rPr>
          <w:spacing w:val="-1"/>
        </w:rPr>
        <w:t>使用时间不长，没有足够证据证明是否可靠的项目；</w:t>
      </w:r>
    </w:p>
    <w:p w14:paraId="6DAD91BE">
      <w:pPr>
        <w:pStyle w:val="2"/>
        <w:spacing w:before="81" w:line="212" w:lineRule="auto"/>
        <w:ind w:left="550"/>
      </w:pPr>
      <w:r>
        <w:rPr>
          <w:rFonts w:ascii="Times New Roman" w:hAnsi="Times New Roman" w:eastAsia="Times New Roman" w:cs="Times New Roman"/>
          <w:spacing w:val="-4"/>
        </w:rPr>
        <w:t xml:space="preserve">k)  </w:t>
      </w:r>
      <w:r>
        <w:rPr>
          <w:spacing w:val="-4"/>
        </w:rPr>
        <w:t>对其过去的历史、性质、功能或处理情况缺乏整体可追溯性的项目；</w:t>
      </w:r>
    </w:p>
    <w:p w14:paraId="3D3E43FB">
      <w:pPr>
        <w:pStyle w:val="2"/>
        <w:spacing w:before="150" w:line="219" w:lineRule="auto"/>
        <w:ind w:left="550"/>
      </w:pPr>
      <w:r>
        <w:rPr>
          <w:spacing w:val="4"/>
        </w:rPr>
        <w:t>1)大量使用的项目。</w:t>
      </w:r>
    </w:p>
    <w:p w14:paraId="1D480520">
      <w:pPr>
        <w:spacing w:before="84" w:line="221"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可靠性关键项目的确定方法</w:t>
      </w:r>
    </w:p>
    <w:p w14:paraId="7E23BE77">
      <w:pPr>
        <w:pStyle w:val="2"/>
        <w:spacing w:before="102" w:line="262" w:lineRule="auto"/>
        <w:ind w:right="20" w:firstLine="550"/>
      </w:pPr>
      <w:r>
        <w:rPr>
          <w:spacing w:val="9"/>
        </w:rPr>
        <w:t>说明可靠性关键项目的确定方法。应通过</w:t>
      </w:r>
      <w:r>
        <w:rPr>
          <w:rFonts w:ascii="Times New Roman" w:hAnsi="Times New Roman" w:eastAsia="Times New Roman" w:cs="Times New Roman"/>
        </w:rPr>
        <w:t>FMECA</w:t>
      </w:r>
      <w:r>
        <w:rPr>
          <w:rFonts w:ascii="Times New Roman" w:hAnsi="Times New Roman" w:eastAsia="Times New Roman" w:cs="Times New Roman"/>
          <w:spacing w:val="-39"/>
        </w:rPr>
        <w:t xml:space="preserve"> </w:t>
      </w:r>
      <w:r>
        <w:rPr>
          <w:spacing w:val="9"/>
        </w:rPr>
        <w:t>、</w:t>
      </w:r>
      <w:r>
        <w:rPr>
          <w:rFonts w:ascii="Times New Roman" w:hAnsi="Times New Roman" w:eastAsia="Times New Roman" w:cs="Times New Roman"/>
        </w:rPr>
        <w:t>FTA</w:t>
      </w:r>
      <w:r>
        <w:rPr>
          <w:rFonts w:ascii="Times New Roman" w:hAnsi="Times New Roman" w:eastAsia="Times New Roman" w:cs="Times New Roman"/>
          <w:spacing w:val="28"/>
        </w:rPr>
        <w:t xml:space="preserve"> </w:t>
      </w:r>
      <w:r>
        <w:rPr>
          <w:spacing w:val="9"/>
        </w:rPr>
        <w:t>或其他分析方法</w:t>
      </w:r>
      <w:r>
        <w:t xml:space="preserve"> </w:t>
      </w:r>
      <w:r>
        <w:rPr>
          <w:spacing w:val="2"/>
        </w:rPr>
        <w:t>来确定可靠性关键项目。</w:t>
      </w:r>
    </w:p>
    <w:p w14:paraId="22562B1B">
      <w:pPr>
        <w:spacing w:before="48" w:line="222" w:lineRule="auto"/>
        <w:rPr>
          <w:rFonts w:ascii="黑体" w:hAnsi="黑体" w:eastAsia="黑体" w:cs="黑体"/>
          <w:sz w:val="24"/>
          <w:szCs w:val="24"/>
        </w:rPr>
      </w:pPr>
      <w:r>
        <w:rPr>
          <w:rFonts w:ascii="黑体" w:hAnsi="黑体" w:eastAsia="黑体" w:cs="黑体"/>
          <w:spacing w:val="29"/>
          <w:sz w:val="24"/>
          <w:szCs w:val="24"/>
        </w:rPr>
        <w:t>5</w:t>
      </w:r>
      <w:r>
        <w:rPr>
          <w:rFonts w:ascii="黑体" w:hAnsi="黑体" w:eastAsia="黑体" w:cs="黑体"/>
          <w:spacing w:val="33"/>
          <w:sz w:val="24"/>
          <w:szCs w:val="24"/>
        </w:rPr>
        <w:t xml:space="preserve">  </w:t>
      </w:r>
      <w:r>
        <w:rPr>
          <w:rFonts w:ascii="黑体" w:hAnsi="黑体" w:eastAsia="黑体" w:cs="黑体"/>
          <w:b/>
          <w:bCs/>
          <w:spacing w:val="29"/>
          <w:sz w:val="24"/>
          <w:szCs w:val="24"/>
        </w:rPr>
        <w:t>可靠性关键项目清单</w:t>
      </w:r>
    </w:p>
    <w:p w14:paraId="52FFE63F">
      <w:pPr>
        <w:pStyle w:val="2"/>
        <w:spacing w:before="98" w:line="219" w:lineRule="auto"/>
        <w:ind w:left="550"/>
      </w:pPr>
      <w:r>
        <w:rPr>
          <w:spacing w:val="-2"/>
        </w:rPr>
        <w:t>列出可靠性关键项目清单，应包括硬件和软件。</w:t>
      </w:r>
    </w:p>
    <w:p w14:paraId="1BCDDA64">
      <w:pPr>
        <w:spacing w:before="73" w:line="221"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可靠性关键项目控制方法</w:t>
      </w:r>
    </w:p>
    <w:p w14:paraId="1ED3436A">
      <w:pPr>
        <w:pStyle w:val="2"/>
        <w:spacing w:before="123" w:line="272" w:lineRule="auto"/>
        <w:ind w:firstLine="550"/>
        <w:jc w:val="both"/>
      </w:pPr>
      <w:r>
        <w:rPr>
          <w:spacing w:val="6"/>
        </w:rPr>
        <w:t>应明确提出可靠性关键项目的控制方法，如工艺过程控制</w:t>
      </w:r>
      <w:r>
        <w:rPr>
          <w:spacing w:val="5"/>
        </w:rPr>
        <w:t>、特殊检测程序</w:t>
      </w:r>
      <w:r>
        <w:t xml:space="preserve"> </w:t>
      </w:r>
      <w:r>
        <w:rPr>
          <w:spacing w:val="-9"/>
        </w:rPr>
        <w:t>等，确保一切有关人员(如设计、采购、制造、检验和试验人员)都能了解这些项目</w:t>
      </w:r>
      <w:r>
        <w:rPr>
          <w:spacing w:val="1"/>
        </w:rPr>
        <w:t xml:space="preserve"> </w:t>
      </w:r>
      <w:r>
        <w:t>的重要性和关键性。</w:t>
      </w:r>
    </w:p>
    <w:p w14:paraId="07D98B7C">
      <w:pPr>
        <w:pStyle w:val="2"/>
        <w:spacing w:before="18" w:line="280" w:lineRule="auto"/>
        <w:ind w:right="18" w:firstLine="550"/>
      </w:pPr>
      <w:r>
        <w:rPr>
          <w:spacing w:val="-3"/>
        </w:rPr>
        <w:t>应确定每一个可靠性关键项目故障的根源，确定并实施适当的控制措施，这</w:t>
      </w:r>
      <w:r>
        <w:rPr>
          <w:spacing w:val="9"/>
        </w:rPr>
        <w:t xml:space="preserve"> </w:t>
      </w:r>
      <w:r>
        <w:rPr>
          <w:spacing w:val="-1"/>
        </w:rPr>
        <w:t>些措施包括：</w:t>
      </w:r>
    </w:p>
    <w:p w14:paraId="38418EEE">
      <w:pPr>
        <w:pStyle w:val="2"/>
        <w:spacing w:before="2" w:line="249" w:lineRule="auto"/>
        <w:ind w:right="17" w:firstLine="550"/>
      </w:pPr>
      <w:r>
        <w:rPr>
          <w:rFonts w:ascii="Times New Roman" w:hAnsi="Times New Roman" w:eastAsia="Times New Roman" w:cs="Times New Roman"/>
          <w:spacing w:val="6"/>
        </w:rPr>
        <w:t>a</w:t>
      </w:r>
      <w:r>
        <w:rPr>
          <w:spacing w:val="6"/>
        </w:rPr>
        <w:t>)应对所有可靠性关键的功能、项目和程序的设计、制造和试验文件</w:t>
      </w:r>
      <w:r>
        <w:rPr>
          <w:spacing w:val="5"/>
        </w:rPr>
        <w:t>作出</w:t>
      </w:r>
      <w:r>
        <w:t xml:space="preserve"> </w:t>
      </w:r>
      <w:r>
        <w:rPr>
          <w:spacing w:val="-5"/>
        </w:rPr>
        <w:t>标记以便识别，保证文件的可追溯性；</w:t>
      </w:r>
    </w:p>
    <w:p w14:paraId="5F1B999F">
      <w:pPr>
        <w:pStyle w:val="2"/>
        <w:spacing w:before="48" w:line="264" w:lineRule="auto"/>
        <w:ind w:right="18" w:firstLine="550"/>
      </w:pPr>
      <w:r>
        <w:rPr>
          <w:rFonts w:ascii="Times New Roman" w:hAnsi="Times New Roman" w:eastAsia="Times New Roman" w:cs="Times New Roman"/>
          <w:spacing w:val="-1"/>
        </w:rPr>
        <w:t xml:space="preserve">b)  </w:t>
      </w:r>
      <w:r>
        <w:rPr>
          <w:spacing w:val="-1"/>
        </w:rPr>
        <w:t>与可靠性关键项目有关的职能机构(如器材审理小组</w:t>
      </w:r>
      <w:r>
        <w:rPr>
          <w:spacing w:val="-2"/>
        </w:rPr>
        <w:t>、故障审查组织、技</w:t>
      </w:r>
      <w:r>
        <w:t xml:space="preserve"> </w:t>
      </w:r>
      <w:r>
        <w:rPr>
          <w:spacing w:val="-1"/>
        </w:rPr>
        <w:t>术状态管理部门、试验评审小组等)应有可靠性职能代表参</w:t>
      </w:r>
      <w:r>
        <w:rPr>
          <w:spacing w:val="-2"/>
        </w:rPr>
        <w:t>加；</w:t>
      </w:r>
    </w:p>
    <w:p w14:paraId="09B1C12A">
      <w:pPr>
        <w:pStyle w:val="2"/>
        <w:spacing w:before="59"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66"/>
          <w:w w:val="101"/>
        </w:rPr>
        <w:t xml:space="preserve"> </w:t>
      </w:r>
      <w:r>
        <w:rPr>
          <w:spacing w:val="4"/>
        </w:rPr>
        <w:t>应跟踪所有可靠性关键项目的鉴定情况；</w:t>
      </w:r>
    </w:p>
    <w:p w14:paraId="248C47A3">
      <w:pPr>
        <w:spacing w:line="212" w:lineRule="auto"/>
        <w:sectPr>
          <w:footerReference r:id="rId380" w:type="default"/>
          <w:pgSz w:w="11910" w:h="17130"/>
          <w:pgMar w:top="1381" w:right="1420" w:bottom="1753" w:left="1100" w:header="0" w:footer="1554" w:gutter="0"/>
          <w:cols w:space="720" w:num="1"/>
        </w:sectPr>
      </w:pPr>
    </w:p>
    <w:p w14:paraId="525B75F4">
      <w:pPr>
        <w:pStyle w:val="2"/>
        <w:spacing w:before="51" w:line="212" w:lineRule="auto"/>
        <w:ind w:left="570"/>
        <w:rPr>
          <w:sz w:val="24"/>
          <w:szCs w:val="24"/>
        </w:rPr>
      </w:pPr>
      <w:r>
        <w:rPr>
          <w:rFonts w:ascii="Times New Roman" w:hAnsi="Times New Roman" w:eastAsia="Times New Roman" w:cs="Times New Roman"/>
          <w:spacing w:val="22"/>
          <w:sz w:val="24"/>
          <w:szCs w:val="24"/>
        </w:rPr>
        <w:t>d)</w:t>
      </w:r>
      <w:r>
        <w:rPr>
          <w:rFonts w:ascii="Times New Roman" w:hAnsi="Times New Roman" w:eastAsia="Times New Roman" w:cs="Times New Roman"/>
          <w:spacing w:val="24"/>
          <w:sz w:val="24"/>
          <w:szCs w:val="24"/>
        </w:rPr>
        <w:t xml:space="preserve">  </w:t>
      </w:r>
      <w:r>
        <w:rPr>
          <w:spacing w:val="22"/>
          <w:sz w:val="24"/>
          <w:szCs w:val="24"/>
        </w:rPr>
        <w:t>要监视可靠性关键项目的试验、装配、维修及使用</w:t>
      </w:r>
      <w:r>
        <w:rPr>
          <w:spacing w:val="21"/>
          <w:sz w:val="24"/>
          <w:szCs w:val="24"/>
        </w:rPr>
        <w:t>问题。</w:t>
      </w:r>
    </w:p>
    <w:p w14:paraId="5D216899">
      <w:pPr>
        <w:spacing w:before="120" w:line="221" w:lineRule="auto"/>
        <w:rPr>
          <w:rFonts w:ascii="黑体" w:hAnsi="黑体" w:eastAsia="黑体" w:cs="黑体"/>
          <w:sz w:val="27"/>
          <w:szCs w:val="27"/>
        </w:rPr>
      </w:pPr>
      <w:r>
        <w:rPr>
          <w:rFonts w:ascii="黑体" w:hAnsi="黑体" w:eastAsia="黑体" w:cs="黑体"/>
          <w:spacing w:val="5"/>
          <w:sz w:val="27"/>
          <w:szCs w:val="27"/>
        </w:rPr>
        <w:t>7  可靠性关键项目试验要求</w:t>
      </w:r>
    </w:p>
    <w:p w14:paraId="416BA502">
      <w:pPr>
        <w:pStyle w:val="2"/>
        <w:spacing w:before="108" w:line="219" w:lineRule="auto"/>
        <w:ind w:left="570"/>
        <w:rPr>
          <w:sz w:val="25"/>
          <w:szCs w:val="25"/>
        </w:rPr>
      </w:pPr>
      <w:r>
        <w:rPr>
          <w:spacing w:val="19"/>
          <w:sz w:val="25"/>
          <w:szCs w:val="25"/>
        </w:rPr>
        <w:t>应明确提出可靠性关键项目的试验要求，如过应力试验等。</w:t>
      </w:r>
    </w:p>
    <w:p w14:paraId="74A94AEE">
      <w:pPr>
        <w:spacing w:line="264" w:lineRule="auto"/>
        <w:rPr>
          <w:rFonts w:ascii="Arial"/>
          <w:sz w:val="21"/>
        </w:rPr>
      </w:pPr>
    </w:p>
    <w:p w14:paraId="6B42C1CB">
      <w:pPr>
        <w:pStyle w:val="2"/>
        <w:spacing w:before="117" w:line="219" w:lineRule="auto"/>
        <w:ind w:left="1400"/>
        <w:outlineLvl w:val="1"/>
        <w:rPr>
          <w:sz w:val="36"/>
          <w:szCs w:val="36"/>
        </w:rPr>
      </w:pPr>
      <w:r>
        <w:rPr>
          <w:rFonts w:ascii="Times New Roman" w:hAnsi="Times New Roman" w:eastAsia="Times New Roman" w:cs="Times New Roman"/>
          <w:b/>
          <w:bCs/>
          <w:spacing w:val="-24"/>
          <w:sz w:val="36"/>
          <w:szCs w:val="36"/>
        </w:rPr>
        <w:t xml:space="preserve">7.15     </w:t>
      </w:r>
      <w:r>
        <w:rPr>
          <w:b/>
          <w:bCs/>
          <w:spacing w:val="-24"/>
          <w:sz w:val="36"/>
          <w:szCs w:val="36"/>
        </w:rPr>
        <w:t>测试、包装、贮存、装卸、运输和维修</w:t>
      </w:r>
    </w:p>
    <w:p w14:paraId="144497D9">
      <w:pPr>
        <w:pStyle w:val="2"/>
        <w:spacing w:before="93" w:line="219" w:lineRule="auto"/>
        <w:ind w:left="3075"/>
        <w:rPr>
          <w:sz w:val="36"/>
          <w:szCs w:val="36"/>
        </w:rPr>
      </w:pPr>
      <w:r>
        <w:rPr>
          <w:b/>
          <w:bCs/>
          <w:spacing w:val="2"/>
          <w:sz w:val="36"/>
          <w:szCs w:val="36"/>
        </w:rPr>
        <w:t>对产品可靠性的影响</w:t>
      </w:r>
    </w:p>
    <w:p w14:paraId="73687F56">
      <w:pPr>
        <w:spacing w:line="274" w:lineRule="auto"/>
        <w:rPr>
          <w:rFonts w:ascii="Arial"/>
          <w:sz w:val="21"/>
        </w:rPr>
      </w:pPr>
    </w:p>
    <w:p w14:paraId="0C6BF742">
      <w:pPr>
        <w:pStyle w:val="2"/>
        <w:spacing w:before="92" w:line="223" w:lineRule="auto"/>
        <w:ind w:left="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1146E858">
      <w:pPr>
        <w:spacing w:before="88"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68612FA0">
      <w:pPr>
        <w:spacing w:before="71"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17FA4EE5">
      <w:pPr>
        <w:spacing w:before="95" w:line="221" w:lineRule="auto"/>
        <w:rPr>
          <w:rFonts w:ascii="黑体" w:hAnsi="黑体" w:eastAsia="黑体" w:cs="黑体"/>
          <w:sz w:val="27"/>
          <w:szCs w:val="27"/>
        </w:rPr>
      </w:pPr>
      <w:r>
        <w:rPr>
          <w:rFonts w:ascii="黑体" w:hAnsi="黑体" w:eastAsia="黑体" w:cs="黑体"/>
          <w:spacing w:val="-16"/>
          <w:sz w:val="27"/>
          <w:szCs w:val="27"/>
        </w:rPr>
        <w:t>3  功能测试、包装、贮存、装卸、运输和维修的条件</w:t>
      </w:r>
    </w:p>
    <w:p w14:paraId="37791AB8">
      <w:pPr>
        <w:pStyle w:val="2"/>
        <w:spacing w:before="99" w:line="219" w:lineRule="auto"/>
        <w:ind w:left="570"/>
        <w:rPr>
          <w:sz w:val="25"/>
          <w:szCs w:val="25"/>
        </w:rPr>
      </w:pPr>
      <w:r>
        <w:rPr>
          <w:spacing w:val="7"/>
          <w:sz w:val="25"/>
          <w:szCs w:val="25"/>
        </w:rPr>
        <w:t>明确进行产品功能测试、包装、贮存、装卸、运输和维修工作必备的条件。</w:t>
      </w:r>
    </w:p>
    <w:p w14:paraId="1B5BA8FB">
      <w:pPr>
        <w:spacing w:before="100" w:line="234" w:lineRule="auto"/>
        <w:rPr>
          <w:rFonts w:ascii="黑体" w:hAnsi="黑体" w:eastAsia="黑体" w:cs="黑体"/>
          <w:sz w:val="25"/>
          <w:szCs w:val="25"/>
        </w:rPr>
      </w:pPr>
      <w:r>
        <w:rPr>
          <w:rFonts w:ascii="隶书" w:hAnsi="隶书" w:eastAsia="隶书" w:cs="隶书"/>
          <w:spacing w:val="8"/>
          <w:sz w:val="25"/>
          <w:szCs w:val="25"/>
        </w:rPr>
        <w:t>4  功</w:t>
      </w:r>
      <w:r>
        <w:rPr>
          <w:rFonts w:ascii="黑体" w:hAnsi="黑体" w:eastAsia="黑体" w:cs="黑体"/>
          <w:spacing w:val="8"/>
          <w:sz w:val="25"/>
          <w:szCs w:val="25"/>
        </w:rPr>
        <w:t>能测试、包装、贮存、装卸、运输和维修对产品可靠性的影响分析</w:t>
      </w:r>
    </w:p>
    <w:p w14:paraId="7D60D24D">
      <w:pPr>
        <w:spacing w:before="84" w:line="221" w:lineRule="auto"/>
        <w:rPr>
          <w:rFonts w:ascii="黑体" w:hAnsi="黑体" w:eastAsia="黑体" w:cs="黑体"/>
          <w:sz w:val="27"/>
          <w:szCs w:val="27"/>
        </w:rPr>
      </w:pPr>
      <w:r>
        <w:rPr>
          <w:rFonts w:ascii="黑体" w:hAnsi="黑体" w:eastAsia="黑体" w:cs="黑体"/>
          <w:spacing w:val="3"/>
          <w:sz w:val="27"/>
          <w:szCs w:val="27"/>
        </w:rPr>
        <w:t>4.1</w:t>
      </w:r>
      <w:r>
        <w:rPr>
          <w:rFonts w:ascii="黑体" w:hAnsi="黑体" w:eastAsia="黑体" w:cs="黑体"/>
          <w:spacing w:val="35"/>
          <w:sz w:val="27"/>
          <w:szCs w:val="27"/>
        </w:rPr>
        <w:t xml:space="preserve">  </w:t>
      </w:r>
      <w:r>
        <w:rPr>
          <w:rFonts w:ascii="黑体" w:hAnsi="黑体" w:eastAsia="黑体" w:cs="黑体"/>
          <w:spacing w:val="3"/>
          <w:sz w:val="27"/>
          <w:szCs w:val="27"/>
        </w:rPr>
        <w:t>功能测试对产品可靠性的影响分析</w:t>
      </w:r>
    </w:p>
    <w:p w14:paraId="3E827960">
      <w:pPr>
        <w:pStyle w:val="2"/>
        <w:spacing w:before="90" w:line="265" w:lineRule="auto"/>
        <w:ind w:right="113" w:firstLine="570"/>
      </w:pPr>
      <w:r>
        <w:rPr>
          <w:spacing w:val="5"/>
        </w:rPr>
        <w:t>应制定和实施试验分析程序，分析和确定功能测试对产品设计和可靠性的</w:t>
      </w:r>
      <w:r>
        <w:rPr>
          <w:spacing w:val="10"/>
        </w:rPr>
        <w:t xml:space="preserve"> </w:t>
      </w:r>
      <w:r>
        <w:rPr>
          <w:spacing w:val="-4"/>
        </w:rPr>
        <w:t>影响。</w:t>
      </w:r>
    </w:p>
    <w:p w14:paraId="5ED37993">
      <w:pPr>
        <w:spacing w:before="52" w:line="222" w:lineRule="auto"/>
        <w:rPr>
          <w:rFonts w:ascii="黑体" w:hAnsi="黑体" w:eastAsia="黑体" w:cs="黑体"/>
          <w:sz w:val="24"/>
          <w:szCs w:val="24"/>
        </w:rPr>
      </w:pPr>
      <w:r>
        <w:rPr>
          <w:rFonts w:ascii="Arial" w:hAnsi="Arial" w:eastAsia="Arial" w:cs="Arial"/>
          <w:spacing w:val="24"/>
          <w:sz w:val="24"/>
          <w:szCs w:val="24"/>
        </w:rPr>
        <w:t xml:space="preserve">4.2     </w:t>
      </w:r>
      <w:r>
        <w:rPr>
          <w:rFonts w:ascii="黑体" w:hAnsi="黑体" w:eastAsia="黑体" w:cs="黑体"/>
          <w:spacing w:val="24"/>
          <w:sz w:val="24"/>
          <w:szCs w:val="24"/>
        </w:rPr>
        <w:t>包装对产品可靠性的影响分析</w:t>
      </w:r>
    </w:p>
    <w:p w14:paraId="7A96008D">
      <w:pPr>
        <w:pStyle w:val="2"/>
        <w:spacing w:before="114" w:line="219" w:lineRule="auto"/>
        <w:jc w:val="right"/>
      </w:pPr>
      <w:r>
        <w:t>应制定和实施试验分析程序，分析和确定包装对产品设计和可靠性的影响。</w:t>
      </w:r>
    </w:p>
    <w:p w14:paraId="06F05BDB">
      <w:pPr>
        <w:spacing w:before="96" w:line="221" w:lineRule="auto"/>
        <w:rPr>
          <w:rFonts w:ascii="黑体" w:hAnsi="黑体" w:eastAsia="黑体" w:cs="黑体"/>
          <w:sz w:val="24"/>
          <w:szCs w:val="24"/>
        </w:rPr>
      </w:pPr>
      <w:r>
        <w:rPr>
          <w:rFonts w:ascii="黑体" w:hAnsi="黑体" w:eastAsia="黑体" w:cs="黑体"/>
          <w:spacing w:val="27"/>
          <w:sz w:val="24"/>
          <w:szCs w:val="24"/>
        </w:rPr>
        <w:t>4.3</w:t>
      </w:r>
      <w:r>
        <w:rPr>
          <w:rFonts w:ascii="黑体" w:hAnsi="黑体" w:eastAsia="黑体" w:cs="黑体"/>
          <w:spacing w:val="8"/>
          <w:sz w:val="24"/>
          <w:szCs w:val="24"/>
        </w:rPr>
        <w:t xml:space="preserve">   </w:t>
      </w:r>
      <w:r>
        <w:rPr>
          <w:rFonts w:ascii="黑体" w:hAnsi="黑体" w:eastAsia="黑体" w:cs="黑体"/>
          <w:spacing w:val="27"/>
          <w:sz w:val="24"/>
          <w:szCs w:val="24"/>
        </w:rPr>
        <w:t>贮存对产品可靠性的影响分析</w:t>
      </w:r>
    </w:p>
    <w:p w14:paraId="67A03C20">
      <w:pPr>
        <w:pStyle w:val="2"/>
        <w:spacing w:before="96" w:line="219" w:lineRule="auto"/>
        <w:jc w:val="right"/>
      </w:pPr>
      <w:r>
        <w:t>应制定和实施试验分析程序，分析和确定贮存对产品设计和可靠性的影响。</w:t>
      </w:r>
    </w:p>
    <w:p w14:paraId="774A3D24">
      <w:pPr>
        <w:spacing w:before="97" w:line="222" w:lineRule="auto"/>
        <w:rPr>
          <w:rFonts w:ascii="黑体" w:hAnsi="黑体" w:eastAsia="黑体" w:cs="黑体"/>
          <w:sz w:val="24"/>
          <w:szCs w:val="24"/>
        </w:rPr>
      </w:pPr>
      <w:r>
        <w:rPr>
          <w:rFonts w:ascii="黑体" w:hAnsi="黑体" w:eastAsia="黑体" w:cs="黑体"/>
          <w:spacing w:val="27"/>
          <w:sz w:val="24"/>
          <w:szCs w:val="24"/>
        </w:rPr>
        <w:t>4.4</w:t>
      </w:r>
      <w:r>
        <w:rPr>
          <w:rFonts w:ascii="黑体" w:hAnsi="黑体" w:eastAsia="黑体" w:cs="黑体"/>
          <w:spacing w:val="8"/>
          <w:sz w:val="24"/>
          <w:szCs w:val="24"/>
        </w:rPr>
        <w:t xml:space="preserve">   </w:t>
      </w:r>
      <w:r>
        <w:rPr>
          <w:rFonts w:ascii="黑体" w:hAnsi="黑体" w:eastAsia="黑体" w:cs="黑体"/>
          <w:spacing w:val="27"/>
          <w:sz w:val="24"/>
          <w:szCs w:val="24"/>
        </w:rPr>
        <w:t>装卸对产品可靠性的影响分析</w:t>
      </w:r>
    </w:p>
    <w:p w14:paraId="5621ACAE">
      <w:pPr>
        <w:pStyle w:val="2"/>
        <w:spacing w:before="115" w:line="219" w:lineRule="auto"/>
        <w:jc w:val="right"/>
      </w:pPr>
      <w:r>
        <w:t>应制定和实施试验分析程序，分析和确定装卸对产品设计和可靠性的影响。</w:t>
      </w:r>
    </w:p>
    <w:p w14:paraId="1C0E3F08">
      <w:pPr>
        <w:spacing w:before="77" w:line="222" w:lineRule="auto"/>
        <w:rPr>
          <w:rFonts w:ascii="黑体" w:hAnsi="黑体" w:eastAsia="黑体" w:cs="黑体"/>
          <w:sz w:val="27"/>
          <w:szCs w:val="27"/>
        </w:rPr>
      </w:pPr>
      <w:r>
        <w:rPr>
          <w:rFonts w:ascii="黑体" w:hAnsi="黑体" w:eastAsia="黑体" w:cs="黑体"/>
          <w:spacing w:val="3"/>
          <w:sz w:val="27"/>
          <w:szCs w:val="27"/>
        </w:rPr>
        <w:t>4.5</w:t>
      </w:r>
      <w:r>
        <w:rPr>
          <w:rFonts w:ascii="黑体" w:hAnsi="黑体" w:eastAsia="黑体" w:cs="黑体"/>
          <w:spacing w:val="33"/>
          <w:sz w:val="27"/>
          <w:szCs w:val="27"/>
        </w:rPr>
        <w:t xml:space="preserve">  </w:t>
      </w:r>
      <w:r>
        <w:rPr>
          <w:rFonts w:ascii="黑体" w:hAnsi="黑体" w:eastAsia="黑体" w:cs="黑体"/>
          <w:spacing w:val="3"/>
          <w:sz w:val="27"/>
          <w:szCs w:val="27"/>
        </w:rPr>
        <w:t>运输对产品可靠性的影响分析</w:t>
      </w:r>
    </w:p>
    <w:p w14:paraId="3BBA4B02">
      <w:pPr>
        <w:pStyle w:val="2"/>
        <w:spacing w:before="98" w:line="219" w:lineRule="auto"/>
        <w:jc w:val="right"/>
      </w:pPr>
      <w:r>
        <w:t>应制定和实施试验分析程序，分析和确定运输对产品设计和可靠性的影响。</w:t>
      </w:r>
    </w:p>
    <w:p w14:paraId="25E72CCB">
      <w:pPr>
        <w:spacing w:before="116" w:line="222" w:lineRule="auto"/>
        <w:rPr>
          <w:rFonts w:ascii="黑体" w:hAnsi="黑体" w:eastAsia="黑体" w:cs="黑体"/>
          <w:sz w:val="24"/>
          <w:szCs w:val="24"/>
        </w:rPr>
      </w:pPr>
      <w:r>
        <w:rPr>
          <w:rFonts w:ascii="黑体" w:hAnsi="黑体" w:eastAsia="黑体" w:cs="黑体"/>
          <w:spacing w:val="27"/>
          <w:sz w:val="24"/>
          <w:szCs w:val="24"/>
        </w:rPr>
        <w:t>4.6</w:t>
      </w:r>
      <w:r>
        <w:rPr>
          <w:rFonts w:ascii="黑体" w:hAnsi="黑体" w:eastAsia="黑体" w:cs="黑体"/>
          <w:spacing w:val="8"/>
          <w:sz w:val="24"/>
          <w:szCs w:val="24"/>
        </w:rPr>
        <w:t xml:space="preserve">   </w:t>
      </w:r>
      <w:r>
        <w:rPr>
          <w:rFonts w:ascii="黑体" w:hAnsi="黑体" w:eastAsia="黑体" w:cs="黑体"/>
          <w:spacing w:val="27"/>
          <w:sz w:val="24"/>
          <w:szCs w:val="24"/>
        </w:rPr>
        <w:t>维修对产品可靠性的影响分析</w:t>
      </w:r>
    </w:p>
    <w:p w14:paraId="590B1490">
      <w:pPr>
        <w:pStyle w:val="2"/>
        <w:spacing w:before="84" w:line="264" w:lineRule="auto"/>
        <w:ind w:right="123" w:firstLine="570"/>
      </w:pPr>
      <w:r>
        <w:rPr>
          <w:spacing w:val="5"/>
        </w:rPr>
        <w:t>应制定和实施试验分析程序，分析和确定维修程序及方法对产品设计和可</w:t>
      </w:r>
      <w:r>
        <w:t xml:space="preserve"> 靠性的影响。</w:t>
      </w:r>
    </w:p>
    <w:p w14:paraId="121E79DA">
      <w:pPr>
        <w:spacing w:line="368" w:lineRule="exact"/>
        <w:rPr>
          <w:rFonts w:ascii="黑体" w:hAnsi="黑体" w:eastAsia="黑体" w:cs="黑体"/>
          <w:sz w:val="27"/>
          <w:szCs w:val="27"/>
        </w:rPr>
      </w:pPr>
      <w:r>
        <w:rPr>
          <w:rFonts w:ascii="Arial" w:hAnsi="Arial" w:eastAsia="Arial" w:cs="Arial"/>
          <w:spacing w:val="1"/>
          <w:position w:val="1"/>
          <w:sz w:val="27"/>
          <w:szCs w:val="27"/>
        </w:rPr>
        <w:t>5</w:t>
      </w:r>
      <w:r>
        <w:rPr>
          <w:rFonts w:ascii="Arial" w:hAnsi="Arial" w:eastAsia="Arial" w:cs="Arial"/>
          <w:spacing w:val="19"/>
          <w:position w:val="1"/>
          <w:sz w:val="27"/>
          <w:szCs w:val="27"/>
        </w:rPr>
        <w:t xml:space="preserve">   </w:t>
      </w:r>
      <w:r>
        <w:rPr>
          <w:rFonts w:ascii="黑体" w:hAnsi="黑体" w:eastAsia="黑体" w:cs="黑体"/>
          <w:spacing w:val="1"/>
          <w:position w:val="1"/>
          <w:sz w:val="27"/>
          <w:szCs w:val="27"/>
        </w:rPr>
        <w:t>分析结论</w:t>
      </w:r>
    </w:p>
    <w:p w14:paraId="677E1066">
      <w:pPr>
        <w:pStyle w:val="2"/>
        <w:spacing w:before="102" w:line="272" w:lineRule="auto"/>
        <w:ind w:right="107" w:firstLine="570"/>
        <w:jc w:val="both"/>
      </w:pPr>
      <w:r>
        <w:rPr>
          <w:spacing w:val="-3"/>
        </w:rPr>
        <w:t>通过以上影响分析得出结论，即受包装、贮存、装卸和运输过程影响的产品</w:t>
      </w:r>
      <w:r>
        <w:rPr>
          <w:spacing w:val="5"/>
        </w:rPr>
        <w:t xml:space="preserve"> </w:t>
      </w:r>
      <w:r>
        <w:rPr>
          <w:spacing w:val="-3"/>
        </w:rPr>
        <w:t>和对产品主要特性的影响程度；定期现场检查和测试的程序、贮存可靠性评价的</w:t>
      </w:r>
      <w:r>
        <w:rPr>
          <w:spacing w:val="14"/>
        </w:rPr>
        <w:t xml:space="preserve"> 方法和步骤，包括测试产品的数量和可接受的性能</w:t>
      </w:r>
      <w:r>
        <w:rPr>
          <w:spacing w:val="13"/>
        </w:rPr>
        <w:t>水平；具体的修复方法和</w:t>
      </w:r>
      <w:r>
        <w:t xml:space="preserve"> </w:t>
      </w:r>
      <w:r>
        <w:rPr>
          <w:spacing w:val="-4"/>
        </w:rPr>
        <w:t>步骤。</w:t>
      </w:r>
    </w:p>
    <w:p w14:paraId="5460EA8A">
      <w:pPr>
        <w:spacing w:before="25" w:line="222"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12"/>
          <w:sz w:val="27"/>
          <w:szCs w:val="27"/>
        </w:rPr>
        <w:t xml:space="preserve">  </w:t>
      </w:r>
      <w:r>
        <w:rPr>
          <w:rFonts w:ascii="黑体" w:hAnsi="黑体" w:eastAsia="黑体" w:cs="黑体"/>
          <w:spacing w:val="3"/>
          <w:sz w:val="27"/>
          <w:szCs w:val="27"/>
        </w:rPr>
        <w:t>改进措施建议</w:t>
      </w:r>
    </w:p>
    <w:p w14:paraId="11CA554A">
      <w:pPr>
        <w:pStyle w:val="2"/>
        <w:spacing w:before="108" w:line="219" w:lineRule="auto"/>
        <w:ind w:left="570"/>
      </w:pPr>
      <w:r>
        <w:rPr>
          <w:spacing w:val="-3"/>
        </w:rPr>
        <w:t>根据分析结论对设计提出改进措施和建议，针对确定允许测试的次数，</w:t>
      </w:r>
      <w:r>
        <w:rPr>
          <w:spacing w:val="-4"/>
        </w:rPr>
        <w:t>确定</w:t>
      </w:r>
    </w:p>
    <w:p w14:paraId="3E8E728E">
      <w:pPr>
        <w:spacing w:line="219" w:lineRule="auto"/>
        <w:sectPr>
          <w:footerReference r:id="rId381" w:type="default"/>
          <w:pgSz w:w="11910" w:h="17130"/>
          <w:pgMar w:top="1381" w:right="895" w:bottom="1716" w:left="1519" w:header="0" w:footer="1527" w:gutter="0"/>
          <w:cols w:space="720" w:num="1"/>
        </w:sectPr>
      </w:pPr>
    </w:p>
    <w:p w14:paraId="6E507893">
      <w:pPr>
        <w:pStyle w:val="2"/>
        <w:spacing w:before="52" w:line="316" w:lineRule="auto"/>
        <w:ind w:right="3"/>
      </w:pPr>
      <w:r>
        <w:rPr>
          <w:spacing w:val="-10"/>
        </w:rPr>
        <w:t>包装、贮存、装卸、运输要求和修复计划提出改进措施和建议，针对预计产品的故</w:t>
      </w:r>
      <w:r>
        <w:rPr>
          <w:spacing w:val="10"/>
        </w:rPr>
        <w:t xml:space="preserve"> </w:t>
      </w:r>
      <w:r>
        <w:rPr>
          <w:spacing w:val="2"/>
        </w:rPr>
        <w:t>障率和设计权衡提供支持信息等。</w:t>
      </w:r>
    </w:p>
    <w:p w14:paraId="62E3C455">
      <w:pPr>
        <w:pStyle w:val="2"/>
        <w:spacing w:before="316" w:line="220" w:lineRule="auto"/>
        <w:ind w:left="3219"/>
        <w:rPr>
          <w:sz w:val="36"/>
          <w:szCs w:val="36"/>
        </w:rPr>
      </w:pPr>
      <w:r>
        <w:rPr>
          <w:spacing w:val="-5"/>
          <w:sz w:val="36"/>
          <w:szCs w:val="36"/>
        </w:rPr>
        <w:t>7.</w:t>
      </w:r>
      <w:r>
        <w:rPr>
          <w:b/>
          <w:bCs/>
          <w:spacing w:val="-5"/>
          <w:sz w:val="36"/>
          <w:szCs w:val="36"/>
        </w:rPr>
        <w:t>16</w:t>
      </w:r>
      <w:r>
        <w:rPr>
          <w:spacing w:val="33"/>
          <w:sz w:val="36"/>
          <w:szCs w:val="36"/>
        </w:rPr>
        <w:t xml:space="preserve">  </w:t>
      </w:r>
      <w:r>
        <w:rPr>
          <w:b/>
          <w:bCs/>
          <w:spacing w:val="-5"/>
          <w:sz w:val="36"/>
          <w:szCs w:val="36"/>
        </w:rPr>
        <w:t>有限元分析</w:t>
      </w:r>
    </w:p>
    <w:p w14:paraId="6526DC9A">
      <w:pPr>
        <w:spacing w:line="312" w:lineRule="auto"/>
        <w:rPr>
          <w:rFonts w:ascii="Arial"/>
          <w:sz w:val="21"/>
        </w:rPr>
      </w:pPr>
    </w:p>
    <w:p w14:paraId="4983DB17">
      <w:pPr>
        <w:pStyle w:val="2"/>
        <w:spacing w:before="91" w:line="223" w:lineRule="auto"/>
        <w:ind w:left="559"/>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07101762">
      <w:pPr>
        <w:spacing w:before="138"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4"/>
          <w:sz w:val="25"/>
          <w:szCs w:val="25"/>
        </w:rPr>
        <w:t xml:space="preserve">  </w:t>
      </w:r>
      <w:r>
        <w:rPr>
          <w:rFonts w:ascii="黑体" w:hAnsi="黑体" w:eastAsia="黑体" w:cs="黑体"/>
          <w:spacing w:val="-13"/>
          <w:sz w:val="25"/>
          <w:szCs w:val="25"/>
        </w:rPr>
        <w:t>范</w:t>
      </w:r>
      <w:r>
        <w:rPr>
          <w:rFonts w:ascii="黑体" w:hAnsi="黑体" w:eastAsia="黑体" w:cs="黑体"/>
          <w:spacing w:val="-31"/>
          <w:sz w:val="25"/>
          <w:szCs w:val="25"/>
        </w:rPr>
        <w:t xml:space="preserve"> </w:t>
      </w:r>
      <w:r>
        <w:rPr>
          <w:rFonts w:ascii="黑体" w:hAnsi="黑体" w:eastAsia="黑体" w:cs="黑体"/>
          <w:spacing w:val="-13"/>
          <w:sz w:val="25"/>
          <w:szCs w:val="25"/>
        </w:rPr>
        <w:t>围</w:t>
      </w:r>
    </w:p>
    <w:p w14:paraId="41A3B36A">
      <w:pPr>
        <w:spacing w:before="115" w:line="222" w:lineRule="auto"/>
        <w:rPr>
          <w:rFonts w:ascii="黑体" w:hAnsi="黑体" w:eastAsia="黑体" w:cs="黑体"/>
          <w:sz w:val="24"/>
          <w:szCs w:val="24"/>
        </w:rPr>
      </w:pPr>
      <w:r>
        <w:rPr>
          <w:rFonts w:ascii="黑体" w:hAnsi="黑体" w:eastAsia="黑体" w:cs="黑体"/>
          <w:spacing w:val="-13"/>
          <w:sz w:val="24"/>
          <w:szCs w:val="24"/>
        </w:rPr>
        <w:t>2</w:t>
      </w:r>
      <w:r>
        <w:rPr>
          <w:rFonts w:ascii="黑体" w:hAnsi="黑体" w:eastAsia="黑体" w:cs="黑体"/>
          <w:spacing w:val="34"/>
          <w:sz w:val="24"/>
          <w:szCs w:val="24"/>
        </w:rPr>
        <w:t xml:space="preserve">  </w:t>
      </w:r>
      <w:r>
        <w:rPr>
          <w:rFonts w:ascii="黑体" w:hAnsi="黑体" w:eastAsia="黑体" w:cs="黑体"/>
          <w:spacing w:val="-13"/>
          <w:sz w:val="24"/>
          <w:szCs w:val="24"/>
        </w:rPr>
        <w:t>引</w:t>
      </w:r>
      <w:r>
        <w:rPr>
          <w:rFonts w:ascii="黑体" w:hAnsi="黑体" w:eastAsia="黑体" w:cs="黑体"/>
          <w:spacing w:val="-50"/>
          <w:sz w:val="24"/>
          <w:szCs w:val="24"/>
        </w:rPr>
        <w:t xml:space="preserve"> </w:t>
      </w:r>
      <w:r>
        <w:rPr>
          <w:rFonts w:ascii="黑体" w:hAnsi="黑体" w:eastAsia="黑体" w:cs="黑体"/>
          <w:spacing w:val="-13"/>
          <w:sz w:val="24"/>
          <w:szCs w:val="24"/>
        </w:rPr>
        <w:t>用</w:t>
      </w:r>
      <w:r>
        <w:rPr>
          <w:rFonts w:ascii="黑体" w:hAnsi="黑体" w:eastAsia="黑体" w:cs="黑体"/>
          <w:spacing w:val="-50"/>
          <w:sz w:val="24"/>
          <w:szCs w:val="24"/>
        </w:rPr>
        <w:t xml:space="preserve"> </w:t>
      </w:r>
      <w:r>
        <w:rPr>
          <w:rFonts w:ascii="黑体" w:hAnsi="黑体" w:eastAsia="黑体" w:cs="黑体"/>
          <w:spacing w:val="-13"/>
          <w:sz w:val="24"/>
          <w:szCs w:val="24"/>
        </w:rPr>
        <w:t>文</w:t>
      </w:r>
      <w:r>
        <w:rPr>
          <w:rFonts w:ascii="黑体" w:hAnsi="黑体" w:eastAsia="黑体" w:cs="黑体"/>
          <w:spacing w:val="-56"/>
          <w:sz w:val="24"/>
          <w:szCs w:val="24"/>
        </w:rPr>
        <w:t xml:space="preserve"> </w:t>
      </w:r>
      <w:r>
        <w:rPr>
          <w:rFonts w:ascii="黑体" w:hAnsi="黑体" w:eastAsia="黑体" w:cs="黑体"/>
          <w:spacing w:val="-13"/>
          <w:sz w:val="24"/>
          <w:szCs w:val="24"/>
        </w:rPr>
        <w:t>件</w:t>
      </w:r>
    </w:p>
    <w:p w14:paraId="4E52D742">
      <w:pPr>
        <w:spacing w:before="65" w:line="368" w:lineRule="exact"/>
        <w:rPr>
          <w:rFonts w:ascii="黑体" w:hAnsi="黑体" w:eastAsia="黑体" w:cs="黑体"/>
          <w:sz w:val="27"/>
          <w:szCs w:val="27"/>
        </w:rPr>
      </w:pPr>
      <w:r>
        <w:rPr>
          <w:rFonts w:ascii="Arial" w:hAnsi="Arial" w:eastAsia="Arial" w:cs="Arial"/>
          <w:spacing w:val="1"/>
          <w:position w:val="1"/>
          <w:sz w:val="27"/>
          <w:szCs w:val="27"/>
        </w:rPr>
        <w:t>3</w:t>
      </w:r>
      <w:r>
        <w:rPr>
          <w:rFonts w:ascii="Arial" w:hAnsi="Arial" w:eastAsia="Arial" w:cs="Arial"/>
          <w:spacing w:val="19"/>
          <w:w w:val="101"/>
          <w:position w:val="1"/>
          <w:sz w:val="27"/>
          <w:szCs w:val="27"/>
        </w:rPr>
        <w:t xml:space="preserve">   </w:t>
      </w:r>
      <w:r>
        <w:rPr>
          <w:rFonts w:ascii="黑体" w:hAnsi="黑体" w:eastAsia="黑体" w:cs="黑体"/>
          <w:spacing w:val="1"/>
          <w:position w:val="1"/>
          <w:sz w:val="27"/>
          <w:szCs w:val="27"/>
        </w:rPr>
        <w:t>分析对象</w:t>
      </w:r>
    </w:p>
    <w:p w14:paraId="7759FECF">
      <w:pPr>
        <w:pStyle w:val="2"/>
        <w:spacing w:before="78" w:line="291" w:lineRule="auto"/>
        <w:ind w:right="3" w:firstLine="559"/>
      </w:pPr>
      <w:r>
        <w:rPr>
          <w:spacing w:val="5"/>
        </w:rPr>
        <w:t>说明分析对象。对安全和任务关键的机械结构件和产品应尽量实施有限元</w:t>
      </w:r>
      <w:r>
        <w:rPr>
          <w:spacing w:val="10"/>
        </w:rPr>
        <w:t xml:space="preserve"> </w:t>
      </w:r>
      <w:r>
        <w:rPr>
          <w:spacing w:val="-24"/>
        </w:rPr>
        <w:t>分析，如：</w:t>
      </w:r>
    </w:p>
    <w:p w14:paraId="4850CC85">
      <w:pPr>
        <w:pStyle w:val="2"/>
        <w:spacing w:before="1" w:line="218" w:lineRule="auto"/>
        <w:ind w:left="559"/>
      </w:pPr>
      <w:r>
        <w:rPr>
          <w:rFonts w:ascii="Times New Roman" w:hAnsi="Times New Roman" w:eastAsia="Times New Roman" w:cs="Times New Roman"/>
          <w:spacing w:val="9"/>
        </w:rPr>
        <w:t>a</w:t>
      </w:r>
      <w:r>
        <w:rPr>
          <w:spacing w:val="9"/>
        </w:rPr>
        <w:t>)新材料和新技术的应用；</w:t>
      </w:r>
    </w:p>
    <w:p w14:paraId="4050FD86">
      <w:pPr>
        <w:pStyle w:val="2"/>
        <w:spacing w:before="81" w:line="212" w:lineRule="auto"/>
        <w:ind w:left="559"/>
      </w:pPr>
      <w:r>
        <w:rPr>
          <w:rFonts w:ascii="Times New Roman" w:hAnsi="Times New Roman" w:eastAsia="Times New Roman" w:cs="Times New Roman"/>
          <w:spacing w:val="3"/>
        </w:rPr>
        <w:t>b)</w:t>
      </w:r>
      <w:r>
        <w:rPr>
          <w:rFonts w:ascii="Times New Roman" w:hAnsi="Times New Roman" w:eastAsia="Times New Roman" w:cs="Times New Roman"/>
          <w:spacing w:val="75"/>
          <w:w w:val="101"/>
        </w:rPr>
        <w:t xml:space="preserve"> </w:t>
      </w:r>
      <w:r>
        <w:rPr>
          <w:spacing w:val="3"/>
        </w:rPr>
        <w:t>严酷的环境负载条件；</w:t>
      </w:r>
    </w:p>
    <w:p w14:paraId="6CC4EF47">
      <w:pPr>
        <w:pStyle w:val="2"/>
        <w:spacing w:before="110" w:line="212" w:lineRule="auto"/>
        <w:ind w:left="559"/>
      </w:pPr>
      <w:r>
        <w:rPr>
          <w:rFonts w:ascii="Times New Roman" w:hAnsi="Times New Roman" w:eastAsia="Times New Roman" w:cs="Times New Roman"/>
          <w:spacing w:val="2"/>
        </w:rPr>
        <w:t>c)</w:t>
      </w:r>
      <w:r>
        <w:rPr>
          <w:rFonts w:ascii="Times New Roman" w:hAnsi="Times New Roman" w:eastAsia="Times New Roman" w:cs="Times New Roman"/>
          <w:spacing w:val="70"/>
          <w:w w:val="101"/>
        </w:rPr>
        <w:t xml:space="preserve"> </w:t>
      </w:r>
      <w:r>
        <w:rPr>
          <w:spacing w:val="2"/>
        </w:rPr>
        <w:t>苛刻的热或机械载荷等。</w:t>
      </w:r>
    </w:p>
    <w:p w14:paraId="551D662A">
      <w:pPr>
        <w:spacing w:before="138" w:line="221" w:lineRule="auto"/>
        <w:rPr>
          <w:rFonts w:ascii="黑体" w:hAnsi="黑体" w:eastAsia="黑体" w:cs="黑体"/>
          <w:sz w:val="27"/>
          <w:szCs w:val="27"/>
        </w:rPr>
      </w:pPr>
      <w:r>
        <w:rPr>
          <w:rFonts w:ascii="黑体" w:hAnsi="黑体" w:eastAsia="黑体" w:cs="黑体"/>
          <w:spacing w:val="4"/>
          <w:sz w:val="27"/>
          <w:szCs w:val="27"/>
        </w:rPr>
        <w:t>4</w:t>
      </w:r>
      <w:r>
        <w:rPr>
          <w:rFonts w:ascii="黑体" w:hAnsi="黑体" w:eastAsia="黑体" w:cs="黑体"/>
          <w:spacing w:val="9"/>
          <w:sz w:val="27"/>
          <w:szCs w:val="27"/>
        </w:rPr>
        <w:t xml:space="preserve">  </w:t>
      </w:r>
      <w:r>
        <w:rPr>
          <w:rFonts w:ascii="黑体" w:hAnsi="黑体" w:eastAsia="黑体" w:cs="黑体"/>
          <w:spacing w:val="4"/>
          <w:sz w:val="27"/>
          <w:szCs w:val="27"/>
        </w:rPr>
        <w:t>分析方法</w:t>
      </w:r>
    </w:p>
    <w:p w14:paraId="1DFF5929">
      <w:pPr>
        <w:pStyle w:val="2"/>
        <w:spacing w:before="99" w:line="283" w:lineRule="auto"/>
        <w:ind w:right="5" w:firstLine="559"/>
      </w:pPr>
      <w:r>
        <w:rPr>
          <w:spacing w:val="5"/>
        </w:rPr>
        <w:t>提出分析方法及要求，并说明选择理由。关键是正确建立产品的结构和材</w:t>
      </w:r>
      <w:r>
        <w:rPr>
          <w:spacing w:val="8"/>
        </w:rPr>
        <w:t xml:space="preserve"> </w:t>
      </w:r>
      <w:r>
        <w:rPr>
          <w:spacing w:val="3"/>
        </w:rPr>
        <w:t>料对负载或环境响应的模型。</w:t>
      </w:r>
    </w:p>
    <w:p w14:paraId="3430CB3A">
      <w:pPr>
        <w:spacing w:before="2" w:line="220" w:lineRule="auto"/>
        <w:rPr>
          <w:rFonts w:ascii="黑体" w:hAnsi="黑体" w:eastAsia="黑体" w:cs="黑体"/>
          <w:sz w:val="27"/>
          <w:szCs w:val="27"/>
        </w:rPr>
      </w:pPr>
      <w:r>
        <w:rPr>
          <w:rFonts w:ascii="黑体" w:hAnsi="黑体" w:eastAsia="黑体" w:cs="黑体"/>
          <w:spacing w:val="3"/>
          <w:sz w:val="27"/>
          <w:szCs w:val="27"/>
        </w:rPr>
        <w:t>5</w:t>
      </w:r>
      <w:r>
        <w:rPr>
          <w:rFonts w:ascii="黑体" w:hAnsi="黑体" w:eastAsia="黑体" w:cs="黑体"/>
          <w:spacing w:val="9"/>
          <w:sz w:val="27"/>
          <w:szCs w:val="27"/>
        </w:rPr>
        <w:t xml:space="preserve">  </w:t>
      </w:r>
      <w:r>
        <w:rPr>
          <w:rFonts w:ascii="黑体" w:hAnsi="黑体" w:eastAsia="黑体" w:cs="黑体"/>
          <w:spacing w:val="3"/>
          <w:sz w:val="27"/>
          <w:szCs w:val="27"/>
        </w:rPr>
        <w:t>分析步骤</w:t>
      </w:r>
    </w:p>
    <w:p w14:paraId="7A6D4C1C">
      <w:pPr>
        <w:pStyle w:val="2"/>
        <w:spacing w:before="109" w:line="288" w:lineRule="auto"/>
        <w:ind w:firstLine="559"/>
        <w:jc w:val="both"/>
      </w:pPr>
      <w:r>
        <w:rPr>
          <w:spacing w:val="5"/>
        </w:rPr>
        <w:t>说明分析步骤。有限元分析的具体实施可分为三个阶段。前处理阶段，主</w:t>
      </w:r>
      <w:r>
        <w:rPr>
          <w:spacing w:val="13"/>
        </w:rPr>
        <w:t xml:space="preserve"> </w:t>
      </w:r>
      <w:r>
        <w:rPr>
          <w:spacing w:val="-10"/>
        </w:rPr>
        <w:t>要内容有几何建模、材料定义、单元定义、网格划分、添加边界条件及载荷等；计</w:t>
      </w:r>
      <w:r>
        <w:rPr>
          <w:spacing w:val="10"/>
        </w:rPr>
        <w:t xml:space="preserve"> </w:t>
      </w:r>
      <w:r>
        <w:rPr>
          <w:spacing w:val="-10"/>
        </w:rPr>
        <w:t>算阶段，一般进行强度分析、刚度分析、热分析和振动分析；后处理阶段，对计算</w:t>
      </w:r>
      <w:r>
        <w:rPr>
          <w:spacing w:val="11"/>
        </w:rPr>
        <w:t xml:space="preserve"> </w:t>
      </w:r>
      <w:r>
        <w:rPr>
          <w:spacing w:val="-10"/>
        </w:rPr>
        <w:t>输出的结果进行必要的处理，将计算结果以彩色云图、曲线、列表、动画</w:t>
      </w:r>
      <w:r>
        <w:rPr>
          <w:spacing w:val="-11"/>
        </w:rPr>
        <w:t>等形式显</w:t>
      </w:r>
      <w:r>
        <w:t xml:space="preserve"> </w:t>
      </w:r>
      <w:r>
        <w:rPr>
          <w:spacing w:val="-1"/>
        </w:rPr>
        <w:t>示或输出。</w:t>
      </w:r>
    </w:p>
    <w:p w14:paraId="1F82EB33">
      <w:pPr>
        <w:spacing w:before="4" w:line="222"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2"/>
          <w:sz w:val="27"/>
          <w:szCs w:val="27"/>
        </w:rPr>
        <w:t xml:space="preserve">  </w:t>
      </w:r>
      <w:r>
        <w:rPr>
          <w:rFonts w:ascii="黑体" w:hAnsi="黑体" w:eastAsia="黑体" w:cs="黑体"/>
          <w:spacing w:val="2"/>
          <w:sz w:val="27"/>
          <w:szCs w:val="27"/>
        </w:rPr>
        <w:t>分析结论</w:t>
      </w:r>
    </w:p>
    <w:p w14:paraId="4B56D13E">
      <w:pPr>
        <w:pStyle w:val="2"/>
        <w:spacing w:before="114" w:line="219" w:lineRule="auto"/>
        <w:ind w:left="559"/>
      </w:pPr>
      <w:r>
        <w:t>给出分析结论，确定承载结构和材料的薄弱环节及产品</w:t>
      </w:r>
      <w:r>
        <w:rPr>
          <w:spacing w:val="-1"/>
        </w:rPr>
        <w:t>的过热部分。</w:t>
      </w:r>
    </w:p>
    <w:p w14:paraId="3BEFE530">
      <w:pPr>
        <w:spacing w:before="128" w:line="222" w:lineRule="auto"/>
        <w:rPr>
          <w:rFonts w:ascii="黑体" w:hAnsi="黑体" w:eastAsia="黑体" w:cs="黑体"/>
          <w:sz w:val="24"/>
          <w:szCs w:val="24"/>
        </w:rPr>
      </w:pPr>
      <w:r>
        <w:rPr>
          <w:rFonts w:ascii="Arial" w:hAnsi="Arial" w:eastAsia="Arial" w:cs="Arial"/>
          <w:spacing w:val="28"/>
          <w:sz w:val="24"/>
          <w:szCs w:val="24"/>
        </w:rPr>
        <w:t>7</w:t>
      </w:r>
      <w:r>
        <w:rPr>
          <w:rFonts w:ascii="Arial" w:hAnsi="Arial" w:eastAsia="Arial" w:cs="Arial"/>
          <w:spacing w:val="9"/>
          <w:sz w:val="24"/>
          <w:szCs w:val="24"/>
        </w:rPr>
        <w:t xml:space="preserve">    </w:t>
      </w:r>
      <w:r>
        <w:rPr>
          <w:rFonts w:ascii="黑体" w:hAnsi="黑体" w:eastAsia="黑体" w:cs="黑体"/>
          <w:spacing w:val="28"/>
          <w:sz w:val="24"/>
          <w:szCs w:val="24"/>
        </w:rPr>
        <w:t>设计改进措施建议</w:t>
      </w:r>
    </w:p>
    <w:p w14:paraId="69441A0A">
      <w:pPr>
        <w:pStyle w:val="2"/>
        <w:spacing w:before="104" w:line="219" w:lineRule="auto"/>
        <w:ind w:left="559"/>
      </w:pPr>
      <w:r>
        <w:rPr>
          <w:spacing w:val="-4"/>
        </w:rPr>
        <w:t>根据分析结论，提出设计改进措施和建议。</w:t>
      </w:r>
    </w:p>
    <w:p w14:paraId="6C8B004B">
      <w:pPr>
        <w:spacing w:line="379" w:lineRule="auto"/>
        <w:rPr>
          <w:rFonts w:ascii="Arial"/>
          <w:sz w:val="21"/>
        </w:rPr>
      </w:pPr>
    </w:p>
    <w:p w14:paraId="57FCF731">
      <w:pPr>
        <w:pStyle w:val="2"/>
        <w:spacing w:before="118" w:line="220" w:lineRule="auto"/>
        <w:ind w:left="3239"/>
        <w:rPr>
          <w:sz w:val="36"/>
          <w:szCs w:val="36"/>
        </w:rPr>
      </w:pPr>
      <w:r>
        <w:rPr>
          <w:spacing w:val="-5"/>
          <w:sz w:val="36"/>
          <w:szCs w:val="36"/>
        </w:rPr>
        <w:t>7.</w:t>
      </w:r>
      <w:r>
        <w:rPr>
          <w:b/>
          <w:bCs/>
          <w:spacing w:val="-5"/>
          <w:sz w:val="36"/>
          <w:szCs w:val="36"/>
        </w:rPr>
        <w:t>17</w:t>
      </w:r>
      <w:r>
        <w:rPr>
          <w:spacing w:val="33"/>
          <w:sz w:val="36"/>
          <w:szCs w:val="36"/>
        </w:rPr>
        <w:t xml:space="preserve">  </w:t>
      </w:r>
      <w:r>
        <w:rPr>
          <w:b/>
          <w:bCs/>
          <w:spacing w:val="-5"/>
          <w:sz w:val="36"/>
          <w:szCs w:val="36"/>
        </w:rPr>
        <w:t>耐久性分析</w:t>
      </w:r>
    </w:p>
    <w:p w14:paraId="69159D90">
      <w:pPr>
        <w:spacing w:line="331" w:lineRule="auto"/>
        <w:rPr>
          <w:rFonts w:ascii="Arial"/>
          <w:sz w:val="21"/>
        </w:rPr>
      </w:pPr>
    </w:p>
    <w:p w14:paraId="06C7C14B">
      <w:pPr>
        <w:pStyle w:val="2"/>
        <w:spacing w:before="92" w:line="223" w:lineRule="auto"/>
        <w:ind w:left="559"/>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4E046B11">
      <w:pPr>
        <w:spacing w:before="79"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2E737802">
      <w:pPr>
        <w:spacing w:before="112"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332FB44D">
      <w:pPr>
        <w:spacing w:line="222" w:lineRule="auto"/>
        <w:rPr>
          <w:rFonts w:ascii="黑体" w:hAnsi="黑体" w:eastAsia="黑体" w:cs="黑体"/>
          <w:sz w:val="27"/>
          <w:szCs w:val="27"/>
        </w:rPr>
        <w:sectPr>
          <w:footerReference r:id="rId382" w:type="default"/>
          <w:pgSz w:w="11910" w:h="17130"/>
          <w:pgMar w:top="1356" w:right="1335" w:bottom="1716" w:left="1200" w:header="0" w:footer="1527" w:gutter="0"/>
          <w:cols w:space="720" w:num="1"/>
        </w:sectPr>
      </w:pPr>
    </w:p>
    <w:p w14:paraId="213C95E5">
      <w:pPr>
        <w:spacing w:before="57" w:line="222" w:lineRule="auto"/>
        <w:rPr>
          <w:rFonts w:ascii="黑体" w:hAnsi="黑体" w:eastAsia="黑体" w:cs="黑体"/>
          <w:sz w:val="28"/>
          <w:szCs w:val="28"/>
        </w:rPr>
      </w:pPr>
      <w:r>
        <w:rPr>
          <w:rFonts w:ascii="黑体" w:hAnsi="黑体" w:eastAsia="黑体" w:cs="黑体"/>
          <w:spacing w:val="-8"/>
          <w:sz w:val="28"/>
          <w:szCs w:val="28"/>
        </w:rPr>
        <w:t>3</w:t>
      </w:r>
      <w:r>
        <w:rPr>
          <w:rFonts w:ascii="黑体" w:hAnsi="黑体" w:eastAsia="黑体" w:cs="黑体"/>
          <w:spacing w:val="8"/>
          <w:sz w:val="28"/>
          <w:szCs w:val="28"/>
        </w:rPr>
        <w:t xml:space="preserve">  </w:t>
      </w:r>
      <w:r>
        <w:rPr>
          <w:rFonts w:ascii="黑体" w:hAnsi="黑体" w:eastAsia="黑体" w:cs="黑体"/>
          <w:b/>
          <w:bCs/>
          <w:spacing w:val="-8"/>
          <w:sz w:val="28"/>
          <w:szCs w:val="28"/>
        </w:rPr>
        <w:t>分析对象</w:t>
      </w:r>
    </w:p>
    <w:p w14:paraId="30D36008">
      <w:pPr>
        <w:pStyle w:val="2"/>
        <w:spacing w:before="85" w:line="288" w:lineRule="auto"/>
        <w:ind w:right="429" w:firstLine="560"/>
        <w:rPr>
          <w:rFonts w:ascii="黑体" w:hAnsi="黑体" w:eastAsia="黑体" w:cs="黑体"/>
          <w:sz w:val="25"/>
          <w:szCs w:val="25"/>
        </w:rPr>
      </w:pPr>
      <w:r>
        <w:rPr>
          <w:spacing w:val="5"/>
        </w:rPr>
        <w:t>说明分析对象。应对关键零部件或已知的耐久</w:t>
      </w:r>
      <w:r>
        <w:rPr>
          <w:spacing w:val="4"/>
        </w:rPr>
        <w:t>性问题进行耐久性分析。</w:t>
      </w:r>
      <w:r>
        <w:t xml:space="preserve"> </w:t>
      </w:r>
      <w:r>
        <w:rPr>
          <w:rFonts w:ascii="黑体" w:hAnsi="黑体" w:eastAsia="黑体" w:cs="黑体"/>
          <w:spacing w:val="16"/>
          <w:sz w:val="25"/>
          <w:szCs w:val="25"/>
        </w:rPr>
        <w:t>4</w:t>
      </w:r>
      <w:r>
        <w:rPr>
          <w:rFonts w:ascii="黑体" w:hAnsi="黑体" w:eastAsia="黑体" w:cs="黑体"/>
          <w:spacing w:val="26"/>
          <w:sz w:val="25"/>
          <w:szCs w:val="25"/>
        </w:rPr>
        <w:t xml:space="preserve">  </w:t>
      </w:r>
      <w:r>
        <w:rPr>
          <w:rFonts w:ascii="黑体" w:hAnsi="黑体" w:eastAsia="黑体" w:cs="黑体"/>
          <w:b/>
          <w:bCs/>
          <w:spacing w:val="16"/>
          <w:sz w:val="25"/>
          <w:szCs w:val="25"/>
        </w:rPr>
        <w:t>分析方法</w:t>
      </w:r>
    </w:p>
    <w:p w14:paraId="2E7ABDF5">
      <w:pPr>
        <w:pStyle w:val="2"/>
        <w:spacing w:line="219" w:lineRule="auto"/>
        <w:ind w:left="560"/>
      </w:pPr>
      <w:r>
        <w:rPr>
          <w:spacing w:val="-3"/>
        </w:rPr>
        <w:t>提出分析方法及相关要求，并说明选择理由。</w:t>
      </w:r>
    </w:p>
    <w:p w14:paraId="280B6986">
      <w:pPr>
        <w:pStyle w:val="2"/>
        <w:spacing w:before="81" w:line="278" w:lineRule="auto"/>
        <w:ind w:firstLine="560"/>
        <w:jc w:val="both"/>
      </w:pPr>
      <w:r>
        <w:rPr>
          <w:spacing w:val="1"/>
        </w:rPr>
        <w:t>耐久性设计与分析的主要方法有工程分析方法、安全寿命设计与分析方法、</w:t>
      </w:r>
      <w:r>
        <w:t xml:space="preserve"> </w:t>
      </w:r>
      <w:r>
        <w:rPr>
          <w:spacing w:val="5"/>
        </w:rPr>
        <w:t>损伤容限设计与分析方法，腐蚀环境下的耐久性设计与分析方法和基于磨损特</w:t>
      </w:r>
      <w:r>
        <w:rPr>
          <w:spacing w:val="4"/>
        </w:rPr>
        <w:t xml:space="preserve">  </w:t>
      </w:r>
      <w:r>
        <w:rPr>
          <w:spacing w:val="-2"/>
        </w:rPr>
        <w:t>征的耐久性设计与分析方法等。针对产品的不同研制阶段、产品的耗损特征、产</w:t>
      </w:r>
      <w:r>
        <w:rPr>
          <w:spacing w:val="2"/>
        </w:rPr>
        <w:t xml:space="preserve">  </w:t>
      </w:r>
      <w:r>
        <w:rPr>
          <w:spacing w:val="-3"/>
        </w:rPr>
        <w:t>品是否为新研产品，在不同情况下选用不同的设计与分析方法，还可同时采用几</w:t>
      </w:r>
      <w:r>
        <w:rPr>
          <w:spacing w:val="7"/>
        </w:rPr>
        <w:t xml:space="preserve">  </w:t>
      </w:r>
      <w:r>
        <w:rPr>
          <w:spacing w:val="-1"/>
        </w:rPr>
        <w:t>种方法。</w:t>
      </w:r>
    </w:p>
    <w:p w14:paraId="6E9910D9">
      <w:pPr>
        <w:spacing w:line="221"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11"/>
          <w:sz w:val="27"/>
          <w:szCs w:val="27"/>
        </w:rPr>
        <w:t xml:space="preserve">  </w:t>
      </w:r>
      <w:r>
        <w:rPr>
          <w:rFonts w:ascii="黑体" w:hAnsi="黑体" w:eastAsia="黑体" w:cs="黑体"/>
          <w:b/>
          <w:bCs/>
          <w:spacing w:val="-1"/>
          <w:sz w:val="27"/>
          <w:szCs w:val="27"/>
        </w:rPr>
        <w:t>分析过程</w:t>
      </w:r>
    </w:p>
    <w:p w14:paraId="28A2E2F2">
      <w:pPr>
        <w:pStyle w:val="2"/>
        <w:spacing w:before="89" w:line="219" w:lineRule="auto"/>
        <w:ind w:left="560"/>
      </w:pPr>
      <w:r>
        <w:rPr>
          <w:spacing w:val="-1"/>
        </w:rPr>
        <w:t>依据耐久性设计与分析的基本步骤，描述实施的全过程。</w:t>
      </w:r>
    </w:p>
    <w:p w14:paraId="0430CB4E">
      <w:pPr>
        <w:spacing w:before="115" w:line="222" w:lineRule="auto"/>
        <w:rPr>
          <w:rFonts w:ascii="黑体" w:hAnsi="黑体" w:eastAsia="黑体" w:cs="黑体"/>
          <w:sz w:val="24"/>
          <w:szCs w:val="24"/>
        </w:rPr>
      </w:pPr>
      <w:r>
        <w:rPr>
          <w:rFonts w:ascii="黑体" w:hAnsi="黑体" w:eastAsia="黑体" w:cs="黑体"/>
          <w:spacing w:val="23"/>
          <w:sz w:val="24"/>
          <w:szCs w:val="24"/>
        </w:rPr>
        <w:t>5.1</w:t>
      </w:r>
      <w:r>
        <w:rPr>
          <w:rFonts w:ascii="黑体" w:hAnsi="黑体" w:eastAsia="黑体" w:cs="黑体"/>
          <w:spacing w:val="57"/>
          <w:sz w:val="24"/>
          <w:szCs w:val="24"/>
        </w:rPr>
        <w:t xml:space="preserve">  </w:t>
      </w:r>
      <w:r>
        <w:rPr>
          <w:rFonts w:ascii="黑体" w:hAnsi="黑体" w:eastAsia="黑体" w:cs="黑体"/>
          <w:b/>
          <w:bCs/>
          <w:spacing w:val="23"/>
          <w:sz w:val="24"/>
          <w:szCs w:val="24"/>
        </w:rPr>
        <w:t>工作与非工作寿命要求</w:t>
      </w:r>
    </w:p>
    <w:p w14:paraId="0F5F192C">
      <w:pPr>
        <w:pStyle w:val="2"/>
        <w:spacing w:before="88" w:line="219" w:lineRule="auto"/>
        <w:ind w:right="20"/>
        <w:jc w:val="right"/>
      </w:pPr>
      <w:r>
        <w:t>明确产品的耐久性工作寿命(使用寿命、首翻期)和非工作寿命(贮存寿命)。</w:t>
      </w:r>
    </w:p>
    <w:p w14:paraId="4B59BE96">
      <w:pPr>
        <w:spacing w:before="84" w:line="222" w:lineRule="auto"/>
        <w:rPr>
          <w:rFonts w:ascii="黑体" w:hAnsi="黑体" w:eastAsia="黑体" w:cs="黑体"/>
          <w:sz w:val="27"/>
          <w:szCs w:val="27"/>
        </w:rPr>
      </w:pPr>
      <w:r>
        <w:rPr>
          <w:rFonts w:ascii="黑体" w:hAnsi="黑体" w:eastAsia="黑体" w:cs="黑体"/>
          <w:sz w:val="27"/>
          <w:szCs w:val="27"/>
        </w:rPr>
        <w:t>5.2</w:t>
      </w:r>
      <w:r>
        <w:rPr>
          <w:rFonts w:ascii="黑体" w:hAnsi="黑体" w:eastAsia="黑体" w:cs="黑体"/>
          <w:spacing w:val="17"/>
          <w:sz w:val="27"/>
          <w:szCs w:val="27"/>
        </w:rPr>
        <w:t xml:space="preserve">  </w:t>
      </w:r>
      <w:r>
        <w:rPr>
          <w:rFonts w:ascii="黑体" w:hAnsi="黑体" w:eastAsia="黑体" w:cs="黑体"/>
          <w:b/>
          <w:bCs/>
          <w:sz w:val="27"/>
          <w:szCs w:val="27"/>
        </w:rPr>
        <w:t>载荷和环境应力</w:t>
      </w:r>
    </w:p>
    <w:p w14:paraId="26DDFF27">
      <w:pPr>
        <w:pStyle w:val="2"/>
        <w:spacing w:before="121" w:line="293" w:lineRule="auto"/>
        <w:ind w:right="115" w:firstLine="560"/>
        <w:rPr>
          <w:sz w:val="25"/>
          <w:szCs w:val="25"/>
        </w:rPr>
      </w:pPr>
      <w:r>
        <w:rPr>
          <w:spacing w:val="39"/>
          <w:sz w:val="25"/>
          <w:szCs w:val="25"/>
        </w:rPr>
        <w:t>根据产品的寿命剖面和任务剖面确定产品的载荷/环境应</w:t>
      </w:r>
      <w:r>
        <w:rPr>
          <w:spacing w:val="38"/>
          <w:sz w:val="25"/>
          <w:szCs w:val="25"/>
        </w:rPr>
        <w:t>力及其作用的</w:t>
      </w:r>
      <w:r>
        <w:rPr>
          <w:sz w:val="25"/>
          <w:szCs w:val="25"/>
        </w:rPr>
        <w:t xml:space="preserve"> </w:t>
      </w:r>
      <w:r>
        <w:rPr>
          <w:spacing w:val="11"/>
          <w:sz w:val="25"/>
          <w:szCs w:val="25"/>
        </w:rPr>
        <w:t>时间。</w:t>
      </w:r>
    </w:p>
    <w:p w14:paraId="60E6B2F6">
      <w:pPr>
        <w:spacing w:before="1" w:line="222" w:lineRule="auto"/>
        <w:rPr>
          <w:rFonts w:ascii="黑体" w:hAnsi="黑体" w:eastAsia="黑体" w:cs="黑体"/>
          <w:sz w:val="25"/>
          <w:szCs w:val="25"/>
        </w:rPr>
      </w:pPr>
      <w:r>
        <w:rPr>
          <w:rFonts w:ascii="黑体" w:hAnsi="黑体" w:eastAsia="黑体" w:cs="黑体"/>
          <w:spacing w:val="11"/>
          <w:sz w:val="25"/>
          <w:szCs w:val="25"/>
        </w:rPr>
        <w:t>5.3</w:t>
      </w:r>
      <w:r>
        <w:rPr>
          <w:rFonts w:ascii="黑体" w:hAnsi="黑体" w:eastAsia="黑体" w:cs="黑体"/>
          <w:spacing w:val="43"/>
          <w:sz w:val="25"/>
          <w:szCs w:val="25"/>
        </w:rPr>
        <w:t xml:space="preserve">  </w:t>
      </w:r>
      <w:r>
        <w:rPr>
          <w:rFonts w:ascii="黑体" w:hAnsi="黑体" w:eastAsia="黑体" w:cs="黑体"/>
          <w:b/>
          <w:bCs/>
          <w:spacing w:val="11"/>
          <w:sz w:val="25"/>
          <w:szCs w:val="25"/>
        </w:rPr>
        <w:t>特性识别</w:t>
      </w:r>
    </w:p>
    <w:p w14:paraId="17B73539">
      <w:pPr>
        <w:spacing w:before="89" w:line="222" w:lineRule="auto"/>
        <w:rPr>
          <w:rFonts w:ascii="黑体" w:hAnsi="黑体" w:eastAsia="黑体" w:cs="黑体"/>
          <w:sz w:val="27"/>
          <w:szCs w:val="27"/>
        </w:rPr>
      </w:pPr>
      <w:r>
        <w:rPr>
          <w:rFonts w:ascii="黑体" w:hAnsi="黑体" w:eastAsia="黑体" w:cs="黑体"/>
          <w:spacing w:val="-3"/>
          <w:sz w:val="27"/>
          <w:szCs w:val="27"/>
        </w:rPr>
        <w:t>5.3.1</w:t>
      </w:r>
      <w:r>
        <w:rPr>
          <w:rFonts w:ascii="黑体" w:hAnsi="黑体" w:eastAsia="黑体" w:cs="黑体"/>
          <w:spacing w:val="35"/>
          <w:sz w:val="27"/>
          <w:szCs w:val="27"/>
        </w:rPr>
        <w:t xml:space="preserve">  </w:t>
      </w:r>
      <w:r>
        <w:rPr>
          <w:rFonts w:ascii="黑体" w:hAnsi="黑体" w:eastAsia="黑体" w:cs="黑体"/>
          <w:b/>
          <w:bCs/>
          <w:spacing w:val="-3"/>
          <w:sz w:val="27"/>
          <w:szCs w:val="27"/>
        </w:rPr>
        <w:t>结构特性识别</w:t>
      </w:r>
    </w:p>
    <w:p w14:paraId="3A355A1B">
      <w:pPr>
        <w:pStyle w:val="2"/>
        <w:spacing w:before="101" w:line="219" w:lineRule="auto"/>
        <w:ind w:left="560"/>
      </w:pPr>
      <w:r>
        <w:rPr>
          <w:spacing w:val="-3"/>
        </w:rPr>
        <w:t>根据设计资料，识别产品的结构特性。</w:t>
      </w:r>
    </w:p>
    <w:p w14:paraId="3EA98FFD">
      <w:pPr>
        <w:spacing w:before="85" w:line="222" w:lineRule="auto"/>
        <w:rPr>
          <w:rFonts w:ascii="黑体" w:hAnsi="黑体" w:eastAsia="黑体" w:cs="黑体"/>
          <w:sz w:val="27"/>
          <w:szCs w:val="27"/>
        </w:rPr>
      </w:pPr>
      <w:r>
        <w:rPr>
          <w:rFonts w:ascii="黑体" w:hAnsi="黑体" w:eastAsia="黑体" w:cs="黑体"/>
          <w:spacing w:val="-2"/>
          <w:sz w:val="27"/>
          <w:szCs w:val="27"/>
        </w:rPr>
        <w:t>5.3.</w:t>
      </w:r>
      <w:r>
        <w:rPr>
          <w:rFonts w:ascii="黑体" w:hAnsi="黑体" w:eastAsia="黑体" w:cs="黑体"/>
          <w:b/>
          <w:bCs/>
          <w:spacing w:val="-2"/>
          <w:sz w:val="27"/>
          <w:szCs w:val="27"/>
        </w:rPr>
        <w:t>2</w:t>
      </w:r>
      <w:r>
        <w:rPr>
          <w:rFonts w:ascii="黑体" w:hAnsi="黑体" w:eastAsia="黑体" w:cs="黑体"/>
          <w:spacing w:val="28"/>
          <w:sz w:val="27"/>
          <w:szCs w:val="27"/>
        </w:rPr>
        <w:t xml:space="preserve">  </w:t>
      </w:r>
      <w:r>
        <w:rPr>
          <w:rFonts w:ascii="黑体" w:hAnsi="黑体" w:eastAsia="黑体" w:cs="黑体"/>
          <w:b/>
          <w:bCs/>
          <w:spacing w:val="-2"/>
          <w:sz w:val="27"/>
          <w:szCs w:val="27"/>
        </w:rPr>
        <w:t>材料特性识别</w:t>
      </w:r>
    </w:p>
    <w:p w14:paraId="0182970E">
      <w:pPr>
        <w:pStyle w:val="2"/>
        <w:spacing w:before="99" w:line="269" w:lineRule="auto"/>
        <w:ind w:right="121" w:firstLine="560"/>
      </w:pPr>
      <w:r>
        <w:rPr>
          <w:spacing w:val="-3"/>
        </w:rPr>
        <w:t>根据设计资料，识别产品的材料特性，通常采用手册中的一般材料特性；若</w:t>
      </w:r>
      <w:r>
        <w:rPr>
          <w:spacing w:val="11"/>
        </w:rPr>
        <w:t xml:space="preserve"> </w:t>
      </w:r>
      <w:r>
        <w:rPr>
          <w:spacing w:val="-3"/>
        </w:rPr>
        <w:t>考虑采用特殊材料，则需进行专门试验。</w:t>
      </w:r>
    </w:p>
    <w:p w14:paraId="76E07B31">
      <w:pPr>
        <w:spacing w:line="221" w:lineRule="auto"/>
        <w:rPr>
          <w:rFonts w:ascii="黑体" w:hAnsi="黑体" w:eastAsia="黑体" w:cs="黑体"/>
          <w:sz w:val="27"/>
          <w:szCs w:val="27"/>
        </w:rPr>
      </w:pPr>
      <w:r>
        <w:rPr>
          <w:rFonts w:ascii="黑体" w:hAnsi="黑体" w:eastAsia="黑体" w:cs="黑体"/>
          <w:spacing w:val="-1"/>
          <w:sz w:val="27"/>
          <w:szCs w:val="27"/>
        </w:rPr>
        <w:t>5.3.3</w:t>
      </w:r>
      <w:r>
        <w:rPr>
          <w:rFonts w:ascii="黑体" w:hAnsi="黑体" w:eastAsia="黑体" w:cs="黑体"/>
          <w:spacing w:val="24"/>
          <w:sz w:val="27"/>
          <w:szCs w:val="27"/>
        </w:rPr>
        <w:t xml:space="preserve">  </w:t>
      </w:r>
      <w:r>
        <w:rPr>
          <w:rFonts w:ascii="黑体" w:hAnsi="黑体" w:eastAsia="黑体" w:cs="黑体"/>
          <w:b/>
          <w:bCs/>
          <w:spacing w:val="-1"/>
          <w:sz w:val="27"/>
          <w:szCs w:val="27"/>
        </w:rPr>
        <w:t>工艺特性识别</w:t>
      </w:r>
    </w:p>
    <w:p w14:paraId="139EBFDA">
      <w:pPr>
        <w:pStyle w:val="2"/>
        <w:spacing w:before="102" w:line="219" w:lineRule="auto"/>
        <w:ind w:left="560"/>
      </w:pPr>
      <w:r>
        <w:rPr>
          <w:spacing w:val="-3"/>
        </w:rPr>
        <w:t>根据设计资料，识别产品的工艺特性。</w:t>
      </w:r>
    </w:p>
    <w:p w14:paraId="35679FD0">
      <w:pPr>
        <w:spacing w:before="84" w:line="222" w:lineRule="auto"/>
        <w:rPr>
          <w:rFonts w:ascii="黑体" w:hAnsi="黑体" w:eastAsia="黑体" w:cs="黑体"/>
          <w:sz w:val="27"/>
          <w:szCs w:val="27"/>
        </w:rPr>
      </w:pPr>
      <w:r>
        <w:rPr>
          <w:rFonts w:ascii="黑体" w:hAnsi="黑体" w:eastAsia="黑体" w:cs="黑体"/>
          <w:spacing w:val="-2"/>
          <w:sz w:val="27"/>
          <w:szCs w:val="27"/>
        </w:rPr>
        <w:t>5.3.</w:t>
      </w:r>
      <w:r>
        <w:rPr>
          <w:rFonts w:ascii="黑体" w:hAnsi="黑体" w:eastAsia="黑体" w:cs="黑体"/>
          <w:b/>
          <w:bCs/>
          <w:spacing w:val="-2"/>
          <w:sz w:val="27"/>
          <w:szCs w:val="27"/>
        </w:rPr>
        <w:t>4</w:t>
      </w:r>
      <w:r>
        <w:rPr>
          <w:rFonts w:ascii="黑体" w:hAnsi="黑体" w:eastAsia="黑体" w:cs="黑体"/>
          <w:spacing w:val="28"/>
          <w:sz w:val="27"/>
          <w:szCs w:val="27"/>
        </w:rPr>
        <w:t xml:space="preserve">  </w:t>
      </w:r>
      <w:r>
        <w:rPr>
          <w:rFonts w:ascii="黑体" w:hAnsi="黑体" w:eastAsia="黑体" w:cs="黑体"/>
          <w:b/>
          <w:bCs/>
          <w:spacing w:val="-2"/>
          <w:sz w:val="27"/>
          <w:szCs w:val="27"/>
        </w:rPr>
        <w:t>强度特性识别</w:t>
      </w:r>
    </w:p>
    <w:p w14:paraId="31304654">
      <w:pPr>
        <w:pStyle w:val="2"/>
        <w:spacing w:before="101" w:line="219" w:lineRule="auto"/>
        <w:ind w:left="560"/>
      </w:pPr>
      <w:r>
        <w:rPr>
          <w:spacing w:val="-3"/>
        </w:rPr>
        <w:t>根据设计资料，识别产品的强度特性。</w:t>
      </w:r>
    </w:p>
    <w:p w14:paraId="179145D4">
      <w:pPr>
        <w:spacing w:before="83" w:line="221" w:lineRule="auto"/>
        <w:rPr>
          <w:rFonts w:ascii="黑体" w:hAnsi="黑体" w:eastAsia="黑体" w:cs="黑体"/>
          <w:sz w:val="27"/>
          <w:szCs w:val="27"/>
        </w:rPr>
      </w:pPr>
      <w:r>
        <w:rPr>
          <w:rFonts w:ascii="黑体" w:hAnsi="黑体" w:eastAsia="黑体" w:cs="黑体"/>
          <w:spacing w:val="2"/>
          <w:sz w:val="27"/>
          <w:szCs w:val="27"/>
        </w:rPr>
        <w:t xml:space="preserve">5.4  </w:t>
      </w:r>
      <w:r>
        <w:rPr>
          <w:rFonts w:ascii="黑体" w:hAnsi="黑体" w:eastAsia="黑体" w:cs="黑体"/>
          <w:b/>
          <w:bCs/>
          <w:spacing w:val="2"/>
          <w:sz w:val="27"/>
          <w:szCs w:val="27"/>
        </w:rPr>
        <w:t>可能发生耗损故障的故障部位和故障机理</w:t>
      </w:r>
    </w:p>
    <w:p w14:paraId="1AF396FB">
      <w:pPr>
        <w:pStyle w:val="2"/>
        <w:spacing w:before="72" w:line="274" w:lineRule="auto"/>
        <w:ind w:right="112" w:firstLine="560"/>
        <w:jc w:val="both"/>
      </w:pPr>
      <w:r>
        <w:rPr>
          <w:spacing w:val="-2"/>
        </w:rPr>
        <w:t>根据工作经验和故障模式、机理及影响分析(</w:t>
      </w:r>
      <w:r>
        <w:rPr>
          <w:rFonts w:ascii="Times New Roman" w:hAnsi="Times New Roman" w:eastAsia="Times New Roman" w:cs="Times New Roman"/>
          <w:spacing w:val="-2"/>
        </w:rPr>
        <w:t>FMM</w:t>
      </w:r>
      <w:r>
        <w:rPr>
          <w:rFonts w:ascii="Times New Roman" w:hAnsi="Times New Roman" w:eastAsia="Times New Roman" w:cs="Times New Roman"/>
          <w:spacing w:val="-3"/>
        </w:rPr>
        <w:t xml:space="preserve">EA)  </w:t>
      </w:r>
      <w:r>
        <w:rPr>
          <w:spacing w:val="-3"/>
        </w:rPr>
        <w:t>结果，对产品的可能</w:t>
      </w:r>
      <w:r>
        <w:t xml:space="preserve"> </w:t>
      </w:r>
      <w:r>
        <w:rPr>
          <w:spacing w:val="2"/>
        </w:rPr>
        <w:t>故障部位进行分析，确定其中的耗损故障部位及其耗损特征(疲劳、腐蚀、磨损</w:t>
      </w:r>
      <w:r>
        <w:rPr>
          <w:spacing w:val="5"/>
        </w:rPr>
        <w:t xml:space="preserve"> </w:t>
      </w:r>
      <w:r>
        <w:rPr>
          <w:spacing w:val="1"/>
        </w:rPr>
        <w:t>等),分析故障机理。</w:t>
      </w:r>
    </w:p>
    <w:p w14:paraId="4BADB204">
      <w:pPr>
        <w:spacing w:before="13" w:line="222" w:lineRule="auto"/>
        <w:outlineLvl w:val="3"/>
        <w:rPr>
          <w:rFonts w:ascii="黑体" w:hAnsi="黑体" w:eastAsia="黑体" w:cs="黑体"/>
          <w:sz w:val="27"/>
          <w:szCs w:val="27"/>
        </w:rPr>
      </w:pPr>
      <w:r>
        <w:rPr>
          <w:rFonts w:ascii="Arial" w:hAnsi="Arial" w:eastAsia="Arial" w:cs="Arial"/>
          <w:b/>
          <w:bCs/>
          <w:spacing w:val="1"/>
          <w:sz w:val="27"/>
          <w:szCs w:val="27"/>
        </w:rPr>
        <w:t>5.5</w:t>
      </w:r>
      <w:r>
        <w:rPr>
          <w:rFonts w:ascii="Arial" w:hAnsi="Arial" w:eastAsia="Arial" w:cs="Arial"/>
          <w:b/>
          <w:bCs/>
          <w:spacing w:val="12"/>
          <w:sz w:val="27"/>
          <w:szCs w:val="27"/>
        </w:rPr>
        <w:t xml:space="preserve">    </w:t>
      </w:r>
      <w:r>
        <w:rPr>
          <w:rFonts w:ascii="黑体" w:hAnsi="黑体" w:eastAsia="黑体" w:cs="黑体"/>
          <w:b/>
          <w:bCs/>
          <w:spacing w:val="1"/>
          <w:sz w:val="27"/>
          <w:szCs w:val="27"/>
        </w:rPr>
        <w:t>预期时间内的故障判据</w:t>
      </w:r>
    </w:p>
    <w:p w14:paraId="15BE9F8B">
      <w:pPr>
        <w:pStyle w:val="2"/>
        <w:spacing w:before="111" w:line="219" w:lineRule="auto"/>
        <w:ind w:left="560"/>
      </w:pPr>
      <w:r>
        <w:rPr>
          <w:spacing w:val="2"/>
        </w:rPr>
        <w:t>明确预期时间内的故障判据。</w:t>
      </w:r>
    </w:p>
    <w:p w14:paraId="4C7C2622">
      <w:pPr>
        <w:spacing w:before="74" w:line="222" w:lineRule="auto"/>
        <w:rPr>
          <w:rFonts w:ascii="黑体" w:hAnsi="黑体" w:eastAsia="黑体" w:cs="黑体"/>
          <w:sz w:val="27"/>
          <w:szCs w:val="27"/>
        </w:rPr>
      </w:pPr>
      <w:r>
        <w:rPr>
          <w:rFonts w:ascii="黑体" w:hAnsi="黑体" w:eastAsia="黑体" w:cs="黑体"/>
          <w:spacing w:val="-4"/>
          <w:sz w:val="27"/>
          <w:szCs w:val="27"/>
        </w:rPr>
        <w:t>5.6</w:t>
      </w:r>
      <w:r>
        <w:rPr>
          <w:rFonts w:ascii="黑体" w:hAnsi="黑体" w:eastAsia="黑体" w:cs="黑体"/>
          <w:spacing w:val="19"/>
          <w:sz w:val="27"/>
          <w:szCs w:val="27"/>
        </w:rPr>
        <w:t xml:space="preserve">  </w:t>
      </w:r>
      <w:r>
        <w:rPr>
          <w:rFonts w:ascii="黑体" w:hAnsi="黑体" w:eastAsia="黑体" w:cs="黑体"/>
          <w:b/>
          <w:bCs/>
          <w:spacing w:val="-4"/>
          <w:sz w:val="27"/>
          <w:szCs w:val="27"/>
        </w:rPr>
        <w:t>寿命计算</w:t>
      </w:r>
    </w:p>
    <w:p w14:paraId="0450910C">
      <w:pPr>
        <w:pStyle w:val="2"/>
        <w:spacing w:before="111" w:line="219" w:lineRule="auto"/>
        <w:ind w:left="560"/>
      </w:pPr>
      <w:r>
        <w:rPr>
          <w:spacing w:val="6"/>
        </w:rPr>
        <w:t>根据选择的耐久性设计与分析方法对产品的</w:t>
      </w:r>
      <w:r>
        <w:rPr>
          <w:spacing w:val="5"/>
        </w:rPr>
        <w:t>耐久性关键件和非耐久性关键</w:t>
      </w:r>
    </w:p>
    <w:p w14:paraId="3C6C49B2">
      <w:pPr>
        <w:spacing w:line="219" w:lineRule="auto"/>
        <w:sectPr>
          <w:footerReference r:id="rId383" w:type="default"/>
          <w:pgSz w:w="11910" w:h="17130"/>
          <w:pgMar w:top="1380" w:right="935" w:bottom="1770" w:left="1470" w:header="0" w:footer="1484" w:gutter="0"/>
          <w:cols w:space="720" w:num="1"/>
        </w:sectPr>
      </w:pPr>
    </w:p>
    <w:p w14:paraId="37B5B657">
      <w:pPr>
        <w:pStyle w:val="2"/>
        <w:spacing w:before="54" w:line="219" w:lineRule="auto"/>
      </w:pPr>
      <w:r>
        <w:rPr>
          <w:spacing w:val="-4"/>
        </w:rPr>
        <w:t>件进行耐久性分析，得到当前设计方案下的产品寿命(使用寿命、贮存寿命)。</w:t>
      </w:r>
    </w:p>
    <w:p w14:paraId="46305769">
      <w:pPr>
        <w:pStyle w:val="2"/>
        <w:spacing w:before="87" w:line="276" w:lineRule="auto"/>
        <w:ind w:firstLine="550"/>
      </w:pPr>
      <w:r>
        <w:rPr>
          <w:spacing w:val="5"/>
        </w:rPr>
        <w:t>耐久性关键件和非耐久性关键件的选取可以根据下述原则进行综合分析与</w:t>
      </w:r>
      <w:r>
        <w:rPr>
          <w:spacing w:val="11"/>
        </w:rPr>
        <w:t xml:space="preserve"> </w:t>
      </w:r>
      <w:r>
        <w:rPr>
          <w:spacing w:val="-6"/>
        </w:rPr>
        <w:t>判断：</w:t>
      </w:r>
    </w:p>
    <w:p w14:paraId="5D195CB4">
      <w:pPr>
        <w:pStyle w:val="2"/>
        <w:spacing w:before="24" w:line="219" w:lineRule="auto"/>
        <w:ind w:left="550"/>
      </w:pPr>
      <w:r>
        <w:rPr>
          <w:rFonts w:ascii="Times New Roman" w:hAnsi="Times New Roman" w:eastAsia="Times New Roman" w:cs="Times New Roman"/>
          <w:spacing w:val="8"/>
        </w:rPr>
        <w:t>a</w:t>
      </w:r>
      <w:r>
        <w:rPr>
          <w:spacing w:val="8"/>
        </w:rPr>
        <w:t>)应力水平的高低与受力情况；</w:t>
      </w:r>
    </w:p>
    <w:p w14:paraId="6AD0F2D6">
      <w:pPr>
        <w:pStyle w:val="2"/>
        <w:spacing w:before="49" w:line="212" w:lineRule="auto"/>
        <w:ind w:left="550"/>
      </w:pPr>
      <w:r>
        <w:rPr>
          <w:rFonts w:ascii="Times New Roman" w:hAnsi="Times New Roman" w:eastAsia="Times New Roman" w:cs="Times New Roman"/>
          <w:spacing w:val="2"/>
        </w:rPr>
        <w:t>b)</w:t>
      </w:r>
      <w:r>
        <w:rPr>
          <w:rFonts w:ascii="Times New Roman" w:hAnsi="Times New Roman" w:eastAsia="Times New Roman" w:cs="Times New Roman"/>
          <w:spacing w:val="59"/>
        </w:rPr>
        <w:t xml:space="preserve"> </w:t>
      </w:r>
      <w:r>
        <w:rPr>
          <w:spacing w:val="2"/>
        </w:rPr>
        <w:t>应力集中严重程度；</w:t>
      </w:r>
    </w:p>
    <w:p w14:paraId="4BDBA8B8">
      <w:pPr>
        <w:pStyle w:val="2"/>
        <w:spacing w:before="169" w:line="219" w:lineRule="auto"/>
        <w:ind w:left="550"/>
        <w:rPr>
          <w:sz w:val="24"/>
          <w:szCs w:val="24"/>
        </w:rPr>
      </w:pPr>
      <w:r>
        <w:rPr>
          <w:rFonts w:ascii="Times New Roman" w:hAnsi="Times New Roman" w:eastAsia="Times New Roman" w:cs="Times New Roman"/>
          <w:spacing w:val="26"/>
          <w:sz w:val="24"/>
          <w:szCs w:val="24"/>
        </w:rPr>
        <w:t>c</w:t>
      </w:r>
      <w:r>
        <w:rPr>
          <w:rFonts w:ascii="Times New Roman" w:hAnsi="Times New Roman" w:eastAsia="Times New Roman" w:cs="Times New Roman"/>
          <w:spacing w:val="-23"/>
          <w:sz w:val="24"/>
          <w:szCs w:val="24"/>
        </w:rPr>
        <w:t xml:space="preserve"> </w:t>
      </w:r>
      <w:r>
        <w:rPr>
          <w:spacing w:val="26"/>
          <w:sz w:val="24"/>
          <w:szCs w:val="24"/>
        </w:rPr>
        <w:t>)</w:t>
      </w:r>
      <w:r>
        <w:rPr>
          <w:spacing w:val="-29"/>
          <w:sz w:val="24"/>
          <w:szCs w:val="24"/>
        </w:rPr>
        <w:t xml:space="preserve"> </w:t>
      </w:r>
      <w:r>
        <w:rPr>
          <w:spacing w:val="26"/>
          <w:sz w:val="24"/>
          <w:szCs w:val="24"/>
        </w:rPr>
        <w:t>影响结构安全使用的程度；</w:t>
      </w:r>
    </w:p>
    <w:p w14:paraId="24886F5F">
      <w:pPr>
        <w:pStyle w:val="2"/>
        <w:spacing w:before="76" w:line="212" w:lineRule="auto"/>
        <w:ind w:left="550"/>
      </w:pPr>
      <w:r>
        <w:rPr>
          <w:rFonts w:ascii="Times New Roman" w:hAnsi="Times New Roman" w:eastAsia="Times New Roman" w:cs="Times New Roman"/>
        </w:rPr>
        <w:t>d)</w:t>
      </w:r>
      <w:r>
        <w:rPr>
          <w:rFonts w:ascii="Times New Roman" w:hAnsi="Times New Roman" w:eastAsia="Times New Roman" w:cs="Times New Roman"/>
          <w:spacing w:val="-9"/>
        </w:rPr>
        <w:t xml:space="preserve"> </w:t>
      </w:r>
      <w:r>
        <w:t>修理和更换费用；</w:t>
      </w:r>
    </w:p>
    <w:p w14:paraId="1F32B66B">
      <w:pPr>
        <w:pStyle w:val="2"/>
        <w:spacing w:before="110" w:line="212" w:lineRule="auto"/>
        <w:ind w:left="550"/>
      </w:pPr>
      <w:r>
        <w:rPr>
          <w:rFonts w:ascii="Times New Roman" w:hAnsi="Times New Roman" w:eastAsia="Times New Roman" w:cs="Times New Roman"/>
          <w:spacing w:val="-5"/>
        </w:rPr>
        <w:t>e)</w:t>
      </w:r>
      <w:r>
        <w:rPr>
          <w:rFonts w:ascii="Times New Roman" w:hAnsi="Times New Roman" w:eastAsia="Times New Roman" w:cs="Times New Roman"/>
          <w:spacing w:val="67"/>
        </w:rPr>
        <w:t xml:space="preserve"> </w:t>
      </w:r>
      <w:r>
        <w:rPr>
          <w:spacing w:val="-5"/>
        </w:rPr>
        <w:t>材料的疲劳、断裂性能及抗腐蚀能力；</w:t>
      </w:r>
    </w:p>
    <w:p w14:paraId="250D9B09">
      <w:pPr>
        <w:pStyle w:val="2"/>
        <w:spacing w:before="110" w:line="212" w:lineRule="auto"/>
        <w:ind w:left="550"/>
      </w:pPr>
      <w:r>
        <w:rPr>
          <w:rFonts w:ascii="Times New Roman" w:hAnsi="Times New Roman" w:eastAsia="Times New Roman" w:cs="Times New Roman"/>
          <w:spacing w:val="4"/>
        </w:rPr>
        <w:t>f)</w:t>
      </w:r>
      <w:r>
        <w:rPr>
          <w:rFonts w:ascii="Times New Roman" w:hAnsi="Times New Roman" w:eastAsia="Times New Roman" w:cs="Times New Roman"/>
          <w:spacing w:val="55"/>
          <w:w w:val="101"/>
        </w:rPr>
        <w:t xml:space="preserve"> </w:t>
      </w:r>
      <w:r>
        <w:rPr>
          <w:spacing w:val="4"/>
        </w:rPr>
        <w:t>在载荷/环境谱作用下疲劳裂纹扩展速率的高低；</w:t>
      </w:r>
    </w:p>
    <w:p w14:paraId="31444DC2">
      <w:pPr>
        <w:pStyle w:val="2"/>
        <w:spacing w:before="119" w:line="212" w:lineRule="auto"/>
        <w:ind w:left="550"/>
      </w:pPr>
      <w:r>
        <w:rPr>
          <w:rFonts w:ascii="Times New Roman" w:hAnsi="Times New Roman" w:eastAsia="Times New Roman" w:cs="Times New Roman"/>
          <w:spacing w:val="4"/>
        </w:rPr>
        <w:t>g)</w:t>
      </w:r>
      <w:r>
        <w:rPr>
          <w:rFonts w:ascii="Times New Roman" w:hAnsi="Times New Roman" w:eastAsia="Times New Roman" w:cs="Times New Roman"/>
          <w:spacing w:val="67"/>
          <w:w w:val="101"/>
        </w:rPr>
        <w:t xml:space="preserve"> </w:t>
      </w:r>
      <w:r>
        <w:rPr>
          <w:spacing w:val="4"/>
        </w:rPr>
        <w:t>借鉴以往同类产品(结构)的耐久性试验结果以及维修情况记录；</w:t>
      </w:r>
    </w:p>
    <w:p w14:paraId="21F0C595">
      <w:pPr>
        <w:pStyle w:val="2"/>
        <w:spacing w:before="113" w:line="212" w:lineRule="auto"/>
        <w:ind w:left="550"/>
        <w:rPr>
          <w:sz w:val="24"/>
          <w:szCs w:val="24"/>
        </w:rPr>
      </w:pPr>
      <w:r>
        <w:rPr>
          <w:rFonts w:ascii="Times New Roman" w:hAnsi="Times New Roman" w:eastAsia="Times New Roman" w:cs="Times New Roman"/>
          <w:spacing w:val="26"/>
          <w:sz w:val="24"/>
          <w:szCs w:val="24"/>
        </w:rPr>
        <w:t xml:space="preserve">h)  </w:t>
      </w:r>
      <w:r>
        <w:rPr>
          <w:spacing w:val="26"/>
          <w:sz w:val="24"/>
          <w:szCs w:val="24"/>
        </w:rPr>
        <w:t>损伤结构的剩余强度水平；</w:t>
      </w:r>
    </w:p>
    <w:p w14:paraId="2EB7950B">
      <w:pPr>
        <w:pStyle w:val="2"/>
        <w:spacing w:before="144" w:line="212" w:lineRule="auto"/>
        <w:ind w:left="550"/>
        <w:rPr>
          <w:sz w:val="24"/>
          <w:szCs w:val="24"/>
        </w:rPr>
      </w:pPr>
      <w:r>
        <w:rPr>
          <w:rFonts w:ascii="Times New Roman" w:hAnsi="Times New Roman" w:eastAsia="Times New Roman" w:cs="Times New Roman"/>
          <w:spacing w:val="26"/>
          <w:sz w:val="24"/>
          <w:szCs w:val="24"/>
        </w:rPr>
        <w:t xml:space="preserve">i)  </w:t>
      </w:r>
      <w:r>
        <w:rPr>
          <w:spacing w:val="26"/>
          <w:sz w:val="24"/>
          <w:szCs w:val="24"/>
        </w:rPr>
        <w:t>损伤对结构功能影响的程度。</w:t>
      </w:r>
    </w:p>
    <w:p w14:paraId="605F56EE">
      <w:pPr>
        <w:spacing w:before="139" w:line="222"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9"/>
          <w:sz w:val="27"/>
          <w:szCs w:val="27"/>
        </w:rPr>
        <w:t xml:space="preserve">  </w:t>
      </w:r>
      <w:r>
        <w:rPr>
          <w:rFonts w:ascii="黑体" w:hAnsi="黑体" w:eastAsia="黑体" w:cs="黑体"/>
          <w:b/>
          <w:bCs/>
          <w:spacing w:val="-2"/>
          <w:sz w:val="27"/>
          <w:szCs w:val="27"/>
        </w:rPr>
        <w:t>分析结论</w:t>
      </w:r>
    </w:p>
    <w:p w14:paraId="12332D1E">
      <w:pPr>
        <w:pStyle w:val="2"/>
        <w:spacing w:before="99" w:line="219" w:lineRule="auto"/>
        <w:ind w:left="550"/>
      </w:pPr>
      <w:r>
        <w:rPr>
          <w:spacing w:val="-2"/>
        </w:rPr>
        <w:t>给出分析结论，识别出与过早出现耗损故障有关的设计问题。</w:t>
      </w:r>
    </w:p>
    <w:p w14:paraId="4D56698D">
      <w:pPr>
        <w:spacing w:before="114" w:line="222"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16"/>
          <w:sz w:val="27"/>
          <w:szCs w:val="27"/>
        </w:rPr>
        <w:t xml:space="preserve">   </w:t>
      </w:r>
      <w:r>
        <w:rPr>
          <w:rFonts w:ascii="黑体" w:hAnsi="黑体" w:eastAsia="黑体" w:cs="黑体"/>
          <w:b/>
          <w:bCs/>
          <w:spacing w:val="1"/>
          <w:sz w:val="27"/>
          <w:szCs w:val="27"/>
        </w:rPr>
        <w:t>设计改进措施建议</w:t>
      </w:r>
    </w:p>
    <w:p w14:paraId="07BF980D">
      <w:pPr>
        <w:pStyle w:val="2"/>
        <w:spacing w:before="111" w:line="219" w:lineRule="auto"/>
        <w:ind w:left="550"/>
      </w:pPr>
      <w:r>
        <w:rPr>
          <w:spacing w:val="-4"/>
        </w:rPr>
        <w:t>根据分析结论，提出设计改进措施和建议。</w:t>
      </w:r>
    </w:p>
    <w:p w14:paraId="330D548C">
      <w:pPr>
        <w:spacing w:line="369" w:lineRule="auto"/>
        <w:rPr>
          <w:rFonts w:ascii="Arial"/>
          <w:sz w:val="21"/>
        </w:rPr>
      </w:pPr>
    </w:p>
    <w:p w14:paraId="4BCB7849">
      <w:pPr>
        <w:pStyle w:val="2"/>
        <w:spacing w:before="117" w:line="219" w:lineRule="auto"/>
        <w:ind w:left="3050"/>
        <w:outlineLvl w:val="1"/>
        <w:rPr>
          <w:sz w:val="36"/>
          <w:szCs w:val="36"/>
        </w:rPr>
      </w:pPr>
      <w:r>
        <w:rPr>
          <w:rFonts w:ascii="Times New Roman" w:hAnsi="Times New Roman" w:eastAsia="Times New Roman" w:cs="Times New Roman"/>
          <w:b/>
          <w:bCs/>
          <w:spacing w:val="1"/>
          <w:sz w:val="36"/>
          <w:szCs w:val="36"/>
        </w:rPr>
        <w:t xml:space="preserve">7.18     </w:t>
      </w:r>
      <w:r>
        <w:rPr>
          <w:b/>
          <w:bCs/>
          <w:spacing w:val="1"/>
          <w:sz w:val="36"/>
          <w:szCs w:val="36"/>
        </w:rPr>
        <w:t>环境应力筛选</w:t>
      </w:r>
    </w:p>
    <w:p w14:paraId="6AFA1742">
      <w:pPr>
        <w:spacing w:line="334" w:lineRule="auto"/>
        <w:rPr>
          <w:rFonts w:ascii="Arial"/>
          <w:sz w:val="21"/>
        </w:rPr>
      </w:pPr>
    </w:p>
    <w:p w14:paraId="172EEBF5">
      <w:pPr>
        <w:pStyle w:val="2"/>
        <w:spacing w:before="92" w:line="223" w:lineRule="auto"/>
        <w:ind w:left="55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68E32EB4">
      <w:pPr>
        <w:spacing w:before="8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7"/>
          <w:sz w:val="27"/>
          <w:szCs w:val="27"/>
        </w:rPr>
        <w:t xml:space="preserve">  </w:t>
      </w:r>
      <w:r>
        <w:rPr>
          <w:rFonts w:ascii="黑体" w:hAnsi="黑体" w:eastAsia="黑体" w:cs="黑体"/>
          <w:b/>
          <w:bCs/>
          <w:spacing w:val="-8"/>
          <w:sz w:val="27"/>
          <w:szCs w:val="27"/>
        </w:rPr>
        <w:t>范围</w:t>
      </w:r>
    </w:p>
    <w:p w14:paraId="41CF235A">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引用文件</w:t>
      </w:r>
    </w:p>
    <w:p w14:paraId="3D81C3CC">
      <w:pPr>
        <w:spacing w:before="135" w:line="221" w:lineRule="auto"/>
        <w:rPr>
          <w:rFonts w:ascii="黑体" w:hAnsi="黑体" w:eastAsia="黑体" w:cs="黑体"/>
          <w:sz w:val="25"/>
          <w:szCs w:val="25"/>
        </w:rPr>
      </w:pPr>
      <w:r>
        <w:rPr>
          <w:rFonts w:ascii="黑体" w:hAnsi="黑体" w:eastAsia="黑体" w:cs="黑体"/>
          <w:spacing w:val="17"/>
          <w:sz w:val="25"/>
          <w:szCs w:val="25"/>
        </w:rPr>
        <w:t>3</w:t>
      </w:r>
      <w:r>
        <w:rPr>
          <w:rFonts w:ascii="黑体" w:hAnsi="黑体" w:eastAsia="黑体" w:cs="黑体"/>
          <w:spacing w:val="26"/>
          <w:sz w:val="25"/>
          <w:szCs w:val="25"/>
        </w:rPr>
        <w:t xml:space="preserve">  </w:t>
      </w:r>
      <w:r>
        <w:rPr>
          <w:rFonts w:ascii="黑体" w:hAnsi="黑体" w:eastAsia="黑体" w:cs="黑体"/>
          <w:b/>
          <w:bCs/>
          <w:spacing w:val="17"/>
          <w:sz w:val="25"/>
          <w:szCs w:val="25"/>
        </w:rPr>
        <w:t>受筛产品说明及清单</w:t>
      </w:r>
    </w:p>
    <w:p w14:paraId="1FA74098">
      <w:pPr>
        <w:pStyle w:val="2"/>
        <w:spacing w:before="126" w:line="219" w:lineRule="auto"/>
        <w:ind w:left="550"/>
        <w:rPr>
          <w:sz w:val="25"/>
          <w:szCs w:val="25"/>
        </w:rPr>
      </w:pPr>
      <w:r>
        <w:rPr>
          <w:spacing w:val="16"/>
          <w:sz w:val="25"/>
          <w:szCs w:val="25"/>
        </w:rPr>
        <w:t>说明受筛产品的技术状态，列出受筛产品清单。</w:t>
      </w:r>
    </w:p>
    <w:p w14:paraId="0371C64B">
      <w:pPr>
        <w:spacing w:before="109" w:line="222" w:lineRule="auto"/>
        <w:rPr>
          <w:rFonts w:ascii="黑体" w:hAnsi="黑体" w:eastAsia="黑体" w:cs="黑体"/>
          <w:sz w:val="27"/>
          <w:szCs w:val="27"/>
        </w:rPr>
      </w:pPr>
      <w:r>
        <w:rPr>
          <w:rFonts w:ascii="黑体" w:hAnsi="黑体" w:eastAsia="黑体" w:cs="黑体"/>
          <w:spacing w:val="3"/>
          <w:sz w:val="27"/>
          <w:szCs w:val="27"/>
        </w:rPr>
        <w:t xml:space="preserve">4  </w:t>
      </w:r>
      <w:r>
        <w:rPr>
          <w:rFonts w:ascii="黑体" w:hAnsi="黑体" w:eastAsia="黑体" w:cs="黑体"/>
          <w:b/>
          <w:bCs/>
          <w:spacing w:val="3"/>
          <w:sz w:val="27"/>
          <w:szCs w:val="27"/>
        </w:rPr>
        <w:t>筛选设备要求</w:t>
      </w:r>
    </w:p>
    <w:p w14:paraId="58899EF7">
      <w:pPr>
        <w:pStyle w:val="2"/>
        <w:spacing w:before="129" w:line="282" w:lineRule="auto"/>
        <w:ind w:right="8" w:firstLine="550"/>
        <w:jc w:val="both"/>
      </w:pPr>
      <w:r>
        <w:rPr>
          <w:spacing w:val="-3"/>
        </w:rPr>
        <w:t>说明对筛选设备的要求，如对进行温度循环的试验</w:t>
      </w:r>
      <w:r>
        <w:rPr>
          <w:spacing w:val="-4"/>
        </w:rPr>
        <w:t>箱在安装、热源位置、控</w:t>
      </w:r>
      <w:r>
        <w:t xml:space="preserve"> </w:t>
      </w:r>
      <w:r>
        <w:rPr>
          <w:spacing w:val="5"/>
        </w:rPr>
        <w:t>制箱温的装置、提供循环气流的装备等方面应满足的要求，振动激励装备的要</w:t>
      </w:r>
      <w:r>
        <w:rPr>
          <w:spacing w:val="2"/>
        </w:rPr>
        <w:t xml:space="preserve"> </w:t>
      </w:r>
      <w:r>
        <w:rPr>
          <w:spacing w:val="-6"/>
        </w:rPr>
        <w:t>求等。</w:t>
      </w:r>
    </w:p>
    <w:p w14:paraId="54611346">
      <w:pPr>
        <w:spacing w:before="38" w:line="221" w:lineRule="auto"/>
        <w:outlineLvl w:val="3"/>
        <w:rPr>
          <w:rFonts w:ascii="黑体" w:hAnsi="黑体" w:eastAsia="黑体" w:cs="黑体"/>
          <w:sz w:val="24"/>
          <w:szCs w:val="24"/>
        </w:rPr>
      </w:pPr>
      <w:r>
        <w:rPr>
          <w:rFonts w:ascii="Arial" w:hAnsi="Arial" w:eastAsia="Arial" w:cs="Arial"/>
          <w:b/>
          <w:bCs/>
          <w:spacing w:val="29"/>
          <w:sz w:val="24"/>
          <w:szCs w:val="24"/>
        </w:rPr>
        <w:t>5</w:t>
      </w:r>
      <w:r>
        <w:rPr>
          <w:rFonts w:ascii="Arial" w:hAnsi="Arial" w:eastAsia="Arial" w:cs="Arial"/>
          <w:b/>
          <w:bCs/>
          <w:spacing w:val="7"/>
          <w:sz w:val="24"/>
          <w:szCs w:val="24"/>
        </w:rPr>
        <w:t xml:space="preserve">    </w:t>
      </w:r>
      <w:r>
        <w:rPr>
          <w:rFonts w:ascii="黑体" w:hAnsi="黑体" w:eastAsia="黑体" w:cs="黑体"/>
          <w:b/>
          <w:bCs/>
          <w:spacing w:val="29"/>
          <w:sz w:val="24"/>
          <w:szCs w:val="24"/>
        </w:rPr>
        <w:t>检测仪器仪表及其精度说明</w:t>
      </w:r>
    </w:p>
    <w:p w14:paraId="4A28B83E">
      <w:pPr>
        <w:pStyle w:val="2"/>
        <w:spacing w:before="126" w:line="282" w:lineRule="auto"/>
        <w:ind w:right="4" w:firstLine="550"/>
        <w:jc w:val="both"/>
      </w:pPr>
      <w:r>
        <w:rPr>
          <w:spacing w:val="5"/>
        </w:rPr>
        <w:t>说明检测仪器仪表及其精度。进行筛选所用检测仪器仪表应能满足对受筛</w:t>
      </w:r>
      <w:r>
        <w:rPr>
          <w:spacing w:val="2"/>
        </w:rPr>
        <w:t xml:space="preserve"> </w:t>
      </w:r>
      <w:r>
        <w:rPr>
          <w:spacing w:val="5"/>
        </w:rPr>
        <w:t>产品的功能和性能检测要求，应能提供全部环境应力条件的连续监测。其精度</w:t>
      </w:r>
      <w:r>
        <w:rPr>
          <w:spacing w:val="4"/>
        </w:rPr>
        <w:t xml:space="preserve"> </w:t>
      </w:r>
      <w:r>
        <w:rPr>
          <w:spacing w:val="5"/>
        </w:rPr>
        <w:t>至少不大于被测参数允差的1/3,所有检测仪表应有计量合格证明，并</w:t>
      </w:r>
      <w:r>
        <w:rPr>
          <w:spacing w:val="4"/>
        </w:rPr>
        <w:t>在有效期</w:t>
      </w:r>
      <w:r>
        <w:t xml:space="preserve"> </w:t>
      </w:r>
      <w:r>
        <w:rPr>
          <w:spacing w:val="-3"/>
        </w:rPr>
        <w:t>范围之内。</w:t>
      </w:r>
    </w:p>
    <w:p w14:paraId="22EC8F21">
      <w:pPr>
        <w:spacing w:line="282" w:lineRule="auto"/>
        <w:sectPr>
          <w:footerReference r:id="rId384" w:type="default"/>
          <w:pgSz w:w="11910" w:h="17130"/>
          <w:pgMar w:top="1426" w:right="1437" w:bottom="1716" w:left="1110" w:header="0" w:footer="1527" w:gutter="0"/>
          <w:cols w:space="720" w:num="1"/>
        </w:sectPr>
      </w:pPr>
    </w:p>
    <w:p w14:paraId="33FD6F6C">
      <w:pPr>
        <w:spacing w:before="152" w:line="221" w:lineRule="auto"/>
        <w:rPr>
          <w:rFonts w:ascii="黑体" w:hAnsi="黑体" w:eastAsia="黑体" w:cs="黑体"/>
          <w:sz w:val="25"/>
          <w:szCs w:val="25"/>
        </w:rPr>
      </w:pPr>
      <w:r>
        <w:rPr>
          <w:rFonts w:ascii="黑体" w:hAnsi="黑体" w:eastAsia="黑体" w:cs="黑体"/>
          <w:spacing w:val="18"/>
          <w:sz w:val="25"/>
          <w:szCs w:val="25"/>
        </w:rPr>
        <w:t>6</w:t>
      </w:r>
      <w:r>
        <w:rPr>
          <w:rFonts w:ascii="黑体" w:hAnsi="黑体" w:eastAsia="黑体" w:cs="黑体"/>
          <w:spacing w:val="33"/>
          <w:sz w:val="25"/>
          <w:szCs w:val="25"/>
        </w:rPr>
        <w:t xml:space="preserve">  </w:t>
      </w:r>
      <w:r>
        <w:rPr>
          <w:rFonts w:ascii="黑体" w:hAnsi="黑体" w:eastAsia="黑体" w:cs="黑体"/>
          <w:spacing w:val="18"/>
          <w:sz w:val="25"/>
          <w:szCs w:val="25"/>
        </w:rPr>
        <w:t>筛选方法</w:t>
      </w:r>
    </w:p>
    <w:p w14:paraId="7B8F7D53">
      <w:pPr>
        <w:pStyle w:val="2"/>
        <w:spacing w:before="93" w:line="219" w:lineRule="auto"/>
        <w:ind w:left="570"/>
      </w:pPr>
      <w:r>
        <w:rPr>
          <w:spacing w:val="-1"/>
        </w:rPr>
        <w:t>确定具体筛选方法及以下相关指标要求，并说明选择理由。</w:t>
      </w:r>
    </w:p>
    <w:p w14:paraId="5714519A">
      <w:pPr>
        <w:spacing w:before="127" w:line="221" w:lineRule="auto"/>
        <w:rPr>
          <w:rFonts w:ascii="黑体" w:hAnsi="黑体" w:eastAsia="黑体" w:cs="黑体"/>
          <w:sz w:val="27"/>
          <w:szCs w:val="27"/>
        </w:rPr>
      </w:pPr>
      <w:r>
        <w:rPr>
          <w:rFonts w:ascii="黑体" w:hAnsi="黑体" w:eastAsia="黑体" w:cs="黑体"/>
          <w:spacing w:val="2"/>
          <w:sz w:val="27"/>
          <w:szCs w:val="27"/>
        </w:rPr>
        <w:t>6.1</w:t>
      </w:r>
      <w:r>
        <w:rPr>
          <w:rFonts w:ascii="黑体" w:hAnsi="黑体" w:eastAsia="黑体" w:cs="黑体"/>
          <w:spacing w:val="24"/>
          <w:sz w:val="27"/>
          <w:szCs w:val="27"/>
        </w:rPr>
        <w:t xml:space="preserve">  </w:t>
      </w:r>
      <w:r>
        <w:rPr>
          <w:rFonts w:ascii="黑体" w:hAnsi="黑体" w:eastAsia="黑体" w:cs="黑体"/>
          <w:spacing w:val="2"/>
          <w:sz w:val="27"/>
          <w:szCs w:val="27"/>
        </w:rPr>
        <w:t>应力类型和水平</w:t>
      </w:r>
    </w:p>
    <w:p w14:paraId="0B739F97">
      <w:pPr>
        <w:pStyle w:val="2"/>
        <w:spacing w:before="97" w:line="219" w:lineRule="auto"/>
        <w:ind w:left="570"/>
      </w:pPr>
      <w:r>
        <w:rPr>
          <w:spacing w:val="-11"/>
        </w:rPr>
        <w:t>确定施加环境应力类型、水平、简要过程、承受应力的时间。</w:t>
      </w:r>
    </w:p>
    <w:p w14:paraId="5C8A318C">
      <w:pPr>
        <w:spacing w:before="140" w:line="222" w:lineRule="auto"/>
        <w:rPr>
          <w:rFonts w:ascii="黑体" w:hAnsi="黑体" w:eastAsia="黑体" w:cs="黑体"/>
          <w:sz w:val="25"/>
          <w:szCs w:val="25"/>
        </w:rPr>
      </w:pPr>
      <w:r>
        <w:rPr>
          <w:rFonts w:ascii="黑体" w:hAnsi="黑体" w:eastAsia="黑体" w:cs="黑体"/>
          <w:spacing w:val="8"/>
          <w:sz w:val="25"/>
          <w:szCs w:val="25"/>
        </w:rPr>
        <w:t>6.2</w:t>
      </w:r>
      <w:r>
        <w:rPr>
          <w:rFonts w:ascii="黑体" w:hAnsi="黑体" w:eastAsia="黑体" w:cs="黑体"/>
          <w:spacing w:val="43"/>
          <w:sz w:val="25"/>
          <w:szCs w:val="25"/>
        </w:rPr>
        <w:t xml:space="preserve">  </w:t>
      </w:r>
      <w:r>
        <w:rPr>
          <w:rFonts w:ascii="黑体" w:hAnsi="黑体" w:eastAsia="黑体" w:cs="黑体"/>
          <w:spacing w:val="8"/>
          <w:sz w:val="25"/>
          <w:szCs w:val="25"/>
        </w:rPr>
        <w:t>通</w:t>
      </w:r>
      <w:r>
        <w:rPr>
          <w:rFonts w:ascii="黑体" w:hAnsi="黑体" w:eastAsia="黑体" w:cs="黑体"/>
          <w:spacing w:val="-61"/>
          <w:sz w:val="25"/>
          <w:szCs w:val="25"/>
        </w:rPr>
        <w:t xml:space="preserve"> </w:t>
      </w:r>
      <w:r>
        <w:rPr>
          <w:rFonts w:ascii="黑体" w:hAnsi="黑体" w:eastAsia="黑体" w:cs="黑体"/>
          <w:spacing w:val="8"/>
          <w:sz w:val="25"/>
          <w:szCs w:val="25"/>
        </w:rPr>
        <w:t>/断电要求</w:t>
      </w:r>
    </w:p>
    <w:p w14:paraId="3449B57D">
      <w:pPr>
        <w:pStyle w:val="2"/>
        <w:spacing w:before="90" w:line="219" w:lineRule="auto"/>
        <w:ind w:left="570"/>
      </w:pPr>
      <w:r>
        <w:rPr>
          <w:spacing w:val="3"/>
        </w:rPr>
        <w:t>明确通电和进行性能检测的具体设置要求。</w:t>
      </w:r>
    </w:p>
    <w:p w14:paraId="30A6133C">
      <w:pPr>
        <w:spacing w:before="149" w:line="222" w:lineRule="auto"/>
        <w:rPr>
          <w:rFonts w:ascii="黑体" w:hAnsi="黑体" w:eastAsia="黑体" w:cs="黑体"/>
          <w:sz w:val="24"/>
          <w:szCs w:val="24"/>
        </w:rPr>
      </w:pPr>
      <w:r>
        <w:rPr>
          <w:rFonts w:ascii="黑体" w:hAnsi="黑体" w:eastAsia="黑体" w:cs="黑体"/>
          <w:spacing w:val="19"/>
          <w:sz w:val="24"/>
          <w:szCs w:val="24"/>
        </w:rPr>
        <w:t>6.3</w:t>
      </w:r>
      <w:r>
        <w:rPr>
          <w:rFonts w:ascii="黑体" w:hAnsi="黑体" w:eastAsia="黑体" w:cs="黑体"/>
          <w:spacing w:val="54"/>
          <w:sz w:val="24"/>
          <w:szCs w:val="24"/>
        </w:rPr>
        <w:t xml:space="preserve">  </w:t>
      </w:r>
      <w:r>
        <w:rPr>
          <w:rFonts w:ascii="黑体" w:hAnsi="黑体" w:eastAsia="黑体" w:cs="黑体"/>
          <w:spacing w:val="19"/>
          <w:sz w:val="24"/>
          <w:szCs w:val="24"/>
        </w:rPr>
        <w:t>检测要求</w:t>
      </w:r>
    </w:p>
    <w:p w14:paraId="580D91EC">
      <w:pPr>
        <w:pStyle w:val="2"/>
        <w:spacing w:before="90" w:line="219" w:lineRule="auto"/>
        <w:ind w:left="570"/>
      </w:pPr>
      <w:r>
        <w:rPr>
          <w:spacing w:val="-2"/>
        </w:rPr>
        <w:t>说明受筛产品性能检测要求，应注意以下几</w:t>
      </w:r>
      <w:r>
        <w:rPr>
          <w:spacing w:val="-3"/>
        </w:rPr>
        <w:t>点：</w:t>
      </w:r>
    </w:p>
    <w:p w14:paraId="4E47FAF6">
      <w:pPr>
        <w:pStyle w:val="2"/>
        <w:spacing w:before="60" w:line="274" w:lineRule="auto"/>
        <w:ind w:right="117" w:firstLine="570"/>
      </w:pPr>
      <w:r>
        <w:rPr>
          <w:rFonts w:ascii="Times New Roman" w:hAnsi="Times New Roman" w:eastAsia="Times New Roman" w:cs="Times New Roman"/>
          <w:spacing w:val="3"/>
        </w:rPr>
        <w:t>a)</w:t>
      </w:r>
      <w:r>
        <w:rPr>
          <w:rFonts w:ascii="Times New Roman" w:hAnsi="Times New Roman" w:eastAsia="Times New Roman" w:cs="Times New Roman"/>
          <w:spacing w:val="70"/>
        </w:rPr>
        <w:t xml:space="preserve"> </w:t>
      </w:r>
      <w:r>
        <w:rPr>
          <w:spacing w:val="3"/>
        </w:rPr>
        <w:t>受筛产品安装在温度箱或振动台上后，在开始筛选前，应进行全面的功</w:t>
      </w:r>
      <w:r>
        <w:t xml:space="preserve"> </w:t>
      </w:r>
      <w:r>
        <w:rPr>
          <w:spacing w:val="6"/>
        </w:rPr>
        <w:t>能性能检测并做好记录，以确认受筛选的产品的完好性。此后受筛产</w:t>
      </w:r>
      <w:r>
        <w:rPr>
          <w:spacing w:val="5"/>
        </w:rPr>
        <w:t>品不能再</w:t>
      </w:r>
      <w:r>
        <w:t xml:space="preserve"> </w:t>
      </w:r>
      <w:r>
        <w:rPr>
          <w:spacing w:val="-11"/>
        </w:rPr>
        <w:t>进行如清洗、涂覆、加固等工艺处理。</w:t>
      </w:r>
    </w:p>
    <w:p w14:paraId="11884768">
      <w:pPr>
        <w:pStyle w:val="2"/>
        <w:spacing w:before="59" w:line="271" w:lineRule="auto"/>
        <w:ind w:right="120" w:firstLine="570"/>
      </w:pPr>
      <w:r>
        <w:rPr>
          <w:rFonts w:ascii="Times New Roman" w:hAnsi="Times New Roman" w:eastAsia="Times New Roman" w:cs="Times New Roman"/>
          <w:spacing w:val="3"/>
        </w:rPr>
        <w:t>b)</w:t>
      </w:r>
      <w:r>
        <w:rPr>
          <w:rFonts w:ascii="Times New Roman" w:hAnsi="Times New Roman" w:eastAsia="Times New Roman" w:cs="Times New Roman"/>
          <w:spacing w:val="48"/>
        </w:rPr>
        <w:t xml:space="preserve"> </w:t>
      </w:r>
      <w:r>
        <w:rPr>
          <w:spacing w:val="3"/>
        </w:rPr>
        <w:t>筛选中要检测性能时，无论是在温度箱还是振动台上安装好后，要连接</w:t>
      </w:r>
      <w:r>
        <w:t xml:space="preserve"> </w:t>
      </w:r>
      <w:r>
        <w:rPr>
          <w:spacing w:val="-2"/>
        </w:rPr>
        <w:t>好各种检测线路和测试仪表，保证接触良好，避免施加振动应力或测试中仪表移</w:t>
      </w:r>
      <w:r>
        <w:rPr>
          <w:spacing w:val="3"/>
        </w:rPr>
        <w:t xml:space="preserve"> </w:t>
      </w:r>
      <w:r>
        <w:rPr>
          <w:spacing w:val="4"/>
        </w:rPr>
        <w:t>动后出现接触不良造成的虚假故障。</w:t>
      </w:r>
    </w:p>
    <w:p w14:paraId="3842C235">
      <w:pPr>
        <w:pStyle w:val="2"/>
        <w:spacing w:before="71" w:line="267" w:lineRule="auto"/>
        <w:ind w:firstLine="570"/>
      </w:pPr>
      <w:r>
        <w:rPr>
          <w:rFonts w:ascii="Times New Roman" w:hAnsi="Times New Roman" w:eastAsia="Times New Roman" w:cs="Times New Roman"/>
          <w:spacing w:val="7"/>
        </w:rPr>
        <w:t>c)</w:t>
      </w:r>
      <w:r>
        <w:rPr>
          <w:rFonts w:ascii="Times New Roman" w:hAnsi="Times New Roman" w:eastAsia="Times New Roman" w:cs="Times New Roman"/>
          <w:spacing w:val="62"/>
        </w:rPr>
        <w:t xml:space="preserve"> </w:t>
      </w:r>
      <w:r>
        <w:rPr>
          <w:spacing w:val="7"/>
        </w:rPr>
        <w:t>筛选期间功能性能检测项目可适当简化，但不能影响发</w:t>
      </w:r>
      <w:r>
        <w:rPr>
          <w:spacing w:val="6"/>
        </w:rPr>
        <w:t>现故障的能力。</w:t>
      </w:r>
      <w:r>
        <w:t xml:space="preserve"> </w:t>
      </w:r>
      <w:r>
        <w:rPr>
          <w:spacing w:val="-4"/>
        </w:rPr>
        <w:t>筛选期间应详细记录故障出现时的应力、时间、故障模式和修复情况。</w:t>
      </w:r>
    </w:p>
    <w:p w14:paraId="2D028954">
      <w:pPr>
        <w:pStyle w:val="2"/>
        <w:spacing w:before="49" w:line="212" w:lineRule="auto"/>
        <w:ind w:left="570"/>
      </w:pPr>
      <w:r>
        <w:rPr>
          <w:rFonts w:ascii="Times New Roman" w:hAnsi="Times New Roman" w:eastAsia="Times New Roman" w:cs="Times New Roman"/>
        </w:rPr>
        <w:t>d)</w:t>
      </w:r>
      <w:r>
        <w:rPr>
          <w:rFonts w:ascii="Times New Roman" w:hAnsi="Times New Roman" w:eastAsia="Times New Roman" w:cs="Times New Roman"/>
          <w:spacing w:val="56"/>
        </w:rPr>
        <w:t xml:space="preserve"> </w:t>
      </w:r>
      <w:r>
        <w:t>产品筛选后，应进行全面的功能性能检测并</w:t>
      </w:r>
      <w:r>
        <w:rPr>
          <w:spacing w:val="-1"/>
        </w:rPr>
        <w:t>作好记录。</w:t>
      </w:r>
    </w:p>
    <w:p w14:paraId="383BFD2D">
      <w:pPr>
        <w:spacing w:before="160" w:line="222" w:lineRule="auto"/>
        <w:rPr>
          <w:rFonts w:ascii="黑体" w:hAnsi="黑体" w:eastAsia="黑体" w:cs="黑体"/>
          <w:sz w:val="25"/>
          <w:szCs w:val="25"/>
        </w:rPr>
      </w:pPr>
      <w:r>
        <w:rPr>
          <w:rFonts w:ascii="黑体" w:hAnsi="黑体" w:eastAsia="黑体" w:cs="黑体"/>
          <w:spacing w:val="14"/>
          <w:sz w:val="25"/>
          <w:szCs w:val="25"/>
        </w:rPr>
        <w:t>6.4</w:t>
      </w:r>
      <w:r>
        <w:rPr>
          <w:rFonts w:ascii="黑体" w:hAnsi="黑体" w:eastAsia="黑体" w:cs="黑体"/>
          <w:spacing w:val="42"/>
          <w:sz w:val="25"/>
          <w:szCs w:val="25"/>
        </w:rPr>
        <w:t xml:space="preserve">  </w:t>
      </w:r>
      <w:r>
        <w:rPr>
          <w:rFonts w:ascii="黑体" w:hAnsi="黑体" w:eastAsia="黑体" w:cs="黑体"/>
          <w:spacing w:val="14"/>
          <w:sz w:val="25"/>
          <w:szCs w:val="25"/>
        </w:rPr>
        <w:t>无故障要求</w:t>
      </w:r>
    </w:p>
    <w:p w14:paraId="42990BAA">
      <w:pPr>
        <w:pStyle w:val="2"/>
        <w:spacing w:before="100" w:line="288" w:lineRule="auto"/>
        <w:ind w:right="123" w:firstLine="570"/>
      </w:pPr>
      <w:r>
        <w:rPr>
          <w:spacing w:val="5"/>
        </w:rPr>
        <w:t>明确无故障检验运行要求。当在无故障检验运行阶段进行温度循环时，应</w:t>
      </w:r>
      <w:r>
        <w:rPr>
          <w:spacing w:val="10"/>
        </w:rPr>
        <w:t xml:space="preserve"> </w:t>
      </w:r>
      <w:r>
        <w:t>考虑以下情况：</w:t>
      </w:r>
    </w:p>
    <w:p w14:paraId="068FFAC3">
      <w:pPr>
        <w:pStyle w:val="2"/>
        <w:spacing w:before="18" w:line="268" w:lineRule="auto"/>
        <w:ind w:right="124" w:firstLine="570"/>
        <w:rPr>
          <w:sz w:val="25"/>
          <w:szCs w:val="25"/>
        </w:rPr>
      </w:pPr>
      <w:r>
        <w:rPr>
          <w:rFonts w:ascii="Times New Roman" w:hAnsi="Times New Roman" w:eastAsia="Times New Roman" w:cs="Times New Roman"/>
          <w:spacing w:val="21"/>
          <w:sz w:val="25"/>
          <w:szCs w:val="25"/>
        </w:rPr>
        <w:t>a</w:t>
      </w:r>
      <w:r>
        <w:rPr>
          <w:rFonts w:ascii="Times New Roman" w:hAnsi="Times New Roman" w:eastAsia="Times New Roman" w:cs="Times New Roman"/>
          <w:spacing w:val="-18"/>
          <w:sz w:val="25"/>
          <w:szCs w:val="25"/>
        </w:rPr>
        <w:t xml:space="preserve"> </w:t>
      </w:r>
      <w:r>
        <w:rPr>
          <w:spacing w:val="21"/>
          <w:sz w:val="25"/>
          <w:szCs w:val="25"/>
        </w:rPr>
        <w:t>)</w:t>
      </w:r>
      <w:r>
        <w:rPr>
          <w:spacing w:val="-39"/>
          <w:sz w:val="25"/>
          <w:szCs w:val="25"/>
        </w:rPr>
        <w:t xml:space="preserve"> </w:t>
      </w:r>
      <w:r>
        <w:rPr>
          <w:spacing w:val="21"/>
          <w:sz w:val="25"/>
          <w:szCs w:val="25"/>
        </w:rPr>
        <w:t>因是继续进行温度循环，温度循环参数不变，但应从此刻记录无故障循</w:t>
      </w:r>
      <w:r>
        <w:rPr>
          <w:sz w:val="25"/>
          <w:szCs w:val="25"/>
        </w:rPr>
        <w:t xml:space="preserve"> </w:t>
      </w:r>
      <w:r>
        <w:rPr>
          <w:spacing w:val="14"/>
          <w:sz w:val="25"/>
          <w:szCs w:val="25"/>
        </w:rPr>
        <w:t>环数。</w:t>
      </w:r>
    </w:p>
    <w:p w14:paraId="7A1867D8">
      <w:pPr>
        <w:pStyle w:val="2"/>
        <w:spacing w:before="73" w:line="212" w:lineRule="auto"/>
        <w:ind w:left="570"/>
      </w:pPr>
      <w:r>
        <w:rPr>
          <w:rFonts w:ascii="Times New Roman" w:hAnsi="Times New Roman" w:eastAsia="Times New Roman" w:cs="Times New Roman"/>
        </w:rPr>
        <w:t>b)</w:t>
      </w:r>
      <w:r>
        <w:rPr>
          <w:rFonts w:ascii="Times New Roman" w:hAnsi="Times New Roman" w:eastAsia="Times New Roman" w:cs="Times New Roman"/>
          <w:spacing w:val="81"/>
        </w:rPr>
        <w:t xml:space="preserve"> </w:t>
      </w:r>
      <w:r>
        <w:t>若开始后，连续10个循环不再出现故障，则认为完成无故障运行。</w:t>
      </w:r>
    </w:p>
    <w:p w14:paraId="7C9BFEF0">
      <w:pPr>
        <w:pStyle w:val="2"/>
        <w:spacing w:before="109" w:line="264" w:lineRule="auto"/>
        <w:ind w:right="123" w:firstLine="570"/>
      </w:pPr>
      <w:r>
        <w:rPr>
          <w:rFonts w:ascii="Times New Roman" w:hAnsi="Times New Roman" w:eastAsia="Times New Roman" w:cs="Times New Roman"/>
          <w:spacing w:val="3"/>
        </w:rPr>
        <w:t>c)</w:t>
      </w:r>
      <w:r>
        <w:rPr>
          <w:rFonts w:ascii="Times New Roman" w:hAnsi="Times New Roman" w:eastAsia="Times New Roman" w:cs="Times New Roman"/>
          <w:spacing w:val="62"/>
        </w:rPr>
        <w:t xml:space="preserve"> </w:t>
      </w:r>
      <w:r>
        <w:rPr>
          <w:spacing w:val="3"/>
        </w:rPr>
        <w:t>若出现故障，则尚允许修复，只要以后有10个循环能连续无故障，仍可</w:t>
      </w:r>
      <w:r>
        <w:t xml:space="preserve"> </w:t>
      </w:r>
      <w:r>
        <w:rPr>
          <w:spacing w:val="3"/>
        </w:rPr>
        <w:t>认为完成无故障运行。</w:t>
      </w:r>
    </w:p>
    <w:p w14:paraId="0D0F770F">
      <w:pPr>
        <w:pStyle w:val="2"/>
        <w:spacing w:before="69" w:line="263" w:lineRule="auto"/>
        <w:ind w:left="570" w:right="869"/>
      </w:pPr>
      <w:r>
        <w:rPr>
          <w:rFonts w:ascii="Times New Roman" w:hAnsi="Times New Roman" w:eastAsia="Times New Roman" w:cs="Times New Roman"/>
          <w:spacing w:val="4"/>
        </w:rPr>
        <w:t xml:space="preserve">d)  </w:t>
      </w:r>
      <w:r>
        <w:rPr>
          <w:spacing w:val="4"/>
        </w:rPr>
        <w:t>若在经过10个循环后还出现故障，则认为受筛产品没完成筛选。</w:t>
      </w:r>
      <w:r>
        <w:rPr>
          <w:spacing w:val="12"/>
        </w:rPr>
        <w:t xml:space="preserve"> </w:t>
      </w:r>
      <w:r>
        <w:rPr>
          <w:spacing w:val="-2"/>
        </w:rPr>
        <w:t>当无故障检验运行阶段进行随机振动时，要考虑以下情况：</w:t>
      </w:r>
    </w:p>
    <w:p w14:paraId="638EDF36">
      <w:pPr>
        <w:pStyle w:val="2"/>
        <w:spacing w:before="61" w:line="212" w:lineRule="auto"/>
        <w:ind w:left="570"/>
      </w:pPr>
      <w:r>
        <w:rPr>
          <w:rFonts w:ascii="Times New Roman" w:hAnsi="Times New Roman" w:eastAsia="Times New Roman" w:cs="Times New Roman"/>
          <w:spacing w:val="4"/>
        </w:rPr>
        <w:t xml:space="preserve">a)  </w:t>
      </w:r>
      <w:r>
        <w:rPr>
          <w:spacing w:val="4"/>
        </w:rPr>
        <w:t>只有通过了温度循环筛选的产品才能进行随机振动。</w:t>
      </w:r>
    </w:p>
    <w:p w14:paraId="21759F17">
      <w:pPr>
        <w:pStyle w:val="2"/>
        <w:spacing w:before="110" w:line="212" w:lineRule="auto"/>
        <w:ind w:left="570"/>
      </w:pPr>
      <w:r>
        <w:rPr>
          <w:rFonts w:ascii="Times New Roman" w:hAnsi="Times New Roman" w:eastAsia="Times New Roman" w:cs="Times New Roman"/>
          <w:spacing w:val="4"/>
        </w:rPr>
        <w:t xml:space="preserve">b)  </w:t>
      </w:r>
      <w:r>
        <w:rPr>
          <w:spacing w:val="4"/>
        </w:rPr>
        <w:t>按国军标要求对受筛产品进行安装。</w:t>
      </w:r>
    </w:p>
    <w:p w14:paraId="77020F6E">
      <w:pPr>
        <w:pStyle w:val="2"/>
        <w:spacing w:before="110" w:line="260" w:lineRule="auto"/>
        <w:ind w:firstLine="570"/>
      </w:pPr>
      <w:r>
        <w:rPr>
          <w:rFonts w:ascii="Times New Roman" w:hAnsi="Times New Roman" w:eastAsia="Times New Roman" w:cs="Times New Roman"/>
          <w:spacing w:val="-1"/>
        </w:rPr>
        <w:t>c)</w:t>
      </w:r>
      <w:r>
        <w:rPr>
          <w:rFonts w:ascii="Times New Roman" w:hAnsi="Times New Roman" w:eastAsia="Times New Roman" w:cs="Times New Roman"/>
          <w:spacing w:val="62"/>
        </w:rPr>
        <w:t xml:space="preserve"> </w:t>
      </w:r>
      <w:r>
        <w:rPr>
          <w:spacing w:val="-1"/>
        </w:rPr>
        <w:t>按规定的输入量值使产品振动，并使产品通电</w:t>
      </w:r>
      <w:r>
        <w:rPr>
          <w:spacing w:val="-2"/>
        </w:rPr>
        <w:t>工作，检测其功能和性能，</w:t>
      </w:r>
      <w:r>
        <w:t xml:space="preserve"> 注意有否故障。</w:t>
      </w:r>
    </w:p>
    <w:p w14:paraId="28A1ED1C">
      <w:pPr>
        <w:spacing w:before="108" w:line="222" w:lineRule="auto"/>
        <w:rPr>
          <w:rFonts w:ascii="黑体" w:hAnsi="黑体" w:eastAsia="黑体" w:cs="黑体"/>
          <w:sz w:val="27"/>
          <w:szCs w:val="27"/>
        </w:rPr>
      </w:pPr>
      <w:r>
        <w:rPr>
          <w:rFonts w:ascii="黑体" w:hAnsi="黑体" w:eastAsia="黑体" w:cs="黑体"/>
          <w:spacing w:val="5"/>
          <w:sz w:val="27"/>
          <w:szCs w:val="27"/>
        </w:rPr>
        <w:t>7</w:t>
      </w:r>
      <w:r>
        <w:rPr>
          <w:rFonts w:ascii="黑体" w:hAnsi="黑体" w:eastAsia="黑体" w:cs="黑体"/>
          <w:spacing w:val="41"/>
          <w:sz w:val="27"/>
          <w:szCs w:val="27"/>
        </w:rPr>
        <w:t xml:space="preserve">  </w:t>
      </w:r>
      <w:r>
        <w:rPr>
          <w:rFonts w:ascii="黑体" w:hAnsi="黑体" w:eastAsia="黑体" w:cs="黑体"/>
          <w:spacing w:val="5"/>
          <w:sz w:val="27"/>
          <w:szCs w:val="27"/>
        </w:rPr>
        <w:t>性能检测项目</w:t>
      </w:r>
    </w:p>
    <w:p w14:paraId="398A01D5">
      <w:pPr>
        <w:pStyle w:val="2"/>
        <w:spacing w:before="97" w:line="219" w:lineRule="auto"/>
        <w:jc w:val="right"/>
      </w:pPr>
      <w:r>
        <w:rPr>
          <w:spacing w:val="1"/>
        </w:rPr>
        <w:t>明确在筛选全过程中需进行的性能检测项目，并对相</w:t>
      </w:r>
      <w:r>
        <w:t>关要求作必要的说明。</w:t>
      </w:r>
    </w:p>
    <w:p w14:paraId="1BC10DA6">
      <w:pPr>
        <w:spacing w:line="219" w:lineRule="auto"/>
        <w:sectPr>
          <w:footerReference r:id="rId385" w:type="default"/>
          <w:pgSz w:w="11910" w:h="17130"/>
          <w:pgMar w:top="1456" w:right="945" w:bottom="1559" w:left="1460" w:header="0" w:footer="1379" w:gutter="0"/>
          <w:cols w:space="720" w:num="1"/>
        </w:sectPr>
      </w:pPr>
    </w:p>
    <w:p w14:paraId="7DB4E30A">
      <w:pPr>
        <w:spacing w:before="159" w:line="222" w:lineRule="auto"/>
        <w:rPr>
          <w:rFonts w:ascii="黑体" w:hAnsi="黑体" w:eastAsia="黑体" w:cs="黑体"/>
          <w:sz w:val="27"/>
          <w:szCs w:val="27"/>
        </w:rPr>
      </w:pPr>
      <w:r>
        <w:rPr>
          <w:rFonts w:ascii="黑体" w:hAnsi="黑体" w:eastAsia="黑体" w:cs="黑体"/>
          <w:spacing w:val="1"/>
          <w:sz w:val="27"/>
          <w:szCs w:val="27"/>
        </w:rPr>
        <w:t xml:space="preserve">8  </w:t>
      </w:r>
      <w:r>
        <w:rPr>
          <w:rFonts w:ascii="黑体" w:hAnsi="黑体" w:eastAsia="黑体" w:cs="黑体"/>
          <w:b/>
          <w:bCs/>
          <w:spacing w:val="1"/>
          <w:sz w:val="27"/>
          <w:szCs w:val="27"/>
        </w:rPr>
        <w:t>筛选过程及故障记录</w:t>
      </w:r>
    </w:p>
    <w:p w14:paraId="15C58E7A">
      <w:pPr>
        <w:pStyle w:val="2"/>
        <w:spacing w:before="61" w:line="295" w:lineRule="auto"/>
        <w:ind w:right="4" w:firstLine="550"/>
      </w:pPr>
      <w:r>
        <w:rPr>
          <w:spacing w:val="-3"/>
        </w:rPr>
        <w:t>说明筛选的全过程，并记录所有故障，记录内容包括故障模式、故障时的环</w:t>
      </w:r>
      <w:r>
        <w:rPr>
          <w:spacing w:val="11"/>
        </w:rPr>
        <w:t xml:space="preserve"> </w:t>
      </w:r>
      <w:r>
        <w:rPr>
          <w:spacing w:val="-11"/>
        </w:rPr>
        <w:t>境应力条件、时间、以及采取的改正措施。</w:t>
      </w:r>
    </w:p>
    <w:p w14:paraId="5FC880B3">
      <w:pPr>
        <w:spacing w:before="1" w:line="220" w:lineRule="auto"/>
        <w:rPr>
          <w:rFonts w:ascii="黑体" w:hAnsi="黑体" w:eastAsia="黑体" w:cs="黑体"/>
          <w:sz w:val="27"/>
          <w:szCs w:val="27"/>
        </w:rPr>
      </w:pPr>
      <w:r>
        <w:rPr>
          <w:rFonts w:ascii="黑体" w:hAnsi="黑体" w:eastAsia="黑体" w:cs="黑体"/>
          <w:spacing w:val="2"/>
          <w:sz w:val="27"/>
          <w:szCs w:val="27"/>
        </w:rPr>
        <w:t>9</w:t>
      </w:r>
      <w:r>
        <w:rPr>
          <w:rFonts w:ascii="黑体" w:hAnsi="黑体" w:eastAsia="黑体" w:cs="黑体"/>
          <w:spacing w:val="5"/>
          <w:sz w:val="27"/>
          <w:szCs w:val="27"/>
        </w:rPr>
        <w:t xml:space="preserve">  </w:t>
      </w:r>
      <w:r>
        <w:rPr>
          <w:rFonts w:ascii="黑体" w:hAnsi="黑体" w:eastAsia="黑体" w:cs="黑体"/>
          <w:b/>
          <w:bCs/>
          <w:spacing w:val="2"/>
          <w:sz w:val="27"/>
          <w:szCs w:val="27"/>
        </w:rPr>
        <w:t>实施和监督部门及其职责</w:t>
      </w:r>
    </w:p>
    <w:p w14:paraId="2203BD64">
      <w:pPr>
        <w:pStyle w:val="2"/>
        <w:spacing w:before="83" w:line="219" w:lineRule="auto"/>
        <w:ind w:left="550"/>
      </w:pPr>
      <w:r>
        <w:rPr>
          <w:spacing w:val="-4"/>
        </w:rPr>
        <w:t>明确实施筛选工作、监督部门人员设置及其职责。</w:t>
      </w:r>
    </w:p>
    <w:p w14:paraId="1231423C">
      <w:pPr>
        <w:spacing w:line="360" w:lineRule="auto"/>
        <w:rPr>
          <w:rFonts w:ascii="Arial"/>
          <w:sz w:val="21"/>
        </w:rPr>
      </w:pPr>
    </w:p>
    <w:p w14:paraId="497AF842">
      <w:pPr>
        <w:pStyle w:val="2"/>
        <w:spacing w:before="117" w:line="220" w:lineRule="auto"/>
        <w:ind w:left="2490"/>
        <w:outlineLvl w:val="1"/>
        <w:rPr>
          <w:sz w:val="36"/>
          <w:szCs w:val="36"/>
        </w:rPr>
      </w:pPr>
      <w:r>
        <w:rPr>
          <w:rFonts w:ascii="Times New Roman" w:hAnsi="Times New Roman" w:eastAsia="Times New Roman" w:cs="Times New Roman"/>
          <w:b/>
          <w:bCs/>
          <w:sz w:val="36"/>
          <w:szCs w:val="36"/>
        </w:rPr>
        <w:t>7.19</w:t>
      </w:r>
      <w:r>
        <w:rPr>
          <w:rFonts w:ascii="Times New Roman" w:hAnsi="Times New Roman" w:eastAsia="Times New Roman" w:cs="Times New Roman"/>
          <w:b/>
          <w:bCs/>
          <w:spacing w:val="10"/>
          <w:sz w:val="36"/>
          <w:szCs w:val="36"/>
        </w:rPr>
        <w:t xml:space="preserve">     </w:t>
      </w:r>
      <w:r>
        <w:rPr>
          <w:b/>
          <w:bCs/>
          <w:sz w:val="36"/>
          <w:szCs w:val="36"/>
        </w:rPr>
        <w:t>可靠性增长试验大纲</w:t>
      </w:r>
    </w:p>
    <w:p w14:paraId="4B7E558E">
      <w:pPr>
        <w:spacing w:line="353" w:lineRule="auto"/>
        <w:rPr>
          <w:rFonts w:ascii="Arial"/>
          <w:sz w:val="21"/>
        </w:rPr>
      </w:pPr>
    </w:p>
    <w:p w14:paraId="01F62745">
      <w:pPr>
        <w:pStyle w:val="2"/>
        <w:spacing w:before="78" w:line="223" w:lineRule="auto"/>
        <w:jc w:val="right"/>
        <w:rPr>
          <w:rFonts w:ascii="楷体" w:hAnsi="楷体" w:eastAsia="楷体" w:cs="楷体"/>
          <w:sz w:val="24"/>
          <w:szCs w:val="24"/>
        </w:rPr>
      </w:pPr>
      <w:r>
        <w:rPr>
          <w:rFonts w:ascii="楷体" w:hAnsi="楷体" w:eastAsia="楷体" w:cs="楷体"/>
          <w:spacing w:val="5"/>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450A—2004</w:t>
      </w:r>
      <w:r>
        <w:rPr>
          <w:spacing w:val="5"/>
          <w:sz w:val="24"/>
          <w:szCs w:val="24"/>
        </w:rPr>
        <w:t>《</w:t>
      </w:r>
      <w:r>
        <w:rPr>
          <w:rFonts w:ascii="楷体" w:hAnsi="楷体" w:eastAsia="楷体" w:cs="楷体"/>
          <w:spacing w:val="5"/>
          <w:sz w:val="24"/>
          <w:szCs w:val="24"/>
        </w:rPr>
        <w:t>装备</w:t>
      </w:r>
      <w:r>
        <w:rPr>
          <w:rFonts w:ascii="楷体" w:hAnsi="楷体" w:eastAsia="楷体" w:cs="楷体"/>
          <w:spacing w:val="4"/>
          <w:sz w:val="24"/>
          <w:szCs w:val="24"/>
        </w:rPr>
        <w:t>可靠性工作通用要求》、</w:t>
      </w:r>
      <w:r>
        <w:rPr>
          <w:rFonts w:ascii="Times New Roman" w:hAnsi="Times New Roman" w:eastAsia="Times New Roman" w:cs="Times New Roman"/>
          <w:sz w:val="24"/>
          <w:szCs w:val="24"/>
        </w:rPr>
        <w:t>GJB</w:t>
      </w:r>
      <w:r>
        <w:rPr>
          <w:rFonts w:ascii="Times New Roman" w:hAnsi="Times New Roman" w:eastAsia="Times New Roman" w:cs="Times New Roman"/>
          <w:spacing w:val="4"/>
          <w:sz w:val="24"/>
          <w:szCs w:val="24"/>
        </w:rPr>
        <w:t xml:space="preserve">     1407—1992</w:t>
      </w:r>
      <w:r>
        <w:rPr>
          <w:spacing w:val="4"/>
          <w:sz w:val="24"/>
          <w:szCs w:val="24"/>
        </w:rPr>
        <w:t>《</w:t>
      </w:r>
      <w:r>
        <w:rPr>
          <w:rFonts w:ascii="楷体" w:hAnsi="楷体" w:eastAsia="楷体" w:cs="楷体"/>
          <w:spacing w:val="4"/>
          <w:sz w:val="24"/>
          <w:szCs w:val="24"/>
        </w:rPr>
        <w:t>可</w:t>
      </w:r>
      <w:r>
        <w:rPr>
          <w:rFonts w:ascii="楷体" w:hAnsi="楷体" w:eastAsia="楷体" w:cs="楷体"/>
          <w:spacing w:val="-31"/>
          <w:sz w:val="24"/>
          <w:szCs w:val="24"/>
        </w:rPr>
        <w:t xml:space="preserve"> </w:t>
      </w:r>
      <w:r>
        <w:rPr>
          <w:rFonts w:ascii="楷体" w:hAnsi="楷体" w:eastAsia="楷体" w:cs="楷体"/>
          <w:spacing w:val="4"/>
          <w:sz w:val="24"/>
          <w:szCs w:val="24"/>
        </w:rPr>
        <w:t>靠</w:t>
      </w:r>
    </w:p>
    <w:p w14:paraId="5C7EE6F2">
      <w:pPr>
        <w:spacing w:before="171" w:line="226" w:lineRule="auto"/>
        <w:ind w:left="3"/>
        <w:rPr>
          <w:rFonts w:ascii="楷体" w:hAnsi="楷体" w:eastAsia="楷体" w:cs="楷体"/>
          <w:sz w:val="24"/>
          <w:szCs w:val="24"/>
        </w:rPr>
      </w:pPr>
      <w:r>
        <w:rPr>
          <w:rFonts w:ascii="楷体" w:hAnsi="楷体" w:eastAsia="楷体" w:cs="楷体"/>
          <w:b/>
          <w:bCs/>
          <w:spacing w:val="11"/>
          <w:sz w:val="24"/>
          <w:szCs w:val="24"/>
        </w:rPr>
        <w:t>性增长试验》编写。</w:t>
      </w:r>
    </w:p>
    <w:p w14:paraId="3B40FE34">
      <w:pPr>
        <w:spacing w:before="90" w:line="223"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spacing w:val="11"/>
          <w:sz w:val="27"/>
          <w:szCs w:val="27"/>
        </w:rPr>
        <w:t xml:space="preserve">  </w:t>
      </w:r>
      <w:r>
        <w:rPr>
          <w:rFonts w:ascii="黑体" w:hAnsi="黑体" w:eastAsia="黑体" w:cs="黑体"/>
          <w:b/>
          <w:bCs/>
          <w:spacing w:val="-1"/>
          <w:sz w:val="27"/>
          <w:szCs w:val="27"/>
        </w:rPr>
        <w:t>范围</w:t>
      </w:r>
    </w:p>
    <w:p w14:paraId="5A1E8F1A">
      <w:pPr>
        <w:spacing w:before="91" w:line="222" w:lineRule="auto"/>
        <w:rPr>
          <w:rFonts w:ascii="黑体" w:hAnsi="黑体" w:eastAsia="黑体" w:cs="黑体"/>
          <w:sz w:val="27"/>
          <w:szCs w:val="27"/>
        </w:rPr>
      </w:pPr>
      <w:r>
        <w:rPr>
          <w:rFonts w:ascii="黑体" w:hAnsi="黑体" w:eastAsia="黑体" w:cs="黑体"/>
          <w:spacing w:val="1"/>
          <w:sz w:val="27"/>
          <w:szCs w:val="27"/>
        </w:rPr>
        <w:t xml:space="preserve">2  </w:t>
      </w:r>
      <w:r>
        <w:rPr>
          <w:rFonts w:ascii="黑体" w:hAnsi="黑体" w:eastAsia="黑体" w:cs="黑体"/>
          <w:b/>
          <w:bCs/>
          <w:spacing w:val="1"/>
          <w:sz w:val="27"/>
          <w:szCs w:val="27"/>
        </w:rPr>
        <w:t>引用文件</w:t>
      </w:r>
    </w:p>
    <w:p w14:paraId="68F2C89D">
      <w:pPr>
        <w:spacing w:before="95" w:line="221"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试验目的</w:t>
      </w:r>
    </w:p>
    <w:p w14:paraId="3BA23A9B">
      <w:pPr>
        <w:pStyle w:val="2"/>
        <w:spacing w:before="101" w:line="284" w:lineRule="auto"/>
        <w:ind w:firstLine="550"/>
        <w:jc w:val="both"/>
      </w:pPr>
      <w:r>
        <w:rPr>
          <w:spacing w:val="6"/>
        </w:rPr>
        <w:t>说明可靠性增长试验的目的。即通过对受试产品</w:t>
      </w:r>
      <w:r>
        <w:rPr>
          <w:spacing w:val="5"/>
        </w:rPr>
        <w:t>施加环境应力和(或)工作</w:t>
      </w:r>
      <w:r>
        <w:t xml:space="preserve"> </w:t>
      </w:r>
      <w:r>
        <w:rPr>
          <w:spacing w:val="-2"/>
        </w:rPr>
        <w:t>应力来激发产品设计和(或)工艺缺陷，并加以分析定位、采取设计和</w:t>
      </w:r>
      <w:r>
        <w:rPr>
          <w:spacing w:val="-3"/>
        </w:rPr>
        <w:t>工艺改进措</w:t>
      </w:r>
      <w:r>
        <w:t xml:space="preserve"> </w:t>
      </w:r>
      <w:r>
        <w:rPr>
          <w:spacing w:val="5"/>
        </w:rPr>
        <w:t>施而使产品的固有可靠性水平得到切实的提高。</w:t>
      </w:r>
    </w:p>
    <w:p w14:paraId="46622BDD">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4</w:t>
      </w:r>
      <w:r>
        <w:rPr>
          <w:rFonts w:ascii="Arial" w:hAnsi="Arial" w:eastAsia="Arial" w:cs="Arial"/>
          <w:b/>
          <w:bCs/>
          <w:spacing w:val="13"/>
          <w:sz w:val="27"/>
          <w:szCs w:val="27"/>
        </w:rPr>
        <w:t xml:space="preserve">   </w:t>
      </w:r>
      <w:r>
        <w:rPr>
          <w:rFonts w:ascii="黑体" w:hAnsi="黑体" w:eastAsia="黑体" w:cs="黑体"/>
          <w:b/>
          <w:bCs/>
          <w:spacing w:val="1"/>
          <w:sz w:val="27"/>
          <w:szCs w:val="27"/>
        </w:rPr>
        <w:t>受试产品说明及要求</w:t>
      </w:r>
    </w:p>
    <w:p w14:paraId="513A01F7">
      <w:pPr>
        <w:spacing w:before="116" w:line="221" w:lineRule="auto"/>
        <w:rPr>
          <w:rFonts w:ascii="黑体" w:hAnsi="黑体" w:eastAsia="黑体" w:cs="黑体"/>
          <w:sz w:val="24"/>
          <w:szCs w:val="24"/>
        </w:rPr>
      </w:pPr>
      <w:r>
        <w:rPr>
          <w:rFonts w:ascii="黑体" w:hAnsi="黑体" w:eastAsia="黑体" w:cs="黑体"/>
          <w:spacing w:val="20"/>
          <w:sz w:val="24"/>
          <w:szCs w:val="24"/>
        </w:rPr>
        <w:t>4.1</w:t>
      </w:r>
      <w:r>
        <w:rPr>
          <w:rFonts w:ascii="黑体" w:hAnsi="黑体" w:eastAsia="黑体" w:cs="黑体"/>
          <w:spacing w:val="51"/>
          <w:sz w:val="24"/>
          <w:szCs w:val="24"/>
        </w:rPr>
        <w:t xml:space="preserve">  </w:t>
      </w:r>
      <w:r>
        <w:rPr>
          <w:rFonts w:ascii="黑体" w:hAnsi="黑体" w:eastAsia="黑体" w:cs="黑体"/>
          <w:b/>
          <w:bCs/>
          <w:spacing w:val="20"/>
          <w:sz w:val="24"/>
          <w:szCs w:val="24"/>
        </w:rPr>
        <w:t>受试产品说明</w:t>
      </w:r>
    </w:p>
    <w:p w14:paraId="34E7432B">
      <w:pPr>
        <w:spacing w:before="104" w:line="221" w:lineRule="auto"/>
        <w:rPr>
          <w:rFonts w:ascii="黑体" w:hAnsi="黑体" w:eastAsia="黑体" w:cs="黑体"/>
          <w:sz w:val="27"/>
          <w:szCs w:val="27"/>
        </w:rPr>
      </w:pPr>
      <w:r>
        <w:rPr>
          <w:rFonts w:ascii="黑体" w:hAnsi="黑体" w:eastAsia="黑体" w:cs="黑体"/>
          <w:spacing w:val="-3"/>
          <w:sz w:val="27"/>
          <w:szCs w:val="27"/>
        </w:rPr>
        <w:t>4.1.1</w:t>
      </w:r>
      <w:r>
        <w:rPr>
          <w:rFonts w:ascii="黑体" w:hAnsi="黑体" w:eastAsia="黑体" w:cs="黑体"/>
          <w:spacing w:val="33"/>
          <w:sz w:val="27"/>
          <w:szCs w:val="27"/>
        </w:rPr>
        <w:t xml:space="preserve">  </w:t>
      </w:r>
      <w:r>
        <w:rPr>
          <w:rFonts w:ascii="黑体" w:hAnsi="黑体" w:eastAsia="黑体" w:cs="黑体"/>
          <w:b/>
          <w:bCs/>
          <w:spacing w:val="-3"/>
          <w:sz w:val="27"/>
          <w:szCs w:val="27"/>
        </w:rPr>
        <w:t>受试产品组成</w:t>
      </w:r>
    </w:p>
    <w:p w14:paraId="07D1BD32">
      <w:pPr>
        <w:pStyle w:val="2"/>
        <w:spacing w:before="113" w:line="219" w:lineRule="auto"/>
        <w:ind w:left="550"/>
      </w:pPr>
      <w:r>
        <w:rPr>
          <w:spacing w:val="-1"/>
        </w:rPr>
        <w:t>说明受试产品的组成。应列表说明各组成部分名称、型号。</w:t>
      </w:r>
    </w:p>
    <w:p w14:paraId="49866B85">
      <w:pPr>
        <w:spacing w:before="113" w:line="221" w:lineRule="auto"/>
        <w:rPr>
          <w:rFonts w:ascii="黑体" w:hAnsi="黑体" w:eastAsia="黑体" w:cs="黑体"/>
          <w:sz w:val="27"/>
          <w:szCs w:val="27"/>
        </w:rPr>
      </w:pPr>
      <w:r>
        <w:rPr>
          <w:rFonts w:ascii="黑体" w:hAnsi="黑体" w:eastAsia="黑体" w:cs="黑体"/>
          <w:spacing w:val="-2"/>
          <w:sz w:val="27"/>
          <w:szCs w:val="27"/>
        </w:rPr>
        <w:t>4.1.2</w:t>
      </w:r>
      <w:r>
        <w:rPr>
          <w:rFonts w:ascii="黑体" w:hAnsi="黑体" w:eastAsia="黑体" w:cs="黑体"/>
          <w:spacing w:val="29"/>
          <w:sz w:val="27"/>
          <w:szCs w:val="27"/>
        </w:rPr>
        <w:t xml:space="preserve">  </w:t>
      </w:r>
      <w:r>
        <w:rPr>
          <w:rFonts w:ascii="黑体" w:hAnsi="黑体" w:eastAsia="黑体" w:cs="黑体"/>
          <w:b/>
          <w:bCs/>
          <w:spacing w:val="-2"/>
          <w:sz w:val="27"/>
          <w:szCs w:val="27"/>
        </w:rPr>
        <w:t>受试产品功能</w:t>
      </w:r>
    </w:p>
    <w:p w14:paraId="4A879437">
      <w:pPr>
        <w:pStyle w:val="2"/>
        <w:spacing w:before="101" w:line="219" w:lineRule="auto"/>
        <w:ind w:left="550"/>
      </w:pPr>
      <w:r>
        <w:rPr>
          <w:spacing w:val="-4"/>
        </w:rPr>
        <w:t>依据研制总要求、技术协议书或产品规范，说明受试产品的功能和性能。</w:t>
      </w:r>
    </w:p>
    <w:p w14:paraId="7BB608B1">
      <w:pPr>
        <w:spacing w:before="125" w:line="221" w:lineRule="auto"/>
        <w:rPr>
          <w:rFonts w:ascii="黑体" w:hAnsi="黑体" w:eastAsia="黑体" w:cs="黑体"/>
          <w:sz w:val="24"/>
          <w:szCs w:val="24"/>
        </w:rPr>
      </w:pPr>
      <w:r>
        <w:rPr>
          <w:rFonts w:ascii="黑体" w:hAnsi="黑体" w:eastAsia="黑体" w:cs="黑体"/>
          <w:spacing w:val="21"/>
          <w:sz w:val="24"/>
          <w:szCs w:val="24"/>
        </w:rPr>
        <w:t>4.2</w:t>
      </w:r>
      <w:r>
        <w:rPr>
          <w:rFonts w:ascii="黑体" w:hAnsi="黑体" w:eastAsia="黑体" w:cs="黑体"/>
          <w:spacing w:val="42"/>
          <w:sz w:val="24"/>
          <w:szCs w:val="24"/>
        </w:rPr>
        <w:t xml:space="preserve">  </w:t>
      </w:r>
      <w:r>
        <w:rPr>
          <w:rFonts w:ascii="黑体" w:hAnsi="黑体" w:eastAsia="黑体" w:cs="黑体"/>
          <w:b/>
          <w:bCs/>
          <w:spacing w:val="21"/>
          <w:sz w:val="24"/>
          <w:szCs w:val="24"/>
        </w:rPr>
        <w:t>受试产品要求</w:t>
      </w:r>
    </w:p>
    <w:p w14:paraId="5E04E1D7">
      <w:pPr>
        <w:spacing w:before="133" w:line="221" w:lineRule="auto"/>
        <w:rPr>
          <w:rFonts w:ascii="黑体" w:hAnsi="黑体" w:eastAsia="黑体" w:cs="黑体"/>
          <w:sz w:val="24"/>
          <w:szCs w:val="24"/>
        </w:rPr>
      </w:pPr>
      <w:r>
        <w:rPr>
          <w:rFonts w:ascii="黑体" w:hAnsi="黑体" w:eastAsia="黑体" w:cs="黑体"/>
          <w:spacing w:val="18"/>
          <w:sz w:val="24"/>
          <w:szCs w:val="24"/>
        </w:rPr>
        <w:t>4.2.1</w:t>
      </w:r>
      <w:r>
        <w:rPr>
          <w:rFonts w:ascii="黑体" w:hAnsi="黑体" w:eastAsia="黑体" w:cs="黑体"/>
          <w:spacing w:val="10"/>
          <w:sz w:val="24"/>
          <w:szCs w:val="24"/>
        </w:rPr>
        <w:t xml:space="preserve">   </w:t>
      </w:r>
      <w:r>
        <w:rPr>
          <w:rFonts w:ascii="黑体" w:hAnsi="黑体" w:eastAsia="黑体" w:cs="黑体"/>
          <w:b/>
          <w:bCs/>
          <w:spacing w:val="18"/>
          <w:sz w:val="24"/>
          <w:szCs w:val="24"/>
        </w:rPr>
        <w:t>受试产品技术状态</w:t>
      </w:r>
    </w:p>
    <w:p w14:paraId="21AC37CB">
      <w:pPr>
        <w:pStyle w:val="2"/>
        <w:spacing w:before="89" w:line="292" w:lineRule="auto"/>
        <w:ind w:right="6" w:firstLine="550"/>
      </w:pPr>
      <w:r>
        <w:rPr>
          <w:spacing w:val="14"/>
        </w:rPr>
        <w:t>明确受试产品技术状态要求。试验的受试产品应代表定型产品的技术状</w:t>
      </w:r>
      <w:r>
        <w:rPr>
          <w:spacing w:val="16"/>
        </w:rPr>
        <w:t xml:space="preserve"> </w:t>
      </w:r>
      <w:r>
        <w:rPr>
          <w:spacing w:val="-9"/>
        </w:rPr>
        <w:t>态，已通过了环境试验。</w:t>
      </w:r>
    </w:p>
    <w:p w14:paraId="0FCBB6FF">
      <w:pPr>
        <w:spacing w:before="1" w:line="220" w:lineRule="auto"/>
        <w:rPr>
          <w:rFonts w:ascii="黑体" w:hAnsi="黑体" w:eastAsia="黑体" w:cs="黑体"/>
          <w:sz w:val="27"/>
          <w:szCs w:val="27"/>
        </w:rPr>
      </w:pPr>
      <w:r>
        <w:rPr>
          <w:rFonts w:ascii="黑体" w:hAnsi="黑体" w:eastAsia="黑体" w:cs="黑体"/>
          <w:spacing w:val="-1"/>
          <w:sz w:val="27"/>
          <w:szCs w:val="27"/>
        </w:rPr>
        <w:t>4.2.2</w:t>
      </w:r>
      <w:r>
        <w:rPr>
          <w:rFonts w:ascii="黑体" w:hAnsi="黑体" w:eastAsia="黑体" w:cs="黑体"/>
          <w:spacing w:val="25"/>
          <w:sz w:val="27"/>
          <w:szCs w:val="27"/>
        </w:rPr>
        <w:t xml:space="preserve">  </w:t>
      </w:r>
      <w:r>
        <w:rPr>
          <w:rFonts w:ascii="黑体" w:hAnsi="黑体" w:eastAsia="黑体" w:cs="黑体"/>
          <w:b/>
          <w:bCs/>
          <w:spacing w:val="-1"/>
          <w:sz w:val="27"/>
          <w:szCs w:val="27"/>
        </w:rPr>
        <w:t>受试产品数量</w:t>
      </w:r>
    </w:p>
    <w:p w14:paraId="50DDB193">
      <w:pPr>
        <w:pStyle w:val="2"/>
        <w:spacing w:before="93" w:line="292" w:lineRule="auto"/>
        <w:ind w:right="16" w:firstLine="550"/>
      </w:pPr>
      <w:r>
        <w:rPr>
          <w:spacing w:val="5"/>
        </w:rPr>
        <w:t>明确受试产品的数量要求。受试产品应从生产产品中随机抽取，其数量由</w:t>
      </w:r>
      <w:r>
        <w:rPr>
          <w:spacing w:val="10"/>
        </w:rPr>
        <w:t xml:space="preserve"> </w:t>
      </w:r>
      <w:r>
        <w:rPr>
          <w:spacing w:val="2"/>
        </w:rPr>
        <w:t>订购方确定。</w:t>
      </w:r>
    </w:p>
    <w:p w14:paraId="26B89A99">
      <w:pPr>
        <w:spacing w:before="1" w:line="220" w:lineRule="auto"/>
        <w:outlineLvl w:val="3"/>
        <w:rPr>
          <w:rFonts w:ascii="黑体" w:hAnsi="黑体" w:eastAsia="黑体" w:cs="黑体"/>
          <w:sz w:val="27"/>
          <w:szCs w:val="27"/>
        </w:rPr>
      </w:pPr>
      <w:r>
        <w:rPr>
          <w:rFonts w:ascii="Arial" w:hAnsi="Arial" w:eastAsia="Arial" w:cs="Arial"/>
          <w:b/>
          <w:bCs/>
          <w:spacing w:val="3"/>
          <w:sz w:val="27"/>
          <w:szCs w:val="27"/>
        </w:rPr>
        <w:t xml:space="preserve">5   </w:t>
      </w:r>
      <w:r>
        <w:rPr>
          <w:rFonts w:ascii="黑体" w:hAnsi="黑体" w:eastAsia="黑体" w:cs="黑体"/>
          <w:b/>
          <w:bCs/>
          <w:spacing w:val="3"/>
          <w:sz w:val="27"/>
          <w:szCs w:val="27"/>
        </w:rPr>
        <w:t>试验设备及检测仪器的说明和要求</w:t>
      </w:r>
    </w:p>
    <w:p w14:paraId="5D86D4C2">
      <w:pPr>
        <w:spacing w:before="107" w:line="221" w:lineRule="auto"/>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b/>
          <w:bCs/>
          <w:spacing w:val="-2"/>
          <w:sz w:val="27"/>
          <w:szCs w:val="27"/>
        </w:rPr>
        <w:t>1</w:t>
      </w:r>
      <w:r>
        <w:rPr>
          <w:rFonts w:ascii="黑体" w:hAnsi="黑体" w:eastAsia="黑体" w:cs="黑体"/>
          <w:spacing w:val="29"/>
          <w:sz w:val="27"/>
          <w:szCs w:val="27"/>
        </w:rPr>
        <w:t xml:space="preserve">  </w:t>
      </w:r>
      <w:r>
        <w:rPr>
          <w:rFonts w:ascii="黑体" w:hAnsi="黑体" w:eastAsia="黑体" w:cs="黑体"/>
          <w:b/>
          <w:bCs/>
          <w:spacing w:val="-2"/>
          <w:sz w:val="27"/>
          <w:szCs w:val="27"/>
        </w:rPr>
        <w:t>试验设备的说明和要求</w:t>
      </w:r>
    </w:p>
    <w:p w14:paraId="4E28D7BB">
      <w:pPr>
        <w:pStyle w:val="2"/>
        <w:spacing w:before="101" w:line="290" w:lineRule="auto"/>
        <w:ind w:right="7" w:firstLine="550"/>
      </w:pPr>
      <w:r>
        <w:rPr>
          <w:spacing w:val="6"/>
        </w:rPr>
        <w:t>明确试验设备的能力、精度及检定要求。试</w:t>
      </w:r>
      <w:r>
        <w:rPr>
          <w:spacing w:val="5"/>
        </w:rPr>
        <w:t>验设备应能保证产品和保持试</w:t>
      </w:r>
      <w:r>
        <w:t xml:space="preserve"> </w:t>
      </w:r>
      <w:r>
        <w:rPr>
          <w:spacing w:val="-1"/>
        </w:rPr>
        <w:t>验所需的综合环境条件，并按照有关规定进行定期核查和检定。</w:t>
      </w:r>
    </w:p>
    <w:p w14:paraId="67790927">
      <w:pPr>
        <w:spacing w:line="290" w:lineRule="auto"/>
        <w:sectPr>
          <w:footerReference r:id="rId386" w:type="default"/>
          <w:pgSz w:w="11910" w:h="17130"/>
          <w:pgMar w:top="1456" w:right="1402" w:bottom="1593" w:left="1130" w:header="0" w:footer="1394" w:gutter="0"/>
          <w:cols w:space="720" w:num="1"/>
        </w:sectPr>
      </w:pPr>
    </w:p>
    <w:p w14:paraId="35CFDD7C">
      <w:pPr>
        <w:spacing w:before="158" w:line="221" w:lineRule="auto"/>
        <w:rPr>
          <w:rFonts w:ascii="黑体" w:hAnsi="黑体" w:eastAsia="黑体" w:cs="黑体"/>
          <w:sz w:val="25"/>
          <w:szCs w:val="25"/>
        </w:rPr>
      </w:pPr>
      <w:r>
        <w:rPr>
          <w:rFonts w:ascii="黑体" w:hAnsi="黑体" w:eastAsia="黑体" w:cs="黑体"/>
          <w:spacing w:val="17"/>
          <w:sz w:val="25"/>
          <w:szCs w:val="25"/>
        </w:rPr>
        <w:t>5.2</w:t>
      </w:r>
      <w:r>
        <w:rPr>
          <w:rFonts w:ascii="黑体" w:hAnsi="黑体" w:eastAsia="黑体" w:cs="黑体"/>
          <w:spacing w:val="38"/>
          <w:sz w:val="25"/>
          <w:szCs w:val="25"/>
        </w:rPr>
        <w:t xml:space="preserve">  </w:t>
      </w:r>
      <w:r>
        <w:rPr>
          <w:rFonts w:ascii="黑体" w:hAnsi="黑体" w:eastAsia="黑体" w:cs="黑体"/>
          <w:b/>
          <w:bCs/>
          <w:spacing w:val="17"/>
          <w:sz w:val="25"/>
          <w:szCs w:val="25"/>
        </w:rPr>
        <w:t>检测仪器的说明和要求</w:t>
      </w:r>
    </w:p>
    <w:p w14:paraId="68FEE7FB">
      <w:pPr>
        <w:pStyle w:val="2"/>
        <w:spacing w:before="65" w:line="219" w:lineRule="auto"/>
        <w:ind w:left="550"/>
      </w:pPr>
      <w:r>
        <w:rPr>
          <w:spacing w:val="-1"/>
        </w:rPr>
        <w:t>明确检测仪器的能力、精度及检定要求。所有检测仪器应满足以下要求：</w:t>
      </w:r>
    </w:p>
    <w:p w14:paraId="55D9F7EE">
      <w:pPr>
        <w:pStyle w:val="2"/>
        <w:spacing w:before="91" w:line="212" w:lineRule="auto"/>
        <w:ind w:left="550"/>
      </w:pPr>
      <w:r>
        <w:rPr>
          <w:rFonts w:ascii="Times New Roman" w:hAnsi="Times New Roman" w:eastAsia="Times New Roman" w:cs="Times New Roman"/>
          <w:spacing w:val="6"/>
        </w:rPr>
        <w:t xml:space="preserve">a)  </w:t>
      </w:r>
      <w:r>
        <w:rPr>
          <w:spacing w:val="6"/>
        </w:rPr>
        <w:t>其精确度至少应为被测参数容差的三分之一；</w:t>
      </w:r>
    </w:p>
    <w:p w14:paraId="2A04D3AB">
      <w:pPr>
        <w:pStyle w:val="2"/>
        <w:spacing w:before="109" w:line="212" w:lineRule="auto"/>
        <w:ind w:left="550"/>
      </w:pPr>
      <w:r>
        <w:rPr>
          <w:rFonts w:ascii="Times New Roman" w:hAnsi="Times New Roman" w:eastAsia="Times New Roman" w:cs="Times New Roman"/>
          <w:spacing w:val="5"/>
        </w:rPr>
        <w:t>b)</w:t>
      </w:r>
      <w:r>
        <w:rPr>
          <w:rFonts w:ascii="Times New Roman" w:hAnsi="Times New Roman" w:eastAsia="Times New Roman" w:cs="Times New Roman"/>
          <w:spacing w:val="67"/>
        </w:rPr>
        <w:t xml:space="preserve"> </w:t>
      </w:r>
      <w:r>
        <w:rPr>
          <w:spacing w:val="5"/>
        </w:rPr>
        <w:t>其标定应能追溯到国家最高计量标准；</w:t>
      </w:r>
    </w:p>
    <w:p w14:paraId="0E5A9002">
      <w:pPr>
        <w:pStyle w:val="2"/>
        <w:spacing w:before="110" w:line="212" w:lineRule="auto"/>
        <w:ind w:left="550"/>
      </w:pPr>
      <w:r>
        <w:rPr>
          <w:rFonts w:ascii="Times New Roman" w:hAnsi="Times New Roman" w:eastAsia="Times New Roman" w:cs="Times New Roman"/>
          <w:spacing w:val="2"/>
        </w:rPr>
        <w:t xml:space="preserve">c)  </w:t>
      </w:r>
      <w:r>
        <w:rPr>
          <w:spacing w:val="2"/>
        </w:rPr>
        <w:t>能够适应所测量的环境条件。</w:t>
      </w:r>
    </w:p>
    <w:p w14:paraId="1AD53B04">
      <w:pPr>
        <w:spacing w:before="124" w:line="221" w:lineRule="auto"/>
        <w:rPr>
          <w:rFonts w:ascii="黑体" w:hAnsi="黑体" w:eastAsia="黑体" w:cs="黑体"/>
          <w:sz w:val="27"/>
          <w:szCs w:val="27"/>
        </w:rPr>
      </w:pPr>
      <w:r>
        <w:rPr>
          <w:rFonts w:ascii="黑体" w:hAnsi="黑体" w:eastAsia="黑体" w:cs="黑体"/>
          <w:spacing w:val="-7"/>
          <w:sz w:val="27"/>
          <w:szCs w:val="27"/>
        </w:rPr>
        <w:t>6</w:t>
      </w:r>
      <w:r>
        <w:rPr>
          <w:rFonts w:ascii="黑体" w:hAnsi="黑体" w:eastAsia="黑体" w:cs="黑体"/>
          <w:spacing w:val="16"/>
          <w:sz w:val="27"/>
          <w:szCs w:val="27"/>
        </w:rPr>
        <w:t xml:space="preserve">  </w:t>
      </w:r>
      <w:r>
        <w:rPr>
          <w:rFonts w:ascii="黑体" w:hAnsi="黑体" w:eastAsia="黑体" w:cs="黑体"/>
          <w:b/>
          <w:bCs/>
          <w:spacing w:val="-7"/>
          <w:sz w:val="27"/>
          <w:szCs w:val="27"/>
        </w:rPr>
        <w:t>试验方案</w:t>
      </w:r>
    </w:p>
    <w:p w14:paraId="17905A3E">
      <w:pPr>
        <w:pStyle w:val="2"/>
        <w:spacing w:before="73" w:line="299" w:lineRule="auto"/>
        <w:ind w:right="3" w:firstLine="550"/>
      </w:pPr>
      <w:r>
        <w:rPr>
          <w:spacing w:val="-3"/>
        </w:rPr>
        <w:t>确定可靠性增长试验方案，包括确定增长模型、产品初始可靠性水平、增长</w:t>
      </w:r>
      <w:r>
        <w:rPr>
          <w:spacing w:val="10"/>
        </w:rPr>
        <w:t xml:space="preserve"> </w:t>
      </w:r>
      <w:r>
        <w:rPr>
          <w:spacing w:val="2"/>
        </w:rPr>
        <w:t>率及增长目标值等。</w:t>
      </w:r>
    </w:p>
    <w:p w14:paraId="2B7BF5C9">
      <w:pPr>
        <w:spacing w:before="1" w:line="221" w:lineRule="auto"/>
        <w:rPr>
          <w:rFonts w:ascii="黑体" w:hAnsi="黑体" w:eastAsia="黑体" w:cs="黑体"/>
          <w:sz w:val="27"/>
          <w:szCs w:val="27"/>
        </w:rPr>
      </w:pPr>
      <w:r>
        <w:rPr>
          <w:rFonts w:ascii="黑体" w:hAnsi="黑体" w:eastAsia="黑体" w:cs="黑体"/>
          <w:spacing w:val="2"/>
          <w:sz w:val="27"/>
          <w:szCs w:val="27"/>
        </w:rPr>
        <w:t xml:space="preserve">6.1  </w:t>
      </w:r>
      <w:r>
        <w:rPr>
          <w:rFonts w:ascii="黑体" w:hAnsi="黑体" w:eastAsia="黑体" w:cs="黑体"/>
          <w:b/>
          <w:bCs/>
          <w:spacing w:val="2"/>
          <w:sz w:val="27"/>
          <w:szCs w:val="27"/>
        </w:rPr>
        <w:t>产品初始可靠性水平</w:t>
      </w:r>
    </w:p>
    <w:p w14:paraId="4A0C7FEF">
      <w:pPr>
        <w:pStyle w:val="2"/>
        <w:spacing w:before="91" w:line="219" w:lineRule="auto"/>
        <w:ind w:left="550"/>
      </w:pPr>
      <w:r>
        <w:rPr>
          <w:spacing w:val="4"/>
        </w:rPr>
        <w:t>确定产品初始可靠性水平。</w:t>
      </w:r>
    </w:p>
    <w:p w14:paraId="28C7260D">
      <w:pPr>
        <w:spacing w:before="143" w:line="222" w:lineRule="auto"/>
        <w:rPr>
          <w:rFonts w:ascii="黑体" w:hAnsi="黑体" w:eastAsia="黑体" w:cs="黑体"/>
          <w:sz w:val="24"/>
          <w:szCs w:val="24"/>
        </w:rPr>
      </w:pPr>
      <w:r>
        <w:rPr>
          <w:rFonts w:ascii="黑体" w:hAnsi="黑体" w:eastAsia="黑体" w:cs="黑体"/>
          <w:spacing w:val="22"/>
          <w:sz w:val="24"/>
          <w:szCs w:val="24"/>
        </w:rPr>
        <w:t>6</w:t>
      </w:r>
      <w:r>
        <w:rPr>
          <w:rFonts w:ascii="黑体" w:hAnsi="黑体" w:eastAsia="黑体" w:cs="黑体"/>
          <w:spacing w:val="-71"/>
          <w:sz w:val="24"/>
          <w:szCs w:val="24"/>
        </w:rPr>
        <w:t xml:space="preserve"> </w:t>
      </w:r>
      <w:r>
        <w:rPr>
          <w:rFonts w:ascii="黑体" w:hAnsi="黑体" w:eastAsia="黑体" w:cs="黑体"/>
          <w:spacing w:val="22"/>
          <w:sz w:val="24"/>
          <w:szCs w:val="24"/>
        </w:rPr>
        <w:t>.2</w:t>
      </w:r>
      <w:r>
        <w:rPr>
          <w:rFonts w:ascii="黑体" w:hAnsi="黑体" w:eastAsia="黑体" w:cs="黑体"/>
          <w:spacing w:val="36"/>
          <w:sz w:val="24"/>
          <w:szCs w:val="24"/>
        </w:rPr>
        <w:t xml:space="preserve">  </w:t>
      </w:r>
      <w:r>
        <w:rPr>
          <w:rFonts w:ascii="黑体" w:hAnsi="黑体" w:eastAsia="黑体" w:cs="黑体"/>
          <w:b/>
          <w:bCs/>
          <w:spacing w:val="22"/>
          <w:sz w:val="24"/>
          <w:szCs w:val="24"/>
        </w:rPr>
        <w:t>可靠性增长起始时间</w:t>
      </w:r>
    </w:p>
    <w:p w14:paraId="409FAA8B">
      <w:pPr>
        <w:pStyle w:val="2"/>
        <w:spacing w:before="99" w:line="220" w:lineRule="auto"/>
        <w:ind w:left="550"/>
      </w:pPr>
      <w:r>
        <w:rPr>
          <w:spacing w:val="4"/>
        </w:rPr>
        <w:t>确定可靠性增长起始时间。</w:t>
      </w:r>
    </w:p>
    <w:p w14:paraId="1B77C19B">
      <w:pPr>
        <w:spacing w:before="144" w:line="223" w:lineRule="auto"/>
        <w:rPr>
          <w:rFonts w:ascii="黑体" w:hAnsi="黑体" w:eastAsia="黑体" w:cs="黑体"/>
          <w:sz w:val="25"/>
          <w:szCs w:val="25"/>
        </w:rPr>
      </w:pPr>
      <w:r>
        <w:rPr>
          <w:rFonts w:ascii="黑体" w:hAnsi="黑体" w:eastAsia="黑体" w:cs="黑体"/>
          <w:spacing w:val="7"/>
          <w:sz w:val="25"/>
          <w:szCs w:val="25"/>
        </w:rPr>
        <w:t>6.3</w:t>
      </w:r>
      <w:r>
        <w:rPr>
          <w:rFonts w:ascii="黑体" w:hAnsi="黑体" w:eastAsia="黑体" w:cs="黑体"/>
          <w:spacing w:val="41"/>
          <w:sz w:val="25"/>
          <w:szCs w:val="25"/>
        </w:rPr>
        <w:t xml:space="preserve">  </w:t>
      </w:r>
      <w:r>
        <w:rPr>
          <w:rFonts w:ascii="黑体" w:hAnsi="黑体" w:eastAsia="黑体" w:cs="黑体"/>
          <w:b/>
          <w:bCs/>
          <w:spacing w:val="7"/>
          <w:sz w:val="25"/>
          <w:szCs w:val="25"/>
        </w:rPr>
        <w:t>增长率</w:t>
      </w:r>
    </w:p>
    <w:p w14:paraId="71406C3B">
      <w:pPr>
        <w:pStyle w:val="2"/>
        <w:spacing w:before="90" w:line="219" w:lineRule="auto"/>
        <w:ind w:left="550"/>
      </w:pPr>
      <w:r>
        <w:rPr>
          <w:spacing w:val="1"/>
        </w:rPr>
        <w:t>确定增长率。增长率的确定应综合考虑研制计划、经费</w:t>
      </w:r>
      <w:r>
        <w:t>及技术水平等。</w:t>
      </w:r>
    </w:p>
    <w:p w14:paraId="5AB5D531">
      <w:pPr>
        <w:spacing w:before="113" w:line="219" w:lineRule="auto"/>
        <w:rPr>
          <w:rFonts w:ascii="黑体" w:hAnsi="黑体" w:eastAsia="黑体" w:cs="黑体"/>
          <w:sz w:val="27"/>
          <w:szCs w:val="27"/>
        </w:rPr>
      </w:pPr>
      <w:r>
        <w:rPr>
          <w:rFonts w:ascii="黑体" w:hAnsi="黑体" w:eastAsia="黑体" w:cs="黑体"/>
          <w:spacing w:val="2"/>
          <w:sz w:val="27"/>
          <w:szCs w:val="27"/>
        </w:rPr>
        <w:t xml:space="preserve">6.4  </w:t>
      </w:r>
      <w:r>
        <w:rPr>
          <w:rFonts w:ascii="黑体" w:hAnsi="黑体" w:eastAsia="黑体" w:cs="黑体"/>
          <w:b/>
          <w:bCs/>
          <w:spacing w:val="2"/>
          <w:sz w:val="27"/>
          <w:szCs w:val="27"/>
        </w:rPr>
        <w:t>计划的可靠性增长曲线</w:t>
      </w:r>
    </w:p>
    <w:p w14:paraId="50D791D4">
      <w:pPr>
        <w:pStyle w:val="2"/>
        <w:spacing w:before="96" w:line="292" w:lineRule="auto"/>
        <w:ind w:right="2" w:firstLine="550"/>
      </w:pPr>
      <w:r>
        <w:rPr>
          <w:spacing w:val="-3"/>
        </w:rPr>
        <w:t>试验开始前，先选定增长模型，根据增长模型绘制一条试验计划曲线，作为</w:t>
      </w:r>
      <w:r>
        <w:rPr>
          <w:spacing w:val="11"/>
        </w:rPr>
        <w:t xml:space="preserve"> </w:t>
      </w:r>
      <w:r>
        <w:rPr>
          <w:spacing w:val="3"/>
        </w:rPr>
        <w:t>监控试验的依据。</w:t>
      </w:r>
    </w:p>
    <w:p w14:paraId="6DCA3584">
      <w:pPr>
        <w:spacing w:before="1" w:line="220" w:lineRule="auto"/>
        <w:rPr>
          <w:rFonts w:ascii="黑体" w:hAnsi="黑体" w:eastAsia="黑体" w:cs="黑体"/>
          <w:sz w:val="27"/>
          <w:szCs w:val="27"/>
        </w:rPr>
      </w:pPr>
      <w:r>
        <w:rPr>
          <w:rFonts w:ascii="黑体" w:hAnsi="黑体" w:eastAsia="黑体" w:cs="黑体"/>
          <w:sz w:val="27"/>
          <w:szCs w:val="27"/>
        </w:rPr>
        <w:t>6.5</w:t>
      </w:r>
      <w:r>
        <w:rPr>
          <w:rFonts w:ascii="黑体" w:hAnsi="黑体" w:eastAsia="黑体" w:cs="黑体"/>
          <w:spacing w:val="16"/>
          <w:sz w:val="27"/>
          <w:szCs w:val="27"/>
        </w:rPr>
        <w:t xml:space="preserve">  </w:t>
      </w:r>
      <w:r>
        <w:rPr>
          <w:rFonts w:ascii="黑体" w:hAnsi="黑体" w:eastAsia="黑体" w:cs="黑体"/>
          <w:b/>
          <w:bCs/>
          <w:sz w:val="27"/>
          <w:szCs w:val="27"/>
        </w:rPr>
        <w:t>试验截尾</w:t>
      </w:r>
    </w:p>
    <w:p w14:paraId="0CB0D03C">
      <w:pPr>
        <w:pStyle w:val="2"/>
        <w:spacing w:before="95" w:line="219" w:lineRule="auto"/>
        <w:ind w:left="550"/>
      </w:pPr>
      <w:r>
        <w:rPr>
          <w:spacing w:val="3"/>
        </w:rPr>
        <w:t>说明试验结束的条件。</w:t>
      </w:r>
    </w:p>
    <w:p w14:paraId="636A5D97">
      <w:pPr>
        <w:pStyle w:val="2"/>
        <w:spacing w:before="58" w:line="264" w:lineRule="auto"/>
        <w:ind w:right="5" w:firstLine="550"/>
      </w:pPr>
      <w:r>
        <w:rPr>
          <w:rFonts w:ascii="Times New Roman" w:hAnsi="Times New Roman" w:eastAsia="Times New Roman" w:cs="Times New Roman"/>
          <w:spacing w:val="8"/>
        </w:rPr>
        <w:t xml:space="preserve">a)  </w:t>
      </w:r>
      <w:r>
        <w:rPr>
          <w:spacing w:val="8"/>
        </w:rPr>
        <w:t>当试验进行到规定的总试验时间，利用试验数</w:t>
      </w:r>
      <w:r>
        <w:rPr>
          <w:spacing w:val="7"/>
        </w:rPr>
        <w:t>据估计的</w:t>
      </w:r>
      <w:r>
        <w:rPr>
          <w:spacing w:val="-76"/>
        </w:rPr>
        <w:t xml:space="preserve"> </w:t>
      </w:r>
      <w:r>
        <w:rPr>
          <w:rFonts w:ascii="Times New Roman" w:hAnsi="Times New Roman" w:eastAsia="Times New Roman" w:cs="Times New Roman"/>
        </w:rPr>
        <w:t>MTBF</w:t>
      </w:r>
      <w:r>
        <w:rPr>
          <w:rFonts w:ascii="Times New Roman" w:hAnsi="Times New Roman" w:eastAsia="Times New Roman" w:cs="Times New Roman"/>
          <w:spacing w:val="7"/>
        </w:rPr>
        <w:t xml:space="preserve">  </w:t>
      </w:r>
      <w:r>
        <w:rPr>
          <w:spacing w:val="7"/>
        </w:rPr>
        <w:t>值已达</w:t>
      </w:r>
      <w:r>
        <w:t xml:space="preserve"> </w:t>
      </w:r>
      <w:r>
        <w:rPr>
          <w:spacing w:val="-5"/>
        </w:rPr>
        <w:t>到试验大纲要求时，可以结束试验；</w:t>
      </w:r>
    </w:p>
    <w:p w14:paraId="2EF796D2">
      <w:pPr>
        <w:pStyle w:val="2"/>
        <w:spacing w:before="68" w:line="264" w:lineRule="auto"/>
        <w:ind w:right="1" w:firstLine="550"/>
      </w:pPr>
      <w:r>
        <w:rPr>
          <w:rFonts w:ascii="Times New Roman" w:hAnsi="Times New Roman" w:eastAsia="Times New Roman" w:cs="Times New Roman"/>
          <w:spacing w:val="3"/>
        </w:rPr>
        <w:t xml:space="preserve">b)  </w:t>
      </w:r>
      <w:r>
        <w:rPr>
          <w:spacing w:val="3"/>
        </w:rPr>
        <w:t>如果试验过程中一直没有出现故障，可以假</w:t>
      </w:r>
      <w:r>
        <w:rPr>
          <w:spacing w:val="2"/>
        </w:rPr>
        <w:t>设其寿命服从指数分布而在</w:t>
      </w:r>
      <w:r>
        <w:t xml:space="preserve"> </w:t>
      </w:r>
      <w:r>
        <w:rPr>
          <w:spacing w:val="2"/>
        </w:rPr>
        <w:t>另外某一时间结束试验；</w:t>
      </w:r>
    </w:p>
    <w:p w14:paraId="060F2806">
      <w:pPr>
        <w:pStyle w:val="2"/>
        <w:spacing w:before="67" w:line="274" w:lineRule="auto"/>
        <w:ind w:firstLine="550"/>
      </w:pPr>
      <w:r>
        <w:rPr>
          <w:rFonts w:ascii="Times New Roman" w:hAnsi="Times New Roman" w:eastAsia="Times New Roman" w:cs="Times New Roman"/>
          <w:spacing w:val="8"/>
        </w:rPr>
        <w:t xml:space="preserve">c)  </w:t>
      </w:r>
      <w:r>
        <w:rPr>
          <w:spacing w:val="8"/>
        </w:rPr>
        <w:t>当试验进行到规定的总试验时间，而利用试验</w:t>
      </w:r>
      <w:r>
        <w:rPr>
          <w:spacing w:val="7"/>
        </w:rPr>
        <w:t>数据估计的</w:t>
      </w:r>
      <w:r>
        <w:rPr>
          <w:spacing w:val="-76"/>
        </w:rPr>
        <w:t xml:space="preserve"> </w:t>
      </w:r>
      <w:r>
        <w:rPr>
          <w:rFonts w:ascii="Times New Roman" w:hAnsi="Times New Roman" w:eastAsia="Times New Roman" w:cs="Times New Roman"/>
        </w:rPr>
        <w:t>MTBF</w:t>
      </w:r>
      <w:r>
        <w:rPr>
          <w:rFonts w:ascii="Times New Roman" w:hAnsi="Times New Roman" w:eastAsia="Times New Roman" w:cs="Times New Roman"/>
          <w:spacing w:val="7"/>
        </w:rPr>
        <w:t xml:space="preserve">  </w:t>
      </w:r>
      <w:r>
        <w:rPr>
          <w:spacing w:val="7"/>
        </w:rPr>
        <w:t>值达</w:t>
      </w:r>
      <w:r>
        <w:t xml:space="preserve"> </w:t>
      </w:r>
      <w:r>
        <w:rPr>
          <w:spacing w:val="-2"/>
        </w:rPr>
        <w:t>不到大纲的要求时，应立即停止试验，并及时做好以下工作：1)承制方</w:t>
      </w:r>
      <w:r>
        <w:rPr>
          <w:spacing w:val="-3"/>
        </w:rPr>
        <w:t>应对纠正</w:t>
      </w:r>
      <w:r>
        <w:t xml:space="preserve"> </w:t>
      </w:r>
      <w:r>
        <w:rPr>
          <w:spacing w:val="5"/>
        </w:rPr>
        <w:t>措施进行全面的分析，以确定纠正措施的有效性；2)组织专家对准备采取的措</w:t>
      </w:r>
      <w:r>
        <w:rPr>
          <w:spacing w:val="18"/>
        </w:rPr>
        <w:t xml:space="preserve"> </w:t>
      </w:r>
      <w:r>
        <w:rPr>
          <w:spacing w:val="-2"/>
        </w:rPr>
        <w:t>施方案进行评审；3)在征得订购方同意后，进行下一阶段工作。</w:t>
      </w:r>
    </w:p>
    <w:p w14:paraId="5845F102">
      <w:pPr>
        <w:spacing w:before="103" w:line="221" w:lineRule="auto"/>
        <w:rPr>
          <w:rFonts w:ascii="黑体" w:hAnsi="黑体" w:eastAsia="黑体" w:cs="黑体"/>
          <w:sz w:val="27"/>
          <w:szCs w:val="27"/>
        </w:rPr>
      </w:pPr>
      <w:r>
        <w:rPr>
          <w:rFonts w:ascii="黑体" w:hAnsi="黑体" w:eastAsia="黑体" w:cs="黑体"/>
          <w:sz w:val="27"/>
          <w:szCs w:val="27"/>
        </w:rPr>
        <w:t>7</w:t>
      </w:r>
      <w:r>
        <w:rPr>
          <w:rFonts w:ascii="黑体" w:hAnsi="黑体" w:eastAsia="黑体" w:cs="黑体"/>
          <w:spacing w:val="25"/>
          <w:sz w:val="27"/>
          <w:szCs w:val="27"/>
        </w:rPr>
        <w:t xml:space="preserve">  </w:t>
      </w:r>
      <w:r>
        <w:rPr>
          <w:rFonts w:ascii="黑体" w:hAnsi="黑体" w:eastAsia="黑体" w:cs="黑体"/>
          <w:b/>
          <w:bCs/>
          <w:sz w:val="27"/>
          <w:szCs w:val="27"/>
        </w:rPr>
        <w:t>试验条件</w:t>
      </w:r>
    </w:p>
    <w:p w14:paraId="7F9AA4D1">
      <w:pPr>
        <w:spacing w:before="99" w:line="222" w:lineRule="auto"/>
        <w:rPr>
          <w:rFonts w:ascii="黑体" w:hAnsi="黑体" w:eastAsia="黑体" w:cs="黑体"/>
          <w:sz w:val="27"/>
          <w:szCs w:val="27"/>
        </w:rPr>
      </w:pPr>
      <w:r>
        <w:rPr>
          <w:rFonts w:ascii="黑体" w:hAnsi="黑体" w:eastAsia="黑体" w:cs="黑体"/>
          <w:sz w:val="27"/>
          <w:szCs w:val="27"/>
        </w:rPr>
        <w:t>7.1</w:t>
      </w:r>
      <w:r>
        <w:rPr>
          <w:rFonts w:ascii="黑体" w:hAnsi="黑体" w:eastAsia="黑体" w:cs="黑体"/>
          <w:spacing w:val="17"/>
          <w:sz w:val="27"/>
          <w:szCs w:val="27"/>
        </w:rPr>
        <w:t xml:space="preserve">  </w:t>
      </w:r>
      <w:r>
        <w:rPr>
          <w:rFonts w:ascii="黑体" w:hAnsi="黑体" w:eastAsia="黑体" w:cs="黑体"/>
          <w:b/>
          <w:bCs/>
          <w:sz w:val="27"/>
          <w:szCs w:val="27"/>
        </w:rPr>
        <w:t>标准大气条件</w:t>
      </w:r>
    </w:p>
    <w:p w14:paraId="64303C62">
      <w:pPr>
        <w:pStyle w:val="2"/>
        <w:spacing w:before="89" w:line="219" w:lineRule="auto"/>
        <w:ind w:left="550"/>
      </w:pPr>
      <w:r>
        <w:rPr>
          <w:spacing w:val="3"/>
        </w:rPr>
        <w:t>说明标准大气条件。</w:t>
      </w:r>
    </w:p>
    <w:p w14:paraId="25182C14">
      <w:pPr>
        <w:spacing w:before="123" w:line="221" w:lineRule="auto"/>
        <w:rPr>
          <w:rFonts w:ascii="黑体" w:hAnsi="黑体" w:eastAsia="黑体" w:cs="黑体"/>
          <w:sz w:val="25"/>
          <w:szCs w:val="25"/>
        </w:rPr>
      </w:pPr>
      <w:r>
        <w:rPr>
          <w:rFonts w:ascii="黑体" w:hAnsi="黑体" w:eastAsia="黑体" w:cs="黑体"/>
          <w:spacing w:val="14"/>
          <w:sz w:val="25"/>
          <w:szCs w:val="25"/>
        </w:rPr>
        <w:t>7.2</w:t>
      </w:r>
      <w:r>
        <w:rPr>
          <w:rFonts w:ascii="黑体" w:hAnsi="黑体" w:eastAsia="黑体" w:cs="黑体"/>
          <w:spacing w:val="40"/>
          <w:sz w:val="25"/>
          <w:szCs w:val="25"/>
        </w:rPr>
        <w:t xml:space="preserve">  </w:t>
      </w:r>
      <w:r>
        <w:rPr>
          <w:rFonts w:ascii="黑体" w:hAnsi="黑体" w:eastAsia="黑体" w:cs="黑体"/>
          <w:b/>
          <w:bCs/>
          <w:spacing w:val="14"/>
          <w:sz w:val="25"/>
          <w:szCs w:val="25"/>
        </w:rPr>
        <w:t>试验环境条件</w:t>
      </w:r>
    </w:p>
    <w:p w14:paraId="0451A156">
      <w:pPr>
        <w:pStyle w:val="2"/>
        <w:spacing w:before="96" w:line="301" w:lineRule="auto"/>
        <w:ind w:right="4" w:firstLine="550"/>
      </w:pPr>
      <w:r>
        <w:rPr>
          <w:spacing w:val="6"/>
        </w:rPr>
        <w:t>应根据受试产品现场使用和任务环境特征确定</w:t>
      </w:r>
      <w:r>
        <w:rPr>
          <w:spacing w:val="5"/>
        </w:rPr>
        <w:t>可靠性试验的综合环境条件</w:t>
      </w:r>
      <w:r>
        <w:t xml:space="preserve"> </w:t>
      </w:r>
      <w:r>
        <w:rPr>
          <w:spacing w:val="2"/>
        </w:rPr>
        <w:t>及其与时间的关系。</w:t>
      </w:r>
    </w:p>
    <w:p w14:paraId="5182315F">
      <w:pPr>
        <w:spacing w:line="301" w:lineRule="auto"/>
        <w:sectPr>
          <w:footerReference r:id="rId387" w:type="default"/>
          <w:pgSz w:w="11910" w:h="17130"/>
          <w:pgMar w:top="1456" w:right="1024" w:bottom="1620" w:left="1509" w:header="0" w:footer="1347" w:gutter="0"/>
          <w:cols w:space="720" w:num="1"/>
        </w:sectPr>
      </w:pPr>
    </w:p>
    <w:p w14:paraId="1A1E18C6">
      <w:pPr>
        <w:spacing w:before="132" w:line="222" w:lineRule="auto"/>
        <w:rPr>
          <w:rFonts w:ascii="黑体" w:hAnsi="黑体" w:eastAsia="黑体" w:cs="黑体"/>
          <w:sz w:val="25"/>
          <w:szCs w:val="25"/>
        </w:rPr>
      </w:pPr>
      <w:r>
        <w:rPr>
          <w:rFonts w:ascii="黑体" w:hAnsi="黑体" w:eastAsia="黑体" w:cs="黑体"/>
          <w:spacing w:val="6"/>
          <w:sz w:val="25"/>
          <w:szCs w:val="25"/>
        </w:rPr>
        <w:t>7.2.1</w:t>
      </w:r>
      <w:r>
        <w:rPr>
          <w:rFonts w:ascii="黑体" w:hAnsi="黑体" w:eastAsia="黑体" w:cs="黑体"/>
          <w:spacing w:val="1"/>
          <w:sz w:val="25"/>
          <w:szCs w:val="25"/>
        </w:rPr>
        <w:t xml:space="preserve">   </w:t>
      </w:r>
      <w:r>
        <w:rPr>
          <w:rFonts w:ascii="黑体" w:hAnsi="黑体" w:eastAsia="黑体" w:cs="黑体"/>
          <w:spacing w:val="6"/>
          <w:sz w:val="25"/>
          <w:szCs w:val="25"/>
        </w:rPr>
        <w:t>电应力</w:t>
      </w:r>
    </w:p>
    <w:p w14:paraId="22BAFAD8">
      <w:pPr>
        <w:pStyle w:val="2"/>
        <w:spacing w:before="80" w:line="310" w:lineRule="auto"/>
        <w:ind w:right="25" w:firstLine="550"/>
        <w:rPr>
          <w:sz w:val="25"/>
          <w:szCs w:val="25"/>
        </w:rPr>
      </w:pPr>
      <w:r>
        <w:rPr>
          <w:spacing w:val="17"/>
          <w:sz w:val="25"/>
          <w:szCs w:val="25"/>
        </w:rPr>
        <w:t>电应力应包括产品的通断电循环、规定的工作模式</w:t>
      </w:r>
      <w:r>
        <w:rPr>
          <w:spacing w:val="16"/>
          <w:sz w:val="25"/>
          <w:szCs w:val="25"/>
        </w:rPr>
        <w:t>及工作周期、规定的输入</w:t>
      </w:r>
      <w:r>
        <w:rPr>
          <w:sz w:val="25"/>
          <w:szCs w:val="25"/>
        </w:rPr>
        <w:t xml:space="preserve"> </w:t>
      </w:r>
      <w:r>
        <w:rPr>
          <w:spacing w:val="21"/>
          <w:sz w:val="25"/>
          <w:szCs w:val="25"/>
        </w:rPr>
        <w:t>标称电压及其最大允许偏差。</w:t>
      </w:r>
    </w:p>
    <w:p w14:paraId="4F2BAAB0">
      <w:pPr>
        <w:spacing w:line="221" w:lineRule="auto"/>
        <w:rPr>
          <w:rFonts w:ascii="黑体" w:hAnsi="黑体" w:eastAsia="黑体" w:cs="黑体"/>
          <w:sz w:val="24"/>
          <w:szCs w:val="24"/>
        </w:rPr>
      </w:pPr>
      <w:r>
        <w:rPr>
          <w:rFonts w:ascii="黑体" w:hAnsi="黑体" w:eastAsia="黑体" w:cs="黑体"/>
          <w:spacing w:val="12"/>
          <w:sz w:val="24"/>
          <w:szCs w:val="24"/>
        </w:rPr>
        <w:t>7.2.2   温度应力</w:t>
      </w:r>
    </w:p>
    <w:p w14:paraId="18FB2237">
      <w:pPr>
        <w:pStyle w:val="2"/>
        <w:spacing w:before="61" w:line="281" w:lineRule="auto"/>
        <w:ind w:right="20" w:firstLine="550"/>
      </w:pPr>
      <w:r>
        <w:rPr>
          <w:spacing w:val="5"/>
        </w:rPr>
        <w:t>温度应力剖面应真实地模拟受试产品在使用中经历的实际环境。确定温度</w:t>
      </w:r>
      <w:r>
        <w:rPr>
          <w:spacing w:val="4"/>
        </w:rPr>
        <w:t xml:space="preserve"> </w:t>
      </w:r>
      <w:r>
        <w:rPr>
          <w:spacing w:val="-7"/>
        </w:rPr>
        <w:t>应力时，至少应考虑以下因素：</w:t>
      </w:r>
    </w:p>
    <w:p w14:paraId="1B909BD5">
      <w:pPr>
        <w:pStyle w:val="2"/>
        <w:spacing w:line="212" w:lineRule="auto"/>
        <w:ind w:left="550"/>
      </w:pPr>
      <w:r>
        <w:rPr>
          <w:rFonts w:ascii="Times New Roman" w:hAnsi="Times New Roman" w:eastAsia="Times New Roman" w:cs="Times New Roman"/>
          <w:spacing w:val="-4"/>
        </w:rPr>
        <w:t>a)</w:t>
      </w:r>
      <w:r>
        <w:rPr>
          <w:rFonts w:ascii="Times New Roman" w:hAnsi="Times New Roman" w:eastAsia="Times New Roman" w:cs="Times New Roman"/>
          <w:spacing w:val="71"/>
        </w:rPr>
        <w:t xml:space="preserve"> </w:t>
      </w:r>
      <w:r>
        <w:rPr>
          <w:spacing w:val="-4"/>
        </w:rPr>
        <w:t>起始温度(热浸、冷浸);</w:t>
      </w:r>
    </w:p>
    <w:p w14:paraId="5BF351B3">
      <w:pPr>
        <w:pStyle w:val="2"/>
        <w:spacing w:before="80" w:line="212" w:lineRule="auto"/>
        <w:ind w:left="550"/>
      </w:pPr>
      <w:r>
        <w:rPr>
          <w:rFonts w:ascii="Times New Roman" w:hAnsi="Times New Roman" w:eastAsia="Times New Roman" w:cs="Times New Roman"/>
          <w:spacing w:val="-1"/>
        </w:rPr>
        <w:t>b)</w:t>
      </w:r>
      <w:r>
        <w:rPr>
          <w:rFonts w:ascii="Times New Roman" w:hAnsi="Times New Roman" w:eastAsia="Times New Roman" w:cs="Times New Roman"/>
          <w:spacing w:val="65"/>
        </w:rPr>
        <w:t xml:space="preserve"> </w:t>
      </w:r>
      <w:r>
        <w:rPr>
          <w:spacing w:val="-1"/>
        </w:rPr>
        <w:t>工作温度(范围、温度变化率和持续时间);</w:t>
      </w:r>
    </w:p>
    <w:p w14:paraId="0E70FE50">
      <w:pPr>
        <w:pStyle w:val="2"/>
        <w:spacing w:before="132" w:line="212" w:lineRule="auto"/>
        <w:ind w:left="550"/>
        <w:rPr>
          <w:sz w:val="24"/>
          <w:szCs w:val="24"/>
        </w:rPr>
      </w:pPr>
      <w:r>
        <w:rPr>
          <w:rFonts w:ascii="Times New Roman" w:hAnsi="Times New Roman" w:eastAsia="Times New Roman" w:cs="Times New Roman"/>
          <w:spacing w:val="21"/>
          <w:sz w:val="24"/>
          <w:szCs w:val="24"/>
        </w:rPr>
        <w:t xml:space="preserve">c)  </w:t>
      </w:r>
      <w:r>
        <w:rPr>
          <w:spacing w:val="21"/>
          <w:sz w:val="24"/>
          <w:szCs w:val="24"/>
        </w:rPr>
        <w:t>每</w:t>
      </w:r>
      <w:r>
        <w:rPr>
          <w:spacing w:val="-65"/>
          <w:sz w:val="24"/>
          <w:szCs w:val="24"/>
        </w:rPr>
        <w:t xml:space="preserve"> </w:t>
      </w:r>
      <w:r>
        <w:rPr>
          <w:spacing w:val="21"/>
          <w:sz w:val="24"/>
          <w:szCs w:val="24"/>
        </w:rPr>
        <w:t>一</w:t>
      </w:r>
      <w:r>
        <w:rPr>
          <w:spacing w:val="-71"/>
          <w:sz w:val="24"/>
          <w:szCs w:val="24"/>
        </w:rPr>
        <w:t xml:space="preserve"> </w:t>
      </w:r>
      <w:r>
        <w:rPr>
          <w:spacing w:val="21"/>
          <w:sz w:val="24"/>
          <w:szCs w:val="24"/>
        </w:rPr>
        <w:t>任务剖面的温度变化情况；</w:t>
      </w:r>
    </w:p>
    <w:p w14:paraId="5BD29BF4">
      <w:pPr>
        <w:pStyle w:val="2"/>
        <w:spacing w:before="112" w:line="212" w:lineRule="auto"/>
        <w:ind w:left="550"/>
      </w:pPr>
      <w:r>
        <w:rPr>
          <w:rFonts w:ascii="Times New Roman" w:hAnsi="Times New Roman" w:eastAsia="Times New Roman" w:cs="Times New Roman"/>
          <w:spacing w:val="-1"/>
        </w:rPr>
        <w:t>d)</w:t>
      </w:r>
      <w:r>
        <w:rPr>
          <w:rFonts w:ascii="Times New Roman" w:hAnsi="Times New Roman" w:eastAsia="Times New Roman" w:cs="Times New Roman"/>
          <w:spacing w:val="66"/>
          <w:w w:val="101"/>
        </w:rPr>
        <w:t xml:space="preserve"> </w:t>
      </w:r>
      <w:r>
        <w:rPr>
          <w:spacing w:val="-1"/>
        </w:rPr>
        <w:t>冷却气流(设备功耗、拥挤情况及冷却空</w:t>
      </w:r>
      <w:r>
        <w:rPr>
          <w:spacing w:val="-2"/>
        </w:rPr>
        <w:t>气流动情况)。</w:t>
      </w:r>
    </w:p>
    <w:p w14:paraId="14A59686">
      <w:pPr>
        <w:spacing w:before="128" w:line="222" w:lineRule="auto"/>
        <w:rPr>
          <w:rFonts w:ascii="黑体" w:hAnsi="黑体" w:eastAsia="黑体" w:cs="黑体"/>
          <w:sz w:val="25"/>
          <w:szCs w:val="25"/>
        </w:rPr>
      </w:pPr>
      <w:r>
        <w:rPr>
          <w:rFonts w:ascii="黑体" w:hAnsi="黑体" w:eastAsia="黑体" w:cs="黑体"/>
          <w:spacing w:val="7"/>
          <w:sz w:val="25"/>
          <w:szCs w:val="25"/>
        </w:rPr>
        <w:t>7.2.3</w:t>
      </w:r>
      <w:r>
        <w:rPr>
          <w:rFonts w:ascii="黑体" w:hAnsi="黑体" w:eastAsia="黑体" w:cs="黑体"/>
          <w:spacing w:val="2"/>
          <w:sz w:val="25"/>
          <w:szCs w:val="25"/>
        </w:rPr>
        <w:t xml:space="preserve">   </w:t>
      </w:r>
      <w:r>
        <w:rPr>
          <w:rFonts w:ascii="黑体" w:hAnsi="黑体" w:eastAsia="黑体" w:cs="黑体"/>
          <w:spacing w:val="7"/>
          <w:sz w:val="25"/>
          <w:szCs w:val="25"/>
        </w:rPr>
        <w:t>湿度应力</w:t>
      </w:r>
    </w:p>
    <w:p w14:paraId="70DCB52C">
      <w:pPr>
        <w:pStyle w:val="2"/>
        <w:spacing w:before="110" w:line="272" w:lineRule="auto"/>
        <w:ind w:right="19" w:firstLine="550"/>
        <w:jc w:val="both"/>
      </w:pPr>
      <w:r>
        <w:rPr>
          <w:spacing w:val="1"/>
        </w:rPr>
        <w:t>试验循环期间对湿度一般不加控制，只在需要时(如预</w:t>
      </w:r>
      <w:r>
        <w:t xml:space="preserve">计现场使用中会出现 </w:t>
      </w:r>
      <w:r>
        <w:rPr>
          <w:spacing w:val="-3"/>
        </w:rPr>
        <w:t>冷凝、结霜或结冰等),才在试验循环的适当阶段喷入水蒸气，以模拟使用中经历</w:t>
      </w:r>
      <w:r>
        <w:rPr>
          <w:spacing w:val="14"/>
        </w:rPr>
        <w:t xml:space="preserve"> </w:t>
      </w:r>
      <w:r>
        <w:rPr>
          <w:spacing w:val="-3"/>
        </w:rPr>
        <w:t>的环境条件。</w:t>
      </w:r>
    </w:p>
    <w:p w14:paraId="680F0F97">
      <w:pPr>
        <w:spacing w:before="36" w:line="222" w:lineRule="auto"/>
        <w:rPr>
          <w:rFonts w:ascii="黑体" w:hAnsi="黑体" w:eastAsia="黑体" w:cs="黑体"/>
          <w:sz w:val="25"/>
          <w:szCs w:val="25"/>
        </w:rPr>
      </w:pPr>
      <w:r>
        <w:rPr>
          <w:rFonts w:ascii="黑体" w:hAnsi="黑体" w:eastAsia="黑体" w:cs="黑体"/>
          <w:spacing w:val="10"/>
          <w:sz w:val="25"/>
          <w:szCs w:val="25"/>
        </w:rPr>
        <w:t>7.2.4</w:t>
      </w:r>
      <w:r>
        <w:rPr>
          <w:rFonts w:ascii="黑体" w:hAnsi="黑体" w:eastAsia="黑体" w:cs="黑体"/>
          <w:spacing w:val="53"/>
          <w:sz w:val="25"/>
          <w:szCs w:val="25"/>
        </w:rPr>
        <w:t xml:space="preserve">  </w:t>
      </w:r>
      <w:r>
        <w:rPr>
          <w:rFonts w:ascii="黑体" w:hAnsi="黑体" w:eastAsia="黑体" w:cs="黑体"/>
          <w:spacing w:val="10"/>
          <w:sz w:val="25"/>
          <w:szCs w:val="25"/>
        </w:rPr>
        <w:t>振动应力</w:t>
      </w:r>
    </w:p>
    <w:p w14:paraId="4C06C4AE">
      <w:pPr>
        <w:pStyle w:val="2"/>
        <w:spacing w:before="91" w:line="284" w:lineRule="auto"/>
        <w:ind w:right="23" w:firstLine="550"/>
      </w:pPr>
      <w:r>
        <w:rPr>
          <w:spacing w:val="5"/>
        </w:rPr>
        <w:t>振动应力量值和剖面应按产品的现场使用类别、产品的安装位置和预期使</w:t>
      </w:r>
      <w:r>
        <w:rPr>
          <w:spacing w:val="2"/>
        </w:rPr>
        <w:t xml:space="preserve"> </w:t>
      </w:r>
      <w:r>
        <w:rPr>
          <w:spacing w:val="-1"/>
        </w:rPr>
        <w:t>用情况确定。在确定实际振动应力时，至少</w:t>
      </w:r>
      <w:r>
        <w:rPr>
          <w:spacing w:val="-2"/>
        </w:rPr>
        <w:t>应考虑以下因素：</w:t>
      </w:r>
    </w:p>
    <w:p w14:paraId="5DBE1491">
      <w:pPr>
        <w:pStyle w:val="2"/>
        <w:spacing w:line="219" w:lineRule="auto"/>
        <w:ind w:left="550"/>
      </w:pPr>
      <w:r>
        <w:rPr>
          <w:rFonts w:ascii="Times New Roman" w:hAnsi="Times New Roman" w:eastAsia="Times New Roman" w:cs="Times New Roman"/>
          <w:spacing w:val="10"/>
        </w:rPr>
        <w:t>a</w:t>
      </w:r>
      <w:r>
        <w:rPr>
          <w:spacing w:val="10"/>
        </w:rPr>
        <w:t>)振动类型；</w:t>
      </w:r>
    </w:p>
    <w:p w14:paraId="70F0ED1B">
      <w:pPr>
        <w:pStyle w:val="2"/>
        <w:spacing w:before="59" w:line="212" w:lineRule="auto"/>
        <w:ind w:left="550"/>
      </w:pPr>
      <w:r>
        <w:rPr>
          <w:rFonts w:ascii="Times New Roman" w:hAnsi="Times New Roman" w:eastAsia="Times New Roman" w:cs="Times New Roman"/>
        </w:rPr>
        <w:t>b)</w:t>
      </w:r>
      <w:r>
        <w:rPr>
          <w:rFonts w:ascii="Times New Roman" w:hAnsi="Times New Roman" w:eastAsia="Times New Roman" w:cs="Times New Roman"/>
          <w:spacing w:val="61"/>
        </w:rPr>
        <w:t xml:space="preserve"> </w:t>
      </w:r>
      <w:r>
        <w:t>频率范围；</w:t>
      </w:r>
    </w:p>
    <w:p w14:paraId="069F3807">
      <w:pPr>
        <w:pStyle w:val="2"/>
        <w:spacing w:before="100" w:line="212" w:lineRule="auto"/>
        <w:ind w:left="550"/>
      </w:pPr>
      <w:r>
        <w:rPr>
          <w:rFonts w:ascii="Times New Roman" w:hAnsi="Times New Roman" w:eastAsia="Times New Roman" w:cs="Times New Roman"/>
          <w:spacing w:val="-2"/>
        </w:rPr>
        <w:t>c)</w:t>
      </w:r>
      <w:r>
        <w:rPr>
          <w:rFonts w:ascii="Times New Roman" w:hAnsi="Times New Roman" w:eastAsia="Times New Roman" w:cs="Times New Roman"/>
          <w:spacing w:val="62"/>
        </w:rPr>
        <w:t xml:space="preserve"> </w:t>
      </w:r>
      <w:r>
        <w:rPr>
          <w:spacing w:val="-2"/>
        </w:rPr>
        <w:t>振动量值；</w:t>
      </w:r>
    </w:p>
    <w:p w14:paraId="243480C6">
      <w:pPr>
        <w:pStyle w:val="2"/>
        <w:spacing w:before="90" w:line="212" w:lineRule="auto"/>
        <w:ind w:left="550"/>
      </w:pPr>
      <w:r>
        <w:rPr>
          <w:rFonts w:ascii="Times New Roman" w:hAnsi="Times New Roman" w:eastAsia="Times New Roman" w:cs="Times New Roman"/>
          <w:spacing w:val="2"/>
        </w:rPr>
        <w:t>d)</w:t>
      </w:r>
      <w:r>
        <w:rPr>
          <w:rFonts w:ascii="Times New Roman" w:hAnsi="Times New Roman" w:eastAsia="Times New Roman" w:cs="Times New Roman"/>
          <w:spacing w:val="75"/>
        </w:rPr>
        <w:t xml:space="preserve"> </w:t>
      </w:r>
      <w:r>
        <w:rPr>
          <w:spacing w:val="2"/>
        </w:rPr>
        <w:t>施加振动的方向和方式。</w:t>
      </w:r>
    </w:p>
    <w:p w14:paraId="3DC343D4">
      <w:pPr>
        <w:spacing w:before="62" w:line="368" w:lineRule="exact"/>
        <w:rPr>
          <w:rFonts w:ascii="黑体" w:hAnsi="黑体" w:eastAsia="黑体" w:cs="黑体"/>
          <w:sz w:val="27"/>
          <w:szCs w:val="27"/>
        </w:rPr>
      </w:pPr>
      <w:r>
        <w:rPr>
          <w:rFonts w:ascii="Arial" w:hAnsi="Arial" w:eastAsia="Arial" w:cs="Arial"/>
          <w:spacing w:val="-7"/>
          <w:position w:val="1"/>
          <w:sz w:val="27"/>
          <w:szCs w:val="27"/>
        </w:rPr>
        <w:t xml:space="preserve">8    </w:t>
      </w:r>
      <w:r>
        <w:rPr>
          <w:rFonts w:ascii="黑体" w:hAnsi="黑体" w:eastAsia="黑体" w:cs="黑体"/>
          <w:spacing w:val="-7"/>
          <w:position w:val="1"/>
          <w:sz w:val="27"/>
          <w:szCs w:val="27"/>
        </w:rPr>
        <w:t>性能、功能的检测要求</w:t>
      </w:r>
    </w:p>
    <w:p w14:paraId="52F4D539">
      <w:pPr>
        <w:pStyle w:val="2"/>
        <w:spacing w:before="102" w:line="278" w:lineRule="auto"/>
        <w:ind w:firstLine="550"/>
        <w:jc w:val="both"/>
      </w:pPr>
      <w:r>
        <w:rPr>
          <w:spacing w:val="6"/>
        </w:rPr>
        <w:t>应将产品规范或试验大纲规定的性能参数合</w:t>
      </w:r>
      <w:r>
        <w:rPr>
          <w:spacing w:val="5"/>
        </w:rPr>
        <w:t>格范围作为受试产品在可靠性</w:t>
      </w:r>
      <w:r>
        <w:t xml:space="preserve"> </w:t>
      </w:r>
      <w:r>
        <w:rPr>
          <w:spacing w:val="5"/>
        </w:rPr>
        <w:t>试验期间的性能基准。试验前后均应在规定的标准大气条件下对受试产品进行</w:t>
      </w:r>
      <w:r>
        <w:rPr>
          <w:spacing w:val="2"/>
        </w:rPr>
        <w:t xml:space="preserve"> </w:t>
      </w:r>
      <w:r>
        <w:rPr>
          <w:spacing w:val="-2"/>
        </w:rPr>
        <w:t>测试。对试验前、试验期间、试验后的性能、功能测试提出检测要求</w:t>
      </w:r>
      <w:r>
        <w:rPr>
          <w:spacing w:val="-3"/>
        </w:rPr>
        <w:t>，如检测内</w:t>
      </w:r>
      <w:r>
        <w:t xml:space="preserve"> </w:t>
      </w:r>
      <w:r>
        <w:rPr>
          <w:spacing w:val="-13"/>
        </w:rPr>
        <w:t>容、检测方式和检测时机、次数等。</w:t>
      </w:r>
    </w:p>
    <w:p w14:paraId="67DED5D3">
      <w:pPr>
        <w:spacing w:before="1" w:line="220" w:lineRule="auto"/>
        <w:rPr>
          <w:rFonts w:ascii="黑体" w:hAnsi="黑体" w:eastAsia="黑体" w:cs="黑体"/>
          <w:sz w:val="27"/>
          <w:szCs w:val="27"/>
        </w:rPr>
      </w:pPr>
      <w:r>
        <w:rPr>
          <w:rFonts w:ascii="黑体" w:hAnsi="黑体" w:eastAsia="黑体" w:cs="黑体"/>
          <w:spacing w:val="-3"/>
          <w:sz w:val="27"/>
          <w:szCs w:val="27"/>
        </w:rPr>
        <w:t>9  故障判据、故障分类和故障统计</w:t>
      </w:r>
    </w:p>
    <w:p w14:paraId="41FFEFE9">
      <w:pPr>
        <w:pStyle w:val="2"/>
        <w:spacing w:before="110" w:line="219" w:lineRule="auto"/>
        <w:ind w:left="550"/>
      </w:pPr>
      <w:r>
        <w:rPr>
          <w:spacing w:val="-3"/>
        </w:rPr>
        <w:t>明确故障判据、故障分类和故障统计方案及相关要求。</w:t>
      </w:r>
    </w:p>
    <w:p w14:paraId="0633F706">
      <w:pPr>
        <w:spacing w:before="77" w:line="221" w:lineRule="auto"/>
        <w:rPr>
          <w:rFonts w:ascii="黑体" w:hAnsi="黑体" w:eastAsia="黑体" w:cs="黑体"/>
          <w:sz w:val="27"/>
          <w:szCs w:val="27"/>
        </w:rPr>
      </w:pPr>
      <w:r>
        <w:rPr>
          <w:rFonts w:ascii="黑体" w:hAnsi="黑体" w:eastAsia="黑体" w:cs="黑体"/>
          <w:spacing w:val="-3"/>
          <w:sz w:val="27"/>
          <w:szCs w:val="27"/>
        </w:rPr>
        <w:t>10  试验数据的收集、记录和处理的要求</w:t>
      </w:r>
    </w:p>
    <w:p w14:paraId="41E5C330">
      <w:pPr>
        <w:pStyle w:val="2"/>
        <w:spacing w:before="68" w:line="290" w:lineRule="auto"/>
        <w:ind w:right="27" w:firstLine="550"/>
      </w:pPr>
      <w:r>
        <w:rPr>
          <w:spacing w:val="-3"/>
        </w:rPr>
        <w:t>明确试验过程中需要收集的数据，同时给出相</w:t>
      </w:r>
      <w:r>
        <w:rPr>
          <w:spacing w:val="-4"/>
        </w:rPr>
        <w:t>应的记录表格，提出数据处理</w:t>
      </w:r>
      <w:r>
        <w:t xml:space="preserve"> 的程序和要求。</w:t>
      </w:r>
    </w:p>
    <w:p w14:paraId="3ACF0DC5">
      <w:pPr>
        <w:spacing w:before="1" w:line="220" w:lineRule="auto"/>
        <w:rPr>
          <w:rFonts w:ascii="黑体" w:hAnsi="黑体" w:eastAsia="黑体" w:cs="黑体"/>
          <w:sz w:val="24"/>
          <w:szCs w:val="24"/>
        </w:rPr>
      </w:pPr>
      <w:r>
        <w:rPr>
          <w:rFonts w:ascii="黑体" w:hAnsi="黑体" w:eastAsia="黑体" w:cs="黑体"/>
          <w:spacing w:val="26"/>
          <w:sz w:val="24"/>
          <w:szCs w:val="24"/>
        </w:rPr>
        <w:t>11</w:t>
      </w:r>
      <w:r>
        <w:rPr>
          <w:rFonts w:ascii="黑体" w:hAnsi="黑体" w:eastAsia="黑体" w:cs="黑体"/>
          <w:spacing w:val="46"/>
          <w:sz w:val="24"/>
          <w:szCs w:val="24"/>
        </w:rPr>
        <w:t xml:space="preserve">  </w:t>
      </w:r>
      <w:r>
        <w:rPr>
          <w:rFonts w:ascii="黑体" w:hAnsi="黑体" w:eastAsia="黑体" w:cs="黑体"/>
          <w:spacing w:val="26"/>
          <w:sz w:val="24"/>
          <w:szCs w:val="24"/>
        </w:rPr>
        <w:t>预防性维修的要求</w:t>
      </w:r>
    </w:p>
    <w:p w14:paraId="16C18324">
      <w:pPr>
        <w:pStyle w:val="2"/>
        <w:spacing w:before="104" w:line="276" w:lineRule="auto"/>
        <w:ind w:right="24" w:firstLine="550"/>
      </w:pPr>
      <w:r>
        <w:rPr>
          <w:spacing w:val="5"/>
        </w:rPr>
        <w:t>明确可靠性增长试验期间，进行产品使用期间规定的和已列入批准的试验</w:t>
      </w:r>
      <w:r>
        <w:t xml:space="preserve"> </w:t>
      </w:r>
      <w:r>
        <w:rPr>
          <w:spacing w:val="2"/>
        </w:rPr>
        <w:t>大纲中预防性维修的有关要求。</w:t>
      </w:r>
    </w:p>
    <w:p w14:paraId="35242BEC">
      <w:pPr>
        <w:spacing w:line="276" w:lineRule="auto"/>
        <w:sectPr>
          <w:footerReference r:id="rId388" w:type="default"/>
          <w:pgSz w:w="11910" w:h="17130"/>
          <w:pgMar w:top="1456" w:right="1523" w:bottom="1606" w:left="1009" w:header="0" w:footer="1417" w:gutter="0"/>
          <w:cols w:space="720" w:num="1"/>
        </w:sectPr>
      </w:pPr>
    </w:p>
    <w:p w14:paraId="775BF3A2">
      <w:pPr>
        <w:spacing w:before="138" w:line="221" w:lineRule="auto"/>
        <w:rPr>
          <w:rFonts w:ascii="黑体" w:hAnsi="黑体" w:eastAsia="黑体" w:cs="黑体"/>
          <w:sz w:val="27"/>
          <w:szCs w:val="27"/>
        </w:rPr>
      </w:pPr>
      <w:r>
        <w:rPr>
          <w:rFonts w:ascii="黑体" w:hAnsi="黑体" w:eastAsia="黑体" w:cs="黑体"/>
          <w:spacing w:val="-3"/>
          <w:sz w:val="27"/>
          <w:szCs w:val="27"/>
        </w:rPr>
        <w:t>12</w:t>
      </w:r>
      <w:r>
        <w:rPr>
          <w:rFonts w:ascii="黑体" w:hAnsi="黑体" w:eastAsia="黑体" w:cs="黑体"/>
          <w:spacing w:val="21"/>
          <w:sz w:val="27"/>
          <w:szCs w:val="27"/>
        </w:rPr>
        <w:t xml:space="preserve">  </w:t>
      </w:r>
      <w:r>
        <w:rPr>
          <w:rFonts w:ascii="黑体" w:hAnsi="黑体" w:eastAsia="黑体" w:cs="黑体"/>
          <w:b/>
          <w:bCs/>
          <w:spacing w:val="-3"/>
          <w:sz w:val="27"/>
          <w:szCs w:val="27"/>
        </w:rPr>
        <w:t>试验进度安排</w:t>
      </w:r>
    </w:p>
    <w:p w14:paraId="08EA2191">
      <w:pPr>
        <w:pStyle w:val="2"/>
        <w:spacing w:before="103" w:line="219" w:lineRule="auto"/>
        <w:ind w:left="550"/>
      </w:pPr>
      <w:r>
        <w:rPr>
          <w:spacing w:val="-1"/>
        </w:rPr>
        <w:t>明确试验日程安排和阶段划分，包括试验大纲审查的日程安排。</w:t>
      </w:r>
    </w:p>
    <w:p w14:paraId="2438CD71">
      <w:pPr>
        <w:spacing w:before="93" w:line="222" w:lineRule="auto"/>
        <w:rPr>
          <w:rFonts w:ascii="黑体" w:hAnsi="黑体" w:eastAsia="黑体" w:cs="黑体"/>
          <w:sz w:val="25"/>
          <w:szCs w:val="25"/>
        </w:rPr>
      </w:pPr>
      <w:r>
        <w:rPr>
          <w:rFonts w:ascii="黑体" w:hAnsi="黑体" w:eastAsia="黑体" w:cs="黑体"/>
          <w:spacing w:val="6"/>
          <w:sz w:val="25"/>
          <w:szCs w:val="25"/>
        </w:rPr>
        <w:t>13</w:t>
      </w:r>
      <w:r>
        <w:rPr>
          <w:rFonts w:ascii="黑体" w:hAnsi="黑体" w:eastAsia="黑体" w:cs="黑体"/>
          <w:spacing w:val="39"/>
          <w:sz w:val="25"/>
          <w:szCs w:val="25"/>
        </w:rPr>
        <w:t xml:space="preserve">  </w:t>
      </w:r>
      <w:r>
        <w:rPr>
          <w:rFonts w:ascii="黑体" w:hAnsi="黑体" w:eastAsia="黑体" w:cs="黑体"/>
          <w:b/>
          <w:bCs/>
          <w:spacing w:val="6"/>
          <w:sz w:val="25"/>
          <w:szCs w:val="25"/>
        </w:rPr>
        <w:t>故障分析、改进设计情况</w:t>
      </w:r>
    </w:p>
    <w:p w14:paraId="69FCBC41">
      <w:pPr>
        <w:pStyle w:val="2"/>
        <w:spacing w:before="96" w:line="274" w:lineRule="auto"/>
        <w:ind w:firstLine="550"/>
        <w:jc w:val="both"/>
      </w:pPr>
      <w:r>
        <w:rPr>
          <w:spacing w:val="-3"/>
        </w:rPr>
        <w:t>说明故障分析、改进设计情况。对试验过程中出现的故障，进行故障模式和</w:t>
      </w:r>
      <w:r>
        <w:rPr>
          <w:spacing w:val="9"/>
        </w:rPr>
        <w:t xml:space="preserve"> </w:t>
      </w:r>
      <w:r>
        <w:rPr>
          <w:spacing w:val="-2"/>
        </w:rPr>
        <w:t>故障机理分析。故障处理应按试验程序的规定进</w:t>
      </w:r>
      <w:r>
        <w:rPr>
          <w:spacing w:val="-3"/>
        </w:rPr>
        <w:t>行，一般是：故障记录；故障定</w:t>
      </w:r>
      <w:r>
        <w:t xml:space="preserve"> </w:t>
      </w:r>
      <w:r>
        <w:rPr>
          <w:spacing w:val="-12"/>
        </w:rPr>
        <w:t>位；故障机理分析；故障复现；纠正措施及其验证情况。</w:t>
      </w:r>
    </w:p>
    <w:p w14:paraId="17882E51">
      <w:pPr>
        <w:spacing w:before="19" w:line="221" w:lineRule="auto"/>
        <w:rPr>
          <w:rFonts w:ascii="黑体" w:hAnsi="黑体" w:eastAsia="黑体" w:cs="黑体"/>
          <w:sz w:val="24"/>
          <w:szCs w:val="24"/>
        </w:rPr>
      </w:pPr>
      <w:r>
        <w:rPr>
          <w:rFonts w:ascii="黑体" w:hAnsi="黑体" w:eastAsia="黑体" w:cs="黑体"/>
          <w:spacing w:val="23"/>
          <w:sz w:val="24"/>
          <w:szCs w:val="24"/>
        </w:rPr>
        <w:t>14</w:t>
      </w:r>
      <w:r>
        <w:rPr>
          <w:rFonts w:ascii="黑体" w:hAnsi="黑体" w:eastAsia="黑体" w:cs="黑体"/>
          <w:spacing w:val="49"/>
          <w:sz w:val="24"/>
          <w:szCs w:val="24"/>
        </w:rPr>
        <w:t xml:space="preserve">  </w:t>
      </w:r>
      <w:r>
        <w:rPr>
          <w:rFonts w:ascii="黑体" w:hAnsi="黑体" w:eastAsia="黑体" w:cs="黑体"/>
          <w:b/>
          <w:bCs/>
          <w:spacing w:val="23"/>
          <w:sz w:val="24"/>
          <w:szCs w:val="24"/>
        </w:rPr>
        <w:t>受试产品的最后处理</w:t>
      </w:r>
    </w:p>
    <w:p w14:paraId="454178D5">
      <w:pPr>
        <w:pStyle w:val="2"/>
        <w:spacing w:before="109" w:line="275" w:lineRule="auto"/>
        <w:ind w:right="10" w:firstLine="550"/>
      </w:pPr>
      <w:r>
        <w:rPr>
          <w:spacing w:val="5"/>
        </w:rPr>
        <w:t>明确试验用产品的处理意见。可靠性增长试验后的产品一般不能再用于其</w:t>
      </w:r>
      <w:r>
        <w:rPr>
          <w:spacing w:val="10"/>
        </w:rPr>
        <w:t xml:space="preserve"> </w:t>
      </w:r>
      <w:r>
        <w:rPr>
          <w:spacing w:val="-6"/>
        </w:rPr>
        <w:t>他试验，也不能作为产品交付。</w:t>
      </w:r>
    </w:p>
    <w:p w14:paraId="73071937">
      <w:pPr>
        <w:spacing w:before="2" w:line="220" w:lineRule="auto"/>
        <w:rPr>
          <w:rFonts w:ascii="黑体" w:hAnsi="黑体" w:eastAsia="黑体" w:cs="黑体"/>
          <w:sz w:val="27"/>
          <w:szCs w:val="27"/>
        </w:rPr>
      </w:pPr>
      <w:r>
        <w:rPr>
          <w:rFonts w:ascii="黑体" w:hAnsi="黑体" w:eastAsia="黑体" w:cs="黑体"/>
          <w:sz w:val="27"/>
          <w:szCs w:val="27"/>
        </w:rPr>
        <w:t>15</w:t>
      </w:r>
      <w:r>
        <w:rPr>
          <w:rFonts w:ascii="黑体" w:hAnsi="黑体" w:eastAsia="黑体" w:cs="黑体"/>
          <w:spacing w:val="22"/>
          <w:sz w:val="27"/>
          <w:szCs w:val="27"/>
        </w:rPr>
        <w:t xml:space="preserve">  </w:t>
      </w:r>
      <w:r>
        <w:rPr>
          <w:rFonts w:ascii="黑体" w:hAnsi="黑体" w:eastAsia="黑体" w:cs="黑体"/>
          <w:b/>
          <w:bCs/>
          <w:sz w:val="27"/>
          <w:szCs w:val="27"/>
        </w:rPr>
        <w:t>组织机构及试验管理的规定</w:t>
      </w:r>
    </w:p>
    <w:p w14:paraId="4C23DBD7">
      <w:pPr>
        <w:pStyle w:val="2"/>
        <w:spacing w:before="101" w:line="219" w:lineRule="auto"/>
        <w:ind w:left="550"/>
      </w:pPr>
      <w:r>
        <w:rPr>
          <w:spacing w:val="-6"/>
        </w:rPr>
        <w:t>明确试验的组织机构、各类人员的设置，并</w:t>
      </w:r>
      <w:r>
        <w:rPr>
          <w:spacing w:val="-7"/>
        </w:rPr>
        <w:t>规定相应的职责。</w:t>
      </w:r>
    </w:p>
    <w:p w14:paraId="06266008">
      <w:pPr>
        <w:spacing w:before="76" w:line="222" w:lineRule="auto"/>
        <w:rPr>
          <w:rFonts w:ascii="黑体" w:hAnsi="黑体" w:eastAsia="黑体" w:cs="黑体"/>
          <w:sz w:val="27"/>
          <w:szCs w:val="27"/>
        </w:rPr>
      </w:pPr>
      <w:r>
        <w:rPr>
          <w:rFonts w:ascii="黑体" w:hAnsi="黑体" w:eastAsia="黑体" w:cs="黑体"/>
          <w:spacing w:val="-2"/>
          <w:sz w:val="27"/>
          <w:szCs w:val="27"/>
        </w:rPr>
        <w:t>16</w:t>
      </w:r>
      <w:r>
        <w:rPr>
          <w:rFonts w:ascii="黑体" w:hAnsi="黑体" w:eastAsia="黑体" w:cs="黑体"/>
          <w:spacing w:val="20"/>
          <w:sz w:val="27"/>
          <w:szCs w:val="27"/>
        </w:rPr>
        <w:t xml:space="preserve">  </w:t>
      </w:r>
      <w:r>
        <w:rPr>
          <w:rFonts w:ascii="黑体" w:hAnsi="黑体" w:eastAsia="黑体" w:cs="黑体"/>
          <w:b/>
          <w:bCs/>
          <w:spacing w:val="-2"/>
          <w:sz w:val="27"/>
          <w:szCs w:val="27"/>
        </w:rPr>
        <w:t>其他有关事项</w:t>
      </w:r>
    </w:p>
    <w:p w14:paraId="2369670B">
      <w:pPr>
        <w:pStyle w:val="2"/>
        <w:spacing w:before="91" w:line="277" w:lineRule="auto"/>
        <w:ind w:right="8" w:firstLine="550"/>
      </w:pPr>
      <w:r>
        <w:rPr>
          <w:spacing w:val="5"/>
        </w:rPr>
        <w:t>对试验大纲中其他章节中尚不明确的事项进行规定，以保证试验大纲的完</w:t>
      </w:r>
      <w:r>
        <w:rPr>
          <w:spacing w:val="12"/>
        </w:rPr>
        <w:t xml:space="preserve"> </w:t>
      </w:r>
      <w:r>
        <w:rPr>
          <w:spacing w:val="2"/>
        </w:rPr>
        <w:t>整性和严密性。</w:t>
      </w:r>
    </w:p>
    <w:p w14:paraId="4E4498E0">
      <w:pPr>
        <w:pStyle w:val="2"/>
        <w:spacing w:before="355" w:line="218" w:lineRule="auto"/>
        <w:ind w:left="2510"/>
        <w:outlineLvl w:val="1"/>
        <w:rPr>
          <w:sz w:val="36"/>
          <w:szCs w:val="36"/>
        </w:rPr>
      </w:pPr>
      <w:r>
        <w:rPr>
          <w:rFonts w:ascii="Times New Roman" w:hAnsi="Times New Roman" w:eastAsia="Times New Roman" w:cs="Times New Roman"/>
          <w:b/>
          <w:bCs/>
          <w:spacing w:val="2"/>
          <w:sz w:val="36"/>
          <w:szCs w:val="36"/>
        </w:rPr>
        <w:t xml:space="preserve">7.20     </w:t>
      </w:r>
      <w:r>
        <w:rPr>
          <w:b/>
          <w:bCs/>
          <w:spacing w:val="2"/>
          <w:sz w:val="36"/>
          <w:szCs w:val="36"/>
        </w:rPr>
        <w:t>可靠性增长试验报告</w:t>
      </w:r>
    </w:p>
    <w:p w14:paraId="3CF5645C">
      <w:pPr>
        <w:spacing w:line="385" w:lineRule="auto"/>
        <w:rPr>
          <w:rFonts w:ascii="Arial"/>
          <w:sz w:val="21"/>
        </w:rPr>
      </w:pPr>
    </w:p>
    <w:p w14:paraId="0D81A68D">
      <w:pPr>
        <w:pStyle w:val="2"/>
        <w:spacing w:before="79" w:line="226" w:lineRule="auto"/>
        <w:ind w:left="55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21"/>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1407—1992</w:t>
      </w:r>
      <w:r>
        <w:rPr>
          <w:spacing w:val="9"/>
          <w:sz w:val="24"/>
          <w:szCs w:val="24"/>
        </w:rPr>
        <w:t>《</w:t>
      </w:r>
      <w:r>
        <w:rPr>
          <w:rFonts w:ascii="楷体" w:hAnsi="楷体" w:eastAsia="楷体" w:cs="楷体"/>
          <w:spacing w:val="9"/>
          <w:sz w:val="24"/>
          <w:szCs w:val="24"/>
        </w:rPr>
        <w:t>可靠性增长试验》编写。</w:t>
      </w:r>
    </w:p>
    <w:p w14:paraId="09DEBFDE">
      <w:pPr>
        <w:spacing w:before="73" w:line="221"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3"/>
          <w:sz w:val="27"/>
          <w:szCs w:val="27"/>
        </w:rPr>
        <w:t xml:space="preserve">  </w:t>
      </w:r>
      <w:r>
        <w:rPr>
          <w:rFonts w:ascii="黑体" w:hAnsi="黑体" w:eastAsia="黑体" w:cs="黑体"/>
          <w:b/>
          <w:bCs/>
          <w:spacing w:val="-3"/>
          <w:sz w:val="27"/>
          <w:szCs w:val="27"/>
        </w:rPr>
        <w:t>试验内容和目的</w:t>
      </w:r>
    </w:p>
    <w:p w14:paraId="7AE33842">
      <w:pPr>
        <w:pStyle w:val="2"/>
        <w:spacing w:before="103" w:line="219" w:lineRule="auto"/>
        <w:ind w:left="550"/>
      </w:pPr>
      <w:r>
        <w:rPr>
          <w:spacing w:val="-11"/>
        </w:rPr>
        <w:t>说明试验目的、试验内容，说明试验过程。</w:t>
      </w:r>
    </w:p>
    <w:p w14:paraId="49B76F53">
      <w:pPr>
        <w:spacing w:before="64" w:line="221"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试验依据</w:t>
      </w:r>
    </w:p>
    <w:p w14:paraId="08FCFA7D">
      <w:pPr>
        <w:pStyle w:val="2"/>
        <w:spacing w:before="132" w:line="286" w:lineRule="auto"/>
        <w:ind w:right="6" w:firstLine="550"/>
        <w:rPr>
          <w:sz w:val="25"/>
          <w:szCs w:val="25"/>
        </w:rPr>
      </w:pPr>
      <w:r>
        <w:rPr>
          <w:spacing w:val="9"/>
          <w:sz w:val="25"/>
          <w:szCs w:val="25"/>
        </w:rPr>
        <w:t>说明试验依据，即可靠性增长试验大纲、研制总要求，试验与评定总计划，产</w:t>
      </w:r>
      <w:r>
        <w:rPr>
          <w:spacing w:val="8"/>
          <w:sz w:val="25"/>
          <w:szCs w:val="25"/>
        </w:rPr>
        <w:t xml:space="preserve"> </w:t>
      </w:r>
      <w:r>
        <w:rPr>
          <w:spacing w:val="14"/>
          <w:sz w:val="25"/>
          <w:szCs w:val="25"/>
        </w:rPr>
        <w:t>品规范等。</w:t>
      </w:r>
    </w:p>
    <w:p w14:paraId="5C024BFE">
      <w:pPr>
        <w:spacing w:before="1" w:line="220" w:lineRule="auto"/>
        <w:outlineLvl w:val="3"/>
        <w:rPr>
          <w:rFonts w:ascii="黑体" w:hAnsi="黑体" w:eastAsia="黑体" w:cs="黑体"/>
          <w:sz w:val="27"/>
          <w:szCs w:val="27"/>
        </w:rPr>
      </w:pPr>
      <w:r>
        <w:rPr>
          <w:rFonts w:ascii="Arial" w:hAnsi="Arial" w:eastAsia="Arial" w:cs="Arial"/>
          <w:b/>
          <w:bCs/>
          <w:sz w:val="27"/>
          <w:szCs w:val="27"/>
        </w:rPr>
        <w:t>3</w:t>
      </w:r>
      <w:r>
        <w:rPr>
          <w:rFonts w:ascii="Arial" w:hAnsi="Arial" w:eastAsia="Arial" w:cs="Arial"/>
          <w:b/>
          <w:bCs/>
          <w:spacing w:val="21"/>
          <w:sz w:val="27"/>
          <w:szCs w:val="27"/>
        </w:rPr>
        <w:t xml:space="preserve">   </w:t>
      </w:r>
      <w:r>
        <w:rPr>
          <w:rFonts w:ascii="黑体" w:hAnsi="黑体" w:eastAsia="黑体" w:cs="黑体"/>
          <w:b/>
          <w:bCs/>
          <w:sz w:val="27"/>
          <w:szCs w:val="27"/>
        </w:rPr>
        <w:t>试验的日历时间和地点</w:t>
      </w:r>
    </w:p>
    <w:p w14:paraId="0A891EED">
      <w:pPr>
        <w:pStyle w:val="2"/>
        <w:spacing w:before="104" w:line="219" w:lineRule="auto"/>
        <w:ind w:left="550"/>
      </w:pPr>
      <w:r>
        <w:rPr>
          <w:spacing w:val="2"/>
        </w:rPr>
        <w:t>说明试验的日历时间和试验地点。</w:t>
      </w:r>
    </w:p>
    <w:p w14:paraId="6D78D15B">
      <w:pPr>
        <w:spacing w:before="83" w:line="221" w:lineRule="auto"/>
        <w:outlineLvl w:val="3"/>
        <w:rPr>
          <w:rFonts w:ascii="黑体" w:hAnsi="黑体" w:eastAsia="黑体" w:cs="黑体"/>
          <w:sz w:val="27"/>
          <w:szCs w:val="27"/>
        </w:rPr>
      </w:pPr>
      <w:r>
        <w:rPr>
          <w:rFonts w:ascii="Arial" w:hAnsi="Arial" w:eastAsia="Arial" w:cs="Arial"/>
          <w:b/>
          <w:bCs/>
          <w:spacing w:val="-6"/>
          <w:sz w:val="27"/>
          <w:szCs w:val="27"/>
        </w:rPr>
        <w:t>4</w:t>
      </w:r>
      <w:r>
        <w:rPr>
          <w:rFonts w:ascii="Arial" w:hAnsi="Arial" w:eastAsia="Arial" w:cs="Arial"/>
          <w:b/>
          <w:bCs/>
          <w:spacing w:val="23"/>
          <w:sz w:val="27"/>
          <w:szCs w:val="27"/>
        </w:rPr>
        <w:t xml:space="preserve">   </w:t>
      </w:r>
      <w:r>
        <w:rPr>
          <w:rFonts w:ascii="黑体" w:hAnsi="黑体" w:eastAsia="黑体" w:cs="黑体"/>
          <w:b/>
          <w:bCs/>
          <w:spacing w:val="-6"/>
          <w:sz w:val="27"/>
          <w:szCs w:val="27"/>
        </w:rPr>
        <w:t>试验的样本量、样机状态及累积试验时间</w:t>
      </w:r>
    </w:p>
    <w:p w14:paraId="3AEF192B">
      <w:pPr>
        <w:pStyle w:val="2"/>
        <w:spacing w:before="91" w:line="272" w:lineRule="auto"/>
        <w:ind w:right="10" w:firstLine="550"/>
      </w:pPr>
      <w:r>
        <w:rPr>
          <w:spacing w:val="5"/>
        </w:rPr>
        <w:t>说明试验的样本量及选取情况，受试样机的技术状态，依据可靠性增长模</w:t>
      </w:r>
      <w:r>
        <w:rPr>
          <w:spacing w:val="10"/>
        </w:rPr>
        <w:t xml:space="preserve"> </w:t>
      </w:r>
      <w:r>
        <w:rPr>
          <w:spacing w:val="-3"/>
        </w:rPr>
        <w:t>型、工程经验及设备规范决定的累积试验时间。</w:t>
      </w:r>
    </w:p>
    <w:p w14:paraId="4515051A">
      <w:pPr>
        <w:spacing w:before="1" w:line="220"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3"/>
          <w:sz w:val="27"/>
          <w:szCs w:val="27"/>
        </w:rPr>
        <w:t xml:space="preserve">   </w:t>
      </w:r>
      <w:r>
        <w:rPr>
          <w:rFonts w:ascii="黑体" w:hAnsi="黑体" w:eastAsia="黑体" w:cs="黑体"/>
          <w:b/>
          <w:bCs/>
          <w:sz w:val="27"/>
          <w:szCs w:val="27"/>
        </w:rPr>
        <w:t>试验中所使用的环境条件说明</w:t>
      </w:r>
    </w:p>
    <w:p w14:paraId="67BD7FA4">
      <w:pPr>
        <w:pStyle w:val="2"/>
        <w:spacing w:before="93" w:line="282" w:lineRule="auto"/>
        <w:ind w:right="8" w:firstLine="550"/>
      </w:pPr>
      <w:r>
        <w:rPr>
          <w:spacing w:val="-11"/>
        </w:rPr>
        <w:t>说明试验中使用的环境条件，即对电、温度、湿度、振动等试验环境剖面进行</w:t>
      </w:r>
      <w:r>
        <w:rPr>
          <w:spacing w:val="6"/>
        </w:rPr>
        <w:t xml:space="preserve"> </w:t>
      </w:r>
      <w:r>
        <w:rPr>
          <w:spacing w:val="-4"/>
        </w:rPr>
        <w:t>说明。</w:t>
      </w:r>
    </w:p>
    <w:p w14:paraId="5A28E66F">
      <w:pPr>
        <w:spacing w:before="1" w:line="220" w:lineRule="auto"/>
        <w:outlineLvl w:val="3"/>
        <w:rPr>
          <w:rFonts w:ascii="黑体" w:hAnsi="黑体" w:eastAsia="黑体" w:cs="黑体"/>
          <w:sz w:val="27"/>
          <w:szCs w:val="27"/>
        </w:rPr>
      </w:pPr>
      <w:r>
        <w:rPr>
          <w:rFonts w:ascii="Arial" w:hAnsi="Arial" w:eastAsia="Arial" w:cs="Arial"/>
          <w:b/>
          <w:bCs/>
          <w:spacing w:val="3"/>
          <w:sz w:val="27"/>
          <w:szCs w:val="27"/>
        </w:rPr>
        <w:t>6</w:t>
      </w:r>
      <w:r>
        <w:rPr>
          <w:rFonts w:ascii="Arial" w:hAnsi="Arial" w:eastAsia="Arial" w:cs="Arial"/>
          <w:b/>
          <w:bCs/>
          <w:spacing w:val="20"/>
          <w:w w:val="101"/>
          <w:sz w:val="27"/>
          <w:szCs w:val="27"/>
        </w:rPr>
        <w:t xml:space="preserve">   </w:t>
      </w:r>
      <w:r>
        <w:rPr>
          <w:rFonts w:ascii="黑体" w:hAnsi="黑体" w:eastAsia="黑体" w:cs="黑体"/>
          <w:b/>
          <w:bCs/>
          <w:spacing w:val="3"/>
          <w:sz w:val="27"/>
          <w:szCs w:val="27"/>
        </w:rPr>
        <w:t>试验中所使用的试验装置及测试仪表的说明</w:t>
      </w:r>
    </w:p>
    <w:p w14:paraId="26C8C467">
      <w:pPr>
        <w:pStyle w:val="2"/>
        <w:spacing w:before="92" w:line="283" w:lineRule="auto"/>
        <w:ind w:right="4" w:firstLine="550"/>
      </w:pPr>
      <w:r>
        <w:rPr>
          <w:spacing w:val="5"/>
        </w:rPr>
        <w:t>说明用于此次试验的试验装置的能力及测试仪表的种类及精度要求及检定</w:t>
      </w:r>
      <w:r>
        <w:rPr>
          <w:spacing w:val="16"/>
        </w:rPr>
        <w:t xml:space="preserve"> </w:t>
      </w:r>
      <w:r>
        <w:rPr>
          <w:spacing w:val="-10"/>
        </w:rPr>
        <w:t>情况，包括输入电压、温度和振动的监控措施。</w:t>
      </w:r>
    </w:p>
    <w:p w14:paraId="6BD1E018">
      <w:pPr>
        <w:spacing w:line="283" w:lineRule="auto"/>
        <w:sectPr>
          <w:footerReference r:id="rId389" w:type="default"/>
          <w:pgSz w:w="11910" w:h="17130"/>
          <w:pgMar w:top="1456" w:right="858" w:bottom="1556" w:left="1680" w:header="0" w:footer="1367" w:gutter="0"/>
          <w:cols w:space="720" w:num="1"/>
        </w:sectPr>
      </w:pPr>
    </w:p>
    <w:p w14:paraId="398D9EA4">
      <w:pPr>
        <w:spacing w:before="92" w:line="221" w:lineRule="auto"/>
        <w:rPr>
          <w:rFonts w:ascii="黑体" w:hAnsi="黑体" w:eastAsia="黑体" w:cs="黑体"/>
          <w:sz w:val="27"/>
          <w:szCs w:val="27"/>
        </w:rPr>
      </w:pPr>
      <w:r>
        <w:rPr>
          <w:rFonts w:ascii="Arial" w:hAnsi="Arial" w:eastAsia="Arial" w:cs="Arial"/>
          <w:spacing w:val="3"/>
          <w:sz w:val="27"/>
          <w:szCs w:val="27"/>
        </w:rPr>
        <w:t>7</w:t>
      </w:r>
      <w:r>
        <w:rPr>
          <w:rFonts w:ascii="Arial" w:hAnsi="Arial" w:eastAsia="Arial" w:cs="Arial"/>
          <w:spacing w:val="21"/>
          <w:sz w:val="27"/>
          <w:szCs w:val="27"/>
        </w:rPr>
        <w:t xml:space="preserve">   </w:t>
      </w:r>
      <w:r>
        <w:rPr>
          <w:rFonts w:ascii="黑体" w:hAnsi="黑体" w:eastAsia="黑体" w:cs="黑体"/>
          <w:spacing w:val="3"/>
          <w:sz w:val="27"/>
          <w:szCs w:val="27"/>
        </w:rPr>
        <w:t>应力施加方法说明</w:t>
      </w:r>
    </w:p>
    <w:p w14:paraId="5CB314CF">
      <w:pPr>
        <w:pStyle w:val="2"/>
        <w:spacing w:before="59" w:line="273" w:lineRule="auto"/>
        <w:ind w:right="20" w:firstLine="550"/>
      </w:pPr>
      <w:r>
        <w:rPr>
          <w:spacing w:val="-11"/>
        </w:rPr>
        <w:t>根据综合环境试验剖面的要求，对电、温度、湿度和振动应力的施加时间、大</w:t>
      </w:r>
      <w:r>
        <w:rPr>
          <w:spacing w:val="5"/>
        </w:rPr>
        <w:t xml:space="preserve"> </w:t>
      </w:r>
      <w:r>
        <w:rPr>
          <w:spacing w:val="4"/>
        </w:rPr>
        <w:t>小变化速率等实施控制情况进行说明。</w:t>
      </w:r>
    </w:p>
    <w:p w14:paraId="72CBCC21">
      <w:pPr>
        <w:spacing w:line="368" w:lineRule="exact"/>
        <w:rPr>
          <w:rFonts w:ascii="黑体" w:hAnsi="黑体" w:eastAsia="黑体" w:cs="黑体"/>
          <w:sz w:val="27"/>
          <w:szCs w:val="27"/>
        </w:rPr>
      </w:pPr>
      <w:r>
        <w:rPr>
          <w:rFonts w:ascii="Arial" w:hAnsi="Arial" w:eastAsia="Arial" w:cs="Arial"/>
          <w:spacing w:val="1"/>
          <w:position w:val="1"/>
          <w:sz w:val="27"/>
          <w:szCs w:val="27"/>
        </w:rPr>
        <w:t xml:space="preserve">8   </w:t>
      </w:r>
      <w:r>
        <w:rPr>
          <w:rFonts w:ascii="黑体" w:hAnsi="黑体" w:eastAsia="黑体" w:cs="黑体"/>
          <w:spacing w:val="1"/>
          <w:position w:val="1"/>
          <w:sz w:val="27"/>
          <w:szCs w:val="27"/>
        </w:rPr>
        <w:t>试验中发生的故障次数、故障分类及故障处理情况</w:t>
      </w:r>
    </w:p>
    <w:p w14:paraId="3A6320B7">
      <w:pPr>
        <w:pStyle w:val="2"/>
        <w:spacing w:before="40" w:line="294" w:lineRule="auto"/>
        <w:ind w:right="20" w:firstLine="550"/>
      </w:pPr>
      <w:r>
        <w:rPr>
          <w:spacing w:val="-3"/>
        </w:rPr>
        <w:t>根据试验期间的值班记录、产品故障记录、所采取的纠正措施等，进行故障</w:t>
      </w:r>
      <w:r>
        <w:t xml:space="preserve"> </w:t>
      </w:r>
      <w:r>
        <w:rPr>
          <w:spacing w:val="-15"/>
        </w:rPr>
        <w:t>统计、分类，说明故障处理情况。</w:t>
      </w:r>
    </w:p>
    <w:p w14:paraId="29B41454">
      <w:pPr>
        <w:spacing w:before="1" w:line="220" w:lineRule="auto"/>
        <w:rPr>
          <w:rFonts w:ascii="黑体" w:hAnsi="黑体" w:eastAsia="黑体" w:cs="黑体"/>
          <w:sz w:val="27"/>
          <w:szCs w:val="27"/>
        </w:rPr>
      </w:pPr>
      <w:r>
        <w:rPr>
          <w:rFonts w:ascii="黑体" w:hAnsi="黑体" w:eastAsia="黑体" w:cs="黑体"/>
          <w:spacing w:val="4"/>
          <w:sz w:val="27"/>
          <w:szCs w:val="27"/>
        </w:rPr>
        <w:t>9  可靠性评估方法及结果</w:t>
      </w:r>
    </w:p>
    <w:p w14:paraId="3B650C29">
      <w:pPr>
        <w:pStyle w:val="2"/>
        <w:spacing w:before="56" w:line="284" w:lineRule="auto"/>
        <w:ind w:firstLine="550"/>
      </w:pPr>
      <w:r>
        <w:rPr>
          <w:spacing w:val="-2"/>
        </w:rPr>
        <w:t>试验结束后，应用选定的可靠性增长模型对试</w:t>
      </w:r>
      <w:r>
        <w:rPr>
          <w:spacing w:val="-3"/>
        </w:rPr>
        <w:t>验数据进行评估和分析，得出</w:t>
      </w:r>
      <w:r>
        <w:t xml:space="preserve"> </w:t>
      </w:r>
      <w:r>
        <w:rPr>
          <w:spacing w:val="1"/>
        </w:rPr>
        <w:t>可靠性评估结果。</w:t>
      </w:r>
    </w:p>
    <w:p w14:paraId="58F42403">
      <w:pPr>
        <w:spacing w:before="1" w:line="220" w:lineRule="auto"/>
        <w:rPr>
          <w:rFonts w:ascii="黑体" w:hAnsi="黑体" w:eastAsia="黑体" w:cs="黑体"/>
          <w:sz w:val="27"/>
          <w:szCs w:val="27"/>
        </w:rPr>
      </w:pPr>
      <w:r>
        <w:rPr>
          <w:rFonts w:ascii="黑体" w:hAnsi="黑体" w:eastAsia="黑体" w:cs="黑体"/>
          <w:spacing w:val="6"/>
          <w:sz w:val="27"/>
          <w:szCs w:val="27"/>
        </w:rPr>
        <w:t>10  其他需要说明的有关事项</w:t>
      </w:r>
    </w:p>
    <w:p w14:paraId="061BA192">
      <w:pPr>
        <w:pStyle w:val="2"/>
        <w:spacing w:before="100" w:line="219" w:lineRule="auto"/>
        <w:ind w:left="550"/>
      </w:pPr>
      <w:r>
        <w:rPr>
          <w:spacing w:val="-1"/>
        </w:rPr>
        <w:t>说明试验大纲中其他有关事项内容、试验中需补充说明的问题。</w:t>
      </w:r>
    </w:p>
    <w:p w14:paraId="432EEB7E">
      <w:pPr>
        <w:spacing w:line="329" w:lineRule="auto"/>
        <w:rPr>
          <w:rFonts w:ascii="Arial"/>
          <w:sz w:val="21"/>
        </w:rPr>
      </w:pPr>
    </w:p>
    <w:p w14:paraId="6818900C">
      <w:pPr>
        <w:pStyle w:val="2"/>
        <w:spacing w:before="117" w:line="219" w:lineRule="auto"/>
        <w:ind w:left="1950"/>
        <w:outlineLvl w:val="1"/>
        <w:rPr>
          <w:sz w:val="36"/>
          <w:szCs w:val="36"/>
        </w:rPr>
      </w:pPr>
      <w:r>
        <w:rPr>
          <w:rFonts w:ascii="Times New Roman" w:hAnsi="Times New Roman" w:eastAsia="Times New Roman" w:cs="Times New Roman"/>
          <w:b/>
          <w:bCs/>
          <w:spacing w:val="2"/>
          <w:sz w:val="36"/>
          <w:szCs w:val="36"/>
        </w:rPr>
        <w:t xml:space="preserve">7.21     </w:t>
      </w:r>
      <w:r>
        <w:rPr>
          <w:b/>
          <w:bCs/>
          <w:spacing w:val="2"/>
          <w:sz w:val="36"/>
          <w:szCs w:val="36"/>
        </w:rPr>
        <w:t>可靠性鉴定(验收)试验方案</w:t>
      </w:r>
    </w:p>
    <w:p w14:paraId="7156061A">
      <w:pPr>
        <w:spacing w:line="328" w:lineRule="auto"/>
        <w:rPr>
          <w:rFonts w:ascii="Arial"/>
          <w:sz w:val="21"/>
        </w:rPr>
      </w:pPr>
    </w:p>
    <w:p w14:paraId="61E84016">
      <w:pPr>
        <w:pStyle w:val="2"/>
        <w:spacing w:before="92" w:line="226" w:lineRule="auto"/>
        <w:ind w:left="55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23"/>
          <w:sz w:val="28"/>
          <w:szCs w:val="28"/>
        </w:rPr>
        <w:t xml:space="preserve"> </w:t>
      </w:r>
      <w:r>
        <w:rPr>
          <w:rFonts w:ascii="Times New Roman" w:hAnsi="Times New Roman" w:eastAsia="Times New Roman" w:cs="Times New Roman"/>
          <w:spacing w:val="-11"/>
          <w:sz w:val="28"/>
          <w:szCs w:val="28"/>
        </w:rPr>
        <w:t>899A—2009</w:t>
      </w:r>
      <w:r>
        <w:rPr>
          <w:spacing w:val="-11"/>
          <w:sz w:val="28"/>
          <w:szCs w:val="28"/>
        </w:rPr>
        <w:t>《</w:t>
      </w:r>
      <w:r>
        <w:rPr>
          <w:rFonts w:ascii="楷体" w:hAnsi="楷体" w:eastAsia="楷体" w:cs="楷体"/>
          <w:spacing w:val="-11"/>
          <w:sz w:val="28"/>
          <w:szCs w:val="28"/>
        </w:rPr>
        <w:t>可靠性鉴定和验收试验》编写。</w:t>
      </w:r>
    </w:p>
    <w:p w14:paraId="1983EF60">
      <w:pPr>
        <w:spacing w:before="77" w:line="221"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1"/>
          <w:sz w:val="27"/>
          <w:szCs w:val="27"/>
        </w:rPr>
        <w:t xml:space="preserve">  </w:t>
      </w:r>
      <w:r>
        <w:rPr>
          <w:rFonts w:ascii="黑体" w:hAnsi="黑体" w:eastAsia="黑体" w:cs="黑体"/>
          <w:spacing w:val="3"/>
          <w:sz w:val="27"/>
          <w:szCs w:val="27"/>
        </w:rPr>
        <w:t>试验目的</w:t>
      </w:r>
    </w:p>
    <w:p w14:paraId="72CFFC34">
      <w:pPr>
        <w:pStyle w:val="2"/>
        <w:spacing w:before="118" w:line="219" w:lineRule="auto"/>
        <w:ind w:left="550"/>
        <w:rPr>
          <w:sz w:val="24"/>
          <w:szCs w:val="24"/>
        </w:rPr>
      </w:pPr>
      <w:r>
        <w:rPr>
          <w:spacing w:val="28"/>
          <w:sz w:val="24"/>
          <w:szCs w:val="24"/>
        </w:rPr>
        <w:t>明确试验的目的。</w:t>
      </w:r>
    </w:p>
    <w:p w14:paraId="080858DE">
      <w:pPr>
        <w:spacing w:before="103" w:line="221" w:lineRule="auto"/>
        <w:rPr>
          <w:rFonts w:ascii="黑体" w:hAnsi="黑体" w:eastAsia="黑体" w:cs="黑体"/>
          <w:sz w:val="24"/>
          <w:szCs w:val="24"/>
        </w:rPr>
      </w:pPr>
      <w:r>
        <w:rPr>
          <w:rFonts w:ascii="黑体" w:hAnsi="黑体" w:eastAsia="黑体" w:cs="黑体"/>
          <w:spacing w:val="28"/>
          <w:sz w:val="24"/>
          <w:szCs w:val="24"/>
        </w:rPr>
        <w:t>2.</w:t>
      </w:r>
      <w:r>
        <w:rPr>
          <w:rFonts w:ascii="黑体" w:hAnsi="黑体" w:eastAsia="黑体" w:cs="黑体"/>
          <w:spacing w:val="61"/>
          <w:sz w:val="24"/>
          <w:szCs w:val="24"/>
        </w:rPr>
        <w:t xml:space="preserve"> </w:t>
      </w:r>
      <w:r>
        <w:rPr>
          <w:rFonts w:ascii="黑体" w:hAnsi="黑体" w:eastAsia="黑体" w:cs="黑体"/>
          <w:spacing w:val="28"/>
          <w:sz w:val="24"/>
          <w:szCs w:val="24"/>
        </w:rPr>
        <w:t>试验对象及数量</w:t>
      </w:r>
    </w:p>
    <w:p w14:paraId="1174C363">
      <w:pPr>
        <w:pStyle w:val="2"/>
        <w:spacing w:before="89" w:line="279" w:lineRule="auto"/>
        <w:ind w:right="3" w:firstLine="550"/>
        <w:jc w:val="both"/>
      </w:pPr>
      <w:r>
        <w:rPr>
          <w:spacing w:val="-2"/>
        </w:rPr>
        <w:t>根据装备特点确定可靠性鉴定(验收)试验受</w:t>
      </w:r>
      <w:r>
        <w:rPr>
          <w:spacing w:val="-3"/>
        </w:rPr>
        <w:t>试产品，原则上，研制总要求中</w:t>
      </w:r>
      <w:r>
        <w:t xml:space="preserve"> </w:t>
      </w:r>
      <w:r>
        <w:rPr>
          <w:spacing w:val="1"/>
        </w:rPr>
        <w:t>有可靠性指标要求的产品应进行可靠性鉴定(验收)试验。 一般能按系统组合进</w:t>
      </w:r>
      <w:r>
        <w:rPr>
          <w:spacing w:val="8"/>
        </w:rPr>
        <w:t xml:space="preserve"> </w:t>
      </w:r>
      <w:r>
        <w:rPr>
          <w:spacing w:val="5"/>
        </w:rPr>
        <w:t>行可靠性鉴定(验收)试验的产品应按系统组合进行试验。当仅对系统的一部分 进行可靠性鉴定(验收)试验时，应按受试部分的可靠性指标构成新的可靠性指</w:t>
      </w:r>
      <w:r>
        <w:rPr>
          <w:spacing w:val="11"/>
        </w:rPr>
        <w:t xml:space="preserve"> </w:t>
      </w:r>
      <w:r>
        <w:t>标，进行验证试验。在确定受试产品的同时应确定受试产品的数量。</w:t>
      </w:r>
    </w:p>
    <w:p w14:paraId="5D6F80E1">
      <w:pPr>
        <w:spacing w:before="5" w:line="221" w:lineRule="auto"/>
        <w:rPr>
          <w:rFonts w:ascii="黑体" w:hAnsi="黑体" w:eastAsia="黑体" w:cs="黑体"/>
          <w:sz w:val="27"/>
          <w:szCs w:val="27"/>
        </w:rPr>
      </w:pPr>
      <w:r>
        <w:rPr>
          <w:rFonts w:ascii="黑体" w:hAnsi="黑体" w:eastAsia="黑体" w:cs="黑体"/>
          <w:spacing w:val="-2"/>
          <w:sz w:val="27"/>
          <w:szCs w:val="27"/>
        </w:rPr>
        <w:t>3  统计试验方案、判决风险的确定原则</w:t>
      </w:r>
    </w:p>
    <w:p w14:paraId="61306CB9">
      <w:pPr>
        <w:pStyle w:val="2"/>
        <w:spacing w:before="118" w:line="271" w:lineRule="auto"/>
        <w:ind w:right="16" w:firstLine="550"/>
        <w:jc w:val="both"/>
      </w:pPr>
      <w:r>
        <w:rPr>
          <w:spacing w:val="5"/>
        </w:rPr>
        <w:t>按照受试产品的具体特点选择可靠性鉴定(验收)试验的统计方案，可以根</w:t>
      </w:r>
      <w:r>
        <w:rPr>
          <w:spacing w:val="4"/>
        </w:rPr>
        <w:t xml:space="preserve"> 据</w:t>
      </w:r>
      <w:r>
        <w:rPr>
          <w:spacing w:val="-58"/>
        </w:rPr>
        <w:t xml:space="preserve"> </w:t>
      </w:r>
      <w:r>
        <w:rPr>
          <w:rFonts w:ascii="Times New Roman" w:hAnsi="Times New Roman" w:eastAsia="Times New Roman" w:cs="Times New Roman"/>
        </w:rPr>
        <w:t>GJB</w:t>
      </w:r>
      <w:r>
        <w:rPr>
          <w:rFonts w:ascii="Times New Roman" w:hAnsi="Times New Roman" w:eastAsia="Times New Roman" w:cs="Times New Roman"/>
          <w:spacing w:val="4"/>
        </w:rPr>
        <w:t xml:space="preserve">899A—2009   </w:t>
      </w:r>
      <w:r>
        <w:rPr>
          <w:spacing w:val="4"/>
        </w:rPr>
        <w:t>附录</w:t>
      </w:r>
      <w:r>
        <w:rPr>
          <w:rFonts w:ascii="Times New Roman" w:hAnsi="Times New Roman" w:eastAsia="Times New Roman" w:cs="Times New Roman"/>
          <w:spacing w:val="4"/>
        </w:rPr>
        <w:t>A</w:t>
      </w:r>
      <w:r>
        <w:rPr>
          <w:rFonts w:ascii="Times New Roman" w:hAnsi="Times New Roman" w:eastAsia="Times New Roman" w:cs="Times New Roman"/>
          <w:spacing w:val="30"/>
        </w:rPr>
        <w:t xml:space="preserve"> </w:t>
      </w:r>
      <w:r>
        <w:rPr>
          <w:spacing w:val="4"/>
        </w:rPr>
        <w:t>确定统计方案。对于改进改型产品，建议采用短时</w:t>
      </w:r>
      <w:r>
        <w:t xml:space="preserve"> </w:t>
      </w:r>
      <w:r>
        <w:rPr>
          <w:spacing w:val="-4"/>
        </w:rPr>
        <w:t>高风险的统计方案；对于新研制的产品，建议采用较低风险的统</w:t>
      </w:r>
      <w:r>
        <w:rPr>
          <w:spacing w:val="-5"/>
        </w:rPr>
        <w:t>计方案。</w:t>
      </w:r>
    </w:p>
    <w:p w14:paraId="5131059E">
      <w:pPr>
        <w:spacing w:before="10" w:line="222" w:lineRule="auto"/>
        <w:rPr>
          <w:rFonts w:ascii="黑体" w:hAnsi="黑体" w:eastAsia="黑体" w:cs="黑体"/>
          <w:sz w:val="27"/>
          <w:szCs w:val="27"/>
        </w:rPr>
      </w:pPr>
      <w:r>
        <w:rPr>
          <w:rFonts w:ascii="Arial" w:hAnsi="Arial" w:eastAsia="Arial" w:cs="Arial"/>
          <w:spacing w:val="4"/>
          <w:sz w:val="27"/>
          <w:szCs w:val="27"/>
        </w:rPr>
        <w:t>4</w:t>
      </w:r>
      <w:r>
        <w:rPr>
          <w:rFonts w:ascii="Arial" w:hAnsi="Arial" w:eastAsia="Arial" w:cs="Arial"/>
          <w:spacing w:val="17"/>
          <w:sz w:val="27"/>
          <w:szCs w:val="27"/>
        </w:rPr>
        <w:t xml:space="preserve">   </w:t>
      </w:r>
      <w:r>
        <w:rPr>
          <w:rFonts w:ascii="黑体" w:hAnsi="黑体" w:eastAsia="黑体" w:cs="黑体"/>
          <w:spacing w:val="4"/>
          <w:sz w:val="27"/>
          <w:szCs w:val="27"/>
        </w:rPr>
        <w:t>综合环境条件的确定原则</w:t>
      </w:r>
    </w:p>
    <w:p w14:paraId="6D915847">
      <w:pPr>
        <w:pStyle w:val="2"/>
        <w:spacing w:before="85" w:line="267" w:lineRule="auto"/>
        <w:ind w:right="20" w:firstLine="550"/>
        <w:jc w:val="both"/>
      </w:pPr>
      <w:r>
        <w:rPr>
          <w:spacing w:val="5"/>
        </w:rPr>
        <w:t>根据</w:t>
      </w:r>
      <w:r>
        <w:rPr>
          <w:rFonts w:ascii="Times New Roman" w:hAnsi="Times New Roman" w:eastAsia="Times New Roman" w:cs="Times New Roman"/>
        </w:rPr>
        <w:t>GJB</w:t>
      </w:r>
      <w:r>
        <w:rPr>
          <w:rFonts w:ascii="Times New Roman" w:hAnsi="Times New Roman" w:eastAsia="Times New Roman" w:cs="Times New Roman"/>
          <w:spacing w:val="5"/>
        </w:rPr>
        <w:t xml:space="preserve">899A—2009   </w:t>
      </w:r>
      <w:r>
        <w:rPr>
          <w:spacing w:val="5"/>
        </w:rPr>
        <w:t>附</w:t>
      </w:r>
      <w:r>
        <w:rPr>
          <w:spacing w:val="-60"/>
        </w:rPr>
        <w:t xml:space="preserve"> </w:t>
      </w:r>
      <w:r>
        <w:rPr>
          <w:spacing w:val="5"/>
        </w:rPr>
        <w:t>录</w:t>
      </w:r>
      <w:r>
        <w:rPr>
          <w:rFonts w:ascii="Times New Roman" w:hAnsi="Times New Roman" w:eastAsia="Times New Roman" w:cs="Times New Roman"/>
          <w:spacing w:val="5"/>
        </w:rPr>
        <w:t xml:space="preserve">B </w:t>
      </w:r>
      <w:r>
        <w:rPr>
          <w:spacing w:val="5"/>
        </w:rPr>
        <w:t>的方法确定装备的综合环境条件。装备的综</w:t>
      </w:r>
      <w:r>
        <w:t xml:space="preserve"> </w:t>
      </w:r>
      <w:r>
        <w:rPr>
          <w:spacing w:val="9"/>
        </w:rPr>
        <w:t xml:space="preserve">合环境条件确定后，按照受试产品在装备上的安装位置选择其可靠性鉴定(验 </w:t>
      </w:r>
      <w:r>
        <w:rPr>
          <w:spacing w:val="2"/>
        </w:rPr>
        <w:t>收)试验的综合环境条件。</w:t>
      </w:r>
    </w:p>
    <w:p w14:paraId="25442864">
      <w:pPr>
        <w:spacing w:line="368" w:lineRule="exact"/>
        <w:rPr>
          <w:rFonts w:ascii="黑体" w:hAnsi="黑体" w:eastAsia="黑体" w:cs="黑体"/>
          <w:sz w:val="27"/>
          <w:szCs w:val="27"/>
        </w:rPr>
      </w:pPr>
      <w:r>
        <w:rPr>
          <w:rFonts w:ascii="Arial" w:hAnsi="Arial" w:eastAsia="Arial" w:cs="Arial"/>
          <w:spacing w:val="5"/>
          <w:position w:val="1"/>
          <w:sz w:val="27"/>
          <w:szCs w:val="27"/>
        </w:rPr>
        <w:t>5</w:t>
      </w:r>
      <w:r>
        <w:rPr>
          <w:rFonts w:ascii="Arial" w:hAnsi="Arial" w:eastAsia="Arial" w:cs="Arial"/>
          <w:spacing w:val="20"/>
          <w:position w:val="1"/>
          <w:sz w:val="27"/>
          <w:szCs w:val="27"/>
        </w:rPr>
        <w:t xml:space="preserve">   </w:t>
      </w:r>
      <w:r>
        <w:rPr>
          <w:rFonts w:ascii="黑体" w:hAnsi="黑体" w:eastAsia="黑体" w:cs="黑体"/>
          <w:spacing w:val="5"/>
          <w:position w:val="1"/>
          <w:sz w:val="27"/>
          <w:szCs w:val="27"/>
        </w:rPr>
        <w:t>试验场所的确定原则</w:t>
      </w:r>
    </w:p>
    <w:p w14:paraId="2482A5FC">
      <w:pPr>
        <w:pStyle w:val="2"/>
        <w:spacing w:before="103" w:line="219" w:lineRule="auto"/>
        <w:ind w:left="550"/>
      </w:pPr>
      <w:r>
        <w:rPr>
          <w:spacing w:val="2"/>
        </w:rPr>
        <w:t>说明试验场所的确定原则。</w:t>
      </w:r>
    </w:p>
    <w:p w14:paraId="7B4B30D0">
      <w:pPr>
        <w:pStyle w:val="2"/>
        <w:spacing w:before="100" w:line="219" w:lineRule="auto"/>
        <w:ind w:left="550"/>
      </w:pPr>
      <w:r>
        <w:rPr>
          <w:spacing w:val="4"/>
        </w:rPr>
        <w:t>可靠性鉴定试验和可靠性验收试验的试验场所选择要求略有不同。</w:t>
      </w:r>
    </w:p>
    <w:p w14:paraId="62AF328B">
      <w:pPr>
        <w:spacing w:line="219" w:lineRule="auto"/>
        <w:sectPr>
          <w:footerReference r:id="rId390" w:type="default"/>
          <w:pgSz w:w="11910" w:h="17130"/>
          <w:pgMar w:top="1456" w:right="1667" w:bottom="1669" w:left="860" w:header="0" w:footer="1410" w:gutter="0"/>
          <w:cols w:space="720" w:num="1"/>
        </w:sectPr>
      </w:pPr>
    </w:p>
    <w:p w14:paraId="74D673C4">
      <w:pPr>
        <w:pStyle w:val="2"/>
        <w:spacing w:before="115" w:line="273" w:lineRule="auto"/>
        <w:ind w:right="121" w:firstLine="560"/>
      </w:pPr>
      <w:r>
        <w:rPr>
          <w:spacing w:val="6"/>
        </w:rPr>
        <w:t>可靠性鉴定试验场所按下列优先顺序选取和在相应</w:t>
      </w:r>
      <w:r>
        <w:rPr>
          <w:spacing w:val="5"/>
        </w:rPr>
        <w:t>条件下进行，并经订购</w:t>
      </w:r>
      <w:r>
        <w:t xml:space="preserve"> </w:t>
      </w:r>
      <w:r>
        <w:rPr>
          <w:spacing w:val="-3"/>
        </w:rPr>
        <w:t>方认可：</w:t>
      </w:r>
    </w:p>
    <w:p w14:paraId="47370B49">
      <w:pPr>
        <w:pStyle w:val="2"/>
        <w:spacing w:line="267" w:lineRule="auto"/>
        <w:ind w:right="124" w:firstLine="560"/>
      </w:pPr>
      <w:r>
        <w:rPr>
          <w:rFonts w:ascii="Times New Roman" w:hAnsi="Times New Roman" w:eastAsia="Times New Roman" w:cs="Times New Roman"/>
          <w:spacing w:val="6"/>
        </w:rPr>
        <w:t xml:space="preserve">a)  </w:t>
      </w:r>
      <w:r>
        <w:rPr>
          <w:spacing w:val="6"/>
        </w:rPr>
        <w:t>在独立于承制方的有资质的实验室中进行，实验室应</w:t>
      </w:r>
      <w:r>
        <w:rPr>
          <w:spacing w:val="5"/>
        </w:rPr>
        <w:t>按</w:t>
      </w:r>
      <w:r>
        <w:rPr>
          <w:rFonts w:ascii="Times New Roman" w:hAnsi="Times New Roman" w:eastAsia="Times New Roman" w:cs="Times New Roman"/>
        </w:rPr>
        <w:t>GJB</w:t>
      </w:r>
      <w:r>
        <w:rPr>
          <w:rFonts w:ascii="Times New Roman" w:hAnsi="Times New Roman" w:eastAsia="Times New Roman" w:cs="Times New Roman"/>
          <w:spacing w:val="5"/>
        </w:rPr>
        <w:t xml:space="preserve">  2725</w:t>
      </w:r>
      <w:r>
        <w:rPr>
          <w:rFonts w:ascii="Times New Roman" w:hAnsi="Times New Roman" w:eastAsia="Times New Roman" w:cs="Times New Roman"/>
          <w:spacing w:val="25"/>
        </w:rPr>
        <w:t xml:space="preserve"> </w:t>
      </w:r>
      <w:r>
        <w:rPr>
          <w:spacing w:val="5"/>
        </w:rPr>
        <w:t>建立</w:t>
      </w:r>
      <w:r>
        <w:t xml:space="preserve"> </w:t>
      </w:r>
      <w:r>
        <w:rPr>
          <w:spacing w:val="-11"/>
        </w:rPr>
        <w:t>质量体系，并通过认可；</w:t>
      </w:r>
    </w:p>
    <w:p w14:paraId="2D9A6844">
      <w:pPr>
        <w:pStyle w:val="2"/>
        <w:spacing w:before="29" w:line="212" w:lineRule="auto"/>
        <w:ind w:left="560"/>
      </w:pPr>
      <w:r>
        <w:rPr>
          <w:rFonts w:ascii="Times New Roman" w:hAnsi="Times New Roman" w:eastAsia="Times New Roman" w:cs="Times New Roman"/>
        </w:rPr>
        <w:t xml:space="preserve">b)  </w:t>
      </w:r>
      <w:r>
        <w:t>在订购方委托的有资质的实验室监督下，在承制方实验室进行试验。</w:t>
      </w:r>
    </w:p>
    <w:p w14:paraId="573051DB">
      <w:pPr>
        <w:pStyle w:val="2"/>
        <w:spacing w:before="138" w:line="267" w:lineRule="auto"/>
        <w:ind w:right="121" w:firstLine="560"/>
      </w:pPr>
      <w:r>
        <w:rPr>
          <w:spacing w:val="6"/>
        </w:rPr>
        <w:t>可靠性验收试验场所按下列优先顺序选取和在相应</w:t>
      </w:r>
      <w:r>
        <w:rPr>
          <w:spacing w:val="5"/>
        </w:rPr>
        <w:t>条件下进行，并经订购</w:t>
      </w:r>
      <w:r>
        <w:t xml:space="preserve"> </w:t>
      </w:r>
      <w:r>
        <w:rPr>
          <w:spacing w:val="-3"/>
        </w:rPr>
        <w:t>方认可：</w:t>
      </w:r>
    </w:p>
    <w:p w14:paraId="703C566E">
      <w:pPr>
        <w:pStyle w:val="2"/>
        <w:spacing w:line="260" w:lineRule="auto"/>
        <w:ind w:right="104" w:firstLine="560"/>
      </w:pPr>
      <w:r>
        <w:rPr>
          <w:rFonts w:ascii="Times New Roman" w:hAnsi="Times New Roman" w:eastAsia="Times New Roman" w:cs="Times New Roman"/>
          <w:spacing w:val="3"/>
        </w:rPr>
        <w:t>a)</w:t>
      </w:r>
      <w:r>
        <w:rPr>
          <w:rFonts w:ascii="Times New Roman" w:hAnsi="Times New Roman" w:eastAsia="Times New Roman" w:cs="Times New Roman"/>
          <w:spacing w:val="-18"/>
        </w:rPr>
        <w:t xml:space="preserve"> </w:t>
      </w:r>
      <w:r>
        <w:rPr>
          <w:spacing w:val="3"/>
        </w:rPr>
        <w:t>在独立于承制方的有资质的实验室中进行，实</w:t>
      </w:r>
      <w:r>
        <w:rPr>
          <w:spacing w:val="2"/>
        </w:rPr>
        <w:t>验室应按</w:t>
      </w:r>
      <w:r>
        <w:rPr>
          <w:rFonts w:ascii="Times New Roman" w:hAnsi="Times New Roman" w:eastAsia="Times New Roman" w:cs="Times New Roman"/>
        </w:rPr>
        <w:t>GJB</w:t>
      </w:r>
      <w:r>
        <w:rPr>
          <w:rFonts w:ascii="Times New Roman" w:hAnsi="Times New Roman" w:eastAsia="Times New Roman" w:cs="Times New Roman"/>
          <w:spacing w:val="2"/>
        </w:rPr>
        <w:t xml:space="preserve">  2725</w:t>
      </w:r>
      <w:r>
        <w:rPr>
          <w:rFonts w:ascii="Times New Roman" w:hAnsi="Times New Roman" w:eastAsia="Times New Roman" w:cs="Times New Roman"/>
          <w:spacing w:val="-25"/>
        </w:rPr>
        <w:t xml:space="preserve"> </w:t>
      </w:r>
      <w:r>
        <w:rPr>
          <w:spacing w:val="2"/>
        </w:rPr>
        <w:t>建立质</w:t>
      </w:r>
      <w:r>
        <w:t xml:space="preserve"> </w:t>
      </w:r>
      <w:r>
        <w:rPr>
          <w:spacing w:val="-13"/>
        </w:rPr>
        <w:t>量体系，并通过认可；</w:t>
      </w:r>
    </w:p>
    <w:p w14:paraId="39B8996C">
      <w:pPr>
        <w:pStyle w:val="2"/>
        <w:spacing w:before="59" w:line="212" w:lineRule="auto"/>
        <w:ind w:left="560"/>
      </w:pPr>
      <w:r>
        <w:rPr>
          <w:rFonts w:ascii="Times New Roman" w:hAnsi="Times New Roman" w:eastAsia="Times New Roman" w:cs="Times New Roman"/>
          <w:spacing w:val="-2"/>
        </w:rPr>
        <w:t xml:space="preserve">b)  </w:t>
      </w:r>
      <w:r>
        <w:rPr>
          <w:spacing w:val="-2"/>
        </w:rPr>
        <w:t>在订购方的监督下，在承制方实验室进行试验。</w:t>
      </w:r>
    </w:p>
    <w:p w14:paraId="29529A93">
      <w:pPr>
        <w:spacing w:before="135" w:line="222"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4"/>
          <w:sz w:val="27"/>
          <w:szCs w:val="27"/>
        </w:rPr>
        <w:t xml:space="preserve">  </w:t>
      </w:r>
      <w:r>
        <w:rPr>
          <w:rFonts w:ascii="黑体" w:hAnsi="黑体" w:eastAsia="黑体" w:cs="黑体"/>
          <w:b/>
          <w:bCs/>
          <w:sz w:val="27"/>
          <w:szCs w:val="27"/>
        </w:rPr>
        <w:t>评审点的设置</w:t>
      </w:r>
    </w:p>
    <w:p w14:paraId="4327DB1E">
      <w:pPr>
        <w:pStyle w:val="2"/>
        <w:spacing w:before="101" w:line="268" w:lineRule="auto"/>
        <w:ind w:firstLine="560"/>
      </w:pPr>
      <w:r>
        <w:rPr>
          <w:spacing w:val="1"/>
        </w:rPr>
        <w:t>在可靠性鉴定(验收)试验方案中应明确试验方案的评审、试验大纲的评审、</w:t>
      </w:r>
      <w:r>
        <w:t xml:space="preserve"> </w:t>
      </w:r>
      <w:r>
        <w:rPr>
          <w:spacing w:val="-2"/>
        </w:rPr>
        <w:t>受试产品到达试验现场、试验完成情况评审等关</w:t>
      </w:r>
      <w:r>
        <w:rPr>
          <w:spacing w:val="-3"/>
        </w:rPr>
        <w:t>键节点。</w:t>
      </w:r>
    </w:p>
    <w:p w14:paraId="64B75C06">
      <w:pPr>
        <w:spacing w:before="1" w:line="220" w:lineRule="auto"/>
        <w:rPr>
          <w:rFonts w:ascii="黑体" w:hAnsi="黑体" w:eastAsia="黑体" w:cs="黑体"/>
          <w:sz w:val="27"/>
          <w:szCs w:val="27"/>
        </w:rPr>
      </w:pPr>
      <w:r>
        <w:rPr>
          <w:rFonts w:ascii="黑体" w:hAnsi="黑体" w:eastAsia="黑体" w:cs="黑体"/>
          <w:sz w:val="27"/>
          <w:szCs w:val="27"/>
        </w:rPr>
        <w:t>7</w:t>
      </w:r>
      <w:r>
        <w:rPr>
          <w:rFonts w:ascii="黑体" w:hAnsi="黑体" w:eastAsia="黑体" w:cs="黑体"/>
          <w:spacing w:val="15"/>
          <w:sz w:val="27"/>
          <w:szCs w:val="27"/>
        </w:rPr>
        <w:t xml:space="preserve">  </w:t>
      </w:r>
      <w:r>
        <w:rPr>
          <w:rFonts w:ascii="黑体" w:hAnsi="黑体" w:eastAsia="黑体" w:cs="黑体"/>
          <w:b/>
          <w:bCs/>
          <w:sz w:val="27"/>
          <w:szCs w:val="27"/>
        </w:rPr>
        <w:t>试验进度</w:t>
      </w:r>
    </w:p>
    <w:p w14:paraId="3F22681A">
      <w:pPr>
        <w:pStyle w:val="2"/>
        <w:spacing w:before="93" w:line="219" w:lineRule="auto"/>
        <w:ind w:left="560"/>
      </w:pPr>
      <w:r>
        <w:rPr>
          <w:spacing w:val="2"/>
        </w:rPr>
        <w:t>明确试验的日程安排。</w:t>
      </w:r>
    </w:p>
    <w:p w14:paraId="1E9BAEDB">
      <w:pPr>
        <w:spacing w:before="96" w:line="222" w:lineRule="auto"/>
        <w:rPr>
          <w:rFonts w:ascii="黑体" w:hAnsi="黑体" w:eastAsia="黑体" w:cs="黑体"/>
          <w:sz w:val="27"/>
          <w:szCs w:val="27"/>
        </w:rPr>
      </w:pPr>
      <w:r>
        <w:rPr>
          <w:rFonts w:ascii="黑体" w:hAnsi="黑体" w:eastAsia="黑体" w:cs="黑体"/>
          <w:spacing w:val="-3"/>
          <w:sz w:val="27"/>
          <w:szCs w:val="27"/>
        </w:rPr>
        <w:t>8</w:t>
      </w:r>
      <w:r>
        <w:rPr>
          <w:rFonts w:ascii="黑体" w:hAnsi="黑体" w:eastAsia="黑体" w:cs="黑体"/>
          <w:spacing w:val="14"/>
          <w:sz w:val="27"/>
          <w:szCs w:val="27"/>
        </w:rPr>
        <w:t xml:space="preserve">  </w:t>
      </w:r>
      <w:r>
        <w:rPr>
          <w:rFonts w:ascii="黑体" w:hAnsi="黑体" w:eastAsia="黑体" w:cs="黑体"/>
          <w:b/>
          <w:bCs/>
          <w:spacing w:val="-3"/>
          <w:sz w:val="27"/>
          <w:szCs w:val="27"/>
        </w:rPr>
        <w:t>其他要求</w:t>
      </w:r>
    </w:p>
    <w:p w14:paraId="0C1AB575">
      <w:pPr>
        <w:pStyle w:val="2"/>
        <w:spacing w:before="108" w:line="276" w:lineRule="auto"/>
        <w:ind w:right="122" w:firstLine="560"/>
      </w:pPr>
      <w:r>
        <w:rPr>
          <w:spacing w:val="5"/>
        </w:rPr>
        <w:t>在可靠性鉴定(验收)试验方案中还应提出试验的组织管理、受试产品技术</w:t>
      </w:r>
      <w:r>
        <w:rPr>
          <w:spacing w:val="16"/>
        </w:rPr>
        <w:t xml:space="preserve"> </w:t>
      </w:r>
      <w:r>
        <w:rPr>
          <w:spacing w:val="-3"/>
        </w:rPr>
        <w:t>状态、试验设施状态以及测试设备状态等要求。</w:t>
      </w:r>
    </w:p>
    <w:p w14:paraId="2ED6EB8D">
      <w:pPr>
        <w:pStyle w:val="2"/>
        <w:spacing w:before="343" w:line="219" w:lineRule="auto"/>
        <w:ind w:left="1959"/>
        <w:outlineLvl w:val="1"/>
        <w:rPr>
          <w:sz w:val="36"/>
          <w:szCs w:val="36"/>
        </w:rPr>
      </w:pPr>
      <w:r>
        <w:rPr>
          <w:rFonts w:ascii="Times New Roman" w:hAnsi="Times New Roman" w:eastAsia="Times New Roman" w:cs="Times New Roman"/>
          <w:b/>
          <w:bCs/>
          <w:spacing w:val="2"/>
          <w:sz w:val="36"/>
          <w:szCs w:val="36"/>
        </w:rPr>
        <w:t xml:space="preserve">7.22     </w:t>
      </w:r>
      <w:r>
        <w:rPr>
          <w:b/>
          <w:bCs/>
          <w:spacing w:val="2"/>
          <w:sz w:val="36"/>
          <w:szCs w:val="36"/>
        </w:rPr>
        <w:t>可靠性鉴定(验收)试验大纲</w:t>
      </w:r>
    </w:p>
    <w:p w14:paraId="326B5FE1">
      <w:pPr>
        <w:spacing w:line="390" w:lineRule="auto"/>
        <w:rPr>
          <w:rFonts w:ascii="Arial"/>
          <w:sz w:val="21"/>
        </w:rPr>
      </w:pPr>
    </w:p>
    <w:p w14:paraId="1024062A">
      <w:pPr>
        <w:pStyle w:val="2"/>
        <w:spacing w:before="78" w:line="226" w:lineRule="auto"/>
        <w:ind w:left="560"/>
        <w:rPr>
          <w:rFonts w:ascii="楷体" w:hAnsi="楷体" w:eastAsia="楷体" w:cs="楷体"/>
          <w:sz w:val="24"/>
          <w:szCs w:val="24"/>
        </w:rPr>
      </w:pPr>
      <w:r>
        <w:rPr>
          <w:rFonts w:ascii="楷体" w:hAnsi="楷体" w:eastAsia="楷体" w:cs="楷体"/>
          <w:spacing w:val="12"/>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899A—2009</w:t>
      </w:r>
      <w:r>
        <w:rPr>
          <w:spacing w:val="12"/>
          <w:sz w:val="24"/>
          <w:szCs w:val="24"/>
        </w:rPr>
        <w:t xml:space="preserve">《  </w:t>
      </w:r>
      <w:r>
        <w:rPr>
          <w:rFonts w:ascii="楷体" w:hAnsi="楷体" w:eastAsia="楷体" w:cs="楷体"/>
          <w:spacing w:val="12"/>
          <w:sz w:val="24"/>
          <w:szCs w:val="24"/>
        </w:rPr>
        <w:t>可靠性鉴定和验收试验》编写。</w:t>
      </w:r>
    </w:p>
    <w:p w14:paraId="177AA8F1">
      <w:pPr>
        <w:spacing w:before="93" w:line="221" w:lineRule="auto"/>
        <w:rPr>
          <w:rFonts w:ascii="黑体" w:hAnsi="黑体" w:eastAsia="黑体" w:cs="黑体"/>
          <w:sz w:val="24"/>
          <w:szCs w:val="24"/>
        </w:rPr>
      </w:pPr>
      <w:r>
        <w:rPr>
          <w:rFonts w:ascii="黑体" w:hAnsi="黑体" w:eastAsia="黑体" w:cs="黑体"/>
          <w:spacing w:val="26"/>
          <w:sz w:val="24"/>
          <w:szCs w:val="24"/>
        </w:rPr>
        <w:t>1</w:t>
      </w:r>
      <w:r>
        <w:rPr>
          <w:rFonts w:ascii="黑体" w:hAnsi="黑体" w:eastAsia="黑体" w:cs="黑体"/>
          <w:spacing w:val="43"/>
          <w:sz w:val="24"/>
          <w:szCs w:val="24"/>
        </w:rPr>
        <w:t xml:space="preserve">  </w:t>
      </w:r>
      <w:r>
        <w:rPr>
          <w:rFonts w:ascii="黑体" w:hAnsi="黑体" w:eastAsia="黑体" w:cs="黑体"/>
          <w:b/>
          <w:bCs/>
          <w:spacing w:val="26"/>
          <w:sz w:val="24"/>
          <w:szCs w:val="24"/>
        </w:rPr>
        <w:t>试验目的和适用范围</w:t>
      </w:r>
    </w:p>
    <w:p w14:paraId="35EFE676">
      <w:pPr>
        <w:pStyle w:val="2"/>
        <w:spacing w:before="119" w:line="219" w:lineRule="auto"/>
        <w:ind w:left="560"/>
      </w:pPr>
      <w:r>
        <w:rPr>
          <w:spacing w:val="-1"/>
        </w:rPr>
        <w:t>明确试验的目的、对象以及试验验证的可靠性指</w:t>
      </w:r>
      <w:r>
        <w:rPr>
          <w:spacing w:val="-2"/>
        </w:rPr>
        <w:t>标。</w:t>
      </w:r>
    </w:p>
    <w:p w14:paraId="0C1177AA">
      <w:pPr>
        <w:spacing w:before="74" w:line="222" w:lineRule="auto"/>
        <w:outlineLvl w:val="3"/>
        <w:rPr>
          <w:rFonts w:ascii="黑体" w:hAnsi="黑体" w:eastAsia="黑体" w:cs="黑体"/>
          <w:sz w:val="27"/>
          <w:szCs w:val="27"/>
        </w:rPr>
      </w:pPr>
      <w:r>
        <w:rPr>
          <w:rFonts w:ascii="Arial" w:hAnsi="Arial" w:eastAsia="Arial" w:cs="Arial"/>
          <w:b/>
          <w:bCs/>
          <w:spacing w:val="-1"/>
          <w:sz w:val="27"/>
          <w:szCs w:val="27"/>
        </w:rPr>
        <w:t>2</w:t>
      </w:r>
      <w:r>
        <w:rPr>
          <w:rFonts w:ascii="Arial" w:hAnsi="Arial" w:eastAsia="Arial" w:cs="Arial"/>
          <w:b/>
          <w:bCs/>
          <w:spacing w:val="20"/>
          <w:sz w:val="27"/>
          <w:szCs w:val="27"/>
        </w:rPr>
        <w:t xml:space="preserve">   </w:t>
      </w:r>
      <w:r>
        <w:rPr>
          <w:rFonts w:ascii="黑体" w:hAnsi="黑体" w:eastAsia="黑体" w:cs="黑体"/>
          <w:b/>
          <w:bCs/>
          <w:spacing w:val="-1"/>
          <w:sz w:val="27"/>
          <w:szCs w:val="27"/>
        </w:rPr>
        <w:t>引用标准和文件</w:t>
      </w:r>
    </w:p>
    <w:p w14:paraId="5413610F">
      <w:pPr>
        <w:pStyle w:val="2"/>
        <w:spacing w:before="92" w:line="281" w:lineRule="auto"/>
        <w:ind w:right="123" w:firstLine="560"/>
      </w:pPr>
      <w:r>
        <w:rPr>
          <w:spacing w:val="-3"/>
        </w:rPr>
        <w:t>列出试验执行的全部标准和相关文件，特别应注意要引用包含技术指标、合</w:t>
      </w:r>
      <w:r>
        <w:rPr>
          <w:spacing w:val="9"/>
        </w:rPr>
        <w:t xml:space="preserve"> </w:t>
      </w:r>
      <w:r>
        <w:rPr>
          <w:spacing w:val="-2"/>
        </w:rPr>
        <w:t>格判据的研制总要求、成品技术协议书等技术</w:t>
      </w:r>
      <w:r>
        <w:rPr>
          <w:spacing w:val="-3"/>
        </w:rPr>
        <w:t>文件。</w:t>
      </w:r>
    </w:p>
    <w:p w14:paraId="1D12CA53">
      <w:pPr>
        <w:spacing w:before="11" w:line="221" w:lineRule="auto"/>
        <w:rPr>
          <w:rFonts w:ascii="黑体" w:hAnsi="黑体" w:eastAsia="黑体" w:cs="黑体"/>
          <w:sz w:val="24"/>
          <w:szCs w:val="24"/>
        </w:rPr>
      </w:pPr>
      <w:r>
        <w:rPr>
          <w:rFonts w:ascii="黑体" w:hAnsi="黑体" w:eastAsia="黑体" w:cs="黑体"/>
          <w:spacing w:val="26"/>
          <w:sz w:val="24"/>
          <w:szCs w:val="24"/>
        </w:rPr>
        <w:t>3</w:t>
      </w:r>
      <w:r>
        <w:rPr>
          <w:rFonts w:ascii="黑体" w:hAnsi="黑体" w:eastAsia="黑体" w:cs="黑体"/>
          <w:spacing w:val="38"/>
          <w:sz w:val="24"/>
          <w:szCs w:val="24"/>
        </w:rPr>
        <w:t xml:space="preserve">  </w:t>
      </w:r>
      <w:r>
        <w:rPr>
          <w:rFonts w:ascii="黑体" w:hAnsi="黑体" w:eastAsia="黑体" w:cs="黑体"/>
          <w:b/>
          <w:bCs/>
          <w:spacing w:val="26"/>
          <w:sz w:val="24"/>
          <w:szCs w:val="24"/>
        </w:rPr>
        <w:t>受试产品说明和要求</w:t>
      </w:r>
    </w:p>
    <w:p w14:paraId="4EA30E94">
      <w:pPr>
        <w:pStyle w:val="2"/>
        <w:spacing w:before="88" w:line="282" w:lineRule="auto"/>
        <w:ind w:right="123" w:firstLine="560"/>
      </w:pPr>
      <w:r>
        <w:rPr>
          <w:spacing w:val="6"/>
        </w:rPr>
        <w:t>说明受试产品的功能与用途、组成、在装备中</w:t>
      </w:r>
      <w:r>
        <w:rPr>
          <w:spacing w:val="5"/>
        </w:rPr>
        <w:t>的安装位置、技术状态和数</w:t>
      </w:r>
      <w:r>
        <w:t xml:space="preserve"> </w:t>
      </w:r>
      <w:r>
        <w:rPr>
          <w:spacing w:val="-4"/>
        </w:rPr>
        <w:t>量等。</w:t>
      </w:r>
    </w:p>
    <w:p w14:paraId="3A2CE2DB">
      <w:pPr>
        <w:spacing w:before="2" w:line="220" w:lineRule="auto"/>
        <w:rPr>
          <w:rFonts w:ascii="黑体" w:hAnsi="黑体" w:eastAsia="黑体" w:cs="黑体"/>
          <w:sz w:val="27"/>
          <w:szCs w:val="27"/>
        </w:rPr>
      </w:pPr>
      <w:r>
        <w:rPr>
          <w:rFonts w:ascii="黑体" w:hAnsi="黑体" w:eastAsia="黑体" w:cs="黑体"/>
          <w:spacing w:val="5"/>
          <w:sz w:val="27"/>
          <w:szCs w:val="27"/>
        </w:rPr>
        <w:t xml:space="preserve">4  </w:t>
      </w:r>
      <w:r>
        <w:rPr>
          <w:rFonts w:ascii="黑体" w:hAnsi="黑体" w:eastAsia="黑体" w:cs="黑体"/>
          <w:b/>
          <w:bCs/>
          <w:spacing w:val="5"/>
          <w:sz w:val="27"/>
          <w:szCs w:val="27"/>
        </w:rPr>
        <w:t>试验统计方案</w:t>
      </w:r>
    </w:p>
    <w:p w14:paraId="5A2A5F3C">
      <w:pPr>
        <w:pStyle w:val="2"/>
        <w:spacing w:before="103" w:line="219" w:lineRule="auto"/>
        <w:ind w:left="560"/>
      </w:pPr>
      <w:r>
        <w:rPr>
          <w:spacing w:val="3"/>
        </w:rPr>
        <w:t>说明试验所使用的统计方案及相关参数。</w:t>
      </w:r>
    </w:p>
    <w:p w14:paraId="36B70D07">
      <w:pPr>
        <w:spacing w:before="64" w:line="222"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0"/>
          <w:w w:val="101"/>
          <w:sz w:val="27"/>
          <w:szCs w:val="27"/>
        </w:rPr>
        <w:t xml:space="preserve">   </w:t>
      </w:r>
      <w:r>
        <w:rPr>
          <w:rFonts w:ascii="黑体" w:hAnsi="黑体" w:eastAsia="黑体" w:cs="黑体"/>
          <w:b/>
          <w:bCs/>
          <w:spacing w:val="-1"/>
          <w:sz w:val="27"/>
          <w:szCs w:val="27"/>
        </w:rPr>
        <w:t>综合环境条件</w:t>
      </w:r>
    </w:p>
    <w:p w14:paraId="32E34C5B">
      <w:pPr>
        <w:pStyle w:val="2"/>
        <w:spacing w:before="131" w:line="219" w:lineRule="auto"/>
        <w:ind w:left="560"/>
      </w:pPr>
      <w:r>
        <w:rPr>
          <w:spacing w:val="6"/>
        </w:rPr>
        <w:t>根据受试产品在装备中的安装位置，明确试验所用的综合环</w:t>
      </w:r>
      <w:r>
        <w:rPr>
          <w:spacing w:val="5"/>
        </w:rPr>
        <w:t>境条件和工作</w:t>
      </w:r>
    </w:p>
    <w:p w14:paraId="0744620A">
      <w:pPr>
        <w:spacing w:line="219" w:lineRule="auto"/>
        <w:sectPr>
          <w:footerReference r:id="rId391" w:type="default"/>
          <w:pgSz w:w="11910" w:h="17130"/>
          <w:pgMar w:top="1456" w:right="694" w:bottom="1526" w:left="1710" w:header="0" w:footer="1337" w:gutter="0"/>
          <w:cols w:space="720" w:num="1"/>
        </w:sectPr>
      </w:pPr>
    </w:p>
    <w:p w14:paraId="720BF7D2">
      <w:pPr>
        <w:pStyle w:val="2"/>
        <w:spacing w:before="145" w:line="219" w:lineRule="auto"/>
      </w:pPr>
      <w:r>
        <w:rPr>
          <w:spacing w:val="-2"/>
        </w:rPr>
        <w:t>条件。</w:t>
      </w:r>
    </w:p>
    <w:p w14:paraId="031B4D53">
      <w:pPr>
        <w:spacing w:before="126" w:line="221" w:lineRule="auto"/>
        <w:rPr>
          <w:rFonts w:ascii="黑体" w:hAnsi="黑体" w:eastAsia="黑体" w:cs="黑体"/>
          <w:sz w:val="24"/>
          <w:szCs w:val="24"/>
        </w:rPr>
      </w:pPr>
      <w:r>
        <w:rPr>
          <w:rFonts w:ascii="黑体" w:hAnsi="黑体" w:eastAsia="黑体" w:cs="黑体"/>
          <w:spacing w:val="32"/>
          <w:sz w:val="24"/>
          <w:szCs w:val="24"/>
        </w:rPr>
        <w:t>6  试验设施和测试设备要求</w:t>
      </w:r>
    </w:p>
    <w:p w14:paraId="110A2836">
      <w:pPr>
        <w:pStyle w:val="2"/>
        <w:spacing w:before="133" w:line="219" w:lineRule="auto"/>
        <w:ind w:left="560"/>
        <w:rPr>
          <w:sz w:val="25"/>
          <w:szCs w:val="25"/>
        </w:rPr>
      </w:pPr>
      <w:r>
        <w:rPr>
          <w:spacing w:val="17"/>
          <w:sz w:val="25"/>
          <w:szCs w:val="25"/>
        </w:rPr>
        <w:t>明确试验设施和测试设备的能力、精度及检定要求。</w:t>
      </w:r>
    </w:p>
    <w:p w14:paraId="36E9AA44">
      <w:pPr>
        <w:pStyle w:val="2"/>
        <w:spacing w:before="64" w:line="291" w:lineRule="auto"/>
        <w:ind w:right="27" w:firstLine="560"/>
      </w:pPr>
      <w:r>
        <w:rPr>
          <w:spacing w:val="5"/>
        </w:rPr>
        <w:t>试验设施和仪器应能保证产品和保持试验所需的综合环境条件，并按照有</w:t>
      </w:r>
      <w:r>
        <w:rPr>
          <w:spacing w:val="2"/>
        </w:rPr>
        <w:t xml:space="preserve"> 关规定进行定期核查和检定。</w:t>
      </w:r>
    </w:p>
    <w:p w14:paraId="6813A315">
      <w:pPr>
        <w:pStyle w:val="2"/>
        <w:spacing w:line="219" w:lineRule="auto"/>
        <w:ind w:left="560"/>
      </w:pPr>
      <w:r>
        <w:rPr>
          <w:spacing w:val="2"/>
        </w:rPr>
        <w:t>所有试验设施和仪器应满足以下要求：</w:t>
      </w:r>
    </w:p>
    <w:p w14:paraId="1CB95F69">
      <w:pPr>
        <w:pStyle w:val="2"/>
        <w:spacing w:before="59" w:line="212" w:lineRule="auto"/>
        <w:ind w:left="560"/>
      </w:pPr>
      <w:r>
        <w:rPr>
          <w:rFonts w:ascii="Times New Roman" w:hAnsi="Times New Roman" w:eastAsia="Times New Roman" w:cs="Times New Roman"/>
          <w:spacing w:val="3"/>
        </w:rPr>
        <w:t>a)</w:t>
      </w:r>
      <w:r>
        <w:rPr>
          <w:rFonts w:ascii="Times New Roman" w:hAnsi="Times New Roman" w:eastAsia="Times New Roman" w:cs="Times New Roman"/>
          <w:spacing w:val="70"/>
          <w:w w:val="101"/>
        </w:rPr>
        <w:t xml:space="preserve"> </w:t>
      </w:r>
      <w:r>
        <w:rPr>
          <w:spacing w:val="3"/>
        </w:rPr>
        <w:t>其精确度至少应为被测参数容差的三分之一</w:t>
      </w:r>
      <w:r>
        <w:rPr>
          <w:spacing w:val="-72"/>
        </w:rPr>
        <w:t xml:space="preserve"> </w:t>
      </w:r>
      <w:r>
        <w:rPr>
          <w:spacing w:val="3"/>
        </w:rPr>
        <w:t>；</w:t>
      </w:r>
    </w:p>
    <w:p w14:paraId="444FD762">
      <w:pPr>
        <w:pStyle w:val="2"/>
        <w:spacing w:before="89"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74"/>
        </w:rPr>
        <w:t xml:space="preserve"> </w:t>
      </w:r>
      <w:r>
        <w:rPr>
          <w:spacing w:val="3"/>
        </w:rPr>
        <w:t>其标定应能追溯到国家最高计量标准；</w:t>
      </w:r>
    </w:p>
    <w:p w14:paraId="238CCD9F">
      <w:pPr>
        <w:pStyle w:val="2"/>
        <w:spacing w:before="141" w:line="219" w:lineRule="auto"/>
        <w:ind w:left="560"/>
      </w:pPr>
      <w:r>
        <w:rPr>
          <w:rFonts w:ascii="Times New Roman" w:hAnsi="Times New Roman" w:eastAsia="Times New Roman" w:cs="Times New Roman"/>
          <w:spacing w:val="8"/>
        </w:rPr>
        <w:t>c</w:t>
      </w:r>
      <w:r>
        <w:rPr>
          <w:spacing w:val="8"/>
        </w:rPr>
        <w:t>)能够适应所测量的环境条件。</w:t>
      </w:r>
    </w:p>
    <w:p w14:paraId="68AB511C">
      <w:pPr>
        <w:spacing w:before="107" w:line="221" w:lineRule="auto"/>
        <w:rPr>
          <w:rFonts w:ascii="黑体" w:hAnsi="黑体" w:eastAsia="黑体" w:cs="黑体"/>
          <w:sz w:val="27"/>
          <w:szCs w:val="27"/>
        </w:rPr>
      </w:pPr>
      <w:r>
        <w:rPr>
          <w:rFonts w:ascii="黑体" w:hAnsi="黑体" w:eastAsia="黑体" w:cs="黑体"/>
          <w:spacing w:val="5"/>
          <w:sz w:val="27"/>
          <w:szCs w:val="27"/>
        </w:rPr>
        <w:t>7  受试产品检测项目及合格判据</w:t>
      </w:r>
    </w:p>
    <w:p w14:paraId="23253D58">
      <w:pPr>
        <w:pStyle w:val="2"/>
        <w:spacing w:before="126" w:line="281" w:lineRule="auto"/>
        <w:ind w:right="26" w:firstLine="560"/>
        <w:jc w:val="both"/>
      </w:pPr>
      <w:r>
        <w:rPr>
          <w:spacing w:val="5"/>
        </w:rPr>
        <w:t>明确试验过程中产品的检测要求。包括检测内容、检测方式和检测时机及</w:t>
      </w:r>
      <w:r>
        <w:rPr>
          <w:spacing w:val="3"/>
        </w:rPr>
        <w:t xml:space="preserve"> </w:t>
      </w:r>
      <w:r>
        <w:rPr>
          <w:spacing w:val="5"/>
        </w:rPr>
        <w:t>合格判据等，一般检测内容应能够覆盖产品研制总要求或成品技术协议书中对</w:t>
      </w:r>
      <w:r>
        <w:rPr>
          <w:spacing w:val="10"/>
        </w:rPr>
        <w:t xml:space="preserve"> </w:t>
      </w:r>
      <w:r>
        <w:rPr>
          <w:spacing w:val="3"/>
        </w:rPr>
        <w:t>该产品在使用中的主要性能要求。</w:t>
      </w:r>
    </w:p>
    <w:p w14:paraId="0B9BFF4A">
      <w:pPr>
        <w:pStyle w:val="2"/>
        <w:spacing w:before="1" w:line="279" w:lineRule="auto"/>
        <w:ind w:right="24" w:firstLine="560"/>
        <w:jc w:val="both"/>
      </w:pPr>
      <w:r>
        <w:rPr>
          <w:spacing w:val="5"/>
        </w:rPr>
        <w:t>对于在综合环境条件下不能检测的项目，应该定时暂停试验的某个应力或</w:t>
      </w:r>
      <w:r>
        <w:rPr>
          <w:spacing w:val="1"/>
        </w:rPr>
        <w:t xml:space="preserve"> </w:t>
      </w:r>
      <w:r>
        <w:rPr>
          <w:spacing w:val="-2"/>
        </w:rPr>
        <w:t>综合应力进行检测，甚至可以在承试方和订购</w:t>
      </w:r>
      <w:r>
        <w:rPr>
          <w:spacing w:val="-3"/>
        </w:rPr>
        <w:t>方的监控下，返回承制方对受试产</w:t>
      </w:r>
      <w:r>
        <w:t xml:space="preserve"> </w:t>
      </w:r>
      <w:r>
        <w:rPr>
          <w:spacing w:val="5"/>
        </w:rPr>
        <w:t>品进行检测。但在进行可靠性鉴定(验收)试验时，检测次数应该大于试验方案</w:t>
      </w:r>
      <w:r>
        <w:rPr>
          <w:spacing w:val="7"/>
        </w:rPr>
        <w:t xml:space="preserve"> </w:t>
      </w:r>
      <w:r>
        <w:rPr>
          <w:spacing w:val="3"/>
        </w:rPr>
        <w:t>中在接收条件下允许出现的最大故障次数。</w:t>
      </w:r>
    </w:p>
    <w:p w14:paraId="6D760C22">
      <w:pPr>
        <w:spacing w:before="31" w:line="327" w:lineRule="exact"/>
        <w:rPr>
          <w:rFonts w:ascii="黑体" w:hAnsi="黑体" w:eastAsia="黑体" w:cs="黑体"/>
          <w:sz w:val="24"/>
          <w:szCs w:val="24"/>
        </w:rPr>
      </w:pPr>
      <w:r>
        <w:rPr>
          <w:rFonts w:ascii="Arial" w:hAnsi="Arial" w:eastAsia="Arial" w:cs="Arial"/>
          <w:spacing w:val="21"/>
          <w:position w:val="1"/>
          <w:sz w:val="24"/>
          <w:szCs w:val="24"/>
        </w:rPr>
        <w:t>8</w:t>
      </w:r>
      <w:r>
        <w:rPr>
          <w:rFonts w:ascii="Arial" w:hAnsi="Arial" w:eastAsia="Arial" w:cs="Arial"/>
          <w:spacing w:val="4"/>
          <w:position w:val="1"/>
          <w:sz w:val="24"/>
          <w:szCs w:val="24"/>
        </w:rPr>
        <w:t xml:space="preserve">    </w:t>
      </w:r>
      <w:r>
        <w:rPr>
          <w:rFonts w:ascii="黑体" w:hAnsi="黑体" w:eastAsia="黑体" w:cs="黑体"/>
          <w:spacing w:val="21"/>
          <w:position w:val="1"/>
          <w:sz w:val="24"/>
          <w:szCs w:val="24"/>
        </w:rPr>
        <w:t>故障判据、分类和统计原则</w:t>
      </w:r>
    </w:p>
    <w:p w14:paraId="1B842230">
      <w:pPr>
        <w:spacing w:before="170" w:line="223" w:lineRule="auto"/>
        <w:rPr>
          <w:rFonts w:ascii="黑体" w:hAnsi="黑体" w:eastAsia="黑体" w:cs="黑体"/>
          <w:sz w:val="27"/>
          <w:szCs w:val="27"/>
        </w:rPr>
      </w:pPr>
      <w:r>
        <w:rPr>
          <w:rFonts w:ascii="黑体" w:hAnsi="黑体" w:eastAsia="黑体" w:cs="黑体"/>
          <w:spacing w:val="3"/>
          <w:sz w:val="27"/>
          <w:szCs w:val="27"/>
        </w:rPr>
        <w:t>8.1</w:t>
      </w:r>
      <w:r>
        <w:rPr>
          <w:rFonts w:ascii="黑体" w:hAnsi="黑体" w:eastAsia="黑体" w:cs="黑体"/>
          <w:spacing w:val="22"/>
          <w:sz w:val="27"/>
          <w:szCs w:val="27"/>
        </w:rPr>
        <w:t xml:space="preserve">  </w:t>
      </w:r>
      <w:r>
        <w:rPr>
          <w:rFonts w:ascii="黑体" w:hAnsi="黑体" w:eastAsia="黑体" w:cs="黑体"/>
          <w:spacing w:val="3"/>
          <w:sz w:val="27"/>
          <w:szCs w:val="27"/>
        </w:rPr>
        <w:t>故障判据</w:t>
      </w:r>
    </w:p>
    <w:p w14:paraId="200ED1F8">
      <w:pPr>
        <w:pStyle w:val="2"/>
        <w:spacing w:before="103" w:line="219" w:lineRule="auto"/>
        <w:ind w:left="560"/>
      </w:pPr>
      <w:r>
        <w:rPr>
          <w:spacing w:val="-5"/>
        </w:rPr>
        <w:t>在试验过程中，出现下列任何一种状态时，应判定受试产品出现故障：</w:t>
      </w:r>
    </w:p>
    <w:p w14:paraId="7139E156">
      <w:pPr>
        <w:pStyle w:val="2"/>
        <w:spacing w:before="60" w:line="212" w:lineRule="auto"/>
        <w:ind w:left="560"/>
      </w:pPr>
      <w:r>
        <w:rPr>
          <w:rFonts w:ascii="Times New Roman" w:hAnsi="Times New Roman" w:eastAsia="Times New Roman" w:cs="Times New Roman"/>
          <w:spacing w:val="-5"/>
        </w:rPr>
        <w:t>a)</w:t>
      </w:r>
      <w:r>
        <w:rPr>
          <w:rFonts w:ascii="Times New Roman" w:hAnsi="Times New Roman" w:eastAsia="Times New Roman" w:cs="Times New Roman"/>
          <w:spacing w:val="78"/>
        </w:rPr>
        <w:t xml:space="preserve"> </w:t>
      </w:r>
      <w:r>
        <w:rPr>
          <w:spacing w:val="-5"/>
        </w:rPr>
        <w:t>在规定的条件下，受试产品不能工作；</w:t>
      </w:r>
    </w:p>
    <w:p w14:paraId="77BD2525">
      <w:pPr>
        <w:pStyle w:val="2"/>
        <w:spacing w:before="109" w:line="212" w:lineRule="auto"/>
        <w:ind w:left="560"/>
      </w:pPr>
      <w:r>
        <w:rPr>
          <w:rFonts w:ascii="Times New Roman" w:hAnsi="Times New Roman" w:eastAsia="Times New Roman" w:cs="Times New Roman"/>
        </w:rPr>
        <w:t>b)</w:t>
      </w:r>
      <w:r>
        <w:rPr>
          <w:rFonts w:ascii="Times New Roman" w:hAnsi="Times New Roman" w:eastAsia="Times New Roman" w:cs="Times New Roman"/>
          <w:spacing w:val="61"/>
        </w:rPr>
        <w:t xml:space="preserve"> </w:t>
      </w:r>
      <w:r>
        <w:t>在规定的条件下，受试产品的性能检测结果不满足规定要求；</w:t>
      </w:r>
    </w:p>
    <w:p w14:paraId="055BE67D">
      <w:pPr>
        <w:pStyle w:val="2"/>
        <w:spacing w:before="100" w:line="261" w:lineRule="auto"/>
        <w:ind w:firstLine="560"/>
      </w:pPr>
      <w:r>
        <w:rPr>
          <w:rFonts w:ascii="Times New Roman" w:hAnsi="Times New Roman" w:eastAsia="Times New Roman" w:cs="Times New Roman"/>
          <w:spacing w:val="-4"/>
        </w:rPr>
        <w:t>c)</w:t>
      </w:r>
      <w:r>
        <w:rPr>
          <w:rFonts w:ascii="Times New Roman" w:hAnsi="Times New Roman" w:eastAsia="Times New Roman" w:cs="Times New Roman"/>
          <w:spacing w:val="62"/>
        </w:rPr>
        <w:t xml:space="preserve"> </w:t>
      </w:r>
      <w:r>
        <w:rPr>
          <w:spacing w:val="-4"/>
        </w:rPr>
        <w:t>在试验过程中，受试产品的机械、结构部件</w:t>
      </w:r>
      <w:r>
        <w:rPr>
          <w:spacing w:val="-5"/>
        </w:rPr>
        <w:t>或元器件发生松动、破裂、断</w:t>
      </w:r>
      <w:r>
        <w:t xml:space="preserve"> </w:t>
      </w:r>
      <w:r>
        <w:rPr>
          <w:spacing w:val="1"/>
        </w:rPr>
        <w:t>裂或损坏。</w:t>
      </w:r>
    </w:p>
    <w:p w14:paraId="23A48416">
      <w:pPr>
        <w:spacing w:before="134" w:line="221" w:lineRule="auto"/>
        <w:rPr>
          <w:rFonts w:ascii="黑体" w:hAnsi="黑体" w:eastAsia="黑体" w:cs="黑体"/>
          <w:sz w:val="25"/>
          <w:szCs w:val="25"/>
        </w:rPr>
      </w:pPr>
      <w:r>
        <w:rPr>
          <w:rFonts w:ascii="黑体" w:hAnsi="黑体" w:eastAsia="黑体" w:cs="黑体"/>
          <w:spacing w:val="12"/>
          <w:sz w:val="25"/>
          <w:szCs w:val="25"/>
        </w:rPr>
        <w:t>8.2</w:t>
      </w:r>
      <w:r>
        <w:rPr>
          <w:rFonts w:ascii="黑体" w:hAnsi="黑体" w:eastAsia="黑体" w:cs="黑体"/>
          <w:spacing w:val="56"/>
          <w:sz w:val="25"/>
          <w:szCs w:val="25"/>
        </w:rPr>
        <w:t xml:space="preserve">  </w:t>
      </w:r>
      <w:r>
        <w:rPr>
          <w:rFonts w:ascii="黑体" w:hAnsi="黑体" w:eastAsia="黑体" w:cs="黑体"/>
          <w:spacing w:val="12"/>
          <w:sz w:val="25"/>
          <w:szCs w:val="25"/>
        </w:rPr>
        <w:t>故障分类</w:t>
      </w:r>
    </w:p>
    <w:p w14:paraId="22008839">
      <w:pPr>
        <w:pStyle w:val="2"/>
        <w:spacing w:before="134" w:line="270" w:lineRule="auto"/>
        <w:ind w:right="30" w:firstLine="560"/>
      </w:pPr>
      <w:r>
        <w:rPr>
          <w:spacing w:val="5"/>
        </w:rPr>
        <w:t>可靠性试验过程中出现的故障可分为关联故障和非关联故障，关联故障应</w:t>
      </w:r>
      <w:r>
        <w:t xml:space="preserve"> </w:t>
      </w:r>
      <w:r>
        <w:rPr>
          <w:spacing w:val="4"/>
        </w:rPr>
        <w:t>进一步分为责任故障和非责任故障。</w:t>
      </w:r>
    </w:p>
    <w:p w14:paraId="4C245588">
      <w:pPr>
        <w:pStyle w:val="2"/>
        <w:spacing w:line="212" w:lineRule="auto"/>
        <w:ind w:left="560"/>
      </w:pPr>
      <w:r>
        <w:rPr>
          <w:rFonts w:ascii="Times New Roman" w:hAnsi="Times New Roman" w:eastAsia="Times New Roman" w:cs="Times New Roman"/>
          <w:spacing w:val="5"/>
        </w:rPr>
        <w:t>a)</w:t>
      </w:r>
      <w:r>
        <w:rPr>
          <w:rFonts w:ascii="Times New Roman" w:hAnsi="Times New Roman" w:eastAsia="Times New Roman" w:cs="Times New Roman"/>
          <w:spacing w:val="68"/>
        </w:rPr>
        <w:t xml:space="preserve"> </w:t>
      </w:r>
      <w:r>
        <w:rPr>
          <w:spacing w:val="5"/>
        </w:rPr>
        <w:t>非责任故障</w:t>
      </w:r>
    </w:p>
    <w:p w14:paraId="6FBC708D">
      <w:pPr>
        <w:pStyle w:val="2"/>
        <w:spacing w:before="150" w:line="269" w:lineRule="auto"/>
        <w:ind w:right="13" w:firstLine="560"/>
      </w:pPr>
      <w:r>
        <w:rPr>
          <w:spacing w:val="5"/>
        </w:rPr>
        <w:t>试验过程中，只有下列情况可判为非责任故障：1)误操作引起的受试产品</w:t>
      </w:r>
      <w:r>
        <w:rPr>
          <w:spacing w:val="11"/>
        </w:rPr>
        <w:t xml:space="preserve"> </w:t>
      </w:r>
      <w:r>
        <w:rPr>
          <w:spacing w:val="5"/>
        </w:rPr>
        <w:t>故障；2)试验装置及测试仪表故障引起的受试产品故障；3)超出产品工作极限</w:t>
      </w:r>
      <w:r>
        <w:rPr>
          <w:spacing w:val="3"/>
        </w:rPr>
        <w:t xml:space="preserve"> 的环境条件和工作条件引起的受试产品故障；4)修复过程中引</w:t>
      </w:r>
      <w:r>
        <w:rPr>
          <w:spacing w:val="2"/>
        </w:rPr>
        <w:t>入的故障。</w:t>
      </w:r>
    </w:p>
    <w:p w14:paraId="0FC6C7EF">
      <w:pPr>
        <w:pStyle w:val="2"/>
        <w:spacing w:line="212" w:lineRule="auto"/>
        <w:ind w:left="560"/>
      </w:pPr>
      <w:r>
        <w:rPr>
          <w:rFonts w:ascii="Times New Roman" w:hAnsi="Times New Roman" w:eastAsia="Times New Roman" w:cs="Times New Roman"/>
          <w:spacing w:val="5"/>
        </w:rPr>
        <w:t>b)</w:t>
      </w:r>
      <w:r>
        <w:rPr>
          <w:rFonts w:ascii="Times New Roman" w:hAnsi="Times New Roman" w:eastAsia="Times New Roman" w:cs="Times New Roman"/>
          <w:spacing w:val="58"/>
        </w:rPr>
        <w:t xml:space="preserve"> </w:t>
      </w:r>
      <w:r>
        <w:rPr>
          <w:spacing w:val="5"/>
        </w:rPr>
        <w:t>责任故障</w:t>
      </w:r>
    </w:p>
    <w:p w14:paraId="74088C31">
      <w:pPr>
        <w:pStyle w:val="2"/>
        <w:spacing w:before="159" w:line="219" w:lineRule="auto"/>
        <w:ind w:right="26"/>
        <w:jc w:val="right"/>
        <w:rPr>
          <w:sz w:val="25"/>
          <w:szCs w:val="25"/>
        </w:rPr>
      </w:pPr>
      <w:r>
        <w:rPr>
          <w:spacing w:val="16"/>
          <w:sz w:val="25"/>
          <w:szCs w:val="25"/>
        </w:rPr>
        <w:t>除可判定为非责任的故障外，其他所有故障均判定为责任故障，如：1)由于</w:t>
      </w:r>
    </w:p>
    <w:p w14:paraId="59671393">
      <w:pPr>
        <w:spacing w:line="219" w:lineRule="auto"/>
        <w:rPr>
          <w:sz w:val="25"/>
          <w:szCs w:val="25"/>
        </w:rPr>
        <w:sectPr>
          <w:footerReference r:id="rId392" w:type="default"/>
          <w:pgSz w:w="11910" w:h="17130"/>
          <w:pgMar w:top="1456" w:right="1508" w:bottom="1644" w:left="1009" w:header="0" w:footer="1419" w:gutter="0"/>
          <w:cols w:space="720" w:num="1"/>
        </w:sectPr>
      </w:pPr>
    </w:p>
    <w:p w14:paraId="3248ECDE">
      <w:pPr>
        <w:pStyle w:val="2"/>
        <w:spacing w:before="103" w:line="282" w:lineRule="auto"/>
        <w:jc w:val="both"/>
      </w:pPr>
      <w:r>
        <w:rPr>
          <w:spacing w:val="5"/>
        </w:rPr>
        <w:t>设计缺陷或制造工艺不良而造成的故障；2)由于元器件潜在缺陷致使元器件失</w:t>
      </w:r>
      <w:r>
        <w:rPr>
          <w:spacing w:val="17"/>
        </w:rPr>
        <w:t xml:space="preserve"> </w:t>
      </w:r>
      <w:r>
        <w:rPr>
          <w:spacing w:val="5"/>
        </w:rPr>
        <w:t>效而造成的故障；3)间歇故障；4)超出技术规范正常范围的调整；5)试验期间</w:t>
      </w:r>
      <w:r>
        <w:t xml:space="preserve"> </w:t>
      </w:r>
      <w:r>
        <w:rPr>
          <w:spacing w:val="8"/>
        </w:rPr>
        <w:t>所有非从属性故障原因引起的出现故障征兆(未超出性能极限)而引起的更换；</w:t>
      </w:r>
    </w:p>
    <w:p w14:paraId="1E12C2B8">
      <w:pPr>
        <w:pStyle w:val="2"/>
        <w:spacing w:before="13" w:line="219" w:lineRule="auto"/>
        <w:rPr>
          <w:sz w:val="24"/>
          <w:szCs w:val="24"/>
        </w:rPr>
      </w:pPr>
      <w:r>
        <w:rPr>
          <w:spacing w:val="35"/>
          <w:sz w:val="24"/>
          <w:szCs w:val="24"/>
        </w:rPr>
        <w:t>6)无法证实的异常情况。</w:t>
      </w:r>
    </w:p>
    <w:p w14:paraId="0095991A">
      <w:pPr>
        <w:spacing w:before="123" w:line="221" w:lineRule="auto"/>
        <w:rPr>
          <w:rFonts w:ascii="黑体" w:hAnsi="黑体" w:eastAsia="黑体" w:cs="黑体"/>
          <w:sz w:val="27"/>
          <w:szCs w:val="27"/>
        </w:rPr>
      </w:pPr>
      <w:r>
        <w:rPr>
          <w:rFonts w:ascii="黑体" w:hAnsi="黑体" w:eastAsia="黑体" w:cs="黑体"/>
          <w:sz w:val="27"/>
          <w:szCs w:val="27"/>
        </w:rPr>
        <w:t>8.3</w:t>
      </w:r>
      <w:r>
        <w:rPr>
          <w:rFonts w:ascii="黑体" w:hAnsi="黑体" w:eastAsia="黑体" w:cs="黑体"/>
          <w:spacing w:val="30"/>
          <w:sz w:val="27"/>
          <w:szCs w:val="27"/>
        </w:rPr>
        <w:t xml:space="preserve">  </w:t>
      </w:r>
      <w:r>
        <w:rPr>
          <w:rFonts w:ascii="黑体" w:hAnsi="黑体" w:eastAsia="黑体" w:cs="黑体"/>
          <w:sz w:val="27"/>
          <w:szCs w:val="27"/>
        </w:rPr>
        <w:t>故障统计原则</w:t>
      </w:r>
    </w:p>
    <w:p w14:paraId="25B6835A">
      <w:pPr>
        <w:pStyle w:val="2"/>
        <w:spacing w:before="87" w:line="284" w:lineRule="auto"/>
        <w:ind w:right="103" w:firstLine="560"/>
      </w:pPr>
      <w:r>
        <w:rPr>
          <w:spacing w:val="5"/>
        </w:rPr>
        <w:t>试验过程中，只有责任故障才能作为判定受试产品合格与否的根据。责任</w:t>
      </w:r>
      <w:r>
        <w:rPr>
          <w:spacing w:val="10"/>
        </w:rPr>
        <w:t xml:space="preserve"> </w:t>
      </w:r>
      <w:r>
        <w:rPr>
          <w:spacing w:val="1"/>
        </w:rPr>
        <w:t>故障可参照下述原则进行统计：</w:t>
      </w:r>
    </w:p>
    <w:p w14:paraId="4DD06AF1">
      <w:pPr>
        <w:pStyle w:val="2"/>
        <w:spacing w:line="212" w:lineRule="auto"/>
        <w:ind w:left="560"/>
      </w:pPr>
      <w:r>
        <w:rPr>
          <w:rFonts w:ascii="Times New Roman" w:hAnsi="Times New Roman" w:eastAsia="Times New Roman" w:cs="Times New Roman"/>
          <w:spacing w:val="1"/>
        </w:rPr>
        <w:t xml:space="preserve">a)  </w:t>
      </w:r>
      <w:r>
        <w:rPr>
          <w:spacing w:val="1"/>
        </w:rPr>
        <w:t>当可证实多种故障模式由同一原因引起</w:t>
      </w:r>
      <w:r>
        <w:t>时，整个事件计为一次故障；</w:t>
      </w:r>
    </w:p>
    <w:p w14:paraId="3741CBF1">
      <w:pPr>
        <w:pStyle w:val="2"/>
        <w:spacing w:before="92" w:line="270" w:lineRule="auto"/>
        <w:ind w:right="101" w:firstLine="560"/>
      </w:pPr>
      <w:r>
        <w:rPr>
          <w:rFonts w:ascii="Times New Roman" w:hAnsi="Times New Roman" w:eastAsia="Times New Roman" w:cs="Times New Roman"/>
          <w:spacing w:val="11"/>
        </w:rPr>
        <w:t>b)</w:t>
      </w:r>
      <w:r>
        <w:rPr>
          <w:rFonts w:ascii="Times New Roman" w:hAnsi="Times New Roman" w:eastAsia="Times New Roman" w:cs="Times New Roman"/>
          <w:spacing w:val="68"/>
        </w:rPr>
        <w:t xml:space="preserve"> </w:t>
      </w:r>
      <w:r>
        <w:rPr>
          <w:spacing w:val="11"/>
        </w:rPr>
        <w:t>有多个元器件在试验过程中同时失效时，在不能证明是一个元器件失</w:t>
      </w:r>
      <w:r>
        <w:t xml:space="preserve"> </w:t>
      </w:r>
      <w:r>
        <w:rPr>
          <w:spacing w:val="6"/>
        </w:rPr>
        <w:t>效引起了另一些失效时，每个元器件的失效计为一</w:t>
      </w:r>
      <w:r>
        <w:rPr>
          <w:spacing w:val="5"/>
        </w:rPr>
        <w:t>次独立的故障；若可证明是</w:t>
      </w:r>
      <w:r>
        <w:t xml:space="preserve"> </w:t>
      </w:r>
      <w:r>
        <w:rPr>
          <w:spacing w:val="23"/>
        </w:rPr>
        <w:t>一个元器件的失效引起的另一些失效时，则所有元器件的</w:t>
      </w:r>
      <w:r>
        <w:rPr>
          <w:spacing w:val="22"/>
        </w:rPr>
        <w:t>失效合计为一次</w:t>
      </w:r>
      <w:r>
        <w:t xml:space="preserve"> </w:t>
      </w:r>
      <w:r>
        <w:rPr>
          <w:spacing w:val="-4"/>
        </w:rPr>
        <w:t>故障；</w:t>
      </w:r>
    </w:p>
    <w:p w14:paraId="3FD2A538">
      <w:pPr>
        <w:pStyle w:val="2"/>
        <w:spacing w:before="90" w:line="253" w:lineRule="auto"/>
        <w:ind w:right="83" w:firstLine="560"/>
      </w:pPr>
      <w:r>
        <w:rPr>
          <w:rFonts w:ascii="Times New Roman" w:hAnsi="Times New Roman" w:eastAsia="Times New Roman" w:cs="Times New Roman"/>
          <w:spacing w:val="4"/>
        </w:rPr>
        <w:t>c)</w:t>
      </w:r>
      <w:r>
        <w:rPr>
          <w:rFonts w:ascii="Times New Roman" w:hAnsi="Times New Roman" w:eastAsia="Times New Roman" w:cs="Times New Roman"/>
          <w:spacing w:val="63"/>
        </w:rPr>
        <w:t xml:space="preserve"> </w:t>
      </w:r>
      <w:r>
        <w:rPr>
          <w:spacing w:val="4"/>
        </w:rPr>
        <w:t>可证实是由于同一原因引起的间歇故障，若</w:t>
      </w:r>
      <w:r>
        <w:rPr>
          <w:spacing w:val="3"/>
        </w:rPr>
        <w:t>经分析确认采取纠正措施经</w:t>
      </w:r>
      <w:r>
        <w:t xml:space="preserve"> </w:t>
      </w:r>
      <w:r>
        <w:rPr>
          <w:spacing w:val="-2"/>
        </w:rPr>
        <w:t>验证有效后将不再发生，则多次故障合计为一次故障；</w:t>
      </w:r>
    </w:p>
    <w:p w14:paraId="4EB753A4">
      <w:pPr>
        <w:pStyle w:val="2"/>
        <w:spacing w:before="59" w:line="260" w:lineRule="auto"/>
        <w:ind w:right="83" w:firstLine="560"/>
      </w:pPr>
      <w:r>
        <w:rPr>
          <w:rFonts w:ascii="Times New Roman" w:hAnsi="Times New Roman" w:eastAsia="Times New Roman" w:cs="Times New Roman"/>
          <w:spacing w:val="-5"/>
        </w:rPr>
        <w:t xml:space="preserve">d)  </w:t>
      </w:r>
      <w:r>
        <w:rPr>
          <w:spacing w:val="-5"/>
        </w:rPr>
        <w:t>多次发生在相同部位、相同性质、相同原因的故障，若经分析确认采取纠</w:t>
      </w:r>
      <w:r>
        <w:rPr>
          <w:spacing w:val="10"/>
        </w:rPr>
        <w:t xml:space="preserve"> </w:t>
      </w:r>
      <w:r>
        <w:rPr>
          <w:spacing w:val="-1"/>
        </w:rPr>
        <w:t>正措施经验证有效后将不再发生，则多次故障合计为一次故障；</w:t>
      </w:r>
    </w:p>
    <w:p w14:paraId="7DA7C9FF">
      <w:pPr>
        <w:pStyle w:val="2"/>
        <w:spacing w:before="68" w:line="259" w:lineRule="auto"/>
        <w:ind w:right="82" w:firstLine="560"/>
      </w:pPr>
      <w:r>
        <w:rPr>
          <w:rFonts w:ascii="Times New Roman" w:hAnsi="Times New Roman" w:eastAsia="Times New Roman" w:cs="Times New Roman"/>
          <w:spacing w:val="3"/>
        </w:rPr>
        <w:t xml:space="preserve">e)  </w:t>
      </w:r>
      <w:r>
        <w:rPr>
          <w:spacing w:val="3"/>
        </w:rPr>
        <w:t>已经报告过的由同一故障原因引起的故障，由于未能真正排除而再次出</w:t>
      </w:r>
      <w:r>
        <w:rPr>
          <w:spacing w:val="11"/>
        </w:rPr>
        <w:t xml:space="preserve"> </w:t>
      </w:r>
      <w:r>
        <w:rPr>
          <w:spacing w:val="-3"/>
        </w:rPr>
        <w:t>现时，应和原来报告过的故障合计为一次故障；</w:t>
      </w:r>
    </w:p>
    <w:p w14:paraId="297337BF">
      <w:pPr>
        <w:pStyle w:val="2"/>
        <w:spacing w:before="74" w:line="260" w:lineRule="auto"/>
        <w:ind w:right="97" w:firstLine="560"/>
      </w:pPr>
      <w:r>
        <w:rPr>
          <w:rFonts w:ascii="Times New Roman" w:hAnsi="Times New Roman" w:eastAsia="Times New Roman" w:cs="Times New Roman"/>
          <w:spacing w:val="4"/>
        </w:rPr>
        <w:t xml:space="preserve">f)  </w:t>
      </w:r>
      <w:r>
        <w:rPr>
          <w:spacing w:val="4"/>
        </w:rPr>
        <w:t>在故障检测和修理期间，若发现受试产品中还存在</w:t>
      </w:r>
      <w:r>
        <w:rPr>
          <w:spacing w:val="3"/>
        </w:rPr>
        <w:t>其他故障而不能确定</w:t>
      </w:r>
      <w:r>
        <w:t xml:space="preserve"> </w:t>
      </w:r>
      <w:r>
        <w:rPr>
          <w:spacing w:val="-1"/>
        </w:rPr>
        <w:t>为是由原有故障引起的，则应将其视为单独的责任故障进行统计。</w:t>
      </w:r>
    </w:p>
    <w:p w14:paraId="6B6166E6">
      <w:pPr>
        <w:spacing w:before="49" w:line="368" w:lineRule="exact"/>
        <w:rPr>
          <w:rFonts w:ascii="黑体" w:hAnsi="黑体" w:eastAsia="黑体" w:cs="黑体"/>
          <w:sz w:val="27"/>
          <w:szCs w:val="27"/>
        </w:rPr>
      </w:pPr>
      <w:r>
        <w:rPr>
          <w:rFonts w:ascii="Arial" w:hAnsi="Arial" w:eastAsia="Arial" w:cs="Arial"/>
          <w:spacing w:val="6"/>
          <w:position w:val="1"/>
          <w:sz w:val="27"/>
          <w:szCs w:val="27"/>
        </w:rPr>
        <w:t>9</w:t>
      </w:r>
      <w:r>
        <w:rPr>
          <w:rFonts w:ascii="Arial" w:hAnsi="Arial" w:eastAsia="Arial" w:cs="Arial"/>
          <w:spacing w:val="20"/>
          <w:position w:val="1"/>
          <w:sz w:val="27"/>
          <w:szCs w:val="27"/>
        </w:rPr>
        <w:t xml:space="preserve">   </w:t>
      </w:r>
      <w:r>
        <w:rPr>
          <w:rFonts w:ascii="黑体" w:hAnsi="黑体" w:eastAsia="黑体" w:cs="黑体"/>
          <w:spacing w:val="6"/>
          <w:position w:val="1"/>
          <w:sz w:val="27"/>
          <w:szCs w:val="27"/>
        </w:rPr>
        <w:t>试验前有关工作</w:t>
      </w:r>
    </w:p>
    <w:p w14:paraId="7DA4DEC9">
      <w:pPr>
        <w:pStyle w:val="2"/>
        <w:spacing w:before="134" w:line="284" w:lineRule="auto"/>
        <w:ind w:right="84" w:firstLine="560"/>
        <w:jc w:val="both"/>
      </w:pPr>
      <w:r>
        <w:rPr>
          <w:spacing w:val="-3"/>
        </w:rPr>
        <w:t>应明确进行此次试验前，承试方和承制方及订购方应完成的工作内容，包括</w:t>
      </w:r>
      <w:r>
        <w:rPr>
          <w:spacing w:val="18"/>
        </w:rPr>
        <w:t xml:space="preserve"> </w:t>
      </w:r>
      <w:r>
        <w:rPr>
          <w:spacing w:val="-2"/>
        </w:rPr>
        <w:t>在此之前应完成的试验项目、应成立的组织机构、应编写的</w:t>
      </w:r>
      <w:r>
        <w:rPr>
          <w:spacing w:val="-3"/>
        </w:rPr>
        <w:t>试验文件、试验设施</w:t>
      </w:r>
      <w:r>
        <w:t xml:space="preserve"> 能力调查、受试产品的安装和测试要求及试验前准备工作评审要求等。</w:t>
      </w:r>
    </w:p>
    <w:p w14:paraId="09A205BE">
      <w:pPr>
        <w:spacing w:before="1" w:line="220" w:lineRule="auto"/>
        <w:rPr>
          <w:rFonts w:ascii="黑体" w:hAnsi="黑体" w:eastAsia="黑体" w:cs="黑体"/>
          <w:sz w:val="27"/>
          <w:szCs w:val="27"/>
        </w:rPr>
      </w:pPr>
      <w:r>
        <w:rPr>
          <w:rFonts w:ascii="黑体" w:hAnsi="黑体" w:eastAsia="黑体" w:cs="黑体"/>
          <w:spacing w:val="3"/>
          <w:sz w:val="27"/>
          <w:szCs w:val="27"/>
        </w:rPr>
        <w:t>10</w:t>
      </w:r>
      <w:r>
        <w:rPr>
          <w:rFonts w:ascii="黑体" w:hAnsi="黑体" w:eastAsia="黑体" w:cs="黑体"/>
          <w:spacing w:val="24"/>
          <w:sz w:val="27"/>
          <w:szCs w:val="27"/>
        </w:rPr>
        <w:t xml:space="preserve">  </w:t>
      </w:r>
      <w:r>
        <w:rPr>
          <w:rFonts w:ascii="黑体" w:hAnsi="黑体" w:eastAsia="黑体" w:cs="黑体"/>
          <w:spacing w:val="3"/>
          <w:sz w:val="27"/>
          <w:szCs w:val="27"/>
        </w:rPr>
        <w:t>试验过程中的监测及记录要求</w:t>
      </w:r>
    </w:p>
    <w:p w14:paraId="1377AE19">
      <w:pPr>
        <w:pStyle w:val="2"/>
        <w:spacing w:before="110" w:line="296" w:lineRule="auto"/>
        <w:ind w:right="84" w:firstLine="560"/>
      </w:pPr>
      <w:r>
        <w:rPr>
          <w:spacing w:val="6"/>
        </w:rPr>
        <w:t>应明确试验过程中受试产品的检测要求和试验设施的监测要求，同</w:t>
      </w:r>
      <w:r>
        <w:rPr>
          <w:spacing w:val="5"/>
        </w:rPr>
        <w:t>时应给</w:t>
      </w:r>
      <w:r>
        <w:t xml:space="preserve"> 出相应的记录表格。</w:t>
      </w:r>
    </w:p>
    <w:p w14:paraId="59006076">
      <w:pPr>
        <w:spacing w:before="33" w:line="222" w:lineRule="auto"/>
        <w:rPr>
          <w:rFonts w:ascii="黑体" w:hAnsi="黑体" w:eastAsia="黑体" w:cs="黑体"/>
          <w:sz w:val="24"/>
          <w:szCs w:val="24"/>
        </w:rPr>
      </w:pPr>
      <w:r>
        <w:rPr>
          <w:rFonts w:ascii="黑体" w:hAnsi="黑体" w:eastAsia="黑体" w:cs="黑体"/>
          <w:spacing w:val="27"/>
          <w:sz w:val="24"/>
          <w:szCs w:val="24"/>
        </w:rPr>
        <w:t>11</w:t>
      </w:r>
      <w:r>
        <w:rPr>
          <w:rFonts w:ascii="黑体" w:hAnsi="黑体" w:eastAsia="黑体" w:cs="黑体"/>
          <w:spacing w:val="54"/>
          <w:sz w:val="24"/>
          <w:szCs w:val="24"/>
        </w:rPr>
        <w:t xml:space="preserve">  </w:t>
      </w:r>
      <w:r>
        <w:rPr>
          <w:rFonts w:ascii="黑体" w:hAnsi="黑体" w:eastAsia="黑体" w:cs="黑体"/>
          <w:spacing w:val="27"/>
          <w:sz w:val="24"/>
          <w:szCs w:val="24"/>
        </w:rPr>
        <w:t>故障的报告和处理要求</w:t>
      </w:r>
    </w:p>
    <w:p w14:paraId="2BCB1CB5">
      <w:pPr>
        <w:pStyle w:val="2"/>
        <w:spacing w:before="130" w:line="277" w:lineRule="auto"/>
        <w:ind w:right="90" w:firstLine="560"/>
      </w:pPr>
      <w:r>
        <w:rPr>
          <w:spacing w:val="6"/>
        </w:rPr>
        <w:t>明确在试验过程中发生故障后应按何种方式进行报告</w:t>
      </w:r>
      <w:r>
        <w:rPr>
          <w:spacing w:val="5"/>
        </w:rPr>
        <w:t>，应填写哪些记录以</w:t>
      </w:r>
      <w:r>
        <w:t xml:space="preserve"> 及故障的处理程序。</w:t>
      </w:r>
    </w:p>
    <w:p w14:paraId="4BCDEC1E">
      <w:pPr>
        <w:spacing w:before="59" w:line="221" w:lineRule="auto"/>
        <w:rPr>
          <w:rFonts w:ascii="黑体" w:hAnsi="黑体" w:eastAsia="黑体" w:cs="黑体"/>
          <w:sz w:val="24"/>
          <w:szCs w:val="24"/>
        </w:rPr>
      </w:pPr>
      <w:r>
        <w:rPr>
          <w:rFonts w:ascii="黑体" w:hAnsi="黑体" w:eastAsia="黑体" w:cs="黑体"/>
          <w:spacing w:val="24"/>
          <w:sz w:val="24"/>
          <w:szCs w:val="24"/>
        </w:rPr>
        <w:t>12</w:t>
      </w:r>
      <w:r>
        <w:rPr>
          <w:rFonts w:ascii="黑体" w:hAnsi="黑体" w:eastAsia="黑体" w:cs="黑体"/>
          <w:spacing w:val="53"/>
          <w:sz w:val="24"/>
          <w:szCs w:val="24"/>
        </w:rPr>
        <w:t xml:space="preserve">  </w:t>
      </w:r>
      <w:r>
        <w:rPr>
          <w:rFonts w:ascii="黑体" w:hAnsi="黑体" w:eastAsia="黑体" w:cs="黑体"/>
          <w:spacing w:val="24"/>
          <w:sz w:val="24"/>
          <w:szCs w:val="24"/>
        </w:rPr>
        <w:t>有关问题的说明</w:t>
      </w:r>
    </w:p>
    <w:p w14:paraId="1391FAA0">
      <w:pPr>
        <w:pStyle w:val="2"/>
        <w:spacing w:before="134" w:line="297" w:lineRule="auto"/>
        <w:ind w:right="103" w:firstLine="560"/>
      </w:pPr>
      <w:r>
        <w:rPr>
          <w:spacing w:val="5"/>
        </w:rPr>
        <w:t>应对其他章节中尚不明确的事项进行规定，以保证试验大纲的完整性和严</w:t>
      </w:r>
      <w:r>
        <w:rPr>
          <w:spacing w:val="10"/>
        </w:rPr>
        <w:t xml:space="preserve"> </w:t>
      </w:r>
      <w:r>
        <w:rPr>
          <w:spacing w:val="3"/>
        </w:rPr>
        <w:t>密性。例如受试产品中的有寿件更换要求等。</w:t>
      </w:r>
    </w:p>
    <w:p w14:paraId="4FCEF074">
      <w:pPr>
        <w:spacing w:line="297" w:lineRule="auto"/>
        <w:sectPr>
          <w:footerReference r:id="rId393" w:type="default"/>
          <w:pgSz w:w="11910" w:h="17130"/>
          <w:pgMar w:top="1456" w:right="805" w:bottom="1596" w:left="1630" w:header="0" w:footer="1407" w:gutter="0"/>
          <w:cols w:space="720" w:num="1"/>
        </w:sectPr>
      </w:pPr>
    </w:p>
    <w:p w14:paraId="7FBDFD96">
      <w:pPr>
        <w:spacing w:line="364" w:lineRule="auto"/>
        <w:rPr>
          <w:rFonts w:ascii="Arial"/>
          <w:sz w:val="21"/>
        </w:rPr>
      </w:pPr>
    </w:p>
    <w:p w14:paraId="7A8028D2">
      <w:pPr>
        <w:pStyle w:val="2"/>
        <w:spacing w:before="117" w:line="219" w:lineRule="auto"/>
        <w:ind w:left="1950"/>
        <w:outlineLvl w:val="1"/>
        <w:rPr>
          <w:sz w:val="36"/>
          <w:szCs w:val="36"/>
        </w:rPr>
      </w:pPr>
      <w:r>
        <w:rPr>
          <w:rFonts w:ascii="Times New Roman" w:hAnsi="Times New Roman" w:eastAsia="Times New Roman" w:cs="Times New Roman"/>
          <w:b/>
          <w:bCs/>
          <w:spacing w:val="2"/>
          <w:sz w:val="36"/>
          <w:szCs w:val="36"/>
        </w:rPr>
        <w:t xml:space="preserve">7.23     </w:t>
      </w:r>
      <w:r>
        <w:rPr>
          <w:b/>
          <w:bCs/>
          <w:spacing w:val="2"/>
          <w:sz w:val="36"/>
          <w:szCs w:val="36"/>
        </w:rPr>
        <w:t>可靠性鉴定(验收)试验程序</w:t>
      </w:r>
    </w:p>
    <w:p w14:paraId="4B402A34">
      <w:pPr>
        <w:spacing w:line="408" w:lineRule="auto"/>
        <w:rPr>
          <w:rFonts w:ascii="Arial"/>
          <w:sz w:val="21"/>
        </w:rPr>
      </w:pPr>
    </w:p>
    <w:p w14:paraId="1167E80A">
      <w:pPr>
        <w:pStyle w:val="2"/>
        <w:spacing w:before="91" w:line="226" w:lineRule="auto"/>
        <w:ind w:left="56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 899A—2009</w:t>
      </w:r>
      <w:r>
        <w:rPr>
          <w:spacing w:val="-9"/>
          <w:sz w:val="28"/>
          <w:szCs w:val="28"/>
        </w:rPr>
        <w:t>《</w:t>
      </w:r>
      <w:r>
        <w:rPr>
          <w:rFonts w:ascii="楷体" w:hAnsi="楷体" w:eastAsia="楷体" w:cs="楷体"/>
          <w:spacing w:val="-9"/>
          <w:sz w:val="28"/>
          <w:szCs w:val="28"/>
        </w:rPr>
        <w:t>可靠性鉴定和</w:t>
      </w:r>
      <w:r>
        <w:rPr>
          <w:rFonts w:ascii="楷体" w:hAnsi="楷体" w:eastAsia="楷体" w:cs="楷体"/>
          <w:spacing w:val="-10"/>
          <w:sz w:val="28"/>
          <w:szCs w:val="28"/>
        </w:rPr>
        <w:t>验收试验》编写。</w:t>
      </w:r>
    </w:p>
    <w:p w14:paraId="4FD76315">
      <w:pPr>
        <w:spacing w:before="103" w:line="221"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spacing w:val="17"/>
          <w:sz w:val="27"/>
          <w:szCs w:val="27"/>
        </w:rPr>
        <w:t xml:space="preserve">  </w:t>
      </w:r>
      <w:r>
        <w:rPr>
          <w:rFonts w:ascii="黑体" w:hAnsi="黑体" w:eastAsia="黑体" w:cs="黑体"/>
          <w:b/>
          <w:bCs/>
          <w:spacing w:val="-1"/>
          <w:sz w:val="27"/>
          <w:szCs w:val="27"/>
        </w:rPr>
        <w:t>试验设施和测试设备</w:t>
      </w:r>
    </w:p>
    <w:p w14:paraId="41F9A4D3">
      <w:pPr>
        <w:pStyle w:val="2"/>
        <w:spacing w:before="131" w:line="289" w:lineRule="auto"/>
        <w:ind w:firstLine="560"/>
      </w:pPr>
      <w:r>
        <w:rPr>
          <w:spacing w:val="6"/>
        </w:rPr>
        <w:t>必要时给出试验设施的连接示意图，说明试验所使用的试验设施和测试设</w:t>
      </w:r>
      <w:r>
        <w:t xml:space="preserve"> </w:t>
      </w:r>
      <w:r>
        <w:rPr>
          <w:spacing w:val="-12"/>
        </w:rPr>
        <w:t>备的型号、生产厂、能力、检定周期以及检定有效期等。</w:t>
      </w:r>
    </w:p>
    <w:p w14:paraId="7EA0D9B7">
      <w:pPr>
        <w:spacing w:before="1" w:line="220" w:lineRule="auto"/>
        <w:rPr>
          <w:rFonts w:ascii="黑体" w:hAnsi="黑体" w:eastAsia="黑体" w:cs="黑体"/>
          <w:sz w:val="27"/>
          <w:szCs w:val="27"/>
        </w:rPr>
      </w:pPr>
      <w:r>
        <w:rPr>
          <w:rFonts w:ascii="黑体" w:hAnsi="黑体" w:eastAsia="黑体" w:cs="黑体"/>
          <w:spacing w:val="1"/>
          <w:sz w:val="27"/>
          <w:szCs w:val="27"/>
        </w:rPr>
        <w:t xml:space="preserve">2  </w:t>
      </w:r>
      <w:r>
        <w:rPr>
          <w:rFonts w:ascii="黑体" w:hAnsi="黑体" w:eastAsia="黑体" w:cs="黑体"/>
          <w:b/>
          <w:bCs/>
          <w:spacing w:val="1"/>
          <w:sz w:val="27"/>
          <w:szCs w:val="27"/>
        </w:rPr>
        <w:t>综合环境条件及其施加方式</w:t>
      </w:r>
    </w:p>
    <w:p w14:paraId="08AA7106">
      <w:pPr>
        <w:pStyle w:val="2"/>
        <w:spacing w:before="121" w:line="219" w:lineRule="auto"/>
        <w:ind w:left="560"/>
      </w:pPr>
      <w:r>
        <w:t>对综合环境条件进行描述，规定每种试验应力的施加方式和时机。</w:t>
      </w:r>
    </w:p>
    <w:p w14:paraId="18D1CAA1">
      <w:pPr>
        <w:spacing w:before="115" w:line="221"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9"/>
          <w:sz w:val="27"/>
          <w:szCs w:val="27"/>
        </w:rPr>
        <w:t xml:space="preserve">  </w:t>
      </w:r>
      <w:r>
        <w:rPr>
          <w:rFonts w:ascii="黑体" w:hAnsi="黑体" w:eastAsia="黑体" w:cs="黑体"/>
          <w:b/>
          <w:bCs/>
          <w:spacing w:val="2"/>
          <w:sz w:val="27"/>
          <w:szCs w:val="27"/>
        </w:rPr>
        <w:t>试验检测</w:t>
      </w:r>
    </w:p>
    <w:p w14:paraId="735BB415">
      <w:pPr>
        <w:pStyle w:val="2"/>
        <w:spacing w:before="131" w:line="219" w:lineRule="auto"/>
        <w:ind w:left="560"/>
      </w:pPr>
      <w:r>
        <w:rPr>
          <w:spacing w:val="-7"/>
        </w:rPr>
        <w:t>明确试验中的检测时机、检测内容、记录方式和合格判据。</w:t>
      </w:r>
    </w:p>
    <w:p w14:paraId="0F4844C5">
      <w:pPr>
        <w:spacing w:before="126" w:line="221" w:lineRule="auto"/>
        <w:outlineLvl w:val="3"/>
        <w:rPr>
          <w:rFonts w:ascii="黑体" w:hAnsi="黑体" w:eastAsia="黑体" w:cs="黑体"/>
          <w:sz w:val="27"/>
          <w:szCs w:val="27"/>
        </w:rPr>
      </w:pPr>
      <w:r>
        <w:rPr>
          <w:rFonts w:ascii="Arial" w:hAnsi="Arial" w:eastAsia="Arial" w:cs="Arial"/>
          <w:b/>
          <w:bCs/>
          <w:spacing w:val="1"/>
          <w:sz w:val="27"/>
          <w:szCs w:val="27"/>
        </w:rPr>
        <w:t>4</w:t>
      </w:r>
      <w:r>
        <w:rPr>
          <w:rFonts w:ascii="Arial" w:hAnsi="Arial" w:eastAsia="Arial" w:cs="Arial"/>
          <w:b/>
          <w:bCs/>
          <w:spacing w:val="16"/>
          <w:sz w:val="27"/>
          <w:szCs w:val="27"/>
        </w:rPr>
        <w:t xml:space="preserve">   </w:t>
      </w:r>
      <w:r>
        <w:rPr>
          <w:rFonts w:ascii="黑体" w:hAnsi="黑体" w:eastAsia="黑体" w:cs="黑体"/>
          <w:b/>
          <w:bCs/>
          <w:spacing w:val="1"/>
          <w:sz w:val="27"/>
          <w:szCs w:val="27"/>
        </w:rPr>
        <w:t>试验开始前有关工作</w:t>
      </w:r>
    </w:p>
    <w:p w14:paraId="47FB48D7">
      <w:pPr>
        <w:pStyle w:val="2"/>
        <w:spacing w:before="123" w:line="292" w:lineRule="auto"/>
        <w:ind w:right="39" w:firstLine="560"/>
      </w:pPr>
      <w:r>
        <w:rPr>
          <w:spacing w:val="-11"/>
        </w:rPr>
        <w:t>明确进场检查、试验设施能力调查、夹具振动</w:t>
      </w:r>
      <w:r>
        <w:rPr>
          <w:spacing w:val="-12"/>
        </w:rPr>
        <w:t>测定、受试产品的安装、试验前</w:t>
      </w:r>
      <w:r>
        <w:t xml:space="preserve"> </w:t>
      </w:r>
      <w:r>
        <w:rPr>
          <w:spacing w:val="3"/>
        </w:rPr>
        <w:t>检测等工作内容。</w:t>
      </w:r>
    </w:p>
    <w:p w14:paraId="7B4830F5">
      <w:pPr>
        <w:spacing w:before="1" w:line="220"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试验实施步骤</w:t>
      </w:r>
    </w:p>
    <w:p w14:paraId="1EF92B2B">
      <w:pPr>
        <w:pStyle w:val="2"/>
        <w:spacing w:before="131" w:line="276" w:lineRule="auto"/>
        <w:ind w:right="35" w:firstLine="560"/>
      </w:pPr>
      <w:r>
        <w:rPr>
          <w:spacing w:val="-4"/>
        </w:rPr>
        <w:t>将可靠性试验分解成操作步骤，明确试验设施的运行程序、受试产品的工作</w:t>
      </w:r>
      <w:r>
        <w:rPr>
          <w:spacing w:val="18"/>
        </w:rPr>
        <w:t xml:space="preserve"> </w:t>
      </w:r>
      <w:r>
        <w:rPr>
          <w:spacing w:val="3"/>
        </w:rPr>
        <w:t>要求和检测要求。</w:t>
      </w:r>
    </w:p>
    <w:p w14:paraId="786895E6">
      <w:pPr>
        <w:spacing w:before="39" w:line="222" w:lineRule="auto"/>
        <w:outlineLvl w:val="3"/>
        <w:rPr>
          <w:rFonts w:ascii="黑体" w:hAnsi="黑体" w:eastAsia="黑体" w:cs="黑体"/>
          <w:sz w:val="27"/>
          <w:szCs w:val="27"/>
        </w:rPr>
      </w:pPr>
      <w:r>
        <w:rPr>
          <w:rFonts w:ascii="Arial" w:hAnsi="Arial" w:eastAsia="Arial" w:cs="Arial"/>
          <w:b/>
          <w:bCs/>
          <w:sz w:val="27"/>
          <w:szCs w:val="27"/>
        </w:rPr>
        <w:t>6</w:t>
      </w:r>
      <w:r>
        <w:rPr>
          <w:rFonts w:ascii="Arial" w:hAnsi="Arial" w:eastAsia="Arial" w:cs="Arial"/>
          <w:b/>
          <w:bCs/>
          <w:spacing w:val="16"/>
          <w:sz w:val="27"/>
          <w:szCs w:val="27"/>
        </w:rPr>
        <w:t xml:space="preserve">   </w:t>
      </w:r>
      <w:r>
        <w:rPr>
          <w:rFonts w:ascii="黑体" w:hAnsi="黑体" w:eastAsia="黑体" w:cs="黑体"/>
          <w:b/>
          <w:bCs/>
          <w:sz w:val="27"/>
          <w:szCs w:val="27"/>
        </w:rPr>
        <w:t>故障处理程序</w:t>
      </w:r>
    </w:p>
    <w:p w14:paraId="7F1DCD71">
      <w:pPr>
        <w:pStyle w:val="2"/>
        <w:spacing w:before="131" w:line="219" w:lineRule="auto"/>
        <w:ind w:left="560"/>
      </w:pPr>
      <w:r>
        <w:rPr>
          <w:spacing w:val="3"/>
        </w:rPr>
        <w:t>明确试验过程中受试产品发生故障时的操作步骤。</w:t>
      </w:r>
    </w:p>
    <w:p w14:paraId="45D43A4B">
      <w:pPr>
        <w:spacing w:before="113" w:line="221" w:lineRule="auto"/>
        <w:outlineLvl w:val="3"/>
        <w:rPr>
          <w:rFonts w:ascii="黑体" w:hAnsi="黑体" w:eastAsia="黑体" w:cs="黑体"/>
          <w:sz w:val="27"/>
          <w:szCs w:val="27"/>
        </w:rPr>
      </w:pPr>
      <w:r>
        <w:rPr>
          <w:rFonts w:ascii="Arial" w:hAnsi="Arial" w:eastAsia="Arial" w:cs="Arial"/>
          <w:b/>
          <w:bCs/>
          <w:sz w:val="27"/>
          <w:szCs w:val="27"/>
        </w:rPr>
        <w:t>7</w:t>
      </w:r>
      <w:r>
        <w:rPr>
          <w:rFonts w:ascii="Arial" w:hAnsi="Arial" w:eastAsia="Arial" w:cs="Arial"/>
          <w:b/>
          <w:bCs/>
          <w:spacing w:val="19"/>
          <w:sz w:val="27"/>
          <w:szCs w:val="27"/>
        </w:rPr>
        <w:t xml:space="preserve">   </w:t>
      </w:r>
      <w:r>
        <w:rPr>
          <w:rFonts w:ascii="黑体" w:hAnsi="黑体" w:eastAsia="黑体" w:cs="黑体"/>
          <w:b/>
          <w:bCs/>
          <w:sz w:val="27"/>
          <w:szCs w:val="27"/>
        </w:rPr>
        <w:t>试验设施故障处理程序</w:t>
      </w:r>
    </w:p>
    <w:p w14:paraId="5CFFC73A">
      <w:pPr>
        <w:pStyle w:val="2"/>
        <w:spacing w:before="123" w:line="219" w:lineRule="auto"/>
        <w:ind w:left="560"/>
      </w:pPr>
      <w:r>
        <w:rPr>
          <w:spacing w:val="4"/>
        </w:rPr>
        <w:t>规定在试验过程中试验设施发生故障时的处理要求。</w:t>
      </w:r>
    </w:p>
    <w:p w14:paraId="149D12FE">
      <w:pPr>
        <w:spacing w:line="395" w:lineRule="auto"/>
        <w:rPr>
          <w:rFonts w:ascii="Arial"/>
          <w:sz w:val="21"/>
        </w:rPr>
      </w:pPr>
    </w:p>
    <w:p w14:paraId="3ECA1BD2">
      <w:pPr>
        <w:pStyle w:val="2"/>
        <w:spacing w:before="118" w:line="218" w:lineRule="auto"/>
        <w:ind w:left="1960"/>
        <w:outlineLvl w:val="1"/>
        <w:rPr>
          <w:sz w:val="36"/>
          <w:szCs w:val="36"/>
        </w:rPr>
      </w:pPr>
      <w:r>
        <w:rPr>
          <w:rFonts w:ascii="Times New Roman" w:hAnsi="Times New Roman" w:eastAsia="Times New Roman" w:cs="Times New Roman"/>
          <w:b/>
          <w:bCs/>
          <w:spacing w:val="2"/>
          <w:sz w:val="36"/>
          <w:szCs w:val="36"/>
        </w:rPr>
        <w:t xml:space="preserve">7.24     </w:t>
      </w:r>
      <w:r>
        <w:rPr>
          <w:b/>
          <w:bCs/>
          <w:spacing w:val="2"/>
          <w:sz w:val="36"/>
          <w:szCs w:val="36"/>
        </w:rPr>
        <w:t>可靠性鉴定(验收)试验报告</w:t>
      </w:r>
    </w:p>
    <w:p w14:paraId="29D77C6D">
      <w:pPr>
        <w:spacing w:line="415" w:lineRule="auto"/>
        <w:rPr>
          <w:rFonts w:ascii="Arial"/>
          <w:sz w:val="21"/>
        </w:rPr>
      </w:pPr>
    </w:p>
    <w:p w14:paraId="09D8FE32">
      <w:pPr>
        <w:pStyle w:val="2"/>
        <w:spacing w:before="79" w:line="226" w:lineRule="auto"/>
        <w:ind w:left="560"/>
        <w:rPr>
          <w:rFonts w:ascii="楷体" w:hAnsi="楷体" w:eastAsia="楷体" w:cs="楷体"/>
          <w:sz w:val="24"/>
          <w:szCs w:val="24"/>
        </w:rPr>
      </w:pPr>
      <w:r>
        <w:rPr>
          <w:rFonts w:ascii="楷体" w:hAnsi="楷体" w:eastAsia="楷体" w:cs="楷体"/>
          <w:spacing w:val="11"/>
          <w:sz w:val="24"/>
          <w:szCs w:val="24"/>
        </w:rPr>
        <w:t>按</w:t>
      </w:r>
      <w:r>
        <w:rPr>
          <w:rFonts w:ascii="楷体" w:hAnsi="楷体" w:eastAsia="楷体" w:cs="楷体"/>
          <w:spacing w:val="-14"/>
          <w:sz w:val="24"/>
          <w:szCs w:val="24"/>
        </w:rPr>
        <w:t xml:space="preserve"> </w:t>
      </w:r>
      <w:r>
        <w:rPr>
          <w:rFonts w:ascii="楷体" w:hAnsi="楷体" w:eastAsia="楷体" w:cs="楷体"/>
          <w:spacing w:val="1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1"/>
          <w:sz w:val="24"/>
          <w:szCs w:val="24"/>
        </w:rPr>
        <w:t>899A—2009</w:t>
      </w:r>
      <w:r>
        <w:rPr>
          <w:spacing w:val="11"/>
          <w:sz w:val="24"/>
          <w:szCs w:val="24"/>
        </w:rPr>
        <w:t>《</w:t>
      </w:r>
      <w:r>
        <w:rPr>
          <w:rFonts w:ascii="楷体" w:hAnsi="楷体" w:eastAsia="楷体" w:cs="楷体"/>
          <w:spacing w:val="11"/>
          <w:sz w:val="24"/>
          <w:szCs w:val="24"/>
        </w:rPr>
        <w:t>可靠性鉴定和验收试验》编写。</w:t>
      </w:r>
    </w:p>
    <w:p w14:paraId="439F328F">
      <w:pPr>
        <w:spacing w:before="112" w:line="221" w:lineRule="auto"/>
        <w:rPr>
          <w:rFonts w:ascii="黑体" w:hAnsi="黑体" w:eastAsia="黑体" w:cs="黑体"/>
          <w:sz w:val="24"/>
          <w:szCs w:val="24"/>
        </w:rPr>
      </w:pPr>
      <w:r>
        <w:rPr>
          <w:rFonts w:ascii="黑体" w:hAnsi="黑体" w:eastAsia="黑体" w:cs="黑体"/>
          <w:spacing w:val="14"/>
          <w:sz w:val="24"/>
          <w:szCs w:val="24"/>
        </w:rPr>
        <w:t>1</w:t>
      </w:r>
      <w:r>
        <w:rPr>
          <w:rFonts w:ascii="黑体" w:hAnsi="黑体" w:eastAsia="黑体" w:cs="黑体"/>
          <w:spacing w:val="37"/>
          <w:sz w:val="24"/>
          <w:szCs w:val="24"/>
        </w:rPr>
        <w:t xml:space="preserve">  </w:t>
      </w:r>
      <w:r>
        <w:rPr>
          <w:rFonts w:ascii="黑体" w:hAnsi="黑体" w:eastAsia="黑体" w:cs="黑体"/>
          <w:b/>
          <w:bCs/>
          <w:spacing w:val="14"/>
          <w:sz w:val="24"/>
          <w:szCs w:val="24"/>
        </w:rPr>
        <w:t>试验内容、目的和结论</w:t>
      </w:r>
    </w:p>
    <w:p w14:paraId="55C3A6E8">
      <w:pPr>
        <w:pStyle w:val="2"/>
        <w:spacing w:before="108" w:line="219" w:lineRule="auto"/>
        <w:ind w:left="560"/>
      </w:pPr>
      <w:r>
        <w:rPr>
          <w:spacing w:val="-8"/>
        </w:rPr>
        <w:t>说明试验目的，简述试验内容，明确本次试</w:t>
      </w:r>
      <w:r>
        <w:rPr>
          <w:spacing w:val="-9"/>
        </w:rPr>
        <w:t>验结论。</w:t>
      </w:r>
    </w:p>
    <w:p w14:paraId="0B733510">
      <w:pPr>
        <w:spacing w:before="85" w:line="221"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试验依据</w:t>
      </w:r>
    </w:p>
    <w:p w14:paraId="255D5652">
      <w:pPr>
        <w:pStyle w:val="2"/>
        <w:spacing w:before="112" w:line="282" w:lineRule="auto"/>
        <w:ind w:right="43" w:firstLine="560"/>
      </w:pPr>
      <w:r>
        <w:rPr>
          <w:spacing w:val="4"/>
        </w:rPr>
        <w:t>说明试验依据，即可靠性鉴定(验收)试验大纲、可靠性鉴定(验收)试验程</w:t>
      </w:r>
      <w:r>
        <w:rPr>
          <w:spacing w:val="12"/>
        </w:rPr>
        <w:t xml:space="preserve"> </w:t>
      </w:r>
      <w:r>
        <w:rPr>
          <w:spacing w:val="-13"/>
        </w:rPr>
        <w:t>序、研制总要求、试验与评定总计划、产品规范等。</w:t>
      </w:r>
    </w:p>
    <w:p w14:paraId="2D87147B">
      <w:pPr>
        <w:spacing w:before="2" w:line="220" w:lineRule="auto"/>
        <w:outlineLvl w:val="3"/>
        <w:rPr>
          <w:rFonts w:ascii="黑体" w:hAnsi="黑体" w:eastAsia="黑体" w:cs="黑体"/>
          <w:sz w:val="27"/>
          <w:szCs w:val="27"/>
        </w:rPr>
      </w:pPr>
      <w:r>
        <w:rPr>
          <w:rFonts w:ascii="Arial" w:hAnsi="Arial" w:eastAsia="Arial" w:cs="Arial"/>
          <w:b/>
          <w:bCs/>
          <w:spacing w:val="-9"/>
          <w:sz w:val="27"/>
          <w:szCs w:val="27"/>
        </w:rPr>
        <w:t>3</w:t>
      </w:r>
      <w:r>
        <w:rPr>
          <w:rFonts w:ascii="Arial" w:hAnsi="Arial" w:eastAsia="Arial" w:cs="Arial"/>
          <w:b/>
          <w:bCs/>
          <w:spacing w:val="17"/>
          <w:sz w:val="27"/>
          <w:szCs w:val="27"/>
        </w:rPr>
        <w:t xml:space="preserve">   </w:t>
      </w:r>
      <w:r>
        <w:rPr>
          <w:rFonts w:ascii="黑体" w:hAnsi="黑体" w:eastAsia="黑体" w:cs="黑体"/>
          <w:b/>
          <w:bCs/>
          <w:spacing w:val="-9"/>
          <w:sz w:val="27"/>
          <w:szCs w:val="27"/>
        </w:rPr>
        <w:t>试验时间、地点及参试人员</w:t>
      </w:r>
    </w:p>
    <w:p w14:paraId="58667B8A">
      <w:pPr>
        <w:pStyle w:val="2"/>
        <w:spacing w:before="93" w:line="219" w:lineRule="auto"/>
        <w:ind w:left="560"/>
      </w:pPr>
      <w:r>
        <w:rPr>
          <w:spacing w:val="-7"/>
        </w:rPr>
        <w:t>说明试验时间、地点及参试人员。</w:t>
      </w:r>
    </w:p>
    <w:p w14:paraId="6EBFD0F0">
      <w:pPr>
        <w:spacing w:line="219" w:lineRule="auto"/>
        <w:sectPr>
          <w:footerReference r:id="rId394" w:type="default"/>
          <w:pgSz w:w="11910" w:h="17130"/>
          <w:pgMar w:top="1456" w:right="1507" w:bottom="1649" w:left="1009" w:header="0" w:footer="1469" w:gutter="0"/>
          <w:cols w:space="720" w:num="1"/>
        </w:sectPr>
      </w:pPr>
    </w:p>
    <w:p w14:paraId="4992D4F9">
      <w:pPr>
        <w:spacing w:before="81" w:line="221" w:lineRule="auto"/>
        <w:rPr>
          <w:rFonts w:ascii="黑体" w:hAnsi="黑体" w:eastAsia="黑体" w:cs="黑体"/>
          <w:sz w:val="24"/>
          <w:szCs w:val="24"/>
        </w:rPr>
      </w:pPr>
      <w:r>
        <w:rPr>
          <w:rFonts w:ascii="黑体" w:hAnsi="黑体" w:eastAsia="黑体" w:cs="黑体"/>
          <w:spacing w:val="28"/>
          <w:sz w:val="24"/>
          <w:szCs w:val="24"/>
        </w:rPr>
        <w:t>4  受试产品说明</w:t>
      </w:r>
    </w:p>
    <w:p w14:paraId="799DA593">
      <w:pPr>
        <w:pStyle w:val="2"/>
        <w:spacing w:before="66" w:line="273" w:lineRule="auto"/>
        <w:ind w:right="26" w:firstLine="550"/>
      </w:pPr>
      <w:r>
        <w:rPr>
          <w:spacing w:val="5"/>
        </w:rPr>
        <w:t>说明受试产品的功能与用途、组成、在装备中的安装位置、技术状态和数</w:t>
      </w:r>
      <w:r>
        <w:rPr>
          <w:spacing w:val="10"/>
        </w:rPr>
        <w:t xml:space="preserve"> </w:t>
      </w:r>
      <w:r>
        <w:rPr>
          <w:spacing w:val="-6"/>
        </w:rPr>
        <w:t>量等。</w:t>
      </w:r>
    </w:p>
    <w:p w14:paraId="0F3C42B9">
      <w:pPr>
        <w:spacing w:line="368" w:lineRule="exact"/>
        <w:rPr>
          <w:rFonts w:ascii="黑体" w:hAnsi="黑体" w:eastAsia="黑体" w:cs="黑体"/>
          <w:sz w:val="27"/>
          <w:szCs w:val="27"/>
        </w:rPr>
      </w:pPr>
      <w:r>
        <w:rPr>
          <w:rFonts w:ascii="Arial" w:hAnsi="Arial" w:eastAsia="Arial" w:cs="Arial"/>
          <w:spacing w:val="2"/>
          <w:position w:val="1"/>
          <w:sz w:val="27"/>
          <w:szCs w:val="27"/>
        </w:rPr>
        <w:t>5</w:t>
      </w:r>
      <w:r>
        <w:rPr>
          <w:rFonts w:ascii="Arial" w:hAnsi="Arial" w:eastAsia="Arial" w:cs="Arial"/>
          <w:spacing w:val="17"/>
          <w:position w:val="1"/>
          <w:sz w:val="27"/>
          <w:szCs w:val="27"/>
        </w:rPr>
        <w:t xml:space="preserve">   </w:t>
      </w:r>
      <w:r>
        <w:rPr>
          <w:rFonts w:ascii="黑体" w:hAnsi="黑体" w:eastAsia="黑体" w:cs="黑体"/>
          <w:spacing w:val="2"/>
          <w:position w:val="1"/>
          <w:sz w:val="27"/>
          <w:szCs w:val="27"/>
        </w:rPr>
        <w:t>试验统计方案</w:t>
      </w:r>
    </w:p>
    <w:p w14:paraId="7A468369">
      <w:pPr>
        <w:pStyle w:val="2"/>
        <w:spacing w:before="93" w:line="219" w:lineRule="auto"/>
        <w:ind w:left="550"/>
      </w:pPr>
      <w:r>
        <w:rPr>
          <w:spacing w:val="3"/>
        </w:rPr>
        <w:t>说明试验所使用的统计方案及相关参数。</w:t>
      </w:r>
    </w:p>
    <w:p w14:paraId="692BC6D6">
      <w:pPr>
        <w:spacing w:before="87" w:line="221" w:lineRule="auto"/>
        <w:rPr>
          <w:rFonts w:ascii="黑体" w:hAnsi="黑体" w:eastAsia="黑体" w:cs="黑体"/>
          <w:sz w:val="27"/>
          <w:szCs w:val="27"/>
        </w:rPr>
      </w:pPr>
      <w:r>
        <w:rPr>
          <w:rFonts w:ascii="黑体" w:hAnsi="黑体" w:eastAsia="黑体" w:cs="黑体"/>
          <w:spacing w:val="5"/>
          <w:sz w:val="27"/>
          <w:szCs w:val="27"/>
        </w:rPr>
        <w:t>6  综合环境条件及应力施加方法说明</w:t>
      </w:r>
    </w:p>
    <w:p w14:paraId="3FBF2EBD">
      <w:pPr>
        <w:pStyle w:val="2"/>
        <w:spacing w:before="78" w:line="273" w:lineRule="auto"/>
        <w:ind w:right="22" w:firstLine="550"/>
      </w:pPr>
      <w:r>
        <w:rPr>
          <w:spacing w:val="-7"/>
        </w:rPr>
        <w:t>对综合环境条件进行描述，分别说明各种工作应力(电应力、温度应力、湿度</w:t>
      </w:r>
      <w:r>
        <w:rPr>
          <w:spacing w:val="7"/>
        </w:rPr>
        <w:t xml:space="preserve"> </w:t>
      </w:r>
      <w:r>
        <w:rPr>
          <w:spacing w:val="-2"/>
        </w:rPr>
        <w:t>应力、振动应力或其他工作应力等)的施加方式和时机。</w:t>
      </w:r>
    </w:p>
    <w:p w14:paraId="281E5D83">
      <w:pPr>
        <w:spacing w:before="1" w:line="220" w:lineRule="auto"/>
        <w:rPr>
          <w:rFonts w:ascii="黑体" w:hAnsi="黑体" w:eastAsia="黑体" w:cs="黑体"/>
          <w:sz w:val="27"/>
          <w:szCs w:val="27"/>
        </w:rPr>
      </w:pPr>
      <w:r>
        <w:rPr>
          <w:rFonts w:ascii="Arial" w:hAnsi="Arial" w:eastAsia="Arial" w:cs="Arial"/>
          <w:spacing w:val="3"/>
          <w:sz w:val="27"/>
          <w:szCs w:val="27"/>
        </w:rPr>
        <w:t>7</w:t>
      </w:r>
      <w:r>
        <w:rPr>
          <w:rFonts w:ascii="Arial" w:hAnsi="Arial" w:eastAsia="Arial" w:cs="Arial"/>
          <w:spacing w:val="18"/>
          <w:sz w:val="27"/>
          <w:szCs w:val="27"/>
        </w:rPr>
        <w:t xml:space="preserve">   </w:t>
      </w:r>
      <w:r>
        <w:rPr>
          <w:rFonts w:ascii="黑体" w:hAnsi="黑体" w:eastAsia="黑体" w:cs="黑体"/>
          <w:spacing w:val="3"/>
          <w:sz w:val="27"/>
          <w:szCs w:val="27"/>
        </w:rPr>
        <w:t>试验设施和仪器情况</w:t>
      </w:r>
    </w:p>
    <w:p w14:paraId="52F3C1D8">
      <w:pPr>
        <w:pStyle w:val="2"/>
        <w:spacing w:before="107" w:line="219" w:lineRule="auto"/>
        <w:ind w:left="550"/>
      </w:pPr>
      <w:r>
        <w:rPr>
          <w:spacing w:val="-3"/>
        </w:rPr>
        <w:t>说明试验设施和测试设备的能力、精度及检定要求。</w:t>
      </w:r>
    </w:p>
    <w:p w14:paraId="6B29CEFC">
      <w:pPr>
        <w:pStyle w:val="2"/>
        <w:spacing w:before="82" w:line="263" w:lineRule="auto"/>
        <w:ind w:right="24" w:firstLine="550"/>
      </w:pPr>
      <w:r>
        <w:rPr>
          <w:spacing w:val="5"/>
        </w:rPr>
        <w:t>试验设施和仪器应能保证产品和保持试验所需的综合环境条件，并按照有</w:t>
      </w:r>
      <w:r>
        <w:rPr>
          <w:spacing w:val="12"/>
        </w:rPr>
        <w:t xml:space="preserve"> </w:t>
      </w:r>
      <w:r>
        <w:rPr>
          <w:spacing w:val="1"/>
        </w:rPr>
        <w:t>关规定进行定期核查和检定。</w:t>
      </w:r>
    </w:p>
    <w:p w14:paraId="032E1A07">
      <w:pPr>
        <w:spacing w:line="368" w:lineRule="exact"/>
        <w:rPr>
          <w:rFonts w:ascii="黑体" w:hAnsi="黑体" w:eastAsia="黑体" w:cs="黑体"/>
          <w:sz w:val="27"/>
          <w:szCs w:val="27"/>
        </w:rPr>
      </w:pPr>
      <w:r>
        <w:rPr>
          <w:rFonts w:ascii="Arial" w:hAnsi="Arial" w:eastAsia="Arial" w:cs="Arial"/>
          <w:spacing w:val="3"/>
          <w:position w:val="1"/>
          <w:sz w:val="27"/>
          <w:szCs w:val="27"/>
        </w:rPr>
        <w:t>8</w:t>
      </w:r>
      <w:r>
        <w:rPr>
          <w:rFonts w:ascii="Arial" w:hAnsi="Arial" w:eastAsia="Arial" w:cs="Arial"/>
          <w:spacing w:val="18"/>
          <w:position w:val="1"/>
          <w:sz w:val="27"/>
          <w:szCs w:val="27"/>
        </w:rPr>
        <w:t xml:space="preserve">   </w:t>
      </w:r>
      <w:r>
        <w:rPr>
          <w:rFonts w:ascii="黑体" w:hAnsi="黑体" w:eastAsia="黑体" w:cs="黑体"/>
          <w:spacing w:val="3"/>
          <w:position w:val="1"/>
          <w:sz w:val="27"/>
          <w:szCs w:val="27"/>
        </w:rPr>
        <w:t>试验前准备工作情况</w:t>
      </w:r>
    </w:p>
    <w:p w14:paraId="51784335">
      <w:pPr>
        <w:pStyle w:val="2"/>
        <w:spacing w:before="82" w:line="283" w:lineRule="auto"/>
        <w:ind w:right="26" w:firstLine="550"/>
      </w:pPr>
      <w:r>
        <w:rPr>
          <w:spacing w:val="5"/>
        </w:rPr>
        <w:t>对可靠性鉴定(验收)试验大纲中试验前有关工作、可靠性鉴定(验收)试验</w:t>
      </w:r>
      <w:r>
        <w:t xml:space="preserve"> </w:t>
      </w:r>
      <w:r>
        <w:rPr>
          <w:spacing w:val="3"/>
        </w:rPr>
        <w:t>程序中试验开始前有关工作的执行情况进行说明。</w:t>
      </w:r>
    </w:p>
    <w:p w14:paraId="59A4909D">
      <w:pPr>
        <w:spacing w:before="2" w:line="220" w:lineRule="auto"/>
        <w:rPr>
          <w:rFonts w:ascii="黑体" w:hAnsi="黑体" w:eastAsia="黑体" w:cs="黑体"/>
          <w:sz w:val="27"/>
          <w:szCs w:val="27"/>
        </w:rPr>
      </w:pPr>
      <w:r>
        <w:rPr>
          <w:rFonts w:ascii="黑体" w:hAnsi="黑体" w:eastAsia="黑体" w:cs="黑体"/>
          <w:spacing w:val="3"/>
          <w:sz w:val="27"/>
          <w:szCs w:val="27"/>
        </w:rPr>
        <w:t>9  试验过程描述</w:t>
      </w:r>
    </w:p>
    <w:p w14:paraId="134D642A">
      <w:pPr>
        <w:pStyle w:val="2"/>
        <w:spacing w:before="60" w:line="220" w:lineRule="auto"/>
        <w:ind w:left="550"/>
      </w:pPr>
      <w:r>
        <w:rPr>
          <w:spacing w:val="2"/>
        </w:rPr>
        <w:t>对试验过程进行描述。</w:t>
      </w:r>
    </w:p>
    <w:p w14:paraId="5815F957">
      <w:pPr>
        <w:spacing w:before="134" w:line="221" w:lineRule="auto"/>
        <w:rPr>
          <w:rFonts w:ascii="黑体" w:hAnsi="黑体" w:eastAsia="黑体" w:cs="黑体"/>
          <w:sz w:val="25"/>
          <w:szCs w:val="25"/>
        </w:rPr>
      </w:pPr>
      <w:r>
        <w:rPr>
          <w:rFonts w:ascii="黑体" w:hAnsi="黑体" w:eastAsia="黑体" w:cs="黑体"/>
          <w:spacing w:val="17"/>
          <w:sz w:val="25"/>
          <w:szCs w:val="25"/>
        </w:rPr>
        <w:t>10</w:t>
      </w:r>
      <w:r>
        <w:rPr>
          <w:rFonts w:ascii="黑体" w:hAnsi="黑体" w:eastAsia="黑体" w:cs="黑体"/>
          <w:spacing w:val="36"/>
          <w:sz w:val="25"/>
          <w:szCs w:val="25"/>
        </w:rPr>
        <w:t xml:space="preserve">  </w:t>
      </w:r>
      <w:r>
        <w:rPr>
          <w:rFonts w:ascii="黑体" w:hAnsi="黑体" w:eastAsia="黑体" w:cs="黑体"/>
          <w:spacing w:val="17"/>
          <w:sz w:val="25"/>
          <w:szCs w:val="25"/>
        </w:rPr>
        <w:t>试验中发生的故障次数、故障分类及故障处理</w:t>
      </w:r>
      <w:r>
        <w:rPr>
          <w:rFonts w:ascii="黑体" w:hAnsi="黑体" w:eastAsia="黑体" w:cs="黑体"/>
          <w:spacing w:val="16"/>
          <w:sz w:val="25"/>
          <w:szCs w:val="25"/>
        </w:rPr>
        <w:t>情况</w:t>
      </w:r>
    </w:p>
    <w:p w14:paraId="48F06AE5">
      <w:pPr>
        <w:pStyle w:val="2"/>
        <w:spacing w:before="82" w:line="276" w:lineRule="auto"/>
        <w:ind w:firstLine="550"/>
        <w:jc w:val="both"/>
      </w:pPr>
      <w:r>
        <w:rPr>
          <w:spacing w:val="-2"/>
        </w:rPr>
        <w:t>根据试验期间的值班记录、产品故障记录、所采取的纠正</w:t>
      </w:r>
      <w:r>
        <w:rPr>
          <w:spacing w:val="-3"/>
        </w:rPr>
        <w:t>措施等，根据鉴定</w:t>
      </w:r>
      <w:r>
        <w:t xml:space="preserve"> </w:t>
      </w:r>
      <w:r>
        <w:rPr>
          <w:spacing w:val="-10"/>
        </w:rPr>
        <w:t>试验大纲中的故障判据、故障分类及统计原则，进行故障统计、分类，说明故障处</w:t>
      </w:r>
      <w:r>
        <w:t xml:space="preserve"> </w:t>
      </w:r>
      <w:r>
        <w:rPr>
          <w:spacing w:val="-1"/>
        </w:rPr>
        <w:t>理情况。</w:t>
      </w:r>
    </w:p>
    <w:p w14:paraId="18AA5933">
      <w:pPr>
        <w:spacing w:before="9" w:line="222" w:lineRule="auto"/>
        <w:rPr>
          <w:rFonts w:ascii="黑体" w:hAnsi="黑体" w:eastAsia="黑体" w:cs="黑体"/>
          <w:sz w:val="27"/>
          <w:szCs w:val="27"/>
        </w:rPr>
      </w:pPr>
      <w:r>
        <w:rPr>
          <w:rFonts w:ascii="黑体" w:hAnsi="黑体" w:eastAsia="黑体" w:cs="黑体"/>
          <w:spacing w:val="1"/>
          <w:sz w:val="27"/>
          <w:szCs w:val="27"/>
        </w:rPr>
        <w:t>11</w:t>
      </w:r>
      <w:r>
        <w:rPr>
          <w:rFonts w:ascii="黑体" w:hAnsi="黑体" w:eastAsia="黑体" w:cs="黑体"/>
          <w:spacing w:val="19"/>
          <w:sz w:val="27"/>
          <w:szCs w:val="27"/>
        </w:rPr>
        <w:t xml:space="preserve">  </w:t>
      </w:r>
      <w:r>
        <w:rPr>
          <w:rFonts w:ascii="黑体" w:hAnsi="黑体" w:eastAsia="黑体" w:cs="黑体"/>
          <w:spacing w:val="1"/>
          <w:sz w:val="27"/>
          <w:szCs w:val="27"/>
        </w:rPr>
        <w:t>可靠性评估结论</w:t>
      </w:r>
    </w:p>
    <w:p w14:paraId="4CBB0C47">
      <w:pPr>
        <w:pStyle w:val="2"/>
        <w:spacing w:before="85" w:line="218" w:lineRule="auto"/>
        <w:ind w:left="550"/>
      </w:pPr>
      <w:r>
        <w:rPr>
          <w:spacing w:val="-2"/>
        </w:rPr>
        <w:t>对试验数据进行评估和分析，得出可靠性评估结</w:t>
      </w:r>
      <w:r>
        <w:rPr>
          <w:spacing w:val="-3"/>
        </w:rPr>
        <w:t>论。</w:t>
      </w:r>
    </w:p>
    <w:p w14:paraId="74569C36">
      <w:pPr>
        <w:spacing w:before="92" w:line="222" w:lineRule="auto"/>
        <w:rPr>
          <w:rFonts w:ascii="黑体" w:hAnsi="黑体" w:eastAsia="黑体" w:cs="黑体"/>
          <w:sz w:val="27"/>
          <w:szCs w:val="27"/>
        </w:rPr>
      </w:pPr>
      <w:r>
        <w:rPr>
          <w:rFonts w:ascii="黑体" w:hAnsi="黑体" w:eastAsia="黑体" w:cs="黑体"/>
          <w:spacing w:val="3"/>
          <w:sz w:val="27"/>
          <w:szCs w:val="27"/>
        </w:rPr>
        <w:t>12</w:t>
      </w:r>
      <w:r>
        <w:rPr>
          <w:rFonts w:ascii="黑体" w:hAnsi="黑体" w:eastAsia="黑体" w:cs="黑体"/>
          <w:spacing w:val="20"/>
          <w:sz w:val="27"/>
          <w:szCs w:val="27"/>
        </w:rPr>
        <w:t xml:space="preserve">  </w:t>
      </w:r>
      <w:r>
        <w:rPr>
          <w:rFonts w:ascii="黑体" w:hAnsi="黑体" w:eastAsia="黑体" w:cs="黑体"/>
          <w:spacing w:val="3"/>
          <w:sz w:val="27"/>
          <w:szCs w:val="27"/>
        </w:rPr>
        <w:t>存在的问题和建议</w:t>
      </w:r>
    </w:p>
    <w:p w14:paraId="57369EEF">
      <w:pPr>
        <w:pStyle w:val="2"/>
        <w:spacing w:before="84" w:line="277" w:lineRule="auto"/>
        <w:ind w:right="24" w:firstLine="550"/>
      </w:pPr>
      <w:r>
        <w:rPr>
          <w:spacing w:val="-3"/>
        </w:rPr>
        <w:t>依据评估和分析，得出的可靠性鉴定(验收)试验结论，提出设计中存在的有</w:t>
      </w:r>
      <w:r>
        <w:rPr>
          <w:spacing w:val="4"/>
        </w:rPr>
        <w:t xml:space="preserve"> </w:t>
      </w:r>
      <w:r>
        <w:rPr>
          <w:spacing w:val="2"/>
        </w:rPr>
        <w:t>关设计问题及改进建议。</w:t>
      </w:r>
    </w:p>
    <w:p w14:paraId="3723CDB0">
      <w:pPr>
        <w:spacing w:before="2" w:line="220" w:lineRule="auto"/>
        <w:rPr>
          <w:rFonts w:ascii="黑体" w:hAnsi="黑体" w:eastAsia="黑体" w:cs="黑体"/>
          <w:sz w:val="27"/>
          <w:szCs w:val="27"/>
        </w:rPr>
      </w:pPr>
      <w:r>
        <w:rPr>
          <w:rFonts w:ascii="黑体" w:hAnsi="黑体" w:eastAsia="黑体" w:cs="黑体"/>
          <w:spacing w:val="5"/>
          <w:sz w:val="27"/>
          <w:szCs w:val="27"/>
        </w:rPr>
        <w:t>13  其他需要说明的有关事项</w:t>
      </w:r>
    </w:p>
    <w:p w14:paraId="514C4ECC">
      <w:pPr>
        <w:pStyle w:val="2"/>
        <w:spacing w:before="99" w:line="219" w:lineRule="auto"/>
        <w:ind w:left="550"/>
      </w:pPr>
      <w:r>
        <w:rPr>
          <w:spacing w:val="-4"/>
        </w:rPr>
        <w:t>说明试验大纲、试验程序中的其他有关事项，及试验中需补充说明的问题。</w:t>
      </w:r>
    </w:p>
    <w:p w14:paraId="5BB6375D">
      <w:pPr>
        <w:spacing w:line="349" w:lineRule="auto"/>
        <w:rPr>
          <w:rFonts w:ascii="Arial"/>
          <w:sz w:val="21"/>
        </w:rPr>
      </w:pPr>
    </w:p>
    <w:p w14:paraId="56E30DBA">
      <w:pPr>
        <w:pStyle w:val="2"/>
        <w:spacing w:before="117" w:line="219" w:lineRule="auto"/>
        <w:ind w:left="1969"/>
        <w:outlineLvl w:val="1"/>
        <w:rPr>
          <w:sz w:val="36"/>
          <w:szCs w:val="36"/>
        </w:rPr>
      </w:pPr>
      <w:r>
        <w:rPr>
          <w:rFonts w:ascii="Times New Roman" w:hAnsi="Times New Roman" w:eastAsia="Times New Roman" w:cs="Times New Roman"/>
          <w:b/>
          <w:bCs/>
          <w:spacing w:val="2"/>
          <w:sz w:val="36"/>
          <w:szCs w:val="36"/>
        </w:rPr>
        <w:t xml:space="preserve">7.25     </w:t>
      </w:r>
      <w:r>
        <w:rPr>
          <w:b/>
          <w:bCs/>
          <w:spacing w:val="2"/>
          <w:sz w:val="36"/>
          <w:szCs w:val="36"/>
        </w:rPr>
        <w:t>可靠性鉴定(验收)试验总结</w:t>
      </w:r>
    </w:p>
    <w:p w14:paraId="71BD3BE4">
      <w:pPr>
        <w:spacing w:line="370" w:lineRule="auto"/>
        <w:rPr>
          <w:rFonts w:ascii="Arial"/>
          <w:sz w:val="21"/>
        </w:rPr>
      </w:pPr>
    </w:p>
    <w:p w14:paraId="0715BBE6">
      <w:pPr>
        <w:pStyle w:val="2"/>
        <w:spacing w:before="79" w:line="226" w:lineRule="auto"/>
        <w:ind w:left="550"/>
        <w:rPr>
          <w:rFonts w:ascii="楷体" w:hAnsi="楷体" w:eastAsia="楷体" w:cs="楷体"/>
          <w:sz w:val="24"/>
          <w:szCs w:val="24"/>
        </w:rPr>
      </w:pPr>
      <w:r>
        <w:rPr>
          <w:rFonts w:ascii="楷体" w:hAnsi="楷体" w:eastAsia="楷体" w:cs="楷体"/>
          <w:spacing w:val="12"/>
          <w:sz w:val="24"/>
          <w:szCs w:val="24"/>
        </w:rPr>
        <w:t>按</w:t>
      </w:r>
      <w:r>
        <w:rPr>
          <w:rFonts w:ascii="楷体" w:hAnsi="楷体" w:eastAsia="楷体" w:cs="楷体"/>
          <w:spacing w:val="-21"/>
          <w:sz w:val="24"/>
          <w:szCs w:val="24"/>
        </w:rPr>
        <w:t xml:space="preserve"> </w:t>
      </w:r>
      <w:r>
        <w:rPr>
          <w:rFonts w:ascii="楷体" w:hAnsi="楷体" w:eastAsia="楷体" w:cs="楷体"/>
          <w:spacing w:val="12"/>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 xml:space="preserve">    899A—2009</w:t>
      </w:r>
      <w:r>
        <w:rPr>
          <w:spacing w:val="12"/>
          <w:sz w:val="24"/>
          <w:szCs w:val="24"/>
        </w:rPr>
        <w:t>《</w:t>
      </w:r>
      <w:r>
        <w:rPr>
          <w:rFonts w:ascii="楷体" w:hAnsi="楷体" w:eastAsia="楷体" w:cs="楷体"/>
          <w:spacing w:val="12"/>
          <w:sz w:val="24"/>
          <w:szCs w:val="24"/>
        </w:rPr>
        <w:t>可靠性</w:t>
      </w:r>
      <w:r>
        <w:rPr>
          <w:rFonts w:ascii="楷体" w:hAnsi="楷体" w:eastAsia="楷体" w:cs="楷体"/>
          <w:spacing w:val="11"/>
          <w:sz w:val="24"/>
          <w:szCs w:val="24"/>
        </w:rPr>
        <w:t>鉴定和验收试验》编写。</w:t>
      </w:r>
    </w:p>
    <w:p w14:paraId="17A51F8C">
      <w:pPr>
        <w:spacing w:before="86" w:line="221" w:lineRule="auto"/>
        <w:rPr>
          <w:rFonts w:ascii="黑体" w:hAnsi="黑体" w:eastAsia="黑体" w:cs="黑体"/>
          <w:sz w:val="25"/>
          <w:szCs w:val="25"/>
        </w:rPr>
      </w:pPr>
      <w:r>
        <w:rPr>
          <w:rFonts w:ascii="黑体" w:hAnsi="黑体" w:eastAsia="黑体" w:cs="黑体"/>
          <w:spacing w:val="19"/>
          <w:sz w:val="25"/>
          <w:szCs w:val="25"/>
        </w:rPr>
        <w:t>1</w:t>
      </w:r>
      <w:r>
        <w:rPr>
          <w:rFonts w:ascii="黑体" w:hAnsi="黑体" w:eastAsia="黑体" w:cs="黑体"/>
          <w:spacing w:val="30"/>
          <w:sz w:val="25"/>
          <w:szCs w:val="25"/>
        </w:rPr>
        <w:t xml:space="preserve">  </w:t>
      </w:r>
      <w:r>
        <w:rPr>
          <w:rFonts w:ascii="黑体" w:hAnsi="黑体" w:eastAsia="黑体" w:cs="黑体"/>
          <w:spacing w:val="19"/>
          <w:sz w:val="25"/>
          <w:szCs w:val="25"/>
        </w:rPr>
        <w:t>试验依据</w:t>
      </w:r>
    </w:p>
    <w:p w14:paraId="4CB66628">
      <w:pPr>
        <w:pStyle w:val="2"/>
        <w:spacing w:before="112" w:line="219" w:lineRule="auto"/>
        <w:ind w:left="550"/>
      </w:pPr>
      <w:r>
        <w:rPr>
          <w:spacing w:val="3"/>
        </w:rPr>
        <w:t>列出本次试验执行的所有标准和文件。</w:t>
      </w:r>
    </w:p>
    <w:p w14:paraId="5A649792">
      <w:pPr>
        <w:spacing w:line="219" w:lineRule="auto"/>
        <w:sectPr>
          <w:footerReference r:id="rId395" w:type="default"/>
          <w:pgSz w:w="11910" w:h="17130"/>
          <w:pgMar w:top="1456" w:right="792" w:bottom="1616" w:left="1730" w:header="0" w:footer="1427" w:gutter="0"/>
          <w:cols w:space="720" w:num="1"/>
        </w:sectPr>
      </w:pPr>
    </w:p>
    <w:p w14:paraId="0712CF92">
      <w:pPr>
        <w:spacing w:before="6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9"/>
          <w:sz w:val="27"/>
          <w:szCs w:val="27"/>
        </w:rPr>
        <w:t xml:space="preserve">  </w:t>
      </w:r>
      <w:r>
        <w:rPr>
          <w:rFonts w:ascii="黑体" w:hAnsi="黑体" w:eastAsia="黑体" w:cs="黑体"/>
          <w:b/>
          <w:bCs/>
          <w:spacing w:val="-1"/>
          <w:sz w:val="27"/>
          <w:szCs w:val="27"/>
        </w:rPr>
        <w:t>组织机构</w:t>
      </w:r>
    </w:p>
    <w:p w14:paraId="0765C18A">
      <w:pPr>
        <w:pStyle w:val="2"/>
        <w:spacing w:before="107" w:line="219" w:lineRule="auto"/>
        <w:ind w:left="570"/>
      </w:pPr>
      <w:r>
        <w:rPr>
          <w:spacing w:val="-2"/>
        </w:rPr>
        <w:t>说明试验的管理和实施机构设置、参试人员及</w:t>
      </w:r>
      <w:r>
        <w:rPr>
          <w:spacing w:val="-3"/>
        </w:rPr>
        <w:t>其职责。</w:t>
      </w:r>
    </w:p>
    <w:p w14:paraId="65555D6E">
      <w:pPr>
        <w:spacing w:before="95" w:line="221"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10"/>
          <w:sz w:val="27"/>
          <w:szCs w:val="27"/>
        </w:rPr>
        <w:t xml:space="preserve">  </w:t>
      </w:r>
      <w:r>
        <w:rPr>
          <w:rFonts w:ascii="黑体" w:hAnsi="黑体" w:eastAsia="黑体" w:cs="黑体"/>
          <w:b/>
          <w:bCs/>
          <w:spacing w:val="-2"/>
          <w:sz w:val="27"/>
          <w:szCs w:val="27"/>
        </w:rPr>
        <w:t>试验方案</w:t>
      </w:r>
    </w:p>
    <w:p w14:paraId="76B2A33E">
      <w:pPr>
        <w:pStyle w:val="2"/>
        <w:spacing w:before="103" w:line="295" w:lineRule="auto"/>
        <w:ind w:right="44" w:firstLine="570"/>
      </w:pPr>
      <w:r>
        <w:rPr>
          <w:spacing w:val="-11"/>
        </w:rPr>
        <w:t>说明试验方案，包括受试产品、统计方案、综合环境条件的确定，试验工作进</w:t>
      </w:r>
      <w:r>
        <w:rPr>
          <w:spacing w:val="13"/>
        </w:rPr>
        <w:t xml:space="preserve"> </w:t>
      </w:r>
      <w:r>
        <w:rPr>
          <w:spacing w:val="-1"/>
        </w:rPr>
        <w:t>度等情况。</w:t>
      </w:r>
    </w:p>
    <w:p w14:paraId="15D1B343">
      <w:pPr>
        <w:spacing w:before="1" w:line="220" w:lineRule="auto"/>
        <w:rPr>
          <w:rFonts w:ascii="黑体" w:hAnsi="黑体" w:eastAsia="黑体" w:cs="黑体"/>
          <w:sz w:val="25"/>
          <w:szCs w:val="25"/>
        </w:rPr>
      </w:pPr>
      <w:r>
        <w:rPr>
          <w:rFonts w:ascii="黑体" w:hAnsi="黑体" w:eastAsia="黑体" w:cs="黑体"/>
          <w:spacing w:val="15"/>
          <w:sz w:val="25"/>
          <w:szCs w:val="25"/>
        </w:rPr>
        <w:t>4</w:t>
      </w:r>
      <w:r>
        <w:rPr>
          <w:rFonts w:ascii="黑体" w:hAnsi="黑体" w:eastAsia="黑体" w:cs="黑体"/>
          <w:spacing w:val="21"/>
          <w:sz w:val="25"/>
          <w:szCs w:val="25"/>
        </w:rPr>
        <w:t xml:space="preserve">  </w:t>
      </w:r>
      <w:r>
        <w:rPr>
          <w:rFonts w:ascii="黑体" w:hAnsi="黑体" w:eastAsia="黑体" w:cs="黑体"/>
          <w:b/>
          <w:bCs/>
          <w:spacing w:val="15"/>
          <w:sz w:val="25"/>
          <w:szCs w:val="25"/>
        </w:rPr>
        <w:t>试验过程</w:t>
      </w:r>
    </w:p>
    <w:p w14:paraId="2D12E65A">
      <w:pPr>
        <w:pStyle w:val="2"/>
        <w:spacing w:before="127" w:line="219" w:lineRule="auto"/>
        <w:ind w:left="570"/>
      </w:pPr>
      <w:r>
        <w:t>说明试验过程情况：</w:t>
      </w:r>
    </w:p>
    <w:p w14:paraId="526CD908">
      <w:pPr>
        <w:pStyle w:val="2"/>
        <w:spacing w:before="59" w:line="212" w:lineRule="auto"/>
        <w:ind w:left="570"/>
      </w:pPr>
      <w:r>
        <w:rPr>
          <w:rFonts w:ascii="Times New Roman" w:hAnsi="Times New Roman" w:eastAsia="Times New Roman" w:cs="Times New Roman"/>
        </w:rPr>
        <w:t>a)</w:t>
      </w:r>
      <w:r>
        <w:rPr>
          <w:rFonts w:ascii="Times New Roman" w:hAnsi="Times New Roman" w:eastAsia="Times New Roman" w:cs="Times New Roman"/>
          <w:spacing w:val="66"/>
        </w:rPr>
        <w:t xml:space="preserve"> </w:t>
      </w:r>
      <w:r>
        <w:t>全套试验装置，包括受试产品和试验监控设备在内的接线图；</w:t>
      </w:r>
    </w:p>
    <w:p w14:paraId="313F1925">
      <w:pPr>
        <w:pStyle w:val="2"/>
        <w:spacing w:before="70" w:line="267" w:lineRule="auto"/>
        <w:ind w:right="33" w:firstLine="570"/>
      </w:pPr>
      <w:r>
        <w:rPr>
          <w:rFonts w:ascii="Times New Roman" w:hAnsi="Times New Roman" w:eastAsia="Times New Roman" w:cs="Times New Roman"/>
          <w:spacing w:val="3"/>
        </w:rPr>
        <w:t xml:space="preserve">b)  </w:t>
      </w:r>
      <w:r>
        <w:rPr>
          <w:spacing w:val="3"/>
        </w:rPr>
        <w:t>以图表形式对试验开始前的温度测定要求进行说明，对建立</w:t>
      </w:r>
      <w:r>
        <w:rPr>
          <w:spacing w:val="2"/>
        </w:rPr>
        <w:t>监控所需的</w:t>
      </w:r>
      <w:r>
        <w:t xml:space="preserve"> </w:t>
      </w:r>
      <w:r>
        <w:rPr>
          <w:spacing w:val="2"/>
        </w:rPr>
        <w:t>稳定温度进行说明与分析；</w:t>
      </w:r>
    </w:p>
    <w:p w14:paraId="0CFF389C">
      <w:pPr>
        <w:pStyle w:val="2"/>
        <w:spacing w:before="49" w:line="267" w:lineRule="auto"/>
        <w:ind w:right="23" w:firstLine="570"/>
      </w:pPr>
      <w:r>
        <w:rPr>
          <w:rFonts w:ascii="Times New Roman" w:hAnsi="Times New Roman" w:eastAsia="Times New Roman" w:cs="Times New Roman"/>
          <w:spacing w:val="4"/>
        </w:rPr>
        <w:t xml:space="preserve">c)  </w:t>
      </w:r>
      <w:r>
        <w:rPr>
          <w:spacing w:val="4"/>
        </w:rPr>
        <w:t>时间、温度和综合应力环境周期及其</w:t>
      </w:r>
      <w:r>
        <w:rPr>
          <w:spacing w:val="3"/>
        </w:rPr>
        <w:t>他方面的量值与容差，包括加载周</w:t>
      </w:r>
      <w:r>
        <w:t xml:space="preserve"> </w:t>
      </w:r>
      <w:r>
        <w:rPr>
          <w:spacing w:val="-16"/>
        </w:rPr>
        <w:t>期、温度、振动应力与持续时间、输入电压；</w:t>
      </w:r>
    </w:p>
    <w:p w14:paraId="464D7D20">
      <w:pPr>
        <w:pStyle w:val="2"/>
        <w:spacing w:before="39" w:line="212" w:lineRule="auto"/>
        <w:ind w:left="570"/>
      </w:pPr>
      <w:r>
        <w:rPr>
          <w:rFonts w:ascii="Times New Roman" w:hAnsi="Times New Roman" w:eastAsia="Times New Roman" w:cs="Times New Roman"/>
          <w:spacing w:val="-8"/>
        </w:rPr>
        <w:t xml:space="preserve">d)  </w:t>
      </w:r>
      <w:r>
        <w:rPr>
          <w:spacing w:val="-8"/>
        </w:rPr>
        <w:t>测量的性能参数，测量频率，所使用的方法；</w:t>
      </w:r>
    </w:p>
    <w:p w14:paraId="0C02052E">
      <w:pPr>
        <w:pStyle w:val="2"/>
        <w:spacing w:before="110" w:line="212" w:lineRule="auto"/>
        <w:ind w:left="570"/>
      </w:pPr>
      <w:r>
        <w:rPr>
          <w:rFonts w:ascii="Times New Roman" w:hAnsi="Times New Roman" w:eastAsia="Times New Roman" w:cs="Times New Roman"/>
          <w:spacing w:val="6"/>
        </w:rPr>
        <w:t>e)</w:t>
      </w:r>
      <w:r>
        <w:rPr>
          <w:rFonts w:ascii="Times New Roman" w:hAnsi="Times New Roman" w:eastAsia="Times New Roman" w:cs="Times New Roman"/>
          <w:spacing w:val="65"/>
          <w:w w:val="101"/>
        </w:rPr>
        <w:t xml:space="preserve"> </w:t>
      </w:r>
      <w:r>
        <w:rPr>
          <w:spacing w:val="6"/>
        </w:rPr>
        <w:t>试验期间记录的数据(使用报告格式或试验日志的格式);</w:t>
      </w:r>
    </w:p>
    <w:p w14:paraId="0AB0F440">
      <w:pPr>
        <w:pStyle w:val="2"/>
        <w:spacing w:before="122" w:line="212" w:lineRule="auto"/>
        <w:ind w:left="570"/>
        <w:rPr>
          <w:sz w:val="24"/>
          <w:szCs w:val="24"/>
        </w:rPr>
      </w:pPr>
      <w:r>
        <w:rPr>
          <w:rFonts w:ascii="Times New Roman" w:hAnsi="Times New Roman" w:eastAsia="Times New Roman" w:cs="Times New Roman"/>
          <w:spacing w:val="27"/>
          <w:sz w:val="24"/>
          <w:szCs w:val="24"/>
        </w:rPr>
        <w:t xml:space="preserve">f)  </w:t>
      </w:r>
      <w:r>
        <w:rPr>
          <w:spacing w:val="27"/>
          <w:sz w:val="24"/>
          <w:szCs w:val="24"/>
        </w:rPr>
        <w:t>测量性能参数时的环境条件。</w:t>
      </w:r>
    </w:p>
    <w:p w14:paraId="66739CA7">
      <w:pPr>
        <w:spacing w:before="150" w:line="223" w:lineRule="auto"/>
        <w:rPr>
          <w:rFonts w:ascii="黑体" w:hAnsi="黑体" w:eastAsia="黑体" w:cs="黑体"/>
          <w:sz w:val="27"/>
          <w:szCs w:val="27"/>
        </w:rPr>
      </w:pPr>
      <w:r>
        <w:rPr>
          <w:rFonts w:ascii="黑体" w:hAnsi="黑体" w:eastAsia="黑体" w:cs="黑体"/>
          <w:spacing w:val="-6"/>
          <w:sz w:val="27"/>
          <w:szCs w:val="27"/>
        </w:rPr>
        <w:t>5</w:t>
      </w:r>
      <w:r>
        <w:rPr>
          <w:rFonts w:ascii="黑体" w:hAnsi="黑体" w:eastAsia="黑体" w:cs="黑体"/>
          <w:spacing w:val="33"/>
          <w:sz w:val="27"/>
          <w:szCs w:val="27"/>
        </w:rPr>
        <w:t xml:space="preserve">  </w:t>
      </w:r>
      <w:r>
        <w:rPr>
          <w:rFonts w:ascii="黑体" w:hAnsi="黑体" w:eastAsia="黑体" w:cs="黑体"/>
          <w:b/>
          <w:bCs/>
          <w:spacing w:val="-6"/>
          <w:sz w:val="27"/>
          <w:szCs w:val="27"/>
        </w:rPr>
        <w:t>故障情况</w:t>
      </w:r>
    </w:p>
    <w:p w14:paraId="34A0ECC7">
      <w:pPr>
        <w:pStyle w:val="2"/>
        <w:spacing w:before="117" w:line="277" w:lineRule="auto"/>
        <w:ind w:right="40" w:firstLine="570"/>
        <w:jc w:val="both"/>
      </w:pPr>
      <w:r>
        <w:rPr>
          <w:spacing w:val="-11"/>
        </w:rPr>
        <w:t>根据试验期间的值班记录、产品故障记录，进行故障统计、分类，说明故障及</w:t>
      </w:r>
      <w:r>
        <w:rPr>
          <w:spacing w:val="17"/>
        </w:rPr>
        <w:t xml:space="preserve"> </w:t>
      </w:r>
      <w:r>
        <w:rPr>
          <w:spacing w:val="-2"/>
        </w:rPr>
        <w:t>其处理情况。即对“可靠性鉴定(验收)试验故障报告表”</w:t>
      </w:r>
      <w:r>
        <w:rPr>
          <w:spacing w:val="-3"/>
        </w:rPr>
        <w:t>(见表7.10)、“可靠性</w:t>
      </w:r>
      <w:r>
        <w:t xml:space="preserve"> </w:t>
      </w:r>
      <w:r>
        <w:rPr>
          <w:spacing w:val="-2"/>
        </w:rPr>
        <w:t>鉴定(验收)试验故障分析报告表”(见表7</w:t>
      </w:r>
      <w:r>
        <w:rPr>
          <w:spacing w:val="-3"/>
        </w:rPr>
        <w:t>.11)的总结、分析情况。</w:t>
      </w:r>
    </w:p>
    <w:p w14:paraId="22F3BC00">
      <w:pPr>
        <w:spacing w:before="98" w:line="220" w:lineRule="auto"/>
        <w:ind w:left="2089"/>
        <w:rPr>
          <w:rFonts w:ascii="仿宋" w:hAnsi="仿宋" w:eastAsia="仿宋" w:cs="仿宋"/>
          <w:sz w:val="24"/>
          <w:szCs w:val="24"/>
        </w:rPr>
      </w:pPr>
      <w:r>
        <w:rPr>
          <w:rFonts w:ascii="仿宋" w:hAnsi="仿宋" w:eastAsia="仿宋" w:cs="仿宋"/>
          <w:spacing w:val="25"/>
          <w:sz w:val="24"/>
          <w:szCs w:val="24"/>
        </w:rPr>
        <w:t>表7</w:t>
      </w:r>
      <w:r>
        <w:rPr>
          <w:rFonts w:ascii="仿宋" w:hAnsi="仿宋" w:eastAsia="仿宋" w:cs="仿宋"/>
          <w:spacing w:val="-56"/>
          <w:sz w:val="24"/>
          <w:szCs w:val="24"/>
        </w:rPr>
        <w:t xml:space="preserve"> </w:t>
      </w:r>
      <w:r>
        <w:rPr>
          <w:rFonts w:ascii="仿宋" w:hAnsi="仿宋" w:eastAsia="仿宋" w:cs="仿宋"/>
          <w:spacing w:val="25"/>
          <w:sz w:val="24"/>
          <w:szCs w:val="24"/>
        </w:rPr>
        <w:t>.</w:t>
      </w:r>
      <w:r>
        <w:rPr>
          <w:rFonts w:ascii="仿宋" w:hAnsi="仿宋" w:eastAsia="仿宋" w:cs="仿宋"/>
          <w:spacing w:val="-51"/>
          <w:sz w:val="24"/>
          <w:szCs w:val="24"/>
        </w:rPr>
        <w:t xml:space="preserve"> </w:t>
      </w:r>
      <w:r>
        <w:rPr>
          <w:rFonts w:ascii="仿宋" w:hAnsi="仿宋" w:eastAsia="仿宋" w:cs="仿宋"/>
          <w:spacing w:val="25"/>
          <w:sz w:val="24"/>
          <w:szCs w:val="24"/>
        </w:rPr>
        <w:t>10  可靠性鉴定(验收)试验故障报告表</w:t>
      </w:r>
    </w:p>
    <w:p w14:paraId="72AFFF2F">
      <w:pPr>
        <w:spacing w:line="174" w:lineRule="exact"/>
      </w:pPr>
    </w:p>
    <w:tbl>
      <w:tblPr>
        <w:tblStyle w:val="5"/>
        <w:tblW w:w="935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22"/>
        <w:gridCol w:w="1248"/>
        <w:gridCol w:w="1678"/>
        <w:gridCol w:w="3511"/>
      </w:tblGrid>
      <w:tr w14:paraId="59C52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2922" w:type="dxa"/>
            <w:vAlign w:val="top"/>
          </w:tcPr>
          <w:p w14:paraId="1BD75592">
            <w:pPr>
              <w:spacing w:before="121" w:line="218" w:lineRule="auto"/>
              <w:ind w:left="84"/>
              <w:rPr>
                <w:rFonts w:ascii="宋体" w:hAnsi="宋体" w:eastAsia="宋体" w:cs="宋体"/>
                <w:sz w:val="21"/>
                <w:szCs w:val="21"/>
              </w:rPr>
            </w:pPr>
            <w:r>
              <w:rPr>
                <w:rFonts w:ascii="宋体" w:hAnsi="宋体" w:eastAsia="宋体" w:cs="宋体"/>
                <w:spacing w:val="1"/>
                <w:sz w:val="21"/>
                <w:szCs w:val="21"/>
              </w:rPr>
              <w:t>故障报告表编号</w:t>
            </w:r>
          </w:p>
        </w:tc>
        <w:tc>
          <w:tcPr>
            <w:tcW w:w="1248" w:type="dxa"/>
            <w:vAlign w:val="top"/>
          </w:tcPr>
          <w:p w14:paraId="2143F71F">
            <w:pPr>
              <w:pStyle w:val="6"/>
            </w:pPr>
          </w:p>
        </w:tc>
        <w:tc>
          <w:tcPr>
            <w:tcW w:w="1678" w:type="dxa"/>
            <w:vAlign w:val="top"/>
          </w:tcPr>
          <w:p w14:paraId="47BA66BE">
            <w:pPr>
              <w:spacing w:before="124" w:line="220" w:lineRule="auto"/>
              <w:ind w:left="104"/>
              <w:rPr>
                <w:rFonts w:ascii="宋体" w:hAnsi="宋体" w:eastAsia="宋体" w:cs="宋体"/>
                <w:sz w:val="21"/>
                <w:szCs w:val="21"/>
              </w:rPr>
            </w:pPr>
            <w:r>
              <w:rPr>
                <w:rFonts w:ascii="宋体" w:hAnsi="宋体" w:eastAsia="宋体" w:cs="宋体"/>
                <w:spacing w:val="3"/>
                <w:sz w:val="21"/>
                <w:szCs w:val="21"/>
              </w:rPr>
              <w:t>填表日期</w:t>
            </w:r>
          </w:p>
        </w:tc>
        <w:tc>
          <w:tcPr>
            <w:tcW w:w="3511" w:type="dxa"/>
            <w:vAlign w:val="top"/>
          </w:tcPr>
          <w:p w14:paraId="551F534F">
            <w:pPr>
              <w:pStyle w:val="6"/>
            </w:pPr>
          </w:p>
        </w:tc>
      </w:tr>
      <w:tr w14:paraId="41BA4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2922" w:type="dxa"/>
            <w:vAlign w:val="top"/>
          </w:tcPr>
          <w:p w14:paraId="63C0ECFA">
            <w:pPr>
              <w:spacing w:before="119" w:line="219" w:lineRule="auto"/>
              <w:ind w:left="84"/>
              <w:rPr>
                <w:rFonts w:ascii="宋体" w:hAnsi="宋体" w:eastAsia="宋体" w:cs="宋体"/>
                <w:sz w:val="21"/>
                <w:szCs w:val="21"/>
              </w:rPr>
            </w:pPr>
            <w:r>
              <w:rPr>
                <w:rFonts w:ascii="宋体" w:hAnsi="宋体" w:eastAsia="宋体" w:cs="宋体"/>
                <w:spacing w:val="1"/>
                <w:sz w:val="21"/>
                <w:szCs w:val="21"/>
              </w:rPr>
              <w:t>故障产品名称、型号</w:t>
            </w:r>
          </w:p>
        </w:tc>
        <w:tc>
          <w:tcPr>
            <w:tcW w:w="1248" w:type="dxa"/>
            <w:vAlign w:val="top"/>
          </w:tcPr>
          <w:p w14:paraId="06271794">
            <w:pPr>
              <w:pStyle w:val="6"/>
            </w:pPr>
          </w:p>
        </w:tc>
        <w:tc>
          <w:tcPr>
            <w:tcW w:w="1678" w:type="dxa"/>
            <w:vAlign w:val="top"/>
          </w:tcPr>
          <w:p w14:paraId="7C0865E8">
            <w:pPr>
              <w:spacing w:before="119" w:line="219" w:lineRule="auto"/>
              <w:ind w:left="104"/>
              <w:rPr>
                <w:rFonts w:ascii="宋体" w:hAnsi="宋体" w:eastAsia="宋体" w:cs="宋体"/>
                <w:sz w:val="21"/>
                <w:szCs w:val="21"/>
              </w:rPr>
            </w:pPr>
            <w:r>
              <w:rPr>
                <w:rFonts w:ascii="宋体" w:hAnsi="宋体" w:eastAsia="宋体" w:cs="宋体"/>
                <w:spacing w:val="3"/>
                <w:sz w:val="21"/>
                <w:szCs w:val="21"/>
              </w:rPr>
              <w:t>故障发现时间</w:t>
            </w:r>
          </w:p>
        </w:tc>
        <w:tc>
          <w:tcPr>
            <w:tcW w:w="3511" w:type="dxa"/>
            <w:vAlign w:val="top"/>
          </w:tcPr>
          <w:p w14:paraId="43C26E93">
            <w:pPr>
              <w:pStyle w:val="6"/>
            </w:pPr>
          </w:p>
        </w:tc>
      </w:tr>
      <w:tr w14:paraId="7EFC4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2922" w:type="dxa"/>
            <w:vAlign w:val="top"/>
          </w:tcPr>
          <w:p w14:paraId="6B3DECC8">
            <w:pPr>
              <w:spacing w:before="120" w:line="219" w:lineRule="auto"/>
              <w:ind w:left="84"/>
              <w:rPr>
                <w:rFonts w:ascii="宋体" w:hAnsi="宋体" w:eastAsia="宋体" w:cs="宋体"/>
                <w:sz w:val="21"/>
                <w:szCs w:val="21"/>
              </w:rPr>
            </w:pPr>
            <w:r>
              <w:rPr>
                <w:rFonts w:ascii="宋体" w:hAnsi="宋体" w:eastAsia="宋体" w:cs="宋体"/>
                <w:spacing w:val="-2"/>
                <w:sz w:val="21"/>
                <w:szCs w:val="21"/>
              </w:rPr>
              <w:t>承制单位</w:t>
            </w:r>
          </w:p>
        </w:tc>
        <w:tc>
          <w:tcPr>
            <w:tcW w:w="6437" w:type="dxa"/>
            <w:gridSpan w:val="3"/>
            <w:vAlign w:val="top"/>
          </w:tcPr>
          <w:p w14:paraId="37CB3F5B">
            <w:pPr>
              <w:pStyle w:val="6"/>
            </w:pPr>
          </w:p>
        </w:tc>
      </w:tr>
      <w:tr w14:paraId="3822D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2922" w:type="dxa"/>
            <w:vAlign w:val="top"/>
          </w:tcPr>
          <w:p w14:paraId="66E165BA">
            <w:pPr>
              <w:spacing w:before="121" w:line="219" w:lineRule="auto"/>
              <w:ind w:left="84"/>
              <w:rPr>
                <w:rFonts w:ascii="宋体" w:hAnsi="宋体" w:eastAsia="宋体" w:cs="宋体"/>
                <w:sz w:val="21"/>
                <w:szCs w:val="21"/>
              </w:rPr>
            </w:pPr>
            <w:r>
              <w:rPr>
                <w:rFonts w:ascii="宋体" w:hAnsi="宋体" w:eastAsia="宋体" w:cs="宋体"/>
                <w:spacing w:val="-1"/>
                <w:sz w:val="21"/>
                <w:szCs w:val="21"/>
              </w:rPr>
              <w:t>LRU故障检测与隔离方式</w:t>
            </w:r>
          </w:p>
        </w:tc>
        <w:tc>
          <w:tcPr>
            <w:tcW w:w="6437" w:type="dxa"/>
            <w:gridSpan w:val="3"/>
            <w:vAlign w:val="top"/>
          </w:tcPr>
          <w:p w14:paraId="41A12864">
            <w:pPr>
              <w:pStyle w:val="6"/>
            </w:pPr>
          </w:p>
        </w:tc>
      </w:tr>
      <w:tr w14:paraId="37200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8" w:hRule="atLeast"/>
        </w:trPr>
        <w:tc>
          <w:tcPr>
            <w:tcW w:w="9359" w:type="dxa"/>
            <w:gridSpan w:val="4"/>
            <w:vAlign w:val="top"/>
          </w:tcPr>
          <w:p w14:paraId="2ABC7155">
            <w:pPr>
              <w:spacing w:before="172" w:line="219" w:lineRule="auto"/>
              <w:ind w:left="94"/>
              <w:rPr>
                <w:rFonts w:ascii="宋体" w:hAnsi="宋体" w:eastAsia="宋体" w:cs="宋体"/>
                <w:sz w:val="21"/>
                <w:szCs w:val="21"/>
              </w:rPr>
            </w:pPr>
            <w:r>
              <w:rPr>
                <w:rFonts w:ascii="宋体" w:hAnsi="宋体" w:eastAsia="宋体" w:cs="宋体"/>
                <w:sz w:val="21"/>
                <w:szCs w:val="21"/>
              </w:rPr>
              <w:t>受试产品累计试验循环数：</w:t>
            </w:r>
          </w:p>
          <w:p w14:paraId="3F9B1CBF">
            <w:pPr>
              <w:spacing w:before="101" w:line="219" w:lineRule="auto"/>
              <w:ind w:left="94"/>
              <w:rPr>
                <w:rFonts w:ascii="宋体" w:hAnsi="宋体" w:eastAsia="宋体" w:cs="宋体"/>
                <w:sz w:val="21"/>
                <w:szCs w:val="21"/>
              </w:rPr>
            </w:pPr>
            <w:r>
              <w:rPr>
                <w:rFonts w:ascii="宋体" w:hAnsi="宋体" w:eastAsia="宋体" w:cs="宋体"/>
                <w:sz w:val="21"/>
                <w:szCs w:val="21"/>
              </w:rPr>
              <w:t>受试产品累计试验时间：</w:t>
            </w:r>
          </w:p>
        </w:tc>
      </w:tr>
      <w:tr w14:paraId="6D55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8" w:hRule="atLeast"/>
        </w:trPr>
        <w:tc>
          <w:tcPr>
            <w:tcW w:w="2922" w:type="dxa"/>
            <w:vAlign w:val="top"/>
          </w:tcPr>
          <w:p w14:paraId="701353E7">
            <w:pPr>
              <w:pStyle w:val="6"/>
              <w:spacing w:line="264" w:lineRule="auto"/>
            </w:pPr>
          </w:p>
          <w:p w14:paraId="34A5B72B">
            <w:pPr>
              <w:spacing w:before="69" w:line="219" w:lineRule="auto"/>
              <w:ind w:left="84"/>
              <w:rPr>
                <w:rFonts w:ascii="宋体" w:hAnsi="宋体" w:eastAsia="宋体" w:cs="宋体"/>
                <w:sz w:val="21"/>
                <w:szCs w:val="21"/>
              </w:rPr>
            </w:pPr>
            <w:r>
              <w:rPr>
                <w:rFonts w:ascii="宋体" w:hAnsi="宋体" w:eastAsia="宋体" w:cs="宋体"/>
                <w:spacing w:val="2"/>
                <w:sz w:val="21"/>
                <w:szCs w:val="21"/>
              </w:rPr>
              <w:t>故障时试验应力</w:t>
            </w:r>
          </w:p>
        </w:tc>
        <w:tc>
          <w:tcPr>
            <w:tcW w:w="6437" w:type="dxa"/>
            <w:gridSpan w:val="3"/>
            <w:vAlign w:val="top"/>
          </w:tcPr>
          <w:p w14:paraId="00A90B96">
            <w:pPr>
              <w:spacing w:before="146" w:line="229" w:lineRule="auto"/>
              <w:ind w:left="102"/>
              <w:rPr>
                <w:rFonts w:ascii="宋体" w:hAnsi="宋体" w:eastAsia="宋体" w:cs="宋体"/>
                <w:sz w:val="21"/>
                <w:szCs w:val="21"/>
              </w:rPr>
            </w:pPr>
            <w:r>
              <w:rPr>
                <w:rFonts w:ascii="宋体" w:hAnsi="宋体" w:eastAsia="宋体" w:cs="宋体"/>
                <w:spacing w:val="-2"/>
                <w:sz w:val="21"/>
                <w:szCs w:val="21"/>
              </w:rPr>
              <w:t xml:space="preserve">温度：   </w:t>
            </w:r>
            <w:r>
              <w:rPr>
                <w:rFonts w:ascii="宋体" w:hAnsi="宋体" w:eastAsia="宋体" w:cs="宋体"/>
                <w:spacing w:val="-2"/>
                <w:position w:val="-2"/>
                <w:sz w:val="21"/>
                <w:szCs w:val="21"/>
              </w:rPr>
              <w:t xml:space="preserve">℃;    湿度：   </w:t>
            </w:r>
            <w:r>
              <w:rPr>
                <w:rFonts w:ascii="宋体" w:hAnsi="宋体" w:eastAsia="宋体" w:cs="宋体"/>
                <w:spacing w:val="-2"/>
                <w:position w:val="1"/>
                <w:sz w:val="21"/>
                <w:szCs w:val="21"/>
              </w:rPr>
              <w:t>%;</w:t>
            </w:r>
            <w:r>
              <w:rPr>
                <w:rFonts w:ascii="宋体" w:hAnsi="宋体" w:eastAsia="宋体" w:cs="宋体"/>
                <w:spacing w:val="17"/>
                <w:position w:val="1"/>
                <w:sz w:val="21"/>
                <w:szCs w:val="21"/>
              </w:rPr>
              <w:t xml:space="preserve">    </w:t>
            </w:r>
            <w:r>
              <w:rPr>
                <w:rFonts w:ascii="宋体" w:hAnsi="宋体" w:eastAsia="宋体" w:cs="宋体"/>
                <w:spacing w:val="-2"/>
                <w:sz w:val="21"/>
                <w:szCs w:val="21"/>
              </w:rPr>
              <w:t>振动：</w:t>
            </w:r>
            <w:r>
              <w:rPr>
                <w:rFonts w:ascii="宋体" w:hAnsi="宋体" w:eastAsia="宋体" w:cs="宋体"/>
                <w:spacing w:val="12"/>
                <w:sz w:val="21"/>
                <w:szCs w:val="21"/>
              </w:rPr>
              <w:t xml:space="preserve">   </w:t>
            </w:r>
            <w:r>
              <w:rPr>
                <w:rFonts w:ascii="宋体" w:hAnsi="宋体" w:eastAsia="宋体" w:cs="宋体"/>
                <w:spacing w:val="-2"/>
                <w:position w:val="1"/>
                <w:sz w:val="21"/>
                <w:szCs w:val="21"/>
              </w:rPr>
              <w:t>g2/Hz</w:t>
            </w:r>
          </w:p>
          <w:p w14:paraId="5C6B85C1">
            <w:pPr>
              <w:spacing w:before="66" w:line="219" w:lineRule="auto"/>
              <w:ind w:left="122"/>
              <w:rPr>
                <w:rFonts w:ascii="宋体" w:hAnsi="宋体" w:eastAsia="宋体" w:cs="宋体"/>
                <w:sz w:val="21"/>
                <w:szCs w:val="21"/>
              </w:rPr>
            </w:pPr>
            <w:r>
              <w:rPr>
                <w:rFonts w:ascii="宋体" w:hAnsi="宋体" w:eastAsia="宋体" w:cs="宋体"/>
                <w:sz w:val="21"/>
                <w:szCs w:val="21"/>
              </w:rPr>
              <w:t>电应力：直流 伏；交流</w:t>
            </w:r>
            <w:r>
              <w:rPr>
                <w:rFonts w:ascii="宋体" w:hAnsi="宋体" w:eastAsia="宋体" w:cs="宋体"/>
                <w:spacing w:val="15"/>
                <w:sz w:val="21"/>
                <w:szCs w:val="21"/>
              </w:rPr>
              <w:t xml:space="preserve">    </w:t>
            </w:r>
            <w:r>
              <w:rPr>
                <w:rFonts w:ascii="宋体" w:hAnsi="宋体" w:eastAsia="宋体" w:cs="宋体"/>
                <w:sz w:val="21"/>
                <w:szCs w:val="21"/>
              </w:rPr>
              <w:t>伏</w:t>
            </w:r>
          </w:p>
        </w:tc>
      </w:tr>
      <w:tr w14:paraId="26400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359" w:type="dxa"/>
            <w:gridSpan w:val="4"/>
            <w:vAlign w:val="top"/>
          </w:tcPr>
          <w:p w14:paraId="63C25077">
            <w:pPr>
              <w:spacing w:before="126" w:line="219" w:lineRule="auto"/>
              <w:ind w:left="94"/>
              <w:rPr>
                <w:rFonts w:ascii="宋体" w:hAnsi="宋体" w:eastAsia="宋体" w:cs="宋体"/>
                <w:sz w:val="21"/>
                <w:szCs w:val="21"/>
              </w:rPr>
            </w:pPr>
            <w:r>
              <w:rPr>
                <w:rFonts w:ascii="宋体" w:hAnsi="宋体" w:eastAsia="宋体" w:cs="宋体"/>
                <w:sz w:val="21"/>
                <w:szCs w:val="21"/>
              </w:rPr>
              <w:t>故障现象描述：</w:t>
            </w:r>
          </w:p>
        </w:tc>
      </w:tr>
      <w:tr w14:paraId="7C284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3" w:hRule="atLeast"/>
        </w:trPr>
        <w:tc>
          <w:tcPr>
            <w:tcW w:w="2922" w:type="dxa"/>
            <w:vAlign w:val="top"/>
          </w:tcPr>
          <w:p w14:paraId="63ECCCE1">
            <w:pPr>
              <w:spacing w:before="157" w:line="301" w:lineRule="auto"/>
              <w:ind w:left="84" w:right="2192"/>
              <w:rPr>
                <w:rFonts w:ascii="宋体" w:hAnsi="宋体" w:eastAsia="宋体" w:cs="宋体"/>
                <w:sz w:val="21"/>
                <w:szCs w:val="21"/>
              </w:rPr>
            </w:pPr>
            <w:r>
              <w:rPr>
                <w:rFonts w:ascii="宋体" w:hAnsi="宋体" w:eastAsia="宋体" w:cs="宋体"/>
                <w:spacing w:val="-3"/>
                <w:sz w:val="21"/>
                <w:szCs w:val="21"/>
              </w:rPr>
              <w:t>承试方</w:t>
            </w:r>
            <w:r>
              <w:rPr>
                <w:rFonts w:ascii="宋体" w:hAnsi="宋体" w:eastAsia="宋体" w:cs="宋体"/>
                <w:sz w:val="21"/>
                <w:szCs w:val="21"/>
              </w:rPr>
              <w:t xml:space="preserve"> </w:t>
            </w:r>
            <w:r>
              <w:rPr>
                <w:rFonts w:ascii="宋体" w:hAnsi="宋体" w:eastAsia="宋体" w:cs="宋体"/>
                <w:spacing w:val="1"/>
                <w:sz w:val="21"/>
                <w:szCs w:val="21"/>
              </w:rPr>
              <w:t>签字：</w:t>
            </w:r>
          </w:p>
        </w:tc>
        <w:tc>
          <w:tcPr>
            <w:tcW w:w="1248" w:type="dxa"/>
            <w:vAlign w:val="top"/>
          </w:tcPr>
          <w:p w14:paraId="79BCF3DF">
            <w:pPr>
              <w:spacing w:before="146" w:line="306" w:lineRule="auto"/>
              <w:ind w:left="112" w:right="490"/>
              <w:rPr>
                <w:rFonts w:ascii="宋体" w:hAnsi="宋体" w:eastAsia="宋体" w:cs="宋体"/>
                <w:sz w:val="21"/>
                <w:szCs w:val="21"/>
              </w:rPr>
            </w:pPr>
            <w:r>
              <w:rPr>
                <w:rFonts w:ascii="宋体" w:hAnsi="宋体" w:eastAsia="宋体" w:cs="宋体"/>
                <w:spacing w:val="-3"/>
                <w:sz w:val="21"/>
                <w:szCs w:val="21"/>
              </w:rPr>
              <w:t>承制方</w:t>
            </w:r>
            <w:r>
              <w:rPr>
                <w:rFonts w:ascii="宋体" w:hAnsi="宋体" w:eastAsia="宋体" w:cs="宋体"/>
                <w:sz w:val="21"/>
                <w:szCs w:val="21"/>
              </w:rPr>
              <w:t xml:space="preserve"> </w:t>
            </w:r>
            <w:r>
              <w:rPr>
                <w:rFonts w:ascii="宋体" w:hAnsi="宋体" w:eastAsia="宋体" w:cs="宋体"/>
                <w:spacing w:val="1"/>
                <w:sz w:val="21"/>
                <w:szCs w:val="21"/>
              </w:rPr>
              <w:t>签字：</w:t>
            </w:r>
          </w:p>
        </w:tc>
        <w:tc>
          <w:tcPr>
            <w:tcW w:w="1678" w:type="dxa"/>
            <w:vAlign w:val="top"/>
          </w:tcPr>
          <w:p w14:paraId="748B04E0">
            <w:pPr>
              <w:spacing w:before="166" w:line="284" w:lineRule="auto"/>
              <w:ind w:left="104" w:right="311"/>
              <w:rPr>
                <w:rFonts w:ascii="宋体" w:hAnsi="宋体" w:eastAsia="宋体" w:cs="宋体"/>
                <w:sz w:val="21"/>
                <w:szCs w:val="21"/>
              </w:rPr>
            </w:pPr>
            <w:r>
              <w:rPr>
                <w:rFonts w:ascii="宋体" w:hAnsi="宋体" w:eastAsia="宋体" w:cs="宋体"/>
                <w:spacing w:val="-2"/>
                <w:sz w:val="21"/>
                <w:szCs w:val="21"/>
              </w:rPr>
              <w:t>承试方军代表</w:t>
            </w:r>
            <w:r>
              <w:rPr>
                <w:rFonts w:ascii="宋体" w:hAnsi="宋体" w:eastAsia="宋体" w:cs="宋体"/>
                <w:spacing w:val="2"/>
                <w:sz w:val="21"/>
                <w:szCs w:val="21"/>
              </w:rPr>
              <w:t xml:space="preserve"> </w:t>
            </w:r>
            <w:r>
              <w:rPr>
                <w:rFonts w:ascii="宋体" w:hAnsi="宋体" w:eastAsia="宋体" w:cs="宋体"/>
                <w:spacing w:val="1"/>
                <w:sz w:val="21"/>
                <w:szCs w:val="21"/>
              </w:rPr>
              <w:t>签字：</w:t>
            </w:r>
          </w:p>
        </w:tc>
        <w:tc>
          <w:tcPr>
            <w:tcW w:w="3511" w:type="dxa"/>
            <w:vAlign w:val="top"/>
          </w:tcPr>
          <w:p w14:paraId="3C9D5621">
            <w:pPr>
              <w:spacing w:before="157" w:line="301" w:lineRule="auto"/>
              <w:ind w:left="107" w:right="2142"/>
              <w:rPr>
                <w:rFonts w:ascii="宋体" w:hAnsi="宋体" w:eastAsia="宋体" w:cs="宋体"/>
                <w:sz w:val="21"/>
                <w:szCs w:val="21"/>
              </w:rPr>
            </w:pPr>
            <w:r>
              <w:rPr>
                <w:rFonts w:ascii="宋体" w:hAnsi="宋体" w:eastAsia="宋体" w:cs="宋体"/>
                <w:spacing w:val="-2"/>
                <w:sz w:val="21"/>
                <w:szCs w:val="21"/>
              </w:rPr>
              <w:t>承制方军代表</w:t>
            </w:r>
            <w:r>
              <w:rPr>
                <w:rFonts w:ascii="宋体" w:hAnsi="宋体" w:eastAsia="宋体" w:cs="宋体"/>
                <w:spacing w:val="2"/>
                <w:sz w:val="21"/>
                <w:szCs w:val="21"/>
              </w:rPr>
              <w:t xml:space="preserve"> </w:t>
            </w:r>
            <w:r>
              <w:rPr>
                <w:rFonts w:ascii="宋体" w:hAnsi="宋体" w:eastAsia="宋体" w:cs="宋体"/>
                <w:spacing w:val="1"/>
                <w:sz w:val="21"/>
                <w:szCs w:val="21"/>
              </w:rPr>
              <w:t>签字：</w:t>
            </w:r>
          </w:p>
        </w:tc>
      </w:tr>
    </w:tbl>
    <w:p w14:paraId="7D929BE1">
      <w:pPr>
        <w:rPr>
          <w:rFonts w:ascii="Arial"/>
          <w:sz w:val="21"/>
        </w:rPr>
      </w:pPr>
    </w:p>
    <w:p w14:paraId="1C83560F">
      <w:pPr>
        <w:rPr>
          <w:rFonts w:ascii="Arial" w:hAnsi="Arial" w:eastAsia="Arial" w:cs="Arial"/>
          <w:sz w:val="21"/>
          <w:szCs w:val="21"/>
        </w:rPr>
        <w:sectPr>
          <w:footerReference r:id="rId396" w:type="default"/>
          <w:pgSz w:w="11910" w:h="17130"/>
          <w:pgMar w:top="1456" w:right="1625" w:bottom="1696" w:left="850" w:header="0" w:footer="1507" w:gutter="0"/>
          <w:cols w:space="720" w:num="1"/>
        </w:sectPr>
      </w:pPr>
    </w:p>
    <w:p w14:paraId="02412FCB">
      <w:pPr>
        <w:spacing w:before="139" w:line="220" w:lineRule="auto"/>
        <w:ind w:left="1770"/>
        <w:rPr>
          <w:rFonts w:ascii="仿宋" w:hAnsi="仿宋" w:eastAsia="仿宋" w:cs="仿宋"/>
          <w:sz w:val="24"/>
          <w:szCs w:val="24"/>
        </w:rPr>
      </w:pPr>
      <w:r>
        <w:rPr>
          <w:rFonts w:ascii="仿宋" w:hAnsi="仿宋" w:eastAsia="仿宋" w:cs="仿宋"/>
          <w:spacing w:val="26"/>
          <w:sz w:val="24"/>
          <w:szCs w:val="24"/>
        </w:rPr>
        <w:t>表7</w:t>
      </w:r>
      <w:r>
        <w:rPr>
          <w:rFonts w:ascii="仿宋" w:hAnsi="仿宋" w:eastAsia="仿宋" w:cs="仿宋"/>
          <w:spacing w:val="-54"/>
          <w:sz w:val="24"/>
          <w:szCs w:val="24"/>
        </w:rPr>
        <w:t xml:space="preserve"> </w:t>
      </w:r>
      <w:r>
        <w:rPr>
          <w:rFonts w:ascii="仿宋" w:hAnsi="仿宋" w:eastAsia="仿宋" w:cs="仿宋"/>
          <w:spacing w:val="26"/>
          <w:sz w:val="24"/>
          <w:szCs w:val="24"/>
        </w:rPr>
        <w:t>.</w:t>
      </w:r>
      <w:r>
        <w:rPr>
          <w:rFonts w:ascii="仿宋" w:hAnsi="仿宋" w:eastAsia="仿宋" w:cs="仿宋"/>
          <w:spacing w:val="-43"/>
          <w:sz w:val="24"/>
          <w:szCs w:val="24"/>
        </w:rPr>
        <w:t xml:space="preserve"> </w:t>
      </w:r>
      <w:r>
        <w:rPr>
          <w:rFonts w:ascii="仿宋" w:hAnsi="仿宋" w:eastAsia="仿宋" w:cs="仿宋"/>
          <w:spacing w:val="26"/>
          <w:sz w:val="24"/>
          <w:szCs w:val="24"/>
        </w:rPr>
        <w:t>11  可靠性鉴定(验收)试验故障</w:t>
      </w:r>
      <w:r>
        <w:rPr>
          <w:rFonts w:ascii="仿宋" w:hAnsi="仿宋" w:eastAsia="仿宋" w:cs="仿宋"/>
          <w:spacing w:val="25"/>
          <w:sz w:val="24"/>
          <w:szCs w:val="24"/>
        </w:rPr>
        <w:t>分析报告表</w:t>
      </w:r>
    </w:p>
    <w:p w14:paraId="158A5E18">
      <w:pPr>
        <w:spacing w:line="183" w:lineRule="exact"/>
      </w:pPr>
    </w:p>
    <w:tbl>
      <w:tblPr>
        <w:tblStyle w:val="5"/>
        <w:tblW w:w="936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22"/>
        <w:gridCol w:w="1248"/>
        <w:gridCol w:w="1678"/>
        <w:gridCol w:w="3521"/>
      </w:tblGrid>
      <w:tr w14:paraId="40828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922" w:type="dxa"/>
            <w:vAlign w:val="top"/>
          </w:tcPr>
          <w:p w14:paraId="5F98FA2E">
            <w:pPr>
              <w:spacing w:before="111" w:line="218" w:lineRule="auto"/>
              <w:ind w:left="85"/>
              <w:rPr>
                <w:rFonts w:ascii="宋体" w:hAnsi="宋体" w:eastAsia="宋体" w:cs="宋体"/>
                <w:sz w:val="20"/>
                <w:szCs w:val="20"/>
              </w:rPr>
            </w:pPr>
            <w:r>
              <w:rPr>
                <w:rFonts w:ascii="宋体" w:hAnsi="宋体" w:eastAsia="宋体" w:cs="宋体"/>
                <w:spacing w:val="1"/>
                <w:sz w:val="20"/>
                <w:szCs w:val="20"/>
              </w:rPr>
              <w:t>故障分析报告表编号</w:t>
            </w:r>
          </w:p>
        </w:tc>
        <w:tc>
          <w:tcPr>
            <w:tcW w:w="1248" w:type="dxa"/>
            <w:vAlign w:val="top"/>
          </w:tcPr>
          <w:p w14:paraId="4B6C5D7E">
            <w:pPr>
              <w:pStyle w:val="6"/>
            </w:pPr>
          </w:p>
        </w:tc>
        <w:tc>
          <w:tcPr>
            <w:tcW w:w="1678" w:type="dxa"/>
            <w:vAlign w:val="top"/>
          </w:tcPr>
          <w:p w14:paraId="747C8CCE">
            <w:pPr>
              <w:spacing w:before="113" w:line="220" w:lineRule="auto"/>
              <w:ind w:left="114"/>
              <w:rPr>
                <w:rFonts w:ascii="宋体" w:hAnsi="宋体" w:eastAsia="宋体" w:cs="宋体"/>
                <w:sz w:val="20"/>
                <w:szCs w:val="20"/>
              </w:rPr>
            </w:pPr>
            <w:r>
              <w:rPr>
                <w:rFonts w:ascii="宋体" w:hAnsi="宋体" w:eastAsia="宋体" w:cs="宋体"/>
                <w:spacing w:val="3"/>
                <w:sz w:val="20"/>
                <w:szCs w:val="20"/>
              </w:rPr>
              <w:t>填表日期</w:t>
            </w:r>
          </w:p>
        </w:tc>
        <w:tc>
          <w:tcPr>
            <w:tcW w:w="3521" w:type="dxa"/>
            <w:vAlign w:val="top"/>
          </w:tcPr>
          <w:p w14:paraId="32BC1A25">
            <w:pPr>
              <w:pStyle w:val="6"/>
            </w:pPr>
          </w:p>
        </w:tc>
      </w:tr>
      <w:tr w14:paraId="484B5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922" w:type="dxa"/>
            <w:vAlign w:val="top"/>
          </w:tcPr>
          <w:p w14:paraId="1F66DAD2">
            <w:pPr>
              <w:spacing w:before="99" w:line="219" w:lineRule="auto"/>
              <w:ind w:left="85"/>
              <w:rPr>
                <w:rFonts w:ascii="宋体" w:hAnsi="宋体" w:eastAsia="宋体" w:cs="宋体"/>
                <w:sz w:val="20"/>
                <w:szCs w:val="20"/>
              </w:rPr>
            </w:pPr>
            <w:r>
              <w:rPr>
                <w:rFonts w:ascii="宋体" w:hAnsi="宋体" w:eastAsia="宋体" w:cs="宋体"/>
                <w:spacing w:val="1"/>
                <w:sz w:val="20"/>
                <w:szCs w:val="20"/>
              </w:rPr>
              <w:t>故障件名称、型号</w:t>
            </w:r>
          </w:p>
        </w:tc>
        <w:tc>
          <w:tcPr>
            <w:tcW w:w="1248" w:type="dxa"/>
            <w:vAlign w:val="top"/>
          </w:tcPr>
          <w:p w14:paraId="50A7A14F">
            <w:pPr>
              <w:pStyle w:val="6"/>
            </w:pPr>
          </w:p>
        </w:tc>
        <w:tc>
          <w:tcPr>
            <w:tcW w:w="1678" w:type="dxa"/>
            <w:vAlign w:val="top"/>
          </w:tcPr>
          <w:p w14:paraId="0E8F2A04">
            <w:pPr>
              <w:spacing w:before="97" w:line="218" w:lineRule="auto"/>
              <w:ind w:left="114"/>
              <w:rPr>
                <w:rFonts w:ascii="宋体" w:hAnsi="宋体" w:eastAsia="宋体" w:cs="宋体"/>
                <w:sz w:val="20"/>
                <w:szCs w:val="20"/>
              </w:rPr>
            </w:pPr>
            <w:r>
              <w:rPr>
                <w:rFonts w:ascii="宋体" w:hAnsi="宋体" w:eastAsia="宋体" w:cs="宋体"/>
                <w:spacing w:val="1"/>
                <w:sz w:val="20"/>
                <w:szCs w:val="20"/>
              </w:rPr>
              <w:t>故障报告表编号</w:t>
            </w:r>
          </w:p>
        </w:tc>
        <w:tc>
          <w:tcPr>
            <w:tcW w:w="3521" w:type="dxa"/>
            <w:vAlign w:val="top"/>
          </w:tcPr>
          <w:p w14:paraId="15EAB160">
            <w:pPr>
              <w:pStyle w:val="6"/>
            </w:pPr>
          </w:p>
        </w:tc>
      </w:tr>
      <w:tr w14:paraId="365AA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922" w:type="dxa"/>
            <w:vAlign w:val="top"/>
          </w:tcPr>
          <w:p w14:paraId="30EFA3FE">
            <w:pPr>
              <w:spacing w:before="100" w:line="219" w:lineRule="auto"/>
              <w:ind w:left="85"/>
              <w:rPr>
                <w:rFonts w:ascii="宋体" w:hAnsi="宋体" w:eastAsia="宋体" w:cs="宋体"/>
                <w:sz w:val="20"/>
                <w:szCs w:val="20"/>
              </w:rPr>
            </w:pPr>
            <w:r>
              <w:rPr>
                <w:rFonts w:ascii="宋体" w:hAnsi="宋体" w:eastAsia="宋体" w:cs="宋体"/>
                <w:spacing w:val="-2"/>
                <w:sz w:val="20"/>
                <w:szCs w:val="20"/>
              </w:rPr>
              <w:t>承试单位</w:t>
            </w:r>
          </w:p>
        </w:tc>
        <w:tc>
          <w:tcPr>
            <w:tcW w:w="1248" w:type="dxa"/>
            <w:vAlign w:val="top"/>
          </w:tcPr>
          <w:p w14:paraId="57D8861A">
            <w:pPr>
              <w:pStyle w:val="6"/>
            </w:pPr>
          </w:p>
        </w:tc>
        <w:tc>
          <w:tcPr>
            <w:tcW w:w="1678" w:type="dxa"/>
            <w:vAlign w:val="top"/>
          </w:tcPr>
          <w:p w14:paraId="256FE6C9">
            <w:pPr>
              <w:spacing w:before="100" w:line="219" w:lineRule="auto"/>
              <w:ind w:left="114"/>
              <w:rPr>
                <w:rFonts w:ascii="宋体" w:hAnsi="宋体" w:eastAsia="宋体" w:cs="宋体"/>
                <w:sz w:val="20"/>
                <w:szCs w:val="20"/>
              </w:rPr>
            </w:pPr>
            <w:r>
              <w:rPr>
                <w:rFonts w:ascii="宋体" w:hAnsi="宋体" w:eastAsia="宋体" w:cs="宋体"/>
                <w:spacing w:val="-2"/>
                <w:sz w:val="20"/>
                <w:szCs w:val="20"/>
              </w:rPr>
              <w:t>故障分析单位</w:t>
            </w:r>
          </w:p>
        </w:tc>
        <w:tc>
          <w:tcPr>
            <w:tcW w:w="3521" w:type="dxa"/>
            <w:vAlign w:val="top"/>
          </w:tcPr>
          <w:p w14:paraId="3A0A1502">
            <w:pPr>
              <w:pStyle w:val="6"/>
            </w:pPr>
          </w:p>
        </w:tc>
      </w:tr>
      <w:tr w14:paraId="1196E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9369" w:type="dxa"/>
            <w:gridSpan w:val="4"/>
            <w:vAlign w:val="top"/>
          </w:tcPr>
          <w:p w14:paraId="7706005D">
            <w:pPr>
              <w:spacing w:before="131" w:line="219" w:lineRule="auto"/>
              <w:ind w:left="85"/>
              <w:rPr>
                <w:rFonts w:ascii="宋体" w:hAnsi="宋体" w:eastAsia="宋体" w:cs="宋体"/>
                <w:sz w:val="20"/>
                <w:szCs w:val="20"/>
              </w:rPr>
            </w:pPr>
            <w:r>
              <w:rPr>
                <w:rFonts w:ascii="宋体" w:hAnsi="宋体" w:eastAsia="宋体" w:cs="宋体"/>
                <w:spacing w:val="-1"/>
                <w:sz w:val="20"/>
                <w:szCs w:val="20"/>
              </w:rPr>
              <w:t>故障模式：</w:t>
            </w:r>
          </w:p>
        </w:tc>
      </w:tr>
      <w:tr w14:paraId="4F6FE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9369" w:type="dxa"/>
            <w:gridSpan w:val="4"/>
            <w:vAlign w:val="top"/>
          </w:tcPr>
          <w:p w14:paraId="69618742">
            <w:pPr>
              <w:spacing w:before="123" w:line="219" w:lineRule="auto"/>
              <w:ind w:left="85"/>
              <w:rPr>
                <w:rFonts w:ascii="宋体" w:hAnsi="宋体" w:eastAsia="宋体" w:cs="宋体"/>
                <w:sz w:val="20"/>
                <w:szCs w:val="20"/>
              </w:rPr>
            </w:pPr>
            <w:r>
              <w:rPr>
                <w:rFonts w:ascii="宋体" w:hAnsi="宋体" w:eastAsia="宋体" w:cs="宋体"/>
                <w:spacing w:val="-1"/>
                <w:sz w:val="20"/>
                <w:szCs w:val="20"/>
              </w:rPr>
              <w:t>故障原因：</w:t>
            </w:r>
          </w:p>
        </w:tc>
      </w:tr>
      <w:tr w14:paraId="2E29C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9369" w:type="dxa"/>
            <w:gridSpan w:val="4"/>
            <w:vAlign w:val="top"/>
          </w:tcPr>
          <w:p w14:paraId="15E3B650">
            <w:pPr>
              <w:spacing w:before="135" w:line="219" w:lineRule="auto"/>
              <w:ind w:left="85"/>
              <w:rPr>
                <w:rFonts w:ascii="宋体" w:hAnsi="宋体" w:eastAsia="宋体" w:cs="宋体"/>
                <w:sz w:val="20"/>
                <w:szCs w:val="20"/>
              </w:rPr>
            </w:pPr>
            <w:r>
              <w:rPr>
                <w:rFonts w:ascii="宋体" w:hAnsi="宋体" w:eastAsia="宋体" w:cs="宋体"/>
                <w:spacing w:val="-1"/>
                <w:sz w:val="20"/>
                <w:szCs w:val="20"/>
              </w:rPr>
              <w:t>分析说明：</w:t>
            </w:r>
          </w:p>
        </w:tc>
      </w:tr>
      <w:tr w14:paraId="1723A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2922" w:type="dxa"/>
            <w:vAlign w:val="top"/>
          </w:tcPr>
          <w:p w14:paraId="71C13846">
            <w:pPr>
              <w:spacing w:before="127" w:line="312" w:lineRule="auto"/>
              <w:ind w:left="85" w:right="2226"/>
              <w:rPr>
                <w:rFonts w:ascii="宋体" w:hAnsi="宋体" w:eastAsia="宋体" w:cs="宋体"/>
                <w:sz w:val="20"/>
                <w:szCs w:val="20"/>
              </w:rPr>
            </w:pPr>
            <w:r>
              <w:rPr>
                <w:rFonts w:ascii="宋体" w:hAnsi="宋体" w:eastAsia="宋体" w:cs="宋体"/>
                <w:spacing w:val="-3"/>
                <w:sz w:val="20"/>
                <w:szCs w:val="20"/>
              </w:rPr>
              <w:t>承试方</w:t>
            </w:r>
            <w:r>
              <w:rPr>
                <w:rFonts w:ascii="宋体" w:hAnsi="宋体" w:eastAsia="宋体" w:cs="宋体"/>
                <w:sz w:val="20"/>
                <w:szCs w:val="20"/>
              </w:rPr>
              <w:t xml:space="preserve"> 签字：</w:t>
            </w:r>
          </w:p>
        </w:tc>
        <w:tc>
          <w:tcPr>
            <w:tcW w:w="2926" w:type="dxa"/>
            <w:gridSpan w:val="2"/>
            <w:vAlign w:val="top"/>
          </w:tcPr>
          <w:p w14:paraId="2E30DA6C">
            <w:pPr>
              <w:spacing w:before="137" w:line="307" w:lineRule="auto"/>
              <w:ind w:left="93" w:right="2222"/>
              <w:rPr>
                <w:rFonts w:ascii="宋体" w:hAnsi="宋体" w:eastAsia="宋体" w:cs="宋体"/>
                <w:sz w:val="20"/>
                <w:szCs w:val="20"/>
              </w:rPr>
            </w:pPr>
            <w:r>
              <w:rPr>
                <w:rFonts w:ascii="宋体" w:hAnsi="宋体" w:eastAsia="宋体" w:cs="宋体"/>
                <w:spacing w:val="-3"/>
                <w:sz w:val="20"/>
                <w:szCs w:val="20"/>
              </w:rPr>
              <w:t>承制方</w:t>
            </w:r>
            <w:r>
              <w:rPr>
                <w:rFonts w:ascii="宋体" w:hAnsi="宋体" w:eastAsia="宋体" w:cs="宋体"/>
                <w:sz w:val="20"/>
                <w:szCs w:val="20"/>
              </w:rPr>
              <w:t xml:space="preserve"> 签字：</w:t>
            </w:r>
          </w:p>
        </w:tc>
        <w:tc>
          <w:tcPr>
            <w:tcW w:w="3521" w:type="dxa"/>
            <w:vAlign w:val="top"/>
          </w:tcPr>
          <w:p w14:paraId="25CF9396">
            <w:pPr>
              <w:spacing w:before="146" w:line="303" w:lineRule="auto"/>
              <w:ind w:left="107" w:right="2211"/>
              <w:rPr>
                <w:rFonts w:ascii="宋体" w:hAnsi="宋体" w:eastAsia="宋体" w:cs="宋体"/>
                <w:sz w:val="20"/>
                <w:szCs w:val="20"/>
              </w:rPr>
            </w:pPr>
            <w:r>
              <w:rPr>
                <w:rFonts w:ascii="宋体" w:hAnsi="宋体" w:eastAsia="宋体" w:cs="宋体"/>
                <w:spacing w:val="-2"/>
                <w:sz w:val="20"/>
                <w:szCs w:val="20"/>
              </w:rPr>
              <w:t>承制方军代表</w:t>
            </w:r>
            <w:r>
              <w:rPr>
                <w:rFonts w:ascii="宋体" w:hAnsi="宋体" w:eastAsia="宋体" w:cs="宋体"/>
                <w:spacing w:val="3"/>
                <w:sz w:val="20"/>
                <w:szCs w:val="20"/>
              </w:rPr>
              <w:t xml:space="preserve"> </w:t>
            </w:r>
            <w:r>
              <w:rPr>
                <w:rFonts w:ascii="宋体" w:hAnsi="宋体" w:eastAsia="宋体" w:cs="宋体"/>
                <w:spacing w:val="-1"/>
                <w:sz w:val="20"/>
                <w:szCs w:val="20"/>
              </w:rPr>
              <w:t>签字：</w:t>
            </w:r>
          </w:p>
        </w:tc>
      </w:tr>
    </w:tbl>
    <w:p w14:paraId="4B4C9BFB">
      <w:pPr>
        <w:spacing w:before="223" w:line="223" w:lineRule="auto"/>
        <w:rPr>
          <w:rFonts w:ascii="黑体" w:hAnsi="黑体" w:eastAsia="黑体" w:cs="黑体"/>
          <w:sz w:val="27"/>
          <w:szCs w:val="27"/>
        </w:rPr>
      </w:pPr>
      <w:r>
        <w:rPr>
          <w:rFonts w:ascii="黑体" w:hAnsi="黑体" w:eastAsia="黑体" w:cs="黑体"/>
          <w:spacing w:val="-7"/>
          <w:sz w:val="27"/>
          <w:szCs w:val="27"/>
        </w:rPr>
        <w:t>6</w:t>
      </w:r>
      <w:r>
        <w:rPr>
          <w:rFonts w:ascii="黑体" w:hAnsi="黑体" w:eastAsia="黑体" w:cs="黑体"/>
          <w:spacing w:val="21"/>
          <w:sz w:val="27"/>
          <w:szCs w:val="27"/>
        </w:rPr>
        <w:t xml:space="preserve">  </w:t>
      </w:r>
      <w:r>
        <w:rPr>
          <w:rFonts w:ascii="黑体" w:hAnsi="黑体" w:eastAsia="黑体" w:cs="黑体"/>
          <w:b/>
          <w:bCs/>
          <w:spacing w:val="-7"/>
          <w:sz w:val="27"/>
          <w:szCs w:val="27"/>
        </w:rPr>
        <w:t>纠正措施</w:t>
      </w:r>
    </w:p>
    <w:p w14:paraId="018B7FF8">
      <w:pPr>
        <w:pStyle w:val="2"/>
        <w:spacing w:before="93" w:line="280" w:lineRule="auto"/>
        <w:ind w:right="22" w:firstLine="570"/>
        <w:jc w:val="both"/>
      </w:pPr>
      <w:r>
        <w:rPr>
          <w:spacing w:val="5"/>
        </w:rPr>
        <w:t>说明按照故障处理程序要求对故障进行纠正，并对纠正措施进行验证的情</w:t>
      </w:r>
      <w:r>
        <w:rPr>
          <w:spacing w:val="11"/>
        </w:rPr>
        <w:t xml:space="preserve"> </w:t>
      </w:r>
      <w:r>
        <w:rPr>
          <w:spacing w:val="5"/>
        </w:rPr>
        <w:t>况。即“可靠性鉴定(验收)试验故障纠正措施报告表”(见表7.1</w:t>
      </w:r>
      <w:r>
        <w:rPr>
          <w:spacing w:val="4"/>
        </w:rPr>
        <w:t>2)纠正措施一</w:t>
      </w:r>
      <w:r>
        <w:t xml:space="preserve"> </w:t>
      </w:r>
      <w:r>
        <w:rPr>
          <w:spacing w:val="-2"/>
        </w:rPr>
        <w:t>栏中详细描述采取的措施内容，包括更改设</w:t>
      </w:r>
      <w:r>
        <w:rPr>
          <w:spacing w:val="-3"/>
        </w:rPr>
        <w:t>计的内容，效果一栏中详细描述纠正</w:t>
      </w:r>
      <w:r>
        <w:t xml:space="preserve"> </w:t>
      </w:r>
      <w:r>
        <w:rPr>
          <w:spacing w:val="4"/>
        </w:rPr>
        <w:t>措施验证的情况。</w:t>
      </w:r>
    </w:p>
    <w:p w14:paraId="4C73349F">
      <w:pPr>
        <w:spacing w:before="59" w:line="220" w:lineRule="auto"/>
        <w:ind w:left="1500"/>
        <w:rPr>
          <w:rFonts w:ascii="仿宋" w:hAnsi="仿宋" w:eastAsia="仿宋" w:cs="仿宋"/>
          <w:sz w:val="24"/>
          <w:szCs w:val="24"/>
        </w:rPr>
      </w:pPr>
      <w:r>
        <w:rPr>
          <w:rFonts w:ascii="仿宋" w:hAnsi="仿宋" w:eastAsia="仿宋" w:cs="仿宋"/>
          <w:spacing w:val="27"/>
          <w:sz w:val="24"/>
          <w:szCs w:val="24"/>
        </w:rPr>
        <w:t>表7</w:t>
      </w:r>
      <w:r>
        <w:rPr>
          <w:rFonts w:ascii="仿宋" w:hAnsi="仿宋" w:eastAsia="仿宋" w:cs="仿宋"/>
          <w:spacing w:val="-53"/>
          <w:sz w:val="24"/>
          <w:szCs w:val="24"/>
        </w:rPr>
        <w:t xml:space="preserve"> </w:t>
      </w:r>
      <w:r>
        <w:rPr>
          <w:rFonts w:ascii="仿宋" w:hAnsi="仿宋" w:eastAsia="仿宋" w:cs="仿宋"/>
          <w:spacing w:val="27"/>
          <w:sz w:val="24"/>
          <w:szCs w:val="24"/>
        </w:rPr>
        <w:t>.</w:t>
      </w:r>
      <w:r>
        <w:rPr>
          <w:rFonts w:ascii="仿宋" w:hAnsi="仿宋" w:eastAsia="仿宋" w:cs="仿宋"/>
          <w:spacing w:val="-48"/>
          <w:sz w:val="24"/>
          <w:szCs w:val="24"/>
        </w:rPr>
        <w:t xml:space="preserve"> </w:t>
      </w:r>
      <w:r>
        <w:rPr>
          <w:rFonts w:ascii="仿宋" w:hAnsi="仿宋" w:eastAsia="仿宋" w:cs="仿宋"/>
          <w:spacing w:val="27"/>
          <w:sz w:val="24"/>
          <w:szCs w:val="24"/>
        </w:rPr>
        <w:t>12  可靠性鉴定(验收)试验故障纠正措施报告表</w:t>
      </w:r>
    </w:p>
    <w:p w14:paraId="04D11CBB">
      <w:pPr>
        <w:spacing w:line="123" w:lineRule="exact"/>
      </w:pPr>
    </w:p>
    <w:tbl>
      <w:tblPr>
        <w:tblStyle w:val="5"/>
        <w:tblW w:w="936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1668"/>
        <w:gridCol w:w="2307"/>
        <w:gridCol w:w="420"/>
        <w:gridCol w:w="2252"/>
      </w:tblGrid>
      <w:tr w14:paraId="30FEC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2722" w:type="dxa"/>
            <w:vAlign w:val="top"/>
          </w:tcPr>
          <w:p w14:paraId="5635249B">
            <w:pPr>
              <w:spacing w:before="101" w:line="218" w:lineRule="auto"/>
              <w:ind w:left="194"/>
              <w:rPr>
                <w:rFonts w:ascii="宋体" w:hAnsi="宋体" w:eastAsia="宋体" w:cs="宋体"/>
                <w:sz w:val="21"/>
                <w:szCs w:val="21"/>
              </w:rPr>
            </w:pPr>
            <w:r>
              <w:rPr>
                <w:rFonts w:ascii="宋体" w:hAnsi="宋体" w:eastAsia="宋体" w:cs="宋体"/>
                <w:spacing w:val="1"/>
                <w:sz w:val="21"/>
                <w:szCs w:val="21"/>
              </w:rPr>
              <w:t>故障纠正措施报告表编号</w:t>
            </w:r>
          </w:p>
        </w:tc>
        <w:tc>
          <w:tcPr>
            <w:tcW w:w="1668" w:type="dxa"/>
            <w:vAlign w:val="top"/>
          </w:tcPr>
          <w:p w14:paraId="4FB5B7B7">
            <w:pPr>
              <w:pStyle w:val="6"/>
            </w:pPr>
          </w:p>
        </w:tc>
        <w:tc>
          <w:tcPr>
            <w:tcW w:w="2307" w:type="dxa"/>
            <w:vAlign w:val="top"/>
          </w:tcPr>
          <w:p w14:paraId="6B0D1A87">
            <w:pPr>
              <w:spacing w:before="104" w:line="220" w:lineRule="auto"/>
              <w:ind w:left="724"/>
              <w:rPr>
                <w:rFonts w:ascii="宋体" w:hAnsi="宋体" w:eastAsia="宋体" w:cs="宋体"/>
                <w:sz w:val="21"/>
                <w:szCs w:val="21"/>
              </w:rPr>
            </w:pPr>
            <w:r>
              <w:rPr>
                <w:rFonts w:ascii="宋体" w:hAnsi="宋体" w:eastAsia="宋体" w:cs="宋体"/>
                <w:spacing w:val="3"/>
                <w:sz w:val="21"/>
                <w:szCs w:val="21"/>
              </w:rPr>
              <w:t>填表日期</w:t>
            </w:r>
          </w:p>
        </w:tc>
        <w:tc>
          <w:tcPr>
            <w:tcW w:w="2672" w:type="dxa"/>
            <w:gridSpan w:val="2"/>
            <w:vAlign w:val="top"/>
          </w:tcPr>
          <w:p w14:paraId="6F961B18">
            <w:pPr>
              <w:pStyle w:val="6"/>
            </w:pPr>
          </w:p>
        </w:tc>
      </w:tr>
      <w:tr w14:paraId="40022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722" w:type="dxa"/>
            <w:vAlign w:val="top"/>
          </w:tcPr>
          <w:p w14:paraId="158C2658">
            <w:pPr>
              <w:spacing w:before="97" w:line="218" w:lineRule="auto"/>
              <w:ind w:left="615"/>
              <w:rPr>
                <w:rFonts w:ascii="宋体" w:hAnsi="宋体" w:eastAsia="宋体" w:cs="宋体"/>
                <w:sz w:val="21"/>
                <w:szCs w:val="21"/>
              </w:rPr>
            </w:pPr>
            <w:r>
              <w:rPr>
                <w:rFonts w:ascii="宋体" w:hAnsi="宋体" w:eastAsia="宋体" w:cs="宋体"/>
                <w:spacing w:val="1"/>
                <w:sz w:val="21"/>
                <w:szCs w:val="21"/>
              </w:rPr>
              <w:t>故障报告表编号</w:t>
            </w:r>
          </w:p>
        </w:tc>
        <w:tc>
          <w:tcPr>
            <w:tcW w:w="1668" w:type="dxa"/>
            <w:vAlign w:val="top"/>
          </w:tcPr>
          <w:p w14:paraId="05944719">
            <w:pPr>
              <w:pStyle w:val="6"/>
            </w:pPr>
          </w:p>
        </w:tc>
        <w:tc>
          <w:tcPr>
            <w:tcW w:w="2307" w:type="dxa"/>
            <w:vAlign w:val="top"/>
          </w:tcPr>
          <w:p w14:paraId="4B54B00B">
            <w:pPr>
              <w:spacing w:before="97" w:line="218" w:lineRule="auto"/>
              <w:ind w:left="204"/>
              <w:rPr>
                <w:rFonts w:ascii="宋体" w:hAnsi="宋体" w:eastAsia="宋体" w:cs="宋体"/>
                <w:sz w:val="21"/>
                <w:szCs w:val="21"/>
              </w:rPr>
            </w:pPr>
            <w:r>
              <w:rPr>
                <w:rFonts w:ascii="宋体" w:hAnsi="宋体" w:eastAsia="宋体" w:cs="宋体"/>
                <w:spacing w:val="1"/>
                <w:sz w:val="21"/>
                <w:szCs w:val="21"/>
              </w:rPr>
              <w:t>故障分析报告表编号</w:t>
            </w:r>
          </w:p>
        </w:tc>
        <w:tc>
          <w:tcPr>
            <w:tcW w:w="2672" w:type="dxa"/>
            <w:gridSpan w:val="2"/>
            <w:vAlign w:val="top"/>
          </w:tcPr>
          <w:p w14:paraId="072D2620">
            <w:pPr>
              <w:pStyle w:val="6"/>
            </w:pPr>
          </w:p>
        </w:tc>
      </w:tr>
      <w:tr w14:paraId="3F4CB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722" w:type="dxa"/>
            <w:vAlign w:val="top"/>
          </w:tcPr>
          <w:p w14:paraId="4DE51B4F">
            <w:pPr>
              <w:spacing w:before="100" w:line="219" w:lineRule="auto"/>
              <w:ind w:left="514"/>
              <w:rPr>
                <w:rFonts w:ascii="宋体" w:hAnsi="宋体" w:eastAsia="宋体" w:cs="宋体"/>
                <w:sz w:val="21"/>
                <w:szCs w:val="21"/>
              </w:rPr>
            </w:pPr>
            <w:r>
              <w:rPr>
                <w:rFonts w:ascii="宋体" w:hAnsi="宋体" w:eastAsia="宋体" w:cs="宋体"/>
                <w:spacing w:val="1"/>
                <w:sz w:val="21"/>
                <w:szCs w:val="21"/>
              </w:rPr>
              <w:t>故障件名称、型号</w:t>
            </w:r>
          </w:p>
        </w:tc>
        <w:tc>
          <w:tcPr>
            <w:tcW w:w="1668" w:type="dxa"/>
            <w:vAlign w:val="top"/>
          </w:tcPr>
          <w:p w14:paraId="5E24949C">
            <w:pPr>
              <w:pStyle w:val="6"/>
            </w:pPr>
          </w:p>
        </w:tc>
        <w:tc>
          <w:tcPr>
            <w:tcW w:w="2307" w:type="dxa"/>
            <w:vAlign w:val="top"/>
          </w:tcPr>
          <w:p w14:paraId="242AED9F">
            <w:pPr>
              <w:spacing w:before="100" w:line="219" w:lineRule="auto"/>
              <w:ind w:left="414"/>
              <w:rPr>
                <w:rFonts w:ascii="宋体" w:hAnsi="宋体" w:eastAsia="宋体" w:cs="宋体"/>
                <w:sz w:val="21"/>
                <w:szCs w:val="21"/>
              </w:rPr>
            </w:pPr>
            <w:r>
              <w:rPr>
                <w:rFonts w:ascii="宋体" w:hAnsi="宋体" w:eastAsia="宋体" w:cs="宋体"/>
                <w:spacing w:val="1"/>
                <w:sz w:val="21"/>
                <w:szCs w:val="21"/>
              </w:rPr>
              <w:t>实施技术文件号</w:t>
            </w:r>
          </w:p>
        </w:tc>
        <w:tc>
          <w:tcPr>
            <w:tcW w:w="2672" w:type="dxa"/>
            <w:gridSpan w:val="2"/>
            <w:vAlign w:val="top"/>
          </w:tcPr>
          <w:p w14:paraId="4CB0ED8B">
            <w:pPr>
              <w:pStyle w:val="6"/>
            </w:pPr>
          </w:p>
        </w:tc>
      </w:tr>
      <w:tr w14:paraId="5E4F0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722" w:type="dxa"/>
            <w:vAlign w:val="top"/>
          </w:tcPr>
          <w:p w14:paraId="72B1A630">
            <w:pPr>
              <w:spacing w:before="102" w:line="220" w:lineRule="auto"/>
              <w:ind w:left="935"/>
              <w:rPr>
                <w:rFonts w:ascii="宋体" w:hAnsi="宋体" w:eastAsia="宋体" w:cs="宋体"/>
                <w:sz w:val="21"/>
                <w:szCs w:val="21"/>
              </w:rPr>
            </w:pPr>
            <w:r>
              <w:rPr>
                <w:rFonts w:ascii="宋体" w:hAnsi="宋体" w:eastAsia="宋体" w:cs="宋体"/>
                <w:spacing w:val="2"/>
                <w:sz w:val="21"/>
                <w:szCs w:val="21"/>
              </w:rPr>
              <w:t>实施单位</w:t>
            </w:r>
          </w:p>
        </w:tc>
        <w:tc>
          <w:tcPr>
            <w:tcW w:w="1668" w:type="dxa"/>
            <w:vAlign w:val="top"/>
          </w:tcPr>
          <w:p w14:paraId="3586F283">
            <w:pPr>
              <w:pStyle w:val="6"/>
            </w:pPr>
          </w:p>
        </w:tc>
        <w:tc>
          <w:tcPr>
            <w:tcW w:w="2307" w:type="dxa"/>
            <w:vAlign w:val="top"/>
          </w:tcPr>
          <w:p w14:paraId="22C43A00">
            <w:pPr>
              <w:spacing w:before="102" w:line="220" w:lineRule="auto"/>
              <w:ind w:left="724"/>
              <w:rPr>
                <w:rFonts w:ascii="宋体" w:hAnsi="宋体" w:eastAsia="宋体" w:cs="宋体"/>
                <w:sz w:val="21"/>
                <w:szCs w:val="21"/>
              </w:rPr>
            </w:pPr>
            <w:r>
              <w:rPr>
                <w:rFonts w:ascii="宋体" w:hAnsi="宋体" w:eastAsia="宋体" w:cs="宋体"/>
                <w:spacing w:val="3"/>
                <w:sz w:val="21"/>
                <w:szCs w:val="21"/>
              </w:rPr>
              <w:t>实施日期</w:t>
            </w:r>
          </w:p>
        </w:tc>
        <w:tc>
          <w:tcPr>
            <w:tcW w:w="2672" w:type="dxa"/>
            <w:gridSpan w:val="2"/>
            <w:vAlign w:val="top"/>
          </w:tcPr>
          <w:p w14:paraId="346E8765">
            <w:pPr>
              <w:pStyle w:val="6"/>
            </w:pPr>
          </w:p>
        </w:tc>
      </w:tr>
      <w:tr w14:paraId="2C86E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9369" w:type="dxa"/>
            <w:gridSpan w:val="5"/>
            <w:vAlign w:val="top"/>
          </w:tcPr>
          <w:p w14:paraId="1C1F8C2C">
            <w:pPr>
              <w:spacing w:before="143" w:line="220" w:lineRule="auto"/>
              <w:ind w:left="65"/>
              <w:rPr>
                <w:rFonts w:ascii="宋体" w:hAnsi="宋体" w:eastAsia="宋体" w:cs="宋体"/>
                <w:sz w:val="21"/>
                <w:szCs w:val="21"/>
              </w:rPr>
            </w:pPr>
            <w:r>
              <w:rPr>
                <w:rFonts w:ascii="宋体" w:hAnsi="宋体" w:eastAsia="宋体" w:cs="宋体"/>
                <w:spacing w:val="-1"/>
                <w:sz w:val="21"/>
                <w:szCs w:val="21"/>
              </w:rPr>
              <w:t>纠正措施：</w:t>
            </w:r>
          </w:p>
        </w:tc>
      </w:tr>
      <w:tr w14:paraId="7E29E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9369" w:type="dxa"/>
            <w:gridSpan w:val="5"/>
            <w:vAlign w:val="top"/>
          </w:tcPr>
          <w:p w14:paraId="5810BD32">
            <w:pPr>
              <w:spacing w:before="134" w:line="220" w:lineRule="auto"/>
              <w:ind w:left="65"/>
              <w:rPr>
                <w:rFonts w:ascii="宋体" w:hAnsi="宋体" w:eastAsia="宋体" w:cs="宋体"/>
                <w:sz w:val="21"/>
                <w:szCs w:val="21"/>
              </w:rPr>
            </w:pPr>
            <w:r>
              <w:rPr>
                <w:rFonts w:ascii="宋体" w:hAnsi="宋体" w:eastAsia="宋体" w:cs="宋体"/>
                <w:spacing w:val="-2"/>
                <w:sz w:val="21"/>
                <w:szCs w:val="21"/>
              </w:rPr>
              <w:t>效果：</w:t>
            </w:r>
          </w:p>
        </w:tc>
      </w:tr>
      <w:tr w14:paraId="6218F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9369" w:type="dxa"/>
            <w:gridSpan w:val="5"/>
            <w:vAlign w:val="top"/>
          </w:tcPr>
          <w:p w14:paraId="716FD6D3">
            <w:pPr>
              <w:spacing w:before="155" w:line="219" w:lineRule="auto"/>
              <w:ind w:left="65"/>
              <w:rPr>
                <w:rFonts w:ascii="宋体" w:hAnsi="宋体" w:eastAsia="宋体" w:cs="宋体"/>
                <w:sz w:val="21"/>
                <w:szCs w:val="21"/>
              </w:rPr>
            </w:pPr>
            <w:r>
              <w:rPr>
                <w:rFonts w:ascii="宋体" w:hAnsi="宋体" w:eastAsia="宋体" w:cs="宋体"/>
                <w:spacing w:val="-1"/>
                <w:sz w:val="21"/>
                <w:szCs w:val="21"/>
              </w:rPr>
              <w:t>遗留问题说明：</w:t>
            </w:r>
          </w:p>
        </w:tc>
      </w:tr>
      <w:tr w14:paraId="7EF06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3" w:hRule="atLeast"/>
        </w:trPr>
        <w:tc>
          <w:tcPr>
            <w:tcW w:w="2722" w:type="dxa"/>
            <w:vAlign w:val="top"/>
          </w:tcPr>
          <w:p w14:paraId="7CE5EDF8">
            <w:pPr>
              <w:spacing w:before="137" w:line="297" w:lineRule="auto"/>
              <w:ind w:left="85" w:right="2001"/>
              <w:rPr>
                <w:rFonts w:ascii="宋体" w:hAnsi="宋体" w:eastAsia="宋体" w:cs="宋体"/>
                <w:sz w:val="21"/>
                <w:szCs w:val="21"/>
              </w:rPr>
            </w:pPr>
            <w:r>
              <w:rPr>
                <w:rFonts w:ascii="宋体" w:hAnsi="宋体" w:eastAsia="宋体" w:cs="宋体"/>
                <w:spacing w:val="-3"/>
                <w:sz w:val="21"/>
                <w:szCs w:val="21"/>
              </w:rPr>
              <w:t>承试方</w:t>
            </w:r>
            <w:r>
              <w:rPr>
                <w:rFonts w:ascii="宋体" w:hAnsi="宋体" w:eastAsia="宋体" w:cs="宋体"/>
                <w:sz w:val="21"/>
                <w:szCs w:val="21"/>
              </w:rPr>
              <w:t xml:space="preserve"> </w:t>
            </w:r>
            <w:r>
              <w:rPr>
                <w:rFonts w:ascii="宋体" w:hAnsi="宋体" w:eastAsia="宋体" w:cs="宋体"/>
                <w:spacing w:val="-2"/>
                <w:sz w:val="21"/>
                <w:szCs w:val="21"/>
              </w:rPr>
              <w:t>签字：</w:t>
            </w:r>
          </w:p>
        </w:tc>
        <w:tc>
          <w:tcPr>
            <w:tcW w:w="4395" w:type="dxa"/>
            <w:gridSpan w:val="3"/>
            <w:vAlign w:val="top"/>
          </w:tcPr>
          <w:p w14:paraId="58890C90">
            <w:pPr>
              <w:spacing w:before="137" w:line="297" w:lineRule="auto"/>
              <w:ind w:left="93" w:right="3666"/>
              <w:rPr>
                <w:rFonts w:ascii="宋体" w:hAnsi="宋体" w:eastAsia="宋体" w:cs="宋体"/>
                <w:sz w:val="21"/>
                <w:szCs w:val="21"/>
              </w:rPr>
            </w:pPr>
            <w:r>
              <w:rPr>
                <w:rFonts w:ascii="宋体" w:hAnsi="宋体" w:eastAsia="宋体" w:cs="宋体"/>
                <w:spacing w:val="-3"/>
                <w:sz w:val="21"/>
                <w:szCs w:val="21"/>
              </w:rPr>
              <w:t>承制方</w:t>
            </w:r>
            <w:r>
              <w:rPr>
                <w:rFonts w:ascii="宋体" w:hAnsi="宋体" w:eastAsia="宋体" w:cs="宋体"/>
                <w:sz w:val="21"/>
                <w:szCs w:val="21"/>
              </w:rPr>
              <w:t xml:space="preserve"> </w:t>
            </w:r>
            <w:r>
              <w:rPr>
                <w:rFonts w:ascii="宋体" w:hAnsi="宋体" w:eastAsia="宋体" w:cs="宋体"/>
                <w:spacing w:val="-2"/>
                <w:sz w:val="21"/>
                <w:szCs w:val="21"/>
              </w:rPr>
              <w:t>签字：</w:t>
            </w:r>
          </w:p>
        </w:tc>
        <w:tc>
          <w:tcPr>
            <w:tcW w:w="2252" w:type="dxa"/>
            <w:vAlign w:val="top"/>
          </w:tcPr>
          <w:p w14:paraId="6CD575E1">
            <w:pPr>
              <w:spacing w:before="125" w:line="302" w:lineRule="auto"/>
              <w:ind w:left="97" w:right="892"/>
              <w:rPr>
                <w:rFonts w:ascii="宋体" w:hAnsi="宋体" w:eastAsia="宋体" w:cs="宋体"/>
                <w:sz w:val="21"/>
                <w:szCs w:val="21"/>
              </w:rPr>
            </w:pPr>
            <w:r>
              <w:rPr>
                <w:rFonts w:ascii="宋体" w:hAnsi="宋体" w:eastAsia="宋体" w:cs="宋体"/>
                <w:spacing w:val="-2"/>
                <w:sz w:val="21"/>
                <w:szCs w:val="21"/>
              </w:rPr>
              <w:t>承制方军代表</w:t>
            </w:r>
            <w:r>
              <w:rPr>
                <w:rFonts w:ascii="宋体" w:hAnsi="宋体" w:eastAsia="宋体" w:cs="宋体"/>
                <w:spacing w:val="2"/>
                <w:sz w:val="21"/>
                <w:szCs w:val="21"/>
              </w:rPr>
              <w:t xml:space="preserve"> </w:t>
            </w:r>
            <w:r>
              <w:rPr>
                <w:rFonts w:ascii="宋体" w:hAnsi="宋体" w:eastAsia="宋体" w:cs="宋体"/>
                <w:spacing w:val="1"/>
                <w:sz w:val="21"/>
                <w:szCs w:val="21"/>
              </w:rPr>
              <w:t>签字：</w:t>
            </w:r>
          </w:p>
        </w:tc>
      </w:tr>
    </w:tbl>
    <w:p w14:paraId="31FF71FE">
      <w:pPr>
        <w:spacing w:before="220" w:line="221" w:lineRule="auto"/>
        <w:rPr>
          <w:rFonts w:ascii="黑体" w:hAnsi="黑体" w:eastAsia="黑体" w:cs="黑体"/>
          <w:sz w:val="25"/>
          <w:szCs w:val="25"/>
        </w:rPr>
      </w:pPr>
      <w:r>
        <w:rPr>
          <w:rFonts w:ascii="黑体" w:hAnsi="黑体" w:eastAsia="黑体" w:cs="黑体"/>
          <w:spacing w:val="18"/>
          <w:sz w:val="25"/>
          <w:szCs w:val="25"/>
        </w:rPr>
        <w:t>7</w:t>
      </w:r>
      <w:r>
        <w:rPr>
          <w:rFonts w:ascii="黑体" w:hAnsi="黑体" w:eastAsia="黑体" w:cs="黑体"/>
          <w:spacing w:val="19"/>
          <w:sz w:val="25"/>
          <w:szCs w:val="25"/>
        </w:rPr>
        <w:t xml:space="preserve">  </w:t>
      </w:r>
      <w:r>
        <w:rPr>
          <w:rFonts w:ascii="黑体" w:hAnsi="黑体" w:eastAsia="黑体" w:cs="黑体"/>
          <w:b/>
          <w:bCs/>
          <w:spacing w:val="18"/>
          <w:sz w:val="25"/>
          <w:szCs w:val="25"/>
        </w:rPr>
        <w:t>试验结论</w:t>
      </w:r>
    </w:p>
    <w:p w14:paraId="29BF1A52">
      <w:pPr>
        <w:pStyle w:val="2"/>
        <w:spacing w:before="135" w:line="218" w:lineRule="auto"/>
        <w:ind w:left="570"/>
      </w:pPr>
      <w:r>
        <w:rPr>
          <w:spacing w:val="-5"/>
        </w:rPr>
        <w:t>试验结束后，对试验数据进行评估和分析，得出可靠</w:t>
      </w:r>
      <w:r>
        <w:rPr>
          <w:spacing w:val="-6"/>
        </w:rPr>
        <w:t>性试验结论。</w:t>
      </w:r>
    </w:p>
    <w:p w14:paraId="0309EE05">
      <w:pPr>
        <w:spacing w:line="218" w:lineRule="auto"/>
        <w:sectPr>
          <w:footerReference r:id="rId397" w:type="default"/>
          <w:pgSz w:w="11910" w:h="17130"/>
          <w:pgMar w:top="1456" w:right="925" w:bottom="1653" w:left="1579" w:header="0" w:footer="1455" w:gutter="0"/>
          <w:cols w:space="720" w:num="1"/>
        </w:sectPr>
      </w:pPr>
    </w:p>
    <w:p w14:paraId="6BA872D1">
      <w:pPr>
        <w:spacing w:before="54" w:line="221" w:lineRule="auto"/>
        <w:rPr>
          <w:rFonts w:ascii="黑体" w:hAnsi="黑体" w:eastAsia="黑体" w:cs="黑体"/>
          <w:sz w:val="27"/>
          <w:szCs w:val="27"/>
        </w:rPr>
      </w:pPr>
      <w:r>
        <w:rPr>
          <w:rFonts w:ascii="黑体" w:hAnsi="黑体" w:eastAsia="黑体" w:cs="黑体"/>
          <w:spacing w:val="-2"/>
          <w:sz w:val="27"/>
          <w:szCs w:val="27"/>
        </w:rPr>
        <w:t>8</w:t>
      </w:r>
      <w:r>
        <w:rPr>
          <w:rFonts w:ascii="黑体" w:hAnsi="黑体" w:eastAsia="黑体" w:cs="黑体"/>
          <w:spacing w:val="14"/>
          <w:sz w:val="27"/>
          <w:szCs w:val="27"/>
        </w:rPr>
        <w:t xml:space="preserve">  </w:t>
      </w:r>
      <w:r>
        <w:rPr>
          <w:rFonts w:ascii="黑体" w:hAnsi="黑体" w:eastAsia="黑体" w:cs="黑体"/>
          <w:b/>
          <w:bCs/>
          <w:spacing w:val="-2"/>
          <w:sz w:val="27"/>
          <w:szCs w:val="27"/>
        </w:rPr>
        <w:t>试验总结</w:t>
      </w:r>
    </w:p>
    <w:p w14:paraId="4C530D9C">
      <w:pPr>
        <w:pStyle w:val="2"/>
        <w:spacing w:before="62" w:line="306" w:lineRule="auto"/>
        <w:ind w:right="123" w:firstLine="570"/>
      </w:pPr>
      <w:r>
        <w:rPr>
          <w:spacing w:val="-3"/>
        </w:rPr>
        <w:t>依据验证试验方案、大纲、程序，对验证试验的全过程进行总结，得出评价</w:t>
      </w:r>
      <w:r>
        <w:t xml:space="preserve"> </w:t>
      </w:r>
      <w:r>
        <w:rPr>
          <w:spacing w:val="-2"/>
        </w:rPr>
        <w:t>结论。</w:t>
      </w:r>
    </w:p>
    <w:p w14:paraId="3BD8E37F">
      <w:pPr>
        <w:pStyle w:val="2"/>
        <w:spacing w:before="301" w:line="218" w:lineRule="auto"/>
        <w:ind w:left="2869"/>
        <w:rPr>
          <w:sz w:val="36"/>
          <w:szCs w:val="36"/>
        </w:rPr>
      </w:pPr>
      <w:r>
        <w:rPr>
          <w:spacing w:val="-2"/>
          <w:sz w:val="36"/>
          <w:szCs w:val="36"/>
        </w:rPr>
        <w:t>7.26</w:t>
      </w:r>
      <w:r>
        <w:rPr>
          <w:spacing w:val="27"/>
          <w:sz w:val="36"/>
          <w:szCs w:val="36"/>
        </w:rPr>
        <w:t xml:space="preserve">  </w:t>
      </w:r>
      <w:r>
        <w:rPr>
          <w:b/>
          <w:bCs/>
          <w:spacing w:val="-2"/>
          <w:sz w:val="36"/>
          <w:szCs w:val="36"/>
        </w:rPr>
        <w:t>可靠性分析评价</w:t>
      </w:r>
    </w:p>
    <w:p w14:paraId="25754F7D">
      <w:pPr>
        <w:spacing w:line="349" w:lineRule="auto"/>
        <w:rPr>
          <w:rFonts w:ascii="Arial"/>
          <w:sz w:val="21"/>
        </w:rPr>
      </w:pPr>
    </w:p>
    <w:p w14:paraId="3683F3C9">
      <w:pPr>
        <w:pStyle w:val="2"/>
        <w:spacing w:before="91" w:line="223" w:lineRule="auto"/>
        <w:ind w:left="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19AD26F9">
      <w:pPr>
        <w:spacing w:before="7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025A6D94">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696E9DEF">
      <w:pPr>
        <w:spacing w:before="75" w:line="221"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16"/>
          <w:sz w:val="27"/>
          <w:szCs w:val="27"/>
        </w:rPr>
        <w:t xml:space="preserve">  </w:t>
      </w:r>
      <w:r>
        <w:rPr>
          <w:rFonts w:ascii="黑体" w:hAnsi="黑体" w:eastAsia="黑体" w:cs="黑体"/>
          <w:b/>
          <w:bCs/>
          <w:spacing w:val="-3"/>
          <w:sz w:val="27"/>
          <w:szCs w:val="27"/>
        </w:rPr>
        <w:t>产品概述</w:t>
      </w:r>
    </w:p>
    <w:p w14:paraId="51417091">
      <w:pPr>
        <w:spacing w:before="96" w:line="221" w:lineRule="auto"/>
        <w:rPr>
          <w:rFonts w:ascii="黑体" w:hAnsi="黑体" w:eastAsia="黑体" w:cs="黑体"/>
          <w:sz w:val="25"/>
          <w:szCs w:val="25"/>
        </w:rPr>
      </w:pPr>
      <w:r>
        <w:rPr>
          <w:rFonts w:ascii="黑体" w:hAnsi="黑体" w:eastAsia="黑体" w:cs="黑体"/>
          <w:spacing w:val="13"/>
          <w:sz w:val="25"/>
          <w:szCs w:val="25"/>
        </w:rPr>
        <w:t>3.1</w:t>
      </w:r>
      <w:r>
        <w:rPr>
          <w:rFonts w:ascii="黑体" w:hAnsi="黑体" w:eastAsia="黑体" w:cs="黑体"/>
          <w:spacing w:val="39"/>
          <w:sz w:val="25"/>
          <w:szCs w:val="25"/>
        </w:rPr>
        <w:t xml:space="preserve">  </w:t>
      </w:r>
      <w:r>
        <w:rPr>
          <w:rFonts w:ascii="黑体" w:hAnsi="黑体" w:eastAsia="黑体" w:cs="黑体"/>
          <w:b/>
          <w:bCs/>
          <w:spacing w:val="13"/>
          <w:sz w:val="25"/>
          <w:szCs w:val="25"/>
        </w:rPr>
        <w:t>产品任务</w:t>
      </w:r>
    </w:p>
    <w:p w14:paraId="51105350">
      <w:pPr>
        <w:pStyle w:val="2"/>
        <w:spacing w:before="97" w:line="284" w:lineRule="auto"/>
        <w:ind w:right="122" w:firstLine="570"/>
      </w:pPr>
      <w:r>
        <w:rPr>
          <w:spacing w:val="-3"/>
        </w:rPr>
        <w:t>简要说明产品的使命任务和地位作用等内容，如系配套产品，则介绍在系统</w:t>
      </w:r>
      <w:r>
        <w:t xml:space="preserve"> </w:t>
      </w:r>
      <w:r>
        <w:rPr>
          <w:spacing w:val="-22"/>
        </w:rPr>
        <w:t>中的定位、属性、用途。</w:t>
      </w:r>
    </w:p>
    <w:p w14:paraId="666B85B7">
      <w:pPr>
        <w:spacing w:before="15" w:line="222" w:lineRule="auto"/>
        <w:rPr>
          <w:rFonts w:ascii="黑体" w:hAnsi="黑体" w:eastAsia="黑体" w:cs="黑体"/>
          <w:sz w:val="24"/>
          <w:szCs w:val="24"/>
        </w:rPr>
      </w:pPr>
      <w:r>
        <w:rPr>
          <w:rFonts w:ascii="黑体" w:hAnsi="黑体" w:eastAsia="黑体" w:cs="黑体"/>
          <w:spacing w:val="19"/>
          <w:sz w:val="24"/>
          <w:szCs w:val="24"/>
        </w:rPr>
        <w:t>3.2</w:t>
      </w:r>
      <w:r>
        <w:rPr>
          <w:rFonts w:ascii="黑体" w:hAnsi="黑体" w:eastAsia="黑体" w:cs="黑体"/>
          <w:spacing w:val="51"/>
          <w:sz w:val="24"/>
          <w:szCs w:val="24"/>
        </w:rPr>
        <w:t xml:space="preserve">  </w:t>
      </w:r>
      <w:r>
        <w:rPr>
          <w:rFonts w:ascii="黑体" w:hAnsi="黑体" w:eastAsia="黑体" w:cs="黑体"/>
          <w:b/>
          <w:bCs/>
          <w:spacing w:val="19"/>
          <w:sz w:val="24"/>
          <w:szCs w:val="24"/>
        </w:rPr>
        <w:t>产品组成</w:t>
      </w:r>
    </w:p>
    <w:p w14:paraId="03A582DB">
      <w:pPr>
        <w:pStyle w:val="2"/>
        <w:spacing w:before="95" w:line="282" w:lineRule="auto"/>
        <w:ind w:right="98" w:firstLine="570"/>
      </w:pPr>
      <w:r>
        <w:rPr>
          <w:spacing w:val="14"/>
        </w:rPr>
        <w:t>简要说明产品的组成(包括硬件组成和软件组成)以及各部分的功能等内</w:t>
      </w:r>
      <w:r>
        <w:rPr>
          <w:spacing w:val="18"/>
        </w:rPr>
        <w:t xml:space="preserve"> </w:t>
      </w:r>
      <w:r>
        <w:rPr>
          <w:spacing w:val="-8"/>
        </w:rPr>
        <w:t>容，可简要介绍工作原理。</w:t>
      </w:r>
    </w:p>
    <w:p w14:paraId="1002F11D">
      <w:pPr>
        <w:spacing w:before="2" w:line="222" w:lineRule="auto"/>
        <w:rPr>
          <w:rFonts w:ascii="黑体" w:hAnsi="黑体" w:eastAsia="黑体" w:cs="黑体"/>
          <w:sz w:val="25"/>
          <w:szCs w:val="25"/>
        </w:rPr>
      </w:pPr>
      <w:r>
        <w:rPr>
          <w:rFonts w:ascii="黑体" w:hAnsi="黑体" w:eastAsia="黑体" w:cs="黑体"/>
          <w:spacing w:val="9"/>
          <w:sz w:val="25"/>
          <w:szCs w:val="25"/>
        </w:rPr>
        <w:t>3.3</w:t>
      </w:r>
      <w:r>
        <w:rPr>
          <w:rFonts w:ascii="黑体" w:hAnsi="黑体" w:eastAsia="黑体" w:cs="黑体"/>
          <w:spacing w:val="40"/>
          <w:sz w:val="25"/>
          <w:szCs w:val="25"/>
        </w:rPr>
        <w:t xml:space="preserve">  </w:t>
      </w:r>
      <w:r>
        <w:rPr>
          <w:rFonts w:ascii="黑体" w:hAnsi="黑体" w:eastAsia="黑体" w:cs="黑体"/>
          <w:b/>
          <w:bCs/>
          <w:spacing w:val="9"/>
          <w:sz w:val="25"/>
          <w:szCs w:val="25"/>
        </w:rPr>
        <w:t>产品功能</w:t>
      </w:r>
    </w:p>
    <w:p w14:paraId="42425AF7">
      <w:pPr>
        <w:pStyle w:val="2"/>
        <w:spacing w:before="121" w:line="219" w:lineRule="auto"/>
        <w:ind w:left="570"/>
        <w:rPr>
          <w:sz w:val="24"/>
          <w:szCs w:val="24"/>
        </w:rPr>
      </w:pPr>
      <w:r>
        <w:rPr>
          <w:spacing w:val="32"/>
          <w:sz w:val="24"/>
          <w:szCs w:val="24"/>
        </w:rPr>
        <w:t>简要说明产品具备的各种功能。</w:t>
      </w:r>
    </w:p>
    <w:p w14:paraId="7468FF51">
      <w:pPr>
        <w:spacing w:before="82" w:line="222"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11"/>
          <w:sz w:val="27"/>
          <w:szCs w:val="27"/>
        </w:rPr>
        <w:t xml:space="preserve">  </w:t>
      </w:r>
      <w:r>
        <w:rPr>
          <w:rFonts w:ascii="黑体" w:hAnsi="黑体" w:eastAsia="黑体" w:cs="黑体"/>
          <w:b/>
          <w:bCs/>
          <w:spacing w:val="-2"/>
          <w:sz w:val="27"/>
          <w:szCs w:val="27"/>
        </w:rPr>
        <w:t>可靠性要求</w:t>
      </w:r>
    </w:p>
    <w:p w14:paraId="6BF74921">
      <w:pPr>
        <w:spacing w:before="125" w:line="222" w:lineRule="auto"/>
        <w:rPr>
          <w:rFonts w:ascii="黑体" w:hAnsi="黑体" w:eastAsia="黑体" w:cs="黑体"/>
          <w:sz w:val="24"/>
          <w:szCs w:val="24"/>
        </w:rPr>
      </w:pPr>
      <w:r>
        <w:rPr>
          <w:rFonts w:ascii="黑体" w:hAnsi="黑体" w:eastAsia="黑体" w:cs="黑体"/>
          <w:spacing w:val="19"/>
          <w:sz w:val="24"/>
          <w:szCs w:val="24"/>
        </w:rPr>
        <w:t>4.1</w:t>
      </w:r>
      <w:r>
        <w:rPr>
          <w:rFonts w:ascii="黑体" w:hAnsi="黑体" w:eastAsia="黑体" w:cs="黑体"/>
          <w:spacing w:val="50"/>
          <w:sz w:val="24"/>
          <w:szCs w:val="24"/>
        </w:rPr>
        <w:t xml:space="preserve">  </w:t>
      </w:r>
      <w:r>
        <w:rPr>
          <w:rFonts w:ascii="黑体" w:hAnsi="黑体" w:eastAsia="黑体" w:cs="黑体"/>
          <w:b/>
          <w:bCs/>
          <w:spacing w:val="19"/>
          <w:sz w:val="24"/>
          <w:szCs w:val="24"/>
        </w:rPr>
        <w:t>可靠性定性要求</w:t>
      </w:r>
    </w:p>
    <w:p w14:paraId="47F3CF42">
      <w:pPr>
        <w:pStyle w:val="2"/>
        <w:spacing w:before="98" w:line="219" w:lineRule="auto"/>
        <w:ind w:left="570"/>
      </w:pPr>
      <w:r>
        <w:rPr>
          <w:spacing w:val="4"/>
        </w:rPr>
        <w:t>说明经论证确定的产品可靠性定性要求。</w:t>
      </w:r>
    </w:p>
    <w:p w14:paraId="1873A460">
      <w:pPr>
        <w:spacing w:before="74" w:line="222" w:lineRule="auto"/>
        <w:rPr>
          <w:rFonts w:ascii="黑体" w:hAnsi="黑体" w:eastAsia="黑体" w:cs="黑体"/>
          <w:sz w:val="27"/>
          <w:szCs w:val="27"/>
        </w:rPr>
      </w:pPr>
      <w:r>
        <w:rPr>
          <w:rFonts w:ascii="黑体" w:hAnsi="黑体" w:eastAsia="黑体" w:cs="黑体"/>
          <w:spacing w:val="-3"/>
          <w:sz w:val="27"/>
          <w:szCs w:val="27"/>
        </w:rPr>
        <w:t>4.2</w:t>
      </w:r>
      <w:r>
        <w:rPr>
          <w:rFonts w:ascii="黑体" w:hAnsi="黑体" w:eastAsia="黑体" w:cs="黑体"/>
          <w:spacing w:val="17"/>
          <w:sz w:val="27"/>
          <w:szCs w:val="27"/>
        </w:rPr>
        <w:t xml:space="preserve">  </w:t>
      </w:r>
      <w:r>
        <w:rPr>
          <w:rFonts w:ascii="黑体" w:hAnsi="黑体" w:eastAsia="黑体" w:cs="黑体"/>
          <w:b/>
          <w:bCs/>
          <w:spacing w:val="-3"/>
          <w:sz w:val="27"/>
          <w:szCs w:val="27"/>
        </w:rPr>
        <w:t>可靠性定量要求</w:t>
      </w:r>
    </w:p>
    <w:p w14:paraId="46B0E299">
      <w:pPr>
        <w:pStyle w:val="2"/>
        <w:spacing w:before="101" w:line="219" w:lineRule="auto"/>
        <w:ind w:left="570"/>
      </w:pPr>
      <w:r>
        <w:rPr>
          <w:spacing w:val="4"/>
        </w:rPr>
        <w:t>说明经论证确定的产品可靠性定量要求。</w:t>
      </w:r>
    </w:p>
    <w:p w14:paraId="5900155A">
      <w:pPr>
        <w:spacing w:before="84" w:line="222" w:lineRule="auto"/>
        <w:rPr>
          <w:rFonts w:ascii="黑体" w:hAnsi="黑体" w:eastAsia="黑体" w:cs="黑体"/>
          <w:sz w:val="27"/>
          <w:szCs w:val="27"/>
        </w:rPr>
      </w:pPr>
      <w:r>
        <w:rPr>
          <w:rFonts w:ascii="黑体" w:hAnsi="黑体" w:eastAsia="黑体" w:cs="黑体"/>
          <w:spacing w:val="1"/>
          <w:sz w:val="27"/>
          <w:szCs w:val="27"/>
        </w:rPr>
        <w:t xml:space="preserve">5  </w:t>
      </w:r>
      <w:r>
        <w:rPr>
          <w:rFonts w:ascii="黑体" w:hAnsi="黑体" w:eastAsia="黑体" w:cs="黑体"/>
          <w:b/>
          <w:bCs/>
          <w:spacing w:val="1"/>
          <w:sz w:val="27"/>
          <w:szCs w:val="27"/>
        </w:rPr>
        <w:t>可靠性设计与分析</w:t>
      </w:r>
    </w:p>
    <w:p w14:paraId="575872A2">
      <w:pPr>
        <w:pStyle w:val="2"/>
        <w:spacing w:before="91" w:line="279" w:lineRule="auto"/>
        <w:ind w:firstLine="570"/>
        <w:jc w:val="both"/>
      </w:pPr>
      <w:r>
        <w:rPr>
          <w:spacing w:val="1"/>
        </w:rPr>
        <w:t>说明在产品的研制过程中进行的设计与分析工作情况，</w:t>
      </w:r>
      <w:r>
        <w:t xml:space="preserve">如建立可靠性模型， </w:t>
      </w:r>
      <w:r>
        <w:rPr>
          <w:spacing w:val="-10"/>
        </w:rPr>
        <w:t>可靠性分配，可靠性预计，故障模式、影响及危害性分析，故障树分析，可靠性设</w:t>
      </w:r>
      <w:r>
        <w:t xml:space="preserve">  </w:t>
      </w:r>
      <w:r>
        <w:rPr>
          <w:spacing w:val="-10"/>
        </w:rPr>
        <w:t>计准则的制定与执行情况，潜在分析，电路容差分析，可靠性关键产品的确定，有</w:t>
      </w:r>
      <w:r>
        <w:rPr>
          <w:spacing w:val="1"/>
        </w:rPr>
        <w:t xml:space="preserve">  </w:t>
      </w:r>
      <w:r>
        <w:rPr>
          <w:spacing w:val="-9"/>
        </w:rPr>
        <w:t>限元分析，耐久性分析等。</w:t>
      </w:r>
    </w:p>
    <w:p w14:paraId="0EDF4678">
      <w:pPr>
        <w:spacing w:before="1" w:line="221"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5"/>
          <w:sz w:val="27"/>
          <w:szCs w:val="27"/>
        </w:rPr>
        <w:t xml:space="preserve">  </w:t>
      </w:r>
      <w:r>
        <w:rPr>
          <w:rFonts w:ascii="黑体" w:hAnsi="黑体" w:eastAsia="黑体" w:cs="黑体"/>
          <w:b/>
          <w:bCs/>
          <w:sz w:val="27"/>
          <w:szCs w:val="27"/>
        </w:rPr>
        <w:t>可靠性试验情况</w:t>
      </w:r>
    </w:p>
    <w:p w14:paraId="7D286737">
      <w:pPr>
        <w:pStyle w:val="2"/>
        <w:spacing w:before="102" w:line="269" w:lineRule="auto"/>
        <w:ind w:right="124" w:firstLine="570"/>
      </w:pPr>
      <w:r>
        <w:rPr>
          <w:spacing w:val="-3"/>
        </w:rPr>
        <w:t>说明在产品的研制过程中进行的可靠性试验情况，如环境应力筛选，可</w:t>
      </w:r>
      <w:r>
        <w:rPr>
          <w:spacing w:val="-4"/>
        </w:rPr>
        <w:t>靠性</w:t>
      </w:r>
      <w:r>
        <w:t xml:space="preserve"> </w:t>
      </w:r>
      <w:r>
        <w:rPr>
          <w:spacing w:val="-4"/>
        </w:rPr>
        <w:t>研制试验，可靠性增长试验，可靠性鉴定(验收)试验等可靠性试验情况。</w:t>
      </w:r>
    </w:p>
    <w:p w14:paraId="2667B85A">
      <w:pPr>
        <w:spacing w:before="35" w:line="226" w:lineRule="auto"/>
        <w:rPr>
          <w:rFonts w:ascii="黑体" w:hAnsi="黑体" w:eastAsia="黑体" w:cs="黑体"/>
          <w:sz w:val="25"/>
          <w:szCs w:val="25"/>
        </w:rPr>
      </w:pPr>
      <w:r>
        <w:rPr>
          <w:rFonts w:ascii="黑体" w:hAnsi="黑体" w:eastAsia="黑体" w:cs="黑体"/>
          <w:spacing w:val="5"/>
          <w:sz w:val="25"/>
          <w:szCs w:val="25"/>
        </w:rPr>
        <w:t>7</w:t>
      </w:r>
      <w:r>
        <w:rPr>
          <w:rFonts w:ascii="黑体" w:hAnsi="黑体" w:eastAsia="黑体" w:cs="黑体"/>
          <w:spacing w:val="29"/>
          <w:sz w:val="25"/>
          <w:szCs w:val="25"/>
        </w:rPr>
        <w:t xml:space="preserve">  </w:t>
      </w:r>
      <w:r>
        <w:rPr>
          <w:rFonts w:ascii="黑体" w:hAnsi="黑体" w:eastAsia="黑体" w:cs="黑体"/>
          <w:b/>
          <w:bCs/>
          <w:spacing w:val="5"/>
          <w:sz w:val="25"/>
          <w:szCs w:val="25"/>
        </w:rPr>
        <w:t>结论</w:t>
      </w:r>
    </w:p>
    <w:p w14:paraId="5CED75E2">
      <w:pPr>
        <w:pStyle w:val="2"/>
        <w:spacing w:before="70" w:line="292" w:lineRule="auto"/>
        <w:ind w:right="122" w:firstLine="570"/>
      </w:pPr>
      <w:r>
        <w:rPr>
          <w:spacing w:val="-3"/>
        </w:rPr>
        <w:t>根据以上工作得到的相关信息，对产品的可靠性进行分析评价，得出是否满</w:t>
      </w:r>
      <w:r>
        <w:t xml:space="preserve"> </w:t>
      </w:r>
      <w:r>
        <w:rPr>
          <w:spacing w:val="2"/>
        </w:rPr>
        <w:t>足规定的可靠性要求的结论。</w:t>
      </w:r>
    </w:p>
    <w:p w14:paraId="4281D45A">
      <w:pPr>
        <w:spacing w:line="292" w:lineRule="auto"/>
        <w:sectPr>
          <w:footerReference r:id="rId398" w:type="default"/>
          <w:pgSz w:w="11910" w:h="17130"/>
          <w:pgMar w:top="1390" w:right="1494" w:bottom="1717" w:left="910" w:header="0" w:footer="1500" w:gutter="0"/>
          <w:cols w:space="720" w:num="1"/>
        </w:sectPr>
      </w:pPr>
    </w:p>
    <w:p w14:paraId="58DE469E">
      <w:pPr>
        <w:pStyle w:val="2"/>
        <w:spacing w:before="313" w:line="219" w:lineRule="auto"/>
        <w:ind w:left="1760"/>
        <w:rPr>
          <w:sz w:val="36"/>
          <w:szCs w:val="36"/>
        </w:rPr>
      </w:pPr>
      <w:r>
        <w:rPr>
          <w:spacing w:val="3"/>
          <w:sz w:val="36"/>
          <w:szCs w:val="36"/>
        </w:rPr>
        <w:t xml:space="preserve">7.27  </w:t>
      </w:r>
      <w:r>
        <w:rPr>
          <w:b/>
          <w:bCs/>
          <w:spacing w:val="3"/>
          <w:sz w:val="36"/>
          <w:szCs w:val="36"/>
        </w:rPr>
        <w:t>使用期间可靠性信息收集计划</w:t>
      </w:r>
    </w:p>
    <w:p w14:paraId="115E71A8">
      <w:pPr>
        <w:spacing w:line="314" w:lineRule="auto"/>
        <w:rPr>
          <w:rFonts w:ascii="Arial"/>
          <w:sz w:val="21"/>
        </w:rPr>
      </w:pPr>
    </w:p>
    <w:p w14:paraId="3171D257">
      <w:pPr>
        <w:pStyle w:val="2"/>
        <w:spacing w:before="91" w:line="223"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49E88214">
      <w:pPr>
        <w:spacing w:before="85"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1"/>
          <w:sz w:val="27"/>
          <w:szCs w:val="27"/>
        </w:rPr>
        <w:t xml:space="preserve">  </w:t>
      </w:r>
      <w:r>
        <w:rPr>
          <w:rFonts w:ascii="黑体" w:hAnsi="黑体" w:eastAsia="黑体" w:cs="黑体"/>
          <w:b/>
          <w:bCs/>
          <w:spacing w:val="-4"/>
          <w:sz w:val="27"/>
          <w:szCs w:val="27"/>
        </w:rPr>
        <w:t>范围</w:t>
      </w:r>
    </w:p>
    <w:p w14:paraId="020041E9">
      <w:pPr>
        <w:spacing w:before="81" w:line="222" w:lineRule="auto"/>
        <w:rPr>
          <w:rFonts w:ascii="黑体" w:hAnsi="黑体" w:eastAsia="黑体" w:cs="黑体"/>
          <w:sz w:val="27"/>
          <w:szCs w:val="27"/>
        </w:rPr>
      </w:pPr>
      <w:r>
        <w:rPr>
          <w:rFonts w:ascii="黑体" w:hAnsi="黑体" w:eastAsia="黑体" w:cs="黑体"/>
          <w:sz w:val="27"/>
          <w:szCs w:val="27"/>
        </w:rPr>
        <w:t xml:space="preserve">2  </w:t>
      </w:r>
      <w:r>
        <w:rPr>
          <w:rFonts w:ascii="黑体" w:hAnsi="黑体" w:eastAsia="黑体" w:cs="黑体"/>
          <w:b/>
          <w:bCs/>
          <w:sz w:val="27"/>
          <w:szCs w:val="27"/>
        </w:rPr>
        <w:t>引用文件</w:t>
      </w:r>
    </w:p>
    <w:p w14:paraId="108EA317">
      <w:pPr>
        <w:spacing w:before="74" w:line="221"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信息收集和分析的部门、单位和人员及其职责</w:t>
      </w:r>
    </w:p>
    <w:p w14:paraId="5C5AAE18">
      <w:pPr>
        <w:pStyle w:val="2"/>
        <w:spacing w:before="84" w:line="288" w:lineRule="auto"/>
        <w:ind w:right="112" w:firstLine="560"/>
      </w:pPr>
      <w:r>
        <w:rPr>
          <w:spacing w:val="6"/>
        </w:rPr>
        <w:t>建立严格的信息管理和责任制度。明确规定信息</w:t>
      </w:r>
      <w:r>
        <w:rPr>
          <w:spacing w:val="5"/>
        </w:rPr>
        <w:t>收集与核实、信息分析与</w:t>
      </w:r>
      <w:r>
        <w:t xml:space="preserve"> </w:t>
      </w:r>
      <w:r>
        <w:rPr>
          <w:spacing w:val="-7"/>
        </w:rPr>
        <w:t>处理、信息传递与反馈的部门、单位及其人员的职责。</w:t>
      </w:r>
    </w:p>
    <w:p w14:paraId="5E2A0172">
      <w:pPr>
        <w:spacing w:before="1" w:line="220" w:lineRule="auto"/>
        <w:rPr>
          <w:rFonts w:ascii="黑体" w:hAnsi="黑体" w:eastAsia="黑体" w:cs="黑体"/>
          <w:sz w:val="24"/>
          <w:szCs w:val="24"/>
        </w:rPr>
      </w:pPr>
      <w:r>
        <w:rPr>
          <w:rFonts w:ascii="黑体" w:hAnsi="黑体" w:eastAsia="黑体" w:cs="黑体"/>
          <w:spacing w:val="29"/>
          <w:sz w:val="24"/>
          <w:szCs w:val="24"/>
        </w:rPr>
        <w:t xml:space="preserve">4  </w:t>
      </w:r>
      <w:r>
        <w:rPr>
          <w:rFonts w:ascii="黑体" w:hAnsi="黑体" w:eastAsia="黑体" w:cs="黑体"/>
          <w:b/>
          <w:bCs/>
          <w:spacing w:val="29"/>
          <w:sz w:val="24"/>
          <w:szCs w:val="24"/>
        </w:rPr>
        <w:t>信息收集工作的管理与监督要求</w:t>
      </w:r>
    </w:p>
    <w:p w14:paraId="6229342F">
      <w:pPr>
        <w:pStyle w:val="2"/>
        <w:spacing w:before="108" w:line="282" w:lineRule="auto"/>
        <w:ind w:firstLine="560"/>
      </w:pPr>
      <w:r>
        <w:rPr>
          <w:spacing w:val="1"/>
        </w:rPr>
        <w:t>明确信息收集工作的管理与监督要求，如定期对可靠</w:t>
      </w:r>
      <w:r>
        <w:t xml:space="preserve">性信息的收集、分析、 </w:t>
      </w:r>
      <w:r>
        <w:rPr>
          <w:spacing w:val="-3"/>
        </w:rPr>
        <w:t>存储、传递等工作进行评审的安排。</w:t>
      </w:r>
    </w:p>
    <w:p w14:paraId="660D627C">
      <w:pPr>
        <w:spacing w:before="10" w:line="221" w:lineRule="auto"/>
        <w:outlineLvl w:val="3"/>
        <w:rPr>
          <w:rFonts w:ascii="黑体" w:hAnsi="黑体" w:eastAsia="黑体" w:cs="黑体"/>
          <w:sz w:val="25"/>
          <w:szCs w:val="25"/>
        </w:rPr>
      </w:pPr>
      <w:r>
        <w:rPr>
          <w:rFonts w:ascii="Arial" w:hAnsi="Arial" w:eastAsia="Arial" w:cs="Arial"/>
          <w:b/>
          <w:bCs/>
          <w:spacing w:val="10"/>
          <w:sz w:val="25"/>
          <w:szCs w:val="25"/>
        </w:rPr>
        <w:t>5</w:t>
      </w:r>
      <w:r>
        <w:rPr>
          <w:rFonts w:ascii="Arial" w:hAnsi="Arial" w:eastAsia="Arial" w:cs="Arial"/>
          <w:b/>
          <w:bCs/>
          <w:spacing w:val="23"/>
          <w:sz w:val="25"/>
          <w:szCs w:val="25"/>
        </w:rPr>
        <w:t xml:space="preserve">   </w:t>
      </w:r>
      <w:r>
        <w:rPr>
          <w:rFonts w:ascii="黑体" w:hAnsi="黑体" w:eastAsia="黑体" w:cs="黑体"/>
          <w:b/>
          <w:bCs/>
          <w:spacing w:val="10"/>
          <w:sz w:val="25"/>
          <w:szCs w:val="25"/>
        </w:rPr>
        <w:t>信息收集的范围、方法和程序</w:t>
      </w:r>
    </w:p>
    <w:p w14:paraId="2A68091F">
      <w:pPr>
        <w:pStyle w:val="2"/>
        <w:spacing w:before="87" w:line="276" w:lineRule="auto"/>
        <w:ind w:right="99" w:firstLine="560"/>
        <w:jc w:val="both"/>
      </w:pPr>
      <w:r>
        <w:rPr>
          <w:spacing w:val="6"/>
        </w:rPr>
        <w:t>对可靠性评价及改进工作的信息需求进行分析，确定可靠性信息收集的范</w:t>
      </w:r>
      <w:r>
        <w:rPr>
          <w:spacing w:val="2"/>
        </w:rPr>
        <w:t xml:space="preserve"> </w:t>
      </w:r>
      <w:r>
        <w:rPr>
          <w:spacing w:val="-10"/>
        </w:rPr>
        <w:t>围、内容、方法和程序等。使用期间可靠性信息一般包括装备在使用、维修、贮存</w:t>
      </w:r>
      <w:r>
        <w:rPr>
          <w:spacing w:val="10"/>
        </w:rPr>
        <w:t xml:space="preserve"> </w:t>
      </w:r>
      <w:r>
        <w:rPr>
          <w:spacing w:val="-10"/>
        </w:rPr>
        <w:t>和运输等过程中产生的信息，主要有工作小时数、故障和维修信息、监测数据、使</w:t>
      </w:r>
      <w:r>
        <w:rPr>
          <w:spacing w:val="12"/>
        </w:rPr>
        <w:t xml:space="preserve"> </w:t>
      </w:r>
      <w:r>
        <w:t>用环境信息等。</w:t>
      </w:r>
    </w:p>
    <w:p w14:paraId="72BDE5A5">
      <w:pPr>
        <w:spacing w:before="1" w:line="220" w:lineRule="auto"/>
        <w:rPr>
          <w:rFonts w:ascii="黑体" w:hAnsi="黑体" w:eastAsia="黑体" w:cs="黑体"/>
          <w:sz w:val="27"/>
          <w:szCs w:val="27"/>
        </w:rPr>
      </w:pPr>
      <w:r>
        <w:rPr>
          <w:rFonts w:ascii="黑体" w:hAnsi="黑体" w:eastAsia="黑体" w:cs="黑体"/>
          <w:spacing w:val="-12"/>
          <w:sz w:val="27"/>
          <w:szCs w:val="27"/>
        </w:rPr>
        <w:t xml:space="preserve">6  </w:t>
      </w:r>
      <w:r>
        <w:rPr>
          <w:rFonts w:ascii="黑体" w:hAnsi="黑体" w:eastAsia="黑体" w:cs="黑体"/>
          <w:b/>
          <w:bCs/>
          <w:spacing w:val="-12"/>
          <w:sz w:val="27"/>
          <w:szCs w:val="27"/>
        </w:rPr>
        <w:t>信息分析、处理、传递的要求和方法</w:t>
      </w:r>
    </w:p>
    <w:p w14:paraId="6CF84C86">
      <w:pPr>
        <w:pStyle w:val="2"/>
        <w:spacing w:before="101" w:line="279" w:lineRule="auto"/>
        <w:ind w:right="117" w:firstLine="560"/>
      </w:pPr>
      <w:r>
        <w:rPr>
          <w:spacing w:val="-3"/>
        </w:rPr>
        <w:t>明确信息分析、处理、传递的程序。对使用和维修保障单位提出要求并规定</w:t>
      </w:r>
      <w:r>
        <w:rPr>
          <w:spacing w:val="5"/>
        </w:rPr>
        <w:t xml:space="preserve"> </w:t>
      </w:r>
      <w:r>
        <w:rPr>
          <w:spacing w:val="-10"/>
        </w:rPr>
        <w:t>程序，完整、准确地收集使用期间的可靠性信息。</w:t>
      </w:r>
    </w:p>
    <w:p w14:paraId="3BF9059C">
      <w:pPr>
        <w:spacing w:before="2" w:line="220"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14"/>
          <w:sz w:val="27"/>
          <w:szCs w:val="27"/>
        </w:rPr>
        <w:t xml:space="preserve">   </w:t>
      </w:r>
      <w:r>
        <w:rPr>
          <w:rFonts w:ascii="黑体" w:hAnsi="黑体" w:eastAsia="黑体" w:cs="黑体"/>
          <w:b/>
          <w:bCs/>
          <w:spacing w:val="1"/>
          <w:sz w:val="27"/>
          <w:szCs w:val="27"/>
        </w:rPr>
        <w:t>信息分类与故障判别准则</w:t>
      </w:r>
    </w:p>
    <w:p w14:paraId="11A2EEDD">
      <w:pPr>
        <w:pStyle w:val="2"/>
        <w:spacing w:before="83" w:line="219" w:lineRule="auto"/>
        <w:ind w:left="560"/>
      </w:pPr>
      <w:r>
        <w:rPr>
          <w:spacing w:val="3"/>
        </w:rPr>
        <w:t>明确可靠性信息分类的方法与故障判别准则。</w:t>
      </w:r>
    </w:p>
    <w:p w14:paraId="05916E93">
      <w:pPr>
        <w:spacing w:before="76" w:line="222" w:lineRule="auto"/>
        <w:rPr>
          <w:rFonts w:ascii="黑体" w:hAnsi="黑体" w:eastAsia="黑体" w:cs="黑体"/>
          <w:sz w:val="27"/>
          <w:szCs w:val="27"/>
        </w:rPr>
      </w:pPr>
      <w:r>
        <w:rPr>
          <w:rFonts w:ascii="黑体" w:hAnsi="黑体" w:eastAsia="黑体" w:cs="黑体"/>
          <w:spacing w:val="-10"/>
          <w:sz w:val="27"/>
          <w:szCs w:val="27"/>
        </w:rPr>
        <w:t xml:space="preserve">8  </w:t>
      </w:r>
      <w:r>
        <w:rPr>
          <w:rFonts w:ascii="黑体" w:hAnsi="黑体" w:eastAsia="黑体" w:cs="黑体"/>
          <w:b/>
          <w:bCs/>
          <w:spacing w:val="-10"/>
          <w:sz w:val="27"/>
          <w:szCs w:val="27"/>
        </w:rPr>
        <w:t>信息审核、汇总的安排</w:t>
      </w:r>
    </w:p>
    <w:p w14:paraId="57D39694">
      <w:pPr>
        <w:pStyle w:val="2"/>
        <w:spacing w:before="97" w:line="284" w:lineRule="auto"/>
        <w:ind w:right="112" w:firstLine="560"/>
      </w:pPr>
      <w:r>
        <w:rPr>
          <w:spacing w:val="-11"/>
        </w:rPr>
        <w:t>按规定的方法、方式、内容和时限，分析和存储可靠性信息，定期进行信息审</w:t>
      </w:r>
      <w:r>
        <w:rPr>
          <w:spacing w:val="15"/>
        </w:rPr>
        <w:t xml:space="preserve"> </w:t>
      </w:r>
      <w:r>
        <w:rPr>
          <w:spacing w:val="-20"/>
        </w:rPr>
        <w:t>核、汇总。</w:t>
      </w:r>
    </w:p>
    <w:p w14:paraId="03368887">
      <w:pPr>
        <w:pStyle w:val="2"/>
        <w:spacing w:before="340" w:line="219" w:lineRule="auto"/>
        <w:ind w:left="1599"/>
        <w:outlineLvl w:val="1"/>
        <w:rPr>
          <w:sz w:val="36"/>
          <w:szCs w:val="36"/>
        </w:rPr>
      </w:pPr>
      <w:r>
        <w:rPr>
          <w:rFonts w:ascii="Times New Roman" w:hAnsi="Times New Roman" w:eastAsia="Times New Roman" w:cs="Times New Roman"/>
          <w:b/>
          <w:bCs/>
          <w:spacing w:val="2"/>
          <w:sz w:val="36"/>
          <w:szCs w:val="36"/>
        </w:rPr>
        <w:t>7.28</w:t>
      </w:r>
      <w:r>
        <w:rPr>
          <w:rFonts w:ascii="Times New Roman" w:hAnsi="Times New Roman" w:eastAsia="Times New Roman" w:cs="Times New Roman"/>
          <w:b/>
          <w:bCs/>
          <w:spacing w:val="4"/>
          <w:sz w:val="36"/>
          <w:szCs w:val="36"/>
        </w:rPr>
        <w:t xml:space="preserve">     </w:t>
      </w:r>
      <w:r>
        <w:rPr>
          <w:b/>
          <w:bCs/>
          <w:spacing w:val="2"/>
          <w:sz w:val="36"/>
          <w:szCs w:val="36"/>
        </w:rPr>
        <w:t>使用期间可靠性信息分类与编码</w:t>
      </w:r>
    </w:p>
    <w:p w14:paraId="2BFFADD6">
      <w:pPr>
        <w:spacing w:line="347" w:lineRule="auto"/>
        <w:rPr>
          <w:rFonts w:ascii="Arial"/>
          <w:sz w:val="21"/>
        </w:rPr>
      </w:pPr>
    </w:p>
    <w:p w14:paraId="104F1E30">
      <w:pPr>
        <w:pStyle w:val="2"/>
        <w:spacing w:before="88" w:line="226" w:lineRule="auto"/>
        <w:ind w:left="563"/>
        <w:rPr>
          <w:rFonts w:ascii="楷体" w:hAnsi="楷体" w:eastAsia="楷体" w:cs="楷体"/>
        </w:rPr>
      </w:pPr>
      <w:r>
        <w:rPr>
          <w:rFonts w:ascii="楷体" w:hAnsi="楷体" w:eastAsia="楷体" w:cs="楷体"/>
          <w:b/>
          <w:bCs/>
          <w:spacing w:val="-4"/>
        </w:rPr>
        <w:t>按照</w:t>
      </w:r>
      <w:r>
        <w:rPr>
          <w:rFonts w:ascii="Times New Roman" w:hAnsi="Times New Roman" w:eastAsia="Times New Roman" w:cs="Times New Roman"/>
          <w:b/>
          <w:bCs/>
          <w:spacing w:val="-4"/>
        </w:rPr>
        <w:t>GJB 1775—1993</w:t>
      </w:r>
      <w:r>
        <w:rPr>
          <w:b/>
          <w:bCs/>
          <w:spacing w:val="-4"/>
        </w:rPr>
        <w:t>《</w:t>
      </w:r>
      <w:r>
        <w:rPr>
          <w:rFonts w:ascii="楷体" w:hAnsi="楷体" w:eastAsia="楷体" w:cs="楷体"/>
          <w:b/>
          <w:bCs/>
          <w:spacing w:val="-4"/>
        </w:rPr>
        <w:t>装备质量与可靠性</w:t>
      </w:r>
      <w:r>
        <w:rPr>
          <w:rFonts w:ascii="楷体" w:hAnsi="楷体" w:eastAsia="楷体" w:cs="楷体"/>
          <w:b/>
          <w:bCs/>
          <w:spacing w:val="-5"/>
        </w:rPr>
        <w:t>信息分类和编码通用要求》编写。</w:t>
      </w:r>
    </w:p>
    <w:p w14:paraId="7352C894">
      <w:pPr>
        <w:spacing w:before="73"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11"/>
          <w:sz w:val="27"/>
          <w:szCs w:val="27"/>
        </w:rPr>
        <w:t xml:space="preserve">  </w:t>
      </w:r>
      <w:r>
        <w:rPr>
          <w:rFonts w:ascii="黑体" w:hAnsi="黑体" w:eastAsia="黑体" w:cs="黑体"/>
          <w:b/>
          <w:bCs/>
          <w:spacing w:val="-13"/>
          <w:sz w:val="27"/>
          <w:szCs w:val="27"/>
        </w:rPr>
        <w:t>范围</w:t>
      </w:r>
    </w:p>
    <w:p w14:paraId="20F8384E">
      <w:pPr>
        <w:spacing w:before="82" w:line="222" w:lineRule="auto"/>
        <w:rPr>
          <w:rFonts w:ascii="黑体" w:hAnsi="黑体" w:eastAsia="黑体" w:cs="黑体"/>
          <w:sz w:val="27"/>
          <w:szCs w:val="27"/>
        </w:rPr>
      </w:pPr>
      <w:r>
        <w:rPr>
          <w:rFonts w:ascii="黑体" w:hAnsi="黑体" w:eastAsia="黑体" w:cs="黑体"/>
          <w:sz w:val="27"/>
          <w:szCs w:val="27"/>
        </w:rPr>
        <w:t xml:space="preserve">2  </w:t>
      </w:r>
      <w:r>
        <w:rPr>
          <w:rFonts w:ascii="黑体" w:hAnsi="黑体" w:eastAsia="黑体" w:cs="黑体"/>
          <w:b/>
          <w:bCs/>
          <w:sz w:val="27"/>
          <w:szCs w:val="27"/>
        </w:rPr>
        <w:t>引用文件</w:t>
      </w:r>
    </w:p>
    <w:p w14:paraId="07B1A708">
      <w:pPr>
        <w:spacing w:before="84" w:line="221" w:lineRule="auto"/>
        <w:rPr>
          <w:rFonts w:ascii="黑体" w:hAnsi="黑体" w:eastAsia="黑体" w:cs="黑体"/>
          <w:sz w:val="27"/>
          <w:szCs w:val="27"/>
        </w:rPr>
      </w:pPr>
      <w:r>
        <w:rPr>
          <w:rFonts w:ascii="Arial" w:hAnsi="Arial" w:eastAsia="Arial" w:cs="Arial"/>
          <w:b/>
          <w:bCs/>
          <w:spacing w:val="-1"/>
          <w:sz w:val="27"/>
          <w:szCs w:val="27"/>
        </w:rPr>
        <w:t>3</w:t>
      </w:r>
      <w:r>
        <w:rPr>
          <w:rFonts w:ascii="Arial" w:hAnsi="Arial" w:eastAsia="Arial" w:cs="Arial"/>
          <w:b/>
          <w:bCs/>
          <w:spacing w:val="13"/>
          <w:sz w:val="27"/>
          <w:szCs w:val="27"/>
        </w:rPr>
        <w:t xml:space="preserve">   </w:t>
      </w:r>
      <w:r>
        <w:rPr>
          <w:rFonts w:ascii="黑体" w:hAnsi="黑体" w:eastAsia="黑体" w:cs="黑体"/>
          <w:b/>
          <w:bCs/>
          <w:spacing w:val="-1"/>
          <w:sz w:val="27"/>
          <w:szCs w:val="27"/>
        </w:rPr>
        <w:t>信息分类</w:t>
      </w:r>
    </w:p>
    <w:p w14:paraId="4AF281F6">
      <w:pPr>
        <w:pStyle w:val="2"/>
        <w:spacing w:before="102" w:line="290" w:lineRule="auto"/>
        <w:ind w:right="113" w:firstLine="560"/>
      </w:pPr>
      <w:r>
        <w:rPr>
          <w:spacing w:val="6"/>
        </w:rPr>
        <w:t>在进行使用期间可靠性信息需求分析的基础</w:t>
      </w:r>
      <w:r>
        <w:rPr>
          <w:spacing w:val="5"/>
        </w:rPr>
        <w:t>上，依据该类武器装备制定的</w:t>
      </w:r>
      <w:r>
        <w:t xml:space="preserve"> </w:t>
      </w:r>
      <w:r>
        <w:rPr>
          <w:spacing w:val="-1"/>
        </w:rPr>
        <w:t>有关质量与可靠性信息分类和编码的标准，合理地进行信息分类。</w:t>
      </w:r>
    </w:p>
    <w:p w14:paraId="5F5EC530">
      <w:pPr>
        <w:spacing w:line="290" w:lineRule="auto"/>
        <w:sectPr>
          <w:footerReference r:id="rId399" w:type="default"/>
          <w:pgSz w:w="11910" w:h="17130"/>
          <w:pgMar w:top="1456" w:right="805" w:bottom="1746" w:left="1609" w:header="0" w:footer="1556" w:gutter="0"/>
          <w:cols w:space="720" w:num="1"/>
        </w:sectPr>
      </w:pPr>
    </w:p>
    <w:p w14:paraId="7B9C2197">
      <w:pPr>
        <w:spacing w:before="54" w:line="222" w:lineRule="auto"/>
        <w:outlineLvl w:val="3"/>
        <w:rPr>
          <w:rFonts w:ascii="黑体" w:hAnsi="黑体" w:eastAsia="黑体" w:cs="黑体"/>
          <w:sz w:val="27"/>
          <w:szCs w:val="27"/>
        </w:rPr>
      </w:pPr>
      <w:r>
        <w:rPr>
          <w:rFonts w:ascii="Arial" w:hAnsi="Arial" w:eastAsia="Arial" w:cs="Arial"/>
          <w:b/>
          <w:bCs/>
          <w:spacing w:val="2"/>
          <w:sz w:val="27"/>
          <w:szCs w:val="27"/>
        </w:rPr>
        <w:t>4</w:t>
      </w:r>
      <w:r>
        <w:rPr>
          <w:rFonts w:ascii="Arial" w:hAnsi="Arial" w:eastAsia="Arial" w:cs="Arial"/>
          <w:b/>
          <w:bCs/>
          <w:spacing w:val="13"/>
          <w:sz w:val="27"/>
          <w:szCs w:val="27"/>
        </w:rPr>
        <w:t xml:space="preserve">   </w:t>
      </w:r>
      <w:r>
        <w:rPr>
          <w:rFonts w:ascii="黑体" w:hAnsi="黑体" w:eastAsia="黑体" w:cs="黑体"/>
          <w:b/>
          <w:bCs/>
          <w:spacing w:val="2"/>
          <w:sz w:val="27"/>
          <w:szCs w:val="27"/>
        </w:rPr>
        <w:t>信息单元的设置</w:t>
      </w:r>
    </w:p>
    <w:p w14:paraId="35660FC0">
      <w:pPr>
        <w:pStyle w:val="2"/>
        <w:spacing w:before="70" w:line="282" w:lineRule="auto"/>
        <w:ind w:right="105" w:firstLine="560"/>
        <w:jc w:val="both"/>
      </w:pPr>
      <w:r>
        <w:rPr>
          <w:spacing w:val="6"/>
        </w:rPr>
        <w:t>依据该类武器装备制定的有关质量与可靠性信息分类和编码的标</w:t>
      </w:r>
      <w:r>
        <w:rPr>
          <w:spacing w:val="5"/>
        </w:rPr>
        <w:t>准，其中</w:t>
      </w:r>
      <w:r>
        <w:t xml:space="preserve"> </w:t>
      </w:r>
      <w:r>
        <w:rPr>
          <w:spacing w:val="5"/>
        </w:rPr>
        <w:t>对所需设置的信息单元的要求和规定进行信息单元的设置，在满足信息需求的</w:t>
      </w:r>
      <w:r>
        <w:rPr>
          <w:spacing w:val="10"/>
        </w:rPr>
        <w:t xml:space="preserve"> </w:t>
      </w:r>
      <w:r>
        <w:rPr>
          <w:spacing w:val="-5"/>
        </w:rPr>
        <w:t>前提下，尽量减少信息单元的数量。</w:t>
      </w:r>
    </w:p>
    <w:p w14:paraId="72E0DE64">
      <w:pPr>
        <w:spacing w:line="223" w:lineRule="auto"/>
        <w:rPr>
          <w:rFonts w:ascii="黑体" w:hAnsi="黑体" w:eastAsia="黑体" w:cs="黑体"/>
          <w:sz w:val="27"/>
          <w:szCs w:val="27"/>
        </w:rPr>
      </w:pPr>
      <w:r>
        <w:rPr>
          <w:rFonts w:ascii="黑体" w:hAnsi="黑体" w:eastAsia="黑体" w:cs="黑体"/>
          <w:spacing w:val="2"/>
          <w:sz w:val="27"/>
          <w:szCs w:val="27"/>
        </w:rPr>
        <w:t xml:space="preserve">4.1  </w:t>
      </w:r>
      <w:r>
        <w:rPr>
          <w:rFonts w:ascii="黑体" w:hAnsi="黑体" w:eastAsia="黑体" w:cs="黑体"/>
          <w:b/>
          <w:bCs/>
          <w:spacing w:val="2"/>
          <w:sz w:val="27"/>
          <w:szCs w:val="27"/>
        </w:rPr>
        <w:t>与故障有关的信息单元</w:t>
      </w:r>
    </w:p>
    <w:p w14:paraId="0F656EE5">
      <w:pPr>
        <w:pStyle w:val="2"/>
        <w:spacing w:before="77" w:line="219" w:lineRule="auto"/>
        <w:ind w:left="560"/>
      </w:pPr>
      <w:r>
        <w:t>与产品故障有关的信息单元至少应有：</w:t>
      </w:r>
    </w:p>
    <w:p w14:paraId="4EC5669E">
      <w:pPr>
        <w:pStyle w:val="2"/>
        <w:spacing w:before="79" w:line="219" w:lineRule="auto"/>
        <w:ind w:left="560"/>
      </w:pPr>
      <w:r>
        <w:rPr>
          <w:spacing w:val="-10"/>
        </w:rPr>
        <w:t>故障模式，即故障现象。故障的表现形式，如超差代用，修补等。</w:t>
      </w:r>
    </w:p>
    <w:p w14:paraId="71F1AFB2">
      <w:pPr>
        <w:pStyle w:val="2"/>
        <w:spacing w:before="109" w:line="219" w:lineRule="auto"/>
        <w:ind w:left="560"/>
      </w:pPr>
      <w:r>
        <w:rPr>
          <w:spacing w:val="-13"/>
        </w:rPr>
        <w:t>故障发现日期，即发现故障的日历时间(年、月、日)。</w:t>
      </w:r>
    </w:p>
    <w:p w14:paraId="2C687D57">
      <w:pPr>
        <w:pStyle w:val="2"/>
        <w:spacing w:before="77" w:line="281" w:lineRule="auto"/>
        <w:ind w:firstLine="560"/>
      </w:pPr>
      <w:r>
        <w:rPr>
          <w:spacing w:val="-7"/>
        </w:rPr>
        <w:t>故障发现时机，指故障是在什么情况或状态下发现的，如</w:t>
      </w:r>
      <w:r>
        <w:rPr>
          <w:spacing w:val="-8"/>
        </w:rPr>
        <w:t>在检查中、使用中、</w:t>
      </w:r>
      <w:r>
        <w:t xml:space="preserve"> </w:t>
      </w:r>
      <w:r>
        <w:rPr>
          <w:spacing w:val="-3"/>
        </w:rPr>
        <w:t>维护中等。</w:t>
      </w:r>
    </w:p>
    <w:p w14:paraId="340D7539">
      <w:pPr>
        <w:pStyle w:val="2"/>
        <w:spacing w:before="1" w:line="219" w:lineRule="auto"/>
        <w:ind w:left="560"/>
      </w:pPr>
      <w:r>
        <w:rPr>
          <w:spacing w:val="-3"/>
        </w:rPr>
        <w:t>故障前工作时间，即产品故障前的累计工作时间。</w:t>
      </w:r>
    </w:p>
    <w:p w14:paraId="107B9984">
      <w:pPr>
        <w:pStyle w:val="2"/>
        <w:spacing w:before="68" w:line="219" w:lineRule="auto"/>
        <w:ind w:left="560"/>
      </w:pPr>
      <w:r>
        <w:rPr>
          <w:spacing w:val="-2"/>
        </w:rPr>
        <w:t>故障判明方法，即鉴别或查出故障所采取的措施或</w:t>
      </w:r>
      <w:r>
        <w:rPr>
          <w:spacing w:val="-3"/>
        </w:rPr>
        <w:t>手段。</w:t>
      </w:r>
    </w:p>
    <w:p w14:paraId="5435CF07">
      <w:pPr>
        <w:pStyle w:val="2"/>
        <w:spacing w:before="81" w:line="219" w:lineRule="auto"/>
        <w:ind w:left="560"/>
      </w:pPr>
      <w:r>
        <w:rPr>
          <w:spacing w:val="-14"/>
        </w:rPr>
        <w:t>故障原因，即导致故障发生的因素，如虚焊、老化等。</w:t>
      </w:r>
    </w:p>
    <w:p w14:paraId="117BD137">
      <w:pPr>
        <w:pStyle w:val="2"/>
        <w:spacing w:before="99" w:line="280" w:lineRule="auto"/>
        <w:ind w:right="107" w:firstLine="560"/>
      </w:pPr>
      <w:r>
        <w:rPr>
          <w:spacing w:val="-3"/>
        </w:rPr>
        <w:t>故障影响，故障对产品的使用、功能或状态所导致的结果。一般分为对产品</w:t>
      </w:r>
      <w:r>
        <w:rPr>
          <w:spacing w:val="15"/>
        </w:rPr>
        <w:t xml:space="preserve"> </w:t>
      </w:r>
      <w:r>
        <w:rPr>
          <w:spacing w:val="-7"/>
        </w:rPr>
        <w:t>本身、高一层次和最终影响三级。</w:t>
      </w:r>
    </w:p>
    <w:p w14:paraId="3A761873">
      <w:pPr>
        <w:pStyle w:val="2"/>
        <w:spacing w:before="1" w:line="218" w:lineRule="auto"/>
        <w:ind w:left="560"/>
        <w:rPr>
          <w:sz w:val="25"/>
          <w:szCs w:val="25"/>
        </w:rPr>
      </w:pPr>
      <w:r>
        <w:rPr>
          <w:spacing w:val="4"/>
          <w:sz w:val="25"/>
          <w:szCs w:val="25"/>
        </w:rPr>
        <w:t>故障处理，即对故障产品所采取的措施，如换件、调整、修复等。</w:t>
      </w:r>
    </w:p>
    <w:p w14:paraId="29669C9A">
      <w:pPr>
        <w:pStyle w:val="2"/>
        <w:spacing w:before="96" w:line="279" w:lineRule="auto"/>
        <w:ind w:right="113" w:firstLine="560"/>
      </w:pPr>
      <w:r>
        <w:rPr>
          <w:spacing w:val="6"/>
        </w:rPr>
        <w:t>故障责任，指引起故障的责任单位或责任人。</w:t>
      </w:r>
      <w:r>
        <w:rPr>
          <w:spacing w:val="5"/>
        </w:rPr>
        <w:t>如果是产品本身问题引起的</w:t>
      </w:r>
      <w:r>
        <w:t xml:space="preserve"> </w:t>
      </w:r>
      <w:r>
        <w:rPr>
          <w:spacing w:val="-2"/>
        </w:rPr>
        <w:t>故障，责任单位为产品的承制单位；如果是产品使用不</w:t>
      </w:r>
      <w:r>
        <w:rPr>
          <w:spacing w:val="-3"/>
        </w:rPr>
        <w:t>当引起的故障，责任单位</w:t>
      </w:r>
      <w:r>
        <w:t xml:space="preserve"> 为使用单位。</w:t>
      </w:r>
    </w:p>
    <w:p w14:paraId="5965A78B">
      <w:pPr>
        <w:spacing w:before="1" w:line="221" w:lineRule="auto"/>
        <w:rPr>
          <w:rFonts w:ascii="黑体" w:hAnsi="黑体" w:eastAsia="黑体" w:cs="黑体"/>
          <w:sz w:val="27"/>
          <w:szCs w:val="27"/>
        </w:rPr>
      </w:pPr>
      <w:r>
        <w:rPr>
          <w:rFonts w:ascii="黑体" w:hAnsi="黑体" w:eastAsia="黑体" w:cs="黑体"/>
          <w:spacing w:val="1"/>
          <w:sz w:val="27"/>
          <w:szCs w:val="27"/>
        </w:rPr>
        <w:t>4.2</w:t>
      </w:r>
      <w:r>
        <w:rPr>
          <w:rFonts w:ascii="黑体" w:hAnsi="黑体" w:eastAsia="黑体" w:cs="黑体"/>
          <w:spacing w:val="21"/>
          <w:sz w:val="27"/>
          <w:szCs w:val="27"/>
        </w:rPr>
        <w:t xml:space="preserve">  </w:t>
      </w:r>
      <w:r>
        <w:rPr>
          <w:rFonts w:ascii="黑体" w:hAnsi="黑体" w:eastAsia="黑体" w:cs="黑体"/>
          <w:b/>
          <w:bCs/>
          <w:spacing w:val="1"/>
          <w:sz w:val="27"/>
          <w:szCs w:val="27"/>
        </w:rPr>
        <w:t>与维修有关的信息单元</w:t>
      </w:r>
    </w:p>
    <w:p w14:paraId="4B6045DC">
      <w:pPr>
        <w:pStyle w:val="2"/>
        <w:spacing w:before="101" w:line="219" w:lineRule="auto"/>
        <w:ind w:left="560"/>
      </w:pPr>
      <w:r>
        <w:t>与产品维修有关的信息单元至少应有：</w:t>
      </w:r>
    </w:p>
    <w:p w14:paraId="0740F854">
      <w:pPr>
        <w:pStyle w:val="2"/>
        <w:spacing w:before="109" w:line="304" w:lineRule="auto"/>
        <w:ind w:right="124" w:firstLine="560"/>
        <w:rPr>
          <w:sz w:val="24"/>
          <w:szCs w:val="24"/>
        </w:rPr>
      </w:pPr>
      <w:r>
        <w:rPr>
          <w:spacing w:val="27"/>
          <w:sz w:val="24"/>
          <w:szCs w:val="24"/>
        </w:rPr>
        <w:t>维修类别，即分为预防性维修和修复性维修。通常定时维修、视情维修</w:t>
      </w:r>
      <w:r>
        <w:rPr>
          <w:spacing w:val="26"/>
          <w:sz w:val="24"/>
          <w:szCs w:val="24"/>
        </w:rPr>
        <w:t>属预</w:t>
      </w:r>
      <w:r>
        <w:rPr>
          <w:sz w:val="24"/>
          <w:szCs w:val="24"/>
        </w:rPr>
        <w:t xml:space="preserve"> </w:t>
      </w:r>
      <w:r>
        <w:rPr>
          <w:spacing w:val="23"/>
          <w:sz w:val="24"/>
          <w:szCs w:val="24"/>
        </w:rPr>
        <w:t>防性维修，故障修理属修复性维修。</w:t>
      </w:r>
    </w:p>
    <w:p w14:paraId="52952BB3">
      <w:pPr>
        <w:pStyle w:val="2"/>
        <w:spacing w:before="3" w:line="278" w:lineRule="auto"/>
        <w:ind w:right="123" w:firstLine="560"/>
      </w:pPr>
      <w:r>
        <w:rPr>
          <w:spacing w:val="5"/>
        </w:rPr>
        <w:t>维修级别，即按产品维修时所处场所划分的等级，如基层级、中继级和基</w:t>
      </w:r>
      <w:r>
        <w:rPr>
          <w:spacing w:val="10"/>
        </w:rPr>
        <w:t xml:space="preserve"> </w:t>
      </w:r>
      <w:r>
        <w:rPr>
          <w:spacing w:val="-2"/>
        </w:rPr>
        <w:t>地级。</w:t>
      </w:r>
    </w:p>
    <w:p w14:paraId="6EF94D94">
      <w:pPr>
        <w:pStyle w:val="2"/>
        <w:spacing w:before="3" w:line="275" w:lineRule="auto"/>
        <w:ind w:right="115" w:firstLine="560"/>
      </w:pPr>
      <w:r>
        <w:rPr>
          <w:spacing w:val="-3"/>
        </w:rPr>
        <w:t>维修内容，即使产品保持或恢复到规定状态所进行的活动，即维修活动，它</w:t>
      </w:r>
      <w:r>
        <w:rPr>
          <w:spacing w:val="7"/>
        </w:rPr>
        <w:t xml:space="preserve"> </w:t>
      </w:r>
      <w:r>
        <w:rPr>
          <w:spacing w:val="2"/>
        </w:rPr>
        <w:t>包括所需的一系列基本维修作业。</w:t>
      </w:r>
    </w:p>
    <w:p w14:paraId="42DED5B5">
      <w:pPr>
        <w:pStyle w:val="2"/>
        <w:spacing w:before="35" w:line="296" w:lineRule="auto"/>
        <w:ind w:right="123" w:firstLine="560"/>
        <w:rPr>
          <w:sz w:val="25"/>
          <w:szCs w:val="25"/>
        </w:rPr>
      </w:pPr>
      <w:r>
        <w:rPr>
          <w:spacing w:val="17"/>
          <w:sz w:val="25"/>
          <w:szCs w:val="25"/>
        </w:rPr>
        <w:t>维修程度，即指产品维修的效果，包括维护程度和修理程度，而修理程</w:t>
      </w:r>
      <w:r>
        <w:rPr>
          <w:spacing w:val="16"/>
          <w:sz w:val="25"/>
          <w:szCs w:val="25"/>
        </w:rPr>
        <w:t>度可</w:t>
      </w:r>
      <w:r>
        <w:rPr>
          <w:sz w:val="25"/>
          <w:szCs w:val="25"/>
        </w:rPr>
        <w:t xml:space="preserve"> </w:t>
      </w:r>
      <w:r>
        <w:rPr>
          <w:spacing w:val="16"/>
          <w:sz w:val="25"/>
          <w:szCs w:val="25"/>
        </w:rPr>
        <w:t>进一步分为完全修复、基本修复和未修复。</w:t>
      </w:r>
    </w:p>
    <w:p w14:paraId="615310C1">
      <w:pPr>
        <w:pStyle w:val="2"/>
        <w:spacing w:line="219" w:lineRule="auto"/>
        <w:ind w:left="560"/>
      </w:pPr>
      <w:r>
        <w:rPr>
          <w:spacing w:val="-10"/>
        </w:rPr>
        <w:t>维修日期，即完成产品维护或修理的日历时间(年</w:t>
      </w:r>
      <w:r>
        <w:rPr>
          <w:spacing w:val="-11"/>
        </w:rPr>
        <w:t>、月、日)。</w:t>
      </w:r>
    </w:p>
    <w:p w14:paraId="461D179F">
      <w:pPr>
        <w:pStyle w:val="2"/>
        <w:spacing w:before="80" w:line="219" w:lineRule="auto"/>
        <w:ind w:left="560"/>
      </w:pPr>
      <w:r>
        <w:rPr>
          <w:spacing w:val="-1"/>
        </w:rPr>
        <w:t>维修时间，即对产品进行一次维护或修理所花费的总时间。</w:t>
      </w:r>
    </w:p>
    <w:p w14:paraId="62C33A65">
      <w:pPr>
        <w:pStyle w:val="2"/>
        <w:spacing w:before="90" w:line="219" w:lineRule="auto"/>
        <w:ind w:left="560"/>
      </w:pPr>
      <w:r>
        <w:rPr>
          <w:spacing w:val="-2"/>
        </w:rPr>
        <w:t>维修工时，即对产品进行一次维护或修理所花费的总人时数。</w:t>
      </w:r>
    </w:p>
    <w:p w14:paraId="080A775D">
      <w:pPr>
        <w:pStyle w:val="2"/>
        <w:spacing w:before="89" w:line="219" w:lineRule="auto"/>
        <w:ind w:left="560"/>
      </w:pPr>
      <w:r>
        <w:rPr>
          <w:spacing w:val="-2"/>
        </w:rPr>
        <w:t>维修费用，即对产品进行一次维护或修理所花费的总费用。</w:t>
      </w:r>
    </w:p>
    <w:p w14:paraId="2D00D344">
      <w:pPr>
        <w:pStyle w:val="2"/>
        <w:spacing w:before="90" w:line="219" w:lineRule="auto"/>
        <w:ind w:left="560"/>
        <w:rPr>
          <w:spacing w:val="-4"/>
        </w:rPr>
      </w:pPr>
      <w:r>
        <w:rPr>
          <w:spacing w:val="-4"/>
        </w:rPr>
        <w:t>维修单位，即承担产品维护或修理任务的单位。</w:t>
      </w:r>
    </w:p>
    <w:p w14:paraId="54106455">
      <w:pPr>
        <w:rPr>
          <w:spacing w:val="-4"/>
        </w:rPr>
      </w:pPr>
      <w:r>
        <w:rPr>
          <w:spacing w:val="-4"/>
        </w:rPr>
        <w:br w:type="page"/>
      </w:r>
    </w:p>
    <w:p w14:paraId="6FC104B0">
      <w:pPr>
        <w:pStyle w:val="2"/>
        <w:spacing w:before="54" w:line="219" w:lineRule="auto"/>
        <w:ind w:left="560"/>
      </w:pPr>
      <w:r>
        <w:rPr>
          <w:spacing w:val="-1"/>
        </w:rPr>
        <w:t>维修人员级别，即对产品进行维护或修理的人员的技术级别。</w:t>
      </w:r>
    </w:p>
    <w:p w14:paraId="29073820">
      <w:pPr>
        <w:spacing w:before="39" w:line="368" w:lineRule="exact"/>
        <w:rPr>
          <w:rFonts w:ascii="黑体" w:hAnsi="黑体" w:eastAsia="黑体" w:cs="黑体"/>
          <w:sz w:val="27"/>
          <w:szCs w:val="27"/>
        </w:rPr>
      </w:pPr>
      <w:r>
        <w:rPr>
          <w:rFonts w:ascii="Arial" w:hAnsi="Arial" w:eastAsia="Arial" w:cs="Arial"/>
          <w:spacing w:val="4"/>
          <w:position w:val="1"/>
          <w:sz w:val="27"/>
          <w:szCs w:val="27"/>
        </w:rPr>
        <w:t xml:space="preserve">4.3    </w:t>
      </w:r>
      <w:r>
        <w:rPr>
          <w:rFonts w:ascii="黑体" w:hAnsi="黑体" w:eastAsia="黑体" w:cs="黑体"/>
          <w:spacing w:val="4"/>
          <w:position w:val="1"/>
          <w:sz w:val="27"/>
          <w:szCs w:val="27"/>
        </w:rPr>
        <w:t>与使用环境有关的信息单元</w:t>
      </w:r>
    </w:p>
    <w:p w14:paraId="24F72EAB">
      <w:pPr>
        <w:pStyle w:val="2"/>
        <w:spacing w:before="99" w:line="307" w:lineRule="auto"/>
        <w:ind w:right="124" w:firstLine="560"/>
        <w:rPr>
          <w:sz w:val="25"/>
          <w:szCs w:val="25"/>
        </w:rPr>
      </w:pPr>
      <w:r>
        <w:rPr>
          <w:spacing w:val="25"/>
          <w:sz w:val="25"/>
          <w:szCs w:val="25"/>
        </w:rPr>
        <w:t>与使用环境有关的信息单元至少应有与产品工作有关的任务环境，如气候</w:t>
      </w:r>
      <w:r>
        <w:rPr>
          <w:sz w:val="25"/>
          <w:szCs w:val="25"/>
        </w:rPr>
        <w:t xml:space="preserve"> </w:t>
      </w:r>
      <w:r>
        <w:rPr>
          <w:spacing w:val="8"/>
          <w:sz w:val="25"/>
          <w:szCs w:val="25"/>
        </w:rPr>
        <w:t>条件(包括温度、湿度等)、机械条件(包括振动、冲击等)等。</w:t>
      </w:r>
    </w:p>
    <w:p w14:paraId="5727F343">
      <w:pPr>
        <w:spacing w:line="223" w:lineRule="auto"/>
        <w:rPr>
          <w:rFonts w:ascii="黑体" w:hAnsi="黑体" w:eastAsia="黑体" w:cs="黑体"/>
          <w:sz w:val="24"/>
          <w:szCs w:val="24"/>
        </w:rPr>
      </w:pPr>
      <w:r>
        <w:rPr>
          <w:rFonts w:ascii="黑体" w:hAnsi="黑体" w:eastAsia="黑体" w:cs="黑体"/>
          <w:spacing w:val="26"/>
          <w:sz w:val="24"/>
          <w:szCs w:val="24"/>
        </w:rPr>
        <w:t>4.4</w:t>
      </w:r>
      <w:r>
        <w:rPr>
          <w:rFonts w:ascii="黑体" w:hAnsi="黑体" w:eastAsia="黑体" w:cs="黑体"/>
          <w:spacing w:val="51"/>
          <w:sz w:val="24"/>
          <w:szCs w:val="24"/>
        </w:rPr>
        <w:t xml:space="preserve">  </w:t>
      </w:r>
      <w:r>
        <w:rPr>
          <w:rFonts w:ascii="黑体" w:hAnsi="黑体" w:eastAsia="黑体" w:cs="黑体"/>
          <w:spacing w:val="26"/>
          <w:sz w:val="24"/>
          <w:szCs w:val="24"/>
        </w:rPr>
        <w:t>与××有关的信息单元</w:t>
      </w:r>
    </w:p>
    <w:p w14:paraId="7E6B82AC">
      <w:pPr>
        <w:pStyle w:val="2"/>
        <w:spacing w:before="90" w:line="219" w:lineRule="auto"/>
        <w:ind w:left="560"/>
      </w:pPr>
      <w:r>
        <w:rPr>
          <w:spacing w:val="-2"/>
        </w:rPr>
        <w:t>根据信息需求分析的结果，设置与××有关的信息单元。</w:t>
      </w:r>
    </w:p>
    <w:p w14:paraId="322E2049">
      <w:pPr>
        <w:spacing w:before="74" w:line="327" w:lineRule="exact"/>
        <w:rPr>
          <w:rFonts w:ascii="黑体" w:hAnsi="黑体" w:eastAsia="黑体" w:cs="黑体"/>
          <w:sz w:val="24"/>
          <w:szCs w:val="24"/>
        </w:rPr>
      </w:pPr>
      <w:r>
        <w:rPr>
          <w:rFonts w:ascii="Arial" w:hAnsi="Arial" w:eastAsia="Arial" w:cs="Arial"/>
          <w:spacing w:val="29"/>
          <w:position w:val="1"/>
          <w:sz w:val="24"/>
          <w:szCs w:val="24"/>
        </w:rPr>
        <w:t>5</w:t>
      </w:r>
      <w:r>
        <w:rPr>
          <w:rFonts w:ascii="Arial" w:hAnsi="Arial" w:eastAsia="Arial" w:cs="Arial"/>
          <w:spacing w:val="7"/>
          <w:position w:val="1"/>
          <w:sz w:val="24"/>
          <w:szCs w:val="24"/>
        </w:rPr>
        <w:t xml:space="preserve">    </w:t>
      </w:r>
      <w:r>
        <w:rPr>
          <w:rFonts w:ascii="黑体" w:hAnsi="黑体" w:eastAsia="黑体" w:cs="黑体"/>
          <w:spacing w:val="29"/>
          <w:position w:val="1"/>
          <w:sz w:val="24"/>
          <w:szCs w:val="24"/>
        </w:rPr>
        <w:t>信息项的预置</w:t>
      </w:r>
    </w:p>
    <w:p w14:paraId="47C7499E">
      <w:pPr>
        <w:pStyle w:val="2"/>
        <w:spacing w:before="80" w:line="278" w:lineRule="auto"/>
        <w:ind w:right="105" w:firstLine="560"/>
        <w:jc w:val="both"/>
      </w:pPr>
      <w:r>
        <w:rPr>
          <w:spacing w:val="5"/>
        </w:rPr>
        <w:t>依据该类武器装备制定的有关质量与可靠性信息分类和编码的标准，其中</w:t>
      </w:r>
      <w:r>
        <w:rPr>
          <w:spacing w:val="18"/>
        </w:rPr>
        <w:t xml:space="preserve"> </w:t>
      </w:r>
      <w:r>
        <w:rPr>
          <w:spacing w:val="-2"/>
        </w:rPr>
        <w:t>对预置信息项的要求和规定，对所设置的信息单元</w:t>
      </w:r>
      <w:r>
        <w:rPr>
          <w:spacing w:val="-3"/>
        </w:rPr>
        <w:t>预置一系列的信息项，并对信</w:t>
      </w:r>
      <w:r>
        <w:t xml:space="preserve"> </w:t>
      </w:r>
      <w:r>
        <w:rPr>
          <w:spacing w:val="5"/>
        </w:rPr>
        <w:t>息项的含义给予明确的表述。为便于编码，要把描述每一信息单元所预置的一</w:t>
      </w:r>
      <w:r>
        <w:rPr>
          <w:spacing w:val="14"/>
        </w:rPr>
        <w:t xml:space="preserve"> </w:t>
      </w:r>
      <w:r>
        <w:rPr>
          <w:spacing w:val="-3"/>
        </w:rPr>
        <w:t>系列信息项，按一定的规律和原则进行分类和排序。</w:t>
      </w:r>
    </w:p>
    <w:p w14:paraId="4331542B">
      <w:pPr>
        <w:spacing w:before="1" w:line="220"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18"/>
          <w:sz w:val="27"/>
          <w:szCs w:val="27"/>
        </w:rPr>
        <w:t xml:space="preserve">  </w:t>
      </w:r>
      <w:r>
        <w:rPr>
          <w:rFonts w:ascii="黑体" w:hAnsi="黑体" w:eastAsia="黑体" w:cs="黑体"/>
          <w:spacing w:val="3"/>
          <w:sz w:val="27"/>
          <w:szCs w:val="27"/>
        </w:rPr>
        <w:t>信息编码</w:t>
      </w:r>
    </w:p>
    <w:p w14:paraId="60EC0D78">
      <w:pPr>
        <w:pStyle w:val="2"/>
        <w:spacing w:before="97" w:line="273" w:lineRule="auto"/>
        <w:ind w:firstLine="560"/>
        <w:jc w:val="both"/>
      </w:pPr>
      <w:r>
        <w:rPr>
          <w:spacing w:val="5"/>
        </w:rPr>
        <w:t>依据该类武器装备制定的有关质量与可靠性信息分类和编码的标准，其中</w:t>
      </w:r>
      <w:r>
        <w:rPr>
          <w:spacing w:val="18"/>
        </w:rPr>
        <w:t xml:space="preserve"> </w:t>
      </w:r>
      <w:r>
        <w:rPr>
          <w:spacing w:val="-3"/>
        </w:rPr>
        <w:t>对采用的代码类型和结构、编码的方法等的要求和规定进行信息编码，并符合具</w:t>
      </w:r>
      <w:r>
        <w:rPr>
          <w:spacing w:val="9"/>
        </w:rPr>
        <w:t xml:space="preserve">  </w:t>
      </w:r>
      <w:r>
        <w:rPr>
          <w:spacing w:val="-7"/>
        </w:rPr>
        <w:t>体型号装备编制的代码手册。设计的代码要具有唯一、简单、合理、适用等特性，</w:t>
      </w:r>
      <w:r>
        <w:rPr>
          <w:spacing w:val="16"/>
        </w:rPr>
        <w:t xml:space="preserve"> </w:t>
      </w:r>
      <w:r>
        <w:rPr>
          <w:spacing w:val="6"/>
        </w:rPr>
        <w:t>并具有可扩充能力。各类代码之间要协调、</w:t>
      </w:r>
      <w:r>
        <w:rPr>
          <w:spacing w:val="5"/>
        </w:rPr>
        <w:t>兼容。对直接用数字或字母表示的</w:t>
      </w:r>
      <w:r>
        <w:t xml:space="preserve"> </w:t>
      </w:r>
      <w:r>
        <w:rPr>
          <w:spacing w:val="3"/>
        </w:rPr>
        <w:t>信息项一般不需要编码。</w:t>
      </w:r>
    </w:p>
    <w:p w14:paraId="74E085ED">
      <w:pPr>
        <w:spacing w:before="56" w:line="222" w:lineRule="auto"/>
        <w:rPr>
          <w:rFonts w:ascii="黑体" w:hAnsi="黑体" w:eastAsia="黑体" w:cs="黑体"/>
          <w:sz w:val="25"/>
          <w:szCs w:val="25"/>
        </w:rPr>
      </w:pPr>
      <w:r>
        <w:rPr>
          <w:rFonts w:ascii="黑体" w:hAnsi="黑体" w:eastAsia="黑体" w:cs="黑体"/>
          <w:spacing w:val="19"/>
          <w:sz w:val="25"/>
          <w:szCs w:val="25"/>
        </w:rPr>
        <w:t>6.1</w:t>
      </w:r>
      <w:r>
        <w:rPr>
          <w:rFonts w:ascii="黑体" w:hAnsi="黑体" w:eastAsia="黑体" w:cs="黑体"/>
          <w:spacing w:val="35"/>
          <w:sz w:val="25"/>
          <w:szCs w:val="25"/>
        </w:rPr>
        <w:t xml:space="preserve">  </w:t>
      </w:r>
      <w:r>
        <w:rPr>
          <w:rFonts w:ascii="黑体" w:hAnsi="黑体" w:eastAsia="黑体" w:cs="黑体"/>
          <w:spacing w:val="19"/>
          <w:sz w:val="25"/>
          <w:szCs w:val="25"/>
        </w:rPr>
        <w:t>产品故障信息代码</w:t>
      </w:r>
    </w:p>
    <w:p w14:paraId="31F4C2C3">
      <w:pPr>
        <w:pStyle w:val="2"/>
        <w:spacing w:before="90" w:line="219" w:lineRule="auto"/>
        <w:ind w:left="560"/>
      </w:pPr>
      <w:r>
        <w:rPr>
          <w:spacing w:val="4"/>
        </w:rPr>
        <w:t>对故障信息编码主要是指对描述故障的信息项进行编码。</w:t>
      </w:r>
    </w:p>
    <w:p w14:paraId="05007A75">
      <w:pPr>
        <w:pStyle w:val="2"/>
        <w:spacing w:before="99" w:line="283" w:lineRule="auto"/>
        <w:ind w:right="94" w:firstLine="560"/>
      </w:pPr>
      <w:r>
        <w:rPr>
          <w:spacing w:val="-3"/>
        </w:rPr>
        <w:t>有关故障信息的代码主要有故障模式代码、故障发现时机代码、故障判明方</w:t>
      </w:r>
      <w:r>
        <w:rPr>
          <w:spacing w:val="18"/>
        </w:rPr>
        <w:t xml:space="preserve"> </w:t>
      </w:r>
      <w:r>
        <w:rPr>
          <w:spacing w:val="-12"/>
        </w:rPr>
        <w:t>法代码、故障原因代码、故障影响代码、故障处理代码、故障责任代码等。</w:t>
      </w:r>
    </w:p>
    <w:p w14:paraId="2128F674">
      <w:pPr>
        <w:pStyle w:val="2"/>
        <w:spacing w:before="1" w:line="303" w:lineRule="auto"/>
        <w:ind w:right="87" w:firstLine="560"/>
        <w:rPr>
          <w:sz w:val="25"/>
          <w:szCs w:val="25"/>
        </w:rPr>
      </w:pPr>
      <w:r>
        <w:rPr>
          <w:spacing w:val="18"/>
          <w:sz w:val="25"/>
          <w:szCs w:val="25"/>
        </w:rPr>
        <w:t>应分别根据各类武器装备的情况，按所设置的信息单元，</w:t>
      </w:r>
      <w:r>
        <w:rPr>
          <w:spacing w:val="17"/>
          <w:sz w:val="25"/>
          <w:szCs w:val="25"/>
        </w:rPr>
        <w:t>对一系列预置的信</w:t>
      </w:r>
      <w:r>
        <w:rPr>
          <w:sz w:val="25"/>
          <w:szCs w:val="25"/>
        </w:rPr>
        <w:t xml:space="preserve"> </w:t>
      </w:r>
      <w:r>
        <w:rPr>
          <w:spacing w:val="14"/>
          <w:sz w:val="25"/>
          <w:szCs w:val="25"/>
        </w:rPr>
        <w:t>息项进行分类和排序，如果预置的信息项不多，也可以只排序。</w:t>
      </w:r>
    </w:p>
    <w:p w14:paraId="6ADD6AD3">
      <w:pPr>
        <w:pStyle w:val="2"/>
        <w:spacing w:before="1" w:line="219" w:lineRule="auto"/>
        <w:ind w:left="560"/>
        <w:rPr>
          <w:sz w:val="25"/>
          <w:szCs w:val="25"/>
        </w:rPr>
      </w:pPr>
      <w:r>
        <w:rPr>
          <w:spacing w:val="20"/>
          <w:sz w:val="25"/>
          <w:szCs w:val="25"/>
        </w:rPr>
        <w:t>根据信息分类和排序的情况选择代码的类型、结构和</w:t>
      </w:r>
      <w:r>
        <w:rPr>
          <w:spacing w:val="19"/>
          <w:sz w:val="25"/>
          <w:szCs w:val="25"/>
        </w:rPr>
        <w:t>编码的方法。</w:t>
      </w:r>
    </w:p>
    <w:p w14:paraId="7A75395F">
      <w:pPr>
        <w:pStyle w:val="2"/>
        <w:spacing w:before="104" w:line="268" w:lineRule="auto"/>
        <w:ind w:right="139" w:firstLine="560"/>
      </w:pPr>
      <w:r>
        <w:rPr>
          <w:spacing w:val="2"/>
        </w:rPr>
        <w:t>信息项不超过33个时，一般采用一位码，由一个大写汉语拼音字母(</w:t>
      </w:r>
      <w:r>
        <w:rPr>
          <w:rFonts w:ascii="Times New Roman" w:hAnsi="Times New Roman" w:eastAsia="Times New Roman" w:cs="Times New Roman"/>
          <w:spacing w:val="2"/>
        </w:rPr>
        <w:t>I</w:t>
      </w:r>
      <w:r>
        <w:rPr>
          <w:rFonts w:ascii="Times New Roman" w:hAnsi="Times New Roman" w:eastAsia="Times New Roman" w:cs="Times New Roman"/>
          <w:spacing w:val="37"/>
        </w:rPr>
        <w:t xml:space="preserve"> </w:t>
      </w:r>
      <w:r>
        <w:rPr>
          <w:spacing w:val="2"/>
        </w:rPr>
        <w:t>和</w:t>
      </w:r>
      <w:r>
        <w:rPr>
          <w:spacing w:val="-43"/>
        </w:rPr>
        <w:t xml:space="preserve"> </w:t>
      </w:r>
      <w:r>
        <w:rPr>
          <w:rFonts w:ascii="Times New Roman" w:hAnsi="Times New Roman" w:eastAsia="Times New Roman" w:cs="Times New Roman"/>
          <w:spacing w:val="2"/>
        </w:rPr>
        <w:t>O</w:t>
      </w:r>
      <w:r>
        <w:rPr>
          <w:rFonts w:ascii="Times New Roman" w:hAnsi="Times New Roman" w:eastAsia="Times New Roman" w:cs="Times New Roman"/>
        </w:rPr>
        <w:t xml:space="preserve"> </w:t>
      </w:r>
      <w:r>
        <w:rPr>
          <w:spacing w:val="18"/>
        </w:rPr>
        <w:t>除外)和(或)阿拉伯数字1至9构成。</w:t>
      </w:r>
    </w:p>
    <w:p w14:paraId="67031940">
      <w:pPr>
        <w:pStyle w:val="2"/>
        <w:spacing w:before="25" w:line="268" w:lineRule="auto"/>
        <w:ind w:firstLine="560"/>
        <w:jc w:val="both"/>
      </w:pPr>
      <w:r>
        <w:rPr>
          <w:spacing w:val="-8"/>
        </w:rPr>
        <w:t>信息项较多时，如描述“故障模式”的一系列信息项，应在进行合理地分类、</w:t>
      </w:r>
      <w:r>
        <w:rPr>
          <w:spacing w:val="16"/>
        </w:rPr>
        <w:t xml:space="preserve"> </w:t>
      </w:r>
      <w:r>
        <w:rPr>
          <w:spacing w:val="3"/>
        </w:rPr>
        <w:t>排序基础上再选择代码的类型、结构和编码方法，</w:t>
      </w:r>
      <w:r>
        <w:rPr>
          <w:spacing w:val="85"/>
        </w:rPr>
        <w:t xml:space="preserve"> </w:t>
      </w:r>
      <w:r>
        <w:rPr>
          <w:spacing w:val="3"/>
        </w:rPr>
        <w:t>一般采用多</w:t>
      </w:r>
      <w:r>
        <w:rPr>
          <w:spacing w:val="2"/>
        </w:rPr>
        <w:t>位码，如3位数</w:t>
      </w:r>
      <w:r>
        <w:t xml:space="preserve">  </w:t>
      </w:r>
      <w:r>
        <w:rPr>
          <w:spacing w:val="-4"/>
        </w:rPr>
        <w:t>字码。</w:t>
      </w:r>
    </w:p>
    <w:p w14:paraId="739C2711">
      <w:pPr>
        <w:pStyle w:val="2"/>
        <w:spacing w:before="44" w:line="263" w:lineRule="auto"/>
        <w:ind w:right="113" w:firstLine="560"/>
      </w:pPr>
      <w:r>
        <w:rPr>
          <w:spacing w:val="5"/>
        </w:rPr>
        <w:t>有关故障信息的代码应该标准化，对于各类武器装备，应分别做出统一的</w:t>
      </w:r>
      <w:r>
        <w:rPr>
          <w:spacing w:val="10"/>
        </w:rPr>
        <w:t xml:space="preserve"> </w:t>
      </w:r>
      <w:r>
        <w:rPr>
          <w:spacing w:val="-4"/>
        </w:rPr>
        <w:t>规定。</w:t>
      </w:r>
    </w:p>
    <w:p w14:paraId="2B030649">
      <w:pPr>
        <w:spacing w:before="49" w:line="222" w:lineRule="auto"/>
        <w:rPr>
          <w:rFonts w:ascii="黑体" w:hAnsi="黑体" w:eastAsia="黑体" w:cs="黑体"/>
          <w:sz w:val="24"/>
          <w:szCs w:val="24"/>
        </w:rPr>
      </w:pPr>
      <w:r>
        <w:rPr>
          <w:rFonts w:ascii="黑体" w:hAnsi="黑体" w:eastAsia="黑体" w:cs="黑体"/>
          <w:spacing w:val="28"/>
          <w:sz w:val="24"/>
          <w:szCs w:val="24"/>
        </w:rPr>
        <w:t>6.2</w:t>
      </w:r>
      <w:r>
        <w:rPr>
          <w:rFonts w:ascii="黑体" w:hAnsi="黑体" w:eastAsia="黑体" w:cs="黑体"/>
          <w:spacing w:val="38"/>
          <w:sz w:val="24"/>
          <w:szCs w:val="24"/>
        </w:rPr>
        <w:t xml:space="preserve">  </w:t>
      </w:r>
      <w:r>
        <w:rPr>
          <w:rFonts w:ascii="黑体" w:hAnsi="黑体" w:eastAsia="黑体" w:cs="黑体"/>
          <w:spacing w:val="28"/>
          <w:sz w:val="24"/>
          <w:szCs w:val="24"/>
        </w:rPr>
        <w:t>产品维修信息代码</w:t>
      </w:r>
    </w:p>
    <w:p w14:paraId="07C91A4B">
      <w:pPr>
        <w:pStyle w:val="2"/>
        <w:spacing w:before="124" w:line="219" w:lineRule="auto"/>
        <w:ind w:left="560"/>
      </w:pPr>
      <w:r>
        <w:rPr>
          <w:spacing w:val="4"/>
        </w:rPr>
        <w:t>对维修信息编码主要指对描述有关维修的信息项进行编码。</w:t>
      </w:r>
    </w:p>
    <w:p w14:paraId="4198357C">
      <w:pPr>
        <w:pStyle w:val="2"/>
        <w:spacing w:before="110" w:line="219" w:lineRule="auto"/>
        <w:jc w:val="right"/>
      </w:pPr>
      <w:r>
        <w:t>有关维修信息的代码主要有维修类别代码、维修级别代码、维修内容代码、</w:t>
      </w:r>
    </w:p>
    <w:p w14:paraId="3211B83D">
      <w:pPr>
        <w:spacing w:line="219" w:lineRule="auto"/>
        <w:sectPr>
          <w:footerReference r:id="rId400" w:type="default"/>
          <w:pgSz w:w="11910" w:h="17130"/>
          <w:pgMar w:top="400" w:right="1384" w:bottom="1587" w:left="1039" w:header="0" w:footer="1370" w:gutter="0"/>
          <w:cols w:space="720" w:num="1"/>
        </w:sectPr>
      </w:pPr>
    </w:p>
    <w:p w14:paraId="542E79FE">
      <w:pPr>
        <w:pStyle w:val="2"/>
        <w:spacing w:before="52" w:line="310" w:lineRule="auto"/>
        <w:ind w:right="28"/>
      </w:pPr>
      <w:r>
        <w:rPr>
          <w:spacing w:val="-2"/>
        </w:rPr>
        <w:t>维修程度代码等。有关维修信息代码，一般采用一位字</w:t>
      </w:r>
      <w:r>
        <w:rPr>
          <w:spacing w:val="-3"/>
        </w:rPr>
        <w:t>母码，由一个大写汉语拼</w:t>
      </w:r>
      <w:r>
        <w:t xml:space="preserve"> </w:t>
      </w:r>
      <w:r>
        <w:rPr>
          <w:spacing w:val="-2"/>
        </w:rPr>
        <w:t>音字母(</w:t>
      </w:r>
      <w:r>
        <w:rPr>
          <w:rFonts w:ascii="Times New Roman" w:hAnsi="Times New Roman" w:eastAsia="Times New Roman" w:cs="Times New Roman"/>
          <w:spacing w:val="-2"/>
        </w:rPr>
        <w:t>I</w:t>
      </w:r>
      <w:r>
        <w:rPr>
          <w:rFonts w:ascii="Times New Roman" w:hAnsi="Times New Roman" w:eastAsia="Times New Roman" w:cs="Times New Roman"/>
          <w:spacing w:val="21"/>
        </w:rPr>
        <w:t xml:space="preserve"> </w:t>
      </w:r>
      <w:r>
        <w:rPr>
          <w:spacing w:val="-2"/>
        </w:rPr>
        <w:t>和</w:t>
      </w:r>
      <w:r>
        <w:rPr>
          <w:spacing w:val="-63"/>
        </w:rPr>
        <w:t xml:space="preserve"> </w:t>
      </w:r>
      <w:r>
        <w:rPr>
          <w:rFonts w:ascii="Times New Roman" w:hAnsi="Times New Roman" w:eastAsia="Times New Roman" w:cs="Times New Roman"/>
          <w:spacing w:val="-2"/>
        </w:rPr>
        <w:t>O</w:t>
      </w:r>
      <w:r>
        <w:rPr>
          <w:rFonts w:ascii="Times New Roman" w:hAnsi="Times New Roman" w:eastAsia="Times New Roman" w:cs="Times New Roman"/>
          <w:spacing w:val="37"/>
        </w:rPr>
        <w:t xml:space="preserve"> </w:t>
      </w:r>
      <w:r>
        <w:rPr>
          <w:spacing w:val="-2"/>
        </w:rPr>
        <w:t>除外)构成。</w:t>
      </w:r>
    </w:p>
    <w:p w14:paraId="503D07F5">
      <w:pPr>
        <w:spacing w:line="221" w:lineRule="auto"/>
        <w:rPr>
          <w:rFonts w:ascii="黑体" w:hAnsi="黑体" w:eastAsia="黑体" w:cs="黑体"/>
          <w:sz w:val="24"/>
          <w:szCs w:val="24"/>
        </w:rPr>
      </w:pPr>
      <w:r>
        <w:rPr>
          <w:rFonts w:ascii="黑体" w:hAnsi="黑体" w:eastAsia="黑体" w:cs="黑体"/>
          <w:spacing w:val="25"/>
          <w:sz w:val="24"/>
          <w:szCs w:val="24"/>
        </w:rPr>
        <w:t>6.3</w:t>
      </w:r>
      <w:r>
        <w:rPr>
          <w:rFonts w:ascii="黑体" w:hAnsi="黑体" w:eastAsia="黑体" w:cs="黑体"/>
          <w:spacing w:val="45"/>
          <w:sz w:val="24"/>
          <w:szCs w:val="24"/>
        </w:rPr>
        <w:t xml:space="preserve">  </w:t>
      </w:r>
      <w:r>
        <w:rPr>
          <w:rFonts w:ascii="黑体" w:hAnsi="黑体" w:eastAsia="黑体" w:cs="黑体"/>
          <w:b/>
          <w:bCs/>
          <w:spacing w:val="25"/>
          <w:sz w:val="24"/>
          <w:szCs w:val="24"/>
        </w:rPr>
        <w:t>产品使用环境信息代码</w:t>
      </w:r>
    </w:p>
    <w:p w14:paraId="07D70C57">
      <w:pPr>
        <w:pStyle w:val="2"/>
        <w:spacing w:before="45" w:line="310" w:lineRule="auto"/>
        <w:ind w:right="30" w:firstLine="560"/>
      </w:pPr>
      <w:r>
        <w:rPr>
          <w:spacing w:val="1"/>
        </w:rPr>
        <w:t>按照</w:t>
      </w:r>
      <w:r>
        <w:rPr>
          <w:rFonts w:ascii="Times New Roman" w:hAnsi="Times New Roman" w:eastAsia="Times New Roman" w:cs="Times New Roman"/>
        </w:rPr>
        <w:t>GJB</w:t>
      </w:r>
      <w:r>
        <w:rPr>
          <w:rFonts w:ascii="Times New Roman" w:hAnsi="Times New Roman" w:eastAsia="Times New Roman" w:cs="Times New Roman"/>
          <w:spacing w:val="30"/>
        </w:rPr>
        <w:t xml:space="preserve">  </w:t>
      </w:r>
      <w:r>
        <w:rPr>
          <w:rFonts w:ascii="Times New Roman" w:hAnsi="Times New Roman" w:eastAsia="Times New Roman" w:cs="Times New Roman"/>
          <w:spacing w:val="1"/>
        </w:rPr>
        <w:t>1775</w:t>
      </w:r>
      <w:r>
        <w:rPr>
          <w:spacing w:val="1"/>
        </w:rPr>
        <w:t>要求，参照具体型号装备编制的代码手册，设置产品使用环</w:t>
      </w:r>
      <w:r>
        <w:t xml:space="preserve"> </w:t>
      </w:r>
      <w:r>
        <w:rPr>
          <w:spacing w:val="-1"/>
        </w:rPr>
        <w:t>境信息代码。</w:t>
      </w:r>
    </w:p>
    <w:p w14:paraId="700A3D30">
      <w:pPr>
        <w:spacing w:line="222" w:lineRule="auto"/>
        <w:rPr>
          <w:rFonts w:ascii="黑体" w:hAnsi="黑体" w:eastAsia="黑体" w:cs="黑体"/>
          <w:sz w:val="24"/>
          <w:szCs w:val="24"/>
        </w:rPr>
      </w:pPr>
      <w:r>
        <w:rPr>
          <w:rFonts w:ascii="黑体" w:hAnsi="黑体" w:eastAsia="黑体" w:cs="黑体"/>
          <w:spacing w:val="23"/>
          <w:sz w:val="24"/>
          <w:szCs w:val="24"/>
        </w:rPr>
        <w:t>6.4</w:t>
      </w:r>
      <w:r>
        <w:rPr>
          <w:rFonts w:ascii="黑体" w:hAnsi="黑体" w:eastAsia="黑体" w:cs="黑体"/>
          <w:spacing w:val="49"/>
          <w:sz w:val="24"/>
          <w:szCs w:val="24"/>
        </w:rPr>
        <w:t xml:space="preserve">  </w:t>
      </w:r>
      <w:r>
        <w:rPr>
          <w:rFonts w:ascii="黑体" w:hAnsi="黑体" w:eastAsia="黑体" w:cs="黑体"/>
          <w:b/>
          <w:bCs/>
          <w:spacing w:val="23"/>
          <w:sz w:val="24"/>
          <w:szCs w:val="24"/>
        </w:rPr>
        <w:t>产品××信息代码</w:t>
      </w:r>
    </w:p>
    <w:p w14:paraId="674922B9">
      <w:pPr>
        <w:pStyle w:val="2"/>
        <w:spacing w:before="86" w:line="289" w:lineRule="auto"/>
        <w:ind w:firstLine="560"/>
      </w:pPr>
      <w:r>
        <w:rPr>
          <w:spacing w:val="2"/>
        </w:rPr>
        <w:t>按照</w:t>
      </w:r>
      <w:r>
        <w:rPr>
          <w:rFonts w:ascii="Times New Roman" w:hAnsi="Times New Roman" w:eastAsia="Times New Roman" w:cs="Times New Roman"/>
        </w:rPr>
        <w:t>GJB</w:t>
      </w:r>
      <w:r>
        <w:rPr>
          <w:rFonts w:ascii="Times New Roman" w:hAnsi="Times New Roman" w:eastAsia="Times New Roman" w:cs="Times New Roman"/>
          <w:spacing w:val="29"/>
        </w:rPr>
        <w:t xml:space="preserve">  </w:t>
      </w:r>
      <w:r>
        <w:rPr>
          <w:rFonts w:ascii="Times New Roman" w:hAnsi="Times New Roman" w:eastAsia="Times New Roman" w:cs="Times New Roman"/>
          <w:spacing w:val="2"/>
        </w:rPr>
        <w:t>1775</w:t>
      </w:r>
      <w:r>
        <w:rPr>
          <w:spacing w:val="2"/>
        </w:rPr>
        <w:t>要求，参照具体型号装备编制的代码手册，设置产品××信</w:t>
      </w:r>
      <w:r>
        <w:t xml:space="preserve"> </w:t>
      </w:r>
      <w:r>
        <w:rPr>
          <w:spacing w:val="-3"/>
        </w:rPr>
        <w:t>息代码。</w:t>
      </w:r>
    </w:p>
    <w:p w14:paraId="5AC65559">
      <w:pPr>
        <w:spacing w:before="1" w:line="221" w:lineRule="auto"/>
        <w:rPr>
          <w:rFonts w:ascii="黑体" w:hAnsi="黑体" w:eastAsia="黑体" w:cs="黑体"/>
          <w:sz w:val="27"/>
          <w:szCs w:val="27"/>
        </w:rPr>
      </w:pPr>
      <w:r>
        <w:rPr>
          <w:rFonts w:ascii="黑体" w:hAnsi="黑体" w:eastAsia="黑体" w:cs="黑体"/>
          <w:spacing w:val="1"/>
          <w:sz w:val="27"/>
          <w:szCs w:val="27"/>
        </w:rPr>
        <w:t xml:space="preserve">7  </w:t>
      </w:r>
      <w:r>
        <w:rPr>
          <w:rFonts w:ascii="黑体" w:hAnsi="黑体" w:eastAsia="黑体" w:cs="黑体"/>
          <w:b/>
          <w:bCs/>
          <w:spacing w:val="1"/>
          <w:sz w:val="27"/>
          <w:szCs w:val="27"/>
        </w:rPr>
        <w:t>与其他信息收集工作的协调</w:t>
      </w:r>
    </w:p>
    <w:p w14:paraId="7838F696">
      <w:pPr>
        <w:pStyle w:val="2"/>
        <w:spacing w:before="101" w:line="219" w:lineRule="auto"/>
        <w:ind w:right="43"/>
        <w:jc w:val="right"/>
      </w:pPr>
      <w:r>
        <w:rPr>
          <w:spacing w:val="5"/>
        </w:rPr>
        <w:t>使用期间可靠性信息收集工作与其他信息收集工作结合开展</w:t>
      </w:r>
      <w:r>
        <w:rPr>
          <w:spacing w:val="4"/>
        </w:rPr>
        <w:t>的协调说明。</w:t>
      </w:r>
    </w:p>
    <w:p w14:paraId="03544E56">
      <w:pPr>
        <w:spacing w:line="345" w:lineRule="auto"/>
        <w:rPr>
          <w:rFonts w:ascii="Arial"/>
          <w:sz w:val="21"/>
        </w:rPr>
      </w:pPr>
    </w:p>
    <w:p w14:paraId="242E2BE6">
      <w:pPr>
        <w:pStyle w:val="2"/>
        <w:spacing w:before="118" w:line="218" w:lineRule="auto"/>
        <w:ind w:left="2139"/>
        <w:outlineLvl w:val="1"/>
        <w:rPr>
          <w:sz w:val="36"/>
          <w:szCs w:val="36"/>
        </w:rPr>
      </w:pPr>
      <w:r>
        <w:rPr>
          <w:rFonts w:ascii="Times New Roman" w:hAnsi="Times New Roman" w:eastAsia="Times New Roman" w:cs="Times New Roman"/>
          <w:b/>
          <w:bCs/>
          <w:spacing w:val="2"/>
          <w:sz w:val="36"/>
          <w:szCs w:val="36"/>
        </w:rPr>
        <w:t>7.29</w:t>
      </w:r>
      <w:r>
        <w:rPr>
          <w:rFonts w:ascii="Times New Roman" w:hAnsi="Times New Roman" w:eastAsia="Times New Roman" w:cs="Times New Roman"/>
          <w:b/>
          <w:bCs/>
          <w:spacing w:val="3"/>
          <w:sz w:val="36"/>
          <w:szCs w:val="36"/>
        </w:rPr>
        <w:t xml:space="preserve">     </w:t>
      </w:r>
      <w:r>
        <w:rPr>
          <w:b/>
          <w:bCs/>
          <w:spacing w:val="2"/>
          <w:sz w:val="36"/>
          <w:szCs w:val="36"/>
        </w:rPr>
        <w:t>使用期间可靠性评估计划</w:t>
      </w:r>
    </w:p>
    <w:p w14:paraId="067222CD">
      <w:pPr>
        <w:spacing w:line="330" w:lineRule="auto"/>
        <w:rPr>
          <w:rFonts w:ascii="Arial"/>
          <w:sz w:val="21"/>
        </w:rPr>
      </w:pPr>
    </w:p>
    <w:p w14:paraId="152F0242">
      <w:pPr>
        <w:pStyle w:val="2"/>
        <w:spacing w:before="91" w:line="223"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w:t>
      </w:r>
      <w:r>
        <w:rPr>
          <w:rFonts w:ascii="楷体" w:hAnsi="楷体" w:eastAsia="楷体" w:cs="楷体"/>
          <w:spacing w:val="-11"/>
          <w:sz w:val="28"/>
          <w:szCs w:val="28"/>
        </w:rPr>
        <w:t>用要求》编写。</w:t>
      </w:r>
    </w:p>
    <w:p w14:paraId="522C005A">
      <w:pPr>
        <w:spacing w:before="124"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28"/>
          <w:sz w:val="25"/>
          <w:szCs w:val="25"/>
        </w:rPr>
        <w:t xml:space="preserve"> </w:t>
      </w:r>
      <w:r>
        <w:rPr>
          <w:rFonts w:ascii="黑体" w:hAnsi="黑体" w:eastAsia="黑体" w:cs="黑体"/>
          <w:b/>
          <w:bCs/>
          <w:spacing w:val="-14"/>
          <w:sz w:val="25"/>
          <w:szCs w:val="25"/>
        </w:rPr>
        <w:t>围</w:t>
      </w:r>
    </w:p>
    <w:p w14:paraId="2BE2713B">
      <w:pPr>
        <w:spacing w:before="116" w:line="222" w:lineRule="auto"/>
        <w:rPr>
          <w:rFonts w:ascii="黑体" w:hAnsi="黑体" w:eastAsia="黑体" w:cs="黑体"/>
          <w:sz w:val="25"/>
          <w:szCs w:val="25"/>
        </w:rPr>
      </w:pPr>
      <w:r>
        <w:rPr>
          <w:rFonts w:ascii="黑体" w:hAnsi="黑体" w:eastAsia="黑体" w:cs="黑体"/>
          <w:spacing w:val="17"/>
          <w:sz w:val="25"/>
          <w:szCs w:val="25"/>
        </w:rPr>
        <w:t>2</w:t>
      </w:r>
      <w:r>
        <w:rPr>
          <w:rFonts w:ascii="黑体" w:hAnsi="黑体" w:eastAsia="黑体" w:cs="黑体"/>
          <w:spacing w:val="28"/>
          <w:sz w:val="25"/>
          <w:szCs w:val="25"/>
        </w:rPr>
        <w:t xml:space="preserve">  </w:t>
      </w:r>
      <w:r>
        <w:rPr>
          <w:rFonts w:ascii="黑体" w:hAnsi="黑体" w:eastAsia="黑体" w:cs="黑体"/>
          <w:b/>
          <w:bCs/>
          <w:spacing w:val="17"/>
          <w:sz w:val="25"/>
          <w:szCs w:val="25"/>
        </w:rPr>
        <w:t>引用文件</w:t>
      </w:r>
    </w:p>
    <w:p w14:paraId="08F12425">
      <w:pPr>
        <w:spacing w:before="119" w:line="221" w:lineRule="auto"/>
        <w:rPr>
          <w:rFonts w:ascii="黑体" w:hAnsi="黑体" w:eastAsia="黑体" w:cs="黑体"/>
          <w:sz w:val="25"/>
          <w:szCs w:val="25"/>
        </w:rPr>
      </w:pPr>
      <w:r>
        <w:rPr>
          <w:rFonts w:ascii="黑体" w:hAnsi="黑体" w:eastAsia="黑体" w:cs="黑体"/>
          <w:spacing w:val="17"/>
          <w:sz w:val="25"/>
          <w:szCs w:val="25"/>
        </w:rPr>
        <w:t>3</w:t>
      </w:r>
      <w:r>
        <w:rPr>
          <w:rFonts w:ascii="黑体" w:hAnsi="黑体" w:eastAsia="黑体" w:cs="黑体"/>
          <w:spacing w:val="30"/>
          <w:sz w:val="25"/>
          <w:szCs w:val="25"/>
        </w:rPr>
        <w:t xml:space="preserve">  </w:t>
      </w:r>
      <w:r>
        <w:rPr>
          <w:rFonts w:ascii="黑体" w:hAnsi="黑体" w:eastAsia="黑体" w:cs="黑体"/>
          <w:b/>
          <w:bCs/>
          <w:spacing w:val="17"/>
          <w:sz w:val="25"/>
          <w:szCs w:val="25"/>
        </w:rPr>
        <w:t>参与评估各方及其职责</w:t>
      </w:r>
    </w:p>
    <w:p w14:paraId="6AC7A860">
      <w:pPr>
        <w:pStyle w:val="2"/>
        <w:spacing w:before="95" w:line="218" w:lineRule="auto"/>
        <w:ind w:left="560"/>
      </w:pPr>
      <w:r>
        <w:rPr>
          <w:spacing w:val="1"/>
        </w:rPr>
        <w:t>明确参与评估各方人员及其职责。</w:t>
      </w:r>
    </w:p>
    <w:p w14:paraId="01B20EDB">
      <w:pPr>
        <w:spacing w:before="117"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1"/>
          <w:sz w:val="27"/>
          <w:szCs w:val="27"/>
        </w:rPr>
        <w:t xml:space="preserve">  </w:t>
      </w:r>
      <w:r>
        <w:rPr>
          <w:rFonts w:ascii="黑体" w:hAnsi="黑体" w:eastAsia="黑体" w:cs="黑体"/>
          <w:b/>
          <w:bCs/>
          <w:spacing w:val="1"/>
          <w:sz w:val="27"/>
          <w:szCs w:val="27"/>
        </w:rPr>
        <w:t>装备概述</w:t>
      </w:r>
    </w:p>
    <w:p w14:paraId="5B8F4A4C">
      <w:pPr>
        <w:pStyle w:val="2"/>
        <w:spacing w:before="83" w:line="296" w:lineRule="auto"/>
        <w:ind w:right="27" w:firstLine="560"/>
      </w:pPr>
      <w:r>
        <w:rPr>
          <w:spacing w:val="-3"/>
        </w:rPr>
        <w:t>概述装备规定的使用技术状态，实际使用与维修条件，规定的各类维修保障</w:t>
      </w:r>
      <w:r>
        <w:t xml:space="preserve"> </w:t>
      </w:r>
      <w:r>
        <w:rPr>
          <w:spacing w:val="-3"/>
        </w:rPr>
        <w:t>资源配备，使用与维修人员应经过的训练要求等。</w:t>
      </w:r>
    </w:p>
    <w:p w14:paraId="4BE8C563">
      <w:pPr>
        <w:spacing w:line="222" w:lineRule="auto"/>
        <w:rPr>
          <w:rFonts w:ascii="黑体" w:hAnsi="黑体" w:eastAsia="黑体" w:cs="黑体"/>
          <w:sz w:val="27"/>
          <w:szCs w:val="27"/>
        </w:rPr>
      </w:pPr>
      <w:r>
        <w:rPr>
          <w:rFonts w:ascii="黑体" w:hAnsi="黑体" w:eastAsia="黑体" w:cs="黑体"/>
          <w:sz w:val="27"/>
          <w:szCs w:val="27"/>
        </w:rPr>
        <w:t>5</w:t>
      </w:r>
      <w:r>
        <w:rPr>
          <w:rFonts w:ascii="黑体" w:hAnsi="黑体" w:eastAsia="黑体" w:cs="黑体"/>
          <w:spacing w:val="13"/>
          <w:sz w:val="27"/>
          <w:szCs w:val="27"/>
        </w:rPr>
        <w:t xml:space="preserve">  </w:t>
      </w:r>
      <w:r>
        <w:rPr>
          <w:rFonts w:ascii="黑体" w:hAnsi="黑体" w:eastAsia="黑体" w:cs="黑体"/>
          <w:b/>
          <w:bCs/>
          <w:sz w:val="27"/>
          <w:szCs w:val="27"/>
        </w:rPr>
        <w:t>数据及其要求</w:t>
      </w:r>
    </w:p>
    <w:p w14:paraId="09E9DF26">
      <w:pPr>
        <w:pStyle w:val="2"/>
        <w:spacing w:before="78" w:line="296" w:lineRule="auto"/>
        <w:ind w:right="23" w:firstLine="560"/>
      </w:pPr>
      <w:r>
        <w:rPr>
          <w:spacing w:val="-3"/>
        </w:rPr>
        <w:t>明确实际使用条件下应收集的各种数据，部队使用期间的各种信息，必要时</w:t>
      </w:r>
      <w:r>
        <w:rPr>
          <w:spacing w:val="3"/>
        </w:rPr>
        <w:t xml:space="preserve"> </w:t>
      </w:r>
      <w:r>
        <w:rPr>
          <w:spacing w:val="-3"/>
        </w:rPr>
        <w:t>也可组织专门的试验，以获得所需的信息。</w:t>
      </w:r>
    </w:p>
    <w:p w14:paraId="72F82852">
      <w:pPr>
        <w:spacing w:before="1" w:line="221" w:lineRule="auto"/>
        <w:rPr>
          <w:rFonts w:ascii="黑体" w:hAnsi="黑体" w:eastAsia="黑体" w:cs="黑体"/>
          <w:sz w:val="25"/>
          <w:szCs w:val="25"/>
        </w:rPr>
      </w:pPr>
      <w:r>
        <w:rPr>
          <w:rFonts w:ascii="黑体" w:hAnsi="黑体" w:eastAsia="黑体" w:cs="黑体"/>
          <w:spacing w:val="19"/>
          <w:sz w:val="25"/>
          <w:szCs w:val="25"/>
        </w:rPr>
        <w:t>6</w:t>
      </w:r>
      <w:r>
        <w:rPr>
          <w:rFonts w:ascii="黑体" w:hAnsi="黑体" w:eastAsia="黑体" w:cs="黑体"/>
          <w:spacing w:val="29"/>
          <w:sz w:val="25"/>
          <w:szCs w:val="25"/>
        </w:rPr>
        <w:t xml:space="preserve">  </w:t>
      </w:r>
      <w:r>
        <w:rPr>
          <w:rFonts w:ascii="黑体" w:hAnsi="黑体" w:eastAsia="黑体" w:cs="黑体"/>
          <w:b/>
          <w:bCs/>
          <w:spacing w:val="19"/>
          <w:sz w:val="25"/>
          <w:szCs w:val="25"/>
        </w:rPr>
        <w:t>评估准则</w:t>
      </w:r>
    </w:p>
    <w:p w14:paraId="4F777618">
      <w:pPr>
        <w:pStyle w:val="2"/>
        <w:spacing w:before="103" w:line="218" w:lineRule="auto"/>
        <w:ind w:left="560"/>
      </w:pPr>
      <w:r>
        <w:rPr>
          <w:spacing w:val="-11"/>
        </w:rPr>
        <w:t>制定评估准则、判据。</w:t>
      </w:r>
    </w:p>
    <w:p w14:paraId="7AA5ABC7">
      <w:pPr>
        <w:spacing w:before="118" w:line="222" w:lineRule="auto"/>
        <w:outlineLvl w:val="3"/>
        <w:rPr>
          <w:rFonts w:ascii="黑体" w:hAnsi="黑体" w:eastAsia="黑体" w:cs="黑体"/>
          <w:sz w:val="27"/>
          <w:szCs w:val="27"/>
        </w:rPr>
      </w:pPr>
      <w:r>
        <w:rPr>
          <w:rFonts w:ascii="Arial" w:hAnsi="Arial" w:eastAsia="Arial" w:cs="Arial"/>
          <w:b/>
          <w:bCs/>
          <w:sz w:val="27"/>
          <w:szCs w:val="27"/>
        </w:rPr>
        <w:t>7</w:t>
      </w:r>
      <w:r>
        <w:rPr>
          <w:rFonts w:ascii="Arial" w:hAnsi="Arial" w:eastAsia="Arial" w:cs="Arial"/>
          <w:b/>
          <w:bCs/>
          <w:spacing w:val="20"/>
          <w:sz w:val="27"/>
          <w:szCs w:val="27"/>
        </w:rPr>
        <w:t xml:space="preserve">   </w:t>
      </w:r>
      <w:r>
        <w:rPr>
          <w:rFonts w:ascii="黑体" w:hAnsi="黑体" w:eastAsia="黑体" w:cs="黑体"/>
          <w:b/>
          <w:bCs/>
          <w:sz w:val="27"/>
          <w:szCs w:val="27"/>
        </w:rPr>
        <w:t>评估内容</w:t>
      </w:r>
    </w:p>
    <w:p w14:paraId="505877AA">
      <w:pPr>
        <w:pStyle w:val="2"/>
        <w:spacing w:before="117" w:line="299" w:lineRule="auto"/>
        <w:ind w:right="28" w:firstLine="560"/>
        <w:rPr>
          <w:sz w:val="25"/>
          <w:szCs w:val="25"/>
        </w:rPr>
      </w:pPr>
      <w:r>
        <w:rPr>
          <w:spacing w:val="17"/>
          <w:sz w:val="25"/>
          <w:szCs w:val="25"/>
        </w:rPr>
        <w:t>明确评估内容，包括规定的评估对象、参数和模型、样本量、统计的时</w:t>
      </w:r>
      <w:r>
        <w:rPr>
          <w:spacing w:val="16"/>
          <w:sz w:val="25"/>
          <w:szCs w:val="25"/>
        </w:rPr>
        <w:t>间年</w:t>
      </w:r>
      <w:r>
        <w:rPr>
          <w:sz w:val="25"/>
          <w:szCs w:val="25"/>
        </w:rPr>
        <w:t xml:space="preserve"> </w:t>
      </w:r>
      <w:r>
        <w:rPr>
          <w:spacing w:val="3"/>
          <w:sz w:val="25"/>
          <w:szCs w:val="25"/>
        </w:rPr>
        <w:t>度、置信水平等。</w:t>
      </w:r>
    </w:p>
    <w:p w14:paraId="118F466B">
      <w:pPr>
        <w:spacing w:before="27" w:line="221" w:lineRule="auto"/>
        <w:outlineLvl w:val="3"/>
        <w:rPr>
          <w:rFonts w:ascii="黑体" w:hAnsi="黑体" w:eastAsia="黑体" w:cs="黑体"/>
          <w:sz w:val="24"/>
          <w:szCs w:val="24"/>
        </w:rPr>
      </w:pPr>
      <w:r>
        <w:rPr>
          <w:rFonts w:ascii="Arial" w:hAnsi="Arial" w:eastAsia="Arial" w:cs="Arial"/>
          <w:b/>
          <w:bCs/>
          <w:spacing w:val="27"/>
          <w:sz w:val="24"/>
          <w:szCs w:val="24"/>
        </w:rPr>
        <w:t>8</w:t>
      </w:r>
      <w:r>
        <w:rPr>
          <w:rFonts w:ascii="Arial" w:hAnsi="Arial" w:eastAsia="Arial" w:cs="Arial"/>
          <w:b/>
          <w:bCs/>
          <w:spacing w:val="9"/>
          <w:sz w:val="24"/>
          <w:szCs w:val="24"/>
        </w:rPr>
        <w:t xml:space="preserve">    </w:t>
      </w:r>
      <w:r>
        <w:rPr>
          <w:rFonts w:ascii="黑体" w:hAnsi="黑体" w:eastAsia="黑体" w:cs="黑体"/>
          <w:b/>
          <w:bCs/>
          <w:spacing w:val="27"/>
          <w:sz w:val="24"/>
          <w:szCs w:val="24"/>
        </w:rPr>
        <w:t>评估方法及程序</w:t>
      </w:r>
    </w:p>
    <w:p w14:paraId="4F4C88A4">
      <w:pPr>
        <w:pStyle w:val="2"/>
        <w:spacing w:before="117" w:line="218" w:lineRule="auto"/>
        <w:ind w:left="560"/>
      </w:pPr>
      <w:r>
        <w:rPr>
          <w:spacing w:val="-2"/>
        </w:rPr>
        <w:t>确定采用的评估方法，并说明理由。制定评估工作程序。</w:t>
      </w:r>
    </w:p>
    <w:p w14:paraId="63D77A76">
      <w:pPr>
        <w:spacing w:before="108" w:line="221" w:lineRule="auto"/>
        <w:rPr>
          <w:rFonts w:ascii="黑体" w:hAnsi="黑体" w:eastAsia="黑体" w:cs="黑体"/>
          <w:sz w:val="27"/>
          <w:szCs w:val="27"/>
        </w:rPr>
      </w:pPr>
      <w:r>
        <w:rPr>
          <w:rFonts w:ascii="黑体" w:hAnsi="黑体" w:eastAsia="黑体" w:cs="黑体"/>
          <w:spacing w:val="1"/>
          <w:sz w:val="27"/>
          <w:szCs w:val="27"/>
        </w:rPr>
        <w:t>9</w:t>
      </w:r>
      <w:r>
        <w:rPr>
          <w:rFonts w:ascii="黑体" w:hAnsi="黑体" w:eastAsia="黑体" w:cs="黑体"/>
          <w:spacing w:val="11"/>
          <w:sz w:val="27"/>
          <w:szCs w:val="27"/>
        </w:rPr>
        <w:t xml:space="preserve">  </w:t>
      </w:r>
      <w:r>
        <w:rPr>
          <w:rFonts w:ascii="黑体" w:hAnsi="黑体" w:eastAsia="黑体" w:cs="黑体"/>
          <w:b/>
          <w:bCs/>
          <w:spacing w:val="1"/>
          <w:sz w:val="27"/>
          <w:szCs w:val="27"/>
        </w:rPr>
        <w:t>所需资源</w:t>
      </w:r>
    </w:p>
    <w:p w14:paraId="3C0D8215">
      <w:pPr>
        <w:pStyle w:val="2"/>
        <w:spacing w:before="93" w:line="219" w:lineRule="auto"/>
        <w:ind w:left="560"/>
      </w:pPr>
      <w:r>
        <w:rPr>
          <w:spacing w:val="1"/>
        </w:rPr>
        <w:t>说明需要配备的资源。</w:t>
      </w:r>
    </w:p>
    <w:p w14:paraId="18584313">
      <w:pPr>
        <w:spacing w:line="219" w:lineRule="auto"/>
        <w:sectPr>
          <w:footerReference r:id="rId401" w:type="default"/>
          <w:pgSz w:w="11910" w:h="17130"/>
          <w:pgMar w:top="1336" w:right="1421" w:bottom="1766" w:left="1090" w:header="0" w:footer="1577" w:gutter="0"/>
          <w:cols w:space="720" w:num="1"/>
        </w:sectPr>
      </w:pPr>
    </w:p>
    <w:p w14:paraId="12B7AB43">
      <w:pPr>
        <w:spacing w:before="54" w:line="222" w:lineRule="auto"/>
        <w:rPr>
          <w:rFonts w:ascii="黑体" w:hAnsi="黑体" w:eastAsia="黑体" w:cs="黑体"/>
          <w:sz w:val="27"/>
          <w:szCs w:val="27"/>
        </w:rPr>
      </w:pPr>
      <w:r>
        <w:rPr>
          <w:rFonts w:ascii="黑体" w:hAnsi="黑体" w:eastAsia="黑体" w:cs="黑体"/>
          <w:spacing w:val="-2"/>
          <w:sz w:val="27"/>
          <w:szCs w:val="27"/>
        </w:rPr>
        <w:t>10</w:t>
      </w:r>
      <w:r>
        <w:rPr>
          <w:rFonts w:ascii="黑体" w:hAnsi="黑体" w:eastAsia="黑体" w:cs="黑体"/>
          <w:spacing w:val="20"/>
          <w:sz w:val="27"/>
          <w:szCs w:val="27"/>
        </w:rPr>
        <w:t xml:space="preserve">  </w:t>
      </w:r>
      <w:r>
        <w:rPr>
          <w:rFonts w:ascii="黑体" w:hAnsi="黑体" w:eastAsia="黑体" w:cs="黑体"/>
          <w:b/>
          <w:bCs/>
          <w:spacing w:val="-2"/>
          <w:sz w:val="27"/>
          <w:szCs w:val="27"/>
        </w:rPr>
        <w:t>与其他评估的协调</w:t>
      </w:r>
    </w:p>
    <w:p w14:paraId="05335EA0">
      <w:pPr>
        <w:pStyle w:val="2"/>
        <w:spacing w:before="98" w:line="218" w:lineRule="auto"/>
        <w:ind w:left="550"/>
      </w:pPr>
      <w:r>
        <w:t>使用可靠性评估应与系统战备完好性评估同时进行，作出有关协调说明。</w:t>
      </w:r>
    </w:p>
    <w:p w14:paraId="5B51DAB9">
      <w:pPr>
        <w:spacing w:line="300" w:lineRule="auto"/>
        <w:rPr>
          <w:rFonts w:ascii="Arial"/>
          <w:sz w:val="21"/>
        </w:rPr>
      </w:pPr>
    </w:p>
    <w:p w14:paraId="51FC4903">
      <w:pPr>
        <w:pStyle w:val="2"/>
        <w:spacing w:before="117" w:line="218" w:lineRule="auto"/>
        <w:ind w:left="2119"/>
        <w:rPr>
          <w:sz w:val="36"/>
          <w:szCs w:val="36"/>
        </w:rPr>
      </w:pPr>
      <w:r>
        <w:rPr>
          <w:spacing w:val="3"/>
          <w:sz w:val="36"/>
          <w:szCs w:val="36"/>
        </w:rPr>
        <w:t xml:space="preserve">7.30  </w:t>
      </w:r>
      <w:r>
        <w:rPr>
          <w:b/>
          <w:bCs/>
          <w:spacing w:val="3"/>
          <w:sz w:val="36"/>
          <w:szCs w:val="36"/>
        </w:rPr>
        <w:t>使用期间可靠性评估报告</w:t>
      </w:r>
    </w:p>
    <w:p w14:paraId="33C7A12D">
      <w:pPr>
        <w:spacing w:line="339" w:lineRule="auto"/>
        <w:rPr>
          <w:rFonts w:ascii="Arial"/>
          <w:sz w:val="21"/>
        </w:rPr>
      </w:pPr>
    </w:p>
    <w:p w14:paraId="2172301A">
      <w:pPr>
        <w:pStyle w:val="2"/>
        <w:spacing w:before="91" w:line="223" w:lineRule="auto"/>
        <w:ind w:left="55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239067C9">
      <w:pPr>
        <w:spacing w:before="9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0FD0F3D9">
      <w:pPr>
        <w:spacing w:before="6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15DD342F">
      <w:pPr>
        <w:spacing w:before="75"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6"/>
          <w:sz w:val="27"/>
          <w:szCs w:val="27"/>
        </w:rPr>
        <w:t xml:space="preserve">  </w:t>
      </w:r>
      <w:r>
        <w:rPr>
          <w:rFonts w:ascii="黑体" w:hAnsi="黑体" w:eastAsia="黑体" w:cs="黑体"/>
          <w:b/>
          <w:bCs/>
          <w:spacing w:val="-1"/>
          <w:sz w:val="27"/>
          <w:szCs w:val="27"/>
        </w:rPr>
        <w:t>数据的评价</w:t>
      </w:r>
    </w:p>
    <w:p w14:paraId="380080A9">
      <w:pPr>
        <w:pStyle w:val="2"/>
        <w:spacing w:before="78" w:line="283" w:lineRule="auto"/>
        <w:ind w:right="122" w:firstLine="550"/>
      </w:pPr>
      <w:r>
        <w:rPr>
          <w:spacing w:val="-3"/>
        </w:rPr>
        <w:t>说明在整个评估过程中不断地对收集、分析、处理的</w:t>
      </w:r>
      <w:r>
        <w:rPr>
          <w:spacing w:val="-4"/>
        </w:rPr>
        <w:t>数据进行的分析评估情</w:t>
      </w:r>
      <w:r>
        <w:t xml:space="preserve"> </w:t>
      </w:r>
      <w:r>
        <w:rPr>
          <w:spacing w:val="-3"/>
        </w:rPr>
        <w:t>况，确保获得可信的评估结果及其他有用信息。</w:t>
      </w:r>
    </w:p>
    <w:p w14:paraId="5A8F7D03">
      <w:pPr>
        <w:spacing w:before="1"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1"/>
          <w:sz w:val="27"/>
          <w:szCs w:val="27"/>
        </w:rPr>
        <w:t xml:space="preserve">  </w:t>
      </w:r>
      <w:r>
        <w:rPr>
          <w:rFonts w:ascii="黑体" w:hAnsi="黑体" w:eastAsia="黑体" w:cs="黑体"/>
          <w:b/>
          <w:bCs/>
          <w:spacing w:val="-1"/>
          <w:sz w:val="27"/>
          <w:szCs w:val="27"/>
        </w:rPr>
        <w:t>评估过程</w:t>
      </w:r>
    </w:p>
    <w:p w14:paraId="1CDDA923">
      <w:pPr>
        <w:pStyle w:val="2"/>
        <w:spacing w:before="70" w:line="286" w:lineRule="auto"/>
        <w:ind w:right="123" w:firstLine="550"/>
      </w:pPr>
      <w:r>
        <w:rPr>
          <w:spacing w:val="-3"/>
        </w:rPr>
        <w:t>依据使用期间可靠性评估计划中要求的评估方法，</w:t>
      </w:r>
      <w:r>
        <w:rPr>
          <w:spacing w:val="-4"/>
        </w:rPr>
        <w:t>制定的评估程序，记述对</w:t>
      </w:r>
      <w:r>
        <w:t xml:space="preserve"> </w:t>
      </w:r>
      <w:r>
        <w:rPr>
          <w:spacing w:val="3"/>
        </w:rPr>
        <w:t>各项内容进行的分析评估过程。</w:t>
      </w:r>
    </w:p>
    <w:p w14:paraId="21C5FF2F">
      <w:pPr>
        <w:spacing w:line="221" w:lineRule="auto"/>
        <w:outlineLvl w:val="3"/>
        <w:rPr>
          <w:rFonts w:ascii="黑体" w:hAnsi="黑体" w:eastAsia="黑体" w:cs="黑体"/>
          <w:sz w:val="27"/>
          <w:szCs w:val="27"/>
        </w:rPr>
      </w:pPr>
      <w:r>
        <w:rPr>
          <w:rFonts w:ascii="Arial" w:hAnsi="Arial" w:eastAsia="Arial" w:cs="Arial"/>
          <w:b/>
          <w:bCs/>
          <w:spacing w:val="-3"/>
          <w:sz w:val="27"/>
          <w:szCs w:val="27"/>
        </w:rPr>
        <w:t>5</w:t>
      </w:r>
      <w:r>
        <w:rPr>
          <w:rFonts w:ascii="Arial" w:hAnsi="Arial" w:eastAsia="Arial" w:cs="Arial"/>
          <w:b/>
          <w:bCs/>
          <w:spacing w:val="21"/>
          <w:sz w:val="27"/>
          <w:szCs w:val="27"/>
        </w:rPr>
        <w:t xml:space="preserve">   </w:t>
      </w:r>
      <w:r>
        <w:rPr>
          <w:rFonts w:ascii="黑体" w:hAnsi="黑体" w:eastAsia="黑体" w:cs="黑体"/>
          <w:b/>
          <w:bCs/>
          <w:spacing w:val="-3"/>
          <w:sz w:val="27"/>
          <w:szCs w:val="27"/>
        </w:rPr>
        <w:t>评估结论</w:t>
      </w:r>
    </w:p>
    <w:p w14:paraId="57E56110">
      <w:pPr>
        <w:pStyle w:val="2"/>
        <w:spacing w:before="79" w:line="218" w:lineRule="auto"/>
        <w:ind w:left="550"/>
      </w:pPr>
      <w:r>
        <w:rPr>
          <w:spacing w:val="-3"/>
        </w:rPr>
        <w:t>依据评估准则、判据得出的分析评估结论。</w:t>
      </w:r>
    </w:p>
    <w:p w14:paraId="705E92E0">
      <w:pPr>
        <w:spacing w:before="80" w:line="223"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5"/>
          <w:sz w:val="27"/>
          <w:szCs w:val="27"/>
        </w:rPr>
        <w:t xml:space="preserve">  </w:t>
      </w:r>
      <w:r>
        <w:rPr>
          <w:rFonts w:ascii="黑体" w:hAnsi="黑体" w:eastAsia="黑体" w:cs="黑体"/>
          <w:b/>
          <w:bCs/>
          <w:spacing w:val="-2"/>
          <w:sz w:val="27"/>
          <w:szCs w:val="27"/>
        </w:rPr>
        <w:t>纠正措施</w:t>
      </w:r>
    </w:p>
    <w:p w14:paraId="52B36E23">
      <w:pPr>
        <w:pStyle w:val="2"/>
        <w:spacing w:before="88" w:line="220" w:lineRule="auto"/>
        <w:ind w:left="550"/>
      </w:pPr>
      <w:r>
        <w:rPr>
          <w:spacing w:val="2"/>
        </w:rPr>
        <w:t>提出对发现问题的纠正措施建议。</w:t>
      </w:r>
    </w:p>
    <w:p w14:paraId="5D66A4F1">
      <w:pPr>
        <w:spacing w:before="82" w:line="222" w:lineRule="auto"/>
        <w:rPr>
          <w:rFonts w:ascii="黑体" w:hAnsi="黑体" w:eastAsia="黑体" w:cs="黑体"/>
          <w:sz w:val="27"/>
          <w:szCs w:val="27"/>
        </w:rPr>
      </w:pPr>
      <w:r>
        <w:rPr>
          <w:rFonts w:ascii="黑体" w:hAnsi="黑体" w:eastAsia="黑体" w:cs="黑体"/>
          <w:spacing w:val="-2"/>
          <w:sz w:val="27"/>
          <w:szCs w:val="27"/>
        </w:rPr>
        <w:t>7</w:t>
      </w:r>
      <w:r>
        <w:rPr>
          <w:rFonts w:ascii="黑体" w:hAnsi="黑体" w:eastAsia="黑体" w:cs="黑体"/>
          <w:spacing w:val="15"/>
          <w:sz w:val="27"/>
          <w:szCs w:val="27"/>
        </w:rPr>
        <w:t xml:space="preserve">  </w:t>
      </w:r>
      <w:r>
        <w:rPr>
          <w:rFonts w:ascii="黑体" w:hAnsi="黑体" w:eastAsia="黑体" w:cs="黑体"/>
          <w:b/>
          <w:bCs/>
          <w:spacing w:val="-2"/>
          <w:sz w:val="27"/>
          <w:szCs w:val="27"/>
        </w:rPr>
        <w:t>改进建议</w:t>
      </w:r>
    </w:p>
    <w:p w14:paraId="0F53BF78">
      <w:pPr>
        <w:pStyle w:val="2"/>
        <w:spacing w:before="101" w:line="219" w:lineRule="auto"/>
        <w:ind w:left="550"/>
      </w:pPr>
      <w:r>
        <w:rPr>
          <w:spacing w:val="4"/>
        </w:rPr>
        <w:t>对装备的可靠性缺陷提出设计改进建议。</w:t>
      </w:r>
    </w:p>
    <w:p w14:paraId="4C81839A">
      <w:pPr>
        <w:spacing w:before="73" w:line="221" w:lineRule="auto"/>
        <w:rPr>
          <w:rFonts w:ascii="黑体" w:hAnsi="黑体" w:eastAsia="黑体" w:cs="黑体"/>
          <w:sz w:val="27"/>
          <w:szCs w:val="27"/>
        </w:rPr>
      </w:pPr>
      <w:r>
        <w:rPr>
          <w:rFonts w:ascii="黑体" w:hAnsi="黑体" w:eastAsia="黑体" w:cs="黑体"/>
          <w:spacing w:val="2"/>
          <w:sz w:val="27"/>
          <w:szCs w:val="27"/>
        </w:rPr>
        <w:t>8</w:t>
      </w:r>
      <w:r>
        <w:rPr>
          <w:rFonts w:ascii="黑体" w:hAnsi="黑体" w:eastAsia="黑体" w:cs="黑体"/>
          <w:spacing w:val="13"/>
          <w:sz w:val="27"/>
          <w:szCs w:val="27"/>
        </w:rPr>
        <w:t xml:space="preserve">  </w:t>
      </w:r>
      <w:r>
        <w:rPr>
          <w:rFonts w:ascii="黑体" w:hAnsi="黑体" w:eastAsia="黑体" w:cs="黑体"/>
          <w:b/>
          <w:bCs/>
          <w:spacing w:val="2"/>
          <w:sz w:val="27"/>
          <w:szCs w:val="27"/>
        </w:rPr>
        <w:t>有关说明</w:t>
      </w:r>
    </w:p>
    <w:p w14:paraId="36272C40">
      <w:pPr>
        <w:pStyle w:val="2"/>
        <w:spacing w:before="120" w:line="218" w:lineRule="auto"/>
        <w:ind w:left="550"/>
        <w:rPr>
          <w:sz w:val="25"/>
          <w:szCs w:val="25"/>
        </w:rPr>
      </w:pPr>
      <w:r>
        <w:rPr>
          <w:spacing w:val="15"/>
          <w:sz w:val="25"/>
          <w:szCs w:val="25"/>
        </w:rPr>
        <w:t>对有关情况进行说明，如与维修性、测试性等有关评价协调进行等情况。</w:t>
      </w:r>
    </w:p>
    <w:p w14:paraId="0E696AEE">
      <w:pPr>
        <w:spacing w:line="337" w:lineRule="auto"/>
        <w:rPr>
          <w:rFonts w:ascii="Arial"/>
          <w:sz w:val="21"/>
        </w:rPr>
      </w:pPr>
    </w:p>
    <w:p w14:paraId="4B521BC7">
      <w:pPr>
        <w:pStyle w:val="2"/>
        <w:spacing w:before="118" w:line="219" w:lineRule="auto"/>
        <w:ind w:left="2170"/>
        <w:outlineLvl w:val="1"/>
        <w:rPr>
          <w:sz w:val="36"/>
          <w:szCs w:val="36"/>
        </w:rPr>
      </w:pPr>
      <w:r>
        <w:rPr>
          <w:rFonts w:ascii="Times New Roman" w:hAnsi="Times New Roman" w:eastAsia="Times New Roman" w:cs="Times New Roman"/>
          <w:b/>
          <w:bCs/>
          <w:spacing w:val="1"/>
          <w:sz w:val="36"/>
          <w:szCs w:val="36"/>
        </w:rPr>
        <w:t xml:space="preserve">7.31     </w:t>
      </w:r>
      <w:r>
        <w:rPr>
          <w:b/>
          <w:bCs/>
          <w:spacing w:val="1"/>
          <w:sz w:val="36"/>
          <w:szCs w:val="36"/>
        </w:rPr>
        <w:t>使用期间可靠性改进计划</w:t>
      </w:r>
    </w:p>
    <w:p w14:paraId="62D983A4">
      <w:pPr>
        <w:spacing w:line="324" w:lineRule="auto"/>
        <w:rPr>
          <w:rFonts w:ascii="Arial"/>
          <w:sz w:val="21"/>
        </w:rPr>
      </w:pPr>
    </w:p>
    <w:p w14:paraId="6913F558">
      <w:pPr>
        <w:pStyle w:val="2"/>
        <w:spacing w:before="92" w:line="223" w:lineRule="auto"/>
        <w:ind w:left="55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43324BCB">
      <w:pPr>
        <w:spacing w:before="7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249C9049">
      <w:pPr>
        <w:spacing w:before="7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265341AA">
      <w:pPr>
        <w:spacing w:before="76" w:line="222"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确定改进项目及其目标</w:t>
      </w:r>
    </w:p>
    <w:p w14:paraId="27B95C36">
      <w:pPr>
        <w:pStyle w:val="2"/>
        <w:spacing w:before="138" w:line="272" w:lineRule="auto"/>
        <w:ind w:firstLine="550"/>
        <w:jc w:val="both"/>
      </w:pPr>
      <w:r>
        <w:rPr>
          <w:spacing w:val="5"/>
        </w:rPr>
        <w:t>根据装备使用中暴露的可靠性问题和技术的发展，通过必要的权衡分析或</w:t>
      </w:r>
      <w:r>
        <w:t xml:space="preserve">  </w:t>
      </w:r>
      <w:r>
        <w:rPr>
          <w:spacing w:val="5"/>
        </w:rPr>
        <w:t>试验确定需要采取改进的项目及改进目标。改进项目是那些对提高战备完好性</w:t>
      </w:r>
      <w:r>
        <w:t xml:space="preserve">  </w:t>
      </w:r>
      <w:r>
        <w:rPr>
          <w:spacing w:val="1"/>
        </w:rPr>
        <w:t>和任务成功性、减少维修工作量和降低寿命周期费用</w:t>
      </w:r>
      <w:r>
        <w:t>有重要影响和效果的项目。</w:t>
      </w:r>
    </w:p>
    <w:p w14:paraId="00892C63">
      <w:pPr>
        <w:spacing w:before="3"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2"/>
          <w:sz w:val="27"/>
          <w:szCs w:val="27"/>
        </w:rPr>
        <w:t xml:space="preserve">  </w:t>
      </w:r>
      <w:r>
        <w:rPr>
          <w:rFonts w:ascii="黑体" w:hAnsi="黑体" w:eastAsia="黑体" w:cs="黑体"/>
          <w:b/>
          <w:bCs/>
          <w:spacing w:val="-1"/>
          <w:sz w:val="27"/>
          <w:szCs w:val="27"/>
        </w:rPr>
        <w:t>改进方案</w:t>
      </w:r>
    </w:p>
    <w:p w14:paraId="6E507F5D">
      <w:pPr>
        <w:pStyle w:val="2"/>
        <w:spacing w:before="122" w:line="219" w:lineRule="auto"/>
        <w:ind w:left="550"/>
        <w:rPr>
          <w:sz w:val="24"/>
          <w:szCs w:val="24"/>
        </w:rPr>
      </w:pPr>
      <w:r>
        <w:rPr>
          <w:spacing w:val="35"/>
          <w:sz w:val="24"/>
          <w:szCs w:val="24"/>
        </w:rPr>
        <w:t>针对确定的改进项目的目标，制定改进方案。改进装备使用可靠性的途径</w:t>
      </w:r>
    </w:p>
    <w:p w14:paraId="58A72FE9">
      <w:pPr>
        <w:spacing w:line="219" w:lineRule="auto"/>
        <w:rPr>
          <w:sz w:val="24"/>
          <w:szCs w:val="24"/>
        </w:rPr>
        <w:sectPr>
          <w:footerReference r:id="rId402" w:type="default"/>
          <w:pgSz w:w="11910" w:h="17130"/>
          <w:pgMar w:top="1441" w:right="895" w:bottom="1666" w:left="1539" w:header="0" w:footer="1476" w:gutter="0"/>
          <w:cols w:space="720" w:num="1"/>
        </w:sectPr>
      </w:pPr>
    </w:p>
    <w:p w14:paraId="0476D443">
      <w:pPr>
        <w:pStyle w:val="2"/>
        <w:spacing w:before="55" w:line="295" w:lineRule="auto"/>
        <w:ind w:right="29"/>
      </w:pPr>
      <w:r>
        <w:rPr>
          <w:spacing w:val="-10"/>
        </w:rPr>
        <w:t>主要包括：设计更改；制造工艺的更改；使用与维修方法的改进；保障系统及保障</w:t>
      </w:r>
      <w:r>
        <w:t xml:space="preserve"> 资源的改进等。</w:t>
      </w:r>
    </w:p>
    <w:p w14:paraId="2C3685FA">
      <w:pPr>
        <w:spacing w:before="1" w:line="220" w:lineRule="auto"/>
        <w:outlineLvl w:val="3"/>
        <w:rPr>
          <w:rFonts w:ascii="黑体" w:hAnsi="黑体" w:eastAsia="黑体" w:cs="黑体"/>
          <w:sz w:val="27"/>
          <w:szCs w:val="27"/>
        </w:rPr>
      </w:pPr>
      <w:r>
        <w:rPr>
          <w:rFonts w:ascii="Arial" w:hAnsi="Arial" w:eastAsia="Arial" w:cs="Arial"/>
          <w:b/>
          <w:bCs/>
          <w:spacing w:val="-10"/>
          <w:sz w:val="27"/>
          <w:szCs w:val="27"/>
        </w:rPr>
        <w:t>5</w:t>
      </w:r>
      <w:r>
        <w:rPr>
          <w:rFonts w:ascii="Arial" w:hAnsi="Arial" w:eastAsia="Arial" w:cs="Arial"/>
          <w:b/>
          <w:bCs/>
          <w:spacing w:val="20"/>
          <w:sz w:val="27"/>
          <w:szCs w:val="27"/>
        </w:rPr>
        <w:t xml:space="preserve">   </w:t>
      </w:r>
      <w:r>
        <w:rPr>
          <w:rFonts w:ascii="黑体" w:hAnsi="黑体" w:eastAsia="黑体" w:cs="黑体"/>
          <w:b/>
          <w:bCs/>
          <w:spacing w:val="-10"/>
          <w:sz w:val="27"/>
          <w:szCs w:val="27"/>
        </w:rPr>
        <w:t>改进单位、人员及其职责</w:t>
      </w:r>
    </w:p>
    <w:p w14:paraId="5F8EECAF">
      <w:pPr>
        <w:pStyle w:val="2"/>
        <w:spacing w:before="83" w:line="219" w:lineRule="auto"/>
        <w:ind w:left="560"/>
      </w:pPr>
      <w:r>
        <w:rPr>
          <w:spacing w:val="-3"/>
        </w:rPr>
        <w:t>确定进行可靠性改进的单位、人员及其职责。</w:t>
      </w:r>
    </w:p>
    <w:p w14:paraId="0B380710">
      <w:pPr>
        <w:pStyle w:val="2"/>
        <w:spacing w:before="89" w:line="219" w:lineRule="auto"/>
        <w:ind w:left="560"/>
      </w:pPr>
      <w:r>
        <w:rPr>
          <w:spacing w:val="-2"/>
        </w:rPr>
        <w:t>可靠性改进还应有专门的组织负责管理，其主要职责是：</w:t>
      </w:r>
    </w:p>
    <w:p w14:paraId="4340B52D">
      <w:pPr>
        <w:pStyle w:val="2"/>
        <w:spacing w:before="49" w:line="212" w:lineRule="auto"/>
        <w:ind w:left="560"/>
      </w:pPr>
      <w:r>
        <w:rPr>
          <w:rFonts w:ascii="Times New Roman" w:hAnsi="Times New Roman" w:eastAsia="Times New Roman" w:cs="Times New Roman"/>
          <w:spacing w:val="3"/>
        </w:rPr>
        <w:t>a)</w:t>
      </w:r>
      <w:r>
        <w:rPr>
          <w:rFonts w:ascii="Times New Roman" w:hAnsi="Times New Roman" w:eastAsia="Times New Roman" w:cs="Times New Roman"/>
          <w:spacing w:val="75"/>
          <w:w w:val="101"/>
        </w:rPr>
        <w:t xml:space="preserve"> </w:t>
      </w:r>
      <w:r>
        <w:rPr>
          <w:spacing w:val="3"/>
        </w:rPr>
        <w:t>组织论证并确定可靠性改进项目；</w:t>
      </w:r>
    </w:p>
    <w:p w14:paraId="2CED39BC">
      <w:pPr>
        <w:pStyle w:val="2"/>
        <w:spacing w:before="99"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67"/>
        </w:rPr>
        <w:t xml:space="preserve"> </w:t>
      </w:r>
      <w:r>
        <w:rPr>
          <w:spacing w:val="2"/>
        </w:rPr>
        <w:t>制定可靠性改进计划；</w:t>
      </w:r>
    </w:p>
    <w:p w14:paraId="7FEA2741">
      <w:pPr>
        <w:pStyle w:val="2"/>
        <w:spacing w:before="80" w:line="212" w:lineRule="auto"/>
        <w:ind w:left="560"/>
      </w:pPr>
      <w:r>
        <w:rPr>
          <w:rFonts w:ascii="Times New Roman" w:hAnsi="Times New Roman" w:eastAsia="Times New Roman" w:cs="Times New Roman"/>
          <w:spacing w:val="-5"/>
        </w:rPr>
        <w:t>c)</w:t>
      </w:r>
      <w:r>
        <w:rPr>
          <w:rFonts w:ascii="Times New Roman" w:hAnsi="Times New Roman" w:eastAsia="Times New Roman" w:cs="Times New Roman"/>
          <w:spacing w:val="69"/>
        </w:rPr>
        <w:t xml:space="preserve"> </w:t>
      </w:r>
      <w:r>
        <w:rPr>
          <w:spacing w:val="-5"/>
        </w:rPr>
        <w:t>组织对改进项目、改进方案的评审；</w:t>
      </w:r>
    </w:p>
    <w:p w14:paraId="5B92CA31">
      <w:pPr>
        <w:pStyle w:val="2"/>
        <w:spacing w:before="110" w:line="212" w:lineRule="auto"/>
        <w:ind w:left="560"/>
      </w:pPr>
      <w:r>
        <w:rPr>
          <w:rFonts w:ascii="Times New Roman" w:hAnsi="Times New Roman" w:eastAsia="Times New Roman" w:cs="Times New Roman"/>
          <w:spacing w:val="2"/>
        </w:rPr>
        <w:t>d)</w:t>
      </w:r>
      <w:r>
        <w:rPr>
          <w:rFonts w:ascii="Times New Roman" w:hAnsi="Times New Roman" w:eastAsia="Times New Roman" w:cs="Times New Roman"/>
          <w:spacing w:val="65"/>
        </w:rPr>
        <w:t xml:space="preserve"> </w:t>
      </w:r>
      <w:r>
        <w:rPr>
          <w:spacing w:val="2"/>
        </w:rPr>
        <w:t>对改进的过程进行跟踪；</w:t>
      </w:r>
    </w:p>
    <w:p w14:paraId="30AF6FB9">
      <w:pPr>
        <w:pStyle w:val="2"/>
        <w:spacing w:before="100" w:line="212" w:lineRule="auto"/>
        <w:ind w:left="560"/>
      </w:pPr>
      <w:r>
        <w:rPr>
          <w:rFonts w:ascii="Times New Roman" w:hAnsi="Times New Roman" w:eastAsia="Times New Roman" w:cs="Times New Roman"/>
          <w:spacing w:val="3"/>
        </w:rPr>
        <w:t>e)</w:t>
      </w:r>
      <w:r>
        <w:rPr>
          <w:rFonts w:ascii="Times New Roman" w:hAnsi="Times New Roman" w:eastAsia="Times New Roman" w:cs="Times New Roman"/>
          <w:spacing w:val="70"/>
          <w:w w:val="101"/>
        </w:rPr>
        <w:t xml:space="preserve"> </w:t>
      </w:r>
      <w:r>
        <w:rPr>
          <w:spacing w:val="3"/>
        </w:rPr>
        <w:t>组织改进项目的验证；</w:t>
      </w:r>
    </w:p>
    <w:p w14:paraId="03B43519">
      <w:pPr>
        <w:pStyle w:val="2"/>
        <w:spacing w:before="100" w:line="212" w:lineRule="auto"/>
        <w:ind w:left="560"/>
      </w:pPr>
      <w:r>
        <w:rPr>
          <w:rFonts w:ascii="Times New Roman" w:hAnsi="Times New Roman" w:eastAsia="Times New Roman" w:cs="Times New Roman"/>
          <w:spacing w:val="2"/>
        </w:rPr>
        <w:t xml:space="preserve">f)  </w:t>
      </w:r>
      <w:r>
        <w:rPr>
          <w:spacing w:val="2"/>
        </w:rPr>
        <w:t>编制可靠性改进项目报告等。</w:t>
      </w:r>
    </w:p>
    <w:p w14:paraId="7C708A64">
      <w:pPr>
        <w:spacing w:before="97" w:line="222"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9"/>
          <w:sz w:val="27"/>
          <w:szCs w:val="27"/>
        </w:rPr>
        <w:t xml:space="preserve">  </w:t>
      </w:r>
      <w:r>
        <w:rPr>
          <w:rFonts w:ascii="黑体" w:hAnsi="黑体" w:eastAsia="黑体" w:cs="黑体"/>
          <w:b/>
          <w:bCs/>
          <w:sz w:val="27"/>
          <w:szCs w:val="27"/>
        </w:rPr>
        <w:t>经费安排</w:t>
      </w:r>
    </w:p>
    <w:p w14:paraId="64C5B350">
      <w:pPr>
        <w:pStyle w:val="2"/>
        <w:spacing w:before="116" w:line="218" w:lineRule="auto"/>
        <w:ind w:left="560"/>
        <w:rPr>
          <w:sz w:val="25"/>
          <w:szCs w:val="25"/>
        </w:rPr>
      </w:pPr>
      <w:r>
        <w:rPr>
          <w:spacing w:val="17"/>
          <w:sz w:val="25"/>
          <w:szCs w:val="25"/>
        </w:rPr>
        <w:t>对可靠性改进所需经费进行估算，明确经费安排。</w:t>
      </w:r>
    </w:p>
    <w:p w14:paraId="6D0E3A99">
      <w:pPr>
        <w:spacing w:before="121" w:line="222" w:lineRule="auto"/>
        <w:rPr>
          <w:rFonts w:ascii="黑体" w:hAnsi="黑体" w:eastAsia="黑体" w:cs="黑体"/>
          <w:sz w:val="24"/>
          <w:szCs w:val="24"/>
        </w:rPr>
      </w:pPr>
      <w:r>
        <w:rPr>
          <w:rFonts w:ascii="黑体" w:hAnsi="黑体" w:eastAsia="黑体" w:cs="黑体"/>
          <w:spacing w:val="24"/>
          <w:sz w:val="24"/>
          <w:szCs w:val="24"/>
        </w:rPr>
        <w:t>7</w:t>
      </w:r>
      <w:r>
        <w:rPr>
          <w:rFonts w:ascii="黑体" w:hAnsi="黑体" w:eastAsia="黑体" w:cs="黑体"/>
          <w:spacing w:val="32"/>
          <w:sz w:val="24"/>
          <w:szCs w:val="24"/>
        </w:rPr>
        <w:t xml:space="preserve">  </w:t>
      </w:r>
      <w:r>
        <w:rPr>
          <w:rFonts w:ascii="黑体" w:hAnsi="黑体" w:eastAsia="黑体" w:cs="黑体"/>
          <w:b/>
          <w:bCs/>
          <w:spacing w:val="24"/>
          <w:sz w:val="24"/>
          <w:szCs w:val="24"/>
        </w:rPr>
        <w:t>进度安排</w:t>
      </w:r>
    </w:p>
    <w:p w14:paraId="041A48C9">
      <w:pPr>
        <w:pStyle w:val="2"/>
        <w:spacing w:before="108" w:line="219" w:lineRule="auto"/>
        <w:ind w:left="560"/>
      </w:pPr>
      <w:r>
        <w:rPr>
          <w:spacing w:val="-2"/>
        </w:rPr>
        <w:t>说明可靠性改进工作的进度安排，给出时间节点和工作内容。</w:t>
      </w:r>
    </w:p>
    <w:p w14:paraId="361F3643">
      <w:pPr>
        <w:spacing w:before="63" w:line="221" w:lineRule="auto"/>
        <w:outlineLvl w:val="3"/>
        <w:rPr>
          <w:rFonts w:ascii="黑体" w:hAnsi="黑体" w:eastAsia="黑体" w:cs="黑体"/>
          <w:sz w:val="27"/>
          <w:szCs w:val="27"/>
        </w:rPr>
      </w:pPr>
      <w:r>
        <w:rPr>
          <w:rFonts w:ascii="Arial" w:hAnsi="Arial" w:eastAsia="Arial" w:cs="Arial"/>
          <w:b/>
          <w:bCs/>
          <w:sz w:val="27"/>
          <w:szCs w:val="27"/>
        </w:rPr>
        <w:t>8</w:t>
      </w:r>
      <w:r>
        <w:rPr>
          <w:rFonts w:ascii="Arial" w:hAnsi="Arial" w:eastAsia="Arial" w:cs="Arial"/>
          <w:b/>
          <w:bCs/>
          <w:spacing w:val="17"/>
          <w:sz w:val="27"/>
          <w:szCs w:val="27"/>
        </w:rPr>
        <w:t xml:space="preserve">   </w:t>
      </w:r>
      <w:r>
        <w:rPr>
          <w:rFonts w:ascii="黑体" w:hAnsi="黑体" w:eastAsia="黑体" w:cs="黑体"/>
          <w:b/>
          <w:bCs/>
          <w:sz w:val="27"/>
          <w:szCs w:val="27"/>
        </w:rPr>
        <w:t>验证要求和方法</w:t>
      </w:r>
    </w:p>
    <w:p w14:paraId="0569F298">
      <w:pPr>
        <w:pStyle w:val="2"/>
        <w:spacing w:before="92" w:line="219" w:lineRule="auto"/>
        <w:ind w:left="560"/>
      </w:pPr>
      <w:r>
        <w:rPr>
          <w:spacing w:val="-2"/>
        </w:rPr>
        <w:t>对改进项目提出验证要求和方法，说明采用验证方法的理由。</w:t>
      </w:r>
    </w:p>
    <w:p w14:paraId="4B89E992">
      <w:pPr>
        <w:spacing w:before="95" w:line="222" w:lineRule="auto"/>
        <w:rPr>
          <w:rFonts w:ascii="黑体" w:hAnsi="黑体" w:eastAsia="黑体" w:cs="黑体"/>
          <w:sz w:val="27"/>
          <w:szCs w:val="27"/>
        </w:rPr>
      </w:pPr>
      <w:r>
        <w:rPr>
          <w:rFonts w:ascii="黑体" w:hAnsi="黑体" w:eastAsia="黑体" w:cs="黑体"/>
          <w:spacing w:val="2"/>
          <w:sz w:val="27"/>
          <w:szCs w:val="27"/>
        </w:rPr>
        <w:t xml:space="preserve">9  </w:t>
      </w:r>
      <w:r>
        <w:rPr>
          <w:rFonts w:ascii="黑体" w:hAnsi="黑体" w:eastAsia="黑体" w:cs="黑体"/>
          <w:b/>
          <w:bCs/>
          <w:spacing w:val="2"/>
          <w:sz w:val="27"/>
          <w:szCs w:val="27"/>
        </w:rPr>
        <w:t>与其他改进项目的协调和权衡</w:t>
      </w:r>
    </w:p>
    <w:p w14:paraId="06A054AA">
      <w:pPr>
        <w:pStyle w:val="2"/>
        <w:spacing w:before="91" w:line="270" w:lineRule="auto"/>
        <w:ind w:right="17" w:firstLine="560"/>
      </w:pPr>
      <w:r>
        <w:rPr>
          <w:spacing w:val="5"/>
        </w:rPr>
        <w:t>说明已与装备的其他改进项目进行了充分的协调和权衡，以保证改进的总</w:t>
      </w:r>
      <w:r>
        <w:rPr>
          <w:spacing w:val="11"/>
        </w:rPr>
        <w:t xml:space="preserve"> </w:t>
      </w:r>
      <w:r>
        <w:rPr>
          <w:spacing w:val="-1"/>
        </w:rPr>
        <w:t>体效益。</w:t>
      </w:r>
    </w:p>
    <w:p w14:paraId="670BDF89">
      <w:pPr>
        <w:spacing w:line="277" w:lineRule="auto"/>
        <w:rPr>
          <w:rFonts w:ascii="Arial"/>
          <w:sz w:val="21"/>
        </w:rPr>
      </w:pPr>
    </w:p>
    <w:p w14:paraId="752CBF04">
      <w:pPr>
        <w:pStyle w:val="2"/>
        <w:spacing w:before="117" w:line="218" w:lineRule="auto"/>
        <w:ind w:left="1769"/>
        <w:outlineLvl w:val="1"/>
        <w:rPr>
          <w:sz w:val="36"/>
          <w:szCs w:val="36"/>
        </w:rPr>
      </w:pPr>
      <w:r>
        <w:rPr>
          <w:rFonts w:ascii="Times New Roman" w:hAnsi="Times New Roman" w:eastAsia="Times New Roman" w:cs="Times New Roman"/>
          <w:b/>
          <w:bCs/>
          <w:spacing w:val="3"/>
          <w:sz w:val="36"/>
          <w:szCs w:val="36"/>
        </w:rPr>
        <w:t xml:space="preserve">7.32     </w:t>
      </w:r>
      <w:r>
        <w:rPr>
          <w:b/>
          <w:bCs/>
          <w:spacing w:val="3"/>
          <w:sz w:val="36"/>
          <w:szCs w:val="36"/>
        </w:rPr>
        <w:t>使用期间可靠性改进项目报告</w:t>
      </w:r>
    </w:p>
    <w:p w14:paraId="2D5E9A8B">
      <w:pPr>
        <w:spacing w:line="319" w:lineRule="auto"/>
        <w:rPr>
          <w:rFonts w:ascii="Arial"/>
          <w:sz w:val="21"/>
        </w:rPr>
      </w:pPr>
    </w:p>
    <w:p w14:paraId="50C1D80B">
      <w:pPr>
        <w:pStyle w:val="2"/>
        <w:spacing w:before="92" w:line="223"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450A—2004</w:t>
      </w:r>
      <w:r>
        <w:rPr>
          <w:spacing w:val="-10"/>
          <w:sz w:val="28"/>
          <w:szCs w:val="28"/>
        </w:rPr>
        <w:t>《</w:t>
      </w:r>
      <w:r>
        <w:rPr>
          <w:rFonts w:ascii="楷体" w:hAnsi="楷体" w:eastAsia="楷体" w:cs="楷体"/>
          <w:spacing w:val="-10"/>
          <w:sz w:val="28"/>
          <w:szCs w:val="28"/>
        </w:rPr>
        <w:t>装备可靠性工作通用要求》编写。</w:t>
      </w:r>
    </w:p>
    <w:p w14:paraId="6EF07268">
      <w:pPr>
        <w:spacing w:before="95"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0"/>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207DFB5B">
      <w:pPr>
        <w:spacing w:before="96" w:line="222" w:lineRule="auto"/>
        <w:rPr>
          <w:rFonts w:ascii="黑体" w:hAnsi="黑体" w:eastAsia="黑体" w:cs="黑体"/>
          <w:sz w:val="25"/>
          <w:szCs w:val="25"/>
        </w:rPr>
      </w:pPr>
      <w:r>
        <w:rPr>
          <w:rFonts w:ascii="黑体" w:hAnsi="黑体" w:eastAsia="黑体" w:cs="黑体"/>
          <w:spacing w:val="17"/>
          <w:sz w:val="25"/>
          <w:szCs w:val="25"/>
        </w:rPr>
        <w:t>2</w:t>
      </w:r>
      <w:r>
        <w:rPr>
          <w:rFonts w:ascii="黑体" w:hAnsi="黑体" w:eastAsia="黑体" w:cs="黑体"/>
          <w:spacing w:val="23"/>
          <w:sz w:val="25"/>
          <w:szCs w:val="25"/>
        </w:rPr>
        <w:t xml:space="preserve">  </w:t>
      </w:r>
      <w:r>
        <w:rPr>
          <w:rFonts w:ascii="黑体" w:hAnsi="黑体" w:eastAsia="黑体" w:cs="黑体"/>
          <w:b/>
          <w:bCs/>
          <w:spacing w:val="17"/>
          <w:sz w:val="25"/>
          <w:szCs w:val="25"/>
        </w:rPr>
        <w:t>引用文件</w:t>
      </w:r>
    </w:p>
    <w:p w14:paraId="0AA6DED4">
      <w:pPr>
        <w:spacing w:before="107" w:line="219" w:lineRule="auto"/>
        <w:rPr>
          <w:rFonts w:ascii="黑体" w:hAnsi="黑体" w:eastAsia="黑体" w:cs="黑体"/>
          <w:sz w:val="25"/>
          <w:szCs w:val="25"/>
        </w:rPr>
      </w:pPr>
      <w:r>
        <w:rPr>
          <w:rFonts w:ascii="黑体" w:hAnsi="黑体" w:eastAsia="黑体" w:cs="黑体"/>
          <w:spacing w:val="17"/>
          <w:sz w:val="25"/>
          <w:szCs w:val="25"/>
        </w:rPr>
        <w:t>3</w:t>
      </w:r>
      <w:r>
        <w:rPr>
          <w:rFonts w:ascii="黑体" w:hAnsi="黑体" w:eastAsia="黑体" w:cs="黑体"/>
          <w:spacing w:val="28"/>
          <w:sz w:val="25"/>
          <w:szCs w:val="25"/>
        </w:rPr>
        <w:t xml:space="preserve">  </w:t>
      </w:r>
      <w:r>
        <w:rPr>
          <w:rFonts w:ascii="黑体" w:hAnsi="黑体" w:eastAsia="黑体" w:cs="黑体"/>
          <w:b/>
          <w:bCs/>
          <w:spacing w:val="17"/>
          <w:sz w:val="25"/>
          <w:szCs w:val="25"/>
        </w:rPr>
        <w:t>改进计划的执行情况</w:t>
      </w:r>
    </w:p>
    <w:p w14:paraId="09A9DBF3">
      <w:pPr>
        <w:pStyle w:val="2"/>
        <w:spacing w:before="130" w:line="269" w:lineRule="auto"/>
        <w:ind w:firstLine="560"/>
        <w:jc w:val="both"/>
      </w:pPr>
      <w:r>
        <w:rPr>
          <w:spacing w:val="-3"/>
        </w:rPr>
        <w:t>对照使用期间可靠性改进计划，说明执行情况，包括项目改进目标、改进方</w:t>
      </w:r>
      <w:r>
        <w:rPr>
          <w:spacing w:val="18"/>
        </w:rPr>
        <w:t xml:space="preserve"> </w:t>
      </w:r>
      <w:r>
        <w:rPr>
          <w:spacing w:val="5"/>
        </w:rPr>
        <w:t>案、各级各类人员职责、经费使用、进度安排、相关验证和协调权衡等的落实</w:t>
      </w:r>
      <w:r>
        <w:rPr>
          <w:spacing w:val="12"/>
        </w:rPr>
        <w:t xml:space="preserve"> </w:t>
      </w:r>
      <w:r>
        <w:rPr>
          <w:spacing w:val="-4"/>
        </w:rPr>
        <w:t>情况。</w:t>
      </w:r>
    </w:p>
    <w:p w14:paraId="2B458943">
      <w:pPr>
        <w:spacing w:before="5" w:line="222"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各项目改进过程</w:t>
      </w:r>
    </w:p>
    <w:p w14:paraId="38C792C2">
      <w:pPr>
        <w:pStyle w:val="2"/>
        <w:spacing w:before="112" w:line="219" w:lineRule="auto"/>
        <w:ind w:left="560"/>
      </w:pPr>
      <w:r>
        <w:rPr>
          <w:spacing w:val="-3"/>
        </w:rPr>
        <w:t>根据改进计划，具体说明各项目改进实施过程。</w:t>
      </w:r>
    </w:p>
    <w:p w14:paraId="5C938373">
      <w:pPr>
        <w:spacing w:before="54" w:line="222"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16"/>
          <w:sz w:val="27"/>
          <w:szCs w:val="27"/>
        </w:rPr>
        <w:t xml:space="preserve">   </w:t>
      </w:r>
      <w:r>
        <w:rPr>
          <w:rFonts w:ascii="黑体" w:hAnsi="黑体" w:eastAsia="黑体" w:cs="黑体"/>
          <w:b/>
          <w:bCs/>
          <w:spacing w:val="-1"/>
          <w:sz w:val="27"/>
          <w:szCs w:val="27"/>
        </w:rPr>
        <w:t>改进结果分析</w:t>
      </w:r>
    </w:p>
    <w:p w14:paraId="582C00F1">
      <w:pPr>
        <w:pStyle w:val="2"/>
        <w:spacing w:before="128" w:line="218" w:lineRule="auto"/>
        <w:ind w:right="27"/>
        <w:jc w:val="right"/>
      </w:pPr>
      <w:r>
        <w:rPr>
          <w:spacing w:val="5"/>
        </w:rPr>
        <w:t>具体说明改进项目的验证情况。通过对改进结果进行分析，评价改进措施</w:t>
      </w:r>
    </w:p>
    <w:p w14:paraId="4E31897E">
      <w:pPr>
        <w:spacing w:line="218" w:lineRule="auto"/>
        <w:sectPr>
          <w:footerReference r:id="rId403" w:type="default"/>
          <w:pgSz w:w="11910" w:h="17130"/>
          <w:pgMar w:top="1386" w:right="1419" w:bottom="1716" w:left="1100" w:header="0" w:footer="1527" w:gutter="0"/>
          <w:cols w:space="720" w:num="1"/>
        </w:sectPr>
      </w:pPr>
    </w:p>
    <w:p w14:paraId="3E712A16">
      <w:pPr>
        <w:pStyle w:val="2"/>
        <w:spacing w:before="65" w:line="220" w:lineRule="auto"/>
      </w:pPr>
      <w:r>
        <w:rPr>
          <w:spacing w:val="-1"/>
        </w:rPr>
        <w:t>的有效性。</w:t>
      </w:r>
    </w:p>
    <w:p w14:paraId="09DDCEC1">
      <w:pPr>
        <w:spacing w:before="71" w:line="221"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20"/>
          <w:sz w:val="27"/>
          <w:szCs w:val="27"/>
        </w:rPr>
        <w:t xml:space="preserve">  </w:t>
      </w:r>
      <w:r>
        <w:rPr>
          <w:rFonts w:ascii="黑体" w:hAnsi="黑体" w:eastAsia="黑体" w:cs="黑体"/>
          <w:b/>
          <w:bCs/>
          <w:spacing w:val="-3"/>
          <w:sz w:val="27"/>
          <w:szCs w:val="27"/>
        </w:rPr>
        <w:t>有关说明</w:t>
      </w:r>
    </w:p>
    <w:p w14:paraId="469E2BAA">
      <w:pPr>
        <w:pStyle w:val="2"/>
        <w:spacing w:before="103" w:line="219" w:lineRule="auto"/>
        <w:ind w:left="580"/>
      </w:pPr>
      <w:r>
        <w:rPr>
          <w:spacing w:val="3"/>
        </w:rPr>
        <w:t>具体说明与装备其他改进项目的协调和权衡情况。</w:t>
      </w:r>
    </w:p>
    <w:p w14:paraId="3CC7B3E6">
      <w:pPr>
        <w:spacing w:before="87" w:line="222" w:lineRule="auto"/>
        <w:rPr>
          <w:rFonts w:ascii="黑体" w:hAnsi="黑体" w:eastAsia="黑体" w:cs="黑体"/>
          <w:sz w:val="25"/>
          <w:szCs w:val="25"/>
        </w:rPr>
      </w:pPr>
      <w:r>
        <w:rPr>
          <w:rFonts w:ascii="黑体" w:hAnsi="黑体" w:eastAsia="黑体" w:cs="黑体"/>
          <w:spacing w:val="17"/>
          <w:sz w:val="25"/>
          <w:szCs w:val="25"/>
        </w:rPr>
        <w:t>7</w:t>
      </w:r>
      <w:r>
        <w:rPr>
          <w:rFonts w:ascii="黑体" w:hAnsi="黑体" w:eastAsia="黑体" w:cs="黑体"/>
          <w:spacing w:val="39"/>
          <w:sz w:val="25"/>
          <w:szCs w:val="25"/>
        </w:rPr>
        <w:t xml:space="preserve">  </w:t>
      </w:r>
      <w:r>
        <w:rPr>
          <w:rFonts w:ascii="黑体" w:hAnsi="黑体" w:eastAsia="黑体" w:cs="黑体"/>
          <w:spacing w:val="17"/>
          <w:sz w:val="25"/>
          <w:szCs w:val="25"/>
        </w:rPr>
        <w:t>有关建议</w:t>
      </w:r>
    </w:p>
    <w:p w14:paraId="24453617">
      <w:pPr>
        <w:pStyle w:val="2"/>
        <w:spacing w:before="71" w:line="296" w:lineRule="auto"/>
        <w:ind w:firstLine="590"/>
      </w:pPr>
      <w:r>
        <w:rPr>
          <w:spacing w:val="5"/>
        </w:rPr>
        <w:t xml:space="preserve">对尚未完全落实的改进措施提出处理建议，对已落实的改进措施提出推广 </w:t>
      </w:r>
      <w:r>
        <w:rPr>
          <w:spacing w:val="-1"/>
        </w:rPr>
        <w:t>使用建议。</w:t>
      </w:r>
    </w:p>
    <w:p w14:paraId="63589E7A">
      <w:pPr>
        <w:spacing w:line="296" w:lineRule="auto"/>
        <w:sectPr>
          <w:footerReference r:id="rId404" w:type="default"/>
          <w:pgSz w:w="11910" w:h="17130"/>
          <w:pgMar w:top="1456" w:right="983" w:bottom="1626" w:left="1529" w:header="0" w:footer="1437" w:gutter="0"/>
          <w:cols w:space="720" w:num="1"/>
        </w:sectPr>
      </w:pPr>
    </w:p>
    <w:p w14:paraId="0F2212E2">
      <w:pPr>
        <w:spacing w:line="293" w:lineRule="auto"/>
        <w:rPr>
          <w:rFonts w:ascii="Arial"/>
          <w:sz w:val="21"/>
        </w:rPr>
      </w:pPr>
    </w:p>
    <w:p w14:paraId="65545A84">
      <w:pPr>
        <w:spacing w:line="293" w:lineRule="auto"/>
        <w:rPr>
          <w:rFonts w:ascii="Arial"/>
          <w:sz w:val="21"/>
        </w:rPr>
      </w:pPr>
    </w:p>
    <w:p w14:paraId="7476A223">
      <w:pPr>
        <w:spacing w:line="294" w:lineRule="auto"/>
        <w:rPr>
          <w:rFonts w:ascii="Arial"/>
          <w:sz w:val="21"/>
        </w:rPr>
      </w:pPr>
    </w:p>
    <w:p w14:paraId="3B6E7456">
      <w:pPr>
        <w:spacing w:before="143" w:line="222" w:lineRule="auto"/>
        <w:ind w:left="2580"/>
        <w:rPr>
          <w:rFonts w:ascii="黑体" w:hAnsi="黑体" w:eastAsia="黑体" w:cs="黑体"/>
          <w:sz w:val="44"/>
          <w:szCs w:val="44"/>
        </w:rPr>
      </w:pPr>
      <w:r>
        <w:rPr>
          <w:rFonts w:ascii="黑体" w:hAnsi="黑体" w:eastAsia="黑体" w:cs="黑体"/>
          <w:spacing w:val="11"/>
          <w:sz w:val="44"/>
          <w:szCs w:val="44"/>
        </w:rPr>
        <w:t>第</w:t>
      </w:r>
      <w:r>
        <w:rPr>
          <w:rFonts w:ascii="黑体" w:hAnsi="黑体" w:eastAsia="黑体" w:cs="黑体"/>
          <w:spacing w:val="-73"/>
          <w:sz w:val="44"/>
          <w:szCs w:val="44"/>
        </w:rPr>
        <w:t xml:space="preserve"> </w:t>
      </w:r>
      <w:r>
        <w:rPr>
          <w:rFonts w:ascii="黑体" w:hAnsi="黑体" w:eastAsia="黑体" w:cs="黑体"/>
          <w:spacing w:val="11"/>
          <w:sz w:val="44"/>
          <w:szCs w:val="44"/>
        </w:rPr>
        <w:t>8</w:t>
      </w:r>
      <w:r>
        <w:rPr>
          <w:rFonts w:ascii="黑体" w:hAnsi="黑体" w:eastAsia="黑体" w:cs="黑体"/>
          <w:spacing w:val="-69"/>
          <w:sz w:val="44"/>
          <w:szCs w:val="44"/>
        </w:rPr>
        <w:t xml:space="preserve"> </w:t>
      </w:r>
      <w:r>
        <w:rPr>
          <w:rFonts w:ascii="黑体" w:hAnsi="黑体" w:eastAsia="黑体" w:cs="黑体"/>
          <w:spacing w:val="11"/>
          <w:sz w:val="44"/>
          <w:szCs w:val="44"/>
        </w:rPr>
        <w:t>章</w:t>
      </w:r>
      <w:r>
        <w:rPr>
          <w:rFonts w:ascii="黑体" w:hAnsi="黑体" w:eastAsia="黑体" w:cs="黑体"/>
          <w:spacing w:val="41"/>
          <w:sz w:val="44"/>
          <w:szCs w:val="44"/>
        </w:rPr>
        <w:t xml:space="preserve">  </w:t>
      </w:r>
      <w:r>
        <w:rPr>
          <w:rFonts w:ascii="黑体" w:hAnsi="黑体" w:eastAsia="黑体" w:cs="黑体"/>
          <w:spacing w:val="11"/>
          <w:sz w:val="44"/>
          <w:szCs w:val="44"/>
        </w:rPr>
        <w:t>维修性文件</w:t>
      </w:r>
    </w:p>
    <w:p w14:paraId="543DC702">
      <w:pPr>
        <w:spacing w:line="267" w:lineRule="auto"/>
        <w:rPr>
          <w:rFonts w:ascii="Arial"/>
          <w:sz w:val="21"/>
        </w:rPr>
      </w:pPr>
    </w:p>
    <w:p w14:paraId="460A8368">
      <w:pPr>
        <w:spacing w:line="268" w:lineRule="auto"/>
        <w:rPr>
          <w:rFonts w:ascii="Arial"/>
          <w:sz w:val="21"/>
        </w:rPr>
      </w:pPr>
    </w:p>
    <w:p w14:paraId="54F98EA6">
      <w:pPr>
        <w:pStyle w:val="2"/>
        <w:spacing w:before="117" w:line="219" w:lineRule="auto"/>
        <w:ind w:left="3300"/>
        <w:rPr>
          <w:sz w:val="36"/>
          <w:szCs w:val="36"/>
        </w:rPr>
      </w:pPr>
      <w:r>
        <w:rPr>
          <w:spacing w:val="-3"/>
          <w:sz w:val="36"/>
          <w:szCs w:val="36"/>
        </w:rPr>
        <w:t>8.1</w:t>
      </w:r>
      <w:r>
        <w:rPr>
          <w:spacing w:val="22"/>
          <w:sz w:val="36"/>
          <w:szCs w:val="36"/>
        </w:rPr>
        <w:t xml:space="preserve">  </w:t>
      </w:r>
      <w:r>
        <w:rPr>
          <w:b/>
          <w:bCs/>
          <w:spacing w:val="-3"/>
          <w:sz w:val="36"/>
          <w:szCs w:val="36"/>
        </w:rPr>
        <w:t>维修性要求</w:t>
      </w:r>
    </w:p>
    <w:p w14:paraId="4923EFB8">
      <w:pPr>
        <w:spacing w:line="347" w:lineRule="auto"/>
        <w:rPr>
          <w:rFonts w:ascii="Arial"/>
          <w:sz w:val="21"/>
        </w:rPr>
      </w:pPr>
    </w:p>
    <w:p w14:paraId="5D9E7761">
      <w:pPr>
        <w:pStyle w:val="2"/>
        <w:spacing w:before="88" w:line="284" w:lineRule="auto"/>
        <w:ind w:right="114" w:firstLine="560"/>
        <w:rPr>
          <w:rFonts w:ascii="楷体" w:hAnsi="楷体" w:eastAsia="楷体" w:cs="楷体"/>
        </w:rPr>
      </w:pPr>
      <w:r>
        <w:rPr>
          <w:rFonts w:ascii="楷体" w:hAnsi="楷体" w:eastAsia="楷体" w:cs="楷体"/>
          <w:spacing w:val="-3"/>
        </w:rPr>
        <w:t>按照</w:t>
      </w:r>
      <w:r>
        <w:rPr>
          <w:rFonts w:ascii="Times New Roman" w:hAnsi="Times New Roman" w:eastAsia="Times New Roman" w:cs="Times New Roman"/>
          <w:spacing w:val="-3"/>
        </w:rPr>
        <w:t>GJB 368B—2009</w:t>
      </w:r>
      <w:r>
        <w:rPr>
          <w:spacing w:val="-3"/>
        </w:rPr>
        <w:t>《</w:t>
      </w:r>
      <w:r>
        <w:rPr>
          <w:rFonts w:ascii="楷体" w:hAnsi="楷体" w:eastAsia="楷体" w:cs="楷体"/>
          <w:spacing w:val="-3"/>
        </w:rPr>
        <w:t>装备维修性工作通用要求》、</w:t>
      </w:r>
      <w:r>
        <w:rPr>
          <w:rFonts w:ascii="Times New Roman" w:hAnsi="Times New Roman" w:eastAsia="Times New Roman" w:cs="Times New Roman"/>
          <w:spacing w:val="-3"/>
        </w:rPr>
        <w:t>GJB</w:t>
      </w:r>
      <w:r>
        <w:rPr>
          <w:rFonts w:ascii="Times New Roman" w:hAnsi="Times New Roman" w:eastAsia="Times New Roman" w:cs="Times New Roman"/>
          <w:spacing w:val="46"/>
        </w:rPr>
        <w:t xml:space="preserve"> </w:t>
      </w:r>
      <w:r>
        <w:rPr>
          <w:rFonts w:ascii="Times New Roman" w:hAnsi="Times New Roman" w:eastAsia="Times New Roman" w:cs="Times New Roman"/>
          <w:spacing w:val="-3"/>
        </w:rPr>
        <w:t>1909A—2009</w:t>
      </w:r>
      <w:r>
        <w:rPr>
          <w:spacing w:val="-3"/>
        </w:rPr>
        <w:t>《</w:t>
      </w:r>
      <w:r>
        <w:rPr>
          <w:rFonts w:ascii="楷体" w:hAnsi="楷体" w:eastAsia="楷体" w:cs="楷体"/>
          <w:spacing w:val="-3"/>
        </w:rPr>
        <w:t>装</w:t>
      </w:r>
      <w:r>
        <w:rPr>
          <w:rFonts w:ascii="楷体" w:hAnsi="楷体" w:eastAsia="楷体" w:cs="楷体"/>
        </w:rPr>
        <w:t xml:space="preserve"> </w:t>
      </w:r>
      <w:r>
        <w:rPr>
          <w:rFonts w:ascii="楷体" w:hAnsi="楷体" w:eastAsia="楷体" w:cs="楷体"/>
          <w:spacing w:val="-4"/>
        </w:rPr>
        <w:t>备可靠性维修性保障性要求论证》编写。</w:t>
      </w:r>
    </w:p>
    <w:p w14:paraId="492B62FC">
      <w:pPr>
        <w:spacing w:before="2"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21847ED6">
      <w:pPr>
        <w:spacing w:before="86"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4F71C55E">
      <w:pPr>
        <w:spacing w:before="84" w:line="221" w:lineRule="auto"/>
        <w:rPr>
          <w:rFonts w:ascii="黑体" w:hAnsi="黑体" w:eastAsia="黑体" w:cs="黑体"/>
          <w:sz w:val="25"/>
          <w:szCs w:val="25"/>
        </w:rPr>
      </w:pPr>
      <w:r>
        <w:rPr>
          <w:rFonts w:ascii="黑体" w:hAnsi="黑体" w:eastAsia="黑体" w:cs="黑体"/>
          <w:spacing w:val="5"/>
          <w:sz w:val="25"/>
          <w:szCs w:val="25"/>
        </w:rPr>
        <w:t>3</w:t>
      </w:r>
      <w:r>
        <w:rPr>
          <w:rFonts w:ascii="黑体" w:hAnsi="黑体" w:eastAsia="黑体" w:cs="黑体"/>
          <w:spacing w:val="29"/>
          <w:sz w:val="25"/>
          <w:szCs w:val="25"/>
        </w:rPr>
        <w:t xml:space="preserve">  </w:t>
      </w:r>
      <w:r>
        <w:rPr>
          <w:rFonts w:ascii="黑体" w:hAnsi="黑体" w:eastAsia="黑体" w:cs="黑体"/>
          <w:b/>
          <w:bCs/>
          <w:spacing w:val="5"/>
          <w:sz w:val="25"/>
          <w:szCs w:val="25"/>
        </w:rPr>
        <w:t>概述</w:t>
      </w:r>
    </w:p>
    <w:p w14:paraId="2D650576">
      <w:pPr>
        <w:pStyle w:val="2"/>
        <w:spacing w:before="107" w:line="219" w:lineRule="auto"/>
        <w:ind w:left="560"/>
      </w:pPr>
      <w:r>
        <w:rPr>
          <w:spacing w:val="-2"/>
        </w:rPr>
        <w:t>主要说明装备维修性要求论证的作用、目标和意</w:t>
      </w:r>
      <w:r>
        <w:rPr>
          <w:spacing w:val="-3"/>
        </w:rPr>
        <w:t>义等。</w:t>
      </w:r>
    </w:p>
    <w:p w14:paraId="3F64C99A">
      <w:pPr>
        <w:spacing w:before="83" w:line="221" w:lineRule="auto"/>
        <w:rPr>
          <w:rFonts w:ascii="黑体" w:hAnsi="黑体" w:eastAsia="黑体" w:cs="黑体"/>
          <w:sz w:val="24"/>
          <w:szCs w:val="24"/>
        </w:rPr>
      </w:pPr>
      <w:r>
        <w:rPr>
          <w:rFonts w:ascii="黑体" w:hAnsi="黑体" w:eastAsia="黑体" w:cs="黑体"/>
          <w:spacing w:val="26"/>
          <w:sz w:val="24"/>
          <w:szCs w:val="24"/>
        </w:rPr>
        <w:t>4</w:t>
      </w:r>
      <w:r>
        <w:rPr>
          <w:rFonts w:ascii="黑体" w:hAnsi="黑体" w:eastAsia="黑体" w:cs="黑体"/>
          <w:spacing w:val="35"/>
          <w:sz w:val="24"/>
          <w:szCs w:val="24"/>
        </w:rPr>
        <w:t xml:space="preserve">  </w:t>
      </w:r>
      <w:r>
        <w:rPr>
          <w:rFonts w:ascii="黑体" w:hAnsi="黑体" w:eastAsia="黑体" w:cs="黑体"/>
          <w:b/>
          <w:bCs/>
          <w:spacing w:val="26"/>
          <w:sz w:val="24"/>
          <w:szCs w:val="24"/>
        </w:rPr>
        <w:t>装备的使命和任务</w:t>
      </w:r>
    </w:p>
    <w:p w14:paraId="6358DD82">
      <w:pPr>
        <w:pStyle w:val="2"/>
        <w:spacing w:before="99" w:line="268" w:lineRule="auto"/>
        <w:ind w:right="120" w:firstLine="560"/>
        <w:jc w:val="both"/>
      </w:pPr>
      <w:r>
        <w:rPr>
          <w:spacing w:val="5"/>
        </w:rPr>
        <w:t>说明装备的使命和任务，主要包括新研装备担负的主要任务和辅助任务及</w:t>
      </w:r>
      <w:r>
        <w:rPr>
          <w:spacing w:val="3"/>
        </w:rPr>
        <w:t xml:space="preserve"> </w:t>
      </w:r>
      <w:r>
        <w:rPr>
          <w:spacing w:val="-3"/>
        </w:rPr>
        <w:t>其使用环境条件，论述现有装备在战备完好性、任务成功性、持续性和部署性等</w:t>
      </w:r>
      <w:r>
        <w:rPr>
          <w:spacing w:val="16"/>
        </w:rPr>
        <w:t xml:space="preserve"> </w:t>
      </w:r>
      <w:r>
        <w:rPr>
          <w:spacing w:val="-2"/>
        </w:rPr>
        <w:t>方面的不足和缺陷，以及国内外相似装备维修性现状分析。</w:t>
      </w:r>
    </w:p>
    <w:p w14:paraId="5ED96507">
      <w:pPr>
        <w:spacing w:before="8" w:line="221" w:lineRule="auto"/>
        <w:rPr>
          <w:rFonts w:ascii="黑体" w:hAnsi="黑体" w:eastAsia="黑体" w:cs="黑体"/>
          <w:sz w:val="27"/>
          <w:szCs w:val="27"/>
        </w:rPr>
      </w:pPr>
      <w:r>
        <w:rPr>
          <w:rFonts w:ascii="黑体" w:hAnsi="黑体" w:eastAsia="黑体" w:cs="黑体"/>
          <w:spacing w:val="-6"/>
          <w:sz w:val="27"/>
          <w:szCs w:val="27"/>
        </w:rPr>
        <w:t xml:space="preserve">5  </w:t>
      </w:r>
      <w:r>
        <w:rPr>
          <w:rFonts w:ascii="黑体" w:hAnsi="黑体" w:eastAsia="黑体" w:cs="黑体"/>
          <w:b/>
          <w:bCs/>
          <w:spacing w:val="-6"/>
          <w:sz w:val="27"/>
          <w:szCs w:val="27"/>
        </w:rPr>
        <w:t>装备使用方案、设计方案和保障方案</w:t>
      </w:r>
    </w:p>
    <w:p w14:paraId="238E4A87">
      <w:pPr>
        <w:pStyle w:val="2"/>
        <w:spacing w:before="106" w:line="273" w:lineRule="auto"/>
        <w:ind w:firstLine="560"/>
        <w:jc w:val="both"/>
      </w:pPr>
      <w:r>
        <w:rPr>
          <w:spacing w:val="6"/>
        </w:rPr>
        <w:t>使用方案、设计方案和保障方案是进一步确</w:t>
      </w:r>
      <w:r>
        <w:rPr>
          <w:spacing w:val="5"/>
        </w:rPr>
        <w:t>定维修性要求的依据。使用方</w:t>
      </w:r>
      <w:r>
        <w:t xml:space="preserve"> </w:t>
      </w:r>
      <w:r>
        <w:rPr>
          <w:spacing w:val="-3"/>
        </w:rPr>
        <w:t>案主要说明装备将如何使用和使用时的组织机构、人员安排，还应包括装备的寿</w:t>
      </w:r>
      <w:r>
        <w:rPr>
          <w:spacing w:val="8"/>
        </w:rPr>
        <w:t xml:space="preserve">  </w:t>
      </w:r>
      <w:r>
        <w:rPr>
          <w:spacing w:val="-3"/>
        </w:rPr>
        <w:t>命剖面和任务剖面；设计方案简述装备的基本组成，列出为完成使用任务，装备</w:t>
      </w:r>
      <w:r>
        <w:rPr>
          <w:spacing w:val="8"/>
        </w:rPr>
        <w:t xml:space="preserve">  </w:t>
      </w:r>
      <w:r>
        <w:rPr>
          <w:spacing w:val="9"/>
        </w:rPr>
        <w:t>必要的功能清单和相应的分系统清单；保障方案说明对保障工作的总体设</w:t>
      </w:r>
      <w:r>
        <w:rPr>
          <w:spacing w:val="8"/>
        </w:rPr>
        <w:t>想。</w:t>
      </w:r>
      <w:r>
        <w:t xml:space="preserve"> </w:t>
      </w:r>
      <w:r>
        <w:rPr>
          <w:spacing w:val="14"/>
        </w:rPr>
        <w:t>它由满足功能的保障要求、与设计方案及使用方案相</w:t>
      </w:r>
      <w:r>
        <w:rPr>
          <w:spacing w:val="13"/>
        </w:rPr>
        <w:t>协调的各保障要素方案</w:t>
      </w:r>
      <w:r>
        <w:t xml:space="preserve">  </w:t>
      </w:r>
      <w:r>
        <w:rPr>
          <w:spacing w:val="-6"/>
        </w:rPr>
        <w:t>组成。</w:t>
      </w:r>
    </w:p>
    <w:p w14:paraId="0DC1F64E">
      <w:pPr>
        <w:spacing w:before="26" w:line="222" w:lineRule="auto"/>
        <w:outlineLvl w:val="3"/>
        <w:rPr>
          <w:rFonts w:ascii="黑体" w:hAnsi="黑体" w:eastAsia="黑体" w:cs="黑体"/>
          <w:sz w:val="27"/>
          <w:szCs w:val="27"/>
        </w:rPr>
      </w:pPr>
      <w:r>
        <w:rPr>
          <w:rFonts w:ascii="Arial" w:hAnsi="Arial" w:eastAsia="Arial" w:cs="Arial"/>
          <w:b/>
          <w:bCs/>
          <w:spacing w:val="1"/>
          <w:sz w:val="27"/>
          <w:szCs w:val="27"/>
        </w:rPr>
        <w:t>6</w:t>
      </w:r>
      <w:r>
        <w:rPr>
          <w:rFonts w:ascii="Arial" w:hAnsi="Arial" w:eastAsia="Arial" w:cs="Arial"/>
          <w:b/>
          <w:bCs/>
          <w:spacing w:val="20"/>
          <w:sz w:val="27"/>
          <w:szCs w:val="27"/>
        </w:rPr>
        <w:t xml:space="preserve">   </w:t>
      </w:r>
      <w:r>
        <w:rPr>
          <w:rFonts w:ascii="黑体" w:hAnsi="黑体" w:eastAsia="黑体" w:cs="黑体"/>
          <w:b/>
          <w:bCs/>
          <w:spacing w:val="1"/>
          <w:sz w:val="27"/>
          <w:szCs w:val="27"/>
        </w:rPr>
        <w:t>故障定义和判断准则</w:t>
      </w:r>
    </w:p>
    <w:p w14:paraId="3687D935">
      <w:pPr>
        <w:pStyle w:val="2"/>
        <w:spacing w:before="80" w:line="272" w:lineRule="auto"/>
        <w:ind w:right="123" w:firstLine="560"/>
      </w:pPr>
      <w:r>
        <w:rPr>
          <w:spacing w:val="5"/>
        </w:rPr>
        <w:t>说明在试验过程中对故障原因和后果进行分类所需的指导原则。故障分类</w:t>
      </w:r>
      <w:r>
        <w:t xml:space="preserve"> </w:t>
      </w:r>
      <w:r>
        <w:rPr>
          <w:spacing w:val="1"/>
        </w:rPr>
        <w:t>的结果将评价装备的维修性。</w:t>
      </w:r>
    </w:p>
    <w:p w14:paraId="5F5EB19B">
      <w:pPr>
        <w:spacing w:before="1" w:line="221" w:lineRule="auto"/>
        <w:outlineLvl w:val="3"/>
        <w:rPr>
          <w:rFonts w:ascii="黑体" w:hAnsi="黑体" w:eastAsia="黑体" w:cs="黑体"/>
          <w:sz w:val="27"/>
          <w:szCs w:val="27"/>
        </w:rPr>
      </w:pPr>
      <w:r>
        <w:rPr>
          <w:rFonts w:ascii="Arial" w:hAnsi="Arial" w:eastAsia="Arial" w:cs="Arial"/>
          <w:b/>
          <w:bCs/>
          <w:sz w:val="27"/>
          <w:szCs w:val="27"/>
        </w:rPr>
        <w:t>7</w:t>
      </w:r>
      <w:r>
        <w:rPr>
          <w:rFonts w:ascii="Arial" w:hAnsi="Arial" w:eastAsia="Arial" w:cs="Arial"/>
          <w:b/>
          <w:bCs/>
          <w:spacing w:val="22"/>
          <w:sz w:val="27"/>
          <w:szCs w:val="27"/>
        </w:rPr>
        <w:t xml:space="preserve">   </w:t>
      </w:r>
      <w:r>
        <w:rPr>
          <w:rFonts w:ascii="黑体" w:hAnsi="黑体" w:eastAsia="黑体" w:cs="黑体"/>
          <w:b/>
          <w:bCs/>
          <w:sz w:val="27"/>
          <w:szCs w:val="27"/>
        </w:rPr>
        <w:t>装备维修性定性定量要求及约束条件</w:t>
      </w:r>
    </w:p>
    <w:p w14:paraId="7B37B602">
      <w:pPr>
        <w:pStyle w:val="2"/>
        <w:spacing w:before="90" w:line="274" w:lineRule="auto"/>
        <w:ind w:right="122" w:firstLine="560"/>
      </w:pPr>
      <w:r>
        <w:rPr>
          <w:spacing w:val="-3"/>
        </w:rPr>
        <w:t>列出装备的维修性定性和定量要求，维修性定量要求</w:t>
      </w:r>
      <w:r>
        <w:rPr>
          <w:spacing w:val="-4"/>
        </w:rPr>
        <w:t>参数及其计算方法，装</w:t>
      </w:r>
      <w:r>
        <w:t xml:space="preserve"> </w:t>
      </w:r>
      <w:r>
        <w:rPr>
          <w:spacing w:val="3"/>
        </w:rPr>
        <w:t>备形成初始作战能力和保障能力的时机和状态等。</w:t>
      </w:r>
    </w:p>
    <w:p w14:paraId="6473D7E1">
      <w:pPr>
        <w:pStyle w:val="2"/>
        <w:spacing w:line="219" w:lineRule="auto"/>
        <w:ind w:left="560"/>
      </w:pPr>
      <w:r>
        <w:rPr>
          <w:spacing w:val="-4"/>
        </w:rPr>
        <w:t>在确定维修性要求时，应遵循如下原则：</w:t>
      </w:r>
    </w:p>
    <w:p w14:paraId="3CCF8E22">
      <w:pPr>
        <w:pStyle w:val="2"/>
        <w:spacing w:before="49" w:line="212" w:lineRule="auto"/>
        <w:ind w:left="560"/>
      </w:pPr>
      <w:r>
        <w:rPr>
          <w:rFonts w:ascii="Times New Roman" w:hAnsi="Times New Roman" w:eastAsia="Times New Roman" w:cs="Times New Roman"/>
        </w:rPr>
        <w:t xml:space="preserve">a)  </w:t>
      </w:r>
      <w:r>
        <w:t>提出维修性要求应从任务需求出发</w:t>
      </w:r>
      <w:r>
        <w:rPr>
          <w:spacing w:val="-1"/>
        </w:rPr>
        <w:t>，满足装备的作战使命；</w:t>
      </w:r>
    </w:p>
    <w:p w14:paraId="50AC5DF7">
      <w:pPr>
        <w:pStyle w:val="2"/>
        <w:spacing w:before="111" w:line="257" w:lineRule="auto"/>
        <w:ind w:right="101" w:firstLine="560"/>
      </w:pPr>
      <w:r>
        <w:rPr>
          <w:rFonts w:ascii="Times New Roman" w:hAnsi="Times New Roman" w:eastAsia="Times New Roman" w:cs="Times New Roman"/>
          <w:spacing w:val="3"/>
        </w:rPr>
        <w:t xml:space="preserve">b)  </w:t>
      </w:r>
      <w:r>
        <w:rPr>
          <w:spacing w:val="3"/>
        </w:rPr>
        <w:t>提出的维修性要求应经过可行性分析，包</w:t>
      </w:r>
      <w:r>
        <w:rPr>
          <w:spacing w:val="2"/>
        </w:rPr>
        <w:t>括技术可行性分析和经济可行</w:t>
      </w:r>
      <w:r>
        <w:t xml:space="preserve"> </w:t>
      </w:r>
      <w:r>
        <w:rPr>
          <w:spacing w:val="-5"/>
        </w:rPr>
        <w:t>性分析；</w:t>
      </w:r>
    </w:p>
    <w:p w14:paraId="2902FE25">
      <w:pPr>
        <w:spacing w:line="257" w:lineRule="auto"/>
        <w:sectPr>
          <w:footerReference r:id="rId405" w:type="default"/>
          <w:pgSz w:w="11910" w:h="17130"/>
          <w:pgMar w:top="1456" w:right="1134" w:bottom="1607" w:left="1289" w:header="0" w:footer="1390" w:gutter="0"/>
          <w:cols w:space="720" w:num="1"/>
        </w:sectPr>
      </w:pPr>
    </w:p>
    <w:p w14:paraId="4F5F5E2B">
      <w:pPr>
        <w:pStyle w:val="2"/>
        <w:spacing w:before="51" w:line="212" w:lineRule="auto"/>
        <w:ind w:left="550"/>
        <w:rPr>
          <w:sz w:val="24"/>
          <w:szCs w:val="24"/>
        </w:rPr>
      </w:pPr>
      <w:r>
        <w:rPr>
          <w:rFonts w:ascii="Times New Roman" w:hAnsi="Times New Roman" w:eastAsia="Times New Roman" w:cs="Times New Roman"/>
          <w:spacing w:val="27"/>
          <w:sz w:val="24"/>
          <w:szCs w:val="24"/>
        </w:rPr>
        <w:t xml:space="preserve">c)  </w:t>
      </w:r>
      <w:r>
        <w:rPr>
          <w:spacing w:val="27"/>
          <w:sz w:val="24"/>
          <w:szCs w:val="24"/>
        </w:rPr>
        <w:t>提出的维修性参数的数量应尽可能地少，并经过反复迭代和细化；</w:t>
      </w:r>
    </w:p>
    <w:p w14:paraId="60176BCF">
      <w:pPr>
        <w:pStyle w:val="2"/>
        <w:spacing w:before="110" w:line="265" w:lineRule="auto"/>
        <w:ind w:firstLine="550"/>
      </w:pPr>
      <w:r>
        <w:rPr>
          <w:rFonts w:ascii="Times New Roman" w:hAnsi="Times New Roman" w:eastAsia="Times New Roman" w:cs="Times New Roman"/>
          <w:spacing w:val="-12"/>
        </w:rPr>
        <w:t xml:space="preserve">d)  </w:t>
      </w:r>
      <w:r>
        <w:rPr>
          <w:spacing w:val="-12"/>
        </w:rPr>
        <w:t>提出的维修性定量要求应有明确的定义，是可度量、可追溯、</w:t>
      </w:r>
      <w:r>
        <w:rPr>
          <w:spacing w:val="-13"/>
        </w:rPr>
        <w:t>可验证的，并</w:t>
      </w:r>
      <w:r>
        <w:t xml:space="preserve">  </w:t>
      </w:r>
      <w:r>
        <w:rPr>
          <w:spacing w:val="-20"/>
        </w:rPr>
        <w:t>且有明确的验证时机、内容、条件和方法；定性要求应是明确的，可评</w:t>
      </w:r>
      <w:r>
        <w:rPr>
          <w:spacing w:val="-21"/>
        </w:rPr>
        <w:t>估、可检查的，</w:t>
      </w:r>
      <w:r>
        <w:t xml:space="preserve"> </w:t>
      </w:r>
      <w:r>
        <w:rPr>
          <w:spacing w:val="-10"/>
        </w:rPr>
        <w:t>应有明确的检查清单和检查方法；不得用含糊、模棱两可的语言来表述各项要求；</w:t>
      </w:r>
    </w:p>
    <w:p w14:paraId="55DB5970">
      <w:pPr>
        <w:pStyle w:val="2"/>
        <w:spacing w:before="68" w:line="257" w:lineRule="auto"/>
        <w:ind w:right="123" w:firstLine="550"/>
      </w:pPr>
      <w:r>
        <w:rPr>
          <w:rFonts w:ascii="Times New Roman" w:hAnsi="Times New Roman" w:eastAsia="Times New Roman" w:cs="Times New Roman"/>
          <w:spacing w:val="2"/>
        </w:rPr>
        <w:t>e</w:t>
      </w:r>
      <w:r>
        <w:rPr>
          <w:rFonts w:ascii="Times New Roman" w:hAnsi="Times New Roman" w:eastAsia="Times New Roman" w:cs="Times New Roman"/>
          <w:spacing w:val="-25"/>
        </w:rPr>
        <w:t xml:space="preserve"> </w:t>
      </w:r>
      <w:r>
        <w:rPr>
          <w:spacing w:val="2"/>
        </w:rPr>
        <w:t>)</w:t>
      </w:r>
      <w:r>
        <w:rPr>
          <w:spacing w:val="-48"/>
        </w:rPr>
        <w:t xml:space="preserve"> </w:t>
      </w:r>
      <w:r>
        <w:rPr>
          <w:spacing w:val="2"/>
        </w:rPr>
        <w:t>提出的维修性要求应完整，相互之间应协调匹配，并保证最终提出的维</w:t>
      </w:r>
      <w:r>
        <w:t xml:space="preserve"> 修性要求与装备设计方案、使用方案和保障</w:t>
      </w:r>
      <w:r>
        <w:rPr>
          <w:spacing w:val="-1"/>
        </w:rPr>
        <w:t>方案相协调。</w:t>
      </w:r>
    </w:p>
    <w:p w14:paraId="654C2690">
      <w:pPr>
        <w:pStyle w:val="2"/>
        <w:spacing w:before="69" w:line="219" w:lineRule="auto"/>
        <w:ind w:left="550"/>
      </w:pPr>
      <w:r>
        <w:rPr>
          <w:spacing w:val="3"/>
        </w:rPr>
        <w:t>维修性要求及约束条件涉及以下各个方面：</w:t>
      </w:r>
    </w:p>
    <w:p w14:paraId="6F7E822D">
      <w:pPr>
        <w:pStyle w:val="2"/>
        <w:spacing w:before="77" w:line="219" w:lineRule="auto"/>
        <w:ind w:left="550"/>
      </w:pPr>
      <w:r>
        <w:rPr>
          <w:rFonts w:ascii="Times New Roman" w:hAnsi="Times New Roman" w:eastAsia="Times New Roman" w:cs="Times New Roman"/>
          <w:spacing w:val="5"/>
        </w:rPr>
        <w:t>a</w:t>
      </w:r>
      <w:r>
        <w:rPr>
          <w:rFonts w:ascii="Times New Roman" w:hAnsi="Times New Roman" w:eastAsia="Times New Roman" w:cs="Times New Roman"/>
          <w:spacing w:val="-9"/>
        </w:rPr>
        <w:t xml:space="preserve"> </w:t>
      </w:r>
      <w:r>
        <w:rPr>
          <w:spacing w:val="5"/>
        </w:rPr>
        <w:t>)允许的维修停机时间；</w:t>
      </w:r>
    </w:p>
    <w:p w14:paraId="47881137">
      <w:pPr>
        <w:pStyle w:val="2"/>
        <w:spacing w:before="103" w:line="212" w:lineRule="auto"/>
        <w:ind w:left="550"/>
        <w:rPr>
          <w:sz w:val="24"/>
          <w:szCs w:val="24"/>
        </w:rPr>
      </w:pPr>
      <w:r>
        <w:rPr>
          <w:rFonts w:ascii="Times New Roman" w:hAnsi="Times New Roman" w:eastAsia="Times New Roman" w:cs="Times New Roman"/>
          <w:spacing w:val="28"/>
          <w:sz w:val="24"/>
          <w:szCs w:val="24"/>
        </w:rPr>
        <w:t>b)</w:t>
      </w:r>
      <w:r>
        <w:rPr>
          <w:rFonts w:ascii="Times New Roman" w:hAnsi="Times New Roman" w:eastAsia="Times New Roman" w:cs="Times New Roman"/>
          <w:spacing w:val="24"/>
          <w:w w:val="101"/>
          <w:sz w:val="24"/>
          <w:szCs w:val="24"/>
        </w:rPr>
        <w:t xml:space="preserve">  </w:t>
      </w:r>
      <w:r>
        <w:rPr>
          <w:spacing w:val="28"/>
          <w:sz w:val="24"/>
          <w:szCs w:val="24"/>
        </w:rPr>
        <w:t>修复所需的诊断和测试时间；</w:t>
      </w:r>
    </w:p>
    <w:p w14:paraId="2D3CF2BA">
      <w:pPr>
        <w:pStyle w:val="2"/>
        <w:spacing w:before="93" w:line="212" w:lineRule="auto"/>
        <w:ind w:left="550"/>
      </w:pPr>
      <w:r>
        <w:rPr>
          <w:rFonts w:ascii="Times New Roman" w:hAnsi="Times New Roman" w:eastAsia="Times New Roman" w:cs="Times New Roman"/>
          <w:spacing w:val="3"/>
        </w:rPr>
        <w:t xml:space="preserve">c)  </w:t>
      </w:r>
      <w:r>
        <w:rPr>
          <w:spacing w:val="3"/>
        </w:rPr>
        <w:t>每次维修活动或每个使用(工作)小时的维修工时；</w:t>
      </w:r>
    </w:p>
    <w:p w14:paraId="7325130A">
      <w:pPr>
        <w:pStyle w:val="2"/>
        <w:spacing w:before="100" w:line="212" w:lineRule="auto"/>
        <w:ind w:left="550"/>
      </w:pPr>
      <w:r>
        <w:rPr>
          <w:rFonts w:ascii="Times New Roman" w:hAnsi="Times New Roman" w:eastAsia="Times New Roman" w:cs="Times New Roman"/>
          <w:spacing w:val="-4"/>
        </w:rPr>
        <w:t xml:space="preserve">d)  </w:t>
      </w:r>
      <w:r>
        <w:rPr>
          <w:spacing w:val="-4"/>
        </w:rPr>
        <w:t>故障检测率、故障隔离率和虚警率；</w:t>
      </w:r>
    </w:p>
    <w:p w14:paraId="12E05A1A">
      <w:pPr>
        <w:pStyle w:val="2"/>
        <w:spacing w:before="100" w:line="212" w:lineRule="auto"/>
        <w:ind w:left="550"/>
      </w:pPr>
      <w:r>
        <w:rPr>
          <w:rFonts w:ascii="Times New Roman" w:hAnsi="Times New Roman" w:eastAsia="Times New Roman" w:cs="Times New Roman"/>
          <w:spacing w:val="4"/>
        </w:rPr>
        <w:t xml:space="preserve">e)  </w:t>
      </w:r>
      <w:r>
        <w:rPr>
          <w:spacing w:val="4"/>
        </w:rPr>
        <w:t>预防性维修和战场损伤修复的影响；</w:t>
      </w:r>
    </w:p>
    <w:p w14:paraId="590260D9">
      <w:pPr>
        <w:pStyle w:val="2"/>
        <w:spacing w:before="80" w:line="212" w:lineRule="auto"/>
        <w:ind w:left="550"/>
      </w:pPr>
      <w:r>
        <w:rPr>
          <w:rFonts w:ascii="Times New Roman" w:hAnsi="Times New Roman" w:eastAsia="Times New Roman" w:cs="Times New Roman"/>
          <w:spacing w:val="4"/>
        </w:rPr>
        <w:t xml:space="preserve">f)  </w:t>
      </w:r>
      <w:r>
        <w:rPr>
          <w:spacing w:val="4"/>
        </w:rPr>
        <w:t>维修级别的划分及各级别的修复能力；</w:t>
      </w:r>
    </w:p>
    <w:p w14:paraId="5041871E">
      <w:pPr>
        <w:pStyle w:val="2"/>
        <w:spacing w:before="99" w:line="212" w:lineRule="auto"/>
        <w:ind w:left="550"/>
      </w:pPr>
      <w:r>
        <w:rPr>
          <w:rFonts w:ascii="Times New Roman" w:hAnsi="Times New Roman" w:eastAsia="Times New Roman" w:cs="Times New Roman"/>
          <w:spacing w:val="7"/>
        </w:rPr>
        <w:t>g</w:t>
      </w:r>
      <w:r>
        <w:rPr>
          <w:rFonts w:ascii="Times New Roman" w:hAnsi="Times New Roman" w:eastAsia="Times New Roman" w:cs="Times New Roman"/>
          <w:spacing w:val="-24"/>
        </w:rPr>
        <w:t xml:space="preserve"> </w:t>
      </w:r>
      <w:r>
        <w:rPr>
          <w:spacing w:val="7"/>
        </w:rPr>
        <w:t>)测试与诊断方案；</w:t>
      </w:r>
    </w:p>
    <w:p w14:paraId="20276FEF">
      <w:pPr>
        <w:pStyle w:val="2"/>
        <w:spacing w:before="101" w:line="212" w:lineRule="auto"/>
        <w:ind w:left="550"/>
      </w:pPr>
      <w:r>
        <w:rPr>
          <w:rFonts w:ascii="Times New Roman" w:hAnsi="Times New Roman" w:eastAsia="Times New Roman" w:cs="Times New Roman"/>
          <w:spacing w:val="-2"/>
        </w:rPr>
        <w:t>h)</w:t>
      </w:r>
      <w:r>
        <w:rPr>
          <w:rFonts w:ascii="Times New Roman" w:hAnsi="Times New Roman" w:eastAsia="Times New Roman" w:cs="Times New Roman"/>
          <w:spacing w:val="10"/>
        </w:rPr>
        <w:t xml:space="preserve">  </w:t>
      </w:r>
      <w:r>
        <w:rPr>
          <w:spacing w:val="-2"/>
        </w:rPr>
        <w:t>维修方案；</w:t>
      </w:r>
    </w:p>
    <w:p w14:paraId="21E8540C">
      <w:pPr>
        <w:pStyle w:val="2"/>
        <w:spacing w:before="89" w:line="212" w:lineRule="auto"/>
        <w:ind w:left="550"/>
      </w:pPr>
      <w:r>
        <w:rPr>
          <w:rFonts w:ascii="Times New Roman" w:hAnsi="Times New Roman" w:eastAsia="Times New Roman" w:cs="Times New Roman"/>
          <w:spacing w:val="2"/>
        </w:rPr>
        <w:t>i)</w:t>
      </w:r>
      <w:r>
        <w:rPr>
          <w:rFonts w:ascii="Times New Roman" w:hAnsi="Times New Roman" w:eastAsia="Times New Roman" w:cs="Times New Roman"/>
          <w:spacing w:val="59"/>
        </w:rPr>
        <w:t xml:space="preserve"> </w:t>
      </w:r>
      <w:r>
        <w:rPr>
          <w:spacing w:val="2"/>
        </w:rPr>
        <w:t>人员技能水平限制。</w:t>
      </w:r>
    </w:p>
    <w:p w14:paraId="54CAF2B7">
      <w:pPr>
        <w:pStyle w:val="2"/>
        <w:spacing w:before="141" w:line="219" w:lineRule="auto"/>
        <w:ind w:left="550"/>
      </w:pPr>
      <w:r>
        <w:rPr>
          <w:spacing w:val="2"/>
        </w:rPr>
        <w:t>维修性参数可分为以下三类：</w:t>
      </w:r>
    </w:p>
    <w:p w14:paraId="63A0381E">
      <w:pPr>
        <w:pStyle w:val="2"/>
        <w:spacing w:before="68" w:line="243" w:lineRule="auto"/>
        <w:ind w:right="204" w:firstLine="550"/>
      </w:pPr>
      <w:r>
        <w:rPr>
          <w:rFonts w:ascii="Times New Roman" w:hAnsi="Times New Roman" w:eastAsia="Times New Roman" w:cs="Times New Roman"/>
          <w:spacing w:val="11"/>
        </w:rPr>
        <w:t xml:space="preserve">a)  </w:t>
      </w:r>
      <w:r>
        <w:rPr>
          <w:spacing w:val="11"/>
        </w:rPr>
        <w:t>维修时间参数，如平均修复时间(</w:t>
      </w:r>
      <w:r>
        <w:rPr>
          <w:spacing w:val="-54"/>
        </w:rPr>
        <w:t xml:space="preserve"> </w:t>
      </w:r>
      <w:r>
        <w:rPr>
          <w:rFonts w:ascii="Times New Roman" w:hAnsi="Times New Roman" w:eastAsia="Times New Roman" w:cs="Times New Roman"/>
        </w:rPr>
        <w:t>MTTR</w:t>
      </w:r>
      <w:r>
        <w:rPr>
          <w:rFonts w:ascii="Times New Roman" w:hAnsi="Times New Roman" w:eastAsia="Times New Roman" w:cs="Times New Roman"/>
          <w:spacing w:val="11"/>
        </w:rPr>
        <w:t>)</w:t>
      </w:r>
      <w:r>
        <w:rPr>
          <w:rFonts w:ascii="Times New Roman" w:hAnsi="Times New Roman" w:eastAsia="Times New Roman" w:cs="Times New Roman"/>
          <w:spacing w:val="-38"/>
        </w:rPr>
        <w:t xml:space="preserve"> </w:t>
      </w:r>
      <w:r>
        <w:rPr>
          <w:spacing w:val="11"/>
        </w:rPr>
        <w:t>、</w:t>
      </w:r>
      <w:r>
        <w:rPr>
          <w:spacing w:val="-80"/>
        </w:rPr>
        <w:t xml:space="preserve"> </w:t>
      </w:r>
      <w:r>
        <w:rPr>
          <w:rFonts w:ascii="仿宋" w:hAnsi="仿宋" w:eastAsia="仿宋" w:cs="仿宋"/>
          <w:spacing w:val="11"/>
        </w:rPr>
        <w:t>系统平均恢复时间(</w:t>
      </w:r>
      <w:r>
        <w:rPr>
          <w:rFonts w:ascii="仿宋" w:hAnsi="仿宋" w:eastAsia="仿宋" w:cs="仿宋"/>
          <w:spacing w:val="-63"/>
        </w:rPr>
        <w:t xml:space="preserve"> </w:t>
      </w:r>
      <w:r>
        <w:rPr>
          <w:rFonts w:ascii="Times New Roman" w:hAnsi="Times New Roman" w:eastAsia="Times New Roman" w:cs="Times New Roman"/>
        </w:rPr>
        <w:t>MT</w:t>
      </w:r>
      <w:r>
        <w:rPr>
          <w:rFonts w:ascii="Times New Roman" w:hAnsi="Times New Roman" w:eastAsia="Times New Roman" w:cs="Times New Roman"/>
          <w:spacing w:val="11"/>
        </w:rPr>
        <w:t>-</w:t>
      </w:r>
      <w:r>
        <w:rPr>
          <w:rFonts w:ascii="Times New Roman" w:hAnsi="Times New Roman" w:eastAsia="Times New Roman" w:cs="Times New Roman"/>
        </w:rPr>
        <w:t xml:space="preserve"> </w:t>
      </w:r>
      <w:r>
        <w:rPr>
          <w:rFonts w:ascii="Times New Roman" w:hAnsi="Times New Roman" w:eastAsia="Times New Roman" w:cs="Times New Roman"/>
          <w:spacing w:val="-2"/>
        </w:rPr>
        <w:t>TRS)</w:t>
      </w:r>
      <w:r>
        <w:rPr>
          <w:rFonts w:ascii="Times New Roman" w:hAnsi="Times New Roman" w:eastAsia="Times New Roman" w:cs="Times New Roman"/>
          <w:spacing w:val="-32"/>
        </w:rPr>
        <w:t xml:space="preserve"> </w:t>
      </w:r>
      <w:r>
        <w:rPr>
          <w:spacing w:val="-2"/>
        </w:rPr>
        <w:t>、平均预防性维修时间(</w:t>
      </w:r>
      <w:r>
        <w:rPr>
          <w:spacing w:val="-62"/>
        </w:rPr>
        <w:t xml:space="preserve"> </w:t>
      </w:r>
      <w:r>
        <w:rPr>
          <w:rFonts w:ascii="Times New Roman" w:hAnsi="Times New Roman" w:eastAsia="Times New Roman" w:cs="Times New Roman"/>
          <w:spacing w:val="-2"/>
        </w:rPr>
        <w:t xml:space="preserve">MPMT)  </w:t>
      </w:r>
      <w:r>
        <w:rPr>
          <w:spacing w:val="-2"/>
        </w:rPr>
        <w:t>等；</w:t>
      </w:r>
    </w:p>
    <w:p w14:paraId="1680955E">
      <w:pPr>
        <w:pStyle w:val="2"/>
        <w:spacing w:before="112" w:line="212" w:lineRule="auto"/>
        <w:ind w:left="550"/>
        <w:rPr>
          <w:rFonts w:ascii="Times New Roman" w:hAnsi="Times New Roman" w:eastAsia="Times New Roman" w:cs="Times New Roman"/>
          <w:sz w:val="25"/>
          <w:szCs w:val="25"/>
        </w:rPr>
      </w:pPr>
      <w:r>
        <w:rPr>
          <w:rFonts w:ascii="Times New Roman" w:hAnsi="Times New Roman" w:eastAsia="Times New Roman" w:cs="Times New Roman"/>
          <w:spacing w:val="11"/>
          <w:sz w:val="25"/>
          <w:szCs w:val="25"/>
        </w:rPr>
        <w:t>b)</w:t>
      </w:r>
      <w:r>
        <w:rPr>
          <w:rFonts w:ascii="Times New Roman" w:hAnsi="Times New Roman" w:eastAsia="Times New Roman" w:cs="Times New Roman"/>
          <w:spacing w:val="24"/>
          <w:sz w:val="25"/>
          <w:szCs w:val="25"/>
        </w:rPr>
        <w:t xml:space="preserve">  </w:t>
      </w:r>
      <w:r>
        <w:rPr>
          <w:spacing w:val="11"/>
          <w:sz w:val="25"/>
          <w:szCs w:val="25"/>
        </w:rPr>
        <w:t>维修工时参数，如维修工时率(</w:t>
      </w:r>
      <w:r>
        <w:rPr>
          <w:rFonts w:ascii="Times New Roman" w:hAnsi="Times New Roman" w:eastAsia="Times New Roman" w:cs="Times New Roman"/>
          <w:sz w:val="25"/>
          <w:szCs w:val="25"/>
        </w:rPr>
        <w:t>MR</w:t>
      </w:r>
      <w:r>
        <w:rPr>
          <w:rFonts w:ascii="Times New Roman" w:hAnsi="Times New Roman" w:eastAsia="Times New Roman" w:cs="Times New Roman"/>
          <w:spacing w:val="11"/>
          <w:sz w:val="25"/>
          <w:szCs w:val="25"/>
        </w:rPr>
        <w:t>);</w:t>
      </w:r>
    </w:p>
    <w:p w14:paraId="2D3F4200">
      <w:pPr>
        <w:pStyle w:val="2"/>
        <w:spacing w:before="121" w:line="243" w:lineRule="auto"/>
        <w:ind w:right="110" w:firstLine="550"/>
      </w:pPr>
      <w:r>
        <w:rPr>
          <w:rFonts w:ascii="Times New Roman" w:hAnsi="Times New Roman" w:eastAsia="Times New Roman" w:cs="Times New Roman"/>
          <w:spacing w:val="14"/>
        </w:rPr>
        <w:t>c)</w:t>
      </w:r>
      <w:r>
        <w:rPr>
          <w:rFonts w:ascii="Times New Roman" w:hAnsi="Times New Roman" w:eastAsia="Times New Roman" w:cs="Times New Roman"/>
          <w:spacing w:val="2"/>
        </w:rPr>
        <w:t xml:space="preserve">  </w:t>
      </w:r>
      <w:r>
        <w:rPr>
          <w:spacing w:val="14"/>
        </w:rPr>
        <w:t>测试诊断类参数，</w:t>
      </w:r>
      <w:r>
        <w:rPr>
          <w:rFonts w:ascii="仿宋" w:hAnsi="仿宋" w:eastAsia="仿宋" w:cs="仿宋"/>
          <w:spacing w:val="14"/>
        </w:rPr>
        <w:t>如故障检测率(</w:t>
      </w:r>
      <w:r>
        <w:rPr>
          <w:rFonts w:ascii="仿宋" w:hAnsi="仿宋" w:eastAsia="仿宋" w:cs="仿宋"/>
          <w:spacing w:val="-72"/>
        </w:rPr>
        <w:t xml:space="preserve"> </w:t>
      </w:r>
      <w:r>
        <w:rPr>
          <w:rFonts w:ascii="Times New Roman" w:hAnsi="Times New Roman" w:eastAsia="Times New Roman" w:cs="Times New Roman"/>
        </w:rPr>
        <w:t>FDR</w:t>
      </w:r>
      <w:r>
        <w:rPr>
          <w:rFonts w:ascii="Times New Roman" w:hAnsi="Times New Roman" w:eastAsia="Times New Roman" w:cs="Times New Roman"/>
          <w:spacing w:val="14"/>
        </w:rPr>
        <w:t>)</w:t>
      </w:r>
      <w:r>
        <w:rPr>
          <w:rFonts w:ascii="Times New Roman" w:hAnsi="Times New Roman" w:eastAsia="Times New Roman" w:cs="Times New Roman"/>
          <w:spacing w:val="-38"/>
        </w:rPr>
        <w:t xml:space="preserve"> </w:t>
      </w:r>
      <w:r>
        <w:rPr>
          <w:spacing w:val="14"/>
        </w:rPr>
        <w:t>、</w:t>
      </w:r>
      <w:r>
        <w:rPr>
          <w:rFonts w:ascii="仿宋" w:hAnsi="仿宋" w:eastAsia="仿宋" w:cs="仿宋"/>
          <w:spacing w:val="14"/>
        </w:rPr>
        <w:t>故障隔离率(</w:t>
      </w:r>
      <w:r>
        <w:rPr>
          <w:rFonts w:ascii="仿宋" w:hAnsi="仿宋" w:eastAsia="仿宋" w:cs="仿宋"/>
          <w:spacing w:val="-63"/>
        </w:rPr>
        <w:t xml:space="preserve"> </w:t>
      </w:r>
      <w:r>
        <w:rPr>
          <w:rFonts w:ascii="Times New Roman" w:hAnsi="Times New Roman" w:eastAsia="Times New Roman" w:cs="Times New Roman"/>
        </w:rPr>
        <w:t>FIR</w:t>
      </w:r>
      <w:r>
        <w:rPr>
          <w:rFonts w:ascii="Times New Roman" w:hAnsi="Times New Roman" w:eastAsia="Times New Roman" w:cs="Times New Roman"/>
          <w:spacing w:val="13"/>
        </w:rPr>
        <w:t>)</w:t>
      </w:r>
      <w:r>
        <w:rPr>
          <w:rFonts w:ascii="Times New Roman" w:hAnsi="Times New Roman" w:eastAsia="Times New Roman" w:cs="Times New Roman"/>
          <w:spacing w:val="-38"/>
        </w:rPr>
        <w:t xml:space="preserve"> </w:t>
      </w:r>
      <w:r>
        <w:rPr>
          <w:spacing w:val="13"/>
        </w:rPr>
        <w:t>、</w:t>
      </w:r>
      <w:r>
        <w:rPr>
          <w:rFonts w:ascii="仿宋" w:hAnsi="仿宋" w:eastAsia="仿宋" w:cs="仿宋"/>
          <w:spacing w:val="13"/>
        </w:rPr>
        <w:t>虚警率</w:t>
      </w:r>
      <w:r>
        <w:rPr>
          <w:rFonts w:ascii="仿宋" w:hAnsi="仿宋" w:eastAsia="仿宋" w:cs="仿宋"/>
        </w:rPr>
        <w:t xml:space="preserve"> </w:t>
      </w:r>
      <w:r>
        <w:rPr>
          <w:spacing w:val="-4"/>
        </w:rPr>
        <w:t>(</w:t>
      </w:r>
      <w:r>
        <w:rPr>
          <w:rFonts w:ascii="Times New Roman" w:hAnsi="Times New Roman" w:eastAsia="Times New Roman" w:cs="Times New Roman"/>
          <w:spacing w:val="-4"/>
        </w:rPr>
        <w:t>FAR)</w:t>
      </w:r>
      <w:r>
        <w:rPr>
          <w:spacing w:val="-4"/>
        </w:rPr>
        <w:t>、故障检测隔离时间(</w:t>
      </w:r>
      <w:r>
        <w:rPr>
          <w:spacing w:val="-65"/>
        </w:rPr>
        <w:t xml:space="preserve"> </w:t>
      </w:r>
      <w:r>
        <w:rPr>
          <w:rFonts w:ascii="Times New Roman" w:hAnsi="Times New Roman" w:eastAsia="Times New Roman" w:cs="Times New Roman"/>
          <w:spacing w:val="-4"/>
        </w:rPr>
        <w:t>FIT)</w:t>
      </w:r>
      <w:r>
        <w:rPr>
          <w:rFonts w:ascii="Times New Roman" w:hAnsi="Times New Roman" w:eastAsia="Times New Roman" w:cs="Times New Roman"/>
          <w:spacing w:val="42"/>
          <w:w w:val="101"/>
        </w:rPr>
        <w:t xml:space="preserve"> </w:t>
      </w:r>
      <w:r>
        <w:rPr>
          <w:spacing w:val="-4"/>
        </w:rPr>
        <w:t>等。</w:t>
      </w:r>
    </w:p>
    <w:p w14:paraId="51FCABE9">
      <w:pPr>
        <w:pStyle w:val="2"/>
        <w:spacing w:before="130" w:line="219" w:lineRule="auto"/>
        <w:ind w:left="550"/>
      </w:pPr>
      <w:r>
        <w:rPr>
          <w:spacing w:val="-1"/>
        </w:rPr>
        <w:t>装备维修性要求论证时，应至少提出如下维修性定性要求：</w:t>
      </w:r>
    </w:p>
    <w:p w14:paraId="013DAC93">
      <w:pPr>
        <w:pStyle w:val="2"/>
        <w:spacing w:before="58" w:line="260" w:lineRule="auto"/>
        <w:ind w:right="124" w:firstLine="550"/>
      </w:pPr>
      <w:r>
        <w:rPr>
          <w:rFonts w:ascii="Times New Roman" w:hAnsi="Times New Roman" w:eastAsia="Times New Roman" w:cs="Times New Roman"/>
          <w:spacing w:val="-19"/>
        </w:rPr>
        <w:t xml:space="preserve">a)  </w:t>
      </w:r>
      <w:r>
        <w:rPr>
          <w:spacing w:val="-19"/>
        </w:rPr>
        <w:t>不易用定量指标来描述的维修性要求，如需要经常调整、清洗、更换的部件应</w:t>
      </w:r>
      <w:r>
        <w:rPr>
          <w:spacing w:val="16"/>
        </w:rPr>
        <w:t xml:space="preserve"> </w:t>
      </w:r>
      <w:r>
        <w:rPr>
          <w:spacing w:val="-14"/>
        </w:rPr>
        <w:t>便于拆装或可进行原位维修的要求，检查窗开启和关闭操作应简单方便的要求等；</w:t>
      </w:r>
    </w:p>
    <w:p w14:paraId="3742EC66">
      <w:pPr>
        <w:pStyle w:val="2"/>
        <w:spacing w:before="58" w:line="269" w:lineRule="auto"/>
        <w:ind w:right="121" w:firstLine="550"/>
      </w:pPr>
      <w:r>
        <w:rPr>
          <w:rFonts w:ascii="Times New Roman" w:hAnsi="Times New Roman" w:eastAsia="Times New Roman" w:cs="Times New Roman"/>
          <w:spacing w:val="3"/>
        </w:rPr>
        <w:t>b)</w:t>
      </w:r>
      <w:r>
        <w:rPr>
          <w:rFonts w:ascii="Times New Roman" w:hAnsi="Times New Roman" w:eastAsia="Times New Roman" w:cs="Times New Roman"/>
          <w:spacing w:val="67"/>
        </w:rPr>
        <w:t xml:space="preserve"> </w:t>
      </w:r>
      <w:r>
        <w:rPr>
          <w:spacing w:val="3"/>
        </w:rPr>
        <w:t>具体产品的维修性设计要求，对维修空间、可达性、互换</w:t>
      </w:r>
      <w:r>
        <w:rPr>
          <w:spacing w:val="2"/>
        </w:rPr>
        <w:t>性等提出的要</w:t>
      </w:r>
      <w:r>
        <w:t xml:space="preserve"> </w:t>
      </w:r>
      <w:r>
        <w:rPr>
          <w:spacing w:val="-2"/>
        </w:rPr>
        <w:t>求，包括部件或功能件应可以互换的要求，特殊的防差错</w:t>
      </w:r>
      <w:r>
        <w:rPr>
          <w:spacing w:val="-3"/>
        </w:rPr>
        <w:t>及标识要求、具体部件</w:t>
      </w:r>
      <w:r>
        <w:t xml:space="preserve"> </w:t>
      </w:r>
      <w:r>
        <w:rPr>
          <w:spacing w:val="-3"/>
        </w:rPr>
        <w:t>的维修安全要求，以及有些特殊的维修性设计要求，如坦克炮身管应能前抽进行</w:t>
      </w:r>
      <w:r>
        <w:rPr>
          <w:spacing w:val="7"/>
        </w:rPr>
        <w:t xml:space="preserve"> </w:t>
      </w:r>
      <w:r>
        <w:rPr>
          <w:spacing w:val="-4"/>
        </w:rPr>
        <w:t>更换的要求、动力舱应能整体吊装的要求等；</w:t>
      </w:r>
    </w:p>
    <w:p w14:paraId="09BEF465">
      <w:pPr>
        <w:pStyle w:val="2"/>
        <w:spacing w:before="58" w:line="257" w:lineRule="auto"/>
        <w:ind w:right="121" w:firstLine="550"/>
      </w:pPr>
      <w:r>
        <w:rPr>
          <w:rFonts w:ascii="Times New Roman" w:hAnsi="Times New Roman" w:eastAsia="Times New Roman" w:cs="Times New Roman"/>
          <w:spacing w:val="-5"/>
        </w:rPr>
        <w:t xml:space="preserve">c)  </w:t>
      </w:r>
      <w:r>
        <w:rPr>
          <w:spacing w:val="-5"/>
        </w:rPr>
        <w:t>对软件提出可维护性方面的要求，如软件结构、采用编程语言、代码注释</w:t>
      </w:r>
      <w:r>
        <w:rPr>
          <w:spacing w:val="17"/>
        </w:rPr>
        <w:t xml:space="preserve"> </w:t>
      </w:r>
      <w:r>
        <w:rPr>
          <w:spacing w:val="-1"/>
        </w:rPr>
        <w:t>行要求等；</w:t>
      </w:r>
    </w:p>
    <w:p w14:paraId="3CE1D1ED">
      <w:pPr>
        <w:pStyle w:val="2"/>
        <w:spacing w:before="81" w:line="212" w:lineRule="auto"/>
        <w:ind w:left="550"/>
        <w:rPr>
          <w:sz w:val="25"/>
          <w:szCs w:val="25"/>
        </w:rPr>
      </w:pPr>
      <w:r>
        <w:rPr>
          <w:rFonts w:ascii="Times New Roman" w:hAnsi="Times New Roman" w:eastAsia="Times New Roman" w:cs="Times New Roman"/>
          <w:spacing w:val="1"/>
          <w:sz w:val="25"/>
          <w:szCs w:val="25"/>
        </w:rPr>
        <w:t xml:space="preserve">d)  </w:t>
      </w:r>
      <w:r>
        <w:rPr>
          <w:spacing w:val="1"/>
          <w:sz w:val="25"/>
          <w:szCs w:val="25"/>
        </w:rPr>
        <w:t>有关战场抢修的要求，如坦克诱导轮损坏时，应能实现履带短接的要求等。</w:t>
      </w:r>
    </w:p>
    <w:p w14:paraId="214A6276">
      <w:pPr>
        <w:spacing w:before="139" w:line="221" w:lineRule="auto"/>
        <w:rPr>
          <w:rFonts w:ascii="黑体" w:hAnsi="黑体" w:eastAsia="黑体" w:cs="黑体"/>
          <w:sz w:val="25"/>
          <w:szCs w:val="25"/>
        </w:rPr>
      </w:pPr>
      <w:r>
        <w:rPr>
          <w:rFonts w:ascii="黑体" w:hAnsi="黑体" w:eastAsia="黑体" w:cs="黑体"/>
          <w:spacing w:val="22"/>
          <w:sz w:val="25"/>
          <w:szCs w:val="25"/>
        </w:rPr>
        <w:t>8</w:t>
      </w:r>
      <w:r>
        <w:rPr>
          <w:rFonts w:ascii="黑体" w:hAnsi="黑体" w:eastAsia="黑体" w:cs="黑体"/>
          <w:spacing w:val="50"/>
          <w:sz w:val="25"/>
          <w:szCs w:val="25"/>
        </w:rPr>
        <w:t xml:space="preserve">  </w:t>
      </w:r>
      <w:r>
        <w:rPr>
          <w:rFonts w:ascii="黑体" w:hAnsi="黑体" w:eastAsia="黑体" w:cs="黑体"/>
          <w:spacing w:val="22"/>
          <w:sz w:val="25"/>
          <w:szCs w:val="25"/>
        </w:rPr>
        <w:t>装备维修性要求确定的过程和分析方法</w:t>
      </w:r>
    </w:p>
    <w:p w14:paraId="3A819D82">
      <w:pPr>
        <w:pStyle w:val="2"/>
        <w:spacing w:before="104" w:line="219" w:lineRule="auto"/>
        <w:ind w:left="550"/>
      </w:pPr>
      <w:r>
        <w:rPr>
          <w:spacing w:val="-1"/>
        </w:rPr>
        <w:t>列出确定装备维修性要求的过程、所用的分析方法和理由。</w:t>
      </w:r>
    </w:p>
    <w:p w14:paraId="7C76AC5C">
      <w:pPr>
        <w:spacing w:line="219" w:lineRule="auto"/>
        <w:sectPr>
          <w:footerReference r:id="rId406" w:type="default"/>
          <w:pgSz w:w="11910" w:h="17130"/>
          <w:pgMar w:top="1441" w:right="935" w:bottom="1687" w:left="1480" w:header="0" w:footer="1471" w:gutter="0"/>
          <w:cols w:space="720" w:num="1"/>
        </w:sectPr>
      </w:pPr>
    </w:p>
    <w:p w14:paraId="1DA18799">
      <w:pPr>
        <w:spacing w:before="102" w:line="222" w:lineRule="auto"/>
        <w:rPr>
          <w:rFonts w:ascii="黑体" w:hAnsi="黑体" w:eastAsia="黑体" w:cs="黑体"/>
          <w:sz w:val="24"/>
          <w:szCs w:val="24"/>
        </w:rPr>
      </w:pPr>
      <w:r>
        <w:rPr>
          <w:rFonts w:ascii="黑体" w:hAnsi="黑体" w:eastAsia="黑体" w:cs="黑体"/>
          <w:spacing w:val="31"/>
          <w:sz w:val="24"/>
          <w:szCs w:val="24"/>
        </w:rPr>
        <w:t>9</w:t>
      </w:r>
      <w:r>
        <w:rPr>
          <w:rFonts w:ascii="黑体" w:hAnsi="黑体" w:eastAsia="黑体" w:cs="黑体"/>
          <w:spacing w:val="37"/>
          <w:sz w:val="24"/>
          <w:szCs w:val="24"/>
        </w:rPr>
        <w:t xml:space="preserve">  </w:t>
      </w:r>
      <w:r>
        <w:rPr>
          <w:rFonts w:ascii="黑体" w:hAnsi="黑体" w:eastAsia="黑体" w:cs="黑体"/>
          <w:spacing w:val="31"/>
          <w:sz w:val="24"/>
          <w:szCs w:val="24"/>
        </w:rPr>
        <w:t>装备维修性要求可验证性分析</w:t>
      </w:r>
    </w:p>
    <w:p w14:paraId="56BD6EB3">
      <w:pPr>
        <w:pStyle w:val="2"/>
        <w:spacing w:before="53" w:line="284" w:lineRule="auto"/>
        <w:ind w:right="104" w:firstLine="560"/>
      </w:pPr>
      <w:r>
        <w:rPr>
          <w:spacing w:val="-3"/>
        </w:rPr>
        <w:t>列出装备维修性要求可验证性分析的结果，包括验证的参数、验证时机和方</w:t>
      </w:r>
      <w:r>
        <w:rPr>
          <w:spacing w:val="8"/>
        </w:rPr>
        <w:t xml:space="preserve"> </w:t>
      </w:r>
      <w:r>
        <w:rPr>
          <w:spacing w:val="-4"/>
        </w:rPr>
        <w:t>法等。</w:t>
      </w:r>
    </w:p>
    <w:p w14:paraId="4CCE8913">
      <w:pPr>
        <w:pStyle w:val="2"/>
        <w:spacing w:before="2" w:line="283" w:lineRule="auto"/>
        <w:ind w:right="103" w:firstLine="560"/>
      </w:pPr>
      <w:r>
        <w:rPr>
          <w:spacing w:val="6"/>
        </w:rPr>
        <w:t>可验证性分析是确定提出的各项维修性指标能</w:t>
      </w:r>
      <w:r>
        <w:rPr>
          <w:spacing w:val="5"/>
        </w:rPr>
        <w:t>否得到验证的过程。通过可</w:t>
      </w:r>
      <w:r>
        <w:t xml:space="preserve"> </w:t>
      </w:r>
      <w:r>
        <w:rPr>
          <w:spacing w:val="-8"/>
        </w:rPr>
        <w:t>验证分析，应明确如下主要内容：</w:t>
      </w:r>
    </w:p>
    <w:p w14:paraId="17E5EC07">
      <w:pPr>
        <w:pStyle w:val="2"/>
        <w:spacing w:before="2" w:line="249" w:lineRule="auto"/>
        <w:ind w:right="103" w:firstLine="560"/>
      </w:pPr>
      <w:r>
        <w:rPr>
          <w:rFonts w:ascii="Times New Roman" w:hAnsi="Times New Roman" w:eastAsia="Times New Roman" w:cs="Times New Roman"/>
          <w:spacing w:val="6"/>
        </w:rPr>
        <w:t>a</w:t>
      </w:r>
      <w:r>
        <w:rPr>
          <w:spacing w:val="6"/>
        </w:rPr>
        <w:t>)需验证参数的定义和内涵，包括试验时应记录的数据、如何利用</w:t>
      </w:r>
      <w:r>
        <w:rPr>
          <w:spacing w:val="5"/>
        </w:rPr>
        <w:t>数据计</w:t>
      </w:r>
      <w:r>
        <w:t xml:space="preserve"> 算参数量值的方法。</w:t>
      </w:r>
    </w:p>
    <w:p w14:paraId="3DDA0DCF">
      <w:pPr>
        <w:pStyle w:val="2"/>
        <w:spacing w:before="40" w:line="262" w:lineRule="auto"/>
        <w:ind w:firstLine="560"/>
      </w:pPr>
      <w:r>
        <w:rPr>
          <w:rFonts w:ascii="Times New Roman" w:hAnsi="Times New Roman" w:eastAsia="Times New Roman" w:cs="Times New Roman"/>
          <w:spacing w:val="11"/>
        </w:rPr>
        <w:t>b)</w:t>
      </w:r>
      <w:r>
        <w:rPr>
          <w:rFonts w:ascii="Times New Roman" w:hAnsi="Times New Roman" w:eastAsia="Times New Roman" w:cs="Times New Roman"/>
          <w:spacing w:val="66"/>
        </w:rPr>
        <w:t xml:space="preserve"> </w:t>
      </w:r>
      <w:r>
        <w:rPr>
          <w:spacing w:val="11"/>
        </w:rPr>
        <w:t>装备的故障判断准则，包括关联和非关联(责任和非责任)故障判断准</w:t>
      </w:r>
      <w:r>
        <w:t xml:space="preserve"> </w:t>
      </w:r>
      <w:r>
        <w:rPr>
          <w:spacing w:val="1"/>
        </w:rPr>
        <w:t>则，任务成功的准则和严重故障(任务故障)判断准则等。有耐久性要求的装</w:t>
      </w:r>
      <w:r>
        <w:t xml:space="preserve">备， </w:t>
      </w:r>
      <w:r>
        <w:rPr>
          <w:spacing w:val="3"/>
        </w:rPr>
        <w:t>应明确极限状态(耐久性损坏)的判断准则。</w:t>
      </w:r>
    </w:p>
    <w:p w14:paraId="4915C008">
      <w:pPr>
        <w:pStyle w:val="2"/>
        <w:spacing w:before="89" w:line="267" w:lineRule="auto"/>
        <w:ind w:firstLine="560"/>
      </w:pPr>
      <w:r>
        <w:rPr>
          <w:rFonts w:ascii="Times New Roman" w:hAnsi="Times New Roman" w:eastAsia="Times New Roman" w:cs="Times New Roman"/>
          <w:spacing w:val="5"/>
        </w:rPr>
        <w:t>c)</w:t>
      </w:r>
      <w:r>
        <w:rPr>
          <w:rFonts w:ascii="Times New Roman" w:hAnsi="Times New Roman" w:eastAsia="Times New Roman" w:cs="Times New Roman"/>
          <w:spacing w:val="42"/>
        </w:rPr>
        <w:t xml:space="preserve"> </w:t>
      </w:r>
      <w:r>
        <w:rPr>
          <w:spacing w:val="5"/>
        </w:rPr>
        <w:t>验证试验方案。根据</w:t>
      </w:r>
      <w:r>
        <w:rPr>
          <w:rFonts w:ascii="Times New Roman" w:hAnsi="Times New Roman" w:eastAsia="Times New Roman" w:cs="Times New Roman"/>
        </w:rPr>
        <w:t>GJB</w:t>
      </w:r>
      <w:r>
        <w:rPr>
          <w:rFonts w:ascii="Times New Roman" w:hAnsi="Times New Roman" w:eastAsia="Times New Roman" w:cs="Times New Roman"/>
          <w:spacing w:val="5"/>
        </w:rPr>
        <w:t xml:space="preserve"> 899</w:t>
      </w:r>
      <w:r>
        <w:rPr>
          <w:rFonts w:ascii="Times New Roman" w:hAnsi="Times New Roman" w:eastAsia="Times New Roman" w:cs="Times New Roman"/>
          <w:spacing w:val="-38"/>
        </w:rPr>
        <w:t xml:space="preserve"> </w:t>
      </w:r>
      <w:r>
        <w:rPr>
          <w:spacing w:val="5"/>
        </w:rPr>
        <w:t>、</w:t>
      </w:r>
      <w:r>
        <w:rPr>
          <w:rFonts w:ascii="Times New Roman" w:hAnsi="Times New Roman" w:eastAsia="Times New Roman" w:cs="Times New Roman"/>
        </w:rPr>
        <w:t>GJB</w:t>
      </w:r>
      <w:r>
        <w:rPr>
          <w:rFonts w:ascii="Times New Roman" w:hAnsi="Times New Roman" w:eastAsia="Times New Roman" w:cs="Times New Roman"/>
          <w:spacing w:val="5"/>
        </w:rPr>
        <w:t xml:space="preserve"> 2072</w:t>
      </w:r>
      <w:r>
        <w:rPr>
          <w:rFonts w:ascii="Times New Roman" w:hAnsi="Times New Roman" w:eastAsia="Times New Roman" w:cs="Times New Roman"/>
          <w:spacing w:val="-18"/>
        </w:rPr>
        <w:t xml:space="preserve"> </w:t>
      </w:r>
      <w:r>
        <w:rPr>
          <w:spacing w:val="5"/>
        </w:rPr>
        <w:t>和有关标准规定的原则确定试</w:t>
      </w:r>
      <w:r>
        <w:t xml:space="preserve"> </w:t>
      </w:r>
      <w:r>
        <w:rPr>
          <w:spacing w:val="-2"/>
        </w:rPr>
        <w:t>验方案时，应明确指标的统计含义，说明所提指标是用</w:t>
      </w:r>
      <w:r>
        <w:rPr>
          <w:spacing w:val="-3"/>
        </w:rPr>
        <w:t>置信下限(或上限)还是均</w:t>
      </w:r>
      <w:r>
        <w:t xml:space="preserve">  </w:t>
      </w:r>
      <w:r>
        <w:rPr>
          <w:spacing w:val="-7"/>
        </w:rPr>
        <w:t>值来度量；应规定检验的统计准则，包括试验的判决风险、样本数、试验总时间、</w:t>
      </w:r>
      <w:r>
        <w:rPr>
          <w:spacing w:val="15"/>
        </w:rPr>
        <w:t xml:space="preserve"> </w:t>
      </w:r>
      <w:r>
        <w:rPr>
          <w:spacing w:val="-2"/>
        </w:rPr>
        <w:t>置信水平等。当有多种任务剖面时，还应明</w:t>
      </w:r>
      <w:r>
        <w:rPr>
          <w:spacing w:val="-3"/>
        </w:rPr>
        <w:t>确试验剖面，规定试验剖面的持续时</w:t>
      </w:r>
      <w:r>
        <w:t xml:space="preserve">  </w:t>
      </w:r>
      <w:r>
        <w:rPr>
          <w:spacing w:val="-3"/>
        </w:rPr>
        <w:t>间、各分系统的试验时间、综合环境试验条件等，试验剖面的设计应与任务剖面</w:t>
      </w:r>
      <w:r>
        <w:rPr>
          <w:spacing w:val="7"/>
        </w:rPr>
        <w:t xml:space="preserve">  </w:t>
      </w:r>
      <w:r>
        <w:rPr>
          <w:spacing w:val="-1"/>
        </w:rPr>
        <w:t>相协调。</w:t>
      </w:r>
    </w:p>
    <w:p w14:paraId="653BED20">
      <w:pPr>
        <w:pStyle w:val="2"/>
        <w:spacing w:before="105" w:line="264" w:lineRule="auto"/>
        <w:ind w:right="94" w:firstLine="560"/>
      </w:pPr>
      <w:r>
        <w:rPr>
          <w:rFonts w:ascii="Times New Roman" w:hAnsi="Times New Roman" w:eastAsia="Times New Roman" w:cs="Times New Roman"/>
          <w:spacing w:val="3"/>
        </w:rPr>
        <w:t>d)</w:t>
      </w:r>
      <w:r>
        <w:rPr>
          <w:rFonts w:ascii="Times New Roman" w:hAnsi="Times New Roman" w:eastAsia="Times New Roman" w:cs="Times New Roman"/>
          <w:spacing w:val="68"/>
        </w:rPr>
        <w:t xml:space="preserve"> </w:t>
      </w:r>
      <w:r>
        <w:rPr>
          <w:spacing w:val="3"/>
        </w:rPr>
        <w:t>对不能或不适宜用统计试验方案验证的参数提出评估验证的要求，有的</w:t>
      </w:r>
      <w:r>
        <w:t xml:space="preserve"> </w:t>
      </w:r>
      <w:r>
        <w:rPr>
          <w:spacing w:val="6"/>
        </w:rPr>
        <w:t>指标可采用演示试验的方法进行验证，有的指标(如小子样</w:t>
      </w:r>
      <w:r>
        <w:rPr>
          <w:spacing w:val="5"/>
        </w:rPr>
        <w:t>的成功概率)可利用</w:t>
      </w:r>
      <w:r>
        <w:t xml:space="preserve"> </w:t>
      </w:r>
      <w:r>
        <w:rPr>
          <w:spacing w:val="4"/>
        </w:rPr>
        <w:t>不同层次的数据通过建模仿真或其他综合的方法进行评估。</w:t>
      </w:r>
    </w:p>
    <w:p w14:paraId="7BD44C1C">
      <w:pPr>
        <w:pStyle w:val="2"/>
        <w:spacing w:before="74" w:line="259" w:lineRule="auto"/>
        <w:ind w:right="103" w:firstLine="560"/>
      </w:pPr>
      <w:r>
        <w:rPr>
          <w:rFonts w:ascii="Times New Roman" w:hAnsi="Times New Roman" w:eastAsia="Times New Roman" w:cs="Times New Roman"/>
          <w:spacing w:val="4"/>
        </w:rPr>
        <w:t>e)</w:t>
      </w:r>
      <w:r>
        <w:rPr>
          <w:rFonts w:ascii="Times New Roman" w:hAnsi="Times New Roman" w:eastAsia="Times New Roman" w:cs="Times New Roman"/>
          <w:spacing w:val="43"/>
        </w:rPr>
        <w:t xml:space="preserve"> </w:t>
      </w:r>
      <w:r>
        <w:rPr>
          <w:spacing w:val="4"/>
        </w:rPr>
        <w:t>装备维修性使用要求的验证应在装备实际使用条件下通过使用试验</w:t>
      </w:r>
      <w:r>
        <w:rPr>
          <w:spacing w:val="3"/>
        </w:rPr>
        <w:t>来验</w:t>
      </w:r>
      <w:r>
        <w:t xml:space="preserve"> </w:t>
      </w:r>
      <w:r>
        <w:rPr>
          <w:spacing w:val="-3"/>
        </w:rPr>
        <w:t>证。在不具备使用验证条件的情况下，可利用定型试验期间收集的数据和装备设</w:t>
      </w:r>
      <w:r>
        <w:rPr>
          <w:spacing w:val="16"/>
        </w:rPr>
        <w:t xml:space="preserve"> </w:t>
      </w:r>
      <w:r>
        <w:rPr>
          <w:spacing w:val="-10"/>
        </w:rPr>
        <w:t>计过程中的数据，利用仿真等技术进行分析</w:t>
      </w:r>
      <w:r>
        <w:rPr>
          <w:spacing w:val="-11"/>
        </w:rPr>
        <w:t>评估，以评估使用要求的实现情况。</w:t>
      </w:r>
    </w:p>
    <w:p w14:paraId="0284DC23">
      <w:pPr>
        <w:spacing w:before="110" w:line="222" w:lineRule="auto"/>
        <w:rPr>
          <w:rFonts w:ascii="黑体" w:hAnsi="黑体" w:eastAsia="黑体" w:cs="黑体"/>
          <w:sz w:val="24"/>
          <w:szCs w:val="24"/>
        </w:rPr>
      </w:pPr>
      <w:r>
        <w:rPr>
          <w:rFonts w:ascii="黑体" w:hAnsi="黑体" w:eastAsia="黑体" w:cs="黑体"/>
          <w:spacing w:val="30"/>
          <w:sz w:val="24"/>
          <w:szCs w:val="24"/>
        </w:rPr>
        <w:t>10</w:t>
      </w:r>
      <w:r>
        <w:rPr>
          <w:rFonts w:ascii="黑体" w:hAnsi="黑体" w:eastAsia="黑体" w:cs="黑体"/>
          <w:spacing w:val="54"/>
          <w:sz w:val="24"/>
          <w:szCs w:val="24"/>
        </w:rPr>
        <w:t xml:space="preserve">  </w:t>
      </w:r>
      <w:r>
        <w:rPr>
          <w:rFonts w:ascii="黑体" w:hAnsi="黑体" w:eastAsia="黑体" w:cs="黑体"/>
          <w:spacing w:val="30"/>
          <w:sz w:val="24"/>
          <w:szCs w:val="24"/>
        </w:rPr>
        <w:t>装备维修性专项经费预计分析</w:t>
      </w:r>
    </w:p>
    <w:p w14:paraId="6009E83B">
      <w:pPr>
        <w:pStyle w:val="2"/>
        <w:spacing w:before="122" w:line="318" w:lineRule="auto"/>
        <w:ind w:right="101" w:firstLine="560"/>
        <w:rPr>
          <w:sz w:val="24"/>
          <w:szCs w:val="24"/>
        </w:rPr>
      </w:pPr>
      <w:r>
        <w:rPr>
          <w:spacing w:val="36"/>
          <w:sz w:val="24"/>
          <w:szCs w:val="24"/>
        </w:rPr>
        <w:t>通过寿命周期费用影响的费用分析，列出装备维修</w:t>
      </w:r>
      <w:r>
        <w:rPr>
          <w:spacing w:val="35"/>
          <w:sz w:val="24"/>
          <w:szCs w:val="24"/>
        </w:rPr>
        <w:t>性专项经费需求分析结</w:t>
      </w:r>
      <w:r>
        <w:rPr>
          <w:sz w:val="24"/>
          <w:szCs w:val="24"/>
        </w:rPr>
        <w:t xml:space="preserve"> </w:t>
      </w:r>
      <w:r>
        <w:rPr>
          <w:spacing w:val="17"/>
          <w:sz w:val="24"/>
          <w:szCs w:val="24"/>
        </w:rPr>
        <w:t>果、支付进度和要求等。</w:t>
      </w:r>
    </w:p>
    <w:p w14:paraId="37984B4F">
      <w:pPr>
        <w:pStyle w:val="2"/>
        <w:spacing w:before="134" w:line="219" w:lineRule="auto"/>
        <w:ind w:left="2609"/>
        <w:outlineLvl w:val="1"/>
        <w:rPr>
          <w:sz w:val="36"/>
          <w:szCs w:val="36"/>
        </w:rPr>
      </w:pPr>
      <w:r>
        <w:rPr>
          <w:rFonts w:ascii="Times New Roman" w:hAnsi="Times New Roman" w:eastAsia="Times New Roman" w:cs="Times New Roman"/>
          <w:b/>
          <w:bCs/>
          <w:spacing w:val="2"/>
          <w:sz w:val="36"/>
          <w:szCs w:val="36"/>
        </w:rPr>
        <w:t xml:space="preserve">8.2     </w:t>
      </w:r>
      <w:r>
        <w:rPr>
          <w:b/>
          <w:bCs/>
          <w:spacing w:val="2"/>
          <w:sz w:val="36"/>
          <w:szCs w:val="36"/>
        </w:rPr>
        <w:t>维修性工作项目要求</w:t>
      </w:r>
    </w:p>
    <w:p w14:paraId="48DD872D">
      <w:pPr>
        <w:pStyle w:val="2"/>
        <w:spacing w:before="218"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368B—2009</w:t>
      </w:r>
      <w:r>
        <w:rPr>
          <w:spacing w:val="-11"/>
          <w:sz w:val="28"/>
          <w:szCs w:val="28"/>
        </w:rPr>
        <w:t>《</w:t>
      </w:r>
      <w:r>
        <w:rPr>
          <w:rFonts w:ascii="楷体" w:hAnsi="楷体" w:eastAsia="楷体" w:cs="楷体"/>
          <w:spacing w:val="-11"/>
          <w:sz w:val="28"/>
          <w:szCs w:val="28"/>
        </w:rPr>
        <w:t>装备维修性工作通用要求》编写。</w:t>
      </w:r>
    </w:p>
    <w:p w14:paraId="41167D73">
      <w:pPr>
        <w:spacing w:before="88"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39"/>
          <w:sz w:val="25"/>
          <w:szCs w:val="25"/>
        </w:rPr>
        <w:t xml:space="preserve">  </w:t>
      </w:r>
      <w:r>
        <w:rPr>
          <w:rFonts w:ascii="黑体" w:hAnsi="黑体" w:eastAsia="黑体" w:cs="黑体"/>
          <w:spacing w:val="3"/>
          <w:sz w:val="25"/>
          <w:szCs w:val="25"/>
        </w:rPr>
        <w:t>范围</w:t>
      </w:r>
    </w:p>
    <w:p w14:paraId="6DC0AD5C">
      <w:pPr>
        <w:spacing w:before="106" w:line="222" w:lineRule="auto"/>
        <w:rPr>
          <w:rFonts w:ascii="黑体" w:hAnsi="黑体" w:eastAsia="黑体" w:cs="黑体"/>
          <w:sz w:val="25"/>
          <w:szCs w:val="25"/>
        </w:rPr>
      </w:pPr>
      <w:r>
        <w:rPr>
          <w:rFonts w:ascii="黑体" w:hAnsi="黑体" w:eastAsia="黑体" w:cs="黑体"/>
          <w:spacing w:val="16"/>
          <w:sz w:val="25"/>
          <w:szCs w:val="25"/>
        </w:rPr>
        <w:t>2</w:t>
      </w:r>
      <w:r>
        <w:rPr>
          <w:rFonts w:ascii="黑体" w:hAnsi="黑体" w:eastAsia="黑体" w:cs="黑体"/>
          <w:spacing w:val="32"/>
          <w:sz w:val="25"/>
          <w:szCs w:val="25"/>
        </w:rPr>
        <w:t xml:space="preserve">  </w:t>
      </w:r>
      <w:r>
        <w:rPr>
          <w:rFonts w:ascii="黑体" w:hAnsi="黑体" w:eastAsia="黑体" w:cs="黑体"/>
          <w:spacing w:val="16"/>
          <w:sz w:val="25"/>
          <w:szCs w:val="25"/>
        </w:rPr>
        <w:t>引用文件</w:t>
      </w:r>
    </w:p>
    <w:p w14:paraId="6DE9ADE4">
      <w:pPr>
        <w:spacing w:before="55" w:line="341" w:lineRule="exact"/>
        <w:rPr>
          <w:rFonts w:ascii="黑体" w:hAnsi="黑体" w:eastAsia="黑体" w:cs="黑体"/>
          <w:sz w:val="25"/>
          <w:szCs w:val="25"/>
        </w:rPr>
      </w:pPr>
      <w:r>
        <w:rPr>
          <w:rFonts w:ascii="Arial" w:hAnsi="Arial" w:eastAsia="Arial" w:cs="Arial"/>
          <w:spacing w:val="21"/>
          <w:position w:val="1"/>
          <w:sz w:val="25"/>
          <w:szCs w:val="25"/>
        </w:rPr>
        <w:t>3</w:t>
      </w:r>
      <w:r>
        <w:rPr>
          <w:rFonts w:ascii="Arial" w:hAnsi="Arial" w:eastAsia="Arial" w:cs="Arial"/>
          <w:spacing w:val="8"/>
          <w:position w:val="1"/>
          <w:sz w:val="25"/>
          <w:szCs w:val="25"/>
        </w:rPr>
        <w:t xml:space="preserve">    </w:t>
      </w:r>
      <w:r>
        <w:rPr>
          <w:rFonts w:ascii="黑体" w:hAnsi="黑体" w:eastAsia="黑体" w:cs="黑体"/>
          <w:spacing w:val="21"/>
          <w:position w:val="1"/>
          <w:sz w:val="25"/>
          <w:szCs w:val="25"/>
        </w:rPr>
        <w:t>维修性工作项目的选择原则</w:t>
      </w:r>
    </w:p>
    <w:p w14:paraId="0A1C7E9D">
      <w:pPr>
        <w:pStyle w:val="2"/>
        <w:spacing w:before="106" w:line="219" w:lineRule="auto"/>
        <w:ind w:left="560"/>
      </w:pPr>
      <w:r>
        <w:rPr>
          <w:spacing w:val="2"/>
        </w:rPr>
        <w:t>维修性工作项目的选择应遵循以下原则：</w:t>
      </w:r>
    </w:p>
    <w:p w14:paraId="74CFAF45">
      <w:pPr>
        <w:pStyle w:val="2"/>
        <w:spacing w:before="79" w:line="295" w:lineRule="auto"/>
        <w:ind w:right="104" w:firstLine="560"/>
      </w:pPr>
      <w:r>
        <w:rPr>
          <w:rFonts w:ascii="Times New Roman" w:hAnsi="Times New Roman" w:eastAsia="Times New Roman" w:cs="Times New Roman"/>
          <w:spacing w:val="11"/>
        </w:rPr>
        <w:t xml:space="preserve">a)  </w:t>
      </w:r>
      <w:r>
        <w:rPr>
          <w:spacing w:val="11"/>
        </w:rPr>
        <w:t>工作项目的选择应以确保达到维修性定性与定量要求为主要目标。鼓</w:t>
      </w:r>
      <w:r>
        <w:t xml:space="preserve"> 励承制方提出补充的工作项目、备选的工作项目和对工作项目进行改进。</w:t>
      </w:r>
    </w:p>
    <w:p w14:paraId="3106ADFA">
      <w:pPr>
        <w:spacing w:line="295" w:lineRule="auto"/>
        <w:sectPr>
          <w:footerReference r:id="rId407" w:type="default"/>
          <w:pgSz w:w="11910" w:h="17130"/>
          <w:pgMar w:top="1456" w:right="1274" w:bottom="1666" w:left="1150" w:header="0" w:footer="1477" w:gutter="0"/>
          <w:cols w:space="720" w:num="1"/>
        </w:sectPr>
      </w:pPr>
    </w:p>
    <w:p w14:paraId="4A1CB838">
      <w:pPr>
        <w:pStyle w:val="2"/>
        <w:spacing w:before="57" w:line="276" w:lineRule="auto"/>
        <w:ind w:left="134" w:right="113" w:firstLine="560"/>
      </w:pPr>
      <w:r>
        <w:rPr>
          <w:rFonts w:ascii="Times New Roman" w:hAnsi="Times New Roman" w:eastAsia="Times New Roman" w:cs="Times New Roman"/>
          <w:spacing w:val="2"/>
        </w:rPr>
        <w:t xml:space="preserve">b)  </w:t>
      </w:r>
      <w:r>
        <w:rPr>
          <w:spacing w:val="2"/>
        </w:rPr>
        <w:t>费用效益是选择工作项目的基本依据。选择工作项目时，可根据产品维</w:t>
      </w:r>
      <w:r>
        <w:t xml:space="preserve"> </w:t>
      </w:r>
      <w:r>
        <w:rPr>
          <w:spacing w:val="-2"/>
        </w:rPr>
        <w:t>修性目标和各工作项目所需的费用，综合考虑工作项目的</w:t>
      </w:r>
      <w:r>
        <w:rPr>
          <w:spacing w:val="-3"/>
        </w:rPr>
        <w:t>复杂程度、阶段划分和</w:t>
      </w:r>
      <w:r>
        <w:t xml:space="preserve"> </w:t>
      </w:r>
      <w:r>
        <w:rPr>
          <w:spacing w:val="-10"/>
        </w:rPr>
        <w:t>资金、进度要求等因素。</w:t>
      </w:r>
    </w:p>
    <w:p w14:paraId="4653CD09">
      <w:pPr>
        <w:pStyle w:val="2"/>
        <w:spacing w:before="48" w:line="267" w:lineRule="auto"/>
        <w:ind w:left="134" w:firstLine="560"/>
      </w:pPr>
      <w:r>
        <w:rPr>
          <w:rFonts w:ascii="Times New Roman" w:hAnsi="Times New Roman" w:eastAsia="Times New Roman" w:cs="Times New Roman"/>
          <w:spacing w:val="2"/>
        </w:rPr>
        <w:t xml:space="preserve">c)  </w:t>
      </w:r>
      <w:r>
        <w:rPr>
          <w:spacing w:val="2"/>
        </w:rPr>
        <w:t>维修性工作项目与其他专业工程(如综合保障、安全性、可靠性等)相协</w:t>
      </w:r>
      <w:r>
        <w:rPr>
          <w:spacing w:val="8"/>
        </w:rPr>
        <w:t xml:space="preserve">  </w:t>
      </w:r>
      <w:r>
        <w:rPr>
          <w:spacing w:val="1"/>
        </w:rPr>
        <w:t>调，避免重复，维修性建模和分析尤其需要与保障性分析相协调，但不能重复。</w:t>
      </w:r>
      <w:r>
        <w:t xml:space="preserve"> </w:t>
      </w:r>
      <w:r>
        <w:rPr>
          <w:spacing w:val="4"/>
        </w:rPr>
        <w:t>应保证保障性分析及其记录与维修性(含测试性)分析及其数据不重复。</w:t>
      </w:r>
    </w:p>
    <w:p w14:paraId="221776D1">
      <w:pPr>
        <w:pStyle w:val="2"/>
        <w:spacing w:before="39" w:line="267" w:lineRule="auto"/>
        <w:ind w:left="134" w:right="103" w:firstLine="560"/>
      </w:pPr>
      <w:r>
        <w:rPr>
          <w:rFonts w:ascii="Times New Roman" w:hAnsi="Times New Roman" w:eastAsia="Times New Roman" w:cs="Times New Roman"/>
          <w:spacing w:val="-5"/>
        </w:rPr>
        <w:t xml:space="preserve">d)  </w:t>
      </w:r>
      <w:r>
        <w:rPr>
          <w:spacing w:val="-5"/>
        </w:rPr>
        <w:t>维修性要求的确定、工作项目的选择和剪裁、说明细节的补充、详细设计</w:t>
      </w:r>
      <w:r>
        <w:t xml:space="preserve"> </w:t>
      </w:r>
      <w:r>
        <w:rPr>
          <w:spacing w:val="3"/>
        </w:rPr>
        <w:t>评审项目要求的制定等工作之间需要协调。</w:t>
      </w:r>
    </w:p>
    <w:p w14:paraId="5358E0FC">
      <w:pPr>
        <w:spacing w:before="96" w:line="222" w:lineRule="auto"/>
        <w:ind w:left="134"/>
        <w:rPr>
          <w:rFonts w:ascii="黑体" w:hAnsi="黑体" w:eastAsia="黑体" w:cs="黑体"/>
          <w:sz w:val="24"/>
          <w:szCs w:val="24"/>
        </w:rPr>
      </w:pPr>
      <w:r>
        <w:rPr>
          <w:rFonts w:ascii="Arial" w:hAnsi="Arial" w:eastAsia="Arial" w:cs="Arial"/>
          <w:spacing w:val="32"/>
          <w:sz w:val="24"/>
          <w:szCs w:val="24"/>
        </w:rPr>
        <w:t>4</w:t>
      </w:r>
      <w:r>
        <w:rPr>
          <w:rFonts w:ascii="Arial" w:hAnsi="Arial" w:eastAsia="Arial" w:cs="Arial"/>
          <w:spacing w:val="10"/>
          <w:sz w:val="24"/>
          <w:szCs w:val="24"/>
        </w:rPr>
        <w:t xml:space="preserve">    </w:t>
      </w:r>
      <w:r>
        <w:rPr>
          <w:rFonts w:ascii="黑体" w:hAnsi="黑体" w:eastAsia="黑体" w:cs="黑体"/>
          <w:spacing w:val="32"/>
          <w:sz w:val="24"/>
          <w:szCs w:val="24"/>
        </w:rPr>
        <w:t>维修性工作项目选择权衡分析</w:t>
      </w:r>
    </w:p>
    <w:p w14:paraId="30544121">
      <w:pPr>
        <w:pStyle w:val="2"/>
        <w:spacing w:before="102" w:line="219" w:lineRule="auto"/>
        <w:ind w:left="695"/>
      </w:pPr>
      <w:r>
        <w:t>维修性工作项目的选择取决于具体产品的情况，考虑的</w:t>
      </w:r>
      <w:r>
        <w:rPr>
          <w:spacing w:val="-1"/>
        </w:rPr>
        <w:t>主要因素有：</w:t>
      </w:r>
    </w:p>
    <w:p w14:paraId="5FA6D74D">
      <w:pPr>
        <w:pStyle w:val="2"/>
        <w:spacing w:before="110" w:line="219" w:lineRule="auto"/>
        <w:ind w:left="695"/>
        <w:rPr>
          <w:sz w:val="24"/>
          <w:szCs w:val="24"/>
        </w:rPr>
      </w:pPr>
      <w:r>
        <w:rPr>
          <w:rFonts w:ascii="Times New Roman" w:hAnsi="Times New Roman" w:eastAsia="Times New Roman" w:cs="Times New Roman"/>
          <w:spacing w:val="24"/>
          <w:sz w:val="24"/>
          <w:szCs w:val="24"/>
        </w:rPr>
        <w:t>a</w:t>
      </w:r>
      <w:r>
        <w:rPr>
          <w:rFonts w:ascii="Times New Roman" w:hAnsi="Times New Roman" w:eastAsia="Times New Roman" w:cs="Times New Roman"/>
          <w:spacing w:val="-12"/>
          <w:sz w:val="24"/>
          <w:szCs w:val="24"/>
        </w:rPr>
        <w:t xml:space="preserve"> </w:t>
      </w:r>
      <w:r>
        <w:rPr>
          <w:spacing w:val="24"/>
          <w:sz w:val="24"/>
          <w:szCs w:val="24"/>
        </w:rPr>
        <w:t>)</w:t>
      </w:r>
      <w:r>
        <w:rPr>
          <w:spacing w:val="-30"/>
          <w:sz w:val="24"/>
          <w:szCs w:val="24"/>
        </w:rPr>
        <w:t xml:space="preserve"> </w:t>
      </w:r>
      <w:r>
        <w:rPr>
          <w:spacing w:val="24"/>
          <w:sz w:val="24"/>
          <w:szCs w:val="24"/>
        </w:rPr>
        <w:t>要求的维修性水平；</w:t>
      </w:r>
    </w:p>
    <w:p w14:paraId="66417F7C">
      <w:pPr>
        <w:pStyle w:val="2"/>
        <w:spacing w:before="57" w:line="212" w:lineRule="auto"/>
        <w:ind w:left="695"/>
      </w:pPr>
      <w:r>
        <w:rPr>
          <w:rFonts w:ascii="Times New Roman" w:hAnsi="Times New Roman" w:eastAsia="Times New Roman" w:cs="Times New Roman"/>
          <w:spacing w:val="4"/>
        </w:rPr>
        <w:t>b)</w:t>
      </w:r>
      <w:r>
        <w:rPr>
          <w:rFonts w:ascii="Times New Roman" w:hAnsi="Times New Roman" w:eastAsia="Times New Roman" w:cs="Times New Roman"/>
          <w:spacing w:val="67"/>
        </w:rPr>
        <w:t xml:space="preserve"> </w:t>
      </w:r>
      <w:r>
        <w:rPr>
          <w:spacing w:val="4"/>
        </w:rPr>
        <w:t>产品的类型和特点；</w:t>
      </w:r>
    </w:p>
    <w:p w14:paraId="467A1E14">
      <w:pPr>
        <w:pStyle w:val="2"/>
        <w:spacing w:before="122" w:line="212" w:lineRule="auto"/>
        <w:ind w:left="695"/>
        <w:rPr>
          <w:sz w:val="24"/>
          <w:szCs w:val="24"/>
        </w:rPr>
      </w:pPr>
      <w:r>
        <w:rPr>
          <w:rFonts w:ascii="Times New Roman" w:hAnsi="Times New Roman" w:eastAsia="Times New Roman" w:cs="Times New Roman"/>
          <w:spacing w:val="26"/>
          <w:sz w:val="24"/>
          <w:szCs w:val="24"/>
        </w:rPr>
        <w:t xml:space="preserve">c)  </w:t>
      </w:r>
      <w:r>
        <w:rPr>
          <w:spacing w:val="26"/>
          <w:sz w:val="24"/>
          <w:szCs w:val="24"/>
        </w:rPr>
        <w:t>产品的复杂程度和重要性；</w:t>
      </w:r>
    </w:p>
    <w:p w14:paraId="30D757EA">
      <w:pPr>
        <w:pStyle w:val="2"/>
        <w:spacing w:before="102" w:line="212" w:lineRule="auto"/>
        <w:ind w:left="695"/>
      </w:pPr>
      <w:r>
        <w:rPr>
          <w:rFonts w:ascii="Times New Roman" w:hAnsi="Times New Roman" w:eastAsia="Times New Roman" w:cs="Times New Roman"/>
          <w:spacing w:val="3"/>
        </w:rPr>
        <w:t>d)</w:t>
      </w:r>
      <w:r>
        <w:rPr>
          <w:rFonts w:ascii="Times New Roman" w:hAnsi="Times New Roman" w:eastAsia="Times New Roman" w:cs="Times New Roman"/>
          <w:spacing w:val="61"/>
        </w:rPr>
        <w:t xml:space="preserve"> </w:t>
      </w:r>
      <w:r>
        <w:rPr>
          <w:spacing w:val="3"/>
        </w:rPr>
        <w:t>产品新技术含量；</w:t>
      </w:r>
    </w:p>
    <w:p w14:paraId="75116F81">
      <w:pPr>
        <w:pStyle w:val="2"/>
        <w:spacing w:before="110" w:line="212" w:lineRule="auto"/>
        <w:ind w:left="695"/>
      </w:pPr>
      <w:r>
        <w:rPr>
          <w:rFonts w:ascii="Times New Roman" w:hAnsi="Times New Roman" w:eastAsia="Times New Roman" w:cs="Times New Roman"/>
          <w:spacing w:val="-6"/>
        </w:rPr>
        <w:t xml:space="preserve">e)  </w:t>
      </w:r>
      <w:r>
        <w:rPr>
          <w:spacing w:val="-6"/>
        </w:rPr>
        <w:t>费用、进度及所处阶段等。</w:t>
      </w:r>
    </w:p>
    <w:p w14:paraId="1C543B99">
      <w:pPr>
        <w:pStyle w:val="2"/>
        <w:spacing w:before="117" w:line="282" w:lineRule="auto"/>
        <w:ind w:right="107" w:firstLine="695"/>
        <w:jc w:val="both"/>
      </w:pPr>
      <w:r>
        <w:rPr>
          <w:spacing w:val="1"/>
        </w:rPr>
        <w:t>为了选择适用的工作项目，应对工作项目的适用性进行分析，可采用表8.1</w:t>
      </w:r>
      <w:r>
        <w:rPr>
          <w:spacing w:val="7"/>
        </w:rPr>
        <w:t xml:space="preserve"> </w:t>
      </w:r>
      <w:r>
        <w:rPr>
          <w:spacing w:val="-6"/>
        </w:rPr>
        <w:t>“工作项目重要性系数分析矩阵”的方法，得出各工作项目</w:t>
      </w:r>
      <w:r>
        <w:rPr>
          <w:spacing w:val="-7"/>
        </w:rPr>
        <w:t>的重要性系数，重要性</w:t>
      </w:r>
      <w:r>
        <w:t xml:space="preserve"> </w:t>
      </w:r>
      <w:r>
        <w:rPr>
          <w:spacing w:val="9"/>
        </w:rPr>
        <w:t>系数相对高的工作项目就是可选择的适用的项目。</w:t>
      </w:r>
    </w:p>
    <w:p w14:paraId="783E5D63">
      <w:pPr>
        <w:spacing w:line="220" w:lineRule="auto"/>
        <w:ind w:left="2575"/>
        <w:rPr>
          <w:rFonts w:ascii="仿宋" w:hAnsi="仿宋" w:eastAsia="仿宋" w:cs="仿宋"/>
          <w:sz w:val="24"/>
          <w:szCs w:val="24"/>
        </w:rPr>
      </w:pPr>
      <w:r>
        <w:rPr>
          <w:rFonts w:ascii="仿宋" w:hAnsi="仿宋" w:eastAsia="仿宋" w:cs="仿宋"/>
          <w:spacing w:val="25"/>
          <w:sz w:val="24"/>
          <w:szCs w:val="24"/>
        </w:rPr>
        <w:t>表8</w:t>
      </w:r>
      <w:r>
        <w:rPr>
          <w:rFonts w:ascii="仿宋" w:hAnsi="仿宋" w:eastAsia="仿宋" w:cs="仿宋"/>
          <w:spacing w:val="-48"/>
          <w:sz w:val="24"/>
          <w:szCs w:val="24"/>
        </w:rPr>
        <w:t xml:space="preserve"> </w:t>
      </w:r>
      <w:r>
        <w:rPr>
          <w:rFonts w:ascii="仿宋" w:hAnsi="仿宋" w:eastAsia="仿宋" w:cs="仿宋"/>
          <w:spacing w:val="25"/>
          <w:sz w:val="24"/>
          <w:szCs w:val="24"/>
        </w:rPr>
        <w:t>.</w:t>
      </w:r>
      <w:r>
        <w:rPr>
          <w:rFonts w:ascii="仿宋" w:hAnsi="仿宋" w:eastAsia="仿宋" w:cs="仿宋"/>
          <w:spacing w:val="-43"/>
          <w:sz w:val="24"/>
          <w:szCs w:val="24"/>
        </w:rPr>
        <w:t xml:space="preserve"> </w:t>
      </w:r>
      <w:r>
        <w:rPr>
          <w:rFonts w:ascii="仿宋" w:hAnsi="仿宋" w:eastAsia="仿宋" w:cs="仿宋"/>
          <w:spacing w:val="25"/>
          <w:sz w:val="24"/>
          <w:szCs w:val="24"/>
        </w:rPr>
        <w:t>1  工作项目重要性系数分析矩阵</w:t>
      </w:r>
    </w:p>
    <w:p w14:paraId="2E2DCCE6">
      <w:pPr>
        <w:spacing w:line="134" w:lineRule="exact"/>
      </w:pPr>
    </w:p>
    <w:tbl>
      <w:tblPr>
        <w:tblStyle w:val="5"/>
        <w:tblW w:w="9360" w:type="dxa"/>
        <w:tblInd w:w="2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839"/>
        <w:gridCol w:w="839"/>
        <w:gridCol w:w="1039"/>
        <w:gridCol w:w="1049"/>
        <w:gridCol w:w="829"/>
        <w:gridCol w:w="849"/>
        <w:gridCol w:w="629"/>
        <w:gridCol w:w="829"/>
        <w:gridCol w:w="1424"/>
      </w:tblGrid>
      <w:tr w14:paraId="0D796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034" w:type="dxa"/>
            <w:vMerge w:val="restart"/>
            <w:tcBorders>
              <w:bottom w:val="nil"/>
            </w:tcBorders>
            <w:vAlign w:val="top"/>
          </w:tcPr>
          <w:p w14:paraId="3DDB8964">
            <w:pPr>
              <w:pStyle w:val="6"/>
              <w:spacing w:line="380" w:lineRule="auto"/>
            </w:pPr>
          </w:p>
          <w:p w14:paraId="5DD789CA">
            <w:pPr>
              <w:spacing w:before="72" w:line="220" w:lineRule="auto"/>
              <w:ind w:left="65"/>
              <w:rPr>
                <w:rFonts w:ascii="宋体" w:hAnsi="宋体" w:eastAsia="宋体" w:cs="宋体"/>
                <w:sz w:val="22"/>
                <w:szCs w:val="22"/>
              </w:rPr>
            </w:pPr>
            <w:r>
              <w:rPr>
                <w:rFonts w:ascii="宋体" w:hAnsi="宋体" w:eastAsia="宋体" w:cs="宋体"/>
                <w:spacing w:val="10"/>
                <w:sz w:val="22"/>
                <w:szCs w:val="22"/>
              </w:rPr>
              <w:t>工作项目</w:t>
            </w:r>
          </w:p>
        </w:tc>
        <w:tc>
          <w:tcPr>
            <w:tcW w:w="6073" w:type="dxa"/>
            <w:gridSpan w:val="7"/>
            <w:vAlign w:val="top"/>
          </w:tcPr>
          <w:p w14:paraId="3E1916B7">
            <w:pPr>
              <w:spacing w:before="94" w:line="219" w:lineRule="auto"/>
              <w:ind w:left="2301"/>
              <w:rPr>
                <w:rFonts w:ascii="宋体" w:hAnsi="宋体" w:eastAsia="宋体" w:cs="宋体"/>
                <w:sz w:val="22"/>
                <w:szCs w:val="22"/>
              </w:rPr>
            </w:pPr>
            <w:r>
              <w:rPr>
                <w:rFonts w:ascii="宋体" w:hAnsi="宋体" w:eastAsia="宋体" w:cs="宋体"/>
                <w:spacing w:val="5"/>
                <w:sz w:val="22"/>
                <w:szCs w:val="22"/>
              </w:rPr>
              <w:t>加权系数(1～5)</w:t>
            </w:r>
          </w:p>
        </w:tc>
        <w:tc>
          <w:tcPr>
            <w:tcW w:w="829" w:type="dxa"/>
            <w:vAlign w:val="top"/>
          </w:tcPr>
          <w:p w14:paraId="7A974F3E">
            <w:pPr>
              <w:spacing w:before="94" w:line="220" w:lineRule="auto"/>
              <w:ind w:left="157"/>
              <w:rPr>
                <w:rFonts w:ascii="宋体" w:hAnsi="宋体" w:eastAsia="宋体" w:cs="宋体"/>
                <w:sz w:val="22"/>
                <w:szCs w:val="22"/>
              </w:rPr>
            </w:pPr>
            <w:r>
              <w:rPr>
                <w:rFonts w:ascii="宋体" w:hAnsi="宋体" w:eastAsia="宋体" w:cs="宋体"/>
                <w:spacing w:val="7"/>
                <w:sz w:val="22"/>
                <w:szCs w:val="22"/>
              </w:rPr>
              <w:t>乘积</w:t>
            </w:r>
          </w:p>
        </w:tc>
        <w:tc>
          <w:tcPr>
            <w:tcW w:w="1424" w:type="dxa"/>
            <w:vAlign w:val="top"/>
          </w:tcPr>
          <w:p w14:paraId="0260AC70">
            <w:pPr>
              <w:spacing w:before="94" w:line="219" w:lineRule="auto"/>
              <w:ind w:left="158"/>
              <w:rPr>
                <w:rFonts w:ascii="宋体" w:hAnsi="宋体" w:eastAsia="宋体" w:cs="宋体"/>
                <w:sz w:val="22"/>
                <w:szCs w:val="22"/>
              </w:rPr>
            </w:pPr>
            <w:r>
              <w:rPr>
                <w:rFonts w:ascii="宋体" w:hAnsi="宋体" w:eastAsia="宋体" w:cs="宋体"/>
                <w:spacing w:val="2"/>
                <w:sz w:val="22"/>
                <w:szCs w:val="22"/>
              </w:rPr>
              <w:t>重要性系数b</w:t>
            </w:r>
          </w:p>
        </w:tc>
      </w:tr>
      <w:tr w14:paraId="0A0B6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034" w:type="dxa"/>
            <w:vMerge w:val="continue"/>
            <w:tcBorders>
              <w:top w:val="nil"/>
            </w:tcBorders>
            <w:vAlign w:val="top"/>
          </w:tcPr>
          <w:p w14:paraId="32EBC4B0">
            <w:pPr>
              <w:pStyle w:val="6"/>
            </w:pPr>
          </w:p>
        </w:tc>
        <w:tc>
          <w:tcPr>
            <w:tcW w:w="839" w:type="dxa"/>
            <w:vAlign w:val="top"/>
          </w:tcPr>
          <w:p w14:paraId="0D52BC97">
            <w:pPr>
              <w:spacing w:before="81" w:line="219" w:lineRule="auto"/>
              <w:ind w:left="191"/>
              <w:rPr>
                <w:rFonts w:ascii="宋体" w:hAnsi="宋体" w:eastAsia="宋体" w:cs="宋体"/>
                <w:sz w:val="22"/>
                <w:szCs w:val="22"/>
              </w:rPr>
            </w:pPr>
            <w:r>
              <w:rPr>
                <w:rFonts w:ascii="宋体" w:hAnsi="宋体" w:eastAsia="宋体" w:cs="宋体"/>
                <w:spacing w:val="8"/>
                <w:sz w:val="22"/>
                <w:szCs w:val="22"/>
              </w:rPr>
              <w:t>复杂</w:t>
            </w:r>
          </w:p>
          <w:p w14:paraId="19B2985E">
            <w:pPr>
              <w:spacing w:before="79" w:line="220" w:lineRule="auto"/>
              <w:ind w:left="191"/>
              <w:rPr>
                <w:rFonts w:ascii="宋体" w:hAnsi="宋体" w:eastAsia="宋体" w:cs="宋体"/>
                <w:sz w:val="22"/>
                <w:szCs w:val="22"/>
              </w:rPr>
            </w:pPr>
            <w:r>
              <w:rPr>
                <w:rFonts w:ascii="宋体" w:hAnsi="宋体" w:eastAsia="宋体" w:cs="宋体"/>
                <w:spacing w:val="6"/>
                <w:sz w:val="22"/>
                <w:szCs w:val="22"/>
              </w:rPr>
              <w:t>程度</w:t>
            </w:r>
          </w:p>
        </w:tc>
        <w:tc>
          <w:tcPr>
            <w:tcW w:w="839" w:type="dxa"/>
            <w:vAlign w:val="top"/>
          </w:tcPr>
          <w:p w14:paraId="7F3B9743">
            <w:pPr>
              <w:spacing w:before="251" w:line="220" w:lineRule="auto"/>
              <w:ind w:left="102"/>
              <w:rPr>
                <w:rFonts w:ascii="宋体" w:hAnsi="宋体" w:eastAsia="宋体" w:cs="宋体"/>
                <w:sz w:val="22"/>
                <w:szCs w:val="22"/>
              </w:rPr>
            </w:pPr>
            <w:r>
              <w:rPr>
                <w:rFonts w:ascii="宋体" w:hAnsi="宋体" w:eastAsia="宋体" w:cs="宋体"/>
                <w:spacing w:val="2"/>
                <w:sz w:val="22"/>
                <w:szCs w:val="22"/>
              </w:rPr>
              <w:t>关键性</w:t>
            </w:r>
          </w:p>
        </w:tc>
        <w:tc>
          <w:tcPr>
            <w:tcW w:w="1039" w:type="dxa"/>
            <w:vAlign w:val="top"/>
          </w:tcPr>
          <w:p w14:paraId="42E03414">
            <w:pPr>
              <w:spacing w:before="71" w:line="263" w:lineRule="auto"/>
              <w:ind w:left="183" w:right="61" w:hanging="110"/>
              <w:rPr>
                <w:rFonts w:ascii="宋体" w:hAnsi="宋体" w:eastAsia="宋体" w:cs="宋体"/>
                <w:sz w:val="22"/>
                <w:szCs w:val="22"/>
              </w:rPr>
            </w:pPr>
            <w:r>
              <w:rPr>
                <w:rFonts w:ascii="宋体" w:hAnsi="宋体" w:eastAsia="宋体" w:cs="宋体"/>
                <w:spacing w:val="3"/>
                <w:sz w:val="22"/>
                <w:szCs w:val="22"/>
              </w:rPr>
              <w:t>产品类型</w:t>
            </w:r>
            <w:r>
              <w:rPr>
                <w:rFonts w:ascii="宋体" w:hAnsi="宋体" w:eastAsia="宋体" w:cs="宋体"/>
                <w:spacing w:val="1"/>
                <w:sz w:val="22"/>
                <w:szCs w:val="22"/>
              </w:rPr>
              <w:t xml:space="preserve"> </w:t>
            </w:r>
            <w:r>
              <w:rPr>
                <w:rFonts w:ascii="宋体" w:hAnsi="宋体" w:eastAsia="宋体" w:cs="宋体"/>
                <w:spacing w:val="6"/>
                <w:sz w:val="22"/>
                <w:szCs w:val="22"/>
              </w:rPr>
              <w:t>及特点</w:t>
            </w:r>
          </w:p>
        </w:tc>
        <w:tc>
          <w:tcPr>
            <w:tcW w:w="1049" w:type="dxa"/>
            <w:vAlign w:val="top"/>
          </w:tcPr>
          <w:p w14:paraId="7C9F6884">
            <w:pPr>
              <w:spacing w:before="71" w:line="263" w:lineRule="auto"/>
              <w:ind w:left="293" w:right="204" w:hanging="109"/>
              <w:rPr>
                <w:rFonts w:ascii="宋体" w:hAnsi="宋体" w:eastAsia="宋体" w:cs="宋体"/>
                <w:sz w:val="22"/>
                <w:szCs w:val="22"/>
              </w:rPr>
            </w:pPr>
            <w:r>
              <w:rPr>
                <w:rFonts w:ascii="宋体" w:hAnsi="宋体" w:eastAsia="宋体" w:cs="宋体"/>
                <w:spacing w:val="-4"/>
                <w:sz w:val="22"/>
                <w:szCs w:val="22"/>
              </w:rPr>
              <w:t>新技术</w:t>
            </w:r>
            <w:r>
              <w:rPr>
                <w:rFonts w:ascii="宋体" w:hAnsi="宋体" w:eastAsia="宋体" w:cs="宋体"/>
                <w:spacing w:val="1"/>
                <w:sz w:val="22"/>
                <w:szCs w:val="22"/>
              </w:rPr>
              <w:t xml:space="preserve"> </w:t>
            </w:r>
            <w:r>
              <w:rPr>
                <w:rFonts w:ascii="宋体" w:hAnsi="宋体" w:eastAsia="宋体" w:cs="宋体"/>
                <w:spacing w:val="-3"/>
                <w:sz w:val="22"/>
                <w:szCs w:val="22"/>
              </w:rPr>
              <w:t>含量</w:t>
            </w:r>
          </w:p>
        </w:tc>
        <w:tc>
          <w:tcPr>
            <w:tcW w:w="829" w:type="dxa"/>
            <w:vAlign w:val="top"/>
          </w:tcPr>
          <w:p w14:paraId="682D64D9">
            <w:pPr>
              <w:spacing w:before="71" w:line="263" w:lineRule="auto"/>
              <w:ind w:left="185" w:right="167"/>
              <w:rPr>
                <w:rFonts w:ascii="宋体" w:hAnsi="宋体" w:eastAsia="宋体" w:cs="宋体"/>
                <w:sz w:val="22"/>
                <w:szCs w:val="22"/>
              </w:rPr>
            </w:pPr>
            <w:r>
              <w:rPr>
                <w:rFonts w:ascii="宋体" w:hAnsi="宋体" w:eastAsia="宋体" w:cs="宋体"/>
                <w:spacing w:val="13"/>
                <w:sz w:val="22"/>
                <w:szCs w:val="22"/>
              </w:rPr>
              <w:t>使用</w:t>
            </w:r>
            <w:r>
              <w:rPr>
                <w:rFonts w:ascii="宋体" w:hAnsi="宋体" w:eastAsia="宋体" w:cs="宋体"/>
                <w:sz w:val="22"/>
                <w:szCs w:val="22"/>
              </w:rPr>
              <w:t xml:space="preserve"> </w:t>
            </w:r>
            <w:r>
              <w:rPr>
                <w:rFonts w:ascii="宋体" w:hAnsi="宋体" w:eastAsia="宋体" w:cs="宋体"/>
                <w:spacing w:val="-3"/>
                <w:sz w:val="22"/>
                <w:szCs w:val="22"/>
              </w:rPr>
              <w:t>环境</w:t>
            </w:r>
          </w:p>
        </w:tc>
        <w:tc>
          <w:tcPr>
            <w:tcW w:w="849" w:type="dxa"/>
            <w:vAlign w:val="top"/>
          </w:tcPr>
          <w:p w14:paraId="263E913A">
            <w:pPr>
              <w:spacing w:before="71" w:line="220" w:lineRule="auto"/>
              <w:ind w:left="196"/>
              <w:rPr>
                <w:rFonts w:ascii="宋体" w:hAnsi="宋体" w:eastAsia="宋体" w:cs="宋体"/>
                <w:sz w:val="22"/>
                <w:szCs w:val="22"/>
              </w:rPr>
            </w:pPr>
            <w:r>
              <w:rPr>
                <w:rFonts w:ascii="宋体" w:hAnsi="宋体" w:eastAsia="宋体" w:cs="宋体"/>
                <w:spacing w:val="-3"/>
                <w:sz w:val="22"/>
                <w:szCs w:val="22"/>
              </w:rPr>
              <w:t>所处</w:t>
            </w:r>
          </w:p>
          <w:p w14:paraId="092E0DE7">
            <w:pPr>
              <w:spacing w:before="88" w:line="221" w:lineRule="auto"/>
              <w:ind w:left="196"/>
              <w:rPr>
                <w:rFonts w:ascii="宋体" w:hAnsi="宋体" w:eastAsia="宋体" w:cs="宋体"/>
                <w:sz w:val="22"/>
                <w:szCs w:val="22"/>
              </w:rPr>
            </w:pPr>
            <w:r>
              <w:rPr>
                <w:rFonts w:ascii="宋体" w:hAnsi="宋体" w:eastAsia="宋体" w:cs="宋体"/>
                <w:spacing w:val="4"/>
                <w:sz w:val="22"/>
                <w:szCs w:val="22"/>
              </w:rPr>
              <w:t>阶段</w:t>
            </w:r>
          </w:p>
        </w:tc>
        <w:tc>
          <w:tcPr>
            <w:tcW w:w="629" w:type="dxa"/>
            <w:vAlign w:val="top"/>
          </w:tcPr>
          <w:p w14:paraId="7ED26B68">
            <w:pPr>
              <w:spacing w:before="272" w:line="347" w:lineRule="exact"/>
              <w:ind w:left="177"/>
              <w:rPr>
                <w:rFonts w:ascii="宋体" w:hAnsi="宋体" w:eastAsia="宋体" w:cs="宋体"/>
                <w:sz w:val="22"/>
                <w:szCs w:val="22"/>
              </w:rPr>
            </w:pPr>
            <w:r>
              <w:rPr>
                <w:rFonts w:ascii="宋体" w:hAnsi="宋体" w:eastAsia="宋体" w:cs="宋体"/>
                <w:position w:val="2"/>
                <w:sz w:val="22"/>
                <w:szCs w:val="22"/>
              </w:rPr>
              <w:t>…</w:t>
            </w:r>
          </w:p>
        </w:tc>
        <w:tc>
          <w:tcPr>
            <w:tcW w:w="829" w:type="dxa"/>
            <w:vAlign w:val="top"/>
          </w:tcPr>
          <w:p w14:paraId="07EB5247">
            <w:pPr>
              <w:pStyle w:val="6"/>
            </w:pPr>
          </w:p>
        </w:tc>
        <w:tc>
          <w:tcPr>
            <w:tcW w:w="1424" w:type="dxa"/>
            <w:vAlign w:val="top"/>
          </w:tcPr>
          <w:p w14:paraId="2C481A1D">
            <w:pPr>
              <w:pStyle w:val="6"/>
            </w:pPr>
          </w:p>
        </w:tc>
      </w:tr>
      <w:tr w14:paraId="51653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34" w:type="dxa"/>
            <w:vAlign w:val="top"/>
          </w:tcPr>
          <w:p w14:paraId="5DCB2746">
            <w:pPr>
              <w:spacing w:before="95" w:line="213" w:lineRule="auto"/>
              <w:ind w:left="345"/>
              <w:rPr>
                <w:rFonts w:ascii="宋体" w:hAnsi="宋体" w:eastAsia="宋体" w:cs="宋体"/>
                <w:sz w:val="22"/>
                <w:szCs w:val="22"/>
              </w:rPr>
            </w:pPr>
            <w:r>
              <w:rPr>
                <w:rFonts w:ascii="宋体" w:hAnsi="宋体" w:eastAsia="宋体" w:cs="宋体"/>
                <w:spacing w:val="-6"/>
                <w:sz w:val="22"/>
                <w:szCs w:val="22"/>
              </w:rPr>
              <w:t>101</w:t>
            </w:r>
          </w:p>
        </w:tc>
        <w:tc>
          <w:tcPr>
            <w:tcW w:w="839" w:type="dxa"/>
            <w:vAlign w:val="top"/>
          </w:tcPr>
          <w:p w14:paraId="1D2B2E71">
            <w:pPr>
              <w:pStyle w:val="6"/>
            </w:pPr>
          </w:p>
        </w:tc>
        <w:tc>
          <w:tcPr>
            <w:tcW w:w="839" w:type="dxa"/>
            <w:vAlign w:val="top"/>
          </w:tcPr>
          <w:p w14:paraId="0BCC7C6B">
            <w:pPr>
              <w:pStyle w:val="6"/>
            </w:pPr>
          </w:p>
        </w:tc>
        <w:tc>
          <w:tcPr>
            <w:tcW w:w="1039" w:type="dxa"/>
            <w:vAlign w:val="top"/>
          </w:tcPr>
          <w:p w14:paraId="11C1ABF2">
            <w:pPr>
              <w:pStyle w:val="6"/>
            </w:pPr>
          </w:p>
        </w:tc>
        <w:tc>
          <w:tcPr>
            <w:tcW w:w="1049" w:type="dxa"/>
            <w:vAlign w:val="top"/>
          </w:tcPr>
          <w:p w14:paraId="40A95822">
            <w:pPr>
              <w:pStyle w:val="6"/>
            </w:pPr>
          </w:p>
        </w:tc>
        <w:tc>
          <w:tcPr>
            <w:tcW w:w="829" w:type="dxa"/>
            <w:vAlign w:val="top"/>
          </w:tcPr>
          <w:p w14:paraId="5E49765D">
            <w:pPr>
              <w:pStyle w:val="6"/>
            </w:pPr>
          </w:p>
        </w:tc>
        <w:tc>
          <w:tcPr>
            <w:tcW w:w="849" w:type="dxa"/>
            <w:vAlign w:val="top"/>
          </w:tcPr>
          <w:p w14:paraId="0DEBFC37">
            <w:pPr>
              <w:pStyle w:val="6"/>
            </w:pPr>
          </w:p>
        </w:tc>
        <w:tc>
          <w:tcPr>
            <w:tcW w:w="629" w:type="dxa"/>
            <w:vAlign w:val="top"/>
          </w:tcPr>
          <w:p w14:paraId="5DA5F448">
            <w:pPr>
              <w:pStyle w:val="6"/>
            </w:pPr>
          </w:p>
        </w:tc>
        <w:tc>
          <w:tcPr>
            <w:tcW w:w="829" w:type="dxa"/>
            <w:vAlign w:val="top"/>
          </w:tcPr>
          <w:p w14:paraId="4F9EDC33">
            <w:pPr>
              <w:pStyle w:val="6"/>
            </w:pPr>
          </w:p>
        </w:tc>
        <w:tc>
          <w:tcPr>
            <w:tcW w:w="1424" w:type="dxa"/>
            <w:vAlign w:val="top"/>
          </w:tcPr>
          <w:p w14:paraId="27B67342">
            <w:pPr>
              <w:pStyle w:val="6"/>
            </w:pPr>
          </w:p>
        </w:tc>
      </w:tr>
      <w:tr w14:paraId="3C7E8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34" w:type="dxa"/>
            <w:vAlign w:val="top"/>
          </w:tcPr>
          <w:p w14:paraId="272FC152">
            <w:pPr>
              <w:spacing w:before="95" w:line="204" w:lineRule="auto"/>
              <w:ind w:left="345"/>
              <w:rPr>
                <w:rFonts w:ascii="宋体" w:hAnsi="宋体" w:eastAsia="宋体" w:cs="宋体"/>
                <w:sz w:val="22"/>
                <w:szCs w:val="22"/>
              </w:rPr>
            </w:pPr>
            <w:r>
              <w:rPr>
                <w:rFonts w:ascii="宋体" w:hAnsi="宋体" w:eastAsia="宋体" w:cs="宋体"/>
                <w:spacing w:val="-6"/>
                <w:sz w:val="22"/>
                <w:szCs w:val="22"/>
              </w:rPr>
              <w:t>102</w:t>
            </w:r>
          </w:p>
        </w:tc>
        <w:tc>
          <w:tcPr>
            <w:tcW w:w="839" w:type="dxa"/>
            <w:vAlign w:val="top"/>
          </w:tcPr>
          <w:p w14:paraId="659EC0AC">
            <w:pPr>
              <w:pStyle w:val="6"/>
            </w:pPr>
          </w:p>
        </w:tc>
        <w:tc>
          <w:tcPr>
            <w:tcW w:w="839" w:type="dxa"/>
            <w:vAlign w:val="top"/>
          </w:tcPr>
          <w:p w14:paraId="4FD82FF6">
            <w:pPr>
              <w:pStyle w:val="6"/>
            </w:pPr>
          </w:p>
        </w:tc>
        <w:tc>
          <w:tcPr>
            <w:tcW w:w="1039" w:type="dxa"/>
            <w:vAlign w:val="top"/>
          </w:tcPr>
          <w:p w14:paraId="3511C1B4">
            <w:pPr>
              <w:pStyle w:val="6"/>
            </w:pPr>
          </w:p>
        </w:tc>
        <w:tc>
          <w:tcPr>
            <w:tcW w:w="1049" w:type="dxa"/>
            <w:vAlign w:val="top"/>
          </w:tcPr>
          <w:p w14:paraId="6F2B82B8">
            <w:pPr>
              <w:pStyle w:val="6"/>
            </w:pPr>
          </w:p>
        </w:tc>
        <w:tc>
          <w:tcPr>
            <w:tcW w:w="829" w:type="dxa"/>
            <w:vAlign w:val="top"/>
          </w:tcPr>
          <w:p w14:paraId="544DEA7C">
            <w:pPr>
              <w:pStyle w:val="6"/>
            </w:pPr>
          </w:p>
        </w:tc>
        <w:tc>
          <w:tcPr>
            <w:tcW w:w="849" w:type="dxa"/>
            <w:vAlign w:val="top"/>
          </w:tcPr>
          <w:p w14:paraId="70AC88C6">
            <w:pPr>
              <w:pStyle w:val="6"/>
            </w:pPr>
          </w:p>
        </w:tc>
        <w:tc>
          <w:tcPr>
            <w:tcW w:w="629" w:type="dxa"/>
            <w:vAlign w:val="top"/>
          </w:tcPr>
          <w:p w14:paraId="2604025F">
            <w:pPr>
              <w:pStyle w:val="6"/>
            </w:pPr>
          </w:p>
        </w:tc>
        <w:tc>
          <w:tcPr>
            <w:tcW w:w="829" w:type="dxa"/>
            <w:vAlign w:val="top"/>
          </w:tcPr>
          <w:p w14:paraId="5E5A1136">
            <w:pPr>
              <w:pStyle w:val="6"/>
            </w:pPr>
          </w:p>
        </w:tc>
        <w:tc>
          <w:tcPr>
            <w:tcW w:w="1424" w:type="dxa"/>
            <w:vAlign w:val="top"/>
          </w:tcPr>
          <w:p w14:paraId="5F3C5E8A">
            <w:pPr>
              <w:pStyle w:val="6"/>
            </w:pPr>
          </w:p>
        </w:tc>
      </w:tr>
      <w:tr w14:paraId="0F88C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34" w:type="dxa"/>
            <w:vAlign w:val="top"/>
          </w:tcPr>
          <w:p w14:paraId="68E3F16C">
            <w:pPr>
              <w:spacing w:before="97" w:line="203" w:lineRule="auto"/>
              <w:ind w:left="395"/>
              <w:rPr>
                <w:rFonts w:ascii="宋体" w:hAnsi="宋体" w:eastAsia="宋体" w:cs="宋体"/>
                <w:sz w:val="22"/>
                <w:szCs w:val="22"/>
              </w:rPr>
            </w:pPr>
            <w:r>
              <w:rPr>
                <w:rFonts w:ascii="宋体" w:hAnsi="宋体" w:eastAsia="宋体" w:cs="宋体"/>
                <w:sz w:val="22"/>
                <w:szCs w:val="22"/>
              </w:rPr>
              <w:t>…</w:t>
            </w:r>
          </w:p>
        </w:tc>
        <w:tc>
          <w:tcPr>
            <w:tcW w:w="839" w:type="dxa"/>
            <w:vAlign w:val="top"/>
          </w:tcPr>
          <w:p w14:paraId="198BF2B7">
            <w:pPr>
              <w:pStyle w:val="6"/>
            </w:pPr>
          </w:p>
        </w:tc>
        <w:tc>
          <w:tcPr>
            <w:tcW w:w="839" w:type="dxa"/>
            <w:vAlign w:val="top"/>
          </w:tcPr>
          <w:p w14:paraId="630EAC2F">
            <w:pPr>
              <w:pStyle w:val="6"/>
            </w:pPr>
          </w:p>
        </w:tc>
        <w:tc>
          <w:tcPr>
            <w:tcW w:w="1039" w:type="dxa"/>
            <w:vAlign w:val="top"/>
          </w:tcPr>
          <w:p w14:paraId="5A9956E1">
            <w:pPr>
              <w:pStyle w:val="6"/>
            </w:pPr>
          </w:p>
        </w:tc>
        <w:tc>
          <w:tcPr>
            <w:tcW w:w="1049" w:type="dxa"/>
            <w:vAlign w:val="top"/>
          </w:tcPr>
          <w:p w14:paraId="6A15E209">
            <w:pPr>
              <w:pStyle w:val="6"/>
            </w:pPr>
          </w:p>
        </w:tc>
        <w:tc>
          <w:tcPr>
            <w:tcW w:w="829" w:type="dxa"/>
            <w:vAlign w:val="top"/>
          </w:tcPr>
          <w:p w14:paraId="0FCB2D4D">
            <w:pPr>
              <w:pStyle w:val="6"/>
            </w:pPr>
          </w:p>
        </w:tc>
        <w:tc>
          <w:tcPr>
            <w:tcW w:w="849" w:type="dxa"/>
            <w:vAlign w:val="top"/>
          </w:tcPr>
          <w:p w14:paraId="1BB76ACA">
            <w:pPr>
              <w:pStyle w:val="6"/>
            </w:pPr>
          </w:p>
        </w:tc>
        <w:tc>
          <w:tcPr>
            <w:tcW w:w="629" w:type="dxa"/>
            <w:vAlign w:val="top"/>
          </w:tcPr>
          <w:p w14:paraId="1E138954">
            <w:pPr>
              <w:pStyle w:val="6"/>
            </w:pPr>
          </w:p>
        </w:tc>
        <w:tc>
          <w:tcPr>
            <w:tcW w:w="829" w:type="dxa"/>
            <w:vAlign w:val="top"/>
          </w:tcPr>
          <w:p w14:paraId="12C87E8B">
            <w:pPr>
              <w:pStyle w:val="6"/>
            </w:pPr>
          </w:p>
        </w:tc>
        <w:tc>
          <w:tcPr>
            <w:tcW w:w="1424" w:type="dxa"/>
            <w:vAlign w:val="top"/>
          </w:tcPr>
          <w:p w14:paraId="2E39B308">
            <w:pPr>
              <w:pStyle w:val="6"/>
            </w:pPr>
          </w:p>
        </w:tc>
      </w:tr>
      <w:tr w14:paraId="6D150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1" w:hRule="atLeast"/>
        </w:trPr>
        <w:tc>
          <w:tcPr>
            <w:tcW w:w="9360" w:type="dxa"/>
            <w:gridSpan w:val="10"/>
            <w:vAlign w:val="top"/>
          </w:tcPr>
          <w:p w14:paraId="431A4365">
            <w:pPr>
              <w:spacing w:before="56" w:line="219" w:lineRule="auto"/>
              <w:ind w:left="95"/>
              <w:rPr>
                <w:rFonts w:ascii="宋体" w:hAnsi="宋体" w:eastAsia="宋体" w:cs="宋体"/>
                <w:sz w:val="22"/>
                <w:szCs w:val="22"/>
              </w:rPr>
            </w:pPr>
            <w:r>
              <w:rPr>
                <w:rFonts w:ascii="宋体" w:hAnsi="宋体" w:eastAsia="宋体" w:cs="宋体"/>
                <w:spacing w:val="7"/>
                <w:sz w:val="22"/>
                <w:szCs w:val="22"/>
              </w:rPr>
              <w:t>乘积=各因素加权系数的连乘；</w:t>
            </w:r>
          </w:p>
          <w:p w14:paraId="0F470165">
            <w:pPr>
              <w:spacing w:before="95" w:line="216" w:lineRule="auto"/>
              <w:ind w:left="95"/>
              <w:rPr>
                <w:rFonts w:ascii="宋体" w:hAnsi="宋体" w:eastAsia="宋体" w:cs="宋体"/>
                <w:sz w:val="22"/>
                <w:szCs w:val="22"/>
              </w:rPr>
            </w:pPr>
            <w:r>
              <w:rPr>
                <w:rFonts w:ascii="宋体" w:hAnsi="宋体" w:eastAsia="宋体" w:cs="宋体"/>
                <w:sz w:val="22"/>
                <w:szCs w:val="22"/>
              </w:rPr>
              <w:t>重要性系数：假设乘积值最大的工作项自重要性系数为10,其他</w:t>
            </w:r>
            <w:r>
              <w:rPr>
                <w:rFonts w:ascii="宋体" w:hAnsi="宋体" w:eastAsia="宋体" w:cs="宋体"/>
                <w:spacing w:val="-1"/>
                <w:sz w:val="22"/>
                <w:szCs w:val="22"/>
              </w:rPr>
              <w:t>工作项目的重要性系数=</w:t>
            </w:r>
          </w:p>
          <w:p w14:paraId="1DC02B64">
            <w:pPr>
              <w:spacing w:before="44" w:line="213" w:lineRule="auto"/>
              <w:ind w:left="95"/>
              <w:rPr>
                <w:rFonts w:ascii="宋体" w:hAnsi="宋体" w:eastAsia="宋体" w:cs="宋体"/>
                <w:sz w:val="43"/>
                <w:szCs w:val="43"/>
              </w:rPr>
            </w:pPr>
            <w:r>
              <w:rPr>
                <w:rFonts w:ascii="宋体" w:hAnsi="宋体" w:eastAsia="宋体" w:cs="宋体"/>
                <w:spacing w:val="2"/>
                <w:sz w:val="43"/>
                <w:szCs w:val="43"/>
              </w:rPr>
              <w:t>该工大乘乘积×10</w:t>
            </w:r>
          </w:p>
        </w:tc>
      </w:tr>
    </w:tbl>
    <w:p w14:paraId="79B20463">
      <w:pPr>
        <w:pStyle w:val="2"/>
        <w:spacing w:before="183" w:line="280" w:lineRule="auto"/>
        <w:ind w:left="134" w:right="117" w:firstLine="560"/>
        <w:jc w:val="both"/>
      </w:pPr>
      <w:r>
        <w:rPr>
          <w:spacing w:val="9"/>
        </w:rPr>
        <w:t>表8.1中需要考虑的因素可根据具体情况确定，如产品的复杂程度</w:t>
      </w:r>
      <w:r>
        <w:rPr>
          <w:spacing w:val="8"/>
        </w:rPr>
        <w:t>、关键</w:t>
      </w:r>
      <w:r>
        <w:t xml:space="preserve"> </w:t>
      </w:r>
      <w:r>
        <w:rPr>
          <w:spacing w:val="1"/>
        </w:rPr>
        <w:t>性、新技术含量、费用、进度等。每一因素的加权系数通过打分确定(取值</w:t>
      </w:r>
      <w:r>
        <w:t xml:space="preserve">为1~ </w:t>
      </w:r>
      <w:r>
        <w:rPr>
          <w:spacing w:val="-6"/>
        </w:rPr>
        <w:t>5),一般讲，可靠性低的产品，维修性工作项目的加权系数相对大一些；复杂程度</w:t>
      </w:r>
      <w:r>
        <w:rPr>
          <w:spacing w:val="1"/>
        </w:rPr>
        <w:t xml:space="preserve"> </w:t>
      </w:r>
      <w:r>
        <w:rPr>
          <w:spacing w:val="-2"/>
        </w:rPr>
        <w:t>高的产品，维修性工作项目加权系数大一些；测</w:t>
      </w:r>
      <w:r>
        <w:rPr>
          <w:spacing w:val="-3"/>
        </w:rPr>
        <w:t>试性水平低的产品，维修性工作</w:t>
      </w:r>
      <w:r>
        <w:t xml:space="preserve"> </w:t>
      </w:r>
      <w:r>
        <w:rPr>
          <w:spacing w:val="5"/>
        </w:rPr>
        <w:t>项目加权系数要大一些。确定了考虑因素并选取了加权值后，将每一个工作项</w:t>
      </w:r>
      <w:r>
        <w:rPr>
          <w:spacing w:val="15"/>
        </w:rPr>
        <w:t xml:space="preserve"> </w:t>
      </w:r>
      <w:r>
        <w:rPr>
          <w:spacing w:val="-2"/>
        </w:rPr>
        <w:t>目的加权值连乘，然后按表中的方法计算每一工作项目的重要性系数。</w:t>
      </w:r>
    </w:p>
    <w:p w14:paraId="4D98A4FE">
      <w:pPr>
        <w:spacing w:line="280" w:lineRule="auto"/>
        <w:sectPr>
          <w:footerReference r:id="rId408" w:type="default"/>
          <w:pgSz w:w="11910" w:h="17130"/>
          <w:pgMar w:top="1442" w:right="964" w:bottom="1596" w:left="1325" w:header="0" w:footer="1407" w:gutter="0"/>
          <w:cols w:space="720" w:num="1"/>
        </w:sectPr>
      </w:pPr>
    </w:p>
    <w:p w14:paraId="05484AD9">
      <w:pPr>
        <w:pStyle w:val="2"/>
        <w:spacing w:before="74" w:line="285" w:lineRule="auto"/>
        <w:ind w:right="48" w:firstLine="550"/>
        <w:jc w:val="both"/>
      </w:pPr>
      <w:r>
        <w:rPr>
          <w:spacing w:val="9"/>
        </w:rPr>
        <w:t>表8.2参考常规武器装备的研制程序，提供在研制与生产各阶段及现役装</w:t>
      </w:r>
      <w:r>
        <w:t xml:space="preserve"> </w:t>
      </w:r>
      <w:r>
        <w:rPr>
          <w:spacing w:val="5"/>
        </w:rPr>
        <w:t>备的改进中应该进行哪些工作的一般指导。依据该表可初步确定各阶段一般应</w:t>
      </w:r>
      <w:r>
        <w:t xml:space="preserve"> </w:t>
      </w:r>
      <w:r>
        <w:rPr>
          <w:spacing w:val="5"/>
        </w:rPr>
        <w:t>包括的维修性工作项目。该表只是一般性的指南，并不能适合所有的情况。对</w:t>
      </w:r>
      <w:r>
        <w:t xml:space="preserve"> </w:t>
      </w:r>
      <w:r>
        <w:rPr>
          <w:spacing w:val="5"/>
        </w:rPr>
        <w:t xml:space="preserve">于不同的产品，可根据其研制程序，调整阶段划分和确定相应的维修性工作项 </w:t>
      </w:r>
      <w:r>
        <w:rPr>
          <w:spacing w:val="4"/>
        </w:rPr>
        <w:t>目。战略武器装备和军用卫星可按相应研制程序划分。</w:t>
      </w:r>
    </w:p>
    <w:p w14:paraId="4CFF31F4">
      <w:pPr>
        <w:spacing w:line="220" w:lineRule="auto"/>
        <w:ind w:left="2679"/>
        <w:rPr>
          <w:rFonts w:ascii="仿宋" w:hAnsi="仿宋" w:eastAsia="仿宋" w:cs="仿宋"/>
          <w:sz w:val="24"/>
          <w:szCs w:val="24"/>
        </w:rPr>
      </w:pPr>
      <w:r>
        <w:rPr>
          <w:rFonts w:ascii="仿宋" w:hAnsi="仿宋" w:eastAsia="仿宋" w:cs="仿宋"/>
          <w:spacing w:val="24"/>
          <w:sz w:val="24"/>
          <w:szCs w:val="24"/>
        </w:rPr>
        <w:t>表8</w:t>
      </w:r>
      <w:r>
        <w:rPr>
          <w:rFonts w:ascii="仿宋" w:hAnsi="仿宋" w:eastAsia="仿宋" w:cs="仿宋"/>
          <w:spacing w:val="-56"/>
          <w:sz w:val="24"/>
          <w:szCs w:val="24"/>
        </w:rPr>
        <w:t xml:space="preserve"> </w:t>
      </w:r>
      <w:r>
        <w:rPr>
          <w:rFonts w:ascii="仿宋" w:hAnsi="仿宋" w:eastAsia="仿宋" w:cs="仿宋"/>
          <w:spacing w:val="24"/>
          <w:sz w:val="24"/>
          <w:szCs w:val="24"/>
        </w:rPr>
        <w:t>.</w:t>
      </w:r>
      <w:r>
        <w:rPr>
          <w:rFonts w:ascii="仿宋" w:hAnsi="仿宋" w:eastAsia="仿宋" w:cs="仿宋"/>
          <w:spacing w:val="-64"/>
          <w:sz w:val="24"/>
          <w:szCs w:val="24"/>
        </w:rPr>
        <w:t xml:space="preserve"> </w:t>
      </w:r>
      <w:r>
        <w:rPr>
          <w:rFonts w:ascii="仿宋" w:hAnsi="仿宋" w:eastAsia="仿宋" w:cs="仿宋"/>
          <w:spacing w:val="24"/>
          <w:sz w:val="24"/>
          <w:szCs w:val="24"/>
        </w:rPr>
        <w:t>2</w:t>
      </w:r>
      <w:r>
        <w:rPr>
          <w:rFonts w:ascii="仿宋" w:hAnsi="仿宋" w:eastAsia="仿宋" w:cs="仿宋"/>
          <w:spacing w:val="37"/>
          <w:sz w:val="24"/>
          <w:szCs w:val="24"/>
        </w:rPr>
        <w:t xml:space="preserve">  </w:t>
      </w:r>
      <w:r>
        <w:rPr>
          <w:rFonts w:ascii="仿宋" w:hAnsi="仿宋" w:eastAsia="仿宋" w:cs="仿宋"/>
          <w:spacing w:val="24"/>
          <w:sz w:val="24"/>
          <w:szCs w:val="24"/>
        </w:rPr>
        <w:t>维修性工作项目应用矩阵</w:t>
      </w:r>
    </w:p>
    <w:p w14:paraId="77C3352A">
      <w:pPr>
        <w:spacing w:line="93" w:lineRule="exact"/>
      </w:pPr>
    </w:p>
    <w:tbl>
      <w:tblPr>
        <w:tblStyle w:val="5"/>
        <w:tblW w:w="934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839"/>
        <w:gridCol w:w="2507"/>
        <w:gridCol w:w="839"/>
        <w:gridCol w:w="1039"/>
        <w:gridCol w:w="1258"/>
        <w:gridCol w:w="1049"/>
        <w:gridCol w:w="784"/>
      </w:tblGrid>
      <w:tr w14:paraId="5AF88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4" w:hRule="atLeast"/>
        </w:trPr>
        <w:tc>
          <w:tcPr>
            <w:tcW w:w="1034" w:type="dxa"/>
            <w:vAlign w:val="top"/>
          </w:tcPr>
          <w:p w14:paraId="491B2F29">
            <w:pPr>
              <w:pStyle w:val="6"/>
              <w:spacing w:line="296" w:lineRule="auto"/>
            </w:pPr>
          </w:p>
          <w:p w14:paraId="2B5E8F44">
            <w:pPr>
              <w:spacing w:before="65" w:line="315" w:lineRule="auto"/>
              <w:ind w:left="104" w:right="106"/>
              <w:rPr>
                <w:rFonts w:ascii="宋体" w:hAnsi="宋体" w:eastAsia="宋体" w:cs="宋体"/>
                <w:sz w:val="20"/>
                <w:szCs w:val="20"/>
              </w:rPr>
            </w:pPr>
            <w:r>
              <w:rPr>
                <w:rFonts w:ascii="宋体" w:hAnsi="宋体" w:eastAsia="宋体" w:cs="宋体"/>
                <w:spacing w:val="-3"/>
                <w:sz w:val="20"/>
                <w:szCs w:val="20"/>
              </w:rPr>
              <w:t>GJB</w:t>
            </w:r>
            <w:r>
              <w:rPr>
                <w:rFonts w:ascii="宋体" w:hAnsi="宋体" w:eastAsia="宋体" w:cs="宋体"/>
                <w:spacing w:val="14"/>
                <w:sz w:val="20"/>
                <w:szCs w:val="20"/>
              </w:rPr>
              <w:t xml:space="preserve"> </w:t>
            </w:r>
            <w:r>
              <w:rPr>
                <w:rFonts w:ascii="宋体" w:hAnsi="宋体" w:eastAsia="宋体" w:cs="宋体"/>
                <w:spacing w:val="-3"/>
                <w:sz w:val="20"/>
                <w:szCs w:val="20"/>
              </w:rPr>
              <w:t>368B</w:t>
            </w:r>
            <w:r>
              <w:rPr>
                <w:rFonts w:ascii="宋体" w:hAnsi="宋体" w:eastAsia="宋体" w:cs="宋体"/>
                <w:sz w:val="20"/>
                <w:szCs w:val="20"/>
              </w:rPr>
              <w:t xml:space="preserve"> </w:t>
            </w:r>
            <w:r>
              <w:rPr>
                <w:rFonts w:ascii="宋体" w:hAnsi="宋体" w:eastAsia="宋体" w:cs="宋体"/>
                <w:spacing w:val="3"/>
                <w:sz w:val="20"/>
                <w:szCs w:val="20"/>
              </w:rPr>
              <w:t>条款编号</w:t>
            </w:r>
          </w:p>
        </w:tc>
        <w:tc>
          <w:tcPr>
            <w:tcW w:w="839" w:type="dxa"/>
            <w:vAlign w:val="top"/>
          </w:tcPr>
          <w:p w14:paraId="17E61EEB">
            <w:pPr>
              <w:pStyle w:val="6"/>
              <w:spacing w:line="257" w:lineRule="auto"/>
            </w:pPr>
          </w:p>
          <w:p w14:paraId="3D092038">
            <w:pPr>
              <w:spacing w:before="65" w:line="220" w:lineRule="auto"/>
              <w:ind w:left="110"/>
              <w:rPr>
                <w:rFonts w:ascii="宋体" w:hAnsi="宋体" w:eastAsia="宋体" w:cs="宋体"/>
                <w:sz w:val="20"/>
                <w:szCs w:val="20"/>
              </w:rPr>
            </w:pPr>
            <w:r>
              <w:rPr>
                <w:rFonts w:ascii="宋体" w:hAnsi="宋体" w:eastAsia="宋体" w:cs="宋体"/>
                <w:spacing w:val="4"/>
                <w:sz w:val="20"/>
                <w:szCs w:val="20"/>
              </w:rPr>
              <w:t>工作项</w:t>
            </w:r>
          </w:p>
          <w:p w14:paraId="460DEEF2">
            <w:pPr>
              <w:spacing w:before="111" w:line="219" w:lineRule="auto"/>
              <w:ind w:left="110"/>
              <w:rPr>
                <w:rFonts w:ascii="宋体" w:hAnsi="宋体" w:eastAsia="宋体" w:cs="宋体"/>
                <w:sz w:val="20"/>
                <w:szCs w:val="20"/>
              </w:rPr>
            </w:pPr>
            <w:r>
              <w:rPr>
                <w:rFonts w:ascii="宋体" w:hAnsi="宋体" w:eastAsia="宋体" w:cs="宋体"/>
                <w:spacing w:val="4"/>
                <w:sz w:val="20"/>
                <w:szCs w:val="20"/>
              </w:rPr>
              <w:t>目编号</w:t>
            </w:r>
          </w:p>
        </w:tc>
        <w:tc>
          <w:tcPr>
            <w:tcW w:w="2507" w:type="dxa"/>
            <w:vAlign w:val="top"/>
          </w:tcPr>
          <w:p w14:paraId="266BE1E0">
            <w:pPr>
              <w:pStyle w:val="6"/>
              <w:spacing w:line="446" w:lineRule="auto"/>
            </w:pPr>
          </w:p>
          <w:p w14:paraId="2C9E9EC5">
            <w:pPr>
              <w:spacing w:before="65" w:line="220" w:lineRule="auto"/>
              <w:ind w:left="611"/>
              <w:rPr>
                <w:rFonts w:ascii="宋体" w:hAnsi="宋体" w:eastAsia="宋体" w:cs="宋体"/>
                <w:sz w:val="20"/>
                <w:szCs w:val="20"/>
              </w:rPr>
            </w:pPr>
            <w:r>
              <w:rPr>
                <w:rFonts w:ascii="宋体" w:hAnsi="宋体" w:eastAsia="宋体" w:cs="宋体"/>
                <w:spacing w:val="1"/>
                <w:sz w:val="20"/>
                <w:szCs w:val="20"/>
              </w:rPr>
              <w:t>工作项目名称</w:t>
            </w:r>
          </w:p>
        </w:tc>
        <w:tc>
          <w:tcPr>
            <w:tcW w:w="839" w:type="dxa"/>
            <w:vAlign w:val="top"/>
          </w:tcPr>
          <w:p w14:paraId="787BFB03">
            <w:pPr>
              <w:pStyle w:val="6"/>
              <w:spacing w:line="273" w:lineRule="auto"/>
            </w:pPr>
          </w:p>
          <w:p w14:paraId="37B231FB">
            <w:pPr>
              <w:spacing w:before="65" w:line="227" w:lineRule="auto"/>
              <w:ind w:left="214"/>
              <w:rPr>
                <w:rFonts w:ascii="宋体" w:hAnsi="宋体" w:eastAsia="宋体" w:cs="宋体"/>
                <w:sz w:val="20"/>
                <w:szCs w:val="20"/>
              </w:rPr>
            </w:pPr>
            <w:r>
              <w:rPr>
                <w:rFonts w:ascii="宋体" w:hAnsi="宋体" w:eastAsia="宋体" w:cs="宋体"/>
                <w:spacing w:val="-3"/>
                <w:sz w:val="20"/>
                <w:szCs w:val="20"/>
              </w:rPr>
              <w:t>论证</w:t>
            </w:r>
          </w:p>
          <w:p w14:paraId="3E7F7451">
            <w:pPr>
              <w:spacing w:before="88" w:line="221" w:lineRule="auto"/>
              <w:ind w:left="214"/>
              <w:rPr>
                <w:rFonts w:ascii="宋体" w:hAnsi="宋体" w:eastAsia="宋体" w:cs="宋体"/>
                <w:sz w:val="20"/>
                <w:szCs w:val="20"/>
              </w:rPr>
            </w:pPr>
            <w:r>
              <w:rPr>
                <w:rFonts w:ascii="宋体" w:hAnsi="宋体" w:eastAsia="宋体" w:cs="宋体"/>
                <w:spacing w:val="3"/>
                <w:sz w:val="20"/>
                <w:szCs w:val="20"/>
              </w:rPr>
              <w:t>阶段</w:t>
            </w:r>
          </w:p>
        </w:tc>
        <w:tc>
          <w:tcPr>
            <w:tcW w:w="1039" w:type="dxa"/>
            <w:vAlign w:val="top"/>
          </w:tcPr>
          <w:p w14:paraId="486FE6E2">
            <w:pPr>
              <w:pStyle w:val="6"/>
              <w:spacing w:line="446" w:lineRule="auto"/>
            </w:pPr>
          </w:p>
          <w:p w14:paraId="7EA4A8FE">
            <w:pPr>
              <w:spacing w:before="65" w:line="220" w:lineRule="auto"/>
              <w:ind w:left="115"/>
              <w:rPr>
                <w:rFonts w:ascii="宋体" w:hAnsi="宋体" w:eastAsia="宋体" w:cs="宋体"/>
                <w:sz w:val="20"/>
                <w:szCs w:val="20"/>
              </w:rPr>
            </w:pPr>
            <w:r>
              <w:rPr>
                <w:rFonts w:ascii="宋体" w:hAnsi="宋体" w:eastAsia="宋体" w:cs="宋体"/>
                <w:spacing w:val="-2"/>
                <w:sz w:val="20"/>
                <w:szCs w:val="20"/>
              </w:rPr>
              <w:t>方案阶段</w:t>
            </w:r>
          </w:p>
        </w:tc>
        <w:tc>
          <w:tcPr>
            <w:tcW w:w="1258" w:type="dxa"/>
            <w:vAlign w:val="top"/>
          </w:tcPr>
          <w:p w14:paraId="721823BD">
            <w:pPr>
              <w:spacing w:before="152" w:line="319" w:lineRule="auto"/>
              <w:ind w:left="525" w:right="203" w:hanging="299"/>
              <w:rPr>
                <w:rFonts w:ascii="宋体" w:hAnsi="宋体" w:eastAsia="宋体" w:cs="宋体"/>
                <w:sz w:val="20"/>
                <w:szCs w:val="20"/>
              </w:rPr>
            </w:pPr>
            <w:r>
              <w:rPr>
                <w:rFonts w:ascii="宋体" w:hAnsi="宋体" w:eastAsia="宋体" w:cs="宋体"/>
                <w:spacing w:val="4"/>
                <w:sz w:val="20"/>
                <w:szCs w:val="20"/>
              </w:rPr>
              <w:t>工程研制</w:t>
            </w:r>
            <w:r>
              <w:rPr>
                <w:rFonts w:ascii="宋体" w:hAnsi="宋体" w:eastAsia="宋体" w:cs="宋体"/>
                <w:sz w:val="20"/>
                <w:szCs w:val="20"/>
              </w:rPr>
              <w:t xml:space="preserve"> 与</w:t>
            </w:r>
          </w:p>
          <w:p w14:paraId="7729FB84">
            <w:pPr>
              <w:spacing w:before="9" w:line="220" w:lineRule="auto"/>
              <w:ind w:left="226"/>
              <w:rPr>
                <w:rFonts w:ascii="宋体" w:hAnsi="宋体" w:eastAsia="宋体" w:cs="宋体"/>
                <w:sz w:val="20"/>
                <w:szCs w:val="20"/>
              </w:rPr>
            </w:pPr>
            <w:r>
              <w:rPr>
                <w:rFonts w:ascii="宋体" w:hAnsi="宋体" w:eastAsia="宋体" w:cs="宋体"/>
                <w:spacing w:val="1"/>
                <w:sz w:val="20"/>
                <w:szCs w:val="20"/>
              </w:rPr>
              <w:t>定型阶段</w:t>
            </w:r>
          </w:p>
        </w:tc>
        <w:tc>
          <w:tcPr>
            <w:tcW w:w="1049" w:type="dxa"/>
            <w:vAlign w:val="top"/>
          </w:tcPr>
          <w:p w14:paraId="61C3E514">
            <w:pPr>
              <w:pStyle w:val="6"/>
              <w:spacing w:line="265" w:lineRule="auto"/>
            </w:pPr>
          </w:p>
          <w:p w14:paraId="64284D28">
            <w:pPr>
              <w:spacing w:before="65" w:line="307" w:lineRule="auto"/>
              <w:ind w:left="118" w:right="128" w:firstLine="100"/>
              <w:rPr>
                <w:rFonts w:ascii="宋体" w:hAnsi="宋体" w:eastAsia="宋体" w:cs="宋体"/>
                <w:sz w:val="20"/>
                <w:szCs w:val="20"/>
              </w:rPr>
            </w:pPr>
            <w:r>
              <w:rPr>
                <w:rFonts w:ascii="宋体" w:hAnsi="宋体" w:eastAsia="宋体" w:cs="宋体"/>
                <w:spacing w:val="5"/>
                <w:sz w:val="20"/>
                <w:szCs w:val="20"/>
              </w:rPr>
              <w:t>生产与</w:t>
            </w:r>
            <w:r>
              <w:rPr>
                <w:rFonts w:ascii="宋体" w:hAnsi="宋体" w:eastAsia="宋体" w:cs="宋体"/>
                <w:sz w:val="20"/>
                <w:szCs w:val="20"/>
              </w:rPr>
              <w:t xml:space="preserve"> </w:t>
            </w:r>
            <w:r>
              <w:rPr>
                <w:rFonts w:ascii="宋体" w:hAnsi="宋体" w:eastAsia="宋体" w:cs="宋体"/>
                <w:spacing w:val="-3"/>
                <w:sz w:val="20"/>
                <w:szCs w:val="20"/>
              </w:rPr>
              <w:t>使用阶段</w:t>
            </w:r>
          </w:p>
        </w:tc>
        <w:tc>
          <w:tcPr>
            <w:tcW w:w="784" w:type="dxa"/>
            <w:vAlign w:val="top"/>
          </w:tcPr>
          <w:p w14:paraId="5D064EA3">
            <w:pPr>
              <w:pStyle w:val="6"/>
              <w:spacing w:line="266" w:lineRule="auto"/>
            </w:pPr>
          </w:p>
          <w:p w14:paraId="3D94562F">
            <w:pPr>
              <w:spacing w:before="65" w:line="306" w:lineRule="auto"/>
              <w:ind w:left="189" w:right="170"/>
              <w:rPr>
                <w:rFonts w:ascii="宋体" w:hAnsi="宋体" w:eastAsia="宋体" w:cs="宋体"/>
                <w:sz w:val="20"/>
                <w:szCs w:val="20"/>
              </w:rPr>
            </w:pPr>
            <w:r>
              <w:rPr>
                <w:rFonts w:ascii="宋体" w:hAnsi="宋体" w:eastAsia="宋体" w:cs="宋体"/>
                <w:spacing w:val="-4"/>
                <w:sz w:val="20"/>
                <w:szCs w:val="20"/>
              </w:rPr>
              <w:t>装备</w:t>
            </w:r>
            <w:r>
              <w:rPr>
                <w:rFonts w:ascii="宋体" w:hAnsi="宋体" w:eastAsia="宋体" w:cs="宋体"/>
                <w:sz w:val="20"/>
                <w:szCs w:val="20"/>
              </w:rPr>
              <w:t xml:space="preserve"> </w:t>
            </w:r>
            <w:r>
              <w:rPr>
                <w:rFonts w:ascii="宋体" w:hAnsi="宋体" w:eastAsia="宋体" w:cs="宋体"/>
                <w:spacing w:val="6"/>
                <w:sz w:val="20"/>
                <w:szCs w:val="20"/>
              </w:rPr>
              <w:t>改型</w:t>
            </w:r>
          </w:p>
        </w:tc>
      </w:tr>
      <w:tr w14:paraId="2F153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34" w:type="dxa"/>
            <w:vAlign w:val="top"/>
          </w:tcPr>
          <w:p w14:paraId="07688324">
            <w:pPr>
              <w:spacing w:before="119" w:line="239" w:lineRule="auto"/>
              <w:ind w:left="354"/>
              <w:rPr>
                <w:rFonts w:ascii="宋体" w:hAnsi="宋体" w:eastAsia="宋体" w:cs="宋体"/>
                <w:sz w:val="20"/>
                <w:szCs w:val="20"/>
              </w:rPr>
            </w:pPr>
            <w:r>
              <w:rPr>
                <w:rFonts w:ascii="宋体" w:hAnsi="宋体" w:eastAsia="宋体" w:cs="宋体"/>
                <w:spacing w:val="-3"/>
                <w:sz w:val="20"/>
                <w:szCs w:val="20"/>
              </w:rPr>
              <w:t>5.1</w:t>
            </w:r>
          </w:p>
        </w:tc>
        <w:tc>
          <w:tcPr>
            <w:tcW w:w="839" w:type="dxa"/>
            <w:vAlign w:val="top"/>
          </w:tcPr>
          <w:p w14:paraId="0E1E2B6E">
            <w:pPr>
              <w:spacing w:before="118"/>
              <w:ind w:left="260"/>
              <w:rPr>
                <w:rFonts w:ascii="宋体" w:hAnsi="宋体" w:eastAsia="宋体" w:cs="宋体"/>
                <w:sz w:val="20"/>
                <w:szCs w:val="20"/>
              </w:rPr>
            </w:pPr>
            <w:r>
              <w:rPr>
                <w:rFonts w:ascii="宋体" w:hAnsi="宋体" w:eastAsia="宋体" w:cs="宋体"/>
                <w:spacing w:val="-6"/>
                <w:sz w:val="20"/>
                <w:szCs w:val="20"/>
              </w:rPr>
              <w:t>101</w:t>
            </w:r>
          </w:p>
        </w:tc>
        <w:tc>
          <w:tcPr>
            <w:tcW w:w="2507" w:type="dxa"/>
            <w:vAlign w:val="top"/>
          </w:tcPr>
          <w:p w14:paraId="5560B186">
            <w:pPr>
              <w:spacing w:before="99" w:line="219" w:lineRule="auto"/>
              <w:ind w:left="101"/>
              <w:rPr>
                <w:rFonts w:ascii="宋体" w:hAnsi="宋体" w:eastAsia="宋体" w:cs="宋体"/>
                <w:sz w:val="20"/>
                <w:szCs w:val="20"/>
              </w:rPr>
            </w:pPr>
            <w:r>
              <w:rPr>
                <w:rFonts w:ascii="宋体" w:hAnsi="宋体" w:eastAsia="宋体" w:cs="宋体"/>
                <w:spacing w:val="-1"/>
                <w:sz w:val="20"/>
                <w:szCs w:val="20"/>
              </w:rPr>
              <w:t>确定维修性要求</w:t>
            </w:r>
          </w:p>
        </w:tc>
        <w:tc>
          <w:tcPr>
            <w:tcW w:w="839" w:type="dxa"/>
            <w:vAlign w:val="top"/>
          </w:tcPr>
          <w:p w14:paraId="49FEA75D">
            <w:pPr>
              <w:spacing w:before="119" w:line="238" w:lineRule="auto"/>
              <w:ind w:left="314"/>
              <w:rPr>
                <w:rFonts w:ascii="宋体" w:hAnsi="宋体" w:eastAsia="宋体" w:cs="宋体"/>
                <w:sz w:val="20"/>
                <w:szCs w:val="20"/>
              </w:rPr>
            </w:pPr>
            <w:r>
              <w:rPr>
                <w:rFonts w:ascii="宋体" w:hAnsi="宋体" w:eastAsia="宋体" w:cs="宋体"/>
                <w:sz w:val="20"/>
                <w:szCs w:val="20"/>
              </w:rPr>
              <w:t>√</w:t>
            </w:r>
          </w:p>
        </w:tc>
        <w:tc>
          <w:tcPr>
            <w:tcW w:w="1039" w:type="dxa"/>
            <w:vAlign w:val="top"/>
          </w:tcPr>
          <w:p w14:paraId="0DD55776">
            <w:pPr>
              <w:spacing w:before="119" w:line="238" w:lineRule="auto"/>
              <w:ind w:left="415"/>
              <w:rPr>
                <w:rFonts w:ascii="宋体" w:hAnsi="宋体" w:eastAsia="宋体" w:cs="宋体"/>
                <w:sz w:val="20"/>
                <w:szCs w:val="20"/>
              </w:rPr>
            </w:pPr>
            <w:r>
              <w:rPr>
                <w:rFonts w:ascii="宋体" w:hAnsi="宋体" w:eastAsia="宋体" w:cs="宋体"/>
                <w:sz w:val="20"/>
                <w:szCs w:val="20"/>
              </w:rPr>
              <w:t>√</w:t>
            </w:r>
          </w:p>
        </w:tc>
        <w:tc>
          <w:tcPr>
            <w:tcW w:w="1258" w:type="dxa"/>
            <w:vAlign w:val="top"/>
          </w:tcPr>
          <w:p w14:paraId="78C183D8">
            <w:pPr>
              <w:spacing w:before="119" w:line="268" w:lineRule="exact"/>
              <w:ind w:left="526"/>
              <w:rPr>
                <w:rFonts w:ascii="宋体" w:hAnsi="宋体" w:eastAsia="宋体" w:cs="宋体"/>
                <w:sz w:val="20"/>
                <w:szCs w:val="20"/>
              </w:rPr>
            </w:pPr>
            <w:r>
              <w:rPr>
                <w:rFonts w:ascii="宋体" w:hAnsi="宋体" w:eastAsia="宋体" w:cs="宋体"/>
                <w:position w:val="1"/>
                <w:sz w:val="20"/>
                <w:szCs w:val="20"/>
              </w:rPr>
              <w:t>×</w:t>
            </w:r>
          </w:p>
        </w:tc>
        <w:tc>
          <w:tcPr>
            <w:tcW w:w="1049" w:type="dxa"/>
            <w:vAlign w:val="top"/>
          </w:tcPr>
          <w:p w14:paraId="4BD03485">
            <w:pPr>
              <w:spacing w:before="119" w:line="268" w:lineRule="exact"/>
              <w:ind w:left="418"/>
              <w:rPr>
                <w:rFonts w:ascii="宋体" w:hAnsi="宋体" w:eastAsia="宋体" w:cs="宋体"/>
                <w:sz w:val="20"/>
                <w:szCs w:val="20"/>
              </w:rPr>
            </w:pPr>
            <w:r>
              <w:rPr>
                <w:rFonts w:ascii="宋体" w:hAnsi="宋体" w:eastAsia="宋体" w:cs="宋体"/>
                <w:position w:val="1"/>
                <w:sz w:val="20"/>
                <w:szCs w:val="20"/>
              </w:rPr>
              <w:t>×</w:t>
            </w:r>
          </w:p>
        </w:tc>
        <w:tc>
          <w:tcPr>
            <w:tcW w:w="784" w:type="dxa"/>
            <w:vAlign w:val="top"/>
          </w:tcPr>
          <w:p w14:paraId="7C879AF3">
            <w:pPr>
              <w:spacing w:before="102" w:line="222" w:lineRule="auto"/>
              <w:ind w:left="139"/>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(1)</w:t>
            </w:r>
          </w:p>
        </w:tc>
      </w:tr>
      <w:tr w14:paraId="603DF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034" w:type="dxa"/>
            <w:vAlign w:val="top"/>
          </w:tcPr>
          <w:p w14:paraId="3416F48B">
            <w:pPr>
              <w:spacing w:before="128" w:line="239" w:lineRule="auto"/>
              <w:ind w:left="354"/>
              <w:rPr>
                <w:rFonts w:ascii="宋体" w:hAnsi="宋体" w:eastAsia="宋体" w:cs="宋体"/>
                <w:sz w:val="20"/>
                <w:szCs w:val="20"/>
              </w:rPr>
            </w:pPr>
            <w:r>
              <w:rPr>
                <w:rFonts w:ascii="宋体" w:hAnsi="宋体" w:eastAsia="宋体" w:cs="宋体"/>
                <w:spacing w:val="-3"/>
                <w:sz w:val="20"/>
                <w:szCs w:val="20"/>
              </w:rPr>
              <w:t>5.2</w:t>
            </w:r>
          </w:p>
        </w:tc>
        <w:tc>
          <w:tcPr>
            <w:tcW w:w="839" w:type="dxa"/>
            <w:vAlign w:val="top"/>
          </w:tcPr>
          <w:p w14:paraId="70F70E70">
            <w:pPr>
              <w:spacing w:before="128"/>
              <w:ind w:left="260"/>
              <w:rPr>
                <w:rFonts w:ascii="宋体" w:hAnsi="宋体" w:eastAsia="宋体" w:cs="宋体"/>
                <w:sz w:val="20"/>
                <w:szCs w:val="20"/>
              </w:rPr>
            </w:pPr>
            <w:r>
              <w:rPr>
                <w:rFonts w:ascii="宋体" w:hAnsi="宋体" w:eastAsia="宋体" w:cs="宋体"/>
                <w:spacing w:val="-6"/>
                <w:sz w:val="20"/>
                <w:szCs w:val="20"/>
              </w:rPr>
              <w:t>102</w:t>
            </w:r>
          </w:p>
        </w:tc>
        <w:tc>
          <w:tcPr>
            <w:tcW w:w="2507" w:type="dxa"/>
            <w:vAlign w:val="top"/>
          </w:tcPr>
          <w:p w14:paraId="61A219E4">
            <w:pPr>
              <w:spacing w:before="109" w:line="219" w:lineRule="auto"/>
              <w:ind w:left="101"/>
              <w:rPr>
                <w:rFonts w:ascii="宋体" w:hAnsi="宋体" w:eastAsia="宋体" w:cs="宋体"/>
                <w:sz w:val="20"/>
                <w:szCs w:val="20"/>
              </w:rPr>
            </w:pPr>
            <w:r>
              <w:rPr>
                <w:rFonts w:ascii="宋体" w:hAnsi="宋体" w:eastAsia="宋体" w:cs="宋体"/>
                <w:spacing w:val="-1"/>
                <w:sz w:val="20"/>
                <w:szCs w:val="20"/>
              </w:rPr>
              <w:t>确定维修性工作项目要求</w:t>
            </w:r>
          </w:p>
        </w:tc>
        <w:tc>
          <w:tcPr>
            <w:tcW w:w="839" w:type="dxa"/>
            <w:vAlign w:val="top"/>
          </w:tcPr>
          <w:p w14:paraId="0AD3D796">
            <w:pPr>
              <w:spacing w:before="129" w:line="238" w:lineRule="auto"/>
              <w:ind w:left="314"/>
              <w:rPr>
                <w:rFonts w:ascii="宋体" w:hAnsi="宋体" w:eastAsia="宋体" w:cs="宋体"/>
                <w:sz w:val="20"/>
                <w:szCs w:val="20"/>
              </w:rPr>
            </w:pPr>
            <w:r>
              <w:rPr>
                <w:rFonts w:ascii="宋体" w:hAnsi="宋体" w:eastAsia="宋体" w:cs="宋体"/>
                <w:sz w:val="20"/>
                <w:szCs w:val="20"/>
              </w:rPr>
              <w:t>√</w:t>
            </w:r>
          </w:p>
        </w:tc>
        <w:tc>
          <w:tcPr>
            <w:tcW w:w="1039" w:type="dxa"/>
            <w:vAlign w:val="top"/>
          </w:tcPr>
          <w:p w14:paraId="4D2659C6">
            <w:pPr>
              <w:spacing w:before="129" w:line="238" w:lineRule="auto"/>
              <w:ind w:left="415"/>
              <w:rPr>
                <w:rFonts w:ascii="宋体" w:hAnsi="宋体" w:eastAsia="宋体" w:cs="宋体"/>
                <w:sz w:val="20"/>
                <w:szCs w:val="20"/>
              </w:rPr>
            </w:pPr>
            <w:r>
              <w:rPr>
                <w:rFonts w:ascii="宋体" w:hAnsi="宋体" w:eastAsia="宋体" w:cs="宋体"/>
                <w:sz w:val="20"/>
                <w:szCs w:val="20"/>
              </w:rPr>
              <w:t>√</w:t>
            </w:r>
          </w:p>
        </w:tc>
        <w:tc>
          <w:tcPr>
            <w:tcW w:w="1258" w:type="dxa"/>
            <w:vAlign w:val="top"/>
          </w:tcPr>
          <w:p w14:paraId="6E551C04">
            <w:pPr>
              <w:spacing w:before="129" w:line="268" w:lineRule="exact"/>
              <w:ind w:left="526"/>
              <w:rPr>
                <w:rFonts w:ascii="宋体" w:hAnsi="宋体" w:eastAsia="宋体" w:cs="宋体"/>
                <w:sz w:val="20"/>
                <w:szCs w:val="20"/>
              </w:rPr>
            </w:pPr>
            <w:r>
              <w:rPr>
                <w:rFonts w:ascii="宋体" w:hAnsi="宋体" w:eastAsia="宋体" w:cs="宋体"/>
                <w:position w:val="1"/>
                <w:sz w:val="20"/>
                <w:szCs w:val="20"/>
              </w:rPr>
              <w:t>×</w:t>
            </w:r>
          </w:p>
        </w:tc>
        <w:tc>
          <w:tcPr>
            <w:tcW w:w="1049" w:type="dxa"/>
            <w:vAlign w:val="top"/>
          </w:tcPr>
          <w:p w14:paraId="6DA7C6EC">
            <w:pPr>
              <w:spacing w:before="129" w:line="268" w:lineRule="exact"/>
              <w:ind w:left="418"/>
              <w:rPr>
                <w:rFonts w:ascii="宋体" w:hAnsi="宋体" w:eastAsia="宋体" w:cs="宋体"/>
                <w:sz w:val="20"/>
                <w:szCs w:val="20"/>
              </w:rPr>
            </w:pPr>
            <w:r>
              <w:rPr>
                <w:rFonts w:ascii="宋体" w:hAnsi="宋体" w:eastAsia="宋体" w:cs="宋体"/>
                <w:position w:val="1"/>
                <w:sz w:val="20"/>
                <w:szCs w:val="20"/>
              </w:rPr>
              <w:t>×</w:t>
            </w:r>
          </w:p>
        </w:tc>
        <w:tc>
          <w:tcPr>
            <w:tcW w:w="784" w:type="dxa"/>
            <w:vAlign w:val="top"/>
          </w:tcPr>
          <w:p w14:paraId="4CF16FEB">
            <w:pPr>
              <w:spacing w:before="129" w:line="238" w:lineRule="auto"/>
              <w:ind w:left="289"/>
              <w:rPr>
                <w:rFonts w:ascii="宋体" w:hAnsi="宋体" w:eastAsia="宋体" w:cs="宋体"/>
                <w:sz w:val="20"/>
                <w:szCs w:val="20"/>
              </w:rPr>
            </w:pPr>
            <w:r>
              <w:rPr>
                <w:rFonts w:ascii="宋体" w:hAnsi="宋体" w:eastAsia="宋体" w:cs="宋体"/>
                <w:sz w:val="20"/>
                <w:szCs w:val="20"/>
              </w:rPr>
              <w:t>√</w:t>
            </w:r>
          </w:p>
        </w:tc>
      </w:tr>
      <w:tr w14:paraId="3FA6A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34" w:type="dxa"/>
            <w:vAlign w:val="top"/>
          </w:tcPr>
          <w:p w14:paraId="726BA770">
            <w:pPr>
              <w:spacing w:before="118" w:line="239" w:lineRule="auto"/>
              <w:ind w:left="354"/>
              <w:rPr>
                <w:rFonts w:ascii="宋体" w:hAnsi="宋体" w:eastAsia="宋体" w:cs="宋体"/>
                <w:sz w:val="20"/>
                <w:szCs w:val="20"/>
              </w:rPr>
            </w:pPr>
            <w:r>
              <w:rPr>
                <w:rFonts w:ascii="宋体" w:hAnsi="宋体" w:eastAsia="宋体" w:cs="宋体"/>
                <w:spacing w:val="-3"/>
                <w:sz w:val="20"/>
                <w:szCs w:val="20"/>
              </w:rPr>
              <w:t>6.1</w:t>
            </w:r>
          </w:p>
        </w:tc>
        <w:tc>
          <w:tcPr>
            <w:tcW w:w="839" w:type="dxa"/>
            <w:vAlign w:val="top"/>
          </w:tcPr>
          <w:p w14:paraId="0DA5310D">
            <w:pPr>
              <w:spacing w:before="118"/>
              <w:ind w:left="260"/>
              <w:rPr>
                <w:rFonts w:ascii="宋体" w:hAnsi="宋体" w:eastAsia="宋体" w:cs="宋体"/>
                <w:sz w:val="20"/>
                <w:szCs w:val="20"/>
              </w:rPr>
            </w:pPr>
            <w:r>
              <w:rPr>
                <w:rFonts w:ascii="宋体" w:hAnsi="宋体" w:eastAsia="宋体" w:cs="宋体"/>
                <w:spacing w:val="-3"/>
                <w:sz w:val="20"/>
                <w:szCs w:val="20"/>
              </w:rPr>
              <w:t>201</w:t>
            </w:r>
          </w:p>
        </w:tc>
        <w:tc>
          <w:tcPr>
            <w:tcW w:w="2507" w:type="dxa"/>
            <w:vAlign w:val="top"/>
          </w:tcPr>
          <w:p w14:paraId="00D0DFE0">
            <w:pPr>
              <w:spacing w:before="99" w:line="219" w:lineRule="auto"/>
              <w:ind w:left="101"/>
              <w:rPr>
                <w:rFonts w:ascii="宋体" w:hAnsi="宋体" w:eastAsia="宋体" w:cs="宋体"/>
                <w:sz w:val="20"/>
                <w:szCs w:val="20"/>
              </w:rPr>
            </w:pPr>
            <w:r>
              <w:rPr>
                <w:rFonts w:ascii="宋体" w:hAnsi="宋体" w:eastAsia="宋体" w:cs="宋体"/>
                <w:spacing w:val="2"/>
                <w:sz w:val="20"/>
                <w:szCs w:val="20"/>
              </w:rPr>
              <w:t>制定维修性计划</w:t>
            </w:r>
          </w:p>
        </w:tc>
        <w:tc>
          <w:tcPr>
            <w:tcW w:w="839" w:type="dxa"/>
            <w:vAlign w:val="top"/>
          </w:tcPr>
          <w:p w14:paraId="6C9E1AB2">
            <w:pPr>
              <w:spacing w:before="119" w:line="238" w:lineRule="auto"/>
              <w:ind w:left="314"/>
              <w:rPr>
                <w:rFonts w:ascii="宋体" w:hAnsi="宋体" w:eastAsia="宋体" w:cs="宋体"/>
                <w:sz w:val="20"/>
                <w:szCs w:val="20"/>
              </w:rPr>
            </w:pPr>
            <w:r>
              <w:rPr>
                <w:rFonts w:ascii="宋体" w:hAnsi="宋体" w:eastAsia="宋体" w:cs="宋体"/>
                <w:sz w:val="20"/>
                <w:szCs w:val="20"/>
              </w:rPr>
              <w:t>√</w:t>
            </w:r>
          </w:p>
        </w:tc>
        <w:tc>
          <w:tcPr>
            <w:tcW w:w="1039" w:type="dxa"/>
            <w:vAlign w:val="top"/>
          </w:tcPr>
          <w:p w14:paraId="00604F6C">
            <w:pPr>
              <w:spacing w:before="102" w:line="222" w:lineRule="auto"/>
              <w:ind w:left="265"/>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(3)</w:t>
            </w:r>
          </w:p>
        </w:tc>
        <w:tc>
          <w:tcPr>
            <w:tcW w:w="1258" w:type="dxa"/>
            <w:vAlign w:val="top"/>
          </w:tcPr>
          <w:p w14:paraId="1D17321F">
            <w:pPr>
              <w:spacing w:before="119" w:line="238"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133046C1">
            <w:pPr>
              <w:spacing w:before="102" w:line="222" w:lineRule="auto"/>
              <w:ind w:left="118"/>
              <w:rPr>
                <w:rFonts w:ascii="宋体" w:hAnsi="宋体" w:eastAsia="宋体" w:cs="宋体"/>
                <w:sz w:val="20"/>
                <w:szCs w:val="20"/>
              </w:rPr>
            </w:pPr>
            <w:r>
              <w:rPr>
                <w:rFonts w:ascii="宋体" w:hAnsi="宋体" w:eastAsia="宋体" w:cs="宋体"/>
                <w:spacing w:val="-14"/>
                <w:sz w:val="20"/>
                <w:szCs w:val="20"/>
              </w:rPr>
              <w:t>√</w:t>
            </w:r>
            <w:r>
              <w:rPr>
                <w:rFonts w:ascii="宋体" w:hAnsi="宋体" w:eastAsia="宋体" w:cs="宋体"/>
                <w:spacing w:val="-53"/>
                <w:sz w:val="20"/>
                <w:szCs w:val="20"/>
              </w:rPr>
              <w:t xml:space="preserve"> </w:t>
            </w:r>
            <w:r>
              <w:rPr>
                <w:rFonts w:ascii="宋体" w:hAnsi="宋体" w:eastAsia="宋体" w:cs="宋体"/>
                <w:spacing w:val="-14"/>
                <w:sz w:val="20"/>
                <w:szCs w:val="20"/>
              </w:rPr>
              <w:t>(3)(1)</w:t>
            </w:r>
          </w:p>
        </w:tc>
        <w:tc>
          <w:tcPr>
            <w:tcW w:w="784" w:type="dxa"/>
            <w:vAlign w:val="top"/>
          </w:tcPr>
          <w:p w14:paraId="11EE5A71">
            <w:pPr>
              <w:spacing w:before="102" w:line="222" w:lineRule="auto"/>
              <w:ind w:left="139"/>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(1)</w:t>
            </w:r>
          </w:p>
        </w:tc>
      </w:tr>
      <w:tr w14:paraId="42EB0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34" w:type="dxa"/>
            <w:vAlign w:val="top"/>
          </w:tcPr>
          <w:p w14:paraId="7E190C53">
            <w:pPr>
              <w:spacing w:before="119" w:line="239" w:lineRule="auto"/>
              <w:ind w:left="354"/>
              <w:rPr>
                <w:rFonts w:ascii="宋体" w:hAnsi="宋体" w:eastAsia="宋体" w:cs="宋体"/>
                <w:sz w:val="20"/>
                <w:szCs w:val="20"/>
              </w:rPr>
            </w:pPr>
            <w:r>
              <w:rPr>
                <w:rFonts w:ascii="宋体" w:hAnsi="宋体" w:eastAsia="宋体" w:cs="宋体"/>
                <w:spacing w:val="-3"/>
                <w:sz w:val="20"/>
                <w:szCs w:val="20"/>
              </w:rPr>
              <w:t>6.2</w:t>
            </w:r>
          </w:p>
        </w:tc>
        <w:tc>
          <w:tcPr>
            <w:tcW w:w="839" w:type="dxa"/>
            <w:vAlign w:val="top"/>
          </w:tcPr>
          <w:p w14:paraId="0DCF1262">
            <w:pPr>
              <w:spacing w:before="119"/>
              <w:ind w:left="260"/>
              <w:rPr>
                <w:rFonts w:ascii="宋体" w:hAnsi="宋体" w:eastAsia="宋体" w:cs="宋体"/>
                <w:sz w:val="20"/>
                <w:szCs w:val="20"/>
              </w:rPr>
            </w:pPr>
            <w:r>
              <w:rPr>
                <w:rFonts w:ascii="宋体" w:hAnsi="宋体" w:eastAsia="宋体" w:cs="宋体"/>
                <w:spacing w:val="-3"/>
                <w:sz w:val="20"/>
                <w:szCs w:val="20"/>
              </w:rPr>
              <w:t>202</w:t>
            </w:r>
          </w:p>
        </w:tc>
        <w:tc>
          <w:tcPr>
            <w:tcW w:w="2507" w:type="dxa"/>
            <w:vAlign w:val="top"/>
          </w:tcPr>
          <w:p w14:paraId="48907EFF">
            <w:pPr>
              <w:spacing w:before="100" w:line="219" w:lineRule="auto"/>
              <w:ind w:left="101"/>
              <w:rPr>
                <w:rFonts w:ascii="宋体" w:hAnsi="宋体" w:eastAsia="宋体" w:cs="宋体"/>
                <w:sz w:val="20"/>
                <w:szCs w:val="20"/>
              </w:rPr>
            </w:pPr>
            <w:r>
              <w:rPr>
                <w:rFonts w:ascii="宋体" w:hAnsi="宋体" w:eastAsia="宋体" w:cs="宋体"/>
                <w:spacing w:val="1"/>
                <w:sz w:val="20"/>
                <w:szCs w:val="20"/>
              </w:rPr>
              <w:t>制定维修性工作计划</w:t>
            </w:r>
          </w:p>
        </w:tc>
        <w:tc>
          <w:tcPr>
            <w:tcW w:w="839" w:type="dxa"/>
            <w:vAlign w:val="top"/>
          </w:tcPr>
          <w:p w14:paraId="3DD880C0">
            <w:pPr>
              <w:spacing w:before="143" w:line="237" w:lineRule="auto"/>
              <w:ind w:left="334"/>
              <w:rPr>
                <w:rFonts w:ascii="宋体" w:hAnsi="宋体" w:eastAsia="宋体" w:cs="宋体"/>
                <w:sz w:val="15"/>
                <w:szCs w:val="15"/>
              </w:rPr>
            </w:pPr>
            <w:r>
              <w:rPr>
                <w:rFonts w:ascii="宋体" w:hAnsi="宋体" w:eastAsia="宋体" w:cs="宋体"/>
                <w:sz w:val="15"/>
                <w:szCs w:val="15"/>
              </w:rPr>
              <w:t>△</w:t>
            </w:r>
          </w:p>
        </w:tc>
        <w:tc>
          <w:tcPr>
            <w:tcW w:w="1039" w:type="dxa"/>
            <w:vAlign w:val="top"/>
          </w:tcPr>
          <w:p w14:paraId="21426525">
            <w:pPr>
              <w:spacing w:before="120" w:line="238" w:lineRule="auto"/>
              <w:ind w:left="415"/>
              <w:rPr>
                <w:rFonts w:ascii="宋体" w:hAnsi="宋体" w:eastAsia="宋体" w:cs="宋体"/>
                <w:sz w:val="20"/>
                <w:szCs w:val="20"/>
              </w:rPr>
            </w:pPr>
            <w:r>
              <w:rPr>
                <w:rFonts w:ascii="宋体" w:hAnsi="宋体" w:eastAsia="宋体" w:cs="宋体"/>
                <w:sz w:val="20"/>
                <w:szCs w:val="20"/>
              </w:rPr>
              <w:t>√</w:t>
            </w:r>
          </w:p>
        </w:tc>
        <w:tc>
          <w:tcPr>
            <w:tcW w:w="1258" w:type="dxa"/>
            <w:vAlign w:val="top"/>
          </w:tcPr>
          <w:p w14:paraId="25E6D10A">
            <w:pPr>
              <w:spacing w:before="120" w:line="238"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20A76521">
            <w:pPr>
              <w:spacing w:before="120" w:line="238" w:lineRule="auto"/>
              <w:ind w:left="418"/>
              <w:rPr>
                <w:rFonts w:ascii="宋体" w:hAnsi="宋体" w:eastAsia="宋体" w:cs="宋体"/>
                <w:sz w:val="20"/>
                <w:szCs w:val="20"/>
              </w:rPr>
            </w:pPr>
            <w:r>
              <w:rPr>
                <w:rFonts w:ascii="宋体" w:hAnsi="宋体" w:eastAsia="宋体" w:cs="宋体"/>
                <w:sz w:val="20"/>
                <w:szCs w:val="20"/>
              </w:rPr>
              <w:t>√</w:t>
            </w:r>
          </w:p>
        </w:tc>
        <w:tc>
          <w:tcPr>
            <w:tcW w:w="784" w:type="dxa"/>
            <w:vAlign w:val="top"/>
          </w:tcPr>
          <w:p w14:paraId="2329E8B8">
            <w:pPr>
              <w:spacing w:before="120" w:line="238" w:lineRule="auto"/>
              <w:ind w:left="289"/>
              <w:rPr>
                <w:rFonts w:ascii="宋体" w:hAnsi="宋体" w:eastAsia="宋体" w:cs="宋体"/>
                <w:sz w:val="20"/>
                <w:szCs w:val="20"/>
              </w:rPr>
            </w:pPr>
            <w:r>
              <w:rPr>
                <w:rFonts w:ascii="宋体" w:hAnsi="宋体" w:eastAsia="宋体" w:cs="宋体"/>
                <w:sz w:val="20"/>
                <w:szCs w:val="20"/>
              </w:rPr>
              <w:t>√</w:t>
            </w:r>
          </w:p>
        </w:tc>
      </w:tr>
      <w:tr w14:paraId="7E3B2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1034" w:type="dxa"/>
            <w:vAlign w:val="top"/>
          </w:tcPr>
          <w:p w14:paraId="73B93EDA">
            <w:pPr>
              <w:pStyle w:val="6"/>
              <w:spacing w:line="244" w:lineRule="auto"/>
            </w:pPr>
          </w:p>
          <w:p w14:paraId="3005A48F">
            <w:pPr>
              <w:spacing w:before="65" w:line="239" w:lineRule="auto"/>
              <w:ind w:left="354"/>
              <w:rPr>
                <w:rFonts w:ascii="宋体" w:hAnsi="宋体" w:eastAsia="宋体" w:cs="宋体"/>
                <w:sz w:val="20"/>
                <w:szCs w:val="20"/>
              </w:rPr>
            </w:pPr>
            <w:r>
              <w:rPr>
                <w:rFonts w:ascii="宋体" w:hAnsi="宋体" w:eastAsia="宋体" w:cs="宋体"/>
                <w:spacing w:val="-3"/>
                <w:sz w:val="20"/>
                <w:szCs w:val="20"/>
              </w:rPr>
              <w:t>6.3</w:t>
            </w:r>
          </w:p>
        </w:tc>
        <w:tc>
          <w:tcPr>
            <w:tcW w:w="839" w:type="dxa"/>
            <w:vAlign w:val="top"/>
          </w:tcPr>
          <w:p w14:paraId="75064E72">
            <w:pPr>
              <w:pStyle w:val="6"/>
              <w:spacing w:line="244" w:lineRule="auto"/>
            </w:pPr>
          </w:p>
          <w:p w14:paraId="3055A42B">
            <w:pPr>
              <w:spacing w:before="65"/>
              <w:ind w:left="260"/>
              <w:rPr>
                <w:rFonts w:ascii="宋体" w:hAnsi="宋体" w:eastAsia="宋体" w:cs="宋体"/>
                <w:sz w:val="20"/>
                <w:szCs w:val="20"/>
              </w:rPr>
            </w:pPr>
            <w:r>
              <w:rPr>
                <w:rFonts w:ascii="宋体" w:hAnsi="宋体" w:eastAsia="宋体" w:cs="宋体"/>
                <w:spacing w:val="-3"/>
                <w:sz w:val="20"/>
                <w:szCs w:val="20"/>
              </w:rPr>
              <w:t>203</w:t>
            </w:r>
          </w:p>
        </w:tc>
        <w:tc>
          <w:tcPr>
            <w:tcW w:w="2507" w:type="dxa"/>
            <w:vAlign w:val="top"/>
          </w:tcPr>
          <w:p w14:paraId="3D73C9A9">
            <w:pPr>
              <w:spacing w:before="100" w:line="304" w:lineRule="auto"/>
              <w:ind w:left="101" w:right="202"/>
              <w:rPr>
                <w:rFonts w:ascii="宋体" w:hAnsi="宋体" w:eastAsia="宋体" w:cs="宋体"/>
                <w:sz w:val="20"/>
                <w:szCs w:val="20"/>
              </w:rPr>
            </w:pPr>
            <w:r>
              <w:rPr>
                <w:rFonts w:ascii="宋体" w:hAnsi="宋体" w:eastAsia="宋体" w:cs="宋体"/>
                <w:spacing w:val="-1"/>
                <w:sz w:val="20"/>
                <w:szCs w:val="20"/>
              </w:rPr>
              <w:t>对承制方、转承制方和供</w:t>
            </w:r>
            <w:r>
              <w:rPr>
                <w:rFonts w:ascii="宋体" w:hAnsi="宋体" w:eastAsia="宋体" w:cs="宋体"/>
                <w:spacing w:val="3"/>
                <w:sz w:val="20"/>
                <w:szCs w:val="20"/>
              </w:rPr>
              <w:t xml:space="preserve"> </w:t>
            </w:r>
            <w:r>
              <w:rPr>
                <w:rFonts w:ascii="宋体" w:hAnsi="宋体" w:eastAsia="宋体" w:cs="宋体"/>
                <w:spacing w:val="2"/>
                <w:sz w:val="20"/>
                <w:szCs w:val="20"/>
              </w:rPr>
              <w:t>应方的监督和控制</w:t>
            </w:r>
          </w:p>
        </w:tc>
        <w:tc>
          <w:tcPr>
            <w:tcW w:w="839" w:type="dxa"/>
            <w:vAlign w:val="top"/>
          </w:tcPr>
          <w:p w14:paraId="30C81F1A">
            <w:pPr>
              <w:pStyle w:val="6"/>
              <w:spacing w:line="273" w:lineRule="auto"/>
            </w:pPr>
          </w:p>
          <w:p w14:paraId="2445B900">
            <w:pPr>
              <w:spacing w:before="49"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4D3CBAE4">
            <w:pPr>
              <w:pStyle w:val="6"/>
              <w:spacing w:line="244" w:lineRule="auto"/>
            </w:pPr>
          </w:p>
          <w:p w14:paraId="1616FBAE">
            <w:pPr>
              <w:spacing w:before="65" w:line="237" w:lineRule="auto"/>
              <w:ind w:left="415"/>
              <w:rPr>
                <w:rFonts w:ascii="宋体" w:hAnsi="宋体" w:eastAsia="宋体" w:cs="宋体"/>
                <w:sz w:val="20"/>
                <w:szCs w:val="20"/>
              </w:rPr>
            </w:pPr>
            <w:r>
              <w:rPr>
                <w:rFonts w:ascii="宋体" w:hAnsi="宋体" w:eastAsia="宋体" w:cs="宋体"/>
                <w:sz w:val="20"/>
                <w:szCs w:val="20"/>
              </w:rPr>
              <w:t>△</w:t>
            </w:r>
          </w:p>
        </w:tc>
        <w:tc>
          <w:tcPr>
            <w:tcW w:w="1258" w:type="dxa"/>
            <w:vAlign w:val="top"/>
          </w:tcPr>
          <w:p w14:paraId="7D11B74A">
            <w:pPr>
              <w:pStyle w:val="6"/>
              <w:spacing w:line="244" w:lineRule="auto"/>
            </w:pPr>
          </w:p>
          <w:p w14:paraId="40581BAF">
            <w:pPr>
              <w:spacing w:before="65" w:line="238"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4E846E82">
            <w:pPr>
              <w:pStyle w:val="6"/>
              <w:spacing w:line="244" w:lineRule="auto"/>
            </w:pPr>
          </w:p>
          <w:p w14:paraId="25CD76F8">
            <w:pPr>
              <w:spacing w:before="65" w:line="238" w:lineRule="auto"/>
              <w:ind w:left="418"/>
              <w:rPr>
                <w:rFonts w:ascii="宋体" w:hAnsi="宋体" w:eastAsia="宋体" w:cs="宋体"/>
                <w:sz w:val="20"/>
                <w:szCs w:val="20"/>
              </w:rPr>
            </w:pPr>
            <w:r>
              <w:rPr>
                <w:rFonts w:ascii="宋体" w:hAnsi="宋体" w:eastAsia="宋体" w:cs="宋体"/>
                <w:sz w:val="20"/>
                <w:szCs w:val="20"/>
              </w:rPr>
              <w:t>√</w:t>
            </w:r>
          </w:p>
        </w:tc>
        <w:tc>
          <w:tcPr>
            <w:tcW w:w="784" w:type="dxa"/>
            <w:vAlign w:val="top"/>
          </w:tcPr>
          <w:p w14:paraId="046BBA05">
            <w:pPr>
              <w:pStyle w:val="6"/>
              <w:spacing w:line="244" w:lineRule="auto"/>
            </w:pPr>
          </w:p>
          <w:p w14:paraId="624FCB89">
            <w:pPr>
              <w:spacing w:before="65" w:line="237" w:lineRule="auto"/>
              <w:ind w:left="289"/>
              <w:rPr>
                <w:rFonts w:ascii="宋体" w:hAnsi="宋体" w:eastAsia="宋体" w:cs="宋体"/>
                <w:sz w:val="20"/>
                <w:szCs w:val="20"/>
              </w:rPr>
            </w:pPr>
            <w:r>
              <w:rPr>
                <w:rFonts w:ascii="宋体" w:hAnsi="宋体" w:eastAsia="宋体" w:cs="宋体"/>
                <w:sz w:val="20"/>
                <w:szCs w:val="20"/>
              </w:rPr>
              <w:t>△</w:t>
            </w:r>
          </w:p>
        </w:tc>
      </w:tr>
      <w:tr w14:paraId="40503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34" w:type="dxa"/>
            <w:vAlign w:val="top"/>
          </w:tcPr>
          <w:p w14:paraId="4CCDEF18">
            <w:pPr>
              <w:spacing w:before="121" w:line="239" w:lineRule="auto"/>
              <w:ind w:left="354"/>
              <w:rPr>
                <w:rFonts w:ascii="宋体" w:hAnsi="宋体" w:eastAsia="宋体" w:cs="宋体"/>
                <w:sz w:val="20"/>
                <w:szCs w:val="20"/>
              </w:rPr>
            </w:pPr>
            <w:r>
              <w:rPr>
                <w:rFonts w:ascii="宋体" w:hAnsi="宋体" w:eastAsia="宋体" w:cs="宋体"/>
                <w:spacing w:val="-3"/>
                <w:sz w:val="20"/>
                <w:szCs w:val="20"/>
              </w:rPr>
              <w:t>6.4</w:t>
            </w:r>
          </w:p>
        </w:tc>
        <w:tc>
          <w:tcPr>
            <w:tcW w:w="839" w:type="dxa"/>
            <w:vAlign w:val="top"/>
          </w:tcPr>
          <w:p w14:paraId="1B7D542B">
            <w:pPr>
              <w:spacing w:before="121"/>
              <w:ind w:left="260"/>
              <w:rPr>
                <w:rFonts w:ascii="宋体" w:hAnsi="宋体" w:eastAsia="宋体" w:cs="宋体"/>
                <w:sz w:val="20"/>
                <w:szCs w:val="20"/>
              </w:rPr>
            </w:pPr>
            <w:r>
              <w:rPr>
                <w:rFonts w:ascii="宋体" w:hAnsi="宋体" w:eastAsia="宋体" w:cs="宋体"/>
                <w:spacing w:val="-3"/>
                <w:sz w:val="20"/>
                <w:szCs w:val="20"/>
              </w:rPr>
              <w:t>204</w:t>
            </w:r>
          </w:p>
        </w:tc>
        <w:tc>
          <w:tcPr>
            <w:tcW w:w="2507" w:type="dxa"/>
            <w:vAlign w:val="top"/>
          </w:tcPr>
          <w:p w14:paraId="6ADA3CFA">
            <w:pPr>
              <w:spacing w:before="102" w:line="219" w:lineRule="auto"/>
              <w:ind w:left="101"/>
              <w:rPr>
                <w:rFonts w:ascii="宋体" w:hAnsi="宋体" w:eastAsia="宋体" w:cs="宋体"/>
                <w:sz w:val="20"/>
                <w:szCs w:val="20"/>
              </w:rPr>
            </w:pPr>
            <w:r>
              <w:rPr>
                <w:rFonts w:ascii="宋体" w:hAnsi="宋体" w:eastAsia="宋体" w:cs="宋体"/>
                <w:spacing w:val="3"/>
                <w:sz w:val="20"/>
                <w:szCs w:val="20"/>
              </w:rPr>
              <w:t>维修性评审</w:t>
            </w:r>
          </w:p>
        </w:tc>
        <w:tc>
          <w:tcPr>
            <w:tcW w:w="839" w:type="dxa"/>
            <w:vAlign w:val="top"/>
          </w:tcPr>
          <w:p w14:paraId="55A24BBC">
            <w:pPr>
              <w:spacing w:before="144" w:line="237" w:lineRule="auto"/>
              <w:ind w:left="334"/>
              <w:rPr>
                <w:rFonts w:ascii="宋体" w:hAnsi="宋体" w:eastAsia="宋体" w:cs="宋体"/>
                <w:sz w:val="15"/>
                <w:szCs w:val="15"/>
              </w:rPr>
            </w:pPr>
            <w:r>
              <w:rPr>
                <w:rFonts w:ascii="宋体" w:hAnsi="宋体" w:eastAsia="宋体" w:cs="宋体"/>
                <w:sz w:val="15"/>
                <w:szCs w:val="15"/>
              </w:rPr>
              <w:t>△</w:t>
            </w:r>
          </w:p>
        </w:tc>
        <w:tc>
          <w:tcPr>
            <w:tcW w:w="1039" w:type="dxa"/>
            <w:vAlign w:val="top"/>
          </w:tcPr>
          <w:p w14:paraId="5C5DCA7F">
            <w:pPr>
              <w:spacing w:before="105" w:line="222" w:lineRule="auto"/>
              <w:ind w:left="265"/>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(3)</w:t>
            </w:r>
          </w:p>
        </w:tc>
        <w:tc>
          <w:tcPr>
            <w:tcW w:w="1258" w:type="dxa"/>
            <w:vAlign w:val="top"/>
          </w:tcPr>
          <w:p w14:paraId="447EFDC5">
            <w:pPr>
              <w:spacing w:before="122" w:line="238"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746FB762">
            <w:pPr>
              <w:spacing w:before="122" w:line="238" w:lineRule="auto"/>
              <w:ind w:left="418"/>
              <w:rPr>
                <w:rFonts w:ascii="宋体" w:hAnsi="宋体" w:eastAsia="宋体" w:cs="宋体"/>
                <w:sz w:val="20"/>
                <w:szCs w:val="20"/>
              </w:rPr>
            </w:pPr>
            <w:r>
              <w:rPr>
                <w:rFonts w:ascii="宋体" w:hAnsi="宋体" w:eastAsia="宋体" w:cs="宋体"/>
                <w:sz w:val="20"/>
                <w:szCs w:val="20"/>
              </w:rPr>
              <w:t>√</w:t>
            </w:r>
          </w:p>
        </w:tc>
        <w:tc>
          <w:tcPr>
            <w:tcW w:w="784" w:type="dxa"/>
            <w:vAlign w:val="top"/>
          </w:tcPr>
          <w:p w14:paraId="19E453B2">
            <w:pPr>
              <w:spacing w:before="121" w:line="237" w:lineRule="auto"/>
              <w:ind w:left="289"/>
              <w:rPr>
                <w:rFonts w:ascii="宋体" w:hAnsi="宋体" w:eastAsia="宋体" w:cs="宋体"/>
                <w:sz w:val="20"/>
                <w:szCs w:val="20"/>
              </w:rPr>
            </w:pPr>
            <w:r>
              <w:rPr>
                <w:rFonts w:ascii="宋体" w:hAnsi="宋体" w:eastAsia="宋体" w:cs="宋体"/>
                <w:sz w:val="20"/>
                <w:szCs w:val="20"/>
              </w:rPr>
              <w:t>△</w:t>
            </w:r>
          </w:p>
        </w:tc>
      </w:tr>
      <w:tr w14:paraId="205AD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1034" w:type="dxa"/>
            <w:vAlign w:val="top"/>
          </w:tcPr>
          <w:p w14:paraId="7E20CFC9">
            <w:pPr>
              <w:pStyle w:val="6"/>
              <w:spacing w:line="266" w:lineRule="auto"/>
            </w:pPr>
          </w:p>
          <w:p w14:paraId="6350FE71">
            <w:pPr>
              <w:spacing w:before="65" w:line="239" w:lineRule="auto"/>
              <w:ind w:left="354"/>
              <w:rPr>
                <w:rFonts w:ascii="宋体" w:hAnsi="宋体" w:eastAsia="宋体" w:cs="宋体"/>
                <w:sz w:val="20"/>
                <w:szCs w:val="20"/>
              </w:rPr>
            </w:pPr>
            <w:r>
              <w:rPr>
                <w:rFonts w:ascii="宋体" w:hAnsi="宋体" w:eastAsia="宋体" w:cs="宋体"/>
                <w:spacing w:val="-3"/>
                <w:sz w:val="20"/>
                <w:szCs w:val="20"/>
              </w:rPr>
              <w:t>6.5</w:t>
            </w:r>
          </w:p>
        </w:tc>
        <w:tc>
          <w:tcPr>
            <w:tcW w:w="839" w:type="dxa"/>
            <w:vAlign w:val="top"/>
          </w:tcPr>
          <w:p w14:paraId="3E014878">
            <w:pPr>
              <w:pStyle w:val="6"/>
              <w:spacing w:line="266" w:lineRule="auto"/>
            </w:pPr>
          </w:p>
          <w:p w14:paraId="4D7C4E64">
            <w:pPr>
              <w:spacing w:before="65"/>
              <w:ind w:left="260"/>
              <w:rPr>
                <w:rFonts w:ascii="宋体" w:hAnsi="宋体" w:eastAsia="宋体" w:cs="宋体"/>
                <w:sz w:val="20"/>
                <w:szCs w:val="20"/>
              </w:rPr>
            </w:pPr>
            <w:r>
              <w:rPr>
                <w:rFonts w:ascii="宋体" w:hAnsi="宋体" w:eastAsia="宋体" w:cs="宋体"/>
                <w:spacing w:val="-3"/>
                <w:sz w:val="20"/>
                <w:szCs w:val="20"/>
              </w:rPr>
              <w:t>205</w:t>
            </w:r>
          </w:p>
        </w:tc>
        <w:tc>
          <w:tcPr>
            <w:tcW w:w="2507" w:type="dxa"/>
            <w:vAlign w:val="top"/>
          </w:tcPr>
          <w:p w14:paraId="13370CC2">
            <w:pPr>
              <w:spacing w:before="123" w:line="312" w:lineRule="auto"/>
              <w:ind w:left="101" w:right="205"/>
              <w:rPr>
                <w:rFonts w:ascii="宋体" w:hAnsi="宋体" w:eastAsia="宋体" w:cs="宋体"/>
                <w:sz w:val="20"/>
                <w:szCs w:val="20"/>
              </w:rPr>
            </w:pPr>
            <w:r>
              <w:rPr>
                <w:rFonts w:ascii="宋体" w:hAnsi="宋体" w:eastAsia="宋体" w:cs="宋体"/>
                <w:spacing w:val="-1"/>
                <w:sz w:val="20"/>
                <w:szCs w:val="20"/>
              </w:rPr>
              <w:t>建立维修性数据收集、分</w:t>
            </w:r>
            <w:r>
              <w:rPr>
                <w:rFonts w:ascii="宋体" w:hAnsi="宋体" w:eastAsia="宋体" w:cs="宋体"/>
                <w:sz w:val="20"/>
                <w:szCs w:val="20"/>
              </w:rPr>
              <w:t xml:space="preserve"> </w:t>
            </w:r>
            <w:r>
              <w:rPr>
                <w:rFonts w:ascii="宋体" w:hAnsi="宋体" w:eastAsia="宋体" w:cs="宋体"/>
                <w:spacing w:val="-2"/>
                <w:sz w:val="20"/>
                <w:szCs w:val="20"/>
              </w:rPr>
              <w:t>析和纠正措施系统</w:t>
            </w:r>
          </w:p>
        </w:tc>
        <w:tc>
          <w:tcPr>
            <w:tcW w:w="839" w:type="dxa"/>
            <w:vAlign w:val="top"/>
          </w:tcPr>
          <w:p w14:paraId="456F31CF">
            <w:pPr>
              <w:pStyle w:val="6"/>
              <w:spacing w:line="295" w:lineRule="auto"/>
            </w:pPr>
          </w:p>
          <w:p w14:paraId="4B15A65D">
            <w:pPr>
              <w:spacing w:before="49"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42B7BD0D">
            <w:pPr>
              <w:pStyle w:val="6"/>
              <w:spacing w:line="266" w:lineRule="auto"/>
            </w:pPr>
          </w:p>
          <w:p w14:paraId="37C6CA1B">
            <w:pPr>
              <w:spacing w:before="65" w:line="237" w:lineRule="auto"/>
              <w:ind w:left="415"/>
              <w:rPr>
                <w:rFonts w:ascii="宋体" w:hAnsi="宋体" w:eastAsia="宋体" w:cs="宋体"/>
                <w:sz w:val="20"/>
                <w:szCs w:val="20"/>
              </w:rPr>
            </w:pPr>
            <w:r>
              <w:rPr>
                <w:rFonts w:ascii="宋体" w:hAnsi="宋体" w:eastAsia="宋体" w:cs="宋体"/>
                <w:sz w:val="20"/>
                <w:szCs w:val="20"/>
              </w:rPr>
              <w:t>△</w:t>
            </w:r>
          </w:p>
        </w:tc>
        <w:tc>
          <w:tcPr>
            <w:tcW w:w="1258" w:type="dxa"/>
            <w:vAlign w:val="top"/>
          </w:tcPr>
          <w:p w14:paraId="4F12A7C2">
            <w:pPr>
              <w:pStyle w:val="6"/>
              <w:spacing w:line="266" w:lineRule="auto"/>
            </w:pPr>
          </w:p>
          <w:p w14:paraId="31F66B4C">
            <w:pPr>
              <w:spacing w:before="65" w:line="238"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309688B0">
            <w:pPr>
              <w:pStyle w:val="6"/>
              <w:spacing w:line="266" w:lineRule="auto"/>
            </w:pPr>
          </w:p>
          <w:p w14:paraId="13A8D681">
            <w:pPr>
              <w:spacing w:before="65" w:line="238" w:lineRule="auto"/>
              <w:ind w:left="418"/>
              <w:rPr>
                <w:rFonts w:ascii="宋体" w:hAnsi="宋体" w:eastAsia="宋体" w:cs="宋体"/>
                <w:sz w:val="20"/>
                <w:szCs w:val="20"/>
              </w:rPr>
            </w:pPr>
            <w:r>
              <w:rPr>
                <w:rFonts w:ascii="宋体" w:hAnsi="宋体" w:eastAsia="宋体" w:cs="宋体"/>
                <w:sz w:val="20"/>
                <w:szCs w:val="20"/>
              </w:rPr>
              <w:t>√</w:t>
            </w:r>
          </w:p>
        </w:tc>
        <w:tc>
          <w:tcPr>
            <w:tcW w:w="784" w:type="dxa"/>
            <w:vAlign w:val="top"/>
          </w:tcPr>
          <w:p w14:paraId="79D17647">
            <w:pPr>
              <w:pStyle w:val="6"/>
              <w:spacing w:line="266" w:lineRule="auto"/>
            </w:pPr>
          </w:p>
          <w:p w14:paraId="3A2FA12C">
            <w:pPr>
              <w:spacing w:before="65" w:line="237" w:lineRule="auto"/>
              <w:ind w:left="289"/>
              <w:rPr>
                <w:rFonts w:ascii="宋体" w:hAnsi="宋体" w:eastAsia="宋体" w:cs="宋体"/>
                <w:sz w:val="20"/>
                <w:szCs w:val="20"/>
              </w:rPr>
            </w:pPr>
            <w:r>
              <w:rPr>
                <w:rFonts w:ascii="宋体" w:hAnsi="宋体" w:eastAsia="宋体" w:cs="宋体"/>
                <w:sz w:val="20"/>
                <w:szCs w:val="20"/>
              </w:rPr>
              <w:t>△</w:t>
            </w:r>
          </w:p>
        </w:tc>
      </w:tr>
      <w:tr w14:paraId="082AF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034" w:type="dxa"/>
            <w:vAlign w:val="top"/>
          </w:tcPr>
          <w:p w14:paraId="5A80FF7E">
            <w:pPr>
              <w:spacing w:before="133" w:line="239" w:lineRule="auto"/>
              <w:ind w:left="354"/>
              <w:rPr>
                <w:rFonts w:ascii="宋体" w:hAnsi="宋体" w:eastAsia="宋体" w:cs="宋体"/>
                <w:sz w:val="20"/>
                <w:szCs w:val="20"/>
              </w:rPr>
            </w:pPr>
            <w:r>
              <w:rPr>
                <w:rFonts w:ascii="宋体" w:hAnsi="宋体" w:eastAsia="宋体" w:cs="宋体"/>
                <w:spacing w:val="-3"/>
                <w:sz w:val="20"/>
                <w:szCs w:val="20"/>
              </w:rPr>
              <w:t>6.6</w:t>
            </w:r>
          </w:p>
        </w:tc>
        <w:tc>
          <w:tcPr>
            <w:tcW w:w="839" w:type="dxa"/>
            <w:vAlign w:val="top"/>
          </w:tcPr>
          <w:p w14:paraId="1E6A3085">
            <w:pPr>
              <w:spacing w:before="133"/>
              <w:ind w:left="260"/>
              <w:rPr>
                <w:rFonts w:ascii="宋体" w:hAnsi="宋体" w:eastAsia="宋体" w:cs="宋体"/>
                <w:sz w:val="20"/>
                <w:szCs w:val="20"/>
              </w:rPr>
            </w:pPr>
            <w:r>
              <w:rPr>
                <w:rFonts w:ascii="宋体" w:hAnsi="宋体" w:eastAsia="宋体" w:cs="宋体"/>
                <w:spacing w:val="-3"/>
                <w:sz w:val="20"/>
                <w:szCs w:val="20"/>
              </w:rPr>
              <w:t>206</w:t>
            </w:r>
          </w:p>
        </w:tc>
        <w:tc>
          <w:tcPr>
            <w:tcW w:w="2507" w:type="dxa"/>
            <w:vAlign w:val="top"/>
          </w:tcPr>
          <w:p w14:paraId="20C595E3">
            <w:pPr>
              <w:spacing w:before="114" w:line="219" w:lineRule="auto"/>
              <w:ind w:left="101"/>
              <w:rPr>
                <w:rFonts w:ascii="宋体" w:hAnsi="宋体" w:eastAsia="宋体" w:cs="宋体"/>
                <w:sz w:val="20"/>
                <w:szCs w:val="20"/>
              </w:rPr>
            </w:pPr>
            <w:r>
              <w:rPr>
                <w:rFonts w:ascii="宋体" w:hAnsi="宋体" w:eastAsia="宋体" w:cs="宋体"/>
                <w:spacing w:val="-2"/>
                <w:sz w:val="20"/>
                <w:szCs w:val="20"/>
              </w:rPr>
              <w:t>维修性增长管理</w:t>
            </w:r>
          </w:p>
        </w:tc>
        <w:tc>
          <w:tcPr>
            <w:tcW w:w="839" w:type="dxa"/>
            <w:vAlign w:val="top"/>
          </w:tcPr>
          <w:p w14:paraId="5EF40C05">
            <w:pPr>
              <w:spacing w:before="147"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0BAF8603">
            <w:pPr>
              <w:spacing w:before="134" w:line="238" w:lineRule="auto"/>
              <w:ind w:left="415"/>
              <w:rPr>
                <w:rFonts w:ascii="宋体" w:hAnsi="宋体" w:eastAsia="宋体" w:cs="宋体"/>
                <w:sz w:val="20"/>
                <w:szCs w:val="20"/>
              </w:rPr>
            </w:pPr>
            <w:r>
              <w:rPr>
                <w:rFonts w:ascii="宋体" w:hAnsi="宋体" w:eastAsia="宋体" w:cs="宋体"/>
                <w:sz w:val="20"/>
                <w:szCs w:val="20"/>
              </w:rPr>
              <w:t>√</w:t>
            </w:r>
          </w:p>
        </w:tc>
        <w:tc>
          <w:tcPr>
            <w:tcW w:w="1258" w:type="dxa"/>
            <w:vAlign w:val="top"/>
          </w:tcPr>
          <w:p w14:paraId="1B9FC4FB">
            <w:pPr>
              <w:spacing w:before="134" w:line="238"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2AE7392F">
            <w:pPr>
              <w:spacing w:before="165" w:line="183" w:lineRule="auto"/>
              <w:ind w:left="468"/>
              <w:rPr>
                <w:rFonts w:ascii="宋体" w:hAnsi="宋体" w:eastAsia="宋体" w:cs="宋体"/>
                <w:sz w:val="20"/>
                <w:szCs w:val="20"/>
              </w:rPr>
            </w:pPr>
            <w:r>
              <w:rPr>
                <w:rFonts w:ascii="宋体" w:hAnsi="宋体" w:eastAsia="宋体" w:cs="宋体"/>
                <w:sz w:val="20"/>
                <w:szCs w:val="20"/>
              </w:rPr>
              <w:t>O</w:t>
            </w:r>
          </w:p>
        </w:tc>
        <w:tc>
          <w:tcPr>
            <w:tcW w:w="784" w:type="dxa"/>
            <w:vAlign w:val="top"/>
          </w:tcPr>
          <w:p w14:paraId="115F6B3E">
            <w:pPr>
              <w:spacing w:before="134" w:line="238" w:lineRule="auto"/>
              <w:ind w:left="289"/>
              <w:rPr>
                <w:rFonts w:ascii="宋体" w:hAnsi="宋体" w:eastAsia="宋体" w:cs="宋体"/>
                <w:sz w:val="20"/>
                <w:szCs w:val="20"/>
              </w:rPr>
            </w:pPr>
            <w:r>
              <w:rPr>
                <w:rFonts w:ascii="宋体" w:hAnsi="宋体" w:eastAsia="宋体" w:cs="宋体"/>
                <w:sz w:val="20"/>
                <w:szCs w:val="20"/>
              </w:rPr>
              <w:t>√</w:t>
            </w:r>
          </w:p>
        </w:tc>
      </w:tr>
      <w:tr w14:paraId="42571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34" w:type="dxa"/>
            <w:vAlign w:val="top"/>
          </w:tcPr>
          <w:p w14:paraId="0278A24A">
            <w:pPr>
              <w:spacing w:before="123" w:line="239" w:lineRule="auto"/>
              <w:ind w:left="354"/>
              <w:rPr>
                <w:rFonts w:ascii="宋体" w:hAnsi="宋体" w:eastAsia="宋体" w:cs="宋体"/>
                <w:sz w:val="20"/>
                <w:szCs w:val="20"/>
              </w:rPr>
            </w:pPr>
            <w:r>
              <w:rPr>
                <w:rFonts w:ascii="宋体" w:hAnsi="宋体" w:eastAsia="宋体" w:cs="宋体"/>
                <w:spacing w:val="-3"/>
                <w:sz w:val="20"/>
                <w:szCs w:val="20"/>
              </w:rPr>
              <w:t>7.1</w:t>
            </w:r>
          </w:p>
        </w:tc>
        <w:tc>
          <w:tcPr>
            <w:tcW w:w="839" w:type="dxa"/>
            <w:vAlign w:val="top"/>
          </w:tcPr>
          <w:p w14:paraId="50FEE7F6">
            <w:pPr>
              <w:spacing w:before="123"/>
              <w:ind w:left="260"/>
              <w:rPr>
                <w:rFonts w:ascii="宋体" w:hAnsi="宋体" w:eastAsia="宋体" w:cs="宋体"/>
                <w:sz w:val="20"/>
                <w:szCs w:val="20"/>
              </w:rPr>
            </w:pPr>
            <w:r>
              <w:rPr>
                <w:rFonts w:ascii="宋体" w:hAnsi="宋体" w:eastAsia="宋体" w:cs="宋体"/>
                <w:spacing w:val="-3"/>
                <w:sz w:val="20"/>
                <w:szCs w:val="20"/>
              </w:rPr>
              <w:t>301</w:t>
            </w:r>
          </w:p>
        </w:tc>
        <w:tc>
          <w:tcPr>
            <w:tcW w:w="2507" w:type="dxa"/>
            <w:vAlign w:val="top"/>
          </w:tcPr>
          <w:p w14:paraId="207D06A4">
            <w:pPr>
              <w:spacing w:before="104" w:line="219" w:lineRule="auto"/>
              <w:ind w:left="101"/>
              <w:rPr>
                <w:rFonts w:ascii="宋体" w:hAnsi="宋体" w:eastAsia="宋体" w:cs="宋体"/>
                <w:sz w:val="20"/>
                <w:szCs w:val="20"/>
              </w:rPr>
            </w:pPr>
            <w:r>
              <w:rPr>
                <w:rFonts w:ascii="宋体" w:hAnsi="宋体" w:eastAsia="宋体" w:cs="宋体"/>
                <w:spacing w:val="1"/>
                <w:sz w:val="20"/>
                <w:szCs w:val="20"/>
              </w:rPr>
              <w:t>建立维修性模型</w:t>
            </w:r>
          </w:p>
        </w:tc>
        <w:tc>
          <w:tcPr>
            <w:tcW w:w="839" w:type="dxa"/>
            <w:vAlign w:val="top"/>
          </w:tcPr>
          <w:p w14:paraId="554E98D2">
            <w:pPr>
              <w:spacing w:before="123" w:line="237" w:lineRule="auto"/>
              <w:ind w:left="314"/>
              <w:rPr>
                <w:rFonts w:ascii="宋体" w:hAnsi="宋体" w:eastAsia="宋体" w:cs="宋体"/>
                <w:sz w:val="20"/>
                <w:szCs w:val="20"/>
              </w:rPr>
            </w:pPr>
            <w:r>
              <w:rPr>
                <w:rFonts w:ascii="宋体" w:hAnsi="宋体" w:eastAsia="宋体" w:cs="宋体"/>
                <w:sz w:val="20"/>
                <w:szCs w:val="20"/>
              </w:rPr>
              <w:t>△</w:t>
            </w:r>
          </w:p>
        </w:tc>
        <w:tc>
          <w:tcPr>
            <w:tcW w:w="1039" w:type="dxa"/>
            <w:vAlign w:val="top"/>
          </w:tcPr>
          <w:p w14:paraId="6522C409">
            <w:pPr>
              <w:spacing w:before="107" w:line="222" w:lineRule="auto"/>
              <w:ind w:left="265"/>
              <w:rPr>
                <w:rFonts w:ascii="宋体" w:hAnsi="宋体" w:eastAsia="宋体" w:cs="宋体"/>
                <w:sz w:val="20"/>
                <w:szCs w:val="20"/>
              </w:rPr>
            </w:pPr>
            <w:r>
              <w:rPr>
                <w:rFonts w:ascii="宋体" w:hAnsi="宋体" w:eastAsia="宋体" w:cs="宋体"/>
                <w:spacing w:val="-3"/>
                <w:sz w:val="20"/>
                <w:szCs w:val="20"/>
              </w:rPr>
              <w:t>△(4)</w:t>
            </w:r>
          </w:p>
        </w:tc>
        <w:tc>
          <w:tcPr>
            <w:tcW w:w="1258" w:type="dxa"/>
            <w:vAlign w:val="top"/>
          </w:tcPr>
          <w:p w14:paraId="5BBCDE03">
            <w:pPr>
              <w:spacing w:before="124" w:line="238"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2A4CB0E7">
            <w:pPr>
              <w:spacing w:before="155" w:line="183" w:lineRule="auto"/>
              <w:ind w:left="468"/>
              <w:rPr>
                <w:rFonts w:ascii="宋体" w:hAnsi="宋体" w:eastAsia="宋体" w:cs="宋体"/>
                <w:sz w:val="20"/>
                <w:szCs w:val="20"/>
              </w:rPr>
            </w:pPr>
            <w:r>
              <w:rPr>
                <w:rFonts w:ascii="宋体" w:hAnsi="宋体" w:eastAsia="宋体" w:cs="宋体"/>
                <w:sz w:val="20"/>
                <w:szCs w:val="20"/>
              </w:rPr>
              <w:t>O</w:t>
            </w:r>
          </w:p>
        </w:tc>
        <w:tc>
          <w:tcPr>
            <w:tcW w:w="784" w:type="dxa"/>
            <w:vAlign w:val="top"/>
          </w:tcPr>
          <w:p w14:paraId="5FDD08E3">
            <w:pPr>
              <w:spacing w:before="124" w:line="266" w:lineRule="exact"/>
              <w:ind w:left="289"/>
              <w:rPr>
                <w:rFonts w:ascii="宋体" w:hAnsi="宋体" w:eastAsia="宋体" w:cs="宋体"/>
                <w:sz w:val="20"/>
                <w:szCs w:val="20"/>
              </w:rPr>
            </w:pPr>
            <w:r>
              <w:rPr>
                <w:rFonts w:ascii="宋体" w:hAnsi="宋体" w:eastAsia="宋体" w:cs="宋体"/>
                <w:position w:val="1"/>
                <w:sz w:val="20"/>
                <w:szCs w:val="20"/>
              </w:rPr>
              <w:t>×</w:t>
            </w:r>
          </w:p>
        </w:tc>
      </w:tr>
      <w:tr w14:paraId="1121D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034" w:type="dxa"/>
            <w:vAlign w:val="top"/>
          </w:tcPr>
          <w:p w14:paraId="781EC892">
            <w:pPr>
              <w:spacing w:before="133" w:line="239" w:lineRule="auto"/>
              <w:ind w:left="354"/>
              <w:rPr>
                <w:rFonts w:ascii="宋体" w:hAnsi="宋体" w:eastAsia="宋体" w:cs="宋体"/>
                <w:sz w:val="20"/>
                <w:szCs w:val="20"/>
              </w:rPr>
            </w:pPr>
            <w:r>
              <w:rPr>
                <w:rFonts w:ascii="宋体" w:hAnsi="宋体" w:eastAsia="宋体" w:cs="宋体"/>
                <w:spacing w:val="-3"/>
                <w:sz w:val="20"/>
                <w:szCs w:val="20"/>
              </w:rPr>
              <w:t>7.2</w:t>
            </w:r>
          </w:p>
        </w:tc>
        <w:tc>
          <w:tcPr>
            <w:tcW w:w="839" w:type="dxa"/>
            <w:vAlign w:val="top"/>
          </w:tcPr>
          <w:p w14:paraId="14A434E6">
            <w:pPr>
              <w:spacing w:before="133"/>
              <w:ind w:left="260"/>
              <w:rPr>
                <w:rFonts w:ascii="宋体" w:hAnsi="宋体" w:eastAsia="宋体" w:cs="宋体"/>
                <w:sz w:val="20"/>
                <w:szCs w:val="20"/>
              </w:rPr>
            </w:pPr>
            <w:r>
              <w:rPr>
                <w:rFonts w:ascii="宋体" w:hAnsi="宋体" w:eastAsia="宋体" w:cs="宋体"/>
                <w:spacing w:val="-3"/>
                <w:sz w:val="20"/>
                <w:szCs w:val="20"/>
              </w:rPr>
              <w:t>302</w:t>
            </w:r>
          </w:p>
        </w:tc>
        <w:tc>
          <w:tcPr>
            <w:tcW w:w="2507" w:type="dxa"/>
            <w:vAlign w:val="top"/>
          </w:tcPr>
          <w:p w14:paraId="71F1BE1F">
            <w:pPr>
              <w:spacing w:before="114" w:line="219" w:lineRule="auto"/>
              <w:ind w:left="101"/>
              <w:rPr>
                <w:rFonts w:ascii="宋体" w:hAnsi="宋体" w:eastAsia="宋体" w:cs="宋体"/>
                <w:sz w:val="20"/>
                <w:szCs w:val="20"/>
              </w:rPr>
            </w:pPr>
            <w:r>
              <w:rPr>
                <w:rFonts w:ascii="宋体" w:hAnsi="宋体" w:eastAsia="宋体" w:cs="宋体"/>
                <w:spacing w:val="-2"/>
                <w:sz w:val="20"/>
                <w:szCs w:val="20"/>
              </w:rPr>
              <w:t>维修性分配</w:t>
            </w:r>
          </w:p>
        </w:tc>
        <w:tc>
          <w:tcPr>
            <w:tcW w:w="839" w:type="dxa"/>
            <w:vAlign w:val="top"/>
          </w:tcPr>
          <w:p w14:paraId="453E195F">
            <w:pPr>
              <w:spacing w:before="146" w:line="237" w:lineRule="auto"/>
              <w:ind w:left="334"/>
              <w:rPr>
                <w:rFonts w:ascii="宋体" w:hAnsi="宋体" w:eastAsia="宋体" w:cs="宋体"/>
                <w:sz w:val="15"/>
                <w:szCs w:val="15"/>
              </w:rPr>
            </w:pPr>
            <w:r>
              <w:rPr>
                <w:rFonts w:ascii="宋体" w:hAnsi="宋体" w:eastAsia="宋体" w:cs="宋体"/>
                <w:sz w:val="15"/>
                <w:szCs w:val="15"/>
              </w:rPr>
              <w:t>△</w:t>
            </w:r>
          </w:p>
        </w:tc>
        <w:tc>
          <w:tcPr>
            <w:tcW w:w="1039" w:type="dxa"/>
            <w:vAlign w:val="top"/>
          </w:tcPr>
          <w:p w14:paraId="436B5ABD">
            <w:pPr>
              <w:spacing w:before="117" w:line="222" w:lineRule="auto"/>
              <w:ind w:left="265"/>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c>
          <w:tcPr>
            <w:tcW w:w="1258" w:type="dxa"/>
            <w:vAlign w:val="top"/>
          </w:tcPr>
          <w:p w14:paraId="3971D8E4">
            <w:pPr>
              <w:spacing w:before="117" w:line="222" w:lineRule="auto"/>
              <w:ind w:left="376"/>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c>
          <w:tcPr>
            <w:tcW w:w="1049" w:type="dxa"/>
            <w:vAlign w:val="top"/>
          </w:tcPr>
          <w:p w14:paraId="11C18DF3">
            <w:pPr>
              <w:spacing w:before="165" w:line="183" w:lineRule="auto"/>
              <w:ind w:left="468"/>
              <w:rPr>
                <w:rFonts w:ascii="宋体" w:hAnsi="宋体" w:eastAsia="宋体" w:cs="宋体"/>
                <w:sz w:val="20"/>
                <w:szCs w:val="20"/>
              </w:rPr>
            </w:pPr>
            <w:r>
              <w:rPr>
                <w:rFonts w:ascii="宋体" w:hAnsi="宋体" w:eastAsia="宋体" w:cs="宋体"/>
                <w:sz w:val="20"/>
                <w:szCs w:val="20"/>
              </w:rPr>
              <w:t>O</w:t>
            </w:r>
          </w:p>
        </w:tc>
        <w:tc>
          <w:tcPr>
            <w:tcW w:w="784" w:type="dxa"/>
            <w:vAlign w:val="top"/>
          </w:tcPr>
          <w:p w14:paraId="4962F60A">
            <w:pPr>
              <w:spacing w:before="117" w:line="222" w:lineRule="auto"/>
              <w:ind w:left="139"/>
              <w:rPr>
                <w:rFonts w:ascii="宋体" w:hAnsi="宋体" w:eastAsia="宋体" w:cs="宋体"/>
                <w:sz w:val="20"/>
                <w:szCs w:val="20"/>
              </w:rPr>
            </w:pPr>
            <w:r>
              <w:rPr>
                <w:rFonts w:ascii="宋体" w:hAnsi="宋体" w:eastAsia="宋体" w:cs="宋体"/>
                <w:spacing w:val="-3"/>
                <w:sz w:val="20"/>
                <w:szCs w:val="20"/>
              </w:rPr>
              <w:t>△(4)</w:t>
            </w:r>
          </w:p>
        </w:tc>
      </w:tr>
      <w:tr w14:paraId="339E9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34" w:type="dxa"/>
            <w:vAlign w:val="top"/>
          </w:tcPr>
          <w:p w14:paraId="2DB59203">
            <w:pPr>
              <w:spacing w:before="125" w:line="235" w:lineRule="auto"/>
              <w:ind w:left="354"/>
              <w:rPr>
                <w:rFonts w:ascii="宋体" w:hAnsi="宋体" w:eastAsia="宋体" w:cs="宋体"/>
                <w:sz w:val="20"/>
                <w:szCs w:val="20"/>
              </w:rPr>
            </w:pPr>
            <w:r>
              <w:rPr>
                <w:rFonts w:ascii="宋体" w:hAnsi="宋体" w:eastAsia="宋体" w:cs="宋体"/>
                <w:spacing w:val="-3"/>
                <w:sz w:val="20"/>
                <w:szCs w:val="20"/>
              </w:rPr>
              <w:t>7.3</w:t>
            </w:r>
          </w:p>
        </w:tc>
        <w:tc>
          <w:tcPr>
            <w:tcW w:w="839" w:type="dxa"/>
            <w:vAlign w:val="top"/>
          </w:tcPr>
          <w:p w14:paraId="674EF6E0">
            <w:pPr>
              <w:spacing w:before="125" w:line="235" w:lineRule="auto"/>
              <w:ind w:left="260"/>
              <w:rPr>
                <w:rFonts w:ascii="宋体" w:hAnsi="宋体" w:eastAsia="宋体" w:cs="宋体"/>
                <w:sz w:val="20"/>
                <w:szCs w:val="20"/>
              </w:rPr>
            </w:pPr>
            <w:r>
              <w:rPr>
                <w:rFonts w:ascii="宋体" w:hAnsi="宋体" w:eastAsia="宋体" w:cs="宋体"/>
                <w:spacing w:val="-3"/>
                <w:sz w:val="20"/>
                <w:szCs w:val="20"/>
              </w:rPr>
              <w:t>303</w:t>
            </w:r>
          </w:p>
        </w:tc>
        <w:tc>
          <w:tcPr>
            <w:tcW w:w="2507" w:type="dxa"/>
            <w:vAlign w:val="top"/>
          </w:tcPr>
          <w:p w14:paraId="6A6E517F">
            <w:pPr>
              <w:spacing w:before="105" w:line="219" w:lineRule="auto"/>
              <w:ind w:left="101"/>
              <w:rPr>
                <w:rFonts w:ascii="宋体" w:hAnsi="宋体" w:eastAsia="宋体" w:cs="宋体"/>
                <w:sz w:val="20"/>
                <w:szCs w:val="20"/>
              </w:rPr>
            </w:pPr>
            <w:r>
              <w:rPr>
                <w:rFonts w:ascii="宋体" w:hAnsi="宋体" w:eastAsia="宋体" w:cs="宋体"/>
                <w:spacing w:val="-2"/>
                <w:sz w:val="20"/>
                <w:szCs w:val="20"/>
              </w:rPr>
              <w:t>维修性预计</w:t>
            </w:r>
          </w:p>
        </w:tc>
        <w:tc>
          <w:tcPr>
            <w:tcW w:w="839" w:type="dxa"/>
            <w:vAlign w:val="top"/>
          </w:tcPr>
          <w:p w14:paraId="42CB5BDD">
            <w:pPr>
              <w:spacing w:before="138"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1209E781">
            <w:pPr>
              <w:spacing w:before="108" w:line="222" w:lineRule="auto"/>
              <w:ind w:left="265"/>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c>
          <w:tcPr>
            <w:tcW w:w="1258" w:type="dxa"/>
            <w:vAlign w:val="top"/>
          </w:tcPr>
          <w:p w14:paraId="4B9F5B6C">
            <w:pPr>
              <w:spacing w:before="108" w:line="222" w:lineRule="auto"/>
              <w:ind w:left="376"/>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c>
          <w:tcPr>
            <w:tcW w:w="1049" w:type="dxa"/>
            <w:vAlign w:val="top"/>
          </w:tcPr>
          <w:p w14:paraId="77DE50D6">
            <w:pPr>
              <w:spacing w:before="156" w:line="183" w:lineRule="auto"/>
              <w:ind w:left="468"/>
              <w:rPr>
                <w:rFonts w:ascii="宋体" w:hAnsi="宋体" w:eastAsia="宋体" w:cs="宋体"/>
                <w:sz w:val="20"/>
                <w:szCs w:val="20"/>
              </w:rPr>
            </w:pPr>
            <w:r>
              <w:rPr>
                <w:rFonts w:ascii="宋体" w:hAnsi="宋体" w:eastAsia="宋体" w:cs="宋体"/>
                <w:sz w:val="20"/>
                <w:szCs w:val="20"/>
              </w:rPr>
              <w:t>O</w:t>
            </w:r>
          </w:p>
        </w:tc>
        <w:tc>
          <w:tcPr>
            <w:tcW w:w="784" w:type="dxa"/>
            <w:vAlign w:val="top"/>
          </w:tcPr>
          <w:p w14:paraId="170DADC2">
            <w:pPr>
              <w:spacing w:before="108" w:line="222" w:lineRule="auto"/>
              <w:ind w:left="139"/>
              <w:rPr>
                <w:rFonts w:ascii="宋体" w:hAnsi="宋体" w:eastAsia="宋体" w:cs="宋体"/>
                <w:sz w:val="20"/>
                <w:szCs w:val="20"/>
              </w:rPr>
            </w:pPr>
            <w:r>
              <w:rPr>
                <w:rFonts w:ascii="宋体" w:hAnsi="宋体" w:eastAsia="宋体" w:cs="宋体"/>
                <w:spacing w:val="-3"/>
                <w:sz w:val="20"/>
                <w:szCs w:val="20"/>
              </w:rPr>
              <w:t>△(2)</w:t>
            </w:r>
          </w:p>
        </w:tc>
      </w:tr>
      <w:tr w14:paraId="7F447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034" w:type="dxa"/>
            <w:vAlign w:val="top"/>
          </w:tcPr>
          <w:p w14:paraId="2AD8AFAB">
            <w:pPr>
              <w:pStyle w:val="6"/>
              <w:spacing w:line="278" w:lineRule="auto"/>
            </w:pPr>
          </w:p>
          <w:p w14:paraId="6E1C1327">
            <w:pPr>
              <w:spacing w:before="65" w:line="239" w:lineRule="auto"/>
              <w:ind w:left="354"/>
              <w:rPr>
                <w:rFonts w:ascii="宋体" w:hAnsi="宋体" w:eastAsia="宋体" w:cs="宋体"/>
                <w:sz w:val="20"/>
                <w:szCs w:val="20"/>
              </w:rPr>
            </w:pPr>
            <w:r>
              <w:rPr>
                <w:rFonts w:ascii="宋体" w:hAnsi="宋体" w:eastAsia="宋体" w:cs="宋体"/>
                <w:spacing w:val="-3"/>
                <w:sz w:val="20"/>
                <w:szCs w:val="20"/>
              </w:rPr>
              <w:t>7.4</w:t>
            </w:r>
          </w:p>
        </w:tc>
        <w:tc>
          <w:tcPr>
            <w:tcW w:w="839" w:type="dxa"/>
            <w:vAlign w:val="top"/>
          </w:tcPr>
          <w:p w14:paraId="0F274BE8">
            <w:pPr>
              <w:pStyle w:val="6"/>
              <w:spacing w:line="277" w:lineRule="auto"/>
            </w:pPr>
          </w:p>
          <w:p w14:paraId="3A45680C">
            <w:pPr>
              <w:spacing w:before="65"/>
              <w:ind w:left="260"/>
              <w:rPr>
                <w:rFonts w:ascii="宋体" w:hAnsi="宋体" w:eastAsia="宋体" w:cs="宋体"/>
                <w:sz w:val="20"/>
                <w:szCs w:val="20"/>
              </w:rPr>
            </w:pPr>
            <w:r>
              <w:rPr>
                <w:rFonts w:ascii="宋体" w:hAnsi="宋体" w:eastAsia="宋体" w:cs="宋体"/>
                <w:spacing w:val="-3"/>
                <w:sz w:val="20"/>
                <w:szCs w:val="20"/>
              </w:rPr>
              <w:t>304</w:t>
            </w:r>
          </w:p>
        </w:tc>
        <w:tc>
          <w:tcPr>
            <w:tcW w:w="2507" w:type="dxa"/>
            <w:vAlign w:val="top"/>
          </w:tcPr>
          <w:p w14:paraId="7908326F">
            <w:pPr>
              <w:spacing w:before="156" w:line="306" w:lineRule="auto"/>
              <w:ind w:left="101" w:right="274" w:firstLine="10"/>
              <w:rPr>
                <w:rFonts w:ascii="宋体" w:hAnsi="宋体" w:eastAsia="宋体" w:cs="宋体"/>
                <w:sz w:val="20"/>
                <w:szCs w:val="20"/>
              </w:rPr>
            </w:pPr>
            <w:r>
              <w:rPr>
                <w:rFonts w:ascii="宋体" w:hAnsi="宋体" w:eastAsia="宋体" w:cs="宋体"/>
                <w:spacing w:val="-9"/>
                <w:sz w:val="20"/>
                <w:szCs w:val="20"/>
              </w:rPr>
              <w:t>故障模式及影响分析—一</w:t>
            </w:r>
            <w:r>
              <w:rPr>
                <w:rFonts w:ascii="宋体" w:hAnsi="宋体" w:eastAsia="宋体" w:cs="宋体"/>
                <w:spacing w:val="8"/>
                <w:sz w:val="20"/>
                <w:szCs w:val="20"/>
              </w:rPr>
              <w:t xml:space="preserve"> </w:t>
            </w:r>
            <w:r>
              <w:rPr>
                <w:rFonts w:ascii="宋体" w:hAnsi="宋体" w:eastAsia="宋体" w:cs="宋体"/>
                <w:spacing w:val="2"/>
                <w:sz w:val="20"/>
                <w:szCs w:val="20"/>
              </w:rPr>
              <w:t>维修性信息</w:t>
            </w:r>
          </w:p>
        </w:tc>
        <w:tc>
          <w:tcPr>
            <w:tcW w:w="839" w:type="dxa"/>
            <w:vAlign w:val="top"/>
          </w:tcPr>
          <w:p w14:paraId="45E78F8B">
            <w:pPr>
              <w:pStyle w:val="6"/>
              <w:spacing w:line="307" w:lineRule="auto"/>
            </w:pPr>
          </w:p>
          <w:p w14:paraId="22446423">
            <w:pPr>
              <w:spacing w:before="49"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4CF87D3B">
            <w:pPr>
              <w:pStyle w:val="6"/>
              <w:spacing w:line="261" w:lineRule="auto"/>
            </w:pPr>
          </w:p>
          <w:p w14:paraId="4B086FFC">
            <w:pPr>
              <w:spacing w:before="65" w:line="222" w:lineRule="auto"/>
              <w:jc w:val="right"/>
              <w:rPr>
                <w:rFonts w:ascii="宋体" w:hAnsi="宋体" w:eastAsia="宋体" w:cs="宋体"/>
                <w:sz w:val="20"/>
                <w:szCs w:val="20"/>
              </w:rPr>
            </w:pPr>
            <w:r>
              <w:rPr>
                <w:rFonts w:ascii="宋体" w:hAnsi="宋体" w:eastAsia="宋体" w:cs="宋体"/>
                <w:spacing w:val="-9"/>
                <w:sz w:val="20"/>
                <w:szCs w:val="20"/>
              </w:rPr>
              <w:t>△(2)(3)(4)</w:t>
            </w:r>
          </w:p>
        </w:tc>
        <w:tc>
          <w:tcPr>
            <w:tcW w:w="1258" w:type="dxa"/>
            <w:vAlign w:val="top"/>
          </w:tcPr>
          <w:p w14:paraId="7668BCCF">
            <w:pPr>
              <w:pStyle w:val="6"/>
              <w:spacing w:line="261" w:lineRule="auto"/>
            </w:pPr>
          </w:p>
          <w:p w14:paraId="108D1A0C">
            <w:pPr>
              <w:spacing w:before="65" w:line="222" w:lineRule="auto"/>
              <w:ind w:left="226"/>
              <w:rPr>
                <w:rFonts w:ascii="宋体" w:hAnsi="宋体" w:eastAsia="宋体" w:cs="宋体"/>
                <w:sz w:val="20"/>
                <w:szCs w:val="20"/>
              </w:rPr>
            </w:pPr>
            <w:r>
              <w:rPr>
                <w:rFonts w:ascii="宋体" w:hAnsi="宋体" w:eastAsia="宋体" w:cs="宋体"/>
                <w:spacing w:val="-14"/>
                <w:sz w:val="20"/>
                <w:szCs w:val="20"/>
              </w:rPr>
              <w:t>√</w:t>
            </w:r>
            <w:r>
              <w:rPr>
                <w:rFonts w:ascii="宋体" w:hAnsi="宋体" w:eastAsia="宋体" w:cs="宋体"/>
                <w:spacing w:val="-53"/>
                <w:sz w:val="20"/>
                <w:szCs w:val="20"/>
              </w:rPr>
              <w:t xml:space="preserve"> </w:t>
            </w:r>
            <w:r>
              <w:rPr>
                <w:rFonts w:ascii="宋体" w:hAnsi="宋体" w:eastAsia="宋体" w:cs="宋体"/>
                <w:spacing w:val="-14"/>
                <w:sz w:val="20"/>
                <w:szCs w:val="20"/>
              </w:rPr>
              <w:t>(1)(2)</w:t>
            </w:r>
          </w:p>
        </w:tc>
        <w:tc>
          <w:tcPr>
            <w:tcW w:w="1049" w:type="dxa"/>
            <w:vAlign w:val="top"/>
          </w:tcPr>
          <w:p w14:paraId="650FF712">
            <w:pPr>
              <w:pStyle w:val="6"/>
              <w:spacing w:line="261" w:lineRule="auto"/>
            </w:pPr>
          </w:p>
          <w:p w14:paraId="7F315D6E">
            <w:pPr>
              <w:spacing w:before="65" w:line="222" w:lineRule="auto"/>
              <w:ind w:left="168"/>
              <w:rPr>
                <w:rFonts w:ascii="宋体" w:hAnsi="宋体" w:eastAsia="宋体" w:cs="宋体"/>
                <w:sz w:val="20"/>
                <w:szCs w:val="20"/>
              </w:rPr>
            </w:pPr>
            <w:r>
              <w:rPr>
                <w:rFonts w:ascii="宋体" w:hAnsi="宋体" w:eastAsia="宋体" w:cs="宋体"/>
                <w:spacing w:val="-1"/>
                <w:sz w:val="20"/>
                <w:szCs w:val="20"/>
              </w:rPr>
              <w:t>O(1)(2)</w:t>
            </w:r>
          </w:p>
        </w:tc>
        <w:tc>
          <w:tcPr>
            <w:tcW w:w="784" w:type="dxa"/>
            <w:vAlign w:val="top"/>
          </w:tcPr>
          <w:p w14:paraId="0FACB52A">
            <w:pPr>
              <w:pStyle w:val="6"/>
              <w:spacing w:line="261" w:lineRule="auto"/>
            </w:pPr>
          </w:p>
          <w:p w14:paraId="3A701D6C">
            <w:pPr>
              <w:spacing w:before="65" w:line="222" w:lineRule="auto"/>
              <w:ind w:left="139"/>
              <w:rPr>
                <w:rFonts w:ascii="宋体" w:hAnsi="宋体" w:eastAsia="宋体" w:cs="宋体"/>
                <w:sz w:val="20"/>
                <w:szCs w:val="20"/>
              </w:rPr>
            </w:pPr>
            <w:r>
              <w:rPr>
                <w:rFonts w:ascii="宋体" w:hAnsi="宋体" w:eastAsia="宋体" w:cs="宋体"/>
                <w:spacing w:val="-3"/>
                <w:sz w:val="20"/>
                <w:szCs w:val="20"/>
              </w:rPr>
              <w:t>△(2)</w:t>
            </w:r>
          </w:p>
        </w:tc>
      </w:tr>
      <w:tr w14:paraId="10B2E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034" w:type="dxa"/>
            <w:vAlign w:val="top"/>
          </w:tcPr>
          <w:p w14:paraId="3B38EE33">
            <w:pPr>
              <w:spacing w:before="135" w:line="239" w:lineRule="auto"/>
              <w:ind w:left="354"/>
              <w:rPr>
                <w:rFonts w:ascii="宋体" w:hAnsi="宋体" w:eastAsia="宋体" w:cs="宋体"/>
                <w:sz w:val="20"/>
                <w:szCs w:val="20"/>
              </w:rPr>
            </w:pPr>
            <w:r>
              <w:rPr>
                <w:rFonts w:ascii="宋体" w:hAnsi="宋体" w:eastAsia="宋体" w:cs="宋体"/>
                <w:spacing w:val="-3"/>
                <w:sz w:val="20"/>
                <w:szCs w:val="20"/>
              </w:rPr>
              <w:t>7.5</w:t>
            </w:r>
          </w:p>
        </w:tc>
        <w:tc>
          <w:tcPr>
            <w:tcW w:w="839" w:type="dxa"/>
            <w:vAlign w:val="top"/>
          </w:tcPr>
          <w:p w14:paraId="4F78A07E">
            <w:pPr>
              <w:spacing w:before="135"/>
              <w:ind w:left="260"/>
              <w:rPr>
                <w:rFonts w:ascii="宋体" w:hAnsi="宋体" w:eastAsia="宋体" w:cs="宋体"/>
                <w:sz w:val="20"/>
                <w:szCs w:val="20"/>
              </w:rPr>
            </w:pPr>
            <w:r>
              <w:rPr>
                <w:rFonts w:ascii="宋体" w:hAnsi="宋体" w:eastAsia="宋体" w:cs="宋体"/>
                <w:spacing w:val="-3"/>
                <w:sz w:val="20"/>
                <w:szCs w:val="20"/>
              </w:rPr>
              <w:t>305</w:t>
            </w:r>
          </w:p>
        </w:tc>
        <w:tc>
          <w:tcPr>
            <w:tcW w:w="2507" w:type="dxa"/>
            <w:vAlign w:val="top"/>
          </w:tcPr>
          <w:p w14:paraId="401940FB">
            <w:pPr>
              <w:spacing w:before="116" w:line="219" w:lineRule="auto"/>
              <w:ind w:left="101"/>
              <w:rPr>
                <w:rFonts w:ascii="宋体" w:hAnsi="宋体" w:eastAsia="宋体" w:cs="宋体"/>
                <w:sz w:val="20"/>
                <w:szCs w:val="20"/>
              </w:rPr>
            </w:pPr>
            <w:r>
              <w:rPr>
                <w:rFonts w:ascii="宋体" w:hAnsi="宋体" w:eastAsia="宋体" w:cs="宋体"/>
                <w:spacing w:val="-2"/>
                <w:sz w:val="20"/>
                <w:szCs w:val="20"/>
              </w:rPr>
              <w:t>维修性分析</w:t>
            </w:r>
          </w:p>
        </w:tc>
        <w:tc>
          <w:tcPr>
            <w:tcW w:w="839" w:type="dxa"/>
            <w:vAlign w:val="top"/>
          </w:tcPr>
          <w:p w14:paraId="3FC43468">
            <w:pPr>
              <w:spacing w:before="119" w:line="222" w:lineRule="auto"/>
              <w:ind w:left="164"/>
              <w:rPr>
                <w:rFonts w:ascii="宋体" w:hAnsi="宋体" w:eastAsia="宋体" w:cs="宋体"/>
                <w:sz w:val="20"/>
                <w:szCs w:val="20"/>
              </w:rPr>
            </w:pPr>
            <w:r>
              <w:rPr>
                <w:rFonts w:ascii="宋体" w:hAnsi="宋体" w:eastAsia="宋体" w:cs="宋体"/>
                <w:spacing w:val="-3"/>
                <w:sz w:val="20"/>
                <w:szCs w:val="20"/>
              </w:rPr>
              <w:t>△(3)</w:t>
            </w:r>
          </w:p>
        </w:tc>
        <w:tc>
          <w:tcPr>
            <w:tcW w:w="1039" w:type="dxa"/>
            <w:vAlign w:val="top"/>
          </w:tcPr>
          <w:p w14:paraId="6B0EB706">
            <w:pPr>
              <w:spacing w:before="119" w:line="222" w:lineRule="auto"/>
              <w:ind w:left="265"/>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(3)</w:t>
            </w:r>
          </w:p>
        </w:tc>
        <w:tc>
          <w:tcPr>
            <w:tcW w:w="1258" w:type="dxa"/>
            <w:vAlign w:val="top"/>
          </w:tcPr>
          <w:p w14:paraId="0C1ACE96">
            <w:pPr>
              <w:spacing w:before="119" w:line="222" w:lineRule="auto"/>
              <w:ind w:left="376"/>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(1)</w:t>
            </w:r>
          </w:p>
        </w:tc>
        <w:tc>
          <w:tcPr>
            <w:tcW w:w="1049" w:type="dxa"/>
            <w:vAlign w:val="top"/>
          </w:tcPr>
          <w:p w14:paraId="61DD2E52">
            <w:pPr>
              <w:spacing w:before="119" w:line="222" w:lineRule="auto"/>
              <w:ind w:left="268"/>
              <w:rPr>
                <w:rFonts w:ascii="宋体" w:hAnsi="宋体" w:eastAsia="宋体" w:cs="宋体"/>
                <w:sz w:val="20"/>
                <w:szCs w:val="20"/>
              </w:rPr>
            </w:pPr>
            <w:r>
              <w:rPr>
                <w:rFonts w:ascii="宋体" w:hAnsi="宋体" w:eastAsia="宋体" w:cs="宋体"/>
                <w:spacing w:val="-13"/>
                <w:sz w:val="20"/>
                <w:szCs w:val="20"/>
              </w:rPr>
              <w:t>〇(1)</w:t>
            </w:r>
          </w:p>
        </w:tc>
        <w:tc>
          <w:tcPr>
            <w:tcW w:w="784" w:type="dxa"/>
            <w:vAlign w:val="top"/>
          </w:tcPr>
          <w:p w14:paraId="5B0C7249">
            <w:pPr>
              <w:spacing w:before="135" w:line="237" w:lineRule="auto"/>
              <w:ind w:left="289"/>
              <w:rPr>
                <w:rFonts w:ascii="宋体" w:hAnsi="宋体" w:eastAsia="宋体" w:cs="宋体"/>
                <w:sz w:val="20"/>
                <w:szCs w:val="20"/>
              </w:rPr>
            </w:pPr>
            <w:r>
              <w:rPr>
                <w:rFonts w:ascii="宋体" w:hAnsi="宋体" w:eastAsia="宋体" w:cs="宋体"/>
                <w:sz w:val="20"/>
                <w:szCs w:val="20"/>
              </w:rPr>
              <w:t>△</w:t>
            </w:r>
          </w:p>
        </w:tc>
      </w:tr>
      <w:tr w14:paraId="27F9C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34" w:type="dxa"/>
            <w:vAlign w:val="top"/>
          </w:tcPr>
          <w:p w14:paraId="1425BFDB">
            <w:pPr>
              <w:spacing w:before="126" w:line="234" w:lineRule="auto"/>
              <w:ind w:left="354"/>
              <w:rPr>
                <w:rFonts w:ascii="宋体" w:hAnsi="宋体" w:eastAsia="宋体" w:cs="宋体"/>
                <w:sz w:val="20"/>
                <w:szCs w:val="20"/>
              </w:rPr>
            </w:pPr>
            <w:r>
              <w:rPr>
                <w:rFonts w:ascii="宋体" w:hAnsi="宋体" w:eastAsia="宋体" w:cs="宋体"/>
                <w:spacing w:val="-3"/>
                <w:sz w:val="20"/>
                <w:szCs w:val="20"/>
              </w:rPr>
              <w:t>7.6</w:t>
            </w:r>
          </w:p>
        </w:tc>
        <w:tc>
          <w:tcPr>
            <w:tcW w:w="839" w:type="dxa"/>
            <w:vAlign w:val="top"/>
          </w:tcPr>
          <w:p w14:paraId="34E6E2C6">
            <w:pPr>
              <w:spacing w:before="126" w:line="234" w:lineRule="auto"/>
              <w:ind w:left="260"/>
              <w:rPr>
                <w:rFonts w:ascii="宋体" w:hAnsi="宋体" w:eastAsia="宋体" w:cs="宋体"/>
                <w:sz w:val="20"/>
                <w:szCs w:val="20"/>
              </w:rPr>
            </w:pPr>
            <w:r>
              <w:rPr>
                <w:rFonts w:ascii="宋体" w:hAnsi="宋体" w:eastAsia="宋体" w:cs="宋体"/>
                <w:spacing w:val="-3"/>
                <w:sz w:val="20"/>
                <w:szCs w:val="20"/>
              </w:rPr>
              <w:t>306</w:t>
            </w:r>
          </w:p>
        </w:tc>
        <w:tc>
          <w:tcPr>
            <w:tcW w:w="2507" w:type="dxa"/>
            <w:vAlign w:val="top"/>
          </w:tcPr>
          <w:p w14:paraId="24480C8F">
            <w:pPr>
              <w:spacing w:before="106" w:line="219" w:lineRule="auto"/>
              <w:ind w:left="101"/>
              <w:rPr>
                <w:rFonts w:ascii="宋体" w:hAnsi="宋体" w:eastAsia="宋体" w:cs="宋体"/>
                <w:sz w:val="20"/>
                <w:szCs w:val="20"/>
              </w:rPr>
            </w:pPr>
            <w:r>
              <w:rPr>
                <w:rFonts w:ascii="宋体" w:hAnsi="宋体" w:eastAsia="宋体" w:cs="宋体"/>
                <w:spacing w:val="-2"/>
                <w:sz w:val="20"/>
                <w:szCs w:val="20"/>
              </w:rPr>
              <w:t>抢修性分析</w:t>
            </w:r>
          </w:p>
        </w:tc>
        <w:tc>
          <w:tcPr>
            <w:tcW w:w="839" w:type="dxa"/>
            <w:vAlign w:val="top"/>
          </w:tcPr>
          <w:p w14:paraId="31DC5F9E">
            <w:pPr>
              <w:spacing w:before="139"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13CA73EB">
            <w:pPr>
              <w:spacing w:before="109" w:line="222" w:lineRule="auto"/>
              <w:ind w:left="265"/>
              <w:rPr>
                <w:rFonts w:ascii="宋体" w:hAnsi="宋体" w:eastAsia="宋体" w:cs="宋体"/>
                <w:sz w:val="20"/>
                <w:szCs w:val="20"/>
              </w:rPr>
            </w:pPr>
            <w:r>
              <w:rPr>
                <w:rFonts w:ascii="宋体" w:hAnsi="宋体" w:eastAsia="宋体" w:cs="宋体"/>
                <w:spacing w:val="-3"/>
                <w:sz w:val="20"/>
                <w:szCs w:val="20"/>
              </w:rPr>
              <w:t>△(3)</w:t>
            </w:r>
          </w:p>
        </w:tc>
        <w:tc>
          <w:tcPr>
            <w:tcW w:w="1258" w:type="dxa"/>
            <w:vAlign w:val="top"/>
          </w:tcPr>
          <w:p w14:paraId="02735D98">
            <w:pPr>
              <w:spacing w:before="109" w:line="222" w:lineRule="auto"/>
              <w:ind w:left="376"/>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(1)</w:t>
            </w:r>
          </w:p>
        </w:tc>
        <w:tc>
          <w:tcPr>
            <w:tcW w:w="1049" w:type="dxa"/>
            <w:vAlign w:val="top"/>
          </w:tcPr>
          <w:p w14:paraId="3EB42117">
            <w:pPr>
              <w:spacing w:before="109" w:line="222" w:lineRule="auto"/>
              <w:ind w:left="268"/>
              <w:rPr>
                <w:rFonts w:ascii="宋体" w:hAnsi="宋体" w:eastAsia="宋体" w:cs="宋体"/>
                <w:sz w:val="20"/>
                <w:szCs w:val="20"/>
              </w:rPr>
            </w:pPr>
            <w:r>
              <w:rPr>
                <w:rFonts w:ascii="宋体" w:hAnsi="宋体" w:eastAsia="宋体" w:cs="宋体"/>
                <w:spacing w:val="-13"/>
                <w:sz w:val="20"/>
                <w:szCs w:val="20"/>
              </w:rPr>
              <w:t>〇(1)</w:t>
            </w:r>
          </w:p>
        </w:tc>
        <w:tc>
          <w:tcPr>
            <w:tcW w:w="784" w:type="dxa"/>
            <w:vAlign w:val="top"/>
          </w:tcPr>
          <w:p w14:paraId="03CBDFD6">
            <w:pPr>
              <w:spacing w:before="125" w:line="235" w:lineRule="auto"/>
              <w:ind w:left="289"/>
              <w:rPr>
                <w:rFonts w:ascii="宋体" w:hAnsi="宋体" w:eastAsia="宋体" w:cs="宋体"/>
                <w:sz w:val="20"/>
                <w:szCs w:val="20"/>
              </w:rPr>
            </w:pPr>
            <w:r>
              <w:rPr>
                <w:rFonts w:ascii="宋体" w:hAnsi="宋体" w:eastAsia="宋体" w:cs="宋体"/>
                <w:sz w:val="20"/>
                <w:szCs w:val="20"/>
              </w:rPr>
              <w:t>△</w:t>
            </w:r>
          </w:p>
        </w:tc>
      </w:tr>
      <w:tr w14:paraId="5CE31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034" w:type="dxa"/>
            <w:vAlign w:val="top"/>
          </w:tcPr>
          <w:p w14:paraId="0F6A541D">
            <w:pPr>
              <w:spacing w:before="136" w:line="239" w:lineRule="auto"/>
              <w:ind w:left="354"/>
              <w:rPr>
                <w:rFonts w:ascii="宋体" w:hAnsi="宋体" w:eastAsia="宋体" w:cs="宋体"/>
                <w:sz w:val="20"/>
                <w:szCs w:val="20"/>
              </w:rPr>
            </w:pPr>
            <w:r>
              <w:rPr>
                <w:rFonts w:ascii="宋体" w:hAnsi="宋体" w:eastAsia="宋体" w:cs="宋体"/>
                <w:spacing w:val="-3"/>
                <w:sz w:val="20"/>
                <w:szCs w:val="20"/>
              </w:rPr>
              <w:t>7.7</w:t>
            </w:r>
          </w:p>
        </w:tc>
        <w:tc>
          <w:tcPr>
            <w:tcW w:w="839" w:type="dxa"/>
            <w:vAlign w:val="top"/>
          </w:tcPr>
          <w:p w14:paraId="26E6D679">
            <w:pPr>
              <w:spacing w:before="135"/>
              <w:ind w:left="260"/>
              <w:rPr>
                <w:rFonts w:ascii="宋体" w:hAnsi="宋体" w:eastAsia="宋体" w:cs="宋体"/>
                <w:sz w:val="20"/>
                <w:szCs w:val="20"/>
              </w:rPr>
            </w:pPr>
            <w:r>
              <w:rPr>
                <w:rFonts w:ascii="宋体" w:hAnsi="宋体" w:eastAsia="宋体" w:cs="宋体"/>
                <w:spacing w:val="-3"/>
                <w:sz w:val="20"/>
                <w:szCs w:val="20"/>
              </w:rPr>
              <w:t>307</w:t>
            </w:r>
          </w:p>
        </w:tc>
        <w:tc>
          <w:tcPr>
            <w:tcW w:w="2507" w:type="dxa"/>
            <w:vAlign w:val="top"/>
          </w:tcPr>
          <w:p w14:paraId="088C7B20">
            <w:pPr>
              <w:spacing w:before="116" w:line="219" w:lineRule="auto"/>
              <w:ind w:left="101"/>
              <w:rPr>
                <w:rFonts w:ascii="宋体" w:hAnsi="宋体" w:eastAsia="宋体" w:cs="宋体"/>
                <w:sz w:val="20"/>
                <w:szCs w:val="20"/>
              </w:rPr>
            </w:pPr>
            <w:r>
              <w:rPr>
                <w:rFonts w:ascii="宋体" w:hAnsi="宋体" w:eastAsia="宋体" w:cs="宋体"/>
                <w:spacing w:val="2"/>
                <w:sz w:val="20"/>
                <w:szCs w:val="20"/>
              </w:rPr>
              <w:t>制定维修性设计准则</w:t>
            </w:r>
          </w:p>
        </w:tc>
        <w:tc>
          <w:tcPr>
            <w:tcW w:w="839" w:type="dxa"/>
            <w:vAlign w:val="top"/>
          </w:tcPr>
          <w:p w14:paraId="33A47E97">
            <w:pPr>
              <w:spacing w:before="149"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424B217B">
            <w:pPr>
              <w:spacing w:before="119" w:line="222" w:lineRule="auto"/>
              <w:ind w:left="265"/>
              <w:rPr>
                <w:rFonts w:ascii="宋体" w:hAnsi="宋体" w:eastAsia="宋体" w:cs="宋体"/>
                <w:sz w:val="20"/>
                <w:szCs w:val="20"/>
              </w:rPr>
            </w:pPr>
            <w:r>
              <w:rPr>
                <w:rFonts w:ascii="宋体" w:hAnsi="宋体" w:eastAsia="宋体" w:cs="宋体"/>
                <w:spacing w:val="-3"/>
                <w:sz w:val="20"/>
                <w:szCs w:val="20"/>
              </w:rPr>
              <w:t>△(3)</w:t>
            </w:r>
          </w:p>
        </w:tc>
        <w:tc>
          <w:tcPr>
            <w:tcW w:w="1258" w:type="dxa"/>
            <w:vAlign w:val="top"/>
          </w:tcPr>
          <w:p w14:paraId="1444B242">
            <w:pPr>
              <w:spacing w:before="136" w:line="238"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2E58D36B">
            <w:pPr>
              <w:spacing w:before="167" w:line="183" w:lineRule="auto"/>
              <w:ind w:left="468"/>
              <w:rPr>
                <w:rFonts w:ascii="宋体" w:hAnsi="宋体" w:eastAsia="宋体" w:cs="宋体"/>
                <w:sz w:val="20"/>
                <w:szCs w:val="20"/>
              </w:rPr>
            </w:pPr>
            <w:r>
              <w:rPr>
                <w:rFonts w:ascii="宋体" w:hAnsi="宋体" w:eastAsia="宋体" w:cs="宋体"/>
                <w:sz w:val="20"/>
                <w:szCs w:val="20"/>
              </w:rPr>
              <w:t>O</w:t>
            </w:r>
          </w:p>
        </w:tc>
        <w:tc>
          <w:tcPr>
            <w:tcW w:w="784" w:type="dxa"/>
            <w:vAlign w:val="top"/>
          </w:tcPr>
          <w:p w14:paraId="30512CB5">
            <w:pPr>
              <w:spacing w:before="136" w:line="237" w:lineRule="auto"/>
              <w:ind w:left="289"/>
              <w:rPr>
                <w:rFonts w:ascii="宋体" w:hAnsi="宋体" w:eastAsia="宋体" w:cs="宋体"/>
                <w:sz w:val="20"/>
                <w:szCs w:val="20"/>
              </w:rPr>
            </w:pPr>
            <w:r>
              <w:rPr>
                <w:rFonts w:ascii="宋体" w:hAnsi="宋体" w:eastAsia="宋体" w:cs="宋体"/>
                <w:sz w:val="20"/>
                <w:szCs w:val="20"/>
              </w:rPr>
              <w:t>△</w:t>
            </w:r>
          </w:p>
        </w:tc>
      </w:tr>
      <w:tr w14:paraId="40AA1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1034" w:type="dxa"/>
            <w:vAlign w:val="top"/>
          </w:tcPr>
          <w:p w14:paraId="779E51FE">
            <w:pPr>
              <w:pStyle w:val="6"/>
              <w:spacing w:line="269" w:lineRule="auto"/>
            </w:pPr>
          </w:p>
          <w:p w14:paraId="2D7AE165">
            <w:pPr>
              <w:spacing w:before="65" w:line="239" w:lineRule="auto"/>
              <w:ind w:left="354"/>
              <w:rPr>
                <w:rFonts w:ascii="宋体" w:hAnsi="宋体" w:eastAsia="宋体" w:cs="宋体"/>
                <w:sz w:val="20"/>
                <w:szCs w:val="20"/>
              </w:rPr>
            </w:pPr>
            <w:r>
              <w:rPr>
                <w:rFonts w:ascii="宋体" w:hAnsi="宋体" w:eastAsia="宋体" w:cs="宋体"/>
                <w:spacing w:val="-3"/>
                <w:sz w:val="20"/>
                <w:szCs w:val="20"/>
              </w:rPr>
              <w:t>7.8</w:t>
            </w:r>
          </w:p>
        </w:tc>
        <w:tc>
          <w:tcPr>
            <w:tcW w:w="839" w:type="dxa"/>
            <w:vAlign w:val="top"/>
          </w:tcPr>
          <w:p w14:paraId="57A94B59">
            <w:pPr>
              <w:pStyle w:val="6"/>
              <w:spacing w:line="268" w:lineRule="auto"/>
            </w:pPr>
          </w:p>
          <w:p w14:paraId="7FEE230A">
            <w:pPr>
              <w:spacing w:before="65"/>
              <w:ind w:left="260"/>
              <w:rPr>
                <w:rFonts w:ascii="宋体" w:hAnsi="宋体" w:eastAsia="宋体" w:cs="宋体"/>
                <w:sz w:val="20"/>
                <w:szCs w:val="20"/>
              </w:rPr>
            </w:pPr>
            <w:r>
              <w:rPr>
                <w:rFonts w:ascii="宋体" w:hAnsi="宋体" w:eastAsia="宋体" w:cs="宋体"/>
                <w:spacing w:val="-3"/>
                <w:sz w:val="20"/>
                <w:szCs w:val="20"/>
              </w:rPr>
              <w:t>308</w:t>
            </w:r>
          </w:p>
        </w:tc>
        <w:tc>
          <w:tcPr>
            <w:tcW w:w="2507" w:type="dxa"/>
            <w:vAlign w:val="top"/>
          </w:tcPr>
          <w:p w14:paraId="6C7D2FD5">
            <w:pPr>
              <w:spacing w:before="155" w:line="297" w:lineRule="auto"/>
              <w:ind w:left="101" w:right="168" w:firstLine="10"/>
              <w:rPr>
                <w:rFonts w:ascii="宋体" w:hAnsi="宋体" w:eastAsia="宋体" w:cs="宋体"/>
                <w:sz w:val="20"/>
                <w:szCs w:val="20"/>
              </w:rPr>
            </w:pPr>
            <w:r>
              <w:rPr>
                <w:rFonts w:ascii="宋体" w:hAnsi="宋体" w:eastAsia="宋体" w:cs="宋体"/>
                <w:spacing w:val="1"/>
                <w:sz w:val="20"/>
                <w:szCs w:val="20"/>
              </w:rPr>
              <w:t>为详细的维修保障计划和</w:t>
            </w:r>
            <w:r>
              <w:rPr>
                <w:rFonts w:ascii="宋体" w:hAnsi="宋体" w:eastAsia="宋体" w:cs="宋体"/>
                <w:spacing w:val="4"/>
                <w:sz w:val="20"/>
                <w:szCs w:val="20"/>
              </w:rPr>
              <w:t xml:space="preserve"> </w:t>
            </w:r>
            <w:r>
              <w:rPr>
                <w:rFonts w:ascii="宋体" w:hAnsi="宋体" w:eastAsia="宋体" w:cs="宋体"/>
                <w:spacing w:val="-1"/>
                <w:sz w:val="20"/>
                <w:szCs w:val="20"/>
              </w:rPr>
              <w:t>保障性分析准备输入</w:t>
            </w:r>
          </w:p>
        </w:tc>
        <w:tc>
          <w:tcPr>
            <w:tcW w:w="839" w:type="dxa"/>
            <w:vAlign w:val="top"/>
          </w:tcPr>
          <w:p w14:paraId="5CC3ED3D">
            <w:pPr>
              <w:pStyle w:val="6"/>
              <w:spacing w:line="298" w:lineRule="auto"/>
            </w:pPr>
          </w:p>
          <w:p w14:paraId="325B0308">
            <w:pPr>
              <w:spacing w:before="49"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601C5887">
            <w:pPr>
              <w:pStyle w:val="6"/>
              <w:spacing w:line="252" w:lineRule="auto"/>
            </w:pPr>
          </w:p>
          <w:p w14:paraId="411A78E2">
            <w:pPr>
              <w:spacing w:before="65" w:line="222" w:lineRule="auto"/>
              <w:ind w:left="115"/>
              <w:rPr>
                <w:rFonts w:ascii="宋体" w:hAnsi="宋体" w:eastAsia="宋体" w:cs="宋体"/>
                <w:sz w:val="20"/>
                <w:szCs w:val="20"/>
              </w:rPr>
            </w:pPr>
            <w:r>
              <w:rPr>
                <w:rFonts w:ascii="宋体" w:hAnsi="宋体" w:eastAsia="宋体" w:cs="宋体"/>
                <w:spacing w:val="-2"/>
                <w:sz w:val="20"/>
                <w:szCs w:val="20"/>
              </w:rPr>
              <w:t>△(2)(3)</w:t>
            </w:r>
          </w:p>
        </w:tc>
        <w:tc>
          <w:tcPr>
            <w:tcW w:w="1258" w:type="dxa"/>
            <w:vAlign w:val="top"/>
          </w:tcPr>
          <w:p w14:paraId="746F3093">
            <w:pPr>
              <w:pStyle w:val="6"/>
              <w:spacing w:line="252" w:lineRule="auto"/>
            </w:pPr>
          </w:p>
          <w:p w14:paraId="07F40926">
            <w:pPr>
              <w:spacing w:before="65" w:line="222" w:lineRule="auto"/>
              <w:ind w:left="376"/>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c>
          <w:tcPr>
            <w:tcW w:w="1049" w:type="dxa"/>
            <w:vAlign w:val="top"/>
          </w:tcPr>
          <w:p w14:paraId="54075C24">
            <w:pPr>
              <w:pStyle w:val="6"/>
              <w:spacing w:line="252" w:lineRule="auto"/>
            </w:pPr>
          </w:p>
          <w:p w14:paraId="019274E2">
            <w:pPr>
              <w:spacing w:before="65" w:line="222" w:lineRule="auto"/>
              <w:ind w:left="268"/>
              <w:rPr>
                <w:rFonts w:ascii="宋体" w:hAnsi="宋体" w:eastAsia="宋体" w:cs="宋体"/>
                <w:sz w:val="20"/>
                <w:szCs w:val="20"/>
              </w:rPr>
            </w:pPr>
            <w:r>
              <w:rPr>
                <w:rFonts w:ascii="宋体" w:hAnsi="宋体" w:eastAsia="宋体" w:cs="宋体"/>
                <w:spacing w:val="-13"/>
                <w:sz w:val="20"/>
                <w:szCs w:val="20"/>
              </w:rPr>
              <w:t>〇(2)</w:t>
            </w:r>
          </w:p>
        </w:tc>
        <w:tc>
          <w:tcPr>
            <w:tcW w:w="784" w:type="dxa"/>
            <w:vAlign w:val="top"/>
          </w:tcPr>
          <w:p w14:paraId="61A670E5">
            <w:pPr>
              <w:pStyle w:val="6"/>
              <w:spacing w:line="269" w:lineRule="auto"/>
            </w:pPr>
          </w:p>
          <w:p w14:paraId="18BB9DED">
            <w:pPr>
              <w:spacing w:before="65" w:line="237" w:lineRule="auto"/>
              <w:ind w:left="289"/>
              <w:rPr>
                <w:rFonts w:ascii="宋体" w:hAnsi="宋体" w:eastAsia="宋体" w:cs="宋体"/>
                <w:sz w:val="20"/>
                <w:szCs w:val="20"/>
              </w:rPr>
            </w:pPr>
            <w:r>
              <w:rPr>
                <w:rFonts w:ascii="宋体" w:hAnsi="宋体" w:eastAsia="宋体" w:cs="宋体"/>
                <w:sz w:val="20"/>
                <w:szCs w:val="20"/>
              </w:rPr>
              <w:t>△</w:t>
            </w:r>
          </w:p>
        </w:tc>
      </w:tr>
      <w:tr w14:paraId="40132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034" w:type="dxa"/>
            <w:vAlign w:val="top"/>
          </w:tcPr>
          <w:p w14:paraId="1A40546D">
            <w:pPr>
              <w:spacing w:before="137" w:line="239" w:lineRule="auto"/>
              <w:ind w:left="354"/>
              <w:rPr>
                <w:rFonts w:ascii="宋体" w:hAnsi="宋体" w:eastAsia="宋体" w:cs="宋体"/>
                <w:sz w:val="20"/>
                <w:szCs w:val="20"/>
              </w:rPr>
            </w:pPr>
            <w:r>
              <w:rPr>
                <w:rFonts w:ascii="宋体" w:hAnsi="宋体" w:eastAsia="宋体" w:cs="宋体"/>
                <w:spacing w:val="-2"/>
                <w:sz w:val="20"/>
                <w:szCs w:val="20"/>
              </w:rPr>
              <w:t>8.1</w:t>
            </w:r>
          </w:p>
        </w:tc>
        <w:tc>
          <w:tcPr>
            <w:tcW w:w="839" w:type="dxa"/>
            <w:vAlign w:val="top"/>
          </w:tcPr>
          <w:p w14:paraId="2FEDFCDC">
            <w:pPr>
              <w:spacing w:before="136"/>
              <w:ind w:left="260"/>
              <w:rPr>
                <w:rFonts w:ascii="宋体" w:hAnsi="宋体" w:eastAsia="宋体" w:cs="宋体"/>
                <w:sz w:val="20"/>
                <w:szCs w:val="20"/>
              </w:rPr>
            </w:pPr>
            <w:r>
              <w:rPr>
                <w:rFonts w:ascii="宋体" w:hAnsi="宋体" w:eastAsia="宋体" w:cs="宋体"/>
                <w:spacing w:val="-2"/>
                <w:sz w:val="20"/>
                <w:szCs w:val="20"/>
              </w:rPr>
              <w:t>401</w:t>
            </w:r>
          </w:p>
        </w:tc>
        <w:tc>
          <w:tcPr>
            <w:tcW w:w="2507" w:type="dxa"/>
            <w:vAlign w:val="top"/>
          </w:tcPr>
          <w:p w14:paraId="6A08C6FE">
            <w:pPr>
              <w:spacing w:before="117" w:line="219" w:lineRule="auto"/>
              <w:ind w:left="101"/>
              <w:rPr>
                <w:rFonts w:ascii="宋体" w:hAnsi="宋体" w:eastAsia="宋体" w:cs="宋体"/>
                <w:sz w:val="20"/>
                <w:szCs w:val="20"/>
              </w:rPr>
            </w:pPr>
            <w:r>
              <w:rPr>
                <w:rFonts w:ascii="宋体" w:hAnsi="宋体" w:eastAsia="宋体" w:cs="宋体"/>
                <w:spacing w:val="2"/>
                <w:sz w:val="20"/>
                <w:szCs w:val="20"/>
              </w:rPr>
              <w:t>维修性核查</w:t>
            </w:r>
          </w:p>
        </w:tc>
        <w:tc>
          <w:tcPr>
            <w:tcW w:w="839" w:type="dxa"/>
            <w:vAlign w:val="top"/>
          </w:tcPr>
          <w:p w14:paraId="49E53540">
            <w:pPr>
              <w:spacing w:before="160"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0BF38EBB">
            <w:pPr>
              <w:spacing w:before="120" w:line="222" w:lineRule="auto"/>
              <w:ind w:left="265"/>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c>
          <w:tcPr>
            <w:tcW w:w="1258" w:type="dxa"/>
            <w:vAlign w:val="top"/>
          </w:tcPr>
          <w:p w14:paraId="3356B96F">
            <w:pPr>
              <w:spacing w:before="120" w:line="222" w:lineRule="auto"/>
              <w:ind w:left="376"/>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c>
          <w:tcPr>
            <w:tcW w:w="1049" w:type="dxa"/>
            <w:vAlign w:val="top"/>
          </w:tcPr>
          <w:p w14:paraId="611CF214">
            <w:pPr>
              <w:spacing w:before="120" w:line="222" w:lineRule="auto"/>
              <w:ind w:left="268"/>
              <w:rPr>
                <w:rFonts w:ascii="宋体" w:hAnsi="宋体" w:eastAsia="宋体" w:cs="宋体"/>
                <w:sz w:val="20"/>
                <w:szCs w:val="20"/>
              </w:rPr>
            </w:pPr>
            <w:r>
              <w:rPr>
                <w:rFonts w:ascii="宋体" w:hAnsi="宋体" w:eastAsia="宋体" w:cs="宋体"/>
                <w:spacing w:val="-5"/>
                <w:sz w:val="20"/>
                <w:szCs w:val="20"/>
              </w:rPr>
              <w:t>○(2)</w:t>
            </w:r>
          </w:p>
        </w:tc>
        <w:tc>
          <w:tcPr>
            <w:tcW w:w="784" w:type="dxa"/>
            <w:vAlign w:val="top"/>
          </w:tcPr>
          <w:p w14:paraId="02CE9AB1">
            <w:pPr>
              <w:spacing w:before="120" w:line="222" w:lineRule="auto"/>
              <w:ind w:left="139"/>
              <w:rPr>
                <w:rFonts w:ascii="宋体" w:hAnsi="宋体" w:eastAsia="宋体" w:cs="宋体"/>
                <w:sz w:val="20"/>
                <w:szCs w:val="20"/>
              </w:rPr>
            </w:pPr>
            <w:r>
              <w:rPr>
                <w:rFonts w:ascii="宋体" w:hAnsi="宋体" w:eastAsia="宋体" w:cs="宋体"/>
                <w:spacing w:val="-3"/>
                <w:sz w:val="20"/>
                <w:szCs w:val="20"/>
              </w:rPr>
              <w:t>△(2)</w:t>
            </w:r>
          </w:p>
        </w:tc>
      </w:tr>
      <w:tr w14:paraId="69C96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34" w:type="dxa"/>
            <w:vAlign w:val="top"/>
          </w:tcPr>
          <w:p w14:paraId="7EF3D700">
            <w:pPr>
              <w:spacing w:before="127" w:line="239" w:lineRule="auto"/>
              <w:ind w:left="354"/>
              <w:rPr>
                <w:rFonts w:ascii="宋体" w:hAnsi="宋体" w:eastAsia="宋体" w:cs="宋体"/>
                <w:sz w:val="20"/>
                <w:szCs w:val="20"/>
              </w:rPr>
            </w:pPr>
            <w:r>
              <w:rPr>
                <w:rFonts w:ascii="宋体" w:hAnsi="宋体" w:eastAsia="宋体" w:cs="宋体"/>
                <w:spacing w:val="-2"/>
                <w:sz w:val="20"/>
                <w:szCs w:val="20"/>
              </w:rPr>
              <w:t>8.2</w:t>
            </w:r>
          </w:p>
        </w:tc>
        <w:tc>
          <w:tcPr>
            <w:tcW w:w="839" w:type="dxa"/>
            <w:vAlign w:val="top"/>
          </w:tcPr>
          <w:p w14:paraId="5D5E678F">
            <w:pPr>
              <w:spacing w:before="127"/>
              <w:ind w:left="260"/>
              <w:rPr>
                <w:rFonts w:ascii="宋体" w:hAnsi="宋体" w:eastAsia="宋体" w:cs="宋体"/>
                <w:sz w:val="20"/>
                <w:szCs w:val="20"/>
              </w:rPr>
            </w:pPr>
            <w:r>
              <w:rPr>
                <w:rFonts w:ascii="宋体" w:hAnsi="宋体" w:eastAsia="宋体" w:cs="宋体"/>
                <w:spacing w:val="-2"/>
                <w:sz w:val="20"/>
                <w:szCs w:val="20"/>
              </w:rPr>
              <w:t>402</w:t>
            </w:r>
          </w:p>
        </w:tc>
        <w:tc>
          <w:tcPr>
            <w:tcW w:w="2507" w:type="dxa"/>
            <w:vAlign w:val="top"/>
          </w:tcPr>
          <w:p w14:paraId="6707BBD9">
            <w:pPr>
              <w:spacing w:before="108" w:line="219" w:lineRule="auto"/>
              <w:ind w:left="101"/>
              <w:rPr>
                <w:rFonts w:ascii="宋体" w:hAnsi="宋体" w:eastAsia="宋体" w:cs="宋体"/>
                <w:sz w:val="20"/>
                <w:szCs w:val="20"/>
              </w:rPr>
            </w:pPr>
            <w:r>
              <w:rPr>
                <w:rFonts w:ascii="宋体" w:hAnsi="宋体" w:eastAsia="宋体" w:cs="宋体"/>
                <w:spacing w:val="-2"/>
                <w:sz w:val="20"/>
                <w:szCs w:val="20"/>
              </w:rPr>
              <w:t>维修性验证</w:t>
            </w:r>
          </w:p>
        </w:tc>
        <w:tc>
          <w:tcPr>
            <w:tcW w:w="839" w:type="dxa"/>
            <w:vAlign w:val="top"/>
          </w:tcPr>
          <w:p w14:paraId="0F19A1BB">
            <w:pPr>
              <w:spacing w:before="151"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70E19BC2">
            <w:pPr>
              <w:spacing w:before="111" w:line="222" w:lineRule="auto"/>
              <w:ind w:left="265"/>
              <w:rPr>
                <w:rFonts w:ascii="宋体" w:hAnsi="宋体" w:eastAsia="宋体" w:cs="宋体"/>
                <w:sz w:val="20"/>
                <w:szCs w:val="20"/>
              </w:rPr>
            </w:pPr>
            <w:r>
              <w:rPr>
                <w:rFonts w:ascii="宋体" w:hAnsi="宋体" w:eastAsia="宋体" w:cs="宋体"/>
                <w:spacing w:val="-3"/>
                <w:sz w:val="20"/>
                <w:szCs w:val="20"/>
              </w:rPr>
              <w:t>△(2)</w:t>
            </w:r>
          </w:p>
        </w:tc>
        <w:tc>
          <w:tcPr>
            <w:tcW w:w="1258" w:type="dxa"/>
            <w:vAlign w:val="top"/>
          </w:tcPr>
          <w:p w14:paraId="572D34CF">
            <w:pPr>
              <w:spacing w:before="111" w:line="222" w:lineRule="auto"/>
              <w:ind w:left="376"/>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c>
          <w:tcPr>
            <w:tcW w:w="1049" w:type="dxa"/>
            <w:vAlign w:val="top"/>
          </w:tcPr>
          <w:p w14:paraId="591FE7DC">
            <w:pPr>
              <w:spacing w:before="111" w:line="222" w:lineRule="auto"/>
              <w:ind w:left="268"/>
              <w:rPr>
                <w:rFonts w:ascii="宋体" w:hAnsi="宋体" w:eastAsia="宋体" w:cs="宋体"/>
                <w:sz w:val="20"/>
                <w:szCs w:val="20"/>
              </w:rPr>
            </w:pPr>
            <w:r>
              <w:rPr>
                <w:rFonts w:ascii="宋体" w:hAnsi="宋体" w:eastAsia="宋体" w:cs="宋体"/>
                <w:spacing w:val="-5"/>
                <w:sz w:val="20"/>
                <w:szCs w:val="20"/>
              </w:rPr>
              <w:t>○(2)</w:t>
            </w:r>
          </w:p>
        </w:tc>
        <w:tc>
          <w:tcPr>
            <w:tcW w:w="784" w:type="dxa"/>
            <w:vAlign w:val="top"/>
          </w:tcPr>
          <w:p w14:paraId="51CB8406">
            <w:pPr>
              <w:spacing w:before="111" w:line="222" w:lineRule="auto"/>
              <w:ind w:left="139"/>
              <w:rPr>
                <w:rFonts w:ascii="宋体" w:hAnsi="宋体" w:eastAsia="宋体" w:cs="宋体"/>
                <w:sz w:val="20"/>
                <w:szCs w:val="20"/>
              </w:rPr>
            </w:pPr>
            <w:r>
              <w:rPr>
                <w:rFonts w:ascii="宋体" w:hAnsi="宋体" w:eastAsia="宋体" w:cs="宋体"/>
                <w:spacing w:val="-3"/>
                <w:sz w:val="20"/>
                <w:szCs w:val="20"/>
              </w:rPr>
              <w:t>△(2)</w:t>
            </w:r>
          </w:p>
        </w:tc>
      </w:tr>
      <w:tr w14:paraId="126FD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034" w:type="dxa"/>
            <w:vAlign w:val="top"/>
          </w:tcPr>
          <w:p w14:paraId="23655BCC">
            <w:pPr>
              <w:spacing w:before="137" w:line="239" w:lineRule="auto"/>
              <w:ind w:left="354"/>
              <w:rPr>
                <w:rFonts w:ascii="宋体" w:hAnsi="宋体" w:eastAsia="宋体" w:cs="宋体"/>
                <w:sz w:val="20"/>
                <w:szCs w:val="20"/>
              </w:rPr>
            </w:pPr>
            <w:r>
              <w:rPr>
                <w:rFonts w:ascii="宋体" w:hAnsi="宋体" w:eastAsia="宋体" w:cs="宋体"/>
                <w:spacing w:val="-2"/>
                <w:sz w:val="20"/>
                <w:szCs w:val="20"/>
              </w:rPr>
              <w:t>8.3</w:t>
            </w:r>
          </w:p>
        </w:tc>
        <w:tc>
          <w:tcPr>
            <w:tcW w:w="839" w:type="dxa"/>
            <w:vAlign w:val="top"/>
          </w:tcPr>
          <w:p w14:paraId="0B552D1C">
            <w:pPr>
              <w:spacing w:before="137"/>
              <w:ind w:left="260"/>
              <w:rPr>
                <w:rFonts w:ascii="宋体" w:hAnsi="宋体" w:eastAsia="宋体" w:cs="宋体"/>
                <w:sz w:val="20"/>
                <w:szCs w:val="20"/>
              </w:rPr>
            </w:pPr>
            <w:r>
              <w:rPr>
                <w:rFonts w:ascii="宋体" w:hAnsi="宋体" w:eastAsia="宋体" w:cs="宋体"/>
                <w:spacing w:val="-2"/>
                <w:sz w:val="20"/>
                <w:szCs w:val="20"/>
              </w:rPr>
              <w:t>403</w:t>
            </w:r>
          </w:p>
        </w:tc>
        <w:tc>
          <w:tcPr>
            <w:tcW w:w="2507" w:type="dxa"/>
            <w:vAlign w:val="top"/>
          </w:tcPr>
          <w:p w14:paraId="7EC5A001">
            <w:pPr>
              <w:spacing w:before="116" w:line="218" w:lineRule="auto"/>
              <w:ind w:left="101"/>
              <w:rPr>
                <w:rFonts w:ascii="宋体" w:hAnsi="宋体" w:eastAsia="宋体" w:cs="宋体"/>
                <w:sz w:val="20"/>
                <w:szCs w:val="20"/>
              </w:rPr>
            </w:pPr>
            <w:r>
              <w:rPr>
                <w:rFonts w:ascii="宋体" w:hAnsi="宋体" w:eastAsia="宋体" w:cs="宋体"/>
                <w:spacing w:val="-2"/>
                <w:sz w:val="20"/>
                <w:szCs w:val="20"/>
              </w:rPr>
              <w:t>维修性分析评价</w:t>
            </w:r>
          </w:p>
        </w:tc>
        <w:tc>
          <w:tcPr>
            <w:tcW w:w="839" w:type="dxa"/>
            <w:vAlign w:val="top"/>
          </w:tcPr>
          <w:p w14:paraId="1505D239">
            <w:pPr>
              <w:spacing w:before="151"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441360D6">
            <w:pPr>
              <w:spacing w:before="137" w:line="241" w:lineRule="auto"/>
              <w:ind w:left="415"/>
              <w:rPr>
                <w:rFonts w:ascii="宋体" w:hAnsi="宋体" w:eastAsia="宋体" w:cs="宋体"/>
                <w:sz w:val="20"/>
                <w:szCs w:val="20"/>
              </w:rPr>
            </w:pPr>
            <w:r>
              <w:rPr>
                <w:rFonts w:ascii="宋体" w:hAnsi="宋体" w:eastAsia="宋体" w:cs="宋体"/>
                <w:sz w:val="20"/>
                <w:szCs w:val="20"/>
              </w:rPr>
              <w:t>×</w:t>
            </w:r>
          </w:p>
        </w:tc>
        <w:tc>
          <w:tcPr>
            <w:tcW w:w="1258" w:type="dxa"/>
            <w:vAlign w:val="top"/>
          </w:tcPr>
          <w:p w14:paraId="497C482E">
            <w:pPr>
              <w:spacing w:before="137" w:line="237"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4C9A905D">
            <w:pPr>
              <w:spacing w:before="121" w:line="222" w:lineRule="auto"/>
              <w:ind w:left="268"/>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c>
          <w:tcPr>
            <w:tcW w:w="784" w:type="dxa"/>
            <w:vAlign w:val="top"/>
          </w:tcPr>
          <w:p w14:paraId="5002C1A6">
            <w:pPr>
              <w:spacing w:before="121" w:line="222" w:lineRule="auto"/>
              <w:ind w:left="139"/>
              <w:rPr>
                <w:rFonts w:ascii="宋体" w:hAnsi="宋体" w:eastAsia="宋体" w:cs="宋体"/>
                <w:sz w:val="20"/>
                <w:szCs w:val="20"/>
              </w:rPr>
            </w:pPr>
            <w:r>
              <w:rPr>
                <w:rFonts w:ascii="宋体" w:hAnsi="宋体" w:eastAsia="宋体" w:cs="宋体"/>
                <w:spacing w:val="-22"/>
                <w:sz w:val="20"/>
                <w:szCs w:val="20"/>
              </w:rPr>
              <w:t>√</w:t>
            </w:r>
            <w:r>
              <w:rPr>
                <w:rFonts w:ascii="宋体" w:hAnsi="宋体" w:eastAsia="宋体" w:cs="宋体"/>
                <w:spacing w:val="-56"/>
                <w:sz w:val="20"/>
                <w:szCs w:val="20"/>
              </w:rPr>
              <w:t xml:space="preserve"> </w:t>
            </w:r>
            <w:r>
              <w:rPr>
                <w:rFonts w:ascii="宋体" w:hAnsi="宋体" w:eastAsia="宋体" w:cs="宋体"/>
                <w:spacing w:val="-22"/>
                <w:sz w:val="20"/>
                <w:szCs w:val="20"/>
              </w:rPr>
              <w:t>(2)</w:t>
            </w:r>
          </w:p>
        </w:tc>
      </w:tr>
      <w:tr w14:paraId="5C0E2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34" w:type="dxa"/>
            <w:vAlign w:val="top"/>
          </w:tcPr>
          <w:p w14:paraId="3C6DDECB">
            <w:pPr>
              <w:spacing w:before="129" w:line="236" w:lineRule="auto"/>
              <w:ind w:left="354"/>
              <w:rPr>
                <w:rFonts w:ascii="宋体" w:hAnsi="宋体" w:eastAsia="宋体" w:cs="宋体"/>
                <w:sz w:val="20"/>
                <w:szCs w:val="20"/>
              </w:rPr>
            </w:pPr>
            <w:r>
              <w:rPr>
                <w:rFonts w:ascii="宋体" w:hAnsi="宋体" w:eastAsia="宋体" w:cs="宋体"/>
                <w:spacing w:val="-2"/>
                <w:sz w:val="20"/>
                <w:szCs w:val="20"/>
              </w:rPr>
              <w:t>9.1</w:t>
            </w:r>
          </w:p>
        </w:tc>
        <w:tc>
          <w:tcPr>
            <w:tcW w:w="839" w:type="dxa"/>
            <w:vAlign w:val="top"/>
          </w:tcPr>
          <w:p w14:paraId="479D34C0">
            <w:pPr>
              <w:spacing w:before="129" w:line="236" w:lineRule="auto"/>
              <w:ind w:left="260"/>
              <w:rPr>
                <w:rFonts w:ascii="宋体" w:hAnsi="宋体" w:eastAsia="宋体" w:cs="宋体"/>
                <w:sz w:val="20"/>
                <w:szCs w:val="20"/>
              </w:rPr>
            </w:pPr>
            <w:r>
              <w:rPr>
                <w:rFonts w:ascii="宋体" w:hAnsi="宋体" w:eastAsia="宋体" w:cs="宋体"/>
                <w:spacing w:val="-3"/>
                <w:sz w:val="20"/>
                <w:szCs w:val="20"/>
              </w:rPr>
              <w:t>501</w:t>
            </w:r>
          </w:p>
        </w:tc>
        <w:tc>
          <w:tcPr>
            <w:tcW w:w="2507" w:type="dxa"/>
            <w:vAlign w:val="top"/>
          </w:tcPr>
          <w:p w14:paraId="31F4B4D4">
            <w:pPr>
              <w:spacing w:before="109" w:line="219" w:lineRule="auto"/>
              <w:ind w:left="101"/>
              <w:rPr>
                <w:rFonts w:ascii="宋体" w:hAnsi="宋体" w:eastAsia="宋体" w:cs="宋体"/>
                <w:sz w:val="20"/>
                <w:szCs w:val="20"/>
              </w:rPr>
            </w:pPr>
            <w:r>
              <w:rPr>
                <w:rFonts w:ascii="宋体" w:hAnsi="宋体" w:eastAsia="宋体" w:cs="宋体"/>
                <w:spacing w:val="-1"/>
                <w:sz w:val="20"/>
                <w:szCs w:val="20"/>
              </w:rPr>
              <w:t>使用期间维修性信息收集</w:t>
            </w:r>
          </w:p>
        </w:tc>
        <w:tc>
          <w:tcPr>
            <w:tcW w:w="839" w:type="dxa"/>
            <w:vAlign w:val="top"/>
          </w:tcPr>
          <w:p w14:paraId="40BDED8C">
            <w:pPr>
              <w:spacing w:before="142" w:line="201" w:lineRule="exact"/>
              <w:ind w:left="334"/>
              <w:rPr>
                <w:rFonts w:ascii="宋体" w:hAnsi="宋体" w:eastAsia="宋体" w:cs="宋体"/>
                <w:sz w:val="15"/>
                <w:szCs w:val="15"/>
              </w:rPr>
            </w:pPr>
            <w:r>
              <w:rPr>
                <w:rFonts w:ascii="宋体" w:hAnsi="宋体" w:eastAsia="宋体" w:cs="宋体"/>
                <w:position w:val="1"/>
                <w:sz w:val="15"/>
                <w:szCs w:val="15"/>
              </w:rPr>
              <w:t>×</w:t>
            </w:r>
          </w:p>
        </w:tc>
        <w:tc>
          <w:tcPr>
            <w:tcW w:w="1039" w:type="dxa"/>
            <w:vAlign w:val="top"/>
          </w:tcPr>
          <w:p w14:paraId="43FC5643">
            <w:pPr>
              <w:spacing w:before="129" w:line="236" w:lineRule="auto"/>
              <w:ind w:left="415"/>
              <w:rPr>
                <w:rFonts w:ascii="宋体" w:hAnsi="宋体" w:eastAsia="宋体" w:cs="宋体"/>
                <w:sz w:val="20"/>
                <w:szCs w:val="20"/>
              </w:rPr>
            </w:pPr>
            <w:r>
              <w:rPr>
                <w:rFonts w:ascii="宋体" w:hAnsi="宋体" w:eastAsia="宋体" w:cs="宋体"/>
                <w:sz w:val="20"/>
                <w:szCs w:val="20"/>
              </w:rPr>
              <w:t>×</w:t>
            </w:r>
          </w:p>
        </w:tc>
        <w:tc>
          <w:tcPr>
            <w:tcW w:w="1258" w:type="dxa"/>
            <w:vAlign w:val="top"/>
          </w:tcPr>
          <w:p w14:paraId="55AF5099">
            <w:pPr>
              <w:spacing w:before="129" w:line="236" w:lineRule="auto"/>
              <w:ind w:left="526"/>
              <w:rPr>
                <w:rFonts w:ascii="宋体" w:hAnsi="宋体" w:eastAsia="宋体" w:cs="宋体"/>
                <w:sz w:val="20"/>
                <w:szCs w:val="20"/>
              </w:rPr>
            </w:pPr>
            <w:r>
              <w:rPr>
                <w:rFonts w:ascii="宋体" w:hAnsi="宋体" w:eastAsia="宋体" w:cs="宋体"/>
                <w:sz w:val="20"/>
                <w:szCs w:val="20"/>
              </w:rPr>
              <w:t>×</w:t>
            </w:r>
          </w:p>
        </w:tc>
        <w:tc>
          <w:tcPr>
            <w:tcW w:w="1049" w:type="dxa"/>
            <w:vAlign w:val="top"/>
          </w:tcPr>
          <w:p w14:paraId="5B1D7A21">
            <w:pPr>
              <w:spacing w:before="129" w:line="236" w:lineRule="auto"/>
              <w:ind w:left="418"/>
              <w:rPr>
                <w:rFonts w:ascii="宋体" w:hAnsi="宋体" w:eastAsia="宋体" w:cs="宋体"/>
                <w:sz w:val="20"/>
                <w:szCs w:val="20"/>
              </w:rPr>
            </w:pPr>
            <w:r>
              <w:rPr>
                <w:rFonts w:ascii="宋体" w:hAnsi="宋体" w:eastAsia="宋体" w:cs="宋体"/>
                <w:sz w:val="20"/>
                <w:szCs w:val="20"/>
              </w:rPr>
              <w:t>√</w:t>
            </w:r>
          </w:p>
        </w:tc>
        <w:tc>
          <w:tcPr>
            <w:tcW w:w="784" w:type="dxa"/>
            <w:vAlign w:val="top"/>
          </w:tcPr>
          <w:p w14:paraId="1FB9E8FA">
            <w:pPr>
              <w:spacing w:before="129" w:line="236" w:lineRule="auto"/>
              <w:ind w:left="289"/>
              <w:rPr>
                <w:rFonts w:ascii="宋体" w:hAnsi="宋体" w:eastAsia="宋体" w:cs="宋体"/>
                <w:sz w:val="20"/>
                <w:szCs w:val="20"/>
              </w:rPr>
            </w:pPr>
            <w:r>
              <w:rPr>
                <w:rFonts w:ascii="宋体" w:hAnsi="宋体" w:eastAsia="宋体" w:cs="宋体"/>
                <w:sz w:val="20"/>
                <w:szCs w:val="20"/>
              </w:rPr>
              <w:t>√</w:t>
            </w:r>
          </w:p>
        </w:tc>
      </w:tr>
    </w:tbl>
    <w:p w14:paraId="3746D5CA">
      <w:pPr>
        <w:rPr>
          <w:rFonts w:ascii="Arial"/>
          <w:sz w:val="21"/>
        </w:rPr>
      </w:pPr>
    </w:p>
    <w:p w14:paraId="5465E643">
      <w:pPr>
        <w:rPr>
          <w:rFonts w:ascii="Arial" w:hAnsi="Arial" w:eastAsia="Arial" w:cs="Arial"/>
          <w:sz w:val="21"/>
          <w:szCs w:val="21"/>
        </w:rPr>
        <w:sectPr>
          <w:footerReference r:id="rId409" w:type="default"/>
          <w:pgSz w:w="11910" w:h="17130"/>
          <w:pgMar w:top="1456" w:right="1355" w:bottom="1606" w:left="1150" w:header="0" w:footer="1417" w:gutter="0"/>
          <w:cols w:space="720" w:num="1"/>
        </w:sectPr>
      </w:pPr>
    </w:p>
    <w:p w14:paraId="2CB2C780">
      <w:pPr>
        <w:pStyle w:val="2"/>
        <w:spacing w:before="73" w:line="220" w:lineRule="auto"/>
        <w:ind w:left="8719"/>
        <w:rPr>
          <w:sz w:val="22"/>
          <w:szCs w:val="22"/>
        </w:rPr>
      </w:pPr>
      <w:r>
        <w:rPr>
          <w:spacing w:val="-20"/>
          <w:sz w:val="22"/>
          <w:szCs w:val="22"/>
        </w:rPr>
        <w:t>(</w:t>
      </w:r>
      <w:r>
        <w:rPr>
          <w:spacing w:val="-46"/>
          <w:sz w:val="22"/>
          <w:szCs w:val="22"/>
        </w:rPr>
        <w:t xml:space="preserve"> </w:t>
      </w:r>
      <w:r>
        <w:rPr>
          <w:spacing w:val="-20"/>
          <w:sz w:val="22"/>
          <w:szCs w:val="22"/>
        </w:rPr>
        <w:t>续</w:t>
      </w:r>
      <w:r>
        <w:rPr>
          <w:spacing w:val="-48"/>
          <w:sz w:val="22"/>
          <w:szCs w:val="22"/>
        </w:rPr>
        <w:t xml:space="preserve"> </w:t>
      </w:r>
      <w:r>
        <w:rPr>
          <w:spacing w:val="-20"/>
          <w:sz w:val="22"/>
          <w:szCs w:val="22"/>
        </w:rPr>
        <w:t>)</w:t>
      </w:r>
    </w:p>
    <w:p w14:paraId="399E2662">
      <w:pPr>
        <w:spacing w:line="92" w:lineRule="exact"/>
      </w:pPr>
    </w:p>
    <w:tbl>
      <w:tblPr>
        <w:tblStyle w:val="5"/>
        <w:tblW w:w="937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839"/>
        <w:gridCol w:w="2507"/>
        <w:gridCol w:w="839"/>
        <w:gridCol w:w="1049"/>
        <w:gridCol w:w="1249"/>
        <w:gridCol w:w="1059"/>
        <w:gridCol w:w="784"/>
      </w:tblGrid>
      <w:tr w14:paraId="600F7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2" w:hRule="atLeast"/>
        </w:trPr>
        <w:tc>
          <w:tcPr>
            <w:tcW w:w="1044" w:type="dxa"/>
            <w:vAlign w:val="top"/>
          </w:tcPr>
          <w:p w14:paraId="0CA68A2C">
            <w:pPr>
              <w:pStyle w:val="6"/>
              <w:spacing w:line="315" w:lineRule="auto"/>
            </w:pPr>
          </w:p>
          <w:p w14:paraId="37E44097">
            <w:pPr>
              <w:spacing w:before="69" w:line="298" w:lineRule="auto"/>
              <w:ind w:left="95" w:right="85"/>
              <w:rPr>
                <w:rFonts w:ascii="宋体" w:hAnsi="宋体" w:eastAsia="宋体" w:cs="宋体"/>
                <w:sz w:val="21"/>
                <w:szCs w:val="21"/>
              </w:rPr>
            </w:pPr>
            <w:r>
              <w:rPr>
                <w:rFonts w:ascii="宋体" w:hAnsi="宋体" w:eastAsia="宋体" w:cs="宋体"/>
                <w:spacing w:val="-3"/>
                <w:sz w:val="21"/>
                <w:szCs w:val="21"/>
              </w:rPr>
              <w:t>GJB</w:t>
            </w:r>
            <w:r>
              <w:rPr>
                <w:rFonts w:ascii="宋体" w:hAnsi="宋体" w:eastAsia="宋体" w:cs="宋体"/>
                <w:spacing w:val="14"/>
                <w:sz w:val="21"/>
                <w:szCs w:val="21"/>
              </w:rPr>
              <w:t xml:space="preserve"> </w:t>
            </w:r>
            <w:r>
              <w:rPr>
                <w:rFonts w:ascii="宋体" w:hAnsi="宋体" w:eastAsia="宋体" w:cs="宋体"/>
                <w:spacing w:val="-3"/>
                <w:sz w:val="21"/>
                <w:szCs w:val="21"/>
              </w:rPr>
              <w:t>368B</w:t>
            </w:r>
            <w:r>
              <w:rPr>
                <w:rFonts w:ascii="宋体" w:hAnsi="宋体" w:eastAsia="宋体" w:cs="宋体"/>
                <w:sz w:val="21"/>
                <w:szCs w:val="21"/>
              </w:rPr>
              <w:t xml:space="preserve"> </w:t>
            </w:r>
            <w:r>
              <w:rPr>
                <w:rFonts w:ascii="宋体" w:hAnsi="宋体" w:eastAsia="宋体" w:cs="宋体"/>
                <w:spacing w:val="3"/>
                <w:sz w:val="21"/>
                <w:szCs w:val="21"/>
              </w:rPr>
              <w:t>条款编号</w:t>
            </w:r>
          </w:p>
        </w:tc>
        <w:tc>
          <w:tcPr>
            <w:tcW w:w="839" w:type="dxa"/>
            <w:vAlign w:val="top"/>
          </w:tcPr>
          <w:p w14:paraId="335ADC8F">
            <w:pPr>
              <w:pStyle w:val="6"/>
              <w:spacing w:line="264" w:lineRule="auto"/>
            </w:pPr>
          </w:p>
          <w:p w14:paraId="631AC9CC">
            <w:pPr>
              <w:spacing w:before="68" w:line="220" w:lineRule="auto"/>
              <w:ind w:left="91"/>
              <w:rPr>
                <w:rFonts w:ascii="宋体" w:hAnsi="宋体" w:eastAsia="宋体" w:cs="宋体"/>
                <w:sz w:val="21"/>
                <w:szCs w:val="21"/>
              </w:rPr>
            </w:pPr>
            <w:r>
              <w:rPr>
                <w:rFonts w:ascii="宋体" w:hAnsi="宋体" w:eastAsia="宋体" w:cs="宋体"/>
                <w:spacing w:val="4"/>
                <w:sz w:val="21"/>
                <w:szCs w:val="21"/>
              </w:rPr>
              <w:t>工作项</w:t>
            </w:r>
          </w:p>
          <w:p w14:paraId="22B951C7">
            <w:pPr>
              <w:spacing w:before="109" w:line="219" w:lineRule="auto"/>
              <w:ind w:left="91"/>
              <w:rPr>
                <w:rFonts w:ascii="宋体" w:hAnsi="宋体" w:eastAsia="宋体" w:cs="宋体"/>
                <w:sz w:val="21"/>
                <w:szCs w:val="21"/>
              </w:rPr>
            </w:pPr>
            <w:r>
              <w:rPr>
                <w:rFonts w:ascii="宋体" w:hAnsi="宋体" w:eastAsia="宋体" w:cs="宋体"/>
                <w:spacing w:val="4"/>
                <w:sz w:val="21"/>
                <w:szCs w:val="21"/>
              </w:rPr>
              <w:t>目编号</w:t>
            </w:r>
          </w:p>
        </w:tc>
        <w:tc>
          <w:tcPr>
            <w:tcW w:w="2507" w:type="dxa"/>
            <w:vAlign w:val="top"/>
          </w:tcPr>
          <w:p w14:paraId="3A7CAA98">
            <w:pPr>
              <w:pStyle w:val="6"/>
              <w:spacing w:line="443" w:lineRule="auto"/>
            </w:pPr>
          </w:p>
          <w:p w14:paraId="2BD93108">
            <w:pPr>
              <w:spacing w:before="68" w:line="220" w:lineRule="auto"/>
              <w:ind w:left="612"/>
              <w:rPr>
                <w:rFonts w:ascii="宋体" w:hAnsi="宋体" w:eastAsia="宋体" w:cs="宋体"/>
                <w:sz w:val="21"/>
                <w:szCs w:val="21"/>
              </w:rPr>
            </w:pPr>
            <w:r>
              <w:rPr>
                <w:rFonts w:ascii="宋体" w:hAnsi="宋体" w:eastAsia="宋体" w:cs="宋体"/>
                <w:spacing w:val="1"/>
                <w:sz w:val="21"/>
                <w:szCs w:val="21"/>
              </w:rPr>
              <w:t>工作项目名称</w:t>
            </w:r>
          </w:p>
        </w:tc>
        <w:tc>
          <w:tcPr>
            <w:tcW w:w="839" w:type="dxa"/>
            <w:vAlign w:val="top"/>
          </w:tcPr>
          <w:p w14:paraId="5D3D0750">
            <w:pPr>
              <w:pStyle w:val="6"/>
              <w:spacing w:line="285" w:lineRule="auto"/>
            </w:pPr>
          </w:p>
          <w:p w14:paraId="7C13B520">
            <w:pPr>
              <w:spacing w:before="49" w:line="227" w:lineRule="auto"/>
              <w:ind w:left="194"/>
              <w:rPr>
                <w:rFonts w:ascii="宋体" w:hAnsi="宋体" w:eastAsia="宋体" w:cs="宋体"/>
                <w:sz w:val="15"/>
                <w:szCs w:val="15"/>
              </w:rPr>
            </w:pPr>
            <w:r>
              <w:rPr>
                <w:rFonts w:ascii="宋体" w:hAnsi="宋体" w:eastAsia="宋体" w:cs="宋体"/>
                <w:spacing w:val="-4"/>
                <w:sz w:val="15"/>
                <w:szCs w:val="15"/>
              </w:rPr>
              <w:t>论</w:t>
            </w:r>
            <w:r>
              <w:rPr>
                <w:rFonts w:ascii="宋体" w:hAnsi="宋体" w:eastAsia="宋体" w:cs="宋体"/>
                <w:spacing w:val="4"/>
                <w:sz w:val="15"/>
                <w:szCs w:val="15"/>
              </w:rPr>
              <w:t xml:space="preserve">  </w:t>
            </w:r>
            <w:r>
              <w:rPr>
                <w:rFonts w:ascii="宋体" w:hAnsi="宋体" w:eastAsia="宋体" w:cs="宋体"/>
                <w:spacing w:val="-4"/>
                <w:sz w:val="15"/>
                <w:szCs w:val="15"/>
              </w:rPr>
              <w:t>证</w:t>
            </w:r>
          </w:p>
          <w:p w14:paraId="2205BC94">
            <w:pPr>
              <w:spacing w:before="161" w:line="221" w:lineRule="auto"/>
              <w:ind w:left="194"/>
              <w:rPr>
                <w:rFonts w:ascii="宋体" w:hAnsi="宋体" w:eastAsia="宋体" w:cs="宋体"/>
                <w:sz w:val="15"/>
                <w:szCs w:val="15"/>
              </w:rPr>
            </w:pPr>
            <w:r>
              <w:rPr>
                <w:rFonts w:ascii="宋体" w:hAnsi="宋体" w:eastAsia="宋体" w:cs="宋体"/>
                <w:spacing w:val="-7"/>
                <w:sz w:val="15"/>
                <w:szCs w:val="15"/>
              </w:rPr>
              <w:t>阶</w:t>
            </w:r>
            <w:r>
              <w:rPr>
                <w:rFonts w:ascii="宋体" w:hAnsi="宋体" w:eastAsia="宋体" w:cs="宋体"/>
                <w:spacing w:val="7"/>
                <w:sz w:val="15"/>
                <w:szCs w:val="15"/>
              </w:rPr>
              <w:t xml:space="preserve">  </w:t>
            </w:r>
            <w:r>
              <w:rPr>
                <w:rFonts w:ascii="宋体" w:hAnsi="宋体" w:eastAsia="宋体" w:cs="宋体"/>
                <w:spacing w:val="-7"/>
                <w:sz w:val="15"/>
                <w:szCs w:val="15"/>
              </w:rPr>
              <w:t>段</w:t>
            </w:r>
          </w:p>
        </w:tc>
        <w:tc>
          <w:tcPr>
            <w:tcW w:w="1049" w:type="dxa"/>
            <w:vAlign w:val="top"/>
          </w:tcPr>
          <w:p w14:paraId="2D74821C">
            <w:pPr>
              <w:pStyle w:val="6"/>
              <w:spacing w:line="443" w:lineRule="auto"/>
            </w:pPr>
          </w:p>
          <w:p w14:paraId="29660817">
            <w:pPr>
              <w:spacing w:before="68" w:line="220" w:lineRule="auto"/>
              <w:ind w:left="96"/>
              <w:rPr>
                <w:rFonts w:ascii="宋体" w:hAnsi="宋体" w:eastAsia="宋体" w:cs="宋体"/>
                <w:sz w:val="21"/>
                <w:szCs w:val="21"/>
              </w:rPr>
            </w:pPr>
            <w:r>
              <w:rPr>
                <w:rFonts w:ascii="宋体" w:hAnsi="宋体" w:eastAsia="宋体" w:cs="宋体"/>
                <w:spacing w:val="-2"/>
                <w:sz w:val="21"/>
                <w:szCs w:val="21"/>
              </w:rPr>
              <w:t>方案阶段</w:t>
            </w:r>
          </w:p>
        </w:tc>
        <w:tc>
          <w:tcPr>
            <w:tcW w:w="1249" w:type="dxa"/>
            <w:vAlign w:val="top"/>
          </w:tcPr>
          <w:p w14:paraId="453D8AA6">
            <w:pPr>
              <w:spacing w:before="164" w:line="303" w:lineRule="auto"/>
              <w:ind w:left="516" w:right="183" w:hanging="320"/>
              <w:rPr>
                <w:rFonts w:ascii="宋体" w:hAnsi="宋体" w:eastAsia="宋体" w:cs="宋体"/>
                <w:sz w:val="21"/>
                <w:szCs w:val="21"/>
              </w:rPr>
            </w:pPr>
            <w:r>
              <w:rPr>
                <w:rFonts w:ascii="宋体" w:hAnsi="宋体" w:eastAsia="宋体" w:cs="宋体"/>
                <w:spacing w:val="4"/>
                <w:sz w:val="21"/>
                <w:szCs w:val="21"/>
              </w:rPr>
              <w:t>工程研制</w:t>
            </w:r>
            <w:r>
              <w:rPr>
                <w:rFonts w:ascii="宋体" w:hAnsi="宋体" w:eastAsia="宋体" w:cs="宋体"/>
                <w:spacing w:val="1"/>
                <w:sz w:val="21"/>
                <w:szCs w:val="21"/>
              </w:rPr>
              <w:t xml:space="preserve"> </w:t>
            </w:r>
            <w:r>
              <w:rPr>
                <w:rFonts w:ascii="宋体" w:hAnsi="宋体" w:eastAsia="宋体" w:cs="宋体"/>
                <w:sz w:val="21"/>
                <w:szCs w:val="21"/>
              </w:rPr>
              <w:t>与</w:t>
            </w:r>
          </w:p>
          <w:p w14:paraId="528BBF89">
            <w:pPr>
              <w:spacing w:line="220" w:lineRule="auto"/>
              <w:ind w:left="196"/>
              <w:rPr>
                <w:rFonts w:ascii="宋体" w:hAnsi="宋体" w:eastAsia="宋体" w:cs="宋体"/>
                <w:sz w:val="21"/>
                <w:szCs w:val="21"/>
              </w:rPr>
            </w:pPr>
            <w:r>
              <w:rPr>
                <w:rFonts w:ascii="宋体" w:hAnsi="宋体" w:eastAsia="宋体" w:cs="宋体"/>
                <w:spacing w:val="2"/>
                <w:sz w:val="21"/>
                <w:szCs w:val="21"/>
              </w:rPr>
              <w:t>定型阶段</w:t>
            </w:r>
          </w:p>
        </w:tc>
        <w:tc>
          <w:tcPr>
            <w:tcW w:w="1059" w:type="dxa"/>
            <w:vAlign w:val="top"/>
          </w:tcPr>
          <w:p w14:paraId="45165AF0">
            <w:pPr>
              <w:pStyle w:val="6"/>
              <w:spacing w:line="264" w:lineRule="auto"/>
            </w:pPr>
          </w:p>
          <w:p w14:paraId="6DDCA8CE">
            <w:pPr>
              <w:spacing w:before="68" w:line="318" w:lineRule="auto"/>
              <w:ind w:left="108" w:right="110" w:firstLine="100"/>
              <w:rPr>
                <w:rFonts w:ascii="宋体" w:hAnsi="宋体" w:eastAsia="宋体" w:cs="宋体"/>
                <w:sz w:val="21"/>
                <w:szCs w:val="21"/>
              </w:rPr>
            </w:pPr>
            <w:r>
              <w:rPr>
                <w:rFonts w:ascii="宋体" w:hAnsi="宋体" w:eastAsia="宋体" w:cs="宋体"/>
                <w:spacing w:val="5"/>
                <w:sz w:val="21"/>
                <w:szCs w:val="21"/>
              </w:rPr>
              <w:t>生产与</w:t>
            </w:r>
            <w:r>
              <w:rPr>
                <w:rFonts w:ascii="宋体" w:hAnsi="宋体" w:eastAsia="宋体" w:cs="宋体"/>
                <w:spacing w:val="1"/>
                <w:sz w:val="21"/>
                <w:szCs w:val="21"/>
              </w:rPr>
              <w:t xml:space="preserve"> </w:t>
            </w:r>
            <w:r>
              <w:rPr>
                <w:rFonts w:ascii="宋体" w:hAnsi="宋体" w:eastAsia="宋体" w:cs="宋体"/>
                <w:spacing w:val="-3"/>
                <w:sz w:val="21"/>
                <w:szCs w:val="21"/>
              </w:rPr>
              <w:t>使用阶段</w:t>
            </w:r>
          </w:p>
        </w:tc>
        <w:tc>
          <w:tcPr>
            <w:tcW w:w="784" w:type="dxa"/>
            <w:vAlign w:val="top"/>
          </w:tcPr>
          <w:p w14:paraId="71FBB646">
            <w:pPr>
              <w:pStyle w:val="6"/>
              <w:spacing w:line="264" w:lineRule="auto"/>
            </w:pPr>
          </w:p>
          <w:p w14:paraId="15FACD67">
            <w:pPr>
              <w:spacing w:before="68" w:line="309" w:lineRule="auto"/>
              <w:ind w:left="179" w:right="161"/>
              <w:rPr>
                <w:rFonts w:ascii="宋体" w:hAnsi="宋体" w:eastAsia="宋体" w:cs="宋体"/>
                <w:sz w:val="21"/>
                <w:szCs w:val="21"/>
              </w:rPr>
            </w:pPr>
            <w:r>
              <w:rPr>
                <w:rFonts w:ascii="宋体" w:hAnsi="宋体" w:eastAsia="宋体" w:cs="宋体"/>
                <w:spacing w:val="-5"/>
                <w:sz w:val="21"/>
                <w:szCs w:val="21"/>
              </w:rPr>
              <w:t>装备</w:t>
            </w:r>
            <w:r>
              <w:rPr>
                <w:rFonts w:ascii="宋体" w:hAnsi="宋体" w:eastAsia="宋体" w:cs="宋体"/>
                <w:sz w:val="21"/>
                <w:szCs w:val="21"/>
              </w:rPr>
              <w:t xml:space="preserve"> </w:t>
            </w:r>
            <w:r>
              <w:rPr>
                <w:rFonts w:ascii="宋体" w:hAnsi="宋体" w:eastAsia="宋体" w:cs="宋体"/>
                <w:spacing w:val="6"/>
                <w:sz w:val="21"/>
                <w:szCs w:val="21"/>
              </w:rPr>
              <w:t>改型</w:t>
            </w:r>
          </w:p>
        </w:tc>
      </w:tr>
      <w:tr w14:paraId="7259E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44" w:type="dxa"/>
            <w:vAlign w:val="top"/>
          </w:tcPr>
          <w:p w14:paraId="60BB9480">
            <w:pPr>
              <w:spacing w:before="122" w:line="234" w:lineRule="auto"/>
              <w:ind w:left="355"/>
              <w:rPr>
                <w:rFonts w:ascii="宋体" w:hAnsi="宋体" w:eastAsia="宋体" w:cs="宋体"/>
                <w:sz w:val="21"/>
                <w:szCs w:val="21"/>
              </w:rPr>
            </w:pPr>
            <w:r>
              <w:rPr>
                <w:rFonts w:ascii="宋体" w:hAnsi="宋体" w:eastAsia="宋体" w:cs="宋体"/>
                <w:spacing w:val="-3"/>
                <w:sz w:val="21"/>
                <w:szCs w:val="21"/>
              </w:rPr>
              <w:t>9.2</w:t>
            </w:r>
          </w:p>
        </w:tc>
        <w:tc>
          <w:tcPr>
            <w:tcW w:w="839" w:type="dxa"/>
            <w:vAlign w:val="top"/>
          </w:tcPr>
          <w:p w14:paraId="42BBE383">
            <w:pPr>
              <w:spacing w:before="122" w:line="234" w:lineRule="auto"/>
              <w:ind w:left="251"/>
              <w:rPr>
                <w:rFonts w:ascii="宋体" w:hAnsi="宋体" w:eastAsia="宋体" w:cs="宋体"/>
                <w:sz w:val="21"/>
                <w:szCs w:val="21"/>
              </w:rPr>
            </w:pPr>
            <w:r>
              <w:rPr>
                <w:rFonts w:ascii="宋体" w:hAnsi="宋体" w:eastAsia="宋体" w:cs="宋体"/>
                <w:spacing w:val="-3"/>
                <w:sz w:val="21"/>
                <w:szCs w:val="21"/>
              </w:rPr>
              <w:t>502</w:t>
            </w:r>
          </w:p>
        </w:tc>
        <w:tc>
          <w:tcPr>
            <w:tcW w:w="2507" w:type="dxa"/>
            <w:vAlign w:val="top"/>
          </w:tcPr>
          <w:p w14:paraId="53369378">
            <w:pPr>
              <w:spacing w:before="99" w:line="218" w:lineRule="auto"/>
              <w:ind w:left="102"/>
              <w:rPr>
                <w:rFonts w:ascii="宋体" w:hAnsi="宋体" w:eastAsia="宋体" w:cs="宋体"/>
                <w:sz w:val="21"/>
                <w:szCs w:val="21"/>
              </w:rPr>
            </w:pPr>
            <w:r>
              <w:rPr>
                <w:rFonts w:ascii="宋体" w:hAnsi="宋体" w:eastAsia="宋体" w:cs="宋体"/>
                <w:spacing w:val="-1"/>
                <w:sz w:val="21"/>
                <w:szCs w:val="21"/>
              </w:rPr>
              <w:t>使用期间维修性评价</w:t>
            </w:r>
          </w:p>
        </w:tc>
        <w:tc>
          <w:tcPr>
            <w:tcW w:w="839" w:type="dxa"/>
            <w:vAlign w:val="top"/>
          </w:tcPr>
          <w:p w14:paraId="136D4B61">
            <w:pPr>
              <w:spacing w:before="144" w:line="201" w:lineRule="exact"/>
              <w:ind w:left="335"/>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115BD156">
            <w:pPr>
              <w:spacing w:before="144" w:line="201" w:lineRule="exact"/>
              <w:ind w:left="445"/>
              <w:rPr>
                <w:rFonts w:ascii="宋体" w:hAnsi="宋体" w:eastAsia="宋体" w:cs="宋体"/>
                <w:sz w:val="15"/>
                <w:szCs w:val="15"/>
              </w:rPr>
            </w:pPr>
            <w:r>
              <w:rPr>
                <w:rFonts w:ascii="宋体" w:hAnsi="宋体" w:eastAsia="宋体" w:cs="宋体"/>
                <w:position w:val="1"/>
                <w:sz w:val="15"/>
                <w:szCs w:val="15"/>
              </w:rPr>
              <w:t>×</w:t>
            </w:r>
          </w:p>
        </w:tc>
        <w:tc>
          <w:tcPr>
            <w:tcW w:w="1249" w:type="dxa"/>
            <w:vAlign w:val="top"/>
          </w:tcPr>
          <w:p w14:paraId="1B2B43F3">
            <w:pPr>
              <w:spacing w:before="144" w:line="201" w:lineRule="exact"/>
              <w:ind w:left="547"/>
              <w:rPr>
                <w:rFonts w:ascii="宋体" w:hAnsi="宋体" w:eastAsia="宋体" w:cs="宋体"/>
                <w:sz w:val="15"/>
                <w:szCs w:val="15"/>
              </w:rPr>
            </w:pPr>
            <w:r>
              <w:rPr>
                <w:rFonts w:ascii="宋体" w:hAnsi="宋体" w:eastAsia="宋体" w:cs="宋体"/>
                <w:position w:val="1"/>
                <w:sz w:val="15"/>
                <w:szCs w:val="15"/>
              </w:rPr>
              <w:t>×</w:t>
            </w:r>
          </w:p>
        </w:tc>
        <w:tc>
          <w:tcPr>
            <w:tcW w:w="1059" w:type="dxa"/>
            <w:vAlign w:val="top"/>
          </w:tcPr>
          <w:p w14:paraId="23401EB8">
            <w:pPr>
              <w:spacing w:before="122" w:line="234" w:lineRule="auto"/>
              <w:ind w:left="418"/>
              <w:rPr>
                <w:rFonts w:ascii="宋体" w:hAnsi="宋体" w:eastAsia="宋体" w:cs="宋体"/>
                <w:sz w:val="21"/>
                <w:szCs w:val="21"/>
              </w:rPr>
            </w:pPr>
            <w:r>
              <w:rPr>
                <w:rFonts w:ascii="宋体" w:hAnsi="宋体" w:eastAsia="宋体" w:cs="宋体"/>
                <w:sz w:val="21"/>
                <w:szCs w:val="21"/>
              </w:rPr>
              <w:t>√</w:t>
            </w:r>
          </w:p>
        </w:tc>
        <w:tc>
          <w:tcPr>
            <w:tcW w:w="784" w:type="dxa"/>
            <w:vAlign w:val="top"/>
          </w:tcPr>
          <w:p w14:paraId="009BBC92">
            <w:pPr>
              <w:spacing w:before="122" w:line="234" w:lineRule="auto"/>
              <w:ind w:left="279"/>
              <w:rPr>
                <w:rFonts w:ascii="宋体" w:hAnsi="宋体" w:eastAsia="宋体" w:cs="宋体"/>
                <w:sz w:val="21"/>
                <w:szCs w:val="21"/>
              </w:rPr>
            </w:pPr>
            <w:r>
              <w:rPr>
                <w:rFonts w:ascii="宋体" w:hAnsi="宋体" w:eastAsia="宋体" w:cs="宋体"/>
                <w:sz w:val="21"/>
                <w:szCs w:val="21"/>
              </w:rPr>
              <w:t>√</w:t>
            </w:r>
          </w:p>
        </w:tc>
      </w:tr>
      <w:tr w14:paraId="1A4B8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44" w:type="dxa"/>
            <w:vAlign w:val="top"/>
          </w:tcPr>
          <w:p w14:paraId="7AD53EF6">
            <w:pPr>
              <w:spacing w:before="123" w:line="233" w:lineRule="auto"/>
              <w:ind w:left="355"/>
              <w:rPr>
                <w:rFonts w:ascii="宋体" w:hAnsi="宋体" w:eastAsia="宋体" w:cs="宋体"/>
                <w:sz w:val="21"/>
                <w:szCs w:val="21"/>
              </w:rPr>
            </w:pPr>
            <w:r>
              <w:rPr>
                <w:rFonts w:ascii="宋体" w:hAnsi="宋体" w:eastAsia="宋体" w:cs="宋体"/>
                <w:spacing w:val="-3"/>
                <w:sz w:val="21"/>
                <w:szCs w:val="21"/>
              </w:rPr>
              <w:t>9.3</w:t>
            </w:r>
          </w:p>
        </w:tc>
        <w:tc>
          <w:tcPr>
            <w:tcW w:w="839" w:type="dxa"/>
            <w:vAlign w:val="top"/>
          </w:tcPr>
          <w:p w14:paraId="153813BF">
            <w:pPr>
              <w:spacing w:before="123" w:line="233" w:lineRule="auto"/>
              <w:ind w:left="251"/>
              <w:rPr>
                <w:rFonts w:ascii="宋体" w:hAnsi="宋体" w:eastAsia="宋体" w:cs="宋体"/>
                <w:sz w:val="21"/>
                <w:szCs w:val="21"/>
              </w:rPr>
            </w:pPr>
            <w:r>
              <w:rPr>
                <w:rFonts w:ascii="宋体" w:hAnsi="宋体" w:eastAsia="宋体" w:cs="宋体"/>
                <w:spacing w:val="-3"/>
                <w:sz w:val="21"/>
                <w:szCs w:val="21"/>
              </w:rPr>
              <w:t>503</w:t>
            </w:r>
          </w:p>
        </w:tc>
        <w:tc>
          <w:tcPr>
            <w:tcW w:w="2507" w:type="dxa"/>
            <w:vAlign w:val="top"/>
          </w:tcPr>
          <w:p w14:paraId="21AF4867">
            <w:pPr>
              <w:spacing w:before="102" w:line="219" w:lineRule="auto"/>
              <w:ind w:left="102"/>
              <w:rPr>
                <w:rFonts w:ascii="宋体" w:hAnsi="宋体" w:eastAsia="宋体" w:cs="宋体"/>
                <w:sz w:val="21"/>
                <w:szCs w:val="21"/>
              </w:rPr>
            </w:pPr>
            <w:r>
              <w:rPr>
                <w:rFonts w:ascii="宋体" w:hAnsi="宋体" w:eastAsia="宋体" w:cs="宋体"/>
                <w:spacing w:val="-1"/>
                <w:sz w:val="21"/>
                <w:szCs w:val="21"/>
              </w:rPr>
              <w:t>使用期间维修性改进</w:t>
            </w:r>
          </w:p>
        </w:tc>
        <w:tc>
          <w:tcPr>
            <w:tcW w:w="839" w:type="dxa"/>
            <w:vAlign w:val="top"/>
          </w:tcPr>
          <w:p w14:paraId="633C1331">
            <w:pPr>
              <w:spacing w:before="145" w:line="201" w:lineRule="exact"/>
              <w:ind w:left="335"/>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0CF494CA">
            <w:pPr>
              <w:spacing w:before="145" w:line="201" w:lineRule="exact"/>
              <w:ind w:left="445"/>
              <w:rPr>
                <w:rFonts w:ascii="宋体" w:hAnsi="宋体" w:eastAsia="宋体" w:cs="宋体"/>
                <w:sz w:val="15"/>
                <w:szCs w:val="15"/>
              </w:rPr>
            </w:pPr>
            <w:r>
              <w:rPr>
                <w:rFonts w:ascii="宋体" w:hAnsi="宋体" w:eastAsia="宋体" w:cs="宋体"/>
                <w:position w:val="1"/>
                <w:sz w:val="15"/>
                <w:szCs w:val="15"/>
              </w:rPr>
              <w:t>×</w:t>
            </w:r>
          </w:p>
        </w:tc>
        <w:tc>
          <w:tcPr>
            <w:tcW w:w="1249" w:type="dxa"/>
            <w:vAlign w:val="top"/>
          </w:tcPr>
          <w:p w14:paraId="79A10A4D">
            <w:pPr>
              <w:spacing w:before="145" w:line="201" w:lineRule="exact"/>
              <w:ind w:left="547"/>
              <w:rPr>
                <w:rFonts w:ascii="宋体" w:hAnsi="宋体" w:eastAsia="宋体" w:cs="宋体"/>
                <w:sz w:val="15"/>
                <w:szCs w:val="15"/>
              </w:rPr>
            </w:pPr>
            <w:r>
              <w:rPr>
                <w:rFonts w:ascii="宋体" w:hAnsi="宋体" w:eastAsia="宋体" w:cs="宋体"/>
                <w:position w:val="1"/>
                <w:sz w:val="15"/>
                <w:szCs w:val="15"/>
              </w:rPr>
              <w:t>×</w:t>
            </w:r>
          </w:p>
        </w:tc>
        <w:tc>
          <w:tcPr>
            <w:tcW w:w="1059" w:type="dxa"/>
            <w:vAlign w:val="top"/>
          </w:tcPr>
          <w:p w14:paraId="631FA9DE">
            <w:pPr>
              <w:spacing w:before="123" w:line="233" w:lineRule="auto"/>
              <w:ind w:left="418"/>
              <w:rPr>
                <w:rFonts w:ascii="宋体" w:hAnsi="宋体" w:eastAsia="宋体" w:cs="宋体"/>
                <w:sz w:val="21"/>
                <w:szCs w:val="21"/>
              </w:rPr>
            </w:pPr>
            <w:r>
              <w:rPr>
                <w:rFonts w:ascii="宋体" w:hAnsi="宋体" w:eastAsia="宋体" w:cs="宋体"/>
                <w:sz w:val="21"/>
                <w:szCs w:val="21"/>
              </w:rPr>
              <w:t>√</w:t>
            </w:r>
          </w:p>
        </w:tc>
        <w:tc>
          <w:tcPr>
            <w:tcW w:w="784" w:type="dxa"/>
            <w:vAlign w:val="top"/>
          </w:tcPr>
          <w:p w14:paraId="4648FFC1">
            <w:pPr>
              <w:spacing w:before="123" w:line="233" w:lineRule="auto"/>
              <w:ind w:left="279"/>
              <w:rPr>
                <w:rFonts w:ascii="宋体" w:hAnsi="宋体" w:eastAsia="宋体" w:cs="宋体"/>
                <w:sz w:val="21"/>
                <w:szCs w:val="21"/>
              </w:rPr>
            </w:pPr>
            <w:r>
              <w:rPr>
                <w:rFonts w:ascii="宋体" w:hAnsi="宋体" w:eastAsia="宋体" w:cs="宋体"/>
                <w:sz w:val="21"/>
                <w:szCs w:val="21"/>
              </w:rPr>
              <w:t>√</w:t>
            </w:r>
          </w:p>
        </w:tc>
      </w:tr>
      <w:tr w14:paraId="0A9EA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9" w:hRule="atLeast"/>
        </w:trPr>
        <w:tc>
          <w:tcPr>
            <w:tcW w:w="9370" w:type="dxa"/>
            <w:gridSpan w:val="8"/>
            <w:vAlign w:val="top"/>
          </w:tcPr>
          <w:p w14:paraId="4930AA67">
            <w:pPr>
              <w:spacing w:before="283" w:line="219" w:lineRule="auto"/>
              <w:ind w:left="85"/>
              <w:rPr>
                <w:rFonts w:ascii="宋体" w:hAnsi="宋体" w:eastAsia="宋体" w:cs="宋体"/>
                <w:sz w:val="21"/>
                <w:szCs w:val="21"/>
              </w:rPr>
            </w:pPr>
            <w:r>
              <w:rPr>
                <w:rFonts w:ascii="宋体" w:hAnsi="宋体" w:eastAsia="宋体" w:cs="宋体"/>
                <w:spacing w:val="-1"/>
                <w:sz w:val="21"/>
                <w:szCs w:val="21"/>
              </w:rPr>
              <w:t>注：</w:t>
            </w:r>
            <w:r>
              <w:rPr>
                <w:rFonts w:ascii="宋体" w:hAnsi="宋体" w:eastAsia="宋体" w:cs="宋体"/>
                <w:spacing w:val="-44"/>
                <w:sz w:val="21"/>
                <w:szCs w:val="21"/>
              </w:rPr>
              <w:t xml:space="preserve"> </w:t>
            </w:r>
            <w:r>
              <w:rPr>
                <w:rFonts w:ascii="宋体" w:hAnsi="宋体" w:eastAsia="宋体" w:cs="宋体"/>
                <w:spacing w:val="-1"/>
                <w:sz w:val="21"/>
                <w:szCs w:val="21"/>
              </w:rPr>
              <w:t>√表示一般适用；△表示根据需要选用；〇表示一般仅</w:t>
            </w:r>
            <w:r>
              <w:rPr>
                <w:rFonts w:ascii="宋体" w:hAnsi="宋体" w:eastAsia="宋体" w:cs="宋体"/>
                <w:spacing w:val="-2"/>
                <w:sz w:val="21"/>
                <w:szCs w:val="21"/>
              </w:rPr>
              <w:t>适用于设计变更；×表示不适用。</w:t>
            </w:r>
          </w:p>
          <w:p w14:paraId="75AA0111">
            <w:pPr>
              <w:spacing w:before="80" w:line="219" w:lineRule="auto"/>
              <w:ind w:left="85"/>
              <w:rPr>
                <w:rFonts w:ascii="宋体" w:hAnsi="宋体" w:eastAsia="宋体" w:cs="宋体"/>
                <w:sz w:val="21"/>
                <w:szCs w:val="21"/>
              </w:rPr>
            </w:pPr>
            <w:r>
              <w:rPr>
                <w:rFonts w:ascii="宋体" w:hAnsi="宋体" w:eastAsia="宋体" w:cs="宋体"/>
                <w:sz w:val="21"/>
                <w:szCs w:val="21"/>
              </w:rPr>
              <w:t>(1)要求对其费用效益作详细说明后确定。</w:t>
            </w:r>
          </w:p>
          <w:p w14:paraId="63D2B381">
            <w:pPr>
              <w:spacing w:before="68" w:line="272" w:lineRule="auto"/>
              <w:ind w:right="335" w:firstLine="114"/>
              <w:rPr>
                <w:rFonts w:ascii="宋体" w:hAnsi="宋体" w:eastAsia="宋体" w:cs="宋体"/>
                <w:sz w:val="21"/>
                <w:szCs w:val="21"/>
              </w:rPr>
            </w:pPr>
            <w:r>
              <w:rPr>
                <w:rFonts w:ascii="宋体" w:hAnsi="宋体" w:eastAsia="宋体" w:cs="宋体"/>
                <w:sz w:val="21"/>
                <w:szCs w:val="21"/>
              </w:rPr>
              <w:t>(2)GJB 368B不是该工作项目第一位的执行文件，在确定或</w:t>
            </w:r>
            <w:r>
              <w:rPr>
                <w:rFonts w:ascii="宋体" w:hAnsi="宋体" w:eastAsia="宋体" w:cs="宋体"/>
                <w:spacing w:val="-1"/>
                <w:sz w:val="21"/>
                <w:szCs w:val="21"/>
              </w:rPr>
              <w:t>取消某些要求时，必须考虑其他标准或</w:t>
            </w:r>
            <w:r>
              <w:rPr>
                <w:rFonts w:ascii="宋体" w:hAnsi="宋体" w:eastAsia="宋体" w:cs="宋体"/>
                <w:sz w:val="21"/>
                <w:szCs w:val="21"/>
              </w:rPr>
              <w:t xml:space="preserve"> 《工作说明》的要求。例如在叙述维修性验证细节和方法时，必须</w:t>
            </w:r>
            <w:r>
              <w:rPr>
                <w:rFonts w:ascii="宋体" w:hAnsi="宋体" w:eastAsia="宋体" w:cs="宋体"/>
                <w:spacing w:val="-1"/>
                <w:sz w:val="21"/>
                <w:szCs w:val="21"/>
              </w:rPr>
              <w:t>以GJB 2072为依据。</w:t>
            </w:r>
          </w:p>
          <w:p w14:paraId="0751C991">
            <w:pPr>
              <w:spacing w:before="83" w:line="219" w:lineRule="auto"/>
              <w:ind w:left="85"/>
              <w:rPr>
                <w:rFonts w:ascii="宋体" w:hAnsi="宋体" w:eastAsia="宋体" w:cs="宋体"/>
                <w:sz w:val="21"/>
                <w:szCs w:val="21"/>
              </w:rPr>
            </w:pPr>
            <w:r>
              <w:rPr>
                <w:rFonts w:ascii="宋体" w:hAnsi="宋体" w:eastAsia="宋体" w:cs="宋体"/>
                <w:sz w:val="21"/>
                <w:szCs w:val="21"/>
              </w:rPr>
              <w:t>(3)工作项目的部分要点适用于该阶段。</w:t>
            </w:r>
          </w:p>
          <w:p w14:paraId="11778EE5">
            <w:pPr>
              <w:spacing w:before="101" w:line="219" w:lineRule="auto"/>
              <w:ind w:left="85"/>
              <w:rPr>
                <w:rFonts w:ascii="宋体" w:hAnsi="宋体" w:eastAsia="宋体" w:cs="宋体"/>
                <w:sz w:val="21"/>
                <w:szCs w:val="21"/>
              </w:rPr>
            </w:pPr>
            <w:r>
              <w:rPr>
                <w:rFonts w:ascii="宋体" w:hAnsi="宋体" w:eastAsia="宋体" w:cs="宋体"/>
                <w:sz w:val="21"/>
                <w:szCs w:val="21"/>
              </w:rPr>
              <w:t>(4)取决于要订购的产品的复杂程度、组装及总的维修策略</w:t>
            </w:r>
          </w:p>
        </w:tc>
      </w:tr>
    </w:tbl>
    <w:p w14:paraId="6FD1EBA0">
      <w:pPr>
        <w:spacing w:before="140" w:line="222"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8"/>
          <w:sz w:val="27"/>
          <w:szCs w:val="27"/>
        </w:rPr>
        <w:t xml:space="preserve">   </w:t>
      </w:r>
      <w:r>
        <w:rPr>
          <w:rFonts w:ascii="黑体" w:hAnsi="黑体" w:eastAsia="黑体" w:cs="黑体"/>
          <w:b/>
          <w:bCs/>
          <w:sz w:val="27"/>
          <w:szCs w:val="27"/>
        </w:rPr>
        <w:t>维修性工作项目与其他工程的协调</w:t>
      </w:r>
    </w:p>
    <w:p w14:paraId="7F7E18A5">
      <w:pPr>
        <w:pStyle w:val="2"/>
        <w:spacing w:before="112" w:line="258" w:lineRule="auto"/>
        <w:ind w:right="105" w:firstLine="559"/>
        <w:jc w:val="both"/>
      </w:pPr>
      <w:r>
        <w:rPr>
          <w:spacing w:val="4"/>
        </w:rPr>
        <w:t>维修性工作项目应与相关工程，特别是与按</w:t>
      </w:r>
      <w:r>
        <w:rPr>
          <w:spacing w:val="-64"/>
        </w:rPr>
        <w:t xml:space="preserve"> </w:t>
      </w:r>
      <w:r>
        <w:rPr>
          <w:rFonts w:ascii="Times New Roman" w:hAnsi="Times New Roman" w:eastAsia="Times New Roman" w:cs="Times New Roman"/>
        </w:rPr>
        <w:t>GJB</w:t>
      </w:r>
      <w:r>
        <w:rPr>
          <w:rFonts w:ascii="Times New Roman" w:hAnsi="Times New Roman" w:eastAsia="Times New Roman" w:cs="Times New Roman"/>
          <w:spacing w:val="4"/>
        </w:rPr>
        <w:t xml:space="preserve"> 450A</w:t>
      </w:r>
      <w:r>
        <w:rPr>
          <w:rFonts w:ascii="Times New Roman" w:hAnsi="Times New Roman" w:eastAsia="Times New Roman" w:cs="Times New Roman"/>
          <w:spacing w:val="-38"/>
        </w:rPr>
        <w:t xml:space="preserve"> </w:t>
      </w:r>
      <w:r>
        <w:rPr>
          <w:spacing w:val="4"/>
        </w:rPr>
        <w:t>、</w:t>
      </w:r>
      <w:r>
        <w:rPr>
          <w:rFonts w:ascii="Times New Roman" w:hAnsi="Times New Roman" w:eastAsia="Times New Roman" w:cs="Times New Roman"/>
        </w:rPr>
        <w:t>GJB</w:t>
      </w:r>
      <w:r>
        <w:rPr>
          <w:rFonts w:ascii="Times New Roman" w:hAnsi="Times New Roman" w:eastAsia="Times New Roman" w:cs="Times New Roman"/>
          <w:spacing w:val="4"/>
        </w:rPr>
        <w:t xml:space="preserve"> 2547A</w:t>
      </w:r>
      <w:r>
        <w:rPr>
          <w:rFonts w:ascii="Times New Roman" w:hAnsi="Times New Roman" w:eastAsia="Times New Roman" w:cs="Times New Roman"/>
          <w:spacing w:val="-38"/>
        </w:rPr>
        <w:t xml:space="preserve"> </w:t>
      </w:r>
      <w:r>
        <w:rPr>
          <w:spacing w:val="4"/>
        </w:rPr>
        <w:t>、</w:t>
      </w:r>
      <w:r>
        <w:rPr>
          <w:rFonts w:ascii="Times New Roman" w:hAnsi="Times New Roman" w:eastAsia="Times New Roman" w:cs="Times New Roman"/>
        </w:rPr>
        <w:t xml:space="preserve">GJB </w:t>
      </w:r>
      <w:r>
        <w:rPr>
          <w:spacing w:val="6"/>
        </w:rPr>
        <w:t>3872确定的可靠性、测试性和综合保障工作项目协调，综</w:t>
      </w:r>
      <w:r>
        <w:rPr>
          <w:spacing w:val="5"/>
        </w:rPr>
        <w:t>合安排，相互利用信</w:t>
      </w:r>
      <w:r>
        <w:t xml:space="preserve"> </w:t>
      </w:r>
      <w:r>
        <w:rPr>
          <w:spacing w:val="-10"/>
        </w:rPr>
        <w:t>息，减少重复的工作。</w:t>
      </w:r>
    </w:p>
    <w:p w14:paraId="2D9A9377">
      <w:pPr>
        <w:spacing w:before="51" w:line="222" w:lineRule="auto"/>
        <w:rPr>
          <w:rFonts w:ascii="黑体" w:hAnsi="黑体" w:eastAsia="黑体" w:cs="黑体"/>
          <w:sz w:val="24"/>
          <w:szCs w:val="24"/>
        </w:rPr>
      </w:pPr>
      <w:r>
        <w:rPr>
          <w:rFonts w:ascii="黑体" w:hAnsi="黑体" w:eastAsia="黑体" w:cs="黑体"/>
          <w:spacing w:val="28"/>
          <w:sz w:val="24"/>
          <w:szCs w:val="24"/>
        </w:rPr>
        <w:t>6</w:t>
      </w:r>
      <w:r>
        <w:rPr>
          <w:rFonts w:ascii="黑体" w:hAnsi="黑体" w:eastAsia="黑体" w:cs="黑体"/>
          <w:spacing w:val="46"/>
          <w:sz w:val="24"/>
          <w:szCs w:val="24"/>
        </w:rPr>
        <w:t xml:space="preserve">  </w:t>
      </w:r>
      <w:r>
        <w:rPr>
          <w:rFonts w:ascii="黑体" w:hAnsi="黑体" w:eastAsia="黑体" w:cs="黑体"/>
          <w:b/>
          <w:bCs/>
          <w:spacing w:val="28"/>
          <w:sz w:val="24"/>
          <w:szCs w:val="24"/>
        </w:rPr>
        <w:t>维修性工作项目的实施内容</w:t>
      </w:r>
    </w:p>
    <w:p w14:paraId="32E2944C">
      <w:pPr>
        <w:pStyle w:val="2"/>
        <w:spacing w:before="107" w:line="256" w:lineRule="auto"/>
        <w:ind w:right="113" w:firstLine="559"/>
      </w:pPr>
      <w:r>
        <w:rPr>
          <w:spacing w:val="6"/>
        </w:rPr>
        <w:t>应明确对维修性工作项目的具体要求和注意事项，以确保维修性工作</w:t>
      </w:r>
      <w:r>
        <w:rPr>
          <w:spacing w:val="5"/>
        </w:rPr>
        <w:t>项目</w:t>
      </w:r>
      <w:r>
        <w:t xml:space="preserve"> </w:t>
      </w:r>
      <w:r>
        <w:rPr>
          <w:spacing w:val="-1"/>
        </w:rPr>
        <w:t>的实施效果。</w:t>
      </w:r>
    </w:p>
    <w:p w14:paraId="7261042E">
      <w:pPr>
        <w:spacing w:line="290" w:lineRule="auto"/>
        <w:rPr>
          <w:rFonts w:ascii="Arial"/>
          <w:sz w:val="21"/>
        </w:rPr>
      </w:pPr>
    </w:p>
    <w:p w14:paraId="7E4B859B">
      <w:pPr>
        <w:pStyle w:val="2"/>
        <w:spacing w:before="118" w:line="219" w:lineRule="auto"/>
        <w:ind w:left="3329"/>
        <w:outlineLvl w:val="1"/>
        <w:rPr>
          <w:sz w:val="36"/>
          <w:szCs w:val="36"/>
        </w:rPr>
      </w:pPr>
      <w:r>
        <w:rPr>
          <w:rFonts w:ascii="Times New Roman" w:hAnsi="Times New Roman" w:eastAsia="Times New Roman" w:cs="Times New Roman"/>
          <w:b/>
          <w:bCs/>
          <w:spacing w:val="-1"/>
          <w:sz w:val="36"/>
          <w:szCs w:val="36"/>
        </w:rPr>
        <w:t>8.3</w:t>
      </w:r>
      <w:r>
        <w:rPr>
          <w:rFonts w:ascii="Times New Roman" w:hAnsi="Times New Roman" w:eastAsia="Times New Roman" w:cs="Times New Roman"/>
          <w:b/>
          <w:bCs/>
          <w:spacing w:val="5"/>
          <w:sz w:val="36"/>
          <w:szCs w:val="36"/>
        </w:rPr>
        <w:t xml:space="preserve">     </w:t>
      </w:r>
      <w:r>
        <w:rPr>
          <w:b/>
          <w:bCs/>
          <w:spacing w:val="-1"/>
          <w:sz w:val="36"/>
          <w:szCs w:val="36"/>
        </w:rPr>
        <w:t>维修性计划</w:t>
      </w:r>
    </w:p>
    <w:p w14:paraId="2FBA7AA1">
      <w:pPr>
        <w:spacing w:line="334" w:lineRule="auto"/>
        <w:rPr>
          <w:rFonts w:ascii="Arial"/>
          <w:sz w:val="21"/>
        </w:rPr>
      </w:pPr>
    </w:p>
    <w:p w14:paraId="6C1FA0E3">
      <w:pPr>
        <w:pStyle w:val="2"/>
        <w:spacing w:before="92" w:line="223" w:lineRule="auto"/>
        <w:ind w:left="559"/>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368B—2009</w:t>
      </w:r>
      <w:r>
        <w:rPr>
          <w:spacing w:val="-10"/>
          <w:sz w:val="28"/>
          <w:szCs w:val="28"/>
        </w:rPr>
        <w:t>《</w:t>
      </w:r>
      <w:r>
        <w:rPr>
          <w:rFonts w:ascii="楷体" w:hAnsi="楷体" w:eastAsia="楷体" w:cs="楷体"/>
          <w:spacing w:val="-10"/>
          <w:sz w:val="28"/>
          <w:szCs w:val="28"/>
        </w:rPr>
        <w:t>装备维</w:t>
      </w:r>
      <w:r>
        <w:rPr>
          <w:rFonts w:ascii="楷体" w:hAnsi="楷体" w:eastAsia="楷体" w:cs="楷体"/>
          <w:spacing w:val="-11"/>
          <w:sz w:val="28"/>
          <w:szCs w:val="28"/>
        </w:rPr>
        <w:t>修性工作通用要求》编写。</w:t>
      </w:r>
    </w:p>
    <w:p w14:paraId="28248FD2">
      <w:pPr>
        <w:spacing w:before="25"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6"/>
          <w:sz w:val="27"/>
          <w:szCs w:val="27"/>
        </w:rPr>
        <w:t xml:space="preserve">  </w:t>
      </w:r>
      <w:r>
        <w:rPr>
          <w:rFonts w:ascii="黑体" w:hAnsi="黑体" w:eastAsia="黑体" w:cs="黑体"/>
          <w:b/>
          <w:bCs/>
          <w:spacing w:val="-13"/>
          <w:sz w:val="27"/>
          <w:szCs w:val="27"/>
        </w:rPr>
        <w:t>范围</w:t>
      </w:r>
    </w:p>
    <w:p w14:paraId="7A3B0857">
      <w:pPr>
        <w:spacing w:before="82"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253F9C71">
      <w:pPr>
        <w:spacing w:before="87"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9"/>
          <w:sz w:val="27"/>
          <w:szCs w:val="27"/>
        </w:rPr>
        <w:t xml:space="preserve">  </w:t>
      </w:r>
      <w:r>
        <w:rPr>
          <w:rFonts w:ascii="黑体" w:hAnsi="黑体" w:eastAsia="黑体" w:cs="黑体"/>
          <w:b/>
          <w:bCs/>
          <w:spacing w:val="-1"/>
          <w:sz w:val="27"/>
          <w:szCs w:val="27"/>
        </w:rPr>
        <w:t>总体要求和安排</w:t>
      </w:r>
    </w:p>
    <w:p w14:paraId="1092CAF5">
      <w:pPr>
        <w:pStyle w:val="2"/>
        <w:spacing w:before="119" w:line="219" w:lineRule="auto"/>
        <w:ind w:left="559"/>
      </w:pPr>
      <w:r>
        <w:rPr>
          <w:spacing w:val="4"/>
        </w:rPr>
        <w:t>说明装备维修性工作的总体要求和安排。</w:t>
      </w:r>
    </w:p>
    <w:p w14:paraId="342C44FC">
      <w:pPr>
        <w:spacing w:before="73" w:line="221" w:lineRule="auto"/>
        <w:outlineLvl w:val="3"/>
        <w:rPr>
          <w:rFonts w:ascii="黑体" w:hAnsi="黑体" w:eastAsia="黑体" w:cs="黑体"/>
          <w:sz w:val="24"/>
          <w:szCs w:val="24"/>
        </w:rPr>
      </w:pPr>
      <w:r>
        <w:rPr>
          <w:rFonts w:ascii="Arial" w:hAnsi="Arial" w:eastAsia="Arial" w:cs="Arial"/>
          <w:b/>
          <w:bCs/>
          <w:spacing w:val="24"/>
          <w:sz w:val="24"/>
          <w:szCs w:val="24"/>
        </w:rPr>
        <w:t xml:space="preserve">4    </w:t>
      </w:r>
      <w:r>
        <w:rPr>
          <w:rFonts w:ascii="黑体" w:hAnsi="黑体" w:eastAsia="黑体" w:cs="黑体"/>
          <w:b/>
          <w:bCs/>
          <w:spacing w:val="24"/>
          <w:sz w:val="24"/>
          <w:szCs w:val="24"/>
        </w:rPr>
        <w:t>管理和实施机构及其职责</w:t>
      </w:r>
    </w:p>
    <w:p w14:paraId="75913588">
      <w:pPr>
        <w:pStyle w:val="2"/>
        <w:spacing w:before="128" w:line="262" w:lineRule="auto"/>
        <w:ind w:right="120" w:firstLine="559"/>
      </w:pPr>
      <w:r>
        <w:rPr>
          <w:spacing w:val="6"/>
        </w:rPr>
        <w:t>分别确定维修性工作的管理与实施机构及其职责。应</w:t>
      </w:r>
      <w:r>
        <w:rPr>
          <w:spacing w:val="5"/>
        </w:rPr>
        <w:t>明确订购方完成的工</w:t>
      </w:r>
      <w:r>
        <w:t xml:space="preserve"> </w:t>
      </w:r>
      <w:r>
        <w:rPr>
          <w:spacing w:val="-6"/>
        </w:rPr>
        <w:t>作项目及其要求，主要工作内容、进度安排以及实施单位等。</w:t>
      </w:r>
    </w:p>
    <w:p w14:paraId="0C2AF380">
      <w:pPr>
        <w:spacing w:before="1" w:line="221"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6"/>
          <w:sz w:val="27"/>
          <w:szCs w:val="27"/>
        </w:rPr>
        <w:t xml:space="preserve">   </w:t>
      </w:r>
      <w:r>
        <w:rPr>
          <w:rFonts w:ascii="黑体" w:hAnsi="黑体" w:eastAsia="黑体" w:cs="黑体"/>
          <w:b/>
          <w:bCs/>
          <w:sz w:val="27"/>
          <w:szCs w:val="27"/>
        </w:rPr>
        <w:t>维修性及其工作项目要求论证工作的安排</w:t>
      </w:r>
    </w:p>
    <w:p w14:paraId="6F04CF68">
      <w:pPr>
        <w:pStyle w:val="2"/>
        <w:spacing w:before="101" w:line="219" w:lineRule="auto"/>
        <w:ind w:left="559"/>
      </w:pPr>
      <w:r>
        <w:rPr>
          <w:spacing w:val="-1"/>
        </w:rPr>
        <w:t>明确对维修性要求的论证、维修性工作项目要求</w:t>
      </w:r>
      <w:r>
        <w:rPr>
          <w:spacing w:val="-2"/>
        </w:rPr>
        <w:t>的论证的安排。</w:t>
      </w:r>
    </w:p>
    <w:p w14:paraId="543EED66">
      <w:pPr>
        <w:spacing w:before="63" w:line="222" w:lineRule="auto"/>
        <w:rPr>
          <w:rFonts w:ascii="黑体" w:hAnsi="黑体" w:eastAsia="黑体" w:cs="黑体"/>
          <w:sz w:val="24"/>
          <w:szCs w:val="24"/>
        </w:rPr>
      </w:pPr>
      <w:r>
        <w:rPr>
          <w:rFonts w:ascii="黑体" w:hAnsi="黑体" w:eastAsia="黑体" w:cs="黑体"/>
          <w:spacing w:val="28"/>
          <w:sz w:val="24"/>
          <w:szCs w:val="24"/>
        </w:rPr>
        <w:t>6</w:t>
      </w:r>
      <w:r>
        <w:rPr>
          <w:rFonts w:ascii="黑体" w:hAnsi="黑体" w:eastAsia="黑体" w:cs="黑体"/>
          <w:spacing w:val="45"/>
          <w:sz w:val="24"/>
          <w:szCs w:val="24"/>
        </w:rPr>
        <w:t xml:space="preserve">  </w:t>
      </w:r>
      <w:r>
        <w:rPr>
          <w:rFonts w:ascii="黑体" w:hAnsi="黑体" w:eastAsia="黑体" w:cs="黑体"/>
          <w:b/>
          <w:bCs/>
          <w:spacing w:val="28"/>
          <w:sz w:val="24"/>
          <w:szCs w:val="24"/>
        </w:rPr>
        <w:t>维修性信息工作的要求与安排</w:t>
      </w:r>
    </w:p>
    <w:p w14:paraId="486DBFC6">
      <w:pPr>
        <w:pStyle w:val="2"/>
        <w:spacing w:before="118" w:line="219" w:lineRule="auto"/>
        <w:jc w:val="right"/>
      </w:pPr>
      <w:r>
        <w:rPr>
          <w:spacing w:val="1"/>
        </w:rPr>
        <w:t>维修性信息包括装备论证、研制、生产和使用阶段产生的有关维修性数据、</w:t>
      </w:r>
    </w:p>
    <w:p w14:paraId="6AECB797">
      <w:pPr>
        <w:spacing w:line="219" w:lineRule="auto"/>
        <w:sectPr>
          <w:footerReference r:id="rId410" w:type="default"/>
          <w:pgSz w:w="11910" w:h="17130"/>
          <w:pgMar w:top="1456" w:right="925" w:bottom="1586" w:left="1480" w:header="0" w:footer="1397" w:gutter="0"/>
          <w:cols w:space="720" w:num="1"/>
        </w:sectPr>
      </w:pPr>
    </w:p>
    <w:p w14:paraId="09B40D29">
      <w:pPr>
        <w:pStyle w:val="2"/>
        <w:spacing w:before="152" w:line="213" w:lineRule="auto"/>
      </w:pPr>
      <w:r>
        <w:rPr>
          <w:spacing w:val="3"/>
        </w:rPr>
        <w:t>报告及文件等。维修性信息工作的主要要求有：</w:t>
      </w:r>
    </w:p>
    <w:p w14:paraId="556B964C">
      <w:pPr>
        <w:pStyle w:val="2"/>
        <w:spacing w:before="2" w:line="280" w:lineRule="auto"/>
        <w:ind w:right="101" w:firstLine="550"/>
      </w:pPr>
      <w:r>
        <w:rPr>
          <w:rFonts w:ascii="Times New Roman" w:hAnsi="Times New Roman" w:eastAsia="Times New Roman" w:cs="Times New Roman"/>
          <w:spacing w:val="5"/>
        </w:rPr>
        <w:t xml:space="preserve">a)  </w:t>
      </w:r>
      <w:r>
        <w:rPr>
          <w:spacing w:val="5"/>
        </w:rPr>
        <w:t>维修性信息应作为装备质量信息的重要内容，并按</w:t>
      </w:r>
      <w:r>
        <w:rPr>
          <w:rFonts w:ascii="Times New Roman" w:hAnsi="Times New Roman" w:eastAsia="Times New Roman" w:cs="Times New Roman"/>
        </w:rPr>
        <w:t>GJB</w:t>
      </w:r>
      <w:r>
        <w:rPr>
          <w:rFonts w:ascii="Times New Roman" w:hAnsi="Times New Roman" w:eastAsia="Times New Roman" w:cs="Times New Roman"/>
          <w:spacing w:val="30"/>
        </w:rPr>
        <w:t xml:space="preserve">  </w:t>
      </w:r>
      <w:r>
        <w:rPr>
          <w:rFonts w:ascii="Times New Roman" w:hAnsi="Times New Roman" w:eastAsia="Times New Roman" w:cs="Times New Roman"/>
          <w:spacing w:val="5"/>
        </w:rPr>
        <w:t xml:space="preserve">1686 </w:t>
      </w:r>
      <w:r>
        <w:rPr>
          <w:spacing w:val="5"/>
        </w:rPr>
        <w:t>的规定实</w:t>
      </w:r>
      <w:r>
        <w:t xml:space="preserve"> </w:t>
      </w:r>
      <w:r>
        <w:rPr>
          <w:spacing w:val="1"/>
        </w:rPr>
        <w:t>施统一管理；</w:t>
      </w:r>
    </w:p>
    <w:p w14:paraId="6E97B6A3">
      <w:pPr>
        <w:pStyle w:val="2"/>
        <w:spacing w:before="38" w:line="267" w:lineRule="auto"/>
        <w:ind w:right="104" w:firstLine="550"/>
      </w:pPr>
      <w:r>
        <w:rPr>
          <w:rFonts w:ascii="Times New Roman" w:hAnsi="Times New Roman" w:eastAsia="Times New Roman" w:cs="Times New Roman"/>
          <w:spacing w:val="3"/>
        </w:rPr>
        <w:t xml:space="preserve">b)  </w:t>
      </w:r>
      <w:r>
        <w:rPr>
          <w:spacing w:val="3"/>
        </w:rPr>
        <w:t>应明确装备寿命周期各阶段对维修</w:t>
      </w:r>
      <w:r>
        <w:rPr>
          <w:spacing w:val="2"/>
        </w:rPr>
        <w:t>性信息的要求，并通过利用或完善现</w:t>
      </w:r>
      <w:r>
        <w:t xml:space="preserve"> 有的信息系统，建立维修性数据收集、分析和纠正措施系统(</w:t>
      </w:r>
      <w:r>
        <w:rPr>
          <w:rFonts w:ascii="Times New Roman" w:hAnsi="Times New Roman" w:eastAsia="Times New Roman" w:cs="Times New Roman"/>
        </w:rPr>
        <w:t xml:space="preserve">DCACAS),  </w:t>
      </w:r>
      <w:r>
        <w:t>有效地</w:t>
      </w:r>
      <w:r>
        <w:rPr>
          <w:spacing w:val="16"/>
        </w:rPr>
        <w:t xml:space="preserve"> </w:t>
      </w:r>
      <w:r>
        <w:rPr>
          <w:spacing w:val="-17"/>
        </w:rPr>
        <w:t>收集、记录、分析、处理和反馈维修性信息；</w:t>
      </w:r>
    </w:p>
    <w:p w14:paraId="34FB18EB">
      <w:pPr>
        <w:pStyle w:val="2"/>
        <w:spacing w:before="20" w:line="270" w:lineRule="auto"/>
        <w:ind w:right="103" w:firstLine="550"/>
      </w:pPr>
      <w:r>
        <w:rPr>
          <w:rFonts w:ascii="Times New Roman" w:hAnsi="Times New Roman" w:eastAsia="Times New Roman" w:cs="Times New Roman"/>
        </w:rPr>
        <w:t>c)</w:t>
      </w:r>
      <w:r>
        <w:rPr>
          <w:rFonts w:ascii="Times New Roman" w:hAnsi="Times New Roman" w:eastAsia="Times New Roman" w:cs="Times New Roman"/>
          <w:spacing w:val="63"/>
        </w:rPr>
        <w:t xml:space="preserve"> </w:t>
      </w:r>
      <w:r>
        <w:t>有关维修性信息应按</w:t>
      </w:r>
      <w:r>
        <w:rPr>
          <w:rFonts w:ascii="Times New Roman" w:hAnsi="Times New Roman" w:eastAsia="Times New Roman" w:cs="Times New Roman"/>
        </w:rPr>
        <w:t>GJB1775</w:t>
      </w:r>
      <w:r>
        <w:rPr>
          <w:rFonts w:ascii="Times New Roman" w:hAnsi="Times New Roman" w:eastAsia="Times New Roman" w:cs="Times New Roman"/>
          <w:spacing w:val="-38"/>
        </w:rPr>
        <w:t xml:space="preserve"> </w:t>
      </w:r>
      <w:r>
        <w:t>、</w:t>
      </w:r>
      <w:r>
        <w:rPr>
          <w:rFonts w:ascii="Times New Roman" w:hAnsi="Times New Roman" w:eastAsia="Times New Roman" w:cs="Times New Roman"/>
        </w:rPr>
        <w:t>GJB</w:t>
      </w:r>
      <w:r>
        <w:rPr>
          <w:rFonts w:ascii="Times New Roman" w:hAnsi="Times New Roman" w:eastAsia="Times New Roman" w:cs="Times New Roman"/>
          <w:spacing w:val="65"/>
        </w:rPr>
        <w:t xml:space="preserve"> </w:t>
      </w:r>
      <w:r>
        <w:rPr>
          <w:rFonts w:ascii="Times New Roman" w:hAnsi="Times New Roman" w:eastAsia="Times New Roman" w:cs="Times New Roman"/>
        </w:rPr>
        <w:t xml:space="preserve">3837 </w:t>
      </w:r>
      <w:r>
        <w:t xml:space="preserve">等标准的要求，规定信息单元 </w:t>
      </w:r>
      <w:r>
        <w:rPr>
          <w:spacing w:val="-1"/>
        </w:rPr>
        <w:t>的名称和代码；</w:t>
      </w:r>
    </w:p>
    <w:p w14:paraId="6C9F766B">
      <w:pPr>
        <w:pStyle w:val="2"/>
        <w:spacing w:before="28" w:line="266" w:lineRule="auto"/>
        <w:ind w:right="85" w:firstLine="550"/>
      </w:pPr>
      <w:r>
        <w:rPr>
          <w:rFonts w:ascii="Times New Roman" w:hAnsi="Times New Roman" w:eastAsia="Times New Roman" w:cs="Times New Roman"/>
          <w:spacing w:val="12"/>
        </w:rPr>
        <w:t>d)</w:t>
      </w:r>
      <w:r>
        <w:rPr>
          <w:rFonts w:ascii="Times New Roman" w:hAnsi="Times New Roman" w:eastAsia="Times New Roman" w:cs="Times New Roman"/>
          <w:spacing w:val="62"/>
        </w:rPr>
        <w:t xml:space="preserve"> </w:t>
      </w:r>
      <w:r>
        <w:rPr>
          <w:spacing w:val="12"/>
        </w:rPr>
        <w:t>订购方和承制方相互提供的维修性信息及其要求均应在相应的合同中</w:t>
      </w:r>
      <w:r>
        <w:t xml:space="preserve"> </w:t>
      </w:r>
      <w:r>
        <w:rPr>
          <w:spacing w:val="1"/>
        </w:rPr>
        <w:t>明确，其中维修性工作报告的格式应按</w:t>
      </w:r>
      <w:r>
        <w:rPr>
          <w:rFonts w:ascii="Times New Roman" w:hAnsi="Times New Roman" w:eastAsia="Times New Roman" w:cs="Times New Roman"/>
        </w:rPr>
        <w:t>GJB</w:t>
      </w:r>
      <w:r>
        <w:rPr>
          <w:rFonts w:ascii="Times New Roman" w:hAnsi="Times New Roman" w:eastAsia="Times New Roman" w:cs="Times New Roman"/>
          <w:spacing w:val="1"/>
        </w:rPr>
        <w:t xml:space="preserve">/Z  </w:t>
      </w:r>
      <w:r>
        <w:rPr>
          <w:rFonts w:ascii="Times New Roman" w:hAnsi="Times New Roman" w:eastAsia="Times New Roman" w:cs="Times New Roman"/>
        </w:rPr>
        <w:t xml:space="preserve"> 23</w:t>
      </w:r>
      <w:r>
        <w:t>的规定。</w:t>
      </w:r>
    </w:p>
    <w:p w14:paraId="20E577FB">
      <w:pPr>
        <w:spacing w:before="110" w:line="221" w:lineRule="auto"/>
        <w:rPr>
          <w:rFonts w:ascii="黑体" w:hAnsi="黑体" w:eastAsia="黑体" w:cs="黑体"/>
          <w:sz w:val="24"/>
          <w:szCs w:val="24"/>
        </w:rPr>
      </w:pPr>
      <w:r>
        <w:rPr>
          <w:rFonts w:ascii="Arial" w:hAnsi="Arial" w:eastAsia="Arial" w:cs="Arial"/>
          <w:spacing w:val="26"/>
          <w:sz w:val="24"/>
          <w:szCs w:val="24"/>
        </w:rPr>
        <w:t xml:space="preserve">7    </w:t>
      </w:r>
      <w:r>
        <w:rPr>
          <w:rFonts w:ascii="黑体" w:hAnsi="黑体" w:eastAsia="黑体" w:cs="黑体"/>
          <w:spacing w:val="26"/>
          <w:sz w:val="24"/>
          <w:szCs w:val="24"/>
        </w:rPr>
        <w:t>对承制方监督与控制工作的安排</w:t>
      </w:r>
    </w:p>
    <w:p w14:paraId="56A4D6F2">
      <w:pPr>
        <w:pStyle w:val="2"/>
        <w:spacing w:before="105" w:line="277" w:lineRule="auto"/>
        <w:ind w:right="99" w:firstLine="550"/>
      </w:pPr>
      <w:r>
        <w:rPr>
          <w:spacing w:val="6"/>
        </w:rPr>
        <w:t>明确订购方对承制方、承制方对转承制方和供应方的维修</w:t>
      </w:r>
      <w:r>
        <w:rPr>
          <w:spacing w:val="5"/>
        </w:rPr>
        <w:t>性工作进行监督</w:t>
      </w:r>
      <w:r>
        <w:t xml:space="preserve"> </w:t>
      </w:r>
      <w:r>
        <w:rPr>
          <w:spacing w:val="-2"/>
        </w:rPr>
        <w:t>与控制工作的安排。</w:t>
      </w:r>
    </w:p>
    <w:p w14:paraId="63CDDF51">
      <w:pPr>
        <w:pStyle w:val="2"/>
        <w:spacing w:before="9" w:line="219" w:lineRule="auto"/>
        <w:ind w:left="550"/>
      </w:pPr>
      <w:r>
        <w:rPr>
          <w:spacing w:val="2"/>
        </w:rPr>
        <w:t>承制方对转承制方和供应方的要求主要包括以下内容：</w:t>
      </w:r>
    </w:p>
    <w:p w14:paraId="68C3452B">
      <w:pPr>
        <w:pStyle w:val="2"/>
        <w:spacing w:before="51" w:line="212" w:lineRule="auto"/>
        <w:ind w:left="550"/>
      </w:pPr>
      <w:r>
        <w:rPr>
          <w:rFonts w:ascii="Times New Roman" w:hAnsi="Times New Roman" w:eastAsia="Times New Roman" w:cs="Times New Roman"/>
          <w:spacing w:val="3"/>
        </w:rPr>
        <w:t xml:space="preserve">a)  </w:t>
      </w:r>
      <w:r>
        <w:rPr>
          <w:spacing w:val="3"/>
        </w:rPr>
        <w:t>维修性定量与定性要求及验证方法；</w:t>
      </w:r>
    </w:p>
    <w:p w14:paraId="2DD343E1">
      <w:pPr>
        <w:pStyle w:val="2"/>
        <w:spacing w:before="99" w:line="212" w:lineRule="auto"/>
        <w:ind w:left="550"/>
      </w:pPr>
      <w:r>
        <w:rPr>
          <w:rFonts w:ascii="Times New Roman" w:hAnsi="Times New Roman" w:eastAsia="Times New Roman" w:cs="Times New Roman"/>
          <w:spacing w:val="3"/>
        </w:rPr>
        <w:t xml:space="preserve">b)  </w:t>
      </w:r>
      <w:r>
        <w:rPr>
          <w:spacing w:val="3"/>
        </w:rPr>
        <w:t>对转承制方维修性工作项目的要求；</w:t>
      </w:r>
    </w:p>
    <w:p w14:paraId="01828B44">
      <w:pPr>
        <w:pStyle w:val="2"/>
        <w:spacing w:before="80"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54"/>
        </w:rPr>
        <w:t xml:space="preserve"> </w:t>
      </w:r>
      <w:r>
        <w:rPr>
          <w:spacing w:val="4"/>
        </w:rPr>
        <w:t>对转承制方维修性工作实施监督和检查的安排；</w:t>
      </w:r>
    </w:p>
    <w:p w14:paraId="5FFCA11A">
      <w:pPr>
        <w:pStyle w:val="2"/>
        <w:spacing w:before="132" w:line="212" w:lineRule="auto"/>
        <w:ind w:left="550"/>
        <w:rPr>
          <w:sz w:val="24"/>
          <w:szCs w:val="24"/>
        </w:rPr>
      </w:pPr>
      <w:r>
        <w:rPr>
          <w:rFonts w:ascii="Times New Roman" w:hAnsi="Times New Roman" w:eastAsia="Times New Roman" w:cs="Times New Roman"/>
          <w:spacing w:val="26"/>
          <w:sz w:val="24"/>
          <w:szCs w:val="24"/>
        </w:rPr>
        <w:t xml:space="preserve">d)  </w:t>
      </w:r>
      <w:r>
        <w:rPr>
          <w:spacing w:val="26"/>
          <w:sz w:val="24"/>
          <w:szCs w:val="24"/>
        </w:rPr>
        <w:t>转承制方执行维修性数据收集、分析和纠正措施系统的要求；</w:t>
      </w:r>
    </w:p>
    <w:p w14:paraId="470C355F">
      <w:pPr>
        <w:pStyle w:val="2"/>
        <w:spacing w:before="103" w:line="212" w:lineRule="auto"/>
        <w:ind w:left="550"/>
      </w:pPr>
      <w:r>
        <w:rPr>
          <w:rFonts w:ascii="Times New Roman" w:hAnsi="Times New Roman" w:eastAsia="Times New Roman" w:cs="Times New Roman"/>
          <w:spacing w:val="-1"/>
        </w:rPr>
        <w:t>e)</w:t>
      </w:r>
      <w:r>
        <w:rPr>
          <w:rFonts w:ascii="Times New Roman" w:hAnsi="Times New Roman" w:eastAsia="Times New Roman" w:cs="Times New Roman"/>
          <w:spacing w:val="75"/>
          <w:w w:val="101"/>
        </w:rPr>
        <w:t xml:space="preserve"> </w:t>
      </w:r>
      <w:r>
        <w:rPr>
          <w:spacing w:val="-1"/>
        </w:rPr>
        <w:t>承制方参加转承制方产品设计评审、维修性试验的有关事项；</w:t>
      </w:r>
    </w:p>
    <w:p w14:paraId="3484B518">
      <w:pPr>
        <w:pStyle w:val="2"/>
        <w:spacing w:before="100" w:line="260" w:lineRule="auto"/>
        <w:ind w:right="100" w:firstLine="550"/>
      </w:pPr>
      <w:r>
        <w:rPr>
          <w:rFonts w:ascii="Times New Roman" w:hAnsi="Times New Roman" w:eastAsia="Times New Roman" w:cs="Times New Roman"/>
          <w:spacing w:val="4"/>
        </w:rPr>
        <w:t xml:space="preserve">f)  </w:t>
      </w:r>
      <w:r>
        <w:rPr>
          <w:spacing w:val="4"/>
        </w:rPr>
        <w:t>转承制方或供应方提供产品规范、图样、维修性数据资料和其他技术文</w:t>
      </w:r>
      <w:r>
        <w:t xml:space="preserve"> 件等的要求。</w:t>
      </w:r>
    </w:p>
    <w:p w14:paraId="1E60EBD6">
      <w:pPr>
        <w:spacing w:before="64" w:line="327" w:lineRule="exact"/>
        <w:rPr>
          <w:rFonts w:ascii="黑体" w:hAnsi="黑体" w:eastAsia="黑体" w:cs="黑体"/>
          <w:sz w:val="24"/>
          <w:szCs w:val="24"/>
        </w:rPr>
      </w:pPr>
      <w:r>
        <w:rPr>
          <w:rFonts w:ascii="Arial" w:hAnsi="Arial" w:eastAsia="Arial" w:cs="Arial"/>
          <w:spacing w:val="25"/>
          <w:position w:val="1"/>
          <w:sz w:val="24"/>
          <w:szCs w:val="24"/>
        </w:rPr>
        <w:t xml:space="preserve">8    </w:t>
      </w:r>
      <w:r>
        <w:rPr>
          <w:rFonts w:ascii="黑体" w:hAnsi="黑体" w:eastAsia="黑体" w:cs="黑体"/>
          <w:spacing w:val="25"/>
          <w:position w:val="1"/>
          <w:sz w:val="24"/>
          <w:szCs w:val="24"/>
        </w:rPr>
        <w:t>评审工作的要求与安排</w:t>
      </w:r>
    </w:p>
    <w:p w14:paraId="7D5A4D8F">
      <w:pPr>
        <w:pStyle w:val="2"/>
        <w:spacing w:before="120" w:line="273" w:lineRule="auto"/>
        <w:ind w:firstLine="550"/>
      </w:pPr>
      <w:r>
        <w:rPr>
          <w:spacing w:val="6"/>
        </w:rPr>
        <w:t>维修性评审主要包括订购方内部的维修性评审</w:t>
      </w:r>
      <w:r>
        <w:rPr>
          <w:spacing w:val="5"/>
        </w:rPr>
        <w:t>和按合同要求对承制方、转</w:t>
      </w:r>
      <w:r>
        <w:t xml:space="preserve"> </w:t>
      </w:r>
      <w:r>
        <w:rPr>
          <w:spacing w:val="1"/>
        </w:rPr>
        <w:t>承制方进行的维修性评审，还应包括承制方和转承制方</w:t>
      </w:r>
      <w:r>
        <w:t>进行的内部维修性评审。</w:t>
      </w:r>
    </w:p>
    <w:p w14:paraId="575013B4">
      <w:pPr>
        <w:pStyle w:val="2"/>
        <w:spacing w:before="2" w:line="266" w:lineRule="auto"/>
        <w:ind w:right="106" w:firstLine="550"/>
      </w:pPr>
      <w:r>
        <w:rPr>
          <w:spacing w:val="-3"/>
        </w:rPr>
        <w:t>明确需要进行的维修性评审，提出对评审工作的</w:t>
      </w:r>
      <w:r>
        <w:rPr>
          <w:spacing w:val="-4"/>
        </w:rPr>
        <w:t>要求和安排，即在制定维修</w:t>
      </w:r>
      <w:r>
        <w:t xml:space="preserve"> </w:t>
      </w:r>
      <w:r>
        <w:rPr>
          <w:spacing w:val="-10"/>
        </w:rPr>
        <w:t>性评审计划，提供有关评审的文件和资料，与作战性能、可靠性、安全性、综合保</w:t>
      </w:r>
      <w:r>
        <w:rPr>
          <w:spacing w:val="8"/>
        </w:rPr>
        <w:t xml:space="preserve"> </w:t>
      </w:r>
      <w:r>
        <w:rPr>
          <w:spacing w:val="-1"/>
        </w:rPr>
        <w:t>障等评审协调进行的情况，形成文件的评审结果等方面的要求。</w:t>
      </w:r>
    </w:p>
    <w:p w14:paraId="18EE432C">
      <w:pPr>
        <w:spacing w:line="368" w:lineRule="exact"/>
        <w:rPr>
          <w:rFonts w:ascii="黑体" w:hAnsi="黑体" w:eastAsia="黑体" w:cs="黑体"/>
          <w:sz w:val="27"/>
          <w:szCs w:val="27"/>
        </w:rPr>
      </w:pPr>
      <w:r>
        <w:rPr>
          <w:rFonts w:ascii="Arial" w:hAnsi="Arial" w:eastAsia="Arial" w:cs="Arial"/>
          <w:spacing w:val="3"/>
          <w:position w:val="1"/>
          <w:sz w:val="27"/>
          <w:szCs w:val="27"/>
        </w:rPr>
        <w:t>9</w:t>
      </w:r>
      <w:r>
        <w:rPr>
          <w:rFonts w:ascii="Arial" w:hAnsi="Arial" w:eastAsia="Arial" w:cs="Arial"/>
          <w:spacing w:val="24"/>
          <w:position w:val="1"/>
          <w:sz w:val="27"/>
          <w:szCs w:val="27"/>
        </w:rPr>
        <w:t xml:space="preserve">   </w:t>
      </w:r>
      <w:r>
        <w:rPr>
          <w:rFonts w:ascii="黑体" w:hAnsi="黑体" w:eastAsia="黑体" w:cs="黑体"/>
          <w:spacing w:val="3"/>
          <w:position w:val="1"/>
          <w:sz w:val="27"/>
          <w:szCs w:val="27"/>
        </w:rPr>
        <w:t>维修性试验与评价工作的要求与安排</w:t>
      </w:r>
    </w:p>
    <w:p w14:paraId="1BDD9BBA">
      <w:pPr>
        <w:pStyle w:val="2"/>
        <w:spacing w:before="100" w:line="275" w:lineRule="auto"/>
        <w:ind w:right="104" w:firstLine="550"/>
      </w:pPr>
      <w:r>
        <w:rPr>
          <w:spacing w:val="-3"/>
        </w:rPr>
        <w:t>明确维修性试验与评价工作即维修性核查、维修性验证试验、维修性分析评</w:t>
      </w:r>
      <w:r>
        <w:rPr>
          <w:spacing w:val="8"/>
        </w:rPr>
        <w:t xml:space="preserve"> </w:t>
      </w:r>
      <w:r>
        <w:rPr>
          <w:spacing w:val="1"/>
        </w:rPr>
        <w:t>价的要求与安排。</w:t>
      </w:r>
    </w:p>
    <w:p w14:paraId="32B6524E">
      <w:pPr>
        <w:spacing w:before="17" w:line="222" w:lineRule="auto"/>
        <w:rPr>
          <w:rFonts w:ascii="黑体" w:hAnsi="黑体" w:eastAsia="黑体" w:cs="黑体"/>
          <w:sz w:val="27"/>
          <w:szCs w:val="27"/>
        </w:rPr>
      </w:pPr>
      <w:r>
        <w:rPr>
          <w:rFonts w:ascii="黑体" w:hAnsi="黑体" w:eastAsia="黑体" w:cs="黑体"/>
          <w:spacing w:val="5"/>
          <w:sz w:val="27"/>
          <w:szCs w:val="27"/>
        </w:rPr>
        <w:t>10  使用期间维修性评价与改进工作的要求与安排</w:t>
      </w:r>
    </w:p>
    <w:p w14:paraId="2736DF6C">
      <w:pPr>
        <w:pStyle w:val="2"/>
        <w:spacing w:before="64" w:line="284" w:lineRule="auto"/>
        <w:ind w:right="104" w:firstLine="550"/>
      </w:pPr>
      <w:r>
        <w:rPr>
          <w:spacing w:val="-3"/>
        </w:rPr>
        <w:t>对使用维修性信息收集、使用维修性评估、使用维修性改进三个工作项目进</w:t>
      </w:r>
      <w:r>
        <w:rPr>
          <w:spacing w:val="8"/>
        </w:rPr>
        <w:t xml:space="preserve"> </w:t>
      </w:r>
      <w:r>
        <w:rPr>
          <w:spacing w:val="-11"/>
        </w:rPr>
        <w:t>行安排，并提出要求。</w:t>
      </w:r>
    </w:p>
    <w:p w14:paraId="1833AA80">
      <w:pPr>
        <w:spacing w:line="284" w:lineRule="auto"/>
        <w:sectPr>
          <w:footerReference r:id="rId411" w:type="default"/>
          <w:pgSz w:w="11910" w:h="17130"/>
          <w:pgMar w:top="1456" w:right="1264" w:bottom="1586" w:left="1170" w:header="0" w:footer="1397" w:gutter="0"/>
          <w:cols w:space="720" w:num="1"/>
        </w:sectPr>
      </w:pPr>
    </w:p>
    <w:p w14:paraId="1BB9238A">
      <w:pPr>
        <w:spacing w:before="162" w:line="222" w:lineRule="auto"/>
        <w:rPr>
          <w:rFonts w:ascii="黑体" w:hAnsi="黑体" w:eastAsia="黑体" w:cs="黑体"/>
          <w:sz w:val="24"/>
          <w:szCs w:val="24"/>
        </w:rPr>
      </w:pPr>
      <w:r>
        <w:rPr>
          <w:rFonts w:ascii="黑体" w:hAnsi="黑体" w:eastAsia="黑体" w:cs="黑体"/>
          <w:spacing w:val="26"/>
          <w:sz w:val="24"/>
          <w:szCs w:val="24"/>
        </w:rPr>
        <w:t>11</w:t>
      </w:r>
      <w:r>
        <w:rPr>
          <w:rFonts w:ascii="黑体" w:hAnsi="黑体" w:eastAsia="黑体" w:cs="黑体"/>
          <w:spacing w:val="46"/>
          <w:sz w:val="24"/>
          <w:szCs w:val="24"/>
        </w:rPr>
        <w:t xml:space="preserve">  </w:t>
      </w:r>
      <w:r>
        <w:rPr>
          <w:rFonts w:ascii="黑体" w:hAnsi="黑体" w:eastAsia="黑体" w:cs="黑体"/>
          <w:spacing w:val="26"/>
          <w:sz w:val="24"/>
          <w:szCs w:val="24"/>
        </w:rPr>
        <w:t>工作进度及经费安排</w:t>
      </w:r>
    </w:p>
    <w:p w14:paraId="165B65EC">
      <w:pPr>
        <w:pStyle w:val="2"/>
        <w:spacing w:before="94" w:line="219" w:lineRule="auto"/>
        <w:ind w:left="550"/>
      </w:pPr>
      <w:r>
        <w:rPr>
          <w:spacing w:val="3"/>
        </w:rPr>
        <w:t>明确维修性各项工作的计划进度及经费安排。</w:t>
      </w:r>
    </w:p>
    <w:p w14:paraId="68168F91">
      <w:pPr>
        <w:spacing w:before="79" w:line="222" w:lineRule="auto"/>
        <w:rPr>
          <w:rFonts w:ascii="黑体" w:hAnsi="黑体" w:eastAsia="黑体" w:cs="黑体"/>
          <w:sz w:val="27"/>
          <w:szCs w:val="27"/>
        </w:rPr>
      </w:pPr>
      <w:r>
        <w:rPr>
          <w:rFonts w:ascii="Arial" w:hAnsi="Arial" w:eastAsia="Arial" w:cs="Arial"/>
          <w:sz w:val="27"/>
          <w:szCs w:val="27"/>
        </w:rPr>
        <w:t>12</w:t>
      </w:r>
      <w:r>
        <w:rPr>
          <w:rFonts w:ascii="Arial" w:hAnsi="Arial" w:eastAsia="Arial" w:cs="Arial"/>
          <w:spacing w:val="20"/>
          <w:sz w:val="27"/>
          <w:szCs w:val="27"/>
        </w:rPr>
        <w:t xml:space="preserve">   </w:t>
      </w:r>
      <w:r>
        <w:rPr>
          <w:rFonts w:ascii="黑体" w:hAnsi="黑体" w:eastAsia="黑体" w:cs="黑体"/>
          <w:sz w:val="27"/>
          <w:szCs w:val="27"/>
        </w:rPr>
        <w:t>与其他计划的协调</w:t>
      </w:r>
    </w:p>
    <w:p w14:paraId="761790C5">
      <w:pPr>
        <w:pStyle w:val="2"/>
        <w:spacing w:before="75" w:line="219" w:lineRule="auto"/>
        <w:ind w:left="550"/>
      </w:pPr>
      <w:r>
        <w:rPr>
          <w:spacing w:val="-2"/>
        </w:rPr>
        <w:t>说明维修性工作与其他相关工作的协调情况，主要包括：</w:t>
      </w:r>
    </w:p>
    <w:p w14:paraId="319119AB">
      <w:pPr>
        <w:pStyle w:val="2"/>
        <w:spacing w:before="59" w:line="260" w:lineRule="auto"/>
        <w:ind w:firstLine="550"/>
      </w:pPr>
      <w:r>
        <w:rPr>
          <w:rFonts w:ascii="Times New Roman" w:hAnsi="Times New Roman" w:eastAsia="Times New Roman" w:cs="Times New Roman"/>
          <w:spacing w:val="-4"/>
        </w:rPr>
        <w:t xml:space="preserve">a)  </w:t>
      </w:r>
      <w:r>
        <w:rPr>
          <w:spacing w:val="-4"/>
        </w:rPr>
        <w:t>维修性工作应与可靠性、综合保障、测试性、</w:t>
      </w:r>
      <w:r>
        <w:rPr>
          <w:spacing w:val="-5"/>
        </w:rPr>
        <w:t>安全性、质量管理等相关的</w:t>
      </w:r>
      <w:r>
        <w:t xml:space="preserve"> </w:t>
      </w:r>
      <w:r>
        <w:rPr>
          <w:spacing w:val="-4"/>
        </w:rPr>
        <w:t>工作相协调，并尽可能结合进行，但应保证维修性工作的实质性内容和要求；</w:t>
      </w:r>
    </w:p>
    <w:p w14:paraId="4D8255B2">
      <w:pPr>
        <w:pStyle w:val="2"/>
        <w:spacing w:before="49" w:line="260" w:lineRule="auto"/>
        <w:ind w:right="8" w:firstLine="550"/>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维修性工作的输出信息应能满足综合保障、测试性和</w:t>
      </w:r>
      <w:r>
        <w:rPr>
          <w:spacing w:val="2"/>
        </w:rPr>
        <w:t>安全性工作的有关</w:t>
      </w:r>
      <w:r>
        <w:t xml:space="preserve"> </w:t>
      </w:r>
      <w:r>
        <w:rPr>
          <w:spacing w:val="-3"/>
        </w:rPr>
        <w:t>输入要求，维修性工作计划应明确这些接口关系。</w:t>
      </w:r>
    </w:p>
    <w:p w14:paraId="062966C5">
      <w:pPr>
        <w:spacing w:line="339" w:lineRule="auto"/>
        <w:rPr>
          <w:rFonts w:ascii="Arial"/>
          <w:sz w:val="21"/>
        </w:rPr>
      </w:pPr>
    </w:p>
    <w:p w14:paraId="47F1C978">
      <w:pPr>
        <w:pStyle w:val="2"/>
        <w:spacing w:before="117" w:line="219" w:lineRule="auto"/>
        <w:ind w:left="2969"/>
        <w:outlineLvl w:val="1"/>
        <w:rPr>
          <w:sz w:val="36"/>
          <w:szCs w:val="36"/>
        </w:rPr>
      </w:pPr>
      <w:r>
        <w:rPr>
          <w:rFonts w:ascii="Times New Roman" w:hAnsi="Times New Roman" w:eastAsia="Times New Roman" w:cs="Times New Roman"/>
          <w:b/>
          <w:bCs/>
          <w:spacing w:val="2"/>
          <w:sz w:val="36"/>
          <w:szCs w:val="36"/>
        </w:rPr>
        <w:t xml:space="preserve">8.4     </w:t>
      </w:r>
      <w:r>
        <w:rPr>
          <w:b/>
          <w:bCs/>
          <w:spacing w:val="2"/>
          <w:sz w:val="36"/>
          <w:szCs w:val="36"/>
        </w:rPr>
        <w:t>维修性工作计划</w:t>
      </w:r>
    </w:p>
    <w:p w14:paraId="61ED8EA5">
      <w:pPr>
        <w:spacing w:line="314" w:lineRule="auto"/>
        <w:rPr>
          <w:rFonts w:ascii="Arial"/>
          <w:sz w:val="21"/>
        </w:rPr>
      </w:pPr>
    </w:p>
    <w:p w14:paraId="2F18DE50">
      <w:pPr>
        <w:pStyle w:val="2"/>
        <w:spacing w:before="92" w:line="223" w:lineRule="auto"/>
        <w:ind w:left="550"/>
        <w:rPr>
          <w:rFonts w:ascii="楷体" w:hAnsi="楷体" w:eastAsia="楷体" w:cs="楷体"/>
          <w:sz w:val="28"/>
          <w:szCs w:val="28"/>
        </w:rPr>
      </w:pPr>
      <w:r>
        <w:rPr>
          <w:rFonts w:ascii="楷体" w:hAnsi="楷体" w:eastAsia="楷体" w:cs="楷体"/>
          <w:color w:val="505050"/>
          <w:spacing w:val="-11"/>
          <w:sz w:val="28"/>
          <w:szCs w:val="28"/>
        </w:rPr>
        <w:t>按照</w:t>
      </w:r>
      <w:r>
        <w:rPr>
          <w:rFonts w:ascii="Times New Roman" w:hAnsi="Times New Roman" w:eastAsia="Times New Roman" w:cs="Times New Roman"/>
          <w:color w:val="505050"/>
          <w:spacing w:val="-11"/>
          <w:sz w:val="28"/>
          <w:szCs w:val="28"/>
        </w:rPr>
        <w:t>GJB 368B—2009</w:t>
      </w:r>
      <w:r>
        <w:rPr>
          <w:color w:val="505050"/>
          <w:spacing w:val="-11"/>
          <w:sz w:val="28"/>
          <w:szCs w:val="28"/>
        </w:rPr>
        <w:t>《</w:t>
      </w:r>
      <w:r>
        <w:rPr>
          <w:rFonts w:ascii="楷体" w:hAnsi="楷体" w:eastAsia="楷体" w:cs="楷体"/>
          <w:color w:val="505050"/>
          <w:spacing w:val="-11"/>
          <w:sz w:val="28"/>
          <w:szCs w:val="28"/>
        </w:rPr>
        <w:t>装备维修性工作通用要求》编写。</w:t>
      </w:r>
    </w:p>
    <w:p w14:paraId="027B60E1">
      <w:pPr>
        <w:spacing w:before="89" w:line="223" w:lineRule="auto"/>
        <w:rPr>
          <w:rFonts w:ascii="黑体" w:hAnsi="黑体" w:eastAsia="黑体" w:cs="黑体"/>
          <w:sz w:val="27"/>
          <w:szCs w:val="27"/>
        </w:rPr>
      </w:pPr>
      <w:r>
        <w:rPr>
          <w:rFonts w:ascii="黑体" w:hAnsi="黑体" w:eastAsia="黑体" w:cs="黑体"/>
          <w:sz w:val="27"/>
          <w:szCs w:val="27"/>
        </w:rPr>
        <w:t>1</w:t>
      </w:r>
      <w:r>
        <w:rPr>
          <w:rFonts w:ascii="黑体" w:hAnsi="黑体" w:eastAsia="黑体" w:cs="黑体"/>
          <w:spacing w:val="15"/>
          <w:sz w:val="27"/>
          <w:szCs w:val="27"/>
        </w:rPr>
        <w:t xml:space="preserve">  </w:t>
      </w:r>
      <w:r>
        <w:rPr>
          <w:rFonts w:ascii="黑体" w:hAnsi="黑体" w:eastAsia="黑体" w:cs="黑体"/>
          <w:sz w:val="27"/>
          <w:szCs w:val="27"/>
        </w:rPr>
        <w:t>范围</w:t>
      </w:r>
    </w:p>
    <w:p w14:paraId="5D5E558E">
      <w:pPr>
        <w:spacing w:before="72" w:line="222" w:lineRule="auto"/>
        <w:rPr>
          <w:rFonts w:ascii="黑体" w:hAnsi="黑体" w:eastAsia="黑体" w:cs="黑体"/>
          <w:sz w:val="27"/>
          <w:szCs w:val="27"/>
        </w:rPr>
      </w:pPr>
      <w:r>
        <w:rPr>
          <w:rFonts w:ascii="黑体" w:hAnsi="黑体" w:eastAsia="黑体" w:cs="黑体"/>
          <w:spacing w:val="6"/>
          <w:sz w:val="27"/>
          <w:szCs w:val="27"/>
        </w:rPr>
        <w:t>2  引用文件</w:t>
      </w:r>
    </w:p>
    <w:p w14:paraId="1A1225F5">
      <w:pPr>
        <w:spacing w:before="27" w:line="368" w:lineRule="exact"/>
        <w:rPr>
          <w:rFonts w:ascii="黑体" w:hAnsi="黑体" w:eastAsia="黑体" w:cs="黑体"/>
          <w:sz w:val="27"/>
          <w:szCs w:val="27"/>
        </w:rPr>
      </w:pPr>
      <w:r>
        <w:rPr>
          <w:rFonts w:ascii="Arial" w:hAnsi="Arial" w:eastAsia="Arial" w:cs="Arial"/>
          <w:spacing w:val="3"/>
          <w:position w:val="1"/>
          <w:sz w:val="27"/>
          <w:szCs w:val="27"/>
        </w:rPr>
        <w:t>3</w:t>
      </w:r>
      <w:r>
        <w:rPr>
          <w:rFonts w:ascii="Arial" w:hAnsi="Arial" w:eastAsia="Arial" w:cs="Arial"/>
          <w:spacing w:val="19"/>
          <w:position w:val="1"/>
          <w:sz w:val="27"/>
          <w:szCs w:val="27"/>
        </w:rPr>
        <w:t xml:space="preserve">   </w:t>
      </w:r>
      <w:r>
        <w:rPr>
          <w:rFonts w:ascii="黑体" w:hAnsi="黑体" w:eastAsia="黑体" w:cs="黑体"/>
          <w:spacing w:val="3"/>
          <w:position w:val="1"/>
          <w:sz w:val="27"/>
          <w:szCs w:val="27"/>
        </w:rPr>
        <w:t>维修性要求和维修性工作项目的要求</w:t>
      </w:r>
    </w:p>
    <w:p w14:paraId="4E298933">
      <w:pPr>
        <w:pStyle w:val="2"/>
        <w:spacing w:before="112" w:line="273" w:lineRule="auto"/>
        <w:ind w:right="7" w:firstLine="550"/>
      </w:pPr>
      <w:r>
        <w:rPr>
          <w:spacing w:val="6"/>
        </w:rPr>
        <w:t>说明产品的维修性要求和维修性工作项目的要求</w:t>
      </w:r>
      <w:r>
        <w:rPr>
          <w:spacing w:val="5"/>
        </w:rPr>
        <w:t>，工作计划中至少应包含</w:t>
      </w:r>
      <w:r>
        <w:t xml:space="preserve"> </w:t>
      </w:r>
      <w:r>
        <w:rPr>
          <w:spacing w:val="2"/>
        </w:rPr>
        <w:t>合同规定的全部维修性工作项目。</w:t>
      </w:r>
    </w:p>
    <w:p w14:paraId="0BBC875C">
      <w:pPr>
        <w:spacing w:before="1" w:line="221" w:lineRule="auto"/>
        <w:rPr>
          <w:rFonts w:ascii="黑体" w:hAnsi="黑体" w:eastAsia="黑体" w:cs="黑体"/>
          <w:sz w:val="27"/>
          <w:szCs w:val="27"/>
        </w:rPr>
      </w:pPr>
      <w:r>
        <w:rPr>
          <w:rFonts w:ascii="黑体" w:hAnsi="黑体" w:eastAsia="黑体" w:cs="黑体"/>
          <w:spacing w:val="4"/>
          <w:sz w:val="27"/>
          <w:szCs w:val="27"/>
        </w:rPr>
        <w:t>4  各项维修性工作项目的实施细则</w:t>
      </w:r>
    </w:p>
    <w:p w14:paraId="4B383444">
      <w:pPr>
        <w:pStyle w:val="2"/>
        <w:spacing w:before="86" w:line="275" w:lineRule="auto"/>
        <w:ind w:right="8" w:firstLine="550"/>
      </w:pPr>
      <w:r>
        <w:rPr>
          <w:spacing w:val="-11"/>
        </w:rPr>
        <w:t>明确各项维修性工作项目的目的、内容、范围、实施程序、完成结果和对完成</w:t>
      </w:r>
      <w:r>
        <w:rPr>
          <w:spacing w:val="15"/>
        </w:rPr>
        <w:t xml:space="preserve"> </w:t>
      </w:r>
      <w:r>
        <w:rPr>
          <w:spacing w:val="2"/>
        </w:rPr>
        <w:t>结果检查评价的方式。</w:t>
      </w:r>
    </w:p>
    <w:p w14:paraId="66388E90">
      <w:pPr>
        <w:spacing w:line="327" w:lineRule="exact"/>
        <w:rPr>
          <w:rFonts w:ascii="黑体" w:hAnsi="黑体" w:eastAsia="黑体" w:cs="黑体"/>
          <w:sz w:val="24"/>
          <w:szCs w:val="24"/>
        </w:rPr>
      </w:pPr>
      <w:r>
        <w:rPr>
          <w:rFonts w:ascii="Arial" w:hAnsi="Arial" w:eastAsia="Arial" w:cs="Arial"/>
          <w:spacing w:val="32"/>
          <w:position w:val="1"/>
          <w:sz w:val="24"/>
          <w:szCs w:val="24"/>
        </w:rPr>
        <w:t>5</w:t>
      </w:r>
      <w:r>
        <w:rPr>
          <w:rFonts w:ascii="Arial" w:hAnsi="Arial" w:eastAsia="Arial" w:cs="Arial"/>
          <w:spacing w:val="4"/>
          <w:position w:val="1"/>
          <w:sz w:val="24"/>
          <w:szCs w:val="24"/>
        </w:rPr>
        <w:t xml:space="preserve">    </w:t>
      </w:r>
      <w:r>
        <w:rPr>
          <w:rFonts w:ascii="黑体" w:hAnsi="黑体" w:eastAsia="黑体" w:cs="黑体"/>
          <w:spacing w:val="32"/>
          <w:position w:val="1"/>
          <w:sz w:val="24"/>
          <w:szCs w:val="24"/>
        </w:rPr>
        <w:t>管理和实施机构及其职责</w:t>
      </w:r>
    </w:p>
    <w:p w14:paraId="7416E602">
      <w:pPr>
        <w:pStyle w:val="2"/>
        <w:spacing w:before="127" w:line="288" w:lineRule="auto"/>
        <w:ind w:right="25" w:firstLine="550"/>
        <w:rPr>
          <w:sz w:val="25"/>
          <w:szCs w:val="25"/>
        </w:rPr>
      </w:pPr>
      <w:r>
        <w:rPr>
          <w:spacing w:val="25"/>
          <w:sz w:val="25"/>
          <w:szCs w:val="25"/>
        </w:rPr>
        <w:t>明确维修性工作的管理和实施机构及其职责，以及保证计划得以实施所需</w:t>
      </w:r>
      <w:r>
        <w:rPr>
          <w:spacing w:val="4"/>
          <w:sz w:val="25"/>
          <w:szCs w:val="25"/>
        </w:rPr>
        <w:t xml:space="preserve"> </w:t>
      </w:r>
      <w:r>
        <w:rPr>
          <w:spacing w:val="13"/>
          <w:sz w:val="25"/>
          <w:szCs w:val="25"/>
        </w:rPr>
        <w:t>的组织、人员和经费等资源的配备。</w:t>
      </w:r>
    </w:p>
    <w:p w14:paraId="7718A6CD">
      <w:pPr>
        <w:spacing w:before="2" w:line="220" w:lineRule="auto"/>
        <w:rPr>
          <w:rFonts w:ascii="黑体" w:hAnsi="黑体" w:eastAsia="黑体" w:cs="黑体"/>
          <w:sz w:val="27"/>
          <w:szCs w:val="27"/>
        </w:rPr>
      </w:pPr>
      <w:r>
        <w:rPr>
          <w:rFonts w:ascii="黑体" w:hAnsi="黑体" w:eastAsia="黑体" w:cs="黑体"/>
          <w:spacing w:val="5"/>
          <w:sz w:val="27"/>
          <w:szCs w:val="27"/>
        </w:rPr>
        <w:t>6  维修性工作与其他工作协调的说明</w:t>
      </w:r>
    </w:p>
    <w:p w14:paraId="36D48C83">
      <w:pPr>
        <w:pStyle w:val="2"/>
        <w:spacing w:before="109" w:line="273" w:lineRule="auto"/>
        <w:ind w:firstLine="550"/>
      </w:pPr>
      <w:r>
        <w:rPr>
          <w:spacing w:val="6"/>
        </w:rPr>
        <w:t>说明维修性工作与产品研制计划中其他工作的协调情况。维修性工</w:t>
      </w:r>
      <w:r>
        <w:rPr>
          <w:spacing w:val="5"/>
        </w:rPr>
        <w:t>作计划</w:t>
      </w:r>
      <w:r>
        <w:t xml:space="preserve"> </w:t>
      </w:r>
      <w:r>
        <w:rPr>
          <w:spacing w:val="-5"/>
        </w:rPr>
        <w:t>应与可靠性工程、综合保障等领域的有关工作相互协调，避免重复。</w:t>
      </w:r>
    </w:p>
    <w:p w14:paraId="16521F2F">
      <w:pPr>
        <w:spacing w:before="1" w:line="221" w:lineRule="auto"/>
        <w:rPr>
          <w:rFonts w:ascii="黑体" w:hAnsi="黑体" w:eastAsia="黑体" w:cs="黑体"/>
          <w:sz w:val="27"/>
          <w:szCs w:val="27"/>
        </w:rPr>
      </w:pPr>
      <w:r>
        <w:rPr>
          <w:rFonts w:ascii="Arial" w:hAnsi="Arial" w:eastAsia="Arial" w:cs="Arial"/>
          <w:spacing w:val="3"/>
          <w:sz w:val="27"/>
          <w:szCs w:val="27"/>
        </w:rPr>
        <w:t>7</w:t>
      </w:r>
      <w:r>
        <w:rPr>
          <w:rFonts w:ascii="Arial" w:hAnsi="Arial" w:eastAsia="Arial" w:cs="Arial"/>
          <w:spacing w:val="19"/>
          <w:sz w:val="27"/>
          <w:szCs w:val="27"/>
        </w:rPr>
        <w:t xml:space="preserve">   </w:t>
      </w:r>
      <w:r>
        <w:rPr>
          <w:rFonts w:ascii="黑体" w:hAnsi="黑体" w:eastAsia="黑体" w:cs="黑体"/>
          <w:spacing w:val="3"/>
          <w:sz w:val="27"/>
          <w:szCs w:val="27"/>
        </w:rPr>
        <w:t>维修性工作所需数据资料</w:t>
      </w:r>
    </w:p>
    <w:p w14:paraId="5881B72C">
      <w:pPr>
        <w:spacing w:before="85" w:line="221" w:lineRule="auto"/>
        <w:rPr>
          <w:rFonts w:ascii="黑体" w:hAnsi="黑体" w:eastAsia="黑体" w:cs="黑体"/>
          <w:sz w:val="27"/>
          <w:szCs w:val="27"/>
        </w:rPr>
      </w:pPr>
      <w:r>
        <w:rPr>
          <w:rFonts w:ascii="Arial" w:hAnsi="Arial" w:eastAsia="Arial" w:cs="Arial"/>
          <w:spacing w:val="4"/>
          <w:sz w:val="27"/>
          <w:szCs w:val="27"/>
        </w:rPr>
        <w:t xml:space="preserve">7.1    </w:t>
      </w:r>
      <w:r>
        <w:rPr>
          <w:rFonts w:ascii="黑体" w:hAnsi="黑体" w:eastAsia="黑体" w:cs="黑体"/>
          <w:spacing w:val="4"/>
          <w:sz w:val="27"/>
          <w:szCs w:val="27"/>
        </w:rPr>
        <w:t>数据资料种类及获取途径</w:t>
      </w:r>
    </w:p>
    <w:p w14:paraId="1020E3C5">
      <w:pPr>
        <w:pStyle w:val="2"/>
        <w:spacing w:before="99" w:line="219" w:lineRule="auto"/>
        <w:ind w:left="550"/>
      </w:pPr>
      <w:r>
        <w:rPr>
          <w:spacing w:val="-3"/>
        </w:rPr>
        <w:t>明确进行维修性工作所需数据资料种类、获取途径。</w:t>
      </w:r>
    </w:p>
    <w:p w14:paraId="5701980D">
      <w:pPr>
        <w:spacing w:before="77" w:line="221" w:lineRule="auto"/>
        <w:rPr>
          <w:rFonts w:ascii="黑体" w:hAnsi="黑体" w:eastAsia="黑体" w:cs="黑体"/>
          <w:sz w:val="27"/>
          <w:szCs w:val="27"/>
        </w:rPr>
      </w:pPr>
      <w:r>
        <w:rPr>
          <w:rFonts w:ascii="黑体" w:hAnsi="黑体" w:eastAsia="黑体" w:cs="黑体"/>
          <w:spacing w:val="2"/>
          <w:sz w:val="27"/>
          <w:szCs w:val="27"/>
        </w:rPr>
        <w:t>7.2</w:t>
      </w:r>
      <w:r>
        <w:rPr>
          <w:rFonts w:ascii="黑体" w:hAnsi="黑体" w:eastAsia="黑体" w:cs="黑体"/>
          <w:spacing w:val="21"/>
          <w:sz w:val="27"/>
          <w:szCs w:val="27"/>
        </w:rPr>
        <w:t xml:space="preserve">  </w:t>
      </w:r>
      <w:r>
        <w:rPr>
          <w:rFonts w:ascii="黑体" w:hAnsi="黑体" w:eastAsia="黑体" w:cs="黑体"/>
          <w:spacing w:val="2"/>
          <w:sz w:val="27"/>
          <w:szCs w:val="27"/>
        </w:rPr>
        <w:t>数据资料传递方式与程序</w:t>
      </w:r>
    </w:p>
    <w:p w14:paraId="50CCA100">
      <w:pPr>
        <w:pStyle w:val="2"/>
        <w:spacing w:before="98" w:line="219" w:lineRule="auto"/>
        <w:ind w:left="550"/>
      </w:pPr>
      <w:r>
        <w:rPr>
          <w:spacing w:val="4"/>
        </w:rPr>
        <w:t>明确进行维修性工作所需数据资料传递方式与程序。</w:t>
      </w:r>
    </w:p>
    <w:p w14:paraId="61D61A3F">
      <w:pPr>
        <w:spacing w:before="59" w:line="222" w:lineRule="auto"/>
        <w:rPr>
          <w:rFonts w:ascii="黑体" w:hAnsi="黑体" w:eastAsia="黑体" w:cs="黑体"/>
          <w:sz w:val="27"/>
          <w:szCs w:val="27"/>
        </w:rPr>
      </w:pPr>
      <w:r>
        <w:rPr>
          <w:rFonts w:ascii="黑体" w:hAnsi="黑体" w:eastAsia="黑体" w:cs="黑体"/>
          <w:spacing w:val="3"/>
          <w:sz w:val="27"/>
          <w:szCs w:val="27"/>
        </w:rPr>
        <w:t>8  维修性评审安排</w:t>
      </w:r>
    </w:p>
    <w:p w14:paraId="68314C70">
      <w:pPr>
        <w:pStyle w:val="2"/>
        <w:spacing w:before="128" w:line="282" w:lineRule="auto"/>
        <w:ind w:right="23" w:firstLine="550"/>
      </w:pPr>
      <w:r>
        <w:rPr>
          <w:spacing w:val="-4"/>
        </w:rPr>
        <w:t>明确维修性评审工作的具体安排。包括维修性评审点设置、评审内容、评审</w:t>
      </w:r>
      <w:r>
        <w:rPr>
          <w:spacing w:val="14"/>
        </w:rPr>
        <w:t xml:space="preserve"> </w:t>
      </w:r>
      <w:r>
        <w:rPr>
          <w:spacing w:val="5"/>
        </w:rPr>
        <w:t>类型、评审方式及要求等。评审的结果应形成文件。维修性评审应尽可能与作</w:t>
      </w:r>
    </w:p>
    <w:p w14:paraId="49500675">
      <w:pPr>
        <w:spacing w:line="282" w:lineRule="auto"/>
        <w:sectPr>
          <w:footerReference r:id="rId412" w:type="default"/>
          <w:pgSz w:w="11910" w:h="17130"/>
          <w:pgMar w:top="1456" w:right="899" w:bottom="1539" w:left="1630" w:header="0" w:footer="1359" w:gutter="0"/>
          <w:cols w:space="720" w:num="1"/>
        </w:sectPr>
      </w:pPr>
    </w:p>
    <w:p w14:paraId="4D6472E1">
      <w:pPr>
        <w:pStyle w:val="2"/>
        <w:spacing w:before="154" w:line="219" w:lineRule="auto"/>
        <w:rPr>
          <w:sz w:val="25"/>
          <w:szCs w:val="25"/>
        </w:rPr>
      </w:pPr>
      <w:r>
        <w:rPr>
          <w:spacing w:val="8"/>
          <w:sz w:val="25"/>
          <w:szCs w:val="25"/>
        </w:rPr>
        <w:t>战性能、可靠性、安全性、综合保障等评审结合进行，必要时也可专门进行。</w:t>
      </w:r>
    </w:p>
    <w:p w14:paraId="7E0AC5A0">
      <w:pPr>
        <w:spacing w:before="92" w:line="222" w:lineRule="auto"/>
        <w:rPr>
          <w:rFonts w:ascii="黑体" w:hAnsi="黑体" w:eastAsia="黑体" w:cs="黑体"/>
          <w:sz w:val="24"/>
          <w:szCs w:val="24"/>
        </w:rPr>
      </w:pPr>
      <w:r>
        <w:rPr>
          <w:rFonts w:ascii="黑体" w:hAnsi="黑体" w:eastAsia="黑体" w:cs="黑体"/>
          <w:spacing w:val="28"/>
          <w:sz w:val="24"/>
          <w:szCs w:val="24"/>
        </w:rPr>
        <w:t>9</w:t>
      </w:r>
      <w:r>
        <w:rPr>
          <w:rFonts w:ascii="黑体" w:hAnsi="黑体" w:eastAsia="黑体" w:cs="黑体"/>
          <w:spacing w:val="36"/>
          <w:sz w:val="24"/>
          <w:szCs w:val="24"/>
        </w:rPr>
        <w:t xml:space="preserve">  </w:t>
      </w:r>
      <w:r>
        <w:rPr>
          <w:rFonts w:ascii="黑体" w:hAnsi="黑体" w:eastAsia="黑体" w:cs="黑体"/>
          <w:spacing w:val="28"/>
          <w:sz w:val="24"/>
          <w:szCs w:val="24"/>
        </w:rPr>
        <w:t>关键问题分析</w:t>
      </w:r>
    </w:p>
    <w:p w14:paraId="7BC4DD78">
      <w:pPr>
        <w:pStyle w:val="2"/>
        <w:spacing w:before="102" w:line="219" w:lineRule="auto"/>
        <w:ind w:right="15"/>
        <w:jc w:val="right"/>
      </w:pPr>
      <w:r>
        <w:rPr>
          <w:spacing w:val="1"/>
        </w:rPr>
        <w:t>说明关键问题及其对维修性要求实现的影响，解决这些</w:t>
      </w:r>
      <w:r>
        <w:t>问题的方法或途径。</w:t>
      </w:r>
    </w:p>
    <w:p w14:paraId="69E16DC5">
      <w:pPr>
        <w:spacing w:before="77" w:line="222" w:lineRule="auto"/>
        <w:rPr>
          <w:rFonts w:ascii="黑体" w:hAnsi="黑体" w:eastAsia="黑体" w:cs="黑体"/>
          <w:sz w:val="27"/>
          <w:szCs w:val="27"/>
        </w:rPr>
      </w:pPr>
      <w:r>
        <w:rPr>
          <w:rFonts w:ascii="黑体" w:hAnsi="黑体" w:eastAsia="黑体" w:cs="黑体"/>
          <w:spacing w:val="-2"/>
          <w:sz w:val="27"/>
          <w:szCs w:val="27"/>
        </w:rPr>
        <w:t>10</w:t>
      </w:r>
      <w:r>
        <w:rPr>
          <w:rFonts w:ascii="黑体" w:hAnsi="黑体" w:eastAsia="黑体" w:cs="黑体"/>
          <w:spacing w:val="22"/>
          <w:sz w:val="27"/>
          <w:szCs w:val="27"/>
        </w:rPr>
        <w:t xml:space="preserve">  </w:t>
      </w:r>
      <w:r>
        <w:rPr>
          <w:rFonts w:ascii="黑体" w:hAnsi="黑体" w:eastAsia="黑体" w:cs="黑体"/>
          <w:spacing w:val="-2"/>
          <w:sz w:val="27"/>
          <w:szCs w:val="27"/>
        </w:rPr>
        <w:t>工作进度</w:t>
      </w:r>
    </w:p>
    <w:p w14:paraId="5B64576D">
      <w:pPr>
        <w:pStyle w:val="2"/>
        <w:spacing w:before="88" w:line="219" w:lineRule="auto"/>
        <w:ind w:left="560"/>
      </w:pPr>
      <w:r>
        <w:rPr>
          <w:spacing w:val="-2"/>
        </w:rPr>
        <w:t>明确工作进度安排，应与研制阶段决策点保持一致。</w:t>
      </w:r>
    </w:p>
    <w:p w14:paraId="476A9D0F">
      <w:pPr>
        <w:spacing w:line="329" w:lineRule="auto"/>
        <w:rPr>
          <w:rFonts w:ascii="Arial"/>
          <w:sz w:val="21"/>
        </w:rPr>
      </w:pPr>
    </w:p>
    <w:p w14:paraId="53EEB32B">
      <w:pPr>
        <w:pStyle w:val="2"/>
        <w:spacing w:before="117" w:line="219" w:lineRule="auto"/>
        <w:ind w:left="3330"/>
        <w:rPr>
          <w:sz w:val="36"/>
          <w:szCs w:val="36"/>
        </w:rPr>
      </w:pPr>
      <w:r>
        <w:rPr>
          <w:spacing w:val="-1"/>
          <w:sz w:val="36"/>
          <w:szCs w:val="36"/>
        </w:rPr>
        <w:t>8.5</w:t>
      </w:r>
      <w:r>
        <w:rPr>
          <w:spacing w:val="18"/>
          <w:sz w:val="36"/>
          <w:szCs w:val="36"/>
        </w:rPr>
        <w:t xml:space="preserve">  </w:t>
      </w:r>
      <w:r>
        <w:rPr>
          <w:b/>
          <w:bCs/>
          <w:spacing w:val="-1"/>
          <w:sz w:val="36"/>
          <w:szCs w:val="36"/>
        </w:rPr>
        <w:t>维修性模型</w:t>
      </w:r>
    </w:p>
    <w:p w14:paraId="355AF8A8">
      <w:pPr>
        <w:spacing w:line="369" w:lineRule="auto"/>
        <w:rPr>
          <w:rFonts w:ascii="Arial"/>
          <w:sz w:val="21"/>
        </w:rPr>
      </w:pPr>
    </w:p>
    <w:p w14:paraId="219D9E90">
      <w:pPr>
        <w:pStyle w:val="2"/>
        <w:spacing w:before="79" w:line="225" w:lineRule="auto"/>
        <w:ind w:left="560"/>
        <w:rPr>
          <w:rFonts w:ascii="楷体" w:hAnsi="楷体" w:eastAsia="楷体" w:cs="楷体"/>
          <w:sz w:val="24"/>
          <w:szCs w:val="24"/>
        </w:rPr>
      </w:pPr>
      <w:r>
        <w:rPr>
          <w:rFonts w:ascii="楷体" w:hAnsi="楷体" w:eastAsia="楷体" w:cs="楷体"/>
          <w:spacing w:val="8"/>
          <w:sz w:val="24"/>
          <w:szCs w:val="24"/>
        </w:rPr>
        <w:t>按</w:t>
      </w:r>
      <w:r>
        <w:rPr>
          <w:rFonts w:ascii="楷体" w:hAnsi="楷体" w:eastAsia="楷体" w:cs="楷体"/>
          <w:spacing w:val="-30"/>
          <w:sz w:val="24"/>
          <w:szCs w:val="24"/>
        </w:rPr>
        <w:t xml:space="preserve"> </w:t>
      </w:r>
      <w:r>
        <w:rPr>
          <w:rFonts w:ascii="楷体" w:hAnsi="楷体" w:eastAsia="楷体" w:cs="楷体"/>
          <w:spacing w:val="8"/>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/Z</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8"/>
          <w:sz w:val="24"/>
          <w:szCs w:val="24"/>
        </w:rPr>
        <w:t>145—2006</w:t>
      </w:r>
      <w:r>
        <w:rPr>
          <w:spacing w:val="8"/>
          <w:sz w:val="24"/>
          <w:szCs w:val="24"/>
        </w:rPr>
        <w:t>《</w:t>
      </w:r>
      <w:r>
        <w:rPr>
          <w:rFonts w:ascii="楷体" w:hAnsi="楷体" w:eastAsia="楷体" w:cs="楷体"/>
          <w:spacing w:val="8"/>
          <w:sz w:val="24"/>
          <w:szCs w:val="24"/>
        </w:rPr>
        <w:t>维修性建模指南</w:t>
      </w:r>
      <w:r>
        <w:rPr>
          <w:rFonts w:ascii="楷体" w:hAnsi="楷体" w:eastAsia="楷体" w:cs="楷体"/>
          <w:spacing w:val="7"/>
          <w:sz w:val="24"/>
          <w:szCs w:val="24"/>
        </w:rPr>
        <w:t>》编写。</w:t>
      </w:r>
    </w:p>
    <w:p w14:paraId="34724B8B">
      <w:pPr>
        <w:spacing w:before="92"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4"/>
          <w:sz w:val="27"/>
          <w:szCs w:val="27"/>
        </w:rPr>
        <w:t xml:space="preserve">  </w:t>
      </w:r>
      <w:r>
        <w:rPr>
          <w:rFonts w:ascii="黑体" w:hAnsi="黑体" w:eastAsia="黑体" w:cs="黑体"/>
          <w:spacing w:val="-3"/>
          <w:sz w:val="27"/>
          <w:szCs w:val="27"/>
        </w:rPr>
        <w:t>范围</w:t>
      </w:r>
    </w:p>
    <w:p w14:paraId="2BFCDBFC">
      <w:pPr>
        <w:spacing w:before="81"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sz w:val="27"/>
          <w:szCs w:val="27"/>
        </w:rPr>
        <w:t>引用文件</w:t>
      </w:r>
    </w:p>
    <w:p w14:paraId="74926F23">
      <w:pPr>
        <w:spacing w:before="72" w:line="341" w:lineRule="exact"/>
        <w:rPr>
          <w:rFonts w:ascii="黑体" w:hAnsi="黑体" w:eastAsia="黑体" w:cs="黑体"/>
          <w:sz w:val="25"/>
          <w:szCs w:val="25"/>
        </w:rPr>
      </w:pPr>
      <w:r>
        <w:rPr>
          <w:rFonts w:ascii="Arial" w:hAnsi="Arial" w:eastAsia="Arial" w:cs="Arial"/>
          <w:spacing w:val="7"/>
          <w:position w:val="1"/>
          <w:sz w:val="25"/>
          <w:szCs w:val="25"/>
        </w:rPr>
        <w:t xml:space="preserve">3    </w:t>
      </w:r>
      <w:r>
        <w:rPr>
          <w:rFonts w:ascii="黑体" w:hAnsi="黑体" w:eastAsia="黑体" w:cs="黑体"/>
          <w:spacing w:val="7"/>
          <w:position w:val="1"/>
          <w:sz w:val="25"/>
          <w:szCs w:val="25"/>
        </w:rPr>
        <w:t>建模的目的、时机与用途</w:t>
      </w:r>
    </w:p>
    <w:p w14:paraId="2675B948">
      <w:pPr>
        <w:pStyle w:val="2"/>
        <w:spacing w:before="92" w:line="219" w:lineRule="auto"/>
        <w:ind w:left="560"/>
        <w:rPr>
          <w:sz w:val="25"/>
          <w:szCs w:val="25"/>
        </w:rPr>
      </w:pPr>
      <w:r>
        <w:rPr>
          <w:spacing w:val="11"/>
          <w:sz w:val="25"/>
          <w:szCs w:val="25"/>
        </w:rPr>
        <w:t>明确建模的目的、时机与用途。</w:t>
      </w:r>
    </w:p>
    <w:p w14:paraId="4E695FFF">
      <w:pPr>
        <w:spacing w:before="96" w:line="222"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14"/>
          <w:sz w:val="27"/>
          <w:szCs w:val="27"/>
        </w:rPr>
        <w:t xml:space="preserve">  </w:t>
      </w:r>
      <w:r>
        <w:rPr>
          <w:rFonts w:ascii="黑体" w:hAnsi="黑体" w:eastAsia="黑体" w:cs="黑体"/>
          <w:spacing w:val="2"/>
          <w:sz w:val="27"/>
          <w:szCs w:val="27"/>
        </w:rPr>
        <w:t>建模的参数</w:t>
      </w:r>
    </w:p>
    <w:p w14:paraId="1C5A94E9">
      <w:pPr>
        <w:pStyle w:val="2"/>
        <w:spacing w:before="95" w:line="219" w:lineRule="auto"/>
        <w:ind w:left="560"/>
      </w:pPr>
      <w:r>
        <w:rPr>
          <w:spacing w:val="-10"/>
        </w:rPr>
        <w:t>确定建模的参数，包括：</w:t>
      </w:r>
    </w:p>
    <w:p w14:paraId="61D03221">
      <w:pPr>
        <w:pStyle w:val="2"/>
        <w:spacing w:before="60" w:line="212" w:lineRule="auto"/>
        <w:ind w:left="560"/>
      </w:pPr>
      <w:r>
        <w:rPr>
          <w:rFonts w:ascii="Times New Roman" w:hAnsi="Times New Roman" w:eastAsia="Times New Roman" w:cs="Times New Roman"/>
          <w:spacing w:val="4"/>
        </w:rPr>
        <w:t xml:space="preserve">a)  </w:t>
      </w:r>
      <w:r>
        <w:rPr>
          <w:spacing w:val="4"/>
        </w:rPr>
        <w:t>根据掌握的信息和建模目的确定建模的参数；</w:t>
      </w:r>
    </w:p>
    <w:p w14:paraId="7BDF91B9">
      <w:pPr>
        <w:pStyle w:val="2"/>
        <w:spacing w:before="99" w:line="212" w:lineRule="auto"/>
        <w:ind w:left="560"/>
      </w:pPr>
      <w:r>
        <w:rPr>
          <w:rFonts w:ascii="Times New Roman" w:hAnsi="Times New Roman" w:eastAsia="Times New Roman" w:cs="Times New Roman"/>
          <w:spacing w:val="5"/>
        </w:rPr>
        <w:t>b)</w:t>
      </w:r>
      <w:r>
        <w:rPr>
          <w:rFonts w:ascii="Times New Roman" w:hAnsi="Times New Roman" w:eastAsia="Times New Roman" w:cs="Times New Roman"/>
          <w:spacing w:val="68"/>
          <w:w w:val="101"/>
        </w:rPr>
        <w:t xml:space="preserve"> </w:t>
      </w:r>
      <w:r>
        <w:rPr>
          <w:spacing w:val="5"/>
        </w:rPr>
        <w:t>确定的建模参数一般应为</w:t>
      </w:r>
      <w:r>
        <w:rPr>
          <w:rFonts w:ascii="Times New Roman" w:hAnsi="Times New Roman" w:eastAsia="Times New Roman" w:cs="Times New Roman"/>
        </w:rPr>
        <w:t>GJB</w:t>
      </w:r>
      <w:r>
        <w:rPr>
          <w:rFonts w:ascii="Times New Roman" w:hAnsi="Times New Roman" w:eastAsia="Times New Roman" w:cs="Times New Roman"/>
          <w:spacing w:val="5"/>
        </w:rPr>
        <w:t xml:space="preserve">   1909A</w:t>
      </w:r>
      <w:r>
        <w:rPr>
          <w:spacing w:val="5"/>
        </w:rPr>
        <w:t>或合同中定义的参数。</w:t>
      </w:r>
    </w:p>
    <w:p w14:paraId="4A17E0F8">
      <w:pPr>
        <w:spacing w:before="71" w:line="368" w:lineRule="exact"/>
        <w:rPr>
          <w:rFonts w:ascii="黑体" w:hAnsi="黑体" w:eastAsia="黑体" w:cs="黑体"/>
          <w:sz w:val="27"/>
          <w:szCs w:val="27"/>
        </w:rPr>
      </w:pPr>
      <w:r>
        <w:rPr>
          <w:rFonts w:ascii="Arial" w:hAnsi="Arial" w:eastAsia="Arial" w:cs="Arial"/>
          <w:spacing w:val="-5"/>
          <w:position w:val="1"/>
          <w:sz w:val="27"/>
          <w:szCs w:val="27"/>
        </w:rPr>
        <w:t>5</w:t>
      </w:r>
      <w:r>
        <w:rPr>
          <w:rFonts w:ascii="Arial" w:hAnsi="Arial" w:eastAsia="Arial" w:cs="Arial"/>
          <w:spacing w:val="22"/>
          <w:position w:val="1"/>
          <w:sz w:val="27"/>
          <w:szCs w:val="27"/>
        </w:rPr>
        <w:t xml:space="preserve">   </w:t>
      </w:r>
      <w:r>
        <w:rPr>
          <w:rFonts w:ascii="黑体" w:hAnsi="黑体" w:eastAsia="黑体" w:cs="黑体"/>
          <w:spacing w:val="-5"/>
          <w:position w:val="1"/>
          <w:sz w:val="27"/>
          <w:szCs w:val="27"/>
        </w:rPr>
        <w:t>相关信息、资料及维修约束条件</w:t>
      </w:r>
    </w:p>
    <w:p w14:paraId="52081E00">
      <w:pPr>
        <w:pStyle w:val="2"/>
        <w:spacing w:before="81" w:line="270" w:lineRule="auto"/>
        <w:ind w:right="15" w:firstLine="560"/>
      </w:pPr>
      <w:r>
        <w:rPr>
          <w:spacing w:val="1"/>
        </w:rPr>
        <w:t>对收集和整理产品或相似产品的有关信息、资料及维</w:t>
      </w:r>
      <w:r>
        <w:t xml:space="preserve">修约束条件进行说明。 </w:t>
      </w:r>
      <w:r>
        <w:rPr>
          <w:spacing w:val="-3"/>
        </w:rPr>
        <w:t>主要包括：</w:t>
      </w:r>
    </w:p>
    <w:p w14:paraId="6F886E3A">
      <w:pPr>
        <w:pStyle w:val="2"/>
        <w:spacing w:before="1" w:line="212" w:lineRule="auto"/>
        <w:ind w:left="560"/>
      </w:pPr>
      <w:r>
        <w:rPr>
          <w:rFonts w:ascii="Times New Roman" w:hAnsi="Times New Roman" w:eastAsia="Times New Roman" w:cs="Times New Roman"/>
          <w:spacing w:val="1"/>
        </w:rPr>
        <w:t xml:space="preserve">a)  </w:t>
      </w:r>
      <w:r>
        <w:rPr>
          <w:spacing w:val="1"/>
        </w:rPr>
        <w:t>功能层次及其框图；</w:t>
      </w:r>
    </w:p>
    <w:p w14:paraId="501C750E">
      <w:pPr>
        <w:pStyle w:val="2"/>
        <w:spacing w:before="100" w:line="212" w:lineRule="auto"/>
        <w:ind w:left="560"/>
      </w:pPr>
      <w:r>
        <w:rPr>
          <w:rFonts w:ascii="Times New Roman" w:hAnsi="Times New Roman" w:eastAsia="Times New Roman" w:cs="Times New Roman"/>
          <w:spacing w:val="-13"/>
        </w:rPr>
        <w:t xml:space="preserve">b)  </w:t>
      </w:r>
      <w:r>
        <w:rPr>
          <w:spacing w:val="-13"/>
        </w:rPr>
        <w:t>结构特性，如机械、电子、化工、火工品等不同结构及其布局；</w:t>
      </w:r>
    </w:p>
    <w:p w14:paraId="593A7A07">
      <w:pPr>
        <w:pStyle w:val="2"/>
        <w:spacing w:before="90" w:line="212" w:lineRule="auto"/>
        <w:ind w:left="560"/>
      </w:pPr>
      <w:r>
        <w:rPr>
          <w:rFonts w:ascii="Times New Roman" w:hAnsi="Times New Roman" w:eastAsia="Times New Roman" w:cs="Times New Roman"/>
          <w:spacing w:val="-5"/>
        </w:rPr>
        <w:t xml:space="preserve">c)  </w:t>
      </w:r>
      <w:r>
        <w:rPr>
          <w:spacing w:val="-5"/>
        </w:rPr>
        <w:t>维修级别、保障条件及保障方案；</w:t>
      </w:r>
    </w:p>
    <w:p w14:paraId="0DB81157">
      <w:pPr>
        <w:pStyle w:val="2"/>
        <w:spacing w:before="98" w:line="264" w:lineRule="auto"/>
        <w:ind w:firstLine="560"/>
      </w:pPr>
      <w:r>
        <w:rPr>
          <w:rFonts w:ascii="Times New Roman" w:hAnsi="Times New Roman" w:eastAsia="Times New Roman" w:cs="Times New Roman"/>
          <w:spacing w:val="-1"/>
        </w:rPr>
        <w:t xml:space="preserve">d)  </w:t>
      </w:r>
      <w:r>
        <w:rPr>
          <w:spacing w:val="-1"/>
        </w:rPr>
        <w:t>影响产品维修性的设计特征，如可达性</w:t>
      </w:r>
      <w:r>
        <w:rPr>
          <w:spacing w:val="-2"/>
        </w:rPr>
        <w:t>、互换性、故障检测与隔离特性、</w:t>
      </w:r>
      <w:r>
        <w:t xml:space="preserve"> 故障频率等；</w:t>
      </w:r>
    </w:p>
    <w:p w14:paraId="2B9C6C58">
      <w:pPr>
        <w:pStyle w:val="2"/>
        <w:spacing w:before="59" w:line="212" w:lineRule="auto"/>
        <w:ind w:left="560"/>
      </w:pPr>
      <w:r>
        <w:rPr>
          <w:rFonts w:ascii="Times New Roman" w:hAnsi="Times New Roman" w:eastAsia="Times New Roman" w:cs="Times New Roman"/>
          <w:spacing w:val="4"/>
        </w:rPr>
        <w:t xml:space="preserve">e)  </w:t>
      </w:r>
      <w:r>
        <w:rPr>
          <w:spacing w:val="4"/>
        </w:rPr>
        <w:t>已知相似产品或相似单元的可靠性维修性定</w:t>
      </w:r>
      <w:r>
        <w:rPr>
          <w:spacing w:val="3"/>
        </w:rPr>
        <w:t>量数据和定性要求；</w:t>
      </w:r>
    </w:p>
    <w:p w14:paraId="4F27B352">
      <w:pPr>
        <w:pStyle w:val="2"/>
        <w:spacing w:before="101" w:line="246" w:lineRule="auto"/>
        <w:ind w:right="165" w:firstLine="560"/>
      </w:pPr>
      <w:r>
        <w:rPr>
          <w:rFonts w:ascii="Times New Roman" w:hAnsi="Times New Roman" w:eastAsia="Times New Roman" w:cs="Times New Roman"/>
          <w:spacing w:val="-3"/>
        </w:rPr>
        <w:t xml:space="preserve">f)  </w:t>
      </w:r>
      <w:r>
        <w:rPr>
          <w:spacing w:val="-3"/>
        </w:rPr>
        <w:t>可靠性分析资料，如产品的可靠性水平、故障模式影响分析(</w:t>
      </w:r>
      <w:r>
        <w:rPr>
          <w:rFonts w:ascii="Times New Roman" w:hAnsi="Times New Roman" w:eastAsia="Times New Roman" w:cs="Times New Roman"/>
          <w:spacing w:val="-3"/>
        </w:rPr>
        <w:t>FMEA)</w:t>
      </w:r>
      <w:r>
        <w:rPr>
          <w:rFonts w:ascii="Times New Roman" w:hAnsi="Times New Roman" w:eastAsia="Times New Roman" w:cs="Times New Roman"/>
          <w:spacing w:val="-20"/>
        </w:rPr>
        <w:t xml:space="preserve"> </w:t>
      </w:r>
      <w:r>
        <w:rPr>
          <w:spacing w:val="-3"/>
        </w:rPr>
        <w:t>、故</w:t>
      </w:r>
      <w:r>
        <w:t xml:space="preserve"> </w:t>
      </w:r>
      <w:r>
        <w:rPr>
          <w:spacing w:val="-1"/>
        </w:rPr>
        <w:t>障树分析(</w:t>
      </w:r>
      <w:r>
        <w:rPr>
          <w:rFonts w:ascii="Times New Roman" w:hAnsi="Times New Roman" w:eastAsia="Times New Roman" w:cs="Times New Roman"/>
          <w:spacing w:val="-1"/>
        </w:rPr>
        <w:t xml:space="preserve">FTA)  </w:t>
      </w:r>
      <w:r>
        <w:rPr>
          <w:spacing w:val="-1"/>
        </w:rPr>
        <w:t>的结果。</w:t>
      </w:r>
    </w:p>
    <w:p w14:paraId="0CFC84B8">
      <w:pPr>
        <w:spacing w:before="140" w:line="223" w:lineRule="auto"/>
        <w:rPr>
          <w:rFonts w:ascii="黑体" w:hAnsi="黑体" w:eastAsia="黑体" w:cs="黑体"/>
          <w:sz w:val="24"/>
          <w:szCs w:val="24"/>
        </w:rPr>
      </w:pPr>
      <w:r>
        <w:rPr>
          <w:rFonts w:ascii="黑体" w:hAnsi="黑体" w:eastAsia="黑体" w:cs="黑体"/>
          <w:spacing w:val="24"/>
          <w:sz w:val="24"/>
          <w:szCs w:val="24"/>
        </w:rPr>
        <w:t>6</w:t>
      </w:r>
      <w:r>
        <w:rPr>
          <w:rFonts w:ascii="黑体" w:hAnsi="黑体" w:eastAsia="黑体" w:cs="黑体"/>
          <w:spacing w:val="40"/>
          <w:sz w:val="24"/>
          <w:szCs w:val="24"/>
        </w:rPr>
        <w:t xml:space="preserve">  </w:t>
      </w:r>
      <w:r>
        <w:rPr>
          <w:rFonts w:ascii="黑体" w:hAnsi="黑体" w:eastAsia="黑体" w:cs="黑体"/>
          <w:spacing w:val="24"/>
          <w:sz w:val="24"/>
          <w:szCs w:val="24"/>
        </w:rPr>
        <w:t>建立模型</w:t>
      </w:r>
    </w:p>
    <w:p w14:paraId="0B8F34D6">
      <w:pPr>
        <w:pStyle w:val="2"/>
        <w:spacing w:before="100" w:line="219" w:lineRule="auto"/>
        <w:ind w:left="560"/>
      </w:pPr>
      <w:r>
        <w:rPr>
          <w:spacing w:val="-3"/>
        </w:rPr>
        <w:t>说明建立的维修性模型，应遵循以下一些原则：</w:t>
      </w:r>
    </w:p>
    <w:p w14:paraId="6FCFD166">
      <w:pPr>
        <w:pStyle w:val="2"/>
        <w:spacing w:before="101" w:line="264" w:lineRule="auto"/>
        <w:ind w:right="141" w:firstLine="560"/>
        <w:rPr>
          <w:sz w:val="25"/>
          <w:szCs w:val="25"/>
        </w:rPr>
      </w:pPr>
      <w:r>
        <w:rPr>
          <w:rFonts w:ascii="Times New Roman" w:hAnsi="Times New Roman" w:eastAsia="Times New Roman" w:cs="Times New Roman"/>
          <w:spacing w:val="21"/>
          <w:sz w:val="25"/>
          <w:szCs w:val="25"/>
        </w:rPr>
        <w:t xml:space="preserve">a)  </w:t>
      </w:r>
      <w:r>
        <w:rPr>
          <w:spacing w:val="21"/>
          <w:sz w:val="25"/>
          <w:szCs w:val="25"/>
        </w:rPr>
        <w:t>真实性。模型必须客观、真实地反映所研究对象的本质，必须准确地反</w:t>
      </w:r>
      <w:r>
        <w:rPr>
          <w:spacing w:val="3"/>
          <w:sz w:val="25"/>
          <w:szCs w:val="25"/>
        </w:rPr>
        <w:t xml:space="preserve"> </w:t>
      </w:r>
      <w:r>
        <w:rPr>
          <w:spacing w:val="23"/>
          <w:sz w:val="25"/>
          <w:szCs w:val="25"/>
        </w:rPr>
        <w:t>映产品中影响维修性的有关因素与维修性参数的关系。</w:t>
      </w:r>
    </w:p>
    <w:p w14:paraId="4F50281D">
      <w:pPr>
        <w:pStyle w:val="2"/>
        <w:spacing w:before="54" w:line="260" w:lineRule="auto"/>
        <w:ind w:right="129" w:firstLine="560"/>
      </w:pPr>
      <w:r>
        <w:rPr>
          <w:rFonts w:ascii="Times New Roman" w:hAnsi="Times New Roman" w:eastAsia="Times New Roman" w:cs="Times New Roman"/>
          <w:spacing w:val="3"/>
        </w:rPr>
        <w:t xml:space="preserve">b)  </w:t>
      </w:r>
      <w:r>
        <w:rPr>
          <w:spacing w:val="3"/>
        </w:rPr>
        <w:t>目的性。模型的建立要针对研究的目</w:t>
      </w:r>
      <w:r>
        <w:rPr>
          <w:spacing w:val="2"/>
        </w:rPr>
        <w:t>的，如预计和分配这两种不同目的</w:t>
      </w:r>
      <w:r>
        <w:t xml:space="preserve"> </w:t>
      </w:r>
      <w:r>
        <w:rPr>
          <w:spacing w:val="3"/>
        </w:rPr>
        <w:t>所对应的模型就不尽一致。</w:t>
      </w:r>
    </w:p>
    <w:p w14:paraId="5D0664FE">
      <w:pPr>
        <w:spacing w:line="260" w:lineRule="auto"/>
        <w:sectPr>
          <w:footerReference r:id="rId413" w:type="default"/>
          <w:pgSz w:w="11910" w:h="17130"/>
          <w:pgMar w:top="1456" w:right="1179" w:bottom="1670" w:left="1219" w:header="0" w:footer="1384" w:gutter="0"/>
          <w:cols w:space="720" w:num="1"/>
        </w:sectPr>
      </w:pPr>
    </w:p>
    <w:p w14:paraId="49AF03DF">
      <w:pPr>
        <w:pStyle w:val="2"/>
        <w:spacing w:before="54" w:line="294" w:lineRule="auto"/>
        <w:ind w:right="13" w:firstLine="570"/>
        <w:rPr>
          <w:sz w:val="25"/>
          <w:szCs w:val="25"/>
        </w:rPr>
      </w:pPr>
      <w:r>
        <w:rPr>
          <w:rFonts w:ascii="Times New Roman" w:hAnsi="Times New Roman" w:eastAsia="Times New Roman" w:cs="Times New Roman"/>
          <w:spacing w:val="14"/>
          <w:sz w:val="25"/>
          <w:szCs w:val="25"/>
        </w:rPr>
        <w:t xml:space="preserve">c)  </w:t>
      </w:r>
      <w:r>
        <w:rPr>
          <w:spacing w:val="14"/>
          <w:sz w:val="25"/>
          <w:szCs w:val="25"/>
        </w:rPr>
        <w:t>可追溯性。模型的建立、简化、完善、修改等必须归档，使</w:t>
      </w:r>
      <w:r>
        <w:rPr>
          <w:spacing w:val="13"/>
          <w:sz w:val="25"/>
          <w:szCs w:val="25"/>
        </w:rPr>
        <w:t>整个建模过程</w:t>
      </w:r>
      <w:r>
        <w:rPr>
          <w:sz w:val="25"/>
          <w:szCs w:val="25"/>
        </w:rPr>
        <w:t xml:space="preserve"> </w:t>
      </w:r>
      <w:r>
        <w:rPr>
          <w:spacing w:val="18"/>
          <w:sz w:val="25"/>
          <w:szCs w:val="25"/>
        </w:rPr>
        <w:t>透明可见。</w:t>
      </w:r>
    </w:p>
    <w:p w14:paraId="65182741">
      <w:pPr>
        <w:pStyle w:val="2"/>
        <w:spacing w:before="34" w:line="269" w:lineRule="auto"/>
        <w:ind w:right="12" w:firstLine="570"/>
      </w:pPr>
      <w:r>
        <w:rPr>
          <w:rFonts w:ascii="Times New Roman" w:hAnsi="Times New Roman" w:eastAsia="Times New Roman" w:cs="Times New Roman"/>
          <w:spacing w:val="2"/>
        </w:rPr>
        <w:t xml:space="preserve">d)  </w:t>
      </w:r>
      <w:r>
        <w:rPr>
          <w:spacing w:val="2"/>
        </w:rPr>
        <w:t>清晰性。模型必须清楚、明确地描述所研究的维修性问题，并易于理解</w:t>
      </w:r>
      <w:r>
        <w:rPr>
          <w:spacing w:val="18"/>
        </w:rPr>
        <w:t xml:space="preserve"> </w:t>
      </w:r>
      <w:r>
        <w:rPr>
          <w:spacing w:val="5"/>
        </w:rPr>
        <w:t xml:space="preserve">和掌握。对于由多个子模型组合而成的复杂产品维修性模型，要清晰地表述产 </w:t>
      </w:r>
      <w:r>
        <w:rPr>
          <w:spacing w:val="3"/>
        </w:rPr>
        <w:t>品维修性模型与其子模型之间的相互关系。</w:t>
      </w:r>
    </w:p>
    <w:p w14:paraId="70EDF9BE">
      <w:pPr>
        <w:pStyle w:val="2"/>
        <w:spacing w:before="49" w:line="260" w:lineRule="auto"/>
        <w:ind w:right="8" w:firstLine="570"/>
      </w:pPr>
      <w:r>
        <w:rPr>
          <w:rFonts w:ascii="Times New Roman" w:hAnsi="Times New Roman" w:eastAsia="Times New Roman" w:cs="Times New Roman"/>
          <w:spacing w:val="12"/>
        </w:rPr>
        <w:t>e)</w:t>
      </w:r>
      <w:r>
        <w:rPr>
          <w:rFonts w:ascii="Times New Roman" w:hAnsi="Times New Roman" w:eastAsia="Times New Roman" w:cs="Times New Roman"/>
          <w:spacing w:val="63"/>
        </w:rPr>
        <w:t xml:space="preserve"> </w:t>
      </w:r>
      <w:r>
        <w:rPr>
          <w:spacing w:val="12"/>
        </w:rPr>
        <w:t>适应性。模型要适应产品所处的环境和内部条件。随着产品的外</w:t>
      </w:r>
      <w:r>
        <w:rPr>
          <w:spacing w:val="11"/>
        </w:rPr>
        <w:t>部环</w:t>
      </w:r>
      <w:r>
        <w:t xml:space="preserve"> </w:t>
      </w:r>
      <w:r>
        <w:rPr>
          <w:spacing w:val="-4"/>
        </w:rPr>
        <w:t>境和内部结构的变化，维修性模型应能够适应这种变化，便于修改完善。</w:t>
      </w:r>
    </w:p>
    <w:p w14:paraId="76CB6FA3">
      <w:pPr>
        <w:pStyle w:val="2"/>
        <w:spacing w:before="69" w:line="219" w:lineRule="auto"/>
        <w:ind w:left="570"/>
      </w:pPr>
      <w:r>
        <w:rPr>
          <w:spacing w:val="-11"/>
        </w:rPr>
        <w:t>阐述建立的模型，包括：</w:t>
      </w:r>
    </w:p>
    <w:p w14:paraId="56B2B8D9">
      <w:pPr>
        <w:pStyle w:val="2"/>
        <w:spacing w:before="59" w:line="263" w:lineRule="auto"/>
        <w:ind w:right="12" w:firstLine="570"/>
      </w:pPr>
      <w:r>
        <w:rPr>
          <w:rFonts w:ascii="Times New Roman" w:hAnsi="Times New Roman" w:eastAsia="Times New Roman" w:cs="Times New Roman"/>
          <w:spacing w:val="5"/>
        </w:rPr>
        <w:t xml:space="preserve">a)  </w:t>
      </w:r>
      <w:r>
        <w:rPr>
          <w:spacing w:val="5"/>
        </w:rPr>
        <w:t>选择或建立适用的模型。从</w:t>
      </w:r>
      <w:r>
        <w:rPr>
          <w:rFonts w:ascii="Times New Roman" w:hAnsi="Times New Roman" w:eastAsia="Times New Roman" w:cs="Times New Roman"/>
        </w:rPr>
        <w:t>GJB</w:t>
      </w:r>
      <w:r>
        <w:rPr>
          <w:rFonts w:ascii="Times New Roman" w:hAnsi="Times New Roman" w:eastAsia="Times New Roman" w:cs="Times New Roman"/>
          <w:spacing w:val="5"/>
        </w:rPr>
        <w:t>/Z  145—2006</w:t>
      </w:r>
      <w:r>
        <w:rPr>
          <w:spacing w:val="5"/>
        </w:rPr>
        <w:t>《维修性建模指南》</w:t>
      </w:r>
      <w:r>
        <w:rPr>
          <w:spacing w:val="4"/>
        </w:rPr>
        <w:t>提供</w:t>
      </w:r>
      <w:r>
        <w:t xml:space="preserve"> </w:t>
      </w:r>
      <w:r>
        <w:rPr>
          <w:spacing w:val="-3"/>
        </w:rPr>
        <w:t>的模型中选择适用的模型，当无适用的模型时，应按提供的建模方法建立模型。</w:t>
      </w:r>
    </w:p>
    <w:p w14:paraId="1D552202">
      <w:pPr>
        <w:pStyle w:val="2"/>
        <w:spacing w:before="49" w:line="265" w:lineRule="auto"/>
        <w:ind w:right="10" w:firstLine="570"/>
      </w:pPr>
      <w:r>
        <w:rPr>
          <w:rFonts w:ascii="Times New Roman" w:hAnsi="Times New Roman" w:eastAsia="Times New Roman" w:cs="Times New Roman"/>
          <w:spacing w:val="2"/>
        </w:rPr>
        <w:t xml:space="preserve">b)  </w:t>
      </w:r>
      <w:r>
        <w:rPr>
          <w:spacing w:val="2"/>
        </w:rPr>
        <w:t>维修事件(项目)分析。如维修事件与维修职能关系、产品维修与产品维</w:t>
      </w:r>
      <w:r>
        <w:rPr>
          <w:spacing w:val="18"/>
        </w:rPr>
        <w:t xml:space="preserve"> </w:t>
      </w:r>
      <w:r>
        <w:rPr>
          <w:spacing w:val="6"/>
        </w:rPr>
        <w:t>修事件关系、产品维修事件与相应维修活动关系以及维修活动与基本维修作业</w:t>
      </w:r>
      <w:r>
        <w:rPr>
          <w:spacing w:val="4"/>
        </w:rPr>
        <w:t xml:space="preserve"> </w:t>
      </w:r>
      <w:r>
        <w:rPr>
          <w:spacing w:val="2"/>
        </w:rPr>
        <w:t>之间的关系等。</w:t>
      </w:r>
    </w:p>
    <w:p w14:paraId="47A981EA">
      <w:pPr>
        <w:pStyle w:val="2"/>
        <w:spacing w:before="68" w:line="257" w:lineRule="auto"/>
        <w:ind w:firstLine="570"/>
      </w:pPr>
      <w:r>
        <w:rPr>
          <w:rFonts w:ascii="Times New Roman" w:hAnsi="Times New Roman" w:eastAsia="Times New Roman" w:cs="Times New Roman"/>
          <w:spacing w:val="3"/>
        </w:rPr>
        <w:t xml:space="preserve">c)  </w:t>
      </w:r>
      <w:r>
        <w:rPr>
          <w:spacing w:val="3"/>
        </w:rPr>
        <w:t>维修任务分析。如串行作业、并行作业、网络作业以及产品维修任务与</w:t>
      </w:r>
      <w:r>
        <w:rPr>
          <w:spacing w:val="11"/>
        </w:rPr>
        <w:t xml:space="preserve"> </w:t>
      </w:r>
      <w:r>
        <w:rPr>
          <w:spacing w:val="4"/>
        </w:rPr>
        <w:t>组成单元维修作业之间的逻辑关系等。</w:t>
      </w:r>
    </w:p>
    <w:p w14:paraId="2AE2BED4">
      <w:pPr>
        <w:pStyle w:val="2"/>
        <w:spacing w:before="59" w:line="212" w:lineRule="auto"/>
        <w:ind w:left="570"/>
      </w:pPr>
      <w:r>
        <w:rPr>
          <w:rFonts w:ascii="Times New Roman" w:hAnsi="Times New Roman" w:eastAsia="Times New Roman" w:cs="Times New Roman"/>
          <w:spacing w:val="-2"/>
        </w:rPr>
        <w:t xml:space="preserve">d)  </w:t>
      </w:r>
      <w:r>
        <w:rPr>
          <w:spacing w:val="-2"/>
        </w:rPr>
        <w:t>确定输入与输出关系，建立相应的模型。</w:t>
      </w:r>
    </w:p>
    <w:p w14:paraId="4B84B81D">
      <w:pPr>
        <w:pStyle w:val="2"/>
        <w:spacing w:before="111" w:line="249" w:lineRule="auto"/>
        <w:ind w:right="5" w:firstLine="570"/>
      </w:pPr>
      <w:r>
        <w:rPr>
          <w:rFonts w:ascii="Times New Roman" w:hAnsi="Times New Roman" w:eastAsia="Times New Roman" w:cs="Times New Roman"/>
          <w:spacing w:val="3"/>
        </w:rPr>
        <w:t xml:space="preserve">e)  </w:t>
      </w:r>
      <w:r>
        <w:rPr>
          <w:spacing w:val="3"/>
        </w:rPr>
        <w:t>装备的维修性模型可以有多种，尽量先简后繁，在满足精度条件下应尽</w:t>
      </w:r>
      <w:r>
        <w:rPr>
          <w:spacing w:val="5"/>
        </w:rPr>
        <w:t xml:space="preserve"> </w:t>
      </w:r>
      <w:r>
        <w:rPr>
          <w:spacing w:val="-1"/>
        </w:rPr>
        <w:t>量简化。</w:t>
      </w:r>
    </w:p>
    <w:p w14:paraId="3CAFDF2B">
      <w:pPr>
        <w:spacing w:before="86" w:line="222" w:lineRule="auto"/>
        <w:rPr>
          <w:rFonts w:ascii="黑体" w:hAnsi="黑体" w:eastAsia="黑体" w:cs="黑体"/>
          <w:sz w:val="27"/>
          <w:szCs w:val="27"/>
        </w:rPr>
      </w:pPr>
      <w:r>
        <w:rPr>
          <w:rFonts w:ascii="黑体" w:hAnsi="黑体" w:eastAsia="黑体" w:cs="黑体"/>
          <w:spacing w:val="-6"/>
          <w:sz w:val="27"/>
          <w:szCs w:val="27"/>
        </w:rPr>
        <w:t>7</w:t>
      </w:r>
      <w:r>
        <w:rPr>
          <w:rFonts w:ascii="黑体" w:hAnsi="黑体" w:eastAsia="黑体" w:cs="黑体"/>
          <w:spacing w:val="20"/>
          <w:sz w:val="27"/>
          <w:szCs w:val="27"/>
        </w:rPr>
        <w:t xml:space="preserve">  </w:t>
      </w:r>
      <w:r>
        <w:rPr>
          <w:rFonts w:ascii="黑体" w:hAnsi="黑体" w:eastAsia="黑体" w:cs="黑体"/>
          <w:b/>
          <w:bCs/>
          <w:spacing w:val="-6"/>
          <w:sz w:val="27"/>
          <w:szCs w:val="27"/>
        </w:rPr>
        <w:t>确认模型</w:t>
      </w:r>
    </w:p>
    <w:p w14:paraId="16D836DE">
      <w:pPr>
        <w:pStyle w:val="2"/>
        <w:spacing w:before="102" w:line="272" w:lineRule="auto"/>
        <w:ind w:firstLine="570"/>
        <w:jc w:val="both"/>
      </w:pPr>
      <w:r>
        <w:rPr>
          <w:spacing w:val="6"/>
        </w:rPr>
        <w:t>模型的确认是检验构造的模型能否真正代表所建模产品</w:t>
      </w:r>
      <w:r>
        <w:rPr>
          <w:spacing w:val="5"/>
        </w:rPr>
        <w:t>(或所设计系统)的</w:t>
      </w:r>
      <w:r>
        <w:t xml:space="preserve"> </w:t>
      </w:r>
      <w:r>
        <w:rPr>
          <w:spacing w:val="5"/>
        </w:rPr>
        <w:t>基本性能。模型的确认过程是对模型和产品反复比较的过程，并且利用二者之</w:t>
      </w:r>
      <w:r>
        <w:t xml:space="preserve"> </w:t>
      </w:r>
      <w:r>
        <w:rPr>
          <w:spacing w:val="-3"/>
        </w:rPr>
        <w:t>间的差别来改进和修正模型，使之逐步向产品特征逼近，直到模型被确认为真正</w:t>
      </w:r>
      <w:r>
        <w:rPr>
          <w:spacing w:val="9"/>
        </w:rPr>
        <w:t xml:space="preserve"> </w:t>
      </w:r>
      <w:r>
        <w:rPr>
          <w:spacing w:val="4"/>
        </w:rPr>
        <w:t>代表产品时为止。</w:t>
      </w:r>
    </w:p>
    <w:p w14:paraId="10608331">
      <w:pPr>
        <w:spacing w:line="277" w:lineRule="auto"/>
        <w:rPr>
          <w:rFonts w:ascii="Arial"/>
          <w:sz w:val="21"/>
        </w:rPr>
      </w:pPr>
    </w:p>
    <w:p w14:paraId="513F2313">
      <w:pPr>
        <w:pStyle w:val="2"/>
        <w:spacing w:before="117" w:line="219" w:lineRule="auto"/>
        <w:ind w:left="3339"/>
        <w:rPr>
          <w:sz w:val="36"/>
          <w:szCs w:val="36"/>
        </w:rPr>
      </w:pPr>
      <w:r>
        <w:rPr>
          <w:spacing w:val="1"/>
          <w:sz w:val="36"/>
          <w:szCs w:val="36"/>
        </w:rPr>
        <w:t xml:space="preserve">8.6  </w:t>
      </w:r>
      <w:r>
        <w:rPr>
          <w:b/>
          <w:bCs/>
          <w:spacing w:val="1"/>
          <w:sz w:val="36"/>
          <w:szCs w:val="36"/>
        </w:rPr>
        <w:t>维修性分配</w:t>
      </w:r>
    </w:p>
    <w:p w14:paraId="10BBB3C2">
      <w:pPr>
        <w:spacing w:line="328" w:lineRule="auto"/>
        <w:rPr>
          <w:rFonts w:ascii="Arial"/>
          <w:sz w:val="21"/>
        </w:rPr>
      </w:pPr>
    </w:p>
    <w:p w14:paraId="54F1C1A5">
      <w:pPr>
        <w:pStyle w:val="2"/>
        <w:spacing w:before="92" w:line="225" w:lineRule="auto"/>
        <w:ind w:left="57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GJB/Z 57—1994</w:t>
      </w:r>
      <w:r>
        <w:rPr>
          <w:spacing w:val="-9"/>
          <w:sz w:val="28"/>
          <w:szCs w:val="28"/>
        </w:rPr>
        <w:t>《</w:t>
      </w:r>
      <w:r>
        <w:rPr>
          <w:rFonts w:ascii="楷体" w:hAnsi="楷体" w:eastAsia="楷体" w:cs="楷体"/>
          <w:spacing w:val="-9"/>
          <w:sz w:val="28"/>
          <w:szCs w:val="28"/>
        </w:rPr>
        <w:t>维修性分配与预计手册》编写。</w:t>
      </w:r>
    </w:p>
    <w:p w14:paraId="477D0B50">
      <w:pPr>
        <w:spacing w:before="68"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6E581EA3">
      <w:pPr>
        <w:spacing w:before="82"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152493D6">
      <w:pPr>
        <w:spacing w:before="85" w:line="222" w:lineRule="auto"/>
        <w:rPr>
          <w:rFonts w:ascii="黑体" w:hAnsi="黑体" w:eastAsia="黑体" w:cs="黑体"/>
          <w:sz w:val="27"/>
          <w:szCs w:val="27"/>
        </w:rPr>
      </w:pPr>
      <w:r>
        <w:rPr>
          <w:rFonts w:ascii="Arial" w:hAnsi="Arial" w:eastAsia="Arial" w:cs="Arial"/>
          <w:b/>
          <w:bCs/>
          <w:spacing w:val="-1"/>
          <w:sz w:val="27"/>
          <w:szCs w:val="27"/>
        </w:rPr>
        <w:t>3</w:t>
      </w:r>
      <w:r>
        <w:rPr>
          <w:rFonts w:ascii="Arial" w:hAnsi="Arial" w:eastAsia="Arial" w:cs="Arial"/>
          <w:b/>
          <w:bCs/>
          <w:spacing w:val="22"/>
          <w:w w:val="101"/>
          <w:sz w:val="27"/>
          <w:szCs w:val="27"/>
        </w:rPr>
        <w:t xml:space="preserve">   </w:t>
      </w:r>
      <w:r>
        <w:rPr>
          <w:rFonts w:ascii="黑体" w:hAnsi="黑体" w:eastAsia="黑体" w:cs="黑体"/>
          <w:b/>
          <w:bCs/>
          <w:spacing w:val="-1"/>
          <w:sz w:val="27"/>
          <w:szCs w:val="27"/>
        </w:rPr>
        <w:t>维修性分配的条件</w:t>
      </w:r>
    </w:p>
    <w:p w14:paraId="0BD1422C">
      <w:pPr>
        <w:pStyle w:val="2"/>
        <w:spacing w:before="101" w:line="219" w:lineRule="auto"/>
        <w:ind w:left="570"/>
      </w:pPr>
      <w:r>
        <w:rPr>
          <w:spacing w:val="-4"/>
        </w:rPr>
        <w:t>说明维修性分配应具备的条件，通常包括：</w:t>
      </w:r>
    </w:p>
    <w:p w14:paraId="73AD1CF6">
      <w:pPr>
        <w:pStyle w:val="2"/>
        <w:spacing w:before="79" w:line="212" w:lineRule="auto"/>
        <w:ind w:left="570"/>
      </w:pPr>
      <w:r>
        <w:rPr>
          <w:rFonts w:ascii="Times New Roman" w:hAnsi="Times New Roman" w:eastAsia="Times New Roman" w:cs="Times New Roman"/>
          <w:spacing w:val="4"/>
        </w:rPr>
        <w:t xml:space="preserve">a)  </w:t>
      </w:r>
      <w:r>
        <w:rPr>
          <w:spacing w:val="4"/>
        </w:rPr>
        <w:t>已经提出对装备的维修性要求并载入合同或研制任务书中；</w:t>
      </w:r>
    </w:p>
    <w:p w14:paraId="1D4017ED">
      <w:pPr>
        <w:pStyle w:val="2"/>
        <w:spacing w:before="90" w:line="212" w:lineRule="auto"/>
        <w:ind w:left="570"/>
      </w:pPr>
      <w:r>
        <w:rPr>
          <w:rFonts w:ascii="Times New Roman" w:hAnsi="Times New Roman" w:eastAsia="Times New Roman" w:cs="Times New Roman"/>
          <w:spacing w:val="7"/>
        </w:rPr>
        <w:t xml:space="preserve">b) </w:t>
      </w:r>
      <w:r>
        <w:rPr>
          <w:spacing w:val="7"/>
        </w:rPr>
        <w:t>已经初步确定装备的系统功能层次和维修方案；</w:t>
      </w:r>
    </w:p>
    <w:p w14:paraId="19CC9B71">
      <w:pPr>
        <w:pStyle w:val="2"/>
        <w:spacing w:before="90" w:line="212" w:lineRule="auto"/>
        <w:ind w:left="570"/>
      </w:pPr>
      <w:r>
        <w:rPr>
          <w:rFonts w:ascii="Times New Roman" w:hAnsi="Times New Roman" w:eastAsia="Times New Roman" w:cs="Times New Roman"/>
          <w:spacing w:val="-1"/>
        </w:rPr>
        <w:t xml:space="preserve">c)  </w:t>
      </w:r>
      <w:r>
        <w:rPr>
          <w:spacing w:val="-1"/>
        </w:rPr>
        <w:t>已经完成可靠性的初步分配，或与可靠性分配同时进行。</w:t>
      </w:r>
    </w:p>
    <w:p w14:paraId="04612947">
      <w:pPr>
        <w:spacing w:line="212" w:lineRule="auto"/>
        <w:sectPr>
          <w:footerReference r:id="rId414" w:type="default"/>
          <w:pgSz w:w="11910" w:h="17130"/>
          <w:pgMar w:top="1456" w:right="1058" w:bottom="1586" w:left="1450" w:header="0" w:footer="1397" w:gutter="0"/>
          <w:cols w:space="720" w:num="1"/>
        </w:sectPr>
      </w:pPr>
    </w:p>
    <w:p w14:paraId="7EE3046C">
      <w:pPr>
        <w:spacing w:before="123" w:line="222" w:lineRule="auto"/>
        <w:rPr>
          <w:rFonts w:ascii="黑体" w:hAnsi="黑体" w:eastAsia="黑体" w:cs="黑体"/>
          <w:sz w:val="27"/>
          <w:szCs w:val="27"/>
        </w:rPr>
      </w:pPr>
      <w:r>
        <w:rPr>
          <w:rFonts w:ascii="Arial" w:hAnsi="Arial" w:eastAsia="Arial" w:cs="Arial"/>
          <w:spacing w:val="3"/>
          <w:sz w:val="27"/>
          <w:szCs w:val="27"/>
        </w:rPr>
        <w:t>4</w:t>
      </w:r>
      <w:r>
        <w:rPr>
          <w:rFonts w:ascii="Arial" w:hAnsi="Arial" w:eastAsia="Arial" w:cs="Arial"/>
          <w:spacing w:val="17"/>
          <w:sz w:val="27"/>
          <w:szCs w:val="27"/>
        </w:rPr>
        <w:t xml:space="preserve">   </w:t>
      </w:r>
      <w:r>
        <w:rPr>
          <w:rFonts w:ascii="黑体" w:hAnsi="黑体" w:eastAsia="黑体" w:cs="黑体"/>
          <w:spacing w:val="3"/>
          <w:sz w:val="27"/>
          <w:szCs w:val="27"/>
        </w:rPr>
        <w:t>维修性分配的主要依据</w:t>
      </w:r>
    </w:p>
    <w:p w14:paraId="4BC554CB">
      <w:pPr>
        <w:pStyle w:val="2"/>
        <w:spacing w:before="26" w:line="270" w:lineRule="auto"/>
        <w:ind w:right="123" w:firstLine="560"/>
      </w:pPr>
      <w:r>
        <w:rPr>
          <w:rFonts w:ascii="Times New Roman" w:hAnsi="Times New Roman" w:eastAsia="Times New Roman" w:cs="Times New Roman"/>
          <w:spacing w:val="2"/>
        </w:rPr>
        <w:t xml:space="preserve">a)  </w:t>
      </w:r>
      <w:r>
        <w:rPr>
          <w:spacing w:val="2"/>
        </w:rPr>
        <w:t>对于新的设计，固有特性未知，分配应以涉及的每个功能层次上各部分</w:t>
      </w:r>
      <w:r>
        <w:rPr>
          <w:spacing w:val="15"/>
        </w:rPr>
        <w:t xml:space="preserve"> </w:t>
      </w:r>
      <w:r>
        <w:rPr>
          <w:spacing w:val="-6"/>
        </w:rPr>
        <w:t>的相对复杂性为基础，在许多场合，可按各部分的故障率分配。</w:t>
      </w:r>
    </w:p>
    <w:p w14:paraId="7AA52FE9">
      <w:pPr>
        <w:pStyle w:val="2"/>
        <w:spacing w:before="1" w:line="270" w:lineRule="auto"/>
        <w:ind w:right="123" w:firstLine="560"/>
      </w:pPr>
      <w:r>
        <w:rPr>
          <w:rFonts w:ascii="Times New Roman" w:hAnsi="Times New Roman" w:eastAsia="Times New Roman" w:cs="Times New Roman"/>
          <w:spacing w:val="2"/>
        </w:rPr>
        <w:t>b)</w:t>
      </w:r>
      <w:r>
        <w:rPr>
          <w:rFonts w:ascii="Times New Roman" w:hAnsi="Times New Roman" w:eastAsia="Times New Roman" w:cs="Times New Roman"/>
          <w:spacing w:val="72"/>
        </w:rPr>
        <w:t xml:space="preserve"> </w:t>
      </w:r>
      <w:r>
        <w:rPr>
          <w:spacing w:val="2"/>
        </w:rPr>
        <w:t>若设计是从过去的设计演变而来或有相似的装备，则分配应以过去的经</w:t>
      </w:r>
      <w:r>
        <w:t xml:space="preserve"> </w:t>
      </w:r>
      <w:r>
        <w:rPr>
          <w:spacing w:val="1"/>
        </w:rPr>
        <w:t>验或相似装备的数据为基础。</w:t>
      </w:r>
    </w:p>
    <w:p w14:paraId="48BFB5B4">
      <w:pPr>
        <w:pStyle w:val="2"/>
        <w:spacing w:before="49"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52"/>
        </w:rPr>
        <w:t xml:space="preserve"> </w:t>
      </w:r>
      <w:r>
        <w:rPr>
          <w:spacing w:val="-4"/>
        </w:rPr>
        <w:t>分配是否合理应以技术可行性、费用、</w:t>
      </w:r>
      <w:r>
        <w:rPr>
          <w:spacing w:val="-5"/>
        </w:rPr>
        <w:t>进度等约束条件为依据。</w:t>
      </w:r>
    </w:p>
    <w:p w14:paraId="5014ECD7">
      <w:pPr>
        <w:spacing w:before="138" w:line="222" w:lineRule="auto"/>
        <w:rPr>
          <w:rFonts w:ascii="黑体" w:hAnsi="黑体" w:eastAsia="黑体" w:cs="黑体"/>
          <w:sz w:val="27"/>
          <w:szCs w:val="27"/>
        </w:rPr>
      </w:pPr>
      <w:r>
        <w:rPr>
          <w:rFonts w:ascii="黑体" w:hAnsi="黑体" w:eastAsia="黑体" w:cs="黑体"/>
          <w:spacing w:val="5"/>
          <w:sz w:val="27"/>
          <w:szCs w:val="27"/>
        </w:rPr>
        <w:t>5  使用需求分析</w:t>
      </w:r>
    </w:p>
    <w:p w14:paraId="51C631F1">
      <w:pPr>
        <w:pStyle w:val="2"/>
        <w:spacing w:before="77" w:line="284" w:lineRule="auto"/>
        <w:ind w:right="94" w:firstLine="560"/>
        <w:rPr>
          <w:sz w:val="25"/>
          <w:szCs w:val="25"/>
        </w:rPr>
      </w:pPr>
      <w:r>
        <w:rPr>
          <w:spacing w:val="17"/>
          <w:sz w:val="25"/>
          <w:szCs w:val="25"/>
        </w:rPr>
        <w:t>确定装备系统的使用要求、环境条件和其他约束条件，确定其寿命剖面、任</w:t>
      </w:r>
      <w:r>
        <w:rPr>
          <w:spacing w:val="18"/>
          <w:sz w:val="25"/>
          <w:szCs w:val="25"/>
        </w:rPr>
        <w:t xml:space="preserve"> </w:t>
      </w:r>
      <w:r>
        <w:rPr>
          <w:spacing w:val="13"/>
          <w:sz w:val="25"/>
          <w:szCs w:val="25"/>
        </w:rPr>
        <w:t>务剖面。</w:t>
      </w:r>
    </w:p>
    <w:p w14:paraId="36ADE3EF">
      <w:pPr>
        <w:spacing w:line="368" w:lineRule="exact"/>
        <w:rPr>
          <w:rFonts w:ascii="黑体" w:hAnsi="黑体" w:eastAsia="黑体" w:cs="黑体"/>
          <w:sz w:val="27"/>
          <w:szCs w:val="27"/>
        </w:rPr>
      </w:pPr>
      <w:r>
        <w:rPr>
          <w:rFonts w:ascii="Arial" w:hAnsi="Arial" w:eastAsia="Arial" w:cs="Arial"/>
          <w:spacing w:val="2"/>
          <w:position w:val="2"/>
          <w:sz w:val="27"/>
          <w:szCs w:val="27"/>
        </w:rPr>
        <w:t>6</w:t>
      </w:r>
      <w:r>
        <w:rPr>
          <w:rFonts w:ascii="Arial" w:hAnsi="Arial" w:eastAsia="Arial" w:cs="Arial"/>
          <w:spacing w:val="20"/>
          <w:position w:val="2"/>
          <w:sz w:val="27"/>
          <w:szCs w:val="27"/>
        </w:rPr>
        <w:t xml:space="preserve">   </w:t>
      </w:r>
      <w:r>
        <w:rPr>
          <w:rFonts w:ascii="黑体" w:hAnsi="黑体" w:eastAsia="黑体" w:cs="黑体"/>
          <w:spacing w:val="2"/>
          <w:position w:val="2"/>
          <w:sz w:val="27"/>
          <w:szCs w:val="27"/>
        </w:rPr>
        <w:t>功能层次分析</w:t>
      </w:r>
    </w:p>
    <w:p w14:paraId="2CF4A4DA">
      <w:pPr>
        <w:pStyle w:val="2"/>
        <w:spacing w:before="82" w:line="278" w:lineRule="auto"/>
        <w:ind w:right="123" w:firstLine="560"/>
        <w:jc w:val="both"/>
      </w:pPr>
      <w:r>
        <w:rPr>
          <w:spacing w:val="5"/>
        </w:rPr>
        <w:t>确定装备各组成部分的功能层次，由系统逐步分解到所需层次的产品即可</w:t>
      </w:r>
      <w:r>
        <w:t xml:space="preserve"> </w:t>
      </w:r>
      <w:r>
        <w:rPr>
          <w:spacing w:val="-3"/>
        </w:rPr>
        <w:t>更换单元，绘制系统功能层次图。层次多少按装备系统复杂程度而定，但应与可</w:t>
      </w:r>
      <w:r>
        <w:rPr>
          <w:spacing w:val="15"/>
        </w:rPr>
        <w:t xml:space="preserve"> </w:t>
      </w:r>
      <w:r>
        <w:rPr>
          <w:spacing w:val="2"/>
        </w:rPr>
        <w:t>靠性分配层次取得一致。</w:t>
      </w:r>
    </w:p>
    <w:p w14:paraId="1999395E">
      <w:pPr>
        <w:pStyle w:val="2"/>
        <w:spacing w:before="4" w:line="281" w:lineRule="auto"/>
        <w:ind w:firstLine="560"/>
        <w:jc w:val="both"/>
      </w:pPr>
      <w:r>
        <w:rPr>
          <w:spacing w:val="5"/>
        </w:rPr>
        <w:t>系统功能层次图是描述从系统到每一个低层次产品的功能层次关系，及其</w:t>
      </w:r>
      <w:r>
        <w:t xml:space="preserve">  </w:t>
      </w:r>
      <w:r>
        <w:rPr>
          <w:spacing w:val="5"/>
        </w:rPr>
        <w:t xml:space="preserve">所需要的维修活动和措施的一种方法。系统功能层次的分解根据系统的功能分  </w:t>
      </w:r>
      <w:r>
        <w:rPr>
          <w:spacing w:val="1"/>
        </w:rPr>
        <w:t>析和系统设计方案进行。分解的细化程度，根据分配的需要和设计的进度确定。</w:t>
      </w:r>
    </w:p>
    <w:p w14:paraId="3C96C8FC">
      <w:pPr>
        <w:spacing w:before="1" w:line="221" w:lineRule="auto"/>
        <w:rPr>
          <w:rFonts w:ascii="黑体" w:hAnsi="黑体" w:eastAsia="黑体" w:cs="黑体"/>
          <w:sz w:val="24"/>
          <w:szCs w:val="24"/>
        </w:rPr>
      </w:pPr>
      <w:r>
        <w:rPr>
          <w:rFonts w:ascii="Arial" w:hAnsi="Arial" w:eastAsia="Arial" w:cs="Arial"/>
          <w:spacing w:val="25"/>
          <w:sz w:val="24"/>
          <w:szCs w:val="24"/>
        </w:rPr>
        <w:t>7</w:t>
      </w:r>
      <w:r>
        <w:rPr>
          <w:rFonts w:ascii="Arial" w:hAnsi="Arial" w:eastAsia="Arial" w:cs="Arial"/>
          <w:spacing w:val="8"/>
          <w:sz w:val="24"/>
          <w:szCs w:val="24"/>
        </w:rPr>
        <w:t xml:space="preserve">    </w:t>
      </w:r>
      <w:r>
        <w:rPr>
          <w:rFonts w:ascii="黑体" w:hAnsi="黑体" w:eastAsia="黑体" w:cs="黑体"/>
          <w:spacing w:val="25"/>
          <w:sz w:val="24"/>
          <w:szCs w:val="24"/>
        </w:rPr>
        <w:t>维修方案</w:t>
      </w:r>
    </w:p>
    <w:p w14:paraId="4AAE70BD">
      <w:pPr>
        <w:pStyle w:val="2"/>
        <w:spacing w:before="96" w:line="280" w:lineRule="auto"/>
        <w:ind w:right="94" w:firstLine="560"/>
      </w:pPr>
      <w:r>
        <w:rPr>
          <w:spacing w:val="-3"/>
        </w:rPr>
        <w:t>根据维修策略和保障方案等确定各维修级别的任务、职能和分工，绘制维修</w:t>
      </w:r>
      <w:r>
        <w:rPr>
          <w:spacing w:val="18"/>
        </w:rPr>
        <w:t xml:space="preserve"> </w:t>
      </w:r>
      <w:r>
        <w:rPr>
          <w:spacing w:val="-1"/>
        </w:rPr>
        <w:t>职能流程图。</w:t>
      </w:r>
    </w:p>
    <w:p w14:paraId="1D91C5E5">
      <w:pPr>
        <w:pStyle w:val="2"/>
        <w:spacing w:before="1" w:line="269" w:lineRule="auto"/>
        <w:ind w:firstLine="560"/>
        <w:jc w:val="both"/>
      </w:pPr>
      <w:r>
        <w:t>维修职能流程图是描述各级维修职能的一种方法，即在每一个维修级别上，</w:t>
      </w:r>
      <w:r>
        <w:rPr>
          <w:spacing w:val="14"/>
        </w:rPr>
        <w:t xml:space="preserve"> </w:t>
      </w:r>
      <w:r>
        <w:rPr>
          <w:spacing w:val="1"/>
        </w:rPr>
        <w:t>对修复性维修和预防性维修的过程分别提出要点，找出各项职能之间相互联系。</w:t>
      </w:r>
      <w:r>
        <w:t xml:space="preserve"> </w:t>
      </w:r>
      <w:r>
        <w:rPr>
          <w:spacing w:val="4"/>
        </w:rPr>
        <w:t>维修级别按各军兵种的体制及维修制度确定。</w:t>
      </w:r>
    </w:p>
    <w:p w14:paraId="5A89852B">
      <w:pPr>
        <w:spacing w:line="368" w:lineRule="exact"/>
        <w:rPr>
          <w:rFonts w:ascii="黑体" w:hAnsi="黑体" w:eastAsia="黑体" w:cs="黑体"/>
          <w:sz w:val="27"/>
          <w:szCs w:val="27"/>
        </w:rPr>
      </w:pPr>
      <w:r>
        <w:rPr>
          <w:rFonts w:ascii="Arial" w:hAnsi="Arial" w:eastAsia="Arial" w:cs="Arial"/>
          <w:spacing w:val="2"/>
          <w:position w:val="1"/>
          <w:sz w:val="27"/>
          <w:szCs w:val="27"/>
        </w:rPr>
        <w:t>8</w:t>
      </w:r>
      <w:r>
        <w:rPr>
          <w:rFonts w:ascii="Arial" w:hAnsi="Arial" w:eastAsia="Arial" w:cs="Arial"/>
          <w:spacing w:val="18"/>
          <w:w w:val="101"/>
          <w:position w:val="1"/>
          <w:sz w:val="27"/>
          <w:szCs w:val="27"/>
        </w:rPr>
        <w:t xml:space="preserve">   </w:t>
      </w:r>
      <w:r>
        <w:rPr>
          <w:rFonts w:ascii="黑体" w:hAnsi="黑体" w:eastAsia="黑体" w:cs="黑体"/>
          <w:spacing w:val="2"/>
          <w:position w:val="1"/>
          <w:sz w:val="27"/>
          <w:szCs w:val="27"/>
        </w:rPr>
        <w:t>维修频率</w:t>
      </w:r>
    </w:p>
    <w:p w14:paraId="232584F2">
      <w:pPr>
        <w:pStyle w:val="2"/>
        <w:spacing w:before="111" w:line="270" w:lineRule="auto"/>
        <w:ind w:right="92" w:firstLine="560"/>
        <w:rPr>
          <w:sz w:val="25"/>
          <w:szCs w:val="25"/>
        </w:rPr>
      </w:pPr>
      <w:r>
        <w:rPr>
          <w:spacing w:val="26"/>
          <w:sz w:val="25"/>
          <w:szCs w:val="25"/>
        </w:rPr>
        <w:t>对于需分配的各个功能层次的产品，根据可靠性分配的结果以及维修方案</w:t>
      </w:r>
      <w:r>
        <w:rPr>
          <w:sz w:val="25"/>
          <w:szCs w:val="25"/>
        </w:rPr>
        <w:t xml:space="preserve"> </w:t>
      </w:r>
      <w:r>
        <w:rPr>
          <w:spacing w:val="16"/>
          <w:sz w:val="25"/>
          <w:szCs w:val="25"/>
        </w:rPr>
        <w:t>或大纲，确定其修复性维修的频率和预防性维修的频率，两类频率不得混淆。</w:t>
      </w:r>
    </w:p>
    <w:p w14:paraId="2D245BDC">
      <w:pPr>
        <w:spacing w:line="368" w:lineRule="exact"/>
        <w:rPr>
          <w:rFonts w:ascii="黑体" w:hAnsi="黑体" w:eastAsia="黑体" w:cs="黑体"/>
          <w:sz w:val="27"/>
          <w:szCs w:val="27"/>
        </w:rPr>
      </w:pPr>
      <w:r>
        <w:rPr>
          <w:rFonts w:ascii="Arial" w:hAnsi="Arial" w:eastAsia="Arial" w:cs="Arial"/>
          <w:spacing w:val="2"/>
          <w:position w:val="1"/>
          <w:sz w:val="27"/>
          <w:szCs w:val="27"/>
        </w:rPr>
        <w:t>9</w:t>
      </w:r>
      <w:r>
        <w:rPr>
          <w:rFonts w:ascii="Arial" w:hAnsi="Arial" w:eastAsia="Arial" w:cs="Arial"/>
          <w:spacing w:val="20"/>
          <w:position w:val="1"/>
          <w:sz w:val="27"/>
          <w:szCs w:val="27"/>
        </w:rPr>
        <w:t xml:space="preserve">   </w:t>
      </w:r>
      <w:r>
        <w:rPr>
          <w:rFonts w:ascii="黑体" w:hAnsi="黑体" w:eastAsia="黑体" w:cs="黑体"/>
          <w:spacing w:val="2"/>
          <w:position w:val="1"/>
          <w:sz w:val="27"/>
          <w:szCs w:val="27"/>
        </w:rPr>
        <w:t>分配的指标</w:t>
      </w:r>
    </w:p>
    <w:p w14:paraId="58E3C63D">
      <w:pPr>
        <w:pStyle w:val="2"/>
        <w:spacing w:before="120" w:line="293" w:lineRule="auto"/>
        <w:ind w:right="540" w:firstLine="560"/>
        <w:rPr>
          <w:rFonts w:ascii="黑体" w:hAnsi="黑体" w:eastAsia="黑体" w:cs="黑体"/>
          <w:sz w:val="24"/>
          <w:szCs w:val="24"/>
        </w:rPr>
      </w:pPr>
      <w:r>
        <w:t>根据研制合同(或任务书)给定的维修性定量要求，确定应分配的指标。</w:t>
      </w:r>
      <w:r>
        <w:rPr>
          <w:spacing w:val="13"/>
        </w:rPr>
        <w:t xml:space="preserve"> </w:t>
      </w:r>
      <w:r>
        <w:rPr>
          <w:rFonts w:ascii="黑体" w:hAnsi="黑体" w:eastAsia="黑体" w:cs="黑体"/>
          <w:spacing w:val="20"/>
          <w:sz w:val="24"/>
          <w:szCs w:val="24"/>
        </w:rPr>
        <w:t>10</w:t>
      </w:r>
      <w:r>
        <w:rPr>
          <w:rFonts w:ascii="黑体" w:hAnsi="黑体" w:eastAsia="黑体" w:cs="黑体"/>
          <w:spacing w:val="51"/>
          <w:sz w:val="24"/>
          <w:szCs w:val="24"/>
        </w:rPr>
        <w:t xml:space="preserve">  </w:t>
      </w:r>
      <w:r>
        <w:rPr>
          <w:rFonts w:ascii="黑体" w:hAnsi="黑体" w:eastAsia="黑体" w:cs="黑体"/>
          <w:spacing w:val="20"/>
          <w:sz w:val="24"/>
          <w:szCs w:val="24"/>
        </w:rPr>
        <w:t>分配原则</w:t>
      </w:r>
    </w:p>
    <w:p w14:paraId="669DD110">
      <w:pPr>
        <w:pStyle w:val="2"/>
        <w:spacing w:before="2" w:line="219" w:lineRule="auto"/>
        <w:ind w:left="560"/>
      </w:pPr>
      <w:r>
        <w:rPr>
          <w:spacing w:val="3"/>
        </w:rPr>
        <w:t>明确进行维修性分配应遵循的原则。</w:t>
      </w:r>
    </w:p>
    <w:p w14:paraId="5A33C9FA">
      <w:pPr>
        <w:spacing w:before="116" w:line="221" w:lineRule="auto"/>
        <w:rPr>
          <w:rFonts w:ascii="黑体" w:hAnsi="黑体" w:eastAsia="黑体" w:cs="黑体"/>
          <w:sz w:val="24"/>
          <w:szCs w:val="24"/>
        </w:rPr>
      </w:pPr>
      <w:r>
        <w:rPr>
          <w:rFonts w:ascii="黑体" w:hAnsi="黑体" w:eastAsia="黑体" w:cs="黑体"/>
          <w:spacing w:val="28"/>
          <w:sz w:val="24"/>
          <w:szCs w:val="24"/>
        </w:rPr>
        <w:t>11</w:t>
      </w:r>
      <w:r>
        <w:rPr>
          <w:rFonts w:ascii="黑体" w:hAnsi="黑体" w:eastAsia="黑体" w:cs="黑体"/>
          <w:spacing w:val="53"/>
          <w:sz w:val="24"/>
          <w:szCs w:val="24"/>
        </w:rPr>
        <w:t xml:space="preserve">  </w:t>
      </w:r>
      <w:r>
        <w:rPr>
          <w:rFonts w:ascii="黑体" w:hAnsi="黑体" w:eastAsia="黑体" w:cs="黑体"/>
          <w:spacing w:val="28"/>
          <w:sz w:val="24"/>
          <w:szCs w:val="24"/>
        </w:rPr>
        <w:t>分配方法及影响因素</w:t>
      </w:r>
    </w:p>
    <w:p w14:paraId="19A87D50">
      <w:pPr>
        <w:pStyle w:val="2"/>
        <w:spacing w:before="104" w:line="274" w:lineRule="auto"/>
        <w:ind w:right="93" w:firstLine="560"/>
      </w:pPr>
      <w:r>
        <w:rPr>
          <w:spacing w:val="-2"/>
        </w:rPr>
        <w:t>根据分配的时机，产品的类型，分配的要求</w:t>
      </w:r>
      <w:r>
        <w:rPr>
          <w:spacing w:val="-3"/>
        </w:rPr>
        <w:t>等，确定分配的方法和应用的数</w:t>
      </w:r>
      <w:r>
        <w:t xml:space="preserve"> </w:t>
      </w:r>
      <w:r>
        <w:rPr>
          <w:spacing w:val="4"/>
        </w:rPr>
        <w:t>学模型。分析影响选择该分配方法的各种因素。</w:t>
      </w:r>
    </w:p>
    <w:p w14:paraId="77CC0A21">
      <w:pPr>
        <w:spacing w:before="1" w:line="222" w:lineRule="auto"/>
        <w:rPr>
          <w:rFonts w:ascii="黑体" w:hAnsi="黑体" w:eastAsia="黑体" w:cs="黑体"/>
          <w:sz w:val="27"/>
          <w:szCs w:val="27"/>
        </w:rPr>
      </w:pPr>
      <w:r>
        <w:rPr>
          <w:rFonts w:ascii="Arial" w:hAnsi="Arial" w:eastAsia="Arial" w:cs="Arial"/>
          <w:spacing w:val="-3"/>
          <w:sz w:val="27"/>
          <w:szCs w:val="27"/>
        </w:rPr>
        <w:t>12</w:t>
      </w:r>
      <w:r>
        <w:rPr>
          <w:rFonts w:ascii="Arial" w:hAnsi="Arial" w:eastAsia="Arial" w:cs="Arial"/>
          <w:spacing w:val="22"/>
          <w:sz w:val="27"/>
          <w:szCs w:val="27"/>
        </w:rPr>
        <w:t xml:space="preserve">   </w:t>
      </w:r>
      <w:r>
        <w:rPr>
          <w:rFonts w:ascii="黑体" w:hAnsi="黑体" w:eastAsia="黑体" w:cs="黑体"/>
          <w:spacing w:val="-3"/>
          <w:sz w:val="27"/>
          <w:szCs w:val="27"/>
        </w:rPr>
        <w:t>分配结果</w:t>
      </w:r>
    </w:p>
    <w:p w14:paraId="29041310">
      <w:pPr>
        <w:pStyle w:val="2"/>
        <w:spacing w:before="85" w:line="219" w:lineRule="auto"/>
        <w:ind w:left="560"/>
      </w:pPr>
      <w:r>
        <w:rPr>
          <w:spacing w:val="1"/>
        </w:rPr>
        <w:t>分配到每一单元的定量指标。</w:t>
      </w:r>
    </w:p>
    <w:p w14:paraId="006119CF">
      <w:pPr>
        <w:spacing w:line="219" w:lineRule="auto"/>
        <w:sectPr>
          <w:footerReference r:id="rId415" w:type="default"/>
          <w:pgSz w:w="11910" w:h="17130"/>
          <w:pgMar w:top="1456" w:right="1304" w:bottom="1616" w:left="1120" w:header="0" w:footer="1427" w:gutter="0"/>
          <w:cols w:space="720" w:num="1"/>
        </w:sectPr>
      </w:pPr>
    </w:p>
    <w:p w14:paraId="4BE8B5C8">
      <w:pPr>
        <w:spacing w:line="394" w:lineRule="auto"/>
        <w:rPr>
          <w:rFonts w:ascii="Arial"/>
          <w:sz w:val="21"/>
        </w:rPr>
      </w:pPr>
    </w:p>
    <w:p w14:paraId="44581C0D">
      <w:pPr>
        <w:pStyle w:val="2"/>
        <w:spacing w:before="117" w:line="219" w:lineRule="auto"/>
        <w:ind w:left="3320"/>
        <w:rPr>
          <w:sz w:val="36"/>
          <w:szCs w:val="36"/>
        </w:rPr>
      </w:pPr>
      <w:r>
        <w:rPr>
          <w:spacing w:val="1"/>
          <w:sz w:val="36"/>
          <w:szCs w:val="36"/>
        </w:rPr>
        <w:t>8.7</w:t>
      </w:r>
      <w:r>
        <w:rPr>
          <w:spacing w:val="16"/>
          <w:sz w:val="36"/>
          <w:szCs w:val="36"/>
        </w:rPr>
        <w:t xml:space="preserve">  </w:t>
      </w:r>
      <w:r>
        <w:rPr>
          <w:b/>
          <w:bCs/>
          <w:spacing w:val="1"/>
          <w:sz w:val="36"/>
          <w:szCs w:val="36"/>
        </w:rPr>
        <w:t>维修性预计</w:t>
      </w:r>
    </w:p>
    <w:p w14:paraId="459F9778">
      <w:pPr>
        <w:spacing w:line="328" w:lineRule="auto"/>
        <w:rPr>
          <w:rFonts w:ascii="Arial"/>
          <w:sz w:val="21"/>
        </w:rPr>
      </w:pPr>
    </w:p>
    <w:p w14:paraId="15DD5509">
      <w:pPr>
        <w:pStyle w:val="2"/>
        <w:spacing w:before="91" w:line="225" w:lineRule="auto"/>
        <w:ind w:left="56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GJB/Z 57—1994</w:t>
      </w:r>
      <w:r>
        <w:rPr>
          <w:spacing w:val="-9"/>
          <w:sz w:val="28"/>
          <w:szCs w:val="28"/>
        </w:rPr>
        <w:t>《</w:t>
      </w:r>
      <w:r>
        <w:rPr>
          <w:rFonts w:ascii="楷体" w:hAnsi="楷体" w:eastAsia="楷体" w:cs="楷体"/>
          <w:spacing w:val="-9"/>
          <w:sz w:val="28"/>
          <w:szCs w:val="28"/>
        </w:rPr>
        <w:t>维修性分配与预计手册》编写。</w:t>
      </w:r>
    </w:p>
    <w:p w14:paraId="1B7B429F">
      <w:pPr>
        <w:spacing w:before="97"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40"/>
          <w:sz w:val="25"/>
          <w:szCs w:val="25"/>
        </w:rPr>
        <w:t xml:space="preserve">  </w:t>
      </w:r>
      <w:r>
        <w:rPr>
          <w:rFonts w:ascii="黑体" w:hAnsi="黑体" w:eastAsia="黑体" w:cs="黑体"/>
          <w:b/>
          <w:bCs/>
          <w:spacing w:val="3"/>
          <w:sz w:val="25"/>
          <w:szCs w:val="25"/>
        </w:rPr>
        <w:t>范围</w:t>
      </w:r>
    </w:p>
    <w:p w14:paraId="79FC60A1">
      <w:pPr>
        <w:spacing w:before="105" w:line="222" w:lineRule="auto"/>
        <w:rPr>
          <w:rFonts w:ascii="黑体" w:hAnsi="黑体" w:eastAsia="黑体" w:cs="黑体"/>
          <w:sz w:val="25"/>
          <w:szCs w:val="25"/>
        </w:rPr>
      </w:pPr>
      <w:r>
        <w:rPr>
          <w:rFonts w:ascii="黑体" w:hAnsi="黑体" w:eastAsia="黑体" w:cs="黑体"/>
          <w:spacing w:val="15"/>
          <w:sz w:val="25"/>
          <w:szCs w:val="25"/>
        </w:rPr>
        <w:t>2</w:t>
      </w:r>
      <w:r>
        <w:rPr>
          <w:rFonts w:ascii="黑体" w:hAnsi="黑体" w:eastAsia="黑体" w:cs="黑体"/>
          <w:spacing w:val="33"/>
          <w:sz w:val="25"/>
          <w:szCs w:val="25"/>
        </w:rPr>
        <w:t xml:space="preserve">  </w:t>
      </w:r>
      <w:r>
        <w:rPr>
          <w:rFonts w:ascii="黑体" w:hAnsi="黑体" w:eastAsia="黑体" w:cs="黑体"/>
          <w:b/>
          <w:bCs/>
          <w:spacing w:val="15"/>
          <w:sz w:val="25"/>
          <w:szCs w:val="25"/>
        </w:rPr>
        <w:t>引用文件</w:t>
      </w:r>
    </w:p>
    <w:p w14:paraId="1758A2B8">
      <w:pPr>
        <w:spacing w:before="109" w:line="222" w:lineRule="auto"/>
        <w:rPr>
          <w:rFonts w:ascii="黑体" w:hAnsi="黑体" w:eastAsia="黑体" w:cs="黑体"/>
          <w:sz w:val="25"/>
          <w:szCs w:val="25"/>
        </w:rPr>
      </w:pPr>
      <w:r>
        <w:rPr>
          <w:rFonts w:ascii="黑体" w:hAnsi="黑体" w:eastAsia="黑体" w:cs="黑体"/>
          <w:spacing w:val="17"/>
          <w:sz w:val="25"/>
          <w:szCs w:val="25"/>
        </w:rPr>
        <w:t>3</w:t>
      </w:r>
      <w:r>
        <w:rPr>
          <w:rFonts w:ascii="黑体" w:hAnsi="黑体" w:eastAsia="黑体" w:cs="黑体"/>
          <w:spacing w:val="34"/>
          <w:sz w:val="25"/>
          <w:szCs w:val="25"/>
        </w:rPr>
        <w:t xml:space="preserve">  </w:t>
      </w:r>
      <w:r>
        <w:rPr>
          <w:rFonts w:ascii="黑体" w:hAnsi="黑体" w:eastAsia="黑体" w:cs="黑体"/>
          <w:b/>
          <w:bCs/>
          <w:spacing w:val="17"/>
          <w:sz w:val="25"/>
          <w:szCs w:val="25"/>
        </w:rPr>
        <w:t>维修性预计的条件</w:t>
      </w:r>
    </w:p>
    <w:p w14:paraId="2BEDE1E7">
      <w:pPr>
        <w:pStyle w:val="2"/>
        <w:spacing w:before="124" w:line="219" w:lineRule="auto"/>
        <w:ind w:left="560"/>
        <w:rPr>
          <w:sz w:val="24"/>
          <w:szCs w:val="24"/>
        </w:rPr>
      </w:pPr>
      <w:r>
        <w:rPr>
          <w:spacing w:val="25"/>
          <w:sz w:val="24"/>
          <w:szCs w:val="24"/>
        </w:rPr>
        <w:t>说明维修性预计应具备的条件，通常包括：</w:t>
      </w:r>
    </w:p>
    <w:p w14:paraId="48F1F692">
      <w:pPr>
        <w:pStyle w:val="2"/>
        <w:spacing w:before="87" w:line="219" w:lineRule="auto"/>
        <w:ind w:left="560"/>
      </w:pPr>
      <w:r>
        <w:rPr>
          <w:rFonts w:ascii="Times New Roman" w:hAnsi="Times New Roman" w:eastAsia="Times New Roman" w:cs="Times New Roman"/>
          <w:spacing w:val="3"/>
        </w:rPr>
        <w:t>a</w:t>
      </w:r>
      <w:r>
        <w:rPr>
          <w:spacing w:val="3"/>
        </w:rPr>
        <w:t>)</w:t>
      </w:r>
      <w:r>
        <w:rPr>
          <w:spacing w:val="-38"/>
        </w:rPr>
        <w:t xml:space="preserve"> </w:t>
      </w:r>
      <w:r>
        <w:rPr>
          <w:spacing w:val="3"/>
        </w:rPr>
        <w:t>已作出了系统的初步设计；</w:t>
      </w:r>
    </w:p>
    <w:p w14:paraId="1FE168C4">
      <w:pPr>
        <w:pStyle w:val="2"/>
        <w:spacing w:before="69" w:line="212" w:lineRule="auto"/>
        <w:ind w:left="560"/>
      </w:pPr>
      <w:r>
        <w:rPr>
          <w:rFonts w:ascii="Times New Roman" w:hAnsi="Times New Roman" w:eastAsia="Times New Roman" w:cs="Times New Roman"/>
          <w:spacing w:val="3"/>
        </w:rPr>
        <w:t xml:space="preserve">b)  </w:t>
      </w:r>
      <w:r>
        <w:rPr>
          <w:spacing w:val="3"/>
        </w:rPr>
        <w:t>已经完成可靠性的初步预计；</w:t>
      </w:r>
    </w:p>
    <w:p w14:paraId="511ACB84">
      <w:pPr>
        <w:pStyle w:val="2"/>
        <w:spacing w:before="120" w:line="260" w:lineRule="auto"/>
        <w:ind w:right="104" w:firstLine="560"/>
      </w:pPr>
      <w:r>
        <w:rPr>
          <w:rFonts w:ascii="Times New Roman" w:hAnsi="Times New Roman" w:eastAsia="Times New Roman" w:cs="Times New Roman"/>
          <w:spacing w:val="6"/>
        </w:rPr>
        <w:t>c</w:t>
      </w:r>
      <w:r>
        <w:rPr>
          <w:spacing w:val="6"/>
        </w:rPr>
        <w:t>)掌握有关资料和数据，并权衡它们是否合理可用，这些资料和</w:t>
      </w:r>
      <w:r>
        <w:rPr>
          <w:spacing w:val="5"/>
        </w:rPr>
        <w:t>数据包括</w:t>
      </w:r>
      <w:r>
        <w:t xml:space="preserve"> </w:t>
      </w:r>
      <w:r>
        <w:rPr>
          <w:spacing w:val="-3"/>
        </w:rPr>
        <w:t>相似装备的历史数据，现有的维修保障分系统情况，与所研制的装备及各部分有</w:t>
      </w:r>
      <w:r>
        <w:rPr>
          <w:spacing w:val="17"/>
        </w:rPr>
        <w:t xml:space="preserve"> </w:t>
      </w:r>
      <w:r>
        <w:t>关的故障率数据，维修工作顺序和维修工作时间元素的数据等。</w:t>
      </w:r>
    </w:p>
    <w:p w14:paraId="32E48BAE">
      <w:pPr>
        <w:spacing w:before="74" w:line="222" w:lineRule="auto"/>
        <w:outlineLvl w:val="3"/>
        <w:rPr>
          <w:rFonts w:ascii="黑体" w:hAnsi="黑体" w:eastAsia="黑体" w:cs="黑体"/>
          <w:sz w:val="27"/>
          <w:szCs w:val="27"/>
        </w:rPr>
      </w:pPr>
      <w:r>
        <w:rPr>
          <w:rFonts w:ascii="Arial" w:hAnsi="Arial" w:eastAsia="Arial" w:cs="Arial"/>
          <w:b/>
          <w:bCs/>
          <w:spacing w:val="1"/>
          <w:sz w:val="27"/>
          <w:szCs w:val="27"/>
        </w:rPr>
        <w:t>4</w:t>
      </w:r>
      <w:r>
        <w:rPr>
          <w:rFonts w:ascii="Arial" w:hAnsi="Arial" w:eastAsia="Arial" w:cs="Arial"/>
          <w:b/>
          <w:bCs/>
          <w:spacing w:val="21"/>
          <w:sz w:val="27"/>
          <w:szCs w:val="27"/>
        </w:rPr>
        <w:t xml:space="preserve">   </w:t>
      </w:r>
      <w:r>
        <w:rPr>
          <w:rFonts w:ascii="黑体" w:hAnsi="黑体" w:eastAsia="黑体" w:cs="黑体"/>
          <w:b/>
          <w:bCs/>
          <w:spacing w:val="1"/>
          <w:sz w:val="27"/>
          <w:szCs w:val="27"/>
        </w:rPr>
        <w:t>维修性预计的主要依据</w:t>
      </w:r>
    </w:p>
    <w:p w14:paraId="488ECF05">
      <w:pPr>
        <w:pStyle w:val="2"/>
        <w:spacing w:before="99" w:line="219" w:lineRule="auto"/>
        <w:ind w:left="560"/>
      </w:pPr>
      <w:r>
        <w:rPr>
          <w:spacing w:val="-4"/>
        </w:rPr>
        <w:t>说明维修性预计的主要依据，通常包括：</w:t>
      </w:r>
    </w:p>
    <w:p w14:paraId="4D5CB27B">
      <w:pPr>
        <w:pStyle w:val="2"/>
        <w:spacing w:before="39" w:line="271" w:lineRule="auto"/>
        <w:ind w:right="112" w:firstLine="560"/>
      </w:pPr>
      <w:r>
        <w:rPr>
          <w:rFonts w:ascii="Times New Roman" w:hAnsi="Times New Roman" w:eastAsia="Times New Roman" w:cs="Times New Roman"/>
          <w:spacing w:val="11"/>
        </w:rPr>
        <w:t xml:space="preserve">a)  </w:t>
      </w:r>
      <w:r>
        <w:rPr>
          <w:spacing w:val="11"/>
        </w:rPr>
        <w:t>可转移原理。由已有系统积累的数据可用于正在进</w:t>
      </w:r>
      <w:r>
        <w:rPr>
          <w:spacing w:val="10"/>
        </w:rPr>
        <w:t>行研制或分析的相</w:t>
      </w:r>
      <w:r>
        <w:t xml:space="preserve"> </w:t>
      </w:r>
      <w:r>
        <w:rPr>
          <w:spacing w:val="-3"/>
        </w:rPr>
        <w:t>似系统的维修性预计，当系统之间能够达到所需的相似程度时，这种方法是合理</w:t>
      </w:r>
      <w:r>
        <w:rPr>
          <w:spacing w:val="13"/>
        </w:rPr>
        <w:t xml:space="preserve"> </w:t>
      </w:r>
      <w:r>
        <w:rPr>
          <w:spacing w:val="6"/>
        </w:rPr>
        <w:t>的。在新研装备的方案或早期设计阶段，只能粗略</w:t>
      </w:r>
      <w:r>
        <w:rPr>
          <w:spacing w:val="5"/>
        </w:rPr>
        <w:t>地推断相似程度。随着研制</w:t>
      </w:r>
      <w:r>
        <w:t xml:space="preserve"> </w:t>
      </w:r>
      <w:r>
        <w:rPr>
          <w:spacing w:val="5"/>
        </w:rPr>
        <w:t>的深入和细化，新研装备的结构和维修作业与已有系统之间建立了明确的相互</w:t>
      </w:r>
      <w:r>
        <w:rPr>
          <w:spacing w:val="9"/>
        </w:rPr>
        <w:t xml:space="preserve"> </w:t>
      </w:r>
      <w:r>
        <w:rPr>
          <w:spacing w:val="-8"/>
        </w:rPr>
        <w:t>关系，预计的精度就会提高。</w:t>
      </w:r>
    </w:p>
    <w:p w14:paraId="09E5AE36">
      <w:pPr>
        <w:pStyle w:val="2"/>
        <w:spacing w:before="69" w:line="265" w:lineRule="auto"/>
        <w:ind w:right="122" w:firstLine="560"/>
      </w:pPr>
      <w:r>
        <w:rPr>
          <w:rFonts w:ascii="Times New Roman" w:hAnsi="Times New Roman" w:eastAsia="Times New Roman" w:cs="Times New Roman"/>
        </w:rPr>
        <w:t>b)</w:t>
      </w:r>
      <w:r>
        <w:rPr>
          <w:rFonts w:ascii="Times New Roman" w:hAnsi="Times New Roman" w:eastAsia="Times New Roman" w:cs="Times New Roman"/>
          <w:spacing w:val="42"/>
        </w:rPr>
        <w:t xml:space="preserve"> </w:t>
      </w:r>
      <w:r>
        <w:t xml:space="preserve">预计方法的普遍性。 </w:t>
      </w:r>
      <w:r>
        <w:rPr>
          <w:rFonts w:ascii="Times New Roman" w:hAnsi="Times New Roman" w:eastAsia="Times New Roman" w:cs="Times New Roman"/>
        </w:rPr>
        <w:t>GJB/Z    57—1994</w:t>
      </w:r>
      <w:r>
        <w:rPr>
          <w:rFonts w:ascii="Times New Roman" w:hAnsi="Times New Roman" w:eastAsia="Times New Roman" w:cs="Times New Roman"/>
          <w:spacing w:val="-17"/>
        </w:rPr>
        <w:t xml:space="preserve"> </w:t>
      </w:r>
      <w:r>
        <w:t xml:space="preserve">提供的方法，虽然具体数据是针 </w:t>
      </w:r>
      <w:r>
        <w:rPr>
          <w:spacing w:val="-3"/>
        </w:rPr>
        <w:t>对某些类型装备的，但基本程序、模型和某些基本维修作业时间适用于各类装备</w:t>
      </w:r>
      <w:r>
        <w:rPr>
          <w:spacing w:val="16"/>
        </w:rPr>
        <w:t xml:space="preserve"> </w:t>
      </w:r>
      <w:r>
        <w:rPr>
          <w:spacing w:val="-2"/>
        </w:rPr>
        <w:t>的预计，不同类型的装备只需或实测相似系统特殊的数据。</w:t>
      </w:r>
    </w:p>
    <w:p w14:paraId="27F9D575">
      <w:pPr>
        <w:pStyle w:val="2"/>
        <w:spacing w:before="69" w:line="212" w:lineRule="auto"/>
        <w:ind w:left="560"/>
      </w:pPr>
      <w:r>
        <w:rPr>
          <w:rFonts w:ascii="Times New Roman" w:hAnsi="Times New Roman" w:eastAsia="Times New Roman" w:cs="Times New Roman"/>
          <w:spacing w:val="10"/>
        </w:rPr>
        <w:t>c)</w:t>
      </w:r>
      <w:r>
        <w:rPr>
          <w:rFonts w:ascii="Times New Roman" w:hAnsi="Times New Roman" w:eastAsia="Times New Roman" w:cs="Times New Roman"/>
          <w:spacing w:val="61"/>
          <w:w w:val="101"/>
        </w:rPr>
        <w:t xml:space="preserve"> </w:t>
      </w:r>
      <w:r>
        <w:rPr>
          <w:spacing w:val="10"/>
        </w:rPr>
        <w:t>有关基本维修作业的假设。在第9章详细说明。</w:t>
      </w:r>
    </w:p>
    <w:p w14:paraId="11ABB956">
      <w:pPr>
        <w:spacing w:before="115" w:line="222"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3"/>
          <w:sz w:val="27"/>
          <w:szCs w:val="27"/>
        </w:rPr>
        <w:t xml:space="preserve">   </w:t>
      </w:r>
      <w:r>
        <w:rPr>
          <w:rFonts w:ascii="黑体" w:hAnsi="黑体" w:eastAsia="黑体" w:cs="黑体"/>
          <w:b/>
          <w:bCs/>
          <w:spacing w:val="-1"/>
          <w:sz w:val="27"/>
          <w:szCs w:val="27"/>
        </w:rPr>
        <w:t>使用需求分析</w:t>
      </w:r>
    </w:p>
    <w:p w14:paraId="7C809974">
      <w:pPr>
        <w:pStyle w:val="2"/>
        <w:spacing w:before="100" w:line="269" w:lineRule="auto"/>
        <w:ind w:right="123" w:firstLine="560"/>
      </w:pPr>
      <w:r>
        <w:rPr>
          <w:spacing w:val="-3"/>
        </w:rPr>
        <w:t>确定装备系统的使用要求、环境条件和其他约束条</w:t>
      </w:r>
      <w:r>
        <w:rPr>
          <w:spacing w:val="-4"/>
        </w:rPr>
        <w:t>件，确定其寿命剖面、任</w:t>
      </w:r>
      <w:r>
        <w:t xml:space="preserve"> </w:t>
      </w:r>
      <w:r>
        <w:rPr>
          <w:spacing w:val="1"/>
        </w:rPr>
        <w:t>务剖面。</w:t>
      </w:r>
    </w:p>
    <w:p w14:paraId="1BA3B51E">
      <w:pPr>
        <w:spacing w:before="8" w:line="221" w:lineRule="auto"/>
        <w:outlineLvl w:val="3"/>
        <w:rPr>
          <w:rFonts w:ascii="黑体" w:hAnsi="黑体" w:eastAsia="黑体" w:cs="黑体"/>
          <w:sz w:val="27"/>
          <w:szCs w:val="27"/>
        </w:rPr>
      </w:pPr>
      <w:r>
        <w:rPr>
          <w:rFonts w:ascii="Arial" w:hAnsi="Arial" w:eastAsia="Arial" w:cs="Arial"/>
          <w:b/>
          <w:bCs/>
          <w:spacing w:val="-1"/>
          <w:sz w:val="27"/>
          <w:szCs w:val="27"/>
        </w:rPr>
        <w:t>6</w:t>
      </w:r>
      <w:r>
        <w:rPr>
          <w:rFonts w:ascii="Arial" w:hAnsi="Arial" w:eastAsia="Arial" w:cs="Arial"/>
          <w:b/>
          <w:bCs/>
          <w:spacing w:val="23"/>
          <w:sz w:val="27"/>
          <w:szCs w:val="27"/>
        </w:rPr>
        <w:t xml:space="preserve">   </w:t>
      </w:r>
      <w:r>
        <w:rPr>
          <w:rFonts w:ascii="黑体" w:hAnsi="黑体" w:eastAsia="黑体" w:cs="黑体"/>
          <w:b/>
          <w:bCs/>
          <w:spacing w:val="-1"/>
          <w:sz w:val="27"/>
          <w:szCs w:val="27"/>
        </w:rPr>
        <w:t>功能层次分析</w:t>
      </w:r>
    </w:p>
    <w:p w14:paraId="252989EC">
      <w:pPr>
        <w:pStyle w:val="2"/>
        <w:spacing w:before="84" w:line="280" w:lineRule="auto"/>
        <w:ind w:right="123" w:firstLine="560"/>
        <w:jc w:val="both"/>
      </w:pPr>
      <w:r>
        <w:rPr>
          <w:spacing w:val="5"/>
        </w:rPr>
        <w:t>确定装备各组成部分的功能层次，由系统逐步分解到所需层次的产品即可</w:t>
      </w:r>
      <w:r>
        <w:t xml:space="preserve"> </w:t>
      </w:r>
      <w:r>
        <w:rPr>
          <w:spacing w:val="-3"/>
        </w:rPr>
        <w:t>更换单元，绘制系统功能层次图。层次多少按装备系统复杂程度而定，但应与可</w:t>
      </w:r>
      <w:r>
        <w:rPr>
          <w:spacing w:val="15"/>
        </w:rPr>
        <w:t xml:space="preserve"> </w:t>
      </w:r>
      <w:r>
        <w:rPr>
          <w:spacing w:val="3"/>
        </w:rPr>
        <w:t>靠性分配层次取得一致。</w:t>
      </w:r>
    </w:p>
    <w:p w14:paraId="480772D5">
      <w:pPr>
        <w:pStyle w:val="2"/>
        <w:spacing w:before="3" w:line="281" w:lineRule="auto"/>
        <w:ind w:firstLine="560"/>
        <w:jc w:val="both"/>
      </w:pPr>
      <w:r>
        <w:rPr>
          <w:spacing w:val="5"/>
        </w:rPr>
        <w:t>系统功能层次图是描述从系统到每一个低层次产品的功能层次关系，及其</w:t>
      </w:r>
      <w:r>
        <w:t xml:space="preserve">  </w:t>
      </w:r>
      <w:r>
        <w:rPr>
          <w:spacing w:val="5"/>
        </w:rPr>
        <w:t xml:space="preserve">所需要的维修活动和措施的一种方法。系统功能层次的分解根据系统的功能分  </w:t>
      </w:r>
      <w:r>
        <w:rPr>
          <w:spacing w:val="1"/>
        </w:rPr>
        <w:t>析和系统设计方案进行。分解的细化程度，根据预计的需要和设计的进度确定。</w:t>
      </w:r>
    </w:p>
    <w:p w14:paraId="55F35A84">
      <w:pPr>
        <w:spacing w:line="281" w:lineRule="auto"/>
        <w:sectPr>
          <w:footerReference r:id="rId416" w:type="default"/>
          <w:pgSz w:w="11910" w:h="17130"/>
          <w:pgMar w:top="1456" w:right="904" w:bottom="1536" w:left="1519" w:header="0" w:footer="1347" w:gutter="0"/>
          <w:cols w:space="720" w:num="1"/>
        </w:sectPr>
      </w:pPr>
    </w:p>
    <w:p w14:paraId="1F2832B2">
      <w:pPr>
        <w:spacing w:before="68" w:line="221" w:lineRule="auto"/>
        <w:rPr>
          <w:rFonts w:ascii="黑体" w:hAnsi="黑体" w:eastAsia="黑体" w:cs="黑体"/>
          <w:sz w:val="27"/>
          <w:szCs w:val="27"/>
        </w:rPr>
      </w:pPr>
      <w:r>
        <w:rPr>
          <w:rFonts w:ascii="黑体" w:hAnsi="黑体" w:eastAsia="黑体" w:cs="黑体"/>
          <w:spacing w:val="-6"/>
          <w:sz w:val="27"/>
          <w:szCs w:val="27"/>
        </w:rPr>
        <w:t>7</w:t>
      </w:r>
      <w:r>
        <w:rPr>
          <w:rFonts w:ascii="黑体" w:hAnsi="黑体" w:eastAsia="黑体" w:cs="黑体"/>
          <w:spacing w:val="15"/>
          <w:sz w:val="27"/>
          <w:szCs w:val="27"/>
        </w:rPr>
        <w:t xml:space="preserve">  </w:t>
      </w:r>
      <w:r>
        <w:rPr>
          <w:rFonts w:ascii="黑体" w:hAnsi="黑体" w:eastAsia="黑体" w:cs="黑体"/>
          <w:b/>
          <w:bCs/>
          <w:spacing w:val="-6"/>
          <w:sz w:val="27"/>
          <w:szCs w:val="27"/>
        </w:rPr>
        <w:t>维修方案</w:t>
      </w:r>
    </w:p>
    <w:p w14:paraId="0E7917E1">
      <w:pPr>
        <w:pStyle w:val="2"/>
        <w:spacing w:before="53" w:line="280" w:lineRule="auto"/>
        <w:ind w:right="104" w:firstLine="570"/>
      </w:pPr>
      <w:r>
        <w:rPr>
          <w:spacing w:val="-3"/>
        </w:rPr>
        <w:t>根据维修策略和保障方案等确定各维修级别的任务、职能和分工，绘制维修</w:t>
      </w:r>
      <w:r>
        <w:rPr>
          <w:spacing w:val="8"/>
        </w:rPr>
        <w:t xml:space="preserve"> </w:t>
      </w:r>
      <w:r>
        <w:rPr>
          <w:spacing w:val="-4"/>
        </w:rPr>
        <w:t>职能流程图。</w:t>
      </w:r>
    </w:p>
    <w:p w14:paraId="49486C09">
      <w:pPr>
        <w:pStyle w:val="2"/>
        <w:spacing w:line="286" w:lineRule="auto"/>
        <w:ind w:firstLine="570"/>
        <w:jc w:val="both"/>
      </w:pPr>
      <w:r>
        <w:t>维修职能流程图是描述各级维修职能的一种方法，即在每一个维修级别上，</w:t>
      </w:r>
      <w:r>
        <w:rPr>
          <w:spacing w:val="14"/>
        </w:rPr>
        <w:t xml:space="preserve"> </w:t>
      </w:r>
      <w:r>
        <w:rPr>
          <w:spacing w:val="1"/>
        </w:rPr>
        <w:t>对修复性维修和预防性维修的过程分别提出要点，找</w:t>
      </w:r>
      <w:r>
        <w:t xml:space="preserve">出各项职能之间相互联系。 </w:t>
      </w:r>
      <w:r>
        <w:rPr>
          <w:spacing w:val="3"/>
        </w:rPr>
        <w:t>维修级别按各军兵种的体制及维修制度确定。</w:t>
      </w:r>
    </w:p>
    <w:p w14:paraId="31E9FABD">
      <w:pPr>
        <w:spacing w:line="221" w:lineRule="auto"/>
        <w:rPr>
          <w:rFonts w:ascii="黑体" w:hAnsi="黑体" w:eastAsia="黑体" w:cs="黑体"/>
          <w:sz w:val="27"/>
          <w:szCs w:val="27"/>
        </w:rPr>
      </w:pPr>
      <w:r>
        <w:rPr>
          <w:rFonts w:ascii="黑体" w:hAnsi="黑体" w:eastAsia="黑体" w:cs="黑体"/>
          <w:spacing w:val="-5"/>
          <w:sz w:val="27"/>
          <w:szCs w:val="27"/>
        </w:rPr>
        <w:t>8</w:t>
      </w:r>
      <w:r>
        <w:rPr>
          <w:rFonts w:ascii="黑体" w:hAnsi="黑体" w:eastAsia="黑体" w:cs="黑体"/>
          <w:spacing w:val="13"/>
          <w:sz w:val="27"/>
          <w:szCs w:val="27"/>
        </w:rPr>
        <w:t xml:space="preserve">  </w:t>
      </w:r>
      <w:r>
        <w:rPr>
          <w:rFonts w:ascii="黑体" w:hAnsi="黑体" w:eastAsia="黑体" w:cs="黑体"/>
          <w:b/>
          <w:bCs/>
          <w:spacing w:val="-5"/>
          <w:sz w:val="27"/>
          <w:szCs w:val="27"/>
        </w:rPr>
        <w:t>维修频率</w:t>
      </w:r>
    </w:p>
    <w:p w14:paraId="2B95D17D">
      <w:pPr>
        <w:pStyle w:val="2"/>
        <w:spacing w:before="100" w:line="301" w:lineRule="auto"/>
        <w:ind w:right="102" w:firstLine="570"/>
        <w:rPr>
          <w:sz w:val="25"/>
          <w:szCs w:val="25"/>
        </w:rPr>
      </w:pPr>
      <w:r>
        <w:rPr>
          <w:spacing w:val="26"/>
          <w:sz w:val="25"/>
          <w:szCs w:val="25"/>
        </w:rPr>
        <w:t>对于需预计的各个功能层次的产品，根据可靠性</w:t>
      </w:r>
      <w:r>
        <w:rPr>
          <w:spacing w:val="25"/>
          <w:sz w:val="25"/>
          <w:szCs w:val="25"/>
        </w:rPr>
        <w:t>预计的结果以及维修方案</w:t>
      </w:r>
      <w:r>
        <w:rPr>
          <w:sz w:val="25"/>
          <w:szCs w:val="25"/>
        </w:rPr>
        <w:t xml:space="preserve"> </w:t>
      </w:r>
      <w:r>
        <w:rPr>
          <w:spacing w:val="16"/>
          <w:sz w:val="25"/>
          <w:szCs w:val="25"/>
        </w:rPr>
        <w:t>或大纲，确定其修复性维修的频率和预防性维修的频率，两类频率不得混淆。</w:t>
      </w:r>
    </w:p>
    <w:p w14:paraId="486A7ED4">
      <w:pPr>
        <w:spacing w:before="1" w:line="220" w:lineRule="auto"/>
        <w:rPr>
          <w:rFonts w:ascii="黑体" w:hAnsi="黑体" w:eastAsia="黑体" w:cs="黑体"/>
          <w:sz w:val="24"/>
          <w:szCs w:val="24"/>
        </w:rPr>
      </w:pPr>
      <w:r>
        <w:rPr>
          <w:rFonts w:ascii="黑体" w:hAnsi="黑体" w:eastAsia="黑体" w:cs="黑体"/>
          <w:spacing w:val="27"/>
          <w:sz w:val="24"/>
          <w:szCs w:val="24"/>
        </w:rPr>
        <w:t>9</w:t>
      </w:r>
      <w:r>
        <w:rPr>
          <w:rFonts w:ascii="黑体" w:hAnsi="黑体" w:eastAsia="黑体" w:cs="黑体"/>
          <w:spacing w:val="35"/>
          <w:sz w:val="24"/>
          <w:szCs w:val="24"/>
        </w:rPr>
        <w:t xml:space="preserve">  </w:t>
      </w:r>
      <w:r>
        <w:rPr>
          <w:rFonts w:ascii="黑体" w:hAnsi="黑体" w:eastAsia="黑体" w:cs="黑体"/>
          <w:b/>
          <w:bCs/>
          <w:spacing w:val="27"/>
          <w:sz w:val="24"/>
          <w:szCs w:val="24"/>
        </w:rPr>
        <w:t>预计的各种假设</w:t>
      </w:r>
    </w:p>
    <w:p w14:paraId="75B7BBFE">
      <w:pPr>
        <w:pStyle w:val="2"/>
        <w:spacing w:before="87" w:line="219" w:lineRule="auto"/>
        <w:ind w:left="570"/>
      </w:pPr>
      <w:r>
        <w:rPr>
          <w:spacing w:val="2"/>
        </w:rPr>
        <w:t>维修性预计中对基本维修作业的假设如下：</w:t>
      </w:r>
    </w:p>
    <w:p w14:paraId="779804F4">
      <w:pPr>
        <w:pStyle w:val="2"/>
        <w:spacing w:before="71" w:line="257" w:lineRule="auto"/>
        <w:ind w:right="102" w:firstLine="570"/>
      </w:pPr>
      <w:r>
        <w:rPr>
          <w:rFonts w:ascii="Times New Roman" w:hAnsi="Times New Roman" w:eastAsia="Times New Roman" w:cs="Times New Roman"/>
          <w:spacing w:val="4"/>
        </w:rPr>
        <w:t>a)</w:t>
      </w:r>
      <w:r>
        <w:rPr>
          <w:rFonts w:ascii="Times New Roman" w:hAnsi="Times New Roman" w:eastAsia="Times New Roman" w:cs="Times New Roman"/>
          <w:spacing w:val="53"/>
        </w:rPr>
        <w:t xml:space="preserve"> </w:t>
      </w:r>
      <w:r>
        <w:rPr>
          <w:spacing w:val="4"/>
        </w:rPr>
        <w:t>完成基本维修作业所需的平均时间具有相当的</w:t>
      </w:r>
      <w:r>
        <w:rPr>
          <w:spacing w:val="3"/>
        </w:rPr>
        <w:t>稳定性，即不依赖于装备</w:t>
      </w:r>
      <w:r>
        <w:t xml:space="preserve"> </w:t>
      </w:r>
      <w:r>
        <w:rPr>
          <w:spacing w:val="-4"/>
        </w:rPr>
        <w:t>和保障设计；</w:t>
      </w:r>
    </w:p>
    <w:p w14:paraId="0D60FF07">
      <w:pPr>
        <w:pStyle w:val="2"/>
        <w:spacing w:before="59"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69"/>
        </w:rPr>
        <w:t xml:space="preserve"> </w:t>
      </w:r>
      <w:r>
        <w:rPr>
          <w:spacing w:val="4"/>
        </w:rPr>
        <w:t>基本维修作业的发生频度与装备保障设计的某些因素有关；</w:t>
      </w:r>
    </w:p>
    <w:p w14:paraId="1A951C36">
      <w:pPr>
        <w:pStyle w:val="2"/>
        <w:spacing w:before="100" w:line="212" w:lineRule="auto"/>
        <w:ind w:left="570"/>
      </w:pPr>
      <w:r>
        <w:rPr>
          <w:rFonts w:ascii="Times New Roman" w:hAnsi="Times New Roman" w:eastAsia="Times New Roman" w:cs="Times New Roman"/>
          <w:spacing w:val="4"/>
        </w:rPr>
        <w:t>c)</w:t>
      </w:r>
      <w:r>
        <w:rPr>
          <w:rFonts w:ascii="Times New Roman" w:hAnsi="Times New Roman" w:eastAsia="Times New Roman" w:cs="Times New Roman"/>
          <w:spacing w:val="54"/>
          <w:w w:val="101"/>
        </w:rPr>
        <w:t xml:space="preserve"> </w:t>
      </w:r>
      <w:r>
        <w:rPr>
          <w:spacing w:val="4"/>
        </w:rPr>
        <w:t>在任何维修活动中基本维修作业彼此是独立的；</w:t>
      </w:r>
    </w:p>
    <w:p w14:paraId="077F9F5C">
      <w:pPr>
        <w:pStyle w:val="2"/>
        <w:spacing w:before="131" w:line="267" w:lineRule="auto"/>
        <w:ind w:right="104" w:firstLine="570"/>
        <w:rPr>
          <w:sz w:val="25"/>
          <w:szCs w:val="25"/>
        </w:rPr>
      </w:pPr>
      <w:r>
        <w:rPr>
          <w:rFonts w:ascii="Times New Roman" w:hAnsi="Times New Roman" w:eastAsia="Times New Roman" w:cs="Times New Roman"/>
          <w:spacing w:val="21"/>
          <w:sz w:val="25"/>
          <w:szCs w:val="25"/>
        </w:rPr>
        <w:t xml:space="preserve">d)  </w:t>
      </w:r>
      <w:r>
        <w:rPr>
          <w:spacing w:val="21"/>
          <w:sz w:val="25"/>
          <w:szCs w:val="25"/>
        </w:rPr>
        <w:t>在任何维修活动中所需要的总时间，可按该活动中包含的一种或多种基</w:t>
      </w:r>
      <w:r>
        <w:rPr>
          <w:spacing w:val="1"/>
          <w:sz w:val="25"/>
          <w:szCs w:val="25"/>
        </w:rPr>
        <w:t xml:space="preserve"> </w:t>
      </w:r>
      <w:r>
        <w:rPr>
          <w:spacing w:val="20"/>
          <w:sz w:val="25"/>
          <w:szCs w:val="25"/>
        </w:rPr>
        <w:t>本维修作业时间计算出来。</w:t>
      </w:r>
    </w:p>
    <w:p w14:paraId="3EB58998">
      <w:pPr>
        <w:spacing w:before="100" w:line="222" w:lineRule="auto"/>
        <w:rPr>
          <w:rFonts w:ascii="黑体" w:hAnsi="黑体" w:eastAsia="黑体" w:cs="黑体"/>
          <w:sz w:val="25"/>
          <w:szCs w:val="25"/>
        </w:rPr>
      </w:pPr>
      <w:r>
        <w:rPr>
          <w:rFonts w:ascii="黑体" w:hAnsi="黑体" w:eastAsia="黑体" w:cs="黑体"/>
          <w:spacing w:val="10"/>
          <w:sz w:val="25"/>
          <w:szCs w:val="25"/>
        </w:rPr>
        <w:t>10</w:t>
      </w:r>
      <w:r>
        <w:rPr>
          <w:rFonts w:ascii="黑体" w:hAnsi="黑体" w:eastAsia="黑体" w:cs="黑体"/>
          <w:spacing w:val="48"/>
          <w:sz w:val="25"/>
          <w:szCs w:val="25"/>
        </w:rPr>
        <w:t xml:space="preserve">  </w:t>
      </w:r>
      <w:r>
        <w:rPr>
          <w:rFonts w:ascii="黑体" w:hAnsi="黑体" w:eastAsia="黑体" w:cs="黑体"/>
          <w:b/>
          <w:bCs/>
          <w:spacing w:val="10"/>
          <w:sz w:val="25"/>
          <w:szCs w:val="25"/>
        </w:rPr>
        <w:t>预计的参数</w:t>
      </w:r>
    </w:p>
    <w:p w14:paraId="1B04C930">
      <w:pPr>
        <w:pStyle w:val="2"/>
        <w:spacing w:before="114" w:line="219" w:lineRule="auto"/>
        <w:ind w:left="570"/>
      </w:pPr>
      <w:r>
        <w:t>根据研制合同(或任务书)给定的维修性定量要求，确定应预计的参数。</w:t>
      </w:r>
    </w:p>
    <w:p w14:paraId="2A7A826E">
      <w:pPr>
        <w:spacing w:before="55" w:line="221" w:lineRule="auto"/>
        <w:rPr>
          <w:rFonts w:ascii="黑体" w:hAnsi="黑体" w:eastAsia="黑体" w:cs="黑体"/>
          <w:sz w:val="27"/>
          <w:szCs w:val="27"/>
        </w:rPr>
      </w:pPr>
      <w:r>
        <w:rPr>
          <w:rFonts w:ascii="黑体" w:hAnsi="黑体" w:eastAsia="黑体" w:cs="黑体"/>
          <w:spacing w:val="-4"/>
          <w:sz w:val="27"/>
          <w:szCs w:val="27"/>
        </w:rPr>
        <w:t>11</w:t>
      </w:r>
      <w:r>
        <w:rPr>
          <w:rFonts w:ascii="黑体" w:hAnsi="黑体" w:eastAsia="黑体" w:cs="黑体"/>
          <w:spacing w:val="30"/>
          <w:sz w:val="27"/>
          <w:szCs w:val="27"/>
        </w:rPr>
        <w:t xml:space="preserve">  </w:t>
      </w:r>
      <w:r>
        <w:rPr>
          <w:rFonts w:ascii="黑体" w:hAnsi="黑体" w:eastAsia="黑体" w:cs="黑体"/>
          <w:b/>
          <w:bCs/>
          <w:spacing w:val="-4"/>
          <w:sz w:val="27"/>
          <w:szCs w:val="27"/>
        </w:rPr>
        <w:t>预计方法</w:t>
      </w:r>
    </w:p>
    <w:p w14:paraId="6FA58B8C">
      <w:pPr>
        <w:pStyle w:val="2"/>
        <w:spacing w:before="113" w:line="269" w:lineRule="auto"/>
        <w:ind w:right="103" w:firstLine="570"/>
      </w:pPr>
      <w:r>
        <w:rPr>
          <w:spacing w:val="-3"/>
        </w:rPr>
        <w:t>根据预计的时机，产品的类型，预计的要求等，确定预计的方法和应用的数</w:t>
      </w:r>
      <w:r>
        <w:rPr>
          <w:spacing w:val="9"/>
        </w:rPr>
        <w:t xml:space="preserve"> </w:t>
      </w:r>
      <w:r>
        <w:rPr>
          <w:spacing w:val="2"/>
        </w:rPr>
        <w:t>学模型。分析选择这些方法的理由。</w:t>
      </w:r>
    </w:p>
    <w:p w14:paraId="047CB4CA">
      <w:pPr>
        <w:spacing w:before="38" w:line="222" w:lineRule="auto"/>
        <w:rPr>
          <w:rFonts w:ascii="黑体" w:hAnsi="黑体" w:eastAsia="黑体" w:cs="黑体"/>
          <w:sz w:val="24"/>
          <w:szCs w:val="24"/>
        </w:rPr>
      </w:pPr>
      <w:r>
        <w:rPr>
          <w:rFonts w:ascii="黑体" w:hAnsi="黑体" w:eastAsia="黑体" w:cs="黑体"/>
          <w:spacing w:val="17"/>
          <w:sz w:val="24"/>
          <w:szCs w:val="24"/>
        </w:rPr>
        <w:t>12</w:t>
      </w:r>
      <w:r>
        <w:rPr>
          <w:rFonts w:ascii="黑体" w:hAnsi="黑体" w:eastAsia="黑体" w:cs="黑体"/>
          <w:spacing w:val="57"/>
          <w:sz w:val="24"/>
          <w:szCs w:val="24"/>
        </w:rPr>
        <w:t xml:space="preserve">  </w:t>
      </w:r>
      <w:r>
        <w:rPr>
          <w:rFonts w:ascii="黑体" w:hAnsi="黑体" w:eastAsia="黑体" w:cs="黑体"/>
          <w:b/>
          <w:bCs/>
          <w:spacing w:val="17"/>
          <w:sz w:val="24"/>
          <w:szCs w:val="24"/>
        </w:rPr>
        <w:t>相关数据</w:t>
      </w:r>
    </w:p>
    <w:p w14:paraId="577A09AF">
      <w:pPr>
        <w:pStyle w:val="2"/>
        <w:spacing w:before="105" w:line="219" w:lineRule="auto"/>
        <w:ind w:left="570"/>
      </w:pPr>
      <w:r>
        <w:rPr>
          <w:spacing w:val="3"/>
        </w:rPr>
        <w:t>明确预计中采用的数据来源及数据的有效性。</w:t>
      </w:r>
    </w:p>
    <w:p w14:paraId="2889190B">
      <w:pPr>
        <w:spacing w:before="105" w:line="222" w:lineRule="auto"/>
        <w:rPr>
          <w:rFonts w:ascii="黑体" w:hAnsi="黑体" w:eastAsia="黑体" w:cs="黑体"/>
          <w:sz w:val="25"/>
          <w:szCs w:val="25"/>
        </w:rPr>
      </w:pPr>
      <w:r>
        <w:rPr>
          <w:rFonts w:ascii="黑体" w:hAnsi="黑体" w:eastAsia="黑体" w:cs="黑体"/>
          <w:spacing w:val="7"/>
          <w:sz w:val="25"/>
          <w:szCs w:val="25"/>
        </w:rPr>
        <w:t>13</w:t>
      </w:r>
      <w:r>
        <w:rPr>
          <w:rFonts w:ascii="黑体" w:hAnsi="黑体" w:eastAsia="黑体" w:cs="黑体"/>
          <w:spacing w:val="48"/>
          <w:sz w:val="25"/>
          <w:szCs w:val="25"/>
        </w:rPr>
        <w:t xml:space="preserve">  </w:t>
      </w:r>
      <w:r>
        <w:rPr>
          <w:rFonts w:ascii="黑体" w:hAnsi="黑体" w:eastAsia="黑体" w:cs="黑体"/>
          <w:b/>
          <w:bCs/>
          <w:spacing w:val="7"/>
          <w:sz w:val="25"/>
          <w:szCs w:val="25"/>
        </w:rPr>
        <w:t>预计结果</w:t>
      </w:r>
    </w:p>
    <w:p w14:paraId="2DB9D871">
      <w:pPr>
        <w:pStyle w:val="2"/>
        <w:spacing w:before="96" w:line="219" w:lineRule="auto"/>
        <w:ind w:left="570"/>
      </w:pPr>
      <w:r>
        <w:rPr>
          <w:spacing w:val="-1"/>
        </w:rPr>
        <w:t>说明预计结果。</w:t>
      </w:r>
    </w:p>
    <w:p w14:paraId="6A1F8085">
      <w:pPr>
        <w:spacing w:line="349" w:lineRule="auto"/>
        <w:rPr>
          <w:rFonts w:ascii="Arial"/>
          <w:sz w:val="21"/>
        </w:rPr>
      </w:pPr>
    </w:p>
    <w:p w14:paraId="071A359B">
      <w:pPr>
        <w:pStyle w:val="2"/>
        <w:spacing w:before="117" w:line="219" w:lineRule="auto"/>
        <w:ind w:left="1490"/>
        <w:outlineLvl w:val="1"/>
        <w:rPr>
          <w:sz w:val="36"/>
          <w:szCs w:val="36"/>
        </w:rPr>
      </w:pPr>
      <w:r>
        <w:rPr>
          <w:rFonts w:ascii="Times New Roman" w:hAnsi="Times New Roman" w:eastAsia="Times New Roman" w:cs="Times New Roman"/>
          <w:b/>
          <w:bCs/>
          <w:spacing w:val="3"/>
          <w:sz w:val="36"/>
          <w:szCs w:val="36"/>
        </w:rPr>
        <w:t xml:space="preserve">8.8     </w:t>
      </w:r>
      <w:r>
        <w:rPr>
          <w:b/>
          <w:bCs/>
          <w:spacing w:val="3"/>
          <w:sz w:val="36"/>
          <w:szCs w:val="36"/>
        </w:rPr>
        <w:t>故障模式及影响分析—维修性信息</w:t>
      </w:r>
    </w:p>
    <w:p w14:paraId="47219123">
      <w:pPr>
        <w:spacing w:line="314" w:lineRule="auto"/>
        <w:rPr>
          <w:rFonts w:ascii="Arial"/>
          <w:sz w:val="21"/>
        </w:rPr>
      </w:pPr>
    </w:p>
    <w:p w14:paraId="3A93EC1A">
      <w:pPr>
        <w:pStyle w:val="2"/>
        <w:spacing w:before="92" w:line="223" w:lineRule="auto"/>
        <w:ind w:left="570"/>
        <w:rPr>
          <w:rFonts w:ascii="楷体" w:hAnsi="楷体" w:eastAsia="楷体" w:cs="楷体"/>
          <w:sz w:val="28"/>
          <w:szCs w:val="28"/>
        </w:rPr>
      </w:pPr>
      <w:r>
        <w:rPr>
          <w:rFonts w:ascii="楷体" w:hAnsi="楷体" w:eastAsia="楷体" w:cs="楷体"/>
          <w:spacing w:val="-12"/>
          <w:sz w:val="28"/>
          <w:szCs w:val="28"/>
        </w:rPr>
        <w:t>按照</w:t>
      </w:r>
      <w:r>
        <w:rPr>
          <w:rFonts w:ascii="Times New Roman" w:hAnsi="Times New Roman" w:eastAsia="Times New Roman" w:cs="Times New Roman"/>
          <w:spacing w:val="-12"/>
          <w:sz w:val="28"/>
          <w:szCs w:val="28"/>
        </w:rPr>
        <w:t>GJB/Z</w:t>
      </w:r>
      <w:r>
        <w:rPr>
          <w:rFonts w:ascii="Times New Roman" w:hAnsi="Times New Roman" w:eastAsia="Times New Roman" w:cs="Times New Roman"/>
          <w:spacing w:val="30"/>
          <w:sz w:val="28"/>
          <w:szCs w:val="28"/>
        </w:rPr>
        <w:t xml:space="preserve"> </w:t>
      </w:r>
      <w:r>
        <w:rPr>
          <w:rFonts w:ascii="Times New Roman" w:hAnsi="Times New Roman" w:eastAsia="Times New Roman" w:cs="Times New Roman"/>
          <w:spacing w:val="-12"/>
          <w:sz w:val="28"/>
          <w:szCs w:val="28"/>
        </w:rPr>
        <w:t>1391—2006</w:t>
      </w:r>
      <w:r>
        <w:rPr>
          <w:spacing w:val="-12"/>
          <w:sz w:val="28"/>
          <w:szCs w:val="28"/>
        </w:rPr>
        <w:t>《</w:t>
      </w:r>
      <w:r>
        <w:rPr>
          <w:rFonts w:ascii="楷体" w:hAnsi="楷体" w:eastAsia="楷体" w:cs="楷体"/>
          <w:spacing w:val="-12"/>
          <w:sz w:val="28"/>
          <w:szCs w:val="28"/>
        </w:rPr>
        <w:t>故障</w:t>
      </w:r>
      <w:r>
        <w:rPr>
          <w:rFonts w:ascii="楷体" w:hAnsi="楷体" w:eastAsia="楷体" w:cs="楷体"/>
          <w:spacing w:val="-13"/>
          <w:sz w:val="28"/>
          <w:szCs w:val="28"/>
        </w:rPr>
        <w:t>模式、影响及危害性分析指南》编写。</w:t>
      </w:r>
    </w:p>
    <w:p w14:paraId="48630767">
      <w:pPr>
        <w:spacing w:before="65"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7A87F3EE">
      <w:pPr>
        <w:spacing w:before="81" w:line="222" w:lineRule="auto"/>
        <w:rPr>
          <w:rFonts w:ascii="黑体" w:hAnsi="黑体" w:eastAsia="黑体" w:cs="黑体"/>
          <w:sz w:val="27"/>
          <w:szCs w:val="27"/>
        </w:rPr>
      </w:pPr>
      <w:r>
        <w:rPr>
          <w:rFonts w:ascii="黑体" w:hAnsi="黑体" w:eastAsia="黑体" w:cs="黑体"/>
          <w:spacing w:val="-5"/>
          <w:sz w:val="27"/>
          <w:szCs w:val="27"/>
        </w:rPr>
        <w:t>2</w:t>
      </w:r>
      <w:r>
        <w:rPr>
          <w:rFonts w:ascii="黑体" w:hAnsi="黑体" w:eastAsia="黑体" w:cs="黑体"/>
          <w:spacing w:val="13"/>
          <w:sz w:val="27"/>
          <w:szCs w:val="27"/>
        </w:rPr>
        <w:t xml:space="preserve">  </w:t>
      </w:r>
      <w:r>
        <w:rPr>
          <w:rFonts w:ascii="黑体" w:hAnsi="黑体" w:eastAsia="黑体" w:cs="黑体"/>
          <w:b/>
          <w:bCs/>
          <w:spacing w:val="-5"/>
          <w:sz w:val="27"/>
          <w:szCs w:val="27"/>
        </w:rPr>
        <w:t>引用文件</w:t>
      </w:r>
    </w:p>
    <w:p w14:paraId="0E04BF99">
      <w:pPr>
        <w:spacing w:before="75" w:line="221" w:lineRule="auto"/>
        <w:rPr>
          <w:rFonts w:ascii="黑体" w:hAnsi="黑体" w:eastAsia="黑体" w:cs="黑体"/>
          <w:sz w:val="27"/>
          <w:szCs w:val="27"/>
        </w:rPr>
      </w:pPr>
      <w:r>
        <w:rPr>
          <w:rFonts w:ascii="黑体" w:hAnsi="黑体" w:eastAsia="黑体" w:cs="黑体"/>
          <w:spacing w:val="-7"/>
          <w:sz w:val="27"/>
          <w:szCs w:val="27"/>
        </w:rPr>
        <w:t>3</w:t>
      </w:r>
      <w:r>
        <w:rPr>
          <w:rFonts w:ascii="黑体" w:hAnsi="黑体" w:eastAsia="黑体" w:cs="黑体"/>
          <w:spacing w:val="14"/>
          <w:sz w:val="27"/>
          <w:szCs w:val="27"/>
        </w:rPr>
        <w:t xml:space="preserve">  </w:t>
      </w:r>
      <w:r>
        <w:rPr>
          <w:rFonts w:ascii="黑体" w:hAnsi="黑体" w:eastAsia="黑体" w:cs="黑体"/>
          <w:b/>
          <w:bCs/>
          <w:spacing w:val="-7"/>
          <w:sz w:val="27"/>
          <w:szCs w:val="27"/>
        </w:rPr>
        <w:t>系统定义</w:t>
      </w:r>
    </w:p>
    <w:p w14:paraId="0CA443DD">
      <w:pPr>
        <w:pStyle w:val="2"/>
        <w:spacing w:before="133" w:line="219" w:lineRule="auto"/>
        <w:ind w:left="570"/>
      </w:pPr>
      <w:r>
        <w:rPr>
          <w:spacing w:val="6"/>
        </w:rPr>
        <w:t>系统定义可概括为产品功能分析和绘制框图(功能框图、任务可靠性框图)</w:t>
      </w:r>
    </w:p>
    <w:p w14:paraId="61EF0DD7">
      <w:pPr>
        <w:spacing w:line="219" w:lineRule="auto"/>
        <w:sectPr>
          <w:footerReference r:id="rId417" w:type="default"/>
          <w:pgSz w:w="11910" w:h="17130"/>
          <w:pgMar w:top="1456" w:right="1364" w:bottom="1710" w:left="1049" w:header="0" w:footer="1424" w:gutter="0"/>
          <w:cols w:space="720" w:num="1"/>
        </w:sectPr>
      </w:pPr>
    </w:p>
    <w:p w14:paraId="20862A46">
      <w:pPr>
        <w:pStyle w:val="2"/>
        <w:spacing w:before="105" w:line="219" w:lineRule="auto"/>
      </w:pPr>
      <w:r>
        <w:rPr>
          <w:spacing w:val="-3"/>
        </w:rPr>
        <w:t>两个部分。</w:t>
      </w:r>
    </w:p>
    <w:p w14:paraId="7FE6023A">
      <w:pPr>
        <w:pStyle w:val="2"/>
        <w:spacing w:before="37" w:line="269" w:lineRule="auto"/>
        <w:ind w:right="14" w:firstLine="550"/>
      </w:pPr>
      <w:r>
        <w:rPr>
          <w:rFonts w:ascii="Times New Roman" w:hAnsi="Times New Roman" w:eastAsia="Times New Roman" w:cs="Times New Roman"/>
          <w:spacing w:val="-2"/>
        </w:rPr>
        <w:t>a)</w:t>
      </w:r>
      <w:r>
        <w:rPr>
          <w:rFonts w:ascii="Times New Roman" w:hAnsi="Times New Roman" w:eastAsia="Times New Roman" w:cs="Times New Roman"/>
          <w:spacing w:val="70"/>
        </w:rPr>
        <w:t xml:space="preserve"> </w:t>
      </w:r>
      <w:r>
        <w:rPr>
          <w:spacing w:val="-2"/>
        </w:rPr>
        <w:t>产品功能分析，即在描述产品任务后，对产品在不同任务下的主要功能、</w:t>
      </w:r>
      <w:r>
        <w:t xml:space="preserve"> </w:t>
      </w:r>
      <w:r>
        <w:rPr>
          <w:spacing w:val="-3"/>
        </w:rPr>
        <w:t>工作方式(如连续工作、间歇工作或不工作等)和工作时间等进行分析，并应充分</w:t>
      </w:r>
      <w:r>
        <w:rPr>
          <w:spacing w:val="18"/>
        </w:rPr>
        <w:t xml:space="preserve"> </w:t>
      </w:r>
      <w:r>
        <w:rPr>
          <w:spacing w:val="1"/>
        </w:rPr>
        <w:t>考虑产品接口部分的分析；</w:t>
      </w:r>
    </w:p>
    <w:p w14:paraId="7950D2FB">
      <w:pPr>
        <w:pStyle w:val="2"/>
        <w:spacing w:before="30" w:line="271" w:lineRule="auto"/>
        <w:ind w:right="108" w:firstLine="550"/>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绘制功能框图，功能框图是表示产品各组成部分所承担一任务</w:t>
      </w:r>
      <w:r>
        <w:rPr>
          <w:spacing w:val="2"/>
        </w:rPr>
        <w:t>或功能间</w:t>
      </w:r>
      <w:r>
        <w:t xml:space="preserve"> </w:t>
      </w:r>
      <w:r>
        <w:rPr>
          <w:spacing w:val="-2"/>
        </w:rPr>
        <w:t>的相互关系，以及产品每个约定层次间的功能逻辑顺序、数据</w:t>
      </w:r>
      <w:r>
        <w:rPr>
          <w:spacing w:val="-3"/>
        </w:rPr>
        <w:t>(信息)流、接口的</w:t>
      </w:r>
      <w:r>
        <w:t xml:space="preserve"> </w:t>
      </w:r>
      <w:r>
        <w:rPr>
          <w:spacing w:val="5"/>
        </w:rPr>
        <w:t>一种功能模型。也可表示为产品功能层次与结构层次对应关系图；绘制可靠性</w:t>
      </w:r>
      <w:r>
        <w:rPr>
          <w:spacing w:val="9"/>
        </w:rPr>
        <w:t xml:space="preserve"> </w:t>
      </w:r>
      <w:r>
        <w:rPr>
          <w:spacing w:val="-3"/>
        </w:rPr>
        <w:t>框图，可靠性框图是描述产品整体可靠性与其组成部分的可靠性之间的关系，是</w:t>
      </w:r>
      <w:r>
        <w:rPr>
          <w:spacing w:val="17"/>
        </w:rPr>
        <w:t xml:space="preserve"> </w:t>
      </w:r>
      <w:r>
        <w:rPr>
          <w:spacing w:val="1"/>
        </w:rPr>
        <w:t>表示故障影响的逻辑关系。</w:t>
      </w:r>
    </w:p>
    <w:p w14:paraId="67DFF55D">
      <w:pPr>
        <w:spacing w:before="109" w:line="222" w:lineRule="auto"/>
        <w:rPr>
          <w:rFonts w:ascii="黑体" w:hAnsi="黑体" w:eastAsia="黑体" w:cs="黑体"/>
          <w:sz w:val="27"/>
          <w:szCs w:val="27"/>
        </w:rPr>
      </w:pPr>
      <w:r>
        <w:rPr>
          <w:rFonts w:ascii="黑体" w:hAnsi="黑体" w:eastAsia="黑体" w:cs="黑体"/>
          <w:spacing w:val="5"/>
          <w:sz w:val="27"/>
          <w:szCs w:val="27"/>
        </w:rPr>
        <w:t>4  故障模式分析</w:t>
      </w:r>
    </w:p>
    <w:p w14:paraId="5C0A71D3">
      <w:pPr>
        <w:pStyle w:val="2"/>
        <w:spacing w:before="71" w:line="219" w:lineRule="auto"/>
        <w:ind w:left="553"/>
      </w:pPr>
      <w:r>
        <w:rPr>
          <w:b/>
          <w:bCs/>
        </w:rPr>
        <w:t>说明对产品故障模式的分析过程及其结果。</w:t>
      </w:r>
    </w:p>
    <w:p w14:paraId="69628E07">
      <w:pPr>
        <w:pStyle w:val="2"/>
        <w:spacing w:before="93" w:line="260" w:lineRule="auto"/>
        <w:ind w:firstLine="550"/>
      </w:pPr>
      <w:r>
        <w:rPr>
          <w:rFonts w:ascii="Times New Roman" w:hAnsi="Times New Roman" w:eastAsia="Times New Roman" w:cs="Times New Roman"/>
          <w:spacing w:val="4"/>
        </w:rPr>
        <w:t xml:space="preserve">a)  </w:t>
      </w:r>
      <w:r>
        <w:rPr>
          <w:spacing w:val="4"/>
        </w:rPr>
        <w:t>当选用功能</w:t>
      </w:r>
      <w:r>
        <w:rPr>
          <w:rFonts w:ascii="Times New Roman" w:hAnsi="Times New Roman" w:eastAsia="Times New Roman" w:cs="Times New Roman"/>
        </w:rPr>
        <w:t>FMEA</w:t>
      </w:r>
      <w:r>
        <w:rPr>
          <w:rFonts w:ascii="Times New Roman" w:hAnsi="Times New Roman" w:eastAsia="Times New Roman" w:cs="Times New Roman"/>
          <w:spacing w:val="4"/>
        </w:rPr>
        <w:t xml:space="preserve">  </w:t>
      </w:r>
      <w:r>
        <w:rPr>
          <w:spacing w:val="4"/>
        </w:rPr>
        <w:t>时，根据系统定义中的功能描述、故障判据的要求，</w:t>
      </w:r>
      <w:r>
        <w:rPr>
          <w:spacing w:val="8"/>
        </w:rPr>
        <w:t xml:space="preserve"> </w:t>
      </w:r>
      <w:r>
        <w:rPr>
          <w:spacing w:val="3"/>
        </w:rPr>
        <w:t>确定其所有可能的功能故障模式；当选用硬件</w:t>
      </w:r>
      <w:r>
        <w:rPr>
          <w:rFonts w:ascii="Times New Roman" w:hAnsi="Times New Roman" w:eastAsia="Times New Roman" w:cs="Times New Roman"/>
        </w:rPr>
        <w:t>FMEA</w:t>
      </w:r>
      <w:r>
        <w:rPr>
          <w:rFonts w:ascii="Times New Roman" w:hAnsi="Times New Roman" w:eastAsia="Times New Roman" w:cs="Times New Roman"/>
          <w:spacing w:val="3"/>
        </w:rPr>
        <w:t xml:space="preserve">  </w:t>
      </w:r>
      <w:r>
        <w:rPr>
          <w:spacing w:val="3"/>
        </w:rPr>
        <w:t>时，根据被分析产品的硬</w:t>
      </w:r>
      <w:r>
        <w:t xml:space="preserve">  </w:t>
      </w:r>
      <w:r>
        <w:rPr>
          <w:spacing w:val="-4"/>
        </w:rPr>
        <w:t>件特征，确定其所有可能的硬件故障模式；进而对每个故障模式进行分析；</w:t>
      </w:r>
    </w:p>
    <w:p w14:paraId="7887B8D5">
      <w:pPr>
        <w:pStyle w:val="2"/>
        <w:spacing w:before="70" w:line="253" w:lineRule="auto"/>
        <w:ind w:right="103" w:firstLine="550"/>
      </w:pPr>
      <w:r>
        <w:rPr>
          <w:rFonts w:ascii="Times New Roman" w:hAnsi="Times New Roman" w:eastAsia="Times New Roman" w:cs="Times New Roman"/>
        </w:rPr>
        <w:t>b)</w:t>
      </w:r>
      <w:r>
        <w:rPr>
          <w:rFonts w:ascii="Times New Roman" w:hAnsi="Times New Roman" w:eastAsia="Times New Roman" w:cs="Times New Roman"/>
          <w:spacing w:val="58"/>
        </w:rPr>
        <w:t xml:space="preserve"> </w:t>
      </w:r>
      <w:r>
        <w:t>故障模式的获取方法：在进行</w:t>
      </w:r>
      <w:r>
        <w:rPr>
          <w:rFonts w:ascii="Times New Roman" w:hAnsi="Times New Roman" w:eastAsia="Times New Roman" w:cs="Times New Roman"/>
        </w:rPr>
        <w:t>FMEA</w:t>
      </w:r>
      <w:r>
        <w:rPr>
          <w:rFonts w:ascii="Times New Roman" w:hAnsi="Times New Roman" w:eastAsia="Times New Roman" w:cs="Times New Roman"/>
          <w:spacing w:val="19"/>
          <w:w w:val="101"/>
        </w:rPr>
        <w:t xml:space="preserve">  </w:t>
      </w:r>
      <w:r>
        <w:t>时，一般可以通过统计</w:t>
      </w:r>
      <w:r>
        <w:rPr>
          <w:spacing w:val="-1"/>
        </w:rPr>
        <w:t>、试验、分</w:t>
      </w:r>
      <w:r>
        <w:t xml:space="preserve"> </w:t>
      </w:r>
      <w:r>
        <w:rPr>
          <w:spacing w:val="-5"/>
        </w:rPr>
        <w:t>析、预测等方法获取产品的故障模式；</w:t>
      </w:r>
    </w:p>
    <w:p w14:paraId="72C7CB8A">
      <w:pPr>
        <w:pStyle w:val="2"/>
        <w:spacing w:before="88" w:line="257" w:lineRule="auto"/>
        <w:ind w:right="123" w:firstLine="550"/>
      </w:pPr>
      <w:r>
        <w:rPr>
          <w:rFonts w:ascii="Times New Roman" w:hAnsi="Times New Roman" w:eastAsia="Times New Roman" w:cs="Times New Roman"/>
          <w:spacing w:val="3"/>
        </w:rPr>
        <w:t>c)</w:t>
      </w:r>
      <w:r>
        <w:rPr>
          <w:rFonts w:ascii="Times New Roman" w:hAnsi="Times New Roman" w:eastAsia="Times New Roman" w:cs="Times New Roman"/>
          <w:spacing w:val="64"/>
        </w:rPr>
        <w:t xml:space="preserve"> </w:t>
      </w:r>
      <w:r>
        <w:rPr>
          <w:spacing w:val="3"/>
        </w:rPr>
        <w:t>常用元器件、零组件的故障模式可以从国内外某些标准、手册中确定其</w:t>
      </w:r>
      <w:r>
        <w:t xml:space="preserve"> </w:t>
      </w:r>
      <w:r>
        <w:rPr>
          <w:spacing w:val="-3"/>
        </w:rPr>
        <w:t>故障模式；</w:t>
      </w:r>
    </w:p>
    <w:p w14:paraId="5B672A04">
      <w:pPr>
        <w:pStyle w:val="2"/>
        <w:spacing w:before="60" w:line="253" w:lineRule="auto"/>
        <w:ind w:right="117" w:firstLine="550"/>
      </w:pPr>
      <w:r>
        <w:rPr>
          <w:rFonts w:ascii="Times New Roman" w:hAnsi="Times New Roman" w:eastAsia="Times New Roman" w:cs="Times New Roman"/>
          <w:spacing w:val="2"/>
        </w:rPr>
        <w:t xml:space="preserve">d)  </w:t>
      </w:r>
      <w:r>
        <w:rPr>
          <w:spacing w:val="2"/>
        </w:rPr>
        <w:t>当</w:t>
      </w:r>
      <w:r>
        <w:rPr>
          <w:spacing w:val="-48"/>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39"/>
        </w:rPr>
        <w:t xml:space="preserve"> </w:t>
      </w:r>
      <w:r>
        <w:rPr>
          <w:spacing w:val="2"/>
        </w:rPr>
        <w:t>、</w:t>
      </w:r>
      <w:r>
        <w:rPr>
          <w:rFonts w:ascii="Times New Roman" w:hAnsi="Times New Roman" w:eastAsia="Times New Roman" w:cs="Times New Roman"/>
          <w:spacing w:val="2"/>
        </w:rPr>
        <w:t>c)</w:t>
      </w:r>
      <w:r>
        <w:rPr>
          <w:spacing w:val="2"/>
        </w:rPr>
        <w:t>中的方法不能获得故障模式时，可参照表8.3、表8.4</w:t>
      </w:r>
      <w:r>
        <w:rPr>
          <w:spacing w:val="1"/>
        </w:rPr>
        <w:t>所列典型</w:t>
      </w:r>
      <w:r>
        <w:t xml:space="preserve"> </w:t>
      </w:r>
      <w:r>
        <w:rPr>
          <w:spacing w:val="3"/>
        </w:rPr>
        <w:t>故障模式确定被分析产品可能的故障模式。</w:t>
      </w:r>
    </w:p>
    <w:p w14:paraId="0F73F220">
      <w:pPr>
        <w:spacing w:before="115" w:line="221" w:lineRule="auto"/>
        <w:ind w:left="2679"/>
        <w:rPr>
          <w:rFonts w:ascii="仿宋" w:hAnsi="仿宋" w:eastAsia="仿宋" w:cs="仿宋"/>
          <w:sz w:val="24"/>
          <w:szCs w:val="24"/>
        </w:rPr>
      </w:pPr>
      <w:r>
        <w:rPr>
          <w:rFonts w:ascii="仿宋" w:hAnsi="仿宋" w:eastAsia="仿宋" w:cs="仿宋"/>
          <w:spacing w:val="24"/>
          <w:sz w:val="24"/>
          <w:szCs w:val="24"/>
        </w:rPr>
        <w:t>表8</w:t>
      </w:r>
      <w:r>
        <w:rPr>
          <w:rFonts w:ascii="仿宋" w:hAnsi="仿宋" w:eastAsia="仿宋" w:cs="仿宋"/>
          <w:spacing w:val="-47"/>
          <w:sz w:val="24"/>
          <w:szCs w:val="24"/>
        </w:rPr>
        <w:t xml:space="preserve"> </w:t>
      </w:r>
      <w:r>
        <w:rPr>
          <w:rFonts w:ascii="仿宋" w:hAnsi="仿宋" w:eastAsia="仿宋" w:cs="仿宋"/>
          <w:spacing w:val="24"/>
          <w:sz w:val="24"/>
          <w:szCs w:val="24"/>
        </w:rPr>
        <w:t>.</w:t>
      </w:r>
      <w:r>
        <w:rPr>
          <w:rFonts w:ascii="仿宋" w:hAnsi="仿宋" w:eastAsia="仿宋" w:cs="仿宋"/>
          <w:spacing w:val="-59"/>
          <w:sz w:val="24"/>
          <w:szCs w:val="24"/>
        </w:rPr>
        <w:t xml:space="preserve"> </w:t>
      </w:r>
      <w:r>
        <w:rPr>
          <w:rFonts w:ascii="仿宋" w:hAnsi="仿宋" w:eastAsia="仿宋" w:cs="仿宋"/>
          <w:spacing w:val="24"/>
          <w:sz w:val="24"/>
          <w:szCs w:val="24"/>
        </w:rPr>
        <w:t>3</w:t>
      </w:r>
      <w:r>
        <w:rPr>
          <w:rFonts w:ascii="仿宋" w:hAnsi="仿宋" w:eastAsia="仿宋" w:cs="仿宋"/>
          <w:spacing w:val="32"/>
          <w:sz w:val="24"/>
          <w:szCs w:val="24"/>
        </w:rPr>
        <w:t xml:space="preserve">  </w:t>
      </w:r>
      <w:r>
        <w:rPr>
          <w:rFonts w:ascii="仿宋" w:hAnsi="仿宋" w:eastAsia="仿宋" w:cs="仿宋"/>
          <w:spacing w:val="24"/>
          <w:sz w:val="24"/>
          <w:szCs w:val="24"/>
        </w:rPr>
        <w:t>典型的故障模式(简略的)</w:t>
      </w:r>
    </w:p>
    <w:p w14:paraId="37503B27">
      <w:pPr>
        <w:spacing w:line="111" w:lineRule="exact"/>
      </w:pPr>
    </w:p>
    <w:tbl>
      <w:tblPr>
        <w:tblStyle w:val="5"/>
        <w:tblW w:w="935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4"/>
        <w:gridCol w:w="8535"/>
      </w:tblGrid>
      <w:tr w14:paraId="2FFFA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824" w:type="dxa"/>
            <w:vAlign w:val="top"/>
          </w:tcPr>
          <w:p w14:paraId="3AF8CD3A">
            <w:pPr>
              <w:spacing w:before="104" w:line="221" w:lineRule="auto"/>
              <w:ind w:left="204"/>
              <w:rPr>
                <w:rFonts w:ascii="宋体" w:hAnsi="宋体" w:eastAsia="宋体" w:cs="宋体"/>
                <w:sz w:val="20"/>
                <w:szCs w:val="20"/>
              </w:rPr>
            </w:pPr>
            <w:r>
              <w:rPr>
                <w:rFonts w:ascii="宋体" w:hAnsi="宋体" w:eastAsia="宋体" w:cs="宋体"/>
                <w:spacing w:val="-2"/>
                <w:sz w:val="20"/>
                <w:szCs w:val="20"/>
              </w:rPr>
              <w:t>序号</w:t>
            </w:r>
          </w:p>
        </w:tc>
        <w:tc>
          <w:tcPr>
            <w:tcW w:w="8535" w:type="dxa"/>
            <w:vAlign w:val="top"/>
          </w:tcPr>
          <w:p w14:paraId="5B4CD5EE">
            <w:pPr>
              <w:spacing w:before="103" w:line="219" w:lineRule="auto"/>
              <w:ind w:left="3861"/>
              <w:rPr>
                <w:rFonts w:ascii="宋体" w:hAnsi="宋体" w:eastAsia="宋体" w:cs="宋体"/>
                <w:sz w:val="20"/>
                <w:szCs w:val="20"/>
              </w:rPr>
            </w:pPr>
            <w:r>
              <w:rPr>
                <w:rFonts w:ascii="宋体" w:hAnsi="宋体" w:eastAsia="宋体" w:cs="宋体"/>
                <w:spacing w:val="-3"/>
                <w:sz w:val="20"/>
                <w:szCs w:val="20"/>
              </w:rPr>
              <w:t>故障模式</w:t>
            </w:r>
          </w:p>
        </w:tc>
      </w:tr>
      <w:tr w14:paraId="5CFE7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824" w:type="dxa"/>
            <w:vAlign w:val="top"/>
          </w:tcPr>
          <w:p w14:paraId="68E3F25E">
            <w:pPr>
              <w:spacing w:before="130" w:line="241" w:lineRule="auto"/>
              <w:ind w:left="355"/>
              <w:rPr>
                <w:rFonts w:ascii="宋体" w:hAnsi="宋体" w:eastAsia="宋体" w:cs="宋体"/>
                <w:sz w:val="20"/>
                <w:szCs w:val="20"/>
              </w:rPr>
            </w:pPr>
            <w:r>
              <w:rPr>
                <w:rFonts w:ascii="宋体" w:hAnsi="宋体" w:eastAsia="宋体" w:cs="宋体"/>
                <w:sz w:val="20"/>
                <w:szCs w:val="20"/>
              </w:rPr>
              <w:t>1</w:t>
            </w:r>
          </w:p>
        </w:tc>
        <w:tc>
          <w:tcPr>
            <w:tcW w:w="8535" w:type="dxa"/>
            <w:vAlign w:val="top"/>
          </w:tcPr>
          <w:p w14:paraId="4275CA9E">
            <w:pPr>
              <w:spacing w:before="110" w:line="220" w:lineRule="auto"/>
              <w:ind w:left="111"/>
              <w:rPr>
                <w:rFonts w:ascii="宋体" w:hAnsi="宋体" w:eastAsia="宋体" w:cs="宋体"/>
                <w:sz w:val="20"/>
                <w:szCs w:val="20"/>
              </w:rPr>
            </w:pPr>
            <w:r>
              <w:rPr>
                <w:rFonts w:ascii="宋体" w:hAnsi="宋体" w:eastAsia="宋体" w:cs="宋体"/>
                <w:spacing w:val="3"/>
                <w:sz w:val="20"/>
                <w:szCs w:val="20"/>
              </w:rPr>
              <w:t>提前工作</w:t>
            </w:r>
          </w:p>
        </w:tc>
      </w:tr>
      <w:tr w14:paraId="1366A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824" w:type="dxa"/>
            <w:vAlign w:val="top"/>
          </w:tcPr>
          <w:p w14:paraId="17DA16D9">
            <w:pPr>
              <w:spacing w:before="122" w:line="241" w:lineRule="auto"/>
              <w:ind w:left="355"/>
              <w:rPr>
                <w:rFonts w:ascii="宋体" w:hAnsi="宋体" w:eastAsia="宋体" w:cs="宋体"/>
                <w:sz w:val="20"/>
                <w:szCs w:val="20"/>
              </w:rPr>
            </w:pPr>
            <w:r>
              <w:rPr>
                <w:rFonts w:ascii="宋体" w:hAnsi="宋体" w:eastAsia="宋体" w:cs="宋体"/>
                <w:sz w:val="20"/>
                <w:szCs w:val="20"/>
              </w:rPr>
              <w:t>2</w:t>
            </w:r>
          </w:p>
        </w:tc>
        <w:tc>
          <w:tcPr>
            <w:tcW w:w="8535" w:type="dxa"/>
            <w:vAlign w:val="top"/>
          </w:tcPr>
          <w:p w14:paraId="0624003F">
            <w:pPr>
              <w:spacing w:before="102" w:line="219" w:lineRule="auto"/>
              <w:ind w:left="111"/>
              <w:rPr>
                <w:rFonts w:ascii="宋体" w:hAnsi="宋体" w:eastAsia="宋体" w:cs="宋体"/>
                <w:sz w:val="20"/>
                <w:szCs w:val="20"/>
              </w:rPr>
            </w:pPr>
            <w:r>
              <w:rPr>
                <w:rFonts w:ascii="宋体" w:hAnsi="宋体" w:eastAsia="宋体" w:cs="宋体"/>
                <w:spacing w:val="1"/>
                <w:sz w:val="20"/>
                <w:szCs w:val="20"/>
              </w:rPr>
              <w:t>在规定的工作时间内不工作</w:t>
            </w:r>
          </w:p>
        </w:tc>
      </w:tr>
      <w:tr w14:paraId="267FE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824" w:type="dxa"/>
            <w:vAlign w:val="top"/>
          </w:tcPr>
          <w:p w14:paraId="5A85345F">
            <w:pPr>
              <w:spacing w:before="132"/>
              <w:ind w:left="355"/>
              <w:rPr>
                <w:rFonts w:ascii="宋体" w:hAnsi="宋体" w:eastAsia="宋体" w:cs="宋体"/>
                <w:sz w:val="20"/>
                <w:szCs w:val="20"/>
              </w:rPr>
            </w:pPr>
            <w:r>
              <w:rPr>
                <w:rFonts w:ascii="宋体" w:hAnsi="宋体" w:eastAsia="宋体" w:cs="宋体"/>
                <w:sz w:val="20"/>
                <w:szCs w:val="20"/>
              </w:rPr>
              <w:t>3</w:t>
            </w:r>
          </w:p>
        </w:tc>
        <w:tc>
          <w:tcPr>
            <w:tcW w:w="8535" w:type="dxa"/>
            <w:vAlign w:val="top"/>
          </w:tcPr>
          <w:p w14:paraId="0A21F637">
            <w:pPr>
              <w:spacing w:before="113" w:line="219" w:lineRule="auto"/>
              <w:ind w:left="111"/>
              <w:rPr>
                <w:rFonts w:ascii="宋体" w:hAnsi="宋体" w:eastAsia="宋体" w:cs="宋体"/>
                <w:sz w:val="20"/>
                <w:szCs w:val="20"/>
              </w:rPr>
            </w:pPr>
            <w:r>
              <w:rPr>
                <w:rFonts w:ascii="宋体" w:hAnsi="宋体" w:eastAsia="宋体" w:cs="宋体"/>
                <w:spacing w:val="1"/>
                <w:sz w:val="20"/>
                <w:szCs w:val="20"/>
              </w:rPr>
              <w:t>在规定的非工作时间内工作</w:t>
            </w:r>
          </w:p>
        </w:tc>
      </w:tr>
      <w:tr w14:paraId="260B8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824" w:type="dxa"/>
            <w:vAlign w:val="top"/>
          </w:tcPr>
          <w:p w14:paraId="006F093F">
            <w:pPr>
              <w:spacing w:before="135" w:line="241" w:lineRule="auto"/>
              <w:ind w:left="355"/>
              <w:rPr>
                <w:rFonts w:ascii="宋体" w:hAnsi="宋体" w:eastAsia="宋体" w:cs="宋体"/>
                <w:sz w:val="20"/>
                <w:szCs w:val="20"/>
              </w:rPr>
            </w:pPr>
            <w:r>
              <w:rPr>
                <w:rFonts w:ascii="宋体" w:hAnsi="宋体" w:eastAsia="宋体" w:cs="宋体"/>
                <w:sz w:val="20"/>
                <w:szCs w:val="20"/>
              </w:rPr>
              <w:t>4</w:t>
            </w:r>
          </w:p>
        </w:tc>
        <w:tc>
          <w:tcPr>
            <w:tcW w:w="8535" w:type="dxa"/>
            <w:vAlign w:val="top"/>
          </w:tcPr>
          <w:p w14:paraId="7DB4D298">
            <w:pPr>
              <w:spacing w:before="115" w:line="219" w:lineRule="auto"/>
              <w:ind w:left="111"/>
              <w:rPr>
                <w:rFonts w:ascii="宋体" w:hAnsi="宋体" w:eastAsia="宋体" w:cs="宋体"/>
                <w:sz w:val="20"/>
                <w:szCs w:val="20"/>
              </w:rPr>
            </w:pPr>
            <w:r>
              <w:rPr>
                <w:rFonts w:ascii="宋体" w:hAnsi="宋体" w:eastAsia="宋体" w:cs="宋体"/>
                <w:spacing w:val="1"/>
                <w:sz w:val="20"/>
                <w:szCs w:val="20"/>
              </w:rPr>
              <w:t>间歇工作或工作不稳定</w:t>
            </w:r>
          </w:p>
        </w:tc>
      </w:tr>
      <w:tr w14:paraId="45772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824" w:type="dxa"/>
            <w:vAlign w:val="top"/>
          </w:tcPr>
          <w:p w14:paraId="3EDB8FDD">
            <w:pPr>
              <w:spacing w:before="126"/>
              <w:ind w:left="355"/>
              <w:rPr>
                <w:rFonts w:ascii="宋体" w:hAnsi="宋体" w:eastAsia="宋体" w:cs="宋体"/>
                <w:sz w:val="20"/>
                <w:szCs w:val="20"/>
              </w:rPr>
            </w:pPr>
            <w:r>
              <w:rPr>
                <w:rFonts w:ascii="宋体" w:hAnsi="宋体" w:eastAsia="宋体" w:cs="宋体"/>
                <w:sz w:val="20"/>
                <w:szCs w:val="20"/>
              </w:rPr>
              <w:t>5</w:t>
            </w:r>
          </w:p>
        </w:tc>
        <w:tc>
          <w:tcPr>
            <w:tcW w:w="8535" w:type="dxa"/>
            <w:vAlign w:val="top"/>
          </w:tcPr>
          <w:p w14:paraId="3169EEAF">
            <w:pPr>
              <w:spacing w:before="107" w:line="219" w:lineRule="auto"/>
              <w:ind w:left="111"/>
              <w:rPr>
                <w:rFonts w:ascii="宋体" w:hAnsi="宋体" w:eastAsia="宋体" w:cs="宋体"/>
                <w:sz w:val="20"/>
                <w:szCs w:val="20"/>
              </w:rPr>
            </w:pPr>
            <w:r>
              <w:rPr>
                <w:rFonts w:ascii="宋体" w:hAnsi="宋体" w:eastAsia="宋体" w:cs="宋体"/>
                <w:spacing w:val="2"/>
                <w:sz w:val="20"/>
                <w:szCs w:val="20"/>
              </w:rPr>
              <w:t>工作中输出消失或故障(如性能下降等)</w:t>
            </w:r>
          </w:p>
        </w:tc>
      </w:tr>
    </w:tbl>
    <w:p w14:paraId="1B791975">
      <w:pPr>
        <w:spacing w:before="221" w:line="221" w:lineRule="auto"/>
        <w:ind w:left="2560"/>
        <w:rPr>
          <w:rFonts w:ascii="仿宋" w:hAnsi="仿宋" w:eastAsia="仿宋" w:cs="仿宋"/>
          <w:sz w:val="24"/>
          <w:szCs w:val="24"/>
        </w:rPr>
      </w:pPr>
      <w:r>
        <w:rPr>
          <w:rFonts w:ascii="仿宋" w:hAnsi="仿宋" w:eastAsia="仿宋" w:cs="仿宋"/>
          <w:spacing w:val="26"/>
          <w:sz w:val="24"/>
          <w:szCs w:val="24"/>
        </w:rPr>
        <w:t>表8</w:t>
      </w:r>
      <w:r>
        <w:rPr>
          <w:rFonts w:ascii="仿宋" w:hAnsi="仿宋" w:eastAsia="仿宋" w:cs="仿宋"/>
          <w:spacing w:val="-55"/>
          <w:sz w:val="24"/>
          <w:szCs w:val="24"/>
        </w:rPr>
        <w:t xml:space="preserve"> </w:t>
      </w:r>
      <w:r>
        <w:rPr>
          <w:rFonts w:ascii="仿宋" w:hAnsi="仿宋" w:eastAsia="仿宋" w:cs="仿宋"/>
          <w:spacing w:val="26"/>
          <w:sz w:val="24"/>
          <w:szCs w:val="24"/>
        </w:rPr>
        <w:t>.</w:t>
      </w:r>
      <w:r>
        <w:rPr>
          <w:rFonts w:ascii="仿宋" w:hAnsi="仿宋" w:eastAsia="仿宋" w:cs="仿宋"/>
          <w:spacing w:val="-67"/>
          <w:sz w:val="24"/>
          <w:szCs w:val="24"/>
        </w:rPr>
        <w:t xml:space="preserve"> </w:t>
      </w:r>
      <w:r>
        <w:rPr>
          <w:rFonts w:ascii="仿宋" w:hAnsi="仿宋" w:eastAsia="仿宋" w:cs="仿宋"/>
          <w:spacing w:val="26"/>
          <w:sz w:val="24"/>
          <w:szCs w:val="24"/>
        </w:rPr>
        <w:t>4  典型的故障模式(较详细的)</w:t>
      </w:r>
    </w:p>
    <w:p w14:paraId="28C08EEE">
      <w:pPr>
        <w:spacing w:line="122" w:lineRule="exact"/>
      </w:pPr>
    </w:p>
    <w:tbl>
      <w:tblPr>
        <w:tblStyle w:val="5"/>
        <w:tblW w:w="935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4"/>
        <w:gridCol w:w="1888"/>
        <w:gridCol w:w="629"/>
        <w:gridCol w:w="1878"/>
        <w:gridCol w:w="639"/>
        <w:gridCol w:w="1658"/>
        <w:gridCol w:w="639"/>
        <w:gridCol w:w="1414"/>
      </w:tblGrid>
      <w:tr w14:paraId="2BF23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614" w:type="dxa"/>
            <w:vAlign w:val="top"/>
          </w:tcPr>
          <w:p w14:paraId="1CAB56E6">
            <w:pPr>
              <w:spacing w:before="104" w:line="221" w:lineRule="auto"/>
              <w:ind w:left="85"/>
              <w:rPr>
                <w:rFonts w:ascii="宋体" w:hAnsi="宋体" w:eastAsia="宋体" w:cs="宋体"/>
                <w:sz w:val="21"/>
                <w:szCs w:val="21"/>
              </w:rPr>
            </w:pPr>
            <w:r>
              <w:rPr>
                <w:rFonts w:ascii="宋体" w:hAnsi="宋体" w:eastAsia="宋体" w:cs="宋体"/>
                <w:spacing w:val="6"/>
                <w:sz w:val="21"/>
                <w:szCs w:val="21"/>
              </w:rPr>
              <w:t>序号</w:t>
            </w:r>
          </w:p>
        </w:tc>
        <w:tc>
          <w:tcPr>
            <w:tcW w:w="1888" w:type="dxa"/>
            <w:vAlign w:val="top"/>
          </w:tcPr>
          <w:p w14:paraId="2EE2B8E7">
            <w:pPr>
              <w:spacing w:before="103" w:line="219" w:lineRule="auto"/>
              <w:ind w:left="531"/>
              <w:rPr>
                <w:rFonts w:ascii="宋体" w:hAnsi="宋体" w:eastAsia="宋体" w:cs="宋体"/>
                <w:sz w:val="21"/>
                <w:szCs w:val="21"/>
              </w:rPr>
            </w:pPr>
            <w:r>
              <w:rPr>
                <w:rFonts w:ascii="宋体" w:hAnsi="宋体" w:eastAsia="宋体" w:cs="宋体"/>
                <w:spacing w:val="-3"/>
                <w:sz w:val="21"/>
                <w:szCs w:val="21"/>
              </w:rPr>
              <w:t>故障模式</w:t>
            </w:r>
          </w:p>
        </w:tc>
        <w:tc>
          <w:tcPr>
            <w:tcW w:w="629" w:type="dxa"/>
            <w:vAlign w:val="top"/>
          </w:tcPr>
          <w:p w14:paraId="3713789E">
            <w:pPr>
              <w:spacing w:before="104" w:line="221" w:lineRule="auto"/>
              <w:ind w:left="92"/>
              <w:rPr>
                <w:rFonts w:ascii="宋体" w:hAnsi="宋体" w:eastAsia="宋体" w:cs="宋体"/>
                <w:sz w:val="21"/>
                <w:szCs w:val="21"/>
              </w:rPr>
            </w:pPr>
            <w:r>
              <w:rPr>
                <w:rFonts w:ascii="宋体" w:hAnsi="宋体" w:eastAsia="宋体" w:cs="宋体"/>
                <w:spacing w:val="6"/>
                <w:sz w:val="21"/>
                <w:szCs w:val="21"/>
              </w:rPr>
              <w:t>序号</w:t>
            </w:r>
          </w:p>
        </w:tc>
        <w:tc>
          <w:tcPr>
            <w:tcW w:w="1878" w:type="dxa"/>
            <w:vAlign w:val="top"/>
          </w:tcPr>
          <w:p w14:paraId="03DD221F">
            <w:pPr>
              <w:spacing w:before="103" w:line="219" w:lineRule="auto"/>
              <w:ind w:left="513"/>
              <w:rPr>
                <w:rFonts w:ascii="宋体" w:hAnsi="宋体" w:eastAsia="宋体" w:cs="宋体"/>
                <w:sz w:val="21"/>
                <w:szCs w:val="21"/>
              </w:rPr>
            </w:pPr>
            <w:r>
              <w:rPr>
                <w:rFonts w:ascii="宋体" w:hAnsi="宋体" w:eastAsia="宋体" w:cs="宋体"/>
                <w:spacing w:val="-3"/>
                <w:sz w:val="21"/>
                <w:szCs w:val="21"/>
              </w:rPr>
              <w:t>故障模式</w:t>
            </w:r>
          </w:p>
        </w:tc>
        <w:tc>
          <w:tcPr>
            <w:tcW w:w="639" w:type="dxa"/>
            <w:vAlign w:val="top"/>
          </w:tcPr>
          <w:p w14:paraId="79E93235">
            <w:pPr>
              <w:spacing w:before="104" w:line="221" w:lineRule="auto"/>
              <w:ind w:left="105"/>
              <w:rPr>
                <w:rFonts w:ascii="宋体" w:hAnsi="宋体" w:eastAsia="宋体" w:cs="宋体"/>
                <w:sz w:val="21"/>
                <w:szCs w:val="21"/>
              </w:rPr>
            </w:pPr>
            <w:r>
              <w:rPr>
                <w:rFonts w:ascii="宋体" w:hAnsi="宋体" w:eastAsia="宋体" w:cs="宋体"/>
                <w:spacing w:val="6"/>
                <w:sz w:val="21"/>
                <w:szCs w:val="21"/>
              </w:rPr>
              <w:t>序号</w:t>
            </w:r>
          </w:p>
        </w:tc>
        <w:tc>
          <w:tcPr>
            <w:tcW w:w="1658" w:type="dxa"/>
            <w:vAlign w:val="top"/>
          </w:tcPr>
          <w:p w14:paraId="09BCC507">
            <w:pPr>
              <w:spacing w:before="103" w:line="219" w:lineRule="auto"/>
              <w:ind w:left="387"/>
              <w:rPr>
                <w:rFonts w:ascii="宋体" w:hAnsi="宋体" w:eastAsia="宋体" w:cs="宋体"/>
                <w:sz w:val="21"/>
                <w:szCs w:val="21"/>
              </w:rPr>
            </w:pPr>
            <w:r>
              <w:rPr>
                <w:rFonts w:ascii="宋体" w:hAnsi="宋体" w:eastAsia="宋体" w:cs="宋体"/>
                <w:spacing w:val="-3"/>
                <w:sz w:val="21"/>
                <w:szCs w:val="21"/>
              </w:rPr>
              <w:t>故障模式</w:t>
            </w:r>
          </w:p>
        </w:tc>
        <w:tc>
          <w:tcPr>
            <w:tcW w:w="639" w:type="dxa"/>
            <w:vAlign w:val="top"/>
          </w:tcPr>
          <w:p w14:paraId="38CE3419">
            <w:pPr>
              <w:spacing w:before="104" w:line="221" w:lineRule="auto"/>
              <w:ind w:left="109"/>
              <w:rPr>
                <w:rFonts w:ascii="宋体" w:hAnsi="宋体" w:eastAsia="宋体" w:cs="宋体"/>
                <w:sz w:val="21"/>
                <w:szCs w:val="21"/>
              </w:rPr>
            </w:pPr>
            <w:r>
              <w:rPr>
                <w:rFonts w:ascii="宋体" w:hAnsi="宋体" w:eastAsia="宋体" w:cs="宋体"/>
                <w:spacing w:val="6"/>
                <w:sz w:val="21"/>
                <w:szCs w:val="21"/>
              </w:rPr>
              <w:t>序号</w:t>
            </w:r>
          </w:p>
        </w:tc>
        <w:tc>
          <w:tcPr>
            <w:tcW w:w="1414" w:type="dxa"/>
            <w:vAlign w:val="top"/>
          </w:tcPr>
          <w:p w14:paraId="10F078FE">
            <w:pPr>
              <w:spacing w:before="103" w:line="219" w:lineRule="auto"/>
              <w:ind w:left="299"/>
              <w:rPr>
                <w:rFonts w:ascii="宋体" w:hAnsi="宋体" w:eastAsia="宋体" w:cs="宋体"/>
                <w:sz w:val="21"/>
                <w:szCs w:val="21"/>
              </w:rPr>
            </w:pPr>
            <w:r>
              <w:rPr>
                <w:rFonts w:ascii="宋体" w:hAnsi="宋体" w:eastAsia="宋体" w:cs="宋体"/>
                <w:spacing w:val="-3"/>
                <w:sz w:val="21"/>
                <w:szCs w:val="21"/>
              </w:rPr>
              <w:t>故障模式</w:t>
            </w:r>
          </w:p>
        </w:tc>
      </w:tr>
      <w:tr w14:paraId="6FD3A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614" w:type="dxa"/>
            <w:vAlign w:val="top"/>
          </w:tcPr>
          <w:p w14:paraId="1888BBF6">
            <w:pPr>
              <w:spacing w:before="121" w:line="241" w:lineRule="auto"/>
              <w:ind w:left="244"/>
              <w:rPr>
                <w:rFonts w:ascii="宋体" w:hAnsi="宋体" w:eastAsia="宋体" w:cs="宋体"/>
                <w:sz w:val="21"/>
                <w:szCs w:val="21"/>
              </w:rPr>
            </w:pPr>
            <w:r>
              <w:rPr>
                <w:rFonts w:ascii="宋体" w:hAnsi="宋体" w:eastAsia="宋体" w:cs="宋体"/>
                <w:sz w:val="21"/>
                <w:szCs w:val="21"/>
              </w:rPr>
              <w:t>1</w:t>
            </w:r>
          </w:p>
        </w:tc>
        <w:tc>
          <w:tcPr>
            <w:tcW w:w="1888" w:type="dxa"/>
            <w:vAlign w:val="top"/>
          </w:tcPr>
          <w:p w14:paraId="6B67E7A5">
            <w:pPr>
              <w:spacing w:before="100" w:line="219" w:lineRule="auto"/>
              <w:ind w:left="100"/>
              <w:rPr>
                <w:rFonts w:ascii="宋体" w:hAnsi="宋体" w:eastAsia="宋体" w:cs="宋体"/>
                <w:sz w:val="21"/>
                <w:szCs w:val="21"/>
              </w:rPr>
            </w:pPr>
            <w:r>
              <w:rPr>
                <w:rFonts w:ascii="宋体" w:hAnsi="宋体" w:eastAsia="宋体" w:cs="宋体"/>
                <w:spacing w:val="5"/>
                <w:sz w:val="21"/>
                <w:szCs w:val="21"/>
              </w:rPr>
              <w:t>结构故障(破损)</w:t>
            </w:r>
          </w:p>
        </w:tc>
        <w:tc>
          <w:tcPr>
            <w:tcW w:w="629" w:type="dxa"/>
            <w:vAlign w:val="top"/>
          </w:tcPr>
          <w:p w14:paraId="6CD5BF3E">
            <w:pPr>
              <w:spacing w:before="121" w:line="241" w:lineRule="auto"/>
              <w:ind w:left="203"/>
              <w:rPr>
                <w:rFonts w:ascii="宋体" w:hAnsi="宋体" w:eastAsia="宋体" w:cs="宋体"/>
                <w:sz w:val="21"/>
                <w:szCs w:val="21"/>
              </w:rPr>
            </w:pPr>
            <w:r>
              <w:rPr>
                <w:rFonts w:ascii="宋体" w:hAnsi="宋体" w:eastAsia="宋体" w:cs="宋体"/>
                <w:spacing w:val="-6"/>
                <w:sz w:val="21"/>
                <w:szCs w:val="21"/>
              </w:rPr>
              <w:t>12</w:t>
            </w:r>
          </w:p>
        </w:tc>
        <w:tc>
          <w:tcPr>
            <w:tcW w:w="1878" w:type="dxa"/>
            <w:vAlign w:val="top"/>
          </w:tcPr>
          <w:p w14:paraId="22CDFA4E">
            <w:pPr>
              <w:spacing w:before="100" w:line="219" w:lineRule="auto"/>
              <w:ind w:left="83"/>
              <w:rPr>
                <w:rFonts w:ascii="宋体" w:hAnsi="宋体" w:eastAsia="宋体" w:cs="宋体"/>
                <w:sz w:val="21"/>
                <w:szCs w:val="21"/>
              </w:rPr>
            </w:pPr>
            <w:r>
              <w:rPr>
                <w:rFonts w:ascii="宋体" w:hAnsi="宋体" w:eastAsia="宋体" w:cs="宋体"/>
                <w:spacing w:val="5"/>
                <w:sz w:val="21"/>
                <w:szCs w:val="21"/>
              </w:rPr>
              <w:t>超出允差(下限)</w:t>
            </w:r>
          </w:p>
        </w:tc>
        <w:tc>
          <w:tcPr>
            <w:tcW w:w="639" w:type="dxa"/>
            <w:vAlign w:val="top"/>
          </w:tcPr>
          <w:p w14:paraId="5376D65E">
            <w:pPr>
              <w:spacing w:before="121"/>
              <w:ind w:left="206"/>
              <w:rPr>
                <w:rFonts w:ascii="宋体" w:hAnsi="宋体" w:eastAsia="宋体" w:cs="宋体"/>
                <w:sz w:val="21"/>
                <w:szCs w:val="21"/>
              </w:rPr>
            </w:pPr>
            <w:r>
              <w:rPr>
                <w:rFonts w:ascii="宋体" w:hAnsi="宋体" w:eastAsia="宋体" w:cs="宋体"/>
                <w:spacing w:val="-3"/>
                <w:sz w:val="21"/>
                <w:szCs w:val="21"/>
              </w:rPr>
              <w:t>23</w:t>
            </w:r>
          </w:p>
        </w:tc>
        <w:tc>
          <w:tcPr>
            <w:tcW w:w="1658" w:type="dxa"/>
            <w:vAlign w:val="top"/>
          </w:tcPr>
          <w:p w14:paraId="0835959E">
            <w:pPr>
              <w:spacing w:before="101" w:line="220" w:lineRule="auto"/>
              <w:ind w:left="67"/>
              <w:rPr>
                <w:rFonts w:ascii="宋体" w:hAnsi="宋体" w:eastAsia="宋体" w:cs="宋体"/>
                <w:sz w:val="21"/>
                <w:szCs w:val="21"/>
              </w:rPr>
            </w:pPr>
            <w:r>
              <w:rPr>
                <w:rFonts w:ascii="宋体" w:hAnsi="宋体" w:eastAsia="宋体" w:cs="宋体"/>
                <w:spacing w:val="-2"/>
                <w:sz w:val="21"/>
                <w:szCs w:val="21"/>
              </w:rPr>
              <w:t>滞后运行</w:t>
            </w:r>
          </w:p>
        </w:tc>
        <w:tc>
          <w:tcPr>
            <w:tcW w:w="639" w:type="dxa"/>
            <w:vAlign w:val="top"/>
          </w:tcPr>
          <w:p w14:paraId="7504AC58">
            <w:pPr>
              <w:spacing w:before="121"/>
              <w:ind w:left="208"/>
              <w:rPr>
                <w:rFonts w:ascii="宋体" w:hAnsi="宋体" w:eastAsia="宋体" w:cs="宋体"/>
                <w:sz w:val="21"/>
                <w:szCs w:val="21"/>
              </w:rPr>
            </w:pPr>
            <w:r>
              <w:rPr>
                <w:rFonts w:ascii="宋体" w:hAnsi="宋体" w:eastAsia="宋体" w:cs="宋体"/>
                <w:spacing w:val="-4"/>
                <w:sz w:val="21"/>
                <w:szCs w:val="21"/>
              </w:rPr>
              <w:t>34</w:t>
            </w:r>
          </w:p>
        </w:tc>
        <w:tc>
          <w:tcPr>
            <w:tcW w:w="1414" w:type="dxa"/>
            <w:vAlign w:val="top"/>
          </w:tcPr>
          <w:p w14:paraId="7A1BFF70">
            <w:pPr>
              <w:spacing w:before="100" w:line="219" w:lineRule="auto"/>
              <w:ind w:left="99"/>
              <w:rPr>
                <w:rFonts w:ascii="宋体" w:hAnsi="宋体" w:eastAsia="宋体" w:cs="宋体"/>
                <w:sz w:val="21"/>
                <w:szCs w:val="21"/>
              </w:rPr>
            </w:pPr>
            <w:r>
              <w:rPr>
                <w:rFonts w:ascii="宋体" w:hAnsi="宋体" w:eastAsia="宋体" w:cs="宋体"/>
                <w:spacing w:val="-3"/>
                <w:sz w:val="21"/>
                <w:szCs w:val="21"/>
              </w:rPr>
              <w:t>折断</w:t>
            </w:r>
          </w:p>
        </w:tc>
      </w:tr>
      <w:tr w14:paraId="4F9E4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614" w:type="dxa"/>
            <w:vAlign w:val="top"/>
          </w:tcPr>
          <w:p w14:paraId="7C5A5E8A">
            <w:pPr>
              <w:spacing w:before="124" w:line="232" w:lineRule="auto"/>
              <w:ind w:left="244"/>
              <w:rPr>
                <w:rFonts w:ascii="宋体" w:hAnsi="宋体" w:eastAsia="宋体" w:cs="宋体"/>
                <w:sz w:val="21"/>
                <w:szCs w:val="21"/>
              </w:rPr>
            </w:pPr>
            <w:r>
              <w:rPr>
                <w:rFonts w:ascii="宋体" w:hAnsi="宋体" w:eastAsia="宋体" w:cs="宋体"/>
                <w:sz w:val="21"/>
                <w:szCs w:val="21"/>
              </w:rPr>
              <w:t>2</w:t>
            </w:r>
          </w:p>
        </w:tc>
        <w:tc>
          <w:tcPr>
            <w:tcW w:w="1888" w:type="dxa"/>
            <w:vAlign w:val="top"/>
          </w:tcPr>
          <w:p w14:paraId="1559BDC9">
            <w:pPr>
              <w:spacing w:before="103" w:line="221" w:lineRule="auto"/>
              <w:ind w:left="100"/>
              <w:rPr>
                <w:rFonts w:ascii="宋体" w:hAnsi="宋体" w:eastAsia="宋体" w:cs="宋体"/>
                <w:sz w:val="21"/>
                <w:szCs w:val="21"/>
              </w:rPr>
            </w:pPr>
            <w:r>
              <w:rPr>
                <w:rFonts w:ascii="宋体" w:hAnsi="宋体" w:eastAsia="宋体" w:cs="宋体"/>
                <w:spacing w:val="-2"/>
                <w:sz w:val="21"/>
                <w:szCs w:val="21"/>
              </w:rPr>
              <w:t>捆结或卡死</w:t>
            </w:r>
          </w:p>
        </w:tc>
        <w:tc>
          <w:tcPr>
            <w:tcW w:w="629" w:type="dxa"/>
            <w:vAlign w:val="top"/>
          </w:tcPr>
          <w:p w14:paraId="12254710">
            <w:pPr>
              <w:spacing w:before="124" w:line="232" w:lineRule="auto"/>
              <w:ind w:left="203"/>
              <w:rPr>
                <w:rFonts w:ascii="宋体" w:hAnsi="宋体" w:eastAsia="宋体" w:cs="宋体"/>
                <w:sz w:val="21"/>
                <w:szCs w:val="21"/>
              </w:rPr>
            </w:pPr>
            <w:r>
              <w:rPr>
                <w:rFonts w:ascii="宋体" w:hAnsi="宋体" w:eastAsia="宋体" w:cs="宋体"/>
                <w:spacing w:val="-6"/>
                <w:sz w:val="21"/>
                <w:szCs w:val="21"/>
              </w:rPr>
              <w:t>13</w:t>
            </w:r>
          </w:p>
        </w:tc>
        <w:tc>
          <w:tcPr>
            <w:tcW w:w="1878" w:type="dxa"/>
            <w:vAlign w:val="top"/>
          </w:tcPr>
          <w:p w14:paraId="48E9D963">
            <w:pPr>
              <w:spacing w:before="103" w:line="220" w:lineRule="auto"/>
              <w:ind w:left="83"/>
              <w:rPr>
                <w:rFonts w:ascii="宋体" w:hAnsi="宋体" w:eastAsia="宋体" w:cs="宋体"/>
                <w:sz w:val="21"/>
                <w:szCs w:val="21"/>
              </w:rPr>
            </w:pPr>
            <w:r>
              <w:rPr>
                <w:rFonts w:ascii="宋体" w:hAnsi="宋体" w:eastAsia="宋体" w:cs="宋体"/>
                <w:spacing w:val="2"/>
                <w:sz w:val="21"/>
                <w:szCs w:val="21"/>
              </w:rPr>
              <w:t>意外运行</w:t>
            </w:r>
          </w:p>
        </w:tc>
        <w:tc>
          <w:tcPr>
            <w:tcW w:w="639" w:type="dxa"/>
            <w:vAlign w:val="top"/>
          </w:tcPr>
          <w:p w14:paraId="2249FE17">
            <w:pPr>
              <w:spacing w:before="124" w:line="232" w:lineRule="auto"/>
              <w:ind w:left="206"/>
              <w:rPr>
                <w:rFonts w:ascii="宋体" w:hAnsi="宋体" w:eastAsia="宋体" w:cs="宋体"/>
                <w:sz w:val="21"/>
                <w:szCs w:val="21"/>
              </w:rPr>
            </w:pPr>
            <w:r>
              <w:rPr>
                <w:rFonts w:ascii="宋体" w:hAnsi="宋体" w:eastAsia="宋体" w:cs="宋体"/>
                <w:spacing w:val="-3"/>
                <w:sz w:val="21"/>
                <w:szCs w:val="21"/>
              </w:rPr>
              <w:t>24</w:t>
            </w:r>
          </w:p>
        </w:tc>
        <w:tc>
          <w:tcPr>
            <w:tcW w:w="1658" w:type="dxa"/>
            <w:vAlign w:val="top"/>
          </w:tcPr>
          <w:p w14:paraId="43C9D52B">
            <w:pPr>
              <w:spacing w:before="102" w:line="219" w:lineRule="auto"/>
              <w:ind w:left="67"/>
              <w:rPr>
                <w:rFonts w:ascii="宋体" w:hAnsi="宋体" w:eastAsia="宋体" w:cs="宋体"/>
                <w:sz w:val="21"/>
                <w:szCs w:val="21"/>
              </w:rPr>
            </w:pPr>
            <w:r>
              <w:rPr>
                <w:rFonts w:ascii="宋体" w:hAnsi="宋体" w:eastAsia="宋体" w:cs="宋体"/>
                <w:spacing w:val="-2"/>
                <w:sz w:val="21"/>
                <w:szCs w:val="21"/>
              </w:rPr>
              <w:t>输入过大</w:t>
            </w:r>
          </w:p>
        </w:tc>
        <w:tc>
          <w:tcPr>
            <w:tcW w:w="639" w:type="dxa"/>
            <w:vAlign w:val="top"/>
          </w:tcPr>
          <w:p w14:paraId="5E006C59">
            <w:pPr>
              <w:spacing w:before="124" w:line="232" w:lineRule="auto"/>
              <w:ind w:left="208"/>
              <w:rPr>
                <w:rFonts w:ascii="宋体" w:hAnsi="宋体" w:eastAsia="宋体" w:cs="宋体"/>
                <w:sz w:val="21"/>
                <w:szCs w:val="21"/>
              </w:rPr>
            </w:pPr>
            <w:r>
              <w:rPr>
                <w:rFonts w:ascii="宋体" w:hAnsi="宋体" w:eastAsia="宋体" w:cs="宋体"/>
                <w:spacing w:val="-4"/>
                <w:sz w:val="21"/>
                <w:szCs w:val="21"/>
              </w:rPr>
              <w:t>35</w:t>
            </w:r>
          </w:p>
        </w:tc>
        <w:tc>
          <w:tcPr>
            <w:tcW w:w="1414" w:type="dxa"/>
            <w:vAlign w:val="top"/>
          </w:tcPr>
          <w:p w14:paraId="3DD60DDA">
            <w:pPr>
              <w:spacing w:before="103" w:line="220" w:lineRule="auto"/>
              <w:ind w:left="99"/>
              <w:rPr>
                <w:rFonts w:ascii="宋体" w:hAnsi="宋体" w:eastAsia="宋体" w:cs="宋体"/>
                <w:sz w:val="21"/>
                <w:szCs w:val="21"/>
              </w:rPr>
            </w:pPr>
            <w:r>
              <w:rPr>
                <w:rFonts w:ascii="宋体" w:hAnsi="宋体" w:eastAsia="宋体" w:cs="宋体"/>
                <w:spacing w:val="-2"/>
                <w:sz w:val="21"/>
                <w:szCs w:val="21"/>
              </w:rPr>
              <w:t>动作不到位</w:t>
            </w:r>
          </w:p>
        </w:tc>
      </w:tr>
      <w:tr w14:paraId="21C67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614" w:type="dxa"/>
            <w:vAlign w:val="top"/>
          </w:tcPr>
          <w:p w14:paraId="4EE4B065">
            <w:pPr>
              <w:spacing w:before="125" w:line="231" w:lineRule="auto"/>
              <w:ind w:left="244"/>
              <w:rPr>
                <w:rFonts w:ascii="宋体" w:hAnsi="宋体" w:eastAsia="宋体" w:cs="宋体"/>
                <w:sz w:val="21"/>
                <w:szCs w:val="21"/>
              </w:rPr>
            </w:pPr>
            <w:r>
              <w:rPr>
                <w:rFonts w:ascii="宋体" w:hAnsi="宋体" w:eastAsia="宋体" w:cs="宋体"/>
                <w:sz w:val="21"/>
                <w:szCs w:val="21"/>
              </w:rPr>
              <w:t>3</w:t>
            </w:r>
          </w:p>
        </w:tc>
        <w:tc>
          <w:tcPr>
            <w:tcW w:w="1888" w:type="dxa"/>
            <w:vAlign w:val="top"/>
          </w:tcPr>
          <w:p w14:paraId="450E9F0C">
            <w:pPr>
              <w:spacing w:before="104" w:line="219" w:lineRule="auto"/>
              <w:ind w:left="100"/>
              <w:rPr>
                <w:rFonts w:ascii="宋体" w:hAnsi="宋体" w:eastAsia="宋体" w:cs="宋体"/>
                <w:sz w:val="21"/>
                <w:szCs w:val="21"/>
              </w:rPr>
            </w:pPr>
            <w:r>
              <w:rPr>
                <w:rFonts w:ascii="宋体" w:hAnsi="宋体" w:eastAsia="宋体" w:cs="宋体"/>
                <w:spacing w:val="-2"/>
                <w:sz w:val="21"/>
                <w:szCs w:val="21"/>
              </w:rPr>
              <w:t>共振</w:t>
            </w:r>
          </w:p>
        </w:tc>
        <w:tc>
          <w:tcPr>
            <w:tcW w:w="629" w:type="dxa"/>
            <w:vAlign w:val="top"/>
          </w:tcPr>
          <w:p w14:paraId="3EE2701E">
            <w:pPr>
              <w:spacing w:before="125" w:line="231" w:lineRule="auto"/>
              <w:ind w:left="203"/>
              <w:rPr>
                <w:rFonts w:ascii="宋体" w:hAnsi="宋体" w:eastAsia="宋体" w:cs="宋体"/>
                <w:sz w:val="21"/>
                <w:szCs w:val="21"/>
              </w:rPr>
            </w:pPr>
            <w:r>
              <w:rPr>
                <w:rFonts w:ascii="宋体" w:hAnsi="宋体" w:eastAsia="宋体" w:cs="宋体"/>
                <w:spacing w:val="-6"/>
                <w:sz w:val="21"/>
                <w:szCs w:val="21"/>
              </w:rPr>
              <w:t>14</w:t>
            </w:r>
          </w:p>
        </w:tc>
        <w:tc>
          <w:tcPr>
            <w:tcW w:w="1878" w:type="dxa"/>
            <w:vAlign w:val="top"/>
          </w:tcPr>
          <w:p w14:paraId="1C6C0F02">
            <w:pPr>
              <w:spacing w:before="104" w:line="219" w:lineRule="auto"/>
              <w:ind w:left="83"/>
              <w:rPr>
                <w:rFonts w:ascii="宋体" w:hAnsi="宋体" w:eastAsia="宋体" w:cs="宋体"/>
                <w:sz w:val="21"/>
                <w:szCs w:val="21"/>
              </w:rPr>
            </w:pPr>
            <w:r>
              <w:rPr>
                <w:rFonts w:ascii="宋体" w:hAnsi="宋体" w:eastAsia="宋体" w:cs="宋体"/>
                <w:spacing w:val="2"/>
                <w:sz w:val="21"/>
                <w:szCs w:val="21"/>
              </w:rPr>
              <w:t>间歇性工作</w:t>
            </w:r>
          </w:p>
        </w:tc>
        <w:tc>
          <w:tcPr>
            <w:tcW w:w="639" w:type="dxa"/>
            <w:vAlign w:val="top"/>
          </w:tcPr>
          <w:p w14:paraId="7908C0EA">
            <w:pPr>
              <w:spacing w:before="125" w:line="231" w:lineRule="auto"/>
              <w:ind w:left="206"/>
              <w:rPr>
                <w:rFonts w:ascii="宋体" w:hAnsi="宋体" w:eastAsia="宋体" w:cs="宋体"/>
                <w:sz w:val="21"/>
                <w:szCs w:val="21"/>
              </w:rPr>
            </w:pPr>
            <w:r>
              <w:rPr>
                <w:rFonts w:ascii="宋体" w:hAnsi="宋体" w:eastAsia="宋体" w:cs="宋体"/>
                <w:spacing w:val="-3"/>
                <w:sz w:val="21"/>
                <w:szCs w:val="21"/>
              </w:rPr>
              <w:t>25</w:t>
            </w:r>
          </w:p>
        </w:tc>
        <w:tc>
          <w:tcPr>
            <w:tcW w:w="1658" w:type="dxa"/>
            <w:vAlign w:val="top"/>
          </w:tcPr>
          <w:p w14:paraId="43475CB6">
            <w:pPr>
              <w:spacing w:before="104" w:line="219" w:lineRule="auto"/>
              <w:ind w:left="67"/>
              <w:rPr>
                <w:rFonts w:ascii="宋体" w:hAnsi="宋体" w:eastAsia="宋体" w:cs="宋体"/>
                <w:sz w:val="21"/>
                <w:szCs w:val="21"/>
              </w:rPr>
            </w:pPr>
            <w:r>
              <w:rPr>
                <w:rFonts w:ascii="宋体" w:hAnsi="宋体" w:eastAsia="宋体" w:cs="宋体"/>
                <w:spacing w:val="4"/>
                <w:sz w:val="21"/>
                <w:szCs w:val="21"/>
              </w:rPr>
              <w:t>输入过小</w:t>
            </w:r>
          </w:p>
        </w:tc>
        <w:tc>
          <w:tcPr>
            <w:tcW w:w="639" w:type="dxa"/>
            <w:vAlign w:val="top"/>
          </w:tcPr>
          <w:p w14:paraId="17121795">
            <w:pPr>
              <w:spacing w:before="125" w:line="231" w:lineRule="auto"/>
              <w:ind w:left="208"/>
              <w:rPr>
                <w:rFonts w:ascii="宋体" w:hAnsi="宋体" w:eastAsia="宋体" w:cs="宋体"/>
                <w:sz w:val="21"/>
                <w:szCs w:val="21"/>
              </w:rPr>
            </w:pPr>
            <w:r>
              <w:rPr>
                <w:rFonts w:ascii="宋体" w:hAnsi="宋体" w:eastAsia="宋体" w:cs="宋体"/>
                <w:spacing w:val="-4"/>
                <w:sz w:val="21"/>
                <w:szCs w:val="21"/>
              </w:rPr>
              <w:t>36</w:t>
            </w:r>
          </w:p>
        </w:tc>
        <w:tc>
          <w:tcPr>
            <w:tcW w:w="1414" w:type="dxa"/>
            <w:vAlign w:val="top"/>
          </w:tcPr>
          <w:p w14:paraId="39AC2080">
            <w:pPr>
              <w:spacing w:before="105" w:line="220" w:lineRule="auto"/>
              <w:ind w:left="99"/>
              <w:rPr>
                <w:rFonts w:ascii="宋体" w:hAnsi="宋体" w:eastAsia="宋体" w:cs="宋体"/>
                <w:sz w:val="21"/>
                <w:szCs w:val="21"/>
              </w:rPr>
            </w:pPr>
            <w:r>
              <w:rPr>
                <w:rFonts w:ascii="宋体" w:hAnsi="宋体" w:eastAsia="宋体" w:cs="宋体"/>
                <w:spacing w:val="-2"/>
                <w:sz w:val="21"/>
                <w:szCs w:val="21"/>
              </w:rPr>
              <w:t>动作过位</w:t>
            </w:r>
          </w:p>
        </w:tc>
      </w:tr>
      <w:tr w14:paraId="75FF1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614" w:type="dxa"/>
            <w:vAlign w:val="top"/>
          </w:tcPr>
          <w:p w14:paraId="687909BA">
            <w:pPr>
              <w:spacing w:before="127" w:line="233" w:lineRule="auto"/>
              <w:ind w:left="244"/>
              <w:rPr>
                <w:rFonts w:ascii="宋体" w:hAnsi="宋体" w:eastAsia="宋体" w:cs="宋体"/>
                <w:sz w:val="21"/>
                <w:szCs w:val="21"/>
              </w:rPr>
            </w:pPr>
            <w:r>
              <w:rPr>
                <w:rFonts w:ascii="宋体" w:hAnsi="宋体" w:eastAsia="宋体" w:cs="宋体"/>
                <w:sz w:val="21"/>
                <w:szCs w:val="21"/>
              </w:rPr>
              <w:t>4</w:t>
            </w:r>
          </w:p>
        </w:tc>
        <w:tc>
          <w:tcPr>
            <w:tcW w:w="1888" w:type="dxa"/>
            <w:vAlign w:val="top"/>
          </w:tcPr>
          <w:p w14:paraId="1768895A">
            <w:pPr>
              <w:spacing w:before="106" w:line="219" w:lineRule="auto"/>
              <w:ind w:left="100"/>
              <w:rPr>
                <w:rFonts w:ascii="宋体" w:hAnsi="宋体" w:eastAsia="宋体" w:cs="宋体"/>
                <w:sz w:val="21"/>
                <w:szCs w:val="21"/>
              </w:rPr>
            </w:pPr>
            <w:r>
              <w:rPr>
                <w:rFonts w:ascii="宋体" w:hAnsi="宋体" w:eastAsia="宋体" w:cs="宋体"/>
                <w:spacing w:val="-2"/>
                <w:sz w:val="21"/>
                <w:szCs w:val="21"/>
              </w:rPr>
              <w:t>不能保持正常位置</w:t>
            </w:r>
          </w:p>
        </w:tc>
        <w:tc>
          <w:tcPr>
            <w:tcW w:w="629" w:type="dxa"/>
            <w:vAlign w:val="top"/>
          </w:tcPr>
          <w:p w14:paraId="4302C5A8">
            <w:pPr>
              <w:spacing w:before="127" w:line="233" w:lineRule="auto"/>
              <w:ind w:left="203"/>
              <w:rPr>
                <w:rFonts w:ascii="宋体" w:hAnsi="宋体" w:eastAsia="宋体" w:cs="宋体"/>
                <w:sz w:val="21"/>
                <w:szCs w:val="21"/>
              </w:rPr>
            </w:pPr>
            <w:r>
              <w:rPr>
                <w:rFonts w:ascii="宋体" w:hAnsi="宋体" w:eastAsia="宋体" w:cs="宋体"/>
                <w:spacing w:val="-6"/>
                <w:sz w:val="21"/>
                <w:szCs w:val="21"/>
              </w:rPr>
              <w:t>15</w:t>
            </w:r>
          </w:p>
        </w:tc>
        <w:tc>
          <w:tcPr>
            <w:tcW w:w="1878" w:type="dxa"/>
            <w:vAlign w:val="top"/>
          </w:tcPr>
          <w:p w14:paraId="4AAECDA9">
            <w:pPr>
              <w:spacing w:before="106" w:line="219" w:lineRule="auto"/>
              <w:ind w:left="83"/>
              <w:rPr>
                <w:rFonts w:ascii="宋体" w:hAnsi="宋体" w:eastAsia="宋体" w:cs="宋体"/>
                <w:sz w:val="21"/>
                <w:szCs w:val="21"/>
              </w:rPr>
            </w:pPr>
            <w:r>
              <w:rPr>
                <w:rFonts w:ascii="宋体" w:hAnsi="宋体" w:eastAsia="宋体" w:cs="宋体"/>
                <w:spacing w:val="2"/>
                <w:sz w:val="21"/>
                <w:szCs w:val="21"/>
              </w:rPr>
              <w:t>漂移性工作</w:t>
            </w:r>
          </w:p>
        </w:tc>
        <w:tc>
          <w:tcPr>
            <w:tcW w:w="639" w:type="dxa"/>
            <w:vAlign w:val="top"/>
          </w:tcPr>
          <w:p w14:paraId="62D84AC0">
            <w:pPr>
              <w:spacing w:before="127" w:line="233" w:lineRule="auto"/>
              <w:ind w:left="206"/>
              <w:rPr>
                <w:rFonts w:ascii="宋体" w:hAnsi="宋体" w:eastAsia="宋体" w:cs="宋体"/>
                <w:sz w:val="21"/>
                <w:szCs w:val="21"/>
              </w:rPr>
            </w:pPr>
            <w:r>
              <w:rPr>
                <w:rFonts w:ascii="宋体" w:hAnsi="宋体" w:eastAsia="宋体" w:cs="宋体"/>
                <w:spacing w:val="-3"/>
                <w:sz w:val="21"/>
                <w:szCs w:val="21"/>
              </w:rPr>
              <w:t>26</w:t>
            </w:r>
          </w:p>
        </w:tc>
        <w:tc>
          <w:tcPr>
            <w:tcW w:w="1658" w:type="dxa"/>
            <w:vAlign w:val="top"/>
          </w:tcPr>
          <w:p w14:paraId="10462885">
            <w:pPr>
              <w:spacing w:before="106" w:line="219" w:lineRule="auto"/>
              <w:ind w:left="67"/>
              <w:rPr>
                <w:rFonts w:ascii="宋体" w:hAnsi="宋体" w:eastAsia="宋体" w:cs="宋体"/>
                <w:sz w:val="21"/>
                <w:szCs w:val="21"/>
              </w:rPr>
            </w:pPr>
            <w:r>
              <w:rPr>
                <w:rFonts w:ascii="宋体" w:hAnsi="宋体" w:eastAsia="宋体" w:cs="宋体"/>
                <w:spacing w:val="-2"/>
                <w:sz w:val="21"/>
                <w:szCs w:val="21"/>
              </w:rPr>
              <w:t>输出过大</w:t>
            </w:r>
          </w:p>
        </w:tc>
        <w:tc>
          <w:tcPr>
            <w:tcW w:w="639" w:type="dxa"/>
            <w:vAlign w:val="top"/>
          </w:tcPr>
          <w:p w14:paraId="798A9D27">
            <w:pPr>
              <w:spacing w:before="127" w:line="233" w:lineRule="auto"/>
              <w:ind w:left="208"/>
              <w:rPr>
                <w:rFonts w:ascii="宋体" w:hAnsi="宋体" w:eastAsia="宋体" w:cs="宋体"/>
                <w:sz w:val="21"/>
                <w:szCs w:val="21"/>
              </w:rPr>
            </w:pPr>
            <w:r>
              <w:rPr>
                <w:rFonts w:ascii="宋体" w:hAnsi="宋体" w:eastAsia="宋体" w:cs="宋体"/>
                <w:spacing w:val="-4"/>
                <w:sz w:val="21"/>
                <w:szCs w:val="21"/>
              </w:rPr>
              <w:t>37</w:t>
            </w:r>
          </w:p>
        </w:tc>
        <w:tc>
          <w:tcPr>
            <w:tcW w:w="1414" w:type="dxa"/>
            <w:vAlign w:val="top"/>
          </w:tcPr>
          <w:p w14:paraId="0EE16160">
            <w:pPr>
              <w:spacing w:before="110" w:line="222" w:lineRule="auto"/>
              <w:ind w:left="99"/>
              <w:rPr>
                <w:rFonts w:ascii="宋体" w:hAnsi="宋体" w:eastAsia="宋体" w:cs="宋体"/>
                <w:sz w:val="21"/>
                <w:szCs w:val="21"/>
              </w:rPr>
            </w:pPr>
            <w:r>
              <w:rPr>
                <w:rFonts w:ascii="宋体" w:hAnsi="宋体" w:eastAsia="宋体" w:cs="宋体"/>
                <w:spacing w:val="3"/>
                <w:sz w:val="21"/>
                <w:szCs w:val="21"/>
              </w:rPr>
              <w:t>不匹配</w:t>
            </w:r>
          </w:p>
        </w:tc>
      </w:tr>
    </w:tbl>
    <w:p w14:paraId="7A19DF5E">
      <w:pPr>
        <w:spacing w:line="212" w:lineRule="exact"/>
        <w:rPr>
          <w:rFonts w:ascii="Arial"/>
          <w:sz w:val="18"/>
        </w:rPr>
      </w:pPr>
    </w:p>
    <w:p w14:paraId="486D936C">
      <w:pPr>
        <w:spacing w:line="212" w:lineRule="exact"/>
        <w:rPr>
          <w:rFonts w:ascii="Arial" w:hAnsi="Arial" w:eastAsia="Arial" w:cs="Arial"/>
          <w:sz w:val="18"/>
          <w:szCs w:val="18"/>
        </w:rPr>
        <w:sectPr>
          <w:footerReference r:id="rId418" w:type="default"/>
          <w:pgSz w:w="11910" w:h="17130"/>
          <w:pgMar w:top="1456" w:right="825" w:bottom="1583" w:left="1599" w:header="0" w:footer="1385" w:gutter="0"/>
          <w:cols w:space="720" w:num="1"/>
        </w:sectPr>
      </w:pPr>
    </w:p>
    <w:p w14:paraId="4C543C46">
      <w:pPr>
        <w:pStyle w:val="2"/>
        <w:spacing w:before="63" w:line="220" w:lineRule="auto"/>
        <w:ind w:left="8740"/>
        <w:rPr>
          <w:sz w:val="22"/>
          <w:szCs w:val="22"/>
        </w:rPr>
      </w:pPr>
      <w:r>
        <w:rPr>
          <w:spacing w:val="-20"/>
          <w:sz w:val="22"/>
          <w:szCs w:val="22"/>
        </w:rPr>
        <w:t>(</w:t>
      </w:r>
      <w:r>
        <w:rPr>
          <w:spacing w:val="-46"/>
          <w:sz w:val="22"/>
          <w:szCs w:val="22"/>
        </w:rPr>
        <w:t xml:space="preserve"> </w:t>
      </w:r>
      <w:r>
        <w:rPr>
          <w:spacing w:val="-20"/>
          <w:sz w:val="22"/>
          <w:szCs w:val="22"/>
        </w:rPr>
        <w:t>续</w:t>
      </w:r>
      <w:r>
        <w:rPr>
          <w:spacing w:val="-48"/>
          <w:sz w:val="22"/>
          <w:szCs w:val="22"/>
        </w:rPr>
        <w:t xml:space="preserve"> </w:t>
      </w:r>
      <w:r>
        <w:rPr>
          <w:spacing w:val="-20"/>
          <w:sz w:val="22"/>
          <w:szCs w:val="22"/>
        </w:rPr>
        <w:t>)</w:t>
      </w:r>
    </w:p>
    <w:p w14:paraId="77C43BC3">
      <w:pPr>
        <w:spacing w:line="153" w:lineRule="exact"/>
      </w:pPr>
    </w:p>
    <w:tbl>
      <w:tblPr>
        <w:tblStyle w:val="5"/>
        <w:tblW w:w="936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4"/>
        <w:gridCol w:w="1878"/>
        <w:gridCol w:w="629"/>
        <w:gridCol w:w="1888"/>
        <w:gridCol w:w="619"/>
        <w:gridCol w:w="1678"/>
        <w:gridCol w:w="619"/>
        <w:gridCol w:w="1434"/>
      </w:tblGrid>
      <w:tr w14:paraId="65F00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624" w:type="dxa"/>
            <w:vAlign w:val="top"/>
          </w:tcPr>
          <w:p w14:paraId="5C2487EB">
            <w:pPr>
              <w:spacing w:before="94" w:line="221" w:lineRule="auto"/>
              <w:ind w:left="95"/>
              <w:rPr>
                <w:rFonts w:ascii="宋体" w:hAnsi="宋体" w:eastAsia="宋体" w:cs="宋体"/>
                <w:sz w:val="21"/>
                <w:szCs w:val="21"/>
              </w:rPr>
            </w:pPr>
            <w:r>
              <w:rPr>
                <w:rFonts w:ascii="宋体" w:hAnsi="宋体" w:eastAsia="宋体" w:cs="宋体"/>
                <w:spacing w:val="6"/>
                <w:sz w:val="21"/>
                <w:szCs w:val="21"/>
              </w:rPr>
              <w:t>序号</w:t>
            </w:r>
          </w:p>
        </w:tc>
        <w:tc>
          <w:tcPr>
            <w:tcW w:w="1878" w:type="dxa"/>
            <w:vAlign w:val="top"/>
          </w:tcPr>
          <w:p w14:paraId="66B12DCF">
            <w:pPr>
              <w:spacing w:before="93" w:line="219" w:lineRule="auto"/>
              <w:ind w:left="511"/>
              <w:rPr>
                <w:rFonts w:ascii="宋体" w:hAnsi="宋体" w:eastAsia="宋体" w:cs="宋体"/>
                <w:sz w:val="21"/>
                <w:szCs w:val="21"/>
              </w:rPr>
            </w:pPr>
            <w:r>
              <w:rPr>
                <w:rFonts w:ascii="宋体" w:hAnsi="宋体" w:eastAsia="宋体" w:cs="宋体"/>
                <w:spacing w:val="-3"/>
                <w:sz w:val="21"/>
                <w:szCs w:val="21"/>
              </w:rPr>
              <w:t>故障模式</w:t>
            </w:r>
          </w:p>
        </w:tc>
        <w:tc>
          <w:tcPr>
            <w:tcW w:w="629" w:type="dxa"/>
            <w:vAlign w:val="top"/>
          </w:tcPr>
          <w:p w14:paraId="799017AA">
            <w:pPr>
              <w:spacing w:before="94" w:line="221" w:lineRule="auto"/>
              <w:ind w:left="92"/>
              <w:rPr>
                <w:rFonts w:ascii="宋体" w:hAnsi="宋体" w:eastAsia="宋体" w:cs="宋体"/>
                <w:sz w:val="21"/>
                <w:szCs w:val="21"/>
              </w:rPr>
            </w:pPr>
            <w:r>
              <w:rPr>
                <w:rFonts w:ascii="宋体" w:hAnsi="宋体" w:eastAsia="宋体" w:cs="宋体"/>
                <w:spacing w:val="6"/>
                <w:sz w:val="21"/>
                <w:szCs w:val="21"/>
              </w:rPr>
              <w:t>序号</w:t>
            </w:r>
          </w:p>
        </w:tc>
        <w:tc>
          <w:tcPr>
            <w:tcW w:w="1888" w:type="dxa"/>
            <w:vAlign w:val="top"/>
          </w:tcPr>
          <w:p w14:paraId="3F924C24">
            <w:pPr>
              <w:spacing w:before="93" w:line="219" w:lineRule="auto"/>
              <w:ind w:left="523"/>
              <w:rPr>
                <w:rFonts w:ascii="宋体" w:hAnsi="宋体" w:eastAsia="宋体" w:cs="宋体"/>
                <w:sz w:val="21"/>
                <w:szCs w:val="21"/>
              </w:rPr>
            </w:pPr>
            <w:r>
              <w:rPr>
                <w:rFonts w:ascii="宋体" w:hAnsi="宋体" w:eastAsia="宋体" w:cs="宋体"/>
                <w:spacing w:val="-3"/>
                <w:sz w:val="21"/>
                <w:szCs w:val="21"/>
              </w:rPr>
              <w:t>故障模式</w:t>
            </w:r>
          </w:p>
        </w:tc>
        <w:tc>
          <w:tcPr>
            <w:tcW w:w="619" w:type="dxa"/>
            <w:vAlign w:val="top"/>
          </w:tcPr>
          <w:p w14:paraId="445663BA">
            <w:pPr>
              <w:spacing w:before="94" w:line="221" w:lineRule="auto"/>
              <w:ind w:left="95"/>
              <w:rPr>
                <w:rFonts w:ascii="宋体" w:hAnsi="宋体" w:eastAsia="宋体" w:cs="宋体"/>
                <w:sz w:val="21"/>
                <w:szCs w:val="21"/>
              </w:rPr>
            </w:pPr>
            <w:r>
              <w:rPr>
                <w:rFonts w:ascii="宋体" w:hAnsi="宋体" w:eastAsia="宋体" w:cs="宋体"/>
                <w:spacing w:val="6"/>
                <w:sz w:val="21"/>
                <w:szCs w:val="21"/>
              </w:rPr>
              <w:t>序号</w:t>
            </w:r>
          </w:p>
        </w:tc>
        <w:tc>
          <w:tcPr>
            <w:tcW w:w="1678" w:type="dxa"/>
            <w:vAlign w:val="top"/>
          </w:tcPr>
          <w:p w14:paraId="5C478B8D">
            <w:pPr>
              <w:spacing w:before="93" w:line="219" w:lineRule="auto"/>
              <w:ind w:left="426"/>
              <w:rPr>
                <w:rFonts w:ascii="宋体" w:hAnsi="宋体" w:eastAsia="宋体" w:cs="宋体"/>
                <w:sz w:val="21"/>
                <w:szCs w:val="21"/>
              </w:rPr>
            </w:pPr>
            <w:r>
              <w:rPr>
                <w:rFonts w:ascii="宋体" w:hAnsi="宋体" w:eastAsia="宋体" w:cs="宋体"/>
                <w:spacing w:val="-3"/>
                <w:sz w:val="21"/>
                <w:szCs w:val="21"/>
              </w:rPr>
              <w:t>故障模式</w:t>
            </w:r>
          </w:p>
        </w:tc>
        <w:tc>
          <w:tcPr>
            <w:tcW w:w="619" w:type="dxa"/>
            <w:vAlign w:val="top"/>
          </w:tcPr>
          <w:p w14:paraId="52D46698">
            <w:pPr>
              <w:spacing w:before="94" w:line="221" w:lineRule="auto"/>
              <w:ind w:left="98"/>
              <w:rPr>
                <w:rFonts w:ascii="宋体" w:hAnsi="宋体" w:eastAsia="宋体" w:cs="宋体"/>
                <w:sz w:val="21"/>
                <w:szCs w:val="21"/>
              </w:rPr>
            </w:pPr>
            <w:r>
              <w:rPr>
                <w:rFonts w:ascii="宋体" w:hAnsi="宋体" w:eastAsia="宋体" w:cs="宋体"/>
                <w:spacing w:val="6"/>
                <w:sz w:val="21"/>
                <w:szCs w:val="21"/>
              </w:rPr>
              <w:t>序号</w:t>
            </w:r>
          </w:p>
        </w:tc>
        <w:tc>
          <w:tcPr>
            <w:tcW w:w="1434" w:type="dxa"/>
            <w:vAlign w:val="top"/>
          </w:tcPr>
          <w:p w14:paraId="7E2F199D">
            <w:pPr>
              <w:spacing w:before="93" w:line="219" w:lineRule="auto"/>
              <w:ind w:left="299"/>
              <w:rPr>
                <w:rFonts w:ascii="宋体" w:hAnsi="宋体" w:eastAsia="宋体" w:cs="宋体"/>
                <w:sz w:val="21"/>
                <w:szCs w:val="21"/>
              </w:rPr>
            </w:pPr>
            <w:r>
              <w:rPr>
                <w:rFonts w:ascii="宋体" w:hAnsi="宋体" w:eastAsia="宋体" w:cs="宋体"/>
                <w:spacing w:val="-3"/>
                <w:sz w:val="21"/>
                <w:szCs w:val="21"/>
              </w:rPr>
              <w:t>故障模式</w:t>
            </w:r>
          </w:p>
        </w:tc>
      </w:tr>
      <w:tr w14:paraId="539AC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624" w:type="dxa"/>
            <w:vAlign w:val="top"/>
          </w:tcPr>
          <w:p w14:paraId="44A72E80">
            <w:pPr>
              <w:spacing w:before="120" w:line="236" w:lineRule="auto"/>
              <w:ind w:left="244"/>
              <w:rPr>
                <w:rFonts w:ascii="宋体" w:hAnsi="宋体" w:eastAsia="宋体" w:cs="宋体"/>
                <w:sz w:val="21"/>
                <w:szCs w:val="21"/>
              </w:rPr>
            </w:pPr>
            <w:r>
              <w:rPr>
                <w:rFonts w:ascii="宋体" w:hAnsi="宋体" w:eastAsia="宋体" w:cs="宋体"/>
                <w:sz w:val="21"/>
                <w:szCs w:val="21"/>
              </w:rPr>
              <w:t>5</w:t>
            </w:r>
          </w:p>
        </w:tc>
        <w:tc>
          <w:tcPr>
            <w:tcW w:w="1878" w:type="dxa"/>
            <w:vAlign w:val="top"/>
          </w:tcPr>
          <w:p w14:paraId="4D2554C6">
            <w:pPr>
              <w:spacing w:before="100" w:line="220" w:lineRule="auto"/>
              <w:ind w:left="90"/>
              <w:rPr>
                <w:rFonts w:ascii="宋体" w:hAnsi="宋体" w:eastAsia="宋体" w:cs="宋体"/>
                <w:sz w:val="21"/>
                <w:szCs w:val="21"/>
              </w:rPr>
            </w:pPr>
            <w:r>
              <w:rPr>
                <w:rFonts w:ascii="宋体" w:hAnsi="宋体" w:eastAsia="宋体" w:cs="宋体"/>
                <w:spacing w:val="3"/>
                <w:sz w:val="21"/>
                <w:szCs w:val="21"/>
              </w:rPr>
              <w:t>打不开</w:t>
            </w:r>
          </w:p>
        </w:tc>
        <w:tc>
          <w:tcPr>
            <w:tcW w:w="629" w:type="dxa"/>
            <w:vAlign w:val="top"/>
          </w:tcPr>
          <w:p w14:paraId="3874DE3B">
            <w:pPr>
              <w:spacing w:before="120" w:line="236" w:lineRule="auto"/>
              <w:ind w:left="203"/>
              <w:rPr>
                <w:rFonts w:ascii="宋体" w:hAnsi="宋体" w:eastAsia="宋体" w:cs="宋体"/>
                <w:sz w:val="21"/>
                <w:szCs w:val="21"/>
              </w:rPr>
            </w:pPr>
            <w:r>
              <w:rPr>
                <w:rFonts w:ascii="宋体" w:hAnsi="宋体" w:eastAsia="宋体" w:cs="宋体"/>
                <w:spacing w:val="-6"/>
                <w:sz w:val="21"/>
                <w:szCs w:val="21"/>
              </w:rPr>
              <w:t>16</w:t>
            </w:r>
          </w:p>
        </w:tc>
        <w:tc>
          <w:tcPr>
            <w:tcW w:w="1888" w:type="dxa"/>
            <w:vAlign w:val="top"/>
          </w:tcPr>
          <w:p w14:paraId="00720F5A">
            <w:pPr>
              <w:spacing w:before="100" w:line="221" w:lineRule="auto"/>
              <w:ind w:left="93"/>
              <w:rPr>
                <w:rFonts w:ascii="宋体" w:hAnsi="宋体" w:eastAsia="宋体" w:cs="宋体"/>
                <w:sz w:val="21"/>
                <w:szCs w:val="21"/>
              </w:rPr>
            </w:pPr>
            <w:r>
              <w:rPr>
                <w:rFonts w:ascii="宋体" w:hAnsi="宋体" w:eastAsia="宋体" w:cs="宋体"/>
                <w:spacing w:val="-2"/>
                <w:sz w:val="21"/>
                <w:szCs w:val="21"/>
              </w:rPr>
              <w:t>错误指示</w:t>
            </w:r>
          </w:p>
        </w:tc>
        <w:tc>
          <w:tcPr>
            <w:tcW w:w="619" w:type="dxa"/>
            <w:vAlign w:val="top"/>
          </w:tcPr>
          <w:p w14:paraId="63D2421F">
            <w:pPr>
              <w:spacing w:before="120" w:line="236" w:lineRule="auto"/>
              <w:ind w:left="196"/>
              <w:rPr>
                <w:rFonts w:ascii="宋体" w:hAnsi="宋体" w:eastAsia="宋体" w:cs="宋体"/>
                <w:sz w:val="21"/>
                <w:szCs w:val="21"/>
              </w:rPr>
            </w:pPr>
            <w:r>
              <w:rPr>
                <w:rFonts w:ascii="宋体" w:hAnsi="宋体" w:eastAsia="宋体" w:cs="宋体"/>
                <w:spacing w:val="-3"/>
                <w:sz w:val="21"/>
                <w:szCs w:val="21"/>
              </w:rPr>
              <w:t>27</w:t>
            </w:r>
          </w:p>
        </w:tc>
        <w:tc>
          <w:tcPr>
            <w:tcW w:w="1678" w:type="dxa"/>
            <w:vAlign w:val="top"/>
          </w:tcPr>
          <w:p w14:paraId="56B5292E">
            <w:pPr>
              <w:spacing w:before="99" w:line="219" w:lineRule="auto"/>
              <w:ind w:left="107"/>
              <w:rPr>
                <w:rFonts w:ascii="宋体" w:hAnsi="宋体" w:eastAsia="宋体" w:cs="宋体"/>
                <w:sz w:val="21"/>
                <w:szCs w:val="21"/>
              </w:rPr>
            </w:pPr>
            <w:r>
              <w:rPr>
                <w:rFonts w:ascii="宋体" w:hAnsi="宋体" w:eastAsia="宋体" w:cs="宋体"/>
                <w:spacing w:val="4"/>
                <w:sz w:val="21"/>
                <w:szCs w:val="21"/>
              </w:rPr>
              <w:t>输出过小</w:t>
            </w:r>
          </w:p>
        </w:tc>
        <w:tc>
          <w:tcPr>
            <w:tcW w:w="619" w:type="dxa"/>
            <w:vAlign w:val="top"/>
          </w:tcPr>
          <w:p w14:paraId="2C5B6C65">
            <w:pPr>
              <w:spacing w:before="120" w:line="236" w:lineRule="auto"/>
              <w:ind w:left="198"/>
              <w:rPr>
                <w:rFonts w:ascii="宋体" w:hAnsi="宋体" w:eastAsia="宋体" w:cs="宋体"/>
                <w:sz w:val="21"/>
                <w:szCs w:val="21"/>
              </w:rPr>
            </w:pPr>
            <w:r>
              <w:rPr>
                <w:rFonts w:ascii="宋体" w:hAnsi="宋体" w:eastAsia="宋体" w:cs="宋体"/>
                <w:spacing w:val="-4"/>
                <w:sz w:val="21"/>
                <w:szCs w:val="21"/>
              </w:rPr>
              <w:t>38</w:t>
            </w:r>
          </w:p>
        </w:tc>
        <w:tc>
          <w:tcPr>
            <w:tcW w:w="1434" w:type="dxa"/>
            <w:vAlign w:val="top"/>
          </w:tcPr>
          <w:p w14:paraId="5FC0AB9F">
            <w:pPr>
              <w:spacing w:before="100" w:line="220" w:lineRule="auto"/>
              <w:ind w:left="119"/>
              <w:rPr>
                <w:rFonts w:ascii="宋体" w:hAnsi="宋体" w:eastAsia="宋体" w:cs="宋体"/>
                <w:sz w:val="21"/>
                <w:szCs w:val="21"/>
              </w:rPr>
            </w:pPr>
            <w:r>
              <w:rPr>
                <w:rFonts w:ascii="宋体" w:hAnsi="宋体" w:eastAsia="宋体" w:cs="宋体"/>
                <w:spacing w:val="7"/>
                <w:sz w:val="21"/>
                <w:szCs w:val="21"/>
              </w:rPr>
              <w:t>晃动</w:t>
            </w:r>
          </w:p>
        </w:tc>
      </w:tr>
      <w:tr w14:paraId="1ABDB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624" w:type="dxa"/>
            <w:vAlign w:val="top"/>
          </w:tcPr>
          <w:p w14:paraId="0E401126">
            <w:pPr>
              <w:spacing w:before="121"/>
              <w:ind w:left="244"/>
              <w:rPr>
                <w:rFonts w:ascii="宋体" w:hAnsi="宋体" w:eastAsia="宋体" w:cs="宋体"/>
                <w:sz w:val="21"/>
                <w:szCs w:val="21"/>
              </w:rPr>
            </w:pPr>
            <w:r>
              <w:rPr>
                <w:rFonts w:ascii="宋体" w:hAnsi="宋体" w:eastAsia="宋体" w:cs="宋体"/>
                <w:sz w:val="21"/>
                <w:szCs w:val="21"/>
              </w:rPr>
              <w:t>6</w:t>
            </w:r>
          </w:p>
        </w:tc>
        <w:tc>
          <w:tcPr>
            <w:tcW w:w="1878" w:type="dxa"/>
            <w:vAlign w:val="top"/>
          </w:tcPr>
          <w:p w14:paraId="53EDFE73">
            <w:pPr>
              <w:spacing w:before="100" w:line="219" w:lineRule="auto"/>
              <w:ind w:left="90"/>
              <w:rPr>
                <w:rFonts w:ascii="宋体" w:hAnsi="宋体" w:eastAsia="宋体" w:cs="宋体"/>
                <w:sz w:val="21"/>
                <w:szCs w:val="21"/>
              </w:rPr>
            </w:pPr>
            <w:r>
              <w:rPr>
                <w:rFonts w:ascii="宋体" w:hAnsi="宋体" w:eastAsia="宋体" w:cs="宋体"/>
                <w:spacing w:val="3"/>
                <w:sz w:val="21"/>
                <w:szCs w:val="21"/>
              </w:rPr>
              <w:t>并不上</w:t>
            </w:r>
          </w:p>
        </w:tc>
        <w:tc>
          <w:tcPr>
            <w:tcW w:w="629" w:type="dxa"/>
            <w:vAlign w:val="top"/>
          </w:tcPr>
          <w:p w14:paraId="4B8E77B2">
            <w:pPr>
              <w:spacing w:before="121"/>
              <w:ind w:left="203"/>
              <w:rPr>
                <w:rFonts w:ascii="宋体" w:hAnsi="宋体" w:eastAsia="宋体" w:cs="宋体"/>
                <w:sz w:val="21"/>
                <w:szCs w:val="21"/>
              </w:rPr>
            </w:pPr>
            <w:r>
              <w:rPr>
                <w:rFonts w:ascii="宋体" w:hAnsi="宋体" w:eastAsia="宋体" w:cs="宋体"/>
                <w:spacing w:val="-6"/>
                <w:sz w:val="21"/>
                <w:szCs w:val="21"/>
              </w:rPr>
              <w:t>17</w:t>
            </w:r>
          </w:p>
        </w:tc>
        <w:tc>
          <w:tcPr>
            <w:tcW w:w="1888" w:type="dxa"/>
            <w:vAlign w:val="top"/>
          </w:tcPr>
          <w:p w14:paraId="4C96D002">
            <w:pPr>
              <w:spacing w:before="101" w:line="220" w:lineRule="auto"/>
              <w:ind w:left="93"/>
              <w:rPr>
                <w:rFonts w:ascii="宋体" w:hAnsi="宋体" w:eastAsia="宋体" w:cs="宋体"/>
                <w:sz w:val="21"/>
                <w:szCs w:val="21"/>
              </w:rPr>
            </w:pPr>
            <w:r>
              <w:rPr>
                <w:rFonts w:ascii="宋体" w:hAnsi="宋体" w:eastAsia="宋体" w:cs="宋体"/>
                <w:spacing w:val="-2"/>
                <w:sz w:val="21"/>
                <w:szCs w:val="21"/>
              </w:rPr>
              <w:t>流动不畅</w:t>
            </w:r>
          </w:p>
        </w:tc>
        <w:tc>
          <w:tcPr>
            <w:tcW w:w="619" w:type="dxa"/>
            <w:vAlign w:val="top"/>
          </w:tcPr>
          <w:p w14:paraId="0978CE03">
            <w:pPr>
              <w:spacing w:before="121"/>
              <w:ind w:left="196"/>
              <w:rPr>
                <w:rFonts w:ascii="宋体" w:hAnsi="宋体" w:eastAsia="宋体" w:cs="宋体"/>
                <w:sz w:val="21"/>
                <w:szCs w:val="21"/>
              </w:rPr>
            </w:pPr>
            <w:r>
              <w:rPr>
                <w:rFonts w:ascii="宋体" w:hAnsi="宋体" w:eastAsia="宋体" w:cs="宋体"/>
                <w:spacing w:val="-3"/>
                <w:sz w:val="21"/>
                <w:szCs w:val="21"/>
              </w:rPr>
              <w:t>28</w:t>
            </w:r>
          </w:p>
        </w:tc>
        <w:tc>
          <w:tcPr>
            <w:tcW w:w="1678" w:type="dxa"/>
            <w:vAlign w:val="top"/>
          </w:tcPr>
          <w:p w14:paraId="56BA86C1">
            <w:pPr>
              <w:spacing w:before="100" w:line="219" w:lineRule="auto"/>
              <w:ind w:left="107"/>
              <w:rPr>
                <w:rFonts w:ascii="宋体" w:hAnsi="宋体" w:eastAsia="宋体" w:cs="宋体"/>
                <w:sz w:val="21"/>
                <w:szCs w:val="21"/>
              </w:rPr>
            </w:pPr>
            <w:r>
              <w:rPr>
                <w:rFonts w:ascii="宋体" w:hAnsi="宋体" w:eastAsia="宋体" w:cs="宋体"/>
                <w:spacing w:val="-3"/>
                <w:sz w:val="21"/>
                <w:szCs w:val="21"/>
              </w:rPr>
              <w:t>无输入</w:t>
            </w:r>
          </w:p>
        </w:tc>
        <w:tc>
          <w:tcPr>
            <w:tcW w:w="619" w:type="dxa"/>
            <w:vAlign w:val="top"/>
          </w:tcPr>
          <w:p w14:paraId="225346FC">
            <w:pPr>
              <w:spacing w:before="121"/>
              <w:ind w:left="198"/>
              <w:rPr>
                <w:rFonts w:ascii="宋体" w:hAnsi="宋体" w:eastAsia="宋体" w:cs="宋体"/>
                <w:sz w:val="21"/>
                <w:szCs w:val="21"/>
              </w:rPr>
            </w:pPr>
            <w:r>
              <w:rPr>
                <w:rFonts w:ascii="宋体" w:hAnsi="宋体" w:eastAsia="宋体" w:cs="宋体"/>
                <w:spacing w:val="-4"/>
                <w:sz w:val="21"/>
                <w:szCs w:val="21"/>
              </w:rPr>
              <w:t>39</w:t>
            </w:r>
          </w:p>
        </w:tc>
        <w:tc>
          <w:tcPr>
            <w:tcW w:w="1434" w:type="dxa"/>
            <w:vAlign w:val="top"/>
          </w:tcPr>
          <w:p w14:paraId="6A31ACAC">
            <w:pPr>
              <w:spacing w:before="100" w:line="219" w:lineRule="auto"/>
              <w:ind w:left="119"/>
              <w:rPr>
                <w:rFonts w:ascii="宋体" w:hAnsi="宋体" w:eastAsia="宋体" w:cs="宋体"/>
                <w:sz w:val="21"/>
                <w:szCs w:val="21"/>
              </w:rPr>
            </w:pPr>
            <w:r>
              <w:rPr>
                <w:rFonts w:ascii="宋体" w:hAnsi="宋体" w:eastAsia="宋体" w:cs="宋体"/>
                <w:spacing w:val="7"/>
                <w:sz w:val="21"/>
                <w:szCs w:val="21"/>
              </w:rPr>
              <w:t>松动</w:t>
            </w:r>
          </w:p>
        </w:tc>
      </w:tr>
      <w:tr w14:paraId="0D93E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624" w:type="dxa"/>
            <w:vAlign w:val="top"/>
          </w:tcPr>
          <w:p w14:paraId="781D6523">
            <w:pPr>
              <w:spacing w:before="122" w:line="233" w:lineRule="auto"/>
              <w:ind w:left="244"/>
              <w:rPr>
                <w:rFonts w:ascii="宋体" w:hAnsi="宋体" w:eastAsia="宋体" w:cs="宋体"/>
                <w:sz w:val="21"/>
                <w:szCs w:val="21"/>
              </w:rPr>
            </w:pPr>
            <w:r>
              <w:rPr>
                <w:rFonts w:ascii="宋体" w:hAnsi="宋体" w:eastAsia="宋体" w:cs="宋体"/>
                <w:sz w:val="21"/>
                <w:szCs w:val="21"/>
              </w:rPr>
              <w:t>7</w:t>
            </w:r>
          </w:p>
        </w:tc>
        <w:tc>
          <w:tcPr>
            <w:tcW w:w="1878" w:type="dxa"/>
            <w:vAlign w:val="top"/>
          </w:tcPr>
          <w:p w14:paraId="405F950A">
            <w:pPr>
              <w:spacing w:before="102" w:line="221" w:lineRule="auto"/>
              <w:ind w:left="90"/>
              <w:rPr>
                <w:rFonts w:ascii="宋体" w:hAnsi="宋体" w:eastAsia="宋体" w:cs="宋体"/>
                <w:sz w:val="21"/>
                <w:szCs w:val="21"/>
              </w:rPr>
            </w:pPr>
            <w:r>
              <w:rPr>
                <w:rFonts w:ascii="宋体" w:hAnsi="宋体" w:eastAsia="宋体" w:cs="宋体"/>
                <w:spacing w:val="-3"/>
                <w:sz w:val="21"/>
                <w:szCs w:val="21"/>
              </w:rPr>
              <w:t>误开</w:t>
            </w:r>
          </w:p>
        </w:tc>
        <w:tc>
          <w:tcPr>
            <w:tcW w:w="629" w:type="dxa"/>
            <w:vAlign w:val="top"/>
          </w:tcPr>
          <w:p w14:paraId="42162500">
            <w:pPr>
              <w:spacing w:before="122" w:line="233" w:lineRule="auto"/>
              <w:ind w:left="203"/>
              <w:rPr>
                <w:rFonts w:ascii="宋体" w:hAnsi="宋体" w:eastAsia="宋体" w:cs="宋体"/>
                <w:sz w:val="21"/>
                <w:szCs w:val="21"/>
              </w:rPr>
            </w:pPr>
            <w:r>
              <w:rPr>
                <w:rFonts w:ascii="宋体" w:hAnsi="宋体" w:eastAsia="宋体" w:cs="宋体"/>
                <w:spacing w:val="-6"/>
                <w:sz w:val="21"/>
                <w:szCs w:val="21"/>
              </w:rPr>
              <w:t>18</w:t>
            </w:r>
          </w:p>
        </w:tc>
        <w:tc>
          <w:tcPr>
            <w:tcW w:w="1888" w:type="dxa"/>
            <w:vAlign w:val="top"/>
          </w:tcPr>
          <w:p w14:paraId="1F4584B8">
            <w:pPr>
              <w:spacing w:before="102" w:line="220" w:lineRule="auto"/>
              <w:ind w:left="93"/>
              <w:rPr>
                <w:rFonts w:ascii="宋体" w:hAnsi="宋体" w:eastAsia="宋体" w:cs="宋体"/>
                <w:sz w:val="21"/>
                <w:szCs w:val="21"/>
              </w:rPr>
            </w:pPr>
            <w:r>
              <w:rPr>
                <w:rFonts w:ascii="宋体" w:hAnsi="宋体" w:eastAsia="宋体" w:cs="宋体"/>
                <w:spacing w:val="3"/>
                <w:sz w:val="21"/>
                <w:szCs w:val="21"/>
              </w:rPr>
              <w:t>错误动作</w:t>
            </w:r>
          </w:p>
        </w:tc>
        <w:tc>
          <w:tcPr>
            <w:tcW w:w="619" w:type="dxa"/>
            <w:vAlign w:val="top"/>
          </w:tcPr>
          <w:p w14:paraId="6C3EACA7">
            <w:pPr>
              <w:spacing w:before="122" w:line="233" w:lineRule="auto"/>
              <w:ind w:left="196"/>
              <w:rPr>
                <w:rFonts w:ascii="宋体" w:hAnsi="宋体" w:eastAsia="宋体" w:cs="宋体"/>
                <w:sz w:val="21"/>
                <w:szCs w:val="21"/>
              </w:rPr>
            </w:pPr>
            <w:r>
              <w:rPr>
                <w:rFonts w:ascii="宋体" w:hAnsi="宋体" w:eastAsia="宋体" w:cs="宋体"/>
                <w:spacing w:val="-3"/>
                <w:sz w:val="21"/>
                <w:szCs w:val="21"/>
              </w:rPr>
              <w:t>29</w:t>
            </w:r>
          </w:p>
        </w:tc>
        <w:tc>
          <w:tcPr>
            <w:tcW w:w="1678" w:type="dxa"/>
            <w:vAlign w:val="top"/>
          </w:tcPr>
          <w:p w14:paraId="7B93105C">
            <w:pPr>
              <w:spacing w:before="101" w:line="219" w:lineRule="auto"/>
              <w:ind w:left="107"/>
              <w:rPr>
                <w:rFonts w:ascii="宋体" w:hAnsi="宋体" w:eastAsia="宋体" w:cs="宋体"/>
                <w:sz w:val="21"/>
                <w:szCs w:val="21"/>
              </w:rPr>
            </w:pPr>
            <w:r>
              <w:rPr>
                <w:rFonts w:ascii="宋体" w:hAnsi="宋体" w:eastAsia="宋体" w:cs="宋体"/>
                <w:spacing w:val="8"/>
                <w:sz w:val="21"/>
                <w:szCs w:val="21"/>
              </w:rPr>
              <w:t>无输出</w:t>
            </w:r>
          </w:p>
        </w:tc>
        <w:tc>
          <w:tcPr>
            <w:tcW w:w="619" w:type="dxa"/>
            <w:vAlign w:val="top"/>
          </w:tcPr>
          <w:p w14:paraId="20F9CFFA">
            <w:pPr>
              <w:spacing w:before="122" w:line="233" w:lineRule="auto"/>
              <w:ind w:left="198"/>
              <w:rPr>
                <w:rFonts w:ascii="宋体" w:hAnsi="宋体" w:eastAsia="宋体" w:cs="宋体"/>
                <w:sz w:val="21"/>
                <w:szCs w:val="21"/>
              </w:rPr>
            </w:pPr>
            <w:r>
              <w:rPr>
                <w:rFonts w:ascii="宋体" w:hAnsi="宋体" w:eastAsia="宋体" w:cs="宋体"/>
                <w:spacing w:val="-2"/>
                <w:sz w:val="21"/>
                <w:szCs w:val="21"/>
              </w:rPr>
              <w:t>40</w:t>
            </w:r>
          </w:p>
        </w:tc>
        <w:tc>
          <w:tcPr>
            <w:tcW w:w="1434" w:type="dxa"/>
            <w:vAlign w:val="top"/>
          </w:tcPr>
          <w:p w14:paraId="3A62DE3E">
            <w:pPr>
              <w:spacing w:before="102" w:line="221" w:lineRule="auto"/>
              <w:ind w:left="119"/>
              <w:rPr>
                <w:rFonts w:ascii="宋体" w:hAnsi="宋体" w:eastAsia="宋体" w:cs="宋体"/>
                <w:sz w:val="21"/>
                <w:szCs w:val="21"/>
              </w:rPr>
            </w:pPr>
            <w:r>
              <w:rPr>
                <w:rFonts w:ascii="宋体" w:hAnsi="宋体" w:eastAsia="宋体" w:cs="宋体"/>
                <w:spacing w:val="-3"/>
                <w:sz w:val="21"/>
                <w:szCs w:val="21"/>
              </w:rPr>
              <w:t>脱落</w:t>
            </w:r>
          </w:p>
        </w:tc>
      </w:tr>
      <w:tr w14:paraId="48615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624" w:type="dxa"/>
            <w:vAlign w:val="top"/>
          </w:tcPr>
          <w:p w14:paraId="0715756D">
            <w:pPr>
              <w:spacing w:before="125" w:line="231" w:lineRule="auto"/>
              <w:ind w:left="244"/>
              <w:rPr>
                <w:rFonts w:ascii="宋体" w:hAnsi="宋体" w:eastAsia="宋体" w:cs="宋体"/>
                <w:sz w:val="21"/>
                <w:szCs w:val="21"/>
              </w:rPr>
            </w:pPr>
            <w:r>
              <w:rPr>
                <w:rFonts w:ascii="宋体" w:hAnsi="宋体" w:eastAsia="宋体" w:cs="宋体"/>
                <w:sz w:val="21"/>
                <w:szCs w:val="21"/>
              </w:rPr>
              <w:t>8</w:t>
            </w:r>
          </w:p>
        </w:tc>
        <w:tc>
          <w:tcPr>
            <w:tcW w:w="1878" w:type="dxa"/>
            <w:vAlign w:val="top"/>
          </w:tcPr>
          <w:p w14:paraId="3A08D81F">
            <w:pPr>
              <w:spacing w:before="104" w:line="220" w:lineRule="auto"/>
              <w:ind w:left="90"/>
              <w:rPr>
                <w:rFonts w:ascii="宋体" w:hAnsi="宋体" w:eastAsia="宋体" w:cs="宋体"/>
                <w:sz w:val="21"/>
                <w:szCs w:val="21"/>
              </w:rPr>
            </w:pPr>
            <w:r>
              <w:rPr>
                <w:rFonts w:ascii="宋体" w:hAnsi="宋体" w:eastAsia="宋体" w:cs="宋体"/>
                <w:spacing w:val="4"/>
                <w:sz w:val="21"/>
                <w:szCs w:val="21"/>
              </w:rPr>
              <w:t>误关</w:t>
            </w:r>
          </w:p>
        </w:tc>
        <w:tc>
          <w:tcPr>
            <w:tcW w:w="629" w:type="dxa"/>
            <w:vAlign w:val="top"/>
          </w:tcPr>
          <w:p w14:paraId="28B3489C">
            <w:pPr>
              <w:spacing w:before="125" w:line="231" w:lineRule="auto"/>
              <w:ind w:left="203"/>
              <w:rPr>
                <w:rFonts w:ascii="宋体" w:hAnsi="宋体" w:eastAsia="宋体" w:cs="宋体"/>
                <w:sz w:val="21"/>
                <w:szCs w:val="21"/>
              </w:rPr>
            </w:pPr>
            <w:r>
              <w:rPr>
                <w:rFonts w:ascii="宋体" w:hAnsi="宋体" w:eastAsia="宋体" w:cs="宋体"/>
                <w:spacing w:val="-6"/>
                <w:sz w:val="21"/>
                <w:szCs w:val="21"/>
              </w:rPr>
              <w:t>19</w:t>
            </w:r>
          </w:p>
        </w:tc>
        <w:tc>
          <w:tcPr>
            <w:tcW w:w="1888" w:type="dxa"/>
            <w:vAlign w:val="top"/>
          </w:tcPr>
          <w:p w14:paraId="3308FF3A">
            <w:pPr>
              <w:spacing w:before="102" w:line="219" w:lineRule="auto"/>
              <w:ind w:left="93"/>
              <w:rPr>
                <w:rFonts w:ascii="宋体" w:hAnsi="宋体" w:eastAsia="宋体" w:cs="宋体"/>
                <w:sz w:val="21"/>
                <w:szCs w:val="21"/>
              </w:rPr>
            </w:pPr>
            <w:r>
              <w:rPr>
                <w:rFonts w:ascii="宋体" w:hAnsi="宋体" w:eastAsia="宋体" w:cs="宋体"/>
                <w:spacing w:val="-3"/>
                <w:sz w:val="21"/>
                <w:szCs w:val="21"/>
              </w:rPr>
              <w:t>不能关机</w:t>
            </w:r>
          </w:p>
        </w:tc>
        <w:tc>
          <w:tcPr>
            <w:tcW w:w="619" w:type="dxa"/>
            <w:vAlign w:val="top"/>
          </w:tcPr>
          <w:p w14:paraId="2CE6DF60">
            <w:pPr>
              <w:spacing w:before="125" w:line="231" w:lineRule="auto"/>
              <w:ind w:left="196"/>
              <w:rPr>
                <w:rFonts w:ascii="宋体" w:hAnsi="宋体" w:eastAsia="宋体" w:cs="宋体"/>
                <w:sz w:val="21"/>
                <w:szCs w:val="21"/>
              </w:rPr>
            </w:pPr>
            <w:r>
              <w:rPr>
                <w:rFonts w:ascii="宋体" w:hAnsi="宋体" w:eastAsia="宋体" w:cs="宋体"/>
                <w:spacing w:val="-4"/>
                <w:sz w:val="21"/>
                <w:szCs w:val="21"/>
              </w:rPr>
              <w:t>30</w:t>
            </w:r>
          </w:p>
        </w:tc>
        <w:tc>
          <w:tcPr>
            <w:tcW w:w="1678" w:type="dxa"/>
            <w:vAlign w:val="top"/>
          </w:tcPr>
          <w:p w14:paraId="55D49EB0">
            <w:pPr>
              <w:spacing w:before="103" w:line="219" w:lineRule="auto"/>
              <w:ind w:left="107"/>
              <w:rPr>
                <w:rFonts w:ascii="宋体" w:hAnsi="宋体" w:eastAsia="宋体" w:cs="宋体"/>
                <w:sz w:val="21"/>
                <w:szCs w:val="21"/>
              </w:rPr>
            </w:pPr>
            <w:r>
              <w:rPr>
                <w:rFonts w:ascii="宋体" w:hAnsi="宋体" w:eastAsia="宋体" w:cs="宋体"/>
                <w:spacing w:val="1"/>
                <w:sz w:val="21"/>
                <w:szCs w:val="21"/>
              </w:rPr>
              <w:t>(电的)短路</w:t>
            </w:r>
          </w:p>
        </w:tc>
        <w:tc>
          <w:tcPr>
            <w:tcW w:w="619" w:type="dxa"/>
            <w:vAlign w:val="top"/>
          </w:tcPr>
          <w:p w14:paraId="451E8C24">
            <w:pPr>
              <w:spacing w:before="125" w:line="231" w:lineRule="auto"/>
              <w:ind w:left="198"/>
              <w:rPr>
                <w:rFonts w:ascii="宋体" w:hAnsi="宋体" w:eastAsia="宋体" w:cs="宋体"/>
                <w:sz w:val="21"/>
                <w:szCs w:val="21"/>
              </w:rPr>
            </w:pPr>
            <w:r>
              <w:rPr>
                <w:rFonts w:ascii="宋体" w:hAnsi="宋体" w:eastAsia="宋体" w:cs="宋体"/>
                <w:spacing w:val="-2"/>
                <w:sz w:val="21"/>
                <w:szCs w:val="21"/>
              </w:rPr>
              <w:t>41</w:t>
            </w:r>
          </w:p>
        </w:tc>
        <w:tc>
          <w:tcPr>
            <w:tcW w:w="1434" w:type="dxa"/>
            <w:vAlign w:val="top"/>
          </w:tcPr>
          <w:p w14:paraId="16AD5B2A">
            <w:pPr>
              <w:spacing w:before="104" w:line="220" w:lineRule="auto"/>
              <w:ind w:left="119"/>
              <w:rPr>
                <w:rFonts w:ascii="宋体" w:hAnsi="宋体" w:eastAsia="宋体" w:cs="宋体"/>
                <w:sz w:val="21"/>
                <w:szCs w:val="21"/>
              </w:rPr>
            </w:pPr>
            <w:r>
              <w:rPr>
                <w:rFonts w:ascii="宋体" w:hAnsi="宋体" w:eastAsia="宋体" w:cs="宋体"/>
                <w:spacing w:val="2"/>
                <w:sz w:val="21"/>
                <w:szCs w:val="21"/>
              </w:rPr>
              <w:t>弯曲变形</w:t>
            </w:r>
          </w:p>
        </w:tc>
      </w:tr>
      <w:tr w14:paraId="6D570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624" w:type="dxa"/>
            <w:vAlign w:val="top"/>
          </w:tcPr>
          <w:p w14:paraId="7C90F20A">
            <w:pPr>
              <w:spacing w:before="127" w:line="239" w:lineRule="auto"/>
              <w:ind w:left="244"/>
              <w:rPr>
                <w:rFonts w:ascii="宋体" w:hAnsi="宋体" w:eastAsia="宋体" w:cs="宋体"/>
                <w:sz w:val="21"/>
                <w:szCs w:val="21"/>
              </w:rPr>
            </w:pPr>
            <w:r>
              <w:rPr>
                <w:rFonts w:ascii="宋体" w:hAnsi="宋体" w:eastAsia="宋体" w:cs="宋体"/>
                <w:sz w:val="21"/>
                <w:szCs w:val="21"/>
              </w:rPr>
              <w:t>9</w:t>
            </w:r>
          </w:p>
        </w:tc>
        <w:tc>
          <w:tcPr>
            <w:tcW w:w="1878" w:type="dxa"/>
            <w:vAlign w:val="top"/>
          </w:tcPr>
          <w:p w14:paraId="6882DD5E">
            <w:pPr>
              <w:spacing w:before="105" w:line="219" w:lineRule="auto"/>
              <w:ind w:left="90"/>
              <w:rPr>
                <w:rFonts w:ascii="宋体" w:hAnsi="宋体" w:eastAsia="宋体" w:cs="宋体"/>
                <w:sz w:val="21"/>
                <w:szCs w:val="21"/>
              </w:rPr>
            </w:pPr>
            <w:r>
              <w:rPr>
                <w:rFonts w:ascii="宋体" w:hAnsi="宋体" w:eastAsia="宋体" w:cs="宋体"/>
                <w:spacing w:val="2"/>
                <w:sz w:val="21"/>
                <w:szCs w:val="21"/>
              </w:rPr>
              <w:t>内部漏泄</w:t>
            </w:r>
          </w:p>
        </w:tc>
        <w:tc>
          <w:tcPr>
            <w:tcW w:w="629" w:type="dxa"/>
            <w:vAlign w:val="top"/>
          </w:tcPr>
          <w:p w14:paraId="7107155D">
            <w:pPr>
              <w:spacing w:before="127" w:line="239" w:lineRule="auto"/>
              <w:ind w:left="203"/>
              <w:rPr>
                <w:rFonts w:ascii="宋体" w:hAnsi="宋体" w:eastAsia="宋体" w:cs="宋体"/>
                <w:sz w:val="21"/>
                <w:szCs w:val="21"/>
              </w:rPr>
            </w:pPr>
            <w:r>
              <w:rPr>
                <w:rFonts w:ascii="宋体" w:hAnsi="宋体" w:eastAsia="宋体" w:cs="宋体"/>
                <w:spacing w:val="-3"/>
                <w:sz w:val="21"/>
                <w:szCs w:val="21"/>
              </w:rPr>
              <w:t>20</w:t>
            </w:r>
          </w:p>
        </w:tc>
        <w:tc>
          <w:tcPr>
            <w:tcW w:w="1888" w:type="dxa"/>
            <w:vAlign w:val="top"/>
          </w:tcPr>
          <w:p w14:paraId="20E3177D">
            <w:pPr>
              <w:spacing w:before="104" w:line="219" w:lineRule="auto"/>
              <w:ind w:left="93"/>
              <w:rPr>
                <w:rFonts w:ascii="宋体" w:hAnsi="宋体" w:eastAsia="宋体" w:cs="宋体"/>
                <w:sz w:val="21"/>
                <w:szCs w:val="21"/>
              </w:rPr>
            </w:pPr>
            <w:r>
              <w:rPr>
                <w:rFonts w:ascii="宋体" w:hAnsi="宋体" w:eastAsia="宋体" w:cs="宋体"/>
                <w:spacing w:val="-3"/>
                <w:sz w:val="21"/>
                <w:szCs w:val="21"/>
              </w:rPr>
              <w:t>不能开机</w:t>
            </w:r>
          </w:p>
        </w:tc>
        <w:tc>
          <w:tcPr>
            <w:tcW w:w="619" w:type="dxa"/>
            <w:vAlign w:val="top"/>
          </w:tcPr>
          <w:p w14:paraId="6630837D">
            <w:pPr>
              <w:spacing w:before="127" w:line="239" w:lineRule="auto"/>
              <w:ind w:left="196"/>
              <w:rPr>
                <w:rFonts w:ascii="宋体" w:hAnsi="宋体" w:eastAsia="宋体" w:cs="宋体"/>
                <w:sz w:val="21"/>
                <w:szCs w:val="21"/>
              </w:rPr>
            </w:pPr>
            <w:r>
              <w:rPr>
                <w:rFonts w:ascii="宋体" w:hAnsi="宋体" w:eastAsia="宋体" w:cs="宋体"/>
                <w:spacing w:val="-4"/>
                <w:sz w:val="21"/>
                <w:szCs w:val="21"/>
              </w:rPr>
              <w:t>31</w:t>
            </w:r>
          </w:p>
        </w:tc>
        <w:tc>
          <w:tcPr>
            <w:tcW w:w="1678" w:type="dxa"/>
            <w:vAlign w:val="top"/>
          </w:tcPr>
          <w:p w14:paraId="040308E0">
            <w:pPr>
              <w:spacing w:before="105" w:line="219" w:lineRule="auto"/>
              <w:ind w:left="107"/>
              <w:rPr>
                <w:rFonts w:ascii="宋体" w:hAnsi="宋体" w:eastAsia="宋体" w:cs="宋体"/>
                <w:sz w:val="21"/>
                <w:szCs w:val="21"/>
              </w:rPr>
            </w:pPr>
            <w:r>
              <w:rPr>
                <w:rFonts w:ascii="宋体" w:hAnsi="宋体" w:eastAsia="宋体" w:cs="宋体"/>
                <w:spacing w:val="1"/>
                <w:sz w:val="21"/>
                <w:szCs w:val="21"/>
              </w:rPr>
              <w:t>(电的)开路</w:t>
            </w:r>
          </w:p>
        </w:tc>
        <w:tc>
          <w:tcPr>
            <w:tcW w:w="619" w:type="dxa"/>
            <w:vAlign w:val="top"/>
          </w:tcPr>
          <w:p w14:paraId="26E6EA3E">
            <w:pPr>
              <w:spacing w:before="127" w:line="239" w:lineRule="auto"/>
              <w:ind w:left="198"/>
              <w:rPr>
                <w:rFonts w:ascii="宋体" w:hAnsi="宋体" w:eastAsia="宋体" w:cs="宋体"/>
                <w:sz w:val="21"/>
                <w:szCs w:val="21"/>
              </w:rPr>
            </w:pPr>
            <w:r>
              <w:rPr>
                <w:rFonts w:ascii="宋体" w:hAnsi="宋体" w:eastAsia="宋体" w:cs="宋体"/>
                <w:spacing w:val="-2"/>
                <w:sz w:val="21"/>
                <w:szCs w:val="21"/>
              </w:rPr>
              <w:t>42</w:t>
            </w:r>
          </w:p>
        </w:tc>
        <w:tc>
          <w:tcPr>
            <w:tcW w:w="1434" w:type="dxa"/>
            <w:vAlign w:val="top"/>
          </w:tcPr>
          <w:p w14:paraId="5E761E0B">
            <w:pPr>
              <w:spacing w:before="106" w:line="220" w:lineRule="auto"/>
              <w:ind w:left="119"/>
              <w:rPr>
                <w:rFonts w:ascii="宋体" w:hAnsi="宋体" w:eastAsia="宋体" w:cs="宋体"/>
                <w:sz w:val="21"/>
                <w:szCs w:val="21"/>
              </w:rPr>
            </w:pPr>
            <w:r>
              <w:rPr>
                <w:rFonts w:ascii="宋体" w:hAnsi="宋体" w:eastAsia="宋体" w:cs="宋体"/>
                <w:spacing w:val="-2"/>
                <w:sz w:val="21"/>
                <w:szCs w:val="21"/>
              </w:rPr>
              <w:t>扭转变形</w:t>
            </w:r>
          </w:p>
        </w:tc>
      </w:tr>
      <w:tr w14:paraId="186B6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624" w:type="dxa"/>
            <w:vAlign w:val="top"/>
          </w:tcPr>
          <w:p w14:paraId="286CCCD4">
            <w:pPr>
              <w:spacing w:before="127" w:line="230" w:lineRule="auto"/>
              <w:ind w:left="194"/>
              <w:rPr>
                <w:rFonts w:ascii="宋体" w:hAnsi="宋体" w:eastAsia="宋体" w:cs="宋体"/>
                <w:sz w:val="21"/>
                <w:szCs w:val="21"/>
              </w:rPr>
            </w:pPr>
            <w:r>
              <w:rPr>
                <w:rFonts w:ascii="宋体" w:hAnsi="宋体" w:eastAsia="宋体" w:cs="宋体"/>
                <w:spacing w:val="-6"/>
                <w:sz w:val="21"/>
                <w:szCs w:val="21"/>
              </w:rPr>
              <w:t>10</w:t>
            </w:r>
          </w:p>
        </w:tc>
        <w:tc>
          <w:tcPr>
            <w:tcW w:w="1878" w:type="dxa"/>
            <w:vAlign w:val="top"/>
          </w:tcPr>
          <w:p w14:paraId="2B7B239A">
            <w:pPr>
              <w:spacing w:before="106" w:line="219" w:lineRule="auto"/>
              <w:ind w:left="90"/>
              <w:rPr>
                <w:rFonts w:ascii="宋体" w:hAnsi="宋体" w:eastAsia="宋体" w:cs="宋体"/>
                <w:sz w:val="21"/>
                <w:szCs w:val="21"/>
              </w:rPr>
            </w:pPr>
            <w:r>
              <w:rPr>
                <w:rFonts w:ascii="宋体" w:hAnsi="宋体" w:eastAsia="宋体" w:cs="宋体"/>
                <w:spacing w:val="2"/>
                <w:sz w:val="21"/>
                <w:szCs w:val="21"/>
              </w:rPr>
              <w:t>外部漏泄</w:t>
            </w:r>
          </w:p>
        </w:tc>
        <w:tc>
          <w:tcPr>
            <w:tcW w:w="629" w:type="dxa"/>
            <w:vAlign w:val="top"/>
          </w:tcPr>
          <w:p w14:paraId="475AAD82">
            <w:pPr>
              <w:spacing w:before="127" w:line="230" w:lineRule="auto"/>
              <w:ind w:left="203"/>
              <w:rPr>
                <w:rFonts w:ascii="宋体" w:hAnsi="宋体" w:eastAsia="宋体" w:cs="宋体"/>
                <w:sz w:val="21"/>
                <w:szCs w:val="21"/>
              </w:rPr>
            </w:pPr>
            <w:r>
              <w:rPr>
                <w:rFonts w:ascii="宋体" w:hAnsi="宋体" w:eastAsia="宋体" w:cs="宋体"/>
                <w:spacing w:val="-3"/>
                <w:sz w:val="21"/>
                <w:szCs w:val="21"/>
              </w:rPr>
              <w:t>21</w:t>
            </w:r>
          </w:p>
        </w:tc>
        <w:tc>
          <w:tcPr>
            <w:tcW w:w="1888" w:type="dxa"/>
            <w:vAlign w:val="top"/>
          </w:tcPr>
          <w:p w14:paraId="56601991">
            <w:pPr>
              <w:spacing w:before="107" w:line="220" w:lineRule="auto"/>
              <w:ind w:left="93"/>
              <w:rPr>
                <w:rFonts w:ascii="宋体" w:hAnsi="宋体" w:eastAsia="宋体" w:cs="宋体"/>
                <w:sz w:val="21"/>
                <w:szCs w:val="21"/>
              </w:rPr>
            </w:pPr>
            <w:r>
              <w:rPr>
                <w:rFonts w:ascii="宋体" w:hAnsi="宋体" w:eastAsia="宋体" w:cs="宋体"/>
                <w:spacing w:val="2"/>
                <w:sz w:val="21"/>
                <w:szCs w:val="21"/>
              </w:rPr>
              <w:t>不能切换</w:t>
            </w:r>
          </w:p>
        </w:tc>
        <w:tc>
          <w:tcPr>
            <w:tcW w:w="619" w:type="dxa"/>
            <w:vAlign w:val="top"/>
          </w:tcPr>
          <w:p w14:paraId="1D979E8C">
            <w:pPr>
              <w:spacing w:before="127" w:line="230" w:lineRule="auto"/>
              <w:ind w:left="196"/>
              <w:rPr>
                <w:rFonts w:ascii="宋体" w:hAnsi="宋体" w:eastAsia="宋体" w:cs="宋体"/>
                <w:sz w:val="21"/>
                <w:szCs w:val="21"/>
              </w:rPr>
            </w:pPr>
            <w:r>
              <w:rPr>
                <w:rFonts w:ascii="宋体" w:hAnsi="宋体" w:eastAsia="宋体" w:cs="宋体"/>
                <w:spacing w:val="-4"/>
                <w:sz w:val="21"/>
                <w:szCs w:val="21"/>
              </w:rPr>
              <w:t>32</w:t>
            </w:r>
          </w:p>
        </w:tc>
        <w:tc>
          <w:tcPr>
            <w:tcW w:w="1678" w:type="dxa"/>
            <w:vAlign w:val="top"/>
          </w:tcPr>
          <w:p w14:paraId="53EC87A5">
            <w:pPr>
              <w:spacing w:before="106" w:line="219" w:lineRule="auto"/>
              <w:ind w:left="107"/>
              <w:rPr>
                <w:rFonts w:ascii="宋体" w:hAnsi="宋体" w:eastAsia="宋体" w:cs="宋体"/>
                <w:sz w:val="21"/>
                <w:szCs w:val="21"/>
              </w:rPr>
            </w:pPr>
            <w:r>
              <w:rPr>
                <w:rFonts w:ascii="宋体" w:hAnsi="宋体" w:eastAsia="宋体" w:cs="宋体"/>
                <w:spacing w:val="1"/>
                <w:sz w:val="21"/>
                <w:szCs w:val="21"/>
              </w:rPr>
              <w:t>(电的)参数漂移</w:t>
            </w:r>
          </w:p>
        </w:tc>
        <w:tc>
          <w:tcPr>
            <w:tcW w:w="619" w:type="dxa"/>
            <w:vAlign w:val="top"/>
          </w:tcPr>
          <w:p w14:paraId="4DDCB41E">
            <w:pPr>
              <w:spacing w:before="127" w:line="230" w:lineRule="auto"/>
              <w:ind w:left="198"/>
              <w:rPr>
                <w:rFonts w:ascii="宋体" w:hAnsi="宋体" w:eastAsia="宋体" w:cs="宋体"/>
                <w:sz w:val="21"/>
                <w:szCs w:val="21"/>
              </w:rPr>
            </w:pPr>
            <w:r>
              <w:rPr>
                <w:rFonts w:ascii="宋体" w:hAnsi="宋体" w:eastAsia="宋体" w:cs="宋体"/>
                <w:spacing w:val="-2"/>
                <w:sz w:val="21"/>
                <w:szCs w:val="21"/>
              </w:rPr>
              <w:t>43</w:t>
            </w:r>
          </w:p>
        </w:tc>
        <w:tc>
          <w:tcPr>
            <w:tcW w:w="1434" w:type="dxa"/>
            <w:vAlign w:val="top"/>
          </w:tcPr>
          <w:p w14:paraId="4642489C">
            <w:pPr>
              <w:spacing w:before="107" w:line="220" w:lineRule="auto"/>
              <w:ind w:left="119"/>
              <w:rPr>
                <w:rFonts w:ascii="宋体" w:hAnsi="宋体" w:eastAsia="宋体" w:cs="宋体"/>
                <w:sz w:val="21"/>
                <w:szCs w:val="21"/>
              </w:rPr>
            </w:pPr>
            <w:r>
              <w:rPr>
                <w:rFonts w:ascii="宋体" w:hAnsi="宋体" w:eastAsia="宋体" w:cs="宋体"/>
                <w:spacing w:val="-2"/>
                <w:sz w:val="21"/>
                <w:szCs w:val="21"/>
              </w:rPr>
              <w:t>拉伸变形</w:t>
            </w:r>
          </w:p>
        </w:tc>
      </w:tr>
      <w:tr w14:paraId="7E2D1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624" w:type="dxa"/>
            <w:vAlign w:val="top"/>
          </w:tcPr>
          <w:p w14:paraId="66773727">
            <w:pPr>
              <w:spacing w:before="128" w:line="241" w:lineRule="auto"/>
              <w:ind w:left="194"/>
              <w:rPr>
                <w:rFonts w:ascii="宋体" w:hAnsi="宋体" w:eastAsia="宋体" w:cs="宋体"/>
                <w:sz w:val="21"/>
                <w:szCs w:val="21"/>
              </w:rPr>
            </w:pPr>
            <w:r>
              <w:rPr>
                <w:rFonts w:ascii="宋体" w:hAnsi="宋体" w:eastAsia="宋体" w:cs="宋体"/>
                <w:spacing w:val="-6"/>
                <w:sz w:val="21"/>
                <w:szCs w:val="21"/>
              </w:rPr>
              <w:t>11</w:t>
            </w:r>
          </w:p>
        </w:tc>
        <w:tc>
          <w:tcPr>
            <w:tcW w:w="1878" w:type="dxa"/>
            <w:vAlign w:val="top"/>
          </w:tcPr>
          <w:p w14:paraId="493B1272">
            <w:pPr>
              <w:spacing w:before="107" w:line="219" w:lineRule="auto"/>
              <w:ind w:left="90"/>
              <w:rPr>
                <w:rFonts w:ascii="宋体" w:hAnsi="宋体" w:eastAsia="宋体" w:cs="宋体"/>
                <w:sz w:val="21"/>
                <w:szCs w:val="21"/>
              </w:rPr>
            </w:pPr>
            <w:r>
              <w:rPr>
                <w:rFonts w:ascii="宋体" w:hAnsi="宋体" w:eastAsia="宋体" w:cs="宋体"/>
                <w:spacing w:val="5"/>
                <w:sz w:val="21"/>
                <w:szCs w:val="21"/>
              </w:rPr>
              <w:t>超出允差(上限)</w:t>
            </w:r>
          </w:p>
        </w:tc>
        <w:tc>
          <w:tcPr>
            <w:tcW w:w="629" w:type="dxa"/>
            <w:vAlign w:val="top"/>
          </w:tcPr>
          <w:p w14:paraId="4311F69B">
            <w:pPr>
              <w:spacing w:before="128" w:line="241" w:lineRule="auto"/>
              <w:ind w:left="203"/>
              <w:rPr>
                <w:rFonts w:ascii="宋体" w:hAnsi="宋体" w:eastAsia="宋体" w:cs="宋体"/>
                <w:sz w:val="21"/>
                <w:szCs w:val="21"/>
              </w:rPr>
            </w:pPr>
            <w:r>
              <w:rPr>
                <w:rFonts w:ascii="宋体" w:hAnsi="宋体" w:eastAsia="宋体" w:cs="宋体"/>
                <w:spacing w:val="-3"/>
                <w:sz w:val="21"/>
                <w:szCs w:val="21"/>
              </w:rPr>
              <w:t>22</w:t>
            </w:r>
          </w:p>
        </w:tc>
        <w:tc>
          <w:tcPr>
            <w:tcW w:w="1888" w:type="dxa"/>
            <w:vAlign w:val="top"/>
          </w:tcPr>
          <w:p w14:paraId="0A33AB43">
            <w:pPr>
              <w:spacing w:before="108" w:line="220" w:lineRule="auto"/>
              <w:ind w:left="93"/>
              <w:rPr>
                <w:rFonts w:ascii="宋体" w:hAnsi="宋体" w:eastAsia="宋体" w:cs="宋体"/>
                <w:sz w:val="21"/>
                <w:szCs w:val="21"/>
              </w:rPr>
            </w:pPr>
            <w:r>
              <w:rPr>
                <w:rFonts w:ascii="宋体" w:hAnsi="宋体" w:eastAsia="宋体" w:cs="宋体"/>
                <w:spacing w:val="-2"/>
                <w:sz w:val="21"/>
                <w:szCs w:val="21"/>
              </w:rPr>
              <w:t>提前运行</w:t>
            </w:r>
          </w:p>
        </w:tc>
        <w:tc>
          <w:tcPr>
            <w:tcW w:w="619" w:type="dxa"/>
            <w:vAlign w:val="top"/>
          </w:tcPr>
          <w:p w14:paraId="565C1CEE">
            <w:pPr>
              <w:spacing w:before="128"/>
              <w:ind w:left="196"/>
              <w:rPr>
                <w:rFonts w:ascii="宋体" w:hAnsi="宋体" w:eastAsia="宋体" w:cs="宋体"/>
                <w:sz w:val="21"/>
                <w:szCs w:val="21"/>
              </w:rPr>
            </w:pPr>
            <w:r>
              <w:rPr>
                <w:rFonts w:ascii="宋体" w:hAnsi="宋体" w:eastAsia="宋体" w:cs="宋体"/>
                <w:spacing w:val="-4"/>
                <w:sz w:val="21"/>
                <w:szCs w:val="21"/>
              </w:rPr>
              <w:t>33</w:t>
            </w:r>
          </w:p>
        </w:tc>
        <w:tc>
          <w:tcPr>
            <w:tcW w:w="1678" w:type="dxa"/>
            <w:vAlign w:val="top"/>
          </w:tcPr>
          <w:p w14:paraId="6F277D1C">
            <w:pPr>
              <w:spacing w:before="108" w:line="221" w:lineRule="auto"/>
              <w:ind w:left="107"/>
              <w:rPr>
                <w:rFonts w:ascii="宋体" w:hAnsi="宋体" w:eastAsia="宋体" w:cs="宋体"/>
                <w:sz w:val="21"/>
                <w:szCs w:val="21"/>
              </w:rPr>
            </w:pPr>
            <w:r>
              <w:rPr>
                <w:rFonts w:ascii="宋体" w:hAnsi="宋体" w:eastAsia="宋体" w:cs="宋体"/>
                <w:spacing w:val="-3"/>
                <w:sz w:val="21"/>
                <w:szCs w:val="21"/>
              </w:rPr>
              <w:t>裂纹</w:t>
            </w:r>
          </w:p>
        </w:tc>
        <w:tc>
          <w:tcPr>
            <w:tcW w:w="619" w:type="dxa"/>
            <w:vAlign w:val="top"/>
          </w:tcPr>
          <w:p w14:paraId="2C457439">
            <w:pPr>
              <w:spacing w:before="128" w:line="241" w:lineRule="auto"/>
              <w:ind w:left="198"/>
              <w:rPr>
                <w:rFonts w:ascii="宋体" w:hAnsi="宋体" w:eastAsia="宋体" w:cs="宋体"/>
                <w:sz w:val="21"/>
                <w:szCs w:val="21"/>
              </w:rPr>
            </w:pPr>
            <w:r>
              <w:rPr>
                <w:rFonts w:ascii="宋体" w:hAnsi="宋体" w:eastAsia="宋体" w:cs="宋体"/>
                <w:spacing w:val="-2"/>
                <w:sz w:val="21"/>
                <w:szCs w:val="21"/>
              </w:rPr>
              <w:t>44</w:t>
            </w:r>
          </w:p>
        </w:tc>
        <w:tc>
          <w:tcPr>
            <w:tcW w:w="1434" w:type="dxa"/>
            <w:vAlign w:val="top"/>
          </w:tcPr>
          <w:p w14:paraId="66E66834">
            <w:pPr>
              <w:spacing w:before="106" w:line="219" w:lineRule="auto"/>
              <w:ind w:left="119"/>
              <w:rPr>
                <w:rFonts w:ascii="宋体" w:hAnsi="宋体" w:eastAsia="宋体" w:cs="宋体"/>
                <w:sz w:val="21"/>
                <w:szCs w:val="21"/>
              </w:rPr>
            </w:pPr>
            <w:r>
              <w:rPr>
                <w:rFonts w:ascii="宋体" w:hAnsi="宋体" w:eastAsia="宋体" w:cs="宋体"/>
                <w:spacing w:val="-2"/>
                <w:sz w:val="21"/>
                <w:szCs w:val="21"/>
              </w:rPr>
              <w:t>压缩变形</w:t>
            </w:r>
          </w:p>
        </w:tc>
      </w:tr>
    </w:tbl>
    <w:p w14:paraId="49708023">
      <w:pPr>
        <w:spacing w:before="202" w:line="222" w:lineRule="auto"/>
        <w:outlineLvl w:val="3"/>
        <w:rPr>
          <w:rFonts w:ascii="黑体" w:hAnsi="黑体" w:eastAsia="黑体" w:cs="黑体"/>
          <w:sz w:val="27"/>
          <w:szCs w:val="27"/>
        </w:rPr>
      </w:pPr>
      <w:r>
        <w:rPr>
          <w:rFonts w:ascii="Arial" w:hAnsi="Arial" w:eastAsia="Arial" w:cs="Arial"/>
          <w:b/>
          <w:bCs/>
          <w:sz w:val="27"/>
          <w:szCs w:val="27"/>
        </w:rPr>
        <w:t xml:space="preserve">5    </w:t>
      </w:r>
      <w:r>
        <w:rPr>
          <w:rFonts w:ascii="黑体" w:hAnsi="黑体" w:eastAsia="黑体" w:cs="黑体"/>
          <w:b/>
          <w:bCs/>
          <w:sz w:val="27"/>
          <w:szCs w:val="27"/>
        </w:rPr>
        <w:t>故障原因分析</w:t>
      </w:r>
    </w:p>
    <w:p w14:paraId="27702310">
      <w:pPr>
        <w:pStyle w:val="2"/>
        <w:spacing w:before="101" w:line="281" w:lineRule="auto"/>
        <w:ind w:right="120" w:firstLine="570"/>
        <w:jc w:val="both"/>
      </w:pPr>
      <w:r>
        <w:rPr>
          <w:spacing w:val="3"/>
        </w:rPr>
        <w:t>阐述故障原因分析的方法：</w:t>
      </w:r>
      <w:r>
        <w:rPr>
          <w:spacing w:val="-79"/>
        </w:rPr>
        <w:t xml:space="preserve"> </w:t>
      </w:r>
      <w:r>
        <w:rPr>
          <w:spacing w:val="3"/>
        </w:rPr>
        <w:t>一是从导致产品发生功能故障模式或潜在</w:t>
      </w:r>
      <w:r>
        <w:rPr>
          <w:spacing w:val="2"/>
        </w:rPr>
        <w:t>故障</w:t>
      </w:r>
      <w:r>
        <w:t xml:space="preserve"> </w:t>
      </w:r>
      <w:r>
        <w:rPr>
          <w:spacing w:val="-3"/>
        </w:rPr>
        <w:t>模式的那些物理、化学或生物变化过程等方面查找故障模式发生的直接原因；二</w:t>
      </w:r>
      <w:r>
        <w:rPr>
          <w:spacing w:val="18"/>
        </w:rPr>
        <w:t xml:space="preserve"> </w:t>
      </w:r>
      <w:r>
        <w:rPr>
          <w:spacing w:val="-2"/>
        </w:rPr>
        <w:t>是从外部因素(如其他产品的故障、使用、</w:t>
      </w:r>
      <w:r>
        <w:rPr>
          <w:spacing w:val="-3"/>
        </w:rPr>
        <w:t>环境和人为因素等)方面查找产品发生</w:t>
      </w:r>
      <w:r>
        <w:t xml:space="preserve"> </w:t>
      </w:r>
      <w:r>
        <w:rPr>
          <w:spacing w:val="1"/>
        </w:rPr>
        <w:t>故障模式的间接原因。</w:t>
      </w:r>
    </w:p>
    <w:p w14:paraId="7F9CCE82">
      <w:pPr>
        <w:spacing w:before="8" w:line="222" w:lineRule="auto"/>
        <w:outlineLvl w:val="3"/>
        <w:rPr>
          <w:rFonts w:ascii="黑体" w:hAnsi="黑体" w:eastAsia="黑体" w:cs="黑体"/>
          <w:sz w:val="27"/>
          <w:szCs w:val="27"/>
        </w:rPr>
      </w:pPr>
      <w:r>
        <w:rPr>
          <w:rFonts w:ascii="Arial" w:hAnsi="Arial" w:eastAsia="Arial" w:cs="Arial"/>
          <w:b/>
          <w:bCs/>
          <w:spacing w:val="1"/>
          <w:sz w:val="27"/>
          <w:szCs w:val="27"/>
        </w:rPr>
        <w:t xml:space="preserve">6    </w:t>
      </w:r>
      <w:r>
        <w:rPr>
          <w:rFonts w:ascii="黑体" w:hAnsi="黑体" w:eastAsia="黑体" w:cs="黑体"/>
          <w:b/>
          <w:bCs/>
          <w:spacing w:val="1"/>
          <w:sz w:val="27"/>
          <w:szCs w:val="27"/>
        </w:rPr>
        <w:t>故障影响及严酷度分析</w:t>
      </w:r>
    </w:p>
    <w:p w14:paraId="44D1288D">
      <w:pPr>
        <w:pStyle w:val="2"/>
        <w:spacing w:before="111" w:line="281" w:lineRule="auto"/>
        <w:ind w:right="85" w:firstLine="570"/>
        <w:jc w:val="both"/>
      </w:pPr>
      <w:r>
        <w:rPr>
          <w:spacing w:val="6"/>
        </w:rPr>
        <w:t>对进行故障影响及严酷度分析，记录分析过程和分析结果。每个故</w:t>
      </w:r>
      <w:r>
        <w:rPr>
          <w:spacing w:val="5"/>
        </w:rPr>
        <w:t>障模式</w:t>
      </w:r>
      <w:r>
        <w:t xml:space="preserve"> </w:t>
      </w:r>
      <w:r>
        <w:rPr>
          <w:spacing w:val="-2"/>
        </w:rPr>
        <w:t>的影响一般分为三级：局部影响、高一层次</w:t>
      </w:r>
      <w:r>
        <w:rPr>
          <w:spacing w:val="-3"/>
        </w:rPr>
        <w:t>影响和最终影响。故障影响的严酷度</w:t>
      </w:r>
      <w:r>
        <w:t xml:space="preserve"> </w:t>
      </w:r>
      <w:r>
        <w:rPr>
          <w:spacing w:val="4"/>
        </w:rPr>
        <w:t>类别应按每个故障模式的最终影响的严重程度进行确定。</w:t>
      </w:r>
    </w:p>
    <w:p w14:paraId="37E80208">
      <w:pPr>
        <w:spacing w:before="1" w:line="220"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28"/>
          <w:sz w:val="27"/>
          <w:szCs w:val="27"/>
        </w:rPr>
        <w:t xml:space="preserve">  </w:t>
      </w:r>
      <w:r>
        <w:rPr>
          <w:rFonts w:ascii="黑体" w:hAnsi="黑体" w:eastAsia="黑体" w:cs="黑体"/>
          <w:b/>
          <w:bCs/>
          <w:spacing w:val="-1"/>
          <w:sz w:val="27"/>
          <w:szCs w:val="27"/>
        </w:rPr>
        <w:t>故障检测方法分析</w:t>
      </w:r>
    </w:p>
    <w:p w14:paraId="1DCC9A68">
      <w:pPr>
        <w:pStyle w:val="2"/>
        <w:spacing w:before="113" w:line="278" w:lineRule="auto"/>
        <w:ind w:right="84" w:firstLine="570"/>
        <w:jc w:val="both"/>
      </w:pPr>
      <w:r>
        <w:rPr>
          <w:spacing w:val="-3"/>
        </w:rPr>
        <w:t>分析说明可采取的故障检测方法。故障检测方法一般包括：目视检查、原位</w:t>
      </w:r>
      <w:r>
        <w:rPr>
          <w:spacing w:val="18"/>
        </w:rPr>
        <w:t xml:space="preserve"> </w:t>
      </w:r>
      <w:r>
        <w:rPr>
          <w:spacing w:val="-3"/>
        </w:rPr>
        <w:t>检测、离位检测等。故障检测一般分为事前检测与事后检测两类，对于潜在故障</w:t>
      </w:r>
      <w:r>
        <w:rPr>
          <w:spacing w:val="15"/>
        </w:rPr>
        <w:t xml:space="preserve"> </w:t>
      </w:r>
      <w:r>
        <w:rPr>
          <w:spacing w:val="-3"/>
        </w:rPr>
        <w:t>模式，应尽可能在设计中采用事前检测方法。</w:t>
      </w:r>
    </w:p>
    <w:p w14:paraId="4C668FCC">
      <w:pPr>
        <w:spacing w:before="15" w:line="222" w:lineRule="auto"/>
        <w:rPr>
          <w:rFonts w:ascii="黑体" w:hAnsi="黑体" w:eastAsia="黑体" w:cs="黑体"/>
          <w:sz w:val="27"/>
          <w:szCs w:val="27"/>
        </w:rPr>
      </w:pPr>
      <w:r>
        <w:rPr>
          <w:rFonts w:ascii="黑体" w:hAnsi="黑体" w:eastAsia="黑体" w:cs="黑体"/>
          <w:spacing w:val="2"/>
          <w:sz w:val="27"/>
          <w:szCs w:val="27"/>
        </w:rPr>
        <w:t>8</w:t>
      </w:r>
      <w:r>
        <w:rPr>
          <w:rFonts w:ascii="黑体" w:hAnsi="黑体" w:eastAsia="黑体" w:cs="黑体"/>
          <w:spacing w:val="23"/>
          <w:sz w:val="27"/>
          <w:szCs w:val="27"/>
        </w:rPr>
        <w:t xml:space="preserve">  </w:t>
      </w:r>
      <w:r>
        <w:rPr>
          <w:rFonts w:ascii="黑体" w:hAnsi="黑体" w:eastAsia="黑体" w:cs="黑体"/>
          <w:b/>
          <w:bCs/>
          <w:spacing w:val="2"/>
          <w:sz w:val="27"/>
          <w:szCs w:val="27"/>
        </w:rPr>
        <w:t>设计改进与使用补偿措施分析</w:t>
      </w:r>
    </w:p>
    <w:p w14:paraId="085CA374">
      <w:pPr>
        <w:pStyle w:val="2"/>
        <w:spacing w:before="111" w:line="219" w:lineRule="auto"/>
        <w:ind w:left="570"/>
      </w:pPr>
      <w:r>
        <w:rPr>
          <w:spacing w:val="-2"/>
        </w:rPr>
        <w:t>对设计改进与使用补偿措施进行分析，主要内容包括：</w:t>
      </w:r>
    </w:p>
    <w:p w14:paraId="186A4B46">
      <w:pPr>
        <w:pStyle w:val="2"/>
        <w:spacing w:before="102" w:line="263" w:lineRule="auto"/>
        <w:ind w:firstLine="570"/>
      </w:pPr>
      <w:r>
        <w:rPr>
          <w:rFonts w:ascii="Times New Roman" w:hAnsi="Times New Roman" w:eastAsia="Times New Roman" w:cs="Times New Roman"/>
          <w:spacing w:val="3"/>
        </w:rPr>
        <w:t>a)</w:t>
      </w:r>
      <w:r>
        <w:rPr>
          <w:rFonts w:ascii="Times New Roman" w:hAnsi="Times New Roman" w:eastAsia="Times New Roman" w:cs="Times New Roman"/>
          <w:spacing w:val="73"/>
          <w:w w:val="101"/>
        </w:rPr>
        <w:t xml:space="preserve"> </w:t>
      </w:r>
      <w:r>
        <w:rPr>
          <w:spacing w:val="3"/>
        </w:rPr>
        <w:t>设计改进措施，即当产品发生故障时，应考虑是否具备能够继续工作的</w:t>
      </w:r>
      <w:r>
        <w:t xml:space="preserve"> </w:t>
      </w:r>
      <w:r>
        <w:rPr>
          <w:spacing w:val="6"/>
        </w:rPr>
        <w:t>冗余设备；安全或保障装置(例如监控及报警装</w:t>
      </w:r>
      <w:r>
        <w:rPr>
          <w:spacing w:val="5"/>
        </w:rPr>
        <w:t>置);替换的工作方式(例如备用</w:t>
      </w:r>
      <w:r>
        <w:t xml:space="preserve"> </w:t>
      </w:r>
      <w:r>
        <w:rPr>
          <w:spacing w:val="5"/>
        </w:rPr>
        <w:t>或辅助设备);可以消除或减轻故障影响的设计改进(例</w:t>
      </w:r>
      <w:r>
        <w:rPr>
          <w:spacing w:val="4"/>
        </w:rPr>
        <w:t>如优选元器件、热设计、</w:t>
      </w:r>
      <w:r>
        <w:t xml:space="preserve"> </w:t>
      </w:r>
      <w:r>
        <w:rPr>
          <w:spacing w:val="-1"/>
        </w:rPr>
        <w:t>降额设计)等。</w:t>
      </w:r>
    </w:p>
    <w:p w14:paraId="67571B36">
      <w:pPr>
        <w:pStyle w:val="2"/>
        <w:spacing w:before="77" w:line="265" w:lineRule="auto"/>
        <w:ind w:right="105" w:firstLine="570"/>
      </w:pPr>
      <w:r>
        <w:rPr>
          <w:rFonts w:ascii="Times New Roman" w:hAnsi="Times New Roman" w:eastAsia="Times New Roman" w:cs="Times New Roman"/>
          <w:spacing w:val="2"/>
        </w:rPr>
        <w:t>b)</w:t>
      </w:r>
      <w:r>
        <w:rPr>
          <w:rFonts w:ascii="Times New Roman" w:hAnsi="Times New Roman" w:eastAsia="Times New Roman" w:cs="Times New Roman"/>
          <w:spacing w:val="80"/>
        </w:rPr>
        <w:t xml:space="preserve"> </w:t>
      </w:r>
      <w:r>
        <w:rPr>
          <w:spacing w:val="2"/>
        </w:rPr>
        <w:t>使用补偿措施，即为了尽量避免或预防故障的发生，在使用和维护规程</w:t>
      </w:r>
      <w:r>
        <w:t xml:space="preserve"> </w:t>
      </w:r>
      <w:r>
        <w:rPr>
          <w:spacing w:val="5"/>
        </w:rPr>
        <w:t>中规定的使用维护措施，一旦出现故障后，操作人员应采取的最恰当的补救措</w:t>
      </w:r>
      <w:r>
        <w:rPr>
          <w:spacing w:val="14"/>
        </w:rPr>
        <w:t xml:space="preserve"> </w:t>
      </w:r>
      <w:r>
        <w:rPr>
          <w:spacing w:val="-4"/>
        </w:rPr>
        <w:t>施等。</w:t>
      </w:r>
    </w:p>
    <w:p w14:paraId="2480E097">
      <w:pPr>
        <w:spacing w:before="104" w:line="222" w:lineRule="auto"/>
        <w:rPr>
          <w:rFonts w:ascii="黑体" w:hAnsi="黑体" w:eastAsia="黑体" w:cs="黑体"/>
          <w:sz w:val="25"/>
          <w:szCs w:val="25"/>
        </w:rPr>
      </w:pPr>
      <w:r>
        <w:rPr>
          <w:rFonts w:ascii="Times New Roman" w:hAnsi="Times New Roman" w:eastAsia="Times New Roman" w:cs="Times New Roman"/>
          <w:spacing w:val="8"/>
          <w:sz w:val="25"/>
          <w:szCs w:val="25"/>
        </w:rPr>
        <w:t>9</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z w:val="25"/>
          <w:szCs w:val="25"/>
        </w:rPr>
        <w:t>FMEA</w:t>
      </w:r>
      <w:r>
        <w:rPr>
          <w:rFonts w:ascii="Times New Roman" w:hAnsi="Times New Roman" w:eastAsia="Times New Roman" w:cs="Times New Roman"/>
          <w:spacing w:val="19"/>
          <w:sz w:val="25"/>
          <w:szCs w:val="25"/>
        </w:rPr>
        <w:t xml:space="preserve">  </w:t>
      </w:r>
      <w:r>
        <w:rPr>
          <w:rFonts w:ascii="黑体" w:hAnsi="黑体" w:eastAsia="黑体" w:cs="黑体"/>
          <w:b/>
          <w:bCs/>
          <w:spacing w:val="8"/>
          <w:sz w:val="25"/>
          <w:szCs w:val="25"/>
        </w:rPr>
        <w:t>的实施</w:t>
      </w:r>
    </w:p>
    <w:p w14:paraId="19491EB9">
      <w:pPr>
        <w:pStyle w:val="2"/>
        <w:spacing w:before="115" w:line="219" w:lineRule="auto"/>
        <w:ind w:left="570"/>
      </w:pPr>
      <w:r>
        <w:rPr>
          <w:spacing w:val="1"/>
        </w:rPr>
        <w:t>说明</w:t>
      </w:r>
      <w:r>
        <w:rPr>
          <w:spacing w:val="-70"/>
        </w:rPr>
        <w:t xml:space="preserve"> </w:t>
      </w:r>
      <w:r>
        <w:rPr>
          <w:rFonts w:ascii="Times New Roman" w:hAnsi="Times New Roman" w:eastAsia="Times New Roman" w:cs="Times New Roman"/>
        </w:rPr>
        <w:t>FMEA</w:t>
      </w:r>
      <w:r>
        <w:rPr>
          <w:rFonts w:ascii="Times New Roman" w:hAnsi="Times New Roman" w:eastAsia="Times New Roman" w:cs="Times New Roman"/>
          <w:spacing w:val="1"/>
        </w:rPr>
        <w:t xml:space="preserve">  </w:t>
      </w:r>
      <w:r>
        <w:rPr>
          <w:spacing w:val="1"/>
        </w:rPr>
        <w:t>的实施过程和结果。</w:t>
      </w:r>
    </w:p>
    <w:p w14:paraId="10C2DD4E">
      <w:pPr>
        <w:spacing w:line="219" w:lineRule="auto"/>
        <w:sectPr>
          <w:footerReference r:id="rId419" w:type="default"/>
          <w:pgSz w:w="11910" w:h="17130"/>
          <w:pgMar w:top="1456" w:right="1384" w:bottom="1626" w:left="1039" w:header="0" w:footer="1437" w:gutter="0"/>
          <w:cols w:space="720" w:num="1"/>
        </w:sectPr>
      </w:pPr>
    </w:p>
    <w:p w14:paraId="12C955B6">
      <w:pPr>
        <w:pStyle w:val="2"/>
        <w:spacing w:before="145" w:line="219" w:lineRule="auto"/>
        <w:ind w:left="570"/>
      </w:pPr>
      <w:r>
        <w:rPr>
          <w:spacing w:val="3"/>
        </w:rPr>
        <w:t>功能及硬件</w:t>
      </w:r>
      <w:r>
        <w:rPr>
          <w:rFonts w:ascii="Times New Roman" w:hAnsi="Times New Roman" w:eastAsia="Times New Roman" w:cs="Times New Roman"/>
        </w:rPr>
        <w:t>FMEA</w:t>
      </w:r>
      <w:r>
        <w:rPr>
          <w:rFonts w:ascii="Times New Roman" w:hAnsi="Times New Roman" w:eastAsia="Times New Roman" w:cs="Times New Roman"/>
          <w:spacing w:val="3"/>
        </w:rPr>
        <w:t xml:space="preserve">  </w:t>
      </w:r>
      <w:r>
        <w:rPr>
          <w:spacing w:val="3"/>
        </w:rPr>
        <w:t>的实施，一般是通过填写</w:t>
      </w:r>
      <w:r>
        <w:rPr>
          <w:rFonts w:ascii="Times New Roman" w:hAnsi="Times New Roman" w:eastAsia="Times New Roman" w:cs="Times New Roman"/>
        </w:rPr>
        <w:t>FMEA</w:t>
      </w:r>
      <w:r>
        <w:rPr>
          <w:rFonts w:ascii="Times New Roman" w:hAnsi="Times New Roman" w:eastAsia="Times New Roman" w:cs="Times New Roman"/>
          <w:spacing w:val="3"/>
        </w:rPr>
        <w:t xml:space="preserve">  </w:t>
      </w:r>
      <w:r>
        <w:rPr>
          <w:spacing w:val="3"/>
        </w:rPr>
        <w:t>表格进行。</w:t>
      </w:r>
    </w:p>
    <w:p w14:paraId="2CE8AE2C">
      <w:pPr>
        <w:pStyle w:val="2"/>
        <w:spacing w:before="68" w:line="284" w:lineRule="auto"/>
        <w:ind w:right="86" w:firstLine="570"/>
        <w:jc w:val="both"/>
      </w:pPr>
      <w:r>
        <w:rPr>
          <w:spacing w:val="-2"/>
        </w:rPr>
        <w:t>对于嵌入式软件、过程(生产过程、使用操作过程、维修过程、管理过程等)</w:t>
      </w:r>
      <w:r>
        <w:rPr>
          <w:spacing w:val="5"/>
        </w:rPr>
        <w:t xml:space="preserve"> </w:t>
      </w:r>
      <w:r>
        <w:rPr>
          <w:rFonts w:ascii="Times New Roman" w:hAnsi="Times New Roman" w:eastAsia="Times New Roman" w:cs="Times New Roman"/>
        </w:rPr>
        <w:t>FMEA</w:t>
      </w:r>
      <w:r>
        <w:rPr>
          <w:rFonts w:ascii="Times New Roman" w:hAnsi="Times New Roman" w:eastAsia="Times New Roman" w:cs="Times New Roman"/>
          <w:spacing w:val="3"/>
        </w:rPr>
        <w:t xml:space="preserve">,  </w:t>
      </w:r>
      <w:r>
        <w:rPr>
          <w:rFonts w:ascii="仿宋" w:hAnsi="仿宋" w:eastAsia="仿宋" w:cs="仿宋"/>
          <w:spacing w:val="3"/>
        </w:rPr>
        <w:t>武器装备</w:t>
      </w:r>
      <w:r>
        <w:rPr>
          <w:rFonts w:ascii="Times New Roman" w:hAnsi="Times New Roman" w:eastAsia="Times New Roman" w:cs="Times New Roman"/>
        </w:rPr>
        <w:t>DMEA</w:t>
      </w:r>
      <w:r>
        <w:rPr>
          <w:rFonts w:ascii="Times New Roman" w:hAnsi="Times New Roman" w:eastAsia="Times New Roman" w:cs="Times New Roman"/>
          <w:spacing w:val="3"/>
        </w:rPr>
        <w:t xml:space="preserve">  </w:t>
      </w:r>
      <w:r>
        <w:rPr>
          <w:rFonts w:ascii="仿宋" w:hAnsi="仿宋" w:eastAsia="仿宋" w:cs="仿宋"/>
          <w:spacing w:val="3"/>
        </w:rPr>
        <w:t>参</w:t>
      </w:r>
      <w:r>
        <w:rPr>
          <w:rFonts w:ascii="仿宋" w:hAnsi="仿宋" w:eastAsia="仿宋" w:cs="仿宋"/>
          <w:spacing w:val="-32"/>
        </w:rPr>
        <w:t xml:space="preserve"> </w:t>
      </w:r>
      <w:r>
        <w:rPr>
          <w:rFonts w:ascii="仿宋" w:hAnsi="仿宋" w:eastAsia="仿宋" w:cs="仿宋"/>
          <w:spacing w:val="3"/>
        </w:rPr>
        <w:t>照</w:t>
      </w:r>
      <w:r>
        <w:rPr>
          <w:rFonts w:ascii="Times New Roman" w:hAnsi="Times New Roman" w:eastAsia="Times New Roman" w:cs="Times New Roman"/>
        </w:rPr>
        <w:t>GJB</w:t>
      </w:r>
      <w:r>
        <w:rPr>
          <w:rFonts w:ascii="Times New Roman" w:hAnsi="Times New Roman" w:eastAsia="Times New Roman" w:cs="Times New Roman"/>
          <w:spacing w:val="3"/>
        </w:rPr>
        <w:t>/Z    13</w:t>
      </w:r>
      <w:r>
        <w:rPr>
          <w:rFonts w:ascii="Times New Roman" w:hAnsi="Times New Roman" w:eastAsia="Times New Roman" w:cs="Times New Roman"/>
          <w:spacing w:val="2"/>
        </w:rPr>
        <w:t xml:space="preserve">91—2006 </w:t>
      </w:r>
      <w:r>
        <w:rPr>
          <w:spacing w:val="2"/>
        </w:rPr>
        <w:t>故障模式、影响及危害性分</w:t>
      </w:r>
      <w:r>
        <w:t xml:space="preserve"> </w:t>
      </w:r>
      <w:r>
        <w:rPr>
          <w:spacing w:val="1"/>
        </w:rPr>
        <w:t>析指南相关要求执行。</w:t>
      </w:r>
    </w:p>
    <w:p w14:paraId="6E87A368">
      <w:pPr>
        <w:pStyle w:val="2"/>
        <w:spacing w:before="353" w:line="219" w:lineRule="auto"/>
        <w:ind w:left="3329"/>
        <w:rPr>
          <w:sz w:val="36"/>
          <w:szCs w:val="36"/>
        </w:rPr>
      </w:pPr>
      <w:r>
        <w:rPr>
          <w:spacing w:val="-2"/>
          <w:sz w:val="36"/>
          <w:szCs w:val="36"/>
        </w:rPr>
        <w:t>8.9</w:t>
      </w:r>
      <w:r>
        <w:rPr>
          <w:spacing w:val="18"/>
          <w:sz w:val="36"/>
          <w:szCs w:val="36"/>
        </w:rPr>
        <w:t xml:space="preserve">  </w:t>
      </w:r>
      <w:r>
        <w:rPr>
          <w:b/>
          <w:bCs/>
          <w:spacing w:val="-2"/>
          <w:sz w:val="36"/>
          <w:szCs w:val="36"/>
        </w:rPr>
        <w:t>维修性分析</w:t>
      </w:r>
    </w:p>
    <w:p w14:paraId="2120822A">
      <w:pPr>
        <w:spacing w:line="314" w:lineRule="auto"/>
        <w:rPr>
          <w:rFonts w:ascii="Arial"/>
          <w:sz w:val="21"/>
        </w:rPr>
      </w:pPr>
    </w:p>
    <w:p w14:paraId="4BAAC9F3">
      <w:pPr>
        <w:pStyle w:val="2"/>
        <w:spacing w:before="91" w:line="223" w:lineRule="auto"/>
        <w:ind w:left="57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color w:val="505050"/>
          <w:spacing w:val="-11"/>
          <w:sz w:val="28"/>
          <w:szCs w:val="28"/>
        </w:rPr>
        <w:t>GJB 368B—2009</w:t>
      </w:r>
      <w:r>
        <w:rPr>
          <w:color w:val="505050"/>
          <w:spacing w:val="-11"/>
          <w:sz w:val="28"/>
          <w:szCs w:val="28"/>
        </w:rPr>
        <w:t>《</w:t>
      </w:r>
      <w:r>
        <w:rPr>
          <w:rFonts w:ascii="楷体" w:hAnsi="楷体" w:eastAsia="楷体" w:cs="楷体"/>
          <w:color w:val="505050"/>
          <w:spacing w:val="-11"/>
          <w:sz w:val="28"/>
          <w:szCs w:val="28"/>
        </w:rPr>
        <w:t>装备维修性工作通用要求》编写。</w:t>
      </w:r>
    </w:p>
    <w:p w14:paraId="18E493A5">
      <w:pPr>
        <w:spacing w:before="89"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24736273">
      <w:pPr>
        <w:spacing w:before="81"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sz w:val="27"/>
          <w:szCs w:val="27"/>
        </w:rPr>
        <w:t>引用文件</w:t>
      </w:r>
    </w:p>
    <w:p w14:paraId="20ED2461">
      <w:pPr>
        <w:spacing w:before="95"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4"/>
          <w:sz w:val="27"/>
          <w:szCs w:val="27"/>
        </w:rPr>
        <w:t xml:space="preserve">  </w:t>
      </w:r>
      <w:r>
        <w:rPr>
          <w:rFonts w:ascii="黑体" w:hAnsi="黑体" w:eastAsia="黑体" w:cs="黑体"/>
          <w:spacing w:val="1"/>
          <w:sz w:val="27"/>
          <w:szCs w:val="27"/>
        </w:rPr>
        <w:t>产品简述</w:t>
      </w:r>
    </w:p>
    <w:p w14:paraId="05A8A785">
      <w:pPr>
        <w:pStyle w:val="2"/>
        <w:spacing w:before="86" w:line="219" w:lineRule="auto"/>
        <w:ind w:left="570"/>
      </w:pPr>
      <w:r>
        <w:rPr>
          <w:spacing w:val="3"/>
        </w:rPr>
        <w:t>简要描述产品组成和主要功能。</w:t>
      </w:r>
    </w:p>
    <w:p w14:paraId="02261044">
      <w:pPr>
        <w:spacing w:before="61" w:line="222"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9"/>
          <w:sz w:val="27"/>
          <w:szCs w:val="27"/>
        </w:rPr>
        <w:t xml:space="preserve">  </w:t>
      </w:r>
      <w:r>
        <w:rPr>
          <w:rFonts w:ascii="黑体" w:hAnsi="黑体" w:eastAsia="黑体" w:cs="黑体"/>
          <w:spacing w:val="1"/>
          <w:sz w:val="27"/>
          <w:szCs w:val="27"/>
        </w:rPr>
        <w:t>数据与信息</w:t>
      </w:r>
    </w:p>
    <w:p w14:paraId="475A55B3">
      <w:pPr>
        <w:pStyle w:val="2"/>
        <w:spacing w:before="106" w:line="219" w:lineRule="auto"/>
        <w:ind w:left="570"/>
      </w:pPr>
      <w:r>
        <w:rPr>
          <w:spacing w:val="-3"/>
        </w:rPr>
        <w:t>汇总用于维修性分析的数据与信息，说明其来源。</w:t>
      </w:r>
    </w:p>
    <w:p w14:paraId="11B7F89B">
      <w:pPr>
        <w:pStyle w:val="2"/>
        <w:spacing w:before="79" w:line="219" w:lineRule="auto"/>
        <w:ind w:left="570"/>
      </w:pPr>
      <w:r>
        <w:rPr>
          <w:spacing w:val="3"/>
        </w:rPr>
        <w:t>维修性分析所需的输入信息主要来源如下：</w:t>
      </w:r>
    </w:p>
    <w:p w14:paraId="1CED4597">
      <w:pPr>
        <w:pStyle w:val="2"/>
        <w:spacing w:before="101" w:line="220" w:lineRule="auto"/>
        <w:ind w:left="570"/>
      </w:pPr>
      <w:r>
        <w:rPr>
          <w:rFonts w:ascii="Times New Roman" w:hAnsi="Times New Roman" w:eastAsia="Times New Roman" w:cs="Times New Roman"/>
          <w:spacing w:val="2"/>
        </w:rPr>
        <w:t>a</w:t>
      </w:r>
      <w:r>
        <w:rPr>
          <w:spacing w:val="2"/>
        </w:rPr>
        <w:t>)</w:t>
      </w:r>
      <w:r>
        <w:rPr>
          <w:spacing w:val="-38"/>
        </w:rPr>
        <w:t xml:space="preserve"> </w:t>
      </w:r>
      <w:r>
        <w:rPr>
          <w:spacing w:val="2"/>
        </w:rPr>
        <w:t>可靠性分析和预计；</w:t>
      </w:r>
    </w:p>
    <w:p w14:paraId="08398AD7">
      <w:pPr>
        <w:pStyle w:val="2"/>
        <w:spacing w:before="57" w:line="212" w:lineRule="auto"/>
        <w:ind w:left="570"/>
      </w:pPr>
      <w:r>
        <w:rPr>
          <w:rFonts w:ascii="Times New Roman" w:hAnsi="Times New Roman" w:eastAsia="Times New Roman" w:cs="Times New Roman"/>
          <w:spacing w:val="3"/>
        </w:rPr>
        <w:t xml:space="preserve">b)  </w:t>
      </w:r>
      <w:r>
        <w:rPr>
          <w:spacing w:val="3"/>
        </w:rPr>
        <w:t>维修有关的人的因素的研究；</w:t>
      </w:r>
    </w:p>
    <w:p w14:paraId="6AECB761">
      <w:pPr>
        <w:pStyle w:val="2"/>
        <w:spacing w:before="90" w:line="212" w:lineRule="auto"/>
        <w:ind w:left="570"/>
      </w:pPr>
      <w:r>
        <w:rPr>
          <w:rFonts w:ascii="Times New Roman" w:hAnsi="Times New Roman" w:eastAsia="Times New Roman" w:cs="Times New Roman"/>
          <w:spacing w:val="-1"/>
        </w:rPr>
        <w:t>c)</w:t>
      </w:r>
      <w:r>
        <w:rPr>
          <w:rFonts w:ascii="Times New Roman" w:hAnsi="Times New Roman" w:eastAsia="Times New Roman" w:cs="Times New Roman"/>
          <w:spacing w:val="64"/>
          <w:w w:val="101"/>
        </w:rPr>
        <w:t xml:space="preserve"> </w:t>
      </w:r>
      <w:r>
        <w:rPr>
          <w:spacing w:val="-1"/>
        </w:rPr>
        <w:t>安全性分析；</w:t>
      </w:r>
    </w:p>
    <w:p w14:paraId="08D03184">
      <w:pPr>
        <w:pStyle w:val="2"/>
        <w:spacing w:before="122" w:line="212" w:lineRule="auto"/>
        <w:ind w:left="570"/>
        <w:rPr>
          <w:sz w:val="24"/>
          <w:szCs w:val="24"/>
        </w:rPr>
      </w:pPr>
      <w:r>
        <w:rPr>
          <w:rFonts w:ascii="Times New Roman" w:hAnsi="Times New Roman" w:eastAsia="Times New Roman" w:cs="Times New Roman"/>
          <w:spacing w:val="21"/>
          <w:sz w:val="24"/>
          <w:szCs w:val="24"/>
        </w:rPr>
        <w:t>d)</w:t>
      </w:r>
      <w:r>
        <w:rPr>
          <w:rFonts w:ascii="Times New Roman" w:hAnsi="Times New Roman" w:eastAsia="Times New Roman" w:cs="Times New Roman"/>
          <w:spacing w:val="30"/>
          <w:sz w:val="24"/>
          <w:szCs w:val="24"/>
        </w:rPr>
        <w:t xml:space="preserve">  </w:t>
      </w:r>
      <w:r>
        <w:rPr>
          <w:spacing w:val="21"/>
          <w:sz w:val="24"/>
          <w:szCs w:val="24"/>
        </w:rPr>
        <w:t>制造工艺分析；</w:t>
      </w:r>
    </w:p>
    <w:p w14:paraId="055E8257">
      <w:pPr>
        <w:pStyle w:val="2"/>
        <w:spacing w:before="133" w:line="220" w:lineRule="auto"/>
        <w:ind w:left="570"/>
      </w:pPr>
      <w:r>
        <w:rPr>
          <w:rFonts w:ascii="Times New Roman" w:hAnsi="Times New Roman" w:eastAsia="Times New Roman" w:cs="Times New Roman"/>
        </w:rPr>
        <w:t>e</w:t>
      </w:r>
      <w:r>
        <w:t>)</w:t>
      </w:r>
      <w:r>
        <w:rPr>
          <w:spacing w:val="-46"/>
        </w:rPr>
        <w:t xml:space="preserve"> </w:t>
      </w:r>
      <w:r>
        <w:t>费用分析。</w:t>
      </w:r>
    </w:p>
    <w:p w14:paraId="1AE44A4E">
      <w:pPr>
        <w:pStyle w:val="2"/>
        <w:spacing w:before="96" w:line="219" w:lineRule="auto"/>
        <w:ind w:left="570"/>
      </w:pPr>
      <w:r>
        <w:rPr>
          <w:spacing w:val="2"/>
        </w:rPr>
        <w:t>订购方可提供的有关信息：</w:t>
      </w:r>
    </w:p>
    <w:p w14:paraId="275D6CE6">
      <w:pPr>
        <w:pStyle w:val="2"/>
        <w:spacing w:before="60" w:line="257" w:lineRule="auto"/>
        <w:ind w:right="107" w:firstLine="570"/>
      </w:pPr>
      <w:r>
        <w:rPr>
          <w:rFonts w:ascii="Times New Roman" w:hAnsi="Times New Roman" w:eastAsia="Times New Roman" w:cs="Times New Roman"/>
          <w:spacing w:val="-5"/>
        </w:rPr>
        <w:t>a)</w:t>
      </w:r>
      <w:r>
        <w:rPr>
          <w:rFonts w:ascii="Times New Roman" w:hAnsi="Times New Roman" w:eastAsia="Times New Roman" w:cs="Times New Roman"/>
          <w:spacing w:val="79"/>
        </w:rPr>
        <w:t xml:space="preserve"> </w:t>
      </w:r>
      <w:r>
        <w:rPr>
          <w:spacing w:val="-5"/>
        </w:rPr>
        <w:t>使用与保障方案及其备选方案和要求，其中包括环境条件、任务剖面、期</w:t>
      </w:r>
      <w:r>
        <w:t xml:space="preserve"> 望寿命和故障定义；</w:t>
      </w:r>
    </w:p>
    <w:p w14:paraId="1C20DF16">
      <w:pPr>
        <w:pStyle w:val="2"/>
        <w:spacing w:before="92" w:line="212" w:lineRule="auto"/>
        <w:ind w:left="570"/>
        <w:rPr>
          <w:sz w:val="24"/>
          <w:szCs w:val="24"/>
        </w:rPr>
      </w:pPr>
      <w:r>
        <w:rPr>
          <w:rFonts w:ascii="Times New Roman" w:hAnsi="Times New Roman" w:eastAsia="Times New Roman" w:cs="Times New Roman"/>
          <w:spacing w:val="28"/>
          <w:sz w:val="24"/>
          <w:szCs w:val="24"/>
        </w:rPr>
        <w:t>b)</w:t>
      </w:r>
      <w:r>
        <w:rPr>
          <w:rFonts w:ascii="Times New Roman" w:hAnsi="Times New Roman" w:eastAsia="Times New Roman" w:cs="Times New Roman"/>
          <w:spacing w:val="30"/>
          <w:w w:val="101"/>
          <w:sz w:val="24"/>
          <w:szCs w:val="24"/>
        </w:rPr>
        <w:t xml:space="preserve">  </w:t>
      </w:r>
      <w:r>
        <w:rPr>
          <w:spacing w:val="28"/>
          <w:sz w:val="24"/>
          <w:szCs w:val="24"/>
        </w:rPr>
        <w:t>系统或设备的维修性定量要求；</w:t>
      </w:r>
    </w:p>
    <w:p w14:paraId="60DE12AF">
      <w:pPr>
        <w:pStyle w:val="2"/>
        <w:spacing w:before="102" w:line="212" w:lineRule="auto"/>
        <w:ind w:left="570"/>
      </w:pPr>
      <w:r>
        <w:rPr>
          <w:rFonts w:ascii="Times New Roman" w:hAnsi="Times New Roman" w:eastAsia="Times New Roman" w:cs="Times New Roman"/>
          <w:spacing w:val="1"/>
        </w:rPr>
        <w:t>c)</w:t>
      </w:r>
      <w:r>
        <w:rPr>
          <w:rFonts w:ascii="Times New Roman" w:hAnsi="Times New Roman" w:eastAsia="Times New Roman" w:cs="Times New Roman"/>
          <w:spacing w:val="66"/>
          <w:w w:val="101"/>
        </w:rPr>
        <w:t xml:space="preserve"> </w:t>
      </w:r>
      <w:r>
        <w:rPr>
          <w:spacing w:val="1"/>
        </w:rPr>
        <w:t>人员的约束条件；</w:t>
      </w:r>
    </w:p>
    <w:p w14:paraId="6F842E62">
      <w:pPr>
        <w:pStyle w:val="2"/>
        <w:spacing w:before="121" w:line="212" w:lineRule="auto"/>
        <w:ind w:left="570"/>
        <w:rPr>
          <w:sz w:val="25"/>
          <w:szCs w:val="25"/>
        </w:rPr>
      </w:pPr>
      <w:r>
        <w:rPr>
          <w:rFonts w:ascii="Times New Roman" w:hAnsi="Times New Roman" w:eastAsia="Times New Roman" w:cs="Times New Roman"/>
          <w:spacing w:val="11"/>
          <w:sz w:val="25"/>
          <w:szCs w:val="25"/>
        </w:rPr>
        <w:t xml:space="preserve">d)  </w:t>
      </w:r>
      <w:r>
        <w:rPr>
          <w:spacing w:val="11"/>
          <w:sz w:val="25"/>
          <w:szCs w:val="25"/>
        </w:rPr>
        <w:t>所计划的设施、人员技能、设备及工具的完备程度；</w:t>
      </w:r>
    </w:p>
    <w:p w14:paraId="6EB50EF7">
      <w:pPr>
        <w:pStyle w:val="2"/>
        <w:spacing w:before="102" w:line="212" w:lineRule="auto"/>
        <w:ind w:left="570"/>
      </w:pPr>
      <w:r>
        <w:rPr>
          <w:rFonts w:ascii="Times New Roman" w:hAnsi="Times New Roman" w:eastAsia="Times New Roman" w:cs="Times New Roman"/>
        </w:rPr>
        <w:t xml:space="preserve">e)  </w:t>
      </w:r>
      <w:r>
        <w:t>费用约束条件；</w:t>
      </w:r>
    </w:p>
    <w:p w14:paraId="1EA981EF">
      <w:pPr>
        <w:pStyle w:val="2"/>
        <w:spacing w:before="90" w:line="212" w:lineRule="auto"/>
        <w:ind w:left="570"/>
      </w:pPr>
      <w:r>
        <w:rPr>
          <w:rFonts w:ascii="Times New Roman" w:hAnsi="Times New Roman" w:eastAsia="Times New Roman" w:cs="Times New Roman"/>
          <w:spacing w:val="4"/>
        </w:rPr>
        <w:t>f)</w:t>
      </w:r>
      <w:r>
        <w:rPr>
          <w:rFonts w:ascii="Times New Roman" w:hAnsi="Times New Roman" w:eastAsia="Times New Roman" w:cs="Times New Roman"/>
          <w:spacing w:val="74"/>
        </w:rPr>
        <w:t xml:space="preserve"> </w:t>
      </w:r>
      <w:r>
        <w:rPr>
          <w:spacing w:val="4"/>
        </w:rPr>
        <w:t>有关系统或设备的研究报告和工程报告的类型；</w:t>
      </w:r>
    </w:p>
    <w:p w14:paraId="50E84023">
      <w:pPr>
        <w:pStyle w:val="2"/>
        <w:spacing w:before="141" w:line="212" w:lineRule="auto"/>
        <w:ind w:left="570"/>
        <w:rPr>
          <w:sz w:val="24"/>
          <w:szCs w:val="24"/>
        </w:rPr>
      </w:pPr>
      <w:r>
        <w:rPr>
          <w:rFonts w:ascii="Times New Roman" w:hAnsi="Times New Roman" w:eastAsia="Times New Roman" w:cs="Times New Roman"/>
          <w:spacing w:val="27"/>
          <w:sz w:val="24"/>
          <w:szCs w:val="24"/>
        </w:rPr>
        <w:t>g</w:t>
      </w:r>
      <w:r>
        <w:rPr>
          <w:rFonts w:ascii="Times New Roman" w:hAnsi="Times New Roman" w:eastAsia="Times New Roman" w:cs="Times New Roman"/>
          <w:spacing w:val="-20"/>
          <w:sz w:val="24"/>
          <w:szCs w:val="24"/>
        </w:rPr>
        <w:t xml:space="preserve"> </w:t>
      </w:r>
      <w:r>
        <w:rPr>
          <w:spacing w:val="27"/>
          <w:sz w:val="24"/>
          <w:szCs w:val="24"/>
        </w:rPr>
        <w:t>)</w:t>
      </w:r>
      <w:r>
        <w:rPr>
          <w:spacing w:val="-9"/>
          <w:sz w:val="24"/>
          <w:szCs w:val="24"/>
        </w:rPr>
        <w:t xml:space="preserve"> </w:t>
      </w:r>
      <w:r>
        <w:rPr>
          <w:spacing w:val="27"/>
          <w:sz w:val="24"/>
          <w:szCs w:val="24"/>
        </w:rPr>
        <w:t>现有的工具和设备的清单。</w:t>
      </w:r>
    </w:p>
    <w:p w14:paraId="23C8AAD6">
      <w:pPr>
        <w:spacing w:before="84" w:line="368" w:lineRule="exact"/>
        <w:rPr>
          <w:rFonts w:ascii="黑体" w:hAnsi="黑体" w:eastAsia="黑体" w:cs="黑体"/>
          <w:sz w:val="27"/>
          <w:szCs w:val="27"/>
        </w:rPr>
      </w:pPr>
      <w:r>
        <w:rPr>
          <w:rFonts w:ascii="Arial" w:hAnsi="Arial" w:eastAsia="Arial" w:cs="Arial"/>
          <w:spacing w:val="2"/>
          <w:position w:val="1"/>
          <w:sz w:val="27"/>
          <w:szCs w:val="27"/>
        </w:rPr>
        <w:t>5</w:t>
      </w:r>
      <w:r>
        <w:rPr>
          <w:rFonts w:ascii="Arial" w:hAnsi="Arial" w:eastAsia="Arial" w:cs="Arial"/>
          <w:spacing w:val="20"/>
          <w:position w:val="1"/>
          <w:sz w:val="27"/>
          <w:szCs w:val="27"/>
        </w:rPr>
        <w:t xml:space="preserve">   </w:t>
      </w:r>
      <w:r>
        <w:rPr>
          <w:rFonts w:ascii="黑体" w:hAnsi="黑体" w:eastAsia="黑体" w:cs="黑体"/>
          <w:spacing w:val="2"/>
          <w:position w:val="1"/>
          <w:sz w:val="27"/>
          <w:szCs w:val="27"/>
        </w:rPr>
        <w:t>维修性分析项目</w:t>
      </w:r>
    </w:p>
    <w:p w14:paraId="3EA00A24">
      <w:pPr>
        <w:pStyle w:val="2"/>
        <w:spacing w:before="91" w:line="270" w:lineRule="auto"/>
        <w:ind w:right="113" w:firstLine="570"/>
      </w:pPr>
      <w:r>
        <w:rPr>
          <w:spacing w:val="6"/>
        </w:rPr>
        <w:t>说明承制方在初步设计评审时向订购方提交的</w:t>
      </w:r>
      <w:r>
        <w:rPr>
          <w:spacing w:val="5"/>
        </w:rPr>
        <w:t>维修性分析项目清单。各分</w:t>
      </w:r>
      <w:r>
        <w:t xml:space="preserve"> 析项目应协调进行。</w:t>
      </w:r>
    </w:p>
    <w:p w14:paraId="7BB0B07D">
      <w:pPr>
        <w:pStyle w:val="2"/>
        <w:spacing w:line="212" w:lineRule="auto"/>
        <w:ind w:left="570"/>
      </w:pPr>
      <w:r>
        <w:rPr>
          <w:rFonts w:ascii="Times New Roman" w:hAnsi="Times New Roman" w:eastAsia="Times New Roman" w:cs="Times New Roman"/>
        </w:rPr>
        <w:t xml:space="preserve">a)  </w:t>
      </w:r>
      <w:r>
        <w:t>在设计过程中，承制方应对维修性要求及有关约束进行分析；</w:t>
      </w:r>
    </w:p>
    <w:p w14:paraId="5433F542">
      <w:pPr>
        <w:pStyle w:val="2"/>
        <w:spacing w:before="121" w:line="212" w:lineRule="auto"/>
        <w:jc w:val="right"/>
        <w:rPr>
          <w:sz w:val="25"/>
          <w:szCs w:val="25"/>
        </w:rPr>
      </w:pPr>
      <w:r>
        <w:rPr>
          <w:rFonts w:ascii="Times New Roman" w:hAnsi="Times New Roman" w:eastAsia="Times New Roman" w:cs="Times New Roman"/>
          <w:spacing w:val="24"/>
          <w:sz w:val="25"/>
          <w:szCs w:val="25"/>
        </w:rPr>
        <w:t xml:space="preserve">b)  </w:t>
      </w:r>
      <w:r>
        <w:rPr>
          <w:spacing w:val="24"/>
          <w:sz w:val="25"/>
          <w:szCs w:val="25"/>
        </w:rPr>
        <w:t>应对产品设计方案进行维修性权衡分析，包括维修性设计自身的权衡、</w:t>
      </w:r>
    </w:p>
    <w:p w14:paraId="6120DDCA">
      <w:pPr>
        <w:spacing w:line="212" w:lineRule="auto"/>
        <w:rPr>
          <w:sz w:val="25"/>
          <w:szCs w:val="25"/>
        </w:rPr>
        <w:sectPr>
          <w:footerReference r:id="rId420" w:type="default"/>
          <w:pgSz w:w="11910" w:h="17130"/>
          <w:pgMar w:top="1456" w:right="704" w:bottom="1536" w:left="1700" w:header="0" w:footer="1346" w:gutter="0"/>
          <w:cols w:space="720" w:num="1"/>
        </w:sectPr>
      </w:pPr>
    </w:p>
    <w:p w14:paraId="1EA99C93">
      <w:pPr>
        <w:pStyle w:val="2"/>
        <w:spacing w:before="124" w:line="291" w:lineRule="auto"/>
        <w:ind w:right="134"/>
      </w:pPr>
      <w:r>
        <w:rPr>
          <w:spacing w:val="5"/>
        </w:rPr>
        <w:t>维修性与其他性能设计的权衡，要在产品顶层进行权衡，还要在其以下层次进</w:t>
      </w:r>
      <w:r>
        <w:rPr>
          <w:spacing w:val="9"/>
        </w:rPr>
        <w:t xml:space="preserve"> </w:t>
      </w:r>
      <w:r>
        <w:rPr>
          <w:spacing w:val="-15"/>
        </w:rPr>
        <w:t>行，确保整体优化；</w:t>
      </w:r>
    </w:p>
    <w:p w14:paraId="74C98965">
      <w:pPr>
        <w:pStyle w:val="2"/>
        <w:spacing w:before="3" w:line="279" w:lineRule="auto"/>
        <w:ind w:right="112" w:firstLine="560"/>
        <w:rPr>
          <w:sz w:val="25"/>
          <w:szCs w:val="25"/>
        </w:rPr>
      </w:pPr>
      <w:r>
        <w:rPr>
          <w:rFonts w:ascii="Times New Roman" w:hAnsi="Times New Roman" w:eastAsia="Times New Roman" w:cs="Times New Roman"/>
          <w:spacing w:val="21"/>
          <w:sz w:val="25"/>
          <w:szCs w:val="25"/>
        </w:rPr>
        <w:t xml:space="preserve">c)  </w:t>
      </w:r>
      <w:r>
        <w:rPr>
          <w:spacing w:val="21"/>
          <w:sz w:val="25"/>
          <w:szCs w:val="25"/>
        </w:rPr>
        <w:t>应结合装备维修保障方案对装备维修时间进行分析，推断不同取值对设</w:t>
      </w:r>
      <w:r>
        <w:rPr>
          <w:spacing w:val="16"/>
          <w:sz w:val="25"/>
          <w:szCs w:val="25"/>
        </w:rPr>
        <w:t xml:space="preserve"> </w:t>
      </w:r>
      <w:r>
        <w:rPr>
          <w:spacing w:val="25"/>
          <w:sz w:val="25"/>
          <w:szCs w:val="25"/>
        </w:rPr>
        <w:t>计方案的影响以及对实现技术途径的要求。维修时间分析一般应包括对以下时</w:t>
      </w:r>
      <w:r>
        <w:rPr>
          <w:spacing w:val="13"/>
          <w:sz w:val="25"/>
          <w:szCs w:val="25"/>
        </w:rPr>
        <w:t xml:space="preserve"> </w:t>
      </w:r>
      <w:r>
        <w:rPr>
          <w:spacing w:val="23"/>
          <w:sz w:val="25"/>
          <w:szCs w:val="25"/>
        </w:rPr>
        <w:t>间要素的考虑：1)故障诊断与检测时间；2)拆卸时</w:t>
      </w:r>
      <w:r>
        <w:rPr>
          <w:spacing w:val="22"/>
          <w:sz w:val="25"/>
          <w:szCs w:val="25"/>
        </w:rPr>
        <w:t>间；3)修复时间；4)重新装</w:t>
      </w:r>
      <w:r>
        <w:rPr>
          <w:sz w:val="25"/>
          <w:szCs w:val="25"/>
        </w:rPr>
        <w:t xml:space="preserve"> </w:t>
      </w:r>
      <w:r>
        <w:rPr>
          <w:spacing w:val="17"/>
          <w:sz w:val="25"/>
          <w:szCs w:val="25"/>
        </w:rPr>
        <w:t>配时间；5)调整调校时间；6)检查测试时间。</w:t>
      </w:r>
    </w:p>
    <w:p w14:paraId="7F050402">
      <w:pPr>
        <w:pStyle w:val="2"/>
        <w:spacing w:before="83" w:line="256" w:lineRule="auto"/>
        <w:ind w:right="9" w:firstLine="560"/>
      </w:pPr>
      <w:r>
        <w:rPr>
          <w:rFonts w:ascii="Times New Roman" w:hAnsi="Times New Roman" w:eastAsia="Times New Roman" w:cs="Times New Roman"/>
          <w:spacing w:val="3"/>
        </w:rPr>
        <w:t xml:space="preserve">d)  </w:t>
      </w:r>
      <w:r>
        <w:rPr>
          <w:spacing w:val="3"/>
        </w:rPr>
        <w:t>应对产品的故障检测能力进行分析，包</w:t>
      </w:r>
      <w:r>
        <w:rPr>
          <w:spacing w:val="2"/>
        </w:rPr>
        <w:t>括对测试和诊断系统的构成和设</w:t>
      </w:r>
      <w:r>
        <w:t xml:space="preserve"> </w:t>
      </w:r>
      <w:r>
        <w:rPr>
          <w:spacing w:val="9"/>
        </w:rPr>
        <w:t>计的相应分析。可供考虑的测试与诊断系统的类型有：</w:t>
      </w:r>
      <w:r>
        <w:rPr>
          <w:spacing w:val="8"/>
        </w:rPr>
        <w:t>1)外部自动硬件测试；</w:t>
      </w:r>
    </w:p>
    <w:p w14:paraId="779F77ED">
      <w:pPr>
        <w:pStyle w:val="2"/>
        <w:spacing w:before="93" w:line="273" w:lineRule="auto"/>
        <w:ind w:right="130"/>
        <w:jc w:val="both"/>
      </w:pPr>
      <w:r>
        <w:rPr>
          <w:spacing w:val="5"/>
        </w:rPr>
        <w:t>2)外部自动软件测试；3)内部自动硬件测试；4)内部自动软件</w:t>
      </w:r>
      <w:r>
        <w:rPr>
          <w:spacing w:val="4"/>
        </w:rPr>
        <w:t>测试；5)人工操</w:t>
      </w:r>
      <w:r>
        <w:t xml:space="preserve"> </w:t>
      </w:r>
      <w:r>
        <w:rPr>
          <w:spacing w:val="5"/>
        </w:rPr>
        <w:t>作软件测试；6)人工测试；7)半自动(人工和自动的组合)</w:t>
      </w:r>
      <w:r>
        <w:rPr>
          <w:spacing w:val="4"/>
        </w:rPr>
        <w:t>测试；8)维修辅助手</w:t>
      </w:r>
      <w:r>
        <w:t xml:space="preserve"> </w:t>
      </w:r>
      <w:r>
        <w:rPr>
          <w:spacing w:val="2"/>
        </w:rPr>
        <w:t>段和其他诊断程序。</w:t>
      </w:r>
    </w:p>
    <w:p w14:paraId="1D1F4EEF">
      <w:pPr>
        <w:pStyle w:val="2"/>
        <w:spacing w:line="260" w:lineRule="auto"/>
        <w:ind w:right="113" w:firstLine="560"/>
      </w:pPr>
      <w:r>
        <w:rPr>
          <w:rFonts w:ascii="Times New Roman" w:hAnsi="Times New Roman" w:eastAsia="Times New Roman" w:cs="Times New Roman"/>
          <w:spacing w:val="-5"/>
        </w:rPr>
        <w:t>e)</w:t>
      </w:r>
      <w:r>
        <w:rPr>
          <w:rFonts w:ascii="Times New Roman" w:hAnsi="Times New Roman" w:eastAsia="Times New Roman" w:cs="Times New Roman"/>
          <w:spacing w:val="73"/>
        </w:rPr>
        <w:t xml:space="preserve"> </w:t>
      </w:r>
      <w:r>
        <w:rPr>
          <w:spacing w:val="-5"/>
        </w:rPr>
        <w:t>应对产品维修进行人素分析，主要项目包括：力量与疲劳分析；可达性分</w:t>
      </w:r>
      <w:r>
        <w:t xml:space="preserve"> </w:t>
      </w:r>
      <w:r>
        <w:rPr>
          <w:spacing w:val="-10"/>
        </w:rPr>
        <w:t>析；维修操作活动空间分析；可视性分析；维修</w:t>
      </w:r>
      <w:r>
        <w:rPr>
          <w:spacing w:val="-11"/>
        </w:rPr>
        <w:t>安全性分析。</w:t>
      </w:r>
    </w:p>
    <w:p w14:paraId="5403C3F6">
      <w:pPr>
        <w:pStyle w:val="2"/>
        <w:spacing w:before="82" w:line="282" w:lineRule="auto"/>
        <w:ind w:firstLine="560"/>
        <w:rPr>
          <w:sz w:val="25"/>
          <w:szCs w:val="25"/>
        </w:rPr>
      </w:pPr>
      <w:r>
        <w:rPr>
          <w:rFonts w:ascii="Times New Roman" w:hAnsi="Times New Roman" w:eastAsia="Times New Roman" w:cs="Times New Roman"/>
          <w:spacing w:val="18"/>
          <w:sz w:val="25"/>
          <w:szCs w:val="25"/>
        </w:rPr>
        <w:t xml:space="preserve">f)  </w:t>
      </w:r>
      <w:r>
        <w:rPr>
          <w:spacing w:val="18"/>
          <w:sz w:val="25"/>
          <w:szCs w:val="25"/>
        </w:rPr>
        <w:t>应综合利用可靠性、维修性、保障性的有关信息进行维修费</w:t>
      </w:r>
      <w:r>
        <w:rPr>
          <w:spacing w:val="17"/>
          <w:sz w:val="25"/>
          <w:szCs w:val="25"/>
        </w:rPr>
        <w:t>用预测分析。</w:t>
      </w:r>
      <w:r>
        <w:rPr>
          <w:sz w:val="25"/>
          <w:szCs w:val="25"/>
        </w:rPr>
        <w:t xml:space="preserve"> </w:t>
      </w:r>
      <w:r>
        <w:rPr>
          <w:spacing w:val="10"/>
          <w:sz w:val="25"/>
          <w:szCs w:val="25"/>
        </w:rPr>
        <w:t>费用分析不仅要考虑故障件的成本，还要考虑所需工具、设备等因素，需要时，还</w:t>
      </w:r>
      <w:r>
        <w:rPr>
          <w:sz w:val="25"/>
          <w:szCs w:val="25"/>
        </w:rPr>
        <w:t xml:space="preserve">  </w:t>
      </w:r>
      <w:r>
        <w:rPr>
          <w:spacing w:val="29"/>
          <w:sz w:val="25"/>
          <w:szCs w:val="25"/>
        </w:rPr>
        <w:t>应考虑由于特殊技术或工艺要求所产生的费用影响</w:t>
      </w:r>
      <w:r>
        <w:rPr>
          <w:spacing w:val="28"/>
          <w:sz w:val="25"/>
          <w:szCs w:val="25"/>
        </w:rPr>
        <w:t>。费用预测结果不合理时，</w:t>
      </w:r>
      <w:r>
        <w:rPr>
          <w:sz w:val="25"/>
          <w:szCs w:val="25"/>
        </w:rPr>
        <w:t xml:space="preserve"> </w:t>
      </w:r>
      <w:r>
        <w:rPr>
          <w:spacing w:val="20"/>
          <w:sz w:val="25"/>
          <w:szCs w:val="25"/>
        </w:rPr>
        <w:t>应及时调整设计。</w:t>
      </w:r>
    </w:p>
    <w:p w14:paraId="4DCF5E8F">
      <w:pPr>
        <w:spacing w:before="40" w:line="368" w:lineRule="exact"/>
        <w:rPr>
          <w:rFonts w:ascii="黑体" w:hAnsi="黑体" w:eastAsia="黑体" w:cs="黑体"/>
          <w:sz w:val="27"/>
          <w:szCs w:val="27"/>
        </w:rPr>
      </w:pPr>
      <w:r>
        <w:rPr>
          <w:rFonts w:ascii="Arial" w:hAnsi="Arial" w:eastAsia="Arial" w:cs="Arial"/>
          <w:spacing w:val="4"/>
          <w:position w:val="1"/>
          <w:sz w:val="27"/>
          <w:szCs w:val="27"/>
        </w:rPr>
        <w:t>6</w:t>
      </w:r>
      <w:r>
        <w:rPr>
          <w:rFonts w:ascii="Arial" w:hAnsi="Arial" w:eastAsia="Arial" w:cs="Arial"/>
          <w:position w:val="1"/>
          <w:sz w:val="27"/>
          <w:szCs w:val="27"/>
        </w:rPr>
        <w:t xml:space="preserve">    </w:t>
      </w:r>
      <w:r>
        <w:rPr>
          <w:rFonts w:ascii="黑体" w:hAnsi="黑体" w:eastAsia="黑体" w:cs="黑体"/>
          <w:spacing w:val="4"/>
          <w:position w:val="1"/>
          <w:sz w:val="27"/>
          <w:szCs w:val="27"/>
        </w:rPr>
        <w:t>维修性分析方法</w:t>
      </w:r>
    </w:p>
    <w:p w14:paraId="4C38B825">
      <w:pPr>
        <w:pStyle w:val="2"/>
        <w:spacing w:before="103" w:line="219" w:lineRule="auto"/>
        <w:ind w:left="560"/>
      </w:pPr>
      <w:r>
        <w:rPr>
          <w:spacing w:val="-3"/>
        </w:rPr>
        <w:t>选择进行维修性分析的方法，并说明理由。</w:t>
      </w:r>
    </w:p>
    <w:p w14:paraId="344A798A">
      <w:pPr>
        <w:pStyle w:val="2"/>
        <w:spacing w:before="98" w:line="219" w:lineRule="auto"/>
        <w:ind w:left="560"/>
      </w:pPr>
      <w:r>
        <w:rPr>
          <w:spacing w:val="1"/>
        </w:rPr>
        <w:t>可供采用的分析技术如下：</w:t>
      </w:r>
    </w:p>
    <w:p w14:paraId="6F2907B2">
      <w:pPr>
        <w:pStyle w:val="2"/>
        <w:spacing w:before="61" w:line="212" w:lineRule="auto"/>
        <w:ind w:left="560"/>
      </w:pPr>
      <w:r>
        <w:rPr>
          <w:rFonts w:ascii="Times New Roman" w:hAnsi="Times New Roman" w:eastAsia="Times New Roman" w:cs="Times New Roman"/>
          <w:spacing w:val="8"/>
        </w:rPr>
        <w:t xml:space="preserve">a)  </w:t>
      </w:r>
      <w:r>
        <w:rPr>
          <w:spacing w:val="8"/>
        </w:rPr>
        <w:t>故障模式及影响分析(</w:t>
      </w:r>
      <w:r>
        <w:rPr>
          <w:rFonts w:ascii="Times New Roman" w:hAnsi="Times New Roman" w:eastAsia="Times New Roman" w:cs="Times New Roman"/>
        </w:rPr>
        <w:t>FMEA</w:t>
      </w:r>
      <w:r>
        <w:rPr>
          <w:rFonts w:ascii="Times New Roman" w:hAnsi="Times New Roman" w:eastAsia="Times New Roman" w:cs="Times New Roman"/>
          <w:spacing w:val="8"/>
        </w:rPr>
        <w:t>)——</w:t>
      </w:r>
      <w:r>
        <w:rPr>
          <w:spacing w:val="8"/>
        </w:rPr>
        <w:t>维修性信息分析；</w:t>
      </w:r>
    </w:p>
    <w:p w14:paraId="3EDFC759">
      <w:pPr>
        <w:pStyle w:val="2"/>
        <w:spacing w:before="99"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71"/>
          <w:w w:val="101"/>
        </w:rPr>
        <w:t xml:space="preserve"> </w:t>
      </w:r>
      <w:r>
        <w:rPr>
          <w:spacing w:val="2"/>
        </w:rPr>
        <w:t>运用维修性模型；</w:t>
      </w:r>
    </w:p>
    <w:p w14:paraId="57BF105A">
      <w:pPr>
        <w:pStyle w:val="2"/>
        <w:spacing w:before="113" w:line="212" w:lineRule="auto"/>
        <w:ind w:left="560"/>
        <w:rPr>
          <w:sz w:val="24"/>
          <w:szCs w:val="24"/>
        </w:rPr>
      </w:pPr>
      <w:r>
        <w:rPr>
          <w:rFonts w:ascii="Times New Roman" w:hAnsi="Times New Roman" w:eastAsia="Times New Roman" w:cs="Times New Roman"/>
          <w:spacing w:val="26"/>
          <w:sz w:val="24"/>
          <w:szCs w:val="24"/>
        </w:rPr>
        <w:t xml:space="preserve">c)  </w:t>
      </w:r>
      <w:r>
        <w:rPr>
          <w:spacing w:val="26"/>
          <w:sz w:val="24"/>
          <w:szCs w:val="24"/>
        </w:rPr>
        <w:t>运用寿命周期费用模型；</w:t>
      </w:r>
    </w:p>
    <w:p w14:paraId="2FFCA3A8">
      <w:pPr>
        <w:pStyle w:val="2"/>
        <w:spacing w:before="103" w:line="262" w:lineRule="auto"/>
        <w:ind w:right="110" w:firstLine="560"/>
      </w:pPr>
      <w:r>
        <w:rPr>
          <w:rFonts w:ascii="Times New Roman" w:hAnsi="Times New Roman" w:eastAsia="Times New Roman" w:cs="Times New Roman"/>
          <w:spacing w:val="3"/>
        </w:rPr>
        <w:t>d)</w:t>
      </w:r>
      <w:r>
        <w:rPr>
          <w:rFonts w:ascii="Times New Roman" w:hAnsi="Times New Roman" w:eastAsia="Times New Roman" w:cs="Times New Roman"/>
          <w:spacing w:val="58"/>
        </w:rPr>
        <w:t xml:space="preserve"> </w:t>
      </w:r>
      <w:r>
        <w:rPr>
          <w:spacing w:val="3"/>
        </w:rPr>
        <w:t>比较分析，主要是将新研产品与类似产品(比较系统)相比较，利用现有</w:t>
      </w:r>
      <w:r>
        <w:t xml:space="preserve"> </w:t>
      </w:r>
      <w:r>
        <w:rPr>
          <w:spacing w:val="-3"/>
        </w:rPr>
        <w:t>产品已知的特性或关系，包括使用维修中的经验教训，分析产品的维修性及有关</w:t>
      </w:r>
      <w:r>
        <w:rPr>
          <w:spacing w:val="16"/>
        </w:rPr>
        <w:t xml:space="preserve"> </w:t>
      </w:r>
      <w:r>
        <w:rPr>
          <w:spacing w:val="-1"/>
        </w:rPr>
        <w:t>保障问题；</w:t>
      </w:r>
    </w:p>
    <w:p w14:paraId="5B568C0F">
      <w:pPr>
        <w:pStyle w:val="2"/>
        <w:spacing w:before="69" w:line="212" w:lineRule="auto"/>
        <w:ind w:left="560"/>
      </w:pPr>
      <w:r>
        <w:rPr>
          <w:rFonts w:ascii="Times New Roman" w:hAnsi="Times New Roman" w:eastAsia="Times New Roman" w:cs="Times New Roman"/>
          <w:spacing w:val="-2"/>
        </w:rPr>
        <w:t xml:space="preserve">e)  </w:t>
      </w:r>
      <w:r>
        <w:rPr>
          <w:spacing w:val="-2"/>
        </w:rPr>
        <w:t>风险分析；</w:t>
      </w:r>
    </w:p>
    <w:p w14:paraId="09C43D7E">
      <w:pPr>
        <w:pStyle w:val="2"/>
        <w:spacing w:before="122" w:line="212" w:lineRule="auto"/>
        <w:ind w:left="560"/>
        <w:rPr>
          <w:sz w:val="24"/>
          <w:szCs w:val="24"/>
        </w:rPr>
      </w:pPr>
      <w:r>
        <w:rPr>
          <w:rFonts w:ascii="Times New Roman" w:hAnsi="Times New Roman" w:eastAsia="Times New Roman" w:cs="Times New Roman"/>
          <w:spacing w:val="20"/>
          <w:sz w:val="24"/>
          <w:szCs w:val="24"/>
        </w:rPr>
        <w:t>f)</w:t>
      </w:r>
      <w:r>
        <w:rPr>
          <w:rFonts w:ascii="Times New Roman" w:hAnsi="Times New Roman" w:eastAsia="Times New Roman" w:cs="Times New Roman"/>
          <w:spacing w:val="19"/>
          <w:w w:val="101"/>
          <w:sz w:val="24"/>
          <w:szCs w:val="24"/>
        </w:rPr>
        <w:t xml:space="preserve">  </w:t>
      </w:r>
      <w:r>
        <w:rPr>
          <w:spacing w:val="20"/>
          <w:sz w:val="24"/>
          <w:szCs w:val="24"/>
        </w:rPr>
        <w:t>权衡技术。</w:t>
      </w:r>
    </w:p>
    <w:p w14:paraId="220DD6BE">
      <w:pPr>
        <w:spacing w:before="131" w:line="222" w:lineRule="auto"/>
        <w:rPr>
          <w:rFonts w:ascii="黑体" w:hAnsi="黑体" w:eastAsia="黑体" w:cs="黑体"/>
          <w:sz w:val="27"/>
          <w:szCs w:val="27"/>
        </w:rPr>
      </w:pPr>
      <w:r>
        <w:rPr>
          <w:rFonts w:ascii="Arial" w:hAnsi="Arial" w:eastAsia="Arial" w:cs="Arial"/>
          <w:spacing w:val="5"/>
          <w:sz w:val="27"/>
          <w:szCs w:val="27"/>
        </w:rPr>
        <w:t>7</w:t>
      </w:r>
      <w:r>
        <w:rPr>
          <w:rFonts w:ascii="Arial" w:hAnsi="Arial" w:eastAsia="Arial" w:cs="Arial"/>
          <w:spacing w:val="22"/>
          <w:w w:val="101"/>
          <w:sz w:val="27"/>
          <w:szCs w:val="27"/>
        </w:rPr>
        <w:t xml:space="preserve">   </w:t>
      </w:r>
      <w:r>
        <w:rPr>
          <w:rFonts w:ascii="黑体" w:hAnsi="黑体" w:eastAsia="黑体" w:cs="黑体"/>
          <w:spacing w:val="5"/>
          <w:sz w:val="27"/>
          <w:szCs w:val="27"/>
        </w:rPr>
        <w:t>分析过程及结果</w:t>
      </w:r>
    </w:p>
    <w:p w14:paraId="51E539C9">
      <w:pPr>
        <w:pStyle w:val="2"/>
        <w:spacing w:before="98" w:line="219" w:lineRule="auto"/>
        <w:ind w:left="560"/>
      </w:pPr>
      <w:r>
        <w:rPr>
          <w:spacing w:val="-4"/>
        </w:rPr>
        <w:t>说明维修性分析过程及分析结果，应注意：</w:t>
      </w:r>
    </w:p>
    <w:p w14:paraId="5B43F44C">
      <w:pPr>
        <w:pStyle w:val="2"/>
        <w:spacing w:before="89" w:line="212" w:lineRule="auto"/>
        <w:ind w:left="560"/>
      </w:pPr>
      <w:r>
        <w:rPr>
          <w:rFonts w:ascii="Times New Roman" w:hAnsi="Times New Roman" w:eastAsia="Times New Roman" w:cs="Times New Roman"/>
          <w:spacing w:val="-4"/>
        </w:rPr>
        <w:t xml:space="preserve">a)  </w:t>
      </w:r>
      <w:r>
        <w:rPr>
          <w:spacing w:val="-4"/>
        </w:rPr>
        <w:t>装备、维修人员、维修工具或设备必须作为一个</w:t>
      </w:r>
      <w:r>
        <w:rPr>
          <w:spacing w:val="-5"/>
        </w:rPr>
        <w:t>整体来考虑；</w:t>
      </w:r>
    </w:p>
    <w:p w14:paraId="1BBBEE08">
      <w:pPr>
        <w:pStyle w:val="2"/>
        <w:spacing w:before="110" w:line="212" w:lineRule="auto"/>
        <w:ind w:left="560"/>
      </w:pPr>
      <w:r>
        <w:rPr>
          <w:rFonts w:ascii="Times New Roman" w:hAnsi="Times New Roman" w:eastAsia="Times New Roman" w:cs="Times New Roman"/>
          <w:spacing w:val="1"/>
        </w:rPr>
        <w:t xml:space="preserve">b)  </w:t>
      </w:r>
      <w:r>
        <w:rPr>
          <w:spacing w:val="1"/>
        </w:rPr>
        <w:t>测试系统必须作为产品设计的一个组成部分，在</w:t>
      </w:r>
      <w:r>
        <w:t>研制早期就应当考虑；</w:t>
      </w:r>
    </w:p>
    <w:p w14:paraId="1AC148D7">
      <w:pPr>
        <w:pStyle w:val="2"/>
        <w:spacing w:before="90" w:line="212" w:lineRule="auto"/>
        <w:ind w:left="560"/>
      </w:pPr>
      <w:r>
        <w:rPr>
          <w:rFonts w:ascii="Times New Roman" w:hAnsi="Times New Roman" w:eastAsia="Times New Roman" w:cs="Times New Roman"/>
          <w:spacing w:val="3"/>
        </w:rPr>
        <w:t xml:space="preserve">c)  </w:t>
      </w:r>
      <w:r>
        <w:rPr>
          <w:spacing w:val="3"/>
        </w:rPr>
        <w:t>测试系统常常是在产品主要功能之外附加的硬件和软件；</w:t>
      </w:r>
    </w:p>
    <w:p w14:paraId="1C88F55C">
      <w:pPr>
        <w:pStyle w:val="2"/>
        <w:spacing w:before="121" w:line="212" w:lineRule="auto"/>
        <w:ind w:left="560"/>
        <w:rPr>
          <w:sz w:val="25"/>
          <w:szCs w:val="25"/>
        </w:rPr>
      </w:pPr>
      <w:r>
        <w:rPr>
          <w:rFonts w:ascii="Times New Roman" w:hAnsi="Times New Roman" w:eastAsia="Times New Roman" w:cs="Times New Roman"/>
          <w:spacing w:val="21"/>
          <w:sz w:val="25"/>
          <w:szCs w:val="25"/>
        </w:rPr>
        <w:t xml:space="preserve">d)  </w:t>
      </w:r>
      <w:r>
        <w:rPr>
          <w:spacing w:val="21"/>
          <w:sz w:val="25"/>
          <w:szCs w:val="25"/>
        </w:rPr>
        <w:t>测试系统往往会有一定的局限，如不能检测出所有的故障，对部分故障</w:t>
      </w:r>
    </w:p>
    <w:p w14:paraId="0C75A129">
      <w:pPr>
        <w:spacing w:line="212" w:lineRule="auto"/>
        <w:rPr>
          <w:sz w:val="25"/>
          <w:szCs w:val="25"/>
        </w:rPr>
        <w:sectPr>
          <w:footerReference r:id="rId421" w:type="default"/>
          <w:pgSz w:w="11910" w:h="17130"/>
          <w:pgMar w:top="1456" w:right="1465" w:bottom="1584" w:left="949" w:header="0" w:footer="1358" w:gutter="0"/>
          <w:cols w:space="720" w:num="1"/>
        </w:sectPr>
      </w:pPr>
    </w:p>
    <w:p w14:paraId="67345CFE">
      <w:pPr>
        <w:pStyle w:val="2"/>
        <w:spacing w:before="134" w:line="277" w:lineRule="auto"/>
        <w:ind w:right="31"/>
      </w:pPr>
      <w:r>
        <w:rPr>
          <w:spacing w:val="-3"/>
        </w:rPr>
        <w:t>难以隔离定位，甚至有时产品尽管正常工作，但却被指示为有故障等，这些质量</w:t>
      </w:r>
      <w:r>
        <w:rPr>
          <w:spacing w:val="14"/>
        </w:rPr>
        <w:t xml:space="preserve"> </w:t>
      </w:r>
      <w:r>
        <w:rPr>
          <w:spacing w:val="-2"/>
        </w:rPr>
        <w:t>特性影响着维修性、保障性要求与战备完好性目标的实现；</w:t>
      </w:r>
    </w:p>
    <w:p w14:paraId="7C29127C">
      <w:pPr>
        <w:pStyle w:val="2"/>
        <w:spacing w:before="1" w:line="293" w:lineRule="auto"/>
        <w:ind w:right="21" w:firstLine="560"/>
      </w:pPr>
      <w:r>
        <w:rPr>
          <w:rFonts w:ascii="Times New Roman" w:hAnsi="Times New Roman" w:eastAsia="Times New Roman" w:cs="Times New Roman"/>
          <w:spacing w:val="3"/>
        </w:rPr>
        <w:t>e)</w:t>
      </w:r>
      <w:r>
        <w:rPr>
          <w:rFonts w:ascii="Times New Roman" w:hAnsi="Times New Roman" w:eastAsia="Times New Roman" w:cs="Times New Roman"/>
          <w:spacing w:val="63"/>
        </w:rPr>
        <w:t xml:space="preserve"> </w:t>
      </w:r>
      <w:r>
        <w:rPr>
          <w:spacing w:val="3"/>
        </w:rPr>
        <w:t>测试系统的费用在产品的总费用中占有相当大的比重，维修性分析在确</w:t>
      </w:r>
      <w:r>
        <w:t xml:space="preserve"> 定测试系统的设计构成的同时，还要确定测试系统</w:t>
      </w:r>
      <w:r>
        <w:rPr>
          <w:spacing w:val="-1"/>
        </w:rPr>
        <w:t>的质量特性。</w:t>
      </w:r>
    </w:p>
    <w:p w14:paraId="65966716">
      <w:pPr>
        <w:spacing w:line="221" w:lineRule="auto"/>
        <w:rPr>
          <w:rFonts w:ascii="黑体" w:hAnsi="黑体" w:eastAsia="黑体" w:cs="黑体"/>
          <w:sz w:val="25"/>
          <w:szCs w:val="25"/>
        </w:rPr>
      </w:pPr>
      <w:r>
        <w:rPr>
          <w:rFonts w:ascii="黑体" w:hAnsi="黑体" w:eastAsia="黑体" w:cs="黑体"/>
          <w:spacing w:val="20"/>
          <w:sz w:val="25"/>
          <w:szCs w:val="25"/>
        </w:rPr>
        <w:t>8</w:t>
      </w:r>
      <w:r>
        <w:rPr>
          <w:rFonts w:ascii="黑体" w:hAnsi="黑体" w:eastAsia="黑体" w:cs="黑体"/>
          <w:spacing w:val="27"/>
          <w:sz w:val="25"/>
          <w:szCs w:val="25"/>
        </w:rPr>
        <w:t xml:space="preserve">  </w:t>
      </w:r>
      <w:r>
        <w:rPr>
          <w:rFonts w:ascii="黑体" w:hAnsi="黑体" w:eastAsia="黑体" w:cs="黑体"/>
          <w:spacing w:val="20"/>
          <w:sz w:val="25"/>
          <w:szCs w:val="25"/>
        </w:rPr>
        <w:t>更改建议</w:t>
      </w:r>
    </w:p>
    <w:p w14:paraId="4EF3E7FA">
      <w:pPr>
        <w:pStyle w:val="2"/>
        <w:spacing w:before="81" w:line="219" w:lineRule="auto"/>
        <w:ind w:left="560"/>
      </w:pPr>
      <w:r>
        <w:rPr>
          <w:spacing w:val="-2"/>
        </w:rPr>
        <w:t>针对分析结果，提出有关产品设计方面的更改</w:t>
      </w:r>
      <w:r>
        <w:rPr>
          <w:spacing w:val="-3"/>
        </w:rPr>
        <w:t>建议。</w:t>
      </w:r>
    </w:p>
    <w:p w14:paraId="76684E87">
      <w:pPr>
        <w:spacing w:before="97" w:line="221" w:lineRule="auto"/>
        <w:rPr>
          <w:rFonts w:ascii="黑体" w:hAnsi="黑体" w:eastAsia="黑体" w:cs="黑体"/>
          <w:sz w:val="27"/>
          <w:szCs w:val="27"/>
        </w:rPr>
      </w:pPr>
      <w:r>
        <w:rPr>
          <w:rFonts w:ascii="黑体" w:hAnsi="黑体" w:eastAsia="黑体" w:cs="黑体"/>
          <w:spacing w:val="6"/>
          <w:sz w:val="27"/>
          <w:szCs w:val="27"/>
        </w:rPr>
        <w:t>9  资源要求建议</w:t>
      </w:r>
    </w:p>
    <w:p w14:paraId="54B1B0FA">
      <w:pPr>
        <w:pStyle w:val="2"/>
        <w:spacing w:before="78" w:line="219" w:lineRule="auto"/>
        <w:ind w:left="560"/>
      </w:pPr>
      <w:r>
        <w:rPr>
          <w:spacing w:val="2"/>
        </w:rPr>
        <w:t>提出有关后勤资源要求的建议。</w:t>
      </w:r>
    </w:p>
    <w:p w14:paraId="2063B990">
      <w:pPr>
        <w:spacing w:line="343" w:lineRule="auto"/>
        <w:rPr>
          <w:rFonts w:ascii="Arial"/>
          <w:sz w:val="21"/>
        </w:rPr>
      </w:pPr>
    </w:p>
    <w:p w14:paraId="0F93AE9C">
      <w:pPr>
        <w:pStyle w:val="2"/>
        <w:spacing w:before="115" w:line="219" w:lineRule="auto"/>
        <w:ind w:left="3229"/>
        <w:rPr>
          <w:sz w:val="35"/>
          <w:szCs w:val="35"/>
        </w:rPr>
      </w:pPr>
      <w:r>
        <w:rPr>
          <w:spacing w:val="5"/>
          <w:sz w:val="35"/>
          <w:szCs w:val="35"/>
        </w:rPr>
        <w:t>8.10</w:t>
      </w:r>
      <w:r>
        <w:rPr>
          <w:spacing w:val="27"/>
          <w:sz w:val="35"/>
          <w:szCs w:val="35"/>
        </w:rPr>
        <w:t xml:space="preserve">  </w:t>
      </w:r>
      <w:r>
        <w:rPr>
          <w:b/>
          <w:bCs/>
          <w:spacing w:val="5"/>
          <w:sz w:val="35"/>
          <w:szCs w:val="35"/>
        </w:rPr>
        <w:t>抢修性分析</w:t>
      </w:r>
    </w:p>
    <w:p w14:paraId="080CE77D">
      <w:pPr>
        <w:spacing w:line="316" w:lineRule="auto"/>
        <w:rPr>
          <w:rFonts w:ascii="Arial"/>
          <w:sz w:val="21"/>
        </w:rPr>
      </w:pPr>
    </w:p>
    <w:p w14:paraId="7E02E1DD">
      <w:pPr>
        <w:pStyle w:val="2"/>
        <w:spacing w:before="92"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368B—2009</w:t>
      </w:r>
      <w:r>
        <w:rPr>
          <w:spacing w:val="-11"/>
          <w:sz w:val="28"/>
          <w:szCs w:val="28"/>
        </w:rPr>
        <w:t>《</w:t>
      </w:r>
      <w:r>
        <w:rPr>
          <w:rFonts w:ascii="楷体" w:hAnsi="楷体" w:eastAsia="楷体" w:cs="楷体"/>
          <w:spacing w:val="-11"/>
          <w:sz w:val="28"/>
          <w:szCs w:val="28"/>
        </w:rPr>
        <w:t>装备维修性工作通用要求》编写。</w:t>
      </w:r>
    </w:p>
    <w:p w14:paraId="4EBACBBB">
      <w:pPr>
        <w:spacing w:before="99"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9"/>
          <w:sz w:val="27"/>
          <w:szCs w:val="27"/>
        </w:rPr>
        <w:t xml:space="preserve">  </w:t>
      </w:r>
      <w:r>
        <w:rPr>
          <w:rFonts w:ascii="黑体" w:hAnsi="黑体" w:eastAsia="黑体" w:cs="黑体"/>
          <w:spacing w:val="-6"/>
          <w:sz w:val="27"/>
          <w:szCs w:val="27"/>
        </w:rPr>
        <w:t>范围</w:t>
      </w:r>
    </w:p>
    <w:p w14:paraId="14D7F2F4">
      <w:pPr>
        <w:spacing w:before="71" w:line="222" w:lineRule="auto"/>
        <w:rPr>
          <w:rFonts w:ascii="黑体" w:hAnsi="黑体" w:eastAsia="黑体" w:cs="黑体"/>
          <w:sz w:val="27"/>
          <w:szCs w:val="27"/>
        </w:rPr>
      </w:pPr>
      <w:r>
        <w:rPr>
          <w:rFonts w:ascii="黑体" w:hAnsi="黑体" w:eastAsia="黑体" w:cs="黑体"/>
          <w:spacing w:val="4"/>
          <w:sz w:val="27"/>
          <w:szCs w:val="27"/>
        </w:rPr>
        <w:t>2</w:t>
      </w:r>
      <w:r>
        <w:rPr>
          <w:rFonts w:ascii="黑体" w:hAnsi="黑体" w:eastAsia="黑体" w:cs="黑体"/>
          <w:spacing w:val="13"/>
          <w:sz w:val="27"/>
          <w:szCs w:val="27"/>
        </w:rPr>
        <w:t xml:space="preserve">  </w:t>
      </w:r>
      <w:r>
        <w:rPr>
          <w:rFonts w:ascii="黑体" w:hAnsi="黑体" w:eastAsia="黑体" w:cs="黑体"/>
          <w:spacing w:val="4"/>
          <w:sz w:val="27"/>
          <w:szCs w:val="27"/>
        </w:rPr>
        <w:t>引用文件</w:t>
      </w:r>
    </w:p>
    <w:p w14:paraId="109D09B4">
      <w:pPr>
        <w:spacing w:before="87"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4"/>
          <w:sz w:val="27"/>
          <w:szCs w:val="27"/>
        </w:rPr>
        <w:t xml:space="preserve">  </w:t>
      </w:r>
      <w:r>
        <w:rPr>
          <w:rFonts w:ascii="黑体" w:hAnsi="黑体" w:eastAsia="黑体" w:cs="黑体"/>
          <w:spacing w:val="1"/>
          <w:sz w:val="27"/>
          <w:szCs w:val="27"/>
        </w:rPr>
        <w:t>数据与信息</w:t>
      </w:r>
    </w:p>
    <w:p w14:paraId="436F4A19">
      <w:pPr>
        <w:pStyle w:val="2"/>
        <w:spacing w:before="95" w:line="219" w:lineRule="auto"/>
        <w:ind w:left="560"/>
      </w:pPr>
      <w:r>
        <w:rPr>
          <w:spacing w:val="-2"/>
        </w:rPr>
        <w:t>说明进行战场抢修和抢修性分析的数据与信息，应包括：</w:t>
      </w:r>
    </w:p>
    <w:p w14:paraId="2C620417">
      <w:pPr>
        <w:pStyle w:val="2"/>
        <w:spacing w:before="90" w:line="219" w:lineRule="auto"/>
        <w:ind w:left="560"/>
      </w:pPr>
      <w:r>
        <w:rPr>
          <w:rFonts w:ascii="Times New Roman" w:hAnsi="Times New Roman" w:eastAsia="Times New Roman" w:cs="Times New Roman"/>
          <w:spacing w:val="12"/>
        </w:rPr>
        <w:t>a</w:t>
      </w:r>
      <w:r>
        <w:rPr>
          <w:spacing w:val="12"/>
        </w:rPr>
        <w:t>)装备概况；</w:t>
      </w:r>
    </w:p>
    <w:p w14:paraId="7100671D">
      <w:pPr>
        <w:pStyle w:val="2"/>
        <w:spacing w:before="49"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79"/>
        </w:rPr>
        <w:t xml:space="preserve"> </w:t>
      </w:r>
      <w:r>
        <w:rPr>
          <w:spacing w:val="4"/>
        </w:rPr>
        <w:t>装备的作战任务及环境的详细信息；</w:t>
      </w:r>
    </w:p>
    <w:p w14:paraId="5502EFCD">
      <w:pPr>
        <w:pStyle w:val="2"/>
        <w:spacing w:before="122" w:line="220" w:lineRule="auto"/>
        <w:ind w:left="560"/>
      </w:pPr>
      <w:r>
        <w:rPr>
          <w:rFonts w:ascii="Times New Roman" w:hAnsi="Times New Roman" w:eastAsia="Times New Roman" w:cs="Times New Roman"/>
          <w:spacing w:val="9"/>
        </w:rPr>
        <w:t>c</w:t>
      </w:r>
      <w:r>
        <w:rPr>
          <w:spacing w:val="9"/>
        </w:rPr>
        <w:t>)可能的作战威胁情况；</w:t>
      </w:r>
    </w:p>
    <w:p w14:paraId="1C0298FF">
      <w:pPr>
        <w:pStyle w:val="2"/>
        <w:spacing w:before="56" w:line="212" w:lineRule="auto"/>
        <w:ind w:left="560"/>
      </w:pPr>
      <w:r>
        <w:rPr>
          <w:rFonts w:ascii="Times New Roman" w:hAnsi="Times New Roman" w:eastAsia="Times New Roman" w:cs="Times New Roman"/>
          <w:spacing w:val="4"/>
        </w:rPr>
        <w:t>d)</w:t>
      </w:r>
      <w:r>
        <w:rPr>
          <w:rFonts w:ascii="Times New Roman" w:hAnsi="Times New Roman" w:eastAsia="Times New Roman" w:cs="Times New Roman"/>
          <w:spacing w:val="71"/>
        </w:rPr>
        <w:t xml:space="preserve"> </w:t>
      </w:r>
      <w:r>
        <w:rPr>
          <w:spacing w:val="4"/>
        </w:rPr>
        <w:t>产品故障和战斗损伤的信息；</w:t>
      </w:r>
    </w:p>
    <w:p w14:paraId="6493A394">
      <w:pPr>
        <w:pStyle w:val="2"/>
        <w:spacing w:before="110" w:line="212" w:lineRule="auto"/>
        <w:ind w:left="560"/>
      </w:pPr>
      <w:r>
        <w:rPr>
          <w:rFonts w:ascii="Times New Roman" w:hAnsi="Times New Roman" w:eastAsia="Times New Roman" w:cs="Times New Roman"/>
          <w:spacing w:val="2"/>
        </w:rPr>
        <w:t>e)</w:t>
      </w:r>
      <w:r>
        <w:rPr>
          <w:rFonts w:ascii="Times New Roman" w:hAnsi="Times New Roman" w:eastAsia="Times New Roman" w:cs="Times New Roman"/>
          <w:spacing w:val="64"/>
          <w:w w:val="101"/>
        </w:rPr>
        <w:t xml:space="preserve"> </w:t>
      </w:r>
      <w:r>
        <w:rPr>
          <w:spacing w:val="2"/>
        </w:rPr>
        <w:t>装备维修保障信息；</w:t>
      </w:r>
    </w:p>
    <w:p w14:paraId="483FF4CA">
      <w:pPr>
        <w:pStyle w:val="2"/>
        <w:spacing w:before="90" w:line="212" w:lineRule="auto"/>
        <w:ind w:left="560"/>
      </w:pPr>
      <w:r>
        <w:rPr>
          <w:rFonts w:ascii="Times New Roman" w:hAnsi="Times New Roman" w:eastAsia="Times New Roman" w:cs="Times New Roman"/>
          <w:spacing w:val="2"/>
        </w:rPr>
        <w:t xml:space="preserve">f)  </w:t>
      </w:r>
      <w:r>
        <w:rPr>
          <w:spacing w:val="2"/>
        </w:rPr>
        <w:t>战时可能获得的保障资源信息；</w:t>
      </w:r>
    </w:p>
    <w:p w14:paraId="6DE15F70">
      <w:pPr>
        <w:pStyle w:val="2"/>
        <w:spacing w:before="120" w:line="212" w:lineRule="auto"/>
        <w:ind w:left="560"/>
      </w:pPr>
      <w:r>
        <w:rPr>
          <w:rFonts w:ascii="Times New Roman" w:hAnsi="Times New Roman" w:eastAsia="Times New Roman" w:cs="Times New Roman"/>
          <w:spacing w:val="10"/>
        </w:rPr>
        <w:t>g</w:t>
      </w:r>
      <w:r>
        <w:rPr>
          <w:spacing w:val="10"/>
        </w:rPr>
        <w:t>)类似装备的上述信息等。</w:t>
      </w:r>
    </w:p>
    <w:p w14:paraId="6D26583E">
      <w:pPr>
        <w:spacing w:before="99" w:line="222" w:lineRule="auto"/>
        <w:rPr>
          <w:rFonts w:ascii="黑体" w:hAnsi="黑体" w:eastAsia="黑体" w:cs="黑体"/>
          <w:sz w:val="27"/>
          <w:szCs w:val="27"/>
        </w:rPr>
      </w:pPr>
      <w:r>
        <w:rPr>
          <w:rFonts w:ascii="Arial" w:hAnsi="Arial" w:eastAsia="Arial" w:cs="Arial"/>
          <w:spacing w:val="4"/>
          <w:sz w:val="27"/>
          <w:szCs w:val="27"/>
        </w:rPr>
        <w:t>4</w:t>
      </w:r>
      <w:r>
        <w:rPr>
          <w:rFonts w:ascii="Arial" w:hAnsi="Arial" w:eastAsia="Arial" w:cs="Arial"/>
          <w:spacing w:val="18"/>
          <w:sz w:val="27"/>
          <w:szCs w:val="27"/>
        </w:rPr>
        <w:t xml:space="preserve">   </w:t>
      </w:r>
      <w:r>
        <w:rPr>
          <w:rFonts w:ascii="黑体" w:hAnsi="黑体" w:eastAsia="黑体" w:cs="黑体"/>
          <w:spacing w:val="4"/>
          <w:sz w:val="27"/>
          <w:szCs w:val="27"/>
        </w:rPr>
        <w:t>确定潜在战场损伤</w:t>
      </w:r>
    </w:p>
    <w:p w14:paraId="4FD920A2">
      <w:pPr>
        <w:pStyle w:val="2"/>
        <w:spacing w:before="97" w:line="263" w:lineRule="auto"/>
        <w:ind w:firstLine="560"/>
      </w:pPr>
      <w:r>
        <w:rPr>
          <w:spacing w:val="6"/>
        </w:rPr>
        <w:t>根据产品的预定作战任务对产品基本功能项目进行分析，确定潜在战场损</w:t>
      </w:r>
      <w:r>
        <w:t xml:space="preserve"> </w:t>
      </w:r>
      <w:r>
        <w:rPr>
          <w:spacing w:val="-9"/>
        </w:rPr>
        <w:t>伤，必要时应进行模拟试验。</w:t>
      </w:r>
    </w:p>
    <w:p w14:paraId="4A0D6038">
      <w:pPr>
        <w:spacing w:line="368" w:lineRule="exact"/>
        <w:rPr>
          <w:rFonts w:ascii="黑体" w:hAnsi="黑体" w:eastAsia="黑体" w:cs="黑体"/>
          <w:sz w:val="27"/>
          <w:szCs w:val="27"/>
        </w:rPr>
      </w:pPr>
      <w:r>
        <w:rPr>
          <w:rFonts w:ascii="Arial" w:hAnsi="Arial" w:eastAsia="Arial" w:cs="Arial"/>
          <w:spacing w:val="3"/>
          <w:position w:val="1"/>
          <w:sz w:val="27"/>
          <w:szCs w:val="27"/>
        </w:rPr>
        <w:t>5</w:t>
      </w:r>
      <w:r>
        <w:rPr>
          <w:rFonts w:ascii="Arial" w:hAnsi="Arial" w:eastAsia="Arial" w:cs="Arial"/>
          <w:spacing w:val="19"/>
          <w:position w:val="1"/>
          <w:sz w:val="27"/>
          <w:szCs w:val="27"/>
        </w:rPr>
        <w:t xml:space="preserve">   </w:t>
      </w:r>
      <w:r>
        <w:rPr>
          <w:rFonts w:ascii="黑体" w:hAnsi="黑体" w:eastAsia="黑体" w:cs="黑体"/>
          <w:spacing w:val="3"/>
          <w:position w:val="1"/>
          <w:sz w:val="27"/>
          <w:szCs w:val="27"/>
        </w:rPr>
        <w:t>抢修工作类型分析</w:t>
      </w:r>
    </w:p>
    <w:p w14:paraId="1D05232D">
      <w:pPr>
        <w:pStyle w:val="2"/>
        <w:spacing w:before="120" w:line="293" w:lineRule="auto"/>
        <w:ind w:right="20" w:firstLine="560"/>
        <w:jc w:val="both"/>
        <w:rPr>
          <w:sz w:val="25"/>
          <w:szCs w:val="25"/>
        </w:rPr>
      </w:pPr>
      <w:r>
        <w:rPr>
          <w:spacing w:val="16"/>
          <w:sz w:val="25"/>
          <w:szCs w:val="25"/>
        </w:rPr>
        <w:t>以产品</w:t>
      </w:r>
      <w:r>
        <w:rPr>
          <w:rFonts w:ascii="Times New Roman" w:hAnsi="Times New Roman" w:eastAsia="Times New Roman" w:cs="Times New Roman"/>
          <w:sz w:val="25"/>
          <w:szCs w:val="25"/>
        </w:rPr>
        <w:t>FMEA</w:t>
      </w:r>
      <w:r>
        <w:rPr>
          <w:rFonts w:ascii="Times New Roman" w:hAnsi="Times New Roman" w:eastAsia="Times New Roman" w:cs="Times New Roman"/>
          <w:spacing w:val="-35"/>
          <w:sz w:val="25"/>
          <w:szCs w:val="25"/>
        </w:rPr>
        <w:t xml:space="preserve"> </w:t>
      </w:r>
      <w:r>
        <w:rPr>
          <w:spacing w:val="16"/>
          <w:sz w:val="25"/>
          <w:szCs w:val="25"/>
        </w:rPr>
        <w:t>、</w:t>
      </w:r>
      <w:r>
        <w:rPr>
          <w:rFonts w:ascii="Times New Roman" w:hAnsi="Times New Roman" w:eastAsia="Times New Roman" w:cs="Times New Roman"/>
          <w:sz w:val="25"/>
          <w:szCs w:val="25"/>
        </w:rPr>
        <w:t>DMEA</w:t>
      </w:r>
      <w:r>
        <w:rPr>
          <w:rFonts w:ascii="Times New Roman" w:hAnsi="Times New Roman" w:eastAsia="Times New Roman" w:cs="Times New Roman"/>
          <w:spacing w:val="24"/>
          <w:w w:val="101"/>
          <w:sz w:val="25"/>
          <w:szCs w:val="25"/>
        </w:rPr>
        <w:t xml:space="preserve">  </w:t>
      </w:r>
      <w:r>
        <w:rPr>
          <w:spacing w:val="16"/>
          <w:sz w:val="25"/>
          <w:szCs w:val="25"/>
        </w:rPr>
        <w:t>分析为依据，对战场损伤进行逻辑决断</w:t>
      </w:r>
      <w:r>
        <w:rPr>
          <w:spacing w:val="15"/>
          <w:sz w:val="25"/>
          <w:szCs w:val="25"/>
        </w:rPr>
        <w:t>，确定适当的</w:t>
      </w:r>
      <w:r>
        <w:rPr>
          <w:sz w:val="25"/>
          <w:szCs w:val="25"/>
        </w:rPr>
        <w:t xml:space="preserve"> </w:t>
      </w:r>
      <w:r>
        <w:rPr>
          <w:spacing w:val="10"/>
          <w:sz w:val="25"/>
          <w:szCs w:val="25"/>
        </w:rPr>
        <w:t xml:space="preserve">抢修工作类型。常见的抢修方式有切换、切除、重构、拆换、替代、原件修复、制 </w:t>
      </w:r>
      <w:r>
        <w:rPr>
          <w:spacing w:val="8"/>
          <w:sz w:val="25"/>
          <w:szCs w:val="25"/>
        </w:rPr>
        <w:t>配等。</w:t>
      </w:r>
    </w:p>
    <w:p w14:paraId="773FBD4E">
      <w:pPr>
        <w:spacing w:before="1" w:line="220" w:lineRule="auto"/>
        <w:rPr>
          <w:rFonts w:ascii="黑体" w:hAnsi="黑体" w:eastAsia="黑体" w:cs="黑体"/>
          <w:sz w:val="27"/>
          <w:szCs w:val="27"/>
        </w:rPr>
      </w:pPr>
      <w:r>
        <w:rPr>
          <w:rFonts w:ascii="黑体" w:hAnsi="黑体" w:eastAsia="黑体" w:cs="黑体"/>
          <w:spacing w:val="4"/>
          <w:sz w:val="27"/>
          <w:szCs w:val="27"/>
        </w:rPr>
        <w:t>6</w:t>
      </w:r>
      <w:r>
        <w:rPr>
          <w:rFonts w:ascii="黑体" w:hAnsi="黑体" w:eastAsia="黑体" w:cs="黑体"/>
          <w:spacing w:val="13"/>
          <w:sz w:val="27"/>
          <w:szCs w:val="27"/>
        </w:rPr>
        <w:t xml:space="preserve">  </w:t>
      </w:r>
      <w:r>
        <w:rPr>
          <w:rFonts w:ascii="黑体" w:hAnsi="黑体" w:eastAsia="黑体" w:cs="黑体"/>
          <w:spacing w:val="4"/>
          <w:sz w:val="27"/>
          <w:szCs w:val="27"/>
        </w:rPr>
        <w:t>资源要求建议</w:t>
      </w:r>
    </w:p>
    <w:p w14:paraId="7EB2DA23">
      <w:pPr>
        <w:pStyle w:val="2"/>
        <w:spacing w:before="77" w:line="218" w:lineRule="auto"/>
        <w:ind w:left="560"/>
      </w:pPr>
      <w:r>
        <w:rPr>
          <w:spacing w:val="-3"/>
        </w:rPr>
        <w:t>分析和评价装备抢修所需资源，提出资源要求建议。</w:t>
      </w:r>
    </w:p>
    <w:p w14:paraId="305C4014">
      <w:pPr>
        <w:spacing w:before="131" w:line="222" w:lineRule="auto"/>
        <w:rPr>
          <w:rFonts w:ascii="黑体" w:hAnsi="黑体" w:eastAsia="黑体" w:cs="黑体"/>
          <w:sz w:val="24"/>
          <w:szCs w:val="24"/>
        </w:rPr>
      </w:pPr>
      <w:r>
        <w:rPr>
          <w:rFonts w:ascii="黑体" w:hAnsi="黑体" w:eastAsia="黑体" w:cs="黑体"/>
          <w:spacing w:val="27"/>
          <w:sz w:val="24"/>
          <w:szCs w:val="24"/>
        </w:rPr>
        <w:t>7</w:t>
      </w:r>
      <w:r>
        <w:rPr>
          <w:rFonts w:ascii="黑体" w:hAnsi="黑体" w:eastAsia="黑体" w:cs="黑体"/>
          <w:spacing w:val="37"/>
          <w:sz w:val="24"/>
          <w:szCs w:val="24"/>
        </w:rPr>
        <w:t xml:space="preserve">  </w:t>
      </w:r>
      <w:r>
        <w:rPr>
          <w:rFonts w:ascii="黑体" w:hAnsi="黑体" w:eastAsia="黑体" w:cs="黑体"/>
          <w:spacing w:val="27"/>
          <w:sz w:val="24"/>
          <w:szCs w:val="24"/>
        </w:rPr>
        <w:t>更改建议</w:t>
      </w:r>
    </w:p>
    <w:p w14:paraId="39F9194A">
      <w:pPr>
        <w:pStyle w:val="2"/>
        <w:spacing w:before="112" w:line="218" w:lineRule="auto"/>
        <w:ind w:right="6"/>
        <w:jc w:val="right"/>
      </w:pPr>
      <w:r>
        <w:rPr>
          <w:spacing w:val="-3"/>
        </w:rPr>
        <w:t>对预想的战场损伤及其抢修方法的快速、方便、有效性进行分析评估，主要</w:t>
      </w:r>
    </w:p>
    <w:p w14:paraId="4037D780">
      <w:pPr>
        <w:spacing w:line="218" w:lineRule="auto"/>
        <w:sectPr>
          <w:footerReference r:id="rId422" w:type="default"/>
          <w:pgSz w:w="11910" w:h="17130"/>
          <w:pgMar w:top="1456" w:right="887" w:bottom="1526" w:left="1630" w:header="0" w:footer="1337" w:gutter="0"/>
          <w:cols w:space="720" w:num="1"/>
        </w:sectPr>
      </w:pPr>
    </w:p>
    <w:p w14:paraId="1A1634E2">
      <w:pPr>
        <w:pStyle w:val="2"/>
        <w:spacing w:before="145" w:line="219" w:lineRule="auto"/>
      </w:pPr>
      <w:r>
        <w:rPr>
          <w:spacing w:val="-6"/>
        </w:rPr>
        <w:t>内容包括：</w:t>
      </w:r>
    </w:p>
    <w:p w14:paraId="53A6F518">
      <w:pPr>
        <w:pStyle w:val="2"/>
        <w:spacing w:before="91" w:line="212" w:lineRule="auto"/>
        <w:ind w:left="539"/>
        <w:rPr>
          <w:sz w:val="24"/>
          <w:szCs w:val="24"/>
        </w:rPr>
      </w:pPr>
      <w:r>
        <w:rPr>
          <w:rFonts w:ascii="Times New Roman" w:hAnsi="Times New Roman" w:eastAsia="Times New Roman" w:cs="Times New Roman"/>
          <w:spacing w:val="28"/>
          <w:sz w:val="24"/>
          <w:szCs w:val="24"/>
        </w:rPr>
        <w:t xml:space="preserve">a)  </w:t>
      </w:r>
      <w:r>
        <w:rPr>
          <w:spacing w:val="28"/>
          <w:sz w:val="24"/>
          <w:szCs w:val="24"/>
        </w:rPr>
        <w:t>抢修性要求与其他特性要求权衡；</w:t>
      </w:r>
    </w:p>
    <w:p w14:paraId="6FF5CEE2">
      <w:pPr>
        <w:pStyle w:val="2"/>
        <w:spacing w:before="102" w:line="212" w:lineRule="auto"/>
        <w:ind w:left="539"/>
      </w:pPr>
      <w:r>
        <w:rPr>
          <w:rFonts w:ascii="Times New Roman" w:hAnsi="Times New Roman" w:eastAsia="Times New Roman" w:cs="Times New Roman"/>
          <w:spacing w:val="3"/>
        </w:rPr>
        <w:t>b)</w:t>
      </w:r>
      <w:r>
        <w:rPr>
          <w:rFonts w:ascii="Times New Roman" w:hAnsi="Times New Roman" w:eastAsia="Times New Roman" w:cs="Times New Roman"/>
          <w:spacing w:val="59"/>
        </w:rPr>
        <w:t xml:space="preserve"> </w:t>
      </w:r>
      <w:r>
        <w:rPr>
          <w:spacing w:val="3"/>
        </w:rPr>
        <w:t>损伤评估与修复时间分析；</w:t>
      </w:r>
    </w:p>
    <w:p w14:paraId="08D6690C">
      <w:pPr>
        <w:pStyle w:val="2"/>
        <w:spacing w:before="79" w:line="212" w:lineRule="auto"/>
        <w:ind w:left="539"/>
      </w:pPr>
      <w:r>
        <w:rPr>
          <w:rFonts w:ascii="Times New Roman" w:hAnsi="Times New Roman" w:eastAsia="Times New Roman" w:cs="Times New Roman"/>
          <w:spacing w:val="2"/>
        </w:rPr>
        <w:t>c)</w:t>
      </w:r>
      <w:r>
        <w:rPr>
          <w:rFonts w:ascii="Times New Roman" w:hAnsi="Times New Roman" w:eastAsia="Times New Roman" w:cs="Times New Roman"/>
          <w:spacing w:val="68"/>
        </w:rPr>
        <w:t xml:space="preserve"> </w:t>
      </w:r>
      <w:r>
        <w:rPr>
          <w:spacing w:val="2"/>
        </w:rPr>
        <w:t>损伤评估与修复时间预计；</w:t>
      </w:r>
    </w:p>
    <w:p w14:paraId="69AF0AF9">
      <w:pPr>
        <w:pStyle w:val="2"/>
        <w:spacing w:before="99" w:line="212" w:lineRule="auto"/>
        <w:ind w:left="539"/>
      </w:pPr>
      <w:r>
        <w:rPr>
          <w:rFonts w:ascii="Times New Roman" w:hAnsi="Times New Roman" w:eastAsia="Times New Roman" w:cs="Times New Roman"/>
          <w:spacing w:val="2"/>
        </w:rPr>
        <w:t xml:space="preserve">d)  </w:t>
      </w:r>
      <w:r>
        <w:rPr>
          <w:spacing w:val="2"/>
        </w:rPr>
        <w:t>损伤快速检测与定位有效性分析；</w:t>
      </w:r>
    </w:p>
    <w:p w14:paraId="346CB709">
      <w:pPr>
        <w:pStyle w:val="2"/>
        <w:spacing w:before="128" w:line="218" w:lineRule="auto"/>
        <w:ind w:left="539"/>
      </w:pPr>
      <w:r>
        <w:rPr>
          <w:rFonts w:ascii="Times New Roman" w:hAnsi="Times New Roman" w:eastAsia="Times New Roman" w:cs="Times New Roman"/>
          <w:spacing w:val="5"/>
        </w:rPr>
        <w:t>e</w:t>
      </w:r>
      <w:r>
        <w:rPr>
          <w:rFonts w:ascii="Times New Roman" w:hAnsi="Times New Roman" w:eastAsia="Times New Roman" w:cs="Times New Roman"/>
          <w:spacing w:val="-24"/>
        </w:rPr>
        <w:t xml:space="preserve"> </w:t>
      </w:r>
      <w:r>
        <w:rPr>
          <w:spacing w:val="5"/>
        </w:rPr>
        <w:t>)损伤评估与修复安全性分析；</w:t>
      </w:r>
    </w:p>
    <w:p w14:paraId="5EBCF67A">
      <w:pPr>
        <w:pStyle w:val="2"/>
        <w:spacing w:before="53" w:line="212" w:lineRule="auto"/>
        <w:ind w:left="539"/>
      </w:pPr>
      <w:r>
        <w:rPr>
          <w:rFonts w:ascii="Times New Roman" w:hAnsi="Times New Roman" w:eastAsia="Times New Roman" w:cs="Times New Roman"/>
          <w:spacing w:val="3"/>
        </w:rPr>
        <w:t>f)</w:t>
      </w:r>
      <w:r>
        <w:rPr>
          <w:rFonts w:ascii="Times New Roman" w:hAnsi="Times New Roman" w:eastAsia="Times New Roman" w:cs="Times New Roman"/>
          <w:spacing w:val="54"/>
          <w:w w:val="101"/>
        </w:rPr>
        <w:t xml:space="preserve"> </w:t>
      </w:r>
      <w:r>
        <w:rPr>
          <w:spacing w:val="3"/>
        </w:rPr>
        <w:t>损伤评估与修复资源评估。</w:t>
      </w:r>
    </w:p>
    <w:p w14:paraId="79A70E9B">
      <w:pPr>
        <w:pStyle w:val="2"/>
        <w:spacing w:before="131" w:line="219" w:lineRule="auto"/>
        <w:ind w:left="539"/>
      </w:pPr>
      <w:r>
        <w:rPr>
          <w:spacing w:val="2"/>
        </w:rPr>
        <w:t>对抢修性的薄弱环节提出改进意见。</w:t>
      </w:r>
    </w:p>
    <w:p w14:paraId="2EEC1177">
      <w:pPr>
        <w:spacing w:line="309" w:lineRule="auto"/>
        <w:rPr>
          <w:rFonts w:ascii="Arial"/>
          <w:sz w:val="21"/>
        </w:rPr>
      </w:pPr>
    </w:p>
    <w:p w14:paraId="2F33996D">
      <w:pPr>
        <w:pStyle w:val="2"/>
        <w:spacing w:before="117" w:line="219" w:lineRule="auto"/>
        <w:ind w:left="2859"/>
        <w:rPr>
          <w:sz w:val="36"/>
          <w:szCs w:val="36"/>
        </w:rPr>
      </w:pPr>
      <w:r>
        <w:rPr>
          <w:sz w:val="36"/>
          <w:szCs w:val="36"/>
        </w:rPr>
        <w:t>8.11</w:t>
      </w:r>
      <w:r>
        <w:rPr>
          <w:spacing w:val="24"/>
          <w:sz w:val="36"/>
          <w:szCs w:val="36"/>
        </w:rPr>
        <w:t xml:space="preserve">  </w:t>
      </w:r>
      <w:r>
        <w:rPr>
          <w:b/>
          <w:bCs/>
          <w:sz w:val="36"/>
          <w:szCs w:val="36"/>
        </w:rPr>
        <w:t>维修性设计准则</w:t>
      </w:r>
    </w:p>
    <w:p w14:paraId="6DD2C61F">
      <w:pPr>
        <w:spacing w:line="324" w:lineRule="auto"/>
        <w:rPr>
          <w:rFonts w:ascii="Arial"/>
          <w:sz w:val="21"/>
        </w:rPr>
      </w:pPr>
    </w:p>
    <w:p w14:paraId="0B595FBE">
      <w:pPr>
        <w:pStyle w:val="2"/>
        <w:spacing w:before="92" w:line="223" w:lineRule="auto"/>
        <w:ind w:left="539"/>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color w:val="505040"/>
          <w:spacing w:val="-11"/>
          <w:sz w:val="28"/>
          <w:szCs w:val="28"/>
        </w:rPr>
        <w:t>GJB 368B—2009</w:t>
      </w:r>
      <w:r>
        <w:rPr>
          <w:color w:val="505040"/>
          <w:spacing w:val="-11"/>
          <w:sz w:val="28"/>
          <w:szCs w:val="28"/>
        </w:rPr>
        <w:t>《</w:t>
      </w:r>
      <w:r>
        <w:rPr>
          <w:rFonts w:ascii="楷体" w:hAnsi="楷体" w:eastAsia="楷体" w:cs="楷体"/>
          <w:color w:val="505040"/>
          <w:spacing w:val="-11"/>
          <w:sz w:val="28"/>
          <w:szCs w:val="28"/>
        </w:rPr>
        <w:t>装备维修性工作通用要求》编写。</w:t>
      </w:r>
    </w:p>
    <w:p w14:paraId="18610C32">
      <w:pPr>
        <w:spacing w:before="9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7"/>
          <w:sz w:val="27"/>
          <w:szCs w:val="27"/>
        </w:rPr>
        <w:t xml:space="preserve">  </w:t>
      </w:r>
      <w:r>
        <w:rPr>
          <w:rFonts w:ascii="黑体" w:hAnsi="黑体" w:eastAsia="黑体" w:cs="黑体"/>
          <w:b/>
          <w:bCs/>
          <w:spacing w:val="-8"/>
          <w:sz w:val="27"/>
          <w:szCs w:val="27"/>
        </w:rPr>
        <w:t>范围</w:t>
      </w:r>
    </w:p>
    <w:p w14:paraId="4B002A4C">
      <w:pPr>
        <w:spacing w:before="8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8"/>
          <w:sz w:val="27"/>
          <w:szCs w:val="27"/>
        </w:rPr>
        <w:t xml:space="preserve">  </w:t>
      </w:r>
      <w:r>
        <w:rPr>
          <w:rFonts w:ascii="黑体" w:hAnsi="黑体" w:eastAsia="黑体" w:cs="黑体"/>
          <w:b/>
          <w:bCs/>
          <w:spacing w:val="-3"/>
          <w:sz w:val="27"/>
          <w:szCs w:val="27"/>
        </w:rPr>
        <w:t>引用文件</w:t>
      </w:r>
    </w:p>
    <w:p w14:paraId="28A2CFEA">
      <w:pPr>
        <w:spacing w:before="85" w:line="221" w:lineRule="auto"/>
        <w:rPr>
          <w:rFonts w:ascii="黑体" w:hAnsi="黑体" w:eastAsia="黑体" w:cs="黑体"/>
          <w:sz w:val="27"/>
          <w:szCs w:val="27"/>
        </w:rPr>
      </w:pPr>
      <w:r>
        <w:rPr>
          <w:rFonts w:ascii="Arial" w:hAnsi="Arial" w:eastAsia="Arial" w:cs="Arial"/>
          <w:b/>
          <w:bCs/>
          <w:spacing w:val="-6"/>
          <w:sz w:val="27"/>
          <w:szCs w:val="27"/>
        </w:rPr>
        <w:t>3</w:t>
      </w:r>
      <w:r>
        <w:rPr>
          <w:rFonts w:ascii="Arial" w:hAnsi="Arial" w:eastAsia="Arial" w:cs="Arial"/>
          <w:b/>
          <w:bCs/>
          <w:spacing w:val="16"/>
          <w:sz w:val="27"/>
          <w:szCs w:val="27"/>
        </w:rPr>
        <w:t xml:space="preserve">   </w:t>
      </w:r>
      <w:r>
        <w:rPr>
          <w:rFonts w:ascii="黑体" w:hAnsi="黑体" w:eastAsia="黑体" w:cs="黑体"/>
          <w:b/>
          <w:bCs/>
          <w:spacing w:val="-6"/>
          <w:sz w:val="27"/>
          <w:szCs w:val="27"/>
        </w:rPr>
        <w:t>产品概述</w:t>
      </w:r>
    </w:p>
    <w:p w14:paraId="14353D67">
      <w:pPr>
        <w:pStyle w:val="2"/>
        <w:spacing w:before="93" w:line="219" w:lineRule="auto"/>
        <w:jc w:val="right"/>
      </w:pPr>
      <w:r>
        <w:rPr>
          <w:spacing w:val="-8"/>
        </w:rPr>
        <w:t>说明产品名称、型号、功能和配套关系；产品合同规定的维修性定性要求等。</w:t>
      </w:r>
    </w:p>
    <w:p w14:paraId="6A297A5E">
      <w:pPr>
        <w:spacing w:before="84" w:line="222" w:lineRule="auto"/>
        <w:rPr>
          <w:rFonts w:ascii="黑体" w:hAnsi="黑体" w:eastAsia="黑体" w:cs="黑体"/>
          <w:sz w:val="27"/>
          <w:szCs w:val="27"/>
        </w:rPr>
      </w:pPr>
      <w:r>
        <w:rPr>
          <w:rFonts w:ascii="黑体" w:hAnsi="黑体" w:eastAsia="黑体" w:cs="黑体"/>
          <w:spacing w:val="1"/>
          <w:sz w:val="27"/>
          <w:szCs w:val="27"/>
        </w:rPr>
        <w:t xml:space="preserve">4  </w:t>
      </w:r>
      <w:r>
        <w:rPr>
          <w:rFonts w:ascii="黑体" w:hAnsi="黑体" w:eastAsia="黑体" w:cs="黑体"/>
          <w:b/>
          <w:bCs/>
          <w:spacing w:val="1"/>
          <w:sz w:val="27"/>
          <w:szCs w:val="27"/>
        </w:rPr>
        <w:t>维修性设计准则</w:t>
      </w:r>
    </w:p>
    <w:p w14:paraId="03501418">
      <w:pPr>
        <w:pStyle w:val="2"/>
        <w:spacing w:before="82" w:line="280" w:lineRule="auto"/>
        <w:ind w:right="92" w:firstLine="539"/>
        <w:jc w:val="both"/>
      </w:pPr>
      <w:r>
        <w:rPr>
          <w:spacing w:val="6"/>
        </w:rPr>
        <w:t>阐述维修性设计准则。维修性设计准则是用于指导产品设计的各种技术原</w:t>
      </w:r>
      <w:r>
        <w:t xml:space="preserve"> </w:t>
      </w:r>
      <w:r>
        <w:rPr>
          <w:spacing w:val="5"/>
        </w:rPr>
        <w:t>则和措施。设计准则除应包括一般原则(总体要求)外，还应包括产品各组成部</w:t>
      </w:r>
      <w:r>
        <w:rPr>
          <w:spacing w:val="8"/>
        </w:rPr>
        <w:t xml:space="preserve"> </w:t>
      </w:r>
      <w:r>
        <w:rPr>
          <w:spacing w:val="3"/>
        </w:rPr>
        <w:t>分维修性设计的原则或指南。通用设计准则如下。</w:t>
      </w:r>
    </w:p>
    <w:p w14:paraId="6661B678">
      <w:pPr>
        <w:pStyle w:val="2"/>
        <w:spacing w:line="218" w:lineRule="auto"/>
        <w:ind w:left="539"/>
      </w:pPr>
      <w:r>
        <w:rPr>
          <w:spacing w:val="-4"/>
        </w:rPr>
        <w:t>为减少维修造成的停用时间，可以采用：</w:t>
      </w:r>
    </w:p>
    <w:p w14:paraId="74347F98">
      <w:pPr>
        <w:pStyle w:val="2"/>
        <w:spacing w:before="62" w:line="212" w:lineRule="auto"/>
        <w:ind w:left="539"/>
      </w:pPr>
      <w:r>
        <w:rPr>
          <w:rFonts w:ascii="Times New Roman" w:hAnsi="Times New Roman" w:eastAsia="Times New Roman" w:cs="Times New Roman"/>
          <w:spacing w:val="-1"/>
        </w:rPr>
        <w:t>a)</w:t>
      </w:r>
      <w:r>
        <w:rPr>
          <w:rFonts w:ascii="Times New Roman" w:hAnsi="Times New Roman" w:eastAsia="Times New Roman" w:cs="Times New Roman"/>
          <w:spacing w:val="64"/>
          <w:w w:val="101"/>
        </w:rPr>
        <w:t xml:space="preserve"> </w:t>
      </w:r>
      <w:r>
        <w:rPr>
          <w:spacing w:val="-1"/>
        </w:rPr>
        <w:t>无维修设计；</w:t>
      </w:r>
    </w:p>
    <w:p w14:paraId="2038E82D">
      <w:pPr>
        <w:pStyle w:val="2"/>
        <w:spacing w:before="89" w:line="212" w:lineRule="auto"/>
        <w:ind w:left="539"/>
      </w:pPr>
      <w:r>
        <w:rPr>
          <w:rFonts w:ascii="Times New Roman" w:hAnsi="Times New Roman" w:eastAsia="Times New Roman" w:cs="Times New Roman"/>
          <w:spacing w:val="3"/>
        </w:rPr>
        <w:t>b)</w:t>
      </w:r>
      <w:r>
        <w:rPr>
          <w:rFonts w:ascii="Times New Roman" w:hAnsi="Times New Roman" w:eastAsia="Times New Roman" w:cs="Times New Roman"/>
          <w:spacing w:val="70"/>
        </w:rPr>
        <w:t xml:space="preserve"> </w:t>
      </w:r>
      <w:r>
        <w:rPr>
          <w:spacing w:val="3"/>
        </w:rPr>
        <w:t>标准的和经认证的设计和零部件；</w:t>
      </w:r>
    </w:p>
    <w:p w14:paraId="5E366CC6">
      <w:pPr>
        <w:pStyle w:val="2"/>
        <w:spacing w:before="100" w:line="212" w:lineRule="auto"/>
        <w:ind w:left="539"/>
      </w:pPr>
      <w:r>
        <w:rPr>
          <w:rFonts w:ascii="Times New Roman" w:hAnsi="Times New Roman" w:eastAsia="Times New Roman" w:cs="Times New Roman"/>
          <w:spacing w:val="-5"/>
        </w:rPr>
        <w:t>c)</w:t>
      </w:r>
      <w:r>
        <w:rPr>
          <w:rFonts w:ascii="Times New Roman" w:hAnsi="Times New Roman" w:eastAsia="Times New Roman" w:cs="Times New Roman"/>
          <w:spacing w:val="67"/>
        </w:rPr>
        <w:t xml:space="preserve"> </w:t>
      </w:r>
      <w:r>
        <w:rPr>
          <w:spacing w:val="-5"/>
        </w:rPr>
        <w:t>简单、可靠和耐久的设计和零部件；</w:t>
      </w:r>
    </w:p>
    <w:p w14:paraId="5CAAB9A9">
      <w:pPr>
        <w:pStyle w:val="2"/>
        <w:spacing w:before="100" w:line="212" w:lineRule="auto"/>
        <w:ind w:left="539"/>
      </w:pPr>
      <w:r>
        <w:rPr>
          <w:rFonts w:ascii="Times New Roman" w:hAnsi="Times New Roman" w:eastAsia="Times New Roman" w:cs="Times New Roman"/>
          <w:spacing w:val="2"/>
        </w:rPr>
        <w:t>d)</w:t>
      </w:r>
      <w:r>
        <w:rPr>
          <w:rFonts w:ascii="Times New Roman" w:hAnsi="Times New Roman" w:eastAsia="Times New Roman" w:cs="Times New Roman"/>
          <w:spacing w:val="79"/>
        </w:rPr>
        <w:t xml:space="preserve"> </w:t>
      </w:r>
      <w:r>
        <w:rPr>
          <w:spacing w:val="2"/>
        </w:rPr>
        <w:t>减轻故障后果的故障保护机构；</w:t>
      </w:r>
    </w:p>
    <w:p w14:paraId="52B390C4">
      <w:pPr>
        <w:pStyle w:val="2"/>
        <w:spacing w:before="100" w:line="212" w:lineRule="auto"/>
        <w:ind w:left="539"/>
      </w:pPr>
      <w:r>
        <w:rPr>
          <w:rFonts w:ascii="Times New Roman" w:hAnsi="Times New Roman" w:eastAsia="Times New Roman" w:cs="Times New Roman"/>
        </w:rPr>
        <w:t>e)</w:t>
      </w:r>
      <w:r>
        <w:rPr>
          <w:rFonts w:ascii="Times New Roman" w:hAnsi="Times New Roman" w:eastAsia="Times New Roman" w:cs="Times New Roman"/>
          <w:spacing w:val="56"/>
          <w:w w:val="101"/>
        </w:rPr>
        <w:t xml:space="preserve"> </w:t>
      </w:r>
      <w:r>
        <w:t>模块化设计；</w:t>
      </w:r>
    </w:p>
    <w:p w14:paraId="2DA628E8">
      <w:pPr>
        <w:pStyle w:val="2"/>
        <w:spacing w:before="110" w:line="212" w:lineRule="auto"/>
        <w:ind w:left="539"/>
      </w:pPr>
      <w:r>
        <w:rPr>
          <w:rFonts w:ascii="Times New Roman" w:hAnsi="Times New Roman" w:eastAsia="Times New Roman" w:cs="Times New Roman"/>
          <w:spacing w:val="3"/>
        </w:rPr>
        <w:t>f)</w:t>
      </w:r>
      <w:r>
        <w:rPr>
          <w:rFonts w:ascii="Times New Roman" w:hAnsi="Times New Roman" w:eastAsia="Times New Roman" w:cs="Times New Roman"/>
          <w:spacing w:val="73"/>
        </w:rPr>
        <w:t xml:space="preserve"> </w:t>
      </w:r>
      <w:r>
        <w:rPr>
          <w:spacing w:val="3"/>
        </w:rPr>
        <w:t>从基层级到基地级的有效的综合诊断装置。</w:t>
      </w:r>
    </w:p>
    <w:p w14:paraId="0EDD9864">
      <w:pPr>
        <w:pStyle w:val="2"/>
        <w:spacing w:before="131" w:line="219" w:lineRule="auto"/>
        <w:ind w:left="539"/>
      </w:pPr>
      <w:r>
        <w:rPr>
          <w:spacing w:val="-2"/>
        </w:rPr>
        <w:t>为减少维修停用时间，可以通过设计使下列工作迅速可</w:t>
      </w:r>
      <w:r>
        <w:rPr>
          <w:spacing w:val="-3"/>
        </w:rPr>
        <w:t>靠：</w:t>
      </w:r>
    </w:p>
    <w:p w14:paraId="5A2F02FF">
      <w:pPr>
        <w:pStyle w:val="2"/>
        <w:spacing w:before="69" w:line="219" w:lineRule="auto"/>
        <w:ind w:left="539"/>
      </w:pPr>
      <w:r>
        <w:rPr>
          <w:rFonts w:ascii="Times New Roman" w:hAnsi="Times New Roman" w:eastAsia="Times New Roman" w:cs="Times New Roman"/>
          <w:spacing w:val="2"/>
        </w:rPr>
        <w:t>a</w:t>
      </w:r>
      <w:r>
        <w:rPr>
          <w:spacing w:val="2"/>
        </w:rPr>
        <w:t>)</w:t>
      </w:r>
      <w:r>
        <w:rPr>
          <w:spacing w:val="-46"/>
        </w:rPr>
        <w:t xml:space="preserve"> </w:t>
      </w:r>
      <w:r>
        <w:rPr>
          <w:spacing w:val="2"/>
        </w:rPr>
        <w:t>预测或检测故障或性能退化；</w:t>
      </w:r>
    </w:p>
    <w:p w14:paraId="7BFF4F1D">
      <w:pPr>
        <w:pStyle w:val="2"/>
        <w:spacing w:before="60" w:line="212" w:lineRule="auto"/>
        <w:ind w:left="539"/>
      </w:pPr>
      <w:r>
        <w:rPr>
          <w:rFonts w:ascii="Times New Roman" w:hAnsi="Times New Roman" w:eastAsia="Times New Roman" w:cs="Times New Roman"/>
          <w:spacing w:val="-3"/>
        </w:rPr>
        <w:t>b)</w:t>
      </w:r>
      <w:r>
        <w:rPr>
          <w:rFonts w:ascii="Times New Roman" w:hAnsi="Times New Roman" w:eastAsia="Times New Roman" w:cs="Times New Roman"/>
          <w:spacing w:val="64"/>
          <w:w w:val="101"/>
        </w:rPr>
        <w:t xml:space="preserve"> </w:t>
      </w:r>
      <w:r>
        <w:rPr>
          <w:spacing w:val="-3"/>
        </w:rPr>
        <w:t>受影响的组件、机柜或单元的故障定位；</w:t>
      </w:r>
    </w:p>
    <w:p w14:paraId="24B00527">
      <w:pPr>
        <w:pStyle w:val="2"/>
        <w:spacing w:before="109" w:line="212" w:lineRule="auto"/>
        <w:ind w:left="539"/>
      </w:pPr>
      <w:r>
        <w:rPr>
          <w:rFonts w:ascii="Times New Roman" w:hAnsi="Times New Roman" w:eastAsia="Times New Roman" w:cs="Times New Roman"/>
          <w:spacing w:val="3"/>
        </w:rPr>
        <w:t>c)</w:t>
      </w:r>
      <w:r>
        <w:rPr>
          <w:rFonts w:ascii="Times New Roman" w:hAnsi="Times New Roman" w:eastAsia="Times New Roman" w:cs="Times New Roman"/>
          <w:spacing w:val="63"/>
        </w:rPr>
        <w:t xml:space="preserve"> </w:t>
      </w:r>
      <w:r>
        <w:rPr>
          <w:spacing w:val="3"/>
        </w:rPr>
        <w:t>隔离到某个可更换或可修复的模件或零件；</w:t>
      </w:r>
    </w:p>
    <w:p w14:paraId="6EFAA125">
      <w:pPr>
        <w:pStyle w:val="2"/>
        <w:spacing w:before="110" w:line="212" w:lineRule="auto"/>
        <w:ind w:left="539"/>
      </w:pPr>
      <w:r>
        <w:rPr>
          <w:rFonts w:ascii="Times New Roman" w:hAnsi="Times New Roman" w:eastAsia="Times New Roman" w:cs="Times New Roman"/>
          <w:spacing w:val="-5"/>
        </w:rPr>
        <w:t xml:space="preserve">d)  </w:t>
      </w:r>
      <w:r>
        <w:rPr>
          <w:spacing w:val="-5"/>
        </w:rPr>
        <w:t>通过更换、调整或修复排除故障；</w:t>
      </w:r>
    </w:p>
    <w:p w14:paraId="11ED412E">
      <w:pPr>
        <w:pStyle w:val="2"/>
        <w:spacing w:before="90" w:line="212" w:lineRule="auto"/>
        <w:ind w:left="539"/>
      </w:pPr>
      <w:r>
        <w:rPr>
          <w:rFonts w:ascii="Times New Roman" w:hAnsi="Times New Roman" w:eastAsia="Times New Roman" w:cs="Times New Roman"/>
          <w:spacing w:val="2"/>
        </w:rPr>
        <w:t>e)</w:t>
      </w:r>
      <w:r>
        <w:rPr>
          <w:rFonts w:ascii="Times New Roman" w:hAnsi="Times New Roman" w:eastAsia="Times New Roman" w:cs="Times New Roman"/>
          <w:spacing w:val="64"/>
        </w:rPr>
        <w:t xml:space="preserve"> </w:t>
      </w:r>
      <w:r>
        <w:rPr>
          <w:spacing w:val="2"/>
        </w:rPr>
        <w:t>确定排除故障与保养的适用性；</w:t>
      </w:r>
    </w:p>
    <w:p w14:paraId="30FF1E44">
      <w:pPr>
        <w:pStyle w:val="2"/>
        <w:spacing w:before="100" w:line="212" w:lineRule="auto"/>
        <w:ind w:left="539"/>
      </w:pPr>
      <w:r>
        <w:rPr>
          <w:rFonts w:ascii="Times New Roman" w:hAnsi="Times New Roman" w:eastAsia="Times New Roman" w:cs="Times New Roman"/>
          <w:spacing w:val="-6"/>
        </w:rPr>
        <w:t>f)</w:t>
      </w:r>
      <w:r>
        <w:rPr>
          <w:rFonts w:ascii="Times New Roman" w:hAnsi="Times New Roman" w:eastAsia="Times New Roman" w:cs="Times New Roman"/>
          <w:spacing w:val="61"/>
        </w:rPr>
        <w:t xml:space="preserve"> </w:t>
      </w:r>
      <w:r>
        <w:rPr>
          <w:spacing w:val="-6"/>
        </w:rPr>
        <w:t>识别零件、测试点及连接点；</w:t>
      </w:r>
    </w:p>
    <w:p w14:paraId="0992370F">
      <w:pPr>
        <w:spacing w:line="212" w:lineRule="auto"/>
        <w:sectPr>
          <w:footerReference r:id="rId423" w:type="default"/>
          <w:pgSz w:w="11910" w:h="17130"/>
          <w:pgMar w:top="1456" w:right="1374" w:bottom="1600" w:left="1069" w:header="0" w:footer="1392" w:gutter="0"/>
          <w:cols w:space="720" w:num="1"/>
        </w:sectPr>
      </w:pPr>
    </w:p>
    <w:p w14:paraId="39799DEC">
      <w:pPr>
        <w:pStyle w:val="2"/>
        <w:spacing w:before="146" w:line="212" w:lineRule="auto"/>
        <w:ind w:left="500"/>
        <w:rPr>
          <w:sz w:val="24"/>
          <w:szCs w:val="24"/>
        </w:rPr>
      </w:pPr>
      <w:r>
        <w:rPr>
          <w:rFonts w:ascii="Times New Roman" w:hAnsi="Times New Roman" w:eastAsia="Times New Roman" w:cs="Times New Roman"/>
          <w:spacing w:val="4"/>
          <w:sz w:val="24"/>
          <w:szCs w:val="24"/>
        </w:rPr>
        <w:t>g</w:t>
      </w:r>
      <w:r>
        <w:rPr>
          <w:rFonts w:ascii="Times New Roman" w:hAnsi="Times New Roman" w:eastAsia="Times New Roman" w:cs="Times New Roman"/>
          <w:spacing w:val="-1"/>
          <w:sz w:val="24"/>
          <w:szCs w:val="24"/>
        </w:rPr>
        <w:t xml:space="preserve"> </w:t>
      </w:r>
      <w:r>
        <w:rPr>
          <w:spacing w:val="4"/>
          <w:sz w:val="24"/>
          <w:szCs w:val="24"/>
        </w:rPr>
        <w:t>) 校准、调整、保养及测试。</w:t>
      </w:r>
    </w:p>
    <w:p w14:paraId="666F5B4A">
      <w:pPr>
        <w:pStyle w:val="2"/>
        <w:spacing w:before="113" w:line="219" w:lineRule="auto"/>
        <w:ind w:left="500"/>
      </w:pPr>
      <w:r>
        <w:rPr>
          <w:spacing w:val="-5"/>
        </w:rPr>
        <w:t>为减少维修费用，可通过设计减少：</w:t>
      </w:r>
    </w:p>
    <w:p w14:paraId="453BD4C8">
      <w:pPr>
        <w:pStyle w:val="2"/>
        <w:spacing w:before="89" w:line="219" w:lineRule="auto"/>
        <w:ind w:left="500"/>
      </w:pPr>
      <w:r>
        <w:rPr>
          <w:rFonts w:ascii="Times New Roman" w:hAnsi="Times New Roman" w:eastAsia="Times New Roman" w:cs="Times New Roman"/>
          <w:spacing w:val="10"/>
        </w:rPr>
        <w:t>a</w:t>
      </w:r>
      <w:r>
        <w:rPr>
          <w:spacing w:val="10"/>
        </w:rPr>
        <w:t>)故障对人员和设备的危害；</w:t>
      </w:r>
    </w:p>
    <w:p w14:paraId="570F0654">
      <w:pPr>
        <w:pStyle w:val="2"/>
        <w:spacing w:before="39" w:line="212" w:lineRule="auto"/>
        <w:ind w:left="500"/>
      </w:pPr>
      <w:r>
        <w:rPr>
          <w:rFonts w:ascii="Times New Roman" w:hAnsi="Times New Roman" w:eastAsia="Times New Roman" w:cs="Times New Roman"/>
          <w:spacing w:val="3"/>
        </w:rPr>
        <w:t xml:space="preserve">b)  </w:t>
      </w:r>
      <w:r>
        <w:rPr>
          <w:spacing w:val="3"/>
        </w:rPr>
        <w:t>全套专用维修工具；</w:t>
      </w:r>
    </w:p>
    <w:p w14:paraId="17287A1A">
      <w:pPr>
        <w:pStyle w:val="2"/>
        <w:spacing w:before="122" w:line="212" w:lineRule="auto"/>
        <w:ind w:left="500"/>
        <w:rPr>
          <w:sz w:val="24"/>
          <w:szCs w:val="24"/>
        </w:rPr>
      </w:pPr>
      <w:r>
        <w:rPr>
          <w:rFonts w:ascii="Times New Roman" w:hAnsi="Times New Roman" w:eastAsia="Times New Roman" w:cs="Times New Roman"/>
          <w:spacing w:val="29"/>
          <w:sz w:val="24"/>
          <w:szCs w:val="24"/>
        </w:rPr>
        <w:t xml:space="preserve">c)  </w:t>
      </w:r>
      <w:r>
        <w:rPr>
          <w:spacing w:val="29"/>
          <w:sz w:val="24"/>
          <w:szCs w:val="24"/>
        </w:rPr>
        <w:t>对于基地或承制方维修的要求；</w:t>
      </w:r>
    </w:p>
    <w:p w14:paraId="4030DDD8">
      <w:pPr>
        <w:pStyle w:val="2"/>
        <w:spacing w:before="92" w:line="212" w:lineRule="auto"/>
        <w:ind w:left="500"/>
      </w:pPr>
      <w:r>
        <w:rPr>
          <w:rFonts w:ascii="Times New Roman" w:hAnsi="Times New Roman" w:eastAsia="Times New Roman" w:cs="Times New Roman"/>
          <w:spacing w:val="3"/>
        </w:rPr>
        <w:t xml:space="preserve">d)  </w:t>
      </w:r>
      <w:r>
        <w:rPr>
          <w:spacing w:val="3"/>
        </w:rPr>
        <w:t>备件和材料的消耗和费用；</w:t>
      </w:r>
    </w:p>
    <w:p w14:paraId="302E4B9C">
      <w:pPr>
        <w:pStyle w:val="2"/>
        <w:spacing w:before="100" w:line="212" w:lineRule="auto"/>
        <w:ind w:left="500"/>
      </w:pPr>
      <w:r>
        <w:rPr>
          <w:rFonts w:ascii="Times New Roman" w:hAnsi="Times New Roman" w:eastAsia="Times New Roman" w:cs="Times New Roman"/>
        </w:rPr>
        <w:t xml:space="preserve">e)  </w:t>
      </w:r>
      <w:r>
        <w:t>不必要的维修；</w:t>
      </w:r>
    </w:p>
    <w:p w14:paraId="72FD2185">
      <w:pPr>
        <w:pStyle w:val="2"/>
        <w:spacing w:before="111" w:line="212" w:lineRule="auto"/>
        <w:ind w:left="500"/>
        <w:rPr>
          <w:sz w:val="24"/>
          <w:szCs w:val="24"/>
        </w:rPr>
      </w:pPr>
      <w:r>
        <w:rPr>
          <w:rFonts w:ascii="Times New Roman" w:hAnsi="Times New Roman" w:eastAsia="Times New Roman" w:cs="Times New Roman"/>
          <w:spacing w:val="23"/>
          <w:sz w:val="24"/>
          <w:szCs w:val="24"/>
        </w:rPr>
        <w:t xml:space="preserve">f)  </w:t>
      </w:r>
      <w:r>
        <w:rPr>
          <w:spacing w:val="23"/>
          <w:sz w:val="24"/>
          <w:szCs w:val="24"/>
        </w:rPr>
        <w:t>人员的技能要求。</w:t>
      </w:r>
    </w:p>
    <w:p w14:paraId="65ED98AD">
      <w:pPr>
        <w:pStyle w:val="2"/>
        <w:spacing w:before="151" w:line="219" w:lineRule="auto"/>
        <w:ind w:left="500"/>
      </w:pPr>
      <w:r>
        <w:rPr>
          <w:spacing w:val="-3"/>
        </w:rPr>
        <w:t>为降低维修的复杂程度，可以采用下列设计：</w:t>
      </w:r>
    </w:p>
    <w:p w14:paraId="3B25CF78">
      <w:pPr>
        <w:pStyle w:val="2"/>
        <w:spacing w:before="111" w:line="219" w:lineRule="auto"/>
        <w:ind w:left="500"/>
        <w:rPr>
          <w:sz w:val="24"/>
          <w:szCs w:val="24"/>
        </w:rPr>
      </w:pPr>
      <w:r>
        <w:rPr>
          <w:rFonts w:ascii="Times New Roman" w:hAnsi="Times New Roman" w:eastAsia="Times New Roman" w:cs="Times New Roman"/>
          <w:spacing w:val="15"/>
          <w:sz w:val="24"/>
          <w:szCs w:val="24"/>
        </w:rPr>
        <w:t>a</w:t>
      </w:r>
      <w:r>
        <w:rPr>
          <w:rFonts w:ascii="Times New Roman" w:hAnsi="Times New Roman" w:eastAsia="Times New Roman" w:cs="Times New Roman"/>
          <w:spacing w:val="-18"/>
          <w:sz w:val="24"/>
          <w:szCs w:val="24"/>
        </w:rPr>
        <w:t xml:space="preserve"> </w:t>
      </w:r>
      <w:r>
        <w:rPr>
          <w:spacing w:val="15"/>
          <w:sz w:val="24"/>
          <w:szCs w:val="24"/>
        </w:rPr>
        <w:t>) 系统、设备和设施的兼容性；</w:t>
      </w:r>
    </w:p>
    <w:p w14:paraId="252F771F">
      <w:pPr>
        <w:pStyle w:val="2"/>
        <w:spacing w:before="46" w:line="212" w:lineRule="auto"/>
        <w:ind w:left="500"/>
      </w:pPr>
      <w:r>
        <w:rPr>
          <w:rFonts w:ascii="Times New Roman" w:hAnsi="Times New Roman" w:eastAsia="Times New Roman" w:cs="Times New Roman"/>
          <w:spacing w:val="-5"/>
        </w:rPr>
        <w:t xml:space="preserve">b)  </w:t>
      </w:r>
      <w:r>
        <w:rPr>
          <w:spacing w:val="-5"/>
        </w:rPr>
        <w:t>设计、零件及术语的标准化；</w:t>
      </w:r>
    </w:p>
    <w:p w14:paraId="550D8234">
      <w:pPr>
        <w:pStyle w:val="2"/>
        <w:spacing w:before="110" w:line="212" w:lineRule="auto"/>
        <w:ind w:left="500"/>
      </w:pPr>
      <w:r>
        <w:rPr>
          <w:rFonts w:ascii="Times New Roman" w:hAnsi="Times New Roman" w:eastAsia="Times New Roman" w:cs="Times New Roman"/>
          <w:spacing w:val="-4"/>
        </w:rPr>
        <w:t xml:space="preserve">c)  </w:t>
      </w:r>
      <w:r>
        <w:rPr>
          <w:spacing w:val="-4"/>
        </w:rPr>
        <w:t>相似零件、材料和备件的互换性；</w:t>
      </w:r>
    </w:p>
    <w:p w14:paraId="5CF00EA5">
      <w:pPr>
        <w:pStyle w:val="2"/>
        <w:spacing w:before="111" w:line="212" w:lineRule="auto"/>
        <w:ind w:left="500"/>
        <w:rPr>
          <w:sz w:val="25"/>
          <w:szCs w:val="25"/>
        </w:rPr>
      </w:pPr>
      <w:r>
        <w:rPr>
          <w:rFonts w:ascii="Times New Roman" w:hAnsi="Times New Roman" w:eastAsia="Times New Roman" w:cs="Times New Roman"/>
          <w:spacing w:val="11"/>
          <w:sz w:val="25"/>
          <w:szCs w:val="25"/>
        </w:rPr>
        <w:t>d)</w:t>
      </w:r>
      <w:r>
        <w:rPr>
          <w:rFonts w:ascii="Times New Roman" w:hAnsi="Times New Roman" w:eastAsia="Times New Roman" w:cs="Times New Roman"/>
          <w:spacing w:val="22"/>
          <w:sz w:val="25"/>
          <w:szCs w:val="25"/>
        </w:rPr>
        <w:t xml:space="preserve">  </w:t>
      </w:r>
      <w:r>
        <w:rPr>
          <w:spacing w:val="11"/>
          <w:sz w:val="25"/>
          <w:szCs w:val="25"/>
        </w:rPr>
        <w:t>最少的维修工具、附件及设备；</w:t>
      </w:r>
    </w:p>
    <w:p w14:paraId="57FC0BAC">
      <w:pPr>
        <w:pStyle w:val="2"/>
        <w:spacing w:before="91" w:line="212" w:lineRule="auto"/>
        <w:ind w:left="500"/>
      </w:pPr>
      <w:r>
        <w:rPr>
          <w:rFonts w:ascii="Times New Roman" w:hAnsi="Times New Roman" w:eastAsia="Times New Roman" w:cs="Times New Roman"/>
          <w:spacing w:val="-3"/>
        </w:rPr>
        <w:t xml:space="preserve">e)  </w:t>
      </w:r>
      <w:r>
        <w:rPr>
          <w:spacing w:val="-3"/>
        </w:rPr>
        <w:t>适当的可达性、工作空间和工作通道。</w:t>
      </w:r>
    </w:p>
    <w:p w14:paraId="1ACCA309">
      <w:pPr>
        <w:pStyle w:val="2"/>
        <w:spacing w:before="129" w:line="219" w:lineRule="auto"/>
        <w:ind w:left="500"/>
      </w:pPr>
      <w:r>
        <w:rPr>
          <w:spacing w:val="-4"/>
        </w:rPr>
        <w:t>为降低维修人员要求，可以采用下列设计：</w:t>
      </w:r>
    </w:p>
    <w:p w14:paraId="371A0CE8">
      <w:pPr>
        <w:pStyle w:val="2"/>
        <w:spacing w:before="92" w:line="220" w:lineRule="auto"/>
        <w:ind w:left="500"/>
      </w:pPr>
      <w:r>
        <w:rPr>
          <w:rFonts w:ascii="Times New Roman" w:hAnsi="Times New Roman" w:eastAsia="Times New Roman" w:cs="Times New Roman"/>
          <w:spacing w:val="7"/>
        </w:rPr>
        <w:t>a</w:t>
      </w:r>
      <w:r>
        <w:rPr>
          <w:rFonts w:ascii="Times New Roman" w:hAnsi="Times New Roman" w:eastAsia="Times New Roman" w:cs="Times New Roman"/>
          <w:spacing w:val="-24"/>
        </w:rPr>
        <w:t xml:space="preserve"> </w:t>
      </w:r>
      <w:r>
        <w:rPr>
          <w:spacing w:val="7"/>
        </w:rPr>
        <w:t>)合理有序的职能和工作分配；</w:t>
      </w:r>
    </w:p>
    <w:p w14:paraId="516178EE">
      <w:pPr>
        <w:pStyle w:val="2"/>
        <w:spacing w:before="47" w:line="212" w:lineRule="auto"/>
        <w:ind w:left="500"/>
      </w:pPr>
      <w:r>
        <w:rPr>
          <w:rFonts w:ascii="Times New Roman" w:hAnsi="Times New Roman" w:eastAsia="Times New Roman" w:cs="Times New Roman"/>
          <w:spacing w:val="-8"/>
        </w:rPr>
        <w:t xml:space="preserve">b)  </w:t>
      </w:r>
      <w:r>
        <w:rPr>
          <w:spacing w:val="-8"/>
        </w:rPr>
        <w:t>搬运的方便性、机动性、运输性及贮存性；</w:t>
      </w:r>
    </w:p>
    <w:p w14:paraId="2A53C708">
      <w:pPr>
        <w:pStyle w:val="2"/>
        <w:spacing w:before="142" w:line="212" w:lineRule="auto"/>
        <w:ind w:left="500"/>
        <w:rPr>
          <w:sz w:val="24"/>
          <w:szCs w:val="24"/>
        </w:rPr>
      </w:pPr>
      <w:r>
        <w:rPr>
          <w:rFonts w:ascii="Times New Roman" w:hAnsi="Times New Roman" w:eastAsia="Times New Roman" w:cs="Times New Roman"/>
          <w:spacing w:val="26"/>
          <w:sz w:val="24"/>
          <w:szCs w:val="24"/>
        </w:rPr>
        <w:t xml:space="preserve">c)  </w:t>
      </w:r>
      <w:r>
        <w:rPr>
          <w:spacing w:val="26"/>
          <w:sz w:val="24"/>
          <w:szCs w:val="24"/>
        </w:rPr>
        <w:t>最少的维修人数和维修工种；</w:t>
      </w:r>
    </w:p>
    <w:p w14:paraId="0E267C65">
      <w:pPr>
        <w:pStyle w:val="2"/>
        <w:spacing w:before="125" w:line="212" w:lineRule="auto"/>
        <w:ind w:left="500"/>
        <w:rPr>
          <w:sz w:val="24"/>
          <w:szCs w:val="24"/>
        </w:rPr>
      </w:pPr>
      <w:r>
        <w:rPr>
          <w:rFonts w:ascii="Times New Roman" w:hAnsi="Times New Roman" w:eastAsia="Times New Roman" w:cs="Times New Roman"/>
          <w:spacing w:val="26"/>
          <w:sz w:val="24"/>
          <w:szCs w:val="24"/>
        </w:rPr>
        <w:t>d)</w:t>
      </w:r>
      <w:r>
        <w:rPr>
          <w:rFonts w:ascii="Times New Roman" w:hAnsi="Times New Roman" w:eastAsia="Times New Roman" w:cs="Times New Roman"/>
          <w:spacing w:val="30"/>
          <w:sz w:val="24"/>
          <w:szCs w:val="24"/>
        </w:rPr>
        <w:t xml:space="preserve">  </w:t>
      </w:r>
      <w:r>
        <w:rPr>
          <w:spacing w:val="26"/>
          <w:sz w:val="24"/>
          <w:szCs w:val="24"/>
        </w:rPr>
        <w:t>简单而有效的维修规程。</w:t>
      </w:r>
    </w:p>
    <w:p w14:paraId="717FC582">
      <w:pPr>
        <w:pStyle w:val="2"/>
        <w:spacing w:before="131" w:line="219" w:lineRule="auto"/>
        <w:ind w:left="500"/>
      </w:pPr>
      <w:r>
        <w:rPr>
          <w:spacing w:val="-4"/>
        </w:rPr>
        <w:t>为减少维修差错，可采用设计措施以减少：</w:t>
      </w:r>
    </w:p>
    <w:p w14:paraId="0088F63C">
      <w:pPr>
        <w:pStyle w:val="2"/>
        <w:spacing w:before="61" w:line="212" w:lineRule="auto"/>
        <w:ind w:left="500"/>
      </w:pPr>
      <w:r>
        <w:rPr>
          <w:rFonts w:ascii="Times New Roman" w:hAnsi="Times New Roman" w:eastAsia="Times New Roman" w:cs="Times New Roman"/>
          <w:spacing w:val="3"/>
        </w:rPr>
        <w:t xml:space="preserve">a)  </w:t>
      </w:r>
      <w:r>
        <w:rPr>
          <w:spacing w:val="3"/>
        </w:rPr>
        <w:t>未检测出的故障或性能退化的可能性；</w:t>
      </w:r>
    </w:p>
    <w:p w14:paraId="66D32004">
      <w:pPr>
        <w:pStyle w:val="2"/>
        <w:spacing w:before="110" w:line="212" w:lineRule="auto"/>
        <w:ind w:left="500"/>
      </w:pPr>
      <w:r>
        <w:rPr>
          <w:rFonts w:ascii="Times New Roman" w:hAnsi="Times New Roman" w:eastAsia="Times New Roman" w:cs="Times New Roman"/>
          <w:spacing w:val="-10"/>
        </w:rPr>
        <w:t xml:space="preserve">b)  </w:t>
      </w:r>
      <w:r>
        <w:rPr>
          <w:spacing w:val="-10"/>
        </w:rPr>
        <w:t>无效维修，疏忽，滥用或误用维修；</w:t>
      </w:r>
    </w:p>
    <w:p w14:paraId="75AFCBF5">
      <w:pPr>
        <w:pStyle w:val="2"/>
        <w:spacing w:before="90" w:line="212" w:lineRule="auto"/>
        <w:ind w:left="500"/>
      </w:pPr>
      <w:r>
        <w:rPr>
          <w:rFonts w:ascii="Times New Roman" w:hAnsi="Times New Roman" w:eastAsia="Times New Roman" w:cs="Times New Roman"/>
          <w:spacing w:val="3"/>
        </w:rPr>
        <w:t>c)</w:t>
      </w:r>
      <w:r>
        <w:rPr>
          <w:rFonts w:ascii="Times New Roman" w:hAnsi="Times New Roman" w:eastAsia="Times New Roman" w:cs="Times New Roman"/>
          <w:spacing w:val="62"/>
        </w:rPr>
        <w:t xml:space="preserve"> </w:t>
      </w:r>
      <w:r>
        <w:rPr>
          <w:spacing w:val="3"/>
        </w:rPr>
        <w:t>危险的或难处理的工作内容；</w:t>
      </w:r>
    </w:p>
    <w:p w14:paraId="7534BC90">
      <w:pPr>
        <w:pStyle w:val="2"/>
        <w:spacing w:before="90" w:line="212" w:lineRule="auto"/>
        <w:ind w:left="500"/>
      </w:pPr>
      <w:r>
        <w:rPr>
          <w:rFonts w:ascii="Times New Roman" w:hAnsi="Times New Roman" w:eastAsia="Times New Roman" w:cs="Times New Roman"/>
          <w:spacing w:val="3"/>
        </w:rPr>
        <w:t xml:space="preserve">d)  </w:t>
      </w:r>
      <w:r>
        <w:rPr>
          <w:spacing w:val="3"/>
        </w:rPr>
        <w:t>维修标志和编码含混不清。</w:t>
      </w:r>
    </w:p>
    <w:p w14:paraId="369A7F70">
      <w:pPr>
        <w:spacing w:line="379" w:lineRule="auto"/>
        <w:rPr>
          <w:rFonts w:ascii="Arial"/>
          <w:sz w:val="21"/>
        </w:rPr>
      </w:pPr>
    </w:p>
    <w:p w14:paraId="1B0B108E">
      <w:pPr>
        <w:pStyle w:val="2"/>
        <w:spacing w:before="117" w:line="219" w:lineRule="auto"/>
        <w:ind w:left="1390"/>
        <w:rPr>
          <w:sz w:val="36"/>
          <w:szCs w:val="36"/>
        </w:rPr>
      </w:pPr>
      <w:r>
        <w:rPr>
          <w:spacing w:val="3"/>
          <w:sz w:val="36"/>
          <w:szCs w:val="36"/>
        </w:rPr>
        <w:t xml:space="preserve">8.12  </w:t>
      </w:r>
      <w:r>
        <w:rPr>
          <w:b/>
          <w:bCs/>
          <w:spacing w:val="3"/>
          <w:sz w:val="36"/>
          <w:szCs w:val="36"/>
        </w:rPr>
        <w:t>维修保障计划和保障性分析的输入</w:t>
      </w:r>
    </w:p>
    <w:p w14:paraId="62CF5173">
      <w:pPr>
        <w:spacing w:line="314" w:lineRule="auto"/>
        <w:rPr>
          <w:rFonts w:ascii="Arial"/>
          <w:sz w:val="21"/>
        </w:rPr>
      </w:pPr>
    </w:p>
    <w:p w14:paraId="1AE6B61A">
      <w:pPr>
        <w:pStyle w:val="2"/>
        <w:spacing w:before="92" w:line="223" w:lineRule="auto"/>
        <w:ind w:left="50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368B—2009</w:t>
      </w:r>
      <w:r>
        <w:rPr>
          <w:spacing w:val="-11"/>
          <w:sz w:val="28"/>
          <w:szCs w:val="28"/>
        </w:rPr>
        <w:t>《</w:t>
      </w:r>
      <w:r>
        <w:rPr>
          <w:rFonts w:ascii="楷体" w:hAnsi="楷体" w:eastAsia="楷体" w:cs="楷体"/>
          <w:spacing w:val="-11"/>
          <w:sz w:val="28"/>
          <w:szCs w:val="28"/>
        </w:rPr>
        <w:t>装备维修性工作通用要求》编写。</w:t>
      </w:r>
    </w:p>
    <w:p w14:paraId="3EECFFA1">
      <w:pPr>
        <w:spacing w:before="89"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62B5681B">
      <w:pPr>
        <w:spacing w:before="82"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0EB662DD">
      <w:pPr>
        <w:spacing w:before="85"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12"/>
          <w:sz w:val="27"/>
          <w:szCs w:val="27"/>
        </w:rPr>
        <w:t xml:space="preserve">  </w:t>
      </w:r>
      <w:r>
        <w:rPr>
          <w:rFonts w:ascii="黑体" w:hAnsi="黑体" w:eastAsia="黑体" w:cs="黑体"/>
          <w:spacing w:val="2"/>
          <w:sz w:val="27"/>
          <w:szCs w:val="27"/>
        </w:rPr>
        <w:t>使用保障要求</w:t>
      </w:r>
    </w:p>
    <w:p w14:paraId="1145D1FB">
      <w:pPr>
        <w:pStyle w:val="2"/>
        <w:spacing w:before="85" w:line="219" w:lineRule="auto"/>
        <w:ind w:left="500"/>
      </w:pPr>
      <w:r>
        <w:rPr>
          <w:spacing w:val="3"/>
        </w:rPr>
        <w:t>简要说明经订购方确认的使用与保障要求及方</w:t>
      </w:r>
      <w:r>
        <w:rPr>
          <w:spacing w:val="2"/>
        </w:rPr>
        <w:t>案。</w:t>
      </w:r>
    </w:p>
    <w:p w14:paraId="056E8599">
      <w:pPr>
        <w:spacing w:before="80" w:line="222" w:lineRule="auto"/>
        <w:rPr>
          <w:rFonts w:ascii="黑体" w:hAnsi="黑体" w:eastAsia="黑体" w:cs="黑体"/>
          <w:sz w:val="27"/>
          <w:szCs w:val="27"/>
        </w:rPr>
      </w:pPr>
      <w:r>
        <w:rPr>
          <w:rFonts w:ascii="黑体" w:hAnsi="黑体" w:eastAsia="黑体" w:cs="黑体"/>
          <w:spacing w:val="5"/>
          <w:sz w:val="27"/>
          <w:szCs w:val="27"/>
        </w:rPr>
        <w:t>4  维修性数据</w:t>
      </w:r>
    </w:p>
    <w:p w14:paraId="29DE52AB">
      <w:pPr>
        <w:pStyle w:val="2"/>
        <w:spacing w:before="117" w:line="219" w:lineRule="auto"/>
        <w:jc w:val="right"/>
      </w:pPr>
      <w:r>
        <w:rPr>
          <w:spacing w:val="5"/>
        </w:rPr>
        <w:t>分别对工作项目301(建立维修性模型)、305(</w:t>
      </w:r>
      <w:r>
        <w:rPr>
          <w:spacing w:val="4"/>
        </w:rPr>
        <w:t>维修性分析)、306(抢修性分</w:t>
      </w:r>
    </w:p>
    <w:p w14:paraId="1F4676F8">
      <w:pPr>
        <w:spacing w:line="219" w:lineRule="auto"/>
        <w:sectPr>
          <w:footerReference r:id="rId424" w:type="default"/>
          <w:pgSz w:w="11910" w:h="17130"/>
          <w:pgMar w:top="1456" w:right="808" w:bottom="1616" w:left="1779" w:header="0" w:footer="1427" w:gutter="0"/>
          <w:cols w:space="720" w:num="1"/>
        </w:sectPr>
      </w:pPr>
    </w:p>
    <w:p w14:paraId="679311A5">
      <w:pPr>
        <w:pStyle w:val="2"/>
        <w:spacing w:before="93" w:line="282" w:lineRule="auto"/>
        <w:ind w:right="9"/>
        <w:jc w:val="both"/>
      </w:pPr>
      <w:r>
        <w:rPr>
          <w:spacing w:val="-2"/>
        </w:rPr>
        <w:t>析)、307(制定维修性设计准则)及其他有关工作项目的结果进行分析总结</w:t>
      </w:r>
      <w:r>
        <w:rPr>
          <w:spacing w:val="-3"/>
        </w:rPr>
        <w:t>，参照</w:t>
      </w:r>
      <w:r>
        <w:t xml:space="preserve"> </w:t>
      </w:r>
      <w:r>
        <w:rPr>
          <w:spacing w:val="6"/>
        </w:rPr>
        <w:t>以下划分的主要数据类别，得出为制定详细维</w:t>
      </w:r>
      <w:r>
        <w:rPr>
          <w:spacing w:val="5"/>
        </w:rPr>
        <w:t>修保障计划和进行保障性分析的</w:t>
      </w:r>
      <w:r>
        <w:t xml:space="preserve"> </w:t>
      </w:r>
      <w:r>
        <w:rPr>
          <w:spacing w:val="-1"/>
        </w:rPr>
        <w:t>输入数据：</w:t>
      </w:r>
    </w:p>
    <w:p w14:paraId="5565D006">
      <w:pPr>
        <w:pStyle w:val="2"/>
        <w:spacing w:before="3" w:line="219" w:lineRule="auto"/>
        <w:ind w:left="550"/>
        <w:rPr>
          <w:sz w:val="24"/>
          <w:szCs w:val="24"/>
        </w:rPr>
      </w:pPr>
      <w:r>
        <w:rPr>
          <w:rFonts w:ascii="Times New Roman" w:hAnsi="Times New Roman" w:eastAsia="Times New Roman" w:cs="Times New Roman"/>
          <w:spacing w:val="26"/>
          <w:sz w:val="24"/>
          <w:szCs w:val="24"/>
        </w:rPr>
        <w:t>a</w:t>
      </w:r>
      <w:r>
        <w:rPr>
          <w:rFonts w:ascii="Times New Roman" w:hAnsi="Times New Roman" w:eastAsia="Times New Roman" w:cs="Times New Roman"/>
          <w:spacing w:val="-6"/>
          <w:sz w:val="24"/>
          <w:szCs w:val="24"/>
        </w:rPr>
        <w:t xml:space="preserve"> </w:t>
      </w:r>
      <w:r>
        <w:rPr>
          <w:spacing w:val="26"/>
          <w:sz w:val="24"/>
          <w:szCs w:val="24"/>
        </w:rPr>
        <w:t>)</w:t>
      </w:r>
      <w:r>
        <w:rPr>
          <w:spacing w:val="-40"/>
          <w:sz w:val="24"/>
          <w:szCs w:val="24"/>
        </w:rPr>
        <w:t xml:space="preserve"> </w:t>
      </w:r>
      <w:r>
        <w:rPr>
          <w:spacing w:val="26"/>
          <w:sz w:val="24"/>
          <w:szCs w:val="24"/>
        </w:rPr>
        <w:t>产品的结构与安装特点；</w:t>
      </w:r>
    </w:p>
    <w:p w14:paraId="3AA338DE">
      <w:pPr>
        <w:pStyle w:val="2"/>
        <w:spacing w:before="65" w:line="212" w:lineRule="auto"/>
        <w:ind w:left="550"/>
      </w:pPr>
      <w:r>
        <w:rPr>
          <w:rFonts w:ascii="Times New Roman" w:hAnsi="Times New Roman" w:eastAsia="Times New Roman" w:cs="Times New Roman"/>
          <w:spacing w:val="5"/>
        </w:rPr>
        <w:t>b)</w:t>
      </w:r>
      <w:r>
        <w:rPr>
          <w:rFonts w:ascii="Times New Roman" w:hAnsi="Times New Roman" w:eastAsia="Times New Roman" w:cs="Times New Roman"/>
          <w:spacing w:val="47"/>
        </w:rPr>
        <w:t xml:space="preserve"> </w:t>
      </w:r>
      <w:r>
        <w:rPr>
          <w:spacing w:val="5"/>
        </w:rPr>
        <w:t>产品的性能检测和故障诊断特性；</w:t>
      </w:r>
    </w:p>
    <w:p w14:paraId="5417CBB3">
      <w:pPr>
        <w:pStyle w:val="2"/>
        <w:spacing w:before="100" w:line="212" w:lineRule="auto"/>
        <w:ind w:left="550"/>
      </w:pPr>
      <w:r>
        <w:rPr>
          <w:rFonts w:ascii="Times New Roman" w:hAnsi="Times New Roman" w:eastAsia="Times New Roman" w:cs="Times New Roman"/>
          <w:spacing w:val="2"/>
        </w:rPr>
        <w:t xml:space="preserve">c)  </w:t>
      </w:r>
      <w:r>
        <w:rPr>
          <w:spacing w:val="2"/>
        </w:rPr>
        <w:t>与维修性有关的产品技术状态；</w:t>
      </w:r>
    </w:p>
    <w:p w14:paraId="5293B582">
      <w:pPr>
        <w:pStyle w:val="2"/>
        <w:spacing w:before="99" w:line="212" w:lineRule="auto"/>
        <w:ind w:left="550"/>
      </w:pPr>
      <w:r>
        <w:rPr>
          <w:rFonts w:ascii="Times New Roman" w:hAnsi="Times New Roman" w:eastAsia="Times New Roman" w:cs="Times New Roman"/>
          <w:spacing w:val="2"/>
        </w:rPr>
        <w:t xml:space="preserve">d)  </w:t>
      </w:r>
      <w:r>
        <w:rPr>
          <w:spacing w:val="2"/>
        </w:rPr>
        <w:t>维修性预计结果；</w:t>
      </w:r>
    </w:p>
    <w:p w14:paraId="6914CD48">
      <w:pPr>
        <w:pStyle w:val="2"/>
        <w:spacing w:before="100" w:line="212" w:lineRule="auto"/>
        <w:ind w:left="550"/>
      </w:pPr>
      <w:r>
        <w:rPr>
          <w:rFonts w:ascii="Times New Roman" w:hAnsi="Times New Roman" w:eastAsia="Times New Roman" w:cs="Times New Roman"/>
          <w:spacing w:val="3"/>
        </w:rPr>
        <w:t xml:space="preserve">e)  </w:t>
      </w:r>
      <w:r>
        <w:rPr>
          <w:spacing w:val="3"/>
        </w:rPr>
        <w:t>在各维修级别上所要求的不同种类的维修工作；</w:t>
      </w:r>
    </w:p>
    <w:p w14:paraId="435E46DD">
      <w:pPr>
        <w:pStyle w:val="2"/>
        <w:spacing w:before="100" w:line="260" w:lineRule="auto"/>
        <w:ind w:firstLine="550"/>
      </w:pPr>
      <w:r>
        <w:rPr>
          <w:rFonts w:ascii="Times New Roman" w:hAnsi="Times New Roman" w:eastAsia="Times New Roman" w:cs="Times New Roman"/>
          <w:spacing w:val="4"/>
        </w:rPr>
        <w:t xml:space="preserve">f)  </w:t>
      </w:r>
      <w:r>
        <w:rPr>
          <w:spacing w:val="4"/>
        </w:rPr>
        <w:t>在每一维修级别开展维修工作所需的工具、设备、场地以及各种技术手</w:t>
      </w:r>
      <w:r>
        <w:rPr>
          <w:spacing w:val="5"/>
        </w:rPr>
        <w:t xml:space="preserve"> </w:t>
      </w:r>
      <w:r>
        <w:rPr>
          <w:spacing w:val="-6"/>
        </w:rPr>
        <w:t>册等；</w:t>
      </w:r>
    </w:p>
    <w:p w14:paraId="1A747A6C">
      <w:pPr>
        <w:pStyle w:val="2"/>
        <w:spacing w:before="69" w:line="212" w:lineRule="auto"/>
        <w:ind w:left="550"/>
      </w:pPr>
      <w:r>
        <w:rPr>
          <w:rFonts w:ascii="Times New Roman" w:hAnsi="Times New Roman" w:eastAsia="Times New Roman" w:cs="Times New Roman"/>
          <w:spacing w:val="5"/>
        </w:rPr>
        <w:t xml:space="preserve">g)  </w:t>
      </w:r>
      <w:r>
        <w:rPr>
          <w:spacing w:val="5"/>
        </w:rPr>
        <w:t>每一维修级别要求的人员技术水平与种类。</w:t>
      </w:r>
    </w:p>
    <w:p w14:paraId="14856001">
      <w:pPr>
        <w:spacing w:before="105" w:line="222" w:lineRule="auto"/>
        <w:outlineLvl w:val="3"/>
        <w:rPr>
          <w:rFonts w:ascii="黑体" w:hAnsi="黑体" w:eastAsia="黑体" w:cs="黑体"/>
          <w:sz w:val="27"/>
          <w:szCs w:val="27"/>
        </w:rPr>
      </w:pPr>
      <w:r>
        <w:rPr>
          <w:rFonts w:ascii="Arial" w:hAnsi="Arial" w:eastAsia="Arial" w:cs="Arial"/>
          <w:b/>
          <w:bCs/>
          <w:sz w:val="27"/>
          <w:szCs w:val="27"/>
        </w:rPr>
        <w:t xml:space="preserve">5    </w:t>
      </w:r>
      <w:r>
        <w:rPr>
          <w:rFonts w:ascii="黑体" w:hAnsi="黑体" w:eastAsia="黑体" w:cs="黑体"/>
          <w:b/>
          <w:bCs/>
          <w:sz w:val="27"/>
          <w:szCs w:val="27"/>
        </w:rPr>
        <w:t>××阶段维修性分析结果清单</w:t>
      </w:r>
    </w:p>
    <w:p w14:paraId="54894327">
      <w:pPr>
        <w:pStyle w:val="2"/>
        <w:spacing w:before="101" w:line="268" w:lineRule="auto"/>
        <w:ind w:firstLine="550"/>
        <w:jc w:val="both"/>
      </w:pPr>
      <w:r>
        <w:rPr>
          <w:spacing w:val="6"/>
        </w:rPr>
        <w:t>应将与维修保障计划和保障性分析有关的维修性分析结果制成清单，</w:t>
      </w:r>
      <w:r>
        <w:rPr>
          <w:spacing w:val="5"/>
        </w:rPr>
        <w:t>并经</w:t>
      </w:r>
      <w:r>
        <w:t xml:space="preserve"> </w:t>
      </w:r>
      <w:r>
        <w:rPr>
          <w:spacing w:val="5"/>
        </w:rPr>
        <w:t>订购方认可。清单必须随着维修性分析的深入和维修性设计准则的确立而及时</w:t>
      </w:r>
      <w:r>
        <w:rPr>
          <w:spacing w:val="15"/>
        </w:rPr>
        <w:t xml:space="preserve"> </w:t>
      </w:r>
      <w:r>
        <w:rPr>
          <w:spacing w:val="1"/>
        </w:rPr>
        <w:t>修正。清单内容包括：</w:t>
      </w:r>
    </w:p>
    <w:p w14:paraId="161AD50C">
      <w:pPr>
        <w:pStyle w:val="2"/>
        <w:spacing w:before="4" w:line="212" w:lineRule="auto"/>
        <w:ind w:left="550"/>
      </w:pPr>
      <w:r>
        <w:rPr>
          <w:rFonts w:ascii="Times New Roman" w:hAnsi="Times New Roman" w:eastAsia="Times New Roman" w:cs="Times New Roman"/>
          <w:spacing w:val="-2"/>
        </w:rPr>
        <w:t xml:space="preserve">a)  </w:t>
      </w:r>
      <w:r>
        <w:rPr>
          <w:spacing w:val="-2"/>
        </w:rPr>
        <w:t>每一维修级别维修的产品层次、范围和频数；</w:t>
      </w:r>
    </w:p>
    <w:p w14:paraId="7AC7B005">
      <w:pPr>
        <w:pStyle w:val="2"/>
        <w:spacing w:before="100" w:line="212" w:lineRule="auto"/>
        <w:ind w:left="550"/>
      </w:pPr>
      <w:r>
        <w:rPr>
          <w:rFonts w:ascii="Times New Roman" w:hAnsi="Times New Roman" w:eastAsia="Times New Roman" w:cs="Times New Roman"/>
          <w:spacing w:val="6"/>
        </w:rPr>
        <w:t xml:space="preserve">b)  </w:t>
      </w:r>
      <w:r>
        <w:rPr>
          <w:spacing w:val="6"/>
        </w:rPr>
        <w:t>每一维修级别的初始人员技能要求和人力需求(或有关约束条件);</w:t>
      </w:r>
    </w:p>
    <w:p w14:paraId="47B5C892">
      <w:pPr>
        <w:pStyle w:val="2"/>
        <w:spacing w:before="90" w:line="212" w:lineRule="auto"/>
        <w:ind w:left="550"/>
      </w:pPr>
      <w:r>
        <w:rPr>
          <w:rFonts w:ascii="Times New Roman" w:hAnsi="Times New Roman" w:eastAsia="Times New Roman" w:cs="Times New Roman"/>
          <w:spacing w:val="4"/>
        </w:rPr>
        <w:t xml:space="preserve">c)  </w:t>
      </w:r>
      <w:r>
        <w:rPr>
          <w:spacing w:val="4"/>
        </w:rPr>
        <w:t>每一维修级别的人工或自动检测系统的特性；</w:t>
      </w:r>
    </w:p>
    <w:p w14:paraId="4641AD63">
      <w:pPr>
        <w:pStyle w:val="2"/>
        <w:spacing w:before="100" w:line="212" w:lineRule="auto"/>
        <w:ind w:left="550"/>
      </w:pPr>
      <w:r>
        <w:rPr>
          <w:rFonts w:ascii="Times New Roman" w:hAnsi="Times New Roman" w:eastAsia="Times New Roman" w:cs="Times New Roman"/>
          <w:spacing w:val="3"/>
        </w:rPr>
        <w:t xml:space="preserve">d)  </w:t>
      </w:r>
      <w:r>
        <w:rPr>
          <w:spacing w:val="3"/>
        </w:rPr>
        <w:t>每一维修级别需要的初始维修技术文件；</w:t>
      </w:r>
    </w:p>
    <w:p w14:paraId="74697C7B">
      <w:pPr>
        <w:pStyle w:val="2"/>
        <w:spacing w:before="110" w:line="212" w:lineRule="auto"/>
        <w:ind w:left="550"/>
      </w:pPr>
      <w:r>
        <w:rPr>
          <w:rFonts w:ascii="Times New Roman" w:hAnsi="Times New Roman" w:eastAsia="Times New Roman" w:cs="Times New Roman"/>
          <w:spacing w:val="3"/>
        </w:rPr>
        <w:t xml:space="preserve">e)  </w:t>
      </w:r>
      <w:r>
        <w:rPr>
          <w:spacing w:val="3"/>
        </w:rPr>
        <w:t>每一维修级别必须的人员初始培训及训练器材；</w:t>
      </w:r>
    </w:p>
    <w:p w14:paraId="13408558">
      <w:pPr>
        <w:pStyle w:val="2"/>
        <w:spacing w:before="90" w:line="212" w:lineRule="auto"/>
        <w:ind w:left="550"/>
      </w:pPr>
      <w:r>
        <w:rPr>
          <w:rFonts w:ascii="Times New Roman" w:hAnsi="Times New Roman" w:eastAsia="Times New Roman" w:cs="Times New Roman"/>
          <w:spacing w:val="3"/>
        </w:rPr>
        <w:t xml:space="preserve">f)  </w:t>
      </w:r>
      <w:r>
        <w:rPr>
          <w:spacing w:val="3"/>
        </w:rPr>
        <w:t>每一维修级别需要的初始设施；</w:t>
      </w:r>
    </w:p>
    <w:p w14:paraId="056876DF">
      <w:pPr>
        <w:pStyle w:val="2"/>
        <w:spacing w:before="99" w:line="212" w:lineRule="auto"/>
        <w:ind w:left="550"/>
      </w:pPr>
      <w:r>
        <w:rPr>
          <w:rFonts w:ascii="Times New Roman" w:hAnsi="Times New Roman" w:eastAsia="Times New Roman" w:cs="Times New Roman"/>
          <w:spacing w:val="4"/>
        </w:rPr>
        <w:t xml:space="preserve">g)  </w:t>
      </w:r>
      <w:r>
        <w:rPr>
          <w:spacing w:val="4"/>
        </w:rPr>
        <w:t>每一维修级别需要的专用与通用保障设备和工具；</w:t>
      </w:r>
    </w:p>
    <w:p w14:paraId="494F4D44">
      <w:pPr>
        <w:pStyle w:val="2"/>
        <w:spacing w:before="90" w:line="212" w:lineRule="auto"/>
        <w:ind w:left="550"/>
      </w:pPr>
      <w:r>
        <w:rPr>
          <w:rFonts w:ascii="Times New Roman" w:hAnsi="Times New Roman" w:eastAsia="Times New Roman" w:cs="Times New Roman"/>
          <w:spacing w:val="4"/>
        </w:rPr>
        <w:t xml:space="preserve">h)  </w:t>
      </w:r>
      <w:r>
        <w:rPr>
          <w:spacing w:val="4"/>
        </w:rPr>
        <w:t>维修保障有关的计算机资源。</w:t>
      </w:r>
    </w:p>
    <w:p w14:paraId="1DBA2F9D">
      <w:pPr>
        <w:spacing w:line="379" w:lineRule="auto"/>
        <w:rPr>
          <w:rFonts w:ascii="Arial"/>
          <w:sz w:val="21"/>
        </w:rPr>
      </w:pPr>
    </w:p>
    <w:p w14:paraId="04975063">
      <w:pPr>
        <w:pStyle w:val="2"/>
        <w:spacing w:before="118" w:line="219" w:lineRule="auto"/>
        <w:ind w:left="2870"/>
        <w:outlineLvl w:val="1"/>
        <w:rPr>
          <w:sz w:val="36"/>
          <w:szCs w:val="36"/>
        </w:rPr>
      </w:pPr>
      <w:r>
        <w:rPr>
          <w:rFonts w:ascii="Times New Roman" w:hAnsi="Times New Roman" w:eastAsia="Times New Roman" w:cs="Times New Roman"/>
          <w:b/>
          <w:bCs/>
          <w:spacing w:val="-1"/>
          <w:sz w:val="36"/>
          <w:szCs w:val="36"/>
        </w:rPr>
        <w:t>8.13</w:t>
      </w:r>
      <w:r>
        <w:rPr>
          <w:rFonts w:ascii="Times New Roman" w:hAnsi="Times New Roman" w:eastAsia="Times New Roman" w:cs="Times New Roman"/>
          <w:b/>
          <w:bCs/>
          <w:spacing w:val="9"/>
          <w:sz w:val="36"/>
          <w:szCs w:val="36"/>
        </w:rPr>
        <w:t xml:space="preserve">     </w:t>
      </w:r>
      <w:r>
        <w:rPr>
          <w:b/>
          <w:bCs/>
          <w:spacing w:val="-1"/>
          <w:sz w:val="36"/>
          <w:szCs w:val="36"/>
        </w:rPr>
        <w:t>维修性核查方案</w:t>
      </w:r>
    </w:p>
    <w:p w14:paraId="633BFEF5">
      <w:pPr>
        <w:spacing w:line="334" w:lineRule="auto"/>
        <w:rPr>
          <w:rFonts w:ascii="Arial"/>
          <w:sz w:val="21"/>
        </w:rPr>
      </w:pPr>
    </w:p>
    <w:p w14:paraId="28C4CF9C">
      <w:pPr>
        <w:pStyle w:val="2"/>
        <w:spacing w:before="92" w:line="223" w:lineRule="auto"/>
        <w:ind w:left="55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2072—1994</w:t>
      </w:r>
      <w:r>
        <w:rPr>
          <w:spacing w:val="-11"/>
          <w:sz w:val="28"/>
          <w:szCs w:val="28"/>
        </w:rPr>
        <w:t>《</w:t>
      </w:r>
      <w:r>
        <w:rPr>
          <w:rFonts w:ascii="楷体" w:hAnsi="楷体" w:eastAsia="楷体" w:cs="楷体"/>
          <w:spacing w:val="-11"/>
          <w:sz w:val="28"/>
          <w:szCs w:val="28"/>
        </w:rPr>
        <w:t>维修性试验与评定》编写。</w:t>
      </w:r>
    </w:p>
    <w:p w14:paraId="18C9029B">
      <w:pPr>
        <w:spacing w:before="5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3422CB93">
      <w:pPr>
        <w:spacing w:before="101" w:line="222" w:lineRule="auto"/>
        <w:rPr>
          <w:rFonts w:ascii="黑体" w:hAnsi="黑体" w:eastAsia="黑体" w:cs="黑体"/>
          <w:sz w:val="25"/>
          <w:szCs w:val="25"/>
        </w:rPr>
      </w:pPr>
      <w:r>
        <w:rPr>
          <w:rFonts w:ascii="黑体" w:hAnsi="黑体" w:eastAsia="黑体" w:cs="黑体"/>
          <w:spacing w:val="15"/>
          <w:sz w:val="25"/>
          <w:szCs w:val="25"/>
        </w:rPr>
        <w:t>2</w:t>
      </w:r>
      <w:r>
        <w:rPr>
          <w:rFonts w:ascii="黑体" w:hAnsi="黑体" w:eastAsia="黑体" w:cs="黑体"/>
          <w:spacing w:val="33"/>
          <w:sz w:val="25"/>
          <w:szCs w:val="25"/>
        </w:rPr>
        <w:t xml:space="preserve">  </w:t>
      </w:r>
      <w:r>
        <w:rPr>
          <w:rFonts w:ascii="黑体" w:hAnsi="黑体" w:eastAsia="黑体" w:cs="黑体"/>
          <w:b/>
          <w:bCs/>
          <w:spacing w:val="15"/>
          <w:sz w:val="25"/>
          <w:szCs w:val="25"/>
        </w:rPr>
        <w:t>引用文件</w:t>
      </w:r>
    </w:p>
    <w:p w14:paraId="77EE28A8">
      <w:pPr>
        <w:spacing w:before="99" w:line="221" w:lineRule="auto"/>
        <w:rPr>
          <w:rFonts w:ascii="黑体" w:hAnsi="黑体" w:eastAsia="黑体" w:cs="黑体"/>
          <w:sz w:val="25"/>
          <w:szCs w:val="25"/>
        </w:rPr>
      </w:pPr>
      <w:r>
        <w:rPr>
          <w:rFonts w:ascii="黑体" w:hAnsi="黑体" w:eastAsia="黑体" w:cs="黑体"/>
          <w:spacing w:val="5"/>
          <w:sz w:val="25"/>
          <w:szCs w:val="25"/>
        </w:rPr>
        <w:t>3</w:t>
      </w:r>
      <w:r>
        <w:rPr>
          <w:rFonts w:ascii="黑体" w:hAnsi="黑体" w:eastAsia="黑体" w:cs="黑体"/>
          <w:spacing w:val="34"/>
          <w:sz w:val="25"/>
          <w:szCs w:val="25"/>
        </w:rPr>
        <w:t xml:space="preserve">  </w:t>
      </w:r>
      <w:r>
        <w:rPr>
          <w:rFonts w:ascii="黑体" w:hAnsi="黑体" w:eastAsia="黑体" w:cs="黑体"/>
          <w:b/>
          <w:bCs/>
          <w:spacing w:val="5"/>
          <w:sz w:val="25"/>
          <w:szCs w:val="25"/>
        </w:rPr>
        <w:t>概述</w:t>
      </w:r>
    </w:p>
    <w:p w14:paraId="2A426E99">
      <w:pPr>
        <w:pStyle w:val="2"/>
        <w:spacing w:before="137" w:line="272" w:lineRule="auto"/>
        <w:ind w:right="20" w:firstLine="550"/>
      </w:pPr>
      <w:r>
        <w:rPr>
          <w:spacing w:val="-11"/>
        </w:rPr>
        <w:t>一般应说明试验与评定的依据、目的、类别、项目，若维修性试验与其他试验</w:t>
      </w:r>
      <w:r>
        <w:rPr>
          <w:spacing w:val="4"/>
        </w:rPr>
        <w:t xml:space="preserve"> </w:t>
      </w:r>
      <w:r>
        <w:rPr>
          <w:spacing w:val="-7"/>
        </w:rPr>
        <w:t>结合进行，应说明结合的方法。</w:t>
      </w:r>
    </w:p>
    <w:p w14:paraId="69FD6388">
      <w:pPr>
        <w:spacing w:line="222" w:lineRule="auto"/>
        <w:rPr>
          <w:rFonts w:ascii="黑体" w:hAnsi="黑体" w:eastAsia="黑体" w:cs="黑体"/>
          <w:sz w:val="24"/>
          <w:szCs w:val="24"/>
        </w:rPr>
      </w:pPr>
      <w:r>
        <w:rPr>
          <w:rFonts w:ascii="黑体" w:hAnsi="黑体" w:eastAsia="黑体" w:cs="黑体"/>
          <w:spacing w:val="-6"/>
          <w:sz w:val="24"/>
          <w:szCs w:val="24"/>
        </w:rPr>
        <w:t>4</w:t>
      </w:r>
      <w:r>
        <w:rPr>
          <w:rFonts w:ascii="黑体" w:hAnsi="黑体" w:eastAsia="黑体" w:cs="黑体"/>
          <w:spacing w:val="38"/>
          <w:sz w:val="24"/>
          <w:szCs w:val="24"/>
        </w:rPr>
        <w:t xml:space="preserve">  </w:t>
      </w:r>
      <w:r>
        <w:rPr>
          <w:rFonts w:ascii="黑体" w:hAnsi="黑体" w:eastAsia="黑体" w:cs="黑体"/>
          <w:b/>
          <w:bCs/>
          <w:spacing w:val="-6"/>
          <w:sz w:val="24"/>
          <w:szCs w:val="24"/>
        </w:rPr>
        <w:t>组</w:t>
      </w:r>
      <w:r>
        <w:rPr>
          <w:rFonts w:ascii="黑体" w:hAnsi="黑体" w:eastAsia="黑体" w:cs="黑体"/>
          <w:spacing w:val="-50"/>
          <w:sz w:val="24"/>
          <w:szCs w:val="24"/>
        </w:rPr>
        <w:t xml:space="preserve"> </w:t>
      </w:r>
      <w:r>
        <w:rPr>
          <w:rFonts w:ascii="黑体" w:hAnsi="黑体" w:eastAsia="黑体" w:cs="黑体"/>
          <w:b/>
          <w:bCs/>
          <w:spacing w:val="-6"/>
          <w:sz w:val="24"/>
          <w:szCs w:val="24"/>
        </w:rPr>
        <w:t>织</w:t>
      </w:r>
    </w:p>
    <w:p w14:paraId="7B702539">
      <w:pPr>
        <w:pStyle w:val="2"/>
        <w:spacing w:before="116" w:line="219" w:lineRule="auto"/>
        <w:ind w:left="550"/>
      </w:pPr>
      <w:r>
        <w:rPr>
          <w:spacing w:val="-6"/>
        </w:rPr>
        <w:t>明确试验的组织工作，一般应包括：</w:t>
      </w:r>
    </w:p>
    <w:p w14:paraId="6EF7C707">
      <w:pPr>
        <w:spacing w:line="219" w:lineRule="auto"/>
        <w:sectPr>
          <w:footerReference r:id="rId425" w:type="default"/>
          <w:pgSz w:w="11910" w:h="17130"/>
          <w:pgMar w:top="1456" w:right="1548" w:bottom="1636" w:left="979" w:header="0" w:footer="1447" w:gutter="0"/>
          <w:cols w:space="720" w:num="1"/>
        </w:sectPr>
      </w:pPr>
    </w:p>
    <w:p w14:paraId="447E8573">
      <w:pPr>
        <w:pStyle w:val="2"/>
        <w:spacing w:before="124" w:line="212" w:lineRule="auto"/>
        <w:ind w:left="560"/>
      </w:pPr>
      <w:r>
        <w:rPr>
          <w:rFonts w:ascii="Times New Roman" w:hAnsi="Times New Roman" w:eastAsia="Times New Roman" w:cs="Times New Roman"/>
          <w:spacing w:val="2"/>
        </w:rPr>
        <w:t xml:space="preserve">a)  </w:t>
      </w:r>
      <w:r>
        <w:rPr>
          <w:spacing w:val="2"/>
        </w:rPr>
        <w:t>试验评定的组织领导及参试单位；</w:t>
      </w:r>
    </w:p>
    <w:p w14:paraId="335F6E91">
      <w:pPr>
        <w:pStyle w:val="2"/>
        <w:spacing w:before="89"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49"/>
          <w:w w:val="101"/>
        </w:rPr>
        <w:t xml:space="preserve"> </w:t>
      </w:r>
      <w:r>
        <w:rPr>
          <w:spacing w:val="-2"/>
        </w:rPr>
        <w:t>试验人员的分工及资格、数量要求；</w:t>
      </w:r>
    </w:p>
    <w:p w14:paraId="4E6C3824">
      <w:pPr>
        <w:pStyle w:val="2"/>
        <w:spacing w:before="89" w:line="212" w:lineRule="auto"/>
        <w:ind w:left="560"/>
      </w:pPr>
      <w:r>
        <w:rPr>
          <w:rFonts w:ascii="Times New Roman" w:hAnsi="Times New Roman" w:eastAsia="Times New Roman" w:cs="Times New Roman"/>
          <w:spacing w:val="2"/>
        </w:rPr>
        <w:t xml:space="preserve">c)  </w:t>
      </w:r>
      <w:r>
        <w:rPr>
          <w:spacing w:val="2"/>
        </w:rPr>
        <w:t>维修小组人员的来源及培训要求。</w:t>
      </w:r>
    </w:p>
    <w:p w14:paraId="6CF0DCEF">
      <w:pPr>
        <w:spacing w:before="124" w:line="221" w:lineRule="auto"/>
        <w:outlineLvl w:val="3"/>
        <w:rPr>
          <w:rFonts w:ascii="黑体" w:hAnsi="黑体" w:eastAsia="黑体" w:cs="黑体"/>
          <w:sz w:val="27"/>
          <w:szCs w:val="27"/>
        </w:rPr>
      </w:pPr>
      <w:r>
        <w:rPr>
          <w:rFonts w:ascii="Arial" w:hAnsi="Arial" w:eastAsia="Arial" w:cs="Arial"/>
          <w:b/>
          <w:bCs/>
          <w:spacing w:val="-2"/>
          <w:sz w:val="27"/>
          <w:szCs w:val="27"/>
        </w:rPr>
        <w:t>5</w:t>
      </w:r>
      <w:r>
        <w:rPr>
          <w:rFonts w:ascii="Arial" w:hAnsi="Arial" w:eastAsia="Arial" w:cs="Arial"/>
          <w:b/>
          <w:bCs/>
          <w:spacing w:val="25"/>
          <w:sz w:val="27"/>
          <w:szCs w:val="27"/>
        </w:rPr>
        <w:t xml:space="preserve">   </w:t>
      </w:r>
      <w:r>
        <w:rPr>
          <w:rFonts w:ascii="黑体" w:hAnsi="黑体" w:eastAsia="黑体" w:cs="黑体"/>
          <w:b/>
          <w:bCs/>
          <w:spacing w:val="-2"/>
          <w:sz w:val="27"/>
          <w:szCs w:val="27"/>
        </w:rPr>
        <w:t>试验场地与资源</w:t>
      </w:r>
    </w:p>
    <w:p w14:paraId="7C7376F8">
      <w:pPr>
        <w:pStyle w:val="2"/>
        <w:spacing w:before="113" w:line="219" w:lineRule="auto"/>
        <w:ind w:left="560"/>
        <w:rPr>
          <w:sz w:val="25"/>
          <w:szCs w:val="25"/>
        </w:rPr>
      </w:pPr>
      <w:r>
        <w:rPr>
          <w:spacing w:val="1"/>
          <w:sz w:val="25"/>
          <w:szCs w:val="25"/>
        </w:rPr>
        <w:t>明确试验的场地与资源，</w:t>
      </w:r>
      <w:r>
        <w:rPr>
          <w:spacing w:val="92"/>
          <w:sz w:val="25"/>
          <w:szCs w:val="25"/>
        </w:rPr>
        <w:t xml:space="preserve"> </w:t>
      </w:r>
      <w:r>
        <w:rPr>
          <w:spacing w:val="1"/>
          <w:sz w:val="25"/>
          <w:szCs w:val="25"/>
        </w:rPr>
        <w:t>一般应规定：</w:t>
      </w:r>
    </w:p>
    <w:p w14:paraId="1AB9C57A">
      <w:pPr>
        <w:pStyle w:val="2"/>
        <w:spacing w:before="95" w:line="212" w:lineRule="auto"/>
        <w:ind w:left="560"/>
        <w:rPr>
          <w:sz w:val="24"/>
          <w:szCs w:val="24"/>
        </w:rPr>
      </w:pPr>
      <w:r>
        <w:rPr>
          <w:rFonts w:ascii="Times New Roman" w:hAnsi="Times New Roman" w:eastAsia="Times New Roman" w:cs="Times New Roman"/>
          <w:spacing w:val="26"/>
          <w:sz w:val="24"/>
          <w:szCs w:val="24"/>
        </w:rPr>
        <w:t>a)</w:t>
      </w:r>
      <w:r>
        <w:rPr>
          <w:rFonts w:ascii="Times New Roman" w:hAnsi="Times New Roman" w:eastAsia="Times New Roman" w:cs="Times New Roman"/>
          <w:spacing w:val="25"/>
          <w:sz w:val="24"/>
          <w:szCs w:val="24"/>
        </w:rPr>
        <w:t xml:space="preserve">  </w:t>
      </w:r>
      <w:r>
        <w:rPr>
          <w:spacing w:val="26"/>
          <w:sz w:val="24"/>
          <w:szCs w:val="24"/>
        </w:rPr>
        <w:t>试验场地及环境条件；</w:t>
      </w:r>
    </w:p>
    <w:p w14:paraId="1A5F31C4">
      <w:pPr>
        <w:pStyle w:val="2"/>
        <w:spacing w:before="93"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71"/>
          <w:w w:val="101"/>
        </w:rPr>
        <w:t xml:space="preserve"> </w:t>
      </w:r>
      <w:r>
        <w:rPr>
          <w:spacing w:val="2"/>
        </w:rPr>
        <w:t>工具与保障设备；</w:t>
      </w:r>
    </w:p>
    <w:p w14:paraId="11E533B9">
      <w:pPr>
        <w:pStyle w:val="2"/>
        <w:spacing w:before="130" w:line="219" w:lineRule="auto"/>
        <w:ind w:left="560"/>
      </w:pPr>
      <w:r>
        <w:rPr>
          <w:rFonts w:ascii="Times New Roman" w:hAnsi="Times New Roman" w:eastAsia="Times New Roman" w:cs="Times New Roman"/>
          <w:spacing w:val="11"/>
        </w:rPr>
        <w:t>c</w:t>
      </w:r>
      <w:r>
        <w:rPr>
          <w:spacing w:val="11"/>
        </w:rPr>
        <w:t>)技术文件；</w:t>
      </w:r>
    </w:p>
    <w:p w14:paraId="2C80710D">
      <w:pPr>
        <w:pStyle w:val="2"/>
        <w:spacing w:before="69" w:line="212" w:lineRule="auto"/>
        <w:ind w:left="560"/>
      </w:pPr>
      <w:r>
        <w:rPr>
          <w:rFonts w:ascii="Times New Roman" w:hAnsi="Times New Roman" w:eastAsia="Times New Roman" w:cs="Times New Roman"/>
        </w:rPr>
        <w:t xml:space="preserve">d)  </w:t>
      </w:r>
      <w:r>
        <w:t>备件和消耗品；</w:t>
      </w:r>
    </w:p>
    <w:p w14:paraId="60940C1B">
      <w:pPr>
        <w:pStyle w:val="2"/>
        <w:spacing w:before="112" w:line="221" w:lineRule="auto"/>
        <w:ind w:left="560"/>
      </w:pPr>
      <w:r>
        <w:rPr>
          <w:rFonts w:ascii="Times New Roman" w:hAnsi="Times New Roman" w:eastAsia="Times New Roman" w:cs="Times New Roman"/>
          <w:spacing w:val="-1"/>
        </w:rPr>
        <w:t>e</w:t>
      </w:r>
      <w:r>
        <w:rPr>
          <w:spacing w:val="-1"/>
        </w:rPr>
        <w:t>)</w:t>
      </w:r>
      <w:r>
        <w:rPr>
          <w:spacing w:val="-48"/>
        </w:rPr>
        <w:t xml:space="preserve"> </w:t>
      </w:r>
      <w:r>
        <w:rPr>
          <w:spacing w:val="-1"/>
        </w:rPr>
        <w:t>试验设备；</w:t>
      </w:r>
    </w:p>
    <w:p w14:paraId="7C3E9BD9">
      <w:pPr>
        <w:pStyle w:val="2"/>
        <w:spacing w:before="55" w:line="212" w:lineRule="auto"/>
        <w:ind w:left="560"/>
      </w:pPr>
      <w:r>
        <w:rPr>
          <w:rFonts w:ascii="Times New Roman" w:hAnsi="Times New Roman" w:eastAsia="Times New Roman" w:cs="Times New Roman"/>
          <w:spacing w:val="2"/>
        </w:rPr>
        <w:t xml:space="preserve">f)  </w:t>
      </w:r>
      <w:r>
        <w:rPr>
          <w:spacing w:val="2"/>
        </w:rPr>
        <w:t>安全设备。</w:t>
      </w:r>
    </w:p>
    <w:p w14:paraId="623101F9">
      <w:pPr>
        <w:spacing w:before="144" w:line="222" w:lineRule="auto"/>
        <w:rPr>
          <w:rFonts w:ascii="黑体" w:hAnsi="黑体" w:eastAsia="黑体" w:cs="黑体"/>
          <w:sz w:val="24"/>
          <w:szCs w:val="24"/>
        </w:rPr>
      </w:pPr>
      <w:r>
        <w:rPr>
          <w:rFonts w:ascii="黑体" w:hAnsi="黑体" w:eastAsia="黑体" w:cs="黑体"/>
          <w:spacing w:val="-10"/>
          <w:sz w:val="24"/>
          <w:szCs w:val="24"/>
        </w:rPr>
        <w:t>6</w:t>
      </w:r>
      <w:r>
        <w:rPr>
          <w:rFonts w:ascii="黑体" w:hAnsi="黑体" w:eastAsia="黑体" w:cs="黑体"/>
          <w:spacing w:val="50"/>
          <w:sz w:val="24"/>
          <w:szCs w:val="24"/>
        </w:rPr>
        <w:t xml:space="preserve">  </w:t>
      </w:r>
      <w:r>
        <w:rPr>
          <w:rFonts w:ascii="黑体" w:hAnsi="黑体" w:eastAsia="黑体" w:cs="黑体"/>
          <w:b/>
          <w:bCs/>
          <w:spacing w:val="-10"/>
          <w:sz w:val="24"/>
          <w:szCs w:val="24"/>
        </w:rPr>
        <w:t>实</w:t>
      </w:r>
      <w:r>
        <w:rPr>
          <w:rFonts w:ascii="黑体" w:hAnsi="黑体" w:eastAsia="黑体" w:cs="黑体"/>
          <w:spacing w:val="-41"/>
          <w:sz w:val="24"/>
          <w:szCs w:val="24"/>
        </w:rPr>
        <w:t xml:space="preserve"> </w:t>
      </w:r>
      <w:r>
        <w:rPr>
          <w:rFonts w:ascii="黑体" w:hAnsi="黑体" w:eastAsia="黑体" w:cs="黑体"/>
          <w:b/>
          <w:bCs/>
          <w:spacing w:val="-10"/>
          <w:sz w:val="24"/>
          <w:szCs w:val="24"/>
        </w:rPr>
        <w:t>施</w:t>
      </w:r>
    </w:p>
    <w:p w14:paraId="09BB5931">
      <w:pPr>
        <w:spacing w:before="104" w:line="223" w:lineRule="auto"/>
        <w:rPr>
          <w:rFonts w:ascii="黑体" w:hAnsi="黑体" w:eastAsia="黑体" w:cs="黑体"/>
          <w:sz w:val="24"/>
          <w:szCs w:val="24"/>
        </w:rPr>
      </w:pPr>
      <w:r>
        <w:rPr>
          <w:rFonts w:ascii="黑体" w:hAnsi="黑体" w:eastAsia="黑体" w:cs="黑体"/>
          <w:spacing w:val="-5"/>
          <w:sz w:val="24"/>
          <w:szCs w:val="24"/>
        </w:rPr>
        <w:t>6.1</w:t>
      </w:r>
      <w:r>
        <w:rPr>
          <w:rFonts w:ascii="黑体" w:hAnsi="黑体" w:eastAsia="黑体" w:cs="黑体"/>
          <w:spacing w:val="46"/>
          <w:sz w:val="24"/>
          <w:szCs w:val="24"/>
        </w:rPr>
        <w:t xml:space="preserve">  </w:t>
      </w:r>
      <w:r>
        <w:rPr>
          <w:rFonts w:ascii="黑体" w:hAnsi="黑体" w:eastAsia="黑体" w:cs="黑体"/>
          <w:b/>
          <w:bCs/>
          <w:spacing w:val="-5"/>
          <w:sz w:val="24"/>
          <w:szCs w:val="24"/>
        </w:rPr>
        <w:t>准</w:t>
      </w:r>
      <w:r>
        <w:rPr>
          <w:rFonts w:ascii="黑体" w:hAnsi="黑体" w:eastAsia="黑体" w:cs="黑体"/>
          <w:spacing w:val="-39"/>
          <w:sz w:val="24"/>
          <w:szCs w:val="24"/>
        </w:rPr>
        <w:t xml:space="preserve"> </w:t>
      </w:r>
      <w:r>
        <w:rPr>
          <w:rFonts w:ascii="黑体" w:hAnsi="黑体" w:eastAsia="黑体" w:cs="黑体"/>
          <w:b/>
          <w:bCs/>
          <w:spacing w:val="-5"/>
          <w:sz w:val="24"/>
          <w:szCs w:val="24"/>
        </w:rPr>
        <w:t>备</w:t>
      </w:r>
    </w:p>
    <w:p w14:paraId="3A376D39">
      <w:pPr>
        <w:pStyle w:val="2"/>
        <w:spacing w:before="124" w:line="219" w:lineRule="auto"/>
        <w:ind w:left="560"/>
      </w:pPr>
      <w:r>
        <w:rPr>
          <w:spacing w:val="-6"/>
        </w:rPr>
        <w:t>明确试验的准备工作，一般包括：</w:t>
      </w:r>
    </w:p>
    <w:p w14:paraId="6CD1258F">
      <w:pPr>
        <w:pStyle w:val="2"/>
        <w:spacing w:before="71" w:line="221" w:lineRule="auto"/>
        <w:ind w:left="560"/>
      </w:pPr>
      <w:r>
        <w:rPr>
          <w:rFonts w:ascii="Times New Roman" w:hAnsi="Times New Roman" w:eastAsia="Times New Roman" w:cs="Times New Roman"/>
          <w:spacing w:val="12"/>
        </w:rPr>
        <w:t>a</w:t>
      </w:r>
      <w:r>
        <w:rPr>
          <w:spacing w:val="12"/>
        </w:rPr>
        <w:t>)试验组的组成；</w:t>
      </w:r>
    </w:p>
    <w:p w14:paraId="6912483B">
      <w:pPr>
        <w:pStyle w:val="2"/>
        <w:spacing w:before="65" w:line="212" w:lineRule="auto"/>
        <w:ind w:left="560"/>
      </w:pPr>
      <w:r>
        <w:rPr>
          <w:rFonts w:ascii="Times New Roman" w:hAnsi="Times New Roman" w:eastAsia="Times New Roman" w:cs="Times New Roman"/>
          <w:spacing w:val="2"/>
        </w:rPr>
        <w:t xml:space="preserve">b)  </w:t>
      </w:r>
      <w:r>
        <w:rPr>
          <w:spacing w:val="2"/>
        </w:rPr>
        <w:t>维修人员的培训；</w:t>
      </w:r>
    </w:p>
    <w:p w14:paraId="5B6D983D">
      <w:pPr>
        <w:pStyle w:val="2"/>
        <w:spacing w:before="100" w:line="212" w:lineRule="auto"/>
        <w:ind w:left="560"/>
      </w:pPr>
      <w:r>
        <w:rPr>
          <w:rFonts w:ascii="Times New Roman" w:hAnsi="Times New Roman" w:eastAsia="Times New Roman" w:cs="Times New Roman"/>
          <w:spacing w:val="1"/>
        </w:rPr>
        <w:t>c)</w:t>
      </w:r>
      <w:r>
        <w:rPr>
          <w:rFonts w:ascii="Times New Roman" w:hAnsi="Times New Roman" w:eastAsia="Times New Roman" w:cs="Times New Roman"/>
          <w:spacing w:val="56"/>
          <w:w w:val="101"/>
        </w:rPr>
        <w:t xml:space="preserve"> </w:t>
      </w:r>
      <w:r>
        <w:rPr>
          <w:spacing w:val="1"/>
        </w:rPr>
        <w:t>试验设施的准备；</w:t>
      </w:r>
    </w:p>
    <w:p w14:paraId="7D98F8ED">
      <w:pPr>
        <w:pStyle w:val="2"/>
        <w:spacing w:before="90" w:line="212" w:lineRule="auto"/>
        <w:ind w:left="560"/>
      </w:pPr>
      <w:r>
        <w:rPr>
          <w:rFonts w:ascii="Times New Roman" w:hAnsi="Times New Roman" w:eastAsia="Times New Roman" w:cs="Times New Roman"/>
          <w:spacing w:val="2"/>
        </w:rPr>
        <w:t xml:space="preserve">d)  </w:t>
      </w:r>
      <w:r>
        <w:rPr>
          <w:spacing w:val="2"/>
        </w:rPr>
        <w:t>保障器材的准备。</w:t>
      </w:r>
    </w:p>
    <w:p w14:paraId="4442984B">
      <w:pPr>
        <w:spacing w:before="124" w:line="221" w:lineRule="auto"/>
        <w:outlineLvl w:val="3"/>
        <w:rPr>
          <w:rFonts w:ascii="黑体" w:hAnsi="黑体" w:eastAsia="黑体" w:cs="黑体"/>
          <w:sz w:val="27"/>
          <w:szCs w:val="27"/>
        </w:rPr>
      </w:pPr>
      <w:r>
        <w:rPr>
          <w:rFonts w:ascii="Arial" w:hAnsi="Arial" w:eastAsia="Arial" w:cs="Arial"/>
          <w:b/>
          <w:bCs/>
          <w:spacing w:val="-5"/>
          <w:sz w:val="27"/>
          <w:szCs w:val="27"/>
        </w:rPr>
        <w:t>6.2</w:t>
      </w:r>
      <w:r>
        <w:rPr>
          <w:rFonts w:ascii="Arial" w:hAnsi="Arial" w:eastAsia="Arial" w:cs="Arial"/>
          <w:b/>
          <w:bCs/>
          <w:spacing w:val="5"/>
          <w:sz w:val="27"/>
          <w:szCs w:val="27"/>
        </w:rPr>
        <w:t xml:space="preserve">    </w:t>
      </w:r>
      <w:r>
        <w:rPr>
          <w:rFonts w:ascii="黑体" w:hAnsi="黑体" w:eastAsia="黑体" w:cs="黑体"/>
          <w:b/>
          <w:bCs/>
          <w:spacing w:val="-5"/>
          <w:sz w:val="27"/>
          <w:szCs w:val="27"/>
        </w:rPr>
        <w:t>试验</w:t>
      </w:r>
    </w:p>
    <w:p w14:paraId="3D486299">
      <w:pPr>
        <w:pStyle w:val="2"/>
        <w:spacing w:before="103" w:line="219" w:lineRule="auto"/>
        <w:ind w:left="560"/>
      </w:pPr>
      <w:r>
        <w:rPr>
          <w:spacing w:val="-5"/>
        </w:rPr>
        <w:t>明确试验的实施要求，一般应包括：</w:t>
      </w:r>
    </w:p>
    <w:p w14:paraId="31905C0E">
      <w:pPr>
        <w:pStyle w:val="2"/>
        <w:spacing w:before="80" w:line="220" w:lineRule="auto"/>
        <w:ind w:left="560"/>
      </w:pPr>
      <w:r>
        <w:rPr>
          <w:rFonts w:ascii="Times New Roman" w:hAnsi="Times New Roman" w:eastAsia="Times New Roman" w:cs="Times New Roman"/>
          <w:spacing w:val="11"/>
        </w:rPr>
        <w:t>a</w:t>
      </w:r>
      <w:r>
        <w:rPr>
          <w:spacing w:val="11"/>
        </w:rPr>
        <w:t>)试验进度；</w:t>
      </w:r>
    </w:p>
    <w:p w14:paraId="1BF6C4E9">
      <w:pPr>
        <w:pStyle w:val="2"/>
        <w:spacing w:before="78" w:line="212" w:lineRule="auto"/>
        <w:ind w:left="560"/>
      </w:pPr>
      <w:r>
        <w:rPr>
          <w:rFonts w:ascii="Times New Roman" w:hAnsi="Times New Roman" w:eastAsia="Times New Roman" w:cs="Times New Roman"/>
          <w:spacing w:val="-2"/>
        </w:rPr>
        <w:t xml:space="preserve">b)  </w:t>
      </w:r>
      <w:r>
        <w:rPr>
          <w:spacing w:val="-2"/>
        </w:rPr>
        <w:t>试验方法，包括判决标准及风险率或置信度；</w:t>
      </w:r>
    </w:p>
    <w:p w14:paraId="6BE1CBE7">
      <w:pPr>
        <w:pStyle w:val="2"/>
        <w:spacing w:before="79" w:line="212" w:lineRule="auto"/>
        <w:ind w:left="560"/>
      </w:pPr>
      <w:r>
        <w:rPr>
          <w:rFonts w:ascii="Times New Roman" w:hAnsi="Times New Roman" w:eastAsia="Times New Roman" w:cs="Times New Roman"/>
          <w:spacing w:val="-4"/>
        </w:rPr>
        <w:t xml:space="preserve">c)  </w:t>
      </w:r>
      <w:r>
        <w:rPr>
          <w:spacing w:val="-4"/>
        </w:rPr>
        <w:t>当模拟故障时，选择维修作业的程序；</w:t>
      </w:r>
    </w:p>
    <w:p w14:paraId="45B6D901">
      <w:pPr>
        <w:pStyle w:val="2"/>
        <w:spacing w:before="100" w:line="212" w:lineRule="auto"/>
        <w:ind w:left="560"/>
      </w:pPr>
      <w:r>
        <w:rPr>
          <w:rFonts w:ascii="Times New Roman" w:hAnsi="Times New Roman" w:eastAsia="Times New Roman" w:cs="Times New Roman"/>
        </w:rPr>
        <w:t xml:space="preserve">d)  </w:t>
      </w:r>
      <w:r>
        <w:t>数据获取方法；</w:t>
      </w:r>
    </w:p>
    <w:p w14:paraId="217D2A49">
      <w:pPr>
        <w:pStyle w:val="2"/>
        <w:spacing w:before="141" w:line="219" w:lineRule="auto"/>
        <w:ind w:left="560"/>
      </w:pPr>
      <w:r>
        <w:rPr>
          <w:rFonts w:ascii="Times New Roman" w:hAnsi="Times New Roman" w:eastAsia="Times New Roman" w:cs="Times New Roman"/>
          <w:spacing w:val="7"/>
        </w:rPr>
        <w:t>e</w:t>
      </w:r>
      <w:r>
        <w:rPr>
          <w:rFonts w:ascii="Times New Roman" w:hAnsi="Times New Roman" w:eastAsia="Times New Roman" w:cs="Times New Roman"/>
          <w:spacing w:val="-23"/>
        </w:rPr>
        <w:t xml:space="preserve"> </w:t>
      </w:r>
      <w:r>
        <w:rPr>
          <w:spacing w:val="7"/>
        </w:rPr>
        <w:t>)数据分析方法与程序；</w:t>
      </w:r>
    </w:p>
    <w:p w14:paraId="5A355471">
      <w:pPr>
        <w:pStyle w:val="2"/>
        <w:spacing w:before="59" w:line="212" w:lineRule="auto"/>
        <w:ind w:left="560"/>
      </w:pPr>
      <w:r>
        <w:rPr>
          <w:rFonts w:ascii="Times New Roman" w:hAnsi="Times New Roman" w:eastAsia="Times New Roman" w:cs="Times New Roman"/>
          <w:spacing w:val="2"/>
        </w:rPr>
        <w:t xml:space="preserve">f)  </w:t>
      </w:r>
      <w:r>
        <w:rPr>
          <w:spacing w:val="2"/>
        </w:rPr>
        <w:t>重新试验的规定。</w:t>
      </w:r>
    </w:p>
    <w:p w14:paraId="644FA6AB">
      <w:pPr>
        <w:spacing w:before="134" w:line="222" w:lineRule="auto"/>
        <w:outlineLvl w:val="3"/>
        <w:rPr>
          <w:rFonts w:ascii="黑体" w:hAnsi="黑体" w:eastAsia="黑体" w:cs="黑体"/>
          <w:sz w:val="24"/>
          <w:szCs w:val="24"/>
        </w:rPr>
      </w:pPr>
      <w:r>
        <w:rPr>
          <w:rFonts w:ascii="Arial" w:hAnsi="Arial" w:eastAsia="Arial" w:cs="Arial"/>
          <w:b/>
          <w:bCs/>
          <w:spacing w:val="-5"/>
          <w:sz w:val="24"/>
          <w:szCs w:val="24"/>
        </w:rPr>
        <w:t>6.3</w:t>
      </w:r>
      <w:r>
        <w:rPr>
          <w:rFonts w:ascii="Arial" w:hAnsi="Arial" w:eastAsia="Arial" w:cs="Arial"/>
          <w:b/>
          <w:bCs/>
          <w:spacing w:val="5"/>
          <w:sz w:val="24"/>
          <w:szCs w:val="24"/>
        </w:rPr>
        <w:t xml:space="preserve">     </w:t>
      </w:r>
      <w:r>
        <w:rPr>
          <w:rFonts w:ascii="黑体" w:hAnsi="黑体" w:eastAsia="黑体" w:cs="黑体"/>
          <w:b/>
          <w:bCs/>
          <w:spacing w:val="-5"/>
          <w:sz w:val="24"/>
          <w:szCs w:val="24"/>
        </w:rPr>
        <w:t>评</w:t>
      </w:r>
      <w:r>
        <w:rPr>
          <w:rFonts w:ascii="黑体" w:hAnsi="黑体" w:eastAsia="黑体" w:cs="黑体"/>
          <w:spacing w:val="-37"/>
          <w:sz w:val="24"/>
          <w:szCs w:val="24"/>
        </w:rPr>
        <w:t xml:space="preserve"> </w:t>
      </w:r>
      <w:r>
        <w:rPr>
          <w:rFonts w:ascii="黑体" w:hAnsi="黑体" w:eastAsia="黑体" w:cs="黑体"/>
          <w:b/>
          <w:bCs/>
          <w:spacing w:val="-5"/>
          <w:sz w:val="24"/>
          <w:szCs w:val="24"/>
        </w:rPr>
        <w:t>定</w:t>
      </w:r>
    </w:p>
    <w:p w14:paraId="73933D77">
      <w:pPr>
        <w:pStyle w:val="2"/>
        <w:spacing w:before="118" w:line="219" w:lineRule="auto"/>
        <w:ind w:left="560"/>
      </w:pPr>
      <w:r>
        <w:rPr>
          <w:spacing w:val="-5"/>
        </w:rPr>
        <w:t>明确试验结果的评定内容和方法，一般应包括：</w:t>
      </w:r>
    </w:p>
    <w:p w14:paraId="4AA987CB">
      <w:pPr>
        <w:pStyle w:val="2"/>
        <w:spacing w:before="49" w:line="212" w:lineRule="auto"/>
        <w:ind w:left="560"/>
      </w:pPr>
      <w:r>
        <w:rPr>
          <w:rFonts w:ascii="Times New Roman" w:hAnsi="Times New Roman" w:eastAsia="Times New Roman" w:cs="Times New Roman"/>
          <w:spacing w:val="3"/>
        </w:rPr>
        <w:t xml:space="preserve">a)  </w:t>
      </w:r>
      <w:r>
        <w:rPr>
          <w:spacing w:val="3"/>
        </w:rPr>
        <w:t>对装备满足维修性定性要求程度的评定；</w:t>
      </w:r>
    </w:p>
    <w:p w14:paraId="632423F9">
      <w:pPr>
        <w:pStyle w:val="2"/>
        <w:spacing w:before="100" w:line="212" w:lineRule="auto"/>
        <w:ind w:left="560"/>
      </w:pPr>
      <w:r>
        <w:rPr>
          <w:rFonts w:ascii="Times New Roman" w:hAnsi="Times New Roman" w:eastAsia="Times New Roman" w:cs="Times New Roman"/>
          <w:spacing w:val="3"/>
        </w:rPr>
        <w:t xml:space="preserve">b)  </w:t>
      </w:r>
      <w:r>
        <w:rPr>
          <w:spacing w:val="3"/>
        </w:rPr>
        <w:t>对装备满足维修性定量要求程度的评定；</w:t>
      </w:r>
    </w:p>
    <w:p w14:paraId="0EB9FA09">
      <w:pPr>
        <w:pStyle w:val="2"/>
        <w:spacing w:before="90"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2"/>
          <w:w w:val="101"/>
        </w:rPr>
        <w:t xml:space="preserve"> </w:t>
      </w:r>
      <w:r>
        <w:rPr>
          <w:spacing w:val="3"/>
        </w:rPr>
        <w:t>对维修保障要素的评定(需要时)。</w:t>
      </w:r>
    </w:p>
    <w:p w14:paraId="50F6C34A">
      <w:pPr>
        <w:spacing w:before="124" w:line="221" w:lineRule="auto"/>
        <w:rPr>
          <w:rFonts w:ascii="黑体" w:hAnsi="黑体" w:eastAsia="黑体" w:cs="黑体"/>
          <w:sz w:val="27"/>
          <w:szCs w:val="27"/>
        </w:rPr>
      </w:pPr>
      <w:r>
        <w:rPr>
          <w:rFonts w:ascii="黑体" w:hAnsi="黑体" w:eastAsia="黑体" w:cs="黑体"/>
          <w:spacing w:val="2"/>
          <w:sz w:val="27"/>
          <w:szCs w:val="27"/>
        </w:rPr>
        <w:t xml:space="preserve">6.4  </w:t>
      </w:r>
      <w:r>
        <w:rPr>
          <w:rFonts w:ascii="黑体" w:hAnsi="黑体" w:eastAsia="黑体" w:cs="黑体"/>
          <w:b/>
          <w:bCs/>
          <w:spacing w:val="2"/>
          <w:sz w:val="27"/>
          <w:szCs w:val="27"/>
        </w:rPr>
        <w:t>试验与评定报告</w:t>
      </w:r>
    </w:p>
    <w:p w14:paraId="7A6D3F12">
      <w:pPr>
        <w:pStyle w:val="2"/>
        <w:spacing w:before="101" w:line="218" w:lineRule="auto"/>
        <w:ind w:left="560"/>
      </w:pPr>
      <w:r>
        <w:rPr>
          <w:spacing w:val="3"/>
        </w:rPr>
        <w:t>应规定试验与评定报告的编写与交付的要求。</w:t>
      </w:r>
    </w:p>
    <w:p w14:paraId="29C6A40E">
      <w:pPr>
        <w:spacing w:line="218" w:lineRule="auto"/>
        <w:sectPr>
          <w:footerReference r:id="rId426" w:type="default"/>
          <w:pgSz w:w="11910" w:h="17130"/>
          <w:pgMar w:top="1456" w:right="1013" w:bottom="1567" w:left="1759" w:header="0" w:footer="1351" w:gutter="0"/>
          <w:cols w:space="720" w:num="1"/>
        </w:sectPr>
      </w:pPr>
    </w:p>
    <w:p w14:paraId="775DE4C1">
      <w:pPr>
        <w:spacing w:before="112" w:line="221" w:lineRule="auto"/>
        <w:rPr>
          <w:rFonts w:ascii="黑体" w:hAnsi="黑体" w:eastAsia="黑体" w:cs="黑体"/>
          <w:sz w:val="27"/>
          <w:szCs w:val="27"/>
        </w:rPr>
      </w:pPr>
      <w:r>
        <w:rPr>
          <w:rFonts w:ascii="Arial" w:hAnsi="Arial" w:eastAsia="Arial" w:cs="Arial"/>
          <w:spacing w:val="-4"/>
          <w:sz w:val="27"/>
          <w:szCs w:val="27"/>
        </w:rPr>
        <w:t>7</w:t>
      </w:r>
      <w:r>
        <w:rPr>
          <w:rFonts w:ascii="Arial" w:hAnsi="Arial" w:eastAsia="Arial" w:cs="Arial"/>
          <w:spacing w:val="20"/>
          <w:sz w:val="27"/>
          <w:szCs w:val="27"/>
        </w:rPr>
        <w:t xml:space="preserve">   </w:t>
      </w:r>
      <w:r>
        <w:rPr>
          <w:rFonts w:ascii="黑体" w:hAnsi="黑体" w:eastAsia="黑体" w:cs="黑体"/>
          <w:spacing w:val="-4"/>
          <w:sz w:val="27"/>
          <w:szCs w:val="27"/>
        </w:rPr>
        <w:t>监督与管理</w:t>
      </w:r>
    </w:p>
    <w:p w14:paraId="508F90F8">
      <w:pPr>
        <w:pStyle w:val="2"/>
        <w:spacing w:before="77" w:line="284" w:lineRule="auto"/>
        <w:ind w:firstLine="569"/>
      </w:pPr>
      <w:r>
        <w:rPr>
          <w:spacing w:val="-3"/>
        </w:rPr>
        <w:t>应明确试验与评定的监督与管理的要求，即试验与评定组织与职责；试验与</w:t>
      </w:r>
      <w:r>
        <w:t xml:space="preserve"> </w:t>
      </w:r>
      <w:r>
        <w:rPr>
          <w:spacing w:val="1"/>
        </w:rPr>
        <w:t>评定过程的控制与协调。</w:t>
      </w:r>
    </w:p>
    <w:p w14:paraId="20BC4CA5">
      <w:pPr>
        <w:spacing w:before="27" w:line="221" w:lineRule="auto"/>
        <w:rPr>
          <w:rFonts w:ascii="黑体" w:hAnsi="黑体" w:eastAsia="黑体" w:cs="黑体"/>
          <w:sz w:val="25"/>
          <w:szCs w:val="25"/>
        </w:rPr>
      </w:pPr>
      <w:r>
        <w:rPr>
          <w:rFonts w:ascii="黑体" w:hAnsi="黑体" w:eastAsia="黑体" w:cs="黑体"/>
          <w:spacing w:val="23"/>
          <w:sz w:val="25"/>
          <w:szCs w:val="25"/>
        </w:rPr>
        <w:t>8</w:t>
      </w:r>
      <w:r>
        <w:rPr>
          <w:rFonts w:ascii="黑体" w:hAnsi="黑体" w:eastAsia="黑体" w:cs="黑体"/>
          <w:spacing w:val="26"/>
          <w:sz w:val="25"/>
          <w:szCs w:val="25"/>
        </w:rPr>
        <w:t xml:space="preserve">  </w:t>
      </w:r>
      <w:r>
        <w:rPr>
          <w:rFonts w:ascii="黑体" w:hAnsi="黑体" w:eastAsia="黑体" w:cs="黑体"/>
          <w:spacing w:val="23"/>
          <w:sz w:val="25"/>
          <w:szCs w:val="25"/>
        </w:rPr>
        <w:t>试验经费</w:t>
      </w:r>
    </w:p>
    <w:p w14:paraId="1737C6A2">
      <w:pPr>
        <w:pStyle w:val="2"/>
        <w:spacing w:before="84" w:line="219" w:lineRule="auto"/>
        <w:ind w:left="569"/>
      </w:pPr>
      <w:r>
        <w:rPr>
          <w:spacing w:val="-3"/>
        </w:rPr>
        <w:t>对试验经费进行预算，明确试验经费管理方法。</w:t>
      </w:r>
    </w:p>
    <w:p w14:paraId="1D0073E3">
      <w:pPr>
        <w:spacing w:line="365" w:lineRule="auto"/>
        <w:rPr>
          <w:rFonts w:ascii="Arial"/>
          <w:sz w:val="21"/>
        </w:rPr>
      </w:pPr>
    </w:p>
    <w:p w14:paraId="7FE352C6">
      <w:pPr>
        <w:pStyle w:val="2"/>
        <w:spacing w:before="117" w:line="218" w:lineRule="auto"/>
        <w:ind w:left="2869"/>
        <w:rPr>
          <w:sz w:val="36"/>
          <w:szCs w:val="36"/>
        </w:rPr>
      </w:pPr>
      <w:r>
        <w:rPr>
          <w:sz w:val="36"/>
          <w:szCs w:val="36"/>
        </w:rPr>
        <w:t>8.14</w:t>
      </w:r>
      <w:r>
        <w:rPr>
          <w:spacing w:val="21"/>
          <w:sz w:val="36"/>
          <w:szCs w:val="36"/>
        </w:rPr>
        <w:t xml:space="preserve">  </w:t>
      </w:r>
      <w:r>
        <w:rPr>
          <w:b/>
          <w:bCs/>
          <w:sz w:val="36"/>
          <w:szCs w:val="36"/>
        </w:rPr>
        <w:t>维修性核查报告</w:t>
      </w:r>
    </w:p>
    <w:p w14:paraId="4B11D851">
      <w:pPr>
        <w:spacing w:line="382" w:lineRule="auto"/>
        <w:rPr>
          <w:rFonts w:ascii="Arial"/>
          <w:sz w:val="21"/>
        </w:rPr>
      </w:pPr>
    </w:p>
    <w:p w14:paraId="475E66A6">
      <w:pPr>
        <w:pStyle w:val="2"/>
        <w:spacing w:before="78" w:line="223" w:lineRule="auto"/>
        <w:ind w:left="569"/>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10"/>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2072—1994</w:t>
      </w:r>
      <w:r>
        <w:rPr>
          <w:spacing w:val="9"/>
          <w:sz w:val="24"/>
          <w:szCs w:val="24"/>
        </w:rPr>
        <w:t>《</w:t>
      </w:r>
      <w:r>
        <w:rPr>
          <w:rFonts w:ascii="楷体" w:hAnsi="楷体" w:eastAsia="楷体" w:cs="楷体"/>
          <w:spacing w:val="9"/>
          <w:sz w:val="24"/>
          <w:szCs w:val="24"/>
        </w:rPr>
        <w:t>维修性试验与评定》编写。</w:t>
      </w:r>
    </w:p>
    <w:p w14:paraId="76BB036D">
      <w:pPr>
        <w:spacing w:before="117"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4"/>
          <w:sz w:val="25"/>
          <w:szCs w:val="25"/>
        </w:rPr>
        <w:t xml:space="preserve">  </w:t>
      </w:r>
      <w:r>
        <w:rPr>
          <w:rFonts w:ascii="黑体" w:hAnsi="黑体" w:eastAsia="黑体" w:cs="黑体"/>
          <w:spacing w:val="-13"/>
          <w:sz w:val="25"/>
          <w:szCs w:val="25"/>
        </w:rPr>
        <w:t>范</w:t>
      </w:r>
      <w:r>
        <w:rPr>
          <w:rFonts w:ascii="黑体" w:hAnsi="黑体" w:eastAsia="黑体" w:cs="黑体"/>
          <w:spacing w:val="-31"/>
          <w:sz w:val="25"/>
          <w:szCs w:val="25"/>
        </w:rPr>
        <w:t xml:space="preserve"> </w:t>
      </w:r>
      <w:r>
        <w:rPr>
          <w:rFonts w:ascii="黑体" w:hAnsi="黑体" w:eastAsia="黑体" w:cs="黑体"/>
          <w:spacing w:val="-13"/>
          <w:sz w:val="25"/>
          <w:szCs w:val="25"/>
        </w:rPr>
        <w:t>围</w:t>
      </w:r>
    </w:p>
    <w:p w14:paraId="167BA2B9">
      <w:pPr>
        <w:spacing w:before="126" w:line="222" w:lineRule="auto"/>
        <w:rPr>
          <w:rFonts w:ascii="黑体" w:hAnsi="黑体" w:eastAsia="黑体" w:cs="黑体"/>
          <w:sz w:val="25"/>
          <w:szCs w:val="25"/>
        </w:rPr>
      </w:pPr>
      <w:r>
        <w:rPr>
          <w:rFonts w:ascii="黑体" w:hAnsi="黑体" w:eastAsia="黑体" w:cs="黑体"/>
          <w:spacing w:val="18"/>
          <w:sz w:val="25"/>
          <w:szCs w:val="25"/>
        </w:rPr>
        <w:t>2</w:t>
      </w:r>
      <w:r>
        <w:rPr>
          <w:rFonts w:ascii="黑体" w:hAnsi="黑体" w:eastAsia="黑体" w:cs="黑体"/>
          <w:spacing w:val="27"/>
          <w:sz w:val="25"/>
          <w:szCs w:val="25"/>
        </w:rPr>
        <w:t xml:space="preserve">  </w:t>
      </w:r>
      <w:r>
        <w:rPr>
          <w:rFonts w:ascii="黑体" w:hAnsi="黑体" w:eastAsia="黑体" w:cs="黑体"/>
          <w:spacing w:val="18"/>
          <w:sz w:val="25"/>
          <w:szCs w:val="25"/>
        </w:rPr>
        <w:t>引用文件</w:t>
      </w:r>
    </w:p>
    <w:p w14:paraId="79224BCE">
      <w:pPr>
        <w:spacing w:before="84" w:line="341" w:lineRule="exact"/>
        <w:rPr>
          <w:rFonts w:ascii="黑体" w:hAnsi="黑体" w:eastAsia="黑体" w:cs="黑体"/>
          <w:sz w:val="25"/>
          <w:szCs w:val="25"/>
        </w:rPr>
      </w:pPr>
      <w:r>
        <w:rPr>
          <w:rFonts w:ascii="Arial" w:hAnsi="Arial" w:eastAsia="Arial" w:cs="Arial"/>
          <w:spacing w:val="19"/>
          <w:position w:val="1"/>
          <w:sz w:val="25"/>
          <w:szCs w:val="25"/>
        </w:rPr>
        <w:t>3</w:t>
      </w:r>
      <w:r>
        <w:rPr>
          <w:rFonts w:ascii="Arial" w:hAnsi="Arial" w:eastAsia="Arial" w:cs="Arial"/>
          <w:spacing w:val="4"/>
          <w:position w:val="1"/>
          <w:sz w:val="25"/>
          <w:szCs w:val="25"/>
        </w:rPr>
        <w:t xml:space="preserve">    </w:t>
      </w:r>
      <w:r>
        <w:rPr>
          <w:rFonts w:ascii="黑体" w:hAnsi="黑体" w:eastAsia="黑体" w:cs="黑体"/>
          <w:spacing w:val="19"/>
          <w:position w:val="1"/>
          <w:sz w:val="25"/>
          <w:szCs w:val="25"/>
        </w:rPr>
        <w:t>核查方案简述</w:t>
      </w:r>
    </w:p>
    <w:p w14:paraId="47668F4E">
      <w:pPr>
        <w:pStyle w:val="2"/>
        <w:spacing w:before="85" w:line="219" w:lineRule="auto"/>
        <w:ind w:left="569"/>
      </w:pPr>
      <w:r>
        <w:rPr>
          <w:spacing w:val="-8"/>
        </w:rPr>
        <w:t>简要叙述核查计划、方案。</w:t>
      </w:r>
    </w:p>
    <w:p w14:paraId="6AADAAB8">
      <w:pPr>
        <w:spacing w:before="110" w:line="222" w:lineRule="auto"/>
        <w:rPr>
          <w:rFonts w:ascii="黑体" w:hAnsi="黑体" w:eastAsia="黑体" w:cs="黑体"/>
          <w:sz w:val="27"/>
          <w:szCs w:val="27"/>
        </w:rPr>
      </w:pPr>
      <w:r>
        <w:rPr>
          <w:rFonts w:ascii="Arial" w:hAnsi="Arial" w:eastAsia="Arial" w:cs="Arial"/>
          <w:spacing w:val="3"/>
          <w:sz w:val="27"/>
          <w:szCs w:val="27"/>
        </w:rPr>
        <w:t>4</w:t>
      </w:r>
      <w:r>
        <w:rPr>
          <w:rFonts w:ascii="Arial" w:hAnsi="Arial" w:eastAsia="Arial" w:cs="Arial"/>
          <w:spacing w:val="17"/>
          <w:sz w:val="27"/>
          <w:szCs w:val="27"/>
        </w:rPr>
        <w:t xml:space="preserve">   </w:t>
      </w:r>
      <w:r>
        <w:rPr>
          <w:rFonts w:ascii="黑体" w:hAnsi="黑体" w:eastAsia="黑体" w:cs="黑体"/>
          <w:spacing w:val="3"/>
          <w:sz w:val="27"/>
          <w:szCs w:val="27"/>
        </w:rPr>
        <w:t>核查情况简述</w:t>
      </w:r>
    </w:p>
    <w:p w14:paraId="2BAF6B6E">
      <w:pPr>
        <w:pStyle w:val="2"/>
        <w:spacing w:before="105" w:line="219" w:lineRule="auto"/>
        <w:ind w:left="569"/>
      </w:pPr>
      <w:r>
        <w:rPr>
          <w:spacing w:val="-5"/>
        </w:rPr>
        <w:t>依据核查计划简要叙述核查情况(包括人员、物资利用、经费等)。</w:t>
      </w:r>
    </w:p>
    <w:p w14:paraId="7BAF6052">
      <w:pPr>
        <w:spacing w:before="87" w:line="327" w:lineRule="exact"/>
        <w:rPr>
          <w:rFonts w:ascii="黑体" w:hAnsi="黑体" w:eastAsia="黑体" w:cs="黑体"/>
          <w:sz w:val="24"/>
          <w:szCs w:val="24"/>
        </w:rPr>
      </w:pPr>
      <w:r>
        <w:rPr>
          <w:rFonts w:ascii="Arial" w:hAnsi="Arial" w:eastAsia="Arial" w:cs="Arial"/>
          <w:spacing w:val="28"/>
          <w:position w:val="1"/>
          <w:sz w:val="24"/>
          <w:szCs w:val="24"/>
        </w:rPr>
        <w:t>5</w:t>
      </w:r>
      <w:r>
        <w:rPr>
          <w:rFonts w:ascii="Arial" w:hAnsi="Arial" w:eastAsia="Arial" w:cs="Arial"/>
          <w:spacing w:val="8"/>
          <w:position w:val="1"/>
          <w:sz w:val="24"/>
          <w:szCs w:val="24"/>
        </w:rPr>
        <w:t xml:space="preserve">    </w:t>
      </w:r>
      <w:r>
        <w:rPr>
          <w:rFonts w:ascii="黑体" w:hAnsi="黑体" w:eastAsia="黑体" w:cs="黑体"/>
          <w:spacing w:val="28"/>
          <w:position w:val="1"/>
          <w:sz w:val="24"/>
          <w:szCs w:val="24"/>
        </w:rPr>
        <w:t>数据汇总及分析</w:t>
      </w:r>
    </w:p>
    <w:p w14:paraId="483ED608">
      <w:pPr>
        <w:pStyle w:val="2"/>
        <w:spacing w:before="106" w:line="219" w:lineRule="auto"/>
        <w:ind w:left="569"/>
      </w:pPr>
      <w:r>
        <w:rPr>
          <w:spacing w:val="4"/>
        </w:rPr>
        <w:t>对核查过程中采集的维修性数据进行汇总并进行分析。</w:t>
      </w:r>
    </w:p>
    <w:p w14:paraId="645E19D4">
      <w:pPr>
        <w:spacing w:before="122" w:line="222"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2"/>
          <w:sz w:val="27"/>
          <w:szCs w:val="27"/>
        </w:rPr>
        <w:t xml:space="preserve">  </w:t>
      </w:r>
      <w:r>
        <w:rPr>
          <w:rFonts w:ascii="黑体" w:hAnsi="黑体" w:eastAsia="黑体" w:cs="黑体"/>
          <w:spacing w:val="2"/>
          <w:sz w:val="27"/>
          <w:szCs w:val="27"/>
        </w:rPr>
        <w:t>分析结论</w:t>
      </w:r>
    </w:p>
    <w:p w14:paraId="5F06C537">
      <w:pPr>
        <w:pStyle w:val="2"/>
        <w:spacing w:before="103" w:line="219" w:lineRule="auto"/>
        <w:ind w:left="569"/>
      </w:pPr>
      <w:r>
        <w:rPr>
          <w:spacing w:val="1"/>
        </w:rPr>
        <w:t>与维修性要求进行比较，说明数据分析结果是否满足</w:t>
      </w:r>
      <w:r>
        <w:t>本阶段维修性目标。</w:t>
      </w:r>
    </w:p>
    <w:p w14:paraId="607755EF">
      <w:pPr>
        <w:spacing w:before="90" w:line="222" w:lineRule="auto"/>
        <w:rPr>
          <w:rFonts w:ascii="黑体" w:hAnsi="黑体" w:eastAsia="黑体" w:cs="黑体"/>
          <w:sz w:val="27"/>
          <w:szCs w:val="27"/>
        </w:rPr>
      </w:pPr>
      <w:r>
        <w:rPr>
          <w:rFonts w:ascii="Arial" w:hAnsi="Arial" w:eastAsia="Arial" w:cs="Arial"/>
          <w:spacing w:val="5"/>
          <w:sz w:val="27"/>
          <w:szCs w:val="27"/>
        </w:rPr>
        <w:t>7</w:t>
      </w:r>
      <w:r>
        <w:rPr>
          <w:rFonts w:ascii="Arial" w:hAnsi="Arial" w:eastAsia="Arial" w:cs="Arial"/>
          <w:spacing w:val="20"/>
          <w:sz w:val="27"/>
          <w:szCs w:val="27"/>
        </w:rPr>
        <w:t xml:space="preserve">   </w:t>
      </w:r>
      <w:r>
        <w:rPr>
          <w:rFonts w:ascii="黑体" w:hAnsi="黑体" w:eastAsia="黑体" w:cs="黑体"/>
          <w:spacing w:val="5"/>
          <w:sz w:val="27"/>
          <w:szCs w:val="27"/>
        </w:rPr>
        <w:t>相关影响的评估</w:t>
      </w:r>
    </w:p>
    <w:p w14:paraId="04753F5C">
      <w:pPr>
        <w:pStyle w:val="2"/>
        <w:spacing w:before="104" w:line="218" w:lineRule="auto"/>
        <w:ind w:left="569"/>
      </w:pPr>
      <w:r>
        <w:rPr>
          <w:spacing w:val="4"/>
        </w:rPr>
        <w:t>评估维修保障要素及其对维修性的影响。</w:t>
      </w:r>
    </w:p>
    <w:p w14:paraId="34288138">
      <w:pPr>
        <w:spacing w:before="105" w:line="223" w:lineRule="auto"/>
        <w:rPr>
          <w:rFonts w:ascii="黑体" w:hAnsi="黑体" w:eastAsia="黑体" w:cs="黑体"/>
          <w:sz w:val="27"/>
          <w:szCs w:val="27"/>
        </w:rPr>
      </w:pPr>
      <w:r>
        <w:rPr>
          <w:rFonts w:ascii="黑体" w:hAnsi="黑体" w:eastAsia="黑体" w:cs="黑体"/>
          <w:spacing w:val="3"/>
          <w:sz w:val="27"/>
          <w:szCs w:val="27"/>
        </w:rPr>
        <w:t>8</w:t>
      </w:r>
      <w:r>
        <w:rPr>
          <w:rFonts w:ascii="黑体" w:hAnsi="黑体" w:eastAsia="黑体" w:cs="黑体"/>
          <w:spacing w:val="11"/>
          <w:sz w:val="27"/>
          <w:szCs w:val="27"/>
        </w:rPr>
        <w:t xml:space="preserve">  </w:t>
      </w:r>
      <w:r>
        <w:rPr>
          <w:rFonts w:ascii="黑体" w:hAnsi="黑体" w:eastAsia="黑体" w:cs="黑体"/>
          <w:spacing w:val="3"/>
          <w:sz w:val="27"/>
          <w:szCs w:val="27"/>
        </w:rPr>
        <w:t>纠正措施</w:t>
      </w:r>
    </w:p>
    <w:p w14:paraId="08E487CD">
      <w:pPr>
        <w:pStyle w:val="2"/>
        <w:spacing w:before="123" w:line="219" w:lineRule="auto"/>
        <w:ind w:left="569"/>
      </w:pPr>
      <w:r>
        <w:rPr>
          <w:spacing w:val="1"/>
        </w:rPr>
        <w:t>对维修性核查中发现的维修性设计缺陷，分析原因并制</w:t>
      </w:r>
      <w:r>
        <w:t>定纠正措施。</w:t>
      </w:r>
    </w:p>
    <w:p w14:paraId="1E76241B">
      <w:pPr>
        <w:spacing w:before="68" w:line="222" w:lineRule="auto"/>
        <w:rPr>
          <w:rFonts w:ascii="黑体" w:hAnsi="黑体" w:eastAsia="黑体" w:cs="黑体"/>
          <w:sz w:val="27"/>
          <w:szCs w:val="27"/>
        </w:rPr>
      </w:pPr>
      <w:r>
        <w:rPr>
          <w:rFonts w:ascii="黑体" w:hAnsi="黑体" w:eastAsia="黑体" w:cs="黑体"/>
          <w:spacing w:val="3"/>
          <w:sz w:val="27"/>
          <w:szCs w:val="27"/>
        </w:rPr>
        <w:t>9</w:t>
      </w:r>
      <w:r>
        <w:rPr>
          <w:rFonts w:ascii="黑体" w:hAnsi="黑体" w:eastAsia="黑体" w:cs="黑体"/>
          <w:spacing w:val="10"/>
          <w:sz w:val="27"/>
          <w:szCs w:val="27"/>
        </w:rPr>
        <w:t xml:space="preserve">  </w:t>
      </w:r>
      <w:r>
        <w:rPr>
          <w:rFonts w:ascii="黑体" w:hAnsi="黑体" w:eastAsia="黑体" w:cs="黑体"/>
          <w:spacing w:val="3"/>
          <w:sz w:val="27"/>
          <w:szCs w:val="27"/>
        </w:rPr>
        <w:t>改进建议</w:t>
      </w:r>
    </w:p>
    <w:p w14:paraId="33BE1B3A">
      <w:pPr>
        <w:pStyle w:val="2"/>
        <w:spacing w:before="117" w:line="219" w:lineRule="auto"/>
        <w:ind w:left="569"/>
      </w:pPr>
      <w:r>
        <w:rPr>
          <w:spacing w:val="3"/>
        </w:rPr>
        <w:t>根据维修性核查情况提出维修性改进建议。</w:t>
      </w:r>
    </w:p>
    <w:p w14:paraId="0DDDF68B">
      <w:pPr>
        <w:spacing w:line="359" w:lineRule="auto"/>
        <w:rPr>
          <w:rFonts w:ascii="Arial"/>
          <w:sz w:val="21"/>
        </w:rPr>
      </w:pPr>
    </w:p>
    <w:p w14:paraId="5AEA2C57">
      <w:pPr>
        <w:pStyle w:val="2"/>
        <w:spacing w:before="117" w:line="219" w:lineRule="auto"/>
        <w:ind w:left="2869"/>
        <w:rPr>
          <w:sz w:val="36"/>
          <w:szCs w:val="36"/>
        </w:rPr>
      </w:pPr>
      <w:r>
        <w:rPr>
          <w:spacing w:val="-3"/>
          <w:sz w:val="36"/>
          <w:szCs w:val="36"/>
        </w:rPr>
        <w:t>8.</w:t>
      </w:r>
      <w:r>
        <w:rPr>
          <w:b/>
          <w:bCs/>
          <w:spacing w:val="-3"/>
          <w:sz w:val="36"/>
          <w:szCs w:val="36"/>
        </w:rPr>
        <w:t>15</w:t>
      </w:r>
      <w:r>
        <w:rPr>
          <w:spacing w:val="34"/>
          <w:sz w:val="36"/>
          <w:szCs w:val="36"/>
        </w:rPr>
        <w:t xml:space="preserve">  </w:t>
      </w:r>
      <w:r>
        <w:rPr>
          <w:b/>
          <w:bCs/>
          <w:spacing w:val="-3"/>
          <w:sz w:val="36"/>
          <w:szCs w:val="36"/>
        </w:rPr>
        <w:t>维修性验证计划</w:t>
      </w:r>
    </w:p>
    <w:p w14:paraId="12C6C901">
      <w:pPr>
        <w:spacing w:line="344" w:lineRule="auto"/>
        <w:rPr>
          <w:rFonts w:ascii="Arial"/>
          <w:sz w:val="21"/>
        </w:rPr>
      </w:pPr>
    </w:p>
    <w:p w14:paraId="629AF9CF">
      <w:pPr>
        <w:pStyle w:val="2"/>
        <w:spacing w:before="92" w:line="223" w:lineRule="auto"/>
        <w:ind w:left="569"/>
        <w:rPr>
          <w:rFonts w:ascii="楷体" w:hAnsi="楷体" w:eastAsia="楷体" w:cs="楷体"/>
          <w:sz w:val="28"/>
          <w:szCs w:val="28"/>
        </w:rPr>
      </w:pPr>
      <w:r>
        <w:rPr>
          <w:rFonts w:ascii="楷体" w:hAnsi="楷体" w:eastAsia="楷体" w:cs="楷体"/>
          <w:spacing w:val="-12"/>
          <w:sz w:val="28"/>
          <w:szCs w:val="28"/>
        </w:rPr>
        <w:t>按照</w:t>
      </w:r>
      <w:r>
        <w:rPr>
          <w:rFonts w:ascii="楷体" w:hAnsi="楷体" w:eastAsia="楷体" w:cs="楷体"/>
          <w:spacing w:val="-81"/>
          <w:sz w:val="28"/>
          <w:szCs w:val="28"/>
        </w:rPr>
        <w:t xml:space="preserve"> </w:t>
      </w:r>
      <w:r>
        <w:rPr>
          <w:rFonts w:ascii="Times New Roman" w:hAnsi="Times New Roman" w:eastAsia="Times New Roman" w:cs="Times New Roman"/>
          <w:spacing w:val="-12"/>
          <w:sz w:val="28"/>
          <w:szCs w:val="28"/>
        </w:rPr>
        <w:t>GJB 368B—2009</w:t>
      </w:r>
      <w:r>
        <w:rPr>
          <w:spacing w:val="-12"/>
          <w:sz w:val="28"/>
          <w:szCs w:val="28"/>
        </w:rPr>
        <w:t>《</w:t>
      </w:r>
      <w:r>
        <w:rPr>
          <w:rFonts w:ascii="楷体" w:hAnsi="楷体" w:eastAsia="楷体" w:cs="楷体"/>
          <w:spacing w:val="-12"/>
          <w:sz w:val="28"/>
          <w:szCs w:val="28"/>
        </w:rPr>
        <w:t>装备维修性工作通用要求》编写。</w:t>
      </w:r>
    </w:p>
    <w:p w14:paraId="73C85530">
      <w:pPr>
        <w:spacing w:before="96" w:line="222" w:lineRule="auto"/>
        <w:rPr>
          <w:rFonts w:ascii="黑体" w:hAnsi="黑体" w:eastAsia="黑体" w:cs="黑体"/>
          <w:sz w:val="27"/>
          <w:szCs w:val="27"/>
        </w:rPr>
      </w:pPr>
      <w:r>
        <w:rPr>
          <w:rFonts w:ascii="黑体" w:hAnsi="黑体" w:eastAsia="黑体" w:cs="黑体"/>
          <w:spacing w:val="-9"/>
          <w:sz w:val="27"/>
          <w:szCs w:val="27"/>
        </w:rPr>
        <w:t>1</w:t>
      </w:r>
      <w:r>
        <w:rPr>
          <w:rFonts w:ascii="黑体" w:hAnsi="黑体" w:eastAsia="黑体" w:cs="黑体"/>
          <w:spacing w:val="23"/>
          <w:sz w:val="27"/>
          <w:szCs w:val="27"/>
        </w:rPr>
        <w:t xml:space="preserve">  </w:t>
      </w:r>
      <w:r>
        <w:rPr>
          <w:rFonts w:ascii="黑体" w:hAnsi="黑体" w:eastAsia="黑体" w:cs="黑体"/>
          <w:spacing w:val="-9"/>
          <w:sz w:val="27"/>
          <w:szCs w:val="27"/>
        </w:rPr>
        <w:t>验证的目的、指标和要求</w:t>
      </w:r>
    </w:p>
    <w:p w14:paraId="6EC628C5">
      <w:pPr>
        <w:pStyle w:val="2"/>
        <w:spacing w:before="147" w:line="219" w:lineRule="auto"/>
        <w:ind w:left="569"/>
        <w:rPr>
          <w:sz w:val="25"/>
          <w:szCs w:val="25"/>
        </w:rPr>
      </w:pPr>
      <w:r>
        <w:rPr>
          <w:spacing w:val="19"/>
          <w:sz w:val="25"/>
          <w:szCs w:val="25"/>
        </w:rPr>
        <w:t>明确进行维修性验证试验的目的，维修性指标和</w:t>
      </w:r>
      <w:r>
        <w:rPr>
          <w:spacing w:val="18"/>
          <w:sz w:val="25"/>
          <w:szCs w:val="25"/>
        </w:rPr>
        <w:t>试验环境等要求。</w:t>
      </w:r>
    </w:p>
    <w:p w14:paraId="59567812">
      <w:pPr>
        <w:spacing w:before="81" w:line="221" w:lineRule="auto"/>
        <w:rPr>
          <w:rFonts w:ascii="黑体" w:hAnsi="黑体" w:eastAsia="黑体" w:cs="黑体"/>
          <w:sz w:val="27"/>
          <w:szCs w:val="27"/>
        </w:rPr>
      </w:pPr>
      <w:r>
        <w:rPr>
          <w:rFonts w:ascii="Arial" w:hAnsi="Arial" w:eastAsia="Arial" w:cs="Arial"/>
          <w:spacing w:val="3"/>
          <w:sz w:val="27"/>
          <w:szCs w:val="27"/>
        </w:rPr>
        <w:t>2</w:t>
      </w:r>
      <w:r>
        <w:rPr>
          <w:rFonts w:ascii="Arial" w:hAnsi="Arial" w:eastAsia="Arial" w:cs="Arial"/>
          <w:spacing w:val="19"/>
          <w:w w:val="101"/>
          <w:sz w:val="27"/>
          <w:szCs w:val="27"/>
        </w:rPr>
        <w:t xml:space="preserve">   </w:t>
      </w:r>
      <w:r>
        <w:rPr>
          <w:rFonts w:ascii="黑体" w:hAnsi="黑体" w:eastAsia="黑体" w:cs="黑体"/>
          <w:spacing w:val="3"/>
          <w:sz w:val="27"/>
          <w:szCs w:val="27"/>
        </w:rPr>
        <w:t>验证的方法及选用的理由</w:t>
      </w:r>
    </w:p>
    <w:p w14:paraId="371971A1">
      <w:pPr>
        <w:pStyle w:val="2"/>
        <w:spacing w:before="90" w:line="219" w:lineRule="auto"/>
        <w:ind w:left="569"/>
      </w:pPr>
      <w:r>
        <w:rPr>
          <w:spacing w:val="-4"/>
        </w:rPr>
        <w:t>明确维修性验证方案、实施方法及选用的理由。</w:t>
      </w:r>
    </w:p>
    <w:p w14:paraId="7A2F0D36">
      <w:pPr>
        <w:spacing w:line="219" w:lineRule="auto"/>
        <w:sectPr>
          <w:footerReference r:id="rId427" w:type="default"/>
          <w:pgSz w:w="11910" w:h="17130"/>
          <w:pgMar w:top="1456" w:right="1598" w:bottom="1647" w:left="930" w:header="0" w:footer="1430" w:gutter="0"/>
          <w:cols w:space="720" w:num="1"/>
        </w:sectPr>
      </w:pPr>
    </w:p>
    <w:p w14:paraId="3DE4472F">
      <w:pPr>
        <w:spacing w:before="108" w:line="221" w:lineRule="auto"/>
        <w:rPr>
          <w:rFonts w:ascii="黑体" w:hAnsi="黑体" w:eastAsia="黑体" w:cs="黑体"/>
          <w:sz w:val="25"/>
          <w:szCs w:val="25"/>
        </w:rPr>
      </w:pPr>
      <w:r>
        <w:rPr>
          <w:rFonts w:ascii="黑体" w:hAnsi="黑体" w:eastAsia="黑体" w:cs="黑体"/>
          <w:spacing w:val="16"/>
          <w:sz w:val="25"/>
          <w:szCs w:val="25"/>
        </w:rPr>
        <w:t xml:space="preserve">3  </w:t>
      </w:r>
      <w:r>
        <w:rPr>
          <w:rFonts w:ascii="黑体" w:hAnsi="黑体" w:eastAsia="黑体" w:cs="黑体"/>
          <w:b/>
          <w:bCs/>
          <w:spacing w:val="16"/>
          <w:sz w:val="25"/>
          <w:szCs w:val="25"/>
        </w:rPr>
        <w:t>结合其他试验进行的理由、方法及注意事项</w:t>
      </w:r>
    </w:p>
    <w:p w14:paraId="1185B7ED">
      <w:pPr>
        <w:pStyle w:val="2"/>
        <w:spacing w:before="107" w:line="219" w:lineRule="auto"/>
        <w:ind w:left="560"/>
      </w:pPr>
      <w:r>
        <w:rPr>
          <w:spacing w:val="-4"/>
        </w:rPr>
        <w:t>维修性验证试验若结合其他试验进行时，应说明理由、方法和注意事项。</w:t>
      </w:r>
    </w:p>
    <w:p w14:paraId="780F8B90">
      <w:pPr>
        <w:spacing w:before="103" w:line="222" w:lineRule="auto"/>
        <w:outlineLvl w:val="3"/>
        <w:rPr>
          <w:rFonts w:ascii="黑体" w:hAnsi="黑体" w:eastAsia="黑体" w:cs="黑体"/>
          <w:sz w:val="24"/>
          <w:szCs w:val="24"/>
        </w:rPr>
      </w:pPr>
      <w:r>
        <w:rPr>
          <w:rFonts w:ascii="Arial" w:hAnsi="Arial" w:eastAsia="Arial" w:cs="Arial"/>
          <w:b/>
          <w:bCs/>
          <w:spacing w:val="10"/>
          <w:sz w:val="24"/>
          <w:szCs w:val="24"/>
        </w:rPr>
        <w:t xml:space="preserve">4    </w:t>
      </w:r>
      <w:r>
        <w:rPr>
          <w:rFonts w:ascii="黑体" w:hAnsi="黑体" w:eastAsia="黑体" w:cs="黑体"/>
          <w:b/>
          <w:bCs/>
          <w:spacing w:val="10"/>
          <w:sz w:val="24"/>
          <w:szCs w:val="24"/>
        </w:rPr>
        <w:t>样品、设备、设施与维修作业数</w:t>
      </w:r>
    </w:p>
    <w:p w14:paraId="1C9B63B3">
      <w:pPr>
        <w:pStyle w:val="2"/>
        <w:spacing w:before="107" w:line="219" w:lineRule="auto"/>
        <w:ind w:left="560"/>
      </w:pPr>
      <w:r>
        <w:rPr>
          <w:spacing w:val="-7"/>
        </w:rPr>
        <w:t>确定受试样品、试验用设备、设施以及所需维修作业数。</w:t>
      </w:r>
    </w:p>
    <w:p w14:paraId="3BA79DD5">
      <w:pPr>
        <w:spacing w:before="63" w:line="221" w:lineRule="auto"/>
        <w:rPr>
          <w:rFonts w:ascii="黑体" w:hAnsi="黑体" w:eastAsia="黑体" w:cs="黑体"/>
          <w:sz w:val="27"/>
          <w:szCs w:val="27"/>
        </w:rPr>
      </w:pPr>
      <w:r>
        <w:rPr>
          <w:rFonts w:ascii="黑体" w:hAnsi="黑体" w:eastAsia="黑体" w:cs="黑体"/>
          <w:spacing w:val="-5"/>
          <w:sz w:val="27"/>
          <w:szCs w:val="27"/>
        </w:rPr>
        <w:t xml:space="preserve">5  </w:t>
      </w:r>
      <w:r>
        <w:rPr>
          <w:rFonts w:ascii="黑体" w:hAnsi="黑体" w:eastAsia="黑体" w:cs="黑体"/>
          <w:b/>
          <w:bCs/>
          <w:spacing w:val="-5"/>
          <w:sz w:val="27"/>
          <w:szCs w:val="27"/>
        </w:rPr>
        <w:t>试验组的组成、人员资格及职责</w:t>
      </w:r>
    </w:p>
    <w:p w14:paraId="52DC5909">
      <w:pPr>
        <w:pStyle w:val="2"/>
        <w:spacing w:before="103" w:line="219" w:lineRule="auto"/>
        <w:ind w:left="560"/>
      </w:pPr>
      <w:r>
        <w:rPr>
          <w:spacing w:val="-6"/>
        </w:rPr>
        <w:t>明确试验组的组成、人员资格及职责，一般应符合</w:t>
      </w:r>
      <w:r>
        <w:rPr>
          <w:spacing w:val="-7"/>
        </w:rPr>
        <w:t>以下要求：</w:t>
      </w:r>
    </w:p>
    <w:p w14:paraId="0A1C2CD9">
      <w:pPr>
        <w:pStyle w:val="2"/>
        <w:spacing w:before="52" w:line="265" w:lineRule="auto"/>
        <w:ind w:right="84" w:firstLine="560"/>
      </w:pPr>
      <w:r>
        <w:rPr>
          <w:rFonts w:ascii="Times New Roman" w:hAnsi="Times New Roman" w:eastAsia="Times New Roman" w:cs="Times New Roman"/>
          <w:spacing w:val="4"/>
        </w:rPr>
        <w:t>a)</w:t>
      </w:r>
      <w:r>
        <w:rPr>
          <w:rFonts w:ascii="Times New Roman" w:hAnsi="Times New Roman" w:eastAsia="Times New Roman" w:cs="Times New Roman"/>
          <w:spacing w:val="53"/>
        </w:rPr>
        <w:t xml:space="preserve"> </w:t>
      </w:r>
      <w:r>
        <w:rPr>
          <w:spacing w:val="4"/>
        </w:rPr>
        <w:t>试验组的组成。试验组一般分为两个小组</w:t>
      </w:r>
      <w:r>
        <w:rPr>
          <w:spacing w:val="3"/>
        </w:rPr>
        <w:t>，即验证评价小组和测试维修</w:t>
      </w:r>
      <w:r>
        <w:t xml:space="preserve"> </w:t>
      </w:r>
      <w:r>
        <w:rPr>
          <w:spacing w:val="6"/>
        </w:rPr>
        <w:t>小组。验证评价小组内应有订购方的代表参加。测试维修小</w:t>
      </w:r>
      <w:r>
        <w:rPr>
          <w:spacing w:val="5"/>
        </w:rPr>
        <w:t>组由熟悉被试产品</w:t>
      </w:r>
      <w:r>
        <w:t xml:space="preserve"> </w:t>
      </w:r>
      <w:r>
        <w:rPr>
          <w:spacing w:val="-2"/>
        </w:rPr>
        <w:t>维修的人员组成，如果全部为承制方的人员，则他们应</w:t>
      </w:r>
      <w:r>
        <w:rPr>
          <w:spacing w:val="-3"/>
        </w:rPr>
        <w:t>具有与产品部署使用后的</w:t>
      </w:r>
      <w:r>
        <w:t xml:space="preserve"> </w:t>
      </w:r>
      <w:r>
        <w:rPr>
          <w:spacing w:val="-2"/>
        </w:rPr>
        <w:t>测试维修人员相当的资格和技能水平；如果全部用部</w:t>
      </w:r>
      <w:r>
        <w:rPr>
          <w:spacing w:val="-3"/>
        </w:rPr>
        <w:t>队的测试维修人员，则他们</w:t>
      </w:r>
      <w:r>
        <w:t xml:space="preserve"> </w:t>
      </w:r>
      <w:r>
        <w:rPr>
          <w:spacing w:val="2"/>
        </w:rPr>
        <w:t>应事先经过适当的培训。</w:t>
      </w:r>
    </w:p>
    <w:p w14:paraId="3ADEAD73">
      <w:pPr>
        <w:pStyle w:val="2"/>
        <w:spacing w:before="98" w:line="265" w:lineRule="auto"/>
        <w:ind w:right="103" w:firstLine="560"/>
      </w:pPr>
      <w:r>
        <w:rPr>
          <w:rFonts w:ascii="Times New Roman" w:hAnsi="Times New Roman" w:eastAsia="Times New Roman" w:cs="Times New Roman"/>
          <w:spacing w:val="11"/>
        </w:rPr>
        <w:t>b)</w:t>
      </w:r>
      <w:r>
        <w:rPr>
          <w:rFonts w:ascii="Times New Roman" w:hAnsi="Times New Roman" w:eastAsia="Times New Roman" w:cs="Times New Roman"/>
          <w:spacing w:val="58"/>
        </w:rPr>
        <w:t xml:space="preserve"> </w:t>
      </w:r>
      <w:r>
        <w:rPr>
          <w:spacing w:val="11"/>
        </w:rPr>
        <w:t>试验组的职责。验证评价小组负责安排试验、监控试验和处理试</w:t>
      </w:r>
      <w:r>
        <w:rPr>
          <w:spacing w:val="10"/>
        </w:rPr>
        <w:t>验数</w:t>
      </w:r>
      <w:r>
        <w:t xml:space="preserve"> </w:t>
      </w:r>
      <w:r>
        <w:rPr>
          <w:spacing w:val="-3"/>
        </w:rPr>
        <w:t>据；测试维修小组负责具体实施所要求的故障注入、检测与维修活动。应规定每</w:t>
      </w:r>
      <w:r>
        <w:rPr>
          <w:spacing w:val="15"/>
        </w:rPr>
        <w:t xml:space="preserve"> </w:t>
      </w:r>
      <w:r>
        <w:rPr>
          <w:spacing w:val="2"/>
        </w:rPr>
        <w:t>个试验组人员的具体职责。</w:t>
      </w:r>
    </w:p>
    <w:p w14:paraId="1A81F665">
      <w:pPr>
        <w:spacing w:before="84" w:line="222" w:lineRule="auto"/>
        <w:rPr>
          <w:rFonts w:ascii="黑体" w:hAnsi="黑体" w:eastAsia="黑体" w:cs="黑体"/>
          <w:sz w:val="27"/>
          <w:szCs w:val="27"/>
        </w:rPr>
      </w:pPr>
      <w:r>
        <w:rPr>
          <w:rFonts w:ascii="黑体" w:hAnsi="黑体" w:eastAsia="黑体" w:cs="黑体"/>
          <w:spacing w:val="1"/>
          <w:sz w:val="27"/>
          <w:szCs w:val="27"/>
        </w:rPr>
        <w:t xml:space="preserve">6  </w:t>
      </w:r>
      <w:r>
        <w:rPr>
          <w:rFonts w:ascii="黑体" w:hAnsi="黑体" w:eastAsia="黑体" w:cs="黑体"/>
          <w:b/>
          <w:bCs/>
          <w:spacing w:val="1"/>
          <w:sz w:val="27"/>
          <w:szCs w:val="27"/>
        </w:rPr>
        <w:t>有关情况的处理原则</w:t>
      </w:r>
    </w:p>
    <w:p w14:paraId="28196072">
      <w:pPr>
        <w:pStyle w:val="2"/>
        <w:spacing w:before="122" w:line="271" w:lineRule="auto"/>
        <w:ind w:firstLine="560"/>
        <w:jc w:val="both"/>
      </w:pPr>
      <w:r>
        <w:rPr>
          <w:spacing w:val="-3"/>
        </w:rPr>
        <w:t>明确有关下列情况的规定或处理原则：保障设备故障；由于从属故障导</w:t>
      </w:r>
      <w:r>
        <w:rPr>
          <w:spacing w:val="-4"/>
        </w:rPr>
        <w:t>致的</w:t>
      </w:r>
      <w:r>
        <w:t xml:space="preserve"> 维修；技术手册和保障设备不适用或部分不适用；人员数量与技能水平的变更；</w:t>
      </w:r>
      <w:r>
        <w:rPr>
          <w:spacing w:val="14"/>
        </w:rPr>
        <w:t xml:space="preserve"> </w:t>
      </w:r>
      <w:r>
        <w:rPr>
          <w:spacing w:val="-11"/>
        </w:rPr>
        <w:t>拆配修理；维修检查；维修时间限制等。</w:t>
      </w:r>
    </w:p>
    <w:p w14:paraId="0C36B071">
      <w:pPr>
        <w:spacing w:before="3" w:line="221" w:lineRule="auto"/>
        <w:outlineLvl w:val="3"/>
        <w:rPr>
          <w:rFonts w:ascii="黑体" w:hAnsi="黑体" w:eastAsia="黑体" w:cs="黑体"/>
          <w:sz w:val="27"/>
          <w:szCs w:val="27"/>
        </w:rPr>
      </w:pPr>
      <w:r>
        <w:rPr>
          <w:rFonts w:ascii="Arial" w:hAnsi="Arial" w:eastAsia="Arial" w:cs="Arial"/>
          <w:b/>
          <w:bCs/>
          <w:spacing w:val="2"/>
          <w:sz w:val="27"/>
          <w:szCs w:val="27"/>
        </w:rPr>
        <w:t>7</w:t>
      </w:r>
      <w:r>
        <w:rPr>
          <w:rFonts w:ascii="Arial" w:hAnsi="Arial" w:eastAsia="Arial" w:cs="Arial"/>
          <w:b/>
          <w:bCs/>
          <w:spacing w:val="18"/>
          <w:sz w:val="27"/>
          <w:szCs w:val="27"/>
        </w:rPr>
        <w:t xml:space="preserve">   </w:t>
      </w:r>
      <w:r>
        <w:rPr>
          <w:rFonts w:ascii="黑体" w:hAnsi="黑体" w:eastAsia="黑体" w:cs="黑体"/>
          <w:b/>
          <w:bCs/>
          <w:spacing w:val="2"/>
          <w:sz w:val="27"/>
          <w:szCs w:val="27"/>
        </w:rPr>
        <w:t>试验总时间和试验实施计划</w:t>
      </w:r>
    </w:p>
    <w:p w14:paraId="66511187">
      <w:pPr>
        <w:pStyle w:val="2"/>
        <w:spacing w:before="94" w:line="220" w:lineRule="auto"/>
        <w:ind w:left="560"/>
      </w:pPr>
      <w:r>
        <w:rPr>
          <w:spacing w:val="-5"/>
        </w:rPr>
        <w:t>规定试验总时间，制定试验实施计划。</w:t>
      </w:r>
    </w:p>
    <w:p w14:paraId="4D02CF04">
      <w:pPr>
        <w:spacing w:before="103" w:line="222" w:lineRule="auto"/>
        <w:rPr>
          <w:rFonts w:ascii="黑体" w:hAnsi="黑体" w:eastAsia="黑体" w:cs="黑体"/>
          <w:sz w:val="24"/>
          <w:szCs w:val="24"/>
        </w:rPr>
      </w:pPr>
      <w:r>
        <w:rPr>
          <w:rFonts w:ascii="黑体" w:hAnsi="黑体" w:eastAsia="黑体" w:cs="黑体"/>
          <w:spacing w:val="29"/>
          <w:sz w:val="24"/>
          <w:szCs w:val="24"/>
        </w:rPr>
        <w:t>8</w:t>
      </w:r>
      <w:r>
        <w:rPr>
          <w:rFonts w:ascii="黑体" w:hAnsi="黑体" w:eastAsia="黑体" w:cs="黑体"/>
          <w:spacing w:val="32"/>
          <w:sz w:val="24"/>
          <w:szCs w:val="24"/>
        </w:rPr>
        <w:t xml:space="preserve">  </w:t>
      </w:r>
      <w:r>
        <w:rPr>
          <w:rFonts w:ascii="黑体" w:hAnsi="黑体" w:eastAsia="黑体" w:cs="黑体"/>
          <w:b/>
          <w:bCs/>
          <w:spacing w:val="29"/>
          <w:sz w:val="24"/>
          <w:szCs w:val="24"/>
        </w:rPr>
        <w:t>收集数据的内容与属性</w:t>
      </w:r>
    </w:p>
    <w:p w14:paraId="78A8C5C5">
      <w:pPr>
        <w:pStyle w:val="2"/>
        <w:spacing w:before="86" w:line="219" w:lineRule="auto"/>
        <w:ind w:left="560"/>
      </w:pPr>
      <w:r>
        <w:rPr>
          <w:spacing w:val="1"/>
        </w:rPr>
        <w:t>明确收集数据的内容与属性。</w:t>
      </w:r>
    </w:p>
    <w:p w14:paraId="21A407B2">
      <w:pPr>
        <w:pStyle w:val="2"/>
        <w:spacing w:before="90" w:line="282" w:lineRule="auto"/>
        <w:ind w:right="104" w:firstLine="560"/>
      </w:pPr>
      <w:r>
        <w:rPr>
          <w:spacing w:val="9"/>
        </w:rPr>
        <w:t>应按照工作项目205(维修性数据收集、分析和</w:t>
      </w:r>
      <w:r>
        <w:rPr>
          <w:spacing w:val="8"/>
        </w:rPr>
        <w:t>纠正措施系统)的要求收集</w:t>
      </w:r>
      <w:r>
        <w:t xml:space="preserve"> </w:t>
      </w:r>
      <w:r>
        <w:rPr>
          <w:spacing w:val="-4"/>
        </w:rPr>
        <w:t>数据。</w:t>
      </w:r>
    </w:p>
    <w:p w14:paraId="5BF9DC86">
      <w:pPr>
        <w:spacing w:before="8" w:line="221" w:lineRule="auto"/>
        <w:rPr>
          <w:rFonts w:ascii="黑体" w:hAnsi="黑体" w:eastAsia="黑体" w:cs="黑体"/>
          <w:sz w:val="27"/>
          <w:szCs w:val="27"/>
        </w:rPr>
      </w:pPr>
      <w:r>
        <w:rPr>
          <w:rFonts w:ascii="黑体" w:hAnsi="黑体" w:eastAsia="黑体" w:cs="黑体"/>
          <w:spacing w:val="3"/>
          <w:sz w:val="27"/>
          <w:szCs w:val="27"/>
        </w:rPr>
        <w:t xml:space="preserve">9  </w:t>
      </w:r>
      <w:r>
        <w:rPr>
          <w:rFonts w:ascii="黑体" w:hAnsi="黑体" w:eastAsia="黑体" w:cs="黑体"/>
          <w:b/>
          <w:bCs/>
          <w:spacing w:val="3"/>
          <w:sz w:val="27"/>
          <w:szCs w:val="27"/>
        </w:rPr>
        <w:t>订购方参加验证的时机与程度</w:t>
      </w:r>
    </w:p>
    <w:p w14:paraId="4D78AC1D">
      <w:pPr>
        <w:pStyle w:val="2"/>
        <w:spacing w:before="112" w:line="219" w:lineRule="auto"/>
        <w:ind w:left="560"/>
      </w:pPr>
      <w:r>
        <w:rPr>
          <w:spacing w:val="4"/>
        </w:rPr>
        <w:t>确定订购方参加验证试验的时机与具体工作内容。</w:t>
      </w:r>
    </w:p>
    <w:p w14:paraId="6F92D15C">
      <w:pPr>
        <w:spacing w:before="56" w:line="222" w:lineRule="auto"/>
        <w:outlineLvl w:val="3"/>
        <w:rPr>
          <w:rFonts w:ascii="黑体" w:hAnsi="黑体" w:eastAsia="黑体" w:cs="黑体"/>
          <w:sz w:val="27"/>
          <w:szCs w:val="27"/>
        </w:rPr>
      </w:pPr>
      <w:r>
        <w:rPr>
          <w:rFonts w:ascii="Arial" w:hAnsi="Arial" w:eastAsia="Arial" w:cs="Arial"/>
          <w:b/>
          <w:bCs/>
          <w:spacing w:val="-12"/>
          <w:sz w:val="27"/>
          <w:szCs w:val="27"/>
        </w:rPr>
        <w:t>10</w:t>
      </w:r>
      <w:r>
        <w:rPr>
          <w:rFonts w:ascii="Arial" w:hAnsi="Arial" w:eastAsia="Arial" w:cs="Arial"/>
          <w:b/>
          <w:bCs/>
          <w:spacing w:val="23"/>
          <w:sz w:val="27"/>
          <w:szCs w:val="27"/>
        </w:rPr>
        <w:t xml:space="preserve">   </w:t>
      </w:r>
      <w:r>
        <w:rPr>
          <w:rFonts w:ascii="黑体" w:hAnsi="黑体" w:eastAsia="黑体" w:cs="黑体"/>
          <w:b/>
          <w:bCs/>
          <w:spacing w:val="-12"/>
          <w:sz w:val="27"/>
          <w:szCs w:val="27"/>
        </w:rPr>
        <w:t>验证记录、报告的要求</w:t>
      </w:r>
    </w:p>
    <w:p w14:paraId="4BD26541">
      <w:pPr>
        <w:pStyle w:val="2"/>
        <w:spacing w:before="96" w:line="312" w:lineRule="auto"/>
        <w:ind w:right="94" w:firstLine="560"/>
        <w:rPr>
          <w:sz w:val="25"/>
          <w:szCs w:val="25"/>
        </w:rPr>
      </w:pPr>
      <w:r>
        <w:rPr>
          <w:spacing w:val="17"/>
          <w:sz w:val="25"/>
          <w:szCs w:val="25"/>
        </w:rPr>
        <w:t>确定相关记录表格、记录要求。验证报告编写要求，包括维修性验证报</w:t>
      </w:r>
      <w:r>
        <w:rPr>
          <w:spacing w:val="16"/>
          <w:sz w:val="25"/>
          <w:szCs w:val="25"/>
        </w:rPr>
        <w:t>告与</w:t>
      </w:r>
      <w:r>
        <w:rPr>
          <w:sz w:val="25"/>
          <w:szCs w:val="25"/>
        </w:rPr>
        <w:t xml:space="preserve"> </w:t>
      </w:r>
      <w:r>
        <w:rPr>
          <w:spacing w:val="21"/>
          <w:sz w:val="25"/>
          <w:szCs w:val="25"/>
        </w:rPr>
        <w:t>保障性分析报告要求的协调。</w:t>
      </w:r>
    </w:p>
    <w:p w14:paraId="7947B0F8">
      <w:pPr>
        <w:pStyle w:val="2"/>
        <w:spacing w:before="345" w:line="218" w:lineRule="auto"/>
        <w:ind w:left="2850"/>
        <w:outlineLvl w:val="1"/>
        <w:rPr>
          <w:sz w:val="36"/>
          <w:szCs w:val="36"/>
        </w:rPr>
      </w:pPr>
      <w:r>
        <w:rPr>
          <w:rFonts w:ascii="Times New Roman" w:hAnsi="Times New Roman" w:eastAsia="Times New Roman" w:cs="Times New Roman"/>
          <w:b/>
          <w:bCs/>
          <w:spacing w:val="3"/>
          <w:sz w:val="36"/>
          <w:szCs w:val="36"/>
        </w:rPr>
        <w:t xml:space="preserve">8.16     </w:t>
      </w:r>
      <w:r>
        <w:rPr>
          <w:b/>
          <w:bCs/>
          <w:spacing w:val="3"/>
          <w:sz w:val="36"/>
          <w:szCs w:val="36"/>
        </w:rPr>
        <w:t>维修性验证报告</w:t>
      </w:r>
    </w:p>
    <w:p w14:paraId="4E72A0C7">
      <w:pPr>
        <w:spacing w:line="362" w:lineRule="auto"/>
        <w:rPr>
          <w:rFonts w:ascii="Arial"/>
          <w:sz w:val="21"/>
        </w:rPr>
      </w:pPr>
    </w:p>
    <w:p w14:paraId="0E88D899">
      <w:pPr>
        <w:pStyle w:val="2"/>
        <w:spacing w:before="78" w:line="319" w:lineRule="auto"/>
        <w:ind w:right="98" w:firstLine="560"/>
        <w:rPr>
          <w:rFonts w:ascii="楷体" w:hAnsi="楷体" w:eastAsia="楷体" w:cs="楷体"/>
          <w:sz w:val="24"/>
          <w:szCs w:val="24"/>
        </w:rPr>
      </w:pPr>
      <w:r>
        <w:rPr>
          <w:rFonts w:ascii="楷体" w:hAnsi="楷体" w:eastAsia="楷体" w:cs="楷体"/>
          <w:spacing w:val="8"/>
          <w:sz w:val="24"/>
          <w:szCs w:val="24"/>
        </w:rPr>
        <w:t>按</w:t>
      </w:r>
      <w:r>
        <w:rPr>
          <w:rFonts w:ascii="楷体" w:hAnsi="楷体" w:eastAsia="楷体" w:cs="楷体"/>
          <w:spacing w:val="-20"/>
          <w:sz w:val="24"/>
          <w:szCs w:val="24"/>
        </w:rPr>
        <w:t xml:space="preserve"> </w:t>
      </w:r>
      <w:r>
        <w:rPr>
          <w:rFonts w:ascii="楷体" w:hAnsi="楷体" w:eastAsia="楷体" w:cs="楷体"/>
          <w:spacing w:val="8"/>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 xml:space="preserve">    2072—1994</w:t>
      </w:r>
      <w:r>
        <w:rPr>
          <w:spacing w:val="8"/>
          <w:sz w:val="24"/>
          <w:szCs w:val="24"/>
        </w:rPr>
        <w:t>《</w:t>
      </w:r>
      <w:r>
        <w:rPr>
          <w:rFonts w:ascii="楷体" w:hAnsi="楷体" w:eastAsia="楷体" w:cs="楷体"/>
          <w:spacing w:val="8"/>
          <w:sz w:val="24"/>
          <w:szCs w:val="24"/>
        </w:rPr>
        <w:t>维修性试验与评定》和</w:t>
      </w:r>
      <w:r>
        <w:rPr>
          <w:rFonts w:ascii="楷体" w:hAnsi="楷体" w:eastAsia="楷体" w:cs="楷体"/>
          <w:spacing w:val="-59"/>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 xml:space="preserve">     1362</w:t>
      </w:r>
      <w:r>
        <w:rPr>
          <w:rFonts w:ascii="Times New Roman" w:hAnsi="Times New Roman" w:eastAsia="Times New Roman" w:cs="Times New Roman"/>
          <w:spacing w:val="7"/>
          <w:sz w:val="24"/>
          <w:szCs w:val="24"/>
        </w:rPr>
        <w:t>A—2007</w:t>
      </w:r>
      <w:r>
        <w:rPr>
          <w:spacing w:val="7"/>
          <w:sz w:val="24"/>
          <w:szCs w:val="24"/>
        </w:rPr>
        <w:t>《</w:t>
      </w:r>
      <w:r>
        <w:rPr>
          <w:rFonts w:ascii="楷体" w:hAnsi="楷体" w:eastAsia="楷体" w:cs="楷体"/>
          <w:spacing w:val="7"/>
          <w:sz w:val="24"/>
          <w:szCs w:val="24"/>
        </w:rPr>
        <w:t>军工产品</w:t>
      </w:r>
      <w:r>
        <w:rPr>
          <w:rFonts w:ascii="楷体" w:hAnsi="楷体" w:eastAsia="楷体" w:cs="楷体"/>
          <w:sz w:val="24"/>
          <w:szCs w:val="24"/>
        </w:rPr>
        <w:t xml:space="preserve"> </w:t>
      </w:r>
      <w:r>
        <w:rPr>
          <w:rFonts w:ascii="楷体" w:hAnsi="楷体" w:eastAsia="楷体" w:cs="楷体"/>
          <w:spacing w:val="16"/>
          <w:sz w:val="24"/>
          <w:szCs w:val="24"/>
        </w:rPr>
        <w:t>定型程序和要求》编写。</w:t>
      </w:r>
    </w:p>
    <w:p w14:paraId="13144CBA">
      <w:pPr>
        <w:spacing w:line="319" w:lineRule="auto"/>
        <w:rPr>
          <w:rFonts w:ascii="楷体" w:hAnsi="楷体" w:eastAsia="楷体" w:cs="楷体"/>
          <w:sz w:val="24"/>
          <w:szCs w:val="24"/>
        </w:rPr>
        <w:sectPr>
          <w:footerReference r:id="rId428" w:type="default"/>
          <w:pgSz w:w="11910" w:h="17130"/>
          <w:pgMar w:top="1456" w:right="844" w:bottom="1574" w:left="1599" w:header="0" w:footer="1358" w:gutter="0"/>
          <w:cols w:space="720" w:num="1"/>
        </w:sectPr>
      </w:pPr>
    </w:p>
    <w:p w14:paraId="0C8B76BB">
      <w:pPr>
        <w:spacing w:before="128" w:line="221" w:lineRule="auto"/>
        <w:rPr>
          <w:rFonts w:ascii="黑体" w:hAnsi="黑体" w:eastAsia="黑体" w:cs="黑体"/>
          <w:sz w:val="27"/>
          <w:szCs w:val="27"/>
        </w:rPr>
      </w:pPr>
      <w:r>
        <w:rPr>
          <w:rFonts w:ascii="黑体" w:hAnsi="黑体" w:eastAsia="黑体" w:cs="黑体"/>
          <w:spacing w:val="-5"/>
          <w:sz w:val="27"/>
          <w:szCs w:val="27"/>
        </w:rPr>
        <w:t>1</w:t>
      </w:r>
      <w:r>
        <w:rPr>
          <w:rFonts w:ascii="黑体" w:hAnsi="黑体" w:eastAsia="黑体" w:cs="黑体"/>
          <w:spacing w:val="22"/>
          <w:sz w:val="27"/>
          <w:szCs w:val="27"/>
        </w:rPr>
        <w:t xml:space="preserve">  </w:t>
      </w:r>
      <w:r>
        <w:rPr>
          <w:rFonts w:ascii="黑体" w:hAnsi="黑体" w:eastAsia="黑体" w:cs="黑体"/>
          <w:b/>
          <w:bCs/>
          <w:spacing w:val="-5"/>
          <w:sz w:val="27"/>
          <w:szCs w:val="27"/>
        </w:rPr>
        <w:t>试验概况</w:t>
      </w:r>
    </w:p>
    <w:p w14:paraId="3B8AA3FA">
      <w:pPr>
        <w:pStyle w:val="2"/>
        <w:spacing w:before="93" w:line="219" w:lineRule="auto"/>
        <w:ind w:left="560"/>
      </w:pPr>
      <w:r>
        <w:rPr>
          <w:spacing w:val="-4"/>
        </w:rPr>
        <w:t>概要描述试验情况，通常应有以下内容：</w:t>
      </w:r>
    </w:p>
    <w:p w14:paraId="0D2F1D7F">
      <w:pPr>
        <w:pStyle w:val="2"/>
        <w:spacing w:before="77" w:line="219" w:lineRule="auto"/>
        <w:ind w:left="560"/>
      </w:pPr>
      <w:r>
        <w:rPr>
          <w:rFonts w:ascii="Times New Roman" w:hAnsi="Times New Roman" w:eastAsia="Times New Roman" w:cs="Times New Roman"/>
          <w:spacing w:val="-3"/>
        </w:rPr>
        <w:t>a</w:t>
      </w:r>
      <w:r>
        <w:rPr>
          <w:spacing w:val="-3"/>
        </w:rPr>
        <w:t>)试验任务来源、依据；</w:t>
      </w:r>
    </w:p>
    <w:p w14:paraId="65E4B3CB">
      <w:pPr>
        <w:pStyle w:val="2"/>
        <w:spacing w:before="70"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59"/>
        </w:rPr>
        <w:t xml:space="preserve"> </w:t>
      </w:r>
      <w:r>
        <w:rPr>
          <w:spacing w:val="2"/>
        </w:rPr>
        <w:t>被试品代号和名称；</w:t>
      </w:r>
    </w:p>
    <w:p w14:paraId="65A92380">
      <w:pPr>
        <w:pStyle w:val="2"/>
        <w:spacing w:before="122" w:line="212" w:lineRule="auto"/>
        <w:ind w:left="560"/>
        <w:rPr>
          <w:sz w:val="24"/>
          <w:szCs w:val="24"/>
        </w:rPr>
      </w:pPr>
      <w:r>
        <w:rPr>
          <w:rFonts w:ascii="Times New Roman" w:hAnsi="Times New Roman" w:eastAsia="Times New Roman" w:cs="Times New Roman"/>
          <w:spacing w:val="25"/>
          <w:sz w:val="24"/>
          <w:szCs w:val="24"/>
        </w:rPr>
        <w:t xml:space="preserve">c)  </w:t>
      </w:r>
      <w:r>
        <w:rPr>
          <w:spacing w:val="25"/>
          <w:sz w:val="24"/>
          <w:szCs w:val="24"/>
        </w:rPr>
        <w:t>承试单位和参试单位名称；</w:t>
      </w:r>
    </w:p>
    <w:p w14:paraId="09882DCD">
      <w:pPr>
        <w:pStyle w:val="2"/>
        <w:spacing w:before="103" w:line="212" w:lineRule="auto"/>
        <w:ind w:left="560"/>
      </w:pPr>
      <w:r>
        <w:rPr>
          <w:rFonts w:ascii="Times New Roman" w:hAnsi="Times New Roman" w:eastAsia="Times New Roman" w:cs="Times New Roman"/>
          <w:spacing w:val="-7"/>
        </w:rPr>
        <w:t xml:space="preserve">d)  </w:t>
      </w:r>
      <w:r>
        <w:rPr>
          <w:spacing w:val="-7"/>
        </w:rPr>
        <w:t>试验性质、目的和任务；</w:t>
      </w:r>
    </w:p>
    <w:p w14:paraId="2FBD6F3F">
      <w:pPr>
        <w:pStyle w:val="2"/>
        <w:spacing w:before="131" w:line="220" w:lineRule="auto"/>
        <w:ind w:left="560"/>
      </w:pPr>
      <w:r>
        <w:rPr>
          <w:rFonts w:ascii="Times New Roman" w:hAnsi="Times New Roman" w:eastAsia="Times New Roman" w:cs="Times New Roman"/>
          <w:spacing w:val="-3"/>
        </w:rPr>
        <w:t>e</w:t>
      </w:r>
      <w:r>
        <w:rPr>
          <w:spacing w:val="-3"/>
        </w:rPr>
        <w:t>)试验地点、起止时间；</w:t>
      </w:r>
    </w:p>
    <w:p w14:paraId="04EFB73A">
      <w:pPr>
        <w:pStyle w:val="2"/>
        <w:spacing w:before="47" w:line="212" w:lineRule="auto"/>
        <w:ind w:left="560"/>
      </w:pPr>
      <w:r>
        <w:rPr>
          <w:rFonts w:ascii="Times New Roman" w:hAnsi="Times New Roman" w:eastAsia="Times New Roman" w:cs="Times New Roman"/>
          <w:spacing w:val="4"/>
        </w:rPr>
        <w:t>f)</w:t>
      </w:r>
      <w:r>
        <w:rPr>
          <w:rFonts w:ascii="Times New Roman" w:hAnsi="Times New Roman" w:eastAsia="Times New Roman" w:cs="Times New Roman"/>
          <w:spacing w:val="56"/>
        </w:rPr>
        <w:t xml:space="preserve"> </w:t>
      </w:r>
      <w:r>
        <w:rPr>
          <w:spacing w:val="4"/>
        </w:rPr>
        <w:t>试验组织机构的设立及其职责分工情况；</w:t>
      </w:r>
    </w:p>
    <w:p w14:paraId="05338067">
      <w:pPr>
        <w:pStyle w:val="2"/>
        <w:spacing w:before="162" w:line="212" w:lineRule="auto"/>
        <w:ind w:left="560"/>
        <w:rPr>
          <w:sz w:val="24"/>
          <w:szCs w:val="24"/>
        </w:rPr>
      </w:pPr>
      <w:r>
        <w:rPr>
          <w:rFonts w:ascii="Times New Roman" w:hAnsi="Times New Roman" w:eastAsia="Times New Roman" w:cs="Times New Roman"/>
          <w:spacing w:val="30"/>
          <w:sz w:val="24"/>
          <w:szCs w:val="24"/>
        </w:rPr>
        <w:t xml:space="preserve">g </w:t>
      </w:r>
      <w:r>
        <w:rPr>
          <w:spacing w:val="30"/>
          <w:sz w:val="24"/>
          <w:szCs w:val="24"/>
        </w:rPr>
        <w:t>)试验实施计划的制定和落实情况；</w:t>
      </w:r>
    </w:p>
    <w:p w14:paraId="0C194D0D">
      <w:pPr>
        <w:pStyle w:val="2"/>
        <w:spacing w:before="84" w:line="212" w:lineRule="auto"/>
        <w:ind w:left="560"/>
        <w:rPr>
          <w:sz w:val="25"/>
          <w:szCs w:val="25"/>
        </w:rPr>
      </w:pPr>
      <w:r>
        <w:rPr>
          <w:rFonts w:ascii="Times New Roman" w:hAnsi="Times New Roman" w:eastAsia="Times New Roman" w:cs="Times New Roman"/>
          <w:spacing w:val="10"/>
          <w:sz w:val="25"/>
          <w:szCs w:val="25"/>
        </w:rPr>
        <w:t xml:space="preserve">h)  </w:t>
      </w:r>
      <w:r>
        <w:rPr>
          <w:spacing w:val="10"/>
          <w:sz w:val="25"/>
          <w:szCs w:val="25"/>
        </w:rPr>
        <w:t>试验阶段划分，各阶段的起止时间、地点(地域)、主要工作和目的；</w:t>
      </w:r>
    </w:p>
    <w:p w14:paraId="2A0EDCD1">
      <w:pPr>
        <w:pStyle w:val="2"/>
        <w:spacing w:before="101" w:line="212" w:lineRule="auto"/>
        <w:ind w:left="560"/>
      </w:pPr>
      <w:r>
        <w:rPr>
          <w:rFonts w:ascii="Times New Roman" w:hAnsi="Times New Roman" w:eastAsia="Times New Roman" w:cs="Times New Roman"/>
          <w:spacing w:val="3"/>
        </w:rPr>
        <w:t>i)</w:t>
      </w:r>
      <w:r>
        <w:rPr>
          <w:rFonts w:ascii="Times New Roman" w:hAnsi="Times New Roman" w:eastAsia="Times New Roman" w:cs="Times New Roman"/>
          <w:spacing w:val="70"/>
        </w:rPr>
        <w:t xml:space="preserve"> </w:t>
      </w:r>
      <w:r>
        <w:rPr>
          <w:spacing w:val="3"/>
        </w:rPr>
        <w:t>是否完成试验大纲规定的任务等。</w:t>
      </w:r>
    </w:p>
    <w:p w14:paraId="18D664A7">
      <w:pPr>
        <w:spacing w:before="124" w:line="221" w:lineRule="auto"/>
        <w:rPr>
          <w:rFonts w:ascii="黑体" w:hAnsi="黑体" w:eastAsia="黑体" w:cs="黑体"/>
          <w:sz w:val="27"/>
          <w:szCs w:val="27"/>
        </w:rPr>
      </w:pPr>
      <w:r>
        <w:rPr>
          <w:rFonts w:ascii="黑体" w:hAnsi="黑体" w:eastAsia="黑体" w:cs="黑体"/>
          <w:spacing w:val="-11"/>
          <w:sz w:val="27"/>
          <w:szCs w:val="27"/>
        </w:rPr>
        <w:t>2</w:t>
      </w:r>
      <w:r>
        <w:rPr>
          <w:rFonts w:ascii="黑体" w:hAnsi="黑体" w:eastAsia="黑体" w:cs="黑体"/>
          <w:spacing w:val="13"/>
          <w:sz w:val="27"/>
          <w:szCs w:val="27"/>
        </w:rPr>
        <w:t xml:space="preserve">  </w:t>
      </w:r>
      <w:r>
        <w:rPr>
          <w:rFonts w:ascii="黑体" w:hAnsi="黑体" w:eastAsia="黑体" w:cs="黑体"/>
          <w:b/>
          <w:bCs/>
          <w:spacing w:val="-11"/>
          <w:sz w:val="27"/>
          <w:szCs w:val="27"/>
        </w:rPr>
        <w:t>试验项目、步骤和方法</w:t>
      </w:r>
    </w:p>
    <w:p w14:paraId="09FF3FAE">
      <w:pPr>
        <w:spacing w:before="5" w:line="368" w:lineRule="exact"/>
        <w:rPr>
          <w:rFonts w:ascii="黑体" w:hAnsi="黑体" w:eastAsia="黑体" w:cs="黑体"/>
          <w:sz w:val="27"/>
          <w:szCs w:val="27"/>
        </w:rPr>
      </w:pPr>
      <w:r>
        <w:rPr>
          <w:rFonts w:ascii="Arial" w:hAnsi="Arial" w:eastAsia="Arial" w:cs="Arial"/>
          <w:spacing w:val="3"/>
          <w:position w:val="3"/>
          <w:sz w:val="27"/>
          <w:szCs w:val="27"/>
        </w:rPr>
        <w:t xml:space="preserve">2.X    ( </w:t>
      </w:r>
      <w:r>
        <w:rPr>
          <w:rFonts w:ascii="黑体" w:hAnsi="黑体" w:eastAsia="黑体" w:cs="黑体"/>
          <w:b/>
          <w:bCs/>
          <w:spacing w:val="3"/>
          <w:position w:val="3"/>
          <w:sz w:val="27"/>
          <w:szCs w:val="27"/>
        </w:rPr>
        <w:t>试验项目</w:t>
      </w:r>
      <w:r>
        <w:rPr>
          <w:rFonts w:ascii="Arial" w:hAnsi="Arial" w:eastAsia="Arial" w:cs="Arial"/>
          <w:b/>
          <w:bCs/>
          <w:spacing w:val="3"/>
          <w:position w:val="3"/>
          <w:sz w:val="27"/>
          <w:szCs w:val="27"/>
        </w:rPr>
        <w:t>X)</w:t>
      </w:r>
      <w:r>
        <w:rPr>
          <w:rFonts w:ascii="Arial" w:hAnsi="Arial" w:eastAsia="Arial" w:cs="Arial"/>
          <w:b/>
          <w:bCs/>
          <w:spacing w:val="-18"/>
          <w:position w:val="3"/>
          <w:sz w:val="27"/>
          <w:szCs w:val="27"/>
        </w:rPr>
        <w:t xml:space="preserve"> </w:t>
      </w:r>
      <w:r>
        <w:rPr>
          <w:rFonts w:ascii="黑体" w:hAnsi="黑体" w:eastAsia="黑体" w:cs="黑体"/>
          <w:b/>
          <w:bCs/>
          <w:spacing w:val="3"/>
          <w:position w:val="3"/>
          <w:sz w:val="27"/>
          <w:szCs w:val="27"/>
        </w:rPr>
        <w:t>的步骤和方法</w:t>
      </w:r>
    </w:p>
    <w:p w14:paraId="6FC79843">
      <w:pPr>
        <w:pStyle w:val="2"/>
        <w:spacing w:before="90" w:line="212" w:lineRule="auto"/>
        <w:ind w:left="560"/>
      </w:pPr>
      <w:r>
        <w:rPr>
          <w:spacing w:val="1"/>
        </w:rPr>
        <w:t>应按验证计划的规定，简要叙述(验证项目</w:t>
      </w:r>
      <w:r>
        <w:rPr>
          <w:rFonts w:ascii="Times New Roman" w:hAnsi="Times New Roman" w:eastAsia="Times New Roman" w:cs="Times New Roman"/>
          <w:spacing w:val="1"/>
        </w:rPr>
        <w:t xml:space="preserve">X) </w:t>
      </w:r>
      <w:r>
        <w:rPr>
          <w:spacing w:val="1"/>
        </w:rPr>
        <w:t>的实施步骤和方法。</w:t>
      </w:r>
    </w:p>
    <w:p w14:paraId="69B61AA2">
      <w:pPr>
        <w:spacing w:before="134" w:line="221"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15"/>
          <w:sz w:val="27"/>
          <w:szCs w:val="27"/>
        </w:rPr>
        <w:t xml:space="preserve">  </w:t>
      </w:r>
      <w:r>
        <w:rPr>
          <w:rFonts w:ascii="黑体" w:hAnsi="黑体" w:eastAsia="黑体" w:cs="黑体"/>
          <w:b/>
          <w:bCs/>
          <w:spacing w:val="-2"/>
          <w:sz w:val="27"/>
          <w:szCs w:val="27"/>
        </w:rPr>
        <w:t>试验数据</w:t>
      </w:r>
    </w:p>
    <w:p w14:paraId="19C8FAE7">
      <w:pPr>
        <w:pStyle w:val="2"/>
        <w:spacing w:before="81" w:line="219" w:lineRule="auto"/>
        <w:ind w:left="560"/>
      </w:pPr>
      <w:r>
        <w:rPr>
          <w:spacing w:val="4"/>
        </w:rPr>
        <w:t>提供各项验证试验所获得的实测数据(必要时可采用图表形式表示)。</w:t>
      </w:r>
    </w:p>
    <w:p w14:paraId="7A509173">
      <w:pPr>
        <w:spacing w:before="86" w:line="221" w:lineRule="auto"/>
        <w:outlineLvl w:val="3"/>
        <w:rPr>
          <w:rFonts w:ascii="黑体" w:hAnsi="黑体" w:eastAsia="黑体" w:cs="黑体"/>
          <w:sz w:val="27"/>
          <w:szCs w:val="27"/>
        </w:rPr>
      </w:pPr>
      <w:r>
        <w:rPr>
          <w:rFonts w:ascii="Arial" w:hAnsi="Arial" w:eastAsia="Arial" w:cs="Arial"/>
          <w:b/>
          <w:bCs/>
          <w:spacing w:val="2"/>
          <w:sz w:val="27"/>
          <w:szCs w:val="27"/>
        </w:rPr>
        <w:t>4</w:t>
      </w:r>
      <w:r>
        <w:rPr>
          <w:rFonts w:ascii="Arial" w:hAnsi="Arial" w:eastAsia="Arial" w:cs="Arial"/>
          <w:b/>
          <w:bCs/>
          <w:spacing w:val="18"/>
          <w:w w:val="101"/>
          <w:sz w:val="27"/>
          <w:szCs w:val="27"/>
        </w:rPr>
        <w:t xml:space="preserve">   </w:t>
      </w:r>
      <w:r>
        <w:rPr>
          <w:rFonts w:ascii="黑体" w:hAnsi="黑体" w:eastAsia="黑体" w:cs="黑体"/>
          <w:b/>
          <w:bCs/>
          <w:spacing w:val="2"/>
          <w:sz w:val="27"/>
          <w:szCs w:val="27"/>
        </w:rPr>
        <w:t>试验中出现的主要技术问题及处理情况</w:t>
      </w:r>
    </w:p>
    <w:p w14:paraId="6215D2A0">
      <w:pPr>
        <w:pStyle w:val="2"/>
        <w:spacing w:before="102" w:line="275" w:lineRule="auto"/>
        <w:ind w:right="5" w:firstLine="560"/>
      </w:pPr>
      <w:r>
        <w:rPr>
          <w:spacing w:val="10"/>
        </w:rPr>
        <w:t>描述验证试验中出现的主要技术问题及处理情况</w:t>
      </w:r>
      <w:r>
        <w:rPr>
          <w:spacing w:val="9"/>
        </w:rPr>
        <w:t>，包括问题现象(发生时</w:t>
      </w:r>
      <w:r>
        <w:t xml:space="preserve"> </w:t>
      </w:r>
      <w:r>
        <w:rPr>
          <w:spacing w:val="-19"/>
        </w:rPr>
        <w:t>间、验证项目、技术问题等)、问题原因、解决措施、验证情况等。</w:t>
      </w:r>
    </w:p>
    <w:p w14:paraId="64B47E5B">
      <w:pPr>
        <w:spacing w:before="1" w:line="220" w:lineRule="auto"/>
        <w:rPr>
          <w:rFonts w:ascii="黑体" w:hAnsi="黑体" w:eastAsia="黑体" w:cs="黑体"/>
          <w:sz w:val="27"/>
          <w:szCs w:val="27"/>
        </w:rPr>
      </w:pPr>
      <w:r>
        <w:rPr>
          <w:rFonts w:ascii="黑体" w:hAnsi="黑体" w:eastAsia="黑体" w:cs="黑体"/>
          <w:spacing w:val="-18"/>
          <w:sz w:val="27"/>
          <w:szCs w:val="27"/>
        </w:rPr>
        <w:t>5</w:t>
      </w:r>
      <w:r>
        <w:rPr>
          <w:rFonts w:ascii="黑体" w:hAnsi="黑体" w:eastAsia="黑体" w:cs="黑体"/>
          <w:spacing w:val="11"/>
          <w:sz w:val="27"/>
          <w:szCs w:val="27"/>
        </w:rPr>
        <w:t xml:space="preserve">  </w:t>
      </w:r>
      <w:r>
        <w:rPr>
          <w:rFonts w:ascii="黑体" w:hAnsi="黑体" w:eastAsia="黑体" w:cs="黑体"/>
          <w:b/>
          <w:bCs/>
          <w:spacing w:val="-18"/>
          <w:sz w:val="27"/>
          <w:szCs w:val="27"/>
        </w:rPr>
        <w:t>试验结果、结论</w:t>
      </w:r>
    </w:p>
    <w:p w14:paraId="0B6FC61A">
      <w:pPr>
        <w:spacing w:before="97" w:line="221" w:lineRule="auto"/>
        <w:rPr>
          <w:rFonts w:ascii="黑体" w:hAnsi="黑体" w:eastAsia="黑体" w:cs="黑体"/>
          <w:sz w:val="27"/>
          <w:szCs w:val="27"/>
        </w:rPr>
      </w:pPr>
      <w:r>
        <w:rPr>
          <w:rFonts w:ascii="黑体" w:hAnsi="黑体" w:eastAsia="黑体" w:cs="黑体"/>
          <w:sz w:val="27"/>
          <w:szCs w:val="27"/>
        </w:rPr>
        <w:t>5.1</w:t>
      </w:r>
      <w:r>
        <w:rPr>
          <w:rFonts w:ascii="黑体" w:hAnsi="黑体" w:eastAsia="黑体" w:cs="黑体"/>
          <w:spacing w:val="21"/>
          <w:sz w:val="27"/>
          <w:szCs w:val="27"/>
        </w:rPr>
        <w:t xml:space="preserve">  </w:t>
      </w:r>
      <w:r>
        <w:rPr>
          <w:rFonts w:ascii="黑体" w:hAnsi="黑体" w:eastAsia="黑体" w:cs="黑体"/>
          <w:b/>
          <w:bCs/>
          <w:sz w:val="27"/>
          <w:szCs w:val="27"/>
        </w:rPr>
        <w:t>试验结果</w:t>
      </w:r>
    </w:p>
    <w:p w14:paraId="4A2D767E">
      <w:pPr>
        <w:pStyle w:val="2"/>
        <w:spacing w:before="78" w:line="280" w:lineRule="auto"/>
        <w:ind w:firstLine="560"/>
      </w:pPr>
      <w:r>
        <w:rPr>
          <w:spacing w:val="9"/>
        </w:rPr>
        <w:t>提供各项验证试验的结果(必要时可采用图表形式表示),包括能够实现的</w:t>
      </w:r>
      <w:r>
        <w:rPr>
          <w:spacing w:val="18"/>
        </w:rPr>
        <w:t xml:space="preserve"> </w:t>
      </w:r>
      <w:r>
        <w:t>功能或能够完成的任务及其完成的程度，未能实现的功能或未能完成的任务。</w:t>
      </w:r>
    </w:p>
    <w:p w14:paraId="0A646FFF">
      <w:pPr>
        <w:spacing w:before="1" w:line="220" w:lineRule="auto"/>
        <w:rPr>
          <w:rFonts w:ascii="黑体" w:hAnsi="黑体" w:eastAsia="黑体" w:cs="黑体"/>
          <w:sz w:val="27"/>
          <w:szCs w:val="27"/>
        </w:rPr>
      </w:pPr>
      <w:r>
        <w:rPr>
          <w:rFonts w:ascii="黑体" w:hAnsi="黑体" w:eastAsia="黑体" w:cs="黑体"/>
          <w:spacing w:val="-1"/>
          <w:sz w:val="27"/>
          <w:szCs w:val="27"/>
        </w:rPr>
        <w:t>5.2</w:t>
      </w:r>
      <w:r>
        <w:rPr>
          <w:rFonts w:ascii="黑体" w:hAnsi="黑体" w:eastAsia="黑体" w:cs="黑体"/>
          <w:spacing w:val="22"/>
          <w:sz w:val="27"/>
          <w:szCs w:val="27"/>
        </w:rPr>
        <w:t xml:space="preserve">  </w:t>
      </w:r>
      <w:r>
        <w:rPr>
          <w:rFonts w:ascii="黑体" w:hAnsi="黑体" w:eastAsia="黑体" w:cs="黑体"/>
          <w:b/>
          <w:bCs/>
          <w:spacing w:val="-1"/>
          <w:sz w:val="27"/>
          <w:szCs w:val="27"/>
        </w:rPr>
        <w:t>试验结论</w:t>
      </w:r>
    </w:p>
    <w:p w14:paraId="64AC0AFA">
      <w:pPr>
        <w:pStyle w:val="2"/>
        <w:spacing w:before="94" w:line="219" w:lineRule="auto"/>
        <w:ind w:left="560"/>
      </w:pPr>
      <w:r>
        <w:rPr>
          <w:spacing w:val="-3"/>
        </w:rPr>
        <w:t>阐述验证试验结论，明确指出是否符合预定的要求。</w:t>
      </w:r>
    </w:p>
    <w:p w14:paraId="7ABF1910">
      <w:pPr>
        <w:spacing w:before="94" w:line="222"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存在的问题和改进建议</w:t>
      </w:r>
    </w:p>
    <w:p w14:paraId="189A4088">
      <w:pPr>
        <w:spacing w:before="61" w:line="212" w:lineRule="auto"/>
        <w:rPr>
          <w:rFonts w:ascii="黑体" w:hAnsi="黑体" w:eastAsia="黑体" w:cs="黑体"/>
          <w:sz w:val="27"/>
          <w:szCs w:val="27"/>
        </w:rPr>
      </w:pPr>
      <w:r>
        <w:rPr>
          <w:rFonts w:ascii="Times New Roman" w:hAnsi="Times New Roman" w:eastAsia="Times New Roman" w:cs="Times New Roman"/>
          <w:spacing w:val="2"/>
          <w:sz w:val="27"/>
          <w:szCs w:val="27"/>
        </w:rPr>
        <w:t xml:space="preserve">6.X     </w:t>
      </w:r>
      <w:r>
        <w:rPr>
          <w:rFonts w:ascii="黑体" w:hAnsi="黑体" w:eastAsia="黑体" w:cs="黑体"/>
          <w:b/>
          <w:bCs/>
          <w:spacing w:val="2"/>
          <w:sz w:val="27"/>
          <w:szCs w:val="27"/>
        </w:rPr>
        <w:t>(存在的问题</w:t>
      </w:r>
      <w:r>
        <w:rPr>
          <w:rFonts w:ascii="Arial" w:hAnsi="Arial" w:eastAsia="Arial" w:cs="Arial"/>
          <w:b/>
          <w:bCs/>
          <w:spacing w:val="2"/>
          <w:sz w:val="27"/>
          <w:szCs w:val="27"/>
        </w:rPr>
        <w:t xml:space="preserve">X) </w:t>
      </w:r>
      <w:r>
        <w:rPr>
          <w:rFonts w:ascii="黑体" w:hAnsi="黑体" w:eastAsia="黑体" w:cs="黑体"/>
          <w:b/>
          <w:bCs/>
          <w:spacing w:val="2"/>
          <w:sz w:val="27"/>
          <w:szCs w:val="27"/>
        </w:rPr>
        <w:t>改进建议</w:t>
      </w:r>
    </w:p>
    <w:p w14:paraId="2AC1F349">
      <w:pPr>
        <w:pStyle w:val="2"/>
        <w:spacing w:before="137" w:line="294" w:lineRule="auto"/>
        <w:ind w:right="1" w:firstLine="560"/>
        <w:rPr>
          <w:sz w:val="25"/>
          <w:szCs w:val="25"/>
        </w:rPr>
      </w:pPr>
      <w:r>
        <w:rPr>
          <w:spacing w:val="34"/>
          <w:sz w:val="25"/>
          <w:szCs w:val="25"/>
        </w:rPr>
        <w:t>对验证试验过程中出现的且尚未得到彻底解决的问题提出进一步改进的</w:t>
      </w:r>
      <w:r>
        <w:rPr>
          <w:spacing w:val="14"/>
          <w:sz w:val="25"/>
          <w:szCs w:val="25"/>
        </w:rPr>
        <w:t xml:space="preserve"> </w:t>
      </w:r>
      <w:r>
        <w:rPr>
          <w:spacing w:val="8"/>
          <w:sz w:val="25"/>
          <w:szCs w:val="25"/>
        </w:rPr>
        <w:t>建议。</w:t>
      </w:r>
    </w:p>
    <w:p w14:paraId="0BCA3A9D">
      <w:pPr>
        <w:spacing w:before="1" w:line="220" w:lineRule="auto"/>
        <w:rPr>
          <w:rFonts w:ascii="黑体" w:hAnsi="黑体" w:eastAsia="黑体" w:cs="黑体"/>
          <w:sz w:val="27"/>
          <w:szCs w:val="27"/>
        </w:rPr>
      </w:pPr>
      <w:r>
        <w:rPr>
          <w:rFonts w:ascii="黑体" w:hAnsi="黑体" w:eastAsia="黑体" w:cs="黑体"/>
          <w:sz w:val="27"/>
          <w:szCs w:val="27"/>
        </w:rPr>
        <w:t>7</w:t>
      </w:r>
      <w:r>
        <w:rPr>
          <w:rFonts w:ascii="黑体" w:hAnsi="黑体" w:eastAsia="黑体" w:cs="黑体"/>
          <w:spacing w:val="15"/>
          <w:sz w:val="27"/>
          <w:szCs w:val="27"/>
        </w:rPr>
        <w:t xml:space="preserve">  </w:t>
      </w:r>
      <w:r>
        <w:rPr>
          <w:rFonts w:ascii="黑体" w:hAnsi="黑体" w:eastAsia="黑体" w:cs="黑体"/>
          <w:b/>
          <w:bCs/>
          <w:sz w:val="27"/>
          <w:szCs w:val="27"/>
        </w:rPr>
        <w:t>试验照片</w:t>
      </w:r>
    </w:p>
    <w:p w14:paraId="293D35E7">
      <w:pPr>
        <w:spacing w:before="87" w:line="221" w:lineRule="auto"/>
        <w:rPr>
          <w:rFonts w:ascii="黑体" w:hAnsi="黑体" w:eastAsia="黑体" w:cs="黑体"/>
          <w:sz w:val="27"/>
          <w:szCs w:val="27"/>
        </w:rPr>
      </w:pPr>
      <w:r>
        <w:rPr>
          <w:rFonts w:ascii="黑体" w:hAnsi="黑体" w:eastAsia="黑体" w:cs="黑体"/>
          <w:spacing w:val="-7"/>
          <w:sz w:val="27"/>
          <w:szCs w:val="27"/>
        </w:rPr>
        <w:t>7.1</w:t>
      </w:r>
      <w:r>
        <w:rPr>
          <w:rFonts w:ascii="黑体" w:hAnsi="黑体" w:eastAsia="黑体" w:cs="黑体"/>
          <w:spacing w:val="33"/>
          <w:sz w:val="27"/>
          <w:szCs w:val="27"/>
        </w:rPr>
        <w:t xml:space="preserve">  </w:t>
      </w:r>
      <w:r>
        <w:rPr>
          <w:rFonts w:ascii="黑体" w:hAnsi="黑体" w:eastAsia="黑体" w:cs="黑体"/>
          <w:b/>
          <w:bCs/>
          <w:spacing w:val="-7"/>
          <w:sz w:val="27"/>
          <w:szCs w:val="27"/>
        </w:rPr>
        <w:t>试验样品的全貌、主要侧面照片</w:t>
      </w:r>
    </w:p>
    <w:p w14:paraId="4684C6A5">
      <w:pPr>
        <w:pStyle w:val="2"/>
        <w:spacing w:before="92" w:line="219" w:lineRule="auto"/>
        <w:ind w:left="560"/>
      </w:pPr>
      <w:r>
        <w:rPr>
          <w:spacing w:val="-3"/>
        </w:rPr>
        <w:t>提供用于验证的试验样品的全貌、主要侧面照片。</w:t>
      </w:r>
    </w:p>
    <w:p w14:paraId="7F36AA2E">
      <w:pPr>
        <w:spacing w:before="75" w:line="221" w:lineRule="auto"/>
        <w:rPr>
          <w:rFonts w:ascii="黑体" w:hAnsi="黑体" w:eastAsia="黑体" w:cs="黑体"/>
          <w:sz w:val="27"/>
          <w:szCs w:val="27"/>
        </w:rPr>
      </w:pPr>
      <w:r>
        <w:rPr>
          <w:rFonts w:ascii="黑体" w:hAnsi="黑体" w:eastAsia="黑体" w:cs="黑体"/>
          <w:sz w:val="27"/>
          <w:szCs w:val="27"/>
        </w:rPr>
        <w:t>7.2</w:t>
      </w:r>
      <w:r>
        <w:rPr>
          <w:rFonts w:ascii="黑体" w:hAnsi="黑体" w:eastAsia="黑体" w:cs="黑体"/>
          <w:spacing w:val="25"/>
          <w:sz w:val="27"/>
          <w:szCs w:val="27"/>
        </w:rPr>
        <w:t xml:space="preserve">  </w:t>
      </w:r>
      <w:r>
        <w:rPr>
          <w:rFonts w:ascii="黑体" w:hAnsi="黑体" w:eastAsia="黑体" w:cs="黑体"/>
          <w:b/>
          <w:bCs/>
          <w:sz w:val="27"/>
          <w:szCs w:val="27"/>
        </w:rPr>
        <w:t>主要试验项目照片</w:t>
      </w:r>
    </w:p>
    <w:p w14:paraId="548AF2ED">
      <w:pPr>
        <w:pStyle w:val="2"/>
        <w:spacing w:before="101" w:line="219" w:lineRule="auto"/>
        <w:ind w:right="7"/>
        <w:jc w:val="right"/>
      </w:pPr>
      <w:r>
        <w:rPr>
          <w:spacing w:val="-3"/>
        </w:rPr>
        <w:t>提供验证试验过程中拍摄的主要试验项目的照片，特别是反映装机状态、试</w:t>
      </w:r>
    </w:p>
    <w:p w14:paraId="2A6E5325">
      <w:pPr>
        <w:spacing w:line="219" w:lineRule="auto"/>
        <w:sectPr>
          <w:footerReference r:id="rId429" w:type="default"/>
          <w:pgSz w:w="11910" w:h="17130"/>
          <w:pgMar w:top="1456" w:right="1388" w:bottom="1560" w:left="1140" w:header="0" w:footer="1362" w:gutter="0"/>
          <w:cols w:space="720" w:num="1"/>
        </w:sectPr>
      </w:pPr>
    </w:p>
    <w:p w14:paraId="66AD64B0">
      <w:pPr>
        <w:pStyle w:val="2"/>
        <w:spacing w:before="54" w:line="220" w:lineRule="auto"/>
      </w:pPr>
      <w:r>
        <w:rPr>
          <w:spacing w:val="2"/>
        </w:rPr>
        <w:t>验显示画面的照片。</w:t>
      </w:r>
    </w:p>
    <w:p w14:paraId="18A5EE20">
      <w:pPr>
        <w:spacing w:before="81" w:line="221" w:lineRule="auto"/>
        <w:rPr>
          <w:rFonts w:ascii="黑体" w:hAnsi="黑体" w:eastAsia="黑体" w:cs="黑体"/>
          <w:sz w:val="27"/>
          <w:szCs w:val="27"/>
        </w:rPr>
      </w:pPr>
      <w:r>
        <w:rPr>
          <w:rFonts w:ascii="黑体" w:hAnsi="黑体" w:eastAsia="黑体" w:cs="黑体"/>
          <w:spacing w:val="3"/>
          <w:sz w:val="27"/>
          <w:szCs w:val="27"/>
        </w:rPr>
        <w:t xml:space="preserve">7.3  </w:t>
      </w:r>
      <w:r>
        <w:rPr>
          <w:rFonts w:ascii="黑体" w:hAnsi="黑体" w:eastAsia="黑体" w:cs="黑体"/>
          <w:b/>
          <w:bCs/>
          <w:spacing w:val="3"/>
          <w:sz w:val="27"/>
          <w:szCs w:val="27"/>
        </w:rPr>
        <w:t>试验中发生的重大技术问题的特写照片</w:t>
      </w:r>
    </w:p>
    <w:p w14:paraId="31371564">
      <w:pPr>
        <w:pStyle w:val="2"/>
        <w:spacing w:before="50" w:line="286" w:lineRule="auto"/>
        <w:ind w:right="113" w:firstLine="560"/>
      </w:pPr>
      <w:r>
        <w:rPr>
          <w:spacing w:val="6"/>
        </w:rPr>
        <w:t>提供验证试验过程中发生重大技术问题时的特</w:t>
      </w:r>
      <w:r>
        <w:rPr>
          <w:spacing w:val="5"/>
        </w:rPr>
        <w:t>写照片，特别是试验样品损</w:t>
      </w:r>
      <w:r>
        <w:t xml:space="preserve"> </w:t>
      </w:r>
      <w:r>
        <w:rPr>
          <w:spacing w:val="-7"/>
        </w:rPr>
        <w:t>伤、试验显示画面异常的照片。</w:t>
      </w:r>
    </w:p>
    <w:p w14:paraId="32672D71">
      <w:pPr>
        <w:spacing w:before="1" w:line="220" w:lineRule="auto"/>
        <w:rPr>
          <w:rFonts w:ascii="黑体" w:hAnsi="黑体" w:eastAsia="黑体" w:cs="黑体"/>
          <w:sz w:val="27"/>
          <w:szCs w:val="27"/>
        </w:rPr>
      </w:pPr>
      <w:r>
        <w:rPr>
          <w:rFonts w:ascii="黑体" w:hAnsi="黑体" w:eastAsia="黑体" w:cs="黑体"/>
          <w:spacing w:val="2"/>
          <w:sz w:val="27"/>
          <w:szCs w:val="27"/>
        </w:rPr>
        <w:t xml:space="preserve">8  </w:t>
      </w:r>
      <w:r>
        <w:rPr>
          <w:rFonts w:ascii="黑体" w:hAnsi="黑体" w:eastAsia="黑体" w:cs="黑体"/>
          <w:b/>
          <w:bCs/>
          <w:spacing w:val="2"/>
          <w:sz w:val="27"/>
          <w:szCs w:val="27"/>
        </w:rPr>
        <w:t>主要试验项目的实时音像资料</w:t>
      </w:r>
    </w:p>
    <w:p w14:paraId="72E959B5">
      <w:pPr>
        <w:pStyle w:val="2"/>
        <w:spacing w:before="79" w:line="283" w:lineRule="auto"/>
        <w:ind w:right="100" w:firstLine="560"/>
      </w:pPr>
      <w:r>
        <w:rPr>
          <w:spacing w:val="2"/>
        </w:rPr>
        <w:t>提供主要验证试验项目的实时音像资料(目录),包括</w:t>
      </w:r>
      <w:r>
        <w:rPr>
          <w:spacing w:val="1"/>
        </w:rPr>
        <w:t>拍摄时间、试验项目名</w:t>
      </w:r>
      <w:r>
        <w:t xml:space="preserve"> </w:t>
      </w:r>
      <w:r>
        <w:rPr>
          <w:spacing w:val="-3"/>
        </w:rPr>
        <w:t>称、音像资料名称以及试验地点等信息。</w:t>
      </w:r>
    </w:p>
    <w:p w14:paraId="6FF57E9B">
      <w:pPr>
        <w:spacing w:before="1" w:line="220" w:lineRule="auto"/>
        <w:rPr>
          <w:rFonts w:ascii="黑体" w:hAnsi="黑体" w:eastAsia="黑体" w:cs="黑体"/>
          <w:sz w:val="27"/>
          <w:szCs w:val="27"/>
        </w:rPr>
      </w:pPr>
      <w:r>
        <w:rPr>
          <w:rFonts w:ascii="黑体" w:hAnsi="黑体" w:eastAsia="黑体" w:cs="黑体"/>
          <w:spacing w:val="-7"/>
          <w:sz w:val="27"/>
          <w:szCs w:val="27"/>
        </w:rPr>
        <w:t xml:space="preserve">9  </w:t>
      </w:r>
      <w:r>
        <w:rPr>
          <w:rFonts w:ascii="黑体" w:hAnsi="黑体" w:eastAsia="黑体" w:cs="黑体"/>
          <w:b/>
          <w:bCs/>
          <w:spacing w:val="-7"/>
          <w:sz w:val="27"/>
          <w:szCs w:val="27"/>
        </w:rPr>
        <w:t>关于编制、训练、作战使用和技术保障等方面的意见和建议</w:t>
      </w:r>
    </w:p>
    <w:p w14:paraId="5C109D59">
      <w:pPr>
        <w:pStyle w:val="2"/>
        <w:spacing w:before="91" w:line="290" w:lineRule="auto"/>
        <w:ind w:right="113" w:firstLine="560"/>
      </w:pPr>
      <w:r>
        <w:rPr>
          <w:spacing w:val="6"/>
        </w:rPr>
        <w:t>提出被试品列装后，使装备的作战使用性能和</w:t>
      </w:r>
      <w:r>
        <w:rPr>
          <w:spacing w:val="5"/>
        </w:rPr>
        <w:t>部队适用性达到最佳状态的</w:t>
      </w:r>
      <w:r>
        <w:t xml:space="preserve"> </w:t>
      </w:r>
      <w:r>
        <w:rPr>
          <w:spacing w:val="-3"/>
        </w:rPr>
        <w:t>编配方案、作战使用训练和技术保障、管理方法及要求等方面的意见和建议。</w:t>
      </w:r>
    </w:p>
    <w:p w14:paraId="34B2B306">
      <w:pPr>
        <w:pStyle w:val="2"/>
        <w:spacing w:before="328" w:line="218" w:lineRule="auto"/>
        <w:ind w:left="2500"/>
        <w:rPr>
          <w:sz w:val="36"/>
          <w:szCs w:val="36"/>
        </w:rPr>
      </w:pPr>
      <w:r>
        <w:rPr>
          <w:spacing w:val="-3"/>
          <w:sz w:val="36"/>
          <w:szCs w:val="36"/>
        </w:rPr>
        <w:t>8.</w:t>
      </w:r>
      <w:r>
        <w:rPr>
          <w:b/>
          <w:bCs/>
          <w:spacing w:val="-3"/>
          <w:sz w:val="36"/>
          <w:szCs w:val="36"/>
        </w:rPr>
        <w:t>17</w:t>
      </w:r>
      <w:r>
        <w:rPr>
          <w:spacing w:val="34"/>
          <w:sz w:val="36"/>
          <w:szCs w:val="36"/>
        </w:rPr>
        <w:t xml:space="preserve">  </w:t>
      </w:r>
      <w:r>
        <w:rPr>
          <w:b/>
          <w:bCs/>
          <w:spacing w:val="-3"/>
          <w:sz w:val="36"/>
          <w:szCs w:val="36"/>
        </w:rPr>
        <w:t>维修性分析评价方案</w:t>
      </w:r>
    </w:p>
    <w:p w14:paraId="15C74AE4">
      <w:pPr>
        <w:spacing w:line="330" w:lineRule="auto"/>
        <w:rPr>
          <w:rFonts w:ascii="Arial"/>
          <w:sz w:val="21"/>
        </w:rPr>
      </w:pPr>
    </w:p>
    <w:p w14:paraId="4A978A48">
      <w:pPr>
        <w:pStyle w:val="2"/>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368B—2009</w:t>
      </w:r>
      <w:r>
        <w:rPr>
          <w:spacing w:val="-11"/>
          <w:sz w:val="28"/>
          <w:szCs w:val="28"/>
        </w:rPr>
        <w:t>《</w:t>
      </w:r>
      <w:r>
        <w:rPr>
          <w:rFonts w:ascii="楷体" w:hAnsi="楷体" w:eastAsia="楷体" w:cs="楷体"/>
          <w:spacing w:val="-11"/>
          <w:sz w:val="28"/>
          <w:szCs w:val="28"/>
        </w:rPr>
        <w:t>装备维修性工作通用要求》编写。</w:t>
      </w:r>
    </w:p>
    <w:p w14:paraId="1F619B6F">
      <w:pPr>
        <w:spacing w:before="85"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16"/>
          <w:sz w:val="27"/>
          <w:szCs w:val="27"/>
        </w:rPr>
        <w:t xml:space="preserve">  </w:t>
      </w:r>
      <w:r>
        <w:rPr>
          <w:rFonts w:ascii="黑体" w:hAnsi="黑体" w:eastAsia="黑体" w:cs="黑体"/>
          <w:b/>
          <w:bCs/>
          <w:spacing w:val="-13"/>
          <w:sz w:val="27"/>
          <w:szCs w:val="27"/>
        </w:rPr>
        <w:t>范围</w:t>
      </w:r>
    </w:p>
    <w:p w14:paraId="4096BDD4">
      <w:pPr>
        <w:spacing w:before="71" w:line="222" w:lineRule="auto"/>
        <w:rPr>
          <w:rFonts w:ascii="黑体" w:hAnsi="黑体" w:eastAsia="黑体" w:cs="黑体"/>
          <w:sz w:val="27"/>
          <w:szCs w:val="27"/>
        </w:rPr>
      </w:pPr>
      <w:r>
        <w:rPr>
          <w:rFonts w:ascii="黑体" w:hAnsi="黑体" w:eastAsia="黑体" w:cs="黑体"/>
          <w:spacing w:val="4"/>
          <w:sz w:val="27"/>
          <w:szCs w:val="27"/>
        </w:rPr>
        <w:t xml:space="preserve">2  </w:t>
      </w:r>
      <w:r>
        <w:rPr>
          <w:rFonts w:ascii="黑体" w:hAnsi="黑体" w:eastAsia="黑体" w:cs="黑体"/>
          <w:b/>
          <w:bCs/>
          <w:spacing w:val="4"/>
          <w:sz w:val="27"/>
          <w:szCs w:val="27"/>
        </w:rPr>
        <w:t>引用文件</w:t>
      </w:r>
    </w:p>
    <w:p w14:paraId="7FA16015">
      <w:pPr>
        <w:spacing w:before="68"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9"/>
          <w:sz w:val="27"/>
          <w:szCs w:val="27"/>
        </w:rPr>
        <w:t xml:space="preserve">  </w:t>
      </w:r>
      <w:r>
        <w:rPr>
          <w:rFonts w:ascii="黑体" w:hAnsi="黑体" w:eastAsia="黑体" w:cs="黑体"/>
          <w:b/>
          <w:bCs/>
          <w:spacing w:val="-2"/>
          <w:sz w:val="27"/>
          <w:szCs w:val="27"/>
        </w:rPr>
        <w:t>数据与信息</w:t>
      </w:r>
    </w:p>
    <w:p w14:paraId="68B0E2FF">
      <w:pPr>
        <w:pStyle w:val="2"/>
        <w:spacing w:before="118" w:line="275" w:lineRule="auto"/>
        <w:ind w:right="120" w:firstLine="560"/>
      </w:pPr>
      <w:r>
        <w:rPr>
          <w:spacing w:val="5"/>
        </w:rPr>
        <w:t>收集相似产品和产品组成部分的各种试验数据和实际维修数据与信息。详</w:t>
      </w:r>
      <w:r>
        <w:rPr>
          <w:spacing w:val="13"/>
        </w:rPr>
        <w:t xml:space="preserve"> </w:t>
      </w:r>
      <w:r>
        <w:rPr>
          <w:spacing w:val="2"/>
        </w:rPr>
        <w:t>细说明所利用的各种数据与信息。</w:t>
      </w:r>
    </w:p>
    <w:p w14:paraId="4A8EFCC6">
      <w:pPr>
        <w:spacing w:before="2" w:line="220" w:lineRule="auto"/>
        <w:rPr>
          <w:rFonts w:ascii="黑体" w:hAnsi="黑体" w:eastAsia="黑体" w:cs="黑体"/>
          <w:sz w:val="27"/>
          <w:szCs w:val="27"/>
        </w:rPr>
      </w:pPr>
      <w:r>
        <w:rPr>
          <w:rFonts w:ascii="黑体" w:hAnsi="黑体" w:eastAsia="黑体" w:cs="黑体"/>
          <w:spacing w:val="3"/>
          <w:sz w:val="27"/>
          <w:szCs w:val="27"/>
        </w:rPr>
        <w:t xml:space="preserve">4  </w:t>
      </w:r>
      <w:r>
        <w:rPr>
          <w:rFonts w:ascii="黑体" w:hAnsi="黑体" w:eastAsia="黑体" w:cs="黑体"/>
          <w:b/>
          <w:bCs/>
          <w:spacing w:val="3"/>
          <w:sz w:val="27"/>
          <w:szCs w:val="27"/>
        </w:rPr>
        <w:t>分析评价方法的确定</w:t>
      </w:r>
    </w:p>
    <w:p w14:paraId="11289CA1">
      <w:pPr>
        <w:pStyle w:val="2"/>
        <w:spacing w:before="90" w:line="218" w:lineRule="auto"/>
        <w:ind w:left="560"/>
      </w:pPr>
      <w:r>
        <w:rPr>
          <w:spacing w:val="-2"/>
        </w:rPr>
        <w:t>明确分析评价采用的方法，并说明选择的理</w:t>
      </w:r>
      <w:r>
        <w:rPr>
          <w:spacing w:val="-3"/>
        </w:rPr>
        <w:t>由。</w:t>
      </w:r>
    </w:p>
    <w:p w14:paraId="4FA1E98B">
      <w:pPr>
        <w:pStyle w:val="2"/>
        <w:spacing w:before="102" w:line="269" w:lineRule="auto"/>
        <w:ind w:firstLine="560"/>
      </w:pPr>
      <w:r>
        <w:rPr>
          <w:spacing w:val="1"/>
        </w:rPr>
        <w:t>通常可采用维修性预计、维修性缺陷分析、同类产品维</w:t>
      </w:r>
      <w:r>
        <w:t xml:space="preserve">修性水平对比分析、 </w:t>
      </w:r>
      <w:r>
        <w:rPr>
          <w:spacing w:val="-1"/>
        </w:rPr>
        <w:t>维修性仿真、低层次产品维修性试验数据综合等方法。</w:t>
      </w:r>
    </w:p>
    <w:p w14:paraId="201A0C03">
      <w:pPr>
        <w:spacing w:before="1" w:line="221"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16"/>
          <w:sz w:val="27"/>
          <w:szCs w:val="27"/>
        </w:rPr>
        <w:t xml:space="preserve">   </w:t>
      </w:r>
      <w:r>
        <w:rPr>
          <w:rFonts w:ascii="黑体" w:hAnsi="黑体" w:eastAsia="黑体" w:cs="黑体"/>
          <w:b/>
          <w:bCs/>
          <w:spacing w:val="-1"/>
          <w:sz w:val="27"/>
          <w:szCs w:val="27"/>
        </w:rPr>
        <w:t>评价准则</w:t>
      </w:r>
    </w:p>
    <w:p w14:paraId="227588C7">
      <w:pPr>
        <w:pStyle w:val="2"/>
        <w:spacing w:before="118" w:line="218" w:lineRule="auto"/>
        <w:ind w:left="560"/>
      </w:pPr>
      <w:r>
        <w:rPr>
          <w:spacing w:val="3"/>
        </w:rPr>
        <w:t>明确有关评价维修性是否符合要求的判据。</w:t>
      </w:r>
    </w:p>
    <w:p w14:paraId="27333843">
      <w:pPr>
        <w:spacing w:before="78" w:line="222" w:lineRule="auto"/>
        <w:rPr>
          <w:rFonts w:ascii="黑体" w:hAnsi="黑体" w:eastAsia="黑体" w:cs="黑体"/>
          <w:sz w:val="27"/>
          <w:szCs w:val="27"/>
        </w:rPr>
      </w:pPr>
      <w:r>
        <w:rPr>
          <w:rFonts w:ascii="黑体" w:hAnsi="黑体" w:eastAsia="黑体" w:cs="黑体"/>
          <w:spacing w:val="1"/>
          <w:sz w:val="27"/>
          <w:szCs w:val="27"/>
        </w:rPr>
        <w:t xml:space="preserve">6  </w:t>
      </w:r>
      <w:r>
        <w:rPr>
          <w:rFonts w:ascii="黑体" w:hAnsi="黑体" w:eastAsia="黑体" w:cs="黑体"/>
          <w:b/>
          <w:bCs/>
          <w:spacing w:val="1"/>
          <w:sz w:val="27"/>
          <w:szCs w:val="27"/>
        </w:rPr>
        <w:t>评价报告的要求</w:t>
      </w:r>
    </w:p>
    <w:p w14:paraId="22836078">
      <w:pPr>
        <w:pStyle w:val="2"/>
        <w:spacing w:before="89" w:line="218" w:lineRule="auto"/>
        <w:ind w:left="560"/>
      </w:pPr>
      <w:r>
        <w:rPr>
          <w:spacing w:val="2"/>
        </w:rPr>
        <w:t>明确评价报告的主要内容及相关要求。</w:t>
      </w:r>
    </w:p>
    <w:p w14:paraId="4549E22E">
      <w:pPr>
        <w:spacing w:before="68" w:line="222" w:lineRule="auto"/>
        <w:rPr>
          <w:rFonts w:ascii="黑体" w:hAnsi="黑体" w:eastAsia="黑体" w:cs="黑体"/>
          <w:sz w:val="27"/>
          <w:szCs w:val="27"/>
        </w:rPr>
      </w:pPr>
      <w:r>
        <w:rPr>
          <w:rFonts w:ascii="黑体" w:hAnsi="黑体" w:eastAsia="黑体" w:cs="黑体"/>
          <w:spacing w:val="1"/>
          <w:sz w:val="27"/>
          <w:szCs w:val="27"/>
        </w:rPr>
        <w:t xml:space="preserve">7  </w:t>
      </w:r>
      <w:r>
        <w:rPr>
          <w:rFonts w:ascii="黑体" w:hAnsi="黑体" w:eastAsia="黑体" w:cs="黑体"/>
          <w:b/>
          <w:bCs/>
          <w:spacing w:val="1"/>
          <w:sz w:val="27"/>
          <w:szCs w:val="27"/>
        </w:rPr>
        <w:t>有关评审的安排</w:t>
      </w:r>
    </w:p>
    <w:p w14:paraId="06239D62">
      <w:pPr>
        <w:pStyle w:val="2"/>
        <w:spacing w:before="108" w:line="218" w:lineRule="auto"/>
        <w:ind w:left="560"/>
      </w:pPr>
      <w:r>
        <w:rPr>
          <w:spacing w:val="4"/>
        </w:rPr>
        <w:t>明确对维修性分析评价方案和评价准则及结</w:t>
      </w:r>
      <w:r>
        <w:rPr>
          <w:spacing w:val="3"/>
        </w:rPr>
        <w:t>果进行评审的安排。</w:t>
      </w:r>
    </w:p>
    <w:p w14:paraId="2C995A26">
      <w:pPr>
        <w:pStyle w:val="2"/>
        <w:spacing w:before="259" w:line="218" w:lineRule="auto"/>
        <w:ind w:left="2500"/>
        <w:outlineLvl w:val="1"/>
        <w:rPr>
          <w:sz w:val="36"/>
          <w:szCs w:val="36"/>
        </w:rPr>
      </w:pPr>
      <w:r>
        <w:rPr>
          <w:rFonts w:ascii="Times New Roman" w:hAnsi="Times New Roman" w:eastAsia="Times New Roman" w:cs="Times New Roman"/>
          <w:b/>
          <w:bCs/>
          <w:spacing w:val="-1"/>
          <w:sz w:val="36"/>
          <w:szCs w:val="36"/>
        </w:rPr>
        <w:t>8.18</w:t>
      </w:r>
      <w:r>
        <w:rPr>
          <w:rFonts w:ascii="Times New Roman" w:hAnsi="Times New Roman" w:eastAsia="Times New Roman" w:cs="Times New Roman"/>
          <w:b/>
          <w:bCs/>
          <w:spacing w:val="11"/>
          <w:sz w:val="36"/>
          <w:szCs w:val="36"/>
        </w:rPr>
        <w:t xml:space="preserve">     </w:t>
      </w:r>
      <w:r>
        <w:rPr>
          <w:b/>
          <w:bCs/>
          <w:spacing w:val="-1"/>
          <w:sz w:val="36"/>
          <w:szCs w:val="36"/>
        </w:rPr>
        <w:t>维修性分析评价报告</w:t>
      </w:r>
    </w:p>
    <w:p w14:paraId="1CDC2B80">
      <w:pPr>
        <w:pStyle w:val="2"/>
        <w:spacing w:before="213"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368B—2009</w:t>
      </w:r>
      <w:r>
        <w:rPr>
          <w:spacing w:val="-11"/>
          <w:sz w:val="28"/>
          <w:szCs w:val="28"/>
        </w:rPr>
        <w:t>《</w:t>
      </w:r>
      <w:r>
        <w:rPr>
          <w:rFonts w:ascii="楷体" w:hAnsi="楷体" w:eastAsia="楷体" w:cs="楷体"/>
          <w:spacing w:val="-11"/>
          <w:sz w:val="28"/>
          <w:szCs w:val="28"/>
        </w:rPr>
        <w:t>装备维修性工作通用要求》编写。</w:t>
      </w:r>
    </w:p>
    <w:p w14:paraId="3D5DBCE0">
      <w:pPr>
        <w:spacing w:before="75"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30"/>
          <w:sz w:val="25"/>
          <w:szCs w:val="25"/>
        </w:rPr>
        <w:t xml:space="preserve">  </w:t>
      </w:r>
      <w:r>
        <w:rPr>
          <w:rFonts w:ascii="黑体" w:hAnsi="黑体" w:eastAsia="黑体" w:cs="黑体"/>
          <w:b/>
          <w:bCs/>
          <w:spacing w:val="3"/>
          <w:sz w:val="25"/>
          <w:szCs w:val="25"/>
        </w:rPr>
        <w:t>范围</w:t>
      </w:r>
    </w:p>
    <w:p w14:paraId="6B035506">
      <w:pPr>
        <w:spacing w:before="76"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8"/>
          <w:sz w:val="27"/>
          <w:szCs w:val="27"/>
        </w:rPr>
        <w:t xml:space="preserve">  </w:t>
      </w:r>
      <w:r>
        <w:rPr>
          <w:rFonts w:ascii="黑体" w:hAnsi="黑体" w:eastAsia="黑体" w:cs="黑体"/>
          <w:b/>
          <w:bCs/>
          <w:spacing w:val="-3"/>
          <w:sz w:val="27"/>
          <w:szCs w:val="27"/>
        </w:rPr>
        <w:t>引用文件</w:t>
      </w:r>
    </w:p>
    <w:p w14:paraId="4F50C22A">
      <w:pPr>
        <w:spacing w:line="222" w:lineRule="auto"/>
        <w:rPr>
          <w:rFonts w:ascii="黑体" w:hAnsi="黑体" w:eastAsia="黑体" w:cs="黑体"/>
          <w:sz w:val="27"/>
          <w:szCs w:val="27"/>
        </w:rPr>
        <w:sectPr>
          <w:footerReference r:id="rId430" w:type="default"/>
          <w:pgSz w:w="11910" w:h="17130"/>
          <w:pgMar w:top="1428" w:right="804" w:bottom="1677" w:left="1609" w:header="0" w:footer="1460" w:gutter="0"/>
          <w:cols w:space="720" w:num="1"/>
        </w:sectPr>
      </w:pPr>
    </w:p>
    <w:p w14:paraId="31E70BD2">
      <w:pPr>
        <w:spacing w:before="55" w:line="222" w:lineRule="auto"/>
        <w:outlineLvl w:val="3"/>
        <w:rPr>
          <w:rFonts w:ascii="黑体" w:hAnsi="黑体" w:eastAsia="黑体" w:cs="黑体"/>
          <w:sz w:val="27"/>
          <w:szCs w:val="27"/>
        </w:rPr>
      </w:pPr>
      <w:r>
        <w:rPr>
          <w:rFonts w:ascii="Arial" w:hAnsi="Arial" w:eastAsia="Arial" w:cs="Arial"/>
          <w:b/>
          <w:bCs/>
          <w:spacing w:val="-8"/>
          <w:sz w:val="27"/>
          <w:szCs w:val="27"/>
        </w:rPr>
        <w:t>3</w:t>
      </w:r>
      <w:r>
        <w:rPr>
          <w:rFonts w:ascii="Arial" w:hAnsi="Arial" w:eastAsia="Arial" w:cs="Arial"/>
          <w:b/>
          <w:bCs/>
          <w:spacing w:val="18"/>
          <w:sz w:val="27"/>
          <w:szCs w:val="27"/>
        </w:rPr>
        <w:t xml:space="preserve">   </w:t>
      </w:r>
      <w:r>
        <w:rPr>
          <w:rFonts w:ascii="黑体" w:hAnsi="黑体" w:eastAsia="黑体" w:cs="黑体"/>
          <w:b/>
          <w:bCs/>
          <w:spacing w:val="-8"/>
          <w:sz w:val="27"/>
          <w:szCs w:val="27"/>
        </w:rPr>
        <w:t>数据与信息的收集、分析与处理</w:t>
      </w:r>
    </w:p>
    <w:p w14:paraId="206D6E27">
      <w:pPr>
        <w:pStyle w:val="2"/>
        <w:spacing w:before="119" w:line="219" w:lineRule="auto"/>
        <w:ind w:left="570"/>
      </w:pPr>
      <w:r>
        <w:rPr>
          <w:spacing w:val="4"/>
        </w:rPr>
        <w:t>详细说明数据与信息的来源及分析与处理程序和过</w:t>
      </w:r>
      <w:r>
        <w:rPr>
          <w:spacing w:val="3"/>
        </w:rPr>
        <w:t>程。</w:t>
      </w:r>
    </w:p>
    <w:p w14:paraId="6A167F36">
      <w:pPr>
        <w:spacing w:before="93" w:line="222" w:lineRule="auto"/>
        <w:rPr>
          <w:rFonts w:ascii="黑体" w:hAnsi="黑体" w:eastAsia="黑体" w:cs="黑体"/>
          <w:sz w:val="27"/>
          <w:szCs w:val="27"/>
        </w:rPr>
      </w:pPr>
      <w:r>
        <w:rPr>
          <w:rFonts w:ascii="黑体" w:hAnsi="黑体" w:eastAsia="黑体" w:cs="黑体"/>
          <w:spacing w:val="3"/>
          <w:sz w:val="27"/>
          <w:szCs w:val="27"/>
        </w:rPr>
        <w:t xml:space="preserve">4  </w:t>
      </w:r>
      <w:r>
        <w:rPr>
          <w:rFonts w:ascii="黑体" w:hAnsi="黑体" w:eastAsia="黑体" w:cs="黑体"/>
          <w:b/>
          <w:bCs/>
          <w:spacing w:val="3"/>
          <w:sz w:val="27"/>
          <w:szCs w:val="27"/>
        </w:rPr>
        <w:t>分析评价过程</w:t>
      </w:r>
    </w:p>
    <w:p w14:paraId="56F0EA39">
      <w:pPr>
        <w:pStyle w:val="2"/>
        <w:spacing w:before="128" w:line="218" w:lineRule="auto"/>
        <w:ind w:left="570"/>
      </w:pPr>
      <w:r>
        <w:rPr>
          <w:spacing w:val="-7"/>
        </w:rPr>
        <w:t>说明分析评价方法、程序和过程。</w:t>
      </w:r>
    </w:p>
    <w:p w14:paraId="2767347A">
      <w:pPr>
        <w:spacing w:before="127" w:line="222"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分析评价结论</w:t>
      </w:r>
    </w:p>
    <w:p w14:paraId="74FC9D31">
      <w:pPr>
        <w:pStyle w:val="2"/>
        <w:spacing w:before="119" w:line="218" w:lineRule="auto"/>
        <w:ind w:left="570"/>
      </w:pPr>
      <w:r>
        <w:rPr>
          <w:spacing w:val="4"/>
        </w:rPr>
        <w:t>依据评价准则得出产品是否满足规定维修性要求的结论。</w:t>
      </w:r>
    </w:p>
    <w:p w14:paraId="57945CD1">
      <w:pPr>
        <w:spacing w:before="110" w:line="223" w:lineRule="auto"/>
        <w:rPr>
          <w:rFonts w:ascii="黑体" w:hAnsi="黑体" w:eastAsia="黑体" w:cs="黑体"/>
          <w:sz w:val="27"/>
          <w:szCs w:val="27"/>
        </w:rPr>
      </w:pPr>
      <w:r>
        <w:rPr>
          <w:rFonts w:ascii="黑体" w:hAnsi="黑体" w:eastAsia="黑体" w:cs="黑体"/>
          <w:spacing w:val="-7"/>
          <w:sz w:val="27"/>
          <w:szCs w:val="27"/>
        </w:rPr>
        <w:t>6</w:t>
      </w:r>
      <w:r>
        <w:rPr>
          <w:rFonts w:ascii="黑体" w:hAnsi="黑体" w:eastAsia="黑体" w:cs="黑体"/>
          <w:spacing w:val="11"/>
          <w:sz w:val="27"/>
          <w:szCs w:val="27"/>
        </w:rPr>
        <w:t xml:space="preserve">  </w:t>
      </w:r>
      <w:r>
        <w:rPr>
          <w:rFonts w:ascii="黑体" w:hAnsi="黑体" w:eastAsia="黑体" w:cs="黑体"/>
          <w:b/>
          <w:bCs/>
          <w:spacing w:val="-7"/>
          <w:sz w:val="27"/>
          <w:szCs w:val="27"/>
        </w:rPr>
        <w:t>纠正措施</w:t>
      </w:r>
    </w:p>
    <w:p w14:paraId="0C86AB68">
      <w:pPr>
        <w:pStyle w:val="2"/>
        <w:spacing w:before="128" w:line="219" w:lineRule="auto"/>
        <w:ind w:left="570"/>
      </w:pPr>
      <w:r>
        <w:t>对维修性验证试验中发现的维修性设计缺陷，分析原因并制定纠正措施。</w:t>
      </w:r>
    </w:p>
    <w:p w14:paraId="09DB1CF5">
      <w:pPr>
        <w:spacing w:before="133" w:line="222" w:lineRule="auto"/>
        <w:rPr>
          <w:rFonts w:ascii="黑体" w:hAnsi="黑体" w:eastAsia="黑体" w:cs="黑体"/>
          <w:sz w:val="24"/>
          <w:szCs w:val="24"/>
        </w:rPr>
      </w:pPr>
      <w:r>
        <w:rPr>
          <w:rFonts w:ascii="黑体" w:hAnsi="黑体" w:eastAsia="黑体" w:cs="黑体"/>
          <w:spacing w:val="20"/>
          <w:sz w:val="24"/>
          <w:szCs w:val="24"/>
        </w:rPr>
        <w:t>7</w:t>
      </w:r>
      <w:r>
        <w:rPr>
          <w:rFonts w:ascii="黑体" w:hAnsi="黑体" w:eastAsia="黑体" w:cs="黑体"/>
          <w:spacing w:val="32"/>
          <w:sz w:val="24"/>
          <w:szCs w:val="24"/>
        </w:rPr>
        <w:t xml:space="preserve">  </w:t>
      </w:r>
      <w:r>
        <w:rPr>
          <w:rFonts w:ascii="黑体" w:hAnsi="黑体" w:eastAsia="黑体" w:cs="黑体"/>
          <w:b/>
          <w:bCs/>
          <w:spacing w:val="20"/>
          <w:sz w:val="24"/>
          <w:szCs w:val="24"/>
        </w:rPr>
        <w:t>改进建议</w:t>
      </w:r>
    </w:p>
    <w:p w14:paraId="43638323">
      <w:pPr>
        <w:pStyle w:val="2"/>
        <w:spacing w:before="128" w:line="219" w:lineRule="auto"/>
        <w:ind w:left="570"/>
      </w:pPr>
      <w:r>
        <w:rPr>
          <w:spacing w:val="4"/>
        </w:rPr>
        <w:t>根据维修性验证试验情况提出维修性改进建议。</w:t>
      </w:r>
    </w:p>
    <w:p w14:paraId="2280AB86">
      <w:pPr>
        <w:spacing w:line="368" w:lineRule="auto"/>
        <w:rPr>
          <w:rFonts w:ascii="Arial"/>
          <w:sz w:val="21"/>
        </w:rPr>
      </w:pPr>
    </w:p>
    <w:p w14:paraId="28D85C36">
      <w:pPr>
        <w:pStyle w:val="2"/>
        <w:spacing w:before="114" w:line="218" w:lineRule="auto"/>
        <w:ind w:left="2889"/>
        <w:rPr>
          <w:sz w:val="35"/>
          <w:szCs w:val="35"/>
        </w:rPr>
      </w:pPr>
      <w:r>
        <w:rPr>
          <w:spacing w:val="4"/>
          <w:sz w:val="35"/>
          <w:szCs w:val="35"/>
        </w:rPr>
        <w:t>8.19</w:t>
      </w:r>
      <w:r>
        <w:rPr>
          <w:spacing w:val="49"/>
          <w:sz w:val="35"/>
          <w:szCs w:val="35"/>
        </w:rPr>
        <w:t xml:space="preserve">  </w:t>
      </w:r>
      <w:r>
        <w:rPr>
          <w:b/>
          <w:bCs/>
          <w:spacing w:val="4"/>
          <w:sz w:val="35"/>
          <w:szCs w:val="35"/>
        </w:rPr>
        <w:t>维修性评估报告</w:t>
      </w:r>
    </w:p>
    <w:p w14:paraId="5DFD1E96">
      <w:pPr>
        <w:spacing w:line="423" w:lineRule="auto"/>
        <w:rPr>
          <w:rFonts w:ascii="Arial"/>
          <w:sz w:val="21"/>
        </w:rPr>
      </w:pPr>
    </w:p>
    <w:p w14:paraId="07584702">
      <w:pPr>
        <w:pStyle w:val="2"/>
        <w:spacing w:before="79" w:line="223" w:lineRule="auto"/>
        <w:ind w:left="57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10"/>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2072—1994</w:t>
      </w:r>
      <w:r>
        <w:rPr>
          <w:spacing w:val="9"/>
          <w:sz w:val="24"/>
          <w:szCs w:val="24"/>
        </w:rPr>
        <w:t>《</w:t>
      </w:r>
      <w:r>
        <w:rPr>
          <w:rFonts w:ascii="楷体" w:hAnsi="楷体" w:eastAsia="楷体" w:cs="楷体"/>
          <w:spacing w:val="9"/>
          <w:sz w:val="24"/>
          <w:szCs w:val="24"/>
        </w:rPr>
        <w:t>维修性试验与评定》编写。</w:t>
      </w:r>
    </w:p>
    <w:p w14:paraId="6E5E9660">
      <w:pPr>
        <w:spacing w:before="134"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7"/>
          <w:sz w:val="27"/>
          <w:szCs w:val="27"/>
        </w:rPr>
        <w:t xml:space="preserve">  </w:t>
      </w:r>
      <w:r>
        <w:rPr>
          <w:rFonts w:ascii="黑体" w:hAnsi="黑体" w:eastAsia="黑体" w:cs="黑体"/>
          <w:b/>
          <w:bCs/>
          <w:spacing w:val="-8"/>
          <w:sz w:val="27"/>
          <w:szCs w:val="27"/>
        </w:rPr>
        <w:t>范围</w:t>
      </w:r>
    </w:p>
    <w:p w14:paraId="6EB0DF47">
      <w:pPr>
        <w:spacing w:before="141" w:line="222" w:lineRule="auto"/>
        <w:rPr>
          <w:rFonts w:ascii="黑体" w:hAnsi="黑体" w:eastAsia="黑体" w:cs="黑体"/>
          <w:sz w:val="27"/>
          <w:szCs w:val="27"/>
        </w:rPr>
      </w:pPr>
      <w:r>
        <w:rPr>
          <w:rFonts w:ascii="Arial" w:hAnsi="Arial" w:eastAsia="Arial" w:cs="Arial"/>
          <w:b/>
          <w:bCs/>
          <w:spacing w:val="-3"/>
          <w:sz w:val="27"/>
          <w:szCs w:val="27"/>
        </w:rPr>
        <w:t>2</w:t>
      </w:r>
      <w:r>
        <w:rPr>
          <w:rFonts w:ascii="Arial" w:hAnsi="Arial" w:eastAsia="Arial" w:cs="Arial"/>
          <w:b/>
          <w:bCs/>
          <w:spacing w:val="15"/>
          <w:sz w:val="27"/>
          <w:szCs w:val="27"/>
        </w:rPr>
        <w:t xml:space="preserve">   </w:t>
      </w:r>
      <w:r>
        <w:rPr>
          <w:rFonts w:ascii="黑体" w:hAnsi="黑体" w:eastAsia="黑体" w:cs="黑体"/>
          <w:b/>
          <w:bCs/>
          <w:spacing w:val="-3"/>
          <w:sz w:val="27"/>
          <w:szCs w:val="27"/>
        </w:rPr>
        <w:t>引用文件</w:t>
      </w:r>
    </w:p>
    <w:p w14:paraId="7FC7A2FE">
      <w:pPr>
        <w:spacing w:before="185" w:line="221" w:lineRule="auto"/>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31"/>
          <w:sz w:val="24"/>
          <w:szCs w:val="24"/>
        </w:rPr>
        <w:t xml:space="preserve">  </w:t>
      </w:r>
      <w:r>
        <w:rPr>
          <w:rFonts w:ascii="黑体" w:hAnsi="黑体" w:eastAsia="黑体" w:cs="黑体"/>
          <w:b/>
          <w:bCs/>
          <w:spacing w:val="-7"/>
          <w:sz w:val="24"/>
          <w:szCs w:val="24"/>
        </w:rPr>
        <w:t>概</w:t>
      </w:r>
      <w:r>
        <w:rPr>
          <w:rFonts w:ascii="黑体" w:hAnsi="黑体" w:eastAsia="黑体" w:cs="黑体"/>
          <w:spacing w:val="-55"/>
          <w:sz w:val="24"/>
          <w:szCs w:val="24"/>
        </w:rPr>
        <w:t xml:space="preserve"> </w:t>
      </w:r>
      <w:r>
        <w:rPr>
          <w:rFonts w:ascii="黑体" w:hAnsi="黑体" w:eastAsia="黑体" w:cs="黑体"/>
          <w:b/>
          <w:bCs/>
          <w:spacing w:val="-7"/>
          <w:sz w:val="24"/>
          <w:szCs w:val="24"/>
        </w:rPr>
        <w:t>述</w:t>
      </w:r>
    </w:p>
    <w:p w14:paraId="45C8EEF4">
      <w:pPr>
        <w:pStyle w:val="2"/>
        <w:spacing w:before="119" w:line="219" w:lineRule="auto"/>
        <w:ind w:left="570"/>
      </w:pPr>
      <w:r>
        <w:rPr>
          <w:spacing w:val="-3"/>
        </w:rPr>
        <w:t>说明产品组成、功能与工作原理等内容。</w:t>
      </w:r>
    </w:p>
    <w:p w14:paraId="4A0F5C27">
      <w:pPr>
        <w:spacing w:before="124" w:line="222" w:lineRule="auto"/>
        <w:rPr>
          <w:rFonts w:ascii="黑体" w:hAnsi="黑体" w:eastAsia="黑体" w:cs="黑体"/>
          <w:sz w:val="27"/>
          <w:szCs w:val="27"/>
        </w:rPr>
      </w:pPr>
      <w:r>
        <w:rPr>
          <w:rFonts w:ascii="黑体" w:hAnsi="黑体" w:eastAsia="黑体" w:cs="黑体"/>
          <w:spacing w:val="1"/>
          <w:sz w:val="27"/>
          <w:szCs w:val="27"/>
        </w:rPr>
        <w:t xml:space="preserve">4  </w:t>
      </w:r>
      <w:r>
        <w:rPr>
          <w:rFonts w:ascii="黑体" w:hAnsi="黑体" w:eastAsia="黑体" w:cs="黑体"/>
          <w:b/>
          <w:bCs/>
          <w:spacing w:val="1"/>
          <w:sz w:val="27"/>
          <w:szCs w:val="27"/>
        </w:rPr>
        <w:t>维修性要求</w:t>
      </w:r>
    </w:p>
    <w:p w14:paraId="5504C42C">
      <w:pPr>
        <w:spacing w:before="175" w:line="222" w:lineRule="auto"/>
        <w:rPr>
          <w:rFonts w:ascii="黑体" w:hAnsi="黑体" w:eastAsia="黑体" w:cs="黑体"/>
          <w:sz w:val="25"/>
          <w:szCs w:val="25"/>
        </w:rPr>
      </w:pPr>
      <w:r>
        <w:rPr>
          <w:rFonts w:ascii="黑体" w:hAnsi="黑体" w:eastAsia="黑体" w:cs="黑体"/>
          <w:spacing w:val="15"/>
          <w:sz w:val="25"/>
          <w:szCs w:val="25"/>
        </w:rPr>
        <w:t>4.1</w:t>
      </w:r>
      <w:r>
        <w:rPr>
          <w:rFonts w:ascii="黑体" w:hAnsi="黑体" w:eastAsia="黑体" w:cs="黑体"/>
          <w:spacing w:val="52"/>
          <w:sz w:val="25"/>
          <w:szCs w:val="25"/>
        </w:rPr>
        <w:t xml:space="preserve">  </w:t>
      </w:r>
      <w:r>
        <w:rPr>
          <w:rFonts w:ascii="黑体" w:hAnsi="黑体" w:eastAsia="黑体" w:cs="黑体"/>
          <w:b/>
          <w:bCs/>
          <w:spacing w:val="15"/>
          <w:sz w:val="25"/>
          <w:szCs w:val="25"/>
        </w:rPr>
        <w:t>维修性定性要求</w:t>
      </w:r>
    </w:p>
    <w:p w14:paraId="5B3BA556">
      <w:pPr>
        <w:pStyle w:val="2"/>
        <w:spacing w:before="116" w:line="219" w:lineRule="auto"/>
        <w:ind w:left="570"/>
      </w:pPr>
      <w:r>
        <w:rPr>
          <w:spacing w:val="3"/>
        </w:rPr>
        <w:t>说明经论证确定的产品维修性定性要求。</w:t>
      </w:r>
    </w:p>
    <w:p w14:paraId="7A77F07E">
      <w:pPr>
        <w:spacing w:before="93" w:line="222" w:lineRule="auto"/>
        <w:rPr>
          <w:rFonts w:ascii="黑体" w:hAnsi="黑体" w:eastAsia="黑体" w:cs="黑体"/>
          <w:sz w:val="27"/>
          <w:szCs w:val="27"/>
        </w:rPr>
      </w:pPr>
      <w:r>
        <w:rPr>
          <w:rFonts w:ascii="黑体" w:hAnsi="黑体" w:eastAsia="黑体" w:cs="黑体"/>
          <w:spacing w:val="-3"/>
          <w:sz w:val="27"/>
          <w:szCs w:val="27"/>
        </w:rPr>
        <w:t>4.2</w:t>
      </w:r>
      <w:r>
        <w:rPr>
          <w:rFonts w:ascii="黑体" w:hAnsi="黑体" w:eastAsia="黑体" w:cs="黑体"/>
          <w:spacing w:val="47"/>
          <w:sz w:val="27"/>
          <w:szCs w:val="27"/>
        </w:rPr>
        <w:t xml:space="preserve">  </w:t>
      </w:r>
      <w:r>
        <w:rPr>
          <w:rFonts w:ascii="黑体" w:hAnsi="黑体" w:eastAsia="黑体" w:cs="黑体"/>
          <w:b/>
          <w:bCs/>
          <w:spacing w:val="-3"/>
          <w:sz w:val="27"/>
          <w:szCs w:val="27"/>
        </w:rPr>
        <w:t>维修性定量要求</w:t>
      </w:r>
    </w:p>
    <w:p w14:paraId="53F6C45D">
      <w:pPr>
        <w:pStyle w:val="2"/>
        <w:spacing w:before="122" w:line="219" w:lineRule="auto"/>
        <w:ind w:left="570"/>
      </w:pPr>
      <w:r>
        <w:rPr>
          <w:spacing w:val="3"/>
        </w:rPr>
        <w:t>说明经论证确定的产品维修性定量要求。</w:t>
      </w:r>
    </w:p>
    <w:p w14:paraId="61C4755E">
      <w:pPr>
        <w:spacing w:before="74" w:line="222" w:lineRule="auto"/>
        <w:outlineLvl w:val="3"/>
        <w:rPr>
          <w:rFonts w:ascii="黑体" w:hAnsi="黑体" w:eastAsia="黑体" w:cs="黑体"/>
          <w:sz w:val="27"/>
          <w:szCs w:val="27"/>
        </w:rPr>
      </w:pPr>
      <w:r>
        <w:rPr>
          <w:rFonts w:ascii="Arial" w:hAnsi="Arial" w:eastAsia="Arial" w:cs="Arial"/>
          <w:b/>
          <w:bCs/>
          <w:spacing w:val="-3"/>
          <w:sz w:val="27"/>
          <w:szCs w:val="27"/>
        </w:rPr>
        <w:t>5</w:t>
      </w:r>
      <w:r>
        <w:rPr>
          <w:rFonts w:ascii="Arial" w:hAnsi="Arial" w:eastAsia="Arial" w:cs="Arial"/>
          <w:b/>
          <w:bCs/>
          <w:spacing w:val="18"/>
          <w:w w:val="101"/>
          <w:sz w:val="27"/>
          <w:szCs w:val="27"/>
        </w:rPr>
        <w:t xml:space="preserve">   </w:t>
      </w:r>
      <w:r>
        <w:rPr>
          <w:rFonts w:ascii="黑体" w:hAnsi="黑体" w:eastAsia="黑体" w:cs="黑体"/>
          <w:b/>
          <w:bCs/>
          <w:spacing w:val="-3"/>
          <w:sz w:val="27"/>
          <w:szCs w:val="27"/>
        </w:rPr>
        <w:t>维修性工作内容</w:t>
      </w:r>
    </w:p>
    <w:p w14:paraId="6D3FF495">
      <w:pPr>
        <w:pStyle w:val="2"/>
        <w:spacing w:before="101" w:line="219" w:lineRule="auto"/>
        <w:ind w:left="570"/>
      </w:pPr>
      <w:r>
        <w:rPr>
          <w:spacing w:val="-2"/>
        </w:rPr>
        <w:t>说明维修性工作计划的执行情况，总结维修性工作内</w:t>
      </w:r>
      <w:r>
        <w:rPr>
          <w:spacing w:val="-3"/>
        </w:rPr>
        <w:t>容。</w:t>
      </w:r>
    </w:p>
    <w:p w14:paraId="1CCF3ABA">
      <w:pPr>
        <w:spacing w:before="94" w:line="222"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维修性验证情况</w:t>
      </w:r>
    </w:p>
    <w:p w14:paraId="6364CD6D">
      <w:pPr>
        <w:pStyle w:val="2"/>
        <w:spacing w:before="78" w:line="218" w:lineRule="auto"/>
        <w:ind w:left="570"/>
      </w:pPr>
      <w:r>
        <w:rPr>
          <w:spacing w:val="-8"/>
        </w:rPr>
        <w:t>说明维修性验证计划的执行情况，总结维修性的核查、验证、评价工作。</w:t>
      </w:r>
    </w:p>
    <w:p w14:paraId="7CAA7031">
      <w:pPr>
        <w:spacing w:before="105" w:line="226" w:lineRule="auto"/>
        <w:rPr>
          <w:rFonts w:ascii="黑体" w:hAnsi="黑体" w:eastAsia="黑体" w:cs="黑体"/>
          <w:sz w:val="27"/>
          <w:szCs w:val="27"/>
        </w:rPr>
      </w:pPr>
      <w:r>
        <w:rPr>
          <w:rFonts w:ascii="黑体" w:hAnsi="黑体" w:eastAsia="黑体" w:cs="黑体"/>
          <w:spacing w:val="-8"/>
          <w:sz w:val="27"/>
          <w:szCs w:val="27"/>
        </w:rPr>
        <w:t>7</w:t>
      </w:r>
      <w:r>
        <w:rPr>
          <w:rFonts w:ascii="黑体" w:hAnsi="黑体" w:eastAsia="黑体" w:cs="黑体"/>
          <w:spacing w:val="10"/>
          <w:sz w:val="27"/>
          <w:szCs w:val="27"/>
        </w:rPr>
        <w:t xml:space="preserve">  </w:t>
      </w:r>
      <w:r>
        <w:rPr>
          <w:rFonts w:ascii="黑体" w:hAnsi="黑体" w:eastAsia="黑体" w:cs="黑体"/>
          <w:b/>
          <w:bCs/>
          <w:spacing w:val="-8"/>
          <w:sz w:val="27"/>
          <w:szCs w:val="27"/>
        </w:rPr>
        <w:t>结论</w:t>
      </w:r>
    </w:p>
    <w:p w14:paraId="4AFB3ED1">
      <w:pPr>
        <w:pStyle w:val="2"/>
        <w:spacing w:before="86" w:line="281" w:lineRule="auto"/>
        <w:ind w:right="1" w:firstLine="570"/>
      </w:pPr>
      <w:r>
        <w:rPr>
          <w:spacing w:val="-3"/>
        </w:rPr>
        <w:t>根据得到的相关信息，对装备维修性作出综合评价，得出是否满足规定的维</w:t>
      </w:r>
      <w:r>
        <w:t xml:space="preserve"> </w:t>
      </w:r>
      <w:r>
        <w:rPr>
          <w:spacing w:val="-8"/>
        </w:rPr>
        <w:t>修性要求的结论。包括维修性要求达到的程度、人员、物资利用、</w:t>
      </w:r>
      <w:r>
        <w:rPr>
          <w:spacing w:val="-9"/>
        </w:rPr>
        <w:t>经费等。</w:t>
      </w:r>
    </w:p>
    <w:p w14:paraId="5C107070">
      <w:pPr>
        <w:pStyle w:val="2"/>
        <w:spacing w:before="1" w:line="289" w:lineRule="auto"/>
        <w:ind w:firstLine="570"/>
      </w:pPr>
      <w:r>
        <w:rPr>
          <w:spacing w:val="5"/>
        </w:rPr>
        <w:t>利用维修性核对表评定装备满足维修性定性要求的程度。核对表至少应包</w:t>
      </w:r>
      <w:r>
        <w:rPr>
          <w:spacing w:val="11"/>
        </w:rPr>
        <w:t xml:space="preserve"> </w:t>
      </w:r>
      <w:r>
        <w:rPr>
          <w:spacing w:val="1"/>
        </w:rPr>
        <w:t>括以下各方面的内容：</w:t>
      </w:r>
    </w:p>
    <w:p w14:paraId="00B3E4BF">
      <w:pPr>
        <w:spacing w:line="289" w:lineRule="auto"/>
        <w:sectPr>
          <w:footerReference r:id="rId431" w:type="default"/>
          <w:pgSz w:w="11910" w:h="17130"/>
          <w:pgMar w:top="1402" w:right="1467" w:bottom="1740" w:left="1059" w:header="0" w:footer="1542" w:gutter="0"/>
          <w:cols w:space="720" w:num="1"/>
        </w:sectPr>
      </w:pPr>
    </w:p>
    <w:p w14:paraId="52658831">
      <w:pPr>
        <w:pStyle w:val="2"/>
        <w:spacing w:before="48" w:line="219" w:lineRule="auto"/>
        <w:ind w:left="550"/>
        <w:rPr>
          <w:sz w:val="24"/>
          <w:szCs w:val="24"/>
        </w:rPr>
      </w:pPr>
      <w:r>
        <w:rPr>
          <w:rFonts w:ascii="Times New Roman" w:hAnsi="Times New Roman" w:eastAsia="Times New Roman" w:cs="Times New Roman"/>
          <w:spacing w:val="28"/>
          <w:sz w:val="24"/>
          <w:szCs w:val="24"/>
        </w:rPr>
        <w:t xml:space="preserve">a </w:t>
      </w:r>
      <w:r>
        <w:rPr>
          <w:spacing w:val="28"/>
          <w:sz w:val="24"/>
          <w:szCs w:val="24"/>
        </w:rPr>
        <w:t>)维修可达性；</w:t>
      </w:r>
    </w:p>
    <w:p w14:paraId="317BC799">
      <w:pPr>
        <w:pStyle w:val="2"/>
        <w:spacing w:before="68" w:line="212" w:lineRule="auto"/>
        <w:ind w:left="550"/>
        <w:rPr>
          <w:sz w:val="24"/>
          <w:szCs w:val="24"/>
        </w:rPr>
      </w:pPr>
      <w:r>
        <w:rPr>
          <w:rFonts w:ascii="Times New Roman" w:hAnsi="Times New Roman" w:eastAsia="Times New Roman" w:cs="Times New Roman"/>
          <w:spacing w:val="25"/>
          <w:sz w:val="24"/>
          <w:szCs w:val="24"/>
        </w:rPr>
        <w:t>b)</w:t>
      </w:r>
      <w:r>
        <w:rPr>
          <w:rFonts w:ascii="Times New Roman" w:hAnsi="Times New Roman" w:eastAsia="Times New Roman" w:cs="Times New Roman"/>
          <w:spacing w:val="24"/>
          <w:w w:val="101"/>
          <w:sz w:val="24"/>
          <w:szCs w:val="24"/>
        </w:rPr>
        <w:t xml:space="preserve">  </w:t>
      </w:r>
      <w:r>
        <w:rPr>
          <w:spacing w:val="25"/>
          <w:sz w:val="24"/>
          <w:szCs w:val="24"/>
        </w:rPr>
        <w:t>标准化与互换性；</w:t>
      </w:r>
    </w:p>
    <w:p w14:paraId="399A30C4">
      <w:pPr>
        <w:pStyle w:val="2"/>
        <w:spacing w:before="134" w:line="212" w:lineRule="auto"/>
        <w:ind w:left="550"/>
        <w:rPr>
          <w:sz w:val="24"/>
          <w:szCs w:val="24"/>
        </w:rPr>
      </w:pPr>
      <w:r>
        <w:rPr>
          <w:rFonts w:ascii="Times New Roman" w:hAnsi="Times New Roman" w:eastAsia="Times New Roman" w:cs="Times New Roman"/>
          <w:spacing w:val="27"/>
          <w:sz w:val="24"/>
          <w:szCs w:val="24"/>
        </w:rPr>
        <w:t xml:space="preserve">c)  </w:t>
      </w:r>
      <w:r>
        <w:rPr>
          <w:spacing w:val="27"/>
          <w:sz w:val="24"/>
          <w:szCs w:val="24"/>
        </w:rPr>
        <w:t>检测诊断的方便性与快速性；</w:t>
      </w:r>
    </w:p>
    <w:p w14:paraId="6443E8A8">
      <w:pPr>
        <w:pStyle w:val="2"/>
        <w:spacing w:before="92" w:line="212" w:lineRule="auto"/>
        <w:ind w:left="550"/>
      </w:pPr>
      <w:r>
        <w:rPr>
          <w:rFonts w:ascii="Times New Roman" w:hAnsi="Times New Roman" w:eastAsia="Times New Roman" w:cs="Times New Roman"/>
          <w:spacing w:val="-1"/>
        </w:rPr>
        <w:t>d)</w:t>
      </w:r>
      <w:r>
        <w:rPr>
          <w:rFonts w:ascii="Times New Roman" w:hAnsi="Times New Roman" w:eastAsia="Times New Roman" w:cs="Times New Roman"/>
          <w:spacing w:val="11"/>
        </w:rPr>
        <w:t xml:space="preserve">  </w:t>
      </w:r>
      <w:r>
        <w:rPr>
          <w:spacing w:val="-1"/>
        </w:rPr>
        <w:t>维修安全性；</w:t>
      </w:r>
    </w:p>
    <w:p w14:paraId="57645B35">
      <w:pPr>
        <w:pStyle w:val="2"/>
        <w:spacing w:before="141" w:line="220" w:lineRule="auto"/>
        <w:ind w:left="550"/>
      </w:pPr>
      <w:r>
        <w:rPr>
          <w:rFonts w:ascii="Times New Roman" w:hAnsi="Times New Roman" w:eastAsia="Times New Roman" w:cs="Times New Roman"/>
        </w:rPr>
        <w:t>e</w:t>
      </w:r>
      <w:r>
        <w:rPr>
          <w:rFonts w:ascii="Times New Roman" w:hAnsi="Times New Roman" w:eastAsia="Times New Roman" w:cs="Times New Roman"/>
          <w:spacing w:val="-25"/>
        </w:rPr>
        <w:t xml:space="preserve"> </w:t>
      </w:r>
      <w:r>
        <w:t>)</w:t>
      </w:r>
      <w:r>
        <w:rPr>
          <w:spacing w:val="-49"/>
        </w:rPr>
        <w:t xml:space="preserve"> </w:t>
      </w:r>
      <w:r>
        <w:t>防差错措施与识别标记；</w:t>
      </w:r>
    </w:p>
    <w:p w14:paraId="3B6CD812">
      <w:pPr>
        <w:pStyle w:val="2"/>
        <w:spacing w:before="56" w:line="212" w:lineRule="auto"/>
        <w:ind w:left="550"/>
      </w:pPr>
      <w:r>
        <w:rPr>
          <w:rFonts w:ascii="Times New Roman" w:hAnsi="Times New Roman" w:eastAsia="Times New Roman" w:cs="Times New Roman"/>
          <w:spacing w:val="1"/>
        </w:rPr>
        <w:t xml:space="preserve">f)  </w:t>
      </w:r>
      <w:r>
        <w:rPr>
          <w:spacing w:val="1"/>
        </w:rPr>
        <w:t>人素工程要求等。</w:t>
      </w:r>
    </w:p>
    <w:p w14:paraId="3EC313E1">
      <w:pPr>
        <w:pStyle w:val="2"/>
        <w:spacing w:before="100" w:line="289" w:lineRule="auto"/>
        <w:ind w:right="100" w:firstLine="550"/>
      </w:pPr>
      <w:r>
        <w:rPr>
          <w:spacing w:val="-2"/>
        </w:rPr>
        <w:t>维修性定量要求应通过试验完成实际维修作业，</w:t>
      </w:r>
      <w:r>
        <w:rPr>
          <w:spacing w:val="-3"/>
        </w:rPr>
        <w:t>统计计算维修性参数，进行</w:t>
      </w:r>
      <w:r>
        <w:t xml:space="preserve"> </w:t>
      </w:r>
      <w:r>
        <w:rPr>
          <w:spacing w:val="-2"/>
        </w:rPr>
        <w:t>判决。</w:t>
      </w:r>
    </w:p>
    <w:p w14:paraId="4E4BAEA1">
      <w:pPr>
        <w:pStyle w:val="2"/>
        <w:spacing w:before="354" w:line="219" w:lineRule="auto"/>
        <w:ind w:left="1770"/>
        <w:rPr>
          <w:sz w:val="36"/>
          <w:szCs w:val="36"/>
        </w:rPr>
      </w:pPr>
      <w:r>
        <w:rPr>
          <w:spacing w:val="3"/>
          <w:sz w:val="36"/>
          <w:szCs w:val="36"/>
        </w:rPr>
        <w:t xml:space="preserve">8.20  </w:t>
      </w:r>
      <w:r>
        <w:rPr>
          <w:b/>
          <w:bCs/>
          <w:spacing w:val="3"/>
          <w:sz w:val="36"/>
          <w:szCs w:val="36"/>
        </w:rPr>
        <w:t>使用期间维修性信息收集计划</w:t>
      </w:r>
    </w:p>
    <w:p w14:paraId="4A59E0C9">
      <w:pPr>
        <w:spacing w:line="304" w:lineRule="auto"/>
        <w:rPr>
          <w:rFonts w:ascii="Arial"/>
          <w:sz w:val="21"/>
        </w:rPr>
      </w:pPr>
    </w:p>
    <w:p w14:paraId="59D0C920">
      <w:pPr>
        <w:pStyle w:val="2"/>
        <w:spacing w:before="92" w:line="223" w:lineRule="auto"/>
        <w:ind w:left="554"/>
        <w:rPr>
          <w:rFonts w:ascii="楷体" w:hAnsi="楷体" w:eastAsia="楷体" w:cs="楷体"/>
          <w:sz w:val="28"/>
          <w:szCs w:val="28"/>
        </w:rPr>
      </w:pPr>
      <w:r>
        <w:rPr>
          <w:rFonts w:ascii="楷体" w:hAnsi="楷体" w:eastAsia="楷体" w:cs="楷体"/>
          <w:b/>
          <w:bCs/>
          <w:spacing w:val="-11"/>
          <w:sz w:val="28"/>
          <w:szCs w:val="28"/>
        </w:rPr>
        <w:t>按照</w:t>
      </w:r>
      <w:r>
        <w:rPr>
          <w:rFonts w:ascii="Times New Roman" w:hAnsi="Times New Roman" w:eastAsia="Times New Roman" w:cs="Times New Roman"/>
          <w:b/>
          <w:bCs/>
          <w:spacing w:val="-11"/>
          <w:sz w:val="28"/>
          <w:szCs w:val="28"/>
        </w:rPr>
        <w:t>G</w:t>
      </w:r>
      <w:r>
        <w:rPr>
          <w:rFonts w:ascii="Times New Roman" w:hAnsi="Times New Roman" w:eastAsia="Times New Roman" w:cs="Times New Roman"/>
          <w:spacing w:val="-11"/>
          <w:sz w:val="28"/>
          <w:szCs w:val="28"/>
        </w:rPr>
        <w:t>JB 368B—2009</w:t>
      </w:r>
      <w:r>
        <w:rPr>
          <w:spacing w:val="-11"/>
          <w:sz w:val="28"/>
          <w:szCs w:val="28"/>
        </w:rPr>
        <w:t>《</w:t>
      </w:r>
      <w:r>
        <w:rPr>
          <w:rFonts w:ascii="楷体" w:hAnsi="楷体" w:eastAsia="楷体" w:cs="楷体"/>
          <w:spacing w:val="-11"/>
          <w:sz w:val="28"/>
          <w:szCs w:val="28"/>
        </w:rPr>
        <w:t>装备维修性工作通用要求》编写。</w:t>
      </w:r>
    </w:p>
    <w:p w14:paraId="73797AE4">
      <w:pPr>
        <w:spacing w:before="114" w:line="223" w:lineRule="auto"/>
        <w:rPr>
          <w:rFonts w:ascii="黑体" w:hAnsi="黑体" w:eastAsia="黑体" w:cs="黑体"/>
          <w:sz w:val="24"/>
          <w:szCs w:val="24"/>
        </w:rPr>
      </w:pPr>
      <w:r>
        <w:rPr>
          <w:rFonts w:ascii="黑体" w:hAnsi="黑体" w:eastAsia="黑体" w:cs="黑体"/>
          <w:spacing w:val="-14"/>
          <w:sz w:val="24"/>
          <w:szCs w:val="24"/>
        </w:rPr>
        <w:t>1</w:t>
      </w:r>
      <w:r>
        <w:rPr>
          <w:rFonts w:ascii="黑体" w:hAnsi="黑体" w:eastAsia="黑体" w:cs="黑体"/>
          <w:spacing w:val="43"/>
          <w:sz w:val="24"/>
          <w:szCs w:val="24"/>
        </w:rPr>
        <w:t xml:space="preserve">  </w:t>
      </w:r>
      <w:r>
        <w:rPr>
          <w:rFonts w:ascii="黑体" w:hAnsi="黑体" w:eastAsia="黑体" w:cs="黑体"/>
          <w:b/>
          <w:bCs/>
          <w:spacing w:val="-14"/>
          <w:sz w:val="24"/>
          <w:szCs w:val="24"/>
        </w:rPr>
        <w:t>范</w:t>
      </w:r>
      <w:r>
        <w:rPr>
          <w:rFonts w:ascii="黑体" w:hAnsi="黑体" w:eastAsia="黑体" w:cs="黑体"/>
          <w:spacing w:val="-16"/>
          <w:sz w:val="24"/>
          <w:szCs w:val="24"/>
        </w:rPr>
        <w:t xml:space="preserve"> </w:t>
      </w:r>
      <w:r>
        <w:rPr>
          <w:rFonts w:ascii="黑体" w:hAnsi="黑体" w:eastAsia="黑体" w:cs="黑体"/>
          <w:b/>
          <w:bCs/>
          <w:spacing w:val="-14"/>
          <w:sz w:val="24"/>
          <w:szCs w:val="24"/>
        </w:rPr>
        <w:t>围</w:t>
      </w:r>
    </w:p>
    <w:p w14:paraId="1E415345">
      <w:pPr>
        <w:spacing w:before="118" w:line="222" w:lineRule="auto"/>
        <w:rPr>
          <w:rFonts w:ascii="黑体" w:hAnsi="黑体" w:eastAsia="黑体" w:cs="黑体"/>
          <w:sz w:val="24"/>
          <w:szCs w:val="24"/>
        </w:rPr>
      </w:pPr>
      <w:r>
        <w:rPr>
          <w:rFonts w:ascii="黑体" w:hAnsi="黑体" w:eastAsia="黑体" w:cs="黑体"/>
          <w:spacing w:val="23"/>
          <w:sz w:val="24"/>
          <w:szCs w:val="24"/>
        </w:rPr>
        <w:t>2</w:t>
      </w:r>
      <w:r>
        <w:rPr>
          <w:rFonts w:ascii="黑体" w:hAnsi="黑体" w:eastAsia="黑体" w:cs="黑体"/>
          <w:spacing w:val="35"/>
          <w:sz w:val="24"/>
          <w:szCs w:val="24"/>
        </w:rPr>
        <w:t xml:space="preserve">  </w:t>
      </w:r>
      <w:r>
        <w:rPr>
          <w:rFonts w:ascii="黑体" w:hAnsi="黑体" w:eastAsia="黑体" w:cs="黑体"/>
          <w:b/>
          <w:bCs/>
          <w:spacing w:val="23"/>
          <w:sz w:val="24"/>
          <w:szCs w:val="24"/>
        </w:rPr>
        <w:t>引用文件</w:t>
      </w:r>
    </w:p>
    <w:p w14:paraId="49445800">
      <w:pPr>
        <w:spacing w:before="120" w:line="221" w:lineRule="auto"/>
        <w:rPr>
          <w:rFonts w:ascii="黑体" w:hAnsi="黑体" w:eastAsia="黑体" w:cs="黑体"/>
          <w:sz w:val="24"/>
          <w:szCs w:val="24"/>
        </w:rPr>
      </w:pPr>
      <w:r>
        <w:rPr>
          <w:rFonts w:ascii="黑体" w:hAnsi="黑体" w:eastAsia="黑体" w:cs="黑体"/>
          <w:spacing w:val="29"/>
          <w:sz w:val="24"/>
          <w:szCs w:val="24"/>
        </w:rPr>
        <w:t>3</w:t>
      </w:r>
      <w:r>
        <w:rPr>
          <w:rFonts w:ascii="黑体" w:hAnsi="黑体" w:eastAsia="黑体" w:cs="黑体"/>
          <w:spacing w:val="39"/>
          <w:sz w:val="24"/>
          <w:szCs w:val="24"/>
        </w:rPr>
        <w:t xml:space="preserve">  </w:t>
      </w:r>
      <w:r>
        <w:rPr>
          <w:rFonts w:ascii="黑体" w:hAnsi="黑体" w:eastAsia="黑体" w:cs="黑体"/>
          <w:b/>
          <w:bCs/>
          <w:spacing w:val="29"/>
          <w:sz w:val="24"/>
          <w:szCs w:val="24"/>
        </w:rPr>
        <w:t>信息收集和分析机构设置及职责</w:t>
      </w:r>
    </w:p>
    <w:p w14:paraId="34720A65">
      <w:pPr>
        <w:pStyle w:val="2"/>
        <w:spacing w:before="90" w:line="275" w:lineRule="auto"/>
        <w:ind w:right="112" w:firstLine="550"/>
      </w:pPr>
      <w:r>
        <w:rPr>
          <w:spacing w:val="6"/>
        </w:rPr>
        <w:t>建立严格的信息管理和责任制度。明确规定信息</w:t>
      </w:r>
      <w:r>
        <w:rPr>
          <w:spacing w:val="5"/>
        </w:rPr>
        <w:t>收集与核实、信息分析与</w:t>
      </w:r>
      <w:r>
        <w:t xml:space="preserve"> </w:t>
      </w:r>
      <w:r>
        <w:rPr>
          <w:spacing w:val="-7"/>
        </w:rPr>
        <w:t>处理、信息传递与反馈的部门、单位及其人员的职责。</w:t>
      </w:r>
    </w:p>
    <w:p w14:paraId="743B85FC">
      <w:pPr>
        <w:spacing w:before="1" w:line="220" w:lineRule="auto"/>
        <w:ind w:left="3"/>
        <w:outlineLvl w:val="3"/>
        <w:rPr>
          <w:rFonts w:ascii="黑体" w:hAnsi="黑体" w:eastAsia="黑体" w:cs="黑体"/>
          <w:sz w:val="27"/>
          <w:szCs w:val="27"/>
        </w:rPr>
      </w:pPr>
      <w:r>
        <w:rPr>
          <w:rFonts w:ascii="黑体" w:hAnsi="黑体" w:eastAsia="黑体" w:cs="黑体"/>
          <w:b/>
          <w:bCs/>
          <w:spacing w:val="1"/>
          <w:sz w:val="27"/>
          <w:szCs w:val="27"/>
        </w:rPr>
        <w:t>4</w:t>
      </w:r>
      <w:r>
        <w:rPr>
          <w:rFonts w:ascii="黑体" w:hAnsi="黑体" w:eastAsia="黑体" w:cs="黑体"/>
          <w:spacing w:val="1"/>
          <w:sz w:val="27"/>
          <w:szCs w:val="27"/>
        </w:rPr>
        <w:t xml:space="preserve">  </w:t>
      </w:r>
      <w:r>
        <w:rPr>
          <w:rFonts w:ascii="黑体" w:hAnsi="黑体" w:eastAsia="黑体" w:cs="黑体"/>
          <w:b/>
          <w:bCs/>
          <w:spacing w:val="1"/>
          <w:sz w:val="27"/>
          <w:szCs w:val="27"/>
        </w:rPr>
        <w:t>管理与监督要求</w:t>
      </w:r>
    </w:p>
    <w:p w14:paraId="3261DEBF">
      <w:pPr>
        <w:pStyle w:val="2"/>
        <w:spacing w:before="113" w:line="268" w:lineRule="auto"/>
        <w:ind w:right="115" w:firstLine="550"/>
      </w:pPr>
      <w:r>
        <w:rPr>
          <w:spacing w:val="5"/>
        </w:rPr>
        <w:t>组成专门小组的人员设置及其职责，包括相关保密规定。定期对维修性信</w:t>
      </w:r>
      <w:r>
        <w:rPr>
          <w:spacing w:val="18"/>
        </w:rPr>
        <w:t xml:space="preserve"> </w:t>
      </w:r>
      <w:r>
        <w:rPr>
          <w:spacing w:val="-13"/>
        </w:rPr>
        <w:t>息的收集、分析、存储、传递等工作进行评审的安排。</w:t>
      </w:r>
    </w:p>
    <w:p w14:paraId="6E82B176">
      <w:pPr>
        <w:spacing w:before="1" w:line="220" w:lineRule="auto"/>
        <w:outlineLvl w:val="3"/>
        <w:rPr>
          <w:rFonts w:ascii="黑体" w:hAnsi="黑体" w:eastAsia="黑体" w:cs="黑体"/>
          <w:sz w:val="27"/>
          <w:szCs w:val="27"/>
        </w:rPr>
      </w:pPr>
      <w:r>
        <w:rPr>
          <w:rFonts w:ascii="Arial" w:hAnsi="Arial" w:eastAsia="Arial" w:cs="Arial"/>
          <w:b/>
          <w:bCs/>
          <w:spacing w:val="-9"/>
          <w:sz w:val="27"/>
          <w:szCs w:val="27"/>
        </w:rPr>
        <w:t>5</w:t>
      </w:r>
      <w:r>
        <w:rPr>
          <w:rFonts w:ascii="Arial" w:hAnsi="Arial" w:eastAsia="Arial" w:cs="Arial"/>
          <w:b/>
          <w:bCs/>
          <w:spacing w:val="20"/>
          <w:sz w:val="27"/>
          <w:szCs w:val="27"/>
        </w:rPr>
        <w:t xml:space="preserve">   </w:t>
      </w:r>
      <w:r>
        <w:rPr>
          <w:rFonts w:ascii="黑体" w:hAnsi="黑体" w:eastAsia="黑体" w:cs="黑体"/>
          <w:b/>
          <w:bCs/>
          <w:spacing w:val="-9"/>
          <w:sz w:val="27"/>
          <w:szCs w:val="27"/>
        </w:rPr>
        <w:t>信息收集的范围、方法和程序</w:t>
      </w:r>
    </w:p>
    <w:p w14:paraId="5BED0BF1">
      <w:pPr>
        <w:pStyle w:val="2"/>
        <w:spacing w:before="101" w:line="275" w:lineRule="auto"/>
        <w:ind w:firstLine="550"/>
        <w:jc w:val="both"/>
      </w:pPr>
      <w:r>
        <w:rPr>
          <w:spacing w:val="6"/>
        </w:rPr>
        <w:t>对使用期间维修性评价及其他维修性工作的</w:t>
      </w:r>
      <w:r>
        <w:rPr>
          <w:spacing w:val="5"/>
        </w:rPr>
        <w:t>维修性信息需求进行分析，确</w:t>
      </w:r>
      <w:r>
        <w:t xml:space="preserve"> </w:t>
      </w:r>
      <w:r>
        <w:rPr>
          <w:spacing w:val="1"/>
        </w:rPr>
        <w:t>定维修性信息收集的范围、内容和程序等。维修性信息一般应包括：维修类</w:t>
      </w:r>
      <w:r>
        <w:t xml:space="preserve">别； </w:t>
      </w:r>
      <w:r>
        <w:rPr>
          <w:spacing w:val="-16"/>
        </w:rPr>
        <w:t>维修级别；维修程度；维修方法；维修时间；维修</w:t>
      </w:r>
      <w:r>
        <w:rPr>
          <w:spacing w:val="-17"/>
        </w:rPr>
        <w:t>日期；维修工时；维修费用；人员</w:t>
      </w:r>
      <w:r>
        <w:t xml:space="preserve"> </w:t>
      </w:r>
      <w:r>
        <w:rPr>
          <w:spacing w:val="-11"/>
        </w:rPr>
        <w:t>专业技术水平；维修性缺陷；维修单位等。</w:t>
      </w:r>
    </w:p>
    <w:p w14:paraId="0C8C415A">
      <w:pPr>
        <w:spacing w:before="17" w:line="221" w:lineRule="auto"/>
        <w:rPr>
          <w:rFonts w:ascii="黑体" w:hAnsi="黑体" w:eastAsia="黑体" w:cs="黑体"/>
          <w:sz w:val="27"/>
          <w:szCs w:val="27"/>
        </w:rPr>
      </w:pPr>
      <w:r>
        <w:rPr>
          <w:rFonts w:ascii="黑体" w:hAnsi="黑体" w:eastAsia="黑体" w:cs="黑体"/>
          <w:spacing w:val="-11"/>
          <w:sz w:val="27"/>
          <w:szCs w:val="27"/>
        </w:rPr>
        <w:t xml:space="preserve">6  </w:t>
      </w:r>
      <w:r>
        <w:rPr>
          <w:rFonts w:ascii="黑体" w:hAnsi="黑体" w:eastAsia="黑体" w:cs="黑体"/>
          <w:b/>
          <w:bCs/>
          <w:spacing w:val="-11"/>
          <w:sz w:val="27"/>
          <w:szCs w:val="27"/>
        </w:rPr>
        <w:t>信息分析、处理、传递的要求和方法</w:t>
      </w:r>
    </w:p>
    <w:p w14:paraId="67B7DD1D">
      <w:pPr>
        <w:pStyle w:val="2"/>
        <w:spacing w:before="121" w:line="219" w:lineRule="auto"/>
        <w:ind w:left="550"/>
        <w:rPr>
          <w:sz w:val="25"/>
          <w:szCs w:val="25"/>
        </w:rPr>
      </w:pPr>
      <w:r>
        <w:rPr>
          <w:spacing w:val="8"/>
          <w:sz w:val="25"/>
          <w:szCs w:val="25"/>
        </w:rPr>
        <w:t>明确信息分析、处理、传递的要求和方法。</w:t>
      </w:r>
    </w:p>
    <w:p w14:paraId="5052F437">
      <w:pPr>
        <w:spacing w:before="79" w:line="221"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23"/>
          <w:w w:val="101"/>
          <w:sz w:val="27"/>
          <w:szCs w:val="27"/>
        </w:rPr>
        <w:t xml:space="preserve">   </w:t>
      </w:r>
      <w:r>
        <w:rPr>
          <w:rFonts w:ascii="黑体" w:hAnsi="黑体" w:eastAsia="黑体" w:cs="黑体"/>
          <w:b/>
          <w:bCs/>
          <w:spacing w:val="1"/>
          <w:sz w:val="27"/>
          <w:szCs w:val="27"/>
        </w:rPr>
        <w:t>信息分类与维修性缺陷判断准则</w:t>
      </w:r>
    </w:p>
    <w:p w14:paraId="695D4AD5">
      <w:pPr>
        <w:pStyle w:val="2"/>
        <w:spacing w:before="94" w:line="219" w:lineRule="auto"/>
        <w:ind w:left="550"/>
      </w:pPr>
      <w:r>
        <w:rPr>
          <w:spacing w:val="3"/>
        </w:rPr>
        <w:t>明确信息分类与维修性缺陷判断准则。</w:t>
      </w:r>
    </w:p>
    <w:p w14:paraId="25CFBD2D">
      <w:pPr>
        <w:spacing w:before="75" w:line="222" w:lineRule="auto"/>
        <w:rPr>
          <w:rFonts w:ascii="黑体" w:hAnsi="黑体" w:eastAsia="黑体" w:cs="黑体"/>
          <w:sz w:val="27"/>
          <w:szCs w:val="27"/>
        </w:rPr>
      </w:pPr>
      <w:r>
        <w:rPr>
          <w:rFonts w:ascii="黑体" w:hAnsi="黑体" w:eastAsia="黑体" w:cs="黑体"/>
          <w:spacing w:val="-10"/>
          <w:sz w:val="27"/>
          <w:szCs w:val="27"/>
        </w:rPr>
        <w:t>8</w:t>
      </w:r>
      <w:r>
        <w:rPr>
          <w:rFonts w:ascii="黑体" w:hAnsi="黑体" w:eastAsia="黑体" w:cs="黑体"/>
          <w:spacing w:val="14"/>
          <w:sz w:val="27"/>
          <w:szCs w:val="27"/>
        </w:rPr>
        <w:t xml:space="preserve">  </w:t>
      </w:r>
      <w:r>
        <w:rPr>
          <w:rFonts w:ascii="黑体" w:hAnsi="黑体" w:eastAsia="黑体" w:cs="黑体"/>
          <w:b/>
          <w:bCs/>
          <w:spacing w:val="-10"/>
          <w:sz w:val="27"/>
          <w:szCs w:val="27"/>
        </w:rPr>
        <w:t>信息审核、汇总的安排</w:t>
      </w:r>
    </w:p>
    <w:p w14:paraId="5ECAF324">
      <w:pPr>
        <w:pStyle w:val="2"/>
        <w:spacing w:before="110" w:line="219" w:lineRule="auto"/>
        <w:ind w:left="550"/>
      </w:pPr>
      <w:r>
        <w:rPr>
          <w:spacing w:val="-4"/>
        </w:rPr>
        <w:t>明确定期进行信息审核、汇总的要求及安排。</w:t>
      </w:r>
    </w:p>
    <w:p w14:paraId="3EB3D214">
      <w:pPr>
        <w:spacing w:before="64" w:line="222" w:lineRule="auto"/>
        <w:rPr>
          <w:rFonts w:ascii="黑体" w:hAnsi="黑体" w:eastAsia="黑体" w:cs="黑体"/>
          <w:sz w:val="27"/>
          <w:szCs w:val="27"/>
        </w:rPr>
      </w:pPr>
      <w:r>
        <w:rPr>
          <w:rFonts w:ascii="黑体" w:hAnsi="黑体" w:eastAsia="黑体" w:cs="黑体"/>
          <w:spacing w:val="2"/>
          <w:sz w:val="27"/>
          <w:szCs w:val="27"/>
        </w:rPr>
        <w:t xml:space="preserve">9  </w:t>
      </w:r>
      <w:r>
        <w:rPr>
          <w:rFonts w:ascii="黑体" w:hAnsi="黑体" w:eastAsia="黑体" w:cs="黑体"/>
          <w:b/>
          <w:bCs/>
          <w:spacing w:val="2"/>
          <w:sz w:val="27"/>
          <w:szCs w:val="27"/>
        </w:rPr>
        <w:t>信息收集工作与其他工作的协调</w:t>
      </w:r>
    </w:p>
    <w:p w14:paraId="273F8B53">
      <w:pPr>
        <w:pStyle w:val="2"/>
        <w:spacing w:before="91" w:line="282" w:lineRule="auto"/>
        <w:ind w:right="119" w:firstLine="550"/>
      </w:pPr>
      <w:r>
        <w:rPr>
          <w:spacing w:val="-3"/>
        </w:rPr>
        <w:t>说明使用期间维修性信息收集与可靠性、测试性、保障性信息收集工作的协</w:t>
      </w:r>
      <w:r>
        <w:rPr>
          <w:spacing w:val="2"/>
        </w:rPr>
        <w:t xml:space="preserve"> </w:t>
      </w:r>
      <w:r>
        <w:rPr>
          <w:spacing w:val="-3"/>
        </w:rPr>
        <w:t>调内容。</w:t>
      </w:r>
    </w:p>
    <w:p w14:paraId="5C876E51">
      <w:pPr>
        <w:spacing w:line="282" w:lineRule="auto"/>
        <w:sectPr>
          <w:footerReference r:id="rId432" w:type="default"/>
          <w:pgSz w:w="11910" w:h="17130"/>
          <w:pgMar w:top="1421" w:right="925" w:bottom="1729" w:left="1499" w:header="0" w:footer="1549" w:gutter="0"/>
          <w:cols w:space="720" w:num="1"/>
        </w:sectPr>
      </w:pPr>
    </w:p>
    <w:p w14:paraId="07830ACB">
      <w:pPr>
        <w:spacing w:line="285" w:lineRule="auto"/>
        <w:rPr>
          <w:rFonts w:ascii="Arial"/>
          <w:sz w:val="21"/>
        </w:rPr>
      </w:pPr>
    </w:p>
    <w:p w14:paraId="02BA3A36">
      <w:pPr>
        <w:pStyle w:val="2"/>
        <w:spacing w:before="117" w:line="219" w:lineRule="auto"/>
        <w:ind w:left="1549"/>
        <w:rPr>
          <w:sz w:val="36"/>
          <w:szCs w:val="36"/>
        </w:rPr>
      </w:pPr>
      <w:r>
        <w:rPr>
          <w:spacing w:val="3"/>
          <w:sz w:val="36"/>
          <w:szCs w:val="36"/>
        </w:rPr>
        <w:t xml:space="preserve">8.21  </w:t>
      </w:r>
      <w:r>
        <w:rPr>
          <w:b/>
          <w:bCs/>
          <w:spacing w:val="3"/>
          <w:sz w:val="36"/>
          <w:szCs w:val="36"/>
        </w:rPr>
        <w:t>使用期间维修性信息分类和编码</w:t>
      </w:r>
    </w:p>
    <w:p w14:paraId="04C0FE4F">
      <w:pPr>
        <w:spacing w:line="307" w:lineRule="auto"/>
        <w:rPr>
          <w:rFonts w:ascii="Arial"/>
          <w:sz w:val="21"/>
        </w:rPr>
      </w:pPr>
    </w:p>
    <w:p w14:paraId="31F3A1F8">
      <w:pPr>
        <w:pStyle w:val="2"/>
        <w:spacing w:before="82" w:line="226" w:lineRule="auto"/>
        <w:ind w:left="550"/>
        <w:rPr>
          <w:rFonts w:ascii="楷体" w:hAnsi="楷体" w:eastAsia="楷体" w:cs="楷体"/>
          <w:sz w:val="25"/>
          <w:szCs w:val="25"/>
        </w:rPr>
      </w:pPr>
      <w:r>
        <w:rPr>
          <w:rFonts w:ascii="楷体" w:hAnsi="楷体" w:eastAsia="楷体" w:cs="楷体"/>
          <w:spacing w:val="11"/>
          <w:sz w:val="25"/>
          <w:szCs w:val="25"/>
        </w:rPr>
        <w:t>按</w:t>
      </w:r>
      <w:r>
        <w:rPr>
          <w:rFonts w:ascii="楷体" w:hAnsi="楷体" w:eastAsia="楷体" w:cs="楷体"/>
          <w:spacing w:val="-24"/>
          <w:sz w:val="25"/>
          <w:szCs w:val="25"/>
        </w:rPr>
        <w:t xml:space="preserve"> </w:t>
      </w:r>
      <w:r>
        <w:rPr>
          <w:rFonts w:ascii="楷体" w:hAnsi="楷体" w:eastAsia="楷体" w:cs="楷体"/>
          <w:spacing w:val="11"/>
          <w:sz w:val="25"/>
          <w:szCs w:val="25"/>
        </w:rPr>
        <w:t>照</w:t>
      </w:r>
      <w:r>
        <w:rPr>
          <w:rFonts w:ascii="Times New Roman" w:hAnsi="Times New Roman" w:eastAsia="Times New Roman" w:cs="Times New Roman"/>
          <w:sz w:val="25"/>
          <w:szCs w:val="25"/>
        </w:rPr>
        <w:t>GJB</w:t>
      </w:r>
      <w:r>
        <w:rPr>
          <w:rFonts w:ascii="Times New Roman" w:hAnsi="Times New Roman" w:eastAsia="Times New Roman" w:cs="Times New Roman"/>
          <w:spacing w:val="11"/>
          <w:sz w:val="25"/>
          <w:szCs w:val="25"/>
        </w:rPr>
        <w:t xml:space="preserve">   1775—1993</w:t>
      </w:r>
      <w:r>
        <w:rPr>
          <w:spacing w:val="11"/>
          <w:sz w:val="25"/>
          <w:szCs w:val="25"/>
        </w:rPr>
        <w:t>《</w:t>
      </w:r>
      <w:r>
        <w:rPr>
          <w:rFonts w:ascii="楷体" w:hAnsi="楷体" w:eastAsia="楷体" w:cs="楷体"/>
          <w:spacing w:val="11"/>
          <w:sz w:val="25"/>
          <w:szCs w:val="25"/>
        </w:rPr>
        <w:t>装备质量与</w:t>
      </w:r>
      <w:r>
        <w:rPr>
          <w:rFonts w:ascii="楷体" w:hAnsi="楷体" w:eastAsia="楷体" w:cs="楷体"/>
          <w:spacing w:val="10"/>
          <w:sz w:val="25"/>
          <w:szCs w:val="25"/>
        </w:rPr>
        <w:t>可靠性信息分类和编码通用要求》编写。</w:t>
      </w:r>
    </w:p>
    <w:p w14:paraId="66607209">
      <w:pPr>
        <w:spacing w:before="113"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30"/>
          <w:sz w:val="25"/>
          <w:szCs w:val="25"/>
        </w:rPr>
        <w:t xml:space="preserve">  </w:t>
      </w:r>
      <w:r>
        <w:rPr>
          <w:rFonts w:ascii="黑体" w:hAnsi="黑体" w:eastAsia="黑体" w:cs="黑体"/>
          <w:b/>
          <w:bCs/>
          <w:spacing w:val="3"/>
          <w:sz w:val="25"/>
          <w:szCs w:val="25"/>
        </w:rPr>
        <w:t>范围</w:t>
      </w:r>
    </w:p>
    <w:p w14:paraId="141BE56E">
      <w:pPr>
        <w:spacing w:before="115" w:line="222" w:lineRule="auto"/>
        <w:rPr>
          <w:rFonts w:ascii="黑体" w:hAnsi="黑体" w:eastAsia="黑体" w:cs="黑体"/>
          <w:sz w:val="25"/>
          <w:szCs w:val="25"/>
        </w:rPr>
      </w:pPr>
      <w:r>
        <w:rPr>
          <w:rFonts w:ascii="黑体" w:hAnsi="黑体" w:eastAsia="黑体" w:cs="黑体"/>
          <w:spacing w:val="17"/>
          <w:sz w:val="25"/>
          <w:szCs w:val="25"/>
        </w:rPr>
        <w:t>2</w:t>
      </w:r>
      <w:r>
        <w:rPr>
          <w:rFonts w:ascii="黑体" w:hAnsi="黑体" w:eastAsia="黑体" w:cs="黑体"/>
          <w:spacing w:val="23"/>
          <w:sz w:val="25"/>
          <w:szCs w:val="25"/>
        </w:rPr>
        <w:t xml:space="preserve">  </w:t>
      </w:r>
      <w:r>
        <w:rPr>
          <w:rFonts w:ascii="黑体" w:hAnsi="黑体" w:eastAsia="黑体" w:cs="黑体"/>
          <w:b/>
          <w:bCs/>
          <w:spacing w:val="17"/>
          <w:sz w:val="25"/>
          <w:szCs w:val="25"/>
        </w:rPr>
        <w:t>引用文件</w:t>
      </w:r>
    </w:p>
    <w:p w14:paraId="1D627C0B">
      <w:pPr>
        <w:spacing w:before="118" w:line="221" w:lineRule="auto"/>
        <w:rPr>
          <w:rFonts w:ascii="黑体" w:hAnsi="黑体" w:eastAsia="黑体" w:cs="黑体"/>
          <w:sz w:val="25"/>
          <w:szCs w:val="25"/>
        </w:rPr>
      </w:pPr>
      <w:r>
        <w:rPr>
          <w:rFonts w:ascii="Arial" w:hAnsi="Arial" w:eastAsia="Arial" w:cs="Arial"/>
          <w:b/>
          <w:bCs/>
          <w:spacing w:val="17"/>
          <w:sz w:val="25"/>
          <w:szCs w:val="25"/>
        </w:rPr>
        <w:t>3</w:t>
      </w:r>
      <w:r>
        <w:rPr>
          <w:rFonts w:ascii="Arial" w:hAnsi="Arial" w:eastAsia="Arial" w:cs="Arial"/>
          <w:b/>
          <w:bCs/>
          <w:spacing w:val="1"/>
          <w:sz w:val="25"/>
          <w:szCs w:val="25"/>
        </w:rPr>
        <w:t xml:space="preserve">    </w:t>
      </w:r>
      <w:r>
        <w:rPr>
          <w:rFonts w:ascii="黑体" w:hAnsi="黑体" w:eastAsia="黑体" w:cs="黑体"/>
          <w:b/>
          <w:bCs/>
          <w:spacing w:val="17"/>
          <w:sz w:val="25"/>
          <w:szCs w:val="25"/>
        </w:rPr>
        <w:t>信息分类</w:t>
      </w:r>
    </w:p>
    <w:p w14:paraId="20536F98">
      <w:pPr>
        <w:pStyle w:val="2"/>
        <w:spacing w:before="106" w:line="283" w:lineRule="auto"/>
        <w:ind w:right="114" w:firstLine="550"/>
      </w:pPr>
      <w:r>
        <w:rPr>
          <w:spacing w:val="6"/>
        </w:rPr>
        <w:t>在进行使用期间维修性信息需求分析的基础</w:t>
      </w:r>
      <w:r>
        <w:rPr>
          <w:spacing w:val="5"/>
        </w:rPr>
        <w:t>上，依据该类武器装备制定的</w:t>
      </w:r>
      <w:r>
        <w:t xml:space="preserve"> </w:t>
      </w:r>
      <w:r>
        <w:rPr>
          <w:spacing w:val="-1"/>
        </w:rPr>
        <w:t>有关质量与可靠性信息分类和编码的标准，对信息进行合理分类。</w:t>
      </w:r>
    </w:p>
    <w:p w14:paraId="215A47BE">
      <w:pPr>
        <w:spacing w:before="17" w:line="222" w:lineRule="auto"/>
        <w:rPr>
          <w:rFonts w:ascii="黑体" w:hAnsi="黑体" w:eastAsia="黑体" w:cs="黑体"/>
          <w:sz w:val="24"/>
          <w:szCs w:val="24"/>
        </w:rPr>
      </w:pPr>
      <w:r>
        <w:rPr>
          <w:rFonts w:ascii="黑体" w:hAnsi="黑体" w:eastAsia="黑体" w:cs="黑体"/>
          <w:spacing w:val="28"/>
          <w:sz w:val="24"/>
          <w:szCs w:val="24"/>
        </w:rPr>
        <w:t>4</w:t>
      </w:r>
      <w:r>
        <w:rPr>
          <w:rFonts w:ascii="黑体" w:hAnsi="黑体" w:eastAsia="黑体" w:cs="黑体"/>
          <w:spacing w:val="29"/>
          <w:sz w:val="24"/>
          <w:szCs w:val="24"/>
        </w:rPr>
        <w:t xml:space="preserve">  </w:t>
      </w:r>
      <w:r>
        <w:rPr>
          <w:rFonts w:ascii="黑体" w:hAnsi="黑体" w:eastAsia="黑体" w:cs="黑体"/>
          <w:b/>
          <w:bCs/>
          <w:spacing w:val="28"/>
          <w:sz w:val="24"/>
          <w:szCs w:val="24"/>
        </w:rPr>
        <w:t>信息单元的设置</w:t>
      </w:r>
    </w:p>
    <w:p w14:paraId="1641698B">
      <w:pPr>
        <w:pStyle w:val="2"/>
        <w:spacing w:before="98" w:line="275" w:lineRule="auto"/>
        <w:ind w:right="105" w:firstLine="550"/>
        <w:jc w:val="both"/>
      </w:pPr>
      <w:r>
        <w:rPr>
          <w:spacing w:val="6"/>
        </w:rPr>
        <w:t>依据该类武器装备制定的有关质量与可靠性信息分类和编码的标</w:t>
      </w:r>
      <w:r>
        <w:rPr>
          <w:spacing w:val="5"/>
        </w:rPr>
        <w:t>准，其中</w:t>
      </w:r>
      <w:r>
        <w:t xml:space="preserve"> </w:t>
      </w:r>
      <w:r>
        <w:rPr>
          <w:spacing w:val="6"/>
        </w:rPr>
        <w:t>对所需设置的信息单元的要求和规定进行信息</w:t>
      </w:r>
      <w:r>
        <w:rPr>
          <w:spacing w:val="5"/>
        </w:rPr>
        <w:t>单元的设置，在满足信息需求的</w:t>
      </w:r>
      <w:r>
        <w:t xml:space="preserve"> </w:t>
      </w:r>
      <w:r>
        <w:rPr>
          <w:spacing w:val="-5"/>
        </w:rPr>
        <w:t>前提下，尽量减少信息单元的数量。</w:t>
      </w:r>
    </w:p>
    <w:p w14:paraId="5A669F81">
      <w:pPr>
        <w:spacing w:line="223" w:lineRule="auto"/>
        <w:rPr>
          <w:rFonts w:ascii="黑体" w:hAnsi="黑体" w:eastAsia="黑体" w:cs="黑体"/>
          <w:sz w:val="27"/>
          <w:szCs w:val="27"/>
        </w:rPr>
      </w:pPr>
      <w:r>
        <w:rPr>
          <w:rFonts w:ascii="黑体" w:hAnsi="黑体" w:eastAsia="黑体" w:cs="黑体"/>
          <w:spacing w:val="1"/>
          <w:sz w:val="27"/>
          <w:szCs w:val="27"/>
        </w:rPr>
        <w:t>4.1</w:t>
      </w:r>
      <w:r>
        <w:rPr>
          <w:rFonts w:ascii="黑体" w:hAnsi="黑体" w:eastAsia="黑体" w:cs="黑体"/>
          <w:spacing w:val="36"/>
          <w:sz w:val="27"/>
          <w:szCs w:val="27"/>
        </w:rPr>
        <w:t xml:space="preserve">  </w:t>
      </w:r>
      <w:r>
        <w:rPr>
          <w:rFonts w:ascii="黑体" w:hAnsi="黑体" w:eastAsia="黑体" w:cs="黑体"/>
          <w:b/>
          <w:bCs/>
          <w:spacing w:val="1"/>
          <w:sz w:val="27"/>
          <w:szCs w:val="27"/>
        </w:rPr>
        <w:t>与故障有关的信息单元</w:t>
      </w:r>
    </w:p>
    <w:p w14:paraId="3BC9592B">
      <w:pPr>
        <w:pStyle w:val="2"/>
        <w:spacing w:before="87" w:line="219" w:lineRule="auto"/>
        <w:ind w:left="550"/>
      </w:pPr>
      <w:r>
        <w:rPr>
          <w:spacing w:val="-4"/>
        </w:rPr>
        <w:t>说明与产品故障有关的信息单元，至少应包括：</w:t>
      </w:r>
    </w:p>
    <w:p w14:paraId="2EBD1F5B">
      <w:pPr>
        <w:pStyle w:val="2"/>
        <w:spacing w:before="119" w:line="219" w:lineRule="auto"/>
        <w:ind w:left="550"/>
        <w:rPr>
          <w:sz w:val="25"/>
          <w:szCs w:val="25"/>
        </w:rPr>
      </w:pPr>
      <w:r>
        <w:rPr>
          <w:spacing w:val="10"/>
          <w:sz w:val="25"/>
          <w:szCs w:val="25"/>
        </w:rPr>
        <w:t>故障模式，即故障现象。故障的表现形式，如超差代用，修补等。</w:t>
      </w:r>
    </w:p>
    <w:p w14:paraId="1AC50EA9">
      <w:pPr>
        <w:pStyle w:val="2"/>
        <w:spacing w:before="103" w:line="219" w:lineRule="auto"/>
        <w:ind w:left="550"/>
        <w:rPr>
          <w:sz w:val="25"/>
          <w:szCs w:val="25"/>
        </w:rPr>
      </w:pPr>
      <w:r>
        <w:rPr>
          <w:spacing w:val="7"/>
          <w:sz w:val="25"/>
          <w:szCs w:val="25"/>
        </w:rPr>
        <w:t>故障发现日期，即发现故障的日历时间(年、月、日)</w:t>
      </w:r>
    </w:p>
    <w:p w14:paraId="1AD9E4E3">
      <w:pPr>
        <w:pStyle w:val="2"/>
        <w:spacing w:before="94" w:line="277" w:lineRule="auto"/>
        <w:ind w:firstLine="550"/>
      </w:pPr>
      <w:r>
        <w:rPr>
          <w:spacing w:val="-7"/>
        </w:rPr>
        <w:t>故障发现时机，即故障是在什么情况或状态下发现的，如</w:t>
      </w:r>
      <w:r>
        <w:rPr>
          <w:spacing w:val="-8"/>
        </w:rPr>
        <w:t>在检查中、使用中、</w:t>
      </w:r>
      <w:r>
        <w:t xml:space="preserve"> </w:t>
      </w:r>
      <w:r>
        <w:rPr>
          <w:spacing w:val="-1"/>
        </w:rPr>
        <w:t>维护中等。</w:t>
      </w:r>
    </w:p>
    <w:p w14:paraId="211E9531">
      <w:pPr>
        <w:pStyle w:val="2"/>
        <w:spacing w:line="219" w:lineRule="auto"/>
        <w:ind w:left="550"/>
      </w:pPr>
      <w:r>
        <w:rPr>
          <w:spacing w:val="-3"/>
        </w:rPr>
        <w:t>故障前工作时间，即产品故障前的累计工作时间。</w:t>
      </w:r>
    </w:p>
    <w:p w14:paraId="1C9B5FAC">
      <w:pPr>
        <w:pStyle w:val="2"/>
        <w:spacing w:before="88" w:line="219" w:lineRule="auto"/>
        <w:ind w:left="550"/>
      </w:pPr>
      <w:r>
        <w:rPr>
          <w:spacing w:val="-2"/>
        </w:rPr>
        <w:t>故障判明方法，即鉴别或查出故障所采取的措施或</w:t>
      </w:r>
      <w:r>
        <w:rPr>
          <w:spacing w:val="-3"/>
        </w:rPr>
        <w:t>手段。</w:t>
      </w:r>
    </w:p>
    <w:p w14:paraId="1E9F99B0">
      <w:pPr>
        <w:pStyle w:val="2"/>
        <w:spacing w:before="82" w:line="219" w:lineRule="auto"/>
        <w:ind w:left="550"/>
      </w:pPr>
      <w:r>
        <w:rPr>
          <w:spacing w:val="-13"/>
        </w:rPr>
        <w:t>故障原因，即导致故障发生的因素，如虚焊、老化等。</w:t>
      </w:r>
    </w:p>
    <w:p w14:paraId="284ECA9E">
      <w:pPr>
        <w:pStyle w:val="2"/>
        <w:spacing w:before="50" w:line="290" w:lineRule="auto"/>
        <w:ind w:right="118" w:firstLine="550"/>
      </w:pPr>
      <w:r>
        <w:rPr>
          <w:spacing w:val="-3"/>
        </w:rPr>
        <w:t>故障影响，即故障对产品的使用、功能或状态所导致的结果。一般分为对产</w:t>
      </w:r>
      <w:r>
        <w:rPr>
          <w:spacing w:val="4"/>
        </w:rPr>
        <w:t xml:space="preserve"> </w:t>
      </w:r>
      <w:r>
        <w:rPr>
          <w:spacing w:val="-7"/>
        </w:rPr>
        <w:t>品本身、高一层次和最终影响三级。</w:t>
      </w:r>
    </w:p>
    <w:p w14:paraId="3926B50E">
      <w:pPr>
        <w:pStyle w:val="2"/>
        <w:spacing w:before="1" w:line="218" w:lineRule="auto"/>
        <w:ind w:left="550"/>
      </w:pPr>
      <w:r>
        <w:rPr>
          <w:spacing w:val="-14"/>
        </w:rPr>
        <w:t>故障处理，即对故障产品所采取的措施，如换件、调</w:t>
      </w:r>
      <w:r>
        <w:rPr>
          <w:spacing w:val="-15"/>
        </w:rPr>
        <w:t>整、修复等。</w:t>
      </w:r>
    </w:p>
    <w:p w14:paraId="73ADE290">
      <w:pPr>
        <w:pStyle w:val="2"/>
        <w:spacing w:before="100" w:line="275" w:lineRule="auto"/>
        <w:ind w:right="121" w:firstLine="550"/>
      </w:pPr>
      <w:r>
        <w:rPr>
          <w:spacing w:val="-3"/>
        </w:rPr>
        <w:t>故障责任，指引起故障的责任单位或责任人，如果是产品本身问题引起的故</w:t>
      </w:r>
      <w:r>
        <w:t xml:space="preserve"> </w:t>
      </w:r>
      <w:r>
        <w:rPr>
          <w:spacing w:val="-3"/>
        </w:rPr>
        <w:t>障，责任单位为产品的承制单位。如果是产品使用不当引起的故障，责任单位为</w:t>
      </w:r>
      <w:r>
        <w:rPr>
          <w:spacing w:val="17"/>
        </w:rPr>
        <w:t xml:space="preserve"> </w:t>
      </w:r>
      <w:r>
        <w:rPr>
          <w:spacing w:val="-1"/>
        </w:rPr>
        <w:t>使用单位。</w:t>
      </w:r>
    </w:p>
    <w:p w14:paraId="00EBFE9A">
      <w:pPr>
        <w:spacing w:before="1" w:line="221" w:lineRule="auto"/>
        <w:rPr>
          <w:rFonts w:ascii="黑体" w:hAnsi="黑体" w:eastAsia="黑体" w:cs="黑体"/>
          <w:sz w:val="27"/>
          <w:szCs w:val="27"/>
        </w:rPr>
      </w:pPr>
      <w:r>
        <w:rPr>
          <w:rFonts w:ascii="黑体" w:hAnsi="黑体" w:eastAsia="黑体" w:cs="黑体"/>
          <w:spacing w:val="1"/>
          <w:sz w:val="27"/>
          <w:szCs w:val="27"/>
        </w:rPr>
        <w:t>4.2</w:t>
      </w:r>
      <w:r>
        <w:rPr>
          <w:rFonts w:ascii="黑体" w:hAnsi="黑体" w:eastAsia="黑体" w:cs="黑体"/>
          <w:spacing w:val="46"/>
          <w:sz w:val="27"/>
          <w:szCs w:val="27"/>
        </w:rPr>
        <w:t xml:space="preserve">  </w:t>
      </w:r>
      <w:r>
        <w:rPr>
          <w:rFonts w:ascii="黑体" w:hAnsi="黑体" w:eastAsia="黑体" w:cs="黑体"/>
          <w:b/>
          <w:bCs/>
          <w:spacing w:val="1"/>
          <w:sz w:val="27"/>
          <w:szCs w:val="27"/>
        </w:rPr>
        <w:t>与维修有关的信息单元</w:t>
      </w:r>
    </w:p>
    <w:p w14:paraId="5818AD16">
      <w:pPr>
        <w:pStyle w:val="2"/>
        <w:spacing w:before="101" w:line="219" w:lineRule="auto"/>
        <w:ind w:left="550"/>
      </w:pPr>
      <w:r>
        <w:rPr>
          <w:spacing w:val="-4"/>
        </w:rPr>
        <w:t>说明与产品维修有关的信息单元，至少应包括：</w:t>
      </w:r>
    </w:p>
    <w:p w14:paraId="54E9430D">
      <w:pPr>
        <w:pStyle w:val="2"/>
        <w:spacing w:before="109" w:line="297" w:lineRule="auto"/>
        <w:ind w:right="123" w:firstLine="550"/>
        <w:rPr>
          <w:sz w:val="25"/>
          <w:szCs w:val="25"/>
        </w:rPr>
      </w:pPr>
      <w:r>
        <w:rPr>
          <w:spacing w:val="17"/>
          <w:sz w:val="25"/>
          <w:szCs w:val="25"/>
        </w:rPr>
        <w:t>维修类别，即分为预防性维修和修复性维修。通常定时维修、视情维修</w:t>
      </w:r>
      <w:r>
        <w:rPr>
          <w:spacing w:val="16"/>
          <w:sz w:val="25"/>
          <w:szCs w:val="25"/>
        </w:rPr>
        <w:t>属预</w:t>
      </w:r>
      <w:r>
        <w:rPr>
          <w:sz w:val="25"/>
          <w:szCs w:val="25"/>
        </w:rPr>
        <w:t xml:space="preserve"> </w:t>
      </w:r>
      <w:r>
        <w:rPr>
          <w:spacing w:val="12"/>
          <w:sz w:val="25"/>
          <w:szCs w:val="25"/>
        </w:rPr>
        <w:t>防性维修，故障修理属修复性维修。</w:t>
      </w:r>
    </w:p>
    <w:p w14:paraId="591B3315">
      <w:pPr>
        <w:pStyle w:val="2"/>
        <w:spacing w:before="6" w:line="265" w:lineRule="auto"/>
        <w:ind w:right="123" w:firstLine="550"/>
      </w:pPr>
      <w:r>
        <w:rPr>
          <w:spacing w:val="5"/>
        </w:rPr>
        <w:t>维修级别，即按产品维修时所处场所划分的等级，如基层级、中继级和基</w:t>
      </w:r>
      <w:r>
        <w:rPr>
          <w:spacing w:val="10"/>
        </w:rPr>
        <w:t xml:space="preserve"> </w:t>
      </w:r>
      <w:r>
        <w:rPr>
          <w:spacing w:val="-6"/>
        </w:rPr>
        <w:t>地级。</w:t>
      </w:r>
    </w:p>
    <w:p w14:paraId="3C51BA45">
      <w:pPr>
        <w:spacing w:line="265" w:lineRule="auto"/>
        <w:sectPr>
          <w:footerReference r:id="rId433" w:type="default"/>
          <w:pgSz w:w="11910" w:h="17130"/>
          <w:pgMar w:top="1456" w:right="1335" w:bottom="1693" w:left="1090" w:header="0" w:footer="1494" w:gutter="0"/>
          <w:cols w:space="720" w:num="1"/>
        </w:sectPr>
      </w:pPr>
    </w:p>
    <w:p w14:paraId="483FCD6D">
      <w:pPr>
        <w:pStyle w:val="2"/>
        <w:spacing w:before="49" w:line="296" w:lineRule="auto"/>
        <w:ind w:right="76" w:firstLine="560"/>
        <w:rPr>
          <w:sz w:val="25"/>
          <w:szCs w:val="25"/>
        </w:rPr>
      </w:pPr>
      <w:r>
        <w:rPr>
          <w:spacing w:val="17"/>
          <w:sz w:val="25"/>
          <w:szCs w:val="25"/>
        </w:rPr>
        <w:t>维修内容，即使产品保持或恢复到规定状态所进行的活动，即维修活动，它</w:t>
      </w:r>
      <w:r>
        <w:rPr>
          <w:spacing w:val="6"/>
          <w:sz w:val="25"/>
          <w:szCs w:val="25"/>
        </w:rPr>
        <w:t xml:space="preserve"> </w:t>
      </w:r>
      <w:r>
        <w:rPr>
          <w:spacing w:val="22"/>
          <w:sz w:val="25"/>
          <w:szCs w:val="25"/>
        </w:rPr>
        <w:t>包括所必需的一系列基本维修作业。</w:t>
      </w:r>
    </w:p>
    <w:p w14:paraId="6CB82E68">
      <w:pPr>
        <w:pStyle w:val="2"/>
        <w:spacing w:before="1" w:line="280" w:lineRule="auto"/>
        <w:ind w:right="84" w:firstLine="560"/>
      </w:pPr>
      <w:r>
        <w:rPr>
          <w:spacing w:val="-3"/>
        </w:rPr>
        <w:t>维修程度，指产品维修的效果，包括维护程度和修理程度，而修理程度</w:t>
      </w:r>
      <w:r>
        <w:rPr>
          <w:spacing w:val="-4"/>
        </w:rPr>
        <w:t>可进</w:t>
      </w:r>
      <w:r>
        <w:t xml:space="preserve"> </w:t>
      </w:r>
      <w:r>
        <w:rPr>
          <w:spacing w:val="-4"/>
        </w:rPr>
        <w:t>一步分为完全修复、基本修复和未修复。</w:t>
      </w:r>
    </w:p>
    <w:p w14:paraId="2CA9C4FC">
      <w:pPr>
        <w:pStyle w:val="2"/>
        <w:spacing w:line="219" w:lineRule="auto"/>
        <w:ind w:left="560"/>
      </w:pPr>
      <w:r>
        <w:rPr>
          <w:spacing w:val="-11"/>
        </w:rPr>
        <w:t>维修日期，即完成产品维护或修理的日历时间(年、月、日)。</w:t>
      </w:r>
    </w:p>
    <w:p w14:paraId="22FB6E21">
      <w:pPr>
        <w:pStyle w:val="2"/>
        <w:spacing w:before="79" w:line="219" w:lineRule="auto"/>
        <w:ind w:left="560"/>
      </w:pPr>
      <w:r>
        <w:rPr>
          <w:spacing w:val="-2"/>
        </w:rPr>
        <w:t>维修时间，即对产品进行一次维护或修理所花费的总时间。</w:t>
      </w:r>
    </w:p>
    <w:p w14:paraId="1AD4EC9E">
      <w:pPr>
        <w:pStyle w:val="2"/>
        <w:spacing w:before="79" w:line="219" w:lineRule="auto"/>
        <w:ind w:left="560"/>
      </w:pPr>
      <w:r>
        <w:rPr>
          <w:spacing w:val="-2"/>
        </w:rPr>
        <w:t>维修工时，即对产品进行一次维护或修理所花费的总人时数。</w:t>
      </w:r>
    </w:p>
    <w:p w14:paraId="4E20AD6C">
      <w:pPr>
        <w:pStyle w:val="2"/>
        <w:spacing w:before="69" w:line="219" w:lineRule="auto"/>
        <w:ind w:left="560"/>
      </w:pPr>
      <w:r>
        <w:rPr>
          <w:spacing w:val="-2"/>
        </w:rPr>
        <w:t>维修费用，即对产品进行一次维护或修理所花费的总费用。</w:t>
      </w:r>
    </w:p>
    <w:p w14:paraId="6E55D78A">
      <w:pPr>
        <w:pStyle w:val="2"/>
        <w:spacing w:before="80" w:line="219" w:lineRule="auto"/>
        <w:ind w:left="560"/>
      </w:pPr>
      <w:r>
        <w:rPr>
          <w:spacing w:val="-3"/>
        </w:rPr>
        <w:t>维修单位，指承担产品维护或修理任务的单位。</w:t>
      </w:r>
    </w:p>
    <w:p w14:paraId="3062CB45">
      <w:pPr>
        <w:pStyle w:val="2"/>
        <w:spacing w:before="80" w:line="219" w:lineRule="auto"/>
        <w:ind w:left="560"/>
      </w:pPr>
      <w:r>
        <w:rPr>
          <w:spacing w:val="-2"/>
        </w:rPr>
        <w:t>维修人员级别，即对产品进行维护或修理的人员的技术级别。</w:t>
      </w:r>
    </w:p>
    <w:p w14:paraId="01EF5919">
      <w:pPr>
        <w:spacing w:before="133" w:line="221" w:lineRule="auto"/>
        <w:rPr>
          <w:rFonts w:ascii="黑体" w:hAnsi="黑体" w:eastAsia="黑体" w:cs="黑体"/>
          <w:sz w:val="27"/>
          <w:szCs w:val="27"/>
        </w:rPr>
      </w:pPr>
      <w:r>
        <w:rPr>
          <w:rFonts w:ascii="黑体" w:hAnsi="黑体" w:eastAsia="黑体" w:cs="黑体"/>
          <w:spacing w:val="2"/>
          <w:sz w:val="27"/>
          <w:szCs w:val="27"/>
        </w:rPr>
        <w:t xml:space="preserve">4.3  </w:t>
      </w:r>
      <w:r>
        <w:rPr>
          <w:rFonts w:ascii="黑体" w:hAnsi="黑体" w:eastAsia="黑体" w:cs="黑体"/>
          <w:b/>
          <w:bCs/>
          <w:spacing w:val="2"/>
          <w:sz w:val="27"/>
          <w:szCs w:val="27"/>
        </w:rPr>
        <w:t>与维修资源有关的信息单元</w:t>
      </w:r>
    </w:p>
    <w:p w14:paraId="0C65B837">
      <w:pPr>
        <w:pStyle w:val="2"/>
        <w:spacing w:before="93" w:line="219" w:lineRule="auto"/>
        <w:ind w:left="560"/>
      </w:pPr>
      <w:r>
        <w:rPr>
          <w:spacing w:val="-2"/>
        </w:rPr>
        <w:t>根据信息需求分析的结果，设置与维修资源有关的信息单元。</w:t>
      </w:r>
    </w:p>
    <w:p w14:paraId="0CB2A517">
      <w:pPr>
        <w:spacing w:before="77" w:line="223" w:lineRule="auto"/>
        <w:rPr>
          <w:rFonts w:ascii="黑体" w:hAnsi="黑体" w:eastAsia="黑体" w:cs="黑体"/>
          <w:sz w:val="27"/>
          <w:szCs w:val="27"/>
        </w:rPr>
      </w:pPr>
      <w:r>
        <w:rPr>
          <w:rFonts w:ascii="黑体" w:hAnsi="黑体" w:eastAsia="黑体" w:cs="黑体"/>
          <w:spacing w:val="2"/>
          <w:sz w:val="27"/>
          <w:szCs w:val="27"/>
        </w:rPr>
        <w:t xml:space="preserve">4.4  </w:t>
      </w:r>
      <w:r>
        <w:rPr>
          <w:rFonts w:ascii="黑体" w:hAnsi="黑体" w:eastAsia="黑体" w:cs="黑体"/>
          <w:b/>
          <w:bCs/>
          <w:spacing w:val="2"/>
          <w:sz w:val="27"/>
          <w:szCs w:val="27"/>
        </w:rPr>
        <w:t>与××有关的信息单元</w:t>
      </w:r>
    </w:p>
    <w:p w14:paraId="5FA3CD56">
      <w:pPr>
        <w:pStyle w:val="2"/>
        <w:spacing w:before="107" w:line="219" w:lineRule="auto"/>
        <w:ind w:left="560"/>
      </w:pPr>
      <w:r>
        <w:rPr>
          <w:spacing w:val="-2"/>
        </w:rPr>
        <w:t>根据信息需求分析的结果，设置与××有关的信息单元。</w:t>
      </w:r>
    </w:p>
    <w:p w14:paraId="040EDC95">
      <w:pPr>
        <w:spacing w:before="74" w:line="222"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1"/>
          <w:w w:val="101"/>
          <w:sz w:val="27"/>
          <w:szCs w:val="27"/>
        </w:rPr>
        <w:t xml:space="preserve">   </w:t>
      </w:r>
      <w:r>
        <w:rPr>
          <w:rFonts w:ascii="黑体" w:hAnsi="黑体" w:eastAsia="黑体" w:cs="黑体"/>
          <w:b/>
          <w:bCs/>
          <w:spacing w:val="-1"/>
          <w:sz w:val="27"/>
          <w:szCs w:val="27"/>
        </w:rPr>
        <w:t>信息项的预置</w:t>
      </w:r>
    </w:p>
    <w:p w14:paraId="67FE99C6">
      <w:pPr>
        <w:pStyle w:val="2"/>
        <w:spacing w:before="98" w:line="273" w:lineRule="auto"/>
        <w:ind w:firstLine="560"/>
        <w:jc w:val="both"/>
      </w:pPr>
      <w:r>
        <w:rPr>
          <w:spacing w:val="6"/>
        </w:rPr>
        <w:t>依据该类武器装备制定的有关质量与可靠性信</w:t>
      </w:r>
      <w:r>
        <w:rPr>
          <w:spacing w:val="5"/>
        </w:rPr>
        <w:t>息分类和编码的标准，特别</w:t>
      </w:r>
      <w:r>
        <w:t xml:space="preserve"> 是其中对预置信息项的要求和规定，对所设置的信息单元预置一系列的信息项，</w:t>
      </w:r>
      <w:r>
        <w:rPr>
          <w:spacing w:val="4"/>
        </w:rPr>
        <w:t xml:space="preserve"> 并对信息项的含义给予明确的表述。为便于编码，应将描述每一信息单元所预</w:t>
      </w:r>
      <w:r>
        <w:rPr>
          <w:spacing w:val="7"/>
        </w:rPr>
        <w:t xml:space="preserve">  </w:t>
      </w:r>
      <w:r>
        <w:rPr>
          <w:spacing w:val="3"/>
        </w:rPr>
        <w:t>置的一系列信息项按一定的规律和原则进行分类和排序。</w:t>
      </w:r>
    </w:p>
    <w:p w14:paraId="577BCF3E">
      <w:pPr>
        <w:spacing w:before="1" w:line="220"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5"/>
          <w:sz w:val="27"/>
          <w:szCs w:val="27"/>
        </w:rPr>
        <w:t xml:space="preserve">  </w:t>
      </w:r>
      <w:r>
        <w:rPr>
          <w:rFonts w:ascii="黑体" w:hAnsi="黑体" w:eastAsia="黑体" w:cs="黑体"/>
          <w:b/>
          <w:bCs/>
          <w:spacing w:val="-1"/>
          <w:sz w:val="27"/>
          <w:szCs w:val="27"/>
        </w:rPr>
        <w:t>信息编码</w:t>
      </w:r>
    </w:p>
    <w:p w14:paraId="5B838E62">
      <w:pPr>
        <w:pStyle w:val="2"/>
        <w:spacing w:before="113" w:line="277" w:lineRule="auto"/>
        <w:ind w:right="73" w:firstLine="560"/>
        <w:jc w:val="both"/>
      </w:pPr>
      <w:r>
        <w:rPr>
          <w:spacing w:val="6"/>
        </w:rPr>
        <w:t>依据该类武器装备制定的有关质量与可靠性信</w:t>
      </w:r>
      <w:r>
        <w:rPr>
          <w:spacing w:val="5"/>
        </w:rPr>
        <w:t>息分类和编码的标准，特别</w:t>
      </w:r>
      <w:r>
        <w:t xml:space="preserve"> </w:t>
      </w:r>
      <w:r>
        <w:rPr>
          <w:spacing w:val="-3"/>
        </w:rPr>
        <w:t>是其中对采用的代码类型和结构、编码的方法</w:t>
      </w:r>
      <w:r>
        <w:rPr>
          <w:spacing w:val="-4"/>
        </w:rPr>
        <w:t>等的要求和规定进行信息编码，并</w:t>
      </w:r>
      <w:r>
        <w:t xml:space="preserve"> </w:t>
      </w:r>
      <w:r>
        <w:rPr>
          <w:spacing w:val="-4"/>
        </w:rPr>
        <w:t>符合具体型号装备编制的代码手册。设计的代码应具有唯一、简单、合理、适用</w:t>
      </w:r>
      <w:r>
        <w:rPr>
          <w:spacing w:val="9"/>
        </w:rPr>
        <w:t xml:space="preserve"> </w:t>
      </w:r>
      <w:r>
        <w:rPr>
          <w:spacing w:val="-3"/>
        </w:rPr>
        <w:t>等特性，并具有可扩充能力。各类代码之间要协</w:t>
      </w:r>
      <w:r>
        <w:rPr>
          <w:spacing w:val="-4"/>
        </w:rPr>
        <w:t>调、兼容。对直接用数字或字母</w:t>
      </w:r>
      <w:r>
        <w:t xml:space="preserve"> </w:t>
      </w:r>
      <w:r>
        <w:rPr>
          <w:spacing w:val="2"/>
        </w:rPr>
        <w:t>表示的信息项一般不需要编码。</w:t>
      </w:r>
    </w:p>
    <w:p w14:paraId="095F273E">
      <w:pPr>
        <w:spacing w:line="222" w:lineRule="auto"/>
        <w:rPr>
          <w:rFonts w:ascii="黑体" w:hAnsi="黑体" w:eastAsia="黑体" w:cs="黑体"/>
          <w:sz w:val="27"/>
          <w:szCs w:val="27"/>
        </w:rPr>
      </w:pPr>
      <w:r>
        <w:rPr>
          <w:rFonts w:ascii="黑体" w:hAnsi="黑体" w:eastAsia="黑体" w:cs="黑体"/>
          <w:spacing w:val="3"/>
          <w:sz w:val="27"/>
          <w:szCs w:val="27"/>
        </w:rPr>
        <w:t xml:space="preserve">6.1  </w:t>
      </w:r>
      <w:r>
        <w:rPr>
          <w:rFonts w:ascii="黑体" w:hAnsi="黑体" w:eastAsia="黑体" w:cs="黑体"/>
          <w:b/>
          <w:bCs/>
          <w:spacing w:val="3"/>
          <w:sz w:val="27"/>
          <w:szCs w:val="27"/>
        </w:rPr>
        <w:t>产品故障信息代码</w:t>
      </w:r>
    </w:p>
    <w:p w14:paraId="700EEC06">
      <w:pPr>
        <w:pStyle w:val="2"/>
        <w:spacing w:before="110" w:line="219" w:lineRule="auto"/>
        <w:ind w:left="560"/>
      </w:pPr>
      <w:r>
        <w:t>明确产品故障信息代码。</w:t>
      </w:r>
    </w:p>
    <w:p w14:paraId="47DEF326">
      <w:pPr>
        <w:pStyle w:val="2"/>
        <w:spacing w:before="98" w:line="283" w:lineRule="auto"/>
        <w:ind w:right="64" w:firstLine="560"/>
      </w:pPr>
      <w:r>
        <w:rPr>
          <w:spacing w:val="-3"/>
        </w:rPr>
        <w:t>有关故障信息的代码主要有故障模式代码、故障发现时机代码、故障判明方</w:t>
      </w:r>
      <w:r>
        <w:rPr>
          <w:spacing w:val="18"/>
        </w:rPr>
        <w:t xml:space="preserve"> </w:t>
      </w:r>
      <w:r>
        <w:rPr>
          <w:spacing w:val="-12"/>
        </w:rPr>
        <w:t>法代码、故障原因代码、故障影响代码、故障处理代码、故障责任代码等。</w:t>
      </w:r>
    </w:p>
    <w:p w14:paraId="69D31B54">
      <w:pPr>
        <w:pStyle w:val="2"/>
        <w:spacing w:before="3" w:line="277" w:lineRule="auto"/>
        <w:ind w:right="76" w:firstLine="560"/>
      </w:pPr>
      <w:r>
        <w:rPr>
          <w:spacing w:val="-3"/>
        </w:rPr>
        <w:t>应分别根据各类武器装备的情况，按所设置的信息单元，对一系列预置的信</w:t>
      </w:r>
      <w:r>
        <w:rPr>
          <w:spacing w:val="6"/>
        </w:rPr>
        <w:t xml:space="preserve"> </w:t>
      </w:r>
      <w:r>
        <w:rPr>
          <w:spacing w:val="-6"/>
        </w:rPr>
        <w:t>息项进行分类和排序，如果预置的信息项不多，也可以只排</w:t>
      </w:r>
      <w:r>
        <w:rPr>
          <w:spacing w:val="-7"/>
        </w:rPr>
        <w:t>序。</w:t>
      </w:r>
    </w:p>
    <w:p w14:paraId="41F89444">
      <w:pPr>
        <w:pStyle w:val="2"/>
        <w:spacing w:line="219" w:lineRule="auto"/>
        <w:ind w:left="560"/>
      </w:pPr>
      <w:r>
        <w:rPr>
          <w:spacing w:val="-2"/>
        </w:rPr>
        <w:t>根据信息分类和排序的情况选择代码的类型、结构和编码的方法。</w:t>
      </w:r>
    </w:p>
    <w:p w14:paraId="468C2A1D">
      <w:pPr>
        <w:pStyle w:val="2"/>
        <w:spacing w:before="59" w:line="282" w:lineRule="auto"/>
        <w:ind w:right="139" w:firstLine="560"/>
      </w:pPr>
      <w:r>
        <w:t>信息项不超过33个时，一般采用一位码，由一个大写汉语拼音字母(</w:t>
      </w:r>
      <w:r>
        <w:rPr>
          <w:spacing w:val="-69"/>
        </w:rPr>
        <w:t xml:space="preserve"> </w:t>
      </w:r>
      <w:r>
        <w:rPr>
          <w:rFonts w:ascii="Times New Roman" w:hAnsi="Times New Roman" w:eastAsia="Times New Roman" w:cs="Times New Roman"/>
        </w:rPr>
        <w:t>I</w:t>
      </w:r>
      <w:r>
        <w:rPr>
          <w:rFonts w:ascii="Times New Roman" w:hAnsi="Times New Roman" w:eastAsia="Times New Roman" w:cs="Times New Roman"/>
          <w:spacing w:val="29"/>
        </w:rPr>
        <w:t xml:space="preserve"> </w:t>
      </w:r>
      <w:r>
        <w:t>和</w:t>
      </w:r>
      <w:r>
        <w:rPr>
          <w:spacing w:val="-63"/>
        </w:rPr>
        <w:t xml:space="preserve"> </w:t>
      </w:r>
      <w:r>
        <w:rPr>
          <w:rFonts w:ascii="Times New Roman" w:hAnsi="Times New Roman" w:eastAsia="Times New Roman" w:cs="Times New Roman"/>
        </w:rPr>
        <w:t xml:space="preserve">O </w:t>
      </w:r>
      <w:r>
        <w:rPr>
          <w:spacing w:val="17"/>
        </w:rPr>
        <w:t>除外)和(或)阿拉伯数字1至9构成。</w:t>
      </w:r>
    </w:p>
    <w:p w14:paraId="5B260A5D">
      <w:pPr>
        <w:spacing w:line="282" w:lineRule="auto"/>
        <w:sectPr>
          <w:footerReference r:id="rId434" w:type="default"/>
          <w:pgSz w:w="11910" w:h="17130"/>
          <w:pgMar w:top="1440" w:right="894" w:bottom="1643" w:left="1559" w:header="0" w:footer="1445" w:gutter="0"/>
          <w:cols w:space="720" w:num="1"/>
        </w:sectPr>
      </w:pPr>
    </w:p>
    <w:p w14:paraId="00F4E1BA">
      <w:pPr>
        <w:pStyle w:val="2"/>
        <w:spacing w:before="55" w:line="281" w:lineRule="auto"/>
        <w:ind w:right="123" w:firstLine="560"/>
      </w:pPr>
      <w:r>
        <w:rPr>
          <w:spacing w:val="-11"/>
        </w:rPr>
        <w:t>信息项较多时，如描述“故障模式”的一系列信息项，应在合理分类、排序基</w:t>
      </w:r>
      <w:r>
        <w:rPr>
          <w:spacing w:val="4"/>
        </w:rPr>
        <w:t xml:space="preserve"> </w:t>
      </w:r>
      <w:r>
        <w:rPr>
          <w:spacing w:val="-3"/>
        </w:rPr>
        <w:t>础上再选择代码的类型、结构和编码方法，一般采用多位码，如3</w:t>
      </w:r>
      <w:r>
        <w:rPr>
          <w:spacing w:val="-4"/>
        </w:rPr>
        <w:t>位数字码。</w:t>
      </w:r>
    </w:p>
    <w:p w14:paraId="4613F13B">
      <w:pPr>
        <w:pStyle w:val="2"/>
        <w:spacing w:before="16" w:line="219" w:lineRule="auto"/>
        <w:ind w:left="560"/>
        <w:rPr>
          <w:sz w:val="25"/>
          <w:szCs w:val="25"/>
        </w:rPr>
      </w:pPr>
      <w:r>
        <w:rPr>
          <w:spacing w:val="16"/>
          <w:sz w:val="25"/>
          <w:szCs w:val="25"/>
        </w:rPr>
        <w:t>有关故障信息的代码应标准化，对于各类武器装备，应分别做出统</w:t>
      </w:r>
      <w:r>
        <w:rPr>
          <w:spacing w:val="15"/>
          <w:sz w:val="25"/>
          <w:szCs w:val="25"/>
        </w:rPr>
        <w:t>一规定。</w:t>
      </w:r>
    </w:p>
    <w:p w14:paraId="65B8BD28">
      <w:pPr>
        <w:spacing w:before="104" w:line="368" w:lineRule="exact"/>
        <w:rPr>
          <w:rFonts w:ascii="黑体" w:hAnsi="黑体" w:eastAsia="黑体" w:cs="黑体"/>
          <w:sz w:val="27"/>
          <w:szCs w:val="27"/>
        </w:rPr>
      </w:pPr>
      <w:r>
        <w:rPr>
          <w:rFonts w:ascii="Arial" w:hAnsi="Arial" w:eastAsia="Arial" w:cs="Arial"/>
          <w:spacing w:val="4"/>
          <w:position w:val="1"/>
          <w:sz w:val="27"/>
          <w:szCs w:val="27"/>
        </w:rPr>
        <w:t xml:space="preserve">6.2    </w:t>
      </w:r>
      <w:r>
        <w:rPr>
          <w:rFonts w:ascii="黑体" w:hAnsi="黑体" w:eastAsia="黑体" w:cs="黑体"/>
          <w:spacing w:val="4"/>
          <w:position w:val="1"/>
          <w:sz w:val="27"/>
          <w:szCs w:val="27"/>
        </w:rPr>
        <w:t>产品维修信息代码</w:t>
      </w:r>
    </w:p>
    <w:p w14:paraId="0F8E255A">
      <w:pPr>
        <w:pStyle w:val="2"/>
        <w:spacing w:before="81" w:line="219" w:lineRule="auto"/>
        <w:ind w:left="560"/>
      </w:pPr>
      <w:r>
        <w:rPr>
          <w:spacing w:val="2"/>
        </w:rPr>
        <w:t>明确产品维修信息代码。</w:t>
      </w:r>
    </w:p>
    <w:p w14:paraId="0F90E42F">
      <w:pPr>
        <w:pStyle w:val="2"/>
        <w:spacing w:before="108" w:line="282" w:lineRule="auto"/>
        <w:ind w:firstLine="560"/>
        <w:jc w:val="both"/>
      </w:pPr>
      <w:r>
        <w:rPr>
          <w:spacing w:val="1"/>
        </w:rPr>
        <w:t>有关维修信息的代码主要有维修类别代码、维修级别</w:t>
      </w:r>
      <w:r>
        <w:t xml:space="preserve">代码、维修内容代码、 </w:t>
      </w:r>
      <w:r>
        <w:rPr>
          <w:spacing w:val="-2"/>
        </w:rPr>
        <w:t>维修程度代码等。有关维修信息代码，一般采用一位字</w:t>
      </w:r>
      <w:r>
        <w:rPr>
          <w:spacing w:val="-3"/>
        </w:rPr>
        <w:t>母码，由一个大写汉语拼</w:t>
      </w:r>
      <w:r>
        <w:t xml:space="preserve">  </w:t>
      </w:r>
      <w:r>
        <w:rPr>
          <w:spacing w:val="-1"/>
        </w:rPr>
        <w:t>音字母(</w:t>
      </w:r>
      <w:r>
        <w:rPr>
          <w:rFonts w:ascii="Times New Roman" w:hAnsi="Times New Roman" w:eastAsia="Times New Roman" w:cs="Times New Roman"/>
          <w:spacing w:val="-1"/>
        </w:rPr>
        <w:t xml:space="preserve">I </w:t>
      </w:r>
      <w:r>
        <w:rPr>
          <w:spacing w:val="-1"/>
        </w:rPr>
        <w:t>和</w:t>
      </w:r>
      <w:r>
        <w:rPr>
          <w:spacing w:val="-54"/>
        </w:rPr>
        <w:t xml:space="preserve"> </w:t>
      </w:r>
      <w:r>
        <w:rPr>
          <w:rFonts w:ascii="Times New Roman" w:hAnsi="Times New Roman" w:eastAsia="Times New Roman" w:cs="Times New Roman"/>
          <w:spacing w:val="-1"/>
        </w:rPr>
        <w:t>O</w:t>
      </w:r>
      <w:r>
        <w:rPr>
          <w:rFonts w:ascii="Times New Roman" w:hAnsi="Times New Roman" w:eastAsia="Times New Roman" w:cs="Times New Roman"/>
          <w:spacing w:val="47"/>
        </w:rPr>
        <w:t xml:space="preserve"> </w:t>
      </w:r>
      <w:r>
        <w:rPr>
          <w:spacing w:val="-1"/>
        </w:rPr>
        <w:t>除外)构成。</w:t>
      </w:r>
    </w:p>
    <w:p w14:paraId="10CA7928">
      <w:pPr>
        <w:spacing w:before="40" w:line="221" w:lineRule="auto"/>
        <w:rPr>
          <w:rFonts w:ascii="黑体" w:hAnsi="黑体" w:eastAsia="黑体" w:cs="黑体"/>
          <w:sz w:val="24"/>
          <w:szCs w:val="24"/>
        </w:rPr>
      </w:pPr>
      <w:r>
        <w:rPr>
          <w:rFonts w:ascii="黑体" w:hAnsi="黑体" w:eastAsia="黑体" w:cs="黑体"/>
          <w:spacing w:val="28"/>
          <w:sz w:val="24"/>
          <w:szCs w:val="24"/>
        </w:rPr>
        <w:t>6.3</w:t>
      </w:r>
      <w:r>
        <w:rPr>
          <w:rFonts w:ascii="黑体" w:hAnsi="黑体" w:eastAsia="黑体" w:cs="黑体"/>
          <w:spacing w:val="45"/>
          <w:sz w:val="24"/>
          <w:szCs w:val="24"/>
        </w:rPr>
        <w:t xml:space="preserve">  </w:t>
      </w:r>
      <w:r>
        <w:rPr>
          <w:rFonts w:ascii="黑体" w:hAnsi="黑体" w:eastAsia="黑体" w:cs="黑体"/>
          <w:spacing w:val="28"/>
          <w:sz w:val="24"/>
          <w:szCs w:val="24"/>
        </w:rPr>
        <w:t>产品维修资源信息代码</w:t>
      </w:r>
    </w:p>
    <w:p w14:paraId="0D5072FB">
      <w:pPr>
        <w:pStyle w:val="2"/>
        <w:spacing w:before="87" w:line="307" w:lineRule="auto"/>
        <w:ind w:right="94" w:firstLine="560"/>
      </w:pPr>
      <w:r>
        <w:rPr>
          <w:spacing w:val="2"/>
        </w:rPr>
        <w:t>按照</w:t>
      </w:r>
      <w:r>
        <w:rPr>
          <w:rFonts w:ascii="Times New Roman" w:hAnsi="Times New Roman" w:eastAsia="Times New Roman" w:cs="Times New Roman"/>
        </w:rPr>
        <w:t>GJB</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1775</w:t>
      </w:r>
      <w:r>
        <w:rPr>
          <w:spacing w:val="2"/>
        </w:rPr>
        <w:t>要求，参照具体型号装备编制的代码手册，设置</w:t>
      </w:r>
      <w:r>
        <w:rPr>
          <w:spacing w:val="1"/>
        </w:rPr>
        <w:t>产品维修资</w:t>
      </w:r>
      <w:r>
        <w:t xml:space="preserve"> </w:t>
      </w:r>
      <w:r>
        <w:rPr>
          <w:spacing w:val="-1"/>
        </w:rPr>
        <w:t>源信息代码。</w:t>
      </w:r>
    </w:p>
    <w:p w14:paraId="67ED8E63">
      <w:pPr>
        <w:spacing w:line="222" w:lineRule="auto"/>
        <w:rPr>
          <w:rFonts w:ascii="黑体" w:hAnsi="黑体" w:eastAsia="黑体" w:cs="黑体"/>
          <w:sz w:val="24"/>
          <w:szCs w:val="24"/>
        </w:rPr>
      </w:pPr>
      <w:r>
        <w:rPr>
          <w:rFonts w:ascii="黑体" w:hAnsi="黑体" w:eastAsia="黑体" w:cs="黑体"/>
          <w:spacing w:val="26"/>
          <w:sz w:val="24"/>
          <w:szCs w:val="24"/>
        </w:rPr>
        <w:t>6.4</w:t>
      </w:r>
      <w:r>
        <w:rPr>
          <w:rFonts w:ascii="黑体" w:hAnsi="黑体" w:eastAsia="黑体" w:cs="黑体"/>
          <w:spacing w:val="44"/>
          <w:sz w:val="24"/>
          <w:szCs w:val="24"/>
        </w:rPr>
        <w:t xml:space="preserve">  </w:t>
      </w:r>
      <w:r>
        <w:rPr>
          <w:rFonts w:ascii="黑体" w:hAnsi="黑体" w:eastAsia="黑体" w:cs="黑体"/>
          <w:spacing w:val="26"/>
          <w:sz w:val="24"/>
          <w:szCs w:val="24"/>
        </w:rPr>
        <w:t>产品××信息代码</w:t>
      </w:r>
    </w:p>
    <w:p w14:paraId="59ABD608">
      <w:pPr>
        <w:pStyle w:val="2"/>
        <w:spacing w:before="83" w:line="290" w:lineRule="auto"/>
        <w:ind w:right="95" w:firstLine="560"/>
      </w:pPr>
      <w:r>
        <w:rPr>
          <w:spacing w:val="2"/>
        </w:rPr>
        <w:t>按照</w:t>
      </w:r>
      <w:r>
        <w:rPr>
          <w:rFonts w:ascii="Times New Roman" w:hAnsi="Times New Roman" w:eastAsia="Times New Roman" w:cs="Times New Roman"/>
        </w:rPr>
        <w:t>GJB</w:t>
      </w:r>
      <w:r>
        <w:rPr>
          <w:rFonts w:ascii="Times New Roman" w:hAnsi="Times New Roman" w:eastAsia="Times New Roman" w:cs="Times New Roman"/>
          <w:spacing w:val="29"/>
        </w:rPr>
        <w:t xml:space="preserve">  </w:t>
      </w:r>
      <w:r>
        <w:rPr>
          <w:rFonts w:ascii="Times New Roman" w:hAnsi="Times New Roman" w:eastAsia="Times New Roman" w:cs="Times New Roman"/>
          <w:spacing w:val="2"/>
        </w:rPr>
        <w:t>1775</w:t>
      </w:r>
      <w:r>
        <w:rPr>
          <w:spacing w:val="2"/>
        </w:rPr>
        <w:t>要求，参照具体型号装备编制的代码手册，设置产品××信</w:t>
      </w:r>
      <w:r>
        <w:t xml:space="preserve"> </w:t>
      </w:r>
      <w:r>
        <w:rPr>
          <w:spacing w:val="-3"/>
        </w:rPr>
        <w:t>息代码。</w:t>
      </w:r>
    </w:p>
    <w:p w14:paraId="7168DEB9">
      <w:pPr>
        <w:spacing w:before="1" w:line="221" w:lineRule="auto"/>
        <w:rPr>
          <w:rFonts w:ascii="黑体" w:hAnsi="黑体" w:eastAsia="黑体" w:cs="黑体"/>
          <w:sz w:val="27"/>
          <w:szCs w:val="27"/>
        </w:rPr>
      </w:pPr>
      <w:r>
        <w:rPr>
          <w:rFonts w:ascii="Arial" w:hAnsi="Arial" w:eastAsia="Arial" w:cs="Arial"/>
          <w:spacing w:val="4"/>
          <w:sz w:val="27"/>
          <w:szCs w:val="27"/>
        </w:rPr>
        <w:t>7</w:t>
      </w:r>
      <w:r>
        <w:rPr>
          <w:rFonts w:ascii="Arial" w:hAnsi="Arial" w:eastAsia="Arial" w:cs="Arial"/>
          <w:spacing w:val="1"/>
          <w:sz w:val="27"/>
          <w:szCs w:val="27"/>
        </w:rPr>
        <w:t xml:space="preserve">    </w:t>
      </w:r>
      <w:r>
        <w:rPr>
          <w:rFonts w:ascii="黑体" w:hAnsi="黑体" w:eastAsia="黑体" w:cs="黑体"/>
          <w:spacing w:val="4"/>
          <w:sz w:val="27"/>
          <w:szCs w:val="27"/>
        </w:rPr>
        <w:t>与其他信息收集工作的协调</w:t>
      </w:r>
    </w:p>
    <w:p w14:paraId="640EAF6B">
      <w:pPr>
        <w:pStyle w:val="2"/>
        <w:spacing w:before="87" w:line="296" w:lineRule="auto"/>
        <w:ind w:right="119" w:firstLine="560"/>
      </w:pPr>
      <w:r>
        <w:rPr>
          <w:spacing w:val="5"/>
        </w:rPr>
        <w:t>使用期间维修性信息收集应与可靠性、测试性、保障性信息收集工作相结</w:t>
      </w:r>
      <w:r>
        <w:rPr>
          <w:spacing w:val="14"/>
        </w:rPr>
        <w:t xml:space="preserve"> </w:t>
      </w:r>
      <w:r>
        <w:rPr>
          <w:spacing w:val="-10"/>
        </w:rPr>
        <w:t>合，作出有关协调说明。</w:t>
      </w:r>
    </w:p>
    <w:p w14:paraId="6978D344">
      <w:pPr>
        <w:spacing w:line="241" w:lineRule="auto"/>
        <w:rPr>
          <w:rFonts w:ascii="Arial"/>
          <w:sz w:val="21"/>
        </w:rPr>
      </w:pPr>
    </w:p>
    <w:p w14:paraId="1F633EBA">
      <w:pPr>
        <w:pStyle w:val="2"/>
        <w:spacing w:before="117" w:line="218" w:lineRule="auto"/>
        <w:ind w:left="2159"/>
        <w:outlineLvl w:val="1"/>
        <w:rPr>
          <w:sz w:val="36"/>
          <w:szCs w:val="36"/>
        </w:rPr>
      </w:pPr>
      <w:r>
        <w:rPr>
          <w:rFonts w:ascii="Times New Roman" w:hAnsi="Times New Roman" w:eastAsia="Times New Roman" w:cs="Times New Roman"/>
          <w:b/>
          <w:bCs/>
          <w:spacing w:val="2"/>
          <w:sz w:val="36"/>
          <w:szCs w:val="36"/>
        </w:rPr>
        <w:t xml:space="preserve">8.22     </w:t>
      </w:r>
      <w:r>
        <w:rPr>
          <w:b/>
          <w:bCs/>
          <w:spacing w:val="2"/>
          <w:sz w:val="36"/>
          <w:szCs w:val="36"/>
        </w:rPr>
        <w:t>使用期间维修性评价计划</w:t>
      </w:r>
    </w:p>
    <w:p w14:paraId="084DDBA4">
      <w:pPr>
        <w:spacing w:line="330" w:lineRule="auto"/>
        <w:rPr>
          <w:rFonts w:ascii="Arial"/>
          <w:sz w:val="21"/>
        </w:rPr>
      </w:pPr>
    </w:p>
    <w:p w14:paraId="09032B30">
      <w:pPr>
        <w:pStyle w:val="2"/>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368B—2009</w:t>
      </w:r>
      <w:r>
        <w:rPr>
          <w:spacing w:val="-11"/>
          <w:sz w:val="28"/>
          <w:szCs w:val="28"/>
        </w:rPr>
        <w:t>《</w:t>
      </w:r>
      <w:r>
        <w:rPr>
          <w:rFonts w:ascii="楷体" w:hAnsi="楷体" w:eastAsia="楷体" w:cs="楷体"/>
          <w:spacing w:val="-11"/>
          <w:sz w:val="28"/>
          <w:szCs w:val="28"/>
        </w:rPr>
        <w:t>装备维修性工作通用要求》编写。</w:t>
      </w:r>
    </w:p>
    <w:p w14:paraId="5CE4A47D">
      <w:pPr>
        <w:spacing w:before="99" w:line="223" w:lineRule="auto"/>
        <w:rPr>
          <w:rFonts w:ascii="黑体" w:hAnsi="黑体" w:eastAsia="黑体" w:cs="黑体"/>
          <w:sz w:val="27"/>
          <w:szCs w:val="27"/>
        </w:rPr>
      </w:pPr>
      <w:r>
        <w:rPr>
          <w:rFonts w:ascii="黑体" w:hAnsi="黑体" w:eastAsia="黑体" w:cs="黑体"/>
          <w:sz w:val="27"/>
          <w:szCs w:val="27"/>
        </w:rPr>
        <w:t>1</w:t>
      </w:r>
      <w:r>
        <w:rPr>
          <w:rFonts w:ascii="黑体" w:hAnsi="黑体" w:eastAsia="黑体" w:cs="黑体"/>
          <w:spacing w:val="30"/>
          <w:sz w:val="27"/>
          <w:szCs w:val="27"/>
        </w:rPr>
        <w:t xml:space="preserve">  </w:t>
      </w:r>
      <w:r>
        <w:rPr>
          <w:rFonts w:ascii="黑体" w:hAnsi="黑体" w:eastAsia="黑体" w:cs="黑体"/>
          <w:sz w:val="27"/>
          <w:szCs w:val="27"/>
        </w:rPr>
        <w:t>范围</w:t>
      </w:r>
    </w:p>
    <w:p w14:paraId="74DF4C74">
      <w:pPr>
        <w:spacing w:before="102"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23"/>
          <w:sz w:val="27"/>
          <w:szCs w:val="27"/>
        </w:rPr>
        <w:t xml:space="preserve">  </w:t>
      </w:r>
      <w:r>
        <w:rPr>
          <w:rFonts w:ascii="黑体" w:hAnsi="黑体" w:eastAsia="黑体" w:cs="黑体"/>
          <w:sz w:val="27"/>
          <w:szCs w:val="27"/>
        </w:rPr>
        <w:t>引用文件</w:t>
      </w:r>
    </w:p>
    <w:p w14:paraId="387EDFCE">
      <w:pPr>
        <w:spacing w:before="56" w:line="368" w:lineRule="exact"/>
        <w:rPr>
          <w:rFonts w:ascii="黑体" w:hAnsi="黑体" w:eastAsia="黑体" w:cs="黑体"/>
          <w:sz w:val="27"/>
          <w:szCs w:val="27"/>
        </w:rPr>
      </w:pPr>
      <w:r>
        <w:rPr>
          <w:rFonts w:ascii="Arial" w:hAnsi="Arial" w:eastAsia="Arial" w:cs="Arial"/>
          <w:spacing w:val="4"/>
          <w:position w:val="1"/>
          <w:sz w:val="27"/>
          <w:szCs w:val="27"/>
        </w:rPr>
        <w:t>3</w:t>
      </w:r>
      <w:r>
        <w:rPr>
          <w:rFonts w:ascii="Arial" w:hAnsi="Arial" w:eastAsia="Arial" w:cs="Arial"/>
          <w:position w:val="1"/>
          <w:sz w:val="27"/>
          <w:szCs w:val="27"/>
        </w:rPr>
        <w:t xml:space="preserve">    </w:t>
      </w:r>
      <w:r>
        <w:rPr>
          <w:rFonts w:ascii="黑体" w:hAnsi="黑体" w:eastAsia="黑体" w:cs="黑体"/>
          <w:spacing w:val="4"/>
          <w:position w:val="1"/>
          <w:sz w:val="27"/>
          <w:szCs w:val="27"/>
        </w:rPr>
        <w:t>参与评价各方及其职责</w:t>
      </w:r>
    </w:p>
    <w:p w14:paraId="0C248402">
      <w:pPr>
        <w:pStyle w:val="2"/>
        <w:spacing w:before="81" w:line="218" w:lineRule="auto"/>
        <w:ind w:left="560"/>
      </w:pPr>
      <w:r>
        <w:rPr>
          <w:spacing w:val="3"/>
        </w:rPr>
        <w:t>明确参与评价各方人员及其职责。</w:t>
      </w:r>
    </w:p>
    <w:p w14:paraId="232AFBD0">
      <w:pPr>
        <w:spacing w:before="131"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9"/>
          <w:sz w:val="27"/>
          <w:szCs w:val="27"/>
        </w:rPr>
        <w:t xml:space="preserve">  </w:t>
      </w:r>
      <w:r>
        <w:rPr>
          <w:rFonts w:ascii="黑体" w:hAnsi="黑体" w:eastAsia="黑体" w:cs="黑体"/>
          <w:spacing w:val="1"/>
          <w:sz w:val="27"/>
          <w:szCs w:val="27"/>
        </w:rPr>
        <w:t>装备概述</w:t>
      </w:r>
    </w:p>
    <w:p w14:paraId="12830C16">
      <w:pPr>
        <w:pStyle w:val="2"/>
        <w:spacing w:before="99" w:line="289" w:lineRule="auto"/>
        <w:ind w:right="123" w:firstLine="560"/>
      </w:pPr>
      <w:r>
        <w:rPr>
          <w:spacing w:val="-3"/>
        </w:rPr>
        <w:t>概述装备规定的使用技术状态，实际使用与维修条件，规定的各类维修保障</w:t>
      </w:r>
      <w:r>
        <w:t xml:space="preserve"> </w:t>
      </w:r>
      <w:r>
        <w:rPr>
          <w:spacing w:val="-3"/>
        </w:rPr>
        <w:t>资源配备，使用与维修人员应经过的训练要求等。</w:t>
      </w:r>
    </w:p>
    <w:p w14:paraId="3179A54F">
      <w:pPr>
        <w:spacing w:before="5" w:line="222" w:lineRule="auto"/>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spacing w:val="21"/>
          <w:sz w:val="27"/>
          <w:szCs w:val="27"/>
        </w:rPr>
        <w:t xml:space="preserve">  </w:t>
      </w:r>
      <w:r>
        <w:rPr>
          <w:rFonts w:ascii="黑体" w:hAnsi="黑体" w:eastAsia="黑体" w:cs="黑体"/>
          <w:spacing w:val="2"/>
          <w:sz w:val="27"/>
          <w:szCs w:val="27"/>
        </w:rPr>
        <w:t>数据与信息</w:t>
      </w:r>
    </w:p>
    <w:p w14:paraId="63D9C8E9">
      <w:pPr>
        <w:pStyle w:val="2"/>
        <w:spacing w:before="105" w:line="306" w:lineRule="auto"/>
        <w:ind w:right="120" w:firstLine="560"/>
        <w:rPr>
          <w:sz w:val="25"/>
          <w:szCs w:val="25"/>
        </w:rPr>
      </w:pPr>
      <w:r>
        <w:rPr>
          <w:spacing w:val="17"/>
          <w:sz w:val="25"/>
          <w:szCs w:val="25"/>
        </w:rPr>
        <w:t>明确实际使用条件下应收集的各种数据，部队使用期间的各种信息，必要时</w:t>
      </w:r>
      <w:r>
        <w:rPr>
          <w:spacing w:val="2"/>
          <w:sz w:val="25"/>
          <w:szCs w:val="25"/>
        </w:rPr>
        <w:t xml:space="preserve"> </w:t>
      </w:r>
      <w:r>
        <w:rPr>
          <w:spacing w:val="15"/>
          <w:sz w:val="25"/>
          <w:szCs w:val="25"/>
        </w:rPr>
        <w:t>也可组织专门的试验，以获得所需的信息。</w:t>
      </w:r>
    </w:p>
    <w:p w14:paraId="467A16EA">
      <w:pPr>
        <w:spacing w:before="1" w:line="221"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22"/>
          <w:sz w:val="27"/>
          <w:szCs w:val="27"/>
        </w:rPr>
        <w:t xml:space="preserve">  </w:t>
      </w:r>
      <w:r>
        <w:rPr>
          <w:rFonts w:ascii="黑体" w:hAnsi="黑体" w:eastAsia="黑体" w:cs="黑体"/>
          <w:spacing w:val="3"/>
          <w:sz w:val="27"/>
          <w:szCs w:val="27"/>
        </w:rPr>
        <w:t>评价准则</w:t>
      </w:r>
    </w:p>
    <w:p w14:paraId="1901A6FF">
      <w:pPr>
        <w:pStyle w:val="2"/>
        <w:spacing w:before="85" w:line="218" w:lineRule="auto"/>
        <w:ind w:left="560"/>
      </w:pPr>
      <w:r>
        <w:rPr>
          <w:spacing w:val="-4"/>
        </w:rPr>
        <w:t>明确使用期间维修性的评价准则、判据。</w:t>
      </w:r>
    </w:p>
    <w:p w14:paraId="75A347BF">
      <w:pPr>
        <w:spacing w:line="218" w:lineRule="auto"/>
        <w:sectPr>
          <w:footerReference r:id="rId435" w:type="default"/>
          <w:pgSz w:w="11910" w:h="17130"/>
          <w:pgMar w:top="1436" w:right="1315" w:bottom="1683" w:left="1100" w:header="0" w:footer="1485" w:gutter="0"/>
          <w:cols w:space="720" w:num="1"/>
        </w:sectPr>
      </w:pPr>
    </w:p>
    <w:p w14:paraId="4815061F">
      <w:pPr>
        <w:spacing w:before="113" w:line="222" w:lineRule="auto"/>
        <w:rPr>
          <w:rFonts w:ascii="黑体" w:hAnsi="黑体" w:eastAsia="黑体" w:cs="黑体"/>
          <w:sz w:val="27"/>
          <w:szCs w:val="27"/>
        </w:rPr>
      </w:pPr>
      <w:r>
        <w:rPr>
          <w:rFonts w:ascii="黑体" w:hAnsi="黑体" w:eastAsia="黑体" w:cs="黑体"/>
          <w:spacing w:val="5"/>
          <w:sz w:val="27"/>
          <w:szCs w:val="27"/>
        </w:rPr>
        <w:t>7  评价内容</w:t>
      </w:r>
    </w:p>
    <w:p w14:paraId="15BA7005">
      <w:pPr>
        <w:pStyle w:val="2"/>
        <w:spacing w:before="34" w:line="286" w:lineRule="auto"/>
        <w:ind w:right="40" w:firstLine="560"/>
      </w:pPr>
      <w:r>
        <w:rPr>
          <w:spacing w:val="-3"/>
        </w:rPr>
        <w:t>明确评价内容，包括规定的评价对象、参数和模型</w:t>
      </w:r>
      <w:r>
        <w:rPr>
          <w:spacing w:val="-4"/>
        </w:rPr>
        <w:t>、样本量、统计的时间年</w:t>
      </w:r>
      <w:r>
        <w:t xml:space="preserve"> </w:t>
      </w:r>
      <w:r>
        <w:rPr>
          <w:spacing w:val="-14"/>
        </w:rPr>
        <w:t>度、置信水平等。</w:t>
      </w:r>
    </w:p>
    <w:p w14:paraId="1B3E96FA">
      <w:pPr>
        <w:spacing w:line="327" w:lineRule="exact"/>
        <w:rPr>
          <w:rFonts w:ascii="黑体" w:hAnsi="黑体" w:eastAsia="黑体" w:cs="黑体"/>
          <w:sz w:val="24"/>
          <w:szCs w:val="24"/>
        </w:rPr>
      </w:pPr>
      <w:r>
        <w:rPr>
          <w:rFonts w:ascii="Arial" w:hAnsi="Arial" w:eastAsia="Arial" w:cs="Arial"/>
          <w:spacing w:val="28"/>
          <w:position w:val="1"/>
          <w:sz w:val="24"/>
          <w:szCs w:val="24"/>
        </w:rPr>
        <w:t>8</w:t>
      </w:r>
      <w:r>
        <w:rPr>
          <w:rFonts w:ascii="Arial" w:hAnsi="Arial" w:eastAsia="Arial" w:cs="Arial"/>
          <w:spacing w:val="7"/>
          <w:position w:val="1"/>
          <w:sz w:val="24"/>
          <w:szCs w:val="24"/>
        </w:rPr>
        <w:t xml:space="preserve">    </w:t>
      </w:r>
      <w:r>
        <w:rPr>
          <w:rFonts w:ascii="黑体" w:hAnsi="黑体" w:eastAsia="黑体" w:cs="黑体"/>
          <w:spacing w:val="28"/>
          <w:position w:val="1"/>
          <w:sz w:val="24"/>
          <w:szCs w:val="24"/>
        </w:rPr>
        <w:t>评价方法及程序</w:t>
      </w:r>
    </w:p>
    <w:p w14:paraId="2A78F65D">
      <w:pPr>
        <w:pStyle w:val="2"/>
        <w:spacing w:before="96" w:line="218" w:lineRule="auto"/>
        <w:ind w:left="560"/>
      </w:pPr>
      <w:r>
        <w:rPr>
          <w:spacing w:val="-2"/>
        </w:rPr>
        <w:t>明确采用的评价方法，并说明理由。制定评价工作程序。</w:t>
      </w:r>
    </w:p>
    <w:p w14:paraId="141F4917">
      <w:pPr>
        <w:spacing w:before="120" w:line="221" w:lineRule="auto"/>
        <w:rPr>
          <w:rFonts w:ascii="黑体" w:hAnsi="黑体" w:eastAsia="黑体" w:cs="黑体"/>
          <w:sz w:val="24"/>
          <w:szCs w:val="24"/>
        </w:rPr>
      </w:pPr>
      <w:r>
        <w:rPr>
          <w:rFonts w:ascii="黑体" w:hAnsi="黑体" w:eastAsia="黑体" w:cs="黑体"/>
          <w:spacing w:val="25"/>
          <w:sz w:val="24"/>
          <w:szCs w:val="24"/>
        </w:rPr>
        <w:t>9</w:t>
      </w:r>
      <w:r>
        <w:rPr>
          <w:rFonts w:ascii="黑体" w:hAnsi="黑体" w:eastAsia="黑体" w:cs="黑体"/>
          <w:spacing w:val="36"/>
          <w:sz w:val="24"/>
          <w:szCs w:val="24"/>
        </w:rPr>
        <w:t xml:space="preserve">  </w:t>
      </w:r>
      <w:r>
        <w:rPr>
          <w:rFonts w:ascii="黑体" w:hAnsi="黑体" w:eastAsia="黑体" w:cs="黑体"/>
          <w:spacing w:val="25"/>
          <w:sz w:val="24"/>
          <w:szCs w:val="24"/>
        </w:rPr>
        <w:t>所需资源</w:t>
      </w:r>
    </w:p>
    <w:p w14:paraId="4F45D288">
      <w:pPr>
        <w:pStyle w:val="2"/>
        <w:spacing w:before="86" w:line="219" w:lineRule="auto"/>
        <w:ind w:left="560"/>
      </w:pPr>
      <w:r>
        <w:rPr>
          <w:spacing w:val="3"/>
        </w:rPr>
        <w:t>明确按规定配备所需的资源。</w:t>
      </w:r>
    </w:p>
    <w:p w14:paraId="115EC01C">
      <w:pPr>
        <w:spacing w:before="29" w:line="368" w:lineRule="exact"/>
        <w:rPr>
          <w:rFonts w:ascii="黑体" w:hAnsi="黑体" w:eastAsia="黑体" w:cs="黑体"/>
          <w:sz w:val="27"/>
          <w:szCs w:val="27"/>
        </w:rPr>
      </w:pPr>
      <w:r>
        <w:rPr>
          <w:rFonts w:ascii="Arial" w:hAnsi="Arial" w:eastAsia="Arial" w:cs="Arial"/>
          <w:position w:val="1"/>
          <w:sz w:val="27"/>
          <w:szCs w:val="27"/>
        </w:rPr>
        <w:t>10</w:t>
      </w:r>
      <w:r>
        <w:rPr>
          <w:rFonts w:ascii="Arial" w:hAnsi="Arial" w:eastAsia="Arial" w:cs="Arial"/>
          <w:spacing w:val="23"/>
          <w:w w:val="101"/>
          <w:position w:val="1"/>
          <w:sz w:val="27"/>
          <w:szCs w:val="27"/>
        </w:rPr>
        <w:t xml:space="preserve">   </w:t>
      </w:r>
      <w:r>
        <w:rPr>
          <w:rFonts w:ascii="黑体" w:hAnsi="黑体" w:eastAsia="黑体" w:cs="黑体"/>
          <w:position w:val="1"/>
          <w:sz w:val="27"/>
          <w:szCs w:val="27"/>
        </w:rPr>
        <w:t>与其他评估的协调</w:t>
      </w:r>
    </w:p>
    <w:p w14:paraId="39D8E09E">
      <w:pPr>
        <w:pStyle w:val="2"/>
        <w:spacing w:before="79" w:line="291" w:lineRule="auto"/>
        <w:ind w:firstLine="560"/>
      </w:pPr>
      <w:r>
        <w:rPr>
          <w:spacing w:val="-2"/>
        </w:rPr>
        <w:t>使用期间维修性评价应与使用可靠性评估、测试性评估、保障性评</w:t>
      </w:r>
      <w:r>
        <w:rPr>
          <w:spacing w:val="-3"/>
        </w:rPr>
        <w:t>估等协调</w:t>
      </w:r>
      <w:r>
        <w:t xml:space="preserve"> </w:t>
      </w:r>
      <w:r>
        <w:rPr>
          <w:spacing w:val="-8"/>
        </w:rPr>
        <w:t>进行，作出有关协调说明。</w:t>
      </w:r>
    </w:p>
    <w:p w14:paraId="2232E227">
      <w:pPr>
        <w:pStyle w:val="2"/>
        <w:spacing w:before="337" w:line="218" w:lineRule="auto"/>
        <w:ind w:left="2149"/>
        <w:outlineLvl w:val="1"/>
        <w:rPr>
          <w:sz w:val="36"/>
          <w:szCs w:val="36"/>
        </w:rPr>
      </w:pPr>
      <w:r>
        <w:rPr>
          <w:rFonts w:ascii="Times New Roman" w:hAnsi="Times New Roman" w:eastAsia="Times New Roman" w:cs="Times New Roman"/>
          <w:b/>
          <w:bCs/>
          <w:spacing w:val="4"/>
          <w:sz w:val="36"/>
          <w:szCs w:val="36"/>
        </w:rPr>
        <w:t>8.23</w:t>
      </w:r>
      <w:r>
        <w:rPr>
          <w:rFonts w:ascii="Times New Roman" w:hAnsi="Times New Roman" w:eastAsia="Times New Roman" w:cs="Times New Roman"/>
          <w:b/>
          <w:bCs/>
          <w:spacing w:val="1"/>
          <w:sz w:val="36"/>
          <w:szCs w:val="36"/>
        </w:rPr>
        <w:t xml:space="preserve">     </w:t>
      </w:r>
      <w:r>
        <w:rPr>
          <w:b/>
          <w:bCs/>
          <w:spacing w:val="4"/>
          <w:sz w:val="36"/>
          <w:szCs w:val="36"/>
        </w:rPr>
        <w:t>使用期间维修性评价报告</w:t>
      </w:r>
    </w:p>
    <w:p w14:paraId="67FA0595">
      <w:pPr>
        <w:spacing w:line="320" w:lineRule="auto"/>
        <w:rPr>
          <w:rFonts w:ascii="Arial"/>
          <w:sz w:val="21"/>
        </w:rPr>
      </w:pPr>
    </w:p>
    <w:p w14:paraId="4363EA72">
      <w:pPr>
        <w:pStyle w:val="2"/>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368B—2009</w:t>
      </w:r>
      <w:r>
        <w:rPr>
          <w:spacing w:val="-11"/>
          <w:sz w:val="28"/>
          <w:szCs w:val="28"/>
        </w:rPr>
        <w:t>《</w:t>
      </w:r>
      <w:r>
        <w:rPr>
          <w:rFonts w:ascii="楷体" w:hAnsi="楷体" w:eastAsia="楷体" w:cs="楷体"/>
          <w:spacing w:val="-11"/>
          <w:sz w:val="28"/>
          <w:szCs w:val="28"/>
        </w:rPr>
        <w:t>装备维修性工作通用要求》编写。</w:t>
      </w:r>
    </w:p>
    <w:p w14:paraId="6140E15A">
      <w:pPr>
        <w:spacing w:before="69"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4"/>
          <w:sz w:val="27"/>
          <w:szCs w:val="27"/>
        </w:rPr>
        <w:t xml:space="preserve">  </w:t>
      </w:r>
      <w:r>
        <w:rPr>
          <w:rFonts w:ascii="黑体" w:hAnsi="黑体" w:eastAsia="黑体" w:cs="黑体"/>
          <w:spacing w:val="-3"/>
          <w:sz w:val="27"/>
          <w:szCs w:val="27"/>
        </w:rPr>
        <w:t>范围</w:t>
      </w:r>
    </w:p>
    <w:p w14:paraId="50A69EED">
      <w:pPr>
        <w:spacing w:before="92"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sz w:val="27"/>
          <w:szCs w:val="27"/>
        </w:rPr>
        <w:t>引用文件</w:t>
      </w:r>
    </w:p>
    <w:p w14:paraId="337BFAC0">
      <w:pPr>
        <w:spacing w:before="47" w:line="368" w:lineRule="exact"/>
        <w:rPr>
          <w:rFonts w:ascii="黑体" w:hAnsi="黑体" w:eastAsia="黑体" w:cs="黑体"/>
          <w:sz w:val="27"/>
          <w:szCs w:val="27"/>
        </w:rPr>
      </w:pPr>
      <w:r>
        <w:rPr>
          <w:rFonts w:ascii="Arial" w:hAnsi="Arial" w:eastAsia="Arial" w:cs="Arial"/>
          <w:spacing w:val="3"/>
          <w:position w:val="1"/>
          <w:sz w:val="27"/>
          <w:szCs w:val="27"/>
        </w:rPr>
        <w:t>3</w:t>
      </w:r>
      <w:r>
        <w:rPr>
          <w:rFonts w:ascii="Arial" w:hAnsi="Arial" w:eastAsia="Arial" w:cs="Arial"/>
          <w:spacing w:val="22"/>
          <w:position w:val="1"/>
          <w:sz w:val="27"/>
          <w:szCs w:val="27"/>
        </w:rPr>
        <w:t xml:space="preserve">   </w:t>
      </w:r>
      <w:r>
        <w:rPr>
          <w:rFonts w:ascii="黑体" w:hAnsi="黑体" w:eastAsia="黑体" w:cs="黑体"/>
          <w:spacing w:val="3"/>
          <w:position w:val="1"/>
          <w:sz w:val="27"/>
          <w:szCs w:val="27"/>
        </w:rPr>
        <w:t>数据的评价</w:t>
      </w:r>
    </w:p>
    <w:p w14:paraId="2204F7FC">
      <w:pPr>
        <w:pStyle w:val="2"/>
        <w:spacing w:before="99" w:line="274" w:lineRule="auto"/>
        <w:ind w:right="36" w:firstLine="560"/>
      </w:pPr>
      <w:r>
        <w:rPr>
          <w:spacing w:val="-3"/>
        </w:rPr>
        <w:t>明确对收集、分析、处理的数据进行评价的方法，确保获得</w:t>
      </w:r>
      <w:r>
        <w:rPr>
          <w:spacing w:val="-4"/>
        </w:rPr>
        <w:t>可信的评价结果</w:t>
      </w:r>
      <w:r>
        <w:t xml:space="preserve"> </w:t>
      </w:r>
      <w:r>
        <w:rPr>
          <w:spacing w:val="1"/>
        </w:rPr>
        <w:t>及其他有用信息。</w:t>
      </w:r>
    </w:p>
    <w:p w14:paraId="3AB322E6">
      <w:pPr>
        <w:spacing w:before="1"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4"/>
          <w:sz w:val="27"/>
          <w:szCs w:val="27"/>
        </w:rPr>
        <w:t xml:space="preserve">  </w:t>
      </w:r>
      <w:r>
        <w:rPr>
          <w:rFonts w:ascii="黑体" w:hAnsi="黑体" w:eastAsia="黑体" w:cs="黑体"/>
          <w:spacing w:val="1"/>
          <w:sz w:val="27"/>
          <w:szCs w:val="27"/>
        </w:rPr>
        <w:t>分析过程</w:t>
      </w:r>
    </w:p>
    <w:p w14:paraId="247FC36C">
      <w:pPr>
        <w:pStyle w:val="2"/>
        <w:spacing w:before="95" w:line="268" w:lineRule="auto"/>
        <w:ind w:right="42" w:firstLine="560"/>
      </w:pPr>
      <w:r>
        <w:rPr>
          <w:spacing w:val="5"/>
        </w:rPr>
        <w:t>客观描述依据使用期间维修性评价计划中要求的评价方法，制定的评</w:t>
      </w:r>
      <w:r>
        <w:rPr>
          <w:spacing w:val="4"/>
        </w:rPr>
        <w:t>价程</w:t>
      </w:r>
      <w:r>
        <w:t xml:space="preserve"> </w:t>
      </w:r>
      <w:r>
        <w:rPr>
          <w:spacing w:val="-3"/>
        </w:rPr>
        <w:t>序，对各项内容进行分析评价的过程。</w:t>
      </w:r>
    </w:p>
    <w:p w14:paraId="16D315F9">
      <w:pPr>
        <w:spacing w:before="26" w:line="222" w:lineRule="auto"/>
        <w:rPr>
          <w:rFonts w:ascii="黑体" w:hAnsi="黑体" w:eastAsia="黑体" w:cs="黑体"/>
          <w:sz w:val="27"/>
          <w:szCs w:val="27"/>
        </w:rPr>
      </w:pPr>
      <w:r>
        <w:rPr>
          <w:rFonts w:ascii="黑体" w:hAnsi="黑体" w:eastAsia="黑体" w:cs="黑体"/>
          <w:spacing w:val="3"/>
          <w:sz w:val="27"/>
          <w:szCs w:val="27"/>
        </w:rPr>
        <w:t>5</w:t>
      </w:r>
      <w:r>
        <w:rPr>
          <w:rFonts w:ascii="黑体" w:hAnsi="黑体" w:eastAsia="黑体" w:cs="黑体"/>
          <w:spacing w:val="16"/>
          <w:sz w:val="27"/>
          <w:szCs w:val="27"/>
        </w:rPr>
        <w:t xml:space="preserve">  </w:t>
      </w:r>
      <w:r>
        <w:rPr>
          <w:rFonts w:ascii="黑体" w:hAnsi="黑体" w:eastAsia="黑体" w:cs="黑体"/>
          <w:spacing w:val="3"/>
          <w:sz w:val="27"/>
          <w:szCs w:val="27"/>
        </w:rPr>
        <w:t>分析评价结论</w:t>
      </w:r>
    </w:p>
    <w:p w14:paraId="76D019B1">
      <w:pPr>
        <w:pStyle w:val="2"/>
        <w:spacing w:before="95" w:line="218" w:lineRule="auto"/>
        <w:ind w:left="560"/>
      </w:pPr>
      <w:r>
        <w:rPr>
          <w:spacing w:val="-3"/>
        </w:rPr>
        <w:t>依据评价准则、判据得出的分析评价结论。</w:t>
      </w:r>
    </w:p>
    <w:p w14:paraId="7E54313E">
      <w:pPr>
        <w:spacing w:before="84" w:line="223"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8"/>
          <w:sz w:val="27"/>
          <w:szCs w:val="27"/>
        </w:rPr>
        <w:t xml:space="preserve">  </w:t>
      </w:r>
      <w:r>
        <w:rPr>
          <w:rFonts w:ascii="黑体" w:hAnsi="黑体" w:eastAsia="黑体" w:cs="黑体"/>
          <w:sz w:val="27"/>
          <w:szCs w:val="27"/>
        </w:rPr>
        <w:t>纠正措施</w:t>
      </w:r>
    </w:p>
    <w:p w14:paraId="4344F3F2">
      <w:pPr>
        <w:pStyle w:val="2"/>
        <w:spacing w:before="84" w:line="219" w:lineRule="auto"/>
        <w:ind w:left="560"/>
      </w:pPr>
      <w:r>
        <w:rPr>
          <w:spacing w:val="-1"/>
        </w:rPr>
        <w:t>对使用期间发现的维修性设计缺陷，分析原因并制定纠正措施。</w:t>
      </w:r>
    </w:p>
    <w:p w14:paraId="33CACC64">
      <w:pPr>
        <w:spacing w:before="87" w:line="222"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20"/>
          <w:sz w:val="27"/>
          <w:szCs w:val="27"/>
        </w:rPr>
        <w:t xml:space="preserve">  </w:t>
      </w:r>
      <w:r>
        <w:rPr>
          <w:rFonts w:ascii="黑体" w:hAnsi="黑体" w:eastAsia="黑体" w:cs="黑体"/>
          <w:spacing w:val="-1"/>
          <w:sz w:val="27"/>
          <w:szCs w:val="27"/>
        </w:rPr>
        <w:t>改进建议</w:t>
      </w:r>
    </w:p>
    <w:p w14:paraId="43BB68C8">
      <w:pPr>
        <w:pStyle w:val="2"/>
        <w:spacing w:before="88" w:line="219" w:lineRule="auto"/>
        <w:ind w:left="560"/>
      </w:pPr>
      <w:r>
        <w:rPr>
          <w:spacing w:val="4"/>
        </w:rPr>
        <w:t>根据使用期间维修性情况提出维修性改进建议。</w:t>
      </w:r>
    </w:p>
    <w:p w14:paraId="673EC037">
      <w:pPr>
        <w:spacing w:before="87" w:line="221" w:lineRule="auto"/>
        <w:rPr>
          <w:rFonts w:ascii="黑体" w:hAnsi="黑体" w:eastAsia="黑体" w:cs="黑体"/>
          <w:sz w:val="27"/>
          <w:szCs w:val="27"/>
        </w:rPr>
      </w:pPr>
      <w:r>
        <w:rPr>
          <w:rFonts w:ascii="黑体" w:hAnsi="黑体" w:eastAsia="黑体" w:cs="黑体"/>
          <w:spacing w:val="3"/>
          <w:sz w:val="27"/>
          <w:szCs w:val="27"/>
        </w:rPr>
        <w:t>8</w:t>
      </w:r>
      <w:r>
        <w:rPr>
          <w:rFonts w:ascii="黑体" w:hAnsi="黑体" w:eastAsia="黑体" w:cs="黑体"/>
          <w:spacing w:val="17"/>
          <w:sz w:val="27"/>
          <w:szCs w:val="27"/>
        </w:rPr>
        <w:t xml:space="preserve">  </w:t>
      </w:r>
      <w:r>
        <w:rPr>
          <w:rFonts w:ascii="黑体" w:hAnsi="黑体" w:eastAsia="黑体" w:cs="黑体"/>
          <w:spacing w:val="3"/>
          <w:sz w:val="27"/>
          <w:szCs w:val="27"/>
        </w:rPr>
        <w:t>有关说明</w:t>
      </w:r>
    </w:p>
    <w:p w14:paraId="477823B2">
      <w:pPr>
        <w:pStyle w:val="2"/>
        <w:spacing w:before="87" w:line="218" w:lineRule="auto"/>
        <w:ind w:left="560"/>
      </w:pPr>
      <w:r>
        <w:rPr>
          <w:spacing w:val="-8"/>
        </w:rPr>
        <w:t>对有关情况进行说明，如与可靠性、测试性、保障性等有关评价协调情况。</w:t>
      </w:r>
    </w:p>
    <w:p w14:paraId="2A3F372D">
      <w:pPr>
        <w:spacing w:line="343" w:lineRule="auto"/>
        <w:rPr>
          <w:rFonts w:ascii="Arial"/>
          <w:sz w:val="21"/>
        </w:rPr>
      </w:pPr>
    </w:p>
    <w:p w14:paraId="3DFABA51">
      <w:pPr>
        <w:pStyle w:val="2"/>
        <w:spacing w:before="117" w:line="219" w:lineRule="auto"/>
        <w:ind w:left="2180"/>
        <w:outlineLvl w:val="1"/>
        <w:rPr>
          <w:sz w:val="36"/>
          <w:szCs w:val="36"/>
        </w:rPr>
      </w:pPr>
      <w:r>
        <w:rPr>
          <w:rFonts w:ascii="Times New Roman" w:hAnsi="Times New Roman" w:eastAsia="Times New Roman" w:cs="Times New Roman"/>
          <w:b/>
          <w:bCs/>
          <w:spacing w:val="2"/>
          <w:sz w:val="36"/>
          <w:szCs w:val="36"/>
        </w:rPr>
        <w:t xml:space="preserve">8.24     </w:t>
      </w:r>
      <w:r>
        <w:rPr>
          <w:b/>
          <w:bCs/>
          <w:spacing w:val="2"/>
          <w:sz w:val="36"/>
          <w:szCs w:val="36"/>
        </w:rPr>
        <w:t>使用期间维修性改进计划</w:t>
      </w:r>
    </w:p>
    <w:p w14:paraId="2BC38EA1">
      <w:pPr>
        <w:spacing w:line="324" w:lineRule="auto"/>
        <w:rPr>
          <w:rFonts w:ascii="Arial"/>
          <w:sz w:val="21"/>
        </w:rPr>
      </w:pPr>
    </w:p>
    <w:p w14:paraId="654EEF1E">
      <w:pPr>
        <w:pStyle w:val="2"/>
        <w:spacing w:before="92"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368B—2009</w:t>
      </w:r>
      <w:r>
        <w:rPr>
          <w:spacing w:val="-11"/>
          <w:sz w:val="28"/>
          <w:szCs w:val="28"/>
        </w:rPr>
        <w:t>《</w:t>
      </w:r>
      <w:r>
        <w:rPr>
          <w:rFonts w:ascii="楷体" w:hAnsi="楷体" w:eastAsia="楷体" w:cs="楷体"/>
          <w:spacing w:val="-11"/>
          <w:sz w:val="28"/>
          <w:szCs w:val="28"/>
        </w:rPr>
        <w:t>装备维修性工作通用要求》编写。</w:t>
      </w:r>
    </w:p>
    <w:p w14:paraId="77887947">
      <w:pPr>
        <w:spacing w:line="223" w:lineRule="auto"/>
        <w:rPr>
          <w:rFonts w:ascii="楷体" w:hAnsi="楷体" w:eastAsia="楷体" w:cs="楷体"/>
          <w:sz w:val="28"/>
          <w:szCs w:val="28"/>
        </w:rPr>
        <w:sectPr>
          <w:footerReference r:id="rId436" w:type="default"/>
          <w:pgSz w:w="11910" w:h="17130"/>
          <w:pgMar w:top="1456" w:right="1158" w:bottom="1607" w:left="1349" w:header="0" w:footer="1391" w:gutter="0"/>
          <w:cols w:space="720" w:num="1"/>
        </w:sectPr>
      </w:pPr>
    </w:p>
    <w:p w14:paraId="380912CE">
      <w:pPr>
        <w:spacing w:before="171" w:line="223" w:lineRule="auto"/>
        <w:rPr>
          <w:rFonts w:ascii="黑体" w:hAnsi="黑体" w:eastAsia="黑体" w:cs="黑体"/>
          <w:sz w:val="24"/>
          <w:szCs w:val="24"/>
        </w:rPr>
      </w:pPr>
      <w:r>
        <w:rPr>
          <w:rFonts w:ascii="黑体" w:hAnsi="黑体" w:eastAsia="黑体" w:cs="黑体"/>
          <w:spacing w:val="-14"/>
          <w:sz w:val="24"/>
          <w:szCs w:val="24"/>
        </w:rPr>
        <w:t>1</w:t>
      </w:r>
      <w:r>
        <w:rPr>
          <w:rFonts w:ascii="黑体" w:hAnsi="黑体" w:eastAsia="黑体" w:cs="黑体"/>
          <w:spacing w:val="48"/>
          <w:sz w:val="24"/>
          <w:szCs w:val="24"/>
        </w:rPr>
        <w:t xml:space="preserve">  </w:t>
      </w:r>
      <w:r>
        <w:rPr>
          <w:rFonts w:ascii="黑体" w:hAnsi="黑体" w:eastAsia="黑体" w:cs="黑体"/>
          <w:b/>
          <w:bCs/>
          <w:spacing w:val="-14"/>
          <w:sz w:val="24"/>
          <w:szCs w:val="24"/>
        </w:rPr>
        <w:t>范</w:t>
      </w:r>
      <w:r>
        <w:rPr>
          <w:rFonts w:ascii="黑体" w:hAnsi="黑体" w:eastAsia="黑体" w:cs="黑体"/>
          <w:spacing w:val="-26"/>
          <w:sz w:val="24"/>
          <w:szCs w:val="24"/>
        </w:rPr>
        <w:t xml:space="preserve"> </w:t>
      </w:r>
      <w:r>
        <w:rPr>
          <w:rFonts w:ascii="黑体" w:hAnsi="黑体" w:eastAsia="黑体" w:cs="黑体"/>
          <w:b/>
          <w:bCs/>
          <w:spacing w:val="-14"/>
          <w:sz w:val="24"/>
          <w:szCs w:val="24"/>
        </w:rPr>
        <w:t>围</w:t>
      </w:r>
    </w:p>
    <w:p w14:paraId="115FB045">
      <w:pPr>
        <w:spacing w:before="167" w:line="222" w:lineRule="auto"/>
        <w:rPr>
          <w:rFonts w:ascii="黑体" w:hAnsi="黑体" w:eastAsia="黑体" w:cs="黑体"/>
          <w:sz w:val="24"/>
          <w:szCs w:val="24"/>
        </w:rPr>
      </w:pPr>
      <w:r>
        <w:rPr>
          <w:rFonts w:ascii="黑体" w:hAnsi="黑体" w:eastAsia="黑体" w:cs="黑体"/>
          <w:spacing w:val="-15"/>
          <w:sz w:val="24"/>
          <w:szCs w:val="24"/>
        </w:rPr>
        <w:t>2</w:t>
      </w:r>
      <w:r>
        <w:rPr>
          <w:rFonts w:ascii="黑体" w:hAnsi="黑体" w:eastAsia="黑体" w:cs="黑体"/>
          <w:spacing w:val="40"/>
          <w:sz w:val="24"/>
          <w:szCs w:val="24"/>
        </w:rPr>
        <w:t xml:space="preserve">  </w:t>
      </w:r>
      <w:r>
        <w:rPr>
          <w:rFonts w:ascii="黑体" w:hAnsi="黑体" w:eastAsia="黑体" w:cs="黑体"/>
          <w:b/>
          <w:bCs/>
          <w:spacing w:val="-15"/>
          <w:sz w:val="24"/>
          <w:szCs w:val="24"/>
        </w:rPr>
        <w:t>引</w:t>
      </w:r>
      <w:r>
        <w:rPr>
          <w:rFonts w:ascii="黑体" w:hAnsi="黑体" w:eastAsia="黑体" w:cs="黑体"/>
          <w:spacing w:val="-47"/>
          <w:sz w:val="24"/>
          <w:szCs w:val="24"/>
        </w:rPr>
        <w:t xml:space="preserve"> </w:t>
      </w:r>
      <w:r>
        <w:rPr>
          <w:rFonts w:ascii="黑体" w:hAnsi="黑体" w:eastAsia="黑体" w:cs="黑体"/>
          <w:b/>
          <w:bCs/>
          <w:spacing w:val="-15"/>
          <w:sz w:val="24"/>
          <w:szCs w:val="24"/>
        </w:rPr>
        <w:t>用</w:t>
      </w:r>
      <w:r>
        <w:rPr>
          <w:rFonts w:ascii="黑体" w:hAnsi="黑体" w:eastAsia="黑体" w:cs="黑体"/>
          <w:spacing w:val="-50"/>
          <w:sz w:val="24"/>
          <w:szCs w:val="24"/>
        </w:rPr>
        <w:t xml:space="preserve"> </w:t>
      </w:r>
      <w:r>
        <w:rPr>
          <w:rFonts w:ascii="黑体" w:hAnsi="黑体" w:eastAsia="黑体" w:cs="黑体"/>
          <w:b/>
          <w:bCs/>
          <w:spacing w:val="-15"/>
          <w:sz w:val="24"/>
          <w:szCs w:val="24"/>
        </w:rPr>
        <w:t>文</w:t>
      </w:r>
      <w:r>
        <w:rPr>
          <w:rFonts w:ascii="黑体" w:hAnsi="黑体" w:eastAsia="黑体" w:cs="黑体"/>
          <w:spacing w:val="-54"/>
          <w:sz w:val="24"/>
          <w:szCs w:val="24"/>
        </w:rPr>
        <w:t xml:space="preserve"> </w:t>
      </w:r>
      <w:r>
        <w:rPr>
          <w:rFonts w:ascii="黑体" w:hAnsi="黑体" w:eastAsia="黑体" w:cs="黑体"/>
          <w:b/>
          <w:bCs/>
          <w:spacing w:val="-15"/>
          <w:sz w:val="24"/>
          <w:szCs w:val="24"/>
        </w:rPr>
        <w:t>件</w:t>
      </w:r>
    </w:p>
    <w:p w14:paraId="71642FA2">
      <w:pPr>
        <w:spacing w:before="171" w:line="222" w:lineRule="auto"/>
        <w:rPr>
          <w:rFonts w:ascii="黑体" w:hAnsi="黑体" w:eastAsia="黑体" w:cs="黑体"/>
          <w:sz w:val="24"/>
          <w:szCs w:val="24"/>
        </w:rPr>
      </w:pPr>
      <w:r>
        <w:rPr>
          <w:rFonts w:ascii="黑体" w:hAnsi="黑体" w:eastAsia="黑体" w:cs="黑体"/>
          <w:spacing w:val="26"/>
          <w:sz w:val="24"/>
          <w:szCs w:val="24"/>
        </w:rPr>
        <w:t>3</w:t>
      </w:r>
      <w:r>
        <w:rPr>
          <w:rFonts w:ascii="黑体" w:hAnsi="黑体" w:eastAsia="黑体" w:cs="黑体"/>
          <w:spacing w:val="45"/>
          <w:sz w:val="24"/>
          <w:szCs w:val="24"/>
        </w:rPr>
        <w:t xml:space="preserve">  </w:t>
      </w:r>
      <w:r>
        <w:rPr>
          <w:rFonts w:ascii="黑体" w:hAnsi="黑体" w:eastAsia="黑体" w:cs="黑体"/>
          <w:b/>
          <w:bCs/>
          <w:spacing w:val="26"/>
          <w:sz w:val="24"/>
          <w:szCs w:val="24"/>
        </w:rPr>
        <w:t>确定改进项目及其目标</w:t>
      </w:r>
    </w:p>
    <w:p w14:paraId="7348D1A2">
      <w:pPr>
        <w:pStyle w:val="2"/>
        <w:spacing w:before="137" w:line="271" w:lineRule="auto"/>
        <w:ind w:right="103" w:firstLine="580"/>
        <w:jc w:val="both"/>
      </w:pPr>
      <w:r>
        <w:rPr>
          <w:spacing w:val="6"/>
        </w:rPr>
        <w:t>根据装备在使用中发现的维修性问题和相关技</w:t>
      </w:r>
      <w:r>
        <w:rPr>
          <w:spacing w:val="5"/>
        </w:rPr>
        <w:t>术的发展，通过必要的权衡</w:t>
      </w:r>
      <w:r>
        <w:t xml:space="preserve"> </w:t>
      </w:r>
      <w:r>
        <w:rPr>
          <w:spacing w:val="5"/>
        </w:rPr>
        <w:t>分析或试验，确定需要改进的项目及改进目标。改进项目是那些对减少维修消</w:t>
      </w:r>
      <w:r>
        <w:rPr>
          <w:spacing w:val="15"/>
        </w:rPr>
        <w:t xml:space="preserve"> </w:t>
      </w:r>
      <w:r>
        <w:rPr>
          <w:spacing w:val="-4"/>
        </w:rPr>
        <w:t>耗时间、降低维修成本、降低维修技术难度有重要影响和效果的项目。</w:t>
      </w:r>
    </w:p>
    <w:p w14:paraId="52448417">
      <w:pPr>
        <w:spacing w:before="64" w:line="221" w:lineRule="auto"/>
        <w:rPr>
          <w:rFonts w:ascii="黑体" w:hAnsi="黑体" w:eastAsia="黑体" w:cs="黑体"/>
          <w:sz w:val="24"/>
          <w:szCs w:val="24"/>
        </w:rPr>
      </w:pPr>
      <w:r>
        <w:rPr>
          <w:rFonts w:ascii="黑体" w:hAnsi="黑体" w:eastAsia="黑体" w:cs="黑体"/>
          <w:spacing w:val="22"/>
          <w:sz w:val="24"/>
          <w:szCs w:val="24"/>
        </w:rPr>
        <w:t>4</w:t>
      </w:r>
      <w:r>
        <w:rPr>
          <w:rFonts w:ascii="黑体" w:hAnsi="黑体" w:eastAsia="黑体" w:cs="黑体"/>
          <w:spacing w:val="48"/>
          <w:sz w:val="24"/>
          <w:szCs w:val="24"/>
        </w:rPr>
        <w:t xml:space="preserve">  </w:t>
      </w:r>
      <w:r>
        <w:rPr>
          <w:rFonts w:ascii="黑体" w:hAnsi="黑体" w:eastAsia="黑体" w:cs="黑体"/>
          <w:b/>
          <w:bCs/>
          <w:spacing w:val="22"/>
          <w:sz w:val="24"/>
          <w:szCs w:val="24"/>
        </w:rPr>
        <w:t>改进方案</w:t>
      </w:r>
    </w:p>
    <w:p w14:paraId="2927042C">
      <w:pPr>
        <w:pStyle w:val="2"/>
        <w:spacing w:before="119" w:line="219" w:lineRule="auto"/>
        <w:ind w:left="580"/>
      </w:pPr>
      <w:r>
        <w:t>针对改进目标，制定改进方案。使用期间改进维修性的途径主要包括：</w:t>
      </w:r>
    </w:p>
    <w:p w14:paraId="2517E402">
      <w:pPr>
        <w:pStyle w:val="2"/>
        <w:spacing w:before="59" w:line="212" w:lineRule="auto"/>
        <w:ind w:left="580"/>
      </w:pPr>
      <w:r>
        <w:rPr>
          <w:rFonts w:ascii="Times New Roman" w:hAnsi="Times New Roman" w:eastAsia="Times New Roman" w:cs="Times New Roman"/>
        </w:rPr>
        <w:t xml:space="preserve">a)  </w:t>
      </w:r>
      <w:r>
        <w:t>设计更改；</w:t>
      </w:r>
    </w:p>
    <w:p w14:paraId="642B36ED">
      <w:pPr>
        <w:pStyle w:val="2"/>
        <w:spacing w:before="100" w:line="212" w:lineRule="auto"/>
        <w:ind w:left="580"/>
      </w:pPr>
      <w:r>
        <w:rPr>
          <w:rFonts w:ascii="Times New Roman" w:hAnsi="Times New Roman" w:eastAsia="Times New Roman" w:cs="Times New Roman"/>
          <w:spacing w:val="2"/>
        </w:rPr>
        <w:t xml:space="preserve">b)  </w:t>
      </w:r>
      <w:r>
        <w:rPr>
          <w:spacing w:val="2"/>
        </w:rPr>
        <w:t>制造工艺的更改；</w:t>
      </w:r>
    </w:p>
    <w:p w14:paraId="7EB64E73">
      <w:pPr>
        <w:pStyle w:val="2"/>
        <w:spacing w:before="100" w:line="212" w:lineRule="auto"/>
        <w:ind w:left="580"/>
      </w:pPr>
      <w:r>
        <w:rPr>
          <w:rFonts w:ascii="Times New Roman" w:hAnsi="Times New Roman" w:eastAsia="Times New Roman" w:cs="Times New Roman"/>
          <w:spacing w:val="1"/>
        </w:rPr>
        <w:t xml:space="preserve">c)  </w:t>
      </w:r>
      <w:r>
        <w:rPr>
          <w:spacing w:val="1"/>
        </w:rPr>
        <w:t>维修方法的改进；</w:t>
      </w:r>
    </w:p>
    <w:p w14:paraId="6025D5A1">
      <w:pPr>
        <w:pStyle w:val="2"/>
        <w:spacing w:before="100" w:line="212" w:lineRule="auto"/>
        <w:ind w:left="580"/>
      </w:pPr>
      <w:r>
        <w:rPr>
          <w:rFonts w:ascii="Times New Roman" w:hAnsi="Times New Roman" w:eastAsia="Times New Roman" w:cs="Times New Roman"/>
          <w:spacing w:val="4"/>
        </w:rPr>
        <w:t xml:space="preserve">d)  </w:t>
      </w:r>
      <w:r>
        <w:rPr>
          <w:spacing w:val="4"/>
        </w:rPr>
        <w:t>保障系统及保障资源的改进等。</w:t>
      </w:r>
    </w:p>
    <w:p w14:paraId="6DDB10CD">
      <w:pPr>
        <w:spacing w:before="164" w:line="221" w:lineRule="auto"/>
        <w:outlineLvl w:val="3"/>
        <w:rPr>
          <w:rFonts w:ascii="黑体" w:hAnsi="黑体" w:eastAsia="黑体" w:cs="黑体"/>
          <w:sz w:val="25"/>
          <w:szCs w:val="25"/>
        </w:rPr>
      </w:pPr>
      <w:r>
        <w:rPr>
          <w:rFonts w:ascii="Arial" w:hAnsi="Arial" w:eastAsia="Arial" w:cs="Arial"/>
          <w:b/>
          <w:bCs/>
          <w:spacing w:val="8"/>
          <w:sz w:val="25"/>
          <w:szCs w:val="25"/>
        </w:rPr>
        <w:t>5</w:t>
      </w:r>
      <w:r>
        <w:rPr>
          <w:rFonts w:ascii="Arial" w:hAnsi="Arial" w:eastAsia="Arial" w:cs="Arial"/>
          <w:b/>
          <w:bCs/>
          <w:spacing w:val="12"/>
          <w:sz w:val="25"/>
          <w:szCs w:val="25"/>
        </w:rPr>
        <w:t xml:space="preserve">    </w:t>
      </w:r>
      <w:r>
        <w:rPr>
          <w:rFonts w:ascii="黑体" w:hAnsi="黑体" w:eastAsia="黑体" w:cs="黑体"/>
          <w:b/>
          <w:bCs/>
          <w:spacing w:val="8"/>
          <w:sz w:val="25"/>
          <w:szCs w:val="25"/>
        </w:rPr>
        <w:t>改进单位、人员及其职责</w:t>
      </w:r>
    </w:p>
    <w:p w14:paraId="3A9A2A0E">
      <w:pPr>
        <w:pStyle w:val="2"/>
        <w:spacing w:before="118" w:line="219" w:lineRule="auto"/>
        <w:ind w:left="580"/>
      </w:pPr>
      <w:r>
        <w:rPr>
          <w:spacing w:val="-4"/>
        </w:rPr>
        <w:t>明确进行维修性改进的单位、人员及其职责。</w:t>
      </w:r>
    </w:p>
    <w:p w14:paraId="0F7834B5">
      <w:pPr>
        <w:pStyle w:val="2"/>
        <w:spacing w:before="89" w:line="219" w:lineRule="auto"/>
        <w:ind w:left="580"/>
      </w:pPr>
      <w:r>
        <w:rPr>
          <w:spacing w:val="-1"/>
        </w:rPr>
        <w:t>维修性改进还应有专门的组织负责管理，其主要职责是：</w:t>
      </w:r>
    </w:p>
    <w:p w14:paraId="3E061E82">
      <w:pPr>
        <w:pStyle w:val="2"/>
        <w:spacing w:before="59" w:line="212" w:lineRule="auto"/>
        <w:ind w:left="580"/>
      </w:pPr>
      <w:r>
        <w:rPr>
          <w:rFonts w:ascii="Times New Roman" w:hAnsi="Times New Roman" w:eastAsia="Times New Roman" w:cs="Times New Roman"/>
          <w:spacing w:val="3"/>
        </w:rPr>
        <w:t xml:space="preserve">a)  </w:t>
      </w:r>
      <w:r>
        <w:rPr>
          <w:spacing w:val="3"/>
        </w:rPr>
        <w:t>组织论证并确定维修性改进项目；</w:t>
      </w:r>
    </w:p>
    <w:p w14:paraId="56DEF418">
      <w:pPr>
        <w:pStyle w:val="2"/>
        <w:spacing w:before="120" w:line="212" w:lineRule="auto"/>
        <w:ind w:left="580"/>
      </w:pPr>
      <w:r>
        <w:rPr>
          <w:rFonts w:ascii="Times New Roman" w:hAnsi="Times New Roman" w:eastAsia="Times New Roman" w:cs="Times New Roman"/>
          <w:spacing w:val="3"/>
        </w:rPr>
        <w:t>b)</w:t>
      </w:r>
      <w:r>
        <w:rPr>
          <w:rFonts w:ascii="Times New Roman" w:hAnsi="Times New Roman" w:eastAsia="Times New Roman" w:cs="Times New Roman"/>
          <w:spacing w:val="75"/>
        </w:rPr>
        <w:t xml:space="preserve"> </w:t>
      </w:r>
      <w:r>
        <w:rPr>
          <w:spacing w:val="3"/>
        </w:rPr>
        <w:t>制定维修性改进计划；</w:t>
      </w:r>
    </w:p>
    <w:p w14:paraId="3D02E394">
      <w:pPr>
        <w:pStyle w:val="2"/>
        <w:spacing w:before="90" w:line="212" w:lineRule="auto"/>
        <w:ind w:left="580"/>
      </w:pPr>
      <w:r>
        <w:rPr>
          <w:rFonts w:ascii="Times New Roman" w:hAnsi="Times New Roman" w:eastAsia="Times New Roman" w:cs="Times New Roman"/>
          <w:spacing w:val="-4"/>
        </w:rPr>
        <w:t xml:space="preserve">c)  </w:t>
      </w:r>
      <w:r>
        <w:rPr>
          <w:spacing w:val="-4"/>
        </w:rPr>
        <w:t>组织对改进项目、改进方案的评审；</w:t>
      </w:r>
    </w:p>
    <w:p w14:paraId="6ABC09E7">
      <w:pPr>
        <w:pStyle w:val="2"/>
        <w:spacing w:before="100" w:line="212" w:lineRule="auto"/>
        <w:ind w:left="580"/>
      </w:pPr>
      <w:r>
        <w:rPr>
          <w:rFonts w:ascii="Times New Roman" w:hAnsi="Times New Roman" w:eastAsia="Times New Roman" w:cs="Times New Roman"/>
          <w:spacing w:val="2"/>
        </w:rPr>
        <w:t>d)</w:t>
      </w:r>
      <w:r>
        <w:rPr>
          <w:rFonts w:ascii="Times New Roman" w:hAnsi="Times New Roman" w:eastAsia="Times New Roman" w:cs="Times New Roman"/>
          <w:spacing w:val="65"/>
        </w:rPr>
        <w:t xml:space="preserve"> </w:t>
      </w:r>
      <w:r>
        <w:rPr>
          <w:spacing w:val="2"/>
        </w:rPr>
        <w:t>对改进的过程进行跟踪；</w:t>
      </w:r>
    </w:p>
    <w:p w14:paraId="72CA332C">
      <w:pPr>
        <w:pStyle w:val="2"/>
        <w:spacing w:before="121" w:line="219" w:lineRule="auto"/>
        <w:ind w:left="580"/>
      </w:pPr>
      <w:r>
        <w:rPr>
          <w:rFonts w:ascii="Times New Roman" w:hAnsi="Times New Roman" w:eastAsia="Times New Roman" w:cs="Times New Roman"/>
          <w:spacing w:val="2"/>
        </w:rPr>
        <w:t>e</w:t>
      </w:r>
      <w:r>
        <w:rPr>
          <w:spacing w:val="2"/>
        </w:rPr>
        <w:t>)</w:t>
      </w:r>
      <w:r>
        <w:rPr>
          <w:spacing w:val="-40"/>
        </w:rPr>
        <w:t xml:space="preserve"> </w:t>
      </w:r>
      <w:r>
        <w:rPr>
          <w:spacing w:val="2"/>
        </w:rPr>
        <w:t>组织改进项目的验证；</w:t>
      </w:r>
    </w:p>
    <w:p w14:paraId="654072B6">
      <w:pPr>
        <w:pStyle w:val="2"/>
        <w:spacing w:before="91" w:line="212" w:lineRule="auto"/>
        <w:ind w:left="580"/>
        <w:rPr>
          <w:sz w:val="24"/>
          <w:szCs w:val="24"/>
        </w:rPr>
      </w:pPr>
      <w:r>
        <w:rPr>
          <w:rFonts w:ascii="Times New Roman" w:hAnsi="Times New Roman" w:eastAsia="Times New Roman" w:cs="Times New Roman"/>
          <w:spacing w:val="26"/>
          <w:sz w:val="24"/>
          <w:szCs w:val="24"/>
        </w:rPr>
        <w:t xml:space="preserve">f)  </w:t>
      </w:r>
      <w:r>
        <w:rPr>
          <w:spacing w:val="26"/>
          <w:sz w:val="24"/>
          <w:szCs w:val="24"/>
        </w:rPr>
        <w:t>编制维修性改进项目报告等。</w:t>
      </w:r>
    </w:p>
    <w:p w14:paraId="77C3305F">
      <w:pPr>
        <w:spacing w:before="159" w:line="222" w:lineRule="auto"/>
        <w:rPr>
          <w:rFonts w:ascii="黑体" w:hAnsi="黑体" w:eastAsia="黑体" w:cs="黑体"/>
          <w:sz w:val="27"/>
          <w:szCs w:val="27"/>
        </w:rPr>
      </w:pPr>
      <w:r>
        <w:rPr>
          <w:rFonts w:ascii="黑体" w:hAnsi="黑体" w:eastAsia="黑体" w:cs="黑体"/>
          <w:spacing w:val="-7"/>
          <w:sz w:val="27"/>
          <w:szCs w:val="27"/>
        </w:rPr>
        <w:t>6</w:t>
      </w:r>
      <w:r>
        <w:rPr>
          <w:rFonts w:ascii="黑体" w:hAnsi="黑体" w:eastAsia="黑体" w:cs="黑体"/>
          <w:spacing w:val="30"/>
          <w:sz w:val="27"/>
          <w:szCs w:val="27"/>
        </w:rPr>
        <w:t xml:space="preserve">  </w:t>
      </w:r>
      <w:r>
        <w:rPr>
          <w:rFonts w:ascii="黑体" w:hAnsi="黑体" w:eastAsia="黑体" w:cs="黑体"/>
          <w:b/>
          <w:bCs/>
          <w:spacing w:val="-7"/>
          <w:sz w:val="27"/>
          <w:szCs w:val="27"/>
        </w:rPr>
        <w:t>经费安排</w:t>
      </w:r>
    </w:p>
    <w:p w14:paraId="0DD58623">
      <w:pPr>
        <w:pStyle w:val="2"/>
        <w:spacing w:before="119" w:line="219" w:lineRule="auto"/>
        <w:ind w:left="650"/>
      </w:pPr>
      <w:r>
        <w:rPr>
          <w:spacing w:val="-1"/>
        </w:rPr>
        <w:t>明确经费安排。</w:t>
      </w:r>
    </w:p>
    <w:p w14:paraId="7FC23FD1">
      <w:pPr>
        <w:spacing w:before="84" w:line="222" w:lineRule="auto"/>
        <w:rPr>
          <w:rFonts w:ascii="黑体" w:hAnsi="黑体" w:eastAsia="黑体" w:cs="黑体"/>
          <w:sz w:val="25"/>
          <w:szCs w:val="25"/>
        </w:rPr>
      </w:pPr>
      <w:r>
        <w:rPr>
          <w:rFonts w:ascii="黑体" w:hAnsi="黑体" w:eastAsia="黑体" w:cs="黑体"/>
          <w:spacing w:val="12"/>
          <w:sz w:val="25"/>
          <w:szCs w:val="25"/>
        </w:rPr>
        <w:t>7</w:t>
      </w:r>
      <w:r>
        <w:rPr>
          <w:rFonts w:ascii="黑体" w:hAnsi="黑体" w:eastAsia="黑体" w:cs="黑体"/>
          <w:spacing w:val="44"/>
          <w:sz w:val="25"/>
          <w:szCs w:val="25"/>
        </w:rPr>
        <w:t xml:space="preserve">  </w:t>
      </w:r>
      <w:r>
        <w:rPr>
          <w:rFonts w:ascii="黑体" w:hAnsi="黑体" w:eastAsia="黑体" w:cs="黑体"/>
          <w:b/>
          <w:bCs/>
          <w:spacing w:val="12"/>
          <w:sz w:val="25"/>
          <w:szCs w:val="25"/>
        </w:rPr>
        <w:t>进度安排</w:t>
      </w:r>
    </w:p>
    <w:p w14:paraId="4455E86B">
      <w:pPr>
        <w:pStyle w:val="2"/>
        <w:spacing w:before="115" w:line="219" w:lineRule="auto"/>
        <w:ind w:left="580"/>
      </w:pPr>
      <w:r>
        <w:rPr>
          <w:spacing w:val="2"/>
        </w:rPr>
        <w:t>明确维修性改进工作进度安排。</w:t>
      </w:r>
    </w:p>
    <w:p w14:paraId="6996CEB8">
      <w:pPr>
        <w:spacing w:before="83" w:line="221" w:lineRule="auto"/>
        <w:outlineLvl w:val="3"/>
        <w:rPr>
          <w:rFonts w:ascii="黑体" w:hAnsi="黑体" w:eastAsia="黑体" w:cs="黑体"/>
          <w:sz w:val="27"/>
          <w:szCs w:val="27"/>
        </w:rPr>
      </w:pPr>
      <w:r>
        <w:rPr>
          <w:rFonts w:ascii="Arial" w:hAnsi="Arial" w:eastAsia="Arial" w:cs="Arial"/>
          <w:b/>
          <w:bCs/>
          <w:sz w:val="27"/>
          <w:szCs w:val="27"/>
        </w:rPr>
        <w:t xml:space="preserve">8    </w:t>
      </w:r>
      <w:r>
        <w:rPr>
          <w:rFonts w:ascii="黑体" w:hAnsi="黑体" w:eastAsia="黑体" w:cs="黑体"/>
          <w:b/>
          <w:bCs/>
          <w:sz w:val="27"/>
          <w:szCs w:val="27"/>
        </w:rPr>
        <w:t>验证要求和方法</w:t>
      </w:r>
    </w:p>
    <w:p w14:paraId="733CC5F9">
      <w:pPr>
        <w:pStyle w:val="2"/>
        <w:spacing w:before="82" w:line="219" w:lineRule="auto"/>
        <w:ind w:left="580"/>
      </w:pPr>
      <w:r>
        <w:t>对改进项目提出验证要求和方法，说明采用验证方法的理由。</w:t>
      </w:r>
    </w:p>
    <w:p w14:paraId="040F270C">
      <w:pPr>
        <w:spacing w:before="96" w:line="222" w:lineRule="auto"/>
        <w:rPr>
          <w:rFonts w:ascii="黑体" w:hAnsi="黑体" w:eastAsia="黑体" w:cs="黑体"/>
          <w:sz w:val="27"/>
          <w:szCs w:val="27"/>
        </w:rPr>
      </w:pPr>
      <w:r>
        <w:rPr>
          <w:rFonts w:ascii="黑体" w:hAnsi="黑体" w:eastAsia="黑体" w:cs="黑体"/>
          <w:spacing w:val="2"/>
          <w:sz w:val="27"/>
          <w:szCs w:val="27"/>
        </w:rPr>
        <w:t>9</w:t>
      </w:r>
      <w:r>
        <w:rPr>
          <w:rFonts w:ascii="黑体" w:hAnsi="黑体" w:eastAsia="黑体" w:cs="黑体"/>
          <w:spacing w:val="27"/>
          <w:sz w:val="27"/>
          <w:szCs w:val="27"/>
        </w:rPr>
        <w:t xml:space="preserve">  </w:t>
      </w:r>
      <w:r>
        <w:rPr>
          <w:rFonts w:ascii="黑体" w:hAnsi="黑体" w:eastAsia="黑体" w:cs="黑体"/>
          <w:b/>
          <w:bCs/>
          <w:spacing w:val="2"/>
          <w:sz w:val="27"/>
          <w:szCs w:val="27"/>
        </w:rPr>
        <w:t>与其他改进项目的协调和权衡</w:t>
      </w:r>
    </w:p>
    <w:p w14:paraId="4A39363C">
      <w:pPr>
        <w:pStyle w:val="2"/>
        <w:spacing w:before="101" w:line="219" w:lineRule="auto"/>
        <w:jc w:val="right"/>
      </w:pPr>
      <w:r>
        <w:t>必须与装备的其他改进项目进行充分的协调和权衡，以保证总体改进效益。</w:t>
      </w:r>
    </w:p>
    <w:p w14:paraId="344A1B88">
      <w:pPr>
        <w:spacing w:line="345" w:lineRule="auto"/>
        <w:rPr>
          <w:rFonts w:ascii="Arial"/>
          <w:sz w:val="21"/>
        </w:rPr>
      </w:pPr>
    </w:p>
    <w:p w14:paraId="6FB4D3C4">
      <w:pPr>
        <w:pStyle w:val="2"/>
        <w:spacing w:before="118" w:line="218" w:lineRule="auto"/>
        <w:ind w:left="2210"/>
        <w:outlineLvl w:val="1"/>
        <w:rPr>
          <w:sz w:val="36"/>
          <w:szCs w:val="36"/>
        </w:rPr>
      </w:pPr>
      <w:r>
        <w:rPr>
          <w:rFonts w:ascii="Times New Roman" w:hAnsi="Times New Roman" w:eastAsia="Times New Roman" w:cs="Times New Roman"/>
          <w:b/>
          <w:bCs/>
          <w:spacing w:val="3"/>
          <w:sz w:val="36"/>
          <w:szCs w:val="36"/>
        </w:rPr>
        <w:t xml:space="preserve">8.25     </w:t>
      </w:r>
      <w:r>
        <w:rPr>
          <w:b/>
          <w:bCs/>
          <w:spacing w:val="3"/>
          <w:sz w:val="36"/>
          <w:szCs w:val="36"/>
        </w:rPr>
        <w:t>使用期间维修性改进报告</w:t>
      </w:r>
    </w:p>
    <w:p w14:paraId="3F0544DE">
      <w:pPr>
        <w:spacing w:line="359" w:lineRule="auto"/>
        <w:rPr>
          <w:rFonts w:ascii="Arial"/>
          <w:sz w:val="21"/>
        </w:rPr>
      </w:pPr>
    </w:p>
    <w:p w14:paraId="751AF4F3">
      <w:pPr>
        <w:pStyle w:val="2"/>
        <w:spacing w:before="92" w:line="223" w:lineRule="auto"/>
        <w:ind w:left="6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368B—2009</w:t>
      </w:r>
      <w:r>
        <w:rPr>
          <w:spacing w:val="-10"/>
          <w:sz w:val="28"/>
          <w:szCs w:val="28"/>
        </w:rPr>
        <w:t>《</w:t>
      </w:r>
      <w:r>
        <w:rPr>
          <w:rFonts w:ascii="楷体" w:hAnsi="楷体" w:eastAsia="楷体" w:cs="楷体"/>
          <w:spacing w:val="-10"/>
          <w:sz w:val="28"/>
          <w:szCs w:val="28"/>
        </w:rPr>
        <w:t>装备维</w:t>
      </w:r>
      <w:r>
        <w:rPr>
          <w:rFonts w:ascii="楷体" w:hAnsi="楷体" w:eastAsia="楷体" w:cs="楷体"/>
          <w:spacing w:val="-11"/>
          <w:sz w:val="28"/>
          <w:szCs w:val="28"/>
        </w:rPr>
        <w:t>修性工作通用要求》编写。</w:t>
      </w:r>
    </w:p>
    <w:p w14:paraId="735CEAAB">
      <w:pPr>
        <w:spacing w:line="223" w:lineRule="auto"/>
        <w:rPr>
          <w:rFonts w:ascii="楷体" w:hAnsi="楷体" w:eastAsia="楷体" w:cs="楷体"/>
          <w:sz w:val="28"/>
          <w:szCs w:val="28"/>
        </w:rPr>
        <w:sectPr>
          <w:footerReference r:id="rId437" w:type="default"/>
          <w:pgSz w:w="11910" w:h="17130"/>
          <w:pgMar w:top="1456" w:right="1114" w:bottom="1596" w:left="1289" w:header="0" w:footer="1407" w:gutter="0"/>
          <w:cols w:space="720" w:num="1"/>
        </w:sectPr>
      </w:pPr>
    </w:p>
    <w:p w14:paraId="27972BAB">
      <w:pPr>
        <w:spacing w:before="91"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21"/>
          <w:sz w:val="27"/>
          <w:szCs w:val="27"/>
        </w:rPr>
        <w:t xml:space="preserve">  </w:t>
      </w:r>
      <w:r>
        <w:rPr>
          <w:rFonts w:ascii="黑体" w:hAnsi="黑体" w:eastAsia="黑体" w:cs="黑体"/>
          <w:b/>
          <w:bCs/>
          <w:spacing w:val="-4"/>
          <w:sz w:val="27"/>
          <w:szCs w:val="27"/>
        </w:rPr>
        <w:t>范围</w:t>
      </w:r>
    </w:p>
    <w:p w14:paraId="5B013074">
      <w:pPr>
        <w:spacing w:before="8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6A7021D8">
      <w:pPr>
        <w:spacing w:before="83" w:line="219" w:lineRule="auto"/>
        <w:rPr>
          <w:rFonts w:ascii="黑体" w:hAnsi="黑体" w:eastAsia="黑体" w:cs="黑体"/>
          <w:sz w:val="27"/>
          <w:szCs w:val="27"/>
        </w:rPr>
      </w:pPr>
      <w:r>
        <w:rPr>
          <w:rFonts w:ascii="黑体" w:hAnsi="黑体" w:eastAsia="黑体" w:cs="黑体"/>
          <w:spacing w:val="3"/>
          <w:sz w:val="27"/>
          <w:szCs w:val="27"/>
        </w:rPr>
        <w:t xml:space="preserve">3  </w:t>
      </w:r>
      <w:r>
        <w:rPr>
          <w:rFonts w:ascii="黑体" w:hAnsi="黑体" w:eastAsia="黑体" w:cs="黑体"/>
          <w:b/>
          <w:bCs/>
          <w:spacing w:val="3"/>
          <w:sz w:val="27"/>
          <w:szCs w:val="27"/>
        </w:rPr>
        <w:t>改进计划的执行情况</w:t>
      </w:r>
    </w:p>
    <w:p w14:paraId="1227D59D">
      <w:pPr>
        <w:pStyle w:val="2"/>
        <w:spacing w:before="86" w:line="282" w:lineRule="auto"/>
        <w:ind w:right="4" w:firstLine="580"/>
      </w:pPr>
      <w:r>
        <w:rPr>
          <w:spacing w:val="-11"/>
        </w:rPr>
        <w:t>对照使用期间维修性改进计划，说明执行情况，包括改进目标、改进方案、各</w:t>
      </w:r>
      <w:r>
        <w:rPr>
          <w:spacing w:val="15"/>
        </w:rPr>
        <w:t xml:space="preserve"> </w:t>
      </w:r>
      <w:r>
        <w:rPr>
          <w:spacing w:val="-7"/>
        </w:rPr>
        <w:t>级各类人员职责、经费使用、进度安排、相关验证和协调权衡等的落实情况。</w:t>
      </w:r>
    </w:p>
    <w:p w14:paraId="7214B3EA">
      <w:pPr>
        <w:spacing w:before="1" w:line="221" w:lineRule="auto"/>
        <w:rPr>
          <w:rFonts w:ascii="黑体" w:hAnsi="黑体" w:eastAsia="黑体" w:cs="黑体"/>
          <w:sz w:val="24"/>
          <w:szCs w:val="24"/>
        </w:rPr>
      </w:pPr>
      <w:r>
        <w:rPr>
          <w:rFonts w:ascii="黑体" w:hAnsi="黑体" w:eastAsia="黑体" w:cs="黑体"/>
          <w:spacing w:val="26"/>
          <w:sz w:val="24"/>
          <w:szCs w:val="24"/>
        </w:rPr>
        <w:t>4</w:t>
      </w:r>
      <w:r>
        <w:rPr>
          <w:rFonts w:ascii="黑体" w:hAnsi="黑体" w:eastAsia="黑体" w:cs="黑体"/>
          <w:spacing w:val="34"/>
          <w:sz w:val="24"/>
          <w:szCs w:val="24"/>
        </w:rPr>
        <w:t xml:space="preserve">  </w:t>
      </w:r>
      <w:r>
        <w:rPr>
          <w:rFonts w:ascii="黑体" w:hAnsi="黑体" w:eastAsia="黑体" w:cs="黑体"/>
          <w:b/>
          <w:bCs/>
          <w:spacing w:val="26"/>
          <w:sz w:val="24"/>
          <w:szCs w:val="24"/>
        </w:rPr>
        <w:t>各项目改进过程</w:t>
      </w:r>
    </w:p>
    <w:p w14:paraId="134A0BB8">
      <w:pPr>
        <w:pStyle w:val="2"/>
        <w:spacing w:before="107" w:line="219" w:lineRule="auto"/>
        <w:ind w:left="580"/>
      </w:pPr>
      <w:r>
        <w:rPr>
          <w:spacing w:val="-2"/>
        </w:rPr>
        <w:t>根据改进计划，具体说明各项目改进实施过程。</w:t>
      </w:r>
    </w:p>
    <w:p w14:paraId="6267EB48">
      <w:pPr>
        <w:spacing w:before="104" w:line="222" w:lineRule="auto"/>
        <w:outlineLvl w:val="3"/>
        <w:rPr>
          <w:rFonts w:ascii="黑体" w:hAnsi="黑体" w:eastAsia="黑体" w:cs="黑体"/>
          <w:sz w:val="24"/>
          <w:szCs w:val="24"/>
        </w:rPr>
      </w:pPr>
      <w:r>
        <w:rPr>
          <w:rFonts w:ascii="Arial" w:hAnsi="Arial" w:eastAsia="Arial" w:cs="Arial"/>
          <w:b/>
          <w:bCs/>
          <w:spacing w:val="18"/>
          <w:sz w:val="24"/>
          <w:szCs w:val="24"/>
        </w:rPr>
        <w:t xml:space="preserve">5    </w:t>
      </w:r>
      <w:r>
        <w:rPr>
          <w:rFonts w:ascii="黑体" w:hAnsi="黑体" w:eastAsia="黑体" w:cs="黑体"/>
          <w:b/>
          <w:bCs/>
          <w:spacing w:val="18"/>
          <w:sz w:val="24"/>
          <w:szCs w:val="24"/>
        </w:rPr>
        <w:t>改进结果分析</w:t>
      </w:r>
    </w:p>
    <w:p w14:paraId="443E8D9A">
      <w:pPr>
        <w:pStyle w:val="2"/>
        <w:spacing w:before="84" w:line="276" w:lineRule="auto"/>
        <w:ind w:right="3" w:firstLine="580"/>
      </w:pPr>
      <w:r>
        <w:rPr>
          <w:spacing w:val="6"/>
        </w:rPr>
        <w:t>具体说明改进项目的验证情况。通过对改进结果</w:t>
      </w:r>
      <w:r>
        <w:rPr>
          <w:spacing w:val="5"/>
        </w:rPr>
        <w:t>进行分析，评价改进措施</w:t>
      </w:r>
      <w:r>
        <w:t xml:space="preserve"> </w:t>
      </w:r>
      <w:r>
        <w:rPr>
          <w:spacing w:val="-3"/>
        </w:rPr>
        <w:t>的有效性。</w:t>
      </w:r>
    </w:p>
    <w:p w14:paraId="7D0BAD4F">
      <w:pPr>
        <w:spacing w:before="1" w:line="220"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5"/>
          <w:sz w:val="27"/>
          <w:szCs w:val="27"/>
        </w:rPr>
        <w:t xml:space="preserve">  </w:t>
      </w:r>
      <w:r>
        <w:rPr>
          <w:rFonts w:ascii="黑体" w:hAnsi="黑体" w:eastAsia="黑体" w:cs="黑体"/>
          <w:b/>
          <w:bCs/>
          <w:spacing w:val="-1"/>
          <w:sz w:val="27"/>
          <w:szCs w:val="27"/>
        </w:rPr>
        <w:t>有关说明</w:t>
      </w:r>
    </w:p>
    <w:p w14:paraId="753B3802">
      <w:pPr>
        <w:pStyle w:val="2"/>
        <w:spacing w:before="104" w:line="219" w:lineRule="auto"/>
        <w:ind w:left="580"/>
      </w:pPr>
      <w:r>
        <w:rPr>
          <w:spacing w:val="4"/>
        </w:rPr>
        <w:t>具体说明与装备其他改进项目的协调和权衡情况。</w:t>
      </w:r>
    </w:p>
    <w:p w14:paraId="2EF91BF1">
      <w:pPr>
        <w:spacing w:before="93" w:line="222" w:lineRule="auto"/>
        <w:rPr>
          <w:rFonts w:ascii="黑体" w:hAnsi="黑体" w:eastAsia="黑体" w:cs="黑体"/>
          <w:sz w:val="25"/>
          <w:szCs w:val="25"/>
        </w:rPr>
      </w:pPr>
      <w:r>
        <w:rPr>
          <w:rFonts w:ascii="黑体" w:hAnsi="黑体" w:eastAsia="黑体" w:cs="黑体"/>
          <w:spacing w:val="16"/>
          <w:sz w:val="25"/>
          <w:szCs w:val="25"/>
        </w:rPr>
        <w:t>7</w:t>
      </w:r>
      <w:r>
        <w:rPr>
          <w:rFonts w:ascii="黑体" w:hAnsi="黑体" w:eastAsia="黑体" w:cs="黑体"/>
          <w:spacing w:val="30"/>
          <w:sz w:val="25"/>
          <w:szCs w:val="25"/>
        </w:rPr>
        <w:t xml:space="preserve">  </w:t>
      </w:r>
      <w:r>
        <w:rPr>
          <w:rFonts w:ascii="黑体" w:hAnsi="黑体" w:eastAsia="黑体" w:cs="黑体"/>
          <w:b/>
          <w:bCs/>
          <w:spacing w:val="16"/>
          <w:sz w:val="25"/>
          <w:szCs w:val="25"/>
        </w:rPr>
        <w:t>有关建议</w:t>
      </w:r>
    </w:p>
    <w:p w14:paraId="42A18BC2">
      <w:pPr>
        <w:pStyle w:val="2"/>
        <w:spacing w:before="97" w:line="282" w:lineRule="auto"/>
        <w:ind w:firstLine="580"/>
      </w:pPr>
      <w:r>
        <w:rPr>
          <w:spacing w:val="6"/>
        </w:rPr>
        <w:t>对尚未完全落实的改进措施提出处理建议，对已落实的改</w:t>
      </w:r>
      <w:r>
        <w:rPr>
          <w:spacing w:val="5"/>
        </w:rPr>
        <w:t>进措施提出推广</w:t>
      </w:r>
      <w:r>
        <w:t xml:space="preserve"> </w:t>
      </w:r>
      <w:r>
        <w:rPr>
          <w:spacing w:val="-3"/>
        </w:rPr>
        <w:t>使用建议。</w:t>
      </w:r>
    </w:p>
    <w:p w14:paraId="34C7C60B">
      <w:pPr>
        <w:spacing w:line="282" w:lineRule="auto"/>
        <w:sectPr>
          <w:footerReference r:id="rId438" w:type="default"/>
          <w:pgSz w:w="11910" w:h="17130"/>
          <w:pgMar w:top="1456" w:right="1143" w:bottom="1587" w:left="1360" w:header="0" w:footer="1406" w:gutter="0"/>
          <w:cols w:space="720" w:num="1"/>
        </w:sectPr>
      </w:pPr>
    </w:p>
    <w:p w14:paraId="14AD5580">
      <w:pPr>
        <w:spacing w:line="264" w:lineRule="auto"/>
        <w:rPr>
          <w:rFonts w:ascii="Arial"/>
          <w:sz w:val="21"/>
        </w:rPr>
      </w:pPr>
    </w:p>
    <w:p w14:paraId="033393BB">
      <w:pPr>
        <w:spacing w:line="264" w:lineRule="auto"/>
        <w:rPr>
          <w:rFonts w:ascii="Arial"/>
          <w:sz w:val="21"/>
        </w:rPr>
      </w:pPr>
    </w:p>
    <w:p w14:paraId="423BAC24">
      <w:pPr>
        <w:spacing w:line="265" w:lineRule="auto"/>
        <w:rPr>
          <w:rFonts w:ascii="Arial"/>
          <w:sz w:val="21"/>
        </w:rPr>
      </w:pPr>
    </w:p>
    <w:p w14:paraId="14F7D5BE">
      <w:pPr>
        <w:spacing w:line="265" w:lineRule="auto"/>
        <w:rPr>
          <w:rFonts w:ascii="Arial"/>
          <w:sz w:val="21"/>
        </w:rPr>
      </w:pPr>
    </w:p>
    <w:p w14:paraId="5A4440EF">
      <w:pPr>
        <w:spacing w:before="143" w:line="221" w:lineRule="auto"/>
        <w:ind w:left="2600"/>
        <w:rPr>
          <w:rFonts w:ascii="黑体" w:hAnsi="黑体" w:eastAsia="黑体" w:cs="黑体"/>
          <w:sz w:val="44"/>
          <w:szCs w:val="44"/>
        </w:rPr>
      </w:pPr>
      <w:r>
        <w:rPr>
          <w:rFonts w:ascii="黑体" w:hAnsi="黑体" w:eastAsia="黑体" w:cs="黑体"/>
          <w:spacing w:val="14"/>
          <w:sz w:val="44"/>
          <w:szCs w:val="44"/>
        </w:rPr>
        <w:t>第</w:t>
      </w:r>
      <w:r>
        <w:rPr>
          <w:rFonts w:ascii="黑体" w:hAnsi="黑体" w:eastAsia="黑体" w:cs="黑体"/>
          <w:spacing w:val="-77"/>
          <w:sz w:val="44"/>
          <w:szCs w:val="44"/>
        </w:rPr>
        <w:t xml:space="preserve"> </w:t>
      </w:r>
      <w:r>
        <w:rPr>
          <w:rFonts w:ascii="黑体" w:hAnsi="黑体" w:eastAsia="黑体" w:cs="黑体"/>
          <w:spacing w:val="14"/>
          <w:sz w:val="44"/>
          <w:szCs w:val="44"/>
        </w:rPr>
        <w:t>9</w:t>
      </w:r>
      <w:r>
        <w:rPr>
          <w:rFonts w:ascii="黑体" w:hAnsi="黑体" w:eastAsia="黑体" w:cs="黑体"/>
          <w:spacing w:val="-69"/>
          <w:sz w:val="44"/>
          <w:szCs w:val="44"/>
        </w:rPr>
        <w:t xml:space="preserve"> </w:t>
      </w:r>
      <w:r>
        <w:rPr>
          <w:rFonts w:ascii="黑体" w:hAnsi="黑体" w:eastAsia="黑体" w:cs="黑体"/>
          <w:spacing w:val="14"/>
          <w:sz w:val="44"/>
          <w:szCs w:val="44"/>
        </w:rPr>
        <w:t>章</w:t>
      </w:r>
      <w:r>
        <w:rPr>
          <w:rFonts w:ascii="黑体" w:hAnsi="黑体" w:eastAsia="黑体" w:cs="黑体"/>
          <w:spacing w:val="41"/>
          <w:sz w:val="44"/>
          <w:szCs w:val="44"/>
        </w:rPr>
        <w:t xml:space="preserve">  </w:t>
      </w:r>
      <w:r>
        <w:rPr>
          <w:rFonts w:ascii="黑体" w:hAnsi="黑体" w:eastAsia="黑体" w:cs="黑体"/>
          <w:spacing w:val="14"/>
          <w:sz w:val="44"/>
          <w:szCs w:val="44"/>
        </w:rPr>
        <w:t>测试性文件</w:t>
      </w:r>
    </w:p>
    <w:p w14:paraId="1A153610">
      <w:pPr>
        <w:spacing w:line="358" w:lineRule="auto"/>
        <w:rPr>
          <w:rFonts w:ascii="Arial"/>
          <w:sz w:val="21"/>
        </w:rPr>
      </w:pPr>
    </w:p>
    <w:p w14:paraId="7FE6A3B1">
      <w:pPr>
        <w:spacing w:line="359" w:lineRule="auto"/>
        <w:rPr>
          <w:rFonts w:ascii="Arial"/>
          <w:sz w:val="21"/>
        </w:rPr>
      </w:pPr>
    </w:p>
    <w:p w14:paraId="7C622911">
      <w:pPr>
        <w:pStyle w:val="2"/>
        <w:spacing w:before="117" w:line="219" w:lineRule="auto"/>
        <w:ind w:left="3509"/>
        <w:rPr>
          <w:sz w:val="36"/>
          <w:szCs w:val="36"/>
        </w:rPr>
      </w:pPr>
      <w:r>
        <w:rPr>
          <w:spacing w:val="-1"/>
          <w:sz w:val="36"/>
          <w:szCs w:val="36"/>
        </w:rPr>
        <w:t>9.1</w:t>
      </w:r>
      <w:r>
        <w:rPr>
          <w:spacing w:val="17"/>
          <w:sz w:val="36"/>
          <w:szCs w:val="36"/>
        </w:rPr>
        <w:t xml:space="preserve">  </w:t>
      </w:r>
      <w:r>
        <w:rPr>
          <w:b/>
          <w:bCs/>
          <w:spacing w:val="-1"/>
          <w:sz w:val="36"/>
          <w:szCs w:val="36"/>
        </w:rPr>
        <w:t>诊断方案</w:t>
      </w:r>
    </w:p>
    <w:p w14:paraId="55F2F893">
      <w:pPr>
        <w:spacing w:line="376" w:lineRule="auto"/>
        <w:rPr>
          <w:rFonts w:ascii="Arial"/>
          <w:sz w:val="21"/>
        </w:rPr>
      </w:pPr>
    </w:p>
    <w:p w14:paraId="1C4854A1">
      <w:pPr>
        <w:pStyle w:val="2"/>
        <w:spacing w:before="78" w:line="223" w:lineRule="auto"/>
        <w:ind w:left="570"/>
        <w:rPr>
          <w:rFonts w:ascii="楷体" w:hAnsi="楷体" w:eastAsia="楷体" w:cs="楷体"/>
          <w:sz w:val="24"/>
          <w:szCs w:val="24"/>
        </w:rPr>
      </w:pPr>
      <w:r>
        <w:rPr>
          <w:rFonts w:ascii="楷体" w:hAnsi="楷体" w:eastAsia="楷体" w:cs="楷体"/>
          <w:spacing w:val="14"/>
          <w:sz w:val="24"/>
          <w:szCs w:val="24"/>
        </w:rPr>
        <w:t>按</w:t>
      </w:r>
      <w:r>
        <w:rPr>
          <w:rFonts w:ascii="楷体" w:hAnsi="楷体" w:eastAsia="楷体" w:cs="楷体"/>
          <w:spacing w:val="-6"/>
          <w:sz w:val="24"/>
          <w:szCs w:val="24"/>
        </w:rPr>
        <w:t xml:space="preserve"> </w:t>
      </w:r>
      <w:r>
        <w:rPr>
          <w:rFonts w:ascii="楷体" w:hAnsi="楷体" w:eastAsia="楷体" w:cs="楷体"/>
          <w:spacing w:val="14"/>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4"/>
          <w:sz w:val="24"/>
          <w:szCs w:val="24"/>
        </w:rPr>
        <w:t xml:space="preserve">   2547A</w:t>
      </w:r>
      <w:r>
        <w:rPr>
          <w:spacing w:val="14"/>
          <w:sz w:val="24"/>
          <w:szCs w:val="24"/>
        </w:rPr>
        <w:t>《</w:t>
      </w:r>
      <w:r>
        <w:rPr>
          <w:rFonts w:ascii="楷体" w:hAnsi="楷体" w:eastAsia="楷体" w:cs="楷体"/>
          <w:spacing w:val="14"/>
          <w:sz w:val="24"/>
          <w:szCs w:val="24"/>
        </w:rPr>
        <w:t>装备测试性工作通用要求》编写。</w:t>
      </w:r>
    </w:p>
    <w:p w14:paraId="05FEEC84">
      <w:pPr>
        <w:spacing w:before="103"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13547650">
      <w:pPr>
        <w:spacing w:before="76"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46BD5C9F">
      <w:pPr>
        <w:spacing w:before="75"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15"/>
          <w:sz w:val="27"/>
          <w:szCs w:val="27"/>
        </w:rPr>
        <w:t xml:space="preserve">  </w:t>
      </w:r>
      <w:r>
        <w:rPr>
          <w:rFonts w:ascii="黑体" w:hAnsi="黑体" w:eastAsia="黑体" w:cs="黑体"/>
          <w:b/>
          <w:bCs/>
          <w:spacing w:val="-2"/>
          <w:sz w:val="27"/>
          <w:szCs w:val="27"/>
        </w:rPr>
        <w:t>装备简介</w:t>
      </w:r>
    </w:p>
    <w:p w14:paraId="2FD0102C">
      <w:pPr>
        <w:pStyle w:val="2"/>
        <w:spacing w:before="80" w:line="219" w:lineRule="auto"/>
        <w:ind w:left="570"/>
      </w:pPr>
      <w:r>
        <w:rPr>
          <w:spacing w:val="-5"/>
        </w:rPr>
        <w:t>简要介绍装备组成，任务需求，主要战术技术指标及使用要求。</w:t>
      </w:r>
    </w:p>
    <w:p w14:paraId="52F28523">
      <w:pPr>
        <w:spacing w:before="75"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2"/>
          <w:sz w:val="27"/>
          <w:szCs w:val="27"/>
        </w:rPr>
        <w:t xml:space="preserve">  </w:t>
      </w:r>
      <w:r>
        <w:rPr>
          <w:rFonts w:ascii="黑体" w:hAnsi="黑体" w:eastAsia="黑体" w:cs="黑体"/>
          <w:b/>
          <w:bCs/>
          <w:spacing w:val="-1"/>
          <w:sz w:val="27"/>
          <w:szCs w:val="27"/>
        </w:rPr>
        <w:t>装备诊断需求</w:t>
      </w:r>
    </w:p>
    <w:p w14:paraId="669EA560">
      <w:pPr>
        <w:pStyle w:val="2"/>
        <w:spacing w:before="83" w:line="219" w:lineRule="auto"/>
        <w:ind w:left="570"/>
      </w:pPr>
      <w:r>
        <w:rPr>
          <w:spacing w:val="-1"/>
        </w:rPr>
        <w:t>根据装备的任务需求和使用要求导出装备的诊断需求，包括：</w:t>
      </w:r>
    </w:p>
    <w:p w14:paraId="2F09A045">
      <w:pPr>
        <w:pStyle w:val="2"/>
        <w:spacing w:before="48" w:line="257" w:lineRule="auto"/>
        <w:ind w:right="45" w:firstLine="570"/>
      </w:pPr>
      <w:r>
        <w:rPr>
          <w:rFonts w:ascii="Times New Roman" w:hAnsi="Times New Roman" w:eastAsia="Times New Roman" w:cs="Times New Roman"/>
          <w:spacing w:val="16"/>
        </w:rPr>
        <w:t>a)</w:t>
      </w:r>
      <w:r>
        <w:rPr>
          <w:rFonts w:ascii="Times New Roman" w:hAnsi="Times New Roman" w:eastAsia="Times New Roman" w:cs="Times New Roman"/>
          <w:spacing w:val="2"/>
        </w:rPr>
        <w:t xml:space="preserve">  </w:t>
      </w:r>
      <w:r>
        <w:rPr>
          <w:spacing w:val="16"/>
        </w:rPr>
        <w:t>确定装备需要监测和诊断的功能(例如安全关键功能、任务</w:t>
      </w:r>
      <w:r>
        <w:rPr>
          <w:spacing w:val="15"/>
        </w:rPr>
        <w:t>关键功能</w:t>
      </w:r>
      <w:r>
        <w:rPr>
          <w:spacing w:val="1"/>
        </w:rPr>
        <w:t xml:space="preserve"> </w:t>
      </w:r>
      <w:r>
        <w:rPr>
          <w:spacing w:val="12"/>
        </w:rPr>
        <w:t>等);</w:t>
      </w:r>
    </w:p>
    <w:p w14:paraId="1B5522B2">
      <w:pPr>
        <w:pStyle w:val="2"/>
        <w:spacing w:before="60" w:line="253" w:lineRule="auto"/>
        <w:ind w:right="47" w:firstLine="570"/>
      </w:pPr>
      <w:r>
        <w:rPr>
          <w:rFonts w:ascii="Times New Roman" w:hAnsi="Times New Roman" w:eastAsia="Times New Roman" w:cs="Times New Roman"/>
          <w:spacing w:val="3"/>
        </w:rPr>
        <w:t xml:space="preserve">b)  </w:t>
      </w:r>
      <w:r>
        <w:rPr>
          <w:spacing w:val="3"/>
        </w:rPr>
        <w:t>根据这些功能对应的任务能力和性能要</w:t>
      </w:r>
      <w:r>
        <w:rPr>
          <w:spacing w:val="2"/>
        </w:rPr>
        <w:t>求确定装备的诊断需求，支持任</w:t>
      </w:r>
      <w:r>
        <w:t xml:space="preserve"> </w:t>
      </w:r>
      <w:r>
        <w:rPr>
          <w:spacing w:val="4"/>
        </w:rPr>
        <w:t>务想定和装备设计并与装备的使用约束相一致。</w:t>
      </w:r>
    </w:p>
    <w:p w14:paraId="6811782B">
      <w:pPr>
        <w:spacing w:before="64" w:line="222"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0"/>
          <w:sz w:val="27"/>
          <w:szCs w:val="27"/>
        </w:rPr>
        <w:t xml:space="preserve">   </w:t>
      </w:r>
      <w:r>
        <w:rPr>
          <w:rFonts w:ascii="黑体" w:hAnsi="黑体" w:eastAsia="黑体" w:cs="黑体"/>
          <w:b/>
          <w:bCs/>
          <w:spacing w:val="1"/>
          <w:sz w:val="27"/>
          <w:szCs w:val="27"/>
        </w:rPr>
        <w:t>评价准则</w:t>
      </w:r>
    </w:p>
    <w:p w14:paraId="35C69CE4">
      <w:pPr>
        <w:pStyle w:val="2"/>
        <w:spacing w:before="109" w:line="218" w:lineRule="auto"/>
        <w:ind w:left="570"/>
      </w:pPr>
      <w:r>
        <w:rPr>
          <w:spacing w:val="3"/>
        </w:rPr>
        <w:t>根据以下评价内容制定备选的装备诊断方案的评价准则：</w:t>
      </w:r>
    </w:p>
    <w:p w14:paraId="299A7884">
      <w:pPr>
        <w:pStyle w:val="2"/>
        <w:spacing w:before="64" w:line="264" w:lineRule="auto"/>
        <w:ind w:right="48" w:firstLine="570"/>
        <w:rPr>
          <w:sz w:val="25"/>
          <w:szCs w:val="25"/>
        </w:rPr>
      </w:pPr>
      <w:r>
        <w:rPr>
          <w:rFonts w:ascii="Times New Roman" w:hAnsi="Times New Roman" w:eastAsia="Times New Roman" w:cs="Times New Roman"/>
          <w:spacing w:val="29"/>
          <w:sz w:val="25"/>
          <w:szCs w:val="25"/>
        </w:rPr>
        <w:t xml:space="preserve">a)  </w:t>
      </w:r>
      <w:r>
        <w:rPr>
          <w:spacing w:val="29"/>
          <w:sz w:val="25"/>
          <w:szCs w:val="25"/>
        </w:rPr>
        <w:t>确定装备战备完好性对诊断要素的不同组合以及关键测试性参数的变</w:t>
      </w:r>
      <w:r>
        <w:rPr>
          <w:spacing w:val="14"/>
          <w:sz w:val="25"/>
          <w:szCs w:val="25"/>
        </w:rPr>
        <w:t xml:space="preserve"> </w:t>
      </w:r>
      <w:r>
        <w:rPr>
          <w:spacing w:val="17"/>
          <w:sz w:val="25"/>
          <w:szCs w:val="25"/>
        </w:rPr>
        <w:t>化的敏感性；</w:t>
      </w:r>
    </w:p>
    <w:p w14:paraId="71848359">
      <w:pPr>
        <w:pStyle w:val="2"/>
        <w:spacing w:before="106" w:line="260" w:lineRule="auto"/>
        <w:ind w:right="50" w:firstLine="570"/>
        <w:rPr>
          <w:sz w:val="25"/>
          <w:szCs w:val="25"/>
        </w:rPr>
      </w:pPr>
      <w:r>
        <w:rPr>
          <w:rFonts w:ascii="Times New Roman" w:hAnsi="Times New Roman" w:eastAsia="Times New Roman" w:cs="Times New Roman"/>
          <w:spacing w:val="22"/>
          <w:sz w:val="25"/>
          <w:szCs w:val="25"/>
        </w:rPr>
        <w:t>b)</w:t>
      </w:r>
      <w:r>
        <w:rPr>
          <w:rFonts w:ascii="Times New Roman" w:hAnsi="Times New Roman" w:eastAsia="Times New Roman" w:cs="Times New Roman"/>
          <w:spacing w:val="4"/>
          <w:sz w:val="25"/>
          <w:szCs w:val="25"/>
        </w:rPr>
        <w:t xml:space="preserve">  </w:t>
      </w:r>
      <w:r>
        <w:rPr>
          <w:spacing w:val="22"/>
          <w:sz w:val="25"/>
          <w:szCs w:val="25"/>
        </w:rPr>
        <w:t>确定寿命周期费用对关键测试性参数、诊断要素组合和诊断资源的配置</w:t>
      </w:r>
      <w:r>
        <w:rPr>
          <w:sz w:val="25"/>
          <w:szCs w:val="25"/>
        </w:rPr>
        <w:t xml:space="preserve"> </w:t>
      </w:r>
      <w:r>
        <w:rPr>
          <w:spacing w:val="16"/>
          <w:sz w:val="25"/>
          <w:szCs w:val="25"/>
        </w:rPr>
        <w:t>变化的敏感性；</w:t>
      </w:r>
    </w:p>
    <w:p w14:paraId="000A54EE">
      <w:pPr>
        <w:pStyle w:val="2"/>
        <w:spacing w:before="104" w:line="268" w:lineRule="auto"/>
        <w:ind w:right="46" w:firstLine="570"/>
        <w:rPr>
          <w:sz w:val="25"/>
          <w:szCs w:val="25"/>
        </w:rPr>
      </w:pPr>
      <w:r>
        <w:rPr>
          <w:rFonts w:ascii="Times New Roman" w:hAnsi="Times New Roman" w:eastAsia="Times New Roman" w:cs="Times New Roman"/>
          <w:spacing w:val="21"/>
          <w:sz w:val="25"/>
          <w:szCs w:val="25"/>
        </w:rPr>
        <w:t xml:space="preserve">c)  </w:t>
      </w:r>
      <w:r>
        <w:rPr>
          <w:spacing w:val="21"/>
          <w:sz w:val="25"/>
          <w:szCs w:val="25"/>
        </w:rPr>
        <w:t>估计备选的装备诊断方案对每个维修级别所要求的维修作业类别、技能</w:t>
      </w:r>
      <w:r>
        <w:rPr>
          <w:spacing w:val="17"/>
          <w:sz w:val="25"/>
          <w:szCs w:val="25"/>
        </w:rPr>
        <w:t xml:space="preserve"> </w:t>
      </w:r>
      <w:r>
        <w:rPr>
          <w:spacing w:val="24"/>
          <w:sz w:val="25"/>
          <w:szCs w:val="25"/>
        </w:rPr>
        <w:t>等级和每工作小时直接维修工时或其他诊断度量的影响；</w:t>
      </w:r>
    </w:p>
    <w:p w14:paraId="43862FE5">
      <w:pPr>
        <w:pStyle w:val="2"/>
        <w:spacing w:before="54" w:line="212" w:lineRule="auto"/>
        <w:ind w:left="570"/>
      </w:pPr>
      <w:r>
        <w:rPr>
          <w:rFonts w:ascii="Times New Roman" w:hAnsi="Times New Roman" w:eastAsia="Times New Roman" w:cs="Times New Roman"/>
          <w:spacing w:val="4"/>
        </w:rPr>
        <w:t xml:space="preserve">d)  </w:t>
      </w:r>
      <w:r>
        <w:rPr>
          <w:spacing w:val="4"/>
        </w:rPr>
        <w:t>估计每个备选的装备诊断方案的技术风险。</w:t>
      </w:r>
    </w:p>
    <w:p w14:paraId="0A642439">
      <w:pPr>
        <w:spacing w:before="104" w:line="221"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4"/>
          <w:sz w:val="27"/>
          <w:szCs w:val="27"/>
        </w:rPr>
        <w:t xml:space="preserve">  </w:t>
      </w:r>
      <w:r>
        <w:rPr>
          <w:rFonts w:ascii="黑体" w:hAnsi="黑体" w:eastAsia="黑体" w:cs="黑体"/>
          <w:b/>
          <w:bCs/>
          <w:spacing w:val="-1"/>
          <w:sz w:val="27"/>
          <w:szCs w:val="27"/>
        </w:rPr>
        <w:t>权衡方法</w:t>
      </w:r>
    </w:p>
    <w:p w14:paraId="03CF00F3">
      <w:pPr>
        <w:pStyle w:val="2"/>
        <w:spacing w:before="103" w:line="263" w:lineRule="auto"/>
        <w:ind w:right="47" w:firstLine="570"/>
      </w:pPr>
      <w:r>
        <w:rPr>
          <w:spacing w:val="-3"/>
        </w:rPr>
        <w:t>阐明在确定装备诊断方案时采用的权衡方法，并说明选择的理由，描述权衡</w:t>
      </w:r>
      <w:r>
        <w:rPr>
          <w:spacing w:val="9"/>
        </w:rPr>
        <w:t xml:space="preserve"> </w:t>
      </w:r>
      <w:r>
        <w:rPr>
          <w:spacing w:val="3"/>
        </w:rPr>
        <w:t>过程。权衡备选的装备诊断方案时应考虑如下因素：</w:t>
      </w:r>
    </w:p>
    <w:p w14:paraId="7325ACAD">
      <w:pPr>
        <w:pStyle w:val="2"/>
        <w:spacing w:before="1" w:line="260" w:lineRule="auto"/>
        <w:ind w:firstLine="570"/>
      </w:pPr>
      <w:r>
        <w:rPr>
          <w:rFonts w:ascii="Times New Roman" w:hAnsi="Times New Roman" w:eastAsia="Times New Roman" w:cs="Times New Roman"/>
          <w:spacing w:val="4"/>
        </w:rPr>
        <w:t xml:space="preserve">a)  </w:t>
      </w:r>
      <w:r>
        <w:rPr>
          <w:spacing w:val="4"/>
        </w:rPr>
        <w:t>可利用的和已计划的标准诊断资源(如测试设备系列、维修辅助手段等)</w:t>
      </w:r>
      <w:r>
        <w:rPr>
          <w:spacing w:val="9"/>
        </w:rPr>
        <w:t xml:space="preserve"> </w:t>
      </w:r>
      <w:r>
        <w:rPr>
          <w:spacing w:val="-1"/>
        </w:rPr>
        <w:t>以及其他的资源约束；</w:t>
      </w:r>
    </w:p>
    <w:p w14:paraId="29EF876F">
      <w:pPr>
        <w:pStyle w:val="2"/>
        <w:spacing w:before="49" w:line="212" w:lineRule="auto"/>
        <w:ind w:left="570"/>
      </w:pPr>
      <w:r>
        <w:rPr>
          <w:rFonts w:ascii="Times New Roman" w:hAnsi="Times New Roman" w:eastAsia="Times New Roman" w:cs="Times New Roman"/>
          <w:spacing w:val="2"/>
        </w:rPr>
        <w:t xml:space="preserve">b)  </w:t>
      </w:r>
      <w:r>
        <w:rPr>
          <w:spacing w:val="2"/>
        </w:rPr>
        <w:t>应避免相似装备的诊断问题；</w:t>
      </w:r>
    </w:p>
    <w:p w14:paraId="4EB501AF">
      <w:pPr>
        <w:spacing w:line="212" w:lineRule="auto"/>
        <w:sectPr>
          <w:footerReference r:id="rId439" w:type="default"/>
          <w:pgSz w:w="11910" w:h="17130"/>
          <w:pgMar w:top="1456" w:right="1170" w:bottom="1677" w:left="1299" w:header="0" w:footer="1496" w:gutter="0"/>
          <w:cols w:space="720" w:num="1"/>
        </w:sectPr>
      </w:pPr>
    </w:p>
    <w:p w14:paraId="6B07918A">
      <w:pPr>
        <w:pStyle w:val="2"/>
        <w:spacing w:before="56" w:line="311" w:lineRule="auto"/>
        <w:ind w:firstLine="570"/>
        <w:rPr>
          <w:sz w:val="25"/>
          <w:szCs w:val="25"/>
        </w:rPr>
      </w:pPr>
      <w:r>
        <w:rPr>
          <w:rFonts w:ascii="Times New Roman" w:hAnsi="Times New Roman" w:eastAsia="Times New Roman" w:cs="Times New Roman"/>
          <w:spacing w:val="22"/>
          <w:sz w:val="25"/>
          <w:szCs w:val="25"/>
        </w:rPr>
        <w:t xml:space="preserve">c)  </w:t>
      </w:r>
      <w:r>
        <w:rPr>
          <w:spacing w:val="22"/>
          <w:sz w:val="25"/>
          <w:szCs w:val="25"/>
        </w:rPr>
        <w:t>在装备研制和诊断要素研制中可采用的并有可能提高诊断有效性、减少</w:t>
      </w:r>
      <w:r>
        <w:rPr>
          <w:spacing w:val="1"/>
          <w:sz w:val="25"/>
          <w:szCs w:val="25"/>
        </w:rPr>
        <w:t xml:space="preserve"> </w:t>
      </w:r>
      <w:r>
        <w:rPr>
          <w:spacing w:val="23"/>
          <w:sz w:val="25"/>
          <w:szCs w:val="25"/>
        </w:rPr>
        <w:t>诊断费用或提高装备可用性的技术成果。</w:t>
      </w:r>
    </w:p>
    <w:p w14:paraId="038556B9">
      <w:pPr>
        <w:spacing w:before="1" w:line="220" w:lineRule="auto"/>
        <w:rPr>
          <w:rFonts w:ascii="黑体" w:hAnsi="黑体" w:eastAsia="黑体" w:cs="黑体"/>
          <w:sz w:val="27"/>
          <w:szCs w:val="27"/>
        </w:rPr>
      </w:pPr>
      <w:r>
        <w:rPr>
          <w:rFonts w:ascii="黑体" w:hAnsi="黑体" w:eastAsia="黑体" w:cs="黑体"/>
          <w:spacing w:val="-3"/>
          <w:sz w:val="27"/>
          <w:szCs w:val="27"/>
        </w:rPr>
        <w:t>7</w:t>
      </w:r>
      <w:r>
        <w:rPr>
          <w:rFonts w:ascii="黑体" w:hAnsi="黑体" w:eastAsia="黑体" w:cs="黑体"/>
          <w:spacing w:val="22"/>
          <w:sz w:val="27"/>
          <w:szCs w:val="27"/>
        </w:rPr>
        <w:t xml:space="preserve">  </w:t>
      </w:r>
      <w:r>
        <w:rPr>
          <w:rFonts w:ascii="黑体" w:hAnsi="黑体" w:eastAsia="黑体" w:cs="黑体"/>
          <w:b/>
          <w:bCs/>
          <w:spacing w:val="-3"/>
          <w:sz w:val="27"/>
          <w:szCs w:val="27"/>
        </w:rPr>
        <w:t>装备诊断方案</w:t>
      </w:r>
    </w:p>
    <w:p w14:paraId="023853DB">
      <w:pPr>
        <w:spacing w:before="66" w:line="221" w:lineRule="auto"/>
        <w:rPr>
          <w:rFonts w:ascii="黑体" w:hAnsi="黑体" w:eastAsia="黑体" w:cs="黑体"/>
          <w:sz w:val="27"/>
          <w:szCs w:val="27"/>
        </w:rPr>
      </w:pPr>
      <w:r>
        <w:rPr>
          <w:rFonts w:ascii="黑体" w:hAnsi="黑体" w:eastAsia="黑体" w:cs="黑体"/>
          <w:spacing w:val="3"/>
          <w:sz w:val="27"/>
          <w:szCs w:val="27"/>
        </w:rPr>
        <w:t xml:space="preserve">7.1  </w:t>
      </w:r>
      <w:r>
        <w:rPr>
          <w:rFonts w:ascii="黑体" w:hAnsi="黑体" w:eastAsia="黑体" w:cs="黑体"/>
          <w:b/>
          <w:bCs/>
          <w:spacing w:val="3"/>
          <w:sz w:val="27"/>
          <w:szCs w:val="27"/>
        </w:rPr>
        <w:t>关键功能和安全关键功能的嵌入式诊断要求及能力</w:t>
      </w:r>
    </w:p>
    <w:p w14:paraId="4F146042">
      <w:pPr>
        <w:pStyle w:val="2"/>
        <w:spacing w:before="103" w:line="219" w:lineRule="auto"/>
        <w:ind w:left="570"/>
      </w:pPr>
      <w:r>
        <w:rPr>
          <w:spacing w:val="5"/>
        </w:rPr>
        <w:t>确定监测任务关键功能和安全关键功能的嵌入式诊断要求及能力。</w:t>
      </w:r>
    </w:p>
    <w:p w14:paraId="72BE7A29">
      <w:pPr>
        <w:spacing w:before="73" w:line="221" w:lineRule="auto"/>
        <w:rPr>
          <w:rFonts w:ascii="黑体" w:hAnsi="黑体" w:eastAsia="黑体" w:cs="黑体"/>
          <w:sz w:val="27"/>
          <w:szCs w:val="27"/>
        </w:rPr>
      </w:pPr>
      <w:r>
        <w:rPr>
          <w:rFonts w:ascii="黑体" w:hAnsi="黑体" w:eastAsia="黑体" w:cs="黑体"/>
          <w:spacing w:val="4"/>
          <w:sz w:val="27"/>
          <w:szCs w:val="27"/>
        </w:rPr>
        <w:t xml:space="preserve">7.2  </w:t>
      </w:r>
      <w:r>
        <w:rPr>
          <w:rFonts w:ascii="黑体" w:hAnsi="黑体" w:eastAsia="黑体" w:cs="黑体"/>
          <w:b/>
          <w:bCs/>
          <w:spacing w:val="4"/>
          <w:sz w:val="27"/>
          <w:szCs w:val="27"/>
        </w:rPr>
        <w:t>提高装备可用性的嵌入式诊断要求及能力</w:t>
      </w:r>
    </w:p>
    <w:p w14:paraId="71129343">
      <w:pPr>
        <w:pStyle w:val="2"/>
        <w:spacing w:before="91" w:line="272" w:lineRule="auto"/>
        <w:ind w:right="9" w:firstLine="570"/>
      </w:pPr>
      <w:r>
        <w:rPr>
          <w:spacing w:val="-2"/>
        </w:rPr>
        <w:t>确定通过采用冗余设备、冗余功能、备用的或</w:t>
      </w:r>
      <w:r>
        <w:rPr>
          <w:spacing w:val="-3"/>
        </w:rPr>
        <w:t>降级的工作方式等来提高装备</w:t>
      </w:r>
      <w:r>
        <w:t xml:space="preserve"> </w:t>
      </w:r>
      <w:r>
        <w:rPr>
          <w:spacing w:val="3"/>
        </w:rPr>
        <w:t>可用性的嵌入式诊断要求及能力。</w:t>
      </w:r>
    </w:p>
    <w:p w14:paraId="20AE2BAB">
      <w:pPr>
        <w:spacing w:before="1" w:line="220" w:lineRule="auto"/>
        <w:outlineLvl w:val="3"/>
        <w:rPr>
          <w:rFonts w:ascii="黑体" w:hAnsi="黑体" w:eastAsia="黑体" w:cs="黑体"/>
          <w:sz w:val="27"/>
          <w:szCs w:val="27"/>
        </w:rPr>
      </w:pPr>
      <w:r>
        <w:rPr>
          <w:rFonts w:ascii="Arial" w:hAnsi="Arial" w:eastAsia="Arial" w:cs="Arial"/>
          <w:b/>
          <w:bCs/>
          <w:spacing w:val="2"/>
          <w:sz w:val="27"/>
          <w:szCs w:val="27"/>
        </w:rPr>
        <w:t xml:space="preserve">7.3    </w:t>
      </w:r>
      <w:r>
        <w:rPr>
          <w:rFonts w:ascii="黑体" w:hAnsi="黑体" w:eastAsia="黑体" w:cs="黑体"/>
          <w:b/>
          <w:bCs/>
          <w:spacing w:val="2"/>
          <w:sz w:val="27"/>
          <w:szCs w:val="27"/>
        </w:rPr>
        <w:t>功能检测的嵌入式诊断要求及能力</w:t>
      </w:r>
    </w:p>
    <w:p w14:paraId="470DB4F0">
      <w:pPr>
        <w:pStyle w:val="2"/>
        <w:spacing w:before="113" w:line="304" w:lineRule="auto"/>
        <w:ind w:right="8" w:firstLine="570"/>
        <w:rPr>
          <w:sz w:val="25"/>
          <w:szCs w:val="25"/>
        </w:rPr>
      </w:pPr>
      <w:r>
        <w:rPr>
          <w:spacing w:val="26"/>
          <w:sz w:val="25"/>
          <w:szCs w:val="25"/>
        </w:rPr>
        <w:t>确定用于装备功能检测的嵌入式诊断要求及能力，以支持在装备工作之前</w:t>
      </w:r>
      <w:r>
        <w:rPr>
          <w:sz w:val="25"/>
          <w:szCs w:val="25"/>
        </w:rPr>
        <w:t xml:space="preserve"> </w:t>
      </w:r>
      <w:r>
        <w:rPr>
          <w:spacing w:val="24"/>
          <w:sz w:val="25"/>
          <w:szCs w:val="25"/>
        </w:rPr>
        <w:t>或在装备运行期间以一定周期进行置信度测试。</w:t>
      </w:r>
    </w:p>
    <w:p w14:paraId="0623972B">
      <w:pPr>
        <w:spacing w:before="2" w:line="220" w:lineRule="auto"/>
        <w:rPr>
          <w:rFonts w:ascii="黑体" w:hAnsi="黑体" w:eastAsia="黑体" w:cs="黑体"/>
          <w:sz w:val="24"/>
          <w:szCs w:val="24"/>
        </w:rPr>
      </w:pPr>
      <w:r>
        <w:rPr>
          <w:rFonts w:ascii="黑体" w:hAnsi="黑体" w:eastAsia="黑体" w:cs="黑体"/>
          <w:spacing w:val="26"/>
          <w:sz w:val="24"/>
          <w:szCs w:val="24"/>
        </w:rPr>
        <w:t>7.</w:t>
      </w:r>
      <w:r>
        <w:rPr>
          <w:rFonts w:ascii="黑体" w:hAnsi="黑体" w:eastAsia="黑体" w:cs="黑体"/>
          <w:b/>
          <w:bCs/>
          <w:spacing w:val="26"/>
          <w:sz w:val="24"/>
          <w:szCs w:val="24"/>
        </w:rPr>
        <w:t>4</w:t>
      </w:r>
      <w:r>
        <w:rPr>
          <w:rFonts w:ascii="黑体" w:hAnsi="黑体" w:eastAsia="黑体" w:cs="黑体"/>
          <w:spacing w:val="37"/>
          <w:sz w:val="24"/>
          <w:szCs w:val="24"/>
        </w:rPr>
        <w:t xml:space="preserve">  </w:t>
      </w:r>
      <w:r>
        <w:rPr>
          <w:rFonts w:ascii="黑体" w:hAnsi="黑体" w:eastAsia="黑体" w:cs="黑体"/>
          <w:b/>
          <w:bCs/>
          <w:spacing w:val="26"/>
          <w:sz w:val="24"/>
          <w:szCs w:val="24"/>
        </w:rPr>
        <w:t>附加嵌入式诊断要求及能力</w:t>
      </w:r>
    </w:p>
    <w:p w14:paraId="21EC333B">
      <w:pPr>
        <w:pStyle w:val="2"/>
        <w:spacing w:before="88" w:line="219" w:lineRule="auto"/>
        <w:ind w:left="570"/>
      </w:pPr>
      <w:r>
        <w:rPr>
          <w:spacing w:val="4"/>
        </w:rPr>
        <w:t>确定支持初步维修方案的附加嵌入式诊断要求及能力。</w:t>
      </w:r>
    </w:p>
    <w:p w14:paraId="12B45562">
      <w:pPr>
        <w:spacing w:before="85" w:line="221" w:lineRule="auto"/>
        <w:outlineLvl w:val="3"/>
        <w:rPr>
          <w:rFonts w:ascii="黑体" w:hAnsi="黑体" w:eastAsia="黑体" w:cs="黑体"/>
          <w:sz w:val="27"/>
          <w:szCs w:val="27"/>
        </w:rPr>
      </w:pPr>
      <w:r>
        <w:rPr>
          <w:rFonts w:ascii="Arial" w:hAnsi="Arial" w:eastAsia="Arial" w:cs="Arial"/>
          <w:b/>
          <w:bCs/>
          <w:spacing w:val="-1"/>
          <w:sz w:val="27"/>
          <w:szCs w:val="27"/>
        </w:rPr>
        <w:t>7.5</w:t>
      </w:r>
      <w:r>
        <w:rPr>
          <w:rFonts w:ascii="Arial" w:hAnsi="Arial" w:eastAsia="Arial" w:cs="Arial"/>
          <w:b/>
          <w:bCs/>
          <w:spacing w:val="11"/>
          <w:sz w:val="27"/>
          <w:szCs w:val="27"/>
        </w:rPr>
        <w:t xml:space="preserve">    </w:t>
      </w:r>
      <w:r>
        <w:rPr>
          <w:rFonts w:ascii="黑体" w:hAnsi="黑体" w:eastAsia="黑体" w:cs="黑体"/>
          <w:b/>
          <w:bCs/>
          <w:spacing w:val="-1"/>
          <w:sz w:val="27"/>
          <w:szCs w:val="27"/>
        </w:rPr>
        <w:t>外部诊断要求</w:t>
      </w:r>
    </w:p>
    <w:p w14:paraId="7CAB68D0">
      <w:pPr>
        <w:pStyle w:val="2"/>
        <w:spacing w:before="94" w:line="279" w:lineRule="auto"/>
        <w:ind w:right="10" w:firstLine="570"/>
        <w:jc w:val="both"/>
      </w:pPr>
      <w:r>
        <w:rPr>
          <w:spacing w:val="6"/>
        </w:rPr>
        <w:t>确定外部诊断要求，以弥补因嵌入式诊断技术和经费上的限制造成的</w:t>
      </w:r>
      <w:r>
        <w:rPr>
          <w:spacing w:val="5"/>
        </w:rPr>
        <w:t>诊断</w:t>
      </w:r>
      <w:r>
        <w:t xml:space="preserve"> </w:t>
      </w:r>
      <w:r>
        <w:rPr>
          <w:spacing w:val="27"/>
        </w:rPr>
        <w:t>能力的不足(嵌入式诊断和外部诊断的组合必须能在每一维修级别上提供</w:t>
      </w:r>
      <w:r>
        <w:t xml:space="preserve"> </w:t>
      </w:r>
      <w:r>
        <w:rPr>
          <w:spacing w:val="14"/>
        </w:rPr>
        <w:t>100%的维修能力)。</w:t>
      </w:r>
    </w:p>
    <w:p w14:paraId="2B4F808B">
      <w:pPr>
        <w:spacing w:line="221" w:lineRule="auto"/>
        <w:rPr>
          <w:rFonts w:ascii="黑体" w:hAnsi="黑体" w:eastAsia="黑体" w:cs="黑体"/>
          <w:sz w:val="27"/>
          <w:szCs w:val="27"/>
        </w:rPr>
      </w:pPr>
      <w:r>
        <w:rPr>
          <w:rFonts w:ascii="Times New Roman" w:hAnsi="Times New Roman" w:eastAsia="Times New Roman" w:cs="Times New Roman"/>
          <w:spacing w:val="1"/>
          <w:sz w:val="27"/>
          <w:szCs w:val="27"/>
        </w:rPr>
        <w:t>7.6</w:t>
      </w:r>
      <w:r>
        <w:rPr>
          <w:rFonts w:ascii="Times New Roman" w:hAnsi="Times New Roman" w:eastAsia="Times New Roman" w:cs="Times New Roman"/>
          <w:spacing w:val="6"/>
          <w:sz w:val="27"/>
          <w:szCs w:val="27"/>
        </w:rPr>
        <w:t xml:space="preserve">     </w:t>
      </w:r>
      <w:r>
        <w:rPr>
          <w:rFonts w:ascii="Times New Roman" w:hAnsi="Times New Roman" w:eastAsia="Times New Roman" w:cs="Times New Roman"/>
          <w:sz w:val="27"/>
          <w:szCs w:val="27"/>
        </w:rPr>
        <w:t>BIT</w:t>
      </w:r>
      <w:r>
        <w:rPr>
          <w:rFonts w:ascii="Times New Roman" w:hAnsi="Times New Roman" w:eastAsia="Times New Roman" w:cs="Times New Roman"/>
          <w:spacing w:val="1"/>
          <w:sz w:val="27"/>
          <w:szCs w:val="27"/>
        </w:rPr>
        <w:t xml:space="preserve"> </w:t>
      </w:r>
      <w:r>
        <w:rPr>
          <w:rFonts w:ascii="黑体" w:hAnsi="黑体" w:eastAsia="黑体" w:cs="黑体"/>
          <w:b/>
          <w:bCs/>
          <w:spacing w:val="1"/>
          <w:sz w:val="27"/>
          <w:szCs w:val="27"/>
        </w:rPr>
        <w:t>能力范围</w:t>
      </w:r>
    </w:p>
    <w:p w14:paraId="3DBBE7E7">
      <w:pPr>
        <w:pStyle w:val="2"/>
        <w:spacing w:before="61" w:line="212" w:lineRule="auto"/>
        <w:ind w:left="570"/>
      </w:pPr>
      <w:r>
        <w:rPr>
          <w:spacing w:val="5"/>
        </w:rPr>
        <w:t>确定哪些现有的基层级</w:t>
      </w:r>
      <w:r>
        <w:rPr>
          <w:rFonts w:ascii="Times New Roman" w:hAnsi="Times New Roman" w:eastAsia="Times New Roman" w:cs="Times New Roman"/>
        </w:rPr>
        <w:t>BIT</w:t>
      </w:r>
      <w:r>
        <w:rPr>
          <w:rFonts w:ascii="Times New Roman" w:hAnsi="Times New Roman" w:eastAsia="Times New Roman" w:cs="Times New Roman"/>
          <w:spacing w:val="5"/>
        </w:rPr>
        <w:t xml:space="preserve"> (</w:t>
      </w:r>
      <w:r>
        <w:rPr>
          <w:rFonts w:ascii="Times New Roman" w:hAnsi="Times New Roman" w:eastAsia="Times New Roman" w:cs="Times New Roman"/>
          <w:spacing w:val="-11"/>
        </w:rPr>
        <w:t xml:space="preserve"> </w:t>
      </w:r>
      <w:r>
        <w:rPr>
          <w:spacing w:val="5"/>
        </w:rPr>
        <w:t>机内测试)能力在更高维修级别上可以使用。</w:t>
      </w:r>
    </w:p>
    <w:p w14:paraId="4704F14E">
      <w:pPr>
        <w:spacing w:before="116" w:line="222" w:lineRule="auto"/>
        <w:rPr>
          <w:rFonts w:ascii="黑体" w:hAnsi="黑体" w:eastAsia="黑体" w:cs="黑体"/>
          <w:sz w:val="27"/>
          <w:szCs w:val="27"/>
        </w:rPr>
      </w:pPr>
      <w:r>
        <w:rPr>
          <w:rFonts w:ascii="黑体" w:hAnsi="黑体" w:eastAsia="黑体" w:cs="黑体"/>
          <w:spacing w:val="-3"/>
          <w:sz w:val="27"/>
          <w:szCs w:val="27"/>
        </w:rPr>
        <w:t>7.7</w:t>
      </w:r>
      <w:r>
        <w:rPr>
          <w:rFonts w:ascii="黑体" w:hAnsi="黑体" w:eastAsia="黑体" w:cs="黑体"/>
          <w:spacing w:val="11"/>
          <w:sz w:val="27"/>
          <w:szCs w:val="27"/>
        </w:rPr>
        <w:t xml:space="preserve">  </w:t>
      </w:r>
      <w:r>
        <w:rPr>
          <w:rFonts w:ascii="Times New Roman" w:hAnsi="Times New Roman" w:eastAsia="Times New Roman" w:cs="Times New Roman"/>
          <w:b/>
          <w:bCs/>
          <w:spacing w:val="-3"/>
          <w:sz w:val="27"/>
          <w:szCs w:val="27"/>
        </w:rPr>
        <w:t xml:space="preserve">ATE </w:t>
      </w:r>
      <w:r>
        <w:rPr>
          <w:rFonts w:ascii="黑体" w:hAnsi="黑体" w:eastAsia="黑体" w:cs="黑体"/>
          <w:b/>
          <w:bCs/>
          <w:spacing w:val="-3"/>
          <w:sz w:val="27"/>
          <w:szCs w:val="27"/>
        </w:rPr>
        <w:t>要求</w:t>
      </w:r>
    </w:p>
    <w:p w14:paraId="46D65D30">
      <w:pPr>
        <w:pStyle w:val="2"/>
        <w:spacing w:before="98" w:line="219" w:lineRule="auto"/>
        <w:ind w:left="570"/>
      </w:pPr>
      <w:r>
        <w:t>确定对自动测试设备的要求，从而能够和</w:t>
      </w:r>
      <w:r>
        <w:rPr>
          <w:spacing w:val="-77"/>
        </w:rPr>
        <w:t xml:space="preserve"> </w:t>
      </w:r>
      <w:r>
        <w:rPr>
          <w:rFonts w:ascii="Times New Roman" w:hAnsi="Times New Roman" w:eastAsia="Times New Roman" w:cs="Times New Roman"/>
        </w:rPr>
        <w:t>BIT</w:t>
      </w:r>
      <w:r>
        <w:rPr>
          <w:rFonts w:ascii="Times New Roman" w:hAnsi="Times New Roman" w:eastAsia="Times New Roman" w:cs="Times New Roman"/>
          <w:spacing w:val="43"/>
        </w:rPr>
        <w:t xml:space="preserve"> </w:t>
      </w:r>
      <w:r>
        <w:t>一起提供总维修能力。</w:t>
      </w:r>
    </w:p>
    <w:p w14:paraId="36405560">
      <w:pPr>
        <w:spacing w:before="105" w:line="222" w:lineRule="auto"/>
        <w:rPr>
          <w:rFonts w:ascii="黑体" w:hAnsi="黑体" w:eastAsia="黑体" w:cs="黑体"/>
          <w:sz w:val="24"/>
          <w:szCs w:val="24"/>
        </w:rPr>
      </w:pPr>
      <w:r>
        <w:rPr>
          <w:rFonts w:ascii="黑体" w:hAnsi="黑体" w:eastAsia="黑体" w:cs="黑体"/>
          <w:spacing w:val="20"/>
          <w:sz w:val="24"/>
          <w:szCs w:val="24"/>
        </w:rPr>
        <w:t>7.8</w:t>
      </w:r>
      <w:r>
        <w:rPr>
          <w:rFonts w:ascii="黑体" w:hAnsi="黑体" w:eastAsia="黑体" w:cs="黑体"/>
          <w:spacing w:val="56"/>
          <w:sz w:val="24"/>
          <w:szCs w:val="24"/>
        </w:rPr>
        <w:t xml:space="preserve">  </w:t>
      </w:r>
      <w:r>
        <w:rPr>
          <w:rFonts w:ascii="黑体" w:hAnsi="黑体" w:eastAsia="黑体" w:cs="黑体"/>
          <w:b/>
          <w:bCs/>
          <w:spacing w:val="20"/>
          <w:sz w:val="24"/>
          <w:szCs w:val="24"/>
        </w:rPr>
        <w:t>技术文件要求</w:t>
      </w:r>
    </w:p>
    <w:p w14:paraId="2CBA40BD">
      <w:pPr>
        <w:pStyle w:val="2"/>
        <w:spacing w:before="98" w:line="219" w:lineRule="auto"/>
        <w:ind w:left="570"/>
      </w:pPr>
      <w:r>
        <w:rPr>
          <w:spacing w:val="4"/>
        </w:rPr>
        <w:t>确定对技术文件的要求。</w:t>
      </w:r>
    </w:p>
    <w:p w14:paraId="572BFDA9">
      <w:pPr>
        <w:spacing w:before="105" w:line="222" w:lineRule="auto"/>
        <w:rPr>
          <w:rFonts w:ascii="黑体" w:hAnsi="黑体" w:eastAsia="黑体" w:cs="黑体"/>
          <w:sz w:val="25"/>
          <w:szCs w:val="25"/>
        </w:rPr>
      </w:pPr>
      <w:r>
        <w:rPr>
          <w:rFonts w:ascii="黑体" w:hAnsi="黑体" w:eastAsia="黑体" w:cs="黑体"/>
          <w:spacing w:val="10"/>
          <w:sz w:val="25"/>
          <w:szCs w:val="25"/>
        </w:rPr>
        <w:t>7.9</w:t>
      </w:r>
      <w:r>
        <w:rPr>
          <w:rFonts w:ascii="黑体" w:hAnsi="黑体" w:eastAsia="黑体" w:cs="黑体"/>
          <w:spacing w:val="46"/>
          <w:sz w:val="25"/>
          <w:szCs w:val="25"/>
        </w:rPr>
        <w:t xml:space="preserve">  </w:t>
      </w:r>
      <w:r>
        <w:rPr>
          <w:rFonts w:ascii="黑体" w:hAnsi="黑体" w:eastAsia="黑体" w:cs="黑体"/>
          <w:b/>
          <w:bCs/>
          <w:spacing w:val="10"/>
          <w:sz w:val="25"/>
          <w:szCs w:val="25"/>
        </w:rPr>
        <w:t>其他要求</w:t>
      </w:r>
    </w:p>
    <w:p w14:paraId="4B845408">
      <w:pPr>
        <w:pStyle w:val="2"/>
        <w:spacing w:before="95" w:line="220" w:lineRule="auto"/>
        <w:ind w:left="570"/>
      </w:pPr>
      <w:r>
        <w:rPr>
          <w:spacing w:val="2"/>
        </w:rPr>
        <w:t>确定必要的其他要求。</w:t>
      </w:r>
    </w:p>
    <w:p w14:paraId="1748B56C">
      <w:pPr>
        <w:spacing w:line="319" w:lineRule="auto"/>
        <w:rPr>
          <w:rFonts w:ascii="Arial"/>
          <w:sz w:val="21"/>
        </w:rPr>
      </w:pPr>
    </w:p>
    <w:p w14:paraId="5F591E60">
      <w:pPr>
        <w:pStyle w:val="2"/>
        <w:spacing w:before="117" w:line="221" w:lineRule="auto"/>
        <w:ind w:left="3399"/>
        <w:rPr>
          <w:sz w:val="36"/>
          <w:szCs w:val="36"/>
        </w:rPr>
      </w:pPr>
      <w:r>
        <w:rPr>
          <w:spacing w:val="1"/>
          <w:sz w:val="36"/>
          <w:szCs w:val="36"/>
        </w:rPr>
        <w:t xml:space="preserve">9.2  </w:t>
      </w:r>
      <w:r>
        <w:rPr>
          <w:b/>
          <w:bCs/>
          <w:spacing w:val="1"/>
          <w:sz w:val="36"/>
          <w:szCs w:val="36"/>
        </w:rPr>
        <w:t>测试性要求</w:t>
      </w:r>
    </w:p>
    <w:p w14:paraId="645DAF8D">
      <w:pPr>
        <w:spacing w:line="370" w:lineRule="auto"/>
        <w:rPr>
          <w:rFonts w:ascii="Arial"/>
          <w:sz w:val="21"/>
        </w:rPr>
      </w:pPr>
    </w:p>
    <w:p w14:paraId="226A9CEC">
      <w:pPr>
        <w:pStyle w:val="2"/>
        <w:spacing w:before="88" w:line="264" w:lineRule="auto"/>
        <w:ind w:right="35" w:firstLine="570"/>
        <w:rPr>
          <w:rFonts w:ascii="楷体" w:hAnsi="楷体" w:eastAsia="楷体" w:cs="楷体"/>
        </w:rPr>
      </w:pPr>
      <w:r>
        <w:rPr>
          <w:rFonts w:ascii="楷体" w:hAnsi="楷体" w:eastAsia="楷体" w:cs="楷体"/>
          <w:spacing w:val="-5"/>
        </w:rPr>
        <w:t>按照</w:t>
      </w:r>
      <w:r>
        <w:rPr>
          <w:rFonts w:ascii="楷体" w:hAnsi="楷体" w:eastAsia="楷体" w:cs="楷体"/>
          <w:spacing w:val="-77"/>
        </w:rPr>
        <w:t xml:space="preserve"> </w:t>
      </w:r>
      <w:r>
        <w:rPr>
          <w:rFonts w:ascii="Times New Roman" w:hAnsi="Times New Roman" w:eastAsia="Times New Roman" w:cs="Times New Roman"/>
          <w:spacing w:val="-5"/>
        </w:rPr>
        <w:t>GJB 2547A</w:t>
      </w:r>
      <w:r>
        <w:rPr>
          <w:spacing w:val="-5"/>
        </w:rPr>
        <w:t>《</w:t>
      </w:r>
      <w:r>
        <w:rPr>
          <w:rFonts w:ascii="楷体" w:hAnsi="楷体" w:eastAsia="楷体" w:cs="楷体"/>
          <w:spacing w:val="-5"/>
        </w:rPr>
        <w:t>装备测试性工作通用要求》、</w:t>
      </w:r>
      <w:r>
        <w:rPr>
          <w:rFonts w:ascii="Times New Roman" w:hAnsi="Times New Roman" w:eastAsia="Times New Roman" w:cs="Times New Roman"/>
          <w:spacing w:val="-5"/>
        </w:rPr>
        <w:t>GJ</w:t>
      </w:r>
      <w:r>
        <w:rPr>
          <w:rFonts w:ascii="Times New Roman" w:hAnsi="Times New Roman" w:eastAsia="Times New Roman" w:cs="Times New Roman"/>
          <w:spacing w:val="-6"/>
        </w:rPr>
        <w:t>B1909A—2009</w:t>
      </w:r>
      <w:r>
        <w:rPr>
          <w:spacing w:val="-6"/>
        </w:rPr>
        <w:t>《</w:t>
      </w:r>
      <w:r>
        <w:rPr>
          <w:rFonts w:ascii="楷体" w:hAnsi="楷体" w:eastAsia="楷体" w:cs="楷体"/>
          <w:spacing w:val="-6"/>
        </w:rPr>
        <w:t>装备可靠</w:t>
      </w:r>
      <w:r>
        <w:rPr>
          <w:rFonts w:ascii="楷体" w:hAnsi="楷体" w:eastAsia="楷体" w:cs="楷体"/>
        </w:rPr>
        <w:t xml:space="preserve"> </w:t>
      </w:r>
      <w:r>
        <w:rPr>
          <w:rFonts w:ascii="楷体" w:hAnsi="楷体" w:eastAsia="楷体" w:cs="楷体"/>
          <w:spacing w:val="-6"/>
        </w:rPr>
        <w:t>性维修性保障性要求论证》编写。</w:t>
      </w:r>
    </w:p>
    <w:p w14:paraId="0B7FC513">
      <w:pPr>
        <w:spacing w:before="32"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8"/>
          <w:sz w:val="25"/>
          <w:szCs w:val="25"/>
        </w:rPr>
        <w:t xml:space="preserve">   </w:t>
      </w:r>
      <w:r>
        <w:rPr>
          <w:rFonts w:ascii="黑体" w:hAnsi="黑体" w:eastAsia="黑体" w:cs="黑体"/>
          <w:b/>
          <w:bCs/>
          <w:spacing w:val="-14"/>
          <w:sz w:val="25"/>
          <w:szCs w:val="25"/>
        </w:rPr>
        <w:t>范</w:t>
      </w:r>
      <w:r>
        <w:rPr>
          <w:rFonts w:ascii="黑体" w:hAnsi="黑体" w:eastAsia="黑体" w:cs="黑体"/>
          <w:spacing w:val="-37"/>
          <w:sz w:val="25"/>
          <w:szCs w:val="25"/>
        </w:rPr>
        <w:t xml:space="preserve"> </w:t>
      </w:r>
      <w:r>
        <w:rPr>
          <w:rFonts w:ascii="黑体" w:hAnsi="黑体" w:eastAsia="黑体" w:cs="黑体"/>
          <w:b/>
          <w:bCs/>
          <w:spacing w:val="-14"/>
          <w:sz w:val="25"/>
          <w:szCs w:val="25"/>
        </w:rPr>
        <w:t>围</w:t>
      </w:r>
    </w:p>
    <w:p w14:paraId="32FC6716">
      <w:pPr>
        <w:spacing w:before="106" w:line="222" w:lineRule="auto"/>
        <w:rPr>
          <w:rFonts w:ascii="黑体" w:hAnsi="黑体" w:eastAsia="黑体" w:cs="黑体"/>
          <w:sz w:val="27"/>
          <w:szCs w:val="27"/>
        </w:rPr>
      </w:pPr>
      <w:r>
        <w:rPr>
          <w:rFonts w:ascii="Arial" w:hAnsi="Arial" w:eastAsia="Arial" w:cs="Arial"/>
          <w:b/>
          <w:bCs/>
          <w:spacing w:val="-3"/>
          <w:sz w:val="27"/>
          <w:szCs w:val="27"/>
        </w:rPr>
        <w:t>2</w:t>
      </w:r>
      <w:r>
        <w:rPr>
          <w:rFonts w:ascii="Arial" w:hAnsi="Arial" w:eastAsia="Arial" w:cs="Arial"/>
          <w:b/>
          <w:bCs/>
          <w:spacing w:val="22"/>
          <w:sz w:val="27"/>
          <w:szCs w:val="27"/>
        </w:rPr>
        <w:t xml:space="preserve">   </w:t>
      </w:r>
      <w:r>
        <w:rPr>
          <w:rFonts w:ascii="黑体" w:hAnsi="黑体" w:eastAsia="黑体" w:cs="黑体"/>
          <w:b/>
          <w:bCs/>
          <w:spacing w:val="-3"/>
          <w:sz w:val="27"/>
          <w:szCs w:val="27"/>
        </w:rPr>
        <w:t>引用文件</w:t>
      </w:r>
    </w:p>
    <w:p w14:paraId="71575AC7">
      <w:pPr>
        <w:spacing w:before="94" w:line="221" w:lineRule="auto"/>
        <w:rPr>
          <w:rFonts w:ascii="黑体" w:hAnsi="黑体" w:eastAsia="黑体" w:cs="黑体"/>
          <w:sz w:val="25"/>
          <w:szCs w:val="25"/>
        </w:rPr>
      </w:pPr>
      <w:r>
        <w:rPr>
          <w:rFonts w:ascii="黑体" w:hAnsi="黑体" w:eastAsia="黑体" w:cs="黑体"/>
          <w:spacing w:val="2"/>
          <w:sz w:val="25"/>
          <w:szCs w:val="25"/>
        </w:rPr>
        <w:t>3</w:t>
      </w:r>
      <w:r>
        <w:rPr>
          <w:rFonts w:ascii="黑体" w:hAnsi="黑体" w:eastAsia="黑体" w:cs="黑体"/>
          <w:spacing w:val="7"/>
          <w:sz w:val="25"/>
          <w:szCs w:val="25"/>
        </w:rPr>
        <w:t xml:space="preserve">   </w:t>
      </w:r>
      <w:r>
        <w:rPr>
          <w:rFonts w:ascii="黑体" w:hAnsi="黑体" w:eastAsia="黑体" w:cs="黑体"/>
          <w:b/>
          <w:bCs/>
          <w:spacing w:val="2"/>
          <w:sz w:val="25"/>
          <w:szCs w:val="25"/>
        </w:rPr>
        <w:t>概述</w:t>
      </w:r>
    </w:p>
    <w:p w14:paraId="13F2D4D1">
      <w:pPr>
        <w:pStyle w:val="2"/>
        <w:spacing w:before="118" w:line="219" w:lineRule="auto"/>
        <w:ind w:left="570"/>
      </w:pPr>
      <w:r>
        <w:rPr>
          <w:spacing w:val="-2"/>
        </w:rPr>
        <w:t>主要说明装备测试性要求论证的作用、目标和意</w:t>
      </w:r>
      <w:r>
        <w:rPr>
          <w:spacing w:val="-3"/>
        </w:rPr>
        <w:t>义等。</w:t>
      </w:r>
    </w:p>
    <w:p w14:paraId="5C838FD2">
      <w:pPr>
        <w:spacing w:line="219" w:lineRule="auto"/>
        <w:sectPr>
          <w:footerReference r:id="rId440" w:type="default"/>
          <w:pgSz w:w="11910" w:h="17130"/>
          <w:pgMar w:top="1456" w:right="1118" w:bottom="1606" w:left="1380" w:header="0" w:footer="1417" w:gutter="0"/>
          <w:cols w:space="720" w:num="1"/>
        </w:sectPr>
      </w:pPr>
    </w:p>
    <w:p w14:paraId="324AB92F">
      <w:pPr>
        <w:spacing w:before="131" w:line="221" w:lineRule="auto"/>
        <w:rPr>
          <w:rFonts w:ascii="黑体" w:hAnsi="黑体" w:eastAsia="黑体" w:cs="黑体"/>
          <w:sz w:val="24"/>
          <w:szCs w:val="24"/>
        </w:rPr>
      </w:pPr>
      <w:r>
        <w:rPr>
          <w:rFonts w:ascii="Arial" w:hAnsi="Arial" w:eastAsia="Arial" w:cs="Arial"/>
          <w:spacing w:val="30"/>
          <w:sz w:val="24"/>
          <w:szCs w:val="24"/>
        </w:rPr>
        <w:t>4</w:t>
      </w:r>
      <w:r>
        <w:rPr>
          <w:rFonts w:ascii="Arial" w:hAnsi="Arial" w:eastAsia="Arial" w:cs="Arial"/>
          <w:spacing w:val="7"/>
          <w:sz w:val="24"/>
          <w:szCs w:val="24"/>
        </w:rPr>
        <w:t xml:space="preserve">    </w:t>
      </w:r>
      <w:r>
        <w:rPr>
          <w:rFonts w:ascii="黑体" w:hAnsi="黑体" w:eastAsia="黑体" w:cs="黑体"/>
          <w:spacing w:val="30"/>
          <w:sz w:val="24"/>
          <w:szCs w:val="24"/>
        </w:rPr>
        <w:t>装备的使命和任务</w:t>
      </w:r>
    </w:p>
    <w:p w14:paraId="6C910DBF">
      <w:pPr>
        <w:pStyle w:val="2"/>
        <w:spacing w:before="57" w:line="273" w:lineRule="auto"/>
        <w:ind w:right="100" w:firstLine="559"/>
        <w:jc w:val="both"/>
      </w:pPr>
      <w:r>
        <w:rPr>
          <w:spacing w:val="6"/>
        </w:rPr>
        <w:t>说明装备的使命和任务，主要包括新研装备担负的主</w:t>
      </w:r>
      <w:r>
        <w:rPr>
          <w:spacing w:val="5"/>
        </w:rPr>
        <w:t>要任务和辅助任务及</w:t>
      </w:r>
      <w:r>
        <w:t xml:space="preserve"> </w:t>
      </w:r>
      <w:r>
        <w:rPr>
          <w:spacing w:val="-3"/>
        </w:rPr>
        <w:t>其使用环境条件，论述现有装备在战备完好性、任务成功性、持续性和部署性等</w:t>
      </w:r>
      <w:r>
        <w:rPr>
          <w:spacing w:val="16"/>
        </w:rPr>
        <w:t xml:space="preserve"> </w:t>
      </w:r>
      <w:r>
        <w:rPr>
          <w:spacing w:val="-1"/>
        </w:rPr>
        <w:t>方面的不足和缺陷，以及国内外相似装备测试性现状分析。</w:t>
      </w:r>
    </w:p>
    <w:p w14:paraId="246B8276">
      <w:pPr>
        <w:spacing w:line="368" w:lineRule="exact"/>
        <w:rPr>
          <w:rFonts w:ascii="黑体" w:hAnsi="黑体" w:eastAsia="黑体" w:cs="黑体"/>
          <w:sz w:val="27"/>
          <w:szCs w:val="27"/>
        </w:rPr>
      </w:pPr>
      <w:r>
        <w:rPr>
          <w:rFonts w:ascii="Arial" w:hAnsi="Arial" w:eastAsia="Arial" w:cs="Arial"/>
          <w:spacing w:val="-4"/>
          <w:position w:val="1"/>
          <w:sz w:val="27"/>
          <w:szCs w:val="27"/>
        </w:rPr>
        <w:t>5</w:t>
      </w:r>
      <w:r>
        <w:rPr>
          <w:rFonts w:ascii="Arial" w:hAnsi="Arial" w:eastAsia="Arial" w:cs="Arial"/>
          <w:spacing w:val="18"/>
          <w:w w:val="101"/>
          <w:position w:val="1"/>
          <w:sz w:val="27"/>
          <w:szCs w:val="27"/>
        </w:rPr>
        <w:t xml:space="preserve">   </w:t>
      </w:r>
      <w:r>
        <w:rPr>
          <w:rFonts w:ascii="黑体" w:hAnsi="黑体" w:eastAsia="黑体" w:cs="黑体"/>
          <w:spacing w:val="-4"/>
          <w:position w:val="1"/>
          <w:sz w:val="27"/>
          <w:szCs w:val="27"/>
        </w:rPr>
        <w:t>装备使用方案、设计方案和保障方案</w:t>
      </w:r>
    </w:p>
    <w:p w14:paraId="10C5F421">
      <w:pPr>
        <w:pStyle w:val="2"/>
        <w:spacing w:before="84" w:line="275" w:lineRule="auto"/>
        <w:ind w:firstLine="559"/>
        <w:jc w:val="both"/>
      </w:pPr>
      <w:r>
        <w:rPr>
          <w:spacing w:val="6"/>
        </w:rPr>
        <w:t>使用方案、设计方案和保障方案是进一步确</w:t>
      </w:r>
      <w:r>
        <w:rPr>
          <w:spacing w:val="5"/>
        </w:rPr>
        <w:t>定测试性要求的依据。使用方</w:t>
      </w:r>
      <w:r>
        <w:t xml:space="preserve"> </w:t>
      </w:r>
      <w:r>
        <w:rPr>
          <w:spacing w:val="-2"/>
        </w:rPr>
        <w:t>案主要说明装备将如何使用和使用时的组织机构、人员安排，还应包括装备的寿</w:t>
      </w:r>
      <w:r>
        <w:rPr>
          <w:spacing w:val="2"/>
        </w:rPr>
        <w:t xml:space="preserve"> </w:t>
      </w:r>
      <w:r>
        <w:rPr>
          <w:spacing w:val="-3"/>
        </w:rPr>
        <w:t>命剖面和任务剖面；设计方案简述装备的基本组成，列出为完成使用任务，装备</w:t>
      </w:r>
      <w:r>
        <w:rPr>
          <w:spacing w:val="8"/>
        </w:rPr>
        <w:t xml:space="preserve">  </w:t>
      </w:r>
      <w:r>
        <w:rPr>
          <w:spacing w:val="9"/>
        </w:rPr>
        <w:t>必要的功能清单和相应的分系统清单；保障方案说明对保障工作的总体设</w:t>
      </w:r>
      <w:r>
        <w:rPr>
          <w:spacing w:val="8"/>
        </w:rPr>
        <w:t>想。</w:t>
      </w:r>
      <w:r>
        <w:t xml:space="preserve"> </w:t>
      </w:r>
      <w:r>
        <w:rPr>
          <w:spacing w:val="14"/>
        </w:rPr>
        <w:t>它由满足功能的保障要求、与设计方案及使用方案相协调的各保障要素方案</w:t>
      </w:r>
      <w:r>
        <w:rPr>
          <w:spacing w:val="10"/>
        </w:rPr>
        <w:t xml:space="preserve"> </w:t>
      </w:r>
      <w:r>
        <w:rPr>
          <w:spacing w:val="-6"/>
        </w:rPr>
        <w:t>组成。</w:t>
      </w:r>
    </w:p>
    <w:p w14:paraId="027CE6B2">
      <w:pPr>
        <w:spacing w:line="327" w:lineRule="exact"/>
        <w:rPr>
          <w:rFonts w:ascii="黑体" w:hAnsi="黑体" w:eastAsia="黑体" w:cs="黑体"/>
          <w:sz w:val="24"/>
          <w:szCs w:val="24"/>
        </w:rPr>
      </w:pPr>
      <w:r>
        <w:rPr>
          <w:rFonts w:ascii="Arial" w:hAnsi="Arial" w:eastAsia="Arial" w:cs="Arial"/>
          <w:spacing w:val="29"/>
          <w:position w:val="1"/>
          <w:sz w:val="24"/>
          <w:szCs w:val="24"/>
        </w:rPr>
        <w:t>6</w:t>
      </w:r>
      <w:r>
        <w:rPr>
          <w:rFonts w:ascii="Arial" w:hAnsi="Arial" w:eastAsia="Arial" w:cs="Arial"/>
          <w:spacing w:val="8"/>
          <w:position w:val="1"/>
          <w:sz w:val="24"/>
          <w:szCs w:val="24"/>
        </w:rPr>
        <w:t xml:space="preserve">    </w:t>
      </w:r>
      <w:r>
        <w:rPr>
          <w:rFonts w:ascii="黑体" w:hAnsi="黑体" w:eastAsia="黑体" w:cs="黑体"/>
          <w:spacing w:val="29"/>
          <w:position w:val="1"/>
          <w:sz w:val="24"/>
          <w:szCs w:val="24"/>
        </w:rPr>
        <w:t>故障定义和判断准则</w:t>
      </w:r>
    </w:p>
    <w:p w14:paraId="148ECB7E">
      <w:pPr>
        <w:pStyle w:val="2"/>
        <w:spacing w:before="97" w:line="280" w:lineRule="auto"/>
        <w:ind w:right="103" w:firstLine="559"/>
      </w:pPr>
      <w:r>
        <w:rPr>
          <w:spacing w:val="6"/>
        </w:rPr>
        <w:t>说明在试验过程中对故障原因和后果进行分类</w:t>
      </w:r>
      <w:r>
        <w:rPr>
          <w:spacing w:val="5"/>
        </w:rPr>
        <w:t>所需的指导原则。故障分类</w:t>
      </w:r>
      <w:r>
        <w:t xml:space="preserve"> </w:t>
      </w:r>
      <w:r>
        <w:rPr>
          <w:spacing w:val="1"/>
        </w:rPr>
        <w:t>的结果将评价装备的测试性。</w:t>
      </w:r>
    </w:p>
    <w:p w14:paraId="07459168">
      <w:pPr>
        <w:spacing w:before="1" w:line="220" w:lineRule="auto"/>
        <w:rPr>
          <w:rFonts w:ascii="黑体" w:hAnsi="黑体" w:eastAsia="黑体" w:cs="黑体"/>
          <w:sz w:val="27"/>
          <w:szCs w:val="27"/>
        </w:rPr>
      </w:pPr>
      <w:r>
        <w:rPr>
          <w:rFonts w:ascii="Arial" w:hAnsi="Arial" w:eastAsia="Arial" w:cs="Arial"/>
          <w:spacing w:val="4"/>
          <w:sz w:val="27"/>
          <w:szCs w:val="27"/>
        </w:rPr>
        <w:t>7</w:t>
      </w:r>
      <w:r>
        <w:rPr>
          <w:rFonts w:ascii="Arial" w:hAnsi="Arial" w:eastAsia="Arial" w:cs="Arial"/>
          <w:spacing w:val="19"/>
          <w:sz w:val="27"/>
          <w:szCs w:val="27"/>
        </w:rPr>
        <w:t xml:space="preserve">   </w:t>
      </w:r>
      <w:r>
        <w:rPr>
          <w:rFonts w:ascii="黑体" w:hAnsi="黑体" w:eastAsia="黑体" w:cs="黑体"/>
          <w:spacing w:val="4"/>
          <w:sz w:val="27"/>
          <w:szCs w:val="27"/>
        </w:rPr>
        <w:t>装备测试性定性定量要求及约束条件</w:t>
      </w:r>
    </w:p>
    <w:p w14:paraId="146CE170">
      <w:pPr>
        <w:pStyle w:val="2"/>
        <w:spacing w:before="87" w:line="282" w:lineRule="auto"/>
        <w:ind w:right="102" w:firstLine="559"/>
      </w:pPr>
      <w:r>
        <w:rPr>
          <w:spacing w:val="-3"/>
        </w:rPr>
        <w:t>列出装备的测试性定性和定量要求，测试性定量要求参数及其计算方法，装</w:t>
      </w:r>
      <w:r>
        <w:rPr>
          <w:spacing w:val="10"/>
        </w:rPr>
        <w:t xml:space="preserve"> </w:t>
      </w:r>
      <w:r>
        <w:rPr>
          <w:spacing w:val="4"/>
        </w:rPr>
        <w:t>备形成初始作战能力和保障能力的时机和状态等。</w:t>
      </w:r>
    </w:p>
    <w:p w14:paraId="3D950404">
      <w:pPr>
        <w:pStyle w:val="2"/>
        <w:spacing w:before="14" w:line="219" w:lineRule="auto"/>
        <w:ind w:left="559"/>
        <w:rPr>
          <w:sz w:val="25"/>
          <w:szCs w:val="25"/>
        </w:rPr>
      </w:pPr>
      <w:r>
        <w:rPr>
          <w:spacing w:val="17"/>
          <w:sz w:val="25"/>
          <w:szCs w:val="25"/>
        </w:rPr>
        <w:t>为了合理确定装备测试性要求，应遵循如下基本原则：</w:t>
      </w:r>
    </w:p>
    <w:p w14:paraId="145C7DFE">
      <w:pPr>
        <w:pStyle w:val="2"/>
        <w:spacing w:before="95" w:line="261" w:lineRule="auto"/>
        <w:ind w:right="115" w:firstLine="559"/>
        <w:rPr>
          <w:sz w:val="25"/>
          <w:szCs w:val="25"/>
        </w:rPr>
      </w:pPr>
      <w:r>
        <w:rPr>
          <w:rFonts w:ascii="Times New Roman" w:hAnsi="Times New Roman" w:eastAsia="Times New Roman" w:cs="Times New Roman"/>
          <w:spacing w:val="9"/>
          <w:sz w:val="25"/>
          <w:szCs w:val="25"/>
        </w:rPr>
        <w:t>a</w:t>
      </w:r>
      <w:r>
        <w:rPr>
          <w:rFonts w:ascii="Times New Roman" w:hAnsi="Times New Roman" w:eastAsia="Times New Roman" w:cs="Times New Roman"/>
          <w:spacing w:val="-16"/>
          <w:sz w:val="25"/>
          <w:szCs w:val="25"/>
        </w:rPr>
        <w:t xml:space="preserve"> </w:t>
      </w:r>
      <w:r>
        <w:rPr>
          <w:spacing w:val="9"/>
          <w:sz w:val="25"/>
          <w:szCs w:val="25"/>
        </w:rPr>
        <w:t>)</w:t>
      </w:r>
      <w:r>
        <w:rPr>
          <w:spacing w:val="-39"/>
          <w:sz w:val="25"/>
          <w:szCs w:val="25"/>
        </w:rPr>
        <w:t xml:space="preserve"> </w:t>
      </w:r>
      <w:r>
        <w:rPr>
          <w:spacing w:val="9"/>
          <w:sz w:val="25"/>
          <w:szCs w:val="25"/>
        </w:rPr>
        <w:t>在确定测试性要求时，应全面考虑使用需求、费用、进度、技术水平(技术</w:t>
      </w:r>
      <w:r>
        <w:rPr>
          <w:sz w:val="25"/>
          <w:szCs w:val="25"/>
        </w:rPr>
        <w:t xml:space="preserve"> </w:t>
      </w:r>
      <w:r>
        <w:rPr>
          <w:spacing w:val="14"/>
          <w:sz w:val="25"/>
          <w:szCs w:val="25"/>
        </w:rPr>
        <w:t>成熟度、相似装备的测试性水平)等因素；</w:t>
      </w:r>
    </w:p>
    <w:p w14:paraId="0A7E8AE7">
      <w:pPr>
        <w:pStyle w:val="2"/>
        <w:spacing w:before="65" w:line="269" w:lineRule="auto"/>
        <w:ind w:right="102" w:firstLine="559"/>
      </w:pPr>
      <w:r>
        <w:rPr>
          <w:rFonts w:ascii="Times New Roman" w:hAnsi="Times New Roman" w:eastAsia="Times New Roman" w:cs="Times New Roman"/>
          <w:spacing w:val="-5"/>
        </w:rPr>
        <w:t xml:space="preserve">b)  </w:t>
      </w:r>
      <w:r>
        <w:rPr>
          <w:spacing w:val="-5"/>
        </w:rPr>
        <w:t>测试性要求的确定应根据装备的安全性、经济可承受性、战备完好性、任</w:t>
      </w:r>
      <w:r>
        <w:t xml:space="preserve"> </w:t>
      </w:r>
      <w:r>
        <w:rPr>
          <w:spacing w:val="-2"/>
        </w:rPr>
        <w:t>务成功性等要求，全面考虑装备的使命任务、类型特点、复杂程度及要求是否便</w:t>
      </w:r>
      <w:r>
        <w:rPr>
          <w:spacing w:val="1"/>
        </w:rPr>
        <w:t xml:space="preserve"> </w:t>
      </w:r>
      <w:r>
        <w:rPr>
          <w:spacing w:val="-1"/>
        </w:rPr>
        <w:t>于度量与验证等因素，确定适当的测试性定性和定量的要求；</w:t>
      </w:r>
    </w:p>
    <w:p w14:paraId="377CDC9C">
      <w:pPr>
        <w:pStyle w:val="2"/>
        <w:spacing w:before="70" w:line="275" w:lineRule="auto"/>
        <w:ind w:right="104" w:firstLine="559"/>
        <w:rPr>
          <w:sz w:val="25"/>
          <w:szCs w:val="25"/>
        </w:rPr>
      </w:pPr>
      <w:r>
        <w:rPr>
          <w:rFonts w:ascii="Times New Roman" w:hAnsi="Times New Roman" w:eastAsia="Times New Roman" w:cs="Times New Roman"/>
          <w:spacing w:val="21"/>
          <w:sz w:val="25"/>
          <w:szCs w:val="25"/>
        </w:rPr>
        <w:t xml:space="preserve">c)  </w:t>
      </w:r>
      <w:r>
        <w:rPr>
          <w:spacing w:val="21"/>
          <w:sz w:val="25"/>
          <w:szCs w:val="25"/>
        </w:rPr>
        <w:t>测试性要求应与维修性、可靠性要求相协调，在反映测试性目标的前提</w:t>
      </w:r>
      <w:r>
        <w:rPr>
          <w:spacing w:val="15"/>
          <w:sz w:val="25"/>
          <w:szCs w:val="25"/>
        </w:rPr>
        <w:t xml:space="preserve"> </w:t>
      </w:r>
      <w:r>
        <w:rPr>
          <w:spacing w:val="14"/>
          <w:sz w:val="25"/>
          <w:szCs w:val="25"/>
        </w:rPr>
        <w:t>下，表示定量要求的参数应尽可能少；</w:t>
      </w:r>
    </w:p>
    <w:p w14:paraId="25F64E6B">
      <w:pPr>
        <w:pStyle w:val="2"/>
        <w:spacing w:before="54" w:line="265" w:lineRule="auto"/>
        <w:ind w:right="104" w:firstLine="559"/>
      </w:pPr>
      <w:r>
        <w:rPr>
          <w:rFonts w:ascii="Times New Roman" w:hAnsi="Times New Roman" w:eastAsia="Times New Roman" w:cs="Times New Roman"/>
          <w:spacing w:val="3"/>
        </w:rPr>
        <w:t xml:space="preserve">d)  </w:t>
      </w:r>
      <w:r>
        <w:rPr>
          <w:spacing w:val="3"/>
        </w:rPr>
        <w:t>订购方可以单独提出装备的关键系</w:t>
      </w:r>
      <w:r>
        <w:rPr>
          <w:spacing w:val="2"/>
        </w:rPr>
        <w:t>统或设备的测试性要求，对于订购方</w:t>
      </w:r>
      <w:r>
        <w:t xml:space="preserve"> </w:t>
      </w:r>
      <w:r>
        <w:rPr>
          <w:spacing w:val="5"/>
        </w:rPr>
        <w:t>没有明确规定的较低层次产品的测试性要求，由承制方通过测试性分配的方法</w:t>
      </w:r>
      <w:r>
        <w:rPr>
          <w:spacing w:val="8"/>
        </w:rPr>
        <w:t xml:space="preserve"> </w:t>
      </w:r>
      <w:r>
        <w:rPr>
          <w:spacing w:val="-6"/>
        </w:rPr>
        <w:t>确定；</w:t>
      </w:r>
    </w:p>
    <w:p w14:paraId="0C4D5E93">
      <w:pPr>
        <w:pStyle w:val="2"/>
        <w:spacing w:before="68" w:line="260" w:lineRule="auto"/>
        <w:ind w:left="559" w:right="1450"/>
      </w:pPr>
      <w:r>
        <w:rPr>
          <w:rFonts w:ascii="Times New Roman" w:hAnsi="Times New Roman" w:eastAsia="Times New Roman" w:cs="Times New Roman"/>
          <w:spacing w:val="-5"/>
        </w:rPr>
        <w:t xml:space="preserve">e)  </w:t>
      </w:r>
      <w:r>
        <w:rPr>
          <w:spacing w:val="-5"/>
        </w:rPr>
        <w:t>在确定测试性要求时，必须同时明确验证内容、</w:t>
      </w:r>
      <w:r>
        <w:rPr>
          <w:spacing w:val="-6"/>
        </w:rPr>
        <w:t>时机和方法。</w:t>
      </w:r>
      <w:r>
        <w:t xml:space="preserve"> </w:t>
      </w:r>
      <w:r>
        <w:rPr>
          <w:spacing w:val="3"/>
        </w:rPr>
        <w:t>对测试性要求有影响的约束条件主要有：</w:t>
      </w:r>
    </w:p>
    <w:p w14:paraId="5C616158">
      <w:pPr>
        <w:pStyle w:val="2"/>
        <w:spacing w:before="69" w:line="212" w:lineRule="auto"/>
        <w:ind w:left="559"/>
      </w:pPr>
      <w:r>
        <w:rPr>
          <w:rFonts w:ascii="Times New Roman" w:hAnsi="Times New Roman" w:eastAsia="Times New Roman" w:cs="Times New Roman"/>
          <w:spacing w:val="-8"/>
        </w:rPr>
        <w:t>a)</w:t>
      </w:r>
      <w:r>
        <w:rPr>
          <w:rFonts w:ascii="Times New Roman" w:hAnsi="Times New Roman" w:eastAsia="Times New Roman" w:cs="Times New Roman"/>
          <w:spacing w:val="69"/>
        </w:rPr>
        <w:t xml:space="preserve"> </w:t>
      </w:r>
      <w:r>
        <w:rPr>
          <w:spacing w:val="-8"/>
        </w:rPr>
        <w:t>平时战备训练的环境条件，包括使用、维修、贮存和运输等环境条件；</w:t>
      </w:r>
    </w:p>
    <w:p w14:paraId="107DD21F">
      <w:pPr>
        <w:pStyle w:val="2"/>
        <w:spacing w:before="110" w:line="212" w:lineRule="auto"/>
        <w:ind w:right="19"/>
        <w:jc w:val="right"/>
      </w:pPr>
      <w:r>
        <w:rPr>
          <w:rFonts w:ascii="Times New Roman" w:hAnsi="Times New Roman" w:eastAsia="Times New Roman" w:cs="Times New Roman"/>
          <w:spacing w:val="-10"/>
        </w:rPr>
        <w:t>b)</w:t>
      </w:r>
      <w:r>
        <w:rPr>
          <w:rFonts w:ascii="Times New Roman" w:hAnsi="Times New Roman" w:eastAsia="Times New Roman" w:cs="Times New Roman"/>
          <w:spacing w:val="57"/>
        </w:rPr>
        <w:t xml:space="preserve"> </w:t>
      </w:r>
      <w:r>
        <w:rPr>
          <w:spacing w:val="-10"/>
        </w:rPr>
        <w:t>作战环境条件，包括自然环境、核生化环境、电子环境、复杂电</w:t>
      </w:r>
      <w:r>
        <w:rPr>
          <w:spacing w:val="-11"/>
        </w:rPr>
        <w:t>磁环境等；</w:t>
      </w:r>
    </w:p>
    <w:p w14:paraId="547A6EB9">
      <w:pPr>
        <w:pStyle w:val="2"/>
        <w:spacing w:before="90" w:line="212" w:lineRule="auto"/>
        <w:ind w:left="559"/>
      </w:pPr>
      <w:r>
        <w:rPr>
          <w:rFonts w:ascii="Times New Roman" w:hAnsi="Times New Roman" w:eastAsia="Times New Roman" w:cs="Times New Roman"/>
          <w:spacing w:val="-5"/>
        </w:rPr>
        <w:t xml:space="preserve">c)  </w:t>
      </w:r>
      <w:r>
        <w:rPr>
          <w:spacing w:val="-5"/>
        </w:rPr>
        <w:t>与装备保障有关的指挥、控制、通信和情报系统之间的接口；</w:t>
      </w:r>
    </w:p>
    <w:p w14:paraId="59BB8630">
      <w:pPr>
        <w:pStyle w:val="2"/>
        <w:spacing w:before="90" w:line="212" w:lineRule="auto"/>
        <w:ind w:left="559"/>
      </w:pPr>
      <w:r>
        <w:rPr>
          <w:rFonts w:ascii="Times New Roman" w:hAnsi="Times New Roman" w:eastAsia="Times New Roman" w:cs="Times New Roman"/>
          <w:spacing w:val="2"/>
        </w:rPr>
        <w:t xml:space="preserve">d)  </w:t>
      </w:r>
      <w:r>
        <w:rPr>
          <w:spacing w:val="2"/>
        </w:rPr>
        <w:t>标准化和互用性的总体要求；</w:t>
      </w:r>
    </w:p>
    <w:p w14:paraId="13DD3687">
      <w:pPr>
        <w:spacing w:line="212" w:lineRule="auto"/>
        <w:sectPr>
          <w:footerReference r:id="rId441" w:type="default"/>
          <w:pgSz w:w="11910" w:h="17130"/>
          <w:pgMar w:top="1456" w:right="1214" w:bottom="1617" w:left="1210" w:header="0" w:footer="1436" w:gutter="0"/>
          <w:cols w:space="720" w:num="1"/>
        </w:sectPr>
      </w:pPr>
    </w:p>
    <w:p w14:paraId="7FBA0DF0">
      <w:pPr>
        <w:pStyle w:val="2"/>
        <w:spacing w:before="58" w:line="212" w:lineRule="auto"/>
        <w:ind w:left="519"/>
      </w:pPr>
      <w:r>
        <w:rPr>
          <w:rFonts w:ascii="Times New Roman" w:hAnsi="Times New Roman" w:eastAsia="Times New Roman" w:cs="Times New Roman"/>
        </w:rPr>
        <w:t xml:space="preserve">e)  </w:t>
      </w:r>
      <w:r>
        <w:t>装备寿命周期费用分析结论，特别是使用和保障费用方面的估算结果；</w:t>
      </w:r>
    </w:p>
    <w:p w14:paraId="6D0CF9DA">
      <w:pPr>
        <w:pStyle w:val="2"/>
        <w:spacing w:before="109" w:line="212" w:lineRule="auto"/>
        <w:ind w:left="519"/>
      </w:pPr>
      <w:r>
        <w:rPr>
          <w:rFonts w:ascii="Times New Roman" w:hAnsi="Times New Roman" w:eastAsia="Times New Roman" w:cs="Times New Roman"/>
          <w:spacing w:val="3"/>
        </w:rPr>
        <w:t xml:space="preserve">f)  </w:t>
      </w:r>
      <w:r>
        <w:rPr>
          <w:spacing w:val="3"/>
        </w:rPr>
        <w:t>装备形成初始作战使用能力和保障能力的时机和状态；</w:t>
      </w:r>
    </w:p>
    <w:p w14:paraId="1CDD71B1">
      <w:pPr>
        <w:pStyle w:val="2"/>
        <w:spacing w:before="109" w:line="212" w:lineRule="auto"/>
        <w:ind w:left="519"/>
      </w:pPr>
      <w:r>
        <w:rPr>
          <w:rFonts w:ascii="Times New Roman" w:hAnsi="Times New Roman" w:eastAsia="Times New Roman" w:cs="Times New Roman"/>
          <w:spacing w:val="2"/>
        </w:rPr>
        <w:t>g</w:t>
      </w:r>
      <w:r>
        <w:rPr>
          <w:spacing w:val="2"/>
        </w:rPr>
        <w:t>)</w:t>
      </w:r>
      <w:r>
        <w:rPr>
          <w:spacing w:val="-47"/>
        </w:rPr>
        <w:t xml:space="preserve"> </w:t>
      </w:r>
      <w:r>
        <w:rPr>
          <w:spacing w:val="2"/>
        </w:rPr>
        <w:t>风险和进度。</w:t>
      </w:r>
    </w:p>
    <w:p w14:paraId="70683B44">
      <w:pPr>
        <w:pStyle w:val="2"/>
        <w:spacing w:before="110" w:line="296" w:lineRule="auto"/>
        <w:ind w:right="118" w:firstLine="519"/>
        <w:rPr>
          <w:sz w:val="25"/>
          <w:szCs w:val="25"/>
        </w:rPr>
      </w:pPr>
      <w:r>
        <w:rPr>
          <w:spacing w:val="19"/>
          <w:sz w:val="25"/>
          <w:szCs w:val="25"/>
        </w:rPr>
        <w:t>测试性定量要求用测试性参数描述，其量值称为测试性指标，</w:t>
      </w:r>
      <w:r>
        <w:rPr>
          <w:spacing w:val="102"/>
          <w:sz w:val="25"/>
          <w:szCs w:val="25"/>
        </w:rPr>
        <w:t xml:space="preserve"> </w:t>
      </w:r>
      <w:r>
        <w:rPr>
          <w:spacing w:val="19"/>
          <w:sz w:val="25"/>
          <w:szCs w:val="25"/>
        </w:rPr>
        <w:t>一般应规定</w:t>
      </w:r>
      <w:r>
        <w:rPr>
          <w:sz w:val="25"/>
          <w:szCs w:val="25"/>
        </w:rPr>
        <w:t xml:space="preserve"> </w:t>
      </w:r>
      <w:r>
        <w:rPr>
          <w:spacing w:val="18"/>
          <w:sz w:val="25"/>
          <w:szCs w:val="25"/>
        </w:rPr>
        <w:t>(但不限于)以下参数的量值：</w:t>
      </w:r>
    </w:p>
    <w:p w14:paraId="072E305F">
      <w:pPr>
        <w:pStyle w:val="2"/>
        <w:spacing w:line="212" w:lineRule="auto"/>
        <w:ind w:left="519"/>
        <w:rPr>
          <w:rFonts w:ascii="Times New Roman" w:hAnsi="Times New Roman" w:eastAsia="Times New Roman" w:cs="Times New Roman"/>
          <w:sz w:val="24"/>
          <w:szCs w:val="24"/>
        </w:rPr>
      </w:pPr>
      <w:r>
        <w:rPr>
          <w:rFonts w:ascii="Times New Roman" w:hAnsi="Times New Roman" w:eastAsia="Times New Roman" w:cs="Times New Roman"/>
          <w:spacing w:val="13"/>
          <w:sz w:val="24"/>
          <w:szCs w:val="24"/>
        </w:rPr>
        <w:t>a</w:t>
      </w:r>
      <w:r>
        <w:rPr>
          <w:rFonts w:ascii="Times New Roman" w:hAnsi="Times New Roman" w:eastAsia="Times New Roman" w:cs="Times New Roman"/>
          <w:spacing w:val="-14"/>
          <w:sz w:val="24"/>
          <w:szCs w:val="24"/>
        </w:rPr>
        <w:t xml:space="preserve"> </w:t>
      </w:r>
      <w:r>
        <w:rPr>
          <w:spacing w:val="13"/>
          <w:sz w:val="24"/>
          <w:szCs w:val="24"/>
        </w:rPr>
        <w:t>)</w:t>
      </w:r>
      <w:r>
        <w:rPr>
          <w:spacing w:val="-29"/>
          <w:sz w:val="24"/>
          <w:szCs w:val="24"/>
        </w:rPr>
        <w:t xml:space="preserve"> </w:t>
      </w:r>
      <w:r>
        <w:rPr>
          <w:spacing w:val="13"/>
          <w:sz w:val="24"/>
          <w:szCs w:val="24"/>
        </w:rPr>
        <w:t>故障检测率(</w:t>
      </w:r>
      <w:r>
        <w:rPr>
          <w:spacing w:val="-69"/>
          <w:sz w:val="24"/>
          <w:szCs w:val="24"/>
        </w:rPr>
        <w:t xml:space="preserve"> </w:t>
      </w:r>
      <w:r>
        <w:rPr>
          <w:rFonts w:ascii="Times New Roman" w:hAnsi="Times New Roman" w:eastAsia="Times New Roman" w:cs="Times New Roman"/>
          <w:sz w:val="24"/>
          <w:szCs w:val="24"/>
        </w:rPr>
        <w:t>FDR</w:t>
      </w:r>
      <w:r>
        <w:rPr>
          <w:rFonts w:ascii="Times New Roman" w:hAnsi="Times New Roman" w:eastAsia="Times New Roman" w:cs="Times New Roman"/>
          <w:spacing w:val="13"/>
          <w:sz w:val="24"/>
          <w:szCs w:val="24"/>
        </w:rPr>
        <w:t>);</w:t>
      </w:r>
    </w:p>
    <w:p w14:paraId="22745873">
      <w:pPr>
        <w:pStyle w:val="2"/>
        <w:spacing w:before="102" w:line="212" w:lineRule="auto"/>
        <w:ind w:left="519"/>
        <w:rPr>
          <w:rFonts w:ascii="Times New Roman" w:hAnsi="Times New Roman" w:eastAsia="Times New Roman" w:cs="Times New Roman"/>
        </w:rPr>
      </w:pPr>
      <w:r>
        <w:rPr>
          <w:rFonts w:ascii="Times New Roman" w:hAnsi="Times New Roman" w:eastAsia="Times New Roman" w:cs="Times New Roman"/>
          <w:spacing w:val="3"/>
        </w:rPr>
        <w:t>b)</w:t>
      </w:r>
      <w:r>
        <w:rPr>
          <w:rFonts w:ascii="Times New Roman" w:hAnsi="Times New Roman" w:eastAsia="Times New Roman" w:cs="Times New Roman"/>
          <w:spacing w:val="75"/>
        </w:rPr>
        <w:t xml:space="preserve"> </w:t>
      </w:r>
      <w:r>
        <w:rPr>
          <w:spacing w:val="3"/>
        </w:rPr>
        <w:t>严重故障检测率(</w:t>
      </w:r>
      <w:r>
        <w:rPr>
          <w:rFonts w:ascii="Times New Roman" w:hAnsi="Times New Roman" w:eastAsia="Times New Roman" w:cs="Times New Roman"/>
        </w:rPr>
        <w:t>CFDR</w:t>
      </w:r>
      <w:r>
        <w:rPr>
          <w:rFonts w:ascii="Times New Roman" w:hAnsi="Times New Roman" w:eastAsia="Times New Roman" w:cs="Times New Roman"/>
          <w:spacing w:val="3"/>
        </w:rPr>
        <w:t>);</w:t>
      </w:r>
    </w:p>
    <w:p w14:paraId="266F606B">
      <w:pPr>
        <w:pStyle w:val="2"/>
        <w:spacing w:before="100" w:line="212" w:lineRule="auto"/>
        <w:ind w:left="519"/>
        <w:rPr>
          <w:rFonts w:ascii="Times New Roman" w:hAnsi="Times New Roman" w:eastAsia="Times New Roman" w:cs="Times New Roman"/>
        </w:rPr>
      </w:pPr>
      <w:r>
        <w:rPr>
          <w:rFonts w:ascii="Times New Roman" w:hAnsi="Times New Roman" w:eastAsia="Times New Roman" w:cs="Times New Roman"/>
          <w:spacing w:val="3"/>
        </w:rPr>
        <w:t>c)</w:t>
      </w:r>
      <w:r>
        <w:rPr>
          <w:rFonts w:ascii="Times New Roman" w:hAnsi="Times New Roman" w:eastAsia="Times New Roman" w:cs="Times New Roman"/>
          <w:spacing w:val="62"/>
        </w:rPr>
        <w:t xml:space="preserve"> </w:t>
      </w:r>
      <w:r>
        <w:rPr>
          <w:spacing w:val="3"/>
        </w:rPr>
        <w:t>故障隔离率(</w:t>
      </w:r>
      <w:r>
        <w:rPr>
          <w:rFonts w:ascii="Times New Roman" w:hAnsi="Times New Roman" w:eastAsia="Times New Roman" w:cs="Times New Roman"/>
        </w:rPr>
        <w:t>FIR</w:t>
      </w:r>
      <w:r>
        <w:rPr>
          <w:rFonts w:ascii="Times New Roman" w:hAnsi="Times New Roman" w:eastAsia="Times New Roman" w:cs="Times New Roman"/>
          <w:spacing w:val="3"/>
        </w:rPr>
        <w:t>);</w:t>
      </w:r>
    </w:p>
    <w:p w14:paraId="1A30CB79">
      <w:pPr>
        <w:pStyle w:val="2"/>
        <w:spacing w:before="132" w:line="212" w:lineRule="auto"/>
        <w:ind w:left="51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 xml:space="preserve">d)   </w:t>
      </w:r>
      <w:r>
        <w:rPr>
          <w:spacing w:val="7"/>
          <w:sz w:val="24"/>
          <w:szCs w:val="24"/>
        </w:rPr>
        <w:t>虚</w:t>
      </w:r>
      <w:r>
        <w:rPr>
          <w:spacing w:val="-25"/>
          <w:sz w:val="24"/>
          <w:szCs w:val="24"/>
        </w:rPr>
        <w:t xml:space="preserve"> </w:t>
      </w:r>
      <w:r>
        <w:rPr>
          <w:spacing w:val="7"/>
          <w:sz w:val="24"/>
          <w:szCs w:val="24"/>
        </w:rPr>
        <w:t>警</w:t>
      </w:r>
      <w:r>
        <w:rPr>
          <w:spacing w:val="-42"/>
          <w:sz w:val="24"/>
          <w:szCs w:val="24"/>
        </w:rPr>
        <w:t xml:space="preserve"> </w:t>
      </w:r>
      <w:r>
        <w:rPr>
          <w:spacing w:val="7"/>
          <w:sz w:val="24"/>
          <w:szCs w:val="24"/>
        </w:rPr>
        <w:t>率(</w:t>
      </w:r>
      <w:r>
        <w:rPr>
          <w:spacing w:val="-59"/>
          <w:sz w:val="24"/>
          <w:szCs w:val="24"/>
        </w:rPr>
        <w:t xml:space="preserve"> </w:t>
      </w:r>
      <w:r>
        <w:rPr>
          <w:rFonts w:ascii="Times New Roman" w:hAnsi="Times New Roman" w:eastAsia="Times New Roman" w:cs="Times New Roman"/>
          <w:sz w:val="24"/>
          <w:szCs w:val="24"/>
        </w:rPr>
        <w:t>FAR</w:t>
      </w:r>
      <w:r>
        <w:rPr>
          <w:rFonts w:ascii="Times New Roman" w:hAnsi="Times New Roman" w:eastAsia="Times New Roman" w:cs="Times New Roman"/>
          <w:spacing w:val="7"/>
          <w:sz w:val="24"/>
          <w:szCs w:val="24"/>
        </w:rPr>
        <w:t>)</w:t>
      </w:r>
      <w:r>
        <w:rPr>
          <w:rFonts w:ascii="Times New Roman" w:hAnsi="Times New Roman" w:eastAsia="Times New Roman" w:cs="Times New Roman"/>
          <w:spacing w:val="23"/>
          <w:w w:val="101"/>
          <w:sz w:val="24"/>
          <w:szCs w:val="24"/>
        </w:rPr>
        <w:t xml:space="preserve">  </w:t>
      </w:r>
      <w:r>
        <w:rPr>
          <w:spacing w:val="7"/>
          <w:sz w:val="24"/>
          <w:szCs w:val="24"/>
        </w:rPr>
        <w:t>或平均虚警间隔时间(</w:t>
      </w:r>
      <w:r>
        <w:rPr>
          <w:spacing w:val="-58"/>
          <w:sz w:val="24"/>
          <w:szCs w:val="24"/>
        </w:rPr>
        <w:t xml:space="preserve"> </w:t>
      </w:r>
      <w:r>
        <w:rPr>
          <w:rFonts w:ascii="Times New Roman" w:hAnsi="Times New Roman" w:eastAsia="Times New Roman" w:cs="Times New Roman"/>
          <w:sz w:val="24"/>
          <w:szCs w:val="24"/>
        </w:rPr>
        <w:t>MTBFA</w:t>
      </w:r>
      <w:r>
        <w:rPr>
          <w:rFonts w:ascii="Times New Roman" w:hAnsi="Times New Roman" w:eastAsia="Times New Roman" w:cs="Times New Roman"/>
          <w:spacing w:val="7"/>
          <w:sz w:val="24"/>
          <w:szCs w:val="24"/>
        </w:rPr>
        <w:t>);</w:t>
      </w:r>
    </w:p>
    <w:p w14:paraId="70BDBDB9">
      <w:pPr>
        <w:pStyle w:val="2"/>
        <w:spacing w:before="134" w:line="212" w:lineRule="auto"/>
        <w:ind w:left="519"/>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e)</w:t>
      </w:r>
      <w:r>
        <w:rPr>
          <w:rFonts w:ascii="Times New Roman" w:hAnsi="Times New Roman" w:eastAsia="Times New Roman" w:cs="Times New Roman"/>
          <w:spacing w:val="20"/>
          <w:w w:val="101"/>
          <w:sz w:val="24"/>
          <w:szCs w:val="24"/>
        </w:rPr>
        <w:t xml:space="preserve">  </w:t>
      </w:r>
      <w:r>
        <w:rPr>
          <w:spacing w:val="15"/>
          <w:sz w:val="24"/>
          <w:szCs w:val="24"/>
        </w:rPr>
        <w:t>故障检测时间(</w:t>
      </w:r>
      <w:r>
        <w:rPr>
          <w:spacing w:val="-58"/>
          <w:sz w:val="24"/>
          <w:szCs w:val="24"/>
        </w:rPr>
        <w:t xml:space="preserve"> </w:t>
      </w:r>
      <w:r>
        <w:rPr>
          <w:rFonts w:ascii="Times New Roman" w:hAnsi="Times New Roman" w:eastAsia="Times New Roman" w:cs="Times New Roman"/>
          <w:sz w:val="24"/>
          <w:szCs w:val="24"/>
        </w:rPr>
        <w:t>FDT</w:t>
      </w:r>
      <w:r>
        <w:rPr>
          <w:rFonts w:ascii="Times New Roman" w:hAnsi="Times New Roman" w:eastAsia="Times New Roman" w:cs="Times New Roman"/>
          <w:spacing w:val="15"/>
          <w:sz w:val="24"/>
          <w:szCs w:val="24"/>
        </w:rPr>
        <w:t>);</w:t>
      </w:r>
    </w:p>
    <w:p w14:paraId="35874FA8">
      <w:pPr>
        <w:pStyle w:val="2"/>
        <w:spacing w:before="93" w:line="212" w:lineRule="auto"/>
        <w:ind w:left="519"/>
      </w:pPr>
      <w:r>
        <w:rPr>
          <w:rFonts w:ascii="Times New Roman" w:hAnsi="Times New Roman" w:eastAsia="Times New Roman" w:cs="Times New Roman"/>
          <w:spacing w:val="2"/>
        </w:rPr>
        <w:t xml:space="preserve">f)  </w:t>
      </w:r>
      <w:r>
        <w:rPr>
          <w:spacing w:val="2"/>
        </w:rPr>
        <w:t>故障隔离时间(</w:t>
      </w:r>
      <w:r>
        <w:rPr>
          <w:rFonts w:ascii="Times New Roman" w:hAnsi="Times New Roman" w:eastAsia="Times New Roman" w:cs="Times New Roman"/>
        </w:rPr>
        <w:t>FIT</w:t>
      </w:r>
      <w:r>
        <w:rPr>
          <w:rFonts w:ascii="Times New Roman" w:hAnsi="Times New Roman" w:eastAsia="Times New Roman" w:cs="Times New Roman"/>
          <w:spacing w:val="2"/>
        </w:rPr>
        <w:t>)</w:t>
      </w:r>
      <w:r>
        <w:rPr>
          <w:rFonts w:ascii="Times New Roman" w:hAnsi="Times New Roman" w:eastAsia="Times New Roman" w:cs="Times New Roman"/>
          <w:spacing w:val="51"/>
        </w:rPr>
        <w:t xml:space="preserve"> </w:t>
      </w:r>
      <w:r>
        <w:rPr>
          <w:spacing w:val="2"/>
        </w:rPr>
        <w:t>等。</w:t>
      </w:r>
    </w:p>
    <w:p w14:paraId="364CECBB">
      <w:pPr>
        <w:pStyle w:val="2"/>
        <w:spacing w:before="129" w:line="281" w:lineRule="auto"/>
        <w:ind w:right="123" w:firstLine="519"/>
      </w:pPr>
      <w:r>
        <w:rPr>
          <w:spacing w:val="-2"/>
        </w:rPr>
        <w:t>测试性定性要求是为使产品故障诊断简便、</w:t>
      </w:r>
      <w:r>
        <w:rPr>
          <w:spacing w:val="-3"/>
        </w:rPr>
        <w:t>迅速、准确、经济而对产品设计</w:t>
      </w:r>
      <w:r>
        <w:t xml:space="preserve"> </w:t>
      </w:r>
      <w:r>
        <w:rPr>
          <w:spacing w:val="-3"/>
        </w:rPr>
        <w:t>及其他方面提出的非量化要求，一般包括：</w:t>
      </w:r>
    </w:p>
    <w:p w14:paraId="30511B69">
      <w:pPr>
        <w:pStyle w:val="2"/>
        <w:spacing w:line="220" w:lineRule="auto"/>
        <w:ind w:left="519"/>
      </w:pPr>
      <w:r>
        <w:rPr>
          <w:rFonts w:ascii="Times New Roman" w:hAnsi="Times New Roman" w:eastAsia="Times New Roman" w:cs="Times New Roman"/>
          <w:spacing w:val="9"/>
        </w:rPr>
        <w:t>a</w:t>
      </w:r>
      <w:r>
        <w:rPr>
          <w:spacing w:val="9"/>
        </w:rPr>
        <w:t>)合理划分功能与结构的要求；</w:t>
      </w:r>
    </w:p>
    <w:p w14:paraId="759A4544">
      <w:pPr>
        <w:pStyle w:val="2"/>
        <w:spacing w:before="47" w:line="212" w:lineRule="auto"/>
        <w:ind w:left="519"/>
      </w:pPr>
      <w:r>
        <w:rPr>
          <w:rFonts w:ascii="Times New Roman" w:hAnsi="Times New Roman" w:eastAsia="Times New Roman" w:cs="Times New Roman"/>
          <w:spacing w:val="1"/>
        </w:rPr>
        <w:t xml:space="preserve">b)  </w:t>
      </w:r>
      <w:r>
        <w:rPr>
          <w:spacing w:val="1"/>
        </w:rPr>
        <w:t>测试点要求；</w:t>
      </w:r>
    </w:p>
    <w:p w14:paraId="2A68F318">
      <w:pPr>
        <w:pStyle w:val="2"/>
        <w:spacing w:before="110" w:line="212" w:lineRule="auto"/>
        <w:ind w:left="519"/>
      </w:pPr>
      <w:r>
        <w:rPr>
          <w:rFonts w:ascii="Times New Roman" w:hAnsi="Times New Roman" w:eastAsia="Times New Roman" w:cs="Times New Roman"/>
          <w:spacing w:val="-4"/>
        </w:rPr>
        <w:t xml:space="preserve">c)  </w:t>
      </w:r>
      <w:r>
        <w:rPr>
          <w:spacing w:val="-4"/>
        </w:rPr>
        <w:t>嵌入式诊断(性能监测、</w:t>
      </w:r>
      <w:r>
        <w:rPr>
          <w:rFonts w:ascii="Times New Roman" w:hAnsi="Times New Roman" w:eastAsia="Times New Roman" w:cs="Times New Roman"/>
          <w:spacing w:val="-4"/>
        </w:rPr>
        <w:t>BIT</w:t>
      </w:r>
      <w:r>
        <w:rPr>
          <w:spacing w:val="-4"/>
        </w:rPr>
        <w:t>、中央测试系</w:t>
      </w:r>
      <w:r>
        <w:rPr>
          <w:spacing w:val="-5"/>
        </w:rPr>
        <w:t>统等)要求；</w:t>
      </w:r>
    </w:p>
    <w:p w14:paraId="1F51C812">
      <w:pPr>
        <w:pStyle w:val="2"/>
        <w:spacing w:before="100" w:line="212" w:lineRule="auto"/>
        <w:ind w:left="519"/>
      </w:pPr>
      <w:r>
        <w:rPr>
          <w:rFonts w:ascii="Times New Roman" w:hAnsi="Times New Roman" w:eastAsia="Times New Roman" w:cs="Times New Roman"/>
          <w:spacing w:val="-9"/>
        </w:rPr>
        <w:t xml:space="preserve">d)  </w:t>
      </w:r>
      <w:r>
        <w:rPr>
          <w:spacing w:val="-9"/>
        </w:rPr>
        <w:t>故障信息(故障指示、报告、记录、传输及存储等</w:t>
      </w:r>
      <w:r>
        <w:rPr>
          <w:spacing w:val="-10"/>
        </w:rPr>
        <w:t>)要求；</w:t>
      </w:r>
    </w:p>
    <w:p w14:paraId="4AAB0F75">
      <w:pPr>
        <w:pStyle w:val="2"/>
        <w:spacing w:before="90" w:line="212" w:lineRule="auto"/>
        <w:ind w:left="519"/>
      </w:pPr>
      <w:r>
        <w:rPr>
          <w:rFonts w:ascii="Times New Roman" w:hAnsi="Times New Roman" w:eastAsia="Times New Roman" w:cs="Times New Roman"/>
          <w:spacing w:val="-2"/>
        </w:rPr>
        <w:t xml:space="preserve">e)  </w:t>
      </w:r>
      <w:r>
        <w:rPr>
          <w:spacing w:val="-2"/>
        </w:rPr>
        <w:t>有关外部诊断测试、兼容性及维修能</w:t>
      </w:r>
      <w:r>
        <w:rPr>
          <w:spacing w:val="-3"/>
        </w:rPr>
        <w:t>力要求等。</w:t>
      </w:r>
    </w:p>
    <w:p w14:paraId="6AD8B0DB">
      <w:pPr>
        <w:spacing w:before="114" w:line="221" w:lineRule="auto"/>
        <w:rPr>
          <w:rFonts w:ascii="黑体" w:hAnsi="黑体" w:eastAsia="黑体" w:cs="黑体"/>
          <w:sz w:val="27"/>
          <w:szCs w:val="27"/>
        </w:rPr>
      </w:pPr>
      <w:r>
        <w:rPr>
          <w:rFonts w:ascii="黑体" w:hAnsi="黑体" w:eastAsia="黑体" w:cs="黑体"/>
          <w:spacing w:val="3"/>
          <w:sz w:val="27"/>
          <w:szCs w:val="27"/>
        </w:rPr>
        <w:t xml:space="preserve">8  </w:t>
      </w:r>
      <w:r>
        <w:rPr>
          <w:rFonts w:ascii="黑体" w:hAnsi="黑体" w:eastAsia="黑体" w:cs="黑体"/>
          <w:b/>
          <w:bCs/>
          <w:spacing w:val="3"/>
          <w:sz w:val="27"/>
          <w:szCs w:val="27"/>
        </w:rPr>
        <w:t>装备测试性要求确定的过程和分析方法</w:t>
      </w:r>
    </w:p>
    <w:p w14:paraId="545EC65A">
      <w:pPr>
        <w:pStyle w:val="2"/>
        <w:spacing w:before="104" w:line="220" w:lineRule="auto"/>
        <w:ind w:left="519"/>
      </w:pPr>
      <w:r>
        <w:rPr>
          <w:spacing w:val="-1"/>
        </w:rPr>
        <w:t>列出确定装备测试性要求的过程、所用的分析方法和理由。</w:t>
      </w:r>
    </w:p>
    <w:p w14:paraId="0402BCE2">
      <w:pPr>
        <w:spacing w:before="71" w:line="221" w:lineRule="auto"/>
        <w:rPr>
          <w:rFonts w:ascii="黑体" w:hAnsi="黑体" w:eastAsia="黑体" w:cs="黑体"/>
          <w:sz w:val="27"/>
          <w:szCs w:val="27"/>
        </w:rPr>
      </w:pPr>
      <w:r>
        <w:rPr>
          <w:rFonts w:ascii="黑体" w:hAnsi="黑体" w:eastAsia="黑体" w:cs="黑体"/>
          <w:spacing w:val="3"/>
          <w:sz w:val="27"/>
          <w:szCs w:val="27"/>
        </w:rPr>
        <w:t xml:space="preserve">9  </w:t>
      </w:r>
      <w:r>
        <w:rPr>
          <w:rFonts w:ascii="黑体" w:hAnsi="黑体" w:eastAsia="黑体" w:cs="黑体"/>
          <w:b/>
          <w:bCs/>
          <w:spacing w:val="3"/>
          <w:sz w:val="27"/>
          <w:szCs w:val="27"/>
        </w:rPr>
        <w:t>装备测试性要求可验证性分析</w:t>
      </w:r>
    </w:p>
    <w:p w14:paraId="7036F7E3">
      <w:pPr>
        <w:pStyle w:val="2"/>
        <w:spacing w:before="113" w:line="280" w:lineRule="auto"/>
        <w:ind w:right="124" w:firstLine="519"/>
      </w:pPr>
      <w:r>
        <w:rPr>
          <w:spacing w:val="-3"/>
        </w:rPr>
        <w:t>列出装备测试性要求可验证性分析的结果，包括验证的参数、验证时机和方</w:t>
      </w:r>
      <w:r>
        <w:rPr>
          <w:spacing w:val="18"/>
        </w:rPr>
        <w:t xml:space="preserve"> </w:t>
      </w:r>
      <w:r>
        <w:rPr>
          <w:spacing w:val="-4"/>
        </w:rPr>
        <w:t>法等。</w:t>
      </w:r>
    </w:p>
    <w:p w14:paraId="41389B9E">
      <w:pPr>
        <w:pStyle w:val="2"/>
        <w:spacing w:before="1" w:line="297" w:lineRule="auto"/>
        <w:ind w:right="154" w:firstLine="519"/>
        <w:rPr>
          <w:sz w:val="25"/>
          <w:szCs w:val="25"/>
        </w:rPr>
      </w:pPr>
      <w:r>
        <w:rPr>
          <w:spacing w:val="25"/>
          <w:sz w:val="25"/>
          <w:szCs w:val="25"/>
        </w:rPr>
        <w:t>可验证性分析是确定提出的各项测试性指标能否得到验证的过程。通过可</w:t>
      </w:r>
      <w:r>
        <w:rPr>
          <w:sz w:val="25"/>
          <w:szCs w:val="25"/>
        </w:rPr>
        <w:t xml:space="preserve"> </w:t>
      </w:r>
      <w:r>
        <w:rPr>
          <w:spacing w:val="12"/>
          <w:sz w:val="25"/>
          <w:szCs w:val="25"/>
        </w:rPr>
        <w:t>验证分析，应明确如下主要内容：</w:t>
      </w:r>
    </w:p>
    <w:p w14:paraId="0EBC233A">
      <w:pPr>
        <w:pStyle w:val="2"/>
        <w:spacing w:before="5" w:line="250" w:lineRule="auto"/>
        <w:ind w:right="123" w:firstLine="519"/>
      </w:pPr>
      <w:r>
        <w:rPr>
          <w:rFonts w:ascii="Times New Roman" w:hAnsi="Times New Roman" w:eastAsia="Times New Roman" w:cs="Times New Roman"/>
          <w:spacing w:val="6"/>
        </w:rPr>
        <w:t>a</w:t>
      </w:r>
      <w:r>
        <w:rPr>
          <w:spacing w:val="6"/>
        </w:rPr>
        <w:t>)需验证参数的定义和内涵，包括试验时应记录的数据、如何利用数据计</w:t>
      </w:r>
      <w:r>
        <w:rPr>
          <w:spacing w:val="7"/>
        </w:rPr>
        <w:t xml:space="preserve"> </w:t>
      </w:r>
      <w:r>
        <w:rPr>
          <w:spacing w:val="1"/>
        </w:rPr>
        <w:t>算参数量值的方法。</w:t>
      </w:r>
    </w:p>
    <w:p w14:paraId="43E5F6D3">
      <w:pPr>
        <w:pStyle w:val="2"/>
        <w:spacing w:before="60" w:line="262" w:lineRule="auto"/>
        <w:ind w:firstLine="519"/>
      </w:pPr>
      <w:r>
        <w:rPr>
          <w:rFonts w:ascii="Times New Roman" w:hAnsi="Times New Roman" w:eastAsia="Times New Roman" w:cs="Times New Roman"/>
          <w:spacing w:val="11"/>
        </w:rPr>
        <w:t>b)</w:t>
      </w:r>
      <w:r>
        <w:rPr>
          <w:rFonts w:ascii="Times New Roman" w:hAnsi="Times New Roman" w:eastAsia="Times New Roman" w:cs="Times New Roman"/>
          <w:spacing w:val="76"/>
        </w:rPr>
        <w:t xml:space="preserve"> </w:t>
      </w:r>
      <w:r>
        <w:rPr>
          <w:spacing w:val="11"/>
        </w:rPr>
        <w:t>装备的故障判断准则。包括关联和非关联(责任和非责任)故障判断准</w:t>
      </w:r>
      <w:r>
        <w:t xml:space="preserve">  </w:t>
      </w:r>
      <w:r>
        <w:rPr>
          <w:spacing w:val="1"/>
        </w:rPr>
        <w:t>则，任务成功的准则和严重故障(任务故障)判断准则</w:t>
      </w:r>
      <w:r>
        <w:t xml:space="preserve">等。有耐久性要求的装备， </w:t>
      </w:r>
      <w:r>
        <w:rPr>
          <w:spacing w:val="3"/>
        </w:rPr>
        <w:t>应明确极限状态(耐久性损坏)的判断准则。</w:t>
      </w:r>
    </w:p>
    <w:p w14:paraId="6638C7E0">
      <w:pPr>
        <w:pStyle w:val="2"/>
        <w:spacing w:before="77" w:line="269" w:lineRule="auto"/>
        <w:ind w:firstLine="519"/>
      </w:pPr>
      <w:r>
        <w:rPr>
          <w:rFonts w:ascii="Times New Roman" w:hAnsi="Times New Roman" w:eastAsia="Times New Roman" w:cs="Times New Roman"/>
          <w:spacing w:val="5"/>
        </w:rPr>
        <w:t xml:space="preserve">c)  </w:t>
      </w:r>
      <w:r>
        <w:rPr>
          <w:spacing w:val="5"/>
        </w:rPr>
        <w:t>验证试验方案。根据</w:t>
      </w:r>
      <w:r>
        <w:rPr>
          <w:rFonts w:ascii="Times New Roman" w:hAnsi="Times New Roman" w:eastAsia="Times New Roman" w:cs="Times New Roman"/>
        </w:rPr>
        <w:t>GJB</w:t>
      </w:r>
      <w:r>
        <w:rPr>
          <w:rFonts w:ascii="Times New Roman" w:hAnsi="Times New Roman" w:eastAsia="Times New Roman" w:cs="Times New Roman"/>
          <w:spacing w:val="5"/>
        </w:rPr>
        <w:t xml:space="preserve"> 899</w:t>
      </w:r>
      <w:r>
        <w:rPr>
          <w:rFonts w:ascii="Times New Roman" w:hAnsi="Times New Roman" w:eastAsia="Times New Roman" w:cs="Times New Roman"/>
          <w:spacing w:val="-38"/>
        </w:rPr>
        <w:t xml:space="preserve"> </w:t>
      </w:r>
      <w:r>
        <w:rPr>
          <w:spacing w:val="5"/>
        </w:rPr>
        <w:t>、</w:t>
      </w:r>
      <w:r>
        <w:rPr>
          <w:rFonts w:ascii="Times New Roman" w:hAnsi="Times New Roman" w:eastAsia="Times New Roman" w:cs="Times New Roman"/>
        </w:rPr>
        <w:t>GJB</w:t>
      </w:r>
      <w:r>
        <w:rPr>
          <w:rFonts w:ascii="Times New Roman" w:hAnsi="Times New Roman" w:eastAsia="Times New Roman" w:cs="Times New Roman"/>
          <w:spacing w:val="5"/>
        </w:rPr>
        <w:t xml:space="preserve"> 20</w:t>
      </w:r>
      <w:r>
        <w:rPr>
          <w:rFonts w:ascii="Times New Roman" w:hAnsi="Times New Roman" w:eastAsia="Times New Roman" w:cs="Times New Roman"/>
          <w:spacing w:val="4"/>
        </w:rPr>
        <w:t>72</w:t>
      </w:r>
      <w:r>
        <w:rPr>
          <w:rFonts w:ascii="Times New Roman" w:hAnsi="Times New Roman" w:eastAsia="Times New Roman" w:cs="Times New Roman"/>
          <w:spacing w:val="-28"/>
        </w:rPr>
        <w:t xml:space="preserve"> </w:t>
      </w:r>
      <w:r>
        <w:rPr>
          <w:spacing w:val="4"/>
        </w:rPr>
        <w:t>和有关标准规定的原则确定试</w:t>
      </w:r>
      <w:r>
        <w:t xml:space="preserve">  </w:t>
      </w:r>
      <w:r>
        <w:rPr>
          <w:spacing w:val="-3"/>
        </w:rPr>
        <w:t>验方案时，应明确指标的统计含义，说明所提指标是用置信下限(或上限)还是均</w:t>
      </w:r>
      <w:r>
        <w:rPr>
          <w:spacing w:val="7"/>
        </w:rPr>
        <w:t xml:space="preserve">  </w:t>
      </w:r>
      <w:r>
        <w:rPr>
          <w:spacing w:val="-7"/>
        </w:rPr>
        <w:t>值来度量；应规定检验的统计准则，包括试验的判决风险、样本数、试验总时间、</w:t>
      </w:r>
      <w:r>
        <w:rPr>
          <w:spacing w:val="6"/>
        </w:rPr>
        <w:t xml:space="preserve"> </w:t>
      </w:r>
      <w:r>
        <w:rPr>
          <w:spacing w:val="-3"/>
        </w:rPr>
        <w:t>置信水平等。当有多种任务剖面时，还应明确试验剖面，规定试验剖面的持续时</w:t>
      </w:r>
    </w:p>
    <w:p w14:paraId="53B158B7">
      <w:pPr>
        <w:spacing w:line="269" w:lineRule="auto"/>
        <w:sectPr>
          <w:footerReference r:id="rId442" w:type="default"/>
          <w:pgSz w:w="11910" w:h="17130"/>
          <w:pgMar w:top="1442" w:right="914" w:bottom="1599" w:left="1519" w:header="0" w:footer="1419" w:gutter="0"/>
          <w:cols w:space="720" w:num="1"/>
        </w:sectPr>
      </w:pPr>
    </w:p>
    <w:p w14:paraId="77C2A02A">
      <w:pPr>
        <w:pStyle w:val="2"/>
        <w:spacing w:before="53" w:line="270" w:lineRule="auto"/>
        <w:ind w:right="123"/>
      </w:pPr>
      <w:r>
        <w:rPr>
          <w:spacing w:val="-3"/>
        </w:rPr>
        <w:t>间、各分系统的试验时间、综合环境试验条件等，试验剖面的设计应与任务剖面</w:t>
      </w:r>
      <w:r>
        <w:rPr>
          <w:spacing w:val="15"/>
        </w:rPr>
        <w:t xml:space="preserve"> </w:t>
      </w:r>
      <w:r>
        <w:rPr>
          <w:spacing w:val="-3"/>
        </w:rPr>
        <w:t>相协调。</w:t>
      </w:r>
    </w:p>
    <w:p w14:paraId="32ECAC18">
      <w:pPr>
        <w:pStyle w:val="2"/>
        <w:spacing w:before="2" w:line="270" w:lineRule="auto"/>
        <w:ind w:right="93" w:firstLine="550"/>
      </w:pPr>
      <w:r>
        <w:rPr>
          <w:rFonts w:ascii="Times New Roman" w:hAnsi="Times New Roman" w:eastAsia="Times New Roman" w:cs="Times New Roman"/>
          <w:spacing w:val="3"/>
        </w:rPr>
        <w:t xml:space="preserve">d)  </w:t>
      </w:r>
      <w:r>
        <w:rPr>
          <w:spacing w:val="3"/>
        </w:rPr>
        <w:t>对不能或不适宜用统计试验方案验证的参数提出评估验证的要求，有的</w:t>
      </w:r>
      <w:r>
        <w:rPr>
          <w:spacing w:val="5"/>
        </w:rPr>
        <w:t xml:space="preserve"> </w:t>
      </w:r>
      <w:r>
        <w:rPr>
          <w:spacing w:val="6"/>
        </w:rPr>
        <w:t>指标可采用演示试验的方法进行验证，有的指标(如小子样</w:t>
      </w:r>
      <w:r>
        <w:rPr>
          <w:spacing w:val="5"/>
        </w:rPr>
        <w:t>的成功概率)可利用</w:t>
      </w:r>
      <w:r>
        <w:t xml:space="preserve"> </w:t>
      </w:r>
      <w:r>
        <w:rPr>
          <w:spacing w:val="4"/>
        </w:rPr>
        <w:t>不同层次的数据通过建模仿真或其他综合的方法进行评估。</w:t>
      </w:r>
    </w:p>
    <w:p w14:paraId="1215E9A6">
      <w:pPr>
        <w:pStyle w:val="2"/>
        <w:spacing w:before="51" w:line="264" w:lineRule="auto"/>
        <w:ind w:firstLine="550"/>
      </w:pPr>
      <w:r>
        <w:rPr>
          <w:rFonts w:ascii="Times New Roman" w:hAnsi="Times New Roman" w:eastAsia="Times New Roman" w:cs="Times New Roman"/>
          <w:spacing w:val="6"/>
        </w:rPr>
        <w:t xml:space="preserve">e)  </w:t>
      </w:r>
      <w:r>
        <w:rPr>
          <w:spacing w:val="6"/>
        </w:rPr>
        <w:t>测试性使用要求的验证应在装备实际使用条件下通过使用试验来验证。</w:t>
      </w:r>
      <w:r>
        <w:rPr>
          <w:spacing w:val="9"/>
        </w:rPr>
        <w:t xml:space="preserve"> </w:t>
      </w:r>
      <w:r>
        <w:rPr>
          <w:spacing w:val="5"/>
        </w:rPr>
        <w:t xml:space="preserve">在不具备使用验证条件的情况下，可以利用定型试验期间收集的数据和装备设  </w:t>
      </w:r>
      <w:r>
        <w:rPr>
          <w:spacing w:val="-2"/>
        </w:rPr>
        <w:t>计过程中的数据，利用仿真等技术进行分析评估</w:t>
      </w:r>
      <w:r>
        <w:rPr>
          <w:spacing w:val="-3"/>
        </w:rPr>
        <w:t>，以评估使用要求的实现情况。</w:t>
      </w:r>
    </w:p>
    <w:p w14:paraId="5A13593A">
      <w:pPr>
        <w:spacing w:before="91" w:line="221" w:lineRule="auto"/>
        <w:rPr>
          <w:rFonts w:ascii="黑体" w:hAnsi="黑体" w:eastAsia="黑体" w:cs="黑体"/>
          <w:sz w:val="27"/>
          <w:szCs w:val="27"/>
        </w:rPr>
      </w:pPr>
      <w:r>
        <w:rPr>
          <w:rFonts w:ascii="黑体" w:hAnsi="黑体" w:eastAsia="黑体" w:cs="黑体"/>
          <w:spacing w:val="3"/>
          <w:sz w:val="27"/>
          <w:szCs w:val="27"/>
        </w:rPr>
        <w:t>10</w:t>
      </w:r>
      <w:r>
        <w:rPr>
          <w:rFonts w:ascii="黑体" w:hAnsi="黑体" w:eastAsia="黑体" w:cs="黑体"/>
          <w:spacing w:val="27"/>
          <w:sz w:val="27"/>
          <w:szCs w:val="27"/>
        </w:rPr>
        <w:t xml:space="preserve">  </w:t>
      </w:r>
      <w:r>
        <w:rPr>
          <w:rFonts w:ascii="黑体" w:hAnsi="黑体" w:eastAsia="黑体" w:cs="黑体"/>
          <w:spacing w:val="3"/>
          <w:sz w:val="27"/>
          <w:szCs w:val="27"/>
        </w:rPr>
        <w:t>装备测试性专项经费预计分析</w:t>
      </w:r>
    </w:p>
    <w:p w14:paraId="656503FE">
      <w:pPr>
        <w:pStyle w:val="2"/>
        <w:spacing w:before="110" w:line="311" w:lineRule="auto"/>
        <w:ind w:right="100" w:firstLine="550"/>
        <w:rPr>
          <w:sz w:val="25"/>
          <w:szCs w:val="25"/>
        </w:rPr>
      </w:pPr>
      <w:r>
        <w:rPr>
          <w:spacing w:val="26"/>
          <w:sz w:val="25"/>
          <w:szCs w:val="25"/>
        </w:rPr>
        <w:t>通过寿命周期费用影响的费用分析，列出装备测试性专项经费需求分析结</w:t>
      </w:r>
      <w:r>
        <w:rPr>
          <w:spacing w:val="1"/>
          <w:sz w:val="25"/>
          <w:szCs w:val="25"/>
        </w:rPr>
        <w:t xml:space="preserve"> </w:t>
      </w:r>
      <w:r>
        <w:rPr>
          <w:spacing w:val="7"/>
          <w:sz w:val="25"/>
          <w:szCs w:val="25"/>
        </w:rPr>
        <w:t>果、支付进度和要求等。</w:t>
      </w:r>
    </w:p>
    <w:p w14:paraId="5F142FCB">
      <w:pPr>
        <w:pStyle w:val="2"/>
        <w:spacing w:before="316" w:line="220" w:lineRule="auto"/>
        <w:ind w:left="2600"/>
        <w:rPr>
          <w:sz w:val="36"/>
          <w:szCs w:val="36"/>
        </w:rPr>
      </w:pPr>
      <w:r>
        <w:rPr>
          <w:spacing w:val="2"/>
          <w:sz w:val="36"/>
          <w:szCs w:val="36"/>
        </w:rPr>
        <w:t xml:space="preserve">9.3  </w:t>
      </w:r>
      <w:r>
        <w:rPr>
          <w:b/>
          <w:bCs/>
          <w:spacing w:val="2"/>
          <w:sz w:val="36"/>
          <w:szCs w:val="36"/>
        </w:rPr>
        <w:t>测试性工作项目要求</w:t>
      </w:r>
    </w:p>
    <w:p w14:paraId="287E1AA6">
      <w:pPr>
        <w:spacing w:line="312" w:lineRule="auto"/>
        <w:rPr>
          <w:rFonts w:ascii="Arial"/>
          <w:sz w:val="21"/>
        </w:rPr>
      </w:pPr>
    </w:p>
    <w:p w14:paraId="4C51DB4C">
      <w:pPr>
        <w:pStyle w:val="2"/>
        <w:spacing w:before="91" w:line="223" w:lineRule="auto"/>
        <w:ind w:left="55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250BC3FD">
      <w:pPr>
        <w:spacing w:before="79"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29"/>
          <w:sz w:val="27"/>
          <w:szCs w:val="27"/>
        </w:rPr>
        <w:t xml:space="preserve">  </w:t>
      </w:r>
      <w:r>
        <w:rPr>
          <w:rFonts w:ascii="黑体" w:hAnsi="黑体" w:eastAsia="黑体" w:cs="黑体"/>
          <w:spacing w:val="-6"/>
          <w:sz w:val="27"/>
          <w:szCs w:val="27"/>
        </w:rPr>
        <w:t>范围</w:t>
      </w:r>
    </w:p>
    <w:p w14:paraId="2FCE00E2">
      <w:pPr>
        <w:spacing w:before="82"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23"/>
          <w:sz w:val="27"/>
          <w:szCs w:val="27"/>
        </w:rPr>
        <w:t xml:space="preserve">  </w:t>
      </w:r>
      <w:r>
        <w:rPr>
          <w:rFonts w:ascii="黑体" w:hAnsi="黑体" w:eastAsia="黑体" w:cs="黑体"/>
          <w:spacing w:val="2"/>
          <w:sz w:val="27"/>
          <w:szCs w:val="27"/>
        </w:rPr>
        <w:t>引用文件</w:t>
      </w:r>
    </w:p>
    <w:p w14:paraId="7A2E05B4">
      <w:pPr>
        <w:spacing w:before="46" w:line="368" w:lineRule="exact"/>
        <w:rPr>
          <w:rFonts w:ascii="黑体" w:hAnsi="黑体" w:eastAsia="黑体" w:cs="黑体"/>
          <w:sz w:val="27"/>
          <w:szCs w:val="27"/>
        </w:rPr>
      </w:pPr>
      <w:r>
        <w:rPr>
          <w:rFonts w:ascii="Arial" w:hAnsi="Arial" w:eastAsia="Arial" w:cs="Arial"/>
          <w:spacing w:val="3"/>
          <w:position w:val="1"/>
          <w:sz w:val="27"/>
          <w:szCs w:val="27"/>
        </w:rPr>
        <w:t>3</w:t>
      </w:r>
      <w:r>
        <w:rPr>
          <w:rFonts w:ascii="Arial" w:hAnsi="Arial" w:eastAsia="Arial" w:cs="Arial"/>
          <w:spacing w:val="1"/>
          <w:position w:val="1"/>
          <w:sz w:val="27"/>
          <w:szCs w:val="27"/>
        </w:rPr>
        <w:t xml:space="preserve">    </w:t>
      </w:r>
      <w:r>
        <w:rPr>
          <w:rFonts w:ascii="黑体" w:hAnsi="黑体" w:eastAsia="黑体" w:cs="黑体"/>
          <w:spacing w:val="3"/>
          <w:position w:val="1"/>
          <w:sz w:val="27"/>
          <w:szCs w:val="27"/>
        </w:rPr>
        <w:t>测试性工作项目的选择原则</w:t>
      </w:r>
    </w:p>
    <w:p w14:paraId="692E7F6D">
      <w:pPr>
        <w:pStyle w:val="2"/>
        <w:spacing w:before="94" w:line="273" w:lineRule="auto"/>
        <w:ind w:right="123" w:firstLine="550"/>
      </w:pPr>
      <w:r>
        <w:rPr>
          <w:spacing w:val="5"/>
        </w:rPr>
        <w:t>确定产品的测试性工作项目的选择原则。测试性工作项目的选择通常应遵</w:t>
      </w:r>
      <w:r>
        <w:rPr>
          <w:spacing w:val="10"/>
        </w:rPr>
        <w:t xml:space="preserve"> </w:t>
      </w:r>
      <w:r>
        <w:rPr>
          <w:spacing w:val="-1"/>
        </w:rPr>
        <w:t>循以下原则：</w:t>
      </w:r>
    </w:p>
    <w:p w14:paraId="58C09F4E">
      <w:pPr>
        <w:pStyle w:val="2"/>
        <w:spacing w:before="3" w:line="268" w:lineRule="auto"/>
        <w:ind w:firstLine="550"/>
      </w:pPr>
      <w:r>
        <w:rPr>
          <w:rFonts w:ascii="Times New Roman" w:hAnsi="Times New Roman" w:eastAsia="Times New Roman" w:cs="Times New Roman"/>
          <w:spacing w:val="24"/>
        </w:rPr>
        <w:t>a)</w:t>
      </w:r>
      <w:r>
        <w:rPr>
          <w:rFonts w:ascii="Times New Roman" w:hAnsi="Times New Roman" w:eastAsia="Times New Roman" w:cs="Times New Roman"/>
          <w:spacing w:val="7"/>
        </w:rPr>
        <w:t xml:space="preserve">  </w:t>
      </w:r>
      <w:r>
        <w:rPr>
          <w:spacing w:val="24"/>
        </w:rPr>
        <w:t>工作项目的选择应以确保达到测试性定量与定性要求为主要目标。</w:t>
      </w:r>
      <w:r>
        <w:rPr>
          <w:spacing w:val="1"/>
        </w:rPr>
        <w:t xml:space="preserve"> </w:t>
      </w:r>
      <w:r>
        <w:rPr>
          <w:spacing w:val="8"/>
        </w:rPr>
        <w:t>要从实现测试性定量和定性要求出发，从本标准中选择若干必要的工作项目，</w:t>
      </w:r>
      <w:r>
        <w:rPr>
          <w:spacing w:val="12"/>
        </w:rPr>
        <w:t xml:space="preserve"> </w:t>
      </w:r>
      <w:r>
        <w:rPr>
          <w:spacing w:val="14"/>
        </w:rPr>
        <w:t>同时还应鼓励承制方提出补充的工作项目、备</w:t>
      </w:r>
      <w:r>
        <w:rPr>
          <w:spacing w:val="13"/>
        </w:rPr>
        <w:t>选的工作项目和对工作项目进</w:t>
      </w:r>
      <w:r>
        <w:t xml:space="preserve">  </w:t>
      </w:r>
      <w:r>
        <w:rPr>
          <w:spacing w:val="3"/>
        </w:rPr>
        <w:t>行改进。</w:t>
      </w:r>
    </w:p>
    <w:p w14:paraId="656F637F">
      <w:pPr>
        <w:pStyle w:val="2"/>
        <w:spacing w:before="83" w:line="272" w:lineRule="auto"/>
        <w:ind w:right="103" w:firstLine="550"/>
      </w:pPr>
      <w:r>
        <w:rPr>
          <w:rFonts w:ascii="Times New Roman" w:hAnsi="Times New Roman" w:eastAsia="Times New Roman" w:cs="Times New Roman"/>
          <w:spacing w:val="3"/>
        </w:rPr>
        <w:t xml:space="preserve">b)  </w:t>
      </w:r>
      <w:r>
        <w:rPr>
          <w:spacing w:val="3"/>
        </w:rPr>
        <w:t>费用效益是选择工作项目的基本依据。由于进度和资金限制</w:t>
      </w:r>
      <w:r>
        <w:rPr>
          <w:spacing w:val="2"/>
        </w:rPr>
        <w:t>，应该选择</w:t>
      </w:r>
      <w:r>
        <w:t xml:space="preserve"> </w:t>
      </w:r>
      <w:r>
        <w:rPr>
          <w:spacing w:val="5"/>
        </w:rPr>
        <w:t>经济而有效的工作项目。选择工作项目时，可根据产品测试性目标和各工作项</w:t>
      </w:r>
      <w:r>
        <w:rPr>
          <w:spacing w:val="15"/>
        </w:rPr>
        <w:t xml:space="preserve"> </w:t>
      </w:r>
      <w:r>
        <w:rPr>
          <w:spacing w:val="-3"/>
        </w:rPr>
        <w:t>目所需的费用，综合考虑工程项目的复杂程度、阶段划分和</w:t>
      </w:r>
      <w:r>
        <w:rPr>
          <w:spacing w:val="-4"/>
        </w:rPr>
        <w:t>资金、进度要求等因</w:t>
      </w:r>
      <w:r>
        <w:t xml:space="preserve"> </w:t>
      </w:r>
      <w:r>
        <w:rPr>
          <w:spacing w:val="-2"/>
        </w:rPr>
        <w:t>素，将本标准各工作项目按先后顺序排列。一般情况下，均</w:t>
      </w:r>
      <w:r>
        <w:rPr>
          <w:spacing w:val="-3"/>
        </w:rPr>
        <w:t>应选择测试性计划和</w:t>
      </w:r>
      <w:r>
        <w:t xml:space="preserve"> </w:t>
      </w:r>
      <w:r>
        <w:rPr>
          <w:spacing w:val="16"/>
        </w:rPr>
        <w:t>测试性工作计划(工作项目201和202),但在充分考虑装备的重要性和工</w:t>
      </w:r>
      <w:r>
        <w:rPr>
          <w:spacing w:val="15"/>
        </w:rPr>
        <w:t>程项</w:t>
      </w:r>
      <w:r>
        <w:t xml:space="preserve"> </w:t>
      </w:r>
      <w:r>
        <w:rPr>
          <w:spacing w:val="-5"/>
        </w:rPr>
        <w:t>目的复杂程度后，如确不需要测试性工作计划时，也可引用单个的工作项目。</w:t>
      </w:r>
    </w:p>
    <w:p w14:paraId="47487728">
      <w:pPr>
        <w:pStyle w:val="2"/>
        <w:spacing w:before="81" w:line="251" w:lineRule="auto"/>
        <w:ind w:right="101" w:firstLine="550"/>
      </w:pPr>
      <w:r>
        <w:rPr>
          <w:rFonts w:ascii="Times New Roman" w:hAnsi="Times New Roman" w:eastAsia="Times New Roman" w:cs="Times New Roman"/>
          <w:spacing w:val="-1"/>
        </w:rPr>
        <w:t xml:space="preserve">c)  </w:t>
      </w:r>
      <w:r>
        <w:rPr>
          <w:spacing w:val="-1"/>
        </w:rPr>
        <w:t>测试性工作项目应与其他专业工程(如可靠性、维修性、综合保障、安全</w:t>
      </w:r>
      <w:r>
        <w:rPr>
          <w:spacing w:val="18"/>
        </w:rPr>
        <w:t xml:space="preserve"> </w:t>
      </w:r>
      <w:r>
        <w:rPr>
          <w:spacing w:val="-6"/>
        </w:rPr>
        <w:t>性等)相协调，避免重复，测试性建模和分析尤其需要与维修性分析</w:t>
      </w:r>
      <w:r>
        <w:rPr>
          <w:spacing w:val="-7"/>
        </w:rPr>
        <w:t>相协调，但不</w:t>
      </w:r>
      <w:r>
        <w:t xml:space="preserve"> </w:t>
      </w:r>
      <w:r>
        <w:rPr>
          <w:spacing w:val="-3"/>
        </w:rPr>
        <w:t>能重复。</w:t>
      </w:r>
    </w:p>
    <w:p w14:paraId="59A38672">
      <w:pPr>
        <w:pStyle w:val="2"/>
        <w:spacing w:before="118" w:line="212" w:lineRule="auto"/>
        <w:ind w:left="550"/>
        <w:rPr>
          <w:sz w:val="25"/>
          <w:szCs w:val="25"/>
        </w:rPr>
      </w:pPr>
      <w:r>
        <w:rPr>
          <w:rFonts w:ascii="Times New Roman" w:hAnsi="Times New Roman" w:eastAsia="Times New Roman" w:cs="Times New Roman"/>
          <w:spacing w:val="14"/>
          <w:sz w:val="25"/>
          <w:szCs w:val="25"/>
        </w:rPr>
        <w:t xml:space="preserve">d)  </w:t>
      </w:r>
      <w:r>
        <w:rPr>
          <w:spacing w:val="14"/>
          <w:sz w:val="25"/>
          <w:szCs w:val="25"/>
        </w:rPr>
        <w:t>测试性要求的确定、工作项目的选</w:t>
      </w:r>
      <w:r>
        <w:rPr>
          <w:spacing w:val="13"/>
          <w:sz w:val="25"/>
          <w:szCs w:val="25"/>
        </w:rPr>
        <w:t>择和剪裁、说明细节的补充、设计评审</w:t>
      </w:r>
    </w:p>
    <w:p w14:paraId="5AC75CF8">
      <w:pPr>
        <w:spacing w:line="212" w:lineRule="auto"/>
        <w:rPr>
          <w:sz w:val="25"/>
          <w:szCs w:val="25"/>
        </w:rPr>
        <w:sectPr>
          <w:footerReference r:id="rId443" w:type="default"/>
          <w:pgSz w:w="11910" w:h="17130"/>
          <w:pgMar w:top="1446" w:right="1144" w:bottom="1626" w:left="1279" w:header="0" w:footer="1437" w:gutter="0"/>
          <w:cols w:space="720" w:num="1"/>
        </w:sectPr>
      </w:pPr>
    </w:p>
    <w:p w14:paraId="7698502F">
      <w:pPr>
        <w:pStyle w:val="2"/>
        <w:spacing w:before="54" w:line="219" w:lineRule="auto"/>
      </w:pPr>
      <w:r>
        <w:rPr>
          <w:spacing w:val="3"/>
        </w:rPr>
        <w:t>项目要求的制定等工作之间需要协调。</w:t>
      </w:r>
    </w:p>
    <w:p w14:paraId="049C4130">
      <w:pPr>
        <w:pStyle w:val="2"/>
        <w:spacing w:before="69" w:line="212" w:lineRule="auto"/>
        <w:jc w:val="right"/>
      </w:pPr>
      <w:r>
        <w:rPr>
          <w:rFonts w:ascii="Times New Roman" w:hAnsi="Times New Roman" w:eastAsia="Times New Roman" w:cs="Times New Roman"/>
          <w:spacing w:val="-3"/>
        </w:rPr>
        <w:t xml:space="preserve">e)  </w:t>
      </w:r>
      <w:r>
        <w:rPr>
          <w:spacing w:val="-3"/>
        </w:rPr>
        <w:t>根据新研装备型号的需要，经订购方批准，承制方可增加新的工作</w:t>
      </w:r>
      <w:r>
        <w:rPr>
          <w:spacing w:val="-4"/>
        </w:rPr>
        <w:t>项目。</w:t>
      </w:r>
    </w:p>
    <w:p w14:paraId="43B1FB6B">
      <w:pPr>
        <w:spacing w:before="164" w:line="221" w:lineRule="auto"/>
        <w:ind w:left="3"/>
        <w:outlineLvl w:val="0"/>
        <w:rPr>
          <w:rFonts w:ascii="黑体" w:hAnsi="黑体" w:eastAsia="黑体" w:cs="黑体"/>
          <w:sz w:val="27"/>
          <w:szCs w:val="27"/>
        </w:rPr>
      </w:pPr>
      <w:r>
        <w:rPr>
          <w:rFonts w:ascii="黑体" w:hAnsi="黑体" w:eastAsia="黑体" w:cs="黑体"/>
          <w:b/>
          <w:bCs/>
          <w:spacing w:val="1"/>
          <w:sz w:val="27"/>
          <w:szCs w:val="27"/>
        </w:rPr>
        <w:t>4</w:t>
      </w:r>
      <w:r>
        <w:rPr>
          <w:rFonts w:ascii="黑体" w:hAnsi="黑体" w:eastAsia="黑体" w:cs="黑体"/>
          <w:spacing w:val="1"/>
          <w:sz w:val="27"/>
          <w:szCs w:val="27"/>
        </w:rPr>
        <w:t xml:space="preserve">  </w:t>
      </w:r>
      <w:r>
        <w:rPr>
          <w:rFonts w:ascii="黑体" w:hAnsi="黑体" w:eastAsia="黑体" w:cs="黑体"/>
          <w:b/>
          <w:bCs/>
          <w:spacing w:val="1"/>
          <w:sz w:val="27"/>
          <w:szCs w:val="27"/>
        </w:rPr>
        <w:t>测试性工作项目选择权衡分析</w:t>
      </w:r>
    </w:p>
    <w:p w14:paraId="48D64A1B">
      <w:pPr>
        <w:pStyle w:val="2"/>
        <w:spacing w:before="43" w:line="219" w:lineRule="auto"/>
        <w:ind w:left="560"/>
      </w:pPr>
      <w:r>
        <w:rPr>
          <w:spacing w:val="3"/>
        </w:rPr>
        <w:t>说明测试性工作项目选择权衡分析过程。</w:t>
      </w:r>
    </w:p>
    <w:p w14:paraId="04E87C65">
      <w:pPr>
        <w:pStyle w:val="2"/>
        <w:spacing w:before="97" w:line="219" w:lineRule="auto"/>
        <w:ind w:left="550"/>
      </w:pPr>
      <w:r>
        <w:t>测试性工作项目的选择取决于具体产品的情况，考虑的</w:t>
      </w:r>
      <w:r>
        <w:rPr>
          <w:spacing w:val="-1"/>
        </w:rPr>
        <w:t>主要因素有：</w:t>
      </w:r>
    </w:p>
    <w:p w14:paraId="5D9A9F6F">
      <w:pPr>
        <w:pStyle w:val="2"/>
        <w:spacing w:before="50" w:line="212" w:lineRule="auto"/>
        <w:ind w:left="550"/>
      </w:pPr>
      <w:r>
        <w:rPr>
          <w:rFonts w:ascii="Times New Roman" w:hAnsi="Times New Roman" w:eastAsia="Times New Roman" w:cs="Times New Roman"/>
        </w:rPr>
        <w:t>a)</w:t>
      </w:r>
      <w:r>
        <w:rPr>
          <w:rFonts w:ascii="Times New Roman" w:hAnsi="Times New Roman" w:eastAsia="Times New Roman" w:cs="Times New Roman"/>
          <w:spacing w:val="66"/>
          <w:w w:val="101"/>
        </w:rPr>
        <w:t xml:space="preserve"> </w:t>
      </w:r>
      <w:r>
        <w:t>测试性要求；</w:t>
      </w:r>
    </w:p>
    <w:p w14:paraId="5180D896">
      <w:pPr>
        <w:pStyle w:val="2"/>
        <w:spacing w:before="110"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27"/>
        </w:rPr>
        <w:t xml:space="preserve"> </w:t>
      </w:r>
      <w:r>
        <w:rPr>
          <w:spacing w:val="4"/>
        </w:rPr>
        <w:t>产品的类型和特点；</w:t>
      </w:r>
    </w:p>
    <w:p w14:paraId="578A0D38">
      <w:pPr>
        <w:pStyle w:val="2"/>
        <w:spacing w:before="90" w:line="212" w:lineRule="auto"/>
        <w:ind w:left="570"/>
      </w:pPr>
      <w:r>
        <w:rPr>
          <w:rFonts w:ascii="Times New Roman" w:hAnsi="Times New Roman" w:eastAsia="Times New Roman" w:cs="Times New Roman"/>
          <w:spacing w:val="3"/>
        </w:rPr>
        <w:t>c)</w:t>
      </w:r>
      <w:r>
        <w:rPr>
          <w:rFonts w:ascii="Times New Roman" w:hAnsi="Times New Roman" w:eastAsia="Times New Roman" w:cs="Times New Roman"/>
          <w:spacing w:val="44"/>
          <w:w w:val="101"/>
        </w:rPr>
        <w:t xml:space="preserve"> </w:t>
      </w:r>
      <w:r>
        <w:rPr>
          <w:spacing w:val="3"/>
        </w:rPr>
        <w:t>产品的复杂程度和重要性；</w:t>
      </w:r>
    </w:p>
    <w:p w14:paraId="37A5A530">
      <w:pPr>
        <w:pStyle w:val="2"/>
        <w:spacing w:before="90" w:line="212" w:lineRule="auto"/>
        <w:ind w:left="570"/>
      </w:pPr>
      <w:r>
        <w:rPr>
          <w:rFonts w:ascii="Times New Roman" w:hAnsi="Times New Roman" w:eastAsia="Times New Roman" w:cs="Times New Roman"/>
          <w:spacing w:val="3"/>
        </w:rPr>
        <w:t>d)</w:t>
      </w:r>
      <w:r>
        <w:rPr>
          <w:rFonts w:ascii="Times New Roman" w:hAnsi="Times New Roman" w:eastAsia="Times New Roman" w:cs="Times New Roman"/>
          <w:spacing w:val="41"/>
        </w:rPr>
        <w:t xml:space="preserve"> </w:t>
      </w:r>
      <w:r>
        <w:rPr>
          <w:spacing w:val="3"/>
        </w:rPr>
        <w:t>产品新技术含量；</w:t>
      </w:r>
    </w:p>
    <w:p w14:paraId="7FC5453E">
      <w:pPr>
        <w:pStyle w:val="2"/>
        <w:spacing w:before="100" w:line="212" w:lineRule="auto"/>
        <w:ind w:left="550"/>
      </w:pPr>
      <w:r>
        <w:rPr>
          <w:rFonts w:ascii="Times New Roman" w:hAnsi="Times New Roman" w:eastAsia="Times New Roman" w:cs="Times New Roman"/>
          <w:spacing w:val="-5"/>
        </w:rPr>
        <w:t>e)</w:t>
      </w:r>
      <w:r>
        <w:rPr>
          <w:rFonts w:ascii="Times New Roman" w:hAnsi="Times New Roman" w:eastAsia="Times New Roman" w:cs="Times New Roman"/>
          <w:spacing w:val="76"/>
        </w:rPr>
        <w:t xml:space="preserve"> </w:t>
      </w:r>
      <w:r>
        <w:rPr>
          <w:spacing w:val="-5"/>
        </w:rPr>
        <w:t>费用、进度及所处的研制阶段等。</w:t>
      </w:r>
    </w:p>
    <w:p w14:paraId="4176F21C">
      <w:pPr>
        <w:pStyle w:val="2"/>
        <w:spacing w:before="129" w:line="282" w:lineRule="auto"/>
        <w:ind w:right="32" w:firstLine="570"/>
        <w:jc w:val="both"/>
      </w:pPr>
      <w:r>
        <w:rPr>
          <w:spacing w:val="6"/>
        </w:rPr>
        <w:t>为了选择适用的工作项目，应对工作项目的适用</w:t>
      </w:r>
      <w:r>
        <w:rPr>
          <w:spacing w:val="5"/>
        </w:rPr>
        <w:t>性进行分析，可采用如表</w:t>
      </w:r>
      <w:r>
        <w:t xml:space="preserve"> </w:t>
      </w:r>
      <w:r>
        <w:rPr>
          <w:spacing w:val="2"/>
        </w:rPr>
        <w:t>9.1所示的“工作项目重要性系数分析矩阵”的方法，得出各</w:t>
      </w:r>
      <w:r>
        <w:rPr>
          <w:spacing w:val="1"/>
        </w:rPr>
        <w:t>工作项目的重要性</w:t>
      </w:r>
      <w:r>
        <w:t xml:space="preserve"> 系数，重要性系数相对高的工作项目就是可选择的</w:t>
      </w:r>
      <w:r>
        <w:rPr>
          <w:spacing w:val="-1"/>
        </w:rPr>
        <w:t>适用的项目。</w:t>
      </w:r>
    </w:p>
    <w:p w14:paraId="681601B7">
      <w:pPr>
        <w:pStyle w:val="2"/>
        <w:spacing w:before="15" w:line="279" w:lineRule="auto"/>
        <w:ind w:left="10" w:right="44" w:firstLine="560"/>
        <w:jc w:val="both"/>
      </w:pPr>
      <w:r>
        <w:rPr>
          <w:spacing w:val="9"/>
        </w:rPr>
        <w:t>表9.1中需要考虑的因素可根据具体情况确定，如产品的复杂程度、关键</w:t>
      </w:r>
      <w:r>
        <w:rPr>
          <w:spacing w:val="7"/>
        </w:rPr>
        <w:t xml:space="preserve"> </w:t>
      </w:r>
      <w:r>
        <w:rPr>
          <w:spacing w:val="1"/>
        </w:rPr>
        <w:t>性、新技术含量、费用、进度等。每一因素的加权系数通过打分确定(取值为</w:t>
      </w:r>
      <w:r>
        <w:t xml:space="preserve">1~ </w:t>
      </w:r>
      <w:r>
        <w:rPr>
          <w:spacing w:val="-2"/>
        </w:rPr>
        <w:t>5)。确定了考虑因素并选取了加权值后，将每一个工作项</w:t>
      </w:r>
      <w:r>
        <w:rPr>
          <w:spacing w:val="-3"/>
        </w:rPr>
        <w:t>目的加权值连乘，然后</w:t>
      </w:r>
      <w:r>
        <w:t xml:space="preserve"> </w:t>
      </w:r>
      <w:r>
        <w:rPr>
          <w:spacing w:val="4"/>
        </w:rPr>
        <w:t>按表中的方法计算每一工作项目的重要性系数。</w:t>
      </w:r>
    </w:p>
    <w:p w14:paraId="2AE11042">
      <w:pPr>
        <w:pStyle w:val="2"/>
        <w:spacing w:before="7" w:line="279" w:lineRule="auto"/>
        <w:ind w:left="10" w:right="21" w:firstLine="570"/>
        <w:jc w:val="both"/>
      </w:pPr>
      <w:r>
        <w:rPr>
          <w:spacing w:val="6"/>
        </w:rPr>
        <w:t>考虑的因素和加权系数的取值，与参与打分的专家</w:t>
      </w:r>
      <w:r>
        <w:rPr>
          <w:spacing w:val="5"/>
        </w:rPr>
        <w:t>水平和经验有关。虽然</w:t>
      </w:r>
      <w:r>
        <w:t xml:space="preserve"> </w:t>
      </w:r>
      <w:r>
        <w:rPr>
          <w:spacing w:val="5"/>
        </w:rPr>
        <w:t>得到的重要性系数带有一定的主观性，但表示了一种相对的、且经过权衡的结</w:t>
      </w:r>
      <w:r>
        <w:rPr>
          <w:spacing w:val="14"/>
        </w:rPr>
        <w:t xml:space="preserve"> </w:t>
      </w:r>
      <w:r>
        <w:rPr>
          <w:spacing w:val="18"/>
        </w:rPr>
        <w:t>果。利用表9.1得到的工作项目重要性系数为订购方提</w:t>
      </w:r>
      <w:r>
        <w:rPr>
          <w:spacing w:val="17"/>
        </w:rPr>
        <w:t>出工作项目要求提供</w:t>
      </w:r>
      <w:r>
        <w:t xml:space="preserve"> </w:t>
      </w:r>
      <w:r>
        <w:rPr>
          <w:spacing w:val="-4"/>
        </w:rPr>
        <w:t>参考。</w:t>
      </w:r>
    </w:p>
    <w:p w14:paraId="783D2252">
      <w:pPr>
        <w:spacing w:before="3" w:line="220" w:lineRule="auto"/>
        <w:ind w:left="2409"/>
        <w:rPr>
          <w:rFonts w:ascii="仿宋" w:hAnsi="仿宋" w:eastAsia="仿宋" w:cs="仿宋"/>
          <w:sz w:val="27"/>
          <w:szCs w:val="27"/>
        </w:rPr>
      </w:pPr>
      <w:r>
        <w:rPr>
          <w:rFonts w:ascii="仿宋" w:hAnsi="仿宋" w:eastAsia="仿宋" w:cs="仿宋"/>
          <w:spacing w:val="2"/>
          <w:sz w:val="27"/>
          <w:szCs w:val="27"/>
        </w:rPr>
        <w:t>表9</w:t>
      </w:r>
      <w:r>
        <w:rPr>
          <w:rFonts w:ascii="仿宋" w:hAnsi="仿宋" w:eastAsia="仿宋" w:cs="仿宋"/>
          <w:spacing w:val="-77"/>
          <w:sz w:val="27"/>
          <w:szCs w:val="27"/>
        </w:rPr>
        <w:t xml:space="preserve"> </w:t>
      </w:r>
      <w:r>
        <w:rPr>
          <w:rFonts w:ascii="仿宋" w:hAnsi="仿宋" w:eastAsia="仿宋" w:cs="仿宋"/>
          <w:spacing w:val="2"/>
          <w:sz w:val="27"/>
          <w:szCs w:val="27"/>
        </w:rPr>
        <w:t>.</w:t>
      </w:r>
      <w:r>
        <w:rPr>
          <w:rFonts w:ascii="仿宋" w:hAnsi="仿宋" w:eastAsia="仿宋" w:cs="仿宋"/>
          <w:spacing w:val="-67"/>
          <w:sz w:val="27"/>
          <w:szCs w:val="27"/>
        </w:rPr>
        <w:t xml:space="preserve"> </w:t>
      </w:r>
      <w:r>
        <w:rPr>
          <w:rFonts w:ascii="仿宋" w:hAnsi="仿宋" w:eastAsia="仿宋" w:cs="仿宋"/>
          <w:spacing w:val="2"/>
          <w:sz w:val="27"/>
          <w:szCs w:val="27"/>
        </w:rPr>
        <w:t>1</w:t>
      </w:r>
      <w:r>
        <w:rPr>
          <w:rFonts w:ascii="仿宋" w:hAnsi="仿宋" w:eastAsia="仿宋" w:cs="仿宋"/>
          <w:spacing w:val="116"/>
          <w:sz w:val="27"/>
          <w:szCs w:val="27"/>
        </w:rPr>
        <w:t xml:space="preserve"> </w:t>
      </w:r>
      <w:r>
        <w:rPr>
          <w:rFonts w:ascii="仿宋" w:hAnsi="仿宋" w:eastAsia="仿宋" w:cs="仿宋"/>
          <w:spacing w:val="2"/>
          <w:sz w:val="27"/>
          <w:szCs w:val="27"/>
        </w:rPr>
        <w:t>工作项目重要性系数分析矩阵</w:t>
      </w:r>
    </w:p>
    <w:p w14:paraId="2322DC7B">
      <w:pPr>
        <w:spacing w:line="117" w:lineRule="exact"/>
      </w:pPr>
    </w:p>
    <w:tbl>
      <w:tblPr>
        <w:tblStyle w:val="5"/>
        <w:tblW w:w="935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839"/>
        <w:gridCol w:w="839"/>
        <w:gridCol w:w="1039"/>
        <w:gridCol w:w="1049"/>
        <w:gridCol w:w="829"/>
        <w:gridCol w:w="849"/>
        <w:gridCol w:w="619"/>
        <w:gridCol w:w="839"/>
        <w:gridCol w:w="1423"/>
      </w:tblGrid>
      <w:tr w14:paraId="02518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034" w:type="dxa"/>
            <w:vMerge w:val="restart"/>
            <w:tcBorders>
              <w:bottom w:val="nil"/>
            </w:tcBorders>
            <w:vAlign w:val="top"/>
          </w:tcPr>
          <w:p w14:paraId="727C5A60">
            <w:pPr>
              <w:pStyle w:val="6"/>
              <w:spacing w:line="443" w:lineRule="auto"/>
            </w:pPr>
          </w:p>
          <w:p w14:paraId="690E9817">
            <w:pPr>
              <w:spacing w:before="68" w:line="220" w:lineRule="auto"/>
              <w:ind w:left="85"/>
              <w:rPr>
                <w:rFonts w:ascii="宋体" w:hAnsi="宋体" w:eastAsia="宋体" w:cs="宋体"/>
                <w:sz w:val="21"/>
                <w:szCs w:val="21"/>
              </w:rPr>
            </w:pPr>
            <w:r>
              <w:rPr>
                <w:rFonts w:ascii="宋体" w:hAnsi="宋体" w:eastAsia="宋体" w:cs="宋体"/>
                <w:spacing w:val="10"/>
                <w:sz w:val="21"/>
                <w:szCs w:val="21"/>
              </w:rPr>
              <w:t>工作项目</w:t>
            </w:r>
          </w:p>
        </w:tc>
        <w:tc>
          <w:tcPr>
            <w:tcW w:w="6063" w:type="dxa"/>
            <w:gridSpan w:val="7"/>
            <w:vAlign w:val="top"/>
          </w:tcPr>
          <w:p w14:paraId="0F7E46D2">
            <w:pPr>
              <w:spacing w:before="103" w:line="219" w:lineRule="auto"/>
              <w:ind w:left="2291"/>
              <w:rPr>
                <w:rFonts w:ascii="宋体" w:hAnsi="宋体" w:eastAsia="宋体" w:cs="宋体"/>
                <w:sz w:val="21"/>
                <w:szCs w:val="21"/>
              </w:rPr>
            </w:pPr>
            <w:r>
              <w:rPr>
                <w:rFonts w:ascii="宋体" w:hAnsi="宋体" w:eastAsia="宋体" w:cs="宋体"/>
                <w:spacing w:val="5"/>
                <w:sz w:val="21"/>
                <w:szCs w:val="21"/>
              </w:rPr>
              <w:t>加权系数(1～5)</w:t>
            </w:r>
          </w:p>
        </w:tc>
        <w:tc>
          <w:tcPr>
            <w:tcW w:w="839" w:type="dxa"/>
            <w:vAlign w:val="top"/>
          </w:tcPr>
          <w:p w14:paraId="3A49B768">
            <w:pPr>
              <w:spacing w:before="104" w:line="220" w:lineRule="auto"/>
              <w:ind w:left="167"/>
              <w:rPr>
                <w:rFonts w:ascii="宋体" w:hAnsi="宋体" w:eastAsia="宋体" w:cs="宋体"/>
                <w:sz w:val="21"/>
                <w:szCs w:val="21"/>
              </w:rPr>
            </w:pPr>
            <w:r>
              <w:rPr>
                <w:rFonts w:ascii="宋体" w:hAnsi="宋体" w:eastAsia="宋体" w:cs="宋体"/>
                <w:spacing w:val="6"/>
                <w:sz w:val="21"/>
                <w:szCs w:val="21"/>
              </w:rPr>
              <w:t>乘积</w:t>
            </w:r>
          </w:p>
        </w:tc>
        <w:tc>
          <w:tcPr>
            <w:tcW w:w="1423" w:type="dxa"/>
            <w:vAlign w:val="top"/>
          </w:tcPr>
          <w:p w14:paraId="4985F865">
            <w:pPr>
              <w:spacing w:before="103" w:line="219" w:lineRule="auto"/>
              <w:ind w:left="148"/>
              <w:rPr>
                <w:rFonts w:ascii="宋体" w:hAnsi="宋体" w:eastAsia="宋体" w:cs="宋体"/>
                <w:sz w:val="21"/>
                <w:szCs w:val="21"/>
              </w:rPr>
            </w:pPr>
            <w:r>
              <w:rPr>
                <w:rFonts w:ascii="宋体" w:hAnsi="宋体" w:eastAsia="宋体" w:cs="宋体"/>
                <w:spacing w:val="-2"/>
                <w:sz w:val="21"/>
                <w:szCs w:val="21"/>
              </w:rPr>
              <w:t>重要性系数</w:t>
            </w:r>
          </w:p>
        </w:tc>
      </w:tr>
      <w:tr w14:paraId="403CF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1034" w:type="dxa"/>
            <w:vMerge w:val="continue"/>
            <w:tcBorders>
              <w:top w:val="nil"/>
            </w:tcBorders>
            <w:vAlign w:val="top"/>
          </w:tcPr>
          <w:p w14:paraId="1518E0E5">
            <w:pPr>
              <w:pStyle w:val="6"/>
            </w:pPr>
          </w:p>
        </w:tc>
        <w:tc>
          <w:tcPr>
            <w:tcW w:w="839" w:type="dxa"/>
            <w:vAlign w:val="top"/>
          </w:tcPr>
          <w:p w14:paraId="767197EF">
            <w:pPr>
              <w:spacing w:before="131" w:line="293" w:lineRule="auto"/>
              <w:ind w:left="200" w:right="191"/>
              <w:rPr>
                <w:rFonts w:ascii="宋体" w:hAnsi="宋体" w:eastAsia="宋体" w:cs="宋体"/>
                <w:sz w:val="21"/>
                <w:szCs w:val="21"/>
              </w:rPr>
            </w:pPr>
            <w:r>
              <w:rPr>
                <w:rFonts w:ascii="宋体" w:hAnsi="宋体" w:eastAsia="宋体" w:cs="宋体"/>
                <w:spacing w:val="8"/>
                <w:sz w:val="21"/>
                <w:szCs w:val="21"/>
              </w:rPr>
              <w:t>复杂</w:t>
            </w:r>
            <w:r>
              <w:rPr>
                <w:rFonts w:ascii="宋体" w:hAnsi="宋体" w:eastAsia="宋体" w:cs="宋体"/>
                <w:sz w:val="21"/>
                <w:szCs w:val="21"/>
              </w:rPr>
              <w:t xml:space="preserve"> </w:t>
            </w:r>
            <w:r>
              <w:rPr>
                <w:rFonts w:ascii="宋体" w:hAnsi="宋体" w:eastAsia="宋体" w:cs="宋体"/>
                <w:spacing w:val="-2"/>
                <w:sz w:val="21"/>
                <w:szCs w:val="21"/>
              </w:rPr>
              <w:t>程度</w:t>
            </w:r>
          </w:p>
        </w:tc>
        <w:tc>
          <w:tcPr>
            <w:tcW w:w="839" w:type="dxa"/>
            <w:vAlign w:val="top"/>
          </w:tcPr>
          <w:p w14:paraId="1268052F">
            <w:pPr>
              <w:spacing w:before="301" w:line="220" w:lineRule="auto"/>
              <w:ind w:left="92"/>
              <w:rPr>
                <w:rFonts w:ascii="宋体" w:hAnsi="宋体" w:eastAsia="宋体" w:cs="宋体"/>
                <w:sz w:val="21"/>
                <w:szCs w:val="21"/>
              </w:rPr>
            </w:pPr>
            <w:r>
              <w:rPr>
                <w:rFonts w:ascii="宋体" w:hAnsi="宋体" w:eastAsia="宋体" w:cs="宋体"/>
                <w:spacing w:val="-3"/>
                <w:sz w:val="21"/>
                <w:szCs w:val="21"/>
              </w:rPr>
              <w:t>关键性</w:t>
            </w:r>
          </w:p>
        </w:tc>
        <w:tc>
          <w:tcPr>
            <w:tcW w:w="1039" w:type="dxa"/>
            <w:vAlign w:val="top"/>
          </w:tcPr>
          <w:p w14:paraId="0AB7B14B">
            <w:pPr>
              <w:spacing w:before="131" w:line="293" w:lineRule="auto"/>
              <w:ind w:left="192" w:right="82" w:hanging="99"/>
              <w:rPr>
                <w:rFonts w:ascii="宋体" w:hAnsi="宋体" w:eastAsia="宋体" w:cs="宋体"/>
                <w:sz w:val="21"/>
                <w:szCs w:val="21"/>
              </w:rPr>
            </w:pPr>
            <w:r>
              <w:rPr>
                <w:rFonts w:ascii="宋体" w:hAnsi="宋体" w:eastAsia="宋体" w:cs="宋体"/>
                <w:spacing w:val="3"/>
                <w:sz w:val="21"/>
                <w:szCs w:val="21"/>
              </w:rPr>
              <w:t>产品类型</w:t>
            </w:r>
            <w:r>
              <w:rPr>
                <w:rFonts w:ascii="宋体" w:hAnsi="宋体" w:eastAsia="宋体" w:cs="宋体"/>
                <w:sz w:val="21"/>
                <w:szCs w:val="21"/>
              </w:rPr>
              <w:t xml:space="preserve"> </w:t>
            </w:r>
            <w:r>
              <w:rPr>
                <w:rFonts w:ascii="宋体" w:hAnsi="宋体" w:eastAsia="宋体" w:cs="宋体"/>
                <w:spacing w:val="6"/>
                <w:sz w:val="21"/>
                <w:szCs w:val="21"/>
              </w:rPr>
              <w:t>及特点</w:t>
            </w:r>
          </w:p>
        </w:tc>
        <w:tc>
          <w:tcPr>
            <w:tcW w:w="1049" w:type="dxa"/>
            <w:vAlign w:val="top"/>
          </w:tcPr>
          <w:p w14:paraId="51547A6C">
            <w:pPr>
              <w:spacing w:before="120" w:line="298" w:lineRule="auto"/>
              <w:ind w:left="303" w:right="214" w:hanging="100"/>
              <w:rPr>
                <w:rFonts w:ascii="宋体" w:hAnsi="宋体" w:eastAsia="宋体" w:cs="宋体"/>
                <w:sz w:val="21"/>
                <w:szCs w:val="21"/>
              </w:rPr>
            </w:pPr>
            <w:r>
              <w:rPr>
                <w:rFonts w:ascii="宋体" w:hAnsi="宋体" w:eastAsia="宋体" w:cs="宋体"/>
                <w:spacing w:val="-4"/>
                <w:sz w:val="21"/>
                <w:szCs w:val="21"/>
              </w:rPr>
              <w:t>新技术</w:t>
            </w:r>
            <w:r>
              <w:rPr>
                <w:rFonts w:ascii="宋体" w:hAnsi="宋体" w:eastAsia="宋体" w:cs="宋体"/>
                <w:spacing w:val="1"/>
                <w:sz w:val="21"/>
                <w:szCs w:val="21"/>
              </w:rPr>
              <w:t xml:space="preserve"> </w:t>
            </w:r>
            <w:r>
              <w:rPr>
                <w:rFonts w:ascii="宋体" w:hAnsi="宋体" w:eastAsia="宋体" w:cs="宋体"/>
                <w:spacing w:val="-3"/>
                <w:sz w:val="21"/>
                <w:szCs w:val="21"/>
              </w:rPr>
              <w:t>含量</w:t>
            </w:r>
          </w:p>
        </w:tc>
        <w:tc>
          <w:tcPr>
            <w:tcW w:w="829" w:type="dxa"/>
            <w:vAlign w:val="top"/>
          </w:tcPr>
          <w:p w14:paraId="1E823028">
            <w:pPr>
              <w:spacing w:before="120" w:line="298" w:lineRule="auto"/>
              <w:ind w:left="195" w:right="178"/>
              <w:rPr>
                <w:rFonts w:ascii="宋体" w:hAnsi="宋体" w:eastAsia="宋体" w:cs="宋体"/>
                <w:sz w:val="21"/>
                <w:szCs w:val="21"/>
              </w:rPr>
            </w:pPr>
            <w:r>
              <w:rPr>
                <w:rFonts w:ascii="宋体" w:hAnsi="宋体" w:eastAsia="宋体" w:cs="宋体"/>
                <w:spacing w:val="12"/>
                <w:sz w:val="21"/>
                <w:szCs w:val="21"/>
              </w:rPr>
              <w:t>使用</w:t>
            </w:r>
            <w:r>
              <w:rPr>
                <w:rFonts w:ascii="宋体" w:hAnsi="宋体" w:eastAsia="宋体" w:cs="宋体"/>
                <w:sz w:val="21"/>
                <w:szCs w:val="21"/>
              </w:rPr>
              <w:t xml:space="preserve"> </w:t>
            </w:r>
            <w:r>
              <w:rPr>
                <w:rFonts w:ascii="宋体" w:hAnsi="宋体" w:eastAsia="宋体" w:cs="宋体"/>
                <w:spacing w:val="-3"/>
                <w:sz w:val="21"/>
                <w:szCs w:val="21"/>
              </w:rPr>
              <w:t>环境</w:t>
            </w:r>
          </w:p>
        </w:tc>
        <w:tc>
          <w:tcPr>
            <w:tcW w:w="849" w:type="dxa"/>
            <w:vAlign w:val="top"/>
          </w:tcPr>
          <w:p w14:paraId="14E180E7">
            <w:pPr>
              <w:spacing w:before="121" w:line="220" w:lineRule="auto"/>
              <w:ind w:left="205"/>
              <w:rPr>
                <w:rFonts w:ascii="宋体" w:hAnsi="宋体" w:eastAsia="宋体" w:cs="宋体"/>
                <w:sz w:val="21"/>
                <w:szCs w:val="21"/>
              </w:rPr>
            </w:pPr>
            <w:r>
              <w:rPr>
                <w:rFonts w:ascii="宋体" w:hAnsi="宋体" w:eastAsia="宋体" w:cs="宋体"/>
                <w:spacing w:val="-3"/>
                <w:sz w:val="21"/>
                <w:szCs w:val="21"/>
              </w:rPr>
              <w:t>所处</w:t>
            </w:r>
          </w:p>
          <w:p w14:paraId="70C20235">
            <w:pPr>
              <w:spacing w:before="90" w:line="221" w:lineRule="auto"/>
              <w:ind w:left="205"/>
              <w:rPr>
                <w:rFonts w:ascii="宋体" w:hAnsi="宋体" w:eastAsia="宋体" w:cs="宋体"/>
                <w:sz w:val="21"/>
                <w:szCs w:val="21"/>
              </w:rPr>
            </w:pPr>
            <w:r>
              <w:rPr>
                <w:rFonts w:ascii="宋体" w:hAnsi="宋体" w:eastAsia="宋体" w:cs="宋体"/>
                <w:spacing w:val="4"/>
                <w:sz w:val="21"/>
                <w:szCs w:val="21"/>
              </w:rPr>
              <w:t>阶段</w:t>
            </w:r>
          </w:p>
        </w:tc>
        <w:tc>
          <w:tcPr>
            <w:tcW w:w="619" w:type="dxa"/>
            <w:vAlign w:val="top"/>
          </w:tcPr>
          <w:p w14:paraId="23DF75C7">
            <w:pPr>
              <w:pStyle w:val="6"/>
              <w:spacing w:line="251" w:lineRule="auto"/>
            </w:pPr>
          </w:p>
          <w:p w14:paraId="34BB6230">
            <w:pPr>
              <w:spacing w:before="69" w:line="330" w:lineRule="exact"/>
              <w:ind w:left="186"/>
              <w:rPr>
                <w:rFonts w:ascii="宋体" w:hAnsi="宋体" w:eastAsia="宋体" w:cs="宋体"/>
                <w:sz w:val="21"/>
                <w:szCs w:val="21"/>
              </w:rPr>
            </w:pPr>
            <w:r>
              <w:rPr>
                <w:rFonts w:ascii="宋体" w:hAnsi="宋体" w:eastAsia="宋体" w:cs="宋体"/>
                <w:position w:val="2"/>
                <w:sz w:val="21"/>
                <w:szCs w:val="21"/>
              </w:rPr>
              <w:t>…</w:t>
            </w:r>
          </w:p>
        </w:tc>
        <w:tc>
          <w:tcPr>
            <w:tcW w:w="839" w:type="dxa"/>
            <w:vAlign w:val="top"/>
          </w:tcPr>
          <w:p w14:paraId="1DBE120D">
            <w:pPr>
              <w:pStyle w:val="6"/>
            </w:pPr>
          </w:p>
        </w:tc>
        <w:tc>
          <w:tcPr>
            <w:tcW w:w="1423" w:type="dxa"/>
            <w:vAlign w:val="top"/>
          </w:tcPr>
          <w:p w14:paraId="1C897DBA">
            <w:pPr>
              <w:pStyle w:val="6"/>
            </w:pPr>
          </w:p>
        </w:tc>
      </w:tr>
      <w:tr w14:paraId="3C365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034" w:type="dxa"/>
            <w:vAlign w:val="top"/>
          </w:tcPr>
          <w:p w14:paraId="5514CDB1">
            <w:pPr>
              <w:spacing w:before="123"/>
              <w:ind w:left="345"/>
              <w:rPr>
                <w:rFonts w:ascii="宋体" w:hAnsi="宋体" w:eastAsia="宋体" w:cs="宋体"/>
                <w:sz w:val="21"/>
                <w:szCs w:val="21"/>
              </w:rPr>
            </w:pPr>
            <w:r>
              <w:rPr>
                <w:rFonts w:ascii="宋体" w:hAnsi="宋体" w:eastAsia="宋体" w:cs="宋体"/>
                <w:spacing w:val="-6"/>
                <w:sz w:val="21"/>
                <w:szCs w:val="21"/>
              </w:rPr>
              <w:t>101</w:t>
            </w:r>
          </w:p>
        </w:tc>
        <w:tc>
          <w:tcPr>
            <w:tcW w:w="839" w:type="dxa"/>
            <w:vAlign w:val="top"/>
          </w:tcPr>
          <w:p w14:paraId="3901481D">
            <w:pPr>
              <w:pStyle w:val="6"/>
            </w:pPr>
          </w:p>
        </w:tc>
        <w:tc>
          <w:tcPr>
            <w:tcW w:w="839" w:type="dxa"/>
            <w:vAlign w:val="top"/>
          </w:tcPr>
          <w:p w14:paraId="4565EB36">
            <w:pPr>
              <w:pStyle w:val="6"/>
            </w:pPr>
          </w:p>
        </w:tc>
        <w:tc>
          <w:tcPr>
            <w:tcW w:w="1039" w:type="dxa"/>
            <w:vAlign w:val="top"/>
          </w:tcPr>
          <w:p w14:paraId="620E25CE">
            <w:pPr>
              <w:pStyle w:val="6"/>
            </w:pPr>
          </w:p>
        </w:tc>
        <w:tc>
          <w:tcPr>
            <w:tcW w:w="1049" w:type="dxa"/>
            <w:vAlign w:val="top"/>
          </w:tcPr>
          <w:p w14:paraId="2507377C">
            <w:pPr>
              <w:pStyle w:val="6"/>
            </w:pPr>
          </w:p>
        </w:tc>
        <w:tc>
          <w:tcPr>
            <w:tcW w:w="829" w:type="dxa"/>
            <w:vAlign w:val="top"/>
          </w:tcPr>
          <w:p w14:paraId="3C023781">
            <w:pPr>
              <w:pStyle w:val="6"/>
            </w:pPr>
          </w:p>
        </w:tc>
        <w:tc>
          <w:tcPr>
            <w:tcW w:w="849" w:type="dxa"/>
            <w:vAlign w:val="top"/>
          </w:tcPr>
          <w:p w14:paraId="43703183">
            <w:pPr>
              <w:pStyle w:val="6"/>
            </w:pPr>
          </w:p>
        </w:tc>
        <w:tc>
          <w:tcPr>
            <w:tcW w:w="619" w:type="dxa"/>
            <w:vAlign w:val="top"/>
          </w:tcPr>
          <w:p w14:paraId="1F75B087">
            <w:pPr>
              <w:pStyle w:val="6"/>
            </w:pPr>
          </w:p>
        </w:tc>
        <w:tc>
          <w:tcPr>
            <w:tcW w:w="839" w:type="dxa"/>
            <w:vAlign w:val="top"/>
          </w:tcPr>
          <w:p w14:paraId="6A959D4E">
            <w:pPr>
              <w:pStyle w:val="6"/>
            </w:pPr>
          </w:p>
        </w:tc>
        <w:tc>
          <w:tcPr>
            <w:tcW w:w="1423" w:type="dxa"/>
            <w:vAlign w:val="top"/>
          </w:tcPr>
          <w:p w14:paraId="16C23C68">
            <w:pPr>
              <w:pStyle w:val="6"/>
            </w:pPr>
          </w:p>
        </w:tc>
      </w:tr>
      <w:tr w14:paraId="1881B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34" w:type="dxa"/>
            <w:vAlign w:val="top"/>
          </w:tcPr>
          <w:p w14:paraId="56E86BEC">
            <w:pPr>
              <w:spacing w:before="125" w:line="232" w:lineRule="auto"/>
              <w:ind w:left="345"/>
              <w:rPr>
                <w:rFonts w:ascii="宋体" w:hAnsi="宋体" w:eastAsia="宋体" w:cs="宋体"/>
                <w:sz w:val="21"/>
                <w:szCs w:val="21"/>
              </w:rPr>
            </w:pPr>
            <w:r>
              <w:rPr>
                <w:rFonts w:ascii="宋体" w:hAnsi="宋体" w:eastAsia="宋体" w:cs="宋体"/>
                <w:spacing w:val="-6"/>
                <w:sz w:val="21"/>
                <w:szCs w:val="21"/>
              </w:rPr>
              <w:t>102</w:t>
            </w:r>
          </w:p>
        </w:tc>
        <w:tc>
          <w:tcPr>
            <w:tcW w:w="839" w:type="dxa"/>
            <w:vAlign w:val="top"/>
          </w:tcPr>
          <w:p w14:paraId="1644DBD4">
            <w:pPr>
              <w:pStyle w:val="6"/>
            </w:pPr>
          </w:p>
        </w:tc>
        <w:tc>
          <w:tcPr>
            <w:tcW w:w="839" w:type="dxa"/>
            <w:vAlign w:val="top"/>
          </w:tcPr>
          <w:p w14:paraId="60D6A9B1">
            <w:pPr>
              <w:pStyle w:val="6"/>
            </w:pPr>
          </w:p>
        </w:tc>
        <w:tc>
          <w:tcPr>
            <w:tcW w:w="1039" w:type="dxa"/>
            <w:vAlign w:val="top"/>
          </w:tcPr>
          <w:p w14:paraId="55BB83B0">
            <w:pPr>
              <w:pStyle w:val="6"/>
            </w:pPr>
          </w:p>
        </w:tc>
        <w:tc>
          <w:tcPr>
            <w:tcW w:w="1049" w:type="dxa"/>
            <w:vAlign w:val="top"/>
          </w:tcPr>
          <w:p w14:paraId="38139DFE">
            <w:pPr>
              <w:pStyle w:val="6"/>
            </w:pPr>
          </w:p>
        </w:tc>
        <w:tc>
          <w:tcPr>
            <w:tcW w:w="829" w:type="dxa"/>
            <w:vAlign w:val="top"/>
          </w:tcPr>
          <w:p w14:paraId="20E034D9">
            <w:pPr>
              <w:pStyle w:val="6"/>
            </w:pPr>
          </w:p>
        </w:tc>
        <w:tc>
          <w:tcPr>
            <w:tcW w:w="849" w:type="dxa"/>
            <w:vAlign w:val="top"/>
          </w:tcPr>
          <w:p w14:paraId="1BEA979B">
            <w:pPr>
              <w:pStyle w:val="6"/>
            </w:pPr>
          </w:p>
        </w:tc>
        <w:tc>
          <w:tcPr>
            <w:tcW w:w="619" w:type="dxa"/>
            <w:vAlign w:val="top"/>
          </w:tcPr>
          <w:p w14:paraId="6DEED528">
            <w:pPr>
              <w:pStyle w:val="6"/>
            </w:pPr>
          </w:p>
        </w:tc>
        <w:tc>
          <w:tcPr>
            <w:tcW w:w="839" w:type="dxa"/>
            <w:vAlign w:val="top"/>
          </w:tcPr>
          <w:p w14:paraId="24E11315">
            <w:pPr>
              <w:pStyle w:val="6"/>
            </w:pPr>
          </w:p>
        </w:tc>
        <w:tc>
          <w:tcPr>
            <w:tcW w:w="1423" w:type="dxa"/>
            <w:vAlign w:val="top"/>
          </w:tcPr>
          <w:p w14:paraId="0EDAD982">
            <w:pPr>
              <w:pStyle w:val="6"/>
            </w:pPr>
          </w:p>
        </w:tc>
      </w:tr>
      <w:tr w14:paraId="1A156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034" w:type="dxa"/>
            <w:vAlign w:val="top"/>
          </w:tcPr>
          <w:p w14:paraId="60342AFE">
            <w:pPr>
              <w:spacing w:before="125" w:line="232" w:lineRule="auto"/>
              <w:ind w:left="405"/>
              <w:rPr>
                <w:rFonts w:ascii="宋体" w:hAnsi="宋体" w:eastAsia="宋体" w:cs="宋体"/>
                <w:sz w:val="21"/>
                <w:szCs w:val="21"/>
              </w:rPr>
            </w:pPr>
            <w:r>
              <w:rPr>
                <w:rFonts w:ascii="宋体" w:hAnsi="宋体" w:eastAsia="宋体" w:cs="宋体"/>
                <w:sz w:val="21"/>
                <w:szCs w:val="21"/>
              </w:rPr>
              <w:t>…</w:t>
            </w:r>
          </w:p>
        </w:tc>
        <w:tc>
          <w:tcPr>
            <w:tcW w:w="839" w:type="dxa"/>
            <w:vAlign w:val="top"/>
          </w:tcPr>
          <w:p w14:paraId="496E6172">
            <w:pPr>
              <w:pStyle w:val="6"/>
            </w:pPr>
          </w:p>
        </w:tc>
        <w:tc>
          <w:tcPr>
            <w:tcW w:w="839" w:type="dxa"/>
            <w:vAlign w:val="top"/>
          </w:tcPr>
          <w:p w14:paraId="7619404E">
            <w:pPr>
              <w:pStyle w:val="6"/>
            </w:pPr>
          </w:p>
        </w:tc>
        <w:tc>
          <w:tcPr>
            <w:tcW w:w="1039" w:type="dxa"/>
            <w:vAlign w:val="top"/>
          </w:tcPr>
          <w:p w14:paraId="1ED3A85B">
            <w:pPr>
              <w:pStyle w:val="6"/>
            </w:pPr>
          </w:p>
        </w:tc>
        <w:tc>
          <w:tcPr>
            <w:tcW w:w="1049" w:type="dxa"/>
            <w:vAlign w:val="top"/>
          </w:tcPr>
          <w:p w14:paraId="47F296ED">
            <w:pPr>
              <w:pStyle w:val="6"/>
            </w:pPr>
          </w:p>
        </w:tc>
        <w:tc>
          <w:tcPr>
            <w:tcW w:w="829" w:type="dxa"/>
            <w:vAlign w:val="top"/>
          </w:tcPr>
          <w:p w14:paraId="0F304041">
            <w:pPr>
              <w:pStyle w:val="6"/>
            </w:pPr>
          </w:p>
        </w:tc>
        <w:tc>
          <w:tcPr>
            <w:tcW w:w="849" w:type="dxa"/>
            <w:vAlign w:val="top"/>
          </w:tcPr>
          <w:p w14:paraId="393FD511">
            <w:pPr>
              <w:pStyle w:val="6"/>
            </w:pPr>
          </w:p>
        </w:tc>
        <w:tc>
          <w:tcPr>
            <w:tcW w:w="619" w:type="dxa"/>
            <w:vAlign w:val="top"/>
          </w:tcPr>
          <w:p w14:paraId="55A740EE">
            <w:pPr>
              <w:pStyle w:val="6"/>
            </w:pPr>
          </w:p>
        </w:tc>
        <w:tc>
          <w:tcPr>
            <w:tcW w:w="839" w:type="dxa"/>
            <w:vAlign w:val="top"/>
          </w:tcPr>
          <w:p w14:paraId="3D9C978C">
            <w:pPr>
              <w:pStyle w:val="6"/>
            </w:pPr>
          </w:p>
        </w:tc>
        <w:tc>
          <w:tcPr>
            <w:tcW w:w="1423" w:type="dxa"/>
            <w:vAlign w:val="top"/>
          </w:tcPr>
          <w:p w14:paraId="7EC946F0">
            <w:pPr>
              <w:pStyle w:val="6"/>
            </w:pPr>
          </w:p>
        </w:tc>
      </w:tr>
      <w:tr w14:paraId="78144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341" w:hRule="atLeast"/>
        </w:trPr>
        <w:tc>
          <w:tcPr>
            <w:tcW w:w="9359" w:type="dxa"/>
            <w:gridSpan w:val="10"/>
            <w:vAlign w:val="top"/>
          </w:tcPr>
          <w:p w14:paraId="04FE9375">
            <w:pPr>
              <w:spacing w:before="115" w:line="219" w:lineRule="auto"/>
              <w:ind w:left="95"/>
              <w:rPr>
                <w:rFonts w:ascii="宋体" w:hAnsi="宋体" w:eastAsia="宋体" w:cs="宋体"/>
                <w:sz w:val="21"/>
                <w:szCs w:val="21"/>
              </w:rPr>
            </w:pPr>
            <w:r>
              <w:rPr>
                <w:rFonts w:ascii="宋体" w:hAnsi="宋体" w:eastAsia="宋体" w:cs="宋体"/>
                <w:spacing w:val="7"/>
                <w:sz w:val="21"/>
                <w:szCs w:val="21"/>
              </w:rPr>
              <w:t>a乘积=各因素加权系数的连乘；</w:t>
            </w:r>
          </w:p>
          <w:p w14:paraId="4C341992">
            <w:pPr>
              <w:spacing w:before="79" w:line="219" w:lineRule="auto"/>
              <w:ind w:left="95"/>
              <w:rPr>
                <w:rFonts w:ascii="宋体" w:hAnsi="宋体" w:eastAsia="宋体" w:cs="宋体"/>
                <w:sz w:val="21"/>
                <w:szCs w:val="21"/>
              </w:rPr>
            </w:pPr>
            <w:r>
              <w:rPr>
                <w:rFonts w:ascii="宋体" w:hAnsi="宋体" w:eastAsia="宋体" w:cs="宋体"/>
                <w:spacing w:val="-1"/>
                <w:sz w:val="21"/>
                <w:szCs w:val="21"/>
              </w:rPr>
              <w:t>重要性系数：假设乘积值最大的工作项目重要性系数为10</w:t>
            </w:r>
          </w:p>
          <w:p w14:paraId="0B558704">
            <w:pPr>
              <w:spacing w:before="132" w:line="412" w:lineRule="exact"/>
              <w:ind w:firstLine="2284"/>
            </w:pPr>
            <w:r>
              <w:rPr>
                <w:position w:val="-8"/>
              </w:rPr>
              <w:drawing>
                <wp:inline distT="0" distB="0" distL="0" distR="0">
                  <wp:extent cx="3009900" cy="260985"/>
                  <wp:effectExtent l="0" t="0" r="1905" b="8890"/>
                  <wp:docPr id="7" name="IM 2"/>
                  <wp:cNvGraphicFramePr/>
                  <a:graphic xmlns:a="http://schemas.openxmlformats.org/drawingml/2006/main">
                    <a:graphicData uri="http://schemas.openxmlformats.org/drawingml/2006/picture">
                      <pic:pic xmlns:pic="http://schemas.openxmlformats.org/drawingml/2006/picture">
                        <pic:nvPicPr>
                          <pic:cNvPr id="7" name="IM 2"/>
                          <pic:cNvPicPr/>
                        </pic:nvPicPr>
                        <pic:blipFill>
                          <a:blip r:embed="rId697"/>
                          <a:stretch>
                            <a:fillRect/>
                          </a:stretch>
                        </pic:blipFill>
                        <pic:spPr>
                          <a:xfrm>
                            <a:off x="0" y="0"/>
                            <a:ext cx="3010152" cy="261322"/>
                          </a:xfrm>
                          <a:prstGeom prst="rect">
                            <a:avLst/>
                          </a:prstGeom>
                        </pic:spPr>
                      </pic:pic>
                    </a:graphicData>
                  </a:graphic>
                </wp:inline>
              </w:drawing>
            </w:r>
          </w:p>
        </w:tc>
      </w:tr>
    </w:tbl>
    <w:p w14:paraId="550D1B0B">
      <w:pPr>
        <w:pStyle w:val="2"/>
        <w:spacing w:before="205" w:line="283" w:lineRule="auto"/>
        <w:ind w:left="50" w:right="13" w:firstLine="529"/>
      </w:pPr>
      <w:r>
        <w:rPr>
          <w:spacing w:val="10"/>
        </w:rPr>
        <w:t>表9.2向订购方和承制方提供了一个使用本标准的指南。它说</w:t>
      </w:r>
      <w:r>
        <w:rPr>
          <w:spacing w:val="9"/>
        </w:rPr>
        <w:t>明在每一阶</w:t>
      </w:r>
      <w:r>
        <w:t xml:space="preserve"> </w:t>
      </w:r>
      <w:r>
        <w:rPr>
          <w:spacing w:val="4"/>
        </w:rPr>
        <w:t>段应该做哪些工作项目，大型复杂系统的测试性工作流程如图9.1所示。</w:t>
      </w:r>
    </w:p>
    <w:p w14:paraId="3BF5C319">
      <w:pPr>
        <w:spacing w:line="283" w:lineRule="auto"/>
        <w:sectPr>
          <w:footerReference r:id="rId444" w:type="default"/>
          <w:pgSz w:w="11910" w:h="17130"/>
          <w:pgMar w:top="1436" w:right="924" w:bottom="1711" w:left="1559" w:header="0" w:footer="1361" w:gutter="0"/>
          <w:cols w:space="720" w:num="1"/>
        </w:sectPr>
      </w:pPr>
    </w:p>
    <w:p w14:paraId="642CBAE1">
      <w:pPr>
        <w:spacing w:before="89" w:line="220" w:lineRule="auto"/>
        <w:ind w:left="2495"/>
        <w:rPr>
          <w:rFonts w:ascii="仿宋" w:hAnsi="仿宋" w:eastAsia="仿宋" w:cs="仿宋"/>
          <w:sz w:val="27"/>
          <w:szCs w:val="27"/>
        </w:rPr>
      </w:pPr>
      <w:r>
        <w:rPr>
          <w:rFonts w:ascii="仿宋" w:hAnsi="仿宋" w:eastAsia="仿宋" w:cs="仿宋"/>
          <w:spacing w:val="7"/>
          <w:sz w:val="27"/>
          <w:szCs w:val="27"/>
        </w:rPr>
        <w:t>表9.2  测试性工作项目应用矩阵表</w:t>
      </w:r>
    </w:p>
    <w:p w14:paraId="3603213C">
      <w:pPr>
        <w:spacing w:line="147" w:lineRule="exact"/>
      </w:pPr>
    </w:p>
    <w:tbl>
      <w:tblPr>
        <w:tblStyle w:val="5"/>
        <w:tblW w:w="93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3"/>
        <w:gridCol w:w="1039"/>
        <w:gridCol w:w="2517"/>
        <w:gridCol w:w="829"/>
        <w:gridCol w:w="1049"/>
        <w:gridCol w:w="1259"/>
        <w:gridCol w:w="1204"/>
      </w:tblGrid>
      <w:tr w14:paraId="34AD8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4" w:hRule="atLeast"/>
        </w:trPr>
        <w:tc>
          <w:tcPr>
            <w:tcW w:w="1453" w:type="dxa"/>
            <w:vAlign w:val="top"/>
          </w:tcPr>
          <w:p w14:paraId="5A482DCF">
            <w:pPr>
              <w:pStyle w:val="6"/>
              <w:spacing w:line="333" w:lineRule="auto"/>
            </w:pPr>
          </w:p>
          <w:p w14:paraId="38EB7729">
            <w:pPr>
              <w:spacing w:before="68" w:line="279" w:lineRule="auto"/>
              <w:ind w:left="294" w:right="258" w:hanging="49"/>
              <w:rPr>
                <w:rFonts w:ascii="宋体" w:hAnsi="宋体" w:eastAsia="宋体" w:cs="宋体"/>
                <w:sz w:val="21"/>
                <w:szCs w:val="21"/>
              </w:rPr>
            </w:pPr>
            <w:r>
              <w:rPr>
                <w:rFonts w:ascii="宋体" w:hAnsi="宋体" w:eastAsia="宋体" w:cs="宋体"/>
                <w:spacing w:val="-3"/>
                <w:sz w:val="21"/>
                <w:szCs w:val="21"/>
              </w:rPr>
              <w:t>GJB</w:t>
            </w:r>
            <w:r>
              <w:rPr>
                <w:rFonts w:ascii="宋体" w:hAnsi="宋体" w:eastAsia="宋体" w:cs="宋体"/>
                <w:spacing w:val="17"/>
                <w:sz w:val="21"/>
                <w:szCs w:val="21"/>
              </w:rPr>
              <w:t xml:space="preserve"> </w:t>
            </w:r>
            <w:r>
              <w:rPr>
                <w:rFonts w:ascii="宋体" w:hAnsi="宋体" w:eastAsia="宋体" w:cs="宋体"/>
                <w:spacing w:val="-3"/>
                <w:sz w:val="21"/>
                <w:szCs w:val="21"/>
              </w:rPr>
              <w:t>2547A</w:t>
            </w:r>
            <w:r>
              <w:rPr>
                <w:rFonts w:ascii="宋体" w:hAnsi="宋体" w:eastAsia="宋体" w:cs="宋体"/>
                <w:sz w:val="21"/>
                <w:szCs w:val="21"/>
              </w:rPr>
              <w:t xml:space="preserve"> </w:t>
            </w:r>
            <w:r>
              <w:rPr>
                <w:rFonts w:ascii="宋体" w:hAnsi="宋体" w:eastAsia="宋体" w:cs="宋体"/>
                <w:spacing w:val="3"/>
                <w:sz w:val="21"/>
                <w:szCs w:val="21"/>
              </w:rPr>
              <w:t>条款编号</w:t>
            </w:r>
          </w:p>
        </w:tc>
        <w:tc>
          <w:tcPr>
            <w:tcW w:w="1039" w:type="dxa"/>
            <w:vAlign w:val="top"/>
          </w:tcPr>
          <w:p w14:paraId="76FA751F">
            <w:pPr>
              <w:pStyle w:val="6"/>
              <w:spacing w:line="284" w:lineRule="auto"/>
            </w:pPr>
          </w:p>
          <w:p w14:paraId="6FAEAC54">
            <w:pPr>
              <w:spacing w:before="68" w:line="220" w:lineRule="auto"/>
              <w:ind w:left="192"/>
              <w:rPr>
                <w:rFonts w:ascii="宋体" w:hAnsi="宋体" w:eastAsia="宋体" w:cs="宋体"/>
                <w:sz w:val="21"/>
                <w:szCs w:val="21"/>
              </w:rPr>
            </w:pPr>
            <w:r>
              <w:rPr>
                <w:rFonts w:ascii="宋体" w:hAnsi="宋体" w:eastAsia="宋体" w:cs="宋体"/>
                <w:spacing w:val="4"/>
                <w:sz w:val="21"/>
                <w:szCs w:val="21"/>
              </w:rPr>
              <w:t>工作项</w:t>
            </w:r>
          </w:p>
          <w:p w14:paraId="5B93B0E4">
            <w:pPr>
              <w:spacing w:before="89" w:line="219" w:lineRule="auto"/>
              <w:ind w:left="192"/>
              <w:rPr>
                <w:rFonts w:ascii="宋体" w:hAnsi="宋体" w:eastAsia="宋体" w:cs="宋体"/>
                <w:sz w:val="21"/>
                <w:szCs w:val="21"/>
              </w:rPr>
            </w:pPr>
            <w:r>
              <w:rPr>
                <w:rFonts w:ascii="宋体" w:hAnsi="宋体" w:eastAsia="宋体" w:cs="宋体"/>
                <w:spacing w:val="4"/>
                <w:sz w:val="21"/>
                <w:szCs w:val="21"/>
              </w:rPr>
              <w:t>目编号</w:t>
            </w:r>
          </w:p>
        </w:tc>
        <w:tc>
          <w:tcPr>
            <w:tcW w:w="2517" w:type="dxa"/>
            <w:vAlign w:val="top"/>
          </w:tcPr>
          <w:p w14:paraId="0F2D760D">
            <w:pPr>
              <w:pStyle w:val="6"/>
              <w:spacing w:line="463" w:lineRule="auto"/>
            </w:pPr>
          </w:p>
          <w:p w14:paraId="17C1ACBB">
            <w:pPr>
              <w:spacing w:before="68" w:line="220" w:lineRule="auto"/>
              <w:ind w:left="623"/>
              <w:rPr>
                <w:rFonts w:ascii="宋体" w:hAnsi="宋体" w:eastAsia="宋体" w:cs="宋体"/>
                <w:sz w:val="21"/>
                <w:szCs w:val="21"/>
              </w:rPr>
            </w:pPr>
            <w:r>
              <w:rPr>
                <w:rFonts w:ascii="宋体" w:hAnsi="宋体" w:eastAsia="宋体" w:cs="宋体"/>
                <w:spacing w:val="1"/>
                <w:sz w:val="21"/>
                <w:szCs w:val="21"/>
              </w:rPr>
              <w:t>工作项目名称</w:t>
            </w:r>
          </w:p>
        </w:tc>
        <w:tc>
          <w:tcPr>
            <w:tcW w:w="829" w:type="dxa"/>
            <w:vAlign w:val="top"/>
          </w:tcPr>
          <w:p w14:paraId="5ECA7917">
            <w:pPr>
              <w:pStyle w:val="6"/>
              <w:spacing w:line="301" w:lineRule="auto"/>
            </w:pPr>
          </w:p>
          <w:p w14:paraId="5E311E9E">
            <w:pPr>
              <w:spacing w:before="68" w:line="227" w:lineRule="auto"/>
              <w:ind w:left="196"/>
              <w:rPr>
                <w:rFonts w:ascii="宋体" w:hAnsi="宋体" w:eastAsia="宋体" w:cs="宋体"/>
                <w:sz w:val="21"/>
                <w:szCs w:val="21"/>
              </w:rPr>
            </w:pPr>
            <w:r>
              <w:rPr>
                <w:rFonts w:ascii="宋体" w:hAnsi="宋体" w:eastAsia="宋体" w:cs="宋体"/>
                <w:spacing w:val="-3"/>
                <w:sz w:val="21"/>
                <w:szCs w:val="21"/>
              </w:rPr>
              <w:t>论证</w:t>
            </w:r>
          </w:p>
          <w:p w14:paraId="7E34C2A0">
            <w:pPr>
              <w:spacing w:before="75" w:line="221" w:lineRule="auto"/>
              <w:ind w:left="196"/>
              <w:rPr>
                <w:rFonts w:ascii="宋体" w:hAnsi="宋体" w:eastAsia="宋体" w:cs="宋体"/>
                <w:sz w:val="21"/>
                <w:szCs w:val="21"/>
              </w:rPr>
            </w:pPr>
            <w:r>
              <w:rPr>
                <w:rFonts w:ascii="宋体" w:hAnsi="宋体" w:eastAsia="宋体" w:cs="宋体"/>
                <w:spacing w:val="4"/>
                <w:sz w:val="21"/>
                <w:szCs w:val="21"/>
              </w:rPr>
              <w:t>阶段</w:t>
            </w:r>
          </w:p>
        </w:tc>
        <w:tc>
          <w:tcPr>
            <w:tcW w:w="1049" w:type="dxa"/>
            <w:vAlign w:val="top"/>
          </w:tcPr>
          <w:p w14:paraId="467B56A5">
            <w:pPr>
              <w:pStyle w:val="6"/>
              <w:spacing w:line="463" w:lineRule="auto"/>
            </w:pPr>
          </w:p>
          <w:p w14:paraId="12EAAE34">
            <w:pPr>
              <w:spacing w:before="68" w:line="220" w:lineRule="auto"/>
              <w:ind w:left="97"/>
              <w:rPr>
                <w:rFonts w:ascii="宋体" w:hAnsi="宋体" w:eastAsia="宋体" w:cs="宋体"/>
                <w:sz w:val="21"/>
                <w:szCs w:val="21"/>
              </w:rPr>
            </w:pPr>
            <w:r>
              <w:rPr>
                <w:rFonts w:ascii="宋体" w:hAnsi="宋体" w:eastAsia="宋体" w:cs="宋体"/>
                <w:spacing w:val="-2"/>
                <w:sz w:val="21"/>
                <w:szCs w:val="21"/>
              </w:rPr>
              <w:t>方案阶段</w:t>
            </w:r>
          </w:p>
        </w:tc>
        <w:tc>
          <w:tcPr>
            <w:tcW w:w="1259" w:type="dxa"/>
            <w:vAlign w:val="top"/>
          </w:tcPr>
          <w:p w14:paraId="2B5A8BAA">
            <w:pPr>
              <w:spacing w:before="184" w:line="312" w:lineRule="auto"/>
              <w:ind w:left="518" w:right="182" w:hanging="310"/>
              <w:rPr>
                <w:rFonts w:ascii="宋体" w:hAnsi="宋体" w:eastAsia="宋体" w:cs="宋体"/>
                <w:sz w:val="21"/>
                <w:szCs w:val="21"/>
              </w:rPr>
            </w:pPr>
            <w:r>
              <w:rPr>
                <w:rFonts w:ascii="宋体" w:hAnsi="宋体" w:eastAsia="宋体" w:cs="宋体"/>
                <w:spacing w:val="4"/>
                <w:sz w:val="21"/>
                <w:szCs w:val="21"/>
              </w:rPr>
              <w:t>工程研制</w:t>
            </w:r>
            <w:r>
              <w:rPr>
                <w:rFonts w:ascii="宋体" w:hAnsi="宋体" w:eastAsia="宋体" w:cs="宋体"/>
                <w:spacing w:val="1"/>
                <w:sz w:val="21"/>
                <w:szCs w:val="21"/>
              </w:rPr>
              <w:t xml:space="preserve"> </w:t>
            </w:r>
            <w:r>
              <w:rPr>
                <w:rFonts w:ascii="宋体" w:hAnsi="宋体" w:eastAsia="宋体" w:cs="宋体"/>
                <w:sz w:val="21"/>
                <w:szCs w:val="21"/>
              </w:rPr>
              <w:t>与</w:t>
            </w:r>
          </w:p>
          <w:p w14:paraId="75B53E8B">
            <w:pPr>
              <w:spacing w:line="220" w:lineRule="auto"/>
              <w:ind w:left="208"/>
              <w:rPr>
                <w:rFonts w:ascii="宋体" w:hAnsi="宋体" w:eastAsia="宋体" w:cs="宋体"/>
                <w:sz w:val="21"/>
                <w:szCs w:val="21"/>
              </w:rPr>
            </w:pPr>
            <w:r>
              <w:rPr>
                <w:rFonts w:ascii="宋体" w:hAnsi="宋体" w:eastAsia="宋体" w:cs="宋体"/>
                <w:spacing w:val="2"/>
                <w:sz w:val="21"/>
                <w:szCs w:val="21"/>
              </w:rPr>
              <w:t>定型阶段</w:t>
            </w:r>
          </w:p>
        </w:tc>
        <w:tc>
          <w:tcPr>
            <w:tcW w:w="1204" w:type="dxa"/>
            <w:vAlign w:val="top"/>
          </w:tcPr>
          <w:p w14:paraId="3F804F42">
            <w:pPr>
              <w:pStyle w:val="6"/>
              <w:spacing w:line="293" w:lineRule="auto"/>
            </w:pPr>
          </w:p>
          <w:p w14:paraId="495D7EBD">
            <w:pPr>
              <w:spacing w:before="68" w:line="301" w:lineRule="auto"/>
              <w:ind w:left="179" w:right="183" w:firstLine="99"/>
              <w:rPr>
                <w:rFonts w:ascii="宋体" w:hAnsi="宋体" w:eastAsia="宋体" w:cs="宋体"/>
                <w:sz w:val="21"/>
                <w:szCs w:val="21"/>
              </w:rPr>
            </w:pPr>
            <w:r>
              <w:rPr>
                <w:rFonts w:ascii="宋体" w:hAnsi="宋体" w:eastAsia="宋体" w:cs="宋体"/>
                <w:spacing w:val="5"/>
                <w:sz w:val="21"/>
                <w:szCs w:val="21"/>
              </w:rPr>
              <w:t>生产与</w:t>
            </w:r>
            <w:r>
              <w:rPr>
                <w:rFonts w:ascii="宋体" w:hAnsi="宋体" w:eastAsia="宋体" w:cs="宋体"/>
                <w:spacing w:val="1"/>
                <w:sz w:val="21"/>
                <w:szCs w:val="21"/>
              </w:rPr>
              <w:t xml:space="preserve"> </w:t>
            </w:r>
            <w:r>
              <w:rPr>
                <w:rFonts w:ascii="宋体" w:hAnsi="宋体" w:eastAsia="宋体" w:cs="宋体"/>
                <w:spacing w:val="-3"/>
                <w:sz w:val="21"/>
                <w:szCs w:val="21"/>
              </w:rPr>
              <w:t>使用阶段</w:t>
            </w:r>
          </w:p>
        </w:tc>
      </w:tr>
      <w:tr w14:paraId="586EE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1453" w:type="dxa"/>
            <w:vAlign w:val="top"/>
          </w:tcPr>
          <w:p w14:paraId="3A139DCF">
            <w:pPr>
              <w:pStyle w:val="6"/>
              <w:spacing w:line="250" w:lineRule="auto"/>
            </w:pPr>
          </w:p>
          <w:p w14:paraId="69C05C99">
            <w:pPr>
              <w:spacing w:before="68" w:line="239" w:lineRule="auto"/>
              <w:ind w:left="555"/>
              <w:rPr>
                <w:rFonts w:ascii="宋体" w:hAnsi="宋体" w:eastAsia="宋体" w:cs="宋体"/>
                <w:sz w:val="21"/>
                <w:szCs w:val="21"/>
              </w:rPr>
            </w:pPr>
            <w:r>
              <w:rPr>
                <w:rFonts w:ascii="宋体" w:hAnsi="宋体" w:eastAsia="宋体" w:cs="宋体"/>
                <w:spacing w:val="-3"/>
                <w:sz w:val="21"/>
                <w:szCs w:val="21"/>
              </w:rPr>
              <w:t>5.1</w:t>
            </w:r>
          </w:p>
        </w:tc>
        <w:tc>
          <w:tcPr>
            <w:tcW w:w="1039" w:type="dxa"/>
            <w:vAlign w:val="top"/>
          </w:tcPr>
          <w:p w14:paraId="312EB9D8">
            <w:pPr>
              <w:pStyle w:val="6"/>
              <w:spacing w:line="250" w:lineRule="auto"/>
            </w:pPr>
          </w:p>
          <w:p w14:paraId="31CA8C15">
            <w:pPr>
              <w:spacing w:before="68"/>
              <w:ind w:left="352"/>
              <w:rPr>
                <w:rFonts w:ascii="宋体" w:hAnsi="宋体" w:eastAsia="宋体" w:cs="宋体"/>
                <w:sz w:val="21"/>
                <w:szCs w:val="21"/>
              </w:rPr>
            </w:pPr>
            <w:r>
              <w:rPr>
                <w:rFonts w:ascii="宋体" w:hAnsi="宋体" w:eastAsia="宋体" w:cs="宋体"/>
                <w:spacing w:val="-6"/>
                <w:sz w:val="21"/>
                <w:szCs w:val="21"/>
              </w:rPr>
              <w:t>101</w:t>
            </w:r>
          </w:p>
        </w:tc>
        <w:tc>
          <w:tcPr>
            <w:tcW w:w="2517" w:type="dxa"/>
            <w:vAlign w:val="top"/>
          </w:tcPr>
          <w:p w14:paraId="4D62AE87">
            <w:pPr>
              <w:spacing w:before="130" w:line="294" w:lineRule="auto"/>
              <w:ind w:left="83" w:right="332"/>
              <w:rPr>
                <w:rFonts w:ascii="宋体" w:hAnsi="宋体" w:eastAsia="宋体" w:cs="宋体"/>
                <w:sz w:val="21"/>
                <w:szCs w:val="21"/>
              </w:rPr>
            </w:pPr>
            <w:r>
              <w:rPr>
                <w:rFonts w:ascii="宋体" w:hAnsi="宋体" w:eastAsia="宋体" w:cs="宋体"/>
                <w:spacing w:val="-1"/>
                <w:sz w:val="21"/>
                <w:szCs w:val="21"/>
              </w:rPr>
              <w:t>确定诊断方案和测试性</w:t>
            </w:r>
            <w:r>
              <w:rPr>
                <w:rFonts w:ascii="宋体" w:hAnsi="宋体" w:eastAsia="宋体" w:cs="宋体"/>
                <w:sz w:val="21"/>
                <w:szCs w:val="21"/>
              </w:rPr>
              <w:t xml:space="preserve"> </w:t>
            </w:r>
            <w:r>
              <w:rPr>
                <w:rFonts w:ascii="宋体" w:hAnsi="宋体" w:eastAsia="宋体" w:cs="宋体"/>
                <w:spacing w:val="-3"/>
                <w:sz w:val="21"/>
                <w:szCs w:val="21"/>
              </w:rPr>
              <w:t>要求</w:t>
            </w:r>
          </w:p>
        </w:tc>
        <w:tc>
          <w:tcPr>
            <w:tcW w:w="829" w:type="dxa"/>
            <w:vAlign w:val="top"/>
          </w:tcPr>
          <w:p w14:paraId="33C4E3FB">
            <w:pPr>
              <w:pStyle w:val="6"/>
              <w:spacing w:line="250" w:lineRule="auto"/>
            </w:pPr>
          </w:p>
          <w:p w14:paraId="54ADD84B">
            <w:pPr>
              <w:spacing w:before="69" w:line="238" w:lineRule="auto"/>
              <w:ind w:left="306"/>
              <w:rPr>
                <w:rFonts w:ascii="宋体" w:hAnsi="宋体" w:eastAsia="宋体" w:cs="宋体"/>
                <w:sz w:val="21"/>
                <w:szCs w:val="21"/>
              </w:rPr>
            </w:pPr>
            <w:r>
              <w:rPr>
                <w:rFonts w:ascii="宋体" w:hAnsi="宋体" w:eastAsia="宋体" w:cs="宋体"/>
                <w:sz w:val="21"/>
                <w:szCs w:val="21"/>
              </w:rPr>
              <w:t>√</w:t>
            </w:r>
          </w:p>
        </w:tc>
        <w:tc>
          <w:tcPr>
            <w:tcW w:w="1049" w:type="dxa"/>
            <w:vAlign w:val="top"/>
          </w:tcPr>
          <w:p w14:paraId="645C217A">
            <w:pPr>
              <w:pStyle w:val="6"/>
              <w:spacing w:line="250" w:lineRule="auto"/>
            </w:pPr>
          </w:p>
          <w:p w14:paraId="6D9135ED">
            <w:pPr>
              <w:spacing w:before="69"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794ED4D8">
            <w:pPr>
              <w:pStyle w:val="6"/>
              <w:spacing w:line="250" w:lineRule="auto"/>
            </w:pPr>
          </w:p>
          <w:p w14:paraId="0310EDDB">
            <w:pPr>
              <w:spacing w:before="69"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0A03DE2D">
            <w:pPr>
              <w:pStyle w:val="6"/>
              <w:spacing w:line="303" w:lineRule="auto"/>
            </w:pPr>
          </w:p>
          <w:p w14:paraId="4920E2EF">
            <w:pPr>
              <w:spacing w:before="45" w:line="188" w:lineRule="exact"/>
              <w:ind w:left="529"/>
              <w:rPr>
                <w:rFonts w:ascii="宋体" w:hAnsi="宋体" w:eastAsia="宋体" w:cs="宋体"/>
                <w:sz w:val="14"/>
                <w:szCs w:val="14"/>
              </w:rPr>
            </w:pPr>
            <w:r>
              <w:rPr>
                <w:rFonts w:ascii="宋体" w:hAnsi="宋体" w:eastAsia="宋体" w:cs="宋体"/>
                <w:position w:val="1"/>
                <w:sz w:val="14"/>
                <w:szCs w:val="14"/>
              </w:rPr>
              <w:t>×</w:t>
            </w:r>
          </w:p>
        </w:tc>
      </w:tr>
      <w:tr w14:paraId="7F6CE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453" w:type="dxa"/>
            <w:vAlign w:val="top"/>
          </w:tcPr>
          <w:p w14:paraId="1899A414">
            <w:pPr>
              <w:spacing w:before="141" w:line="239" w:lineRule="auto"/>
              <w:ind w:left="555"/>
              <w:rPr>
                <w:rFonts w:ascii="宋体" w:hAnsi="宋体" w:eastAsia="宋体" w:cs="宋体"/>
                <w:sz w:val="21"/>
                <w:szCs w:val="21"/>
              </w:rPr>
            </w:pPr>
            <w:r>
              <w:rPr>
                <w:rFonts w:ascii="宋体" w:hAnsi="宋体" w:eastAsia="宋体" w:cs="宋体"/>
                <w:spacing w:val="-3"/>
                <w:sz w:val="21"/>
                <w:szCs w:val="21"/>
              </w:rPr>
              <w:t>5.2</w:t>
            </w:r>
          </w:p>
        </w:tc>
        <w:tc>
          <w:tcPr>
            <w:tcW w:w="1039" w:type="dxa"/>
            <w:vAlign w:val="top"/>
          </w:tcPr>
          <w:p w14:paraId="2E3E2C7A">
            <w:pPr>
              <w:spacing w:before="141"/>
              <w:ind w:left="352"/>
              <w:rPr>
                <w:rFonts w:ascii="宋体" w:hAnsi="宋体" w:eastAsia="宋体" w:cs="宋体"/>
                <w:sz w:val="21"/>
                <w:szCs w:val="21"/>
              </w:rPr>
            </w:pPr>
            <w:r>
              <w:rPr>
                <w:rFonts w:ascii="宋体" w:hAnsi="宋体" w:eastAsia="宋体" w:cs="宋体"/>
                <w:spacing w:val="-6"/>
                <w:sz w:val="21"/>
                <w:szCs w:val="21"/>
              </w:rPr>
              <w:t>102</w:t>
            </w:r>
          </w:p>
        </w:tc>
        <w:tc>
          <w:tcPr>
            <w:tcW w:w="2517" w:type="dxa"/>
            <w:vAlign w:val="top"/>
          </w:tcPr>
          <w:p w14:paraId="6EEEC51E">
            <w:pPr>
              <w:spacing w:before="121" w:line="220" w:lineRule="auto"/>
              <w:ind w:left="83"/>
              <w:rPr>
                <w:rFonts w:ascii="宋体" w:hAnsi="宋体" w:eastAsia="宋体" w:cs="宋体"/>
                <w:sz w:val="21"/>
                <w:szCs w:val="21"/>
              </w:rPr>
            </w:pPr>
            <w:r>
              <w:rPr>
                <w:rFonts w:ascii="宋体" w:hAnsi="宋体" w:eastAsia="宋体" w:cs="宋体"/>
                <w:spacing w:val="-1"/>
                <w:sz w:val="21"/>
                <w:szCs w:val="21"/>
              </w:rPr>
              <w:t>确定测试性工作项目要求</w:t>
            </w:r>
          </w:p>
        </w:tc>
        <w:tc>
          <w:tcPr>
            <w:tcW w:w="829" w:type="dxa"/>
            <w:vAlign w:val="top"/>
          </w:tcPr>
          <w:p w14:paraId="69BAA21E">
            <w:pPr>
              <w:spacing w:before="141" w:line="238" w:lineRule="auto"/>
              <w:ind w:left="306"/>
              <w:rPr>
                <w:rFonts w:ascii="宋体" w:hAnsi="宋体" w:eastAsia="宋体" w:cs="宋体"/>
                <w:sz w:val="21"/>
                <w:szCs w:val="21"/>
              </w:rPr>
            </w:pPr>
            <w:r>
              <w:rPr>
                <w:rFonts w:ascii="宋体" w:hAnsi="宋体" w:eastAsia="宋体" w:cs="宋体"/>
                <w:sz w:val="21"/>
                <w:szCs w:val="21"/>
              </w:rPr>
              <w:t>√</w:t>
            </w:r>
          </w:p>
        </w:tc>
        <w:tc>
          <w:tcPr>
            <w:tcW w:w="1049" w:type="dxa"/>
            <w:vAlign w:val="top"/>
          </w:tcPr>
          <w:p w14:paraId="179C1A1F">
            <w:pPr>
              <w:spacing w:before="141"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151C7259">
            <w:pPr>
              <w:spacing w:before="141" w:line="282" w:lineRule="exact"/>
              <w:ind w:left="518"/>
              <w:rPr>
                <w:rFonts w:ascii="宋体" w:hAnsi="宋体" w:eastAsia="宋体" w:cs="宋体"/>
                <w:sz w:val="21"/>
                <w:szCs w:val="21"/>
              </w:rPr>
            </w:pPr>
            <w:r>
              <w:rPr>
                <w:rFonts w:ascii="宋体" w:hAnsi="宋体" w:eastAsia="宋体" w:cs="宋体"/>
                <w:position w:val="1"/>
                <w:sz w:val="21"/>
                <w:szCs w:val="21"/>
              </w:rPr>
              <w:t>×</w:t>
            </w:r>
          </w:p>
        </w:tc>
        <w:tc>
          <w:tcPr>
            <w:tcW w:w="1204" w:type="dxa"/>
            <w:vAlign w:val="top"/>
          </w:tcPr>
          <w:p w14:paraId="424E00F6">
            <w:pPr>
              <w:spacing w:before="161" w:line="188" w:lineRule="exact"/>
              <w:ind w:left="529"/>
              <w:rPr>
                <w:rFonts w:ascii="宋体" w:hAnsi="宋体" w:eastAsia="宋体" w:cs="宋体"/>
                <w:sz w:val="14"/>
                <w:szCs w:val="14"/>
              </w:rPr>
            </w:pPr>
            <w:r>
              <w:rPr>
                <w:rFonts w:ascii="宋体" w:hAnsi="宋体" w:eastAsia="宋体" w:cs="宋体"/>
                <w:position w:val="1"/>
                <w:sz w:val="14"/>
                <w:szCs w:val="14"/>
              </w:rPr>
              <w:t>×</w:t>
            </w:r>
          </w:p>
        </w:tc>
      </w:tr>
      <w:tr w14:paraId="3D1B9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453" w:type="dxa"/>
            <w:vAlign w:val="top"/>
          </w:tcPr>
          <w:p w14:paraId="20E5F470">
            <w:pPr>
              <w:spacing w:before="141" w:line="239" w:lineRule="auto"/>
              <w:ind w:left="555"/>
              <w:rPr>
                <w:rFonts w:ascii="宋体" w:hAnsi="宋体" w:eastAsia="宋体" w:cs="宋体"/>
                <w:sz w:val="21"/>
                <w:szCs w:val="21"/>
              </w:rPr>
            </w:pPr>
            <w:r>
              <w:rPr>
                <w:rFonts w:ascii="宋体" w:hAnsi="宋体" w:eastAsia="宋体" w:cs="宋体"/>
                <w:spacing w:val="-3"/>
                <w:sz w:val="21"/>
                <w:szCs w:val="21"/>
              </w:rPr>
              <w:t>6.1</w:t>
            </w:r>
          </w:p>
        </w:tc>
        <w:tc>
          <w:tcPr>
            <w:tcW w:w="1039" w:type="dxa"/>
            <w:vAlign w:val="top"/>
          </w:tcPr>
          <w:p w14:paraId="68884623">
            <w:pPr>
              <w:spacing w:before="141"/>
              <w:ind w:left="352"/>
              <w:rPr>
                <w:rFonts w:ascii="宋体" w:hAnsi="宋体" w:eastAsia="宋体" w:cs="宋体"/>
                <w:sz w:val="21"/>
                <w:szCs w:val="21"/>
              </w:rPr>
            </w:pPr>
            <w:r>
              <w:rPr>
                <w:rFonts w:ascii="宋体" w:hAnsi="宋体" w:eastAsia="宋体" w:cs="宋体"/>
                <w:spacing w:val="-3"/>
                <w:sz w:val="21"/>
                <w:szCs w:val="21"/>
              </w:rPr>
              <w:t>201</w:t>
            </w:r>
          </w:p>
        </w:tc>
        <w:tc>
          <w:tcPr>
            <w:tcW w:w="2517" w:type="dxa"/>
            <w:vAlign w:val="top"/>
          </w:tcPr>
          <w:p w14:paraId="0C7DC26D">
            <w:pPr>
              <w:spacing w:before="121" w:line="220" w:lineRule="auto"/>
              <w:ind w:left="83"/>
              <w:rPr>
                <w:rFonts w:ascii="宋体" w:hAnsi="宋体" w:eastAsia="宋体" w:cs="宋体"/>
                <w:sz w:val="21"/>
                <w:szCs w:val="21"/>
              </w:rPr>
            </w:pPr>
            <w:r>
              <w:rPr>
                <w:rFonts w:ascii="宋体" w:hAnsi="宋体" w:eastAsia="宋体" w:cs="宋体"/>
                <w:spacing w:val="2"/>
                <w:sz w:val="21"/>
                <w:szCs w:val="21"/>
              </w:rPr>
              <w:t>制定测试性计划</w:t>
            </w:r>
          </w:p>
        </w:tc>
        <w:tc>
          <w:tcPr>
            <w:tcW w:w="829" w:type="dxa"/>
            <w:vAlign w:val="top"/>
          </w:tcPr>
          <w:p w14:paraId="7D51AED5">
            <w:pPr>
              <w:spacing w:before="141" w:line="238" w:lineRule="auto"/>
              <w:ind w:left="306"/>
              <w:rPr>
                <w:rFonts w:ascii="宋体" w:hAnsi="宋体" w:eastAsia="宋体" w:cs="宋体"/>
                <w:sz w:val="21"/>
                <w:szCs w:val="21"/>
              </w:rPr>
            </w:pPr>
            <w:r>
              <w:rPr>
                <w:rFonts w:ascii="宋体" w:hAnsi="宋体" w:eastAsia="宋体" w:cs="宋体"/>
                <w:sz w:val="21"/>
                <w:szCs w:val="21"/>
              </w:rPr>
              <w:t>√</w:t>
            </w:r>
          </w:p>
        </w:tc>
        <w:tc>
          <w:tcPr>
            <w:tcW w:w="1049" w:type="dxa"/>
            <w:vAlign w:val="top"/>
          </w:tcPr>
          <w:p w14:paraId="2AF65C43">
            <w:pPr>
              <w:spacing w:before="141"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1780B0E0">
            <w:pPr>
              <w:spacing w:before="141"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363E9B80">
            <w:pPr>
              <w:spacing w:before="141" w:line="238" w:lineRule="auto"/>
              <w:ind w:left="489"/>
              <w:rPr>
                <w:rFonts w:ascii="宋体" w:hAnsi="宋体" w:eastAsia="宋体" w:cs="宋体"/>
                <w:sz w:val="21"/>
                <w:szCs w:val="21"/>
              </w:rPr>
            </w:pPr>
            <w:r>
              <w:rPr>
                <w:rFonts w:ascii="宋体" w:hAnsi="宋体" w:eastAsia="宋体" w:cs="宋体"/>
                <w:sz w:val="21"/>
                <w:szCs w:val="21"/>
              </w:rPr>
              <w:t>√</w:t>
            </w:r>
          </w:p>
        </w:tc>
      </w:tr>
      <w:tr w14:paraId="5AD4D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453" w:type="dxa"/>
            <w:vAlign w:val="top"/>
          </w:tcPr>
          <w:p w14:paraId="1C66CA03">
            <w:pPr>
              <w:spacing w:before="141" w:line="239" w:lineRule="auto"/>
              <w:ind w:left="555"/>
              <w:rPr>
                <w:rFonts w:ascii="宋体" w:hAnsi="宋体" w:eastAsia="宋体" w:cs="宋体"/>
                <w:sz w:val="21"/>
                <w:szCs w:val="21"/>
              </w:rPr>
            </w:pPr>
            <w:r>
              <w:rPr>
                <w:rFonts w:ascii="宋体" w:hAnsi="宋体" w:eastAsia="宋体" w:cs="宋体"/>
                <w:spacing w:val="-3"/>
                <w:sz w:val="21"/>
                <w:szCs w:val="21"/>
              </w:rPr>
              <w:t>6.2</w:t>
            </w:r>
          </w:p>
        </w:tc>
        <w:tc>
          <w:tcPr>
            <w:tcW w:w="1039" w:type="dxa"/>
            <w:vAlign w:val="top"/>
          </w:tcPr>
          <w:p w14:paraId="1021388E">
            <w:pPr>
              <w:spacing w:before="141"/>
              <w:ind w:left="352"/>
              <w:rPr>
                <w:rFonts w:ascii="宋体" w:hAnsi="宋体" w:eastAsia="宋体" w:cs="宋体"/>
                <w:sz w:val="21"/>
                <w:szCs w:val="21"/>
              </w:rPr>
            </w:pPr>
            <w:r>
              <w:rPr>
                <w:rFonts w:ascii="宋体" w:hAnsi="宋体" w:eastAsia="宋体" w:cs="宋体"/>
                <w:spacing w:val="-3"/>
                <w:sz w:val="21"/>
                <w:szCs w:val="21"/>
              </w:rPr>
              <w:t>202</w:t>
            </w:r>
          </w:p>
        </w:tc>
        <w:tc>
          <w:tcPr>
            <w:tcW w:w="2517" w:type="dxa"/>
            <w:vAlign w:val="top"/>
          </w:tcPr>
          <w:p w14:paraId="3EB2B4D5">
            <w:pPr>
              <w:spacing w:before="121" w:line="220" w:lineRule="auto"/>
              <w:ind w:left="83"/>
              <w:rPr>
                <w:rFonts w:ascii="宋体" w:hAnsi="宋体" w:eastAsia="宋体" w:cs="宋体"/>
                <w:sz w:val="21"/>
                <w:szCs w:val="21"/>
              </w:rPr>
            </w:pPr>
            <w:r>
              <w:rPr>
                <w:rFonts w:ascii="宋体" w:hAnsi="宋体" w:eastAsia="宋体" w:cs="宋体"/>
                <w:spacing w:val="1"/>
                <w:sz w:val="21"/>
                <w:szCs w:val="21"/>
              </w:rPr>
              <w:t>制定测试性工作计划</w:t>
            </w:r>
          </w:p>
        </w:tc>
        <w:tc>
          <w:tcPr>
            <w:tcW w:w="829" w:type="dxa"/>
            <w:vAlign w:val="top"/>
          </w:tcPr>
          <w:p w14:paraId="31FC6EE6">
            <w:pPr>
              <w:spacing w:before="141" w:line="237" w:lineRule="auto"/>
              <w:ind w:left="306"/>
              <w:rPr>
                <w:rFonts w:ascii="宋体" w:hAnsi="宋体" w:eastAsia="宋体" w:cs="宋体"/>
                <w:sz w:val="21"/>
                <w:szCs w:val="21"/>
              </w:rPr>
            </w:pPr>
            <w:r>
              <w:rPr>
                <w:rFonts w:ascii="宋体" w:hAnsi="宋体" w:eastAsia="宋体" w:cs="宋体"/>
                <w:sz w:val="21"/>
                <w:szCs w:val="21"/>
              </w:rPr>
              <w:t>△</w:t>
            </w:r>
          </w:p>
        </w:tc>
        <w:tc>
          <w:tcPr>
            <w:tcW w:w="1049" w:type="dxa"/>
            <w:vAlign w:val="top"/>
          </w:tcPr>
          <w:p w14:paraId="12C7244E">
            <w:pPr>
              <w:spacing w:before="141"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0082E122">
            <w:pPr>
              <w:spacing w:before="141"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5FDD6CD2">
            <w:pPr>
              <w:spacing w:before="141" w:line="238" w:lineRule="auto"/>
              <w:ind w:left="489"/>
              <w:rPr>
                <w:rFonts w:ascii="宋体" w:hAnsi="宋体" w:eastAsia="宋体" w:cs="宋体"/>
                <w:sz w:val="21"/>
                <w:szCs w:val="21"/>
              </w:rPr>
            </w:pPr>
            <w:r>
              <w:rPr>
                <w:rFonts w:ascii="宋体" w:hAnsi="宋体" w:eastAsia="宋体" w:cs="宋体"/>
                <w:sz w:val="21"/>
                <w:szCs w:val="21"/>
              </w:rPr>
              <w:t>√</w:t>
            </w:r>
          </w:p>
        </w:tc>
      </w:tr>
      <w:tr w14:paraId="35185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1453" w:type="dxa"/>
            <w:vAlign w:val="top"/>
          </w:tcPr>
          <w:p w14:paraId="37F7BB1E">
            <w:pPr>
              <w:pStyle w:val="6"/>
              <w:spacing w:line="282" w:lineRule="auto"/>
            </w:pPr>
          </w:p>
          <w:p w14:paraId="2AE0060D">
            <w:pPr>
              <w:spacing w:before="68" w:line="239" w:lineRule="auto"/>
              <w:ind w:left="555"/>
              <w:rPr>
                <w:rFonts w:ascii="宋体" w:hAnsi="宋体" w:eastAsia="宋体" w:cs="宋体"/>
                <w:sz w:val="21"/>
                <w:szCs w:val="21"/>
              </w:rPr>
            </w:pPr>
            <w:r>
              <w:rPr>
                <w:rFonts w:ascii="宋体" w:hAnsi="宋体" w:eastAsia="宋体" w:cs="宋体"/>
                <w:spacing w:val="-3"/>
                <w:sz w:val="21"/>
                <w:szCs w:val="21"/>
              </w:rPr>
              <w:t>6.3</w:t>
            </w:r>
          </w:p>
        </w:tc>
        <w:tc>
          <w:tcPr>
            <w:tcW w:w="1039" w:type="dxa"/>
            <w:vAlign w:val="top"/>
          </w:tcPr>
          <w:p w14:paraId="07E9E6D7">
            <w:pPr>
              <w:pStyle w:val="6"/>
              <w:spacing w:line="282" w:lineRule="auto"/>
            </w:pPr>
          </w:p>
          <w:p w14:paraId="0D0DBD98">
            <w:pPr>
              <w:spacing w:before="68"/>
              <w:ind w:left="352"/>
              <w:rPr>
                <w:rFonts w:ascii="宋体" w:hAnsi="宋体" w:eastAsia="宋体" w:cs="宋体"/>
                <w:sz w:val="21"/>
                <w:szCs w:val="21"/>
              </w:rPr>
            </w:pPr>
            <w:r>
              <w:rPr>
                <w:rFonts w:ascii="宋体" w:hAnsi="宋体" w:eastAsia="宋体" w:cs="宋体"/>
                <w:spacing w:val="-3"/>
                <w:sz w:val="21"/>
                <w:szCs w:val="21"/>
              </w:rPr>
              <w:t>203</w:t>
            </w:r>
          </w:p>
        </w:tc>
        <w:tc>
          <w:tcPr>
            <w:tcW w:w="2517" w:type="dxa"/>
            <w:vAlign w:val="top"/>
          </w:tcPr>
          <w:p w14:paraId="5CCF7449">
            <w:pPr>
              <w:spacing w:before="160" w:line="307" w:lineRule="auto"/>
              <w:ind w:left="83" w:right="121"/>
              <w:rPr>
                <w:rFonts w:ascii="宋体" w:hAnsi="宋体" w:eastAsia="宋体" w:cs="宋体"/>
                <w:sz w:val="21"/>
                <w:szCs w:val="21"/>
              </w:rPr>
            </w:pPr>
            <w:r>
              <w:rPr>
                <w:rFonts w:ascii="宋体" w:hAnsi="宋体" w:eastAsia="宋体" w:cs="宋体"/>
                <w:spacing w:val="-1"/>
                <w:sz w:val="21"/>
                <w:szCs w:val="21"/>
              </w:rPr>
              <w:t>对承制方、转承制方和供</w:t>
            </w:r>
            <w:r>
              <w:rPr>
                <w:rFonts w:ascii="宋体" w:hAnsi="宋体" w:eastAsia="宋体" w:cs="宋体"/>
                <w:spacing w:val="2"/>
                <w:sz w:val="21"/>
                <w:szCs w:val="21"/>
              </w:rPr>
              <w:t xml:space="preserve"> 应方的监督和控制</w:t>
            </w:r>
          </w:p>
        </w:tc>
        <w:tc>
          <w:tcPr>
            <w:tcW w:w="829" w:type="dxa"/>
            <w:vAlign w:val="top"/>
          </w:tcPr>
          <w:p w14:paraId="2F440EF0">
            <w:pPr>
              <w:pStyle w:val="6"/>
              <w:spacing w:line="323" w:lineRule="auto"/>
            </w:pPr>
          </w:p>
          <w:p w14:paraId="7F6A1E2A">
            <w:pPr>
              <w:spacing w:before="4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478A3CE9">
            <w:pPr>
              <w:pStyle w:val="6"/>
              <w:spacing w:line="282" w:lineRule="auto"/>
            </w:pPr>
          </w:p>
          <w:p w14:paraId="6CDA9658">
            <w:pPr>
              <w:spacing w:before="68" w:line="237"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734B4212">
            <w:pPr>
              <w:pStyle w:val="6"/>
              <w:spacing w:line="282" w:lineRule="auto"/>
            </w:pPr>
          </w:p>
          <w:p w14:paraId="3AF9ABBF">
            <w:pPr>
              <w:spacing w:before="68"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29BD0CEC">
            <w:pPr>
              <w:pStyle w:val="6"/>
              <w:spacing w:line="282" w:lineRule="auto"/>
            </w:pPr>
          </w:p>
          <w:p w14:paraId="4D1CE494">
            <w:pPr>
              <w:spacing w:before="68" w:line="238" w:lineRule="auto"/>
              <w:ind w:left="489"/>
              <w:rPr>
                <w:rFonts w:ascii="宋体" w:hAnsi="宋体" w:eastAsia="宋体" w:cs="宋体"/>
                <w:sz w:val="21"/>
                <w:szCs w:val="21"/>
              </w:rPr>
            </w:pPr>
            <w:r>
              <w:rPr>
                <w:rFonts w:ascii="宋体" w:hAnsi="宋体" w:eastAsia="宋体" w:cs="宋体"/>
                <w:sz w:val="21"/>
                <w:szCs w:val="21"/>
              </w:rPr>
              <w:t>√</w:t>
            </w:r>
          </w:p>
        </w:tc>
      </w:tr>
      <w:tr w14:paraId="2DDB4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453" w:type="dxa"/>
            <w:vAlign w:val="top"/>
          </w:tcPr>
          <w:p w14:paraId="6E57F512">
            <w:pPr>
              <w:spacing w:before="143" w:line="239" w:lineRule="auto"/>
              <w:ind w:left="555"/>
              <w:rPr>
                <w:rFonts w:ascii="宋体" w:hAnsi="宋体" w:eastAsia="宋体" w:cs="宋体"/>
                <w:sz w:val="21"/>
                <w:szCs w:val="21"/>
              </w:rPr>
            </w:pPr>
            <w:r>
              <w:rPr>
                <w:rFonts w:ascii="宋体" w:hAnsi="宋体" w:eastAsia="宋体" w:cs="宋体"/>
                <w:spacing w:val="-3"/>
                <w:sz w:val="21"/>
                <w:szCs w:val="21"/>
              </w:rPr>
              <w:t>6.4</w:t>
            </w:r>
          </w:p>
        </w:tc>
        <w:tc>
          <w:tcPr>
            <w:tcW w:w="1039" w:type="dxa"/>
            <w:vAlign w:val="top"/>
          </w:tcPr>
          <w:p w14:paraId="046B9D6D">
            <w:pPr>
              <w:spacing w:before="143"/>
              <w:ind w:left="352"/>
              <w:rPr>
                <w:rFonts w:ascii="宋体" w:hAnsi="宋体" w:eastAsia="宋体" w:cs="宋体"/>
                <w:sz w:val="21"/>
                <w:szCs w:val="21"/>
              </w:rPr>
            </w:pPr>
            <w:r>
              <w:rPr>
                <w:rFonts w:ascii="宋体" w:hAnsi="宋体" w:eastAsia="宋体" w:cs="宋体"/>
                <w:spacing w:val="-3"/>
                <w:sz w:val="21"/>
                <w:szCs w:val="21"/>
              </w:rPr>
              <w:t>204</w:t>
            </w:r>
          </w:p>
        </w:tc>
        <w:tc>
          <w:tcPr>
            <w:tcW w:w="2517" w:type="dxa"/>
            <w:vAlign w:val="top"/>
          </w:tcPr>
          <w:p w14:paraId="5E775AC9">
            <w:pPr>
              <w:spacing w:before="123" w:line="220" w:lineRule="auto"/>
              <w:ind w:left="83"/>
              <w:rPr>
                <w:rFonts w:ascii="宋体" w:hAnsi="宋体" w:eastAsia="宋体" w:cs="宋体"/>
                <w:sz w:val="21"/>
                <w:szCs w:val="21"/>
              </w:rPr>
            </w:pPr>
            <w:r>
              <w:rPr>
                <w:rFonts w:ascii="宋体" w:hAnsi="宋体" w:eastAsia="宋体" w:cs="宋体"/>
                <w:spacing w:val="3"/>
                <w:sz w:val="21"/>
                <w:szCs w:val="21"/>
              </w:rPr>
              <w:t>测试性评审</w:t>
            </w:r>
          </w:p>
        </w:tc>
        <w:tc>
          <w:tcPr>
            <w:tcW w:w="829" w:type="dxa"/>
            <w:vAlign w:val="top"/>
          </w:tcPr>
          <w:p w14:paraId="78B3A44D">
            <w:pPr>
              <w:spacing w:before="164" w:line="237" w:lineRule="auto"/>
              <w:ind w:left="336"/>
              <w:rPr>
                <w:rFonts w:ascii="宋体" w:hAnsi="宋体" w:eastAsia="宋体" w:cs="宋体"/>
                <w:sz w:val="15"/>
                <w:szCs w:val="15"/>
              </w:rPr>
            </w:pPr>
            <w:r>
              <w:rPr>
                <w:rFonts w:ascii="宋体" w:hAnsi="宋体" w:eastAsia="宋体" w:cs="宋体"/>
                <w:sz w:val="15"/>
                <w:szCs w:val="15"/>
              </w:rPr>
              <w:t>△</w:t>
            </w:r>
          </w:p>
        </w:tc>
        <w:tc>
          <w:tcPr>
            <w:tcW w:w="1049" w:type="dxa"/>
            <w:vAlign w:val="top"/>
          </w:tcPr>
          <w:p w14:paraId="4CE1E5F1">
            <w:pPr>
              <w:spacing w:before="143"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5E2A87C6">
            <w:pPr>
              <w:spacing w:before="143"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60B501F0">
            <w:pPr>
              <w:spacing w:before="143" w:line="237" w:lineRule="auto"/>
              <w:ind w:left="489"/>
              <w:rPr>
                <w:rFonts w:ascii="宋体" w:hAnsi="宋体" w:eastAsia="宋体" w:cs="宋体"/>
                <w:sz w:val="21"/>
                <w:szCs w:val="21"/>
              </w:rPr>
            </w:pPr>
            <w:r>
              <w:rPr>
                <w:rFonts w:ascii="宋体" w:hAnsi="宋体" w:eastAsia="宋体" w:cs="宋体"/>
                <w:sz w:val="21"/>
                <w:szCs w:val="21"/>
              </w:rPr>
              <w:t>△</w:t>
            </w:r>
          </w:p>
        </w:tc>
      </w:tr>
      <w:tr w14:paraId="6ED3F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453" w:type="dxa"/>
            <w:vAlign w:val="top"/>
          </w:tcPr>
          <w:p w14:paraId="4C968B67">
            <w:pPr>
              <w:pStyle w:val="6"/>
              <w:spacing w:line="263" w:lineRule="auto"/>
            </w:pPr>
          </w:p>
          <w:p w14:paraId="34A1BF9A">
            <w:pPr>
              <w:spacing w:before="68" w:line="239" w:lineRule="auto"/>
              <w:ind w:left="555"/>
              <w:rPr>
                <w:rFonts w:ascii="宋体" w:hAnsi="宋体" w:eastAsia="宋体" w:cs="宋体"/>
                <w:sz w:val="21"/>
                <w:szCs w:val="21"/>
              </w:rPr>
            </w:pPr>
            <w:r>
              <w:rPr>
                <w:rFonts w:ascii="宋体" w:hAnsi="宋体" w:eastAsia="宋体" w:cs="宋体"/>
                <w:spacing w:val="-3"/>
                <w:sz w:val="21"/>
                <w:szCs w:val="21"/>
              </w:rPr>
              <w:t>6.5</w:t>
            </w:r>
          </w:p>
        </w:tc>
        <w:tc>
          <w:tcPr>
            <w:tcW w:w="1039" w:type="dxa"/>
            <w:vAlign w:val="top"/>
          </w:tcPr>
          <w:p w14:paraId="28FA5FFB">
            <w:pPr>
              <w:pStyle w:val="6"/>
              <w:spacing w:line="263" w:lineRule="auto"/>
            </w:pPr>
          </w:p>
          <w:p w14:paraId="77AEFFC3">
            <w:pPr>
              <w:spacing w:before="68"/>
              <w:ind w:left="352"/>
              <w:rPr>
                <w:rFonts w:ascii="宋体" w:hAnsi="宋体" w:eastAsia="宋体" w:cs="宋体"/>
                <w:sz w:val="21"/>
                <w:szCs w:val="21"/>
              </w:rPr>
            </w:pPr>
            <w:r>
              <w:rPr>
                <w:rFonts w:ascii="宋体" w:hAnsi="宋体" w:eastAsia="宋体" w:cs="宋体"/>
                <w:spacing w:val="-3"/>
                <w:sz w:val="21"/>
                <w:szCs w:val="21"/>
              </w:rPr>
              <w:t>205</w:t>
            </w:r>
          </w:p>
        </w:tc>
        <w:tc>
          <w:tcPr>
            <w:tcW w:w="2517" w:type="dxa"/>
            <w:vAlign w:val="top"/>
          </w:tcPr>
          <w:p w14:paraId="67F2EAC8">
            <w:pPr>
              <w:spacing w:before="153" w:line="283" w:lineRule="auto"/>
              <w:ind w:left="83" w:right="96"/>
              <w:rPr>
                <w:rFonts w:ascii="宋体" w:hAnsi="宋体" w:eastAsia="宋体" w:cs="宋体"/>
                <w:sz w:val="21"/>
                <w:szCs w:val="21"/>
              </w:rPr>
            </w:pPr>
            <w:r>
              <w:rPr>
                <w:rFonts w:ascii="宋体" w:hAnsi="宋体" w:eastAsia="宋体" w:cs="宋体"/>
                <w:spacing w:val="1"/>
                <w:sz w:val="21"/>
                <w:szCs w:val="21"/>
              </w:rPr>
              <w:t>测试性数据收集、分析和</w:t>
            </w:r>
            <w:r>
              <w:rPr>
                <w:rFonts w:ascii="宋体" w:hAnsi="宋体" w:eastAsia="宋体" w:cs="宋体"/>
                <w:spacing w:val="5"/>
                <w:sz w:val="21"/>
                <w:szCs w:val="21"/>
              </w:rPr>
              <w:t xml:space="preserve"> </w:t>
            </w:r>
            <w:r>
              <w:rPr>
                <w:rFonts w:ascii="宋体" w:hAnsi="宋体" w:eastAsia="宋体" w:cs="宋体"/>
                <w:spacing w:val="3"/>
                <w:sz w:val="21"/>
                <w:szCs w:val="21"/>
              </w:rPr>
              <w:t>管理</w:t>
            </w:r>
          </w:p>
        </w:tc>
        <w:tc>
          <w:tcPr>
            <w:tcW w:w="829" w:type="dxa"/>
            <w:vAlign w:val="top"/>
          </w:tcPr>
          <w:p w14:paraId="59D436BD">
            <w:pPr>
              <w:pStyle w:val="6"/>
              <w:spacing w:line="304" w:lineRule="auto"/>
            </w:pPr>
          </w:p>
          <w:p w14:paraId="38E870BF">
            <w:pPr>
              <w:spacing w:before="4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644423EB">
            <w:pPr>
              <w:pStyle w:val="6"/>
              <w:spacing w:line="263" w:lineRule="auto"/>
            </w:pPr>
          </w:p>
          <w:p w14:paraId="4F1506C6">
            <w:pPr>
              <w:spacing w:before="69"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4B53567B">
            <w:pPr>
              <w:pStyle w:val="6"/>
              <w:spacing w:line="263" w:lineRule="auto"/>
            </w:pPr>
          </w:p>
          <w:p w14:paraId="589698AA">
            <w:pPr>
              <w:spacing w:before="69"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32B4A818">
            <w:pPr>
              <w:pStyle w:val="6"/>
              <w:spacing w:line="263" w:lineRule="auto"/>
            </w:pPr>
          </w:p>
          <w:p w14:paraId="412B595C">
            <w:pPr>
              <w:spacing w:before="69" w:line="238" w:lineRule="auto"/>
              <w:ind w:left="489"/>
              <w:rPr>
                <w:rFonts w:ascii="宋体" w:hAnsi="宋体" w:eastAsia="宋体" w:cs="宋体"/>
                <w:sz w:val="21"/>
                <w:szCs w:val="21"/>
              </w:rPr>
            </w:pPr>
            <w:r>
              <w:rPr>
                <w:rFonts w:ascii="宋体" w:hAnsi="宋体" w:eastAsia="宋体" w:cs="宋体"/>
                <w:sz w:val="21"/>
                <w:szCs w:val="21"/>
              </w:rPr>
              <w:t>√</w:t>
            </w:r>
          </w:p>
        </w:tc>
      </w:tr>
      <w:tr w14:paraId="4388D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453" w:type="dxa"/>
            <w:vAlign w:val="top"/>
          </w:tcPr>
          <w:p w14:paraId="05B21012">
            <w:pPr>
              <w:spacing w:before="134" w:line="239" w:lineRule="auto"/>
              <w:ind w:left="555"/>
              <w:rPr>
                <w:rFonts w:ascii="宋体" w:hAnsi="宋体" w:eastAsia="宋体" w:cs="宋体"/>
                <w:sz w:val="21"/>
                <w:szCs w:val="21"/>
              </w:rPr>
            </w:pPr>
            <w:r>
              <w:rPr>
                <w:rFonts w:ascii="宋体" w:hAnsi="宋体" w:eastAsia="宋体" w:cs="宋体"/>
                <w:spacing w:val="-3"/>
                <w:sz w:val="21"/>
                <w:szCs w:val="21"/>
              </w:rPr>
              <w:t>6.6</w:t>
            </w:r>
          </w:p>
        </w:tc>
        <w:tc>
          <w:tcPr>
            <w:tcW w:w="1039" w:type="dxa"/>
            <w:vAlign w:val="top"/>
          </w:tcPr>
          <w:p w14:paraId="141418EA">
            <w:pPr>
              <w:spacing w:before="134"/>
              <w:ind w:left="352"/>
              <w:rPr>
                <w:rFonts w:ascii="宋体" w:hAnsi="宋体" w:eastAsia="宋体" w:cs="宋体"/>
                <w:sz w:val="21"/>
                <w:szCs w:val="21"/>
              </w:rPr>
            </w:pPr>
            <w:r>
              <w:rPr>
                <w:rFonts w:ascii="宋体" w:hAnsi="宋体" w:eastAsia="宋体" w:cs="宋体"/>
                <w:spacing w:val="-3"/>
                <w:sz w:val="21"/>
                <w:szCs w:val="21"/>
              </w:rPr>
              <w:t>206</w:t>
            </w:r>
          </w:p>
        </w:tc>
        <w:tc>
          <w:tcPr>
            <w:tcW w:w="2517" w:type="dxa"/>
            <w:vAlign w:val="top"/>
          </w:tcPr>
          <w:p w14:paraId="29CF873C">
            <w:pPr>
              <w:spacing w:before="113" w:line="219" w:lineRule="auto"/>
              <w:ind w:left="83"/>
              <w:rPr>
                <w:rFonts w:ascii="宋体" w:hAnsi="宋体" w:eastAsia="宋体" w:cs="宋体"/>
                <w:sz w:val="21"/>
                <w:szCs w:val="21"/>
              </w:rPr>
            </w:pPr>
            <w:r>
              <w:rPr>
                <w:rFonts w:ascii="宋体" w:hAnsi="宋体" w:eastAsia="宋体" w:cs="宋体"/>
                <w:spacing w:val="-2"/>
                <w:sz w:val="21"/>
                <w:szCs w:val="21"/>
              </w:rPr>
              <w:t>测试性增长管理</w:t>
            </w:r>
          </w:p>
        </w:tc>
        <w:tc>
          <w:tcPr>
            <w:tcW w:w="829" w:type="dxa"/>
            <w:vAlign w:val="top"/>
          </w:tcPr>
          <w:p w14:paraId="50730356">
            <w:pPr>
              <w:spacing w:before="156"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6FE51C1C">
            <w:pPr>
              <w:spacing w:before="134"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63160151">
            <w:pPr>
              <w:spacing w:before="134"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6C1C0E47">
            <w:pPr>
              <w:spacing w:before="134" w:line="237" w:lineRule="auto"/>
              <w:ind w:left="489"/>
              <w:rPr>
                <w:rFonts w:ascii="宋体" w:hAnsi="宋体" w:eastAsia="宋体" w:cs="宋体"/>
                <w:sz w:val="21"/>
                <w:szCs w:val="21"/>
              </w:rPr>
            </w:pPr>
            <w:r>
              <w:rPr>
                <w:rFonts w:ascii="宋体" w:hAnsi="宋体" w:eastAsia="宋体" w:cs="宋体"/>
                <w:sz w:val="21"/>
                <w:szCs w:val="21"/>
              </w:rPr>
              <w:t>△</w:t>
            </w:r>
          </w:p>
        </w:tc>
      </w:tr>
      <w:tr w14:paraId="636E1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453" w:type="dxa"/>
            <w:vAlign w:val="top"/>
          </w:tcPr>
          <w:p w14:paraId="5280083A">
            <w:pPr>
              <w:spacing w:before="154" w:line="239" w:lineRule="auto"/>
              <w:ind w:left="555"/>
              <w:rPr>
                <w:rFonts w:ascii="宋体" w:hAnsi="宋体" w:eastAsia="宋体" w:cs="宋体"/>
                <w:sz w:val="21"/>
                <w:szCs w:val="21"/>
              </w:rPr>
            </w:pPr>
            <w:r>
              <w:rPr>
                <w:rFonts w:ascii="宋体" w:hAnsi="宋体" w:eastAsia="宋体" w:cs="宋体"/>
                <w:spacing w:val="-3"/>
                <w:sz w:val="21"/>
                <w:szCs w:val="21"/>
              </w:rPr>
              <w:t>7.1</w:t>
            </w:r>
          </w:p>
        </w:tc>
        <w:tc>
          <w:tcPr>
            <w:tcW w:w="1039" w:type="dxa"/>
            <w:vAlign w:val="top"/>
          </w:tcPr>
          <w:p w14:paraId="723D7376">
            <w:pPr>
              <w:spacing w:before="154"/>
              <w:ind w:left="352"/>
              <w:rPr>
                <w:rFonts w:ascii="宋体" w:hAnsi="宋体" w:eastAsia="宋体" w:cs="宋体"/>
                <w:sz w:val="21"/>
                <w:szCs w:val="21"/>
              </w:rPr>
            </w:pPr>
            <w:r>
              <w:rPr>
                <w:rFonts w:ascii="宋体" w:hAnsi="宋体" w:eastAsia="宋体" w:cs="宋体"/>
                <w:spacing w:val="-3"/>
                <w:sz w:val="21"/>
                <w:szCs w:val="21"/>
              </w:rPr>
              <w:t>301</w:t>
            </w:r>
          </w:p>
        </w:tc>
        <w:tc>
          <w:tcPr>
            <w:tcW w:w="2517" w:type="dxa"/>
            <w:vAlign w:val="top"/>
          </w:tcPr>
          <w:p w14:paraId="796CAD89">
            <w:pPr>
              <w:spacing w:before="133" w:line="219" w:lineRule="auto"/>
              <w:ind w:left="83"/>
              <w:rPr>
                <w:rFonts w:ascii="宋体" w:hAnsi="宋体" w:eastAsia="宋体" w:cs="宋体"/>
                <w:sz w:val="21"/>
                <w:szCs w:val="21"/>
              </w:rPr>
            </w:pPr>
            <w:r>
              <w:rPr>
                <w:rFonts w:ascii="宋体" w:hAnsi="宋体" w:eastAsia="宋体" w:cs="宋体"/>
                <w:spacing w:val="1"/>
                <w:sz w:val="21"/>
                <w:szCs w:val="21"/>
              </w:rPr>
              <w:t>建立测试性模型</w:t>
            </w:r>
          </w:p>
        </w:tc>
        <w:tc>
          <w:tcPr>
            <w:tcW w:w="829" w:type="dxa"/>
            <w:vAlign w:val="top"/>
          </w:tcPr>
          <w:p w14:paraId="504CC2DE">
            <w:pPr>
              <w:spacing w:before="175" w:line="237" w:lineRule="auto"/>
              <w:ind w:left="336"/>
              <w:rPr>
                <w:rFonts w:ascii="宋体" w:hAnsi="宋体" w:eastAsia="宋体" w:cs="宋体"/>
                <w:sz w:val="15"/>
                <w:szCs w:val="15"/>
              </w:rPr>
            </w:pPr>
            <w:r>
              <w:rPr>
                <w:rFonts w:ascii="宋体" w:hAnsi="宋体" w:eastAsia="宋体" w:cs="宋体"/>
                <w:sz w:val="15"/>
                <w:szCs w:val="15"/>
              </w:rPr>
              <w:t>△</w:t>
            </w:r>
          </w:p>
        </w:tc>
        <w:tc>
          <w:tcPr>
            <w:tcW w:w="1049" w:type="dxa"/>
            <w:vAlign w:val="top"/>
          </w:tcPr>
          <w:p w14:paraId="2901AD9D">
            <w:pPr>
              <w:spacing w:before="154"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2300D971">
            <w:pPr>
              <w:spacing w:before="154"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759185AE">
            <w:pPr>
              <w:spacing w:before="174" w:line="188" w:lineRule="exact"/>
              <w:ind w:left="529"/>
              <w:rPr>
                <w:rFonts w:ascii="宋体" w:hAnsi="宋体" w:eastAsia="宋体" w:cs="宋体"/>
                <w:sz w:val="14"/>
                <w:szCs w:val="14"/>
              </w:rPr>
            </w:pPr>
            <w:r>
              <w:rPr>
                <w:rFonts w:ascii="宋体" w:hAnsi="宋体" w:eastAsia="宋体" w:cs="宋体"/>
                <w:position w:val="1"/>
                <w:sz w:val="14"/>
                <w:szCs w:val="14"/>
              </w:rPr>
              <w:t>×</w:t>
            </w:r>
          </w:p>
        </w:tc>
      </w:tr>
      <w:tr w14:paraId="348B4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453" w:type="dxa"/>
            <w:vAlign w:val="top"/>
          </w:tcPr>
          <w:p w14:paraId="76E2EE46">
            <w:pPr>
              <w:spacing w:before="145" w:line="239" w:lineRule="auto"/>
              <w:ind w:left="555"/>
              <w:rPr>
                <w:rFonts w:ascii="宋体" w:hAnsi="宋体" w:eastAsia="宋体" w:cs="宋体"/>
                <w:sz w:val="21"/>
                <w:szCs w:val="21"/>
              </w:rPr>
            </w:pPr>
            <w:r>
              <w:rPr>
                <w:rFonts w:ascii="宋体" w:hAnsi="宋体" w:eastAsia="宋体" w:cs="宋体"/>
                <w:spacing w:val="-3"/>
                <w:sz w:val="21"/>
                <w:szCs w:val="21"/>
              </w:rPr>
              <w:t>7.2</w:t>
            </w:r>
          </w:p>
        </w:tc>
        <w:tc>
          <w:tcPr>
            <w:tcW w:w="1039" w:type="dxa"/>
            <w:vAlign w:val="top"/>
          </w:tcPr>
          <w:p w14:paraId="2B416994">
            <w:pPr>
              <w:spacing w:before="145"/>
              <w:ind w:left="352"/>
              <w:rPr>
                <w:rFonts w:ascii="宋体" w:hAnsi="宋体" w:eastAsia="宋体" w:cs="宋体"/>
                <w:sz w:val="21"/>
                <w:szCs w:val="21"/>
              </w:rPr>
            </w:pPr>
            <w:r>
              <w:rPr>
                <w:rFonts w:ascii="宋体" w:hAnsi="宋体" w:eastAsia="宋体" w:cs="宋体"/>
                <w:spacing w:val="-3"/>
                <w:sz w:val="21"/>
                <w:szCs w:val="21"/>
              </w:rPr>
              <w:t>302</w:t>
            </w:r>
          </w:p>
        </w:tc>
        <w:tc>
          <w:tcPr>
            <w:tcW w:w="2517" w:type="dxa"/>
            <w:vAlign w:val="top"/>
          </w:tcPr>
          <w:p w14:paraId="20CA8CAE">
            <w:pPr>
              <w:spacing w:before="125" w:line="220" w:lineRule="auto"/>
              <w:ind w:left="83"/>
              <w:rPr>
                <w:rFonts w:ascii="宋体" w:hAnsi="宋体" w:eastAsia="宋体" w:cs="宋体"/>
                <w:sz w:val="21"/>
                <w:szCs w:val="21"/>
              </w:rPr>
            </w:pPr>
            <w:r>
              <w:rPr>
                <w:rFonts w:ascii="宋体" w:hAnsi="宋体" w:eastAsia="宋体" w:cs="宋体"/>
                <w:spacing w:val="-2"/>
                <w:sz w:val="21"/>
                <w:szCs w:val="21"/>
              </w:rPr>
              <w:t>测试性分配</w:t>
            </w:r>
          </w:p>
        </w:tc>
        <w:tc>
          <w:tcPr>
            <w:tcW w:w="829" w:type="dxa"/>
            <w:vAlign w:val="top"/>
          </w:tcPr>
          <w:p w14:paraId="1E513231">
            <w:pPr>
              <w:spacing w:before="167" w:line="237" w:lineRule="auto"/>
              <w:ind w:left="336"/>
              <w:rPr>
                <w:rFonts w:ascii="宋体" w:hAnsi="宋体" w:eastAsia="宋体" w:cs="宋体"/>
                <w:sz w:val="15"/>
                <w:szCs w:val="15"/>
              </w:rPr>
            </w:pPr>
            <w:r>
              <w:rPr>
                <w:rFonts w:ascii="宋体" w:hAnsi="宋体" w:eastAsia="宋体" w:cs="宋体"/>
                <w:sz w:val="15"/>
                <w:szCs w:val="15"/>
              </w:rPr>
              <w:t>△</w:t>
            </w:r>
          </w:p>
        </w:tc>
        <w:tc>
          <w:tcPr>
            <w:tcW w:w="1049" w:type="dxa"/>
            <w:vAlign w:val="top"/>
          </w:tcPr>
          <w:p w14:paraId="31AEFB3B">
            <w:pPr>
              <w:spacing w:before="145"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7BABBFC6">
            <w:pPr>
              <w:spacing w:before="145"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324F61B5">
            <w:pPr>
              <w:spacing w:before="167" w:line="201" w:lineRule="exact"/>
              <w:ind w:left="519"/>
              <w:rPr>
                <w:rFonts w:ascii="宋体" w:hAnsi="宋体" w:eastAsia="宋体" w:cs="宋体"/>
                <w:sz w:val="15"/>
                <w:szCs w:val="15"/>
              </w:rPr>
            </w:pPr>
            <w:r>
              <w:rPr>
                <w:rFonts w:ascii="宋体" w:hAnsi="宋体" w:eastAsia="宋体" w:cs="宋体"/>
                <w:position w:val="1"/>
                <w:sz w:val="15"/>
                <w:szCs w:val="15"/>
              </w:rPr>
              <w:t>×</w:t>
            </w:r>
          </w:p>
        </w:tc>
      </w:tr>
      <w:tr w14:paraId="763B1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453" w:type="dxa"/>
            <w:vAlign w:val="top"/>
          </w:tcPr>
          <w:p w14:paraId="3DF9D2D7">
            <w:pPr>
              <w:spacing w:before="145" w:line="239" w:lineRule="auto"/>
              <w:ind w:left="555"/>
              <w:rPr>
                <w:rFonts w:ascii="宋体" w:hAnsi="宋体" w:eastAsia="宋体" w:cs="宋体"/>
                <w:sz w:val="21"/>
                <w:szCs w:val="21"/>
              </w:rPr>
            </w:pPr>
            <w:r>
              <w:rPr>
                <w:rFonts w:ascii="宋体" w:hAnsi="宋体" w:eastAsia="宋体" w:cs="宋体"/>
                <w:spacing w:val="-3"/>
                <w:sz w:val="21"/>
                <w:szCs w:val="21"/>
              </w:rPr>
              <w:t>7.3</w:t>
            </w:r>
          </w:p>
        </w:tc>
        <w:tc>
          <w:tcPr>
            <w:tcW w:w="1039" w:type="dxa"/>
            <w:vAlign w:val="top"/>
          </w:tcPr>
          <w:p w14:paraId="5ED41FAC">
            <w:pPr>
              <w:spacing w:before="145"/>
              <w:ind w:left="352"/>
              <w:rPr>
                <w:rFonts w:ascii="宋体" w:hAnsi="宋体" w:eastAsia="宋体" w:cs="宋体"/>
                <w:sz w:val="21"/>
                <w:szCs w:val="21"/>
              </w:rPr>
            </w:pPr>
            <w:r>
              <w:rPr>
                <w:rFonts w:ascii="宋体" w:hAnsi="宋体" w:eastAsia="宋体" w:cs="宋体"/>
                <w:spacing w:val="-3"/>
                <w:sz w:val="21"/>
                <w:szCs w:val="21"/>
              </w:rPr>
              <w:t>303</w:t>
            </w:r>
          </w:p>
        </w:tc>
        <w:tc>
          <w:tcPr>
            <w:tcW w:w="2517" w:type="dxa"/>
            <w:vAlign w:val="top"/>
          </w:tcPr>
          <w:p w14:paraId="4F393E2B">
            <w:pPr>
              <w:spacing w:before="125" w:line="220" w:lineRule="auto"/>
              <w:ind w:left="83"/>
              <w:rPr>
                <w:rFonts w:ascii="宋体" w:hAnsi="宋体" w:eastAsia="宋体" w:cs="宋体"/>
                <w:sz w:val="21"/>
                <w:szCs w:val="21"/>
              </w:rPr>
            </w:pPr>
            <w:r>
              <w:rPr>
                <w:rFonts w:ascii="宋体" w:hAnsi="宋体" w:eastAsia="宋体" w:cs="宋体"/>
                <w:spacing w:val="-2"/>
                <w:sz w:val="21"/>
                <w:szCs w:val="21"/>
              </w:rPr>
              <w:t>测试性预计</w:t>
            </w:r>
          </w:p>
        </w:tc>
        <w:tc>
          <w:tcPr>
            <w:tcW w:w="829" w:type="dxa"/>
            <w:vAlign w:val="top"/>
          </w:tcPr>
          <w:p w14:paraId="05822F42">
            <w:pPr>
              <w:spacing w:before="167"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55554323">
            <w:pPr>
              <w:spacing w:before="145" w:line="237"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665D658C">
            <w:pPr>
              <w:spacing w:before="145"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6C477A16">
            <w:pPr>
              <w:spacing w:before="167" w:line="201" w:lineRule="exact"/>
              <w:ind w:left="519"/>
              <w:rPr>
                <w:rFonts w:ascii="宋体" w:hAnsi="宋体" w:eastAsia="宋体" w:cs="宋体"/>
                <w:sz w:val="15"/>
                <w:szCs w:val="15"/>
              </w:rPr>
            </w:pPr>
            <w:r>
              <w:rPr>
                <w:rFonts w:ascii="宋体" w:hAnsi="宋体" w:eastAsia="宋体" w:cs="宋体"/>
                <w:position w:val="1"/>
                <w:sz w:val="15"/>
                <w:szCs w:val="15"/>
              </w:rPr>
              <w:t>×</w:t>
            </w:r>
          </w:p>
        </w:tc>
      </w:tr>
      <w:tr w14:paraId="20A5E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453" w:type="dxa"/>
            <w:vAlign w:val="top"/>
          </w:tcPr>
          <w:p w14:paraId="6E15669E">
            <w:pPr>
              <w:pStyle w:val="6"/>
              <w:spacing w:line="275" w:lineRule="auto"/>
            </w:pPr>
          </w:p>
          <w:p w14:paraId="039A0E52">
            <w:pPr>
              <w:spacing w:before="68" w:line="239" w:lineRule="auto"/>
              <w:ind w:left="555"/>
              <w:rPr>
                <w:rFonts w:ascii="宋体" w:hAnsi="宋体" w:eastAsia="宋体" w:cs="宋体"/>
                <w:sz w:val="21"/>
                <w:szCs w:val="21"/>
              </w:rPr>
            </w:pPr>
            <w:r>
              <w:rPr>
                <w:rFonts w:ascii="宋体" w:hAnsi="宋体" w:eastAsia="宋体" w:cs="宋体"/>
                <w:spacing w:val="-3"/>
                <w:sz w:val="21"/>
                <w:szCs w:val="21"/>
              </w:rPr>
              <w:t>7.4</w:t>
            </w:r>
          </w:p>
        </w:tc>
        <w:tc>
          <w:tcPr>
            <w:tcW w:w="1039" w:type="dxa"/>
            <w:vAlign w:val="top"/>
          </w:tcPr>
          <w:p w14:paraId="41A51189">
            <w:pPr>
              <w:pStyle w:val="6"/>
              <w:spacing w:line="275" w:lineRule="auto"/>
            </w:pPr>
          </w:p>
          <w:p w14:paraId="17741F5D">
            <w:pPr>
              <w:spacing w:before="68"/>
              <w:ind w:left="352"/>
              <w:rPr>
                <w:rFonts w:ascii="宋体" w:hAnsi="宋体" w:eastAsia="宋体" w:cs="宋体"/>
                <w:sz w:val="21"/>
                <w:szCs w:val="21"/>
              </w:rPr>
            </w:pPr>
            <w:r>
              <w:rPr>
                <w:rFonts w:ascii="宋体" w:hAnsi="宋体" w:eastAsia="宋体" w:cs="宋体"/>
                <w:spacing w:val="-3"/>
                <w:sz w:val="21"/>
                <w:szCs w:val="21"/>
              </w:rPr>
              <w:t>304</w:t>
            </w:r>
          </w:p>
        </w:tc>
        <w:tc>
          <w:tcPr>
            <w:tcW w:w="2517" w:type="dxa"/>
            <w:vAlign w:val="top"/>
          </w:tcPr>
          <w:p w14:paraId="317BCA70">
            <w:pPr>
              <w:spacing w:before="153" w:line="297" w:lineRule="auto"/>
              <w:ind w:left="83" w:right="125"/>
              <w:rPr>
                <w:rFonts w:ascii="宋体" w:hAnsi="宋体" w:eastAsia="宋体" w:cs="宋体"/>
                <w:sz w:val="21"/>
                <w:szCs w:val="21"/>
              </w:rPr>
            </w:pPr>
            <w:r>
              <w:rPr>
                <w:rFonts w:ascii="宋体" w:hAnsi="宋体" w:eastAsia="宋体" w:cs="宋体"/>
                <w:spacing w:val="-2"/>
                <w:sz w:val="21"/>
                <w:szCs w:val="21"/>
              </w:rPr>
              <w:t>故障模式、影响及危害性</w:t>
            </w:r>
            <w:r>
              <w:rPr>
                <w:rFonts w:ascii="宋体" w:hAnsi="宋体" w:eastAsia="宋体" w:cs="宋体"/>
                <w:spacing w:val="9"/>
                <w:sz w:val="21"/>
                <w:szCs w:val="21"/>
              </w:rPr>
              <w:t xml:space="preserve"> </w:t>
            </w:r>
            <w:r>
              <w:rPr>
                <w:rFonts w:ascii="宋体" w:hAnsi="宋体" w:eastAsia="宋体" w:cs="宋体"/>
                <w:spacing w:val="-16"/>
                <w:w w:val="98"/>
                <w:sz w:val="21"/>
                <w:szCs w:val="21"/>
              </w:rPr>
              <w:t>分析——测试性信息</w:t>
            </w:r>
          </w:p>
        </w:tc>
        <w:tc>
          <w:tcPr>
            <w:tcW w:w="829" w:type="dxa"/>
            <w:vAlign w:val="top"/>
          </w:tcPr>
          <w:p w14:paraId="2D1C0892">
            <w:pPr>
              <w:pStyle w:val="6"/>
              <w:spacing w:line="316" w:lineRule="auto"/>
            </w:pPr>
          </w:p>
          <w:p w14:paraId="5BF57D91">
            <w:pPr>
              <w:spacing w:before="4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7C84CFBD">
            <w:pPr>
              <w:pStyle w:val="6"/>
              <w:spacing w:line="275" w:lineRule="auto"/>
            </w:pPr>
          </w:p>
          <w:p w14:paraId="78A569EA">
            <w:pPr>
              <w:spacing w:before="68" w:line="238"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706FAD5C">
            <w:pPr>
              <w:pStyle w:val="6"/>
              <w:spacing w:line="275" w:lineRule="auto"/>
            </w:pPr>
          </w:p>
          <w:p w14:paraId="154AC192">
            <w:pPr>
              <w:spacing w:before="68"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6C89E418">
            <w:pPr>
              <w:pStyle w:val="6"/>
              <w:spacing w:line="316" w:lineRule="auto"/>
            </w:pPr>
          </w:p>
          <w:p w14:paraId="56EB19BE">
            <w:pPr>
              <w:spacing w:before="49" w:line="201" w:lineRule="exact"/>
              <w:ind w:left="519"/>
              <w:rPr>
                <w:rFonts w:ascii="宋体" w:hAnsi="宋体" w:eastAsia="宋体" w:cs="宋体"/>
                <w:sz w:val="15"/>
                <w:szCs w:val="15"/>
              </w:rPr>
            </w:pPr>
            <w:r>
              <w:rPr>
                <w:rFonts w:ascii="宋体" w:hAnsi="宋体" w:eastAsia="宋体" w:cs="宋体"/>
                <w:position w:val="1"/>
                <w:sz w:val="15"/>
                <w:szCs w:val="15"/>
              </w:rPr>
              <w:t>×</w:t>
            </w:r>
          </w:p>
        </w:tc>
      </w:tr>
      <w:tr w14:paraId="49C1D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453" w:type="dxa"/>
            <w:vAlign w:val="top"/>
          </w:tcPr>
          <w:p w14:paraId="3A1EB525">
            <w:pPr>
              <w:spacing w:before="146" w:line="239" w:lineRule="auto"/>
              <w:ind w:left="555"/>
              <w:rPr>
                <w:rFonts w:ascii="宋体" w:hAnsi="宋体" w:eastAsia="宋体" w:cs="宋体"/>
                <w:sz w:val="21"/>
                <w:szCs w:val="21"/>
              </w:rPr>
            </w:pPr>
            <w:r>
              <w:rPr>
                <w:rFonts w:ascii="宋体" w:hAnsi="宋体" w:eastAsia="宋体" w:cs="宋体"/>
                <w:spacing w:val="-3"/>
                <w:sz w:val="21"/>
                <w:szCs w:val="21"/>
              </w:rPr>
              <w:t>7.5</w:t>
            </w:r>
          </w:p>
        </w:tc>
        <w:tc>
          <w:tcPr>
            <w:tcW w:w="1039" w:type="dxa"/>
            <w:vAlign w:val="top"/>
          </w:tcPr>
          <w:p w14:paraId="06CE3A87">
            <w:pPr>
              <w:spacing w:before="146"/>
              <w:ind w:left="352"/>
              <w:rPr>
                <w:rFonts w:ascii="宋体" w:hAnsi="宋体" w:eastAsia="宋体" w:cs="宋体"/>
                <w:sz w:val="21"/>
                <w:szCs w:val="21"/>
              </w:rPr>
            </w:pPr>
            <w:r>
              <w:rPr>
                <w:rFonts w:ascii="宋体" w:hAnsi="宋体" w:eastAsia="宋体" w:cs="宋体"/>
                <w:spacing w:val="-3"/>
                <w:sz w:val="21"/>
                <w:szCs w:val="21"/>
              </w:rPr>
              <w:t>305</w:t>
            </w:r>
          </w:p>
        </w:tc>
        <w:tc>
          <w:tcPr>
            <w:tcW w:w="2517" w:type="dxa"/>
            <w:vAlign w:val="top"/>
          </w:tcPr>
          <w:p w14:paraId="45C3150A">
            <w:pPr>
              <w:spacing w:before="126" w:line="220" w:lineRule="auto"/>
              <w:ind w:left="83"/>
              <w:rPr>
                <w:rFonts w:ascii="宋体" w:hAnsi="宋体" w:eastAsia="宋体" w:cs="宋体"/>
                <w:sz w:val="21"/>
                <w:szCs w:val="21"/>
              </w:rPr>
            </w:pPr>
            <w:r>
              <w:rPr>
                <w:rFonts w:ascii="宋体" w:hAnsi="宋体" w:eastAsia="宋体" w:cs="宋体"/>
                <w:spacing w:val="2"/>
                <w:sz w:val="21"/>
                <w:szCs w:val="21"/>
              </w:rPr>
              <w:t>制定测试性设计准则</w:t>
            </w:r>
          </w:p>
        </w:tc>
        <w:tc>
          <w:tcPr>
            <w:tcW w:w="829" w:type="dxa"/>
            <w:vAlign w:val="top"/>
          </w:tcPr>
          <w:p w14:paraId="5633D38E">
            <w:pPr>
              <w:spacing w:before="168"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03E46331">
            <w:pPr>
              <w:spacing w:before="146" w:line="237"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4DFE861D">
            <w:pPr>
              <w:spacing w:before="146"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330512C0">
            <w:pPr>
              <w:spacing w:before="166" w:line="188" w:lineRule="exact"/>
              <w:ind w:left="529"/>
              <w:rPr>
                <w:rFonts w:ascii="宋体" w:hAnsi="宋体" w:eastAsia="宋体" w:cs="宋体"/>
                <w:sz w:val="14"/>
                <w:szCs w:val="14"/>
              </w:rPr>
            </w:pPr>
            <w:r>
              <w:rPr>
                <w:rFonts w:ascii="宋体" w:hAnsi="宋体" w:eastAsia="宋体" w:cs="宋体"/>
                <w:position w:val="1"/>
                <w:sz w:val="14"/>
                <w:szCs w:val="14"/>
              </w:rPr>
              <w:t>×</w:t>
            </w:r>
          </w:p>
        </w:tc>
      </w:tr>
      <w:tr w14:paraId="263C3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453" w:type="dxa"/>
            <w:vAlign w:val="top"/>
          </w:tcPr>
          <w:p w14:paraId="5255540A">
            <w:pPr>
              <w:spacing w:before="146" w:line="239" w:lineRule="auto"/>
              <w:ind w:left="555"/>
              <w:rPr>
                <w:rFonts w:ascii="宋体" w:hAnsi="宋体" w:eastAsia="宋体" w:cs="宋体"/>
                <w:sz w:val="21"/>
                <w:szCs w:val="21"/>
              </w:rPr>
            </w:pPr>
            <w:r>
              <w:rPr>
                <w:rFonts w:ascii="宋体" w:hAnsi="宋体" w:eastAsia="宋体" w:cs="宋体"/>
                <w:spacing w:val="-3"/>
                <w:sz w:val="21"/>
                <w:szCs w:val="21"/>
              </w:rPr>
              <w:t>7.6</w:t>
            </w:r>
          </w:p>
        </w:tc>
        <w:tc>
          <w:tcPr>
            <w:tcW w:w="1039" w:type="dxa"/>
            <w:vAlign w:val="top"/>
          </w:tcPr>
          <w:p w14:paraId="5875FB49">
            <w:pPr>
              <w:spacing w:before="146"/>
              <w:ind w:left="352"/>
              <w:rPr>
                <w:rFonts w:ascii="宋体" w:hAnsi="宋体" w:eastAsia="宋体" w:cs="宋体"/>
                <w:sz w:val="21"/>
                <w:szCs w:val="21"/>
              </w:rPr>
            </w:pPr>
            <w:r>
              <w:rPr>
                <w:rFonts w:ascii="宋体" w:hAnsi="宋体" w:eastAsia="宋体" w:cs="宋体"/>
                <w:spacing w:val="-3"/>
                <w:sz w:val="21"/>
                <w:szCs w:val="21"/>
              </w:rPr>
              <w:t>306</w:t>
            </w:r>
          </w:p>
        </w:tc>
        <w:tc>
          <w:tcPr>
            <w:tcW w:w="2517" w:type="dxa"/>
            <w:vAlign w:val="top"/>
          </w:tcPr>
          <w:p w14:paraId="5FB385A9">
            <w:pPr>
              <w:spacing w:before="126" w:line="220" w:lineRule="auto"/>
              <w:ind w:left="83"/>
              <w:rPr>
                <w:rFonts w:ascii="宋体" w:hAnsi="宋体" w:eastAsia="宋体" w:cs="宋体"/>
                <w:sz w:val="21"/>
                <w:szCs w:val="21"/>
              </w:rPr>
            </w:pPr>
            <w:r>
              <w:rPr>
                <w:rFonts w:ascii="宋体" w:hAnsi="宋体" w:eastAsia="宋体" w:cs="宋体"/>
                <w:sz w:val="21"/>
                <w:szCs w:val="21"/>
              </w:rPr>
              <w:t>固有测试性设计和分析</w:t>
            </w:r>
          </w:p>
        </w:tc>
        <w:tc>
          <w:tcPr>
            <w:tcW w:w="829" w:type="dxa"/>
            <w:vAlign w:val="top"/>
          </w:tcPr>
          <w:p w14:paraId="44EA5C72">
            <w:pPr>
              <w:spacing w:before="168"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58018732">
            <w:pPr>
              <w:spacing w:before="146" w:line="237"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615F4F69">
            <w:pPr>
              <w:spacing w:before="146"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52C46A4B">
            <w:pPr>
              <w:spacing w:before="146" w:line="237" w:lineRule="auto"/>
              <w:ind w:left="489"/>
              <w:rPr>
                <w:rFonts w:ascii="宋体" w:hAnsi="宋体" w:eastAsia="宋体" w:cs="宋体"/>
                <w:sz w:val="21"/>
                <w:szCs w:val="21"/>
              </w:rPr>
            </w:pPr>
            <w:r>
              <w:rPr>
                <w:rFonts w:ascii="宋体" w:hAnsi="宋体" w:eastAsia="宋体" w:cs="宋体"/>
                <w:sz w:val="21"/>
                <w:szCs w:val="21"/>
              </w:rPr>
              <w:t>△</w:t>
            </w:r>
          </w:p>
        </w:tc>
      </w:tr>
      <w:tr w14:paraId="2883B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453" w:type="dxa"/>
            <w:vAlign w:val="top"/>
          </w:tcPr>
          <w:p w14:paraId="41D58333">
            <w:pPr>
              <w:spacing w:before="146" w:line="239" w:lineRule="auto"/>
              <w:ind w:left="555"/>
              <w:rPr>
                <w:rFonts w:ascii="宋体" w:hAnsi="宋体" w:eastAsia="宋体" w:cs="宋体"/>
                <w:sz w:val="21"/>
                <w:szCs w:val="21"/>
              </w:rPr>
            </w:pPr>
            <w:r>
              <w:rPr>
                <w:rFonts w:ascii="宋体" w:hAnsi="宋体" w:eastAsia="宋体" w:cs="宋体"/>
                <w:spacing w:val="-3"/>
                <w:sz w:val="21"/>
                <w:szCs w:val="21"/>
              </w:rPr>
              <w:t>7.7</w:t>
            </w:r>
          </w:p>
        </w:tc>
        <w:tc>
          <w:tcPr>
            <w:tcW w:w="1039" w:type="dxa"/>
            <w:vAlign w:val="top"/>
          </w:tcPr>
          <w:p w14:paraId="642AC4DC">
            <w:pPr>
              <w:spacing w:before="146"/>
              <w:ind w:left="352"/>
              <w:rPr>
                <w:rFonts w:ascii="宋体" w:hAnsi="宋体" w:eastAsia="宋体" w:cs="宋体"/>
                <w:sz w:val="21"/>
                <w:szCs w:val="21"/>
              </w:rPr>
            </w:pPr>
            <w:r>
              <w:rPr>
                <w:rFonts w:ascii="宋体" w:hAnsi="宋体" w:eastAsia="宋体" w:cs="宋体"/>
                <w:spacing w:val="-3"/>
                <w:sz w:val="21"/>
                <w:szCs w:val="21"/>
              </w:rPr>
              <w:t>307</w:t>
            </w:r>
          </w:p>
        </w:tc>
        <w:tc>
          <w:tcPr>
            <w:tcW w:w="2517" w:type="dxa"/>
            <w:vAlign w:val="top"/>
          </w:tcPr>
          <w:p w14:paraId="397E9ACE">
            <w:pPr>
              <w:spacing w:before="125" w:line="219" w:lineRule="auto"/>
              <w:ind w:left="83"/>
              <w:rPr>
                <w:rFonts w:ascii="宋体" w:hAnsi="宋体" w:eastAsia="宋体" w:cs="宋体"/>
                <w:sz w:val="21"/>
                <w:szCs w:val="21"/>
              </w:rPr>
            </w:pPr>
            <w:r>
              <w:rPr>
                <w:rFonts w:ascii="宋体" w:hAnsi="宋体" w:eastAsia="宋体" w:cs="宋体"/>
                <w:spacing w:val="-2"/>
                <w:sz w:val="21"/>
                <w:szCs w:val="21"/>
              </w:rPr>
              <w:t>诊断能力设计</w:t>
            </w:r>
          </w:p>
        </w:tc>
        <w:tc>
          <w:tcPr>
            <w:tcW w:w="829" w:type="dxa"/>
            <w:vAlign w:val="top"/>
          </w:tcPr>
          <w:p w14:paraId="4A032213">
            <w:pPr>
              <w:spacing w:before="168"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5FBF82C3">
            <w:pPr>
              <w:spacing w:before="146" w:line="237"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332C1858">
            <w:pPr>
              <w:spacing w:before="146"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49C8991E">
            <w:pPr>
              <w:spacing w:before="146" w:line="237" w:lineRule="auto"/>
              <w:ind w:left="489"/>
              <w:rPr>
                <w:rFonts w:ascii="宋体" w:hAnsi="宋体" w:eastAsia="宋体" w:cs="宋体"/>
                <w:sz w:val="21"/>
                <w:szCs w:val="21"/>
              </w:rPr>
            </w:pPr>
            <w:r>
              <w:rPr>
                <w:rFonts w:ascii="宋体" w:hAnsi="宋体" w:eastAsia="宋体" w:cs="宋体"/>
                <w:sz w:val="21"/>
                <w:szCs w:val="21"/>
              </w:rPr>
              <w:t>△</w:t>
            </w:r>
          </w:p>
        </w:tc>
      </w:tr>
      <w:tr w14:paraId="17908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453" w:type="dxa"/>
            <w:vAlign w:val="top"/>
          </w:tcPr>
          <w:p w14:paraId="0CE9271A">
            <w:pPr>
              <w:spacing w:before="147" w:line="239" w:lineRule="auto"/>
              <w:ind w:left="555"/>
              <w:rPr>
                <w:rFonts w:ascii="宋体" w:hAnsi="宋体" w:eastAsia="宋体" w:cs="宋体"/>
                <w:sz w:val="21"/>
                <w:szCs w:val="21"/>
              </w:rPr>
            </w:pPr>
            <w:r>
              <w:rPr>
                <w:rFonts w:ascii="宋体" w:hAnsi="宋体" w:eastAsia="宋体" w:cs="宋体"/>
                <w:spacing w:val="-3"/>
                <w:sz w:val="21"/>
                <w:szCs w:val="21"/>
              </w:rPr>
              <w:t>8.1</w:t>
            </w:r>
          </w:p>
        </w:tc>
        <w:tc>
          <w:tcPr>
            <w:tcW w:w="1039" w:type="dxa"/>
            <w:vAlign w:val="top"/>
          </w:tcPr>
          <w:p w14:paraId="0A203D4A">
            <w:pPr>
              <w:spacing w:before="147"/>
              <w:ind w:left="352"/>
              <w:rPr>
                <w:rFonts w:ascii="宋体" w:hAnsi="宋体" w:eastAsia="宋体" w:cs="宋体"/>
                <w:sz w:val="21"/>
                <w:szCs w:val="21"/>
              </w:rPr>
            </w:pPr>
            <w:r>
              <w:rPr>
                <w:rFonts w:ascii="宋体" w:hAnsi="宋体" w:eastAsia="宋体" w:cs="宋体"/>
                <w:spacing w:val="-2"/>
                <w:sz w:val="21"/>
                <w:szCs w:val="21"/>
              </w:rPr>
              <w:t>401</w:t>
            </w:r>
          </w:p>
        </w:tc>
        <w:tc>
          <w:tcPr>
            <w:tcW w:w="2517" w:type="dxa"/>
            <w:vAlign w:val="top"/>
          </w:tcPr>
          <w:p w14:paraId="366A7A08">
            <w:pPr>
              <w:spacing w:before="127" w:line="220" w:lineRule="auto"/>
              <w:ind w:left="83"/>
              <w:rPr>
                <w:rFonts w:ascii="宋体" w:hAnsi="宋体" w:eastAsia="宋体" w:cs="宋体"/>
                <w:sz w:val="21"/>
                <w:szCs w:val="21"/>
              </w:rPr>
            </w:pPr>
            <w:r>
              <w:rPr>
                <w:rFonts w:ascii="宋体" w:hAnsi="宋体" w:eastAsia="宋体" w:cs="宋体"/>
                <w:spacing w:val="-2"/>
                <w:sz w:val="21"/>
                <w:szCs w:val="21"/>
              </w:rPr>
              <w:t>测试性核查</w:t>
            </w:r>
          </w:p>
        </w:tc>
        <w:tc>
          <w:tcPr>
            <w:tcW w:w="829" w:type="dxa"/>
            <w:vAlign w:val="top"/>
          </w:tcPr>
          <w:p w14:paraId="75275596">
            <w:pPr>
              <w:spacing w:before="169"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6A4E3470">
            <w:pPr>
              <w:spacing w:before="147" w:line="237"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14D6C52F">
            <w:pPr>
              <w:spacing w:before="147"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2FA0A1FD">
            <w:pPr>
              <w:spacing w:before="169" w:line="201" w:lineRule="exact"/>
              <w:ind w:left="519"/>
              <w:rPr>
                <w:rFonts w:ascii="宋体" w:hAnsi="宋体" w:eastAsia="宋体" w:cs="宋体"/>
                <w:sz w:val="15"/>
                <w:szCs w:val="15"/>
              </w:rPr>
            </w:pPr>
            <w:r>
              <w:rPr>
                <w:rFonts w:ascii="宋体" w:hAnsi="宋体" w:eastAsia="宋体" w:cs="宋体"/>
                <w:position w:val="1"/>
                <w:sz w:val="15"/>
                <w:szCs w:val="15"/>
              </w:rPr>
              <w:t>×</w:t>
            </w:r>
          </w:p>
        </w:tc>
      </w:tr>
      <w:tr w14:paraId="2B947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453" w:type="dxa"/>
            <w:vAlign w:val="top"/>
          </w:tcPr>
          <w:p w14:paraId="48BC4CA0">
            <w:pPr>
              <w:spacing w:before="148" w:line="239" w:lineRule="auto"/>
              <w:ind w:left="555"/>
              <w:rPr>
                <w:rFonts w:ascii="宋体" w:hAnsi="宋体" w:eastAsia="宋体" w:cs="宋体"/>
                <w:sz w:val="21"/>
                <w:szCs w:val="21"/>
              </w:rPr>
            </w:pPr>
            <w:r>
              <w:rPr>
                <w:rFonts w:ascii="宋体" w:hAnsi="宋体" w:eastAsia="宋体" w:cs="宋体"/>
                <w:spacing w:val="-3"/>
                <w:sz w:val="21"/>
                <w:szCs w:val="21"/>
              </w:rPr>
              <w:t>8.2</w:t>
            </w:r>
          </w:p>
        </w:tc>
        <w:tc>
          <w:tcPr>
            <w:tcW w:w="1039" w:type="dxa"/>
            <w:vAlign w:val="top"/>
          </w:tcPr>
          <w:p w14:paraId="4015682B">
            <w:pPr>
              <w:spacing w:before="148"/>
              <w:ind w:left="352"/>
              <w:rPr>
                <w:rFonts w:ascii="宋体" w:hAnsi="宋体" w:eastAsia="宋体" w:cs="宋体"/>
                <w:sz w:val="21"/>
                <w:szCs w:val="21"/>
              </w:rPr>
            </w:pPr>
            <w:r>
              <w:rPr>
                <w:rFonts w:ascii="宋体" w:hAnsi="宋体" w:eastAsia="宋体" w:cs="宋体"/>
                <w:spacing w:val="-2"/>
                <w:sz w:val="21"/>
                <w:szCs w:val="21"/>
              </w:rPr>
              <w:t>402</w:t>
            </w:r>
          </w:p>
        </w:tc>
        <w:tc>
          <w:tcPr>
            <w:tcW w:w="2517" w:type="dxa"/>
            <w:vAlign w:val="top"/>
          </w:tcPr>
          <w:p w14:paraId="36CE39C2">
            <w:pPr>
              <w:spacing w:before="128" w:line="221" w:lineRule="auto"/>
              <w:ind w:left="83"/>
              <w:rPr>
                <w:rFonts w:ascii="宋体" w:hAnsi="宋体" w:eastAsia="宋体" w:cs="宋体"/>
                <w:sz w:val="21"/>
                <w:szCs w:val="21"/>
              </w:rPr>
            </w:pPr>
            <w:r>
              <w:rPr>
                <w:rFonts w:ascii="宋体" w:hAnsi="宋体" w:eastAsia="宋体" w:cs="宋体"/>
                <w:spacing w:val="-2"/>
                <w:sz w:val="21"/>
                <w:szCs w:val="21"/>
              </w:rPr>
              <w:t>测试性验证试验</w:t>
            </w:r>
          </w:p>
        </w:tc>
        <w:tc>
          <w:tcPr>
            <w:tcW w:w="829" w:type="dxa"/>
            <w:vAlign w:val="top"/>
          </w:tcPr>
          <w:p w14:paraId="7D4A1A34">
            <w:pPr>
              <w:spacing w:before="170"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57BEE6A2">
            <w:pPr>
              <w:spacing w:before="148" w:line="237"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354729EE">
            <w:pPr>
              <w:spacing w:before="148"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51810834">
            <w:pPr>
              <w:spacing w:before="148" w:line="237" w:lineRule="auto"/>
              <w:ind w:left="489"/>
              <w:rPr>
                <w:rFonts w:ascii="宋体" w:hAnsi="宋体" w:eastAsia="宋体" w:cs="宋体"/>
                <w:sz w:val="21"/>
                <w:szCs w:val="21"/>
              </w:rPr>
            </w:pPr>
            <w:r>
              <w:rPr>
                <w:rFonts w:ascii="宋体" w:hAnsi="宋体" w:eastAsia="宋体" w:cs="宋体"/>
                <w:sz w:val="21"/>
                <w:szCs w:val="21"/>
              </w:rPr>
              <w:t>△</w:t>
            </w:r>
          </w:p>
        </w:tc>
      </w:tr>
      <w:tr w14:paraId="2AD64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453" w:type="dxa"/>
            <w:vAlign w:val="top"/>
          </w:tcPr>
          <w:p w14:paraId="1CD34F2B">
            <w:pPr>
              <w:spacing w:before="148" w:line="239" w:lineRule="auto"/>
              <w:ind w:left="555"/>
              <w:rPr>
                <w:rFonts w:ascii="宋体" w:hAnsi="宋体" w:eastAsia="宋体" w:cs="宋体"/>
                <w:sz w:val="21"/>
                <w:szCs w:val="21"/>
              </w:rPr>
            </w:pPr>
            <w:r>
              <w:rPr>
                <w:rFonts w:ascii="宋体" w:hAnsi="宋体" w:eastAsia="宋体" w:cs="宋体"/>
                <w:spacing w:val="-3"/>
                <w:sz w:val="21"/>
                <w:szCs w:val="21"/>
              </w:rPr>
              <w:t>8.3</w:t>
            </w:r>
          </w:p>
        </w:tc>
        <w:tc>
          <w:tcPr>
            <w:tcW w:w="1039" w:type="dxa"/>
            <w:vAlign w:val="top"/>
          </w:tcPr>
          <w:p w14:paraId="27DCE10B">
            <w:pPr>
              <w:spacing w:before="148"/>
              <w:ind w:left="352"/>
              <w:rPr>
                <w:rFonts w:ascii="宋体" w:hAnsi="宋体" w:eastAsia="宋体" w:cs="宋体"/>
                <w:sz w:val="21"/>
                <w:szCs w:val="21"/>
              </w:rPr>
            </w:pPr>
            <w:r>
              <w:rPr>
                <w:rFonts w:ascii="宋体" w:hAnsi="宋体" w:eastAsia="宋体" w:cs="宋体"/>
                <w:spacing w:val="-2"/>
                <w:sz w:val="21"/>
                <w:szCs w:val="21"/>
              </w:rPr>
              <w:t>403</w:t>
            </w:r>
          </w:p>
        </w:tc>
        <w:tc>
          <w:tcPr>
            <w:tcW w:w="2517" w:type="dxa"/>
            <w:vAlign w:val="top"/>
          </w:tcPr>
          <w:p w14:paraId="5AE3D777">
            <w:pPr>
              <w:spacing w:before="125" w:line="218" w:lineRule="auto"/>
              <w:ind w:left="83"/>
              <w:rPr>
                <w:rFonts w:ascii="宋体" w:hAnsi="宋体" w:eastAsia="宋体" w:cs="宋体"/>
                <w:sz w:val="21"/>
                <w:szCs w:val="21"/>
              </w:rPr>
            </w:pPr>
            <w:r>
              <w:rPr>
                <w:rFonts w:ascii="宋体" w:hAnsi="宋体" w:eastAsia="宋体" w:cs="宋体"/>
                <w:spacing w:val="-2"/>
                <w:sz w:val="21"/>
                <w:szCs w:val="21"/>
              </w:rPr>
              <w:t>测试性分析评价</w:t>
            </w:r>
          </w:p>
        </w:tc>
        <w:tc>
          <w:tcPr>
            <w:tcW w:w="829" w:type="dxa"/>
            <w:vAlign w:val="top"/>
          </w:tcPr>
          <w:p w14:paraId="12F04C04">
            <w:pPr>
              <w:spacing w:before="170"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6EA4DC4C">
            <w:pPr>
              <w:spacing w:before="148" w:line="237" w:lineRule="auto"/>
              <w:ind w:left="417"/>
              <w:rPr>
                <w:rFonts w:ascii="宋体" w:hAnsi="宋体" w:eastAsia="宋体" w:cs="宋体"/>
                <w:sz w:val="21"/>
                <w:szCs w:val="21"/>
              </w:rPr>
            </w:pPr>
            <w:r>
              <w:rPr>
                <w:rFonts w:ascii="宋体" w:hAnsi="宋体" w:eastAsia="宋体" w:cs="宋体"/>
                <w:sz w:val="21"/>
                <w:szCs w:val="21"/>
              </w:rPr>
              <w:t>△</w:t>
            </w:r>
          </w:p>
        </w:tc>
        <w:tc>
          <w:tcPr>
            <w:tcW w:w="1259" w:type="dxa"/>
            <w:vAlign w:val="top"/>
          </w:tcPr>
          <w:p w14:paraId="09CB72E2">
            <w:pPr>
              <w:spacing w:before="148" w:line="238" w:lineRule="auto"/>
              <w:ind w:left="518"/>
              <w:rPr>
                <w:rFonts w:ascii="宋体" w:hAnsi="宋体" w:eastAsia="宋体" w:cs="宋体"/>
                <w:sz w:val="21"/>
                <w:szCs w:val="21"/>
              </w:rPr>
            </w:pPr>
            <w:r>
              <w:rPr>
                <w:rFonts w:ascii="宋体" w:hAnsi="宋体" w:eastAsia="宋体" w:cs="宋体"/>
                <w:sz w:val="21"/>
                <w:szCs w:val="21"/>
              </w:rPr>
              <w:t>√</w:t>
            </w:r>
          </w:p>
        </w:tc>
        <w:tc>
          <w:tcPr>
            <w:tcW w:w="1204" w:type="dxa"/>
            <w:vAlign w:val="top"/>
          </w:tcPr>
          <w:p w14:paraId="528C19B7">
            <w:pPr>
              <w:spacing w:before="148" w:line="237" w:lineRule="auto"/>
              <w:ind w:left="489"/>
              <w:rPr>
                <w:rFonts w:ascii="宋体" w:hAnsi="宋体" w:eastAsia="宋体" w:cs="宋体"/>
                <w:sz w:val="21"/>
                <w:szCs w:val="21"/>
              </w:rPr>
            </w:pPr>
            <w:r>
              <w:rPr>
                <w:rFonts w:ascii="宋体" w:hAnsi="宋体" w:eastAsia="宋体" w:cs="宋体"/>
                <w:sz w:val="21"/>
                <w:szCs w:val="21"/>
              </w:rPr>
              <w:t>△</w:t>
            </w:r>
          </w:p>
        </w:tc>
      </w:tr>
      <w:tr w14:paraId="75D59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453" w:type="dxa"/>
            <w:vAlign w:val="top"/>
          </w:tcPr>
          <w:p w14:paraId="2F364524">
            <w:pPr>
              <w:spacing w:before="158" w:line="239" w:lineRule="auto"/>
              <w:ind w:left="555"/>
              <w:rPr>
                <w:rFonts w:ascii="宋体" w:hAnsi="宋体" w:eastAsia="宋体" w:cs="宋体"/>
                <w:sz w:val="21"/>
                <w:szCs w:val="21"/>
              </w:rPr>
            </w:pPr>
            <w:r>
              <w:rPr>
                <w:rFonts w:ascii="宋体" w:hAnsi="宋体" w:eastAsia="宋体" w:cs="宋体"/>
                <w:spacing w:val="-3"/>
                <w:sz w:val="21"/>
                <w:szCs w:val="21"/>
              </w:rPr>
              <w:t>9.1</w:t>
            </w:r>
          </w:p>
        </w:tc>
        <w:tc>
          <w:tcPr>
            <w:tcW w:w="1039" w:type="dxa"/>
            <w:vAlign w:val="top"/>
          </w:tcPr>
          <w:p w14:paraId="5DD8164A">
            <w:pPr>
              <w:spacing w:before="158"/>
              <w:ind w:left="352"/>
              <w:rPr>
                <w:rFonts w:ascii="宋体" w:hAnsi="宋体" w:eastAsia="宋体" w:cs="宋体"/>
                <w:sz w:val="21"/>
                <w:szCs w:val="21"/>
              </w:rPr>
            </w:pPr>
            <w:r>
              <w:rPr>
                <w:rFonts w:ascii="宋体" w:hAnsi="宋体" w:eastAsia="宋体" w:cs="宋体"/>
                <w:spacing w:val="-3"/>
                <w:sz w:val="21"/>
                <w:szCs w:val="21"/>
              </w:rPr>
              <w:t>501</w:t>
            </w:r>
          </w:p>
        </w:tc>
        <w:tc>
          <w:tcPr>
            <w:tcW w:w="2517" w:type="dxa"/>
            <w:vAlign w:val="top"/>
          </w:tcPr>
          <w:p w14:paraId="6A934736">
            <w:pPr>
              <w:spacing w:before="137" w:line="219" w:lineRule="auto"/>
              <w:ind w:left="83"/>
              <w:rPr>
                <w:rFonts w:ascii="宋体" w:hAnsi="宋体" w:eastAsia="宋体" w:cs="宋体"/>
                <w:sz w:val="21"/>
                <w:szCs w:val="21"/>
              </w:rPr>
            </w:pPr>
            <w:r>
              <w:rPr>
                <w:rFonts w:ascii="宋体" w:hAnsi="宋体" w:eastAsia="宋体" w:cs="宋体"/>
                <w:spacing w:val="-1"/>
                <w:sz w:val="21"/>
                <w:szCs w:val="21"/>
              </w:rPr>
              <w:t>使用期间测试性信息收集</w:t>
            </w:r>
          </w:p>
        </w:tc>
        <w:tc>
          <w:tcPr>
            <w:tcW w:w="829" w:type="dxa"/>
            <w:vAlign w:val="top"/>
          </w:tcPr>
          <w:p w14:paraId="1440659D">
            <w:pPr>
              <w:spacing w:before="180"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197314CA">
            <w:pPr>
              <w:spacing w:before="178" w:line="188" w:lineRule="exact"/>
              <w:ind w:left="447"/>
              <w:rPr>
                <w:rFonts w:ascii="宋体" w:hAnsi="宋体" w:eastAsia="宋体" w:cs="宋体"/>
                <w:sz w:val="14"/>
                <w:szCs w:val="14"/>
              </w:rPr>
            </w:pPr>
            <w:r>
              <w:rPr>
                <w:rFonts w:ascii="宋体" w:hAnsi="宋体" w:eastAsia="宋体" w:cs="宋体"/>
                <w:position w:val="1"/>
                <w:sz w:val="14"/>
                <w:szCs w:val="14"/>
              </w:rPr>
              <w:t>×</w:t>
            </w:r>
          </w:p>
        </w:tc>
        <w:tc>
          <w:tcPr>
            <w:tcW w:w="1259" w:type="dxa"/>
            <w:vAlign w:val="top"/>
          </w:tcPr>
          <w:p w14:paraId="59D8B877">
            <w:pPr>
              <w:spacing w:before="158" w:line="282" w:lineRule="exact"/>
              <w:ind w:left="518"/>
              <w:rPr>
                <w:rFonts w:ascii="宋体" w:hAnsi="宋体" w:eastAsia="宋体" w:cs="宋体"/>
                <w:sz w:val="21"/>
                <w:szCs w:val="21"/>
              </w:rPr>
            </w:pPr>
            <w:r>
              <w:rPr>
                <w:rFonts w:ascii="宋体" w:hAnsi="宋体" w:eastAsia="宋体" w:cs="宋体"/>
                <w:position w:val="1"/>
                <w:sz w:val="21"/>
                <w:szCs w:val="21"/>
              </w:rPr>
              <w:t>×</w:t>
            </w:r>
          </w:p>
        </w:tc>
        <w:tc>
          <w:tcPr>
            <w:tcW w:w="1204" w:type="dxa"/>
            <w:vAlign w:val="top"/>
          </w:tcPr>
          <w:p w14:paraId="7A456990">
            <w:pPr>
              <w:spacing w:before="158" w:line="238" w:lineRule="auto"/>
              <w:ind w:left="489"/>
              <w:rPr>
                <w:rFonts w:ascii="宋体" w:hAnsi="宋体" w:eastAsia="宋体" w:cs="宋体"/>
                <w:sz w:val="21"/>
                <w:szCs w:val="21"/>
              </w:rPr>
            </w:pPr>
            <w:r>
              <w:rPr>
                <w:rFonts w:ascii="宋体" w:hAnsi="宋体" w:eastAsia="宋体" w:cs="宋体"/>
                <w:sz w:val="21"/>
                <w:szCs w:val="21"/>
              </w:rPr>
              <w:t>√</w:t>
            </w:r>
          </w:p>
        </w:tc>
      </w:tr>
      <w:tr w14:paraId="0FB21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453" w:type="dxa"/>
            <w:vAlign w:val="top"/>
          </w:tcPr>
          <w:p w14:paraId="4B306A0B">
            <w:pPr>
              <w:spacing w:before="148" w:line="239" w:lineRule="auto"/>
              <w:ind w:left="555"/>
              <w:rPr>
                <w:rFonts w:ascii="宋体" w:hAnsi="宋体" w:eastAsia="宋体" w:cs="宋体"/>
                <w:sz w:val="21"/>
                <w:szCs w:val="21"/>
              </w:rPr>
            </w:pPr>
            <w:r>
              <w:rPr>
                <w:rFonts w:ascii="宋体" w:hAnsi="宋体" w:eastAsia="宋体" w:cs="宋体"/>
                <w:spacing w:val="-3"/>
                <w:sz w:val="21"/>
                <w:szCs w:val="21"/>
              </w:rPr>
              <w:t>9.2</w:t>
            </w:r>
          </w:p>
        </w:tc>
        <w:tc>
          <w:tcPr>
            <w:tcW w:w="1039" w:type="dxa"/>
            <w:vAlign w:val="top"/>
          </w:tcPr>
          <w:p w14:paraId="7443EBCF">
            <w:pPr>
              <w:spacing w:before="148"/>
              <w:ind w:left="352"/>
              <w:rPr>
                <w:rFonts w:ascii="宋体" w:hAnsi="宋体" w:eastAsia="宋体" w:cs="宋体"/>
                <w:sz w:val="21"/>
                <w:szCs w:val="21"/>
              </w:rPr>
            </w:pPr>
            <w:r>
              <w:rPr>
                <w:rFonts w:ascii="宋体" w:hAnsi="宋体" w:eastAsia="宋体" w:cs="宋体"/>
                <w:spacing w:val="-3"/>
                <w:sz w:val="21"/>
                <w:szCs w:val="21"/>
              </w:rPr>
              <w:t>502</w:t>
            </w:r>
          </w:p>
        </w:tc>
        <w:tc>
          <w:tcPr>
            <w:tcW w:w="2517" w:type="dxa"/>
            <w:vAlign w:val="top"/>
          </w:tcPr>
          <w:p w14:paraId="5A1B93EB">
            <w:pPr>
              <w:spacing w:before="125" w:line="218" w:lineRule="auto"/>
              <w:ind w:left="83"/>
              <w:rPr>
                <w:rFonts w:ascii="宋体" w:hAnsi="宋体" w:eastAsia="宋体" w:cs="宋体"/>
                <w:sz w:val="21"/>
                <w:szCs w:val="21"/>
              </w:rPr>
            </w:pPr>
            <w:r>
              <w:rPr>
                <w:rFonts w:ascii="宋体" w:hAnsi="宋体" w:eastAsia="宋体" w:cs="宋体"/>
                <w:spacing w:val="-1"/>
                <w:sz w:val="21"/>
                <w:szCs w:val="21"/>
              </w:rPr>
              <w:t>使用期间测试性评价</w:t>
            </w:r>
          </w:p>
        </w:tc>
        <w:tc>
          <w:tcPr>
            <w:tcW w:w="829" w:type="dxa"/>
            <w:vAlign w:val="top"/>
          </w:tcPr>
          <w:p w14:paraId="5B751ADC">
            <w:pPr>
              <w:spacing w:before="170"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7CCD294D">
            <w:pPr>
              <w:spacing w:before="168" w:line="188" w:lineRule="exact"/>
              <w:ind w:left="447"/>
              <w:rPr>
                <w:rFonts w:ascii="宋体" w:hAnsi="宋体" w:eastAsia="宋体" w:cs="宋体"/>
                <w:sz w:val="14"/>
                <w:szCs w:val="14"/>
              </w:rPr>
            </w:pPr>
            <w:r>
              <w:rPr>
                <w:rFonts w:ascii="宋体" w:hAnsi="宋体" w:eastAsia="宋体" w:cs="宋体"/>
                <w:position w:val="1"/>
                <w:sz w:val="14"/>
                <w:szCs w:val="14"/>
              </w:rPr>
              <w:t>×</w:t>
            </w:r>
          </w:p>
        </w:tc>
        <w:tc>
          <w:tcPr>
            <w:tcW w:w="1259" w:type="dxa"/>
            <w:vAlign w:val="top"/>
          </w:tcPr>
          <w:p w14:paraId="16937B38">
            <w:pPr>
              <w:spacing w:before="148" w:line="282" w:lineRule="exact"/>
              <w:ind w:left="518"/>
              <w:rPr>
                <w:rFonts w:ascii="宋体" w:hAnsi="宋体" w:eastAsia="宋体" w:cs="宋体"/>
                <w:sz w:val="21"/>
                <w:szCs w:val="21"/>
              </w:rPr>
            </w:pPr>
            <w:r>
              <w:rPr>
                <w:rFonts w:ascii="宋体" w:hAnsi="宋体" w:eastAsia="宋体" w:cs="宋体"/>
                <w:position w:val="1"/>
                <w:sz w:val="21"/>
                <w:szCs w:val="21"/>
              </w:rPr>
              <w:t>×</w:t>
            </w:r>
          </w:p>
        </w:tc>
        <w:tc>
          <w:tcPr>
            <w:tcW w:w="1204" w:type="dxa"/>
            <w:vAlign w:val="top"/>
          </w:tcPr>
          <w:p w14:paraId="76DF5FA2">
            <w:pPr>
              <w:spacing w:before="148" w:line="238" w:lineRule="auto"/>
              <w:ind w:left="489"/>
              <w:rPr>
                <w:rFonts w:ascii="宋体" w:hAnsi="宋体" w:eastAsia="宋体" w:cs="宋体"/>
                <w:sz w:val="21"/>
                <w:szCs w:val="21"/>
              </w:rPr>
            </w:pPr>
            <w:r>
              <w:rPr>
                <w:rFonts w:ascii="宋体" w:hAnsi="宋体" w:eastAsia="宋体" w:cs="宋体"/>
                <w:sz w:val="21"/>
                <w:szCs w:val="21"/>
              </w:rPr>
              <w:t>√</w:t>
            </w:r>
          </w:p>
        </w:tc>
      </w:tr>
      <w:tr w14:paraId="67591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453" w:type="dxa"/>
            <w:vAlign w:val="top"/>
          </w:tcPr>
          <w:p w14:paraId="2E40808B">
            <w:pPr>
              <w:spacing w:before="148" w:line="239" w:lineRule="auto"/>
              <w:ind w:left="555"/>
              <w:rPr>
                <w:rFonts w:ascii="宋体" w:hAnsi="宋体" w:eastAsia="宋体" w:cs="宋体"/>
                <w:sz w:val="21"/>
                <w:szCs w:val="21"/>
              </w:rPr>
            </w:pPr>
            <w:r>
              <w:rPr>
                <w:rFonts w:ascii="宋体" w:hAnsi="宋体" w:eastAsia="宋体" w:cs="宋体"/>
                <w:spacing w:val="-3"/>
                <w:sz w:val="21"/>
                <w:szCs w:val="21"/>
              </w:rPr>
              <w:t>9.3</w:t>
            </w:r>
          </w:p>
        </w:tc>
        <w:tc>
          <w:tcPr>
            <w:tcW w:w="1039" w:type="dxa"/>
            <w:vAlign w:val="top"/>
          </w:tcPr>
          <w:p w14:paraId="2CA78D6F">
            <w:pPr>
              <w:spacing w:before="148"/>
              <w:ind w:left="352"/>
              <w:rPr>
                <w:rFonts w:ascii="宋体" w:hAnsi="宋体" w:eastAsia="宋体" w:cs="宋体"/>
                <w:sz w:val="21"/>
                <w:szCs w:val="21"/>
              </w:rPr>
            </w:pPr>
            <w:r>
              <w:rPr>
                <w:rFonts w:ascii="宋体" w:hAnsi="宋体" w:eastAsia="宋体" w:cs="宋体"/>
                <w:spacing w:val="-3"/>
                <w:sz w:val="21"/>
                <w:szCs w:val="21"/>
              </w:rPr>
              <w:t>503</w:t>
            </w:r>
          </w:p>
        </w:tc>
        <w:tc>
          <w:tcPr>
            <w:tcW w:w="2517" w:type="dxa"/>
            <w:vAlign w:val="top"/>
          </w:tcPr>
          <w:p w14:paraId="16CA7804">
            <w:pPr>
              <w:spacing w:before="127" w:line="219" w:lineRule="auto"/>
              <w:ind w:left="83"/>
              <w:rPr>
                <w:rFonts w:ascii="宋体" w:hAnsi="宋体" w:eastAsia="宋体" w:cs="宋体"/>
                <w:sz w:val="21"/>
                <w:szCs w:val="21"/>
              </w:rPr>
            </w:pPr>
            <w:r>
              <w:rPr>
                <w:rFonts w:ascii="宋体" w:hAnsi="宋体" w:eastAsia="宋体" w:cs="宋体"/>
                <w:spacing w:val="-1"/>
                <w:sz w:val="21"/>
                <w:szCs w:val="21"/>
              </w:rPr>
              <w:t>使用期间测试性改进</w:t>
            </w:r>
          </w:p>
        </w:tc>
        <w:tc>
          <w:tcPr>
            <w:tcW w:w="829" w:type="dxa"/>
            <w:vAlign w:val="top"/>
          </w:tcPr>
          <w:p w14:paraId="2A682E28">
            <w:pPr>
              <w:spacing w:before="170" w:line="201" w:lineRule="exact"/>
              <w:ind w:left="336"/>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0B14755E">
            <w:pPr>
              <w:spacing w:before="170" w:line="201" w:lineRule="exact"/>
              <w:ind w:left="447"/>
              <w:rPr>
                <w:rFonts w:ascii="宋体" w:hAnsi="宋体" w:eastAsia="宋体" w:cs="宋体"/>
                <w:sz w:val="15"/>
                <w:szCs w:val="15"/>
              </w:rPr>
            </w:pPr>
            <w:r>
              <w:rPr>
                <w:rFonts w:ascii="宋体" w:hAnsi="宋体" w:eastAsia="宋体" w:cs="宋体"/>
                <w:position w:val="1"/>
                <w:sz w:val="15"/>
                <w:szCs w:val="15"/>
              </w:rPr>
              <w:t>×</w:t>
            </w:r>
          </w:p>
        </w:tc>
        <w:tc>
          <w:tcPr>
            <w:tcW w:w="1259" w:type="dxa"/>
            <w:vAlign w:val="top"/>
          </w:tcPr>
          <w:p w14:paraId="0A6023DF">
            <w:pPr>
              <w:spacing w:before="148" w:line="282" w:lineRule="exact"/>
              <w:ind w:left="518"/>
              <w:rPr>
                <w:rFonts w:ascii="宋体" w:hAnsi="宋体" w:eastAsia="宋体" w:cs="宋体"/>
                <w:sz w:val="21"/>
                <w:szCs w:val="21"/>
              </w:rPr>
            </w:pPr>
            <w:r>
              <w:rPr>
                <w:rFonts w:ascii="宋体" w:hAnsi="宋体" w:eastAsia="宋体" w:cs="宋体"/>
                <w:position w:val="1"/>
                <w:sz w:val="21"/>
                <w:szCs w:val="21"/>
              </w:rPr>
              <w:t>×</w:t>
            </w:r>
          </w:p>
        </w:tc>
        <w:tc>
          <w:tcPr>
            <w:tcW w:w="1204" w:type="dxa"/>
            <w:vAlign w:val="top"/>
          </w:tcPr>
          <w:p w14:paraId="10A938A2">
            <w:pPr>
              <w:spacing w:before="148" w:line="238" w:lineRule="auto"/>
              <w:ind w:left="489"/>
              <w:rPr>
                <w:rFonts w:ascii="宋体" w:hAnsi="宋体" w:eastAsia="宋体" w:cs="宋体"/>
                <w:sz w:val="21"/>
                <w:szCs w:val="21"/>
              </w:rPr>
            </w:pPr>
            <w:r>
              <w:rPr>
                <w:rFonts w:ascii="宋体" w:hAnsi="宋体" w:eastAsia="宋体" w:cs="宋体"/>
                <w:sz w:val="21"/>
                <w:szCs w:val="21"/>
              </w:rPr>
              <w:t>√</w:t>
            </w:r>
          </w:p>
        </w:tc>
      </w:tr>
      <w:tr w14:paraId="0BC66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9350" w:type="dxa"/>
            <w:gridSpan w:val="7"/>
            <w:vAlign w:val="top"/>
          </w:tcPr>
          <w:p w14:paraId="59DC541E">
            <w:pPr>
              <w:spacing w:before="159" w:line="220" w:lineRule="auto"/>
              <w:ind w:left="75"/>
              <w:rPr>
                <w:rFonts w:ascii="宋体" w:hAnsi="宋体" w:eastAsia="宋体" w:cs="宋体"/>
                <w:sz w:val="21"/>
                <w:szCs w:val="21"/>
              </w:rPr>
            </w:pPr>
            <w:r>
              <w:rPr>
                <w:rFonts w:ascii="宋体" w:hAnsi="宋体" w:eastAsia="宋体" w:cs="宋体"/>
                <w:spacing w:val="-2"/>
                <w:sz w:val="21"/>
                <w:szCs w:val="21"/>
              </w:rPr>
              <w:t>注：</w:t>
            </w:r>
            <w:r>
              <w:rPr>
                <w:rFonts w:ascii="宋体" w:hAnsi="宋体" w:eastAsia="宋体" w:cs="宋体"/>
                <w:spacing w:val="-33"/>
                <w:sz w:val="21"/>
                <w:szCs w:val="21"/>
              </w:rPr>
              <w:t xml:space="preserve"> </w:t>
            </w:r>
            <w:r>
              <w:rPr>
                <w:rFonts w:ascii="宋体" w:hAnsi="宋体" w:eastAsia="宋体" w:cs="宋体"/>
                <w:spacing w:val="-2"/>
                <w:sz w:val="21"/>
                <w:szCs w:val="21"/>
              </w:rPr>
              <w:t>√表示适用；△表示有选择地应用；×表示不适用</w:t>
            </w:r>
          </w:p>
        </w:tc>
      </w:tr>
    </w:tbl>
    <w:p w14:paraId="5A11FE33">
      <w:pPr>
        <w:rPr>
          <w:rFonts w:ascii="Arial"/>
          <w:sz w:val="21"/>
        </w:rPr>
      </w:pPr>
    </w:p>
    <w:p w14:paraId="315EDFE4">
      <w:pPr>
        <w:rPr>
          <w:rFonts w:ascii="Arial" w:hAnsi="Arial" w:eastAsia="Arial" w:cs="Arial"/>
          <w:sz w:val="21"/>
          <w:szCs w:val="21"/>
        </w:rPr>
        <w:sectPr>
          <w:footerReference r:id="rId445" w:type="default"/>
          <w:pgSz w:w="11910" w:h="17130"/>
          <w:pgMar w:top="1456" w:right="1324" w:bottom="1683" w:left="1224" w:header="0" w:footer="1485" w:gutter="0"/>
          <w:cols w:space="720" w:num="1"/>
        </w:sectPr>
      </w:pPr>
    </w:p>
    <w:p w14:paraId="62C6A33A">
      <w:pPr>
        <w:spacing w:line="353" w:lineRule="auto"/>
        <w:rPr>
          <w:rFonts w:ascii="Arial"/>
          <w:sz w:val="21"/>
        </w:rPr>
      </w:pPr>
    </w:p>
    <w:p w14:paraId="6DAB3576">
      <w:pPr>
        <w:spacing w:line="354" w:lineRule="auto"/>
        <w:rPr>
          <w:rFonts w:ascii="Arial"/>
          <w:sz w:val="21"/>
        </w:rPr>
      </w:pPr>
    </w:p>
    <w:p w14:paraId="49BE9A93">
      <w:pPr>
        <w:pStyle w:val="2"/>
        <w:spacing w:before="72" w:line="219" w:lineRule="auto"/>
        <w:ind w:left="8294"/>
        <w:rPr>
          <w:sz w:val="22"/>
          <w:szCs w:val="22"/>
        </w:rPr>
      </w:pPr>
      <w:r>
        <w:drawing>
          <wp:anchor distT="0" distB="0" distL="0" distR="0" simplePos="0" relativeHeight="251665408" behindDoc="1" locked="0" layoutInCell="1" allowOverlap="1">
            <wp:simplePos x="0" y="0"/>
            <wp:positionH relativeFrom="column">
              <wp:posOffset>485140</wp:posOffset>
            </wp:positionH>
            <wp:positionV relativeFrom="paragraph">
              <wp:posOffset>-65405</wp:posOffset>
            </wp:positionV>
            <wp:extent cx="8407400" cy="5518150"/>
            <wp:effectExtent l="0" t="0" r="1905" b="8890"/>
            <wp:wrapNone/>
            <wp:docPr id="9" name="IM 4"/>
            <wp:cNvGraphicFramePr/>
            <a:graphic xmlns:a="http://schemas.openxmlformats.org/drawingml/2006/main">
              <a:graphicData uri="http://schemas.openxmlformats.org/drawingml/2006/picture">
                <pic:pic xmlns:pic="http://schemas.openxmlformats.org/drawingml/2006/picture">
                  <pic:nvPicPr>
                    <pic:cNvPr id="9" name="IM 4"/>
                    <pic:cNvPicPr/>
                  </pic:nvPicPr>
                  <pic:blipFill>
                    <a:blip r:embed="rId698"/>
                    <a:stretch>
                      <a:fillRect/>
                    </a:stretch>
                  </pic:blipFill>
                  <pic:spPr>
                    <a:xfrm>
                      <a:off x="0" y="0"/>
                      <a:ext cx="8407367" cy="5518157"/>
                    </a:xfrm>
                    <a:prstGeom prst="rect">
                      <a:avLst/>
                    </a:prstGeom>
                  </pic:spPr>
                </pic:pic>
              </a:graphicData>
            </a:graphic>
          </wp:anchor>
        </w:drawing>
      </w:r>
      <w:r>
        <w:rPr>
          <w:rFonts w:ascii="Arial" w:hAnsi="Arial" w:eastAsia="Arial" w:cs="Arial"/>
          <w:spacing w:val="-1"/>
          <w:sz w:val="22"/>
          <w:szCs w:val="22"/>
        </w:rPr>
        <w:t>R</w:t>
      </w:r>
      <w:r>
        <w:rPr>
          <w:spacing w:val="-1"/>
          <w:sz w:val="22"/>
          <w:szCs w:val="22"/>
        </w:rPr>
        <w:t>、</w:t>
      </w:r>
      <w:r>
        <w:rPr>
          <w:rFonts w:ascii="Times New Roman" w:hAnsi="Times New Roman" w:eastAsia="Times New Roman" w:cs="Times New Roman"/>
          <w:b/>
          <w:bCs/>
          <w:spacing w:val="-1"/>
          <w:sz w:val="22"/>
          <w:szCs w:val="22"/>
        </w:rPr>
        <w:t>M</w:t>
      </w:r>
      <w:r>
        <w:rPr>
          <w:rFonts w:ascii="Times New Roman" w:hAnsi="Times New Roman" w:eastAsia="Times New Roman" w:cs="Times New Roman"/>
          <w:b/>
          <w:bCs/>
          <w:spacing w:val="-29"/>
          <w:sz w:val="22"/>
          <w:szCs w:val="22"/>
        </w:rPr>
        <w:t xml:space="preserve"> </w:t>
      </w:r>
      <w:r>
        <w:rPr>
          <w:b/>
          <w:bCs/>
          <w:spacing w:val="-1"/>
          <w:sz w:val="22"/>
          <w:szCs w:val="22"/>
        </w:rPr>
        <w:t>、</w:t>
      </w:r>
      <w:r>
        <w:rPr>
          <w:rFonts w:ascii="Times New Roman" w:hAnsi="Times New Roman" w:eastAsia="Times New Roman" w:cs="Times New Roman"/>
          <w:b/>
          <w:bCs/>
          <w:spacing w:val="-1"/>
          <w:sz w:val="22"/>
          <w:szCs w:val="22"/>
        </w:rPr>
        <w:t>S</w:t>
      </w:r>
      <w:r>
        <w:rPr>
          <w:b/>
          <w:bCs/>
          <w:spacing w:val="-1"/>
          <w:sz w:val="22"/>
          <w:szCs w:val="22"/>
        </w:rPr>
        <w:t>信息/先验信息</w:t>
      </w:r>
    </w:p>
    <w:p w14:paraId="777FE5F8">
      <w:pPr>
        <w:spacing w:before="23"/>
      </w:pPr>
    </w:p>
    <w:p w14:paraId="552B80B6">
      <w:pPr>
        <w:spacing w:before="23"/>
      </w:pPr>
    </w:p>
    <w:p w14:paraId="6F96A4A2">
      <w:pPr>
        <w:sectPr>
          <w:footerReference r:id="rId446" w:type="default"/>
          <w:pgSz w:w="17130" w:h="11910"/>
          <w:pgMar w:top="1012" w:right="1740" w:bottom="400" w:left="1385" w:header="0" w:footer="0" w:gutter="0"/>
          <w:cols w:equalWidth="0" w:num="1">
            <w:col w:w="14005"/>
          </w:cols>
        </w:sectPr>
      </w:pPr>
    </w:p>
    <w:p w14:paraId="15D895E5">
      <w:pPr>
        <w:pStyle w:val="2"/>
        <w:spacing w:before="162" w:line="220" w:lineRule="auto"/>
        <w:ind w:left="5844"/>
        <w:rPr>
          <w:sz w:val="20"/>
          <w:szCs w:val="20"/>
        </w:rPr>
      </w:pPr>
      <w:r>
        <w:pict>
          <v:shape id="_x0000_s1039" o:spid="_x0000_s1039" o:spt="202" type="#_x0000_t202" style="position:absolute;left:0pt;margin-left:71.85pt;margin-top:23.95pt;height:15.1pt;width:93.7pt;z-index:251671552;mso-width-relative:page;mso-height-relative:page;" filled="f" stroked="f" coordsize="21600,21600">
            <v:path/>
            <v:fill on="f" focussize="0,0"/>
            <v:stroke on="f"/>
            <v:imagedata o:title=""/>
            <o:lock v:ext="edit" aspectratio="f"/>
            <v:textbox inset="0mm,0mm,0mm,0mm">
              <w:txbxContent>
                <w:p w14:paraId="78DD8F86">
                  <w:pPr>
                    <w:pStyle w:val="2"/>
                    <w:spacing w:before="20" w:line="219" w:lineRule="auto"/>
                    <w:ind w:left="20"/>
                    <w:rPr>
                      <w:sz w:val="22"/>
                      <w:szCs w:val="22"/>
                    </w:rPr>
                  </w:pPr>
                  <w:r>
                    <w:rPr>
                      <w:b/>
                      <w:bCs/>
                      <w:spacing w:val="-18"/>
                      <w:sz w:val="22"/>
                      <w:szCs w:val="22"/>
                    </w:rPr>
                    <w:t>任务</w:t>
                  </w:r>
                  <w:r>
                    <w:rPr>
                      <w:b/>
                      <w:bCs/>
                      <w:spacing w:val="-17"/>
                      <w:sz w:val="22"/>
                      <w:szCs w:val="22"/>
                    </w:rPr>
                    <w:t>需求和使用要</w:t>
                  </w:r>
                  <w:r>
                    <w:rPr>
                      <w:b/>
                      <w:bCs/>
                      <w:spacing w:val="-15"/>
                      <w:sz w:val="22"/>
                      <w:szCs w:val="22"/>
                    </w:rPr>
                    <w:t>求</w:t>
                  </w:r>
                </w:p>
              </w:txbxContent>
            </v:textbox>
          </v:shape>
        </w:pict>
      </w:r>
      <w:r>
        <w:pict>
          <v:shape id="_x0000_s1040" o:spid="_x0000_s1040" o:spt="202" type="#_x0000_t202" style="position:absolute;left:0pt;margin-left:56.7pt;margin-top:79pt;height:168.2pt;width:54.55pt;z-index:251666432;mso-width-relative:page;mso-height-relative:page;" filled="f" stroked="f" coordsize="21600,21600">
            <v:path/>
            <v:fill on="f" focussize="0,0"/>
            <v:stroke on="f"/>
            <v:imagedata o:title=""/>
            <o:lock v:ext="edit" aspectratio="f"/>
            <v:textbox inset="0mm,0mm,0mm,0mm">
              <w:txbxContent>
                <w:p w14:paraId="40AD08D1">
                  <w:pPr>
                    <w:pStyle w:val="2"/>
                    <w:spacing w:before="19" w:line="206" w:lineRule="auto"/>
                    <w:ind w:left="52"/>
                    <w:rPr>
                      <w:sz w:val="20"/>
                      <w:szCs w:val="20"/>
                    </w:rPr>
                  </w:pPr>
                  <w:r>
                    <w:rPr>
                      <w:b/>
                      <w:bCs/>
                      <w:sz w:val="20"/>
                      <w:szCs w:val="20"/>
                    </w:rPr>
                    <w:t>测试性及其</w:t>
                  </w:r>
                </w:p>
                <w:p w14:paraId="1371DF2B">
                  <w:pPr>
                    <w:pStyle w:val="2"/>
                    <w:spacing w:before="1" w:line="210" w:lineRule="auto"/>
                    <w:ind w:left="138" w:right="20" w:hanging="119"/>
                    <w:rPr>
                      <w:sz w:val="22"/>
                      <w:szCs w:val="22"/>
                    </w:rPr>
                  </w:pPr>
                  <w:r>
                    <w:rPr>
                      <w:spacing w:val="-10"/>
                      <w:sz w:val="22"/>
                      <w:szCs w:val="22"/>
                    </w:rPr>
                    <w:t>工作项目要</w:t>
                  </w:r>
                  <w:r>
                    <w:rPr>
                      <w:sz w:val="22"/>
                      <w:szCs w:val="22"/>
                    </w:rPr>
                    <w:t xml:space="preserve"> </w:t>
                  </w:r>
                  <w:r>
                    <w:rPr>
                      <w:spacing w:val="-7"/>
                      <w:sz w:val="22"/>
                      <w:szCs w:val="22"/>
                    </w:rPr>
                    <w:t>求的确定</w:t>
                  </w:r>
                </w:p>
                <w:p w14:paraId="53939C18">
                  <w:pPr>
                    <w:pStyle w:val="2"/>
                    <w:spacing w:before="58" w:line="225" w:lineRule="auto"/>
                    <w:ind w:left="99" w:right="144" w:firstLine="210"/>
                    <w:jc w:val="both"/>
                    <w:rPr>
                      <w:sz w:val="20"/>
                      <w:szCs w:val="20"/>
                    </w:rPr>
                  </w:pPr>
                  <w:r>
                    <w:rPr>
                      <w:rFonts w:ascii="Times New Roman" w:hAnsi="Times New Roman" w:eastAsia="Times New Roman" w:cs="Times New Roman"/>
                      <w:spacing w:val="-7"/>
                      <w:sz w:val="24"/>
                      <w:szCs w:val="24"/>
                    </w:rPr>
                    <w:t>(100)</w:t>
                  </w:r>
                  <w:r>
                    <w:rPr>
                      <w:rFonts w:ascii="Times New Roman" w:hAnsi="Times New Roman" w:eastAsia="Times New Roman" w:cs="Times New Roman"/>
                      <w:spacing w:val="1"/>
                      <w:sz w:val="24"/>
                      <w:szCs w:val="24"/>
                    </w:rPr>
                    <w:t xml:space="preserve">   </w:t>
                  </w:r>
                  <w:r>
                    <w:rPr>
                      <w:b/>
                      <w:bCs/>
                      <w:spacing w:val="6"/>
                      <w:sz w:val="20"/>
                      <w:szCs w:val="20"/>
                    </w:rPr>
                    <w:t>确定诊断</w:t>
                  </w:r>
                  <w:r>
                    <w:rPr>
                      <w:spacing w:val="2"/>
                      <w:sz w:val="20"/>
                      <w:szCs w:val="20"/>
                    </w:rPr>
                    <w:t xml:space="preserve"> </w:t>
                  </w:r>
                  <w:r>
                    <w:rPr>
                      <w:spacing w:val="11"/>
                      <w:sz w:val="20"/>
                      <w:szCs w:val="20"/>
                    </w:rPr>
                    <w:t>方案和测</w:t>
                  </w:r>
                </w:p>
                <w:p w14:paraId="28187DA6">
                  <w:pPr>
                    <w:pStyle w:val="2"/>
                    <w:spacing w:line="220" w:lineRule="auto"/>
                    <w:ind w:left="102"/>
                    <w:rPr>
                      <w:sz w:val="20"/>
                      <w:szCs w:val="20"/>
                    </w:rPr>
                  </w:pPr>
                  <w:r>
                    <w:rPr>
                      <w:b/>
                      <w:bCs/>
                      <w:spacing w:val="6"/>
                      <w:sz w:val="20"/>
                      <w:szCs w:val="20"/>
                    </w:rPr>
                    <w:t>试性要求</w:t>
                  </w:r>
                </w:p>
                <w:p w14:paraId="4F6C5478">
                  <w:pPr>
                    <w:spacing w:before="31" w:line="192" w:lineRule="auto"/>
                    <w:ind w:left="26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(101)</w:t>
                  </w:r>
                </w:p>
                <w:p w14:paraId="3403654A">
                  <w:pPr>
                    <w:spacing w:line="332" w:lineRule="auto"/>
                    <w:rPr>
                      <w:rFonts w:ascii="Arial"/>
                      <w:sz w:val="21"/>
                    </w:rPr>
                  </w:pPr>
                </w:p>
                <w:p w14:paraId="3D376E7A">
                  <w:pPr>
                    <w:pStyle w:val="2"/>
                    <w:spacing w:before="72" w:line="204" w:lineRule="auto"/>
                    <w:ind w:left="103"/>
                    <w:rPr>
                      <w:sz w:val="22"/>
                      <w:szCs w:val="22"/>
                    </w:rPr>
                  </w:pPr>
                  <w:r>
                    <w:rPr>
                      <w:b/>
                      <w:bCs/>
                      <w:spacing w:val="-12"/>
                      <w:sz w:val="22"/>
                      <w:szCs w:val="22"/>
                    </w:rPr>
                    <w:t>确定测试</w:t>
                  </w:r>
                </w:p>
                <w:p w14:paraId="28E4EBDC">
                  <w:pPr>
                    <w:pStyle w:val="2"/>
                    <w:spacing w:line="215" w:lineRule="auto"/>
                    <w:ind w:left="229" w:right="147" w:hanging="130"/>
                    <w:rPr>
                      <w:sz w:val="20"/>
                      <w:szCs w:val="20"/>
                    </w:rPr>
                  </w:pPr>
                  <w:r>
                    <w:rPr>
                      <w:spacing w:val="-10"/>
                      <w:sz w:val="22"/>
                      <w:szCs w:val="22"/>
                    </w:rPr>
                    <w:t>性工作项</w:t>
                  </w:r>
                  <w:r>
                    <w:rPr>
                      <w:spacing w:val="2"/>
                      <w:sz w:val="22"/>
                      <w:szCs w:val="22"/>
                    </w:rPr>
                    <w:t xml:space="preserve"> </w:t>
                  </w:r>
                  <w:r>
                    <w:rPr>
                      <w:spacing w:val="3"/>
                      <w:sz w:val="20"/>
                      <w:szCs w:val="20"/>
                    </w:rPr>
                    <w:t>目要求</w:t>
                  </w:r>
                </w:p>
                <w:p w14:paraId="669B32D9">
                  <w:pPr>
                    <w:spacing w:before="18" w:line="192" w:lineRule="auto"/>
                    <w:ind w:left="28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(102)</w:t>
                  </w:r>
                </w:p>
              </w:txbxContent>
            </v:textbox>
          </v:shape>
        </w:pict>
      </w:r>
      <w:r>
        <w:rPr>
          <w:spacing w:val="8"/>
          <w:sz w:val="20"/>
          <w:szCs w:val="20"/>
        </w:rPr>
        <w:t>测试性设计与分析(300)</w:t>
      </w:r>
    </w:p>
    <w:p w14:paraId="18335BA6">
      <w:pPr>
        <w:spacing w:before="20"/>
      </w:pPr>
    </w:p>
    <w:tbl>
      <w:tblPr>
        <w:tblStyle w:val="5"/>
        <w:tblW w:w="2317" w:type="dxa"/>
        <w:tblInd w:w="574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48"/>
        <w:gridCol w:w="1269"/>
      </w:tblGrid>
      <w:tr w14:paraId="547BB9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70" w:hRule="atLeast"/>
        </w:trPr>
        <w:tc>
          <w:tcPr>
            <w:tcW w:w="1048" w:type="dxa"/>
            <w:vAlign w:val="top"/>
          </w:tcPr>
          <w:p w14:paraId="06BEDFE2">
            <w:pPr>
              <w:spacing w:before="277" w:line="194" w:lineRule="auto"/>
              <w:rPr>
                <w:rFonts w:ascii="宋体" w:hAnsi="宋体" w:eastAsia="宋体" w:cs="宋体"/>
                <w:sz w:val="22"/>
                <w:szCs w:val="22"/>
              </w:rPr>
            </w:pPr>
            <w:r>
              <w:rPr>
                <w:rFonts w:ascii="宋体" w:hAnsi="宋体" w:eastAsia="宋体" w:cs="宋体"/>
                <w:b/>
                <w:bCs/>
                <w:spacing w:val="-5"/>
                <w:sz w:val="22"/>
                <w:szCs w:val="22"/>
              </w:rPr>
              <w:t>建立测试</w:t>
            </w:r>
          </w:p>
          <w:p w14:paraId="7E36392A">
            <w:pPr>
              <w:spacing w:line="219" w:lineRule="auto"/>
              <w:ind w:left="96"/>
              <w:rPr>
                <w:rFonts w:ascii="宋体" w:hAnsi="宋体" w:eastAsia="宋体" w:cs="宋体"/>
                <w:sz w:val="22"/>
                <w:szCs w:val="22"/>
              </w:rPr>
            </w:pPr>
            <w:r>
              <w:rPr>
                <w:rFonts w:ascii="宋体" w:hAnsi="宋体" w:eastAsia="宋体" w:cs="宋体"/>
                <w:spacing w:val="-3"/>
                <w:sz w:val="22"/>
                <w:szCs w:val="22"/>
              </w:rPr>
              <w:t>性模型</w:t>
            </w:r>
          </w:p>
          <w:p w14:paraId="38F58568">
            <w:pPr>
              <w:spacing w:before="7" w:line="192" w:lineRule="auto"/>
              <w:ind w:left="196"/>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(301)</w:t>
            </w:r>
          </w:p>
        </w:tc>
        <w:tc>
          <w:tcPr>
            <w:tcW w:w="1269" w:type="dxa"/>
            <w:vAlign w:val="top"/>
          </w:tcPr>
          <w:p w14:paraId="6EE1183D">
            <w:pPr>
              <w:spacing w:line="220" w:lineRule="auto"/>
              <w:jc w:val="right"/>
              <w:rPr>
                <w:rFonts w:ascii="宋体" w:hAnsi="宋体" w:eastAsia="宋体" w:cs="宋体"/>
                <w:sz w:val="22"/>
                <w:szCs w:val="22"/>
              </w:rPr>
            </w:pPr>
            <w:r>
              <w:rPr>
                <w:rFonts w:ascii="宋体" w:hAnsi="宋体" w:eastAsia="宋体" w:cs="宋体"/>
                <w:spacing w:val="-2"/>
                <w:sz w:val="22"/>
                <w:szCs w:val="22"/>
              </w:rPr>
              <w:t>测试性分配</w:t>
            </w:r>
          </w:p>
          <w:p w14:paraId="21102683">
            <w:pPr>
              <w:spacing w:before="6" w:line="192" w:lineRule="auto"/>
              <w:ind w:left="46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(302)</w:t>
            </w:r>
          </w:p>
          <w:p w14:paraId="47340115">
            <w:pPr>
              <w:pStyle w:val="6"/>
              <w:spacing w:line="256" w:lineRule="auto"/>
            </w:pPr>
          </w:p>
          <w:p w14:paraId="70C90DD0">
            <w:pPr>
              <w:spacing w:before="71" w:line="220" w:lineRule="auto"/>
              <w:jc w:val="right"/>
              <w:rPr>
                <w:rFonts w:ascii="宋体" w:hAnsi="宋体" w:eastAsia="宋体" w:cs="宋体"/>
                <w:sz w:val="22"/>
                <w:szCs w:val="22"/>
              </w:rPr>
            </w:pPr>
            <w:r>
              <w:rPr>
                <w:rFonts w:ascii="宋体" w:hAnsi="宋体" w:eastAsia="宋体" w:cs="宋体"/>
                <w:spacing w:val="-2"/>
                <w:sz w:val="22"/>
                <w:szCs w:val="22"/>
              </w:rPr>
              <w:t>测试性预计</w:t>
            </w:r>
          </w:p>
          <w:p w14:paraId="0CE60E64">
            <w:pPr>
              <w:spacing w:before="24" w:line="181" w:lineRule="auto"/>
              <w:ind w:left="478"/>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(303)</w:t>
            </w:r>
          </w:p>
        </w:tc>
      </w:tr>
    </w:tbl>
    <w:p w14:paraId="1CB82AEC">
      <w:pPr>
        <w:spacing w:line="52" w:lineRule="exact"/>
        <w:rPr>
          <w:rFonts w:ascii="Arial"/>
          <w:sz w:val="4"/>
        </w:rPr>
      </w:pPr>
    </w:p>
    <w:p w14:paraId="6FDE657F">
      <w:pPr>
        <w:spacing w:line="14" w:lineRule="auto"/>
        <w:rPr>
          <w:rFonts w:ascii="Arial"/>
          <w:sz w:val="2"/>
        </w:rPr>
      </w:pPr>
      <w:r>
        <w:rPr>
          <w:rFonts w:ascii="Arial" w:hAnsi="Arial" w:eastAsia="Arial" w:cs="Arial"/>
          <w:sz w:val="2"/>
          <w:szCs w:val="2"/>
        </w:rPr>
        <w:br w:type="column"/>
      </w:r>
    </w:p>
    <w:p w14:paraId="74F266D9">
      <w:pPr>
        <w:pStyle w:val="2"/>
        <w:spacing w:before="38" w:line="218" w:lineRule="auto"/>
        <w:ind w:left="497"/>
        <w:rPr>
          <w:sz w:val="20"/>
          <w:szCs w:val="20"/>
        </w:rPr>
      </w:pPr>
      <w:r>
        <w:rPr>
          <w:spacing w:val="7"/>
          <w:sz w:val="20"/>
          <w:szCs w:val="20"/>
        </w:rPr>
        <w:t>测试性试验与评价(400)</w:t>
      </w:r>
    </w:p>
    <w:p w14:paraId="3F1B0515">
      <w:pPr>
        <w:pStyle w:val="2"/>
        <w:spacing w:before="146" w:line="201" w:lineRule="auto"/>
        <w:rPr>
          <w:sz w:val="20"/>
          <w:szCs w:val="20"/>
        </w:rPr>
      </w:pPr>
      <w:r>
        <w:rPr>
          <w:b/>
          <w:bCs/>
          <w:spacing w:val="5"/>
          <w:sz w:val="20"/>
          <w:szCs w:val="20"/>
        </w:rPr>
        <w:t>测试性</w:t>
      </w:r>
      <w:r>
        <w:rPr>
          <w:spacing w:val="14"/>
          <w:sz w:val="20"/>
          <w:szCs w:val="20"/>
        </w:rPr>
        <w:t xml:space="preserve">     </w:t>
      </w:r>
      <w:r>
        <w:rPr>
          <w:spacing w:val="5"/>
          <w:sz w:val="20"/>
          <w:szCs w:val="20"/>
        </w:rPr>
        <w:t>测试性</w:t>
      </w:r>
      <w:r>
        <w:rPr>
          <w:spacing w:val="2"/>
          <w:sz w:val="20"/>
          <w:szCs w:val="20"/>
        </w:rPr>
        <w:t xml:space="preserve">      </w:t>
      </w:r>
      <w:r>
        <w:rPr>
          <w:spacing w:val="5"/>
          <w:sz w:val="20"/>
          <w:szCs w:val="20"/>
        </w:rPr>
        <w:t>测试性</w:t>
      </w:r>
    </w:p>
    <w:p w14:paraId="73EF4F7A">
      <w:pPr>
        <w:pStyle w:val="2"/>
        <w:spacing w:before="1" w:line="231" w:lineRule="auto"/>
        <w:ind w:left="97"/>
        <w:rPr>
          <w:sz w:val="22"/>
          <w:szCs w:val="22"/>
        </w:rPr>
      </w:pPr>
      <w:r>
        <w:rPr>
          <w:spacing w:val="-4"/>
          <w:position w:val="1"/>
          <w:sz w:val="22"/>
          <w:szCs w:val="22"/>
        </w:rPr>
        <w:t xml:space="preserve">核查     </w:t>
      </w:r>
      <w:r>
        <w:rPr>
          <w:spacing w:val="-4"/>
          <w:position w:val="-1"/>
          <w:sz w:val="22"/>
          <w:szCs w:val="22"/>
        </w:rPr>
        <w:t>验证试验</w:t>
      </w:r>
      <w:r>
        <w:rPr>
          <w:spacing w:val="9"/>
          <w:position w:val="-1"/>
          <w:sz w:val="22"/>
          <w:szCs w:val="22"/>
        </w:rPr>
        <w:t xml:space="preserve">   </w:t>
      </w:r>
      <w:r>
        <w:rPr>
          <w:spacing w:val="-4"/>
          <w:position w:val="1"/>
          <w:sz w:val="22"/>
          <w:szCs w:val="22"/>
        </w:rPr>
        <w:t>分析评价</w:t>
      </w:r>
    </w:p>
    <w:p w14:paraId="0952D3B1">
      <w:pPr>
        <w:spacing w:before="5" w:line="200" w:lineRule="auto"/>
        <w:ind w:left="77"/>
        <w:rPr>
          <w:rFonts w:ascii="Times New Roman" w:hAnsi="Times New Roman" w:eastAsia="Times New Roman" w:cs="Times New Roman"/>
          <w:sz w:val="22"/>
          <w:szCs w:val="22"/>
        </w:rPr>
      </w:pPr>
      <w:r>
        <w:rPr>
          <w:rFonts w:ascii="Times New Roman" w:hAnsi="Times New Roman" w:eastAsia="Times New Roman" w:cs="Times New Roman"/>
          <w:spacing w:val="-8"/>
          <w:position w:val="-2"/>
          <w:sz w:val="26"/>
          <w:szCs w:val="26"/>
        </w:rPr>
        <w:t>(401)</w:t>
      </w:r>
      <w:r>
        <w:rPr>
          <w:rFonts w:ascii="Times New Roman" w:hAnsi="Times New Roman" w:eastAsia="Times New Roman" w:cs="Times New Roman"/>
          <w:spacing w:val="1"/>
          <w:position w:val="-2"/>
          <w:sz w:val="26"/>
          <w:szCs w:val="26"/>
        </w:rPr>
        <w:t xml:space="preserve">           </w:t>
      </w:r>
      <w:r>
        <w:rPr>
          <w:rFonts w:ascii="Times New Roman" w:hAnsi="Times New Roman" w:eastAsia="Times New Roman" w:cs="Times New Roman"/>
          <w:spacing w:val="-8"/>
          <w:position w:val="3"/>
          <w:sz w:val="22"/>
          <w:szCs w:val="22"/>
        </w:rPr>
        <w:t>(402)</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spacing w:val="-8"/>
          <w:sz w:val="22"/>
          <w:szCs w:val="22"/>
        </w:rPr>
        <w:t>(403)</w:t>
      </w:r>
    </w:p>
    <w:p w14:paraId="10A69255">
      <w:pPr>
        <w:spacing w:line="200" w:lineRule="auto"/>
        <w:rPr>
          <w:rFonts w:ascii="Times New Roman" w:hAnsi="Times New Roman" w:eastAsia="Times New Roman" w:cs="Times New Roman"/>
          <w:sz w:val="22"/>
          <w:szCs w:val="22"/>
        </w:rPr>
        <w:sectPr>
          <w:type w:val="continuous"/>
          <w:pgSz w:w="17130" w:h="11910"/>
          <w:pgMar w:top="1012" w:right="1740" w:bottom="400" w:left="1385" w:header="0" w:footer="0" w:gutter="0"/>
          <w:cols w:equalWidth="0" w:num="2">
            <w:col w:w="9098" w:space="100"/>
            <w:col w:w="4808"/>
          </w:cols>
        </w:sectPr>
      </w:pPr>
    </w:p>
    <w:p w14:paraId="657EDD9F">
      <w:pPr>
        <w:pStyle w:val="2"/>
        <w:spacing w:before="307" w:line="219" w:lineRule="auto"/>
        <w:ind w:left="5744"/>
        <w:rPr>
          <w:sz w:val="22"/>
          <w:szCs w:val="22"/>
        </w:rPr>
      </w:pPr>
      <w:r>
        <w:rPr>
          <w:rFonts w:ascii="Times New Roman" w:hAnsi="Times New Roman" w:eastAsia="Times New Roman" w:cs="Times New Roman"/>
          <w:spacing w:val="-3"/>
          <w:sz w:val="22"/>
          <w:szCs w:val="22"/>
        </w:rPr>
        <w:t>FMECA-</w:t>
      </w:r>
      <w:r>
        <w:rPr>
          <w:spacing w:val="-3"/>
          <w:sz w:val="22"/>
          <w:szCs w:val="22"/>
        </w:rPr>
        <w:t>测试性信息(304)</w:t>
      </w:r>
    </w:p>
    <w:p w14:paraId="643FA91D">
      <w:pPr>
        <w:pStyle w:val="2"/>
        <w:spacing w:before="256" w:line="220" w:lineRule="auto"/>
        <w:ind w:left="5747"/>
        <w:rPr>
          <w:sz w:val="22"/>
          <w:szCs w:val="22"/>
        </w:rPr>
      </w:pPr>
      <w:r>
        <w:rPr>
          <w:b/>
          <w:bCs/>
          <w:spacing w:val="-18"/>
          <w:sz w:val="22"/>
          <w:szCs w:val="22"/>
        </w:rPr>
        <w:t>制定测试性设计准则(305)</w:t>
      </w:r>
    </w:p>
    <w:p w14:paraId="084CE5E9">
      <w:pPr>
        <w:pStyle w:val="2"/>
        <w:spacing w:before="87" w:line="207" w:lineRule="auto"/>
        <w:ind w:left="4147"/>
        <w:rPr>
          <w:sz w:val="20"/>
          <w:szCs w:val="20"/>
        </w:rPr>
      </w:pPr>
      <w:r>
        <w:pict>
          <v:shape id="_x0000_s1041" o:spid="_x0000_s1041" o:spt="202" type="#_x0000_t202" style="position:absolute;left:0pt;margin-left:142.2pt;margin-top:5.5pt;height:48.05pt;width:37.5pt;z-index:251670528;mso-width-relative:page;mso-height-relative:page;" filled="f" stroked="f" coordsize="21600,21600">
            <v:path/>
            <v:fill on="f" focussize="0,0"/>
            <v:stroke on="f"/>
            <v:imagedata o:title=""/>
            <o:lock v:ext="edit" aspectratio="f"/>
            <v:textbox inset="0mm,0mm,0mm,0mm">
              <w:txbxContent>
                <w:p w14:paraId="191E3DAF">
                  <w:pPr>
                    <w:pStyle w:val="2"/>
                    <w:spacing w:before="19" w:line="219" w:lineRule="auto"/>
                    <w:ind w:left="30"/>
                    <w:rPr>
                      <w:sz w:val="22"/>
                      <w:szCs w:val="22"/>
                    </w:rPr>
                  </w:pPr>
                  <w:r>
                    <w:rPr>
                      <w:spacing w:val="-3"/>
                      <w:sz w:val="22"/>
                      <w:szCs w:val="22"/>
                    </w:rPr>
                    <w:t>制定测</w:t>
                  </w:r>
                </w:p>
                <w:p w14:paraId="5D6D7272">
                  <w:pPr>
                    <w:pStyle w:val="2"/>
                    <w:spacing w:line="180" w:lineRule="auto"/>
                    <w:ind w:left="20"/>
                    <w:rPr>
                      <w:sz w:val="22"/>
                      <w:szCs w:val="22"/>
                    </w:rPr>
                  </w:pPr>
                  <w:r>
                    <w:rPr>
                      <w:spacing w:val="16"/>
                      <w:sz w:val="22"/>
                      <w:szCs w:val="22"/>
                    </w:rPr>
                    <w:t>试性计</w:t>
                  </w:r>
                </w:p>
                <w:p w14:paraId="49BE13CC">
                  <w:pPr>
                    <w:pStyle w:val="2"/>
                    <w:spacing w:line="216" w:lineRule="auto"/>
                    <w:ind w:left="230"/>
                    <w:rPr>
                      <w:sz w:val="20"/>
                      <w:szCs w:val="20"/>
                    </w:rPr>
                  </w:pPr>
                  <w:r>
                    <w:rPr>
                      <w:sz w:val="20"/>
                      <w:szCs w:val="20"/>
                    </w:rPr>
                    <w:t>划</w:t>
                  </w:r>
                </w:p>
                <w:p w14:paraId="56227222">
                  <w:pPr>
                    <w:spacing w:before="26" w:line="192" w:lineRule="auto"/>
                    <w:ind w:left="11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(201)</w:t>
                  </w:r>
                </w:p>
              </w:txbxContent>
            </v:textbox>
          </v:shape>
        </w:pict>
      </w:r>
      <w:r>
        <w:rPr>
          <w:b/>
          <w:bCs/>
          <w:spacing w:val="8"/>
          <w:sz w:val="20"/>
          <w:szCs w:val="20"/>
        </w:rPr>
        <w:t>制定测</w:t>
      </w:r>
    </w:p>
    <w:p w14:paraId="35587E5F">
      <w:pPr>
        <w:pStyle w:val="2"/>
        <w:spacing w:line="220" w:lineRule="auto"/>
        <w:ind w:left="5844"/>
        <w:rPr>
          <w:sz w:val="22"/>
          <w:szCs w:val="22"/>
        </w:rPr>
      </w:pPr>
      <w:r>
        <w:pict>
          <v:shape id="_x0000_s1042" o:spid="_x0000_s1042" o:spt="202" type="#_x0000_t202" style="position:absolute;left:0pt;margin-left:206.2pt;margin-top:-0.95pt;height:28.35pt;width:34.6pt;z-index:251672576;mso-width-relative:page;mso-height-relative:page;" filled="f" stroked="f" coordsize="21600,21600">
            <v:path/>
            <v:fill on="f" focussize="0,0"/>
            <v:stroke on="f"/>
            <v:imagedata o:title=""/>
            <o:lock v:ext="edit" aspectratio="f"/>
            <v:textbox inset="0mm,0mm,0mm,0mm">
              <w:txbxContent>
                <w:p w14:paraId="11B593D1">
                  <w:pPr>
                    <w:pStyle w:val="2"/>
                    <w:spacing w:before="20" w:line="226" w:lineRule="auto"/>
                    <w:ind w:left="20" w:right="20"/>
                    <w:rPr>
                      <w:sz w:val="22"/>
                      <w:szCs w:val="22"/>
                    </w:rPr>
                  </w:pPr>
                  <w:r>
                    <w:rPr>
                      <w:spacing w:val="-3"/>
                      <w:sz w:val="22"/>
                      <w:szCs w:val="22"/>
                    </w:rPr>
                    <w:t>试性工</w:t>
                  </w:r>
                  <w:r>
                    <w:rPr>
                      <w:sz w:val="22"/>
                      <w:szCs w:val="22"/>
                    </w:rPr>
                    <w:t xml:space="preserve"> </w:t>
                  </w:r>
                  <w:r>
                    <w:rPr>
                      <w:spacing w:val="-4"/>
                      <w:sz w:val="22"/>
                      <w:szCs w:val="22"/>
                    </w:rPr>
                    <w:t>作计划</w:t>
                  </w:r>
                </w:p>
              </w:txbxContent>
            </v:textbox>
          </v:shape>
        </w:pict>
      </w:r>
      <w:r>
        <w:rPr>
          <w:spacing w:val="-9"/>
          <w:sz w:val="22"/>
          <w:szCs w:val="22"/>
        </w:rPr>
        <w:t>固有测试性设计和分析</w:t>
      </w:r>
    </w:p>
    <w:p w14:paraId="554B69C0">
      <w:pPr>
        <w:spacing w:before="66" w:line="190" w:lineRule="auto"/>
        <w:ind w:left="6674"/>
        <w:rPr>
          <w:rFonts w:ascii="Times New Roman" w:hAnsi="Times New Roman" w:eastAsia="Times New Roman" w:cs="Times New Roman"/>
          <w:sz w:val="22"/>
          <w:szCs w:val="22"/>
        </w:rPr>
      </w:pPr>
      <w:r>
        <w:pict>
          <v:shape id="_x0000_s1043" o:spid="_x0000_s1043" o:spt="202" type="#_x0000_t202" style="position:absolute;left:0pt;margin-left:620.2pt;margin-top:5.75pt;height:70.65pt;width:77.4pt;z-index:251667456;mso-width-relative:page;mso-height-relative:page;" filled="f" stroked="f" coordsize="21600,21600">
            <v:path/>
            <v:fill on="f" focussize="0,0"/>
            <v:stroke on="f"/>
            <v:imagedata o:title=""/>
            <o:lock v:ext="edit" aspectratio="f"/>
            <v:textbox inset="0mm,0mm,0mm,0mm">
              <w:txbxContent>
                <w:p w14:paraId="7784A7DA">
                  <w:pPr>
                    <w:pStyle w:val="2"/>
                    <w:spacing w:before="19" w:line="222" w:lineRule="auto"/>
                    <w:ind w:left="218" w:right="20" w:hanging="199"/>
                    <w:rPr>
                      <w:sz w:val="20"/>
                      <w:szCs w:val="20"/>
                    </w:rPr>
                  </w:pPr>
                  <w:r>
                    <w:rPr>
                      <w:spacing w:val="15"/>
                      <w:sz w:val="20"/>
                      <w:szCs w:val="20"/>
                    </w:rPr>
                    <w:t>使用期间测试性</w:t>
                  </w:r>
                  <w:r>
                    <w:rPr>
                      <w:spacing w:val="1"/>
                      <w:sz w:val="20"/>
                      <w:szCs w:val="20"/>
                    </w:rPr>
                    <w:t xml:space="preserve"> </w:t>
                  </w:r>
                  <w:r>
                    <w:rPr>
                      <w:spacing w:val="7"/>
                      <w:sz w:val="20"/>
                      <w:szCs w:val="20"/>
                    </w:rPr>
                    <w:t>评价与改进</w:t>
                  </w:r>
                </w:p>
                <w:p w14:paraId="65DB8C06">
                  <w:pPr>
                    <w:spacing w:before="20" w:line="192" w:lineRule="auto"/>
                    <w:ind w:left="50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(500)</w:t>
                  </w:r>
                </w:p>
                <w:p w14:paraId="2BE151A8">
                  <w:pPr>
                    <w:pStyle w:val="2"/>
                    <w:spacing w:before="127" w:line="219" w:lineRule="auto"/>
                    <w:ind w:left="219"/>
                    <w:rPr>
                      <w:sz w:val="20"/>
                      <w:szCs w:val="20"/>
                    </w:rPr>
                  </w:pPr>
                  <w:r>
                    <w:rPr>
                      <w:spacing w:val="7"/>
                      <w:sz w:val="20"/>
                      <w:szCs w:val="20"/>
                    </w:rPr>
                    <w:t>测试性改进</w:t>
                  </w:r>
                </w:p>
                <w:p w14:paraId="4B8FE795">
                  <w:pPr>
                    <w:spacing w:before="65" w:line="192" w:lineRule="auto"/>
                    <w:ind w:left="509"/>
                    <w:rPr>
                      <w:rFonts w:ascii="Times New Roman" w:hAnsi="Times New Roman" w:eastAsia="Times New Roman" w:cs="Times New Roman"/>
                      <w:sz w:val="26"/>
                      <w:szCs w:val="26"/>
                    </w:rPr>
                  </w:pPr>
                  <w:r>
                    <w:rPr>
                      <w:rFonts w:ascii="Times New Roman" w:hAnsi="Times New Roman" w:eastAsia="Times New Roman" w:cs="Times New Roman"/>
                      <w:spacing w:val="-16"/>
                      <w:sz w:val="26"/>
                      <w:szCs w:val="26"/>
                    </w:rPr>
                    <w:t>(503)</w:t>
                  </w:r>
                </w:p>
              </w:txbxContent>
            </v:textbox>
          </v:shape>
        </w:pict>
      </w:r>
      <w:r>
        <w:rPr>
          <w:rFonts w:ascii="Times New Roman" w:hAnsi="Times New Roman" w:eastAsia="Times New Roman" w:cs="Times New Roman"/>
          <w:spacing w:val="-2"/>
          <w:sz w:val="22"/>
          <w:szCs w:val="22"/>
        </w:rPr>
        <w:t>(306)</w:t>
      </w:r>
    </w:p>
    <w:p w14:paraId="4BE74EC2">
      <w:pPr>
        <w:spacing w:line="190" w:lineRule="auto"/>
        <w:ind w:left="422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(202)</w:t>
      </w:r>
    </w:p>
    <w:p w14:paraId="58DE2990">
      <w:pPr>
        <w:pStyle w:val="2"/>
        <w:spacing w:before="49" w:line="219" w:lineRule="auto"/>
        <w:ind w:left="5994"/>
        <w:rPr>
          <w:sz w:val="22"/>
          <w:szCs w:val="22"/>
        </w:rPr>
      </w:pPr>
      <w:r>
        <w:rPr>
          <w:spacing w:val="-7"/>
          <w:sz w:val="22"/>
          <w:szCs w:val="22"/>
        </w:rPr>
        <w:t>诊断能力设计(307)</w:t>
      </w:r>
    </w:p>
    <w:p w14:paraId="537A120E">
      <w:pPr>
        <w:spacing w:line="389" w:lineRule="auto"/>
        <w:rPr>
          <w:rFonts w:ascii="Arial"/>
          <w:sz w:val="21"/>
        </w:rPr>
      </w:pPr>
    </w:p>
    <w:p w14:paraId="3F4E9058">
      <w:pPr>
        <w:pStyle w:val="2"/>
        <w:spacing w:before="65" w:line="219" w:lineRule="auto"/>
        <w:ind w:left="6064"/>
        <w:rPr>
          <w:sz w:val="20"/>
          <w:szCs w:val="20"/>
        </w:rPr>
      </w:pPr>
      <w:r>
        <w:rPr>
          <w:spacing w:val="9"/>
          <w:sz w:val="20"/>
          <w:szCs w:val="20"/>
        </w:rPr>
        <w:t>对承制方、转承制方和供</w:t>
      </w:r>
    </w:p>
    <w:p w14:paraId="26E63D19">
      <w:pPr>
        <w:pStyle w:val="2"/>
        <w:spacing w:before="35" w:line="220" w:lineRule="auto"/>
        <w:ind w:left="6134"/>
        <w:rPr>
          <w:sz w:val="20"/>
          <w:szCs w:val="20"/>
        </w:rPr>
      </w:pPr>
      <w:r>
        <w:pict>
          <v:shape id="_x0000_s1044" o:spid="_x0000_s1044" o:spt="202" type="#_x0000_t202" style="position:absolute;left:0pt;margin-left:54.7pt;margin-top:0.65pt;height:15.05pt;width:55.25pt;z-index:251673600;mso-width-relative:page;mso-height-relative:page;" filled="f" stroked="f" coordsize="21600,21600">
            <v:path/>
            <v:fill on="f" focussize="0,0"/>
            <v:stroke on="f"/>
            <v:imagedata o:title=""/>
            <o:lock v:ext="edit" aspectratio="f"/>
            <v:textbox inset="0mm,0mm,0mm,0mm">
              <w:txbxContent>
                <w:p w14:paraId="22BB176D">
                  <w:pPr>
                    <w:pStyle w:val="2"/>
                    <w:spacing w:before="19" w:line="219" w:lineRule="auto"/>
                    <w:ind w:left="20"/>
                    <w:rPr>
                      <w:sz w:val="22"/>
                      <w:szCs w:val="22"/>
                    </w:rPr>
                  </w:pPr>
                  <w:r>
                    <w:rPr>
                      <w:spacing w:val="-6"/>
                      <w:sz w:val="22"/>
                      <w:szCs w:val="22"/>
                    </w:rPr>
                    <w:t>合同任务书</w:t>
                  </w:r>
                </w:p>
              </w:txbxContent>
            </v:textbox>
          </v:shape>
        </w:pict>
      </w:r>
      <w:r>
        <w:rPr>
          <w:spacing w:val="10"/>
          <w:sz w:val="20"/>
          <w:szCs w:val="20"/>
        </w:rPr>
        <w:t>应方的监督和控制(203)</w:t>
      </w:r>
    </w:p>
    <w:p w14:paraId="226533BF">
      <w:pPr>
        <w:pStyle w:val="2"/>
        <w:spacing w:before="67" w:line="218" w:lineRule="auto"/>
        <w:ind w:left="12627"/>
        <w:rPr>
          <w:sz w:val="20"/>
          <w:szCs w:val="20"/>
        </w:rPr>
      </w:pPr>
      <w:r>
        <w:rPr>
          <w:b/>
          <w:bCs/>
          <w:spacing w:val="4"/>
          <w:sz w:val="20"/>
          <w:szCs w:val="20"/>
        </w:rPr>
        <w:t>测试性评价</w:t>
      </w:r>
    </w:p>
    <w:p w14:paraId="3EB0F3C8">
      <w:pPr>
        <w:pStyle w:val="2"/>
        <w:spacing w:before="179" w:line="220" w:lineRule="auto"/>
        <w:ind w:left="7024"/>
        <w:rPr>
          <w:sz w:val="22"/>
          <w:szCs w:val="22"/>
        </w:rPr>
      </w:pPr>
      <w:r>
        <w:pict>
          <v:shape id="_x0000_s1045" o:spid="_x0000_s1045" o:spt="202" type="#_x0000_t202" style="position:absolute;left:0pt;margin-left:630.2pt;margin-top:1.2pt;height:51.85pt;width:54.25pt;z-index:251669504;mso-width-relative:page;mso-height-relative:page;" filled="f" stroked="f" coordsize="21600,21600">
            <v:path/>
            <v:fill on="f" focussize="0,0"/>
            <v:stroke on="f"/>
            <v:imagedata o:title=""/>
            <o:lock v:ext="edit" aspectratio="f"/>
            <v:textbox inset="0mm,0mm,0mm,0mm">
              <w:txbxContent>
                <w:p w14:paraId="234988C7">
                  <w:pPr>
                    <w:spacing w:before="19" w:line="192" w:lineRule="auto"/>
                    <w:ind w:left="310"/>
                    <w:rPr>
                      <w:rFonts w:ascii="Times New Roman" w:hAnsi="Times New Roman" w:eastAsia="Times New Roman" w:cs="Times New Roman"/>
                      <w:sz w:val="29"/>
                      <w:szCs w:val="29"/>
                    </w:rPr>
                  </w:pPr>
                  <w:r>
                    <w:rPr>
                      <w:rFonts w:ascii="Times New Roman" w:hAnsi="Times New Roman" w:eastAsia="Times New Roman" w:cs="Times New Roman"/>
                      <w:spacing w:val="-15"/>
                      <w:w w:val="90"/>
                      <w:sz w:val="29"/>
                      <w:szCs w:val="29"/>
                    </w:rPr>
                    <w:t>(502)</w:t>
                  </w:r>
                </w:p>
                <w:p w14:paraId="713B98FA">
                  <w:pPr>
                    <w:pStyle w:val="2"/>
                    <w:spacing w:before="247" w:line="212" w:lineRule="auto"/>
                    <w:ind w:left="310" w:right="20" w:hanging="290"/>
                    <w:rPr>
                      <w:sz w:val="22"/>
                      <w:szCs w:val="22"/>
                    </w:rPr>
                  </w:pPr>
                  <w:r>
                    <w:rPr>
                      <w:spacing w:val="8"/>
                      <w:sz w:val="20"/>
                      <w:szCs w:val="20"/>
                    </w:rPr>
                    <w:t>测试性信息</w:t>
                  </w:r>
                  <w:r>
                    <w:rPr>
                      <w:spacing w:val="3"/>
                      <w:sz w:val="20"/>
                      <w:szCs w:val="20"/>
                    </w:rPr>
                    <w:t xml:space="preserve"> </w:t>
                  </w:r>
                  <w:r>
                    <w:rPr>
                      <w:spacing w:val="-5"/>
                      <w:sz w:val="22"/>
                      <w:szCs w:val="22"/>
                    </w:rPr>
                    <w:t>收集</w:t>
                  </w:r>
                </w:p>
              </w:txbxContent>
            </v:textbox>
          </v:shape>
        </w:pict>
      </w:r>
      <w:r>
        <w:rPr>
          <w:spacing w:val="-5"/>
          <w:sz w:val="22"/>
          <w:szCs w:val="22"/>
        </w:rPr>
        <w:t>测试性评审(204)</w:t>
      </w:r>
    </w:p>
    <w:p w14:paraId="49E24FAE">
      <w:pPr>
        <w:spacing w:line="362" w:lineRule="auto"/>
        <w:rPr>
          <w:rFonts w:ascii="Arial"/>
          <w:sz w:val="21"/>
        </w:rPr>
      </w:pPr>
    </w:p>
    <w:p w14:paraId="4D076623">
      <w:pPr>
        <w:pStyle w:val="2"/>
        <w:spacing w:before="73" w:line="186" w:lineRule="auto"/>
        <w:ind w:left="7334"/>
        <w:rPr>
          <w:sz w:val="22"/>
          <w:szCs w:val="22"/>
        </w:rPr>
      </w:pPr>
      <w:r>
        <w:pict>
          <v:shape id="_x0000_s1046" o:spid="_x0000_s1046" o:spt="202" type="#_x0000_t202" style="position:absolute;left:0pt;margin-left:95.2pt;margin-top:7.15pt;height:47.65pt;width:64.9pt;z-index:251668480;mso-width-relative:page;mso-height-relative:page;" filled="f" stroked="f" coordsize="21600,21600">
            <v:path/>
            <v:fill on="f" focussize="0,0"/>
            <v:stroke on="f"/>
            <v:imagedata o:title=""/>
            <o:lock v:ext="edit" aspectratio="f"/>
            <v:textbox inset="0mm,0mm,0mm,0mm">
              <w:txbxContent>
                <w:p w14:paraId="3B059D8E">
                  <w:pPr>
                    <w:pStyle w:val="2"/>
                    <w:spacing w:before="20" w:line="220" w:lineRule="auto"/>
                    <w:ind w:left="20"/>
                    <w:rPr>
                      <w:sz w:val="22"/>
                      <w:szCs w:val="22"/>
                    </w:rPr>
                  </w:pPr>
                  <w:r>
                    <w:rPr>
                      <w:spacing w:val="-9"/>
                      <w:sz w:val="22"/>
                      <w:szCs w:val="22"/>
                    </w:rPr>
                    <w:t>工作项目系列</w:t>
                  </w:r>
                </w:p>
                <w:p w14:paraId="6F8661CC">
                  <w:pPr>
                    <w:spacing w:line="314" w:lineRule="auto"/>
                    <w:rPr>
                      <w:rFonts w:ascii="Arial"/>
                      <w:sz w:val="21"/>
                    </w:rPr>
                  </w:pPr>
                </w:p>
                <w:p w14:paraId="17B2017B">
                  <w:pPr>
                    <w:pStyle w:val="2"/>
                    <w:spacing w:before="71" w:line="220" w:lineRule="auto"/>
                    <w:ind w:left="29"/>
                    <w:rPr>
                      <w:sz w:val="22"/>
                      <w:szCs w:val="22"/>
                    </w:rPr>
                  </w:pPr>
                  <w:r>
                    <w:rPr>
                      <w:spacing w:val="-3"/>
                      <w:sz w:val="22"/>
                      <w:szCs w:val="22"/>
                    </w:rPr>
                    <w:t>工作项目</w:t>
                  </w:r>
                </w:p>
              </w:txbxContent>
            </v:textbox>
          </v:shape>
        </w:pict>
      </w:r>
      <w:r>
        <w:rPr>
          <w:spacing w:val="-8"/>
          <w:sz w:val="22"/>
          <w:szCs w:val="22"/>
        </w:rPr>
        <w:t>测试性数据收集、分析和管理(205)</w:t>
      </w:r>
    </w:p>
    <w:p w14:paraId="2DEE9ABA">
      <w:pPr>
        <w:spacing w:before="1" w:line="191" w:lineRule="auto"/>
        <w:ind w:left="12914"/>
        <w:rPr>
          <w:rFonts w:ascii="Times New Roman" w:hAnsi="Times New Roman" w:eastAsia="Times New Roman" w:cs="Times New Roman"/>
          <w:sz w:val="24"/>
          <w:szCs w:val="24"/>
        </w:rPr>
      </w:pPr>
      <w:r>
        <w:rPr>
          <w:rFonts w:ascii="Times New Roman" w:hAnsi="Times New Roman" w:eastAsia="Times New Roman" w:cs="Times New Roman"/>
          <w:spacing w:val="-9"/>
          <w:sz w:val="24"/>
          <w:szCs w:val="24"/>
        </w:rPr>
        <w:t>(501)</w:t>
      </w:r>
    </w:p>
    <w:p w14:paraId="5B7763B2">
      <w:pPr>
        <w:pStyle w:val="2"/>
        <w:spacing w:before="228" w:line="219" w:lineRule="auto"/>
        <w:ind w:left="8394"/>
        <w:rPr>
          <w:sz w:val="22"/>
          <w:szCs w:val="22"/>
        </w:rPr>
      </w:pPr>
      <w:r>
        <mc:AlternateContent>
          <mc:Choice Requires="wps">
            <w:drawing>
              <wp:anchor distT="0" distB="0" distL="0" distR="0" simplePos="0" relativeHeight="251674624" behindDoc="0" locked="0" layoutInCell="1" allowOverlap="1">
                <wp:simplePos x="0" y="0"/>
                <wp:positionH relativeFrom="column">
                  <wp:posOffset>-42545</wp:posOffset>
                </wp:positionH>
                <wp:positionV relativeFrom="paragraph">
                  <wp:posOffset>369570</wp:posOffset>
                </wp:positionV>
                <wp:extent cx="289560" cy="349885"/>
                <wp:effectExtent l="0" t="30480" r="0" b="0"/>
                <wp:wrapNone/>
                <wp:docPr id="11" name="TextBox 6"/>
                <wp:cNvGraphicFramePr/>
                <a:graphic xmlns:a="http://schemas.openxmlformats.org/drawingml/2006/main">
                  <a:graphicData uri="http://schemas.microsoft.com/office/word/2010/wordprocessingShape">
                    <wps:wsp>
                      <wps:cNvSpPr txBox="1"/>
                      <wps:spPr>
                        <a:xfrm rot="5400000">
                          <a:off x="-43174" y="369717"/>
                          <a:ext cx="289559" cy="3498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64309A">
                            <w:pPr>
                              <w:pStyle w:val="2"/>
                              <w:spacing w:before="114"/>
                              <w:jc w:val="right"/>
                              <w:rPr>
                                <w:sz w:val="32"/>
                                <w:szCs w:val="32"/>
                              </w:rPr>
                            </w:pPr>
                            <w:r>
                              <w:rPr>
                                <w:spacing w:val="-24"/>
                                <w:sz w:val="32"/>
                                <w:szCs w:val="32"/>
                              </w:rPr>
                              <w:t>42</w:t>
                            </w:r>
                            <w:r>
                              <w:rPr>
                                <w:spacing w:val="-18"/>
                                <w:sz w:val="32"/>
                                <w:szCs w:val="32"/>
                              </w:rPr>
                              <w:t>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 o:spid="_x0000_s1026" o:spt="202" type="#_x0000_t202" style="position:absolute;left:0pt;margin-left:-3.35pt;margin-top:29.1pt;height:27.55pt;width:22.8pt;rotation:5898240f;z-index:251674624;mso-width-relative:page;mso-height-relative:page;" filled="f" stroked="f" coordsize="21600,21600" o:gfxdata="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J7IXF1wAAAAgBAAAPAAAA&#10;AAAAAAEAIAAAACIAAABkcnMvZG93bnJldi54bWxQSwECFAAUAAAACACHTuJAniVxJ08CAACfBAAA&#10;DgAAAAAAAAABACAAAAAmAQAAZHJzL2Uyb0RvYy54bWxQSwUGAAAAAAYABgBZAQAA5wUAAAAA&#10;">
                <v:fill on="f" focussize="0,0"/>
                <v:stroke on="f" weight="0pt" miterlimit="0" joinstyle="miter"/>
                <v:imagedata o:title=""/>
                <o:lock v:ext="edit" aspectratio="f"/>
                <v:textbox inset="0mm,0mm,0mm,0mm">
                  <w:txbxContent>
                    <w:p w14:paraId="3864309A">
                      <w:pPr>
                        <w:pStyle w:val="2"/>
                        <w:spacing w:before="114"/>
                        <w:jc w:val="right"/>
                        <w:rPr>
                          <w:sz w:val="32"/>
                          <w:szCs w:val="32"/>
                        </w:rPr>
                      </w:pPr>
                      <w:r>
                        <w:rPr>
                          <w:spacing w:val="-24"/>
                          <w:sz w:val="32"/>
                          <w:szCs w:val="32"/>
                        </w:rPr>
                        <w:t>42</w:t>
                      </w:r>
                      <w:r>
                        <w:rPr>
                          <w:spacing w:val="-18"/>
                          <w:sz w:val="32"/>
                          <w:szCs w:val="32"/>
                        </w:rPr>
                        <w:t>9</w:t>
                      </w:r>
                    </w:p>
                  </w:txbxContent>
                </v:textbox>
              </v:shape>
            </w:pict>
          </mc:Fallback>
        </mc:AlternateContent>
      </w:r>
      <w:r>
        <w:rPr>
          <w:spacing w:val="-7"/>
          <w:sz w:val="22"/>
          <w:szCs w:val="22"/>
        </w:rPr>
        <w:t>测试性增长管理(206)</w:t>
      </w:r>
    </w:p>
    <w:p w14:paraId="46C7DA90">
      <w:pPr>
        <w:pStyle w:val="2"/>
        <w:spacing w:before="308" w:line="184" w:lineRule="auto"/>
        <w:ind w:left="5748"/>
        <w:rPr>
          <w:sz w:val="24"/>
          <w:szCs w:val="24"/>
        </w:rPr>
      </w:pPr>
      <w:r>
        <w:rPr>
          <w:b/>
          <w:bCs/>
          <w:spacing w:val="-6"/>
          <w:sz w:val="24"/>
          <w:szCs w:val="24"/>
        </w:rPr>
        <w:t>图9.</w:t>
      </w:r>
      <w:r>
        <w:rPr>
          <w:spacing w:val="-67"/>
          <w:sz w:val="24"/>
          <w:szCs w:val="24"/>
        </w:rPr>
        <w:t xml:space="preserve"> </w:t>
      </w:r>
      <w:r>
        <w:rPr>
          <w:b/>
          <w:bCs/>
          <w:spacing w:val="-6"/>
          <w:sz w:val="24"/>
          <w:szCs w:val="24"/>
        </w:rPr>
        <w:t>1</w:t>
      </w:r>
      <w:r>
        <w:rPr>
          <w:spacing w:val="21"/>
          <w:sz w:val="24"/>
          <w:szCs w:val="24"/>
        </w:rPr>
        <w:t xml:space="preserve">  </w:t>
      </w:r>
      <w:r>
        <w:rPr>
          <w:b/>
          <w:bCs/>
          <w:spacing w:val="-6"/>
          <w:sz w:val="24"/>
          <w:szCs w:val="24"/>
        </w:rPr>
        <w:t>测试性工作流程示意图</w:t>
      </w:r>
    </w:p>
    <w:p w14:paraId="7B5A8361">
      <w:pPr>
        <w:spacing w:line="184" w:lineRule="auto"/>
        <w:rPr>
          <w:sz w:val="24"/>
          <w:szCs w:val="24"/>
        </w:rPr>
        <w:sectPr>
          <w:type w:val="continuous"/>
          <w:pgSz w:w="17130" w:h="11910"/>
          <w:pgMar w:top="1012" w:right="1740" w:bottom="400" w:left="1385" w:header="0" w:footer="0" w:gutter="0"/>
          <w:cols w:equalWidth="0" w:num="1">
            <w:col w:w="14005"/>
          </w:cols>
        </w:sectPr>
      </w:pPr>
    </w:p>
    <w:p w14:paraId="15EAC5C4">
      <w:pPr>
        <w:spacing w:before="108" w:line="221"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5"/>
          <w:sz w:val="27"/>
          <w:szCs w:val="27"/>
        </w:rPr>
        <w:t xml:space="preserve">   </w:t>
      </w:r>
      <w:r>
        <w:rPr>
          <w:rFonts w:ascii="黑体" w:hAnsi="黑体" w:eastAsia="黑体" w:cs="黑体"/>
          <w:b/>
          <w:bCs/>
          <w:sz w:val="27"/>
          <w:szCs w:val="27"/>
        </w:rPr>
        <w:t>测试性工作项目与其他工程的协调</w:t>
      </w:r>
    </w:p>
    <w:p w14:paraId="7F3F0F42">
      <w:pPr>
        <w:pStyle w:val="2"/>
        <w:spacing w:before="94" w:line="271" w:lineRule="auto"/>
        <w:ind w:right="2" w:firstLine="570"/>
        <w:jc w:val="both"/>
      </w:pPr>
      <w:r>
        <w:rPr>
          <w:spacing w:val="1"/>
        </w:rPr>
        <w:t>说明测试性工作项目与相关工程，特别是与按</w:t>
      </w:r>
      <w:r>
        <w:rPr>
          <w:spacing w:val="-80"/>
        </w:rPr>
        <w:t xml:space="preserve"> </w:t>
      </w:r>
      <w:r>
        <w:rPr>
          <w:rFonts w:ascii="Times New Roman" w:hAnsi="Times New Roman" w:eastAsia="Times New Roman" w:cs="Times New Roman"/>
        </w:rPr>
        <w:t>GJB 450A</w:t>
      </w:r>
      <w:r>
        <w:rPr>
          <w:rFonts w:ascii="Times New Roman" w:hAnsi="Times New Roman" w:eastAsia="Times New Roman" w:cs="Times New Roman"/>
          <w:spacing w:val="-39"/>
        </w:rPr>
        <w:t xml:space="preserve"> </w:t>
      </w:r>
      <w:r>
        <w:t>、</w:t>
      </w:r>
      <w:r>
        <w:rPr>
          <w:rFonts w:ascii="Times New Roman" w:hAnsi="Times New Roman" w:eastAsia="Times New Roman" w:cs="Times New Roman"/>
        </w:rPr>
        <w:t>GJB 368B</w:t>
      </w:r>
      <w:r>
        <w:rPr>
          <w:rFonts w:ascii="Times New Roman" w:hAnsi="Times New Roman" w:eastAsia="Times New Roman" w:cs="Times New Roman"/>
          <w:spacing w:val="-39"/>
        </w:rPr>
        <w:t xml:space="preserve"> </w:t>
      </w:r>
      <w:r>
        <w:t>、</w:t>
      </w:r>
      <w:r>
        <w:rPr>
          <w:rFonts w:ascii="Times New Roman" w:hAnsi="Times New Roman" w:eastAsia="Times New Roman" w:cs="Times New Roman"/>
        </w:rPr>
        <w:t xml:space="preserve">GJB </w:t>
      </w:r>
      <w:r>
        <w:rPr>
          <w:spacing w:val="-2"/>
        </w:rPr>
        <w:t>3872确定的可靠性、维修性和综合保障工作项目协调的情况，以便综</w:t>
      </w:r>
      <w:r>
        <w:rPr>
          <w:spacing w:val="-3"/>
        </w:rPr>
        <w:t>合安排，相</w:t>
      </w:r>
      <w:r>
        <w:t xml:space="preserve"> </w:t>
      </w:r>
      <w:r>
        <w:rPr>
          <w:spacing w:val="-6"/>
        </w:rPr>
        <w:t>互利用信息，减少重复的工作。</w:t>
      </w:r>
    </w:p>
    <w:p w14:paraId="676D1F4B">
      <w:pPr>
        <w:spacing w:before="12" w:line="221" w:lineRule="auto"/>
        <w:outlineLvl w:val="3"/>
        <w:rPr>
          <w:rFonts w:ascii="黑体" w:hAnsi="黑体" w:eastAsia="黑体" w:cs="黑体"/>
          <w:sz w:val="27"/>
          <w:szCs w:val="27"/>
        </w:rPr>
      </w:pPr>
      <w:r>
        <w:rPr>
          <w:rFonts w:ascii="Arial" w:hAnsi="Arial" w:eastAsia="Arial" w:cs="Arial"/>
          <w:b/>
          <w:bCs/>
          <w:sz w:val="27"/>
          <w:szCs w:val="27"/>
        </w:rPr>
        <w:t>6</w:t>
      </w:r>
      <w:r>
        <w:rPr>
          <w:rFonts w:ascii="Arial" w:hAnsi="Arial" w:eastAsia="Arial" w:cs="Arial"/>
          <w:b/>
          <w:bCs/>
          <w:spacing w:val="22"/>
          <w:w w:val="101"/>
          <w:sz w:val="27"/>
          <w:szCs w:val="27"/>
        </w:rPr>
        <w:t xml:space="preserve">   </w:t>
      </w:r>
      <w:r>
        <w:rPr>
          <w:rFonts w:ascii="黑体" w:hAnsi="黑体" w:eastAsia="黑体" w:cs="黑体"/>
          <w:b/>
          <w:bCs/>
          <w:sz w:val="27"/>
          <w:szCs w:val="27"/>
        </w:rPr>
        <w:t>测试性工作项目的实施内容</w:t>
      </w:r>
    </w:p>
    <w:p w14:paraId="2D9256C9">
      <w:pPr>
        <w:pStyle w:val="2"/>
        <w:spacing w:before="92" w:line="277" w:lineRule="auto"/>
        <w:ind w:right="35" w:firstLine="570"/>
      </w:pPr>
      <w:r>
        <w:rPr>
          <w:spacing w:val="5"/>
        </w:rPr>
        <w:t>明确对测试性工作项目的具体要求和注意事项，以确保测试性工作项目的</w:t>
      </w:r>
      <w:r>
        <w:t xml:space="preserve"> </w:t>
      </w:r>
      <w:r>
        <w:rPr>
          <w:spacing w:val="-1"/>
        </w:rPr>
        <w:t>实施效果。</w:t>
      </w:r>
    </w:p>
    <w:p w14:paraId="728D6188">
      <w:pPr>
        <w:pStyle w:val="2"/>
        <w:spacing w:before="341" w:line="221" w:lineRule="auto"/>
        <w:ind w:left="3360"/>
        <w:rPr>
          <w:sz w:val="36"/>
          <w:szCs w:val="36"/>
        </w:rPr>
      </w:pPr>
      <w:r>
        <w:rPr>
          <w:spacing w:val="-3"/>
          <w:sz w:val="36"/>
          <w:szCs w:val="36"/>
        </w:rPr>
        <w:t>9.4</w:t>
      </w:r>
      <w:r>
        <w:rPr>
          <w:spacing w:val="17"/>
          <w:sz w:val="36"/>
          <w:szCs w:val="36"/>
        </w:rPr>
        <w:t xml:space="preserve">  </w:t>
      </w:r>
      <w:r>
        <w:rPr>
          <w:b/>
          <w:bCs/>
          <w:spacing w:val="-3"/>
          <w:sz w:val="36"/>
          <w:szCs w:val="36"/>
        </w:rPr>
        <w:t>测试性计划</w:t>
      </w:r>
    </w:p>
    <w:p w14:paraId="7DE2F572">
      <w:pPr>
        <w:spacing w:line="319" w:lineRule="auto"/>
        <w:rPr>
          <w:rFonts w:ascii="Arial"/>
          <w:sz w:val="21"/>
        </w:rPr>
      </w:pPr>
    </w:p>
    <w:p w14:paraId="254C8063">
      <w:pPr>
        <w:pStyle w:val="2"/>
        <w:spacing w:before="91" w:line="223" w:lineRule="auto"/>
        <w:ind w:left="57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3C7B3F10">
      <w:pPr>
        <w:spacing w:before="96"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28F8F6CA">
      <w:pPr>
        <w:spacing w:before="6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7DE8E578">
      <w:pPr>
        <w:spacing w:before="77" w:line="222"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5"/>
          <w:sz w:val="27"/>
          <w:szCs w:val="27"/>
        </w:rPr>
        <w:t xml:space="preserve">  </w:t>
      </w:r>
      <w:r>
        <w:rPr>
          <w:rFonts w:ascii="黑体" w:hAnsi="黑体" w:eastAsia="黑体" w:cs="黑体"/>
          <w:b/>
          <w:bCs/>
          <w:sz w:val="27"/>
          <w:szCs w:val="27"/>
        </w:rPr>
        <w:t>总体要求和安排</w:t>
      </w:r>
    </w:p>
    <w:p w14:paraId="78C254C1">
      <w:pPr>
        <w:pStyle w:val="2"/>
        <w:spacing w:before="118" w:line="272" w:lineRule="auto"/>
        <w:ind w:right="5" w:firstLine="570"/>
      </w:pPr>
      <w:r>
        <w:rPr>
          <w:spacing w:val="6"/>
        </w:rPr>
        <w:t>对装备寿命周期，尤其是研制阶段和早期使用阶段的测试性工作做出</w:t>
      </w:r>
      <w:r>
        <w:rPr>
          <w:spacing w:val="5"/>
        </w:rPr>
        <w:t>全面</w:t>
      </w:r>
      <w:r>
        <w:t xml:space="preserve"> </w:t>
      </w:r>
      <w:r>
        <w:rPr>
          <w:spacing w:val="-8"/>
        </w:rPr>
        <w:t>安排，规定各阶段应做好的工作，明确工作要</w:t>
      </w:r>
      <w:r>
        <w:rPr>
          <w:spacing w:val="-9"/>
        </w:rPr>
        <w:t>求。</w:t>
      </w:r>
    </w:p>
    <w:p w14:paraId="251E7128">
      <w:pPr>
        <w:spacing w:before="1" w:line="220" w:lineRule="auto"/>
        <w:outlineLvl w:val="3"/>
        <w:rPr>
          <w:rFonts w:ascii="黑体" w:hAnsi="黑体" w:eastAsia="黑体" w:cs="黑体"/>
          <w:sz w:val="27"/>
          <w:szCs w:val="27"/>
        </w:rPr>
      </w:pPr>
      <w:r>
        <w:rPr>
          <w:rFonts w:ascii="Arial" w:hAnsi="Arial" w:eastAsia="Arial" w:cs="Arial"/>
          <w:b/>
          <w:bCs/>
          <w:spacing w:val="2"/>
          <w:sz w:val="27"/>
          <w:szCs w:val="27"/>
        </w:rPr>
        <w:t>4</w:t>
      </w:r>
      <w:r>
        <w:rPr>
          <w:rFonts w:ascii="Arial" w:hAnsi="Arial" w:eastAsia="Arial" w:cs="Arial"/>
          <w:b/>
          <w:bCs/>
          <w:spacing w:val="20"/>
          <w:sz w:val="27"/>
          <w:szCs w:val="27"/>
        </w:rPr>
        <w:t xml:space="preserve">   </w:t>
      </w:r>
      <w:r>
        <w:rPr>
          <w:rFonts w:ascii="黑体" w:hAnsi="黑体" w:eastAsia="黑体" w:cs="黑体"/>
          <w:b/>
          <w:bCs/>
          <w:spacing w:val="2"/>
          <w:sz w:val="27"/>
          <w:szCs w:val="27"/>
        </w:rPr>
        <w:t>管理和实施机构及其职责</w:t>
      </w:r>
    </w:p>
    <w:p w14:paraId="6F9B2495">
      <w:pPr>
        <w:pStyle w:val="2"/>
        <w:spacing w:before="92" w:line="289" w:lineRule="auto"/>
        <w:ind w:firstLine="570"/>
      </w:pPr>
      <w:r>
        <w:rPr>
          <w:spacing w:val="6"/>
        </w:rPr>
        <w:t>确定测试性工作的管理与实施机构及其职责。应明确订购方完成的工作项</w:t>
      </w:r>
      <w:r>
        <w:rPr>
          <w:spacing w:val="3"/>
        </w:rPr>
        <w:t xml:space="preserve"> </w:t>
      </w:r>
      <w:r>
        <w:rPr>
          <w:spacing w:val="-8"/>
        </w:rPr>
        <w:t>目及其要求、主要工作内容、进度安排以及实施单位等。</w:t>
      </w:r>
    </w:p>
    <w:p w14:paraId="34CF0FF0">
      <w:pPr>
        <w:spacing w:before="1" w:line="221" w:lineRule="auto"/>
        <w:rPr>
          <w:rFonts w:ascii="黑体" w:hAnsi="黑体" w:eastAsia="黑体" w:cs="黑体"/>
          <w:sz w:val="24"/>
          <w:szCs w:val="24"/>
        </w:rPr>
      </w:pPr>
      <w:r>
        <w:rPr>
          <w:rFonts w:ascii="黑体" w:hAnsi="黑体" w:eastAsia="黑体" w:cs="黑体"/>
          <w:spacing w:val="28"/>
          <w:sz w:val="24"/>
          <w:szCs w:val="24"/>
        </w:rPr>
        <w:t>5</w:t>
      </w:r>
      <w:r>
        <w:rPr>
          <w:rFonts w:ascii="黑体" w:hAnsi="黑体" w:eastAsia="黑体" w:cs="黑体"/>
          <w:spacing w:val="36"/>
          <w:sz w:val="24"/>
          <w:szCs w:val="24"/>
        </w:rPr>
        <w:t xml:space="preserve">  </w:t>
      </w:r>
      <w:r>
        <w:rPr>
          <w:rFonts w:ascii="黑体" w:hAnsi="黑体" w:eastAsia="黑体" w:cs="黑体"/>
          <w:b/>
          <w:bCs/>
          <w:spacing w:val="28"/>
          <w:sz w:val="24"/>
          <w:szCs w:val="24"/>
        </w:rPr>
        <w:t>有关论证工作的安排</w:t>
      </w:r>
    </w:p>
    <w:p w14:paraId="709FCA33">
      <w:pPr>
        <w:pStyle w:val="2"/>
        <w:spacing w:before="98" w:line="219" w:lineRule="auto"/>
        <w:ind w:left="570"/>
      </w:pPr>
      <w:r>
        <w:rPr>
          <w:spacing w:val="4"/>
        </w:rPr>
        <w:t>说明测试性要求和测试性工作项目要求的论证工作的安排。</w:t>
      </w:r>
    </w:p>
    <w:p w14:paraId="21FEAAC1">
      <w:pPr>
        <w:spacing w:before="103" w:line="222" w:lineRule="auto"/>
        <w:outlineLvl w:val="3"/>
        <w:rPr>
          <w:rFonts w:ascii="黑体" w:hAnsi="黑体" w:eastAsia="黑体" w:cs="黑体"/>
          <w:sz w:val="24"/>
          <w:szCs w:val="24"/>
        </w:rPr>
      </w:pPr>
      <w:r>
        <w:rPr>
          <w:rFonts w:ascii="Arial" w:hAnsi="Arial" w:eastAsia="Arial" w:cs="Arial"/>
          <w:b/>
          <w:bCs/>
          <w:spacing w:val="27"/>
          <w:sz w:val="24"/>
          <w:szCs w:val="24"/>
        </w:rPr>
        <w:t>6</w:t>
      </w:r>
      <w:r>
        <w:rPr>
          <w:rFonts w:ascii="Arial" w:hAnsi="Arial" w:eastAsia="Arial" w:cs="Arial"/>
          <w:b/>
          <w:bCs/>
          <w:spacing w:val="10"/>
          <w:sz w:val="24"/>
          <w:szCs w:val="24"/>
        </w:rPr>
        <w:t xml:space="preserve">    </w:t>
      </w:r>
      <w:r>
        <w:rPr>
          <w:rFonts w:ascii="黑体" w:hAnsi="黑体" w:eastAsia="黑体" w:cs="黑体"/>
          <w:b/>
          <w:bCs/>
          <w:spacing w:val="27"/>
          <w:sz w:val="24"/>
          <w:szCs w:val="24"/>
        </w:rPr>
        <w:t>信息工作的要求与安排</w:t>
      </w:r>
    </w:p>
    <w:p w14:paraId="5E86A7F6">
      <w:pPr>
        <w:pStyle w:val="2"/>
        <w:spacing w:before="106" w:line="282" w:lineRule="auto"/>
        <w:ind w:right="5" w:firstLine="570"/>
        <w:jc w:val="both"/>
      </w:pPr>
      <w:r>
        <w:rPr>
          <w:spacing w:val="6"/>
        </w:rPr>
        <w:t>说明测试性信息工作的要求与安排，即明确装备寿命周期各阶段对</w:t>
      </w:r>
      <w:r>
        <w:rPr>
          <w:spacing w:val="5"/>
        </w:rPr>
        <w:t>测试性</w:t>
      </w:r>
      <w:r>
        <w:t xml:space="preserve"> </w:t>
      </w:r>
      <w:r>
        <w:rPr>
          <w:spacing w:val="-10"/>
        </w:rPr>
        <w:t>信息的要求，对现有的装备信息系统的利用或完善，有效地收集、记录、分析、处</w:t>
      </w:r>
      <w:r>
        <w:t xml:space="preserve"> </w:t>
      </w:r>
      <w:r>
        <w:rPr>
          <w:spacing w:val="4"/>
        </w:rPr>
        <w:t>理和反馈测试性信息的程序等。</w:t>
      </w:r>
    </w:p>
    <w:p w14:paraId="21977076">
      <w:pPr>
        <w:pStyle w:val="2"/>
        <w:spacing w:before="3" w:line="274" w:lineRule="auto"/>
        <w:ind w:right="34" w:firstLine="570"/>
      </w:pPr>
      <w:r>
        <w:rPr>
          <w:spacing w:val="-3"/>
        </w:rPr>
        <w:t>测试性信息包括装备论证、方案、工程研制、生产</w:t>
      </w:r>
      <w:r>
        <w:rPr>
          <w:spacing w:val="-4"/>
        </w:rPr>
        <w:t>和使用阶段产生的有关测</w:t>
      </w:r>
      <w:r>
        <w:t xml:space="preserve"> </w:t>
      </w:r>
      <w:r>
        <w:rPr>
          <w:spacing w:val="-8"/>
        </w:rPr>
        <w:t>试性数据、报告及文件等。</w:t>
      </w:r>
    </w:p>
    <w:p w14:paraId="4A968FE8">
      <w:pPr>
        <w:spacing w:before="13" w:line="221" w:lineRule="auto"/>
        <w:outlineLvl w:val="3"/>
        <w:rPr>
          <w:rFonts w:ascii="黑体" w:hAnsi="黑体" w:eastAsia="黑体" w:cs="黑体"/>
          <w:sz w:val="24"/>
          <w:szCs w:val="24"/>
        </w:rPr>
      </w:pPr>
      <w:r>
        <w:rPr>
          <w:rFonts w:ascii="Arial" w:hAnsi="Arial" w:eastAsia="Arial" w:cs="Arial"/>
          <w:b/>
          <w:bCs/>
          <w:spacing w:val="29"/>
          <w:sz w:val="24"/>
          <w:szCs w:val="24"/>
        </w:rPr>
        <w:t>7</w:t>
      </w:r>
      <w:r>
        <w:rPr>
          <w:rFonts w:ascii="Arial" w:hAnsi="Arial" w:eastAsia="Arial" w:cs="Arial"/>
          <w:b/>
          <w:bCs/>
          <w:spacing w:val="8"/>
          <w:sz w:val="24"/>
          <w:szCs w:val="24"/>
        </w:rPr>
        <w:t xml:space="preserve">    </w:t>
      </w:r>
      <w:r>
        <w:rPr>
          <w:rFonts w:ascii="黑体" w:hAnsi="黑体" w:eastAsia="黑体" w:cs="黑体"/>
          <w:b/>
          <w:bCs/>
          <w:spacing w:val="29"/>
          <w:sz w:val="24"/>
          <w:szCs w:val="24"/>
        </w:rPr>
        <w:t>对承制方监督与控制工作的安排</w:t>
      </w:r>
    </w:p>
    <w:p w14:paraId="606DBF31">
      <w:pPr>
        <w:pStyle w:val="2"/>
        <w:spacing w:before="87" w:line="291" w:lineRule="auto"/>
        <w:ind w:right="40" w:firstLine="570"/>
      </w:pPr>
      <w:r>
        <w:rPr>
          <w:spacing w:val="5"/>
        </w:rPr>
        <w:t>明确订购方对承制方、承制方对转承制方和供应方的测试性工</w:t>
      </w:r>
      <w:r>
        <w:rPr>
          <w:spacing w:val="4"/>
        </w:rPr>
        <w:t>作进行监督</w:t>
      </w:r>
      <w:r>
        <w:t xml:space="preserve"> </w:t>
      </w:r>
      <w:r>
        <w:rPr>
          <w:spacing w:val="1"/>
        </w:rPr>
        <w:t>与控制工作的安排。</w:t>
      </w:r>
    </w:p>
    <w:p w14:paraId="09C12E44">
      <w:pPr>
        <w:pStyle w:val="2"/>
        <w:spacing w:before="1" w:line="218" w:lineRule="auto"/>
        <w:ind w:left="570"/>
      </w:pPr>
      <w:r>
        <w:rPr>
          <w:spacing w:val="2"/>
        </w:rPr>
        <w:t>承制方对转承制和供应方的要求主要包括以下内容：</w:t>
      </w:r>
    </w:p>
    <w:p w14:paraId="0071D636">
      <w:pPr>
        <w:pStyle w:val="2"/>
        <w:spacing w:before="51" w:line="212" w:lineRule="auto"/>
        <w:ind w:left="570"/>
      </w:pPr>
      <w:r>
        <w:rPr>
          <w:rFonts w:ascii="Times New Roman" w:hAnsi="Times New Roman" w:eastAsia="Times New Roman" w:cs="Times New Roman"/>
          <w:spacing w:val="3"/>
        </w:rPr>
        <w:t>a)</w:t>
      </w:r>
      <w:r>
        <w:rPr>
          <w:rFonts w:ascii="Times New Roman" w:hAnsi="Times New Roman" w:eastAsia="Times New Roman" w:cs="Times New Roman"/>
          <w:spacing w:val="62"/>
          <w:w w:val="101"/>
        </w:rPr>
        <w:t xml:space="preserve"> </w:t>
      </w:r>
      <w:r>
        <w:rPr>
          <w:spacing w:val="3"/>
        </w:rPr>
        <w:t>测试性定量与定性要求及验证方法；</w:t>
      </w:r>
    </w:p>
    <w:p w14:paraId="7B155F78">
      <w:pPr>
        <w:pStyle w:val="2"/>
        <w:spacing w:before="100" w:line="212" w:lineRule="auto"/>
        <w:ind w:left="570"/>
      </w:pPr>
      <w:r>
        <w:rPr>
          <w:rFonts w:ascii="Times New Roman" w:hAnsi="Times New Roman" w:eastAsia="Times New Roman" w:cs="Times New Roman"/>
          <w:spacing w:val="3"/>
        </w:rPr>
        <w:t>b)</w:t>
      </w:r>
      <w:r>
        <w:rPr>
          <w:rFonts w:ascii="Times New Roman" w:hAnsi="Times New Roman" w:eastAsia="Times New Roman" w:cs="Times New Roman"/>
          <w:spacing w:val="67"/>
          <w:w w:val="101"/>
        </w:rPr>
        <w:t xml:space="preserve"> </w:t>
      </w:r>
      <w:r>
        <w:rPr>
          <w:spacing w:val="3"/>
        </w:rPr>
        <w:t>对转承制方测试性工作项目的要求；</w:t>
      </w:r>
    </w:p>
    <w:p w14:paraId="133D9887">
      <w:pPr>
        <w:pStyle w:val="2"/>
        <w:spacing w:before="90" w:line="212" w:lineRule="auto"/>
        <w:ind w:left="570"/>
      </w:pPr>
      <w:r>
        <w:rPr>
          <w:rFonts w:ascii="Times New Roman" w:hAnsi="Times New Roman" w:eastAsia="Times New Roman" w:cs="Times New Roman"/>
          <w:spacing w:val="3"/>
        </w:rPr>
        <w:t>c)</w:t>
      </w:r>
      <w:r>
        <w:rPr>
          <w:rFonts w:ascii="Times New Roman" w:hAnsi="Times New Roman" w:eastAsia="Times New Roman" w:cs="Times New Roman"/>
          <w:spacing w:val="77"/>
          <w:w w:val="101"/>
        </w:rPr>
        <w:t xml:space="preserve"> </w:t>
      </w:r>
      <w:r>
        <w:rPr>
          <w:spacing w:val="3"/>
        </w:rPr>
        <w:t>对转承制方测试性工作实施监督和检查的安排；</w:t>
      </w:r>
    </w:p>
    <w:p w14:paraId="09960ECF">
      <w:pPr>
        <w:spacing w:line="212" w:lineRule="auto"/>
        <w:sectPr>
          <w:footerReference r:id="rId447" w:type="default"/>
          <w:pgSz w:w="11910" w:h="17130"/>
          <w:pgMar w:top="1456" w:right="1483" w:bottom="1633" w:left="1019" w:header="0" w:footer="1435" w:gutter="0"/>
          <w:cols w:space="720" w:num="1"/>
        </w:sectPr>
      </w:pPr>
    </w:p>
    <w:p w14:paraId="32CB01EF">
      <w:pPr>
        <w:pStyle w:val="2"/>
        <w:spacing w:before="53" w:line="212" w:lineRule="auto"/>
        <w:ind w:left="560"/>
        <w:rPr>
          <w:sz w:val="25"/>
          <w:szCs w:val="25"/>
        </w:rPr>
      </w:pPr>
      <w:r>
        <w:rPr>
          <w:rFonts w:ascii="Times New Roman" w:hAnsi="Times New Roman" w:eastAsia="Times New Roman" w:cs="Times New Roman"/>
          <w:spacing w:val="17"/>
          <w:sz w:val="25"/>
          <w:szCs w:val="25"/>
        </w:rPr>
        <w:t>d)</w:t>
      </w:r>
      <w:r>
        <w:rPr>
          <w:rFonts w:ascii="Times New Roman" w:hAnsi="Times New Roman" w:eastAsia="Times New Roman" w:cs="Times New Roman"/>
          <w:spacing w:val="28"/>
          <w:w w:val="101"/>
          <w:sz w:val="25"/>
          <w:szCs w:val="25"/>
        </w:rPr>
        <w:t xml:space="preserve">  </w:t>
      </w:r>
      <w:r>
        <w:rPr>
          <w:spacing w:val="17"/>
          <w:sz w:val="25"/>
          <w:szCs w:val="25"/>
        </w:rPr>
        <w:t>转承制方执行测试性数据收集、分析和纠正措施系统的要求；</w:t>
      </w:r>
    </w:p>
    <w:p w14:paraId="63963D76">
      <w:pPr>
        <w:pStyle w:val="2"/>
        <w:spacing w:before="101" w:line="212" w:lineRule="auto"/>
        <w:ind w:left="560"/>
      </w:pPr>
      <w:r>
        <w:rPr>
          <w:rFonts w:ascii="Times New Roman" w:hAnsi="Times New Roman" w:eastAsia="Times New Roman" w:cs="Times New Roman"/>
        </w:rPr>
        <w:t xml:space="preserve">e)  </w:t>
      </w:r>
      <w:r>
        <w:t>承制方参加转承制方产品设计评审、测试性</w:t>
      </w:r>
      <w:r>
        <w:rPr>
          <w:spacing w:val="-1"/>
        </w:rPr>
        <w:t>试验与评价的有关事项；</w:t>
      </w:r>
    </w:p>
    <w:p w14:paraId="5442ED3C">
      <w:pPr>
        <w:pStyle w:val="2"/>
        <w:spacing w:before="88" w:line="264" w:lineRule="auto"/>
        <w:ind w:right="120" w:firstLine="560"/>
      </w:pPr>
      <w:r>
        <w:rPr>
          <w:rFonts w:ascii="Times New Roman" w:hAnsi="Times New Roman" w:eastAsia="Times New Roman" w:cs="Times New Roman"/>
          <w:spacing w:val="4"/>
        </w:rPr>
        <w:t xml:space="preserve">f)  </w:t>
      </w:r>
      <w:r>
        <w:rPr>
          <w:spacing w:val="4"/>
        </w:rPr>
        <w:t>转承制方或供应方提供产品规范、图样、测</w:t>
      </w:r>
      <w:r>
        <w:rPr>
          <w:spacing w:val="3"/>
        </w:rPr>
        <w:t>试性数据资料和其他技术文</w:t>
      </w:r>
      <w:r>
        <w:t xml:space="preserve"> 件等的要求；</w:t>
      </w:r>
    </w:p>
    <w:p w14:paraId="28D1CC4C">
      <w:pPr>
        <w:pStyle w:val="2"/>
        <w:spacing w:before="48" w:line="212" w:lineRule="auto"/>
        <w:ind w:left="560"/>
      </w:pPr>
      <w:r>
        <w:rPr>
          <w:rFonts w:ascii="Times New Roman" w:hAnsi="Times New Roman" w:eastAsia="Times New Roman" w:cs="Times New Roman"/>
          <w:spacing w:val="-2"/>
        </w:rPr>
        <w:t xml:space="preserve">g)  </w:t>
      </w:r>
      <w:r>
        <w:rPr>
          <w:spacing w:val="-2"/>
        </w:rPr>
        <w:t>必要时，可要求转承制方制定测试性工作计划。</w:t>
      </w:r>
    </w:p>
    <w:p w14:paraId="1C4261E2">
      <w:pPr>
        <w:spacing w:before="115" w:line="222" w:lineRule="auto"/>
        <w:outlineLvl w:val="3"/>
        <w:rPr>
          <w:rFonts w:ascii="黑体" w:hAnsi="黑体" w:eastAsia="黑体" w:cs="黑体"/>
          <w:sz w:val="27"/>
          <w:szCs w:val="27"/>
        </w:rPr>
      </w:pPr>
      <w:r>
        <w:rPr>
          <w:rFonts w:ascii="Arial" w:hAnsi="Arial" w:eastAsia="Arial" w:cs="Arial"/>
          <w:b/>
          <w:bCs/>
          <w:spacing w:val="-1"/>
          <w:sz w:val="27"/>
          <w:szCs w:val="27"/>
        </w:rPr>
        <w:t>8</w:t>
      </w:r>
      <w:r>
        <w:rPr>
          <w:rFonts w:ascii="Arial" w:hAnsi="Arial" w:eastAsia="Arial" w:cs="Arial"/>
          <w:b/>
          <w:bCs/>
          <w:spacing w:val="21"/>
          <w:sz w:val="27"/>
          <w:szCs w:val="27"/>
        </w:rPr>
        <w:t xml:space="preserve">   </w:t>
      </w:r>
      <w:r>
        <w:rPr>
          <w:rFonts w:ascii="黑体" w:hAnsi="黑体" w:eastAsia="黑体" w:cs="黑体"/>
          <w:b/>
          <w:bCs/>
          <w:spacing w:val="-1"/>
          <w:sz w:val="27"/>
          <w:szCs w:val="27"/>
        </w:rPr>
        <w:t>评审工作的要求与安排</w:t>
      </w:r>
    </w:p>
    <w:p w14:paraId="5540B4B4">
      <w:pPr>
        <w:pStyle w:val="2"/>
        <w:spacing w:before="90" w:line="276" w:lineRule="auto"/>
        <w:ind w:right="123" w:firstLine="560"/>
      </w:pPr>
      <w:r>
        <w:rPr>
          <w:spacing w:val="5"/>
        </w:rPr>
        <w:t>测试性评审主要包括订购方内部的测试性评审和按合同要求对承制方、转</w:t>
      </w:r>
      <w:r>
        <w:rPr>
          <w:spacing w:val="10"/>
        </w:rPr>
        <w:t xml:space="preserve"> </w:t>
      </w:r>
      <w:r>
        <w:rPr>
          <w:spacing w:val="2"/>
        </w:rPr>
        <w:t>承制方进行的测试性评审。</w:t>
      </w:r>
    </w:p>
    <w:p w14:paraId="3A5B2A42">
      <w:pPr>
        <w:pStyle w:val="2"/>
        <w:spacing w:before="13" w:line="275" w:lineRule="auto"/>
        <w:ind w:right="19" w:firstLine="560"/>
        <w:jc w:val="both"/>
      </w:pPr>
      <w:r>
        <w:rPr>
          <w:spacing w:val="-4"/>
        </w:rPr>
        <w:t>明确需要进行的测试性评审，提出对评审工作的要求和安排，即在制定测试</w:t>
      </w:r>
      <w:r>
        <w:rPr>
          <w:spacing w:val="5"/>
        </w:rPr>
        <w:t xml:space="preserve">  </w:t>
      </w:r>
      <w:r>
        <w:rPr>
          <w:spacing w:val="-14"/>
        </w:rPr>
        <w:t>性评审计划、提供有关评审的文件和资料、与作战性能、可靠性、维修性、安全性、</w:t>
      </w:r>
      <w:r>
        <w:rPr>
          <w:spacing w:val="1"/>
        </w:rPr>
        <w:t xml:space="preserve"> </w:t>
      </w:r>
      <w:r>
        <w:t>综合保障等评审协调进行的情况、形成文件的评审结果等</w:t>
      </w:r>
      <w:r>
        <w:rPr>
          <w:spacing w:val="-1"/>
        </w:rPr>
        <w:t>方面的要求。</w:t>
      </w:r>
    </w:p>
    <w:p w14:paraId="33EDA1F2">
      <w:pPr>
        <w:spacing w:before="8" w:line="221" w:lineRule="auto"/>
        <w:rPr>
          <w:rFonts w:ascii="黑体" w:hAnsi="黑体" w:eastAsia="黑体" w:cs="黑体"/>
          <w:sz w:val="27"/>
          <w:szCs w:val="27"/>
        </w:rPr>
      </w:pPr>
      <w:r>
        <w:rPr>
          <w:rFonts w:ascii="黑体" w:hAnsi="黑体" w:eastAsia="黑体" w:cs="黑体"/>
          <w:spacing w:val="3"/>
          <w:sz w:val="27"/>
          <w:szCs w:val="27"/>
        </w:rPr>
        <w:t xml:space="preserve">9  </w:t>
      </w:r>
      <w:r>
        <w:rPr>
          <w:rFonts w:ascii="黑体" w:hAnsi="黑体" w:eastAsia="黑体" w:cs="黑体"/>
          <w:b/>
          <w:bCs/>
          <w:spacing w:val="3"/>
          <w:sz w:val="27"/>
          <w:szCs w:val="27"/>
        </w:rPr>
        <w:t>试验与评价工作的要求与安排</w:t>
      </w:r>
    </w:p>
    <w:p w14:paraId="29CBF7D1">
      <w:pPr>
        <w:pStyle w:val="2"/>
        <w:spacing w:before="70" w:line="282" w:lineRule="auto"/>
        <w:ind w:right="124" w:firstLine="560"/>
      </w:pPr>
      <w:r>
        <w:rPr>
          <w:spacing w:val="-3"/>
        </w:rPr>
        <w:t>明确测试性试验与评价工作即测试性核查、测试性验证试验、测试性分</w:t>
      </w:r>
      <w:r>
        <w:rPr>
          <w:spacing w:val="-4"/>
        </w:rPr>
        <w:t>析评</w:t>
      </w:r>
      <w:r>
        <w:t xml:space="preserve"> 价的要求与安排。</w:t>
      </w:r>
    </w:p>
    <w:p w14:paraId="3280DC17">
      <w:pPr>
        <w:spacing w:before="3" w:line="222" w:lineRule="auto"/>
        <w:rPr>
          <w:rFonts w:ascii="黑体" w:hAnsi="黑体" w:eastAsia="黑体" w:cs="黑体"/>
          <w:sz w:val="27"/>
          <w:szCs w:val="27"/>
        </w:rPr>
      </w:pPr>
      <w:r>
        <w:rPr>
          <w:rFonts w:ascii="黑体" w:hAnsi="黑体" w:eastAsia="黑体" w:cs="黑体"/>
          <w:spacing w:val="1"/>
          <w:sz w:val="27"/>
          <w:szCs w:val="27"/>
        </w:rPr>
        <w:t xml:space="preserve">10  </w:t>
      </w:r>
      <w:r>
        <w:rPr>
          <w:rFonts w:ascii="黑体" w:hAnsi="黑体" w:eastAsia="黑体" w:cs="黑体"/>
          <w:b/>
          <w:bCs/>
          <w:spacing w:val="1"/>
          <w:sz w:val="27"/>
          <w:szCs w:val="27"/>
        </w:rPr>
        <w:t>使用期间评价与改进工作的要求与安排</w:t>
      </w:r>
    </w:p>
    <w:p w14:paraId="0F787A12">
      <w:pPr>
        <w:pStyle w:val="2"/>
        <w:spacing w:before="109" w:line="264" w:lineRule="auto"/>
        <w:ind w:right="120" w:firstLine="560"/>
      </w:pPr>
      <w:r>
        <w:rPr>
          <w:spacing w:val="5"/>
        </w:rPr>
        <w:t>订购方对使用过程中的测试性信息的收集、测试性评价和测试性改进等工</w:t>
      </w:r>
      <w:r>
        <w:rPr>
          <w:spacing w:val="13"/>
        </w:rPr>
        <w:t xml:space="preserve"> </w:t>
      </w:r>
      <w:r>
        <w:t>作的要求与安排。</w:t>
      </w:r>
    </w:p>
    <w:p w14:paraId="0E5E2FFC">
      <w:pPr>
        <w:spacing w:before="33" w:line="222" w:lineRule="auto"/>
        <w:rPr>
          <w:rFonts w:ascii="黑体" w:hAnsi="黑体" w:eastAsia="黑体" w:cs="黑体"/>
          <w:sz w:val="24"/>
          <w:szCs w:val="24"/>
        </w:rPr>
      </w:pPr>
      <w:r>
        <w:rPr>
          <w:rFonts w:ascii="黑体" w:hAnsi="黑体" w:eastAsia="黑体" w:cs="黑体"/>
          <w:spacing w:val="26"/>
          <w:sz w:val="24"/>
          <w:szCs w:val="24"/>
        </w:rPr>
        <w:t>11</w:t>
      </w:r>
      <w:r>
        <w:rPr>
          <w:rFonts w:ascii="黑体" w:hAnsi="黑体" w:eastAsia="黑体" w:cs="黑体"/>
          <w:spacing w:val="55"/>
          <w:sz w:val="24"/>
          <w:szCs w:val="24"/>
        </w:rPr>
        <w:t xml:space="preserve">  </w:t>
      </w:r>
      <w:r>
        <w:rPr>
          <w:rFonts w:ascii="黑体" w:hAnsi="黑体" w:eastAsia="黑体" w:cs="黑体"/>
          <w:b/>
          <w:bCs/>
          <w:spacing w:val="26"/>
          <w:sz w:val="24"/>
          <w:szCs w:val="24"/>
        </w:rPr>
        <w:t>工作进度及经费预算安排等</w:t>
      </w:r>
    </w:p>
    <w:p w14:paraId="3E9AED3A">
      <w:pPr>
        <w:pStyle w:val="2"/>
        <w:spacing w:before="88" w:line="219" w:lineRule="auto"/>
        <w:ind w:left="560"/>
      </w:pPr>
      <w:r>
        <w:rPr>
          <w:spacing w:val="5"/>
        </w:rPr>
        <w:t>装备寿命周期内全部测试性工作的计划进度</w:t>
      </w:r>
      <w:r>
        <w:rPr>
          <w:spacing w:val="4"/>
        </w:rPr>
        <w:t>及经费预算等。</w:t>
      </w:r>
    </w:p>
    <w:p w14:paraId="0AB58CAC">
      <w:pPr>
        <w:spacing w:before="106" w:line="222" w:lineRule="auto"/>
        <w:rPr>
          <w:rFonts w:ascii="黑体" w:hAnsi="黑体" w:eastAsia="黑体" w:cs="黑体"/>
          <w:sz w:val="27"/>
          <w:szCs w:val="27"/>
        </w:rPr>
      </w:pPr>
      <w:r>
        <w:rPr>
          <w:rFonts w:ascii="黑体" w:hAnsi="黑体" w:eastAsia="黑体" w:cs="黑体"/>
          <w:spacing w:val="-3"/>
          <w:sz w:val="27"/>
          <w:szCs w:val="27"/>
        </w:rPr>
        <w:t>12</w:t>
      </w:r>
      <w:r>
        <w:rPr>
          <w:rFonts w:ascii="黑体" w:hAnsi="黑体" w:eastAsia="黑体" w:cs="黑体"/>
          <w:spacing w:val="25"/>
          <w:sz w:val="27"/>
          <w:szCs w:val="27"/>
        </w:rPr>
        <w:t xml:space="preserve">  </w:t>
      </w:r>
      <w:r>
        <w:rPr>
          <w:rFonts w:ascii="黑体" w:hAnsi="黑体" w:eastAsia="黑体" w:cs="黑体"/>
          <w:b/>
          <w:bCs/>
          <w:spacing w:val="-3"/>
          <w:sz w:val="27"/>
          <w:szCs w:val="27"/>
        </w:rPr>
        <w:t>与其他计划的协调</w:t>
      </w:r>
    </w:p>
    <w:p w14:paraId="6794A662">
      <w:pPr>
        <w:pStyle w:val="2"/>
        <w:spacing w:before="99" w:line="219" w:lineRule="auto"/>
        <w:ind w:left="560"/>
      </w:pPr>
      <w:r>
        <w:rPr>
          <w:spacing w:val="-1"/>
        </w:rPr>
        <w:t>说明测试性工作与其他相关工作的协调情况，主要包括：</w:t>
      </w:r>
    </w:p>
    <w:p w14:paraId="7E5B7479">
      <w:pPr>
        <w:pStyle w:val="2"/>
        <w:spacing w:before="48" w:line="257" w:lineRule="auto"/>
        <w:ind w:right="16" w:firstLine="560"/>
      </w:pPr>
      <w:r>
        <w:rPr>
          <w:rFonts w:ascii="Times New Roman" w:hAnsi="Times New Roman" w:eastAsia="Times New Roman" w:cs="Times New Roman"/>
          <w:spacing w:val="-2"/>
        </w:rPr>
        <w:t xml:space="preserve">a)  </w:t>
      </w:r>
      <w:r>
        <w:rPr>
          <w:spacing w:val="-2"/>
        </w:rPr>
        <w:t>测试性工作应与可靠性、维修性、保障性、安全性等相关的工作相协调，</w:t>
      </w:r>
      <w:r>
        <w:rPr>
          <w:spacing w:val="4"/>
        </w:rPr>
        <w:t xml:space="preserve"> </w:t>
      </w:r>
      <w:r>
        <w:rPr>
          <w:spacing w:val="-11"/>
        </w:rPr>
        <w:t>并结合进行，减少重复；</w:t>
      </w:r>
    </w:p>
    <w:p w14:paraId="11124433">
      <w:pPr>
        <w:pStyle w:val="2"/>
        <w:spacing w:before="79" w:line="257" w:lineRule="auto"/>
        <w:ind w:right="102" w:firstLine="560"/>
      </w:pPr>
      <w:r>
        <w:rPr>
          <w:rFonts w:ascii="Times New Roman" w:hAnsi="Times New Roman" w:eastAsia="Times New Roman" w:cs="Times New Roman"/>
          <w:spacing w:val="-5"/>
        </w:rPr>
        <w:t xml:space="preserve">b)  </w:t>
      </w:r>
      <w:r>
        <w:rPr>
          <w:spacing w:val="-5"/>
        </w:rPr>
        <w:t>测试性工作的输出应能满足可靠性、维修性、保障性、安全性工作的有关</w:t>
      </w:r>
      <w:r>
        <w:rPr>
          <w:spacing w:val="11"/>
        </w:rPr>
        <w:t xml:space="preserve"> </w:t>
      </w:r>
      <w:r>
        <w:rPr>
          <w:spacing w:val="-4"/>
        </w:rPr>
        <w:t>输入要求，测试性工作计划应明确这些接口关系；</w:t>
      </w:r>
    </w:p>
    <w:p w14:paraId="0D25FC78">
      <w:pPr>
        <w:pStyle w:val="2"/>
        <w:spacing w:before="108"/>
        <w:ind w:firstLine="560"/>
      </w:pPr>
      <w:r>
        <w:rPr>
          <w:rFonts w:ascii="Times New Roman" w:hAnsi="Times New Roman" w:eastAsia="Times New Roman" w:cs="Times New Roman"/>
          <w:spacing w:val="1"/>
        </w:rPr>
        <w:t>c</w:t>
      </w:r>
      <w:r>
        <w:rPr>
          <w:spacing w:val="1"/>
        </w:rPr>
        <w:t>)测试性工作应与综合诊断、预测与健康管理工作相协调，明确接口关系，</w:t>
      </w:r>
      <w:r>
        <w:rPr>
          <w:spacing w:val="4"/>
        </w:rPr>
        <w:t xml:space="preserve"> </w:t>
      </w:r>
      <w:r>
        <w:t>满足其输入要求。</w:t>
      </w:r>
    </w:p>
    <w:p w14:paraId="374E7AA8">
      <w:pPr>
        <w:spacing w:line="340" w:lineRule="auto"/>
        <w:rPr>
          <w:rFonts w:ascii="Arial"/>
          <w:sz w:val="21"/>
        </w:rPr>
      </w:pPr>
    </w:p>
    <w:p w14:paraId="65136B1A">
      <w:pPr>
        <w:pStyle w:val="2"/>
        <w:spacing w:before="117" w:line="220" w:lineRule="auto"/>
        <w:ind w:left="2959"/>
        <w:rPr>
          <w:sz w:val="36"/>
          <w:szCs w:val="36"/>
        </w:rPr>
      </w:pPr>
      <w:r>
        <w:rPr>
          <w:sz w:val="36"/>
          <w:szCs w:val="36"/>
        </w:rPr>
        <w:t>9.</w:t>
      </w:r>
      <w:r>
        <w:rPr>
          <w:b/>
          <w:bCs/>
          <w:sz w:val="36"/>
          <w:szCs w:val="36"/>
        </w:rPr>
        <w:t>5</w:t>
      </w:r>
      <w:r>
        <w:rPr>
          <w:sz w:val="36"/>
          <w:szCs w:val="36"/>
        </w:rPr>
        <w:t xml:space="preserve">  </w:t>
      </w:r>
      <w:r>
        <w:rPr>
          <w:b/>
          <w:bCs/>
          <w:sz w:val="36"/>
          <w:szCs w:val="36"/>
        </w:rPr>
        <w:t>测试性工作计划</w:t>
      </w:r>
    </w:p>
    <w:p w14:paraId="0BCE9643">
      <w:pPr>
        <w:spacing w:line="312" w:lineRule="auto"/>
        <w:rPr>
          <w:rFonts w:ascii="Arial"/>
          <w:sz w:val="21"/>
        </w:rPr>
      </w:pPr>
    </w:p>
    <w:p w14:paraId="6A6EEC66">
      <w:pPr>
        <w:pStyle w:val="2"/>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15F10CDF">
      <w:pPr>
        <w:spacing w:before="6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5E973B43">
      <w:pPr>
        <w:spacing w:before="9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5353BC3D">
      <w:pPr>
        <w:spacing w:line="222" w:lineRule="auto"/>
        <w:rPr>
          <w:rFonts w:ascii="黑体" w:hAnsi="黑体" w:eastAsia="黑体" w:cs="黑体"/>
          <w:sz w:val="27"/>
          <w:szCs w:val="27"/>
        </w:rPr>
        <w:sectPr>
          <w:footerReference r:id="rId448" w:type="default"/>
          <w:pgSz w:w="11910" w:h="17130"/>
          <w:pgMar w:top="1438" w:right="1005" w:bottom="1710" w:left="1410" w:header="0" w:footer="1424" w:gutter="0"/>
          <w:cols w:space="720" w:num="1"/>
        </w:sectPr>
      </w:pPr>
    </w:p>
    <w:p w14:paraId="54757DB6">
      <w:pPr>
        <w:spacing w:before="54"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25"/>
          <w:sz w:val="27"/>
          <w:szCs w:val="27"/>
        </w:rPr>
        <w:t xml:space="preserve">  </w:t>
      </w:r>
      <w:r>
        <w:rPr>
          <w:rFonts w:ascii="黑体" w:hAnsi="黑体" w:eastAsia="黑体" w:cs="黑体"/>
          <w:b/>
          <w:bCs/>
          <w:sz w:val="27"/>
          <w:szCs w:val="27"/>
        </w:rPr>
        <w:t>测试性要求和工作项目要求</w:t>
      </w:r>
    </w:p>
    <w:p w14:paraId="5219582F">
      <w:pPr>
        <w:pStyle w:val="2"/>
        <w:spacing w:before="52" w:line="306" w:lineRule="auto"/>
        <w:ind w:right="122" w:firstLine="560"/>
      </w:pPr>
      <w:r>
        <w:rPr>
          <w:spacing w:val="5"/>
        </w:rPr>
        <w:t>说明产品的测试性要求和测试性工作项目的要求，工作计划中至少应包含</w:t>
      </w:r>
      <w:r>
        <w:rPr>
          <w:spacing w:val="11"/>
        </w:rPr>
        <w:t xml:space="preserve"> </w:t>
      </w:r>
      <w:r>
        <w:rPr>
          <w:spacing w:val="3"/>
        </w:rPr>
        <w:t>合同规定的全部测试性工作项目。</w:t>
      </w:r>
    </w:p>
    <w:p w14:paraId="13FCE424">
      <w:pPr>
        <w:spacing w:line="221" w:lineRule="auto"/>
        <w:rPr>
          <w:rFonts w:ascii="黑体" w:hAnsi="黑体" w:eastAsia="黑体" w:cs="黑体"/>
          <w:sz w:val="24"/>
          <w:szCs w:val="24"/>
        </w:rPr>
      </w:pPr>
      <w:r>
        <w:rPr>
          <w:rFonts w:ascii="黑体" w:hAnsi="黑体" w:eastAsia="黑体" w:cs="黑体"/>
          <w:spacing w:val="28"/>
          <w:sz w:val="24"/>
          <w:szCs w:val="24"/>
        </w:rPr>
        <w:t>4</w:t>
      </w:r>
      <w:r>
        <w:rPr>
          <w:rFonts w:ascii="黑体" w:hAnsi="黑体" w:eastAsia="黑体" w:cs="黑体"/>
          <w:spacing w:val="38"/>
          <w:sz w:val="24"/>
          <w:szCs w:val="24"/>
        </w:rPr>
        <w:t xml:space="preserve">  </w:t>
      </w:r>
      <w:r>
        <w:rPr>
          <w:rFonts w:ascii="黑体" w:hAnsi="黑体" w:eastAsia="黑体" w:cs="黑体"/>
          <w:b/>
          <w:bCs/>
          <w:spacing w:val="28"/>
          <w:sz w:val="24"/>
          <w:szCs w:val="24"/>
        </w:rPr>
        <w:t>各项工作项目实施细则</w:t>
      </w:r>
    </w:p>
    <w:p w14:paraId="429439B5">
      <w:pPr>
        <w:pStyle w:val="2"/>
        <w:spacing w:before="97" w:line="294" w:lineRule="auto"/>
        <w:ind w:firstLine="560"/>
      </w:pPr>
      <w:r>
        <w:rPr>
          <w:spacing w:val="-7"/>
        </w:rPr>
        <w:t>说明各工作项目的实施细则，包括工作项目的目的、内容、</w:t>
      </w:r>
      <w:r>
        <w:rPr>
          <w:spacing w:val="-8"/>
        </w:rPr>
        <w:t>范围、实施程序、</w:t>
      </w:r>
      <w:r>
        <w:t xml:space="preserve"> 完成结果和对完成结果检查评价的方式，以及装备的测试性</w:t>
      </w:r>
      <w:r>
        <w:rPr>
          <w:spacing w:val="-1"/>
        </w:rPr>
        <w:t>增长要求等。</w:t>
      </w:r>
    </w:p>
    <w:p w14:paraId="537595AE">
      <w:pPr>
        <w:spacing w:before="23" w:line="221" w:lineRule="auto"/>
        <w:outlineLvl w:val="3"/>
        <w:rPr>
          <w:rFonts w:ascii="黑体" w:hAnsi="黑体" w:eastAsia="黑体" w:cs="黑体"/>
          <w:sz w:val="24"/>
          <w:szCs w:val="24"/>
        </w:rPr>
      </w:pPr>
      <w:r>
        <w:rPr>
          <w:rFonts w:ascii="Arial" w:hAnsi="Arial" w:eastAsia="Arial" w:cs="Arial"/>
          <w:b/>
          <w:bCs/>
          <w:spacing w:val="24"/>
          <w:sz w:val="24"/>
          <w:szCs w:val="24"/>
        </w:rPr>
        <w:t xml:space="preserve">5    </w:t>
      </w:r>
      <w:r>
        <w:rPr>
          <w:rFonts w:ascii="黑体" w:hAnsi="黑体" w:eastAsia="黑体" w:cs="黑体"/>
          <w:b/>
          <w:bCs/>
          <w:spacing w:val="24"/>
          <w:sz w:val="24"/>
          <w:szCs w:val="24"/>
        </w:rPr>
        <w:t>管理和实施机构及其职责</w:t>
      </w:r>
    </w:p>
    <w:p w14:paraId="05BF7591">
      <w:pPr>
        <w:pStyle w:val="2"/>
        <w:spacing w:before="88" w:line="316" w:lineRule="auto"/>
        <w:ind w:right="119" w:firstLine="560"/>
        <w:rPr>
          <w:sz w:val="25"/>
          <w:szCs w:val="25"/>
        </w:rPr>
      </w:pPr>
      <w:r>
        <w:rPr>
          <w:spacing w:val="25"/>
          <w:sz w:val="25"/>
          <w:szCs w:val="25"/>
        </w:rPr>
        <w:t>明确测试性工作管理和实施的机构及其职责，以及保证计划得以实施所需</w:t>
      </w:r>
      <w:r>
        <w:rPr>
          <w:spacing w:val="14"/>
          <w:sz w:val="25"/>
          <w:szCs w:val="25"/>
        </w:rPr>
        <w:t xml:space="preserve"> 的组织、人员和经费等资源的配备。</w:t>
      </w:r>
    </w:p>
    <w:p w14:paraId="7043E7BF">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6</w:t>
      </w:r>
      <w:r>
        <w:rPr>
          <w:rFonts w:ascii="Arial" w:hAnsi="Arial" w:eastAsia="Arial" w:cs="Arial"/>
          <w:b/>
          <w:bCs/>
          <w:spacing w:val="25"/>
          <w:w w:val="101"/>
          <w:sz w:val="27"/>
          <w:szCs w:val="27"/>
        </w:rPr>
        <w:t xml:space="preserve">   </w:t>
      </w:r>
      <w:r>
        <w:rPr>
          <w:rFonts w:ascii="黑体" w:hAnsi="黑体" w:eastAsia="黑体" w:cs="黑体"/>
          <w:b/>
          <w:bCs/>
          <w:spacing w:val="1"/>
          <w:sz w:val="27"/>
          <w:szCs w:val="27"/>
        </w:rPr>
        <w:t>测试性工作与其他工作协调的说明</w:t>
      </w:r>
    </w:p>
    <w:p w14:paraId="084E1784">
      <w:pPr>
        <w:pStyle w:val="2"/>
        <w:spacing w:before="83" w:line="292" w:lineRule="auto"/>
        <w:ind w:right="114" w:firstLine="560"/>
      </w:pPr>
      <w:r>
        <w:rPr>
          <w:spacing w:val="6"/>
        </w:rPr>
        <w:t>说明测试性工作与装备研制计划中可靠性、</w:t>
      </w:r>
      <w:r>
        <w:rPr>
          <w:spacing w:val="5"/>
        </w:rPr>
        <w:t>维修性和保障性等其他工作的</w:t>
      </w:r>
      <w:r>
        <w:t xml:space="preserve"> </w:t>
      </w:r>
      <w:r>
        <w:rPr>
          <w:spacing w:val="-3"/>
        </w:rPr>
        <w:t>协调情况。</w:t>
      </w:r>
    </w:p>
    <w:p w14:paraId="22CF813E">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25"/>
          <w:sz w:val="27"/>
          <w:szCs w:val="27"/>
        </w:rPr>
        <w:t xml:space="preserve">   </w:t>
      </w:r>
      <w:r>
        <w:rPr>
          <w:rFonts w:ascii="黑体" w:hAnsi="黑体" w:eastAsia="黑体" w:cs="黑体"/>
          <w:b/>
          <w:bCs/>
          <w:spacing w:val="1"/>
          <w:sz w:val="27"/>
          <w:szCs w:val="27"/>
        </w:rPr>
        <w:t>有关数据资料传递方式与程序</w:t>
      </w:r>
    </w:p>
    <w:p w14:paraId="22952FDA">
      <w:pPr>
        <w:pStyle w:val="2"/>
        <w:spacing w:before="81" w:line="219" w:lineRule="auto"/>
        <w:ind w:left="560"/>
      </w:pPr>
      <w:r>
        <w:t>说明进行测试性工作所需数据资料的获取途径、传递</w:t>
      </w:r>
      <w:r>
        <w:rPr>
          <w:spacing w:val="-1"/>
        </w:rPr>
        <w:t>方式与程序。</w:t>
      </w:r>
    </w:p>
    <w:p w14:paraId="095EE54A">
      <w:pPr>
        <w:spacing w:before="126" w:line="221" w:lineRule="auto"/>
        <w:rPr>
          <w:rFonts w:ascii="黑体" w:hAnsi="黑体" w:eastAsia="黑体" w:cs="黑体"/>
          <w:sz w:val="27"/>
          <w:szCs w:val="27"/>
        </w:rPr>
      </w:pPr>
      <w:r>
        <w:rPr>
          <w:rFonts w:ascii="黑体" w:hAnsi="黑体" w:eastAsia="黑体" w:cs="黑体"/>
          <w:spacing w:val="3"/>
          <w:sz w:val="27"/>
          <w:szCs w:val="27"/>
        </w:rPr>
        <w:t xml:space="preserve">8  </w:t>
      </w:r>
      <w:r>
        <w:rPr>
          <w:rFonts w:ascii="黑体" w:hAnsi="黑体" w:eastAsia="黑体" w:cs="黑体"/>
          <w:b/>
          <w:bCs/>
          <w:spacing w:val="3"/>
          <w:sz w:val="27"/>
          <w:szCs w:val="27"/>
        </w:rPr>
        <w:t>对转承制方和供应方的监督和控制</w:t>
      </w:r>
    </w:p>
    <w:p w14:paraId="31E36BF4">
      <w:pPr>
        <w:pStyle w:val="2"/>
        <w:spacing w:before="101" w:line="219" w:lineRule="auto"/>
        <w:ind w:left="560"/>
      </w:pPr>
      <w:r>
        <w:rPr>
          <w:spacing w:val="4"/>
        </w:rPr>
        <w:t>说明对转承制方和供应方监督和控制工作的具体安排。</w:t>
      </w:r>
    </w:p>
    <w:p w14:paraId="36E27985">
      <w:pPr>
        <w:pStyle w:val="2"/>
        <w:spacing w:before="110" w:line="219" w:lineRule="auto"/>
        <w:ind w:left="560"/>
      </w:pPr>
      <w:r>
        <w:rPr>
          <w:spacing w:val="3"/>
        </w:rPr>
        <w:t>承制方对转承制方和供应方的要求主要包括以下内容：</w:t>
      </w:r>
    </w:p>
    <w:p w14:paraId="0EA5A46C">
      <w:pPr>
        <w:pStyle w:val="2"/>
        <w:spacing w:before="71" w:line="212" w:lineRule="auto"/>
        <w:ind w:left="560"/>
      </w:pPr>
      <w:r>
        <w:rPr>
          <w:rFonts w:ascii="Times New Roman" w:hAnsi="Times New Roman" w:eastAsia="Times New Roman" w:cs="Times New Roman"/>
          <w:spacing w:val="4"/>
        </w:rPr>
        <w:t xml:space="preserve">a)  </w:t>
      </w:r>
      <w:r>
        <w:rPr>
          <w:spacing w:val="4"/>
        </w:rPr>
        <w:t>测试性定量与定性要求及验证方法；</w:t>
      </w:r>
    </w:p>
    <w:p w14:paraId="31690358">
      <w:pPr>
        <w:pStyle w:val="2"/>
        <w:spacing w:before="120"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77"/>
          <w:w w:val="101"/>
        </w:rPr>
        <w:t xml:space="preserve"> </w:t>
      </w:r>
      <w:r>
        <w:rPr>
          <w:spacing w:val="3"/>
        </w:rPr>
        <w:t>对转承制方测试性工作项目的要求；</w:t>
      </w:r>
    </w:p>
    <w:p w14:paraId="21637AA9">
      <w:pPr>
        <w:pStyle w:val="2"/>
        <w:spacing w:before="10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64"/>
          <w:w w:val="101"/>
        </w:rPr>
        <w:t xml:space="preserve"> </w:t>
      </w:r>
      <w:r>
        <w:rPr>
          <w:spacing w:val="4"/>
        </w:rPr>
        <w:t>对转承制方测试性工作实施监督和检查的安排；</w:t>
      </w:r>
    </w:p>
    <w:p w14:paraId="6E599DE7">
      <w:pPr>
        <w:pStyle w:val="2"/>
        <w:spacing w:before="132" w:line="212" w:lineRule="auto"/>
        <w:ind w:left="560"/>
        <w:rPr>
          <w:sz w:val="24"/>
          <w:szCs w:val="24"/>
        </w:rPr>
      </w:pPr>
      <w:r>
        <w:rPr>
          <w:rFonts w:ascii="Times New Roman" w:hAnsi="Times New Roman" w:eastAsia="Times New Roman" w:cs="Times New Roman"/>
          <w:spacing w:val="26"/>
          <w:sz w:val="24"/>
          <w:szCs w:val="24"/>
        </w:rPr>
        <w:t xml:space="preserve">d)  </w:t>
      </w:r>
      <w:r>
        <w:rPr>
          <w:spacing w:val="26"/>
          <w:sz w:val="24"/>
          <w:szCs w:val="24"/>
        </w:rPr>
        <w:t>转承制方执行测试性数据收集、分析和纠正措施系统的要求；</w:t>
      </w:r>
    </w:p>
    <w:p w14:paraId="27BF736F">
      <w:pPr>
        <w:pStyle w:val="2"/>
        <w:spacing w:before="112" w:line="212" w:lineRule="auto"/>
        <w:ind w:left="560"/>
      </w:pPr>
      <w:r>
        <w:rPr>
          <w:rFonts w:ascii="Times New Roman" w:hAnsi="Times New Roman" w:eastAsia="Times New Roman" w:cs="Times New Roman"/>
        </w:rPr>
        <w:t xml:space="preserve">e)  </w:t>
      </w:r>
      <w:r>
        <w:t>承制方参加转承制方产品设计评审、测试性试验与评价的有关事项；</w:t>
      </w:r>
    </w:p>
    <w:p w14:paraId="603EE3DB">
      <w:pPr>
        <w:pStyle w:val="2"/>
        <w:spacing w:before="109" w:line="264" w:lineRule="auto"/>
        <w:ind w:right="100" w:firstLine="560"/>
      </w:pPr>
      <w:r>
        <w:rPr>
          <w:rFonts w:ascii="Times New Roman" w:hAnsi="Times New Roman" w:eastAsia="Times New Roman" w:cs="Times New Roman"/>
          <w:spacing w:val="4"/>
        </w:rPr>
        <w:t xml:space="preserve">f)  </w:t>
      </w:r>
      <w:r>
        <w:rPr>
          <w:spacing w:val="4"/>
        </w:rPr>
        <w:t>转承制方或供应方提供产品规范、图样、测试性数据资料和其他技术文</w:t>
      </w:r>
      <w:r>
        <w:rPr>
          <w:spacing w:val="9"/>
        </w:rPr>
        <w:t xml:space="preserve"> </w:t>
      </w:r>
      <w:r>
        <w:rPr>
          <w:spacing w:val="-1"/>
        </w:rPr>
        <w:t>件等的要求；</w:t>
      </w:r>
    </w:p>
    <w:p w14:paraId="3A80EDCC">
      <w:pPr>
        <w:pStyle w:val="2"/>
        <w:spacing w:before="58" w:line="212" w:lineRule="auto"/>
        <w:ind w:left="560"/>
      </w:pPr>
      <w:r>
        <w:rPr>
          <w:rFonts w:ascii="Times New Roman" w:hAnsi="Times New Roman" w:eastAsia="Times New Roman" w:cs="Times New Roman"/>
          <w:spacing w:val="-2"/>
        </w:rPr>
        <w:t xml:space="preserve">g)  </w:t>
      </w:r>
      <w:r>
        <w:rPr>
          <w:spacing w:val="-2"/>
        </w:rPr>
        <w:t>必要时，可要求转承制方制定测试性工作计划。</w:t>
      </w:r>
    </w:p>
    <w:p w14:paraId="20F5B84E">
      <w:pPr>
        <w:spacing w:before="165" w:line="222" w:lineRule="auto"/>
        <w:rPr>
          <w:rFonts w:ascii="黑体" w:hAnsi="黑体" w:eastAsia="黑体" w:cs="黑体"/>
          <w:sz w:val="24"/>
          <w:szCs w:val="24"/>
        </w:rPr>
      </w:pPr>
      <w:r>
        <w:rPr>
          <w:rFonts w:ascii="黑体" w:hAnsi="黑体" w:eastAsia="黑体" w:cs="黑体"/>
          <w:spacing w:val="26"/>
          <w:sz w:val="24"/>
          <w:szCs w:val="24"/>
        </w:rPr>
        <w:t>9</w:t>
      </w:r>
      <w:r>
        <w:rPr>
          <w:rFonts w:ascii="黑体" w:hAnsi="黑体" w:eastAsia="黑体" w:cs="黑体"/>
          <w:spacing w:val="38"/>
          <w:sz w:val="24"/>
          <w:szCs w:val="24"/>
        </w:rPr>
        <w:t xml:space="preserve">  </w:t>
      </w:r>
      <w:r>
        <w:rPr>
          <w:rFonts w:ascii="黑体" w:hAnsi="黑体" w:eastAsia="黑体" w:cs="黑体"/>
          <w:b/>
          <w:bCs/>
          <w:spacing w:val="26"/>
          <w:sz w:val="24"/>
          <w:szCs w:val="24"/>
        </w:rPr>
        <w:t>评审工作安排</w:t>
      </w:r>
    </w:p>
    <w:p w14:paraId="38A6DCF5">
      <w:pPr>
        <w:pStyle w:val="2"/>
        <w:spacing w:before="118" w:line="285" w:lineRule="auto"/>
        <w:ind w:right="111" w:firstLine="560"/>
        <w:jc w:val="both"/>
      </w:pPr>
      <w:r>
        <w:rPr>
          <w:spacing w:val="-3"/>
        </w:rPr>
        <w:t>说明测试性评审工作的具体安排。包括测试性评审点设置、评审内容、评审</w:t>
      </w:r>
      <w:r>
        <w:rPr>
          <w:spacing w:val="11"/>
        </w:rPr>
        <w:t xml:space="preserve"> </w:t>
      </w:r>
      <w:r>
        <w:rPr>
          <w:spacing w:val="6"/>
        </w:rPr>
        <w:t>类型、评审方式及要求等。评审的结果应形成</w:t>
      </w:r>
      <w:r>
        <w:rPr>
          <w:spacing w:val="5"/>
        </w:rPr>
        <w:t>文件。测试性评审应尽可能与可</w:t>
      </w:r>
      <w:r>
        <w:t xml:space="preserve"> </w:t>
      </w:r>
      <w:r>
        <w:rPr>
          <w:spacing w:val="-12"/>
        </w:rPr>
        <w:t>靠性、维修性、安全性、综合保障等评审结合进行，必要</w:t>
      </w:r>
      <w:r>
        <w:rPr>
          <w:spacing w:val="-13"/>
        </w:rPr>
        <w:t>时也可专门进行。</w:t>
      </w:r>
    </w:p>
    <w:p w14:paraId="7DCF34D4">
      <w:pPr>
        <w:spacing w:before="23" w:line="221" w:lineRule="auto"/>
        <w:rPr>
          <w:rFonts w:ascii="黑体" w:hAnsi="黑体" w:eastAsia="黑体" w:cs="黑体"/>
          <w:sz w:val="27"/>
          <w:szCs w:val="27"/>
        </w:rPr>
      </w:pPr>
      <w:r>
        <w:rPr>
          <w:rFonts w:ascii="黑体" w:hAnsi="黑体" w:eastAsia="黑体" w:cs="黑体"/>
          <w:spacing w:val="-1"/>
          <w:sz w:val="27"/>
          <w:szCs w:val="27"/>
        </w:rPr>
        <w:t>10</w:t>
      </w:r>
      <w:r>
        <w:rPr>
          <w:rFonts w:ascii="黑体" w:hAnsi="黑体" w:eastAsia="黑体" w:cs="黑体"/>
          <w:spacing w:val="31"/>
          <w:sz w:val="27"/>
          <w:szCs w:val="27"/>
        </w:rPr>
        <w:t xml:space="preserve">  </w:t>
      </w:r>
      <w:r>
        <w:rPr>
          <w:rFonts w:ascii="黑体" w:hAnsi="黑体" w:eastAsia="黑体" w:cs="黑体"/>
          <w:b/>
          <w:bCs/>
          <w:spacing w:val="-1"/>
          <w:sz w:val="27"/>
          <w:szCs w:val="27"/>
        </w:rPr>
        <w:t>拟定测试性增长目标和增长方案</w:t>
      </w:r>
    </w:p>
    <w:p w14:paraId="6465CBF3">
      <w:pPr>
        <w:pStyle w:val="2"/>
        <w:spacing w:before="91" w:line="289" w:lineRule="auto"/>
        <w:ind w:right="112" w:firstLine="560"/>
        <w:jc w:val="both"/>
      </w:pPr>
      <w:r>
        <w:rPr>
          <w:spacing w:val="6"/>
        </w:rPr>
        <w:t>说明根据工程需要与现实可能性拟定的测试性增</w:t>
      </w:r>
      <w:r>
        <w:rPr>
          <w:spacing w:val="5"/>
        </w:rPr>
        <w:t>长目标和方案。测试性增</w:t>
      </w:r>
      <w:r>
        <w:t xml:space="preserve"> </w:t>
      </w:r>
      <w:r>
        <w:rPr>
          <w:spacing w:val="14"/>
        </w:rPr>
        <w:t>长目标和方案应经过对产品的测试性预计值与同类产品测试性状况的分析比</w:t>
      </w:r>
      <w:r>
        <w:rPr>
          <w:spacing w:val="4"/>
        </w:rPr>
        <w:t xml:space="preserve"> </w:t>
      </w:r>
      <w:r>
        <w:rPr>
          <w:spacing w:val="-1"/>
        </w:rPr>
        <w:t>较，以及对产品计划进行的测试性试验与分析后加以确定。</w:t>
      </w:r>
    </w:p>
    <w:p w14:paraId="4E875C87">
      <w:pPr>
        <w:spacing w:line="289" w:lineRule="auto"/>
        <w:sectPr>
          <w:footerReference r:id="rId449" w:type="default"/>
          <w:pgSz w:w="11910" w:h="17130"/>
          <w:pgMar w:top="1360" w:right="1154" w:bottom="1756" w:left="1259" w:header="0" w:footer="1567" w:gutter="0"/>
          <w:cols w:space="720" w:num="1"/>
        </w:sectPr>
      </w:pPr>
    </w:p>
    <w:p w14:paraId="27DD50F4">
      <w:pPr>
        <w:spacing w:before="128" w:line="221" w:lineRule="auto"/>
        <w:rPr>
          <w:rFonts w:ascii="黑体" w:hAnsi="黑体" w:eastAsia="黑体" w:cs="黑体"/>
          <w:sz w:val="27"/>
          <w:szCs w:val="27"/>
        </w:rPr>
      </w:pPr>
      <w:r>
        <w:rPr>
          <w:rFonts w:ascii="黑体" w:hAnsi="黑体" w:eastAsia="黑体" w:cs="黑体"/>
          <w:spacing w:val="2"/>
          <w:sz w:val="27"/>
          <w:szCs w:val="27"/>
        </w:rPr>
        <w:t xml:space="preserve">11  </w:t>
      </w:r>
      <w:r>
        <w:rPr>
          <w:rFonts w:ascii="黑体" w:hAnsi="黑体" w:eastAsia="黑体" w:cs="黑体"/>
          <w:b/>
          <w:bCs/>
          <w:spacing w:val="2"/>
          <w:sz w:val="27"/>
          <w:szCs w:val="27"/>
        </w:rPr>
        <w:t>试验与评价工作安排</w:t>
      </w:r>
    </w:p>
    <w:p w14:paraId="6F7CA89E">
      <w:pPr>
        <w:pStyle w:val="2"/>
        <w:spacing w:before="82" w:line="278" w:lineRule="auto"/>
        <w:ind w:right="99" w:firstLine="529"/>
      </w:pPr>
      <w:r>
        <w:rPr>
          <w:spacing w:val="6"/>
        </w:rPr>
        <w:t>根据订购方确定的测试性验证要求，以及验证与评价的范</w:t>
      </w:r>
      <w:r>
        <w:rPr>
          <w:spacing w:val="5"/>
        </w:rPr>
        <w:t>围、产品功能层</w:t>
      </w:r>
      <w:r>
        <w:t xml:space="preserve"> </w:t>
      </w:r>
      <w:r>
        <w:rPr>
          <w:spacing w:val="-3"/>
        </w:rPr>
        <w:t>次、验证方案以及试验程序等，说明对测试性试验与评价工作作出的具体安排。</w:t>
      </w:r>
    </w:p>
    <w:p w14:paraId="4002CCD7">
      <w:pPr>
        <w:spacing w:before="1" w:line="212" w:lineRule="auto"/>
        <w:rPr>
          <w:rFonts w:ascii="黑体" w:hAnsi="黑体" w:eastAsia="黑体" w:cs="黑体"/>
          <w:sz w:val="27"/>
          <w:szCs w:val="27"/>
        </w:rPr>
      </w:pPr>
      <w:r>
        <w:rPr>
          <w:rFonts w:ascii="黑体" w:hAnsi="黑体" w:eastAsia="黑体" w:cs="黑体"/>
          <w:spacing w:val="-6"/>
          <w:sz w:val="27"/>
          <w:szCs w:val="27"/>
        </w:rPr>
        <w:t xml:space="preserve">12  </w:t>
      </w:r>
      <w:r>
        <w:rPr>
          <w:rFonts w:ascii="黑体" w:hAnsi="黑体" w:eastAsia="黑体" w:cs="黑体"/>
          <w:b/>
          <w:bCs/>
          <w:spacing w:val="-6"/>
          <w:sz w:val="27"/>
          <w:szCs w:val="27"/>
        </w:rPr>
        <w:t>关键问题及影响，解决方法或途径</w:t>
      </w:r>
    </w:p>
    <w:p w14:paraId="5B53BCDD">
      <w:pPr>
        <w:pStyle w:val="2"/>
        <w:spacing w:before="66" w:line="299" w:lineRule="auto"/>
        <w:ind w:right="104" w:firstLine="529"/>
      </w:pPr>
      <w:r>
        <w:rPr>
          <w:spacing w:val="-3"/>
        </w:rPr>
        <w:t>分析得出测试性工作关键问题，说明其对实现测试性要求的影响，提出解决</w:t>
      </w:r>
      <w:r>
        <w:rPr>
          <w:spacing w:val="8"/>
        </w:rPr>
        <w:t xml:space="preserve"> </w:t>
      </w:r>
      <w:r>
        <w:rPr>
          <w:spacing w:val="4"/>
        </w:rPr>
        <w:t>这些问题的方法或途径。</w:t>
      </w:r>
    </w:p>
    <w:p w14:paraId="4B2E9EAD">
      <w:pPr>
        <w:spacing w:line="221" w:lineRule="auto"/>
        <w:rPr>
          <w:rFonts w:ascii="黑体" w:hAnsi="黑体" w:eastAsia="黑体" w:cs="黑体"/>
          <w:sz w:val="25"/>
          <w:szCs w:val="25"/>
        </w:rPr>
      </w:pPr>
      <w:r>
        <w:rPr>
          <w:rFonts w:ascii="黑体" w:hAnsi="黑体" w:eastAsia="黑体" w:cs="黑体"/>
          <w:spacing w:val="11"/>
          <w:sz w:val="25"/>
          <w:szCs w:val="25"/>
        </w:rPr>
        <w:t>13</w:t>
      </w:r>
      <w:r>
        <w:rPr>
          <w:rFonts w:ascii="黑体" w:hAnsi="黑体" w:eastAsia="黑体" w:cs="黑体"/>
          <w:spacing w:val="28"/>
          <w:sz w:val="25"/>
          <w:szCs w:val="25"/>
        </w:rPr>
        <w:t xml:space="preserve">  </w:t>
      </w:r>
      <w:r>
        <w:rPr>
          <w:rFonts w:ascii="黑体" w:hAnsi="黑体" w:eastAsia="黑体" w:cs="黑体"/>
          <w:b/>
          <w:bCs/>
          <w:spacing w:val="11"/>
          <w:sz w:val="25"/>
          <w:szCs w:val="25"/>
        </w:rPr>
        <w:t>工作进度等</w:t>
      </w:r>
    </w:p>
    <w:p w14:paraId="60D81201">
      <w:pPr>
        <w:pStyle w:val="2"/>
        <w:spacing w:before="85" w:line="219" w:lineRule="auto"/>
        <w:ind w:left="529"/>
      </w:pPr>
      <w:r>
        <w:rPr>
          <w:spacing w:val="-2"/>
        </w:rPr>
        <w:t>明确工作进度安排，应与研制阶段决策点保持一致。</w:t>
      </w:r>
    </w:p>
    <w:p w14:paraId="28466046">
      <w:pPr>
        <w:spacing w:line="339" w:lineRule="auto"/>
        <w:rPr>
          <w:rFonts w:ascii="Arial"/>
          <w:sz w:val="21"/>
        </w:rPr>
      </w:pPr>
    </w:p>
    <w:p w14:paraId="65B4C5BA">
      <w:pPr>
        <w:pStyle w:val="2"/>
        <w:spacing w:before="118" w:line="219" w:lineRule="auto"/>
        <w:ind w:left="3329"/>
        <w:rPr>
          <w:sz w:val="36"/>
          <w:szCs w:val="36"/>
        </w:rPr>
      </w:pPr>
      <w:r>
        <w:rPr>
          <w:spacing w:val="1"/>
          <w:sz w:val="36"/>
          <w:szCs w:val="36"/>
        </w:rPr>
        <w:t xml:space="preserve">9.6  </w:t>
      </w:r>
      <w:r>
        <w:rPr>
          <w:b/>
          <w:bCs/>
          <w:spacing w:val="1"/>
          <w:sz w:val="36"/>
          <w:szCs w:val="36"/>
        </w:rPr>
        <w:t>测试性模型</w:t>
      </w:r>
    </w:p>
    <w:p w14:paraId="663D8989">
      <w:pPr>
        <w:spacing w:line="328" w:lineRule="auto"/>
        <w:rPr>
          <w:rFonts w:ascii="Arial"/>
          <w:sz w:val="21"/>
        </w:rPr>
      </w:pPr>
    </w:p>
    <w:p w14:paraId="60D60FA9">
      <w:pPr>
        <w:pStyle w:val="2"/>
        <w:spacing w:before="91" w:line="225" w:lineRule="auto"/>
        <w:ind w:left="529"/>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GJB/Z</w:t>
      </w:r>
      <w:r>
        <w:rPr>
          <w:rFonts w:ascii="Times New Roman" w:hAnsi="Times New Roman" w:eastAsia="Times New Roman" w:cs="Times New Roman"/>
          <w:spacing w:val="31"/>
          <w:sz w:val="28"/>
          <w:szCs w:val="28"/>
        </w:rPr>
        <w:t xml:space="preserve"> </w:t>
      </w:r>
      <w:r>
        <w:rPr>
          <w:rFonts w:ascii="Times New Roman" w:hAnsi="Times New Roman" w:eastAsia="Times New Roman" w:cs="Times New Roman"/>
          <w:spacing w:val="-10"/>
          <w:sz w:val="28"/>
          <w:szCs w:val="28"/>
        </w:rPr>
        <w:t>145—2006</w:t>
      </w:r>
      <w:r>
        <w:rPr>
          <w:spacing w:val="-10"/>
          <w:sz w:val="28"/>
          <w:szCs w:val="28"/>
        </w:rPr>
        <w:t>《</w:t>
      </w:r>
      <w:r>
        <w:rPr>
          <w:rFonts w:ascii="楷体" w:hAnsi="楷体" w:eastAsia="楷体" w:cs="楷体"/>
          <w:spacing w:val="-10"/>
          <w:sz w:val="28"/>
          <w:szCs w:val="28"/>
        </w:rPr>
        <w:t>维修性建模指南》编</w:t>
      </w:r>
      <w:r>
        <w:rPr>
          <w:rFonts w:ascii="楷体" w:hAnsi="楷体" w:eastAsia="楷体" w:cs="楷体"/>
          <w:spacing w:val="-11"/>
          <w:sz w:val="28"/>
          <w:szCs w:val="28"/>
        </w:rPr>
        <w:t>写。</w:t>
      </w:r>
    </w:p>
    <w:p w14:paraId="65C0BD66">
      <w:pPr>
        <w:spacing w:before="98"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24B9FCA8">
      <w:pPr>
        <w:spacing w:before="106" w:line="222" w:lineRule="auto"/>
        <w:rPr>
          <w:rFonts w:ascii="黑体" w:hAnsi="黑体" w:eastAsia="黑体" w:cs="黑体"/>
          <w:sz w:val="25"/>
          <w:szCs w:val="25"/>
        </w:rPr>
      </w:pPr>
      <w:r>
        <w:rPr>
          <w:rFonts w:ascii="黑体" w:hAnsi="黑体" w:eastAsia="黑体" w:cs="黑体"/>
          <w:spacing w:val="15"/>
          <w:sz w:val="25"/>
          <w:szCs w:val="25"/>
        </w:rPr>
        <w:t>2</w:t>
      </w:r>
      <w:r>
        <w:rPr>
          <w:rFonts w:ascii="黑体" w:hAnsi="黑体" w:eastAsia="黑体" w:cs="黑体"/>
          <w:spacing w:val="28"/>
          <w:sz w:val="25"/>
          <w:szCs w:val="25"/>
        </w:rPr>
        <w:t xml:space="preserve">  </w:t>
      </w:r>
      <w:r>
        <w:rPr>
          <w:rFonts w:ascii="黑体" w:hAnsi="黑体" w:eastAsia="黑体" w:cs="黑体"/>
          <w:b/>
          <w:bCs/>
          <w:spacing w:val="15"/>
          <w:sz w:val="25"/>
          <w:szCs w:val="25"/>
        </w:rPr>
        <w:t>引用文件</w:t>
      </w:r>
    </w:p>
    <w:p w14:paraId="2AFA129C">
      <w:pPr>
        <w:spacing w:before="101" w:line="223" w:lineRule="auto"/>
        <w:rPr>
          <w:rFonts w:ascii="黑体" w:hAnsi="黑体" w:eastAsia="黑体" w:cs="黑体"/>
          <w:sz w:val="25"/>
          <w:szCs w:val="25"/>
        </w:rPr>
      </w:pPr>
      <w:r>
        <w:rPr>
          <w:rFonts w:ascii="Arial" w:hAnsi="Arial" w:eastAsia="Arial" w:cs="Arial"/>
          <w:b/>
          <w:bCs/>
          <w:spacing w:val="6"/>
          <w:sz w:val="25"/>
          <w:szCs w:val="25"/>
        </w:rPr>
        <w:t xml:space="preserve">3    </w:t>
      </w:r>
      <w:r>
        <w:rPr>
          <w:rFonts w:ascii="黑体" w:hAnsi="黑体" w:eastAsia="黑体" w:cs="黑体"/>
          <w:b/>
          <w:bCs/>
          <w:spacing w:val="6"/>
          <w:sz w:val="25"/>
          <w:szCs w:val="25"/>
        </w:rPr>
        <w:t>建模的目的、时机与用途</w:t>
      </w:r>
    </w:p>
    <w:p w14:paraId="615B613D">
      <w:pPr>
        <w:pStyle w:val="2"/>
        <w:spacing w:before="110" w:line="219" w:lineRule="auto"/>
        <w:ind w:left="529"/>
        <w:rPr>
          <w:sz w:val="25"/>
          <w:szCs w:val="25"/>
        </w:rPr>
      </w:pPr>
      <w:r>
        <w:rPr>
          <w:spacing w:val="16"/>
          <w:sz w:val="25"/>
          <w:szCs w:val="25"/>
        </w:rPr>
        <w:t>确定建立测试性模型的目的、时机与用途。</w:t>
      </w:r>
    </w:p>
    <w:p w14:paraId="6A0C1D98">
      <w:pPr>
        <w:spacing w:before="100" w:line="222" w:lineRule="auto"/>
        <w:outlineLvl w:val="3"/>
        <w:rPr>
          <w:rFonts w:ascii="黑体" w:hAnsi="黑体" w:eastAsia="黑体" w:cs="黑体"/>
          <w:sz w:val="27"/>
          <w:szCs w:val="27"/>
        </w:rPr>
      </w:pPr>
      <w:r>
        <w:rPr>
          <w:rFonts w:ascii="Arial" w:hAnsi="Arial" w:eastAsia="Arial" w:cs="Arial"/>
          <w:b/>
          <w:bCs/>
          <w:spacing w:val="4"/>
          <w:sz w:val="27"/>
          <w:szCs w:val="27"/>
        </w:rPr>
        <w:t>4</w:t>
      </w:r>
      <w:r>
        <w:rPr>
          <w:rFonts w:ascii="Arial" w:hAnsi="Arial" w:eastAsia="Arial" w:cs="Arial"/>
          <w:b/>
          <w:bCs/>
          <w:spacing w:val="17"/>
          <w:sz w:val="27"/>
          <w:szCs w:val="27"/>
        </w:rPr>
        <w:t xml:space="preserve">   </w:t>
      </w:r>
      <w:r>
        <w:rPr>
          <w:rFonts w:ascii="黑体" w:hAnsi="黑体" w:eastAsia="黑体" w:cs="黑体"/>
          <w:b/>
          <w:bCs/>
          <w:spacing w:val="4"/>
          <w:sz w:val="27"/>
          <w:szCs w:val="27"/>
        </w:rPr>
        <w:t>确定建模的参数</w:t>
      </w:r>
    </w:p>
    <w:p w14:paraId="40E374ED">
      <w:pPr>
        <w:pStyle w:val="2"/>
        <w:spacing w:before="81" w:line="219" w:lineRule="auto"/>
        <w:ind w:left="529"/>
      </w:pPr>
      <w:r>
        <w:rPr>
          <w:spacing w:val="-9"/>
        </w:rPr>
        <w:t>确定建模的参数，包括：</w:t>
      </w:r>
    </w:p>
    <w:p w14:paraId="6743D622">
      <w:pPr>
        <w:pStyle w:val="2"/>
        <w:spacing w:before="101" w:line="212" w:lineRule="auto"/>
        <w:ind w:left="529"/>
        <w:rPr>
          <w:sz w:val="24"/>
          <w:szCs w:val="24"/>
        </w:rPr>
      </w:pPr>
      <w:r>
        <w:rPr>
          <w:rFonts w:ascii="Times New Roman" w:hAnsi="Times New Roman" w:eastAsia="Times New Roman" w:cs="Times New Roman"/>
          <w:spacing w:val="30"/>
          <w:sz w:val="24"/>
          <w:szCs w:val="24"/>
        </w:rPr>
        <w:t>a)</w:t>
      </w:r>
      <w:r>
        <w:rPr>
          <w:rFonts w:ascii="Times New Roman" w:hAnsi="Times New Roman" w:eastAsia="Times New Roman" w:cs="Times New Roman"/>
          <w:sz w:val="24"/>
          <w:szCs w:val="24"/>
        </w:rPr>
        <w:t xml:space="preserve">   </w:t>
      </w:r>
      <w:r>
        <w:rPr>
          <w:spacing w:val="30"/>
          <w:sz w:val="24"/>
          <w:szCs w:val="24"/>
        </w:rPr>
        <w:t>根据掌握的信息和建模目的确定建模的参数；</w:t>
      </w:r>
    </w:p>
    <w:p w14:paraId="1D96A3AC">
      <w:pPr>
        <w:pStyle w:val="2"/>
        <w:spacing w:before="102" w:line="212" w:lineRule="auto"/>
        <w:ind w:left="529"/>
      </w:pPr>
      <w:r>
        <w:rPr>
          <w:rFonts w:ascii="Times New Roman" w:hAnsi="Times New Roman" w:eastAsia="Times New Roman" w:cs="Times New Roman"/>
          <w:spacing w:val="4"/>
        </w:rPr>
        <w:t xml:space="preserve">b)  </w:t>
      </w:r>
      <w:r>
        <w:rPr>
          <w:spacing w:val="4"/>
        </w:rPr>
        <w:t>确定的建模参数一般应为</w:t>
      </w:r>
      <w:r>
        <w:rPr>
          <w:rFonts w:ascii="Times New Roman" w:hAnsi="Times New Roman" w:eastAsia="Times New Roman" w:cs="Times New Roman"/>
        </w:rPr>
        <w:t>GJB</w:t>
      </w:r>
      <w:r>
        <w:rPr>
          <w:rFonts w:ascii="Times New Roman" w:hAnsi="Times New Roman" w:eastAsia="Times New Roman" w:cs="Times New Roman"/>
          <w:spacing w:val="4"/>
        </w:rPr>
        <w:t xml:space="preserve">1909   </w:t>
      </w:r>
      <w:r>
        <w:rPr>
          <w:spacing w:val="4"/>
        </w:rPr>
        <w:t>或合同中定义的参数。</w:t>
      </w:r>
    </w:p>
    <w:p w14:paraId="274DE169">
      <w:pPr>
        <w:spacing w:before="115" w:line="221" w:lineRule="auto"/>
        <w:outlineLvl w:val="3"/>
        <w:rPr>
          <w:rFonts w:ascii="黑体" w:hAnsi="黑体" w:eastAsia="黑体" w:cs="黑体"/>
          <w:sz w:val="27"/>
          <w:szCs w:val="27"/>
        </w:rPr>
      </w:pPr>
      <w:r>
        <w:rPr>
          <w:rFonts w:ascii="Arial" w:hAnsi="Arial" w:eastAsia="Arial" w:cs="Arial"/>
          <w:b/>
          <w:bCs/>
          <w:spacing w:val="-8"/>
          <w:sz w:val="27"/>
          <w:szCs w:val="27"/>
        </w:rPr>
        <w:t>5</w:t>
      </w:r>
      <w:r>
        <w:rPr>
          <w:rFonts w:ascii="Arial" w:hAnsi="Arial" w:eastAsia="Arial" w:cs="Arial"/>
          <w:b/>
          <w:bCs/>
          <w:spacing w:val="22"/>
          <w:sz w:val="27"/>
          <w:szCs w:val="27"/>
        </w:rPr>
        <w:t xml:space="preserve">   </w:t>
      </w:r>
      <w:r>
        <w:rPr>
          <w:rFonts w:ascii="黑体" w:hAnsi="黑体" w:eastAsia="黑体" w:cs="黑体"/>
          <w:b/>
          <w:bCs/>
          <w:spacing w:val="-8"/>
          <w:sz w:val="27"/>
          <w:szCs w:val="27"/>
        </w:rPr>
        <w:t>有关信息、资料及测试约束条件</w:t>
      </w:r>
    </w:p>
    <w:p w14:paraId="4AB781F6">
      <w:pPr>
        <w:pStyle w:val="2"/>
        <w:spacing w:before="93" w:line="219" w:lineRule="auto"/>
        <w:jc w:val="right"/>
      </w:pPr>
      <w:r>
        <w:t>收集和整理产品或相似产品的有关信息、资料及测试约束条件。主要包括：</w:t>
      </w:r>
    </w:p>
    <w:p w14:paraId="7CF2F796">
      <w:pPr>
        <w:pStyle w:val="2"/>
        <w:spacing w:before="69" w:line="212" w:lineRule="auto"/>
        <w:ind w:left="529"/>
      </w:pPr>
      <w:r>
        <w:rPr>
          <w:rFonts w:ascii="Times New Roman" w:hAnsi="Times New Roman" w:eastAsia="Times New Roman" w:cs="Times New Roman"/>
          <w:spacing w:val="3"/>
        </w:rPr>
        <w:t xml:space="preserve">a)  </w:t>
      </w:r>
      <w:r>
        <w:rPr>
          <w:spacing w:val="3"/>
        </w:rPr>
        <w:t>功能层次及其框图；</w:t>
      </w:r>
    </w:p>
    <w:p w14:paraId="0EBCA505">
      <w:pPr>
        <w:pStyle w:val="2"/>
        <w:spacing w:before="100" w:line="212" w:lineRule="auto"/>
        <w:ind w:left="529"/>
      </w:pPr>
      <w:r>
        <w:rPr>
          <w:rFonts w:ascii="Times New Roman" w:hAnsi="Times New Roman" w:eastAsia="Times New Roman" w:cs="Times New Roman"/>
          <w:spacing w:val="-12"/>
        </w:rPr>
        <w:t xml:space="preserve">b)  </w:t>
      </w:r>
      <w:r>
        <w:rPr>
          <w:spacing w:val="-12"/>
        </w:rPr>
        <w:t>结构特性，如机械、电子、化工、火工品等不同结构及其布局；</w:t>
      </w:r>
    </w:p>
    <w:p w14:paraId="0A0CE5A8">
      <w:pPr>
        <w:pStyle w:val="2"/>
        <w:spacing w:before="90" w:line="212" w:lineRule="auto"/>
        <w:ind w:left="529"/>
      </w:pPr>
      <w:r>
        <w:rPr>
          <w:rFonts w:ascii="Times New Roman" w:hAnsi="Times New Roman" w:eastAsia="Times New Roman" w:cs="Times New Roman"/>
          <w:spacing w:val="-5"/>
        </w:rPr>
        <w:t>c)</w:t>
      </w:r>
      <w:r>
        <w:rPr>
          <w:rFonts w:ascii="Times New Roman" w:hAnsi="Times New Roman" w:eastAsia="Times New Roman" w:cs="Times New Roman"/>
          <w:spacing w:val="66"/>
          <w:w w:val="101"/>
        </w:rPr>
        <w:t xml:space="preserve"> </w:t>
      </w:r>
      <w:r>
        <w:rPr>
          <w:spacing w:val="-5"/>
        </w:rPr>
        <w:t>诊断方案、保障条件及保障方案；</w:t>
      </w:r>
    </w:p>
    <w:p w14:paraId="29BB6D85">
      <w:pPr>
        <w:pStyle w:val="2"/>
        <w:spacing w:before="109" w:line="257" w:lineRule="auto"/>
        <w:ind w:right="101" w:firstLine="529"/>
      </w:pPr>
      <w:r>
        <w:rPr>
          <w:rFonts w:ascii="Times New Roman" w:hAnsi="Times New Roman" w:eastAsia="Times New Roman" w:cs="Times New Roman"/>
          <w:spacing w:val="-5"/>
        </w:rPr>
        <w:t xml:space="preserve">d)  </w:t>
      </w:r>
      <w:r>
        <w:rPr>
          <w:spacing w:val="-5"/>
        </w:rPr>
        <w:t>影响产品测试性的设计特征：如产品组成、信号流图、维修部位、故障诊</w:t>
      </w:r>
      <w:r>
        <w:rPr>
          <w:spacing w:val="2"/>
        </w:rPr>
        <w:t xml:space="preserve"> </w:t>
      </w:r>
      <w:r>
        <w:rPr>
          <w:spacing w:val="-1"/>
        </w:rPr>
        <w:t>断的部位以及对应测试参数，和(或)故障论断的难易程度等；</w:t>
      </w:r>
    </w:p>
    <w:p w14:paraId="3F255A64">
      <w:pPr>
        <w:pStyle w:val="2"/>
        <w:spacing w:before="59" w:line="212" w:lineRule="auto"/>
        <w:ind w:right="40"/>
        <w:jc w:val="right"/>
      </w:pPr>
      <w:r>
        <w:rPr>
          <w:rFonts w:ascii="Times New Roman" w:hAnsi="Times New Roman" w:eastAsia="Times New Roman" w:cs="Times New Roman"/>
          <w:spacing w:val="5"/>
        </w:rPr>
        <w:t xml:space="preserve">e)  </w:t>
      </w:r>
      <w:r>
        <w:rPr>
          <w:spacing w:val="5"/>
        </w:rPr>
        <w:t>已知相似产品或相似单元的可靠性维修性测试性定量数据</w:t>
      </w:r>
      <w:r>
        <w:rPr>
          <w:spacing w:val="4"/>
        </w:rPr>
        <w:t>和定性要求；</w:t>
      </w:r>
    </w:p>
    <w:p w14:paraId="33A3FCE0">
      <w:pPr>
        <w:pStyle w:val="2"/>
        <w:spacing w:before="80" w:line="253" w:lineRule="auto"/>
        <w:ind w:right="130" w:firstLine="529"/>
      </w:pPr>
      <w:r>
        <w:rPr>
          <w:rFonts w:ascii="Times New Roman" w:hAnsi="Times New Roman" w:eastAsia="Times New Roman" w:cs="Times New Roman"/>
          <w:spacing w:val="-4"/>
        </w:rPr>
        <w:t xml:space="preserve">f)  </w:t>
      </w:r>
      <w:r>
        <w:rPr>
          <w:spacing w:val="-4"/>
        </w:rPr>
        <w:t>可靠性分析资料，如产品的可靠性水平、故障模式影响分析(</w:t>
      </w:r>
      <w:r>
        <w:rPr>
          <w:spacing w:val="-62"/>
        </w:rPr>
        <w:t xml:space="preserve"> </w:t>
      </w:r>
      <w:r>
        <w:rPr>
          <w:rFonts w:ascii="Times New Roman" w:hAnsi="Times New Roman" w:eastAsia="Times New Roman" w:cs="Times New Roman"/>
          <w:spacing w:val="-5"/>
        </w:rPr>
        <w:t>FMEA)</w:t>
      </w:r>
      <w:r>
        <w:rPr>
          <w:rFonts w:ascii="Times New Roman" w:hAnsi="Times New Roman" w:eastAsia="Times New Roman" w:cs="Times New Roman"/>
          <w:spacing w:val="-38"/>
        </w:rPr>
        <w:t xml:space="preserve"> </w:t>
      </w:r>
      <w:r>
        <w:rPr>
          <w:spacing w:val="-5"/>
        </w:rPr>
        <w:t>、故</w:t>
      </w:r>
      <w:r>
        <w:t xml:space="preserve"> </w:t>
      </w:r>
      <w:r>
        <w:rPr>
          <w:spacing w:val="-1"/>
        </w:rPr>
        <w:t>障树分析(</w:t>
      </w:r>
      <w:r>
        <w:rPr>
          <w:rFonts w:ascii="Times New Roman" w:hAnsi="Times New Roman" w:eastAsia="Times New Roman" w:cs="Times New Roman"/>
          <w:spacing w:val="-1"/>
        </w:rPr>
        <w:t xml:space="preserve">FTA)  </w:t>
      </w:r>
      <w:r>
        <w:rPr>
          <w:spacing w:val="-1"/>
        </w:rPr>
        <w:t>的结果。</w:t>
      </w:r>
    </w:p>
    <w:p w14:paraId="4AE47784">
      <w:pPr>
        <w:spacing w:before="127" w:line="223" w:lineRule="auto"/>
        <w:rPr>
          <w:rFonts w:ascii="黑体" w:hAnsi="黑体" w:eastAsia="黑体" w:cs="黑体"/>
          <w:sz w:val="25"/>
          <w:szCs w:val="25"/>
        </w:rPr>
      </w:pPr>
      <w:r>
        <w:rPr>
          <w:rFonts w:ascii="黑体" w:hAnsi="黑体" w:eastAsia="黑体" w:cs="黑体"/>
          <w:spacing w:val="15"/>
          <w:sz w:val="25"/>
          <w:szCs w:val="25"/>
        </w:rPr>
        <w:t>6</w:t>
      </w:r>
      <w:r>
        <w:rPr>
          <w:rFonts w:ascii="黑体" w:hAnsi="黑体" w:eastAsia="黑体" w:cs="黑体"/>
          <w:spacing w:val="28"/>
          <w:sz w:val="25"/>
          <w:szCs w:val="25"/>
        </w:rPr>
        <w:t xml:space="preserve">  </w:t>
      </w:r>
      <w:r>
        <w:rPr>
          <w:rFonts w:ascii="黑体" w:hAnsi="黑体" w:eastAsia="黑体" w:cs="黑体"/>
          <w:b/>
          <w:bCs/>
          <w:spacing w:val="15"/>
          <w:sz w:val="25"/>
          <w:szCs w:val="25"/>
        </w:rPr>
        <w:t>建立模型</w:t>
      </w:r>
    </w:p>
    <w:p w14:paraId="63505F32">
      <w:pPr>
        <w:pStyle w:val="2"/>
        <w:spacing w:before="102" w:line="219" w:lineRule="auto"/>
        <w:ind w:left="529"/>
      </w:pPr>
      <w:r>
        <w:rPr>
          <w:spacing w:val="4"/>
        </w:rPr>
        <w:t>建立产品的测试性模型应遵循以下一些原则。</w:t>
      </w:r>
    </w:p>
    <w:p w14:paraId="57914B2E">
      <w:pPr>
        <w:pStyle w:val="2"/>
        <w:spacing w:before="78" w:line="282" w:lineRule="auto"/>
        <w:ind w:right="106" w:firstLine="529"/>
      </w:pPr>
      <w:r>
        <w:rPr>
          <w:rFonts w:ascii="Times New Roman" w:hAnsi="Times New Roman" w:eastAsia="Times New Roman" w:cs="Times New Roman"/>
          <w:spacing w:val="3"/>
        </w:rPr>
        <w:t xml:space="preserve">a)  </w:t>
      </w:r>
      <w:r>
        <w:rPr>
          <w:spacing w:val="3"/>
        </w:rPr>
        <w:t>真实性。模型必须客观、真实地反映所研究对象的本质，必须准确</w:t>
      </w:r>
      <w:r>
        <w:rPr>
          <w:spacing w:val="2"/>
        </w:rPr>
        <w:t>地反</w:t>
      </w:r>
      <w:r>
        <w:t xml:space="preserve"> </w:t>
      </w:r>
      <w:r>
        <w:rPr>
          <w:spacing w:val="4"/>
        </w:rPr>
        <w:t>映产品中影响测试性的有关因素与测试性参数的关系。</w:t>
      </w:r>
    </w:p>
    <w:p w14:paraId="68CD83FE">
      <w:pPr>
        <w:spacing w:line="282" w:lineRule="auto"/>
        <w:sectPr>
          <w:footerReference r:id="rId450" w:type="default"/>
          <w:pgSz w:w="11910" w:h="17130"/>
          <w:pgMar w:top="1456" w:right="984" w:bottom="1533" w:left="1470" w:header="0" w:footer="1334" w:gutter="0"/>
          <w:cols w:space="720" w:num="1"/>
        </w:sectPr>
      </w:pPr>
    </w:p>
    <w:p w14:paraId="2987D11F">
      <w:pPr>
        <w:pStyle w:val="2"/>
        <w:spacing w:before="57" w:line="274" w:lineRule="auto"/>
        <w:ind w:right="114" w:firstLine="550"/>
      </w:pPr>
      <w:r>
        <w:rPr>
          <w:rFonts w:ascii="Times New Roman" w:hAnsi="Times New Roman" w:eastAsia="Times New Roman" w:cs="Times New Roman"/>
          <w:spacing w:val="3"/>
        </w:rPr>
        <w:t>b)</w:t>
      </w:r>
      <w:r>
        <w:rPr>
          <w:rFonts w:ascii="Times New Roman" w:hAnsi="Times New Roman" w:eastAsia="Times New Roman" w:cs="Times New Roman"/>
          <w:spacing w:val="58"/>
        </w:rPr>
        <w:t xml:space="preserve"> </w:t>
      </w:r>
      <w:r>
        <w:rPr>
          <w:spacing w:val="3"/>
        </w:rPr>
        <w:t>目的性。模型的建立要针对研究的目的，如预计和分配这两种不同目的</w:t>
      </w:r>
      <w:r>
        <w:t xml:space="preserve"> </w:t>
      </w:r>
      <w:r>
        <w:rPr>
          <w:spacing w:val="3"/>
        </w:rPr>
        <w:t>所对应的模型就不尽一致。</w:t>
      </w:r>
    </w:p>
    <w:p w14:paraId="0E0960D1">
      <w:pPr>
        <w:pStyle w:val="2"/>
        <w:spacing w:before="51" w:line="282" w:lineRule="auto"/>
        <w:ind w:right="126" w:firstLine="550"/>
        <w:rPr>
          <w:sz w:val="25"/>
          <w:szCs w:val="25"/>
        </w:rPr>
      </w:pPr>
      <w:r>
        <w:rPr>
          <w:rFonts w:ascii="Times New Roman" w:hAnsi="Times New Roman" w:eastAsia="Times New Roman" w:cs="Times New Roman"/>
          <w:spacing w:val="14"/>
          <w:sz w:val="25"/>
          <w:szCs w:val="25"/>
        </w:rPr>
        <w:t xml:space="preserve">c)  </w:t>
      </w:r>
      <w:r>
        <w:rPr>
          <w:spacing w:val="14"/>
          <w:sz w:val="25"/>
          <w:szCs w:val="25"/>
        </w:rPr>
        <w:t>可追溯性。模型的建立、简化、完善</w:t>
      </w:r>
      <w:r>
        <w:rPr>
          <w:spacing w:val="13"/>
          <w:sz w:val="25"/>
          <w:szCs w:val="25"/>
        </w:rPr>
        <w:t>、修改等必须归档，使整个建模过程</w:t>
      </w:r>
      <w:r>
        <w:rPr>
          <w:sz w:val="25"/>
          <w:szCs w:val="25"/>
        </w:rPr>
        <w:t xml:space="preserve"> </w:t>
      </w:r>
      <w:r>
        <w:rPr>
          <w:spacing w:val="17"/>
          <w:sz w:val="25"/>
          <w:szCs w:val="25"/>
        </w:rPr>
        <w:t>透明可见。</w:t>
      </w:r>
    </w:p>
    <w:p w14:paraId="4ADA4C8F">
      <w:pPr>
        <w:pStyle w:val="2"/>
        <w:spacing w:before="35" w:line="271" w:lineRule="auto"/>
        <w:ind w:right="122" w:firstLine="550"/>
      </w:pPr>
      <w:r>
        <w:rPr>
          <w:rFonts w:ascii="Times New Roman" w:hAnsi="Times New Roman" w:eastAsia="Times New Roman" w:cs="Times New Roman"/>
          <w:spacing w:val="2"/>
        </w:rPr>
        <w:t xml:space="preserve">d)  </w:t>
      </w:r>
      <w:r>
        <w:rPr>
          <w:spacing w:val="2"/>
        </w:rPr>
        <w:t>清晰性。模型必须清楚、明确地描述所研究的测试性问题，并易于为人</w:t>
      </w:r>
      <w:r>
        <w:rPr>
          <w:spacing w:val="10"/>
        </w:rPr>
        <w:t xml:space="preserve"> </w:t>
      </w:r>
      <w:r>
        <w:rPr>
          <w:spacing w:val="5"/>
        </w:rPr>
        <w:t>们所理解和掌握。对于由多个子模型组合而成的复杂产品测试性模型，要清晰</w:t>
      </w:r>
      <w:r>
        <w:rPr>
          <w:spacing w:val="11"/>
        </w:rPr>
        <w:t xml:space="preserve"> </w:t>
      </w:r>
      <w:r>
        <w:rPr>
          <w:spacing w:val="5"/>
        </w:rPr>
        <w:t>地表述产品测试性模型与其子模型之间的相互关</w:t>
      </w:r>
      <w:r>
        <w:rPr>
          <w:spacing w:val="4"/>
        </w:rPr>
        <w:t>系。</w:t>
      </w:r>
    </w:p>
    <w:p w14:paraId="3B15E420">
      <w:pPr>
        <w:pStyle w:val="2"/>
        <w:spacing w:before="39" w:line="267" w:lineRule="auto"/>
        <w:ind w:right="101" w:firstLine="550"/>
      </w:pPr>
      <w:r>
        <w:rPr>
          <w:rFonts w:ascii="Times New Roman" w:hAnsi="Times New Roman" w:eastAsia="Times New Roman" w:cs="Times New Roman"/>
          <w:spacing w:val="12"/>
        </w:rPr>
        <w:t>e)</w:t>
      </w:r>
      <w:r>
        <w:rPr>
          <w:rFonts w:ascii="Times New Roman" w:hAnsi="Times New Roman" w:eastAsia="Times New Roman" w:cs="Times New Roman"/>
          <w:spacing w:val="71"/>
        </w:rPr>
        <w:t xml:space="preserve"> </w:t>
      </w:r>
      <w:r>
        <w:rPr>
          <w:spacing w:val="12"/>
        </w:rPr>
        <w:t>适应性。模型要适应产品所处的环境和内部条件。随着产品的外部环</w:t>
      </w:r>
      <w:r>
        <w:t xml:space="preserve"> </w:t>
      </w:r>
      <w:r>
        <w:rPr>
          <w:spacing w:val="-4"/>
        </w:rPr>
        <w:t>境和内部结构的变化，测试性模型应能够适应这种变化，便于修改完善。</w:t>
      </w:r>
    </w:p>
    <w:p w14:paraId="7D9FB5B3">
      <w:pPr>
        <w:pStyle w:val="2"/>
        <w:spacing w:before="79" w:line="219" w:lineRule="auto"/>
        <w:ind w:left="550"/>
      </w:pPr>
      <w:r>
        <w:rPr>
          <w:spacing w:val="-16"/>
        </w:rPr>
        <w:t>建立模型，包括：</w:t>
      </w:r>
    </w:p>
    <w:p w14:paraId="4124A5B2">
      <w:pPr>
        <w:pStyle w:val="2"/>
        <w:spacing w:before="59" w:line="256" w:lineRule="auto"/>
        <w:ind w:right="123" w:firstLine="550"/>
      </w:pPr>
      <w:r>
        <w:rPr>
          <w:rFonts w:ascii="Times New Roman" w:hAnsi="Times New Roman" w:eastAsia="Times New Roman" w:cs="Times New Roman"/>
          <w:spacing w:val="5"/>
        </w:rPr>
        <w:t>a)</w:t>
      </w:r>
      <w:r>
        <w:rPr>
          <w:rFonts w:ascii="Times New Roman" w:hAnsi="Times New Roman" w:eastAsia="Times New Roman" w:cs="Times New Roman"/>
          <w:spacing w:val="68"/>
        </w:rPr>
        <w:t xml:space="preserve"> </w:t>
      </w:r>
      <w:r>
        <w:rPr>
          <w:spacing w:val="5"/>
        </w:rPr>
        <w:t>选择或建立适用的模型。参照</w:t>
      </w:r>
      <w:r>
        <w:rPr>
          <w:rFonts w:ascii="Times New Roman" w:hAnsi="Times New Roman" w:eastAsia="Times New Roman" w:cs="Times New Roman"/>
        </w:rPr>
        <w:t>GJB</w:t>
      </w:r>
      <w:r>
        <w:rPr>
          <w:rFonts w:ascii="Times New Roman" w:hAnsi="Times New Roman" w:eastAsia="Times New Roman" w:cs="Times New Roman"/>
          <w:spacing w:val="5"/>
        </w:rPr>
        <w:t>/Z  145—2006</w:t>
      </w:r>
      <w:r>
        <w:rPr>
          <w:spacing w:val="5"/>
        </w:rPr>
        <w:t>《维修性建模指南》提</w:t>
      </w:r>
      <w:r>
        <w:t xml:space="preserve"> </w:t>
      </w:r>
      <w:r>
        <w:rPr>
          <w:spacing w:val="-3"/>
        </w:rPr>
        <w:t>供的模型选择适用的模型，当无适用的模型时，应按提供的建</w:t>
      </w:r>
      <w:r>
        <w:rPr>
          <w:spacing w:val="-4"/>
        </w:rPr>
        <w:t>模方法建立模型；</w:t>
      </w:r>
    </w:p>
    <w:p w14:paraId="64467620">
      <w:pPr>
        <w:pStyle w:val="2"/>
        <w:spacing w:before="52" w:line="266" w:lineRule="auto"/>
        <w:ind w:right="123" w:firstLine="550"/>
      </w:pPr>
      <w:r>
        <w:rPr>
          <w:rFonts w:ascii="Times New Roman" w:hAnsi="Times New Roman" w:eastAsia="Times New Roman" w:cs="Times New Roman"/>
          <w:spacing w:val="2"/>
        </w:rPr>
        <w:t>b)</w:t>
      </w:r>
      <w:r>
        <w:rPr>
          <w:rFonts w:ascii="Times New Roman" w:hAnsi="Times New Roman" w:eastAsia="Times New Roman" w:cs="Times New Roman"/>
          <w:spacing w:val="82"/>
        </w:rPr>
        <w:t xml:space="preserve"> </w:t>
      </w:r>
      <w:r>
        <w:rPr>
          <w:spacing w:val="2"/>
        </w:rPr>
        <w:t>测试项目分析。如产品测试与产品测试项目关系、产品测试项目与相应</w:t>
      </w:r>
      <w:r>
        <w:t xml:space="preserve"> </w:t>
      </w:r>
      <w:r>
        <w:rPr>
          <w:spacing w:val="-3"/>
        </w:rPr>
        <w:t>测试活动关系、测试活动与基本测试作业之间的关系等；</w:t>
      </w:r>
    </w:p>
    <w:p w14:paraId="5A9B1D4E">
      <w:pPr>
        <w:pStyle w:val="2"/>
        <w:spacing w:before="40" w:line="264" w:lineRule="auto"/>
        <w:ind w:right="102" w:firstLine="550"/>
      </w:pPr>
      <w:r>
        <w:rPr>
          <w:rFonts w:ascii="Times New Roman" w:hAnsi="Times New Roman" w:eastAsia="Times New Roman" w:cs="Times New Roman"/>
          <w:spacing w:val="21"/>
        </w:rPr>
        <w:t>c)</w:t>
      </w:r>
      <w:r>
        <w:rPr>
          <w:rFonts w:ascii="Times New Roman" w:hAnsi="Times New Roman" w:eastAsia="Times New Roman" w:cs="Times New Roman"/>
          <w:spacing w:val="73"/>
        </w:rPr>
        <w:t xml:space="preserve"> </w:t>
      </w:r>
      <w:r>
        <w:rPr>
          <w:spacing w:val="21"/>
        </w:rPr>
        <w:t>测试任务分析。如产品测试任务与组成单元测试作业之间的逻辑关</w:t>
      </w:r>
      <w:r>
        <w:t xml:space="preserve"> </w:t>
      </w:r>
      <w:r>
        <w:rPr>
          <w:spacing w:val="-8"/>
        </w:rPr>
        <w:t>系等；</w:t>
      </w:r>
    </w:p>
    <w:p w14:paraId="4173C68A">
      <w:pPr>
        <w:pStyle w:val="2"/>
        <w:spacing w:before="49" w:line="212" w:lineRule="auto"/>
        <w:ind w:left="550"/>
      </w:pPr>
      <w:r>
        <w:rPr>
          <w:rFonts w:ascii="Times New Roman" w:hAnsi="Times New Roman" w:eastAsia="Times New Roman" w:cs="Times New Roman"/>
          <w:spacing w:val="-4"/>
        </w:rPr>
        <w:t xml:space="preserve">d)  </w:t>
      </w:r>
      <w:r>
        <w:rPr>
          <w:spacing w:val="-4"/>
        </w:rPr>
        <w:t>确定输入与输出关系，建立相应的模型；</w:t>
      </w:r>
    </w:p>
    <w:p w14:paraId="38E70DEB">
      <w:pPr>
        <w:pStyle w:val="2"/>
        <w:spacing w:before="100" w:line="256" w:lineRule="auto"/>
        <w:ind w:right="118" w:firstLine="550"/>
      </w:pPr>
      <w:r>
        <w:rPr>
          <w:rFonts w:ascii="Times New Roman" w:hAnsi="Times New Roman" w:eastAsia="Times New Roman" w:cs="Times New Roman"/>
          <w:spacing w:val="3"/>
        </w:rPr>
        <w:t>e)</w:t>
      </w:r>
      <w:r>
        <w:rPr>
          <w:rFonts w:ascii="Times New Roman" w:hAnsi="Times New Roman" w:eastAsia="Times New Roman" w:cs="Times New Roman"/>
          <w:spacing w:val="69"/>
        </w:rPr>
        <w:t xml:space="preserve"> </w:t>
      </w:r>
      <w:r>
        <w:rPr>
          <w:spacing w:val="3"/>
        </w:rPr>
        <w:t>装备的测试性模型可以有多种，尽量先简后繁，在满足精度条件下应尽</w:t>
      </w:r>
      <w:r>
        <w:t xml:space="preserve"> </w:t>
      </w:r>
      <w:r>
        <w:rPr>
          <w:spacing w:val="-3"/>
        </w:rPr>
        <w:t>量简化。</w:t>
      </w:r>
    </w:p>
    <w:p w14:paraId="60691955">
      <w:pPr>
        <w:spacing w:before="86" w:line="222" w:lineRule="auto"/>
        <w:outlineLvl w:val="3"/>
        <w:rPr>
          <w:rFonts w:ascii="黑体" w:hAnsi="黑体" w:eastAsia="黑体" w:cs="黑体"/>
          <w:sz w:val="27"/>
          <w:szCs w:val="27"/>
        </w:rPr>
      </w:pPr>
      <w:r>
        <w:rPr>
          <w:rFonts w:ascii="Arial" w:hAnsi="Arial" w:eastAsia="Arial" w:cs="Arial"/>
          <w:b/>
          <w:bCs/>
          <w:sz w:val="27"/>
          <w:szCs w:val="27"/>
        </w:rPr>
        <w:t>7</w:t>
      </w:r>
      <w:r>
        <w:rPr>
          <w:rFonts w:ascii="Arial" w:hAnsi="Arial" w:eastAsia="Arial" w:cs="Arial"/>
          <w:b/>
          <w:bCs/>
          <w:spacing w:val="23"/>
          <w:w w:val="101"/>
          <w:sz w:val="27"/>
          <w:szCs w:val="27"/>
        </w:rPr>
        <w:t xml:space="preserve">   </w:t>
      </w:r>
      <w:r>
        <w:rPr>
          <w:rFonts w:ascii="黑体" w:hAnsi="黑体" w:eastAsia="黑体" w:cs="黑体"/>
          <w:b/>
          <w:bCs/>
          <w:sz w:val="27"/>
          <w:szCs w:val="27"/>
        </w:rPr>
        <w:t>确认模型</w:t>
      </w:r>
    </w:p>
    <w:p w14:paraId="5942DED7">
      <w:pPr>
        <w:pStyle w:val="2"/>
        <w:spacing w:before="122" w:line="272" w:lineRule="auto"/>
        <w:ind w:right="113" w:firstLine="550"/>
        <w:jc w:val="both"/>
      </w:pPr>
      <w:r>
        <w:rPr>
          <w:spacing w:val="5"/>
        </w:rPr>
        <w:t>模型的确认是检验构造的模型能否真正代表所建模产品(或所设计系统)的</w:t>
      </w:r>
      <w:r>
        <w:rPr>
          <w:spacing w:val="15"/>
        </w:rPr>
        <w:t xml:space="preserve"> </w:t>
      </w:r>
      <w:r>
        <w:rPr>
          <w:spacing w:val="5"/>
        </w:rPr>
        <w:t>基本性能。模型的确认过程是对模型和产品反复比较的过程，并且利用二者之</w:t>
      </w:r>
      <w:r>
        <w:rPr>
          <w:spacing w:val="9"/>
        </w:rPr>
        <w:t xml:space="preserve"> </w:t>
      </w:r>
      <w:r>
        <w:rPr>
          <w:spacing w:val="-2"/>
        </w:rPr>
        <w:t>间的差别来改进和修正模型，使之逐步向产</w:t>
      </w:r>
      <w:r>
        <w:rPr>
          <w:spacing w:val="-3"/>
        </w:rPr>
        <w:t>品特征逼近，直到模型被确认为真正</w:t>
      </w:r>
      <w:r>
        <w:t xml:space="preserve"> </w:t>
      </w:r>
      <w:r>
        <w:rPr>
          <w:spacing w:val="1"/>
        </w:rPr>
        <w:t>代表产品时为止。</w:t>
      </w:r>
    </w:p>
    <w:p w14:paraId="26AE45E3">
      <w:pPr>
        <w:pStyle w:val="2"/>
        <w:spacing w:before="16" w:line="219" w:lineRule="auto"/>
        <w:ind w:left="550"/>
      </w:pPr>
      <w:r>
        <w:rPr>
          <w:spacing w:val="-1"/>
        </w:rPr>
        <w:t>模型的确认包括模型假设的确认和模型的输入、输出的确认。</w:t>
      </w:r>
    </w:p>
    <w:p w14:paraId="04725247">
      <w:pPr>
        <w:pStyle w:val="2"/>
        <w:spacing w:before="105" w:line="278" w:lineRule="auto"/>
        <w:ind w:firstLine="550"/>
      </w:pPr>
      <w:r>
        <w:rPr>
          <w:spacing w:val="-3"/>
        </w:rPr>
        <w:t>模型假设可分为两大类，其一是结构假设，模型结构上的假设都必须与产品</w:t>
      </w:r>
      <w:r>
        <w:rPr>
          <w:spacing w:val="15"/>
        </w:rPr>
        <w:t xml:space="preserve"> </w:t>
      </w:r>
      <w:r>
        <w:rPr>
          <w:spacing w:val="6"/>
        </w:rPr>
        <w:t>的设计人员和产品的使用人员进行详细地讨论</w:t>
      </w:r>
      <w:r>
        <w:rPr>
          <w:spacing w:val="5"/>
        </w:rPr>
        <w:t>，并在实际观察的基础上加以确</w:t>
      </w:r>
      <w:r>
        <w:t xml:space="preserve"> </w:t>
      </w:r>
      <w:r>
        <w:rPr>
          <w:spacing w:val="-2"/>
        </w:rPr>
        <w:t>认；其二是数据假设，数据假设在收集产品可靠运行数</w:t>
      </w:r>
      <w:r>
        <w:rPr>
          <w:spacing w:val="-3"/>
        </w:rPr>
        <w:t>据的基础上，进行必要的</w:t>
      </w:r>
      <w:r>
        <w:t xml:space="preserve"> </w:t>
      </w:r>
      <w:r>
        <w:rPr>
          <w:spacing w:val="1"/>
        </w:rPr>
        <w:t>统计分析之后加以确定，尽可能使之符合实际需要，并得到用户的确认。此</w:t>
      </w:r>
      <w:r>
        <w:t xml:space="preserve">外， </w:t>
      </w:r>
      <w:r>
        <w:rPr>
          <w:spacing w:val="-3"/>
        </w:rPr>
        <w:t>数据假设还应在收集产品的随机样本数据的基础上，识别其概率分布类型，估计</w:t>
      </w:r>
      <w:r>
        <w:rPr>
          <w:spacing w:val="7"/>
        </w:rPr>
        <w:t xml:space="preserve">  </w:t>
      </w:r>
      <w:r>
        <w:rPr>
          <w:spacing w:val="3"/>
        </w:rPr>
        <w:t>其各项分布参数，并进行</w:t>
      </w:r>
      <w:r>
        <w:rPr>
          <w:spacing w:val="-76"/>
        </w:rPr>
        <w:t xml:space="preserve"> </w:t>
      </w:r>
      <w:r>
        <w:rPr>
          <w:rFonts w:ascii="Times New Roman" w:hAnsi="Times New Roman" w:eastAsia="Times New Roman" w:cs="Times New Roman"/>
          <w:spacing w:val="3"/>
        </w:rPr>
        <w:t xml:space="preserve">x² </w:t>
      </w:r>
      <w:r>
        <w:rPr>
          <w:spacing w:val="3"/>
        </w:rPr>
        <w:t>或柯尔莫哥罗夫一斯米尔诺夫检验等，使模型的数</w:t>
      </w:r>
      <w:r>
        <w:t xml:space="preserve">  </w:t>
      </w:r>
      <w:r>
        <w:rPr>
          <w:spacing w:val="1"/>
        </w:rPr>
        <w:t>据假设得到定量的确认。</w:t>
      </w:r>
    </w:p>
    <w:p w14:paraId="7623D3B7">
      <w:pPr>
        <w:pStyle w:val="2"/>
        <w:spacing w:line="296" w:lineRule="auto"/>
        <w:ind w:right="107" w:firstLine="550"/>
      </w:pPr>
      <w:r>
        <w:rPr>
          <w:spacing w:val="6"/>
        </w:rPr>
        <w:t>对模型的确认，最终表现在模型能否反映产品的测试性。即</w:t>
      </w:r>
      <w:r>
        <w:rPr>
          <w:spacing w:val="5"/>
        </w:rPr>
        <w:t>当模型和产品</w:t>
      </w:r>
      <w:r>
        <w:t xml:space="preserve"> </w:t>
      </w:r>
      <w:r>
        <w:rPr>
          <w:spacing w:val="5"/>
        </w:rPr>
        <w:t>都以同样的输入变量运行时，应具有相同的输出响应。当某些输入变量在一定</w:t>
      </w:r>
    </w:p>
    <w:p w14:paraId="209304E5">
      <w:pPr>
        <w:spacing w:line="296" w:lineRule="auto"/>
        <w:sectPr>
          <w:footerReference r:id="rId451" w:type="default"/>
          <w:pgSz w:w="11910" w:h="17130"/>
          <w:pgMar w:top="1422" w:right="1335" w:bottom="1606" w:left="1090" w:header="0" w:footer="1417" w:gutter="0"/>
          <w:cols w:space="720" w:num="1"/>
        </w:sectPr>
      </w:pPr>
    </w:p>
    <w:p w14:paraId="1E8640AB">
      <w:pPr>
        <w:pStyle w:val="2"/>
        <w:spacing w:before="73" w:line="279" w:lineRule="auto"/>
        <w:ind w:right="40"/>
        <w:jc w:val="both"/>
      </w:pPr>
      <w:r>
        <w:rPr>
          <w:spacing w:val="-3"/>
        </w:rPr>
        <w:t>范围内变动时，模型应能反映出产品的同样输入情况下的输出变化，由此可以确</w:t>
      </w:r>
      <w:r>
        <w:rPr>
          <w:spacing w:val="14"/>
        </w:rPr>
        <w:t xml:space="preserve"> </w:t>
      </w:r>
      <w:r>
        <w:rPr>
          <w:spacing w:val="-2"/>
        </w:rPr>
        <w:t>认模型和所建模的产品是否具有相同的输入、输出变换性能</w:t>
      </w:r>
      <w:r>
        <w:rPr>
          <w:spacing w:val="-3"/>
        </w:rPr>
        <w:t>。模型的输入、输出</w:t>
      </w:r>
      <w:r>
        <w:t xml:space="preserve"> </w:t>
      </w:r>
      <w:r>
        <w:rPr>
          <w:spacing w:val="5"/>
        </w:rPr>
        <w:t>确认可以充分利用现有历史统计数据来进行。还可以结合具体的建模方法，运</w:t>
      </w:r>
      <w:r>
        <w:t xml:space="preserve"> </w:t>
      </w:r>
      <w:r>
        <w:rPr>
          <w:spacing w:val="-3"/>
        </w:rPr>
        <w:t>用统计回归方法、计算机仿真方法等手段加以确认。</w:t>
      </w:r>
    </w:p>
    <w:p w14:paraId="197BFE73">
      <w:pPr>
        <w:spacing w:line="250" w:lineRule="auto"/>
        <w:rPr>
          <w:rFonts w:ascii="Arial"/>
          <w:sz w:val="21"/>
        </w:rPr>
      </w:pPr>
    </w:p>
    <w:p w14:paraId="20503C59">
      <w:pPr>
        <w:pStyle w:val="2"/>
        <w:spacing w:before="117" w:line="220" w:lineRule="auto"/>
        <w:ind w:left="3319"/>
        <w:rPr>
          <w:sz w:val="36"/>
          <w:szCs w:val="36"/>
        </w:rPr>
      </w:pPr>
      <w:r>
        <w:rPr>
          <w:spacing w:val="4"/>
          <w:sz w:val="36"/>
          <w:szCs w:val="36"/>
        </w:rPr>
        <w:t xml:space="preserve">9.7  </w:t>
      </w:r>
      <w:r>
        <w:rPr>
          <w:b/>
          <w:bCs/>
          <w:spacing w:val="4"/>
          <w:sz w:val="36"/>
          <w:szCs w:val="36"/>
        </w:rPr>
        <w:t>测试性分配</w:t>
      </w:r>
    </w:p>
    <w:p w14:paraId="164F0834">
      <w:pPr>
        <w:spacing w:line="321" w:lineRule="auto"/>
        <w:rPr>
          <w:rFonts w:ascii="Arial"/>
          <w:sz w:val="21"/>
        </w:rPr>
      </w:pPr>
    </w:p>
    <w:p w14:paraId="79FC6B93">
      <w:pPr>
        <w:pStyle w:val="2"/>
        <w:spacing w:before="91" w:line="223" w:lineRule="auto"/>
        <w:ind w:left="574"/>
        <w:rPr>
          <w:rFonts w:ascii="楷体" w:hAnsi="楷体" w:eastAsia="楷体" w:cs="楷体"/>
          <w:sz w:val="28"/>
          <w:szCs w:val="28"/>
        </w:rPr>
      </w:pPr>
      <w:r>
        <w:rPr>
          <w:rFonts w:ascii="楷体" w:hAnsi="楷体" w:eastAsia="楷体" w:cs="楷体"/>
          <w:b/>
          <w:bCs/>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2D2079EC">
      <w:pPr>
        <w:spacing w:before="99"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4"/>
          <w:sz w:val="27"/>
          <w:szCs w:val="27"/>
        </w:rPr>
        <w:t xml:space="preserve">  </w:t>
      </w:r>
      <w:r>
        <w:rPr>
          <w:rFonts w:ascii="黑体" w:hAnsi="黑体" w:eastAsia="黑体" w:cs="黑体"/>
          <w:spacing w:val="-3"/>
          <w:sz w:val="27"/>
          <w:szCs w:val="27"/>
        </w:rPr>
        <w:t>范围</w:t>
      </w:r>
    </w:p>
    <w:p w14:paraId="1593B741">
      <w:pPr>
        <w:spacing w:before="71"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8"/>
          <w:sz w:val="27"/>
          <w:szCs w:val="27"/>
        </w:rPr>
        <w:t xml:space="preserve">  </w:t>
      </w:r>
      <w:r>
        <w:rPr>
          <w:rFonts w:ascii="黑体" w:hAnsi="黑体" w:eastAsia="黑体" w:cs="黑体"/>
          <w:spacing w:val="-2"/>
          <w:sz w:val="27"/>
          <w:szCs w:val="27"/>
        </w:rPr>
        <w:t>引用文件</w:t>
      </w:r>
    </w:p>
    <w:p w14:paraId="269E3286">
      <w:pPr>
        <w:spacing w:before="26" w:line="368" w:lineRule="exact"/>
        <w:rPr>
          <w:rFonts w:ascii="黑体" w:hAnsi="黑体" w:eastAsia="黑体" w:cs="黑体"/>
          <w:sz w:val="27"/>
          <w:szCs w:val="27"/>
        </w:rPr>
      </w:pPr>
      <w:r>
        <w:rPr>
          <w:rFonts w:ascii="Arial" w:hAnsi="Arial" w:eastAsia="Arial" w:cs="Arial"/>
          <w:spacing w:val="2"/>
          <w:position w:val="1"/>
          <w:sz w:val="27"/>
          <w:szCs w:val="27"/>
        </w:rPr>
        <w:t>3</w:t>
      </w:r>
      <w:r>
        <w:rPr>
          <w:rFonts w:ascii="Arial" w:hAnsi="Arial" w:eastAsia="Arial" w:cs="Arial"/>
          <w:spacing w:val="22"/>
          <w:w w:val="101"/>
          <w:position w:val="1"/>
          <w:sz w:val="27"/>
          <w:szCs w:val="27"/>
        </w:rPr>
        <w:t xml:space="preserve">   </w:t>
      </w:r>
      <w:r>
        <w:rPr>
          <w:rFonts w:ascii="黑体" w:hAnsi="黑体" w:eastAsia="黑体" w:cs="黑体"/>
          <w:spacing w:val="2"/>
          <w:position w:val="1"/>
          <w:sz w:val="27"/>
          <w:szCs w:val="27"/>
        </w:rPr>
        <w:t>测试性分配的条件</w:t>
      </w:r>
    </w:p>
    <w:p w14:paraId="0869B690">
      <w:pPr>
        <w:pStyle w:val="2"/>
        <w:spacing w:before="122" w:line="219" w:lineRule="auto"/>
        <w:ind w:left="570"/>
        <w:rPr>
          <w:sz w:val="25"/>
          <w:szCs w:val="25"/>
        </w:rPr>
      </w:pPr>
      <w:r>
        <w:rPr>
          <w:spacing w:val="14"/>
          <w:sz w:val="25"/>
          <w:szCs w:val="25"/>
        </w:rPr>
        <w:t>说明测试性分配的条件，通常包括：</w:t>
      </w:r>
    </w:p>
    <w:p w14:paraId="698EC926">
      <w:pPr>
        <w:pStyle w:val="2"/>
        <w:spacing w:before="54" w:line="212" w:lineRule="auto"/>
        <w:ind w:left="570"/>
      </w:pPr>
      <w:r>
        <w:rPr>
          <w:rFonts w:ascii="Times New Roman" w:hAnsi="Times New Roman" w:eastAsia="Times New Roman" w:cs="Times New Roman"/>
          <w:spacing w:val="4"/>
        </w:rPr>
        <w:t xml:space="preserve">a)  </w:t>
      </w:r>
      <w:r>
        <w:rPr>
          <w:spacing w:val="4"/>
        </w:rPr>
        <w:t>已经提出对装备的测试性要求并载入合同或研制任务书中；</w:t>
      </w:r>
    </w:p>
    <w:p w14:paraId="359737D2">
      <w:pPr>
        <w:pStyle w:val="2"/>
        <w:spacing w:before="110" w:line="212" w:lineRule="auto"/>
        <w:ind w:left="570"/>
      </w:pPr>
      <w:r>
        <w:rPr>
          <w:rFonts w:ascii="Times New Roman" w:hAnsi="Times New Roman" w:eastAsia="Times New Roman" w:cs="Times New Roman"/>
          <w:spacing w:val="4"/>
        </w:rPr>
        <w:t xml:space="preserve">b)  </w:t>
      </w:r>
      <w:r>
        <w:rPr>
          <w:spacing w:val="4"/>
        </w:rPr>
        <w:t>已经初步确定装备的系统功能层次和测试方案；</w:t>
      </w:r>
    </w:p>
    <w:p w14:paraId="0D61CA27">
      <w:pPr>
        <w:pStyle w:val="2"/>
        <w:spacing w:before="80" w:line="212" w:lineRule="auto"/>
        <w:ind w:left="570"/>
      </w:pPr>
      <w:r>
        <w:rPr>
          <w:rFonts w:ascii="Times New Roman" w:hAnsi="Times New Roman" w:eastAsia="Times New Roman" w:cs="Times New Roman"/>
          <w:spacing w:val="-1"/>
        </w:rPr>
        <w:t xml:space="preserve">c)  </w:t>
      </w:r>
      <w:r>
        <w:rPr>
          <w:spacing w:val="-1"/>
        </w:rPr>
        <w:t>已经完成可靠性的初步分配，或与可靠性分配同时进行。</w:t>
      </w:r>
    </w:p>
    <w:p w14:paraId="18B78D5E">
      <w:pPr>
        <w:spacing w:before="140" w:line="222" w:lineRule="auto"/>
        <w:rPr>
          <w:rFonts w:ascii="黑体" w:hAnsi="黑体" w:eastAsia="黑体" w:cs="黑体"/>
          <w:sz w:val="27"/>
          <w:szCs w:val="27"/>
        </w:rPr>
      </w:pPr>
      <w:r>
        <w:rPr>
          <w:rFonts w:ascii="黑体" w:hAnsi="黑体" w:eastAsia="黑体" w:cs="黑体"/>
          <w:spacing w:val="4"/>
          <w:sz w:val="27"/>
          <w:szCs w:val="27"/>
        </w:rPr>
        <w:t>4</w:t>
      </w:r>
      <w:r>
        <w:rPr>
          <w:rFonts w:ascii="黑体" w:hAnsi="黑体" w:eastAsia="黑体" w:cs="黑体"/>
          <w:spacing w:val="14"/>
          <w:sz w:val="27"/>
          <w:szCs w:val="27"/>
        </w:rPr>
        <w:t xml:space="preserve">  </w:t>
      </w:r>
      <w:r>
        <w:rPr>
          <w:rFonts w:ascii="黑体" w:hAnsi="黑体" w:eastAsia="黑体" w:cs="黑体"/>
          <w:spacing w:val="4"/>
          <w:sz w:val="27"/>
          <w:szCs w:val="27"/>
        </w:rPr>
        <w:t>分配的指标</w:t>
      </w:r>
    </w:p>
    <w:p w14:paraId="53AB9B46">
      <w:pPr>
        <w:pStyle w:val="2"/>
        <w:spacing w:before="84" w:line="267" w:lineRule="auto"/>
        <w:ind w:right="448" w:firstLine="570"/>
        <w:rPr>
          <w:rFonts w:ascii="黑体" w:hAnsi="黑体" w:eastAsia="黑体" w:cs="黑体"/>
        </w:rPr>
      </w:pPr>
      <w:r>
        <w:rPr>
          <w:spacing w:val="1"/>
        </w:rPr>
        <w:t>根据研制合同(或任务书)给定的测试性定量要求，</w:t>
      </w:r>
      <w:r>
        <w:t xml:space="preserve">确定应分配的指标。 </w:t>
      </w:r>
      <w:r>
        <w:rPr>
          <w:rFonts w:ascii="Arial" w:hAnsi="Arial" w:eastAsia="Arial" w:cs="Arial"/>
          <w:spacing w:val="1"/>
        </w:rPr>
        <w:t>5</w:t>
      </w:r>
      <w:r>
        <w:rPr>
          <w:rFonts w:ascii="Arial" w:hAnsi="Arial" w:eastAsia="Arial" w:cs="Arial"/>
          <w:spacing w:val="22"/>
        </w:rPr>
        <w:t xml:space="preserve">   </w:t>
      </w:r>
      <w:r>
        <w:rPr>
          <w:rFonts w:ascii="黑体" w:hAnsi="黑体" w:eastAsia="黑体" w:cs="黑体"/>
          <w:spacing w:val="1"/>
        </w:rPr>
        <w:t>分配原则</w:t>
      </w:r>
    </w:p>
    <w:p w14:paraId="1C63736B">
      <w:pPr>
        <w:pStyle w:val="2"/>
        <w:spacing w:before="31" w:line="278" w:lineRule="auto"/>
        <w:ind w:right="21" w:firstLine="570"/>
        <w:jc w:val="both"/>
      </w:pPr>
      <w:r>
        <w:rPr>
          <w:spacing w:val="-3"/>
        </w:rPr>
        <w:t>针对产品制定分配原则。对于新的设计，固有特性未知，分配应以涉及的每</w:t>
      </w:r>
      <w:r>
        <w:rPr>
          <w:spacing w:val="9"/>
        </w:rPr>
        <w:t xml:space="preserve"> </w:t>
      </w:r>
      <w:r>
        <w:rPr>
          <w:spacing w:val="5"/>
        </w:rPr>
        <w:t>个功能层次上各部分的相对复杂性为基础。按测试性要求对应的维修级别进行</w:t>
      </w:r>
      <w:r>
        <w:rPr>
          <w:spacing w:val="2"/>
        </w:rPr>
        <w:t xml:space="preserve"> </w:t>
      </w:r>
      <w:r>
        <w:rPr>
          <w:spacing w:val="1"/>
        </w:rPr>
        <w:t>分配，而且只需要进行到对所分配的测试性指标值有直</w:t>
      </w:r>
      <w:r>
        <w:t>接影响的硬件层次。</w:t>
      </w:r>
    </w:p>
    <w:p w14:paraId="00DD017E">
      <w:pPr>
        <w:pStyle w:val="2"/>
        <w:spacing w:before="1" w:line="275" w:lineRule="auto"/>
        <w:ind w:right="20" w:firstLine="570"/>
      </w:pPr>
      <w:r>
        <w:rPr>
          <w:spacing w:val="6"/>
        </w:rPr>
        <w:t>若设计是从过去的设计演变而来或有相似的装</w:t>
      </w:r>
      <w:r>
        <w:rPr>
          <w:spacing w:val="5"/>
        </w:rPr>
        <w:t>备，则分配应以过去的经验</w:t>
      </w:r>
      <w:r>
        <w:t xml:space="preserve"> </w:t>
      </w:r>
      <w:r>
        <w:rPr>
          <w:spacing w:val="3"/>
        </w:rPr>
        <w:t>或相似装备的数据为基础。</w:t>
      </w:r>
    </w:p>
    <w:p w14:paraId="05F984C9">
      <w:pPr>
        <w:pStyle w:val="2"/>
        <w:spacing w:before="22" w:line="266" w:lineRule="auto"/>
        <w:ind w:right="1427" w:firstLine="570"/>
        <w:rPr>
          <w:rFonts w:ascii="黑体" w:hAnsi="黑体" w:eastAsia="黑体" w:cs="黑体"/>
        </w:rPr>
      </w:pPr>
      <w:r>
        <w:rPr>
          <w:spacing w:val="-5"/>
        </w:rPr>
        <w:t>分配是否合理应以技术可行性、费用、进度等约束</w:t>
      </w:r>
      <w:r>
        <w:rPr>
          <w:spacing w:val="-6"/>
        </w:rPr>
        <w:t>条件为依据。</w:t>
      </w:r>
      <w:r>
        <w:t xml:space="preserve"> </w:t>
      </w:r>
      <w:r>
        <w:rPr>
          <w:rFonts w:ascii="Arial" w:hAnsi="Arial" w:eastAsia="Arial" w:cs="Arial"/>
          <w:spacing w:val="5"/>
        </w:rPr>
        <w:t>6</w:t>
      </w:r>
      <w:r>
        <w:rPr>
          <w:rFonts w:ascii="Arial" w:hAnsi="Arial" w:eastAsia="Arial" w:cs="Arial"/>
          <w:spacing w:val="23"/>
        </w:rPr>
        <w:t xml:space="preserve">   </w:t>
      </w:r>
      <w:r>
        <w:rPr>
          <w:rFonts w:ascii="黑体" w:hAnsi="黑体" w:eastAsia="黑体" w:cs="黑体"/>
          <w:spacing w:val="5"/>
        </w:rPr>
        <w:t>分配方法及说明</w:t>
      </w:r>
    </w:p>
    <w:p w14:paraId="391E3AD9">
      <w:pPr>
        <w:pStyle w:val="2"/>
        <w:spacing w:before="33" w:line="219" w:lineRule="auto"/>
        <w:ind w:left="570"/>
      </w:pPr>
      <w:r>
        <w:rPr>
          <w:spacing w:val="-2"/>
        </w:rPr>
        <w:t>说明采用的测试性分配方法及理由，并经订购</w:t>
      </w:r>
      <w:r>
        <w:rPr>
          <w:spacing w:val="-3"/>
        </w:rPr>
        <w:t>方认可。</w:t>
      </w:r>
    </w:p>
    <w:p w14:paraId="70F85110">
      <w:pPr>
        <w:pStyle w:val="2"/>
        <w:spacing w:before="109" w:line="219" w:lineRule="auto"/>
        <w:ind w:left="570"/>
      </w:pPr>
      <w:r>
        <w:t>不同的研制阶段采用不同的测试性分配方法，主要</w:t>
      </w:r>
      <w:r>
        <w:rPr>
          <w:spacing w:val="-1"/>
        </w:rPr>
        <w:t>的分配方法有：</w:t>
      </w:r>
    </w:p>
    <w:p w14:paraId="3EC2A910">
      <w:pPr>
        <w:pStyle w:val="2"/>
        <w:spacing w:before="64" w:line="268" w:lineRule="auto"/>
        <w:ind w:right="19" w:firstLine="570"/>
        <w:rPr>
          <w:sz w:val="25"/>
          <w:szCs w:val="25"/>
        </w:rPr>
      </w:pPr>
      <w:r>
        <w:rPr>
          <w:rFonts w:ascii="Times New Roman" w:hAnsi="Times New Roman" w:eastAsia="Times New Roman" w:cs="Times New Roman"/>
          <w:spacing w:val="15"/>
          <w:sz w:val="25"/>
          <w:szCs w:val="25"/>
        </w:rPr>
        <w:t>a)</w:t>
      </w:r>
      <w:r>
        <w:rPr>
          <w:rFonts w:ascii="Times New Roman" w:hAnsi="Times New Roman" w:eastAsia="Times New Roman" w:cs="Times New Roman"/>
          <w:spacing w:val="25"/>
          <w:sz w:val="25"/>
          <w:szCs w:val="25"/>
        </w:rPr>
        <w:t xml:space="preserve">  </w:t>
      </w:r>
      <w:r>
        <w:rPr>
          <w:spacing w:val="15"/>
          <w:sz w:val="25"/>
          <w:szCs w:val="25"/>
        </w:rPr>
        <w:t>等值分配法，取各组成部分的测试性指标全部</w:t>
      </w:r>
      <w:r>
        <w:rPr>
          <w:spacing w:val="14"/>
          <w:sz w:val="25"/>
          <w:szCs w:val="25"/>
        </w:rPr>
        <w:t>等于系统要求的指标，</w:t>
      </w:r>
      <w:r>
        <w:rPr>
          <w:spacing w:val="94"/>
          <w:sz w:val="25"/>
          <w:szCs w:val="25"/>
        </w:rPr>
        <w:t xml:space="preserve"> </w:t>
      </w:r>
      <w:r>
        <w:rPr>
          <w:spacing w:val="14"/>
          <w:sz w:val="25"/>
          <w:szCs w:val="25"/>
        </w:rPr>
        <w:t>一</w:t>
      </w:r>
      <w:r>
        <w:rPr>
          <w:sz w:val="25"/>
          <w:szCs w:val="25"/>
        </w:rPr>
        <w:t xml:space="preserve"> </w:t>
      </w:r>
      <w:r>
        <w:rPr>
          <w:spacing w:val="20"/>
          <w:sz w:val="25"/>
          <w:szCs w:val="25"/>
        </w:rPr>
        <w:t>般用于方案阶段；</w:t>
      </w:r>
    </w:p>
    <w:p w14:paraId="035F0F22">
      <w:pPr>
        <w:pStyle w:val="2"/>
        <w:spacing w:before="73" w:line="257" w:lineRule="auto"/>
        <w:ind w:right="22" w:firstLine="570"/>
      </w:pPr>
      <w:r>
        <w:rPr>
          <w:rFonts w:ascii="Times New Roman" w:hAnsi="Times New Roman" w:eastAsia="Times New Roman" w:cs="Times New Roman"/>
        </w:rPr>
        <w:t xml:space="preserve">b)  </w:t>
      </w:r>
      <w:r>
        <w:t>按故障率分配法，仅考虑各组成部分的故障率的分配方法，</w:t>
      </w:r>
      <w:r>
        <w:rPr>
          <w:spacing w:val="-46"/>
        </w:rPr>
        <w:t xml:space="preserve"> </w:t>
      </w:r>
      <w:r>
        <w:t xml:space="preserve">一般用于方 </w:t>
      </w:r>
      <w:r>
        <w:rPr>
          <w:spacing w:val="3"/>
        </w:rPr>
        <w:t>案阶段和工程研制阶段早期；</w:t>
      </w:r>
    </w:p>
    <w:p w14:paraId="1AE2F221">
      <w:pPr>
        <w:pStyle w:val="2"/>
        <w:spacing w:before="58" w:line="257" w:lineRule="auto"/>
        <w:ind w:left="59" w:firstLine="510"/>
      </w:pPr>
      <w:r>
        <w:rPr>
          <w:rFonts w:ascii="Times New Roman" w:hAnsi="Times New Roman" w:eastAsia="Times New Roman" w:cs="Times New Roman"/>
        </w:rPr>
        <w:t xml:space="preserve">c)  </w:t>
      </w:r>
      <w:r>
        <w:t>加权分配法，考虑各组成部分的故障率和设计特性的分</w:t>
      </w:r>
      <w:r>
        <w:rPr>
          <w:spacing w:val="-1"/>
        </w:rPr>
        <w:t>配方法， 一般用</w:t>
      </w:r>
      <w:r>
        <w:t xml:space="preserve"> </w:t>
      </w:r>
      <w:r>
        <w:rPr>
          <w:spacing w:val="-2"/>
        </w:rPr>
        <w:t>于工程研制阶段；</w:t>
      </w:r>
    </w:p>
    <w:p w14:paraId="49D29B5E">
      <w:pPr>
        <w:pStyle w:val="2"/>
        <w:spacing w:before="67" w:line="212" w:lineRule="auto"/>
        <w:ind w:left="570"/>
      </w:pPr>
      <w:r>
        <w:rPr>
          <w:rFonts w:ascii="Times New Roman" w:hAnsi="Times New Roman" w:eastAsia="Times New Roman" w:cs="Times New Roman"/>
          <w:spacing w:val="2"/>
        </w:rPr>
        <w:t>d)</w:t>
      </w:r>
      <w:r>
        <w:rPr>
          <w:rFonts w:ascii="Times New Roman" w:hAnsi="Times New Roman" w:eastAsia="Times New Roman" w:cs="Times New Roman"/>
          <w:spacing w:val="24"/>
          <w:w w:val="101"/>
        </w:rPr>
        <w:t xml:space="preserve">  </w:t>
      </w:r>
      <w:r>
        <w:rPr>
          <w:spacing w:val="2"/>
        </w:rPr>
        <w:t>由订购方批准或提供的其他方法。</w:t>
      </w:r>
    </w:p>
    <w:p w14:paraId="0ED647D1">
      <w:pPr>
        <w:spacing w:line="212" w:lineRule="auto"/>
        <w:sectPr>
          <w:footerReference r:id="rId452" w:type="default"/>
          <w:pgSz w:w="11910" w:h="17130"/>
          <w:pgMar w:top="1456" w:right="1037" w:bottom="1596" w:left="1460" w:header="0" w:footer="1407" w:gutter="0"/>
          <w:cols w:space="720" w:num="1"/>
        </w:sectPr>
      </w:pPr>
    </w:p>
    <w:p w14:paraId="1FA898ED">
      <w:pPr>
        <w:spacing w:before="73" w:line="222"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4"/>
          <w:sz w:val="27"/>
          <w:szCs w:val="27"/>
        </w:rPr>
        <w:t xml:space="preserve">  </w:t>
      </w:r>
      <w:r>
        <w:rPr>
          <w:rFonts w:ascii="黑体" w:hAnsi="黑体" w:eastAsia="黑体" w:cs="黑体"/>
          <w:spacing w:val="1"/>
          <w:sz w:val="27"/>
          <w:szCs w:val="27"/>
        </w:rPr>
        <w:t>分配过程</w:t>
      </w:r>
    </w:p>
    <w:p w14:paraId="096440F2">
      <w:pPr>
        <w:pStyle w:val="2"/>
        <w:spacing w:before="87" w:line="220" w:lineRule="auto"/>
        <w:ind w:left="560"/>
      </w:pPr>
      <w:r>
        <w:rPr>
          <w:spacing w:val="2"/>
        </w:rPr>
        <w:t>记录实施分配的全过程。</w:t>
      </w:r>
    </w:p>
    <w:p w14:paraId="5291630C">
      <w:pPr>
        <w:spacing w:before="154" w:line="221" w:lineRule="auto"/>
        <w:rPr>
          <w:rFonts w:ascii="黑体" w:hAnsi="黑体" w:eastAsia="黑体" w:cs="黑体"/>
          <w:sz w:val="24"/>
          <w:szCs w:val="24"/>
        </w:rPr>
      </w:pPr>
      <w:r>
        <w:rPr>
          <w:rFonts w:ascii="黑体" w:hAnsi="黑体" w:eastAsia="黑体" w:cs="黑体"/>
          <w:spacing w:val="31"/>
          <w:sz w:val="24"/>
          <w:szCs w:val="24"/>
        </w:rPr>
        <w:t>8</w:t>
      </w:r>
      <w:r>
        <w:rPr>
          <w:rFonts w:ascii="黑体" w:hAnsi="黑体" w:eastAsia="黑体" w:cs="黑体"/>
          <w:spacing w:val="35"/>
          <w:sz w:val="24"/>
          <w:szCs w:val="24"/>
        </w:rPr>
        <w:t xml:space="preserve">  </w:t>
      </w:r>
      <w:r>
        <w:rPr>
          <w:rFonts w:ascii="黑体" w:hAnsi="黑体" w:eastAsia="黑体" w:cs="黑体"/>
          <w:spacing w:val="31"/>
          <w:sz w:val="24"/>
          <w:szCs w:val="24"/>
        </w:rPr>
        <w:t>分配结果及其合理性说明</w:t>
      </w:r>
    </w:p>
    <w:p w14:paraId="6C24A21E">
      <w:pPr>
        <w:pStyle w:val="2"/>
        <w:spacing w:before="96" w:line="219" w:lineRule="auto"/>
        <w:ind w:left="560"/>
      </w:pPr>
      <w:r>
        <w:rPr>
          <w:spacing w:val="-5"/>
        </w:rPr>
        <w:t>记录分配结果。从技术可行性、费用、进度等方面说</w:t>
      </w:r>
      <w:r>
        <w:rPr>
          <w:spacing w:val="-6"/>
        </w:rPr>
        <w:t>明其合理性。</w:t>
      </w:r>
    </w:p>
    <w:p w14:paraId="379DEAB9">
      <w:pPr>
        <w:spacing w:line="340" w:lineRule="auto"/>
        <w:rPr>
          <w:rFonts w:ascii="Arial"/>
          <w:sz w:val="21"/>
        </w:rPr>
      </w:pPr>
    </w:p>
    <w:p w14:paraId="0A16D545">
      <w:pPr>
        <w:pStyle w:val="2"/>
        <w:spacing w:before="117" w:line="220" w:lineRule="auto"/>
        <w:ind w:left="3340"/>
        <w:rPr>
          <w:sz w:val="36"/>
          <w:szCs w:val="36"/>
        </w:rPr>
      </w:pPr>
      <w:r>
        <w:rPr>
          <w:spacing w:val="2"/>
          <w:sz w:val="36"/>
          <w:szCs w:val="36"/>
        </w:rPr>
        <w:t xml:space="preserve">9.8  </w:t>
      </w:r>
      <w:r>
        <w:rPr>
          <w:b/>
          <w:bCs/>
          <w:spacing w:val="2"/>
          <w:sz w:val="36"/>
          <w:szCs w:val="36"/>
        </w:rPr>
        <w:t>测试性预计</w:t>
      </w:r>
    </w:p>
    <w:p w14:paraId="77F51D4F">
      <w:pPr>
        <w:spacing w:line="321" w:lineRule="auto"/>
        <w:rPr>
          <w:rFonts w:ascii="Arial"/>
          <w:sz w:val="21"/>
        </w:rPr>
      </w:pPr>
    </w:p>
    <w:p w14:paraId="4521E4B2">
      <w:pPr>
        <w:pStyle w:val="2"/>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3D310912">
      <w:pPr>
        <w:spacing w:before="99"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0A9A1A0C">
      <w:pPr>
        <w:spacing w:before="101"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321CA82C">
      <w:pPr>
        <w:spacing w:before="57" w:line="368" w:lineRule="exact"/>
        <w:rPr>
          <w:rFonts w:ascii="黑体" w:hAnsi="黑体" w:eastAsia="黑体" w:cs="黑体"/>
          <w:sz w:val="27"/>
          <w:szCs w:val="27"/>
        </w:rPr>
      </w:pPr>
      <w:r>
        <w:rPr>
          <w:rFonts w:ascii="Arial" w:hAnsi="Arial" w:eastAsia="Arial" w:cs="Arial"/>
          <w:spacing w:val="3"/>
          <w:position w:val="1"/>
          <w:sz w:val="27"/>
          <w:szCs w:val="27"/>
        </w:rPr>
        <w:t>3</w:t>
      </w:r>
      <w:r>
        <w:rPr>
          <w:rFonts w:ascii="Arial" w:hAnsi="Arial" w:eastAsia="Arial" w:cs="Arial"/>
          <w:spacing w:val="19"/>
          <w:w w:val="101"/>
          <w:position w:val="1"/>
          <w:sz w:val="27"/>
          <w:szCs w:val="27"/>
        </w:rPr>
        <w:t xml:space="preserve">   </w:t>
      </w:r>
      <w:r>
        <w:rPr>
          <w:rFonts w:ascii="黑体" w:hAnsi="黑体" w:eastAsia="黑体" w:cs="黑体"/>
          <w:spacing w:val="3"/>
          <w:position w:val="1"/>
          <w:sz w:val="27"/>
          <w:szCs w:val="27"/>
        </w:rPr>
        <w:t>测试性预计的条件</w:t>
      </w:r>
    </w:p>
    <w:p w14:paraId="2B47A0A7">
      <w:pPr>
        <w:pStyle w:val="2"/>
        <w:spacing w:before="122" w:line="219" w:lineRule="auto"/>
        <w:ind w:left="560"/>
        <w:rPr>
          <w:sz w:val="25"/>
          <w:szCs w:val="25"/>
        </w:rPr>
      </w:pPr>
      <w:r>
        <w:rPr>
          <w:spacing w:val="14"/>
          <w:sz w:val="25"/>
          <w:szCs w:val="25"/>
        </w:rPr>
        <w:t>说明测试性预计的条件，通常包括：</w:t>
      </w:r>
    </w:p>
    <w:p w14:paraId="1EF432F1">
      <w:pPr>
        <w:pStyle w:val="2"/>
        <w:spacing w:before="104" w:line="219" w:lineRule="auto"/>
        <w:ind w:left="560"/>
      </w:pPr>
      <w:r>
        <w:rPr>
          <w:rFonts w:ascii="Times New Roman" w:hAnsi="Times New Roman" w:eastAsia="Times New Roman" w:cs="Times New Roman"/>
          <w:spacing w:val="9"/>
        </w:rPr>
        <w:t>a</w:t>
      </w:r>
      <w:r>
        <w:rPr>
          <w:spacing w:val="9"/>
        </w:rPr>
        <w:t>)已作出了系统的初步设计；</w:t>
      </w:r>
    </w:p>
    <w:p w14:paraId="6D146ECE">
      <w:pPr>
        <w:pStyle w:val="2"/>
        <w:spacing w:before="59" w:line="212" w:lineRule="auto"/>
        <w:ind w:left="560"/>
      </w:pPr>
      <w:r>
        <w:rPr>
          <w:rFonts w:ascii="Times New Roman" w:hAnsi="Times New Roman" w:eastAsia="Times New Roman" w:cs="Times New Roman"/>
          <w:spacing w:val="2"/>
        </w:rPr>
        <w:t xml:space="preserve">b)  </w:t>
      </w:r>
      <w:r>
        <w:rPr>
          <w:spacing w:val="2"/>
        </w:rPr>
        <w:t>已经完成可靠性的初步预计；</w:t>
      </w:r>
    </w:p>
    <w:p w14:paraId="039687B2">
      <w:pPr>
        <w:pStyle w:val="2"/>
        <w:spacing w:before="120" w:line="267" w:lineRule="auto"/>
        <w:ind w:right="7" w:firstLine="560"/>
      </w:pPr>
      <w:r>
        <w:rPr>
          <w:rFonts w:ascii="Times New Roman" w:hAnsi="Times New Roman" w:eastAsia="Times New Roman" w:cs="Times New Roman"/>
          <w:spacing w:val="4"/>
        </w:rPr>
        <w:t>c)</w:t>
      </w:r>
      <w:r>
        <w:rPr>
          <w:rFonts w:ascii="Times New Roman" w:hAnsi="Times New Roman" w:eastAsia="Times New Roman" w:cs="Times New Roman"/>
          <w:spacing w:val="53"/>
        </w:rPr>
        <w:t xml:space="preserve"> </w:t>
      </w:r>
      <w:r>
        <w:rPr>
          <w:spacing w:val="4"/>
        </w:rPr>
        <w:t>掌握有关资料和数据，并权衡它们是否合</w:t>
      </w:r>
      <w:r>
        <w:rPr>
          <w:spacing w:val="3"/>
        </w:rPr>
        <w:t>理可用，这些资料和数据包括</w:t>
      </w:r>
      <w:r>
        <w:t xml:space="preserve"> </w:t>
      </w:r>
      <w:r>
        <w:rPr>
          <w:spacing w:val="-3"/>
        </w:rPr>
        <w:t>相似装备的历史数据，现有的维修保障分系统情况，与所研制的装备及各部分有</w:t>
      </w:r>
      <w:r>
        <w:rPr>
          <w:spacing w:val="7"/>
        </w:rPr>
        <w:t xml:space="preserve"> </w:t>
      </w:r>
      <w:r>
        <w:rPr>
          <w:spacing w:val="-1"/>
        </w:rPr>
        <w:t>关的故障率数据，维修工作顺序和维修工作时间元素的数据等。</w:t>
      </w:r>
    </w:p>
    <w:p w14:paraId="2CC23B32">
      <w:pPr>
        <w:spacing w:before="117" w:line="221" w:lineRule="auto"/>
        <w:rPr>
          <w:rFonts w:ascii="黑体" w:hAnsi="黑体" w:eastAsia="黑体" w:cs="黑体"/>
          <w:sz w:val="27"/>
          <w:szCs w:val="27"/>
        </w:rPr>
      </w:pPr>
      <w:r>
        <w:rPr>
          <w:rFonts w:ascii="黑体" w:hAnsi="黑体" w:eastAsia="黑体" w:cs="黑体"/>
          <w:spacing w:val="5"/>
          <w:sz w:val="27"/>
          <w:szCs w:val="27"/>
        </w:rPr>
        <w:t>4  预计的各种假设</w:t>
      </w:r>
    </w:p>
    <w:p w14:paraId="58428B12">
      <w:pPr>
        <w:pStyle w:val="2"/>
        <w:spacing w:before="77" w:line="219" w:lineRule="auto"/>
        <w:ind w:left="560"/>
      </w:pPr>
      <w:r>
        <w:rPr>
          <w:spacing w:val="4"/>
        </w:rPr>
        <w:t>说明选用的测试性预计模型用到的各种假设。</w:t>
      </w:r>
    </w:p>
    <w:p w14:paraId="487F063C">
      <w:pPr>
        <w:spacing w:before="82" w:line="368" w:lineRule="exact"/>
        <w:rPr>
          <w:rFonts w:ascii="黑体" w:hAnsi="黑体" w:eastAsia="黑体" w:cs="黑体"/>
          <w:sz w:val="27"/>
          <w:szCs w:val="27"/>
        </w:rPr>
      </w:pPr>
      <w:r>
        <w:rPr>
          <w:rFonts w:ascii="Arial" w:hAnsi="Arial" w:eastAsia="Arial" w:cs="Arial"/>
          <w:spacing w:val="4"/>
          <w:position w:val="1"/>
          <w:sz w:val="27"/>
          <w:szCs w:val="27"/>
        </w:rPr>
        <w:t>5</w:t>
      </w:r>
      <w:r>
        <w:rPr>
          <w:rFonts w:ascii="Arial" w:hAnsi="Arial" w:eastAsia="Arial" w:cs="Arial"/>
          <w:spacing w:val="18"/>
          <w:position w:val="1"/>
          <w:sz w:val="27"/>
          <w:szCs w:val="27"/>
        </w:rPr>
        <w:t xml:space="preserve">   </w:t>
      </w:r>
      <w:r>
        <w:rPr>
          <w:rFonts w:ascii="黑体" w:hAnsi="黑体" w:eastAsia="黑体" w:cs="黑体"/>
          <w:spacing w:val="4"/>
          <w:position w:val="1"/>
          <w:sz w:val="27"/>
          <w:szCs w:val="27"/>
        </w:rPr>
        <w:t>预计的参数</w:t>
      </w:r>
    </w:p>
    <w:p w14:paraId="2C05EC6B">
      <w:pPr>
        <w:pStyle w:val="2"/>
        <w:spacing w:before="80" w:line="219" w:lineRule="auto"/>
        <w:ind w:left="560"/>
      </w:pPr>
      <w:r>
        <w:t>根据研制合同(或任务书)给定的测试性定量要求，确定应预计的参数。</w:t>
      </w:r>
    </w:p>
    <w:p w14:paraId="520B06F9">
      <w:pPr>
        <w:spacing w:before="139" w:line="221" w:lineRule="auto"/>
        <w:rPr>
          <w:rFonts w:ascii="黑体" w:hAnsi="黑体" w:eastAsia="黑体" w:cs="黑体"/>
          <w:sz w:val="27"/>
          <w:szCs w:val="27"/>
        </w:rPr>
      </w:pPr>
      <w:r>
        <w:rPr>
          <w:rFonts w:ascii="黑体" w:hAnsi="黑体" w:eastAsia="黑体" w:cs="黑体"/>
          <w:spacing w:val="7"/>
          <w:sz w:val="27"/>
          <w:szCs w:val="27"/>
        </w:rPr>
        <w:t>6  预计方法及说明</w:t>
      </w:r>
    </w:p>
    <w:p w14:paraId="2BAD3F8C">
      <w:pPr>
        <w:pStyle w:val="2"/>
        <w:spacing w:before="110" w:line="280" w:lineRule="auto"/>
        <w:ind w:right="6" w:firstLine="560"/>
        <w:jc w:val="both"/>
      </w:pPr>
      <w:r>
        <w:rPr>
          <w:spacing w:val="6"/>
        </w:rPr>
        <w:t>不同的研制阶段采用不同的测试性预计方法，</w:t>
      </w:r>
      <w:r>
        <w:rPr>
          <w:spacing w:val="5"/>
        </w:rPr>
        <w:t>应指明预计产品测试性所采</w:t>
      </w:r>
      <w:r>
        <w:t xml:space="preserve"> </w:t>
      </w:r>
      <w:r>
        <w:rPr>
          <w:spacing w:val="-2"/>
        </w:rPr>
        <w:t>用的专门技术。根据预计的时机，产品的类型，预计的要求等，确定预计的</w:t>
      </w:r>
      <w:r>
        <w:rPr>
          <w:spacing w:val="-3"/>
        </w:rPr>
        <w:t>方法</w:t>
      </w:r>
      <w:r>
        <w:t xml:space="preserve"> </w:t>
      </w:r>
      <w:r>
        <w:rPr>
          <w:spacing w:val="2"/>
        </w:rPr>
        <w:t>和应用的数学模型。主要的预计方法有：</w:t>
      </w:r>
    </w:p>
    <w:p w14:paraId="3E456DD0">
      <w:pPr>
        <w:pStyle w:val="2"/>
        <w:spacing w:before="3" w:line="260" w:lineRule="auto"/>
        <w:ind w:firstLine="560"/>
      </w:pPr>
      <w:r>
        <w:rPr>
          <w:rFonts w:ascii="Times New Roman" w:hAnsi="Times New Roman" w:eastAsia="Times New Roman" w:cs="Times New Roman"/>
          <w:spacing w:val="3"/>
        </w:rPr>
        <w:t xml:space="preserve">a)  </w:t>
      </w:r>
      <w:r>
        <w:rPr>
          <w:spacing w:val="3"/>
        </w:rPr>
        <w:t>相似产品法：利用相似产品的数据，通过比例关系预计产品的测试性指</w:t>
      </w:r>
      <w:r>
        <w:rPr>
          <w:spacing w:val="6"/>
        </w:rPr>
        <w:t xml:space="preserve"> </w:t>
      </w:r>
      <w:r>
        <w:rPr>
          <w:spacing w:val="-8"/>
        </w:rPr>
        <w:t>标，可以用于论证阶段、方案阶段和工程研</w:t>
      </w:r>
      <w:r>
        <w:rPr>
          <w:spacing w:val="-9"/>
        </w:rPr>
        <w:t>制阶段；</w:t>
      </w:r>
    </w:p>
    <w:p w14:paraId="4E69ECB4">
      <w:pPr>
        <w:pStyle w:val="2"/>
        <w:spacing w:before="57" w:line="264" w:lineRule="auto"/>
        <w:ind w:right="3" w:firstLine="560"/>
      </w:pPr>
      <w:r>
        <w:rPr>
          <w:rFonts w:ascii="Times New Roman" w:hAnsi="Times New Roman" w:eastAsia="Times New Roman" w:cs="Times New Roman"/>
          <w:spacing w:val="-5"/>
        </w:rPr>
        <w:t xml:space="preserve">b)  </w:t>
      </w:r>
      <w:r>
        <w:rPr>
          <w:spacing w:val="-5"/>
        </w:rPr>
        <w:t>工程预计法：根据产品的测试特性和故障率，预计产品的预测性指标，一</w:t>
      </w:r>
      <w:r>
        <w:rPr>
          <w:spacing w:val="3"/>
        </w:rPr>
        <w:t xml:space="preserve"> </w:t>
      </w:r>
      <w:r>
        <w:rPr>
          <w:spacing w:val="1"/>
        </w:rPr>
        <w:t>般用于工程研制阶段；</w:t>
      </w:r>
    </w:p>
    <w:p w14:paraId="1B82768E">
      <w:pPr>
        <w:pStyle w:val="2"/>
        <w:spacing w:before="57" w:line="212" w:lineRule="auto"/>
        <w:ind w:left="560"/>
      </w:pPr>
      <w:r>
        <w:rPr>
          <w:rFonts w:ascii="Times New Roman" w:hAnsi="Times New Roman" w:eastAsia="Times New Roman" w:cs="Times New Roman"/>
          <w:spacing w:val="6"/>
        </w:rPr>
        <w:t>c)</w:t>
      </w:r>
      <w:r>
        <w:rPr>
          <w:rFonts w:ascii="Times New Roman" w:hAnsi="Times New Roman" w:eastAsia="Times New Roman" w:cs="Times New Roman"/>
          <w:spacing w:val="24"/>
          <w:w w:val="101"/>
        </w:rPr>
        <w:t xml:space="preserve"> </w:t>
      </w:r>
      <w:r>
        <w:rPr>
          <w:spacing w:val="6"/>
        </w:rPr>
        <w:t>由订购方批准或提供的其他方法。</w:t>
      </w:r>
    </w:p>
    <w:p w14:paraId="3C896461">
      <w:pPr>
        <w:spacing w:before="151" w:line="222" w:lineRule="auto"/>
        <w:rPr>
          <w:rFonts w:ascii="黑体" w:hAnsi="黑体" w:eastAsia="黑体" w:cs="黑体"/>
          <w:sz w:val="27"/>
          <w:szCs w:val="27"/>
        </w:rPr>
      </w:pPr>
      <w:r>
        <w:rPr>
          <w:rFonts w:ascii="黑体" w:hAnsi="黑体" w:eastAsia="黑体" w:cs="黑体"/>
          <w:spacing w:val="2"/>
          <w:sz w:val="27"/>
          <w:szCs w:val="27"/>
        </w:rPr>
        <w:t>7</w:t>
      </w:r>
      <w:r>
        <w:rPr>
          <w:rFonts w:ascii="黑体" w:hAnsi="黑体" w:eastAsia="黑体" w:cs="黑体"/>
          <w:spacing w:val="13"/>
          <w:sz w:val="27"/>
          <w:szCs w:val="27"/>
        </w:rPr>
        <w:t xml:space="preserve">  </w:t>
      </w:r>
      <w:r>
        <w:rPr>
          <w:rFonts w:ascii="黑体" w:hAnsi="黑体" w:eastAsia="黑体" w:cs="黑体"/>
          <w:spacing w:val="2"/>
          <w:sz w:val="27"/>
          <w:szCs w:val="27"/>
        </w:rPr>
        <w:t>相关数据</w:t>
      </w:r>
    </w:p>
    <w:p w14:paraId="4F1BA808">
      <w:pPr>
        <w:pStyle w:val="2"/>
        <w:spacing w:before="63" w:line="306" w:lineRule="auto"/>
        <w:ind w:right="4" w:firstLine="560"/>
      </w:pPr>
      <w:r>
        <w:rPr>
          <w:spacing w:val="6"/>
        </w:rPr>
        <w:t>应说明预计产品测试性所采用的数据及其来源，所</w:t>
      </w:r>
      <w:r>
        <w:rPr>
          <w:spacing w:val="5"/>
        </w:rPr>
        <w:t>采用的数据应得到订购</w:t>
      </w:r>
      <w:r>
        <w:t xml:space="preserve"> </w:t>
      </w:r>
      <w:r>
        <w:rPr>
          <w:spacing w:val="-1"/>
        </w:rPr>
        <w:t>方的批准。</w:t>
      </w:r>
    </w:p>
    <w:p w14:paraId="15C31FB2">
      <w:pPr>
        <w:spacing w:line="306" w:lineRule="auto"/>
        <w:sectPr>
          <w:footerReference r:id="rId453" w:type="default"/>
          <w:pgSz w:w="11910" w:h="17130"/>
          <w:pgMar w:top="1456" w:right="1422" w:bottom="1653" w:left="1100" w:header="0" w:footer="1455" w:gutter="0"/>
          <w:cols w:space="720" w:num="1"/>
        </w:sectPr>
      </w:pPr>
    </w:p>
    <w:p w14:paraId="68D535FD">
      <w:pPr>
        <w:spacing w:before="139" w:line="222" w:lineRule="auto"/>
        <w:outlineLvl w:val="3"/>
        <w:rPr>
          <w:rFonts w:ascii="黑体" w:hAnsi="黑体" w:eastAsia="黑体" w:cs="黑体"/>
          <w:sz w:val="27"/>
          <w:szCs w:val="27"/>
        </w:rPr>
      </w:pPr>
      <w:r>
        <w:rPr>
          <w:rFonts w:ascii="Arial" w:hAnsi="Arial" w:eastAsia="Arial" w:cs="Arial"/>
          <w:b/>
          <w:bCs/>
          <w:spacing w:val="2"/>
          <w:sz w:val="27"/>
          <w:szCs w:val="27"/>
        </w:rPr>
        <w:t>8</w:t>
      </w:r>
      <w:r>
        <w:rPr>
          <w:rFonts w:ascii="Arial" w:hAnsi="Arial" w:eastAsia="Arial" w:cs="Arial"/>
          <w:b/>
          <w:bCs/>
          <w:spacing w:val="16"/>
          <w:sz w:val="27"/>
          <w:szCs w:val="27"/>
        </w:rPr>
        <w:t xml:space="preserve">   </w:t>
      </w:r>
      <w:r>
        <w:rPr>
          <w:rFonts w:ascii="黑体" w:hAnsi="黑体" w:eastAsia="黑体" w:cs="黑体"/>
          <w:b/>
          <w:bCs/>
          <w:spacing w:val="2"/>
          <w:sz w:val="27"/>
          <w:szCs w:val="27"/>
        </w:rPr>
        <w:t>预计过程及结果</w:t>
      </w:r>
    </w:p>
    <w:p w14:paraId="3E0E535C">
      <w:pPr>
        <w:pStyle w:val="2"/>
        <w:spacing w:before="91" w:line="220" w:lineRule="auto"/>
        <w:ind w:left="550"/>
      </w:pPr>
      <w:r>
        <w:rPr>
          <w:spacing w:val="2"/>
        </w:rPr>
        <w:t>记录预计过程及结果。</w:t>
      </w:r>
    </w:p>
    <w:p w14:paraId="79264AF5">
      <w:pPr>
        <w:spacing w:before="83" w:line="222" w:lineRule="auto"/>
        <w:outlineLvl w:val="3"/>
        <w:rPr>
          <w:rFonts w:ascii="黑体" w:hAnsi="黑体" w:eastAsia="黑体" w:cs="黑体"/>
          <w:sz w:val="27"/>
          <w:szCs w:val="27"/>
        </w:rPr>
      </w:pPr>
      <w:r>
        <w:rPr>
          <w:rFonts w:ascii="Arial" w:hAnsi="Arial" w:eastAsia="Arial" w:cs="Arial"/>
          <w:b/>
          <w:bCs/>
          <w:sz w:val="27"/>
          <w:szCs w:val="27"/>
        </w:rPr>
        <w:t>9</w:t>
      </w:r>
      <w:r>
        <w:rPr>
          <w:rFonts w:ascii="Arial" w:hAnsi="Arial" w:eastAsia="Arial" w:cs="Arial"/>
          <w:b/>
          <w:bCs/>
          <w:spacing w:val="15"/>
          <w:sz w:val="27"/>
          <w:szCs w:val="27"/>
        </w:rPr>
        <w:t xml:space="preserve">   </w:t>
      </w:r>
      <w:r>
        <w:rPr>
          <w:rFonts w:ascii="黑体" w:hAnsi="黑体" w:eastAsia="黑体" w:cs="黑体"/>
          <w:b/>
          <w:bCs/>
          <w:sz w:val="27"/>
          <w:szCs w:val="27"/>
        </w:rPr>
        <w:t>未能检测与隔离的功能</w:t>
      </w:r>
    </w:p>
    <w:p w14:paraId="70FEA759">
      <w:pPr>
        <w:pStyle w:val="2"/>
        <w:spacing w:before="79" w:line="219" w:lineRule="auto"/>
        <w:ind w:left="550"/>
      </w:pPr>
      <w:r>
        <w:rPr>
          <w:spacing w:val="-3"/>
        </w:rPr>
        <w:t>与测试需求对比，确定未能检测与隔离的功能。</w:t>
      </w:r>
    </w:p>
    <w:p w14:paraId="67D5132B">
      <w:pPr>
        <w:spacing w:before="113" w:line="222" w:lineRule="auto"/>
        <w:rPr>
          <w:rFonts w:ascii="黑体" w:hAnsi="黑体" w:eastAsia="黑体" w:cs="黑体"/>
          <w:sz w:val="24"/>
          <w:szCs w:val="24"/>
        </w:rPr>
      </w:pPr>
      <w:r>
        <w:rPr>
          <w:rFonts w:ascii="黑体" w:hAnsi="黑体" w:eastAsia="黑体" w:cs="黑体"/>
          <w:spacing w:val="18"/>
          <w:sz w:val="24"/>
          <w:szCs w:val="24"/>
        </w:rPr>
        <w:t>10</w:t>
      </w:r>
      <w:r>
        <w:rPr>
          <w:rFonts w:ascii="黑体" w:hAnsi="黑体" w:eastAsia="黑体" w:cs="黑体"/>
          <w:spacing w:val="48"/>
          <w:sz w:val="24"/>
          <w:szCs w:val="24"/>
        </w:rPr>
        <w:t xml:space="preserve">  </w:t>
      </w:r>
      <w:r>
        <w:rPr>
          <w:rFonts w:ascii="黑体" w:hAnsi="黑体" w:eastAsia="黑体" w:cs="黑体"/>
          <w:b/>
          <w:bCs/>
          <w:spacing w:val="18"/>
          <w:sz w:val="24"/>
          <w:szCs w:val="24"/>
        </w:rPr>
        <w:t>改进建议</w:t>
      </w:r>
    </w:p>
    <w:p w14:paraId="4CFECAB2">
      <w:pPr>
        <w:pStyle w:val="2"/>
        <w:spacing w:before="108" w:line="219" w:lineRule="auto"/>
        <w:ind w:left="550"/>
      </w:pPr>
      <w:r>
        <w:rPr>
          <w:spacing w:val="-5"/>
        </w:rPr>
        <w:t>与测试性定量要求比较，对诊断方案、测试性设计等提出修改建议。</w:t>
      </w:r>
    </w:p>
    <w:p w14:paraId="55E3C527">
      <w:pPr>
        <w:spacing w:line="319" w:lineRule="auto"/>
        <w:rPr>
          <w:rFonts w:ascii="Arial"/>
          <w:sz w:val="21"/>
        </w:rPr>
      </w:pPr>
    </w:p>
    <w:p w14:paraId="6B4A4956">
      <w:pPr>
        <w:pStyle w:val="2"/>
        <w:spacing w:before="117" w:line="219" w:lineRule="auto"/>
        <w:ind w:left="850"/>
        <w:rPr>
          <w:sz w:val="36"/>
          <w:szCs w:val="36"/>
        </w:rPr>
      </w:pPr>
      <w:r>
        <w:rPr>
          <w:spacing w:val="-4"/>
          <w:sz w:val="36"/>
          <w:szCs w:val="36"/>
        </w:rPr>
        <w:t xml:space="preserve">9.9  </w:t>
      </w:r>
      <w:r>
        <w:rPr>
          <w:b/>
          <w:bCs/>
          <w:spacing w:val="-4"/>
          <w:sz w:val="36"/>
          <w:szCs w:val="36"/>
        </w:rPr>
        <w:t>故障模式、影响及危害性分析—测试性信息</w:t>
      </w:r>
    </w:p>
    <w:p w14:paraId="18C4F6B3">
      <w:pPr>
        <w:spacing w:line="337" w:lineRule="auto"/>
        <w:rPr>
          <w:rFonts w:ascii="Arial"/>
          <w:sz w:val="21"/>
        </w:rPr>
      </w:pPr>
    </w:p>
    <w:p w14:paraId="022055F5">
      <w:pPr>
        <w:pStyle w:val="2"/>
        <w:spacing w:before="89" w:line="223" w:lineRule="auto"/>
        <w:ind w:left="550"/>
        <w:rPr>
          <w:rFonts w:ascii="楷体" w:hAnsi="楷体" w:eastAsia="楷体" w:cs="楷体"/>
        </w:rPr>
      </w:pPr>
      <w:r>
        <w:rPr>
          <w:rFonts w:ascii="楷体" w:hAnsi="楷体" w:eastAsia="楷体" w:cs="楷体"/>
          <w:spacing w:val="-5"/>
        </w:rPr>
        <w:t>按照</w:t>
      </w:r>
      <w:r>
        <w:rPr>
          <w:rFonts w:ascii="Times New Roman" w:hAnsi="Times New Roman" w:eastAsia="Times New Roman" w:cs="Times New Roman"/>
          <w:spacing w:val="-5"/>
        </w:rPr>
        <w:t>GJB/Z</w:t>
      </w:r>
      <w:r>
        <w:rPr>
          <w:rFonts w:ascii="Times New Roman" w:hAnsi="Times New Roman" w:eastAsia="Times New Roman" w:cs="Times New Roman"/>
          <w:spacing w:val="61"/>
        </w:rPr>
        <w:t xml:space="preserve"> </w:t>
      </w:r>
      <w:r>
        <w:rPr>
          <w:rFonts w:ascii="Times New Roman" w:hAnsi="Times New Roman" w:eastAsia="Times New Roman" w:cs="Times New Roman"/>
          <w:spacing w:val="-5"/>
        </w:rPr>
        <w:t>1391—2006</w:t>
      </w:r>
      <w:r>
        <w:rPr>
          <w:spacing w:val="-5"/>
        </w:rPr>
        <w:t>《</w:t>
      </w:r>
      <w:r>
        <w:rPr>
          <w:rFonts w:ascii="楷体" w:hAnsi="楷体" w:eastAsia="楷体" w:cs="楷体"/>
          <w:spacing w:val="-5"/>
        </w:rPr>
        <w:t>故障模式、影响及危害性分析</w:t>
      </w:r>
      <w:r>
        <w:rPr>
          <w:rFonts w:ascii="楷体" w:hAnsi="楷体" w:eastAsia="楷体" w:cs="楷体"/>
          <w:spacing w:val="-6"/>
        </w:rPr>
        <w:t>指南》编写。</w:t>
      </w:r>
    </w:p>
    <w:p w14:paraId="215F4848">
      <w:pPr>
        <w:spacing w:before="97"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16"/>
          <w:sz w:val="27"/>
          <w:szCs w:val="27"/>
        </w:rPr>
        <w:t xml:space="preserve">  </w:t>
      </w:r>
      <w:r>
        <w:rPr>
          <w:rFonts w:ascii="黑体" w:hAnsi="黑体" w:eastAsia="黑体" w:cs="黑体"/>
          <w:b/>
          <w:bCs/>
          <w:spacing w:val="-13"/>
          <w:sz w:val="27"/>
          <w:szCs w:val="27"/>
        </w:rPr>
        <w:t>范围</w:t>
      </w:r>
    </w:p>
    <w:p w14:paraId="1D8857AB">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引用文件</w:t>
      </w:r>
    </w:p>
    <w:p w14:paraId="407316C6">
      <w:pPr>
        <w:spacing w:before="104" w:line="221" w:lineRule="auto"/>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31"/>
          <w:sz w:val="24"/>
          <w:szCs w:val="24"/>
        </w:rPr>
        <w:t xml:space="preserve">  </w:t>
      </w:r>
      <w:r>
        <w:rPr>
          <w:rFonts w:ascii="黑体" w:hAnsi="黑体" w:eastAsia="黑体" w:cs="黑体"/>
          <w:b/>
          <w:bCs/>
          <w:spacing w:val="-7"/>
          <w:sz w:val="24"/>
          <w:szCs w:val="24"/>
        </w:rPr>
        <w:t>概</w:t>
      </w:r>
      <w:r>
        <w:rPr>
          <w:rFonts w:ascii="黑体" w:hAnsi="黑体" w:eastAsia="黑体" w:cs="黑体"/>
          <w:spacing w:val="-45"/>
          <w:sz w:val="24"/>
          <w:szCs w:val="24"/>
        </w:rPr>
        <w:t xml:space="preserve"> </w:t>
      </w:r>
      <w:r>
        <w:rPr>
          <w:rFonts w:ascii="黑体" w:hAnsi="黑体" w:eastAsia="黑体" w:cs="黑体"/>
          <w:b/>
          <w:bCs/>
          <w:spacing w:val="-7"/>
          <w:sz w:val="24"/>
          <w:szCs w:val="24"/>
        </w:rPr>
        <w:t>述</w:t>
      </w:r>
    </w:p>
    <w:p w14:paraId="6E1DDA2B">
      <w:pPr>
        <w:pStyle w:val="2"/>
        <w:spacing w:before="106" w:line="275" w:lineRule="auto"/>
        <w:ind w:firstLine="550"/>
        <w:jc w:val="both"/>
      </w:pPr>
      <w:r>
        <w:rPr>
          <w:spacing w:val="6"/>
        </w:rPr>
        <w:t>实施</w:t>
      </w:r>
      <w:r>
        <w:rPr>
          <w:rFonts w:ascii="Times New Roman" w:hAnsi="Times New Roman" w:eastAsia="Times New Roman" w:cs="Times New Roman"/>
        </w:rPr>
        <w:t>FMECA</w:t>
      </w:r>
      <w:r>
        <w:rPr>
          <w:rFonts w:ascii="Times New Roman" w:hAnsi="Times New Roman" w:eastAsia="Times New Roman" w:cs="Times New Roman"/>
          <w:spacing w:val="6"/>
        </w:rPr>
        <w:t xml:space="preserve">  </w:t>
      </w:r>
      <w:r>
        <w:rPr>
          <w:spacing w:val="6"/>
        </w:rPr>
        <w:t>的目的、产品所处的寿命周期阶段、</w:t>
      </w:r>
      <w:r>
        <w:rPr>
          <w:rFonts w:ascii="仿宋" w:hAnsi="仿宋" w:eastAsia="仿宋" w:cs="仿宋"/>
          <w:spacing w:val="6"/>
        </w:rPr>
        <w:t>分析任务的来源等基本</w:t>
      </w:r>
      <w:r>
        <w:rPr>
          <w:rFonts w:ascii="仿宋" w:hAnsi="仿宋" w:eastAsia="仿宋" w:cs="仿宋"/>
          <w:spacing w:val="5"/>
        </w:rPr>
        <w:t xml:space="preserve">  </w:t>
      </w:r>
      <w:r>
        <w:rPr>
          <w:spacing w:val="1"/>
        </w:rPr>
        <w:t>情况；实施</w:t>
      </w:r>
      <w:r>
        <w:rPr>
          <w:rFonts w:ascii="Times New Roman" w:hAnsi="Times New Roman" w:eastAsia="Times New Roman" w:cs="Times New Roman"/>
        </w:rPr>
        <w:t>FMECA</w:t>
      </w:r>
      <w:r>
        <w:rPr>
          <w:rFonts w:ascii="Times New Roman" w:hAnsi="Times New Roman" w:eastAsia="Times New Roman" w:cs="Times New Roman"/>
          <w:spacing w:val="1"/>
        </w:rPr>
        <w:t xml:space="preserve">  </w:t>
      </w:r>
      <w:r>
        <w:rPr>
          <w:spacing w:val="1"/>
        </w:rPr>
        <w:t>的前提条件和基本假设的有关说明；编码体系、故障判据、</w:t>
      </w:r>
      <w:r>
        <w:rPr>
          <w:spacing w:val="15"/>
        </w:rPr>
        <w:t xml:space="preserve"> </w:t>
      </w:r>
      <w:r>
        <w:rPr>
          <w:spacing w:val="-2"/>
        </w:rPr>
        <w:t>严酷度定义、</w:t>
      </w:r>
      <w:r>
        <w:rPr>
          <w:rFonts w:ascii="Times New Roman" w:hAnsi="Times New Roman" w:eastAsia="Times New Roman" w:cs="Times New Roman"/>
          <w:spacing w:val="-2"/>
        </w:rPr>
        <w:t>FMECA</w:t>
      </w:r>
      <w:r>
        <w:rPr>
          <w:rFonts w:ascii="Times New Roman" w:hAnsi="Times New Roman" w:eastAsia="Times New Roman" w:cs="Times New Roman"/>
          <w:spacing w:val="57"/>
          <w:w w:val="101"/>
        </w:rPr>
        <w:t xml:space="preserve"> </w:t>
      </w:r>
      <w:r>
        <w:rPr>
          <w:spacing w:val="-2"/>
        </w:rPr>
        <w:t>方法的选用说明；</w:t>
      </w:r>
      <w:r>
        <w:rPr>
          <w:rFonts w:ascii="Times New Roman" w:hAnsi="Times New Roman" w:eastAsia="Times New Roman" w:cs="Times New Roman"/>
          <w:spacing w:val="-2"/>
        </w:rPr>
        <w:t>FM</w:t>
      </w:r>
      <w:r>
        <w:rPr>
          <w:rFonts w:ascii="Times New Roman" w:hAnsi="Times New Roman" w:eastAsia="Times New Roman" w:cs="Times New Roman"/>
          <w:spacing w:val="-3"/>
        </w:rPr>
        <w:t>ECA</w:t>
      </w:r>
      <w:r>
        <w:rPr>
          <w:rFonts w:ascii="Times New Roman" w:hAnsi="Times New Roman" w:eastAsia="Times New Roman" w:cs="Times New Roman"/>
          <w:spacing w:val="-38"/>
        </w:rPr>
        <w:t xml:space="preserve"> </w:t>
      </w:r>
      <w:r>
        <w:rPr>
          <w:spacing w:val="-3"/>
        </w:rPr>
        <w:t>、</w:t>
      </w:r>
      <w:r>
        <w:rPr>
          <w:rFonts w:ascii="Times New Roman" w:hAnsi="Times New Roman" w:eastAsia="Times New Roman" w:cs="Times New Roman"/>
          <w:spacing w:val="-3"/>
        </w:rPr>
        <w:t xml:space="preserve">CA </w:t>
      </w:r>
      <w:r>
        <w:rPr>
          <w:spacing w:val="-3"/>
        </w:rPr>
        <w:t>表选用说明；分析中使用</w:t>
      </w:r>
      <w:r>
        <w:t xml:space="preserve"> </w:t>
      </w:r>
      <w:r>
        <w:rPr>
          <w:spacing w:val="-4"/>
        </w:rPr>
        <w:t>的数据来源说明；其他有关解释和说明等。</w:t>
      </w:r>
    </w:p>
    <w:p w14:paraId="58F90BA3">
      <w:pPr>
        <w:spacing w:before="1" w:line="222" w:lineRule="auto"/>
        <w:rPr>
          <w:rFonts w:ascii="黑体" w:hAnsi="黑体" w:eastAsia="黑体" w:cs="黑体"/>
          <w:sz w:val="27"/>
          <w:szCs w:val="27"/>
        </w:rPr>
      </w:pPr>
      <w:r>
        <w:rPr>
          <w:rFonts w:ascii="黑体" w:hAnsi="黑体" w:eastAsia="黑体" w:cs="黑体"/>
          <w:spacing w:val="1"/>
          <w:sz w:val="27"/>
          <w:szCs w:val="27"/>
        </w:rPr>
        <w:t xml:space="preserve">4  </w:t>
      </w:r>
      <w:r>
        <w:rPr>
          <w:rFonts w:ascii="黑体" w:hAnsi="黑体" w:eastAsia="黑体" w:cs="黑体"/>
          <w:b/>
          <w:bCs/>
          <w:spacing w:val="1"/>
          <w:sz w:val="27"/>
          <w:szCs w:val="27"/>
        </w:rPr>
        <w:t>功能原理</w:t>
      </w:r>
    </w:p>
    <w:p w14:paraId="2A30A5CE">
      <w:pPr>
        <w:pStyle w:val="2"/>
        <w:spacing w:before="97" w:line="279" w:lineRule="auto"/>
        <w:ind w:right="122" w:firstLine="550"/>
      </w:pPr>
      <w:r>
        <w:rPr>
          <w:spacing w:val="-3"/>
        </w:rPr>
        <w:t>被分析产品的功能原理和工作说明，并指明本次分析所涉及的系统、分系统</w:t>
      </w:r>
      <w:r>
        <w:t xml:space="preserve"> 及其相应的功能，并进一步划分出</w:t>
      </w:r>
      <w:r>
        <w:rPr>
          <w:rFonts w:ascii="Times New Roman" w:hAnsi="Times New Roman" w:eastAsia="Times New Roman" w:cs="Times New Roman"/>
        </w:rPr>
        <w:t xml:space="preserve">FMECA  </w:t>
      </w:r>
      <w:r>
        <w:t>的约定层次。</w:t>
      </w:r>
    </w:p>
    <w:p w14:paraId="2D81FDC2">
      <w:pPr>
        <w:spacing w:before="2" w:line="220" w:lineRule="auto"/>
        <w:outlineLvl w:val="3"/>
        <w:rPr>
          <w:rFonts w:ascii="黑体" w:hAnsi="黑体" w:eastAsia="黑体" w:cs="黑体"/>
          <w:sz w:val="27"/>
          <w:szCs w:val="27"/>
        </w:rPr>
      </w:pPr>
      <w:r>
        <w:rPr>
          <w:rFonts w:ascii="Arial" w:hAnsi="Arial" w:eastAsia="Arial" w:cs="Arial"/>
          <w:b/>
          <w:bCs/>
          <w:spacing w:val="-8"/>
          <w:sz w:val="27"/>
          <w:szCs w:val="27"/>
        </w:rPr>
        <w:t>5</w:t>
      </w:r>
      <w:r>
        <w:rPr>
          <w:rFonts w:ascii="Arial" w:hAnsi="Arial" w:eastAsia="Arial" w:cs="Arial"/>
          <w:b/>
          <w:bCs/>
          <w:spacing w:val="18"/>
          <w:sz w:val="27"/>
          <w:szCs w:val="27"/>
        </w:rPr>
        <w:t xml:space="preserve">   </w:t>
      </w:r>
      <w:r>
        <w:rPr>
          <w:rFonts w:ascii="黑体" w:hAnsi="黑体" w:eastAsia="黑体" w:cs="黑体"/>
          <w:b/>
          <w:bCs/>
          <w:spacing w:val="-8"/>
          <w:sz w:val="27"/>
          <w:szCs w:val="27"/>
        </w:rPr>
        <w:t>系统定义</w:t>
      </w:r>
    </w:p>
    <w:p w14:paraId="6543B521">
      <w:pPr>
        <w:pStyle w:val="2"/>
        <w:spacing w:before="83" w:line="219" w:lineRule="auto"/>
        <w:ind w:left="550"/>
      </w:pPr>
      <w:r>
        <w:rPr>
          <w:spacing w:val="-1"/>
        </w:rPr>
        <w:t>被分析产品的功能分析、绘制功能框图和任务可靠性框图。</w:t>
      </w:r>
    </w:p>
    <w:p w14:paraId="63984698">
      <w:pPr>
        <w:spacing w:before="73" w:line="221"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表的格式及其填写说明</w:t>
      </w:r>
    </w:p>
    <w:p w14:paraId="3499A212">
      <w:pPr>
        <w:pStyle w:val="2"/>
        <w:spacing w:before="112" w:line="276" w:lineRule="auto"/>
        <w:ind w:firstLine="550"/>
      </w:pPr>
      <w:r>
        <w:rPr>
          <w:spacing w:val="10"/>
        </w:rPr>
        <w:t>测试性分析的</w:t>
      </w:r>
      <w:r>
        <w:rPr>
          <w:rFonts w:ascii="Times New Roman" w:hAnsi="Times New Roman" w:eastAsia="Times New Roman" w:cs="Times New Roman"/>
        </w:rPr>
        <w:t>FMECA</w:t>
      </w:r>
      <w:r>
        <w:rPr>
          <w:rFonts w:ascii="Times New Roman" w:hAnsi="Times New Roman" w:eastAsia="Times New Roman" w:cs="Times New Roman"/>
          <w:spacing w:val="67"/>
        </w:rPr>
        <w:t xml:space="preserve"> </w:t>
      </w:r>
      <w:r>
        <w:rPr>
          <w:spacing w:val="10"/>
        </w:rPr>
        <w:t>表见表9.3。根据实际情况，确定表9.3中的内容，</w:t>
      </w:r>
      <w:r>
        <w:t xml:space="preserve"> </w:t>
      </w:r>
      <w:r>
        <w:rPr>
          <w:spacing w:val="2"/>
        </w:rPr>
        <w:t>说明增加或删减理由。</w:t>
      </w:r>
    </w:p>
    <w:p w14:paraId="71290570">
      <w:pPr>
        <w:pStyle w:val="2"/>
        <w:spacing w:before="4" w:line="219" w:lineRule="auto"/>
        <w:ind w:left="550"/>
      </w:pPr>
      <w:r>
        <w:rPr>
          <w:spacing w:val="2"/>
        </w:rPr>
        <w:t>在表9.3中，各栏编写说明如下：</w:t>
      </w:r>
    </w:p>
    <w:p w14:paraId="4112698C">
      <w:pPr>
        <w:pStyle w:val="2"/>
        <w:spacing w:before="78" w:line="219" w:lineRule="auto"/>
        <w:ind w:left="550"/>
      </w:pPr>
      <w:r>
        <w:rPr>
          <w:spacing w:val="-2"/>
        </w:rPr>
        <w:t>第(1)栏：对每一产品采用一种编码体系进行标识。</w:t>
      </w:r>
    </w:p>
    <w:p w14:paraId="3E086E1E">
      <w:pPr>
        <w:pStyle w:val="2"/>
        <w:spacing w:before="81" w:line="219" w:lineRule="auto"/>
        <w:ind w:left="550"/>
      </w:pPr>
      <w:r>
        <w:rPr>
          <w:spacing w:val="-3"/>
        </w:rPr>
        <w:t>第(2)栏：记录被分析产品或功能的名称与标志。</w:t>
      </w:r>
    </w:p>
    <w:p w14:paraId="33C4EE8F">
      <w:pPr>
        <w:pStyle w:val="2"/>
        <w:spacing w:before="88" w:line="219" w:lineRule="auto"/>
        <w:ind w:left="550"/>
      </w:pPr>
      <w:r>
        <w:rPr>
          <w:spacing w:val="-4"/>
        </w:rPr>
        <w:t>第(3)栏：简要描述产品所具有的主要功能。</w:t>
      </w:r>
    </w:p>
    <w:p w14:paraId="0364D68C">
      <w:pPr>
        <w:pStyle w:val="2"/>
        <w:spacing w:before="110" w:line="219" w:lineRule="auto"/>
        <w:ind w:left="550"/>
      </w:pPr>
      <w:r>
        <w:rPr>
          <w:spacing w:val="-4"/>
        </w:rPr>
        <w:t>第(4)栏：根据故障模式分析的结果，依次填写每个产品的所有故障模式。</w:t>
      </w:r>
    </w:p>
    <w:p w14:paraId="5E01B06D">
      <w:pPr>
        <w:pStyle w:val="2"/>
        <w:spacing w:before="90" w:line="219" w:lineRule="auto"/>
        <w:jc w:val="right"/>
      </w:pPr>
      <w:r>
        <w:rPr>
          <w:spacing w:val="-3"/>
        </w:rPr>
        <w:t>第(5)栏：根据故障原因分析结果，依次填写每个故障模式的所</w:t>
      </w:r>
      <w:r>
        <w:rPr>
          <w:spacing w:val="-4"/>
        </w:rPr>
        <w:t>有故障原因。</w:t>
      </w:r>
    </w:p>
    <w:p w14:paraId="74273E95">
      <w:pPr>
        <w:pStyle w:val="2"/>
        <w:spacing w:before="82" w:line="283" w:lineRule="auto"/>
        <w:ind w:right="113" w:firstLine="550"/>
      </w:pPr>
      <w:r>
        <w:rPr>
          <w:spacing w:val="1"/>
        </w:rPr>
        <w:t>第(6)栏：根据任务剖面依次填写发生故障时的任务阶段与该阶段内产品的</w:t>
      </w:r>
      <w:r>
        <w:rPr>
          <w:spacing w:val="11"/>
        </w:rPr>
        <w:t xml:space="preserve"> </w:t>
      </w:r>
      <w:r>
        <w:rPr>
          <w:spacing w:val="-1"/>
        </w:rPr>
        <w:t>工作方式。</w:t>
      </w:r>
    </w:p>
    <w:p w14:paraId="27F0A095">
      <w:pPr>
        <w:pStyle w:val="2"/>
        <w:spacing w:line="218" w:lineRule="auto"/>
        <w:ind w:left="550"/>
        <w:rPr>
          <w:sz w:val="25"/>
          <w:szCs w:val="25"/>
        </w:rPr>
      </w:pPr>
      <w:r>
        <w:rPr>
          <w:spacing w:val="13"/>
          <w:sz w:val="25"/>
          <w:szCs w:val="25"/>
        </w:rPr>
        <w:t>第(7)栏：根据故障影响分析的结果，依次填写每一个故障模式的局</w:t>
      </w:r>
      <w:r>
        <w:rPr>
          <w:spacing w:val="12"/>
          <w:sz w:val="25"/>
          <w:szCs w:val="25"/>
        </w:rPr>
        <w:t>部、高一</w:t>
      </w:r>
    </w:p>
    <w:p w14:paraId="2D50FE80">
      <w:pPr>
        <w:spacing w:line="218" w:lineRule="auto"/>
        <w:rPr>
          <w:sz w:val="25"/>
          <w:szCs w:val="25"/>
        </w:rPr>
        <w:sectPr>
          <w:footerReference r:id="rId454" w:type="default"/>
          <w:pgSz w:w="11910" w:h="17130"/>
          <w:pgMar w:top="1456" w:right="834" w:bottom="1546" w:left="1589" w:header="0" w:footer="1357" w:gutter="0"/>
          <w:cols w:space="720" w:num="1"/>
        </w:sectPr>
      </w:pPr>
    </w:p>
    <w:p w14:paraId="2557D528">
      <w:pPr>
        <w:pStyle w:val="2"/>
        <w:spacing w:before="165" w:line="219" w:lineRule="auto"/>
      </w:pPr>
      <w:r>
        <w:rPr>
          <w:spacing w:val="4"/>
        </w:rPr>
        <w:t>层次和最终影响并分别填入对应栏。</w:t>
      </w:r>
    </w:p>
    <w:p w14:paraId="29F18F50">
      <w:pPr>
        <w:pStyle w:val="2"/>
        <w:spacing w:before="49" w:line="287" w:lineRule="auto"/>
        <w:ind w:right="82" w:firstLine="560"/>
      </w:pPr>
      <w:r>
        <w:rPr>
          <w:spacing w:val="-7"/>
        </w:rPr>
        <w:t>第(8)栏：记录被分析产品的“故障模式概率等级或故障数据源”的来源，当</w:t>
      </w:r>
      <w:r>
        <w:rPr>
          <w:spacing w:val="3"/>
        </w:rPr>
        <w:t xml:space="preserve"> </w:t>
      </w:r>
      <w:r>
        <w:t>采用定性分析方法时此栏只记录故障模式概率等级，并取消(9)～(11)栏。</w:t>
      </w:r>
    </w:p>
    <w:p w14:paraId="6657765D">
      <w:pPr>
        <w:pStyle w:val="2"/>
        <w:spacing w:line="219" w:lineRule="auto"/>
        <w:ind w:left="560"/>
      </w:pPr>
      <w:r>
        <w:rPr>
          <w:spacing w:val="3"/>
        </w:rPr>
        <w:t>第(9)～(11)栏分别记录危害度计算的相关数据及计算结果。</w:t>
      </w:r>
    </w:p>
    <w:p w14:paraId="484E7456">
      <w:pPr>
        <w:pStyle w:val="2"/>
        <w:spacing w:before="77" w:line="286" w:lineRule="auto"/>
        <w:ind w:right="65" w:firstLine="560"/>
      </w:pPr>
      <w:r>
        <w:rPr>
          <w:spacing w:val="5"/>
        </w:rPr>
        <w:t>第(12)～(18)栏：主要填写各种检测方法可检测的故障模式的故障率。其</w:t>
      </w:r>
      <w:r>
        <w:t xml:space="preserve"> </w:t>
      </w:r>
      <w:r>
        <w:rPr>
          <w:spacing w:val="-21"/>
        </w:rPr>
        <w:t>中“</w:t>
      </w:r>
      <w:r>
        <w:rPr>
          <w:rFonts w:ascii="Times New Roman" w:hAnsi="Times New Roman" w:eastAsia="Times New Roman" w:cs="Times New Roman"/>
          <w:spacing w:val="-21"/>
        </w:rPr>
        <w:t>BIT”</w:t>
      </w:r>
      <w:r>
        <w:rPr>
          <w:spacing w:val="-21"/>
        </w:rPr>
        <w:t>为机内测试，“</w:t>
      </w:r>
      <w:r>
        <w:rPr>
          <w:rFonts w:ascii="Times New Roman" w:hAnsi="Times New Roman" w:eastAsia="Times New Roman" w:cs="Times New Roman"/>
          <w:spacing w:val="-21"/>
        </w:rPr>
        <w:t xml:space="preserve">ATE”  </w:t>
      </w:r>
      <w:r>
        <w:rPr>
          <w:spacing w:val="-21"/>
        </w:rPr>
        <w:t>为自动测试设备，“人工”为人工测试，“</w:t>
      </w:r>
      <w:r>
        <w:rPr>
          <w:rFonts w:ascii="Times New Roman" w:hAnsi="Times New Roman" w:eastAsia="Times New Roman" w:cs="Times New Roman"/>
          <w:spacing w:val="-21"/>
        </w:rPr>
        <w:t xml:space="preserve">UD” </w:t>
      </w:r>
      <w:r>
        <w:rPr>
          <w:spacing w:val="-21"/>
        </w:rPr>
        <w:t>为不能</w:t>
      </w:r>
      <w:r>
        <w:rPr>
          <w:spacing w:val="16"/>
        </w:rPr>
        <w:t xml:space="preserve"> </w:t>
      </w:r>
      <w:r>
        <w:rPr>
          <w:spacing w:val="-6"/>
        </w:rPr>
        <w:t>检测。“</w:t>
      </w:r>
      <w:r>
        <w:rPr>
          <w:rFonts w:ascii="Times New Roman" w:hAnsi="Times New Roman" w:eastAsia="Times New Roman" w:cs="Times New Roman"/>
          <w:spacing w:val="-6"/>
        </w:rPr>
        <w:t xml:space="preserve">BIT  </w:t>
      </w:r>
      <w:r>
        <w:rPr>
          <w:spacing w:val="-6"/>
        </w:rPr>
        <w:t>及其相关信息”主要包括：</w:t>
      </w:r>
      <w:r>
        <w:rPr>
          <w:rFonts w:ascii="Times New Roman" w:hAnsi="Times New Roman" w:eastAsia="Times New Roman" w:cs="Times New Roman"/>
          <w:spacing w:val="-6"/>
        </w:rPr>
        <w:t>IBIT</w:t>
      </w:r>
      <w:r>
        <w:rPr>
          <w:rFonts w:ascii="Times New Roman" w:hAnsi="Times New Roman" w:eastAsia="Times New Roman" w:cs="Times New Roman"/>
          <w:spacing w:val="49"/>
        </w:rPr>
        <w:t xml:space="preserve"> </w:t>
      </w:r>
      <w:r>
        <w:rPr>
          <w:spacing w:val="-6"/>
        </w:rPr>
        <w:t>栏为系统运行前</w:t>
      </w:r>
      <w:r>
        <w:rPr>
          <w:rFonts w:ascii="Times New Roman" w:hAnsi="Times New Roman" w:eastAsia="Times New Roman" w:cs="Times New Roman"/>
          <w:spacing w:val="-6"/>
        </w:rPr>
        <w:t>BIT</w:t>
      </w:r>
      <w:r>
        <w:rPr>
          <w:rFonts w:ascii="Times New Roman" w:hAnsi="Times New Roman" w:eastAsia="Times New Roman" w:cs="Times New Roman"/>
          <w:spacing w:val="52"/>
          <w:w w:val="101"/>
        </w:rPr>
        <w:t xml:space="preserve"> </w:t>
      </w:r>
      <w:r>
        <w:rPr>
          <w:spacing w:val="-6"/>
        </w:rPr>
        <w:t>可检测的故障</w:t>
      </w:r>
      <w:r>
        <w:t xml:space="preserve"> </w:t>
      </w:r>
      <w:r>
        <w:rPr>
          <w:spacing w:val="-3"/>
        </w:rPr>
        <w:t>率；</w:t>
      </w:r>
      <w:r>
        <w:rPr>
          <w:rFonts w:ascii="Arial" w:hAnsi="Arial" w:eastAsia="Arial" w:cs="Arial"/>
          <w:spacing w:val="-3"/>
        </w:rPr>
        <w:t xml:space="preserve">MBIT  </w:t>
      </w:r>
      <w:r>
        <w:rPr>
          <w:spacing w:val="-3"/>
        </w:rPr>
        <w:t>栏为运行后维修</w:t>
      </w:r>
      <w:r>
        <w:rPr>
          <w:rFonts w:ascii="Arial" w:hAnsi="Arial" w:eastAsia="Arial" w:cs="Arial"/>
          <w:spacing w:val="-3"/>
        </w:rPr>
        <w:t xml:space="preserve">BIT  </w:t>
      </w:r>
      <w:r>
        <w:rPr>
          <w:spacing w:val="-3"/>
        </w:rPr>
        <w:t>可检测的故障率；</w:t>
      </w:r>
      <w:r>
        <w:rPr>
          <w:rFonts w:ascii="Arial" w:hAnsi="Arial" w:eastAsia="Arial" w:cs="Arial"/>
          <w:spacing w:val="-3"/>
        </w:rPr>
        <w:t xml:space="preserve">PBIT  </w:t>
      </w:r>
      <w:r>
        <w:rPr>
          <w:spacing w:val="-3"/>
        </w:rPr>
        <w:t>栏为系统运行中</w:t>
      </w:r>
      <w:r>
        <w:rPr>
          <w:spacing w:val="-73"/>
        </w:rPr>
        <w:t xml:space="preserve"> </w:t>
      </w:r>
      <w:r>
        <w:rPr>
          <w:rFonts w:ascii="Arial" w:hAnsi="Arial" w:eastAsia="Arial" w:cs="Arial"/>
          <w:spacing w:val="-3"/>
        </w:rPr>
        <w:t xml:space="preserve">BIT  </w:t>
      </w:r>
      <w:r>
        <w:rPr>
          <w:spacing w:val="-3"/>
        </w:rPr>
        <w:t>可</w:t>
      </w:r>
      <w:r>
        <w:t xml:space="preserve"> </w:t>
      </w:r>
      <w:r>
        <w:rPr>
          <w:spacing w:val="-3"/>
        </w:rPr>
        <w:t>检测的故障率；虚警率(λ</w:t>
      </w:r>
      <w:r>
        <w:rPr>
          <w:rFonts w:ascii="Times New Roman" w:hAnsi="Times New Roman" w:eastAsia="Times New Roman" w:cs="Times New Roman"/>
          <w:spacing w:val="-3"/>
        </w:rPr>
        <w:t>FA)</w:t>
      </w:r>
      <w:r>
        <w:rPr>
          <w:spacing w:val="-3"/>
        </w:rPr>
        <w:t>栏为可导致虚警事件的频</w:t>
      </w:r>
      <w:r>
        <w:rPr>
          <w:spacing w:val="-4"/>
        </w:rPr>
        <w:t>率，也包括</w:t>
      </w:r>
      <w:r>
        <w:rPr>
          <w:spacing w:val="-56"/>
        </w:rPr>
        <w:t xml:space="preserve"> </w:t>
      </w:r>
      <w:r>
        <w:rPr>
          <w:rFonts w:ascii="Times New Roman" w:hAnsi="Times New Roman" w:eastAsia="Times New Roman" w:cs="Times New Roman"/>
          <w:spacing w:val="-4"/>
        </w:rPr>
        <w:t xml:space="preserve">BITE  </w:t>
      </w:r>
      <w:r>
        <w:rPr>
          <w:spacing w:val="-4"/>
        </w:rPr>
        <w:t>故障会</w:t>
      </w:r>
      <w:r>
        <w:t xml:space="preserve"> </w:t>
      </w:r>
      <w:r>
        <w:rPr>
          <w:spacing w:val="2"/>
        </w:rPr>
        <w:t>导致虚警发生的频率。</w:t>
      </w:r>
    </w:p>
    <w:p w14:paraId="5DDC1BA0">
      <w:pPr>
        <w:pStyle w:val="2"/>
        <w:spacing w:before="11" w:line="282" w:lineRule="auto"/>
        <w:ind w:right="66" w:firstLine="560"/>
        <w:jc w:val="both"/>
      </w:pPr>
      <w:r>
        <w:rPr>
          <w:spacing w:val="2"/>
        </w:rPr>
        <w:t>第(19)栏：主要填写隔离到不同级别的故障</w:t>
      </w:r>
      <w:r>
        <w:rPr>
          <w:spacing w:val="1"/>
        </w:rPr>
        <w:t>模式的故障率。其中</w:t>
      </w:r>
      <w:r>
        <w:rPr>
          <w:rFonts w:ascii="Times New Roman" w:hAnsi="Times New Roman" w:eastAsia="Times New Roman" w:cs="Times New Roman"/>
        </w:rPr>
        <w:t>LRU</w:t>
      </w:r>
      <w:r>
        <w:rPr>
          <w:rFonts w:ascii="Times New Roman" w:hAnsi="Times New Roman" w:eastAsia="Times New Roman" w:cs="Times New Roman"/>
          <w:spacing w:val="58"/>
          <w:w w:val="101"/>
        </w:rPr>
        <w:t xml:space="preserve"> </w:t>
      </w:r>
      <w:r>
        <w:rPr>
          <w:spacing w:val="1"/>
        </w:rPr>
        <w:t>为现</w:t>
      </w:r>
      <w:r>
        <w:t xml:space="preserve"> </w:t>
      </w:r>
      <w:r>
        <w:rPr>
          <w:spacing w:val="-10"/>
        </w:rPr>
        <w:t>场可更换单元，即可在工作现场(基层级)从系统或设备上拆卸并更换的单元；</w:t>
      </w:r>
      <w:r>
        <w:rPr>
          <w:rFonts w:ascii="Times New Roman" w:hAnsi="Times New Roman" w:eastAsia="Times New Roman" w:cs="Times New Roman"/>
          <w:spacing w:val="-10"/>
        </w:rPr>
        <w:t>SRU</w:t>
      </w:r>
      <w:r>
        <w:rPr>
          <w:rFonts w:ascii="Times New Roman" w:hAnsi="Times New Roman" w:eastAsia="Times New Roman" w:cs="Times New Roman"/>
          <w:spacing w:val="11"/>
        </w:rPr>
        <w:t xml:space="preserve"> </w:t>
      </w:r>
      <w:r>
        <w:rPr>
          <w:spacing w:val="-8"/>
        </w:rPr>
        <w:t>为车间可更换单元，即可在车间(中继级)内，从</w:t>
      </w:r>
      <w:r>
        <w:rPr>
          <w:rFonts w:ascii="Times New Roman" w:hAnsi="Times New Roman" w:eastAsia="Times New Roman" w:cs="Times New Roman"/>
          <w:spacing w:val="-8"/>
        </w:rPr>
        <w:t xml:space="preserve">LRU </w:t>
      </w:r>
      <w:r>
        <w:rPr>
          <w:spacing w:val="-8"/>
        </w:rPr>
        <w:t>上拆卸并更换的单元。</w:t>
      </w:r>
    </w:p>
    <w:p w14:paraId="4C6CCB30">
      <w:pPr>
        <w:pStyle w:val="2"/>
        <w:spacing w:before="23" w:line="284" w:lineRule="auto"/>
        <w:ind w:right="55" w:firstLine="560"/>
      </w:pPr>
      <w:r>
        <w:rPr>
          <w:spacing w:val="-3"/>
        </w:rPr>
        <w:t>第(20)栏：“</w:t>
      </w:r>
      <w:r>
        <w:rPr>
          <w:rFonts w:ascii="Times New Roman" w:hAnsi="Times New Roman" w:eastAsia="Times New Roman" w:cs="Times New Roman"/>
          <w:spacing w:val="-3"/>
        </w:rPr>
        <w:t xml:space="preserve">BIT  </w:t>
      </w:r>
      <w:r>
        <w:rPr>
          <w:spacing w:val="-3"/>
        </w:rPr>
        <w:t>硬件故障率”是用于该系</w:t>
      </w:r>
      <w:r>
        <w:rPr>
          <w:spacing w:val="-4"/>
        </w:rPr>
        <w:t>统的自身</w:t>
      </w:r>
      <w:r>
        <w:rPr>
          <w:rFonts w:ascii="Times New Roman" w:hAnsi="Times New Roman" w:eastAsia="Times New Roman" w:cs="Times New Roman"/>
          <w:spacing w:val="-4"/>
        </w:rPr>
        <w:t xml:space="preserve">BIT  </w:t>
      </w:r>
      <w:r>
        <w:rPr>
          <w:spacing w:val="-4"/>
        </w:rPr>
        <w:t>电路所用元器件的</w:t>
      </w:r>
      <w:r>
        <w:t xml:space="preserve"> </w:t>
      </w:r>
      <w:r>
        <w:rPr>
          <w:spacing w:val="-5"/>
        </w:rPr>
        <w:t>故障率。</w:t>
      </w:r>
    </w:p>
    <w:p w14:paraId="59C3BFAB">
      <w:pPr>
        <w:pStyle w:val="2"/>
        <w:spacing w:line="219" w:lineRule="auto"/>
        <w:ind w:left="560"/>
      </w:pPr>
      <w:r>
        <w:rPr>
          <w:spacing w:val="-3"/>
        </w:rPr>
        <w:t>第(21)栏：记录对其他栏的注释和补充说明。</w:t>
      </w:r>
    </w:p>
    <w:p w14:paraId="7692898A">
      <w:pPr>
        <w:spacing w:before="134" w:line="220" w:lineRule="auto"/>
        <w:ind w:left="2689"/>
        <w:rPr>
          <w:rFonts w:ascii="仿宋" w:hAnsi="仿宋" w:eastAsia="仿宋" w:cs="仿宋"/>
          <w:sz w:val="24"/>
          <w:szCs w:val="24"/>
        </w:rPr>
      </w:pPr>
      <w:r>
        <w:rPr>
          <w:rFonts w:ascii="仿宋" w:hAnsi="仿宋" w:eastAsia="仿宋" w:cs="仿宋"/>
          <w:spacing w:val="15"/>
          <w:sz w:val="24"/>
          <w:szCs w:val="24"/>
        </w:rPr>
        <w:t>表9</w:t>
      </w:r>
      <w:r>
        <w:rPr>
          <w:rFonts w:ascii="仿宋" w:hAnsi="仿宋" w:eastAsia="仿宋" w:cs="仿宋"/>
          <w:spacing w:val="-38"/>
          <w:sz w:val="24"/>
          <w:szCs w:val="24"/>
        </w:rPr>
        <w:t xml:space="preserve"> </w:t>
      </w:r>
      <w:r>
        <w:rPr>
          <w:rFonts w:ascii="仿宋" w:hAnsi="仿宋" w:eastAsia="仿宋" w:cs="仿宋"/>
          <w:spacing w:val="15"/>
          <w:sz w:val="24"/>
          <w:szCs w:val="24"/>
        </w:rPr>
        <w:t>.</w:t>
      </w:r>
      <w:r>
        <w:rPr>
          <w:rFonts w:ascii="仿宋" w:hAnsi="仿宋" w:eastAsia="仿宋" w:cs="仿宋"/>
          <w:spacing w:val="-52"/>
          <w:sz w:val="24"/>
          <w:szCs w:val="24"/>
        </w:rPr>
        <w:t xml:space="preserve"> </w:t>
      </w:r>
      <w:r>
        <w:rPr>
          <w:rFonts w:ascii="仿宋" w:hAnsi="仿宋" w:eastAsia="仿宋" w:cs="仿宋"/>
          <w:spacing w:val="15"/>
          <w:sz w:val="24"/>
          <w:szCs w:val="24"/>
        </w:rPr>
        <w:t>3  测试性分析的</w:t>
      </w:r>
      <w:r>
        <w:rPr>
          <w:rFonts w:ascii="仿宋" w:hAnsi="仿宋" w:eastAsia="仿宋" w:cs="仿宋"/>
          <w:spacing w:val="-63"/>
          <w:sz w:val="24"/>
          <w:szCs w:val="24"/>
        </w:rPr>
        <w:t xml:space="preserve"> </w:t>
      </w:r>
      <w:r>
        <w:rPr>
          <w:rFonts w:ascii="Times New Roman" w:hAnsi="Times New Roman" w:eastAsia="Times New Roman" w:cs="Times New Roman"/>
          <w:sz w:val="24"/>
          <w:szCs w:val="24"/>
        </w:rPr>
        <w:t>FMECA</w:t>
      </w:r>
      <w:r>
        <w:rPr>
          <w:rFonts w:ascii="Times New Roman" w:hAnsi="Times New Roman" w:eastAsia="Times New Roman" w:cs="Times New Roman"/>
          <w:spacing w:val="15"/>
          <w:sz w:val="24"/>
          <w:szCs w:val="24"/>
        </w:rPr>
        <w:t xml:space="preserve">    </w:t>
      </w:r>
      <w:r>
        <w:rPr>
          <w:rFonts w:ascii="仿宋" w:hAnsi="仿宋" w:eastAsia="仿宋" w:cs="仿宋"/>
          <w:spacing w:val="15"/>
          <w:sz w:val="24"/>
          <w:szCs w:val="24"/>
        </w:rPr>
        <w:t>表</w:t>
      </w:r>
    </w:p>
    <w:p w14:paraId="5A8A45D6">
      <w:pPr>
        <w:spacing w:line="86" w:lineRule="exact"/>
      </w:pPr>
    </w:p>
    <w:tbl>
      <w:tblPr>
        <w:tblStyle w:val="5"/>
        <w:tblW w:w="8357" w:type="dxa"/>
        <w:tblInd w:w="4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89"/>
        <w:gridCol w:w="2200"/>
        <w:gridCol w:w="1992"/>
        <w:gridCol w:w="1983"/>
        <w:gridCol w:w="293"/>
      </w:tblGrid>
      <w:tr w14:paraId="331F0B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7" w:hRule="atLeast"/>
        </w:trPr>
        <w:tc>
          <w:tcPr>
            <w:tcW w:w="1889" w:type="dxa"/>
            <w:vAlign w:val="top"/>
          </w:tcPr>
          <w:p w14:paraId="11770696">
            <w:pPr>
              <w:spacing w:before="10" w:line="219" w:lineRule="auto"/>
              <w:ind w:left="10"/>
              <w:rPr>
                <w:rFonts w:ascii="宋体" w:hAnsi="宋体" w:eastAsia="宋体" w:cs="宋体"/>
                <w:sz w:val="20"/>
                <w:szCs w:val="20"/>
              </w:rPr>
            </w:pPr>
            <w:r>
              <w:rPr>
                <w:rFonts w:ascii="宋体" w:hAnsi="宋体" w:eastAsia="宋体" w:cs="宋体"/>
                <w:spacing w:val="9"/>
                <w:sz w:val="20"/>
                <w:szCs w:val="20"/>
              </w:rPr>
              <w:t>初始约定层次</w:t>
            </w:r>
          </w:p>
        </w:tc>
        <w:tc>
          <w:tcPr>
            <w:tcW w:w="2200" w:type="dxa"/>
            <w:vAlign w:val="top"/>
          </w:tcPr>
          <w:p w14:paraId="4627181F">
            <w:pPr>
              <w:spacing w:line="223" w:lineRule="auto"/>
              <w:ind w:left="631"/>
              <w:rPr>
                <w:rFonts w:ascii="仿宋" w:hAnsi="仿宋" w:eastAsia="仿宋" w:cs="仿宋"/>
                <w:sz w:val="21"/>
                <w:szCs w:val="21"/>
              </w:rPr>
            </w:pPr>
            <w:r>
              <w:rPr>
                <w:rFonts w:ascii="宋体" w:hAnsi="宋体" w:eastAsia="宋体" w:cs="宋体"/>
                <w:spacing w:val="-4"/>
                <w:sz w:val="21"/>
                <w:szCs w:val="21"/>
              </w:rPr>
              <w:t>任</w:t>
            </w:r>
            <w:r>
              <w:rPr>
                <w:rFonts w:ascii="仿宋" w:hAnsi="仿宋" w:eastAsia="仿宋" w:cs="仿宋"/>
                <w:spacing w:val="-4"/>
                <w:sz w:val="21"/>
                <w:szCs w:val="21"/>
              </w:rPr>
              <w:t>务</w:t>
            </w:r>
          </w:p>
        </w:tc>
        <w:tc>
          <w:tcPr>
            <w:tcW w:w="1992" w:type="dxa"/>
            <w:vAlign w:val="top"/>
          </w:tcPr>
          <w:p w14:paraId="067B902B">
            <w:pPr>
              <w:spacing w:before="11" w:line="220" w:lineRule="auto"/>
              <w:ind w:left="731"/>
              <w:rPr>
                <w:rFonts w:ascii="宋体" w:hAnsi="宋体" w:eastAsia="宋体" w:cs="宋体"/>
                <w:sz w:val="20"/>
                <w:szCs w:val="20"/>
              </w:rPr>
            </w:pPr>
            <w:r>
              <w:rPr>
                <w:rFonts w:ascii="宋体" w:hAnsi="宋体" w:eastAsia="宋体" w:cs="宋体"/>
                <w:spacing w:val="20"/>
                <w:sz w:val="20"/>
                <w:szCs w:val="20"/>
              </w:rPr>
              <w:t>审核</w:t>
            </w:r>
          </w:p>
        </w:tc>
        <w:tc>
          <w:tcPr>
            <w:tcW w:w="1983" w:type="dxa"/>
            <w:vAlign w:val="top"/>
          </w:tcPr>
          <w:p w14:paraId="72DDD0BD">
            <w:pPr>
              <w:spacing w:line="219" w:lineRule="auto"/>
              <w:ind w:left="839"/>
              <w:rPr>
                <w:rFonts w:ascii="宋体" w:hAnsi="宋体" w:eastAsia="宋体" w:cs="宋体"/>
                <w:sz w:val="20"/>
                <w:szCs w:val="20"/>
              </w:rPr>
            </w:pPr>
            <w:r>
              <w:rPr>
                <w:rFonts w:ascii="宋体" w:hAnsi="宋体" w:eastAsia="宋体" w:cs="宋体"/>
                <w:spacing w:val="-21"/>
                <w:sz w:val="20"/>
                <w:szCs w:val="20"/>
              </w:rPr>
              <w:t>第</w:t>
            </w:r>
            <w:r>
              <w:rPr>
                <w:rFonts w:ascii="宋体" w:hAnsi="宋体" w:eastAsia="宋体" w:cs="宋体"/>
                <w:spacing w:val="13"/>
                <w:sz w:val="20"/>
                <w:szCs w:val="20"/>
              </w:rPr>
              <w:t xml:space="preserve">  </w:t>
            </w:r>
            <w:r>
              <w:rPr>
                <w:rFonts w:ascii="宋体" w:hAnsi="宋体" w:eastAsia="宋体" w:cs="宋体"/>
                <w:spacing w:val="-21"/>
                <w:sz w:val="20"/>
                <w:szCs w:val="20"/>
              </w:rPr>
              <w:t>页 ·</w:t>
            </w:r>
            <w:r>
              <w:rPr>
                <w:rFonts w:ascii="宋体" w:hAnsi="宋体" w:eastAsia="宋体" w:cs="宋体"/>
                <w:spacing w:val="-77"/>
                <w:sz w:val="20"/>
                <w:szCs w:val="20"/>
              </w:rPr>
              <w:t xml:space="preserve"> </w:t>
            </w:r>
            <w:r>
              <w:rPr>
                <w:rFonts w:ascii="宋体" w:hAnsi="宋体" w:eastAsia="宋体" w:cs="宋体"/>
                <w:spacing w:val="-21"/>
                <w:sz w:val="20"/>
                <w:szCs w:val="20"/>
              </w:rPr>
              <w:t>共</w:t>
            </w:r>
          </w:p>
        </w:tc>
        <w:tc>
          <w:tcPr>
            <w:tcW w:w="293" w:type="dxa"/>
            <w:vAlign w:val="top"/>
          </w:tcPr>
          <w:p w14:paraId="7C7B60A1">
            <w:pPr>
              <w:spacing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7C7A64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1889" w:type="dxa"/>
            <w:vAlign w:val="top"/>
          </w:tcPr>
          <w:p w14:paraId="55FC50CB">
            <w:pPr>
              <w:spacing w:before="83" w:line="176" w:lineRule="auto"/>
              <w:rPr>
                <w:rFonts w:ascii="宋体" w:hAnsi="宋体" w:eastAsia="宋体" w:cs="宋体"/>
                <w:sz w:val="20"/>
                <w:szCs w:val="20"/>
              </w:rPr>
            </w:pPr>
            <w:r>
              <w:rPr>
                <w:rFonts w:ascii="宋体" w:hAnsi="宋体" w:eastAsia="宋体" w:cs="宋体"/>
                <w:spacing w:val="11"/>
                <w:sz w:val="20"/>
                <w:szCs w:val="20"/>
              </w:rPr>
              <w:t>约定层次</w:t>
            </w:r>
          </w:p>
        </w:tc>
        <w:tc>
          <w:tcPr>
            <w:tcW w:w="2200" w:type="dxa"/>
            <w:vAlign w:val="top"/>
          </w:tcPr>
          <w:p w14:paraId="2EE0B908">
            <w:pPr>
              <w:spacing w:before="83" w:line="176" w:lineRule="auto"/>
              <w:ind w:left="621"/>
              <w:rPr>
                <w:rFonts w:ascii="宋体" w:hAnsi="宋体" w:eastAsia="宋体" w:cs="宋体"/>
                <w:sz w:val="20"/>
                <w:szCs w:val="20"/>
              </w:rPr>
            </w:pPr>
            <w:r>
              <w:rPr>
                <w:rFonts w:ascii="宋体" w:hAnsi="宋体" w:eastAsia="宋体" w:cs="宋体"/>
                <w:spacing w:val="14"/>
                <w:sz w:val="20"/>
                <w:szCs w:val="20"/>
              </w:rPr>
              <w:t>分析人员</w:t>
            </w:r>
          </w:p>
        </w:tc>
        <w:tc>
          <w:tcPr>
            <w:tcW w:w="1992" w:type="dxa"/>
            <w:vAlign w:val="top"/>
          </w:tcPr>
          <w:p w14:paraId="1D7C2FD5">
            <w:pPr>
              <w:spacing w:before="84" w:line="175" w:lineRule="auto"/>
              <w:ind w:left="721"/>
              <w:rPr>
                <w:rFonts w:ascii="宋体" w:hAnsi="宋体" w:eastAsia="宋体" w:cs="宋体"/>
                <w:sz w:val="20"/>
                <w:szCs w:val="20"/>
              </w:rPr>
            </w:pPr>
            <w:r>
              <w:rPr>
                <w:rFonts w:ascii="宋体" w:hAnsi="宋体" w:eastAsia="宋体" w:cs="宋体"/>
                <w:spacing w:val="24"/>
                <w:sz w:val="20"/>
                <w:szCs w:val="20"/>
              </w:rPr>
              <w:t>批准</w:t>
            </w:r>
          </w:p>
        </w:tc>
        <w:tc>
          <w:tcPr>
            <w:tcW w:w="1983" w:type="dxa"/>
            <w:vAlign w:val="top"/>
          </w:tcPr>
          <w:p w14:paraId="761D186C">
            <w:pPr>
              <w:spacing w:before="102" w:line="186" w:lineRule="auto"/>
              <w:ind w:left="829"/>
              <w:rPr>
                <w:rFonts w:ascii="宋体" w:hAnsi="宋体" w:eastAsia="宋体" w:cs="宋体"/>
                <w:sz w:val="17"/>
                <w:szCs w:val="17"/>
              </w:rPr>
            </w:pPr>
            <w:r>
              <w:rPr>
                <w:rFonts w:ascii="宋体" w:hAnsi="宋体" w:eastAsia="宋体" w:cs="宋体"/>
                <w:spacing w:val="-13"/>
                <w:sz w:val="17"/>
                <w:szCs w:val="17"/>
              </w:rPr>
              <w:t>填</w:t>
            </w:r>
            <w:r>
              <w:rPr>
                <w:rFonts w:ascii="宋体" w:hAnsi="宋体" w:eastAsia="宋体" w:cs="宋体"/>
                <w:spacing w:val="-22"/>
                <w:sz w:val="17"/>
                <w:szCs w:val="17"/>
              </w:rPr>
              <w:t xml:space="preserve"> </w:t>
            </w:r>
            <w:r>
              <w:rPr>
                <w:rFonts w:ascii="宋体" w:hAnsi="宋体" w:eastAsia="宋体" w:cs="宋体"/>
                <w:spacing w:val="-13"/>
                <w:sz w:val="17"/>
                <w:szCs w:val="17"/>
              </w:rPr>
              <w:t>表</w:t>
            </w:r>
            <w:r>
              <w:rPr>
                <w:rFonts w:ascii="宋体" w:hAnsi="宋体" w:eastAsia="宋体" w:cs="宋体"/>
                <w:spacing w:val="7"/>
                <w:sz w:val="17"/>
                <w:szCs w:val="17"/>
              </w:rPr>
              <w:t xml:space="preserve"> </w:t>
            </w:r>
            <w:r>
              <w:rPr>
                <w:rFonts w:ascii="宋体" w:hAnsi="宋体" w:eastAsia="宋体" w:cs="宋体"/>
                <w:spacing w:val="-13"/>
                <w:sz w:val="17"/>
                <w:szCs w:val="17"/>
              </w:rPr>
              <w:t>日</w:t>
            </w:r>
            <w:r>
              <w:rPr>
                <w:rFonts w:ascii="宋体" w:hAnsi="宋体" w:eastAsia="宋体" w:cs="宋体"/>
                <w:spacing w:val="-20"/>
                <w:sz w:val="17"/>
                <w:szCs w:val="17"/>
              </w:rPr>
              <w:t xml:space="preserve"> </w:t>
            </w:r>
            <w:r>
              <w:rPr>
                <w:rFonts w:ascii="宋体" w:hAnsi="宋体" w:eastAsia="宋体" w:cs="宋体"/>
                <w:spacing w:val="-13"/>
                <w:sz w:val="17"/>
                <w:szCs w:val="17"/>
              </w:rPr>
              <w:t>期</w:t>
            </w:r>
          </w:p>
        </w:tc>
        <w:tc>
          <w:tcPr>
            <w:tcW w:w="293" w:type="dxa"/>
            <w:vAlign w:val="top"/>
          </w:tcPr>
          <w:p w14:paraId="6D53CBFF">
            <w:pPr>
              <w:pStyle w:val="6"/>
            </w:pPr>
          </w:p>
        </w:tc>
      </w:tr>
    </w:tbl>
    <w:p w14:paraId="7F9142AE">
      <w:pPr>
        <w:spacing w:line="186" w:lineRule="exact"/>
      </w:pPr>
    </w:p>
    <w:tbl>
      <w:tblPr>
        <w:tblStyle w:val="5"/>
        <w:tblW w:w="9361"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5"/>
        <w:gridCol w:w="319"/>
        <w:gridCol w:w="310"/>
        <w:gridCol w:w="320"/>
        <w:gridCol w:w="310"/>
        <w:gridCol w:w="310"/>
        <w:gridCol w:w="320"/>
        <w:gridCol w:w="310"/>
        <w:gridCol w:w="310"/>
        <w:gridCol w:w="320"/>
        <w:gridCol w:w="310"/>
        <w:gridCol w:w="519"/>
        <w:gridCol w:w="629"/>
        <w:gridCol w:w="529"/>
        <w:gridCol w:w="419"/>
        <w:gridCol w:w="410"/>
        <w:gridCol w:w="419"/>
        <w:gridCol w:w="410"/>
        <w:gridCol w:w="529"/>
        <w:gridCol w:w="529"/>
        <w:gridCol w:w="619"/>
        <w:gridCol w:w="529"/>
        <w:gridCol w:w="376"/>
      </w:tblGrid>
      <w:tr w14:paraId="0DF2C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05" w:type="dxa"/>
            <w:vMerge w:val="restart"/>
            <w:tcBorders>
              <w:bottom w:val="nil"/>
            </w:tcBorders>
            <w:textDirection w:val="tbRlV"/>
            <w:vAlign w:val="top"/>
          </w:tcPr>
          <w:p w14:paraId="0A740923">
            <w:pPr>
              <w:spacing w:before="60" w:line="199" w:lineRule="auto"/>
              <w:ind w:left="1845"/>
              <w:rPr>
                <w:rFonts w:ascii="宋体" w:hAnsi="宋体" w:eastAsia="宋体" w:cs="宋体"/>
                <w:sz w:val="20"/>
                <w:szCs w:val="20"/>
              </w:rPr>
            </w:pPr>
            <w:r>
              <w:rPr>
                <w:rFonts w:ascii="宋体" w:hAnsi="宋体" w:eastAsia="宋体" w:cs="宋体"/>
                <w:sz w:val="20"/>
                <w:szCs w:val="20"/>
              </w:rPr>
              <w:t>代码</w:t>
            </w:r>
          </w:p>
        </w:tc>
        <w:tc>
          <w:tcPr>
            <w:tcW w:w="319" w:type="dxa"/>
            <w:vMerge w:val="restart"/>
            <w:tcBorders>
              <w:bottom w:val="nil"/>
            </w:tcBorders>
            <w:textDirection w:val="tbRlV"/>
            <w:vAlign w:val="top"/>
          </w:tcPr>
          <w:p w14:paraId="63297F7F">
            <w:pPr>
              <w:spacing w:before="96" w:line="201" w:lineRule="auto"/>
              <w:ind w:left="1445"/>
              <w:rPr>
                <w:rFonts w:ascii="宋体" w:hAnsi="宋体" w:eastAsia="宋体" w:cs="宋体"/>
                <w:sz w:val="20"/>
                <w:szCs w:val="20"/>
              </w:rPr>
            </w:pPr>
            <w:r>
              <w:rPr>
                <w:rFonts w:ascii="宋体" w:hAnsi="宋体" w:eastAsia="宋体" w:cs="宋体"/>
                <w:sz w:val="20"/>
                <w:szCs w:val="20"/>
              </w:rPr>
              <w:t>产品或功能标</w:t>
            </w:r>
          </w:p>
        </w:tc>
        <w:tc>
          <w:tcPr>
            <w:tcW w:w="310" w:type="dxa"/>
            <w:vMerge w:val="restart"/>
            <w:tcBorders>
              <w:bottom w:val="nil"/>
            </w:tcBorders>
            <w:textDirection w:val="tbRlV"/>
            <w:vAlign w:val="top"/>
          </w:tcPr>
          <w:p w14:paraId="61F52AFA">
            <w:pPr>
              <w:spacing w:before="69" w:line="197" w:lineRule="auto"/>
              <w:ind w:left="1845"/>
              <w:rPr>
                <w:rFonts w:ascii="宋体" w:hAnsi="宋体" w:eastAsia="宋体" w:cs="宋体"/>
                <w:sz w:val="20"/>
                <w:szCs w:val="20"/>
              </w:rPr>
            </w:pPr>
            <w:r>
              <w:rPr>
                <w:rFonts w:ascii="宋体" w:hAnsi="宋体" w:eastAsia="宋体" w:cs="宋体"/>
                <w:sz w:val="20"/>
                <w:szCs w:val="20"/>
              </w:rPr>
              <w:t>功能</w:t>
            </w:r>
          </w:p>
        </w:tc>
        <w:tc>
          <w:tcPr>
            <w:tcW w:w="320" w:type="dxa"/>
            <w:vMerge w:val="restart"/>
            <w:tcBorders>
              <w:bottom w:val="nil"/>
            </w:tcBorders>
            <w:textDirection w:val="tbRlV"/>
            <w:vAlign w:val="top"/>
          </w:tcPr>
          <w:p w14:paraId="4C14E073">
            <w:pPr>
              <w:spacing w:before="66" w:line="202" w:lineRule="auto"/>
              <w:ind w:left="1644"/>
              <w:rPr>
                <w:rFonts w:ascii="宋体" w:hAnsi="宋体" w:eastAsia="宋体" w:cs="宋体"/>
                <w:sz w:val="20"/>
                <w:szCs w:val="20"/>
              </w:rPr>
            </w:pPr>
            <w:r>
              <w:rPr>
                <w:rFonts w:ascii="宋体" w:hAnsi="宋体" w:eastAsia="宋体" w:cs="宋体"/>
                <w:sz w:val="20"/>
                <w:szCs w:val="20"/>
              </w:rPr>
              <w:t>故障模式</w:t>
            </w:r>
          </w:p>
        </w:tc>
        <w:tc>
          <w:tcPr>
            <w:tcW w:w="310" w:type="dxa"/>
            <w:vMerge w:val="restart"/>
            <w:tcBorders>
              <w:bottom w:val="nil"/>
            </w:tcBorders>
            <w:textDirection w:val="tbRlV"/>
            <w:vAlign w:val="top"/>
          </w:tcPr>
          <w:p w14:paraId="400E5282">
            <w:pPr>
              <w:spacing w:before="67" w:line="197" w:lineRule="auto"/>
              <w:ind w:left="1644"/>
              <w:rPr>
                <w:rFonts w:ascii="宋体" w:hAnsi="宋体" w:eastAsia="宋体" w:cs="宋体"/>
                <w:sz w:val="20"/>
                <w:szCs w:val="20"/>
              </w:rPr>
            </w:pPr>
            <w:r>
              <w:rPr>
                <w:rFonts w:ascii="宋体" w:hAnsi="宋体" w:eastAsia="宋体" w:cs="宋体"/>
                <w:sz w:val="20"/>
                <w:szCs w:val="20"/>
              </w:rPr>
              <w:t>故障原因</w:t>
            </w:r>
          </w:p>
        </w:tc>
        <w:tc>
          <w:tcPr>
            <w:tcW w:w="310" w:type="dxa"/>
            <w:vMerge w:val="restart"/>
            <w:tcBorders>
              <w:bottom w:val="nil"/>
            </w:tcBorders>
            <w:textDirection w:val="tbRlV"/>
            <w:vAlign w:val="top"/>
          </w:tcPr>
          <w:p w14:paraId="42BC427F">
            <w:pPr>
              <w:spacing w:before="66" w:line="202" w:lineRule="auto"/>
              <w:ind w:left="1145"/>
              <w:rPr>
                <w:rFonts w:ascii="宋体" w:hAnsi="宋体" w:eastAsia="宋体" w:cs="宋体"/>
                <w:sz w:val="20"/>
                <w:szCs w:val="20"/>
              </w:rPr>
            </w:pPr>
            <w:r>
              <w:rPr>
                <w:rFonts w:ascii="宋体" w:hAnsi="宋体" w:eastAsia="宋体" w:cs="宋体"/>
                <w:sz w:val="20"/>
                <w:szCs w:val="20"/>
              </w:rPr>
              <w:t>任务阶段与工作方式</w:t>
            </w:r>
          </w:p>
        </w:tc>
        <w:tc>
          <w:tcPr>
            <w:tcW w:w="320" w:type="dxa"/>
            <w:vMerge w:val="restart"/>
            <w:tcBorders>
              <w:bottom w:val="nil"/>
            </w:tcBorders>
            <w:textDirection w:val="tbRlV"/>
            <w:vAlign w:val="top"/>
          </w:tcPr>
          <w:p w14:paraId="6FBBD902">
            <w:pPr>
              <w:spacing w:before="106" w:line="202" w:lineRule="auto"/>
              <w:ind w:left="1539"/>
              <w:rPr>
                <w:rFonts w:ascii="宋体" w:hAnsi="宋体" w:eastAsia="宋体" w:cs="宋体"/>
                <w:sz w:val="20"/>
                <w:szCs w:val="20"/>
              </w:rPr>
            </w:pPr>
            <w:r>
              <w:rPr>
                <w:rFonts w:ascii="宋体" w:hAnsi="宋体" w:eastAsia="宋体" w:cs="宋体"/>
                <w:spacing w:val="4"/>
                <w:sz w:val="20"/>
                <w:szCs w:val="20"/>
              </w:rPr>
              <w:t>严酷度类别</w:t>
            </w:r>
          </w:p>
        </w:tc>
        <w:tc>
          <w:tcPr>
            <w:tcW w:w="310" w:type="dxa"/>
            <w:vMerge w:val="restart"/>
            <w:tcBorders>
              <w:bottom w:val="nil"/>
            </w:tcBorders>
            <w:textDirection w:val="tbRlV"/>
            <w:vAlign w:val="top"/>
          </w:tcPr>
          <w:p w14:paraId="5CB03ABA">
            <w:pPr>
              <w:spacing w:before="66" w:line="202" w:lineRule="auto"/>
              <w:ind w:left="543"/>
              <w:rPr>
                <w:rFonts w:ascii="宋体" w:hAnsi="宋体" w:eastAsia="宋体" w:cs="宋体"/>
                <w:sz w:val="20"/>
                <w:szCs w:val="20"/>
              </w:rPr>
            </w:pPr>
            <w:r>
              <w:rPr>
                <w:rFonts w:ascii="宋体" w:hAnsi="宋体" w:eastAsia="宋体" w:cs="宋体"/>
                <w:sz w:val="20"/>
                <w:szCs w:val="20"/>
              </w:rPr>
              <w:t>故障模式概率等级或故障率数据源</w:t>
            </w:r>
          </w:p>
        </w:tc>
        <w:tc>
          <w:tcPr>
            <w:tcW w:w="310" w:type="dxa"/>
            <w:vMerge w:val="restart"/>
            <w:tcBorders>
              <w:bottom w:val="nil"/>
            </w:tcBorders>
            <w:vAlign w:val="top"/>
          </w:tcPr>
          <w:p w14:paraId="7C235B0D">
            <w:pPr>
              <w:pStyle w:val="6"/>
              <w:spacing w:line="261" w:lineRule="auto"/>
            </w:pPr>
          </w:p>
          <w:p w14:paraId="765E009D">
            <w:pPr>
              <w:pStyle w:val="6"/>
              <w:spacing w:line="261" w:lineRule="auto"/>
            </w:pPr>
          </w:p>
          <w:p w14:paraId="08B1B2F9">
            <w:pPr>
              <w:pStyle w:val="6"/>
              <w:spacing w:line="262" w:lineRule="auto"/>
            </w:pPr>
          </w:p>
          <w:p w14:paraId="7F6F8160">
            <w:pPr>
              <w:pStyle w:val="6"/>
              <w:spacing w:line="262" w:lineRule="auto"/>
            </w:pPr>
          </w:p>
          <w:p w14:paraId="2E2D34E2">
            <w:pPr>
              <w:pStyle w:val="6"/>
              <w:spacing w:line="262" w:lineRule="auto"/>
            </w:pPr>
          </w:p>
          <w:p w14:paraId="029E06F9">
            <w:pPr>
              <w:pStyle w:val="6"/>
              <w:spacing w:line="262" w:lineRule="auto"/>
            </w:pPr>
          </w:p>
          <w:p w14:paraId="3F042B08">
            <w:pPr>
              <w:spacing w:before="42" w:line="221" w:lineRule="auto"/>
              <w:ind w:left="80"/>
              <w:rPr>
                <w:rFonts w:ascii="宋体" w:hAnsi="宋体" w:eastAsia="宋体" w:cs="宋体"/>
                <w:sz w:val="13"/>
                <w:szCs w:val="13"/>
              </w:rPr>
            </w:pPr>
            <w:r>
              <w:rPr>
                <w:rFonts w:ascii="宋体" w:hAnsi="宋体" w:eastAsia="宋体" w:cs="宋体"/>
                <w:sz w:val="13"/>
                <w:szCs w:val="13"/>
              </w:rPr>
              <w:t>故</w:t>
            </w:r>
          </w:p>
          <w:p w14:paraId="3B03F2FD">
            <w:pPr>
              <w:spacing w:before="5" w:line="219" w:lineRule="auto"/>
              <w:ind w:left="40"/>
              <w:rPr>
                <w:rFonts w:ascii="宋体" w:hAnsi="宋体" w:eastAsia="宋体" w:cs="宋体"/>
                <w:sz w:val="20"/>
                <w:szCs w:val="20"/>
              </w:rPr>
            </w:pPr>
            <w:r>
              <w:rPr>
                <w:rFonts w:ascii="宋体" w:hAnsi="宋体" w:eastAsia="宋体" w:cs="宋体"/>
                <w:sz w:val="20"/>
                <w:szCs w:val="20"/>
              </w:rPr>
              <w:t>障</w:t>
            </w:r>
          </w:p>
          <w:p w14:paraId="0171EE92">
            <w:pPr>
              <w:spacing w:before="42" w:line="216" w:lineRule="auto"/>
              <w:ind w:left="10" w:right="44" w:firstLine="30"/>
              <w:rPr>
                <w:rFonts w:ascii="宋体" w:hAnsi="宋体" w:eastAsia="宋体" w:cs="宋体"/>
                <w:sz w:val="20"/>
                <w:szCs w:val="20"/>
              </w:rPr>
            </w:pPr>
            <w:r>
              <w:rPr>
                <w:rFonts w:ascii="宋体" w:hAnsi="宋体" w:eastAsia="宋体" w:cs="宋体"/>
                <w:spacing w:val="-10"/>
                <w:sz w:val="20"/>
                <w:szCs w:val="20"/>
              </w:rPr>
              <w:t>率</w:t>
            </w:r>
            <w:r>
              <w:rPr>
                <w:rFonts w:ascii="宋体" w:hAnsi="宋体" w:eastAsia="宋体" w:cs="宋体"/>
                <w:sz w:val="20"/>
                <w:szCs w:val="20"/>
              </w:rPr>
              <w:t xml:space="preserve"> </w:t>
            </w:r>
            <w:r>
              <w:rPr>
                <w:rFonts w:ascii="宋体" w:hAnsi="宋体" w:eastAsia="宋体" w:cs="宋体"/>
                <w:spacing w:val="-28"/>
                <w:sz w:val="20"/>
                <w:szCs w:val="20"/>
              </w:rPr>
              <w:t>λp</w:t>
            </w:r>
          </w:p>
        </w:tc>
        <w:tc>
          <w:tcPr>
            <w:tcW w:w="320" w:type="dxa"/>
            <w:vMerge w:val="restart"/>
            <w:tcBorders>
              <w:bottom w:val="nil"/>
            </w:tcBorders>
            <w:textDirection w:val="tbRlV"/>
            <w:vAlign w:val="top"/>
          </w:tcPr>
          <w:p w14:paraId="3D636257">
            <w:pPr>
              <w:spacing w:before="106" w:line="202" w:lineRule="auto"/>
              <w:ind w:left="1244"/>
              <w:rPr>
                <w:rFonts w:ascii="宋体" w:hAnsi="宋体" w:eastAsia="宋体" w:cs="宋体"/>
                <w:sz w:val="20"/>
                <w:szCs w:val="20"/>
              </w:rPr>
            </w:pPr>
            <w:r>
              <w:rPr>
                <w:rFonts w:ascii="宋体" w:hAnsi="宋体" w:eastAsia="宋体" w:cs="宋体"/>
                <w:spacing w:val="13"/>
                <w:sz w:val="20"/>
                <w:szCs w:val="20"/>
              </w:rPr>
              <w:t>故障模式频数比a</w:t>
            </w:r>
          </w:p>
        </w:tc>
        <w:tc>
          <w:tcPr>
            <w:tcW w:w="310" w:type="dxa"/>
            <w:vMerge w:val="restart"/>
            <w:tcBorders>
              <w:bottom w:val="nil"/>
            </w:tcBorders>
            <w:textDirection w:val="tbRlV"/>
            <w:vAlign w:val="top"/>
          </w:tcPr>
          <w:p w14:paraId="562CAEA8">
            <w:pPr>
              <w:spacing w:before="66" w:line="201" w:lineRule="auto"/>
              <w:ind w:left="1343"/>
              <w:rPr>
                <w:rFonts w:ascii="宋体" w:hAnsi="宋体" w:eastAsia="宋体" w:cs="宋体"/>
                <w:sz w:val="20"/>
                <w:szCs w:val="20"/>
              </w:rPr>
            </w:pPr>
            <w:r>
              <w:rPr>
                <w:rFonts w:ascii="宋体" w:hAnsi="宋体" w:eastAsia="宋体" w:cs="宋体"/>
                <w:spacing w:val="4"/>
                <w:sz w:val="20"/>
                <w:szCs w:val="20"/>
              </w:rPr>
              <w:t>故障影响概率β</w:t>
            </w:r>
          </w:p>
        </w:tc>
        <w:tc>
          <w:tcPr>
            <w:tcW w:w="3335" w:type="dxa"/>
            <w:gridSpan w:val="7"/>
            <w:vAlign w:val="top"/>
          </w:tcPr>
          <w:p w14:paraId="5219F37F">
            <w:pPr>
              <w:spacing w:before="103" w:line="219" w:lineRule="auto"/>
              <w:ind w:left="1100"/>
              <w:rPr>
                <w:rFonts w:ascii="宋体" w:hAnsi="宋体" w:eastAsia="宋体" w:cs="宋体"/>
                <w:sz w:val="20"/>
                <w:szCs w:val="20"/>
              </w:rPr>
            </w:pPr>
            <w:r>
              <w:rPr>
                <w:rFonts w:ascii="宋体" w:hAnsi="宋体" w:eastAsia="宋体" w:cs="宋体"/>
                <w:spacing w:val="-2"/>
                <w:sz w:val="20"/>
                <w:szCs w:val="20"/>
              </w:rPr>
              <w:t>检测能力λD</w:t>
            </w:r>
          </w:p>
        </w:tc>
        <w:tc>
          <w:tcPr>
            <w:tcW w:w="1677" w:type="dxa"/>
            <w:gridSpan w:val="3"/>
            <w:vAlign w:val="top"/>
          </w:tcPr>
          <w:p w14:paraId="198BBF3B">
            <w:pPr>
              <w:spacing w:before="103" w:line="219" w:lineRule="auto"/>
              <w:ind w:left="286"/>
              <w:rPr>
                <w:rFonts w:ascii="宋体" w:hAnsi="宋体" w:eastAsia="宋体" w:cs="宋体"/>
                <w:sz w:val="20"/>
                <w:szCs w:val="20"/>
              </w:rPr>
            </w:pPr>
            <w:r>
              <w:rPr>
                <w:rFonts w:ascii="宋体" w:hAnsi="宋体" w:eastAsia="宋体" w:cs="宋体"/>
                <w:spacing w:val="3"/>
                <w:sz w:val="20"/>
                <w:szCs w:val="20"/>
              </w:rPr>
              <w:t>隔离能力λ1</w:t>
            </w:r>
          </w:p>
        </w:tc>
        <w:tc>
          <w:tcPr>
            <w:tcW w:w="529" w:type="dxa"/>
            <w:vMerge w:val="restart"/>
            <w:tcBorders>
              <w:bottom w:val="nil"/>
            </w:tcBorders>
            <w:vAlign w:val="top"/>
          </w:tcPr>
          <w:p w14:paraId="771B82B9">
            <w:pPr>
              <w:pStyle w:val="6"/>
              <w:spacing w:line="282" w:lineRule="auto"/>
            </w:pPr>
          </w:p>
          <w:p w14:paraId="4F5DBA2D">
            <w:pPr>
              <w:pStyle w:val="6"/>
              <w:spacing w:line="282" w:lineRule="auto"/>
            </w:pPr>
          </w:p>
          <w:p w14:paraId="17A8A158">
            <w:pPr>
              <w:pStyle w:val="6"/>
              <w:spacing w:line="282" w:lineRule="auto"/>
            </w:pPr>
          </w:p>
          <w:p w14:paraId="5D43E29C">
            <w:pPr>
              <w:pStyle w:val="6"/>
              <w:spacing w:line="283" w:lineRule="auto"/>
            </w:pPr>
          </w:p>
          <w:p w14:paraId="6A70DB99">
            <w:pPr>
              <w:pStyle w:val="6"/>
              <w:spacing w:line="283" w:lineRule="auto"/>
            </w:pPr>
          </w:p>
          <w:p w14:paraId="2A7852BB">
            <w:pPr>
              <w:spacing w:before="65" w:line="182" w:lineRule="auto"/>
              <w:ind w:left="108"/>
              <w:rPr>
                <w:rFonts w:ascii="宋体" w:hAnsi="宋体" w:eastAsia="宋体" w:cs="宋体"/>
                <w:sz w:val="20"/>
                <w:szCs w:val="20"/>
              </w:rPr>
            </w:pPr>
            <w:r>
              <w:rPr>
                <w:rFonts w:ascii="宋体" w:hAnsi="宋体" w:eastAsia="宋体" w:cs="宋体"/>
                <w:spacing w:val="-1"/>
                <w:sz w:val="20"/>
                <w:szCs w:val="20"/>
              </w:rPr>
              <w:t>BIT</w:t>
            </w:r>
          </w:p>
          <w:p w14:paraId="4ECDF769">
            <w:pPr>
              <w:spacing w:before="80" w:line="219" w:lineRule="auto"/>
              <w:ind w:left="58"/>
              <w:rPr>
                <w:rFonts w:ascii="宋体" w:hAnsi="宋体" w:eastAsia="宋体" w:cs="宋体"/>
                <w:sz w:val="20"/>
                <w:szCs w:val="20"/>
              </w:rPr>
            </w:pPr>
            <w:r>
              <w:rPr>
                <w:rFonts w:ascii="宋体" w:hAnsi="宋体" w:eastAsia="宋体" w:cs="宋体"/>
                <w:spacing w:val="-2"/>
                <w:sz w:val="20"/>
                <w:szCs w:val="20"/>
              </w:rPr>
              <w:t>硬件</w:t>
            </w:r>
          </w:p>
          <w:p w14:paraId="300CE30C">
            <w:pPr>
              <w:spacing w:before="112" w:line="325" w:lineRule="auto"/>
              <w:ind w:left="158" w:right="71" w:hanging="100"/>
              <w:rPr>
                <w:rFonts w:ascii="宋体" w:hAnsi="宋体" w:eastAsia="宋体" w:cs="宋体"/>
                <w:sz w:val="20"/>
                <w:szCs w:val="20"/>
              </w:rPr>
            </w:pPr>
            <w:r>
              <w:rPr>
                <w:rFonts w:ascii="宋体" w:hAnsi="宋体" w:eastAsia="宋体" w:cs="宋体"/>
                <w:spacing w:val="-6"/>
                <w:sz w:val="20"/>
                <w:szCs w:val="20"/>
              </w:rPr>
              <w:t>故障</w:t>
            </w:r>
            <w:r>
              <w:rPr>
                <w:rFonts w:ascii="宋体" w:hAnsi="宋体" w:eastAsia="宋体" w:cs="宋体"/>
                <w:sz w:val="20"/>
                <w:szCs w:val="20"/>
              </w:rPr>
              <w:t xml:space="preserve"> 率</w:t>
            </w:r>
          </w:p>
        </w:tc>
        <w:tc>
          <w:tcPr>
            <w:tcW w:w="376" w:type="dxa"/>
            <w:vMerge w:val="restart"/>
            <w:tcBorders>
              <w:bottom w:val="nil"/>
            </w:tcBorders>
            <w:textDirection w:val="tbRlV"/>
            <w:vAlign w:val="top"/>
          </w:tcPr>
          <w:p w14:paraId="566CDDDA">
            <w:pPr>
              <w:spacing w:before="95" w:line="201" w:lineRule="auto"/>
              <w:ind w:left="1845"/>
              <w:rPr>
                <w:rFonts w:ascii="宋体" w:hAnsi="宋体" w:eastAsia="宋体" w:cs="宋体"/>
                <w:sz w:val="20"/>
                <w:szCs w:val="20"/>
              </w:rPr>
            </w:pPr>
            <w:r>
              <w:rPr>
                <w:rFonts w:ascii="宋体" w:hAnsi="宋体" w:eastAsia="宋体" w:cs="宋体"/>
                <w:sz w:val="20"/>
                <w:szCs w:val="20"/>
              </w:rPr>
              <w:t>备注</w:t>
            </w:r>
          </w:p>
        </w:tc>
      </w:tr>
      <w:tr w14:paraId="2A5D7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305" w:type="dxa"/>
            <w:vMerge w:val="continue"/>
            <w:tcBorders>
              <w:top w:val="nil"/>
              <w:bottom w:val="nil"/>
            </w:tcBorders>
            <w:textDirection w:val="tbRlV"/>
            <w:vAlign w:val="top"/>
          </w:tcPr>
          <w:p w14:paraId="28D1AF52">
            <w:pPr>
              <w:pStyle w:val="6"/>
            </w:pPr>
          </w:p>
        </w:tc>
        <w:tc>
          <w:tcPr>
            <w:tcW w:w="319" w:type="dxa"/>
            <w:vMerge w:val="continue"/>
            <w:tcBorders>
              <w:top w:val="nil"/>
              <w:bottom w:val="nil"/>
            </w:tcBorders>
            <w:textDirection w:val="tbRlV"/>
            <w:vAlign w:val="top"/>
          </w:tcPr>
          <w:p w14:paraId="32C1F317">
            <w:pPr>
              <w:pStyle w:val="6"/>
            </w:pPr>
          </w:p>
        </w:tc>
        <w:tc>
          <w:tcPr>
            <w:tcW w:w="310" w:type="dxa"/>
            <w:vMerge w:val="continue"/>
            <w:tcBorders>
              <w:top w:val="nil"/>
              <w:bottom w:val="nil"/>
            </w:tcBorders>
            <w:textDirection w:val="tbRlV"/>
            <w:vAlign w:val="top"/>
          </w:tcPr>
          <w:p w14:paraId="313BD615">
            <w:pPr>
              <w:pStyle w:val="6"/>
            </w:pPr>
          </w:p>
        </w:tc>
        <w:tc>
          <w:tcPr>
            <w:tcW w:w="320" w:type="dxa"/>
            <w:vMerge w:val="continue"/>
            <w:tcBorders>
              <w:top w:val="nil"/>
              <w:bottom w:val="nil"/>
            </w:tcBorders>
            <w:textDirection w:val="tbRlV"/>
            <w:vAlign w:val="top"/>
          </w:tcPr>
          <w:p w14:paraId="2B06AA69">
            <w:pPr>
              <w:pStyle w:val="6"/>
            </w:pPr>
          </w:p>
        </w:tc>
        <w:tc>
          <w:tcPr>
            <w:tcW w:w="310" w:type="dxa"/>
            <w:vMerge w:val="continue"/>
            <w:tcBorders>
              <w:top w:val="nil"/>
              <w:bottom w:val="nil"/>
            </w:tcBorders>
            <w:textDirection w:val="tbRlV"/>
            <w:vAlign w:val="top"/>
          </w:tcPr>
          <w:p w14:paraId="350C9C69">
            <w:pPr>
              <w:pStyle w:val="6"/>
            </w:pPr>
          </w:p>
        </w:tc>
        <w:tc>
          <w:tcPr>
            <w:tcW w:w="310" w:type="dxa"/>
            <w:vMerge w:val="continue"/>
            <w:tcBorders>
              <w:top w:val="nil"/>
              <w:bottom w:val="nil"/>
            </w:tcBorders>
            <w:textDirection w:val="tbRlV"/>
            <w:vAlign w:val="top"/>
          </w:tcPr>
          <w:p w14:paraId="59FB02F6">
            <w:pPr>
              <w:pStyle w:val="6"/>
            </w:pPr>
          </w:p>
        </w:tc>
        <w:tc>
          <w:tcPr>
            <w:tcW w:w="320" w:type="dxa"/>
            <w:vMerge w:val="continue"/>
            <w:tcBorders>
              <w:top w:val="nil"/>
              <w:bottom w:val="nil"/>
            </w:tcBorders>
            <w:textDirection w:val="tbRlV"/>
            <w:vAlign w:val="top"/>
          </w:tcPr>
          <w:p w14:paraId="196CBD7D">
            <w:pPr>
              <w:pStyle w:val="6"/>
            </w:pPr>
          </w:p>
        </w:tc>
        <w:tc>
          <w:tcPr>
            <w:tcW w:w="310" w:type="dxa"/>
            <w:vMerge w:val="continue"/>
            <w:tcBorders>
              <w:top w:val="nil"/>
              <w:bottom w:val="nil"/>
            </w:tcBorders>
            <w:textDirection w:val="tbRlV"/>
            <w:vAlign w:val="top"/>
          </w:tcPr>
          <w:p w14:paraId="0E22ACD5">
            <w:pPr>
              <w:pStyle w:val="6"/>
            </w:pPr>
          </w:p>
        </w:tc>
        <w:tc>
          <w:tcPr>
            <w:tcW w:w="310" w:type="dxa"/>
            <w:vMerge w:val="continue"/>
            <w:tcBorders>
              <w:top w:val="nil"/>
              <w:bottom w:val="nil"/>
            </w:tcBorders>
            <w:vAlign w:val="top"/>
          </w:tcPr>
          <w:p w14:paraId="26087B32">
            <w:pPr>
              <w:pStyle w:val="6"/>
            </w:pPr>
          </w:p>
        </w:tc>
        <w:tc>
          <w:tcPr>
            <w:tcW w:w="320" w:type="dxa"/>
            <w:vMerge w:val="continue"/>
            <w:tcBorders>
              <w:top w:val="nil"/>
              <w:bottom w:val="nil"/>
            </w:tcBorders>
            <w:textDirection w:val="tbRlV"/>
            <w:vAlign w:val="top"/>
          </w:tcPr>
          <w:p w14:paraId="537B5C40">
            <w:pPr>
              <w:pStyle w:val="6"/>
            </w:pPr>
          </w:p>
        </w:tc>
        <w:tc>
          <w:tcPr>
            <w:tcW w:w="310" w:type="dxa"/>
            <w:vMerge w:val="continue"/>
            <w:tcBorders>
              <w:top w:val="nil"/>
              <w:bottom w:val="nil"/>
            </w:tcBorders>
            <w:textDirection w:val="tbRlV"/>
            <w:vAlign w:val="top"/>
          </w:tcPr>
          <w:p w14:paraId="34B56A8A">
            <w:pPr>
              <w:pStyle w:val="6"/>
            </w:pPr>
          </w:p>
        </w:tc>
        <w:tc>
          <w:tcPr>
            <w:tcW w:w="2096" w:type="dxa"/>
            <w:gridSpan w:val="4"/>
            <w:vAlign w:val="top"/>
          </w:tcPr>
          <w:p w14:paraId="5789912F">
            <w:pPr>
              <w:spacing w:before="99" w:line="219" w:lineRule="auto"/>
              <w:ind w:left="200"/>
              <w:rPr>
                <w:rFonts w:ascii="宋体" w:hAnsi="宋体" w:eastAsia="宋体" w:cs="宋体"/>
                <w:sz w:val="20"/>
                <w:szCs w:val="20"/>
              </w:rPr>
            </w:pPr>
            <w:r>
              <w:rPr>
                <w:rFonts w:ascii="宋体" w:hAnsi="宋体" w:eastAsia="宋体" w:cs="宋体"/>
                <w:spacing w:val="-1"/>
                <w:sz w:val="20"/>
                <w:szCs w:val="20"/>
              </w:rPr>
              <w:t>BIT及其相关信息</w:t>
            </w:r>
          </w:p>
        </w:tc>
        <w:tc>
          <w:tcPr>
            <w:tcW w:w="410" w:type="dxa"/>
            <w:vMerge w:val="restart"/>
            <w:tcBorders>
              <w:bottom w:val="nil"/>
            </w:tcBorders>
            <w:vAlign w:val="top"/>
          </w:tcPr>
          <w:p w14:paraId="7BD7E824">
            <w:pPr>
              <w:pStyle w:val="6"/>
              <w:spacing w:line="242" w:lineRule="auto"/>
            </w:pPr>
          </w:p>
          <w:p w14:paraId="6E74F7BA">
            <w:pPr>
              <w:pStyle w:val="6"/>
              <w:spacing w:line="242" w:lineRule="auto"/>
            </w:pPr>
          </w:p>
          <w:p w14:paraId="307343C4">
            <w:pPr>
              <w:pStyle w:val="6"/>
              <w:spacing w:line="243" w:lineRule="auto"/>
            </w:pPr>
          </w:p>
          <w:p w14:paraId="7A65CD8C">
            <w:pPr>
              <w:pStyle w:val="6"/>
              <w:spacing w:line="243" w:lineRule="auto"/>
            </w:pPr>
          </w:p>
          <w:p w14:paraId="7BADD079">
            <w:pPr>
              <w:pStyle w:val="6"/>
              <w:spacing w:line="243" w:lineRule="auto"/>
            </w:pPr>
          </w:p>
          <w:p w14:paraId="36E572A1">
            <w:pPr>
              <w:pStyle w:val="6"/>
              <w:spacing w:line="243" w:lineRule="auto"/>
            </w:pPr>
          </w:p>
          <w:p w14:paraId="4F34FEFC">
            <w:pPr>
              <w:pStyle w:val="6"/>
              <w:spacing w:line="243" w:lineRule="auto"/>
            </w:pPr>
          </w:p>
          <w:p w14:paraId="0155EA39">
            <w:pPr>
              <w:pStyle w:val="6"/>
              <w:spacing w:line="243" w:lineRule="auto"/>
            </w:pPr>
          </w:p>
          <w:p w14:paraId="683BDFAA">
            <w:pPr>
              <w:spacing w:before="65" w:line="184" w:lineRule="auto"/>
              <w:ind w:left="44"/>
              <w:rPr>
                <w:rFonts w:ascii="宋体" w:hAnsi="宋体" w:eastAsia="宋体" w:cs="宋体"/>
                <w:sz w:val="20"/>
                <w:szCs w:val="20"/>
              </w:rPr>
            </w:pPr>
            <w:r>
              <w:rPr>
                <w:rFonts w:ascii="宋体" w:hAnsi="宋体" w:eastAsia="宋体" w:cs="宋体"/>
                <w:spacing w:val="-1"/>
                <w:sz w:val="20"/>
                <w:szCs w:val="20"/>
              </w:rPr>
              <w:t>ATE</w:t>
            </w:r>
          </w:p>
        </w:tc>
        <w:tc>
          <w:tcPr>
            <w:tcW w:w="419" w:type="dxa"/>
            <w:vMerge w:val="restart"/>
            <w:tcBorders>
              <w:bottom w:val="nil"/>
            </w:tcBorders>
            <w:textDirection w:val="tbRlV"/>
            <w:vAlign w:val="top"/>
          </w:tcPr>
          <w:p w14:paraId="6ABF1F4F">
            <w:pPr>
              <w:spacing w:before="113" w:line="201" w:lineRule="auto"/>
              <w:ind w:left="1639"/>
              <w:rPr>
                <w:rFonts w:ascii="宋体" w:hAnsi="宋体" w:eastAsia="宋体" w:cs="宋体"/>
                <w:sz w:val="20"/>
                <w:szCs w:val="20"/>
              </w:rPr>
            </w:pPr>
            <w:r>
              <w:rPr>
                <w:rFonts w:ascii="宋体" w:hAnsi="宋体" w:eastAsia="宋体" w:cs="宋体"/>
                <w:spacing w:val="16"/>
                <w:sz w:val="20"/>
                <w:szCs w:val="20"/>
              </w:rPr>
              <w:t>人工</w:t>
            </w:r>
          </w:p>
        </w:tc>
        <w:tc>
          <w:tcPr>
            <w:tcW w:w="410" w:type="dxa"/>
            <w:vMerge w:val="restart"/>
            <w:tcBorders>
              <w:bottom w:val="nil"/>
            </w:tcBorders>
            <w:vAlign w:val="top"/>
          </w:tcPr>
          <w:p w14:paraId="48667D94">
            <w:pPr>
              <w:pStyle w:val="6"/>
              <w:spacing w:line="243" w:lineRule="auto"/>
            </w:pPr>
          </w:p>
          <w:p w14:paraId="4146B731">
            <w:pPr>
              <w:pStyle w:val="6"/>
              <w:spacing w:line="243" w:lineRule="auto"/>
            </w:pPr>
          </w:p>
          <w:p w14:paraId="601B2C29">
            <w:pPr>
              <w:pStyle w:val="6"/>
              <w:spacing w:line="243" w:lineRule="auto"/>
            </w:pPr>
          </w:p>
          <w:p w14:paraId="48BEAA3D">
            <w:pPr>
              <w:pStyle w:val="6"/>
              <w:spacing w:line="243" w:lineRule="auto"/>
            </w:pPr>
          </w:p>
          <w:p w14:paraId="10714923">
            <w:pPr>
              <w:pStyle w:val="6"/>
              <w:spacing w:line="243" w:lineRule="auto"/>
            </w:pPr>
          </w:p>
          <w:p w14:paraId="468685EE">
            <w:pPr>
              <w:pStyle w:val="6"/>
              <w:spacing w:line="243" w:lineRule="auto"/>
            </w:pPr>
          </w:p>
          <w:p w14:paraId="2AC793BD">
            <w:pPr>
              <w:pStyle w:val="6"/>
              <w:spacing w:line="243" w:lineRule="auto"/>
            </w:pPr>
          </w:p>
          <w:p w14:paraId="49D75E83">
            <w:pPr>
              <w:pStyle w:val="6"/>
              <w:spacing w:line="243" w:lineRule="auto"/>
            </w:pPr>
          </w:p>
          <w:p w14:paraId="36E594F2">
            <w:pPr>
              <w:spacing w:before="65" w:line="182" w:lineRule="auto"/>
              <w:jc w:val="right"/>
              <w:rPr>
                <w:rFonts w:ascii="宋体" w:hAnsi="宋体" w:eastAsia="宋体" w:cs="宋体"/>
                <w:sz w:val="20"/>
                <w:szCs w:val="20"/>
              </w:rPr>
            </w:pPr>
            <w:r>
              <w:rPr>
                <w:rFonts w:ascii="宋体" w:hAnsi="宋体" w:eastAsia="宋体" w:cs="宋体"/>
                <w:spacing w:val="-3"/>
                <w:sz w:val="20"/>
                <w:szCs w:val="20"/>
              </w:rPr>
              <w:t>UD</w:t>
            </w:r>
          </w:p>
        </w:tc>
        <w:tc>
          <w:tcPr>
            <w:tcW w:w="1677" w:type="dxa"/>
            <w:gridSpan w:val="3"/>
            <w:vAlign w:val="top"/>
          </w:tcPr>
          <w:p w14:paraId="702D294F">
            <w:pPr>
              <w:spacing w:before="151" w:line="182" w:lineRule="auto"/>
              <w:ind w:left="685"/>
              <w:rPr>
                <w:rFonts w:ascii="宋体" w:hAnsi="宋体" w:eastAsia="宋体" w:cs="宋体"/>
                <w:sz w:val="20"/>
                <w:szCs w:val="20"/>
              </w:rPr>
            </w:pPr>
            <w:r>
              <w:rPr>
                <w:rFonts w:ascii="宋体" w:hAnsi="宋体" w:eastAsia="宋体" w:cs="宋体"/>
                <w:spacing w:val="-3"/>
                <w:sz w:val="20"/>
                <w:szCs w:val="20"/>
              </w:rPr>
              <w:t>LRU</w:t>
            </w:r>
          </w:p>
        </w:tc>
        <w:tc>
          <w:tcPr>
            <w:tcW w:w="529" w:type="dxa"/>
            <w:vMerge w:val="continue"/>
            <w:tcBorders>
              <w:top w:val="nil"/>
              <w:bottom w:val="nil"/>
            </w:tcBorders>
            <w:vAlign w:val="top"/>
          </w:tcPr>
          <w:p w14:paraId="36680557">
            <w:pPr>
              <w:pStyle w:val="6"/>
            </w:pPr>
          </w:p>
        </w:tc>
        <w:tc>
          <w:tcPr>
            <w:tcW w:w="376" w:type="dxa"/>
            <w:vMerge w:val="continue"/>
            <w:tcBorders>
              <w:top w:val="nil"/>
              <w:bottom w:val="nil"/>
            </w:tcBorders>
            <w:textDirection w:val="tbRlV"/>
            <w:vAlign w:val="top"/>
          </w:tcPr>
          <w:p w14:paraId="09B252B0">
            <w:pPr>
              <w:pStyle w:val="6"/>
            </w:pPr>
          </w:p>
        </w:tc>
      </w:tr>
      <w:tr w14:paraId="63254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4" w:hRule="atLeast"/>
        </w:trPr>
        <w:tc>
          <w:tcPr>
            <w:tcW w:w="305" w:type="dxa"/>
            <w:vMerge w:val="continue"/>
            <w:tcBorders>
              <w:top w:val="nil"/>
            </w:tcBorders>
            <w:textDirection w:val="tbRlV"/>
            <w:vAlign w:val="top"/>
          </w:tcPr>
          <w:p w14:paraId="0320D768">
            <w:pPr>
              <w:pStyle w:val="6"/>
            </w:pPr>
          </w:p>
        </w:tc>
        <w:tc>
          <w:tcPr>
            <w:tcW w:w="319" w:type="dxa"/>
            <w:vMerge w:val="continue"/>
            <w:tcBorders>
              <w:top w:val="nil"/>
            </w:tcBorders>
            <w:textDirection w:val="tbRlV"/>
            <w:vAlign w:val="top"/>
          </w:tcPr>
          <w:p w14:paraId="6E52C48C">
            <w:pPr>
              <w:pStyle w:val="6"/>
            </w:pPr>
          </w:p>
        </w:tc>
        <w:tc>
          <w:tcPr>
            <w:tcW w:w="310" w:type="dxa"/>
            <w:vMerge w:val="continue"/>
            <w:tcBorders>
              <w:top w:val="nil"/>
            </w:tcBorders>
            <w:textDirection w:val="tbRlV"/>
            <w:vAlign w:val="top"/>
          </w:tcPr>
          <w:p w14:paraId="74796C21">
            <w:pPr>
              <w:pStyle w:val="6"/>
            </w:pPr>
          </w:p>
        </w:tc>
        <w:tc>
          <w:tcPr>
            <w:tcW w:w="320" w:type="dxa"/>
            <w:vMerge w:val="continue"/>
            <w:tcBorders>
              <w:top w:val="nil"/>
            </w:tcBorders>
            <w:textDirection w:val="tbRlV"/>
            <w:vAlign w:val="top"/>
          </w:tcPr>
          <w:p w14:paraId="7A788FC0">
            <w:pPr>
              <w:pStyle w:val="6"/>
            </w:pPr>
          </w:p>
        </w:tc>
        <w:tc>
          <w:tcPr>
            <w:tcW w:w="310" w:type="dxa"/>
            <w:vMerge w:val="continue"/>
            <w:tcBorders>
              <w:top w:val="nil"/>
            </w:tcBorders>
            <w:textDirection w:val="tbRlV"/>
            <w:vAlign w:val="top"/>
          </w:tcPr>
          <w:p w14:paraId="5A48B3F1">
            <w:pPr>
              <w:pStyle w:val="6"/>
            </w:pPr>
          </w:p>
        </w:tc>
        <w:tc>
          <w:tcPr>
            <w:tcW w:w="310" w:type="dxa"/>
            <w:vMerge w:val="continue"/>
            <w:tcBorders>
              <w:top w:val="nil"/>
            </w:tcBorders>
            <w:textDirection w:val="tbRlV"/>
            <w:vAlign w:val="top"/>
          </w:tcPr>
          <w:p w14:paraId="3DFE80D9">
            <w:pPr>
              <w:pStyle w:val="6"/>
            </w:pPr>
          </w:p>
        </w:tc>
        <w:tc>
          <w:tcPr>
            <w:tcW w:w="320" w:type="dxa"/>
            <w:vMerge w:val="continue"/>
            <w:tcBorders>
              <w:top w:val="nil"/>
            </w:tcBorders>
            <w:textDirection w:val="tbRlV"/>
            <w:vAlign w:val="top"/>
          </w:tcPr>
          <w:p w14:paraId="1CFB45DD">
            <w:pPr>
              <w:pStyle w:val="6"/>
            </w:pPr>
          </w:p>
        </w:tc>
        <w:tc>
          <w:tcPr>
            <w:tcW w:w="310" w:type="dxa"/>
            <w:vMerge w:val="continue"/>
            <w:tcBorders>
              <w:top w:val="nil"/>
            </w:tcBorders>
            <w:textDirection w:val="tbRlV"/>
            <w:vAlign w:val="top"/>
          </w:tcPr>
          <w:p w14:paraId="4247B1A1">
            <w:pPr>
              <w:pStyle w:val="6"/>
            </w:pPr>
          </w:p>
        </w:tc>
        <w:tc>
          <w:tcPr>
            <w:tcW w:w="310" w:type="dxa"/>
            <w:vMerge w:val="continue"/>
            <w:tcBorders>
              <w:top w:val="nil"/>
            </w:tcBorders>
            <w:vAlign w:val="top"/>
          </w:tcPr>
          <w:p w14:paraId="2CED01A1">
            <w:pPr>
              <w:pStyle w:val="6"/>
            </w:pPr>
          </w:p>
        </w:tc>
        <w:tc>
          <w:tcPr>
            <w:tcW w:w="320" w:type="dxa"/>
            <w:vMerge w:val="continue"/>
            <w:tcBorders>
              <w:top w:val="nil"/>
            </w:tcBorders>
            <w:textDirection w:val="tbRlV"/>
            <w:vAlign w:val="top"/>
          </w:tcPr>
          <w:p w14:paraId="1D8E811F">
            <w:pPr>
              <w:pStyle w:val="6"/>
            </w:pPr>
          </w:p>
        </w:tc>
        <w:tc>
          <w:tcPr>
            <w:tcW w:w="310" w:type="dxa"/>
            <w:vMerge w:val="continue"/>
            <w:tcBorders>
              <w:top w:val="nil"/>
            </w:tcBorders>
            <w:textDirection w:val="tbRlV"/>
            <w:vAlign w:val="top"/>
          </w:tcPr>
          <w:p w14:paraId="51AA3C95">
            <w:pPr>
              <w:pStyle w:val="6"/>
            </w:pPr>
          </w:p>
        </w:tc>
        <w:tc>
          <w:tcPr>
            <w:tcW w:w="519" w:type="dxa"/>
            <w:vAlign w:val="top"/>
          </w:tcPr>
          <w:p w14:paraId="1C2F3141">
            <w:pPr>
              <w:pStyle w:val="6"/>
              <w:spacing w:line="249" w:lineRule="auto"/>
            </w:pPr>
          </w:p>
          <w:p w14:paraId="2082849C">
            <w:pPr>
              <w:pStyle w:val="6"/>
              <w:spacing w:line="249" w:lineRule="auto"/>
            </w:pPr>
          </w:p>
          <w:p w14:paraId="3F10784E">
            <w:pPr>
              <w:pStyle w:val="6"/>
              <w:spacing w:line="249" w:lineRule="auto"/>
            </w:pPr>
          </w:p>
          <w:p w14:paraId="17BACE79">
            <w:pPr>
              <w:pStyle w:val="6"/>
              <w:spacing w:line="250" w:lineRule="auto"/>
            </w:pPr>
          </w:p>
          <w:p w14:paraId="1BFB068C">
            <w:pPr>
              <w:pStyle w:val="6"/>
              <w:spacing w:line="250" w:lineRule="auto"/>
            </w:pPr>
          </w:p>
          <w:p w14:paraId="5564996D">
            <w:pPr>
              <w:pStyle w:val="6"/>
              <w:spacing w:line="250" w:lineRule="auto"/>
            </w:pPr>
          </w:p>
          <w:p w14:paraId="2D7AC00A">
            <w:pPr>
              <w:pStyle w:val="6"/>
              <w:spacing w:line="250" w:lineRule="auto"/>
            </w:pPr>
          </w:p>
          <w:p w14:paraId="3DEDC34A">
            <w:pPr>
              <w:spacing w:before="65" w:line="182" w:lineRule="auto"/>
              <w:ind w:left="50"/>
              <w:rPr>
                <w:rFonts w:ascii="宋体" w:hAnsi="宋体" w:eastAsia="宋体" w:cs="宋体"/>
                <w:sz w:val="20"/>
                <w:szCs w:val="20"/>
              </w:rPr>
            </w:pPr>
            <w:r>
              <w:rPr>
                <w:rFonts w:ascii="宋体" w:hAnsi="宋体" w:eastAsia="宋体" w:cs="宋体"/>
                <w:spacing w:val="-5"/>
                <w:sz w:val="20"/>
                <w:szCs w:val="20"/>
              </w:rPr>
              <w:t>IBIT</w:t>
            </w:r>
          </w:p>
        </w:tc>
        <w:tc>
          <w:tcPr>
            <w:tcW w:w="629" w:type="dxa"/>
            <w:vAlign w:val="top"/>
          </w:tcPr>
          <w:p w14:paraId="61424D33">
            <w:pPr>
              <w:pStyle w:val="6"/>
              <w:spacing w:line="249" w:lineRule="auto"/>
            </w:pPr>
          </w:p>
          <w:p w14:paraId="7E1E938D">
            <w:pPr>
              <w:pStyle w:val="6"/>
              <w:spacing w:line="249" w:lineRule="auto"/>
            </w:pPr>
          </w:p>
          <w:p w14:paraId="51FB7D0B">
            <w:pPr>
              <w:pStyle w:val="6"/>
              <w:spacing w:line="249" w:lineRule="auto"/>
            </w:pPr>
          </w:p>
          <w:p w14:paraId="60BE8078">
            <w:pPr>
              <w:pStyle w:val="6"/>
              <w:spacing w:line="250" w:lineRule="auto"/>
            </w:pPr>
          </w:p>
          <w:p w14:paraId="75B987B7">
            <w:pPr>
              <w:pStyle w:val="6"/>
              <w:spacing w:line="250" w:lineRule="auto"/>
            </w:pPr>
          </w:p>
          <w:p w14:paraId="3364C3D5">
            <w:pPr>
              <w:pStyle w:val="6"/>
              <w:spacing w:line="250" w:lineRule="auto"/>
            </w:pPr>
          </w:p>
          <w:p w14:paraId="695422DC">
            <w:pPr>
              <w:pStyle w:val="6"/>
              <w:spacing w:line="250" w:lineRule="auto"/>
            </w:pPr>
          </w:p>
          <w:p w14:paraId="1BD95ABB">
            <w:pPr>
              <w:spacing w:before="65" w:line="182" w:lineRule="auto"/>
              <w:ind w:left="102"/>
              <w:rPr>
                <w:rFonts w:ascii="宋体" w:hAnsi="宋体" w:eastAsia="宋体" w:cs="宋体"/>
                <w:sz w:val="20"/>
                <w:szCs w:val="20"/>
              </w:rPr>
            </w:pPr>
            <w:r>
              <w:rPr>
                <w:rFonts w:ascii="宋体" w:hAnsi="宋体" w:eastAsia="宋体" w:cs="宋体"/>
                <w:spacing w:val="-1"/>
                <w:sz w:val="20"/>
                <w:szCs w:val="20"/>
              </w:rPr>
              <w:t>MBIT</w:t>
            </w:r>
          </w:p>
        </w:tc>
        <w:tc>
          <w:tcPr>
            <w:tcW w:w="529" w:type="dxa"/>
            <w:vAlign w:val="top"/>
          </w:tcPr>
          <w:p w14:paraId="285DEE5B">
            <w:pPr>
              <w:pStyle w:val="6"/>
              <w:spacing w:line="249" w:lineRule="auto"/>
            </w:pPr>
          </w:p>
          <w:p w14:paraId="006F6F25">
            <w:pPr>
              <w:pStyle w:val="6"/>
              <w:spacing w:line="249" w:lineRule="auto"/>
            </w:pPr>
          </w:p>
          <w:p w14:paraId="570E6F80">
            <w:pPr>
              <w:pStyle w:val="6"/>
              <w:spacing w:line="249" w:lineRule="auto"/>
            </w:pPr>
          </w:p>
          <w:p w14:paraId="7E4A8C94">
            <w:pPr>
              <w:pStyle w:val="6"/>
              <w:spacing w:line="250" w:lineRule="auto"/>
            </w:pPr>
          </w:p>
          <w:p w14:paraId="2109B1F0">
            <w:pPr>
              <w:pStyle w:val="6"/>
              <w:spacing w:line="250" w:lineRule="auto"/>
            </w:pPr>
          </w:p>
          <w:p w14:paraId="6C4CB594">
            <w:pPr>
              <w:pStyle w:val="6"/>
              <w:spacing w:line="250" w:lineRule="auto"/>
            </w:pPr>
          </w:p>
          <w:p w14:paraId="3C7DA544">
            <w:pPr>
              <w:pStyle w:val="6"/>
              <w:spacing w:line="250" w:lineRule="auto"/>
            </w:pPr>
          </w:p>
          <w:p w14:paraId="27D3931D">
            <w:pPr>
              <w:spacing w:before="65" w:line="182" w:lineRule="auto"/>
              <w:ind w:left="53"/>
              <w:rPr>
                <w:rFonts w:ascii="宋体" w:hAnsi="宋体" w:eastAsia="宋体" w:cs="宋体"/>
                <w:sz w:val="20"/>
                <w:szCs w:val="20"/>
              </w:rPr>
            </w:pPr>
            <w:r>
              <w:rPr>
                <w:rFonts w:ascii="宋体" w:hAnsi="宋体" w:eastAsia="宋体" w:cs="宋体"/>
                <w:spacing w:val="-2"/>
                <w:sz w:val="20"/>
                <w:szCs w:val="20"/>
              </w:rPr>
              <w:t>PBIT</w:t>
            </w:r>
          </w:p>
        </w:tc>
        <w:tc>
          <w:tcPr>
            <w:tcW w:w="419" w:type="dxa"/>
            <w:textDirection w:val="tbRlV"/>
            <w:vAlign w:val="top"/>
          </w:tcPr>
          <w:p w14:paraId="1930BC06">
            <w:pPr>
              <w:spacing w:before="114" w:line="199" w:lineRule="auto"/>
              <w:ind w:left="1432"/>
              <w:rPr>
                <w:rFonts w:ascii="宋体" w:hAnsi="宋体" w:eastAsia="宋体" w:cs="宋体"/>
                <w:sz w:val="20"/>
                <w:szCs w:val="20"/>
              </w:rPr>
            </w:pPr>
            <w:r>
              <w:pict>
                <v:shape id="_x0000_s1047" o:spid="_x0000_s1047" o:spt="202" type="#_x0000_t202" style="position:absolute;left:0pt;margin-left:-0.05pt;margin-top:109.3pt;height:12.25pt;width:19.25pt;mso-position-horizontal-relative:page;mso-position-vertical-relative:page;z-index:251675648;mso-width-relative:page;mso-height-relative:page;" filled="f" stroked="f" coordsize="21600,21600">
                  <v:path/>
                  <v:fill on="f" focussize="0,0"/>
                  <v:stroke on="f"/>
                  <v:imagedata o:title=""/>
                  <o:lock v:ext="edit" aspectratio="f"/>
                  <v:textbox inset="0mm,0mm,0mm,0mm">
                    <w:txbxContent>
                      <w:p w14:paraId="006EF900">
                        <w:pPr>
                          <w:spacing w:before="20" w:line="188" w:lineRule="auto"/>
                          <w:ind w:left="20"/>
                          <w:rPr>
                            <w:rFonts w:ascii="宋体" w:hAnsi="宋体" w:eastAsia="宋体" w:cs="宋体"/>
                            <w:sz w:val="20"/>
                            <w:szCs w:val="20"/>
                          </w:rPr>
                        </w:pPr>
                        <w:r>
                          <w:rPr>
                            <w:rFonts w:ascii="宋体" w:hAnsi="宋体" w:eastAsia="宋体" w:cs="宋体"/>
                            <w:spacing w:val="-16"/>
                            <w:sz w:val="20"/>
                            <w:szCs w:val="20"/>
                          </w:rPr>
                          <w:t>λ</w:t>
                        </w:r>
                        <w:r>
                          <w:rPr>
                            <w:rFonts w:ascii="宋体" w:hAnsi="宋体" w:eastAsia="宋体" w:cs="宋体"/>
                            <w:spacing w:val="-15"/>
                            <w:sz w:val="20"/>
                            <w:szCs w:val="20"/>
                          </w:rPr>
                          <w:t>F</w:t>
                        </w:r>
                        <w:r>
                          <w:rPr>
                            <w:rFonts w:ascii="宋体" w:hAnsi="宋体" w:eastAsia="宋体" w:cs="宋体"/>
                            <w:spacing w:val="-11"/>
                            <w:sz w:val="20"/>
                            <w:szCs w:val="20"/>
                          </w:rPr>
                          <w:t>A</w:t>
                        </w:r>
                      </w:p>
                    </w:txbxContent>
                  </v:textbox>
                </v:shape>
              </w:pict>
            </w:r>
            <w:r>
              <w:rPr>
                <w:rFonts w:ascii="宋体" w:hAnsi="宋体" w:eastAsia="宋体" w:cs="宋体"/>
                <w:sz w:val="20"/>
                <w:szCs w:val="20"/>
              </w:rPr>
              <w:t>虚警率</w:t>
            </w:r>
          </w:p>
        </w:tc>
        <w:tc>
          <w:tcPr>
            <w:tcW w:w="410" w:type="dxa"/>
            <w:vMerge w:val="continue"/>
            <w:tcBorders>
              <w:top w:val="nil"/>
            </w:tcBorders>
            <w:vAlign w:val="top"/>
          </w:tcPr>
          <w:p w14:paraId="4F9210D3">
            <w:pPr>
              <w:pStyle w:val="6"/>
            </w:pPr>
          </w:p>
        </w:tc>
        <w:tc>
          <w:tcPr>
            <w:tcW w:w="419" w:type="dxa"/>
            <w:vMerge w:val="continue"/>
            <w:tcBorders>
              <w:top w:val="nil"/>
            </w:tcBorders>
            <w:textDirection w:val="tbRlV"/>
            <w:vAlign w:val="top"/>
          </w:tcPr>
          <w:p w14:paraId="397135D4">
            <w:pPr>
              <w:pStyle w:val="6"/>
            </w:pPr>
          </w:p>
        </w:tc>
        <w:tc>
          <w:tcPr>
            <w:tcW w:w="410" w:type="dxa"/>
            <w:vMerge w:val="continue"/>
            <w:tcBorders>
              <w:top w:val="nil"/>
            </w:tcBorders>
            <w:vAlign w:val="top"/>
          </w:tcPr>
          <w:p w14:paraId="4CC09D8D">
            <w:pPr>
              <w:pStyle w:val="6"/>
            </w:pPr>
          </w:p>
        </w:tc>
        <w:tc>
          <w:tcPr>
            <w:tcW w:w="529" w:type="dxa"/>
            <w:vAlign w:val="top"/>
          </w:tcPr>
          <w:p w14:paraId="30895DD1">
            <w:pPr>
              <w:pStyle w:val="6"/>
              <w:spacing w:line="256" w:lineRule="auto"/>
            </w:pPr>
          </w:p>
          <w:p w14:paraId="31AE5A86">
            <w:pPr>
              <w:pStyle w:val="6"/>
              <w:spacing w:line="256" w:lineRule="auto"/>
            </w:pPr>
          </w:p>
          <w:p w14:paraId="4216EB1B">
            <w:pPr>
              <w:pStyle w:val="6"/>
              <w:spacing w:line="256" w:lineRule="auto"/>
            </w:pPr>
          </w:p>
          <w:p w14:paraId="52D379DF">
            <w:pPr>
              <w:pStyle w:val="6"/>
              <w:spacing w:line="256" w:lineRule="auto"/>
            </w:pPr>
          </w:p>
          <w:p w14:paraId="69FD7F75">
            <w:pPr>
              <w:pStyle w:val="6"/>
              <w:spacing w:line="256" w:lineRule="auto"/>
            </w:pPr>
          </w:p>
          <w:p w14:paraId="5BE1F2BA">
            <w:pPr>
              <w:pStyle w:val="6"/>
              <w:spacing w:line="256" w:lineRule="auto"/>
            </w:pPr>
          </w:p>
          <w:p w14:paraId="68215163">
            <w:pPr>
              <w:spacing w:before="65" w:line="184" w:lineRule="auto"/>
              <w:ind w:left="16"/>
              <w:rPr>
                <w:rFonts w:ascii="宋体" w:hAnsi="宋体" w:eastAsia="宋体" w:cs="宋体"/>
                <w:sz w:val="20"/>
                <w:szCs w:val="20"/>
              </w:rPr>
            </w:pPr>
            <w:r>
              <w:rPr>
                <w:rFonts w:ascii="宋体" w:hAnsi="宋体" w:eastAsia="宋体" w:cs="宋体"/>
                <w:spacing w:val="-6"/>
                <w:sz w:val="20"/>
                <w:szCs w:val="20"/>
              </w:rPr>
              <w:t>1SRU</w:t>
            </w:r>
          </w:p>
        </w:tc>
        <w:tc>
          <w:tcPr>
            <w:tcW w:w="529" w:type="dxa"/>
            <w:vAlign w:val="top"/>
          </w:tcPr>
          <w:p w14:paraId="43D530FB">
            <w:pPr>
              <w:pStyle w:val="6"/>
              <w:spacing w:line="250" w:lineRule="auto"/>
            </w:pPr>
          </w:p>
          <w:p w14:paraId="63E8ECA5">
            <w:pPr>
              <w:pStyle w:val="6"/>
              <w:spacing w:line="251" w:lineRule="auto"/>
            </w:pPr>
          </w:p>
          <w:p w14:paraId="4B8BCC2E">
            <w:pPr>
              <w:pStyle w:val="6"/>
              <w:spacing w:line="251" w:lineRule="auto"/>
            </w:pPr>
          </w:p>
          <w:p w14:paraId="5AD4E320">
            <w:pPr>
              <w:pStyle w:val="6"/>
              <w:spacing w:line="251" w:lineRule="auto"/>
            </w:pPr>
          </w:p>
          <w:p w14:paraId="6D4D2288">
            <w:pPr>
              <w:pStyle w:val="6"/>
              <w:spacing w:line="251" w:lineRule="auto"/>
            </w:pPr>
          </w:p>
          <w:p w14:paraId="1022FB85">
            <w:pPr>
              <w:pStyle w:val="6"/>
              <w:spacing w:line="251" w:lineRule="auto"/>
            </w:pPr>
          </w:p>
          <w:p w14:paraId="3AB19240">
            <w:pPr>
              <w:spacing w:before="66" w:line="314" w:lineRule="exact"/>
              <w:ind w:left="136"/>
              <w:rPr>
                <w:rFonts w:ascii="宋体" w:hAnsi="宋体" w:eastAsia="宋体" w:cs="宋体"/>
                <w:sz w:val="20"/>
                <w:szCs w:val="20"/>
              </w:rPr>
            </w:pPr>
            <w:r>
              <w:rPr>
                <w:rFonts w:ascii="宋体" w:hAnsi="宋体" w:eastAsia="宋体" w:cs="宋体"/>
                <w:position w:val="2"/>
                <w:sz w:val="20"/>
                <w:szCs w:val="20"/>
              </w:rPr>
              <w:t>…</w:t>
            </w:r>
          </w:p>
        </w:tc>
        <w:tc>
          <w:tcPr>
            <w:tcW w:w="619" w:type="dxa"/>
            <w:vAlign w:val="top"/>
          </w:tcPr>
          <w:p w14:paraId="6513CEB6">
            <w:pPr>
              <w:pStyle w:val="6"/>
              <w:spacing w:line="256" w:lineRule="auto"/>
            </w:pPr>
          </w:p>
          <w:p w14:paraId="29C54EEF">
            <w:pPr>
              <w:pStyle w:val="6"/>
              <w:spacing w:line="256" w:lineRule="auto"/>
            </w:pPr>
          </w:p>
          <w:p w14:paraId="0D3787DA">
            <w:pPr>
              <w:pStyle w:val="6"/>
              <w:spacing w:line="256" w:lineRule="auto"/>
            </w:pPr>
          </w:p>
          <w:p w14:paraId="4DAF2FD4">
            <w:pPr>
              <w:pStyle w:val="6"/>
              <w:spacing w:line="256" w:lineRule="auto"/>
            </w:pPr>
          </w:p>
          <w:p w14:paraId="001F21A3">
            <w:pPr>
              <w:pStyle w:val="6"/>
              <w:spacing w:line="256" w:lineRule="auto"/>
            </w:pPr>
          </w:p>
          <w:p w14:paraId="58D8640C">
            <w:pPr>
              <w:pStyle w:val="6"/>
              <w:spacing w:line="257" w:lineRule="auto"/>
            </w:pPr>
          </w:p>
          <w:p w14:paraId="13F88B90">
            <w:pPr>
              <w:spacing w:before="65" w:line="183" w:lineRule="auto"/>
              <w:ind w:left="28"/>
              <w:rPr>
                <w:rFonts w:ascii="宋体" w:hAnsi="宋体" w:eastAsia="宋体" w:cs="宋体"/>
                <w:sz w:val="20"/>
                <w:szCs w:val="20"/>
              </w:rPr>
            </w:pPr>
            <w:r>
              <w:rPr>
                <w:rFonts w:ascii="宋体" w:hAnsi="宋体" w:eastAsia="宋体" w:cs="宋体"/>
                <w:spacing w:val="-2"/>
                <w:sz w:val="20"/>
                <w:szCs w:val="20"/>
              </w:rPr>
              <w:t>nSRU</w:t>
            </w:r>
          </w:p>
        </w:tc>
        <w:tc>
          <w:tcPr>
            <w:tcW w:w="529" w:type="dxa"/>
            <w:vMerge w:val="continue"/>
            <w:tcBorders>
              <w:top w:val="nil"/>
            </w:tcBorders>
            <w:vAlign w:val="top"/>
          </w:tcPr>
          <w:p w14:paraId="3CA4AFB8">
            <w:pPr>
              <w:pStyle w:val="6"/>
            </w:pPr>
          </w:p>
        </w:tc>
        <w:tc>
          <w:tcPr>
            <w:tcW w:w="376" w:type="dxa"/>
            <w:vMerge w:val="continue"/>
            <w:tcBorders>
              <w:top w:val="nil"/>
            </w:tcBorders>
            <w:textDirection w:val="tbRlV"/>
            <w:vAlign w:val="top"/>
          </w:tcPr>
          <w:p w14:paraId="3426447C">
            <w:pPr>
              <w:pStyle w:val="6"/>
            </w:pPr>
          </w:p>
        </w:tc>
      </w:tr>
      <w:tr w14:paraId="1536F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05" w:type="dxa"/>
            <w:vAlign w:val="top"/>
          </w:tcPr>
          <w:p w14:paraId="6B391D51">
            <w:pPr>
              <w:spacing w:before="109" w:line="222" w:lineRule="auto"/>
              <w:ind w:left="15"/>
              <w:rPr>
                <w:rFonts w:ascii="宋体" w:hAnsi="宋体" w:eastAsia="宋体" w:cs="宋体"/>
                <w:sz w:val="20"/>
                <w:szCs w:val="20"/>
              </w:rPr>
            </w:pPr>
            <w:r>
              <w:rPr>
                <w:rFonts w:ascii="宋体" w:hAnsi="宋体" w:eastAsia="宋体" w:cs="宋体"/>
                <w:spacing w:val="-10"/>
                <w:sz w:val="20"/>
                <w:szCs w:val="20"/>
              </w:rPr>
              <w:t>(1)</w:t>
            </w:r>
          </w:p>
        </w:tc>
        <w:tc>
          <w:tcPr>
            <w:tcW w:w="319" w:type="dxa"/>
            <w:vAlign w:val="top"/>
          </w:tcPr>
          <w:p w14:paraId="39930378">
            <w:pPr>
              <w:spacing w:before="109" w:line="222" w:lineRule="auto"/>
              <w:rPr>
                <w:rFonts w:ascii="宋体" w:hAnsi="宋体" w:eastAsia="宋体" w:cs="宋体"/>
                <w:sz w:val="20"/>
                <w:szCs w:val="20"/>
              </w:rPr>
            </w:pPr>
            <w:r>
              <w:rPr>
                <w:rFonts w:ascii="宋体" w:hAnsi="宋体" w:eastAsia="宋体" w:cs="宋体"/>
                <w:spacing w:val="-10"/>
                <w:sz w:val="20"/>
                <w:szCs w:val="20"/>
              </w:rPr>
              <w:t>(2)</w:t>
            </w:r>
          </w:p>
        </w:tc>
        <w:tc>
          <w:tcPr>
            <w:tcW w:w="310" w:type="dxa"/>
            <w:vAlign w:val="top"/>
          </w:tcPr>
          <w:p w14:paraId="33372217">
            <w:pPr>
              <w:spacing w:before="109" w:line="222" w:lineRule="auto"/>
              <w:ind w:left="10"/>
              <w:rPr>
                <w:rFonts w:ascii="宋体" w:hAnsi="宋体" w:eastAsia="宋体" w:cs="宋体"/>
                <w:sz w:val="20"/>
                <w:szCs w:val="20"/>
              </w:rPr>
            </w:pPr>
            <w:r>
              <w:rPr>
                <w:rFonts w:ascii="宋体" w:hAnsi="宋体" w:eastAsia="宋体" w:cs="宋体"/>
                <w:spacing w:val="-10"/>
                <w:sz w:val="20"/>
                <w:szCs w:val="20"/>
              </w:rPr>
              <w:t>(3)</w:t>
            </w:r>
          </w:p>
        </w:tc>
        <w:tc>
          <w:tcPr>
            <w:tcW w:w="320" w:type="dxa"/>
            <w:vAlign w:val="top"/>
          </w:tcPr>
          <w:p w14:paraId="2829C149">
            <w:pPr>
              <w:spacing w:before="109" w:line="222" w:lineRule="auto"/>
              <w:ind w:left="10"/>
              <w:rPr>
                <w:rFonts w:ascii="宋体" w:hAnsi="宋体" w:eastAsia="宋体" w:cs="宋体"/>
                <w:sz w:val="20"/>
                <w:szCs w:val="20"/>
              </w:rPr>
            </w:pPr>
            <w:r>
              <w:rPr>
                <w:rFonts w:ascii="宋体" w:hAnsi="宋体" w:eastAsia="宋体" w:cs="宋体"/>
                <w:spacing w:val="-10"/>
                <w:sz w:val="20"/>
                <w:szCs w:val="20"/>
              </w:rPr>
              <w:t>(4)</w:t>
            </w:r>
          </w:p>
        </w:tc>
        <w:tc>
          <w:tcPr>
            <w:tcW w:w="310" w:type="dxa"/>
            <w:vAlign w:val="top"/>
          </w:tcPr>
          <w:p w14:paraId="77DD85A0">
            <w:pPr>
              <w:spacing w:before="109" w:line="222" w:lineRule="auto"/>
              <w:ind w:left="10"/>
              <w:rPr>
                <w:rFonts w:ascii="宋体" w:hAnsi="宋体" w:eastAsia="宋体" w:cs="宋体"/>
                <w:sz w:val="20"/>
                <w:szCs w:val="20"/>
              </w:rPr>
            </w:pPr>
            <w:r>
              <w:rPr>
                <w:rFonts w:ascii="宋体" w:hAnsi="宋体" w:eastAsia="宋体" w:cs="宋体"/>
                <w:spacing w:val="-10"/>
                <w:sz w:val="20"/>
                <w:szCs w:val="20"/>
              </w:rPr>
              <w:t>(5)</w:t>
            </w:r>
          </w:p>
        </w:tc>
        <w:tc>
          <w:tcPr>
            <w:tcW w:w="310" w:type="dxa"/>
            <w:vAlign w:val="top"/>
          </w:tcPr>
          <w:p w14:paraId="0833A476">
            <w:pPr>
              <w:spacing w:before="109" w:line="222" w:lineRule="auto"/>
              <w:ind w:left="10"/>
              <w:rPr>
                <w:rFonts w:ascii="宋体" w:hAnsi="宋体" w:eastAsia="宋体" w:cs="宋体"/>
                <w:sz w:val="20"/>
                <w:szCs w:val="20"/>
              </w:rPr>
            </w:pPr>
            <w:r>
              <w:rPr>
                <w:rFonts w:ascii="宋体" w:hAnsi="宋体" w:eastAsia="宋体" w:cs="宋体"/>
                <w:spacing w:val="-10"/>
                <w:sz w:val="20"/>
                <w:szCs w:val="20"/>
              </w:rPr>
              <w:t>(6)</w:t>
            </w:r>
          </w:p>
        </w:tc>
        <w:tc>
          <w:tcPr>
            <w:tcW w:w="320" w:type="dxa"/>
            <w:vAlign w:val="top"/>
          </w:tcPr>
          <w:p w14:paraId="483062BB">
            <w:pPr>
              <w:spacing w:before="109" w:line="222" w:lineRule="auto"/>
              <w:ind w:left="10"/>
              <w:rPr>
                <w:rFonts w:ascii="宋体" w:hAnsi="宋体" w:eastAsia="宋体" w:cs="宋体"/>
                <w:sz w:val="20"/>
                <w:szCs w:val="20"/>
              </w:rPr>
            </w:pPr>
            <w:r>
              <w:rPr>
                <w:rFonts w:ascii="宋体" w:hAnsi="宋体" w:eastAsia="宋体" w:cs="宋体"/>
                <w:spacing w:val="-10"/>
                <w:sz w:val="20"/>
                <w:szCs w:val="20"/>
              </w:rPr>
              <w:t>(7)</w:t>
            </w:r>
          </w:p>
        </w:tc>
        <w:tc>
          <w:tcPr>
            <w:tcW w:w="310" w:type="dxa"/>
            <w:vAlign w:val="top"/>
          </w:tcPr>
          <w:p w14:paraId="04772446">
            <w:pPr>
              <w:spacing w:before="109" w:line="222" w:lineRule="auto"/>
              <w:ind w:left="11"/>
              <w:rPr>
                <w:rFonts w:ascii="宋体" w:hAnsi="宋体" w:eastAsia="宋体" w:cs="宋体"/>
                <w:sz w:val="20"/>
                <w:szCs w:val="20"/>
              </w:rPr>
            </w:pPr>
            <w:r>
              <w:rPr>
                <w:rFonts w:ascii="宋体" w:hAnsi="宋体" w:eastAsia="宋体" w:cs="宋体"/>
                <w:spacing w:val="-10"/>
                <w:sz w:val="20"/>
                <w:szCs w:val="20"/>
              </w:rPr>
              <w:t>(8)</w:t>
            </w:r>
          </w:p>
        </w:tc>
        <w:tc>
          <w:tcPr>
            <w:tcW w:w="310" w:type="dxa"/>
            <w:vAlign w:val="top"/>
          </w:tcPr>
          <w:p w14:paraId="383D7897">
            <w:pPr>
              <w:spacing w:before="109" w:line="222" w:lineRule="auto"/>
              <w:ind w:left="10"/>
              <w:rPr>
                <w:rFonts w:ascii="宋体" w:hAnsi="宋体" w:eastAsia="宋体" w:cs="宋体"/>
                <w:sz w:val="20"/>
                <w:szCs w:val="20"/>
              </w:rPr>
            </w:pPr>
            <w:r>
              <w:rPr>
                <w:rFonts w:ascii="宋体" w:hAnsi="宋体" w:eastAsia="宋体" w:cs="宋体"/>
                <w:spacing w:val="-10"/>
                <w:sz w:val="20"/>
                <w:szCs w:val="20"/>
              </w:rPr>
              <w:t>(9)</w:t>
            </w:r>
          </w:p>
        </w:tc>
        <w:tc>
          <w:tcPr>
            <w:tcW w:w="320" w:type="dxa"/>
            <w:vAlign w:val="top"/>
          </w:tcPr>
          <w:p w14:paraId="2CDD6137">
            <w:pPr>
              <w:spacing w:before="107" w:line="222" w:lineRule="auto"/>
              <w:jc w:val="right"/>
              <w:rPr>
                <w:rFonts w:ascii="宋体" w:hAnsi="宋体" w:eastAsia="宋体" w:cs="宋体"/>
                <w:sz w:val="17"/>
                <w:szCs w:val="17"/>
              </w:rPr>
            </w:pPr>
            <w:r>
              <w:rPr>
                <w:rFonts w:ascii="宋体" w:hAnsi="宋体" w:eastAsia="宋体" w:cs="宋体"/>
                <w:spacing w:val="-11"/>
                <w:sz w:val="17"/>
                <w:szCs w:val="17"/>
              </w:rPr>
              <w:t>(1O)</w:t>
            </w:r>
          </w:p>
        </w:tc>
        <w:tc>
          <w:tcPr>
            <w:tcW w:w="310" w:type="dxa"/>
            <w:vAlign w:val="top"/>
          </w:tcPr>
          <w:p w14:paraId="0A86A2F2">
            <w:pPr>
              <w:spacing w:before="107" w:line="222" w:lineRule="auto"/>
              <w:jc w:val="right"/>
              <w:rPr>
                <w:rFonts w:ascii="宋体" w:hAnsi="宋体" w:eastAsia="宋体" w:cs="宋体"/>
                <w:sz w:val="17"/>
                <w:szCs w:val="17"/>
              </w:rPr>
            </w:pPr>
            <w:r>
              <w:rPr>
                <w:rFonts w:ascii="宋体" w:hAnsi="宋体" w:eastAsia="宋体" w:cs="宋体"/>
                <w:spacing w:val="-13"/>
                <w:sz w:val="17"/>
                <w:szCs w:val="17"/>
              </w:rPr>
              <w:t>(11)</w:t>
            </w:r>
          </w:p>
        </w:tc>
        <w:tc>
          <w:tcPr>
            <w:tcW w:w="519" w:type="dxa"/>
            <w:vAlign w:val="top"/>
          </w:tcPr>
          <w:p w14:paraId="67BF4534">
            <w:pPr>
              <w:spacing w:before="109" w:line="222" w:lineRule="auto"/>
              <w:ind w:left="50"/>
              <w:rPr>
                <w:rFonts w:ascii="宋体" w:hAnsi="宋体" w:eastAsia="宋体" w:cs="宋体"/>
                <w:sz w:val="20"/>
                <w:szCs w:val="20"/>
              </w:rPr>
            </w:pPr>
            <w:r>
              <w:rPr>
                <w:rFonts w:ascii="宋体" w:hAnsi="宋体" w:eastAsia="宋体" w:cs="宋体"/>
                <w:spacing w:val="-9"/>
                <w:sz w:val="20"/>
                <w:szCs w:val="20"/>
              </w:rPr>
              <w:t>(12)</w:t>
            </w:r>
          </w:p>
        </w:tc>
        <w:tc>
          <w:tcPr>
            <w:tcW w:w="629" w:type="dxa"/>
            <w:vAlign w:val="top"/>
          </w:tcPr>
          <w:p w14:paraId="23010E05">
            <w:pPr>
              <w:spacing w:before="109" w:line="222" w:lineRule="auto"/>
              <w:ind w:left="102"/>
              <w:rPr>
                <w:rFonts w:ascii="宋体" w:hAnsi="宋体" w:eastAsia="宋体" w:cs="宋体"/>
                <w:sz w:val="20"/>
                <w:szCs w:val="20"/>
              </w:rPr>
            </w:pPr>
            <w:r>
              <w:rPr>
                <w:rFonts w:ascii="宋体" w:hAnsi="宋体" w:eastAsia="宋体" w:cs="宋体"/>
                <w:spacing w:val="-9"/>
                <w:sz w:val="20"/>
                <w:szCs w:val="20"/>
              </w:rPr>
              <w:t>(13)</w:t>
            </w:r>
          </w:p>
        </w:tc>
        <w:tc>
          <w:tcPr>
            <w:tcW w:w="529" w:type="dxa"/>
            <w:vAlign w:val="top"/>
          </w:tcPr>
          <w:p w14:paraId="3D331144">
            <w:pPr>
              <w:spacing w:before="109" w:line="222" w:lineRule="auto"/>
              <w:ind w:left="53"/>
              <w:rPr>
                <w:rFonts w:ascii="宋体" w:hAnsi="宋体" w:eastAsia="宋体" w:cs="宋体"/>
                <w:sz w:val="20"/>
                <w:szCs w:val="20"/>
              </w:rPr>
            </w:pPr>
            <w:r>
              <w:rPr>
                <w:rFonts w:ascii="宋体" w:hAnsi="宋体" w:eastAsia="宋体" w:cs="宋体"/>
                <w:spacing w:val="-9"/>
                <w:sz w:val="20"/>
                <w:szCs w:val="20"/>
              </w:rPr>
              <w:t>(14)</w:t>
            </w:r>
          </w:p>
        </w:tc>
        <w:tc>
          <w:tcPr>
            <w:tcW w:w="419" w:type="dxa"/>
            <w:vAlign w:val="top"/>
          </w:tcPr>
          <w:p w14:paraId="155E701A">
            <w:pPr>
              <w:spacing w:before="109" w:line="222" w:lineRule="auto"/>
              <w:ind w:left="13"/>
              <w:rPr>
                <w:rFonts w:ascii="宋体" w:hAnsi="宋体" w:eastAsia="宋体" w:cs="宋体"/>
                <w:sz w:val="20"/>
                <w:szCs w:val="20"/>
              </w:rPr>
            </w:pPr>
            <w:r>
              <w:rPr>
                <w:rFonts w:ascii="宋体" w:hAnsi="宋体" w:eastAsia="宋体" w:cs="宋体"/>
                <w:spacing w:val="-9"/>
                <w:sz w:val="20"/>
                <w:szCs w:val="20"/>
              </w:rPr>
              <w:t>(15)</w:t>
            </w:r>
          </w:p>
        </w:tc>
        <w:tc>
          <w:tcPr>
            <w:tcW w:w="410" w:type="dxa"/>
            <w:vAlign w:val="top"/>
          </w:tcPr>
          <w:p w14:paraId="3E85B79B">
            <w:pPr>
              <w:spacing w:before="109" w:line="222" w:lineRule="auto"/>
              <w:ind w:left="14"/>
              <w:rPr>
                <w:rFonts w:ascii="宋体" w:hAnsi="宋体" w:eastAsia="宋体" w:cs="宋体"/>
                <w:sz w:val="20"/>
                <w:szCs w:val="20"/>
              </w:rPr>
            </w:pPr>
            <w:r>
              <w:rPr>
                <w:rFonts w:ascii="宋体" w:hAnsi="宋体" w:eastAsia="宋体" w:cs="宋体"/>
                <w:spacing w:val="-9"/>
                <w:sz w:val="20"/>
                <w:szCs w:val="20"/>
              </w:rPr>
              <w:t>(16)</w:t>
            </w:r>
          </w:p>
        </w:tc>
        <w:tc>
          <w:tcPr>
            <w:tcW w:w="419" w:type="dxa"/>
            <w:vAlign w:val="top"/>
          </w:tcPr>
          <w:p w14:paraId="1D799D6D">
            <w:pPr>
              <w:spacing w:before="109" w:line="222" w:lineRule="auto"/>
              <w:ind w:left="15"/>
              <w:rPr>
                <w:rFonts w:ascii="宋体" w:hAnsi="宋体" w:eastAsia="宋体" w:cs="宋体"/>
                <w:sz w:val="20"/>
                <w:szCs w:val="20"/>
              </w:rPr>
            </w:pPr>
            <w:r>
              <w:rPr>
                <w:rFonts w:ascii="宋体" w:hAnsi="宋体" w:eastAsia="宋体" w:cs="宋体"/>
                <w:spacing w:val="-9"/>
                <w:sz w:val="20"/>
                <w:szCs w:val="20"/>
              </w:rPr>
              <w:t>(17)</w:t>
            </w:r>
          </w:p>
        </w:tc>
        <w:tc>
          <w:tcPr>
            <w:tcW w:w="410" w:type="dxa"/>
            <w:vAlign w:val="top"/>
          </w:tcPr>
          <w:p w14:paraId="05DA4538">
            <w:pPr>
              <w:spacing w:before="109" w:line="222" w:lineRule="auto"/>
              <w:ind w:left="15"/>
              <w:rPr>
                <w:rFonts w:ascii="宋体" w:hAnsi="宋体" w:eastAsia="宋体" w:cs="宋体"/>
                <w:sz w:val="20"/>
                <w:szCs w:val="20"/>
              </w:rPr>
            </w:pPr>
            <w:r>
              <w:rPr>
                <w:rFonts w:ascii="宋体" w:hAnsi="宋体" w:eastAsia="宋体" w:cs="宋体"/>
                <w:spacing w:val="-9"/>
                <w:sz w:val="20"/>
                <w:szCs w:val="20"/>
              </w:rPr>
              <w:t>(18)</w:t>
            </w:r>
          </w:p>
        </w:tc>
        <w:tc>
          <w:tcPr>
            <w:tcW w:w="1677" w:type="dxa"/>
            <w:gridSpan w:val="3"/>
            <w:vAlign w:val="top"/>
          </w:tcPr>
          <w:p w14:paraId="159212CC">
            <w:pPr>
              <w:spacing w:before="109" w:line="222" w:lineRule="auto"/>
              <w:ind w:left="635"/>
              <w:rPr>
                <w:rFonts w:ascii="宋体" w:hAnsi="宋体" w:eastAsia="宋体" w:cs="宋体"/>
                <w:sz w:val="20"/>
                <w:szCs w:val="20"/>
              </w:rPr>
            </w:pPr>
            <w:r>
              <w:rPr>
                <w:rFonts w:ascii="宋体" w:hAnsi="宋体" w:eastAsia="宋体" w:cs="宋体"/>
                <w:spacing w:val="-9"/>
                <w:sz w:val="20"/>
                <w:szCs w:val="20"/>
              </w:rPr>
              <w:t>(19)</w:t>
            </w:r>
          </w:p>
        </w:tc>
        <w:tc>
          <w:tcPr>
            <w:tcW w:w="529" w:type="dxa"/>
            <w:vAlign w:val="top"/>
          </w:tcPr>
          <w:p w14:paraId="7E307874">
            <w:pPr>
              <w:spacing w:before="109" w:line="222" w:lineRule="auto"/>
              <w:ind w:left="58"/>
              <w:rPr>
                <w:rFonts w:ascii="宋体" w:hAnsi="宋体" w:eastAsia="宋体" w:cs="宋体"/>
                <w:sz w:val="20"/>
                <w:szCs w:val="20"/>
              </w:rPr>
            </w:pPr>
            <w:r>
              <w:rPr>
                <w:rFonts w:ascii="宋体" w:hAnsi="宋体" w:eastAsia="宋体" w:cs="宋体"/>
                <w:spacing w:val="-9"/>
                <w:sz w:val="20"/>
                <w:szCs w:val="20"/>
              </w:rPr>
              <w:t>(20)</w:t>
            </w:r>
          </w:p>
        </w:tc>
        <w:tc>
          <w:tcPr>
            <w:tcW w:w="376" w:type="dxa"/>
            <w:vAlign w:val="top"/>
          </w:tcPr>
          <w:p w14:paraId="42C92B12">
            <w:pPr>
              <w:spacing w:before="109" w:line="222" w:lineRule="auto"/>
              <w:jc w:val="right"/>
              <w:rPr>
                <w:rFonts w:ascii="宋体" w:hAnsi="宋体" w:eastAsia="宋体" w:cs="宋体"/>
                <w:sz w:val="20"/>
                <w:szCs w:val="20"/>
              </w:rPr>
            </w:pPr>
            <w:r>
              <w:rPr>
                <w:rFonts w:ascii="宋体" w:hAnsi="宋体" w:eastAsia="宋体" w:cs="宋体"/>
                <w:spacing w:val="-14"/>
                <w:sz w:val="20"/>
                <w:szCs w:val="20"/>
              </w:rPr>
              <w:t>(21)</w:t>
            </w:r>
          </w:p>
        </w:tc>
      </w:tr>
      <w:tr w14:paraId="7E801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2504" w:type="dxa"/>
            <w:gridSpan w:val="8"/>
            <w:vAlign w:val="top"/>
          </w:tcPr>
          <w:p w14:paraId="3E2C4090">
            <w:pPr>
              <w:spacing w:before="108" w:line="221" w:lineRule="auto"/>
              <w:ind w:left="1014"/>
              <w:rPr>
                <w:rFonts w:ascii="宋体" w:hAnsi="宋体" w:eastAsia="宋体" w:cs="宋体"/>
                <w:sz w:val="20"/>
                <w:szCs w:val="20"/>
              </w:rPr>
            </w:pPr>
            <w:r>
              <w:rPr>
                <w:rFonts w:ascii="宋体" w:hAnsi="宋体" w:eastAsia="宋体" w:cs="宋体"/>
                <w:spacing w:val="4"/>
                <w:sz w:val="20"/>
                <w:szCs w:val="20"/>
              </w:rPr>
              <w:t>总计</w:t>
            </w:r>
          </w:p>
        </w:tc>
        <w:tc>
          <w:tcPr>
            <w:tcW w:w="310" w:type="dxa"/>
            <w:vAlign w:val="top"/>
          </w:tcPr>
          <w:p w14:paraId="382CC904">
            <w:pPr>
              <w:pStyle w:val="6"/>
            </w:pPr>
          </w:p>
        </w:tc>
        <w:tc>
          <w:tcPr>
            <w:tcW w:w="320" w:type="dxa"/>
            <w:vAlign w:val="top"/>
          </w:tcPr>
          <w:p w14:paraId="2C09922F">
            <w:pPr>
              <w:pStyle w:val="6"/>
            </w:pPr>
          </w:p>
        </w:tc>
        <w:tc>
          <w:tcPr>
            <w:tcW w:w="310" w:type="dxa"/>
            <w:vAlign w:val="top"/>
          </w:tcPr>
          <w:p w14:paraId="4FBE9B2C">
            <w:pPr>
              <w:pStyle w:val="6"/>
            </w:pPr>
          </w:p>
        </w:tc>
        <w:tc>
          <w:tcPr>
            <w:tcW w:w="519" w:type="dxa"/>
            <w:vAlign w:val="top"/>
          </w:tcPr>
          <w:p w14:paraId="5573C6AF">
            <w:pPr>
              <w:pStyle w:val="6"/>
            </w:pPr>
          </w:p>
        </w:tc>
        <w:tc>
          <w:tcPr>
            <w:tcW w:w="629" w:type="dxa"/>
            <w:vAlign w:val="top"/>
          </w:tcPr>
          <w:p w14:paraId="3C146AD3">
            <w:pPr>
              <w:pStyle w:val="6"/>
            </w:pPr>
          </w:p>
        </w:tc>
        <w:tc>
          <w:tcPr>
            <w:tcW w:w="529" w:type="dxa"/>
            <w:vAlign w:val="top"/>
          </w:tcPr>
          <w:p w14:paraId="009B88AA">
            <w:pPr>
              <w:pStyle w:val="6"/>
            </w:pPr>
          </w:p>
        </w:tc>
        <w:tc>
          <w:tcPr>
            <w:tcW w:w="419" w:type="dxa"/>
            <w:vAlign w:val="top"/>
          </w:tcPr>
          <w:p w14:paraId="6E8F5A0E">
            <w:pPr>
              <w:pStyle w:val="6"/>
            </w:pPr>
          </w:p>
        </w:tc>
        <w:tc>
          <w:tcPr>
            <w:tcW w:w="410" w:type="dxa"/>
            <w:vAlign w:val="top"/>
          </w:tcPr>
          <w:p w14:paraId="601FF476">
            <w:pPr>
              <w:pStyle w:val="6"/>
            </w:pPr>
          </w:p>
        </w:tc>
        <w:tc>
          <w:tcPr>
            <w:tcW w:w="419" w:type="dxa"/>
            <w:vAlign w:val="top"/>
          </w:tcPr>
          <w:p w14:paraId="75A7E6B3">
            <w:pPr>
              <w:pStyle w:val="6"/>
            </w:pPr>
          </w:p>
        </w:tc>
        <w:tc>
          <w:tcPr>
            <w:tcW w:w="410" w:type="dxa"/>
            <w:vAlign w:val="top"/>
          </w:tcPr>
          <w:p w14:paraId="3D9C54F0">
            <w:pPr>
              <w:pStyle w:val="6"/>
            </w:pPr>
          </w:p>
        </w:tc>
        <w:tc>
          <w:tcPr>
            <w:tcW w:w="1677" w:type="dxa"/>
            <w:gridSpan w:val="3"/>
            <w:vAlign w:val="top"/>
          </w:tcPr>
          <w:p w14:paraId="01EC84D2">
            <w:pPr>
              <w:pStyle w:val="6"/>
            </w:pPr>
          </w:p>
        </w:tc>
        <w:tc>
          <w:tcPr>
            <w:tcW w:w="529" w:type="dxa"/>
            <w:vAlign w:val="top"/>
          </w:tcPr>
          <w:p w14:paraId="631A6249">
            <w:pPr>
              <w:pStyle w:val="6"/>
            </w:pPr>
          </w:p>
        </w:tc>
        <w:tc>
          <w:tcPr>
            <w:tcW w:w="376" w:type="dxa"/>
            <w:vAlign w:val="top"/>
          </w:tcPr>
          <w:p w14:paraId="14105304">
            <w:pPr>
              <w:pStyle w:val="6"/>
            </w:pPr>
          </w:p>
        </w:tc>
      </w:tr>
    </w:tbl>
    <w:p w14:paraId="194D1069">
      <w:pPr>
        <w:spacing w:before="270" w:line="222" w:lineRule="auto"/>
        <w:rPr>
          <w:rFonts w:ascii="黑体" w:hAnsi="黑体" w:eastAsia="黑体" w:cs="黑体"/>
          <w:sz w:val="24"/>
          <w:szCs w:val="24"/>
        </w:rPr>
      </w:pPr>
      <w:r>
        <w:rPr>
          <w:rFonts w:ascii="黑体" w:hAnsi="黑体" w:eastAsia="黑体" w:cs="黑体"/>
          <w:spacing w:val="-5"/>
          <w:sz w:val="24"/>
          <w:szCs w:val="24"/>
        </w:rPr>
        <w:t>7</w:t>
      </w:r>
      <w:r>
        <w:rPr>
          <w:rFonts w:ascii="黑体" w:hAnsi="黑体" w:eastAsia="黑体" w:cs="黑体"/>
          <w:spacing w:val="36"/>
          <w:sz w:val="24"/>
          <w:szCs w:val="24"/>
        </w:rPr>
        <w:t xml:space="preserve">  </w:t>
      </w:r>
      <w:r>
        <w:rPr>
          <w:rFonts w:ascii="Times New Roman" w:hAnsi="Times New Roman" w:eastAsia="Times New Roman" w:cs="Times New Roman"/>
          <w:b/>
          <w:bCs/>
          <w:spacing w:val="-5"/>
          <w:sz w:val="24"/>
          <w:szCs w:val="24"/>
        </w:rPr>
        <w:t>FMECA</w:t>
      </w:r>
      <w:r>
        <w:rPr>
          <w:rFonts w:ascii="Times New Roman" w:hAnsi="Times New Roman" w:eastAsia="Times New Roman" w:cs="Times New Roman"/>
          <w:b/>
          <w:bCs/>
          <w:spacing w:val="9"/>
          <w:sz w:val="24"/>
          <w:szCs w:val="24"/>
        </w:rPr>
        <w:t xml:space="preserve">  </w:t>
      </w:r>
      <w:r>
        <w:rPr>
          <w:rFonts w:ascii="黑体" w:hAnsi="黑体" w:eastAsia="黑体" w:cs="黑体"/>
          <w:b/>
          <w:bCs/>
          <w:spacing w:val="-5"/>
          <w:sz w:val="24"/>
          <w:szCs w:val="24"/>
        </w:rPr>
        <w:t>实</w:t>
      </w:r>
      <w:r>
        <w:rPr>
          <w:rFonts w:ascii="黑体" w:hAnsi="黑体" w:eastAsia="黑体" w:cs="黑体"/>
          <w:spacing w:val="-31"/>
          <w:sz w:val="24"/>
          <w:szCs w:val="24"/>
        </w:rPr>
        <w:t xml:space="preserve"> </w:t>
      </w:r>
      <w:r>
        <w:rPr>
          <w:rFonts w:ascii="黑体" w:hAnsi="黑体" w:eastAsia="黑体" w:cs="黑体"/>
          <w:b/>
          <w:bCs/>
          <w:spacing w:val="-5"/>
          <w:sz w:val="24"/>
          <w:szCs w:val="24"/>
        </w:rPr>
        <w:t>施</w:t>
      </w:r>
    </w:p>
    <w:p w14:paraId="7060F0C4">
      <w:pPr>
        <w:pStyle w:val="2"/>
        <w:spacing w:before="108" w:line="219" w:lineRule="auto"/>
        <w:ind w:left="560"/>
      </w:pPr>
      <w:r>
        <w:rPr>
          <w:spacing w:val="6"/>
        </w:rPr>
        <w:t>说明</w:t>
      </w:r>
      <w:r>
        <w:rPr>
          <w:rFonts w:ascii="Times New Roman" w:hAnsi="Times New Roman" w:eastAsia="Times New Roman" w:cs="Times New Roman"/>
        </w:rPr>
        <w:t>FMECA</w:t>
      </w:r>
      <w:r>
        <w:rPr>
          <w:rFonts w:ascii="Times New Roman" w:hAnsi="Times New Roman" w:eastAsia="Times New Roman" w:cs="Times New Roman"/>
          <w:spacing w:val="6"/>
        </w:rPr>
        <w:t xml:space="preserve">  </w:t>
      </w:r>
      <w:r>
        <w:rPr>
          <w:spacing w:val="6"/>
        </w:rPr>
        <w:t>的实施情况，即填写表9.3过程。</w:t>
      </w:r>
    </w:p>
    <w:p w14:paraId="0CD04A67">
      <w:pPr>
        <w:spacing w:line="219" w:lineRule="auto"/>
        <w:sectPr>
          <w:footerReference r:id="rId455" w:type="default"/>
          <w:pgSz w:w="11910" w:h="17130"/>
          <w:pgMar w:top="1456" w:right="1393" w:bottom="1583" w:left="1069" w:header="0" w:footer="1385" w:gutter="0"/>
          <w:cols w:space="720" w:num="1"/>
        </w:sectPr>
      </w:pPr>
    </w:p>
    <w:p w14:paraId="5D3FC223">
      <w:pPr>
        <w:spacing w:before="134" w:line="223" w:lineRule="auto"/>
        <w:rPr>
          <w:rFonts w:ascii="黑体" w:hAnsi="黑体" w:eastAsia="黑体" w:cs="黑体"/>
          <w:sz w:val="24"/>
          <w:szCs w:val="24"/>
        </w:rPr>
      </w:pPr>
      <w:r>
        <w:rPr>
          <w:rFonts w:ascii="黑体" w:hAnsi="黑体" w:eastAsia="黑体" w:cs="黑体"/>
          <w:spacing w:val="28"/>
          <w:sz w:val="24"/>
          <w:szCs w:val="24"/>
        </w:rPr>
        <w:t>8</w:t>
      </w:r>
      <w:r>
        <w:rPr>
          <w:rFonts w:ascii="黑体" w:hAnsi="黑体" w:eastAsia="黑体" w:cs="黑体"/>
          <w:spacing w:val="29"/>
          <w:sz w:val="24"/>
          <w:szCs w:val="24"/>
        </w:rPr>
        <w:t xml:space="preserve">  </w:t>
      </w:r>
      <w:r>
        <w:rPr>
          <w:rFonts w:ascii="黑体" w:hAnsi="黑体" w:eastAsia="黑体" w:cs="黑体"/>
          <w:spacing w:val="28"/>
          <w:sz w:val="24"/>
          <w:szCs w:val="24"/>
        </w:rPr>
        <w:t>相关信息</w:t>
      </w:r>
    </w:p>
    <w:p w14:paraId="1E0D868C">
      <w:pPr>
        <w:pStyle w:val="2"/>
        <w:spacing w:before="38" w:line="294" w:lineRule="auto"/>
        <w:ind w:right="113" w:firstLine="560"/>
      </w:pPr>
      <w:r>
        <w:rPr>
          <w:spacing w:val="7"/>
        </w:rPr>
        <w:t>通过实施</w:t>
      </w:r>
      <w:r>
        <w:rPr>
          <w:rFonts w:ascii="Times New Roman" w:hAnsi="Times New Roman" w:eastAsia="Times New Roman" w:cs="Times New Roman"/>
        </w:rPr>
        <w:t>FMECA</w:t>
      </w:r>
      <w:r>
        <w:rPr>
          <w:rFonts w:ascii="Times New Roman" w:hAnsi="Times New Roman" w:eastAsia="Times New Roman" w:cs="Times New Roman"/>
          <w:spacing w:val="7"/>
        </w:rPr>
        <w:t xml:space="preserve">  </w:t>
      </w:r>
      <w:r>
        <w:rPr>
          <w:spacing w:val="7"/>
        </w:rPr>
        <w:t>得出的为产品的测试性设计、分析及试验与评价提供的</w:t>
      </w:r>
      <w:r>
        <w:rPr>
          <w:spacing w:val="4"/>
        </w:rPr>
        <w:t xml:space="preserve"> </w:t>
      </w:r>
      <w:r>
        <w:rPr>
          <w:spacing w:val="-3"/>
        </w:rPr>
        <w:t>相关信息。</w:t>
      </w:r>
    </w:p>
    <w:p w14:paraId="6E991D21">
      <w:pPr>
        <w:spacing w:before="1" w:line="220" w:lineRule="auto"/>
        <w:rPr>
          <w:rFonts w:ascii="黑体" w:hAnsi="黑体" w:eastAsia="黑体" w:cs="黑体"/>
          <w:sz w:val="27"/>
          <w:szCs w:val="27"/>
        </w:rPr>
      </w:pPr>
      <w:r>
        <w:rPr>
          <w:rFonts w:ascii="黑体" w:hAnsi="黑体" w:eastAsia="黑体" w:cs="黑体"/>
          <w:spacing w:val="3"/>
          <w:sz w:val="27"/>
          <w:szCs w:val="27"/>
        </w:rPr>
        <w:t>9  与其他工作协调的说明</w:t>
      </w:r>
    </w:p>
    <w:p w14:paraId="73404C48">
      <w:pPr>
        <w:pStyle w:val="2"/>
        <w:spacing w:before="77" w:line="219" w:lineRule="auto"/>
        <w:ind w:left="560"/>
      </w:pPr>
      <w:r>
        <w:rPr>
          <w:spacing w:val="2"/>
        </w:rPr>
        <w:t>本工作与可靠性分析、维修性分析所进行的</w:t>
      </w:r>
      <w:r>
        <w:rPr>
          <w:rFonts w:ascii="Times New Roman" w:hAnsi="Times New Roman" w:eastAsia="Times New Roman" w:cs="Times New Roman"/>
        </w:rPr>
        <w:t>FMECA</w:t>
      </w:r>
      <w:r>
        <w:rPr>
          <w:rFonts w:ascii="Times New Roman" w:hAnsi="Times New Roman" w:eastAsia="Times New Roman" w:cs="Times New Roman"/>
          <w:spacing w:val="2"/>
        </w:rPr>
        <w:t xml:space="preserve">  </w:t>
      </w:r>
      <w:r>
        <w:rPr>
          <w:spacing w:val="2"/>
        </w:rPr>
        <w:t>工作结合的说明。</w:t>
      </w:r>
    </w:p>
    <w:p w14:paraId="538B74D9">
      <w:pPr>
        <w:spacing w:line="315" w:lineRule="auto"/>
        <w:rPr>
          <w:rFonts w:ascii="Arial"/>
          <w:sz w:val="21"/>
        </w:rPr>
      </w:pPr>
    </w:p>
    <w:p w14:paraId="778AB625">
      <w:pPr>
        <w:pStyle w:val="2"/>
        <w:spacing w:before="113" w:line="220" w:lineRule="auto"/>
        <w:ind w:left="2869"/>
        <w:rPr>
          <w:sz w:val="35"/>
          <w:szCs w:val="35"/>
        </w:rPr>
      </w:pPr>
      <w:r>
        <w:rPr>
          <w:spacing w:val="6"/>
          <w:sz w:val="35"/>
          <w:szCs w:val="35"/>
        </w:rPr>
        <w:t>9.10</w:t>
      </w:r>
      <w:r>
        <w:rPr>
          <w:spacing w:val="37"/>
          <w:sz w:val="35"/>
          <w:szCs w:val="35"/>
        </w:rPr>
        <w:t xml:space="preserve">  </w:t>
      </w:r>
      <w:r>
        <w:rPr>
          <w:b/>
          <w:bCs/>
          <w:spacing w:val="6"/>
          <w:sz w:val="35"/>
          <w:szCs w:val="35"/>
        </w:rPr>
        <w:t>测试性设计准则</w:t>
      </w:r>
    </w:p>
    <w:p w14:paraId="58BC1450">
      <w:pPr>
        <w:spacing w:line="333" w:lineRule="auto"/>
        <w:rPr>
          <w:rFonts w:ascii="Arial"/>
          <w:sz w:val="21"/>
        </w:rPr>
      </w:pPr>
    </w:p>
    <w:p w14:paraId="1EE9ADAA">
      <w:pPr>
        <w:pStyle w:val="2"/>
        <w:spacing w:before="92"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3E16FDC4">
      <w:pPr>
        <w:spacing w:before="99"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4"/>
          <w:sz w:val="27"/>
          <w:szCs w:val="27"/>
        </w:rPr>
        <w:t xml:space="preserve">  </w:t>
      </w:r>
      <w:r>
        <w:rPr>
          <w:rFonts w:ascii="黑体" w:hAnsi="黑体" w:eastAsia="黑体" w:cs="黑体"/>
          <w:spacing w:val="-6"/>
          <w:sz w:val="27"/>
          <w:szCs w:val="27"/>
        </w:rPr>
        <w:t>范围</w:t>
      </w:r>
    </w:p>
    <w:p w14:paraId="32C83C4A">
      <w:pPr>
        <w:spacing w:before="71" w:line="222" w:lineRule="auto"/>
        <w:rPr>
          <w:rFonts w:ascii="黑体" w:hAnsi="黑体" w:eastAsia="黑体" w:cs="黑体"/>
          <w:sz w:val="27"/>
          <w:szCs w:val="27"/>
        </w:rPr>
      </w:pPr>
      <w:r>
        <w:rPr>
          <w:rFonts w:ascii="黑体" w:hAnsi="黑体" w:eastAsia="黑体" w:cs="黑体"/>
          <w:spacing w:val="5"/>
          <w:sz w:val="27"/>
          <w:szCs w:val="27"/>
        </w:rPr>
        <w:t>2  引用文件</w:t>
      </w:r>
    </w:p>
    <w:p w14:paraId="2A0289A3">
      <w:pPr>
        <w:spacing w:before="85" w:line="221" w:lineRule="auto"/>
        <w:rPr>
          <w:rFonts w:ascii="黑体" w:hAnsi="黑体" w:eastAsia="黑体" w:cs="黑体"/>
          <w:sz w:val="27"/>
          <w:szCs w:val="27"/>
        </w:rPr>
      </w:pPr>
      <w:r>
        <w:rPr>
          <w:rFonts w:ascii="黑体" w:hAnsi="黑体" w:eastAsia="黑体" w:cs="黑体"/>
          <w:spacing w:val="4"/>
          <w:sz w:val="27"/>
          <w:szCs w:val="27"/>
        </w:rPr>
        <w:t>3  产品概述</w:t>
      </w:r>
    </w:p>
    <w:p w14:paraId="1A67FE55">
      <w:pPr>
        <w:pStyle w:val="2"/>
        <w:spacing w:before="60" w:line="219" w:lineRule="auto"/>
        <w:jc w:val="right"/>
      </w:pPr>
      <w:r>
        <w:rPr>
          <w:spacing w:val="-7"/>
        </w:rPr>
        <w:t>说明产品名称、型号、功能和配套关系；产品合同规定的测试性定性要求等。</w:t>
      </w:r>
    </w:p>
    <w:p w14:paraId="50FB2CE1">
      <w:pPr>
        <w:spacing w:before="117" w:line="221" w:lineRule="auto"/>
        <w:rPr>
          <w:rFonts w:ascii="黑体" w:hAnsi="黑体" w:eastAsia="黑体" w:cs="黑体"/>
          <w:sz w:val="27"/>
          <w:szCs w:val="27"/>
        </w:rPr>
      </w:pPr>
      <w:r>
        <w:rPr>
          <w:rFonts w:ascii="黑体" w:hAnsi="黑体" w:eastAsia="黑体" w:cs="黑体"/>
          <w:spacing w:val="4"/>
          <w:sz w:val="27"/>
          <w:szCs w:val="27"/>
        </w:rPr>
        <w:t>4  测试性设计准则</w:t>
      </w:r>
    </w:p>
    <w:p w14:paraId="7CCC611F">
      <w:pPr>
        <w:pStyle w:val="2"/>
        <w:spacing w:before="77" w:line="280" w:lineRule="auto"/>
        <w:ind w:right="123" w:firstLine="560"/>
        <w:jc w:val="both"/>
      </w:pPr>
      <w:r>
        <w:rPr>
          <w:spacing w:val="19"/>
        </w:rPr>
        <w:t>制定产品的测试性设计准则。测试性设计准则除应包括一般原则(总体</w:t>
      </w:r>
      <w:r>
        <w:rPr>
          <w:spacing w:val="6"/>
        </w:rPr>
        <w:t xml:space="preserve"> </w:t>
      </w:r>
      <w:r>
        <w:rPr>
          <w:spacing w:val="18"/>
        </w:rPr>
        <w:t>要求)外，还应包括产品各组成部分测试性设计的原则或指南。对</w:t>
      </w:r>
      <w:r>
        <w:rPr>
          <w:spacing w:val="17"/>
        </w:rPr>
        <w:t>于具体产</w:t>
      </w:r>
      <w:r>
        <w:t xml:space="preserve"> </w:t>
      </w:r>
      <w:r>
        <w:rPr>
          <w:spacing w:val="14"/>
        </w:rPr>
        <w:t>品，必须依据通用测试性准则和产品特点制定专用</w:t>
      </w:r>
      <w:r>
        <w:rPr>
          <w:spacing w:val="13"/>
        </w:rPr>
        <w:t>测试性设计准则。设计准</w:t>
      </w:r>
      <w:r>
        <w:t xml:space="preserve"> </w:t>
      </w:r>
      <w:r>
        <w:rPr>
          <w:spacing w:val="14"/>
        </w:rPr>
        <w:t>则的拟订，应该考虑能够确保产品在整个寿命周期</w:t>
      </w:r>
      <w:r>
        <w:rPr>
          <w:spacing w:val="13"/>
        </w:rPr>
        <w:t>内使用与维修保障的经济</w:t>
      </w:r>
      <w:r>
        <w:t xml:space="preserve"> </w:t>
      </w:r>
      <w:r>
        <w:rPr>
          <w:spacing w:val="6"/>
        </w:rPr>
        <w:t>有效性。</w:t>
      </w:r>
    </w:p>
    <w:p w14:paraId="429B9B71">
      <w:pPr>
        <w:pStyle w:val="2"/>
        <w:spacing w:before="350" w:line="218" w:lineRule="auto"/>
        <w:ind w:left="2159"/>
        <w:rPr>
          <w:sz w:val="36"/>
          <w:szCs w:val="36"/>
        </w:rPr>
      </w:pPr>
      <w:r>
        <w:rPr>
          <w:spacing w:val="1"/>
          <w:sz w:val="36"/>
          <w:szCs w:val="36"/>
        </w:rPr>
        <w:t>9.11</w:t>
      </w:r>
      <w:r>
        <w:rPr>
          <w:spacing w:val="26"/>
          <w:sz w:val="36"/>
          <w:szCs w:val="36"/>
        </w:rPr>
        <w:t xml:space="preserve">  </w:t>
      </w:r>
      <w:r>
        <w:rPr>
          <w:b/>
          <w:bCs/>
          <w:spacing w:val="1"/>
          <w:sz w:val="36"/>
          <w:szCs w:val="36"/>
        </w:rPr>
        <w:t>固有测试性设计分析报告</w:t>
      </w:r>
    </w:p>
    <w:p w14:paraId="5EE2B8B1">
      <w:pPr>
        <w:spacing w:line="330" w:lineRule="auto"/>
        <w:rPr>
          <w:rFonts w:ascii="Arial"/>
          <w:sz w:val="21"/>
        </w:rPr>
      </w:pPr>
    </w:p>
    <w:p w14:paraId="69E684B1">
      <w:pPr>
        <w:pStyle w:val="2"/>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4EB67BCB">
      <w:pPr>
        <w:spacing w:before="89"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4"/>
          <w:sz w:val="27"/>
          <w:szCs w:val="27"/>
        </w:rPr>
        <w:t xml:space="preserve">  </w:t>
      </w:r>
      <w:r>
        <w:rPr>
          <w:rFonts w:ascii="黑体" w:hAnsi="黑体" w:eastAsia="黑体" w:cs="黑体"/>
          <w:spacing w:val="-6"/>
          <w:sz w:val="27"/>
          <w:szCs w:val="27"/>
        </w:rPr>
        <w:t>范围</w:t>
      </w:r>
    </w:p>
    <w:p w14:paraId="06D2E521">
      <w:pPr>
        <w:spacing w:before="81"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sz w:val="27"/>
          <w:szCs w:val="27"/>
        </w:rPr>
        <w:t>引用文件</w:t>
      </w:r>
    </w:p>
    <w:p w14:paraId="530592C0">
      <w:pPr>
        <w:spacing w:before="85" w:line="221" w:lineRule="auto"/>
        <w:rPr>
          <w:rFonts w:ascii="黑体" w:hAnsi="黑体" w:eastAsia="黑体" w:cs="黑体"/>
          <w:sz w:val="27"/>
          <w:szCs w:val="27"/>
        </w:rPr>
      </w:pPr>
      <w:r>
        <w:rPr>
          <w:rFonts w:ascii="黑体" w:hAnsi="黑体" w:eastAsia="黑体" w:cs="黑体"/>
          <w:spacing w:val="4"/>
          <w:sz w:val="27"/>
          <w:szCs w:val="27"/>
        </w:rPr>
        <w:t>3  产品概述</w:t>
      </w:r>
    </w:p>
    <w:p w14:paraId="04418590">
      <w:pPr>
        <w:pStyle w:val="2"/>
        <w:spacing w:before="89" w:line="280" w:lineRule="auto"/>
        <w:ind w:right="121" w:firstLine="560"/>
      </w:pPr>
      <w:r>
        <w:rPr>
          <w:spacing w:val="-2"/>
        </w:rPr>
        <w:t>说明产品名称、型号、主要功能和配套关系；产</w:t>
      </w:r>
      <w:r>
        <w:rPr>
          <w:spacing w:val="-3"/>
        </w:rPr>
        <w:t>品合同规定的测试性定性要</w:t>
      </w:r>
      <w:r>
        <w:t xml:space="preserve"> </w:t>
      </w:r>
      <w:r>
        <w:rPr>
          <w:spacing w:val="-4"/>
        </w:rPr>
        <w:t>求等。</w:t>
      </w:r>
    </w:p>
    <w:p w14:paraId="534E223E">
      <w:pPr>
        <w:spacing w:before="1" w:line="221" w:lineRule="auto"/>
        <w:rPr>
          <w:rFonts w:ascii="黑体" w:hAnsi="黑体" w:eastAsia="黑体" w:cs="黑体"/>
          <w:sz w:val="27"/>
          <w:szCs w:val="27"/>
        </w:rPr>
      </w:pPr>
      <w:r>
        <w:rPr>
          <w:rFonts w:ascii="黑体" w:hAnsi="黑体" w:eastAsia="黑体" w:cs="黑体"/>
          <w:spacing w:val="3"/>
          <w:sz w:val="27"/>
          <w:szCs w:val="27"/>
        </w:rPr>
        <w:t>4  结构设计情况</w:t>
      </w:r>
    </w:p>
    <w:p w14:paraId="3EB5327B">
      <w:pPr>
        <w:spacing w:before="94" w:line="221" w:lineRule="auto"/>
        <w:rPr>
          <w:rFonts w:ascii="黑体" w:hAnsi="黑体" w:eastAsia="黑体" w:cs="黑体"/>
          <w:sz w:val="27"/>
          <w:szCs w:val="27"/>
        </w:rPr>
      </w:pPr>
      <w:r>
        <w:rPr>
          <w:rFonts w:ascii="黑体" w:hAnsi="黑体" w:eastAsia="黑体" w:cs="黑体"/>
          <w:spacing w:val="4"/>
          <w:sz w:val="27"/>
          <w:szCs w:val="27"/>
        </w:rPr>
        <w:t>4.1</w:t>
      </w:r>
      <w:r>
        <w:rPr>
          <w:rFonts w:ascii="黑体" w:hAnsi="黑体" w:eastAsia="黑体" w:cs="黑体"/>
          <w:spacing w:val="29"/>
          <w:sz w:val="27"/>
          <w:szCs w:val="27"/>
        </w:rPr>
        <w:t xml:space="preserve">  </w:t>
      </w:r>
      <w:r>
        <w:rPr>
          <w:rFonts w:ascii="黑体" w:hAnsi="黑体" w:eastAsia="黑体" w:cs="黑体"/>
          <w:spacing w:val="4"/>
          <w:sz w:val="27"/>
          <w:szCs w:val="27"/>
        </w:rPr>
        <w:t>结构与功能等方面的合理划分</w:t>
      </w:r>
    </w:p>
    <w:p w14:paraId="66446CFC">
      <w:pPr>
        <w:pStyle w:val="2"/>
        <w:spacing w:before="78" w:line="279" w:lineRule="auto"/>
        <w:ind w:right="148" w:firstLine="560"/>
        <w:jc w:val="both"/>
      </w:pPr>
      <w:r>
        <w:rPr>
          <w:spacing w:val="-3"/>
        </w:rPr>
        <w:t>说明产品在结构与功能等方面的合理划分情况。主要包括：1)结构划</w:t>
      </w:r>
      <w:r>
        <w:rPr>
          <w:spacing w:val="-4"/>
        </w:rPr>
        <w:t>分，产</w:t>
      </w:r>
      <w:r>
        <w:t xml:space="preserve"> </w:t>
      </w:r>
      <w:r>
        <w:rPr>
          <w:spacing w:val="4"/>
        </w:rPr>
        <w:t>品结构划分应有利于故障隔离，</w:t>
      </w:r>
      <w:r>
        <w:rPr>
          <w:rFonts w:ascii="Times New Roman" w:hAnsi="Times New Roman" w:eastAsia="Times New Roman" w:cs="Times New Roman"/>
        </w:rPr>
        <w:t>UUT</w:t>
      </w:r>
      <w:r>
        <w:rPr>
          <w:rFonts w:ascii="Times New Roman" w:hAnsi="Times New Roman" w:eastAsia="Times New Roman" w:cs="Times New Roman"/>
          <w:spacing w:val="4"/>
        </w:rPr>
        <w:t xml:space="preserve">  </w:t>
      </w:r>
      <w:r>
        <w:rPr>
          <w:spacing w:val="4"/>
        </w:rPr>
        <w:t>的最大插针数与</w:t>
      </w:r>
      <w:r>
        <w:rPr>
          <w:spacing w:val="-77"/>
        </w:rPr>
        <w:t xml:space="preserve"> </w:t>
      </w:r>
      <w:r>
        <w:rPr>
          <w:rFonts w:ascii="Times New Roman" w:hAnsi="Times New Roman" w:eastAsia="Times New Roman" w:cs="Times New Roman"/>
        </w:rPr>
        <w:t>ATE</w:t>
      </w:r>
      <w:r>
        <w:rPr>
          <w:rFonts w:ascii="Times New Roman" w:hAnsi="Times New Roman" w:eastAsia="Times New Roman" w:cs="Times New Roman"/>
          <w:spacing w:val="4"/>
        </w:rPr>
        <w:t xml:space="preserve">  </w:t>
      </w:r>
      <w:r>
        <w:rPr>
          <w:spacing w:val="4"/>
        </w:rPr>
        <w:t>接口</w:t>
      </w:r>
      <w:r>
        <w:rPr>
          <w:spacing w:val="3"/>
        </w:rPr>
        <w:t>能力应保持一</w:t>
      </w:r>
      <w:r>
        <w:t xml:space="preserve"> </w:t>
      </w:r>
      <w:r>
        <w:rPr>
          <w:spacing w:val="-3"/>
        </w:rPr>
        <w:t>致，在不影响功能划分基础上，尽量将功能不能明确划分的一组电路装在同一个</w:t>
      </w:r>
      <w:r>
        <w:rPr>
          <w:spacing w:val="15"/>
        </w:rPr>
        <w:t xml:space="preserve"> </w:t>
      </w:r>
      <w:r>
        <w:rPr>
          <w:spacing w:val="-2"/>
        </w:rPr>
        <w:t>可更换单元中；2)功能划分，当采用一个可更换</w:t>
      </w:r>
      <w:r>
        <w:rPr>
          <w:spacing w:val="-3"/>
        </w:rPr>
        <w:t>单元实现多个功能时，应保证能</w:t>
      </w:r>
    </w:p>
    <w:p w14:paraId="55E8AA98">
      <w:pPr>
        <w:spacing w:line="279" w:lineRule="auto"/>
        <w:sectPr>
          <w:footerReference r:id="rId456" w:type="default"/>
          <w:pgSz w:w="11910" w:h="17130"/>
          <w:pgMar w:top="1456" w:right="725" w:bottom="1623" w:left="1670" w:header="0" w:footer="1425" w:gutter="0"/>
          <w:cols w:space="720" w:num="1"/>
        </w:sectPr>
      </w:pPr>
    </w:p>
    <w:p w14:paraId="0FA21AB0">
      <w:pPr>
        <w:pStyle w:val="2"/>
        <w:spacing w:before="84" w:line="282" w:lineRule="auto"/>
        <w:ind w:right="143"/>
      </w:pPr>
      <w:r>
        <w:rPr>
          <w:spacing w:val="-3"/>
        </w:rPr>
        <w:t>对每个功能进行单独测试；3)电气划分，应尽量利用阻塞门、三态器件或继电器</w:t>
      </w:r>
      <w:r>
        <w:rPr>
          <w:spacing w:val="8"/>
        </w:rPr>
        <w:t xml:space="preserve"> </w:t>
      </w:r>
      <w:r>
        <w:rPr>
          <w:spacing w:val="-1"/>
        </w:rPr>
        <w:t>等把正在测试的电路同不在测试的电路隔离，以缩短测试时间。</w:t>
      </w:r>
    </w:p>
    <w:p w14:paraId="30C0DF79">
      <w:pPr>
        <w:spacing w:line="221" w:lineRule="auto"/>
        <w:rPr>
          <w:rFonts w:ascii="黑体" w:hAnsi="黑体" w:eastAsia="黑体" w:cs="黑体"/>
          <w:sz w:val="25"/>
          <w:szCs w:val="25"/>
        </w:rPr>
      </w:pPr>
      <w:r>
        <w:rPr>
          <w:rFonts w:ascii="黑体" w:hAnsi="黑体" w:eastAsia="黑体" w:cs="黑体"/>
          <w:spacing w:val="8"/>
          <w:sz w:val="25"/>
          <w:szCs w:val="25"/>
        </w:rPr>
        <w:t>4.2</w:t>
      </w:r>
      <w:r>
        <w:rPr>
          <w:rFonts w:ascii="黑体" w:hAnsi="黑体" w:eastAsia="黑体" w:cs="黑体"/>
          <w:spacing w:val="42"/>
          <w:sz w:val="25"/>
          <w:szCs w:val="25"/>
        </w:rPr>
        <w:t xml:space="preserve">  </w:t>
      </w:r>
      <w:r>
        <w:rPr>
          <w:rFonts w:ascii="黑体" w:hAnsi="黑体" w:eastAsia="黑体" w:cs="黑体"/>
          <w:b/>
          <w:bCs/>
          <w:spacing w:val="8"/>
          <w:sz w:val="25"/>
          <w:szCs w:val="25"/>
        </w:rPr>
        <w:t>初始化</w:t>
      </w:r>
    </w:p>
    <w:p w14:paraId="60C9A63F">
      <w:pPr>
        <w:pStyle w:val="2"/>
        <w:spacing w:before="85" w:line="282" w:lineRule="auto"/>
        <w:ind w:right="111" w:firstLine="570"/>
      </w:pPr>
      <w:r>
        <w:rPr>
          <w:spacing w:val="-3"/>
        </w:rPr>
        <w:t>说明系统或设备的初始状态，它应是能够预置到的一个唯一的初始状态，以</w:t>
      </w:r>
      <w:r>
        <w:rPr>
          <w:spacing w:val="2"/>
        </w:rPr>
        <w:t xml:space="preserve"> </w:t>
      </w:r>
      <w:r>
        <w:rPr>
          <w:spacing w:val="4"/>
        </w:rPr>
        <w:t>保证对给定的故障进行重复测试时能得到相同的响应。</w:t>
      </w:r>
    </w:p>
    <w:p w14:paraId="1B5FA9BB">
      <w:pPr>
        <w:spacing w:line="221"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16"/>
          <w:sz w:val="27"/>
          <w:szCs w:val="27"/>
        </w:rPr>
        <w:t xml:space="preserve">  </w:t>
      </w:r>
      <w:r>
        <w:rPr>
          <w:rFonts w:ascii="黑体" w:hAnsi="黑体" w:eastAsia="黑体" w:cs="黑体"/>
          <w:b/>
          <w:bCs/>
          <w:spacing w:val="1"/>
          <w:sz w:val="27"/>
          <w:szCs w:val="27"/>
        </w:rPr>
        <w:t>模块接口</w:t>
      </w:r>
    </w:p>
    <w:p w14:paraId="1B7D3447">
      <w:pPr>
        <w:pStyle w:val="2"/>
        <w:spacing w:before="82" w:line="278" w:lineRule="auto"/>
        <w:ind w:firstLine="570"/>
        <w:jc w:val="both"/>
      </w:pPr>
      <w:r>
        <w:rPr>
          <w:spacing w:val="8"/>
        </w:rPr>
        <w:t xml:space="preserve">说明模块接口。应尽量使用现有的连接器插针进行测试控制和测试观测， </w:t>
      </w:r>
      <w:r>
        <w:rPr>
          <w:spacing w:val="1"/>
        </w:rPr>
        <w:t>对于高密度的电路和印制电路板，可优先选用多路转换器和移位寄存器等电路，</w:t>
      </w:r>
      <w:r>
        <w:rPr>
          <w:spacing w:val="9"/>
        </w:rPr>
        <w:t xml:space="preserve"> </w:t>
      </w:r>
      <w:r>
        <w:rPr>
          <w:spacing w:val="2"/>
        </w:rPr>
        <w:t>免得增加插针。</w:t>
      </w:r>
    </w:p>
    <w:p w14:paraId="4F519A75">
      <w:pPr>
        <w:spacing w:before="23" w:line="221" w:lineRule="auto"/>
        <w:rPr>
          <w:rFonts w:ascii="黑体" w:hAnsi="黑体" w:eastAsia="黑体" w:cs="黑体"/>
          <w:sz w:val="24"/>
          <w:szCs w:val="24"/>
        </w:rPr>
      </w:pPr>
      <w:r>
        <w:rPr>
          <w:rFonts w:ascii="黑体" w:hAnsi="黑体" w:eastAsia="黑体" w:cs="黑体"/>
          <w:spacing w:val="15"/>
          <w:sz w:val="24"/>
          <w:szCs w:val="24"/>
        </w:rPr>
        <w:t>4.4</w:t>
      </w:r>
      <w:r>
        <w:rPr>
          <w:rFonts w:ascii="黑体" w:hAnsi="黑体" w:eastAsia="黑体" w:cs="黑体"/>
          <w:spacing w:val="55"/>
          <w:sz w:val="24"/>
          <w:szCs w:val="24"/>
        </w:rPr>
        <w:t xml:space="preserve">  </w:t>
      </w:r>
      <w:r>
        <w:rPr>
          <w:rFonts w:ascii="黑体" w:hAnsi="黑体" w:eastAsia="黑体" w:cs="黑体"/>
          <w:b/>
          <w:bCs/>
          <w:spacing w:val="15"/>
          <w:sz w:val="24"/>
          <w:szCs w:val="24"/>
        </w:rPr>
        <w:t>测试控制</w:t>
      </w:r>
    </w:p>
    <w:p w14:paraId="1C6A376C">
      <w:pPr>
        <w:pStyle w:val="2"/>
        <w:spacing w:before="109" w:line="275" w:lineRule="auto"/>
        <w:ind w:right="113" w:firstLine="570"/>
        <w:jc w:val="both"/>
      </w:pPr>
      <w:r>
        <w:rPr>
          <w:spacing w:val="-3"/>
        </w:rPr>
        <w:t>说明测试控制设计情况。应提供专用测试输入信号、数据通路和电路，使测</w:t>
      </w:r>
      <w:r>
        <w:t xml:space="preserve"> </w:t>
      </w:r>
      <w:r>
        <w:rPr>
          <w:rFonts w:ascii="仿宋" w:hAnsi="仿宋" w:eastAsia="仿宋" w:cs="仿宋"/>
          <w:spacing w:val="12"/>
        </w:rPr>
        <w:t>试系统(</w:t>
      </w:r>
      <w:r>
        <w:rPr>
          <w:rFonts w:ascii="仿宋" w:hAnsi="仿宋" w:eastAsia="仿宋" w:cs="仿宋"/>
          <w:spacing w:val="-58"/>
        </w:rPr>
        <w:t xml:space="preserve"> </w:t>
      </w:r>
      <w:r>
        <w:rPr>
          <w:rFonts w:ascii="Times New Roman" w:hAnsi="Times New Roman" w:eastAsia="Times New Roman" w:cs="Times New Roman"/>
        </w:rPr>
        <w:t>BIT</w:t>
      </w:r>
      <w:r>
        <w:rPr>
          <w:rFonts w:ascii="Times New Roman" w:hAnsi="Times New Roman" w:eastAsia="Times New Roman" w:cs="Times New Roman"/>
          <w:spacing w:val="12"/>
        </w:rPr>
        <w:t xml:space="preserve">  </w:t>
      </w:r>
      <w:r>
        <w:rPr>
          <w:rFonts w:ascii="仿宋" w:hAnsi="仿宋" w:eastAsia="仿宋" w:cs="仿宋"/>
          <w:spacing w:val="12"/>
        </w:rPr>
        <w:t xml:space="preserve">和 </w:t>
      </w:r>
      <w:r>
        <w:rPr>
          <w:rFonts w:ascii="Times New Roman" w:hAnsi="Times New Roman" w:eastAsia="Times New Roman" w:cs="Times New Roman"/>
        </w:rPr>
        <w:t>ATE</w:t>
      </w:r>
      <w:r>
        <w:rPr>
          <w:rFonts w:ascii="Times New Roman" w:hAnsi="Times New Roman" w:eastAsia="Times New Roman" w:cs="Times New Roman"/>
          <w:spacing w:val="12"/>
        </w:rPr>
        <w:t xml:space="preserve">)  </w:t>
      </w:r>
      <w:r>
        <w:rPr>
          <w:rFonts w:ascii="仿宋" w:hAnsi="仿宋" w:eastAsia="仿宋" w:cs="仿宋"/>
          <w:spacing w:val="12"/>
        </w:rPr>
        <w:t>能够控制产品内部的元器件工作，来检测和隔离内部</w:t>
      </w:r>
      <w:r>
        <w:rPr>
          <w:rFonts w:ascii="仿宋" w:hAnsi="仿宋" w:eastAsia="仿宋" w:cs="仿宋"/>
        </w:rPr>
        <w:t xml:space="preserve"> </w:t>
      </w:r>
      <w:r>
        <w:rPr>
          <w:spacing w:val="-4"/>
        </w:rPr>
        <w:t>故障。</w:t>
      </w:r>
    </w:p>
    <w:p w14:paraId="11EBC730">
      <w:pPr>
        <w:spacing w:before="27" w:line="221" w:lineRule="auto"/>
        <w:rPr>
          <w:rFonts w:ascii="黑体" w:hAnsi="黑体" w:eastAsia="黑体" w:cs="黑体"/>
          <w:sz w:val="24"/>
          <w:szCs w:val="24"/>
        </w:rPr>
      </w:pPr>
      <w:r>
        <w:rPr>
          <w:rFonts w:ascii="黑体" w:hAnsi="黑体" w:eastAsia="黑体" w:cs="黑体"/>
          <w:spacing w:val="15"/>
          <w:sz w:val="24"/>
          <w:szCs w:val="24"/>
        </w:rPr>
        <w:t>4.5</w:t>
      </w:r>
      <w:r>
        <w:rPr>
          <w:rFonts w:ascii="黑体" w:hAnsi="黑体" w:eastAsia="黑体" w:cs="黑体"/>
          <w:spacing w:val="54"/>
          <w:sz w:val="24"/>
          <w:szCs w:val="24"/>
        </w:rPr>
        <w:t xml:space="preserve">  </w:t>
      </w:r>
      <w:r>
        <w:rPr>
          <w:rFonts w:ascii="黑体" w:hAnsi="黑体" w:eastAsia="黑体" w:cs="黑体"/>
          <w:b/>
          <w:bCs/>
          <w:spacing w:val="15"/>
          <w:sz w:val="24"/>
          <w:szCs w:val="24"/>
        </w:rPr>
        <w:t>测试观测</w:t>
      </w:r>
    </w:p>
    <w:p w14:paraId="1735C845">
      <w:pPr>
        <w:pStyle w:val="2"/>
        <w:spacing w:before="98" w:line="276" w:lineRule="auto"/>
        <w:ind w:right="20" w:firstLine="570"/>
        <w:jc w:val="both"/>
      </w:pPr>
      <w:r>
        <w:rPr>
          <w:spacing w:val="14"/>
        </w:rPr>
        <w:t>说明测试观测设计情况。即提供测试点、数据通路和电路，使测</w:t>
      </w:r>
      <w:r>
        <w:rPr>
          <w:spacing w:val="13"/>
        </w:rPr>
        <w:t>试系统</w:t>
      </w:r>
      <w:r>
        <w:t xml:space="preserve"> (</w:t>
      </w:r>
      <w:r>
        <w:rPr>
          <w:rFonts w:ascii="Times New Roman" w:hAnsi="Times New Roman" w:eastAsia="Times New Roman" w:cs="Times New Roman"/>
        </w:rPr>
        <w:t>BIT</w:t>
      </w:r>
      <w:r>
        <w:rPr>
          <w:rFonts w:ascii="Times New Roman" w:hAnsi="Times New Roman" w:eastAsia="Times New Roman" w:cs="Times New Roman"/>
          <w:spacing w:val="74"/>
        </w:rPr>
        <w:t xml:space="preserve"> </w:t>
      </w:r>
      <w:r>
        <w:t>和</w:t>
      </w:r>
      <w:r>
        <w:rPr>
          <w:spacing w:val="-44"/>
        </w:rPr>
        <w:t xml:space="preserve"> </w:t>
      </w:r>
      <w:r>
        <w:rPr>
          <w:rFonts w:ascii="Times New Roman" w:hAnsi="Times New Roman" w:eastAsia="Times New Roman" w:cs="Times New Roman"/>
        </w:rPr>
        <w:t>ATE)</w:t>
      </w:r>
      <w:r>
        <w:rPr>
          <w:rFonts w:ascii="Times New Roman" w:hAnsi="Times New Roman" w:eastAsia="Times New Roman" w:cs="Times New Roman"/>
          <w:spacing w:val="41"/>
        </w:rPr>
        <w:t xml:space="preserve"> </w:t>
      </w:r>
      <w:r>
        <w:t xml:space="preserve">能观测产品内部故障的特征数据，用于故障检测和隔离。对高密  </w:t>
      </w:r>
      <w:r>
        <w:rPr>
          <w:spacing w:val="7"/>
        </w:rPr>
        <w:t>度电路尤其是采用</w:t>
      </w:r>
      <w:r>
        <w:rPr>
          <w:rFonts w:ascii="Times New Roman" w:hAnsi="Times New Roman" w:eastAsia="Times New Roman" w:cs="Times New Roman"/>
        </w:rPr>
        <w:t>BGA</w:t>
      </w:r>
      <w:r>
        <w:rPr>
          <w:rFonts w:ascii="Times New Roman" w:hAnsi="Times New Roman" w:eastAsia="Times New Roman" w:cs="Times New Roman"/>
          <w:spacing w:val="37"/>
        </w:rPr>
        <w:t xml:space="preserve"> </w:t>
      </w:r>
      <w:r>
        <w:rPr>
          <w:spacing w:val="7"/>
        </w:rPr>
        <w:t>封装器件的电路板，鼓励采用边界扫描(</w:t>
      </w:r>
      <w:r>
        <w:rPr>
          <w:rFonts w:ascii="Times New Roman" w:hAnsi="Times New Roman" w:eastAsia="Times New Roman" w:cs="Times New Roman"/>
        </w:rPr>
        <w:t>JTAG</w:t>
      </w:r>
      <w:r>
        <w:rPr>
          <w:rFonts w:ascii="Times New Roman" w:hAnsi="Times New Roman" w:eastAsia="Times New Roman" w:cs="Times New Roman"/>
          <w:spacing w:val="7"/>
        </w:rPr>
        <w:t>)</w:t>
      </w:r>
      <w:r>
        <w:rPr>
          <w:rFonts w:ascii="Times New Roman" w:hAnsi="Times New Roman" w:eastAsia="Times New Roman" w:cs="Times New Roman"/>
          <w:spacing w:val="6"/>
        </w:rPr>
        <w:t xml:space="preserve">  </w:t>
      </w:r>
      <w:r>
        <w:rPr>
          <w:spacing w:val="6"/>
        </w:rPr>
        <w:t>技术，</w:t>
      </w:r>
      <w:r>
        <w:t xml:space="preserve"> </w:t>
      </w:r>
      <w:r>
        <w:rPr>
          <w:spacing w:val="3"/>
        </w:rPr>
        <w:t>以提高测试覆盖率及故障定位的准确性。</w:t>
      </w:r>
    </w:p>
    <w:p w14:paraId="4B8C5FA3">
      <w:pPr>
        <w:spacing w:before="11" w:line="222" w:lineRule="auto"/>
        <w:rPr>
          <w:rFonts w:ascii="黑体" w:hAnsi="黑体" w:eastAsia="黑体" w:cs="黑体"/>
          <w:sz w:val="27"/>
          <w:szCs w:val="27"/>
        </w:rPr>
      </w:pPr>
      <w:r>
        <w:rPr>
          <w:rFonts w:ascii="黑体" w:hAnsi="黑体" w:eastAsia="黑体" w:cs="黑体"/>
          <w:sz w:val="27"/>
          <w:szCs w:val="27"/>
        </w:rPr>
        <w:t>4.6</w:t>
      </w:r>
      <w:r>
        <w:rPr>
          <w:rFonts w:ascii="黑体" w:hAnsi="黑体" w:eastAsia="黑体" w:cs="黑体"/>
          <w:spacing w:val="18"/>
          <w:sz w:val="27"/>
          <w:szCs w:val="27"/>
        </w:rPr>
        <w:t xml:space="preserve">  </w:t>
      </w:r>
      <w:r>
        <w:rPr>
          <w:rFonts w:ascii="黑体" w:hAnsi="黑体" w:eastAsia="黑体" w:cs="黑体"/>
          <w:b/>
          <w:bCs/>
          <w:sz w:val="27"/>
          <w:szCs w:val="27"/>
        </w:rPr>
        <w:t>元器件选择</w:t>
      </w:r>
    </w:p>
    <w:p w14:paraId="22793537">
      <w:pPr>
        <w:pStyle w:val="2"/>
        <w:spacing w:before="113" w:line="274" w:lineRule="auto"/>
        <w:ind w:firstLine="570"/>
        <w:jc w:val="both"/>
      </w:pPr>
      <w:r>
        <w:rPr>
          <w:spacing w:val="5"/>
        </w:rPr>
        <w:t>制定元器件选择原则，说明设计中元器件的具体选择情况。在选择能满足</w:t>
      </w:r>
      <w:r>
        <w:t xml:space="preserve">  </w:t>
      </w:r>
      <w:r>
        <w:rPr>
          <w:spacing w:val="1"/>
        </w:rPr>
        <w:t>性能要求的元器件时，应优先选用具有满意的测试性特征的集成电路或组装件，</w:t>
      </w:r>
      <w:r>
        <w:rPr>
          <w:spacing w:val="9"/>
        </w:rPr>
        <w:t xml:space="preserve"> </w:t>
      </w:r>
      <w:r>
        <w:rPr>
          <w:spacing w:val="-1"/>
        </w:rPr>
        <w:t>同时，优先考虑那些内部结构和故障模式已充分暴露的集成电路。</w:t>
      </w:r>
    </w:p>
    <w:p w14:paraId="1AA0ABBB">
      <w:pPr>
        <w:spacing w:before="1" w:line="220"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4"/>
          <w:sz w:val="27"/>
          <w:szCs w:val="27"/>
        </w:rPr>
        <w:t xml:space="preserve">   </w:t>
      </w:r>
      <w:r>
        <w:rPr>
          <w:rFonts w:ascii="黑体" w:hAnsi="黑体" w:eastAsia="黑体" w:cs="黑体"/>
          <w:b/>
          <w:bCs/>
          <w:sz w:val="27"/>
          <w:szCs w:val="27"/>
        </w:rPr>
        <w:t>诊断体系结构设计情况</w:t>
      </w:r>
    </w:p>
    <w:p w14:paraId="5E7F1B9C">
      <w:pPr>
        <w:pStyle w:val="2"/>
        <w:spacing w:before="102" w:line="219" w:lineRule="auto"/>
        <w:ind w:left="570"/>
      </w:pPr>
      <w:r>
        <w:rPr>
          <w:spacing w:val="5"/>
        </w:rPr>
        <w:t>说明诊断体系结构设计情况。重点是测试点布</w:t>
      </w:r>
      <w:r>
        <w:rPr>
          <w:spacing w:val="4"/>
        </w:rPr>
        <w:t>局和嵌入式诊断的结构。</w:t>
      </w:r>
    </w:p>
    <w:p w14:paraId="60931429">
      <w:pPr>
        <w:spacing w:before="84" w:line="221" w:lineRule="auto"/>
        <w:rPr>
          <w:rFonts w:ascii="黑体" w:hAnsi="黑体" w:eastAsia="黑体" w:cs="黑体"/>
          <w:sz w:val="25"/>
          <w:szCs w:val="25"/>
        </w:rPr>
      </w:pPr>
      <w:r>
        <w:rPr>
          <w:rFonts w:ascii="黑体" w:hAnsi="黑体" w:eastAsia="黑体" w:cs="黑体"/>
          <w:spacing w:val="11"/>
          <w:sz w:val="25"/>
          <w:szCs w:val="25"/>
        </w:rPr>
        <w:t>5.1</w:t>
      </w:r>
      <w:r>
        <w:rPr>
          <w:rFonts w:ascii="黑体" w:hAnsi="黑体" w:eastAsia="黑体" w:cs="黑体"/>
          <w:spacing w:val="42"/>
          <w:sz w:val="25"/>
          <w:szCs w:val="25"/>
        </w:rPr>
        <w:t xml:space="preserve">  </w:t>
      </w:r>
      <w:r>
        <w:rPr>
          <w:rFonts w:ascii="黑体" w:hAnsi="黑体" w:eastAsia="黑体" w:cs="黑体"/>
          <w:b/>
          <w:bCs/>
          <w:spacing w:val="11"/>
          <w:sz w:val="25"/>
          <w:szCs w:val="25"/>
        </w:rPr>
        <w:t>测试点布局</w:t>
      </w:r>
    </w:p>
    <w:p w14:paraId="01328E75">
      <w:pPr>
        <w:pStyle w:val="2"/>
        <w:spacing w:before="106" w:line="267" w:lineRule="auto"/>
        <w:ind w:right="117" w:firstLine="570"/>
      </w:pPr>
      <w:r>
        <w:rPr>
          <w:spacing w:val="7"/>
        </w:rPr>
        <w:t>说明设计中测试点布局情况。选择</w:t>
      </w:r>
      <w:r>
        <w:rPr>
          <w:spacing w:val="-65"/>
        </w:rPr>
        <w:t xml:space="preserve"> </w:t>
      </w:r>
      <w:r>
        <w:rPr>
          <w:rFonts w:ascii="Times New Roman" w:hAnsi="Times New Roman" w:eastAsia="Times New Roman" w:cs="Times New Roman"/>
        </w:rPr>
        <w:t>UUT</w:t>
      </w:r>
      <w:r>
        <w:rPr>
          <w:rFonts w:ascii="Times New Roman" w:hAnsi="Times New Roman" w:eastAsia="Times New Roman" w:cs="Times New Roman"/>
          <w:spacing w:val="7"/>
        </w:rPr>
        <w:t xml:space="preserve">  </w:t>
      </w:r>
      <w:r>
        <w:rPr>
          <w:spacing w:val="7"/>
        </w:rPr>
        <w:t>测试点的数目和位置时，应以下</w:t>
      </w:r>
      <w:r>
        <w:t xml:space="preserve"> </w:t>
      </w:r>
      <w:r>
        <w:rPr>
          <w:spacing w:val="2"/>
        </w:rPr>
        <w:t>述内容为依据：</w:t>
      </w:r>
    </w:p>
    <w:p w14:paraId="2FCB2398">
      <w:pPr>
        <w:pStyle w:val="2"/>
        <w:spacing w:line="212" w:lineRule="auto"/>
        <w:ind w:left="570"/>
      </w:pPr>
      <w:r>
        <w:rPr>
          <w:rFonts w:ascii="Times New Roman" w:hAnsi="Times New Roman" w:eastAsia="Times New Roman" w:cs="Times New Roman"/>
          <w:spacing w:val="2"/>
        </w:rPr>
        <w:t>a)</w:t>
      </w:r>
      <w:r>
        <w:rPr>
          <w:rFonts w:ascii="Times New Roman" w:hAnsi="Times New Roman" w:eastAsia="Times New Roman" w:cs="Times New Roman"/>
          <w:spacing w:val="64"/>
          <w:w w:val="101"/>
        </w:rPr>
        <w:t xml:space="preserve"> </w:t>
      </w:r>
      <w:r>
        <w:rPr>
          <w:spacing w:val="2"/>
        </w:rPr>
        <w:t>根据故障隔离要求选择测试点；</w:t>
      </w:r>
    </w:p>
    <w:p w14:paraId="6EC4C5C9">
      <w:pPr>
        <w:pStyle w:val="2"/>
        <w:spacing w:before="129" w:line="249" w:lineRule="auto"/>
        <w:ind w:right="116" w:firstLine="570"/>
      </w:pPr>
      <w:r>
        <w:rPr>
          <w:rFonts w:ascii="Times New Roman" w:hAnsi="Times New Roman" w:eastAsia="Times New Roman" w:cs="Times New Roman"/>
          <w:spacing w:val="40"/>
        </w:rPr>
        <w:t>b)</w:t>
      </w:r>
      <w:r>
        <w:rPr>
          <w:rFonts w:ascii="Times New Roman" w:hAnsi="Times New Roman" w:eastAsia="Times New Roman" w:cs="Times New Roman"/>
          <w:spacing w:val="65"/>
        </w:rPr>
        <w:t xml:space="preserve"> </w:t>
      </w:r>
      <w:r>
        <w:rPr>
          <w:spacing w:val="40"/>
        </w:rPr>
        <w:t>选择的测试点能方便地通过系统或设备的插头或测试插头连到</w:t>
      </w:r>
      <w:r>
        <w:t xml:space="preserve"> </w:t>
      </w:r>
      <w:r>
        <w:rPr>
          <w:rFonts w:ascii="Times New Roman" w:hAnsi="Times New Roman" w:eastAsia="Times New Roman" w:cs="Times New Roman"/>
          <w:spacing w:val="-3"/>
        </w:rPr>
        <w:t xml:space="preserve">ATE  </w:t>
      </w:r>
      <w:r>
        <w:rPr>
          <w:spacing w:val="-3"/>
        </w:rPr>
        <w:t>上；</w:t>
      </w:r>
    </w:p>
    <w:p w14:paraId="4FB98618">
      <w:pPr>
        <w:pStyle w:val="2"/>
        <w:spacing w:before="93" w:line="212" w:lineRule="auto"/>
        <w:ind w:left="570"/>
      </w:pPr>
      <w:r>
        <w:rPr>
          <w:rFonts w:ascii="Times New Roman" w:hAnsi="Times New Roman" w:eastAsia="Times New Roman" w:cs="Times New Roman"/>
          <w:spacing w:val="-1"/>
        </w:rPr>
        <w:t>c)</w:t>
      </w:r>
      <w:r>
        <w:rPr>
          <w:rFonts w:ascii="Times New Roman" w:hAnsi="Times New Roman" w:eastAsia="Times New Roman" w:cs="Times New Roman"/>
          <w:spacing w:val="62"/>
        </w:rPr>
        <w:t xml:space="preserve"> </w:t>
      </w:r>
      <w:r>
        <w:rPr>
          <w:spacing w:val="-1"/>
        </w:rPr>
        <w:t>选择测试点时，对高电压和大电流的测量要</w:t>
      </w:r>
      <w:r>
        <w:rPr>
          <w:spacing w:val="-2"/>
        </w:rPr>
        <w:t>符合安全要求；</w:t>
      </w:r>
    </w:p>
    <w:p w14:paraId="58487CD7">
      <w:pPr>
        <w:pStyle w:val="2"/>
        <w:spacing w:before="80" w:line="212" w:lineRule="auto"/>
        <w:ind w:left="570"/>
      </w:pPr>
      <w:r>
        <w:rPr>
          <w:rFonts w:ascii="Times New Roman" w:hAnsi="Times New Roman" w:eastAsia="Times New Roman" w:cs="Times New Roman"/>
          <w:spacing w:val="4"/>
        </w:rPr>
        <w:t>d)</w:t>
      </w:r>
      <w:r>
        <w:rPr>
          <w:rFonts w:ascii="Times New Roman" w:hAnsi="Times New Roman" w:eastAsia="Times New Roman" w:cs="Times New Roman"/>
          <w:spacing w:val="67"/>
          <w:w w:val="101"/>
        </w:rPr>
        <w:t xml:space="preserve"> </w:t>
      </w:r>
      <w:r>
        <w:rPr>
          <w:spacing w:val="4"/>
        </w:rPr>
        <w:t>测试点的测量值应以设备的公共地为基准；</w:t>
      </w:r>
    </w:p>
    <w:p w14:paraId="3F7F615C">
      <w:pPr>
        <w:pStyle w:val="2"/>
        <w:spacing w:before="80" w:line="256" w:lineRule="auto"/>
        <w:ind w:firstLine="570"/>
      </w:pPr>
      <w:r>
        <w:rPr>
          <w:rFonts w:ascii="Times New Roman" w:hAnsi="Times New Roman" w:eastAsia="Times New Roman" w:cs="Times New Roman"/>
          <w:spacing w:val="5"/>
        </w:rPr>
        <w:t>e)</w:t>
      </w:r>
      <w:r>
        <w:rPr>
          <w:rFonts w:ascii="Times New Roman" w:hAnsi="Times New Roman" w:eastAsia="Times New Roman" w:cs="Times New Roman"/>
          <w:spacing w:val="75"/>
          <w:w w:val="101"/>
        </w:rPr>
        <w:t xml:space="preserve"> </w:t>
      </w:r>
      <w:r>
        <w:rPr>
          <w:spacing w:val="5"/>
        </w:rPr>
        <w:t>应消除测试点与</w:t>
      </w:r>
      <w:r>
        <w:rPr>
          <w:rFonts w:ascii="Times New Roman" w:hAnsi="Times New Roman" w:eastAsia="Times New Roman" w:cs="Times New Roman"/>
        </w:rPr>
        <w:t>ATE</w:t>
      </w:r>
      <w:r>
        <w:rPr>
          <w:rFonts w:ascii="Times New Roman" w:hAnsi="Times New Roman" w:eastAsia="Times New Roman" w:cs="Times New Roman"/>
          <w:spacing w:val="5"/>
        </w:rPr>
        <w:t xml:space="preserve">  </w:t>
      </w:r>
      <w:r>
        <w:rPr>
          <w:spacing w:val="5"/>
        </w:rPr>
        <w:t>之间的相互影响，以保证设备连接到</w:t>
      </w:r>
      <w:r>
        <w:rPr>
          <w:spacing w:val="-64"/>
        </w:rPr>
        <w:t xml:space="preserve"> </w:t>
      </w:r>
      <w:r>
        <w:rPr>
          <w:rFonts w:ascii="Times New Roman" w:hAnsi="Times New Roman" w:eastAsia="Times New Roman" w:cs="Times New Roman"/>
        </w:rPr>
        <w:t>ATE</w:t>
      </w:r>
      <w:r>
        <w:rPr>
          <w:rFonts w:ascii="Times New Roman" w:hAnsi="Times New Roman" w:eastAsia="Times New Roman" w:cs="Times New Roman"/>
          <w:spacing w:val="5"/>
        </w:rPr>
        <w:t xml:space="preserve">  </w:t>
      </w:r>
      <w:r>
        <w:rPr>
          <w:spacing w:val="5"/>
        </w:rPr>
        <w:t>上后，</w:t>
      </w:r>
      <w:r>
        <w:t xml:space="preserve"> </w:t>
      </w:r>
      <w:r>
        <w:rPr>
          <w:spacing w:val="2"/>
        </w:rPr>
        <w:t>性能不会降低；</w:t>
      </w:r>
    </w:p>
    <w:p w14:paraId="5D37696A">
      <w:pPr>
        <w:spacing w:line="256" w:lineRule="auto"/>
        <w:sectPr>
          <w:footerReference r:id="rId457" w:type="default"/>
          <w:pgSz w:w="11910" w:h="17130"/>
          <w:pgMar w:top="1456" w:right="1424" w:bottom="1643" w:left="989" w:header="0" w:footer="1444" w:gutter="0"/>
          <w:cols w:space="720" w:num="1"/>
        </w:sectPr>
      </w:pPr>
    </w:p>
    <w:p w14:paraId="4527BDEA">
      <w:pPr>
        <w:pStyle w:val="2"/>
        <w:spacing w:before="64" w:line="212" w:lineRule="auto"/>
        <w:ind w:left="550"/>
      </w:pPr>
      <w:r>
        <w:rPr>
          <w:rFonts w:ascii="Times New Roman" w:hAnsi="Times New Roman" w:eastAsia="Times New Roman" w:cs="Times New Roman"/>
          <w:spacing w:val="4"/>
        </w:rPr>
        <w:t xml:space="preserve">f)  </w:t>
      </w:r>
      <w:r>
        <w:rPr>
          <w:spacing w:val="4"/>
        </w:rPr>
        <w:t>高电压或大电流的测试点在结构上要同低电平信号的测试点隔离；</w:t>
      </w:r>
    </w:p>
    <w:p w14:paraId="73CDF3F8">
      <w:pPr>
        <w:pStyle w:val="2"/>
        <w:spacing w:before="129" w:line="212" w:lineRule="auto"/>
        <w:ind w:left="550"/>
      </w:pPr>
      <w:r>
        <w:rPr>
          <w:rFonts w:ascii="Times New Roman" w:hAnsi="Times New Roman" w:eastAsia="Times New Roman" w:cs="Times New Roman"/>
          <w:spacing w:val="-1"/>
        </w:rPr>
        <w:t xml:space="preserve">g)  </w:t>
      </w:r>
      <w:r>
        <w:rPr>
          <w:spacing w:val="-1"/>
        </w:rPr>
        <w:t>选择测试点时，应符合</w:t>
      </w:r>
      <w:r>
        <w:rPr>
          <w:spacing w:val="-59"/>
        </w:rPr>
        <w:t xml:space="preserve"> </w:t>
      </w:r>
      <w:r>
        <w:rPr>
          <w:rFonts w:ascii="Times New Roman" w:hAnsi="Times New Roman" w:eastAsia="Times New Roman" w:cs="Times New Roman"/>
          <w:spacing w:val="-1"/>
        </w:rPr>
        <w:t xml:space="preserve">ATE  </w:t>
      </w:r>
      <w:r>
        <w:rPr>
          <w:spacing w:val="-1"/>
        </w:rPr>
        <w:t>合理的频率要求及测量精度；</w:t>
      </w:r>
    </w:p>
    <w:p w14:paraId="1576BF38">
      <w:pPr>
        <w:pStyle w:val="2"/>
        <w:spacing w:before="60" w:line="212" w:lineRule="auto"/>
        <w:ind w:left="550"/>
      </w:pPr>
      <w:r>
        <w:rPr>
          <w:rFonts w:ascii="Times New Roman" w:hAnsi="Times New Roman" w:eastAsia="Times New Roman" w:cs="Times New Roman"/>
        </w:rPr>
        <w:t>h)</w:t>
      </w:r>
      <w:r>
        <w:rPr>
          <w:rFonts w:ascii="Times New Roman" w:hAnsi="Times New Roman" w:eastAsia="Times New Roman" w:cs="Times New Roman"/>
          <w:spacing w:val="61"/>
          <w:w w:val="101"/>
        </w:rPr>
        <w:t xml:space="preserve"> </w:t>
      </w:r>
      <w:r>
        <w:t>数字电路和模拟电路应分别设置测试连接器，便于独立测试。</w:t>
      </w:r>
    </w:p>
    <w:p w14:paraId="69B7E7A0">
      <w:pPr>
        <w:spacing w:before="118" w:line="222" w:lineRule="auto"/>
        <w:rPr>
          <w:rFonts w:ascii="黑体" w:hAnsi="黑体" w:eastAsia="黑体" w:cs="黑体"/>
          <w:sz w:val="27"/>
          <w:szCs w:val="27"/>
        </w:rPr>
      </w:pPr>
      <w:r>
        <w:rPr>
          <w:rFonts w:ascii="Times New Roman" w:hAnsi="Times New Roman" w:eastAsia="Times New Roman" w:cs="Times New Roman"/>
          <w:b/>
          <w:bCs/>
          <w:sz w:val="27"/>
          <w:szCs w:val="27"/>
        </w:rPr>
        <w:t>5.2</w:t>
      </w:r>
      <w:r>
        <w:rPr>
          <w:rFonts w:ascii="Times New Roman" w:hAnsi="Times New Roman" w:eastAsia="Times New Roman" w:cs="Times New Roman"/>
          <w:b/>
          <w:bCs/>
          <w:spacing w:val="4"/>
          <w:sz w:val="27"/>
          <w:szCs w:val="27"/>
        </w:rPr>
        <w:t xml:space="preserve">     </w:t>
      </w:r>
      <w:r>
        <w:rPr>
          <w:rFonts w:ascii="Times New Roman" w:hAnsi="Times New Roman" w:eastAsia="Times New Roman" w:cs="Times New Roman"/>
          <w:b/>
          <w:bCs/>
          <w:sz w:val="27"/>
          <w:szCs w:val="27"/>
        </w:rPr>
        <w:t xml:space="preserve">BIT </w:t>
      </w:r>
      <w:r>
        <w:rPr>
          <w:rFonts w:ascii="黑体" w:hAnsi="黑体" w:eastAsia="黑体" w:cs="黑体"/>
          <w:sz w:val="27"/>
          <w:szCs w:val="27"/>
        </w:rPr>
        <w:t>结构设计</w:t>
      </w:r>
    </w:p>
    <w:p w14:paraId="1F0E2944">
      <w:pPr>
        <w:pStyle w:val="2"/>
        <w:spacing w:before="88" w:line="270" w:lineRule="auto"/>
        <w:ind w:right="107" w:firstLine="550"/>
        <w:jc w:val="both"/>
      </w:pPr>
      <w:r>
        <w:rPr>
          <w:spacing w:val="6"/>
        </w:rPr>
        <w:t>说明</w:t>
      </w:r>
      <w:r>
        <w:rPr>
          <w:rFonts w:ascii="Times New Roman" w:hAnsi="Times New Roman" w:eastAsia="Times New Roman" w:cs="Times New Roman"/>
        </w:rPr>
        <w:t>BIT</w:t>
      </w:r>
      <w:r>
        <w:rPr>
          <w:rFonts w:ascii="Times New Roman" w:hAnsi="Times New Roman" w:eastAsia="Times New Roman" w:cs="Times New Roman"/>
          <w:spacing w:val="32"/>
        </w:rPr>
        <w:t xml:space="preserve"> </w:t>
      </w:r>
      <w:r>
        <w:rPr>
          <w:spacing w:val="6"/>
        </w:rPr>
        <w:t>结构设计。重点是确定</w:t>
      </w:r>
      <w:r>
        <w:rPr>
          <w:spacing w:val="-53"/>
        </w:rPr>
        <w:t xml:space="preserve"> </w:t>
      </w:r>
      <w:r>
        <w:rPr>
          <w:rFonts w:ascii="Times New Roman" w:hAnsi="Times New Roman" w:eastAsia="Times New Roman" w:cs="Times New Roman"/>
        </w:rPr>
        <w:t>BIT</w:t>
      </w:r>
      <w:r>
        <w:rPr>
          <w:rFonts w:ascii="Times New Roman" w:hAnsi="Times New Roman" w:eastAsia="Times New Roman" w:cs="Times New Roman"/>
          <w:spacing w:val="6"/>
        </w:rPr>
        <w:t xml:space="preserve">  </w:t>
      </w:r>
      <w:r>
        <w:rPr>
          <w:spacing w:val="6"/>
        </w:rPr>
        <w:t>配置，即哪些系统、设备、</w:t>
      </w:r>
      <w:r>
        <w:rPr>
          <w:rFonts w:ascii="Times New Roman" w:hAnsi="Times New Roman" w:eastAsia="Times New Roman" w:cs="Times New Roman"/>
        </w:rPr>
        <w:t>LRU</w:t>
      </w:r>
      <w:r>
        <w:rPr>
          <w:rFonts w:ascii="Times New Roman" w:hAnsi="Times New Roman" w:eastAsia="Times New Roman" w:cs="Times New Roman"/>
          <w:spacing w:val="6"/>
        </w:rPr>
        <w:t xml:space="preserve">  </w:t>
      </w:r>
      <w:r>
        <w:rPr>
          <w:spacing w:val="6"/>
        </w:rPr>
        <w:t>或</w:t>
      </w:r>
      <w:r>
        <w:t xml:space="preserve"> </w:t>
      </w:r>
      <w:r>
        <w:rPr>
          <w:rFonts w:ascii="Times New Roman" w:hAnsi="Times New Roman" w:eastAsia="Times New Roman" w:cs="Times New Roman"/>
        </w:rPr>
        <w:t>LRM</w:t>
      </w:r>
      <w:r>
        <w:rPr>
          <w:rFonts w:ascii="Times New Roman" w:hAnsi="Times New Roman" w:eastAsia="Times New Roman" w:cs="Times New Roman"/>
          <w:spacing w:val="26"/>
          <w:w w:val="101"/>
        </w:rPr>
        <w:t xml:space="preserve"> </w:t>
      </w:r>
      <w:r>
        <w:rPr>
          <w:rFonts w:ascii="仿宋" w:hAnsi="仿宋" w:eastAsia="仿宋" w:cs="仿宋"/>
          <w:spacing w:val="7"/>
        </w:rPr>
        <w:t>设置</w:t>
      </w:r>
      <w:r>
        <w:rPr>
          <w:rFonts w:ascii="Times New Roman" w:hAnsi="Times New Roman" w:eastAsia="Times New Roman" w:cs="Times New Roman"/>
        </w:rPr>
        <w:t>BIT</w:t>
      </w:r>
      <w:r>
        <w:rPr>
          <w:rFonts w:ascii="Times New Roman" w:hAnsi="Times New Roman" w:eastAsia="Times New Roman" w:cs="Times New Roman"/>
          <w:spacing w:val="7"/>
        </w:rPr>
        <w:t>,</w:t>
      </w:r>
      <w:r>
        <w:rPr>
          <w:rFonts w:ascii="Times New Roman" w:hAnsi="Times New Roman" w:eastAsia="Times New Roman" w:cs="Times New Roman"/>
          <w:spacing w:val="45"/>
        </w:rPr>
        <w:t xml:space="preserve"> </w:t>
      </w:r>
      <w:r>
        <w:rPr>
          <w:rFonts w:ascii="仿宋" w:hAnsi="仿宋" w:eastAsia="仿宋" w:cs="仿宋"/>
          <w:spacing w:val="7"/>
        </w:rPr>
        <w:t>确</w:t>
      </w:r>
      <w:r>
        <w:rPr>
          <w:rFonts w:ascii="仿宋" w:hAnsi="仿宋" w:eastAsia="仿宋" w:cs="仿宋"/>
          <w:spacing w:val="-44"/>
        </w:rPr>
        <w:t xml:space="preserve"> </w:t>
      </w:r>
      <w:r>
        <w:rPr>
          <w:rFonts w:ascii="仿宋" w:hAnsi="仿宋" w:eastAsia="仿宋" w:cs="仿宋"/>
          <w:spacing w:val="7"/>
        </w:rPr>
        <w:t>定</w:t>
      </w:r>
      <w:r>
        <w:rPr>
          <w:rFonts w:ascii="Times New Roman" w:hAnsi="Times New Roman" w:eastAsia="Times New Roman" w:cs="Times New Roman"/>
        </w:rPr>
        <w:t>BIT</w:t>
      </w:r>
      <w:r>
        <w:rPr>
          <w:rFonts w:ascii="Times New Roman" w:hAnsi="Times New Roman" w:eastAsia="Times New Roman" w:cs="Times New Roman"/>
          <w:spacing w:val="63"/>
        </w:rPr>
        <w:t xml:space="preserve"> </w:t>
      </w:r>
      <w:r>
        <w:rPr>
          <w:rFonts w:ascii="仿宋" w:hAnsi="仿宋" w:eastAsia="仿宋" w:cs="仿宋"/>
          <w:spacing w:val="7"/>
        </w:rPr>
        <w:t>的运行模式和类型、</w:t>
      </w:r>
      <w:r>
        <w:rPr>
          <w:rFonts w:ascii="Times New Roman" w:hAnsi="Times New Roman" w:eastAsia="Times New Roman" w:cs="Times New Roman"/>
        </w:rPr>
        <w:t>BIT</w:t>
      </w:r>
      <w:r>
        <w:rPr>
          <w:rFonts w:ascii="Times New Roman" w:hAnsi="Times New Roman" w:eastAsia="Times New Roman" w:cs="Times New Roman"/>
          <w:spacing w:val="52"/>
          <w:w w:val="101"/>
        </w:rPr>
        <w:t xml:space="preserve"> </w:t>
      </w:r>
      <w:r>
        <w:rPr>
          <w:rFonts w:ascii="仿宋" w:hAnsi="仿宋" w:eastAsia="仿宋" w:cs="仿宋"/>
          <w:spacing w:val="7"/>
        </w:rPr>
        <w:t>软件运行环境、系统级</w:t>
      </w:r>
      <w:r>
        <w:rPr>
          <w:rFonts w:ascii="Times New Roman" w:hAnsi="Times New Roman" w:eastAsia="Times New Roman" w:cs="Times New Roman"/>
        </w:rPr>
        <w:t xml:space="preserve">BIT  </w:t>
      </w:r>
      <w:r>
        <w:rPr>
          <w:spacing w:val="3"/>
        </w:rPr>
        <w:t>和分系统</w:t>
      </w:r>
      <w:r>
        <w:rPr>
          <w:spacing w:val="-59"/>
        </w:rPr>
        <w:t xml:space="preserve"> </w:t>
      </w:r>
      <w:r>
        <w:rPr>
          <w:rFonts w:ascii="Times New Roman" w:hAnsi="Times New Roman" w:eastAsia="Times New Roman" w:cs="Times New Roman"/>
        </w:rPr>
        <w:t>BIT</w:t>
      </w:r>
      <w:r>
        <w:rPr>
          <w:rFonts w:ascii="Times New Roman" w:hAnsi="Times New Roman" w:eastAsia="Times New Roman" w:cs="Times New Roman"/>
          <w:spacing w:val="42"/>
          <w:w w:val="101"/>
        </w:rPr>
        <w:t xml:space="preserve"> </w:t>
      </w:r>
      <w:r>
        <w:rPr>
          <w:spacing w:val="3"/>
        </w:rPr>
        <w:t>之间的通信接口以及系统级</w:t>
      </w:r>
      <w:r>
        <w:rPr>
          <w:rFonts w:ascii="Times New Roman" w:hAnsi="Times New Roman" w:eastAsia="Times New Roman" w:cs="Times New Roman"/>
        </w:rPr>
        <w:t>BIT</w:t>
      </w:r>
      <w:r>
        <w:rPr>
          <w:rFonts w:ascii="Times New Roman" w:hAnsi="Times New Roman" w:eastAsia="Times New Roman" w:cs="Times New Roman"/>
          <w:spacing w:val="62"/>
          <w:w w:val="101"/>
        </w:rPr>
        <w:t xml:space="preserve"> </w:t>
      </w:r>
      <w:r>
        <w:rPr>
          <w:spacing w:val="3"/>
        </w:rPr>
        <w:t>的自测试功能等，必要时需要通</w:t>
      </w:r>
      <w:r>
        <w:t xml:space="preserve"> 过权衡分析来确定。</w:t>
      </w:r>
    </w:p>
    <w:p w14:paraId="2B84379C">
      <w:pPr>
        <w:spacing w:line="368" w:lineRule="exact"/>
        <w:rPr>
          <w:rFonts w:ascii="黑体" w:hAnsi="黑体" w:eastAsia="黑体" w:cs="黑体"/>
          <w:sz w:val="27"/>
          <w:szCs w:val="27"/>
        </w:rPr>
      </w:pPr>
      <w:r>
        <w:rPr>
          <w:rFonts w:ascii="Arial" w:hAnsi="Arial" w:eastAsia="Arial" w:cs="Arial"/>
          <w:spacing w:val="3"/>
          <w:position w:val="1"/>
          <w:sz w:val="27"/>
          <w:szCs w:val="27"/>
        </w:rPr>
        <w:t xml:space="preserve">5.3    </w:t>
      </w:r>
      <w:r>
        <w:rPr>
          <w:rFonts w:ascii="黑体" w:hAnsi="黑体" w:eastAsia="黑体" w:cs="黑体"/>
          <w:spacing w:val="3"/>
          <w:position w:val="1"/>
          <w:sz w:val="27"/>
          <w:szCs w:val="27"/>
        </w:rPr>
        <w:t>性能监测结构设计</w:t>
      </w:r>
    </w:p>
    <w:p w14:paraId="2EB490C4">
      <w:pPr>
        <w:pStyle w:val="2"/>
        <w:spacing w:before="77" w:line="280" w:lineRule="auto"/>
        <w:ind w:right="121" w:firstLine="550"/>
        <w:jc w:val="both"/>
      </w:pPr>
      <w:r>
        <w:rPr>
          <w:spacing w:val="-3"/>
        </w:rPr>
        <w:t>说明性能监测结构设计。主要针对非电子系统(设备、装置)、发动机和关键</w:t>
      </w:r>
      <w:r>
        <w:rPr>
          <w:spacing w:val="1"/>
        </w:rPr>
        <w:t xml:space="preserve"> </w:t>
      </w:r>
      <w:r>
        <w:rPr>
          <w:spacing w:val="-3"/>
        </w:rPr>
        <w:t>结构。固有测试性设计时应分析确定需要进行监测的性能、功能或特性参数，考</w:t>
      </w:r>
      <w:r>
        <w:rPr>
          <w:spacing w:val="14"/>
        </w:rPr>
        <w:t xml:space="preserve"> </w:t>
      </w:r>
      <w:r>
        <w:rPr>
          <w:spacing w:val="5"/>
        </w:rPr>
        <w:t>虑相应的传感器和相关信息处理软件，以便进行实时性能监测。对于关键的监</w:t>
      </w:r>
      <w:r>
        <w:rPr>
          <w:spacing w:val="10"/>
        </w:rPr>
        <w:t xml:space="preserve"> </w:t>
      </w:r>
      <w:r>
        <w:rPr>
          <w:spacing w:val="-3"/>
        </w:rPr>
        <w:t>测信息，应随时报告给操作者。并应具有能够存储足够多的数据的能力，或者传</w:t>
      </w:r>
      <w:r>
        <w:rPr>
          <w:spacing w:val="17"/>
        </w:rPr>
        <w:t xml:space="preserve"> </w:t>
      </w:r>
      <w:r>
        <w:rPr>
          <w:spacing w:val="-4"/>
        </w:rPr>
        <w:t>输给中央测试系统，以便进一步分析。</w:t>
      </w:r>
    </w:p>
    <w:p w14:paraId="3CC39582">
      <w:pPr>
        <w:spacing w:before="15" w:line="222" w:lineRule="auto"/>
        <w:rPr>
          <w:rFonts w:ascii="黑体" w:hAnsi="黑体" w:eastAsia="黑体" w:cs="黑体"/>
          <w:sz w:val="27"/>
          <w:szCs w:val="27"/>
        </w:rPr>
      </w:pPr>
      <w:r>
        <w:rPr>
          <w:rFonts w:ascii="黑体" w:hAnsi="黑体" w:eastAsia="黑体" w:cs="黑体"/>
          <w:spacing w:val="5"/>
          <w:sz w:val="27"/>
          <w:szCs w:val="27"/>
        </w:rPr>
        <w:t>5.4  故障信息的存储和显示结构设计</w:t>
      </w:r>
    </w:p>
    <w:p w14:paraId="5F2AD433">
      <w:pPr>
        <w:pStyle w:val="2"/>
        <w:spacing w:before="87" w:line="278" w:lineRule="auto"/>
        <w:ind w:right="104" w:firstLine="550"/>
        <w:jc w:val="both"/>
      </w:pPr>
      <w:r>
        <w:rPr>
          <w:spacing w:val="15"/>
        </w:rPr>
        <w:t>针对使用需求设计的</w:t>
      </w:r>
      <w:r>
        <w:rPr>
          <w:rFonts w:ascii="Times New Roman" w:hAnsi="Times New Roman" w:eastAsia="Times New Roman" w:cs="Times New Roman"/>
        </w:rPr>
        <w:t>BIT</w:t>
      </w:r>
      <w:r>
        <w:rPr>
          <w:rFonts w:ascii="Times New Roman" w:hAnsi="Times New Roman" w:eastAsia="Times New Roman" w:cs="Times New Roman"/>
          <w:spacing w:val="62"/>
        </w:rPr>
        <w:t xml:space="preserve"> </w:t>
      </w:r>
      <w:r>
        <w:rPr>
          <w:spacing w:val="15"/>
        </w:rPr>
        <w:t>的故障检测与隔离信息以及相关信息的记录方</w:t>
      </w:r>
      <w:r>
        <w:t xml:space="preserve"> </w:t>
      </w:r>
      <w:r>
        <w:rPr>
          <w:spacing w:val="-3"/>
        </w:rPr>
        <w:t>法，说明进行存储器(简单的用非易失存储器，要求高的可用移动存储器)或与之</w:t>
      </w:r>
      <w:r>
        <w:rPr>
          <w:spacing w:val="17"/>
        </w:rPr>
        <w:t xml:space="preserve"> </w:t>
      </w:r>
      <w:r>
        <w:rPr>
          <w:spacing w:val="2"/>
        </w:rPr>
        <w:t>相关的结构设计情况。</w:t>
      </w:r>
    </w:p>
    <w:p w14:paraId="727A5F3E">
      <w:pPr>
        <w:pStyle w:val="2"/>
        <w:spacing w:before="2" w:line="281" w:lineRule="auto"/>
        <w:ind w:firstLine="550"/>
        <w:jc w:val="both"/>
      </w:pPr>
      <w:r>
        <w:rPr>
          <w:spacing w:val="1"/>
        </w:rPr>
        <w:t>针对设计的报警或显示方法，如指示灯、指示器、显示</w:t>
      </w:r>
      <w:r>
        <w:t xml:space="preserve">控制单元、显示器、 </w:t>
      </w:r>
      <w:r>
        <w:rPr>
          <w:spacing w:val="14"/>
        </w:rPr>
        <w:t>告警装置、维修监控板、中央维修计算机等，说</w:t>
      </w:r>
      <w:r>
        <w:rPr>
          <w:spacing w:val="13"/>
        </w:rPr>
        <w:t>明进行与之相应的结构设计</w:t>
      </w:r>
      <w:r>
        <w:t xml:space="preserve">  </w:t>
      </w:r>
      <w:r>
        <w:rPr>
          <w:spacing w:val="-2"/>
        </w:rPr>
        <w:t>情况。</w:t>
      </w:r>
    </w:p>
    <w:p w14:paraId="46AB29DA">
      <w:pPr>
        <w:spacing w:line="212" w:lineRule="auto"/>
        <w:rPr>
          <w:rFonts w:ascii="黑体" w:hAnsi="黑体" w:eastAsia="黑体" w:cs="黑体"/>
          <w:sz w:val="25"/>
          <w:szCs w:val="25"/>
        </w:rPr>
      </w:pPr>
      <w:r>
        <w:rPr>
          <w:rFonts w:ascii="黑体" w:hAnsi="黑体" w:eastAsia="黑体" w:cs="黑体"/>
          <w:spacing w:val="16"/>
          <w:sz w:val="25"/>
          <w:szCs w:val="25"/>
        </w:rPr>
        <w:t>5.5</w:t>
      </w:r>
      <w:r>
        <w:rPr>
          <w:rFonts w:ascii="黑体" w:hAnsi="黑体" w:eastAsia="黑体" w:cs="黑体"/>
          <w:spacing w:val="38"/>
          <w:sz w:val="25"/>
          <w:szCs w:val="25"/>
        </w:rPr>
        <w:t xml:space="preserve">  </w:t>
      </w:r>
      <w:r>
        <w:rPr>
          <w:rFonts w:ascii="黑体" w:hAnsi="黑体" w:eastAsia="黑体" w:cs="黑体"/>
          <w:spacing w:val="16"/>
          <w:sz w:val="25"/>
          <w:szCs w:val="25"/>
        </w:rPr>
        <w:t>中央测试系统</w:t>
      </w:r>
      <w:r>
        <w:rPr>
          <w:rFonts w:ascii="Times New Roman" w:hAnsi="Times New Roman" w:eastAsia="Times New Roman" w:cs="Times New Roman"/>
          <w:b/>
          <w:bCs/>
          <w:spacing w:val="16"/>
          <w:sz w:val="25"/>
          <w:szCs w:val="25"/>
        </w:rPr>
        <w:t>(</w:t>
      </w:r>
      <w:r>
        <w:rPr>
          <w:rFonts w:ascii="Times New Roman" w:hAnsi="Times New Roman" w:eastAsia="Times New Roman" w:cs="Times New Roman"/>
          <w:b/>
          <w:bCs/>
          <w:sz w:val="25"/>
          <w:szCs w:val="25"/>
        </w:rPr>
        <w:t>CTS</w:t>
      </w:r>
      <w:r>
        <w:rPr>
          <w:rFonts w:ascii="Times New Roman" w:hAnsi="Times New Roman" w:eastAsia="Times New Roman" w:cs="Times New Roman"/>
          <w:b/>
          <w:bCs/>
          <w:spacing w:val="16"/>
          <w:sz w:val="25"/>
          <w:szCs w:val="25"/>
        </w:rPr>
        <w:t>)</w:t>
      </w:r>
      <w:r>
        <w:rPr>
          <w:rFonts w:ascii="Times New Roman" w:hAnsi="Times New Roman" w:eastAsia="Times New Roman" w:cs="Times New Roman"/>
          <w:b/>
          <w:bCs/>
          <w:spacing w:val="45"/>
          <w:sz w:val="25"/>
          <w:szCs w:val="25"/>
        </w:rPr>
        <w:t xml:space="preserve"> </w:t>
      </w:r>
      <w:r>
        <w:rPr>
          <w:rFonts w:ascii="黑体" w:hAnsi="黑体" w:eastAsia="黑体" w:cs="黑体"/>
          <w:spacing w:val="16"/>
          <w:sz w:val="25"/>
          <w:szCs w:val="25"/>
        </w:rPr>
        <w:t>结构设计</w:t>
      </w:r>
    </w:p>
    <w:p w14:paraId="5743C7D9">
      <w:pPr>
        <w:pStyle w:val="2"/>
        <w:spacing w:before="89" w:line="290" w:lineRule="auto"/>
        <w:ind w:right="167" w:firstLine="550"/>
      </w:pPr>
      <w:r>
        <w:rPr>
          <w:spacing w:val="4"/>
        </w:rPr>
        <w:t>说明中央测试系统(</w:t>
      </w:r>
      <w:r>
        <w:rPr>
          <w:rFonts w:ascii="Times New Roman" w:hAnsi="Times New Roman" w:eastAsia="Times New Roman" w:cs="Times New Roman"/>
        </w:rPr>
        <w:t>CTS</w:t>
      </w:r>
      <w:r>
        <w:rPr>
          <w:rFonts w:ascii="Times New Roman" w:hAnsi="Times New Roman" w:eastAsia="Times New Roman" w:cs="Times New Roman"/>
          <w:spacing w:val="4"/>
        </w:rPr>
        <w:t>)</w:t>
      </w:r>
      <w:r>
        <w:rPr>
          <w:rFonts w:ascii="Times New Roman" w:hAnsi="Times New Roman" w:eastAsia="Times New Roman" w:cs="Times New Roman"/>
          <w:spacing w:val="58"/>
        </w:rPr>
        <w:t xml:space="preserve"> </w:t>
      </w:r>
      <w:r>
        <w:rPr>
          <w:spacing w:val="4"/>
        </w:rPr>
        <w:t>结构设计情况。</w:t>
      </w:r>
      <w:r>
        <w:rPr>
          <w:spacing w:val="-65"/>
        </w:rPr>
        <w:t xml:space="preserve"> </w:t>
      </w:r>
      <w:r>
        <w:rPr>
          <w:rFonts w:ascii="Times New Roman" w:hAnsi="Times New Roman" w:eastAsia="Times New Roman" w:cs="Times New Roman"/>
        </w:rPr>
        <w:t>CTS</w:t>
      </w:r>
      <w:r>
        <w:rPr>
          <w:rFonts w:ascii="Times New Roman" w:hAnsi="Times New Roman" w:eastAsia="Times New Roman" w:cs="Times New Roman"/>
          <w:spacing w:val="4"/>
        </w:rPr>
        <w:t xml:space="preserve">  </w:t>
      </w:r>
      <w:r>
        <w:rPr>
          <w:spacing w:val="4"/>
        </w:rPr>
        <w:t>配</w:t>
      </w:r>
      <w:r>
        <w:rPr>
          <w:spacing w:val="3"/>
        </w:rPr>
        <w:t>置方案应考虑到</w:t>
      </w:r>
      <w:r>
        <w:rPr>
          <w:rFonts w:ascii="Times New Roman" w:hAnsi="Times New Roman" w:eastAsia="Times New Roman" w:cs="Times New Roman"/>
        </w:rPr>
        <w:t>CTS</w:t>
      </w:r>
      <w:r>
        <w:rPr>
          <w:rFonts w:ascii="Times New Roman" w:hAnsi="Times New Roman" w:eastAsia="Times New Roman" w:cs="Times New Roman"/>
          <w:spacing w:val="3"/>
        </w:rPr>
        <w:t xml:space="preserve">  </w:t>
      </w:r>
      <w:r>
        <w:rPr>
          <w:spacing w:val="3"/>
        </w:rPr>
        <w:t>的</w:t>
      </w:r>
      <w:r>
        <w:t xml:space="preserve"> </w:t>
      </w:r>
      <w:r>
        <w:rPr>
          <w:spacing w:val="-5"/>
        </w:rPr>
        <w:t>主要功能、系统硬件与软件的构成、与其他系统和设备的关系等。</w:t>
      </w:r>
    </w:p>
    <w:p w14:paraId="6B10409B">
      <w:pPr>
        <w:pStyle w:val="2"/>
        <w:spacing w:before="4" w:line="277" w:lineRule="auto"/>
        <w:ind w:right="123" w:firstLine="550"/>
        <w:jc w:val="both"/>
      </w:pPr>
      <w:r>
        <w:rPr>
          <w:rFonts w:ascii="Times New Roman" w:hAnsi="Times New Roman" w:eastAsia="Times New Roman" w:cs="Times New Roman"/>
        </w:rPr>
        <w:t>CTS</w:t>
      </w:r>
      <w:r>
        <w:rPr>
          <w:rFonts w:ascii="Times New Roman" w:hAnsi="Times New Roman" w:eastAsia="Times New Roman" w:cs="Times New Roman"/>
          <w:spacing w:val="27"/>
          <w:w w:val="101"/>
        </w:rPr>
        <w:t xml:space="preserve"> </w:t>
      </w:r>
      <w:r>
        <w:rPr>
          <w:spacing w:val="4"/>
        </w:rPr>
        <w:t>应采用先进的诊断能力设计，最大程度地利用传统的故障特征检测技</w:t>
      </w:r>
      <w:r>
        <w:t xml:space="preserve"> </w:t>
      </w:r>
      <w:r>
        <w:rPr>
          <w:spacing w:val="-6"/>
        </w:rPr>
        <w:t>术，并综合先进的软件建模、人工智能(</w:t>
      </w:r>
      <w:r>
        <w:rPr>
          <w:spacing w:val="-72"/>
        </w:rPr>
        <w:t xml:space="preserve"> </w:t>
      </w:r>
      <w:r>
        <w:rPr>
          <w:rFonts w:ascii="Times New Roman" w:hAnsi="Times New Roman" w:eastAsia="Times New Roman" w:cs="Times New Roman"/>
          <w:spacing w:val="-6"/>
        </w:rPr>
        <w:t>AI)</w:t>
      </w:r>
      <w:r>
        <w:rPr>
          <w:rFonts w:ascii="Times New Roman" w:hAnsi="Times New Roman" w:eastAsia="Times New Roman" w:cs="Times New Roman"/>
          <w:spacing w:val="40"/>
        </w:rPr>
        <w:t xml:space="preserve"> </w:t>
      </w:r>
      <w:r>
        <w:rPr>
          <w:spacing w:val="-6"/>
        </w:rPr>
        <w:t>推理机，来增强诊</w:t>
      </w:r>
      <w:r>
        <w:rPr>
          <w:spacing w:val="-7"/>
        </w:rPr>
        <w:t>断能力，获得虚警</w:t>
      </w:r>
      <w:r>
        <w:t xml:space="preserve"> </w:t>
      </w:r>
      <w:r>
        <w:rPr>
          <w:spacing w:val="5"/>
        </w:rPr>
        <w:t>率几乎为零的精确的故障检测和隔离结果。并收集和处理关键部件和设备的性</w:t>
      </w:r>
      <w:r>
        <w:rPr>
          <w:spacing w:val="9"/>
        </w:rPr>
        <w:t xml:space="preserve"> </w:t>
      </w:r>
      <w:r>
        <w:rPr>
          <w:spacing w:val="-3"/>
        </w:rPr>
        <w:t>能信息，用于预计这些部件和设备的剩余使用寿命。</w:t>
      </w:r>
    </w:p>
    <w:p w14:paraId="2C058DED">
      <w:pPr>
        <w:pStyle w:val="2"/>
        <w:spacing w:before="16" w:line="280" w:lineRule="auto"/>
        <w:ind w:right="117" w:firstLine="550"/>
        <w:jc w:val="both"/>
      </w:pPr>
      <w:r>
        <w:rPr>
          <w:spacing w:val="-3"/>
        </w:rPr>
        <w:t>用于检测复合材料失效、发动机故障、分布广泛的(多个部位)疲劳损伤和腐</w:t>
      </w:r>
      <w:r>
        <w:rPr>
          <w:spacing w:val="8"/>
        </w:rPr>
        <w:t xml:space="preserve"> </w:t>
      </w:r>
      <w:r>
        <w:rPr>
          <w:spacing w:val="3"/>
        </w:rPr>
        <w:t>蚀的先进传感器将成为</w:t>
      </w:r>
      <w:r>
        <w:rPr>
          <w:rFonts w:ascii="Times New Roman" w:hAnsi="Times New Roman" w:eastAsia="Times New Roman" w:cs="Times New Roman"/>
        </w:rPr>
        <w:t xml:space="preserve">CTS  </w:t>
      </w:r>
      <w:r>
        <w:rPr>
          <w:spacing w:val="3"/>
        </w:rPr>
        <w:t>系统设计与有效实施的技术关键。因此，有</w:t>
      </w:r>
      <w:r>
        <w:rPr>
          <w:spacing w:val="2"/>
        </w:rPr>
        <w:t>必要按</w:t>
      </w:r>
      <w:r>
        <w:t xml:space="preserve"> </w:t>
      </w:r>
      <w:r>
        <w:rPr>
          <w:spacing w:val="-10"/>
        </w:rPr>
        <w:t>照可靠性、费用、尺寸、重量和功率的先后次序进行传感器改进。</w:t>
      </w:r>
    </w:p>
    <w:p w14:paraId="711AB95F">
      <w:pPr>
        <w:spacing w:before="1" w:line="220"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29"/>
          <w:sz w:val="27"/>
          <w:szCs w:val="27"/>
        </w:rPr>
        <w:t xml:space="preserve">  </w:t>
      </w:r>
      <w:r>
        <w:rPr>
          <w:rFonts w:ascii="黑体" w:hAnsi="黑体" w:eastAsia="黑体" w:cs="黑体"/>
          <w:spacing w:val="3"/>
          <w:sz w:val="27"/>
          <w:szCs w:val="27"/>
        </w:rPr>
        <w:t>测试性设计准则落实和完善情况</w:t>
      </w:r>
    </w:p>
    <w:p w14:paraId="1D434B86">
      <w:pPr>
        <w:pStyle w:val="2"/>
        <w:spacing w:before="100" w:line="282" w:lineRule="auto"/>
        <w:ind w:right="191" w:firstLine="550"/>
      </w:pPr>
      <w:r>
        <w:rPr>
          <w:spacing w:val="14"/>
        </w:rPr>
        <w:t>说明在产品设计过程中贯彻和完善测试性设计准则情况，包括</w:t>
      </w:r>
      <w:r>
        <w:rPr>
          <w:spacing w:val="-62"/>
        </w:rPr>
        <w:t xml:space="preserve"> </w:t>
      </w:r>
      <w:r>
        <w:rPr>
          <w:rFonts w:ascii="Times New Roman" w:hAnsi="Times New Roman" w:eastAsia="Times New Roman" w:cs="Times New Roman"/>
        </w:rPr>
        <w:t>UUT</w:t>
      </w:r>
      <w:r>
        <w:rPr>
          <w:rFonts w:ascii="Times New Roman" w:hAnsi="Times New Roman" w:eastAsia="Times New Roman" w:cs="Times New Roman"/>
          <w:spacing w:val="14"/>
        </w:rPr>
        <w:t xml:space="preserve">  </w:t>
      </w:r>
      <w:r>
        <w:rPr>
          <w:spacing w:val="14"/>
        </w:rPr>
        <w:t>与</w:t>
      </w:r>
      <w:r>
        <w:t xml:space="preserve"> </w:t>
      </w:r>
      <w:r>
        <w:rPr>
          <w:rFonts w:ascii="Times New Roman" w:hAnsi="Times New Roman" w:eastAsia="Times New Roman" w:cs="Times New Roman"/>
        </w:rPr>
        <w:t>ATE</w:t>
      </w:r>
      <w:r>
        <w:rPr>
          <w:rFonts w:ascii="Times New Roman" w:hAnsi="Times New Roman" w:eastAsia="Times New Roman" w:cs="Times New Roman"/>
          <w:spacing w:val="47"/>
        </w:rPr>
        <w:t xml:space="preserve"> </w:t>
      </w:r>
      <w:r>
        <w:rPr>
          <w:spacing w:val="4"/>
        </w:rPr>
        <w:t>兼容性方面的设计准则。</w:t>
      </w:r>
    </w:p>
    <w:p w14:paraId="04EC9DB6">
      <w:pPr>
        <w:spacing w:line="282" w:lineRule="auto"/>
        <w:sectPr>
          <w:footerReference r:id="rId458" w:type="default"/>
          <w:pgSz w:w="11910" w:h="17130"/>
          <w:pgMar w:top="1456" w:right="734" w:bottom="1574" w:left="1690" w:header="0" w:footer="1384" w:gutter="0"/>
          <w:cols w:space="720" w:num="1"/>
        </w:sectPr>
      </w:pPr>
    </w:p>
    <w:p w14:paraId="506930A1">
      <w:pPr>
        <w:spacing w:line="301" w:lineRule="auto"/>
        <w:rPr>
          <w:rFonts w:ascii="Arial"/>
          <w:sz w:val="21"/>
        </w:rPr>
      </w:pPr>
    </w:p>
    <w:p w14:paraId="61E8776F">
      <w:pPr>
        <w:pStyle w:val="2"/>
        <w:spacing w:before="117" w:line="218" w:lineRule="auto"/>
        <w:ind w:left="1950"/>
        <w:outlineLvl w:val="1"/>
        <w:rPr>
          <w:sz w:val="36"/>
          <w:szCs w:val="36"/>
        </w:rPr>
      </w:pPr>
      <w:r>
        <w:rPr>
          <w:rFonts w:ascii="Times New Roman" w:hAnsi="Times New Roman" w:eastAsia="Times New Roman" w:cs="Times New Roman"/>
          <w:b/>
          <w:bCs/>
          <w:spacing w:val="3"/>
          <w:sz w:val="36"/>
          <w:szCs w:val="36"/>
        </w:rPr>
        <w:t xml:space="preserve">9.12     </w:t>
      </w:r>
      <w:r>
        <w:rPr>
          <w:b/>
          <w:bCs/>
          <w:spacing w:val="3"/>
          <w:sz w:val="36"/>
          <w:szCs w:val="36"/>
        </w:rPr>
        <w:t>测试性设计准则符合性报告</w:t>
      </w:r>
    </w:p>
    <w:p w14:paraId="16680A46">
      <w:pPr>
        <w:spacing w:line="340" w:lineRule="auto"/>
        <w:rPr>
          <w:rFonts w:ascii="Arial"/>
          <w:sz w:val="21"/>
        </w:rPr>
      </w:pPr>
    </w:p>
    <w:p w14:paraId="5B961BDF">
      <w:pPr>
        <w:pStyle w:val="2"/>
        <w:spacing w:before="91" w:line="223" w:lineRule="auto"/>
        <w:ind w:left="570"/>
        <w:rPr>
          <w:rFonts w:ascii="楷体" w:hAnsi="楷体" w:eastAsia="楷体" w:cs="楷体"/>
          <w:sz w:val="28"/>
          <w:szCs w:val="28"/>
        </w:rPr>
      </w:pPr>
      <w:r>
        <w:rPr>
          <w:rFonts w:ascii="楷体" w:hAnsi="楷体" w:eastAsia="楷体" w:cs="楷体"/>
          <w:spacing w:val="-12"/>
          <w:sz w:val="28"/>
          <w:szCs w:val="28"/>
        </w:rPr>
        <w:t>按照</w:t>
      </w:r>
      <w:r>
        <w:rPr>
          <w:rFonts w:ascii="Times New Roman" w:hAnsi="Times New Roman" w:eastAsia="Times New Roman" w:cs="Times New Roman"/>
          <w:spacing w:val="-12"/>
          <w:sz w:val="28"/>
          <w:szCs w:val="28"/>
        </w:rPr>
        <w:t>GJB 2547A</w:t>
      </w:r>
      <w:r>
        <w:rPr>
          <w:spacing w:val="-12"/>
          <w:sz w:val="28"/>
          <w:szCs w:val="28"/>
        </w:rPr>
        <w:t>《</w:t>
      </w:r>
      <w:r>
        <w:rPr>
          <w:rFonts w:ascii="楷体" w:hAnsi="楷体" w:eastAsia="楷体" w:cs="楷体"/>
          <w:spacing w:val="-12"/>
          <w:sz w:val="28"/>
          <w:szCs w:val="28"/>
        </w:rPr>
        <w:t>装备测试性工作通用要求》编写。</w:t>
      </w:r>
    </w:p>
    <w:p w14:paraId="4055C977">
      <w:pPr>
        <w:spacing w:before="8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695DD8F7">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2C78E8C9">
      <w:pPr>
        <w:spacing w:before="84" w:line="221" w:lineRule="auto"/>
        <w:rPr>
          <w:rFonts w:ascii="黑体" w:hAnsi="黑体" w:eastAsia="黑体" w:cs="黑体"/>
          <w:sz w:val="27"/>
          <w:szCs w:val="27"/>
        </w:rPr>
      </w:pPr>
      <w:r>
        <w:rPr>
          <w:rFonts w:ascii="黑体" w:hAnsi="黑体" w:eastAsia="黑体" w:cs="黑体"/>
          <w:spacing w:val="1"/>
          <w:sz w:val="27"/>
          <w:szCs w:val="27"/>
        </w:rPr>
        <w:t xml:space="preserve">3  </w:t>
      </w:r>
      <w:r>
        <w:rPr>
          <w:rFonts w:ascii="黑体" w:hAnsi="黑体" w:eastAsia="黑体" w:cs="黑体"/>
          <w:b/>
          <w:bCs/>
          <w:spacing w:val="1"/>
          <w:sz w:val="27"/>
          <w:szCs w:val="27"/>
        </w:rPr>
        <w:t>测试性设计准则的剪裁</w:t>
      </w:r>
    </w:p>
    <w:p w14:paraId="6C35F64C">
      <w:pPr>
        <w:spacing w:before="96" w:line="221" w:lineRule="auto"/>
        <w:rPr>
          <w:rFonts w:ascii="黑体" w:hAnsi="黑体" w:eastAsia="黑体" w:cs="黑体"/>
          <w:sz w:val="25"/>
          <w:szCs w:val="25"/>
        </w:rPr>
      </w:pPr>
      <w:r>
        <w:rPr>
          <w:rFonts w:ascii="黑体" w:hAnsi="黑体" w:eastAsia="黑体" w:cs="黑体"/>
          <w:spacing w:val="12"/>
          <w:sz w:val="25"/>
          <w:szCs w:val="25"/>
        </w:rPr>
        <w:t>3.1</w:t>
      </w:r>
      <w:r>
        <w:rPr>
          <w:rFonts w:ascii="黑体" w:hAnsi="黑体" w:eastAsia="黑体" w:cs="黑体"/>
          <w:spacing w:val="40"/>
          <w:sz w:val="25"/>
          <w:szCs w:val="25"/>
        </w:rPr>
        <w:t xml:space="preserve">  </w:t>
      </w:r>
      <w:r>
        <w:rPr>
          <w:rFonts w:ascii="黑体" w:hAnsi="黑体" w:eastAsia="黑体" w:cs="黑体"/>
          <w:b/>
          <w:bCs/>
          <w:spacing w:val="12"/>
          <w:sz w:val="25"/>
          <w:szCs w:val="25"/>
        </w:rPr>
        <w:t>剪裁原则</w:t>
      </w:r>
    </w:p>
    <w:p w14:paraId="21370BC5">
      <w:pPr>
        <w:pStyle w:val="2"/>
        <w:spacing w:before="95" w:line="274" w:lineRule="auto"/>
        <w:ind w:right="53" w:firstLine="570"/>
      </w:pPr>
      <w:r>
        <w:rPr>
          <w:spacing w:val="5"/>
        </w:rPr>
        <w:t>根据特定设计制定对测试性设计准则进行剪裁的原则，使它适用于具体的</w:t>
      </w:r>
      <w:r>
        <w:t xml:space="preserve"> </w:t>
      </w:r>
      <w:r>
        <w:rPr>
          <w:spacing w:val="4"/>
        </w:rPr>
        <w:t>特性和设计要求。</w:t>
      </w:r>
    </w:p>
    <w:p w14:paraId="1739FDF9">
      <w:pPr>
        <w:pStyle w:val="2"/>
        <w:spacing w:before="1" w:line="219" w:lineRule="auto"/>
        <w:ind w:left="570"/>
      </w:pPr>
      <w:r>
        <w:rPr>
          <w:spacing w:val="9"/>
        </w:rPr>
        <w:t>部分测试性设计准则的一般应用指南列于表9.4中。</w:t>
      </w:r>
    </w:p>
    <w:p w14:paraId="599595BE">
      <w:pPr>
        <w:spacing w:before="234" w:line="220" w:lineRule="auto"/>
        <w:ind w:left="2820"/>
        <w:rPr>
          <w:rFonts w:ascii="仿宋" w:hAnsi="仿宋" w:eastAsia="仿宋" w:cs="仿宋"/>
          <w:sz w:val="27"/>
          <w:szCs w:val="27"/>
        </w:rPr>
      </w:pPr>
      <w:r>
        <w:rPr>
          <w:rFonts w:ascii="仿宋" w:hAnsi="仿宋" w:eastAsia="仿宋" w:cs="仿宋"/>
          <w:spacing w:val="7"/>
          <w:sz w:val="27"/>
          <w:szCs w:val="27"/>
        </w:rPr>
        <w:t>表9.4  测试性设计准则的应用</w:t>
      </w:r>
    </w:p>
    <w:p w14:paraId="700E938A">
      <w:pPr>
        <w:spacing w:line="97" w:lineRule="exact"/>
      </w:pPr>
    </w:p>
    <w:tbl>
      <w:tblPr>
        <w:tblStyle w:val="5"/>
        <w:tblW w:w="9360"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41"/>
        <w:gridCol w:w="1878"/>
        <w:gridCol w:w="1878"/>
        <w:gridCol w:w="2263"/>
      </w:tblGrid>
      <w:tr w14:paraId="73071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3341" w:type="dxa"/>
            <w:vAlign w:val="top"/>
          </w:tcPr>
          <w:p w14:paraId="423B73D8">
            <w:pPr>
              <w:spacing w:before="103" w:line="219" w:lineRule="auto"/>
              <w:ind w:left="1455"/>
              <w:rPr>
                <w:rFonts w:ascii="宋体" w:hAnsi="宋体" w:eastAsia="宋体" w:cs="宋体"/>
                <w:sz w:val="21"/>
                <w:szCs w:val="21"/>
              </w:rPr>
            </w:pPr>
            <w:r>
              <w:rPr>
                <w:rFonts w:ascii="宋体" w:hAnsi="宋体" w:eastAsia="宋体" w:cs="宋体"/>
                <w:spacing w:val="-3"/>
                <w:sz w:val="21"/>
                <w:szCs w:val="21"/>
              </w:rPr>
              <w:t>分类</w:t>
            </w:r>
          </w:p>
        </w:tc>
        <w:tc>
          <w:tcPr>
            <w:tcW w:w="1878" w:type="dxa"/>
            <w:vAlign w:val="top"/>
          </w:tcPr>
          <w:p w14:paraId="41CB1499">
            <w:pPr>
              <w:spacing w:before="104" w:line="221" w:lineRule="auto"/>
              <w:ind w:left="724"/>
              <w:rPr>
                <w:rFonts w:ascii="宋体" w:hAnsi="宋体" w:eastAsia="宋体" w:cs="宋体"/>
                <w:sz w:val="21"/>
                <w:szCs w:val="21"/>
              </w:rPr>
            </w:pPr>
            <w:r>
              <w:rPr>
                <w:rFonts w:ascii="宋体" w:hAnsi="宋体" w:eastAsia="宋体" w:cs="宋体"/>
                <w:spacing w:val="4"/>
                <w:sz w:val="21"/>
                <w:szCs w:val="21"/>
              </w:rPr>
              <w:t>系统</w:t>
            </w:r>
          </w:p>
        </w:tc>
        <w:tc>
          <w:tcPr>
            <w:tcW w:w="1878" w:type="dxa"/>
            <w:vAlign w:val="top"/>
          </w:tcPr>
          <w:p w14:paraId="321B2406">
            <w:pPr>
              <w:spacing w:before="104" w:line="220" w:lineRule="auto"/>
              <w:ind w:left="616"/>
              <w:rPr>
                <w:rFonts w:ascii="宋体" w:hAnsi="宋体" w:eastAsia="宋体" w:cs="宋体"/>
                <w:sz w:val="21"/>
                <w:szCs w:val="21"/>
              </w:rPr>
            </w:pPr>
            <w:r>
              <w:rPr>
                <w:rFonts w:ascii="宋体" w:hAnsi="宋体" w:eastAsia="宋体" w:cs="宋体"/>
                <w:spacing w:val="3"/>
                <w:sz w:val="21"/>
                <w:szCs w:val="21"/>
              </w:rPr>
              <w:t>分系统</w:t>
            </w:r>
          </w:p>
        </w:tc>
        <w:tc>
          <w:tcPr>
            <w:tcW w:w="2263" w:type="dxa"/>
            <w:vAlign w:val="top"/>
          </w:tcPr>
          <w:p w14:paraId="461F5D72">
            <w:pPr>
              <w:spacing w:before="103" w:line="219" w:lineRule="auto"/>
              <w:ind w:left="918"/>
              <w:rPr>
                <w:rFonts w:ascii="宋体" w:hAnsi="宋体" w:eastAsia="宋体" w:cs="宋体"/>
                <w:sz w:val="21"/>
                <w:szCs w:val="21"/>
              </w:rPr>
            </w:pPr>
            <w:r>
              <w:rPr>
                <w:rFonts w:ascii="宋体" w:hAnsi="宋体" w:eastAsia="宋体" w:cs="宋体"/>
                <w:spacing w:val="4"/>
                <w:sz w:val="21"/>
                <w:szCs w:val="21"/>
              </w:rPr>
              <w:t>电路</w:t>
            </w:r>
          </w:p>
        </w:tc>
      </w:tr>
      <w:tr w14:paraId="1FD29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341" w:type="dxa"/>
            <w:vAlign w:val="top"/>
          </w:tcPr>
          <w:p w14:paraId="7F94F736">
            <w:pPr>
              <w:spacing w:before="100" w:line="221" w:lineRule="auto"/>
              <w:ind w:left="85"/>
              <w:rPr>
                <w:rFonts w:ascii="宋体" w:hAnsi="宋体" w:eastAsia="宋体" w:cs="宋体"/>
                <w:sz w:val="21"/>
                <w:szCs w:val="21"/>
              </w:rPr>
            </w:pPr>
            <w:r>
              <w:rPr>
                <w:rFonts w:ascii="宋体" w:hAnsi="宋体" w:eastAsia="宋体" w:cs="宋体"/>
                <w:spacing w:val="-2"/>
                <w:sz w:val="21"/>
                <w:szCs w:val="21"/>
              </w:rPr>
              <w:t>测试要求</w:t>
            </w:r>
          </w:p>
        </w:tc>
        <w:tc>
          <w:tcPr>
            <w:tcW w:w="1878" w:type="dxa"/>
            <w:vAlign w:val="top"/>
          </w:tcPr>
          <w:p w14:paraId="6095A5EA">
            <w:pPr>
              <w:spacing w:before="120" w:line="237" w:lineRule="auto"/>
              <w:ind w:left="824"/>
              <w:rPr>
                <w:rFonts w:ascii="宋体" w:hAnsi="宋体" w:eastAsia="宋体" w:cs="宋体"/>
                <w:sz w:val="21"/>
                <w:szCs w:val="21"/>
              </w:rPr>
            </w:pPr>
            <w:r>
              <w:rPr>
                <w:rFonts w:ascii="宋体" w:hAnsi="宋体" w:eastAsia="宋体" w:cs="宋体"/>
                <w:sz w:val="21"/>
                <w:szCs w:val="21"/>
              </w:rPr>
              <w:t>√</w:t>
            </w:r>
          </w:p>
        </w:tc>
        <w:tc>
          <w:tcPr>
            <w:tcW w:w="1878" w:type="dxa"/>
            <w:vAlign w:val="top"/>
          </w:tcPr>
          <w:p w14:paraId="2C91424D">
            <w:pPr>
              <w:spacing w:before="120" w:line="237"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6A18B1D0">
            <w:pPr>
              <w:spacing w:before="120" w:line="237" w:lineRule="auto"/>
              <w:ind w:left="1017"/>
              <w:rPr>
                <w:rFonts w:ascii="宋体" w:hAnsi="宋体" w:eastAsia="宋体" w:cs="宋体"/>
                <w:sz w:val="21"/>
                <w:szCs w:val="21"/>
              </w:rPr>
            </w:pPr>
            <w:r>
              <w:rPr>
                <w:rFonts w:ascii="宋体" w:hAnsi="宋体" w:eastAsia="宋体" w:cs="宋体"/>
                <w:sz w:val="21"/>
                <w:szCs w:val="21"/>
              </w:rPr>
              <w:t>√</w:t>
            </w:r>
          </w:p>
        </w:tc>
      </w:tr>
      <w:tr w14:paraId="0EA08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3341" w:type="dxa"/>
            <w:vAlign w:val="top"/>
          </w:tcPr>
          <w:p w14:paraId="3859DE1E">
            <w:pPr>
              <w:spacing w:before="99" w:line="219" w:lineRule="auto"/>
              <w:ind w:left="85"/>
              <w:rPr>
                <w:rFonts w:ascii="宋体" w:hAnsi="宋体" w:eastAsia="宋体" w:cs="宋体"/>
                <w:sz w:val="21"/>
                <w:szCs w:val="21"/>
              </w:rPr>
            </w:pPr>
            <w:r>
              <w:rPr>
                <w:rFonts w:ascii="宋体" w:hAnsi="宋体" w:eastAsia="宋体" w:cs="宋体"/>
                <w:spacing w:val="-2"/>
                <w:sz w:val="21"/>
                <w:szCs w:val="21"/>
              </w:rPr>
              <w:t>嵌入式诊断设计</w:t>
            </w:r>
          </w:p>
        </w:tc>
        <w:tc>
          <w:tcPr>
            <w:tcW w:w="1878" w:type="dxa"/>
            <w:vAlign w:val="top"/>
          </w:tcPr>
          <w:p w14:paraId="713405DD">
            <w:pPr>
              <w:spacing w:before="120" w:line="238" w:lineRule="auto"/>
              <w:ind w:left="824"/>
              <w:rPr>
                <w:rFonts w:ascii="宋体" w:hAnsi="宋体" w:eastAsia="宋体" w:cs="宋体"/>
                <w:sz w:val="21"/>
                <w:szCs w:val="21"/>
              </w:rPr>
            </w:pPr>
            <w:r>
              <w:rPr>
                <w:rFonts w:ascii="宋体" w:hAnsi="宋体" w:eastAsia="宋体" w:cs="宋体"/>
                <w:sz w:val="21"/>
                <w:szCs w:val="21"/>
              </w:rPr>
              <w:t>√</w:t>
            </w:r>
          </w:p>
        </w:tc>
        <w:tc>
          <w:tcPr>
            <w:tcW w:w="1878" w:type="dxa"/>
            <w:vAlign w:val="top"/>
          </w:tcPr>
          <w:p w14:paraId="37C54CE8">
            <w:pPr>
              <w:spacing w:before="120" w:line="238"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20DBF8D1">
            <w:pPr>
              <w:spacing w:before="120" w:line="238" w:lineRule="auto"/>
              <w:ind w:left="1017"/>
              <w:rPr>
                <w:rFonts w:ascii="宋体" w:hAnsi="宋体" w:eastAsia="宋体" w:cs="宋体"/>
                <w:sz w:val="21"/>
                <w:szCs w:val="21"/>
              </w:rPr>
            </w:pPr>
            <w:r>
              <w:rPr>
                <w:rFonts w:ascii="宋体" w:hAnsi="宋体" w:eastAsia="宋体" w:cs="宋体"/>
                <w:sz w:val="21"/>
                <w:szCs w:val="21"/>
              </w:rPr>
              <w:t>√</w:t>
            </w:r>
          </w:p>
        </w:tc>
      </w:tr>
      <w:tr w14:paraId="39FED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341" w:type="dxa"/>
            <w:vAlign w:val="top"/>
          </w:tcPr>
          <w:p w14:paraId="315DAB9B">
            <w:pPr>
              <w:spacing w:before="101" w:line="220" w:lineRule="auto"/>
              <w:ind w:left="85"/>
              <w:rPr>
                <w:rFonts w:ascii="宋体" w:hAnsi="宋体" w:eastAsia="宋体" w:cs="宋体"/>
                <w:sz w:val="21"/>
                <w:szCs w:val="21"/>
              </w:rPr>
            </w:pPr>
            <w:r>
              <w:rPr>
                <w:rFonts w:ascii="宋体" w:hAnsi="宋体" w:eastAsia="宋体" w:cs="宋体"/>
                <w:spacing w:val="-2"/>
                <w:sz w:val="21"/>
                <w:szCs w:val="21"/>
              </w:rPr>
              <w:t>划分</w:t>
            </w:r>
          </w:p>
        </w:tc>
        <w:tc>
          <w:tcPr>
            <w:tcW w:w="1878" w:type="dxa"/>
            <w:vAlign w:val="top"/>
          </w:tcPr>
          <w:p w14:paraId="2AB3CBCB">
            <w:pPr>
              <w:spacing w:before="121" w:line="235" w:lineRule="auto"/>
              <w:ind w:left="824"/>
              <w:rPr>
                <w:rFonts w:ascii="宋体" w:hAnsi="宋体" w:eastAsia="宋体" w:cs="宋体"/>
                <w:sz w:val="21"/>
                <w:szCs w:val="21"/>
              </w:rPr>
            </w:pPr>
            <w:r>
              <w:rPr>
                <w:rFonts w:ascii="宋体" w:hAnsi="宋体" w:eastAsia="宋体" w:cs="宋体"/>
                <w:sz w:val="21"/>
                <w:szCs w:val="21"/>
              </w:rPr>
              <w:t>√</w:t>
            </w:r>
          </w:p>
        </w:tc>
        <w:tc>
          <w:tcPr>
            <w:tcW w:w="1878" w:type="dxa"/>
            <w:vAlign w:val="top"/>
          </w:tcPr>
          <w:p w14:paraId="1745D6C0">
            <w:pPr>
              <w:spacing w:before="121" w:line="235"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6A8913C0">
            <w:pPr>
              <w:spacing w:before="121" w:line="235" w:lineRule="auto"/>
              <w:ind w:left="1017"/>
              <w:rPr>
                <w:rFonts w:ascii="宋体" w:hAnsi="宋体" w:eastAsia="宋体" w:cs="宋体"/>
                <w:sz w:val="21"/>
                <w:szCs w:val="21"/>
              </w:rPr>
            </w:pPr>
            <w:r>
              <w:rPr>
                <w:rFonts w:ascii="宋体" w:hAnsi="宋体" w:eastAsia="宋体" w:cs="宋体"/>
                <w:sz w:val="21"/>
                <w:szCs w:val="21"/>
              </w:rPr>
              <w:t>√</w:t>
            </w:r>
          </w:p>
        </w:tc>
      </w:tr>
      <w:tr w14:paraId="7E1E9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3341" w:type="dxa"/>
            <w:vAlign w:val="top"/>
          </w:tcPr>
          <w:p w14:paraId="6805A222">
            <w:pPr>
              <w:spacing w:before="92" w:line="220" w:lineRule="auto"/>
              <w:ind w:left="85"/>
              <w:rPr>
                <w:rFonts w:ascii="宋体" w:hAnsi="宋体" w:eastAsia="宋体" w:cs="宋体"/>
                <w:sz w:val="21"/>
                <w:szCs w:val="21"/>
              </w:rPr>
            </w:pPr>
            <w:r>
              <w:rPr>
                <w:rFonts w:ascii="宋体" w:hAnsi="宋体" w:eastAsia="宋体" w:cs="宋体"/>
                <w:spacing w:val="4"/>
                <w:sz w:val="21"/>
                <w:szCs w:val="21"/>
              </w:rPr>
              <w:t>测试控制</w:t>
            </w:r>
          </w:p>
        </w:tc>
        <w:tc>
          <w:tcPr>
            <w:tcW w:w="1878" w:type="dxa"/>
            <w:vAlign w:val="top"/>
          </w:tcPr>
          <w:p w14:paraId="2B4541A5">
            <w:pPr>
              <w:spacing w:before="112" w:line="234" w:lineRule="auto"/>
              <w:ind w:left="824"/>
              <w:rPr>
                <w:rFonts w:ascii="宋体" w:hAnsi="宋体" w:eastAsia="宋体" w:cs="宋体"/>
                <w:sz w:val="21"/>
                <w:szCs w:val="21"/>
              </w:rPr>
            </w:pPr>
            <w:r>
              <w:rPr>
                <w:rFonts w:ascii="宋体" w:hAnsi="宋体" w:eastAsia="宋体" w:cs="宋体"/>
                <w:sz w:val="21"/>
                <w:szCs w:val="21"/>
              </w:rPr>
              <w:t>√</w:t>
            </w:r>
          </w:p>
        </w:tc>
        <w:tc>
          <w:tcPr>
            <w:tcW w:w="1878" w:type="dxa"/>
            <w:vAlign w:val="top"/>
          </w:tcPr>
          <w:p w14:paraId="502C59A8">
            <w:pPr>
              <w:spacing w:before="112" w:line="234"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0F5132C7">
            <w:pPr>
              <w:spacing w:before="112" w:line="234" w:lineRule="auto"/>
              <w:ind w:left="1017"/>
              <w:rPr>
                <w:rFonts w:ascii="宋体" w:hAnsi="宋体" w:eastAsia="宋体" w:cs="宋体"/>
                <w:sz w:val="21"/>
                <w:szCs w:val="21"/>
              </w:rPr>
            </w:pPr>
            <w:r>
              <w:rPr>
                <w:rFonts w:ascii="宋体" w:hAnsi="宋体" w:eastAsia="宋体" w:cs="宋体"/>
                <w:sz w:val="21"/>
                <w:szCs w:val="21"/>
              </w:rPr>
              <w:t>√</w:t>
            </w:r>
          </w:p>
        </w:tc>
      </w:tr>
      <w:tr w14:paraId="05FF7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3341" w:type="dxa"/>
            <w:vAlign w:val="top"/>
          </w:tcPr>
          <w:p w14:paraId="2D2EF403">
            <w:pPr>
              <w:spacing w:before="102" w:line="219" w:lineRule="auto"/>
              <w:ind w:left="85"/>
              <w:rPr>
                <w:rFonts w:ascii="宋体" w:hAnsi="宋体" w:eastAsia="宋体" w:cs="宋体"/>
                <w:sz w:val="21"/>
                <w:szCs w:val="21"/>
              </w:rPr>
            </w:pPr>
            <w:r>
              <w:rPr>
                <w:rFonts w:ascii="宋体" w:hAnsi="宋体" w:eastAsia="宋体" w:cs="宋体"/>
                <w:spacing w:val="-2"/>
                <w:sz w:val="21"/>
                <w:szCs w:val="21"/>
              </w:rPr>
              <w:t>测试通路</w:t>
            </w:r>
          </w:p>
        </w:tc>
        <w:tc>
          <w:tcPr>
            <w:tcW w:w="1878" w:type="dxa"/>
            <w:vAlign w:val="top"/>
          </w:tcPr>
          <w:p w14:paraId="20B99C41">
            <w:pPr>
              <w:spacing w:before="123" w:line="238" w:lineRule="auto"/>
              <w:ind w:left="824"/>
              <w:rPr>
                <w:rFonts w:ascii="宋体" w:hAnsi="宋体" w:eastAsia="宋体" w:cs="宋体"/>
                <w:sz w:val="21"/>
                <w:szCs w:val="21"/>
              </w:rPr>
            </w:pPr>
            <w:r>
              <w:rPr>
                <w:rFonts w:ascii="宋体" w:hAnsi="宋体" w:eastAsia="宋体" w:cs="宋体"/>
                <w:sz w:val="21"/>
                <w:szCs w:val="21"/>
              </w:rPr>
              <w:t>√</w:t>
            </w:r>
          </w:p>
        </w:tc>
        <w:tc>
          <w:tcPr>
            <w:tcW w:w="1878" w:type="dxa"/>
            <w:vAlign w:val="top"/>
          </w:tcPr>
          <w:p w14:paraId="2DDBDF4C">
            <w:pPr>
              <w:spacing w:before="123" w:line="238"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1F2EC26A">
            <w:pPr>
              <w:spacing w:before="123" w:line="238" w:lineRule="auto"/>
              <w:ind w:left="1017"/>
              <w:rPr>
                <w:rFonts w:ascii="宋体" w:hAnsi="宋体" w:eastAsia="宋体" w:cs="宋体"/>
                <w:sz w:val="21"/>
                <w:szCs w:val="21"/>
              </w:rPr>
            </w:pPr>
            <w:r>
              <w:rPr>
                <w:rFonts w:ascii="宋体" w:hAnsi="宋体" w:eastAsia="宋体" w:cs="宋体"/>
                <w:sz w:val="21"/>
                <w:szCs w:val="21"/>
              </w:rPr>
              <w:t>√</w:t>
            </w:r>
          </w:p>
        </w:tc>
      </w:tr>
      <w:tr w14:paraId="4ACD3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341" w:type="dxa"/>
            <w:vAlign w:val="top"/>
          </w:tcPr>
          <w:p w14:paraId="31F6A92B">
            <w:pPr>
              <w:spacing w:before="103" w:line="219" w:lineRule="auto"/>
              <w:ind w:left="85"/>
              <w:rPr>
                <w:rFonts w:ascii="宋体" w:hAnsi="宋体" w:eastAsia="宋体" w:cs="宋体"/>
                <w:sz w:val="21"/>
                <w:szCs w:val="21"/>
              </w:rPr>
            </w:pPr>
            <w:r>
              <w:rPr>
                <w:rFonts w:ascii="宋体" w:hAnsi="宋体" w:eastAsia="宋体" w:cs="宋体"/>
                <w:spacing w:val="3"/>
                <w:sz w:val="21"/>
                <w:szCs w:val="21"/>
              </w:rPr>
              <w:t>测试数据</w:t>
            </w:r>
          </w:p>
        </w:tc>
        <w:tc>
          <w:tcPr>
            <w:tcW w:w="1878" w:type="dxa"/>
            <w:vAlign w:val="top"/>
          </w:tcPr>
          <w:p w14:paraId="2E620CAC">
            <w:pPr>
              <w:spacing w:before="123" w:line="233" w:lineRule="auto"/>
              <w:ind w:left="824"/>
              <w:rPr>
                <w:rFonts w:ascii="宋体" w:hAnsi="宋体" w:eastAsia="宋体" w:cs="宋体"/>
                <w:sz w:val="21"/>
                <w:szCs w:val="21"/>
              </w:rPr>
            </w:pPr>
            <w:r>
              <w:rPr>
                <w:rFonts w:ascii="宋体" w:hAnsi="宋体" w:eastAsia="宋体" w:cs="宋体"/>
                <w:sz w:val="21"/>
                <w:szCs w:val="21"/>
              </w:rPr>
              <w:t>△</w:t>
            </w:r>
          </w:p>
        </w:tc>
        <w:tc>
          <w:tcPr>
            <w:tcW w:w="1878" w:type="dxa"/>
            <w:vAlign w:val="top"/>
          </w:tcPr>
          <w:p w14:paraId="093075CF">
            <w:pPr>
              <w:spacing w:before="123" w:line="233"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084C06A4">
            <w:pPr>
              <w:spacing w:before="125" w:line="232" w:lineRule="auto"/>
              <w:ind w:left="1017"/>
              <w:rPr>
                <w:rFonts w:ascii="宋体" w:hAnsi="宋体" w:eastAsia="宋体" w:cs="宋体"/>
                <w:sz w:val="21"/>
                <w:szCs w:val="21"/>
              </w:rPr>
            </w:pPr>
            <w:r>
              <w:rPr>
                <w:rFonts w:ascii="宋体" w:hAnsi="宋体" w:eastAsia="宋体" w:cs="宋体"/>
                <w:sz w:val="21"/>
                <w:szCs w:val="21"/>
              </w:rPr>
              <w:t>√</w:t>
            </w:r>
          </w:p>
        </w:tc>
      </w:tr>
      <w:tr w14:paraId="56CF5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3341" w:type="dxa"/>
            <w:vAlign w:val="top"/>
          </w:tcPr>
          <w:p w14:paraId="6A409AA5">
            <w:pPr>
              <w:spacing w:before="105" w:line="220" w:lineRule="auto"/>
              <w:ind w:left="85"/>
              <w:rPr>
                <w:rFonts w:ascii="宋体" w:hAnsi="宋体" w:eastAsia="宋体" w:cs="宋体"/>
                <w:sz w:val="21"/>
                <w:szCs w:val="21"/>
              </w:rPr>
            </w:pPr>
            <w:r>
              <w:rPr>
                <w:rFonts w:ascii="宋体" w:hAnsi="宋体" w:eastAsia="宋体" w:cs="宋体"/>
                <w:spacing w:val="1"/>
                <w:sz w:val="21"/>
                <w:szCs w:val="21"/>
              </w:rPr>
              <w:t>电子功能结构设计</w:t>
            </w:r>
          </w:p>
        </w:tc>
        <w:tc>
          <w:tcPr>
            <w:tcW w:w="1878" w:type="dxa"/>
            <w:vAlign w:val="top"/>
          </w:tcPr>
          <w:p w14:paraId="22206BB1">
            <w:pPr>
              <w:spacing w:before="125" w:line="237" w:lineRule="auto"/>
              <w:ind w:left="824"/>
              <w:rPr>
                <w:rFonts w:ascii="宋体" w:hAnsi="宋体" w:eastAsia="宋体" w:cs="宋体"/>
                <w:sz w:val="21"/>
                <w:szCs w:val="21"/>
              </w:rPr>
            </w:pPr>
            <w:r>
              <w:rPr>
                <w:rFonts w:ascii="宋体" w:hAnsi="宋体" w:eastAsia="宋体" w:cs="宋体"/>
                <w:sz w:val="21"/>
                <w:szCs w:val="21"/>
              </w:rPr>
              <w:t>△</w:t>
            </w:r>
          </w:p>
        </w:tc>
        <w:tc>
          <w:tcPr>
            <w:tcW w:w="1878" w:type="dxa"/>
            <w:vAlign w:val="top"/>
          </w:tcPr>
          <w:p w14:paraId="182F5FDE">
            <w:pPr>
              <w:spacing w:before="125" w:line="238"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5E0509BD">
            <w:pPr>
              <w:spacing w:before="125" w:line="238" w:lineRule="auto"/>
              <w:ind w:left="1017"/>
              <w:rPr>
                <w:rFonts w:ascii="宋体" w:hAnsi="宋体" w:eastAsia="宋体" w:cs="宋体"/>
                <w:sz w:val="21"/>
                <w:szCs w:val="21"/>
              </w:rPr>
            </w:pPr>
            <w:r>
              <w:rPr>
                <w:rFonts w:ascii="宋体" w:hAnsi="宋体" w:eastAsia="宋体" w:cs="宋体"/>
                <w:sz w:val="21"/>
                <w:szCs w:val="21"/>
              </w:rPr>
              <w:t>√</w:t>
            </w:r>
          </w:p>
        </w:tc>
      </w:tr>
      <w:tr w14:paraId="47318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3341" w:type="dxa"/>
            <w:vAlign w:val="top"/>
          </w:tcPr>
          <w:p w14:paraId="141DF5A9">
            <w:pPr>
              <w:spacing w:before="104" w:line="219" w:lineRule="auto"/>
              <w:ind w:left="85"/>
              <w:rPr>
                <w:rFonts w:ascii="宋体" w:hAnsi="宋体" w:eastAsia="宋体" w:cs="宋体"/>
                <w:sz w:val="21"/>
                <w:szCs w:val="21"/>
              </w:rPr>
            </w:pPr>
            <w:r>
              <w:rPr>
                <w:rFonts w:ascii="宋体" w:hAnsi="宋体" w:eastAsia="宋体" w:cs="宋体"/>
                <w:spacing w:val="-2"/>
                <w:sz w:val="21"/>
                <w:szCs w:val="21"/>
              </w:rPr>
              <w:t>模拟电路设计</w:t>
            </w:r>
          </w:p>
        </w:tc>
        <w:tc>
          <w:tcPr>
            <w:tcW w:w="1878" w:type="dxa"/>
            <w:vAlign w:val="top"/>
          </w:tcPr>
          <w:p w14:paraId="6FE1A18D">
            <w:pPr>
              <w:spacing w:before="148" w:line="201" w:lineRule="exact"/>
              <w:ind w:left="854"/>
              <w:rPr>
                <w:rFonts w:ascii="宋体" w:hAnsi="宋体" w:eastAsia="宋体" w:cs="宋体"/>
                <w:sz w:val="15"/>
                <w:szCs w:val="15"/>
              </w:rPr>
            </w:pPr>
            <w:r>
              <w:rPr>
                <w:rFonts w:ascii="宋体" w:hAnsi="宋体" w:eastAsia="宋体" w:cs="宋体"/>
                <w:position w:val="1"/>
                <w:sz w:val="15"/>
                <w:szCs w:val="15"/>
              </w:rPr>
              <w:t>×</w:t>
            </w:r>
          </w:p>
        </w:tc>
        <w:tc>
          <w:tcPr>
            <w:tcW w:w="1878" w:type="dxa"/>
            <w:vAlign w:val="top"/>
          </w:tcPr>
          <w:p w14:paraId="1D8CC7D6">
            <w:pPr>
              <w:spacing w:before="148" w:line="201" w:lineRule="exact"/>
              <w:ind w:left="856"/>
              <w:rPr>
                <w:rFonts w:ascii="宋体" w:hAnsi="宋体" w:eastAsia="宋体" w:cs="宋体"/>
                <w:sz w:val="15"/>
                <w:szCs w:val="15"/>
              </w:rPr>
            </w:pPr>
            <w:r>
              <w:rPr>
                <w:rFonts w:ascii="宋体" w:hAnsi="宋体" w:eastAsia="宋体" w:cs="宋体"/>
                <w:position w:val="1"/>
                <w:sz w:val="15"/>
                <w:szCs w:val="15"/>
              </w:rPr>
              <w:t>×</w:t>
            </w:r>
          </w:p>
        </w:tc>
        <w:tc>
          <w:tcPr>
            <w:tcW w:w="2263" w:type="dxa"/>
            <w:vAlign w:val="top"/>
          </w:tcPr>
          <w:p w14:paraId="28381313">
            <w:pPr>
              <w:spacing w:before="126" w:line="238" w:lineRule="auto"/>
              <w:ind w:left="1017"/>
              <w:rPr>
                <w:rFonts w:ascii="宋体" w:hAnsi="宋体" w:eastAsia="宋体" w:cs="宋体"/>
                <w:sz w:val="21"/>
                <w:szCs w:val="21"/>
              </w:rPr>
            </w:pPr>
            <w:r>
              <w:rPr>
                <w:rFonts w:ascii="宋体" w:hAnsi="宋体" w:eastAsia="宋体" w:cs="宋体"/>
                <w:sz w:val="21"/>
                <w:szCs w:val="21"/>
              </w:rPr>
              <w:t>√</w:t>
            </w:r>
          </w:p>
        </w:tc>
      </w:tr>
      <w:tr w14:paraId="6BAAE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341" w:type="dxa"/>
            <w:vAlign w:val="top"/>
          </w:tcPr>
          <w:p w14:paraId="51742F5D">
            <w:pPr>
              <w:spacing w:before="106" w:line="219" w:lineRule="auto"/>
              <w:ind w:left="85"/>
              <w:rPr>
                <w:rFonts w:ascii="宋体" w:hAnsi="宋体" w:eastAsia="宋体" w:cs="宋体"/>
                <w:sz w:val="21"/>
                <w:szCs w:val="21"/>
              </w:rPr>
            </w:pPr>
            <w:r>
              <w:rPr>
                <w:rFonts w:ascii="宋体" w:hAnsi="宋体" w:eastAsia="宋体" w:cs="宋体"/>
                <w:spacing w:val="-2"/>
                <w:sz w:val="21"/>
                <w:szCs w:val="21"/>
              </w:rPr>
              <w:t>数字电路设计</w:t>
            </w:r>
          </w:p>
        </w:tc>
        <w:tc>
          <w:tcPr>
            <w:tcW w:w="1878" w:type="dxa"/>
            <w:vAlign w:val="top"/>
          </w:tcPr>
          <w:p w14:paraId="5A58AFE0">
            <w:pPr>
              <w:spacing w:before="149" w:line="201" w:lineRule="exact"/>
              <w:ind w:left="854"/>
              <w:rPr>
                <w:rFonts w:ascii="宋体" w:hAnsi="宋体" w:eastAsia="宋体" w:cs="宋体"/>
                <w:sz w:val="15"/>
                <w:szCs w:val="15"/>
              </w:rPr>
            </w:pPr>
            <w:r>
              <w:rPr>
                <w:rFonts w:ascii="宋体" w:hAnsi="宋体" w:eastAsia="宋体" w:cs="宋体"/>
                <w:position w:val="1"/>
                <w:sz w:val="15"/>
                <w:szCs w:val="15"/>
              </w:rPr>
              <w:t>×</w:t>
            </w:r>
          </w:p>
        </w:tc>
        <w:tc>
          <w:tcPr>
            <w:tcW w:w="1878" w:type="dxa"/>
            <w:vAlign w:val="top"/>
          </w:tcPr>
          <w:p w14:paraId="053DEEF7">
            <w:pPr>
              <w:spacing w:before="127" w:line="231"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0DC6680A">
            <w:pPr>
              <w:spacing w:before="127" w:line="231" w:lineRule="auto"/>
              <w:ind w:left="1017"/>
              <w:rPr>
                <w:rFonts w:ascii="宋体" w:hAnsi="宋体" w:eastAsia="宋体" w:cs="宋体"/>
                <w:sz w:val="21"/>
                <w:szCs w:val="21"/>
              </w:rPr>
            </w:pPr>
            <w:r>
              <w:rPr>
                <w:rFonts w:ascii="宋体" w:hAnsi="宋体" w:eastAsia="宋体" w:cs="宋体"/>
                <w:sz w:val="21"/>
                <w:szCs w:val="21"/>
              </w:rPr>
              <w:t>√</w:t>
            </w:r>
          </w:p>
        </w:tc>
      </w:tr>
      <w:tr w14:paraId="1053A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341" w:type="dxa"/>
            <w:vAlign w:val="top"/>
          </w:tcPr>
          <w:p w14:paraId="5AD590F5">
            <w:pPr>
              <w:spacing w:before="106" w:line="219" w:lineRule="auto"/>
              <w:ind w:left="85"/>
              <w:rPr>
                <w:rFonts w:ascii="宋体" w:hAnsi="宋体" w:eastAsia="宋体" w:cs="宋体"/>
                <w:sz w:val="21"/>
                <w:szCs w:val="21"/>
              </w:rPr>
            </w:pPr>
            <w:r>
              <w:rPr>
                <w:rFonts w:ascii="宋体" w:hAnsi="宋体" w:eastAsia="宋体" w:cs="宋体"/>
                <w:spacing w:val="-2"/>
                <w:sz w:val="21"/>
                <w:szCs w:val="21"/>
              </w:rPr>
              <w:t>元器件选择</w:t>
            </w:r>
          </w:p>
        </w:tc>
        <w:tc>
          <w:tcPr>
            <w:tcW w:w="1878" w:type="dxa"/>
            <w:vAlign w:val="top"/>
          </w:tcPr>
          <w:p w14:paraId="29A713FB">
            <w:pPr>
              <w:spacing w:before="127" w:line="230" w:lineRule="auto"/>
              <w:ind w:left="824"/>
              <w:rPr>
                <w:rFonts w:ascii="宋体" w:hAnsi="宋体" w:eastAsia="宋体" w:cs="宋体"/>
                <w:sz w:val="21"/>
                <w:szCs w:val="21"/>
              </w:rPr>
            </w:pPr>
            <w:r>
              <w:rPr>
                <w:rFonts w:ascii="宋体" w:hAnsi="宋体" w:eastAsia="宋体" w:cs="宋体"/>
                <w:sz w:val="21"/>
                <w:szCs w:val="21"/>
              </w:rPr>
              <w:t>√</w:t>
            </w:r>
          </w:p>
        </w:tc>
        <w:tc>
          <w:tcPr>
            <w:tcW w:w="1878" w:type="dxa"/>
            <w:vAlign w:val="top"/>
          </w:tcPr>
          <w:p w14:paraId="181E8EA3">
            <w:pPr>
              <w:spacing w:before="127" w:line="230"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767C971D">
            <w:pPr>
              <w:spacing w:before="127" w:line="230" w:lineRule="auto"/>
              <w:ind w:left="1017"/>
              <w:rPr>
                <w:rFonts w:ascii="宋体" w:hAnsi="宋体" w:eastAsia="宋体" w:cs="宋体"/>
                <w:sz w:val="21"/>
                <w:szCs w:val="21"/>
              </w:rPr>
            </w:pPr>
            <w:r>
              <w:rPr>
                <w:rFonts w:ascii="宋体" w:hAnsi="宋体" w:eastAsia="宋体" w:cs="宋体"/>
                <w:sz w:val="21"/>
                <w:szCs w:val="21"/>
              </w:rPr>
              <w:t>√</w:t>
            </w:r>
          </w:p>
        </w:tc>
      </w:tr>
      <w:tr w14:paraId="63191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3341" w:type="dxa"/>
            <w:vAlign w:val="top"/>
          </w:tcPr>
          <w:p w14:paraId="44C1F83D">
            <w:pPr>
              <w:spacing w:before="107" w:line="219" w:lineRule="auto"/>
              <w:ind w:left="85"/>
              <w:rPr>
                <w:rFonts w:ascii="宋体" w:hAnsi="宋体" w:eastAsia="宋体" w:cs="宋体"/>
                <w:sz w:val="21"/>
                <w:szCs w:val="21"/>
              </w:rPr>
            </w:pPr>
            <w:r>
              <w:rPr>
                <w:rFonts w:ascii="宋体" w:hAnsi="宋体" w:eastAsia="宋体" w:cs="宋体"/>
                <w:spacing w:val="-2"/>
                <w:sz w:val="21"/>
                <w:szCs w:val="21"/>
              </w:rPr>
              <w:t>射频电路设计</w:t>
            </w:r>
          </w:p>
        </w:tc>
        <w:tc>
          <w:tcPr>
            <w:tcW w:w="1878" w:type="dxa"/>
            <w:vAlign w:val="top"/>
          </w:tcPr>
          <w:p w14:paraId="55065C91">
            <w:pPr>
              <w:spacing w:before="158" w:line="188" w:lineRule="exact"/>
              <w:ind w:left="864"/>
              <w:rPr>
                <w:rFonts w:ascii="宋体" w:hAnsi="宋体" w:eastAsia="宋体" w:cs="宋体"/>
                <w:sz w:val="14"/>
                <w:szCs w:val="14"/>
              </w:rPr>
            </w:pPr>
            <w:r>
              <w:rPr>
                <w:rFonts w:ascii="宋体" w:hAnsi="宋体" w:eastAsia="宋体" w:cs="宋体"/>
                <w:position w:val="1"/>
                <w:sz w:val="14"/>
                <w:szCs w:val="14"/>
              </w:rPr>
              <w:t>×</w:t>
            </w:r>
          </w:p>
        </w:tc>
        <w:tc>
          <w:tcPr>
            <w:tcW w:w="1878" w:type="dxa"/>
            <w:vAlign w:val="top"/>
          </w:tcPr>
          <w:p w14:paraId="7EA26D1E">
            <w:pPr>
              <w:spacing w:before="150" w:line="201" w:lineRule="exact"/>
              <w:ind w:left="856"/>
              <w:rPr>
                <w:rFonts w:ascii="宋体" w:hAnsi="宋体" w:eastAsia="宋体" w:cs="宋体"/>
                <w:sz w:val="15"/>
                <w:szCs w:val="15"/>
              </w:rPr>
            </w:pPr>
            <w:r>
              <w:rPr>
                <w:rFonts w:ascii="宋体" w:hAnsi="宋体" w:eastAsia="宋体" w:cs="宋体"/>
                <w:position w:val="1"/>
                <w:sz w:val="15"/>
                <w:szCs w:val="15"/>
              </w:rPr>
              <w:t>×</w:t>
            </w:r>
          </w:p>
        </w:tc>
        <w:tc>
          <w:tcPr>
            <w:tcW w:w="2263" w:type="dxa"/>
            <w:vAlign w:val="top"/>
          </w:tcPr>
          <w:p w14:paraId="23AC1A2A">
            <w:pPr>
              <w:spacing w:before="128" w:line="238" w:lineRule="auto"/>
              <w:ind w:left="1017"/>
              <w:rPr>
                <w:rFonts w:ascii="宋体" w:hAnsi="宋体" w:eastAsia="宋体" w:cs="宋体"/>
                <w:sz w:val="21"/>
                <w:szCs w:val="21"/>
              </w:rPr>
            </w:pPr>
            <w:r>
              <w:rPr>
                <w:rFonts w:ascii="宋体" w:hAnsi="宋体" w:eastAsia="宋体" w:cs="宋体"/>
                <w:sz w:val="21"/>
                <w:szCs w:val="21"/>
              </w:rPr>
              <w:t>√</w:t>
            </w:r>
          </w:p>
        </w:tc>
      </w:tr>
      <w:tr w14:paraId="38D41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3341" w:type="dxa"/>
            <w:vAlign w:val="top"/>
          </w:tcPr>
          <w:p w14:paraId="1FAE6837">
            <w:pPr>
              <w:spacing w:before="107" w:line="219" w:lineRule="auto"/>
              <w:ind w:left="85"/>
              <w:rPr>
                <w:rFonts w:ascii="宋体" w:hAnsi="宋体" w:eastAsia="宋体" w:cs="宋体"/>
                <w:sz w:val="21"/>
                <w:szCs w:val="21"/>
              </w:rPr>
            </w:pPr>
            <w:r>
              <w:rPr>
                <w:rFonts w:ascii="宋体" w:hAnsi="宋体" w:eastAsia="宋体" w:cs="宋体"/>
                <w:spacing w:val="1"/>
                <w:sz w:val="21"/>
                <w:szCs w:val="21"/>
              </w:rPr>
              <w:t>电光设备设计</w:t>
            </w:r>
          </w:p>
        </w:tc>
        <w:tc>
          <w:tcPr>
            <w:tcW w:w="1878" w:type="dxa"/>
            <w:vAlign w:val="top"/>
          </w:tcPr>
          <w:p w14:paraId="33610F5A">
            <w:pPr>
              <w:spacing w:before="150" w:line="201" w:lineRule="exact"/>
              <w:ind w:left="854"/>
              <w:rPr>
                <w:rFonts w:ascii="宋体" w:hAnsi="宋体" w:eastAsia="宋体" w:cs="宋体"/>
                <w:sz w:val="15"/>
                <w:szCs w:val="15"/>
              </w:rPr>
            </w:pPr>
            <w:r>
              <w:rPr>
                <w:rFonts w:ascii="宋体" w:hAnsi="宋体" w:eastAsia="宋体" w:cs="宋体"/>
                <w:position w:val="1"/>
                <w:sz w:val="15"/>
                <w:szCs w:val="15"/>
              </w:rPr>
              <w:t>×</w:t>
            </w:r>
          </w:p>
        </w:tc>
        <w:tc>
          <w:tcPr>
            <w:tcW w:w="1878" w:type="dxa"/>
            <w:vAlign w:val="top"/>
          </w:tcPr>
          <w:p w14:paraId="530F5E0E">
            <w:pPr>
              <w:spacing w:before="150" w:line="201" w:lineRule="exact"/>
              <w:ind w:left="856"/>
              <w:rPr>
                <w:rFonts w:ascii="宋体" w:hAnsi="宋体" w:eastAsia="宋体" w:cs="宋体"/>
                <w:sz w:val="15"/>
                <w:szCs w:val="15"/>
              </w:rPr>
            </w:pPr>
            <w:r>
              <w:rPr>
                <w:rFonts w:ascii="宋体" w:hAnsi="宋体" w:eastAsia="宋体" w:cs="宋体"/>
                <w:position w:val="1"/>
                <w:sz w:val="15"/>
                <w:szCs w:val="15"/>
              </w:rPr>
              <w:t>×</w:t>
            </w:r>
          </w:p>
        </w:tc>
        <w:tc>
          <w:tcPr>
            <w:tcW w:w="2263" w:type="dxa"/>
            <w:vAlign w:val="top"/>
          </w:tcPr>
          <w:p w14:paraId="308D01A6">
            <w:pPr>
              <w:spacing w:before="128" w:line="238" w:lineRule="auto"/>
              <w:ind w:left="1017"/>
              <w:rPr>
                <w:rFonts w:ascii="宋体" w:hAnsi="宋体" w:eastAsia="宋体" w:cs="宋体"/>
                <w:sz w:val="21"/>
                <w:szCs w:val="21"/>
              </w:rPr>
            </w:pPr>
            <w:r>
              <w:rPr>
                <w:rFonts w:ascii="宋体" w:hAnsi="宋体" w:eastAsia="宋体" w:cs="宋体"/>
                <w:sz w:val="21"/>
                <w:szCs w:val="21"/>
              </w:rPr>
              <w:t>√</w:t>
            </w:r>
          </w:p>
        </w:tc>
      </w:tr>
      <w:tr w14:paraId="5EBC2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341" w:type="dxa"/>
            <w:vAlign w:val="top"/>
          </w:tcPr>
          <w:p w14:paraId="404480DF">
            <w:pPr>
              <w:spacing w:before="106" w:line="219" w:lineRule="auto"/>
              <w:ind w:left="85"/>
              <w:rPr>
                <w:rFonts w:ascii="宋体" w:hAnsi="宋体" w:eastAsia="宋体" w:cs="宋体"/>
                <w:sz w:val="21"/>
                <w:szCs w:val="21"/>
              </w:rPr>
            </w:pPr>
            <w:r>
              <w:rPr>
                <w:rFonts w:ascii="宋体" w:hAnsi="宋体" w:eastAsia="宋体" w:cs="宋体"/>
                <w:spacing w:val="-1"/>
                <w:sz w:val="21"/>
                <w:szCs w:val="21"/>
              </w:rPr>
              <w:t>基于边界扫描的电路板设计</w:t>
            </w:r>
          </w:p>
        </w:tc>
        <w:tc>
          <w:tcPr>
            <w:tcW w:w="1878" w:type="dxa"/>
            <w:vAlign w:val="top"/>
          </w:tcPr>
          <w:p w14:paraId="18A4446A">
            <w:pPr>
              <w:spacing w:before="148" w:line="188" w:lineRule="exact"/>
              <w:ind w:left="864"/>
              <w:rPr>
                <w:rFonts w:ascii="宋体" w:hAnsi="宋体" w:eastAsia="宋体" w:cs="宋体"/>
                <w:sz w:val="14"/>
                <w:szCs w:val="14"/>
              </w:rPr>
            </w:pPr>
            <w:r>
              <w:rPr>
                <w:rFonts w:ascii="宋体" w:hAnsi="宋体" w:eastAsia="宋体" w:cs="宋体"/>
                <w:position w:val="1"/>
                <w:sz w:val="14"/>
                <w:szCs w:val="14"/>
              </w:rPr>
              <w:t>×</w:t>
            </w:r>
          </w:p>
        </w:tc>
        <w:tc>
          <w:tcPr>
            <w:tcW w:w="1878" w:type="dxa"/>
            <w:vAlign w:val="top"/>
          </w:tcPr>
          <w:p w14:paraId="241BE19F">
            <w:pPr>
              <w:spacing w:before="128" w:line="229" w:lineRule="auto"/>
              <w:ind w:left="826"/>
              <w:rPr>
                <w:rFonts w:ascii="宋体" w:hAnsi="宋体" w:eastAsia="宋体" w:cs="宋体"/>
                <w:sz w:val="21"/>
                <w:szCs w:val="21"/>
              </w:rPr>
            </w:pPr>
            <w:r>
              <w:rPr>
                <w:rFonts w:ascii="宋体" w:hAnsi="宋体" w:eastAsia="宋体" w:cs="宋体"/>
                <w:sz w:val="21"/>
                <w:szCs w:val="21"/>
              </w:rPr>
              <w:t>×</w:t>
            </w:r>
          </w:p>
        </w:tc>
        <w:tc>
          <w:tcPr>
            <w:tcW w:w="2263" w:type="dxa"/>
            <w:vAlign w:val="top"/>
          </w:tcPr>
          <w:p w14:paraId="23F21B0C">
            <w:pPr>
              <w:pStyle w:val="6"/>
            </w:pPr>
          </w:p>
        </w:tc>
      </w:tr>
      <w:tr w14:paraId="18E23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360" w:type="dxa"/>
            <w:gridSpan w:val="4"/>
            <w:vAlign w:val="top"/>
          </w:tcPr>
          <w:p w14:paraId="7D59ADA2">
            <w:pPr>
              <w:spacing w:before="108" w:line="219" w:lineRule="auto"/>
              <w:ind w:left="95"/>
              <w:rPr>
                <w:rFonts w:ascii="宋体" w:hAnsi="宋体" w:eastAsia="宋体" w:cs="宋体"/>
                <w:sz w:val="21"/>
                <w:szCs w:val="21"/>
              </w:rPr>
            </w:pPr>
            <w:r>
              <w:rPr>
                <w:rFonts w:ascii="宋体" w:hAnsi="宋体" w:eastAsia="宋体" w:cs="宋体"/>
                <w:spacing w:val="-2"/>
                <w:sz w:val="21"/>
                <w:szCs w:val="21"/>
              </w:rPr>
              <w:t>注：</w:t>
            </w:r>
            <w:r>
              <w:rPr>
                <w:rFonts w:ascii="宋体" w:hAnsi="宋体" w:eastAsia="宋体" w:cs="宋体"/>
                <w:spacing w:val="-31"/>
                <w:sz w:val="21"/>
                <w:szCs w:val="21"/>
              </w:rPr>
              <w:t xml:space="preserve"> </w:t>
            </w:r>
            <w:r>
              <w:rPr>
                <w:rFonts w:ascii="宋体" w:hAnsi="宋体" w:eastAsia="宋体" w:cs="宋体"/>
                <w:spacing w:val="-2"/>
                <w:sz w:val="21"/>
                <w:szCs w:val="21"/>
              </w:rPr>
              <w:t>√表示适用；△表示修改后部分适用；×表示不适用</w:t>
            </w:r>
          </w:p>
        </w:tc>
      </w:tr>
    </w:tbl>
    <w:p w14:paraId="2C3C4B26">
      <w:pPr>
        <w:spacing w:before="210" w:line="222" w:lineRule="auto"/>
        <w:rPr>
          <w:rFonts w:ascii="黑体" w:hAnsi="黑体" w:eastAsia="黑体" w:cs="黑体"/>
          <w:sz w:val="24"/>
          <w:szCs w:val="24"/>
        </w:rPr>
      </w:pPr>
      <w:r>
        <w:rPr>
          <w:rFonts w:ascii="黑体" w:hAnsi="黑体" w:eastAsia="黑体" w:cs="黑体"/>
          <w:spacing w:val="8"/>
          <w:sz w:val="24"/>
          <w:szCs w:val="24"/>
        </w:rPr>
        <w:t>3.2</w:t>
      </w:r>
      <w:r>
        <w:rPr>
          <w:rFonts w:ascii="黑体" w:hAnsi="黑体" w:eastAsia="黑体" w:cs="黑体"/>
          <w:spacing w:val="52"/>
          <w:sz w:val="24"/>
          <w:szCs w:val="24"/>
        </w:rPr>
        <w:t xml:space="preserve">  </w:t>
      </w:r>
      <w:r>
        <w:rPr>
          <w:rFonts w:ascii="黑体" w:hAnsi="黑体" w:eastAsia="黑体" w:cs="黑体"/>
          <w:b/>
          <w:bCs/>
          <w:spacing w:val="8"/>
          <w:sz w:val="24"/>
          <w:szCs w:val="24"/>
        </w:rPr>
        <w:t>设计准则的修改、删</w:t>
      </w:r>
      <w:r>
        <w:rPr>
          <w:rFonts w:ascii="黑体" w:hAnsi="黑体" w:eastAsia="黑体" w:cs="黑体"/>
          <w:spacing w:val="-44"/>
          <w:sz w:val="24"/>
          <w:szCs w:val="24"/>
        </w:rPr>
        <w:t xml:space="preserve"> </w:t>
      </w:r>
      <w:r>
        <w:rPr>
          <w:rFonts w:ascii="黑体" w:hAnsi="黑体" w:eastAsia="黑体" w:cs="黑体"/>
          <w:b/>
          <w:bCs/>
          <w:spacing w:val="8"/>
          <w:sz w:val="24"/>
          <w:szCs w:val="24"/>
        </w:rPr>
        <w:t>减</w:t>
      </w:r>
    </w:p>
    <w:p w14:paraId="3719412C">
      <w:pPr>
        <w:pStyle w:val="2"/>
        <w:spacing w:before="117" w:line="219" w:lineRule="auto"/>
        <w:ind w:left="570"/>
        <w:rPr>
          <w:sz w:val="24"/>
          <w:szCs w:val="24"/>
        </w:rPr>
      </w:pPr>
      <w:r>
        <w:rPr>
          <w:spacing w:val="22"/>
          <w:sz w:val="24"/>
          <w:szCs w:val="24"/>
        </w:rPr>
        <w:t>明确设计准则修改、删减的条款。</w:t>
      </w:r>
    </w:p>
    <w:p w14:paraId="54453D1A">
      <w:pPr>
        <w:spacing w:before="81" w:line="222" w:lineRule="auto"/>
        <w:rPr>
          <w:rFonts w:ascii="黑体" w:hAnsi="黑体" w:eastAsia="黑体" w:cs="黑体"/>
          <w:sz w:val="27"/>
          <w:szCs w:val="27"/>
        </w:rPr>
      </w:pPr>
      <w:r>
        <w:rPr>
          <w:rFonts w:ascii="黑体" w:hAnsi="黑体" w:eastAsia="黑体" w:cs="黑体"/>
          <w:sz w:val="27"/>
          <w:szCs w:val="27"/>
        </w:rPr>
        <w:t>3.3</w:t>
      </w:r>
      <w:r>
        <w:rPr>
          <w:rFonts w:ascii="黑体" w:hAnsi="黑体" w:eastAsia="黑体" w:cs="黑体"/>
          <w:spacing w:val="18"/>
          <w:sz w:val="27"/>
          <w:szCs w:val="27"/>
        </w:rPr>
        <w:t xml:space="preserve">  </w:t>
      </w:r>
      <w:r>
        <w:rPr>
          <w:rFonts w:ascii="黑体" w:hAnsi="黑体" w:eastAsia="黑体" w:cs="黑体"/>
          <w:b/>
          <w:bCs/>
          <w:sz w:val="27"/>
          <w:szCs w:val="27"/>
        </w:rPr>
        <w:t>增加的设计准则</w:t>
      </w:r>
    </w:p>
    <w:p w14:paraId="76818E57">
      <w:pPr>
        <w:pStyle w:val="2"/>
        <w:spacing w:before="109" w:line="219" w:lineRule="auto"/>
        <w:ind w:left="570"/>
      </w:pPr>
      <w:r>
        <w:rPr>
          <w:spacing w:val="3"/>
        </w:rPr>
        <w:t>说明增加与本设计有关的测试性设计准则。</w:t>
      </w:r>
    </w:p>
    <w:p w14:paraId="2B8ABB88">
      <w:pPr>
        <w:spacing w:before="68" w:line="222" w:lineRule="auto"/>
        <w:outlineLvl w:val="3"/>
        <w:rPr>
          <w:rFonts w:ascii="黑体" w:hAnsi="黑体" w:eastAsia="黑体" w:cs="黑体"/>
          <w:sz w:val="27"/>
          <w:szCs w:val="27"/>
        </w:rPr>
      </w:pPr>
      <w:r>
        <w:rPr>
          <w:rFonts w:ascii="Arial" w:hAnsi="Arial" w:eastAsia="Arial" w:cs="Arial"/>
          <w:b/>
          <w:bCs/>
          <w:sz w:val="27"/>
          <w:szCs w:val="27"/>
        </w:rPr>
        <w:t>4</w:t>
      </w:r>
      <w:r>
        <w:rPr>
          <w:rFonts w:ascii="Arial" w:hAnsi="Arial" w:eastAsia="Arial" w:cs="Arial"/>
          <w:b/>
          <w:bCs/>
          <w:spacing w:val="19"/>
          <w:sz w:val="27"/>
          <w:szCs w:val="27"/>
        </w:rPr>
        <w:t xml:space="preserve">   </w:t>
      </w:r>
      <w:r>
        <w:rPr>
          <w:rFonts w:ascii="黑体" w:hAnsi="黑体" w:eastAsia="黑体" w:cs="黑体"/>
          <w:b/>
          <w:bCs/>
          <w:sz w:val="27"/>
          <w:szCs w:val="27"/>
        </w:rPr>
        <w:t>指定加权系数</w:t>
      </w:r>
    </w:p>
    <w:p w14:paraId="2C754027">
      <w:pPr>
        <w:pStyle w:val="2"/>
        <w:spacing w:before="137" w:line="223" w:lineRule="auto"/>
        <w:ind w:right="30"/>
        <w:jc w:val="right"/>
        <w:rPr>
          <w:sz w:val="25"/>
          <w:szCs w:val="25"/>
        </w:rPr>
      </w:pPr>
      <w:r>
        <w:rPr>
          <w:spacing w:val="26"/>
          <w:sz w:val="25"/>
          <w:szCs w:val="25"/>
        </w:rPr>
        <w:t>针对每条测试性设计准则指定其加权</w:t>
      </w:r>
      <w:r>
        <w:rPr>
          <w:rFonts w:ascii="仿宋" w:hAnsi="仿宋" w:eastAsia="仿宋" w:cs="仿宋"/>
          <w:spacing w:val="26"/>
          <w:sz w:val="25"/>
          <w:szCs w:val="25"/>
        </w:rPr>
        <w:t>系数。</w:t>
      </w:r>
      <w:r>
        <w:rPr>
          <w:spacing w:val="26"/>
          <w:sz w:val="25"/>
          <w:szCs w:val="25"/>
        </w:rPr>
        <w:t>根据对测</w:t>
      </w:r>
      <w:r>
        <w:rPr>
          <w:spacing w:val="25"/>
          <w:sz w:val="25"/>
          <w:szCs w:val="25"/>
        </w:rPr>
        <w:t>试性的相对重要程度</w:t>
      </w:r>
    </w:p>
    <w:p w14:paraId="0885619F">
      <w:pPr>
        <w:spacing w:line="223" w:lineRule="auto"/>
        <w:rPr>
          <w:sz w:val="25"/>
          <w:szCs w:val="25"/>
        </w:rPr>
        <w:sectPr>
          <w:footerReference r:id="rId459" w:type="default"/>
          <w:pgSz w:w="11910" w:h="17130"/>
          <w:pgMar w:top="1456" w:right="1524" w:bottom="1627" w:left="959" w:header="0" w:footer="1446" w:gutter="0"/>
          <w:cols w:space="720" w:num="1"/>
        </w:sectPr>
      </w:pPr>
    </w:p>
    <w:p w14:paraId="1D443FC0">
      <w:pPr>
        <w:pStyle w:val="2"/>
        <w:spacing w:before="53" w:line="277" w:lineRule="auto"/>
        <w:ind w:left="20" w:right="47" w:hanging="20"/>
      </w:pPr>
      <w:r>
        <w:rPr>
          <w:spacing w:val="5"/>
        </w:rPr>
        <w:t>对准则进行加权。每条准则的得分是通过由承制方确定、订购方认可的加权系</w:t>
      </w:r>
      <w:r>
        <w:rPr>
          <w:spacing w:val="4"/>
        </w:rPr>
        <w:t xml:space="preserve"> </w:t>
      </w:r>
      <w:r>
        <w:rPr>
          <w:spacing w:val="-1"/>
        </w:rPr>
        <w:t>数来确定的。</w:t>
      </w:r>
    </w:p>
    <w:p w14:paraId="4FE9EA15">
      <w:pPr>
        <w:pStyle w:val="2"/>
        <w:spacing w:before="3" w:line="277" w:lineRule="auto"/>
        <w:ind w:left="20" w:right="29" w:firstLine="539"/>
        <w:jc w:val="both"/>
      </w:pPr>
      <w:r>
        <w:rPr>
          <w:spacing w:val="8"/>
        </w:rPr>
        <w:t>准则的相对重要程度是通过分配1至10的权值确定的，对满足测试性要求</w:t>
      </w:r>
      <w:r>
        <w:rPr>
          <w:spacing w:val="12"/>
        </w:rPr>
        <w:t xml:space="preserve"> </w:t>
      </w:r>
      <w:r>
        <w:rPr>
          <w:spacing w:val="9"/>
        </w:rPr>
        <w:t>是关键性的设计准则应分配加权系数为10;对满足测试性要</w:t>
      </w:r>
      <w:r>
        <w:rPr>
          <w:spacing w:val="8"/>
        </w:rPr>
        <w:t>求是重要的但不是</w:t>
      </w:r>
      <w:r>
        <w:t xml:space="preserve"> </w:t>
      </w:r>
      <w:r>
        <w:rPr>
          <w:spacing w:val="5"/>
        </w:rPr>
        <w:t>关键的，分配加权系数为5;对测试性设计有益，但对满足测试性要求不</w:t>
      </w:r>
      <w:r>
        <w:rPr>
          <w:spacing w:val="4"/>
        </w:rPr>
        <w:t>是重要</w:t>
      </w:r>
      <w:r>
        <w:t xml:space="preserve"> </w:t>
      </w:r>
      <w:r>
        <w:rPr>
          <w:spacing w:val="-3"/>
        </w:rPr>
        <w:t>的设计准则，分配加权系数为1。</w:t>
      </w:r>
    </w:p>
    <w:p w14:paraId="212A1426">
      <w:pPr>
        <w:spacing w:before="1" w:line="220" w:lineRule="auto"/>
        <w:ind w:left="3"/>
        <w:outlineLvl w:val="3"/>
        <w:rPr>
          <w:rFonts w:ascii="黑体" w:hAnsi="黑体" w:eastAsia="黑体" w:cs="黑体"/>
          <w:sz w:val="27"/>
          <w:szCs w:val="27"/>
        </w:rPr>
      </w:pPr>
      <w:r>
        <w:rPr>
          <w:rFonts w:ascii="黑体" w:hAnsi="黑体" w:eastAsia="黑体" w:cs="黑体"/>
          <w:b/>
          <w:bCs/>
          <w:color w:val="303030"/>
          <w:spacing w:val="2"/>
          <w:sz w:val="27"/>
          <w:szCs w:val="27"/>
        </w:rPr>
        <w:t>5</w:t>
      </w:r>
      <w:r>
        <w:rPr>
          <w:rFonts w:ascii="黑体" w:hAnsi="黑体" w:eastAsia="黑体" w:cs="黑体"/>
          <w:color w:val="303030"/>
          <w:spacing w:val="2"/>
          <w:sz w:val="27"/>
          <w:szCs w:val="27"/>
        </w:rPr>
        <w:t xml:space="preserve">  </w:t>
      </w:r>
      <w:r>
        <w:rPr>
          <w:rFonts w:ascii="黑体" w:hAnsi="黑体" w:eastAsia="黑体" w:cs="黑体"/>
          <w:b/>
          <w:bCs/>
          <w:color w:val="303030"/>
          <w:spacing w:val="2"/>
          <w:sz w:val="27"/>
          <w:szCs w:val="27"/>
        </w:rPr>
        <w:t>确定固有测试性最低要求值</w:t>
      </w:r>
    </w:p>
    <w:p w14:paraId="13D62691">
      <w:pPr>
        <w:pStyle w:val="2"/>
        <w:spacing w:before="78" w:line="275" w:lineRule="auto"/>
        <w:ind w:left="10" w:right="11" w:firstLine="570"/>
        <w:jc w:val="both"/>
      </w:pPr>
      <w:r>
        <w:rPr>
          <w:spacing w:val="5"/>
        </w:rPr>
        <w:t>订购方应确定用于固有测试性评价的最低要求值。在进行固有测试性检查</w:t>
      </w:r>
      <w:r>
        <w:rPr>
          <w:spacing w:val="2"/>
        </w:rPr>
        <w:t xml:space="preserve"> </w:t>
      </w:r>
      <w:r>
        <w:rPr>
          <w:spacing w:val="13"/>
        </w:rPr>
        <w:t>时，最低要求值一般为85分～95分。最后确定的最低要求值是协商过程的结</w:t>
      </w:r>
      <w:r>
        <w:t xml:space="preserve"> </w:t>
      </w:r>
      <w:r>
        <w:rPr>
          <w:spacing w:val="6"/>
        </w:rPr>
        <w:t>果，它包括费用、进度和对其他专业工程的影响，而不是由于设计者</w:t>
      </w:r>
      <w:r>
        <w:rPr>
          <w:spacing w:val="5"/>
        </w:rPr>
        <w:t>技术上的</w:t>
      </w:r>
      <w:r>
        <w:t xml:space="preserve"> </w:t>
      </w:r>
      <w:r>
        <w:rPr>
          <w:spacing w:val="-2"/>
        </w:rPr>
        <w:t>限制。</w:t>
      </w:r>
    </w:p>
    <w:p w14:paraId="0A6D2494">
      <w:pPr>
        <w:spacing w:before="1" w:line="220" w:lineRule="auto"/>
        <w:ind w:left="13"/>
        <w:outlineLvl w:val="3"/>
        <w:rPr>
          <w:rFonts w:ascii="黑体" w:hAnsi="黑体" w:eastAsia="黑体" w:cs="黑体"/>
          <w:sz w:val="27"/>
          <w:szCs w:val="27"/>
        </w:rPr>
      </w:pPr>
      <w:r>
        <w:rPr>
          <w:rFonts w:ascii="黑体" w:hAnsi="黑体" w:eastAsia="黑体" w:cs="黑体"/>
          <w:b/>
          <w:bCs/>
          <w:color w:val="101010"/>
          <w:spacing w:val="1"/>
          <w:sz w:val="27"/>
          <w:szCs w:val="27"/>
        </w:rPr>
        <w:t>6</w:t>
      </w:r>
      <w:r>
        <w:rPr>
          <w:rFonts w:ascii="黑体" w:hAnsi="黑体" w:eastAsia="黑体" w:cs="黑体"/>
          <w:color w:val="101010"/>
          <w:spacing w:val="1"/>
          <w:sz w:val="27"/>
          <w:szCs w:val="27"/>
        </w:rPr>
        <w:t xml:space="preserve">  </w:t>
      </w:r>
      <w:r>
        <w:rPr>
          <w:rFonts w:ascii="黑体" w:hAnsi="黑体" w:eastAsia="黑体" w:cs="黑体"/>
          <w:b/>
          <w:bCs/>
          <w:color w:val="101010"/>
          <w:spacing w:val="1"/>
          <w:sz w:val="27"/>
          <w:szCs w:val="27"/>
        </w:rPr>
        <w:t>计分步骤</w:t>
      </w:r>
    </w:p>
    <w:p w14:paraId="21C2A61B">
      <w:pPr>
        <w:pStyle w:val="2"/>
        <w:spacing w:before="93" w:line="219" w:lineRule="auto"/>
        <w:ind w:left="580"/>
      </w:pPr>
      <w:r>
        <w:rPr>
          <w:spacing w:val="9"/>
        </w:rPr>
        <w:t>记分表的格式见表9.5。</w:t>
      </w:r>
    </w:p>
    <w:p w14:paraId="66E698B4">
      <w:pPr>
        <w:spacing w:before="78" w:line="222" w:lineRule="auto"/>
        <w:ind w:left="3250"/>
        <w:rPr>
          <w:rFonts w:ascii="仿宋" w:hAnsi="仿宋" w:eastAsia="仿宋" w:cs="仿宋"/>
          <w:sz w:val="27"/>
          <w:szCs w:val="27"/>
        </w:rPr>
      </w:pPr>
      <w:r>
        <w:rPr>
          <w:rFonts w:ascii="仿宋" w:hAnsi="仿宋" w:eastAsia="仿宋" w:cs="仿宋"/>
          <w:spacing w:val="6"/>
          <w:sz w:val="27"/>
          <w:szCs w:val="27"/>
        </w:rPr>
        <w:t>表9.5  记分表格式示例</w:t>
      </w:r>
    </w:p>
    <w:p w14:paraId="3DAF9C66">
      <w:pPr>
        <w:spacing w:line="81" w:lineRule="exact"/>
      </w:pPr>
    </w:p>
    <w:tbl>
      <w:tblPr>
        <w:tblStyle w:val="5"/>
        <w:tblW w:w="9360"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1468"/>
        <w:gridCol w:w="1878"/>
        <w:gridCol w:w="1878"/>
        <w:gridCol w:w="1049"/>
        <w:gridCol w:w="1414"/>
      </w:tblGrid>
      <w:tr w14:paraId="78D37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673" w:type="dxa"/>
            <w:vAlign w:val="top"/>
          </w:tcPr>
          <w:p w14:paraId="5DE014FF">
            <w:pPr>
              <w:spacing w:before="94" w:line="220" w:lineRule="auto"/>
              <w:ind w:left="55"/>
              <w:rPr>
                <w:rFonts w:ascii="宋体" w:hAnsi="宋体" w:eastAsia="宋体" w:cs="宋体"/>
                <w:sz w:val="22"/>
                <w:szCs w:val="22"/>
              </w:rPr>
            </w:pPr>
            <w:r>
              <w:rPr>
                <w:rFonts w:ascii="宋体" w:hAnsi="宋体" w:eastAsia="宋体" w:cs="宋体"/>
                <w:spacing w:val="2"/>
                <w:sz w:val="22"/>
                <w:szCs w:val="22"/>
              </w:rPr>
              <w:t>测试性设计准则</w:t>
            </w:r>
          </w:p>
        </w:tc>
        <w:tc>
          <w:tcPr>
            <w:tcW w:w="1468" w:type="dxa"/>
            <w:vAlign w:val="top"/>
          </w:tcPr>
          <w:p w14:paraId="54895CDC">
            <w:pPr>
              <w:spacing w:before="94" w:line="219" w:lineRule="auto"/>
              <w:ind w:left="161"/>
              <w:rPr>
                <w:rFonts w:ascii="宋体" w:hAnsi="宋体" w:eastAsia="宋体" w:cs="宋体"/>
                <w:sz w:val="22"/>
                <w:szCs w:val="22"/>
              </w:rPr>
            </w:pPr>
            <w:r>
              <w:rPr>
                <w:rFonts w:ascii="宋体" w:hAnsi="宋体" w:eastAsia="宋体" w:cs="宋体"/>
                <w:spacing w:val="7"/>
                <w:sz w:val="22"/>
                <w:szCs w:val="22"/>
              </w:rPr>
              <w:t>加权系数W;</w:t>
            </w:r>
          </w:p>
        </w:tc>
        <w:tc>
          <w:tcPr>
            <w:tcW w:w="1878" w:type="dxa"/>
            <w:vAlign w:val="top"/>
          </w:tcPr>
          <w:p w14:paraId="6326119A">
            <w:pPr>
              <w:spacing w:before="94" w:line="219" w:lineRule="auto"/>
              <w:ind w:right="7"/>
              <w:jc w:val="right"/>
              <w:rPr>
                <w:rFonts w:ascii="宋体" w:hAnsi="宋体" w:eastAsia="宋体" w:cs="宋体"/>
                <w:sz w:val="22"/>
                <w:szCs w:val="22"/>
              </w:rPr>
            </w:pPr>
            <w:r>
              <w:rPr>
                <w:rFonts w:ascii="宋体" w:hAnsi="宋体" w:eastAsia="宋体" w:cs="宋体"/>
                <w:spacing w:val="5"/>
                <w:sz w:val="22"/>
                <w:szCs w:val="22"/>
              </w:rPr>
              <w:t>准则适用对象数N;</w:t>
            </w:r>
          </w:p>
        </w:tc>
        <w:tc>
          <w:tcPr>
            <w:tcW w:w="1878" w:type="dxa"/>
            <w:vAlign w:val="top"/>
          </w:tcPr>
          <w:p w14:paraId="1A6BF1AE">
            <w:pPr>
              <w:spacing w:before="94" w:line="219" w:lineRule="auto"/>
              <w:jc w:val="right"/>
              <w:rPr>
                <w:rFonts w:ascii="宋体" w:hAnsi="宋体" w:eastAsia="宋体" w:cs="宋体"/>
                <w:sz w:val="22"/>
                <w:szCs w:val="22"/>
              </w:rPr>
            </w:pPr>
            <w:r>
              <w:rPr>
                <w:rFonts w:ascii="宋体" w:hAnsi="宋体" w:eastAsia="宋体" w:cs="宋体"/>
                <w:spacing w:val="-3"/>
                <w:sz w:val="22"/>
                <w:szCs w:val="22"/>
              </w:rPr>
              <w:t>符合准则对象数N。</w:t>
            </w:r>
          </w:p>
        </w:tc>
        <w:tc>
          <w:tcPr>
            <w:tcW w:w="1049" w:type="dxa"/>
            <w:vAlign w:val="top"/>
          </w:tcPr>
          <w:p w14:paraId="7A7A5066">
            <w:pPr>
              <w:spacing w:before="94" w:line="219" w:lineRule="auto"/>
              <w:ind w:left="188"/>
              <w:rPr>
                <w:rFonts w:ascii="宋体" w:hAnsi="宋体" w:eastAsia="宋体" w:cs="宋体"/>
                <w:sz w:val="22"/>
                <w:szCs w:val="22"/>
              </w:rPr>
            </w:pPr>
            <w:r>
              <w:rPr>
                <w:rFonts w:ascii="宋体" w:hAnsi="宋体" w:eastAsia="宋体" w:cs="宋体"/>
                <w:spacing w:val="11"/>
                <w:sz w:val="22"/>
                <w:szCs w:val="22"/>
              </w:rPr>
              <w:t>得分S;</w:t>
            </w:r>
          </w:p>
        </w:tc>
        <w:tc>
          <w:tcPr>
            <w:tcW w:w="1414" w:type="dxa"/>
            <w:vAlign w:val="top"/>
          </w:tcPr>
          <w:p w14:paraId="7331E2F7">
            <w:pPr>
              <w:spacing w:before="94" w:line="219" w:lineRule="auto"/>
              <w:ind w:left="118"/>
              <w:rPr>
                <w:rFonts w:ascii="宋体" w:hAnsi="宋体" w:eastAsia="宋体" w:cs="宋体"/>
                <w:sz w:val="22"/>
                <w:szCs w:val="22"/>
              </w:rPr>
            </w:pPr>
            <w:r>
              <w:rPr>
                <w:rFonts w:ascii="宋体" w:hAnsi="宋体" w:eastAsia="宋体" w:cs="宋体"/>
                <w:spacing w:val="5"/>
                <w:sz w:val="22"/>
                <w:szCs w:val="22"/>
              </w:rPr>
              <w:t>加权得分</w:t>
            </w:r>
            <w:r>
              <w:rPr>
                <w:rFonts w:ascii="宋体" w:hAnsi="宋体" w:eastAsia="宋体" w:cs="宋体"/>
                <w:sz w:val="22"/>
                <w:szCs w:val="22"/>
              </w:rPr>
              <w:t>Sui</w:t>
            </w:r>
          </w:p>
        </w:tc>
      </w:tr>
      <w:tr w14:paraId="235DD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673" w:type="dxa"/>
            <w:vAlign w:val="top"/>
          </w:tcPr>
          <w:p w14:paraId="3D76EC0B">
            <w:pPr>
              <w:spacing w:before="90" w:line="220" w:lineRule="auto"/>
              <w:ind w:left="555"/>
              <w:rPr>
                <w:rFonts w:ascii="宋体" w:hAnsi="宋体" w:eastAsia="宋体" w:cs="宋体"/>
                <w:sz w:val="22"/>
                <w:szCs w:val="22"/>
              </w:rPr>
            </w:pPr>
            <w:r>
              <w:rPr>
                <w:rFonts w:ascii="宋体" w:hAnsi="宋体" w:eastAsia="宋体" w:cs="宋体"/>
                <w:spacing w:val="7"/>
                <w:sz w:val="22"/>
                <w:szCs w:val="22"/>
              </w:rPr>
              <w:t>准则1</w:t>
            </w:r>
          </w:p>
        </w:tc>
        <w:tc>
          <w:tcPr>
            <w:tcW w:w="1468" w:type="dxa"/>
            <w:vAlign w:val="top"/>
          </w:tcPr>
          <w:p w14:paraId="7BF4937B">
            <w:pPr>
              <w:pStyle w:val="6"/>
            </w:pPr>
          </w:p>
        </w:tc>
        <w:tc>
          <w:tcPr>
            <w:tcW w:w="1878" w:type="dxa"/>
            <w:vAlign w:val="top"/>
          </w:tcPr>
          <w:p w14:paraId="2447C3BD">
            <w:pPr>
              <w:pStyle w:val="6"/>
            </w:pPr>
          </w:p>
        </w:tc>
        <w:tc>
          <w:tcPr>
            <w:tcW w:w="1878" w:type="dxa"/>
            <w:vAlign w:val="top"/>
          </w:tcPr>
          <w:p w14:paraId="406649F4">
            <w:pPr>
              <w:pStyle w:val="6"/>
            </w:pPr>
          </w:p>
        </w:tc>
        <w:tc>
          <w:tcPr>
            <w:tcW w:w="1049" w:type="dxa"/>
            <w:vAlign w:val="top"/>
          </w:tcPr>
          <w:p w14:paraId="6740F43A">
            <w:pPr>
              <w:pStyle w:val="6"/>
            </w:pPr>
          </w:p>
        </w:tc>
        <w:tc>
          <w:tcPr>
            <w:tcW w:w="1414" w:type="dxa"/>
            <w:vAlign w:val="top"/>
          </w:tcPr>
          <w:p w14:paraId="65D2E938">
            <w:pPr>
              <w:pStyle w:val="6"/>
            </w:pPr>
          </w:p>
        </w:tc>
      </w:tr>
      <w:tr w14:paraId="08816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673" w:type="dxa"/>
            <w:vAlign w:val="top"/>
          </w:tcPr>
          <w:p w14:paraId="11D3760E">
            <w:pPr>
              <w:spacing w:before="102" w:line="220" w:lineRule="auto"/>
              <w:ind w:left="555"/>
              <w:rPr>
                <w:rFonts w:ascii="宋体" w:hAnsi="宋体" w:eastAsia="宋体" w:cs="宋体"/>
                <w:sz w:val="22"/>
                <w:szCs w:val="22"/>
              </w:rPr>
            </w:pPr>
            <w:r>
              <w:rPr>
                <w:rFonts w:ascii="宋体" w:hAnsi="宋体" w:eastAsia="宋体" w:cs="宋体"/>
                <w:spacing w:val="4"/>
                <w:sz w:val="22"/>
                <w:szCs w:val="22"/>
              </w:rPr>
              <w:t>准则2</w:t>
            </w:r>
          </w:p>
        </w:tc>
        <w:tc>
          <w:tcPr>
            <w:tcW w:w="1468" w:type="dxa"/>
            <w:vAlign w:val="top"/>
          </w:tcPr>
          <w:p w14:paraId="0836ED9C">
            <w:pPr>
              <w:pStyle w:val="6"/>
            </w:pPr>
          </w:p>
        </w:tc>
        <w:tc>
          <w:tcPr>
            <w:tcW w:w="1878" w:type="dxa"/>
            <w:vAlign w:val="top"/>
          </w:tcPr>
          <w:p w14:paraId="3A7D3D42">
            <w:pPr>
              <w:pStyle w:val="6"/>
            </w:pPr>
          </w:p>
        </w:tc>
        <w:tc>
          <w:tcPr>
            <w:tcW w:w="1878" w:type="dxa"/>
            <w:vAlign w:val="top"/>
          </w:tcPr>
          <w:p w14:paraId="0159DDA1">
            <w:pPr>
              <w:pStyle w:val="6"/>
            </w:pPr>
          </w:p>
        </w:tc>
        <w:tc>
          <w:tcPr>
            <w:tcW w:w="1049" w:type="dxa"/>
            <w:vAlign w:val="top"/>
          </w:tcPr>
          <w:p w14:paraId="5C2DB4EF">
            <w:pPr>
              <w:pStyle w:val="6"/>
            </w:pPr>
          </w:p>
        </w:tc>
        <w:tc>
          <w:tcPr>
            <w:tcW w:w="1414" w:type="dxa"/>
            <w:vAlign w:val="top"/>
          </w:tcPr>
          <w:p w14:paraId="33BA14BD">
            <w:pPr>
              <w:pStyle w:val="6"/>
            </w:pPr>
          </w:p>
        </w:tc>
      </w:tr>
      <w:tr w14:paraId="44F1E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673" w:type="dxa"/>
            <w:vAlign w:val="top"/>
          </w:tcPr>
          <w:p w14:paraId="6E1FD234">
            <w:pPr>
              <w:spacing w:before="115" w:line="220" w:lineRule="auto"/>
              <w:ind w:left="714"/>
              <w:rPr>
                <w:rFonts w:ascii="宋体" w:hAnsi="宋体" w:eastAsia="宋体" w:cs="宋体"/>
                <w:sz w:val="22"/>
                <w:szCs w:val="22"/>
              </w:rPr>
            </w:pPr>
            <w:r>
              <w:rPr>
                <w:rFonts w:ascii="宋体" w:hAnsi="宋体" w:eastAsia="宋体" w:cs="宋体"/>
                <w:sz w:val="22"/>
                <w:szCs w:val="22"/>
              </w:rPr>
              <w:t>…</w:t>
            </w:r>
          </w:p>
        </w:tc>
        <w:tc>
          <w:tcPr>
            <w:tcW w:w="1468" w:type="dxa"/>
            <w:vAlign w:val="top"/>
          </w:tcPr>
          <w:p w14:paraId="40FEC3C6">
            <w:pPr>
              <w:pStyle w:val="6"/>
            </w:pPr>
          </w:p>
        </w:tc>
        <w:tc>
          <w:tcPr>
            <w:tcW w:w="1878" w:type="dxa"/>
            <w:vAlign w:val="top"/>
          </w:tcPr>
          <w:p w14:paraId="51DA4701">
            <w:pPr>
              <w:pStyle w:val="6"/>
            </w:pPr>
          </w:p>
        </w:tc>
        <w:tc>
          <w:tcPr>
            <w:tcW w:w="1878" w:type="dxa"/>
            <w:vAlign w:val="top"/>
          </w:tcPr>
          <w:p w14:paraId="19F48B9C">
            <w:pPr>
              <w:pStyle w:val="6"/>
            </w:pPr>
          </w:p>
        </w:tc>
        <w:tc>
          <w:tcPr>
            <w:tcW w:w="1049" w:type="dxa"/>
            <w:vAlign w:val="top"/>
          </w:tcPr>
          <w:p w14:paraId="79175EF1">
            <w:pPr>
              <w:pStyle w:val="6"/>
            </w:pPr>
          </w:p>
        </w:tc>
        <w:tc>
          <w:tcPr>
            <w:tcW w:w="1414" w:type="dxa"/>
            <w:vAlign w:val="top"/>
          </w:tcPr>
          <w:p w14:paraId="765A85EF">
            <w:pPr>
              <w:pStyle w:val="6"/>
            </w:pPr>
          </w:p>
        </w:tc>
      </w:tr>
      <w:tr w14:paraId="1792E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673" w:type="dxa"/>
            <w:vAlign w:val="top"/>
          </w:tcPr>
          <w:p w14:paraId="511AD2A3">
            <w:pPr>
              <w:spacing w:before="96" w:line="220" w:lineRule="auto"/>
              <w:ind w:left="555"/>
              <w:rPr>
                <w:rFonts w:ascii="宋体" w:hAnsi="宋体" w:eastAsia="宋体" w:cs="宋体"/>
                <w:sz w:val="22"/>
                <w:szCs w:val="22"/>
              </w:rPr>
            </w:pPr>
            <w:r>
              <w:rPr>
                <w:rFonts w:ascii="宋体" w:hAnsi="宋体" w:eastAsia="宋体" w:cs="宋体"/>
                <w:spacing w:val="-3"/>
                <w:sz w:val="22"/>
                <w:szCs w:val="22"/>
              </w:rPr>
              <w:t>准则n</w:t>
            </w:r>
          </w:p>
        </w:tc>
        <w:tc>
          <w:tcPr>
            <w:tcW w:w="1468" w:type="dxa"/>
            <w:vAlign w:val="top"/>
          </w:tcPr>
          <w:p w14:paraId="41AFF06D">
            <w:pPr>
              <w:pStyle w:val="6"/>
            </w:pPr>
          </w:p>
        </w:tc>
        <w:tc>
          <w:tcPr>
            <w:tcW w:w="1878" w:type="dxa"/>
            <w:vAlign w:val="top"/>
          </w:tcPr>
          <w:p w14:paraId="24FBAFEC">
            <w:pPr>
              <w:pStyle w:val="6"/>
            </w:pPr>
          </w:p>
        </w:tc>
        <w:tc>
          <w:tcPr>
            <w:tcW w:w="1878" w:type="dxa"/>
            <w:vAlign w:val="top"/>
          </w:tcPr>
          <w:p w14:paraId="273A2486">
            <w:pPr>
              <w:pStyle w:val="6"/>
            </w:pPr>
          </w:p>
        </w:tc>
        <w:tc>
          <w:tcPr>
            <w:tcW w:w="1049" w:type="dxa"/>
            <w:vAlign w:val="top"/>
          </w:tcPr>
          <w:p w14:paraId="51976639">
            <w:pPr>
              <w:pStyle w:val="6"/>
            </w:pPr>
          </w:p>
        </w:tc>
        <w:tc>
          <w:tcPr>
            <w:tcW w:w="1414" w:type="dxa"/>
            <w:vAlign w:val="top"/>
          </w:tcPr>
          <w:p w14:paraId="5F928AF8">
            <w:pPr>
              <w:pStyle w:val="6"/>
            </w:pPr>
          </w:p>
        </w:tc>
      </w:tr>
      <w:tr w14:paraId="0C621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3" w:hRule="atLeast"/>
        </w:trPr>
        <w:tc>
          <w:tcPr>
            <w:tcW w:w="1673" w:type="dxa"/>
            <w:vAlign w:val="top"/>
          </w:tcPr>
          <w:p w14:paraId="56ED967F">
            <w:pPr>
              <w:spacing w:before="108" w:line="221" w:lineRule="auto"/>
              <w:ind w:left="605"/>
              <w:rPr>
                <w:rFonts w:ascii="宋体" w:hAnsi="宋体" w:eastAsia="宋体" w:cs="宋体"/>
                <w:sz w:val="22"/>
                <w:szCs w:val="22"/>
              </w:rPr>
            </w:pPr>
            <w:r>
              <w:rPr>
                <w:rFonts w:ascii="宋体" w:hAnsi="宋体" w:eastAsia="宋体" w:cs="宋体"/>
                <w:spacing w:val="4"/>
                <w:sz w:val="22"/>
                <w:szCs w:val="22"/>
              </w:rPr>
              <w:t>总计</w:t>
            </w:r>
          </w:p>
        </w:tc>
        <w:tc>
          <w:tcPr>
            <w:tcW w:w="1468" w:type="dxa"/>
            <w:vAlign w:val="top"/>
          </w:tcPr>
          <w:p w14:paraId="1B5C80FC">
            <w:pPr>
              <w:pStyle w:val="6"/>
            </w:pPr>
          </w:p>
        </w:tc>
        <w:tc>
          <w:tcPr>
            <w:tcW w:w="1878" w:type="dxa"/>
            <w:vAlign w:val="top"/>
          </w:tcPr>
          <w:p w14:paraId="62F84497">
            <w:pPr>
              <w:pStyle w:val="6"/>
            </w:pPr>
          </w:p>
        </w:tc>
        <w:tc>
          <w:tcPr>
            <w:tcW w:w="1878" w:type="dxa"/>
            <w:vAlign w:val="top"/>
          </w:tcPr>
          <w:p w14:paraId="46D8265A">
            <w:pPr>
              <w:pStyle w:val="6"/>
            </w:pPr>
          </w:p>
        </w:tc>
        <w:tc>
          <w:tcPr>
            <w:tcW w:w="1049" w:type="dxa"/>
            <w:vAlign w:val="top"/>
          </w:tcPr>
          <w:p w14:paraId="6E893D2C">
            <w:pPr>
              <w:pStyle w:val="6"/>
            </w:pPr>
          </w:p>
        </w:tc>
        <w:tc>
          <w:tcPr>
            <w:tcW w:w="1414" w:type="dxa"/>
            <w:vAlign w:val="top"/>
          </w:tcPr>
          <w:p w14:paraId="180115F8">
            <w:pPr>
              <w:pStyle w:val="6"/>
            </w:pPr>
          </w:p>
        </w:tc>
      </w:tr>
    </w:tbl>
    <w:p w14:paraId="61E75373">
      <w:pPr>
        <w:spacing w:before="160" w:line="222" w:lineRule="auto"/>
        <w:ind w:left="23"/>
        <w:outlineLvl w:val="3"/>
        <w:rPr>
          <w:rFonts w:ascii="黑体" w:hAnsi="黑体" w:eastAsia="黑体" w:cs="黑体"/>
          <w:sz w:val="27"/>
          <w:szCs w:val="27"/>
        </w:rPr>
      </w:pPr>
      <w:r>
        <w:rPr>
          <w:rFonts w:ascii="黑体" w:hAnsi="黑体" w:eastAsia="黑体" w:cs="黑体"/>
          <w:b/>
          <w:bCs/>
          <w:spacing w:val="1"/>
          <w:sz w:val="27"/>
          <w:szCs w:val="27"/>
        </w:rPr>
        <w:t>6.1</w:t>
      </w:r>
      <w:r>
        <w:rPr>
          <w:rFonts w:ascii="黑体" w:hAnsi="黑体" w:eastAsia="黑体" w:cs="黑体"/>
          <w:spacing w:val="2"/>
          <w:sz w:val="27"/>
          <w:szCs w:val="27"/>
        </w:rPr>
        <w:t xml:space="preserve">  </w:t>
      </w:r>
      <w:r>
        <w:rPr>
          <w:rFonts w:ascii="黑体" w:hAnsi="黑体" w:eastAsia="黑体" w:cs="黑体"/>
          <w:b/>
          <w:bCs/>
          <w:spacing w:val="1"/>
          <w:sz w:val="27"/>
          <w:szCs w:val="27"/>
        </w:rPr>
        <w:t>准则适用对象数</w:t>
      </w:r>
    </w:p>
    <w:p w14:paraId="167BDFB0">
      <w:pPr>
        <w:pStyle w:val="2"/>
        <w:spacing w:before="91" w:line="219" w:lineRule="auto"/>
        <w:ind w:left="570"/>
      </w:pPr>
      <w:r>
        <w:t>确定每条准则适用的分析对象数并填入表9.5的“准则适用对象数”栏。</w:t>
      </w:r>
    </w:p>
    <w:p w14:paraId="04A719A4">
      <w:pPr>
        <w:spacing w:before="64" w:line="222" w:lineRule="auto"/>
        <w:ind w:left="23"/>
        <w:outlineLvl w:val="3"/>
        <w:rPr>
          <w:rFonts w:ascii="黑体" w:hAnsi="黑体" w:eastAsia="黑体" w:cs="黑体"/>
          <w:sz w:val="27"/>
          <w:szCs w:val="27"/>
        </w:rPr>
      </w:pPr>
      <w:r>
        <w:rPr>
          <w:rFonts w:ascii="黑体" w:hAnsi="黑体" w:eastAsia="黑体" w:cs="黑体"/>
          <w:b/>
          <w:bCs/>
          <w:spacing w:val="1"/>
          <w:sz w:val="27"/>
          <w:szCs w:val="27"/>
        </w:rPr>
        <w:t>6.2</w:t>
      </w:r>
      <w:r>
        <w:rPr>
          <w:rFonts w:ascii="黑体" w:hAnsi="黑体" w:eastAsia="黑体" w:cs="黑体"/>
          <w:spacing w:val="1"/>
          <w:sz w:val="27"/>
          <w:szCs w:val="27"/>
        </w:rPr>
        <w:t xml:space="preserve">  </w:t>
      </w:r>
      <w:r>
        <w:rPr>
          <w:rFonts w:ascii="黑体" w:hAnsi="黑体" w:eastAsia="黑体" w:cs="黑体"/>
          <w:b/>
          <w:bCs/>
          <w:spacing w:val="1"/>
          <w:sz w:val="27"/>
          <w:szCs w:val="27"/>
        </w:rPr>
        <w:t>符合准则对象数</w:t>
      </w:r>
    </w:p>
    <w:p w14:paraId="6D853966">
      <w:pPr>
        <w:pStyle w:val="2"/>
        <w:spacing w:before="101" w:line="262" w:lineRule="auto"/>
        <w:ind w:left="20" w:firstLine="560"/>
      </w:pPr>
      <w:r>
        <w:rPr>
          <w:spacing w:val="10"/>
        </w:rPr>
        <w:t>利用设计资料确定符合每条准则的分析对象</w:t>
      </w:r>
      <w:r>
        <w:rPr>
          <w:spacing w:val="9"/>
        </w:rPr>
        <w:t>数目并填入表9.5的“符合准</w:t>
      </w:r>
      <w:r>
        <w:t xml:space="preserve"> </w:t>
      </w:r>
      <w:r>
        <w:rPr>
          <w:spacing w:val="-16"/>
        </w:rPr>
        <w:t>则对象数”栏。</w:t>
      </w:r>
    </w:p>
    <w:p w14:paraId="0D52B8D9">
      <w:pPr>
        <w:spacing w:before="8" w:line="222" w:lineRule="auto"/>
        <w:ind w:left="13"/>
        <w:outlineLvl w:val="3"/>
        <w:rPr>
          <w:rFonts w:ascii="黑体" w:hAnsi="黑体" w:eastAsia="黑体" w:cs="黑体"/>
          <w:sz w:val="27"/>
          <w:szCs w:val="27"/>
        </w:rPr>
      </w:pPr>
      <w:r>
        <w:rPr>
          <w:rFonts w:ascii="黑体" w:hAnsi="黑体" w:eastAsia="黑体" w:cs="黑体"/>
          <w:b/>
          <w:bCs/>
          <w:spacing w:val="1"/>
          <w:sz w:val="27"/>
          <w:szCs w:val="27"/>
        </w:rPr>
        <w:t>6.3</w:t>
      </w:r>
      <w:r>
        <w:rPr>
          <w:rFonts w:ascii="黑体" w:hAnsi="黑体" w:eastAsia="黑体" w:cs="黑体"/>
          <w:spacing w:val="1"/>
          <w:sz w:val="27"/>
          <w:szCs w:val="27"/>
        </w:rPr>
        <w:t xml:space="preserve">  </w:t>
      </w:r>
      <w:r>
        <w:rPr>
          <w:rFonts w:ascii="黑体" w:hAnsi="黑体" w:eastAsia="黑体" w:cs="黑体"/>
          <w:b/>
          <w:bCs/>
          <w:spacing w:val="1"/>
          <w:sz w:val="27"/>
          <w:szCs w:val="27"/>
        </w:rPr>
        <w:t>每条准则的得分</w:t>
      </w:r>
    </w:p>
    <w:p w14:paraId="7619182D">
      <w:pPr>
        <w:pStyle w:val="2"/>
        <w:spacing w:before="74" w:line="212" w:lineRule="auto"/>
        <w:ind w:left="590"/>
      </w:pPr>
      <w:r>
        <w:drawing>
          <wp:anchor distT="0" distB="0" distL="0" distR="0" simplePos="0" relativeHeight="251676672" behindDoc="0" locked="0" layoutInCell="1" allowOverlap="1">
            <wp:simplePos x="0" y="0"/>
            <wp:positionH relativeFrom="column">
              <wp:posOffset>2386965</wp:posOffset>
            </wp:positionH>
            <wp:positionV relativeFrom="paragraph">
              <wp:posOffset>330200</wp:posOffset>
            </wp:positionV>
            <wp:extent cx="1181100" cy="374650"/>
            <wp:effectExtent l="0" t="0" r="6350" b="3175"/>
            <wp:wrapNone/>
            <wp:docPr id="13" name="IM 8"/>
            <wp:cNvGraphicFramePr/>
            <a:graphic xmlns:a="http://schemas.openxmlformats.org/drawingml/2006/main">
              <a:graphicData uri="http://schemas.openxmlformats.org/drawingml/2006/picture">
                <pic:pic xmlns:pic="http://schemas.openxmlformats.org/drawingml/2006/picture">
                  <pic:nvPicPr>
                    <pic:cNvPr id="13" name="IM 8"/>
                    <pic:cNvPicPr/>
                  </pic:nvPicPr>
                  <pic:blipFill>
                    <a:blip r:embed="rId699"/>
                    <a:stretch>
                      <a:fillRect/>
                    </a:stretch>
                  </pic:blipFill>
                  <pic:spPr>
                    <a:xfrm>
                      <a:off x="0" y="0"/>
                      <a:ext cx="1181090" cy="374622"/>
                    </a:xfrm>
                    <a:prstGeom prst="rect">
                      <a:avLst/>
                    </a:prstGeom>
                  </pic:spPr>
                </pic:pic>
              </a:graphicData>
            </a:graphic>
          </wp:anchor>
        </w:drawing>
      </w:r>
      <w:r>
        <w:rPr>
          <w:spacing w:val="-4"/>
        </w:rPr>
        <w:t>计算每条准则的得分</w:t>
      </w:r>
      <w:r>
        <w:rPr>
          <w:spacing w:val="-73"/>
        </w:rPr>
        <w:t xml:space="preserve"> </w:t>
      </w:r>
      <w:r>
        <w:rPr>
          <w:rFonts w:ascii="Times New Roman" w:hAnsi="Times New Roman" w:eastAsia="Times New Roman" w:cs="Times New Roman"/>
          <w:spacing w:val="-4"/>
        </w:rPr>
        <w:t xml:space="preserve">S;,  </w:t>
      </w:r>
      <w:r>
        <w:rPr>
          <w:spacing w:val="-4"/>
        </w:rPr>
        <w:t>并填入表9.5的“得分”栏，计算公式如下：</w:t>
      </w:r>
    </w:p>
    <w:p w14:paraId="653D99B6">
      <w:pPr>
        <w:pStyle w:val="2"/>
        <w:spacing w:before="251" w:line="222" w:lineRule="auto"/>
        <w:ind w:right="40"/>
        <w:jc w:val="right"/>
      </w:pPr>
      <w:r>
        <w:rPr>
          <w:spacing w:val="-9"/>
        </w:rPr>
        <w:t>(9.1)</w:t>
      </w:r>
    </w:p>
    <w:p w14:paraId="6890E5ED">
      <w:pPr>
        <w:pStyle w:val="2"/>
        <w:spacing w:before="224" w:line="212" w:lineRule="auto"/>
        <w:ind w:left="30"/>
      </w:pPr>
      <w:r>
        <w:rPr>
          <w:spacing w:val="-15"/>
        </w:rPr>
        <w:t>式中，</w:t>
      </w:r>
      <w:r>
        <w:rPr>
          <w:rFonts w:ascii="Times New Roman" w:hAnsi="Times New Roman" w:eastAsia="Times New Roman" w:cs="Times New Roman"/>
          <w:spacing w:val="-15"/>
        </w:rPr>
        <w:t>S;——</w:t>
      </w:r>
      <w:r>
        <w:rPr>
          <w:spacing w:val="-15"/>
        </w:rPr>
        <w:t>第</w:t>
      </w:r>
      <w:r>
        <w:rPr>
          <w:spacing w:val="45"/>
        </w:rPr>
        <w:t xml:space="preserve"> </w:t>
      </w:r>
      <w:r>
        <w:rPr>
          <w:rFonts w:ascii="Times New Roman" w:hAnsi="Times New Roman" w:eastAsia="Times New Roman" w:cs="Times New Roman"/>
          <w:spacing w:val="-15"/>
        </w:rPr>
        <w:t>i</w:t>
      </w:r>
      <w:r>
        <w:rPr>
          <w:rFonts w:ascii="Times New Roman" w:hAnsi="Times New Roman" w:eastAsia="Times New Roman" w:cs="Times New Roman"/>
          <w:spacing w:val="46"/>
        </w:rPr>
        <w:t xml:space="preserve"> </w:t>
      </w:r>
      <w:r>
        <w:rPr>
          <w:spacing w:val="-15"/>
        </w:rPr>
        <w:t>条准则的得分；</w:t>
      </w:r>
    </w:p>
    <w:p w14:paraId="096CEAB0">
      <w:pPr>
        <w:pStyle w:val="2"/>
        <w:spacing w:before="94" w:line="219" w:lineRule="auto"/>
        <w:ind w:left="710"/>
      </w:pPr>
      <w:r>
        <w:rPr>
          <w:rFonts w:ascii="Times New Roman" w:hAnsi="Times New Roman" w:eastAsia="Times New Roman" w:cs="Times New Roman"/>
          <w:b/>
          <w:bCs/>
          <w:spacing w:val="-11"/>
        </w:rPr>
        <w:t>Noi——</w:t>
      </w:r>
      <w:r>
        <w:rPr>
          <w:b/>
          <w:bCs/>
          <w:spacing w:val="-11"/>
        </w:rPr>
        <w:t>符</w:t>
      </w:r>
      <w:r>
        <w:rPr>
          <w:spacing w:val="-26"/>
        </w:rPr>
        <w:t xml:space="preserve"> </w:t>
      </w:r>
      <w:r>
        <w:rPr>
          <w:b/>
          <w:bCs/>
          <w:spacing w:val="-11"/>
        </w:rPr>
        <w:t>合</w:t>
      </w:r>
      <w:r>
        <w:rPr>
          <w:spacing w:val="-43"/>
        </w:rPr>
        <w:t xml:space="preserve"> </w:t>
      </w:r>
      <w:r>
        <w:rPr>
          <w:b/>
          <w:bCs/>
          <w:spacing w:val="-11"/>
        </w:rPr>
        <w:t>第</w:t>
      </w:r>
      <w:r>
        <w:rPr>
          <w:spacing w:val="-79"/>
        </w:rPr>
        <w:t xml:space="preserve"> </w:t>
      </w:r>
      <w:r>
        <w:rPr>
          <w:rFonts w:ascii="Times New Roman" w:hAnsi="Times New Roman" w:eastAsia="Times New Roman" w:cs="Times New Roman"/>
          <w:b/>
          <w:bCs/>
          <w:spacing w:val="-11"/>
        </w:rPr>
        <w:t>i</w:t>
      </w:r>
      <w:r>
        <w:rPr>
          <w:rFonts w:ascii="Times New Roman" w:hAnsi="Times New Roman" w:eastAsia="Times New Roman" w:cs="Times New Roman"/>
          <w:b/>
          <w:bCs/>
          <w:spacing w:val="37"/>
          <w:w w:val="101"/>
        </w:rPr>
        <w:t xml:space="preserve"> </w:t>
      </w:r>
      <w:r>
        <w:rPr>
          <w:b/>
          <w:bCs/>
          <w:spacing w:val="-11"/>
        </w:rPr>
        <w:t>条准则的分析对象数；</w:t>
      </w:r>
    </w:p>
    <w:p w14:paraId="2AF8B1AD">
      <w:pPr>
        <w:pStyle w:val="2"/>
        <w:spacing w:before="69" w:line="219" w:lineRule="auto"/>
        <w:ind w:left="720"/>
      </w:pPr>
      <w:r>
        <w:rPr>
          <w:rFonts w:ascii="Times New Roman" w:hAnsi="Times New Roman" w:eastAsia="Times New Roman" w:cs="Times New Roman"/>
          <w:b/>
          <w:bCs/>
          <w:spacing w:val="-1"/>
        </w:rPr>
        <w:t>N——</w:t>
      </w:r>
      <w:r>
        <w:rPr>
          <w:rFonts w:ascii="Times New Roman" w:hAnsi="Times New Roman" w:eastAsia="Times New Roman" w:cs="Times New Roman"/>
          <w:b/>
          <w:bCs/>
          <w:spacing w:val="61"/>
        </w:rPr>
        <w:t xml:space="preserve"> </w:t>
      </w:r>
      <w:r>
        <w:rPr>
          <w:b/>
          <w:bCs/>
          <w:spacing w:val="-1"/>
        </w:rPr>
        <w:t>第</w:t>
      </w:r>
      <w:r>
        <w:rPr>
          <w:spacing w:val="41"/>
        </w:rPr>
        <w:t xml:space="preserve"> </w:t>
      </w:r>
      <w:r>
        <w:rPr>
          <w:rFonts w:ascii="Times New Roman" w:hAnsi="Times New Roman" w:eastAsia="Times New Roman" w:cs="Times New Roman"/>
          <w:b/>
          <w:bCs/>
          <w:spacing w:val="-1"/>
        </w:rPr>
        <w:t>i</w:t>
      </w:r>
      <w:r>
        <w:rPr>
          <w:rFonts w:ascii="Times New Roman" w:hAnsi="Times New Roman" w:eastAsia="Times New Roman" w:cs="Times New Roman"/>
          <w:b/>
          <w:bCs/>
          <w:spacing w:val="48"/>
        </w:rPr>
        <w:t xml:space="preserve"> </w:t>
      </w:r>
      <w:r>
        <w:rPr>
          <w:b/>
          <w:bCs/>
          <w:spacing w:val="-1"/>
        </w:rPr>
        <w:t>条准则适用的分析对象数。</w:t>
      </w:r>
    </w:p>
    <w:p w14:paraId="1CB21228">
      <w:pPr>
        <w:spacing w:before="78" w:line="222" w:lineRule="auto"/>
        <w:ind w:left="13"/>
        <w:outlineLvl w:val="3"/>
        <w:rPr>
          <w:rFonts w:ascii="黑体" w:hAnsi="黑体" w:eastAsia="黑体" w:cs="黑体"/>
          <w:sz w:val="27"/>
          <w:szCs w:val="27"/>
        </w:rPr>
      </w:pPr>
      <w:r>
        <w:rPr>
          <w:rFonts w:ascii="黑体" w:hAnsi="黑体" w:eastAsia="黑体" w:cs="黑体"/>
          <w:b/>
          <w:bCs/>
          <w:spacing w:val="1"/>
          <w:sz w:val="27"/>
          <w:szCs w:val="27"/>
        </w:rPr>
        <w:t>6.4</w:t>
      </w:r>
      <w:r>
        <w:rPr>
          <w:rFonts w:ascii="黑体" w:hAnsi="黑体" w:eastAsia="黑体" w:cs="黑体"/>
          <w:spacing w:val="1"/>
          <w:sz w:val="27"/>
          <w:szCs w:val="27"/>
        </w:rPr>
        <w:t xml:space="preserve">  </w:t>
      </w:r>
      <w:r>
        <w:rPr>
          <w:rFonts w:ascii="黑体" w:hAnsi="黑体" w:eastAsia="黑体" w:cs="黑体"/>
          <w:b/>
          <w:bCs/>
          <w:spacing w:val="1"/>
          <w:sz w:val="27"/>
          <w:szCs w:val="27"/>
        </w:rPr>
        <w:t>每条准则的加权得分</w:t>
      </w:r>
    </w:p>
    <w:p w14:paraId="71936844">
      <w:pPr>
        <w:pStyle w:val="2"/>
        <w:spacing w:before="123" w:line="212" w:lineRule="auto"/>
        <w:ind w:right="22"/>
        <w:jc w:val="right"/>
      </w:pPr>
      <w:r>
        <w:rPr>
          <w:spacing w:val="6"/>
        </w:rPr>
        <w:t>计算每条准则的加权得分</w:t>
      </w:r>
      <w:r>
        <w:rPr>
          <w:rFonts w:ascii="Times New Roman" w:hAnsi="Times New Roman" w:eastAsia="Times New Roman" w:cs="Times New Roman"/>
        </w:rPr>
        <w:t>Su</w:t>
      </w:r>
      <w:r>
        <w:rPr>
          <w:rFonts w:ascii="Times New Roman" w:hAnsi="Times New Roman" w:eastAsia="Times New Roman" w:cs="Times New Roman"/>
          <w:spacing w:val="6"/>
        </w:rPr>
        <w:t>,</w:t>
      </w:r>
      <w:r>
        <w:rPr>
          <w:rFonts w:ascii="Times New Roman" w:hAnsi="Times New Roman" w:eastAsia="Times New Roman" w:cs="Times New Roman"/>
          <w:spacing w:val="4"/>
        </w:rPr>
        <w:t xml:space="preserve">    </w:t>
      </w:r>
      <w:r>
        <w:rPr>
          <w:spacing w:val="6"/>
        </w:rPr>
        <w:t>并填入表9.5的“加权得分”栏，计算公式</w:t>
      </w:r>
    </w:p>
    <w:p w14:paraId="7E58AAB9">
      <w:pPr>
        <w:spacing w:line="212" w:lineRule="auto"/>
        <w:sectPr>
          <w:footerReference r:id="rId460" w:type="default"/>
          <w:pgSz w:w="11910" w:h="17130"/>
          <w:pgMar w:top="1446" w:right="947" w:bottom="1721" w:left="1559" w:header="0" w:footer="1371" w:gutter="0"/>
          <w:cols w:space="720" w:num="1"/>
        </w:sectPr>
      </w:pPr>
    </w:p>
    <w:p w14:paraId="671B4026">
      <w:pPr>
        <w:pStyle w:val="2"/>
        <w:spacing w:before="54" w:line="220" w:lineRule="auto"/>
      </w:pPr>
      <w:r>
        <w:rPr>
          <w:spacing w:val="-4"/>
        </w:rPr>
        <w:t>如下：</w:t>
      </w:r>
    </w:p>
    <w:p w14:paraId="787CAB43">
      <w:pPr>
        <w:spacing w:before="156" w:line="188" w:lineRule="auto"/>
        <w:ind w:left="395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Su=W;S;</w:t>
      </w:r>
    </w:p>
    <w:p w14:paraId="4DE26B8D">
      <w:pPr>
        <w:pStyle w:val="2"/>
        <w:spacing w:before="117" w:line="219" w:lineRule="auto"/>
      </w:pPr>
      <w:r>
        <w:rPr>
          <w:spacing w:val="-7"/>
        </w:rPr>
        <w:t>式中，</w:t>
      </w:r>
      <w:r>
        <w:rPr>
          <w:rFonts w:ascii="Times New Roman" w:hAnsi="Times New Roman" w:eastAsia="Times New Roman" w:cs="Times New Roman"/>
          <w:spacing w:val="-7"/>
        </w:rPr>
        <w:t>S</w:t>
      </w:r>
      <w:r>
        <w:rPr>
          <w:rFonts w:ascii="Times New Roman" w:hAnsi="Times New Roman" w:eastAsia="Times New Roman" w:cs="Times New Roman"/>
          <w:spacing w:val="-17"/>
        </w:rPr>
        <w:t xml:space="preserve"> </w:t>
      </w:r>
      <w:r>
        <w:rPr>
          <w:rFonts w:ascii="Times New Roman" w:hAnsi="Times New Roman" w:eastAsia="Times New Roman" w:cs="Times New Roman"/>
          <w:spacing w:val="-7"/>
        </w:rPr>
        <w:t>u</w:t>
      </w:r>
      <w:r>
        <w:rPr>
          <w:rFonts w:ascii="Times New Roman" w:hAnsi="Times New Roman" w:eastAsia="Times New Roman" w:cs="Times New Roman"/>
          <w:spacing w:val="48"/>
        </w:rPr>
        <w:t xml:space="preserve"> </w:t>
      </w:r>
      <w:r>
        <w:rPr>
          <w:spacing w:val="-7"/>
        </w:rPr>
        <w:t>——第</w:t>
      </w:r>
      <w:r>
        <w:rPr>
          <w:spacing w:val="-55"/>
        </w:rPr>
        <w:t xml:space="preserve"> </w:t>
      </w:r>
      <w:r>
        <w:rPr>
          <w:rFonts w:ascii="Times New Roman" w:hAnsi="Times New Roman" w:eastAsia="Times New Roman" w:cs="Times New Roman"/>
          <w:spacing w:val="-7"/>
        </w:rPr>
        <w:t>i</w:t>
      </w:r>
      <w:r>
        <w:rPr>
          <w:rFonts w:ascii="Times New Roman" w:hAnsi="Times New Roman" w:eastAsia="Times New Roman" w:cs="Times New Roman"/>
          <w:spacing w:val="26"/>
        </w:rPr>
        <w:t xml:space="preserve"> </w:t>
      </w:r>
      <w:r>
        <w:rPr>
          <w:spacing w:val="-7"/>
        </w:rPr>
        <w:t>条准则的加权得分；</w:t>
      </w:r>
    </w:p>
    <w:p w14:paraId="34DD540F">
      <w:pPr>
        <w:pStyle w:val="2"/>
        <w:spacing w:before="111" w:line="212" w:lineRule="auto"/>
        <w:ind w:left="679"/>
      </w:pPr>
      <w:r>
        <w:rPr>
          <w:rFonts w:ascii="Times New Roman" w:hAnsi="Times New Roman" w:eastAsia="Times New Roman" w:cs="Times New Roman"/>
          <w:spacing w:val="-1"/>
        </w:rPr>
        <w:t>W;——</w:t>
      </w:r>
      <w:r>
        <w:rPr>
          <w:rFonts w:ascii="Times New Roman" w:hAnsi="Times New Roman" w:eastAsia="Times New Roman" w:cs="Times New Roman"/>
          <w:spacing w:val="33"/>
        </w:rPr>
        <w:t xml:space="preserve"> </w:t>
      </w:r>
      <w:r>
        <w:rPr>
          <w:spacing w:val="-1"/>
        </w:rPr>
        <w:t>第</w:t>
      </w:r>
      <w:r>
        <w:rPr>
          <w:spacing w:val="-75"/>
        </w:rPr>
        <w:t xml:space="preserve"> </w:t>
      </w:r>
      <w:r>
        <w:rPr>
          <w:rFonts w:ascii="Times New Roman" w:hAnsi="Times New Roman" w:eastAsia="Times New Roman" w:cs="Times New Roman"/>
          <w:spacing w:val="-1"/>
        </w:rPr>
        <w:t>i</w:t>
      </w:r>
      <w:r>
        <w:rPr>
          <w:rFonts w:ascii="Times New Roman" w:hAnsi="Times New Roman" w:eastAsia="Times New Roman" w:cs="Times New Roman"/>
          <w:spacing w:val="46"/>
        </w:rPr>
        <w:t xml:space="preserve"> </w:t>
      </w:r>
      <w:r>
        <w:rPr>
          <w:spacing w:val="-1"/>
        </w:rPr>
        <w:t>条准则的加权系数；</w:t>
      </w:r>
    </w:p>
    <w:p w14:paraId="36AD422E">
      <w:pPr>
        <w:pStyle w:val="2"/>
        <w:spacing w:before="140" w:line="212" w:lineRule="auto"/>
        <w:ind w:left="689"/>
      </w:pPr>
      <w:r>
        <w:rPr>
          <w:rFonts w:ascii="Times New Roman" w:hAnsi="Times New Roman" w:eastAsia="Times New Roman" w:cs="Times New Roman"/>
          <w:spacing w:val="11"/>
        </w:rPr>
        <w:t>S;——</w:t>
      </w:r>
      <w:r>
        <w:rPr>
          <w:rFonts w:ascii="Times New Roman" w:hAnsi="Times New Roman" w:eastAsia="Times New Roman" w:cs="Times New Roman"/>
          <w:spacing w:val="51"/>
          <w:w w:val="101"/>
        </w:rPr>
        <w:t xml:space="preserve"> </w:t>
      </w:r>
      <w:r>
        <w:rPr>
          <w:spacing w:val="11"/>
        </w:rPr>
        <w:t>步骤3中计算出的第</w:t>
      </w:r>
      <w:r>
        <w:rPr>
          <w:rFonts w:ascii="Times New Roman" w:hAnsi="Times New Roman" w:eastAsia="Times New Roman" w:cs="Times New Roman"/>
          <w:spacing w:val="11"/>
        </w:rPr>
        <w:t xml:space="preserve">i </w:t>
      </w:r>
      <w:r>
        <w:rPr>
          <w:spacing w:val="11"/>
        </w:rPr>
        <w:t>条准则的得分。</w:t>
      </w:r>
    </w:p>
    <w:p w14:paraId="1C663861">
      <w:pPr>
        <w:spacing w:before="141" w:line="221" w:lineRule="auto"/>
        <w:ind w:left="3"/>
        <w:outlineLvl w:val="3"/>
        <w:rPr>
          <w:rFonts w:ascii="黑体" w:hAnsi="黑体" w:eastAsia="黑体" w:cs="黑体"/>
          <w:sz w:val="27"/>
          <w:szCs w:val="27"/>
        </w:rPr>
      </w:pPr>
      <w:r>
        <w:rPr>
          <w:rFonts w:ascii="黑体" w:hAnsi="黑体" w:eastAsia="黑体" w:cs="黑体"/>
          <w:b/>
          <w:bCs/>
          <w:spacing w:val="4"/>
          <w:sz w:val="27"/>
          <w:szCs w:val="27"/>
        </w:rPr>
        <w:t>6.5</w:t>
      </w:r>
      <w:r>
        <w:rPr>
          <w:rFonts w:ascii="黑体" w:hAnsi="黑体" w:eastAsia="黑体" w:cs="黑体"/>
          <w:spacing w:val="122"/>
          <w:sz w:val="27"/>
          <w:szCs w:val="27"/>
        </w:rPr>
        <w:t xml:space="preserve"> </w:t>
      </w:r>
      <w:r>
        <w:rPr>
          <w:rFonts w:ascii="黑体" w:hAnsi="黑体" w:eastAsia="黑体" w:cs="黑体"/>
          <w:b/>
          <w:bCs/>
          <w:spacing w:val="4"/>
          <w:sz w:val="27"/>
          <w:szCs w:val="27"/>
        </w:rPr>
        <w:t>固有测试性值</w:t>
      </w:r>
    </w:p>
    <w:p w14:paraId="37AD9337">
      <w:pPr>
        <w:pStyle w:val="2"/>
        <w:spacing w:before="63" w:line="212" w:lineRule="auto"/>
        <w:ind w:left="559"/>
      </w:pPr>
      <w:r>
        <w:rPr>
          <w:spacing w:val="2"/>
        </w:rPr>
        <w:t>计算固有测试性值(</w:t>
      </w:r>
      <w:r>
        <w:rPr>
          <w:rFonts w:ascii="Times New Roman" w:hAnsi="Times New Roman" w:eastAsia="Times New Roman" w:cs="Times New Roman"/>
          <w:spacing w:val="2"/>
        </w:rPr>
        <w:t xml:space="preserve">T),  </w:t>
      </w:r>
      <w:r>
        <w:rPr>
          <w:spacing w:val="2"/>
        </w:rPr>
        <w:t>计算公式如下：</w:t>
      </w:r>
    </w:p>
    <w:p w14:paraId="3FB99D52">
      <w:pPr>
        <w:spacing w:before="209" w:line="630" w:lineRule="exact"/>
        <w:ind w:firstLine="3520"/>
      </w:pPr>
      <w:r>
        <w:rPr>
          <w:position w:val="-12"/>
        </w:rPr>
        <w:drawing>
          <wp:inline distT="0" distB="0" distL="0" distR="0">
            <wp:extent cx="1440815" cy="399415"/>
            <wp:effectExtent l="0" t="0" r="5715" b="0"/>
            <wp:docPr id="15" name="IM 10"/>
            <wp:cNvGraphicFramePr/>
            <a:graphic xmlns:a="http://schemas.openxmlformats.org/drawingml/2006/main">
              <a:graphicData uri="http://schemas.openxmlformats.org/drawingml/2006/picture">
                <pic:pic xmlns:pic="http://schemas.openxmlformats.org/drawingml/2006/picture">
                  <pic:nvPicPr>
                    <pic:cNvPr id="15" name="IM 10"/>
                    <pic:cNvPicPr/>
                  </pic:nvPicPr>
                  <pic:blipFill>
                    <a:blip r:embed="rId700"/>
                    <a:stretch>
                      <a:fillRect/>
                    </a:stretch>
                  </pic:blipFill>
                  <pic:spPr>
                    <a:xfrm>
                      <a:off x="0" y="0"/>
                      <a:ext cx="1441403" cy="399967"/>
                    </a:xfrm>
                    <a:prstGeom prst="rect">
                      <a:avLst/>
                    </a:prstGeom>
                  </pic:spPr>
                </pic:pic>
              </a:graphicData>
            </a:graphic>
          </wp:inline>
        </w:drawing>
      </w:r>
    </w:p>
    <w:p w14:paraId="6FA195BF">
      <w:pPr>
        <w:pStyle w:val="2"/>
        <w:spacing w:before="91" w:line="219" w:lineRule="auto"/>
        <w:ind w:left="19"/>
      </w:pPr>
      <w:r>
        <w:rPr>
          <w:spacing w:val="-7"/>
        </w:rPr>
        <w:t>式中，</w:t>
      </w:r>
      <w:r>
        <w:rPr>
          <w:rFonts w:ascii="Times New Roman" w:hAnsi="Times New Roman" w:eastAsia="Times New Roman" w:cs="Times New Roman"/>
          <w:spacing w:val="-7"/>
        </w:rPr>
        <w:t>T——</w:t>
      </w:r>
      <w:r>
        <w:rPr>
          <w:spacing w:val="-7"/>
        </w:rPr>
        <w:t>固有测试性值；</w:t>
      </w:r>
    </w:p>
    <w:p w14:paraId="73599185">
      <w:pPr>
        <w:pStyle w:val="2"/>
        <w:spacing w:before="88" w:line="219" w:lineRule="auto"/>
        <w:ind w:left="699"/>
      </w:pPr>
      <w:r>
        <w:rPr>
          <w:rFonts w:ascii="Times New Roman" w:hAnsi="Times New Roman" w:eastAsia="Times New Roman" w:cs="Times New Roman"/>
          <w:spacing w:val="3"/>
        </w:rPr>
        <w:t>n</w:t>
      </w:r>
      <w:r>
        <w:rPr>
          <w:spacing w:val="3"/>
        </w:rPr>
        <w:t>——适用于本设计的设计准则总数。</w:t>
      </w:r>
    </w:p>
    <w:p w14:paraId="023527CD">
      <w:pPr>
        <w:spacing w:before="106" w:line="222" w:lineRule="auto"/>
        <w:ind w:left="3"/>
        <w:outlineLvl w:val="3"/>
        <w:rPr>
          <w:rFonts w:ascii="黑体" w:hAnsi="黑体" w:eastAsia="黑体" w:cs="黑体"/>
          <w:sz w:val="27"/>
          <w:szCs w:val="27"/>
        </w:rPr>
      </w:pPr>
      <w:r>
        <w:rPr>
          <w:rFonts w:ascii="黑体" w:hAnsi="黑体" w:eastAsia="黑体" w:cs="黑体"/>
          <w:b/>
          <w:bCs/>
          <w:spacing w:val="-3"/>
          <w:sz w:val="27"/>
          <w:szCs w:val="27"/>
        </w:rPr>
        <w:t>7</w:t>
      </w:r>
      <w:r>
        <w:rPr>
          <w:rFonts w:ascii="黑体" w:hAnsi="黑体" w:eastAsia="黑体" w:cs="黑体"/>
          <w:spacing w:val="19"/>
          <w:sz w:val="27"/>
          <w:szCs w:val="27"/>
        </w:rPr>
        <w:t xml:space="preserve">  </w:t>
      </w:r>
      <w:r>
        <w:rPr>
          <w:rFonts w:ascii="黑体" w:hAnsi="黑体" w:eastAsia="黑体" w:cs="黑体"/>
          <w:b/>
          <w:bCs/>
          <w:spacing w:val="-3"/>
          <w:sz w:val="27"/>
          <w:szCs w:val="27"/>
        </w:rPr>
        <w:t>改进建议</w:t>
      </w:r>
    </w:p>
    <w:p w14:paraId="4A44712B">
      <w:pPr>
        <w:pStyle w:val="2"/>
        <w:spacing w:before="101" w:line="219" w:lineRule="auto"/>
        <w:ind w:left="569"/>
      </w:pPr>
      <w:r>
        <w:rPr>
          <w:spacing w:val="3"/>
        </w:rPr>
        <w:t>提出产品设计修改和完善的建议。</w:t>
      </w:r>
    </w:p>
    <w:p w14:paraId="024C3264">
      <w:pPr>
        <w:spacing w:line="349" w:lineRule="auto"/>
        <w:rPr>
          <w:rFonts w:ascii="Arial"/>
          <w:sz w:val="21"/>
        </w:rPr>
      </w:pPr>
    </w:p>
    <w:p w14:paraId="5C39A95B">
      <w:pPr>
        <w:pStyle w:val="2"/>
        <w:spacing w:before="117" w:line="219" w:lineRule="auto"/>
        <w:ind w:left="3053"/>
        <w:outlineLvl w:val="2"/>
        <w:rPr>
          <w:sz w:val="36"/>
          <w:szCs w:val="36"/>
        </w:rPr>
      </w:pPr>
      <w:r>
        <w:rPr>
          <w:b/>
          <w:bCs/>
          <w:spacing w:val="3"/>
        </w:rPr>
        <w:t>9.13</w:t>
      </w:r>
      <w:r>
        <w:rPr>
          <w:spacing w:val="3"/>
        </w:rPr>
        <w:t xml:space="preserve">    </w:t>
      </w:r>
      <w:r>
        <w:rPr>
          <w:b/>
          <w:bCs/>
          <w:spacing w:val="3"/>
          <w:sz w:val="36"/>
          <w:szCs w:val="36"/>
        </w:rPr>
        <w:t>诊断能力设计</w:t>
      </w:r>
    </w:p>
    <w:p w14:paraId="481703F9">
      <w:pPr>
        <w:spacing w:line="47" w:lineRule="auto"/>
        <w:rPr>
          <w:rFonts w:ascii="Arial"/>
          <w:sz w:val="2"/>
        </w:rPr>
      </w:pPr>
    </w:p>
    <w:p w14:paraId="26EFB1A8">
      <w:pPr>
        <w:spacing w:line="14" w:lineRule="auto"/>
        <w:rPr>
          <w:rFonts w:ascii="Arial"/>
          <w:sz w:val="2"/>
        </w:rPr>
      </w:pPr>
      <w:r>
        <w:rPr>
          <w:rFonts w:ascii="Arial" w:hAnsi="Arial" w:eastAsia="Arial" w:cs="Arial"/>
          <w:sz w:val="2"/>
          <w:szCs w:val="2"/>
        </w:rPr>
        <w:br w:type="column"/>
      </w:r>
    </w:p>
    <w:p w14:paraId="68D34F7B">
      <w:pPr>
        <w:spacing w:line="296" w:lineRule="auto"/>
        <w:rPr>
          <w:rFonts w:ascii="Arial"/>
          <w:sz w:val="21"/>
        </w:rPr>
      </w:pPr>
    </w:p>
    <w:p w14:paraId="087AB978">
      <w:pPr>
        <w:pStyle w:val="2"/>
        <w:spacing w:before="88" w:line="222" w:lineRule="auto"/>
      </w:pPr>
      <w:r>
        <w:rPr>
          <w:spacing w:val="-11"/>
        </w:rPr>
        <w:t>(9.2)</w:t>
      </w:r>
    </w:p>
    <w:p w14:paraId="6D2C8875">
      <w:pPr>
        <w:spacing w:line="243" w:lineRule="auto"/>
        <w:rPr>
          <w:rFonts w:ascii="Arial"/>
          <w:sz w:val="21"/>
        </w:rPr>
      </w:pPr>
    </w:p>
    <w:p w14:paraId="629AC9DC">
      <w:pPr>
        <w:spacing w:line="243" w:lineRule="auto"/>
        <w:rPr>
          <w:rFonts w:ascii="Arial"/>
          <w:sz w:val="21"/>
        </w:rPr>
      </w:pPr>
    </w:p>
    <w:p w14:paraId="58A30C25">
      <w:pPr>
        <w:spacing w:line="243" w:lineRule="auto"/>
        <w:rPr>
          <w:rFonts w:ascii="Arial"/>
          <w:sz w:val="21"/>
        </w:rPr>
      </w:pPr>
    </w:p>
    <w:p w14:paraId="110508CE">
      <w:pPr>
        <w:spacing w:line="243" w:lineRule="auto"/>
        <w:rPr>
          <w:rFonts w:ascii="Arial"/>
          <w:sz w:val="21"/>
        </w:rPr>
      </w:pPr>
    </w:p>
    <w:p w14:paraId="6FB5527E">
      <w:pPr>
        <w:spacing w:line="243" w:lineRule="auto"/>
        <w:rPr>
          <w:rFonts w:ascii="Arial"/>
          <w:sz w:val="21"/>
        </w:rPr>
      </w:pPr>
    </w:p>
    <w:p w14:paraId="3D180FA2">
      <w:pPr>
        <w:spacing w:line="243" w:lineRule="auto"/>
        <w:rPr>
          <w:rFonts w:ascii="Arial"/>
          <w:sz w:val="21"/>
        </w:rPr>
      </w:pPr>
    </w:p>
    <w:p w14:paraId="710B69E2">
      <w:pPr>
        <w:spacing w:line="243" w:lineRule="auto"/>
        <w:rPr>
          <w:rFonts w:ascii="Arial"/>
          <w:sz w:val="21"/>
        </w:rPr>
      </w:pPr>
    </w:p>
    <w:p w14:paraId="6582D884">
      <w:pPr>
        <w:spacing w:line="243" w:lineRule="auto"/>
        <w:rPr>
          <w:rFonts w:ascii="Arial"/>
          <w:sz w:val="21"/>
        </w:rPr>
      </w:pPr>
    </w:p>
    <w:p w14:paraId="2190ECB0">
      <w:pPr>
        <w:spacing w:line="244" w:lineRule="auto"/>
        <w:rPr>
          <w:rFonts w:ascii="Arial"/>
          <w:sz w:val="21"/>
        </w:rPr>
      </w:pPr>
    </w:p>
    <w:p w14:paraId="5B45B84E">
      <w:pPr>
        <w:spacing w:line="244" w:lineRule="auto"/>
        <w:rPr>
          <w:rFonts w:ascii="Arial"/>
          <w:sz w:val="21"/>
        </w:rPr>
      </w:pPr>
    </w:p>
    <w:p w14:paraId="421C4F1A">
      <w:pPr>
        <w:pStyle w:val="2"/>
        <w:spacing w:before="88" w:line="222" w:lineRule="auto"/>
        <w:ind w:left="20"/>
      </w:pPr>
      <w:r>
        <w:rPr>
          <w:spacing w:val="-11"/>
        </w:rPr>
        <w:t>(9.3)</w:t>
      </w:r>
    </w:p>
    <w:p w14:paraId="2CD854E9">
      <w:pPr>
        <w:spacing w:line="222" w:lineRule="auto"/>
        <w:sectPr>
          <w:footerReference r:id="rId461" w:type="default"/>
          <w:pgSz w:w="11910" w:h="17130"/>
          <w:pgMar w:top="1417" w:right="1548" w:bottom="1812" w:left="940" w:header="0" w:footer="1459" w:gutter="0"/>
          <w:cols w:equalWidth="0" w:num="2">
            <w:col w:w="8580" w:space="100"/>
            <w:col w:w="742"/>
          </w:cols>
        </w:sectPr>
      </w:pPr>
    </w:p>
    <w:p w14:paraId="2DF55E98">
      <w:pPr>
        <w:spacing w:line="333" w:lineRule="auto"/>
        <w:rPr>
          <w:rFonts w:ascii="Arial"/>
          <w:sz w:val="21"/>
        </w:rPr>
      </w:pPr>
    </w:p>
    <w:p w14:paraId="488DE587">
      <w:pPr>
        <w:pStyle w:val="2"/>
        <w:spacing w:before="88" w:line="223" w:lineRule="auto"/>
        <w:ind w:left="589"/>
        <w:rPr>
          <w:rFonts w:ascii="楷体" w:hAnsi="楷体" w:eastAsia="楷体" w:cs="楷体"/>
        </w:rPr>
      </w:pPr>
      <w:r>
        <w:rPr>
          <w:rFonts w:ascii="楷体" w:hAnsi="楷体" w:eastAsia="楷体" w:cs="楷体"/>
          <w:spacing w:val="-3"/>
        </w:rPr>
        <w:t>按照</w:t>
      </w:r>
      <w:r>
        <w:rPr>
          <w:rFonts w:ascii="Times New Roman" w:hAnsi="Times New Roman" w:eastAsia="Times New Roman" w:cs="Times New Roman"/>
          <w:spacing w:val="-3"/>
        </w:rPr>
        <w:t>GJB 2547A</w:t>
      </w:r>
      <w:r>
        <w:rPr>
          <w:spacing w:val="-3"/>
        </w:rPr>
        <w:t>《</w:t>
      </w:r>
      <w:r>
        <w:rPr>
          <w:rFonts w:ascii="楷体" w:hAnsi="楷体" w:eastAsia="楷体" w:cs="楷体"/>
          <w:spacing w:val="-3"/>
        </w:rPr>
        <w:t>装备测试性工作通用要求</w:t>
      </w:r>
      <w:r>
        <w:rPr>
          <w:rFonts w:ascii="楷体" w:hAnsi="楷体" w:eastAsia="楷体" w:cs="楷体"/>
          <w:spacing w:val="-4"/>
        </w:rPr>
        <w:t>》编写。</w:t>
      </w:r>
    </w:p>
    <w:p w14:paraId="702F8EA0">
      <w:pPr>
        <w:spacing w:before="118" w:line="223" w:lineRule="auto"/>
        <w:ind w:left="33"/>
        <w:rPr>
          <w:rFonts w:ascii="黑体" w:hAnsi="黑体" w:eastAsia="黑体" w:cs="黑体"/>
          <w:sz w:val="27"/>
          <w:szCs w:val="27"/>
        </w:rPr>
      </w:pPr>
      <w:r>
        <w:rPr>
          <w:rFonts w:ascii="黑体" w:hAnsi="黑体" w:eastAsia="黑体" w:cs="黑体"/>
          <w:b/>
          <w:bCs/>
          <w:spacing w:val="-14"/>
          <w:sz w:val="27"/>
          <w:szCs w:val="27"/>
        </w:rPr>
        <w:t>1</w:t>
      </w:r>
      <w:r>
        <w:rPr>
          <w:rFonts w:ascii="黑体" w:hAnsi="黑体" w:eastAsia="黑体" w:cs="黑体"/>
          <w:spacing w:val="20"/>
          <w:sz w:val="27"/>
          <w:szCs w:val="27"/>
        </w:rPr>
        <w:t xml:space="preserve">  </w:t>
      </w:r>
      <w:r>
        <w:rPr>
          <w:rFonts w:ascii="黑体" w:hAnsi="黑体" w:eastAsia="黑体" w:cs="黑体"/>
          <w:b/>
          <w:bCs/>
          <w:spacing w:val="-14"/>
          <w:sz w:val="27"/>
          <w:szCs w:val="27"/>
        </w:rPr>
        <w:t>范围</w:t>
      </w:r>
    </w:p>
    <w:p w14:paraId="722E3ACC">
      <w:pPr>
        <w:spacing w:before="81" w:line="222" w:lineRule="auto"/>
        <w:ind w:left="23"/>
        <w:rPr>
          <w:rFonts w:ascii="黑体" w:hAnsi="黑体" w:eastAsia="黑体" w:cs="黑体"/>
          <w:sz w:val="27"/>
          <w:szCs w:val="27"/>
        </w:rPr>
      </w:pPr>
      <w:r>
        <w:rPr>
          <w:rFonts w:ascii="黑体" w:hAnsi="黑体" w:eastAsia="黑体" w:cs="黑体"/>
          <w:b/>
          <w:bCs/>
          <w:spacing w:val="-4"/>
          <w:sz w:val="27"/>
          <w:szCs w:val="27"/>
        </w:rPr>
        <w:t>2</w:t>
      </w:r>
      <w:r>
        <w:rPr>
          <w:rFonts w:ascii="黑体" w:hAnsi="黑体" w:eastAsia="黑体" w:cs="黑体"/>
          <w:spacing w:val="17"/>
          <w:sz w:val="27"/>
          <w:szCs w:val="27"/>
        </w:rPr>
        <w:t xml:space="preserve">  </w:t>
      </w:r>
      <w:r>
        <w:rPr>
          <w:rFonts w:ascii="黑体" w:hAnsi="黑体" w:eastAsia="黑体" w:cs="黑体"/>
          <w:b/>
          <w:bCs/>
          <w:spacing w:val="-4"/>
          <w:sz w:val="27"/>
          <w:szCs w:val="27"/>
        </w:rPr>
        <w:t>引用文件</w:t>
      </w:r>
    </w:p>
    <w:p w14:paraId="4F369928">
      <w:pPr>
        <w:spacing w:before="115" w:line="221" w:lineRule="auto"/>
        <w:ind w:left="13"/>
        <w:rPr>
          <w:rFonts w:ascii="黑体" w:hAnsi="黑体" w:eastAsia="黑体" w:cs="黑体"/>
          <w:sz w:val="27"/>
          <w:szCs w:val="27"/>
        </w:rPr>
      </w:pPr>
      <w:r>
        <w:rPr>
          <w:rFonts w:ascii="黑体" w:hAnsi="黑体" w:eastAsia="黑体" w:cs="黑体"/>
          <w:b/>
          <w:bCs/>
          <w:spacing w:val="-1"/>
          <w:sz w:val="27"/>
          <w:szCs w:val="27"/>
        </w:rPr>
        <w:t>3</w:t>
      </w:r>
      <w:r>
        <w:rPr>
          <w:rFonts w:ascii="黑体" w:hAnsi="黑体" w:eastAsia="黑体" w:cs="黑体"/>
          <w:spacing w:val="13"/>
          <w:sz w:val="27"/>
          <w:szCs w:val="27"/>
        </w:rPr>
        <w:t xml:space="preserve">  </w:t>
      </w:r>
      <w:r>
        <w:rPr>
          <w:rFonts w:ascii="黑体" w:hAnsi="黑体" w:eastAsia="黑体" w:cs="黑体"/>
          <w:b/>
          <w:bCs/>
          <w:spacing w:val="-1"/>
          <w:sz w:val="27"/>
          <w:szCs w:val="27"/>
        </w:rPr>
        <w:t>产品概述</w:t>
      </w:r>
    </w:p>
    <w:p w14:paraId="29F32563">
      <w:pPr>
        <w:pStyle w:val="2"/>
        <w:spacing w:before="93" w:line="219" w:lineRule="auto"/>
        <w:ind w:right="15"/>
        <w:jc w:val="right"/>
      </w:pPr>
      <w:r>
        <w:rPr>
          <w:spacing w:val="-11"/>
        </w:rPr>
        <w:t>说明产品名称、型号、主要功能、结构划分；产品合同规定的测试性要求等。</w:t>
      </w:r>
    </w:p>
    <w:p w14:paraId="617A1497">
      <w:pPr>
        <w:spacing w:before="123" w:line="221" w:lineRule="auto"/>
        <w:ind w:left="23"/>
        <w:outlineLvl w:val="3"/>
        <w:rPr>
          <w:rFonts w:ascii="黑体" w:hAnsi="黑体" w:eastAsia="黑体" w:cs="黑体"/>
          <w:sz w:val="27"/>
          <w:szCs w:val="27"/>
        </w:rPr>
      </w:pPr>
      <w:r>
        <w:rPr>
          <w:rFonts w:ascii="黑体" w:hAnsi="黑体" w:eastAsia="黑体" w:cs="黑体"/>
          <w:b/>
          <w:bCs/>
          <w:spacing w:val="-1"/>
          <w:sz w:val="27"/>
          <w:szCs w:val="27"/>
        </w:rPr>
        <w:t>4</w:t>
      </w:r>
      <w:r>
        <w:rPr>
          <w:rFonts w:ascii="黑体" w:hAnsi="黑体" w:eastAsia="黑体" w:cs="黑体"/>
          <w:spacing w:val="15"/>
          <w:sz w:val="27"/>
          <w:szCs w:val="27"/>
        </w:rPr>
        <w:t xml:space="preserve">  </w:t>
      </w:r>
      <w:r>
        <w:rPr>
          <w:rFonts w:ascii="黑体" w:hAnsi="黑体" w:eastAsia="黑体" w:cs="黑体"/>
          <w:b/>
          <w:bCs/>
          <w:spacing w:val="-1"/>
          <w:sz w:val="27"/>
          <w:szCs w:val="27"/>
        </w:rPr>
        <w:t>诊断能力设计权衡</w:t>
      </w:r>
    </w:p>
    <w:p w14:paraId="4438AF42">
      <w:pPr>
        <w:pStyle w:val="2"/>
        <w:spacing w:before="92" w:line="277" w:lineRule="auto"/>
        <w:ind w:left="49" w:right="8" w:firstLine="550"/>
      </w:pPr>
      <w:r>
        <w:rPr>
          <w:spacing w:val="-3"/>
        </w:rPr>
        <w:t>当有两种以上测试方法可以选用时，通过权衡分析来选用简单的、费用最少</w:t>
      </w:r>
      <w:r>
        <w:rPr>
          <w:spacing w:val="1"/>
        </w:rPr>
        <w:t xml:space="preserve"> </w:t>
      </w:r>
      <w:r>
        <w:rPr>
          <w:spacing w:val="2"/>
        </w:rPr>
        <w:t>的测试方法。主要包括：</w:t>
      </w:r>
    </w:p>
    <w:p w14:paraId="1C4284E2">
      <w:pPr>
        <w:pStyle w:val="2"/>
        <w:spacing w:before="3" w:line="273" w:lineRule="auto"/>
        <w:ind w:left="39" w:firstLine="550"/>
      </w:pPr>
      <w:r>
        <w:rPr>
          <w:rFonts w:ascii="Times New Roman" w:hAnsi="Times New Roman" w:eastAsia="Times New Roman" w:cs="Times New Roman"/>
          <w:spacing w:val="7"/>
        </w:rPr>
        <w:t>a)</w:t>
      </w:r>
      <w:r>
        <w:rPr>
          <w:rFonts w:ascii="Times New Roman" w:hAnsi="Times New Roman" w:eastAsia="Times New Roman" w:cs="Times New Roman"/>
        </w:rPr>
        <w:t>BIT</w:t>
      </w:r>
      <w:r>
        <w:rPr>
          <w:rFonts w:ascii="Times New Roman" w:hAnsi="Times New Roman" w:eastAsia="Times New Roman" w:cs="Times New Roman"/>
          <w:spacing w:val="7"/>
        </w:rPr>
        <w:t xml:space="preserve">   </w:t>
      </w:r>
      <w:r>
        <w:rPr>
          <w:spacing w:val="7"/>
        </w:rPr>
        <w:t>与</w:t>
      </w:r>
      <w:r>
        <w:rPr>
          <w:spacing w:val="-55"/>
        </w:rPr>
        <w:t xml:space="preserve"> </w:t>
      </w:r>
      <w:r>
        <w:rPr>
          <w:rFonts w:ascii="Times New Roman" w:hAnsi="Times New Roman" w:eastAsia="Times New Roman" w:cs="Times New Roman"/>
        </w:rPr>
        <w:t>ATE</w:t>
      </w:r>
      <w:r>
        <w:rPr>
          <w:rFonts w:ascii="Times New Roman" w:hAnsi="Times New Roman" w:eastAsia="Times New Roman" w:cs="Times New Roman"/>
          <w:spacing w:val="16"/>
        </w:rPr>
        <w:t xml:space="preserve">  </w:t>
      </w:r>
      <w:r>
        <w:rPr>
          <w:spacing w:val="7"/>
        </w:rPr>
        <w:t>的权衡。</w:t>
      </w:r>
      <w:r>
        <w:rPr>
          <w:rFonts w:ascii="Times New Roman" w:hAnsi="Times New Roman" w:eastAsia="Times New Roman" w:cs="Times New Roman"/>
        </w:rPr>
        <w:t>BIT</w:t>
      </w:r>
      <w:r>
        <w:rPr>
          <w:rFonts w:ascii="Times New Roman" w:hAnsi="Times New Roman" w:eastAsia="Times New Roman" w:cs="Times New Roman"/>
          <w:spacing w:val="25"/>
          <w:w w:val="101"/>
        </w:rPr>
        <w:t xml:space="preserve"> </w:t>
      </w:r>
      <w:r>
        <w:rPr>
          <w:spacing w:val="7"/>
        </w:rPr>
        <w:t>用于对系统或设备进行在线的故障检测和隔</w:t>
      </w:r>
      <w:r>
        <w:t xml:space="preserve"> </w:t>
      </w:r>
      <w:r>
        <w:rPr>
          <w:spacing w:val="4"/>
        </w:rPr>
        <w:t>离</w:t>
      </w:r>
      <w:r>
        <w:rPr>
          <w:spacing w:val="-66"/>
        </w:rPr>
        <w:t xml:space="preserve"> </w:t>
      </w:r>
      <w:r>
        <w:rPr>
          <w:spacing w:val="4"/>
        </w:rPr>
        <w:t>。</w:t>
      </w:r>
      <w:r>
        <w:rPr>
          <w:rFonts w:ascii="Times New Roman" w:hAnsi="Times New Roman" w:eastAsia="Times New Roman" w:cs="Times New Roman"/>
        </w:rPr>
        <w:t>BIT</w:t>
      </w:r>
      <w:r>
        <w:rPr>
          <w:rFonts w:ascii="Times New Roman" w:hAnsi="Times New Roman" w:eastAsia="Times New Roman" w:cs="Times New Roman"/>
          <w:spacing w:val="63"/>
        </w:rPr>
        <w:t xml:space="preserve"> </w:t>
      </w:r>
      <w:r>
        <w:rPr>
          <w:spacing w:val="4"/>
        </w:rPr>
        <w:t>的优点是能在任务环境中独立工作。</w:t>
      </w:r>
      <w:r>
        <w:rPr>
          <w:spacing w:val="-25"/>
        </w:rPr>
        <w:t xml:space="preserve"> </w:t>
      </w:r>
      <w:r>
        <w:rPr>
          <w:rFonts w:ascii="Times New Roman" w:hAnsi="Times New Roman" w:eastAsia="Times New Roman" w:cs="Times New Roman"/>
        </w:rPr>
        <w:t>ATE</w:t>
      </w:r>
      <w:r>
        <w:rPr>
          <w:rFonts w:ascii="Times New Roman" w:hAnsi="Times New Roman" w:eastAsia="Times New Roman" w:cs="Times New Roman"/>
          <w:spacing w:val="4"/>
        </w:rPr>
        <w:t xml:space="preserve">  </w:t>
      </w:r>
      <w:r>
        <w:rPr>
          <w:spacing w:val="4"/>
        </w:rPr>
        <w:t>用于对</w:t>
      </w:r>
      <w:r>
        <w:rPr>
          <w:spacing w:val="-66"/>
        </w:rPr>
        <w:t xml:space="preserve"> </w:t>
      </w:r>
      <w:r>
        <w:rPr>
          <w:rFonts w:ascii="Times New Roman" w:hAnsi="Times New Roman" w:eastAsia="Times New Roman" w:cs="Times New Roman"/>
        </w:rPr>
        <w:t>UUT</w:t>
      </w:r>
      <w:r>
        <w:rPr>
          <w:rFonts w:ascii="Times New Roman" w:hAnsi="Times New Roman" w:eastAsia="Times New Roman" w:cs="Times New Roman"/>
          <w:spacing w:val="4"/>
        </w:rPr>
        <w:t xml:space="preserve">   </w:t>
      </w:r>
      <w:r>
        <w:rPr>
          <w:spacing w:val="4"/>
        </w:rPr>
        <w:t>进</w:t>
      </w:r>
      <w:r>
        <w:rPr>
          <w:spacing w:val="3"/>
        </w:rPr>
        <w:t>行脱机故</w:t>
      </w:r>
      <w:r>
        <w:t xml:space="preserve"> </w:t>
      </w:r>
      <w:r>
        <w:rPr>
          <w:spacing w:val="-1"/>
        </w:rPr>
        <w:t>障检测，并将故障隔离到</w:t>
      </w:r>
      <w:r>
        <w:rPr>
          <w:spacing w:val="-64"/>
        </w:rPr>
        <w:t xml:space="preserve"> </w:t>
      </w:r>
      <w:r>
        <w:rPr>
          <w:rFonts w:ascii="Times New Roman" w:hAnsi="Times New Roman" w:eastAsia="Times New Roman" w:cs="Times New Roman"/>
          <w:spacing w:val="-1"/>
        </w:rPr>
        <w:t xml:space="preserve">UUT  </w:t>
      </w:r>
      <w:r>
        <w:rPr>
          <w:spacing w:val="-1"/>
        </w:rPr>
        <w:t>内部的</w:t>
      </w:r>
      <w:r>
        <w:rPr>
          <w:spacing w:val="-76"/>
        </w:rPr>
        <w:t xml:space="preserve"> </w:t>
      </w:r>
      <w:r>
        <w:rPr>
          <w:rFonts w:ascii="Times New Roman" w:hAnsi="Times New Roman" w:eastAsia="Times New Roman" w:cs="Times New Roman"/>
          <w:spacing w:val="-1"/>
        </w:rPr>
        <w:t>SR</w:t>
      </w:r>
      <w:r>
        <w:rPr>
          <w:rFonts w:ascii="Times New Roman" w:hAnsi="Times New Roman" w:eastAsia="Times New Roman" w:cs="Times New Roman"/>
          <w:spacing w:val="-2"/>
        </w:rPr>
        <w:t xml:space="preserve">U  </w:t>
      </w:r>
      <w:r>
        <w:rPr>
          <w:spacing w:val="-2"/>
        </w:rPr>
        <w:t>或元器件。与</w:t>
      </w:r>
      <w:r>
        <w:rPr>
          <w:rFonts w:ascii="Times New Roman" w:hAnsi="Times New Roman" w:eastAsia="Times New Roman" w:cs="Times New Roman"/>
          <w:spacing w:val="-2"/>
        </w:rPr>
        <w:t>BIT</w:t>
      </w:r>
      <w:r>
        <w:rPr>
          <w:rFonts w:ascii="Times New Roman" w:hAnsi="Times New Roman" w:eastAsia="Times New Roman" w:cs="Times New Roman"/>
          <w:spacing w:val="43"/>
        </w:rPr>
        <w:t xml:space="preserve"> </w:t>
      </w:r>
      <w:r>
        <w:rPr>
          <w:spacing w:val="-2"/>
        </w:rPr>
        <w:t>相比，</w:t>
      </w:r>
      <w:r>
        <w:rPr>
          <w:rFonts w:ascii="Times New Roman" w:hAnsi="Times New Roman" w:eastAsia="Times New Roman" w:cs="Times New Roman"/>
          <w:spacing w:val="-2"/>
        </w:rPr>
        <w:t xml:space="preserve">ATE  </w:t>
      </w:r>
      <w:r>
        <w:rPr>
          <w:spacing w:val="-2"/>
        </w:rPr>
        <w:t>的优</w:t>
      </w:r>
      <w:r>
        <w:t xml:space="preserve"> </w:t>
      </w:r>
      <w:r>
        <w:rPr>
          <w:spacing w:val="-3"/>
        </w:rPr>
        <w:t>点是不增加任务系统的重量、体积和功率，</w:t>
      </w:r>
      <w:r>
        <w:rPr>
          <w:spacing w:val="-4"/>
        </w:rPr>
        <w:t>也不会影响任务系统的可靠性。</w:t>
      </w:r>
    </w:p>
    <w:p w14:paraId="71F8C553">
      <w:pPr>
        <w:pStyle w:val="2"/>
        <w:spacing w:before="72" w:line="268" w:lineRule="auto"/>
        <w:ind w:left="49" w:right="8" w:firstLine="539"/>
      </w:pPr>
      <w:r>
        <w:rPr>
          <w:rFonts w:ascii="Times New Roman" w:hAnsi="Times New Roman" w:eastAsia="Times New Roman" w:cs="Times New Roman"/>
          <w:spacing w:val="7"/>
        </w:rPr>
        <w:t xml:space="preserve">b)  </w:t>
      </w:r>
      <w:r>
        <w:rPr>
          <w:spacing w:val="7"/>
        </w:rPr>
        <w:t>人工测试与自动测试的权衡，采用人工测试还是</w:t>
      </w:r>
      <w:r>
        <w:rPr>
          <w:rFonts w:ascii="Times New Roman" w:hAnsi="Times New Roman" w:eastAsia="Times New Roman" w:cs="Times New Roman"/>
        </w:rPr>
        <w:t>ATE</w:t>
      </w:r>
      <w:r>
        <w:rPr>
          <w:rFonts w:ascii="Times New Roman" w:hAnsi="Times New Roman" w:eastAsia="Times New Roman" w:cs="Times New Roman"/>
          <w:spacing w:val="7"/>
        </w:rPr>
        <w:t xml:space="preserve">  </w:t>
      </w:r>
      <w:r>
        <w:rPr>
          <w:spacing w:val="7"/>
        </w:rPr>
        <w:t>对系统进行检测</w:t>
      </w:r>
      <w:r>
        <w:rPr>
          <w:spacing w:val="3"/>
        </w:rPr>
        <w:t xml:space="preserve"> </w:t>
      </w:r>
      <w:r>
        <w:rPr>
          <w:spacing w:val="-3"/>
        </w:rPr>
        <w:t>和维修取决于维修策略、总的维修计划和被测系统的数目。根据测试复杂性、故</w:t>
      </w:r>
      <w:r>
        <w:rPr>
          <w:spacing w:val="15"/>
        </w:rPr>
        <w:t xml:space="preserve"> </w:t>
      </w:r>
      <w:r>
        <w:rPr>
          <w:spacing w:val="-10"/>
        </w:rPr>
        <w:t>障隔离时间、使用环境、保障要求、研制时间和费用等，对每个维修级别上的测试</w:t>
      </w:r>
      <w:r>
        <w:t xml:space="preserve"> </w:t>
      </w:r>
      <w:r>
        <w:rPr>
          <w:spacing w:val="22"/>
        </w:rPr>
        <w:t>要求进行权衡。测试自动化程度必须与设备操作和维修人员的技能水平相</w:t>
      </w:r>
      <w:r>
        <w:rPr>
          <w:spacing w:val="17"/>
        </w:rPr>
        <w:t xml:space="preserve"> </w:t>
      </w:r>
      <w:r>
        <w:rPr>
          <w:spacing w:val="-5"/>
        </w:rPr>
        <w:t>一致。</w:t>
      </w:r>
    </w:p>
    <w:p w14:paraId="63120810">
      <w:pPr>
        <w:spacing w:line="268" w:lineRule="auto"/>
        <w:sectPr>
          <w:type w:val="continuous"/>
          <w:pgSz w:w="11910" w:h="17130"/>
          <w:pgMar w:top="1417" w:right="1548" w:bottom="1812" w:left="940" w:header="0" w:footer="1459" w:gutter="0"/>
          <w:cols w:equalWidth="0" w:num="1">
            <w:col w:w="9422"/>
          </w:cols>
        </w:sectPr>
      </w:pPr>
    </w:p>
    <w:p w14:paraId="733FA52B">
      <w:pPr>
        <w:spacing w:before="152" w:line="221" w:lineRule="auto"/>
        <w:rPr>
          <w:rFonts w:ascii="黑体" w:hAnsi="黑体" w:eastAsia="黑体" w:cs="黑体"/>
          <w:sz w:val="27"/>
          <w:szCs w:val="27"/>
        </w:rPr>
      </w:pPr>
      <w:r>
        <w:rPr>
          <w:rFonts w:ascii="黑体" w:hAnsi="黑体" w:eastAsia="黑体" w:cs="黑体"/>
          <w:spacing w:val="5"/>
          <w:sz w:val="27"/>
          <w:szCs w:val="27"/>
        </w:rPr>
        <w:t>5</w:t>
      </w:r>
      <w:r>
        <w:rPr>
          <w:rFonts w:ascii="黑体" w:hAnsi="黑体" w:eastAsia="黑体" w:cs="黑体"/>
          <w:spacing w:val="16"/>
          <w:sz w:val="27"/>
          <w:szCs w:val="27"/>
        </w:rPr>
        <w:t xml:space="preserve">  </w:t>
      </w:r>
      <w:r>
        <w:rPr>
          <w:rFonts w:ascii="黑体" w:hAnsi="黑体" w:eastAsia="黑体" w:cs="黑体"/>
          <w:spacing w:val="5"/>
          <w:sz w:val="27"/>
          <w:szCs w:val="27"/>
        </w:rPr>
        <w:t>诊断策略设计</w:t>
      </w:r>
    </w:p>
    <w:p w14:paraId="65CA59A2">
      <w:pPr>
        <w:pStyle w:val="2"/>
        <w:spacing w:before="79" w:line="219" w:lineRule="auto"/>
        <w:ind w:left="559"/>
      </w:pPr>
      <w:r>
        <w:rPr>
          <w:spacing w:val="3"/>
        </w:rPr>
        <w:t>诊断策略设计的主要工作要点有：</w:t>
      </w:r>
    </w:p>
    <w:p w14:paraId="730EC214">
      <w:pPr>
        <w:pStyle w:val="2"/>
        <w:spacing w:before="28" w:line="267" w:lineRule="auto"/>
        <w:ind w:right="142" w:firstLine="559"/>
      </w:pPr>
      <w:r>
        <w:rPr>
          <w:rFonts w:ascii="Times New Roman" w:hAnsi="Times New Roman" w:eastAsia="Times New Roman" w:cs="Times New Roman"/>
          <w:spacing w:val="2"/>
        </w:rPr>
        <w:t xml:space="preserve">a)  </w:t>
      </w:r>
      <w:r>
        <w:rPr>
          <w:spacing w:val="2"/>
        </w:rPr>
        <w:t>分析并列出产品各功能故障模式及其各组成单元的功能故障模式，并取</w:t>
      </w:r>
      <w:r>
        <w:rPr>
          <w:spacing w:val="16"/>
        </w:rPr>
        <w:t xml:space="preserve"> </w:t>
      </w:r>
      <w:r>
        <w:rPr>
          <w:spacing w:val="1"/>
        </w:rPr>
        <w:t>得有关故障率数据；</w:t>
      </w:r>
    </w:p>
    <w:p w14:paraId="1C00D567">
      <w:pPr>
        <w:pStyle w:val="2"/>
        <w:spacing w:before="8" w:line="272" w:lineRule="auto"/>
        <w:ind w:right="212" w:firstLine="559"/>
      </w:pPr>
      <w:r>
        <w:rPr>
          <w:rFonts w:ascii="Times New Roman" w:hAnsi="Times New Roman" w:eastAsia="Times New Roman" w:cs="Times New Roman"/>
          <w:spacing w:val="1"/>
        </w:rPr>
        <w:t>b)</w:t>
      </w:r>
      <w:r>
        <w:rPr>
          <w:rFonts w:ascii="Times New Roman" w:hAnsi="Times New Roman" w:eastAsia="Times New Roman" w:cs="Times New Roman"/>
          <w:spacing w:val="58"/>
        </w:rPr>
        <w:t xml:space="preserve"> </w:t>
      </w:r>
      <w:r>
        <w:rPr>
          <w:spacing w:val="1"/>
        </w:rPr>
        <w:t>依据诊断方案分析各个故障模式可用的检测</w:t>
      </w:r>
      <w:r>
        <w:t>方法，</w:t>
      </w:r>
      <w:r>
        <w:rPr>
          <w:rFonts w:ascii="仿宋" w:hAnsi="仿宋" w:eastAsia="仿宋" w:cs="仿宋"/>
        </w:rPr>
        <w:t>如</w:t>
      </w:r>
      <w:r>
        <w:rPr>
          <w:rFonts w:ascii="仿宋" w:hAnsi="仿宋" w:eastAsia="仿宋" w:cs="仿宋"/>
          <w:spacing w:val="-25"/>
        </w:rPr>
        <w:t xml:space="preserve"> </w:t>
      </w:r>
      <w:r>
        <w:rPr>
          <w:rFonts w:ascii="Times New Roman" w:hAnsi="Times New Roman" w:eastAsia="Times New Roman" w:cs="Times New Roman"/>
        </w:rPr>
        <w:t>BIT</w:t>
      </w:r>
      <w:r>
        <w:t>、</w:t>
      </w:r>
      <w:r>
        <w:rPr>
          <w:rFonts w:ascii="仿宋" w:hAnsi="仿宋" w:eastAsia="仿宋" w:cs="仿宋"/>
        </w:rPr>
        <w:t>监控、</w:t>
      </w:r>
      <w:r>
        <w:rPr>
          <w:rFonts w:ascii="Times New Roman" w:hAnsi="Times New Roman" w:eastAsia="Times New Roman" w:cs="Times New Roman"/>
        </w:rPr>
        <w:t xml:space="preserve">ATE </w:t>
      </w:r>
      <w:r>
        <w:t>或人工测试；</w:t>
      </w:r>
    </w:p>
    <w:p w14:paraId="53770252">
      <w:pPr>
        <w:pStyle w:val="2"/>
        <w:spacing w:before="53" w:line="265" w:lineRule="auto"/>
        <w:ind w:right="123" w:firstLine="559"/>
      </w:pPr>
      <w:r>
        <w:rPr>
          <w:rFonts w:ascii="Times New Roman" w:hAnsi="Times New Roman" w:eastAsia="Times New Roman" w:cs="Times New Roman"/>
          <w:spacing w:val="7"/>
        </w:rPr>
        <w:t xml:space="preserve">c)  </w:t>
      </w:r>
      <w:r>
        <w:rPr>
          <w:spacing w:val="7"/>
        </w:rPr>
        <w:t>确定测量参数和测试点位置，分析</w:t>
      </w:r>
      <w:r>
        <w:rPr>
          <w:rFonts w:ascii="Times New Roman" w:hAnsi="Times New Roman" w:eastAsia="Times New Roman" w:cs="Times New Roman"/>
        </w:rPr>
        <w:t>UUT</w:t>
      </w:r>
      <w:r>
        <w:rPr>
          <w:rFonts w:ascii="Times New Roman" w:hAnsi="Times New Roman" w:eastAsia="Times New Roman" w:cs="Times New Roman"/>
          <w:spacing w:val="7"/>
        </w:rPr>
        <w:t xml:space="preserve">  </w:t>
      </w:r>
      <w:r>
        <w:rPr>
          <w:spacing w:val="7"/>
        </w:rPr>
        <w:t>及</w:t>
      </w:r>
      <w:r>
        <w:rPr>
          <w:spacing w:val="6"/>
        </w:rPr>
        <w:t>其各组成单元的功能故障模</w:t>
      </w:r>
      <w:r>
        <w:t xml:space="preserve"> </w:t>
      </w:r>
      <w:r>
        <w:rPr>
          <w:spacing w:val="-2"/>
        </w:rPr>
        <w:t>式的检测参数、测试点的位置，并标注在</w:t>
      </w:r>
      <w:r>
        <w:rPr>
          <w:spacing w:val="-59"/>
        </w:rPr>
        <w:t xml:space="preserve"> </w:t>
      </w:r>
      <w:r>
        <w:rPr>
          <w:rFonts w:ascii="Times New Roman" w:hAnsi="Times New Roman" w:eastAsia="Times New Roman" w:cs="Times New Roman"/>
          <w:spacing w:val="-2"/>
        </w:rPr>
        <w:t>UU</w:t>
      </w:r>
      <w:r>
        <w:rPr>
          <w:rFonts w:ascii="Times New Roman" w:hAnsi="Times New Roman" w:eastAsia="Times New Roman" w:cs="Times New Roman"/>
          <w:spacing w:val="-3"/>
        </w:rPr>
        <w:t xml:space="preserve">T  </w:t>
      </w:r>
      <w:r>
        <w:rPr>
          <w:spacing w:val="-3"/>
        </w:rPr>
        <w:t>功能框图上，建立起</w:t>
      </w:r>
      <w:r>
        <w:rPr>
          <w:spacing w:val="-30"/>
        </w:rPr>
        <w:t xml:space="preserve"> </w:t>
      </w:r>
      <w:r>
        <w:rPr>
          <w:rFonts w:ascii="Times New Roman" w:hAnsi="Times New Roman" w:eastAsia="Times New Roman" w:cs="Times New Roman"/>
          <w:spacing w:val="-3"/>
        </w:rPr>
        <w:t xml:space="preserve">UUT   </w:t>
      </w:r>
      <w:r>
        <w:rPr>
          <w:spacing w:val="-3"/>
        </w:rPr>
        <w:t>各组</w:t>
      </w:r>
      <w:r>
        <w:t xml:space="preserve"> </w:t>
      </w:r>
      <w:r>
        <w:rPr>
          <w:spacing w:val="3"/>
        </w:rPr>
        <w:t>成单元(或各组成单元功能故障模式)与测试点的相关性图示模型；</w:t>
      </w:r>
    </w:p>
    <w:p w14:paraId="1B517106">
      <w:pPr>
        <w:pStyle w:val="2"/>
        <w:spacing w:before="69" w:line="212" w:lineRule="auto"/>
        <w:ind w:left="559"/>
      </w:pPr>
      <w:r>
        <w:rPr>
          <w:rFonts w:ascii="Times New Roman" w:hAnsi="Times New Roman" w:eastAsia="Times New Roman" w:cs="Times New Roman"/>
          <w:spacing w:val="-4"/>
        </w:rPr>
        <w:t xml:space="preserve">d)  </w:t>
      </w:r>
      <w:r>
        <w:rPr>
          <w:spacing w:val="-4"/>
        </w:rPr>
        <w:t>建立并简化相关性矩阵，识别模糊组；</w:t>
      </w:r>
    </w:p>
    <w:p w14:paraId="12E23D3E">
      <w:pPr>
        <w:pStyle w:val="2"/>
        <w:spacing w:before="90" w:line="212" w:lineRule="auto"/>
        <w:ind w:left="559"/>
      </w:pPr>
      <w:r>
        <w:rPr>
          <w:rFonts w:ascii="Times New Roman" w:hAnsi="Times New Roman" w:eastAsia="Times New Roman" w:cs="Times New Roman"/>
          <w:spacing w:val="3"/>
        </w:rPr>
        <w:t>e)</w:t>
      </w:r>
      <w:r>
        <w:rPr>
          <w:rFonts w:ascii="Times New Roman" w:hAnsi="Times New Roman" w:eastAsia="Times New Roman" w:cs="Times New Roman"/>
          <w:spacing w:val="70"/>
          <w:w w:val="101"/>
        </w:rPr>
        <w:t xml:space="preserve"> </w:t>
      </w:r>
      <w:r>
        <w:rPr>
          <w:spacing w:val="3"/>
        </w:rPr>
        <w:t>考虑可靠性影响因素优选测试点和诊断策略；</w:t>
      </w:r>
    </w:p>
    <w:p w14:paraId="226EC866">
      <w:pPr>
        <w:pStyle w:val="2"/>
        <w:spacing w:before="100" w:line="212" w:lineRule="auto"/>
        <w:ind w:left="559"/>
      </w:pPr>
      <w:r>
        <w:rPr>
          <w:rFonts w:ascii="Times New Roman" w:hAnsi="Times New Roman" w:eastAsia="Times New Roman" w:cs="Times New Roman"/>
          <w:spacing w:val="6"/>
        </w:rPr>
        <w:t xml:space="preserve">f)  </w:t>
      </w:r>
      <w:r>
        <w:rPr>
          <w:spacing w:val="6"/>
        </w:rPr>
        <w:t>画出</w:t>
      </w:r>
      <w:r>
        <w:rPr>
          <w:rFonts w:ascii="Times New Roman" w:hAnsi="Times New Roman" w:eastAsia="Times New Roman" w:cs="Times New Roman"/>
        </w:rPr>
        <w:t>UUT</w:t>
      </w:r>
      <w:r>
        <w:rPr>
          <w:rFonts w:ascii="Times New Roman" w:hAnsi="Times New Roman" w:eastAsia="Times New Roman" w:cs="Times New Roman"/>
          <w:spacing w:val="6"/>
        </w:rPr>
        <w:t xml:space="preserve">  </w:t>
      </w:r>
      <w:r>
        <w:rPr>
          <w:spacing w:val="6"/>
        </w:rPr>
        <w:t>诊断策略二叉树形图(诊断树)和(或)故障字典。</w:t>
      </w:r>
    </w:p>
    <w:p w14:paraId="479EEAAF">
      <w:pPr>
        <w:spacing w:before="70" w:line="368" w:lineRule="exact"/>
        <w:rPr>
          <w:rFonts w:ascii="黑体" w:hAnsi="黑体" w:eastAsia="黑体" w:cs="黑体"/>
          <w:sz w:val="27"/>
          <w:szCs w:val="27"/>
        </w:rPr>
      </w:pPr>
      <w:r>
        <w:rPr>
          <w:rFonts w:ascii="Arial" w:hAnsi="Arial" w:eastAsia="Arial" w:cs="Arial"/>
          <w:spacing w:val="6"/>
          <w:position w:val="1"/>
          <w:sz w:val="27"/>
          <w:szCs w:val="27"/>
        </w:rPr>
        <w:t>6</w:t>
      </w:r>
      <w:r>
        <w:rPr>
          <w:rFonts w:ascii="Arial" w:hAnsi="Arial" w:eastAsia="Arial" w:cs="Arial"/>
          <w:spacing w:val="19"/>
          <w:position w:val="1"/>
          <w:sz w:val="27"/>
          <w:szCs w:val="27"/>
        </w:rPr>
        <w:t xml:space="preserve">   </w:t>
      </w:r>
      <w:r>
        <w:rPr>
          <w:rFonts w:ascii="黑体" w:hAnsi="黑体" w:eastAsia="黑体" w:cs="黑体"/>
          <w:spacing w:val="6"/>
          <w:position w:val="1"/>
          <w:sz w:val="27"/>
          <w:szCs w:val="27"/>
        </w:rPr>
        <w:t>嵌入式诊断详细设计</w:t>
      </w:r>
    </w:p>
    <w:p w14:paraId="49A96C30">
      <w:pPr>
        <w:pStyle w:val="2"/>
        <w:spacing w:before="132" w:line="295" w:lineRule="auto"/>
        <w:ind w:right="124" w:firstLine="559"/>
        <w:rPr>
          <w:sz w:val="25"/>
          <w:szCs w:val="25"/>
        </w:rPr>
      </w:pPr>
      <w:r>
        <w:rPr>
          <w:spacing w:val="25"/>
          <w:sz w:val="25"/>
          <w:szCs w:val="25"/>
        </w:rPr>
        <w:t>嵌入式诊断详细设计是使所有系统和设备都能进行规定程度的测试，并达</w:t>
      </w:r>
      <w:r>
        <w:rPr>
          <w:spacing w:val="18"/>
          <w:sz w:val="25"/>
          <w:szCs w:val="25"/>
        </w:rPr>
        <w:t xml:space="preserve"> </w:t>
      </w:r>
      <w:r>
        <w:rPr>
          <w:spacing w:val="23"/>
          <w:sz w:val="25"/>
          <w:szCs w:val="25"/>
        </w:rPr>
        <w:t>到规定的故障检测率与隔离率要求。</w:t>
      </w:r>
    </w:p>
    <w:p w14:paraId="3FC32FBF">
      <w:pPr>
        <w:spacing w:before="1" w:line="221" w:lineRule="auto"/>
        <w:rPr>
          <w:rFonts w:ascii="黑体" w:hAnsi="黑体" w:eastAsia="黑体" w:cs="黑体"/>
          <w:sz w:val="25"/>
          <w:szCs w:val="25"/>
        </w:rPr>
      </w:pPr>
      <w:r>
        <w:rPr>
          <w:rFonts w:ascii="Times New Roman" w:hAnsi="Times New Roman" w:eastAsia="Times New Roman" w:cs="Times New Roman"/>
          <w:b/>
          <w:bCs/>
          <w:spacing w:val="13"/>
          <w:sz w:val="25"/>
          <w:szCs w:val="25"/>
        </w:rPr>
        <w:t>6.</w:t>
      </w:r>
      <w:r>
        <w:rPr>
          <w:rFonts w:ascii="Times New Roman" w:hAnsi="Times New Roman" w:eastAsia="Times New Roman" w:cs="Times New Roman"/>
          <w:b/>
          <w:bCs/>
          <w:spacing w:val="39"/>
          <w:sz w:val="25"/>
          <w:szCs w:val="25"/>
        </w:rPr>
        <w:t xml:space="preserve"> </w:t>
      </w:r>
      <w:r>
        <w:rPr>
          <w:rFonts w:ascii="Times New Roman" w:hAnsi="Times New Roman" w:eastAsia="Times New Roman" w:cs="Times New Roman"/>
          <w:b/>
          <w:bCs/>
          <w:spacing w:val="13"/>
          <w:sz w:val="25"/>
          <w:szCs w:val="25"/>
        </w:rPr>
        <w:t>1</w:t>
      </w:r>
      <w:r>
        <w:rPr>
          <w:rFonts w:ascii="Times New Roman" w:hAnsi="Times New Roman" w:eastAsia="Times New Roman" w:cs="Times New Roman"/>
          <w:b/>
          <w:bCs/>
          <w:spacing w:val="12"/>
          <w:sz w:val="25"/>
          <w:szCs w:val="25"/>
        </w:rPr>
        <w:t xml:space="preserve">    </w:t>
      </w:r>
      <w:r>
        <w:rPr>
          <w:rFonts w:ascii="Times New Roman" w:hAnsi="Times New Roman" w:eastAsia="Times New Roman" w:cs="Times New Roman"/>
          <w:b/>
          <w:bCs/>
          <w:sz w:val="25"/>
          <w:szCs w:val="25"/>
        </w:rPr>
        <w:t>BIT</w:t>
      </w:r>
      <w:r>
        <w:rPr>
          <w:rFonts w:ascii="Times New Roman" w:hAnsi="Times New Roman" w:eastAsia="Times New Roman" w:cs="Times New Roman"/>
          <w:b/>
          <w:bCs/>
          <w:spacing w:val="25"/>
          <w:sz w:val="25"/>
          <w:szCs w:val="25"/>
        </w:rPr>
        <w:t xml:space="preserve"> </w:t>
      </w:r>
      <w:r>
        <w:rPr>
          <w:rFonts w:ascii="黑体" w:hAnsi="黑体" w:eastAsia="黑体" w:cs="黑体"/>
          <w:spacing w:val="13"/>
          <w:sz w:val="25"/>
          <w:szCs w:val="25"/>
        </w:rPr>
        <w:t>详细设计</w:t>
      </w:r>
    </w:p>
    <w:p w14:paraId="29EBD951">
      <w:pPr>
        <w:pStyle w:val="2"/>
        <w:spacing w:before="120" w:line="269" w:lineRule="auto"/>
        <w:ind w:right="112" w:firstLine="559"/>
      </w:pPr>
      <w:r>
        <w:rPr>
          <w:rFonts w:ascii="Times New Roman" w:hAnsi="Times New Roman" w:eastAsia="Times New Roman" w:cs="Times New Roman"/>
        </w:rPr>
        <w:t>BIT</w:t>
      </w:r>
      <w:r>
        <w:rPr>
          <w:rFonts w:ascii="Times New Roman" w:hAnsi="Times New Roman" w:eastAsia="Times New Roman" w:cs="Times New Roman"/>
          <w:spacing w:val="48"/>
        </w:rPr>
        <w:t xml:space="preserve"> </w:t>
      </w:r>
      <w:r>
        <w:rPr>
          <w:spacing w:val="4"/>
        </w:rPr>
        <w:t>详细设计的主要工作内容为</w:t>
      </w:r>
      <w:r>
        <w:rPr>
          <w:spacing w:val="-79"/>
        </w:rPr>
        <w:t xml:space="preserve"> </w:t>
      </w:r>
      <w:r>
        <w:rPr>
          <w:rFonts w:ascii="Times New Roman" w:hAnsi="Times New Roman" w:eastAsia="Times New Roman" w:cs="Times New Roman"/>
        </w:rPr>
        <w:t>BIT</w:t>
      </w:r>
      <w:r>
        <w:rPr>
          <w:rFonts w:ascii="Times New Roman" w:hAnsi="Times New Roman" w:eastAsia="Times New Roman" w:cs="Times New Roman"/>
          <w:spacing w:val="63"/>
        </w:rPr>
        <w:t xml:space="preserve"> </w:t>
      </w:r>
      <w:r>
        <w:rPr>
          <w:spacing w:val="4"/>
        </w:rPr>
        <w:t>硬件电路和软件设计、</w:t>
      </w:r>
      <w:r>
        <w:rPr>
          <w:rFonts w:ascii="Times New Roman" w:hAnsi="Times New Roman" w:eastAsia="Times New Roman" w:cs="Times New Roman"/>
        </w:rPr>
        <w:t>BIT</w:t>
      </w:r>
      <w:r>
        <w:rPr>
          <w:rFonts w:ascii="Times New Roman" w:hAnsi="Times New Roman" w:eastAsia="Times New Roman" w:cs="Times New Roman"/>
          <w:spacing w:val="32"/>
          <w:w w:val="101"/>
        </w:rPr>
        <w:t xml:space="preserve"> </w:t>
      </w:r>
      <w:r>
        <w:rPr>
          <w:spacing w:val="4"/>
        </w:rPr>
        <w:t>故障检测</w:t>
      </w:r>
      <w:r>
        <w:t xml:space="preserve"> </w:t>
      </w:r>
      <w:r>
        <w:rPr>
          <w:spacing w:val="1"/>
        </w:rPr>
        <w:t>与隔离能力的分析预计等。</w:t>
      </w:r>
    </w:p>
    <w:p w14:paraId="474C0F42">
      <w:pPr>
        <w:pStyle w:val="2"/>
        <w:spacing w:before="15" w:line="271" w:lineRule="auto"/>
        <w:ind w:right="124" w:firstLine="559"/>
        <w:jc w:val="both"/>
      </w:pPr>
      <w:r>
        <w:rPr>
          <w:rFonts w:ascii="Times New Roman" w:hAnsi="Times New Roman" w:eastAsia="Times New Roman" w:cs="Times New Roman"/>
          <w:spacing w:val="-2"/>
        </w:rPr>
        <w:t>BIT</w:t>
      </w:r>
      <w:r>
        <w:rPr>
          <w:rFonts w:ascii="Times New Roman" w:hAnsi="Times New Roman" w:eastAsia="Times New Roman" w:cs="Times New Roman"/>
          <w:spacing w:val="35"/>
        </w:rPr>
        <w:t xml:space="preserve"> </w:t>
      </w:r>
      <w:r>
        <w:rPr>
          <w:spacing w:val="-2"/>
        </w:rPr>
        <w:t>有多种模式，常用到的有周期</w:t>
      </w:r>
      <w:r>
        <w:rPr>
          <w:rFonts w:ascii="Times New Roman" w:hAnsi="Times New Roman" w:eastAsia="Times New Roman" w:cs="Times New Roman"/>
          <w:spacing w:val="-2"/>
        </w:rPr>
        <w:t>BIT</w:t>
      </w:r>
      <w:r>
        <w:rPr>
          <w:spacing w:val="-2"/>
        </w:rPr>
        <w:t>、加电</w:t>
      </w:r>
      <w:r>
        <w:rPr>
          <w:spacing w:val="-55"/>
        </w:rPr>
        <w:t xml:space="preserve"> </w:t>
      </w:r>
      <w:r>
        <w:rPr>
          <w:rFonts w:ascii="Times New Roman" w:hAnsi="Times New Roman" w:eastAsia="Times New Roman" w:cs="Times New Roman"/>
          <w:spacing w:val="-2"/>
        </w:rPr>
        <w:t>BIT</w:t>
      </w:r>
      <w:r>
        <w:rPr>
          <w:rFonts w:ascii="Times New Roman" w:hAnsi="Times New Roman" w:eastAsia="Times New Roman" w:cs="Times New Roman"/>
          <w:spacing w:val="53"/>
        </w:rPr>
        <w:t xml:space="preserve"> </w:t>
      </w:r>
      <w:r>
        <w:rPr>
          <w:spacing w:val="-2"/>
        </w:rPr>
        <w:t>和维修</w:t>
      </w:r>
      <w:r>
        <w:rPr>
          <w:rFonts w:ascii="Times New Roman" w:hAnsi="Times New Roman" w:eastAsia="Times New Roman" w:cs="Times New Roman"/>
          <w:spacing w:val="-2"/>
        </w:rPr>
        <w:t>BIT</w:t>
      </w:r>
      <w:r>
        <w:rPr>
          <w:rFonts w:ascii="Times New Roman" w:hAnsi="Times New Roman" w:eastAsia="Times New Roman" w:cs="Times New Roman"/>
          <w:spacing w:val="33"/>
        </w:rPr>
        <w:t xml:space="preserve"> </w:t>
      </w:r>
      <w:r>
        <w:rPr>
          <w:spacing w:val="-2"/>
        </w:rPr>
        <w:t>等三种，这三</w:t>
      </w:r>
      <w:r>
        <w:t xml:space="preserve"> </w:t>
      </w:r>
      <w:r>
        <w:rPr>
          <w:spacing w:val="6"/>
        </w:rPr>
        <w:t>种模式用于同一特定的系统中，将会提高故</w:t>
      </w:r>
      <w:r>
        <w:rPr>
          <w:spacing w:val="5"/>
        </w:rPr>
        <w:t>障检测和隔离能力。下面是这三种</w:t>
      </w:r>
      <w:r>
        <w:t xml:space="preserve"> </w:t>
      </w:r>
      <w:r>
        <w:rPr>
          <w:rFonts w:ascii="Times New Roman" w:hAnsi="Times New Roman" w:eastAsia="Times New Roman" w:cs="Times New Roman"/>
        </w:rPr>
        <w:t>BIT</w:t>
      </w:r>
      <w:r>
        <w:rPr>
          <w:rFonts w:ascii="Times New Roman" w:hAnsi="Times New Roman" w:eastAsia="Times New Roman" w:cs="Times New Roman"/>
          <w:spacing w:val="29"/>
        </w:rPr>
        <w:t xml:space="preserve"> </w:t>
      </w:r>
      <w:r>
        <w:rPr>
          <w:spacing w:val="4"/>
        </w:rPr>
        <w:t>软件和硬件的详细设计要求。</w:t>
      </w:r>
    </w:p>
    <w:p w14:paraId="7F1037DA">
      <w:pPr>
        <w:pStyle w:val="2"/>
        <w:spacing w:before="5" w:line="271" w:lineRule="auto"/>
        <w:ind w:firstLine="559"/>
      </w:pPr>
      <w:r>
        <w:rPr>
          <w:rFonts w:ascii="Times New Roman" w:hAnsi="Times New Roman" w:eastAsia="Times New Roman" w:cs="Times New Roman"/>
          <w:spacing w:val="12"/>
        </w:rPr>
        <w:t xml:space="preserve">a)  </w:t>
      </w:r>
      <w:r>
        <w:rPr>
          <w:spacing w:val="12"/>
        </w:rPr>
        <w:t>周期</w:t>
      </w:r>
      <w:r>
        <w:rPr>
          <w:spacing w:val="-72"/>
        </w:rPr>
        <w:t xml:space="preserve"> </w:t>
      </w:r>
      <w:r>
        <w:rPr>
          <w:rFonts w:ascii="Times New Roman" w:hAnsi="Times New Roman" w:eastAsia="Times New Roman" w:cs="Times New Roman"/>
        </w:rPr>
        <w:t>BIT</w:t>
      </w:r>
      <w:r>
        <w:rPr>
          <w:rFonts w:ascii="Times New Roman" w:hAnsi="Times New Roman" w:eastAsia="Times New Roman" w:cs="Times New Roman"/>
          <w:spacing w:val="12"/>
        </w:rPr>
        <w:t>(</w:t>
      </w:r>
      <w:r>
        <w:rPr>
          <w:rFonts w:ascii="Times New Roman" w:hAnsi="Times New Roman" w:eastAsia="Times New Roman" w:cs="Times New Roman"/>
        </w:rPr>
        <w:t>PBIT</w:t>
      </w:r>
      <w:r>
        <w:rPr>
          <w:rFonts w:ascii="Times New Roman" w:hAnsi="Times New Roman" w:eastAsia="Times New Roman" w:cs="Times New Roman"/>
          <w:spacing w:val="12"/>
        </w:rPr>
        <w:t>),</w:t>
      </w:r>
      <w:r>
        <w:rPr>
          <w:rFonts w:ascii="Times New Roman" w:hAnsi="Times New Roman" w:eastAsia="Times New Roman" w:cs="Times New Roman"/>
        </w:rPr>
        <w:t>PBIT</w:t>
      </w:r>
      <w:r>
        <w:rPr>
          <w:rFonts w:ascii="Times New Roman" w:hAnsi="Times New Roman" w:eastAsia="Times New Roman" w:cs="Times New Roman"/>
          <w:spacing w:val="12"/>
        </w:rPr>
        <w:t xml:space="preserve">     </w:t>
      </w:r>
      <w:r>
        <w:rPr>
          <w:spacing w:val="12"/>
        </w:rPr>
        <w:t>在系统运行的整个过程中都在不间断的工</w:t>
      </w:r>
      <w:r>
        <w:rPr>
          <w:spacing w:val="11"/>
        </w:rPr>
        <w:t>作，</w:t>
      </w:r>
      <w:r>
        <w:t xml:space="preserve"> </w:t>
      </w:r>
      <w:r>
        <w:rPr>
          <w:spacing w:val="4"/>
        </w:rPr>
        <w:t xml:space="preserve">从系统启动的时刻开始直到电源关闭之前都将运行。 </w:t>
      </w:r>
      <w:r>
        <w:rPr>
          <w:rFonts w:ascii="Times New Roman" w:hAnsi="Times New Roman" w:eastAsia="Times New Roman" w:cs="Times New Roman"/>
        </w:rPr>
        <w:t>PBIT</w:t>
      </w:r>
      <w:r>
        <w:rPr>
          <w:rFonts w:ascii="Times New Roman" w:hAnsi="Times New Roman" w:eastAsia="Times New Roman" w:cs="Times New Roman"/>
          <w:spacing w:val="4"/>
        </w:rPr>
        <w:t xml:space="preserve">  </w:t>
      </w:r>
      <w:r>
        <w:rPr>
          <w:spacing w:val="4"/>
        </w:rPr>
        <w:t xml:space="preserve">的任务是检测和隔  离系统运行中可能出现的故障，并存储和报告有关故障信息。 </w:t>
      </w:r>
      <w:r>
        <w:rPr>
          <w:rFonts w:ascii="Times New Roman" w:hAnsi="Times New Roman" w:eastAsia="Times New Roman" w:cs="Times New Roman"/>
        </w:rPr>
        <w:t>PBIT</w:t>
      </w:r>
      <w:r>
        <w:rPr>
          <w:rFonts w:ascii="Times New Roman" w:hAnsi="Times New Roman" w:eastAsia="Times New Roman" w:cs="Times New Roman"/>
          <w:spacing w:val="4"/>
        </w:rPr>
        <w:t xml:space="preserve">  </w:t>
      </w:r>
      <w:r>
        <w:rPr>
          <w:spacing w:val="4"/>
        </w:rPr>
        <w:t>不干扰系</w:t>
      </w:r>
      <w:r>
        <w:rPr>
          <w:spacing w:val="6"/>
        </w:rPr>
        <w:t xml:space="preserve">  </w:t>
      </w:r>
      <w:r>
        <w:rPr>
          <w:spacing w:val="-3"/>
        </w:rPr>
        <w:t>统的运行，也无需外部的介入。在出现故障的情况下立即记录和报告，并说明故</w:t>
      </w:r>
      <w:r>
        <w:rPr>
          <w:spacing w:val="7"/>
        </w:rPr>
        <w:t xml:space="preserve">  </w:t>
      </w:r>
      <w:r>
        <w:rPr>
          <w:spacing w:val="13"/>
        </w:rPr>
        <w:t>障的类型。在检测到故障后，</w:t>
      </w:r>
      <w:r>
        <w:rPr>
          <w:rFonts w:ascii="Times New Roman" w:hAnsi="Times New Roman" w:eastAsia="Times New Roman" w:cs="Times New Roman"/>
        </w:rPr>
        <w:t>PBIT</w:t>
      </w:r>
      <w:r>
        <w:rPr>
          <w:rFonts w:ascii="Times New Roman" w:hAnsi="Times New Roman" w:eastAsia="Times New Roman" w:cs="Times New Roman"/>
          <w:spacing w:val="13"/>
        </w:rPr>
        <w:t xml:space="preserve">  </w:t>
      </w:r>
      <w:r>
        <w:rPr>
          <w:spacing w:val="13"/>
        </w:rPr>
        <w:t>继续运行。如果出现</w:t>
      </w:r>
      <w:r>
        <w:rPr>
          <w:spacing w:val="12"/>
        </w:rPr>
        <w:t>了新的情况(故障消</w:t>
      </w:r>
      <w:r>
        <w:t xml:space="preserve">  </w:t>
      </w:r>
      <w:r>
        <w:rPr>
          <w:spacing w:val="-5"/>
        </w:rPr>
        <w:t>失，或者出现别的故障),</w:t>
      </w:r>
      <w:r>
        <w:rPr>
          <w:rFonts w:ascii="Times New Roman" w:hAnsi="Times New Roman" w:eastAsia="Times New Roman" w:cs="Times New Roman"/>
          <w:spacing w:val="-5"/>
        </w:rPr>
        <w:t>PBIT</w:t>
      </w:r>
      <w:r>
        <w:rPr>
          <w:rFonts w:ascii="Times New Roman" w:hAnsi="Times New Roman" w:eastAsia="Times New Roman" w:cs="Times New Roman"/>
          <w:spacing w:val="71"/>
        </w:rPr>
        <w:t xml:space="preserve"> </w:t>
      </w:r>
      <w:r>
        <w:rPr>
          <w:spacing w:val="-5"/>
        </w:rPr>
        <w:t>将继续报告；</w:t>
      </w:r>
    </w:p>
    <w:p w14:paraId="7A77A04A">
      <w:pPr>
        <w:pStyle w:val="2"/>
        <w:spacing w:before="69" w:line="273" w:lineRule="auto"/>
        <w:ind w:right="119" w:firstLine="559"/>
      </w:pPr>
      <w:r>
        <w:rPr>
          <w:rFonts w:ascii="Times New Roman" w:hAnsi="Times New Roman" w:eastAsia="Times New Roman" w:cs="Times New Roman"/>
          <w:spacing w:val="4"/>
        </w:rPr>
        <w:t xml:space="preserve">b)  </w:t>
      </w:r>
      <w:r>
        <w:rPr>
          <w:rFonts w:ascii="仿宋" w:hAnsi="仿宋" w:eastAsia="仿宋" w:cs="仿宋"/>
          <w:spacing w:val="4"/>
        </w:rPr>
        <w:t>加电</w:t>
      </w:r>
      <w:r>
        <w:rPr>
          <w:rFonts w:ascii="仿宋" w:hAnsi="仿宋" w:eastAsia="仿宋" w:cs="仿宋"/>
          <w:spacing w:val="-65"/>
        </w:rPr>
        <w:t xml:space="preserve"> </w:t>
      </w:r>
      <w:r>
        <w:rPr>
          <w:rFonts w:ascii="Times New Roman" w:hAnsi="Times New Roman" w:eastAsia="Times New Roman" w:cs="Times New Roman"/>
        </w:rPr>
        <w:t>BIT</w:t>
      </w:r>
      <w:r>
        <w:rPr>
          <w:rFonts w:ascii="Times New Roman" w:hAnsi="Times New Roman" w:eastAsia="Times New Roman" w:cs="Times New Roman"/>
          <w:spacing w:val="4"/>
        </w:rPr>
        <w:t>(</w:t>
      </w:r>
      <w:r>
        <w:rPr>
          <w:rFonts w:ascii="Times New Roman" w:hAnsi="Times New Roman" w:eastAsia="Times New Roman" w:cs="Times New Roman"/>
        </w:rPr>
        <w:t>POWER</w:t>
      </w:r>
      <w:r>
        <w:rPr>
          <w:rFonts w:ascii="Times New Roman" w:hAnsi="Times New Roman" w:eastAsia="Times New Roman" w:cs="Times New Roman"/>
          <w:spacing w:val="4"/>
        </w:rPr>
        <w:t>-</w:t>
      </w:r>
      <w:r>
        <w:rPr>
          <w:rFonts w:ascii="Times New Roman" w:hAnsi="Times New Roman" w:eastAsia="Times New Roman" w:cs="Times New Roman"/>
        </w:rPr>
        <w:t>UP</w:t>
      </w:r>
      <w:r>
        <w:rPr>
          <w:rFonts w:ascii="Times New Roman" w:hAnsi="Times New Roman" w:eastAsia="Times New Roman" w:cs="Times New Roman"/>
          <w:spacing w:val="4"/>
        </w:rPr>
        <w:t>—</w:t>
      </w:r>
      <w:r>
        <w:rPr>
          <w:rFonts w:ascii="Times New Roman" w:hAnsi="Times New Roman" w:eastAsia="Times New Roman" w:cs="Times New Roman"/>
        </w:rPr>
        <w:t>BIT</w:t>
      </w:r>
      <w:r>
        <w:rPr>
          <w:rFonts w:ascii="Times New Roman" w:hAnsi="Times New Roman" w:eastAsia="Times New Roman" w:cs="Times New Roman"/>
          <w:spacing w:val="4"/>
        </w:rPr>
        <w:t xml:space="preserve">),        </w:t>
      </w:r>
      <w:r>
        <w:rPr>
          <w:rFonts w:ascii="仿宋" w:hAnsi="仿宋" w:eastAsia="仿宋" w:cs="仿宋"/>
          <w:spacing w:val="4"/>
        </w:rPr>
        <w:t>当给系统通电时，</w:t>
      </w:r>
      <w:r>
        <w:rPr>
          <w:spacing w:val="3"/>
        </w:rPr>
        <w:t>加电</w:t>
      </w:r>
      <w:r>
        <w:rPr>
          <w:spacing w:val="-71"/>
        </w:rPr>
        <w:t xml:space="preserve"> </w:t>
      </w:r>
      <w:r>
        <w:rPr>
          <w:rFonts w:ascii="Times New Roman" w:hAnsi="Times New Roman" w:eastAsia="Times New Roman" w:cs="Times New Roman"/>
        </w:rPr>
        <w:t>BIT</w:t>
      </w:r>
      <w:r>
        <w:rPr>
          <w:rFonts w:ascii="Times New Roman" w:hAnsi="Times New Roman" w:eastAsia="Times New Roman" w:cs="Times New Roman"/>
          <w:spacing w:val="3"/>
        </w:rPr>
        <w:t xml:space="preserve">  </w:t>
      </w:r>
      <w:r>
        <w:rPr>
          <w:spacing w:val="3"/>
        </w:rPr>
        <w:t>即开始工</w:t>
      </w:r>
      <w:r>
        <w:t xml:space="preserve"> </w:t>
      </w:r>
      <w:r>
        <w:rPr>
          <w:spacing w:val="5"/>
        </w:rPr>
        <w:t>作。它将进行规定范围的测试，包括对在系统正常运行时无法验证的重要参数</w:t>
      </w:r>
      <w:r>
        <w:rPr>
          <w:spacing w:val="10"/>
        </w:rPr>
        <w:t xml:space="preserve"> </w:t>
      </w:r>
      <w:r>
        <w:rPr>
          <w:spacing w:val="5"/>
        </w:rPr>
        <w:t>进行测试，且无需操作人员的介入。在这种状态下，系统只进行自检测。加电</w:t>
      </w:r>
      <w:r>
        <w:rPr>
          <w:spacing w:val="14"/>
        </w:rPr>
        <w:t xml:space="preserve"> </w:t>
      </w:r>
      <w:r>
        <w:rPr>
          <w:rFonts w:ascii="Times New Roman" w:hAnsi="Times New Roman" w:eastAsia="Times New Roman" w:cs="Times New Roman"/>
        </w:rPr>
        <w:t>BIT</w:t>
      </w:r>
      <w:r>
        <w:rPr>
          <w:rFonts w:ascii="Times New Roman" w:hAnsi="Times New Roman" w:eastAsia="Times New Roman" w:cs="Times New Roman"/>
          <w:spacing w:val="32"/>
        </w:rPr>
        <w:t xml:space="preserve"> </w:t>
      </w:r>
      <w:r>
        <w:rPr>
          <w:spacing w:val="4"/>
        </w:rPr>
        <w:t>只运行几分钟时间。在成功地完成加电</w:t>
      </w:r>
      <w:r>
        <w:rPr>
          <w:spacing w:val="-71"/>
        </w:rPr>
        <w:t xml:space="preserve"> </w:t>
      </w:r>
      <w:r>
        <w:rPr>
          <w:rFonts w:ascii="Times New Roman" w:hAnsi="Times New Roman" w:eastAsia="Times New Roman" w:cs="Times New Roman"/>
        </w:rPr>
        <w:t>BIT</w:t>
      </w:r>
      <w:r>
        <w:rPr>
          <w:rFonts w:ascii="Times New Roman" w:hAnsi="Times New Roman" w:eastAsia="Times New Roman" w:cs="Times New Roman"/>
          <w:spacing w:val="42"/>
          <w:w w:val="101"/>
        </w:rPr>
        <w:t xml:space="preserve"> </w:t>
      </w:r>
      <w:r>
        <w:rPr>
          <w:spacing w:val="4"/>
        </w:rPr>
        <w:t>后，将显示一个提示信息。在</w:t>
      </w:r>
      <w:r>
        <w:t xml:space="preserve"> </w:t>
      </w:r>
      <w:r>
        <w:rPr>
          <w:spacing w:val="5"/>
        </w:rPr>
        <w:t>有故障的情况下，将被测故障有关的详细数据显示出来。操作人员将可以重复</w:t>
      </w:r>
      <w:r>
        <w:rPr>
          <w:spacing w:val="11"/>
        </w:rPr>
        <w:t xml:space="preserve"> </w:t>
      </w:r>
      <w:r>
        <w:rPr>
          <w:spacing w:val="5"/>
        </w:rPr>
        <w:t>运行检测到故障的子程序，以验证故障的存在。加电</w:t>
      </w:r>
      <w:r>
        <w:rPr>
          <w:rFonts w:ascii="Times New Roman" w:hAnsi="Times New Roman" w:eastAsia="Times New Roman" w:cs="Times New Roman"/>
        </w:rPr>
        <w:t>BIT</w:t>
      </w:r>
      <w:r>
        <w:rPr>
          <w:rFonts w:ascii="Times New Roman" w:hAnsi="Times New Roman" w:eastAsia="Times New Roman" w:cs="Times New Roman"/>
          <w:spacing w:val="70"/>
          <w:w w:val="101"/>
        </w:rPr>
        <w:t xml:space="preserve"> </w:t>
      </w:r>
      <w:r>
        <w:rPr>
          <w:spacing w:val="5"/>
        </w:rPr>
        <w:t>检测出来的故障，以</w:t>
      </w:r>
      <w:r>
        <w:t xml:space="preserve"> </w:t>
      </w:r>
      <w:r>
        <w:rPr>
          <w:spacing w:val="3"/>
        </w:rPr>
        <w:t>一种与</w:t>
      </w:r>
      <w:r>
        <w:rPr>
          <w:spacing w:val="-61"/>
        </w:rPr>
        <w:t xml:space="preserve"> </w:t>
      </w:r>
      <w:r>
        <w:rPr>
          <w:rFonts w:ascii="Times New Roman" w:hAnsi="Times New Roman" w:eastAsia="Times New Roman" w:cs="Times New Roman"/>
        </w:rPr>
        <w:t>PBIT</w:t>
      </w:r>
      <w:r>
        <w:rPr>
          <w:rFonts w:ascii="Times New Roman" w:hAnsi="Times New Roman" w:eastAsia="Times New Roman" w:cs="Times New Roman"/>
          <w:spacing w:val="43"/>
        </w:rPr>
        <w:t xml:space="preserve"> </w:t>
      </w:r>
      <w:r>
        <w:rPr>
          <w:spacing w:val="3"/>
        </w:rPr>
        <w:t>类似的数据方式进行记录和报告；</w:t>
      </w:r>
    </w:p>
    <w:p w14:paraId="7D278AC1">
      <w:pPr>
        <w:spacing w:line="273" w:lineRule="auto"/>
        <w:sectPr>
          <w:footerReference r:id="rId462" w:type="default"/>
          <w:pgSz w:w="11910" w:h="17130"/>
          <w:pgMar w:top="1456" w:right="925" w:bottom="1553" w:left="1480" w:header="0" w:footer="1355" w:gutter="0"/>
          <w:cols w:space="720" w:num="1"/>
        </w:sectPr>
      </w:pPr>
    </w:p>
    <w:p w14:paraId="0BEA463B">
      <w:pPr>
        <w:pStyle w:val="2"/>
        <w:spacing w:before="55" w:line="280" w:lineRule="auto"/>
        <w:ind w:right="97" w:firstLine="560"/>
        <w:jc w:val="both"/>
      </w:pPr>
      <w:r>
        <w:rPr>
          <w:rFonts w:ascii="Times New Roman" w:hAnsi="Times New Roman" w:eastAsia="Times New Roman" w:cs="Times New Roman"/>
          <w:spacing w:val="4"/>
        </w:rPr>
        <w:t>c)</w:t>
      </w:r>
      <w:r>
        <w:rPr>
          <w:rFonts w:ascii="Times New Roman" w:hAnsi="Times New Roman" w:eastAsia="Times New Roman" w:cs="Times New Roman"/>
          <w:spacing w:val="63"/>
          <w:w w:val="101"/>
        </w:rPr>
        <w:t xml:space="preserve"> </w:t>
      </w:r>
      <w:r>
        <w:rPr>
          <w:rFonts w:ascii="仿宋" w:hAnsi="仿宋" w:eastAsia="仿宋" w:cs="仿宋"/>
          <w:spacing w:val="4"/>
        </w:rPr>
        <w:t>维</w:t>
      </w:r>
      <w:r>
        <w:rPr>
          <w:rFonts w:ascii="仿宋" w:hAnsi="仿宋" w:eastAsia="仿宋" w:cs="仿宋"/>
          <w:spacing w:val="-48"/>
        </w:rPr>
        <w:t xml:space="preserve"> </w:t>
      </w:r>
      <w:r>
        <w:rPr>
          <w:rFonts w:ascii="仿宋" w:hAnsi="仿宋" w:eastAsia="仿宋" w:cs="仿宋"/>
          <w:spacing w:val="4"/>
        </w:rPr>
        <w:t>修</w:t>
      </w:r>
      <w:r>
        <w:rPr>
          <w:rFonts w:ascii="Times New Roman" w:hAnsi="Times New Roman" w:eastAsia="Times New Roman" w:cs="Times New Roman"/>
        </w:rPr>
        <w:t>BIT</w:t>
      </w:r>
      <w:r>
        <w:rPr>
          <w:rFonts w:ascii="Times New Roman" w:hAnsi="Times New Roman" w:eastAsia="Times New Roman" w:cs="Times New Roman"/>
          <w:spacing w:val="4"/>
        </w:rPr>
        <w:t>(</w:t>
      </w:r>
      <w:r>
        <w:rPr>
          <w:rFonts w:ascii="Times New Roman" w:hAnsi="Times New Roman" w:eastAsia="Times New Roman" w:cs="Times New Roman"/>
        </w:rPr>
        <w:t>MBIT</w:t>
      </w:r>
      <w:r>
        <w:rPr>
          <w:rFonts w:ascii="Times New Roman" w:hAnsi="Times New Roman" w:eastAsia="Times New Roman" w:cs="Times New Roman"/>
          <w:spacing w:val="4"/>
        </w:rPr>
        <w:t xml:space="preserve">),   </w:t>
      </w:r>
      <w:r>
        <w:rPr>
          <w:rFonts w:ascii="Times New Roman" w:hAnsi="Times New Roman" w:eastAsia="Times New Roman" w:cs="Times New Roman"/>
        </w:rPr>
        <w:t>MBIT</w:t>
      </w:r>
      <w:r>
        <w:rPr>
          <w:rFonts w:ascii="Times New Roman" w:hAnsi="Times New Roman" w:eastAsia="Times New Roman" w:cs="Times New Roman"/>
          <w:spacing w:val="32"/>
          <w:w w:val="101"/>
        </w:rPr>
        <w:t xml:space="preserve"> </w:t>
      </w:r>
      <w:r>
        <w:rPr>
          <w:spacing w:val="4"/>
        </w:rPr>
        <w:t>由操作人员或系统启动，其主要功能为：1)显</w:t>
      </w:r>
      <w:r>
        <w:t xml:space="preserve"> </w:t>
      </w:r>
      <w:r>
        <w:rPr>
          <w:spacing w:val="2"/>
        </w:rPr>
        <w:t>示系统的状态，即显示记录在</w:t>
      </w:r>
      <w:r>
        <w:rPr>
          <w:rFonts w:ascii="Times New Roman" w:hAnsi="Times New Roman" w:eastAsia="Times New Roman" w:cs="Times New Roman"/>
        </w:rPr>
        <w:t>NVM</w:t>
      </w:r>
      <w:r>
        <w:rPr>
          <w:rFonts w:ascii="Times New Roman" w:hAnsi="Times New Roman" w:eastAsia="Times New Roman" w:cs="Times New Roman"/>
          <w:spacing w:val="19"/>
        </w:rPr>
        <w:t xml:space="preserve"> </w:t>
      </w:r>
      <w:r>
        <w:rPr>
          <w:rFonts w:ascii="Times New Roman" w:hAnsi="Times New Roman" w:eastAsia="Times New Roman" w:cs="Times New Roman"/>
          <w:spacing w:val="2"/>
        </w:rPr>
        <w:t>(</w:t>
      </w:r>
      <w:r>
        <w:rPr>
          <w:spacing w:val="2"/>
        </w:rPr>
        <w:t>非易失存储</w:t>
      </w:r>
      <w:r>
        <w:rPr>
          <w:spacing w:val="1"/>
        </w:rPr>
        <w:t>器)中的故障清单；2)显示补充</w:t>
      </w:r>
      <w:r>
        <w:t xml:space="preserve"> </w:t>
      </w:r>
      <w:r>
        <w:rPr>
          <w:spacing w:val="13"/>
        </w:rPr>
        <w:t>数据(与各故障有关的附加信息);3)进</w:t>
      </w:r>
      <w:r>
        <w:rPr>
          <w:spacing w:val="12"/>
        </w:rPr>
        <w:t>行人机交互方式的测试；4)抹去</w:t>
      </w:r>
      <w:r>
        <w:rPr>
          <w:rFonts w:ascii="Times New Roman" w:hAnsi="Times New Roman" w:eastAsia="Times New Roman" w:cs="Times New Roman"/>
        </w:rPr>
        <w:t xml:space="preserve">NVM  </w:t>
      </w:r>
      <w:r>
        <w:rPr>
          <w:spacing w:val="-4"/>
        </w:rPr>
        <w:t>中的故障数据；5)必要时，进行系统或设备参数的调整。</w:t>
      </w:r>
    </w:p>
    <w:p w14:paraId="0B7CE68A">
      <w:pPr>
        <w:spacing w:line="221" w:lineRule="auto"/>
        <w:rPr>
          <w:rFonts w:ascii="黑体" w:hAnsi="黑体" w:eastAsia="黑体" w:cs="黑体"/>
          <w:sz w:val="27"/>
          <w:szCs w:val="27"/>
        </w:rPr>
      </w:pPr>
      <w:r>
        <w:rPr>
          <w:rFonts w:ascii="黑体" w:hAnsi="黑体" w:eastAsia="黑体" w:cs="黑体"/>
          <w:spacing w:val="2"/>
          <w:sz w:val="27"/>
          <w:szCs w:val="27"/>
        </w:rPr>
        <w:t xml:space="preserve">6.2  </w:t>
      </w:r>
      <w:r>
        <w:rPr>
          <w:rFonts w:ascii="黑体" w:hAnsi="黑体" w:eastAsia="黑体" w:cs="黑体"/>
          <w:b/>
          <w:bCs/>
          <w:spacing w:val="2"/>
          <w:sz w:val="27"/>
          <w:szCs w:val="27"/>
        </w:rPr>
        <w:t>性能监测详细设计</w:t>
      </w:r>
    </w:p>
    <w:p w14:paraId="2C13B3CA">
      <w:pPr>
        <w:pStyle w:val="2"/>
        <w:spacing w:before="100" w:line="272" w:lineRule="auto"/>
        <w:ind w:firstLine="560"/>
        <w:jc w:val="both"/>
      </w:pPr>
      <w:r>
        <w:rPr>
          <w:spacing w:val="5"/>
        </w:rPr>
        <w:t>对于没</w:t>
      </w:r>
      <w:r>
        <w:rPr>
          <w:rFonts w:ascii="仿宋" w:hAnsi="仿宋" w:eastAsia="仿宋" w:cs="仿宋"/>
          <w:spacing w:val="5"/>
        </w:rPr>
        <w:t>有</w:t>
      </w:r>
      <w:r>
        <w:rPr>
          <w:rFonts w:ascii="仿宋" w:hAnsi="仿宋" w:eastAsia="仿宋" w:cs="仿宋"/>
          <w:spacing w:val="-41"/>
        </w:rPr>
        <w:t xml:space="preserve"> </w:t>
      </w:r>
      <w:r>
        <w:rPr>
          <w:rFonts w:ascii="Times New Roman" w:hAnsi="Times New Roman" w:eastAsia="Times New Roman" w:cs="Times New Roman"/>
        </w:rPr>
        <w:t>BIT</w:t>
      </w:r>
      <w:r>
        <w:rPr>
          <w:rFonts w:ascii="Times New Roman" w:hAnsi="Times New Roman" w:eastAsia="Times New Roman" w:cs="Times New Roman"/>
          <w:spacing w:val="5"/>
        </w:rPr>
        <w:t xml:space="preserve">  </w:t>
      </w:r>
      <w:r>
        <w:rPr>
          <w:rFonts w:ascii="仿宋" w:hAnsi="仿宋" w:eastAsia="仿宋" w:cs="仿宋"/>
          <w:spacing w:val="5"/>
        </w:rPr>
        <w:t>的系统和设备，</w:t>
      </w:r>
      <w:r>
        <w:rPr>
          <w:spacing w:val="5"/>
        </w:rPr>
        <w:t>应进行传感器及相关信息处理能力的设计，</w:t>
      </w:r>
      <w:r>
        <w:t xml:space="preserve"> 以便实时进行性能或状态监测。对于关键的性能、功能或特性参数的监测信息，</w:t>
      </w:r>
      <w:r>
        <w:rPr>
          <w:spacing w:val="14"/>
        </w:rPr>
        <w:t xml:space="preserve"> </w:t>
      </w:r>
      <w:r>
        <w:rPr>
          <w:spacing w:val="6"/>
        </w:rPr>
        <w:t>应随时报告给操作者。在嵌入式诊断详细设</w:t>
      </w:r>
      <w:r>
        <w:rPr>
          <w:spacing w:val="5"/>
        </w:rPr>
        <w:t>计阶段，应完成与性能监测相关的</w:t>
      </w:r>
      <w:r>
        <w:t xml:space="preserve"> </w:t>
      </w:r>
      <w:r>
        <w:rPr>
          <w:spacing w:val="2"/>
        </w:rPr>
        <w:t>硬件和软件的具体设计工作。</w:t>
      </w:r>
    </w:p>
    <w:p w14:paraId="369F45C4">
      <w:pPr>
        <w:spacing w:before="33" w:line="212" w:lineRule="auto"/>
        <w:ind w:left="3"/>
        <w:outlineLvl w:val="3"/>
        <w:rPr>
          <w:rFonts w:ascii="黑体" w:hAnsi="黑体" w:eastAsia="黑体" w:cs="黑体"/>
          <w:sz w:val="25"/>
          <w:szCs w:val="25"/>
        </w:rPr>
      </w:pPr>
      <w:r>
        <w:rPr>
          <w:rFonts w:ascii="黑体" w:hAnsi="黑体" w:eastAsia="黑体" w:cs="黑体"/>
          <w:b/>
          <w:bCs/>
          <w:spacing w:val="13"/>
          <w:sz w:val="25"/>
          <w:szCs w:val="25"/>
        </w:rPr>
        <w:t>6.3</w:t>
      </w:r>
      <w:r>
        <w:rPr>
          <w:rFonts w:ascii="黑体" w:hAnsi="黑体" w:eastAsia="黑体" w:cs="黑体"/>
          <w:spacing w:val="38"/>
          <w:sz w:val="25"/>
          <w:szCs w:val="25"/>
        </w:rPr>
        <w:t xml:space="preserve">  </w:t>
      </w:r>
      <w:r>
        <w:rPr>
          <w:rFonts w:ascii="黑体" w:hAnsi="黑体" w:eastAsia="黑体" w:cs="黑体"/>
          <w:b/>
          <w:bCs/>
          <w:spacing w:val="13"/>
          <w:sz w:val="25"/>
          <w:szCs w:val="25"/>
        </w:rPr>
        <w:t>中央测试系统</w:t>
      </w:r>
      <w:r>
        <w:rPr>
          <w:rFonts w:ascii="Times New Roman" w:hAnsi="Times New Roman" w:eastAsia="Times New Roman" w:cs="Times New Roman"/>
          <w:b/>
          <w:bCs/>
          <w:spacing w:val="13"/>
          <w:sz w:val="25"/>
          <w:szCs w:val="25"/>
        </w:rPr>
        <w:t>(</w:t>
      </w:r>
      <w:r>
        <w:rPr>
          <w:rFonts w:ascii="Times New Roman" w:hAnsi="Times New Roman" w:eastAsia="Times New Roman" w:cs="Times New Roman"/>
          <w:b/>
          <w:bCs/>
          <w:sz w:val="25"/>
          <w:szCs w:val="25"/>
        </w:rPr>
        <w:t>CTS</w:t>
      </w:r>
      <w:r>
        <w:rPr>
          <w:rFonts w:ascii="Times New Roman" w:hAnsi="Times New Roman" w:eastAsia="Times New Roman" w:cs="Times New Roman"/>
          <w:b/>
          <w:bCs/>
          <w:spacing w:val="13"/>
          <w:sz w:val="25"/>
          <w:szCs w:val="25"/>
        </w:rPr>
        <w:t>)</w:t>
      </w:r>
      <w:r>
        <w:rPr>
          <w:rFonts w:ascii="Times New Roman" w:hAnsi="Times New Roman" w:eastAsia="Times New Roman" w:cs="Times New Roman"/>
          <w:b/>
          <w:bCs/>
          <w:spacing w:val="39"/>
          <w:sz w:val="25"/>
          <w:szCs w:val="25"/>
        </w:rPr>
        <w:t xml:space="preserve"> </w:t>
      </w:r>
      <w:r>
        <w:rPr>
          <w:rFonts w:ascii="黑体" w:hAnsi="黑体" w:eastAsia="黑体" w:cs="黑体"/>
          <w:b/>
          <w:bCs/>
          <w:spacing w:val="13"/>
          <w:sz w:val="25"/>
          <w:szCs w:val="25"/>
        </w:rPr>
        <w:t>详细设计</w:t>
      </w:r>
    </w:p>
    <w:p w14:paraId="36D00882">
      <w:pPr>
        <w:pStyle w:val="2"/>
        <w:spacing w:before="118" w:line="276" w:lineRule="auto"/>
        <w:ind w:right="122" w:firstLine="560"/>
      </w:pPr>
      <w:r>
        <w:rPr>
          <w:spacing w:val="5"/>
        </w:rPr>
        <w:t>中央测试系统的详细设计是依据设计方案中规定的构成和功能，进行其软</w:t>
      </w:r>
      <w:r>
        <w:rPr>
          <w:spacing w:val="1"/>
        </w:rPr>
        <w:t xml:space="preserve"> </w:t>
      </w:r>
      <w:r>
        <w:rPr>
          <w:spacing w:val="4"/>
        </w:rPr>
        <w:t>件和硬件的设计。</w:t>
      </w:r>
    </w:p>
    <w:p w14:paraId="6F8ACD8A">
      <w:pPr>
        <w:pStyle w:val="2"/>
        <w:spacing w:before="10" w:line="275" w:lineRule="auto"/>
        <w:ind w:firstLine="560"/>
        <w:jc w:val="both"/>
      </w:pPr>
      <w:r>
        <w:rPr>
          <w:spacing w:val="9"/>
        </w:rPr>
        <w:t>在进行中央测试系统软件设计时应尽可能采用先进的诊断能力</w:t>
      </w:r>
      <w:r>
        <w:rPr>
          <w:spacing w:val="8"/>
        </w:rPr>
        <w:t>设计技术，</w:t>
      </w:r>
      <w:r>
        <w:t xml:space="preserve"> </w:t>
      </w:r>
      <w:r>
        <w:rPr>
          <w:spacing w:val="-3"/>
        </w:rPr>
        <w:t>最大限度地利用传统的故障特征检测技术，并综合先进的软件建模技术、多传感</w:t>
      </w:r>
      <w:r>
        <w:rPr>
          <w:spacing w:val="8"/>
        </w:rPr>
        <w:t xml:space="preserve">  </w:t>
      </w:r>
      <w:r>
        <w:rPr>
          <w:spacing w:val="-3"/>
        </w:rPr>
        <w:t>器信息融合技术、人工智能技术等，来增强诊断能力，状态预测能力、维护决策</w:t>
      </w:r>
      <w:r>
        <w:rPr>
          <w:spacing w:val="7"/>
        </w:rPr>
        <w:t xml:space="preserve">  </w:t>
      </w:r>
      <w:r>
        <w:rPr>
          <w:spacing w:val="-6"/>
        </w:rPr>
        <w:t>能力。</w:t>
      </w:r>
    </w:p>
    <w:p w14:paraId="6DC8E9E0">
      <w:pPr>
        <w:pStyle w:val="2"/>
        <w:spacing w:before="25" w:line="220" w:lineRule="auto"/>
        <w:ind w:left="560"/>
      </w:pPr>
      <w:r>
        <w:rPr>
          <w:spacing w:val="3"/>
        </w:rPr>
        <w:t>中央测试系统详细设计应建立在对以下的需求分析基础上：</w:t>
      </w:r>
    </w:p>
    <w:p w14:paraId="20993002">
      <w:pPr>
        <w:pStyle w:val="2"/>
        <w:spacing w:before="57" w:line="212" w:lineRule="auto"/>
        <w:ind w:left="560"/>
      </w:pPr>
      <w:r>
        <w:rPr>
          <w:rFonts w:ascii="Times New Roman" w:hAnsi="Times New Roman" w:eastAsia="Times New Roman" w:cs="Times New Roman"/>
          <w:spacing w:val="3"/>
        </w:rPr>
        <w:t>a)</w:t>
      </w:r>
      <w:r>
        <w:rPr>
          <w:rFonts w:ascii="Times New Roman" w:hAnsi="Times New Roman" w:eastAsia="Times New Roman" w:cs="Times New Roman"/>
          <w:spacing w:val="69"/>
          <w:w w:val="101"/>
        </w:rPr>
        <w:t xml:space="preserve"> </w:t>
      </w:r>
      <w:r>
        <w:rPr>
          <w:spacing w:val="3"/>
        </w:rPr>
        <w:t>通信协议标准和总线拓扑结构的分析；</w:t>
      </w:r>
    </w:p>
    <w:p w14:paraId="6146FAB6">
      <w:pPr>
        <w:pStyle w:val="2"/>
        <w:spacing w:before="100" w:line="212" w:lineRule="auto"/>
        <w:ind w:left="560"/>
      </w:pPr>
      <w:r>
        <w:rPr>
          <w:rFonts w:ascii="Times New Roman" w:hAnsi="Times New Roman" w:eastAsia="Times New Roman" w:cs="Times New Roman"/>
          <w:spacing w:val="2"/>
        </w:rPr>
        <w:t xml:space="preserve">b)  </w:t>
      </w:r>
      <w:r>
        <w:rPr>
          <w:spacing w:val="2"/>
        </w:rPr>
        <w:t>维护人员操作规程的分析；</w:t>
      </w:r>
    </w:p>
    <w:p w14:paraId="5B62B113">
      <w:pPr>
        <w:pStyle w:val="2"/>
        <w:spacing w:before="143" w:line="266" w:lineRule="auto"/>
        <w:ind w:right="97" w:firstLine="560"/>
        <w:rPr>
          <w:sz w:val="24"/>
          <w:szCs w:val="24"/>
        </w:rPr>
      </w:pPr>
      <w:r>
        <w:rPr>
          <w:rFonts w:ascii="Times New Roman" w:hAnsi="Times New Roman" w:eastAsia="Times New Roman" w:cs="Times New Roman"/>
          <w:spacing w:val="23"/>
          <w:sz w:val="24"/>
          <w:szCs w:val="24"/>
        </w:rPr>
        <w:t xml:space="preserve">c)  </w:t>
      </w:r>
      <w:r>
        <w:rPr>
          <w:spacing w:val="23"/>
          <w:sz w:val="24"/>
          <w:szCs w:val="24"/>
        </w:rPr>
        <w:t>基于测试性分析结果确定测试、维护、故障信息流，包括测试数据、维护</w:t>
      </w:r>
      <w:r>
        <w:rPr>
          <w:spacing w:val="12"/>
          <w:sz w:val="24"/>
          <w:szCs w:val="24"/>
        </w:rPr>
        <w:t xml:space="preserve"> </w:t>
      </w:r>
      <w:r>
        <w:rPr>
          <w:spacing w:val="13"/>
          <w:sz w:val="24"/>
          <w:szCs w:val="24"/>
        </w:rPr>
        <w:t>数据、故障数据等；</w:t>
      </w:r>
    </w:p>
    <w:p w14:paraId="01B1E562">
      <w:pPr>
        <w:pStyle w:val="2"/>
        <w:spacing w:before="75" w:line="212" w:lineRule="auto"/>
        <w:ind w:left="560"/>
      </w:pPr>
      <w:r>
        <w:rPr>
          <w:rFonts w:ascii="Times New Roman" w:hAnsi="Times New Roman" w:eastAsia="Times New Roman" w:cs="Times New Roman"/>
          <w:spacing w:val="3"/>
        </w:rPr>
        <w:t>d)</w:t>
      </w:r>
      <w:r>
        <w:rPr>
          <w:rFonts w:ascii="Times New Roman" w:hAnsi="Times New Roman" w:eastAsia="Times New Roman" w:cs="Times New Roman"/>
          <w:spacing w:val="66"/>
        </w:rPr>
        <w:t xml:space="preserve"> </w:t>
      </w:r>
      <w:r>
        <w:rPr>
          <w:spacing w:val="3"/>
        </w:rPr>
        <w:t>基于测试性分析结果提出诊断和接口描述文件(</w:t>
      </w:r>
      <w:r>
        <w:rPr>
          <w:rFonts w:ascii="Times New Roman" w:hAnsi="Times New Roman" w:eastAsia="Times New Roman" w:cs="Times New Roman"/>
        </w:rPr>
        <w:t>IDD</w:t>
      </w:r>
      <w:r>
        <w:rPr>
          <w:rFonts w:ascii="Times New Roman" w:hAnsi="Times New Roman" w:eastAsia="Times New Roman" w:cs="Times New Roman"/>
          <w:spacing w:val="3"/>
        </w:rPr>
        <w:t xml:space="preserve">) </w:t>
      </w:r>
      <w:r>
        <w:rPr>
          <w:spacing w:val="2"/>
        </w:rPr>
        <w:t>需求；</w:t>
      </w:r>
    </w:p>
    <w:p w14:paraId="67C18CA4">
      <w:pPr>
        <w:pStyle w:val="2"/>
        <w:spacing w:before="110"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53"/>
          <w:w w:val="101"/>
        </w:rPr>
        <w:t xml:space="preserve"> </w:t>
      </w:r>
      <w:r>
        <w:rPr>
          <w:spacing w:val="4"/>
        </w:rPr>
        <w:t>基于测试性分析结果确定维护测试策略和综合</w:t>
      </w:r>
      <w:r>
        <w:rPr>
          <w:spacing w:val="3"/>
        </w:rPr>
        <w:t>诊断策略；</w:t>
      </w:r>
    </w:p>
    <w:p w14:paraId="11ABAC87">
      <w:pPr>
        <w:pStyle w:val="2"/>
        <w:spacing w:before="111" w:line="255" w:lineRule="auto"/>
        <w:ind w:right="98" w:firstLine="560"/>
      </w:pPr>
      <w:r>
        <w:rPr>
          <w:rFonts w:ascii="Times New Roman" w:hAnsi="Times New Roman" w:eastAsia="Times New Roman" w:cs="Times New Roman"/>
          <w:spacing w:val="13"/>
        </w:rPr>
        <w:t>f)</w:t>
      </w:r>
      <w:r>
        <w:rPr>
          <w:rFonts w:ascii="Times New Roman" w:hAnsi="Times New Roman" w:eastAsia="Times New Roman" w:cs="Times New Roman"/>
          <w:spacing w:val="3"/>
        </w:rPr>
        <w:t xml:space="preserve">  </w:t>
      </w:r>
      <w:r>
        <w:rPr>
          <w:spacing w:val="13"/>
        </w:rPr>
        <w:t>基于对机械结构和非电子系统的测试性分析</w:t>
      </w:r>
      <w:r>
        <w:rPr>
          <w:spacing w:val="12"/>
        </w:rPr>
        <w:t>结果进行状态监测的详细</w:t>
      </w:r>
      <w:r>
        <w:t xml:space="preserve"> </w:t>
      </w:r>
      <w:r>
        <w:rPr>
          <w:spacing w:val="-10"/>
        </w:rPr>
        <w:t>设计，包括监控状态的确定、状态超限的判定、传感器的分布、测试点的规划以及</w:t>
      </w:r>
      <w:r>
        <w:rPr>
          <w:spacing w:val="3"/>
        </w:rPr>
        <w:t xml:space="preserve"> </w:t>
      </w:r>
      <w:r>
        <w:rPr>
          <w:spacing w:val="1"/>
        </w:rPr>
        <w:t>传感器数据的预处理等；</w:t>
      </w:r>
    </w:p>
    <w:p w14:paraId="749DEA61">
      <w:pPr>
        <w:pStyle w:val="2"/>
        <w:spacing w:before="121" w:line="219" w:lineRule="auto"/>
        <w:ind w:left="560"/>
      </w:pPr>
      <w:r>
        <w:rPr>
          <w:spacing w:val="-14"/>
        </w:rPr>
        <w:t>另外，为便于外场维修，</w:t>
      </w:r>
      <w:r>
        <w:rPr>
          <w:rFonts w:ascii="Times New Roman" w:hAnsi="Times New Roman" w:eastAsia="Times New Roman" w:cs="Times New Roman"/>
          <w:spacing w:val="-14"/>
        </w:rPr>
        <w:t>CTS</w:t>
      </w:r>
      <w:r>
        <w:rPr>
          <w:rFonts w:ascii="Times New Roman" w:hAnsi="Times New Roman" w:eastAsia="Times New Roman" w:cs="Times New Roman"/>
          <w:spacing w:val="57"/>
        </w:rPr>
        <w:t xml:space="preserve"> </w:t>
      </w:r>
      <w:r>
        <w:rPr>
          <w:spacing w:val="-14"/>
        </w:rPr>
        <w:t>还应具有：</w:t>
      </w:r>
    </w:p>
    <w:p w14:paraId="36F002BE">
      <w:pPr>
        <w:pStyle w:val="2"/>
        <w:spacing w:before="59" w:line="212" w:lineRule="auto"/>
        <w:ind w:left="560"/>
      </w:pPr>
      <w:r>
        <w:rPr>
          <w:rFonts w:ascii="Times New Roman" w:hAnsi="Times New Roman" w:eastAsia="Times New Roman" w:cs="Times New Roman"/>
          <w:spacing w:val="3"/>
        </w:rPr>
        <w:t>a)</w:t>
      </w:r>
      <w:r>
        <w:rPr>
          <w:rFonts w:ascii="Times New Roman" w:hAnsi="Times New Roman" w:eastAsia="Times New Roman" w:cs="Times New Roman"/>
          <w:spacing w:val="65"/>
          <w:w w:val="101"/>
        </w:rPr>
        <w:t xml:space="preserve"> </w:t>
      </w:r>
      <w:r>
        <w:rPr>
          <w:spacing w:val="3"/>
        </w:rPr>
        <w:t>统一的直观友好的信息显示界面；</w:t>
      </w:r>
    </w:p>
    <w:p w14:paraId="5AAC9F71">
      <w:pPr>
        <w:pStyle w:val="2"/>
        <w:spacing w:before="80" w:line="212" w:lineRule="auto"/>
        <w:ind w:left="560"/>
      </w:pPr>
      <w:r>
        <w:rPr>
          <w:rFonts w:ascii="Times New Roman" w:hAnsi="Times New Roman" w:eastAsia="Times New Roman" w:cs="Times New Roman"/>
          <w:spacing w:val="1"/>
        </w:rPr>
        <w:t xml:space="preserve">b)  </w:t>
      </w:r>
      <w:r>
        <w:rPr>
          <w:spacing w:val="1"/>
        </w:rPr>
        <w:t>统一的信息表达方式；</w:t>
      </w:r>
    </w:p>
    <w:p w14:paraId="40780D94">
      <w:pPr>
        <w:pStyle w:val="2"/>
        <w:spacing w:before="120"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3"/>
        </w:rPr>
        <w:t xml:space="preserve"> </w:t>
      </w:r>
      <w:r>
        <w:rPr>
          <w:spacing w:val="3"/>
        </w:rPr>
        <w:t>为维修人员提供不同层次测试的控制能力；</w:t>
      </w:r>
    </w:p>
    <w:p w14:paraId="65634739">
      <w:pPr>
        <w:pStyle w:val="2"/>
        <w:spacing w:before="90" w:line="212" w:lineRule="auto"/>
        <w:ind w:left="560"/>
      </w:pPr>
      <w:r>
        <w:rPr>
          <w:rFonts w:ascii="Times New Roman" w:hAnsi="Times New Roman" w:eastAsia="Times New Roman" w:cs="Times New Roman"/>
          <w:spacing w:val="-5"/>
        </w:rPr>
        <w:t xml:space="preserve">d)  </w:t>
      </w:r>
      <w:r>
        <w:rPr>
          <w:spacing w:val="-5"/>
        </w:rPr>
        <w:t>提供准确地故障定位能力，出现模糊</w:t>
      </w:r>
      <w:r>
        <w:rPr>
          <w:spacing w:val="-6"/>
        </w:rPr>
        <w:t>组时，进行引导测试；</w:t>
      </w:r>
    </w:p>
    <w:p w14:paraId="5CE1B56B">
      <w:pPr>
        <w:pStyle w:val="2"/>
        <w:spacing w:before="71" w:line="260" w:lineRule="auto"/>
        <w:ind w:firstLine="560"/>
      </w:pPr>
      <w:r>
        <w:rPr>
          <w:rFonts w:ascii="Times New Roman" w:hAnsi="Times New Roman" w:eastAsia="Times New Roman" w:cs="Times New Roman"/>
          <w:spacing w:val="3"/>
        </w:rPr>
        <w:t xml:space="preserve">e)  </w:t>
      </w:r>
      <w:r>
        <w:rPr>
          <w:spacing w:val="3"/>
        </w:rPr>
        <w:t>提供维修训练程序，使维修人员熟练掌握</w:t>
      </w:r>
      <w:r>
        <w:rPr>
          <w:rFonts w:ascii="Times New Roman" w:hAnsi="Times New Roman" w:eastAsia="Times New Roman" w:cs="Times New Roman"/>
        </w:rPr>
        <w:t>CTS</w:t>
      </w:r>
      <w:r>
        <w:rPr>
          <w:rFonts w:ascii="Times New Roman" w:hAnsi="Times New Roman" w:eastAsia="Times New Roman" w:cs="Times New Roman"/>
          <w:spacing w:val="3"/>
        </w:rPr>
        <w:t xml:space="preserve">  </w:t>
      </w:r>
      <w:r>
        <w:rPr>
          <w:spacing w:val="3"/>
        </w:rPr>
        <w:t>的使用技能和故障诊断、</w:t>
      </w:r>
      <w:r>
        <w:rPr>
          <w:spacing w:val="14"/>
        </w:rPr>
        <w:t xml:space="preserve"> </w:t>
      </w:r>
      <w:r>
        <w:t>预测方法等。</w:t>
      </w:r>
    </w:p>
    <w:p w14:paraId="6F8ED678">
      <w:pPr>
        <w:spacing w:line="260" w:lineRule="auto"/>
        <w:sectPr>
          <w:footerReference r:id="rId463" w:type="default"/>
          <w:pgSz w:w="11910" w:h="17130"/>
          <w:pgMar w:top="1402" w:right="1274" w:bottom="1723" w:left="1150" w:header="0" w:footer="1524" w:gutter="0"/>
          <w:cols w:space="720" w:num="1"/>
        </w:sectPr>
      </w:pPr>
    </w:p>
    <w:p w14:paraId="60D40BA9">
      <w:pPr>
        <w:spacing w:before="54" w:line="222" w:lineRule="auto"/>
        <w:rPr>
          <w:rFonts w:ascii="黑体" w:hAnsi="黑体" w:eastAsia="黑体" w:cs="黑体"/>
          <w:sz w:val="27"/>
          <w:szCs w:val="27"/>
        </w:rPr>
      </w:pPr>
      <w:r>
        <w:rPr>
          <w:rFonts w:ascii="黑体" w:hAnsi="黑体" w:eastAsia="黑体" w:cs="黑体"/>
          <w:spacing w:val="3"/>
          <w:sz w:val="27"/>
          <w:szCs w:val="27"/>
        </w:rPr>
        <w:t xml:space="preserve">6.4  </w:t>
      </w:r>
      <w:r>
        <w:rPr>
          <w:rFonts w:ascii="黑体" w:hAnsi="黑体" w:eastAsia="黑体" w:cs="黑体"/>
          <w:b/>
          <w:bCs/>
          <w:spacing w:val="3"/>
          <w:sz w:val="27"/>
          <w:szCs w:val="27"/>
        </w:rPr>
        <w:t>故障信息的显示记录和输出设计</w:t>
      </w:r>
    </w:p>
    <w:p w14:paraId="15F25BD4">
      <w:pPr>
        <w:pStyle w:val="2"/>
        <w:spacing w:before="81" w:line="219" w:lineRule="auto"/>
        <w:ind w:left="550"/>
      </w:pPr>
      <w:r>
        <w:rPr>
          <w:spacing w:val="-3"/>
        </w:rPr>
        <w:t>在进行该部分详细设计时，一般应遵循以下原则：</w:t>
      </w:r>
    </w:p>
    <w:p w14:paraId="1591AD67">
      <w:pPr>
        <w:pStyle w:val="2"/>
        <w:spacing w:before="26" w:line="271" w:lineRule="auto"/>
        <w:ind w:right="117" w:firstLine="550"/>
      </w:pPr>
      <w:r>
        <w:rPr>
          <w:rFonts w:ascii="Times New Roman" w:hAnsi="Times New Roman" w:eastAsia="Times New Roman" w:cs="Times New Roman"/>
          <w:spacing w:val="-5"/>
        </w:rPr>
        <w:t xml:space="preserve">a)  </w:t>
      </w:r>
      <w:r>
        <w:rPr>
          <w:spacing w:val="-5"/>
        </w:rPr>
        <w:t>依据故障的影响程度设计相应的报警或显示方法，如指示灯、指示器、显</w:t>
      </w:r>
      <w:r>
        <w:rPr>
          <w:spacing w:val="11"/>
        </w:rPr>
        <w:t xml:space="preserve"> </w:t>
      </w:r>
      <w:r>
        <w:rPr>
          <w:spacing w:val="-10"/>
        </w:rPr>
        <w:t>示控制单元、显示器、告警装置、维修监控板、中央维修计算机等。影响严重的应</w:t>
      </w:r>
      <w:r>
        <w:t xml:space="preserve"> </w:t>
      </w:r>
      <w:r>
        <w:rPr>
          <w:spacing w:val="2"/>
        </w:rPr>
        <w:t>同时使用声和光的方式及时告警；</w:t>
      </w:r>
    </w:p>
    <w:p w14:paraId="213DCA39">
      <w:pPr>
        <w:pStyle w:val="2"/>
        <w:spacing w:before="42" w:line="263" w:lineRule="auto"/>
        <w:ind w:right="104" w:firstLine="550"/>
      </w:pPr>
      <w:r>
        <w:rPr>
          <w:rFonts w:ascii="Times New Roman" w:hAnsi="Times New Roman" w:eastAsia="Times New Roman" w:cs="Times New Roman"/>
          <w:spacing w:val="11"/>
        </w:rPr>
        <w:t xml:space="preserve">b)  </w:t>
      </w:r>
      <w:r>
        <w:rPr>
          <w:spacing w:val="11"/>
        </w:rPr>
        <w:t>根据使用需求设计</w:t>
      </w:r>
      <w:r>
        <w:rPr>
          <w:rFonts w:ascii="Times New Roman" w:hAnsi="Times New Roman" w:eastAsia="Times New Roman" w:cs="Times New Roman"/>
        </w:rPr>
        <w:t>BIT</w:t>
      </w:r>
      <w:r>
        <w:rPr>
          <w:rFonts w:ascii="Times New Roman" w:hAnsi="Times New Roman" w:eastAsia="Times New Roman" w:cs="Times New Roman"/>
          <w:spacing w:val="55"/>
        </w:rPr>
        <w:t xml:space="preserve"> </w:t>
      </w:r>
      <w:r>
        <w:rPr>
          <w:spacing w:val="11"/>
        </w:rPr>
        <w:t>的故障检测与隔离信息以及相关信息的记录方</w:t>
      </w:r>
      <w:r>
        <w:t xml:space="preserve"> </w:t>
      </w:r>
      <w:r>
        <w:rPr>
          <w:spacing w:val="-1"/>
        </w:rPr>
        <w:t>法。简单的是用非易失存储器，要求高的可用移动存储器；</w:t>
      </w:r>
    </w:p>
    <w:p w14:paraId="5504D724">
      <w:pPr>
        <w:pStyle w:val="2"/>
        <w:spacing w:before="59" w:line="260" w:lineRule="auto"/>
        <w:ind w:firstLine="550"/>
      </w:pPr>
      <w:r>
        <w:rPr>
          <w:rFonts w:ascii="Times New Roman" w:hAnsi="Times New Roman" w:eastAsia="Times New Roman" w:cs="Times New Roman"/>
          <w:spacing w:val="1"/>
        </w:rPr>
        <w:t>c)</w:t>
      </w:r>
      <w:r>
        <w:rPr>
          <w:rFonts w:ascii="Times New Roman" w:hAnsi="Times New Roman" w:eastAsia="Times New Roman" w:cs="Times New Roman"/>
          <w:spacing w:val="32"/>
        </w:rPr>
        <w:t xml:space="preserve"> </w:t>
      </w:r>
      <w:r>
        <w:rPr>
          <w:spacing w:val="1"/>
        </w:rPr>
        <w:t>根据使用需求设计</w:t>
      </w:r>
      <w:r>
        <w:rPr>
          <w:rFonts w:ascii="Times New Roman" w:hAnsi="Times New Roman" w:eastAsia="Times New Roman" w:cs="Times New Roman"/>
        </w:rPr>
        <w:t>BIT</w:t>
      </w:r>
      <w:r>
        <w:rPr>
          <w:rFonts w:ascii="Times New Roman" w:hAnsi="Times New Roman" w:eastAsia="Times New Roman" w:cs="Times New Roman"/>
          <w:spacing w:val="1"/>
        </w:rPr>
        <w:t xml:space="preserve"> </w:t>
      </w:r>
      <w:r>
        <w:rPr>
          <w:spacing w:val="1"/>
        </w:rPr>
        <w:t>的故障检测与隔离信息以</w:t>
      </w:r>
      <w:r>
        <w:t xml:space="preserve">及相关信息的输出方法。 </w:t>
      </w:r>
      <w:r>
        <w:rPr>
          <w:spacing w:val="-14"/>
        </w:rPr>
        <w:t>如外部测试接口(利用外部测试设备)、磁带/磁盘、</w:t>
      </w:r>
      <w:r>
        <w:rPr>
          <w:spacing w:val="-15"/>
        </w:rPr>
        <w:t>打印机、远程通讯装置等；</w:t>
      </w:r>
    </w:p>
    <w:p w14:paraId="50872863">
      <w:pPr>
        <w:pStyle w:val="2"/>
        <w:spacing w:before="30" w:line="268" w:lineRule="auto"/>
        <w:ind w:right="103" w:firstLine="550"/>
      </w:pPr>
      <w:r>
        <w:rPr>
          <w:rFonts w:ascii="Times New Roman" w:hAnsi="Times New Roman" w:eastAsia="Times New Roman" w:cs="Times New Roman"/>
          <w:spacing w:val="-1"/>
        </w:rPr>
        <w:t>d)</w:t>
      </w:r>
      <w:r>
        <w:rPr>
          <w:rFonts w:ascii="Times New Roman" w:hAnsi="Times New Roman" w:eastAsia="Times New Roman" w:cs="Times New Roman"/>
          <w:spacing w:val="57"/>
        </w:rPr>
        <w:t xml:space="preserve"> </w:t>
      </w:r>
      <w:r>
        <w:rPr>
          <w:spacing w:val="-1"/>
        </w:rPr>
        <w:t>使</w:t>
      </w:r>
      <w:r>
        <w:rPr>
          <w:spacing w:val="-38"/>
        </w:rPr>
        <w:t xml:space="preserve"> </w:t>
      </w:r>
      <w:r>
        <w:rPr>
          <w:spacing w:val="-1"/>
        </w:rPr>
        <w:t>用</w:t>
      </w:r>
      <w:r>
        <w:rPr>
          <w:rFonts w:ascii="Times New Roman" w:hAnsi="Times New Roman" w:eastAsia="Times New Roman" w:cs="Times New Roman"/>
          <w:spacing w:val="-1"/>
        </w:rPr>
        <w:t>ATE</w:t>
      </w:r>
      <w:r>
        <w:rPr>
          <w:rFonts w:ascii="Times New Roman" w:hAnsi="Times New Roman" w:eastAsia="Times New Roman" w:cs="Times New Roman"/>
          <w:spacing w:val="60"/>
        </w:rPr>
        <w:t xml:space="preserve"> </w:t>
      </w:r>
      <w:r>
        <w:rPr>
          <w:spacing w:val="-1"/>
        </w:rPr>
        <w:t>测试</w:t>
      </w:r>
      <w:r>
        <w:rPr>
          <w:spacing w:val="-76"/>
        </w:rPr>
        <w:t xml:space="preserve"> </w:t>
      </w:r>
      <w:r>
        <w:rPr>
          <w:rFonts w:ascii="Times New Roman" w:hAnsi="Times New Roman" w:eastAsia="Times New Roman" w:cs="Times New Roman"/>
          <w:spacing w:val="-1"/>
        </w:rPr>
        <w:t xml:space="preserve">UUT  </w:t>
      </w:r>
      <w:r>
        <w:rPr>
          <w:spacing w:val="-1"/>
        </w:rPr>
        <w:t>时的故障信息，亦应设计相应的显示、报警和</w:t>
      </w:r>
      <w:r>
        <w:rPr>
          <w:spacing w:val="-2"/>
        </w:rPr>
        <w:t>存储</w:t>
      </w:r>
      <w:r>
        <w:t xml:space="preserve"> </w:t>
      </w:r>
      <w:r>
        <w:rPr>
          <w:spacing w:val="-4"/>
        </w:rPr>
        <w:t>装置。</w:t>
      </w:r>
    </w:p>
    <w:p w14:paraId="3FEB7FF6">
      <w:pPr>
        <w:spacing w:before="81" w:line="221"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25"/>
          <w:sz w:val="27"/>
          <w:szCs w:val="27"/>
        </w:rPr>
        <w:t xml:space="preserve">  </w:t>
      </w:r>
      <w:r>
        <w:rPr>
          <w:rFonts w:ascii="黑体" w:hAnsi="黑体" w:eastAsia="黑体" w:cs="黑体"/>
          <w:b/>
          <w:bCs/>
          <w:spacing w:val="1"/>
          <w:sz w:val="27"/>
          <w:szCs w:val="27"/>
        </w:rPr>
        <w:t>外部诊断设计</w:t>
      </w:r>
    </w:p>
    <w:p w14:paraId="3BB0F23E">
      <w:pPr>
        <w:pStyle w:val="2"/>
        <w:spacing w:before="92" w:line="276" w:lineRule="auto"/>
        <w:ind w:right="110" w:firstLine="550"/>
      </w:pPr>
      <w:r>
        <w:rPr>
          <w:spacing w:val="6"/>
        </w:rPr>
        <w:t>外部诊断设计的主要内容有测试点详细设计、诊断逻</w:t>
      </w:r>
      <w:r>
        <w:rPr>
          <w:spacing w:val="5"/>
        </w:rPr>
        <w:t>辑和测试程序设计以</w:t>
      </w:r>
      <w:r>
        <w:t xml:space="preserve"> </w:t>
      </w:r>
      <w:r>
        <w:rPr>
          <w:spacing w:val="2"/>
        </w:rPr>
        <w:t>及与外部测试设备的测试接口设计等。</w:t>
      </w:r>
    </w:p>
    <w:p w14:paraId="3C6702FF">
      <w:pPr>
        <w:spacing w:before="27" w:line="221" w:lineRule="auto"/>
        <w:rPr>
          <w:rFonts w:ascii="黑体" w:hAnsi="黑体" w:eastAsia="黑体" w:cs="黑体"/>
          <w:sz w:val="24"/>
          <w:szCs w:val="24"/>
        </w:rPr>
      </w:pPr>
      <w:r>
        <w:rPr>
          <w:rFonts w:ascii="黑体" w:hAnsi="黑体" w:eastAsia="黑体" w:cs="黑体"/>
          <w:spacing w:val="20"/>
          <w:sz w:val="24"/>
          <w:szCs w:val="24"/>
        </w:rPr>
        <w:t>7.1</w:t>
      </w:r>
      <w:r>
        <w:rPr>
          <w:rFonts w:ascii="黑体" w:hAnsi="黑体" w:eastAsia="黑体" w:cs="黑体"/>
          <w:spacing w:val="3"/>
          <w:sz w:val="24"/>
          <w:szCs w:val="24"/>
        </w:rPr>
        <w:t xml:space="preserve">   </w:t>
      </w:r>
      <w:r>
        <w:rPr>
          <w:rFonts w:ascii="黑体" w:hAnsi="黑体" w:eastAsia="黑体" w:cs="黑体"/>
          <w:b/>
          <w:bCs/>
          <w:spacing w:val="20"/>
          <w:sz w:val="24"/>
          <w:szCs w:val="24"/>
        </w:rPr>
        <w:t>测试点详细设计</w:t>
      </w:r>
    </w:p>
    <w:p w14:paraId="3385D4B4">
      <w:pPr>
        <w:pStyle w:val="2"/>
        <w:spacing w:before="100" w:line="270" w:lineRule="auto"/>
        <w:ind w:right="100" w:firstLine="550"/>
      </w:pPr>
      <w:r>
        <w:rPr>
          <w:spacing w:val="6"/>
        </w:rPr>
        <w:t>在固有测试性和诊断策略设计的基础上，接着应进行测试点(或</w:t>
      </w:r>
      <w:r>
        <w:rPr>
          <w:spacing w:val="5"/>
        </w:rPr>
        <w:t>测试)的详</w:t>
      </w:r>
      <w:r>
        <w:t xml:space="preserve"> </w:t>
      </w:r>
      <w:r>
        <w:rPr>
          <w:spacing w:val="-11"/>
        </w:rPr>
        <w:t>细设计，工作要点包括：</w:t>
      </w:r>
    </w:p>
    <w:p w14:paraId="75F7D534">
      <w:pPr>
        <w:pStyle w:val="2"/>
        <w:spacing w:before="4" w:line="261" w:lineRule="auto"/>
        <w:ind w:right="120" w:firstLine="550"/>
      </w:pPr>
      <w:r>
        <w:rPr>
          <w:rFonts w:ascii="Times New Roman" w:hAnsi="Times New Roman" w:eastAsia="Times New Roman" w:cs="Times New Roman"/>
          <w:spacing w:val="3"/>
        </w:rPr>
        <w:t>a)</w:t>
      </w:r>
      <w:r>
        <w:rPr>
          <w:rFonts w:ascii="Times New Roman" w:hAnsi="Times New Roman" w:eastAsia="Times New Roman" w:cs="Times New Roman"/>
          <w:spacing w:val="64"/>
        </w:rPr>
        <w:t xml:space="preserve"> </w:t>
      </w:r>
      <w:r>
        <w:rPr>
          <w:spacing w:val="3"/>
        </w:rPr>
        <w:t>确定测试点具体位置，主要工作包括：1)用于连接外部测试设备的外部</w:t>
      </w:r>
      <w:r>
        <w:t xml:space="preserve"> </w:t>
      </w:r>
      <w:r>
        <w:rPr>
          <w:spacing w:val="7"/>
        </w:rPr>
        <w:t>测试点，一般引到</w:t>
      </w:r>
      <w:r>
        <w:rPr>
          <w:spacing w:val="-73"/>
        </w:rPr>
        <w:t xml:space="preserve"> </w:t>
      </w:r>
      <w:r>
        <w:rPr>
          <w:rFonts w:ascii="Times New Roman" w:hAnsi="Times New Roman" w:eastAsia="Times New Roman" w:cs="Times New Roman"/>
        </w:rPr>
        <w:t>UUT</w:t>
      </w:r>
      <w:r>
        <w:rPr>
          <w:rFonts w:ascii="Times New Roman" w:hAnsi="Times New Roman" w:eastAsia="Times New Roman" w:cs="Times New Roman"/>
          <w:spacing w:val="7"/>
        </w:rPr>
        <w:t xml:space="preserve">  </w:t>
      </w:r>
      <w:r>
        <w:rPr>
          <w:spacing w:val="7"/>
        </w:rPr>
        <w:t>专用检测插座上或</w:t>
      </w:r>
      <w:r>
        <w:rPr>
          <w:rFonts w:ascii="Times New Roman" w:hAnsi="Times New Roman" w:eastAsia="Times New Roman" w:cs="Times New Roman"/>
          <w:spacing w:val="7"/>
        </w:rPr>
        <w:t>I/O</w:t>
      </w:r>
      <w:r>
        <w:rPr>
          <w:rFonts w:ascii="Times New Roman" w:hAnsi="Times New Roman" w:eastAsia="Times New Roman" w:cs="Times New Roman"/>
          <w:spacing w:val="26"/>
        </w:rPr>
        <w:t xml:space="preserve">  </w:t>
      </w:r>
      <w:r>
        <w:rPr>
          <w:spacing w:val="6"/>
        </w:rPr>
        <w:t>连接器上；2)用于检测元器件</w:t>
      </w:r>
      <w:r>
        <w:t xml:space="preserve"> </w:t>
      </w:r>
      <w:r>
        <w:rPr>
          <w:spacing w:val="-4"/>
        </w:rPr>
        <w:t>的内部测试点，可设置在电路板适当位置上。</w:t>
      </w:r>
    </w:p>
    <w:p w14:paraId="13BA5507">
      <w:pPr>
        <w:pStyle w:val="2"/>
        <w:spacing w:before="59" w:line="265" w:lineRule="auto"/>
        <w:ind w:right="102" w:firstLine="550"/>
      </w:pPr>
      <w:r>
        <w:rPr>
          <w:rFonts w:ascii="Times New Roman" w:hAnsi="Times New Roman" w:eastAsia="Times New Roman" w:cs="Times New Roman"/>
          <w:spacing w:val="-3"/>
        </w:rPr>
        <w:t>b)</w:t>
      </w:r>
      <w:r>
        <w:rPr>
          <w:rFonts w:ascii="Times New Roman" w:hAnsi="Times New Roman" w:eastAsia="Times New Roman" w:cs="Times New Roman"/>
          <w:spacing w:val="63"/>
        </w:rPr>
        <w:t xml:space="preserve"> </w:t>
      </w:r>
      <w:r>
        <w:rPr>
          <w:spacing w:val="-3"/>
        </w:rPr>
        <w:t>确定测试点用途，主要工作包括：1)测量用测试点，用于测量</w:t>
      </w:r>
      <w:r>
        <w:rPr>
          <w:rFonts w:ascii="Times New Roman" w:hAnsi="Times New Roman" w:eastAsia="Times New Roman" w:cs="Times New Roman"/>
          <w:spacing w:val="-3"/>
        </w:rPr>
        <w:t>UUT</w:t>
      </w:r>
      <w:r>
        <w:rPr>
          <w:rFonts w:ascii="Times New Roman" w:hAnsi="Times New Roman" w:eastAsia="Times New Roman" w:cs="Times New Roman"/>
          <w:spacing w:val="21"/>
        </w:rPr>
        <w:t xml:space="preserve">  </w:t>
      </w:r>
      <w:r>
        <w:rPr>
          <w:spacing w:val="-3"/>
        </w:rPr>
        <w:t>功能</w:t>
      </w:r>
      <w:r>
        <w:t xml:space="preserve"> </w:t>
      </w:r>
      <w:r>
        <w:rPr>
          <w:spacing w:val="-2"/>
        </w:rPr>
        <w:t>特性参数和内部一些电路节点信号，为无源测试点；2)激励、控制用测试点，用</w:t>
      </w:r>
      <w:r>
        <w:rPr>
          <w:spacing w:val="3"/>
        </w:rPr>
        <w:t xml:space="preserve"> </w:t>
      </w:r>
      <w:r>
        <w:rPr>
          <w:spacing w:val="-8"/>
        </w:rPr>
        <w:t>于数字电路初始化、引入激励、中断反馈控</w:t>
      </w:r>
      <w:r>
        <w:rPr>
          <w:spacing w:val="-9"/>
        </w:rPr>
        <w:t>制等的测试点，为有源测试点。</w:t>
      </w:r>
    </w:p>
    <w:p w14:paraId="3E0AF9EE">
      <w:pPr>
        <w:pStyle w:val="2"/>
        <w:spacing w:before="78" w:line="268" w:lineRule="auto"/>
        <w:ind w:right="116" w:firstLine="550"/>
      </w:pPr>
      <w:r>
        <w:rPr>
          <w:rFonts w:ascii="Times New Roman" w:hAnsi="Times New Roman" w:eastAsia="Times New Roman" w:cs="Times New Roman"/>
          <w:spacing w:val="11"/>
        </w:rPr>
        <w:t>c)</w:t>
      </w:r>
      <w:r>
        <w:rPr>
          <w:rFonts w:ascii="Times New Roman" w:hAnsi="Times New Roman" w:eastAsia="Times New Roman" w:cs="Times New Roman"/>
          <w:spacing w:val="77"/>
        </w:rPr>
        <w:t xml:space="preserve"> </w:t>
      </w:r>
      <w:r>
        <w:rPr>
          <w:spacing w:val="11"/>
        </w:rPr>
        <w:t>测试点详细设计，主要工作包括：1)分析并列出各测量用测试点的信</w:t>
      </w:r>
      <w:r>
        <w:t xml:space="preserve"> </w:t>
      </w:r>
      <w:r>
        <w:rPr>
          <w:spacing w:val="5"/>
        </w:rPr>
        <w:t>号特性和测试要求；设计有源测试点的激励和控制电路，或确定外部提供激励</w:t>
      </w:r>
      <w:r>
        <w:rPr>
          <w:spacing w:val="13"/>
        </w:rPr>
        <w:t xml:space="preserve"> </w:t>
      </w:r>
      <w:r>
        <w:rPr>
          <w:spacing w:val="11"/>
        </w:rPr>
        <w:t>和控制的要求；2)测试点的接口能力应适</w:t>
      </w:r>
      <w:r>
        <w:rPr>
          <w:spacing w:val="10"/>
        </w:rPr>
        <w:t>应3</w:t>
      </w:r>
      <w:r>
        <w:rPr>
          <w:rFonts w:ascii="Times New Roman" w:hAnsi="Times New Roman" w:eastAsia="Times New Roman" w:cs="Times New Roman"/>
          <w:spacing w:val="10"/>
        </w:rPr>
        <w:t xml:space="preserve">m </w:t>
      </w:r>
      <w:r>
        <w:rPr>
          <w:spacing w:val="10"/>
        </w:rPr>
        <w:t>长电缆，使用</w:t>
      </w:r>
      <w:r>
        <w:rPr>
          <w:spacing w:val="-63"/>
        </w:rPr>
        <w:t xml:space="preserve"> </w:t>
      </w:r>
      <w:r>
        <w:rPr>
          <w:rFonts w:ascii="Times New Roman" w:hAnsi="Times New Roman" w:eastAsia="Times New Roman" w:cs="Times New Roman"/>
        </w:rPr>
        <w:t>ATE</w:t>
      </w:r>
      <w:r>
        <w:rPr>
          <w:rFonts w:ascii="Times New Roman" w:hAnsi="Times New Roman" w:eastAsia="Times New Roman" w:cs="Times New Roman"/>
          <w:spacing w:val="10"/>
        </w:rPr>
        <w:t xml:space="preserve">  </w:t>
      </w:r>
      <w:r>
        <w:rPr>
          <w:spacing w:val="10"/>
        </w:rPr>
        <w:t>测量时不</w:t>
      </w:r>
      <w:r>
        <w:t xml:space="preserve"> </w:t>
      </w:r>
      <w:r>
        <w:rPr>
          <w:spacing w:val="7"/>
        </w:rPr>
        <w:t>会造成被测信号失真，不影响</w:t>
      </w:r>
      <w:r>
        <w:rPr>
          <w:spacing w:val="-77"/>
        </w:rPr>
        <w:t xml:space="preserve"> </w:t>
      </w:r>
      <w:r>
        <w:rPr>
          <w:rFonts w:ascii="Times New Roman" w:hAnsi="Times New Roman" w:eastAsia="Times New Roman" w:cs="Times New Roman"/>
        </w:rPr>
        <w:t>UUT</w:t>
      </w:r>
      <w:r>
        <w:rPr>
          <w:rFonts w:ascii="Times New Roman" w:hAnsi="Times New Roman" w:eastAsia="Times New Roman" w:cs="Times New Roman"/>
          <w:spacing w:val="7"/>
        </w:rPr>
        <w:t xml:space="preserve">  </w:t>
      </w:r>
      <w:r>
        <w:rPr>
          <w:spacing w:val="7"/>
        </w:rPr>
        <w:t>正常工作；3)数字电路与模拟</w:t>
      </w:r>
      <w:r>
        <w:rPr>
          <w:spacing w:val="6"/>
        </w:rPr>
        <w:t>电路应分别</w:t>
      </w:r>
      <w:r>
        <w:t xml:space="preserve"> </w:t>
      </w:r>
      <w:r>
        <w:rPr>
          <w:spacing w:val="13"/>
        </w:rPr>
        <w:t>设置测试点，以便于独立测试；4)设置测量信号用公共接地点；5)设</w:t>
      </w:r>
      <w:r>
        <w:rPr>
          <w:spacing w:val="12"/>
        </w:rPr>
        <w:t>计必要</w:t>
      </w:r>
      <w:r>
        <w:t xml:space="preserve"> </w:t>
      </w:r>
      <w:r>
        <w:rPr>
          <w:spacing w:val="13"/>
        </w:rPr>
        <w:t>信号变换与调节电路；6)设置的测试点在相关资料和产品上应有清楚的定义</w:t>
      </w:r>
      <w:r>
        <w:rPr>
          <w:spacing w:val="10"/>
        </w:rPr>
        <w:t xml:space="preserve"> </w:t>
      </w:r>
      <w:r>
        <w:rPr>
          <w:spacing w:val="3"/>
        </w:rPr>
        <w:t>和标记。</w:t>
      </w:r>
    </w:p>
    <w:p w14:paraId="7078BD64">
      <w:pPr>
        <w:pStyle w:val="2"/>
        <w:spacing w:before="117" w:line="270" w:lineRule="auto"/>
        <w:ind w:firstLine="550"/>
      </w:pPr>
      <w:r>
        <w:rPr>
          <w:rFonts w:ascii="Times New Roman" w:hAnsi="Times New Roman" w:eastAsia="Times New Roman" w:cs="Times New Roman"/>
          <w:spacing w:val="1"/>
        </w:rPr>
        <w:t xml:space="preserve">d)  </w:t>
      </w:r>
      <w:r>
        <w:rPr>
          <w:spacing w:val="1"/>
        </w:rPr>
        <w:t>安全性考虑，主要工作包括：1)测试点电压在300</w:t>
      </w:r>
      <w:r>
        <w:rPr>
          <w:rFonts w:ascii="Times New Roman" w:hAnsi="Times New Roman" w:eastAsia="Times New Roman" w:cs="Times New Roman"/>
          <w:spacing w:val="1"/>
        </w:rPr>
        <w:t>V</w:t>
      </w:r>
      <w:r>
        <w:rPr>
          <w:spacing w:val="1"/>
        </w:rPr>
        <w:t>～</w:t>
      </w:r>
      <w:r>
        <w:rPr>
          <w:rFonts w:ascii="Times New Roman" w:hAnsi="Times New Roman" w:eastAsia="Times New Roman" w:cs="Times New Roman"/>
          <w:spacing w:val="1"/>
        </w:rPr>
        <w:t>500V</w:t>
      </w:r>
      <w:r>
        <w:rPr>
          <w:rFonts w:ascii="Times New Roman" w:hAnsi="Times New Roman" w:eastAsia="Times New Roman" w:cs="Times New Roman"/>
          <w:spacing w:val="-20"/>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有效值)时，</w:t>
      </w:r>
      <w:r>
        <w:t xml:space="preserve"> </w:t>
      </w:r>
      <w:r>
        <w:rPr>
          <w:spacing w:val="3"/>
        </w:rPr>
        <w:t>应有隔离措施和警告标志，对有高频辐射的</w:t>
      </w:r>
      <w:r>
        <w:rPr>
          <w:rFonts w:ascii="Times New Roman" w:hAnsi="Times New Roman" w:eastAsia="Times New Roman" w:cs="Times New Roman"/>
        </w:rPr>
        <w:t>UUT</w:t>
      </w:r>
      <w:r>
        <w:rPr>
          <w:rFonts w:ascii="Times New Roman" w:hAnsi="Times New Roman" w:eastAsia="Times New Roman" w:cs="Times New Roman"/>
          <w:spacing w:val="59"/>
        </w:rPr>
        <w:t xml:space="preserve"> </w:t>
      </w:r>
      <w:r>
        <w:rPr>
          <w:spacing w:val="3"/>
        </w:rPr>
        <w:t>进</w:t>
      </w:r>
      <w:r>
        <w:rPr>
          <w:spacing w:val="2"/>
        </w:rPr>
        <w:t>行测试时应有安全措施；2)</w:t>
      </w:r>
      <w:r>
        <w:t xml:space="preserve"> </w:t>
      </w:r>
      <w:r>
        <w:rPr>
          <w:spacing w:val="5"/>
        </w:rPr>
        <w:t>高电压或大电流的测试点应在结构上同低电平信号测试点隔离；3)必要时设计</w:t>
      </w:r>
      <w:r>
        <w:rPr>
          <w:spacing w:val="2"/>
        </w:rPr>
        <w:t xml:space="preserve">  </w:t>
      </w:r>
      <w:r>
        <w:rPr>
          <w:spacing w:val="-3"/>
        </w:rPr>
        <w:t>屏蔽、隔离或其他抗干扰措施；4)任何测试点与地之间短路时，不应损坏</w:t>
      </w:r>
      <w:r>
        <w:rPr>
          <w:rFonts w:ascii="Times New Roman" w:hAnsi="Times New Roman" w:eastAsia="Times New Roman" w:cs="Times New Roman"/>
          <w:spacing w:val="-3"/>
        </w:rPr>
        <w:t>UU</w:t>
      </w:r>
      <w:r>
        <w:rPr>
          <w:rFonts w:ascii="Times New Roman" w:hAnsi="Times New Roman" w:eastAsia="Times New Roman" w:cs="Times New Roman"/>
          <w:spacing w:val="-4"/>
        </w:rPr>
        <w:t>T</w:t>
      </w:r>
      <w:r>
        <w:rPr>
          <w:spacing w:val="-4"/>
        </w:rPr>
        <w:t>。</w:t>
      </w:r>
    </w:p>
    <w:p w14:paraId="096A9EE3">
      <w:pPr>
        <w:spacing w:line="270" w:lineRule="auto"/>
        <w:sectPr>
          <w:footerReference r:id="rId464" w:type="default"/>
          <w:pgSz w:w="11910" w:h="17130"/>
          <w:pgMar w:top="1451" w:right="744" w:bottom="1663" w:left="1680" w:header="0" w:footer="1465" w:gutter="0"/>
          <w:cols w:space="720" w:num="1"/>
        </w:sectPr>
      </w:pPr>
    </w:p>
    <w:p w14:paraId="5399E2D1">
      <w:pPr>
        <w:spacing w:before="148" w:line="221" w:lineRule="auto"/>
        <w:rPr>
          <w:rFonts w:ascii="黑体" w:hAnsi="黑体" w:eastAsia="黑体" w:cs="黑体"/>
          <w:sz w:val="24"/>
          <w:szCs w:val="24"/>
        </w:rPr>
      </w:pPr>
      <w:r>
        <w:rPr>
          <w:rFonts w:ascii="黑体" w:hAnsi="黑体" w:eastAsia="黑体" w:cs="黑体"/>
          <w:spacing w:val="24"/>
          <w:sz w:val="24"/>
          <w:szCs w:val="24"/>
        </w:rPr>
        <w:t>7.2</w:t>
      </w:r>
      <w:r>
        <w:rPr>
          <w:rFonts w:ascii="黑体" w:hAnsi="黑体" w:eastAsia="黑体" w:cs="黑体"/>
          <w:spacing w:val="57"/>
          <w:sz w:val="24"/>
          <w:szCs w:val="24"/>
        </w:rPr>
        <w:t xml:space="preserve">  </w:t>
      </w:r>
      <w:r>
        <w:rPr>
          <w:rFonts w:ascii="黑体" w:hAnsi="黑体" w:eastAsia="黑体" w:cs="黑体"/>
          <w:b/>
          <w:bCs/>
          <w:spacing w:val="24"/>
          <w:sz w:val="24"/>
          <w:szCs w:val="24"/>
        </w:rPr>
        <w:t>诊断逻辑和测试程序设计</w:t>
      </w:r>
    </w:p>
    <w:p w14:paraId="3AC31F8B">
      <w:pPr>
        <w:pStyle w:val="2"/>
        <w:spacing w:before="107" w:line="219" w:lineRule="auto"/>
        <w:ind w:left="560"/>
      </w:pPr>
      <w:r>
        <w:t>主要涉及以下几项工作：</w:t>
      </w:r>
    </w:p>
    <w:p w14:paraId="57B4A105">
      <w:pPr>
        <w:pStyle w:val="2"/>
        <w:spacing w:before="41" w:line="212" w:lineRule="auto"/>
        <w:ind w:left="560"/>
      </w:pPr>
      <w:r>
        <w:rPr>
          <w:rFonts w:ascii="Times New Roman" w:hAnsi="Times New Roman" w:eastAsia="Times New Roman" w:cs="Times New Roman"/>
          <w:spacing w:val="-7"/>
        </w:rPr>
        <w:t>a)</w:t>
      </w:r>
      <w:r>
        <w:rPr>
          <w:rFonts w:ascii="Times New Roman" w:hAnsi="Times New Roman" w:eastAsia="Times New Roman" w:cs="Times New Roman"/>
          <w:spacing w:val="53"/>
        </w:rPr>
        <w:t xml:space="preserve"> </w:t>
      </w:r>
      <w:r>
        <w:rPr>
          <w:spacing w:val="-7"/>
        </w:rPr>
        <w:t>分析确定每个选用测试点的测量参数特性，如参</w:t>
      </w:r>
      <w:r>
        <w:rPr>
          <w:spacing w:val="-8"/>
        </w:rPr>
        <w:t>数类型、幅值、容差等；</w:t>
      </w:r>
    </w:p>
    <w:p w14:paraId="3355C0EC">
      <w:pPr>
        <w:pStyle w:val="2"/>
        <w:spacing w:before="69" w:line="274" w:lineRule="auto"/>
        <w:ind w:right="40" w:firstLine="560"/>
      </w:pPr>
      <w:r>
        <w:rPr>
          <w:rFonts w:ascii="Times New Roman" w:hAnsi="Times New Roman" w:eastAsia="Times New Roman" w:cs="Times New Roman"/>
          <w:spacing w:val="2"/>
        </w:rPr>
        <w:t>b)</w:t>
      </w:r>
      <w:r>
        <w:rPr>
          <w:rFonts w:ascii="Times New Roman" w:hAnsi="Times New Roman" w:eastAsia="Times New Roman" w:cs="Times New Roman"/>
          <w:spacing w:val="73"/>
        </w:rPr>
        <w:t xml:space="preserve"> </w:t>
      </w:r>
      <w:r>
        <w:rPr>
          <w:spacing w:val="2"/>
        </w:rPr>
        <w:t>确定每个测量参数的具体测试位置，如检测哪一个插座的第几个点或者</w:t>
      </w:r>
      <w:r>
        <w:t xml:space="preserve"> </w:t>
      </w:r>
      <w:r>
        <w:rPr>
          <w:spacing w:val="-2"/>
        </w:rPr>
        <w:t>电路的哪一节点；</w:t>
      </w:r>
    </w:p>
    <w:p w14:paraId="3E146654">
      <w:pPr>
        <w:pStyle w:val="2"/>
        <w:spacing w:before="39"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60"/>
          <w:w w:val="101"/>
        </w:rPr>
        <w:t xml:space="preserve"> </w:t>
      </w:r>
      <w:r>
        <w:rPr>
          <w:spacing w:val="4"/>
        </w:rPr>
        <w:t>设计或选择测试所需的激励和控制用的有源信号及加入方法；</w:t>
      </w:r>
    </w:p>
    <w:p w14:paraId="31A2E1E1">
      <w:pPr>
        <w:pStyle w:val="2"/>
        <w:spacing w:before="109" w:line="212" w:lineRule="auto"/>
        <w:ind w:left="560"/>
      </w:pPr>
      <w:r>
        <w:rPr>
          <w:rFonts w:ascii="Times New Roman" w:hAnsi="Times New Roman" w:eastAsia="Times New Roman" w:cs="Times New Roman"/>
          <w:spacing w:val="3"/>
        </w:rPr>
        <w:t>d)</w:t>
      </w:r>
      <w:r>
        <w:rPr>
          <w:rFonts w:ascii="Times New Roman" w:hAnsi="Times New Roman" w:eastAsia="Times New Roman" w:cs="Times New Roman"/>
          <w:spacing w:val="72"/>
        </w:rPr>
        <w:t xml:space="preserve"> </w:t>
      </w:r>
      <w:r>
        <w:rPr>
          <w:spacing w:val="3"/>
        </w:rPr>
        <w:t>依据上述分析结果画出诊断测试的详细流程图；</w:t>
      </w:r>
    </w:p>
    <w:p w14:paraId="545D6E3F">
      <w:pPr>
        <w:pStyle w:val="2"/>
        <w:spacing w:before="90" w:line="212" w:lineRule="auto"/>
        <w:ind w:left="560"/>
      </w:pPr>
      <w:r>
        <w:rPr>
          <w:rFonts w:ascii="Times New Roman" w:hAnsi="Times New Roman" w:eastAsia="Times New Roman" w:cs="Times New Roman"/>
          <w:spacing w:val="3"/>
        </w:rPr>
        <w:t>e)</w:t>
      </w:r>
      <w:r>
        <w:rPr>
          <w:rFonts w:ascii="Times New Roman" w:hAnsi="Times New Roman" w:eastAsia="Times New Roman" w:cs="Times New Roman"/>
          <w:spacing w:val="79"/>
          <w:w w:val="101"/>
        </w:rPr>
        <w:t xml:space="preserve"> </w:t>
      </w:r>
      <w:r>
        <w:rPr>
          <w:spacing w:val="3"/>
        </w:rPr>
        <w:t>用规定的编程语言研制诊断软件程序。</w:t>
      </w:r>
    </w:p>
    <w:p w14:paraId="184E70C6">
      <w:pPr>
        <w:spacing w:before="114" w:line="221" w:lineRule="auto"/>
        <w:rPr>
          <w:rFonts w:ascii="黑体" w:hAnsi="黑体" w:eastAsia="黑体" w:cs="黑体"/>
          <w:sz w:val="27"/>
          <w:szCs w:val="27"/>
        </w:rPr>
      </w:pPr>
      <w:r>
        <w:rPr>
          <w:rFonts w:ascii="Times New Roman" w:hAnsi="Times New Roman" w:eastAsia="Times New Roman" w:cs="Times New Roman"/>
          <w:spacing w:val="1"/>
          <w:sz w:val="27"/>
          <w:szCs w:val="27"/>
        </w:rPr>
        <w:t xml:space="preserve">7.3     </w:t>
      </w:r>
      <w:r>
        <w:rPr>
          <w:rFonts w:ascii="Times New Roman" w:hAnsi="Times New Roman" w:eastAsia="Times New Roman" w:cs="Times New Roman"/>
          <w:sz w:val="27"/>
          <w:szCs w:val="27"/>
        </w:rPr>
        <w:t>UUT</w:t>
      </w:r>
      <w:r>
        <w:rPr>
          <w:rFonts w:ascii="Times New Roman" w:hAnsi="Times New Roman" w:eastAsia="Times New Roman" w:cs="Times New Roman"/>
          <w:spacing w:val="1"/>
          <w:sz w:val="27"/>
          <w:szCs w:val="27"/>
        </w:rPr>
        <w:t xml:space="preserve"> </w:t>
      </w:r>
      <w:r>
        <w:rPr>
          <w:rFonts w:ascii="黑体" w:hAnsi="黑体" w:eastAsia="黑体" w:cs="黑体"/>
          <w:b/>
          <w:bCs/>
          <w:spacing w:val="1"/>
          <w:sz w:val="27"/>
          <w:szCs w:val="27"/>
        </w:rPr>
        <w:t>与外部测试设备兼容性设计</w:t>
      </w:r>
    </w:p>
    <w:p w14:paraId="2A1F79DF">
      <w:pPr>
        <w:pStyle w:val="2"/>
        <w:spacing w:before="84" w:line="275" w:lineRule="auto"/>
        <w:ind w:firstLine="560"/>
        <w:jc w:val="both"/>
      </w:pPr>
      <w:r>
        <w:rPr>
          <w:spacing w:val="3"/>
        </w:rPr>
        <w:t>外部测试设备包括</w:t>
      </w:r>
      <w:r>
        <w:rPr>
          <w:rFonts w:ascii="Times New Roman" w:hAnsi="Times New Roman" w:eastAsia="Times New Roman" w:cs="Times New Roman"/>
        </w:rPr>
        <w:t>ATE</w:t>
      </w:r>
      <w:r>
        <w:rPr>
          <w:rFonts w:ascii="Times New Roman" w:hAnsi="Times New Roman" w:eastAsia="Times New Roman" w:cs="Times New Roman"/>
          <w:spacing w:val="-33"/>
        </w:rPr>
        <w:t xml:space="preserve"> </w:t>
      </w:r>
      <w:r>
        <w:rPr>
          <w:spacing w:val="3"/>
        </w:rPr>
        <w:t>、</w:t>
      </w:r>
      <w:r>
        <w:rPr>
          <w:rFonts w:ascii="Times New Roman" w:hAnsi="Times New Roman" w:eastAsia="Times New Roman" w:cs="Times New Roman"/>
        </w:rPr>
        <w:t>PMA</w:t>
      </w:r>
      <w:r>
        <w:rPr>
          <w:rFonts w:ascii="Times New Roman" w:hAnsi="Times New Roman" w:eastAsia="Times New Roman" w:cs="Times New Roman"/>
          <w:spacing w:val="-15"/>
        </w:rPr>
        <w:t xml:space="preserve"> </w:t>
      </w:r>
      <w:r>
        <w:rPr>
          <w:spacing w:val="3"/>
        </w:rPr>
        <w:t>及其他外部测试用的测试设备，可以是选用</w:t>
      </w:r>
      <w:r>
        <w:t xml:space="preserve"> </w:t>
      </w:r>
      <w:r>
        <w:rPr>
          <w:spacing w:val="8"/>
        </w:rPr>
        <w:t>已有的通用</w:t>
      </w:r>
      <w:r>
        <w:rPr>
          <w:rFonts w:ascii="Times New Roman" w:hAnsi="Times New Roman" w:eastAsia="Times New Roman" w:cs="Times New Roman"/>
        </w:rPr>
        <w:t>ATE</w:t>
      </w:r>
      <w:r>
        <w:rPr>
          <w:rFonts w:ascii="Times New Roman" w:hAnsi="Times New Roman" w:eastAsia="Times New Roman" w:cs="Times New Roman"/>
          <w:spacing w:val="8"/>
        </w:rPr>
        <w:t xml:space="preserve">,  </w:t>
      </w:r>
      <w:r>
        <w:rPr>
          <w:spacing w:val="8"/>
        </w:rPr>
        <w:t xml:space="preserve">也可以是新设计的测试设备。 </w:t>
      </w:r>
      <w:r>
        <w:rPr>
          <w:rFonts w:ascii="Times New Roman" w:hAnsi="Times New Roman" w:eastAsia="Times New Roman" w:cs="Times New Roman"/>
        </w:rPr>
        <w:t>UUT</w:t>
      </w:r>
      <w:r>
        <w:rPr>
          <w:rFonts w:ascii="Times New Roman" w:hAnsi="Times New Roman" w:eastAsia="Times New Roman" w:cs="Times New Roman"/>
          <w:spacing w:val="29"/>
        </w:rPr>
        <w:t xml:space="preserve">  </w:t>
      </w:r>
      <w:r>
        <w:rPr>
          <w:spacing w:val="8"/>
        </w:rPr>
        <w:t>和</w:t>
      </w:r>
      <w:r>
        <w:rPr>
          <w:spacing w:val="-43"/>
        </w:rPr>
        <w:t xml:space="preserve"> </w:t>
      </w:r>
      <w:r>
        <w:rPr>
          <w:rFonts w:ascii="Times New Roman" w:hAnsi="Times New Roman" w:eastAsia="Times New Roman" w:cs="Times New Roman"/>
        </w:rPr>
        <w:t>ATE</w:t>
      </w:r>
      <w:r>
        <w:rPr>
          <w:rFonts w:ascii="Times New Roman" w:hAnsi="Times New Roman" w:eastAsia="Times New Roman" w:cs="Times New Roman"/>
          <w:spacing w:val="8"/>
        </w:rPr>
        <w:t xml:space="preserve">  </w:t>
      </w:r>
      <w:r>
        <w:rPr>
          <w:spacing w:val="8"/>
        </w:rPr>
        <w:t>的兼容性设计</w:t>
      </w:r>
      <w:r>
        <w:t xml:space="preserve"> </w:t>
      </w:r>
      <w:r>
        <w:rPr>
          <w:spacing w:val="10"/>
        </w:rPr>
        <w:t>可参考</w:t>
      </w:r>
      <w:r>
        <w:rPr>
          <w:rFonts w:ascii="Times New Roman" w:hAnsi="Times New Roman" w:eastAsia="Times New Roman" w:cs="Times New Roman"/>
        </w:rPr>
        <w:t>GJB</w:t>
      </w:r>
      <w:r>
        <w:rPr>
          <w:rFonts w:ascii="Times New Roman" w:hAnsi="Times New Roman" w:eastAsia="Times New Roman" w:cs="Times New Roman"/>
          <w:spacing w:val="10"/>
        </w:rPr>
        <w:t xml:space="preserve">  3966</w:t>
      </w:r>
      <w:r>
        <w:rPr>
          <w:rFonts w:ascii="Times New Roman" w:hAnsi="Times New Roman" w:eastAsia="Times New Roman" w:cs="Times New Roman"/>
          <w:spacing w:val="-28"/>
        </w:rPr>
        <w:t xml:space="preserve"> </w:t>
      </w:r>
      <w:r>
        <w:rPr>
          <w:spacing w:val="10"/>
        </w:rPr>
        <w:t>被测单元与自动测试设备兼容性通</w:t>
      </w:r>
      <w:r>
        <w:rPr>
          <w:spacing w:val="9"/>
        </w:rPr>
        <w:t>用要求。详细设计内容主</w:t>
      </w:r>
      <w:r>
        <w:t xml:space="preserve"> </w:t>
      </w:r>
      <w:r>
        <w:rPr>
          <w:spacing w:val="-5"/>
        </w:rPr>
        <w:t>要包括</w:t>
      </w:r>
      <w:r>
        <w:rPr>
          <w:rFonts w:ascii="Times New Roman" w:hAnsi="Times New Roman" w:eastAsia="Times New Roman" w:cs="Times New Roman"/>
          <w:spacing w:val="-5"/>
        </w:rPr>
        <w:t xml:space="preserve">UUT  </w:t>
      </w:r>
      <w:r>
        <w:rPr>
          <w:spacing w:val="-5"/>
        </w:rPr>
        <w:t>模块化、测试点、测试信号与激励设计等，设计应满足下述要求：</w:t>
      </w:r>
    </w:p>
    <w:p w14:paraId="4B1E15FD">
      <w:pPr>
        <w:pStyle w:val="2"/>
        <w:spacing w:before="2" w:line="256" w:lineRule="auto"/>
        <w:ind w:right="19" w:firstLine="560"/>
      </w:pPr>
      <w:r>
        <w:rPr>
          <w:rFonts w:ascii="Times New Roman" w:hAnsi="Times New Roman" w:eastAsia="Times New Roman" w:cs="Times New Roman"/>
          <w:spacing w:val="7"/>
        </w:rPr>
        <w:t>a)</w:t>
      </w:r>
      <w:r>
        <w:rPr>
          <w:rFonts w:ascii="Times New Roman" w:hAnsi="Times New Roman" w:eastAsia="Times New Roman" w:cs="Times New Roman"/>
        </w:rPr>
        <w:t>UUT</w:t>
      </w:r>
      <w:r>
        <w:rPr>
          <w:rFonts w:ascii="Times New Roman" w:hAnsi="Times New Roman" w:eastAsia="Times New Roman" w:cs="Times New Roman"/>
          <w:spacing w:val="7"/>
        </w:rPr>
        <w:t xml:space="preserve">    </w:t>
      </w:r>
      <w:r>
        <w:rPr>
          <w:spacing w:val="7"/>
        </w:rPr>
        <w:t>设计应尽可提高功能模块化程度和功能</w:t>
      </w:r>
      <w:r>
        <w:rPr>
          <w:spacing w:val="6"/>
        </w:rPr>
        <w:t>独立性，便于外部测试设</w:t>
      </w:r>
      <w:r>
        <w:t xml:space="preserve"> </w:t>
      </w:r>
      <w:r>
        <w:rPr>
          <w:spacing w:val="-1"/>
        </w:rPr>
        <w:t>备能控制</w:t>
      </w:r>
      <w:r>
        <w:rPr>
          <w:spacing w:val="-51"/>
        </w:rPr>
        <w:t xml:space="preserve"> </w:t>
      </w:r>
      <w:r>
        <w:rPr>
          <w:rFonts w:ascii="Times New Roman" w:hAnsi="Times New Roman" w:eastAsia="Times New Roman" w:cs="Times New Roman"/>
          <w:spacing w:val="-1"/>
        </w:rPr>
        <w:t xml:space="preserve">UUT  </w:t>
      </w:r>
      <w:r>
        <w:rPr>
          <w:spacing w:val="-1"/>
        </w:rPr>
        <w:t>划分，对各电路或功能进行独立测</w:t>
      </w:r>
      <w:r>
        <w:rPr>
          <w:spacing w:val="-2"/>
        </w:rPr>
        <w:t>试或分段测试；</w:t>
      </w:r>
    </w:p>
    <w:p w14:paraId="049372B1">
      <w:pPr>
        <w:pStyle w:val="2"/>
        <w:spacing w:before="58" w:line="260" w:lineRule="auto"/>
        <w:ind w:right="10" w:firstLine="560"/>
      </w:pPr>
      <w:r>
        <w:rPr>
          <w:rFonts w:ascii="Times New Roman" w:hAnsi="Times New Roman" w:eastAsia="Times New Roman" w:cs="Times New Roman"/>
          <w:spacing w:val="9"/>
        </w:rPr>
        <w:t>b)</w:t>
      </w:r>
      <w:r>
        <w:rPr>
          <w:rFonts w:ascii="Times New Roman" w:hAnsi="Times New Roman" w:eastAsia="Times New Roman" w:cs="Times New Roman"/>
        </w:rPr>
        <w:t>UUT</w:t>
      </w:r>
      <w:r>
        <w:rPr>
          <w:rFonts w:ascii="Times New Roman" w:hAnsi="Times New Roman" w:eastAsia="Times New Roman" w:cs="Times New Roman"/>
          <w:spacing w:val="9"/>
        </w:rPr>
        <w:t xml:space="preserve">    </w:t>
      </w:r>
      <w:r>
        <w:rPr>
          <w:spacing w:val="9"/>
        </w:rPr>
        <w:t>对外接口设计要保证</w:t>
      </w:r>
      <w:r>
        <w:rPr>
          <w:rFonts w:ascii="Times New Roman" w:hAnsi="Times New Roman" w:eastAsia="Times New Roman" w:cs="Times New Roman"/>
        </w:rPr>
        <w:t>UUT</w:t>
      </w:r>
      <w:r>
        <w:rPr>
          <w:rFonts w:ascii="Times New Roman" w:hAnsi="Times New Roman" w:eastAsia="Times New Roman" w:cs="Times New Roman"/>
          <w:spacing w:val="31"/>
        </w:rPr>
        <w:t xml:space="preserve">  </w:t>
      </w:r>
      <w:r>
        <w:rPr>
          <w:spacing w:val="9"/>
        </w:rPr>
        <w:t>与外部测试设备能够连接简单，为测</w:t>
      </w:r>
      <w:r>
        <w:t xml:space="preserve"> </w:t>
      </w:r>
      <w:r>
        <w:rPr>
          <w:spacing w:val="-5"/>
        </w:rPr>
        <w:t>量信号、激励信号、外部测试设备同步控制信号提供有效传输通路；</w:t>
      </w:r>
    </w:p>
    <w:p w14:paraId="6C4A1E33">
      <w:pPr>
        <w:pStyle w:val="2"/>
        <w:spacing w:before="52" w:line="257" w:lineRule="auto"/>
        <w:ind w:right="29" w:firstLine="560"/>
      </w:pPr>
      <w:r>
        <w:rPr>
          <w:rFonts w:ascii="Times New Roman" w:hAnsi="Times New Roman" w:eastAsia="Times New Roman" w:cs="Times New Roman"/>
          <w:spacing w:val="-5"/>
        </w:rPr>
        <w:t>c)</w:t>
      </w:r>
      <w:r>
        <w:rPr>
          <w:rFonts w:ascii="Times New Roman" w:hAnsi="Times New Roman" w:eastAsia="Times New Roman" w:cs="Times New Roman"/>
          <w:spacing w:val="64"/>
        </w:rPr>
        <w:t xml:space="preserve"> </w:t>
      </w:r>
      <w:r>
        <w:rPr>
          <w:spacing w:val="-5"/>
        </w:rPr>
        <w:t>所需信号的测量方法、幅值、频率和准确度要求等，与外部测试设备能力</w:t>
      </w:r>
      <w:r>
        <w:t xml:space="preserve"> 范围之间是协调的；</w:t>
      </w:r>
    </w:p>
    <w:p w14:paraId="7FE6BD1F">
      <w:pPr>
        <w:pStyle w:val="2"/>
        <w:spacing w:before="66" w:line="264" w:lineRule="auto"/>
        <w:ind w:right="11" w:firstLine="560"/>
      </w:pPr>
      <w:r>
        <w:rPr>
          <w:rFonts w:ascii="Times New Roman" w:hAnsi="Times New Roman" w:eastAsia="Times New Roman" w:cs="Times New Roman"/>
          <w:spacing w:val="6"/>
        </w:rPr>
        <w:t>d)</w:t>
      </w:r>
      <w:r>
        <w:rPr>
          <w:rFonts w:ascii="Times New Roman" w:hAnsi="Times New Roman" w:eastAsia="Times New Roman" w:cs="Times New Roman"/>
        </w:rPr>
        <w:t>UUT</w:t>
      </w:r>
      <w:r>
        <w:rPr>
          <w:rFonts w:ascii="Times New Roman" w:hAnsi="Times New Roman" w:eastAsia="Times New Roman" w:cs="Times New Roman"/>
          <w:spacing w:val="6"/>
        </w:rPr>
        <w:t xml:space="preserve">    </w:t>
      </w:r>
      <w:r>
        <w:rPr>
          <w:spacing w:val="6"/>
        </w:rPr>
        <w:t>所提供的外部测试点数量，能够满足使用外部测试设备检测时的</w:t>
      </w:r>
      <w:r>
        <w:rPr>
          <w:spacing w:val="16"/>
        </w:rPr>
        <w:t xml:space="preserve"> </w:t>
      </w:r>
      <w:r>
        <w:t>故障诊断能力要求；</w:t>
      </w:r>
    </w:p>
    <w:p w14:paraId="4730C9BC">
      <w:pPr>
        <w:pStyle w:val="2"/>
        <w:spacing w:before="49" w:line="260" w:lineRule="auto"/>
        <w:ind w:right="20" w:firstLine="560"/>
      </w:pPr>
      <w:r>
        <w:rPr>
          <w:rFonts w:ascii="Times New Roman" w:hAnsi="Times New Roman" w:eastAsia="Times New Roman" w:cs="Times New Roman"/>
          <w:spacing w:val="5"/>
        </w:rPr>
        <w:t>e)</w:t>
      </w:r>
      <w:r>
        <w:rPr>
          <w:rFonts w:ascii="Times New Roman" w:hAnsi="Times New Roman" w:eastAsia="Times New Roman" w:cs="Times New Roman"/>
          <w:spacing w:val="63"/>
        </w:rPr>
        <w:t xml:space="preserve"> </w:t>
      </w:r>
      <w:r>
        <w:rPr>
          <w:spacing w:val="5"/>
        </w:rPr>
        <w:t>测试点应该是通过外部连接器可达的，功能测试点一般设</w:t>
      </w:r>
      <w:r>
        <w:rPr>
          <w:spacing w:val="4"/>
        </w:rPr>
        <w:t>在</w:t>
      </w:r>
      <w:r>
        <w:rPr>
          <w:spacing w:val="-60"/>
        </w:rPr>
        <w:t xml:space="preserve"> </w:t>
      </w:r>
      <w:r>
        <w:rPr>
          <w:rFonts w:ascii="Times New Roman" w:hAnsi="Times New Roman" w:eastAsia="Times New Roman" w:cs="Times New Roman"/>
        </w:rPr>
        <w:t>UUT</w:t>
      </w:r>
      <w:r>
        <w:rPr>
          <w:rFonts w:ascii="Times New Roman" w:hAnsi="Times New Roman" w:eastAsia="Times New Roman" w:cs="Times New Roman"/>
          <w:spacing w:val="4"/>
        </w:rPr>
        <w:t xml:space="preserve">  </w:t>
      </w:r>
      <w:r>
        <w:rPr>
          <w:spacing w:val="4"/>
        </w:rPr>
        <w:t>输入</w:t>
      </w:r>
      <w:r>
        <w:t xml:space="preserve"> 和输出信号连接器中，故障隔离与维修用测试点可以设在检</w:t>
      </w:r>
      <w:r>
        <w:rPr>
          <w:spacing w:val="-1"/>
        </w:rPr>
        <w:t>测连接器中。</w:t>
      </w:r>
    </w:p>
    <w:p w14:paraId="6EFD182D">
      <w:pPr>
        <w:spacing w:line="339" w:lineRule="auto"/>
        <w:rPr>
          <w:rFonts w:ascii="Arial"/>
          <w:sz w:val="21"/>
        </w:rPr>
      </w:pPr>
    </w:p>
    <w:p w14:paraId="58F145D6">
      <w:pPr>
        <w:pStyle w:val="2"/>
        <w:spacing w:before="117" w:line="219" w:lineRule="auto"/>
        <w:ind w:left="3070"/>
        <w:rPr>
          <w:sz w:val="36"/>
          <w:szCs w:val="36"/>
        </w:rPr>
      </w:pPr>
      <w:r>
        <w:rPr>
          <w:spacing w:val="1"/>
          <w:sz w:val="36"/>
          <w:szCs w:val="36"/>
        </w:rPr>
        <w:t>9.14</w:t>
      </w:r>
      <w:r>
        <w:rPr>
          <w:spacing w:val="23"/>
          <w:sz w:val="36"/>
          <w:szCs w:val="36"/>
        </w:rPr>
        <w:t xml:space="preserve">  </w:t>
      </w:r>
      <w:r>
        <w:rPr>
          <w:b/>
          <w:bCs/>
          <w:spacing w:val="1"/>
          <w:sz w:val="36"/>
          <w:szCs w:val="36"/>
        </w:rPr>
        <w:t>测试要求文件</w:t>
      </w:r>
    </w:p>
    <w:p w14:paraId="21E4FDE3">
      <w:pPr>
        <w:spacing w:line="331" w:lineRule="auto"/>
        <w:rPr>
          <w:rFonts w:ascii="Arial"/>
          <w:sz w:val="21"/>
        </w:rPr>
      </w:pPr>
    </w:p>
    <w:p w14:paraId="5667C61E">
      <w:pPr>
        <w:spacing w:before="88"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32"/>
          <w:sz w:val="27"/>
          <w:szCs w:val="27"/>
        </w:rPr>
        <w:t xml:space="preserve">  </w:t>
      </w:r>
      <w:r>
        <w:rPr>
          <w:rFonts w:ascii="黑体" w:hAnsi="黑体" w:eastAsia="黑体" w:cs="黑体"/>
          <w:b/>
          <w:bCs/>
          <w:spacing w:val="-8"/>
          <w:sz w:val="27"/>
          <w:szCs w:val="27"/>
        </w:rPr>
        <w:t>范围</w:t>
      </w:r>
    </w:p>
    <w:p w14:paraId="47F4FDD1">
      <w:pPr>
        <w:pStyle w:val="2"/>
        <w:spacing w:before="98" w:line="219" w:lineRule="auto"/>
        <w:ind w:left="560"/>
      </w:pPr>
      <w:r>
        <w:rPr>
          <w:spacing w:val="3"/>
        </w:rPr>
        <w:t>明确</w:t>
      </w:r>
      <w:r>
        <w:rPr>
          <w:spacing w:val="-30"/>
        </w:rPr>
        <w:t xml:space="preserve"> </w:t>
      </w:r>
      <w:r>
        <w:rPr>
          <w:rFonts w:ascii="Times New Roman" w:hAnsi="Times New Roman" w:eastAsia="Times New Roman" w:cs="Times New Roman"/>
        </w:rPr>
        <w:t>TRD</w:t>
      </w:r>
      <w:r>
        <w:rPr>
          <w:rFonts w:ascii="Times New Roman" w:hAnsi="Times New Roman" w:eastAsia="Times New Roman" w:cs="Times New Roman"/>
          <w:spacing w:val="41"/>
          <w:w w:val="101"/>
        </w:rPr>
        <w:t xml:space="preserve"> </w:t>
      </w:r>
      <w:r>
        <w:rPr>
          <w:spacing w:val="3"/>
        </w:rPr>
        <w:t>规定的主要技术内容的使用范围(所适用的对象)和应用领域。</w:t>
      </w:r>
    </w:p>
    <w:p w14:paraId="756CABE6">
      <w:pPr>
        <w:spacing w:before="73"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10631417">
      <w:pPr>
        <w:pStyle w:val="2"/>
        <w:spacing w:before="100" w:line="276" w:lineRule="auto"/>
        <w:ind w:right="42" w:firstLine="560"/>
      </w:pPr>
      <w:r>
        <w:rPr>
          <w:spacing w:val="-3"/>
        </w:rPr>
        <w:t>引用文件中所列文件均空两个字起排，回行时顶</w:t>
      </w:r>
      <w:r>
        <w:rPr>
          <w:spacing w:val="-4"/>
        </w:rPr>
        <w:t>格排，每个文件之后不加标</w:t>
      </w:r>
      <w:r>
        <w:t xml:space="preserve"> </w:t>
      </w:r>
      <w:r>
        <w:rPr>
          <w:spacing w:val="3"/>
        </w:rPr>
        <w:t>点符号。所列标准的编号与名称之间空一个字的间隙。</w:t>
      </w:r>
    </w:p>
    <w:p w14:paraId="0245DF24">
      <w:pPr>
        <w:pStyle w:val="2"/>
        <w:spacing w:before="15" w:line="281" w:lineRule="auto"/>
        <w:ind w:right="30" w:firstLine="560"/>
        <w:jc w:val="both"/>
      </w:pPr>
      <w:r>
        <w:rPr>
          <w:spacing w:val="-3"/>
        </w:rPr>
        <w:t>引用文件的排列顺序为：国家标准，国家军用标</w:t>
      </w:r>
      <w:r>
        <w:rPr>
          <w:spacing w:val="-4"/>
        </w:rPr>
        <w:t>准，行业标准，部门军用标</w:t>
      </w:r>
      <w:r>
        <w:t xml:space="preserve"> </w:t>
      </w:r>
      <w:r>
        <w:rPr>
          <w:spacing w:val="-9"/>
        </w:rPr>
        <w:t>准，</w:t>
      </w:r>
      <w:r>
        <w:rPr>
          <w:rFonts w:ascii="Times New Roman" w:hAnsi="Times New Roman" w:eastAsia="Times New Roman" w:cs="Times New Roman"/>
          <w:spacing w:val="-9"/>
        </w:rPr>
        <w:t>ISO</w:t>
      </w:r>
      <w:r>
        <w:rPr>
          <w:rFonts w:ascii="Times New Roman" w:hAnsi="Times New Roman" w:eastAsia="Times New Roman" w:cs="Times New Roman"/>
          <w:spacing w:val="34"/>
        </w:rPr>
        <w:t xml:space="preserve"> </w:t>
      </w:r>
      <w:r>
        <w:rPr>
          <w:spacing w:val="-9"/>
        </w:rPr>
        <w:t>标准，</w:t>
      </w:r>
      <w:r>
        <w:rPr>
          <w:rFonts w:ascii="Times New Roman" w:hAnsi="Times New Roman" w:eastAsia="Times New Roman" w:cs="Times New Roman"/>
          <w:spacing w:val="-9"/>
        </w:rPr>
        <w:t>IEC</w:t>
      </w:r>
      <w:r>
        <w:rPr>
          <w:rFonts w:ascii="Times New Roman" w:hAnsi="Times New Roman" w:eastAsia="Times New Roman" w:cs="Times New Roman"/>
          <w:spacing w:val="45"/>
        </w:rPr>
        <w:t xml:space="preserve"> </w:t>
      </w:r>
      <w:r>
        <w:rPr>
          <w:spacing w:val="-9"/>
        </w:rPr>
        <w:t>标准，其他国际标准。国家标准、国</w:t>
      </w:r>
      <w:r>
        <w:rPr>
          <w:spacing w:val="-10"/>
        </w:rPr>
        <w:t>家军用标准、</w:t>
      </w:r>
      <w:r>
        <w:rPr>
          <w:rFonts w:ascii="Times New Roman" w:hAnsi="Times New Roman" w:eastAsia="Times New Roman" w:cs="Times New Roman"/>
          <w:spacing w:val="-10"/>
        </w:rPr>
        <w:t xml:space="preserve">ISO  </w:t>
      </w:r>
      <w:r>
        <w:rPr>
          <w:spacing w:val="-10"/>
        </w:rPr>
        <w:t>标准和</w:t>
      </w:r>
      <w:r>
        <w:t xml:space="preserve"> </w:t>
      </w:r>
      <w:r>
        <w:rPr>
          <w:rFonts w:ascii="Times New Roman" w:hAnsi="Times New Roman" w:eastAsia="Times New Roman" w:cs="Times New Roman"/>
          <w:spacing w:val="-1"/>
        </w:rPr>
        <w:t xml:space="preserve">IEC </w:t>
      </w:r>
      <w:r>
        <w:rPr>
          <w:spacing w:val="-1"/>
        </w:rPr>
        <w:t>标准按标准顺序号排列；行业标准、部门</w:t>
      </w:r>
      <w:r>
        <w:rPr>
          <w:spacing w:val="-2"/>
        </w:rPr>
        <w:t>军用标准、其他国际标准分别按标</w:t>
      </w:r>
    </w:p>
    <w:p w14:paraId="2D55D22F">
      <w:pPr>
        <w:spacing w:line="281" w:lineRule="auto"/>
        <w:sectPr>
          <w:footerReference r:id="rId465" w:type="default"/>
          <w:pgSz w:w="11910" w:h="17130"/>
          <w:pgMar w:top="1456" w:right="1467" w:bottom="1596" w:left="1039" w:header="0" w:footer="1407" w:gutter="0"/>
          <w:cols w:space="720" w:num="1"/>
        </w:sectPr>
      </w:pPr>
    </w:p>
    <w:p w14:paraId="498BEBB6">
      <w:pPr>
        <w:pStyle w:val="2"/>
        <w:spacing w:before="54" w:line="219" w:lineRule="auto"/>
      </w:pPr>
      <w:r>
        <w:rPr>
          <w:spacing w:val="-3"/>
        </w:rPr>
        <w:t>准代号的拉丁字母顺序排列，再按标准顺序号排列。</w:t>
      </w:r>
    </w:p>
    <w:p w14:paraId="0809635E">
      <w:pPr>
        <w:spacing w:before="112" w:line="221" w:lineRule="auto"/>
        <w:rPr>
          <w:rFonts w:ascii="黑体" w:hAnsi="黑体" w:eastAsia="黑体" w:cs="黑体"/>
          <w:sz w:val="24"/>
          <w:szCs w:val="24"/>
        </w:rPr>
      </w:pPr>
      <w:r>
        <w:rPr>
          <w:rFonts w:ascii="黑体" w:hAnsi="黑体" w:eastAsia="黑体" w:cs="黑体"/>
          <w:spacing w:val="13"/>
          <w:sz w:val="24"/>
          <w:szCs w:val="24"/>
        </w:rPr>
        <w:t>3</w:t>
      </w:r>
      <w:r>
        <w:rPr>
          <w:rFonts w:ascii="黑体" w:hAnsi="黑体" w:eastAsia="黑体" w:cs="黑体"/>
          <w:spacing w:val="36"/>
          <w:sz w:val="24"/>
          <w:szCs w:val="24"/>
        </w:rPr>
        <w:t xml:space="preserve">  </w:t>
      </w:r>
      <w:r>
        <w:rPr>
          <w:rFonts w:ascii="黑体" w:hAnsi="黑体" w:eastAsia="黑体" w:cs="黑体"/>
          <w:b/>
          <w:bCs/>
          <w:spacing w:val="13"/>
          <w:sz w:val="24"/>
          <w:szCs w:val="24"/>
        </w:rPr>
        <w:t>术语、定义和缩略语</w:t>
      </w:r>
    </w:p>
    <w:p w14:paraId="19657EBA">
      <w:pPr>
        <w:pStyle w:val="2"/>
        <w:spacing w:before="99" w:line="219" w:lineRule="auto"/>
        <w:ind w:left="539"/>
      </w:pPr>
      <w:r>
        <w:rPr>
          <w:spacing w:val="5"/>
        </w:rPr>
        <w:t>术语和定义给出为理解</w:t>
      </w:r>
      <w:r>
        <w:rPr>
          <w:spacing w:val="-60"/>
        </w:rPr>
        <w:t xml:space="preserve"> </w:t>
      </w:r>
      <w:r>
        <w:rPr>
          <w:rFonts w:ascii="Times New Roman" w:hAnsi="Times New Roman" w:eastAsia="Times New Roman" w:cs="Times New Roman"/>
        </w:rPr>
        <w:t>TRD</w:t>
      </w:r>
      <w:r>
        <w:rPr>
          <w:rFonts w:ascii="Times New Roman" w:hAnsi="Times New Roman" w:eastAsia="Times New Roman" w:cs="Times New Roman"/>
          <w:spacing w:val="21"/>
        </w:rPr>
        <w:t xml:space="preserve"> </w:t>
      </w:r>
      <w:r>
        <w:rPr>
          <w:spacing w:val="5"/>
        </w:rPr>
        <w:t>中某些术语所必需的定义。</w:t>
      </w:r>
    </w:p>
    <w:p w14:paraId="625D9F67">
      <w:pPr>
        <w:pStyle w:val="2"/>
        <w:spacing w:before="68" w:line="287" w:lineRule="auto"/>
        <w:ind w:right="10" w:firstLine="539"/>
      </w:pPr>
      <w:r>
        <w:rPr>
          <w:spacing w:val="-3"/>
        </w:rPr>
        <w:t>术语和定义的编写格式为：条目编号顶格排，术语空</w:t>
      </w:r>
      <w:r>
        <w:rPr>
          <w:spacing w:val="-4"/>
        </w:rPr>
        <w:t>一个字排，后空一个字</w:t>
      </w:r>
      <w:r>
        <w:t xml:space="preserve"> </w:t>
      </w:r>
      <w:r>
        <w:rPr>
          <w:spacing w:val="-4"/>
        </w:rPr>
        <w:t>接排英文对应词；术语的定义或说明另起一行空两个字起排，回行时顶格排。</w:t>
      </w:r>
    </w:p>
    <w:p w14:paraId="10F1CDB3">
      <w:pPr>
        <w:pStyle w:val="2"/>
        <w:spacing w:before="1" w:line="218" w:lineRule="auto"/>
        <w:ind w:left="539"/>
      </w:pPr>
      <w:r>
        <w:rPr>
          <w:spacing w:val="2"/>
        </w:rPr>
        <w:t>缩略语是可选要素，给出为理解</w:t>
      </w:r>
      <w:r>
        <w:rPr>
          <w:spacing w:val="-23"/>
        </w:rPr>
        <w:t xml:space="preserve"> </w:t>
      </w:r>
      <w:r>
        <w:rPr>
          <w:rFonts w:ascii="Times New Roman" w:hAnsi="Times New Roman" w:eastAsia="Times New Roman" w:cs="Times New Roman"/>
        </w:rPr>
        <w:t>TRD</w:t>
      </w:r>
      <w:r>
        <w:rPr>
          <w:spacing w:val="2"/>
        </w:rPr>
        <w:t>中的缩略语所必需的全称。</w:t>
      </w:r>
    </w:p>
    <w:p w14:paraId="4D4E00CE">
      <w:pPr>
        <w:pStyle w:val="2"/>
        <w:spacing w:before="52" w:line="286" w:lineRule="auto"/>
        <w:ind w:right="8" w:firstLine="539"/>
      </w:pPr>
      <w:r>
        <w:rPr>
          <w:spacing w:val="-3"/>
        </w:rPr>
        <w:t>缩略语按照字母顺序合理编排，不编号。每条空两个字起</w:t>
      </w:r>
      <w:r>
        <w:rPr>
          <w:spacing w:val="-4"/>
        </w:rPr>
        <w:t>排，缩略语后跟一</w:t>
      </w:r>
      <w:r>
        <w:t xml:space="preserve"> </w:t>
      </w:r>
      <w:r>
        <w:rPr>
          <w:spacing w:val="-7"/>
        </w:rPr>
        <w:t>个破折号“——”,紧接着标明缩略语的全称，必要时给出适当的说明。回行时顶</w:t>
      </w:r>
      <w:r>
        <w:rPr>
          <w:spacing w:val="9"/>
        </w:rPr>
        <w:t xml:space="preserve"> </w:t>
      </w:r>
      <w:r>
        <w:rPr>
          <w:spacing w:val="-4"/>
        </w:rPr>
        <w:t>格排。</w:t>
      </w:r>
    </w:p>
    <w:p w14:paraId="4EF46747">
      <w:pPr>
        <w:spacing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8"/>
          <w:sz w:val="27"/>
          <w:szCs w:val="27"/>
        </w:rPr>
        <w:t xml:space="preserve">  </w:t>
      </w:r>
      <w:r>
        <w:rPr>
          <w:rFonts w:ascii="黑体" w:hAnsi="黑体" w:eastAsia="黑体" w:cs="黑体"/>
          <w:b/>
          <w:bCs/>
          <w:spacing w:val="1"/>
          <w:sz w:val="27"/>
          <w:szCs w:val="27"/>
        </w:rPr>
        <w:t>技术状态资料</w:t>
      </w:r>
    </w:p>
    <w:p w14:paraId="3EA343EC">
      <w:pPr>
        <w:pStyle w:val="2"/>
        <w:spacing w:before="82" w:line="300" w:lineRule="auto"/>
        <w:ind w:firstLine="539"/>
        <w:rPr>
          <w:sz w:val="24"/>
          <w:szCs w:val="24"/>
        </w:rPr>
      </w:pPr>
      <w:r>
        <w:rPr>
          <w:spacing w:val="8"/>
        </w:rPr>
        <w:t>技术状态资料应包括</w:t>
      </w:r>
      <w:r>
        <w:rPr>
          <w:rFonts w:ascii="Times New Roman" w:hAnsi="Times New Roman" w:eastAsia="Times New Roman" w:cs="Times New Roman"/>
        </w:rPr>
        <w:t>UUT</w:t>
      </w:r>
      <w:r>
        <w:rPr>
          <w:rFonts w:ascii="Times New Roman" w:hAnsi="Times New Roman" w:eastAsia="Times New Roman" w:cs="Times New Roman"/>
          <w:spacing w:val="30"/>
        </w:rPr>
        <w:t xml:space="preserve">  </w:t>
      </w:r>
      <w:r>
        <w:rPr>
          <w:spacing w:val="8"/>
        </w:rPr>
        <w:t>相关工程资料的信息，其格式和内容应符合图</w:t>
      </w:r>
      <w:r>
        <w:t xml:space="preserve"> </w:t>
      </w:r>
      <w:r>
        <w:rPr>
          <w:spacing w:val="13"/>
          <w:sz w:val="24"/>
          <w:szCs w:val="24"/>
        </w:rPr>
        <w:t>9</w:t>
      </w:r>
      <w:r>
        <w:rPr>
          <w:spacing w:val="-57"/>
          <w:sz w:val="24"/>
          <w:szCs w:val="24"/>
        </w:rPr>
        <w:t xml:space="preserve"> </w:t>
      </w:r>
      <w:r>
        <w:rPr>
          <w:spacing w:val="13"/>
          <w:sz w:val="24"/>
          <w:szCs w:val="24"/>
        </w:rPr>
        <w:t>.</w:t>
      </w:r>
      <w:r>
        <w:rPr>
          <w:spacing w:val="-66"/>
          <w:sz w:val="24"/>
          <w:szCs w:val="24"/>
        </w:rPr>
        <w:t xml:space="preserve"> </w:t>
      </w:r>
      <w:r>
        <w:rPr>
          <w:spacing w:val="13"/>
          <w:sz w:val="24"/>
          <w:szCs w:val="24"/>
        </w:rPr>
        <w:t>2的要求。</w:t>
      </w:r>
    </w:p>
    <w:p w14:paraId="28DCEF14">
      <w:pPr>
        <w:pStyle w:val="2"/>
        <w:spacing w:before="1" w:line="220" w:lineRule="auto"/>
        <w:ind w:left="499"/>
        <w:rPr>
          <w:sz w:val="22"/>
          <w:szCs w:val="22"/>
        </w:rPr>
      </w:pPr>
      <w:r>
        <w:rPr>
          <w:spacing w:val="-10"/>
          <w:sz w:val="22"/>
          <w:szCs w:val="22"/>
        </w:rPr>
        <w:t>页</w:t>
      </w:r>
      <w:r>
        <w:rPr>
          <w:spacing w:val="16"/>
          <w:sz w:val="22"/>
          <w:szCs w:val="22"/>
        </w:rPr>
        <w:t xml:space="preserve">    </w:t>
      </w:r>
      <w:r>
        <w:rPr>
          <w:spacing w:val="-10"/>
          <w:sz w:val="22"/>
          <w:szCs w:val="22"/>
        </w:rPr>
        <w:t>号</w:t>
      </w:r>
      <w:r>
        <w:rPr>
          <w:spacing w:val="-55"/>
          <w:sz w:val="22"/>
          <w:szCs w:val="22"/>
        </w:rPr>
        <w:t xml:space="preserve"> </w:t>
      </w:r>
      <w:r>
        <w:rPr>
          <w:spacing w:val="-10"/>
          <w:sz w:val="22"/>
          <w:szCs w:val="22"/>
        </w:rPr>
        <w:t>：</w:t>
      </w:r>
    </w:p>
    <w:p w14:paraId="6C1777B4">
      <w:pPr>
        <w:pStyle w:val="2"/>
        <w:spacing w:before="126" w:line="219" w:lineRule="auto"/>
        <w:ind w:left="499"/>
        <w:rPr>
          <w:sz w:val="22"/>
          <w:szCs w:val="22"/>
        </w:rPr>
      </w:pPr>
      <w:r>
        <w:rPr>
          <w:rFonts w:ascii="Times New Roman" w:hAnsi="Times New Roman" w:eastAsia="Times New Roman" w:cs="Times New Roman"/>
          <w:sz w:val="22"/>
          <w:szCs w:val="22"/>
        </w:rPr>
        <w:t>TRD</w:t>
      </w:r>
      <w:r>
        <w:rPr>
          <w:rFonts w:ascii="Times New Roman" w:hAnsi="Times New Roman" w:eastAsia="Times New Roman" w:cs="Times New Roman"/>
          <w:spacing w:val="6"/>
          <w:sz w:val="22"/>
          <w:szCs w:val="22"/>
        </w:rPr>
        <w:t xml:space="preserve">  </w:t>
      </w:r>
      <w:r>
        <w:rPr>
          <w:spacing w:val="6"/>
          <w:sz w:val="22"/>
          <w:szCs w:val="22"/>
        </w:rPr>
        <w:t>编号：</w:t>
      </w:r>
    </w:p>
    <w:p w14:paraId="4B6FEEF7">
      <w:pPr>
        <w:pStyle w:val="2"/>
        <w:spacing w:before="87" w:line="219" w:lineRule="auto"/>
        <w:ind w:left="499"/>
        <w:rPr>
          <w:sz w:val="23"/>
          <w:szCs w:val="23"/>
        </w:rPr>
      </w:pPr>
      <w:r>
        <w:rPr>
          <w:spacing w:val="-8"/>
          <w:sz w:val="23"/>
          <w:szCs w:val="23"/>
        </w:rPr>
        <w:t>版</w:t>
      </w:r>
      <w:r>
        <w:rPr>
          <w:spacing w:val="7"/>
          <w:sz w:val="23"/>
          <w:szCs w:val="23"/>
        </w:rPr>
        <w:t xml:space="preserve">    </w:t>
      </w:r>
      <w:r>
        <w:rPr>
          <w:spacing w:val="-8"/>
          <w:sz w:val="23"/>
          <w:szCs w:val="23"/>
        </w:rPr>
        <w:t>本：</w:t>
      </w:r>
    </w:p>
    <w:p w14:paraId="2305FB72">
      <w:pPr>
        <w:pStyle w:val="2"/>
        <w:spacing w:before="109" w:line="220" w:lineRule="auto"/>
        <w:ind w:left="539"/>
        <w:rPr>
          <w:sz w:val="22"/>
          <w:szCs w:val="22"/>
        </w:rPr>
      </w:pPr>
      <w:r>
        <w:rPr>
          <w:spacing w:val="-20"/>
          <w:sz w:val="22"/>
          <w:szCs w:val="22"/>
        </w:rPr>
        <w:t>日</w:t>
      </w:r>
      <w:r>
        <w:rPr>
          <w:spacing w:val="11"/>
          <w:sz w:val="22"/>
          <w:szCs w:val="22"/>
        </w:rPr>
        <w:t xml:space="preserve">    </w:t>
      </w:r>
      <w:r>
        <w:rPr>
          <w:spacing w:val="-20"/>
          <w:sz w:val="22"/>
          <w:szCs w:val="22"/>
        </w:rPr>
        <w:t>期</w:t>
      </w:r>
      <w:r>
        <w:rPr>
          <w:spacing w:val="-45"/>
          <w:sz w:val="22"/>
          <w:szCs w:val="22"/>
        </w:rPr>
        <w:t xml:space="preserve"> </w:t>
      </w:r>
      <w:r>
        <w:rPr>
          <w:spacing w:val="-20"/>
          <w:sz w:val="22"/>
          <w:szCs w:val="22"/>
        </w:rPr>
        <w:t>：</w:t>
      </w:r>
    </w:p>
    <w:p w14:paraId="1E1FE389">
      <w:pPr>
        <w:pStyle w:val="2"/>
        <w:spacing w:before="108" w:line="219" w:lineRule="auto"/>
        <w:ind w:left="539"/>
        <w:rPr>
          <w:sz w:val="22"/>
          <w:szCs w:val="22"/>
        </w:rPr>
      </w:pPr>
      <w:r>
        <w:rPr>
          <w:rFonts w:ascii="Times New Roman" w:hAnsi="Times New Roman" w:eastAsia="Times New Roman" w:cs="Times New Roman"/>
          <w:sz w:val="22"/>
          <w:szCs w:val="22"/>
        </w:rPr>
        <w:t>UUT</w:t>
      </w:r>
      <w:r>
        <w:rPr>
          <w:rFonts w:ascii="Times New Roman" w:hAnsi="Times New Roman" w:eastAsia="Times New Roman" w:cs="Times New Roman"/>
          <w:spacing w:val="54"/>
          <w:w w:val="101"/>
          <w:sz w:val="22"/>
          <w:szCs w:val="22"/>
        </w:rPr>
        <w:t xml:space="preserve"> </w:t>
      </w:r>
      <w:r>
        <w:rPr>
          <w:spacing w:val="9"/>
          <w:sz w:val="22"/>
          <w:szCs w:val="22"/>
        </w:rPr>
        <w:t>编号：</w:t>
      </w:r>
    </w:p>
    <w:p w14:paraId="49548167">
      <w:pPr>
        <w:spacing w:before="125" w:line="220" w:lineRule="auto"/>
        <w:ind w:left="3130"/>
        <w:rPr>
          <w:rFonts w:ascii="仿宋" w:hAnsi="仿宋" w:eastAsia="仿宋" w:cs="仿宋"/>
          <w:sz w:val="24"/>
          <w:szCs w:val="24"/>
        </w:rPr>
      </w:pPr>
      <w:r>
        <w:rPr>
          <w:rFonts w:ascii="仿宋" w:hAnsi="仿宋" w:eastAsia="仿宋" w:cs="仿宋"/>
          <w:spacing w:val="23"/>
          <w:sz w:val="24"/>
          <w:szCs w:val="24"/>
        </w:rPr>
        <w:t>用于编制</w:t>
      </w:r>
      <w:r>
        <w:rPr>
          <w:rFonts w:ascii="仿宋" w:hAnsi="仿宋" w:eastAsia="仿宋" w:cs="仿宋"/>
          <w:spacing w:val="-41"/>
          <w:sz w:val="24"/>
          <w:szCs w:val="24"/>
        </w:rPr>
        <w:t xml:space="preserve"> </w:t>
      </w:r>
      <w:r>
        <w:rPr>
          <w:rFonts w:ascii="Times New Roman" w:hAnsi="Times New Roman" w:eastAsia="Times New Roman" w:cs="Times New Roman"/>
          <w:sz w:val="24"/>
          <w:szCs w:val="24"/>
        </w:rPr>
        <w:t>TRD</w:t>
      </w:r>
      <w:r>
        <w:rPr>
          <w:rFonts w:ascii="Times New Roman" w:hAnsi="Times New Roman" w:eastAsia="Times New Roman" w:cs="Times New Roman"/>
          <w:spacing w:val="23"/>
          <w:sz w:val="24"/>
          <w:szCs w:val="24"/>
        </w:rPr>
        <w:t xml:space="preserve">   </w:t>
      </w:r>
      <w:r>
        <w:rPr>
          <w:rFonts w:ascii="仿宋" w:hAnsi="仿宋" w:eastAsia="仿宋" w:cs="仿宋"/>
          <w:spacing w:val="23"/>
          <w:sz w:val="24"/>
          <w:szCs w:val="24"/>
        </w:rPr>
        <w:t>的资料清单</w:t>
      </w:r>
    </w:p>
    <w:p w14:paraId="7B924FCA">
      <w:pPr>
        <w:spacing w:line="114" w:lineRule="exact"/>
      </w:pPr>
    </w:p>
    <w:tbl>
      <w:tblPr>
        <w:tblStyle w:val="5"/>
        <w:tblW w:w="8150" w:type="dxa"/>
        <w:tblInd w:w="6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31"/>
        <w:gridCol w:w="1678"/>
        <w:gridCol w:w="1888"/>
        <w:gridCol w:w="1453"/>
      </w:tblGrid>
      <w:tr w14:paraId="58700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3131" w:type="dxa"/>
            <w:vAlign w:val="top"/>
          </w:tcPr>
          <w:p w14:paraId="040D3933">
            <w:pPr>
              <w:spacing w:before="74" w:line="220" w:lineRule="auto"/>
              <w:ind w:left="1135"/>
              <w:rPr>
                <w:rFonts w:ascii="宋体" w:hAnsi="宋体" w:eastAsia="宋体" w:cs="宋体"/>
                <w:sz w:val="21"/>
                <w:szCs w:val="21"/>
              </w:rPr>
            </w:pPr>
            <w:r>
              <w:rPr>
                <w:rFonts w:ascii="宋体" w:hAnsi="宋体" w:eastAsia="宋体" w:cs="宋体"/>
                <w:spacing w:val="-3"/>
                <w:sz w:val="21"/>
                <w:szCs w:val="21"/>
              </w:rPr>
              <w:t>工程资料</w:t>
            </w:r>
          </w:p>
        </w:tc>
        <w:tc>
          <w:tcPr>
            <w:tcW w:w="1678" w:type="dxa"/>
            <w:vAlign w:val="top"/>
          </w:tcPr>
          <w:p w14:paraId="21724C41">
            <w:pPr>
              <w:spacing w:before="73" w:line="219" w:lineRule="auto"/>
              <w:ind w:left="523"/>
              <w:rPr>
                <w:rFonts w:ascii="宋体" w:hAnsi="宋体" w:eastAsia="宋体" w:cs="宋体"/>
                <w:sz w:val="21"/>
                <w:szCs w:val="21"/>
              </w:rPr>
            </w:pPr>
            <w:r>
              <w:rPr>
                <w:rFonts w:ascii="宋体" w:hAnsi="宋体" w:eastAsia="宋体" w:cs="宋体"/>
                <w:spacing w:val="-5"/>
                <w:sz w:val="21"/>
                <w:szCs w:val="21"/>
              </w:rPr>
              <w:t>编</w:t>
            </w:r>
            <w:r>
              <w:rPr>
                <w:rFonts w:ascii="宋体" w:hAnsi="宋体" w:eastAsia="宋体" w:cs="宋体"/>
                <w:spacing w:val="4"/>
                <w:sz w:val="21"/>
                <w:szCs w:val="21"/>
              </w:rPr>
              <w:t xml:space="preserve"> </w:t>
            </w:r>
            <w:r>
              <w:rPr>
                <w:rFonts w:ascii="宋体" w:hAnsi="宋体" w:eastAsia="宋体" w:cs="宋体"/>
                <w:spacing w:val="-5"/>
                <w:sz w:val="21"/>
                <w:szCs w:val="21"/>
              </w:rPr>
              <w:t>号</w:t>
            </w:r>
          </w:p>
        </w:tc>
        <w:tc>
          <w:tcPr>
            <w:tcW w:w="1888" w:type="dxa"/>
            <w:vAlign w:val="top"/>
          </w:tcPr>
          <w:p w14:paraId="16E20A85">
            <w:pPr>
              <w:spacing w:before="72" w:line="219" w:lineRule="auto"/>
              <w:ind w:left="465"/>
              <w:rPr>
                <w:rFonts w:ascii="宋体" w:hAnsi="宋体" w:eastAsia="宋体" w:cs="宋体"/>
                <w:sz w:val="21"/>
                <w:szCs w:val="21"/>
              </w:rPr>
            </w:pPr>
            <w:r>
              <w:rPr>
                <w:rFonts w:ascii="宋体" w:hAnsi="宋体" w:eastAsia="宋体" w:cs="宋体"/>
                <w:spacing w:val="-2"/>
                <w:sz w:val="21"/>
                <w:szCs w:val="21"/>
              </w:rPr>
              <w:t>版本/日期</w:t>
            </w:r>
          </w:p>
        </w:tc>
        <w:tc>
          <w:tcPr>
            <w:tcW w:w="1453" w:type="dxa"/>
            <w:vAlign w:val="top"/>
          </w:tcPr>
          <w:p w14:paraId="6B5D8888">
            <w:pPr>
              <w:spacing w:before="73" w:line="219" w:lineRule="auto"/>
              <w:ind w:left="407"/>
              <w:rPr>
                <w:rFonts w:ascii="宋体" w:hAnsi="宋体" w:eastAsia="宋体" w:cs="宋体"/>
                <w:sz w:val="21"/>
                <w:szCs w:val="21"/>
              </w:rPr>
            </w:pPr>
            <w:r>
              <w:rPr>
                <w:rFonts w:ascii="宋体" w:hAnsi="宋体" w:eastAsia="宋体" w:cs="宋体"/>
                <w:spacing w:val="-6"/>
                <w:sz w:val="21"/>
                <w:szCs w:val="21"/>
              </w:rPr>
              <w:t>说</w:t>
            </w:r>
            <w:r>
              <w:rPr>
                <w:rFonts w:ascii="宋体" w:hAnsi="宋体" w:eastAsia="宋体" w:cs="宋体"/>
                <w:spacing w:val="6"/>
                <w:sz w:val="21"/>
                <w:szCs w:val="21"/>
              </w:rPr>
              <w:t xml:space="preserve"> </w:t>
            </w:r>
            <w:r>
              <w:rPr>
                <w:rFonts w:ascii="宋体" w:hAnsi="宋体" w:eastAsia="宋体" w:cs="宋体"/>
                <w:spacing w:val="-6"/>
                <w:sz w:val="21"/>
                <w:szCs w:val="21"/>
              </w:rPr>
              <w:t>明</w:t>
            </w:r>
          </w:p>
        </w:tc>
      </w:tr>
      <w:tr w14:paraId="63217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131" w:type="dxa"/>
            <w:vAlign w:val="top"/>
          </w:tcPr>
          <w:p w14:paraId="7EB473B2">
            <w:pPr>
              <w:spacing w:before="80" w:line="221" w:lineRule="auto"/>
              <w:ind w:left="84"/>
              <w:rPr>
                <w:rFonts w:ascii="宋体" w:hAnsi="宋体" w:eastAsia="宋体" w:cs="宋体"/>
                <w:sz w:val="21"/>
                <w:szCs w:val="21"/>
              </w:rPr>
            </w:pPr>
            <w:r>
              <w:rPr>
                <w:rFonts w:ascii="宋体" w:hAnsi="宋体" w:eastAsia="宋体" w:cs="宋体"/>
                <w:spacing w:val="6"/>
                <w:sz w:val="21"/>
                <w:szCs w:val="21"/>
              </w:rPr>
              <w:t>原理图</w:t>
            </w:r>
          </w:p>
        </w:tc>
        <w:tc>
          <w:tcPr>
            <w:tcW w:w="1678" w:type="dxa"/>
            <w:vAlign w:val="top"/>
          </w:tcPr>
          <w:p w14:paraId="18E16A8A">
            <w:pPr>
              <w:pStyle w:val="6"/>
            </w:pPr>
          </w:p>
        </w:tc>
        <w:tc>
          <w:tcPr>
            <w:tcW w:w="1888" w:type="dxa"/>
            <w:vAlign w:val="top"/>
          </w:tcPr>
          <w:p w14:paraId="7FB370D2">
            <w:pPr>
              <w:pStyle w:val="6"/>
            </w:pPr>
          </w:p>
        </w:tc>
        <w:tc>
          <w:tcPr>
            <w:tcW w:w="1453" w:type="dxa"/>
            <w:vAlign w:val="top"/>
          </w:tcPr>
          <w:p w14:paraId="5A813681">
            <w:pPr>
              <w:pStyle w:val="6"/>
            </w:pPr>
          </w:p>
        </w:tc>
      </w:tr>
      <w:tr w14:paraId="7DE66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3131" w:type="dxa"/>
            <w:vAlign w:val="top"/>
          </w:tcPr>
          <w:p w14:paraId="6F807EEE">
            <w:pPr>
              <w:spacing w:before="70" w:line="220" w:lineRule="auto"/>
              <w:ind w:left="84"/>
              <w:rPr>
                <w:rFonts w:ascii="宋体" w:hAnsi="宋体" w:eastAsia="宋体" w:cs="宋体"/>
                <w:sz w:val="21"/>
                <w:szCs w:val="21"/>
              </w:rPr>
            </w:pPr>
            <w:r>
              <w:rPr>
                <w:rFonts w:ascii="宋体" w:hAnsi="宋体" w:eastAsia="宋体" w:cs="宋体"/>
                <w:spacing w:val="6"/>
                <w:sz w:val="21"/>
                <w:szCs w:val="21"/>
              </w:rPr>
              <w:t>装配图</w:t>
            </w:r>
          </w:p>
        </w:tc>
        <w:tc>
          <w:tcPr>
            <w:tcW w:w="1678" w:type="dxa"/>
            <w:vAlign w:val="top"/>
          </w:tcPr>
          <w:p w14:paraId="19C2C730">
            <w:pPr>
              <w:pStyle w:val="6"/>
            </w:pPr>
          </w:p>
        </w:tc>
        <w:tc>
          <w:tcPr>
            <w:tcW w:w="1888" w:type="dxa"/>
            <w:vAlign w:val="top"/>
          </w:tcPr>
          <w:p w14:paraId="38935299">
            <w:pPr>
              <w:pStyle w:val="6"/>
            </w:pPr>
          </w:p>
        </w:tc>
        <w:tc>
          <w:tcPr>
            <w:tcW w:w="1453" w:type="dxa"/>
            <w:vAlign w:val="top"/>
          </w:tcPr>
          <w:p w14:paraId="42E17145">
            <w:pPr>
              <w:pStyle w:val="6"/>
            </w:pPr>
          </w:p>
        </w:tc>
      </w:tr>
      <w:tr w14:paraId="69F1C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3131" w:type="dxa"/>
            <w:vAlign w:val="top"/>
          </w:tcPr>
          <w:p w14:paraId="22F9CD9E">
            <w:pPr>
              <w:spacing w:before="70" w:line="220" w:lineRule="auto"/>
              <w:ind w:left="84"/>
              <w:rPr>
                <w:rFonts w:ascii="宋体" w:hAnsi="宋体" w:eastAsia="宋体" w:cs="宋体"/>
                <w:sz w:val="21"/>
                <w:szCs w:val="21"/>
              </w:rPr>
            </w:pPr>
            <w:r>
              <w:rPr>
                <w:rFonts w:ascii="宋体" w:hAnsi="宋体" w:eastAsia="宋体" w:cs="宋体"/>
                <w:spacing w:val="6"/>
                <w:sz w:val="21"/>
                <w:szCs w:val="21"/>
              </w:rPr>
              <w:t>外形图</w:t>
            </w:r>
          </w:p>
        </w:tc>
        <w:tc>
          <w:tcPr>
            <w:tcW w:w="1678" w:type="dxa"/>
            <w:vAlign w:val="top"/>
          </w:tcPr>
          <w:p w14:paraId="64BC8416">
            <w:pPr>
              <w:pStyle w:val="6"/>
            </w:pPr>
          </w:p>
        </w:tc>
        <w:tc>
          <w:tcPr>
            <w:tcW w:w="1888" w:type="dxa"/>
            <w:vAlign w:val="top"/>
          </w:tcPr>
          <w:p w14:paraId="7ABA25D3">
            <w:pPr>
              <w:pStyle w:val="6"/>
            </w:pPr>
          </w:p>
        </w:tc>
        <w:tc>
          <w:tcPr>
            <w:tcW w:w="1453" w:type="dxa"/>
            <w:vAlign w:val="top"/>
          </w:tcPr>
          <w:p w14:paraId="51936E49">
            <w:pPr>
              <w:pStyle w:val="6"/>
            </w:pPr>
          </w:p>
        </w:tc>
      </w:tr>
      <w:tr w14:paraId="6D2F6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131" w:type="dxa"/>
            <w:vAlign w:val="top"/>
          </w:tcPr>
          <w:p w14:paraId="1E955E35">
            <w:pPr>
              <w:spacing w:before="81" w:line="220" w:lineRule="auto"/>
              <w:ind w:left="84"/>
              <w:rPr>
                <w:rFonts w:ascii="宋体" w:hAnsi="宋体" w:eastAsia="宋体" w:cs="宋体"/>
                <w:sz w:val="21"/>
                <w:szCs w:val="21"/>
              </w:rPr>
            </w:pPr>
            <w:r>
              <w:rPr>
                <w:rFonts w:ascii="宋体" w:hAnsi="宋体" w:eastAsia="宋体" w:cs="宋体"/>
                <w:spacing w:val="6"/>
                <w:sz w:val="21"/>
                <w:szCs w:val="21"/>
              </w:rPr>
              <w:t>连线图</w:t>
            </w:r>
          </w:p>
        </w:tc>
        <w:tc>
          <w:tcPr>
            <w:tcW w:w="1678" w:type="dxa"/>
            <w:vAlign w:val="top"/>
          </w:tcPr>
          <w:p w14:paraId="59BFE9D7">
            <w:pPr>
              <w:pStyle w:val="6"/>
            </w:pPr>
          </w:p>
        </w:tc>
        <w:tc>
          <w:tcPr>
            <w:tcW w:w="1888" w:type="dxa"/>
            <w:vAlign w:val="top"/>
          </w:tcPr>
          <w:p w14:paraId="011EC89D">
            <w:pPr>
              <w:pStyle w:val="6"/>
            </w:pPr>
          </w:p>
        </w:tc>
        <w:tc>
          <w:tcPr>
            <w:tcW w:w="1453" w:type="dxa"/>
            <w:vAlign w:val="top"/>
          </w:tcPr>
          <w:p w14:paraId="33AA8123">
            <w:pPr>
              <w:pStyle w:val="6"/>
            </w:pPr>
          </w:p>
        </w:tc>
      </w:tr>
      <w:tr w14:paraId="1A485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3131" w:type="dxa"/>
            <w:vAlign w:val="top"/>
          </w:tcPr>
          <w:p w14:paraId="07B49282">
            <w:pPr>
              <w:spacing w:before="71" w:line="219" w:lineRule="auto"/>
              <w:ind w:left="84"/>
              <w:rPr>
                <w:rFonts w:ascii="宋体" w:hAnsi="宋体" w:eastAsia="宋体" w:cs="宋体"/>
                <w:sz w:val="21"/>
                <w:szCs w:val="21"/>
              </w:rPr>
            </w:pPr>
            <w:r>
              <w:rPr>
                <w:rFonts w:ascii="宋体" w:hAnsi="宋体" w:eastAsia="宋体" w:cs="宋体"/>
                <w:spacing w:val="-2"/>
                <w:sz w:val="21"/>
                <w:szCs w:val="21"/>
              </w:rPr>
              <w:t>验收测试规范</w:t>
            </w:r>
          </w:p>
        </w:tc>
        <w:tc>
          <w:tcPr>
            <w:tcW w:w="1678" w:type="dxa"/>
            <w:vAlign w:val="top"/>
          </w:tcPr>
          <w:p w14:paraId="7AAB3935">
            <w:pPr>
              <w:pStyle w:val="6"/>
            </w:pPr>
          </w:p>
        </w:tc>
        <w:tc>
          <w:tcPr>
            <w:tcW w:w="1888" w:type="dxa"/>
            <w:vAlign w:val="top"/>
          </w:tcPr>
          <w:p w14:paraId="304CB35D">
            <w:pPr>
              <w:pStyle w:val="6"/>
            </w:pPr>
          </w:p>
        </w:tc>
        <w:tc>
          <w:tcPr>
            <w:tcW w:w="1453" w:type="dxa"/>
            <w:vAlign w:val="top"/>
          </w:tcPr>
          <w:p w14:paraId="2B77D808">
            <w:pPr>
              <w:pStyle w:val="6"/>
            </w:pPr>
          </w:p>
        </w:tc>
      </w:tr>
      <w:tr w14:paraId="793E2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3131" w:type="dxa"/>
            <w:vAlign w:val="top"/>
          </w:tcPr>
          <w:p w14:paraId="090F07C7">
            <w:pPr>
              <w:spacing w:before="72" w:line="220" w:lineRule="auto"/>
              <w:ind w:left="84"/>
              <w:rPr>
                <w:rFonts w:ascii="宋体" w:hAnsi="宋体" w:eastAsia="宋体" w:cs="宋体"/>
                <w:sz w:val="21"/>
                <w:szCs w:val="21"/>
              </w:rPr>
            </w:pPr>
            <w:r>
              <w:rPr>
                <w:rFonts w:ascii="宋体" w:hAnsi="宋体" w:eastAsia="宋体" w:cs="宋体"/>
                <w:spacing w:val="3"/>
                <w:sz w:val="21"/>
                <w:szCs w:val="21"/>
              </w:rPr>
              <w:t>校验程序</w:t>
            </w:r>
          </w:p>
        </w:tc>
        <w:tc>
          <w:tcPr>
            <w:tcW w:w="1678" w:type="dxa"/>
            <w:vAlign w:val="top"/>
          </w:tcPr>
          <w:p w14:paraId="3590D960">
            <w:pPr>
              <w:pStyle w:val="6"/>
            </w:pPr>
          </w:p>
        </w:tc>
        <w:tc>
          <w:tcPr>
            <w:tcW w:w="1888" w:type="dxa"/>
            <w:vAlign w:val="top"/>
          </w:tcPr>
          <w:p w14:paraId="46AB1195">
            <w:pPr>
              <w:pStyle w:val="6"/>
            </w:pPr>
          </w:p>
        </w:tc>
        <w:tc>
          <w:tcPr>
            <w:tcW w:w="1453" w:type="dxa"/>
            <w:vAlign w:val="top"/>
          </w:tcPr>
          <w:p w14:paraId="31D1E38C">
            <w:pPr>
              <w:pStyle w:val="6"/>
            </w:pPr>
          </w:p>
        </w:tc>
      </w:tr>
      <w:tr w14:paraId="21309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131" w:type="dxa"/>
            <w:vAlign w:val="top"/>
          </w:tcPr>
          <w:p w14:paraId="51BB1CCC">
            <w:pPr>
              <w:spacing w:before="82" w:line="219" w:lineRule="auto"/>
              <w:ind w:left="84"/>
              <w:rPr>
                <w:rFonts w:ascii="宋体" w:hAnsi="宋体" w:eastAsia="宋体" w:cs="宋体"/>
                <w:sz w:val="21"/>
                <w:szCs w:val="21"/>
              </w:rPr>
            </w:pPr>
            <w:r>
              <w:rPr>
                <w:rFonts w:ascii="宋体" w:hAnsi="宋体" w:eastAsia="宋体" w:cs="宋体"/>
                <w:spacing w:val="-2"/>
                <w:sz w:val="21"/>
                <w:szCs w:val="21"/>
              </w:rPr>
              <w:t>元器件清单</w:t>
            </w:r>
          </w:p>
        </w:tc>
        <w:tc>
          <w:tcPr>
            <w:tcW w:w="1678" w:type="dxa"/>
            <w:vAlign w:val="top"/>
          </w:tcPr>
          <w:p w14:paraId="36B9DD0B">
            <w:pPr>
              <w:pStyle w:val="6"/>
            </w:pPr>
          </w:p>
        </w:tc>
        <w:tc>
          <w:tcPr>
            <w:tcW w:w="1888" w:type="dxa"/>
            <w:vAlign w:val="top"/>
          </w:tcPr>
          <w:p w14:paraId="18FB33E1">
            <w:pPr>
              <w:pStyle w:val="6"/>
            </w:pPr>
          </w:p>
        </w:tc>
        <w:tc>
          <w:tcPr>
            <w:tcW w:w="1453" w:type="dxa"/>
            <w:vAlign w:val="top"/>
          </w:tcPr>
          <w:p w14:paraId="446F24B8">
            <w:pPr>
              <w:pStyle w:val="6"/>
            </w:pPr>
          </w:p>
        </w:tc>
      </w:tr>
      <w:tr w14:paraId="5F749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3131" w:type="dxa"/>
            <w:vAlign w:val="top"/>
          </w:tcPr>
          <w:p w14:paraId="00C33F10">
            <w:pPr>
              <w:spacing w:before="73" w:line="219" w:lineRule="auto"/>
              <w:ind w:left="84"/>
              <w:rPr>
                <w:rFonts w:ascii="宋体" w:hAnsi="宋体" w:eastAsia="宋体" w:cs="宋体"/>
                <w:sz w:val="21"/>
                <w:szCs w:val="21"/>
              </w:rPr>
            </w:pPr>
            <w:r>
              <w:rPr>
                <w:rFonts w:ascii="宋体" w:hAnsi="宋体" w:eastAsia="宋体" w:cs="宋体"/>
                <w:spacing w:val="2"/>
                <w:sz w:val="21"/>
                <w:szCs w:val="21"/>
              </w:rPr>
              <w:t>影响</w:t>
            </w:r>
            <w:r>
              <w:rPr>
                <w:rFonts w:ascii="宋体" w:hAnsi="宋体" w:eastAsia="宋体" w:cs="宋体"/>
                <w:sz w:val="21"/>
                <w:szCs w:val="21"/>
              </w:rPr>
              <w:t>UUT</w:t>
            </w:r>
            <w:r>
              <w:rPr>
                <w:rFonts w:ascii="宋体" w:hAnsi="宋体" w:eastAsia="宋体" w:cs="宋体"/>
                <w:spacing w:val="2"/>
                <w:sz w:val="21"/>
                <w:szCs w:val="21"/>
              </w:rPr>
              <w:t>的更改单</w:t>
            </w:r>
          </w:p>
        </w:tc>
        <w:tc>
          <w:tcPr>
            <w:tcW w:w="1678" w:type="dxa"/>
            <w:vAlign w:val="top"/>
          </w:tcPr>
          <w:p w14:paraId="2BA51439">
            <w:pPr>
              <w:pStyle w:val="6"/>
            </w:pPr>
          </w:p>
        </w:tc>
        <w:tc>
          <w:tcPr>
            <w:tcW w:w="1888" w:type="dxa"/>
            <w:vAlign w:val="top"/>
          </w:tcPr>
          <w:p w14:paraId="1B0AF3E7">
            <w:pPr>
              <w:pStyle w:val="6"/>
            </w:pPr>
          </w:p>
        </w:tc>
        <w:tc>
          <w:tcPr>
            <w:tcW w:w="1453" w:type="dxa"/>
            <w:vAlign w:val="top"/>
          </w:tcPr>
          <w:p w14:paraId="7DBFCFA2">
            <w:pPr>
              <w:pStyle w:val="6"/>
            </w:pPr>
          </w:p>
        </w:tc>
      </w:tr>
      <w:tr w14:paraId="01072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3131" w:type="dxa"/>
            <w:vAlign w:val="top"/>
          </w:tcPr>
          <w:p w14:paraId="7155E6B1">
            <w:pPr>
              <w:spacing w:before="72" w:line="219" w:lineRule="auto"/>
              <w:ind w:left="84"/>
              <w:rPr>
                <w:rFonts w:ascii="宋体" w:hAnsi="宋体" w:eastAsia="宋体" w:cs="宋体"/>
                <w:sz w:val="21"/>
                <w:szCs w:val="21"/>
              </w:rPr>
            </w:pPr>
            <w:r>
              <w:rPr>
                <w:rFonts w:ascii="宋体" w:hAnsi="宋体" w:eastAsia="宋体" w:cs="宋体"/>
                <w:spacing w:val="2"/>
                <w:sz w:val="21"/>
                <w:szCs w:val="21"/>
              </w:rPr>
              <w:t>技术说明书</w:t>
            </w:r>
          </w:p>
        </w:tc>
        <w:tc>
          <w:tcPr>
            <w:tcW w:w="1678" w:type="dxa"/>
            <w:vAlign w:val="top"/>
          </w:tcPr>
          <w:p w14:paraId="05D4FD69">
            <w:pPr>
              <w:pStyle w:val="6"/>
            </w:pPr>
          </w:p>
        </w:tc>
        <w:tc>
          <w:tcPr>
            <w:tcW w:w="1888" w:type="dxa"/>
            <w:vAlign w:val="top"/>
          </w:tcPr>
          <w:p w14:paraId="15D7D21E">
            <w:pPr>
              <w:pStyle w:val="6"/>
            </w:pPr>
          </w:p>
        </w:tc>
        <w:tc>
          <w:tcPr>
            <w:tcW w:w="1453" w:type="dxa"/>
            <w:vAlign w:val="top"/>
          </w:tcPr>
          <w:p w14:paraId="1BCE87CF">
            <w:pPr>
              <w:pStyle w:val="6"/>
            </w:pPr>
          </w:p>
        </w:tc>
      </w:tr>
      <w:tr w14:paraId="497AB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131" w:type="dxa"/>
            <w:vAlign w:val="top"/>
          </w:tcPr>
          <w:p w14:paraId="33EFD3BD">
            <w:pPr>
              <w:spacing w:before="84" w:line="219" w:lineRule="auto"/>
              <w:ind w:left="84"/>
              <w:rPr>
                <w:rFonts w:ascii="宋体" w:hAnsi="宋体" w:eastAsia="宋体" w:cs="宋体"/>
                <w:sz w:val="21"/>
                <w:szCs w:val="21"/>
              </w:rPr>
            </w:pPr>
            <w:r>
              <w:rPr>
                <w:rFonts w:ascii="宋体" w:hAnsi="宋体" w:eastAsia="宋体" w:cs="宋体"/>
                <w:spacing w:val="-2"/>
                <w:sz w:val="21"/>
                <w:szCs w:val="21"/>
              </w:rPr>
              <w:t>使用维修手册</w:t>
            </w:r>
          </w:p>
        </w:tc>
        <w:tc>
          <w:tcPr>
            <w:tcW w:w="1678" w:type="dxa"/>
            <w:vAlign w:val="top"/>
          </w:tcPr>
          <w:p w14:paraId="5BE79465">
            <w:pPr>
              <w:pStyle w:val="6"/>
            </w:pPr>
          </w:p>
        </w:tc>
        <w:tc>
          <w:tcPr>
            <w:tcW w:w="1888" w:type="dxa"/>
            <w:vAlign w:val="top"/>
          </w:tcPr>
          <w:p w14:paraId="4CD77F32">
            <w:pPr>
              <w:pStyle w:val="6"/>
            </w:pPr>
          </w:p>
        </w:tc>
        <w:tc>
          <w:tcPr>
            <w:tcW w:w="1453" w:type="dxa"/>
            <w:vAlign w:val="top"/>
          </w:tcPr>
          <w:p w14:paraId="2F59AEC9">
            <w:pPr>
              <w:pStyle w:val="6"/>
            </w:pPr>
          </w:p>
        </w:tc>
      </w:tr>
      <w:tr w14:paraId="66A7B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3131" w:type="dxa"/>
            <w:vAlign w:val="top"/>
          </w:tcPr>
          <w:p w14:paraId="57FB9A99">
            <w:pPr>
              <w:spacing w:before="75" w:line="219" w:lineRule="auto"/>
              <w:ind w:left="84"/>
              <w:rPr>
                <w:rFonts w:ascii="宋体" w:hAnsi="宋体" w:eastAsia="宋体" w:cs="宋体"/>
                <w:sz w:val="21"/>
                <w:szCs w:val="21"/>
              </w:rPr>
            </w:pPr>
            <w:r>
              <w:rPr>
                <w:rFonts w:ascii="宋体" w:hAnsi="宋体" w:eastAsia="宋体" w:cs="宋体"/>
                <w:spacing w:val="1"/>
                <w:sz w:val="21"/>
                <w:szCs w:val="21"/>
              </w:rPr>
              <w:t>图解零部件目录</w:t>
            </w:r>
          </w:p>
        </w:tc>
        <w:tc>
          <w:tcPr>
            <w:tcW w:w="1678" w:type="dxa"/>
            <w:vAlign w:val="top"/>
          </w:tcPr>
          <w:p w14:paraId="33EF1AA8">
            <w:pPr>
              <w:pStyle w:val="6"/>
            </w:pPr>
          </w:p>
        </w:tc>
        <w:tc>
          <w:tcPr>
            <w:tcW w:w="1888" w:type="dxa"/>
            <w:vAlign w:val="top"/>
          </w:tcPr>
          <w:p w14:paraId="00FF642D">
            <w:pPr>
              <w:pStyle w:val="6"/>
            </w:pPr>
          </w:p>
        </w:tc>
        <w:tc>
          <w:tcPr>
            <w:tcW w:w="1453" w:type="dxa"/>
            <w:vAlign w:val="top"/>
          </w:tcPr>
          <w:p w14:paraId="4FE119CD">
            <w:pPr>
              <w:pStyle w:val="6"/>
            </w:pPr>
          </w:p>
        </w:tc>
      </w:tr>
      <w:tr w14:paraId="2430C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3131" w:type="dxa"/>
            <w:vAlign w:val="top"/>
          </w:tcPr>
          <w:p w14:paraId="56849986">
            <w:pPr>
              <w:spacing w:before="75" w:line="219" w:lineRule="auto"/>
              <w:ind w:left="84"/>
              <w:rPr>
                <w:rFonts w:ascii="宋体" w:hAnsi="宋体" w:eastAsia="宋体" w:cs="宋体"/>
                <w:sz w:val="21"/>
                <w:szCs w:val="21"/>
              </w:rPr>
            </w:pPr>
            <w:r>
              <w:rPr>
                <w:rFonts w:ascii="宋体" w:hAnsi="宋体" w:eastAsia="宋体" w:cs="宋体"/>
                <w:spacing w:val="2"/>
                <w:sz w:val="21"/>
                <w:szCs w:val="21"/>
              </w:rPr>
              <w:t>大修手册</w:t>
            </w:r>
          </w:p>
        </w:tc>
        <w:tc>
          <w:tcPr>
            <w:tcW w:w="1678" w:type="dxa"/>
            <w:vAlign w:val="top"/>
          </w:tcPr>
          <w:p w14:paraId="1BA9D63B">
            <w:pPr>
              <w:pStyle w:val="6"/>
            </w:pPr>
          </w:p>
        </w:tc>
        <w:tc>
          <w:tcPr>
            <w:tcW w:w="1888" w:type="dxa"/>
            <w:vAlign w:val="top"/>
          </w:tcPr>
          <w:p w14:paraId="720F5E0C">
            <w:pPr>
              <w:pStyle w:val="6"/>
            </w:pPr>
          </w:p>
        </w:tc>
        <w:tc>
          <w:tcPr>
            <w:tcW w:w="1453" w:type="dxa"/>
            <w:vAlign w:val="top"/>
          </w:tcPr>
          <w:p w14:paraId="548C1833">
            <w:pPr>
              <w:pStyle w:val="6"/>
            </w:pPr>
          </w:p>
        </w:tc>
      </w:tr>
      <w:tr w14:paraId="6D98C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3131" w:type="dxa"/>
            <w:vAlign w:val="top"/>
          </w:tcPr>
          <w:p w14:paraId="30BD217E">
            <w:pPr>
              <w:spacing w:before="77" w:line="220" w:lineRule="auto"/>
              <w:ind w:left="84"/>
              <w:rPr>
                <w:rFonts w:ascii="宋体" w:hAnsi="宋体" w:eastAsia="宋体" w:cs="宋体"/>
                <w:sz w:val="21"/>
                <w:szCs w:val="21"/>
              </w:rPr>
            </w:pPr>
            <w:r>
              <w:rPr>
                <w:rFonts w:ascii="宋体" w:hAnsi="宋体" w:eastAsia="宋体" w:cs="宋体"/>
                <w:spacing w:val="3"/>
                <w:sz w:val="21"/>
                <w:szCs w:val="21"/>
              </w:rPr>
              <w:t>功能方块图</w:t>
            </w:r>
          </w:p>
        </w:tc>
        <w:tc>
          <w:tcPr>
            <w:tcW w:w="1678" w:type="dxa"/>
            <w:vAlign w:val="top"/>
          </w:tcPr>
          <w:p w14:paraId="64ED45F5">
            <w:pPr>
              <w:pStyle w:val="6"/>
            </w:pPr>
          </w:p>
        </w:tc>
        <w:tc>
          <w:tcPr>
            <w:tcW w:w="1888" w:type="dxa"/>
            <w:vAlign w:val="top"/>
          </w:tcPr>
          <w:p w14:paraId="3BDAB4CE">
            <w:pPr>
              <w:pStyle w:val="6"/>
            </w:pPr>
          </w:p>
        </w:tc>
        <w:tc>
          <w:tcPr>
            <w:tcW w:w="1453" w:type="dxa"/>
            <w:vAlign w:val="top"/>
          </w:tcPr>
          <w:p w14:paraId="51B295B2">
            <w:pPr>
              <w:pStyle w:val="6"/>
            </w:pPr>
          </w:p>
        </w:tc>
      </w:tr>
      <w:tr w14:paraId="7DA6F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131" w:type="dxa"/>
            <w:vAlign w:val="top"/>
          </w:tcPr>
          <w:p w14:paraId="391D8C34">
            <w:pPr>
              <w:spacing w:before="86" w:line="219" w:lineRule="auto"/>
              <w:ind w:left="84"/>
              <w:rPr>
                <w:rFonts w:ascii="宋体" w:hAnsi="宋体" w:eastAsia="宋体" w:cs="宋体"/>
                <w:sz w:val="21"/>
                <w:szCs w:val="21"/>
              </w:rPr>
            </w:pPr>
            <w:r>
              <w:rPr>
                <w:rFonts w:ascii="宋体" w:hAnsi="宋体" w:eastAsia="宋体" w:cs="宋体"/>
                <w:spacing w:val="1"/>
                <w:sz w:val="21"/>
                <w:szCs w:val="21"/>
              </w:rPr>
              <w:t>非标零部件规范</w:t>
            </w:r>
          </w:p>
        </w:tc>
        <w:tc>
          <w:tcPr>
            <w:tcW w:w="1678" w:type="dxa"/>
            <w:vAlign w:val="top"/>
          </w:tcPr>
          <w:p w14:paraId="468A66AF">
            <w:pPr>
              <w:pStyle w:val="6"/>
            </w:pPr>
          </w:p>
        </w:tc>
        <w:tc>
          <w:tcPr>
            <w:tcW w:w="1888" w:type="dxa"/>
            <w:vAlign w:val="top"/>
          </w:tcPr>
          <w:p w14:paraId="6CCF2FBB">
            <w:pPr>
              <w:pStyle w:val="6"/>
            </w:pPr>
          </w:p>
        </w:tc>
        <w:tc>
          <w:tcPr>
            <w:tcW w:w="1453" w:type="dxa"/>
            <w:vAlign w:val="top"/>
          </w:tcPr>
          <w:p w14:paraId="0F461414">
            <w:pPr>
              <w:pStyle w:val="6"/>
            </w:pPr>
          </w:p>
        </w:tc>
      </w:tr>
      <w:tr w14:paraId="2672B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3131" w:type="dxa"/>
            <w:vAlign w:val="top"/>
          </w:tcPr>
          <w:p w14:paraId="766AD6A6">
            <w:pPr>
              <w:spacing w:before="77" w:line="219" w:lineRule="auto"/>
              <w:ind w:left="84"/>
              <w:rPr>
                <w:rFonts w:ascii="宋体" w:hAnsi="宋体" w:eastAsia="宋体" w:cs="宋体"/>
                <w:sz w:val="21"/>
                <w:szCs w:val="21"/>
              </w:rPr>
            </w:pPr>
            <w:r>
              <w:rPr>
                <w:rFonts w:ascii="宋体" w:hAnsi="宋体" w:eastAsia="宋体" w:cs="宋体"/>
                <w:spacing w:val="38"/>
                <w:sz w:val="21"/>
                <w:szCs w:val="21"/>
              </w:rPr>
              <w:t>UUT层次图</w:t>
            </w:r>
          </w:p>
        </w:tc>
        <w:tc>
          <w:tcPr>
            <w:tcW w:w="1678" w:type="dxa"/>
            <w:vAlign w:val="top"/>
          </w:tcPr>
          <w:p w14:paraId="684ED6E6">
            <w:pPr>
              <w:pStyle w:val="6"/>
            </w:pPr>
          </w:p>
        </w:tc>
        <w:tc>
          <w:tcPr>
            <w:tcW w:w="1888" w:type="dxa"/>
            <w:vAlign w:val="top"/>
          </w:tcPr>
          <w:p w14:paraId="7B435387">
            <w:pPr>
              <w:pStyle w:val="6"/>
            </w:pPr>
          </w:p>
        </w:tc>
        <w:tc>
          <w:tcPr>
            <w:tcW w:w="1453" w:type="dxa"/>
            <w:vAlign w:val="top"/>
          </w:tcPr>
          <w:p w14:paraId="0EE41B62">
            <w:pPr>
              <w:pStyle w:val="6"/>
            </w:pPr>
          </w:p>
        </w:tc>
      </w:tr>
      <w:tr w14:paraId="1BDC7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3131" w:type="dxa"/>
            <w:vAlign w:val="top"/>
          </w:tcPr>
          <w:p w14:paraId="303B5219">
            <w:pPr>
              <w:spacing w:before="79" w:line="220" w:lineRule="auto"/>
              <w:ind w:left="84"/>
              <w:rPr>
                <w:rFonts w:ascii="宋体" w:hAnsi="宋体" w:eastAsia="宋体" w:cs="宋体"/>
                <w:sz w:val="21"/>
                <w:szCs w:val="21"/>
              </w:rPr>
            </w:pPr>
            <w:r>
              <w:rPr>
                <w:rFonts w:ascii="宋体" w:hAnsi="宋体" w:eastAsia="宋体" w:cs="宋体"/>
                <w:spacing w:val="-3"/>
                <w:sz w:val="21"/>
                <w:szCs w:val="21"/>
              </w:rPr>
              <w:t>其他</w:t>
            </w:r>
          </w:p>
        </w:tc>
        <w:tc>
          <w:tcPr>
            <w:tcW w:w="1678" w:type="dxa"/>
            <w:vAlign w:val="top"/>
          </w:tcPr>
          <w:p w14:paraId="60525105">
            <w:pPr>
              <w:pStyle w:val="6"/>
            </w:pPr>
          </w:p>
        </w:tc>
        <w:tc>
          <w:tcPr>
            <w:tcW w:w="1888" w:type="dxa"/>
            <w:vAlign w:val="top"/>
          </w:tcPr>
          <w:p w14:paraId="2B359CF1">
            <w:pPr>
              <w:pStyle w:val="6"/>
            </w:pPr>
          </w:p>
        </w:tc>
        <w:tc>
          <w:tcPr>
            <w:tcW w:w="1453" w:type="dxa"/>
            <w:vAlign w:val="top"/>
          </w:tcPr>
          <w:p w14:paraId="7F0C3560">
            <w:pPr>
              <w:pStyle w:val="6"/>
            </w:pPr>
          </w:p>
        </w:tc>
      </w:tr>
    </w:tbl>
    <w:p w14:paraId="4CCCF624">
      <w:pPr>
        <w:pStyle w:val="2"/>
        <w:spacing w:before="204" w:line="219" w:lineRule="auto"/>
        <w:ind w:left="3509"/>
        <w:rPr>
          <w:sz w:val="22"/>
          <w:szCs w:val="22"/>
        </w:rPr>
      </w:pPr>
      <w:r>
        <w:rPr>
          <w:spacing w:val="14"/>
          <w:sz w:val="22"/>
          <w:szCs w:val="22"/>
        </w:rPr>
        <w:t>图9</w:t>
      </w:r>
      <w:r>
        <w:rPr>
          <w:spacing w:val="-63"/>
          <w:sz w:val="22"/>
          <w:szCs w:val="22"/>
        </w:rPr>
        <w:t xml:space="preserve"> </w:t>
      </w:r>
      <w:r>
        <w:rPr>
          <w:spacing w:val="14"/>
          <w:sz w:val="22"/>
          <w:szCs w:val="22"/>
        </w:rPr>
        <w:t>.2</w:t>
      </w:r>
      <w:r>
        <w:rPr>
          <w:spacing w:val="8"/>
          <w:sz w:val="22"/>
          <w:szCs w:val="22"/>
        </w:rPr>
        <w:t xml:space="preserve">  </w:t>
      </w:r>
      <w:r>
        <w:rPr>
          <w:spacing w:val="14"/>
          <w:sz w:val="22"/>
          <w:szCs w:val="22"/>
        </w:rPr>
        <w:t>技术状态资料页</w:t>
      </w:r>
    </w:p>
    <w:p w14:paraId="1A6AC631">
      <w:pPr>
        <w:spacing w:line="219" w:lineRule="auto"/>
        <w:rPr>
          <w:sz w:val="22"/>
          <w:szCs w:val="22"/>
        </w:rPr>
        <w:sectPr>
          <w:footerReference r:id="rId466" w:type="default"/>
          <w:pgSz w:w="11910" w:h="17130"/>
          <w:pgMar w:top="1426" w:right="996" w:bottom="1653" w:left="1559" w:header="0" w:footer="1455" w:gutter="0"/>
          <w:cols w:space="720" w:num="1"/>
        </w:sectPr>
      </w:pPr>
    </w:p>
    <w:p w14:paraId="1D02702C">
      <w:pPr>
        <w:spacing w:before="168" w:line="222" w:lineRule="auto"/>
        <w:rPr>
          <w:rFonts w:ascii="黑体" w:hAnsi="黑体" w:eastAsia="黑体" w:cs="黑体"/>
          <w:sz w:val="24"/>
          <w:szCs w:val="24"/>
        </w:rPr>
      </w:pPr>
      <w:r>
        <w:rPr>
          <w:rFonts w:ascii="黑体" w:hAnsi="黑体" w:eastAsia="黑体" w:cs="黑体"/>
          <w:spacing w:val="-6"/>
          <w:sz w:val="24"/>
          <w:szCs w:val="24"/>
        </w:rPr>
        <w:t>5</w:t>
      </w:r>
      <w:r>
        <w:rPr>
          <w:rFonts w:ascii="黑体" w:hAnsi="黑体" w:eastAsia="黑体" w:cs="黑体"/>
          <w:spacing w:val="33"/>
          <w:sz w:val="24"/>
          <w:szCs w:val="24"/>
        </w:rPr>
        <w:t xml:space="preserve">  </w:t>
      </w:r>
      <w:r>
        <w:rPr>
          <w:rFonts w:ascii="Times New Roman" w:hAnsi="Times New Roman" w:eastAsia="Times New Roman" w:cs="Times New Roman"/>
          <w:b/>
          <w:bCs/>
          <w:spacing w:val="-6"/>
          <w:sz w:val="24"/>
          <w:szCs w:val="24"/>
        </w:rPr>
        <w:t>UUT</w:t>
      </w:r>
      <w:r>
        <w:rPr>
          <w:rFonts w:ascii="Times New Roman" w:hAnsi="Times New Roman" w:eastAsia="Times New Roman" w:cs="Times New Roman"/>
          <w:b/>
          <w:bCs/>
          <w:spacing w:val="52"/>
          <w:w w:val="101"/>
          <w:sz w:val="24"/>
          <w:szCs w:val="24"/>
        </w:rPr>
        <w:t xml:space="preserve"> </w:t>
      </w:r>
      <w:r>
        <w:rPr>
          <w:rFonts w:ascii="黑体" w:hAnsi="黑体" w:eastAsia="黑体" w:cs="黑体"/>
          <w:b/>
          <w:bCs/>
          <w:spacing w:val="-6"/>
          <w:sz w:val="24"/>
          <w:szCs w:val="24"/>
        </w:rPr>
        <w:t>资</w:t>
      </w:r>
      <w:r>
        <w:rPr>
          <w:rFonts w:ascii="黑体" w:hAnsi="黑体" w:eastAsia="黑体" w:cs="黑体"/>
          <w:spacing w:val="-22"/>
          <w:sz w:val="24"/>
          <w:szCs w:val="24"/>
        </w:rPr>
        <w:t xml:space="preserve"> </w:t>
      </w:r>
      <w:r>
        <w:rPr>
          <w:rFonts w:ascii="黑体" w:hAnsi="黑体" w:eastAsia="黑体" w:cs="黑体"/>
          <w:b/>
          <w:bCs/>
          <w:spacing w:val="-6"/>
          <w:sz w:val="24"/>
          <w:szCs w:val="24"/>
        </w:rPr>
        <w:t>料</w:t>
      </w:r>
    </w:p>
    <w:p w14:paraId="1D04DD96">
      <w:pPr>
        <w:spacing w:before="254" w:line="221" w:lineRule="auto"/>
        <w:rPr>
          <w:rFonts w:ascii="黑体" w:hAnsi="黑体" w:eastAsia="黑体" w:cs="黑体"/>
          <w:sz w:val="24"/>
          <w:szCs w:val="24"/>
        </w:rPr>
      </w:pPr>
      <w:r>
        <w:rPr>
          <w:rFonts w:ascii="黑体" w:hAnsi="黑体" w:eastAsia="黑体" w:cs="黑体"/>
          <w:spacing w:val="10"/>
          <w:sz w:val="24"/>
          <w:szCs w:val="24"/>
        </w:rPr>
        <w:t>5.1</w:t>
      </w:r>
      <w:r>
        <w:rPr>
          <w:rFonts w:ascii="黑体" w:hAnsi="黑体" w:eastAsia="黑体" w:cs="黑体"/>
          <w:spacing w:val="51"/>
          <w:sz w:val="24"/>
          <w:szCs w:val="24"/>
        </w:rPr>
        <w:t xml:space="preserve">  </w:t>
      </w:r>
      <w:r>
        <w:rPr>
          <w:rFonts w:ascii="黑体" w:hAnsi="黑体" w:eastAsia="黑体" w:cs="黑体"/>
          <w:spacing w:val="10"/>
          <w:sz w:val="24"/>
          <w:szCs w:val="24"/>
        </w:rPr>
        <w:t>一</w:t>
      </w:r>
      <w:r>
        <w:rPr>
          <w:rFonts w:ascii="黑体" w:hAnsi="黑体" w:eastAsia="黑体" w:cs="黑体"/>
          <w:spacing w:val="-63"/>
          <w:sz w:val="24"/>
          <w:szCs w:val="24"/>
        </w:rPr>
        <w:t xml:space="preserve"> </w:t>
      </w:r>
      <w:r>
        <w:rPr>
          <w:rFonts w:ascii="黑体" w:hAnsi="黑体" w:eastAsia="黑体" w:cs="黑体"/>
          <w:spacing w:val="10"/>
          <w:sz w:val="24"/>
          <w:szCs w:val="24"/>
        </w:rPr>
        <w:t>般信息</w:t>
      </w:r>
    </w:p>
    <w:p w14:paraId="1069D178">
      <w:pPr>
        <w:pStyle w:val="2"/>
        <w:spacing w:before="134" w:line="219" w:lineRule="auto"/>
        <w:ind w:left="580"/>
        <w:rPr>
          <w:sz w:val="24"/>
          <w:szCs w:val="24"/>
        </w:rPr>
      </w:pPr>
      <w:r>
        <w:rPr>
          <w:rFonts w:ascii="Times New Roman" w:hAnsi="Times New Roman" w:eastAsia="Times New Roman" w:cs="Times New Roman"/>
          <w:sz w:val="24"/>
          <w:szCs w:val="24"/>
        </w:rPr>
        <w:t>UUT</w:t>
      </w:r>
      <w:r>
        <w:rPr>
          <w:rFonts w:ascii="Times New Roman" w:hAnsi="Times New Roman" w:eastAsia="Times New Roman" w:cs="Times New Roman"/>
          <w:spacing w:val="21"/>
          <w:sz w:val="24"/>
          <w:szCs w:val="24"/>
        </w:rPr>
        <w:t xml:space="preserve">   </w:t>
      </w:r>
      <w:r>
        <w:rPr>
          <w:spacing w:val="21"/>
          <w:sz w:val="24"/>
          <w:szCs w:val="24"/>
        </w:rPr>
        <w:t>一般信息格式如图9</w:t>
      </w:r>
      <w:r>
        <w:rPr>
          <w:spacing w:val="-50"/>
          <w:sz w:val="24"/>
          <w:szCs w:val="24"/>
        </w:rPr>
        <w:t xml:space="preserve"> </w:t>
      </w:r>
      <w:r>
        <w:rPr>
          <w:spacing w:val="21"/>
          <w:sz w:val="24"/>
          <w:szCs w:val="24"/>
        </w:rPr>
        <w:t>.</w:t>
      </w:r>
      <w:r>
        <w:rPr>
          <w:spacing w:val="-69"/>
          <w:sz w:val="24"/>
          <w:szCs w:val="24"/>
        </w:rPr>
        <w:t xml:space="preserve"> </w:t>
      </w:r>
      <w:r>
        <w:rPr>
          <w:spacing w:val="21"/>
          <w:sz w:val="24"/>
          <w:szCs w:val="24"/>
        </w:rPr>
        <w:t>3、图9</w:t>
      </w:r>
      <w:r>
        <w:rPr>
          <w:spacing w:val="-68"/>
          <w:sz w:val="24"/>
          <w:szCs w:val="24"/>
        </w:rPr>
        <w:t xml:space="preserve"> </w:t>
      </w:r>
      <w:r>
        <w:rPr>
          <w:spacing w:val="21"/>
          <w:sz w:val="24"/>
          <w:szCs w:val="24"/>
        </w:rPr>
        <w:t>.4所示。</w:t>
      </w:r>
    </w:p>
    <w:p w14:paraId="54E914BB">
      <w:pPr>
        <w:spacing w:line="106" w:lineRule="exact"/>
      </w:pPr>
    </w:p>
    <w:tbl>
      <w:tblPr>
        <w:tblStyle w:val="5"/>
        <w:tblW w:w="6679" w:type="dxa"/>
        <w:tblInd w:w="4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99"/>
        <w:gridCol w:w="399"/>
        <w:gridCol w:w="837"/>
        <w:gridCol w:w="583"/>
        <w:gridCol w:w="850"/>
        <w:gridCol w:w="719"/>
        <w:gridCol w:w="1192"/>
      </w:tblGrid>
      <w:tr w14:paraId="699127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71" w:hRule="atLeast"/>
        </w:trPr>
        <w:tc>
          <w:tcPr>
            <w:tcW w:w="2099" w:type="dxa"/>
            <w:vAlign w:val="top"/>
          </w:tcPr>
          <w:p w14:paraId="186EB554">
            <w:pPr>
              <w:spacing w:before="1" w:line="220" w:lineRule="auto"/>
              <w:rPr>
                <w:rFonts w:ascii="宋体" w:hAnsi="宋体" w:eastAsia="宋体" w:cs="宋体"/>
                <w:sz w:val="24"/>
                <w:szCs w:val="24"/>
              </w:rPr>
            </w:pPr>
            <w:r>
              <w:rPr>
                <w:rFonts w:ascii="宋体" w:hAnsi="宋体" w:eastAsia="宋体" w:cs="宋体"/>
                <w:spacing w:val="-6"/>
                <w:sz w:val="24"/>
                <w:szCs w:val="24"/>
              </w:rPr>
              <w:t>页    号：</w:t>
            </w:r>
          </w:p>
          <w:p w14:paraId="4838B34C">
            <w:pPr>
              <w:spacing w:before="91" w:line="219" w:lineRule="auto"/>
              <w:rPr>
                <w:rFonts w:ascii="宋体" w:hAnsi="宋体" w:eastAsia="宋体" w:cs="宋体"/>
                <w:sz w:val="24"/>
                <w:szCs w:val="24"/>
              </w:rPr>
            </w:pPr>
            <w:r>
              <w:rPr>
                <w:rFonts w:ascii="Times New Roman" w:hAnsi="Times New Roman" w:eastAsia="Times New Roman" w:cs="Times New Roman"/>
                <w:spacing w:val="-3"/>
                <w:sz w:val="24"/>
                <w:szCs w:val="24"/>
              </w:rPr>
              <w:t xml:space="preserve">TRD </w:t>
            </w:r>
            <w:r>
              <w:rPr>
                <w:rFonts w:ascii="宋体" w:hAnsi="宋体" w:eastAsia="宋体" w:cs="宋体"/>
                <w:spacing w:val="-3"/>
                <w:sz w:val="24"/>
                <w:szCs w:val="24"/>
              </w:rPr>
              <w:t>编号：</w:t>
            </w:r>
          </w:p>
          <w:p w14:paraId="22484BBB">
            <w:pPr>
              <w:spacing w:before="103" w:line="219" w:lineRule="auto"/>
              <w:rPr>
                <w:rFonts w:ascii="宋体" w:hAnsi="宋体" w:eastAsia="宋体" w:cs="宋体"/>
                <w:sz w:val="24"/>
                <w:szCs w:val="24"/>
              </w:rPr>
            </w:pPr>
            <w:r>
              <w:rPr>
                <w:rFonts w:ascii="宋体" w:hAnsi="宋体" w:eastAsia="宋体" w:cs="宋体"/>
                <w:spacing w:val="-6"/>
                <w:sz w:val="24"/>
                <w:szCs w:val="24"/>
              </w:rPr>
              <w:t>版    本：</w:t>
            </w:r>
          </w:p>
          <w:p w14:paraId="4BFC8AE3">
            <w:pPr>
              <w:spacing w:before="107" w:line="220" w:lineRule="auto"/>
              <w:rPr>
                <w:rFonts w:ascii="宋体" w:hAnsi="宋体" w:eastAsia="宋体" w:cs="宋体"/>
                <w:sz w:val="24"/>
                <w:szCs w:val="24"/>
              </w:rPr>
            </w:pPr>
            <w:r>
              <w:rPr>
                <w:rFonts w:ascii="宋体" w:hAnsi="宋体" w:eastAsia="宋体" w:cs="宋体"/>
                <w:spacing w:val="-21"/>
                <w:sz w:val="24"/>
                <w:szCs w:val="24"/>
              </w:rPr>
              <w:t>日</w:t>
            </w:r>
            <w:r>
              <w:rPr>
                <w:rFonts w:ascii="宋体" w:hAnsi="宋体" w:eastAsia="宋体" w:cs="宋体"/>
                <w:spacing w:val="37"/>
                <w:sz w:val="24"/>
                <w:szCs w:val="24"/>
              </w:rPr>
              <w:t xml:space="preserve">   </w:t>
            </w:r>
            <w:r>
              <w:rPr>
                <w:rFonts w:ascii="宋体" w:hAnsi="宋体" w:eastAsia="宋体" w:cs="宋体"/>
                <w:spacing w:val="-21"/>
                <w:sz w:val="24"/>
                <w:szCs w:val="24"/>
              </w:rPr>
              <w:t>期：</w:t>
            </w:r>
          </w:p>
          <w:p w14:paraId="1DD56482">
            <w:pPr>
              <w:spacing w:before="103" w:line="280" w:lineRule="auto"/>
              <w:ind w:right="81"/>
              <w:rPr>
                <w:rFonts w:ascii="宋体" w:hAnsi="宋体" w:eastAsia="宋体" w:cs="宋体"/>
                <w:sz w:val="23"/>
                <w:szCs w:val="23"/>
              </w:rPr>
            </w:pPr>
            <w:r>
              <w:rPr>
                <w:rFonts w:ascii="Times New Roman" w:hAnsi="Times New Roman" w:eastAsia="Times New Roman" w:cs="Times New Roman"/>
                <w:sz w:val="24"/>
                <w:szCs w:val="24"/>
              </w:rPr>
              <w:t>UUT</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设计一般信息</w:t>
            </w:r>
            <w:r>
              <w:rPr>
                <w:rFonts w:ascii="宋体" w:hAnsi="宋体" w:eastAsia="宋体" w:cs="宋体"/>
                <w:spacing w:val="2"/>
                <w:sz w:val="24"/>
                <w:szCs w:val="24"/>
              </w:rPr>
              <w:t xml:space="preserve"> </w:t>
            </w:r>
            <w:r>
              <w:rPr>
                <w:rFonts w:ascii="宋体" w:hAnsi="宋体" w:eastAsia="宋体" w:cs="宋体"/>
                <w:spacing w:val="-3"/>
                <w:sz w:val="23"/>
                <w:szCs w:val="23"/>
              </w:rPr>
              <w:t>重量</w:t>
            </w:r>
          </w:p>
        </w:tc>
        <w:tc>
          <w:tcPr>
            <w:tcW w:w="399" w:type="dxa"/>
            <w:vAlign w:val="top"/>
          </w:tcPr>
          <w:p w14:paraId="29D19964">
            <w:pPr>
              <w:pStyle w:val="6"/>
            </w:pPr>
          </w:p>
        </w:tc>
        <w:tc>
          <w:tcPr>
            <w:tcW w:w="837" w:type="dxa"/>
            <w:vAlign w:val="top"/>
          </w:tcPr>
          <w:p w14:paraId="2836D52A">
            <w:pPr>
              <w:pStyle w:val="6"/>
              <w:spacing w:line="259" w:lineRule="auto"/>
            </w:pPr>
          </w:p>
          <w:p w14:paraId="01B854BE">
            <w:pPr>
              <w:pStyle w:val="6"/>
              <w:spacing w:line="259" w:lineRule="auto"/>
            </w:pPr>
          </w:p>
          <w:p w14:paraId="746E0A31">
            <w:pPr>
              <w:pStyle w:val="6"/>
              <w:spacing w:line="259" w:lineRule="auto"/>
            </w:pPr>
          </w:p>
          <w:p w14:paraId="71D3B8E4">
            <w:pPr>
              <w:pStyle w:val="6"/>
              <w:spacing w:line="259" w:lineRule="auto"/>
            </w:pPr>
          </w:p>
          <w:p w14:paraId="5F05CC77">
            <w:pPr>
              <w:pStyle w:val="6"/>
              <w:spacing w:line="259" w:lineRule="auto"/>
            </w:pPr>
          </w:p>
          <w:p w14:paraId="481D1A45">
            <w:pPr>
              <w:pStyle w:val="6"/>
              <w:spacing w:line="259" w:lineRule="auto"/>
            </w:pPr>
          </w:p>
          <w:p w14:paraId="27C567B0">
            <w:pPr>
              <w:pStyle w:val="6"/>
              <w:spacing w:line="260" w:lineRule="auto"/>
            </w:pPr>
          </w:p>
          <w:p w14:paraId="4C842C04">
            <w:pPr>
              <w:pStyle w:val="6"/>
              <w:spacing w:before="66" w:line="313" w:lineRule="exact"/>
              <w:ind w:left="121"/>
              <w:rPr>
                <w:sz w:val="23"/>
                <w:szCs w:val="23"/>
              </w:rPr>
            </w:pPr>
            <w:r>
              <w:rPr>
                <w:spacing w:val="-4"/>
                <w:position w:val="4"/>
                <w:sz w:val="23"/>
                <w:szCs w:val="23"/>
              </w:rPr>
              <w:t>kg</w:t>
            </w:r>
          </w:p>
        </w:tc>
        <w:tc>
          <w:tcPr>
            <w:tcW w:w="583" w:type="dxa"/>
            <w:vAlign w:val="top"/>
          </w:tcPr>
          <w:p w14:paraId="41FC2D26">
            <w:pPr>
              <w:pStyle w:val="6"/>
            </w:pPr>
          </w:p>
        </w:tc>
        <w:tc>
          <w:tcPr>
            <w:tcW w:w="850" w:type="dxa"/>
            <w:vAlign w:val="top"/>
          </w:tcPr>
          <w:p w14:paraId="4549CE9C">
            <w:pPr>
              <w:pStyle w:val="6"/>
            </w:pPr>
          </w:p>
        </w:tc>
        <w:tc>
          <w:tcPr>
            <w:tcW w:w="719" w:type="dxa"/>
            <w:vAlign w:val="top"/>
          </w:tcPr>
          <w:p w14:paraId="3FA05001">
            <w:pPr>
              <w:pStyle w:val="6"/>
            </w:pPr>
          </w:p>
        </w:tc>
        <w:tc>
          <w:tcPr>
            <w:tcW w:w="1192" w:type="dxa"/>
            <w:vAlign w:val="top"/>
          </w:tcPr>
          <w:p w14:paraId="10F6402C">
            <w:pPr>
              <w:pStyle w:val="6"/>
            </w:pPr>
          </w:p>
        </w:tc>
      </w:tr>
      <w:tr w14:paraId="63D784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2099" w:type="dxa"/>
            <w:vAlign w:val="top"/>
          </w:tcPr>
          <w:p w14:paraId="4A0648E2">
            <w:pPr>
              <w:spacing w:before="66" w:line="220" w:lineRule="auto"/>
              <w:rPr>
                <w:rFonts w:ascii="宋体" w:hAnsi="宋体" w:eastAsia="宋体" w:cs="宋体"/>
                <w:sz w:val="23"/>
                <w:szCs w:val="23"/>
              </w:rPr>
            </w:pPr>
            <w:r>
              <w:rPr>
                <w:rFonts w:ascii="宋体" w:hAnsi="宋体" w:eastAsia="宋体" w:cs="宋体"/>
                <w:spacing w:val="3"/>
                <w:sz w:val="23"/>
                <w:szCs w:val="23"/>
              </w:rPr>
              <w:t>专用工具</w:t>
            </w:r>
          </w:p>
        </w:tc>
        <w:tc>
          <w:tcPr>
            <w:tcW w:w="399" w:type="dxa"/>
            <w:vAlign w:val="top"/>
          </w:tcPr>
          <w:p w14:paraId="7930E7BA">
            <w:pPr>
              <w:spacing w:before="66" w:line="228" w:lineRule="auto"/>
              <w:ind w:left="81"/>
              <w:rPr>
                <w:rFonts w:ascii="宋体" w:hAnsi="宋体" w:eastAsia="宋体" w:cs="宋体"/>
                <w:sz w:val="23"/>
                <w:szCs w:val="23"/>
              </w:rPr>
            </w:pPr>
            <w:r>
              <w:rPr>
                <w:rFonts w:ascii="宋体" w:hAnsi="宋体" w:eastAsia="宋体" w:cs="宋体"/>
                <w:sz w:val="23"/>
                <w:szCs w:val="23"/>
              </w:rPr>
              <w:t>□</w:t>
            </w:r>
          </w:p>
        </w:tc>
        <w:tc>
          <w:tcPr>
            <w:tcW w:w="837" w:type="dxa"/>
            <w:vAlign w:val="top"/>
          </w:tcPr>
          <w:p w14:paraId="592A334E">
            <w:pPr>
              <w:spacing w:before="66" w:line="220" w:lineRule="auto"/>
              <w:ind w:left="121"/>
              <w:rPr>
                <w:rFonts w:ascii="宋体" w:hAnsi="宋体" w:eastAsia="宋体" w:cs="宋体"/>
                <w:sz w:val="23"/>
                <w:szCs w:val="23"/>
              </w:rPr>
            </w:pPr>
            <w:r>
              <w:rPr>
                <w:rFonts w:ascii="宋体" w:hAnsi="宋体" w:eastAsia="宋体" w:cs="宋体"/>
                <w:spacing w:val="5"/>
                <w:sz w:val="23"/>
                <w:szCs w:val="23"/>
              </w:rPr>
              <w:t>没有</w:t>
            </w:r>
          </w:p>
        </w:tc>
        <w:tc>
          <w:tcPr>
            <w:tcW w:w="583" w:type="dxa"/>
            <w:vAlign w:val="top"/>
          </w:tcPr>
          <w:p w14:paraId="5DF7C131">
            <w:pPr>
              <w:spacing w:before="66" w:line="228" w:lineRule="auto"/>
              <w:ind w:left="245"/>
              <w:rPr>
                <w:rFonts w:ascii="宋体" w:hAnsi="宋体" w:eastAsia="宋体" w:cs="宋体"/>
                <w:sz w:val="23"/>
                <w:szCs w:val="23"/>
              </w:rPr>
            </w:pPr>
            <w:r>
              <w:rPr>
                <w:rFonts w:ascii="宋体" w:hAnsi="宋体" w:eastAsia="宋体" w:cs="宋体"/>
                <w:sz w:val="23"/>
                <w:szCs w:val="23"/>
              </w:rPr>
              <w:t>□</w:t>
            </w:r>
          </w:p>
        </w:tc>
        <w:tc>
          <w:tcPr>
            <w:tcW w:w="850" w:type="dxa"/>
            <w:vAlign w:val="top"/>
          </w:tcPr>
          <w:p w14:paraId="18F20F02">
            <w:pPr>
              <w:spacing w:before="67" w:line="219" w:lineRule="auto"/>
              <w:ind w:left="121"/>
              <w:rPr>
                <w:rFonts w:ascii="宋体" w:hAnsi="宋体" w:eastAsia="宋体" w:cs="宋体"/>
                <w:sz w:val="23"/>
                <w:szCs w:val="23"/>
              </w:rPr>
            </w:pPr>
            <w:r>
              <w:rPr>
                <w:rFonts w:ascii="宋体" w:hAnsi="宋体" w:eastAsia="宋体" w:cs="宋体"/>
                <w:spacing w:val="12"/>
                <w:sz w:val="23"/>
                <w:szCs w:val="23"/>
              </w:rPr>
              <w:t>见第</w:t>
            </w:r>
          </w:p>
        </w:tc>
        <w:tc>
          <w:tcPr>
            <w:tcW w:w="719" w:type="dxa"/>
            <w:vAlign w:val="top"/>
          </w:tcPr>
          <w:p w14:paraId="6D4E8640">
            <w:pPr>
              <w:spacing w:before="67" w:line="221" w:lineRule="auto"/>
              <w:ind w:left="231"/>
              <w:rPr>
                <w:rFonts w:ascii="宋体" w:hAnsi="宋体" w:eastAsia="宋体" w:cs="宋体"/>
                <w:sz w:val="23"/>
                <w:szCs w:val="23"/>
              </w:rPr>
            </w:pPr>
            <w:r>
              <w:rPr>
                <w:rFonts w:ascii="宋体" w:hAnsi="宋体" w:eastAsia="宋体" w:cs="宋体"/>
                <w:sz w:val="23"/>
                <w:szCs w:val="23"/>
              </w:rPr>
              <w:t>页</w:t>
            </w:r>
          </w:p>
        </w:tc>
        <w:tc>
          <w:tcPr>
            <w:tcW w:w="1192" w:type="dxa"/>
            <w:vAlign w:val="top"/>
          </w:tcPr>
          <w:p w14:paraId="1F7F0B44">
            <w:pPr>
              <w:pStyle w:val="6"/>
            </w:pPr>
          </w:p>
        </w:tc>
      </w:tr>
      <w:tr w14:paraId="43BC0B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0" w:hRule="atLeast"/>
        </w:trPr>
        <w:tc>
          <w:tcPr>
            <w:tcW w:w="2099" w:type="dxa"/>
            <w:vAlign w:val="top"/>
          </w:tcPr>
          <w:p w14:paraId="6C0CA5E7">
            <w:pPr>
              <w:spacing w:before="65" w:line="220" w:lineRule="auto"/>
              <w:rPr>
                <w:rFonts w:ascii="宋体" w:hAnsi="宋体" w:eastAsia="宋体" w:cs="宋体"/>
                <w:sz w:val="23"/>
                <w:szCs w:val="23"/>
              </w:rPr>
            </w:pPr>
            <w:r>
              <w:rPr>
                <w:rFonts w:ascii="宋体" w:hAnsi="宋体" w:eastAsia="宋体" w:cs="宋体"/>
                <w:spacing w:val="-2"/>
                <w:sz w:val="23"/>
                <w:szCs w:val="23"/>
              </w:rPr>
              <w:t>装卸要求</w:t>
            </w:r>
          </w:p>
        </w:tc>
        <w:tc>
          <w:tcPr>
            <w:tcW w:w="399" w:type="dxa"/>
            <w:vAlign w:val="top"/>
          </w:tcPr>
          <w:p w14:paraId="49ED70A5">
            <w:pPr>
              <w:spacing w:before="65" w:line="236" w:lineRule="auto"/>
              <w:ind w:left="81"/>
              <w:rPr>
                <w:rFonts w:ascii="宋体" w:hAnsi="宋体" w:eastAsia="宋体" w:cs="宋体"/>
                <w:sz w:val="23"/>
                <w:szCs w:val="23"/>
              </w:rPr>
            </w:pPr>
            <w:r>
              <w:rPr>
                <w:rFonts w:ascii="宋体" w:hAnsi="宋体" w:eastAsia="宋体" w:cs="宋体"/>
                <w:sz w:val="23"/>
                <w:szCs w:val="23"/>
              </w:rPr>
              <w:t>□</w:t>
            </w:r>
          </w:p>
        </w:tc>
        <w:tc>
          <w:tcPr>
            <w:tcW w:w="837" w:type="dxa"/>
            <w:vAlign w:val="top"/>
          </w:tcPr>
          <w:p w14:paraId="4C5C60FC">
            <w:pPr>
              <w:spacing w:before="65" w:line="220" w:lineRule="auto"/>
              <w:ind w:left="121"/>
              <w:rPr>
                <w:rFonts w:ascii="宋体" w:hAnsi="宋体" w:eastAsia="宋体" w:cs="宋体"/>
                <w:sz w:val="23"/>
                <w:szCs w:val="23"/>
              </w:rPr>
            </w:pPr>
            <w:r>
              <w:rPr>
                <w:rFonts w:ascii="宋体" w:hAnsi="宋体" w:eastAsia="宋体" w:cs="宋体"/>
                <w:spacing w:val="5"/>
                <w:sz w:val="23"/>
                <w:szCs w:val="23"/>
              </w:rPr>
              <w:t>没有</w:t>
            </w:r>
          </w:p>
        </w:tc>
        <w:tc>
          <w:tcPr>
            <w:tcW w:w="583" w:type="dxa"/>
            <w:vAlign w:val="top"/>
          </w:tcPr>
          <w:p w14:paraId="024E67BF">
            <w:pPr>
              <w:spacing w:before="65" w:line="236" w:lineRule="auto"/>
              <w:ind w:left="265"/>
              <w:rPr>
                <w:rFonts w:ascii="宋体" w:hAnsi="宋体" w:eastAsia="宋体" w:cs="宋体"/>
                <w:sz w:val="23"/>
                <w:szCs w:val="23"/>
              </w:rPr>
            </w:pPr>
            <w:r>
              <w:rPr>
                <w:rFonts w:ascii="宋体" w:hAnsi="宋体" w:eastAsia="宋体" w:cs="宋体"/>
                <w:sz w:val="23"/>
                <w:szCs w:val="23"/>
              </w:rPr>
              <w:t>□</w:t>
            </w:r>
          </w:p>
        </w:tc>
        <w:tc>
          <w:tcPr>
            <w:tcW w:w="850" w:type="dxa"/>
            <w:vAlign w:val="top"/>
          </w:tcPr>
          <w:p w14:paraId="43106B67">
            <w:pPr>
              <w:spacing w:before="66" w:line="219" w:lineRule="auto"/>
              <w:ind w:left="121"/>
              <w:rPr>
                <w:rFonts w:ascii="宋体" w:hAnsi="宋体" w:eastAsia="宋体" w:cs="宋体"/>
                <w:sz w:val="23"/>
                <w:szCs w:val="23"/>
              </w:rPr>
            </w:pPr>
            <w:r>
              <w:rPr>
                <w:rFonts w:ascii="宋体" w:hAnsi="宋体" w:eastAsia="宋体" w:cs="宋体"/>
                <w:spacing w:val="12"/>
                <w:sz w:val="23"/>
                <w:szCs w:val="23"/>
              </w:rPr>
              <w:t>见第</w:t>
            </w:r>
          </w:p>
        </w:tc>
        <w:tc>
          <w:tcPr>
            <w:tcW w:w="719" w:type="dxa"/>
            <w:vAlign w:val="top"/>
          </w:tcPr>
          <w:p w14:paraId="261560D1">
            <w:pPr>
              <w:spacing w:before="66" w:line="221" w:lineRule="auto"/>
              <w:ind w:left="231"/>
              <w:rPr>
                <w:rFonts w:ascii="宋体" w:hAnsi="宋体" w:eastAsia="宋体" w:cs="宋体"/>
                <w:sz w:val="23"/>
                <w:szCs w:val="23"/>
              </w:rPr>
            </w:pPr>
            <w:r>
              <w:rPr>
                <w:rFonts w:ascii="宋体" w:hAnsi="宋体" w:eastAsia="宋体" w:cs="宋体"/>
                <w:sz w:val="23"/>
                <w:szCs w:val="23"/>
              </w:rPr>
              <w:t>页</w:t>
            </w:r>
          </w:p>
        </w:tc>
        <w:tc>
          <w:tcPr>
            <w:tcW w:w="1192" w:type="dxa"/>
            <w:vAlign w:val="top"/>
          </w:tcPr>
          <w:p w14:paraId="73D267EA">
            <w:pPr>
              <w:pStyle w:val="6"/>
            </w:pPr>
          </w:p>
        </w:tc>
      </w:tr>
      <w:tr w14:paraId="3805CE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5" w:hRule="atLeast"/>
        </w:trPr>
        <w:tc>
          <w:tcPr>
            <w:tcW w:w="2099" w:type="dxa"/>
            <w:vAlign w:val="top"/>
          </w:tcPr>
          <w:p w14:paraId="6DA20113">
            <w:pPr>
              <w:spacing w:before="77" w:line="268" w:lineRule="auto"/>
              <w:ind w:right="708"/>
              <w:rPr>
                <w:rFonts w:ascii="宋体" w:hAnsi="宋体" w:eastAsia="宋体" w:cs="宋体"/>
                <w:sz w:val="23"/>
                <w:szCs w:val="23"/>
              </w:rPr>
            </w:pPr>
            <w:r>
              <w:rPr>
                <w:rFonts w:ascii="宋体" w:hAnsi="宋体" w:eastAsia="宋体" w:cs="宋体"/>
                <w:spacing w:val="1"/>
                <w:sz w:val="23"/>
                <w:szCs w:val="23"/>
              </w:rPr>
              <w:t>工作环境要求</w:t>
            </w:r>
            <w:r>
              <w:rPr>
                <w:rFonts w:ascii="宋体" w:hAnsi="宋体" w:eastAsia="宋体" w:cs="宋体"/>
                <w:spacing w:val="3"/>
                <w:sz w:val="23"/>
                <w:szCs w:val="23"/>
              </w:rPr>
              <w:t xml:space="preserve"> </w:t>
            </w:r>
            <w:r>
              <w:rPr>
                <w:rFonts w:ascii="宋体" w:hAnsi="宋体" w:eastAsia="宋体" w:cs="宋体"/>
                <w:spacing w:val="1"/>
                <w:sz w:val="23"/>
                <w:szCs w:val="23"/>
              </w:rPr>
              <w:t>专用紧固要求</w:t>
            </w:r>
          </w:p>
        </w:tc>
        <w:tc>
          <w:tcPr>
            <w:tcW w:w="399" w:type="dxa"/>
            <w:vAlign w:val="top"/>
          </w:tcPr>
          <w:p w14:paraId="230A6612">
            <w:pPr>
              <w:pStyle w:val="6"/>
              <w:spacing w:line="368" w:lineRule="auto"/>
            </w:pPr>
          </w:p>
          <w:p w14:paraId="69CA80D6">
            <w:pPr>
              <w:spacing w:before="75" w:line="239" w:lineRule="auto"/>
              <w:ind w:left="81"/>
              <w:rPr>
                <w:rFonts w:ascii="宋体" w:hAnsi="宋体" w:eastAsia="宋体" w:cs="宋体"/>
                <w:sz w:val="23"/>
                <w:szCs w:val="23"/>
              </w:rPr>
            </w:pPr>
            <w:r>
              <w:rPr>
                <w:rFonts w:ascii="宋体" w:hAnsi="宋体" w:eastAsia="宋体" w:cs="宋体"/>
                <w:sz w:val="23"/>
                <w:szCs w:val="23"/>
              </w:rPr>
              <w:t>□</w:t>
            </w:r>
          </w:p>
        </w:tc>
        <w:tc>
          <w:tcPr>
            <w:tcW w:w="837" w:type="dxa"/>
            <w:vAlign w:val="top"/>
          </w:tcPr>
          <w:p w14:paraId="351858CC">
            <w:pPr>
              <w:pStyle w:val="6"/>
              <w:spacing w:line="368" w:lineRule="auto"/>
            </w:pPr>
          </w:p>
          <w:p w14:paraId="37D20233">
            <w:pPr>
              <w:spacing w:before="75" w:line="220" w:lineRule="auto"/>
              <w:ind w:left="121"/>
              <w:rPr>
                <w:rFonts w:ascii="宋体" w:hAnsi="宋体" w:eastAsia="宋体" w:cs="宋体"/>
                <w:sz w:val="23"/>
                <w:szCs w:val="23"/>
              </w:rPr>
            </w:pPr>
            <w:r>
              <w:rPr>
                <w:rFonts w:ascii="宋体" w:hAnsi="宋体" w:eastAsia="宋体" w:cs="宋体"/>
                <w:spacing w:val="5"/>
                <w:sz w:val="23"/>
                <w:szCs w:val="23"/>
              </w:rPr>
              <w:t>没有</w:t>
            </w:r>
          </w:p>
        </w:tc>
        <w:tc>
          <w:tcPr>
            <w:tcW w:w="583" w:type="dxa"/>
            <w:vAlign w:val="top"/>
          </w:tcPr>
          <w:p w14:paraId="755B2E77">
            <w:pPr>
              <w:pStyle w:val="6"/>
              <w:spacing w:line="368" w:lineRule="auto"/>
            </w:pPr>
          </w:p>
          <w:p w14:paraId="6AF19549">
            <w:pPr>
              <w:spacing w:before="75" w:line="239" w:lineRule="auto"/>
              <w:ind w:left="255"/>
              <w:rPr>
                <w:rFonts w:ascii="宋体" w:hAnsi="宋体" w:eastAsia="宋体" w:cs="宋体"/>
                <w:sz w:val="23"/>
                <w:szCs w:val="23"/>
              </w:rPr>
            </w:pPr>
            <w:r>
              <w:rPr>
                <w:rFonts w:ascii="宋体" w:hAnsi="宋体" w:eastAsia="宋体" w:cs="宋体"/>
                <w:sz w:val="23"/>
                <w:szCs w:val="23"/>
              </w:rPr>
              <w:t>□</w:t>
            </w:r>
          </w:p>
        </w:tc>
        <w:tc>
          <w:tcPr>
            <w:tcW w:w="850" w:type="dxa"/>
            <w:vAlign w:val="top"/>
          </w:tcPr>
          <w:p w14:paraId="30BEB410">
            <w:pPr>
              <w:pStyle w:val="6"/>
              <w:spacing w:line="369" w:lineRule="auto"/>
            </w:pPr>
          </w:p>
          <w:p w14:paraId="31FB79CF">
            <w:pPr>
              <w:spacing w:before="74" w:line="219" w:lineRule="auto"/>
              <w:ind w:left="121"/>
              <w:rPr>
                <w:rFonts w:ascii="宋体" w:hAnsi="宋体" w:eastAsia="宋体" w:cs="宋体"/>
                <w:sz w:val="23"/>
                <w:szCs w:val="23"/>
              </w:rPr>
            </w:pPr>
            <w:r>
              <w:rPr>
                <w:rFonts w:ascii="宋体" w:hAnsi="宋体" w:eastAsia="宋体" w:cs="宋体"/>
                <w:spacing w:val="12"/>
                <w:sz w:val="23"/>
                <w:szCs w:val="23"/>
              </w:rPr>
              <w:t>见第</w:t>
            </w:r>
          </w:p>
        </w:tc>
        <w:tc>
          <w:tcPr>
            <w:tcW w:w="719" w:type="dxa"/>
            <w:vAlign w:val="top"/>
          </w:tcPr>
          <w:p w14:paraId="4DD320E9">
            <w:pPr>
              <w:pStyle w:val="6"/>
              <w:spacing w:line="369" w:lineRule="auto"/>
            </w:pPr>
          </w:p>
          <w:p w14:paraId="0ACF4488">
            <w:pPr>
              <w:spacing w:before="75" w:line="221" w:lineRule="auto"/>
              <w:ind w:left="251"/>
              <w:rPr>
                <w:rFonts w:ascii="宋体" w:hAnsi="宋体" w:eastAsia="宋体" w:cs="宋体"/>
                <w:sz w:val="23"/>
                <w:szCs w:val="23"/>
              </w:rPr>
            </w:pPr>
            <w:r>
              <w:rPr>
                <w:rFonts w:ascii="宋体" w:hAnsi="宋体" w:eastAsia="宋体" w:cs="宋体"/>
                <w:sz w:val="23"/>
                <w:szCs w:val="23"/>
              </w:rPr>
              <w:t>页</w:t>
            </w:r>
          </w:p>
        </w:tc>
        <w:tc>
          <w:tcPr>
            <w:tcW w:w="1192" w:type="dxa"/>
            <w:vAlign w:val="top"/>
          </w:tcPr>
          <w:p w14:paraId="0F0D2E8B">
            <w:pPr>
              <w:pStyle w:val="6"/>
              <w:spacing w:line="369" w:lineRule="auto"/>
            </w:pPr>
          </w:p>
          <w:p w14:paraId="13F6AC88">
            <w:pPr>
              <w:spacing w:before="74" w:line="219" w:lineRule="auto"/>
              <w:jc w:val="right"/>
              <w:rPr>
                <w:rFonts w:ascii="宋体" w:hAnsi="宋体" w:eastAsia="宋体" w:cs="宋体"/>
                <w:sz w:val="23"/>
                <w:szCs w:val="23"/>
              </w:rPr>
            </w:pPr>
            <w:r>
              <w:rPr>
                <w:rFonts w:ascii="宋体" w:hAnsi="宋体" w:eastAsia="宋体" w:cs="宋体"/>
                <w:spacing w:val="-5"/>
                <w:sz w:val="23"/>
                <w:szCs w:val="23"/>
              </w:rPr>
              <w:t>□</w:t>
            </w:r>
            <w:r>
              <w:rPr>
                <w:rFonts w:ascii="宋体" w:hAnsi="宋体" w:eastAsia="宋体" w:cs="宋体"/>
                <w:spacing w:val="21"/>
                <w:sz w:val="23"/>
                <w:szCs w:val="23"/>
              </w:rPr>
              <w:t xml:space="preserve">  </w:t>
            </w:r>
            <w:r>
              <w:rPr>
                <w:rFonts w:ascii="宋体" w:hAnsi="宋体" w:eastAsia="宋体" w:cs="宋体"/>
                <w:spacing w:val="-5"/>
                <w:sz w:val="23"/>
                <w:szCs w:val="23"/>
              </w:rPr>
              <w:t>见图</w:t>
            </w:r>
          </w:p>
        </w:tc>
      </w:tr>
      <w:tr w14:paraId="054DC2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2099" w:type="dxa"/>
            <w:vAlign w:val="top"/>
          </w:tcPr>
          <w:p w14:paraId="2D54567F">
            <w:pPr>
              <w:spacing w:before="80" w:line="221" w:lineRule="auto"/>
              <w:rPr>
                <w:rFonts w:ascii="宋体" w:hAnsi="宋体" w:eastAsia="宋体" w:cs="宋体"/>
                <w:sz w:val="23"/>
                <w:szCs w:val="23"/>
              </w:rPr>
            </w:pPr>
            <w:r>
              <w:rPr>
                <w:rFonts w:ascii="宋体" w:hAnsi="宋体" w:eastAsia="宋体" w:cs="宋体"/>
                <w:spacing w:val="1"/>
                <w:sz w:val="23"/>
                <w:szCs w:val="23"/>
              </w:rPr>
              <w:t>冷却空气要求</w:t>
            </w:r>
          </w:p>
        </w:tc>
        <w:tc>
          <w:tcPr>
            <w:tcW w:w="399" w:type="dxa"/>
            <w:vAlign w:val="top"/>
          </w:tcPr>
          <w:p w14:paraId="44F59845">
            <w:pPr>
              <w:spacing w:before="80" w:line="232" w:lineRule="auto"/>
              <w:ind w:left="81"/>
              <w:rPr>
                <w:rFonts w:ascii="宋体" w:hAnsi="宋体" w:eastAsia="宋体" w:cs="宋体"/>
                <w:sz w:val="23"/>
                <w:szCs w:val="23"/>
              </w:rPr>
            </w:pPr>
            <w:r>
              <w:rPr>
                <w:rFonts w:ascii="宋体" w:hAnsi="宋体" w:eastAsia="宋体" w:cs="宋体"/>
                <w:sz w:val="23"/>
                <w:szCs w:val="23"/>
              </w:rPr>
              <w:t>□</w:t>
            </w:r>
          </w:p>
        </w:tc>
        <w:tc>
          <w:tcPr>
            <w:tcW w:w="837" w:type="dxa"/>
            <w:vAlign w:val="top"/>
          </w:tcPr>
          <w:p w14:paraId="78F71F5A">
            <w:pPr>
              <w:spacing w:before="80" w:line="220" w:lineRule="auto"/>
              <w:ind w:left="121"/>
              <w:rPr>
                <w:rFonts w:ascii="宋体" w:hAnsi="宋体" w:eastAsia="宋体" w:cs="宋体"/>
                <w:sz w:val="23"/>
                <w:szCs w:val="23"/>
              </w:rPr>
            </w:pPr>
            <w:r>
              <w:rPr>
                <w:rFonts w:ascii="宋体" w:hAnsi="宋体" w:eastAsia="宋体" w:cs="宋体"/>
                <w:spacing w:val="5"/>
                <w:sz w:val="23"/>
                <w:szCs w:val="23"/>
              </w:rPr>
              <w:t>没有</w:t>
            </w:r>
          </w:p>
        </w:tc>
        <w:tc>
          <w:tcPr>
            <w:tcW w:w="583" w:type="dxa"/>
            <w:vAlign w:val="top"/>
          </w:tcPr>
          <w:p w14:paraId="69B47AC9">
            <w:pPr>
              <w:spacing w:before="80" w:line="232" w:lineRule="auto"/>
              <w:ind w:left="245"/>
              <w:rPr>
                <w:rFonts w:ascii="宋体" w:hAnsi="宋体" w:eastAsia="宋体" w:cs="宋体"/>
                <w:sz w:val="23"/>
                <w:szCs w:val="23"/>
              </w:rPr>
            </w:pPr>
            <w:r>
              <w:rPr>
                <w:rFonts w:ascii="宋体" w:hAnsi="宋体" w:eastAsia="宋体" w:cs="宋体"/>
                <w:sz w:val="23"/>
                <w:szCs w:val="23"/>
              </w:rPr>
              <w:t>□</w:t>
            </w:r>
          </w:p>
        </w:tc>
        <w:tc>
          <w:tcPr>
            <w:tcW w:w="850" w:type="dxa"/>
            <w:vAlign w:val="top"/>
          </w:tcPr>
          <w:p w14:paraId="5CAD73F7">
            <w:pPr>
              <w:spacing w:before="81" w:line="219" w:lineRule="auto"/>
              <w:ind w:left="121"/>
              <w:rPr>
                <w:rFonts w:ascii="宋体" w:hAnsi="宋体" w:eastAsia="宋体" w:cs="宋体"/>
                <w:sz w:val="23"/>
                <w:szCs w:val="23"/>
              </w:rPr>
            </w:pPr>
            <w:r>
              <w:rPr>
                <w:rFonts w:ascii="宋体" w:hAnsi="宋体" w:eastAsia="宋体" w:cs="宋体"/>
                <w:spacing w:val="18"/>
                <w:sz w:val="23"/>
                <w:szCs w:val="23"/>
              </w:rPr>
              <w:t>使用</w:t>
            </w:r>
          </w:p>
        </w:tc>
        <w:tc>
          <w:tcPr>
            <w:tcW w:w="719" w:type="dxa"/>
            <w:vAlign w:val="top"/>
          </w:tcPr>
          <w:p w14:paraId="5CC31890">
            <w:pPr>
              <w:pStyle w:val="6"/>
            </w:pPr>
          </w:p>
        </w:tc>
        <w:tc>
          <w:tcPr>
            <w:tcW w:w="1192" w:type="dxa"/>
            <w:vAlign w:val="top"/>
          </w:tcPr>
          <w:p w14:paraId="168CB7DA">
            <w:pPr>
              <w:pStyle w:val="6"/>
            </w:pPr>
          </w:p>
        </w:tc>
      </w:tr>
      <w:tr w14:paraId="3928E0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099" w:type="dxa"/>
            <w:vAlign w:val="top"/>
          </w:tcPr>
          <w:p w14:paraId="3F580C77">
            <w:pPr>
              <w:spacing w:before="70" w:line="220" w:lineRule="auto"/>
              <w:rPr>
                <w:rFonts w:ascii="宋体" w:hAnsi="宋体" w:eastAsia="宋体" w:cs="宋体"/>
                <w:sz w:val="23"/>
                <w:szCs w:val="23"/>
              </w:rPr>
            </w:pPr>
            <w:r>
              <w:rPr>
                <w:rFonts w:ascii="宋体" w:hAnsi="宋体" w:eastAsia="宋体" w:cs="宋体"/>
                <w:spacing w:val="2"/>
                <w:sz w:val="23"/>
                <w:szCs w:val="23"/>
              </w:rPr>
              <w:t>液压要求</w:t>
            </w:r>
          </w:p>
        </w:tc>
        <w:tc>
          <w:tcPr>
            <w:tcW w:w="399" w:type="dxa"/>
            <w:vAlign w:val="top"/>
          </w:tcPr>
          <w:p w14:paraId="5B2CAEE4">
            <w:pPr>
              <w:spacing w:before="70" w:line="236" w:lineRule="auto"/>
              <w:ind w:left="81"/>
              <w:rPr>
                <w:rFonts w:ascii="宋体" w:hAnsi="宋体" w:eastAsia="宋体" w:cs="宋体"/>
                <w:sz w:val="23"/>
                <w:szCs w:val="23"/>
              </w:rPr>
            </w:pPr>
            <w:r>
              <w:rPr>
                <w:rFonts w:ascii="宋体" w:hAnsi="宋体" w:eastAsia="宋体" w:cs="宋体"/>
                <w:sz w:val="23"/>
                <w:szCs w:val="23"/>
              </w:rPr>
              <w:t>□</w:t>
            </w:r>
          </w:p>
        </w:tc>
        <w:tc>
          <w:tcPr>
            <w:tcW w:w="837" w:type="dxa"/>
            <w:vAlign w:val="top"/>
          </w:tcPr>
          <w:p w14:paraId="47C724A3">
            <w:pPr>
              <w:spacing w:before="70" w:line="220" w:lineRule="auto"/>
              <w:ind w:left="121"/>
              <w:rPr>
                <w:rFonts w:ascii="宋体" w:hAnsi="宋体" w:eastAsia="宋体" w:cs="宋体"/>
                <w:sz w:val="23"/>
                <w:szCs w:val="23"/>
              </w:rPr>
            </w:pPr>
            <w:r>
              <w:rPr>
                <w:rFonts w:ascii="宋体" w:hAnsi="宋体" w:eastAsia="宋体" w:cs="宋体"/>
                <w:spacing w:val="5"/>
                <w:sz w:val="23"/>
                <w:szCs w:val="23"/>
              </w:rPr>
              <w:t>没有</w:t>
            </w:r>
          </w:p>
        </w:tc>
        <w:tc>
          <w:tcPr>
            <w:tcW w:w="583" w:type="dxa"/>
            <w:vAlign w:val="top"/>
          </w:tcPr>
          <w:p w14:paraId="0D3FD738">
            <w:pPr>
              <w:spacing w:before="70" w:line="236" w:lineRule="auto"/>
              <w:ind w:left="245"/>
              <w:rPr>
                <w:rFonts w:ascii="宋体" w:hAnsi="宋体" w:eastAsia="宋体" w:cs="宋体"/>
                <w:sz w:val="23"/>
                <w:szCs w:val="23"/>
              </w:rPr>
            </w:pPr>
            <w:r>
              <w:rPr>
                <w:rFonts w:ascii="宋体" w:hAnsi="宋体" w:eastAsia="宋体" w:cs="宋体"/>
                <w:sz w:val="23"/>
                <w:szCs w:val="23"/>
              </w:rPr>
              <w:t>□</w:t>
            </w:r>
          </w:p>
        </w:tc>
        <w:tc>
          <w:tcPr>
            <w:tcW w:w="850" w:type="dxa"/>
            <w:vAlign w:val="top"/>
          </w:tcPr>
          <w:p w14:paraId="1AD08344">
            <w:pPr>
              <w:spacing w:before="71" w:line="219" w:lineRule="auto"/>
              <w:ind w:left="121"/>
              <w:rPr>
                <w:rFonts w:ascii="宋体" w:hAnsi="宋体" w:eastAsia="宋体" w:cs="宋体"/>
                <w:sz w:val="23"/>
                <w:szCs w:val="23"/>
              </w:rPr>
            </w:pPr>
            <w:r>
              <w:rPr>
                <w:rFonts w:ascii="宋体" w:hAnsi="宋体" w:eastAsia="宋体" w:cs="宋体"/>
                <w:spacing w:val="18"/>
                <w:sz w:val="23"/>
                <w:szCs w:val="23"/>
              </w:rPr>
              <w:t>使用</w:t>
            </w:r>
          </w:p>
        </w:tc>
        <w:tc>
          <w:tcPr>
            <w:tcW w:w="719" w:type="dxa"/>
            <w:vAlign w:val="top"/>
          </w:tcPr>
          <w:p w14:paraId="2A6A5707">
            <w:pPr>
              <w:pStyle w:val="6"/>
            </w:pPr>
          </w:p>
        </w:tc>
        <w:tc>
          <w:tcPr>
            <w:tcW w:w="1192" w:type="dxa"/>
            <w:vAlign w:val="top"/>
          </w:tcPr>
          <w:p w14:paraId="0E8F5BCF">
            <w:pPr>
              <w:pStyle w:val="6"/>
            </w:pPr>
          </w:p>
        </w:tc>
      </w:tr>
      <w:tr w14:paraId="7E091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2099" w:type="dxa"/>
            <w:vAlign w:val="top"/>
          </w:tcPr>
          <w:p w14:paraId="4AFB5D7F">
            <w:pPr>
              <w:spacing w:before="75" w:line="221" w:lineRule="auto"/>
              <w:rPr>
                <w:rFonts w:ascii="宋体" w:hAnsi="宋体" w:eastAsia="宋体" w:cs="宋体"/>
                <w:sz w:val="23"/>
                <w:szCs w:val="23"/>
              </w:rPr>
            </w:pPr>
            <w:r>
              <w:rPr>
                <w:rFonts w:ascii="宋体" w:hAnsi="宋体" w:eastAsia="宋体" w:cs="宋体"/>
                <w:spacing w:val="4"/>
                <w:sz w:val="23"/>
                <w:szCs w:val="23"/>
              </w:rPr>
              <w:t>气压源要求</w:t>
            </w:r>
          </w:p>
        </w:tc>
        <w:tc>
          <w:tcPr>
            <w:tcW w:w="399" w:type="dxa"/>
            <w:vAlign w:val="top"/>
          </w:tcPr>
          <w:p w14:paraId="0F8C5A87">
            <w:pPr>
              <w:spacing w:before="75" w:line="229" w:lineRule="auto"/>
              <w:ind w:left="81"/>
              <w:rPr>
                <w:rFonts w:ascii="宋体" w:hAnsi="宋体" w:eastAsia="宋体" w:cs="宋体"/>
                <w:sz w:val="23"/>
                <w:szCs w:val="23"/>
              </w:rPr>
            </w:pPr>
            <w:r>
              <w:rPr>
                <w:rFonts w:ascii="宋体" w:hAnsi="宋体" w:eastAsia="宋体" w:cs="宋体"/>
                <w:sz w:val="23"/>
                <w:szCs w:val="23"/>
              </w:rPr>
              <w:t>□</w:t>
            </w:r>
          </w:p>
        </w:tc>
        <w:tc>
          <w:tcPr>
            <w:tcW w:w="837" w:type="dxa"/>
            <w:vAlign w:val="top"/>
          </w:tcPr>
          <w:p w14:paraId="45BDD67A">
            <w:pPr>
              <w:spacing w:before="75" w:line="220" w:lineRule="auto"/>
              <w:ind w:left="121"/>
              <w:rPr>
                <w:rFonts w:ascii="宋体" w:hAnsi="宋体" w:eastAsia="宋体" w:cs="宋体"/>
                <w:sz w:val="23"/>
                <w:szCs w:val="23"/>
              </w:rPr>
            </w:pPr>
            <w:r>
              <w:rPr>
                <w:rFonts w:ascii="宋体" w:hAnsi="宋体" w:eastAsia="宋体" w:cs="宋体"/>
                <w:spacing w:val="5"/>
                <w:sz w:val="23"/>
                <w:szCs w:val="23"/>
              </w:rPr>
              <w:t>没有</w:t>
            </w:r>
          </w:p>
        </w:tc>
        <w:tc>
          <w:tcPr>
            <w:tcW w:w="583" w:type="dxa"/>
            <w:vAlign w:val="top"/>
          </w:tcPr>
          <w:p w14:paraId="7734F268">
            <w:pPr>
              <w:spacing w:before="75" w:line="229" w:lineRule="auto"/>
              <w:ind w:left="245"/>
              <w:rPr>
                <w:rFonts w:ascii="宋体" w:hAnsi="宋体" w:eastAsia="宋体" w:cs="宋体"/>
                <w:sz w:val="23"/>
                <w:szCs w:val="23"/>
              </w:rPr>
            </w:pPr>
            <w:r>
              <w:rPr>
                <w:rFonts w:ascii="宋体" w:hAnsi="宋体" w:eastAsia="宋体" w:cs="宋体"/>
                <w:sz w:val="23"/>
                <w:szCs w:val="23"/>
              </w:rPr>
              <w:t>□</w:t>
            </w:r>
          </w:p>
        </w:tc>
        <w:tc>
          <w:tcPr>
            <w:tcW w:w="850" w:type="dxa"/>
            <w:vAlign w:val="top"/>
          </w:tcPr>
          <w:p w14:paraId="0D4FA002">
            <w:pPr>
              <w:spacing w:before="76" w:line="219" w:lineRule="auto"/>
              <w:ind w:left="121"/>
              <w:rPr>
                <w:rFonts w:ascii="宋体" w:hAnsi="宋体" w:eastAsia="宋体" w:cs="宋体"/>
                <w:sz w:val="23"/>
                <w:szCs w:val="23"/>
              </w:rPr>
            </w:pPr>
            <w:r>
              <w:rPr>
                <w:rFonts w:ascii="宋体" w:hAnsi="宋体" w:eastAsia="宋体" w:cs="宋体"/>
                <w:spacing w:val="18"/>
                <w:sz w:val="23"/>
                <w:szCs w:val="23"/>
              </w:rPr>
              <w:t>使用</w:t>
            </w:r>
          </w:p>
        </w:tc>
        <w:tc>
          <w:tcPr>
            <w:tcW w:w="719" w:type="dxa"/>
            <w:vAlign w:val="top"/>
          </w:tcPr>
          <w:p w14:paraId="3AFCD192">
            <w:pPr>
              <w:pStyle w:val="6"/>
            </w:pPr>
          </w:p>
        </w:tc>
        <w:tc>
          <w:tcPr>
            <w:tcW w:w="1192" w:type="dxa"/>
            <w:vAlign w:val="top"/>
          </w:tcPr>
          <w:p w14:paraId="769995B3">
            <w:pPr>
              <w:pStyle w:val="6"/>
            </w:pPr>
          </w:p>
        </w:tc>
      </w:tr>
      <w:tr w14:paraId="4EC2A3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099" w:type="dxa"/>
            <w:vAlign w:val="top"/>
          </w:tcPr>
          <w:p w14:paraId="7AD206D3">
            <w:pPr>
              <w:spacing w:before="94" w:line="220" w:lineRule="auto"/>
              <w:rPr>
                <w:rFonts w:ascii="宋体" w:hAnsi="宋体" w:eastAsia="宋体" w:cs="宋体"/>
                <w:sz w:val="23"/>
                <w:szCs w:val="23"/>
              </w:rPr>
            </w:pPr>
            <w:r>
              <w:rPr>
                <w:rFonts w:ascii="宋体" w:hAnsi="宋体" w:eastAsia="宋体" w:cs="宋体"/>
                <w:spacing w:val="2"/>
                <w:sz w:val="23"/>
                <w:szCs w:val="23"/>
              </w:rPr>
              <w:t>其他要求</w:t>
            </w:r>
          </w:p>
        </w:tc>
        <w:tc>
          <w:tcPr>
            <w:tcW w:w="399" w:type="dxa"/>
            <w:vAlign w:val="top"/>
          </w:tcPr>
          <w:p w14:paraId="0B035559">
            <w:pPr>
              <w:spacing w:before="94" w:line="232" w:lineRule="auto"/>
              <w:ind w:left="81"/>
              <w:rPr>
                <w:rFonts w:ascii="宋体" w:hAnsi="宋体" w:eastAsia="宋体" w:cs="宋体"/>
                <w:sz w:val="23"/>
                <w:szCs w:val="23"/>
              </w:rPr>
            </w:pPr>
            <w:r>
              <w:rPr>
                <w:rFonts w:ascii="宋体" w:hAnsi="宋体" w:eastAsia="宋体" w:cs="宋体"/>
                <w:sz w:val="23"/>
                <w:szCs w:val="23"/>
              </w:rPr>
              <w:t>□</w:t>
            </w:r>
          </w:p>
        </w:tc>
        <w:tc>
          <w:tcPr>
            <w:tcW w:w="837" w:type="dxa"/>
            <w:vAlign w:val="top"/>
          </w:tcPr>
          <w:p w14:paraId="006549E3">
            <w:pPr>
              <w:spacing w:before="94" w:line="220" w:lineRule="auto"/>
              <w:ind w:left="121"/>
              <w:rPr>
                <w:rFonts w:ascii="宋体" w:hAnsi="宋体" w:eastAsia="宋体" w:cs="宋体"/>
                <w:sz w:val="23"/>
                <w:szCs w:val="23"/>
              </w:rPr>
            </w:pPr>
            <w:r>
              <w:rPr>
                <w:rFonts w:ascii="宋体" w:hAnsi="宋体" w:eastAsia="宋体" w:cs="宋体"/>
                <w:spacing w:val="5"/>
                <w:sz w:val="23"/>
                <w:szCs w:val="23"/>
              </w:rPr>
              <w:t>没有</w:t>
            </w:r>
          </w:p>
        </w:tc>
        <w:tc>
          <w:tcPr>
            <w:tcW w:w="583" w:type="dxa"/>
            <w:vAlign w:val="top"/>
          </w:tcPr>
          <w:p w14:paraId="685F81AF">
            <w:pPr>
              <w:spacing w:before="94" w:line="232" w:lineRule="auto"/>
              <w:ind w:left="245"/>
              <w:rPr>
                <w:rFonts w:ascii="宋体" w:hAnsi="宋体" w:eastAsia="宋体" w:cs="宋体"/>
                <w:sz w:val="23"/>
                <w:szCs w:val="23"/>
              </w:rPr>
            </w:pPr>
            <w:r>
              <w:rPr>
                <w:rFonts w:ascii="宋体" w:hAnsi="宋体" w:eastAsia="宋体" w:cs="宋体"/>
                <w:sz w:val="23"/>
                <w:szCs w:val="23"/>
              </w:rPr>
              <w:t>□</w:t>
            </w:r>
          </w:p>
        </w:tc>
        <w:tc>
          <w:tcPr>
            <w:tcW w:w="850" w:type="dxa"/>
            <w:vAlign w:val="top"/>
          </w:tcPr>
          <w:p w14:paraId="42E1964F">
            <w:pPr>
              <w:spacing w:before="95" w:line="219" w:lineRule="auto"/>
              <w:ind w:left="142"/>
              <w:rPr>
                <w:rFonts w:ascii="宋体" w:hAnsi="宋体" w:eastAsia="宋体" w:cs="宋体"/>
                <w:sz w:val="23"/>
                <w:szCs w:val="23"/>
              </w:rPr>
            </w:pPr>
            <w:r>
              <w:rPr>
                <w:rFonts w:ascii="宋体" w:hAnsi="宋体" w:eastAsia="宋体" w:cs="宋体"/>
                <w:spacing w:val="-4"/>
                <w:sz w:val="23"/>
                <w:szCs w:val="23"/>
              </w:rPr>
              <w:t>见第</w:t>
            </w:r>
          </w:p>
        </w:tc>
        <w:tc>
          <w:tcPr>
            <w:tcW w:w="719" w:type="dxa"/>
            <w:vAlign w:val="top"/>
          </w:tcPr>
          <w:p w14:paraId="2EACC397">
            <w:pPr>
              <w:spacing w:before="68" w:line="221" w:lineRule="auto"/>
              <w:ind w:left="261"/>
              <w:rPr>
                <w:rFonts w:ascii="宋体" w:hAnsi="宋体" w:eastAsia="宋体" w:cs="宋体"/>
                <w:sz w:val="23"/>
                <w:szCs w:val="23"/>
              </w:rPr>
            </w:pPr>
            <w:r>
              <w:rPr>
                <w:rFonts w:ascii="宋体" w:hAnsi="宋体" w:eastAsia="宋体" w:cs="宋体"/>
                <w:sz w:val="23"/>
                <w:szCs w:val="23"/>
              </w:rPr>
              <w:t>页</w:t>
            </w:r>
          </w:p>
        </w:tc>
        <w:tc>
          <w:tcPr>
            <w:tcW w:w="1192" w:type="dxa"/>
            <w:vAlign w:val="top"/>
          </w:tcPr>
          <w:p w14:paraId="76C29BF3">
            <w:pPr>
              <w:pStyle w:val="6"/>
            </w:pPr>
          </w:p>
        </w:tc>
      </w:tr>
      <w:tr w14:paraId="0560E4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2099" w:type="dxa"/>
            <w:vAlign w:val="top"/>
          </w:tcPr>
          <w:p w14:paraId="0CF2EF8E">
            <w:pPr>
              <w:spacing w:before="70" w:line="221" w:lineRule="auto"/>
              <w:rPr>
                <w:rFonts w:ascii="宋体" w:hAnsi="宋体" w:eastAsia="宋体" w:cs="宋体"/>
                <w:sz w:val="23"/>
                <w:szCs w:val="23"/>
              </w:rPr>
            </w:pPr>
            <w:r>
              <w:rPr>
                <w:rFonts w:ascii="宋体" w:hAnsi="宋体" w:eastAsia="宋体" w:cs="宋体"/>
                <w:spacing w:val="2"/>
                <w:sz w:val="23"/>
                <w:szCs w:val="23"/>
              </w:rPr>
              <w:t>安全要求</w:t>
            </w:r>
          </w:p>
        </w:tc>
        <w:tc>
          <w:tcPr>
            <w:tcW w:w="399" w:type="dxa"/>
            <w:vAlign w:val="top"/>
          </w:tcPr>
          <w:p w14:paraId="5953CAB1">
            <w:pPr>
              <w:spacing w:before="70" w:line="233" w:lineRule="auto"/>
              <w:ind w:left="81"/>
              <w:rPr>
                <w:rFonts w:ascii="宋体" w:hAnsi="宋体" w:eastAsia="宋体" w:cs="宋体"/>
                <w:sz w:val="23"/>
                <w:szCs w:val="23"/>
              </w:rPr>
            </w:pPr>
            <w:r>
              <w:rPr>
                <w:rFonts w:ascii="宋体" w:hAnsi="宋体" w:eastAsia="宋体" w:cs="宋体"/>
                <w:sz w:val="23"/>
                <w:szCs w:val="23"/>
              </w:rPr>
              <w:t>□</w:t>
            </w:r>
          </w:p>
        </w:tc>
        <w:tc>
          <w:tcPr>
            <w:tcW w:w="837" w:type="dxa"/>
            <w:vAlign w:val="top"/>
          </w:tcPr>
          <w:p w14:paraId="2DA0AD87">
            <w:pPr>
              <w:spacing w:before="70" w:line="220" w:lineRule="auto"/>
              <w:ind w:left="121"/>
              <w:rPr>
                <w:rFonts w:ascii="宋体" w:hAnsi="宋体" w:eastAsia="宋体" w:cs="宋体"/>
                <w:sz w:val="23"/>
                <w:szCs w:val="23"/>
              </w:rPr>
            </w:pPr>
            <w:r>
              <w:rPr>
                <w:rFonts w:ascii="宋体" w:hAnsi="宋体" w:eastAsia="宋体" w:cs="宋体"/>
                <w:spacing w:val="5"/>
                <w:sz w:val="23"/>
                <w:szCs w:val="23"/>
              </w:rPr>
              <w:t>没有</w:t>
            </w:r>
          </w:p>
        </w:tc>
        <w:tc>
          <w:tcPr>
            <w:tcW w:w="583" w:type="dxa"/>
            <w:vAlign w:val="top"/>
          </w:tcPr>
          <w:p w14:paraId="0B29B6B4">
            <w:pPr>
              <w:spacing w:before="70" w:line="233" w:lineRule="auto"/>
              <w:ind w:left="245"/>
              <w:rPr>
                <w:rFonts w:ascii="宋体" w:hAnsi="宋体" w:eastAsia="宋体" w:cs="宋体"/>
                <w:sz w:val="23"/>
                <w:szCs w:val="23"/>
              </w:rPr>
            </w:pPr>
            <w:r>
              <w:rPr>
                <w:rFonts w:ascii="宋体" w:hAnsi="宋体" w:eastAsia="宋体" w:cs="宋体"/>
                <w:sz w:val="23"/>
                <w:szCs w:val="23"/>
              </w:rPr>
              <w:t>□</w:t>
            </w:r>
          </w:p>
        </w:tc>
        <w:tc>
          <w:tcPr>
            <w:tcW w:w="850" w:type="dxa"/>
            <w:vAlign w:val="top"/>
          </w:tcPr>
          <w:p w14:paraId="28AEA972">
            <w:pPr>
              <w:spacing w:before="71" w:line="219" w:lineRule="auto"/>
              <w:ind w:left="121"/>
              <w:rPr>
                <w:rFonts w:ascii="宋体" w:hAnsi="宋体" w:eastAsia="宋体" w:cs="宋体"/>
                <w:sz w:val="23"/>
                <w:szCs w:val="23"/>
              </w:rPr>
            </w:pPr>
            <w:r>
              <w:rPr>
                <w:rFonts w:ascii="宋体" w:hAnsi="宋体" w:eastAsia="宋体" w:cs="宋体"/>
                <w:spacing w:val="12"/>
                <w:sz w:val="23"/>
                <w:szCs w:val="23"/>
              </w:rPr>
              <w:t>见第</w:t>
            </w:r>
          </w:p>
        </w:tc>
        <w:tc>
          <w:tcPr>
            <w:tcW w:w="719" w:type="dxa"/>
            <w:vAlign w:val="top"/>
          </w:tcPr>
          <w:p w14:paraId="6F87BDA4">
            <w:pPr>
              <w:spacing w:before="71" w:line="221" w:lineRule="auto"/>
              <w:ind w:left="261"/>
              <w:rPr>
                <w:rFonts w:ascii="宋体" w:hAnsi="宋体" w:eastAsia="宋体" w:cs="宋体"/>
                <w:sz w:val="23"/>
                <w:szCs w:val="23"/>
              </w:rPr>
            </w:pPr>
            <w:r>
              <w:rPr>
                <w:rFonts w:ascii="宋体" w:hAnsi="宋体" w:eastAsia="宋体" w:cs="宋体"/>
                <w:sz w:val="23"/>
                <w:szCs w:val="23"/>
              </w:rPr>
              <w:t>页</w:t>
            </w:r>
          </w:p>
        </w:tc>
        <w:tc>
          <w:tcPr>
            <w:tcW w:w="1192" w:type="dxa"/>
            <w:vAlign w:val="top"/>
          </w:tcPr>
          <w:p w14:paraId="77579A91">
            <w:pPr>
              <w:pStyle w:val="6"/>
            </w:pPr>
          </w:p>
        </w:tc>
      </w:tr>
      <w:tr w14:paraId="114CE6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 w:hRule="atLeast"/>
        </w:trPr>
        <w:tc>
          <w:tcPr>
            <w:tcW w:w="2099" w:type="dxa"/>
            <w:vAlign w:val="top"/>
          </w:tcPr>
          <w:p w14:paraId="680F8D39">
            <w:pPr>
              <w:spacing w:before="71" w:line="176" w:lineRule="auto"/>
              <w:rPr>
                <w:rFonts w:ascii="宋体" w:hAnsi="宋体" w:eastAsia="宋体" w:cs="宋体"/>
                <w:sz w:val="23"/>
                <w:szCs w:val="23"/>
              </w:rPr>
            </w:pPr>
            <w:r>
              <w:rPr>
                <w:rFonts w:ascii="宋体" w:hAnsi="宋体" w:eastAsia="宋体" w:cs="宋体"/>
                <w:spacing w:val="2"/>
                <w:sz w:val="23"/>
                <w:szCs w:val="23"/>
              </w:rPr>
              <w:t>电源要求</w:t>
            </w:r>
          </w:p>
        </w:tc>
        <w:tc>
          <w:tcPr>
            <w:tcW w:w="399" w:type="dxa"/>
            <w:vAlign w:val="top"/>
          </w:tcPr>
          <w:p w14:paraId="6537161B">
            <w:pPr>
              <w:pStyle w:val="6"/>
            </w:pPr>
          </w:p>
        </w:tc>
        <w:tc>
          <w:tcPr>
            <w:tcW w:w="837" w:type="dxa"/>
            <w:vAlign w:val="top"/>
          </w:tcPr>
          <w:p w14:paraId="525279D9">
            <w:pPr>
              <w:pStyle w:val="6"/>
            </w:pPr>
          </w:p>
        </w:tc>
        <w:tc>
          <w:tcPr>
            <w:tcW w:w="583" w:type="dxa"/>
            <w:vAlign w:val="top"/>
          </w:tcPr>
          <w:p w14:paraId="3D843CC5">
            <w:pPr>
              <w:pStyle w:val="6"/>
            </w:pPr>
          </w:p>
        </w:tc>
        <w:tc>
          <w:tcPr>
            <w:tcW w:w="850" w:type="dxa"/>
            <w:vAlign w:val="top"/>
          </w:tcPr>
          <w:p w14:paraId="23E2BEB8">
            <w:pPr>
              <w:pStyle w:val="6"/>
            </w:pPr>
          </w:p>
        </w:tc>
        <w:tc>
          <w:tcPr>
            <w:tcW w:w="719" w:type="dxa"/>
            <w:vAlign w:val="top"/>
          </w:tcPr>
          <w:p w14:paraId="5AA62EFF">
            <w:pPr>
              <w:pStyle w:val="6"/>
            </w:pPr>
          </w:p>
        </w:tc>
        <w:tc>
          <w:tcPr>
            <w:tcW w:w="1192" w:type="dxa"/>
            <w:vAlign w:val="top"/>
          </w:tcPr>
          <w:p w14:paraId="218C4762">
            <w:pPr>
              <w:pStyle w:val="6"/>
            </w:pPr>
          </w:p>
        </w:tc>
      </w:tr>
    </w:tbl>
    <w:p w14:paraId="0A4FA90D">
      <w:pPr>
        <w:spacing w:line="165" w:lineRule="exact"/>
      </w:pPr>
    </w:p>
    <w:tbl>
      <w:tblPr>
        <w:tblStyle w:val="5"/>
        <w:tblW w:w="8150" w:type="dxa"/>
        <w:tblInd w:w="6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2"/>
        <w:gridCol w:w="939"/>
        <w:gridCol w:w="939"/>
        <w:gridCol w:w="939"/>
        <w:gridCol w:w="948"/>
        <w:gridCol w:w="939"/>
        <w:gridCol w:w="944"/>
      </w:tblGrid>
      <w:tr w14:paraId="644E0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2502" w:type="dxa"/>
            <w:vAlign w:val="top"/>
          </w:tcPr>
          <w:p w14:paraId="22C1C9F6">
            <w:pPr>
              <w:spacing w:before="74" w:line="221" w:lineRule="auto"/>
              <w:ind w:left="85"/>
              <w:rPr>
                <w:rFonts w:ascii="宋体" w:hAnsi="宋体" w:eastAsia="宋体" w:cs="宋体"/>
                <w:sz w:val="21"/>
                <w:szCs w:val="21"/>
              </w:rPr>
            </w:pPr>
            <w:r>
              <w:rPr>
                <w:rFonts w:ascii="宋体" w:hAnsi="宋体" w:eastAsia="宋体" w:cs="宋体"/>
                <w:spacing w:val="2"/>
                <w:sz w:val="21"/>
                <w:szCs w:val="21"/>
              </w:rPr>
              <w:t>交流电源</w:t>
            </w:r>
          </w:p>
        </w:tc>
        <w:tc>
          <w:tcPr>
            <w:tcW w:w="939" w:type="dxa"/>
            <w:vAlign w:val="top"/>
          </w:tcPr>
          <w:p w14:paraId="6BA42637">
            <w:pPr>
              <w:spacing w:before="94" w:line="220" w:lineRule="auto"/>
              <w:ind w:left="333"/>
              <w:rPr>
                <w:rFonts w:ascii="宋体" w:hAnsi="宋体" w:eastAsia="宋体" w:cs="宋体"/>
                <w:sz w:val="21"/>
                <w:szCs w:val="21"/>
              </w:rPr>
            </w:pPr>
            <w:r>
              <w:rPr>
                <w:rFonts w:ascii="宋体" w:hAnsi="宋体" w:eastAsia="宋体" w:cs="宋体"/>
                <w:spacing w:val="-2"/>
                <w:sz w:val="21"/>
                <w:szCs w:val="21"/>
              </w:rPr>
              <w:t>#1</w:t>
            </w:r>
          </w:p>
        </w:tc>
        <w:tc>
          <w:tcPr>
            <w:tcW w:w="939" w:type="dxa"/>
            <w:vAlign w:val="top"/>
          </w:tcPr>
          <w:p w14:paraId="661884B6">
            <w:pPr>
              <w:spacing w:before="94" w:line="220" w:lineRule="auto"/>
              <w:ind w:left="344"/>
              <w:rPr>
                <w:rFonts w:ascii="宋体" w:hAnsi="宋体" w:eastAsia="宋体" w:cs="宋体"/>
                <w:sz w:val="21"/>
                <w:szCs w:val="21"/>
              </w:rPr>
            </w:pPr>
            <w:r>
              <w:rPr>
                <w:rFonts w:ascii="宋体" w:hAnsi="宋体" w:eastAsia="宋体" w:cs="宋体"/>
                <w:spacing w:val="-2"/>
                <w:sz w:val="21"/>
                <w:szCs w:val="21"/>
              </w:rPr>
              <w:t>#2</w:t>
            </w:r>
          </w:p>
        </w:tc>
        <w:tc>
          <w:tcPr>
            <w:tcW w:w="939" w:type="dxa"/>
            <w:vAlign w:val="top"/>
          </w:tcPr>
          <w:p w14:paraId="127E6877">
            <w:pPr>
              <w:spacing w:before="94" w:line="220" w:lineRule="auto"/>
              <w:ind w:left="325"/>
              <w:rPr>
                <w:rFonts w:ascii="宋体" w:hAnsi="宋体" w:eastAsia="宋体" w:cs="宋体"/>
                <w:sz w:val="21"/>
                <w:szCs w:val="21"/>
              </w:rPr>
            </w:pPr>
            <w:r>
              <w:rPr>
                <w:rFonts w:ascii="宋体" w:hAnsi="宋体" w:eastAsia="宋体" w:cs="宋体"/>
                <w:spacing w:val="-2"/>
                <w:sz w:val="21"/>
                <w:szCs w:val="21"/>
              </w:rPr>
              <w:t>#3</w:t>
            </w:r>
          </w:p>
        </w:tc>
        <w:tc>
          <w:tcPr>
            <w:tcW w:w="948" w:type="dxa"/>
            <w:vAlign w:val="top"/>
          </w:tcPr>
          <w:p w14:paraId="72039807">
            <w:pPr>
              <w:spacing w:before="94" w:line="220" w:lineRule="auto"/>
              <w:ind w:left="335"/>
              <w:rPr>
                <w:rFonts w:ascii="宋体" w:hAnsi="宋体" w:eastAsia="宋体" w:cs="宋体"/>
                <w:sz w:val="21"/>
                <w:szCs w:val="21"/>
              </w:rPr>
            </w:pPr>
            <w:r>
              <w:rPr>
                <w:rFonts w:ascii="宋体" w:hAnsi="宋体" w:eastAsia="宋体" w:cs="宋体"/>
                <w:spacing w:val="-2"/>
                <w:sz w:val="21"/>
                <w:szCs w:val="21"/>
              </w:rPr>
              <w:t>#4</w:t>
            </w:r>
          </w:p>
        </w:tc>
        <w:tc>
          <w:tcPr>
            <w:tcW w:w="939" w:type="dxa"/>
            <w:vAlign w:val="top"/>
          </w:tcPr>
          <w:p w14:paraId="1417F320">
            <w:pPr>
              <w:spacing w:before="94" w:line="220" w:lineRule="auto"/>
              <w:ind w:left="338"/>
              <w:rPr>
                <w:rFonts w:ascii="宋体" w:hAnsi="宋体" w:eastAsia="宋体" w:cs="宋体"/>
                <w:sz w:val="21"/>
                <w:szCs w:val="21"/>
              </w:rPr>
            </w:pPr>
            <w:r>
              <w:rPr>
                <w:rFonts w:ascii="宋体" w:hAnsi="宋体" w:eastAsia="宋体" w:cs="宋体"/>
                <w:spacing w:val="-2"/>
                <w:sz w:val="21"/>
                <w:szCs w:val="21"/>
              </w:rPr>
              <w:t>#5</w:t>
            </w:r>
          </w:p>
        </w:tc>
        <w:tc>
          <w:tcPr>
            <w:tcW w:w="944" w:type="dxa"/>
            <w:vAlign w:val="top"/>
          </w:tcPr>
          <w:p w14:paraId="67D22F9F">
            <w:pPr>
              <w:spacing w:before="94" w:line="220" w:lineRule="auto"/>
              <w:ind w:left="338"/>
              <w:rPr>
                <w:rFonts w:ascii="宋体" w:hAnsi="宋体" w:eastAsia="宋体" w:cs="宋体"/>
                <w:sz w:val="21"/>
                <w:szCs w:val="21"/>
              </w:rPr>
            </w:pPr>
            <w:r>
              <w:rPr>
                <w:rFonts w:ascii="宋体" w:hAnsi="宋体" w:eastAsia="宋体" w:cs="宋体"/>
                <w:spacing w:val="-2"/>
                <w:sz w:val="21"/>
                <w:szCs w:val="21"/>
              </w:rPr>
              <w:t>#6</w:t>
            </w:r>
          </w:p>
        </w:tc>
      </w:tr>
      <w:tr w14:paraId="50FCF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02" w:type="dxa"/>
            <w:vAlign w:val="top"/>
          </w:tcPr>
          <w:p w14:paraId="34F64490">
            <w:pPr>
              <w:spacing w:before="72" w:line="223" w:lineRule="auto"/>
              <w:ind w:left="85"/>
              <w:rPr>
                <w:rFonts w:ascii="宋体" w:hAnsi="宋体" w:eastAsia="宋体" w:cs="宋体"/>
                <w:sz w:val="21"/>
                <w:szCs w:val="21"/>
              </w:rPr>
            </w:pPr>
            <w:r>
              <w:rPr>
                <w:rFonts w:ascii="宋体" w:hAnsi="宋体" w:eastAsia="宋体" w:cs="宋体"/>
                <w:spacing w:val="4"/>
                <w:sz w:val="21"/>
                <w:szCs w:val="21"/>
              </w:rPr>
              <w:t>电压</w:t>
            </w:r>
          </w:p>
        </w:tc>
        <w:tc>
          <w:tcPr>
            <w:tcW w:w="939" w:type="dxa"/>
            <w:vAlign w:val="top"/>
          </w:tcPr>
          <w:p w14:paraId="46A27FAE">
            <w:pPr>
              <w:pStyle w:val="6"/>
            </w:pPr>
          </w:p>
        </w:tc>
        <w:tc>
          <w:tcPr>
            <w:tcW w:w="939" w:type="dxa"/>
            <w:vAlign w:val="top"/>
          </w:tcPr>
          <w:p w14:paraId="41BCD51F">
            <w:pPr>
              <w:pStyle w:val="6"/>
            </w:pPr>
          </w:p>
        </w:tc>
        <w:tc>
          <w:tcPr>
            <w:tcW w:w="939" w:type="dxa"/>
            <w:vAlign w:val="top"/>
          </w:tcPr>
          <w:p w14:paraId="1CA43E32">
            <w:pPr>
              <w:pStyle w:val="6"/>
            </w:pPr>
          </w:p>
        </w:tc>
        <w:tc>
          <w:tcPr>
            <w:tcW w:w="948" w:type="dxa"/>
            <w:vAlign w:val="top"/>
          </w:tcPr>
          <w:p w14:paraId="7DB13508">
            <w:pPr>
              <w:pStyle w:val="6"/>
            </w:pPr>
          </w:p>
        </w:tc>
        <w:tc>
          <w:tcPr>
            <w:tcW w:w="939" w:type="dxa"/>
            <w:vAlign w:val="top"/>
          </w:tcPr>
          <w:p w14:paraId="2968C3FD">
            <w:pPr>
              <w:pStyle w:val="6"/>
            </w:pPr>
          </w:p>
        </w:tc>
        <w:tc>
          <w:tcPr>
            <w:tcW w:w="944" w:type="dxa"/>
            <w:vAlign w:val="top"/>
          </w:tcPr>
          <w:p w14:paraId="3A963126">
            <w:pPr>
              <w:pStyle w:val="6"/>
            </w:pPr>
          </w:p>
        </w:tc>
      </w:tr>
      <w:tr w14:paraId="77917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02" w:type="dxa"/>
            <w:vAlign w:val="top"/>
          </w:tcPr>
          <w:p w14:paraId="33476582">
            <w:pPr>
              <w:spacing w:before="80" w:line="220" w:lineRule="auto"/>
              <w:ind w:left="85"/>
              <w:rPr>
                <w:rFonts w:ascii="宋体" w:hAnsi="宋体" w:eastAsia="宋体" w:cs="宋体"/>
                <w:sz w:val="21"/>
                <w:szCs w:val="21"/>
              </w:rPr>
            </w:pPr>
            <w:r>
              <w:rPr>
                <w:rFonts w:ascii="宋体" w:hAnsi="宋体" w:eastAsia="宋体" w:cs="宋体"/>
                <w:spacing w:val="2"/>
                <w:sz w:val="21"/>
                <w:szCs w:val="21"/>
              </w:rPr>
              <w:t>电压容差</w:t>
            </w:r>
          </w:p>
        </w:tc>
        <w:tc>
          <w:tcPr>
            <w:tcW w:w="939" w:type="dxa"/>
            <w:vAlign w:val="top"/>
          </w:tcPr>
          <w:p w14:paraId="771204C9">
            <w:pPr>
              <w:pStyle w:val="6"/>
            </w:pPr>
          </w:p>
        </w:tc>
        <w:tc>
          <w:tcPr>
            <w:tcW w:w="939" w:type="dxa"/>
            <w:vAlign w:val="top"/>
          </w:tcPr>
          <w:p w14:paraId="7C2D7A94">
            <w:pPr>
              <w:pStyle w:val="6"/>
            </w:pPr>
          </w:p>
        </w:tc>
        <w:tc>
          <w:tcPr>
            <w:tcW w:w="939" w:type="dxa"/>
            <w:vAlign w:val="top"/>
          </w:tcPr>
          <w:p w14:paraId="72339785">
            <w:pPr>
              <w:pStyle w:val="6"/>
            </w:pPr>
          </w:p>
        </w:tc>
        <w:tc>
          <w:tcPr>
            <w:tcW w:w="948" w:type="dxa"/>
            <w:vAlign w:val="top"/>
          </w:tcPr>
          <w:p w14:paraId="77FF8E8A">
            <w:pPr>
              <w:pStyle w:val="6"/>
            </w:pPr>
          </w:p>
        </w:tc>
        <w:tc>
          <w:tcPr>
            <w:tcW w:w="939" w:type="dxa"/>
            <w:vAlign w:val="top"/>
          </w:tcPr>
          <w:p w14:paraId="547C1A6F">
            <w:pPr>
              <w:pStyle w:val="6"/>
            </w:pPr>
          </w:p>
        </w:tc>
        <w:tc>
          <w:tcPr>
            <w:tcW w:w="944" w:type="dxa"/>
            <w:vAlign w:val="top"/>
          </w:tcPr>
          <w:p w14:paraId="14A980D2">
            <w:pPr>
              <w:pStyle w:val="6"/>
            </w:pPr>
          </w:p>
        </w:tc>
      </w:tr>
      <w:tr w14:paraId="173EE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502" w:type="dxa"/>
            <w:vAlign w:val="top"/>
          </w:tcPr>
          <w:p w14:paraId="2E89E5C2">
            <w:pPr>
              <w:spacing w:before="70" w:line="219" w:lineRule="auto"/>
              <w:ind w:left="85"/>
              <w:rPr>
                <w:rFonts w:ascii="宋体" w:hAnsi="宋体" w:eastAsia="宋体" w:cs="宋体"/>
                <w:sz w:val="21"/>
                <w:szCs w:val="21"/>
              </w:rPr>
            </w:pPr>
            <w:r>
              <w:rPr>
                <w:rFonts w:ascii="宋体" w:hAnsi="宋体" w:eastAsia="宋体" w:cs="宋体"/>
                <w:spacing w:val="-3"/>
                <w:sz w:val="21"/>
                <w:szCs w:val="21"/>
              </w:rPr>
              <w:t>频率</w:t>
            </w:r>
          </w:p>
        </w:tc>
        <w:tc>
          <w:tcPr>
            <w:tcW w:w="939" w:type="dxa"/>
            <w:vAlign w:val="top"/>
          </w:tcPr>
          <w:p w14:paraId="188CA071">
            <w:pPr>
              <w:pStyle w:val="6"/>
            </w:pPr>
          </w:p>
        </w:tc>
        <w:tc>
          <w:tcPr>
            <w:tcW w:w="939" w:type="dxa"/>
            <w:vAlign w:val="top"/>
          </w:tcPr>
          <w:p w14:paraId="215B37FD">
            <w:pPr>
              <w:pStyle w:val="6"/>
            </w:pPr>
          </w:p>
        </w:tc>
        <w:tc>
          <w:tcPr>
            <w:tcW w:w="939" w:type="dxa"/>
            <w:vAlign w:val="top"/>
          </w:tcPr>
          <w:p w14:paraId="470BF11C">
            <w:pPr>
              <w:pStyle w:val="6"/>
            </w:pPr>
          </w:p>
        </w:tc>
        <w:tc>
          <w:tcPr>
            <w:tcW w:w="948" w:type="dxa"/>
            <w:vAlign w:val="top"/>
          </w:tcPr>
          <w:p w14:paraId="04F56407">
            <w:pPr>
              <w:pStyle w:val="6"/>
            </w:pPr>
          </w:p>
        </w:tc>
        <w:tc>
          <w:tcPr>
            <w:tcW w:w="939" w:type="dxa"/>
            <w:vAlign w:val="top"/>
          </w:tcPr>
          <w:p w14:paraId="144570D6">
            <w:pPr>
              <w:pStyle w:val="6"/>
            </w:pPr>
          </w:p>
        </w:tc>
        <w:tc>
          <w:tcPr>
            <w:tcW w:w="944" w:type="dxa"/>
            <w:vAlign w:val="top"/>
          </w:tcPr>
          <w:p w14:paraId="03985042">
            <w:pPr>
              <w:pStyle w:val="6"/>
            </w:pPr>
          </w:p>
        </w:tc>
      </w:tr>
      <w:tr w14:paraId="07EBA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02" w:type="dxa"/>
            <w:vAlign w:val="top"/>
          </w:tcPr>
          <w:p w14:paraId="7F43AB94">
            <w:pPr>
              <w:spacing w:before="70" w:line="219" w:lineRule="auto"/>
              <w:ind w:left="85"/>
              <w:rPr>
                <w:rFonts w:ascii="宋体" w:hAnsi="宋体" w:eastAsia="宋体" w:cs="宋体"/>
                <w:sz w:val="21"/>
                <w:szCs w:val="21"/>
              </w:rPr>
            </w:pPr>
            <w:r>
              <w:rPr>
                <w:rFonts w:ascii="宋体" w:hAnsi="宋体" w:eastAsia="宋体" w:cs="宋体"/>
                <w:spacing w:val="2"/>
                <w:sz w:val="21"/>
                <w:szCs w:val="21"/>
              </w:rPr>
              <w:t>频率容差</w:t>
            </w:r>
          </w:p>
        </w:tc>
        <w:tc>
          <w:tcPr>
            <w:tcW w:w="939" w:type="dxa"/>
            <w:vAlign w:val="top"/>
          </w:tcPr>
          <w:p w14:paraId="78EF32C1">
            <w:pPr>
              <w:pStyle w:val="6"/>
            </w:pPr>
          </w:p>
        </w:tc>
        <w:tc>
          <w:tcPr>
            <w:tcW w:w="939" w:type="dxa"/>
            <w:vAlign w:val="top"/>
          </w:tcPr>
          <w:p w14:paraId="5D5383E8">
            <w:pPr>
              <w:pStyle w:val="6"/>
            </w:pPr>
          </w:p>
        </w:tc>
        <w:tc>
          <w:tcPr>
            <w:tcW w:w="939" w:type="dxa"/>
            <w:vAlign w:val="top"/>
          </w:tcPr>
          <w:p w14:paraId="738947D2">
            <w:pPr>
              <w:pStyle w:val="6"/>
            </w:pPr>
          </w:p>
        </w:tc>
        <w:tc>
          <w:tcPr>
            <w:tcW w:w="948" w:type="dxa"/>
            <w:vAlign w:val="top"/>
          </w:tcPr>
          <w:p w14:paraId="17A703F4">
            <w:pPr>
              <w:pStyle w:val="6"/>
            </w:pPr>
          </w:p>
        </w:tc>
        <w:tc>
          <w:tcPr>
            <w:tcW w:w="939" w:type="dxa"/>
            <w:vAlign w:val="top"/>
          </w:tcPr>
          <w:p w14:paraId="0AB1504C">
            <w:pPr>
              <w:pStyle w:val="6"/>
            </w:pPr>
          </w:p>
        </w:tc>
        <w:tc>
          <w:tcPr>
            <w:tcW w:w="944" w:type="dxa"/>
            <w:vAlign w:val="top"/>
          </w:tcPr>
          <w:p w14:paraId="6B808C39">
            <w:pPr>
              <w:pStyle w:val="6"/>
            </w:pPr>
          </w:p>
        </w:tc>
      </w:tr>
      <w:tr w14:paraId="0F931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502" w:type="dxa"/>
            <w:vAlign w:val="top"/>
          </w:tcPr>
          <w:p w14:paraId="2A75446D">
            <w:pPr>
              <w:spacing w:before="75" w:line="223" w:lineRule="auto"/>
              <w:ind w:left="85"/>
              <w:rPr>
                <w:rFonts w:ascii="宋体" w:hAnsi="宋体" w:eastAsia="宋体" w:cs="宋体"/>
                <w:sz w:val="21"/>
                <w:szCs w:val="21"/>
              </w:rPr>
            </w:pPr>
            <w:r>
              <w:rPr>
                <w:rFonts w:ascii="宋体" w:hAnsi="宋体" w:eastAsia="宋体" w:cs="宋体"/>
                <w:spacing w:val="4"/>
                <w:sz w:val="21"/>
                <w:szCs w:val="21"/>
              </w:rPr>
              <w:t>电流</w:t>
            </w:r>
          </w:p>
        </w:tc>
        <w:tc>
          <w:tcPr>
            <w:tcW w:w="939" w:type="dxa"/>
            <w:vAlign w:val="top"/>
          </w:tcPr>
          <w:p w14:paraId="2F628394">
            <w:pPr>
              <w:pStyle w:val="6"/>
            </w:pPr>
          </w:p>
        </w:tc>
        <w:tc>
          <w:tcPr>
            <w:tcW w:w="939" w:type="dxa"/>
            <w:vAlign w:val="top"/>
          </w:tcPr>
          <w:p w14:paraId="2DCA8A50">
            <w:pPr>
              <w:pStyle w:val="6"/>
            </w:pPr>
          </w:p>
        </w:tc>
        <w:tc>
          <w:tcPr>
            <w:tcW w:w="939" w:type="dxa"/>
            <w:vAlign w:val="top"/>
          </w:tcPr>
          <w:p w14:paraId="385DFC27">
            <w:pPr>
              <w:pStyle w:val="6"/>
            </w:pPr>
          </w:p>
        </w:tc>
        <w:tc>
          <w:tcPr>
            <w:tcW w:w="948" w:type="dxa"/>
            <w:vAlign w:val="top"/>
          </w:tcPr>
          <w:p w14:paraId="1E9E3641">
            <w:pPr>
              <w:pStyle w:val="6"/>
            </w:pPr>
          </w:p>
        </w:tc>
        <w:tc>
          <w:tcPr>
            <w:tcW w:w="939" w:type="dxa"/>
            <w:vAlign w:val="top"/>
          </w:tcPr>
          <w:p w14:paraId="164C88D1">
            <w:pPr>
              <w:pStyle w:val="6"/>
            </w:pPr>
          </w:p>
        </w:tc>
        <w:tc>
          <w:tcPr>
            <w:tcW w:w="944" w:type="dxa"/>
            <w:vAlign w:val="top"/>
          </w:tcPr>
          <w:p w14:paraId="0621E086">
            <w:pPr>
              <w:pStyle w:val="6"/>
            </w:pPr>
          </w:p>
        </w:tc>
      </w:tr>
      <w:tr w14:paraId="39D76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502" w:type="dxa"/>
            <w:vAlign w:val="top"/>
          </w:tcPr>
          <w:p w14:paraId="3C044767">
            <w:pPr>
              <w:spacing w:before="72" w:line="221" w:lineRule="auto"/>
              <w:ind w:left="85"/>
              <w:rPr>
                <w:rFonts w:ascii="宋体" w:hAnsi="宋体" w:eastAsia="宋体" w:cs="宋体"/>
                <w:sz w:val="21"/>
                <w:szCs w:val="21"/>
              </w:rPr>
            </w:pPr>
            <w:r>
              <w:rPr>
                <w:rFonts w:ascii="宋体" w:hAnsi="宋体" w:eastAsia="宋体" w:cs="宋体"/>
                <w:spacing w:val="-2"/>
                <w:sz w:val="21"/>
                <w:szCs w:val="21"/>
              </w:rPr>
              <w:t>相位和基准</w:t>
            </w:r>
          </w:p>
        </w:tc>
        <w:tc>
          <w:tcPr>
            <w:tcW w:w="939" w:type="dxa"/>
            <w:vAlign w:val="top"/>
          </w:tcPr>
          <w:p w14:paraId="69116B2B">
            <w:pPr>
              <w:pStyle w:val="6"/>
            </w:pPr>
          </w:p>
        </w:tc>
        <w:tc>
          <w:tcPr>
            <w:tcW w:w="939" w:type="dxa"/>
            <w:vAlign w:val="top"/>
          </w:tcPr>
          <w:p w14:paraId="036ABBE4">
            <w:pPr>
              <w:pStyle w:val="6"/>
            </w:pPr>
          </w:p>
        </w:tc>
        <w:tc>
          <w:tcPr>
            <w:tcW w:w="939" w:type="dxa"/>
            <w:vAlign w:val="top"/>
          </w:tcPr>
          <w:p w14:paraId="0F51B7BF">
            <w:pPr>
              <w:pStyle w:val="6"/>
            </w:pPr>
          </w:p>
        </w:tc>
        <w:tc>
          <w:tcPr>
            <w:tcW w:w="948" w:type="dxa"/>
            <w:vAlign w:val="top"/>
          </w:tcPr>
          <w:p w14:paraId="73D5806E">
            <w:pPr>
              <w:pStyle w:val="6"/>
            </w:pPr>
          </w:p>
        </w:tc>
        <w:tc>
          <w:tcPr>
            <w:tcW w:w="939" w:type="dxa"/>
            <w:vAlign w:val="top"/>
          </w:tcPr>
          <w:p w14:paraId="14D9C079">
            <w:pPr>
              <w:pStyle w:val="6"/>
            </w:pPr>
          </w:p>
        </w:tc>
        <w:tc>
          <w:tcPr>
            <w:tcW w:w="944" w:type="dxa"/>
            <w:vAlign w:val="top"/>
          </w:tcPr>
          <w:p w14:paraId="291C4CBD">
            <w:pPr>
              <w:pStyle w:val="6"/>
            </w:pPr>
          </w:p>
        </w:tc>
      </w:tr>
      <w:tr w14:paraId="2757D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02" w:type="dxa"/>
            <w:vAlign w:val="top"/>
          </w:tcPr>
          <w:p w14:paraId="41235191">
            <w:pPr>
              <w:spacing w:before="71" w:line="219" w:lineRule="auto"/>
              <w:ind w:left="85"/>
              <w:rPr>
                <w:rFonts w:ascii="宋体" w:hAnsi="宋体" w:eastAsia="宋体" w:cs="宋体"/>
                <w:sz w:val="21"/>
                <w:szCs w:val="21"/>
              </w:rPr>
            </w:pPr>
            <w:r>
              <w:rPr>
                <w:rFonts w:ascii="宋体" w:hAnsi="宋体" w:eastAsia="宋体" w:cs="宋体"/>
                <w:spacing w:val="-2"/>
                <w:sz w:val="21"/>
                <w:szCs w:val="21"/>
              </w:rPr>
              <w:t>连接器和插针一输入</w:t>
            </w:r>
          </w:p>
        </w:tc>
        <w:tc>
          <w:tcPr>
            <w:tcW w:w="939" w:type="dxa"/>
            <w:vAlign w:val="top"/>
          </w:tcPr>
          <w:p w14:paraId="0E112182">
            <w:pPr>
              <w:pStyle w:val="6"/>
            </w:pPr>
          </w:p>
        </w:tc>
        <w:tc>
          <w:tcPr>
            <w:tcW w:w="939" w:type="dxa"/>
            <w:vAlign w:val="top"/>
          </w:tcPr>
          <w:p w14:paraId="1C9A27EC">
            <w:pPr>
              <w:pStyle w:val="6"/>
            </w:pPr>
          </w:p>
        </w:tc>
        <w:tc>
          <w:tcPr>
            <w:tcW w:w="939" w:type="dxa"/>
            <w:vAlign w:val="top"/>
          </w:tcPr>
          <w:p w14:paraId="2F936898">
            <w:pPr>
              <w:pStyle w:val="6"/>
            </w:pPr>
          </w:p>
        </w:tc>
        <w:tc>
          <w:tcPr>
            <w:tcW w:w="948" w:type="dxa"/>
            <w:vAlign w:val="top"/>
          </w:tcPr>
          <w:p w14:paraId="1509DC1E">
            <w:pPr>
              <w:pStyle w:val="6"/>
            </w:pPr>
          </w:p>
        </w:tc>
        <w:tc>
          <w:tcPr>
            <w:tcW w:w="939" w:type="dxa"/>
            <w:vAlign w:val="top"/>
          </w:tcPr>
          <w:p w14:paraId="526F6E10">
            <w:pPr>
              <w:pStyle w:val="6"/>
            </w:pPr>
          </w:p>
        </w:tc>
        <w:tc>
          <w:tcPr>
            <w:tcW w:w="944" w:type="dxa"/>
            <w:vAlign w:val="top"/>
          </w:tcPr>
          <w:p w14:paraId="11255673">
            <w:pPr>
              <w:pStyle w:val="6"/>
            </w:pPr>
          </w:p>
        </w:tc>
      </w:tr>
      <w:tr w14:paraId="6D714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02" w:type="dxa"/>
            <w:vAlign w:val="top"/>
          </w:tcPr>
          <w:p w14:paraId="1BC5AD46">
            <w:pPr>
              <w:spacing w:before="83" w:line="220" w:lineRule="auto"/>
              <w:ind w:left="85"/>
              <w:rPr>
                <w:rFonts w:ascii="宋体" w:hAnsi="宋体" w:eastAsia="宋体" w:cs="宋体"/>
                <w:sz w:val="21"/>
                <w:szCs w:val="21"/>
              </w:rPr>
            </w:pPr>
            <w:r>
              <w:rPr>
                <w:rFonts w:ascii="宋体" w:hAnsi="宋体" w:eastAsia="宋体" w:cs="宋体"/>
                <w:spacing w:val="1"/>
                <w:sz w:val="21"/>
                <w:szCs w:val="21"/>
              </w:rPr>
              <w:t>连接器和插针一回线</w:t>
            </w:r>
          </w:p>
        </w:tc>
        <w:tc>
          <w:tcPr>
            <w:tcW w:w="939" w:type="dxa"/>
            <w:vAlign w:val="top"/>
          </w:tcPr>
          <w:p w14:paraId="5D2CA303">
            <w:pPr>
              <w:pStyle w:val="6"/>
            </w:pPr>
          </w:p>
        </w:tc>
        <w:tc>
          <w:tcPr>
            <w:tcW w:w="939" w:type="dxa"/>
            <w:vAlign w:val="top"/>
          </w:tcPr>
          <w:p w14:paraId="17F6B420">
            <w:pPr>
              <w:pStyle w:val="6"/>
            </w:pPr>
          </w:p>
        </w:tc>
        <w:tc>
          <w:tcPr>
            <w:tcW w:w="939" w:type="dxa"/>
            <w:vAlign w:val="top"/>
          </w:tcPr>
          <w:p w14:paraId="29AAB83E">
            <w:pPr>
              <w:pStyle w:val="6"/>
            </w:pPr>
          </w:p>
        </w:tc>
        <w:tc>
          <w:tcPr>
            <w:tcW w:w="948" w:type="dxa"/>
            <w:vAlign w:val="top"/>
          </w:tcPr>
          <w:p w14:paraId="661104CD">
            <w:pPr>
              <w:pStyle w:val="6"/>
            </w:pPr>
          </w:p>
        </w:tc>
        <w:tc>
          <w:tcPr>
            <w:tcW w:w="939" w:type="dxa"/>
            <w:vAlign w:val="top"/>
          </w:tcPr>
          <w:p w14:paraId="44341066">
            <w:pPr>
              <w:pStyle w:val="6"/>
            </w:pPr>
          </w:p>
        </w:tc>
        <w:tc>
          <w:tcPr>
            <w:tcW w:w="944" w:type="dxa"/>
            <w:vAlign w:val="top"/>
          </w:tcPr>
          <w:p w14:paraId="5635D51A">
            <w:pPr>
              <w:pStyle w:val="6"/>
            </w:pPr>
          </w:p>
        </w:tc>
      </w:tr>
      <w:tr w14:paraId="68CB2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502" w:type="dxa"/>
            <w:vAlign w:val="top"/>
          </w:tcPr>
          <w:p w14:paraId="45B5BA55">
            <w:pPr>
              <w:spacing w:before="77" w:line="222" w:lineRule="auto"/>
              <w:ind w:left="85"/>
              <w:rPr>
                <w:rFonts w:ascii="宋体" w:hAnsi="宋体" w:eastAsia="宋体" w:cs="宋体"/>
                <w:sz w:val="21"/>
                <w:szCs w:val="21"/>
              </w:rPr>
            </w:pPr>
            <w:r>
              <w:rPr>
                <w:rFonts w:ascii="宋体" w:hAnsi="宋体" w:eastAsia="宋体" w:cs="宋体"/>
                <w:spacing w:val="-2"/>
                <w:sz w:val="21"/>
                <w:szCs w:val="21"/>
              </w:rPr>
              <w:t>直流电源</w:t>
            </w:r>
          </w:p>
        </w:tc>
        <w:tc>
          <w:tcPr>
            <w:tcW w:w="939" w:type="dxa"/>
            <w:vAlign w:val="top"/>
          </w:tcPr>
          <w:p w14:paraId="69271010">
            <w:pPr>
              <w:pStyle w:val="6"/>
            </w:pPr>
          </w:p>
        </w:tc>
        <w:tc>
          <w:tcPr>
            <w:tcW w:w="939" w:type="dxa"/>
            <w:vAlign w:val="top"/>
          </w:tcPr>
          <w:p w14:paraId="7AD90288">
            <w:pPr>
              <w:pStyle w:val="6"/>
            </w:pPr>
          </w:p>
        </w:tc>
        <w:tc>
          <w:tcPr>
            <w:tcW w:w="939" w:type="dxa"/>
            <w:vAlign w:val="top"/>
          </w:tcPr>
          <w:p w14:paraId="1D4D9736">
            <w:pPr>
              <w:pStyle w:val="6"/>
            </w:pPr>
          </w:p>
        </w:tc>
        <w:tc>
          <w:tcPr>
            <w:tcW w:w="948" w:type="dxa"/>
            <w:vAlign w:val="top"/>
          </w:tcPr>
          <w:p w14:paraId="21DD375F">
            <w:pPr>
              <w:pStyle w:val="6"/>
            </w:pPr>
          </w:p>
        </w:tc>
        <w:tc>
          <w:tcPr>
            <w:tcW w:w="939" w:type="dxa"/>
            <w:vAlign w:val="top"/>
          </w:tcPr>
          <w:p w14:paraId="7E7FFAE2">
            <w:pPr>
              <w:pStyle w:val="6"/>
            </w:pPr>
          </w:p>
        </w:tc>
        <w:tc>
          <w:tcPr>
            <w:tcW w:w="944" w:type="dxa"/>
            <w:vAlign w:val="top"/>
          </w:tcPr>
          <w:p w14:paraId="7D16BE24">
            <w:pPr>
              <w:pStyle w:val="6"/>
            </w:pPr>
          </w:p>
        </w:tc>
      </w:tr>
      <w:tr w14:paraId="5836A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02" w:type="dxa"/>
            <w:vAlign w:val="top"/>
          </w:tcPr>
          <w:p w14:paraId="2C67A8E6">
            <w:pPr>
              <w:spacing w:before="74" w:line="220" w:lineRule="auto"/>
              <w:ind w:left="85"/>
              <w:rPr>
                <w:rFonts w:ascii="宋体" w:hAnsi="宋体" w:eastAsia="宋体" w:cs="宋体"/>
                <w:sz w:val="21"/>
                <w:szCs w:val="21"/>
              </w:rPr>
            </w:pPr>
            <w:r>
              <w:rPr>
                <w:rFonts w:ascii="宋体" w:hAnsi="宋体" w:eastAsia="宋体" w:cs="宋体"/>
                <w:spacing w:val="1"/>
                <w:sz w:val="21"/>
                <w:szCs w:val="21"/>
              </w:rPr>
              <w:t>电压和极性</w:t>
            </w:r>
          </w:p>
        </w:tc>
        <w:tc>
          <w:tcPr>
            <w:tcW w:w="939" w:type="dxa"/>
            <w:vAlign w:val="top"/>
          </w:tcPr>
          <w:p w14:paraId="5070107A">
            <w:pPr>
              <w:pStyle w:val="6"/>
            </w:pPr>
          </w:p>
        </w:tc>
        <w:tc>
          <w:tcPr>
            <w:tcW w:w="939" w:type="dxa"/>
            <w:vAlign w:val="top"/>
          </w:tcPr>
          <w:p w14:paraId="25217014">
            <w:pPr>
              <w:pStyle w:val="6"/>
            </w:pPr>
          </w:p>
        </w:tc>
        <w:tc>
          <w:tcPr>
            <w:tcW w:w="939" w:type="dxa"/>
            <w:vAlign w:val="top"/>
          </w:tcPr>
          <w:p w14:paraId="7FCAE0BC">
            <w:pPr>
              <w:pStyle w:val="6"/>
            </w:pPr>
          </w:p>
        </w:tc>
        <w:tc>
          <w:tcPr>
            <w:tcW w:w="948" w:type="dxa"/>
            <w:vAlign w:val="top"/>
          </w:tcPr>
          <w:p w14:paraId="5D40FB08">
            <w:pPr>
              <w:pStyle w:val="6"/>
            </w:pPr>
          </w:p>
        </w:tc>
        <w:tc>
          <w:tcPr>
            <w:tcW w:w="939" w:type="dxa"/>
            <w:vAlign w:val="top"/>
          </w:tcPr>
          <w:p w14:paraId="42DF5D48">
            <w:pPr>
              <w:pStyle w:val="6"/>
            </w:pPr>
          </w:p>
        </w:tc>
        <w:tc>
          <w:tcPr>
            <w:tcW w:w="944" w:type="dxa"/>
            <w:vAlign w:val="top"/>
          </w:tcPr>
          <w:p w14:paraId="7FBD85AB">
            <w:pPr>
              <w:pStyle w:val="6"/>
            </w:pPr>
          </w:p>
        </w:tc>
      </w:tr>
      <w:tr w14:paraId="56957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02" w:type="dxa"/>
            <w:vAlign w:val="top"/>
          </w:tcPr>
          <w:p w14:paraId="33A4E7FE">
            <w:pPr>
              <w:spacing w:before="85" w:line="220" w:lineRule="auto"/>
              <w:ind w:left="85"/>
              <w:rPr>
                <w:rFonts w:ascii="宋体" w:hAnsi="宋体" w:eastAsia="宋体" w:cs="宋体"/>
                <w:sz w:val="21"/>
                <w:szCs w:val="21"/>
              </w:rPr>
            </w:pPr>
            <w:r>
              <w:rPr>
                <w:rFonts w:ascii="宋体" w:hAnsi="宋体" w:eastAsia="宋体" w:cs="宋体"/>
                <w:spacing w:val="2"/>
                <w:sz w:val="21"/>
                <w:szCs w:val="21"/>
              </w:rPr>
              <w:t>电压容差</w:t>
            </w:r>
          </w:p>
        </w:tc>
        <w:tc>
          <w:tcPr>
            <w:tcW w:w="939" w:type="dxa"/>
            <w:vAlign w:val="top"/>
          </w:tcPr>
          <w:p w14:paraId="247ECF64">
            <w:pPr>
              <w:pStyle w:val="6"/>
            </w:pPr>
          </w:p>
        </w:tc>
        <w:tc>
          <w:tcPr>
            <w:tcW w:w="939" w:type="dxa"/>
            <w:vAlign w:val="top"/>
          </w:tcPr>
          <w:p w14:paraId="333C6DB8">
            <w:pPr>
              <w:pStyle w:val="6"/>
            </w:pPr>
          </w:p>
        </w:tc>
        <w:tc>
          <w:tcPr>
            <w:tcW w:w="939" w:type="dxa"/>
            <w:vAlign w:val="top"/>
          </w:tcPr>
          <w:p w14:paraId="12892777">
            <w:pPr>
              <w:pStyle w:val="6"/>
            </w:pPr>
          </w:p>
        </w:tc>
        <w:tc>
          <w:tcPr>
            <w:tcW w:w="948" w:type="dxa"/>
            <w:vAlign w:val="top"/>
          </w:tcPr>
          <w:p w14:paraId="3B9F86A3">
            <w:pPr>
              <w:pStyle w:val="6"/>
            </w:pPr>
          </w:p>
        </w:tc>
        <w:tc>
          <w:tcPr>
            <w:tcW w:w="939" w:type="dxa"/>
            <w:vAlign w:val="top"/>
          </w:tcPr>
          <w:p w14:paraId="7B3F3D6B">
            <w:pPr>
              <w:pStyle w:val="6"/>
            </w:pPr>
          </w:p>
        </w:tc>
        <w:tc>
          <w:tcPr>
            <w:tcW w:w="944" w:type="dxa"/>
            <w:vAlign w:val="top"/>
          </w:tcPr>
          <w:p w14:paraId="4662CEFC">
            <w:pPr>
              <w:pStyle w:val="6"/>
            </w:pPr>
          </w:p>
        </w:tc>
      </w:tr>
      <w:tr w14:paraId="1A4A7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502" w:type="dxa"/>
            <w:vAlign w:val="top"/>
          </w:tcPr>
          <w:p w14:paraId="4C2EEB3D">
            <w:pPr>
              <w:spacing w:before="79" w:line="219" w:lineRule="auto"/>
              <w:ind w:left="85"/>
              <w:rPr>
                <w:rFonts w:ascii="宋体" w:hAnsi="宋体" w:eastAsia="宋体" w:cs="宋体"/>
                <w:sz w:val="21"/>
                <w:szCs w:val="21"/>
              </w:rPr>
            </w:pPr>
            <w:r>
              <w:rPr>
                <w:rFonts w:ascii="宋体" w:hAnsi="宋体" w:eastAsia="宋体" w:cs="宋体"/>
                <w:spacing w:val="4"/>
                <w:sz w:val="21"/>
                <w:szCs w:val="21"/>
              </w:rPr>
              <w:t>电流</w:t>
            </w:r>
          </w:p>
        </w:tc>
        <w:tc>
          <w:tcPr>
            <w:tcW w:w="939" w:type="dxa"/>
            <w:vAlign w:val="top"/>
          </w:tcPr>
          <w:p w14:paraId="76AE731E">
            <w:pPr>
              <w:pStyle w:val="6"/>
            </w:pPr>
          </w:p>
        </w:tc>
        <w:tc>
          <w:tcPr>
            <w:tcW w:w="939" w:type="dxa"/>
            <w:vAlign w:val="top"/>
          </w:tcPr>
          <w:p w14:paraId="7E805B24">
            <w:pPr>
              <w:pStyle w:val="6"/>
            </w:pPr>
          </w:p>
        </w:tc>
        <w:tc>
          <w:tcPr>
            <w:tcW w:w="939" w:type="dxa"/>
            <w:vAlign w:val="top"/>
          </w:tcPr>
          <w:p w14:paraId="7ED44FAB">
            <w:pPr>
              <w:pStyle w:val="6"/>
            </w:pPr>
          </w:p>
        </w:tc>
        <w:tc>
          <w:tcPr>
            <w:tcW w:w="948" w:type="dxa"/>
            <w:vAlign w:val="top"/>
          </w:tcPr>
          <w:p w14:paraId="00EE95A0">
            <w:pPr>
              <w:pStyle w:val="6"/>
            </w:pPr>
          </w:p>
        </w:tc>
        <w:tc>
          <w:tcPr>
            <w:tcW w:w="939" w:type="dxa"/>
            <w:vAlign w:val="top"/>
          </w:tcPr>
          <w:p w14:paraId="7A94CC10">
            <w:pPr>
              <w:pStyle w:val="6"/>
            </w:pPr>
          </w:p>
        </w:tc>
        <w:tc>
          <w:tcPr>
            <w:tcW w:w="944" w:type="dxa"/>
            <w:vAlign w:val="top"/>
          </w:tcPr>
          <w:p w14:paraId="3B74F23E">
            <w:pPr>
              <w:pStyle w:val="6"/>
            </w:pPr>
          </w:p>
        </w:tc>
      </w:tr>
      <w:tr w14:paraId="62E8F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502" w:type="dxa"/>
            <w:vAlign w:val="top"/>
          </w:tcPr>
          <w:p w14:paraId="047B9BAA">
            <w:pPr>
              <w:spacing w:before="77" w:line="220" w:lineRule="auto"/>
              <w:ind w:left="85"/>
              <w:rPr>
                <w:rFonts w:ascii="宋体" w:hAnsi="宋体" w:eastAsia="宋体" w:cs="宋体"/>
                <w:sz w:val="21"/>
                <w:szCs w:val="21"/>
              </w:rPr>
            </w:pPr>
            <w:r>
              <w:rPr>
                <w:rFonts w:ascii="宋体" w:hAnsi="宋体" w:eastAsia="宋体" w:cs="宋体"/>
                <w:spacing w:val="7"/>
                <w:sz w:val="21"/>
                <w:szCs w:val="21"/>
              </w:rPr>
              <w:t>纹波(</w:t>
            </w:r>
            <w:r>
              <w:rPr>
                <w:rFonts w:ascii="宋体" w:hAnsi="宋体" w:eastAsia="宋体" w:cs="宋体"/>
                <w:sz w:val="21"/>
                <w:szCs w:val="21"/>
              </w:rPr>
              <w:t>V</w:t>
            </w:r>
            <w:r>
              <w:rPr>
                <w:rFonts w:ascii="宋体" w:hAnsi="宋体" w:eastAsia="宋体" w:cs="宋体"/>
                <w:spacing w:val="22"/>
                <w:sz w:val="21"/>
                <w:szCs w:val="21"/>
              </w:rPr>
              <w:t xml:space="preserve"> </w:t>
            </w:r>
            <w:r>
              <w:rPr>
                <w:rFonts w:ascii="宋体" w:hAnsi="宋体" w:eastAsia="宋体" w:cs="宋体"/>
                <w:sz w:val="21"/>
                <w:szCs w:val="21"/>
              </w:rPr>
              <w:t>rms</w:t>
            </w:r>
            <w:r>
              <w:rPr>
                <w:rFonts w:ascii="宋体" w:hAnsi="宋体" w:eastAsia="宋体" w:cs="宋体"/>
                <w:spacing w:val="7"/>
                <w:sz w:val="21"/>
                <w:szCs w:val="21"/>
              </w:rPr>
              <w:t>)</w:t>
            </w:r>
          </w:p>
        </w:tc>
        <w:tc>
          <w:tcPr>
            <w:tcW w:w="939" w:type="dxa"/>
            <w:vAlign w:val="top"/>
          </w:tcPr>
          <w:p w14:paraId="6377A5CA">
            <w:pPr>
              <w:pStyle w:val="6"/>
            </w:pPr>
          </w:p>
        </w:tc>
        <w:tc>
          <w:tcPr>
            <w:tcW w:w="939" w:type="dxa"/>
            <w:vAlign w:val="top"/>
          </w:tcPr>
          <w:p w14:paraId="47A0104B">
            <w:pPr>
              <w:pStyle w:val="6"/>
            </w:pPr>
          </w:p>
        </w:tc>
        <w:tc>
          <w:tcPr>
            <w:tcW w:w="939" w:type="dxa"/>
            <w:vAlign w:val="top"/>
          </w:tcPr>
          <w:p w14:paraId="0F3C6E14">
            <w:pPr>
              <w:pStyle w:val="6"/>
            </w:pPr>
          </w:p>
        </w:tc>
        <w:tc>
          <w:tcPr>
            <w:tcW w:w="948" w:type="dxa"/>
            <w:vAlign w:val="top"/>
          </w:tcPr>
          <w:p w14:paraId="42196C57">
            <w:pPr>
              <w:pStyle w:val="6"/>
            </w:pPr>
          </w:p>
        </w:tc>
        <w:tc>
          <w:tcPr>
            <w:tcW w:w="939" w:type="dxa"/>
            <w:vAlign w:val="top"/>
          </w:tcPr>
          <w:p w14:paraId="5B83A8FE">
            <w:pPr>
              <w:pStyle w:val="6"/>
            </w:pPr>
          </w:p>
        </w:tc>
        <w:tc>
          <w:tcPr>
            <w:tcW w:w="944" w:type="dxa"/>
            <w:vAlign w:val="top"/>
          </w:tcPr>
          <w:p w14:paraId="60C9F3D3">
            <w:pPr>
              <w:pStyle w:val="6"/>
            </w:pPr>
          </w:p>
        </w:tc>
      </w:tr>
      <w:tr w14:paraId="07564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02" w:type="dxa"/>
            <w:vAlign w:val="top"/>
          </w:tcPr>
          <w:p w14:paraId="289E7DE9">
            <w:pPr>
              <w:spacing w:before="86" w:line="219" w:lineRule="auto"/>
              <w:ind w:left="85"/>
              <w:rPr>
                <w:rFonts w:ascii="宋体" w:hAnsi="宋体" w:eastAsia="宋体" w:cs="宋体"/>
                <w:sz w:val="21"/>
                <w:szCs w:val="21"/>
              </w:rPr>
            </w:pPr>
            <w:r>
              <w:rPr>
                <w:rFonts w:ascii="宋体" w:hAnsi="宋体" w:eastAsia="宋体" w:cs="宋体"/>
                <w:spacing w:val="-2"/>
                <w:sz w:val="21"/>
                <w:szCs w:val="21"/>
              </w:rPr>
              <w:t>连接器和插针一输入</w:t>
            </w:r>
          </w:p>
        </w:tc>
        <w:tc>
          <w:tcPr>
            <w:tcW w:w="939" w:type="dxa"/>
            <w:vAlign w:val="top"/>
          </w:tcPr>
          <w:p w14:paraId="42EC87E5">
            <w:pPr>
              <w:pStyle w:val="6"/>
            </w:pPr>
          </w:p>
        </w:tc>
        <w:tc>
          <w:tcPr>
            <w:tcW w:w="939" w:type="dxa"/>
            <w:vAlign w:val="top"/>
          </w:tcPr>
          <w:p w14:paraId="561A6FF5">
            <w:pPr>
              <w:pStyle w:val="6"/>
            </w:pPr>
          </w:p>
        </w:tc>
        <w:tc>
          <w:tcPr>
            <w:tcW w:w="939" w:type="dxa"/>
            <w:vAlign w:val="top"/>
          </w:tcPr>
          <w:p w14:paraId="5069E388">
            <w:pPr>
              <w:pStyle w:val="6"/>
            </w:pPr>
          </w:p>
        </w:tc>
        <w:tc>
          <w:tcPr>
            <w:tcW w:w="948" w:type="dxa"/>
            <w:vAlign w:val="top"/>
          </w:tcPr>
          <w:p w14:paraId="10BE0D01">
            <w:pPr>
              <w:pStyle w:val="6"/>
            </w:pPr>
          </w:p>
        </w:tc>
        <w:tc>
          <w:tcPr>
            <w:tcW w:w="939" w:type="dxa"/>
            <w:vAlign w:val="top"/>
          </w:tcPr>
          <w:p w14:paraId="4D32264F">
            <w:pPr>
              <w:pStyle w:val="6"/>
            </w:pPr>
          </w:p>
        </w:tc>
        <w:tc>
          <w:tcPr>
            <w:tcW w:w="944" w:type="dxa"/>
            <w:vAlign w:val="top"/>
          </w:tcPr>
          <w:p w14:paraId="4EDED793">
            <w:pPr>
              <w:pStyle w:val="6"/>
            </w:pPr>
          </w:p>
        </w:tc>
      </w:tr>
      <w:tr w14:paraId="76E42F31">
        <w:tblPrEx>
          <w:tblCellMar>
            <w:top w:w="0" w:type="dxa"/>
            <w:left w:w="0" w:type="dxa"/>
            <w:bottom w:w="0" w:type="dxa"/>
            <w:right w:w="0" w:type="dxa"/>
          </w:tblCellMar>
        </w:tblPrEx>
        <w:trPr>
          <w:trHeight w:val="354" w:hRule="atLeast"/>
        </w:trPr>
        <w:tc>
          <w:tcPr>
            <w:tcW w:w="2502" w:type="dxa"/>
            <w:vAlign w:val="top"/>
          </w:tcPr>
          <w:p w14:paraId="79C6816D">
            <w:pPr>
              <w:spacing w:before="78" w:line="220" w:lineRule="auto"/>
              <w:ind w:left="85"/>
              <w:rPr>
                <w:rFonts w:ascii="宋体" w:hAnsi="宋体" w:eastAsia="宋体" w:cs="宋体"/>
                <w:sz w:val="21"/>
                <w:szCs w:val="21"/>
              </w:rPr>
            </w:pPr>
            <w:r>
              <w:rPr>
                <w:rFonts w:ascii="宋体" w:hAnsi="宋体" w:eastAsia="宋体" w:cs="宋体"/>
                <w:spacing w:val="1"/>
                <w:sz w:val="21"/>
                <w:szCs w:val="21"/>
              </w:rPr>
              <w:t>连接器和插针一回线</w:t>
            </w:r>
          </w:p>
        </w:tc>
        <w:tc>
          <w:tcPr>
            <w:tcW w:w="939" w:type="dxa"/>
            <w:vAlign w:val="top"/>
          </w:tcPr>
          <w:p w14:paraId="4EAEFD7E">
            <w:pPr>
              <w:pStyle w:val="6"/>
            </w:pPr>
          </w:p>
        </w:tc>
        <w:tc>
          <w:tcPr>
            <w:tcW w:w="939" w:type="dxa"/>
            <w:vAlign w:val="top"/>
          </w:tcPr>
          <w:p w14:paraId="3B006C86">
            <w:pPr>
              <w:pStyle w:val="6"/>
            </w:pPr>
          </w:p>
        </w:tc>
        <w:tc>
          <w:tcPr>
            <w:tcW w:w="939" w:type="dxa"/>
            <w:vAlign w:val="top"/>
          </w:tcPr>
          <w:p w14:paraId="23931A37">
            <w:pPr>
              <w:pStyle w:val="6"/>
            </w:pPr>
          </w:p>
        </w:tc>
        <w:tc>
          <w:tcPr>
            <w:tcW w:w="948" w:type="dxa"/>
            <w:vAlign w:val="top"/>
          </w:tcPr>
          <w:p w14:paraId="222F316B">
            <w:pPr>
              <w:pStyle w:val="6"/>
            </w:pPr>
          </w:p>
        </w:tc>
        <w:tc>
          <w:tcPr>
            <w:tcW w:w="939" w:type="dxa"/>
            <w:vAlign w:val="top"/>
          </w:tcPr>
          <w:p w14:paraId="43DE6FA7">
            <w:pPr>
              <w:pStyle w:val="6"/>
            </w:pPr>
          </w:p>
        </w:tc>
        <w:tc>
          <w:tcPr>
            <w:tcW w:w="944" w:type="dxa"/>
            <w:vAlign w:val="top"/>
          </w:tcPr>
          <w:p w14:paraId="5B43710F">
            <w:pPr>
              <w:pStyle w:val="6"/>
            </w:pPr>
          </w:p>
        </w:tc>
      </w:tr>
    </w:tbl>
    <w:p w14:paraId="717EC979">
      <w:pPr>
        <w:pStyle w:val="2"/>
        <w:spacing w:before="134" w:line="219" w:lineRule="auto"/>
        <w:ind w:left="3109"/>
        <w:rPr>
          <w:sz w:val="22"/>
          <w:szCs w:val="22"/>
        </w:rPr>
      </w:pPr>
      <w:r>
        <w:rPr>
          <w:spacing w:val="11"/>
          <w:sz w:val="22"/>
          <w:szCs w:val="22"/>
        </w:rPr>
        <w:t>图9</w:t>
      </w:r>
      <w:r>
        <w:rPr>
          <w:spacing w:val="-64"/>
          <w:sz w:val="22"/>
          <w:szCs w:val="22"/>
        </w:rPr>
        <w:t xml:space="preserve"> </w:t>
      </w:r>
      <w:r>
        <w:rPr>
          <w:spacing w:val="11"/>
          <w:sz w:val="22"/>
          <w:szCs w:val="22"/>
        </w:rPr>
        <w:t>.</w:t>
      </w:r>
      <w:r>
        <w:rPr>
          <w:spacing w:val="-66"/>
          <w:sz w:val="22"/>
          <w:szCs w:val="22"/>
        </w:rPr>
        <w:t xml:space="preserve"> </w:t>
      </w:r>
      <w:r>
        <w:rPr>
          <w:spacing w:val="11"/>
          <w:sz w:val="22"/>
          <w:szCs w:val="22"/>
        </w:rPr>
        <w:t>3  一般信息页(</w:t>
      </w:r>
      <w:r>
        <w:rPr>
          <w:rFonts w:ascii="Times New Roman" w:hAnsi="Times New Roman" w:eastAsia="Times New Roman" w:cs="Times New Roman"/>
          <w:sz w:val="22"/>
          <w:szCs w:val="22"/>
        </w:rPr>
        <w:t>UUT</w:t>
      </w:r>
      <w:r>
        <w:rPr>
          <w:rFonts w:ascii="Times New Roman" w:hAnsi="Times New Roman" w:eastAsia="Times New Roman" w:cs="Times New Roman"/>
          <w:spacing w:val="10"/>
          <w:sz w:val="22"/>
          <w:szCs w:val="22"/>
        </w:rPr>
        <w:t xml:space="preserve">  </w:t>
      </w:r>
      <w:r>
        <w:rPr>
          <w:spacing w:val="11"/>
          <w:sz w:val="22"/>
          <w:szCs w:val="22"/>
        </w:rPr>
        <w:t>设计)</w:t>
      </w:r>
    </w:p>
    <w:p w14:paraId="360DE21E">
      <w:pPr>
        <w:spacing w:line="219" w:lineRule="auto"/>
        <w:rPr>
          <w:sz w:val="22"/>
          <w:szCs w:val="22"/>
        </w:rPr>
        <w:sectPr>
          <w:footerReference r:id="rId467" w:type="default"/>
          <w:pgSz w:w="11910" w:h="17130"/>
          <w:pgMar w:top="1456" w:right="1786" w:bottom="1663" w:left="1160" w:header="0" w:footer="1464" w:gutter="0"/>
          <w:cols w:space="720" w:num="1"/>
        </w:sectPr>
      </w:pPr>
    </w:p>
    <w:p w14:paraId="3D616A8C">
      <w:pPr>
        <w:spacing w:line="163" w:lineRule="exact"/>
      </w:pPr>
    </w:p>
    <w:tbl>
      <w:tblPr>
        <w:tblStyle w:val="5"/>
        <w:tblW w:w="6697" w:type="dxa"/>
        <w:tblInd w:w="3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72"/>
        <w:gridCol w:w="676"/>
        <w:gridCol w:w="1151"/>
        <w:gridCol w:w="934"/>
        <w:gridCol w:w="1048"/>
        <w:gridCol w:w="716"/>
      </w:tblGrid>
      <w:tr w14:paraId="73F1FB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44" w:hRule="atLeast"/>
        </w:trPr>
        <w:tc>
          <w:tcPr>
            <w:tcW w:w="2172" w:type="dxa"/>
            <w:vAlign w:val="top"/>
          </w:tcPr>
          <w:p w14:paraId="565CFCCD">
            <w:pPr>
              <w:spacing w:line="220" w:lineRule="auto"/>
              <w:rPr>
                <w:rFonts w:ascii="宋体" w:hAnsi="宋体" w:eastAsia="宋体" w:cs="宋体"/>
                <w:sz w:val="20"/>
                <w:szCs w:val="20"/>
              </w:rPr>
            </w:pPr>
            <w:r>
              <w:rPr>
                <w:rFonts w:ascii="宋体" w:hAnsi="宋体" w:eastAsia="宋体" w:cs="宋体"/>
                <w:spacing w:val="-9"/>
                <w:sz w:val="20"/>
                <w:szCs w:val="20"/>
              </w:rPr>
              <w:t>页</w:t>
            </w:r>
            <w:r>
              <w:rPr>
                <w:rFonts w:ascii="宋体" w:hAnsi="宋体" w:eastAsia="宋体" w:cs="宋体"/>
                <w:spacing w:val="10"/>
                <w:sz w:val="20"/>
                <w:szCs w:val="20"/>
              </w:rPr>
              <w:t xml:space="preserve">    </w:t>
            </w:r>
            <w:r>
              <w:rPr>
                <w:rFonts w:ascii="宋体" w:hAnsi="宋体" w:eastAsia="宋体" w:cs="宋体"/>
                <w:spacing w:val="-9"/>
                <w:sz w:val="20"/>
                <w:szCs w:val="20"/>
              </w:rPr>
              <w:t>号</w:t>
            </w:r>
            <w:r>
              <w:rPr>
                <w:rFonts w:ascii="宋体" w:hAnsi="宋体" w:eastAsia="宋体" w:cs="宋体"/>
                <w:spacing w:val="-49"/>
                <w:sz w:val="20"/>
                <w:szCs w:val="20"/>
              </w:rPr>
              <w:t xml:space="preserve"> </w:t>
            </w:r>
            <w:r>
              <w:rPr>
                <w:rFonts w:ascii="宋体" w:hAnsi="宋体" w:eastAsia="宋体" w:cs="宋体"/>
                <w:spacing w:val="-9"/>
                <w:sz w:val="20"/>
                <w:szCs w:val="20"/>
              </w:rPr>
              <w:t>：</w:t>
            </w:r>
          </w:p>
          <w:p w14:paraId="1CF617A8">
            <w:pPr>
              <w:spacing w:before="109" w:line="219" w:lineRule="auto"/>
              <w:rPr>
                <w:rFonts w:ascii="宋体" w:hAnsi="宋体" w:eastAsia="宋体" w:cs="宋体"/>
                <w:sz w:val="20"/>
                <w:szCs w:val="20"/>
              </w:rPr>
            </w:pPr>
            <w:r>
              <w:rPr>
                <w:rFonts w:ascii="Times New Roman" w:hAnsi="Times New Roman" w:eastAsia="Times New Roman" w:cs="Times New Roman"/>
                <w:sz w:val="20"/>
                <w:szCs w:val="20"/>
              </w:rPr>
              <w:t>TRD</w:t>
            </w:r>
            <w:r>
              <w:rPr>
                <w:rFonts w:ascii="Times New Roman" w:hAnsi="Times New Roman" w:eastAsia="Times New Roman" w:cs="Times New Roman"/>
                <w:spacing w:val="46"/>
                <w:sz w:val="20"/>
                <w:szCs w:val="20"/>
              </w:rPr>
              <w:t xml:space="preserve"> </w:t>
            </w:r>
            <w:r>
              <w:rPr>
                <w:rFonts w:ascii="宋体" w:hAnsi="宋体" w:eastAsia="宋体" w:cs="宋体"/>
                <w:spacing w:val="1"/>
                <w:sz w:val="20"/>
                <w:szCs w:val="20"/>
              </w:rPr>
              <w:t>编号：</w:t>
            </w:r>
          </w:p>
          <w:p w14:paraId="4B9CE5E6">
            <w:pPr>
              <w:spacing w:before="101" w:line="222" w:lineRule="auto"/>
              <w:rPr>
                <w:rFonts w:ascii="仿宋" w:hAnsi="仿宋" w:eastAsia="仿宋" w:cs="仿宋"/>
                <w:sz w:val="19"/>
                <w:szCs w:val="19"/>
              </w:rPr>
            </w:pPr>
            <w:r>
              <w:rPr>
                <w:rFonts w:ascii="宋体" w:hAnsi="宋体" w:eastAsia="宋体" w:cs="宋体"/>
                <w:spacing w:val="-8"/>
                <w:sz w:val="19"/>
                <w:szCs w:val="19"/>
              </w:rPr>
              <w:t>版</w:t>
            </w:r>
            <w:r>
              <w:rPr>
                <w:rFonts w:ascii="宋体" w:hAnsi="宋体" w:eastAsia="宋体" w:cs="宋体"/>
                <w:spacing w:val="17"/>
                <w:sz w:val="19"/>
                <w:szCs w:val="19"/>
              </w:rPr>
              <w:t xml:space="preserve">    </w:t>
            </w:r>
            <w:r>
              <w:rPr>
                <w:rFonts w:ascii="仿宋" w:hAnsi="仿宋" w:eastAsia="仿宋" w:cs="仿宋"/>
                <w:spacing w:val="-8"/>
                <w:sz w:val="19"/>
                <w:szCs w:val="19"/>
              </w:rPr>
              <w:t>本</w:t>
            </w:r>
            <w:r>
              <w:rPr>
                <w:rFonts w:ascii="仿宋" w:hAnsi="仿宋" w:eastAsia="仿宋" w:cs="仿宋"/>
                <w:spacing w:val="-33"/>
                <w:sz w:val="19"/>
                <w:szCs w:val="19"/>
              </w:rPr>
              <w:t xml:space="preserve"> </w:t>
            </w:r>
            <w:r>
              <w:rPr>
                <w:rFonts w:ascii="仿宋" w:hAnsi="仿宋" w:eastAsia="仿宋" w:cs="仿宋"/>
                <w:spacing w:val="-8"/>
                <w:sz w:val="19"/>
                <w:szCs w:val="19"/>
              </w:rPr>
              <w:t>：</w:t>
            </w:r>
          </w:p>
          <w:p w14:paraId="5C7C00F8">
            <w:pPr>
              <w:spacing w:before="103" w:line="220" w:lineRule="auto"/>
              <w:rPr>
                <w:rFonts w:ascii="宋体" w:hAnsi="宋体" w:eastAsia="宋体" w:cs="宋体"/>
                <w:sz w:val="20"/>
                <w:szCs w:val="20"/>
              </w:rPr>
            </w:pPr>
            <w:r>
              <w:rPr>
                <w:rFonts w:ascii="宋体" w:hAnsi="宋体" w:eastAsia="宋体" w:cs="宋体"/>
                <w:spacing w:val="-18"/>
                <w:sz w:val="20"/>
                <w:szCs w:val="20"/>
              </w:rPr>
              <w:t>日</w:t>
            </w:r>
            <w:r>
              <w:rPr>
                <w:rFonts w:ascii="宋体" w:hAnsi="宋体" w:eastAsia="宋体" w:cs="宋体"/>
                <w:spacing w:val="5"/>
                <w:sz w:val="20"/>
                <w:szCs w:val="20"/>
              </w:rPr>
              <w:t xml:space="preserve">    </w:t>
            </w:r>
            <w:r>
              <w:rPr>
                <w:rFonts w:ascii="宋体" w:hAnsi="宋体" w:eastAsia="宋体" w:cs="宋体"/>
                <w:spacing w:val="-18"/>
                <w:sz w:val="20"/>
                <w:szCs w:val="20"/>
              </w:rPr>
              <w:t>期</w:t>
            </w:r>
            <w:r>
              <w:rPr>
                <w:rFonts w:ascii="宋体" w:hAnsi="宋体" w:eastAsia="宋体" w:cs="宋体"/>
                <w:spacing w:val="-22"/>
                <w:sz w:val="20"/>
                <w:szCs w:val="20"/>
              </w:rPr>
              <w:t xml:space="preserve"> </w:t>
            </w:r>
            <w:r>
              <w:rPr>
                <w:rFonts w:ascii="宋体" w:hAnsi="宋体" w:eastAsia="宋体" w:cs="宋体"/>
                <w:spacing w:val="-18"/>
                <w:sz w:val="20"/>
                <w:szCs w:val="20"/>
              </w:rPr>
              <w:t>：</w:t>
            </w:r>
          </w:p>
          <w:p w14:paraId="730415A8">
            <w:pPr>
              <w:spacing w:before="101" w:line="219" w:lineRule="auto"/>
              <w:rPr>
                <w:rFonts w:ascii="宋体" w:hAnsi="宋体" w:eastAsia="宋体" w:cs="宋体"/>
                <w:sz w:val="20"/>
                <w:szCs w:val="20"/>
              </w:rPr>
            </w:pPr>
            <w:r>
              <w:rPr>
                <w:rFonts w:ascii="Times New Roman" w:hAnsi="Times New Roman" w:eastAsia="Times New Roman" w:cs="Times New Roman"/>
                <w:sz w:val="20"/>
                <w:szCs w:val="20"/>
              </w:rPr>
              <w:t>UUT</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测试一般信息</w:t>
            </w:r>
          </w:p>
          <w:p w14:paraId="2124A43C">
            <w:pPr>
              <w:pStyle w:val="6"/>
              <w:spacing w:line="424" w:lineRule="auto"/>
            </w:pPr>
          </w:p>
          <w:p w14:paraId="50597E52">
            <w:pPr>
              <w:spacing w:before="55" w:line="220" w:lineRule="auto"/>
              <w:rPr>
                <w:rFonts w:ascii="宋体" w:hAnsi="宋体" w:eastAsia="宋体" w:cs="宋体"/>
                <w:sz w:val="17"/>
                <w:szCs w:val="17"/>
              </w:rPr>
            </w:pPr>
            <w:r>
              <w:rPr>
                <w:rFonts w:ascii="宋体" w:hAnsi="宋体" w:eastAsia="宋体" w:cs="宋体"/>
                <w:spacing w:val="-6"/>
                <w:sz w:val="17"/>
                <w:szCs w:val="17"/>
              </w:rPr>
              <w:t>一</w:t>
            </w:r>
            <w:r>
              <w:rPr>
                <w:rFonts w:ascii="宋体" w:hAnsi="宋体" w:eastAsia="宋体" w:cs="宋体"/>
                <w:spacing w:val="-25"/>
                <w:sz w:val="17"/>
                <w:szCs w:val="17"/>
              </w:rPr>
              <w:t xml:space="preserve"> </w:t>
            </w:r>
            <w:r>
              <w:rPr>
                <w:rFonts w:ascii="宋体" w:hAnsi="宋体" w:eastAsia="宋体" w:cs="宋体"/>
                <w:spacing w:val="-6"/>
                <w:sz w:val="17"/>
                <w:szCs w:val="17"/>
              </w:rPr>
              <w:t>般</w:t>
            </w:r>
            <w:r>
              <w:rPr>
                <w:rFonts w:ascii="宋体" w:hAnsi="宋体" w:eastAsia="宋体" w:cs="宋体"/>
                <w:spacing w:val="-26"/>
                <w:sz w:val="17"/>
                <w:szCs w:val="17"/>
              </w:rPr>
              <w:t xml:space="preserve"> </w:t>
            </w:r>
            <w:r>
              <w:rPr>
                <w:rFonts w:ascii="宋体" w:hAnsi="宋体" w:eastAsia="宋体" w:cs="宋体"/>
                <w:spacing w:val="-6"/>
                <w:sz w:val="17"/>
                <w:szCs w:val="17"/>
              </w:rPr>
              <w:t>程</w:t>
            </w:r>
            <w:r>
              <w:rPr>
                <w:rFonts w:ascii="宋体" w:hAnsi="宋体" w:eastAsia="宋体" w:cs="宋体"/>
                <w:spacing w:val="-26"/>
                <w:sz w:val="17"/>
                <w:szCs w:val="17"/>
              </w:rPr>
              <w:t xml:space="preserve"> </w:t>
            </w:r>
            <w:r>
              <w:rPr>
                <w:rFonts w:ascii="宋体" w:hAnsi="宋体" w:eastAsia="宋体" w:cs="宋体"/>
                <w:spacing w:val="-6"/>
                <w:sz w:val="17"/>
                <w:szCs w:val="17"/>
              </w:rPr>
              <w:t>序</w:t>
            </w:r>
          </w:p>
          <w:p w14:paraId="3CDACB42">
            <w:pPr>
              <w:spacing w:before="108" w:line="219" w:lineRule="auto"/>
              <w:rPr>
                <w:rFonts w:ascii="宋体" w:hAnsi="宋体" w:eastAsia="宋体" w:cs="宋体"/>
                <w:sz w:val="20"/>
                <w:szCs w:val="20"/>
              </w:rPr>
            </w:pPr>
            <w:r>
              <w:rPr>
                <w:rFonts w:ascii="宋体" w:hAnsi="宋体" w:eastAsia="宋体" w:cs="宋体"/>
                <w:spacing w:val="5"/>
                <w:sz w:val="20"/>
                <w:szCs w:val="20"/>
              </w:rPr>
              <w:t>目视检查指导</w:t>
            </w:r>
          </w:p>
        </w:tc>
        <w:tc>
          <w:tcPr>
            <w:tcW w:w="676" w:type="dxa"/>
            <w:vAlign w:val="top"/>
          </w:tcPr>
          <w:p w14:paraId="45ECE54D">
            <w:pPr>
              <w:pStyle w:val="6"/>
            </w:pPr>
          </w:p>
        </w:tc>
        <w:tc>
          <w:tcPr>
            <w:tcW w:w="1151" w:type="dxa"/>
            <w:vAlign w:val="top"/>
          </w:tcPr>
          <w:p w14:paraId="70165601">
            <w:pPr>
              <w:pStyle w:val="6"/>
              <w:spacing w:line="254" w:lineRule="auto"/>
            </w:pPr>
          </w:p>
          <w:p w14:paraId="3471641D">
            <w:pPr>
              <w:pStyle w:val="6"/>
              <w:spacing w:line="254" w:lineRule="auto"/>
            </w:pPr>
          </w:p>
          <w:p w14:paraId="7336C554">
            <w:pPr>
              <w:pStyle w:val="6"/>
              <w:spacing w:line="254" w:lineRule="auto"/>
            </w:pPr>
          </w:p>
          <w:p w14:paraId="2DE547A3">
            <w:pPr>
              <w:pStyle w:val="6"/>
              <w:spacing w:line="254" w:lineRule="auto"/>
            </w:pPr>
          </w:p>
          <w:p w14:paraId="5138B0E9">
            <w:pPr>
              <w:pStyle w:val="6"/>
              <w:spacing w:line="254" w:lineRule="auto"/>
            </w:pPr>
          </w:p>
          <w:p w14:paraId="3F512844">
            <w:pPr>
              <w:pStyle w:val="6"/>
              <w:spacing w:line="255" w:lineRule="auto"/>
            </w:pPr>
          </w:p>
          <w:p w14:paraId="6F3C30B7">
            <w:pPr>
              <w:pStyle w:val="6"/>
              <w:spacing w:line="255" w:lineRule="auto"/>
            </w:pPr>
          </w:p>
          <w:p w14:paraId="46AC4AAD">
            <w:pPr>
              <w:pStyle w:val="6"/>
              <w:spacing w:line="255" w:lineRule="auto"/>
            </w:pPr>
          </w:p>
          <w:p w14:paraId="24D1ED27">
            <w:pPr>
              <w:pStyle w:val="6"/>
              <w:spacing w:line="255" w:lineRule="auto"/>
            </w:pPr>
          </w:p>
          <w:p w14:paraId="4BE4EAC9">
            <w:pPr>
              <w:spacing w:before="65"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6D4E396E">
            <w:pPr>
              <w:pStyle w:val="6"/>
              <w:spacing w:line="253" w:lineRule="auto"/>
            </w:pPr>
          </w:p>
          <w:p w14:paraId="41AD57AF">
            <w:pPr>
              <w:pStyle w:val="6"/>
              <w:spacing w:line="253" w:lineRule="auto"/>
            </w:pPr>
          </w:p>
          <w:p w14:paraId="4B65B072">
            <w:pPr>
              <w:pStyle w:val="6"/>
              <w:spacing w:line="253" w:lineRule="auto"/>
            </w:pPr>
          </w:p>
          <w:p w14:paraId="00EE1F67">
            <w:pPr>
              <w:pStyle w:val="6"/>
              <w:spacing w:line="253" w:lineRule="auto"/>
            </w:pPr>
          </w:p>
          <w:p w14:paraId="4438F54D">
            <w:pPr>
              <w:pStyle w:val="6"/>
              <w:spacing w:line="253" w:lineRule="auto"/>
            </w:pPr>
          </w:p>
          <w:p w14:paraId="5AB09D81">
            <w:pPr>
              <w:pStyle w:val="6"/>
              <w:spacing w:line="253" w:lineRule="auto"/>
            </w:pPr>
          </w:p>
          <w:p w14:paraId="63FEC269">
            <w:pPr>
              <w:pStyle w:val="6"/>
              <w:spacing w:line="253" w:lineRule="auto"/>
            </w:pPr>
          </w:p>
          <w:p w14:paraId="6CEF3773">
            <w:pPr>
              <w:pStyle w:val="6"/>
              <w:spacing w:line="254" w:lineRule="auto"/>
            </w:pPr>
          </w:p>
          <w:p w14:paraId="5C6A4218">
            <w:pPr>
              <w:pStyle w:val="6"/>
              <w:spacing w:line="254" w:lineRule="auto"/>
            </w:pPr>
          </w:p>
          <w:p w14:paraId="2F3D3A4C">
            <w:pPr>
              <w:spacing w:before="65" w:line="239" w:lineRule="auto"/>
              <w:ind w:left="631"/>
              <w:rPr>
                <w:rFonts w:ascii="宋体" w:hAnsi="宋体" w:eastAsia="宋体" w:cs="宋体"/>
                <w:sz w:val="20"/>
                <w:szCs w:val="20"/>
              </w:rPr>
            </w:pPr>
            <w:r>
              <w:rPr>
                <w:rFonts w:ascii="宋体" w:hAnsi="宋体" w:eastAsia="宋体" w:cs="宋体"/>
                <w:sz w:val="20"/>
                <w:szCs w:val="20"/>
              </w:rPr>
              <w:t>□</w:t>
            </w:r>
          </w:p>
        </w:tc>
        <w:tc>
          <w:tcPr>
            <w:tcW w:w="1048" w:type="dxa"/>
            <w:vAlign w:val="top"/>
          </w:tcPr>
          <w:p w14:paraId="1C866259">
            <w:pPr>
              <w:pStyle w:val="6"/>
              <w:spacing w:line="253" w:lineRule="auto"/>
            </w:pPr>
          </w:p>
          <w:p w14:paraId="771D1998">
            <w:pPr>
              <w:pStyle w:val="6"/>
              <w:spacing w:line="253" w:lineRule="auto"/>
            </w:pPr>
          </w:p>
          <w:p w14:paraId="5C31FFC5">
            <w:pPr>
              <w:pStyle w:val="6"/>
              <w:spacing w:line="253" w:lineRule="auto"/>
            </w:pPr>
          </w:p>
          <w:p w14:paraId="1008031D">
            <w:pPr>
              <w:pStyle w:val="6"/>
              <w:spacing w:line="253" w:lineRule="auto"/>
            </w:pPr>
          </w:p>
          <w:p w14:paraId="628F85BD">
            <w:pPr>
              <w:pStyle w:val="6"/>
              <w:spacing w:line="253" w:lineRule="auto"/>
            </w:pPr>
          </w:p>
          <w:p w14:paraId="6531016D">
            <w:pPr>
              <w:pStyle w:val="6"/>
              <w:spacing w:line="253" w:lineRule="auto"/>
            </w:pPr>
          </w:p>
          <w:p w14:paraId="4FCA1F8F">
            <w:pPr>
              <w:pStyle w:val="6"/>
              <w:spacing w:line="253" w:lineRule="auto"/>
            </w:pPr>
          </w:p>
          <w:p w14:paraId="5DCD1E45">
            <w:pPr>
              <w:pStyle w:val="6"/>
              <w:spacing w:line="254" w:lineRule="auto"/>
            </w:pPr>
          </w:p>
          <w:p w14:paraId="754F8590">
            <w:pPr>
              <w:pStyle w:val="6"/>
              <w:spacing w:line="254" w:lineRule="auto"/>
            </w:pPr>
          </w:p>
          <w:p w14:paraId="56AA6EDC">
            <w:pPr>
              <w:spacing w:before="65"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64424588">
            <w:pPr>
              <w:pStyle w:val="6"/>
              <w:spacing w:line="253" w:lineRule="auto"/>
            </w:pPr>
          </w:p>
          <w:p w14:paraId="438008EF">
            <w:pPr>
              <w:pStyle w:val="6"/>
              <w:spacing w:line="253" w:lineRule="auto"/>
            </w:pPr>
          </w:p>
          <w:p w14:paraId="6BDE1000">
            <w:pPr>
              <w:pStyle w:val="6"/>
              <w:spacing w:line="253" w:lineRule="auto"/>
            </w:pPr>
          </w:p>
          <w:p w14:paraId="142EA3E2">
            <w:pPr>
              <w:pStyle w:val="6"/>
              <w:spacing w:line="253" w:lineRule="auto"/>
            </w:pPr>
          </w:p>
          <w:p w14:paraId="136FD8F4">
            <w:pPr>
              <w:pStyle w:val="6"/>
              <w:spacing w:line="254" w:lineRule="auto"/>
            </w:pPr>
          </w:p>
          <w:p w14:paraId="707CA76E">
            <w:pPr>
              <w:pStyle w:val="6"/>
              <w:spacing w:line="254" w:lineRule="auto"/>
            </w:pPr>
          </w:p>
          <w:p w14:paraId="39FB1BD0">
            <w:pPr>
              <w:pStyle w:val="6"/>
              <w:spacing w:line="254" w:lineRule="auto"/>
            </w:pPr>
          </w:p>
          <w:p w14:paraId="64A4C464">
            <w:pPr>
              <w:pStyle w:val="6"/>
              <w:spacing w:line="254" w:lineRule="auto"/>
            </w:pPr>
          </w:p>
          <w:p w14:paraId="6E1FA683">
            <w:pPr>
              <w:pStyle w:val="6"/>
              <w:spacing w:line="254" w:lineRule="auto"/>
            </w:pPr>
          </w:p>
          <w:p w14:paraId="29F15148">
            <w:pPr>
              <w:spacing w:before="65"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1BA23D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trPr>
        <w:tc>
          <w:tcPr>
            <w:tcW w:w="2172" w:type="dxa"/>
            <w:vAlign w:val="top"/>
          </w:tcPr>
          <w:p w14:paraId="7DFBEBDF">
            <w:pPr>
              <w:spacing w:before="75" w:line="221" w:lineRule="auto"/>
              <w:rPr>
                <w:rFonts w:ascii="宋体" w:hAnsi="宋体" w:eastAsia="宋体" w:cs="宋体"/>
                <w:sz w:val="20"/>
                <w:szCs w:val="20"/>
              </w:rPr>
            </w:pPr>
            <w:r>
              <w:rPr>
                <w:rFonts w:ascii="宋体" w:hAnsi="宋体" w:eastAsia="宋体" w:cs="宋体"/>
                <w:spacing w:val="9"/>
                <w:sz w:val="20"/>
                <w:szCs w:val="20"/>
              </w:rPr>
              <w:t>重启或重测指导</w:t>
            </w:r>
          </w:p>
        </w:tc>
        <w:tc>
          <w:tcPr>
            <w:tcW w:w="676" w:type="dxa"/>
            <w:vAlign w:val="top"/>
          </w:tcPr>
          <w:p w14:paraId="52BA425B">
            <w:pPr>
              <w:pStyle w:val="6"/>
            </w:pPr>
          </w:p>
        </w:tc>
        <w:tc>
          <w:tcPr>
            <w:tcW w:w="1151" w:type="dxa"/>
            <w:vAlign w:val="top"/>
          </w:tcPr>
          <w:p w14:paraId="33239911">
            <w:pPr>
              <w:spacing w:before="65"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6B686A98">
            <w:pPr>
              <w:spacing w:before="74" w:line="232" w:lineRule="auto"/>
              <w:ind w:left="631"/>
              <w:rPr>
                <w:rFonts w:ascii="宋体" w:hAnsi="宋体" w:eastAsia="宋体" w:cs="宋体"/>
                <w:sz w:val="20"/>
                <w:szCs w:val="20"/>
              </w:rPr>
            </w:pPr>
            <w:r>
              <w:rPr>
                <w:rFonts w:ascii="宋体" w:hAnsi="宋体" w:eastAsia="宋体" w:cs="宋体"/>
                <w:sz w:val="20"/>
                <w:szCs w:val="20"/>
              </w:rPr>
              <w:t>□</w:t>
            </w:r>
          </w:p>
        </w:tc>
        <w:tc>
          <w:tcPr>
            <w:tcW w:w="1048" w:type="dxa"/>
            <w:vAlign w:val="top"/>
          </w:tcPr>
          <w:p w14:paraId="7E5AAD6E">
            <w:pPr>
              <w:spacing w:before="74"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497CB2CE">
            <w:pPr>
              <w:spacing w:before="57"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61B7B9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2172" w:type="dxa"/>
            <w:vAlign w:val="top"/>
          </w:tcPr>
          <w:p w14:paraId="1349EA88">
            <w:pPr>
              <w:spacing w:before="108" w:line="220" w:lineRule="auto"/>
              <w:rPr>
                <w:rFonts w:ascii="宋体" w:hAnsi="宋体" w:eastAsia="宋体" w:cs="宋体"/>
                <w:sz w:val="17"/>
                <w:szCs w:val="17"/>
              </w:rPr>
            </w:pPr>
            <w:r>
              <w:rPr>
                <w:rFonts w:ascii="宋体" w:hAnsi="宋体" w:eastAsia="宋体" w:cs="宋体"/>
                <w:spacing w:val="39"/>
                <w:sz w:val="17"/>
                <w:szCs w:val="17"/>
              </w:rPr>
              <w:t>标准测量延迟要求</w:t>
            </w:r>
          </w:p>
        </w:tc>
        <w:tc>
          <w:tcPr>
            <w:tcW w:w="676" w:type="dxa"/>
            <w:vAlign w:val="top"/>
          </w:tcPr>
          <w:p w14:paraId="57F7106B">
            <w:pPr>
              <w:spacing w:before="80" w:line="214" w:lineRule="auto"/>
              <w:ind w:left="377"/>
              <w:rPr>
                <w:rFonts w:ascii="宋体" w:hAnsi="宋体" w:eastAsia="宋体" w:cs="宋体"/>
                <w:sz w:val="22"/>
                <w:szCs w:val="22"/>
              </w:rPr>
            </w:pPr>
            <w:r>
              <w:rPr>
                <w:rFonts w:ascii="宋体" w:hAnsi="宋体" w:eastAsia="宋体" w:cs="宋体"/>
                <w:sz w:val="22"/>
                <w:szCs w:val="22"/>
              </w:rPr>
              <w:t>□</w:t>
            </w:r>
          </w:p>
        </w:tc>
        <w:tc>
          <w:tcPr>
            <w:tcW w:w="1151" w:type="dxa"/>
            <w:vAlign w:val="top"/>
          </w:tcPr>
          <w:p w14:paraId="4E549E6C">
            <w:pPr>
              <w:spacing w:before="69"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515077A9">
            <w:pPr>
              <w:spacing w:before="78" w:line="238" w:lineRule="auto"/>
              <w:ind w:left="631"/>
              <w:rPr>
                <w:rFonts w:ascii="宋体" w:hAnsi="宋体" w:eastAsia="宋体" w:cs="宋体"/>
                <w:sz w:val="20"/>
                <w:szCs w:val="20"/>
              </w:rPr>
            </w:pPr>
            <w:r>
              <w:rPr>
                <w:rFonts w:ascii="宋体" w:hAnsi="宋体" w:eastAsia="宋体" w:cs="宋体"/>
                <w:sz w:val="20"/>
                <w:szCs w:val="20"/>
              </w:rPr>
              <w:t>□</w:t>
            </w:r>
          </w:p>
        </w:tc>
        <w:tc>
          <w:tcPr>
            <w:tcW w:w="1048" w:type="dxa"/>
            <w:vAlign w:val="top"/>
          </w:tcPr>
          <w:p w14:paraId="535E904E">
            <w:pPr>
              <w:spacing w:before="78"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21FF392F">
            <w:pPr>
              <w:spacing w:before="61"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58D1B2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172" w:type="dxa"/>
            <w:vAlign w:val="top"/>
          </w:tcPr>
          <w:p w14:paraId="2C1D77B9">
            <w:pPr>
              <w:spacing w:before="83" w:line="220" w:lineRule="auto"/>
              <w:rPr>
                <w:rFonts w:ascii="宋体" w:hAnsi="宋体" w:eastAsia="宋体" w:cs="宋体"/>
                <w:sz w:val="20"/>
                <w:szCs w:val="20"/>
              </w:rPr>
            </w:pPr>
            <w:r>
              <w:rPr>
                <w:rFonts w:ascii="宋体" w:hAnsi="宋体" w:eastAsia="宋体" w:cs="宋体"/>
                <w:spacing w:val="10"/>
                <w:sz w:val="20"/>
                <w:szCs w:val="20"/>
              </w:rPr>
              <w:t>一般注意事项</w:t>
            </w:r>
          </w:p>
        </w:tc>
        <w:tc>
          <w:tcPr>
            <w:tcW w:w="676" w:type="dxa"/>
            <w:vAlign w:val="top"/>
          </w:tcPr>
          <w:p w14:paraId="3A54EB12">
            <w:pPr>
              <w:spacing w:before="68" w:line="213" w:lineRule="auto"/>
              <w:ind w:left="377"/>
              <w:rPr>
                <w:rFonts w:ascii="宋体" w:hAnsi="宋体" w:eastAsia="宋体" w:cs="宋体"/>
                <w:sz w:val="24"/>
                <w:szCs w:val="24"/>
              </w:rPr>
            </w:pPr>
            <w:r>
              <w:rPr>
                <w:rFonts w:ascii="宋体" w:hAnsi="宋体" w:eastAsia="宋体" w:cs="宋体"/>
                <w:sz w:val="24"/>
                <w:szCs w:val="24"/>
              </w:rPr>
              <w:t>□</w:t>
            </w:r>
          </w:p>
        </w:tc>
        <w:tc>
          <w:tcPr>
            <w:tcW w:w="1151" w:type="dxa"/>
            <w:vAlign w:val="top"/>
          </w:tcPr>
          <w:p w14:paraId="69D5C31A">
            <w:pPr>
              <w:spacing w:before="73"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0F67D6EF">
            <w:pPr>
              <w:spacing w:before="62" w:line="239" w:lineRule="auto"/>
              <w:ind w:left="631"/>
              <w:rPr>
                <w:rFonts w:ascii="宋体" w:hAnsi="宋体" w:eastAsia="宋体" w:cs="宋体"/>
                <w:sz w:val="21"/>
                <w:szCs w:val="21"/>
              </w:rPr>
            </w:pPr>
            <w:r>
              <w:rPr>
                <w:rFonts w:ascii="宋体" w:hAnsi="宋体" w:eastAsia="宋体" w:cs="宋体"/>
                <w:sz w:val="21"/>
                <w:szCs w:val="21"/>
              </w:rPr>
              <w:t>□</w:t>
            </w:r>
          </w:p>
        </w:tc>
        <w:tc>
          <w:tcPr>
            <w:tcW w:w="1048" w:type="dxa"/>
            <w:vAlign w:val="top"/>
          </w:tcPr>
          <w:p w14:paraId="1AF0774B">
            <w:pPr>
              <w:spacing w:before="63" w:line="219" w:lineRule="auto"/>
              <w:ind w:left="106"/>
              <w:rPr>
                <w:rFonts w:ascii="宋体" w:hAnsi="宋体" w:eastAsia="宋体" w:cs="宋体"/>
                <w:sz w:val="21"/>
                <w:szCs w:val="21"/>
              </w:rPr>
            </w:pPr>
            <w:r>
              <w:rPr>
                <w:rFonts w:ascii="宋体" w:hAnsi="宋体" w:eastAsia="宋体" w:cs="宋体"/>
                <w:spacing w:val="-3"/>
                <w:sz w:val="21"/>
                <w:szCs w:val="21"/>
              </w:rPr>
              <w:t>见第</w:t>
            </w:r>
          </w:p>
        </w:tc>
        <w:tc>
          <w:tcPr>
            <w:tcW w:w="716" w:type="dxa"/>
            <w:vAlign w:val="top"/>
          </w:tcPr>
          <w:p w14:paraId="326DA0A4">
            <w:pPr>
              <w:spacing w:before="45"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637A6E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1" w:hRule="atLeast"/>
        </w:trPr>
        <w:tc>
          <w:tcPr>
            <w:tcW w:w="2172" w:type="dxa"/>
            <w:vAlign w:val="top"/>
          </w:tcPr>
          <w:p w14:paraId="1EB00236">
            <w:pPr>
              <w:spacing w:before="87" w:line="221" w:lineRule="auto"/>
              <w:rPr>
                <w:rFonts w:ascii="宋体" w:hAnsi="宋体" w:eastAsia="宋体" w:cs="宋体"/>
                <w:sz w:val="17"/>
                <w:szCs w:val="17"/>
              </w:rPr>
            </w:pPr>
            <w:r>
              <w:rPr>
                <w:rFonts w:ascii="宋体" w:hAnsi="宋体" w:eastAsia="宋体" w:cs="宋体"/>
                <w:spacing w:val="-7"/>
                <w:sz w:val="17"/>
                <w:szCs w:val="17"/>
              </w:rPr>
              <w:t>测</w:t>
            </w:r>
            <w:r>
              <w:rPr>
                <w:rFonts w:ascii="宋体" w:hAnsi="宋体" w:eastAsia="宋体" w:cs="宋体"/>
                <w:spacing w:val="-27"/>
                <w:sz w:val="17"/>
                <w:szCs w:val="17"/>
              </w:rPr>
              <w:t xml:space="preserve"> </w:t>
            </w:r>
            <w:r>
              <w:rPr>
                <w:rFonts w:ascii="宋体" w:hAnsi="宋体" w:eastAsia="宋体" w:cs="宋体"/>
                <w:spacing w:val="-7"/>
                <w:sz w:val="17"/>
                <w:szCs w:val="17"/>
              </w:rPr>
              <w:t>试</w:t>
            </w:r>
            <w:r>
              <w:rPr>
                <w:rFonts w:ascii="宋体" w:hAnsi="宋体" w:eastAsia="宋体" w:cs="宋体"/>
                <w:spacing w:val="-26"/>
                <w:sz w:val="17"/>
                <w:szCs w:val="17"/>
              </w:rPr>
              <w:t xml:space="preserve"> </w:t>
            </w:r>
            <w:r>
              <w:rPr>
                <w:rFonts w:ascii="宋体" w:hAnsi="宋体" w:eastAsia="宋体" w:cs="宋体"/>
                <w:spacing w:val="-7"/>
                <w:sz w:val="17"/>
                <w:szCs w:val="17"/>
              </w:rPr>
              <w:t>前</w:t>
            </w:r>
            <w:r>
              <w:rPr>
                <w:rFonts w:ascii="宋体" w:hAnsi="宋体" w:eastAsia="宋体" w:cs="宋体"/>
                <w:spacing w:val="-27"/>
                <w:sz w:val="17"/>
                <w:szCs w:val="17"/>
              </w:rPr>
              <w:t xml:space="preserve"> </w:t>
            </w:r>
            <w:r>
              <w:rPr>
                <w:rFonts w:ascii="宋体" w:hAnsi="宋体" w:eastAsia="宋体" w:cs="宋体"/>
                <w:spacing w:val="-7"/>
                <w:sz w:val="17"/>
                <w:szCs w:val="17"/>
              </w:rPr>
              <w:t>指</w:t>
            </w:r>
            <w:r>
              <w:rPr>
                <w:rFonts w:ascii="宋体" w:hAnsi="宋体" w:eastAsia="宋体" w:cs="宋体"/>
                <w:spacing w:val="-24"/>
                <w:sz w:val="17"/>
                <w:szCs w:val="17"/>
              </w:rPr>
              <w:t xml:space="preserve"> </w:t>
            </w:r>
            <w:r>
              <w:rPr>
                <w:rFonts w:ascii="宋体" w:hAnsi="宋体" w:eastAsia="宋体" w:cs="宋体"/>
                <w:spacing w:val="-7"/>
                <w:sz w:val="17"/>
                <w:szCs w:val="17"/>
              </w:rPr>
              <w:t>导</w:t>
            </w:r>
          </w:p>
        </w:tc>
        <w:tc>
          <w:tcPr>
            <w:tcW w:w="676" w:type="dxa"/>
            <w:vAlign w:val="top"/>
          </w:tcPr>
          <w:p w14:paraId="06A39504">
            <w:pPr>
              <w:spacing w:before="61" w:line="216" w:lineRule="auto"/>
              <w:ind w:left="377"/>
              <w:rPr>
                <w:rFonts w:ascii="宋体" w:hAnsi="宋体" w:eastAsia="宋体" w:cs="宋体"/>
                <w:sz w:val="23"/>
                <w:szCs w:val="23"/>
              </w:rPr>
            </w:pPr>
            <w:r>
              <w:rPr>
                <w:rFonts w:ascii="宋体" w:hAnsi="宋体" w:eastAsia="宋体" w:cs="宋体"/>
                <w:sz w:val="23"/>
                <w:szCs w:val="23"/>
              </w:rPr>
              <w:t>□</w:t>
            </w:r>
          </w:p>
        </w:tc>
        <w:tc>
          <w:tcPr>
            <w:tcW w:w="1151" w:type="dxa"/>
            <w:vAlign w:val="top"/>
          </w:tcPr>
          <w:p w14:paraId="1B359514">
            <w:pPr>
              <w:spacing w:before="58"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1B311EEC">
            <w:pPr>
              <w:spacing w:before="47" w:line="239" w:lineRule="auto"/>
              <w:ind w:left="631"/>
              <w:rPr>
                <w:rFonts w:ascii="宋体" w:hAnsi="宋体" w:eastAsia="宋体" w:cs="宋体"/>
                <w:sz w:val="20"/>
                <w:szCs w:val="20"/>
              </w:rPr>
            </w:pPr>
            <w:r>
              <w:rPr>
                <w:rFonts w:ascii="宋体" w:hAnsi="宋体" w:eastAsia="宋体" w:cs="宋体"/>
                <w:sz w:val="20"/>
                <w:szCs w:val="20"/>
              </w:rPr>
              <w:t>□</w:t>
            </w:r>
          </w:p>
        </w:tc>
        <w:tc>
          <w:tcPr>
            <w:tcW w:w="1048" w:type="dxa"/>
            <w:vAlign w:val="top"/>
          </w:tcPr>
          <w:p w14:paraId="42BA620B">
            <w:pPr>
              <w:spacing w:before="47"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6405FC62">
            <w:pPr>
              <w:spacing w:before="50"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0A9A82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2172" w:type="dxa"/>
            <w:vAlign w:val="top"/>
          </w:tcPr>
          <w:p w14:paraId="17295181">
            <w:pPr>
              <w:spacing w:before="77" w:line="220" w:lineRule="auto"/>
              <w:rPr>
                <w:rFonts w:ascii="宋体" w:hAnsi="宋体" w:eastAsia="宋体" w:cs="宋体"/>
                <w:sz w:val="20"/>
                <w:szCs w:val="20"/>
              </w:rPr>
            </w:pPr>
            <w:r>
              <w:rPr>
                <w:rFonts w:ascii="宋体" w:hAnsi="宋体" w:eastAsia="宋体" w:cs="宋体"/>
                <w:spacing w:val="11"/>
                <w:sz w:val="20"/>
                <w:szCs w:val="20"/>
              </w:rPr>
              <w:t>工作测试限制</w:t>
            </w:r>
          </w:p>
        </w:tc>
        <w:tc>
          <w:tcPr>
            <w:tcW w:w="676" w:type="dxa"/>
            <w:vAlign w:val="top"/>
          </w:tcPr>
          <w:p w14:paraId="7F6F30F9">
            <w:pPr>
              <w:spacing w:before="51" w:line="222" w:lineRule="auto"/>
              <w:ind w:left="377"/>
              <w:rPr>
                <w:rFonts w:ascii="宋体" w:hAnsi="宋体" w:eastAsia="宋体" w:cs="宋体"/>
                <w:sz w:val="23"/>
                <w:szCs w:val="23"/>
              </w:rPr>
            </w:pPr>
            <w:r>
              <w:rPr>
                <w:rFonts w:ascii="宋体" w:hAnsi="宋体" w:eastAsia="宋体" w:cs="宋体"/>
                <w:sz w:val="23"/>
                <w:szCs w:val="23"/>
              </w:rPr>
              <w:t>□</w:t>
            </w:r>
          </w:p>
        </w:tc>
        <w:tc>
          <w:tcPr>
            <w:tcW w:w="1151" w:type="dxa"/>
            <w:vAlign w:val="top"/>
          </w:tcPr>
          <w:p w14:paraId="625C2AD4">
            <w:pPr>
              <w:spacing w:before="67"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7CD0FF33">
            <w:pPr>
              <w:spacing w:before="56" w:line="239" w:lineRule="auto"/>
              <w:ind w:left="631"/>
              <w:rPr>
                <w:rFonts w:ascii="宋体" w:hAnsi="宋体" w:eastAsia="宋体" w:cs="宋体"/>
                <w:sz w:val="20"/>
                <w:szCs w:val="20"/>
              </w:rPr>
            </w:pPr>
            <w:r>
              <w:rPr>
                <w:rFonts w:ascii="宋体" w:hAnsi="宋体" w:eastAsia="宋体" w:cs="宋体"/>
                <w:sz w:val="20"/>
                <w:szCs w:val="20"/>
              </w:rPr>
              <w:t>□</w:t>
            </w:r>
          </w:p>
        </w:tc>
        <w:tc>
          <w:tcPr>
            <w:tcW w:w="1048" w:type="dxa"/>
            <w:vAlign w:val="top"/>
          </w:tcPr>
          <w:p w14:paraId="6D227684">
            <w:pPr>
              <w:spacing w:before="56"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061DA3E0">
            <w:pPr>
              <w:spacing w:before="59"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5F195B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4" w:hRule="atLeast"/>
        </w:trPr>
        <w:tc>
          <w:tcPr>
            <w:tcW w:w="2172" w:type="dxa"/>
            <w:vAlign w:val="top"/>
          </w:tcPr>
          <w:p w14:paraId="680585E0">
            <w:pPr>
              <w:spacing w:before="69" w:line="220" w:lineRule="auto"/>
              <w:rPr>
                <w:rFonts w:ascii="宋体" w:hAnsi="宋体" w:eastAsia="宋体" w:cs="宋体"/>
                <w:sz w:val="20"/>
                <w:szCs w:val="20"/>
              </w:rPr>
            </w:pPr>
            <w:r>
              <w:rPr>
                <w:rFonts w:ascii="宋体" w:hAnsi="宋体" w:eastAsia="宋体" w:cs="宋体"/>
                <w:spacing w:val="7"/>
                <w:sz w:val="20"/>
                <w:szCs w:val="20"/>
              </w:rPr>
              <w:t>校准程序</w:t>
            </w:r>
          </w:p>
        </w:tc>
        <w:tc>
          <w:tcPr>
            <w:tcW w:w="676" w:type="dxa"/>
            <w:vAlign w:val="top"/>
          </w:tcPr>
          <w:p w14:paraId="331EE50B">
            <w:pPr>
              <w:spacing w:before="69" w:line="239" w:lineRule="auto"/>
              <w:ind w:left="377"/>
              <w:rPr>
                <w:rFonts w:ascii="宋体" w:hAnsi="宋体" w:eastAsia="宋体" w:cs="宋体"/>
                <w:sz w:val="21"/>
                <w:szCs w:val="21"/>
              </w:rPr>
            </w:pPr>
            <w:r>
              <w:rPr>
                <w:rFonts w:ascii="宋体" w:hAnsi="宋体" w:eastAsia="宋体" w:cs="宋体"/>
                <w:sz w:val="21"/>
                <w:szCs w:val="21"/>
              </w:rPr>
              <w:t>□</w:t>
            </w:r>
          </w:p>
        </w:tc>
        <w:tc>
          <w:tcPr>
            <w:tcW w:w="1151" w:type="dxa"/>
            <w:vAlign w:val="top"/>
          </w:tcPr>
          <w:p w14:paraId="1EA72B5D">
            <w:pPr>
              <w:spacing w:before="69"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549D86FF">
            <w:pPr>
              <w:spacing w:before="61" w:line="239" w:lineRule="auto"/>
              <w:ind w:left="631"/>
              <w:rPr>
                <w:rFonts w:ascii="宋体" w:hAnsi="宋体" w:eastAsia="宋体" w:cs="宋体"/>
                <w:sz w:val="22"/>
                <w:szCs w:val="22"/>
              </w:rPr>
            </w:pPr>
            <w:r>
              <w:rPr>
                <w:rFonts w:ascii="宋体" w:hAnsi="宋体" w:eastAsia="宋体" w:cs="宋体"/>
                <w:sz w:val="22"/>
                <w:szCs w:val="22"/>
              </w:rPr>
              <w:t>□</w:t>
            </w:r>
          </w:p>
        </w:tc>
        <w:tc>
          <w:tcPr>
            <w:tcW w:w="1048" w:type="dxa"/>
            <w:vAlign w:val="top"/>
          </w:tcPr>
          <w:p w14:paraId="69193C4B">
            <w:pPr>
              <w:spacing w:before="58"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7CD5F477">
            <w:pPr>
              <w:spacing w:before="61"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4B5C02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50" w:hRule="atLeast"/>
        </w:trPr>
        <w:tc>
          <w:tcPr>
            <w:tcW w:w="2172" w:type="dxa"/>
            <w:vAlign w:val="top"/>
          </w:tcPr>
          <w:p w14:paraId="2A744966">
            <w:pPr>
              <w:spacing w:before="235" w:line="279" w:lineRule="auto"/>
              <w:ind w:right="909"/>
              <w:rPr>
                <w:rFonts w:ascii="宋体" w:hAnsi="宋体" w:eastAsia="宋体" w:cs="宋体"/>
                <w:sz w:val="20"/>
                <w:szCs w:val="20"/>
              </w:rPr>
            </w:pPr>
            <w:r>
              <w:rPr>
                <w:rFonts w:ascii="宋体" w:hAnsi="宋体" w:eastAsia="宋体" w:cs="宋体"/>
                <w:spacing w:val="10"/>
                <w:sz w:val="20"/>
                <w:szCs w:val="20"/>
              </w:rPr>
              <w:t>特别注意事项</w:t>
            </w:r>
            <w:r>
              <w:rPr>
                <w:rFonts w:ascii="宋体" w:hAnsi="宋体" w:eastAsia="宋体" w:cs="宋体"/>
                <w:spacing w:val="1"/>
                <w:sz w:val="20"/>
                <w:szCs w:val="20"/>
              </w:rPr>
              <w:t xml:space="preserve"> </w:t>
            </w:r>
            <w:r>
              <w:rPr>
                <w:rFonts w:ascii="宋体" w:hAnsi="宋体" w:eastAsia="宋体" w:cs="宋体"/>
                <w:spacing w:val="7"/>
                <w:sz w:val="20"/>
                <w:szCs w:val="20"/>
              </w:rPr>
              <w:t>导线长度</w:t>
            </w:r>
          </w:p>
        </w:tc>
        <w:tc>
          <w:tcPr>
            <w:tcW w:w="676" w:type="dxa"/>
            <w:vAlign w:val="top"/>
          </w:tcPr>
          <w:p w14:paraId="6A36DF73">
            <w:pPr>
              <w:pStyle w:val="6"/>
              <w:spacing w:line="252" w:lineRule="auto"/>
            </w:pPr>
          </w:p>
          <w:p w14:paraId="1F4718F4">
            <w:pPr>
              <w:pStyle w:val="6"/>
              <w:spacing w:line="252" w:lineRule="auto"/>
            </w:pPr>
          </w:p>
          <w:p w14:paraId="02BF68C5">
            <w:pPr>
              <w:spacing w:before="68" w:line="232" w:lineRule="auto"/>
              <w:ind w:left="377"/>
              <w:rPr>
                <w:rFonts w:ascii="宋体" w:hAnsi="宋体" w:eastAsia="宋体" w:cs="宋体"/>
                <w:sz w:val="21"/>
                <w:szCs w:val="21"/>
              </w:rPr>
            </w:pPr>
            <w:r>
              <w:rPr>
                <w:rFonts w:ascii="宋体" w:hAnsi="宋体" w:eastAsia="宋体" w:cs="宋体"/>
                <w:sz w:val="21"/>
                <w:szCs w:val="21"/>
              </w:rPr>
              <w:t>□</w:t>
            </w:r>
          </w:p>
        </w:tc>
        <w:tc>
          <w:tcPr>
            <w:tcW w:w="1151" w:type="dxa"/>
            <w:vAlign w:val="top"/>
          </w:tcPr>
          <w:p w14:paraId="5D0884C2">
            <w:pPr>
              <w:pStyle w:val="6"/>
              <w:spacing w:line="248" w:lineRule="auto"/>
            </w:pPr>
          </w:p>
          <w:p w14:paraId="737CA1E9">
            <w:pPr>
              <w:pStyle w:val="6"/>
              <w:spacing w:line="249" w:lineRule="auto"/>
            </w:pPr>
          </w:p>
          <w:p w14:paraId="0E03CA3D">
            <w:pPr>
              <w:spacing w:before="65"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48F5F6C6">
            <w:pPr>
              <w:pStyle w:val="6"/>
              <w:spacing w:line="248" w:lineRule="auto"/>
            </w:pPr>
          </w:p>
          <w:p w14:paraId="7FEB77A9">
            <w:pPr>
              <w:pStyle w:val="6"/>
              <w:spacing w:line="248" w:lineRule="auto"/>
            </w:pPr>
          </w:p>
          <w:p w14:paraId="3E1EFF76">
            <w:pPr>
              <w:spacing w:before="65" w:line="239" w:lineRule="auto"/>
              <w:ind w:left="633"/>
              <w:rPr>
                <w:rFonts w:ascii="宋体" w:hAnsi="宋体" w:eastAsia="宋体" w:cs="宋体"/>
                <w:sz w:val="20"/>
                <w:szCs w:val="20"/>
              </w:rPr>
            </w:pPr>
            <w:r>
              <w:rPr>
                <w:rFonts w:ascii="宋体" w:hAnsi="宋体" w:eastAsia="宋体" w:cs="宋体"/>
                <w:b/>
                <w:bCs/>
                <w:spacing w:val="-3"/>
                <w:sz w:val="20"/>
                <w:szCs w:val="20"/>
              </w:rPr>
              <w:t>□</w:t>
            </w:r>
          </w:p>
        </w:tc>
        <w:tc>
          <w:tcPr>
            <w:tcW w:w="1048" w:type="dxa"/>
            <w:vAlign w:val="top"/>
          </w:tcPr>
          <w:p w14:paraId="11950166">
            <w:pPr>
              <w:pStyle w:val="6"/>
              <w:spacing w:line="248" w:lineRule="auto"/>
            </w:pPr>
          </w:p>
          <w:p w14:paraId="740CE264">
            <w:pPr>
              <w:pStyle w:val="6"/>
              <w:spacing w:line="248" w:lineRule="auto"/>
            </w:pPr>
          </w:p>
          <w:p w14:paraId="0EB47B53">
            <w:pPr>
              <w:spacing w:before="65"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1D25F13C">
            <w:pPr>
              <w:pStyle w:val="6"/>
              <w:spacing w:line="249" w:lineRule="auto"/>
            </w:pPr>
          </w:p>
          <w:p w14:paraId="6439AB77">
            <w:pPr>
              <w:pStyle w:val="6"/>
              <w:spacing w:line="250" w:lineRule="auto"/>
            </w:pPr>
          </w:p>
          <w:p w14:paraId="6E033A7A">
            <w:pPr>
              <w:spacing w:before="65"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05F482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5" w:hRule="atLeast"/>
        </w:trPr>
        <w:tc>
          <w:tcPr>
            <w:tcW w:w="2172" w:type="dxa"/>
            <w:vAlign w:val="top"/>
          </w:tcPr>
          <w:p w14:paraId="70B47BAB">
            <w:pPr>
              <w:spacing w:before="75" w:line="220" w:lineRule="auto"/>
              <w:rPr>
                <w:rFonts w:ascii="宋体" w:hAnsi="宋体" w:eastAsia="宋体" w:cs="宋体"/>
                <w:sz w:val="20"/>
                <w:szCs w:val="20"/>
              </w:rPr>
            </w:pPr>
            <w:r>
              <w:rPr>
                <w:rFonts w:ascii="宋体" w:hAnsi="宋体" w:eastAsia="宋体" w:cs="宋体"/>
                <w:spacing w:val="5"/>
                <w:sz w:val="20"/>
                <w:szCs w:val="20"/>
              </w:rPr>
              <w:t>隔离</w:t>
            </w:r>
          </w:p>
        </w:tc>
        <w:tc>
          <w:tcPr>
            <w:tcW w:w="676" w:type="dxa"/>
            <w:vAlign w:val="top"/>
          </w:tcPr>
          <w:p w14:paraId="77EE3647">
            <w:pPr>
              <w:pStyle w:val="6"/>
            </w:pPr>
          </w:p>
        </w:tc>
        <w:tc>
          <w:tcPr>
            <w:tcW w:w="1151" w:type="dxa"/>
            <w:vAlign w:val="top"/>
          </w:tcPr>
          <w:p w14:paraId="00EB327E">
            <w:pPr>
              <w:spacing w:before="65"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4E80DCF1">
            <w:pPr>
              <w:spacing w:before="74" w:line="239" w:lineRule="auto"/>
              <w:ind w:left="631"/>
              <w:rPr>
                <w:rFonts w:ascii="宋体" w:hAnsi="宋体" w:eastAsia="宋体" w:cs="宋体"/>
                <w:sz w:val="20"/>
                <w:szCs w:val="20"/>
              </w:rPr>
            </w:pPr>
            <w:r>
              <w:rPr>
                <w:rFonts w:ascii="宋体" w:hAnsi="宋体" w:eastAsia="宋体" w:cs="宋体"/>
                <w:sz w:val="20"/>
                <w:szCs w:val="20"/>
              </w:rPr>
              <w:t>□</w:t>
            </w:r>
          </w:p>
        </w:tc>
        <w:tc>
          <w:tcPr>
            <w:tcW w:w="1048" w:type="dxa"/>
            <w:vAlign w:val="top"/>
          </w:tcPr>
          <w:p w14:paraId="43C730BD">
            <w:pPr>
              <w:spacing w:before="74" w:line="219" w:lineRule="auto"/>
              <w:ind w:left="96"/>
              <w:rPr>
                <w:rFonts w:ascii="宋体" w:hAnsi="宋体" w:eastAsia="宋体" w:cs="宋体"/>
                <w:sz w:val="20"/>
                <w:szCs w:val="20"/>
              </w:rPr>
            </w:pPr>
            <w:r>
              <w:rPr>
                <w:rFonts w:ascii="宋体" w:hAnsi="宋体" w:eastAsia="宋体" w:cs="宋体"/>
                <w:spacing w:val="11"/>
                <w:sz w:val="20"/>
                <w:szCs w:val="20"/>
              </w:rPr>
              <w:t>见第</w:t>
            </w:r>
          </w:p>
        </w:tc>
        <w:tc>
          <w:tcPr>
            <w:tcW w:w="716" w:type="dxa"/>
            <w:vAlign w:val="top"/>
          </w:tcPr>
          <w:p w14:paraId="44591EEF">
            <w:pPr>
              <w:spacing w:before="67"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7FB55D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2172" w:type="dxa"/>
            <w:vAlign w:val="top"/>
          </w:tcPr>
          <w:p w14:paraId="39531306">
            <w:pPr>
              <w:spacing w:before="79" w:line="219" w:lineRule="auto"/>
              <w:rPr>
                <w:rFonts w:ascii="宋体" w:hAnsi="宋体" w:eastAsia="宋体" w:cs="宋体"/>
                <w:sz w:val="20"/>
                <w:szCs w:val="20"/>
              </w:rPr>
            </w:pPr>
            <w:r>
              <w:rPr>
                <w:rFonts w:ascii="宋体" w:hAnsi="宋体" w:eastAsia="宋体" w:cs="宋体"/>
                <w:spacing w:val="-12"/>
                <w:sz w:val="20"/>
                <w:szCs w:val="20"/>
              </w:rPr>
              <w:t>屏蔽，接地</w:t>
            </w:r>
          </w:p>
        </w:tc>
        <w:tc>
          <w:tcPr>
            <w:tcW w:w="676" w:type="dxa"/>
            <w:vAlign w:val="top"/>
          </w:tcPr>
          <w:p w14:paraId="0F7D8B0C">
            <w:pPr>
              <w:spacing w:before="70" w:line="228" w:lineRule="auto"/>
              <w:ind w:left="377"/>
              <w:rPr>
                <w:rFonts w:ascii="宋体" w:hAnsi="宋体" w:eastAsia="宋体" w:cs="宋体"/>
                <w:sz w:val="21"/>
                <w:szCs w:val="21"/>
              </w:rPr>
            </w:pPr>
            <w:r>
              <w:rPr>
                <w:rFonts w:ascii="宋体" w:hAnsi="宋体" w:eastAsia="宋体" w:cs="宋体"/>
                <w:sz w:val="21"/>
                <w:szCs w:val="21"/>
              </w:rPr>
              <w:t>□</w:t>
            </w:r>
          </w:p>
        </w:tc>
        <w:tc>
          <w:tcPr>
            <w:tcW w:w="1151" w:type="dxa"/>
            <w:vAlign w:val="top"/>
          </w:tcPr>
          <w:p w14:paraId="2684F899">
            <w:pPr>
              <w:spacing w:before="70"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1D283BBB">
            <w:pPr>
              <w:spacing w:before="98" w:line="239" w:lineRule="auto"/>
              <w:ind w:left="631"/>
              <w:rPr>
                <w:rFonts w:ascii="宋体" w:hAnsi="宋体" w:eastAsia="宋体" w:cs="宋体"/>
                <w:sz w:val="17"/>
                <w:szCs w:val="17"/>
              </w:rPr>
            </w:pPr>
            <w:r>
              <w:rPr>
                <w:rFonts w:ascii="宋体" w:hAnsi="宋体" w:eastAsia="宋体" w:cs="宋体"/>
                <w:sz w:val="17"/>
                <w:szCs w:val="17"/>
              </w:rPr>
              <w:t>□</w:t>
            </w:r>
          </w:p>
        </w:tc>
        <w:tc>
          <w:tcPr>
            <w:tcW w:w="1048" w:type="dxa"/>
            <w:vAlign w:val="top"/>
          </w:tcPr>
          <w:p w14:paraId="49B35C0B">
            <w:pPr>
              <w:spacing w:before="98" w:line="219" w:lineRule="auto"/>
              <w:ind w:left="106"/>
              <w:rPr>
                <w:rFonts w:ascii="宋体" w:hAnsi="宋体" w:eastAsia="宋体" w:cs="宋体"/>
                <w:sz w:val="17"/>
                <w:szCs w:val="17"/>
              </w:rPr>
            </w:pPr>
            <w:r>
              <w:rPr>
                <w:rFonts w:ascii="宋体" w:hAnsi="宋体" w:eastAsia="宋体" w:cs="宋体"/>
                <w:spacing w:val="-5"/>
                <w:sz w:val="17"/>
                <w:szCs w:val="17"/>
              </w:rPr>
              <w:t>见</w:t>
            </w:r>
            <w:r>
              <w:rPr>
                <w:rFonts w:ascii="宋体" w:hAnsi="宋体" w:eastAsia="宋体" w:cs="宋体"/>
                <w:spacing w:val="2"/>
                <w:sz w:val="17"/>
                <w:szCs w:val="17"/>
              </w:rPr>
              <w:t xml:space="preserve"> </w:t>
            </w:r>
            <w:r>
              <w:rPr>
                <w:rFonts w:ascii="宋体" w:hAnsi="宋体" w:eastAsia="宋体" w:cs="宋体"/>
                <w:spacing w:val="-5"/>
                <w:sz w:val="17"/>
                <w:szCs w:val="17"/>
              </w:rPr>
              <w:t>第</w:t>
            </w:r>
          </w:p>
        </w:tc>
        <w:tc>
          <w:tcPr>
            <w:tcW w:w="716" w:type="dxa"/>
            <w:vAlign w:val="top"/>
          </w:tcPr>
          <w:p w14:paraId="448630C1">
            <w:pPr>
              <w:spacing w:before="72"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202E00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172" w:type="dxa"/>
            <w:vAlign w:val="top"/>
          </w:tcPr>
          <w:p w14:paraId="2B7C9DDB">
            <w:pPr>
              <w:spacing w:before="88" w:line="220" w:lineRule="auto"/>
              <w:rPr>
                <w:rFonts w:ascii="宋体" w:hAnsi="宋体" w:eastAsia="宋体" w:cs="宋体"/>
                <w:sz w:val="17"/>
                <w:szCs w:val="17"/>
              </w:rPr>
            </w:pPr>
            <w:r>
              <w:rPr>
                <w:rFonts w:ascii="宋体" w:hAnsi="宋体" w:eastAsia="宋体" w:cs="宋体"/>
                <w:spacing w:val="-10"/>
                <w:sz w:val="17"/>
                <w:szCs w:val="17"/>
              </w:rPr>
              <w:t>电</w:t>
            </w:r>
            <w:r>
              <w:rPr>
                <w:rFonts w:ascii="宋体" w:hAnsi="宋体" w:eastAsia="宋体" w:cs="宋体"/>
                <w:spacing w:val="-21"/>
                <w:sz w:val="17"/>
                <w:szCs w:val="17"/>
              </w:rPr>
              <w:t xml:space="preserve"> </w:t>
            </w:r>
            <w:r>
              <w:rPr>
                <w:rFonts w:ascii="宋体" w:hAnsi="宋体" w:eastAsia="宋体" w:cs="宋体"/>
                <w:spacing w:val="-10"/>
                <w:sz w:val="17"/>
                <w:szCs w:val="17"/>
              </w:rPr>
              <w:t>源</w:t>
            </w:r>
            <w:r>
              <w:rPr>
                <w:rFonts w:ascii="宋体" w:hAnsi="宋体" w:eastAsia="宋体" w:cs="宋体"/>
                <w:spacing w:val="-19"/>
                <w:sz w:val="17"/>
                <w:szCs w:val="17"/>
              </w:rPr>
              <w:t xml:space="preserve"> </w:t>
            </w:r>
            <w:r>
              <w:rPr>
                <w:rFonts w:ascii="宋体" w:hAnsi="宋体" w:eastAsia="宋体" w:cs="宋体"/>
                <w:spacing w:val="-10"/>
                <w:sz w:val="17"/>
                <w:szCs w:val="17"/>
              </w:rPr>
              <w:t>顺</w:t>
            </w:r>
            <w:r>
              <w:rPr>
                <w:rFonts w:ascii="宋体" w:hAnsi="宋体" w:eastAsia="宋体" w:cs="宋体"/>
                <w:spacing w:val="-20"/>
                <w:sz w:val="17"/>
                <w:szCs w:val="17"/>
              </w:rPr>
              <w:t xml:space="preserve"> </w:t>
            </w:r>
            <w:r>
              <w:rPr>
                <w:rFonts w:ascii="宋体" w:hAnsi="宋体" w:eastAsia="宋体" w:cs="宋体"/>
                <w:spacing w:val="-10"/>
                <w:sz w:val="17"/>
                <w:szCs w:val="17"/>
              </w:rPr>
              <w:t>序</w:t>
            </w:r>
          </w:p>
        </w:tc>
        <w:tc>
          <w:tcPr>
            <w:tcW w:w="676" w:type="dxa"/>
            <w:vAlign w:val="top"/>
          </w:tcPr>
          <w:p w14:paraId="46C75D41">
            <w:pPr>
              <w:spacing w:before="64" w:line="215" w:lineRule="auto"/>
              <w:ind w:left="377"/>
              <w:rPr>
                <w:rFonts w:ascii="宋体" w:hAnsi="宋体" w:eastAsia="宋体" w:cs="宋体"/>
                <w:sz w:val="23"/>
                <w:szCs w:val="23"/>
              </w:rPr>
            </w:pPr>
            <w:r>
              <w:rPr>
                <w:rFonts w:ascii="宋体" w:hAnsi="宋体" w:eastAsia="宋体" w:cs="宋体"/>
                <w:sz w:val="23"/>
                <w:szCs w:val="23"/>
              </w:rPr>
              <w:t>□</w:t>
            </w:r>
          </w:p>
        </w:tc>
        <w:tc>
          <w:tcPr>
            <w:tcW w:w="1151" w:type="dxa"/>
            <w:vAlign w:val="top"/>
          </w:tcPr>
          <w:p w14:paraId="11E50D75">
            <w:pPr>
              <w:spacing w:before="70"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0FA644AB">
            <w:pPr>
              <w:spacing w:before="80" w:line="221" w:lineRule="auto"/>
              <w:ind w:left="631"/>
              <w:rPr>
                <w:rFonts w:ascii="宋体" w:hAnsi="宋体" w:eastAsia="宋体" w:cs="宋体"/>
                <w:sz w:val="21"/>
                <w:szCs w:val="21"/>
              </w:rPr>
            </w:pPr>
            <w:r>
              <w:rPr>
                <w:rFonts w:ascii="宋体" w:hAnsi="宋体" w:eastAsia="宋体" w:cs="宋体"/>
                <w:sz w:val="21"/>
                <w:szCs w:val="21"/>
              </w:rPr>
              <w:t>□</w:t>
            </w:r>
          </w:p>
        </w:tc>
        <w:tc>
          <w:tcPr>
            <w:tcW w:w="1048" w:type="dxa"/>
            <w:vAlign w:val="top"/>
          </w:tcPr>
          <w:p w14:paraId="13E54119">
            <w:pPr>
              <w:spacing w:before="59"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3D69618E">
            <w:pPr>
              <w:spacing w:before="62"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01D8EC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7" w:hRule="atLeast"/>
        </w:trPr>
        <w:tc>
          <w:tcPr>
            <w:tcW w:w="2172" w:type="dxa"/>
            <w:vAlign w:val="top"/>
          </w:tcPr>
          <w:p w14:paraId="66E012A0">
            <w:pPr>
              <w:spacing w:before="77" w:line="219" w:lineRule="auto"/>
              <w:rPr>
                <w:rFonts w:ascii="宋体" w:hAnsi="宋体" w:eastAsia="宋体" w:cs="宋体"/>
                <w:sz w:val="19"/>
                <w:szCs w:val="19"/>
              </w:rPr>
            </w:pPr>
            <w:r>
              <w:rPr>
                <w:rFonts w:ascii="宋体" w:hAnsi="宋体" w:eastAsia="宋体" w:cs="宋体"/>
                <w:spacing w:val="5"/>
                <w:sz w:val="19"/>
                <w:szCs w:val="19"/>
              </w:rPr>
              <w:t>负载匹配，驻波比</w:t>
            </w:r>
          </w:p>
        </w:tc>
        <w:tc>
          <w:tcPr>
            <w:tcW w:w="676" w:type="dxa"/>
            <w:vAlign w:val="top"/>
          </w:tcPr>
          <w:p w14:paraId="2F77DB78">
            <w:pPr>
              <w:spacing w:before="48" w:line="239" w:lineRule="auto"/>
              <w:ind w:left="377"/>
              <w:rPr>
                <w:rFonts w:ascii="宋体" w:hAnsi="宋体" w:eastAsia="宋体" w:cs="宋体"/>
                <w:sz w:val="22"/>
                <w:szCs w:val="22"/>
              </w:rPr>
            </w:pPr>
            <w:r>
              <w:rPr>
                <w:rFonts w:ascii="宋体" w:hAnsi="宋体" w:eastAsia="宋体" w:cs="宋体"/>
                <w:sz w:val="22"/>
                <w:szCs w:val="22"/>
              </w:rPr>
              <w:t>□</w:t>
            </w:r>
          </w:p>
        </w:tc>
        <w:tc>
          <w:tcPr>
            <w:tcW w:w="1151" w:type="dxa"/>
            <w:vAlign w:val="top"/>
          </w:tcPr>
          <w:p w14:paraId="2349DD3E">
            <w:pPr>
              <w:spacing w:before="49" w:line="220" w:lineRule="auto"/>
              <w:ind w:left="91"/>
              <w:rPr>
                <w:rFonts w:ascii="宋体" w:hAnsi="宋体" w:eastAsia="宋体" w:cs="宋体"/>
                <w:sz w:val="22"/>
                <w:szCs w:val="22"/>
              </w:rPr>
            </w:pPr>
            <w:r>
              <w:rPr>
                <w:rFonts w:ascii="宋体" w:hAnsi="宋体" w:eastAsia="宋体" w:cs="宋体"/>
                <w:spacing w:val="-4"/>
                <w:sz w:val="22"/>
                <w:szCs w:val="22"/>
              </w:rPr>
              <w:t>没有</w:t>
            </w:r>
          </w:p>
        </w:tc>
        <w:tc>
          <w:tcPr>
            <w:tcW w:w="934" w:type="dxa"/>
            <w:vAlign w:val="top"/>
          </w:tcPr>
          <w:p w14:paraId="3261DBD9">
            <w:pPr>
              <w:spacing w:before="53" w:line="218" w:lineRule="auto"/>
              <w:ind w:left="631"/>
              <w:rPr>
                <w:rFonts w:ascii="宋体" w:hAnsi="宋体" w:eastAsia="宋体" w:cs="宋体"/>
                <w:sz w:val="24"/>
                <w:szCs w:val="24"/>
              </w:rPr>
            </w:pPr>
            <w:r>
              <w:rPr>
                <w:rFonts w:ascii="宋体" w:hAnsi="宋体" w:eastAsia="宋体" w:cs="宋体"/>
                <w:sz w:val="24"/>
                <w:szCs w:val="24"/>
              </w:rPr>
              <w:t>□</w:t>
            </w:r>
          </w:p>
        </w:tc>
        <w:tc>
          <w:tcPr>
            <w:tcW w:w="1048" w:type="dxa"/>
            <w:vAlign w:val="top"/>
          </w:tcPr>
          <w:p w14:paraId="31FE4F89">
            <w:pPr>
              <w:spacing w:before="67"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000A4D23">
            <w:pPr>
              <w:spacing w:before="70"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273A09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7" w:hRule="atLeast"/>
        </w:trPr>
        <w:tc>
          <w:tcPr>
            <w:tcW w:w="2172" w:type="dxa"/>
            <w:vAlign w:val="top"/>
          </w:tcPr>
          <w:p w14:paraId="14E82901">
            <w:pPr>
              <w:spacing w:before="70" w:line="219" w:lineRule="auto"/>
              <w:rPr>
                <w:rFonts w:ascii="宋体" w:hAnsi="宋体" w:eastAsia="宋体" w:cs="宋体"/>
                <w:sz w:val="20"/>
                <w:szCs w:val="20"/>
              </w:rPr>
            </w:pPr>
            <w:r>
              <w:rPr>
                <w:rFonts w:ascii="宋体" w:hAnsi="宋体" w:eastAsia="宋体" w:cs="宋体"/>
                <w:spacing w:val="13"/>
                <w:sz w:val="20"/>
                <w:szCs w:val="20"/>
              </w:rPr>
              <w:t>辐射</w:t>
            </w:r>
          </w:p>
        </w:tc>
        <w:tc>
          <w:tcPr>
            <w:tcW w:w="676" w:type="dxa"/>
            <w:vAlign w:val="top"/>
          </w:tcPr>
          <w:p w14:paraId="17F1E126">
            <w:pPr>
              <w:spacing w:before="71" w:line="239" w:lineRule="auto"/>
              <w:ind w:left="377"/>
              <w:rPr>
                <w:rFonts w:ascii="宋体" w:hAnsi="宋体" w:eastAsia="宋体" w:cs="宋体"/>
                <w:sz w:val="20"/>
                <w:szCs w:val="20"/>
              </w:rPr>
            </w:pPr>
            <w:r>
              <w:rPr>
                <w:rFonts w:ascii="宋体" w:hAnsi="宋体" w:eastAsia="宋体" w:cs="宋体"/>
                <w:sz w:val="20"/>
                <w:szCs w:val="20"/>
              </w:rPr>
              <w:t>□</w:t>
            </w:r>
          </w:p>
        </w:tc>
        <w:tc>
          <w:tcPr>
            <w:tcW w:w="1151" w:type="dxa"/>
            <w:vAlign w:val="top"/>
          </w:tcPr>
          <w:p w14:paraId="0E9C7392">
            <w:pPr>
              <w:spacing w:before="71" w:line="220" w:lineRule="auto"/>
              <w:ind w:left="91"/>
              <w:rPr>
                <w:rFonts w:ascii="宋体" w:hAnsi="宋体" w:eastAsia="宋体" w:cs="宋体"/>
                <w:sz w:val="20"/>
                <w:szCs w:val="20"/>
              </w:rPr>
            </w:pPr>
            <w:r>
              <w:rPr>
                <w:rFonts w:ascii="宋体" w:hAnsi="宋体" w:eastAsia="宋体" w:cs="宋体"/>
                <w:spacing w:val="5"/>
                <w:sz w:val="20"/>
                <w:szCs w:val="20"/>
              </w:rPr>
              <w:t>没有</w:t>
            </w:r>
          </w:p>
        </w:tc>
        <w:tc>
          <w:tcPr>
            <w:tcW w:w="934" w:type="dxa"/>
            <w:vAlign w:val="top"/>
          </w:tcPr>
          <w:p w14:paraId="72C86575">
            <w:pPr>
              <w:spacing w:before="55" w:line="226" w:lineRule="auto"/>
              <w:ind w:left="631"/>
              <w:rPr>
                <w:rFonts w:ascii="宋体" w:hAnsi="宋体" w:eastAsia="宋体" w:cs="宋体"/>
                <w:sz w:val="23"/>
                <w:szCs w:val="23"/>
              </w:rPr>
            </w:pPr>
            <w:r>
              <w:rPr>
                <w:rFonts w:ascii="宋体" w:hAnsi="宋体" w:eastAsia="宋体" w:cs="宋体"/>
                <w:sz w:val="23"/>
                <w:szCs w:val="23"/>
              </w:rPr>
              <w:t>□</w:t>
            </w:r>
          </w:p>
        </w:tc>
        <w:tc>
          <w:tcPr>
            <w:tcW w:w="1048" w:type="dxa"/>
            <w:vAlign w:val="top"/>
          </w:tcPr>
          <w:p w14:paraId="29DADBEB">
            <w:pPr>
              <w:spacing w:before="70" w:line="219"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36CF3284">
            <w:pPr>
              <w:spacing w:before="73" w:line="221" w:lineRule="auto"/>
              <w:jc w:val="right"/>
              <w:rPr>
                <w:rFonts w:ascii="宋体" w:hAnsi="宋体" w:eastAsia="宋体" w:cs="宋体"/>
                <w:sz w:val="20"/>
                <w:szCs w:val="20"/>
              </w:rPr>
            </w:pPr>
            <w:r>
              <w:rPr>
                <w:rFonts w:ascii="宋体" w:hAnsi="宋体" w:eastAsia="宋体" w:cs="宋体"/>
                <w:spacing w:val="-14"/>
                <w:sz w:val="20"/>
                <w:szCs w:val="20"/>
              </w:rPr>
              <w:t>页</w:t>
            </w:r>
          </w:p>
        </w:tc>
      </w:tr>
      <w:tr w14:paraId="44DC6A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2172" w:type="dxa"/>
            <w:vAlign w:val="top"/>
          </w:tcPr>
          <w:p w14:paraId="3D75ABB0">
            <w:pPr>
              <w:spacing w:before="63" w:line="183" w:lineRule="auto"/>
              <w:rPr>
                <w:rFonts w:ascii="宋体" w:hAnsi="宋体" w:eastAsia="宋体" w:cs="宋体"/>
                <w:sz w:val="20"/>
                <w:szCs w:val="20"/>
              </w:rPr>
            </w:pPr>
            <w:r>
              <w:rPr>
                <w:rFonts w:ascii="宋体" w:hAnsi="宋体" w:eastAsia="宋体" w:cs="宋体"/>
                <w:spacing w:val="13"/>
                <w:sz w:val="20"/>
                <w:szCs w:val="20"/>
              </w:rPr>
              <w:t>其他</w:t>
            </w:r>
          </w:p>
        </w:tc>
        <w:tc>
          <w:tcPr>
            <w:tcW w:w="676" w:type="dxa"/>
            <w:vAlign w:val="top"/>
          </w:tcPr>
          <w:p w14:paraId="7E20A6C6">
            <w:pPr>
              <w:spacing w:before="102" w:line="173" w:lineRule="auto"/>
              <w:ind w:left="377"/>
              <w:rPr>
                <w:rFonts w:ascii="宋体" w:hAnsi="宋体" w:eastAsia="宋体" w:cs="宋体"/>
                <w:sz w:val="17"/>
                <w:szCs w:val="17"/>
              </w:rPr>
            </w:pPr>
            <w:r>
              <w:rPr>
                <w:rFonts w:ascii="宋体" w:hAnsi="宋体" w:eastAsia="宋体" w:cs="宋体"/>
                <w:sz w:val="17"/>
                <w:szCs w:val="17"/>
              </w:rPr>
              <w:t>□</w:t>
            </w:r>
          </w:p>
        </w:tc>
        <w:tc>
          <w:tcPr>
            <w:tcW w:w="1151" w:type="dxa"/>
            <w:vAlign w:val="top"/>
          </w:tcPr>
          <w:p w14:paraId="387B2377">
            <w:pPr>
              <w:spacing w:before="102" w:line="173" w:lineRule="auto"/>
              <w:ind w:left="91"/>
              <w:rPr>
                <w:rFonts w:ascii="宋体" w:hAnsi="宋体" w:eastAsia="宋体" w:cs="宋体"/>
                <w:sz w:val="17"/>
                <w:szCs w:val="17"/>
              </w:rPr>
            </w:pPr>
            <w:r>
              <w:rPr>
                <w:rFonts w:ascii="宋体" w:hAnsi="宋体" w:eastAsia="宋体" w:cs="宋体"/>
                <w:spacing w:val="-4"/>
                <w:sz w:val="17"/>
                <w:szCs w:val="17"/>
              </w:rPr>
              <w:t>没 有</w:t>
            </w:r>
          </w:p>
        </w:tc>
        <w:tc>
          <w:tcPr>
            <w:tcW w:w="934" w:type="dxa"/>
            <w:vAlign w:val="top"/>
          </w:tcPr>
          <w:p w14:paraId="17808050">
            <w:pPr>
              <w:spacing w:before="63" w:line="183" w:lineRule="auto"/>
              <w:ind w:left="631"/>
              <w:rPr>
                <w:rFonts w:ascii="宋体" w:hAnsi="宋体" w:eastAsia="宋体" w:cs="宋体"/>
                <w:sz w:val="20"/>
                <w:szCs w:val="20"/>
              </w:rPr>
            </w:pPr>
            <w:r>
              <w:rPr>
                <w:rFonts w:ascii="宋体" w:hAnsi="宋体" w:eastAsia="宋体" w:cs="宋体"/>
                <w:sz w:val="20"/>
                <w:szCs w:val="20"/>
              </w:rPr>
              <w:t>□</w:t>
            </w:r>
          </w:p>
        </w:tc>
        <w:tc>
          <w:tcPr>
            <w:tcW w:w="1048" w:type="dxa"/>
            <w:vAlign w:val="top"/>
          </w:tcPr>
          <w:p w14:paraId="6CCA1FA4">
            <w:pPr>
              <w:spacing w:before="63" w:line="183" w:lineRule="auto"/>
              <w:ind w:left="106"/>
              <w:rPr>
                <w:rFonts w:ascii="宋体" w:hAnsi="宋体" w:eastAsia="宋体" w:cs="宋体"/>
                <w:sz w:val="20"/>
                <w:szCs w:val="20"/>
              </w:rPr>
            </w:pPr>
            <w:r>
              <w:rPr>
                <w:rFonts w:ascii="宋体" w:hAnsi="宋体" w:eastAsia="宋体" w:cs="宋体"/>
                <w:spacing w:val="6"/>
                <w:sz w:val="20"/>
                <w:szCs w:val="20"/>
              </w:rPr>
              <w:t>见第</w:t>
            </w:r>
          </w:p>
        </w:tc>
        <w:tc>
          <w:tcPr>
            <w:tcW w:w="716" w:type="dxa"/>
            <w:vAlign w:val="top"/>
          </w:tcPr>
          <w:p w14:paraId="2DE9F1A9">
            <w:pPr>
              <w:spacing w:before="65" w:line="181" w:lineRule="auto"/>
              <w:jc w:val="right"/>
              <w:rPr>
                <w:rFonts w:ascii="宋体" w:hAnsi="宋体" w:eastAsia="宋体" w:cs="宋体"/>
                <w:sz w:val="20"/>
                <w:szCs w:val="20"/>
              </w:rPr>
            </w:pPr>
            <w:r>
              <w:rPr>
                <w:rFonts w:ascii="宋体" w:hAnsi="宋体" w:eastAsia="宋体" w:cs="宋体"/>
                <w:spacing w:val="-14"/>
                <w:sz w:val="20"/>
                <w:szCs w:val="20"/>
              </w:rPr>
              <w:t>页</w:t>
            </w:r>
          </w:p>
        </w:tc>
      </w:tr>
    </w:tbl>
    <w:p w14:paraId="28E5D2B6">
      <w:pPr>
        <w:pStyle w:val="2"/>
        <w:spacing w:before="241" w:line="219" w:lineRule="auto"/>
        <w:ind w:left="2980"/>
        <w:rPr>
          <w:sz w:val="22"/>
          <w:szCs w:val="22"/>
        </w:rPr>
      </w:pPr>
      <w:r>
        <w:rPr>
          <w:spacing w:val="8"/>
          <w:sz w:val="22"/>
          <w:szCs w:val="22"/>
        </w:rPr>
        <w:t>图9</w:t>
      </w:r>
      <w:r>
        <w:rPr>
          <w:spacing w:val="-49"/>
          <w:sz w:val="22"/>
          <w:szCs w:val="22"/>
        </w:rPr>
        <w:t xml:space="preserve"> </w:t>
      </w:r>
      <w:r>
        <w:rPr>
          <w:spacing w:val="8"/>
          <w:sz w:val="22"/>
          <w:szCs w:val="22"/>
        </w:rPr>
        <w:t>.</w:t>
      </w:r>
      <w:r>
        <w:rPr>
          <w:spacing w:val="-63"/>
          <w:sz w:val="22"/>
          <w:szCs w:val="22"/>
        </w:rPr>
        <w:t xml:space="preserve"> </w:t>
      </w:r>
      <w:r>
        <w:rPr>
          <w:spacing w:val="8"/>
          <w:sz w:val="22"/>
          <w:szCs w:val="22"/>
        </w:rPr>
        <w:t>4  一般信息页(</w:t>
      </w:r>
      <w:r>
        <w:rPr>
          <w:spacing w:val="-53"/>
          <w:sz w:val="22"/>
          <w:szCs w:val="22"/>
        </w:rPr>
        <w:t xml:space="preserve"> </w:t>
      </w:r>
      <w:r>
        <w:rPr>
          <w:rFonts w:ascii="Times New Roman" w:hAnsi="Times New Roman" w:eastAsia="Times New Roman" w:cs="Times New Roman"/>
          <w:sz w:val="22"/>
          <w:szCs w:val="22"/>
        </w:rPr>
        <w:t>UUT</w:t>
      </w:r>
      <w:r>
        <w:rPr>
          <w:rFonts w:ascii="Times New Roman" w:hAnsi="Times New Roman" w:eastAsia="Times New Roman" w:cs="Times New Roman"/>
          <w:spacing w:val="10"/>
          <w:sz w:val="22"/>
          <w:szCs w:val="22"/>
        </w:rPr>
        <w:t xml:space="preserve">  </w:t>
      </w:r>
      <w:r>
        <w:rPr>
          <w:spacing w:val="8"/>
          <w:sz w:val="22"/>
          <w:szCs w:val="22"/>
        </w:rPr>
        <w:t>测试)</w:t>
      </w:r>
    </w:p>
    <w:p w14:paraId="7AE00086">
      <w:pPr>
        <w:pStyle w:val="2"/>
        <w:spacing w:before="311" w:line="219" w:lineRule="auto"/>
        <w:ind w:left="529"/>
      </w:pPr>
      <w:r>
        <w:rPr>
          <w:rFonts w:ascii="Times New Roman" w:hAnsi="Times New Roman" w:eastAsia="Times New Roman" w:cs="Times New Roman"/>
        </w:rPr>
        <w:t>UUT</w:t>
      </w:r>
      <w:r>
        <w:rPr>
          <w:rFonts w:ascii="Times New Roman" w:hAnsi="Times New Roman" w:eastAsia="Times New Roman" w:cs="Times New Roman"/>
          <w:spacing w:val="61"/>
        </w:rPr>
        <w:t xml:space="preserve"> </w:t>
      </w:r>
      <w:r>
        <w:rPr>
          <w:spacing w:val="5"/>
        </w:rPr>
        <w:t>一般信息格式应符合下述要求：</w:t>
      </w:r>
    </w:p>
    <w:p w14:paraId="2D5A1981">
      <w:pPr>
        <w:pStyle w:val="2"/>
        <w:spacing w:before="70" w:line="212" w:lineRule="auto"/>
        <w:ind w:left="529"/>
        <w:rPr>
          <w:sz w:val="25"/>
          <w:szCs w:val="25"/>
        </w:rPr>
      </w:pPr>
      <w:r>
        <w:rPr>
          <w:rFonts w:ascii="Times New Roman" w:hAnsi="Times New Roman" w:eastAsia="Times New Roman" w:cs="Times New Roman"/>
          <w:spacing w:val="11"/>
          <w:sz w:val="25"/>
          <w:szCs w:val="25"/>
        </w:rPr>
        <w:t xml:space="preserve">a)  </w:t>
      </w:r>
      <w:r>
        <w:rPr>
          <w:spacing w:val="11"/>
          <w:sz w:val="25"/>
          <w:szCs w:val="25"/>
        </w:rPr>
        <w:t>重量，应标明</w:t>
      </w:r>
      <w:r>
        <w:rPr>
          <w:rFonts w:ascii="Times New Roman" w:hAnsi="Times New Roman" w:eastAsia="Times New Roman" w:cs="Times New Roman"/>
          <w:sz w:val="25"/>
          <w:szCs w:val="25"/>
        </w:rPr>
        <w:t>UUT</w:t>
      </w:r>
      <w:r>
        <w:rPr>
          <w:rFonts w:ascii="Times New Roman" w:hAnsi="Times New Roman" w:eastAsia="Times New Roman" w:cs="Times New Roman"/>
          <w:spacing w:val="10"/>
          <w:sz w:val="25"/>
          <w:szCs w:val="25"/>
        </w:rPr>
        <w:t xml:space="preserve">   </w:t>
      </w:r>
      <w:r>
        <w:rPr>
          <w:spacing w:val="11"/>
          <w:sz w:val="25"/>
          <w:szCs w:val="25"/>
        </w:rPr>
        <w:t>的重量；</w:t>
      </w:r>
    </w:p>
    <w:p w14:paraId="02B9B89C">
      <w:pPr>
        <w:pStyle w:val="2"/>
        <w:spacing w:before="91" w:line="212" w:lineRule="auto"/>
        <w:ind w:left="529"/>
      </w:pPr>
      <w:r>
        <w:rPr>
          <w:rFonts w:ascii="Times New Roman" w:hAnsi="Times New Roman" w:eastAsia="Times New Roman" w:cs="Times New Roman"/>
          <w:spacing w:val="-5"/>
        </w:rPr>
        <w:t xml:space="preserve">b)  </w:t>
      </w:r>
      <w:r>
        <w:rPr>
          <w:spacing w:val="-5"/>
        </w:rPr>
        <w:t>专用工具，如有专用工具，应注明，并</w:t>
      </w:r>
      <w:r>
        <w:rPr>
          <w:spacing w:val="-6"/>
        </w:rPr>
        <w:t>标出这些要求在</w:t>
      </w:r>
      <w:r>
        <w:rPr>
          <w:rFonts w:ascii="Times New Roman" w:hAnsi="Times New Roman" w:eastAsia="Times New Roman" w:cs="Times New Roman"/>
          <w:spacing w:val="-6"/>
        </w:rPr>
        <w:t>TRD</w:t>
      </w:r>
      <w:r>
        <w:rPr>
          <w:rFonts w:ascii="Times New Roman" w:hAnsi="Times New Roman" w:eastAsia="Times New Roman" w:cs="Times New Roman"/>
          <w:spacing w:val="31"/>
        </w:rPr>
        <w:t xml:space="preserve"> </w:t>
      </w:r>
      <w:r>
        <w:rPr>
          <w:spacing w:val="-6"/>
        </w:rPr>
        <w:t>中的页号；</w:t>
      </w:r>
    </w:p>
    <w:p w14:paraId="15DD47D3">
      <w:pPr>
        <w:pStyle w:val="2"/>
        <w:spacing w:before="100" w:line="212" w:lineRule="auto"/>
        <w:ind w:left="529"/>
      </w:pPr>
      <w:r>
        <w:rPr>
          <w:rFonts w:ascii="Times New Roman" w:hAnsi="Times New Roman" w:eastAsia="Times New Roman" w:cs="Times New Roman"/>
          <w:spacing w:val="-7"/>
        </w:rPr>
        <w:t>c)</w:t>
      </w:r>
      <w:r>
        <w:rPr>
          <w:rFonts w:ascii="Times New Roman" w:hAnsi="Times New Roman" w:eastAsia="Times New Roman" w:cs="Times New Roman"/>
          <w:spacing w:val="67"/>
        </w:rPr>
        <w:t xml:space="preserve"> </w:t>
      </w:r>
      <w:r>
        <w:rPr>
          <w:spacing w:val="-7"/>
        </w:rPr>
        <w:t>装卸要求，如有装卸要求，应注明，并标出这些要求在</w:t>
      </w:r>
      <w:r>
        <w:rPr>
          <w:rFonts w:ascii="Times New Roman" w:hAnsi="Times New Roman" w:eastAsia="Times New Roman" w:cs="Times New Roman"/>
          <w:spacing w:val="-7"/>
        </w:rPr>
        <w:t>TRD</w:t>
      </w:r>
      <w:r>
        <w:rPr>
          <w:rFonts w:ascii="Times New Roman" w:hAnsi="Times New Roman" w:eastAsia="Times New Roman" w:cs="Times New Roman"/>
          <w:spacing w:val="61"/>
        </w:rPr>
        <w:t xml:space="preserve"> </w:t>
      </w:r>
      <w:r>
        <w:rPr>
          <w:spacing w:val="-7"/>
        </w:rPr>
        <w:t>中的页号；</w:t>
      </w:r>
    </w:p>
    <w:p w14:paraId="68CDF111">
      <w:pPr>
        <w:pStyle w:val="2"/>
        <w:spacing w:before="110" w:line="256" w:lineRule="auto"/>
        <w:ind w:right="102" w:firstLine="529"/>
      </w:pPr>
      <w:r>
        <w:rPr>
          <w:rFonts w:ascii="Times New Roman" w:hAnsi="Times New Roman" w:eastAsia="Times New Roman" w:cs="Times New Roman"/>
          <w:spacing w:val="3"/>
        </w:rPr>
        <w:t xml:space="preserve">d)  </w:t>
      </w:r>
      <w:r>
        <w:rPr>
          <w:spacing w:val="3"/>
        </w:rPr>
        <w:t>环境要求，应规定正常和安全工作所需的所有条件，如冷却空</w:t>
      </w:r>
      <w:r>
        <w:rPr>
          <w:spacing w:val="2"/>
        </w:rPr>
        <w:t>气、液压</w:t>
      </w:r>
      <w:r>
        <w:t xml:space="preserve"> </w:t>
      </w:r>
      <w:r>
        <w:rPr>
          <w:spacing w:val="-9"/>
        </w:rPr>
        <w:t>源、气源传动装置、燃油油箱和其他辅助资源等；</w:t>
      </w:r>
    </w:p>
    <w:p w14:paraId="626F6C9F">
      <w:pPr>
        <w:pStyle w:val="2"/>
        <w:spacing w:before="109" w:line="271" w:lineRule="auto"/>
        <w:ind w:right="121" w:firstLine="529"/>
        <w:rPr>
          <w:sz w:val="25"/>
          <w:szCs w:val="25"/>
        </w:rPr>
      </w:pPr>
      <w:r>
        <w:rPr>
          <w:rFonts w:ascii="Times New Roman" w:hAnsi="Times New Roman" w:eastAsia="Times New Roman" w:cs="Times New Roman"/>
          <w:spacing w:val="14"/>
          <w:sz w:val="25"/>
          <w:szCs w:val="25"/>
        </w:rPr>
        <w:t>e</w:t>
      </w:r>
      <w:r>
        <w:rPr>
          <w:spacing w:val="14"/>
          <w:sz w:val="25"/>
          <w:szCs w:val="25"/>
        </w:rPr>
        <w:t>)</w:t>
      </w:r>
      <w:r>
        <w:rPr>
          <w:spacing w:val="-38"/>
          <w:sz w:val="25"/>
          <w:szCs w:val="25"/>
        </w:rPr>
        <w:t xml:space="preserve"> </w:t>
      </w:r>
      <w:r>
        <w:rPr>
          <w:spacing w:val="14"/>
          <w:sz w:val="25"/>
          <w:szCs w:val="25"/>
        </w:rPr>
        <w:t>安全要求，当存在高压、射频辐射等影响安全的情况时，应标识出对人员</w:t>
      </w:r>
      <w:r>
        <w:rPr>
          <w:sz w:val="25"/>
          <w:szCs w:val="25"/>
        </w:rPr>
        <w:t xml:space="preserve"> </w:t>
      </w:r>
      <w:r>
        <w:rPr>
          <w:spacing w:val="23"/>
          <w:sz w:val="25"/>
          <w:szCs w:val="25"/>
        </w:rPr>
        <w:t>和设备(</w:t>
      </w:r>
      <w:r>
        <w:rPr>
          <w:spacing w:val="-66"/>
          <w:sz w:val="25"/>
          <w:szCs w:val="25"/>
        </w:rPr>
        <w:t xml:space="preserve"> </w:t>
      </w:r>
      <w:r>
        <w:rPr>
          <w:rFonts w:ascii="Times New Roman" w:hAnsi="Times New Roman" w:eastAsia="Times New Roman" w:cs="Times New Roman"/>
          <w:sz w:val="25"/>
          <w:szCs w:val="25"/>
        </w:rPr>
        <w:t>UU</w:t>
      </w:r>
      <w:r>
        <w:rPr>
          <w:rFonts w:ascii="Times New Roman" w:hAnsi="Times New Roman" w:eastAsia="Times New Roman" w:cs="Times New Roman"/>
          <w:spacing w:val="23"/>
          <w:sz w:val="25"/>
          <w:szCs w:val="25"/>
        </w:rPr>
        <w:t xml:space="preserve">  </w:t>
      </w:r>
      <w:r>
        <w:rPr>
          <w:spacing w:val="23"/>
          <w:sz w:val="25"/>
          <w:szCs w:val="25"/>
        </w:rPr>
        <w:t>和测试设备)进行保护的特殊注意事项和指导，</w:t>
      </w:r>
      <w:r>
        <w:rPr>
          <w:spacing w:val="22"/>
          <w:sz w:val="25"/>
          <w:szCs w:val="25"/>
        </w:rPr>
        <w:t>并标出这些要求在</w:t>
      </w:r>
      <w:r>
        <w:rPr>
          <w:sz w:val="25"/>
          <w:szCs w:val="25"/>
        </w:rPr>
        <w:t xml:space="preserve"> </w:t>
      </w:r>
      <w:r>
        <w:rPr>
          <w:rFonts w:ascii="Times New Roman" w:hAnsi="Times New Roman" w:eastAsia="Times New Roman" w:cs="Times New Roman"/>
          <w:sz w:val="25"/>
          <w:szCs w:val="25"/>
        </w:rPr>
        <w:t>TRD</w:t>
      </w:r>
      <w:r>
        <w:rPr>
          <w:rFonts w:ascii="Times New Roman" w:hAnsi="Times New Roman" w:eastAsia="Times New Roman" w:cs="Times New Roman"/>
          <w:spacing w:val="21"/>
          <w:w w:val="101"/>
          <w:sz w:val="25"/>
          <w:szCs w:val="25"/>
        </w:rPr>
        <w:t xml:space="preserve">  </w:t>
      </w:r>
      <w:r>
        <w:rPr>
          <w:spacing w:val="11"/>
          <w:sz w:val="25"/>
          <w:szCs w:val="25"/>
        </w:rPr>
        <w:t>中的页号；</w:t>
      </w:r>
    </w:p>
    <w:p w14:paraId="50C9416F">
      <w:pPr>
        <w:pStyle w:val="2"/>
        <w:spacing w:before="78" w:line="269" w:lineRule="auto"/>
        <w:ind w:firstLine="529"/>
      </w:pPr>
      <w:r>
        <w:rPr>
          <w:rFonts w:ascii="Times New Roman" w:hAnsi="Times New Roman" w:eastAsia="Times New Roman" w:cs="Times New Roman"/>
          <w:spacing w:val="-1"/>
        </w:rPr>
        <w:t xml:space="preserve">f) </w:t>
      </w:r>
      <w:r>
        <w:rPr>
          <w:spacing w:val="-1"/>
        </w:rPr>
        <w:t>电源要求，应标明所有</w:t>
      </w:r>
      <w:r>
        <w:rPr>
          <w:spacing w:val="-56"/>
        </w:rPr>
        <w:t xml:space="preserve"> </w:t>
      </w:r>
      <w:r>
        <w:rPr>
          <w:rFonts w:ascii="Times New Roman" w:hAnsi="Times New Roman" w:eastAsia="Times New Roman" w:cs="Times New Roman"/>
          <w:spacing w:val="-1"/>
        </w:rPr>
        <w:t xml:space="preserve">UUT  </w:t>
      </w:r>
      <w:r>
        <w:rPr>
          <w:spacing w:val="-1"/>
        </w:rPr>
        <w:t>输入电源要求，包括交流和直流电压及其容</w:t>
      </w:r>
      <w:r>
        <w:t xml:space="preserve">  </w:t>
      </w:r>
      <w:r>
        <w:rPr>
          <w:spacing w:val="-7"/>
        </w:rPr>
        <w:t>差、最大负载电流、频率及其容差、电源阻抗、接地回流、直流电压的波</w:t>
      </w:r>
      <w:r>
        <w:rPr>
          <w:spacing w:val="-8"/>
        </w:rPr>
        <w:t>纹极限。</w:t>
      </w:r>
      <w:r>
        <w:t xml:space="preserve"> </w:t>
      </w:r>
      <w:r>
        <w:rPr>
          <w:spacing w:val="-3"/>
        </w:rPr>
        <w:t>如有特殊需要，应标明三相电源的线电压或者相电压，并标明允许的线与线之间</w:t>
      </w:r>
      <w:r>
        <w:rPr>
          <w:spacing w:val="10"/>
        </w:rPr>
        <w:t xml:space="preserve"> </w:t>
      </w:r>
      <w:r>
        <w:rPr>
          <w:spacing w:val="1"/>
        </w:rPr>
        <w:t>的电压最大不平衡度和失真百分比；</w:t>
      </w:r>
    </w:p>
    <w:p w14:paraId="2A44F49D">
      <w:pPr>
        <w:spacing w:line="269" w:lineRule="auto"/>
        <w:sectPr>
          <w:footerReference r:id="rId468" w:type="default"/>
          <w:pgSz w:w="11910" w:h="17130"/>
          <w:pgMar w:top="1456" w:right="814" w:bottom="1573" w:left="1630" w:header="0" w:footer="1375" w:gutter="0"/>
          <w:cols w:space="720" w:num="1"/>
        </w:sectPr>
      </w:pPr>
    </w:p>
    <w:p w14:paraId="03D1FF7C">
      <w:pPr>
        <w:pStyle w:val="2"/>
        <w:spacing w:before="95" w:line="212" w:lineRule="auto"/>
        <w:ind w:left="550"/>
        <w:rPr>
          <w:sz w:val="25"/>
          <w:szCs w:val="25"/>
        </w:rPr>
      </w:pPr>
      <w:r>
        <w:rPr>
          <w:rFonts w:ascii="Times New Roman" w:hAnsi="Times New Roman" w:eastAsia="Times New Roman" w:cs="Times New Roman"/>
          <w:spacing w:val="13"/>
          <w:sz w:val="25"/>
          <w:szCs w:val="25"/>
        </w:rPr>
        <w:t xml:space="preserve">g)  </w:t>
      </w:r>
      <w:r>
        <w:rPr>
          <w:spacing w:val="13"/>
          <w:sz w:val="25"/>
          <w:szCs w:val="25"/>
        </w:rPr>
        <w:t>故障信息，应提供</w:t>
      </w:r>
      <w:r>
        <w:rPr>
          <w:spacing w:val="-63"/>
          <w:sz w:val="25"/>
          <w:szCs w:val="25"/>
        </w:rPr>
        <w:t xml:space="preserve"> </w:t>
      </w:r>
      <w:r>
        <w:rPr>
          <w:rFonts w:ascii="Times New Roman" w:hAnsi="Times New Roman" w:eastAsia="Times New Roman" w:cs="Times New Roman"/>
          <w:sz w:val="25"/>
          <w:szCs w:val="25"/>
        </w:rPr>
        <w:t>UUT</w:t>
      </w:r>
      <w:r>
        <w:rPr>
          <w:rFonts w:ascii="Times New Roman" w:hAnsi="Times New Roman" w:eastAsia="Times New Roman" w:cs="Times New Roman"/>
          <w:spacing w:val="13"/>
          <w:sz w:val="25"/>
          <w:szCs w:val="25"/>
        </w:rPr>
        <w:t xml:space="preserve">   </w:t>
      </w:r>
      <w:r>
        <w:rPr>
          <w:spacing w:val="13"/>
          <w:sz w:val="25"/>
          <w:szCs w:val="25"/>
        </w:rPr>
        <w:t>的故障模式信息和</w:t>
      </w:r>
      <w:r>
        <w:rPr>
          <w:rFonts w:ascii="Times New Roman" w:hAnsi="Times New Roman" w:eastAsia="Times New Roman" w:cs="Times New Roman"/>
          <w:sz w:val="25"/>
          <w:szCs w:val="25"/>
        </w:rPr>
        <w:t>MTBF</w:t>
      </w:r>
      <w:r>
        <w:rPr>
          <w:rFonts w:ascii="Times New Roman" w:hAnsi="Times New Roman" w:eastAsia="Times New Roman" w:cs="Times New Roman"/>
          <w:spacing w:val="13"/>
          <w:sz w:val="25"/>
          <w:szCs w:val="25"/>
        </w:rPr>
        <w:t xml:space="preserve">   </w:t>
      </w:r>
      <w:r>
        <w:rPr>
          <w:spacing w:val="13"/>
          <w:sz w:val="25"/>
          <w:szCs w:val="25"/>
        </w:rPr>
        <w:t>值</w:t>
      </w:r>
      <w:r>
        <w:rPr>
          <w:spacing w:val="-52"/>
          <w:sz w:val="25"/>
          <w:szCs w:val="25"/>
        </w:rPr>
        <w:t xml:space="preserve"> </w:t>
      </w:r>
      <w:r>
        <w:rPr>
          <w:spacing w:val="13"/>
          <w:sz w:val="25"/>
          <w:szCs w:val="25"/>
        </w:rPr>
        <w:t>；</w:t>
      </w:r>
    </w:p>
    <w:p w14:paraId="7B282CF8">
      <w:pPr>
        <w:pStyle w:val="2"/>
        <w:spacing w:before="92" w:line="273" w:lineRule="auto"/>
        <w:ind w:right="5" w:firstLine="550"/>
      </w:pPr>
      <w:r>
        <w:rPr>
          <w:rFonts w:ascii="Times New Roman" w:hAnsi="Times New Roman" w:eastAsia="Times New Roman" w:cs="Times New Roman"/>
          <w:spacing w:val="6"/>
        </w:rPr>
        <w:t>h)</w:t>
      </w:r>
      <w:r>
        <w:rPr>
          <w:rFonts w:ascii="Times New Roman" w:hAnsi="Times New Roman" w:eastAsia="Times New Roman" w:cs="Times New Roman"/>
        </w:rPr>
        <w:t>UUT</w:t>
      </w:r>
      <w:r>
        <w:rPr>
          <w:rFonts w:ascii="Times New Roman" w:hAnsi="Times New Roman" w:eastAsia="Times New Roman" w:cs="Times New Roman"/>
          <w:spacing w:val="6"/>
        </w:rPr>
        <w:t xml:space="preserve">    </w:t>
      </w:r>
      <w:r>
        <w:rPr>
          <w:spacing w:val="6"/>
        </w:rPr>
        <w:t>层次图，应随</w:t>
      </w:r>
      <w:r>
        <w:rPr>
          <w:spacing w:val="-31"/>
        </w:rPr>
        <w:t xml:space="preserve"> </w:t>
      </w:r>
      <w:r>
        <w:rPr>
          <w:rFonts w:ascii="Times New Roman" w:hAnsi="Times New Roman" w:eastAsia="Times New Roman" w:cs="Times New Roman"/>
        </w:rPr>
        <w:t>TRD</w:t>
      </w:r>
      <w:r>
        <w:rPr>
          <w:rFonts w:ascii="Times New Roman" w:hAnsi="Times New Roman" w:eastAsia="Times New Roman" w:cs="Times New Roman"/>
          <w:spacing w:val="6"/>
        </w:rPr>
        <w:t xml:space="preserve">  </w:t>
      </w:r>
      <w:r>
        <w:rPr>
          <w:spacing w:val="6"/>
        </w:rPr>
        <w:t>一起提供</w:t>
      </w:r>
      <w:r>
        <w:rPr>
          <w:spacing w:val="-74"/>
        </w:rPr>
        <w:t xml:space="preserve"> </w:t>
      </w:r>
      <w:r>
        <w:rPr>
          <w:rFonts w:ascii="Times New Roman" w:hAnsi="Times New Roman" w:eastAsia="Times New Roman" w:cs="Times New Roman"/>
        </w:rPr>
        <w:t>UUT</w:t>
      </w:r>
      <w:r>
        <w:rPr>
          <w:rFonts w:ascii="Times New Roman" w:hAnsi="Times New Roman" w:eastAsia="Times New Roman" w:cs="Times New Roman"/>
          <w:spacing w:val="6"/>
        </w:rPr>
        <w:t xml:space="preserve">   </w:t>
      </w:r>
      <w:r>
        <w:rPr>
          <w:spacing w:val="6"/>
        </w:rPr>
        <w:t>层次图，标出</w:t>
      </w:r>
      <w:r>
        <w:rPr>
          <w:spacing w:val="-58"/>
        </w:rPr>
        <w:t xml:space="preserve"> </w:t>
      </w:r>
      <w:r>
        <w:rPr>
          <w:rFonts w:ascii="Times New Roman" w:hAnsi="Times New Roman" w:eastAsia="Times New Roman" w:cs="Times New Roman"/>
        </w:rPr>
        <w:t>UUT</w:t>
      </w:r>
      <w:r>
        <w:rPr>
          <w:rFonts w:ascii="Times New Roman" w:hAnsi="Times New Roman" w:eastAsia="Times New Roman" w:cs="Times New Roman"/>
          <w:spacing w:val="6"/>
        </w:rPr>
        <w:t xml:space="preserve">   </w:t>
      </w:r>
      <w:r>
        <w:rPr>
          <w:spacing w:val="6"/>
        </w:rPr>
        <w:t>的每个</w:t>
      </w:r>
      <w:r>
        <w:t xml:space="preserve"> </w:t>
      </w:r>
      <w:r>
        <w:rPr>
          <w:rFonts w:ascii="Times New Roman" w:hAnsi="Times New Roman" w:eastAsia="Times New Roman" w:cs="Times New Roman"/>
          <w:spacing w:val="-7"/>
        </w:rPr>
        <w:t>LRU</w:t>
      </w:r>
      <w:r>
        <w:rPr>
          <w:rFonts w:ascii="Times New Roman" w:hAnsi="Times New Roman" w:eastAsia="Times New Roman" w:cs="Times New Roman"/>
          <w:spacing w:val="-39"/>
        </w:rPr>
        <w:t xml:space="preserve"> </w:t>
      </w:r>
      <w:r>
        <w:rPr>
          <w:spacing w:val="-7"/>
        </w:rPr>
        <w:t>、</w:t>
      </w:r>
      <w:r>
        <w:rPr>
          <w:rFonts w:ascii="Times New Roman" w:hAnsi="Times New Roman" w:eastAsia="Times New Roman" w:cs="Times New Roman"/>
          <w:spacing w:val="-7"/>
        </w:rPr>
        <w:t>SRU</w:t>
      </w:r>
      <w:r>
        <w:rPr>
          <w:rFonts w:ascii="Times New Roman" w:hAnsi="Times New Roman" w:eastAsia="Times New Roman" w:cs="Times New Roman"/>
          <w:spacing w:val="-21"/>
        </w:rPr>
        <w:t xml:space="preserve"> </w:t>
      </w:r>
      <w:r>
        <w:rPr>
          <w:spacing w:val="-7"/>
        </w:rPr>
        <w:t>和</w:t>
      </w:r>
      <w:r>
        <w:rPr>
          <w:spacing w:val="-53"/>
        </w:rPr>
        <w:t xml:space="preserve"> </w:t>
      </w:r>
      <w:r>
        <w:rPr>
          <w:rFonts w:ascii="Times New Roman" w:hAnsi="Times New Roman" w:eastAsia="Times New Roman" w:cs="Times New Roman"/>
          <w:spacing w:val="-7"/>
        </w:rPr>
        <w:t>SSRU</w:t>
      </w:r>
      <w:r>
        <w:rPr>
          <w:spacing w:val="-7"/>
        </w:rPr>
        <w:t>。</w:t>
      </w:r>
    </w:p>
    <w:p w14:paraId="7B9780AB">
      <w:pPr>
        <w:spacing w:before="52" w:line="368" w:lineRule="exact"/>
        <w:rPr>
          <w:rFonts w:ascii="黑体" w:hAnsi="黑体" w:eastAsia="黑体" w:cs="黑体"/>
          <w:sz w:val="27"/>
          <w:szCs w:val="27"/>
        </w:rPr>
      </w:pPr>
      <w:r>
        <w:rPr>
          <w:rFonts w:ascii="Arial" w:hAnsi="Arial" w:eastAsia="Arial" w:cs="Arial"/>
          <w:spacing w:val="4"/>
          <w:position w:val="1"/>
          <w:sz w:val="27"/>
          <w:szCs w:val="27"/>
        </w:rPr>
        <w:t xml:space="preserve">5.2    </w:t>
      </w:r>
      <w:r>
        <w:rPr>
          <w:rFonts w:ascii="黑体" w:hAnsi="黑体" w:eastAsia="黑体" w:cs="黑体"/>
          <w:spacing w:val="4"/>
          <w:position w:val="1"/>
          <w:sz w:val="27"/>
          <w:szCs w:val="27"/>
        </w:rPr>
        <w:t>功能和性能</w:t>
      </w:r>
    </w:p>
    <w:p w14:paraId="6C0CEC82">
      <w:pPr>
        <w:pStyle w:val="2"/>
        <w:spacing w:before="100" w:line="219" w:lineRule="auto"/>
        <w:ind w:left="550"/>
      </w:pPr>
      <w:r>
        <w:rPr>
          <w:spacing w:val="8"/>
        </w:rPr>
        <w:t>应描述</w:t>
      </w:r>
      <w:r>
        <w:rPr>
          <w:rFonts w:ascii="Times New Roman" w:hAnsi="Times New Roman" w:eastAsia="Times New Roman" w:cs="Times New Roman"/>
        </w:rPr>
        <w:t>UUT</w:t>
      </w:r>
      <w:r>
        <w:rPr>
          <w:rFonts w:ascii="Times New Roman" w:hAnsi="Times New Roman" w:eastAsia="Times New Roman" w:cs="Times New Roman"/>
          <w:spacing w:val="8"/>
        </w:rPr>
        <w:t xml:space="preserve">  </w:t>
      </w:r>
      <w:r>
        <w:rPr>
          <w:spacing w:val="8"/>
        </w:rPr>
        <w:t>预期使用的全部功能和性能。</w:t>
      </w:r>
    </w:p>
    <w:p w14:paraId="6E362673">
      <w:pPr>
        <w:spacing w:before="94" w:line="327" w:lineRule="exact"/>
        <w:rPr>
          <w:rFonts w:ascii="黑体" w:hAnsi="黑体" w:eastAsia="黑体" w:cs="黑体"/>
          <w:sz w:val="24"/>
          <w:szCs w:val="24"/>
        </w:rPr>
      </w:pPr>
      <w:r>
        <w:rPr>
          <w:rFonts w:ascii="Arial" w:hAnsi="Arial" w:eastAsia="Arial" w:cs="Arial"/>
          <w:spacing w:val="18"/>
          <w:position w:val="1"/>
          <w:sz w:val="24"/>
          <w:szCs w:val="24"/>
        </w:rPr>
        <w:t>5.3</w:t>
      </w:r>
      <w:r>
        <w:rPr>
          <w:rFonts w:ascii="Arial" w:hAnsi="Arial" w:eastAsia="Arial" w:cs="Arial"/>
          <w:spacing w:val="5"/>
          <w:position w:val="1"/>
          <w:sz w:val="24"/>
          <w:szCs w:val="24"/>
        </w:rPr>
        <w:t xml:space="preserve">     </w:t>
      </w:r>
      <w:r>
        <w:rPr>
          <w:rFonts w:ascii="黑体" w:hAnsi="黑体" w:eastAsia="黑体" w:cs="黑体"/>
          <w:spacing w:val="18"/>
          <w:position w:val="1"/>
          <w:sz w:val="24"/>
          <w:szCs w:val="24"/>
        </w:rPr>
        <w:t>工作原理</w:t>
      </w:r>
    </w:p>
    <w:p w14:paraId="06C5428F">
      <w:pPr>
        <w:pStyle w:val="2"/>
        <w:spacing w:before="58" w:line="307" w:lineRule="auto"/>
        <w:ind w:right="2" w:firstLine="550"/>
      </w:pPr>
      <w:r>
        <w:rPr>
          <w:spacing w:val="-1"/>
        </w:rPr>
        <w:t>说明</w:t>
      </w:r>
      <w:r>
        <w:rPr>
          <w:spacing w:val="-65"/>
        </w:rPr>
        <w:t xml:space="preserve"> </w:t>
      </w:r>
      <w:r>
        <w:rPr>
          <w:rFonts w:ascii="Times New Roman" w:hAnsi="Times New Roman" w:eastAsia="Times New Roman" w:cs="Times New Roman"/>
          <w:spacing w:val="-1"/>
        </w:rPr>
        <w:t xml:space="preserve">UUT  </w:t>
      </w:r>
      <w:r>
        <w:rPr>
          <w:spacing w:val="-1"/>
        </w:rPr>
        <w:t>工作原理的叙述性信息，需要时应包</w:t>
      </w:r>
      <w:r>
        <w:rPr>
          <w:spacing w:val="-2"/>
        </w:rPr>
        <w:t>括时序图、波形图和其他工</w:t>
      </w:r>
      <w:r>
        <w:t xml:space="preserve"> </w:t>
      </w:r>
      <w:r>
        <w:rPr>
          <w:spacing w:val="-1"/>
        </w:rPr>
        <w:t>程信息。</w:t>
      </w:r>
    </w:p>
    <w:p w14:paraId="4317B0AB">
      <w:pPr>
        <w:spacing w:before="1" w:line="221" w:lineRule="auto"/>
        <w:rPr>
          <w:rFonts w:ascii="黑体" w:hAnsi="黑体" w:eastAsia="黑体" w:cs="黑体"/>
          <w:sz w:val="24"/>
          <w:szCs w:val="24"/>
        </w:rPr>
      </w:pPr>
      <w:r>
        <w:rPr>
          <w:rFonts w:ascii="黑体" w:hAnsi="黑体" w:eastAsia="黑体" w:cs="黑体"/>
          <w:spacing w:val="20"/>
          <w:sz w:val="24"/>
          <w:szCs w:val="24"/>
        </w:rPr>
        <w:t>5.4</w:t>
      </w:r>
      <w:r>
        <w:rPr>
          <w:rFonts w:ascii="黑体" w:hAnsi="黑体" w:eastAsia="黑体" w:cs="黑体"/>
          <w:spacing w:val="41"/>
          <w:sz w:val="24"/>
          <w:szCs w:val="24"/>
        </w:rPr>
        <w:t xml:space="preserve">  </w:t>
      </w:r>
      <w:r>
        <w:rPr>
          <w:rFonts w:ascii="黑体" w:hAnsi="黑体" w:eastAsia="黑体" w:cs="黑体"/>
          <w:spacing w:val="20"/>
          <w:sz w:val="24"/>
          <w:szCs w:val="24"/>
        </w:rPr>
        <w:t>使用指南</w:t>
      </w:r>
    </w:p>
    <w:p w14:paraId="38297E2D">
      <w:pPr>
        <w:pStyle w:val="2"/>
        <w:spacing w:before="77" w:line="212" w:lineRule="auto"/>
        <w:ind w:left="550"/>
      </w:pPr>
      <w:r>
        <w:rPr>
          <w:spacing w:val="5"/>
        </w:rPr>
        <w:t>对需要操作人员参与才能正常工作的</w:t>
      </w:r>
      <w:r>
        <w:rPr>
          <w:spacing w:val="-59"/>
        </w:rPr>
        <w:t xml:space="preserve"> </w:t>
      </w:r>
      <w:r>
        <w:rPr>
          <w:rFonts w:ascii="Times New Roman" w:hAnsi="Times New Roman" w:eastAsia="Times New Roman" w:cs="Times New Roman"/>
        </w:rPr>
        <w:t>UUT</w:t>
      </w:r>
      <w:r>
        <w:rPr>
          <w:rFonts w:ascii="Times New Roman" w:hAnsi="Times New Roman" w:eastAsia="Times New Roman" w:cs="Times New Roman"/>
          <w:spacing w:val="5"/>
        </w:rPr>
        <w:t xml:space="preserve">,  </w:t>
      </w:r>
      <w:r>
        <w:rPr>
          <w:spacing w:val="5"/>
        </w:rPr>
        <w:t>应提供详细的使用指南。</w:t>
      </w:r>
    </w:p>
    <w:p w14:paraId="39F9A823">
      <w:pPr>
        <w:spacing w:before="146" w:line="222" w:lineRule="auto"/>
        <w:rPr>
          <w:rFonts w:ascii="黑体" w:hAnsi="黑体" w:eastAsia="黑体" w:cs="黑体"/>
          <w:sz w:val="27"/>
          <w:szCs w:val="27"/>
        </w:rPr>
      </w:pPr>
      <w:r>
        <w:rPr>
          <w:rFonts w:ascii="黑体" w:hAnsi="黑体" w:eastAsia="黑体" w:cs="黑体"/>
          <w:spacing w:val="4"/>
          <w:sz w:val="27"/>
          <w:szCs w:val="27"/>
        </w:rPr>
        <w:t>5.5  使用限制</w:t>
      </w:r>
    </w:p>
    <w:p w14:paraId="1998AF45">
      <w:pPr>
        <w:pStyle w:val="2"/>
        <w:spacing w:before="74" w:line="281" w:lineRule="auto"/>
        <w:ind w:firstLine="550"/>
      </w:pPr>
      <w:r>
        <w:rPr>
          <w:spacing w:val="-1"/>
        </w:rPr>
        <w:t>为确保正常测试，应提供</w:t>
      </w:r>
      <w:r>
        <w:rPr>
          <w:spacing w:val="-75"/>
        </w:rPr>
        <w:t xml:space="preserve"> </w:t>
      </w:r>
      <w:r>
        <w:rPr>
          <w:rFonts w:ascii="Times New Roman" w:hAnsi="Times New Roman" w:eastAsia="Times New Roman" w:cs="Times New Roman"/>
          <w:spacing w:val="-1"/>
        </w:rPr>
        <w:t xml:space="preserve">UUT  </w:t>
      </w:r>
      <w:r>
        <w:rPr>
          <w:spacing w:val="-1"/>
        </w:rPr>
        <w:t>工作的一般程序和特殊注意事项，包括所需</w:t>
      </w:r>
      <w:r>
        <w:t xml:space="preserve"> </w:t>
      </w:r>
      <w:r>
        <w:rPr>
          <w:spacing w:val="5"/>
        </w:rPr>
        <w:t>初始化要求以及</w:t>
      </w:r>
      <w:r>
        <w:rPr>
          <w:rFonts w:ascii="Times New Roman" w:hAnsi="Times New Roman" w:eastAsia="Times New Roman" w:cs="Times New Roman"/>
        </w:rPr>
        <w:t>UUT</w:t>
      </w:r>
      <w:r>
        <w:rPr>
          <w:rFonts w:ascii="Times New Roman" w:hAnsi="Times New Roman" w:eastAsia="Times New Roman" w:cs="Times New Roman"/>
          <w:spacing w:val="5"/>
        </w:rPr>
        <w:t xml:space="preserve">  </w:t>
      </w:r>
      <w:r>
        <w:rPr>
          <w:spacing w:val="5"/>
        </w:rPr>
        <w:t>输入/输出的条件，并在</w:t>
      </w:r>
      <w:r>
        <w:rPr>
          <w:rFonts w:ascii="Times New Roman" w:hAnsi="Times New Roman" w:eastAsia="Times New Roman" w:cs="Times New Roman"/>
        </w:rPr>
        <w:t>UUT</w:t>
      </w:r>
      <w:r>
        <w:rPr>
          <w:rFonts w:ascii="Times New Roman" w:hAnsi="Times New Roman" w:eastAsia="Times New Roman" w:cs="Times New Roman"/>
          <w:spacing w:val="5"/>
        </w:rPr>
        <w:t xml:space="preserve">  </w:t>
      </w:r>
      <w:r>
        <w:rPr>
          <w:spacing w:val="5"/>
        </w:rPr>
        <w:t>使用制约索引表中列出。</w:t>
      </w:r>
    </w:p>
    <w:p w14:paraId="3500F59D">
      <w:pPr>
        <w:spacing w:before="1" w:line="222" w:lineRule="auto"/>
        <w:rPr>
          <w:rFonts w:ascii="黑体" w:hAnsi="黑体" w:eastAsia="黑体" w:cs="黑体"/>
          <w:sz w:val="27"/>
          <w:szCs w:val="27"/>
        </w:rPr>
      </w:pPr>
      <w:r>
        <w:rPr>
          <w:rFonts w:ascii="黑体" w:hAnsi="黑体" w:eastAsia="黑体" w:cs="黑体"/>
          <w:spacing w:val="3"/>
          <w:sz w:val="27"/>
          <w:szCs w:val="27"/>
        </w:rPr>
        <w:t>5.6  接口定义</w:t>
      </w:r>
    </w:p>
    <w:p w14:paraId="2FA4BDFD">
      <w:pPr>
        <w:spacing w:before="144" w:line="222" w:lineRule="auto"/>
        <w:rPr>
          <w:rFonts w:ascii="黑体" w:hAnsi="黑体" w:eastAsia="黑体" w:cs="黑体"/>
          <w:sz w:val="24"/>
          <w:szCs w:val="24"/>
        </w:rPr>
      </w:pPr>
      <w:r>
        <w:rPr>
          <w:rFonts w:ascii="黑体" w:hAnsi="黑体" w:eastAsia="黑体" w:cs="黑体"/>
          <w:spacing w:val="12"/>
          <w:sz w:val="24"/>
          <w:szCs w:val="24"/>
        </w:rPr>
        <w:t>5.6.</w:t>
      </w:r>
      <w:r>
        <w:rPr>
          <w:rFonts w:ascii="黑体" w:hAnsi="黑体" w:eastAsia="黑体" w:cs="黑体"/>
          <w:spacing w:val="-65"/>
          <w:sz w:val="24"/>
          <w:szCs w:val="24"/>
        </w:rPr>
        <w:t xml:space="preserve"> </w:t>
      </w:r>
      <w:r>
        <w:rPr>
          <w:rFonts w:ascii="黑体" w:hAnsi="黑体" w:eastAsia="黑体" w:cs="黑体"/>
          <w:spacing w:val="12"/>
          <w:sz w:val="24"/>
          <w:szCs w:val="24"/>
        </w:rPr>
        <w:t>1</w:t>
      </w:r>
      <w:r>
        <w:rPr>
          <w:rFonts w:ascii="黑体" w:hAnsi="黑体" w:eastAsia="黑体" w:cs="黑体"/>
          <w:spacing w:val="4"/>
          <w:sz w:val="24"/>
          <w:szCs w:val="24"/>
        </w:rPr>
        <w:t xml:space="preserve">   </w:t>
      </w:r>
      <w:r>
        <w:rPr>
          <w:rFonts w:ascii="黑体" w:hAnsi="黑体" w:eastAsia="黑体" w:cs="黑体"/>
          <w:spacing w:val="12"/>
          <w:sz w:val="24"/>
          <w:szCs w:val="24"/>
        </w:rPr>
        <w:t>机械接口</w:t>
      </w:r>
    </w:p>
    <w:p w14:paraId="28F64F7C">
      <w:pPr>
        <w:pStyle w:val="2"/>
        <w:spacing w:before="91" w:line="219" w:lineRule="auto"/>
        <w:ind w:left="550"/>
      </w:pPr>
      <w:r>
        <w:rPr>
          <w:spacing w:val="12"/>
        </w:rPr>
        <w:t>应按照图9.5提供与</w:t>
      </w:r>
      <w:r>
        <w:rPr>
          <w:rFonts w:ascii="Times New Roman" w:hAnsi="Times New Roman" w:eastAsia="Times New Roman" w:cs="Times New Roman"/>
        </w:rPr>
        <w:t>UUT</w:t>
      </w:r>
      <w:r>
        <w:rPr>
          <w:rFonts w:ascii="Times New Roman" w:hAnsi="Times New Roman" w:eastAsia="Times New Roman" w:cs="Times New Roman"/>
          <w:spacing w:val="12"/>
        </w:rPr>
        <w:t xml:space="preserve">  </w:t>
      </w:r>
      <w:r>
        <w:rPr>
          <w:spacing w:val="12"/>
        </w:rPr>
        <w:t>相关的连接器和固定</w:t>
      </w:r>
      <w:r>
        <w:rPr>
          <w:spacing w:val="11"/>
        </w:rPr>
        <w:t>架的下列内容：</w:t>
      </w:r>
    </w:p>
    <w:p w14:paraId="59668D81">
      <w:pPr>
        <w:pStyle w:val="2"/>
        <w:spacing w:before="129" w:line="221" w:lineRule="auto"/>
        <w:ind w:left="550"/>
        <w:rPr>
          <w:sz w:val="20"/>
          <w:szCs w:val="20"/>
        </w:rPr>
      </w:pPr>
      <w:r>
        <w:rPr>
          <w:spacing w:val="-9"/>
          <w:sz w:val="20"/>
          <w:szCs w:val="20"/>
        </w:rPr>
        <w:t>页</w:t>
      </w:r>
      <w:r>
        <w:rPr>
          <w:spacing w:val="8"/>
          <w:sz w:val="20"/>
          <w:szCs w:val="20"/>
        </w:rPr>
        <w:t xml:space="preserve">    </w:t>
      </w:r>
      <w:r>
        <w:rPr>
          <w:spacing w:val="-9"/>
          <w:sz w:val="20"/>
          <w:szCs w:val="20"/>
        </w:rPr>
        <w:t>号</w:t>
      </w:r>
      <w:r>
        <w:rPr>
          <w:spacing w:val="-41"/>
          <w:sz w:val="20"/>
          <w:szCs w:val="20"/>
        </w:rPr>
        <w:t xml:space="preserve"> </w:t>
      </w:r>
      <w:r>
        <w:rPr>
          <w:spacing w:val="-9"/>
          <w:sz w:val="20"/>
          <w:szCs w:val="20"/>
        </w:rPr>
        <w:t>：</w:t>
      </w:r>
    </w:p>
    <w:p w14:paraId="254C1162">
      <w:pPr>
        <w:pStyle w:val="2"/>
        <w:spacing w:before="130" w:line="219" w:lineRule="auto"/>
        <w:ind w:left="550"/>
        <w:rPr>
          <w:sz w:val="20"/>
          <w:szCs w:val="20"/>
        </w:rPr>
      </w:pPr>
      <w:r>
        <w:rPr>
          <w:rFonts w:ascii="Times New Roman" w:hAnsi="Times New Roman" w:eastAsia="Times New Roman" w:cs="Times New Roman"/>
          <w:sz w:val="20"/>
          <w:szCs w:val="20"/>
        </w:rPr>
        <w:t>TRD</w:t>
      </w:r>
      <w:r>
        <w:rPr>
          <w:rFonts w:ascii="Times New Roman" w:hAnsi="Times New Roman" w:eastAsia="Times New Roman" w:cs="Times New Roman"/>
          <w:spacing w:val="1"/>
          <w:sz w:val="20"/>
          <w:szCs w:val="20"/>
        </w:rPr>
        <w:t xml:space="preserve">  </w:t>
      </w:r>
      <w:r>
        <w:rPr>
          <w:spacing w:val="1"/>
          <w:sz w:val="20"/>
          <w:szCs w:val="20"/>
        </w:rPr>
        <w:t>编号：</w:t>
      </w:r>
    </w:p>
    <w:p w14:paraId="2890FFDE">
      <w:pPr>
        <w:pStyle w:val="2"/>
        <w:spacing w:before="141" w:line="219" w:lineRule="auto"/>
        <w:ind w:left="550"/>
        <w:rPr>
          <w:sz w:val="20"/>
          <w:szCs w:val="20"/>
        </w:rPr>
      </w:pPr>
      <w:r>
        <w:rPr>
          <w:spacing w:val="-6"/>
          <w:sz w:val="20"/>
          <w:szCs w:val="20"/>
        </w:rPr>
        <w:t>版</w:t>
      </w:r>
      <w:r>
        <w:rPr>
          <w:spacing w:val="7"/>
          <w:sz w:val="20"/>
          <w:szCs w:val="20"/>
        </w:rPr>
        <w:t xml:space="preserve">    </w:t>
      </w:r>
      <w:r>
        <w:rPr>
          <w:spacing w:val="-6"/>
          <w:sz w:val="20"/>
          <w:szCs w:val="20"/>
        </w:rPr>
        <w:t>本</w:t>
      </w:r>
      <w:r>
        <w:rPr>
          <w:spacing w:val="-46"/>
          <w:sz w:val="20"/>
          <w:szCs w:val="20"/>
        </w:rPr>
        <w:t xml:space="preserve"> </w:t>
      </w:r>
      <w:r>
        <w:rPr>
          <w:spacing w:val="-6"/>
          <w:sz w:val="20"/>
          <w:szCs w:val="20"/>
        </w:rPr>
        <w:t>：</w:t>
      </w:r>
    </w:p>
    <w:p w14:paraId="2BAD8F5C">
      <w:pPr>
        <w:pStyle w:val="2"/>
        <w:spacing w:before="135" w:line="220" w:lineRule="auto"/>
        <w:ind w:left="550"/>
        <w:rPr>
          <w:sz w:val="20"/>
          <w:szCs w:val="20"/>
        </w:rPr>
      </w:pPr>
      <w:r>
        <w:rPr>
          <w:spacing w:val="-18"/>
          <w:sz w:val="20"/>
          <w:szCs w:val="20"/>
        </w:rPr>
        <w:t>日</w:t>
      </w:r>
      <w:r>
        <w:rPr>
          <w:spacing w:val="8"/>
          <w:sz w:val="20"/>
          <w:szCs w:val="20"/>
        </w:rPr>
        <w:t xml:space="preserve">    </w:t>
      </w:r>
      <w:r>
        <w:rPr>
          <w:spacing w:val="-18"/>
          <w:sz w:val="20"/>
          <w:szCs w:val="20"/>
        </w:rPr>
        <w:t>期</w:t>
      </w:r>
      <w:r>
        <w:rPr>
          <w:spacing w:val="-44"/>
          <w:sz w:val="20"/>
          <w:szCs w:val="20"/>
        </w:rPr>
        <w:t xml:space="preserve"> </w:t>
      </w:r>
      <w:r>
        <w:rPr>
          <w:spacing w:val="-18"/>
          <w:sz w:val="20"/>
          <w:szCs w:val="20"/>
        </w:rPr>
        <w:t>：</w:t>
      </w:r>
    </w:p>
    <w:p w14:paraId="26BEB576">
      <w:pPr>
        <w:spacing w:before="99" w:line="221" w:lineRule="auto"/>
        <w:ind w:left="3919"/>
        <w:rPr>
          <w:rFonts w:ascii="仿宋" w:hAnsi="仿宋" w:eastAsia="仿宋" w:cs="仿宋"/>
          <w:sz w:val="27"/>
          <w:szCs w:val="27"/>
        </w:rPr>
      </w:pPr>
      <w:r>
        <w:rPr>
          <w:rFonts w:ascii="仿宋" w:hAnsi="仿宋" w:eastAsia="仿宋" w:cs="仿宋"/>
          <w:spacing w:val="1"/>
          <w:sz w:val="27"/>
          <w:szCs w:val="27"/>
        </w:rPr>
        <w:t>机械接口定义</w:t>
      </w:r>
    </w:p>
    <w:p w14:paraId="20C3F0AF">
      <w:pPr>
        <w:spacing w:line="126" w:lineRule="exact"/>
      </w:pPr>
    </w:p>
    <w:tbl>
      <w:tblPr>
        <w:tblStyle w:val="5"/>
        <w:tblW w:w="7949" w:type="dxa"/>
        <w:tblInd w:w="7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2"/>
        <w:gridCol w:w="1877"/>
        <w:gridCol w:w="839"/>
        <w:gridCol w:w="1668"/>
        <w:gridCol w:w="1683"/>
      </w:tblGrid>
      <w:tr w14:paraId="48355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7949" w:type="dxa"/>
            <w:gridSpan w:val="5"/>
            <w:vAlign w:val="top"/>
          </w:tcPr>
          <w:p w14:paraId="3AB3E37D">
            <w:pPr>
              <w:spacing w:before="104" w:line="221" w:lineRule="auto"/>
              <w:ind w:left="94"/>
              <w:rPr>
                <w:rFonts w:ascii="宋体" w:hAnsi="宋体" w:eastAsia="宋体" w:cs="宋体"/>
                <w:sz w:val="21"/>
                <w:szCs w:val="21"/>
              </w:rPr>
            </w:pPr>
            <w:r>
              <w:rPr>
                <w:rFonts w:ascii="宋体" w:hAnsi="宋体" w:eastAsia="宋体" w:cs="宋体"/>
                <w:spacing w:val="-3"/>
                <w:sz w:val="21"/>
                <w:szCs w:val="21"/>
              </w:rPr>
              <w:t>连接器</w:t>
            </w:r>
          </w:p>
        </w:tc>
      </w:tr>
      <w:tr w14:paraId="69B04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882" w:type="dxa"/>
            <w:vAlign w:val="top"/>
          </w:tcPr>
          <w:p w14:paraId="261C228A">
            <w:pPr>
              <w:spacing w:before="99" w:line="219" w:lineRule="auto"/>
              <w:ind w:left="164"/>
              <w:rPr>
                <w:rFonts w:ascii="宋体" w:hAnsi="宋体" w:eastAsia="宋体" w:cs="宋体"/>
                <w:sz w:val="21"/>
                <w:szCs w:val="21"/>
              </w:rPr>
            </w:pPr>
            <w:r>
              <w:rPr>
                <w:rFonts w:ascii="宋体" w:hAnsi="宋体" w:eastAsia="宋体" w:cs="宋体"/>
                <w:spacing w:val="-1"/>
                <w:sz w:val="21"/>
                <w:szCs w:val="21"/>
              </w:rPr>
              <w:t>UUT连接器编号</w:t>
            </w:r>
          </w:p>
        </w:tc>
        <w:tc>
          <w:tcPr>
            <w:tcW w:w="1877" w:type="dxa"/>
            <w:vAlign w:val="top"/>
          </w:tcPr>
          <w:p w14:paraId="5AC0915D">
            <w:pPr>
              <w:spacing w:before="100" w:line="221" w:lineRule="auto"/>
              <w:ind w:left="152"/>
              <w:rPr>
                <w:rFonts w:ascii="宋体" w:hAnsi="宋体" w:eastAsia="宋体" w:cs="宋体"/>
                <w:sz w:val="21"/>
                <w:szCs w:val="21"/>
              </w:rPr>
            </w:pPr>
            <w:r>
              <w:rPr>
                <w:rFonts w:ascii="宋体" w:hAnsi="宋体" w:eastAsia="宋体" w:cs="宋体"/>
                <w:spacing w:val="-1"/>
                <w:sz w:val="21"/>
                <w:szCs w:val="21"/>
              </w:rPr>
              <w:t>UUT连接器型号</w:t>
            </w:r>
          </w:p>
        </w:tc>
        <w:tc>
          <w:tcPr>
            <w:tcW w:w="839" w:type="dxa"/>
            <w:vAlign w:val="top"/>
          </w:tcPr>
          <w:p w14:paraId="2F7A9292">
            <w:pPr>
              <w:spacing w:before="100" w:line="220" w:lineRule="auto"/>
              <w:ind w:left="105"/>
              <w:rPr>
                <w:rFonts w:ascii="宋体" w:hAnsi="宋体" w:eastAsia="宋体" w:cs="宋体"/>
                <w:sz w:val="21"/>
                <w:szCs w:val="21"/>
              </w:rPr>
            </w:pPr>
            <w:r>
              <w:rPr>
                <w:rFonts w:ascii="宋体" w:hAnsi="宋体" w:eastAsia="宋体" w:cs="宋体"/>
                <w:spacing w:val="4"/>
                <w:sz w:val="21"/>
                <w:szCs w:val="21"/>
              </w:rPr>
              <w:t>制造厂</w:t>
            </w:r>
          </w:p>
        </w:tc>
        <w:tc>
          <w:tcPr>
            <w:tcW w:w="1668" w:type="dxa"/>
            <w:vAlign w:val="top"/>
          </w:tcPr>
          <w:p w14:paraId="05AE9936">
            <w:pPr>
              <w:spacing w:before="99" w:line="219" w:lineRule="auto"/>
              <w:ind w:left="86"/>
              <w:rPr>
                <w:rFonts w:ascii="宋体" w:hAnsi="宋体" w:eastAsia="宋体" w:cs="宋体"/>
                <w:sz w:val="21"/>
                <w:szCs w:val="21"/>
              </w:rPr>
            </w:pPr>
            <w:r>
              <w:rPr>
                <w:rFonts w:ascii="宋体" w:hAnsi="宋体" w:eastAsia="宋体" w:cs="宋体"/>
                <w:spacing w:val="1"/>
                <w:sz w:val="21"/>
                <w:szCs w:val="21"/>
              </w:rPr>
              <w:t>配对连接器编号</w:t>
            </w:r>
          </w:p>
        </w:tc>
        <w:tc>
          <w:tcPr>
            <w:tcW w:w="1683" w:type="dxa"/>
            <w:vAlign w:val="top"/>
          </w:tcPr>
          <w:p w14:paraId="3DB327A3">
            <w:pPr>
              <w:spacing w:before="100" w:line="221" w:lineRule="auto"/>
              <w:ind w:left="108"/>
              <w:rPr>
                <w:rFonts w:ascii="宋体" w:hAnsi="宋体" w:eastAsia="宋体" w:cs="宋体"/>
                <w:sz w:val="21"/>
                <w:szCs w:val="21"/>
              </w:rPr>
            </w:pPr>
            <w:r>
              <w:rPr>
                <w:rFonts w:ascii="宋体" w:hAnsi="宋体" w:eastAsia="宋体" w:cs="宋体"/>
                <w:spacing w:val="1"/>
                <w:sz w:val="21"/>
                <w:szCs w:val="21"/>
              </w:rPr>
              <w:t>配对连接器型号</w:t>
            </w:r>
          </w:p>
        </w:tc>
      </w:tr>
      <w:tr w14:paraId="4A729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882" w:type="dxa"/>
            <w:vAlign w:val="top"/>
          </w:tcPr>
          <w:p w14:paraId="7E5FA24E">
            <w:pPr>
              <w:pStyle w:val="6"/>
            </w:pPr>
          </w:p>
        </w:tc>
        <w:tc>
          <w:tcPr>
            <w:tcW w:w="1877" w:type="dxa"/>
            <w:vAlign w:val="top"/>
          </w:tcPr>
          <w:p w14:paraId="7FAF3E68">
            <w:pPr>
              <w:pStyle w:val="6"/>
            </w:pPr>
          </w:p>
        </w:tc>
        <w:tc>
          <w:tcPr>
            <w:tcW w:w="839" w:type="dxa"/>
            <w:vAlign w:val="top"/>
          </w:tcPr>
          <w:p w14:paraId="20E86E60">
            <w:pPr>
              <w:pStyle w:val="6"/>
            </w:pPr>
          </w:p>
        </w:tc>
        <w:tc>
          <w:tcPr>
            <w:tcW w:w="1668" w:type="dxa"/>
            <w:vAlign w:val="top"/>
          </w:tcPr>
          <w:p w14:paraId="61776246">
            <w:pPr>
              <w:pStyle w:val="6"/>
            </w:pPr>
          </w:p>
        </w:tc>
        <w:tc>
          <w:tcPr>
            <w:tcW w:w="1683" w:type="dxa"/>
            <w:vAlign w:val="top"/>
          </w:tcPr>
          <w:p w14:paraId="1D8EB19E">
            <w:pPr>
              <w:pStyle w:val="6"/>
            </w:pPr>
          </w:p>
        </w:tc>
      </w:tr>
      <w:tr w14:paraId="39D6B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882" w:type="dxa"/>
            <w:vAlign w:val="top"/>
          </w:tcPr>
          <w:p w14:paraId="270E26B0">
            <w:pPr>
              <w:pStyle w:val="6"/>
            </w:pPr>
          </w:p>
        </w:tc>
        <w:tc>
          <w:tcPr>
            <w:tcW w:w="1877" w:type="dxa"/>
            <w:vAlign w:val="top"/>
          </w:tcPr>
          <w:p w14:paraId="02A831BC">
            <w:pPr>
              <w:pStyle w:val="6"/>
            </w:pPr>
          </w:p>
        </w:tc>
        <w:tc>
          <w:tcPr>
            <w:tcW w:w="839" w:type="dxa"/>
            <w:vAlign w:val="top"/>
          </w:tcPr>
          <w:p w14:paraId="66244374">
            <w:pPr>
              <w:pStyle w:val="6"/>
            </w:pPr>
          </w:p>
        </w:tc>
        <w:tc>
          <w:tcPr>
            <w:tcW w:w="1668" w:type="dxa"/>
            <w:vAlign w:val="top"/>
          </w:tcPr>
          <w:p w14:paraId="25FF9723">
            <w:pPr>
              <w:pStyle w:val="6"/>
            </w:pPr>
          </w:p>
        </w:tc>
        <w:tc>
          <w:tcPr>
            <w:tcW w:w="1683" w:type="dxa"/>
            <w:vAlign w:val="top"/>
          </w:tcPr>
          <w:p w14:paraId="5CCD463B">
            <w:pPr>
              <w:pStyle w:val="6"/>
            </w:pPr>
          </w:p>
        </w:tc>
      </w:tr>
      <w:tr w14:paraId="17FEC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882" w:type="dxa"/>
            <w:vAlign w:val="top"/>
          </w:tcPr>
          <w:p w14:paraId="18F69BB2">
            <w:pPr>
              <w:pStyle w:val="6"/>
            </w:pPr>
          </w:p>
        </w:tc>
        <w:tc>
          <w:tcPr>
            <w:tcW w:w="1877" w:type="dxa"/>
            <w:vAlign w:val="top"/>
          </w:tcPr>
          <w:p w14:paraId="7832B6FD">
            <w:pPr>
              <w:pStyle w:val="6"/>
            </w:pPr>
          </w:p>
        </w:tc>
        <w:tc>
          <w:tcPr>
            <w:tcW w:w="839" w:type="dxa"/>
            <w:vAlign w:val="top"/>
          </w:tcPr>
          <w:p w14:paraId="21291CCC">
            <w:pPr>
              <w:pStyle w:val="6"/>
            </w:pPr>
          </w:p>
        </w:tc>
        <w:tc>
          <w:tcPr>
            <w:tcW w:w="1668" w:type="dxa"/>
            <w:vAlign w:val="top"/>
          </w:tcPr>
          <w:p w14:paraId="2A330821">
            <w:pPr>
              <w:pStyle w:val="6"/>
            </w:pPr>
          </w:p>
        </w:tc>
        <w:tc>
          <w:tcPr>
            <w:tcW w:w="1683" w:type="dxa"/>
            <w:vAlign w:val="top"/>
          </w:tcPr>
          <w:p w14:paraId="1C3D83FB">
            <w:pPr>
              <w:pStyle w:val="6"/>
            </w:pPr>
          </w:p>
        </w:tc>
      </w:tr>
      <w:tr w14:paraId="32961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882" w:type="dxa"/>
            <w:vAlign w:val="top"/>
          </w:tcPr>
          <w:p w14:paraId="74A23285">
            <w:pPr>
              <w:pStyle w:val="6"/>
            </w:pPr>
          </w:p>
        </w:tc>
        <w:tc>
          <w:tcPr>
            <w:tcW w:w="1877" w:type="dxa"/>
            <w:vAlign w:val="top"/>
          </w:tcPr>
          <w:p w14:paraId="4C92B205">
            <w:pPr>
              <w:pStyle w:val="6"/>
            </w:pPr>
          </w:p>
        </w:tc>
        <w:tc>
          <w:tcPr>
            <w:tcW w:w="839" w:type="dxa"/>
            <w:vAlign w:val="top"/>
          </w:tcPr>
          <w:p w14:paraId="13CD8277">
            <w:pPr>
              <w:pStyle w:val="6"/>
            </w:pPr>
          </w:p>
        </w:tc>
        <w:tc>
          <w:tcPr>
            <w:tcW w:w="1668" w:type="dxa"/>
            <w:vAlign w:val="top"/>
          </w:tcPr>
          <w:p w14:paraId="677E1E0C">
            <w:pPr>
              <w:pStyle w:val="6"/>
            </w:pPr>
          </w:p>
        </w:tc>
        <w:tc>
          <w:tcPr>
            <w:tcW w:w="1683" w:type="dxa"/>
            <w:vAlign w:val="top"/>
          </w:tcPr>
          <w:p w14:paraId="780AB11A">
            <w:pPr>
              <w:pStyle w:val="6"/>
            </w:pPr>
          </w:p>
        </w:tc>
      </w:tr>
      <w:tr w14:paraId="1D32E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882" w:type="dxa"/>
            <w:vAlign w:val="top"/>
          </w:tcPr>
          <w:p w14:paraId="48AE00BD">
            <w:pPr>
              <w:pStyle w:val="6"/>
            </w:pPr>
          </w:p>
        </w:tc>
        <w:tc>
          <w:tcPr>
            <w:tcW w:w="1877" w:type="dxa"/>
            <w:vAlign w:val="top"/>
          </w:tcPr>
          <w:p w14:paraId="270C0599">
            <w:pPr>
              <w:pStyle w:val="6"/>
            </w:pPr>
          </w:p>
        </w:tc>
        <w:tc>
          <w:tcPr>
            <w:tcW w:w="839" w:type="dxa"/>
            <w:vAlign w:val="top"/>
          </w:tcPr>
          <w:p w14:paraId="21D4A511">
            <w:pPr>
              <w:pStyle w:val="6"/>
            </w:pPr>
          </w:p>
        </w:tc>
        <w:tc>
          <w:tcPr>
            <w:tcW w:w="1668" w:type="dxa"/>
            <w:vAlign w:val="top"/>
          </w:tcPr>
          <w:p w14:paraId="1F58E803">
            <w:pPr>
              <w:pStyle w:val="6"/>
            </w:pPr>
          </w:p>
        </w:tc>
        <w:tc>
          <w:tcPr>
            <w:tcW w:w="1683" w:type="dxa"/>
            <w:vAlign w:val="top"/>
          </w:tcPr>
          <w:p w14:paraId="1EC63DEE">
            <w:pPr>
              <w:pStyle w:val="6"/>
            </w:pPr>
          </w:p>
        </w:tc>
      </w:tr>
      <w:tr w14:paraId="58C25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7949" w:type="dxa"/>
            <w:gridSpan w:val="5"/>
            <w:vAlign w:val="top"/>
          </w:tcPr>
          <w:p w14:paraId="6B5ACF95">
            <w:pPr>
              <w:spacing w:before="115" w:line="219" w:lineRule="auto"/>
              <w:ind w:left="94"/>
              <w:rPr>
                <w:rFonts w:ascii="宋体" w:hAnsi="宋体" w:eastAsia="宋体" w:cs="宋体"/>
                <w:sz w:val="21"/>
                <w:szCs w:val="21"/>
              </w:rPr>
            </w:pPr>
            <w:r>
              <w:rPr>
                <w:rFonts w:ascii="宋体" w:hAnsi="宋体" w:eastAsia="宋体" w:cs="宋体"/>
                <w:spacing w:val="1"/>
                <w:sz w:val="21"/>
                <w:szCs w:val="21"/>
              </w:rPr>
              <w:t>安装、紧固、支撑架</w:t>
            </w:r>
          </w:p>
        </w:tc>
      </w:tr>
      <w:tr w14:paraId="0D377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7949" w:type="dxa"/>
            <w:gridSpan w:val="5"/>
            <w:vAlign w:val="top"/>
          </w:tcPr>
          <w:p w14:paraId="3434643B">
            <w:pPr>
              <w:spacing w:before="117" w:line="220" w:lineRule="auto"/>
              <w:ind w:left="94"/>
              <w:rPr>
                <w:rFonts w:ascii="宋体" w:hAnsi="宋体" w:eastAsia="宋体" w:cs="宋体"/>
                <w:sz w:val="21"/>
                <w:szCs w:val="21"/>
              </w:rPr>
            </w:pPr>
            <w:r>
              <w:rPr>
                <w:rFonts w:ascii="宋体" w:hAnsi="宋体" w:eastAsia="宋体" w:cs="宋体"/>
                <w:spacing w:val="-1"/>
                <w:sz w:val="21"/>
                <w:szCs w:val="21"/>
              </w:rPr>
              <w:t>液压、气压、冷却装置</w:t>
            </w:r>
          </w:p>
        </w:tc>
      </w:tr>
      <w:tr w14:paraId="2E072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13" w:hRule="atLeast"/>
        </w:trPr>
        <w:tc>
          <w:tcPr>
            <w:tcW w:w="7949" w:type="dxa"/>
            <w:gridSpan w:val="5"/>
            <w:vAlign w:val="top"/>
          </w:tcPr>
          <w:p w14:paraId="262E3370">
            <w:pPr>
              <w:spacing w:before="108" w:line="220" w:lineRule="auto"/>
              <w:ind w:left="94"/>
              <w:rPr>
                <w:rFonts w:ascii="宋体" w:hAnsi="宋体" w:eastAsia="宋体" w:cs="宋体"/>
                <w:sz w:val="21"/>
                <w:szCs w:val="21"/>
              </w:rPr>
            </w:pPr>
            <w:r>
              <w:rPr>
                <w:rFonts w:ascii="宋体" w:hAnsi="宋体" w:eastAsia="宋体" w:cs="宋体"/>
                <w:spacing w:val="-3"/>
                <w:sz w:val="21"/>
                <w:szCs w:val="21"/>
              </w:rPr>
              <w:t>其他</w:t>
            </w:r>
          </w:p>
        </w:tc>
      </w:tr>
    </w:tbl>
    <w:p w14:paraId="60729D6D">
      <w:pPr>
        <w:pStyle w:val="2"/>
        <w:spacing w:before="143" w:line="223" w:lineRule="auto"/>
        <w:ind w:left="3199"/>
        <w:rPr>
          <w:sz w:val="22"/>
          <w:szCs w:val="22"/>
        </w:rPr>
      </w:pPr>
      <w:r>
        <w:rPr>
          <w:rFonts w:ascii="仿宋" w:hAnsi="仿宋" w:eastAsia="仿宋" w:cs="仿宋"/>
          <w:spacing w:val="9"/>
          <w:sz w:val="22"/>
          <w:szCs w:val="22"/>
        </w:rPr>
        <w:t>图9</w:t>
      </w:r>
      <w:r>
        <w:rPr>
          <w:rFonts w:ascii="仿宋" w:hAnsi="仿宋" w:eastAsia="仿宋" w:cs="仿宋"/>
          <w:spacing w:val="-56"/>
          <w:sz w:val="22"/>
          <w:szCs w:val="22"/>
        </w:rPr>
        <w:t xml:space="preserve"> </w:t>
      </w:r>
      <w:r>
        <w:rPr>
          <w:rFonts w:ascii="仿宋" w:hAnsi="仿宋" w:eastAsia="仿宋" w:cs="仿宋"/>
          <w:spacing w:val="9"/>
          <w:sz w:val="22"/>
          <w:szCs w:val="22"/>
        </w:rPr>
        <w:t>.</w:t>
      </w:r>
      <w:r>
        <w:rPr>
          <w:rFonts w:ascii="仿宋" w:hAnsi="仿宋" w:eastAsia="仿宋" w:cs="仿宋"/>
          <w:spacing w:val="-61"/>
          <w:sz w:val="22"/>
          <w:szCs w:val="22"/>
        </w:rPr>
        <w:t xml:space="preserve"> </w:t>
      </w:r>
      <w:r>
        <w:rPr>
          <w:rFonts w:ascii="仿宋" w:hAnsi="仿宋" w:eastAsia="仿宋" w:cs="仿宋"/>
          <w:spacing w:val="9"/>
          <w:sz w:val="22"/>
          <w:szCs w:val="22"/>
        </w:rPr>
        <w:t>5</w:t>
      </w:r>
      <w:r>
        <w:rPr>
          <w:rFonts w:ascii="仿宋" w:hAnsi="仿宋" w:eastAsia="仿宋" w:cs="仿宋"/>
          <w:spacing w:val="17"/>
          <w:sz w:val="22"/>
          <w:szCs w:val="22"/>
        </w:rPr>
        <w:t xml:space="preserve">  </w:t>
      </w:r>
      <w:r>
        <w:rPr>
          <w:rFonts w:ascii="Times New Roman" w:hAnsi="Times New Roman" w:eastAsia="Times New Roman" w:cs="Times New Roman"/>
          <w:sz w:val="22"/>
          <w:szCs w:val="22"/>
        </w:rPr>
        <w:t>UUT</w:t>
      </w:r>
      <w:r>
        <w:rPr>
          <w:rFonts w:ascii="Times New Roman" w:hAnsi="Times New Roman" w:eastAsia="Times New Roman" w:cs="Times New Roman"/>
          <w:spacing w:val="9"/>
          <w:sz w:val="22"/>
          <w:szCs w:val="22"/>
        </w:rPr>
        <w:t xml:space="preserve">  </w:t>
      </w:r>
      <w:r>
        <w:rPr>
          <w:spacing w:val="9"/>
          <w:sz w:val="22"/>
          <w:szCs w:val="22"/>
        </w:rPr>
        <w:t>机械接口要求页</w:t>
      </w:r>
    </w:p>
    <w:p w14:paraId="2CB182C2">
      <w:pPr>
        <w:spacing w:line="223" w:lineRule="auto"/>
        <w:rPr>
          <w:sz w:val="22"/>
          <w:szCs w:val="22"/>
        </w:rPr>
        <w:sectPr>
          <w:footerReference r:id="rId469" w:type="default"/>
          <w:pgSz w:w="11910" w:h="17130"/>
          <w:pgMar w:top="1456" w:right="1353" w:bottom="1566" w:left="1190" w:header="0" w:footer="1377" w:gutter="0"/>
          <w:cols w:space="720" w:num="1"/>
        </w:sectPr>
      </w:pPr>
    </w:p>
    <w:p w14:paraId="020CFF11">
      <w:pPr>
        <w:pStyle w:val="2"/>
        <w:spacing w:before="106" w:line="286" w:lineRule="auto"/>
        <w:ind w:right="7" w:firstLine="539"/>
        <w:rPr>
          <w:sz w:val="25"/>
          <w:szCs w:val="25"/>
        </w:rPr>
      </w:pPr>
      <w:r>
        <w:rPr>
          <w:rFonts w:ascii="Times New Roman" w:hAnsi="Times New Roman" w:eastAsia="Times New Roman" w:cs="Times New Roman"/>
          <w:spacing w:val="6"/>
          <w:sz w:val="25"/>
          <w:szCs w:val="25"/>
        </w:rPr>
        <w:t>a)</w:t>
      </w:r>
      <w:r>
        <w:rPr>
          <w:rFonts w:ascii="Times New Roman" w:hAnsi="Times New Roman" w:eastAsia="Times New Roman" w:cs="Times New Roman"/>
          <w:sz w:val="25"/>
          <w:szCs w:val="25"/>
        </w:rPr>
        <w:t>UUT</w:t>
      </w:r>
      <w:r>
        <w:rPr>
          <w:rFonts w:ascii="Times New Roman" w:hAnsi="Times New Roman" w:eastAsia="Times New Roman" w:cs="Times New Roman"/>
          <w:spacing w:val="6"/>
          <w:sz w:val="25"/>
          <w:szCs w:val="25"/>
        </w:rPr>
        <w:t xml:space="preserve">     </w:t>
      </w:r>
      <w:r>
        <w:rPr>
          <w:spacing w:val="6"/>
          <w:sz w:val="25"/>
          <w:szCs w:val="25"/>
        </w:rPr>
        <w:t>连接器，应包括</w:t>
      </w:r>
      <w:r>
        <w:rPr>
          <w:spacing w:val="-19"/>
          <w:sz w:val="25"/>
          <w:szCs w:val="25"/>
        </w:rPr>
        <w:t xml:space="preserve"> </w:t>
      </w:r>
      <w:r>
        <w:rPr>
          <w:rFonts w:ascii="Times New Roman" w:hAnsi="Times New Roman" w:eastAsia="Times New Roman" w:cs="Times New Roman"/>
          <w:sz w:val="25"/>
          <w:szCs w:val="25"/>
        </w:rPr>
        <w:t>UUT</w:t>
      </w:r>
      <w:r>
        <w:rPr>
          <w:rFonts w:ascii="Times New Roman" w:hAnsi="Times New Roman" w:eastAsia="Times New Roman" w:cs="Times New Roman"/>
          <w:spacing w:val="6"/>
          <w:sz w:val="25"/>
          <w:szCs w:val="25"/>
        </w:rPr>
        <w:t xml:space="preserve">   </w:t>
      </w:r>
      <w:r>
        <w:rPr>
          <w:spacing w:val="6"/>
          <w:sz w:val="25"/>
          <w:szCs w:val="25"/>
        </w:rPr>
        <w:t>连接器编号、</w:t>
      </w:r>
      <w:r>
        <w:rPr>
          <w:rFonts w:ascii="Times New Roman" w:hAnsi="Times New Roman" w:eastAsia="Times New Roman" w:cs="Times New Roman"/>
          <w:sz w:val="25"/>
          <w:szCs w:val="25"/>
        </w:rPr>
        <w:t>UUT</w:t>
      </w:r>
      <w:r>
        <w:rPr>
          <w:rFonts w:ascii="Times New Roman" w:hAnsi="Times New Roman" w:eastAsia="Times New Roman" w:cs="Times New Roman"/>
          <w:spacing w:val="6"/>
          <w:sz w:val="25"/>
          <w:szCs w:val="25"/>
        </w:rPr>
        <w:t xml:space="preserve">    </w:t>
      </w:r>
      <w:r>
        <w:rPr>
          <w:spacing w:val="6"/>
          <w:sz w:val="25"/>
          <w:szCs w:val="25"/>
        </w:rPr>
        <w:t>连接器型号、制造厂、配</w:t>
      </w:r>
      <w:r>
        <w:rPr>
          <w:sz w:val="25"/>
          <w:szCs w:val="25"/>
        </w:rPr>
        <w:t xml:space="preserve"> </w:t>
      </w:r>
      <w:r>
        <w:rPr>
          <w:spacing w:val="13"/>
          <w:sz w:val="25"/>
          <w:szCs w:val="25"/>
        </w:rPr>
        <w:t>对连接器编号、配对连接器型号；</w:t>
      </w:r>
    </w:p>
    <w:p w14:paraId="6484A085">
      <w:pPr>
        <w:pStyle w:val="2"/>
        <w:spacing w:before="32" w:line="264" w:lineRule="auto"/>
        <w:ind w:right="6" w:firstLine="539"/>
      </w:pPr>
      <w:r>
        <w:rPr>
          <w:rFonts w:ascii="Times New Roman" w:hAnsi="Times New Roman" w:eastAsia="Times New Roman" w:cs="Times New Roman"/>
          <w:spacing w:val="-5"/>
        </w:rPr>
        <w:t xml:space="preserve">b)  </w:t>
      </w:r>
      <w:r>
        <w:rPr>
          <w:spacing w:val="-5"/>
        </w:rPr>
        <w:t>安装、紧固和支撑架，应提供所有安装、紧固和支撑架的技术图样及相关</w:t>
      </w:r>
      <w:r>
        <w:rPr>
          <w:spacing w:val="1"/>
        </w:rPr>
        <w:t xml:space="preserve"> </w:t>
      </w:r>
      <w:r>
        <w:rPr>
          <w:spacing w:val="-6"/>
        </w:rPr>
        <w:t>信息；</w:t>
      </w:r>
    </w:p>
    <w:p w14:paraId="65AFB457">
      <w:pPr>
        <w:pStyle w:val="2"/>
        <w:spacing w:before="19" w:line="212" w:lineRule="auto"/>
        <w:ind w:right="9"/>
        <w:jc w:val="right"/>
      </w:pPr>
      <w:r>
        <w:rPr>
          <w:rFonts w:ascii="Times New Roman" w:hAnsi="Times New Roman" w:eastAsia="Times New Roman" w:cs="Times New Roman"/>
          <w:spacing w:val="-11"/>
        </w:rPr>
        <w:t xml:space="preserve">c)  </w:t>
      </w:r>
      <w:r>
        <w:rPr>
          <w:spacing w:val="-11"/>
        </w:rPr>
        <w:t>液压、气压、冷却装置，应提供将液压、气压、冷却源等连接到</w:t>
      </w:r>
      <w:r>
        <w:rPr>
          <w:spacing w:val="-73"/>
        </w:rPr>
        <w:t xml:space="preserve"> </w:t>
      </w:r>
      <w:r>
        <w:rPr>
          <w:rFonts w:ascii="Times New Roman" w:hAnsi="Times New Roman" w:eastAsia="Times New Roman" w:cs="Times New Roman"/>
          <w:spacing w:val="-11"/>
        </w:rPr>
        <w:t>UU</w:t>
      </w:r>
      <w:r>
        <w:rPr>
          <w:rFonts w:ascii="Times New Roman" w:hAnsi="Times New Roman" w:eastAsia="Times New Roman" w:cs="Times New Roman"/>
          <w:spacing w:val="-12"/>
        </w:rPr>
        <w:t xml:space="preserve">T   </w:t>
      </w:r>
      <w:r>
        <w:rPr>
          <w:spacing w:val="-12"/>
        </w:rPr>
        <w:t>的所</w:t>
      </w:r>
    </w:p>
    <w:p w14:paraId="38FA8FE5">
      <w:pPr>
        <w:pStyle w:val="2"/>
        <w:spacing w:before="170" w:line="219" w:lineRule="auto"/>
      </w:pPr>
      <w:r>
        <w:rPr>
          <w:spacing w:val="-5"/>
        </w:rPr>
        <w:t>有接头、夹具和适配器的相关信息。</w:t>
      </w:r>
    </w:p>
    <w:p w14:paraId="0C574391">
      <w:pPr>
        <w:pStyle w:val="2"/>
        <w:spacing w:before="60" w:line="275" w:lineRule="auto"/>
        <w:ind w:right="6" w:firstLine="539"/>
      </w:pPr>
      <w:r>
        <w:rPr>
          <w:spacing w:val="-3"/>
        </w:rPr>
        <w:t>当外形图和其他图中没有现成的设计固定架所需资料，或者不明晰时，应提</w:t>
      </w:r>
      <w:r>
        <w:rPr>
          <w:spacing w:val="9"/>
        </w:rPr>
        <w:t xml:space="preserve"> </w:t>
      </w:r>
      <w:r>
        <w:rPr>
          <w:spacing w:val="5"/>
        </w:rPr>
        <w:t>供尺寸图。应规定固定架所用的专用材料。</w:t>
      </w:r>
    </w:p>
    <w:p w14:paraId="2F280CAE">
      <w:pPr>
        <w:spacing w:line="327" w:lineRule="exact"/>
        <w:rPr>
          <w:rFonts w:ascii="黑体" w:hAnsi="黑体" w:eastAsia="黑体" w:cs="黑体"/>
          <w:sz w:val="24"/>
          <w:szCs w:val="24"/>
        </w:rPr>
      </w:pPr>
      <w:r>
        <w:rPr>
          <w:rFonts w:ascii="Arial" w:hAnsi="Arial" w:eastAsia="Arial" w:cs="Arial"/>
          <w:spacing w:val="13"/>
          <w:position w:val="1"/>
          <w:sz w:val="24"/>
          <w:szCs w:val="24"/>
        </w:rPr>
        <w:t>5.6.2</w:t>
      </w:r>
      <w:r>
        <w:rPr>
          <w:rFonts w:ascii="Arial" w:hAnsi="Arial" w:eastAsia="Arial" w:cs="Arial"/>
          <w:spacing w:val="1"/>
          <w:position w:val="1"/>
          <w:sz w:val="24"/>
          <w:szCs w:val="24"/>
        </w:rPr>
        <w:t xml:space="preserve">       </w:t>
      </w:r>
      <w:r>
        <w:rPr>
          <w:rFonts w:ascii="黑体" w:hAnsi="黑体" w:eastAsia="黑体" w:cs="黑体"/>
          <w:spacing w:val="13"/>
          <w:position w:val="1"/>
          <w:sz w:val="24"/>
          <w:szCs w:val="24"/>
        </w:rPr>
        <w:t>电气接口</w:t>
      </w:r>
    </w:p>
    <w:p w14:paraId="7C705F0D">
      <w:pPr>
        <w:pStyle w:val="2"/>
        <w:spacing w:before="87" w:line="280" w:lineRule="auto"/>
        <w:ind w:firstLine="539"/>
        <w:jc w:val="both"/>
      </w:pPr>
      <w:r>
        <w:rPr>
          <w:spacing w:val="13"/>
        </w:rPr>
        <w:t>应按照图9.6列出</w:t>
      </w:r>
      <w:r>
        <w:rPr>
          <w:rFonts w:ascii="Times New Roman" w:hAnsi="Times New Roman" w:eastAsia="Times New Roman" w:cs="Times New Roman"/>
        </w:rPr>
        <w:t>UUT</w:t>
      </w:r>
      <w:r>
        <w:rPr>
          <w:rFonts w:ascii="Times New Roman" w:hAnsi="Times New Roman" w:eastAsia="Times New Roman" w:cs="Times New Roman"/>
          <w:spacing w:val="13"/>
        </w:rPr>
        <w:t xml:space="preserve">  </w:t>
      </w:r>
      <w:r>
        <w:rPr>
          <w:spacing w:val="13"/>
        </w:rPr>
        <w:t>每个连接器的每个插针。对于每个插针，应提供</w:t>
      </w:r>
      <w:r>
        <w:rPr>
          <w:spacing w:val="17"/>
        </w:rPr>
        <w:t xml:space="preserve"> </w:t>
      </w:r>
      <w:r>
        <w:rPr>
          <w:spacing w:val="-6"/>
        </w:rPr>
        <w:t>信号名称、信号流向(如输入、输出、未连接等),以及足以定义接口信号的描述信</w:t>
      </w:r>
      <w:r>
        <w:rPr>
          <w:spacing w:val="4"/>
        </w:rPr>
        <w:t xml:space="preserve"> </w:t>
      </w:r>
      <w:r>
        <w:rPr>
          <w:spacing w:val="-6"/>
        </w:rPr>
        <w:t>息。必要时，可使用简化清单。</w:t>
      </w:r>
    </w:p>
    <w:p w14:paraId="5B0E0589">
      <w:pPr>
        <w:pStyle w:val="2"/>
        <w:spacing w:before="1" w:line="220" w:lineRule="auto"/>
        <w:ind w:left="539"/>
        <w:rPr>
          <w:sz w:val="20"/>
          <w:szCs w:val="20"/>
        </w:rPr>
      </w:pPr>
      <w:r>
        <w:rPr>
          <w:spacing w:val="-9"/>
          <w:sz w:val="20"/>
          <w:szCs w:val="20"/>
        </w:rPr>
        <w:t>页</w:t>
      </w:r>
      <w:r>
        <w:rPr>
          <w:spacing w:val="5"/>
          <w:sz w:val="20"/>
          <w:szCs w:val="20"/>
        </w:rPr>
        <w:t xml:space="preserve">    </w:t>
      </w:r>
      <w:r>
        <w:rPr>
          <w:spacing w:val="-9"/>
          <w:sz w:val="20"/>
          <w:szCs w:val="20"/>
        </w:rPr>
        <w:t>号</w:t>
      </w:r>
      <w:r>
        <w:rPr>
          <w:spacing w:val="-18"/>
          <w:sz w:val="20"/>
          <w:szCs w:val="20"/>
        </w:rPr>
        <w:t xml:space="preserve"> </w:t>
      </w:r>
      <w:r>
        <w:rPr>
          <w:spacing w:val="-9"/>
          <w:sz w:val="20"/>
          <w:szCs w:val="20"/>
        </w:rPr>
        <w:t>：</w:t>
      </w:r>
    </w:p>
    <w:p w14:paraId="33734566">
      <w:pPr>
        <w:pStyle w:val="2"/>
        <w:spacing w:before="99" w:line="219" w:lineRule="auto"/>
        <w:ind w:left="539"/>
        <w:rPr>
          <w:sz w:val="20"/>
          <w:szCs w:val="20"/>
        </w:rPr>
      </w:pPr>
      <w:r>
        <w:rPr>
          <w:rFonts w:ascii="Times New Roman" w:hAnsi="Times New Roman" w:eastAsia="Times New Roman" w:cs="Times New Roman"/>
          <w:spacing w:val="-1"/>
          <w:sz w:val="20"/>
          <w:szCs w:val="20"/>
        </w:rPr>
        <w:t xml:space="preserve">TRD  </w:t>
      </w:r>
      <w:r>
        <w:rPr>
          <w:spacing w:val="-1"/>
          <w:sz w:val="20"/>
          <w:szCs w:val="20"/>
        </w:rPr>
        <w:t>编号：</w:t>
      </w:r>
    </w:p>
    <w:p w14:paraId="16B116DD">
      <w:pPr>
        <w:pStyle w:val="2"/>
        <w:spacing w:before="102" w:line="219" w:lineRule="auto"/>
        <w:ind w:left="539"/>
        <w:rPr>
          <w:sz w:val="21"/>
          <w:szCs w:val="21"/>
        </w:rPr>
      </w:pPr>
      <w:r>
        <w:rPr>
          <w:spacing w:val="-7"/>
          <w:sz w:val="21"/>
          <w:szCs w:val="21"/>
        </w:rPr>
        <w:t>版</w:t>
      </w:r>
      <w:r>
        <w:rPr>
          <w:spacing w:val="35"/>
          <w:sz w:val="21"/>
          <w:szCs w:val="21"/>
        </w:rPr>
        <w:t xml:space="preserve">   </w:t>
      </w:r>
      <w:r>
        <w:rPr>
          <w:spacing w:val="-7"/>
          <w:sz w:val="21"/>
          <w:szCs w:val="21"/>
        </w:rPr>
        <w:t>本</w:t>
      </w:r>
      <w:r>
        <w:rPr>
          <w:spacing w:val="-52"/>
          <w:sz w:val="21"/>
          <w:szCs w:val="21"/>
        </w:rPr>
        <w:t xml:space="preserve"> </w:t>
      </w:r>
      <w:r>
        <w:rPr>
          <w:spacing w:val="-7"/>
          <w:sz w:val="21"/>
          <w:szCs w:val="21"/>
        </w:rPr>
        <w:t>：</w:t>
      </w:r>
    </w:p>
    <w:p w14:paraId="23848EFB">
      <w:pPr>
        <w:pStyle w:val="2"/>
        <w:spacing w:before="93" w:line="220" w:lineRule="auto"/>
        <w:ind w:left="539"/>
        <w:rPr>
          <w:sz w:val="20"/>
          <w:szCs w:val="20"/>
        </w:rPr>
      </w:pPr>
      <w:r>
        <w:rPr>
          <w:spacing w:val="-18"/>
          <w:sz w:val="20"/>
          <w:szCs w:val="20"/>
        </w:rPr>
        <w:t>日</w:t>
      </w:r>
      <w:r>
        <w:rPr>
          <w:spacing w:val="5"/>
          <w:sz w:val="20"/>
          <w:szCs w:val="20"/>
        </w:rPr>
        <w:t xml:space="preserve">    </w:t>
      </w:r>
      <w:r>
        <w:rPr>
          <w:spacing w:val="-18"/>
          <w:sz w:val="20"/>
          <w:szCs w:val="20"/>
        </w:rPr>
        <w:t>期</w:t>
      </w:r>
      <w:r>
        <w:rPr>
          <w:spacing w:val="-21"/>
          <w:sz w:val="20"/>
          <w:szCs w:val="20"/>
        </w:rPr>
        <w:t xml:space="preserve"> </w:t>
      </w:r>
      <w:r>
        <w:rPr>
          <w:spacing w:val="-18"/>
          <w:sz w:val="20"/>
          <w:szCs w:val="20"/>
        </w:rPr>
        <w:t>：</w:t>
      </w:r>
    </w:p>
    <w:p w14:paraId="004FFAFA">
      <w:pPr>
        <w:pStyle w:val="2"/>
        <w:spacing w:before="121" w:line="220" w:lineRule="auto"/>
        <w:ind w:left="539"/>
        <w:rPr>
          <w:sz w:val="20"/>
          <w:szCs w:val="20"/>
        </w:rPr>
      </w:pPr>
      <w:r>
        <w:rPr>
          <w:spacing w:val="8"/>
          <w:sz w:val="20"/>
          <w:szCs w:val="20"/>
        </w:rPr>
        <w:t>电气接口定义</w:t>
      </w:r>
    </w:p>
    <w:p w14:paraId="70927621">
      <w:pPr>
        <w:spacing w:line="98" w:lineRule="exact"/>
      </w:pPr>
    </w:p>
    <w:tbl>
      <w:tblPr>
        <w:tblStyle w:val="5"/>
        <w:tblW w:w="8359" w:type="dxa"/>
        <w:tblInd w:w="5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3"/>
        <w:gridCol w:w="1668"/>
        <w:gridCol w:w="1258"/>
        <w:gridCol w:w="1458"/>
        <w:gridCol w:w="1468"/>
        <w:gridCol w:w="1044"/>
      </w:tblGrid>
      <w:tr w14:paraId="08A74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8359" w:type="dxa"/>
            <w:gridSpan w:val="6"/>
            <w:vAlign w:val="top"/>
          </w:tcPr>
          <w:p w14:paraId="3E32825F">
            <w:pPr>
              <w:spacing w:before="159" w:line="182" w:lineRule="auto"/>
              <w:ind w:left="95"/>
              <w:rPr>
                <w:rFonts w:ascii="宋体" w:hAnsi="宋体" w:eastAsia="宋体" w:cs="宋体"/>
                <w:sz w:val="21"/>
                <w:szCs w:val="21"/>
              </w:rPr>
            </w:pPr>
            <w:r>
              <w:rPr>
                <w:rFonts w:ascii="宋体" w:hAnsi="宋体" w:eastAsia="宋体" w:cs="宋体"/>
                <w:spacing w:val="-1"/>
                <w:sz w:val="21"/>
                <w:szCs w:val="21"/>
              </w:rPr>
              <w:t>UUT</w:t>
            </w:r>
          </w:p>
        </w:tc>
      </w:tr>
      <w:tr w14:paraId="3497A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463" w:type="dxa"/>
            <w:vAlign w:val="top"/>
          </w:tcPr>
          <w:p w14:paraId="56822967">
            <w:pPr>
              <w:spacing w:before="100" w:line="221" w:lineRule="auto"/>
              <w:ind w:left="395"/>
              <w:rPr>
                <w:rFonts w:ascii="宋体" w:hAnsi="宋体" w:eastAsia="宋体" w:cs="宋体"/>
                <w:sz w:val="21"/>
                <w:szCs w:val="21"/>
              </w:rPr>
            </w:pPr>
            <w:r>
              <w:rPr>
                <w:rFonts w:ascii="宋体" w:hAnsi="宋体" w:eastAsia="宋体" w:cs="宋体"/>
                <w:spacing w:val="-3"/>
                <w:sz w:val="21"/>
                <w:szCs w:val="21"/>
              </w:rPr>
              <w:t>连接器</w:t>
            </w:r>
          </w:p>
        </w:tc>
        <w:tc>
          <w:tcPr>
            <w:tcW w:w="1668" w:type="dxa"/>
            <w:vAlign w:val="top"/>
          </w:tcPr>
          <w:p w14:paraId="1EB8E11A">
            <w:pPr>
              <w:spacing w:before="100" w:line="221" w:lineRule="auto"/>
              <w:ind w:left="492"/>
              <w:rPr>
                <w:rFonts w:ascii="宋体" w:hAnsi="宋体" w:eastAsia="宋体" w:cs="宋体"/>
                <w:sz w:val="21"/>
                <w:szCs w:val="21"/>
              </w:rPr>
            </w:pPr>
            <w:r>
              <w:rPr>
                <w:rFonts w:ascii="宋体" w:hAnsi="宋体" w:eastAsia="宋体" w:cs="宋体"/>
                <w:spacing w:val="4"/>
                <w:sz w:val="21"/>
                <w:szCs w:val="21"/>
              </w:rPr>
              <w:t>针孔号</w:t>
            </w:r>
          </w:p>
        </w:tc>
        <w:tc>
          <w:tcPr>
            <w:tcW w:w="1258" w:type="dxa"/>
            <w:vAlign w:val="top"/>
          </w:tcPr>
          <w:p w14:paraId="71B7E0DA">
            <w:pPr>
              <w:spacing w:before="99" w:line="219" w:lineRule="auto"/>
              <w:ind w:left="214"/>
              <w:rPr>
                <w:rFonts w:ascii="宋体" w:hAnsi="宋体" w:eastAsia="宋体" w:cs="宋体"/>
                <w:sz w:val="21"/>
                <w:szCs w:val="21"/>
              </w:rPr>
            </w:pPr>
            <w:r>
              <w:rPr>
                <w:rFonts w:ascii="宋体" w:hAnsi="宋体" w:eastAsia="宋体" w:cs="宋体"/>
                <w:spacing w:val="-2"/>
                <w:sz w:val="21"/>
                <w:szCs w:val="21"/>
              </w:rPr>
              <w:t>信号名称</w:t>
            </w:r>
          </w:p>
        </w:tc>
        <w:tc>
          <w:tcPr>
            <w:tcW w:w="1458" w:type="dxa"/>
            <w:vAlign w:val="top"/>
          </w:tcPr>
          <w:p w14:paraId="0D805B5E">
            <w:pPr>
              <w:spacing w:before="99" w:line="219" w:lineRule="auto"/>
              <w:ind w:left="296"/>
              <w:rPr>
                <w:rFonts w:ascii="宋体" w:hAnsi="宋体" w:eastAsia="宋体" w:cs="宋体"/>
                <w:sz w:val="21"/>
                <w:szCs w:val="21"/>
              </w:rPr>
            </w:pPr>
            <w:r>
              <w:rPr>
                <w:rFonts w:ascii="宋体" w:hAnsi="宋体" w:eastAsia="宋体" w:cs="宋体"/>
                <w:spacing w:val="5"/>
                <w:sz w:val="21"/>
                <w:szCs w:val="21"/>
              </w:rPr>
              <w:t>信号流向</w:t>
            </w:r>
          </w:p>
        </w:tc>
        <w:tc>
          <w:tcPr>
            <w:tcW w:w="1468" w:type="dxa"/>
            <w:vAlign w:val="top"/>
          </w:tcPr>
          <w:p w14:paraId="6EC83D6A">
            <w:pPr>
              <w:spacing w:before="99" w:line="219" w:lineRule="auto"/>
              <w:ind w:left="287"/>
              <w:rPr>
                <w:rFonts w:ascii="宋体" w:hAnsi="宋体" w:eastAsia="宋体" w:cs="宋体"/>
                <w:sz w:val="21"/>
                <w:szCs w:val="21"/>
              </w:rPr>
            </w:pPr>
            <w:r>
              <w:rPr>
                <w:rFonts w:ascii="宋体" w:hAnsi="宋体" w:eastAsia="宋体" w:cs="宋体"/>
                <w:spacing w:val="3"/>
                <w:sz w:val="21"/>
                <w:szCs w:val="21"/>
              </w:rPr>
              <w:t>描述信息</w:t>
            </w:r>
          </w:p>
        </w:tc>
        <w:tc>
          <w:tcPr>
            <w:tcW w:w="1044" w:type="dxa"/>
            <w:vAlign w:val="top"/>
          </w:tcPr>
          <w:p w14:paraId="511AF909">
            <w:pPr>
              <w:spacing w:before="100" w:line="221" w:lineRule="auto"/>
              <w:ind w:left="310"/>
              <w:rPr>
                <w:rFonts w:ascii="宋体" w:hAnsi="宋体" w:eastAsia="宋体" w:cs="宋体"/>
                <w:sz w:val="21"/>
                <w:szCs w:val="21"/>
              </w:rPr>
            </w:pPr>
            <w:r>
              <w:rPr>
                <w:rFonts w:ascii="宋体" w:hAnsi="宋体" w:eastAsia="宋体" w:cs="宋体"/>
                <w:spacing w:val="5"/>
                <w:sz w:val="21"/>
                <w:szCs w:val="21"/>
              </w:rPr>
              <w:t>备注</w:t>
            </w:r>
          </w:p>
        </w:tc>
      </w:tr>
      <w:tr w14:paraId="68E85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463" w:type="dxa"/>
            <w:vAlign w:val="top"/>
          </w:tcPr>
          <w:p w14:paraId="2F21C120">
            <w:pPr>
              <w:pStyle w:val="6"/>
            </w:pPr>
          </w:p>
        </w:tc>
        <w:tc>
          <w:tcPr>
            <w:tcW w:w="1668" w:type="dxa"/>
            <w:vAlign w:val="top"/>
          </w:tcPr>
          <w:p w14:paraId="78C92A0B">
            <w:pPr>
              <w:pStyle w:val="6"/>
            </w:pPr>
          </w:p>
        </w:tc>
        <w:tc>
          <w:tcPr>
            <w:tcW w:w="1258" w:type="dxa"/>
            <w:vAlign w:val="top"/>
          </w:tcPr>
          <w:p w14:paraId="680597A7">
            <w:pPr>
              <w:pStyle w:val="6"/>
            </w:pPr>
          </w:p>
        </w:tc>
        <w:tc>
          <w:tcPr>
            <w:tcW w:w="1458" w:type="dxa"/>
            <w:vAlign w:val="top"/>
          </w:tcPr>
          <w:p w14:paraId="7B601B94">
            <w:pPr>
              <w:pStyle w:val="6"/>
            </w:pPr>
          </w:p>
        </w:tc>
        <w:tc>
          <w:tcPr>
            <w:tcW w:w="1468" w:type="dxa"/>
            <w:vAlign w:val="top"/>
          </w:tcPr>
          <w:p w14:paraId="643DA74F">
            <w:pPr>
              <w:pStyle w:val="6"/>
            </w:pPr>
          </w:p>
        </w:tc>
        <w:tc>
          <w:tcPr>
            <w:tcW w:w="1044" w:type="dxa"/>
            <w:vAlign w:val="top"/>
          </w:tcPr>
          <w:p w14:paraId="6D118DEB">
            <w:pPr>
              <w:pStyle w:val="6"/>
            </w:pPr>
          </w:p>
        </w:tc>
      </w:tr>
      <w:tr w14:paraId="5BF14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463" w:type="dxa"/>
            <w:vAlign w:val="top"/>
          </w:tcPr>
          <w:p w14:paraId="17441492">
            <w:pPr>
              <w:pStyle w:val="6"/>
            </w:pPr>
          </w:p>
        </w:tc>
        <w:tc>
          <w:tcPr>
            <w:tcW w:w="1668" w:type="dxa"/>
            <w:vAlign w:val="top"/>
          </w:tcPr>
          <w:p w14:paraId="023E0D52">
            <w:pPr>
              <w:pStyle w:val="6"/>
            </w:pPr>
          </w:p>
        </w:tc>
        <w:tc>
          <w:tcPr>
            <w:tcW w:w="1258" w:type="dxa"/>
            <w:vAlign w:val="top"/>
          </w:tcPr>
          <w:p w14:paraId="457278B0">
            <w:pPr>
              <w:pStyle w:val="6"/>
            </w:pPr>
          </w:p>
        </w:tc>
        <w:tc>
          <w:tcPr>
            <w:tcW w:w="1458" w:type="dxa"/>
            <w:vAlign w:val="top"/>
          </w:tcPr>
          <w:p w14:paraId="147DEE1B">
            <w:pPr>
              <w:pStyle w:val="6"/>
            </w:pPr>
          </w:p>
        </w:tc>
        <w:tc>
          <w:tcPr>
            <w:tcW w:w="1468" w:type="dxa"/>
            <w:vAlign w:val="top"/>
          </w:tcPr>
          <w:p w14:paraId="45137B80">
            <w:pPr>
              <w:pStyle w:val="6"/>
            </w:pPr>
          </w:p>
        </w:tc>
        <w:tc>
          <w:tcPr>
            <w:tcW w:w="1044" w:type="dxa"/>
            <w:vAlign w:val="top"/>
          </w:tcPr>
          <w:p w14:paraId="65651AE8">
            <w:pPr>
              <w:pStyle w:val="6"/>
            </w:pPr>
          </w:p>
        </w:tc>
      </w:tr>
      <w:tr w14:paraId="65503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463" w:type="dxa"/>
            <w:vAlign w:val="top"/>
          </w:tcPr>
          <w:p w14:paraId="4725CB52">
            <w:pPr>
              <w:pStyle w:val="6"/>
            </w:pPr>
          </w:p>
        </w:tc>
        <w:tc>
          <w:tcPr>
            <w:tcW w:w="1668" w:type="dxa"/>
            <w:vAlign w:val="top"/>
          </w:tcPr>
          <w:p w14:paraId="26D8E52A">
            <w:pPr>
              <w:pStyle w:val="6"/>
            </w:pPr>
          </w:p>
        </w:tc>
        <w:tc>
          <w:tcPr>
            <w:tcW w:w="1258" w:type="dxa"/>
            <w:vAlign w:val="top"/>
          </w:tcPr>
          <w:p w14:paraId="654D4216">
            <w:pPr>
              <w:pStyle w:val="6"/>
            </w:pPr>
          </w:p>
        </w:tc>
        <w:tc>
          <w:tcPr>
            <w:tcW w:w="1458" w:type="dxa"/>
            <w:vAlign w:val="top"/>
          </w:tcPr>
          <w:p w14:paraId="54E20147">
            <w:pPr>
              <w:pStyle w:val="6"/>
            </w:pPr>
          </w:p>
        </w:tc>
        <w:tc>
          <w:tcPr>
            <w:tcW w:w="1468" w:type="dxa"/>
            <w:vAlign w:val="top"/>
          </w:tcPr>
          <w:p w14:paraId="4D170DAD">
            <w:pPr>
              <w:pStyle w:val="6"/>
            </w:pPr>
          </w:p>
        </w:tc>
        <w:tc>
          <w:tcPr>
            <w:tcW w:w="1044" w:type="dxa"/>
            <w:vAlign w:val="top"/>
          </w:tcPr>
          <w:p w14:paraId="4F6023B6">
            <w:pPr>
              <w:pStyle w:val="6"/>
            </w:pPr>
          </w:p>
        </w:tc>
      </w:tr>
      <w:tr w14:paraId="62330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463" w:type="dxa"/>
            <w:vAlign w:val="top"/>
          </w:tcPr>
          <w:p w14:paraId="032DBDF2">
            <w:pPr>
              <w:pStyle w:val="6"/>
            </w:pPr>
          </w:p>
        </w:tc>
        <w:tc>
          <w:tcPr>
            <w:tcW w:w="1668" w:type="dxa"/>
            <w:vAlign w:val="top"/>
          </w:tcPr>
          <w:p w14:paraId="130FC96C">
            <w:pPr>
              <w:pStyle w:val="6"/>
            </w:pPr>
          </w:p>
        </w:tc>
        <w:tc>
          <w:tcPr>
            <w:tcW w:w="1258" w:type="dxa"/>
            <w:vAlign w:val="top"/>
          </w:tcPr>
          <w:p w14:paraId="63EF6535">
            <w:pPr>
              <w:pStyle w:val="6"/>
            </w:pPr>
          </w:p>
        </w:tc>
        <w:tc>
          <w:tcPr>
            <w:tcW w:w="1458" w:type="dxa"/>
            <w:vAlign w:val="top"/>
          </w:tcPr>
          <w:p w14:paraId="5C4E4F2C">
            <w:pPr>
              <w:pStyle w:val="6"/>
            </w:pPr>
          </w:p>
        </w:tc>
        <w:tc>
          <w:tcPr>
            <w:tcW w:w="1468" w:type="dxa"/>
            <w:vAlign w:val="top"/>
          </w:tcPr>
          <w:p w14:paraId="02F78C03">
            <w:pPr>
              <w:pStyle w:val="6"/>
            </w:pPr>
          </w:p>
        </w:tc>
        <w:tc>
          <w:tcPr>
            <w:tcW w:w="1044" w:type="dxa"/>
            <w:vAlign w:val="top"/>
          </w:tcPr>
          <w:p w14:paraId="6585260E">
            <w:pPr>
              <w:pStyle w:val="6"/>
            </w:pPr>
          </w:p>
        </w:tc>
      </w:tr>
      <w:tr w14:paraId="55BDC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463" w:type="dxa"/>
            <w:vAlign w:val="top"/>
          </w:tcPr>
          <w:p w14:paraId="19302D67">
            <w:pPr>
              <w:pStyle w:val="6"/>
            </w:pPr>
          </w:p>
        </w:tc>
        <w:tc>
          <w:tcPr>
            <w:tcW w:w="1668" w:type="dxa"/>
            <w:vAlign w:val="top"/>
          </w:tcPr>
          <w:p w14:paraId="14DB12C7">
            <w:pPr>
              <w:pStyle w:val="6"/>
            </w:pPr>
          </w:p>
        </w:tc>
        <w:tc>
          <w:tcPr>
            <w:tcW w:w="1258" w:type="dxa"/>
            <w:vAlign w:val="top"/>
          </w:tcPr>
          <w:p w14:paraId="7EAE4B08">
            <w:pPr>
              <w:pStyle w:val="6"/>
            </w:pPr>
          </w:p>
        </w:tc>
        <w:tc>
          <w:tcPr>
            <w:tcW w:w="1458" w:type="dxa"/>
            <w:vAlign w:val="top"/>
          </w:tcPr>
          <w:p w14:paraId="0D987C5D">
            <w:pPr>
              <w:pStyle w:val="6"/>
            </w:pPr>
          </w:p>
        </w:tc>
        <w:tc>
          <w:tcPr>
            <w:tcW w:w="1468" w:type="dxa"/>
            <w:vAlign w:val="top"/>
          </w:tcPr>
          <w:p w14:paraId="66B28ED1">
            <w:pPr>
              <w:pStyle w:val="6"/>
            </w:pPr>
          </w:p>
        </w:tc>
        <w:tc>
          <w:tcPr>
            <w:tcW w:w="1044" w:type="dxa"/>
            <w:vAlign w:val="top"/>
          </w:tcPr>
          <w:p w14:paraId="7DF70DC3">
            <w:pPr>
              <w:pStyle w:val="6"/>
            </w:pPr>
          </w:p>
        </w:tc>
      </w:tr>
      <w:tr w14:paraId="1ECB5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463" w:type="dxa"/>
            <w:vAlign w:val="top"/>
          </w:tcPr>
          <w:p w14:paraId="0977DF4A">
            <w:pPr>
              <w:pStyle w:val="6"/>
            </w:pPr>
          </w:p>
        </w:tc>
        <w:tc>
          <w:tcPr>
            <w:tcW w:w="1668" w:type="dxa"/>
            <w:vAlign w:val="top"/>
          </w:tcPr>
          <w:p w14:paraId="4CF66688">
            <w:pPr>
              <w:pStyle w:val="6"/>
            </w:pPr>
          </w:p>
        </w:tc>
        <w:tc>
          <w:tcPr>
            <w:tcW w:w="1258" w:type="dxa"/>
            <w:vAlign w:val="top"/>
          </w:tcPr>
          <w:p w14:paraId="62E242EA">
            <w:pPr>
              <w:pStyle w:val="6"/>
            </w:pPr>
          </w:p>
        </w:tc>
        <w:tc>
          <w:tcPr>
            <w:tcW w:w="1458" w:type="dxa"/>
            <w:vAlign w:val="top"/>
          </w:tcPr>
          <w:p w14:paraId="75E4DA5C">
            <w:pPr>
              <w:pStyle w:val="6"/>
            </w:pPr>
          </w:p>
        </w:tc>
        <w:tc>
          <w:tcPr>
            <w:tcW w:w="1468" w:type="dxa"/>
            <w:vAlign w:val="top"/>
          </w:tcPr>
          <w:p w14:paraId="6C716EB1">
            <w:pPr>
              <w:pStyle w:val="6"/>
            </w:pPr>
          </w:p>
        </w:tc>
        <w:tc>
          <w:tcPr>
            <w:tcW w:w="1044" w:type="dxa"/>
            <w:vAlign w:val="top"/>
          </w:tcPr>
          <w:p w14:paraId="63A75ABC">
            <w:pPr>
              <w:pStyle w:val="6"/>
            </w:pPr>
          </w:p>
        </w:tc>
      </w:tr>
      <w:tr w14:paraId="2FAE3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463" w:type="dxa"/>
            <w:vAlign w:val="top"/>
          </w:tcPr>
          <w:p w14:paraId="47544DC7">
            <w:pPr>
              <w:pStyle w:val="6"/>
            </w:pPr>
          </w:p>
        </w:tc>
        <w:tc>
          <w:tcPr>
            <w:tcW w:w="1668" w:type="dxa"/>
            <w:vAlign w:val="top"/>
          </w:tcPr>
          <w:p w14:paraId="74DB723F">
            <w:pPr>
              <w:pStyle w:val="6"/>
            </w:pPr>
          </w:p>
        </w:tc>
        <w:tc>
          <w:tcPr>
            <w:tcW w:w="1258" w:type="dxa"/>
            <w:vAlign w:val="top"/>
          </w:tcPr>
          <w:p w14:paraId="323F4A11">
            <w:pPr>
              <w:pStyle w:val="6"/>
            </w:pPr>
          </w:p>
        </w:tc>
        <w:tc>
          <w:tcPr>
            <w:tcW w:w="1458" w:type="dxa"/>
            <w:vAlign w:val="top"/>
          </w:tcPr>
          <w:p w14:paraId="29753900">
            <w:pPr>
              <w:pStyle w:val="6"/>
            </w:pPr>
          </w:p>
        </w:tc>
        <w:tc>
          <w:tcPr>
            <w:tcW w:w="1468" w:type="dxa"/>
            <w:vAlign w:val="top"/>
          </w:tcPr>
          <w:p w14:paraId="3FCDD12D">
            <w:pPr>
              <w:pStyle w:val="6"/>
            </w:pPr>
          </w:p>
        </w:tc>
        <w:tc>
          <w:tcPr>
            <w:tcW w:w="1044" w:type="dxa"/>
            <w:vAlign w:val="top"/>
          </w:tcPr>
          <w:p w14:paraId="204B6027">
            <w:pPr>
              <w:pStyle w:val="6"/>
            </w:pPr>
          </w:p>
        </w:tc>
      </w:tr>
      <w:tr w14:paraId="1F2DE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463" w:type="dxa"/>
            <w:vAlign w:val="top"/>
          </w:tcPr>
          <w:p w14:paraId="11EC4F47">
            <w:pPr>
              <w:pStyle w:val="6"/>
            </w:pPr>
          </w:p>
        </w:tc>
        <w:tc>
          <w:tcPr>
            <w:tcW w:w="1668" w:type="dxa"/>
            <w:vAlign w:val="top"/>
          </w:tcPr>
          <w:p w14:paraId="6294CF7F">
            <w:pPr>
              <w:pStyle w:val="6"/>
            </w:pPr>
          </w:p>
        </w:tc>
        <w:tc>
          <w:tcPr>
            <w:tcW w:w="1258" w:type="dxa"/>
            <w:vAlign w:val="top"/>
          </w:tcPr>
          <w:p w14:paraId="4ABCE8F0">
            <w:pPr>
              <w:pStyle w:val="6"/>
            </w:pPr>
          </w:p>
        </w:tc>
        <w:tc>
          <w:tcPr>
            <w:tcW w:w="1458" w:type="dxa"/>
            <w:vAlign w:val="top"/>
          </w:tcPr>
          <w:p w14:paraId="7DCABAA0">
            <w:pPr>
              <w:pStyle w:val="6"/>
            </w:pPr>
          </w:p>
        </w:tc>
        <w:tc>
          <w:tcPr>
            <w:tcW w:w="1468" w:type="dxa"/>
            <w:vAlign w:val="top"/>
          </w:tcPr>
          <w:p w14:paraId="0BB397FC">
            <w:pPr>
              <w:pStyle w:val="6"/>
            </w:pPr>
          </w:p>
        </w:tc>
        <w:tc>
          <w:tcPr>
            <w:tcW w:w="1044" w:type="dxa"/>
            <w:vAlign w:val="top"/>
          </w:tcPr>
          <w:p w14:paraId="565DCB90">
            <w:pPr>
              <w:pStyle w:val="6"/>
            </w:pPr>
          </w:p>
        </w:tc>
      </w:tr>
    </w:tbl>
    <w:p w14:paraId="1FD176BB">
      <w:pPr>
        <w:pStyle w:val="2"/>
        <w:spacing w:before="125" w:line="221" w:lineRule="auto"/>
        <w:ind w:left="3159"/>
        <w:rPr>
          <w:sz w:val="22"/>
          <w:szCs w:val="22"/>
        </w:rPr>
      </w:pPr>
      <w:r>
        <w:rPr>
          <w:spacing w:val="9"/>
          <w:sz w:val="22"/>
          <w:szCs w:val="22"/>
        </w:rPr>
        <w:t>图9</w:t>
      </w:r>
      <w:r>
        <w:rPr>
          <w:spacing w:val="-58"/>
          <w:sz w:val="22"/>
          <w:szCs w:val="22"/>
        </w:rPr>
        <w:t xml:space="preserve"> </w:t>
      </w:r>
      <w:r>
        <w:rPr>
          <w:spacing w:val="9"/>
          <w:sz w:val="22"/>
          <w:szCs w:val="22"/>
        </w:rPr>
        <w:t>.</w:t>
      </w:r>
      <w:r>
        <w:rPr>
          <w:spacing w:val="-63"/>
          <w:sz w:val="22"/>
          <w:szCs w:val="22"/>
        </w:rPr>
        <w:t xml:space="preserve"> </w:t>
      </w:r>
      <w:r>
        <w:rPr>
          <w:spacing w:val="9"/>
          <w:sz w:val="22"/>
          <w:szCs w:val="22"/>
        </w:rPr>
        <w:t xml:space="preserve">6  </w:t>
      </w:r>
      <w:r>
        <w:rPr>
          <w:rFonts w:ascii="Times New Roman" w:hAnsi="Times New Roman" w:eastAsia="Times New Roman" w:cs="Times New Roman"/>
          <w:sz w:val="22"/>
          <w:szCs w:val="22"/>
        </w:rPr>
        <w:t>UUT</w:t>
      </w:r>
      <w:r>
        <w:rPr>
          <w:rFonts w:ascii="Times New Roman" w:hAnsi="Times New Roman" w:eastAsia="Times New Roman" w:cs="Times New Roman"/>
          <w:spacing w:val="19"/>
          <w:w w:val="101"/>
          <w:sz w:val="22"/>
          <w:szCs w:val="22"/>
        </w:rPr>
        <w:t xml:space="preserve">  </w:t>
      </w:r>
      <w:r>
        <w:rPr>
          <w:spacing w:val="9"/>
          <w:sz w:val="22"/>
          <w:szCs w:val="22"/>
        </w:rPr>
        <w:t>电气接口要求页</w:t>
      </w:r>
    </w:p>
    <w:p w14:paraId="27C491E3">
      <w:pPr>
        <w:pStyle w:val="2"/>
        <w:spacing w:before="308" w:line="219" w:lineRule="auto"/>
        <w:ind w:left="539"/>
      </w:pPr>
      <w:r>
        <w:rPr>
          <w:spacing w:val="1"/>
        </w:rPr>
        <w:t>描述信息一般应包括下列内容：</w:t>
      </w:r>
    </w:p>
    <w:p w14:paraId="52F92B3C">
      <w:pPr>
        <w:pStyle w:val="2"/>
        <w:spacing w:before="49" w:line="212" w:lineRule="auto"/>
        <w:ind w:left="539"/>
      </w:pPr>
      <w:r>
        <w:rPr>
          <w:rFonts w:ascii="Times New Roman" w:hAnsi="Times New Roman" w:eastAsia="Times New Roman" w:cs="Times New Roman"/>
          <w:spacing w:val="5"/>
        </w:rPr>
        <w:t xml:space="preserve">a)  </w:t>
      </w:r>
      <w:r>
        <w:rPr>
          <w:spacing w:val="5"/>
        </w:rPr>
        <w:t>信号特性的详细定义(包括容差);</w:t>
      </w:r>
    </w:p>
    <w:p w14:paraId="3285202A">
      <w:pPr>
        <w:pStyle w:val="2"/>
        <w:spacing w:before="100" w:line="212" w:lineRule="auto"/>
        <w:ind w:left="539"/>
      </w:pPr>
      <w:r>
        <w:rPr>
          <w:rFonts w:ascii="Times New Roman" w:hAnsi="Times New Roman" w:eastAsia="Times New Roman" w:cs="Times New Roman"/>
          <w:spacing w:val="3"/>
        </w:rPr>
        <w:t xml:space="preserve">b)  </w:t>
      </w:r>
      <w:r>
        <w:rPr>
          <w:spacing w:val="3"/>
        </w:rPr>
        <w:t>配对连接导线的最小直径；</w:t>
      </w:r>
    </w:p>
    <w:p w14:paraId="126696B5">
      <w:pPr>
        <w:pStyle w:val="2"/>
        <w:spacing w:before="122" w:line="212" w:lineRule="auto"/>
        <w:ind w:left="539"/>
        <w:rPr>
          <w:sz w:val="24"/>
          <w:szCs w:val="24"/>
        </w:rPr>
      </w:pPr>
      <w:r>
        <w:rPr>
          <w:rFonts w:ascii="Times New Roman" w:hAnsi="Times New Roman" w:eastAsia="Times New Roman" w:cs="Times New Roman"/>
          <w:spacing w:val="26"/>
          <w:sz w:val="24"/>
          <w:szCs w:val="24"/>
        </w:rPr>
        <w:t xml:space="preserve">c)  </w:t>
      </w:r>
      <w:r>
        <w:rPr>
          <w:spacing w:val="26"/>
          <w:sz w:val="24"/>
          <w:szCs w:val="24"/>
        </w:rPr>
        <w:t>配对连接导线的最大长度；</w:t>
      </w:r>
    </w:p>
    <w:p w14:paraId="63559CAC">
      <w:pPr>
        <w:pStyle w:val="2"/>
        <w:spacing w:before="122" w:line="212" w:lineRule="auto"/>
        <w:ind w:left="539"/>
      </w:pPr>
      <w:r>
        <w:rPr>
          <w:rFonts w:ascii="Times New Roman" w:hAnsi="Times New Roman" w:eastAsia="Times New Roman" w:cs="Times New Roman"/>
          <w:spacing w:val="1"/>
        </w:rPr>
        <w:t xml:space="preserve">d)  </w:t>
      </w:r>
      <w:r>
        <w:rPr>
          <w:spacing w:val="1"/>
        </w:rPr>
        <w:t>配对连接导线或同轴电缆的型别；</w:t>
      </w:r>
    </w:p>
    <w:p w14:paraId="1F6EDE5D">
      <w:pPr>
        <w:pStyle w:val="2"/>
        <w:spacing w:before="140" w:line="219" w:lineRule="auto"/>
        <w:ind w:left="539"/>
        <w:rPr>
          <w:sz w:val="24"/>
          <w:szCs w:val="24"/>
        </w:rPr>
      </w:pPr>
      <w:r>
        <w:rPr>
          <w:rFonts w:ascii="Times New Roman" w:hAnsi="Times New Roman" w:eastAsia="Times New Roman" w:cs="Times New Roman"/>
          <w:spacing w:val="23"/>
          <w:sz w:val="24"/>
          <w:szCs w:val="24"/>
        </w:rPr>
        <w:t>e</w:t>
      </w:r>
      <w:r>
        <w:rPr>
          <w:rFonts w:ascii="Times New Roman" w:hAnsi="Times New Roman" w:eastAsia="Times New Roman" w:cs="Times New Roman"/>
          <w:spacing w:val="-23"/>
          <w:sz w:val="24"/>
          <w:szCs w:val="24"/>
        </w:rPr>
        <w:t xml:space="preserve"> </w:t>
      </w:r>
      <w:r>
        <w:rPr>
          <w:spacing w:val="23"/>
          <w:sz w:val="24"/>
          <w:szCs w:val="24"/>
        </w:rPr>
        <w:t>) 配对连接导线的屏蔽要求；</w:t>
      </w:r>
    </w:p>
    <w:p w14:paraId="5DC08039">
      <w:pPr>
        <w:spacing w:line="219" w:lineRule="auto"/>
        <w:rPr>
          <w:sz w:val="24"/>
          <w:szCs w:val="24"/>
        </w:rPr>
        <w:sectPr>
          <w:footerReference r:id="rId470" w:type="default"/>
          <w:pgSz w:w="11910" w:h="17130"/>
          <w:pgMar w:top="1456" w:right="1201" w:bottom="1563" w:left="1339" w:header="0" w:footer="1364" w:gutter="0"/>
          <w:cols w:space="720" w:num="1"/>
        </w:sectPr>
      </w:pPr>
    </w:p>
    <w:p w14:paraId="5F704681">
      <w:pPr>
        <w:pStyle w:val="2"/>
        <w:spacing w:before="74" w:line="212" w:lineRule="auto"/>
        <w:ind w:left="529"/>
      </w:pPr>
      <w:r>
        <w:rPr>
          <w:rFonts w:ascii="Times New Roman" w:hAnsi="Times New Roman" w:eastAsia="Times New Roman" w:cs="Times New Roman"/>
          <w:spacing w:val="2"/>
        </w:rPr>
        <w:t xml:space="preserve">f)  </w:t>
      </w:r>
      <w:r>
        <w:rPr>
          <w:spacing w:val="2"/>
        </w:rPr>
        <w:t>配对连接导线的接地要求；</w:t>
      </w:r>
    </w:p>
    <w:p w14:paraId="7E492CDD">
      <w:pPr>
        <w:pStyle w:val="2"/>
        <w:spacing w:before="141" w:line="212" w:lineRule="auto"/>
        <w:ind w:left="529"/>
        <w:rPr>
          <w:sz w:val="24"/>
          <w:szCs w:val="24"/>
        </w:rPr>
      </w:pPr>
      <w:r>
        <w:rPr>
          <w:rFonts w:ascii="Times New Roman" w:hAnsi="Times New Roman" w:eastAsia="Times New Roman" w:cs="Times New Roman"/>
          <w:spacing w:val="23"/>
          <w:sz w:val="24"/>
          <w:szCs w:val="24"/>
        </w:rPr>
        <w:t xml:space="preserve">g </w:t>
      </w:r>
      <w:r>
        <w:rPr>
          <w:spacing w:val="23"/>
          <w:sz w:val="24"/>
          <w:szCs w:val="24"/>
        </w:rPr>
        <w:t>)</w:t>
      </w:r>
      <w:r>
        <w:rPr>
          <w:spacing w:val="-27"/>
          <w:sz w:val="24"/>
          <w:szCs w:val="24"/>
        </w:rPr>
        <w:t xml:space="preserve"> </w:t>
      </w:r>
      <w:r>
        <w:rPr>
          <w:spacing w:val="23"/>
          <w:sz w:val="24"/>
          <w:szCs w:val="24"/>
        </w:rPr>
        <w:t>配对连接电路的隔离要求；</w:t>
      </w:r>
    </w:p>
    <w:p w14:paraId="1ED52526">
      <w:pPr>
        <w:pStyle w:val="2"/>
        <w:spacing w:before="82" w:line="212" w:lineRule="auto"/>
        <w:ind w:left="529"/>
      </w:pPr>
      <w:r>
        <w:rPr>
          <w:rFonts w:ascii="Times New Roman" w:hAnsi="Times New Roman" w:eastAsia="Times New Roman" w:cs="Times New Roman"/>
          <w:spacing w:val="3"/>
        </w:rPr>
        <w:t xml:space="preserve">h)  </w:t>
      </w:r>
      <w:r>
        <w:rPr>
          <w:spacing w:val="3"/>
        </w:rPr>
        <w:t>配对连接导线双股缠绕或多股缠绕要求；</w:t>
      </w:r>
    </w:p>
    <w:p w14:paraId="47206A1B">
      <w:pPr>
        <w:pStyle w:val="2"/>
        <w:spacing w:before="111" w:line="212" w:lineRule="auto"/>
        <w:ind w:left="529"/>
        <w:rPr>
          <w:sz w:val="25"/>
          <w:szCs w:val="25"/>
        </w:rPr>
      </w:pPr>
      <w:r>
        <w:rPr>
          <w:rFonts w:ascii="Times New Roman" w:hAnsi="Times New Roman" w:eastAsia="Times New Roman" w:cs="Times New Roman"/>
          <w:spacing w:val="14"/>
          <w:sz w:val="25"/>
          <w:szCs w:val="25"/>
        </w:rPr>
        <w:t xml:space="preserve">i)  </w:t>
      </w:r>
      <w:r>
        <w:rPr>
          <w:spacing w:val="14"/>
          <w:sz w:val="25"/>
          <w:szCs w:val="25"/>
        </w:rPr>
        <w:t>阻抗匹配/负载要求，包括允许的电压驻波比；</w:t>
      </w:r>
    </w:p>
    <w:p w14:paraId="065AFF3C">
      <w:pPr>
        <w:pStyle w:val="2"/>
        <w:spacing w:before="111" w:line="212" w:lineRule="auto"/>
        <w:ind w:left="529"/>
      </w:pPr>
      <w:r>
        <w:rPr>
          <w:rFonts w:ascii="Times New Roman" w:hAnsi="Times New Roman" w:eastAsia="Times New Roman" w:cs="Times New Roman"/>
          <w:spacing w:val="7"/>
        </w:rPr>
        <w:t>j)</w:t>
      </w:r>
      <w:r>
        <w:rPr>
          <w:rFonts w:ascii="Times New Roman" w:hAnsi="Times New Roman" w:eastAsia="Times New Roman" w:cs="Times New Roman"/>
          <w:spacing w:val="67"/>
        </w:rPr>
        <w:t xml:space="preserve"> </w:t>
      </w:r>
      <w:r>
        <w:rPr>
          <w:spacing w:val="7"/>
        </w:rPr>
        <w:t>其他。</w:t>
      </w:r>
    </w:p>
    <w:p w14:paraId="1D75BD8F">
      <w:pPr>
        <w:pStyle w:val="2"/>
        <w:spacing w:before="80" w:line="286" w:lineRule="auto"/>
        <w:ind w:right="117" w:firstLine="529"/>
      </w:pPr>
      <w:r>
        <w:rPr>
          <w:spacing w:val="5"/>
        </w:rPr>
        <w:t>因工作模式改变造成电气接口定义变化，应针对不同模式提供相应的电气</w:t>
      </w:r>
      <w:r>
        <w:rPr>
          <w:spacing w:val="16"/>
        </w:rPr>
        <w:t xml:space="preserve"> </w:t>
      </w:r>
      <w:r>
        <w:rPr>
          <w:spacing w:val="-3"/>
        </w:rPr>
        <w:t>接口定义。</w:t>
      </w:r>
    </w:p>
    <w:p w14:paraId="3EF1F651">
      <w:pPr>
        <w:spacing w:line="222" w:lineRule="auto"/>
        <w:outlineLvl w:val="3"/>
        <w:rPr>
          <w:rFonts w:ascii="黑体" w:hAnsi="黑体" w:eastAsia="黑体" w:cs="黑体"/>
          <w:sz w:val="27"/>
          <w:szCs w:val="27"/>
        </w:rPr>
      </w:pPr>
      <w:r>
        <w:rPr>
          <w:rFonts w:ascii="Arial" w:hAnsi="Arial" w:eastAsia="Arial" w:cs="Arial"/>
          <w:b/>
          <w:bCs/>
          <w:spacing w:val="-5"/>
          <w:sz w:val="27"/>
          <w:szCs w:val="27"/>
        </w:rPr>
        <w:t>5.7</w:t>
      </w:r>
      <w:r>
        <w:rPr>
          <w:rFonts w:ascii="Arial" w:hAnsi="Arial" w:eastAsia="Arial" w:cs="Arial"/>
          <w:b/>
          <w:bCs/>
          <w:spacing w:val="11"/>
          <w:sz w:val="27"/>
          <w:szCs w:val="27"/>
        </w:rPr>
        <w:t xml:space="preserve">    </w:t>
      </w:r>
      <w:r>
        <w:rPr>
          <w:rFonts w:ascii="黑体" w:hAnsi="黑体" w:eastAsia="黑体" w:cs="黑体"/>
          <w:b/>
          <w:bCs/>
          <w:spacing w:val="-5"/>
          <w:sz w:val="27"/>
          <w:szCs w:val="27"/>
        </w:rPr>
        <w:t>图样</w:t>
      </w:r>
    </w:p>
    <w:p w14:paraId="394D8E6B">
      <w:pPr>
        <w:pStyle w:val="2"/>
        <w:spacing w:before="88" w:line="219" w:lineRule="auto"/>
        <w:ind w:left="529"/>
      </w:pPr>
      <w:r>
        <w:rPr>
          <w:spacing w:val="1"/>
        </w:rPr>
        <w:t>应根据</w:t>
      </w:r>
      <w:r>
        <w:rPr>
          <w:rFonts w:ascii="Times New Roman" w:hAnsi="Times New Roman" w:eastAsia="Times New Roman" w:cs="Times New Roman"/>
        </w:rPr>
        <w:t>UUT</w:t>
      </w:r>
      <w:r>
        <w:rPr>
          <w:rFonts w:ascii="Times New Roman" w:hAnsi="Times New Roman" w:eastAsia="Times New Roman" w:cs="Times New Roman"/>
          <w:spacing w:val="1"/>
        </w:rPr>
        <w:t xml:space="preserve">  </w:t>
      </w:r>
      <w:r>
        <w:rPr>
          <w:spacing w:val="1"/>
        </w:rPr>
        <w:t>测试要求，提供相应的图样。一般应包括：</w:t>
      </w:r>
    </w:p>
    <w:p w14:paraId="2F698B0E">
      <w:pPr>
        <w:pStyle w:val="2"/>
        <w:spacing w:before="51" w:line="212" w:lineRule="auto"/>
        <w:ind w:left="529"/>
      </w:pPr>
      <w:r>
        <w:rPr>
          <w:rFonts w:ascii="Times New Roman" w:hAnsi="Times New Roman" w:eastAsia="Times New Roman" w:cs="Times New Roman"/>
          <w:spacing w:val="-2"/>
        </w:rPr>
        <w:t xml:space="preserve">a)  </w:t>
      </w:r>
      <w:r>
        <w:rPr>
          <w:spacing w:val="-2"/>
        </w:rPr>
        <w:t>外形图；</w:t>
      </w:r>
    </w:p>
    <w:p w14:paraId="274DBBD9">
      <w:pPr>
        <w:pStyle w:val="2"/>
        <w:spacing w:before="132" w:line="212" w:lineRule="auto"/>
        <w:ind w:left="529"/>
        <w:rPr>
          <w:sz w:val="24"/>
          <w:szCs w:val="24"/>
        </w:rPr>
      </w:pPr>
      <w:r>
        <w:rPr>
          <w:rFonts w:ascii="Times New Roman" w:hAnsi="Times New Roman" w:eastAsia="Times New Roman" w:cs="Times New Roman"/>
          <w:spacing w:val="22"/>
          <w:sz w:val="24"/>
          <w:szCs w:val="24"/>
        </w:rPr>
        <w:t>b)</w:t>
      </w:r>
      <w:r>
        <w:rPr>
          <w:rFonts w:ascii="Times New Roman" w:hAnsi="Times New Roman" w:eastAsia="Times New Roman" w:cs="Times New Roman"/>
          <w:spacing w:val="21"/>
          <w:sz w:val="24"/>
          <w:szCs w:val="24"/>
        </w:rPr>
        <w:t xml:space="preserve">  </w:t>
      </w:r>
      <w:r>
        <w:rPr>
          <w:spacing w:val="22"/>
          <w:sz w:val="24"/>
          <w:szCs w:val="24"/>
        </w:rPr>
        <w:t>单元装配图；</w:t>
      </w:r>
    </w:p>
    <w:p w14:paraId="09C0EC0D">
      <w:pPr>
        <w:pStyle w:val="2"/>
        <w:spacing w:before="102" w:line="212" w:lineRule="auto"/>
        <w:ind w:left="529"/>
      </w:pPr>
      <w:r>
        <w:rPr>
          <w:rFonts w:ascii="Times New Roman" w:hAnsi="Times New Roman" w:eastAsia="Times New Roman" w:cs="Times New Roman"/>
          <w:spacing w:val="-1"/>
        </w:rPr>
        <w:t>c)</w:t>
      </w:r>
      <w:r>
        <w:rPr>
          <w:rFonts w:ascii="Times New Roman" w:hAnsi="Times New Roman" w:eastAsia="Times New Roman" w:cs="Times New Roman"/>
          <w:spacing w:val="62"/>
        </w:rPr>
        <w:t xml:space="preserve"> </w:t>
      </w:r>
      <w:r>
        <w:rPr>
          <w:spacing w:val="-1"/>
        </w:rPr>
        <w:t>框图；</w:t>
      </w:r>
    </w:p>
    <w:p w14:paraId="2235A806">
      <w:pPr>
        <w:pStyle w:val="2"/>
        <w:spacing w:before="90" w:line="212" w:lineRule="auto"/>
        <w:ind w:left="529"/>
      </w:pPr>
      <w:r>
        <w:rPr>
          <w:rFonts w:ascii="Times New Roman" w:hAnsi="Times New Roman" w:eastAsia="Times New Roman" w:cs="Times New Roman"/>
          <w:spacing w:val="-6"/>
        </w:rPr>
        <w:t>d)</w:t>
      </w:r>
      <w:r>
        <w:rPr>
          <w:rFonts w:ascii="Times New Roman" w:hAnsi="Times New Roman" w:eastAsia="Times New Roman" w:cs="Times New Roman"/>
          <w:spacing w:val="9"/>
        </w:rPr>
        <w:t xml:space="preserve">  </w:t>
      </w:r>
      <w:r>
        <w:rPr>
          <w:spacing w:val="-6"/>
        </w:rPr>
        <w:t>原理图；</w:t>
      </w:r>
    </w:p>
    <w:p w14:paraId="38E1FA91">
      <w:pPr>
        <w:pStyle w:val="2"/>
        <w:spacing w:before="90" w:line="212" w:lineRule="auto"/>
        <w:ind w:left="529"/>
      </w:pPr>
      <w:r>
        <w:rPr>
          <w:rFonts w:ascii="Times New Roman" w:hAnsi="Times New Roman" w:eastAsia="Times New Roman" w:cs="Times New Roman"/>
        </w:rPr>
        <w:t xml:space="preserve">e)  </w:t>
      </w:r>
      <w:r>
        <w:t>连线和布线图；</w:t>
      </w:r>
    </w:p>
    <w:p w14:paraId="3CE8C9FA">
      <w:pPr>
        <w:pStyle w:val="2"/>
        <w:spacing w:before="110" w:line="212" w:lineRule="auto"/>
        <w:ind w:left="529"/>
      </w:pPr>
      <w:r>
        <w:rPr>
          <w:rFonts w:ascii="Times New Roman" w:hAnsi="Times New Roman" w:eastAsia="Times New Roman" w:cs="Times New Roman"/>
          <w:spacing w:val="1"/>
        </w:rPr>
        <w:t xml:space="preserve">f)  </w:t>
      </w:r>
      <w:r>
        <w:rPr>
          <w:spacing w:val="1"/>
        </w:rPr>
        <w:t>信号流程图。</w:t>
      </w:r>
    </w:p>
    <w:p w14:paraId="29CDCEB6">
      <w:pPr>
        <w:spacing w:before="144" w:line="221" w:lineRule="auto"/>
        <w:rPr>
          <w:rFonts w:ascii="黑体" w:hAnsi="黑体" w:eastAsia="黑体" w:cs="黑体"/>
          <w:sz w:val="25"/>
          <w:szCs w:val="25"/>
        </w:rPr>
      </w:pPr>
      <w:r>
        <w:rPr>
          <w:rFonts w:ascii="黑体" w:hAnsi="黑体" w:eastAsia="黑体" w:cs="黑体"/>
          <w:spacing w:val="10"/>
          <w:sz w:val="25"/>
          <w:szCs w:val="25"/>
        </w:rPr>
        <w:t>5.8</w:t>
      </w:r>
      <w:r>
        <w:rPr>
          <w:rFonts w:ascii="黑体" w:hAnsi="黑体" w:eastAsia="黑体" w:cs="黑体"/>
          <w:spacing w:val="46"/>
          <w:sz w:val="25"/>
          <w:szCs w:val="25"/>
        </w:rPr>
        <w:t xml:space="preserve">  </w:t>
      </w:r>
      <w:r>
        <w:rPr>
          <w:rFonts w:ascii="黑体" w:hAnsi="黑体" w:eastAsia="黑体" w:cs="黑体"/>
          <w:b/>
          <w:bCs/>
          <w:spacing w:val="10"/>
          <w:sz w:val="25"/>
          <w:szCs w:val="25"/>
        </w:rPr>
        <w:t>零件目录</w:t>
      </w:r>
    </w:p>
    <w:p w14:paraId="3E471554">
      <w:pPr>
        <w:pStyle w:val="2"/>
        <w:spacing w:before="85" w:line="279" w:lineRule="auto"/>
        <w:ind w:right="121" w:firstLine="529"/>
      </w:pPr>
      <w:r>
        <w:rPr>
          <w:spacing w:val="1"/>
        </w:rPr>
        <w:t>应提供零件目录，并标出每个元器件的名称和在</w:t>
      </w:r>
      <w:r>
        <w:rPr>
          <w:rFonts w:ascii="Times New Roman" w:hAnsi="Times New Roman" w:eastAsia="Times New Roman" w:cs="Times New Roman"/>
        </w:rPr>
        <w:t>UUT</w:t>
      </w:r>
      <w:r>
        <w:rPr>
          <w:rFonts w:ascii="Times New Roman" w:hAnsi="Times New Roman" w:eastAsia="Times New Roman" w:cs="Times New Roman"/>
          <w:spacing w:val="1"/>
        </w:rPr>
        <w:t xml:space="preserve">  </w:t>
      </w:r>
      <w:r>
        <w:t xml:space="preserve">中的编号，采购的元 </w:t>
      </w:r>
      <w:r>
        <w:rPr>
          <w:spacing w:val="3"/>
        </w:rPr>
        <w:t>器件应有制造厂的零件编号和识别码。</w:t>
      </w:r>
    </w:p>
    <w:p w14:paraId="3DFF7350">
      <w:pPr>
        <w:spacing w:before="1" w:line="220" w:lineRule="auto"/>
        <w:rPr>
          <w:rFonts w:ascii="黑体" w:hAnsi="黑体" w:eastAsia="黑体" w:cs="黑体"/>
          <w:sz w:val="27"/>
          <w:szCs w:val="27"/>
        </w:rPr>
      </w:pPr>
      <w:r>
        <w:rPr>
          <w:rFonts w:ascii="Times New Roman" w:hAnsi="Times New Roman" w:eastAsia="Times New Roman" w:cs="Times New Roman"/>
          <w:sz w:val="27"/>
          <w:szCs w:val="27"/>
        </w:rPr>
        <w:t>6</w:t>
      </w:r>
      <w:r>
        <w:rPr>
          <w:rFonts w:ascii="Times New Roman" w:hAnsi="Times New Roman" w:eastAsia="Times New Roman" w:cs="Times New Roman"/>
          <w:spacing w:val="13"/>
          <w:sz w:val="27"/>
          <w:szCs w:val="27"/>
        </w:rPr>
        <w:t xml:space="preserve">    </w:t>
      </w:r>
      <w:r>
        <w:rPr>
          <w:rFonts w:ascii="Times New Roman" w:hAnsi="Times New Roman" w:eastAsia="Times New Roman" w:cs="Times New Roman"/>
          <w:sz w:val="27"/>
          <w:szCs w:val="27"/>
        </w:rPr>
        <w:t>UUT</w:t>
      </w:r>
      <w:r>
        <w:rPr>
          <w:rFonts w:ascii="黑体" w:hAnsi="黑体" w:eastAsia="黑体" w:cs="黑体"/>
          <w:b/>
          <w:bCs/>
          <w:sz w:val="27"/>
          <w:szCs w:val="27"/>
        </w:rPr>
        <w:t>测试要求</w:t>
      </w:r>
    </w:p>
    <w:p w14:paraId="1DF51EE3">
      <w:pPr>
        <w:spacing w:before="98" w:line="212" w:lineRule="auto"/>
        <w:rPr>
          <w:rFonts w:ascii="Times New Roman" w:hAnsi="Times New Roman" w:eastAsia="Times New Roman" w:cs="Times New Roman"/>
          <w:sz w:val="25"/>
          <w:szCs w:val="25"/>
        </w:rPr>
      </w:pPr>
      <w:r>
        <w:rPr>
          <w:rFonts w:ascii="Times New Roman" w:hAnsi="Times New Roman" w:eastAsia="Times New Roman" w:cs="Times New Roman"/>
          <w:spacing w:val="-11"/>
          <w:sz w:val="25"/>
          <w:szCs w:val="25"/>
        </w:rPr>
        <w:t>6.X</w:t>
      </w:r>
      <w:r>
        <w:rPr>
          <w:rFonts w:ascii="Times New Roman" w:hAnsi="Times New Roman" w:eastAsia="Times New Roman" w:cs="Times New Roman"/>
          <w:spacing w:val="3"/>
          <w:sz w:val="25"/>
          <w:szCs w:val="25"/>
        </w:rPr>
        <w:t xml:space="preserve">      </w:t>
      </w:r>
      <w:r>
        <w:rPr>
          <w:rFonts w:ascii="黑体" w:hAnsi="黑体" w:eastAsia="黑体" w:cs="黑体"/>
          <w:b/>
          <w:bCs/>
          <w:spacing w:val="-11"/>
          <w:sz w:val="25"/>
          <w:szCs w:val="25"/>
        </w:rPr>
        <w:t>(</w:t>
      </w:r>
      <w:r>
        <w:rPr>
          <w:rFonts w:ascii="黑体" w:hAnsi="黑体" w:eastAsia="黑体" w:cs="黑体"/>
          <w:spacing w:val="-57"/>
          <w:sz w:val="25"/>
          <w:szCs w:val="25"/>
        </w:rPr>
        <w:t xml:space="preserve"> </w:t>
      </w:r>
      <w:r>
        <w:rPr>
          <w:rFonts w:ascii="黑体" w:hAnsi="黑体" w:eastAsia="黑体" w:cs="黑体"/>
          <w:b/>
          <w:bCs/>
          <w:spacing w:val="-11"/>
          <w:sz w:val="25"/>
          <w:szCs w:val="25"/>
        </w:rPr>
        <w:t>测</w:t>
      </w:r>
      <w:r>
        <w:rPr>
          <w:rFonts w:ascii="黑体" w:hAnsi="黑体" w:eastAsia="黑体" w:cs="黑体"/>
          <w:spacing w:val="-54"/>
          <w:sz w:val="25"/>
          <w:szCs w:val="25"/>
        </w:rPr>
        <w:t xml:space="preserve"> </w:t>
      </w:r>
      <w:r>
        <w:rPr>
          <w:rFonts w:ascii="黑体" w:hAnsi="黑体" w:eastAsia="黑体" w:cs="黑体"/>
          <w:b/>
          <w:bCs/>
          <w:spacing w:val="-11"/>
          <w:sz w:val="25"/>
          <w:szCs w:val="25"/>
        </w:rPr>
        <w:t>试</w:t>
      </w:r>
      <w:r>
        <w:rPr>
          <w:rFonts w:ascii="黑体" w:hAnsi="黑体" w:eastAsia="黑体" w:cs="黑体"/>
          <w:spacing w:val="-55"/>
          <w:sz w:val="25"/>
          <w:szCs w:val="25"/>
        </w:rPr>
        <w:t xml:space="preserve"> </w:t>
      </w:r>
      <w:r>
        <w:rPr>
          <w:rFonts w:ascii="黑体" w:hAnsi="黑体" w:eastAsia="黑体" w:cs="黑体"/>
          <w:b/>
          <w:bCs/>
          <w:spacing w:val="-11"/>
          <w:sz w:val="25"/>
          <w:szCs w:val="25"/>
        </w:rPr>
        <w:t>项</w:t>
      </w:r>
      <w:r>
        <w:rPr>
          <w:rFonts w:ascii="Times New Roman" w:hAnsi="Times New Roman" w:eastAsia="Times New Roman" w:cs="Times New Roman"/>
          <w:b/>
          <w:bCs/>
          <w:spacing w:val="-11"/>
          <w:sz w:val="25"/>
          <w:szCs w:val="25"/>
        </w:rPr>
        <w:t>X)</w:t>
      </w:r>
    </w:p>
    <w:p w14:paraId="6CCBECC0">
      <w:pPr>
        <w:spacing w:before="122" w:line="221" w:lineRule="auto"/>
        <w:rPr>
          <w:rFonts w:ascii="黑体" w:hAnsi="黑体" w:eastAsia="黑体" w:cs="黑体"/>
          <w:sz w:val="25"/>
          <w:szCs w:val="25"/>
        </w:rPr>
      </w:pPr>
      <w:r>
        <w:rPr>
          <w:rFonts w:ascii="Times New Roman" w:hAnsi="Times New Roman" w:eastAsia="Times New Roman" w:cs="Times New Roman"/>
          <w:spacing w:val="6"/>
          <w:sz w:val="25"/>
          <w:szCs w:val="25"/>
        </w:rPr>
        <w:t>6.X.1</w:t>
      </w:r>
      <w:r>
        <w:rPr>
          <w:rFonts w:ascii="Times New Roman" w:hAnsi="Times New Roman" w:eastAsia="Times New Roman" w:cs="Times New Roman"/>
          <w:spacing w:val="8"/>
          <w:sz w:val="25"/>
          <w:szCs w:val="25"/>
        </w:rPr>
        <w:t xml:space="preserve">       </w:t>
      </w:r>
      <w:r>
        <w:rPr>
          <w:rFonts w:ascii="黑体" w:hAnsi="黑体" w:eastAsia="黑体" w:cs="黑体"/>
          <w:b/>
          <w:bCs/>
          <w:spacing w:val="6"/>
          <w:sz w:val="25"/>
          <w:szCs w:val="25"/>
        </w:rPr>
        <w:t>测试要求</w:t>
      </w:r>
    </w:p>
    <w:p w14:paraId="336DA34D">
      <w:pPr>
        <w:spacing w:before="120" w:line="221" w:lineRule="auto"/>
        <w:rPr>
          <w:rFonts w:ascii="黑体" w:hAnsi="黑体" w:eastAsia="黑体" w:cs="黑体"/>
          <w:sz w:val="24"/>
          <w:szCs w:val="24"/>
        </w:rPr>
      </w:pPr>
      <w:r>
        <w:rPr>
          <w:rFonts w:ascii="Times New Roman" w:hAnsi="Times New Roman" w:eastAsia="Times New Roman" w:cs="Times New Roman"/>
          <w:spacing w:val="9"/>
          <w:sz w:val="24"/>
          <w:szCs w:val="24"/>
        </w:rPr>
        <w:t>6.X.1.1</w:t>
      </w:r>
      <w:r>
        <w:rPr>
          <w:rFonts w:ascii="Times New Roman" w:hAnsi="Times New Roman" w:eastAsia="Times New Roman" w:cs="Times New Roman"/>
          <w:spacing w:val="1"/>
          <w:sz w:val="24"/>
          <w:szCs w:val="24"/>
        </w:rPr>
        <w:t xml:space="preserve">          </w:t>
      </w:r>
      <w:r>
        <w:rPr>
          <w:rFonts w:ascii="黑体" w:hAnsi="黑体" w:eastAsia="黑体" w:cs="黑体"/>
          <w:b/>
          <w:bCs/>
          <w:spacing w:val="9"/>
          <w:sz w:val="24"/>
          <w:szCs w:val="24"/>
        </w:rPr>
        <w:t>测试信息</w:t>
      </w:r>
    </w:p>
    <w:p w14:paraId="5849DF44">
      <w:pPr>
        <w:pStyle w:val="2"/>
        <w:spacing w:before="98" w:line="219" w:lineRule="auto"/>
        <w:ind w:left="529"/>
      </w:pPr>
      <w:r>
        <w:rPr>
          <w:rFonts w:ascii="Times New Roman" w:hAnsi="Times New Roman" w:eastAsia="Times New Roman" w:cs="Times New Roman"/>
        </w:rPr>
        <w:t>TRD</w:t>
      </w:r>
      <w:r>
        <w:rPr>
          <w:rFonts w:ascii="Times New Roman" w:hAnsi="Times New Roman" w:eastAsia="Times New Roman" w:cs="Times New Roman"/>
          <w:spacing w:val="36"/>
        </w:rPr>
        <w:t xml:space="preserve"> </w:t>
      </w:r>
      <w:r>
        <w:rPr>
          <w:spacing w:val="4"/>
        </w:rPr>
        <w:t>应提供实现如下目的所需的信息：</w:t>
      </w:r>
    </w:p>
    <w:p w14:paraId="00BB3233">
      <w:pPr>
        <w:pStyle w:val="2"/>
        <w:spacing w:before="71" w:line="212" w:lineRule="auto"/>
        <w:ind w:left="529"/>
      </w:pPr>
      <w:r>
        <w:rPr>
          <w:rFonts w:ascii="Times New Roman" w:hAnsi="Times New Roman" w:eastAsia="Times New Roman" w:cs="Times New Roman"/>
          <w:spacing w:val="-4"/>
        </w:rPr>
        <w:t xml:space="preserve">a)  </w:t>
      </w:r>
      <w:r>
        <w:rPr>
          <w:spacing w:val="-4"/>
        </w:rPr>
        <w:t>按</w:t>
      </w:r>
      <w:r>
        <w:rPr>
          <w:spacing w:val="-51"/>
        </w:rPr>
        <w:t xml:space="preserve"> </w:t>
      </w:r>
      <w:r>
        <w:rPr>
          <w:spacing w:val="-4"/>
        </w:rPr>
        <w:t>照</w:t>
      </w:r>
      <w:r>
        <w:rPr>
          <w:rFonts w:ascii="Times New Roman" w:hAnsi="Times New Roman" w:eastAsia="Times New Roman" w:cs="Times New Roman"/>
          <w:spacing w:val="-4"/>
        </w:rPr>
        <w:t xml:space="preserve">UUT  </w:t>
      </w:r>
      <w:r>
        <w:rPr>
          <w:spacing w:val="-4"/>
        </w:rPr>
        <w:t>功能和性能，测试</w:t>
      </w:r>
      <w:r>
        <w:rPr>
          <w:spacing w:val="-65"/>
        </w:rPr>
        <w:t xml:space="preserve"> </w:t>
      </w:r>
      <w:r>
        <w:rPr>
          <w:rFonts w:ascii="Times New Roman" w:hAnsi="Times New Roman" w:eastAsia="Times New Roman" w:cs="Times New Roman"/>
          <w:spacing w:val="-4"/>
        </w:rPr>
        <w:t>UUT</w:t>
      </w:r>
      <w:r>
        <w:rPr>
          <w:rFonts w:ascii="Times New Roman" w:hAnsi="Times New Roman" w:eastAsia="Times New Roman" w:cs="Times New Roman"/>
          <w:spacing w:val="16"/>
        </w:rPr>
        <w:t xml:space="preserve">  </w:t>
      </w:r>
      <w:r>
        <w:rPr>
          <w:spacing w:val="-4"/>
        </w:rPr>
        <w:t>并指</w:t>
      </w:r>
      <w:r>
        <w:rPr>
          <w:spacing w:val="-5"/>
        </w:rPr>
        <w:t>出合格、故障和超差情况；</w:t>
      </w:r>
    </w:p>
    <w:p w14:paraId="3BC3340D">
      <w:pPr>
        <w:pStyle w:val="2"/>
        <w:spacing w:before="90" w:line="212" w:lineRule="auto"/>
        <w:ind w:left="529"/>
        <w:rPr>
          <w:rFonts w:ascii="Times New Roman" w:hAnsi="Times New Roman" w:eastAsia="Times New Roman" w:cs="Times New Roman"/>
        </w:rPr>
      </w:pPr>
      <w:r>
        <w:rPr>
          <w:rFonts w:ascii="Times New Roman" w:hAnsi="Times New Roman" w:eastAsia="Times New Roman" w:cs="Times New Roman"/>
          <w:spacing w:val="12"/>
        </w:rPr>
        <w:t>b)</w:t>
      </w:r>
      <w:r>
        <w:rPr>
          <w:rFonts w:ascii="Times New Roman" w:hAnsi="Times New Roman" w:eastAsia="Times New Roman" w:cs="Times New Roman"/>
          <w:spacing w:val="69"/>
        </w:rPr>
        <w:t xml:space="preserve"> </w:t>
      </w:r>
      <w:r>
        <w:rPr>
          <w:spacing w:val="12"/>
        </w:rPr>
        <w:t>调整和校正</w:t>
      </w:r>
      <w:r>
        <w:rPr>
          <w:rFonts w:ascii="Times New Roman" w:hAnsi="Times New Roman" w:eastAsia="Times New Roman" w:cs="Times New Roman"/>
        </w:rPr>
        <w:t>UUT</w:t>
      </w:r>
      <w:r>
        <w:rPr>
          <w:rFonts w:ascii="Times New Roman" w:hAnsi="Times New Roman" w:eastAsia="Times New Roman" w:cs="Times New Roman"/>
          <w:spacing w:val="12"/>
        </w:rPr>
        <w:t>;</w:t>
      </w:r>
    </w:p>
    <w:p w14:paraId="08DF04FE">
      <w:pPr>
        <w:pStyle w:val="2"/>
        <w:spacing w:before="110" w:line="212" w:lineRule="auto"/>
        <w:ind w:left="529"/>
      </w:pPr>
      <w:r>
        <w:rPr>
          <w:rFonts w:ascii="Times New Roman" w:hAnsi="Times New Roman" w:eastAsia="Times New Roman" w:cs="Times New Roman"/>
          <w:spacing w:val="3"/>
        </w:rPr>
        <w:t xml:space="preserve">c)  </w:t>
      </w:r>
      <w:r>
        <w:rPr>
          <w:spacing w:val="3"/>
        </w:rPr>
        <w:t>至少将故障隔离到下一级组件。</w:t>
      </w:r>
    </w:p>
    <w:p w14:paraId="79C9255D">
      <w:pPr>
        <w:spacing w:before="133" w:line="221" w:lineRule="auto"/>
        <w:rPr>
          <w:rFonts w:ascii="黑体" w:hAnsi="黑体" w:eastAsia="黑体" w:cs="黑体"/>
          <w:sz w:val="24"/>
          <w:szCs w:val="24"/>
        </w:rPr>
      </w:pPr>
      <w:r>
        <w:rPr>
          <w:rFonts w:ascii="Times New Roman" w:hAnsi="Times New Roman" w:eastAsia="Times New Roman" w:cs="Times New Roman"/>
          <w:spacing w:val="9"/>
          <w:sz w:val="24"/>
          <w:szCs w:val="24"/>
        </w:rPr>
        <w:t>6.X.1.2</w:t>
      </w:r>
      <w:r>
        <w:rPr>
          <w:rFonts w:ascii="Times New Roman" w:hAnsi="Times New Roman" w:eastAsia="Times New Roman" w:cs="Times New Roman"/>
          <w:spacing w:val="1"/>
          <w:sz w:val="24"/>
          <w:szCs w:val="24"/>
        </w:rPr>
        <w:t xml:space="preserve">          </w:t>
      </w:r>
      <w:r>
        <w:rPr>
          <w:rFonts w:ascii="黑体" w:hAnsi="黑体" w:eastAsia="黑体" w:cs="黑体"/>
          <w:b/>
          <w:bCs/>
          <w:spacing w:val="9"/>
          <w:sz w:val="24"/>
          <w:szCs w:val="24"/>
        </w:rPr>
        <w:t>测试顺序</w:t>
      </w:r>
    </w:p>
    <w:p w14:paraId="0DA3C6EA">
      <w:pPr>
        <w:pStyle w:val="2"/>
        <w:spacing w:before="118" w:line="272" w:lineRule="auto"/>
        <w:ind w:firstLine="529"/>
      </w:pPr>
      <w:r>
        <w:rPr>
          <w:spacing w:val="1"/>
        </w:rPr>
        <w:t>所有测试应尽可能简单，彼此独立，按照顺序安排以简</w:t>
      </w:r>
      <w:r>
        <w:t xml:space="preserve">化测试并减少冗余， </w:t>
      </w:r>
      <w:r>
        <w:rPr>
          <w:spacing w:val="-8"/>
        </w:rPr>
        <w:t>使得在出现“不通过”情况后，不受该故障影响的其他测试可以继续进行。</w:t>
      </w:r>
    </w:p>
    <w:p w14:paraId="1ACB55AC">
      <w:pPr>
        <w:spacing w:before="2" w:line="220" w:lineRule="auto"/>
        <w:rPr>
          <w:rFonts w:ascii="黑体" w:hAnsi="黑体" w:eastAsia="黑体" w:cs="黑体"/>
          <w:sz w:val="27"/>
          <w:szCs w:val="27"/>
        </w:rPr>
      </w:pPr>
      <w:r>
        <w:rPr>
          <w:rFonts w:ascii="Times New Roman" w:hAnsi="Times New Roman" w:eastAsia="Times New Roman" w:cs="Times New Roman"/>
          <w:spacing w:val="-4"/>
          <w:sz w:val="27"/>
          <w:szCs w:val="27"/>
        </w:rPr>
        <w:t>6.X.1.</w:t>
      </w:r>
      <w:r>
        <w:rPr>
          <w:rFonts w:ascii="Times New Roman" w:hAnsi="Times New Roman" w:eastAsia="Times New Roman" w:cs="Times New Roman"/>
          <w:spacing w:val="26"/>
          <w:sz w:val="27"/>
          <w:szCs w:val="27"/>
        </w:rPr>
        <w:t xml:space="preserve">  </w:t>
      </w:r>
      <w:r>
        <w:rPr>
          <w:rFonts w:ascii="黑体" w:hAnsi="黑体" w:eastAsia="黑体" w:cs="黑体"/>
          <w:spacing w:val="-4"/>
          <w:sz w:val="27"/>
          <w:szCs w:val="27"/>
        </w:rPr>
        <w:t>3</w:t>
      </w:r>
      <w:r>
        <w:rPr>
          <w:rFonts w:ascii="黑体" w:hAnsi="黑体" w:eastAsia="黑体" w:cs="黑体"/>
          <w:spacing w:val="39"/>
          <w:sz w:val="27"/>
          <w:szCs w:val="27"/>
        </w:rPr>
        <w:t xml:space="preserve">  </w:t>
      </w:r>
      <w:r>
        <w:rPr>
          <w:rFonts w:ascii="黑体" w:hAnsi="黑体" w:eastAsia="黑体" w:cs="黑体"/>
          <w:b/>
          <w:bCs/>
          <w:spacing w:val="-4"/>
          <w:sz w:val="27"/>
          <w:szCs w:val="27"/>
        </w:rPr>
        <w:t>测试类型</w:t>
      </w:r>
    </w:p>
    <w:p w14:paraId="07A62B11">
      <w:pPr>
        <w:pStyle w:val="2"/>
        <w:spacing w:before="93" w:line="219" w:lineRule="auto"/>
        <w:ind w:left="529"/>
      </w:pPr>
      <w:r>
        <w:rPr>
          <w:rFonts w:ascii="Times New Roman" w:hAnsi="Times New Roman" w:eastAsia="Times New Roman" w:cs="Times New Roman"/>
        </w:rPr>
        <w:t>TRD</w:t>
      </w:r>
      <w:r>
        <w:rPr>
          <w:rFonts w:ascii="Times New Roman" w:hAnsi="Times New Roman" w:eastAsia="Times New Roman" w:cs="Times New Roman"/>
          <w:spacing w:val="56"/>
        </w:rPr>
        <w:t xml:space="preserve"> </w:t>
      </w:r>
      <w:r>
        <w:t>中应包括下述测试类型：</w:t>
      </w:r>
    </w:p>
    <w:p w14:paraId="1C3159D2">
      <w:pPr>
        <w:pStyle w:val="2"/>
        <w:spacing w:before="68" w:line="257" w:lineRule="auto"/>
        <w:ind w:right="102" w:firstLine="529"/>
      </w:pPr>
      <w:r>
        <w:rPr>
          <w:rFonts w:ascii="Times New Roman" w:hAnsi="Times New Roman" w:eastAsia="Times New Roman" w:cs="Times New Roman"/>
          <w:spacing w:val="-2"/>
        </w:rPr>
        <w:t>a)</w:t>
      </w:r>
      <w:r>
        <w:rPr>
          <w:rFonts w:ascii="Times New Roman" w:hAnsi="Times New Roman" w:eastAsia="Times New Roman" w:cs="Times New Roman"/>
          <w:spacing w:val="25"/>
        </w:rPr>
        <w:t xml:space="preserve">  </w:t>
      </w:r>
      <w:r>
        <w:rPr>
          <w:spacing w:val="-2"/>
        </w:rPr>
        <w:t>电源/激励短路测试，即在使用电源和激励之前，根据需要进行电源输入</w:t>
      </w:r>
      <w:r>
        <w:t xml:space="preserve"> </w:t>
      </w:r>
      <w:r>
        <w:rPr>
          <w:spacing w:val="-1"/>
        </w:rPr>
        <w:t>和激励输入短路检查，以验证这些输入不在短路情况下工作；</w:t>
      </w:r>
    </w:p>
    <w:p w14:paraId="2E0DA877">
      <w:pPr>
        <w:pStyle w:val="2"/>
        <w:spacing w:before="69" w:line="212" w:lineRule="auto"/>
        <w:jc w:val="right"/>
      </w:pPr>
      <w:r>
        <w:rPr>
          <w:rFonts w:ascii="Times New Roman" w:hAnsi="Times New Roman" w:eastAsia="Times New Roman" w:cs="Times New Roman"/>
          <w:spacing w:val="10"/>
        </w:rPr>
        <w:t>b)</w:t>
      </w:r>
      <w:r>
        <w:rPr>
          <w:spacing w:val="10"/>
        </w:rPr>
        <w:t>功能/性能测试，即在</w:t>
      </w:r>
      <w:r>
        <w:rPr>
          <w:rFonts w:ascii="Times New Roman" w:hAnsi="Times New Roman" w:eastAsia="Times New Roman" w:cs="Times New Roman"/>
        </w:rPr>
        <w:t>UUT</w:t>
      </w:r>
      <w:r>
        <w:rPr>
          <w:rFonts w:ascii="Times New Roman" w:hAnsi="Times New Roman" w:eastAsia="Times New Roman" w:cs="Times New Roman"/>
          <w:spacing w:val="10"/>
        </w:rPr>
        <w:t xml:space="preserve">  </w:t>
      </w:r>
      <w:r>
        <w:rPr>
          <w:spacing w:val="10"/>
        </w:rPr>
        <w:t>各种工作模式下进行功能测试</w:t>
      </w:r>
      <w:r>
        <w:rPr>
          <w:spacing w:val="9"/>
        </w:rPr>
        <w:t>和性能测试，</w:t>
      </w:r>
    </w:p>
    <w:p w14:paraId="17C29AF9">
      <w:pPr>
        <w:spacing w:line="212" w:lineRule="auto"/>
        <w:sectPr>
          <w:footerReference r:id="rId471" w:type="default"/>
          <w:pgSz w:w="11910" w:h="17130"/>
          <w:pgMar w:top="1456" w:right="1194" w:bottom="1710" w:left="1249" w:header="0" w:footer="1437" w:gutter="0"/>
          <w:cols w:space="720" w:num="1"/>
        </w:sectPr>
      </w:pPr>
    </w:p>
    <w:p w14:paraId="7F11CDB3">
      <w:pPr>
        <w:pStyle w:val="2"/>
        <w:spacing w:before="85" w:line="219" w:lineRule="auto"/>
      </w:pPr>
      <w:r>
        <w:rPr>
          <w:spacing w:val="-1"/>
        </w:rPr>
        <w:t>以确定</w:t>
      </w:r>
      <w:r>
        <w:rPr>
          <w:rFonts w:ascii="Times New Roman" w:hAnsi="Times New Roman" w:eastAsia="Times New Roman" w:cs="Times New Roman"/>
          <w:spacing w:val="-1"/>
        </w:rPr>
        <w:t xml:space="preserve">UUT  </w:t>
      </w:r>
      <w:r>
        <w:rPr>
          <w:spacing w:val="-1"/>
        </w:rPr>
        <w:t>合格、故障和超差情况；</w:t>
      </w:r>
    </w:p>
    <w:p w14:paraId="56287786">
      <w:pPr>
        <w:pStyle w:val="2"/>
        <w:spacing w:before="8" w:line="306" w:lineRule="auto"/>
        <w:ind w:right="84" w:firstLine="570"/>
      </w:pPr>
      <w:r>
        <w:rPr>
          <w:rFonts w:ascii="Times New Roman" w:hAnsi="Times New Roman" w:eastAsia="Times New Roman" w:cs="Times New Roman"/>
          <w:spacing w:val="1"/>
        </w:rPr>
        <w:t xml:space="preserve">c) </w:t>
      </w:r>
      <w:r>
        <w:rPr>
          <w:spacing w:val="1"/>
        </w:rPr>
        <w:t>故障诊断测试，即将功能/性能测试过程中检测出来的</w:t>
      </w:r>
      <w:r>
        <w:t>故障隔离到规定的 维修级别。</w:t>
      </w:r>
    </w:p>
    <w:p w14:paraId="7B8A5C53">
      <w:pPr>
        <w:spacing w:before="1" w:line="220" w:lineRule="auto"/>
        <w:rPr>
          <w:rFonts w:ascii="黑体" w:hAnsi="黑体" w:eastAsia="黑体" w:cs="黑体"/>
          <w:sz w:val="25"/>
          <w:szCs w:val="25"/>
        </w:rPr>
      </w:pPr>
      <w:r>
        <w:rPr>
          <w:rFonts w:ascii="Times New Roman" w:hAnsi="Times New Roman" w:eastAsia="Times New Roman" w:cs="Times New Roman"/>
          <w:spacing w:val="7"/>
          <w:sz w:val="25"/>
          <w:szCs w:val="25"/>
        </w:rPr>
        <w:t xml:space="preserve">6.X.1.    </w:t>
      </w:r>
      <w:r>
        <w:rPr>
          <w:rFonts w:ascii="黑体" w:hAnsi="黑体" w:eastAsia="黑体" w:cs="黑体"/>
          <w:b/>
          <w:bCs/>
          <w:spacing w:val="7"/>
          <w:sz w:val="25"/>
          <w:szCs w:val="25"/>
        </w:rPr>
        <w:t>4</w:t>
      </w:r>
      <w:r>
        <w:rPr>
          <w:rFonts w:ascii="黑体" w:hAnsi="黑体" w:eastAsia="黑体" w:cs="黑体"/>
          <w:spacing w:val="32"/>
          <w:sz w:val="25"/>
          <w:szCs w:val="25"/>
        </w:rPr>
        <w:t xml:space="preserve">  </w:t>
      </w:r>
      <w:r>
        <w:rPr>
          <w:rFonts w:ascii="黑体" w:hAnsi="黑体" w:eastAsia="黑体" w:cs="黑体"/>
          <w:b/>
          <w:bCs/>
          <w:spacing w:val="7"/>
          <w:sz w:val="25"/>
          <w:szCs w:val="25"/>
        </w:rPr>
        <w:t>详细测试信息</w:t>
      </w:r>
    </w:p>
    <w:p w14:paraId="5194A239">
      <w:pPr>
        <w:pStyle w:val="2"/>
        <w:spacing w:before="97" w:line="219" w:lineRule="auto"/>
        <w:ind w:left="570"/>
      </w:pPr>
      <w:r>
        <w:rPr>
          <w:spacing w:val="5"/>
        </w:rPr>
        <w:t>对</w:t>
      </w:r>
      <w:r>
        <w:rPr>
          <w:spacing w:val="-55"/>
        </w:rPr>
        <w:t xml:space="preserve"> </w:t>
      </w:r>
      <w:r>
        <w:rPr>
          <w:rFonts w:ascii="Times New Roman" w:hAnsi="Times New Roman" w:eastAsia="Times New Roman" w:cs="Times New Roman"/>
        </w:rPr>
        <w:t>UUT</w:t>
      </w:r>
      <w:r>
        <w:rPr>
          <w:rFonts w:ascii="Times New Roman" w:hAnsi="Times New Roman" w:eastAsia="Times New Roman" w:cs="Times New Roman"/>
          <w:spacing w:val="5"/>
        </w:rPr>
        <w:t xml:space="preserve">  </w:t>
      </w:r>
      <w:r>
        <w:rPr>
          <w:spacing w:val="5"/>
        </w:rPr>
        <w:t>的每个测试均应以独立的测试信息表加</w:t>
      </w:r>
      <w:r>
        <w:rPr>
          <w:spacing w:val="4"/>
        </w:rPr>
        <w:t>以详细描述。</w:t>
      </w:r>
    </w:p>
    <w:p w14:paraId="778D5B3D">
      <w:pPr>
        <w:pStyle w:val="2"/>
        <w:spacing w:before="76" w:line="293" w:lineRule="auto"/>
        <w:ind w:right="54" w:firstLine="570"/>
        <w:rPr>
          <w:sz w:val="24"/>
          <w:szCs w:val="24"/>
        </w:rPr>
      </w:pPr>
      <w:r>
        <w:rPr>
          <w:spacing w:val="-6"/>
        </w:rPr>
        <w:t>详细测试信息表应包括：页号、</w:t>
      </w:r>
      <w:r>
        <w:rPr>
          <w:rFonts w:ascii="Times New Roman" w:hAnsi="Times New Roman" w:eastAsia="Times New Roman" w:cs="Times New Roman"/>
          <w:spacing w:val="-6"/>
        </w:rPr>
        <w:t>TRD</w:t>
      </w:r>
      <w:r>
        <w:rPr>
          <w:rFonts w:ascii="Times New Roman" w:hAnsi="Times New Roman" w:eastAsia="Times New Roman" w:cs="Times New Roman"/>
          <w:spacing w:val="66"/>
        </w:rPr>
        <w:t xml:space="preserve"> </w:t>
      </w:r>
      <w:r>
        <w:rPr>
          <w:spacing w:val="-6"/>
        </w:rPr>
        <w:t>编号、版本号、日期、测试号和测试目</w:t>
      </w:r>
      <w:r>
        <w:t xml:space="preserve"> </w:t>
      </w:r>
      <w:r>
        <w:rPr>
          <w:rFonts w:ascii="仿宋" w:hAnsi="仿宋" w:eastAsia="仿宋" w:cs="仿宋"/>
          <w:spacing w:val="31"/>
        </w:rPr>
        <w:t>标，此外还应标明每个测试的前</w:t>
      </w:r>
      <w:r>
        <w:rPr>
          <w:rFonts w:ascii="仿宋" w:hAnsi="仿宋" w:eastAsia="仿宋" w:cs="仿宋"/>
          <w:spacing w:val="-78"/>
        </w:rPr>
        <w:t xml:space="preserve"> </w:t>
      </w:r>
      <w:r>
        <w:rPr>
          <w:rFonts w:ascii="仿宋" w:hAnsi="仿宋" w:eastAsia="仿宋" w:cs="仿宋"/>
          <w:spacing w:val="31"/>
        </w:rPr>
        <w:t>一个测试号。详细测试信息</w:t>
      </w:r>
      <w:r>
        <w:rPr>
          <w:rFonts w:ascii="仿宋" w:hAnsi="仿宋" w:eastAsia="仿宋" w:cs="仿宋"/>
          <w:spacing w:val="30"/>
        </w:rPr>
        <w:t>表的格式见</w:t>
      </w:r>
      <w:r>
        <w:rPr>
          <w:rFonts w:ascii="仿宋" w:hAnsi="仿宋" w:eastAsia="仿宋" w:cs="仿宋"/>
        </w:rPr>
        <w:t xml:space="preserve"> </w:t>
      </w:r>
      <w:r>
        <w:rPr>
          <w:spacing w:val="-10"/>
          <w:sz w:val="24"/>
          <w:szCs w:val="24"/>
        </w:rPr>
        <w:t>表</w:t>
      </w:r>
      <w:r>
        <w:rPr>
          <w:spacing w:val="-49"/>
          <w:sz w:val="24"/>
          <w:szCs w:val="24"/>
        </w:rPr>
        <w:t xml:space="preserve"> </w:t>
      </w:r>
      <w:r>
        <w:rPr>
          <w:spacing w:val="-10"/>
          <w:sz w:val="24"/>
          <w:szCs w:val="24"/>
        </w:rPr>
        <w:t>9</w:t>
      </w:r>
      <w:r>
        <w:rPr>
          <w:spacing w:val="-46"/>
          <w:sz w:val="24"/>
          <w:szCs w:val="24"/>
        </w:rPr>
        <w:t xml:space="preserve"> </w:t>
      </w:r>
      <w:r>
        <w:rPr>
          <w:spacing w:val="-10"/>
          <w:sz w:val="24"/>
          <w:szCs w:val="24"/>
        </w:rPr>
        <w:t>.</w:t>
      </w:r>
      <w:r>
        <w:rPr>
          <w:spacing w:val="-50"/>
          <w:sz w:val="24"/>
          <w:szCs w:val="24"/>
        </w:rPr>
        <w:t xml:space="preserve"> </w:t>
      </w:r>
      <w:r>
        <w:rPr>
          <w:spacing w:val="-10"/>
          <w:sz w:val="24"/>
          <w:szCs w:val="24"/>
        </w:rPr>
        <w:t>6</w:t>
      </w:r>
      <w:r>
        <w:rPr>
          <w:spacing w:val="-62"/>
          <w:sz w:val="24"/>
          <w:szCs w:val="24"/>
        </w:rPr>
        <w:t xml:space="preserve"> </w:t>
      </w:r>
      <w:r>
        <w:rPr>
          <w:spacing w:val="-10"/>
          <w:sz w:val="24"/>
          <w:szCs w:val="24"/>
        </w:rPr>
        <w:t>。</w:t>
      </w:r>
    </w:p>
    <w:p w14:paraId="47452FF6">
      <w:pPr>
        <w:spacing w:before="1" w:line="220" w:lineRule="auto"/>
        <w:ind w:left="3270"/>
        <w:rPr>
          <w:rFonts w:ascii="仿宋" w:hAnsi="仿宋" w:eastAsia="仿宋" w:cs="仿宋"/>
          <w:sz w:val="24"/>
          <w:szCs w:val="24"/>
        </w:rPr>
      </w:pPr>
      <w:r>
        <w:rPr>
          <w:rFonts w:ascii="仿宋" w:hAnsi="仿宋" w:eastAsia="仿宋" w:cs="仿宋"/>
          <w:spacing w:val="20"/>
          <w:sz w:val="24"/>
          <w:szCs w:val="24"/>
        </w:rPr>
        <w:t>表9</w:t>
      </w:r>
      <w:r>
        <w:rPr>
          <w:rFonts w:ascii="仿宋" w:hAnsi="仿宋" w:eastAsia="仿宋" w:cs="仿宋"/>
          <w:spacing w:val="-56"/>
          <w:sz w:val="24"/>
          <w:szCs w:val="24"/>
        </w:rPr>
        <w:t xml:space="preserve"> </w:t>
      </w:r>
      <w:r>
        <w:rPr>
          <w:rFonts w:ascii="仿宋" w:hAnsi="仿宋" w:eastAsia="仿宋" w:cs="仿宋"/>
          <w:spacing w:val="20"/>
          <w:sz w:val="24"/>
          <w:szCs w:val="24"/>
        </w:rPr>
        <w:t>.</w:t>
      </w:r>
      <w:r>
        <w:rPr>
          <w:rFonts w:ascii="仿宋" w:hAnsi="仿宋" w:eastAsia="仿宋" w:cs="仿宋"/>
          <w:spacing w:val="-63"/>
          <w:sz w:val="24"/>
          <w:szCs w:val="24"/>
        </w:rPr>
        <w:t xml:space="preserve"> </w:t>
      </w:r>
      <w:r>
        <w:rPr>
          <w:rFonts w:ascii="仿宋" w:hAnsi="仿宋" w:eastAsia="仿宋" w:cs="仿宋"/>
          <w:spacing w:val="20"/>
          <w:sz w:val="24"/>
          <w:szCs w:val="24"/>
        </w:rPr>
        <w:t>6</w:t>
      </w:r>
      <w:r>
        <w:rPr>
          <w:rFonts w:ascii="仿宋" w:hAnsi="仿宋" w:eastAsia="仿宋" w:cs="仿宋"/>
          <w:spacing w:val="28"/>
          <w:sz w:val="24"/>
          <w:szCs w:val="24"/>
        </w:rPr>
        <w:t xml:space="preserve">  </w:t>
      </w:r>
      <w:r>
        <w:rPr>
          <w:rFonts w:ascii="仿宋" w:hAnsi="仿宋" w:eastAsia="仿宋" w:cs="仿宋"/>
          <w:spacing w:val="20"/>
          <w:sz w:val="24"/>
          <w:szCs w:val="24"/>
        </w:rPr>
        <w:t>详细测试信息表</w:t>
      </w:r>
    </w:p>
    <w:p w14:paraId="7FBD0D6E">
      <w:pPr>
        <w:pStyle w:val="2"/>
        <w:spacing w:before="137" w:line="221" w:lineRule="auto"/>
        <w:ind w:left="7219"/>
        <w:rPr>
          <w:sz w:val="20"/>
          <w:szCs w:val="20"/>
        </w:rPr>
      </w:pPr>
      <w:r>
        <w:rPr>
          <w:spacing w:val="-21"/>
          <w:sz w:val="20"/>
          <w:szCs w:val="20"/>
        </w:rPr>
        <w:t>页</w:t>
      </w:r>
      <w:r>
        <w:rPr>
          <w:spacing w:val="8"/>
          <w:sz w:val="20"/>
          <w:szCs w:val="20"/>
        </w:rPr>
        <w:t xml:space="preserve">     </w:t>
      </w:r>
      <w:r>
        <w:rPr>
          <w:spacing w:val="-21"/>
          <w:sz w:val="20"/>
          <w:szCs w:val="20"/>
        </w:rPr>
        <w:t xml:space="preserve">:  </w:t>
      </w:r>
      <w:r>
        <w:rPr>
          <w:sz w:val="20"/>
          <w:szCs w:val="20"/>
          <w:u w:val="single" w:color="auto"/>
        </w:rPr>
        <w:t xml:space="preserve">             </w:t>
      </w:r>
    </w:p>
    <w:p w14:paraId="739BDC92">
      <w:pPr>
        <w:pStyle w:val="2"/>
        <w:spacing w:before="58" w:line="219" w:lineRule="auto"/>
        <w:ind w:left="7149"/>
        <w:rPr>
          <w:sz w:val="20"/>
          <w:szCs w:val="20"/>
        </w:rPr>
      </w:pPr>
      <w:r>
        <w:rPr>
          <w:rFonts w:ascii="Times New Roman" w:hAnsi="Times New Roman" w:eastAsia="Times New Roman" w:cs="Times New Roman"/>
          <w:spacing w:val="-9"/>
          <w:sz w:val="20"/>
          <w:szCs w:val="20"/>
        </w:rPr>
        <w:t xml:space="preserve">TRD  </w:t>
      </w:r>
      <w:r>
        <w:rPr>
          <w:spacing w:val="-9"/>
          <w:sz w:val="20"/>
          <w:szCs w:val="20"/>
        </w:rPr>
        <w:t>编号：</w:t>
      </w:r>
      <w:r>
        <w:rPr>
          <w:sz w:val="20"/>
          <w:szCs w:val="20"/>
          <w:u w:val="single" w:color="auto"/>
        </w:rPr>
        <w:t xml:space="preserve">             </w:t>
      </w:r>
    </w:p>
    <w:p w14:paraId="2DDDAC16">
      <w:pPr>
        <w:pStyle w:val="2"/>
        <w:spacing w:before="141" w:line="219" w:lineRule="auto"/>
        <w:ind w:left="7209"/>
        <w:rPr>
          <w:sz w:val="20"/>
          <w:szCs w:val="20"/>
        </w:rPr>
      </w:pPr>
      <w:r>
        <w:rPr>
          <w:spacing w:val="-23"/>
          <w:w w:val="85"/>
          <w:sz w:val="20"/>
          <w:szCs w:val="20"/>
        </w:rPr>
        <w:t>版</w:t>
      </w:r>
      <w:r>
        <w:rPr>
          <w:spacing w:val="8"/>
          <w:sz w:val="20"/>
          <w:szCs w:val="20"/>
        </w:rPr>
        <w:t xml:space="preserve">    </w:t>
      </w:r>
      <w:r>
        <w:rPr>
          <w:spacing w:val="-23"/>
          <w:w w:val="85"/>
          <w:sz w:val="20"/>
          <w:szCs w:val="20"/>
        </w:rPr>
        <w:t>本</w:t>
      </w:r>
      <w:r>
        <w:rPr>
          <w:spacing w:val="-5"/>
          <w:sz w:val="20"/>
          <w:szCs w:val="20"/>
        </w:rPr>
        <w:t xml:space="preserve"> </w:t>
      </w:r>
      <w:r>
        <w:rPr>
          <w:spacing w:val="-23"/>
          <w:w w:val="85"/>
          <w:sz w:val="20"/>
          <w:szCs w:val="20"/>
        </w:rPr>
        <w:t>：</w:t>
      </w:r>
      <w:r>
        <w:rPr>
          <w:sz w:val="20"/>
          <w:szCs w:val="20"/>
          <w:u w:val="single" w:color="auto"/>
        </w:rPr>
        <w:t xml:space="preserve">             </w:t>
      </w:r>
    </w:p>
    <w:p w14:paraId="36D86370">
      <w:pPr>
        <w:pStyle w:val="2"/>
        <w:spacing w:before="115" w:line="220" w:lineRule="auto"/>
        <w:ind w:left="7249"/>
        <w:rPr>
          <w:sz w:val="20"/>
          <w:szCs w:val="20"/>
        </w:rPr>
      </w:pPr>
      <w:r>
        <w:rPr>
          <w:spacing w:val="-41"/>
          <w:sz w:val="20"/>
          <w:szCs w:val="20"/>
        </w:rPr>
        <w:t>日      期</w:t>
      </w:r>
      <w:r>
        <w:rPr>
          <w:spacing w:val="-3"/>
          <w:sz w:val="20"/>
          <w:szCs w:val="20"/>
        </w:rPr>
        <w:t xml:space="preserve"> </w:t>
      </w:r>
      <w:r>
        <w:rPr>
          <w:spacing w:val="-41"/>
          <w:sz w:val="20"/>
          <w:szCs w:val="20"/>
        </w:rPr>
        <w:t>：</w:t>
      </w:r>
      <w:r>
        <w:rPr>
          <w:sz w:val="20"/>
          <w:szCs w:val="20"/>
          <w:u w:val="single" w:color="auto"/>
        </w:rPr>
        <w:t xml:space="preserve">             </w:t>
      </w:r>
    </w:p>
    <w:p w14:paraId="3A5095CB">
      <w:pPr>
        <w:pStyle w:val="2"/>
        <w:spacing w:before="72" w:line="221" w:lineRule="auto"/>
        <w:rPr>
          <w:sz w:val="20"/>
          <w:szCs w:val="20"/>
        </w:rPr>
      </w:pPr>
      <w:r>
        <w:rPr>
          <w:spacing w:val="-2"/>
          <w:sz w:val="20"/>
          <w:szCs w:val="20"/>
        </w:rPr>
        <w:t>测试号：</w:t>
      </w:r>
      <w:r>
        <w:rPr>
          <w:spacing w:val="-2"/>
          <w:sz w:val="20"/>
          <w:szCs w:val="20"/>
          <w:u w:val="single" w:color="auto"/>
        </w:rPr>
        <w:t xml:space="preserve">                     </w:t>
      </w:r>
    </w:p>
    <w:p w14:paraId="6D71FA0A">
      <w:pPr>
        <w:pStyle w:val="2"/>
        <w:spacing w:before="149" w:line="220" w:lineRule="auto"/>
        <w:rPr>
          <w:sz w:val="17"/>
          <w:szCs w:val="17"/>
        </w:rPr>
      </w:pPr>
      <w:r>
        <w:rPr>
          <w:spacing w:val="17"/>
          <w:sz w:val="17"/>
          <w:szCs w:val="17"/>
        </w:rPr>
        <w:t>前项测试号</w:t>
      </w:r>
      <w:r>
        <w:rPr>
          <w:spacing w:val="-39"/>
          <w:sz w:val="17"/>
          <w:szCs w:val="17"/>
        </w:rPr>
        <w:t xml:space="preserve"> </w:t>
      </w:r>
      <w:r>
        <w:rPr>
          <w:spacing w:val="17"/>
          <w:sz w:val="17"/>
          <w:szCs w:val="17"/>
        </w:rPr>
        <w:t>：</w:t>
      </w:r>
      <w:r>
        <w:rPr>
          <w:sz w:val="17"/>
          <w:szCs w:val="17"/>
          <w:u w:val="single" w:color="auto"/>
        </w:rPr>
        <w:t xml:space="preserve">                    </w:t>
      </w:r>
    </w:p>
    <w:p w14:paraId="5D5BDE55">
      <w:pPr>
        <w:pStyle w:val="2"/>
        <w:spacing w:before="127" w:line="220" w:lineRule="auto"/>
        <w:rPr>
          <w:sz w:val="17"/>
          <w:szCs w:val="17"/>
        </w:rPr>
      </w:pPr>
      <w:r>
        <w:drawing>
          <wp:anchor distT="0" distB="0" distL="0" distR="0" simplePos="0" relativeHeight="251677696" behindDoc="0" locked="0" layoutInCell="1" allowOverlap="1">
            <wp:simplePos x="0" y="0"/>
            <wp:positionH relativeFrom="column">
              <wp:posOffset>608965</wp:posOffset>
            </wp:positionH>
            <wp:positionV relativeFrom="paragraph">
              <wp:posOffset>182880</wp:posOffset>
            </wp:positionV>
            <wp:extent cx="5353050" cy="6350"/>
            <wp:effectExtent l="0" t="0" r="0" b="0"/>
            <wp:wrapNone/>
            <wp:docPr id="17" name="IM 12"/>
            <wp:cNvGraphicFramePr/>
            <a:graphic xmlns:a="http://schemas.openxmlformats.org/drawingml/2006/main">
              <a:graphicData uri="http://schemas.openxmlformats.org/drawingml/2006/picture">
                <pic:pic xmlns:pic="http://schemas.openxmlformats.org/drawingml/2006/picture">
                  <pic:nvPicPr>
                    <pic:cNvPr id="17" name="IM 12"/>
                    <pic:cNvPicPr/>
                  </pic:nvPicPr>
                  <pic:blipFill>
                    <a:blip r:embed="rId701"/>
                    <a:stretch>
                      <a:fillRect/>
                    </a:stretch>
                  </pic:blipFill>
                  <pic:spPr>
                    <a:xfrm>
                      <a:off x="0" y="0"/>
                      <a:ext cx="5353061" cy="6350"/>
                    </a:xfrm>
                    <a:prstGeom prst="rect">
                      <a:avLst/>
                    </a:prstGeom>
                  </pic:spPr>
                </pic:pic>
              </a:graphicData>
            </a:graphic>
          </wp:anchor>
        </w:drawing>
      </w:r>
      <w:r>
        <w:rPr>
          <w:spacing w:val="27"/>
          <w:sz w:val="17"/>
          <w:szCs w:val="17"/>
        </w:rPr>
        <w:t>测试项目</w:t>
      </w:r>
      <w:r>
        <w:rPr>
          <w:spacing w:val="-37"/>
          <w:sz w:val="17"/>
          <w:szCs w:val="17"/>
        </w:rPr>
        <w:t xml:space="preserve"> </w:t>
      </w:r>
      <w:r>
        <w:rPr>
          <w:spacing w:val="27"/>
          <w:sz w:val="17"/>
          <w:szCs w:val="17"/>
        </w:rPr>
        <w:t>：</w:t>
      </w:r>
    </w:p>
    <w:p w14:paraId="13BDA278">
      <w:pPr>
        <w:pStyle w:val="2"/>
        <w:spacing w:before="139" w:line="219" w:lineRule="auto"/>
        <w:rPr>
          <w:sz w:val="20"/>
          <w:szCs w:val="20"/>
        </w:rPr>
      </w:pPr>
      <w:r>
        <w:drawing>
          <wp:anchor distT="0" distB="0" distL="0" distR="0" simplePos="0" relativeHeight="251681792" behindDoc="0" locked="0" layoutInCell="1" allowOverlap="1">
            <wp:simplePos x="0" y="0"/>
            <wp:positionH relativeFrom="column">
              <wp:posOffset>640715</wp:posOffset>
            </wp:positionH>
            <wp:positionV relativeFrom="paragraph">
              <wp:posOffset>208280</wp:posOffset>
            </wp:positionV>
            <wp:extent cx="5302250" cy="6350"/>
            <wp:effectExtent l="0" t="0" r="0" b="0"/>
            <wp:wrapNone/>
            <wp:docPr id="19" name="IM 14"/>
            <wp:cNvGraphicFramePr/>
            <a:graphic xmlns:a="http://schemas.openxmlformats.org/drawingml/2006/main">
              <a:graphicData uri="http://schemas.openxmlformats.org/drawingml/2006/picture">
                <pic:pic xmlns:pic="http://schemas.openxmlformats.org/drawingml/2006/picture">
                  <pic:nvPicPr>
                    <pic:cNvPr id="19" name="IM 14"/>
                    <pic:cNvPicPr/>
                  </pic:nvPicPr>
                  <pic:blipFill>
                    <a:blip r:embed="rId702"/>
                    <a:stretch>
                      <a:fillRect/>
                    </a:stretch>
                  </pic:blipFill>
                  <pic:spPr>
                    <a:xfrm>
                      <a:off x="0" y="0"/>
                      <a:ext cx="5302237" cy="6350"/>
                    </a:xfrm>
                    <a:prstGeom prst="rect">
                      <a:avLst/>
                    </a:prstGeom>
                  </pic:spPr>
                </pic:pic>
              </a:graphicData>
            </a:graphic>
          </wp:anchor>
        </w:drawing>
      </w:r>
      <w:r>
        <w:rPr>
          <w:sz w:val="20"/>
          <w:szCs w:val="20"/>
        </w:rPr>
        <w:t>测试类型：□电源/激励短路测试             □</w:t>
      </w:r>
      <w:r>
        <w:rPr>
          <w:spacing w:val="40"/>
          <w:sz w:val="20"/>
          <w:szCs w:val="20"/>
        </w:rPr>
        <w:t xml:space="preserve"> </w:t>
      </w:r>
      <w:r>
        <w:rPr>
          <w:sz w:val="20"/>
          <w:szCs w:val="20"/>
        </w:rPr>
        <w:t>功</w:t>
      </w:r>
      <w:r>
        <w:rPr>
          <w:spacing w:val="44"/>
          <w:sz w:val="20"/>
          <w:szCs w:val="20"/>
        </w:rPr>
        <w:t xml:space="preserve"> </w:t>
      </w:r>
      <w:r>
        <w:rPr>
          <w:sz w:val="20"/>
          <w:szCs w:val="20"/>
        </w:rPr>
        <w:t>能</w:t>
      </w:r>
      <w:r>
        <w:rPr>
          <w:spacing w:val="36"/>
          <w:sz w:val="20"/>
          <w:szCs w:val="20"/>
        </w:rPr>
        <w:t xml:space="preserve"> </w:t>
      </w:r>
      <w:r>
        <w:rPr>
          <w:sz w:val="20"/>
          <w:szCs w:val="20"/>
        </w:rPr>
        <w:t>/</w:t>
      </w:r>
      <w:r>
        <w:rPr>
          <w:spacing w:val="39"/>
          <w:sz w:val="20"/>
          <w:szCs w:val="20"/>
        </w:rPr>
        <w:t xml:space="preserve"> </w:t>
      </w:r>
      <w:r>
        <w:rPr>
          <w:sz w:val="20"/>
          <w:szCs w:val="20"/>
        </w:rPr>
        <w:t>性</w:t>
      </w:r>
      <w:r>
        <w:rPr>
          <w:spacing w:val="44"/>
          <w:sz w:val="20"/>
          <w:szCs w:val="20"/>
        </w:rPr>
        <w:t xml:space="preserve"> </w:t>
      </w:r>
      <w:r>
        <w:rPr>
          <w:sz w:val="20"/>
          <w:szCs w:val="20"/>
        </w:rPr>
        <w:t>能</w:t>
      </w:r>
      <w:r>
        <w:rPr>
          <w:spacing w:val="38"/>
          <w:sz w:val="20"/>
          <w:szCs w:val="20"/>
        </w:rPr>
        <w:t xml:space="preserve"> </w:t>
      </w:r>
      <w:r>
        <w:rPr>
          <w:sz w:val="20"/>
          <w:szCs w:val="20"/>
        </w:rPr>
        <w:t>测</w:t>
      </w:r>
      <w:r>
        <w:rPr>
          <w:spacing w:val="36"/>
          <w:sz w:val="20"/>
          <w:szCs w:val="20"/>
        </w:rPr>
        <w:t xml:space="preserve"> </w:t>
      </w:r>
      <w:r>
        <w:rPr>
          <w:sz w:val="20"/>
          <w:szCs w:val="20"/>
        </w:rPr>
        <w:t xml:space="preserve">试         </w:t>
      </w:r>
      <w:r>
        <w:rPr>
          <w:spacing w:val="-1"/>
          <w:sz w:val="20"/>
          <w:szCs w:val="20"/>
        </w:rPr>
        <w:t xml:space="preserve">    □故障诊断测试</w:t>
      </w:r>
    </w:p>
    <w:p w14:paraId="7BB02320">
      <w:pPr>
        <w:spacing w:before="177"/>
      </w:pPr>
    </w:p>
    <w:tbl>
      <w:tblPr>
        <w:tblStyle w:val="5"/>
        <w:tblW w:w="937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2188"/>
        <w:gridCol w:w="739"/>
        <w:gridCol w:w="1658"/>
        <w:gridCol w:w="1279"/>
        <w:gridCol w:w="1833"/>
      </w:tblGrid>
      <w:tr w14:paraId="3D5AF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673" w:type="dxa"/>
            <w:vAlign w:val="top"/>
          </w:tcPr>
          <w:p w14:paraId="5719E535">
            <w:pPr>
              <w:spacing w:before="153" w:line="219" w:lineRule="auto"/>
              <w:ind w:left="405"/>
              <w:rPr>
                <w:rFonts w:ascii="宋体" w:hAnsi="宋体" w:eastAsia="宋体" w:cs="宋体"/>
                <w:sz w:val="21"/>
                <w:szCs w:val="21"/>
              </w:rPr>
            </w:pPr>
            <w:r>
              <w:rPr>
                <w:rFonts w:ascii="宋体" w:hAnsi="宋体" w:eastAsia="宋体" w:cs="宋体"/>
                <w:spacing w:val="-2"/>
                <w:sz w:val="21"/>
                <w:szCs w:val="21"/>
              </w:rPr>
              <w:t>输入条件</w:t>
            </w:r>
          </w:p>
        </w:tc>
        <w:tc>
          <w:tcPr>
            <w:tcW w:w="2927" w:type="dxa"/>
            <w:gridSpan w:val="2"/>
            <w:vAlign w:val="top"/>
          </w:tcPr>
          <w:p w14:paraId="23118B21">
            <w:pPr>
              <w:spacing w:before="153" w:line="219" w:lineRule="auto"/>
              <w:ind w:left="1241"/>
              <w:rPr>
                <w:rFonts w:ascii="宋体" w:hAnsi="宋体" w:eastAsia="宋体" w:cs="宋体"/>
                <w:sz w:val="21"/>
                <w:szCs w:val="21"/>
              </w:rPr>
            </w:pPr>
            <w:r>
              <w:rPr>
                <w:rFonts w:ascii="宋体" w:hAnsi="宋体" w:eastAsia="宋体" w:cs="宋体"/>
                <w:spacing w:val="-3"/>
                <w:sz w:val="21"/>
                <w:szCs w:val="21"/>
              </w:rPr>
              <w:t>特性</w:t>
            </w:r>
          </w:p>
        </w:tc>
        <w:tc>
          <w:tcPr>
            <w:tcW w:w="2937" w:type="dxa"/>
            <w:gridSpan w:val="2"/>
            <w:vAlign w:val="top"/>
          </w:tcPr>
          <w:p w14:paraId="1E112288">
            <w:pPr>
              <w:spacing w:before="153" w:line="219" w:lineRule="auto"/>
              <w:ind w:left="725"/>
              <w:rPr>
                <w:rFonts w:ascii="宋体" w:hAnsi="宋体" w:eastAsia="宋体" w:cs="宋体"/>
                <w:sz w:val="21"/>
                <w:szCs w:val="21"/>
              </w:rPr>
            </w:pPr>
            <w:r>
              <w:rPr>
                <w:rFonts w:ascii="宋体" w:hAnsi="宋体" w:eastAsia="宋体" w:cs="宋体"/>
                <w:spacing w:val="-1"/>
                <w:sz w:val="21"/>
                <w:szCs w:val="21"/>
              </w:rPr>
              <w:t>输入阻抗或电流</w:t>
            </w:r>
          </w:p>
        </w:tc>
        <w:tc>
          <w:tcPr>
            <w:tcW w:w="1833" w:type="dxa"/>
            <w:vAlign w:val="top"/>
          </w:tcPr>
          <w:p w14:paraId="51EF8D2A">
            <w:pPr>
              <w:spacing w:before="154" w:line="220" w:lineRule="auto"/>
              <w:ind w:left="388"/>
              <w:rPr>
                <w:rFonts w:ascii="宋体" w:hAnsi="宋体" w:eastAsia="宋体" w:cs="宋体"/>
                <w:sz w:val="21"/>
                <w:szCs w:val="21"/>
              </w:rPr>
            </w:pPr>
            <w:r>
              <w:rPr>
                <w:rFonts w:ascii="宋体" w:hAnsi="宋体" w:eastAsia="宋体" w:cs="宋体"/>
                <w:spacing w:val="2"/>
                <w:sz w:val="21"/>
                <w:szCs w:val="21"/>
              </w:rPr>
              <w:t>连接和回线</w:t>
            </w:r>
          </w:p>
        </w:tc>
      </w:tr>
      <w:tr w14:paraId="3B6CA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673" w:type="dxa"/>
            <w:vAlign w:val="top"/>
          </w:tcPr>
          <w:p w14:paraId="497F20CF">
            <w:pPr>
              <w:spacing w:before="153" w:line="222" w:lineRule="auto"/>
              <w:ind w:left="615"/>
              <w:rPr>
                <w:rFonts w:ascii="宋体" w:hAnsi="宋体" w:eastAsia="宋体" w:cs="宋体"/>
                <w:sz w:val="21"/>
                <w:szCs w:val="21"/>
              </w:rPr>
            </w:pPr>
            <w:r>
              <w:rPr>
                <w:rFonts w:ascii="宋体" w:hAnsi="宋体" w:eastAsia="宋体" w:cs="宋体"/>
                <w:spacing w:val="4"/>
                <w:sz w:val="21"/>
                <w:szCs w:val="21"/>
              </w:rPr>
              <w:t>电源</w:t>
            </w:r>
          </w:p>
        </w:tc>
        <w:tc>
          <w:tcPr>
            <w:tcW w:w="2927" w:type="dxa"/>
            <w:gridSpan w:val="2"/>
            <w:vAlign w:val="top"/>
          </w:tcPr>
          <w:p w14:paraId="7AABD1A1">
            <w:pPr>
              <w:pStyle w:val="6"/>
            </w:pPr>
          </w:p>
        </w:tc>
        <w:tc>
          <w:tcPr>
            <w:tcW w:w="2937" w:type="dxa"/>
            <w:gridSpan w:val="2"/>
            <w:vAlign w:val="top"/>
          </w:tcPr>
          <w:p w14:paraId="030D25E8">
            <w:pPr>
              <w:pStyle w:val="6"/>
            </w:pPr>
          </w:p>
        </w:tc>
        <w:tc>
          <w:tcPr>
            <w:tcW w:w="1833" w:type="dxa"/>
            <w:vAlign w:val="top"/>
          </w:tcPr>
          <w:p w14:paraId="70C8A499">
            <w:pPr>
              <w:pStyle w:val="6"/>
            </w:pPr>
          </w:p>
        </w:tc>
      </w:tr>
      <w:tr w14:paraId="6A2A8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673" w:type="dxa"/>
            <w:vAlign w:val="top"/>
          </w:tcPr>
          <w:p w14:paraId="274DCE43">
            <w:pPr>
              <w:spacing w:before="149" w:line="219" w:lineRule="auto"/>
              <w:ind w:left="615"/>
              <w:rPr>
                <w:rFonts w:ascii="宋体" w:hAnsi="宋体" w:eastAsia="宋体" w:cs="宋体"/>
                <w:sz w:val="21"/>
                <w:szCs w:val="21"/>
              </w:rPr>
            </w:pPr>
            <w:r>
              <w:rPr>
                <w:rFonts w:ascii="宋体" w:hAnsi="宋体" w:eastAsia="宋体" w:cs="宋体"/>
                <w:spacing w:val="-2"/>
                <w:sz w:val="21"/>
                <w:szCs w:val="21"/>
              </w:rPr>
              <w:t>激励</w:t>
            </w:r>
          </w:p>
        </w:tc>
        <w:tc>
          <w:tcPr>
            <w:tcW w:w="2927" w:type="dxa"/>
            <w:gridSpan w:val="2"/>
            <w:vAlign w:val="top"/>
          </w:tcPr>
          <w:p w14:paraId="0C2D554D">
            <w:pPr>
              <w:pStyle w:val="6"/>
            </w:pPr>
          </w:p>
        </w:tc>
        <w:tc>
          <w:tcPr>
            <w:tcW w:w="2937" w:type="dxa"/>
            <w:gridSpan w:val="2"/>
            <w:vAlign w:val="top"/>
          </w:tcPr>
          <w:p w14:paraId="140E8EF7">
            <w:pPr>
              <w:pStyle w:val="6"/>
            </w:pPr>
          </w:p>
        </w:tc>
        <w:tc>
          <w:tcPr>
            <w:tcW w:w="1833" w:type="dxa"/>
            <w:vAlign w:val="top"/>
          </w:tcPr>
          <w:p w14:paraId="29A5FC5F">
            <w:pPr>
              <w:pStyle w:val="6"/>
            </w:pPr>
          </w:p>
        </w:tc>
      </w:tr>
      <w:tr w14:paraId="57635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673" w:type="dxa"/>
            <w:vAlign w:val="top"/>
          </w:tcPr>
          <w:p w14:paraId="0374FE27">
            <w:pPr>
              <w:spacing w:before="151" w:line="220" w:lineRule="auto"/>
              <w:ind w:left="615"/>
              <w:rPr>
                <w:rFonts w:ascii="宋体" w:hAnsi="宋体" w:eastAsia="宋体" w:cs="宋体"/>
                <w:sz w:val="21"/>
                <w:szCs w:val="21"/>
              </w:rPr>
            </w:pPr>
            <w:r>
              <w:rPr>
                <w:rFonts w:ascii="宋体" w:hAnsi="宋体" w:eastAsia="宋体" w:cs="宋体"/>
                <w:spacing w:val="-3"/>
                <w:sz w:val="21"/>
                <w:szCs w:val="21"/>
              </w:rPr>
              <w:t>其他</w:t>
            </w:r>
          </w:p>
        </w:tc>
        <w:tc>
          <w:tcPr>
            <w:tcW w:w="7697" w:type="dxa"/>
            <w:gridSpan w:val="5"/>
            <w:vAlign w:val="top"/>
          </w:tcPr>
          <w:p w14:paraId="79CB44F5">
            <w:pPr>
              <w:pStyle w:val="6"/>
            </w:pPr>
          </w:p>
        </w:tc>
      </w:tr>
      <w:tr w14:paraId="37671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7" w:hRule="atLeast"/>
        </w:trPr>
        <w:tc>
          <w:tcPr>
            <w:tcW w:w="1673" w:type="dxa"/>
            <w:vMerge w:val="restart"/>
            <w:tcBorders>
              <w:bottom w:val="nil"/>
            </w:tcBorders>
            <w:vAlign w:val="top"/>
          </w:tcPr>
          <w:p w14:paraId="7072F7B0">
            <w:pPr>
              <w:pStyle w:val="6"/>
              <w:spacing w:line="324" w:lineRule="auto"/>
            </w:pPr>
          </w:p>
          <w:p w14:paraId="30725226">
            <w:pPr>
              <w:pStyle w:val="6"/>
              <w:spacing w:line="325" w:lineRule="auto"/>
            </w:pPr>
          </w:p>
          <w:p w14:paraId="7DA1DDA6">
            <w:pPr>
              <w:spacing w:before="68" w:line="219" w:lineRule="auto"/>
              <w:ind w:left="405"/>
              <w:rPr>
                <w:rFonts w:ascii="宋体" w:hAnsi="宋体" w:eastAsia="宋体" w:cs="宋体"/>
                <w:sz w:val="21"/>
                <w:szCs w:val="21"/>
              </w:rPr>
            </w:pPr>
            <w:r>
              <w:rPr>
                <w:rFonts w:ascii="宋体" w:hAnsi="宋体" w:eastAsia="宋体" w:cs="宋体"/>
                <w:spacing w:val="3"/>
                <w:sz w:val="21"/>
                <w:szCs w:val="21"/>
              </w:rPr>
              <w:t>测试数据</w:t>
            </w:r>
          </w:p>
        </w:tc>
        <w:tc>
          <w:tcPr>
            <w:tcW w:w="2188" w:type="dxa"/>
            <w:tcBorders>
              <w:bottom w:val="nil"/>
              <w:right w:val="nil"/>
            </w:tcBorders>
            <w:vAlign w:val="top"/>
          </w:tcPr>
          <w:p w14:paraId="49F65A0A">
            <w:pPr>
              <w:pStyle w:val="6"/>
              <w:spacing w:line="303" w:lineRule="auto"/>
            </w:pPr>
          </w:p>
          <w:p w14:paraId="56E2ABB5">
            <w:pPr>
              <w:spacing w:before="68" w:line="239" w:lineRule="auto"/>
              <w:ind w:left="92" w:right="210"/>
              <w:rPr>
                <w:rFonts w:ascii="宋体" w:hAnsi="宋体" w:eastAsia="宋体" w:cs="宋体"/>
                <w:sz w:val="21"/>
                <w:szCs w:val="21"/>
              </w:rPr>
            </w:pPr>
            <w:r>
              <w:rPr>
                <w:rFonts w:ascii="宋体" w:hAnsi="宋体" w:eastAsia="宋体" w:cs="宋体"/>
                <w:spacing w:val="6"/>
                <w:sz w:val="21"/>
                <w:szCs w:val="21"/>
              </w:rPr>
              <w:t>测试点</w:t>
            </w:r>
            <w:r>
              <w:rPr>
                <w:rFonts w:ascii="宋体" w:hAnsi="宋体" w:eastAsia="宋体" w:cs="宋体"/>
                <w:spacing w:val="6"/>
                <w:sz w:val="21"/>
                <w:szCs w:val="21"/>
                <w:u w:val="single" w:color="auto"/>
              </w:rPr>
              <w:t xml:space="preserve">           </w:t>
            </w:r>
            <w:r>
              <w:rPr>
                <w:rFonts w:ascii="宋体" w:hAnsi="宋体" w:eastAsia="宋体" w:cs="宋体"/>
                <w:spacing w:val="9"/>
                <w:sz w:val="21"/>
                <w:szCs w:val="21"/>
              </w:rPr>
              <w:t xml:space="preserve"> </w:t>
            </w:r>
            <w:r>
              <w:rPr>
                <w:rFonts w:ascii="宋体" w:hAnsi="宋体" w:eastAsia="宋体" w:cs="宋体"/>
                <w:spacing w:val="-3"/>
                <w:sz w:val="21"/>
                <w:szCs w:val="21"/>
              </w:rPr>
              <w:t>测量值</w:t>
            </w:r>
          </w:p>
        </w:tc>
        <w:tc>
          <w:tcPr>
            <w:tcW w:w="2397" w:type="dxa"/>
            <w:gridSpan w:val="2"/>
            <w:tcBorders>
              <w:left w:val="nil"/>
              <w:bottom w:val="nil"/>
              <w:right w:val="nil"/>
            </w:tcBorders>
            <w:vAlign w:val="top"/>
          </w:tcPr>
          <w:p w14:paraId="1FFB4335">
            <w:pPr>
              <w:pStyle w:val="6"/>
              <w:spacing w:line="312" w:lineRule="auto"/>
            </w:pPr>
          </w:p>
          <w:p w14:paraId="54FD33B1">
            <w:pPr>
              <w:spacing w:before="68" w:line="235" w:lineRule="auto"/>
              <w:ind w:left="229" w:right="117" w:hanging="20"/>
              <w:rPr>
                <w:rFonts w:ascii="宋体" w:hAnsi="宋体" w:eastAsia="宋体" w:cs="宋体"/>
                <w:sz w:val="21"/>
                <w:szCs w:val="21"/>
              </w:rPr>
            </w:pPr>
            <w:r>
              <w:rPr>
                <w:rFonts w:ascii="宋体" w:hAnsi="宋体" w:eastAsia="宋体" w:cs="宋体"/>
                <w:spacing w:val="3"/>
                <w:sz w:val="21"/>
                <w:szCs w:val="21"/>
              </w:rPr>
              <w:t>信号回线</w:t>
            </w:r>
            <w:r>
              <w:rPr>
                <w:rFonts w:ascii="宋体" w:hAnsi="宋体" w:eastAsia="宋体" w:cs="宋体"/>
                <w:spacing w:val="5"/>
                <w:sz w:val="21"/>
                <w:szCs w:val="21"/>
                <w:u w:val="single" w:color="auto"/>
              </w:rPr>
              <w:t xml:space="preserve">           </w:t>
            </w:r>
            <w:r>
              <w:rPr>
                <w:rFonts w:ascii="宋体" w:hAnsi="宋体" w:eastAsia="宋体" w:cs="宋体"/>
                <w:spacing w:val="7"/>
                <w:sz w:val="21"/>
                <w:szCs w:val="21"/>
              </w:rPr>
              <w:t xml:space="preserve"> </w:t>
            </w:r>
            <w:r>
              <w:rPr>
                <w:rFonts w:ascii="宋体" w:hAnsi="宋体" w:eastAsia="宋体" w:cs="宋体"/>
                <w:spacing w:val="-4"/>
                <w:sz w:val="21"/>
                <w:szCs w:val="21"/>
              </w:rPr>
              <w:t>上限值</w:t>
            </w:r>
            <w:r>
              <w:rPr>
                <w:rFonts w:ascii="宋体" w:hAnsi="宋体" w:eastAsia="宋体" w:cs="宋体"/>
                <w:spacing w:val="1"/>
                <w:sz w:val="21"/>
                <w:szCs w:val="21"/>
                <w:u w:val="single" w:color="auto"/>
              </w:rPr>
              <w:t xml:space="preserve"> </w:t>
            </w:r>
          </w:p>
        </w:tc>
        <w:tc>
          <w:tcPr>
            <w:tcW w:w="3112" w:type="dxa"/>
            <w:gridSpan w:val="2"/>
            <w:tcBorders>
              <w:left w:val="nil"/>
              <w:bottom w:val="nil"/>
            </w:tcBorders>
            <w:vAlign w:val="top"/>
          </w:tcPr>
          <w:p w14:paraId="74A8C003">
            <w:pPr>
              <w:pStyle w:val="6"/>
              <w:spacing w:line="312" w:lineRule="auto"/>
            </w:pPr>
          </w:p>
          <w:p w14:paraId="50760614">
            <w:pPr>
              <w:spacing w:before="68" w:line="235" w:lineRule="auto"/>
              <w:ind w:left="122" w:right="904"/>
              <w:rPr>
                <w:rFonts w:ascii="宋体" w:hAnsi="宋体" w:eastAsia="宋体" w:cs="宋体"/>
                <w:sz w:val="21"/>
                <w:szCs w:val="21"/>
              </w:rPr>
            </w:pPr>
            <w:r>
              <w:rPr>
                <w:rFonts w:ascii="宋体" w:hAnsi="宋体" w:eastAsia="宋体" w:cs="宋体"/>
                <w:spacing w:val="-2"/>
                <w:sz w:val="21"/>
                <w:szCs w:val="21"/>
              </w:rPr>
              <w:t>输出阻抗</w:t>
            </w:r>
            <w:r>
              <w:rPr>
                <w:rFonts w:ascii="宋体" w:hAnsi="宋体" w:eastAsia="宋体" w:cs="宋体"/>
                <w:spacing w:val="-98"/>
                <w:sz w:val="21"/>
                <w:szCs w:val="21"/>
              </w:rPr>
              <w:t xml:space="preserve"> </w:t>
            </w:r>
            <w:r>
              <w:rPr>
                <w:rFonts w:ascii="宋体" w:hAnsi="宋体" w:eastAsia="宋体" w:cs="宋体"/>
                <w:spacing w:val="7"/>
                <w:sz w:val="21"/>
                <w:szCs w:val="21"/>
                <w:u w:val="single" w:color="auto"/>
              </w:rPr>
              <w:t xml:space="preserve">           </w:t>
            </w:r>
            <w:r>
              <w:rPr>
                <w:rFonts w:ascii="宋体" w:hAnsi="宋体" w:eastAsia="宋体" w:cs="宋体"/>
                <w:spacing w:val="7"/>
                <w:sz w:val="21"/>
                <w:szCs w:val="21"/>
              </w:rPr>
              <w:t xml:space="preserve"> </w:t>
            </w:r>
            <w:r>
              <w:rPr>
                <w:rFonts w:ascii="宋体" w:hAnsi="宋体" w:eastAsia="宋体" w:cs="宋体"/>
                <w:spacing w:val="2"/>
                <w:sz w:val="21"/>
                <w:szCs w:val="21"/>
              </w:rPr>
              <w:t>下限值</w:t>
            </w:r>
          </w:p>
        </w:tc>
      </w:tr>
      <w:tr w14:paraId="07D99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673" w:type="dxa"/>
            <w:vMerge w:val="continue"/>
            <w:tcBorders>
              <w:top w:val="nil"/>
            </w:tcBorders>
            <w:vAlign w:val="top"/>
          </w:tcPr>
          <w:p w14:paraId="290E290B">
            <w:pPr>
              <w:pStyle w:val="6"/>
            </w:pPr>
          </w:p>
        </w:tc>
        <w:tc>
          <w:tcPr>
            <w:tcW w:w="2927" w:type="dxa"/>
            <w:gridSpan w:val="2"/>
            <w:tcBorders>
              <w:top w:val="nil"/>
              <w:right w:val="nil"/>
            </w:tcBorders>
            <w:vAlign w:val="top"/>
          </w:tcPr>
          <w:p w14:paraId="45ABA9FA">
            <w:pPr>
              <w:spacing w:before="134" w:line="219" w:lineRule="auto"/>
              <w:ind w:left="102"/>
              <w:rPr>
                <w:rFonts w:ascii="宋体" w:hAnsi="宋体" w:eastAsia="宋体" w:cs="宋体"/>
                <w:sz w:val="21"/>
                <w:szCs w:val="21"/>
              </w:rPr>
            </w:pPr>
            <w:r>
              <w:drawing>
                <wp:anchor distT="0" distB="0" distL="0" distR="0" simplePos="0" relativeHeight="251680768" behindDoc="0" locked="0" layoutInCell="1" allowOverlap="1">
                  <wp:simplePos x="0" y="0"/>
                  <wp:positionH relativeFrom="rightMargin">
                    <wp:posOffset>-1397000</wp:posOffset>
                  </wp:positionH>
                  <wp:positionV relativeFrom="topMargin">
                    <wp:posOffset>2540</wp:posOffset>
                  </wp:positionV>
                  <wp:extent cx="774700" cy="6350"/>
                  <wp:effectExtent l="0" t="0" r="0" b="0"/>
                  <wp:wrapNone/>
                  <wp:docPr id="21" name="IM 16"/>
                  <wp:cNvGraphicFramePr/>
                  <a:graphic xmlns:a="http://schemas.openxmlformats.org/drawingml/2006/main">
                    <a:graphicData uri="http://schemas.openxmlformats.org/drawingml/2006/picture">
                      <pic:pic xmlns:pic="http://schemas.openxmlformats.org/drawingml/2006/picture">
                        <pic:nvPicPr>
                          <pic:cNvPr id="21" name="IM 16"/>
                          <pic:cNvPicPr/>
                        </pic:nvPicPr>
                        <pic:blipFill>
                          <a:blip r:embed="rId703"/>
                          <a:stretch>
                            <a:fillRect/>
                          </a:stretch>
                        </pic:blipFill>
                        <pic:spPr>
                          <a:xfrm>
                            <a:off x="0" y="0"/>
                            <a:ext cx="774737" cy="6667"/>
                          </a:xfrm>
                          <a:prstGeom prst="rect">
                            <a:avLst/>
                          </a:prstGeom>
                        </pic:spPr>
                      </pic:pic>
                    </a:graphicData>
                  </a:graphic>
                </wp:anchor>
              </w:drawing>
            </w:r>
            <w:r>
              <w:rPr>
                <w:rFonts w:ascii="宋体" w:hAnsi="宋体" w:eastAsia="宋体" w:cs="宋体"/>
                <w:spacing w:val="3"/>
                <w:sz w:val="21"/>
                <w:szCs w:val="21"/>
              </w:rPr>
              <w:t>补充数据</w:t>
            </w:r>
          </w:p>
        </w:tc>
        <w:tc>
          <w:tcPr>
            <w:tcW w:w="4770" w:type="dxa"/>
            <w:gridSpan w:val="3"/>
            <w:tcBorders>
              <w:top w:val="nil"/>
              <w:left w:val="nil"/>
            </w:tcBorders>
            <w:vAlign w:val="top"/>
          </w:tcPr>
          <w:p w14:paraId="3BC02B91">
            <w:pPr>
              <w:pStyle w:val="6"/>
            </w:pPr>
            <w:r>
              <w:drawing>
                <wp:anchor distT="0" distB="0" distL="0" distR="0" simplePos="0" relativeHeight="251678720" behindDoc="0" locked="0" layoutInCell="1" allowOverlap="1">
                  <wp:simplePos x="0" y="0"/>
                  <wp:positionH relativeFrom="rightMargin">
                    <wp:posOffset>-2886075</wp:posOffset>
                  </wp:positionH>
                  <wp:positionV relativeFrom="topMargin">
                    <wp:posOffset>2540</wp:posOffset>
                  </wp:positionV>
                  <wp:extent cx="1028700" cy="6350"/>
                  <wp:effectExtent l="0" t="0" r="0" b="0"/>
                  <wp:wrapNone/>
                  <wp:docPr id="23" name="IM 18"/>
                  <wp:cNvGraphicFramePr/>
                  <a:graphic xmlns:a="http://schemas.openxmlformats.org/drawingml/2006/main">
                    <a:graphicData uri="http://schemas.openxmlformats.org/drawingml/2006/picture">
                      <pic:pic xmlns:pic="http://schemas.openxmlformats.org/drawingml/2006/picture">
                        <pic:nvPicPr>
                          <pic:cNvPr id="23" name="IM 18"/>
                          <pic:cNvPicPr/>
                        </pic:nvPicPr>
                        <pic:blipFill>
                          <a:blip r:embed="rId704"/>
                          <a:stretch>
                            <a:fillRect/>
                          </a:stretch>
                        </pic:blipFill>
                        <pic:spPr>
                          <a:xfrm>
                            <a:off x="0" y="0"/>
                            <a:ext cx="1028698" cy="6667"/>
                          </a:xfrm>
                          <a:prstGeom prst="rect">
                            <a:avLst/>
                          </a:prstGeom>
                        </pic:spPr>
                      </pic:pic>
                    </a:graphicData>
                  </a:graphic>
                </wp:anchor>
              </w:drawing>
            </w:r>
            <w:r>
              <w:drawing>
                <wp:anchor distT="0" distB="0" distL="0" distR="0" simplePos="0" relativeHeight="251679744" behindDoc="0" locked="0" layoutInCell="1" allowOverlap="1">
                  <wp:simplePos x="0" y="0"/>
                  <wp:positionH relativeFrom="rightMargin">
                    <wp:posOffset>-1495425</wp:posOffset>
                  </wp:positionH>
                  <wp:positionV relativeFrom="topMargin">
                    <wp:posOffset>8890</wp:posOffset>
                  </wp:positionV>
                  <wp:extent cx="793750" cy="6350"/>
                  <wp:effectExtent l="0" t="0" r="0" b="0"/>
                  <wp:wrapNone/>
                  <wp:docPr id="24" name="IM 20"/>
                  <wp:cNvGraphicFramePr/>
                  <a:graphic xmlns:a="http://schemas.openxmlformats.org/drawingml/2006/main">
                    <a:graphicData uri="http://schemas.openxmlformats.org/drawingml/2006/picture">
                      <pic:pic xmlns:pic="http://schemas.openxmlformats.org/drawingml/2006/picture">
                        <pic:nvPicPr>
                          <pic:cNvPr id="24" name="IM 20"/>
                          <pic:cNvPicPr/>
                        </pic:nvPicPr>
                        <pic:blipFill>
                          <a:blip r:embed="rId705"/>
                          <a:stretch>
                            <a:fillRect/>
                          </a:stretch>
                        </pic:blipFill>
                        <pic:spPr>
                          <a:xfrm>
                            <a:off x="0" y="0"/>
                            <a:ext cx="793796" cy="6667"/>
                          </a:xfrm>
                          <a:prstGeom prst="rect">
                            <a:avLst/>
                          </a:prstGeom>
                        </pic:spPr>
                      </pic:pic>
                    </a:graphicData>
                  </a:graphic>
                </wp:anchor>
              </w:drawing>
            </w:r>
          </w:p>
        </w:tc>
      </w:tr>
      <w:tr w14:paraId="7EBF2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673" w:type="dxa"/>
            <w:vAlign w:val="top"/>
          </w:tcPr>
          <w:p w14:paraId="45B2E548">
            <w:pPr>
              <w:spacing w:before="154" w:line="220" w:lineRule="auto"/>
              <w:ind w:left="405"/>
              <w:rPr>
                <w:rFonts w:ascii="宋体" w:hAnsi="宋体" w:eastAsia="宋体" w:cs="宋体"/>
                <w:sz w:val="21"/>
                <w:szCs w:val="21"/>
              </w:rPr>
            </w:pPr>
            <w:r>
              <w:rPr>
                <w:rFonts w:ascii="宋体" w:hAnsi="宋体" w:eastAsia="宋体" w:cs="宋体"/>
                <w:spacing w:val="3"/>
                <w:sz w:val="21"/>
                <w:szCs w:val="21"/>
              </w:rPr>
              <w:t>测试结果</w:t>
            </w:r>
          </w:p>
        </w:tc>
        <w:tc>
          <w:tcPr>
            <w:tcW w:w="2927" w:type="dxa"/>
            <w:gridSpan w:val="2"/>
            <w:vAlign w:val="top"/>
          </w:tcPr>
          <w:p w14:paraId="20FA80B6">
            <w:pPr>
              <w:spacing w:before="154" w:line="220" w:lineRule="auto"/>
              <w:ind w:left="1032"/>
              <w:rPr>
                <w:rFonts w:ascii="宋体" w:hAnsi="宋体" w:eastAsia="宋体" w:cs="宋体"/>
                <w:sz w:val="21"/>
                <w:szCs w:val="21"/>
              </w:rPr>
            </w:pPr>
            <w:r>
              <w:rPr>
                <w:rFonts w:ascii="宋体" w:hAnsi="宋体" w:eastAsia="宋体" w:cs="宋体"/>
                <w:spacing w:val="2"/>
                <w:sz w:val="21"/>
                <w:szCs w:val="21"/>
              </w:rPr>
              <w:t>继续测试</w:t>
            </w:r>
          </w:p>
        </w:tc>
        <w:tc>
          <w:tcPr>
            <w:tcW w:w="2937" w:type="dxa"/>
            <w:gridSpan w:val="2"/>
            <w:vAlign w:val="top"/>
          </w:tcPr>
          <w:p w14:paraId="54378F20">
            <w:pPr>
              <w:spacing w:before="156" w:line="221" w:lineRule="auto"/>
              <w:ind w:left="1255"/>
              <w:rPr>
                <w:rFonts w:ascii="宋体" w:hAnsi="宋体" w:eastAsia="宋体" w:cs="宋体"/>
                <w:sz w:val="21"/>
                <w:szCs w:val="21"/>
              </w:rPr>
            </w:pPr>
            <w:r>
              <w:rPr>
                <w:rFonts w:ascii="宋体" w:hAnsi="宋体" w:eastAsia="宋体" w:cs="宋体"/>
                <w:spacing w:val="5"/>
                <w:sz w:val="21"/>
                <w:szCs w:val="21"/>
              </w:rPr>
              <w:t>调整</w:t>
            </w:r>
          </w:p>
        </w:tc>
        <w:tc>
          <w:tcPr>
            <w:tcW w:w="1833" w:type="dxa"/>
            <w:vAlign w:val="top"/>
          </w:tcPr>
          <w:p w14:paraId="22AAAC9B">
            <w:pPr>
              <w:spacing w:before="154" w:line="220" w:lineRule="auto"/>
              <w:ind w:left="698"/>
              <w:rPr>
                <w:rFonts w:ascii="宋体" w:hAnsi="宋体" w:eastAsia="宋体" w:cs="宋体"/>
                <w:sz w:val="21"/>
                <w:szCs w:val="21"/>
              </w:rPr>
            </w:pPr>
            <w:r>
              <w:rPr>
                <w:rFonts w:ascii="宋体" w:hAnsi="宋体" w:eastAsia="宋体" w:cs="宋体"/>
                <w:spacing w:val="-3"/>
                <w:sz w:val="21"/>
                <w:szCs w:val="21"/>
              </w:rPr>
              <w:t>更换</w:t>
            </w:r>
          </w:p>
        </w:tc>
      </w:tr>
      <w:tr w14:paraId="2BC29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673" w:type="dxa"/>
            <w:vAlign w:val="top"/>
          </w:tcPr>
          <w:p w14:paraId="74BFE83E">
            <w:pPr>
              <w:spacing w:before="154" w:line="219" w:lineRule="auto"/>
              <w:ind w:left="405"/>
              <w:rPr>
                <w:rFonts w:ascii="宋体" w:hAnsi="宋体" w:eastAsia="宋体" w:cs="宋体"/>
                <w:sz w:val="21"/>
                <w:szCs w:val="21"/>
              </w:rPr>
            </w:pPr>
            <w:r>
              <w:rPr>
                <w:rFonts w:ascii="宋体" w:hAnsi="宋体" w:eastAsia="宋体" w:cs="宋体"/>
                <w:spacing w:val="7"/>
                <w:sz w:val="21"/>
                <w:szCs w:val="21"/>
              </w:rPr>
              <w:t>容差之内</w:t>
            </w:r>
          </w:p>
        </w:tc>
        <w:tc>
          <w:tcPr>
            <w:tcW w:w="2927" w:type="dxa"/>
            <w:gridSpan w:val="2"/>
            <w:vAlign w:val="top"/>
          </w:tcPr>
          <w:p w14:paraId="5EEE5801">
            <w:pPr>
              <w:pStyle w:val="6"/>
            </w:pPr>
          </w:p>
        </w:tc>
        <w:tc>
          <w:tcPr>
            <w:tcW w:w="2937" w:type="dxa"/>
            <w:gridSpan w:val="2"/>
            <w:vAlign w:val="top"/>
          </w:tcPr>
          <w:p w14:paraId="676ED009">
            <w:pPr>
              <w:pStyle w:val="6"/>
            </w:pPr>
          </w:p>
        </w:tc>
        <w:tc>
          <w:tcPr>
            <w:tcW w:w="1833" w:type="dxa"/>
            <w:vAlign w:val="top"/>
          </w:tcPr>
          <w:p w14:paraId="4F249BE9">
            <w:pPr>
              <w:pStyle w:val="6"/>
            </w:pPr>
          </w:p>
        </w:tc>
      </w:tr>
      <w:tr w14:paraId="2A3D1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673" w:type="dxa"/>
            <w:vAlign w:val="top"/>
          </w:tcPr>
          <w:p w14:paraId="1FA937A7">
            <w:pPr>
              <w:spacing w:before="165" w:line="219" w:lineRule="auto"/>
              <w:ind w:left="405"/>
              <w:rPr>
                <w:rFonts w:ascii="宋体" w:hAnsi="宋体" w:eastAsia="宋体" w:cs="宋体"/>
                <w:sz w:val="21"/>
                <w:szCs w:val="21"/>
              </w:rPr>
            </w:pPr>
            <w:r>
              <w:rPr>
                <w:rFonts w:ascii="宋体" w:hAnsi="宋体" w:eastAsia="宋体" w:cs="宋体"/>
                <w:spacing w:val="-2"/>
                <w:sz w:val="21"/>
                <w:szCs w:val="21"/>
              </w:rPr>
              <w:t>输出过高</w:t>
            </w:r>
          </w:p>
        </w:tc>
        <w:tc>
          <w:tcPr>
            <w:tcW w:w="2927" w:type="dxa"/>
            <w:gridSpan w:val="2"/>
            <w:vAlign w:val="top"/>
          </w:tcPr>
          <w:p w14:paraId="41DFEA82">
            <w:pPr>
              <w:pStyle w:val="6"/>
            </w:pPr>
          </w:p>
        </w:tc>
        <w:tc>
          <w:tcPr>
            <w:tcW w:w="2937" w:type="dxa"/>
            <w:gridSpan w:val="2"/>
            <w:vAlign w:val="top"/>
          </w:tcPr>
          <w:p w14:paraId="08E17991">
            <w:pPr>
              <w:pStyle w:val="6"/>
            </w:pPr>
          </w:p>
        </w:tc>
        <w:tc>
          <w:tcPr>
            <w:tcW w:w="1833" w:type="dxa"/>
            <w:vAlign w:val="top"/>
          </w:tcPr>
          <w:p w14:paraId="4C731FC0">
            <w:pPr>
              <w:pStyle w:val="6"/>
            </w:pPr>
          </w:p>
        </w:tc>
      </w:tr>
      <w:tr w14:paraId="488D6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673" w:type="dxa"/>
            <w:vAlign w:val="top"/>
          </w:tcPr>
          <w:p w14:paraId="6B3786A4">
            <w:pPr>
              <w:spacing w:before="156" w:line="219" w:lineRule="auto"/>
              <w:ind w:left="405"/>
              <w:rPr>
                <w:rFonts w:ascii="宋体" w:hAnsi="宋体" w:eastAsia="宋体" w:cs="宋体"/>
                <w:sz w:val="21"/>
                <w:szCs w:val="21"/>
              </w:rPr>
            </w:pPr>
            <w:r>
              <w:rPr>
                <w:rFonts w:ascii="宋体" w:hAnsi="宋体" w:eastAsia="宋体" w:cs="宋体"/>
                <w:spacing w:val="3"/>
                <w:sz w:val="21"/>
                <w:szCs w:val="21"/>
              </w:rPr>
              <w:t>输出过低</w:t>
            </w:r>
          </w:p>
        </w:tc>
        <w:tc>
          <w:tcPr>
            <w:tcW w:w="2927" w:type="dxa"/>
            <w:gridSpan w:val="2"/>
            <w:vAlign w:val="top"/>
          </w:tcPr>
          <w:p w14:paraId="595DF179">
            <w:pPr>
              <w:pStyle w:val="6"/>
            </w:pPr>
          </w:p>
        </w:tc>
        <w:tc>
          <w:tcPr>
            <w:tcW w:w="2937" w:type="dxa"/>
            <w:gridSpan w:val="2"/>
            <w:vAlign w:val="top"/>
          </w:tcPr>
          <w:p w14:paraId="07FB5111">
            <w:pPr>
              <w:pStyle w:val="6"/>
            </w:pPr>
          </w:p>
        </w:tc>
        <w:tc>
          <w:tcPr>
            <w:tcW w:w="1833" w:type="dxa"/>
            <w:vAlign w:val="top"/>
          </w:tcPr>
          <w:p w14:paraId="259ACE6A">
            <w:pPr>
              <w:pStyle w:val="6"/>
            </w:pPr>
          </w:p>
        </w:tc>
      </w:tr>
      <w:tr w14:paraId="55B62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673" w:type="dxa"/>
            <w:vAlign w:val="top"/>
          </w:tcPr>
          <w:p w14:paraId="16DF4F2C">
            <w:pPr>
              <w:spacing w:before="158" w:line="220" w:lineRule="auto"/>
              <w:ind w:left="405"/>
              <w:rPr>
                <w:rFonts w:ascii="宋体" w:hAnsi="宋体" w:eastAsia="宋体" w:cs="宋体"/>
                <w:sz w:val="21"/>
                <w:szCs w:val="21"/>
              </w:rPr>
            </w:pPr>
            <w:r>
              <w:rPr>
                <w:rFonts w:ascii="宋体" w:hAnsi="宋体" w:eastAsia="宋体" w:cs="宋体"/>
                <w:spacing w:val="-2"/>
                <w:sz w:val="21"/>
                <w:szCs w:val="21"/>
              </w:rPr>
              <w:t>其他情况</w:t>
            </w:r>
          </w:p>
        </w:tc>
        <w:tc>
          <w:tcPr>
            <w:tcW w:w="2927" w:type="dxa"/>
            <w:gridSpan w:val="2"/>
            <w:vAlign w:val="top"/>
          </w:tcPr>
          <w:p w14:paraId="40F5FDA4">
            <w:pPr>
              <w:pStyle w:val="6"/>
            </w:pPr>
          </w:p>
        </w:tc>
        <w:tc>
          <w:tcPr>
            <w:tcW w:w="2937" w:type="dxa"/>
            <w:gridSpan w:val="2"/>
            <w:vAlign w:val="top"/>
          </w:tcPr>
          <w:p w14:paraId="5898BF98">
            <w:pPr>
              <w:pStyle w:val="6"/>
            </w:pPr>
          </w:p>
        </w:tc>
        <w:tc>
          <w:tcPr>
            <w:tcW w:w="1833" w:type="dxa"/>
            <w:vAlign w:val="top"/>
          </w:tcPr>
          <w:p w14:paraId="0923BB6F">
            <w:pPr>
              <w:pStyle w:val="6"/>
            </w:pPr>
          </w:p>
        </w:tc>
      </w:tr>
      <w:tr w14:paraId="73657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trPr>
        <w:tc>
          <w:tcPr>
            <w:tcW w:w="1673" w:type="dxa"/>
            <w:vAlign w:val="top"/>
          </w:tcPr>
          <w:p w14:paraId="049B63B1">
            <w:pPr>
              <w:spacing w:before="253" w:line="224" w:lineRule="auto"/>
              <w:ind w:left="725"/>
              <w:rPr>
                <w:rFonts w:ascii="宋体" w:hAnsi="宋体" w:eastAsia="宋体" w:cs="宋体"/>
                <w:sz w:val="21"/>
                <w:szCs w:val="21"/>
              </w:rPr>
            </w:pPr>
            <w:r>
              <w:rPr>
                <w:rFonts w:ascii="宋体" w:hAnsi="宋体" w:eastAsia="宋体" w:cs="宋体"/>
                <w:sz w:val="21"/>
                <w:szCs w:val="21"/>
              </w:rPr>
              <w:t>注</w:t>
            </w:r>
          </w:p>
        </w:tc>
        <w:tc>
          <w:tcPr>
            <w:tcW w:w="7697" w:type="dxa"/>
            <w:gridSpan w:val="5"/>
            <w:vAlign w:val="top"/>
          </w:tcPr>
          <w:p w14:paraId="42001059">
            <w:pPr>
              <w:pStyle w:val="6"/>
            </w:pPr>
          </w:p>
        </w:tc>
      </w:tr>
    </w:tbl>
    <w:p w14:paraId="6720DBD6">
      <w:pPr>
        <w:spacing w:line="135" w:lineRule="exact"/>
        <w:rPr>
          <w:rFonts w:ascii="Arial"/>
          <w:sz w:val="11"/>
        </w:rPr>
      </w:pPr>
    </w:p>
    <w:p w14:paraId="2BFA9EFD">
      <w:pPr>
        <w:spacing w:line="135" w:lineRule="exact"/>
        <w:rPr>
          <w:rFonts w:ascii="Arial" w:hAnsi="Arial" w:eastAsia="Arial" w:cs="Arial"/>
          <w:sz w:val="11"/>
          <w:szCs w:val="11"/>
        </w:rPr>
        <w:sectPr>
          <w:footerReference r:id="rId472" w:type="default"/>
          <w:pgSz w:w="11910" w:h="17130"/>
          <w:pgMar w:top="1456" w:right="984" w:bottom="1720" w:left="1460" w:header="0" w:footer="1434" w:gutter="0"/>
          <w:cols w:space="720" w:num="1"/>
        </w:sectPr>
      </w:pPr>
    </w:p>
    <w:p w14:paraId="28B80AF8">
      <w:pPr>
        <w:pStyle w:val="2"/>
        <w:spacing w:before="53" w:line="278" w:lineRule="auto"/>
        <w:ind w:right="74" w:firstLine="559"/>
        <w:jc w:val="both"/>
      </w:pPr>
      <w:r>
        <w:rPr>
          <w:spacing w:val="14"/>
        </w:rPr>
        <w:t>当需要更多的空间规定其他信息时，应使用续表。续表应注明所对应的</w:t>
      </w:r>
      <w:r>
        <w:rPr>
          <w:spacing w:val="6"/>
        </w:rPr>
        <w:t xml:space="preserve"> </w:t>
      </w:r>
      <w:r>
        <w:rPr>
          <w:rFonts w:ascii="Times New Roman" w:hAnsi="Times New Roman" w:eastAsia="Times New Roman" w:cs="Times New Roman"/>
          <w:spacing w:val="-6"/>
        </w:rPr>
        <w:t>TRD</w:t>
      </w:r>
      <w:r>
        <w:rPr>
          <w:rFonts w:ascii="Times New Roman" w:hAnsi="Times New Roman" w:eastAsia="Times New Roman" w:cs="Times New Roman"/>
          <w:spacing w:val="59"/>
          <w:w w:val="101"/>
        </w:rPr>
        <w:t xml:space="preserve"> </w:t>
      </w:r>
      <w:r>
        <w:rPr>
          <w:spacing w:val="-6"/>
        </w:rPr>
        <w:t>编号、版本号、测试号，以及需要继续描述的其他信息。详细测试信息续表</w:t>
      </w:r>
      <w:r>
        <w:t xml:space="preserve"> </w:t>
      </w:r>
      <w:r>
        <w:rPr>
          <w:spacing w:val="9"/>
        </w:rPr>
        <w:t>格式应符合表9.7的要求。详细测试信息表应注明对应的</w:t>
      </w:r>
      <w:r>
        <w:rPr>
          <w:spacing w:val="8"/>
        </w:rPr>
        <w:t>续表。</w:t>
      </w:r>
    </w:p>
    <w:p w14:paraId="2DDBC9C3">
      <w:pPr>
        <w:pStyle w:val="2"/>
        <w:spacing w:before="2" w:line="293" w:lineRule="auto"/>
        <w:ind w:right="81" w:firstLine="559"/>
      </w:pPr>
      <w:r>
        <w:rPr>
          <w:spacing w:val="9"/>
        </w:rPr>
        <w:t>应为每个</w:t>
      </w:r>
      <w:r>
        <w:rPr>
          <w:rFonts w:ascii="Times New Roman" w:hAnsi="Times New Roman" w:eastAsia="Times New Roman" w:cs="Times New Roman"/>
        </w:rPr>
        <w:t>UUT</w:t>
      </w:r>
      <w:r>
        <w:rPr>
          <w:rFonts w:ascii="Times New Roman" w:hAnsi="Times New Roman" w:eastAsia="Times New Roman" w:cs="Times New Roman"/>
          <w:spacing w:val="9"/>
        </w:rPr>
        <w:t xml:space="preserve">  </w:t>
      </w:r>
      <w:r>
        <w:rPr>
          <w:spacing w:val="9"/>
        </w:rPr>
        <w:t>的测试提供足够的信息，全面描述为完成测试所需的所有</w:t>
      </w:r>
      <w:r>
        <w:rPr>
          <w:spacing w:val="4"/>
        </w:rPr>
        <w:t xml:space="preserve"> </w:t>
      </w:r>
      <w:r>
        <w:rPr>
          <w:spacing w:val="2"/>
        </w:rPr>
        <w:t>输入条件和测量。至少应提供下述信息：</w:t>
      </w:r>
    </w:p>
    <w:p w14:paraId="39FE39B5">
      <w:pPr>
        <w:pStyle w:val="2"/>
        <w:spacing w:line="219" w:lineRule="auto"/>
        <w:ind w:left="559"/>
        <w:rPr>
          <w:sz w:val="24"/>
          <w:szCs w:val="24"/>
        </w:rPr>
      </w:pPr>
      <w:r>
        <w:rPr>
          <w:rFonts w:ascii="Times New Roman" w:hAnsi="Times New Roman" w:eastAsia="Times New Roman" w:cs="Times New Roman"/>
          <w:spacing w:val="22"/>
          <w:sz w:val="24"/>
          <w:szCs w:val="24"/>
        </w:rPr>
        <w:t>a</w:t>
      </w:r>
      <w:r>
        <w:rPr>
          <w:rFonts w:ascii="Times New Roman" w:hAnsi="Times New Roman" w:eastAsia="Times New Roman" w:cs="Times New Roman"/>
          <w:spacing w:val="-3"/>
          <w:sz w:val="24"/>
          <w:szCs w:val="24"/>
        </w:rPr>
        <w:t xml:space="preserve"> </w:t>
      </w:r>
      <w:r>
        <w:rPr>
          <w:spacing w:val="22"/>
          <w:sz w:val="24"/>
          <w:szCs w:val="24"/>
        </w:rPr>
        <w:t>)</w:t>
      </w:r>
      <w:r>
        <w:rPr>
          <w:spacing w:val="-20"/>
          <w:sz w:val="24"/>
          <w:szCs w:val="24"/>
        </w:rPr>
        <w:t xml:space="preserve"> </w:t>
      </w:r>
      <w:r>
        <w:rPr>
          <w:rFonts w:ascii="Times New Roman" w:hAnsi="Times New Roman" w:eastAsia="Times New Roman" w:cs="Times New Roman"/>
          <w:sz w:val="24"/>
          <w:szCs w:val="24"/>
        </w:rPr>
        <w:t>UUT</w:t>
      </w:r>
      <w:r>
        <w:rPr>
          <w:rFonts w:ascii="Times New Roman" w:hAnsi="Times New Roman" w:eastAsia="Times New Roman" w:cs="Times New Roman"/>
          <w:spacing w:val="22"/>
          <w:sz w:val="24"/>
          <w:szCs w:val="24"/>
        </w:rPr>
        <w:t xml:space="preserve">   </w:t>
      </w:r>
      <w:r>
        <w:rPr>
          <w:spacing w:val="22"/>
          <w:sz w:val="24"/>
          <w:szCs w:val="24"/>
        </w:rPr>
        <w:t>的功能名称和部件编号；</w:t>
      </w:r>
    </w:p>
    <w:p w14:paraId="2E472876">
      <w:pPr>
        <w:pStyle w:val="2"/>
        <w:spacing w:before="44" w:line="268" w:lineRule="auto"/>
        <w:ind w:right="43" w:firstLine="559"/>
      </w:pPr>
      <w:r>
        <w:rPr>
          <w:rFonts w:ascii="Times New Roman" w:hAnsi="Times New Roman" w:eastAsia="Times New Roman" w:cs="Times New Roman"/>
          <w:spacing w:val="-4"/>
        </w:rPr>
        <w:t xml:space="preserve">b)  </w:t>
      </w:r>
      <w:r>
        <w:rPr>
          <w:spacing w:val="-4"/>
        </w:rPr>
        <w:t>输入信息：应定义所有输入，包括电</w:t>
      </w:r>
      <w:r>
        <w:rPr>
          <w:spacing w:val="-5"/>
        </w:rPr>
        <w:t>气、光学、机械等，应规定其范围和</w:t>
      </w:r>
      <w:r>
        <w:t xml:space="preserve"> </w:t>
      </w:r>
      <w:r>
        <w:rPr>
          <w:spacing w:val="-6"/>
        </w:rPr>
        <w:t>容差；</w:t>
      </w:r>
    </w:p>
    <w:p w14:paraId="7B8D72C1">
      <w:pPr>
        <w:pStyle w:val="2"/>
        <w:spacing w:before="47" w:line="212" w:lineRule="auto"/>
        <w:ind w:left="559"/>
      </w:pPr>
      <w:r>
        <w:rPr>
          <w:rFonts w:ascii="Times New Roman" w:hAnsi="Times New Roman" w:eastAsia="Times New Roman" w:cs="Times New Roman"/>
          <w:spacing w:val="-8"/>
        </w:rPr>
        <w:t xml:space="preserve">c)  </w:t>
      </w:r>
      <w:r>
        <w:rPr>
          <w:spacing w:val="-8"/>
        </w:rPr>
        <w:t>输出信息：应规定所有输出的范围、精度，与输入</w:t>
      </w:r>
      <w:r>
        <w:rPr>
          <w:spacing w:val="-9"/>
        </w:rPr>
        <w:t>条件的关系；</w:t>
      </w:r>
    </w:p>
    <w:p w14:paraId="66655815">
      <w:pPr>
        <w:pStyle w:val="2"/>
        <w:spacing w:before="90" w:line="212" w:lineRule="auto"/>
        <w:ind w:left="559"/>
      </w:pPr>
      <w:r>
        <w:rPr>
          <w:rFonts w:ascii="Times New Roman" w:hAnsi="Times New Roman" w:eastAsia="Times New Roman" w:cs="Times New Roman"/>
          <w:color w:val="606060"/>
          <w:spacing w:val="-6"/>
        </w:rPr>
        <w:t xml:space="preserve">d)  </w:t>
      </w:r>
      <w:r>
        <w:rPr>
          <w:b/>
          <w:bCs/>
          <w:color w:val="606060"/>
          <w:spacing w:val="-6"/>
        </w:rPr>
        <w:t>测试点信息：测试点应注明功能，</w:t>
      </w:r>
      <w:r>
        <w:rPr>
          <w:spacing w:val="-6"/>
        </w:rPr>
        <w:t>并规定输入或输出信号的条件；</w:t>
      </w:r>
    </w:p>
    <w:p w14:paraId="7F778E02">
      <w:pPr>
        <w:pStyle w:val="2"/>
        <w:spacing w:before="159" w:line="219" w:lineRule="auto"/>
        <w:ind w:left="559"/>
        <w:rPr>
          <w:sz w:val="24"/>
          <w:szCs w:val="24"/>
        </w:rPr>
      </w:pPr>
      <w:r>
        <w:rPr>
          <w:rFonts w:ascii="Times New Roman" w:hAnsi="Times New Roman" w:eastAsia="Times New Roman" w:cs="Times New Roman"/>
          <w:spacing w:val="27"/>
          <w:sz w:val="24"/>
          <w:szCs w:val="24"/>
        </w:rPr>
        <w:t>e</w:t>
      </w:r>
      <w:r>
        <w:rPr>
          <w:rFonts w:ascii="Times New Roman" w:hAnsi="Times New Roman" w:eastAsia="Times New Roman" w:cs="Times New Roman"/>
          <w:spacing w:val="-7"/>
          <w:sz w:val="24"/>
          <w:szCs w:val="24"/>
        </w:rPr>
        <w:t xml:space="preserve"> </w:t>
      </w:r>
      <w:r>
        <w:rPr>
          <w:spacing w:val="27"/>
          <w:sz w:val="24"/>
          <w:szCs w:val="24"/>
        </w:rPr>
        <w:t>)</w:t>
      </w:r>
      <w:r>
        <w:rPr>
          <w:spacing w:val="-40"/>
          <w:sz w:val="24"/>
          <w:szCs w:val="24"/>
        </w:rPr>
        <w:t xml:space="preserve"> </w:t>
      </w:r>
      <w:r>
        <w:rPr>
          <w:spacing w:val="27"/>
          <w:sz w:val="24"/>
          <w:szCs w:val="24"/>
        </w:rPr>
        <w:t>控制信号及其控制(调整)范围。</w:t>
      </w:r>
    </w:p>
    <w:p w14:paraId="1FE4F818">
      <w:pPr>
        <w:pStyle w:val="2"/>
        <w:spacing w:before="69" w:line="281" w:lineRule="auto"/>
        <w:ind w:right="51" w:firstLine="559"/>
        <w:jc w:val="both"/>
      </w:pPr>
      <w:r>
        <w:rPr>
          <w:spacing w:val="23"/>
        </w:rPr>
        <w:t>应足够充分地描述</w:t>
      </w:r>
      <w:r>
        <w:rPr>
          <w:spacing w:val="-40"/>
        </w:rPr>
        <w:t xml:space="preserve"> </w:t>
      </w:r>
      <w:r>
        <w:rPr>
          <w:rFonts w:ascii="Times New Roman" w:hAnsi="Times New Roman" w:eastAsia="Times New Roman" w:cs="Times New Roman"/>
        </w:rPr>
        <w:t>UUT</w:t>
      </w:r>
      <w:r>
        <w:rPr>
          <w:rFonts w:ascii="Times New Roman" w:hAnsi="Times New Roman" w:eastAsia="Times New Roman" w:cs="Times New Roman"/>
          <w:spacing w:val="23"/>
        </w:rPr>
        <w:t xml:space="preserve">,  </w:t>
      </w:r>
      <w:r>
        <w:rPr>
          <w:spacing w:val="23"/>
        </w:rPr>
        <w:t>使得用任何一个具有所述特性的部件替换该</w:t>
      </w:r>
      <w:r>
        <w:t xml:space="preserve"> </w:t>
      </w:r>
      <w:r>
        <w:rPr>
          <w:rFonts w:ascii="Times New Roman" w:hAnsi="Times New Roman" w:eastAsia="Times New Roman" w:cs="Times New Roman"/>
        </w:rPr>
        <w:t>UUT</w:t>
      </w:r>
      <w:r>
        <w:rPr>
          <w:rFonts w:ascii="Times New Roman" w:hAnsi="Times New Roman" w:eastAsia="Times New Roman" w:cs="Times New Roman"/>
          <w:spacing w:val="76"/>
          <w:w w:val="101"/>
        </w:rPr>
        <w:t xml:space="preserve"> </w:t>
      </w:r>
      <w:r>
        <w:rPr>
          <w:spacing w:val="1"/>
        </w:rPr>
        <w:t>后，插入系统之中可以正常工作，不会造成系统性能降低。输入、输出和</w:t>
      </w:r>
      <w:r>
        <w:t xml:space="preserve"> </w:t>
      </w:r>
      <w:r>
        <w:rPr>
          <w:spacing w:val="5"/>
        </w:rPr>
        <w:t>测试点信息应通过测试连接器和插针的指定、功能名称来识别。功能名称不能</w:t>
      </w:r>
      <w:r>
        <w:rPr>
          <w:spacing w:val="12"/>
        </w:rPr>
        <w:t xml:space="preserve"> </w:t>
      </w:r>
      <w:r>
        <w:rPr>
          <w:spacing w:val="-6"/>
        </w:rPr>
        <w:t>重名。</w:t>
      </w:r>
    </w:p>
    <w:p w14:paraId="02FFAAEB">
      <w:pPr>
        <w:spacing w:line="281" w:lineRule="auto"/>
        <w:sectPr>
          <w:footerReference r:id="rId473" w:type="default"/>
          <w:pgSz w:w="11910" w:h="17130"/>
          <w:pgMar w:top="1416" w:right="1264" w:bottom="1740" w:left="1200" w:header="0" w:footer="1454" w:gutter="0"/>
          <w:cols w:equalWidth="0" w:num="1">
            <w:col w:w="9445"/>
          </w:cols>
        </w:sectPr>
      </w:pPr>
    </w:p>
    <w:p w14:paraId="498B4579">
      <w:pPr>
        <w:spacing w:before="49" w:line="224" w:lineRule="auto"/>
        <w:ind w:left="3109"/>
        <w:rPr>
          <w:rFonts w:ascii="仿宋" w:hAnsi="仿宋" w:eastAsia="仿宋" w:cs="仿宋"/>
          <w:sz w:val="24"/>
          <w:szCs w:val="24"/>
        </w:rPr>
      </w:pPr>
      <w:r>
        <w:rPr>
          <w:rFonts w:ascii="仿宋" w:hAnsi="仿宋" w:eastAsia="仿宋" w:cs="仿宋"/>
          <w:spacing w:val="3"/>
          <w:sz w:val="24"/>
          <w:szCs w:val="24"/>
        </w:rPr>
        <w:t>表9</w:t>
      </w:r>
      <w:r>
        <w:rPr>
          <w:rFonts w:ascii="仿宋" w:hAnsi="仿宋" w:eastAsia="仿宋" w:cs="仿宋"/>
          <w:spacing w:val="-56"/>
          <w:sz w:val="24"/>
          <w:szCs w:val="24"/>
        </w:rPr>
        <w:t xml:space="preserve"> </w:t>
      </w:r>
      <w:r>
        <w:rPr>
          <w:rFonts w:ascii="仿宋" w:hAnsi="仿宋" w:eastAsia="仿宋" w:cs="仿宋"/>
          <w:spacing w:val="3"/>
          <w:sz w:val="24"/>
          <w:szCs w:val="24"/>
        </w:rPr>
        <w:t>.</w:t>
      </w:r>
      <w:r>
        <w:rPr>
          <w:rFonts w:ascii="仿宋" w:hAnsi="仿宋" w:eastAsia="仿宋" w:cs="仿宋"/>
          <w:spacing w:val="-58"/>
          <w:sz w:val="24"/>
          <w:szCs w:val="24"/>
        </w:rPr>
        <w:t xml:space="preserve"> </w:t>
      </w:r>
      <w:r>
        <w:rPr>
          <w:rFonts w:ascii="仿宋" w:hAnsi="仿宋" w:eastAsia="仿宋" w:cs="仿宋"/>
          <w:spacing w:val="3"/>
          <w:sz w:val="24"/>
          <w:szCs w:val="24"/>
        </w:rPr>
        <w:t>7</w:t>
      </w:r>
    </w:p>
    <w:p w14:paraId="322464BF">
      <w:pPr>
        <w:spacing w:line="14" w:lineRule="auto"/>
        <w:rPr>
          <w:rFonts w:ascii="Arial"/>
          <w:sz w:val="2"/>
        </w:rPr>
      </w:pPr>
      <w:r>
        <w:rPr>
          <w:rFonts w:ascii="Arial" w:hAnsi="Arial" w:eastAsia="Arial" w:cs="Arial"/>
          <w:sz w:val="2"/>
          <w:szCs w:val="2"/>
        </w:rPr>
        <w:br w:type="column"/>
      </w:r>
    </w:p>
    <w:p w14:paraId="0E59F64E">
      <w:pPr>
        <w:spacing w:before="47" w:line="221" w:lineRule="auto"/>
        <w:ind w:left="152"/>
        <w:rPr>
          <w:rFonts w:ascii="仿宋" w:hAnsi="仿宋" w:eastAsia="仿宋" w:cs="仿宋"/>
          <w:sz w:val="24"/>
          <w:szCs w:val="24"/>
        </w:rPr>
      </w:pPr>
      <w:r>
        <w:rPr>
          <w:rFonts w:ascii="仿宋" w:hAnsi="仿宋" w:eastAsia="仿宋" w:cs="仿宋"/>
          <w:spacing w:val="33"/>
          <w:sz w:val="24"/>
          <w:szCs w:val="24"/>
        </w:rPr>
        <w:t>详细测试信息续表</w:t>
      </w:r>
    </w:p>
    <w:p w14:paraId="0B67B114">
      <w:pPr>
        <w:spacing w:line="14" w:lineRule="auto"/>
        <w:rPr>
          <w:rFonts w:ascii="Arial"/>
          <w:sz w:val="2"/>
        </w:rPr>
      </w:pPr>
      <w:r>
        <w:rPr>
          <w:rFonts w:ascii="Arial" w:hAnsi="Arial" w:eastAsia="Arial" w:cs="Arial"/>
          <w:sz w:val="2"/>
          <w:szCs w:val="2"/>
        </w:rPr>
        <w:br w:type="column"/>
      </w:r>
    </w:p>
    <w:p w14:paraId="126D9D1A">
      <w:pPr>
        <w:spacing w:line="395" w:lineRule="auto"/>
        <w:rPr>
          <w:rFonts w:ascii="Arial"/>
          <w:sz w:val="21"/>
        </w:rPr>
      </w:pPr>
    </w:p>
    <w:p w14:paraId="76150E37">
      <w:pPr>
        <w:pStyle w:val="2"/>
        <w:spacing w:before="65" w:line="221" w:lineRule="auto"/>
        <w:ind w:left="490"/>
        <w:rPr>
          <w:sz w:val="20"/>
          <w:szCs w:val="20"/>
        </w:rPr>
      </w:pPr>
      <w:r>
        <w:rPr>
          <w:spacing w:val="-26"/>
          <w:sz w:val="20"/>
          <w:szCs w:val="20"/>
        </w:rPr>
        <w:t>页</w:t>
      </w:r>
      <w:r>
        <w:rPr>
          <w:spacing w:val="6"/>
          <w:sz w:val="20"/>
          <w:szCs w:val="20"/>
        </w:rPr>
        <w:t xml:space="preserve">     </w:t>
      </w:r>
      <w:r>
        <w:rPr>
          <w:spacing w:val="-26"/>
          <w:sz w:val="20"/>
          <w:szCs w:val="20"/>
        </w:rPr>
        <w:t>:</w:t>
      </w:r>
      <w:r>
        <w:rPr>
          <w:spacing w:val="80"/>
          <w:sz w:val="20"/>
          <w:szCs w:val="20"/>
        </w:rPr>
        <w:t xml:space="preserve"> </w:t>
      </w:r>
      <w:r>
        <w:rPr>
          <w:sz w:val="20"/>
          <w:szCs w:val="20"/>
          <w:u w:val="single" w:color="auto"/>
        </w:rPr>
        <w:t xml:space="preserve">             </w:t>
      </w:r>
    </w:p>
    <w:p w14:paraId="06DFC037">
      <w:pPr>
        <w:pStyle w:val="2"/>
        <w:spacing w:before="58" w:line="219" w:lineRule="auto"/>
        <w:ind w:left="400"/>
        <w:rPr>
          <w:sz w:val="20"/>
          <w:szCs w:val="20"/>
        </w:rPr>
      </w:pPr>
      <w:r>
        <w:rPr>
          <w:rFonts w:ascii="Times New Roman" w:hAnsi="Times New Roman" w:eastAsia="Times New Roman" w:cs="Times New Roman"/>
          <w:spacing w:val="-10"/>
          <w:sz w:val="20"/>
          <w:szCs w:val="20"/>
        </w:rPr>
        <w:t>TRD</w:t>
      </w:r>
      <w:r>
        <w:rPr>
          <w:rFonts w:ascii="Times New Roman" w:hAnsi="Times New Roman" w:eastAsia="Times New Roman" w:cs="Times New Roman"/>
          <w:spacing w:val="4"/>
          <w:sz w:val="20"/>
          <w:szCs w:val="20"/>
        </w:rPr>
        <w:t xml:space="preserve">  </w:t>
      </w:r>
      <w:r>
        <w:rPr>
          <w:spacing w:val="-10"/>
          <w:sz w:val="20"/>
          <w:szCs w:val="20"/>
        </w:rPr>
        <w:t>编号：</w:t>
      </w:r>
      <w:r>
        <w:rPr>
          <w:sz w:val="20"/>
          <w:szCs w:val="20"/>
          <w:u w:val="single" w:color="auto"/>
        </w:rPr>
        <w:t xml:space="preserve">             </w:t>
      </w:r>
    </w:p>
    <w:p w14:paraId="40C7CBE8">
      <w:pPr>
        <w:pStyle w:val="2"/>
        <w:spacing w:before="112" w:line="223" w:lineRule="auto"/>
        <w:ind w:left="490"/>
        <w:rPr>
          <w:sz w:val="20"/>
          <w:szCs w:val="20"/>
        </w:rPr>
      </w:pPr>
      <w:r>
        <w:rPr>
          <w:rFonts w:ascii="仿宋" w:hAnsi="仿宋" w:eastAsia="仿宋" w:cs="仿宋"/>
          <w:spacing w:val="-24"/>
          <w:w w:val="86"/>
          <w:sz w:val="20"/>
          <w:szCs w:val="20"/>
        </w:rPr>
        <w:t>版</w:t>
      </w:r>
      <w:r>
        <w:rPr>
          <w:rFonts w:ascii="仿宋" w:hAnsi="仿宋" w:eastAsia="仿宋" w:cs="仿宋"/>
          <w:spacing w:val="7"/>
          <w:sz w:val="20"/>
          <w:szCs w:val="20"/>
        </w:rPr>
        <w:t xml:space="preserve">    </w:t>
      </w:r>
      <w:r>
        <w:rPr>
          <w:spacing w:val="-24"/>
          <w:w w:val="86"/>
          <w:sz w:val="20"/>
          <w:szCs w:val="20"/>
        </w:rPr>
        <w:t>本</w:t>
      </w:r>
      <w:r>
        <w:rPr>
          <w:spacing w:val="-14"/>
          <w:sz w:val="20"/>
          <w:szCs w:val="20"/>
        </w:rPr>
        <w:t xml:space="preserve"> </w:t>
      </w:r>
      <w:r>
        <w:rPr>
          <w:spacing w:val="-24"/>
          <w:w w:val="86"/>
          <w:sz w:val="20"/>
          <w:szCs w:val="20"/>
        </w:rPr>
        <w:t>：</w:t>
      </w:r>
      <w:r>
        <w:rPr>
          <w:sz w:val="20"/>
          <w:szCs w:val="20"/>
          <w:u w:val="single" w:color="auto"/>
        </w:rPr>
        <w:t xml:space="preserve">             </w:t>
      </w:r>
    </w:p>
    <w:p w14:paraId="28E91A50">
      <w:pPr>
        <w:pStyle w:val="2"/>
        <w:spacing w:before="119" w:line="220" w:lineRule="auto"/>
        <w:ind w:left="490"/>
        <w:rPr>
          <w:sz w:val="20"/>
          <w:szCs w:val="20"/>
        </w:rPr>
      </w:pPr>
      <w:r>
        <w:rPr>
          <w:spacing w:val="-45"/>
          <w:w w:val="96"/>
          <w:sz w:val="20"/>
          <w:szCs w:val="20"/>
        </w:rPr>
        <w:t>日</w:t>
      </w:r>
      <w:r>
        <w:rPr>
          <w:spacing w:val="8"/>
          <w:sz w:val="20"/>
          <w:szCs w:val="20"/>
        </w:rPr>
        <w:t xml:space="preserve">    </w:t>
      </w:r>
      <w:r>
        <w:rPr>
          <w:spacing w:val="-45"/>
          <w:w w:val="96"/>
          <w:sz w:val="20"/>
          <w:szCs w:val="20"/>
        </w:rPr>
        <w:t>期</w:t>
      </w:r>
      <w:r>
        <w:rPr>
          <w:spacing w:val="-34"/>
          <w:sz w:val="20"/>
          <w:szCs w:val="20"/>
        </w:rPr>
        <w:t xml:space="preserve"> </w:t>
      </w:r>
      <w:r>
        <w:rPr>
          <w:spacing w:val="-45"/>
          <w:w w:val="96"/>
          <w:sz w:val="20"/>
          <w:szCs w:val="20"/>
        </w:rPr>
        <w:t>：</w:t>
      </w:r>
      <w:r>
        <w:rPr>
          <w:sz w:val="20"/>
          <w:szCs w:val="20"/>
          <w:u w:val="single" w:color="auto"/>
        </w:rPr>
        <w:t xml:space="preserve">             </w:t>
      </w:r>
    </w:p>
    <w:p w14:paraId="774D87CC">
      <w:pPr>
        <w:spacing w:line="220" w:lineRule="auto"/>
        <w:rPr>
          <w:sz w:val="20"/>
          <w:szCs w:val="20"/>
        </w:rPr>
        <w:sectPr>
          <w:type w:val="continuous"/>
          <w:pgSz w:w="11910" w:h="17130"/>
          <w:pgMar w:top="1416" w:right="1264" w:bottom="1740" w:left="1200" w:header="0" w:footer="1454" w:gutter="0"/>
          <w:cols w:equalWidth="0" w:num="3">
            <w:col w:w="3988" w:space="0"/>
            <w:col w:w="2743" w:space="0"/>
            <w:col w:w="2716"/>
          </w:cols>
        </w:sectPr>
      </w:pPr>
    </w:p>
    <w:p w14:paraId="3613230C">
      <w:pPr>
        <w:spacing w:before="55"/>
      </w:pPr>
    </w:p>
    <w:tbl>
      <w:tblPr>
        <w:tblStyle w:val="5"/>
        <w:tblW w:w="9370" w:type="dxa"/>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70"/>
      </w:tblGrid>
      <w:tr w14:paraId="058E0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9370" w:type="dxa"/>
            <w:tcBorders>
              <w:top w:val="single" w:color="000000" w:sz="2" w:space="0"/>
              <w:bottom w:val="single" w:color="000000" w:sz="2" w:space="0"/>
            </w:tcBorders>
            <w:vAlign w:val="top"/>
          </w:tcPr>
          <w:p w14:paraId="69541E6E">
            <w:pPr>
              <w:spacing w:before="208" w:line="219" w:lineRule="auto"/>
              <w:ind w:left="3855"/>
              <w:rPr>
                <w:rFonts w:ascii="宋体" w:hAnsi="宋体" w:eastAsia="宋体" w:cs="宋体"/>
                <w:sz w:val="22"/>
                <w:szCs w:val="22"/>
              </w:rPr>
            </w:pPr>
            <w:r>
              <w:rPr>
                <w:rFonts w:ascii="宋体" w:hAnsi="宋体" w:eastAsia="宋体" w:cs="宋体"/>
                <w:spacing w:val="1"/>
                <w:sz w:val="22"/>
                <w:szCs w:val="22"/>
              </w:rPr>
              <w:t>详细测试信息续表</w:t>
            </w:r>
          </w:p>
        </w:tc>
      </w:tr>
      <w:tr w14:paraId="439FB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4" w:hRule="atLeast"/>
        </w:trPr>
        <w:tc>
          <w:tcPr>
            <w:tcW w:w="9370" w:type="dxa"/>
            <w:tcBorders>
              <w:top w:val="single" w:color="000000" w:sz="2" w:space="0"/>
              <w:bottom w:val="single" w:color="000000" w:sz="2" w:space="0"/>
            </w:tcBorders>
            <w:vAlign w:val="top"/>
          </w:tcPr>
          <w:p w14:paraId="26D324CF">
            <w:pPr>
              <w:pStyle w:val="6"/>
              <w:spacing w:line="272" w:lineRule="auto"/>
            </w:pPr>
          </w:p>
          <w:p w14:paraId="2E3C525D">
            <w:pPr>
              <w:spacing w:before="72" w:line="221" w:lineRule="auto"/>
              <w:ind w:left="555"/>
              <w:rPr>
                <w:rFonts w:ascii="宋体" w:hAnsi="宋体" w:eastAsia="宋体" w:cs="宋体"/>
                <w:sz w:val="22"/>
                <w:szCs w:val="22"/>
              </w:rPr>
            </w:pPr>
            <w:r>
              <w:rPr>
                <w:rFonts w:ascii="宋体" w:hAnsi="宋体" w:eastAsia="宋体" w:cs="宋体"/>
                <w:spacing w:val="-1"/>
                <w:sz w:val="22"/>
                <w:szCs w:val="22"/>
              </w:rPr>
              <w:t>测试号：</w:t>
            </w:r>
            <w:r>
              <w:rPr>
                <w:rFonts w:ascii="宋体" w:hAnsi="宋体" w:eastAsia="宋体" w:cs="宋体"/>
                <w:spacing w:val="4"/>
                <w:sz w:val="22"/>
                <w:szCs w:val="22"/>
                <w:u w:val="single" w:color="auto"/>
              </w:rPr>
              <w:t xml:space="preserve">                        </w:t>
            </w:r>
            <w:r>
              <w:rPr>
                <w:rFonts w:ascii="宋体" w:hAnsi="宋体" w:eastAsia="宋体" w:cs="宋体"/>
                <w:spacing w:val="6"/>
                <w:sz w:val="22"/>
                <w:szCs w:val="22"/>
              </w:rPr>
              <w:t xml:space="preserve">             </w:t>
            </w:r>
            <w:r>
              <w:rPr>
                <w:rFonts w:ascii="宋体" w:hAnsi="宋体" w:eastAsia="宋体" w:cs="宋体"/>
                <w:spacing w:val="-1"/>
                <w:sz w:val="22"/>
                <w:szCs w:val="22"/>
              </w:rPr>
              <w:t>UUT:</w:t>
            </w:r>
            <w:r>
              <w:rPr>
                <w:rFonts w:ascii="宋体" w:hAnsi="宋体" w:eastAsia="宋体" w:cs="宋体"/>
                <w:spacing w:val="-97"/>
                <w:sz w:val="22"/>
                <w:szCs w:val="22"/>
              </w:rPr>
              <w:t xml:space="preserve"> </w:t>
            </w:r>
            <w:r>
              <w:rPr>
                <w:rFonts w:ascii="宋体" w:hAnsi="宋体" w:eastAsia="宋体" w:cs="宋体"/>
                <w:sz w:val="22"/>
                <w:szCs w:val="22"/>
                <w:u w:val="single" w:color="auto"/>
              </w:rPr>
              <w:t xml:space="preserve">                 </w:t>
            </w:r>
          </w:p>
        </w:tc>
      </w:tr>
    </w:tbl>
    <w:p w14:paraId="45DB6780">
      <w:pPr>
        <w:spacing w:line="14" w:lineRule="auto"/>
        <w:rPr>
          <w:rFonts w:ascii="Arial"/>
          <w:sz w:val="2"/>
        </w:rPr>
      </w:pPr>
    </w:p>
    <w:p w14:paraId="6C23C207">
      <w:pPr>
        <w:spacing w:line="14" w:lineRule="auto"/>
        <w:rPr>
          <w:rFonts w:ascii="Arial" w:hAnsi="Arial" w:eastAsia="Arial" w:cs="Arial"/>
          <w:sz w:val="2"/>
          <w:szCs w:val="2"/>
        </w:rPr>
        <w:sectPr>
          <w:type w:val="continuous"/>
          <w:pgSz w:w="11910" w:h="17130"/>
          <w:pgMar w:top="1416" w:right="1264" w:bottom="1740" w:left="1200" w:header="0" w:footer="1454" w:gutter="0"/>
          <w:cols w:equalWidth="0" w:num="1">
            <w:col w:w="9445"/>
          </w:cols>
        </w:sectPr>
      </w:pPr>
    </w:p>
    <w:p w14:paraId="25E73FB8">
      <w:pPr>
        <w:pStyle w:val="2"/>
        <w:spacing w:before="56" w:line="278" w:lineRule="auto"/>
        <w:ind w:firstLine="560"/>
        <w:jc w:val="both"/>
      </w:pPr>
      <w:r>
        <w:rPr>
          <w:spacing w:val="-1"/>
        </w:rPr>
        <w:t>每个输入、输出、回线的连接应使用</w:t>
      </w:r>
      <w:r>
        <w:rPr>
          <w:rFonts w:ascii="Times New Roman" w:hAnsi="Times New Roman" w:eastAsia="Times New Roman" w:cs="Times New Roman"/>
          <w:spacing w:val="-1"/>
        </w:rPr>
        <w:t>UUT</w:t>
      </w:r>
      <w:r>
        <w:rPr>
          <w:rFonts w:ascii="Times New Roman" w:hAnsi="Times New Roman" w:eastAsia="Times New Roman" w:cs="Times New Roman"/>
          <w:spacing w:val="33"/>
        </w:rPr>
        <w:t xml:space="preserve">  </w:t>
      </w:r>
      <w:r>
        <w:rPr>
          <w:spacing w:val="-1"/>
        </w:rPr>
        <w:t>上的连接器和插针号码或测试点</w:t>
      </w:r>
      <w:r>
        <w:t xml:space="preserve"> </w:t>
      </w:r>
      <w:r>
        <w:rPr>
          <w:spacing w:val="7"/>
        </w:rPr>
        <w:t>来规定。当对</w:t>
      </w:r>
      <w:r>
        <w:rPr>
          <w:spacing w:val="-70"/>
        </w:rPr>
        <w:t xml:space="preserve"> </w:t>
      </w:r>
      <w:r>
        <w:rPr>
          <w:rFonts w:ascii="Times New Roman" w:hAnsi="Times New Roman" w:eastAsia="Times New Roman" w:cs="Times New Roman"/>
        </w:rPr>
        <w:t>UUT</w:t>
      </w:r>
      <w:r>
        <w:rPr>
          <w:rFonts w:ascii="Times New Roman" w:hAnsi="Times New Roman" w:eastAsia="Times New Roman" w:cs="Times New Roman"/>
          <w:spacing w:val="7"/>
        </w:rPr>
        <w:t xml:space="preserve">  </w:t>
      </w:r>
      <w:r>
        <w:rPr>
          <w:spacing w:val="7"/>
        </w:rPr>
        <w:t>的一系列测试的输入条件相同时，可在第一项测试中规定</w:t>
      </w:r>
      <w:r>
        <w:t xml:space="preserve"> </w:t>
      </w:r>
      <w:r>
        <w:rPr>
          <w:spacing w:val="-6"/>
        </w:rPr>
        <w:t>输人条件，后续测试可直接引用。</w:t>
      </w:r>
    </w:p>
    <w:p w14:paraId="0A5BC741">
      <w:pPr>
        <w:pStyle w:val="2"/>
        <w:spacing w:before="8" w:line="275" w:lineRule="auto"/>
        <w:ind w:right="5" w:firstLine="560"/>
        <w:jc w:val="both"/>
      </w:pPr>
      <w:r>
        <w:rPr>
          <w:rFonts w:ascii="Times New Roman" w:hAnsi="Times New Roman" w:eastAsia="Times New Roman" w:cs="Times New Roman"/>
        </w:rPr>
        <w:t>UUT</w:t>
      </w:r>
      <w:r>
        <w:rPr>
          <w:rFonts w:ascii="Times New Roman" w:hAnsi="Times New Roman" w:eastAsia="Times New Roman" w:cs="Times New Roman"/>
          <w:spacing w:val="5"/>
        </w:rPr>
        <w:t xml:space="preserve">  </w:t>
      </w:r>
      <w:r>
        <w:rPr>
          <w:spacing w:val="7"/>
        </w:rPr>
        <w:t>每个测试的测试信息最低要求在</w:t>
      </w:r>
      <w:r>
        <w:rPr>
          <w:spacing w:val="-79"/>
        </w:rPr>
        <w:t xml:space="preserve"> </w:t>
      </w:r>
      <w:r>
        <w:rPr>
          <w:rFonts w:ascii="Times New Roman" w:hAnsi="Times New Roman" w:eastAsia="Times New Roman" w:cs="Times New Roman"/>
        </w:rPr>
        <w:t>GJB</w:t>
      </w:r>
      <w:r>
        <w:rPr>
          <w:rFonts w:ascii="Times New Roman" w:hAnsi="Times New Roman" w:eastAsia="Times New Roman" w:cs="Times New Roman"/>
          <w:spacing w:val="7"/>
        </w:rPr>
        <w:t xml:space="preserve"> 3966—2000</w:t>
      </w:r>
      <w:r>
        <w:rPr>
          <w:spacing w:val="7"/>
        </w:rPr>
        <w:t>《被测单元与自动</w:t>
      </w:r>
      <w:r>
        <w:t xml:space="preserve"> </w:t>
      </w:r>
      <w:r>
        <w:rPr>
          <w:spacing w:val="1"/>
        </w:rPr>
        <w:t>测试设备兼容性通用要求》节中定义。与</w:t>
      </w:r>
      <w:r>
        <w:rPr>
          <w:rFonts w:ascii="Times New Roman" w:hAnsi="Times New Roman" w:eastAsia="Times New Roman" w:cs="Times New Roman"/>
        </w:rPr>
        <w:t>GJB</w:t>
      </w:r>
      <w:r>
        <w:rPr>
          <w:rFonts w:ascii="Times New Roman" w:hAnsi="Times New Roman" w:eastAsia="Times New Roman" w:cs="Times New Roman"/>
          <w:spacing w:val="1"/>
        </w:rPr>
        <w:t xml:space="preserve">  3966—2000 </w:t>
      </w:r>
      <w:r>
        <w:rPr>
          <w:spacing w:val="1"/>
        </w:rPr>
        <w:t>描述不一致的具体测</w:t>
      </w:r>
      <w:r>
        <w:t xml:space="preserve"> </w:t>
      </w:r>
      <w:r>
        <w:rPr>
          <w:spacing w:val="-8"/>
        </w:rPr>
        <w:t>试情况应遵循阐述的原则，使输入、输出、测</w:t>
      </w:r>
      <w:r>
        <w:rPr>
          <w:spacing w:val="-9"/>
        </w:rPr>
        <w:t>试点情况得到完全的定义。</w:t>
      </w:r>
    </w:p>
    <w:p w14:paraId="1D8EDF9C">
      <w:pPr>
        <w:spacing w:before="91" w:line="221" w:lineRule="auto"/>
        <w:rPr>
          <w:rFonts w:ascii="黑体" w:hAnsi="黑体" w:eastAsia="黑体" w:cs="黑体"/>
          <w:sz w:val="25"/>
          <w:szCs w:val="25"/>
        </w:rPr>
      </w:pPr>
      <w:r>
        <w:rPr>
          <w:rFonts w:ascii="Times New Roman" w:hAnsi="Times New Roman" w:eastAsia="Times New Roman" w:cs="Times New Roman"/>
          <w:spacing w:val="9"/>
          <w:sz w:val="25"/>
          <w:szCs w:val="25"/>
        </w:rPr>
        <w:t xml:space="preserve">6.X.2       </w:t>
      </w:r>
      <w:r>
        <w:rPr>
          <w:rFonts w:ascii="黑体" w:hAnsi="黑体" w:eastAsia="黑体" w:cs="黑体"/>
          <w:spacing w:val="9"/>
          <w:sz w:val="25"/>
          <w:szCs w:val="25"/>
        </w:rPr>
        <w:t>测试流程图</w:t>
      </w:r>
    </w:p>
    <w:p w14:paraId="7DEDAB17">
      <w:pPr>
        <w:pStyle w:val="2"/>
        <w:spacing w:before="153" w:line="281" w:lineRule="auto"/>
        <w:ind w:right="10" w:firstLine="560"/>
      </w:pPr>
      <w:r>
        <w:rPr>
          <w:spacing w:val="10"/>
        </w:rPr>
        <w:t>应提供(测试项</w:t>
      </w:r>
      <w:r>
        <w:rPr>
          <w:rFonts w:ascii="Times New Roman" w:hAnsi="Times New Roman" w:eastAsia="Times New Roman" w:cs="Times New Roman"/>
          <w:spacing w:val="10"/>
        </w:rPr>
        <w:t>X)</w:t>
      </w:r>
      <w:r>
        <w:rPr>
          <w:spacing w:val="10"/>
        </w:rPr>
        <w:t>的测试流程图。测试流程图应图示说明</w:t>
      </w:r>
      <w:r>
        <w:rPr>
          <w:rFonts w:ascii="Times New Roman" w:hAnsi="Times New Roman" w:eastAsia="Times New Roman" w:cs="Times New Roman"/>
        </w:rPr>
        <w:t>TRD</w:t>
      </w:r>
      <w:r>
        <w:rPr>
          <w:rFonts w:ascii="Times New Roman" w:hAnsi="Times New Roman" w:eastAsia="Times New Roman" w:cs="Times New Roman"/>
          <w:spacing w:val="51"/>
        </w:rPr>
        <w:t xml:space="preserve"> </w:t>
      </w:r>
      <w:r>
        <w:rPr>
          <w:spacing w:val="10"/>
        </w:rPr>
        <w:t>功能/性能</w:t>
      </w:r>
      <w:r>
        <w:t xml:space="preserve"> </w:t>
      </w:r>
      <w:r>
        <w:rPr>
          <w:spacing w:val="4"/>
        </w:rPr>
        <w:t>测试和故障诊断测试的顺序和分支。测试流程图应采用树图形式表示。</w:t>
      </w:r>
    </w:p>
    <w:p w14:paraId="76193CF7">
      <w:pPr>
        <w:spacing w:before="95" w:line="221" w:lineRule="auto"/>
        <w:rPr>
          <w:rFonts w:ascii="黑体" w:hAnsi="黑体" w:eastAsia="黑体" w:cs="黑体"/>
          <w:sz w:val="24"/>
          <w:szCs w:val="24"/>
        </w:rPr>
      </w:pPr>
      <w:r>
        <w:rPr>
          <w:rFonts w:ascii="Times New Roman" w:hAnsi="Times New Roman" w:eastAsia="Times New Roman" w:cs="Times New Roman"/>
          <w:spacing w:val="15"/>
          <w:sz w:val="24"/>
          <w:szCs w:val="24"/>
        </w:rPr>
        <w:t>6.X</w:t>
      </w:r>
      <w:r>
        <w:rPr>
          <w:rFonts w:ascii="Times New Roman" w:hAnsi="Times New Roman" w:eastAsia="Times New Roman" w:cs="Times New Roman"/>
          <w:spacing w:val="57"/>
          <w:sz w:val="24"/>
          <w:szCs w:val="24"/>
        </w:rPr>
        <w:t xml:space="preserve"> </w:t>
      </w:r>
      <w:r>
        <w:rPr>
          <w:rFonts w:ascii="黑体" w:hAnsi="黑体" w:eastAsia="黑体" w:cs="黑体"/>
          <w:spacing w:val="15"/>
          <w:sz w:val="24"/>
          <w:szCs w:val="24"/>
        </w:rPr>
        <w:t>.3</w:t>
      </w:r>
      <w:r>
        <w:rPr>
          <w:rFonts w:ascii="黑体" w:hAnsi="黑体" w:eastAsia="黑体" w:cs="黑体"/>
          <w:spacing w:val="49"/>
          <w:sz w:val="24"/>
          <w:szCs w:val="24"/>
        </w:rPr>
        <w:t xml:space="preserve">  </w:t>
      </w:r>
      <w:r>
        <w:rPr>
          <w:rFonts w:ascii="黑体" w:hAnsi="黑体" w:eastAsia="黑体" w:cs="黑体"/>
          <w:spacing w:val="15"/>
          <w:sz w:val="24"/>
          <w:szCs w:val="24"/>
        </w:rPr>
        <w:t>验收测试程序</w:t>
      </w:r>
    </w:p>
    <w:p w14:paraId="40E9C600">
      <w:pPr>
        <w:pStyle w:val="2"/>
        <w:spacing w:before="136" w:line="288" w:lineRule="auto"/>
        <w:ind w:right="12" w:firstLine="560"/>
      </w:pPr>
      <w:r>
        <w:rPr>
          <w:spacing w:val="7"/>
        </w:rPr>
        <w:t>如果有的话，应提供描述</w:t>
      </w:r>
      <w:r>
        <w:rPr>
          <w:rFonts w:ascii="Times New Roman" w:hAnsi="Times New Roman" w:eastAsia="Times New Roman" w:cs="Times New Roman"/>
        </w:rPr>
        <w:t>UUT</w:t>
      </w:r>
      <w:r>
        <w:rPr>
          <w:rFonts w:ascii="Times New Roman" w:hAnsi="Times New Roman" w:eastAsia="Times New Roman" w:cs="Times New Roman"/>
          <w:spacing w:val="26"/>
        </w:rPr>
        <w:t xml:space="preserve">  </w:t>
      </w:r>
      <w:r>
        <w:rPr>
          <w:spacing w:val="7"/>
        </w:rPr>
        <w:t>制造厂验收测试方法关于(测试项</w:t>
      </w:r>
      <w:r>
        <w:rPr>
          <w:spacing w:val="-72"/>
        </w:rPr>
        <w:t xml:space="preserve"> </w:t>
      </w:r>
      <w:r>
        <w:rPr>
          <w:rFonts w:ascii="Times New Roman" w:hAnsi="Times New Roman" w:eastAsia="Times New Roman" w:cs="Times New Roman"/>
          <w:spacing w:val="7"/>
        </w:rPr>
        <w:t>X)</w:t>
      </w:r>
      <w:r>
        <w:rPr>
          <w:rFonts w:ascii="Times New Roman" w:hAnsi="Times New Roman" w:eastAsia="Times New Roman" w:cs="Times New Roman"/>
          <w:spacing w:val="20"/>
        </w:rPr>
        <w:t xml:space="preserve"> </w:t>
      </w:r>
      <w:r>
        <w:rPr>
          <w:spacing w:val="6"/>
        </w:rPr>
        <w:t>的验</w:t>
      </w:r>
      <w:r>
        <w:t xml:space="preserve"> 收测试程序。</w:t>
      </w:r>
    </w:p>
    <w:p w14:paraId="7020A90A">
      <w:pPr>
        <w:spacing w:line="317" w:lineRule="auto"/>
        <w:rPr>
          <w:rFonts w:ascii="Arial"/>
          <w:sz w:val="21"/>
        </w:rPr>
      </w:pPr>
    </w:p>
    <w:p w14:paraId="538E1750">
      <w:pPr>
        <w:pStyle w:val="2"/>
        <w:spacing w:before="117" w:line="220" w:lineRule="auto"/>
        <w:ind w:left="2859"/>
        <w:rPr>
          <w:sz w:val="36"/>
          <w:szCs w:val="36"/>
        </w:rPr>
      </w:pPr>
      <w:r>
        <w:rPr>
          <w:spacing w:val="-2"/>
          <w:sz w:val="36"/>
          <w:szCs w:val="36"/>
        </w:rPr>
        <w:t>9.</w:t>
      </w:r>
      <w:r>
        <w:rPr>
          <w:b/>
          <w:bCs/>
          <w:spacing w:val="-2"/>
          <w:sz w:val="36"/>
          <w:szCs w:val="36"/>
        </w:rPr>
        <w:t>15</w:t>
      </w:r>
      <w:r>
        <w:rPr>
          <w:spacing w:val="24"/>
          <w:sz w:val="36"/>
          <w:szCs w:val="36"/>
        </w:rPr>
        <w:t xml:space="preserve">  </w:t>
      </w:r>
      <w:r>
        <w:rPr>
          <w:b/>
          <w:bCs/>
          <w:spacing w:val="-2"/>
          <w:sz w:val="36"/>
          <w:szCs w:val="36"/>
        </w:rPr>
        <w:t>测试性核查计划</w:t>
      </w:r>
    </w:p>
    <w:p w14:paraId="6E9E597E">
      <w:pPr>
        <w:spacing w:line="401" w:lineRule="auto"/>
        <w:rPr>
          <w:rFonts w:ascii="Arial"/>
          <w:sz w:val="21"/>
        </w:rPr>
      </w:pPr>
    </w:p>
    <w:p w14:paraId="1E6FE7E9">
      <w:pPr>
        <w:pStyle w:val="2"/>
        <w:spacing w:before="91" w:line="223" w:lineRule="auto"/>
        <w:ind w:left="560"/>
        <w:rPr>
          <w:rFonts w:ascii="楷体" w:hAnsi="楷体" w:eastAsia="楷体" w:cs="楷体"/>
          <w:sz w:val="28"/>
          <w:szCs w:val="28"/>
        </w:rPr>
      </w:pPr>
      <w:r>
        <w:rPr>
          <w:rFonts w:ascii="楷体" w:hAnsi="楷体" w:eastAsia="楷体" w:cs="楷体"/>
          <w:spacing w:val="-13"/>
          <w:sz w:val="28"/>
          <w:szCs w:val="28"/>
        </w:rPr>
        <w:t>按照</w:t>
      </w:r>
      <w:r>
        <w:rPr>
          <w:rFonts w:ascii="楷体" w:hAnsi="楷体" w:eastAsia="楷体" w:cs="楷体"/>
          <w:spacing w:val="-67"/>
          <w:sz w:val="28"/>
          <w:szCs w:val="28"/>
        </w:rPr>
        <w:t xml:space="preserve"> </w:t>
      </w:r>
      <w:r>
        <w:rPr>
          <w:rFonts w:ascii="Times New Roman" w:hAnsi="Times New Roman" w:eastAsia="Times New Roman" w:cs="Times New Roman"/>
          <w:spacing w:val="-13"/>
          <w:sz w:val="28"/>
          <w:szCs w:val="28"/>
        </w:rPr>
        <w:t>GJB 2547A</w:t>
      </w:r>
      <w:r>
        <w:rPr>
          <w:spacing w:val="-13"/>
          <w:sz w:val="28"/>
          <w:szCs w:val="28"/>
        </w:rPr>
        <w:t>《</w:t>
      </w:r>
      <w:r>
        <w:rPr>
          <w:rFonts w:ascii="楷体" w:hAnsi="楷体" w:eastAsia="楷体" w:cs="楷体"/>
          <w:spacing w:val="-13"/>
          <w:sz w:val="28"/>
          <w:szCs w:val="28"/>
        </w:rPr>
        <w:t>装备测试性工作通用要求》编写。</w:t>
      </w:r>
    </w:p>
    <w:p w14:paraId="1F484FAB">
      <w:pPr>
        <w:spacing w:before="140"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0B7F58C0">
      <w:pPr>
        <w:spacing w:before="240" w:line="222" w:lineRule="auto"/>
        <w:rPr>
          <w:rFonts w:ascii="黑体" w:hAnsi="黑体" w:eastAsia="黑体" w:cs="黑体"/>
          <w:sz w:val="24"/>
          <w:szCs w:val="24"/>
        </w:rPr>
      </w:pPr>
      <w:r>
        <w:rPr>
          <w:rFonts w:ascii="黑体" w:hAnsi="黑体" w:eastAsia="黑体" w:cs="黑体"/>
          <w:spacing w:val="22"/>
          <w:sz w:val="24"/>
          <w:szCs w:val="24"/>
        </w:rPr>
        <w:t>2</w:t>
      </w:r>
      <w:r>
        <w:rPr>
          <w:rFonts w:ascii="黑体" w:hAnsi="黑体" w:eastAsia="黑体" w:cs="黑体"/>
          <w:spacing w:val="35"/>
          <w:sz w:val="24"/>
          <w:szCs w:val="24"/>
        </w:rPr>
        <w:t xml:space="preserve">  </w:t>
      </w:r>
      <w:r>
        <w:rPr>
          <w:rFonts w:ascii="黑体" w:hAnsi="黑体" w:eastAsia="黑体" w:cs="黑体"/>
          <w:spacing w:val="22"/>
          <w:sz w:val="24"/>
          <w:szCs w:val="24"/>
        </w:rPr>
        <w:t>引用文件</w:t>
      </w:r>
    </w:p>
    <w:p w14:paraId="1B7873BD">
      <w:pPr>
        <w:spacing w:before="237" w:line="221" w:lineRule="auto"/>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36"/>
          <w:sz w:val="24"/>
          <w:szCs w:val="24"/>
        </w:rPr>
        <w:t xml:space="preserve">  </w:t>
      </w:r>
      <w:r>
        <w:rPr>
          <w:rFonts w:ascii="黑体" w:hAnsi="黑体" w:eastAsia="黑体" w:cs="黑体"/>
          <w:b/>
          <w:bCs/>
          <w:spacing w:val="-7"/>
          <w:sz w:val="24"/>
          <w:szCs w:val="24"/>
        </w:rPr>
        <w:t>概</w:t>
      </w:r>
      <w:r>
        <w:rPr>
          <w:rFonts w:ascii="黑体" w:hAnsi="黑体" w:eastAsia="黑体" w:cs="黑体"/>
          <w:spacing w:val="-55"/>
          <w:sz w:val="24"/>
          <w:szCs w:val="24"/>
        </w:rPr>
        <w:t xml:space="preserve"> </w:t>
      </w:r>
      <w:r>
        <w:rPr>
          <w:rFonts w:ascii="黑体" w:hAnsi="黑体" w:eastAsia="黑体" w:cs="黑体"/>
          <w:b/>
          <w:bCs/>
          <w:spacing w:val="-7"/>
          <w:sz w:val="24"/>
          <w:szCs w:val="24"/>
        </w:rPr>
        <w:t>述</w:t>
      </w:r>
    </w:p>
    <w:p w14:paraId="05F3C847">
      <w:pPr>
        <w:pStyle w:val="2"/>
        <w:spacing w:before="190" w:line="219" w:lineRule="auto"/>
        <w:ind w:left="560"/>
      </w:pPr>
      <w:r>
        <w:rPr>
          <w:spacing w:val="-1"/>
        </w:rPr>
        <w:t>一般应说明：</w:t>
      </w:r>
    </w:p>
    <w:p w14:paraId="36DC3353">
      <w:pPr>
        <w:pStyle w:val="2"/>
        <w:spacing w:before="69" w:line="212" w:lineRule="auto"/>
        <w:ind w:left="560"/>
      </w:pPr>
      <w:r>
        <w:rPr>
          <w:rFonts w:ascii="Times New Roman" w:hAnsi="Times New Roman" w:eastAsia="Times New Roman" w:cs="Times New Roman"/>
          <w:spacing w:val="1"/>
        </w:rPr>
        <w:t xml:space="preserve">a)  </w:t>
      </w:r>
      <w:r>
        <w:rPr>
          <w:spacing w:val="1"/>
        </w:rPr>
        <w:t>试验与评定的依据；</w:t>
      </w:r>
    </w:p>
    <w:p w14:paraId="176E7C7D">
      <w:pPr>
        <w:pStyle w:val="2"/>
        <w:spacing w:before="90"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试验与评定的目的；</w:t>
      </w:r>
    </w:p>
    <w:p w14:paraId="6ACA5AF0">
      <w:pPr>
        <w:pStyle w:val="2"/>
        <w:spacing w:before="110" w:line="212" w:lineRule="auto"/>
        <w:ind w:left="560"/>
      </w:pPr>
      <w:r>
        <w:rPr>
          <w:rFonts w:ascii="Times New Roman" w:hAnsi="Times New Roman" w:eastAsia="Times New Roman" w:cs="Times New Roman"/>
          <w:spacing w:val="2"/>
        </w:rPr>
        <w:t>c)</w:t>
      </w:r>
      <w:r>
        <w:rPr>
          <w:rFonts w:ascii="Times New Roman" w:hAnsi="Times New Roman" w:eastAsia="Times New Roman" w:cs="Times New Roman"/>
          <w:spacing w:val="64"/>
          <w:w w:val="101"/>
        </w:rPr>
        <w:t xml:space="preserve"> </w:t>
      </w:r>
      <w:r>
        <w:rPr>
          <w:spacing w:val="2"/>
        </w:rPr>
        <w:t>试验与评定的类别；</w:t>
      </w:r>
    </w:p>
    <w:p w14:paraId="26CD77A0">
      <w:pPr>
        <w:pStyle w:val="2"/>
        <w:spacing w:before="100" w:line="212" w:lineRule="auto"/>
        <w:ind w:left="560"/>
      </w:pPr>
      <w:r>
        <w:rPr>
          <w:rFonts w:ascii="Times New Roman" w:hAnsi="Times New Roman" w:eastAsia="Times New Roman" w:cs="Times New Roman"/>
          <w:spacing w:val="2"/>
        </w:rPr>
        <w:t xml:space="preserve">d)  </w:t>
      </w:r>
      <w:r>
        <w:rPr>
          <w:spacing w:val="2"/>
        </w:rPr>
        <w:t>试验与评定的项目；</w:t>
      </w:r>
    </w:p>
    <w:p w14:paraId="0AA63112">
      <w:pPr>
        <w:pStyle w:val="2"/>
        <w:spacing w:before="110" w:line="212" w:lineRule="auto"/>
        <w:ind w:left="560"/>
      </w:pPr>
      <w:r>
        <w:rPr>
          <w:rFonts w:ascii="Times New Roman" w:hAnsi="Times New Roman" w:eastAsia="Times New Roman" w:cs="Times New Roman"/>
          <w:spacing w:val="-1"/>
        </w:rPr>
        <w:t xml:space="preserve">e)  </w:t>
      </w:r>
      <w:r>
        <w:rPr>
          <w:spacing w:val="-1"/>
        </w:rPr>
        <w:t>若测试性试验与其他试验结合进行，应说明结合的方法。</w:t>
      </w:r>
    </w:p>
    <w:p w14:paraId="502C86EF">
      <w:pPr>
        <w:spacing w:before="119" w:line="222" w:lineRule="auto"/>
        <w:rPr>
          <w:rFonts w:ascii="黑体" w:hAnsi="黑体" w:eastAsia="黑体" w:cs="黑体"/>
          <w:sz w:val="24"/>
          <w:szCs w:val="24"/>
        </w:rPr>
      </w:pPr>
      <w:r>
        <w:rPr>
          <w:rFonts w:ascii="黑体" w:hAnsi="黑体" w:eastAsia="黑体" w:cs="黑体"/>
          <w:spacing w:val="-4"/>
          <w:sz w:val="24"/>
          <w:szCs w:val="24"/>
        </w:rPr>
        <w:t>4</w:t>
      </w:r>
      <w:r>
        <w:rPr>
          <w:rFonts w:ascii="黑体" w:hAnsi="黑体" w:eastAsia="黑体" w:cs="黑体"/>
          <w:spacing w:val="31"/>
          <w:sz w:val="24"/>
          <w:szCs w:val="24"/>
        </w:rPr>
        <w:t xml:space="preserve">  </w:t>
      </w:r>
      <w:r>
        <w:rPr>
          <w:rFonts w:ascii="黑体" w:hAnsi="黑体" w:eastAsia="黑体" w:cs="黑体"/>
          <w:spacing w:val="-4"/>
          <w:sz w:val="24"/>
          <w:szCs w:val="24"/>
        </w:rPr>
        <w:t>组</w:t>
      </w:r>
      <w:r>
        <w:rPr>
          <w:rFonts w:ascii="黑体" w:hAnsi="黑体" w:eastAsia="黑体" w:cs="黑体"/>
          <w:spacing w:val="-44"/>
          <w:sz w:val="24"/>
          <w:szCs w:val="24"/>
        </w:rPr>
        <w:t xml:space="preserve"> </w:t>
      </w:r>
      <w:r>
        <w:rPr>
          <w:rFonts w:ascii="黑体" w:hAnsi="黑体" w:eastAsia="黑体" w:cs="黑体"/>
          <w:spacing w:val="-4"/>
          <w:sz w:val="24"/>
          <w:szCs w:val="24"/>
        </w:rPr>
        <w:t>织</w:t>
      </w:r>
    </w:p>
    <w:p w14:paraId="45EA9D17">
      <w:pPr>
        <w:pStyle w:val="2"/>
        <w:spacing w:before="113" w:line="219" w:lineRule="auto"/>
        <w:ind w:left="560"/>
      </w:pPr>
      <w:r>
        <w:rPr>
          <w:spacing w:val="-8"/>
        </w:rPr>
        <w:t>试验的组织工作，一般应明确：</w:t>
      </w:r>
    </w:p>
    <w:p w14:paraId="31E610DB">
      <w:pPr>
        <w:pStyle w:val="2"/>
        <w:spacing w:before="59" w:line="212" w:lineRule="auto"/>
        <w:ind w:left="560"/>
      </w:pPr>
      <w:r>
        <w:rPr>
          <w:rFonts w:ascii="Times New Roman" w:hAnsi="Times New Roman" w:eastAsia="Times New Roman" w:cs="Times New Roman"/>
          <w:spacing w:val="3"/>
        </w:rPr>
        <w:t xml:space="preserve">a)  </w:t>
      </w:r>
      <w:r>
        <w:rPr>
          <w:spacing w:val="3"/>
        </w:rPr>
        <w:t>试验评定的组织领导及参试单位；</w:t>
      </w:r>
    </w:p>
    <w:p w14:paraId="0DDE6B3D">
      <w:pPr>
        <w:pStyle w:val="2"/>
        <w:spacing w:before="110" w:line="212" w:lineRule="auto"/>
        <w:ind w:left="560"/>
      </w:pPr>
      <w:r>
        <w:rPr>
          <w:rFonts w:ascii="Times New Roman" w:hAnsi="Times New Roman" w:eastAsia="Times New Roman" w:cs="Times New Roman"/>
          <w:spacing w:val="-3"/>
        </w:rPr>
        <w:t xml:space="preserve">b)  </w:t>
      </w:r>
      <w:r>
        <w:rPr>
          <w:spacing w:val="-3"/>
        </w:rPr>
        <w:t>试验人员的分工及资格、数量要求；</w:t>
      </w:r>
    </w:p>
    <w:p w14:paraId="0730A18F">
      <w:pPr>
        <w:pStyle w:val="2"/>
        <w:spacing w:before="80" w:line="212" w:lineRule="auto"/>
        <w:ind w:left="560"/>
      </w:pPr>
      <w:r>
        <w:rPr>
          <w:rFonts w:ascii="Times New Roman" w:hAnsi="Times New Roman" w:eastAsia="Times New Roman" w:cs="Times New Roman"/>
          <w:spacing w:val="3"/>
        </w:rPr>
        <w:t xml:space="preserve">c)  </w:t>
      </w:r>
      <w:r>
        <w:rPr>
          <w:spacing w:val="3"/>
        </w:rPr>
        <w:t>测试小组人员的来源及培训要求。</w:t>
      </w:r>
    </w:p>
    <w:p w14:paraId="66454CEA">
      <w:pPr>
        <w:spacing w:before="69" w:line="368" w:lineRule="exact"/>
        <w:rPr>
          <w:rFonts w:ascii="黑体" w:hAnsi="黑体" w:eastAsia="黑体" w:cs="黑体"/>
          <w:sz w:val="27"/>
          <w:szCs w:val="27"/>
        </w:rPr>
      </w:pPr>
      <w:r>
        <w:rPr>
          <w:rFonts w:ascii="Arial" w:hAnsi="Arial" w:eastAsia="Arial" w:cs="Arial"/>
          <w:spacing w:val="4"/>
          <w:position w:val="1"/>
          <w:sz w:val="27"/>
          <w:szCs w:val="27"/>
        </w:rPr>
        <w:t>5</w:t>
      </w:r>
      <w:r>
        <w:rPr>
          <w:rFonts w:ascii="Arial" w:hAnsi="Arial" w:eastAsia="Arial" w:cs="Arial"/>
          <w:spacing w:val="20"/>
          <w:position w:val="1"/>
          <w:sz w:val="27"/>
          <w:szCs w:val="27"/>
        </w:rPr>
        <w:t xml:space="preserve">   </w:t>
      </w:r>
      <w:r>
        <w:rPr>
          <w:rFonts w:ascii="黑体" w:hAnsi="黑体" w:eastAsia="黑体" w:cs="黑体"/>
          <w:spacing w:val="4"/>
          <w:position w:val="1"/>
          <w:sz w:val="27"/>
          <w:szCs w:val="27"/>
        </w:rPr>
        <w:t>试验场地与资源</w:t>
      </w:r>
    </w:p>
    <w:p w14:paraId="7EC69563">
      <w:pPr>
        <w:pStyle w:val="2"/>
        <w:spacing w:before="104" w:line="220" w:lineRule="auto"/>
        <w:ind w:left="560"/>
      </w:pPr>
      <w:r>
        <w:rPr>
          <w:spacing w:val="-7"/>
        </w:rPr>
        <w:t>试验的场地与资源，一般应规定：</w:t>
      </w:r>
    </w:p>
    <w:p w14:paraId="0EDC4F8E">
      <w:pPr>
        <w:spacing w:line="220" w:lineRule="auto"/>
        <w:sectPr>
          <w:footerReference r:id="rId474" w:type="default"/>
          <w:pgSz w:w="11910" w:h="17130"/>
          <w:pgMar w:top="1456" w:right="1055" w:bottom="1701" w:left="1470" w:header="0" w:footer="1387" w:gutter="0"/>
          <w:cols w:space="720" w:num="1"/>
        </w:sectPr>
      </w:pPr>
    </w:p>
    <w:p w14:paraId="12F578B7">
      <w:pPr>
        <w:pStyle w:val="2"/>
        <w:spacing w:before="75" w:line="219" w:lineRule="auto"/>
        <w:ind w:left="550"/>
      </w:pPr>
      <w:r>
        <w:rPr>
          <w:rFonts w:ascii="Times New Roman" w:hAnsi="Times New Roman" w:eastAsia="Times New Roman" w:cs="Times New Roman"/>
          <w:spacing w:val="2"/>
        </w:rPr>
        <w:t>a</w:t>
      </w:r>
      <w:r>
        <w:rPr>
          <w:spacing w:val="2"/>
        </w:rPr>
        <w:t>)</w:t>
      </w:r>
      <w:r>
        <w:rPr>
          <w:spacing w:val="-40"/>
        </w:rPr>
        <w:t xml:space="preserve"> </w:t>
      </w:r>
      <w:r>
        <w:rPr>
          <w:spacing w:val="2"/>
        </w:rPr>
        <w:t>试验场地及环境条件；</w:t>
      </w:r>
    </w:p>
    <w:p w14:paraId="7169938E">
      <w:pPr>
        <w:pStyle w:val="2"/>
        <w:spacing w:before="49" w:line="212" w:lineRule="auto"/>
        <w:ind w:left="550"/>
      </w:pPr>
      <w:r>
        <w:rPr>
          <w:rFonts w:ascii="Times New Roman" w:hAnsi="Times New Roman" w:eastAsia="Times New Roman" w:cs="Times New Roman"/>
          <w:spacing w:val="1"/>
        </w:rPr>
        <w:t>b)</w:t>
      </w:r>
      <w:r>
        <w:rPr>
          <w:rFonts w:ascii="Times New Roman" w:hAnsi="Times New Roman" w:eastAsia="Times New Roman" w:cs="Times New Roman"/>
          <w:spacing w:val="71"/>
        </w:rPr>
        <w:t xml:space="preserve"> </w:t>
      </w:r>
      <w:r>
        <w:rPr>
          <w:spacing w:val="1"/>
        </w:rPr>
        <w:t>工具与保障设备；</w:t>
      </w:r>
    </w:p>
    <w:p w14:paraId="5CF05B7A">
      <w:pPr>
        <w:pStyle w:val="2"/>
        <w:spacing w:before="150" w:line="219" w:lineRule="auto"/>
        <w:ind w:left="550"/>
      </w:pPr>
      <w:r>
        <w:rPr>
          <w:rFonts w:ascii="Times New Roman" w:hAnsi="Times New Roman" w:eastAsia="Times New Roman" w:cs="Times New Roman"/>
          <w:spacing w:val="11"/>
        </w:rPr>
        <w:t>c</w:t>
      </w:r>
      <w:r>
        <w:rPr>
          <w:spacing w:val="11"/>
        </w:rPr>
        <w:t>)技术文件；</w:t>
      </w:r>
    </w:p>
    <w:p w14:paraId="69234B1C">
      <w:pPr>
        <w:pStyle w:val="2"/>
        <w:spacing w:before="69" w:line="212" w:lineRule="auto"/>
        <w:ind w:left="550"/>
      </w:pPr>
      <w:r>
        <w:rPr>
          <w:rFonts w:ascii="Times New Roman" w:hAnsi="Times New Roman" w:eastAsia="Times New Roman" w:cs="Times New Roman"/>
        </w:rPr>
        <w:t xml:space="preserve">d)  </w:t>
      </w:r>
      <w:r>
        <w:t>备件和消耗品；</w:t>
      </w:r>
    </w:p>
    <w:p w14:paraId="1FBD4D6C">
      <w:pPr>
        <w:pStyle w:val="2"/>
        <w:spacing w:before="121" w:line="221" w:lineRule="auto"/>
        <w:ind w:left="550"/>
      </w:pPr>
      <w:r>
        <w:rPr>
          <w:rFonts w:ascii="Times New Roman" w:hAnsi="Times New Roman" w:eastAsia="Times New Roman" w:cs="Times New Roman"/>
          <w:spacing w:val="11"/>
        </w:rPr>
        <w:t>e</w:t>
      </w:r>
      <w:r>
        <w:rPr>
          <w:spacing w:val="11"/>
        </w:rPr>
        <w:t>)试验设备；</w:t>
      </w:r>
    </w:p>
    <w:p w14:paraId="2D394B2D">
      <w:pPr>
        <w:pStyle w:val="2"/>
        <w:spacing w:before="54" w:line="212" w:lineRule="auto"/>
        <w:ind w:left="550"/>
      </w:pPr>
      <w:r>
        <w:rPr>
          <w:rFonts w:ascii="Times New Roman" w:hAnsi="Times New Roman" w:eastAsia="Times New Roman" w:cs="Times New Roman"/>
        </w:rPr>
        <w:t>f)</w:t>
      </w:r>
      <w:r>
        <w:rPr>
          <w:rFonts w:ascii="Times New Roman" w:hAnsi="Times New Roman" w:eastAsia="Times New Roman" w:cs="Times New Roman"/>
          <w:spacing w:val="66"/>
        </w:rPr>
        <w:t xml:space="preserve"> </w:t>
      </w:r>
      <w:r>
        <w:t>安全设备。</w:t>
      </w:r>
    </w:p>
    <w:p w14:paraId="10C22ECE">
      <w:pPr>
        <w:spacing w:before="158" w:line="222" w:lineRule="auto"/>
        <w:rPr>
          <w:rFonts w:ascii="黑体" w:hAnsi="黑体" w:eastAsia="黑体" w:cs="黑体"/>
          <w:sz w:val="24"/>
          <w:szCs w:val="24"/>
        </w:rPr>
      </w:pPr>
      <w:r>
        <w:rPr>
          <w:rFonts w:ascii="黑体" w:hAnsi="黑体" w:eastAsia="黑体" w:cs="黑体"/>
          <w:spacing w:val="-9"/>
          <w:sz w:val="24"/>
          <w:szCs w:val="24"/>
        </w:rPr>
        <w:t>6</w:t>
      </w:r>
      <w:r>
        <w:rPr>
          <w:rFonts w:ascii="黑体" w:hAnsi="黑体" w:eastAsia="黑体" w:cs="黑体"/>
          <w:spacing w:val="45"/>
          <w:sz w:val="24"/>
          <w:szCs w:val="24"/>
        </w:rPr>
        <w:t xml:space="preserve">  </w:t>
      </w:r>
      <w:r>
        <w:rPr>
          <w:rFonts w:ascii="黑体" w:hAnsi="黑体" w:eastAsia="黑体" w:cs="黑体"/>
          <w:spacing w:val="-9"/>
          <w:sz w:val="24"/>
          <w:szCs w:val="24"/>
        </w:rPr>
        <w:t>实</w:t>
      </w:r>
      <w:r>
        <w:rPr>
          <w:rFonts w:ascii="黑体" w:hAnsi="黑体" w:eastAsia="黑体" w:cs="黑体"/>
          <w:spacing w:val="-36"/>
          <w:sz w:val="24"/>
          <w:szCs w:val="24"/>
        </w:rPr>
        <w:t xml:space="preserve"> </w:t>
      </w:r>
      <w:r>
        <w:rPr>
          <w:rFonts w:ascii="黑体" w:hAnsi="黑体" w:eastAsia="黑体" w:cs="黑体"/>
          <w:spacing w:val="-9"/>
          <w:sz w:val="24"/>
          <w:szCs w:val="24"/>
        </w:rPr>
        <w:t>施</w:t>
      </w:r>
    </w:p>
    <w:p w14:paraId="739AE79C">
      <w:pPr>
        <w:spacing w:before="134" w:line="223" w:lineRule="auto"/>
        <w:rPr>
          <w:rFonts w:ascii="黑体" w:hAnsi="黑体" w:eastAsia="黑体" w:cs="黑体"/>
          <w:sz w:val="25"/>
          <w:szCs w:val="25"/>
        </w:rPr>
      </w:pPr>
      <w:r>
        <w:rPr>
          <w:rFonts w:ascii="黑体" w:hAnsi="黑体" w:eastAsia="黑体" w:cs="黑体"/>
          <w:spacing w:val="-4"/>
          <w:sz w:val="25"/>
          <w:szCs w:val="25"/>
        </w:rPr>
        <w:t>6.1</w:t>
      </w:r>
      <w:r>
        <w:rPr>
          <w:rFonts w:ascii="黑体" w:hAnsi="黑体" w:eastAsia="黑体" w:cs="黑体"/>
          <w:spacing w:val="36"/>
          <w:sz w:val="25"/>
          <w:szCs w:val="25"/>
        </w:rPr>
        <w:t xml:space="preserve">  </w:t>
      </w:r>
      <w:r>
        <w:rPr>
          <w:rFonts w:ascii="黑体" w:hAnsi="黑体" w:eastAsia="黑体" w:cs="黑体"/>
          <w:spacing w:val="-4"/>
          <w:sz w:val="25"/>
          <w:szCs w:val="25"/>
        </w:rPr>
        <w:t>准</w:t>
      </w:r>
      <w:r>
        <w:rPr>
          <w:rFonts w:ascii="黑体" w:hAnsi="黑体" w:eastAsia="黑体" w:cs="黑体"/>
          <w:spacing w:val="-55"/>
          <w:sz w:val="25"/>
          <w:szCs w:val="25"/>
        </w:rPr>
        <w:t xml:space="preserve"> </w:t>
      </w:r>
      <w:r>
        <w:rPr>
          <w:rFonts w:ascii="黑体" w:hAnsi="黑体" w:eastAsia="黑体" w:cs="黑体"/>
          <w:spacing w:val="-4"/>
          <w:sz w:val="25"/>
          <w:szCs w:val="25"/>
        </w:rPr>
        <w:t>备</w:t>
      </w:r>
    </w:p>
    <w:p w14:paraId="099D0647">
      <w:pPr>
        <w:pStyle w:val="2"/>
        <w:spacing w:before="109" w:line="220" w:lineRule="auto"/>
        <w:ind w:left="550"/>
      </w:pPr>
      <w:r>
        <w:rPr>
          <w:spacing w:val="-9"/>
        </w:rPr>
        <w:t>试验的准备工作，一般包括：</w:t>
      </w:r>
    </w:p>
    <w:p w14:paraId="016F765A">
      <w:pPr>
        <w:pStyle w:val="2"/>
        <w:spacing w:before="67" w:line="212" w:lineRule="auto"/>
        <w:ind w:left="550"/>
      </w:pPr>
      <w:r>
        <w:rPr>
          <w:rFonts w:ascii="Times New Roman" w:hAnsi="Times New Roman" w:eastAsia="Times New Roman" w:cs="Times New Roman"/>
          <w:spacing w:val="1"/>
        </w:rPr>
        <w:t xml:space="preserve">a)  </w:t>
      </w:r>
      <w:r>
        <w:rPr>
          <w:spacing w:val="1"/>
        </w:rPr>
        <w:t>试验组的组成；</w:t>
      </w:r>
    </w:p>
    <w:p w14:paraId="257C3121">
      <w:pPr>
        <w:pStyle w:val="2"/>
        <w:spacing w:before="132" w:line="212" w:lineRule="auto"/>
        <w:ind w:left="550"/>
        <w:rPr>
          <w:sz w:val="24"/>
          <w:szCs w:val="24"/>
        </w:rPr>
      </w:pPr>
      <w:r>
        <w:rPr>
          <w:rFonts w:ascii="Times New Roman" w:hAnsi="Times New Roman" w:eastAsia="Times New Roman" w:cs="Times New Roman"/>
          <w:spacing w:val="22"/>
          <w:sz w:val="24"/>
          <w:szCs w:val="24"/>
        </w:rPr>
        <w:t>b)</w:t>
      </w:r>
      <w:r>
        <w:rPr>
          <w:rFonts w:ascii="Times New Roman" w:hAnsi="Times New Roman" w:eastAsia="Times New Roman" w:cs="Times New Roman"/>
          <w:spacing w:val="29"/>
          <w:w w:val="101"/>
          <w:sz w:val="24"/>
          <w:szCs w:val="24"/>
        </w:rPr>
        <w:t xml:space="preserve">  </w:t>
      </w:r>
      <w:r>
        <w:rPr>
          <w:spacing w:val="22"/>
          <w:sz w:val="24"/>
          <w:szCs w:val="24"/>
        </w:rPr>
        <w:t>测试人员的培训；</w:t>
      </w:r>
    </w:p>
    <w:p w14:paraId="4F69EF6C">
      <w:pPr>
        <w:pStyle w:val="2"/>
        <w:spacing w:before="122" w:line="212" w:lineRule="auto"/>
        <w:ind w:left="550"/>
      </w:pPr>
      <w:r>
        <w:rPr>
          <w:rFonts w:ascii="Times New Roman" w:hAnsi="Times New Roman" w:eastAsia="Times New Roman" w:cs="Times New Roman"/>
        </w:rPr>
        <w:t xml:space="preserve">c)  </w:t>
      </w:r>
      <w:r>
        <w:t>试验设施的准备；</w:t>
      </w:r>
    </w:p>
    <w:p w14:paraId="42DCA8AE">
      <w:pPr>
        <w:pStyle w:val="2"/>
        <w:spacing w:before="110" w:line="212" w:lineRule="auto"/>
        <w:ind w:left="550"/>
      </w:pPr>
      <w:r>
        <w:rPr>
          <w:rFonts w:ascii="Times New Roman" w:hAnsi="Times New Roman" w:eastAsia="Times New Roman" w:cs="Times New Roman"/>
          <w:spacing w:val="1"/>
        </w:rPr>
        <w:t xml:space="preserve">d)  </w:t>
      </w:r>
      <w:r>
        <w:rPr>
          <w:spacing w:val="1"/>
        </w:rPr>
        <w:t>保障器材的准备。</w:t>
      </w:r>
    </w:p>
    <w:p w14:paraId="4C45B520">
      <w:pPr>
        <w:spacing w:before="90" w:line="368" w:lineRule="exact"/>
        <w:rPr>
          <w:rFonts w:ascii="黑体" w:hAnsi="黑体" w:eastAsia="黑体" w:cs="黑体"/>
          <w:sz w:val="27"/>
          <w:szCs w:val="27"/>
        </w:rPr>
      </w:pPr>
      <w:r>
        <w:rPr>
          <w:rFonts w:ascii="Arial" w:hAnsi="Arial" w:eastAsia="Arial" w:cs="Arial"/>
          <w:spacing w:val="-1"/>
          <w:position w:val="1"/>
          <w:sz w:val="27"/>
          <w:szCs w:val="27"/>
        </w:rPr>
        <w:t>6.2</w:t>
      </w:r>
      <w:r>
        <w:rPr>
          <w:rFonts w:ascii="Arial" w:hAnsi="Arial" w:eastAsia="Arial" w:cs="Arial"/>
          <w:spacing w:val="7"/>
          <w:position w:val="1"/>
          <w:sz w:val="27"/>
          <w:szCs w:val="27"/>
        </w:rPr>
        <w:t xml:space="preserve">    </w:t>
      </w:r>
      <w:r>
        <w:rPr>
          <w:rFonts w:ascii="黑体" w:hAnsi="黑体" w:eastAsia="黑体" w:cs="黑体"/>
          <w:spacing w:val="-1"/>
          <w:position w:val="1"/>
          <w:sz w:val="27"/>
          <w:szCs w:val="27"/>
        </w:rPr>
        <w:t>试验</w:t>
      </w:r>
    </w:p>
    <w:p w14:paraId="3D397666">
      <w:pPr>
        <w:pStyle w:val="2"/>
        <w:spacing w:before="103" w:line="219" w:lineRule="auto"/>
        <w:ind w:left="550"/>
      </w:pPr>
      <w:r>
        <w:rPr>
          <w:spacing w:val="2"/>
        </w:rPr>
        <w:t>实施试验一般应明确：</w:t>
      </w:r>
    </w:p>
    <w:p w14:paraId="625DF4DD">
      <w:pPr>
        <w:pStyle w:val="2"/>
        <w:spacing w:before="79" w:line="212" w:lineRule="auto"/>
        <w:ind w:left="550"/>
      </w:pPr>
      <w:r>
        <w:rPr>
          <w:rFonts w:ascii="Times New Roman" w:hAnsi="Times New Roman" w:eastAsia="Times New Roman" w:cs="Times New Roman"/>
          <w:spacing w:val="-1"/>
        </w:rPr>
        <w:t xml:space="preserve">a)  </w:t>
      </w:r>
      <w:r>
        <w:rPr>
          <w:spacing w:val="-1"/>
        </w:rPr>
        <w:t>试验进度；</w:t>
      </w:r>
    </w:p>
    <w:p w14:paraId="269ED85C">
      <w:pPr>
        <w:pStyle w:val="2"/>
        <w:spacing w:before="100" w:line="212" w:lineRule="auto"/>
        <w:ind w:left="550"/>
      </w:pPr>
      <w:r>
        <w:rPr>
          <w:rFonts w:ascii="Times New Roman" w:hAnsi="Times New Roman" w:eastAsia="Times New Roman" w:cs="Times New Roman"/>
          <w:spacing w:val="-2"/>
        </w:rPr>
        <w:t xml:space="preserve">b)  </w:t>
      </w:r>
      <w:r>
        <w:rPr>
          <w:spacing w:val="-2"/>
        </w:rPr>
        <w:t>试验方法，包括判决标准及风险率或置信度；</w:t>
      </w:r>
    </w:p>
    <w:p w14:paraId="20D0D5D1">
      <w:pPr>
        <w:pStyle w:val="2"/>
        <w:spacing w:before="120" w:line="212" w:lineRule="auto"/>
        <w:ind w:left="550"/>
      </w:pPr>
      <w:r>
        <w:rPr>
          <w:rFonts w:ascii="Times New Roman" w:hAnsi="Times New Roman" w:eastAsia="Times New Roman" w:cs="Times New Roman"/>
          <w:spacing w:val="-4"/>
        </w:rPr>
        <w:t xml:space="preserve">c)  </w:t>
      </w:r>
      <w:r>
        <w:rPr>
          <w:spacing w:val="-4"/>
        </w:rPr>
        <w:t>当模拟故障时，选择维修作业的程序；</w:t>
      </w:r>
    </w:p>
    <w:p w14:paraId="068E6BB8">
      <w:pPr>
        <w:pStyle w:val="2"/>
        <w:spacing w:before="90" w:line="212" w:lineRule="auto"/>
        <w:ind w:left="550"/>
      </w:pPr>
      <w:r>
        <w:rPr>
          <w:rFonts w:ascii="Times New Roman" w:hAnsi="Times New Roman" w:eastAsia="Times New Roman" w:cs="Times New Roman"/>
        </w:rPr>
        <w:t xml:space="preserve">d)  </w:t>
      </w:r>
      <w:r>
        <w:t>数据获取方法；</w:t>
      </w:r>
    </w:p>
    <w:p w14:paraId="7EDE2307">
      <w:pPr>
        <w:pStyle w:val="2"/>
        <w:spacing w:before="140" w:line="219" w:lineRule="auto"/>
        <w:ind w:left="550"/>
      </w:pPr>
      <w:r>
        <w:rPr>
          <w:rFonts w:ascii="Times New Roman" w:hAnsi="Times New Roman" w:eastAsia="Times New Roman" w:cs="Times New Roman"/>
          <w:spacing w:val="2"/>
        </w:rPr>
        <w:t>e</w:t>
      </w:r>
      <w:r>
        <w:rPr>
          <w:spacing w:val="2"/>
        </w:rPr>
        <w:t>)</w:t>
      </w:r>
      <w:r>
        <w:rPr>
          <w:spacing w:val="-40"/>
        </w:rPr>
        <w:t xml:space="preserve"> </w:t>
      </w:r>
      <w:r>
        <w:rPr>
          <w:spacing w:val="2"/>
        </w:rPr>
        <w:t>数据分析方法与程序；</w:t>
      </w:r>
    </w:p>
    <w:p w14:paraId="7582429C">
      <w:pPr>
        <w:pStyle w:val="2"/>
        <w:spacing w:before="69" w:line="212" w:lineRule="auto"/>
        <w:ind w:left="550"/>
      </w:pPr>
      <w:r>
        <w:rPr>
          <w:rFonts w:ascii="Times New Roman" w:hAnsi="Times New Roman" w:eastAsia="Times New Roman" w:cs="Times New Roman"/>
          <w:spacing w:val="1"/>
        </w:rPr>
        <w:t xml:space="preserve">f)  </w:t>
      </w:r>
      <w:r>
        <w:rPr>
          <w:spacing w:val="1"/>
        </w:rPr>
        <w:t>重新试验的规定。</w:t>
      </w:r>
    </w:p>
    <w:p w14:paraId="220FD82B">
      <w:pPr>
        <w:spacing w:before="125" w:line="327" w:lineRule="exact"/>
        <w:rPr>
          <w:rFonts w:ascii="黑体" w:hAnsi="黑体" w:eastAsia="黑体" w:cs="黑体"/>
          <w:sz w:val="24"/>
          <w:szCs w:val="24"/>
        </w:rPr>
      </w:pPr>
      <w:r>
        <w:rPr>
          <w:rFonts w:ascii="Arial" w:hAnsi="Arial" w:eastAsia="Arial" w:cs="Arial"/>
          <w:spacing w:val="-4"/>
          <w:position w:val="1"/>
          <w:sz w:val="24"/>
          <w:szCs w:val="24"/>
        </w:rPr>
        <w:t>6.3</w:t>
      </w:r>
      <w:r>
        <w:rPr>
          <w:rFonts w:ascii="Arial" w:hAnsi="Arial" w:eastAsia="Arial" w:cs="Arial"/>
          <w:spacing w:val="6"/>
          <w:position w:val="1"/>
          <w:sz w:val="24"/>
          <w:szCs w:val="24"/>
        </w:rPr>
        <w:t xml:space="preserve">     </w:t>
      </w:r>
      <w:r>
        <w:rPr>
          <w:rFonts w:ascii="黑体" w:hAnsi="黑体" w:eastAsia="黑体" w:cs="黑体"/>
          <w:spacing w:val="-4"/>
          <w:position w:val="1"/>
          <w:sz w:val="24"/>
          <w:szCs w:val="24"/>
        </w:rPr>
        <w:t>评</w:t>
      </w:r>
      <w:r>
        <w:rPr>
          <w:rFonts w:ascii="黑体" w:hAnsi="黑体" w:eastAsia="黑体" w:cs="黑体"/>
          <w:spacing w:val="-29"/>
          <w:position w:val="1"/>
          <w:sz w:val="24"/>
          <w:szCs w:val="24"/>
        </w:rPr>
        <w:t xml:space="preserve"> </w:t>
      </w:r>
      <w:r>
        <w:rPr>
          <w:rFonts w:ascii="黑体" w:hAnsi="黑体" w:eastAsia="黑体" w:cs="黑体"/>
          <w:spacing w:val="-4"/>
          <w:position w:val="1"/>
          <w:sz w:val="24"/>
          <w:szCs w:val="24"/>
        </w:rPr>
        <w:t>定</w:t>
      </w:r>
    </w:p>
    <w:p w14:paraId="6634092F">
      <w:pPr>
        <w:pStyle w:val="2"/>
        <w:spacing w:before="109" w:line="220" w:lineRule="auto"/>
        <w:ind w:left="550"/>
      </w:pPr>
      <w:r>
        <w:rPr>
          <w:spacing w:val="-7"/>
        </w:rPr>
        <w:t>试验结果的评定，一般应包括：</w:t>
      </w:r>
    </w:p>
    <w:p w14:paraId="78BF2DE7">
      <w:pPr>
        <w:pStyle w:val="2"/>
        <w:spacing w:before="88" w:line="212" w:lineRule="auto"/>
        <w:ind w:left="550"/>
      </w:pPr>
      <w:r>
        <w:rPr>
          <w:rFonts w:ascii="Times New Roman" w:hAnsi="Times New Roman" w:eastAsia="Times New Roman" w:cs="Times New Roman"/>
          <w:spacing w:val="4"/>
        </w:rPr>
        <w:t xml:space="preserve">a)  </w:t>
      </w:r>
      <w:r>
        <w:rPr>
          <w:spacing w:val="4"/>
        </w:rPr>
        <w:t>对装备满足测试性定性要求程度的评定；</w:t>
      </w:r>
    </w:p>
    <w:p w14:paraId="0E37C81B">
      <w:pPr>
        <w:pStyle w:val="2"/>
        <w:spacing w:before="142" w:line="212" w:lineRule="auto"/>
        <w:ind w:left="550"/>
        <w:rPr>
          <w:sz w:val="24"/>
          <w:szCs w:val="24"/>
        </w:rPr>
      </w:pPr>
      <w:r>
        <w:rPr>
          <w:rFonts w:ascii="Times New Roman" w:hAnsi="Times New Roman" w:eastAsia="Times New Roman" w:cs="Times New Roman"/>
          <w:spacing w:val="30"/>
          <w:sz w:val="24"/>
          <w:szCs w:val="24"/>
        </w:rPr>
        <w:t xml:space="preserve">b)  </w:t>
      </w:r>
      <w:r>
        <w:rPr>
          <w:spacing w:val="30"/>
          <w:sz w:val="24"/>
          <w:szCs w:val="24"/>
        </w:rPr>
        <w:t>对装备满足测试性定量要求程度的评</w:t>
      </w:r>
      <w:r>
        <w:rPr>
          <w:spacing w:val="29"/>
          <w:sz w:val="24"/>
          <w:szCs w:val="24"/>
        </w:rPr>
        <w:t>定；</w:t>
      </w:r>
    </w:p>
    <w:p w14:paraId="2214D05B">
      <w:pPr>
        <w:pStyle w:val="2"/>
        <w:spacing w:before="92" w:line="212" w:lineRule="auto"/>
        <w:ind w:left="550"/>
      </w:pPr>
      <w:r>
        <w:rPr>
          <w:rFonts w:ascii="Times New Roman" w:hAnsi="Times New Roman" w:eastAsia="Times New Roman" w:cs="Times New Roman"/>
          <w:spacing w:val="3"/>
        </w:rPr>
        <w:t>c)</w:t>
      </w:r>
      <w:r>
        <w:rPr>
          <w:rFonts w:ascii="Times New Roman" w:hAnsi="Times New Roman" w:eastAsia="Times New Roman" w:cs="Times New Roman"/>
          <w:spacing w:val="62"/>
        </w:rPr>
        <w:t xml:space="preserve"> </w:t>
      </w:r>
      <w:r>
        <w:rPr>
          <w:spacing w:val="3"/>
        </w:rPr>
        <w:t>对维修保障要素的评定(需要时)。</w:t>
      </w:r>
    </w:p>
    <w:p w14:paraId="4FFE133E">
      <w:pPr>
        <w:spacing w:before="158" w:line="221" w:lineRule="auto"/>
        <w:rPr>
          <w:rFonts w:ascii="黑体" w:hAnsi="黑体" w:eastAsia="黑体" w:cs="黑体"/>
          <w:sz w:val="27"/>
          <w:szCs w:val="27"/>
        </w:rPr>
      </w:pPr>
      <w:r>
        <w:rPr>
          <w:rFonts w:ascii="黑体" w:hAnsi="黑体" w:eastAsia="黑体" w:cs="黑体"/>
          <w:spacing w:val="5"/>
          <w:sz w:val="27"/>
          <w:szCs w:val="27"/>
        </w:rPr>
        <w:t>6.4  试验与评定报告</w:t>
      </w:r>
    </w:p>
    <w:p w14:paraId="37E7CDBE">
      <w:pPr>
        <w:pStyle w:val="2"/>
        <w:spacing w:before="97" w:line="218" w:lineRule="auto"/>
        <w:ind w:left="550"/>
      </w:pPr>
      <w:r>
        <w:rPr>
          <w:spacing w:val="4"/>
        </w:rPr>
        <w:t>计划应规定试验与评定报告的编写与交付的要求。</w:t>
      </w:r>
    </w:p>
    <w:p w14:paraId="7FB5F812">
      <w:pPr>
        <w:spacing w:before="131" w:line="221" w:lineRule="auto"/>
        <w:rPr>
          <w:rFonts w:ascii="黑体" w:hAnsi="黑体" w:eastAsia="黑体" w:cs="黑体"/>
          <w:sz w:val="27"/>
          <w:szCs w:val="27"/>
        </w:rPr>
      </w:pPr>
      <w:r>
        <w:rPr>
          <w:rFonts w:ascii="Arial" w:hAnsi="Arial" w:eastAsia="Arial" w:cs="Arial"/>
          <w:spacing w:val="-4"/>
          <w:sz w:val="27"/>
          <w:szCs w:val="27"/>
        </w:rPr>
        <w:t>7</w:t>
      </w:r>
      <w:r>
        <w:rPr>
          <w:rFonts w:ascii="Arial" w:hAnsi="Arial" w:eastAsia="Arial" w:cs="Arial"/>
          <w:spacing w:val="23"/>
          <w:sz w:val="27"/>
          <w:szCs w:val="27"/>
        </w:rPr>
        <w:t xml:space="preserve">   </w:t>
      </w:r>
      <w:r>
        <w:rPr>
          <w:rFonts w:ascii="黑体" w:hAnsi="黑体" w:eastAsia="黑体" w:cs="黑体"/>
          <w:spacing w:val="-4"/>
          <w:sz w:val="27"/>
          <w:szCs w:val="27"/>
        </w:rPr>
        <w:t>监督与管理</w:t>
      </w:r>
    </w:p>
    <w:p w14:paraId="722FAF0F">
      <w:pPr>
        <w:pStyle w:val="2"/>
        <w:spacing w:before="119" w:line="284" w:lineRule="auto"/>
        <w:ind w:firstLine="550"/>
        <w:rPr>
          <w:sz w:val="25"/>
          <w:szCs w:val="25"/>
        </w:rPr>
      </w:pPr>
      <w:r>
        <w:rPr>
          <w:spacing w:val="17"/>
          <w:sz w:val="25"/>
          <w:szCs w:val="25"/>
        </w:rPr>
        <w:t xml:space="preserve">计划应明确试验与评定的监督与管理的要求，即试验与评定组织与职责；试 </w:t>
      </w:r>
      <w:r>
        <w:rPr>
          <w:spacing w:val="21"/>
          <w:sz w:val="25"/>
          <w:szCs w:val="25"/>
        </w:rPr>
        <w:t>验与评定过程的控制与协调。</w:t>
      </w:r>
    </w:p>
    <w:p w14:paraId="75E58FE9">
      <w:pPr>
        <w:spacing w:line="368" w:lineRule="exact"/>
        <w:rPr>
          <w:rFonts w:ascii="黑体" w:hAnsi="黑体" w:eastAsia="黑体" w:cs="黑体"/>
          <w:sz w:val="27"/>
          <w:szCs w:val="27"/>
        </w:rPr>
      </w:pPr>
      <w:r>
        <w:rPr>
          <w:rFonts w:ascii="Arial" w:hAnsi="Arial" w:eastAsia="Arial" w:cs="Arial"/>
          <w:spacing w:val="4"/>
          <w:position w:val="1"/>
          <w:sz w:val="27"/>
          <w:szCs w:val="27"/>
        </w:rPr>
        <w:t>8</w:t>
      </w:r>
      <w:r>
        <w:rPr>
          <w:rFonts w:ascii="Arial" w:hAnsi="Arial" w:eastAsia="Arial" w:cs="Arial"/>
          <w:spacing w:val="1"/>
          <w:position w:val="1"/>
          <w:sz w:val="27"/>
          <w:szCs w:val="27"/>
        </w:rPr>
        <w:t xml:space="preserve">    </w:t>
      </w:r>
      <w:r>
        <w:rPr>
          <w:rFonts w:ascii="黑体" w:hAnsi="黑体" w:eastAsia="黑体" w:cs="黑体"/>
          <w:spacing w:val="4"/>
          <w:position w:val="1"/>
          <w:sz w:val="27"/>
          <w:szCs w:val="27"/>
        </w:rPr>
        <w:t>试验经费</w:t>
      </w:r>
    </w:p>
    <w:p w14:paraId="27ED3BED">
      <w:pPr>
        <w:pStyle w:val="2"/>
        <w:spacing w:before="101" w:line="219" w:lineRule="auto"/>
        <w:ind w:left="550"/>
      </w:pPr>
      <w:r>
        <w:rPr>
          <w:spacing w:val="2"/>
        </w:rPr>
        <w:t>计划应拟订试验经费的预算与管理方法。</w:t>
      </w:r>
    </w:p>
    <w:p w14:paraId="1D76DAC1">
      <w:pPr>
        <w:spacing w:line="219" w:lineRule="auto"/>
        <w:sectPr>
          <w:footerReference r:id="rId475" w:type="default"/>
          <w:pgSz w:w="11910" w:h="17130"/>
          <w:pgMar w:top="1456" w:right="1340" w:bottom="1653" w:left="1190" w:header="0" w:footer="1455" w:gutter="0"/>
          <w:cols w:space="720" w:num="1"/>
        </w:sectPr>
      </w:pPr>
    </w:p>
    <w:p w14:paraId="3221D452">
      <w:pPr>
        <w:spacing w:line="251" w:lineRule="auto"/>
        <w:rPr>
          <w:rFonts w:ascii="Arial"/>
          <w:sz w:val="21"/>
        </w:rPr>
      </w:pPr>
    </w:p>
    <w:p w14:paraId="47211BD1">
      <w:pPr>
        <w:pStyle w:val="2"/>
        <w:spacing w:before="117" w:line="218" w:lineRule="auto"/>
        <w:ind w:left="2860"/>
        <w:rPr>
          <w:sz w:val="36"/>
          <w:szCs w:val="36"/>
        </w:rPr>
      </w:pPr>
      <w:r>
        <w:rPr>
          <w:spacing w:val="4"/>
          <w:sz w:val="36"/>
          <w:szCs w:val="36"/>
        </w:rPr>
        <w:t xml:space="preserve">9.16  </w:t>
      </w:r>
      <w:r>
        <w:rPr>
          <w:b/>
          <w:bCs/>
          <w:spacing w:val="4"/>
          <w:sz w:val="36"/>
          <w:szCs w:val="36"/>
        </w:rPr>
        <w:t>测试性核查报告</w:t>
      </w:r>
    </w:p>
    <w:p w14:paraId="3FD092E9">
      <w:pPr>
        <w:spacing w:line="392" w:lineRule="auto"/>
        <w:rPr>
          <w:rFonts w:ascii="Arial"/>
          <w:sz w:val="21"/>
        </w:rPr>
      </w:pPr>
    </w:p>
    <w:p w14:paraId="61FC9AEC">
      <w:pPr>
        <w:pStyle w:val="2"/>
        <w:spacing w:before="78" w:line="223" w:lineRule="auto"/>
        <w:ind w:left="560"/>
        <w:rPr>
          <w:rFonts w:ascii="楷体" w:hAnsi="楷体" w:eastAsia="楷体" w:cs="楷体"/>
          <w:sz w:val="24"/>
          <w:szCs w:val="24"/>
        </w:rPr>
      </w:pPr>
      <w:r>
        <w:rPr>
          <w:rFonts w:ascii="楷体" w:hAnsi="楷体" w:eastAsia="楷体" w:cs="楷体"/>
          <w:spacing w:val="13"/>
          <w:sz w:val="24"/>
          <w:szCs w:val="24"/>
        </w:rPr>
        <w:t>按</w:t>
      </w:r>
      <w:r>
        <w:rPr>
          <w:rFonts w:ascii="楷体" w:hAnsi="楷体" w:eastAsia="楷体" w:cs="楷体"/>
          <w:spacing w:val="-10"/>
          <w:sz w:val="24"/>
          <w:szCs w:val="24"/>
        </w:rPr>
        <w:t xml:space="preserve"> </w:t>
      </w:r>
      <w:r>
        <w:rPr>
          <w:rFonts w:ascii="楷体" w:hAnsi="楷体" w:eastAsia="楷体" w:cs="楷体"/>
          <w:spacing w:val="1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 xml:space="preserve">   2547A</w:t>
      </w:r>
      <w:r>
        <w:rPr>
          <w:spacing w:val="13"/>
          <w:sz w:val="24"/>
          <w:szCs w:val="24"/>
        </w:rPr>
        <w:t>《</w:t>
      </w:r>
      <w:r>
        <w:rPr>
          <w:rFonts w:ascii="楷体" w:hAnsi="楷体" w:eastAsia="楷体" w:cs="楷体"/>
          <w:spacing w:val="13"/>
          <w:sz w:val="24"/>
          <w:szCs w:val="24"/>
        </w:rPr>
        <w:t>装备测试性工作通用要求》编写。</w:t>
      </w:r>
    </w:p>
    <w:p w14:paraId="5FC205FD">
      <w:pPr>
        <w:spacing w:before="84"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453BBD41">
      <w:pPr>
        <w:spacing w:before="9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10840A81">
      <w:pPr>
        <w:spacing w:before="95" w:line="222" w:lineRule="auto"/>
        <w:rPr>
          <w:rFonts w:ascii="黑体" w:hAnsi="黑体" w:eastAsia="黑体" w:cs="黑体"/>
          <w:sz w:val="27"/>
          <w:szCs w:val="27"/>
        </w:rPr>
      </w:pPr>
      <w:r>
        <w:rPr>
          <w:rFonts w:ascii="Arial" w:hAnsi="Arial" w:eastAsia="Arial" w:cs="Arial"/>
          <w:b/>
          <w:bCs/>
          <w:sz w:val="27"/>
          <w:szCs w:val="27"/>
        </w:rPr>
        <w:t>3</w:t>
      </w:r>
      <w:r>
        <w:rPr>
          <w:rFonts w:ascii="Arial" w:hAnsi="Arial" w:eastAsia="Arial" w:cs="Arial"/>
          <w:b/>
          <w:bCs/>
          <w:spacing w:val="20"/>
          <w:w w:val="101"/>
          <w:sz w:val="27"/>
          <w:szCs w:val="27"/>
        </w:rPr>
        <w:t xml:space="preserve">   </w:t>
      </w:r>
      <w:r>
        <w:rPr>
          <w:rFonts w:ascii="黑体" w:hAnsi="黑体" w:eastAsia="黑体" w:cs="黑体"/>
          <w:b/>
          <w:bCs/>
          <w:sz w:val="27"/>
          <w:szCs w:val="27"/>
        </w:rPr>
        <w:t>核查的产品简介</w:t>
      </w:r>
    </w:p>
    <w:p w14:paraId="7A99F3A2">
      <w:pPr>
        <w:pStyle w:val="2"/>
        <w:spacing w:before="79" w:line="219" w:lineRule="auto"/>
        <w:ind w:left="560"/>
      </w:pPr>
      <w:r>
        <w:rPr>
          <w:spacing w:val="-12"/>
        </w:rPr>
        <w:t>简述产品类型、结构划分、产品层次、设计要求、测试性定性定量要求等。</w:t>
      </w:r>
    </w:p>
    <w:p w14:paraId="17D08A0B">
      <w:pPr>
        <w:spacing w:before="114" w:line="221" w:lineRule="auto"/>
        <w:rPr>
          <w:rFonts w:ascii="黑体" w:hAnsi="黑体" w:eastAsia="黑体" w:cs="黑体"/>
          <w:sz w:val="24"/>
          <w:szCs w:val="24"/>
        </w:rPr>
      </w:pPr>
      <w:r>
        <w:rPr>
          <w:rFonts w:ascii="黑体" w:hAnsi="黑体" w:eastAsia="黑体" w:cs="黑体"/>
          <w:spacing w:val="29"/>
          <w:sz w:val="24"/>
          <w:szCs w:val="24"/>
        </w:rPr>
        <w:t>4</w:t>
      </w:r>
      <w:r>
        <w:rPr>
          <w:rFonts w:ascii="黑体" w:hAnsi="黑体" w:eastAsia="黑体" w:cs="黑体"/>
          <w:spacing w:val="34"/>
          <w:sz w:val="24"/>
          <w:szCs w:val="24"/>
        </w:rPr>
        <w:t xml:space="preserve">  </w:t>
      </w:r>
      <w:r>
        <w:rPr>
          <w:rFonts w:ascii="黑体" w:hAnsi="黑体" w:eastAsia="黑体" w:cs="黑体"/>
          <w:b/>
          <w:bCs/>
          <w:spacing w:val="29"/>
          <w:sz w:val="24"/>
          <w:szCs w:val="24"/>
        </w:rPr>
        <w:t>核查方法及说明</w:t>
      </w:r>
    </w:p>
    <w:p w14:paraId="39CDD6C2">
      <w:pPr>
        <w:pStyle w:val="2"/>
        <w:spacing w:before="100" w:line="219" w:lineRule="auto"/>
        <w:ind w:left="560"/>
      </w:pPr>
      <w:r>
        <w:rPr>
          <w:spacing w:val="3"/>
        </w:rPr>
        <w:t>明确进行核查的方法并说明选择的理由。</w:t>
      </w:r>
    </w:p>
    <w:p w14:paraId="1DDF866F">
      <w:pPr>
        <w:pStyle w:val="2"/>
        <w:spacing w:before="79" w:line="277" w:lineRule="auto"/>
        <w:ind w:right="15" w:firstLine="560"/>
      </w:pPr>
      <w:r>
        <w:rPr>
          <w:spacing w:val="5"/>
        </w:rPr>
        <w:t>尽可能利用研制过程中的各种试验数据进行测试性核查，可以采用样机测</w:t>
      </w:r>
      <w:r>
        <w:rPr>
          <w:spacing w:val="10"/>
        </w:rPr>
        <w:t xml:space="preserve"> </w:t>
      </w:r>
      <w:r>
        <w:rPr>
          <w:spacing w:val="-10"/>
        </w:rPr>
        <w:t>试、专项试验、仿真和分析测算等方式进行。</w:t>
      </w:r>
    </w:p>
    <w:p w14:paraId="3B68AEC9">
      <w:pPr>
        <w:pStyle w:val="2"/>
        <w:spacing w:line="219" w:lineRule="auto"/>
        <w:ind w:left="560"/>
      </w:pPr>
      <w:r>
        <w:rPr>
          <w:spacing w:val="-2"/>
        </w:rPr>
        <w:t>测试性核查的方法比较灵活，使用情况可遵循以下情况：</w:t>
      </w:r>
    </w:p>
    <w:p w14:paraId="31832CCE">
      <w:pPr>
        <w:pStyle w:val="2"/>
        <w:spacing w:before="49" w:line="271" w:lineRule="auto"/>
        <w:ind w:right="5" w:firstLine="560"/>
      </w:pPr>
      <w:r>
        <w:rPr>
          <w:rFonts w:ascii="Times New Roman" w:hAnsi="Times New Roman" w:eastAsia="Times New Roman" w:cs="Times New Roman"/>
          <w:spacing w:val="7"/>
        </w:rPr>
        <w:t>a)</w:t>
      </w:r>
      <w:r>
        <w:rPr>
          <w:rFonts w:ascii="Times New Roman" w:hAnsi="Times New Roman" w:eastAsia="Times New Roman" w:cs="Times New Roman"/>
          <w:spacing w:val="77"/>
        </w:rPr>
        <w:t xml:space="preserve"> </w:t>
      </w:r>
      <w:r>
        <w:rPr>
          <w:spacing w:val="7"/>
        </w:rPr>
        <w:t>最大限度地利用研制过程中各种试验(如利用样机或模型进行的各种研</w:t>
      </w:r>
      <w:r>
        <w:t xml:space="preserve"> </w:t>
      </w:r>
      <w:r>
        <w:rPr>
          <w:spacing w:val="-6"/>
        </w:rPr>
        <w:t>制试验、合格鉴定、维修性和可靠性试验等)所获得的故障检测与</w:t>
      </w:r>
      <w:r>
        <w:rPr>
          <w:spacing w:val="-7"/>
        </w:rPr>
        <w:t>隔离数据，必要</w:t>
      </w:r>
      <w:r>
        <w:t xml:space="preserve"> </w:t>
      </w:r>
      <w:r>
        <w:rPr>
          <w:spacing w:val="3"/>
        </w:rPr>
        <w:t>时还可采用注入故障方式获取需要的测试性试验数据；</w:t>
      </w:r>
    </w:p>
    <w:p w14:paraId="0CDCEE1D">
      <w:pPr>
        <w:pStyle w:val="2"/>
        <w:spacing w:before="60" w:line="257" w:lineRule="auto"/>
        <w:ind w:firstLine="560"/>
      </w:pPr>
      <w:r>
        <w:rPr>
          <w:rFonts w:ascii="Times New Roman" w:hAnsi="Times New Roman" w:eastAsia="Times New Roman" w:cs="Times New Roman"/>
          <w:spacing w:val="3"/>
        </w:rPr>
        <w:t>b)</w:t>
      </w:r>
      <w:r>
        <w:rPr>
          <w:rFonts w:ascii="Times New Roman" w:hAnsi="Times New Roman" w:eastAsia="Times New Roman" w:cs="Times New Roman"/>
          <w:spacing w:val="64"/>
        </w:rPr>
        <w:t xml:space="preserve"> </w:t>
      </w:r>
      <w:r>
        <w:rPr>
          <w:spacing w:val="3"/>
        </w:rPr>
        <w:t>还可尽可能利用各种成熟的建模与仿真技术，维修性核查资料、相似产</w:t>
      </w:r>
      <w:r>
        <w:t xml:space="preserve"> </w:t>
      </w:r>
      <w:r>
        <w:rPr>
          <w:spacing w:val="-2"/>
        </w:rPr>
        <w:t>品经验教训等；</w:t>
      </w:r>
    </w:p>
    <w:p w14:paraId="3D83A4DE">
      <w:pPr>
        <w:pStyle w:val="2"/>
        <w:spacing w:before="60" w:line="264" w:lineRule="auto"/>
        <w:ind w:right="5" w:firstLine="560"/>
      </w:pPr>
      <w:r>
        <w:rPr>
          <w:rFonts w:ascii="Times New Roman" w:hAnsi="Times New Roman" w:eastAsia="Times New Roman" w:cs="Times New Roman"/>
          <w:spacing w:val="3"/>
        </w:rPr>
        <w:t>c)</w:t>
      </w:r>
      <w:r>
        <w:rPr>
          <w:rFonts w:ascii="Times New Roman" w:hAnsi="Times New Roman" w:eastAsia="Times New Roman" w:cs="Times New Roman"/>
          <w:spacing w:val="74"/>
        </w:rPr>
        <w:t xml:space="preserve"> </w:t>
      </w:r>
      <w:r>
        <w:rPr>
          <w:spacing w:val="3"/>
        </w:rPr>
        <w:t>还可通过对故障模式及测试方法分析、测试性预计等测试性设计与分析</w:t>
      </w:r>
      <w:r>
        <w:t xml:space="preserve"> 工作进行核查。</w:t>
      </w:r>
    </w:p>
    <w:p w14:paraId="7ECFEC31">
      <w:pPr>
        <w:spacing w:before="64" w:line="222"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数据汇总及分析</w:t>
      </w:r>
    </w:p>
    <w:p w14:paraId="5FADF387">
      <w:pPr>
        <w:pStyle w:val="2"/>
        <w:spacing w:before="87" w:line="219" w:lineRule="auto"/>
        <w:ind w:left="560"/>
      </w:pPr>
      <w:r>
        <w:rPr>
          <w:spacing w:val="3"/>
        </w:rPr>
        <w:t>对采集的测试性数据进行汇总和分析。</w:t>
      </w:r>
    </w:p>
    <w:p w14:paraId="31D47268">
      <w:pPr>
        <w:spacing w:before="86" w:line="222"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4"/>
          <w:sz w:val="27"/>
          <w:szCs w:val="27"/>
        </w:rPr>
        <w:t xml:space="preserve">  </w:t>
      </w:r>
      <w:r>
        <w:rPr>
          <w:rFonts w:ascii="黑体" w:hAnsi="黑体" w:eastAsia="黑体" w:cs="黑体"/>
          <w:b/>
          <w:bCs/>
          <w:sz w:val="27"/>
          <w:szCs w:val="27"/>
        </w:rPr>
        <w:t>核查过程</w:t>
      </w:r>
    </w:p>
    <w:p w14:paraId="55DA7269">
      <w:pPr>
        <w:pStyle w:val="2"/>
        <w:spacing w:before="109" w:line="219" w:lineRule="auto"/>
        <w:ind w:left="560"/>
        <w:rPr>
          <w:sz w:val="25"/>
          <w:szCs w:val="25"/>
        </w:rPr>
      </w:pPr>
      <w:r>
        <w:rPr>
          <w:spacing w:val="12"/>
          <w:sz w:val="25"/>
          <w:szCs w:val="25"/>
        </w:rPr>
        <w:t>依据核查计划，说明核查过程。</w:t>
      </w:r>
    </w:p>
    <w:p w14:paraId="23BFD987">
      <w:pPr>
        <w:spacing w:before="83" w:line="223"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6"/>
          <w:sz w:val="27"/>
          <w:szCs w:val="27"/>
        </w:rPr>
        <w:t xml:space="preserve">  </w:t>
      </w:r>
      <w:r>
        <w:rPr>
          <w:rFonts w:ascii="黑体" w:hAnsi="黑体" w:eastAsia="黑体" w:cs="黑体"/>
          <w:b/>
          <w:bCs/>
          <w:spacing w:val="-1"/>
          <w:sz w:val="27"/>
          <w:szCs w:val="27"/>
        </w:rPr>
        <w:t>核查结论</w:t>
      </w:r>
    </w:p>
    <w:p w14:paraId="20A42AA0">
      <w:pPr>
        <w:pStyle w:val="2"/>
        <w:spacing w:before="105" w:line="219" w:lineRule="auto"/>
        <w:ind w:left="560"/>
      </w:pPr>
      <w:r>
        <w:rPr>
          <w:spacing w:val="3"/>
        </w:rPr>
        <w:t>得出测试性是否达到本阶段目标的结论。</w:t>
      </w:r>
    </w:p>
    <w:p w14:paraId="3A753618">
      <w:pPr>
        <w:spacing w:before="105" w:line="222" w:lineRule="auto"/>
        <w:outlineLvl w:val="3"/>
        <w:rPr>
          <w:rFonts w:ascii="黑体" w:hAnsi="黑体" w:eastAsia="黑体" w:cs="黑体"/>
          <w:sz w:val="24"/>
          <w:szCs w:val="24"/>
        </w:rPr>
      </w:pPr>
      <w:r>
        <w:rPr>
          <w:rFonts w:ascii="Arial" w:hAnsi="Arial" w:eastAsia="Arial" w:cs="Arial"/>
          <w:b/>
          <w:bCs/>
          <w:spacing w:val="29"/>
          <w:sz w:val="24"/>
          <w:szCs w:val="24"/>
        </w:rPr>
        <w:t>8</w:t>
      </w:r>
      <w:r>
        <w:rPr>
          <w:rFonts w:ascii="Arial" w:hAnsi="Arial" w:eastAsia="Arial" w:cs="Arial"/>
          <w:b/>
          <w:bCs/>
          <w:spacing w:val="10"/>
          <w:sz w:val="24"/>
          <w:szCs w:val="24"/>
        </w:rPr>
        <w:t xml:space="preserve">    </w:t>
      </w:r>
      <w:r>
        <w:rPr>
          <w:rFonts w:ascii="黑体" w:hAnsi="黑体" w:eastAsia="黑体" w:cs="黑体"/>
          <w:b/>
          <w:bCs/>
          <w:spacing w:val="29"/>
          <w:sz w:val="24"/>
          <w:szCs w:val="24"/>
        </w:rPr>
        <w:t>设计缺陷分析及纠正措施</w:t>
      </w:r>
    </w:p>
    <w:p w14:paraId="78CCD5F7">
      <w:pPr>
        <w:pStyle w:val="2"/>
        <w:spacing w:before="88" w:line="219" w:lineRule="auto"/>
        <w:ind w:left="560"/>
      </w:pPr>
      <w:r>
        <w:t>对测试性核查发现的测试性设计缺陷，进行原因分析并制定纠正措施。</w:t>
      </w:r>
    </w:p>
    <w:p w14:paraId="744B56F3">
      <w:pPr>
        <w:spacing w:before="74" w:line="222" w:lineRule="auto"/>
        <w:rPr>
          <w:rFonts w:ascii="黑体" w:hAnsi="黑体" w:eastAsia="黑体" w:cs="黑体"/>
          <w:sz w:val="27"/>
          <w:szCs w:val="27"/>
        </w:rPr>
      </w:pPr>
      <w:r>
        <w:rPr>
          <w:rFonts w:ascii="黑体" w:hAnsi="黑体" w:eastAsia="黑体" w:cs="黑体"/>
          <w:spacing w:val="1"/>
          <w:sz w:val="27"/>
          <w:szCs w:val="27"/>
        </w:rPr>
        <w:t>9</w:t>
      </w:r>
      <w:r>
        <w:rPr>
          <w:rFonts w:ascii="黑体" w:hAnsi="黑体" w:eastAsia="黑体" w:cs="黑体"/>
          <w:spacing w:val="12"/>
          <w:sz w:val="27"/>
          <w:szCs w:val="27"/>
        </w:rPr>
        <w:t xml:space="preserve">  </w:t>
      </w:r>
      <w:r>
        <w:rPr>
          <w:rFonts w:ascii="黑体" w:hAnsi="黑体" w:eastAsia="黑体" w:cs="黑体"/>
          <w:b/>
          <w:bCs/>
          <w:spacing w:val="1"/>
          <w:sz w:val="27"/>
          <w:szCs w:val="27"/>
        </w:rPr>
        <w:t>改进建议</w:t>
      </w:r>
    </w:p>
    <w:p w14:paraId="510F38E5">
      <w:pPr>
        <w:pStyle w:val="2"/>
        <w:spacing w:before="109" w:line="219" w:lineRule="auto"/>
        <w:ind w:left="560"/>
      </w:pPr>
      <w:r>
        <w:rPr>
          <w:spacing w:val="3"/>
        </w:rPr>
        <w:t>依据核查结论以及设计缺陷分析提出改进设计的建议。</w:t>
      </w:r>
    </w:p>
    <w:p w14:paraId="467C0FC8">
      <w:pPr>
        <w:spacing w:line="342" w:lineRule="auto"/>
        <w:rPr>
          <w:rFonts w:ascii="Arial"/>
          <w:sz w:val="21"/>
        </w:rPr>
      </w:pPr>
    </w:p>
    <w:p w14:paraId="06437904">
      <w:pPr>
        <w:pStyle w:val="2"/>
        <w:spacing w:before="118" w:line="221" w:lineRule="auto"/>
        <w:ind w:left="2530"/>
        <w:outlineLvl w:val="1"/>
        <w:rPr>
          <w:sz w:val="36"/>
          <w:szCs w:val="36"/>
        </w:rPr>
      </w:pPr>
      <w:r>
        <w:rPr>
          <w:rFonts w:ascii="Times New Roman" w:hAnsi="Times New Roman" w:eastAsia="Times New Roman" w:cs="Times New Roman"/>
          <w:b/>
          <w:bCs/>
          <w:spacing w:val="2"/>
          <w:sz w:val="36"/>
          <w:szCs w:val="36"/>
        </w:rPr>
        <w:t xml:space="preserve">9.17     </w:t>
      </w:r>
      <w:r>
        <w:rPr>
          <w:b/>
          <w:bCs/>
          <w:spacing w:val="2"/>
          <w:sz w:val="36"/>
          <w:szCs w:val="36"/>
        </w:rPr>
        <w:t>测试性验证试验计划</w:t>
      </w:r>
    </w:p>
    <w:p w14:paraId="4F9108C9">
      <w:pPr>
        <w:spacing w:line="371" w:lineRule="auto"/>
        <w:rPr>
          <w:rFonts w:ascii="Arial"/>
          <w:sz w:val="21"/>
        </w:rPr>
      </w:pPr>
    </w:p>
    <w:p w14:paraId="6699FD23">
      <w:pPr>
        <w:pStyle w:val="2"/>
        <w:spacing w:before="78" w:line="223" w:lineRule="auto"/>
        <w:ind w:left="560"/>
        <w:rPr>
          <w:rFonts w:ascii="楷体" w:hAnsi="楷体" w:eastAsia="楷体" w:cs="楷体"/>
          <w:sz w:val="24"/>
          <w:szCs w:val="24"/>
        </w:rPr>
      </w:pPr>
      <w:r>
        <w:rPr>
          <w:rFonts w:ascii="楷体" w:hAnsi="楷体" w:eastAsia="楷体" w:cs="楷体"/>
          <w:spacing w:val="13"/>
          <w:sz w:val="24"/>
          <w:szCs w:val="24"/>
        </w:rPr>
        <w:t>按</w:t>
      </w:r>
      <w:r>
        <w:rPr>
          <w:rFonts w:ascii="楷体" w:hAnsi="楷体" w:eastAsia="楷体" w:cs="楷体"/>
          <w:spacing w:val="-10"/>
          <w:sz w:val="24"/>
          <w:szCs w:val="24"/>
        </w:rPr>
        <w:t xml:space="preserve"> </w:t>
      </w:r>
      <w:r>
        <w:rPr>
          <w:rFonts w:ascii="楷体" w:hAnsi="楷体" w:eastAsia="楷体" w:cs="楷体"/>
          <w:spacing w:val="1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 xml:space="preserve">   2547A</w:t>
      </w:r>
      <w:r>
        <w:rPr>
          <w:spacing w:val="13"/>
          <w:sz w:val="24"/>
          <w:szCs w:val="24"/>
        </w:rPr>
        <w:t>《</w:t>
      </w:r>
      <w:r>
        <w:rPr>
          <w:rFonts w:ascii="楷体" w:hAnsi="楷体" w:eastAsia="楷体" w:cs="楷体"/>
          <w:spacing w:val="13"/>
          <w:sz w:val="24"/>
          <w:szCs w:val="24"/>
        </w:rPr>
        <w:t>装备测试性工作通用要求》编写。</w:t>
      </w:r>
    </w:p>
    <w:p w14:paraId="5DF7741B">
      <w:pPr>
        <w:spacing w:line="223" w:lineRule="auto"/>
        <w:rPr>
          <w:rFonts w:ascii="楷体" w:hAnsi="楷体" w:eastAsia="楷体" w:cs="楷体"/>
          <w:sz w:val="24"/>
          <w:szCs w:val="24"/>
        </w:rPr>
        <w:sectPr>
          <w:footerReference r:id="rId476" w:type="default"/>
          <w:pgSz w:w="11910" w:h="17130"/>
          <w:pgMar w:top="1456" w:right="923" w:bottom="1653" w:left="1599" w:header="0" w:footer="1455" w:gutter="0"/>
          <w:cols w:space="720" w:num="1"/>
        </w:sectPr>
      </w:pPr>
    </w:p>
    <w:p w14:paraId="4738FAEC">
      <w:pPr>
        <w:spacing w:before="138" w:line="222" w:lineRule="auto"/>
        <w:rPr>
          <w:rFonts w:ascii="黑体" w:hAnsi="黑体" w:eastAsia="黑体" w:cs="黑体"/>
          <w:sz w:val="25"/>
          <w:szCs w:val="25"/>
        </w:rPr>
      </w:pPr>
      <w:r>
        <w:rPr>
          <w:rFonts w:ascii="黑体" w:hAnsi="黑体" w:eastAsia="黑体" w:cs="黑体"/>
          <w:spacing w:val="6"/>
          <w:sz w:val="25"/>
          <w:szCs w:val="25"/>
        </w:rPr>
        <w:t>1</w:t>
      </w:r>
      <w:r>
        <w:rPr>
          <w:rFonts w:ascii="黑体" w:hAnsi="黑体" w:eastAsia="黑体" w:cs="黑体"/>
          <w:spacing w:val="26"/>
          <w:sz w:val="25"/>
          <w:szCs w:val="25"/>
        </w:rPr>
        <w:t xml:space="preserve">  </w:t>
      </w:r>
      <w:r>
        <w:rPr>
          <w:rFonts w:ascii="黑体" w:hAnsi="黑体" w:eastAsia="黑体" w:cs="黑体"/>
          <w:b/>
          <w:bCs/>
          <w:spacing w:val="6"/>
          <w:sz w:val="25"/>
          <w:szCs w:val="25"/>
        </w:rPr>
        <w:t>验证的目的、指标和要求</w:t>
      </w:r>
    </w:p>
    <w:p w14:paraId="78DC5074">
      <w:pPr>
        <w:pStyle w:val="2"/>
        <w:spacing w:before="91" w:line="219" w:lineRule="auto"/>
        <w:ind w:left="563"/>
      </w:pPr>
      <w:r>
        <w:rPr>
          <w:b/>
          <w:bCs/>
          <w:spacing w:val="-3"/>
        </w:rPr>
        <w:t>明确进行测试性验证试验的目的，</w:t>
      </w:r>
      <w:r>
        <w:rPr>
          <w:spacing w:val="-3"/>
        </w:rPr>
        <w:t>测试性指标和试验环境等要求。</w:t>
      </w:r>
    </w:p>
    <w:p w14:paraId="59BBA2F2">
      <w:pPr>
        <w:spacing w:before="77" w:line="221" w:lineRule="auto"/>
        <w:rPr>
          <w:rFonts w:ascii="黑体" w:hAnsi="黑体" w:eastAsia="黑体" w:cs="黑体"/>
          <w:sz w:val="27"/>
          <w:szCs w:val="27"/>
        </w:rPr>
      </w:pPr>
      <w:r>
        <w:rPr>
          <w:rFonts w:ascii="黑体" w:hAnsi="黑体" w:eastAsia="黑体" w:cs="黑体"/>
          <w:spacing w:val="1"/>
          <w:sz w:val="27"/>
          <w:szCs w:val="27"/>
        </w:rPr>
        <w:t xml:space="preserve">2  </w:t>
      </w:r>
      <w:r>
        <w:rPr>
          <w:rFonts w:ascii="黑体" w:hAnsi="黑体" w:eastAsia="黑体" w:cs="黑体"/>
          <w:b/>
          <w:bCs/>
          <w:spacing w:val="1"/>
          <w:sz w:val="27"/>
          <w:szCs w:val="27"/>
        </w:rPr>
        <w:t>验证的方法及选用的理由</w:t>
      </w:r>
    </w:p>
    <w:p w14:paraId="60E16025">
      <w:pPr>
        <w:pStyle w:val="2"/>
        <w:spacing w:before="83" w:line="219" w:lineRule="auto"/>
        <w:ind w:left="560"/>
      </w:pPr>
      <w:r>
        <w:rPr>
          <w:spacing w:val="-3"/>
        </w:rPr>
        <w:t>明确测试性验证方案、实施方法及选用的理由。</w:t>
      </w:r>
    </w:p>
    <w:p w14:paraId="3D005217">
      <w:pPr>
        <w:spacing w:before="93" w:line="221" w:lineRule="auto"/>
        <w:rPr>
          <w:rFonts w:ascii="黑体" w:hAnsi="黑体" w:eastAsia="黑体" w:cs="黑体"/>
          <w:sz w:val="27"/>
          <w:szCs w:val="27"/>
        </w:rPr>
      </w:pPr>
      <w:r>
        <w:rPr>
          <w:rFonts w:ascii="黑体" w:hAnsi="黑体" w:eastAsia="黑体" w:cs="黑体"/>
          <w:spacing w:val="-4"/>
          <w:sz w:val="27"/>
          <w:szCs w:val="27"/>
        </w:rPr>
        <w:t xml:space="preserve">3  </w:t>
      </w:r>
      <w:r>
        <w:rPr>
          <w:rFonts w:ascii="黑体" w:hAnsi="黑体" w:eastAsia="黑体" w:cs="黑体"/>
          <w:b/>
          <w:bCs/>
          <w:spacing w:val="-4"/>
          <w:sz w:val="27"/>
          <w:szCs w:val="27"/>
        </w:rPr>
        <w:t>结合其他试验进行的理由、方法及注意事项</w:t>
      </w:r>
    </w:p>
    <w:p w14:paraId="4632C2B4">
      <w:pPr>
        <w:pStyle w:val="2"/>
        <w:spacing w:before="83" w:line="219" w:lineRule="auto"/>
        <w:ind w:left="560"/>
      </w:pPr>
      <w:r>
        <w:rPr>
          <w:spacing w:val="-4"/>
        </w:rPr>
        <w:t>测试性验证试验若结合其他试验进行时，应说明理由、方法和注意事项。</w:t>
      </w:r>
    </w:p>
    <w:p w14:paraId="33859C79">
      <w:pPr>
        <w:pStyle w:val="2"/>
        <w:spacing w:before="90" w:line="220" w:lineRule="auto"/>
        <w:ind w:left="560"/>
      </w:pPr>
      <w:r>
        <w:rPr>
          <w:rFonts w:ascii="Times New Roman" w:hAnsi="Times New Roman" w:eastAsia="Times New Roman" w:cs="Times New Roman"/>
          <w:spacing w:val="2"/>
        </w:rPr>
        <w:t xml:space="preserve">3.1     </w:t>
      </w:r>
      <w:r>
        <w:rPr>
          <w:spacing w:val="2"/>
        </w:rPr>
        <w:t>结合其他试验进行的理由</w:t>
      </w:r>
    </w:p>
    <w:p w14:paraId="0D908CBD">
      <w:pPr>
        <w:pStyle w:val="2"/>
        <w:spacing w:before="89" w:line="220" w:lineRule="auto"/>
        <w:ind w:left="560"/>
      </w:pPr>
      <w:r>
        <w:rPr>
          <w:rFonts w:ascii="Times New Roman" w:hAnsi="Times New Roman" w:eastAsia="Times New Roman" w:cs="Times New Roman"/>
          <w:spacing w:val="3"/>
        </w:rPr>
        <w:t xml:space="preserve">3.2     </w:t>
      </w:r>
      <w:r>
        <w:rPr>
          <w:spacing w:val="3"/>
        </w:rPr>
        <w:t>结合其他试验进行的方法</w:t>
      </w:r>
    </w:p>
    <w:p w14:paraId="12B7E336">
      <w:pPr>
        <w:pStyle w:val="2"/>
        <w:spacing w:before="78" w:line="220" w:lineRule="auto"/>
        <w:ind w:left="560"/>
      </w:pPr>
      <w:r>
        <w:rPr>
          <w:rFonts w:ascii="Times New Roman" w:hAnsi="Times New Roman" w:eastAsia="Times New Roman" w:cs="Times New Roman"/>
          <w:spacing w:val="4"/>
        </w:rPr>
        <w:t>3.3</w:t>
      </w:r>
      <w:r>
        <w:rPr>
          <w:rFonts w:ascii="Times New Roman" w:hAnsi="Times New Roman" w:eastAsia="Times New Roman" w:cs="Times New Roman"/>
          <w:spacing w:val="3"/>
        </w:rPr>
        <w:t xml:space="preserve">     </w:t>
      </w:r>
      <w:r>
        <w:rPr>
          <w:spacing w:val="4"/>
        </w:rPr>
        <w:t>结合其他试验进行的注意事项</w:t>
      </w:r>
    </w:p>
    <w:p w14:paraId="6F4AE7C5">
      <w:pPr>
        <w:spacing w:before="61" w:line="221" w:lineRule="auto"/>
        <w:outlineLvl w:val="3"/>
        <w:rPr>
          <w:rFonts w:ascii="黑体" w:hAnsi="黑体" w:eastAsia="黑体" w:cs="黑体"/>
          <w:sz w:val="27"/>
          <w:szCs w:val="27"/>
        </w:rPr>
      </w:pPr>
      <w:r>
        <w:rPr>
          <w:rFonts w:ascii="Arial" w:hAnsi="Arial" w:eastAsia="Arial" w:cs="Arial"/>
          <w:b/>
          <w:bCs/>
          <w:spacing w:val="-6"/>
          <w:sz w:val="27"/>
          <w:szCs w:val="27"/>
        </w:rPr>
        <w:t xml:space="preserve">4   </w:t>
      </w:r>
      <w:r>
        <w:rPr>
          <w:rFonts w:ascii="黑体" w:hAnsi="黑体" w:eastAsia="黑体" w:cs="黑体"/>
          <w:b/>
          <w:bCs/>
          <w:spacing w:val="-6"/>
          <w:sz w:val="27"/>
          <w:szCs w:val="27"/>
        </w:rPr>
        <w:t>受试样品、试验用设备、设施以及所需</w:t>
      </w:r>
      <w:r>
        <w:rPr>
          <w:rFonts w:ascii="黑体" w:hAnsi="黑体" w:eastAsia="黑体" w:cs="黑体"/>
          <w:b/>
          <w:bCs/>
          <w:spacing w:val="-7"/>
          <w:sz w:val="27"/>
          <w:szCs w:val="27"/>
        </w:rPr>
        <w:t>维修作业数</w:t>
      </w:r>
    </w:p>
    <w:p w14:paraId="7E0AFB29">
      <w:pPr>
        <w:pStyle w:val="2"/>
        <w:spacing w:before="112" w:line="272" w:lineRule="auto"/>
        <w:ind w:firstLine="560"/>
      </w:pPr>
      <w:r>
        <w:rPr>
          <w:spacing w:val="-7"/>
        </w:rPr>
        <w:t>明确受试产品、故障注入或模拟设备、试验用设备、测试程序以及接口装置、</w:t>
      </w:r>
      <w:r>
        <w:rPr>
          <w:spacing w:val="1"/>
        </w:rPr>
        <w:t xml:space="preserve"> </w:t>
      </w:r>
      <w:r>
        <w:rPr>
          <w:spacing w:val="-3"/>
        </w:rPr>
        <w:t>维修作业等。</w:t>
      </w:r>
    </w:p>
    <w:p w14:paraId="78629BE6">
      <w:pPr>
        <w:spacing w:before="1" w:line="220" w:lineRule="auto"/>
        <w:outlineLvl w:val="3"/>
        <w:rPr>
          <w:rFonts w:ascii="黑体" w:hAnsi="黑体" w:eastAsia="黑体" w:cs="黑体"/>
          <w:sz w:val="27"/>
          <w:szCs w:val="27"/>
        </w:rPr>
      </w:pPr>
      <w:r>
        <w:rPr>
          <w:rFonts w:ascii="Arial" w:hAnsi="Arial" w:eastAsia="Arial" w:cs="Arial"/>
          <w:b/>
          <w:bCs/>
          <w:spacing w:val="-7"/>
          <w:sz w:val="27"/>
          <w:szCs w:val="27"/>
        </w:rPr>
        <w:t>5</w:t>
      </w:r>
      <w:r>
        <w:rPr>
          <w:rFonts w:ascii="Arial" w:hAnsi="Arial" w:eastAsia="Arial" w:cs="Arial"/>
          <w:b/>
          <w:bCs/>
          <w:spacing w:val="18"/>
          <w:sz w:val="27"/>
          <w:szCs w:val="27"/>
        </w:rPr>
        <w:t xml:space="preserve">   </w:t>
      </w:r>
      <w:r>
        <w:rPr>
          <w:rFonts w:ascii="黑体" w:hAnsi="黑体" w:eastAsia="黑体" w:cs="黑体"/>
          <w:b/>
          <w:bCs/>
          <w:spacing w:val="-7"/>
          <w:sz w:val="27"/>
          <w:szCs w:val="27"/>
        </w:rPr>
        <w:t>试验组的组成、人员资格及职责</w:t>
      </w:r>
    </w:p>
    <w:p w14:paraId="6F0964AC">
      <w:pPr>
        <w:pStyle w:val="2"/>
        <w:spacing w:before="103" w:line="219" w:lineRule="auto"/>
        <w:ind w:left="560"/>
      </w:pPr>
      <w:r>
        <w:rPr>
          <w:spacing w:val="2"/>
        </w:rPr>
        <w:t>试验组的组成与职责一般应符合以下要求：</w:t>
      </w:r>
    </w:p>
    <w:p w14:paraId="1949D322">
      <w:pPr>
        <w:pStyle w:val="2"/>
        <w:spacing w:before="68" w:line="271" w:lineRule="auto"/>
        <w:ind w:right="124" w:firstLine="560"/>
      </w:pPr>
      <w:r>
        <w:rPr>
          <w:rFonts w:ascii="Times New Roman" w:hAnsi="Times New Roman" w:eastAsia="Times New Roman" w:cs="Times New Roman"/>
          <w:spacing w:val="3"/>
        </w:rPr>
        <w:t>a)</w:t>
      </w:r>
      <w:r>
        <w:rPr>
          <w:rFonts w:ascii="Times New Roman" w:hAnsi="Times New Roman" w:eastAsia="Times New Roman" w:cs="Times New Roman"/>
          <w:spacing w:val="73"/>
        </w:rPr>
        <w:t xml:space="preserve"> </w:t>
      </w:r>
      <w:r>
        <w:rPr>
          <w:spacing w:val="3"/>
        </w:rPr>
        <w:t>试验组的组成。试验组一般分为两个小组，即验证评价小组和测试维修</w:t>
      </w:r>
      <w:r>
        <w:t xml:space="preserve"> </w:t>
      </w:r>
      <w:r>
        <w:rPr>
          <w:spacing w:val="5"/>
        </w:rPr>
        <w:t>小组。验证评价小组内应有订购方的代表参加。测试维修小组由熟悉被试产品</w:t>
      </w:r>
      <w:r>
        <w:rPr>
          <w:spacing w:val="16"/>
        </w:rPr>
        <w:t xml:space="preserve"> </w:t>
      </w:r>
      <w:r>
        <w:rPr>
          <w:spacing w:val="-3"/>
        </w:rPr>
        <w:t>维修的人员组成，如果全部为承制方的人员，则他们应具有与产品部署使用后的</w:t>
      </w:r>
      <w:r>
        <w:rPr>
          <w:spacing w:val="14"/>
        </w:rPr>
        <w:t xml:space="preserve"> </w:t>
      </w:r>
      <w:r>
        <w:rPr>
          <w:spacing w:val="-3"/>
        </w:rPr>
        <w:t>测试维修人员相当的资格和技能水平；如果全部用部队的测试维修人员，则他们</w:t>
      </w:r>
      <w:r>
        <w:rPr>
          <w:spacing w:val="13"/>
        </w:rPr>
        <w:t xml:space="preserve"> </w:t>
      </w:r>
      <w:r>
        <w:rPr>
          <w:spacing w:val="1"/>
        </w:rPr>
        <w:t>应事先经过适当的培训。</w:t>
      </w:r>
    </w:p>
    <w:p w14:paraId="0DF1A46D">
      <w:pPr>
        <w:pStyle w:val="2"/>
        <w:spacing w:before="59" w:line="263" w:lineRule="auto"/>
        <w:ind w:right="123" w:firstLine="560"/>
      </w:pPr>
      <w:r>
        <w:rPr>
          <w:rFonts w:ascii="Times New Roman" w:hAnsi="Times New Roman" w:eastAsia="Times New Roman" w:cs="Times New Roman"/>
          <w:spacing w:val="11"/>
        </w:rPr>
        <w:t>b)</w:t>
      </w:r>
      <w:r>
        <w:rPr>
          <w:rFonts w:ascii="Times New Roman" w:hAnsi="Times New Roman" w:eastAsia="Times New Roman" w:cs="Times New Roman"/>
          <w:spacing w:val="76"/>
        </w:rPr>
        <w:t xml:space="preserve"> </w:t>
      </w:r>
      <w:r>
        <w:rPr>
          <w:spacing w:val="11"/>
        </w:rPr>
        <w:t>试验组的职责。验证评价小组负责安排试验、监控试验和处理试验数</w:t>
      </w:r>
      <w:r>
        <w:t xml:space="preserve"> </w:t>
      </w:r>
      <w:r>
        <w:rPr>
          <w:spacing w:val="-3"/>
        </w:rPr>
        <w:t>据；测试维修小组负责具体实施所要求的故障注入、检测与维修活动。每个试验</w:t>
      </w:r>
      <w:r>
        <w:rPr>
          <w:spacing w:val="5"/>
        </w:rPr>
        <w:t xml:space="preserve"> </w:t>
      </w:r>
      <w:r>
        <w:rPr>
          <w:spacing w:val="3"/>
        </w:rPr>
        <w:t>组人员的具体职责应在试验计划中规定。</w:t>
      </w:r>
    </w:p>
    <w:p w14:paraId="10FBEB34">
      <w:pPr>
        <w:spacing w:before="81" w:line="222"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有关情况的规定或处理原则</w:t>
      </w:r>
    </w:p>
    <w:p w14:paraId="378E87A0">
      <w:pPr>
        <w:pStyle w:val="2"/>
        <w:spacing w:before="80" w:line="277" w:lineRule="auto"/>
        <w:ind w:right="123" w:firstLine="560"/>
      </w:pPr>
      <w:r>
        <w:rPr>
          <w:spacing w:val="6"/>
        </w:rPr>
        <w:t>应结合具体产品情况，由承制方与订购方协商</w:t>
      </w:r>
      <w:r>
        <w:rPr>
          <w:spacing w:val="5"/>
        </w:rPr>
        <w:t>确定有关处理下列各项的基</w:t>
      </w:r>
      <w:r>
        <w:t xml:space="preserve"> </w:t>
      </w:r>
      <w:r>
        <w:rPr>
          <w:spacing w:val="-5"/>
        </w:rPr>
        <w:t>本规则：</w:t>
      </w:r>
    </w:p>
    <w:p w14:paraId="1C5E480E">
      <w:pPr>
        <w:pStyle w:val="2"/>
        <w:spacing w:before="1" w:line="212" w:lineRule="auto"/>
        <w:ind w:left="399"/>
      </w:pPr>
      <w:r>
        <w:rPr>
          <w:rFonts w:ascii="Times New Roman" w:hAnsi="Times New Roman" w:eastAsia="Times New Roman" w:cs="Times New Roman"/>
          <w:spacing w:val="2"/>
        </w:rPr>
        <w:t xml:space="preserve">·a)   </w:t>
      </w:r>
      <w:r>
        <w:rPr>
          <w:spacing w:val="2"/>
        </w:rPr>
        <w:t>试验过程中产品自然发生的故障，是否计入故障样本数(一般可记入);</w:t>
      </w:r>
    </w:p>
    <w:p w14:paraId="0F8E621E">
      <w:pPr>
        <w:pStyle w:val="2"/>
        <w:spacing w:before="90" w:line="256" w:lineRule="auto"/>
        <w:ind w:right="123" w:firstLine="560"/>
      </w:pPr>
      <w:r>
        <w:rPr>
          <w:rFonts w:ascii="Times New Roman" w:hAnsi="Times New Roman" w:eastAsia="Times New Roman" w:cs="Times New Roman"/>
          <w:spacing w:val="3"/>
        </w:rPr>
        <w:t xml:space="preserve">b)  </w:t>
      </w:r>
      <w:r>
        <w:rPr>
          <w:spacing w:val="3"/>
        </w:rPr>
        <w:t>由于仪器的不正确安装与操作而引起</w:t>
      </w:r>
      <w:r>
        <w:rPr>
          <w:spacing w:val="2"/>
        </w:rPr>
        <w:t>的产品故障，是否计入故障样本数</w:t>
      </w:r>
      <w:r>
        <w:t xml:space="preserve"> </w:t>
      </w:r>
      <w:r>
        <w:rPr>
          <w:spacing w:val="11"/>
        </w:rPr>
        <w:t>(一般可记入验证</w:t>
      </w:r>
      <w:r>
        <w:rPr>
          <w:rFonts w:ascii="Times New Roman" w:hAnsi="Times New Roman" w:eastAsia="Times New Roman" w:cs="Times New Roman"/>
        </w:rPr>
        <w:t>BIT</w:t>
      </w:r>
      <w:r>
        <w:rPr>
          <w:rFonts w:ascii="Times New Roman" w:hAnsi="Times New Roman" w:eastAsia="Times New Roman" w:cs="Times New Roman"/>
          <w:spacing w:val="11"/>
        </w:rPr>
        <w:t xml:space="preserve"> </w:t>
      </w:r>
      <w:r>
        <w:rPr>
          <w:spacing w:val="11"/>
        </w:rPr>
        <w:t>的样本数);</w:t>
      </w:r>
    </w:p>
    <w:p w14:paraId="712FE501">
      <w:pPr>
        <w:pStyle w:val="2"/>
        <w:spacing w:before="61" w:line="212" w:lineRule="auto"/>
        <w:ind w:left="560"/>
      </w:pPr>
      <w:r>
        <w:rPr>
          <w:rFonts w:ascii="Times New Roman" w:hAnsi="Times New Roman" w:eastAsia="Times New Roman" w:cs="Times New Roman"/>
          <w:spacing w:val="2"/>
        </w:rPr>
        <w:t>c)</w:t>
      </w:r>
      <w:r>
        <w:rPr>
          <w:rFonts w:ascii="Times New Roman" w:hAnsi="Times New Roman" w:eastAsia="Times New Roman" w:cs="Times New Roman"/>
          <w:spacing w:val="74"/>
        </w:rPr>
        <w:t xml:space="preserve"> </w:t>
      </w:r>
      <w:r>
        <w:rPr>
          <w:spacing w:val="2"/>
        </w:rPr>
        <w:t>从属故障是否计入故障样本数；</w:t>
      </w:r>
    </w:p>
    <w:p w14:paraId="28EA4AFE">
      <w:pPr>
        <w:pStyle w:val="2"/>
        <w:spacing w:before="110" w:line="212" w:lineRule="auto"/>
        <w:ind w:left="560"/>
      </w:pPr>
      <w:r>
        <w:rPr>
          <w:rFonts w:ascii="Times New Roman" w:hAnsi="Times New Roman" w:eastAsia="Times New Roman" w:cs="Times New Roman"/>
          <w:spacing w:val="1"/>
        </w:rPr>
        <w:t xml:space="preserve">d)  </w:t>
      </w:r>
      <w:r>
        <w:rPr>
          <w:spacing w:val="1"/>
        </w:rPr>
        <w:t>确认虚警的方法；</w:t>
      </w:r>
    </w:p>
    <w:p w14:paraId="79A38E7E">
      <w:pPr>
        <w:pStyle w:val="2"/>
        <w:spacing w:before="100" w:line="256" w:lineRule="auto"/>
        <w:ind w:right="124" w:firstLine="560"/>
      </w:pPr>
      <w:r>
        <w:rPr>
          <w:rFonts w:ascii="Times New Roman" w:hAnsi="Times New Roman" w:eastAsia="Times New Roman" w:cs="Times New Roman"/>
          <w:spacing w:val="12"/>
        </w:rPr>
        <w:t>e)</w:t>
      </w:r>
      <w:r>
        <w:rPr>
          <w:rFonts w:ascii="Times New Roman" w:hAnsi="Times New Roman" w:eastAsia="Times New Roman" w:cs="Times New Roman"/>
          <w:spacing w:val="63"/>
          <w:w w:val="101"/>
        </w:rPr>
        <w:t xml:space="preserve"> </w:t>
      </w:r>
      <w:r>
        <w:rPr>
          <w:spacing w:val="12"/>
        </w:rPr>
        <w:t>在完成具体故障检测或隔离时，发现事先规定使用的测</w:t>
      </w:r>
      <w:r>
        <w:rPr>
          <w:spacing w:val="11"/>
        </w:rPr>
        <w:t>试设备不合适</w:t>
      </w:r>
      <w:r>
        <w:t xml:space="preserve"> </w:t>
      </w:r>
      <w:r>
        <w:rPr>
          <w:spacing w:val="-15"/>
        </w:rPr>
        <w:t>时，应采取的措施；</w:t>
      </w:r>
    </w:p>
    <w:p w14:paraId="4FAA73A4">
      <w:pPr>
        <w:pStyle w:val="2"/>
        <w:spacing w:before="70" w:line="257" w:lineRule="auto"/>
        <w:ind w:right="123" w:firstLine="560"/>
      </w:pPr>
      <w:r>
        <w:rPr>
          <w:rFonts w:ascii="Times New Roman" w:hAnsi="Times New Roman" w:eastAsia="Times New Roman" w:cs="Times New Roman"/>
          <w:spacing w:val="4"/>
        </w:rPr>
        <w:t xml:space="preserve">f)  </w:t>
      </w:r>
      <w:r>
        <w:rPr>
          <w:spacing w:val="4"/>
        </w:rPr>
        <w:t>由于技术手册中提供了不恰当、不准确或不充分的信息，从</w:t>
      </w:r>
      <w:r>
        <w:rPr>
          <w:spacing w:val="3"/>
        </w:rPr>
        <w:t>而导致故障</w:t>
      </w:r>
      <w:r>
        <w:t xml:space="preserve"> </w:t>
      </w:r>
      <w:r>
        <w:rPr>
          <w:spacing w:val="1"/>
        </w:rPr>
        <w:t>检测或隔离失败情况的处理；</w:t>
      </w:r>
    </w:p>
    <w:p w14:paraId="3B6A16E3">
      <w:pPr>
        <w:spacing w:line="257" w:lineRule="auto"/>
        <w:sectPr>
          <w:footerReference r:id="rId477" w:type="default"/>
          <w:pgSz w:w="11910" w:h="17130"/>
          <w:pgMar w:top="1456" w:right="1315" w:bottom="1593" w:left="1090" w:header="0" w:footer="1394" w:gutter="0"/>
          <w:cols w:space="720" w:num="1"/>
        </w:sectPr>
      </w:pPr>
    </w:p>
    <w:p w14:paraId="2EB4B5B0">
      <w:pPr>
        <w:pStyle w:val="2"/>
        <w:spacing w:before="58" w:line="212" w:lineRule="auto"/>
        <w:ind w:left="560"/>
      </w:pPr>
      <w:r>
        <w:rPr>
          <w:rFonts w:ascii="Times New Roman" w:hAnsi="Times New Roman" w:eastAsia="Times New Roman" w:cs="Times New Roman"/>
          <w:spacing w:val="-7"/>
        </w:rPr>
        <w:t xml:space="preserve">g)  </w:t>
      </w:r>
      <w:r>
        <w:rPr>
          <w:spacing w:val="-7"/>
        </w:rPr>
        <w:t>验证结论为“不通过”时应采取的后续措施。</w:t>
      </w:r>
    </w:p>
    <w:p w14:paraId="359CFB0E">
      <w:pPr>
        <w:spacing w:before="124" w:line="221" w:lineRule="auto"/>
        <w:outlineLvl w:val="3"/>
        <w:rPr>
          <w:rFonts w:ascii="黑体" w:hAnsi="黑体" w:eastAsia="黑体" w:cs="黑体"/>
          <w:sz w:val="27"/>
          <w:szCs w:val="27"/>
        </w:rPr>
      </w:pPr>
      <w:r>
        <w:rPr>
          <w:rFonts w:ascii="Arial" w:hAnsi="Arial" w:eastAsia="Arial" w:cs="Arial"/>
          <w:b/>
          <w:bCs/>
          <w:spacing w:val="2"/>
          <w:sz w:val="27"/>
          <w:szCs w:val="27"/>
        </w:rPr>
        <w:t>7</w:t>
      </w:r>
      <w:r>
        <w:rPr>
          <w:rFonts w:ascii="Arial" w:hAnsi="Arial" w:eastAsia="Arial" w:cs="Arial"/>
          <w:b/>
          <w:bCs/>
          <w:spacing w:val="23"/>
          <w:sz w:val="27"/>
          <w:szCs w:val="27"/>
        </w:rPr>
        <w:t xml:space="preserve">   </w:t>
      </w:r>
      <w:r>
        <w:rPr>
          <w:rFonts w:ascii="黑体" w:hAnsi="黑体" w:eastAsia="黑体" w:cs="黑体"/>
          <w:b/>
          <w:bCs/>
          <w:spacing w:val="2"/>
          <w:sz w:val="27"/>
          <w:szCs w:val="27"/>
        </w:rPr>
        <w:t>试验总时间和详细的试验实施计划</w:t>
      </w:r>
    </w:p>
    <w:p w14:paraId="50819CD2">
      <w:pPr>
        <w:pStyle w:val="2"/>
        <w:spacing w:before="83" w:line="220" w:lineRule="auto"/>
        <w:ind w:left="560"/>
      </w:pPr>
      <w:r>
        <w:rPr>
          <w:spacing w:val="-3"/>
        </w:rPr>
        <w:t>确定试验总时间，制定详细的试验实施计划。</w:t>
      </w:r>
    </w:p>
    <w:p w14:paraId="5767490E">
      <w:pPr>
        <w:spacing w:before="93" w:line="222" w:lineRule="auto"/>
        <w:outlineLvl w:val="3"/>
        <w:rPr>
          <w:rFonts w:ascii="黑体" w:hAnsi="黑体" w:eastAsia="黑体" w:cs="黑体"/>
          <w:sz w:val="27"/>
          <w:szCs w:val="27"/>
        </w:rPr>
      </w:pPr>
      <w:r>
        <w:rPr>
          <w:rFonts w:ascii="Arial" w:hAnsi="Arial" w:eastAsia="Arial" w:cs="Arial"/>
          <w:b/>
          <w:bCs/>
          <w:spacing w:val="-2"/>
          <w:sz w:val="27"/>
          <w:szCs w:val="27"/>
        </w:rPr>
        <w:t>8</w:t>
      </w:r>
      <w:r>
        <w:rPr>
          <w:rFonts w:ascii="Arial" w:hAnsi="Arial" w:eastAsia="Arial" w:cs="Arial"/>
          <w:b/>
          <w:bCs/>
          <w:spacing w:val="26"/>
          <w:sz w:val="27"/>
          <w:szCs w:val="27"/>
        </w:rPr>
        <w:t xml:space="preserve">   </w:t>
      </w:r>
      <w:r>
        <w:rPr>
          <w:rFonts w:ascii="黑体" w:hAnsi="黑体" w:eastAsia="黑体" w:cs="黑体"/>
          <w:b/>
          <w:bCs/>
          <w:spacing w:val="-2"/>
          <w:sz w:val="27"/>
          <w:szCs w:val="27"/>
        </w:rPr>
        <w:t>收集数据的内容与属性</w:t>
      </w:r>
    </w:p>
    <w:p w14:paraId="02E41AD2">
      <w:pPr>
        <w:pStyle w:val="2"/>
        <w:spacing w:before="39" w:line="219" w:lineRule="auto"/>
        <w:ind w:right="42"/>
        <w:jc w:val="right"/>
      </w:pPr>
      <w:r>
        <w:rPr>
          <w:spacing w:val="-3"/>
        </w:rPr>
        <w:t>说明收集数据的内容和属性，并纳入相关数</w:t>
      </w:r>
      <w:r>
        <w:rPr>
          <w:spacing w:val="-4"/>
        </w:rPr>
        <w:t>据收集、分析和纠正措施系统。</w:t>
      </w:r>
    </w:p>
    <w:p w14:paraId="1D791A3D">
      <w:pPr>
        <w:spacing w:before="113" w:line="221" w:lineRule="auto"/>
        <w:rPr>
          <w:rFonts w:ascii="黑体" w:hAnsi="黑体" w:eastAsia="黑体" w:cs="黑体"/>
          <w:sz w:val="27"/>
          <w:szCs w:val="27"/>
        </w:rPr>
      </w:pPr>
      <w:r>
        <w:rPr>
          <w:rFonts w:ascii="黑体" w:hAnsi="黑体" w:eastAsia="黑体" w:cs="黑体"/>
          <w:spacing w:val="2"/>
          <w:sz w:val="27"/>
          <w:szCs w:val="27"/>
        </w:rPr>
        <w:t xml:space="preserve">9  </w:t>
      </w:r>
      <w:r>
        <w:rPr>
          <w:rFonts w:ascii="黑体" w:hAnsi="黑体" w:eastAsia="黑体" w:cs="黑体"/>
          <w:b/>
          <w:bCs/>
          <w:spacing w:val="2"/>
          <w:sz w:val="27"/>
          <w:szCs w:val="27"/>
        </w:rPr>
        <w:t>订购方参加验证的时机与程度</w:t>
      </w:r>
    </w:p>
    <w:p w14:paraId="2C1A0253">
      <w:pPr>
        <w:pStyle w:val="2"/>
        <w:spacing w:before="92" w:line="219" w:lineRule="auto"/>
        <w:ind w:left="560"/>
      </w:pPr>
      <w:r>
        <w:rPr>
          <w:spacing w:val="3"/>
        </w:rPr>
        <w:t>确定订购方参加验证的时机与具体工作内容。</w:t>
      </w:r>
    </w:p>
    <w:p w14:paraId="0069BC9F">
      <w:pPr>
        <w:spacing w:before="104" w:line="221" w:lineRule="auto"/>
        <w:rPr>
          <w:rFonts w:ascii="黑体" w:hAnsi="黑体" w:eastAsia="黑体" w:cs="黑体"/>
          <w:sz w:val="25"/>
          <w:szCs w:val="25"/>
        </w:rPr>
      </w:pPr>
      <w:r>
        <w:rPr>
          <w:rFonts w:ascii="黑体" w:hAnsi="黑体" w:eastAsia="黑体" w:cs="黑体"/>
          <w:spacing w:val="16"/>
          <w:sz w:val="25"/>
          <w:szCs w:val="25"/>
        </w:rPr>
        <w:t>10</w:t>
      </w:r>
      <w:r>
        <w:rPr>
          <w:rFonts w:ascii="黑体" w:hAnsi="黑体" w:eastAsia="黑体" w:cs="黑体"/>
          <w:spacing w:val="44"/>
          <w:sz w:val="25"/>
          <w:szCs w:val="25"/>
        </w:rPr>
        <w:t xml:space="preserve">  </w:t>
      </w:r>
      <w:r>
        <w:rPr>
          <w:rFonts w:ascii="黑体" w:hAnsi="黑体" w:eastAsia="黑体" w:cs="黑体"/>
          <w:b/>
          <w:bCs/>
          <w:spacing w:val="16"/>
          <w:sz w:val="25"/>
          <w:szCs w:val="25"/>
        </w:rPr>
        <w:t>试验安全保证要求</w:t>
      </w:r>
    </w:p>
    <w:p w14:paraId="0BE18DB1">
      <w:pPr>
        <w:pStyle w:val="2"/>
        <w:spacing w:before="118" w:line="220" w:lineRule="auto"/>
        <w:ind w:left="560"/>
        <w:rPr>
          <w:sz w:val="25"/>
          <w:szCs w:val="25"/>
        </w:rPr>
      </w:pPr>
      <w:r>
        <w:rPr>
          <w:spacing w:val="21"/>
          <w:sz w:val="25"/>
          <w:szCs w:val="25"/>
        </w:rPr>
        <w:t>提出试验安全保证要求。</w:t>
      </w:r>
    </w:p>
    <w:p w14:paraId="5200C3CF">
      <w:pPr>
        <w:spacing w:before="76" w:line="221" w:lineRule="auto"/>
        <w:rPr>
          <w:rFonts w:ascii="黑体" w:hAnsi="黑体" w:eastAsia="黑体" w:cs="黑体"/>
          <w:sz w:val="27"/>
          <w:szCs w:val="27"/>
        </w:rPr>
      </w:pPr>
      <w:r>
        <w:rPr>
          <w:rFonts w:ascii="黑体" w:hAnsi="黑体" w:eastAsia="黑体" w:cs="黑体"/>
          <w:sz w:val="27"/>
          <w:szCs w:val="27"/>
        </w:rPr>
        <w:t>11</w:t>
      </w:r>
      <w:r>
        <w:rPr>
          <w:rFonts w:ascii="黑体" w:hAnsi="黑体" w:eastAsia="黑体" w:cs="黑体"/>
          <w:spacing w:val="24"/>
          <w:sz w:val="27"/>
          <w:szCs w:val="27"/>
        </w:rPr>
        <w:t xml:space="preserve">  </w:t>
      </w:r>
      <w:r>
        <w:rPr>
          <w:rFonts w:ascii="黑体" w:hAnsi="黑体" w:eastAsia="黑体" w:cs="黑体"/>
          <w:b/>
          <w:bCs/>
          <w:sz w:val="27"/>
          <w:szCs w:val="27"/>
        </w:rPr>
        <w:t>试验经费及保障用物资</w:t>
      </w:r>
    </w:p>
    <w:p w14:paraId="2B454F77">
      <w:pPr>
        <w:pStyle w:val="2"/>
        <w:spacing w:before="104" w:line="282" w:lineRule="auto"/>
        <w:ind w:firstLine="560"/>
      </w:pPr>
      <w:r>
        <w:rPr>
          <w:spacing w:val="2"/>
        </w:rPr>
        <w:t>确定试验经费、保障用物资(试验中所需要的工具、保障设备、设施、备件</w:t>
      </w:r>
      <w:r>
        <w:t xml:space="preserve"> </w:t>
      </w:r>
      <w:r>
        <w:rPr>
          <w:spacing w:val="-4"/>
        </w:rPr>
        <w:t>等)。</w:t>
      </w:r>
    </w:p>
    <w:p w14:paraId="23D80D29">
      <w:pPr>
        <w:pStyle w:val="2"/>
        <w:spacing w:before="329" w:line="218" w:lineRule="auto"/>
        <w:ind w:left="2510"/>
        <w:outlineLvl w:val="1"/>
        <w:rPr>
          <w:sz w:val="36"/>
          <w:szCs w:val="36"/>
        </w:rPr>
      </w:pPr>
      <w:r>
        <w:rPr>
          <w:rFonts w:ascii="Times New Roman" w:hAnsi="Times New Roman" w:eastAsia="Times New Roman" w:cs="Times New Roman"/>
          <w:b/>
          <w:bCs/>
          <w:spacing w:val="3"/>
          <w:sz w:val="36"/>
          <w:szCs w:val="36"/>
        </w:rPr>
        <w:t xml:space="preserve">9.18     </w:t>
      </w:r>
      <w:r>
        <w:rPr>
          <w:b/>
          <w:bCs/>
          <w:spacing w:val="3"/>
          <w:sz w:val="36"/>
          <w:szCs w:val="36"/>
        </w:rPr>
        <w:t>测试性验证试验报告</w:t>
      </w:r>
    </w:p>
    <w:p w14:paraId="799AD383">
      <w:pPr>
        <w:spacing w:line="339" w:lineRule="auto"/>
        <w:rPr>
          <w:rFonts w:ascii="Arial"/>
          <w:sz w:val="21"/>
        </w:rPr>
      </w:pPr>
    </w:p>
    <w:p w14:paraId="680DF418">
      <w:pPr>
        <w:pStyle w:val="2"/>
        <w:spacing w:before="92"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w:t>
      </w:r>
      <w:r>
        <w:rPr>
          <w:rFonts w:ascii="Times New Roman" w:hAnsi="Times New Roman" w:eastAsia="Times New Roman" w:cs="Times New Roman"/>
          <w:spacing w:val="44"/>
          <w:sz w:val="28"/>
          <w:szCs w:val="28"/>
        </w:rPr>
        <w:t xml:space="preserve"> </w:t>
      </w:r>
      <w:r>
        <w:rPr>
          <w:rFonts w:ascii="Times New Roman" w:hAnsi="Times New Roman" w:eastAsia="Times New Roman" w:cs="Times New Roman"/>
          <w:spacing w:val="-11"/>
          <w:sz w:val="28"/>
          <w:szCs w:val="28"/>
        </w:rPr>
        <w:t>1362A—2007</w:t>
      </w:r>
      <w:r>
        <w:rPr>
          <w:spacing w:val="-11"/>
          <w:sz w:val="28"/>
          <w:szCs w:val="28"/>
        </w:rPr>
        <w:t>《</w:t>
      </w:r>
      <w:r>
        <w:rPr>
          <w:rFonts w:ascii="楷体" w:hAnsi="楷体" w:eastAsia="楷体" w:cs="楷体"/>
          <w:spacing w:val="-11"/>
          <w:sz w:val="28"/>
          <w:szCs w:val="28"/>
        </w:rPr>
        <w:t>军工产品定型程序和要求》编写。</w:t>
      </w:r>
    </w:p>
    <w:p w14:paraId="4C39852E">
      <w:pPr>
        <w:spacing w:before="62" w:line="221"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7"/>
          <w:sz w:val="27"/>
          <w:szCs w:val="27"/>
        </w:rPr>
        <w:t xml:space="preserve">  </w:t>
      </w:r>
      <w:r>
        <w:rPr>
          <w:rFonts w:ascii="黑体" w:hAnsi="黑体" w:eastAsia="黑体" w:cs="黑体"/>
          <w:b/>
          <w:bCs/>
          <w:spacing w:val="-3"/>
          <w:sz w:val="27"/>
          <w:szCs w:val="27"/>
        </w:rPr>
        <w:t>试验概况</w:t>
      </w:r>
    </w:p>
    <w:p w14:paraId="47403405">
      <w:pPr>
        <w:pStyle w:val="2"/>
        <w:spacing w:before="93" w:line="219" w:lineRule="auto"/>
        <w:ind w:left="560"/>
      </w:pPr>
      <w:r>
        <w:rPr>
          <w:spacing w:val="-4"/>
        </w:rPr>
        <w:t>概要描述试验情况，通常应有以下内容：</w:t>
      </w:r>
    </w:p>
    <w:p w14:paraId="573229AB">
      <w:pPr>
        <w:pStyle w:val="2"/>
        <w:spacing w:before="69" w:line="212" w:lineRule="auto"/>
        <w:ind w:left="560"/>
      </w:pPr>
      <w:r>
        <w:rPr>
          <w:rFonts w:ascii="Times New Roman" w:hAnsi="Times New Roman" w:eastAsia="Times New Roman" w:cs="Times New Roman"/>
          <w:spacing w:val="-7"/>
        </w:rPr>
        <w:t>a)</w:t>
      </w:r>
      <w:r>
        <w:rPr>
          <w:rFonts w:ascii="Times New Roman" w:hAnsi="Times New Roman" w:eastAsia="Times New Roman" w:cs="Times New Roman"/>
          <w:spacing w:val="69"/>
        </w:rPr>
        <w:t xml:space="preserve"> </w:t>
      </w:r>
      <w:r>
        <w:rPr>
          <w:spacing w:val="-7"/>
        </w:rPr>
        <w:t>试验任务来源、依据；</w:t>
      </w:r>
    </w:p>
    <w:p w14:paraId="38A309EB">
      <w:pPr>
        <w:pStyle w:val="2"/>
        <w:spacing w:before="100"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69"/>
        </w:rPr>
        <w:t xml:space="preserve"> </w:t>
      </w:r>
      <w:r>
        <w:rPr>
          <w:spacing w:val="2"/>
        </w:rPr>
        <w:t>被试品代号和名称；</w:t>
      </w:r>
    </w:p>
    <w:p w14:paraId="548D13CC">
      <w:pPr>
        <w:pStyle w:val="2"/>
        <w:spacing w:before="90"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4"/>
          <w:w w:val="101"/>
        </w:rPr>
        <w:t xml:space="preserve"> </w:t>
      </w:r>
      <w:r>
        <w:rPr>
          <w:spacing w:val="3"/>
        </w:rPr>
        <w:t>承试单位和参试单位名称；</w:t>
      </w:r>
    </w:p>
    <w:p w14:paraId="6E28151A">
      <w:pPr>
        <w:pStyle w:val="2"/>
        <w:spacing w:before="120" w:line="212" w:lineRule="auto"/>
        <w:ind w:left="560"/>
      </w:pPr>
      <w:r>
        <w:rPr>
          <w:rFonts w:ascii="Times New Roman" w:hAnsi="Times New Roman" w:eastAsia="Times New Roman" w:cs="Times New Roman"/>
          <w:spacing w:val="-6"/>
        </w:rPr>
        <w:t xml:space="preserve">d)  </w:t>
      </w:r>
      <w:r>
        <w:rPr>
          <w:spacing w:val="-6"/>
        </w:rPr>
        <w:t>试验性质、目的和任务；</w:t>
      </w:r>
    </w:p>
    <w:p w14:paraId="358C9067">
      <w:pPr>
        <w:pStyle w:val="2"/>
        <w:spacing w:before="131" w:line="220" w:lineRule="auto"/>
        <w:ind w:left="560"/>
      </w:pPr>
      <w:r>
        <w:rPr>
          <w:rFonts w:ascii="Times New Roman" w:hAnsi="Times New Roman" w:eastAsia="Times New Roman" w:cs="Times New Roman"/>
          <w:spacing w:val="-3"/>
        </w:rPr>
        <w:t>e</w:t>
      </w:r>
      <w:r>
        <w:rPr>
          <w:spacing w:val="-3"/>
        </w:rPr>
        <w:t>)试验地点、起止时间；</w:t>
      </w:r>
    </w:p>
    <w:p w14:paraId="49CEC4ED">
      <w:pPr>
        <w:pStyle w:val="2"/>
        <w:spacing w:before="47" w:line="212" w:lineRule="auto"/>
        <w:ind w:left="560"/>
      </w:pPr>
      <w:r>
        <w:rPr>
          <w:rFonts w:ascii="Times New Roman" w:hAnsi="Times New Roman" w:eastAsia="Times New Roman" w:cs="Times New Roman"/>
          <w:spacing w:val="4"/>
        </w:rPr>
        <w:t>f)</w:t>
      </w:r>
      <w:r>
        <w:rPr>
          <w:rFonts w:ascii="Times New Roman" w:hAnsi="Times New Roman" w:eastAsia="Times New Roman" w:cs="Times New Roman"/>
          <w:spacing w:val="66"/>
          <w:w w:val="101"/>
        </w:rPr>
        <w:t xml:space="preserve"> </w:t>
      </w:r>
      <w:r>
        <w:rPr>
          <w:spacing w:val="4"/>
        </w:rPr>
        <w:t>试验组织机构的设立及其职责分工情况；</w:t>
      </w:r>
    </w:p>
    <w:p w14:paraId="5152DDD2">
      <w:pPr>
        <w:pStyle w:val="2"/>
        <w:spacing w:before="120" w:line="212" w:lineRule="auto"/>
        <w:ind w:left="560"/>
      </w:pPr>
      <w:r>
        <w:rPr>
          <w:rFonts w:ascii="Times New Roman" w:hAnsi="Times New Roman" w:eastAsia="Times New Roman" w:cs="Times New Roman"/>
          <w:spacing w:val="9"/>
        </w:rPr>
        <w:t>g</w:t>
      </w:r>
      <w:r>
        <w:rPr>
          <w:spacing w:val="9"/>
        </w:rPr>
        <w:t>)试验实施计划的制定和落实情况；</w:t>
      </w:r>
    </w:p>
    <w:p w14:paraId="4B57E27A">
      <w:pPr>
        <w:pStyle w:val="2"/>
        <w:spacing w:before="112" w:line="212" w:lineRule="auto"/>
        <w:ind w:left="560"/>
        <w:rPr>
          <w:sz w:val="25"/>
          <w:szCs w:val="25"/>
        </w:rPr>
      </w:pPr>
      <w:r>
        <w:rPr>
          <w:rFonts w:ascii="Times New Roman" w:hAnsi="Times New Roman" w:eastAsia="Times New Roman" w:cs="Times New Roman"/>
          <w:spacing w:val="10"/>
          <w:sz w:val="25"/>
          <w:szCs w:val="25"/>
        </w:rPr>
        <w:t xml:space="preserve">h)  </w:t>
      </w:r>
      <w:r>
        <w:rPr>
          <w:spacing w:val="10"/>
          <w:sz w:val="25"/>
          <w:szCs w:val="25"/>
        </w:rPr>
        <w:t>试验阶段划分，各阶段的起止时间、地点(地域)、主要工作和目的；</w:t>
      </w:r>
    </w:p>
    <w:p w14:paraId="50BEC702">
      <w:pPr>
        <w:pStyle w:val="2"/>
        <w:spacing w:before="91" w:line="212" w:lineRule="auto"/>
        <w:ind w:left="560"/>
      </w:pPr>
      <w:r>
        <w:rPr>
          <w:rFonts w:ascii="Times New Roman" w:hAnsi="Times New Roman" w:eastAsia="Times New Roman" w:cs="Times New Roman"/>
          <w:spacing w:val="3"/>
        </w:rPr>
        <w:t>i)</w:t>
      </w:r>
      <w:r>
        <w:rPr>
          <w:rFonts w:ascii="Times New Roman" w:hAnsi="Times New Roman" w:eastAsia="Times New Roman" w:cs="Times New Roman"/>
          <w:spacing w:val="70"/>
        </w:rPr>
        <w:t xml:space="preserve"> </w:t>
      </w:r>
      <w:r>
        <w:rPr>
          <w:spacing w:val="3"/>
        </w:rPr>
        <w:t>是否完成试验大纲规定的任务等。</w:t>
      </w:r>
    </w:p>
    <w:p w14:paraId="25CD4430">
      <w:pPr>
        <w:spacing w:before="114" w:line="221" w:lineRule="auto"/>
        <w:rPr>
          <w:rFonts w:ascii="黑体" w:hAnsi="黑体" w:eastAsia="黑体" w:cs="黑体"/>
          <w:sz w:val="27"/>
          <w:szCs w:val="27"/>
        </w:rPr>
      </w:pPr>
      <w:r>
        <w:rPr>
          <w:rFonts w:ascii="黑体" w:hAnsi="黑体" w:eastAsia="黑体" w:cs="黑体"/>
          <w:spacing w:val="-12"/>
          <w:sz w:val="27"/>
          <w:szCs w:val="27"/>
        </w:rPr>
        <w:t>2</w:t>
      </w:r>
      <w:r>
        <w:rPr>
          <w:rFonts w:ascii="黑体" w:hAnsi="黑体" w:eastAsia="黑体" w:cs="黑体"/>
          <w:spacing w:val="18"/>
          <w:sz w:val="27"/>
          <w:szCs w:val="27"/>
        </w:rPr>
        <w:t xml:space="preserve">  </w:t>
      </w:r>
      <w:r>
        <w:rPr>
          <w:rFonts w:ascii="黑体" w:hAnsi="黑体" w:eastAsia="黑体" w:cs="黑体"/>
          <w:b/>
          <w:bCs/>
          <w:spacing w:val="-12"/>
          <w:sz w:val="27"/>
          <w:szCs w:val="27"/>
        </w:rPr>
        <w:t>试验项目、步骤和方法</w:t>
      </w:r>
    </w:p>
    <w:p w14:paraId="0193666F">
      <w:pPr>
        <w:spacing w:before="74" w:line="212" w:lineRule="auto"/>
        <w:rPr>
          <w:rFonts w:ascii="黑体" w:hAnsi="黑体" w:eastAsia="黑体" w:cs="黑体"/>
          <w:sz w:val="27"/>
          <w:szCs w:val="27"/>
        </w:rPr>
      </w:pPr>
      <w:r>
        <w:rPr>
          <w:rFonts w:ascii="Arial" w:hAnsi="Arial" w:eastAsia="Arial" w:cs="Arial"/>
          <w:spacing w:val="5"/>
          <w:sz w:val="27"/>
          <w:szCs w:val="27"/>
        </w:rPr>
        <w:t>2.</w:t>
      </w:r>
      <w:r>
        <w:rPr>
          <w:rFonts w:ascii="Arial" w:hAnsi="Arial" w:eastAsia="Arial" w:cs="Arial"/>
          <w:spacing w:val="-12"/>
          <w:sz w:val="27"/>
          <w:szCs w:val="27"/>
        </w:rPr>
        <w:t xml:space="preserve"> </w:t>
      </w:r>
      <w:r>
        <w:rPr>
          <w:rFonts w:ascii="Arial" w:hAnsi="Arial" w:eastAsia="Arial" w:cs="Arial"/>
          <w:spacing w:val="5"/>
          <w:sz w:val="27"/>
          <w:szCs w:val="27"/>
        </w:rPr>
        <w:t xml:space="preserve">X    </w:t>
      </w:r>
      <w:r>
        <w:rPr>
          <w:rFonts w:ascii="黑体" w:hAnsi="黑体" w:eastAsia="黑体" w:cs="黑体"/>
          <w:b/>
          <w:bCs/>
          <w:spacing w:val="5"/>
          <w:sz w:val="27"/>
          <w:szCs w:val="27"/>
        </w:rPr>
        <w:t>(试验项目</w:t>
      </w:r>
      <w:r>
        <w:rPr>
          <w:rFonts w:ascii="Arial" w:hAnsi="Arial" w:eastAsia="Arial" w:cs="Arial"/>
          <w:b/>
          <w:bCs/>
          <w:spacing w:val="5"/>
          <w:sz w:val="27"/>
          <w:szCs w:val="27"/>
        </w:rPr>
        <w:t>X)</w:t>
      </w:r>
      <w:r>
        <w:rPr>
          <w:rFonts w:ascii="Arial" w:hAnsi="Arial" w:eastAsia="Arial" w:cs="Arial"/>
          <w:b/>
          <w:bCs/>
          <w:spacing w:val="-21"/>
          <w:sz w:val="27"/>
          <w:szCs w:val="27"/>
        </w:rPr>
        <w:t xml:space="preserve"> </w:t>
      </w:r>
      <w:r>
        <w:rPr>
          <w:rFonts w:ascii="黑体" w:hAnsi="黑体" w:eastAsia="黑体" w:cs="黑体"/>
          <w:b/>
          <w:bCs/>
          <w:spacing w:val="5"/>
          <w:sz w:val="27"/>
          <w:szCs w:val="27"/>
        </w:rPr>
        <w:t>的步骤和方法</w:t>
      </w:r>
    </w:p>
    <w:p w14:paraId="28763586">
      <w:pPr>
        <w:pStyle w:val="2"/>
        <w:spacing w:before="99" w:line="212" w:lineRule="auto"/>
        <w:ind w:left="560"/>
      </w:pPr>
      <w:r>
        <w:rPr>
          <w:spacing w:val="4"/>
        </w:rPr>
        <w:t>应按试验大纲的规定，简要叙述(试验项目</w:t>
      </w:r>
      <w:r>
        <w:rPr>
          <w:rFonts w:ascii="Times New Roman" w:hAnsi="Times New Roman" w:eastAsia="Times New Roman" w:cs="Times New Roman"/>
          <w:spacing w:val="4"/>
        </w:rPr>
        <w:t>X)</w:t>
      </w:r>
      <w:r>
        <w:rPr>
          <w:spacing w:val="4"/>
        </w:rPr>
        <w:t>的实施</w:t>
      </w:r>
      <w:r>
        <w:rPr>
          <w:spacing w:val="3"/>
        </w:rPr>
        <w:t>步骤和方法。</w:t>
      </w:r>
    </w:p>
    <w:p w14:paraId="47589E7F">
      <w:pPr>
        <w:spacing w:before="114"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20"/>
          <w:sz w:val="27"/>
          <w:szCs w:val="27"/>
        </w:rPr>
        <w:t xml:space="preserve">  </w:t>
      </w:r>
      <w:r>
        <w:rPr>
          <w:rFonts w:ascii="黑体" w:hAnsi="黑体" w:eastAsia="黑体" w:cs="黑体"/>
          <w:b/>
          <w:bCs/>
          <w:sz w:val="27"/>
          <w:szCs w:val="27"/>
        </w:rPr>
        <w:t>试验数据</w:t>
      </w:r>
    </w:p>
    <w:p w14:paraId="56F16530">
      <w:pPr>
        <w:pStyle w:val="2"/>
        <w:spacing w:before="101" w:line="219" w:lineRule="auto"/>
        <w:ind w:left="560"/>
      </w:pPr>
      <w:r>
        <w:rPr>
          <w:spacing w:val="4"/>
        </w:rPr>
        <w:t>提供各项试验所获得的实测数据(必要时可采用图表形式表示)。</w:t>
      </w:r>
    </w:p>
    <w:p w14:paraId="5CAC63EB">
      <w:pPr>
        <w:spacing w:before="76" w:line="221" w:lineRule="auto"/>
        <w:outlineLvl w:val="3"/>
        <w:rPr>
          <w:rFonts w:ascii="黑体" w:hAnsi="黑体" w:eastAsia="黑体" w:cs="黑体"/>
          <w:sz w:val="27"/>
          <w:szCs w:val="27"/>
        </w:rPr>
      </w:pPr>
      <w:r>
        <w:rPr>
          <w:rFonts w:ascii="Arial" w:hAnsi="Arial" w:eastAsia="Arial" w:cs="Arial"/>
          <w:b/>
          <w:bCs/>
          <w:spacing w:val="2"/>
          <w:sz w:val="27"/>
          <w:szCs w:val="27"/>
        </w:rPr>
        <w:t>4</w:t>
      </w:r>
      <w:r>
        <w:rPr>
          <w:rFonts w:ascii="Arial" w:hAnsi="Arial" w:eastAsia="Arial" w:cs="Arial"/>
          <w:b/>
          <w:bCs/>
          <w:spacing w:val="25"/>
          <w:sz w:val="27"/>
          <w:szCs w:val="27"/>
        </w:rPr>
        <w:t xml:space="preserve">   </w:t>
      </w:r>
      <w:r>
        <w:rPr>
          <w:rFonts w:ascii="黑体" w:hAnsi="黑体" w:eastAsia="黑体" w:cs="黑体"/>
          <w:b/>
          <w:bCs/>
          <w:spacing w:val="2"/>
          <w:sz w:val="27"/>
          <w:szCs w:val="27"/>
        </w:rPr>
        <w:t>试验中出现的主要技术问题及处理情况</w:t>
      </w:r>
    </w:p>
    <w:p w14:paraId="4D2200B6">
      <w:pPr>
        <w:pStyle w:val="2"/>
        <w:spacing w:before="112" w:line="219" w:lineRule="auto"/>
        <w:ind w:right="21"/>
        <w:jc w:val="right"/>
        <w:rPr>
          <w:sz w:val="25"/>
          <w:szCs w:val="25"/>
        </w:rPr>
      </w:pPr>
      <w:r>
        <w:rPr>
          <w:spacing w:val="21"/>
          <w:sz w:val="25"/>
          <w:szCs w:val="25"/>
        </w:rPr>
        <w:t>描述试验中出现的主要技术问题及处理情况，包括问题现象(发生时间、试</w:t>
      </w:r>
    </w:p>
    <w:p w14:paraId="5763840A">
      <w:pPr>
        <w:spacing w:line="219" w:lineRule="auto"/>
        <w:rPr>
          <w:sz w:val="25"/>
          <w:szCs w:val="25"/>
        </w:rPr>
        <w:sectPr>
          <w:footerReference r:id="rId478" w:type="default"/>
          <w:pgSz w:w="11910" w:h="17130"/>
          <w:pgMar w:top="1342" w:right="848" w:bottom="1747" w:left="1660" w:header="0" w:footer="1530" w:gutter="0"/>
          <w:cols w:space="720" w:num="1"/>
        </w:sectPr>
      </w:pPr>
    </w:p>
    <w:p w14:paraId="74149B7A">
      <w:pPr>
        <w:pStyle w:val="2"/>
        <w:spacing w:before="95" w:line="219" w:lineRule="auto"/>
      </w:pPr>
      <w:r>
        <w:rPr>
          <w:spacing w:val="-16"/>
        </w:rPr>
        <w:t>验项目、技术问题等)、问题原因、解决措施、验证情况等。</w:t>
      </w:r>
    </w:p>
    <w:p w14:paraId="3380EABD">
      <w:pPr>
        <w:spacing w:before="51" w:line="341" w:lineRule="exact"/>
        <w:rPr>
          <w:rFonts w:ascii="黑体" w:hAnsi="黑体" w:eastAsia="黑体" w:cs="黑体"/>
          <w:sz w:val="25"/>
          <w:szCs w:val="25"/>
        </w:rPr>
      </w:pPr>
      <w:r>
        <w:rPr>
          <w:rFonts w:ascii="Arial" w:hAnsi="Arial" w:eastAsia="Arial" w:cs="Arial"/>
          <w:spacing w:val="4"/>
          <w:position w:val="1"/>
          <w:sz w:val="25"/>
          <w:szCs w:val="25"/>
        </w:rPr>
        <w:t>5</w:t>
      </w:r>
      <w:r>
        <w:rPr>
          <w:rFonts w:ascii="Arial" w:hAnsi="Arial" w:eastAsia="Arial" w:cs="Arial"/>
          <w:spacing w:val="2"/>
          <w:position w:val="1"/>
          <w:sz w:val="25"/>
          <w:szCs w:val="25"/>
        </w:rPr>
        <w:t xml:space="preserve">    </w:t>
      </w:r>
      <w:r>
        <w:rPr>
          <w:rFonts w:ascii="黑体" w:hAnsi="黑体" w:eastAsia="黑体" w:cs="黑体"/>
          <w:spacing w:val="4"/>
          <w:position w:val="1"/>
          <w:sz w:val="25"/>
          <w:szCs w:val="25"/>
        </w:rPr>
        <w:t>试验结果、结论</w:t>
      </w:r>
    </w:p>
    <w:p w14:paraId="1E9F81A7">
      <w:pPr>
        <w:spacing w:before="94" w:line="221" w:lineRule="auto"/>
        <w:rPr>
          <w:rFonts w:ascii="黑体" w:hAnsi="黑体" w:eastAsia="黑体" w:cs="黑体"/>
          <w:sz w:val="27"/>
          <w:szCs w:val="27"/>
        </w:rPr>
      </w:pPr>
      <w:r>
        <w:rPr>
          <w:rFonts w:ascii="黑体" w:hAnsi="黑体" w:eastAsia="黑体" w:cs="黑体"/>
          <w:spacing w:val="2"/>
          <w:sz w:val="27"/>
          <w:szCs w:val="27"/>
        </w:rPr>
        <w:t>5.1  试验结果</w:t>
      </w:r>
    </w:p>
    <w:p w14:paraId="67F59EE6">
      <w:pPr>
        <w:pStyle w:val="2"/>
        <w:spacing w:before="73" w:line="315" w:lineRule="auto"/>
        <w:ind w:right="181" w:firstLine="560"/>
        <w:rPr>
          <w:sz w:val="25"/>
          <w:szCs w:val="25"/>
        </w:rPr>
      </w:pPr>
      <w:r>
        <w:rPr>
          <w:spacing w:val="29"/>
          <w:sz w:val="25"/>
          <w:szCs w:val="25"/>
        </w:rPr>
        <w:t>提供各项试验的结果(必要时可采用图表形式表示</w:t>
      </w:r>
      <w:r>
        <w:rPr>
          <w:spacing w:val="28"/>
          <w:sz w:val="25"/>
          <w:szCs w:val="25"/>
        </w:rPr>
        <w:t>),包括能够实现的功能</w:t>
      </w:r>
      <w:r>
        <w:rPr>
          <w:sz w:val="25"/>
          <w:szCs w:val="25"/>
        </w:rPr>
        <w:t xml:space="preserve"> </w:t>
      </w:r>
      <w:r>
        <w:rPr>
          <w:spacing w:val="20"/>
          <w:sz w:val="25"/>
          <w:szCs w:val="25"/>
        </w:rPr>
        <w:t>或能够完成的任务及其完成的程度，未能实现的功能或未能完成的任务。</w:t>
      </w:r>
    </w:p>
    <w:p w14:paraId="110FAA57">
      <w:pPr>
        <w:spacing w:before="1" w:line="220" w:lineRule="auto"/>
        <w:rPr>
          <w:rFonts w:ascii="黑体" w:hAnsi="黑体" w:eastAsia="黑体" w:cs="黑体"/>
          <w:sz w:val="27"/>
          <w:szCs w:val="27"/>
        </w:rPr>
      </w:pPr>
      <w:r>
        <w:rPr>
          <w:rFonts w:ascii="黑体" w:hAnsi="黑体" w:eastAsia="黑体" w:cs="黑体"/>
          <w:spacing w:val="4"/>
          <w:sz w:val="27"/>
          <w:szCs w:val="27"/>
        </w:rPr>
        <w:t>5.2  试验结论</w:t>
      </w:r>
    </w:p>
    <w:p w14:paraId="066E868C">
      <w:pPr>
        <w:pStyle w:val="2"/>
        <w:spacing w:before="89" w:line="219" w:lineRule="auto"/>
        <w:ind w:left="560"/>
      </w:pPr>
      <w:r>
        <w:rPr>
          <w:spacing w:val="-4"/>
        </w:rPr>
        <w:t>阐述试验结论，明确指出是否符合预定的要求。</w:t>
      </w:r>
    </w:p>
    <w:p w14:paraId="7AF15599">
      <w:pPr>
        <w:spacing w:before="118" w:line="222" w:lineRule="auto"/>
        <w:rPr>
          <w:rFonts w:ascii="黑体" w:hAnsi="黑体" w:eastAsia="黑体" w:cs="黑体"/>
          <w:sz w:val="27"/>
          <w:szCs w:val="27"/>
        </w:rPr>
      </w:pPr>
      <w:r>
        <w:rPr>
          <w:rFonts w:ascii="黑体" w:hAnsi="黑体" w:eastAsia="黑体" w:cs="黑体"/>
          <w:spacing w:val="5"/>
          <w:sz w:val="27"/>
          <w:szCs w:val="27"/>
        </w:rPr>
        <w:t>6  存在的问题和改进建议</w:t>
      </w:r>
    </w:p>
    <w:p w14:paraId="6D9A06CE">
      <w:pPr>
        <w:spacing w:before="80" w:line="212"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b/>
          <w:bCs/>
          <w:spacing w:val="3"/>
          <w:sz w:val="27"/>
          <w:szCs w:val="27"/>
        </w:rPr>
        <w:t>.</w:t>
      </w:r>
      <w:r>
        <w:rPr>
          <w:rFonts w:ascii="Times New Roman" w:hAnsi="Times New Roman" w:eastAsia="Times New Roman" w:cs="Times New Roman"/>
          <w:b/>
          <w:bCs/>
          <w:spacing w:val="3"/>
          <w:sz w:val="27"/>
          <w:szCs w:val="27"/>
        </w:rPr>
        <w:t>X</w:t>
      </w:r>
      <w:r>
        <w:rPr>
          <w:rFonts w:ascii="Times New Roman" w:hAnsi="Times New Roman" w:eastAsia="Times New Roman" w:cs="Times New Roman"/>
          <w:b/>
          <w:bCs/>
          <w:spacing w:val="14"/>
          <w:sz w:val="27"/>
          <w:szCs w:val="27"/>
        </w:rPr>
        <w:t xml:space="preserve">    </w:t>
      </w:r>
      <w:r>
        <w:rPr>
          <w:rFonts w:ascii="Times New Roman" w:hAnsi="Times New Roman" w:eastAsia="Times New Roman" w:cs="Times New Roman"/>
          <w:b/>
          <w:bCs/>
          <w:spacing w:val="3"/>
          <w:sz w:val="27"/>
          <w:szCs w:val="27"/>
        </w:rPr>
        <w:t>(</w:t>
      </w:r>
      <w:r>
        <w:rPr>
          <w:rFonts w:ascii="Times New Roman" w:hAnsi="Times New Roman" w:eastAsia="Times New Roman" w:cs="Times New Roman"/>
          <w:b/>
          <w:bCs/>
          <w:spacing w:val="-11"/>
          <w:sz w:val="27"/>
          <w:szCs w:val="27"/>
        </w:rPr>
        <w:t xml:space="preserve"> </w:t>
      </w:r>
      <w:r>
        <w:rPr>
          <w:rFonts w:ascii="黑体" w:hAnsi="黑体" w:eastAsia="黑体" w:cs="黑体"/>
          <w:b/>
          <w:bCs/>
          <w:spacing w:val="3"/>
          <w:sz w:val="27"/>
          <w:szCs w:val="27"/>
        </w:rPr>
        <w:t>存在的问题</w:t>
      </w:r>
      <w:r>
        <w:rPr>
          <w:rFonts w:ascii="Times New Roman" w:hAnsi="Times New Roman" w:eastAsia="Times New Roman" w:cs="Times New Roman"/>
          <w:b/>
          <w:bCs/>
          <w:spacing w:val="3"/>
          <w:sz w:val="27"/>
          <w:szCs w:val="27"/>
        </w:rPr>
        <w:t>X)</w:t>
      </w:r>
      <w:r>
        <w:rPr>
          <w:rFonts w:ascii="Times New Roman" w:hAnsi="Times New Roman" w:eastAsia="Times New Roman" w:cs="Times New Roman"/>
          <w:b/>
          <w:bCs/>
          <w:spacing w:val="-17"/>
          <w:sz w:val="27"/>
          <w:szCs w:val="27"/>
        </w:rPr>
        <w:t xml:space="preserve"> </w:t>
      </w:r>
      <w:r>
        <w:rPr>
          <w:rFonts w:ascii="黑体" w:hAnsi="黑体" w:eastAsia="黑体" w:cs="黑体"/>
          <w:b/>
          <w:bCs/>
          <w:spacing w:val="3"/>
          <w:sz w:val="27"/>
          <w:szCs w:val="27"/>
        </w:rPr>
        <w:t>改进建议</w:t>
      </w:r>
    </w:p>
    <w:p w14:paraId="328AF046">
      <w:pPr>
        <w:pStyle w:val="2"/>
        <w:spacing w:before="107" w:line="219" w:lineRule="auto"/>
        <w:ind w:left="560"/>
      </w:pPr>
      <w:r>
        <w:rPr>
          <w:spacing w:val="5"/>
        </w:rPr>
        <w:t>对试验过程中出现的且尚未得到彻底解决的问题提出进一</w:t>
      </w:r>
      <w:r>
        <w:rPr>
          <w:spacing w:val="4"/>
        </w:rPr>
        <w:t>步改进的建议。</w:t>
      </w:r>
    </w:p>
    <w:p w14:paraId="55C071C8">
      <w:pPr>
        <w:spacing w:before="107" w:line="221" w:lineRule="auto"/>
        <w:rPr>
          <w:rFonts w:ascii="黑体" w:hAnsi="黑体" w:eastAsia="黑体" w:cs="黑体"/>
          <w:sz w:val="27"/>
          <w:szCs w:val="27"/>
        </w:rPr>
      </w:pPr>
      <w:r>
        <w:rPr>
          <w:rFonts w:ascii="黑体" w:hAnsi="黑体" w:eastAsia="黑体" w:cs="黑体"/>
          <w:spacing w:val="6"/>
          <w:sz w:val="27"/>
          <w:szCs w:val="27"/>
        </w:rPr>
        <w:t>7  试验照片</w:t>
      </w:r>
    </w:p>
    <w:p w14:paraId="3F47EDC5">
      <w:pPr>
        <w:spacing w:before="117" w:line="221" w:lineRule="auto"/>
        <w:rPr>
          <w:rFonts w:ascii="黑体" w:hAnsi="黑体" w:eastAsia="黑体" w:cs="黑体"/>
          <w:sz w:val="25"/>
          <w:szCs w:val="25"/>
        </w:rPr>
      </w:pPr>
      <w:r>
        <w:rPr>
          <w:rFonts w:ascii="黑体" w:hAnsi="黑体" w:eastAsia="黑体" w:cs="黑体"/>
          <w:spacing w:val="13"/>
          <w:sz w:val="25"/>
          <w:szCs w:val="25"/>
        </w:rPr>
        <w:t>7.1</w:t>
      </w:r>
      <w:r>
        <w:rPr>
          <w:rFonts w:ascii="黑体" w:hAnsi="黑体" w:eastAsia="黑体" w:cs="黑体"/>
          <w:spacing w:val="37"/>
          <w:sz w:val="25"/>
          <w:szCs w:val="25"/>
        </w:rPr>
        <w:t xml:space="preserve">  </w:t>
      </w:r>
      <w:r>
        <w:rPr>
          <w:rFonts w:ascii="黑体" w:hAnsi="黑体" w:eastAsia="黑体" w:cs="黑体"/>
          <w:spacing w:val="13"/>
          <w:sz w:val="25"/>
          <w:szCs w:val="25"/>
        </w:rPr>
        <w:t>试验样品的全貌、主要侧面照片</w:t>
      </w:r>
    </w:p>
    <w:p w14:paraId="4241355D">
      <w:pPr>
        <w:pStyle w:val="2"/>
        <w:spacing w:before="112" w:line="219" w:lineRule="auto"/>
        <w:ind w:left="560"/>
      </w:pPr>
      <w:r>
        <w:rPr>
          <w:spacing w:val="-1"/>
        </w:rPr>
        <w:t>提供用于试验的试验样品的全貌、主要侧面</w:t>
      </w:r>
      <w:r>
        <w:rPr>
          <w:spacing w:val="-2"/>
        </w:rPr>
        <w:t>照片。</w:t>
      </w:r>
    </w:p>
    <w:p w14:paraId="59BE2487">
      <w:pPr>
        <w:spacing w:before="95" w:line="221" w:lineRule="auto"/>
        <w:rPr>
          <w:rFonts w:ascii="黑体" w:hAnsi="黑体" w:eastAsia="黑体" w:cs="黑体"/>
          <w:sz w:val="27"/>
          <w:szCs w:val="27"/>
        </w:rPr>
      </w:pPr>
      <w:r>
        <w:rPr>
          <w:rFonts w:ascii="黑体" w:hAnsi="黑体" w:eastAsia="黑体" w:cs="黑体"/>
          <w:spacing w:val="1"/>
          <w:sz w:val="27"/>
          <w:szCs w:val="27"/>
        </w:rPr>
        <w:t xml:space="preserve">7.2  </w:t>
      </w:r>
      <w:r>
        <w:rPr>
          <w:rFonts w:ascii="黑体" w:hAnsi="黑体" w:eastAsia="黑体" w:cs="黑体"/>
          <w:b/>
          <w:bCs/>
          <w:spacing w:val="1"/>
          <w:sz w:val="27"/>
          <w:szCs w:val="27"/>
        </w:rPr>
        <w:t>主要试验项目照片</w:t>
      </w:r>
    </w:p>
    <w:p w14:paraId="1494197B">
      <w:pPr>
        <w:pStyle w:val="2"/>
        <w:spacing w:before="92" w:line="317" w:lineRule="auto"/>
        <w:ind w:right="178" w:firstLine="560"/>
        <w:rPr>
          <w:sz w:val="25"/>
          <w:szCs w:val="25"/>
        </w:rPr>
      </w:pPr>
      <w:r>
        <w:rPr>
          <w:spacing w:val="17"/>
          <w:sz w:val="25"/>
          <w:szCs w:val="25"/>
        </w:rPr>
        <w:t>提供试验过程中拍摄的主要试验项目的照片，特别是反映装机状态、试验显</w:t>
      </w:r>
      <w:r>
        <w:rPr>
          <w:spacing w:val="14"/>
          <w:sz w:val="25"/>
          <w:szCs w:val="25"/>
        </w:rPr>
        <w:t xml:space="preserve"> </w:t>
      </w:r>
      <w:r>
        <w:rPr>
          <w:spacing w:val="19"/>
          <w:sz w:val="25"/>
          <w:szCs w:val="25"/>
        </w:rPr>
        <w:t>示画面的照片。</w:t>
      </w:r>
    </w:p>
    <w:p w14:paraId="03FB77CF">
      <w:pPr>
        <w:spacing w:before="1" w:line="220" w:lineRule="auto"/>
        <w:rPr>
          <w:rFonts w:ascii="黑体" w:hAnsi="黑体" w:eastAsia="黑体" w:cs="黑体"/>
          <w:sz w:val="27"/>
          <w:szCs w:val="27"/>
        </w:rPr>
      </w:pPr>
      <w:r>
        <w:rPr>
          <w:rFonts w:ascii="黑体" w:hAnsi="黑体" w:eastAsia="黑体" w:cs="黑体"/>
          <w:spacing w:val="5"/>
          <w:sz w:val="27"/>
          <w:szCs w:val="27"/>
        </w:rPr>
        <w:t>7.3  试验中发生的重大技术问题的特写照片</w:t>
      </w:r>
    </w:p>
    <w:p w14:paraId="2B97111F">
      <w:pPr>
        <w:pStyle w:val="2"/>
        <w:spacing w:before="69" w:line="297" w:lineRule="auto"/>
        <w:ind w:right="184" w:firstLine="560"/>
      </w:pPr>
      <w:r>
        <w:rPr>
          <w:spacing w:val="-3"/>
        </w:rPr>
        <w:t>提供试验过程中发生重大技术问题时的特写照片，特别是试验样品损伤、试</w:t>
      </w:r>
      <w:r>
        <w:rPr>
          <w:spacing w:val="8"/>
        </w:rPr>
        <w:t xml:space="preserve"> </w:t>
      </w:r>
      <w:r>
        <w:t>验显示画面异常的照片。</w:t>
      </w:r>
    </w:p>
    <w:p w14:paraId="096D7905">
      <w:pPr>
        <w:spacing w:before="1" w:line="220" w:lineRule="auto"/>
        <w:rPr>
          <w:rFonts w:ascii="黑体" w:hAnsi="黑体" w:eastAsia="黑体" w:cs="黑体"/>
          <w:sz w:val="27"/>
          <w:szCs w:val="27"/>
        </w:rPr>
      </w:pPr>
      <w:r>
        <w:rPr>
          <w:rFonts w:ascii="黑体" w:hAnsi="黑体" w:eastAsia="黑体" w:cs="黑体"/>
          <w:spacing w:val="4"/>
          <w:sz w:val="27"/>
          <w:szCs w:val="27"/>
        </w:rPr>
        <w:t>8</w:t>
      </w:r>
      <w:r>
        <w:rPr>
          <w:rFonts w:ascii="黑体" w:hAnsi="黑体" w:eastAsia="黑体" w:cs="黑体"/>
          <w:spacing w:val="44"/>
          <w:sz w:val="27"/>
          <w:szCs w:val="27"/>
        </w:rPr>
        <w:t xml:space="preserve">  </w:t>
      </w:r>
      <w:r>
        <w:rPr>
          <w:rFonts w:ascii="黑体" w:hAnsi="黑体" w:eastAsia="黑体" w:cs="黑体"/>
          <w:spacing w:val="4"/>
          <w:sz w:val="27"/>
          <w:szCs w:val="27"/>
        </w:rPr>
        <w:t>主要试验项目的实时音像资料</w:t>
      </w:r>
    </w:p>
    <w:p w14:paraId="62FEEF3E">
      <w:pPr>
        <w:pStyle w:val="2"/>
        <w:spacing w:before="105" w:line="318" w:lineRule="auto"/>
        <w:ind w:firstLine="639"/>
        <w:rPr>
          <w:sz w:val="25"/>
          <w:szCs w:val="25"/>
        </w:rPr>
      </w:pPr>
      <w:r>
        <w:rPr>
          <w:spacing w:val="23"/>
          <w:sz w:val="25"/>
          <w:szCs w:val="25"/>
        </w:rPr>
        <w:t>提供主要试验项目的实时音像资料(目录),包括拍摄时间、试验项目名称、</w:t>
      </w:r>
      <w:r>
        <w:rPr>
          <w:spacing w:val="16"/>
          <w:sz w:val="25"/>
          <w:szCs w:val="25"/>
        </w:rPr>
        <w:t xml:space="preserve"> </w:t>
      </w:r>
      <w:r>
        <w:rPr>
          <w:spacing w:val="20"/>
          <w:sz w:val="25"/>
          <w:szCs w:val="25"/>
        </w:rPr>
        <w:t>音像资料名称以及试验地点等信息。</w:t>
      </w:r>
    </w:p>
    <w:p w14:paraId="4E3707B8">
      <w:pPr>
        <w:spacing w:before="1" w:line="220" w:lineRule="auto"/>
        <w:rPr>
          <w:rFonts w:ascii="黑体" w:hAnsi="黑体" w:eastAsia="黑体" w:cs="黑体"/>
          <w:sz w:val="25"/>
          <w:szCs w:val="25"/>
        </w:rPr>
      </w:pPr>
      <w:r>
        <w:rPr>
          <w:rFonts w:ascii="黑体" w:hAnsi="黑体" w:eastAsia="黑体" w:cs="黑体"/>
          <w:spacing w:val="14"/>
          <w:sz w:val="25"/>
          <w:szCs w:val="25"/>
        </w:rPr>
        <w:t>9</w:t>
      </w:r>
      <w:r>
        <w:rPr>
          <w:rFonts w:ascii="黑体" w:hAnsi="黑体" w:eastAsia="黑体" w:cs="黑体"/>
          <w:spacing w:val="63"/>
          <w:sz w:val="25"/>
          <w:szCs w:val="25"/>
        </w:rPr>
        <w:t xml:space="preserve">  </w:t>
      </w:r>
      <w:r>
        <w:rPr>
          <w:rFonts w:ascii="黑体" w:hAnsi="黑体" w:eastAsia="黑体" w:cs="黑体"/>
          <w:spacing w:val="14"/>
          <w:sz w:val="25"/>
          <w:szCs w:val="25"/>
        </w:rPr>
        <w:t>关于编制、训练、作战使用和技术保障等方面的意见和建议</w:t>
      </w:r>
    </w:p>
    <w:p w14:paraId="469C6A1E">
      <w:pPr>
        <w:pStyle w:val="2"/>
        <w:spacing w:before="81" w:line="304" w:lineRule="auto"/>
        <w:ind w:right="103" w:firstLine="639"/>
      </w:pPr>
      <w:r>
        <w:rPr>
          <w:spacing w:val="6"/>
        </w:rPr>
        <w:t>提出被试品列装后，使装备的作战使用性能和</w:t>
      </w:r>
      <w:r>
        <w:rPr>
          <w:spacing w:val="5"/>
        </w:rPr>
        <w:t>部队适用性达到最佳状态的</w:t>
      </w:r>
      <w:r>
        <w:t xml:space="preserve"> </w:t>
      </w:r>
      <w:r>
        <w:rPr>
          <w:spacing w:val="-4"/>
        </w:rPr>
        <w:t>编配方案、作战使用训练和技术保障、管理方法及要求等方面的意见和建议。</w:t>
      </w:r>
    </w:p>
    <w:p w14:paraId="5B8032A1">
      <w:pPr>
        <w:pStyle w:val="2"/>
        <w:spacing w:before="349" w:line="218" w:lineRule="auto"/>
        <w:ind w:left="2569"/>
        <w:outlineLvl w:val="1"/>
        <w:rPr>
          <w:sz w:val="36"/>
          <w:szCs w:val="36"/>
        </w:rPr>
      </w:pPr>
      <w:r>
        <w:rPr>
          <w:rFonts w:ascii="Times New Roman" w:hAnsi="Times New Roman" w:eastAsia="Times New Roman" w:cs="Times New Roman"/>
          <w:b/>
          <w:bCs/>
          <w:spacing w:val="2"/>
          <w:sz w:val="36"/>
          <w:szCs w:val="36"/>
        </w:rPr>
        <w:t xml:space="preserve">9.19     </w:t>
      </w:r>
      <w:r>
        <w:rPr>
          <w:b/>
          <w:bCs/>
          <w:spacing w:val="2"/>
          <w:sz w:val="36"/>
          <w:szCs w:val="36"/>
        </w:rPr>
        <w:t>测试性分析评价计划</w:t>
      </w:r>
    </w:p>
    <w:p w14:paraId="1090C11D">
      <w:pPr>
        <w:spacing w:line="330" w:lineRule="auto"/>
        <w:rPr>
          <w:rFonts w:ascii="Arial"/>
          <w:sz w:val="21"/>
        </w:rPr>
      </w:pPr>
    </w:p>
    <w:p w14:paraId="156DC81E">
      <w:pPr>
        <w:pStyle w:val="2"/>
        <w:spacing w:before="91" w:line="223" w:lineRule="auto"/>
        <w:ind w:left="639"/>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07CA72A1">
      <w:pPr>
        <w:spacing w:before="89"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49"/>
          <w:sz w:val="27"/>
          <w:szCs w:val="27"/>
        </w:rPr>
        <w:t xml:space="preserve">  </w:t>
      </w:r>
      <w:r>
        <w:rPr>
          <w:rFonts w:ascii="黑体" w:hAnsi="黑体" w:eastAsia="黑体" w:cs="黑体"/>
          <w:spacing w:val="-6"/>
          <w:sz w:val="27"/>
          <w:szCs w:val="27"/>
        </w:rPr>
        <w:t>范围</w:t>
      </w:r>
    </w:p>
    <w:p w14:paraId="2C91A833">
      <w:pPr>
        <w:spacing w:before="101"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43"/>
          <w:sz w:val="27"/>
          <w:szCs w:val="27"/>
        </w:rPr>
        <w:t xml:space="preserve">  </w:t>
      </w:r>
      <w:r>
        <w:rPr>
          <w:rFonts w:ascii="黑体" w:hAnsi="黑体" w:eastAsia="黑体" w:cs="黑体"/>
          <w:spacing w:val="2"/>
          <w:sz w:val="27"/>
          <w:szCs w:val="27"/>
        </w:rPr>
        <w:t>引用文件</w:t>
      </w:r>
    </w:p>
    <w:p w14:paraId="36DCF8B4">
      <w:pPr>
        <w:spacing w:before="57" w:line="368" w:lineRule="exact"/>
        <w:rPr>
          <w:rFonts w:ascii="黑体" w:hAnsi="黑体" w:eastAsia="黑体" w:cs="黑体"/>
          <w:sz w:val="27"/>
          <w:szCs w:val="27"/>
        </w:rPr>
      </w:pPr>
      <w:r>
        <w:rPr>
          <w:rFonts w:ascii="Arial" w:hAnsi="Arial" w:eastAsia="Arial" w:cs="Arial"/>
          <w:spacing w:val="4"/>
          <w:position w:val="1"/>
          <w:sz w:val="27"/>
          <w:szCs w:val="27"/>
        </w:rPr>
        <w:t>3</w:t>
      </w:r>
      <w:r>
        <w:rPr>
          <w:rFonts w:ascii="Arial" w:hAnsi="Arial" w:eastAsia="Arial" w:cs="Arial"/>
          <w:spacing w:val="10"/>
          <w:position w:val="1"/>
          <w:sz w:val="27"/>
          <w:szCs w:val="27"/>
        </w:rPr>
        <w:t xml:space="preserve">    </w:t>
      </w:r>
      <w:r>
        <w:rPr>
          <w:rFonts w:ascii="黑体" w:hAnsi="黑体" w:eastAsia="黑体" w:cs="黑体"/>
          <w:spacing w:val="4"/>
          <w:position w:val="1"/>
          <w:sz w:val="27"/>
          <w:szCs w:val="27"/>
        </w:rPr>
        <w:t>分析评价人员组成及其职责</w:t>
      </w:r>
    </w:p>
    <w:p w14:paraId="4D664B13">
      <w:pPr>
        <w:pStyle w:val="2"/>
        <w:spacing w:before="90" w:line="218" w:lineRule="auto"/>
        <w:ind w:left="679"/>
      </w:pPr>
      <w:r>
        <w:t>明确分析评价人员组成及其职责，分析评价工作应有订购方</w:t>
      </w:r>
      <w:r>
        <w:rPr>
          <w:spacing w:val="-1"/>
        </w:rPr>
        <w:t>的代表参加。</w:t>
      </w:r>
    </w:p>
    <w:p w14:paraId="3A0205F0">
      <w:pPr>
        <w:spacing w:line="218" w:lineRule="auto"/>
        <w:sectPr>
          <w:footerReference r:id="rId479" w:type="default"/>
          <w:pgSz w:w="11910" w:h="17130"/>
          <w:pgMar w:top="1456" w:right="1215" w:bottom="1673" w:left="1130" w:header="0" w:footer="1474" w:gutter="0"/>
          <w:cols w:space="720" w:num="1"/>
        </w:sectPr>
      </w:pPr>
    </w:p>
    <w:p w14:paraId="1BE1C925">
      <w:pPr>
        <w:spacing w:before="55" w:line="222" w:lineRule="auto"/>
        <w:rPr>
          <w:rFonts w:ascii="黑体" w:hAnsi="黑体" w:eastAsia="黑体" w:cs="黑体"/>
          <w:sz w:val="27"/>
          <w:szCs w:val="27"/>
        </w:rPr>
      </w:pPr>
      <w:r>
        <w:rPr>
          <w:rFonts w:ascii="黑体" w:hAnsi="黑体" w:eastAsia="黑体" w:cs="黑体"/>
          <w:spacing w:val="4"/>
          <w:sz w:val="27"/>
          <w:szCs w:val="27"/>
        </w:rPr>
        <w:t>4  数据与信息</w:t>
      </w:r>
    </w:p>
    <w:p w14:paraId="09EBCD4C">
      <w:pPr>
        <w:pStyle w:val="2"/>
        <w:spacing w:before="82" w:line="264" w:lineRule="auto"/>
        <w:ind w:right="10" w:firstLine="560"/>
      </w:pPr>
      <w:r>
        <w:rPr>
          <w:spacing w:val="5"/>
        </w:rPr>
        <w:t>明确测试性分析评价采用的产品及其组成部分的试运行数据、各种试验数</w:t>
      </w:r>
      <w:r>
        <w:rPr>
          <w:spacing w:val="10"/>
        </w:rPr>
        <w:t xml:space="preserve"> </w:t>
      </w:r>
      <w:r>
        <w:rPr>
          <w:spacing w:val="-6"/>
        </w:rPr>
        <w:t>据、相似产品的相关数据、建模与仿真分析资料等数据与信息。</w:t>
      </w:r>
    </w:p>
    <w:p w14:paraId="4C507CBB">
      <w:pPr>
        <w:spacing w:line="368" w:lineRule="exact"/>
        <w:rPr>
          <w:rFonts w:ascii="黑体" w:hAnsi="黑体" w:eastAsia="黑体" w:cs="黑体"/>
          <w:sz w:val="27"/>
          <w:szCs w:val="27"/>
        </w:rPr>
      </w:pPr>
      <w:r>
        <w:rPr>
          <w:rFonts w:ascii="Arial" w:hAnsi="Arial" w:eastAsia="Arial" w:cs="Arial"/>
          <w:spacing w:val="3"/>
          <w:position w:val="1"/>
          <w:sz w:val="27"/>
          <w:szCs w:val="27"/>
        </w:rPr>
        <w:t>5</w:t>
      </w:r>
      <w:r>
        <w:rPr>
          <w:rFonts w:ascii="Arial" w:hAnsi="Arial" w:eastAsia="Arial" w:cs="Arial"/>
          <w:spacing w:val="19"/>
          <w:position w:val="1"/>
          <w:sz w:val="27"/>
          <w:szCs w:val="27"/>
        </w:rPr>
        <w:t xml:space="preserve">   </w:t>
      </w:r>
      <w:r>
        <w:rPr>
          <w:rFonts w:ascii="黑体" w:hAnsi="黑体" w:eastAsia="黑体" w:cs="黑体"/>
          <w:spacing w:val="3"/>
          <w:position w:val="1"/>
          <w:sz w:val="27"/>
          <w:szCs w:val="27"/>
        </w:rPr>
        <w:t>分析评价方法的确定</w:t>
      </w:r>
    </w:p>
    <w:p w14:paraId="22720F42">
      <w:pPr>
        <w:pStyle w:val="2"/>
        <w:spacing w:before="70" w:line="285" w:lineRule="auto"/>
        <w:ind w:firstLine="560"/>
        <w:jc w:val="both"/>
      </w:pPr>
      <w:r>
        <w:rPr>
          <w:spacing w:val="-3"/>
        </w:rPr>
        <w:t>测试性综合分析评价通常可采用产品研制试验的有关数据、试运行数据、测</w:t>
      </w:r>
      <w:r>
        <w:rPr>
          <w:spacing w:val="10"/>
        </w:rPr>
        <w:t xml:space="preserve"> </w:t>
      </w:r>
      <w:r>
        <w:rPr>
          <w:spacing w:val="5"/>
        </w:rPr>
        <w:t>试性核查资料、低层次产品测试性试验数据综合、同类产品测试性水平对比分</w:t>
      </w:r>
      <w:r>
        <w:t xml:space="preserve"> </w:t>
      </w:r>
      <w:r>
        <w:rPr>
          <w:spacing w:val="-6"/>
        </w:rPr>
        <w:t>析、测试性仿真或虚拟样机分析、测试性设计缺陷分析等方法。</w:t>
      </w:r>
    </w:p>
    <w:p w14:paraId="03DAE6FD">
      <w:pPr>
        <w:pStyle w:val="2"/>
        <w:spacing w:before="1" w:line="217" w:lineRule="auto"/>
        <w:ind w:left="560"/>
      </w:pPr>
      <w:r>
        <w:rPr>
          <w:spacing w:val="-3"/>
        </w:rPr>
        <w:t>确定分析评价采用的方法，并说明选择的理由。</w:t>
      </w:r>
    </w:p>
    <w:p w14:paraId="7724B12B">
      <w:pPr>
        <w:spacing w:before="91" w:line="222" w:lineRule="auto"/>
        <w:rPr>
          <w:rFonts w:ascii="黑体" w:hAnsi="黑体" w:eastAsia="黑体" w:cs="黑体"/>
          <w:sz w:val="27"/>
          <w:szCs w:val="27"/>
        </w:rPr>
      </w:pPr>
      <w:r>
        <w:rPr>
          <w:rFonts w:ascii="黑体" w:hAnsi="黑体" w:eastAsia="黑体" w:cs="黑体"/>
          <w:spacing w:val="5"/>
          <w:sz w:val="27"/>
          <w:szCs w:val="27"/>
        </w:rPr>
        <w:t>6</w:t>
      </w:r>
      <w:r>
        <w:rPr>
          <w:rFonts w:ascii="黑体" w:hAnsi="黑体" w:eastAsia="黑体" w:cs="黑体"/>
          <w:spacing w:val="12"/>
          <w:sz w:val="27"/>
          <w:szCs w:val="27"/>
        </w:rPr>
        <w:t xml:space="preserve">  </w:t>
      </w:r>
      <w:r>
        <w:rPr>
          <w:rFonts w:ascii="黑体" w:hAnsi="黑体" w:eastAsia="黑体" w:cs="黑体"/>
          <w:spacing w:val="5"/>
          <w:sz w:val="27"/>
          <w:szCs w:val="27"/>
        </w:rPr>
        <w:t>评价准则</w:t>
      </w:r>
    </w:p>
    <w:p w14:paraId="24558770">
      <w:pPr>
        <w:pStyle w:val="2"/>
        <w:spacing w:before="74" w:line="218" w:lineRule="auto"/>
        <w:ind w:left="560"/>
      </w:pPr>
      <w:r>
        <w:rPr>
          <w:spacing w:val="3"/>
        </w:rPr>
        <w:t>确定有关评价测试性是否符合要求的判据。</w:t>
      </w:r>
    </w:p>
    <w:p w14:paraId="6E2E7F52">
      <w:pPr>
        <w:spacing w:before="92" w:line="222" w:lineRule="auto"/>
        <w:rPr>
          <w:rFonts w:ascii="黑体" w:hAnsi="黑体" w:eastAsia="黑体" w:cs="黑体"/>
          <w:sz w:val="27"/>
          <w:szCs w:val="27"/>
        </w:rPr>
      </w:pPr>
      <w:r>
        <w:rPr>
          <w:rFonts w:ascii="黑体" w:hAnsi="黑体" w:eastAsia="黑体" w:cs="黑体"/>
          <w:spacing w:val="5"/>
          <w:sz w:val="27"/>
          <w:szCs w:val="27"/>
        </w:rPr>
        <w:t>7</w:t>
      </w:r>
      <w:r>
        <w:rPr>
          <w:rFonts w:ascii="黑体" w:hAnsi="黑体" w:eastAsia="黑体" w:cs="黑体"/>
          <w:spacing w:val="14"/>
          <w:sz w:val="27"/>
          <w:szCs w:val="27"/>
        </w:rPr>
        <w:t xml:space="preserve">  </w:t>
      </w:r>
      <w:r>
        <w:rPr>
          <w:rFonts w:ascii="黑体" w:hAnsi="黑体" w:eastAsia="黑体" w:cs="黑体"/>
          <w:spacing w:val="5"/>
          <w:sz w:val="27"/>
          <w:szCs w:val="27"/>
        </w:rPr>
        <w:t>评价报告的要求</w:t>
      </w:r>
    </w:p>
    <w:p w14:paraId="181A9782">
      <w:pPr>
        <w:pStyle w:val="2"/>
        <w:spacing w:before="84" w:line="218" w:lineRule="auto"/>
        <w:ind w:left="560"/>
      </w:pPr>
      <w:r>
        <w:rPr>
          <w:spacing w:val="3"/>
        </w:rPr>
        <w:t>确定评价报告的主要内容及相关要求。</w:t>
      </w:r>
    </w:p>
    <w:p w14:paraId="4C87747B">
      <w:pPr>
        <w:spacing w:before="82" w:line="222" w:lineRule="auto"/>
        <w:rPr>
          <w:rFonts w:ascii="黑体" w:hAnsi="黑体" w:eastAsia="黑体" w:cs="黑体"/>
          <w:sz w:val="27"/>
          <w:szCs w:val="27"/>
        </w:rPr>
      </w:pPr>
      <w:r>
        <w:rPr>
          <w:rFonts w:ascii="黑体" w:hAnsi="黑体" w:eastAsia="黑体" w:cs="黑体"/>
          <w:spacing w:val="3"/>
          <w:sz w:val="27"/>
          <w:szCs w:val="27"/>
        </w:rPr>
        <w:t>8  有关评审的安排</w:t>
      </w:r>
    </w:p>
    <w:p w14:paraId="5B5EFBEF">
      <w:pPr>
        <w:pStyle w:val="2"/>
        <w:spacing w:before="85" w:line="218" w:lineRule="auto"/>
        <w:ind w:left="560"/>
      </w:pPr>
      <w:r>
        <w:rPr>
          <w:spacing w:val="4"/>
        </w:rPr>
        <w:t>对测试性评价计划和评价报告进行审定和评审的安排。</w:t>
      </w:r>
    </w:p>
    <w:p w14:paraId="54C42741">
      <w:pPr>
        <w:spacing w:line="339" w:lineRule="auto"/>
        <w:rPr>
          <w:rFonts w:ascii="Arial"/>
          <w:sz w:val="21"/>
        </w:rPr>
      </w:pPr>
    </w:p>
    <w:p w14:paraId="3760CA62">
      <w:pPr>
        <w:pStyle w:val="2"/>
        <w:spacing w:before="118" w:line="218" w:lineRule="auto"/>
        <w:ind w:left="2510"/>
        <w:outlineLvl w:val="1"/>
        <w:rPr>
          <w:sz w:val="36"/>
          <w:szCs w:val="36"/>
        </w:rPr>
      </w:pPr>
      <w:r>
        <w:rPr>
          <w:rFonts w:ascii="Times New Roman" w:hAnsi="Times New Roman" w:eastAsia="Times New Roman" w:cs="Times New Roman"/>
          <w:b/>
          <w:bCs/>
          <w:spacing w:val="3"/>
          <w:sz w:val="36"/>
          <w:szCs w:val="36"/>
        </w:rPr>
        <w:t xml:space="preserve">9.20     </w:t>
      </w:r>
      <w:r>
        <w:rPr>
          <w:b/>
          <w:bCs/>
          <w:spacing w:val="3"/>
          <w:sz w:val="36"/>
          <w:szCs w:val="36"/>
        </w:rPr>
        <w:t>测试性分析评价报告</w:t>
      </w:r>
    </w:p>
    <w:p w14:paraId="1273996A">
      <w:pPr>
        <w:spacing w:line="320" w:lineRule="auto"/>
        <w:rPr>
          <w:rFonts w:ascii="Arial"/>
          <w:sz w:val="21"/>
        </w:rPr>
      </w:pPr>
    </w:p>
    <w:p w14:paraId="572058E9">
      <w:pPr>
        <w:pStyle w:val="2"/>
        <w:spacing w:before="91"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5175D85D">
      <w:pPr>
        <w:spacing w:before="79"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9"/>
          <w:sz w:val="27"/>
          <w:szCs w:val="27"/>
        </w:rPr>
        <w:t xml:space="preserve">  </w:t>
      </w:r>
      <w:r>
        <w:rPr>
          <w:rFonts w:ascii="黑体" w:hAnsi="黑体" w:eastAsia="黑体" w:cs="黑体"/>
          <w:spacing w:val="-6"/>
          <w:sz w:val="27"/>
          <w:szCs w:val="27"/>
        </w:rPr>
        <w:t>范围</w:t>
      </w:r>
    </w:p>
    <w:p w14:paraId="509ED178">
      <w:pPr>
        <w:spacing w:before="91"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1EB097E0">
      <w:pPr>
        <w:spacing w:before="97" w:line="222" w:lineRule="auto"/>
        <w:rPr>
          <w:rFonts w:ascii="黑体" w:hAnsi="黑体" w:eastAsia="黑体" w:cs="黑体"/>
          <w:sz w:val="27"/>
          <w:szCs w:val="27"/>
        </w:rPr>
      </w:pPr>
      <w:r>
        <w:rPr>
          <w:rFonts w:ascii="黑体" w:hAnsi="黑体" w:eastAsia="黑体" w:cs="黑体"/>
          <w:spacing w:val="-4"/>
          <w:sz w:val="27"/>
          <w:szCs w:val="27"/>
        </w:rPr>
        <w:t>3  数据与信息的收集、分析与处理</w:t>
      </w:r>
    </w:p>
    <w:p w14:paraId="72C42735">
      <w:pPr>
        <w:pStyle w:val="2"/>
        <w:spacing w:before="86" w:line="219" w:lineRule="auto"/>
        <w:ind w:left="560"/>
      </w:pPr>
      <w:r>
        <w:rPr>
          <w:spacing w:val="4"/>
        </w:rPr>
        <w:t>详细说明数据与信息的来源及分析与处理程序和过程。</w:t>
      </w:r>
    </w:p>
    <w:p w14:paraId="5B6CCCDD">
      <w:pPr>
        <w:spacing w:before="78" w:line="222" w:lineRule="auto"/>
        <w:rPr>
          <w:rFonts w:ascii="黑体" w:hAnsi="黑体" w:eastAsia="黑体" w:cs="黑体"/>
          <w:sz w:val="27"/>
          <w:szCs w:val="27"/>
        </w:rPr>
      </w:pPr>
      <w:r>
        <w:rPr>
          <w:rFonts w:ascii="黑体" w:hAnsi="黑体" w:eastAsia="黑体" w:cs="黑体"/>
          <w:spacing w:val="4"/>
          <w:sz w:val="27"/>
          <w:szCs w:val="27"/>
        </w:rPr>
        <w:t>4  分析评价过程</w:t>
      </w:r>
    </w:p>
    <w:p w14:paraId="2766EEC8">
      <w:pPr>
        <w:pStyle w:val="2"/>
        <w:spacing w:before="93" w:line="271" w:lineRule="auto"/>
        <w:ind w:right="1676" w:firstLine="560"/>
        <w:rPr>
          <w:rFonts w:ascii="黑体" w:hAnsi="黑体" w:eastAsia="黑体" w:cs="黑体"/>
        </w:rPr>
      </w:pPr>
      <w:r>
        <w:rPr>
          <w:spacing w:val="-6"/>
        </w:rPr>
        <w:t>依据测试性分析评价计划说明分析评价方法、程序、全过程。</w:t>
      </w:r>
      <w:r>
        <w:rPr>
          <w:spacing w:val="16"/>
        </w:rPr>
        <w:t xml:space="preserve"> </w:t>
      </w:r>
      <w:r>
        <w:rPr>
          <w:rFonts w:ascii="黑体" w:hAnsi="黑体" w:eastAsia="黑体" w:cs="黑体"/>
          <w:spacing w:val="4"/>
        </w:rPr>
        <w:t>5  分析评价结论</w:t>
      </w:r>
    </w:p>
    <w:p w14:paraId="1E3EA9C0">
      <w:pPr>
        <w:pStyle w:val="2"/>
        <w:spacing w:before="39" w:line="218" w:lineRule="auto"/>
        <w:ind w:left="560"/>
      </w:pPr>
      <w:r>
        <w:rPr>
          <w:spacing w:val="4"/>
        </w:rPr>
        <w:t>依据评价准则得出产品是否满足规定测试性要求的结论。</w:t>
      </w:r>
    </w:p>
    <w:p w14:paraId="2A50E4B8">
      <w:pPr>
        <w:spacing w:before="74" w:line="223" w:lineRule="auto"/>
        <w:rPr>
          <w:rFonts w:ascii="黑体" w:hAnsi="黑体" w:eastAsia="黑体" w:cs="黑体"/>
          <w:sz w:val="27"/>
          <w:szCs w:val="27"/>
        </w:rPr>
      </w:pPr>
      <w:r>
        <w:rPr>
          <w:rFonts w:ascii="黑体" w:hAnsi="黑体" w:eastAsia="黑体" w:cs="黑体"/>
          <w:spacing w:val="-4"/>
          <w:sz w:val="27"/>
          <w:szCs w:val="27"/>
        </w:rPr>
        <w:t>6</w:t>
      </w:r>
      <w:r>
        <w:rPr>
          <w:rFonts w:ascii="黑体" w:hAnsi="黑体" w:eastAsia="黑体" w:cs="黑体"/>
          <w:spacing w:val="22"/>
          <w:sz w:val="27"/>
          <w:szCs w:val="27"/>
        </w:rPr>
        <w:t xml:space="preserve">  </w:t>
      </w:r>
      <w:r>
        <w:rPr>
          <w:rFonts w:ascii="黑体" w:hAnsi="黑体" w:eastAsia="黑体" w:cs="黑体"/>
          <w:spacing w:val="-4"/>
          <w:sz w:val="27"/>
          <w:szCs w:val="27"/>
        </w:rPr>
        <w:t>纠正措施</w:t>
      </w:r>
    </w:p>
    <w:p w14:paraId="5D5500FC">
      <w:pPr>
        <w:pStyle w:val="2"/>
        <w:spacing w:before="94" w:line="220" w:lineRule="auto"/>
        <w:ind w:left="560"/>
      </w:pPr>
      <w:r>
        <w:rPr>
          <w:spacing w:val="3"/>
        </w:rPr>
        <w:t>针对出现的问题提出纠正措施。</w:t>
      </w:r>
    </w:p>
    <w:p w14:paraId="648B7435">
      <w:pPr>
        <w:spacing w:before="75" w:line="222" w:lineRule="auto"/>
        <w:rPr>
          <w:rFonts w:ascii="黑体" w:hAnsi="黑体" w:eastAsia="黑体" w:cs="黑体"/>
          <w:sz w:val="25"/>
          <w:szCs w:val="25"/>
        </w:rPr>
      </w:pPr>
      <w:r>
        <w:rPr>
          <w:rFonts w:ascii="黑体" w:hAnsi="黑体" w:eastAsia="黑体" w:cs="黑体"/>
          <w:spacing w:val="17"/>
          <w:sz w:val="25"/>
          <w:szCs w:val="25"/>
        </w:rPr>
        <w:t>7</w:t>
      </w:r>
      <w:r>
        <w:rPr>
          <w:rFonts w:ascii="黑体" w:hAnsi="黑体" w:eastAsia="黑体" w:cs="黑体"/>
          <w:spacing w:val="29"/>
          <w:sz w:val="25"/>
          <w:szCs w:val="25"/>
        </w:rPr>
        <w:t xml:space="preserve">  </w:t>
      </w:r>
      <w:r>
        <w:rPr>
          <w:rFonts w:ascii="黑体" w:hAnsi="黑体" w:eastAsia="黑体" w:cs="黑体"/>
          <w:spacing w:val="17"/>
          <w:sz w:val="25"/>
          <w:szCs w:val="25"/>
        </w:rPr>
        <w:t>改进建议</w:t>
      </w:r>
    </w:p>
    <w:p w14:paraId="22D21BEA">
      <w:pPr>
        <w:pStyle w:val="2"/>
        <w:spacing w:before="102" w:line="219" w:lineRule="auto"/>
        <w:ind w:left="560"/>
      </w:pPr>
      <w:r>
        <w:rPr>
          <w:spacing w:val="3"/>
        </w:rPr>
        <w:t>对测试性设计等方面提出进一步改进建议。</w:t>
      </w:r>
    </w:p>
    <w:p w14:paraId="1E5CF83C">
      <w:pPr>
        <w:spacing w:line="335" w:lineRule="auto"/>
        <w:rPr>
          <w:rFonts w:ascii="Arial"/>
          <w:sz w:val="21"/>
        </w:rPr>
      </w:pPr>
    </w:p>
    <w:p w14:paraId="3C41A022">
      <w:pPr>
        <w:pStyle w:val="2"/>
        <w:spacing w:before="118" w:line="218" w:lineRule="auto"/>
        <w:ind w:left="2880"/>
        <w:outlineLvl w:val="1"/>
        <w:rPr>
          <w:sz w:val="36"/>
          <w:szCs w:val="36"/>
        </w:rPr>
      </w:pPr>
      <w:r>
        <w:rPr>
          <w:rFonts w:ascii="Times New Roman" w:hAnsi="Times New Roman" w:eastAsia="Times New Roman" w:cs="Times New Roman"/>
          <w:b/>
          <w:bCs/>
          <w:spacing w:val="4"/>
          <w:sz w:val="36"/>
          <w:szCs w:val="36"/>
        </w:rPr>
        <w:t>9.21</w:t>
      </w:r>
      <w:r>
        <w:rPr>
          <w:rFonts w:ascii="Times New Roman" w:hAnsi="Times New Roman" w:eastAsia="Times New Roman" w:cs="Times New Roman"/>
          <w:b/>
          <w:bCs/>
          <w:spacing w:val="22"/>
          <w:sz w:val="36"/>
          <w:szCs w:val="36"/>
        </w:rPr>
        <w:t xml:space="preserve">    </w:t>
      </w:r>
      <w:r>
        <w:rPr>
          <w:b/>
          <w:bCs/>
          <w:spacing w:val="4"/>
          <w:sz w:val="36"/>
          <w:szCs w:val="36"/>
        </w:rPr>
        <w:t>测试性评估报告</w:t>
      </w:r>
    </w:p>
    <w:p w14:paraId="1FC0098B">
      <w:pPr>
        <w:spacing w:line="339" w:lineRule="auto"/>
        <w:rPr>
          <w:rFonts w:ascii="Arial"/>
          <w:sz w:val="21"/>
        </w:rPr>
      </w:pPr>
    </w:p>
    <w:p w14:paraId="0E41B7E4">
      <w:pPr>
        <w:pStyle w:val="2"/>
        <w:spacing w:before="92"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44F2F3C0">
      <w:pPr>
        <w:spacing w:line="223" w:lineRule="auto"/>
        <w:rPr>
          <w:rFonts w:ascii="楷体" w:hAnsi="楷体" w:eastAsia="楷体" w:cs="楷体"/>
          <w:sz w:val="28"/>
          <w:szCs w:val="28"/>
        </w:rPr>
        <w:sectPr>
          <w:footerReference r:id="rId480" w:type="default"/>
          <w:pgSz w:w="11910" w:h="17130"/>
          <w:pgMar w:top="1445" w:right="1038" w:bottom="1680" w:left="1489" w:header="0" w:footer="1394" w:gutter="0"/>
          <w:cols w:space="720" w:num="1"/>
        </w:sectPr>
      </w:pPr>
    </w:p>
    <w:p w14:paraId="201BD969">
      <w:pPr>
        <w:spacing w:before="61"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1C1DE6C6">
      <w:pPr>
        <w:spacing w:before="66"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75B29839">
      <w:pPr>
        <w:spacing w:before="114" w:line="221" w:lineRule="auto"/>
        <w:rPr>
          <w:rFonts w:ascii="黑体" w:hAnsi="黑体" w:eastAsia="黑体" w:cs="黑体"/>
          <w:sz w:val="24"/>
          <w:szCs w:val="24"/>
        </w:rPr>
      </w:pPr>
      <w:r>
        <w:rPr>
          <w:rFonts w:ascii="黑体" w:hAnsi="黑体" w:eastAsia="黑体" w:cs="黑体"/>
          <w:spacing w:val="24"/>
          <w:sz w:val="24"/>
          <w:szCs w:val="24"/>
        </w:rPr>
        <w:t>3</w:t>
      </w:r>
      <w:r>
        <w:rPr>
          <w:rFonts w:ascii="黑体" w:hAnsi="黑体" w:eastAsia="黑体" w:cs="黑体"/>
          <w:spacing w:val="36"/>
          <w:sz w:val="24"/>
          <w:szCs w:val="24"/>
        </w:rPr>
        <w:t xml:space="preserve">  </w:t>
      </w:r>
      <w:r>
        <w:rPr>
          <w:rFonts w:ascii="黑体" w:hAnsi="黑体" w:eastAsia="黑体" w:cs="黑体"/>
          <w:b/>
          <w:bCs/>
          <w:spacing w:val="24"/>
          <w:sz w:val="24"/>
          <w:szCs w:val="24"/>
        </w:rPr>
        <w:t>产品概述</w:t>
      </w:r>
    </w:p>
    <w:p w14:paraId="5ED49E5F">
      <w:pPr>
        <w:spacing w:before="112" w:line="221" w:lineRule="auto"/>
        <w:rPr>
          <w:rFonts w:ascii="黑体" w:hAnsi="黑体" w:eastAsia="黑体" w:cs="黑体"/>
          <w:sz w:val="25"/>
          <w:szCs w:val="25"/>
        </w:rPr>
      </w:pPr>
      <w:r>
        <w:rPr>
          <w:rFonts w:ascii="黑体" w:hAnsi="黑体" w:eastAsia="黑体" w:cs="黑体"/>
          <w:spacing w:val="11"/>
          <w:sz w:val="25"/>
          <w:szCs w:val="25"/>
        </w:rPr>
        <w:t>3.1</w:t>
      </w:r>
      <w:r>
        <w:rPr>
          <w:rFonts w:ascii="黑体" w:hAnsi="黑体" w:eastAsia="黑体" w:cs="黑体"/>
          <w:spacing w:val="36"/>
          <w:sz w:val="25"/>
          <w:szCs w:val="25"/>
        </w:rPr>
        <w:t xml:space="preserve">  </w:t>
      </w:r>
      <w:r>
        <w:rPr>
          <w:rFonts w:ascii="黑体" w:hAnsi="黑体" w:eastAsia="黑体" w:cs="黑体"/>
          <w:b/>
          <w:bCs/>
          <w:spacing w:val="11"/>
          <w:sz w:val="25"/>
          <w:szCs w:val="25"/>
        </w:rPr>
        <w:t>产品任务</w:t>
      </w:r>
    </w:p>
    <w:p w14:paraId="0288D63C">
      <w:pPr>
        <w:pStyle w:val="2"/>
        <w:spacing w:before="56" w:line="296" w:lineRule="auto"/>
        <w:ind w:right="24" w:firstLine="560"/>
      </w:pPr>
      <w:r>
        <w:rPr>
          <w:spacing w:val="-3"/>
        </w:rPr>
        <w:t>简要说明产品的使命任务和地位作用等内容，如系配套产品，则介绍在系统</w:t>
      </w:r>
      <w:r>
        <w:t xml:space="preserve"> </w:t>
      </w:r>
      <w:r>
        <w:rPr>
          <w:spacing w:val="-22"/>
        </w:rPr>
        <w:t>中的定位、属性、用途。</w:t>
      </w:r>
    </w:p>
    <w:p w14:paraId="11E8F8F1">
      <w:pPr>
        <w:spacing w:line="222" w:lineRule="auto"/>
        <w:rPr>
          <w:rFonts w:ascii="黑体" w:hAnsi="黑体" w:eastAsia="黑体" w:cs="黑体"/>
          <w:sz w:val="24"/>
          <w:szCs w:val="24"/>
        </w:rPr>
      </w:pPr>
      <w:r>
        <w:rPr>
          <w:rFonts w:ascii="黑体" w:hAnsi="黑体" w:eastAsia="黑体" w:cs="黑体"/>
          <w:spacing w:val="17"/>
          <w:sz w:val="24"/>
          <w:szCs w:val="24"/>
        </w:rPr>
        <w:t>3.2</w:t>
      </w:r>
      <w:r>
        <w:rPr>
          <w:rFonts w:ascii="黑体" w:hAnsi="黑体" w:eastAsia="黑体" w:cs="黑体"/>
          <w:spacing w:val="47"/>
          <w:sz w:val="24"/>
          <w:szCs w:val="24"/>
        </w:rPr>
        <w:t xml:space="preserve">  </w:t>
      </w:r>
      <w:r>
        <w:rPr>
          <w:rFonts w:ascii="黑体" w:hAnsi="黑体" w:eastAsia="黑体" w:cs="黑体"/>
          <w:b/>
          <w:bCs/>
          <w:spacing w:val="17"/>
          <w:sz w:val="24"/>
          <w:szCs w:val="24"/>
        </w:rPr>
        <w:t>产品组成</w:t>
      </w:r>
    </w:p>
    <w:p w14:paraId="3CC472E1">
      <w:pPr>
        <w:pStyle w:val="2"/>
        <w:spacing w:before="105" w:line="282" w:lineRule="auto"/>
        <w:ind w:firstLine="560"/>
      </w:pPr>
      <w:r>
        <w:rPr>
          <w:spacing w:val="14"/>
        </w:rPr>
        <w:t>简要说明产品的组成(包括硬件组成和软件组成)以及各部分的功能等内</w:t>
      </w:r>
      <w:r>
        <w:rPr>
          <w:spacing w:val="18"/>
        </w:rPr>
        <w:t xml:space="preserve"> </w:t>
      </w:r>
      <w:r>
        <w:rPr>
          <w:spacing w:val="-8"/>
        </w:rPr>
        <w:t>容，可简要介绍工作原理。</w:t>
      </w:r>
    </w:p>
    <w:p w14:paraId="616B18E9">
      <w:pPr>
        <w:spacing w:before="2" w:line="222" w:lineRule="auto"/>
        <w:rPr>
          <w:rFonts w:ascii="黑体" w:hAnsi="黑体" w:eastAsia="黑体" w:cs="黑体"/>
          <w:sz w:val="25"/>
          <w:szCs w:val="25"/>
        </w:rPr>
      </w:pPr>
      <w:r>
        <w:rPr>
          <w:rFonts w:ascii="黑体" w:hAnsi="黑体" w:eastAsia="黑体" w:cs="黑体"/>
          <w:spacing w:val="12"/>
          <w:sz w:val="25"/>
          <w:szCs w:val="25"/>
        </w:rPr>
        <w:t>3.3</w:t>
      </w:r>
      <w:r>
        <w:rPr>
          <w:rFonts w:ascii="黑体" w:hAnsi="黑体" w:eastAsia="黑体" w:cs="黑体"/>
          <w:spacing w:val="34"/>
          <w:sz w:val="25"/>
          <w:szCs w:val="25"/>
        </w:rPr>
        <w:t xml:space="preserve">  </w:t>
      </w:r>
      <w:r>
        <w:rPr>
          <w:rFonts w:ascii="黑体" w:hAnsi="黑体" w:eastAsia="黑体" w:cs="黑体"/>
          <w:b/>
          <w:bCs/>
          <w:spacing w:val="12"/>
          <w:sz w:val="25"/>
          <w:szCs w:val="25"/>
        </w:rPr>
        <w:t>产品功能</w:t>
      </w:r>
    </w:p>
    <w:p w14:paraId="5A5F68CE">
      <w:pPr>
        <w:pStyle w:val="2"/>
        <w:spacing w:before="92" w:line="219" w:lineRule="auto"/>
        <w:ind w:left="560"/>
      </w:pPr>
      <w:r>
        <w:rPr>
          <w:spacing w:val="2"/>
        </w:rPr>
        <w:t>简要说明产品具备的各种功能。</w:t>
      </w:r>
    </w:p>
    <w:p w14:paraId="594051AF">
      <w:pPr>
        <w:spacing w:before="85"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3"/>
          <w:sz w:val="27"/>
          <w:szCs w:val="27"/>
        </w:rPr>
        <w:t xml:space="preserve">  </w:t>
      </w:r>
      <w:r>
        <w:rPr>
          <w:rFonts w:ascii="黑体" w:hAnsi="黑体" w:eastAsia="黑体" w:cs="黑体"/>
          <w:b/>
          <w:bCs/>
          <w:spacing w:val="-1"/>
          <w:sz w:val="27"/>
          <w:szCs w:val="27"/>
        </w:rPr>
        <w:t>测试性要求</w:t>
      </w:r>
    </w:p>
    <w:p w14:paraId="2155CE82">
      <w:pPr>
        <w:pStyle w:val="2"/>
        <w:spacing w:before="104" w:line="250" w:lineRule="auto"/>
        <w:ind w:right="25" w:firstLine="560"/>
      </w:pPr>
      <w:r>
        <w:rPr>
          <w:spacing w:val="5"/>
        </w:rPr>
        <w:t>说明经论证确定的系统级测试性定量、定性要求。经测试性分配的技术状</w:t>
      </w:r>
      <w:r>
        <w:rPr>
          <w:spacing w:val="10"/>
        </w:rPr>
        <w:t xml:space="preserve"> </w:t>
      </w:r>
      <w:r>
        <w:rPr>
          <w:spacing w:val="-2"/>
        </w:rPr>
        <w:t>态项(</w:t>
      </w:r>
      <w:r>
        <w:rPr>
          <w:rFonts w:ascii="Times New Roman" w:hAnsi="Times New Roman" w:eastAsia="Times New Roman" w:cs="Times New Roman"/>
          <w:spacing w:val="-2"/>
        </w:rPr>
        <w:t xml:space="preserve">CI) </w:t>
      </w:r>
      <w:r>
        <w:rPr>
          <w:spacing w:val="-2"/>
        </w:rPr>
        <w:t>测试性要求。具体内容与本书9</w:t>
      </w:r>
      <w:r>
        <w:rPr>
          <w:spacing w:val="-3"/>
        </w:rPr>
        <w:t>.2《测试性要求》保持一致。</w:t>
      </w:r>
    </w:p>
    <w:p w14:paraId="6F2341AB">
      <w:pPr>
        <w:pStyle w:val="2"/>
        <w:spacing w:before="69" w:line="221" w:lineRule="auto"/>
        <w:ind w:left="560"/>
      </w:pPr>
      <w:r>
        <w:rPr>
          <w:rFonts w:ascii="Times New Roman" w:hAnsi="Times New Roman" w:eastAsia="Times New Roman" w:cs="Times New Roman"/>
          <w:spacing w:val="3"/>
        </w:rPr>
        <w:t xml:space="preserve">4.1   </w:t>
      </w:r>
      <w:r>
        <w:rPr>
          <w:spacing w:val="3"/>
        </w:rPr>
        <w:t>系统级测试性要求</w:t>
      </w:r>
    </w:p>
    <w:p w14:paraId="3F452751">
      <w:pPr>
        <w:pStyle w:val="2"/>
        <w:spacing w:before="96" w:line="220" w:lineRule="auto"/>
        <w:ind w:left="560"/>
      </w:pPr>
      <w:r>
        <w:rPr>
          <w:rFonts w:ascii="Times New Roman" w:hAnsi="Times New Roman" w:eastAsia="Times New Roman" w:cs="Times New Roman"/>
          <w:spacing w:val="3"/>
        </w:rPr>
        <w:t xml:space="preserve">4.1.1    </w:t>
      </w:r>
      <w:r>
        <w:rPr>
          <w:spacing w:val="3"/>
        </w:rPr>
        <w:t>系统级测试性定量要求</w:t>
      </w:r>
    </w:p>
    <w:p w14:paraId="3C481F22">
      <w:pPr>
        <w:pStyle w:val="2"/>
        <w:spacing w:before="79" w:line="220" w:lineRule="auto"/>
        <w:ind w:left="560"/>
      </w:pPr>
      <w:r>
        <w:rPr>
          <w:spacing w:val="1"/>
        </w:rPr>
        <w:t>4.1.2</w:t>
      </w:r>
      <w:r>
        <w:rPr>
          <w:spacing w:val="56"/>
        </w:rPr>
        <w:t xml:space="preserve"> </w:t>
      </w:r>
      <w:r>
        <w:rPr>
          <w:spacing w:val="1"/>
        </w:rPr>
        <w:t>系统级测试性定性要求</w:t>
      </w:r>
    </w:p>
    <w:p w14:paraId="07D1DB33">
      <w:pPr>
        <w:pStyle w:val="2"/>
        <w:spacing w:before="67" w:line="212" w:lineRule="auto"/>
        <w:ind w:left="560"/>
      </w:pPr>
      <w:r>
        <w:rPr>
          <w:spacing w:val="1"/>
        </w:rPr>
        <w:t>4.2 技术状态项(</w:t>
      </w:r>
      <w:r>
        <w:rPr>
          <w:rFonts w:ascii="Times New Roman" w:hAnsi="Times New Roman" w:eastAsia="Times New Roman" w:cs="Times New Roman"/>
        </w:rPr>
        <w:t>CI</w:t>
      </w:r>
      <w:r>
        <w:rPr>
          <w:rFonts w:ascii="Times New Roman" w:hAnsi="Times New Roman" w:eastAsia="Times New Roman" w:cs="Times New Roman"/>
          <w:spacing w:val="1"/>
        </w:rPr>
        <w:t xml:space="preserve">) </w:t>
      </w:r>
      <w:r>
        <w:rPr>
          <w:spacing w:val="1"/>
        </w:rPr>
        <w:t>测试性要求</w:t>
      </w:r>
    </w:p>
    <w:p w14:paraId="56A2D5D0">
      <w:pPr>
        <w:pStyle w:val="2"/>
        <w:spacing w:before="139" w:line="220" w:lineRule="auto"/>
        <w:ind w:left="560"/>
        <w:rPr>
          <w:sz w:val="24"/>
          <w:szCs w:val="24"/>
        </w:rPr>
      </w:pPr>
      <w:r>
        <w:rPr>
          <w:spacing w:val="21"/>
          <w:sz w:val="24"/>
          <w:szCs w:val="24"/>
        </w:rPr>
        <w:t>4.2.1</w:t>
      </w:r>
      <w:r>
        <w:rPr>
          <w:spacing w:val="99"/>
          <w:sz w:val="24"/>
          <w:szCs w:val="24"/>
        </w:rPr>
        <w:t xml:space="preserve"> </w:t>
      </w:r>
      <w:r>
        <w:rPr>
          <w:rFonts w:ascii="Times New Roman" w:hAnsi="Times New Roman" w:eastAsia="Times New Roman" w:cs="Times New Roman"/>
          <w:sz w:val="24"/>
          <w:szCs w:val="24"/>
        </w:rPr>
        <w:t>CI</w:t>
      </w:r>
      <w:r>
        <w:rPr>
          <w:rFonts w:ascii="Times New Roman" w:hAnsi="Times New Roman" w:eastAsia="Times New Roman" w:cs="Times New Roman"/>
          <w:spacing w:val="49"/>
          <w:sz w:val="24"/>
          <w:szCs w:val="24"/>
        </w:rPr>
        <w:t xml:space="preserve"> </w:t>
      </w:r>
      <w:r>
        <w:rPr>
          <w:spacing w:val="21"/>
          <w:sz w:val="24"/>
          <w:szCs w:val="24"/>
        </w:rPr>
        <w:t>测试性定量要求</w:t>
      </w:r>
    </w:p>
    <w:p w14:paraId="542882DE">
      <w:pPr>
        <w:pStyle w:val="2"/>
        <w:spacing w:before="106" w:line="220" w:lineRule="auto"/>
        <w:ind w:left="560"/>
      </w:pPr>
      <w:r>
        <w:rPr>
          <w:spacing w:val="4"/>
        </w:rPr>
        <w:t xml:space="preserve">4.2.2 </w:t>
      </w:r>
      <w:r>
        <w:rPr>
          <w:rFonts w:ascii="Times New Roman" w:hAnsi="Times New Roman" w:eastAsia="Times New Roman" w:cs="Times New Roman"/>
        </w:rPr>
        <w:t>CI</w:t>
      </w:r>
      <w:r>
        <w:rPr>
          <w:rFonts w:ascii="Times New Roman" w:hAnsi="Times New Roman" w:eastAsia="Times New Roman" w:cs="Times New Roman"/>
          <w:spacing w:val="12"/>
        </w:rPr>
        <w:t xml:space="preserve"> </w:t>
      </w:r>
      <w:r>
        <w:rPr>
          <w:spacing w:val="4"/>
        </w:rPr>
        <w:t>测试性定性要求</w:t>
      </w:r>
    </w:p>
    <w:p w14:paraId="53C98C6D">
      <w:pPr>
        <w:spacing w:before="71" w:line="221" w:lineRule="auto"/>
        <w:rPr>
          <w:rFonts w:ascii="黑体" w:hAnsi="黑体" w:eastAsia="黑体" w:cs="黑体"/>
          <w:sz w:val="27"/>
          <w:szCs w:val="27"/>
        </w:rPr>
      </w:pPr>
      <w:r>
        <w:rPr>
          <w:rFonts w:ascii="黑体" w:hAnsi="黑体" w:eastAsia="黑体" w:cs="黑体"/>
          <w:spacing w:val="-4"/>
          <w:sz w:val="27"/>
          <w:szCs w:val="27"/>
        </w:rPr>
        <w:t>5</w:t>
      </w:r>
      <w:r>
        <w:rPr>
          <w:rFonts w:ascii="黑体" w:hAnsi="黑体" w:eastAsia="黑体" w:cs="黑体"/>
          <w:spacing w:val="11"/>
          <w:sz w:val="27"/>
          <w:szCs w:val="27"/>
        </w:rPr>
        <w:t xml:space="preserve">  </w:t>
      </w:r>
      <w:r>
        <w:rPr>
          <w:rFonts w:ascii="黑体" w:hAnsi="黑体" w:eastAsia="黑体" w:cs="黑体"/>
          <w:b/>
          <w:bCs/>
          <w:spacing w:val="-4"/>
          <w:sz w:val="27"/>
          <w:szCs w:val="27"/>
        </w:rPr>
        <w:t>测试性设计与分析</w:t>
      </w:r>
    </w:p>
    <w:p w14:paraId="7ECE97B2">
      <w:pPr>
        <w:pStyle w:val="2"/>
        <w:spacing w:before="99" w:line="276" w:lineRule="auto"/>
        <w:ind w:right="7" w:firstLine="560"/>
        <w:jc w:val="both"/>
      </w:pPr>
      <w:r>
        <w:rPr>
          <w:spacing w:val="-12"/>
        </w:rPr>
        <w:t>从根据本书9.1《诊断方案》、9.11《固有测试性设计分析报告》、</w:t>
      </w:r>
      <w:r>
        <w:rPr>
          <w:spacing w:val="-13"/>
        </w:rPr>
        <w:t>9.12《测试</w:t>
      </w:r>
      <w:r>
        <w:t xml:space="preserve"> </w:t>
      </w:r>
      <w:r>
        <w:rPr>
          <w:spacing w:val="-9"/>
        </w:rPr>
        <w:t>性设计符合性报告》、9.13《诊断能力设计》形成的技术文件中提取</w:t>
      </w:r>
      <w:r>
        <w:rPr>
          <w:spacing w:val="-10"/>
        </w:rPr>
        <w:t>相关信息，完</w:t>
      </w:r>
      <w:r>
        <w:t xml:space="preserve"> </w:t>
      </w:r>
      <w:r>
        <w:rPr>
          <w:spacing w:val="-1"/>
        </w:rPr>
        <w:t>成以下内容。</w:t>
      </w:r>
    </w:p>
    <w:p w14:paraId="24E3E124">
      <w:pPr>
        <w:pStyle w:val="2"/>
        <w:spacing w:before="13" w:line="219" w:lineRule="auto"/>
        <w:ind w:left="560"/>
      </w:pPr>
      <w:r>
        <w:rPr>
          <w:rFonts w:ascii="Times New Roman" w:hAnsi="Times New Roman" w:eastAsia="Times New Roman" w:cs="Times New Roman"/>
          <w:spacing w:val="4"/>
        </w:rPr>
        <w:t xml:space="preserve">5.1   </w:t>
      </w:r>
      <w:r>
        <w:rPr>
          <w:spacing w:val="4"/>
        </w:rPr>
        <w:t>测试性设计权衡结果的说明</w:t>
      </w:r>
    </w:p>
    <w:p w14:paraId="553CABDF">
      <w:pPr>
        <w:pStyle w:val="2"/>
        <w:spacing w:before="119" w:line="219" w:lineRule="auto"/>
        <w:ind w:left="560"/>
        <w:rPr>
          <w:sz w:val="24"/>
          <w:szCs w:val="24"/>
        </w:rPr>
      </w:pPr>
      <w:r>
        <w:rPr>
          <w:spacing w:val="23"/>
          <w:sz w:val="24"/>
          <w:szCs w:val="24"/>
        </w:rPr>
        <w:t>5</w:t>
      </w:r>
      <w:r>
        <w:rPr>
          <w:spacing w:val="-57"/>
          <w:sz w:val="24"/>
          <w:szCs w:val="24"/>
        </w:rPr>
        <w:t xml:space="preserve"> </w:t>
      </w:r>
      <w:r>
        <w:rPr>
          <w:spacing w:val="23"/>
          <w:sz w:val="24"/>
          <w:szCs w:val="24"/>
        </w:rPr>
        <w:t>.</w:t>
      </w:r>
      <w:r>
        <w:rPr>
          <w:spacing w:val="-51"/>
          <w:sz w:val="24"/>
          <w:szCs w:val="24"/>
        </w:rPr>
        <w:t xml:space="preserve"> </w:t>
      </w:r>
      <w:r>
        <w:rPr>
          <w:spacing w:val="23"/>
          <w:sz w:val="24"/>
          <w:szCs w:val="24"/>
        </w:rPr>
        <w:t>1</w:t>
      </w:r>
      <w:r>
        <w:rPr>
          <w:spacing w:val="-63"/>
          <w:sz w:val="24"/>
          <w:szCs w:val="24"/>
        </w:rPr>
        <w:t xml:space="preserve"> </w:t>
      </w:r>
      <w:r>
        <w:rPr>
          <w:spacing w:val="23"/>
          <w:sz w:val="24"/>
          <w:szCs w:val="24"/>
        </w:rPr>
        <w:t>.</w:t>
      </w:r>
      <w:r>
        <w:rPr>
          <w:spacing w:val="-51"/>
          <w:sz w:val="24"/>
          <w:szCs w:val="24"/>
        </w:rPr>
        <w:t xml:space="preserve"> </w:t>
      </w:r>
      <w:r>
        <w:rPr>
          <w:spacing w:val="23"/>
          <w:sz w:val="24"/>
          <w:szCs w:val="24"/>
        </w:rPr>
        <w:t>1人工测试与自动测试的权衡</w:t>
      </w:r>
    </w:p>
    <w:p w14:paraId="10D828AA">
      <w:pPr>
        <w:pStyle w:val="2"/>
        <w:spacing w:before="106" w:line="219" w:lineRule="auto"/>
        <w:ind w:left="560"/>
      </w:pPr>
      <w:r>
        <w:rPr>
          <w:spacing w:val="-1"/>
        </w:rPr>
        <w:t xml:space="preserve">5.1.2 </w:t>
      </w:r>
      <w:r>
        <w:rPr>
          <w:rFonts w:ascii="Times New Roman" w:hAnsi="Times New Roman" w:eastAsia="Times New Roman" w:cs="Times New Roman"/>
          <w:spacing w:val="-1"/>
        </w:rPr>
        <w:t>BIT</w:t>
      </w:r>
      <w:r>
        <w:rPr>
          <w:rFonts w:ascii="Times New Roman" w:hAnsi="Times New Roman" w:eastAsia="Times New Roman" w:cs="Times New Roman"/>
          <w:spacing w:val="55"/>
        </w:rPr>
        <w:t xml:space="preserve"> </w:t>
      </w:r>
      <w:r>
        <w:rPr>
          <w:spacing w:val="-1"/>
        </w:rPr>
        <w:t>与</w:t>
      </w:r>
      <w:r>
        <w:rPr>
          <w:spacing w:val="-49"/>
        </w:rPr>
        <w:t xml:space="preserve"> </w:t>
      </w:r>
      <w:r>
        <w:rPr>
          <w:rFonts w:ascii="Times New Roman" w:hAnsi="Times New Roman" w:eastAsia="Times New Roman" w:cs="Times New Roman"/>
          <w:spacing w:val="-1"/>
        </w:rPr>
        <w:t>ATE</w:t>
      </w:r>
      <w:r>
        <w:rPr>
          <w:rFonts w:ascii="Times New Roman" w:hAnsi="Times New Roman" w:eastAsia="Times New Roman" w:cs="Times New Roman"/>
          <w:spacing w:val="6"/>
        </w:rPr>
        <w:t xml:space="preserve">  </w:t>
      </w:r>
      <w:r>
        <w:rPr>
          <w:spacing w:val="-1"/>
        </w:rPr>
        <w:t>的权衡</w:t>
      </w:r>
    </w:p>
    <w:p w14:paraId="5280567F">
      <w:pPr>
        <w:pStyle w:val="2"/>
        <w:spacing w:before="117" w:line="219" w:lineRule="auto"/>
        <w:ind w:left="560"/>
        <w:rPr>
          <w:sz w:val="24"/>
          <w:szCs w:val="24"/>
        </w:rPr>
      </w:pPr>
      <w:r>
        <w:rPr>
          <w:spacing w:val="20"/>
          <w:sz w:val="24"/>
          <w:szCs w:val="24"/>
        </w:rPr>
        <w:t>5.1.3</w:t>
      </w:r>
      <w:r>
        <w:rPr>
          <w:spacing w:val="112"/>
          <w:sz w:val="24"/>
          <w:szCs w:val="24"/>
        </w:rPr>
        <w:t xml:space="preserve"> </w:t>
      </w:r>
      <w:r>
        <w:rPr>
          <w:rFonts w:ascii="Times New Roman" w:hAnsi="Times New Roman" w:eastAsia="Times New Roman" w:cs="Times New Roman"/>
          <w:sz w:val="24"/>
          <w:szCs w:val="24"/>
        </w:rPr>
        <w:t>BIT</w:t>
      </w:r>
      <w:r>
        <w:rPr>
          <w:rFonts w:ascii="Times New Roman" w:hAnsi="Times New Roman" w:eastAsia="Times New Roman" w:cs="Times New Roman"/>
          <w:spacing w:val="20"/>
          <w:sz w:val="24"/>
          <w:szCs w:val="24"/>
        </w:rPr>
        <w:t xml:space="preserve">  </w:t>
      </w:r>
      <w:r>
        <w:rPr>
          <w:spacing w:val="20"/>
          <w:sz w:val="24"/>
          <w:szCs w:val="24"/>
        </w:rPr>
        <w:t>和脱机测试的配合</w:t>
      </w:r>
    </w:p>
    <w:p w14:paraId="6047126C">
      <w:pPr>
        <w:pStyle w:val="2"/>
        <w:spacing w:before="117" w:line="219" w:lineRule="auto"/>
        <w:ind w:left="560"/>
        <w:rPr>
          <w:sz w:val="24"/>
          <w:szCs w:val="24"/>
        </w:rPr>
      </w:pPr>
      <w:r>
        <w:rPr>
          <w:rFonts w:ascii="Times New Roman" w:hAnsi="Times New Roman" w:eastAsia="Times New Roman" w:cs="Times New Roman"/>
          <w:spacing w:val="24"/>
          <w:sz w:val="24"/>
          <w:szCs w:val="24"/>
        </w:rPr>
        <w:t>5.2</w:t>
      </w:r>
      <w:r>
        <w:rPr>
          <w:rFonts w:ascii="Times New Roman" w:hAnsi="Times New Roman" w:eastAsia="Times New Roman" w:cs="Times New Roman"/>
          <w:spacing w:val="5"/>
          <w:sz w:val="24"/>
          <w:szCs w:val="24"/>
        </w:rPr>
        <w:t xml:space="preserve">    </w:t>
      </w:r>
      <w:r>
        <w:rPr>
          <w:spacing w:val="24"/>
          <w:sz w:val="24"/>
          <w:szCs w:val="24"/>
        </w:rPr>
        <w:t>测试性设计数据</w:t>
      </w:r>
    </w:p>
    <w:p w14:paraId="7EB5485B">
      <w:pPr>
        <w:spacing w:before="155" w:line="188" w:lineRule="auto"/>
        <w:ind w:left="56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5.2.1</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BIT</w:t>
      </w:r>
    </w:p>
    <w:p w14:paraId="77C25186">
      <w:pPr>
        <w:pStyle w:val="2"/>
        <w:spacing w:before="134" w:line="219" w:lineRule="auto"/>
        <w:ind w:left="560"/>
      </w:pPr>
      <w:r>
        <w:rPr>
          <w:rFonts w:ascii="Times New Roman" w:hAnsi="Times New Roman" w:eastAsia="Times New Roman" w:cs="Times New Roman"/>
          <w:spacing w:val="3"/>
        </w:rPr>
        <w:t xml:space="preserve">5.2.1.1     </w:t>
      </w:r>
      <w:r>
        <w:rPr>
          <w:spacing w:val="3"/>
        </w:rPr>
        <w:t>故障检测率</w:t>
      </w:r>
    </w:p>
    <w:p w14:paraId="22CB6EBA">
      <w:pPr>
        <w:pStyle w:val="2"/>
        <w:spacing w:before="110" w:line="219" w:lineRule="auto"/>
        <w:ind w:left="560"/>
      </w:pPr>
      <w:r>
        <w:rPr>
          <w:rFonts w:ascii="Times New Roman" w:hAnsi="Times New Roman" w:eastAsia="Times New Roman" w:cs="Times New Roman"/>
          <w:spacing w:val="3"/>
        </w:rPr>
        <w:t xml:space="preserve">5.2.1.2     </w:t>
      </w:r>
      <w:r>
        <w:rPr>
          <w:spacing w:val="3"/>
        </w:rPr>
        <w:t>故障隔离率</w:t>
      </w:r>
    </w:p>
    <w:p w14:paraId="37E1BBBF">
      <w:pPr>
        <w:pStyle w:val="2"/>
        <w:spacing w:before="78" w:line="219" w:lineRule="auto"/>
        <w:ind w:left="560"/>
      </w:pPr>
      <w:r>
        <w:rPr>
          <w:spacing w:val="14"/>
        </w:rPr>
        <w:t>5.2.1.3故障潜伏时间</w:t>
      </w:r>
    </w:p>
    <w:p w14:paraId="27478E77">
      <w:pPr>
        <w:pStyle w:val="2"/>
        <w:spacing w:before="91" w:line="219" w:lineRule="auto"/>
        <w:ind w:left="560"/>
      </w:pPr>
      <w:r>
        <w:rPr>
          <w:spacing w:val="14"/>
        </w:rPr>
        <w:t>5.2.1.4故障隔离时间</w:t>
      </w:r>
    </w:p>
    <w:p w14:paraId="0E5401BE">
      <w:pPr>
        <w:spacing w:line="219" w:lineRule="auto"/>
        <w:sectPr>
          <w:footerReference r:id="rId481" w:type="default"/>
          <w:pgSz w:w="11910" w:h="17130"/>
          <w:pgMar w:top="1456" w:right="1362" w:bottom="1673" w:left="1150" w:header="0" w:footer="1474" w:gutter="0"/>
          <w:cols w:space="720" w:num="1"/>
        </w:sectPr>
      </w:pPr>
    </w:p>
    <w:p w14:paraId="59364386">
      <w:pPr>
        <w:spacing w:before="146" w:line="188" w:lineRule="auto"/>
        <w:ind w:left="35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5.2.2            BIT+ATE</w:t>
      </w:r>
    </w:p>
    <w:p w14:paraId="32DED934">
      <w:pPr>
        <w:pStyle w:val="2"/>
        <w:spacing w:before="112" w:line="219" w:lineRule="auto"/>
        <w:ind w:left="353"/>
      </w:pPr>
      <w:r>
        <w:rPr>
          <w:spacing w:val="13"/>
        </w:rPr>
        <w:t>5.2.2.1故障检测率</w:t>
      </w:r>
    </w:p>
    <w:p w14:paraId="5D4A3335">
      <w:pPr>
        <w:pStyle w:val="2"/>
        <w:spacing w:before="89" w:line="219" w:lineRule="auto"/>
        <w:ind w:left="353"/>
      </w:pPr>
      <w:r>
        <w:rPr>
          <w:spacing w:val="13"/>
        </w:rPr>
        <w:t>5.2.2.2故障隔离率</w:t>
      </w:r>
    </w:p>
    <w:p w14:paraId="7C85F019">
      <w:pPr>
        <w:pStyle w:val="2"/>
        <w:spacing w:before="97" w:line="219" w:lineRule="auto"/>
        <w:ind w:left="353"/>
      </w:pPr>
      <w:r>
        <w:rPr>
          <w:rFonts w:ascii="Times New Roman" w:hAnsi="Times New Roman" w:eastAsia="Times New Roman" w:cs="Times New Roman"/>
          <w:spacing w:val="3"/>
        </w:rPr>
        <w:t xml:space="preserve">5.2.2.3     </w:t>
      </w:r>
      <w:r>
        <w:rPr>
          <w:spacing w:val="3"/>
        </w:rPr>
        <w:t>故障潜伏时间</w:t>
      </w:r>
    </w:p>
    <w:p w14:paraId="63ED6878">
      <w:pPr>
        <w:pStyle w:val="2"/>
        <w:spacing w:before="92" w:line="219" w:lineRule="auto"/>
        <w:ind w:left="353"/>
      </w:pPr>
      <w:r>
        <w:rPr>
          <w:spacing w:val="15"/>
        </w:rPr>
        <w:t>5.2.2.4故障隔离时间</w:t>
      </w:r>
    </w:p>
    <w:p w14:paraId="278BC934">
      <w:pPr>
        <w:pStyle w:val="2"/>
        <w:spacing w:before="80" w:line="220" w:lineRule="auto"/>
        <w:ind w:left="353"/>
      </w:pPr>
      <w:r>
        <w:rPr>
          <w:rFonts w:ascii="Times New Roman" w:hAnsi="Times New Roman" w:eastAsia="Times New Roman" w:cs="Times New Roman"/>
          <w:spacing w:val="1"/>
        </w:rPr>
        <w:t>5.3</w:t>
      </w:r>
      <w:r>
        <w:rPr>
          <w:rFonts w:ascii="Times New Roman" w:hAnsi="Times New Roman" w:eastAsia="Times New Roman" w:cs="Times New Roman"/>
          <w:spacing w:val="13"/>
        </w:rPr>
        <w:t xml:space="preserve">   </w:t>
      </w:r>
      <w:r>
        <w:rPr>
          <w:spacing w:val="1"/>
        </w:rPr>
        <w:t>固有测试性核对表</w:t>
      </w:r>
    </w:p>
    <w:p w14:paraId="74CB81FD">
      <w:pPr>
        <w:pStyle w:val="2"/>
        <w:spacing w:before="108" w:line="221" w:lineRule="auto"/>
        <w:ind w:left="353"/>
        <w:rPr>
          <w:sz w:val="24"/>
          <w:szCs w:val="24"/>
        </w:rPr>
      </w:pPr>
      <w:r>
        <w:rPr>
          <w:spacing w:val="-2"/>
          <w:sz w:val="24"/>
          <w:szCs w:val="24"/>
        </w:rPr>
        <w:t>5</w:t>
      </w:r>
      <w:r>
        <w:rPr>
          <w:spacing w:val="-59"/>
          <w:sz w:val="24"/>
          <w:szCs w:val="24"/>
        </w:rPr>
        <w:t xml:space="preserve"> </w:t>
      </w:r>
      <w:r>
        <w:rPr>
          <w:spacing w:val="-2"/>
          <w:sz w:val="24"/>
          <w:szCs w:val="24"/>
        </w:rPr>
        <w:t>.</w:t>
      </w:r>
      <w:r>
        <w:rPr>
          <w:spacing w:val="-61"/>
          <w:sz w:val="24"/>
          <w:szCs w:val="24"/>
        </w:rPr>
        <w:t xml:space="preserve"> </w:t>
      </w:r>
      <w:r>
        <w:rPr>
          <w:spacing w:val="-2"/>
          <w:sz w:val="24"/>
          <w:szCs w:val="24"/>
        </w:rPr>
        <w:t>3</w:t>
      </w:r>
      <w:r>
        <w:rPr>
          <w:spacing w:val="-58"/>
          <w:sz w:val="24"/>
          <w:szCs w:val="24"/>
        </w:rPr>
        <w:t xml:space="preserve"> </w:t>
      </w:r>
      <w:r>
        <w:rPr>
          <w:spacing w:val="-2"/>
          <w:sz w:val="24"/>
          <w:szCs w:val="24"/>
        </w:rPr>
        <w:t>.</w:t>
      </w:r>
      <w:r>
        <w:rPr>
          <w:spacing w:val="-47"/>
          <w:sz w:val="24"/>
          <w:szCs w:val="24"/>
        </w:rPr>
        <w:t xml:space="preserve"> </w:t>
      </w:r>
      <w:r>
        <w:rPr>
          <w:spacing w:val="-2"/>
          <w:sz w:val="24"/>
          <w:szCs w:val="24"/>
        </w:rPr>
        <w:t>1</w:t>
      </w:r>
      <w:r>
        <w:rPr>
          <w:spacing w:val="-61"/>
          <w:sz w:val="24"/>
          <w:szCs w:val="24"/>
        </w:rPr>
        <w:t xml:space="preserve"> </w:t>
      </w:r>
      <w:r>
        <w:rPr>
          <w:spacing w:val="-2"/>
          <w:sz w:val="24"/>
          <w:szCs w:val="24"/>
        </w:rPr>
        <w:t>一</w:t>
      </w:r>
      <w:r>
        <w:rPr>
          <w:spacing w:val="-66"/>
          <w:sz w:val="24"/>
          <w:szCs w:val="24"/>
        </w:rPr>
        <w:t xml:space="preserve"> </w:t>
      </w:r>
      <w:r>
        <w:rPr>
          <w:spacing w:val="-2"/>
          <w:sz w:val="24"/>
          <w:szCs w:val="24"/>
        </w:rPr>
        <w:t>般要求</w:t>
      </w:r>
    </w:p>
    <w:p w14:paraId="19C09B28">
      <w:pPr>
        <w:pStyle w:val="2"/>
        <w:spacing w:before="121" w:line="219" w:lineRule="auto"/>
        <w:ind w:left="353"/>
        <w:rPr>
          <w:sz w:val="24"/>
          <w:szCs w:val="24"/>
        </w:rPr>
      </w:pPr>
      <w:r>
        <w:rPr>
          <w:rFonts w:ascii="Times New Roman" w:hAnsi="Times New Roman" w:eastAsia="Times New Roman" w:cs="Times New Roman"/>
          <w:spacing w:val="13"/>
          <w:sz w:val="24"/>
          <w:szCs w:val="24"/>
        </w:rPr>
        <w:t>5.3.2</w:t>
      </w:r>
      <w:r>
        <w:rPr>
          <w:rFonts w:ascii="Times New Roman" w:hAnsi="Times New Roman" w:eastAsia="Times New Roman" w:cs="Times New Roman"/>
          <w:spacing w:val="11"/>
          <w:sz w:val="24"/>
          <w:szCs w:val="24"/>
        </w:rPr>
        <w:t xml:space="preserve">     </w:t>
      </w:r>
      <w:r>
        <w:rPr>
          <w:spacing w:val="13"/>
          <w:sz w:val="24"/>
          <w:szCs w:val="24"/>
        </w:rPr>
        <w:t>测试数据</w:t>
      </w:r>
    </w:p>
    <w:p w14:paraId="1E7F300A">
      <w:pPr>
        <w:pStyle w:val="2"/>
        <w:spacing w:before="107" w:line="219" w:lineRule="auto"/>
        <w:ind w:left="353"/>
      </w:pPr>
      <w:r>
        <w:rPr>
          <w:spacing w:val="-1"/>
        </w:rPr>
        <w:t>5.3.3 嵌入式诊断(含</w:t>
      </w:r>
      <w:r>
        <w:rPr>
          <w:spacing w:val="-56"/>
        </w:rPr>
        <w:t xml:space="preserve"> </w:t>
      </w:r>
      <w:r>
        <w:rPr>
          <w:rFonts w:ascii="Times New Roman" w:hAnsi="Times New Roman" w:eastAsia="Times New Roman" w:cs="Times New Roman"/>
          <w:spacing w:val="-1"/>
        </w:rPr>
        <w:t>BIT</w:t>
      </w:r>
      <w:r>
        <w:rPr>
          <w:spacing w:val="-1"/>
        </w:rPr>
        <w:t>、性能监测)设计</w:t>
      </w:r>
    </w:p>
    <w:p w14:paraId="10CE66FB">
      <w:pPr>
        <w:pStyle w:val="2"/>
        <w:spacing w:before="98" w:line="219" w:lineRule="auto"/>
        <w:ind w:left="353"/>
      </w:pPr>
      <w:r>
        <w:rPr>
          <w:spacing w:val="19"/>
        </w:rPr>
        <w:t>5.3.4传感器</w:t>
      </w:r>
    </w:p>
    <w:p w14:paraId="64569150">
      <w:pPr>
        <w:pStyle w:val="2"/>
        <w:spacing w:before="111" w:line="221" w:lineRule="auto"/>
        <w:ind w:left="353"/>
        <w:rPr>
          <w:sz w:val="24"/>
          <w:szCs w:val="24"/>
        </w:rPr>
      </w:pPr>
      <w:r>
        <w:rPr>
          <w:rFonts w:ascii="Times New Roman" w:hAnsi="Times New Roman" w:eastAsia="Times New Roman" w:cs="Times New Roman"/>
          <w:spacing w:val="-3"/>
          <w:sz w:val="24"/>
          <w:szCs w:val="24"/>
        </w:rPr>
        <w:t xml:space="preserve">5.3.5      </w:t>
      </w:r>
      <w:r>
        <w:rPr>
          <w:spacing w:val="-3"/>
          <w:sz w:val="24"/>
          <w:szCs w:val="24"/>
        </w:rPr>
        <w:t>测</w:t>
      </w:r>
      <w:r>
        <w:rPr>
          <w:spacing w:val="-49"/>
          <w:sz w:val="24"/>
          <w:szCs w:val="24"/>
        </w:rPr>
        <w:t xml:space="preserve"> </w:t>
      </w:r>
      <w:r>
        <w:rPr>
          <w:spacing w:val="-3"/>
          <w:sz w:val="24"/>
          <w:szCs w:val="24"/>
        </w:rPr>
        <w:t>试</w:t>
      </w:r>
      <w:r>
        <w:rPr>
          <w:spacing w:val="-37"/>
          <w:sz w:val="24"/>
          <w:szCs w:val="24"/>
        </w:rPr>
        <w:t xml:space="preserve"> </w:t>
      </w:r>
      <w:r>
        <w:rPr>
          <w:spacing w:val="-3"/>
          <w:sz w:val="24"/>
          <w:szCs w:val="24"/>
        </w:rPr>
        <w:t>点</w:t>
      </w:r>
    </w:p>
    <w:p w14:paraId="0F77C809">
      <w:pPr>
        <w:pStyle w:val="2"/>
        <w:spacing w:before="83" w:line="220" w:lineRule="auto"/>
        <w:ind w:left="353"/>
      </w:pPr>
      <w:r>
        <w:rPr>
          <w:rFonts w:ascii="Times New Roman" w:hAnsi="Times New Roman" w:eastAsia="Times New Roman" w:cs="Times New Roman"/>
        </w:rPr>
        <w:t>5.3.6</w:t>
      </w:r>
      <w:r>
        <w:rPr>
          <w:rFonts w:ascii="Times New Roman" w:hAnsi="Times New Roman" w:eastAsia="Times New Roman" w:cs="Times New Roman"/>
          <w:spacing w:val="12"/>
        </w:rPr>
        <w:t xml:space="preserve">    </w:t>
      </w:r>
      <w:r>
        <w:t>电子功能结构设计</w:t>
      </w:r>
    </w:p>
    <w:p w14:paraId="68558261">
      <w:pPr>
        <w:pStyle w:val="2"/>
        <w:spacing w:before="107" w:line="220" w:lineRule="auto"/>
        <w:ind w:left="353"/>
        <w:rPr>
          <w:sz w:val="24"/>
          <w:szCs w:val="24"/>
        </w:rPr>
      </w:pPr>
      <w:r>
        <w:rPr>
          <w:rFonts w:ascii="Times New Roman" w:hAnsi="Times New Roman" w:eastAsia="Times New Roman" w:cs="Times New Roman"/>
          <w:spacing w:val="19"/>
          <w:sz w:val="24"/>
          <w:szCs w:val="24"/>
        </w:rPr>
        <w:t>5.3.7</w:t>
      </w:r>
      <w:r>
        <w:rPr>
          <w:rFonts w:ascii="Times New Roman" w:hAnsi="Times New Roman" w:eastAsia="Times New Roman" w:cs="Times New Roman"/>
          <w:sz w:val="24"/>
          <w:szCs w:val="24"/>
        </w:rPr>
        <w:t xml:space="preserve">      </w:t>
      </w:r>
      <w:r>
        <w:rPr>
          <w:spacing w:val="19"/>
          <w:sz w:val="24"/>
          <w:szCs w:val="24"/>
        </w:rPr>
        <w:t>电子功能的划分</w:t>
      </w:r>
    </w:p>
    <w:p w14:paraId="033AA09B">
      <w:pPr>
        <w:pStyle w:val="2"/>
        <w:spacing w:before="124" w:line="220" w:lineRule="auto"/>
        <w:ind w:left="353"/>
        <w:rPr>
          <w:sz w:val="24"/>
          <w:szCs w:val="24"/>
        </w:rPr>
      </w:pPr>
      <w:r>
        <w:rPr>
          <w:spacing w:val="13"/>
          <w:sz w:val="24"/>
          <w:szCs w:val="24"/>
        </w:rPr>
        <w:t>5</w:t>
      </w:r>
      <w:r>
        <w:rPr>
          <w:spacing w:val="-58"/>
          <w:sz w:val="24"/>
          <w:szCs w:val="24"/>
        </w:rPr>
        <w:t xml:space="preserve"> </w:t>
      </w:r>
      <w:r>
        <w:rPr>
          <w:spacing w:val="13"/>
          <w:sz w:val="24"/>
          <w:szCs w:val="24"/>
        </w:rPr>
        <w:t>.</w:t>
      </w:r>
      <w:r>
        <w:rPr>
          <w:spacing w:val="-59"/>
          <w:sz w:val="24"/>
          <w:szCs w:val="24"/>
        </w:rPr>
        <w:t xml:space="preserve"> </w:t>
      </w:r>
      <w:r>
        <w:rPr>
          <w:spacing w:val="13"/>
          <w:sz w:val="24"/>
          <w:szCs w:val="24"/>
        </w:rPr>
        <w:t>3</w:t>
      </w:r>
      <w:r>
        <w:rPr>
          <w:spacing w:val="-58"/>
          <w:sz w:val="24"/>
          <w:szCs w:val="24"/>
        </w:rPr>
        <w:t xml:space="preserve"> </w:t>
      </w:r>
      <w:r>
        <w:rPr>
          <w:spacing w:val="13"/>
          <w:sz w:val="24"/>
          <w:szCs w:val="24"/>
        </w:rPr>
        <w:t>.</w:t>
      </w:r>
      <w:r>
        <w:rPr>
          <w:spacing w:val="-63"/>
          <w:sz w:val="24"/>
          <w:szCs w:val="24"/>
        </w:rPr>
        <w:t xml:space="preserve"> </w:t>
      </w:r>
      <w:r>
        <w:rPr>
          <w:spacing w:val="13"/>
          <w:sz w:val="24"/>
          <w:szCs w:val="24"/>
        </w:rPr>
        <w:t>8测试控制</w:t>
      </w:r>
    </w:p>
    <w:p w14:paraId="06AA662A">
      <w:pPr>
        <w:pStyle w:val="2"/>
        <w:spacing w:before="124" w:line="219" w:lineRule="auto"/>
        <w:ind w:left="353"/>
        <w:rPr>
          <w:sz w:val="24"/>
          <w:szCs w:val="24"/>
        </w:rPr>
      </w:pPr>
      <w:r>
        <w:rPr>
          <w:spacing w:val="12"/>
          <w:sz w:val="24"/>
          <w:szCs w:val="24"/>
        </w:rPr>
        <w:t>5</w:t>
      </w:r>
      <w:r>
        <w:rPr>
          <w:spacing w:val="-57"/>
          <w:sz w:val="24"/>
          <w:szCs w:val="24"/>
        </w:rPr>
        <w:t xml:space="preserve"> </w:t>
      </w:r>
      <w:r>
        <w:rPr>
          <w:spacing w:val="12"/>
          <w:sz w:val="24"/>
          <w:szCs w:val="24"/>
        </w:rPr>
        <w:t>.</w:t>
      </w:r>
      <w:r>
        <w:rPr>
          <w:spacing w:val="-60"/>
          <w:sz w:val="24"/>
          <w:szCs w:val="24"/>
        </w:rPr>
        <w:t xml:space="preserve"> </w:t>
      </w:r>
      <w:r>
        <w:rPr>
          <w:spacing w:val="12"/>
          <w:sz w:val="24"/>
          <w:szCs w:val="24"/>
        </w:rPr>
        <w:t>3</w:t>
      </w:r>
      <w:r>
        <w:rPr>
          <w:spacing w:val="-59"/>
          <w:sz w:val="24"/>
          <w:szCs w:val="24"/>
        </w:rPr>
        <w:t xml:space="preserve"> </w:t>
      </w:r>
      <w:r>
        <w:rPr>
          <w:spacing w:val="12"/>
          <w:sz w:val="24"/>
          <w:szCs w:val="24"/>
        </w:rPr>
        <w:t>.</w:t>
      </w:r>
      <w:r>
        <w:rPr>
          <w:spacing w:val="-64"/>
          <w:sz w:val="24"/>
          <w:szCs w:val="24"/>
        </w:rPr>
        <w:t xml:space="preserve"> </w:t>
      </w:r>
      <w:r>
        <w:rPr>
          <w:spacing w:val="12"/>
          <w:sz w:val="24"/>
          <w:szCs w:val="24"/>
        </w:rPr>
        <w:t>9测试通路</w:t>
      </w:r>
    </w:p>
    <w:p w14:paraId="0EF39056">
      <w:pPr>
        <w:pStyle w:val="2"/>
        <w:spacing w:before="115" w:line="219" w:lineRule="auto"/>
        <w:ind w:left="353"/>
        <w:rPr>
          <w:sz w:val="25"/>
          <w:szCs w:val="25"/>
        </w:rPr>
      </w:pPr>
      <w:r>
        <w:rPr>
          <w:spacing w:val="15"/>
          <w:sz w:val="25"/>
          <w:szCs w:val="25"/>
        </w:rPr>
        <w:t>5</w:t>
      </w:r>
      <w:r>
        <w:rPr>
          <w:spacing w:val="-74"/>
          <w:sz w:val="25"/>
          <w:szCs w:val="25"/>
        </w:rPr>
        <w:t xml:space="preserve"> </w:t>
      </w:r>
      <w:r>
        <w:rPr>
          <w:spacing w:val="15"/>
          <w:sz w:val="25"/>
          <w:szCs w:val="25"/>
        </w:rPr>
        <w:t>.3</w:t>
      </w:r>
      <w:r>
        <w:rPr>
          <w:spacing w:val="-74"/>
          <w:sz w:val="25"/>
          <w:szCs w:val="25"/>
        </w:rPr>
        <w:t xml:space="preserve"> </w:t>
      </w:r>
      <w:r>
        <w:rPr>
          <w:spacing w:val="15"/>
          <w:sz w:val="25"/>
          <w:szCs w:val="25"/>
        </w:rPr>
        <w:t>.</w:t>
      </w:r>
      <w:r>
        <w:rPr>
          <w:spacing w:val="-63"/>
          <w:sz w:val="25"/>
          <w:szCs w:val="25"/>
        </w:rPr>
        <w:t xml:space="preserve"> </w:t>
      </w:r>
      <w:r>
        <w:rPr>
          <w:spacing w:val="15"/>
          <w:sz w:val="25"/>
          <w:szCs w:val="25"/>
        </w:rPr>
        <w:t>10元器件选择</w:t>
      </w:r>
    </w:p>
    <w:p w14:paraId="3CE734F0">
      <w:pPr>
        <w:pStyle w:val="2"/>
        <w:spacing w:before="93" w:line="219" w:lineRule="auto"/>
        <w:ind w:left="353"/>
      </w:pPr>
      <w:r>
        <w:rPr>
          <w:rFonts w:ascii="Times New Roman" w:hAnsi="Times New Roman" w:eastAsia="Times New Roman" w:cs="Times New Roman"/>
          <w:spacing w:val="3"/>
        </w:rPr>
        <w:t xml:space="preserve">5.3.11    </w:t>
      </w:r>
      <w:r>
        <w:rPr>
          <w:spacing w:val="3"/>
        </w:rPr>
        <w:t>模拟电路设计</w:t>
      </w:r>
    </w:p>
    <w:p w14:paraId="745B3825">
      <w:pPr>
        <w:pStyle w:val="2"/>
        <w:spacing w:before="71" w:line="212" w:lineRule="auto"/>
        <w:ind w:left="353"/>
      </w:pPr>
      <w:r>
        <w:rPr>
          <w:spacing w:val="9"/>
        </w:rPr>
        <w:t>5.3.</w:t>
      </w:r>
      <w:r>
        <w:rPr>
          <w:spacing w:val="-73"/>
        </w:rPr>
        <w:t xml:space="preserve"> </w:t>
      </w:r>
      <w:r>
        <w:rPr>
          <w:spacing w:val="9"/>
        </w:rPr>
        <w:t>12射频(</w:t>
      </w:r>
      <w:r>
        <w:rPr>
          <w:rFonts w:ascii="Times New Roman" w:hAnsi="Times New Roman" w:eastAsia="Times New Roman" w:cs="Times New Roman"/>
        </w:rPr>
        <w:t>RF</w:t>
      </w:r>
      <w:r>
        <w:rPr>
          <w:rFonts w:ascii="Times New Roman" w:hAnsi="Times New Roman" w:eastAsia="Times New Roman" w:cs="Times New Roman"/>
          <w:spacing w:val="9"/>
        </w:rPr>
        <w:t xml:space="preserve">) </w:t>
      </w:r>
      <w:r>
        <w:rPr>
          <w:spacing w:val="9"/>
        </w:rPr>
        <w:t>电路设计</w:t>
      </w:r>
    </w:p>
    <w:p w14:paraId="5A9C9535">
      <w:pPr>
        <w:pStyle w:val="2"/>
        <w:spacing w:before="100" w:line="212" w:lineRule="auto"/>
        <w:ind w:left="353"/>
      </w:pPr>
      <w:r>
        <w:rPr>
          <w:spacing w:val="-1"/>
        </w:rPr>
        <w:t>5.3.13</w:t>
      </w:r>
      <w:r>
        <w:rPr>
          <w:spacing w:val="60"/>
        </w:rPr>
        <w:t xml:space="preserve"> </w:t>
      </w:r>
      <w:r>
        <w:rPr>
          <w:spacing w:val="-1"/>
        </w:rPr>
        <w:t>电光(</w:t>
      </w:r>
      <w:r>
        <w:rPr>
          <w:rFonts w:ascii="Times New Roman" w:hAnsi="Times New Roman" w:eastAsia="Times New Roman" w:cs="Times New Roman"/>
          <w:spacing w:val="-1"/>
        </w:rPr>
        <w:t>EO)</w:t>
      </w:r>
      <w:r>
        <w:rPr>
          <w:rFonts w:ascii="Times New Roman" w:hAnsi="Times New Roman" w:eastAsia="Times New Roman" w:cs="Times New Roman"/>
          <w:spacing w:val="19"/>
        </w:rPr>
        <w:t xml:space="preserve"> </w:t>
      </w:r>
      <w:r>
        <w:rPr>
          <w:spacing w:val="-1"/>
        </w:rPr>
        <w:t>设备设计</w:t>
      </w:r>
    </w:p>
    <w:p w14:paraId="151A0888">
      <w:pPr>
        <w:pStyle w:val="2"/>
        <w:spacing w:before="120" w:line="219" w:lineRule="auto"/>
        <w:ind w:left="353"/>
      </w:pPr>
      <w:r>
        <w:rPr>
          <w:rFonts w:ascii="Times New Roman" w:hAnsi="Times New Roman" w:eastAsia="Times New Roman" w:cs="Times New Roman"/>
          <w:spacing w:val="2"/>
        </w:rPr>
        <w:t>5.3.14</w:t>
      </w:r>
      <w:r>
        <w:rPr>
          <w:rFonts w:ascii="Times New Roman" w:hAnsi="Times New Roman" w:eastAsia="Times New Roman" w:cs="Times New Roman"/>
          <w:spacing w:val="7"/>
        </w:rPr>
        <w:t xml:space="preserve">    </w:t>
      </w:r>
      <w:r>
        <w:rPr>
          <w:spacing w:val="2"/>
        </w:rPr>
        <w:t>数字电路设计</w:t>
      </w:r>
    </w:p>
    <w:p w14:paraId="6B8894E7">
      <w:pPr>
        <w:pStyle w:val="2"/>
        <w:spacing w:before="88" w:line="219" w:lineRule="auto"/>
        <w:ind w:left="353"/>
      </w:pPr>
      <w:r>
        <w:rPr>
          <w:rFonts w:ascii="Times New Roman" w:hAnsi="Times New Roman" w:eastAsia="Times New Roman" w:cs="Times New Roman"/>
          <w:spacing w:val="4"/>
        </w:rPr>
        <w:t xml:space="preserve">5.3.15    </w:t>
      </w:r>
      <w:r>
        <w:rPr>
          <w:spacing w:val="4"/>
        </w:rPr>
        <w:t>基于边界扫描的电路</w:t>
      </w:r>
      <w:r>
        <w:rPr>
          <w:spacing w:val="3"/>
        </w:rPr>
        <w:t>板设计</w:t>
      </w:r>
    </w:p>
    <w:p w14:paraId="4ADEF760">
      <w:pPr>
        <w:pStyle w:val="2"/>
        <w:spacing w:before="89" w:line="218" w:lineRule="auto"/>
        <w:ind w:left="353"/>
      </w:pPr>
      <w:r>
        <w:rPr>
          <w:rFonts w:ascii="Times New Roman" w:hAnsi="Times New Roman" w:eastAsia="Times New Roman" w:cs="Times New Roman"/>
          <w:spacing w:val="-1"/>
        </w:rPr>
        <w:t>5.4</w:t>
      </w:r>
      <w:r>
        <w:rPr>
          <w:rFonts w:ascii="Times New Roman" w:hAnsi="Times New Roman" w:eastAsia="Times New Roman" w:cs="Times New Roman"/>
          <w:spacing w:val="13"/>
        </w:rPr>
        <w:t xml:space="preserve">   </w:t>
      </w:r>
      <w:r>
        <w:rPr>
          <w:spacing w:val="-1"/>
        </w:rPr>
        <w:t>固有测试性评价</w:t>
      </w:r>
    </w:p>
    <w:p w14:paraId="2EF1AB22">
      <w:pPr>
        <w:pStyle w:val="2"/>
        <w:spacing w:before="104" w:line="219" w:lineRule="auto"/>
        <w:ind w:left="353"/>
      </w:pPr>
      <w:r>
        <w:rPr>
          <w:rFonts w:ascii="Times New Roman" w:hAnsi="Times New Roman" w:eastAsia="Times New Roman" w:cs="Times New Roman"/>
          <w:spacing w:val="4"/>
        </w:rPr>
        <w:t xml:space="preserve">5.4.1    </w:t>
      </w:r>
      <w:r>
        <w:rPr>
          <w:spacing w:val="4"/>
        </w:rPr>
        <w:t>测试性设计准则的剪裁原则</w:t>
      </w:r>
    </w:p>
    <w:p w14:paraId="0133907D">
      <w:pPr>
        <w:pStyle w:val="2"/>
        <w:spacing w:before="80" w:line="219" w:lineRule="auto"/>
        <w:ind w:left="353"/>
      </w:pPr>
      <w:r>
        <w:rPr>
          <w:rFonts w:ascii="Times New Roman" w:hAnsi="Times New Roman" w:eastAsia="Times New Roman" w:cs="Times New Roman"/>
          <w:spacing w:val="4"/>
        </w:rPr>
        <w:t xml:space="preserve">5.4.2    </w:t>
      </w:r>
      <w:r>
        <w:rPr>
          <w:spacing w:val="4"/>
        </w:rPr>
        <w:t>测试性设计准则的加权原则</w:t>
      </w:r>
    </w:p>
    <w:p w14:paraId="3C20B312">
      <w:pPr>
        <w:pStyle w:val="2"/>
        <w:spacing w:before="99" w:line="219" w:lineRule="auto"/>
        <w:ind w:left="353"/>
      </w:pPr>
      <w:r>
        <w:rPr>
          <w:rFonts w:ascii="Times New Roman" w:hAnsi="Times New Roman" w:eastAsia="Times New Roman" w:cs="Times New Roman"/>
          <w:spacing w:val="3"/>
        </w:rPr>
        <w:t xml:space="preserve">5.4.3    </w:t>
      </w:r>
      <w:r>
        <w:rPr>
          <w:spacing w:val="3"/>
        </w:rPr>
        <w:t>固有测试性最低要求值</w:t>
      </w:r>
    </w:p>
    <w:p w14:paraId="67DE9AEF">
      <w:pPr>
        <w:pStyle w:val="2"/>
        <w:spacing w:before="88" w:line="218" w:lineRule="auto"/>
        <w:ind w:left="353"/>
      </w:pPr>
      <w:r>
        <w:rPr>
          <w:rFonts w:ascii="Times New Roman" w:hAnsi="Times New Roman" w:eastAsia="Times New Roman" w:cs="Times New Roman"/>
        </w:rPr>
        <w:t>5.4.4</w:t>
      </w:r>
      <w:r>
        <w:rPr>
          <w:rFonts w:ascii="Times New Roman" w:hAnsi="Times New Roman" w:eastAsia="Times New Roman" w:cs="Times New Roman"/>
          <w:spacing w:val="12"/>
        </w:rPr>
        <w:t xml:space="preserve">    </w:t>
      </w:r>
      <w:r>
        <w:t>固有测试性评价</w:t>
      </w:r>
    </w:p>
    <w:p w14:paraId="448FE659">
      <w:pPr>
        <w:pStyle w:val="2"/>
        <w:spacing w:before="83" w:line="219" w:lineRule="auto"/>
        <w:ind w:left="353"/>
      </w:pPr>
      <w:r>
        <w:rPr>
          <w:rFonts w:ascii="Times New Roman" w:hAnsi="Times New Roman" w:eastAsia="Times New Roman" w:cs="Times New Roman"/>
          <w:spacing w:val="3"/>
        </w:rPr>
        <w:t xml:space="preserve">5.4.4.1     </w:t>
      </w:r>
      <w:r>
        <w:rPr>
          <w:spacing w:val="3"/>
        </w:rPr>
        <w:t>准则适用对象数的确定</w:t>
      </w:r>
    </w:p>
    <w:p w14:paraId="7F9A5FEC">
      <w:pPr>
        <w:pStyle w:val="2"/>
        <w:spacing w:before="90" w:line="219" w:lineRule="auto"/>
        <w:ind w:left="353"/>
      </w:pPr>
      <w:r>
        <w:rPr>
          <w:rFonts w:ascii="Times New Roman" w:hAnsi="Times New Roman" w:eastAsia="Times New Roman" w:cs="Times New Roman"/>
          <w:spacing w:val="3"/>
        </w:rPr>
        <w:t xml:space="preserve">5.4.4.2     </w:t>
      </w:r>
      <w:r>
        <w:rPr>
          <w:spacing w:val="3"/>
        </w:rPr>
        <w:t>符合准则对象数的确定</w:t>
      </w:r>
    </w:p>
    <w:p w14:paraId="4402D92F">
      <w:pPr>
        <w:pStyle w:val="2"/>
        <w:spacing w:before="118" w:line="219" w:lineRule="auto"/>
        <w:ind w:left="353"/>
        <w:rPr>
          <w:sz w:val="24"/>
          <w:szCs w:val="24"/>
        </w:rPr>
      </w:pPr>
      <w:r>
        <w:rPr>
          <w:rFonts w:ascii="Times New Roman" w:hAnsi="Times New Roman" w:eastAsia="Times New Roman" w:cs="Times New Roman"/>
          <w:spacing w:val="-5"/>
          <w:sz w:val="24"/>
          <w:szCs w:val="24"/>
        </w:rPr>
        <w:t>5.4.4.3</w:t>
      </w:r>
      <w:r>
        <w:rPr>
          <w:rFonts w:ascii="Times New Roman" w:hAnsi="Times New Roman" w:eastAsia="Times New Roman" w:cs="Times New Roman"/>
          <w:spacing w:val="2"/>
          <w:sz w:val="24"/>
          <w:szCs w:val="24"/>
        </w:rPr>
        <w:t xml:space="preserve">       </w:t>
      </w:r>
      <w:r>
        <w:rPr>
          <w:spacing w:val="-5"/>
          <w:sz w:val="24"/>
          <w:szCs w:val="24"/>
        </w:rPr>
        <w:t>准</w:t>
      </w:r>
      <w:r>
        <w:rPr>
          <w:spacing w:val="-45"/>
          <w:sz w:val="24"/>
          <w:szCs w:val="24"/>
        </w:rPr>
        <w:t xml:space="preserve"> </w:t>
      </w:r>
      <w:r>
        <w:rPr>
          <w:spacing w:val="-5"/>
          <w:sz w:val="24"/>
          <w:szCs w:val="24"/>
        </w:rPr>
        <w:t>则</w:t>
      </w:r>
      <w:r>
        <w:rPr>
          <w:spacing w:val="-52"/>
          <w:sz w:val="24"/>
          <w:szCs w:val="24"/>
        </w:rPr>
        <w:t xml:space="preserve"> </w:t>
      </w:r>
      <w:r>
        <w:rPr>
          <w:spacing w:val="-5"/>
          <w:sz w:val="24"/>
          <w:szCs w:val="24"/>
        </w:rPr>
        <w:t>得</w:t>
      </w:r>
      <w:r>
        <w:rPr>
          <w:spacing w:val="-51"/>
          <w:sz w:val="24"/>
          <w:szCs w:val="24"/>
        </w:rPr>
        <w:t xml:space="preserve"> </w:t>
      </w:r>
      <w:r>
        <w:rPr>
          <w:spacing w:val="-5"/>
          <w:sz w:val="24"/>
          <w:szCs w:val="24"/>
        </w:rPr>
        <w:t>分</w:t>
      </w:r>
    </w:p>
    <w:p w14:paraId="4ACEF0E4">
      <w:pPr>
        <w:pStyle w:val="2"/>
        <w:spacing w:before="107" w:line="219" w:lineRule="auto"/>
        <w:ind w:left="353"/>
      </w:pPr>
      <w:r>
        <w:rPr>
          <w:rFonts w:ascii="Times New Roman" w:hAnsi="Times New Roman" w:eastAsia="Times New Roman" w:cs="Times New Roman"/>
          <w:spacing w:val="2"/>
        </w:rPr>
        <w:t xml:space="preserve">5.4.4.4     </w:t>
      </w:r>
      <w:r>
        <w:rPr>
          <w:spacing w:val="2"/>
        </w:rPr>
        <w:t>准则加权得分</w:t>
      </w:r>
    </w:p>
    <w:p w14:paraId="16E7EE4C">
      <w:pPr>
        <w:pStyle w:val="2"/>
        <w:spacing w:before="109" w:line="219" w:lineRule="auto"/>
        <w:ind w:left="353"/>
        <w:rPr>
          <w:sz w:val="25"/>
          <w:szCs w:val="25"/>
        </w:rPr>
      </w:pPr>
      <w:r>
        <w:rPr>
          <w:spacing w:val="8"/>
          <w:sz w:val="25"/>
          <w:szCs w:val="25"/>
        </w:rPr>
        <w:t>5.4.4.</w:t>
      </w:r>
      <w:r>
        <w:rPr>
          <w:spacing w:val="-46"/>
          <w:sz w:val="25"/>
          <w:szCs w:val="25"/>
        </w:rPr>
        <w:t xml:space="preserve"> </w:t>
      </w:r>
      <w:r>
        <w:rPr>
          <w:spacing w:val="8"/>
          <w:sz w:val="25"/>
          <w:szCs w:val="25"/>
        </w:rPr>
        <w:t>5</w:t>
      </w:r>
      <w:r>
        <w:rPr>
          <w:spacing w:val="65"/>
          <w:sz w:val="25"/>
          <w:szCs w:val="25"/>
        </w:rPr>
        <w:t xml:space="preserve"> </w:t>
      </w:r>
      <w:r>
        <w:rPr>
          <w:spacing w:val="8"/>
          <w:sz w:val="25"/>
          <w:szCs w:val="25"/>
        </w:rPr>
        <w:t>固有测试性值</w:t>
      </w:r>
    </w:p>
    <w:p w14:paraId="77C93448">
      <w:pPr>
        <w:pStyle w:val="2"/>
        <w:spacing w:before="94" w:line="219" w:lineRule="auto"/>
        <w:ind w:left="353"/>
      </w:pPr>
      <w:r>
        <w:rPr>
          <w:rFonts w:ascii="Times New Roman" w:hAnsi="Times New Roman" w:eastAsia="Times New Roman" w:cs="Times New Roman"/>
          <w:spacing w:val="3"/>
        </w:rPr>
        <w:t xml:space="preserve">5.5   </w:t>
      </w:r>
      <w:r>
        <w:rPr>
          <w:spacing w:val="3"/>
        </w:rPr>
        <w:t>测试性详细设计分析过程的说明</w:t>
      </w:r>
    </w:p>
    <w:p w14:paraId="5B796D6E">
      <w:pPr>
        <w:pStyle w:val="2"/>
        <w:spacing w:before="99" w:line="219" w:lineRule="auto"/>
        <w:ind w:left="353"/>
        <w:rPr>
          <w:sz w:val="24"/>
          <w:szCs w:val="24"/>
        </w:rPr>
      </w:pPr>
      <w:r>
        <w:rPr>
          <w:spacing w:val="31"/>
          <w:sz w:val="24"/>
          <w:szCs w:val="24"/>
        </w:rPr>
        <w:t>5</w:t>
      </w:r>
      <w:r>
        <w:rPr>
          <w:spacing w:val="-48"/>
          <w:sz w:val="24"/>
          <w:szCs w:val="24"/>
        </w:rPr>
        <w:t xml:space="preserve"> </w:t>
      </w:r>
      <w:r>
        <w:rPr>
          <w:spacing w:val="31"/>
          <w:sz w:val="24"/>
          <w:szCs w:val="24"/>
        </w:rPr>
        <w:t>.</w:t>
      </w:r>
      <w:r>
        <w:rPr>
          <w:spacing w:val="-61"/>
          <w:sz w:val="24"/>
          <w:szCs w:val="24"/>
        </w:rPr>
        <w:t xml:space="preserve"> </w:t>
      </w:r>
      <w:r>
        <w:rPr>
          <w:spacing w:val="31"/>
          <w:sz w:val="24"/>
          <w:szCs w:val="24"/>
        </w:rPr>
        <w:t>6产品测试性预计数据</w:t>
      </w:r>
    </w:p>
    <w:p w14:paraId="2BB4DD09">
      <w:pPr>
        <w:pStyle w:val="2"/>
        <w:spacing w:before="106" w:line="219" w:lineRule="auto"/>
        <w:ind w:left="353"/>
      </w:pPr>
      <w:r>
        <w:rPr>
          <w:rFonts w:ascii="Times New Roman" w:hAnsi="Times New Roman" w:eastAsia="Times New Roman" w:cs="Times New Roman"/>
          <w:spacing w:val="3"/>
        </w:rPr>
        <w:t xml:space="preserve">5.6.1    </w:t>
      </w:r>
      <w:r>
        <w:rPr>
          <w:spacing w:val="3"/>
        </w:rPr>
        <w:t>产品故障检测率</w:t>
      </w:r>
    </w:p>
    <w:p w14:paraId="3F04A4DE">
      <w:pPr>
        <w:spacing w:line="219" w:lineRule="auto"/>
        <w:sectPr>
          <w:footerReference r:id="rId482" w:type="default"/>
          <w:pgSz w:w="11910" w:h="17130"/>
          <w:pgMar w:top="1456" w:right="1212" w:bottom="1650" w:left="1786" w:header="0" w:footer="1364" w:gutter="0"/>
          <w:cols w:space="720" w:num="1"/>
        </w:sectPr>
      </w:pPr>
    </w:p>
    <w:p w14:paraId="7FB6A7DD">
      <w:pPr>
        <w:pStyle w:val="2"/>
        <w:spacing w:before="105" w:line="219" w:lineRule="auto"/>
        <w:ind w:left="560"/>
      </w:pPr>
      <w:r>
        <w:rPr>
          <w:spacing w:val="14"/>
        </w:rPr>
        <w:t>5.6.2产品故障隔离率</w:t>
      </w:r>
    </w:p>
    <w:p w14:paraId="05BBA7A4">
      <w:pPr>
        <w:pStyle w:val="2"/>
        <w:spacing w:before="87" w:line="219" w:lineRule="auto"/>
        <w:ind w:left="560"/>
      </w:pPr>
      <w:r>
        <w:rPr>
          <w:spacing w:val="15"/>
        </w:rPr>
        <w:t>5.6.3产品故障潜伏时间</w:t>
      </w:r>
    </w:p>
    <w:p w14:paraId="6E4852F3">
      <w:pPr>
        <w:pStyle w:val="2"/>
        <w:spacing w:before="81" w:line="219" w:lineRule="auto"/>
        <w:ind w:left="560"/>
      </w:pPr>
      <w:r>
        <w:rPr>
          <w:rFonts w:ascii="Times New Roman" w:hAnsi="Times New Roman" w:eastAsia="Times New Roman" w:cs="Times New Roman"/>
          <w:spacing w:val="3"/>
        </w:rPr>
        <w:t xml:space="preserve">5.6.4    </w:t>
      </w:r>
      <w:r>
        <w:rPr>
          <w:spacing w:val="3"/>
        </w:rPr>
        <w:t>产品故障隔离时间</w:t>
      </w:r>
    </w:p>
    <w:p w14:paraId="0C2FAC48">
      <w:pPr>
        <w:pStyle w:val="2"/>
        <w:spacing w:before="89" w:line="219" w:lineRule="auto"/>
        <w:ind w:left="560"/>
      </w:pPr>
      <w:r>
        <w:rPr>
          <w:rFonts w:ascii="Times New Roman" w:hAnsi="Times New Roman" w:eastAsia="Times New Roman" w:cs="Times New Roman"/>
          <w:spacing w:val="3"/>
        </w:rPr>
        <w:t xml:space="preserve">5.7   </w:t>
      </w:r>
      <w:r>
        <w:rPr>
          <w:spacing w:val="3"/>
        </w:rPr>
        <w:t>系统测试性预计数据</w:t>
      </w:r>
    </w:p>
    <w:p w14:paraId="1AF8613E">
      <w:pPr>
        <w:pStyle w:val="2"/>
        <w:spacing w:before="90" w:line="219" w:lineRule="auto"/>
        <w:ind w:left="560"/>
      </w:pPr>
      <w:r>
        <w:rPr>
          <w:spacing w:val="-1"/>
        </w:rPr>
        <w:t>5.7.1</w:t>
      </w:r>
      <w:r>
        <w:rPr>
          <w:spacing w:val="53"/>
        </w:rPr>
        <w:t xml:space="preserve"> </w:t>
      </w:r>
      <w:r>
        <w:rPr>
          <w:spacing w:val="-1"/>
        </w:rPr>
        <w:t>系统故障检测率</w:t>
      </w:r>
    </w:p>
    <w:p w14:paraId="7AABFE7C">
      <w:pPr>
        <w:pStyle w:val="2"/>
        <w:spacing w:before="79" w:line="219" w:lineRule="auto"/>
        <w:ind w:left="560"/>
      </w:pPr>
      <w:r>
        <w:rPr>
          <w:spacing w:val="1"/>
        </w:rPr>
        <w:t>5.7.2</w:t>
      </w:r>
      <w:r>
        <w:rPr>
          <w:spacing w:val="29"/>
        </w:rPr>
        <w:t xml:space="preserve"> </w:t>
      </w:r>
      <w:r>
        <w:rPr>
          <w:spacing w:val="1"/>
        </w:rPr>
        <w:t>系统故障隔离率</w:t>
      </w:r>
    </w:p>
    <w:p w14:paraId="1F7811CF">
      <w:pPr>
        <w:pStyle w:val="2"/>
        <w:spacing w:before="88" w:line="219" w:lineRule="auto"/>
        <w:ind w:left="560"/>
      </w:pPr>
      <w:r>
        <w:rPr>
          <w:rFonts w:ascii="Times New Roman" w:hAnsi="Times New Roman" w:eastAsia="Times New Roman" w:cs="Times New Roman"/>
          <w:spacing w:val="3"/>
        </w:rPr>
        <w:t xml:space="preserve">5.7.3    </w:t>
      </w:r>
      <w:r>
        <w:rPr>
          <w:spacing w:val="3"/>
        </w:rPr>
        <w:t>系统故障潜伏时间</w:t>
      </w:r>
    </w:p>
    <w:p w14:paraId="4C192636">
      <w:pPr>
        <w:pStyle w:val="2"/>
        <w:spacing w:before="72" w:line="219" w:lineRule="auto"/>
        <w:ind w:left="560"/>
      </w:pPr>
      <w:r>
        <w:rPr>
          <w:rFonts w:ascii="Times New Roman" w:hAnsi="Times New Roman" w:eastAsia="Times New Roman" w:cs="Times New Roman"/>
          <w:spacing w:val="2"/>
        </w:rPr>
        <w:t>5.7.4</w:t>
      </w:r>
      <w:r>
        <w:rPr>
          <w:rFonts w:ascii="Times New Roman" w:hAnsi="Times New Roman" w:eastAsia="Times New Roman" w:cs="Times New Roman"/>
          <w:spacing w:val="9"/>
        </w:rPr>
        <w:t xml:space="preserve">    </w:t>
      </w:r>
      <w:r>
        <w:rPr>
          <w:spacing w:val="2"/>
        </w:rPr>
        <w:t>系统故障隔离时间</w:t>
      </w:r>
    </w:p>
    <w:p w14:paraId="01648DC2">
      <w:pPr>
        <w:spacing w:before="93" w:line="221" w:lineRule="auto"/>
        <w:rPr>
          <w:rFonts w:ascii="黑体" w:hAnsi="黑体" w:eastAsia="黑体" w:cs="黑体"/>
          <w:sz w:val="27"/>
          <w:szCs w:val="27"/>
        </w:rPr>
      </w:pPr>
      <w:r>
        <w:rPr>
          <w:rFonts w:ascii="黑体" w:hAnsi="黑体" w:eastAsia="黑体" w:cs="黑体"/>
          <w:spacing w:val="-5"/>
          <w:sz w:val="27"/>
          <w:szCs w:val="27"/>
        </w:rPr>
        <w:t>6</w:t>
      </w:r>
      <w:r>
        <w:rPr>
          <w:rFonts w:ascii="黑体" w:hAnsi="黑体" w:eastAsia="黑体" w:cs="黑体"/>
          <w:spacing w:val="15"/>
          <w:sz w:val="27"/>
          <w:szCs w:val="27"/>
        </w:rPr>
        <w:t xml:space="preserve">  </w:t>
      </w:r>
      <w:r>
        <w:rPr>
          <w:rFonts w:ascii="黑体" w:hAnsi="黑体" w:eastAsia="黑体" w:cs="黑体"/>
          <w:b/>
          <w:bCs/>
          <w:spacing w:val="-5"/>
          <w:sz w:val="27"/>
          <w:szCs w:val="27"/>
        </w:rPr>
        <w:t>测试性试验情况</w:t>
      </w:r>
    </w:p>
    <w:p w14:paraId="5C718201">
      <w:pPr>
        <w:pStyle w:val="2"/>
        <w:spacing w:before="91" w:line="218" w:lineRule="auto"/>
        <w:ind w:left="560"/>
      </w:pPr>
      <w:r>
        <w:rPr>
          <w:spacing w:val="-8"/>
        </w:rPr>
        <w:t>说明测试性验证计划的执行情况，总结测试性的核查、验证、评价工作。</w:t>
      </w:r>
    </w:p>
    <w:p w14:paraId="5E398842">
      <w:pPr>
        <w:spacing w:before="84" w:line="226" w:lineRule="auto"/>
        <w:rPr>
          <w:rFonts w:ascii="黑体" w:hAnsi="黑体" w:eastAsia="黑体" w:cs="黑体"/>
          <w:sz w:val="27"/>
          <w:szCs w:val="27"/>
        </w:rPr>
      </w:pPr>
      <w:r>
        <w:rPr>
          <w:rFonts w:ascii="黑体" w:hAnsi="黑体" w:eastAsia="黑体" w:cs="黑体"/>
          <w:spacing w:val="-8"/>
          <w:sz w:val="27"/>
          <w:szCs w:val="27"/>
        </w:rPr>
        <w:t>7</w:t>
      </w:r>
      <w:r>
        <w:rPr>
          <w:rFonts w:ascii="黑体" w:hAnsi="黑体" w:eastAsia="黑体" w:cs="黑体"/>
          <w:spacing w:val="15"/>
          <w:sz w:val="27"/>
          <w:szCs w:val="27"/>
        </w:rPr>
        <w:t xml:space="preserve">  </w:t>
      </w:r>
      <w:r>
        <w:rPr>
          <w:rFonts w:ascii="黑体" w:hAnsi="黑体" w:eastAsia="黑体" w:cs="黑体"/>
          <w:b/>
          <w:bCs/>
          <w:spacing w:val="-8"/>
          <w:sz w:val="27"/>
          <w:szCs w:val="27"/>
        </w:rPr>
        <w:t>结论</w:t>
      </w:r>
    </w:p>
    <w:p w14:paraId="3B18B540">
      <w:pPr>
        <w:pStyle w:val="2"/>
        <w:spacing w:before="106" w:line="307" w:lineRule="auto"/>
        <w:ind w:right="104" w:firstLine="560"/>
        <w:rPr>
          <w:sz w:val="25"/>
          <w:szCs w:val="25"/>
        </w:rPr>
      </w:pPr>
      <w:r>
        <w:rPr>
          <w:spacing w:val="17"/>
          <w:sz w:val="25"/>
          <w:szCs w:val="25"/>
        </w:rPr>
        <w:t>根据以上工作得到的相关信息，对产品测试性作</w:t>
      </w:r>
      <w:r>
        <w:rPr>
          <w:spacing w:val="16"/>
          <w:sz w:val="25"/>
          <w:szCs w:val="25"/>
        </w:rPr>
        <w:t>出综合评价，得出是否满足</w:t>
      </w:r>
      <w:r>
        <w:rPr>
          <w:sz w:val="25"/>
          <w:szCs w:val="25"/>
        </w:rPr>
        <w:t xml:space="preserve"> </w:t>
      </w:r>
      <w:r>
        <w:rPr>
          <w:spacing w:val="22"/>
          <w:sz w:val="25"/>
          <w:szCs w:val="25"/>
        </w:rPr>
        <w:t>规定的测试性要求的结论。</w:t>
      </w:r>
    </w:p>
    <w:p w14:paraId="7166939E">
      <w:pPr>
        <w:pStyle w:val="2"/>
        <w:spacing w:before="320" w:line="219" w:lineRule="auto"/>
        <w:ind w:left="1760"/>
        <w:outlineLvl w:val="1"/>
        <w:rPr>
          <w:sz w:val="36"/>
          <w:szCs w:val="36"/>
        </w:rPr>
      </w:pPr>
      <w:r>
        <w:rPr>
          <w:rFonts w:ascii="Times New Roman" w:hAnsi="Times New Roman" w:eastAsia="Times New Roman" w:cs="Times New Roman"/>
          <w:b/>
          <w:bCs/>
          <w:spacing w:val="3"/>
          <w:sz w:val="36"/>
          <w:szCs w:val="36"/>
        </w:rPr>
        <w:t>9.22</w:t>
      </w:r>
      <w:r>
        <w:rPr>
          <w:rFonts w:ascii="Times New Roman" w:hAnsi="Times New Roman" w:eastAsia="Times New Roman" w:cs="Times New Roman"/>
          <w:b/>
          <w:bCs/>
          <w:spacing w:val="2"/>
          <w:sz w:val="36"/>
          <w:szCs w:val="36"/>
        </w:rPr>
        <w:t xml:space="preserve">     </w:t>
      </w:r>
      <w:r>
        <w:rPr>
          <w:b/>
          <w:bCs/>
          <w:spacing w:val="3"/>
          <w:sz w:val="36"/>
          <w:szCs w:val="36"/>
        </w:rPr>
        <w:t>使用期间测试性信息收集计划</w:t>
      </w:r>
    </w:p>
    <w:p w14:paraId="4CA77511">
      <w:pPr>
        <w:spacing w:line="334" w:lineRule="auto"/>
        <w:rPr>
          <w:rFonts w:ascii="Arial"/>
          <w:sz w:val="21"/>
        </w:rPr>
      </w:pPr>
    </w:p>
    <w:p w14:paraId="128253B3">
      <w:pPr>
        <w:pStyle w:val="2"/>
        <w:spacing w:before="92" w:line="223"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5FCFB11B">
      <w:pPr>
        <w:spacing w:before="94"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28"/>
          <w:sz w:val="25"/>
          <w:szCs w:val="25"/>
        </w:rPr>
        <w:t xml:space="preserve"> </w:t>
      </w:r>
      <w:r>
        <w:rPr>
          <w:rFonts w:ascii="黑体" w:hAnsi="黑体" w:eastAsia="黑体" w:cs="黑体"/>
          <w:b/>
          <w:bCs/>
          <w:spacing w:val="-14"/>
          <w:sz w:val="25"/>
          <w:szCs w:val="25"/>
        </w:rPr>
        <w:t>围</w:t>
      </w:r>
    </w:p>
    <w:p w14:paraId="422896F7">
      <w:pPr>
        <w:spacing w:before="106" w:line="222" w:lineRule="auto"/>
        <w:rPr>
          <w:rFonts w:ascii="黑体" w:hAnsi="黑体" w:eastAsia="黑体" w:cs="黑体"/>
          <w:sz w:val="25"/>
          <w:szCs w:val="25"/>
        </w:rPr>
      </w:pPr>
      <w:r>
        <w:rPr>
          <w:rFonts w:ascii="黑体" w:hAnsi="黑体" w:eastAsia="黑体" w:cs="黑体"/>
          <w:spacing w:val="13"/>
          <w:sz w:val="25"/>
          <w:szCs w:val="25"/>
        </w:rPr>
        <w:t>2</w:t>
      </w:r>
      <w:r>
        <w:rPr>
          <w:rFonts w:ascii="黑体" w:hAnsi="黑体" w:eastAsia="黑体" w:cs="黑体"/>
          <w:spacing w:val="28"/>
          <w:sz w:val="25"/>
          <w:szCs w:val="25"/>
        </w:rPr>
        <w:t xml:space="preserve">  </w:t>
      </w:r>
      <w:r>
        <w:rPr>
          <w:rFonts w:ascii="黑体" w:hAnsi="黑体" w:eastAsia="黑体" w:cs="黑体"/>
          <w:b/>
          <w:bCs/>
          <w:spacing w:val="13"/>
          <w:sz w:val="25"/>
          <w:szCs w:val="25"/>
        </w:rPr>
        <w:t>引用文件</w:t>
      </w:r>
    </w:p>
    <w:p w14:paraId="147F4869">
      <w:pPr>
        <w:spacing w:before="109" w:line="221" w:lineRule="auto"/>
        <w:rPr>
          <w:rFonts w:ascii="黑体" w:hAnsi="黑体" w:eastAsia="黑体" w:cs="黑体"/>
          <w:sz w:val="25"/>
          <w:szCs w:val="25"/>
        </w:rPr>
      </w:pPr>
      <w:r>
        <w:rPr>
          <w:rFonts w:ascii="黑体" w:hAnsi="黑体" w:eastAsia="黑体" w:cs="黑体"/>
          <w:spacing w:val="18"/>
          <w:sz w:val="25"/>
          <w:szCs w:val="25"/>
        </w:rPr>
        <w:t>3</w:t>
      </w:r>
      <w:r>
        <w:rPr>
          <w:rFonts w:ascii="黑体" w:hAnsi="黑体" w:eastAsia="黑体" w:cs="黑体"/>
          <w:spacing w:val="34"/>
          <w:sz w:val="25"/>
          <w:szCs w:val="25"/>
        </w:rPr>
        <w:t xml:space="preserve">  </w:t>
      </w:r>
      <w:r>
        <w:rPr>
          <w:rFonts w:ascii="黑体" w:hAnsi="黑体" w:eastAsia="黑体" w:cs="黑体"/>
          <w:b/>
          <w:bCs/>
          <w:spacing w:val="18"/>
          <w:sz w:val="25"/>
          <w:szCs w:val="25"/>
        </w:rPr>
        <w:t>信息收集和分析机构设置及职责</w:t>
      </w:r>
    </w:p>
    <w:p w14:paraId="692412ED">
      <w:pPr>
        <w:pStyle w:val="2"/>
        <w:spacing w:before="106" w:line="268" w:lineRule="auto"/>
        <w:ind w:right="92" w:firstLine="560"/>
      </w:pPr>
      <w:r>
        <w:rPr>
          <w:spacing w:val="5"/>
        </w:rPr>
        <w:t>建立严格的信息管理和责任制度。明确规定信息收集与核实、信息分析与</w:t>
      </w:r>
      <w:r>
        <w:rPr>
          <w:spacing w:val="11"/>
        </w:rPr>
        <w:t xml:space="preserve"> </w:t>
      </w:r>
      <w:r>
        <w:rPr>
          <w:spacing w:val="-7"/>
        </w:rPr>
        <w:t>处理、信息传递与反馈的部门、单位及其人员的职责。</w:t>
      </w:r>
    </w:p>
    <w:p w14:paraId="58213FF8">
      <w:pPr>
        <w:spacing w:before="21" w:line="221"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13"/>
          <w:sz w:val="27"/>
          <w:szCs w:val="27"/>
        </w:rPr>
        <w:t xml:space="preserve">  </w:t>
      </w:r>
      <w:r>
        <w:rPr>
          <w:rFonts w:ascii="黑体" w:hAnsi="黑体" w:eastAsia="黑体" w:cs="黑体"/>
          <w:b/>
          <w:bCs/>
          <w:spacing w:val="-5"/>
          <w:sz w:val="27"/>
          <w:szCs w:val="27"/>
        </w:rPr>
        <w:t>管理与监督要求</w:t>
      </w:r>
    </w:p>
    <w:p w14:paraId="51CA1AD8">
      <w:pPr>
        <w:pStyle w:val="2"/>
        <w:spacing w:before="82" w:line="282" w:lineRule="auto"/>
        <w:ind w:right="66" w:firstLine="560"/>
      </w:pPr>
      <w:r>
        <w:rPr>
          <w:spacing w:val="6"/>
        </w:rPr>
        <w:t>组成专门小组的人员设置及其职责，包括相关保密规定。定期对测试性信</w:t>
      </w:r>
      <w:r>
        <w:rPr>
          <w:spacing w:val="5"/>
        </w:rPr>
        <w:t xml:space="preserve"> </w:t>
      </w:r>
      <w:r>
        <w:rPr>
          <w:spacing w:val="-13"/>
        </w:rPr>
        <w:t>息的收集、分析、存储、传递等工作进行评审的安排。</w:t>
      </w:r>
    </w:p>
    <w:p w14:paraId="42266183">
      <w:pPr>
        <w:spacing w:before="1" w:line="220" w:lineRule="auto"/>
        <w:outlineLvl w:val="3"/>
        <w:rPr>
          <w:rFonts w:ascii="黑体" w:hAnsi="黑体" w:eastAsia="黑体" w:cs="黑体"/>
          <w:sz w:val="27"/>
          <w:szCs w:val="27"/>
        </w:rPr>
      </w:pPr>
      <w:r>
        <w:rPr>
          <w:rFonts w:ascii="Arial" w:hAnsi="Arial" w:eastAsia="Arial" w:cs="Arial"/>
          <w:b/>
          <w:bCs/>
          <w:spacing w:val="-9"/>
          <w:sz w:val="27"/>
          <w:szCs w:val="27"/>
        </w:rPr>
        <w:t>5</w:t>
      </w:r>
      <w:r>
        <w:rPr>
          <w:rFonts w:ascii="Arial" w:hAnsi="Arial" w:eastAsia="Arial" w:cs="Arial"/>
          <w:b/>
          <w:bCs/>
          <w:spacing w:val="20"/>
          <w:sz w:val="27"/>
          <w:szCs w:val="27"/>
        </w:rPr>
        <w:t xml:space="preserve">   </w:t>
      </w:r>
      <w:r>
        <w:rPr>
          <w:rFonts w:ascii="黑体" w:hAnsi="黑体" w:eastAsia="黑体" w:cs="黑体"/>
          <w:b/>
          <w:bCs/>
          <w:spacing w:val="-9"/>
          <w:sz w:val="27"/>
          <w:szCs w:val="27"/>
        </w:rPr>
        <w:t>信息收集的范围、方法和程序</w:t>
      </w:r>
    </w:p>
    <w:p w14:paraId="5DF0C4EF">
      <w:pPr>
        <w:pStyle w:val="2"/>
        <w:spacing w:before="80" w:line="281" w:lineRule="auto"/>
        <w:ind w:right="102" w:firstLine="560"/>
        <w:jc w:val="both"/>
      </w:pPr>
      <w:r>
        <w:rPr>
          <w:spacing w:val="5"/>
        </w:rPr>
        <w:t>进行使用期间测试性信息需求分析，对测试性评价及改进工作的信息需求</w:t>
      </w:r>
      <w:r>
        <w:rPr>
          <w:spacing w:val="1"/>
        </w:rPr>
        <w:t xml:space="preserve"> </w:t>
      </w:r>
      <w:r>
        <w:rPr>
          <w:spacing w:val="14"/>
        </w:rPr>
        <w:t>进行分析，确定测试性信息收集的范围、内容和</w:t>
      </w:r>
      <w:r>
        <w:rPr>
          <w:spacing w:val="13"/>
        </w:rPr>
        <w:t>程序等。测试性信息一般应</w:t>
      </w:r>
      <w:r>
        <w:t xml:space="preserve"> </w:t>
      </w:r>
      <w:r>
        <w:rPr>
          <w:spacing w:val="-6"/>
        </w:rPr>
        <w:t>包括：</w:t>
      </w:r>
    </w:p>
    <w:p w14:paraId="6925215E">
      <w:pPr>
        <w:pStyle w:val="2"/>
        <w:spacing w:before="3" w:line="264" w:lineRule="auto"/>
        <w:ind w:right="69" w:firstLine="560"/>
      </w:pPr>
      <w:r>
        <w:rPr>
          <w:rFonts w:ascii="Times New Roman" w:hAnsi="Times New Roman" w:eastAsia="Times New Roman" w:cs="Times New Roman"/>
        </w:rPr>
        <w:t xml:space="preserve">a)  </w:t>
      </w:r>
      <w:r>
        <w:t>对每个证实的故障信息，包括：1)测</w:t>
      </w:r>
      <w:r>
        <w:rPr>
          <w:spacing w:val="-1"/>
        </w:rPr>
        <w:t>试的环境条件(使用中、基层级或中</w:t>
      </w:r>
      <w:r>
        <w:t xml:space="preserve"> </w:t>
      </w:r>
      <w:r>
        <w:rPr>
          <w:spacing w:val="13"/>
        </w:rPr>
        <w:t>继级);2)测试方法(</w:t>
      </w:r>
      <w:r>
        <w:rPr>
          <w:rFonts w:ascii="Times New Roman" w:hAnsi="Times New Roman" w:eastAsia="Times New Roman" w:cs="Times New Roman"/>
        </w:rPr>
        <w:t>BIT</w:t>
      </w:r>
      <w:r>
        <w:rPr>
          <w:rFonts w:ascii="Times New Roman" w:hAnsi="Times New Roman" w:eastAsia="Times New Roman" w:cs="Times New Roman"/>
          <w:spacing w:val="-33"/>
        </w:rPr>
        <w:t xml:space="preserve"> </w:t>
      </w:r>
      <w:r>
        <w:rPr>
          <w:spacing w:val="13"/>
        </w:rPr>
        <w:t>、</w:t>
      </w:r>
      <w:r>
        <w:rPr>
          <w:rFonts w:ascii="Times New Roman" w:hAnsi="Times New Roman" w:eastAsia="Times New Roman" w:cs="Times New Roman"/>
        </w:rPr>
        <w:t>ATE</w:t>
      </w:r>
      <w:r>
        <w:rPr>
          <w:rFonts w:ascii="Times New Roman" w:hAnsi="Times New Roman" w:eastAsia="Times New Roman" w:cs="Times New Roman"/>
          <w:spacing w:val="38"/>
        </w:rPr>
        <w:t xml:space="preserve"> </w:t>
      </w:r>
      <w:r>
        <w:rPr>
          <w:spacing w:val="13"/>
        </w:rPr>
        <w:t>或人工);3)测试程度(隔离的产品层次和模糊</w:t>
      </w:r>
      <w:r>
        <w:t xml:space="preserve"> </w:t>
      </w:r>
      <w:r>
        <w:rPr>
          <w:spacing w:val="-2"/>
        </w:rPr>
        <w:t>度);4)信息的显示与存储；5)</w:t>
      </w:r>
      <w:r>
        <w:rPr>
          <w:rFonts w:ascii="Times New Roman" w:hAnsi="Times New Roman" w:eastAsia="Times New Roman" w:cs="Times New Roman"/>
          <w:spacing w:val="-2"/>
        </w:rPr>
        <w:t xml:space="preserve">BIT  </w:t>
      </w:r>
      <w:r>
        <w:rPr>
          <w:spacing w:val="-2"/>
        </w:rPr>
        <w:t>与</w:t>
      </w:r>
      <w:r>
        <w:rPr>
          <w:spacing w:val="-69"/>
        </w:rPr>
        <w:t xml:space="preserve"> </w:t>
      </w:r>
      <w:r>
        <w:rPr>
          <w:rFonts w:ascii="Times New Roman" w:hAnsi="Times New Roman" w:eastAsia="Times New Roman" w:cs="Times New Roman"/>
          <w:spacing w:val="-2"/>
        </w:rPr>
        <w:t xml:space="preserve">ATE  </w:t>
      </w:r>
      <w:r>
        <w:rPr>
          <w:spacing w:val="-2"/>
        </w:rPr>
        <w:t>检测结果的一</w:t>
      </w:r>
      <w:r>
        <w:rPr>
          <w:spacing w:val="-3"/>
        </w:rPr>
        <w:t>致性；</w:t>
      </w:r>
    </w:p>
    <w:p w14:paraId="702F6F23">
      <w:pPr>
        <w:pStyle w:val="2"/>
        <w:spacing w:before="50" w:line="253" w:lineRule="auto"/>
        <w:ind w:firstLine="560"/>
      </w:pPr>
      <w:r>
        <w:rPr>
          <w:rFonts w:ascii="Times New Roman" w:hAnsi="Times New Roman" w:eastAsia="Times New Roman" w:cs="Times New Roman"/>
          <w:spacing w:val="6"/>
        </w:rPr>
        <w:t>b)</w:t>
      </w:r>
      <w:r>
        <w:rPr>
          <w:rFonts w:ascii="Times New Roman" w:hAnsi="Times New Roman" w:eastAsia="Times New Roman" w:cs="Times New Roman"/>
          <w:spacing w:val="72"/>
        </w:rPr>
        <w:t xml:space="preserve"> </w:t>
      </w:r>
      <w:r>
        <w:rPr>
          <w:spacing w:val="6"/>
        </w:rPr>
        <w:t>对每个故障报警或指示而未证实的故障信息，包括：1)报警的性质(虚</w:t>
      </w:r>
      <w:r>
        <w:t xml:space="preserve"> </w:t>
      </w:r>
      <w:r>
        <w:rPr>
          <w:spacing w:val="-6"/>
        </w:rPr>
        <w:t>警、不能复现);2)产生报警的频度；3)引起报警</w:t>
      </w:r>
      <w:r>
        <w:rPr>
          <w:spacing w:val="-7"/>
        </w:rPr>
        <w:t>的原因；4)忽视报警的潜在后果；</w:t>
      </w:r>
    </w:p>
    <w:p w14:paraId="047FD6D8">
      <w:pPr>
        <w:spacing w:line="253" w:lineRule="auto"/>
        <w:sectPr>
          <w:footerReference r:id="rId483" w:type="default"/>
          <w:pgSz w:w="11910" w:h="17130"/>
          <w:pgMar w:top="1456" w:right="1195" w:bottom="1743" w:left="1249" w:header="0" w:footer="1375" w:gutter="0"/>
          <w:cols w:space="720" w:num="1"/>
        </w:sectPr>
      </w:pPr>
    </w:p>
    <w:p w14:paraId="6A0CB1D1">
      <w:pPr>
        <w:pStyle w:val="2"/>
        <w:spacing w:before="93" w:line="219" w:lineRule="auto"/>
      </w:pPr>
      <w:r>
        <w:rPr>
          <w:spacing w:val="-2"/>
        </w:rPr>
        <w:t>5)与虚警相关的维修费用和使用费用(任务失败、</w:t>
      </w:r>
      <w:r>
        <w:rPr>
          <w:spacing w:val="-3"/>
        </w:rPr>
        <w:t>降级工作、系统停机);</w:t>
      </w:r>
    </w:p>
    <w:p w14:paraId="6A741345">
      <w:pPr>
        <w:pStyle w:val="2"/>
        <w:spacing w:before="80" w:line="212" w:lineRule="auto"/>
        <w:ind w:left="560"/>
      </w:pPr>
      <w:r>
        <w:rPr>
          <w:rFonts w:ascii="Times New Roman" w:hAnsi="Times New Roman" w:eastAsia="Times New Roman" w:cs="Times New Roman"/>
          <w:spacing w:val="2"/>
        </w:rPr>
        <w:t>c)</w:t>
      </w:r>
      <w:r>
        <w:rPr>
          <w:rFonts w:ascii="Times New Roman" w:hAnsi="Times New Roman" w:eastAsia="Times New Roman" w:cs="Times New Roman"/>
          <w:spacing w:val="68"/>
        </w:rPr>
        <w:t xml:space="preserve"> </w:t>
      </w:r>
      <w:r>
        <w:rPr>
          <w:spacing w:val="2"/>
        </w:rPr>
        <w:t>使用中发现的测试性缺陷；</w:t>
      </w:r>
    </w:p>
    <w:p w14:paraId="7ABE4C4B">
      <w:pPr>
        <w:pStyle w:val="2"/>
        <w:spacing w:before="90" w:line="212" w:lineRule="auto"/>
        <w:ind w:left="560"/>
      </w:pPr>
      <w:r>
        <w:rPr>
          <w:rFonts w:ascii="Times New Roman" w:hAnsi="Times New Roman" w:eastAsia="Times New Roman" w:cs="Times New Roman"/>
          <w:spacing w:val="2"/>
        </w:rPr>
        <w:t xml:space="preserve">d)  </w:t>
      </w:r>
      <w:r>
        <w:rPr>
          <w:spacing w:val="2"/>
        </w:rPr>
        <w:t>系统的累计运行时间；</w:t>
      </w:r>
    </w:p>
    <w:p w14:paraId="2801E2A0">
      <w:pPr>
        <w:pStyle w:val="2"/>
        <w:spacing w:before="89" w:line="212" w:lineRule="auto"/>
        <w:ind w:left="560"/>
      </w:pPr>
      <w:r>
        <w:rPr>
          <w:rFonts w:ascii="Times New Roman" w:hAnsi="Times New Roman" w:eastAsia="Times New Roman" w:cs="Times New Roman"/>
          <w:spacing w:val="-7"/>
        </w:rPr>
        <w:t>e)</w:t>
      </w:r>
      <w:r>
        <w:rPr>
          <w:rFonts w:ascii="Times New Roman" w:hAnsi="Times New Roman" w:eastAsia="Times New Roman" w:cs="Times New Roman"/>
          <w:spacing w:val="65"/>
        </w:rPr>
        <w:t xml:space="preserve"> </w:t>
      </w:r>
      <w:r>
        <w:rPr>
          <w:spacing w:val="-7"/>
        </w:rPr>
        <w:t>测试用时间、测试费用、测试日期与测试单位。</w:t>
      </w:r>
    </w:p>
    <w:p w14:paraId="60308D13">
      <w:pPr>
        <w:spacing w:before="147" w:line="221" w:lineRule="auto"/>
        <w:rPr>
          <w:rFonts w:ascii="黑体" w:hAnsi="黑体" w:eastAsia="黑体" w:cs="黑体"/>
          <w:sz w:val="24"/>
          <w:szCs w:val="24"/>
        </w:rPr>
      </w:pPr>
      <w:r>
        <w:rPr>
          <w:rFonts w:ascii="黑体" w:hAnsi="黑体" w:eastAsia="黑体" w:cs="黑体"/>
          <w:spacing w:val="17"/>
          <w:sz w:val="24"/>
          <w:szCs w:val="24"/>
        </w:rPr>
        <w:t>6</w:t>
      </w:r>
      <w:r>
        <w:rPr>
          <w:rFonts w:ascii="黑体" w:hAnsi="黑体" w:eastAsia="黑体" w:cs="黑体"/>
          <w:spacing w:val="36"/>
          <w:sz w:val="24"/>
          <w:szCs w:val="24"/>
        </w:rPr>
        <w:t xml:space="preserve">  </w:t>
      </w:r>
      <w:r>
        <w:rPr>
          <w:rFonts w:ascii="黑体" w:hAnsi="黑体" w:eastAsia="黑体" w:cs="黑体"/>
          <w:spacing w:val="17"/>
          <w:sz w:val="24"/>
          <w:szCs w:val="24"/>
        </w:rPr>
        <w:t>信息分析、处理、传递的要求和方法</w:t>
      </w:r>
    </w:p>
    <w:p w14:paraId="53E3BA38">
      <w:pPr>
        <w:pStyle w:val="2"/>
        <w:spacing w:before="105" w:line="280" w:lineRule="auto"/>
        <w:ind w:right="117" w:firstLine="560"/>
      </w:pPr>
      <w:r>
        <w:rPr>
          <w:spacing w:val="-3"/>
        </w:rPr>
        <w:t>制定信息分析、处理、传递的程序。对使用和维修保障单位提出要求并规定</w:t>
      </w:r>
      <w:r>
        <w:rPr>
          <w:spacing w:val="5"/>
        </w:rPr>
        <w:t xml:space="preserve"> </w:t>
      </w:r>
      <w:r>
        <w:rPr>
          <w:spacing w:val="-8"/>
        </w:rPr>
        <w:t>程序，完整、准确地收集使用期间的测试性信</w:t>
      </w:r>
      <w:r>
        <w:rPr>
          <w:spacing w:val="-9"/>
        </w:rPr>
        <w:t>息。</w:t>
      </w:r>
    </w:p>
    <w:p w14:paraId="6F62CA54">
      <w:pPr>
        <w:spacing w:before="1" w:line="220" w:lineRule="auto"/>
        <w:rPr>
          <w:rFonts w:ascii="黑体" w:hAnsi="黑体" w:eastAsia="黑体" w:cs="黑体"/>
          <w:sz w:val="27"/>
          <w:szCs w:val="27"/>
        </w:rPr>
      </w:pPr>
      <w:r>
        <w:rPr>
          <w:rFonts w:ascii="Arial" w:hAnsi="Arial" w:eastAsia="Arial" w:cs="Arial"/>
          <w:spacing w:val="5"/>
          <w:sz w:val="27"/>
          <w:szCs w:val="27"/>
        </w:rPr>
        <w:t>7</w:t>
      </w:r>
      <w:r>
        <w:rPr>
          <w:rFonts w:ascii="Arial" w:hAnsi="Arial" w:eastAsia="Arial" w:cs="Arial"/>
          <w:spacing w:val="16"/>
          <w:sz w:val="27"/>
          <w:szCs w:val="27"/>
        </w:rPr>
        <w:t xml:space="preserve">   </w:t>
      </w:r>
      <w:r>
        <w:rPr>
          <w:rFonts w:ascii="黑体" w:hAnsi="黑体" w:eastAsia="黑体" w:cs="黑体"/>
          <w:spacing w:val="5"/>
          <w:sz w:val="27"/>
          <w:szCs w:val="27"/>
        </w:rPr>
        <w:t>信息分类方法与准则</w:t>
      </w:r>
    </w:p>
    <w:p w14:paraId="2EC6B401">
      <w:pPr>
        <w:pStyle w:val="2"/>
        <w:spacing w:before="79" w:line="219" w:lineRule="auto"/>
        <w:ind w:left="560"/>
      </w:pPr>
      <w:r>
        <w:rPr>
          <w:spacing w:val="2"/>
        </w:rPr>
        <w:t>明确测试性信息分类方法与准则。</w:t>
      </w:r>
    </w:p>
    <w:p w14:paraId="1A6E3DEC">
      <w:pPr>
        <w:spacing w:before="90" w:line="222" w:lineRule="auto"/>
        <w:rPr>
          <w:rFonts w:ascii="黑体" w:hAnsi="黑体" w:eastAsia="黑体" w:cs="黑体"/>
          <w:sz w:val="27"/>
          <w:szCs w:val="27"/>
        </w:rPr>
      </w:pPr>
      <w:r>
        <w:rPr>
          <w:rFonts w:ascii="黑体" w:hAnsi="黑体" w:eastAsia="黑体" w:cs="黑体"/>
          <w:spacing w:val="-5"/>
          <w:sz w:val="27"/>
          <w:szCs w:val="27"/>
        </w:rPr>
        <w:t>8  信息审核、汇总的安排</w:t>
      </w:r>
    </w:p>
    <w:p w14:paraId="0F76574F">
      <w:pPr>
        <w:pStyle w:val="2"/>
        <w:spacing w:before="85" w:line="260" w:lineRule="auto"/>
        <w:ind w:firstLine="560"/>
      </w:pPr>
      <w:r>
        <w:rPr>
          <w:spacing w:val="-7"/>
        </w:rPr>
        <w:t>按规定的方法、方式、内容和时限，分析和存储测试性信息</w:t>
      </w:r>
      <w:r>
        <w:rPr>
          <w:spacing w:val="-8"/>
        </w:rPr>
        <w:t>，定期进行审核、</w:t>
      </w:r>
      <w:r>
        <w:t xml:space="preserve"> </w:t>
      </w:r>
      <w:r>
        <w:rPr>
          <w:spacing w:val="-4"/>
        </w:rPr>
        <w:t>汇总。</w:t>
      </w:r>
    </w:p>
    <w:p w14:paraId="32A0199D">
      <w:pPr>
        <w:spacing w:line="368" w:lineRule="exact"/>
        <w:rPr>
          <w:rFonts w:ascii="黑体" w:hAnsi="黑体" w:eastAsia="黑体" w:cs="黑体"/>
          <w:sz w:val="27"/>
          <w:szCs w:val="27"/>
        </w:rPr>
      </w:pPr>
      <w:r>
        <w:rPr>
          <w:rFonts w:ascii="Arial" w:hAnsi="Arial" w:eastAsia="Arial" w:cs="Arial"/>
          <w:spacing w:val="4"/>
          <w:position w:val="1"/>
          <w:sz w:val="27"/>
          <w:szCs w:val="27"/>
        </w:rPr>
        <w:t>9</w:t>
      </w:r>
      <w:r>
        <w:rPr>
          <w:rFonts w:ascii="Arial" w:hAnsi="Arial" w:eastAsia="Arial" w:cs="Arial"/>
          <w:spacing w:val="17"/>
          <w:position w:val="1"/>
          <w:sz w:val="27"/>
          <w:szCs w:val="27"/>
        </w:rPr>
        <w:t xml:space="preserve">   </w:t>
      </w:r>
      <w:r>
        <w:rPr>
          <w:rFonts w:ascii="黑体" w:hAnsi="黑体" w:eastAsia="黑体" w:cs="黑体"/>
          <w:spacing w:val="4"/>
          <w:position w:val="1"/>
          <w:sz w:val="27"/>
          <w:szCs w:val="27"/>
        </w:rPr>
        <w:t>信息收集工作与其他工作的协调</w:t>
      </w:r>
    </w:p>
    <w:p w14:paraId="1A07F8A1">
      <w:pPr>
        <w:pStyle w:val="2"/>
        <w:spacing w:before="92" w:line="219" w:lineRule="auto"/>
        <w:ind w:left="560"/>
      </w:pPr>
      <w:r>
        <w:t>使用期间测试性信息收集与可靠性、保障性信息收集工作相协调的说明。</w:t>
      </w:r>
    </w:p>
    <w:p w14:paraId="78BC6DAA">
      <w:pPr>
        <w:spacing w:line="339" w:lineRule="auto"/>
        <w:rPr>
          <w:rFonts w:ascii="Arial"/>
          <w:sz w:val="21"/>
        </w:rPr>
      </w:pPr>
    </w:p>
    <w:p w14:paraId="1DFD3738">
      <w:pPr>
        <w:pStyle w:val="2"/>
        <w:spacing w:before="117" w:line="219" w:lineRule="auto"/>
        <w:ind w:left="1599"/>
        <w:outlineLvl w:val="1"/>
        <w:rPr>
          <w:sz w:val="36"/>
          <w:szCs w:val="36"/>
        </w:rPr>
      </w:pPr>
      <w:r>
        <w:rPr>
          <w:rFonts w:ascii="Times New Roman" w:hAnsi="Times New Roman" w:eastAsia="Times New Roman" w:cs="Times New Roman"/>
          <w:b/>
          <w:bCs/>
          <w:spacing w:val="2"/>
          <w:sz w:val="36"/>
          <w:szCs w:val="36"/>
        </w:rPr>
        <w:t xml:space="preserve">9.23     </w:t>
      </w:r>
      <w:r>
        <w:rPr>
          <w:b/>
          <w:bCs/>
          <w:spacing w:val="2"/>
          <w:sz w:val="36"/>
          <w:szCs w:val="36"/>
        </w:rPr>
        <w:t>使用期间测试性信息分类和编码</w:t>
      </w:r>
    </w:p>
    <w:p w14:paraId="164391C5">
      <w:pPr>
        <w:spacing w:line="331" w:lineRule="auto"/>
        <w:rPr>
          <w:rFonts w:ascii="Arial"/>
          <w:sz w:val="21"/>
        </w:rPr>
      </w:pPr>
    </w:p>
    <w:p w14:paraId="0C9900B8">
      <w:pPr>
        <w:pStyle w:val="2"/>
        <w:spacing w:before="89" w:line="226" w:lineRule="auto"/>
        <w:ind w:left="560"/>
        <w:rPr>
          <w:rFonts w:ascii="楷体" w:hAnsi="楷体" w:eastAsia="楷体" w:cs="楷体"/>
        </w:rPr>
      </w:pPr>
      <w:r>
        <w:rPr>
          <w:rFonts w:ascii="楷体" w:hAnsi="楷体" w:eastAsia="楷体" w:cs="楷体"/>
          <w:spacing w:val="-2"/>
        </w:rPr>
        <w:t>按照</w:t>
      </w:r>
      <w:r>
        <w:rPr>
          <w:rFonts w:ascii="Times New Roman" w:hAnsi="Times New Roman" w:eastAsia="Times New Roman" w:cs="Times New Roman"/>
          <w:spacing w:val="-2"/>
        </w:rPr>
        <w:t>GJB</w:t>
      </w:r>
      <w:r>
        <w:rPr>
          <w:rFonts w:ascii="Times New Roman" w:hAnsi="Times New Roman" w:eastAsia="Times New Roman" w:cs="Times New Roman"/>
          <w:spacing w:val="30"/>
        </w:rPr>
        <w:t xml:space="preserve"> </w:t>
      </w:r>
      <w:r>
        <w:rPr>
          <w:rFonts w:ascii="Times New Roman" w:hAnsi="Times New Roman" w:eastAsia="Times New Roman" w:cs="Times New Roman"/>
          <w:spacing w:val="-2"/>
        </w:rPr>
        <w:t>1775—1993</w:t>
      </w:r>
      <w:r>
        <w:rPr>
          <w:spacing w:val="-2"/>
        </w:rPr>
        <w:t>《</w:t>
      </w:r>
      <w:r>
        <w:rPr>
          <w:rFonts w:ascii="楷体" w:hAnsi="楷体" w:eastAsia="楷体" w:cs="楷体"/>
          <w:spacing w:val="-2"/>
        </w:rPr>
        <w:t>装备质量与可靠性信息分类和编码通用</w:t>
      </w:r>
      <w:r>
        <w:rPr>
          <w:rFonts w:ascii="楷体" w:hAnsi="楷体" w:eastAsia="楷体" w:cs="楷体"/>
          <w:spacing w:val="-3"/>
        </w:rPr>
        <w:t>要求》编写。</w:t>
      </w:r>
    </w:p>
    <w:p w14:paraId="0D9BB6A2">
      <w:pPr>
        <w:spacing w:before="82" w:line="223" w:lineRule="auto"/>
        <w:rPr>
          <w:rFonts w:ascii="黑体" w:hAnsi="黑体" w:eastAsia="黑体" w:cs="黑体"/>
          <w:sz w:val="27"/>
          <w:szCs w:val="27"/>
        </w:rPr>
      </w:pPr>
      <w:r>
        <w:rPr>
          <w:rFonts w:ascii="黑体" w:hAnsi="黑体" w:eastAsia="黑体" w:cs="黑体"/>
          <w:sz w:val="27"/>
          <w:szCs w:val="27"/>
        </w:rPr>
        <w:t>1</w:t>
      </w:r>
      <w:r>
        <w:rPr>
          <w:rFonts w:ascii="黑体" w:hAnsi="黑体" w:eastAsia="黑体" w:cs="黑体"/>
          <w:spacing w:val="15"/>
          <w:sz w:val="27"/>
          <w:szCs w:val="27"/>
        </w:rPr>
        <w:t xml:space="preserve">  </w:t>
      </w:r>
      <w:r>
        <w:rPr>
          <w:rFonts w:ascii="黑体" w:hAnsi="黑体" w:eastAsia="黑体" w:cs="黑体"/>
          <w:sz w:val="27"/>
          <w:szCs w:val="27"/>
        </w:rPr>
        <w:t>范围</w:t>
      </w:r>
    </w:p>
    <w:p w14:paraId="2C17E869">
      <w:pPr>
        <w:spacing w:before="82" w:line="222" w:lineRule="auto"/>
        <w:rPr>
          <w:rFonts w:ascii="黑体" w:hAnsi="黑体" w:eastAsia="黑体" w:cs="黑体"/>
          <w:sz w:val="27"/>
          <w:szCs w:val="27"/>
        </w:rPr>
      </w:pPr>
      <w:r>
        <w:rPr>
          <w:rFonts w:ascii="黑体" w:hAnsi="黑体" w:eastAsia="黑体" w:cs="黑体"/>
          <w:spacing w:val="3"/>
          <w:sz w:val="27"/>
          <w:szCs w:val="27"/>
        </w:rPr>
        <w:t>2  引用文件</w:t>
      </w:r>
    </w:p>
    <w:p w14:paraId="08580ECE">
      <w:pPr>
        <w:spacing w:before="36" w:line="368" w:lineRule="exact"/>
        <w:rPr>
          <w:rFonts w:ascii="黑体" w:hAnsi="黑体" w:eastAsia="黑体" w:cs="黑体"/>
          <w:sz w:val="27"/>
          <w:szCs w:val="27"/>
        </w:rPr>
      </w:pPr>
      <w:r>
        <w:rPr>
          <w:rFonts w:ascii="Arial" w:hAnsi="Arial" w:eastAsia="Arial" w:cs="Arial"/>
          <w:spacing w:val="2"/>
          <w:position w:val="1"/>
          <w:sz w:val="27"/>
          <w:szCs w:val="27"/>
        </w:rPr>
        <w:t>3</w:t>
      </w:r>
      <w:r>
        <w:rPr>
          <w:rFonts w:ascii="Arial" w:hAnsi="Arial" w:eastAsia="Arial" w:cs="Arial"/>
          <w:spacing w:val="16"/>
          <w:position w:val="1"/>
          <w:sz w:val="27"/>
          <w:szCs w:val="27"/>
        </w:rPr>
        <w:t xml:space="preserve">   </w:t>
      </w:r>
      <w:r>
        <w:rPr>
          <w:rFonts w:ascii="黑体" w:hAnsi="黑体" w:eastAsia="黑体" w:cs="黑体"/>
          <w:spacing w:val="2"/>
          <w:position w:val="1"/>
          <w:sz w:val="27"/>
          <w:szCs w:val="27"/>
        </w:rPr>
        <w:t>信息分类</w:t>
      </w:r>
    </w:p>
    <w:p w14:paraId="309CA357">
      <w:pPr>
        <w:pStyle w:val="2"/>
        <w:spacing w:before="91" w:line="277" w:lineRule="auto"/>
        <w:ind w:right="114" w:firstLine="560"/>
      </w:pPr>
      <w:r>
        <w:rPr>
          <w:spacing w:val="6"/>
        </w:rPr>
        <w:t>在进行使用期间测试性信息需求分析的基础</w:t>
      </w:r>
      <w:r>
        <w:rPr>
          <w:spacing w:val="5"/>
        </w:rPr>
        <w:t>上，依据该类武器装备制定的</w:t>
      </w:r>
      <w:r>
        <w:t xml:space="preserve"> </w:t>
      </w:r>
      <w:r>
        <w:rPr>
          <w:spacing w:val="-1"/>
        </w:rPr>
        <w:t>有关质量与可靠性信息分类和编码的标准，合理地进行信息分类。</w:t>
      </w:r>
    </w:p>
    <w:p w14:paraId="5A92E8A5">
      <w:pPr>
        <w:spacing w:before="1" w:line="221" w:lineRule="auto"/>
        <w:rPr>
          <w:rFonts w:ascii="黑体" w:hAnsi="黑体" w:eastAsia="黑体" w:cs="黑体"/>
          <w:sz w:val="27"/>
          <w:szCs w:val="27"/>
        </w:rPr>
      </w:pPr>
      <w:r>
        <w:rPr>
          <w:rFonts w:ascii="Arial" w:hAnsi="Arial" w:eastAsia="Arial" w:cs="Arial"/>
          <w:spacing w:val="5"/>
          <w:sz w:val="27"/>
          <w:szCs w:val="27"/>
        </w:rPr>
        <w:t>4</w:t>
      </w:r>
      <w:r>
        <w:rPr>
          <w:rFonts w:ascii="Arial" w:hAnsi="Arial" w:eastAsia="Arial" w:cs="Arial"/>
          <w:spacing w:val="13"/>
          <w:sz w:val="27"/>
          <w:szCs w:val="27"/>
        </w:rPr>
        <w:t xml:space="preserve">   </w:t>
      </w:r>
      <w:r>
        <w:rPr>
          <w:rFonts w:ascii="黑体" w:hAnsi="黑体" w:eastAsia="黑体" w:cs="黑体"/>
          <w:spacing w:val="5"/>
          <w:sz w:val="27"/>
          <w:szCs w:val="27"/>
        </w:rPr>
        <w:t>信息单元的设置</w:t>
      </w:r>
    </w:p>
    <w:p w14:paraId="698908EC">
      <w:pPr>
        <w:pStyle w:val="2"/>
        <w:spacing w:before="95" w:line="272" w:lineRule="auto"/>
        <w:ind w:right="105" w:firstLine="560"/>
        <w:jc w:val="both"/>
      </w:pPr>
      <w:r>
        <w:rPr>
          <w:spacing w:val="6"/>
        </w:rPr>
        <w:t>依据该类武器装备制定的有关质量与可靠性信息分类和编码的标</w:t>
      </w:r>
      <w:r>
        <w:rPr>
          <w:spacing w:val="5"/>
        </w:rPr>
        <w:t>准，其中</w:t>
      </w:r>
      <w:r>
        <w:t xml:space="preserve"> </w:t>
      </w:r>
      <w:r>
        <w:rPr>
          <w:spacing w:val="5"/>
        </w:rPr>
        <w:t>对所需设置的信息单元的要求和规定进行信息单元的设置，在满足信息需求的</w:t>
      </w:r>
      <w:r>
        <w:t xml:space="preserve"> </w:t>
      </w:r>
      <w:r>
        <w:rPr>
          <w:spacing w:val="-5"/>
        </w:rPr>
        <w:t>前提下，尽量减少信息单元的数量。</w:t>
      </w:r>
    </w:p>
    <w:p w14:paraId="6C0785CC">
      <w:pPr>
        <w:spacing w:before="20" w:line="223" w:lineRule="auto"/>
        <w:rPr>
          <w:rFonts w:ascii="黑体" w:hAnsi="黑体" w:eastAsia="黑体" w:cs="黑体"/>
          <w:sz w:val="27"/>
          <w:szCs w:val="27"/>
        </w:rPr>
      </w:pPr>
      <w:r>
        <w:rPr>
          <w:rFonts w:ascii="黑体" w:hAnsi="黑体" w:eastAsia="黑体" w:cs="黑体"/>
          <w:spacing w:val="4"/>
          <w:sz w:val="27"/>
          <w:szCs w:val="27"/>
        </w:rPr>
        <w:t>4.1</w:t>
      </w:r>
      <w:r>
        <w:rPr>
          <w:rFonts w:ascii="黑体" w:hAnsi="黑体" w:eastAsia="黑体" w:cs="黑体"/>
          <w:spacing w:val="32"/>
          <w:sz w:val="27"/>
          <w:szCs w:val="27"/>
        </w:rPr>
        <w:t xml:space="preserve">  </w:t>
      </w:r>
      <w:r>
        <w:rPr>
          <w:rFonts w:ascii="黑体" w:hAnsi="黑体" w:eastAsia="黑体" w:cs="黑体"/>
          <w:spacing w:val="4"/>
          <w:sz w:val="27"/>
          <w:szCs w:val="27"/>
        </w:rPr>
        <w:t>与故障有关的信息单元</w:t>
      </w:r>
    </w:p>
    <w:p w14:paraId="07ACFCAE">
      <w:pPr>
        <w:pStyle w:val="2"/>
        <w:spacing w:before="93" w:line="219" w:lineRule="auto"/>
        <w:ind w:left="560"/>
      </w:pPr>
      <w:r>
        <w:rPr>
          <w:spacing w:val="2"/>
        </w:rPr>
        <w:t>与产品故障有关的信息单元至少应有：</w:t>
      </w:r>
    </w:p>
    <w:p w14:paraId="03F11CF7">
      <w:pPr>
        <w:pStyle w:val="2"/>
        <w:spacing w:before="80" w:line="219" w:lineRule="auto"/>
        <w:ind w:left="560"/>
      </w:pPr>
      <w:r>
        <w:rPr>
          <w:spacing w:val="-10"/>
        </w:rPr>
        <w:t>故障模式，即故障现象。故障的表现形式，如超差代用，修补等。</w:t>
      </w:r>
    </w:p>
    <w:p w14:paraId="53F4DDBE">
      <w:pPr>
        <w:pStyle w:val="2"/>
        <w:spacing w:before="89" w:line="219" w:lineRule="auto"/>
        <w:ind w:left="560"/>
      </w:pPr>
      <w:r>
        <w:rPr>
          <w:spacing w:val="-11"/>
        </w:rPr>
        <w:t>故障发现日期，即发现故障的日历时间(年、月、日)</w:t>
      </w:r>
    </w:p>
    <w:p w14:paraId="389BF7D8">
      <w:pPr>
        <w:pStyle w:val="2"/>
        <w:spacing w:before="89" w:line="277" w:lineRule="auto"/>
        <w:ind w:firstLine="560"/>
      </w:pPr>
      <w:r>
        <w:rPr>
          <w:spacing w:val="-7"/>
        </w:rPr>
        <w:t>故障发现时机，指故障是在什么情况或状态下发现的，如在</w:t>
      </w:r>
      <w:r>
        <w:rPr>
          <w:spacing w:val="-8"/>
        </w:rPr>
        <w:t>检查中、使用中、</w:t>
      </w:r>
      <w:r>
        <w:t xml:space="preserve"> </w:t>
      </w:r>
      <w:r>
        <w:rPr>
          <w:spacing w:val="-3"/>
        </w:rPr>
        <w:t>维护中等。</w:t>
      </w:r>
    </w:p>
    <w:p w14:paraId="7E32EF19">
      <w:pPr>
        <w:pStyle w:val="2"/>
        <w:spacing w:before="1" w:line="219" w:lineRule="auto"/>
        <w:ind w:left="560"/>
      </w:pPr>
      <w:r>
        <w:rPr>
          <w:spacing w:val="-3"/>
        </w:rPr>
        <w:t>故障前工作时间，即产品故障前的累计工作时间。</w:t>
      </w:r>
    </w:p>
    <w:p w14:paraId="08DF03C7">
      <w:pPr>
        <w:spacing w:line="219" w:lineRule="auto"/>
        <w:sectPr>
          <w:footerReference r:id="rId484" w:type="default"/>
          <w:pgSz w:w="11910" w:h="17130"/>
          <w:pgMar w:top="1456" w:right="854" w:bottom="1660" w:left="1559" w:header="0" w:footer="1374" w:gutter="0"/>
          <w:cols w:space="720" w:num="1"/>
        </w:sectPr>
      </w:pPr>
    </w:p>
    <w:p w14:paraId="14DB922D">
      <w:pPr>
        <w:pStyle w:val="2"/>
        <w:spacing w:before="83" w:line="219" w:lineRule="auto"/>
        <w:ind w:left="539"/>
      </w:pPr>
      <w:r>
        <w:rPr>
          <w:spacing w:val="-2"/>
        </w:rPr>
        <w:t>故障判明方法，即鉴别或查出故障所采取的措施或</w:t>
      </w:r>
      <w:r>
        <w:rPr>
          <w:spacing w:val="-3"/>
        </w:rPr>
        <w:t>手段。</w:t>
      </w:r>
    </w:p>
    <w:p w14:paraId="080A3353">
      <w:pPr>
        <w:pStyle w:val="2"/>
        <w:spacing w:before="71" w:line="219" w:lineRule="auto"/>
        <w:ind w:left="539"/>
      </w:pPr>
      <w:r>
        <w:rPr>
          <w:spacing w:val="-13"/>
        </w:rPr>
        <w:t>故障原因；即导致故障发生的因素，如虚焊、老化等。</w:t>
      </w:r>
    </w:p>
    <w:p w14:paraId="775A419F">
      <w:pPr>
        <w:pStyle w:val="2"/>
        <w:spacing w:before="48" w:line="294" w:lineRule="auto"/>
        <w:ind w:right="118" w:firstLine="539"/>
      </w:pPr>
      <w:r>
        <w:rPr>
          <w:spacing w:val="-3"/>
        </w:rPr>
        <w:t>故障影响，指故障对产品的使用、功能或状态所导致的结果。一般分为对产</w:t>
      </w:r>
      <w:r>
        <w:rPr>
          <w:spacing w:val="4"/>
        </w:rPr>
        <w:t xml:space="preserve"> </w:t>
      </w:r>
      <w:r>
        <w:rPr>
          <w:spacing w:val="-6"/>
        </w:rPr>
        <w:t>品本身、高一层次和最终影响三级。</w:t>
      </w:r>
    </w:p>
    <w:p w14:paraId="4E13A034">
      <w:pPr>
        <w:pStyle w:val="2"/>
        <w:spacing w:line="218" w:lineRule="auto"/>
        <w:ind w:left="539"/>
      </w:pPr>
      <w:r>
        <w:rPr>
          <w:spacing w:val="-15"/>
        </w:rPr>
        <w:t>故障处理，即对故障产品所采取的措施，如换件、调整、修复等。</w:t>
      </w:r>
    </w:p>
    <w:p w14:paraId="098DAD47">
      <w:pPr>
        <w:pStyle w:val="2"/>
        <w:spacing w:before="49" w:line="284" w:lineRule="auto"/>
        <w:ind w:right="121" w:firstLine="539"/>
      </w:pPr>
      <w:r>
        <w:rPr>
          <w:spacing w:val="-4"/>
        </w:rPr>
        <w:t>故障责任，指引起故障的责任单位或责任人，如果是产品本身问题引起的故</w:t>
      </w:r>
      <w:r>
        <w:rPr>
          <w:spacing w:val="12"/>
        </w:rPr>
        <w:t xml:space="preserve"> </w:t>
      </w:r>
      <w:r>
        <w:rPr>
          <w:spacing w:val="-3"/>
        </w:rPr>
        <w:t>障，责任单位为产品的承制单位。如果是产品使用不当引起的故障，责任单位为</w:t>
      </w:r>
      <w:r>
        <w:rPr>
          <w:spacing w:val="7"/>
        </w:rPr>
        <w:t xml:space="preserve"> </w:t>
      </w:r>
      <w:r>
        <w:rPr>
          <w:spacing w:val="1"/>
        </w:rPr>
        <w:t>使用单位。</w:t>
      </w:r>
    </w:p>
    <w:p w14:paraId="4FD9681B">
      <w:pPr>
        <w:spacing w:before="1" w:line="220" w:lineRule="auto"/>
        <w:rPr>
          <w:rFonts w:ascii="黑体" w:hAnsi="黑体" w:eastAsia="黑体" w:cs="黑体"/>
          <w:sz w:val="27"/>
          <w:szCs w:val="27"/>
        </w:rPr>
      </w:pPr>
      <w:r>
        <w:rPr>
          <w:rFonts w:ascii="黑体" w:hAnsi="黑体" w:eastAsia="黑体" w:cs="黑体"/>
          <w:sz w:val="27"/>
          <w:szCs w:val="27"/>
        </w:rPr>
        <w:t>4.2</w:t>
      </w:r>
      <w:r>
        <w:rPr>
          <w:rFonts w:ascii="黑体" w:hAnsi="黑体" w:eastAsia="黑体" w:cs="黑体"/>
          <w:spacing w:val="27"/>
          <w:sz w:val="27"/>
          <w:szCs w:val="27"/>
        </w:rPr>
        <w:t xml:space="preserve">  </w:t>
      </w:r>
      <w:r>
        <w:rPr>
          <w:rFonts w:ascii="黑体" w:hAnsi="黑体" w:eastAsia="黑体" w:cs="黑体"/>
          <w:b/>
          <w:bCs/>
          <w:sz w:val="27"/>
          <w:szCs w:val="27"/>
        </w:rPr>
        <w:t>与测试有关的信息单元</w:t>
      </w:r>
    </w:p>
    <w:p w14:paraId="751D944A">
      <w:pPr>
        <w:pStyle w:val="2"/>
        <w:spacing w:before="94" w:line="219" w:lineRule="auto"/>
        <w:ind w:left="539"/>
      </w:pPr>
      <w:r>
        <w:rPr>
          <w:spacing w:val="-2"/>
        </w:rPr>
        <w:t>根据信息需求分析的结果，设置与测试有关的信息单元。</w:t>
      </w:r>
    </w:p>
    <w:p w14:paraId="03DDE78D">
      <w:pPr>
        <w:spacing w:before="86" w:line="223"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31"/>
          <w:sz w:val="27"/>
          <w:szCs w:val="27"/>
        </w:rPr>
        <w:t xml:space="preserve">  </w:t>
      </w:r>
      <w:r>
        <w:rPr>
          <w:rFonts w:ascii="黑体" w:hAnsi="黑体" w:eastAsia="黑体" w:cs="黑体"/>
          <w:b/>
          <w:bCs/>
          <w:spacing w:val="1"/>
          <w:sz w:val="27"/>
          <w:szCs w:val="27"/>
        </w:rPr>
        <w:t>与××有关的信息单元</w:t>
      </w:r>
    </w:p>
    <w:p w14:paraId="0430C9D2">
      <w:pPr>
        <w:pStyle w:val="2"/>
        <w:spacing w:before="77" w:line="219" w:lineRule="auto"/>
        <w:ind w:left="539"/>
      </w:pPr>
      <w:r>
        <w:rPr>
          <w:spacing w:val="-2"/>
        </w:rPr>
        <w:t>根据信息需求分析的结果，设置与……有关的信息单元。</w:t>
      </w:r>
    </w:p>
    <w:p w14:paraId="3DAA8027">
      <w:pPr>
        <w:spacing w:before="84" w:line="222" w:lineRule="auto"/>
        <w:outlineLvl w:val="3"/>
        <w:rPr>
          <w:rFonts w:ascii="黑体" w:hAnsi="黑体" w:eastAsia="黑体" w:cs="黑体"/>
          <w:sz w:val="27"/>
          <w:szCs w:val="27"/>
        </w:rPr>
      </w:pPr>
      <w:r>
        <w:rPr>
          <w:rFonts w:ascii="Arial" w:hAnsi="Arial" w:eastAsia="Arial" w:cs="Arial"/>
          <w:b/>
          <w:bCs/>
          <w:sz w:val="27"/>
          <w:szCs w:val="27"/>
        </w:rPr>
        <w:t xml:space="preserve">5    </w:t>
      </w:r>
      <w:r>
        <w:rPr>
          <w:rFonts w:ascii="黑体" w:hAnsi="黑体" w:eastAsia="黑体" w:cs="黑体"/>
          <w:b/>
          <w:bCs/>
          <w:sz w:val="27"/>
          <w:szCs w:val="27"/>
        </w:rPr>
        <w:t>信息项的预置</w:t>
      </w:r>
    </w:p>
    <w:p w14:paraId="36880492">
      <w:pPr>
        <w:pStyle w:val="2"/>
        <w:spacing w:before="72" w:line="279" w:lineRule="auto"/>
        <w:ind w:right="105" w:firstLine="539"/>
        <w:jc w:val="both"/>
      </w:pPr>
      <w:r>
        <w:rPr>
          <w:spacing w:val="6"/>
        </w:rPr>
        <w:t>依据该类武器装备制定的有关质量与可靠性信息分类和编码的标</w:t>
      </w:r>
      <w:r>
        <w:rPr>
          <w:spacing w:val="5"/>
        </w:rPr>
        <w:t>准，其中</w:t>
      </w:r>
      <w:r>
        <w:t xml:space="preserve"> </w:t>
      </w:r>
      <w:r>
        <w:rPr>
          <w:spacing w:val="-3"/>
        </w:rPr>
        <w:t>对预置信息项的要求和规定，对所设置的信息单元预置一系列的信息项，并对信</w:t>
      </w:r>
      <w:r>
        <w:rPr>
          <w:spacing w:val="12"/>
        </w:rPr>
        <w:t xml:space="preserve"> </w:t>
      </w:r>
      <w:r>
        <w:rPr>
          <w:spacing w:val="5"/>
        </w:rPr>
        <w:t>息项的含义给予明确的表述。为便于编码，要把描述每一信息单元所预置的一</w:t>
      </w:r>
      <w:r>
        <w:rPr>
          <w:spacing w:val="4"/>
        </w:rPr>
        <w:t xml:space="preserve"> </w:t>
      </w:r>
      <w:r>
        <w:rPr>
          <w:spacing w:val="-3"/>
        </w:rPr>
        <w:t>系列信息项，按一定的规律和原则进行分类和排序。</w:t>
      </w:r>
    </w:p>
    <w:p w14:paraId="274FFD61">
      <w:pPr>
        <w:spacing w:before="20" w:line="221" w:lineRule="auto"/>
        <w:rPr>
          <w:rFonts w:ascii="黑体" w:hAnsi="黑体" w:eastAsia="黑体" w:cs="黑体"/>
          <w:sz w:val="25"/>
          <w:szCs w:val="25"/>
        </w:rPr>
      </w:pPr>
      <w:r>
        <w:rPr>
          <w:rFonts w:ascii="黑体" w:hAnsi="黑体" w:eastAsia="黑体" w:cs="黑体"/>
          <w:spacing w:val="16"/>
          <w:sz w:val="25"/>
          <w:szCs w:val="25"/>
        </w:rPr>
        <w:t>6</w:t>
      </w:r>
      <w:r>
        <w:rPr>
          <w:rFonts w:ascii="黑体" w:hAnsi="黑体" w:eastAsia="黑体" w:cs="黑体"/>
          <w:spacing w:val="38"/>
          <w:sz w:val="25"/>
          <w:szCs w:val="25"/>
        </w:rPr>
        <w:t xml:space="preserve">  </w:t>
      </w:r>
      <w:r>
        <w:rPr>
          <w:rFonts w:ascii="黑体" w:hAnsi="黑体" w:eastAsia="黑体" w:cs="黑体"/>
          <w:b/>
          <w:bCs/>
          <w:spacing w:val="16"/>
          <w:sz w:val="25"/>
          <w:szCs w:val="25"/>
        </w:rPr>
        <w:t>信息编码</w:t>
      </w:r>
    </w:p>
    <w:p w14:paraId="2622E2AD">
      <w:pPr>
        <w:pStyle w:val="2"/>
        <w:spacing w:before="94" w:line="280" w:lineRule="auto"/>
        <w:ind w:firstLine="539"/>
        <w:jc w:val="both"/>
      </w:pPr>
      <w:r>
        <w:rPr>
          <w:spacing w:val="6"/>
        </w:rPr>
        <w:t>依据该类武器装备制定的有关质量与可靠性信息分类和编码的标</w:t>
      </w:r>
      <w:r>
        <w:rPr>
          <w:spacing w:val="5"/>
        </w:rPr>
        <w:t>准，其中</w:t>
      </w:r>
      <w:r>
        <w:t xml:space="preserve"> </w:t>
      </w:r>
      <w:r>
        <w:rPr>
          <w:spacing w:val="-3"/>
        </w:rPr>
        <w:t>对采用的代码类型和结构、编码的方法等的要求和规定进行信息编码，并符合具</w:t>
      </w:r>
      <w:r>
        <w:rPr>
          <w:spacing w:val="4"/>
        </w:rPr>
        <w:t xml:space="preserve">  </w:t>
      </w:r>
      <w:r>
        <w:rPr>
          <w:spacing w:val="-7"/>
        </w:rPr>
        <w:t>体型号装备编制的代码手册。设计的代码要具有唯一、简单、合理、适用等特性，</w:t>
      </w:r>
      <w:r>
        <w:rPr>
          <w:spacing w:val="6"/>
        </w:rPr>
        <w:t xml:space="preserve"> </w:t>
      </w:r>
      <w:r>
        <w:rPr>
          <w:spacing w:val="5"/>
        </w:rPr>
        <w:t>并具有可扩充能力。各类代码之间要协调、兼容。对直接用数字或字母表示的</w:t>
      </w:r>
      <w:r>
        <w:rPr>
          <w:spacing w:val="9"/>
        </w:rPr>
        <w:t xml:space="preserve"> </w:t>
      </w:r>
      <w:r>
        <w:rPr>
          <w:spacing w:val="2"/>
        </w:rPr>
        <w:t>信息项一般不需要编码。</w:t>
      </w:r>
    </w:p>
    <w:p w14:paraId="01BBC3A2">
      <w:pPr>
        <w:spacing w:before="12" w:line="222" w:lineRule="auto"/>
        <w:rPr>
          <w:rFonts w:ascii="黑体" w:hAnsi="黑体" w:eastAsia="黑体" w:cs="黑体"/>
          <w:sz w:val="27"/>
          <w:szCs w:val="27"/>
        </w:rPr>
      </w:pPr>
      <w:r>
        <w:rPr>
          <w:rFonts w:ascii="黑体" w:hAnsi="黑体" w:eastAsia="黑体" w:cs="黑体"/>
          <w:spacing w:val="1"/>
          <w:sz w:val="27"/>
          <w:szCs w:val="27"/>
        </w:rPr>
        <w:t>6.1</w:t>
      </w:r>
      <w:r>
        <w:rPr>
          <w:rFonts w:ascii="黑体" w:hAnsi="黑体" w:eastAsia="黑体" w:cs="黑体"/>
          <w:spacing w:val="32"/>
          <w:sz w:val="27"/>
          <w:szCs w:val="27"/>
        </w:rPr>
        <w:t xml:space="preserve">  </w:t>
      </w:r>
      <w:r>
        <w:rPr>
          <w:rFonts w:ascii="黑体" w:hAnsi="黑体" w:eastAsia="黑体" w:cs="黑体"/>
          <w:b/>
          <w:bCs/>
          <w:spacing w:val="1"/>
          <w:sz w:val="27"/>
          <w:szCs w:val="27"/>
        </w:rPr>
        <w:t>产品故障信息代码</w:t>
      </w:r>
    </w:p>
    <w:p w14:paraId="56A71315">
      <w:pPr>
        <w:pStyle w:val="2"/>
        <w:spacing w:before="90" w:line="219" w:lineRule="auto"/>
        <w:ind w:left="539"/>
      </w:pPr>
      <w:r>
        <w:rPr>
          <w:spacing w:val="4"/>
        </w:rPr>
        <w:t>对故障信息编码主要是指对描述故障的信息项进行编码。</w:t>
      </w:r>
    </w:p>
    <w:p w14:paraId="0767EF16">
      <w:pPr>
        <w:pStyle w:val="2"/>
        <w:spacing w:before="99" w:line="269" w:lineRule="auto"/>
        <w:ind w:right="124" w:firstLine="539"/>
      </w:pPr>
      <w:r>
        <w:rPr>
          <w:spacing w:val="-3"/>
        </w:rPr>
        <w:t>有关故障信息的代码主要有故障模式代码、故障发现时机代码、故障判</w:t>
      </w:r>
      <w:r>
        <w:rPr>
          <w:spacing w:val="-4"/>
        </w:rPr>
        <w:t>明方</w:t>
      </w:r>
      <w:r>
        <w:t xml:space="preserve"> </w:t>
      </w:r>
      <w:r>
        <w:rPr>
          <w:spacing w:val="-12"/>
        </w:rPr>
        <w:t>法代码、故障原因代码、故障影响代码、故障处理代码、故障责任代码等。</w:t>
      </w:r>
    </w:p>
    <w:p w14:paraId="7D9A43D6">
      <w:pPr>
        <w:pStyle w:val="2"/>
        <w:spacing w:before="14" w:line="280" w:lineRule="auto"/>
        <w:ind w:right="116" w:firstLine="539"/>
      </w:pPr>
      <w:r>
        <w:rPr>
          <w:spacing w:val="-3"/>
        </w:rPr>
        <w:t>应分别根据各类武器装备的情况，按所设置的信息单元，对一系列预置的信</w:t>
      </w:r>
      <w:r>
        <w:rPr>
          <w:spacing w:val="6"/>
        </w:rPr>
        <w:t xml:space="preserve"> </w:t>
      </w:r>
      <w:r>
        <w:rPr>
          <w:spacing w:val="-6"/>
        </w:rPr>
        <w:t>息项进行分类和排序，如果预置的信息项不多，也可以只排序。</w:t>
      </w:r>
    </w:p>
    <w:p w14:paraId="6C001773">
      <w:pPr>
        <w:pStyle w:val="2"/>
        <w:spacing w:before="1" w:line="219" w:lineRule="auto"/>
        <w:ind w:left="539"/>
      </w:pPr>
      <w:r>
        <w:rPr>
          <w:spacing w:val="-1"/>
        </w:rPr>
        <w:t>根据信息分类和排序的情况选择代码的类型、结构和编码的方法。</w:t>
      </w:r>
    </w:p>
    <w:p w14:paraId="3C9DD399">
      <w:pPr>
        <w:pStyle w:val="2"/>
        <w:spacing w:before="78" w:line="277" w:lineRule="auto"/>
        <w:ind w:right="159" w:firstLine="539"/>
      </w:pPr>
      <w:r>
        <w:rPr>
          <w:spacing w:val="2"/>
        </w:rPr>
        <w:t>信息项不超过33个时，一般采用一位码，由一个大写汉语拼音字母(</w:t>
      </w:r>
      <w:r>
        <w:rPr>
          <w:rFonts w:ascii="Times New Roman" w:hAnsi="Times New Roman" w:eastAsia="Times New Roman" w:cs="Times New Roman"/>
          <w:spacing w:val="2"/>
        </w:rPr>
        <w:t>I</w:t>
      </w:r>
      <w:r>
        <w:rPr>
          <w:rFonts w:ascii="Times New Roman" w:hAnsi="Times New Roman" w:eastAsia="Times New Roman" w:cs="Times New Roman"/>
          <w:spacing w:val="37"/>
        </w:rPr>
        <w:t xml:space="preserve"> </w:t>
      </w:r>
      <w:r>
        <w:rPr>
          <w:spacing w:val="2"/>
        </w:rPr>
        <w:t>和</w:t>
      </w:r>
      <w:r>
        <w:rPr>
          <w:spacing w:val="-53"/>
        </w:rPr>
        <w:t xml:space="preserve"> </w:t>
      </w:r>
      <w:r>
        <w:rPr>
          <w:rFonts w:ascii="Times New Roman" w:hAnsi="Times New Roman" w:eastAsia="Times New Roman" w:cs="Times New Roman"/>
          <w:spacing w:val="2"/>
        </w:rPr>
        <w:t>O</w:t>
      </w:r>
      <w:r>
        <w:rPr>
          <w:rFonts w:ascii="Times New Roman" w:hAnsi="Times New Roman" w:eastAsia="Times New Roman" w:cs="Times New Roman"/>
        </w:rPr>
        <w:t xml:space="preserve"> </w:t>
      </w:r>
      <w:r>
        <w:rPr>
          <w:spacing w:val="18"/>
        </w:rPr>
        <w:t>除外)和(或)阿拉伯数字1至9构成。</w:t>
      </w:r>
    </w:p>
    <w:p w14:paraId="3C134705">
      <w:pPr>
        <w:pStyle w:val="2"/>
        <w:spacing w:before="1" w:line="295" w:lineRule="auto"/>
        <w:ind w:firstLine="539"/>
      </w:pPr>
      <w:r>
        <w:rPr>
          <w:spacing w:val="-7"/>
        </w:rPr>
        <w:t>信息项较多时，如描述“故障模式”的一系列信息项。应在</w:t>
      </w:r>
      <w:r>
        <w:rPr>
          <w:spacing w:val="-8"/>
        </w:rPr>
        <w:t>进行合理地分类、</w:t>
      </w:r>
      <w:r>
        <w:t xml:space="preserve"> </w:t>
      </w:r>
      <w:r>
        <w:rPr>
          <w:spacing w:val="3"/>
        </w:rPr>
        <w:t>排序基础上再选择代码的类型、结构和编码方法，</w:t>
      </w:r>
      <w:r>
        <w:rPr>
          <w:spacing w:val="88"/>
        </w:rPr>
        <w:t xml:space="preserve"> </w:t>
      </w:r>
      <w:r>
        <w:rPr>
          <w:spacing w:val="3"/>
        </w:rPr>
        <w:t>一般采用多位码，如3位数</w:t>
      </w:r>
    </w:p>
    <w:p w14:paraId="10FE4BD6">
      <w:pPr>
        <w:spacing w:line="295" w:lineRule="auto"/>
        <w:sectPr>
          <w:footerReference r:id="rId485" w:type="default"/>
          <w:pgSz w:w="11910" w:h="17130"/>
          <w:pgMar w:top="1456" w:right="1434" w:bottom="1677" w:left="999" w:header="0" w:footer="1460" w:gutter="0"/>
          <w:cols w:space="720" w:num="1"/>
        </w:sectPr>
      </w:pPr>
    </w:p>
    <w:p w14:paraId="15D7A065">
      <w:pPr>
        <w:pStyle w:val="2"/>
        <w:spacing w:before="135" w:line="219" w:lineRule="auto"/>
      </w:pPr>
      <w:r>
        <w:rPr>
          <w:spacing w:val="-4"/>
        </w:rPr>
        <w:t>字码。</w:t>
      </w:r>
    </w:p>
    <w:p w14:paraId="0DF75084">
      <w:pPr>
        <w:pStyle w:val="2"/>
        <w:spacing w:before="49" w:line="293" w:lineRule="auto"/>
        <w:ind w:right="27" w:firstLine="560"/>
      </w:pPr>
      <w:r>
        <w:rPr>
          <w:spacing w:val="5"/>
        </w:rPr>
        <w:t>有关故障信息的代码应该标准化，对于各类武器装备，应分别做出统一的</w:t>
      </w:r>
      <w:r>
        <w:rPr>
          <w:spacing w:val="10"/>
        </w:rPr>
        <w:t xml:space="preserve"> </w:t>
      </w:r>
      <w:r>
        <w:rPr>
          <w:spacing w:val="-4"/>
        </w:rPr>
        <w:t>规定。</w:t>
      </w:r>
    </w:p>
    <w:p w14:paraId="7F99951A">
      <w:pPr>
        <w:spacing w:before="1" w:line="220" w:lineRule="auto"/>
        <w:rPr>
          <w:rFonts w:ascii="黑体" w:hAnsi="黑体" w:eastAsia="黑体" w:cs="黑体"/>
          <w:sz w:val="25"/>
          <w:szCs w:val="25"/>
        </w:rPr>
      </w:pPr>
      <w:r>
        <w:rPr>
          <w:rFonts w:ascii="黑体" w:hAnsi="黑体" w:eastAsia="黑体" w:cs="黑体"/>
          <w:spacing w:val="19"/>
          <w:sz w:val="25"/>
          <w:szCs w:val="25"/>
        </w:rPr>
        <w:t>6.2</w:t>
      </w:r>
      <w:r>
        <w:rPr>
          <w:rFonts w:ascii="黑体" w:hAnsi="黑体" w:eastAsia="黑体" w:cs="黑体"/>
          <w:spacing w:val="40"/>
          <w:sz w:val="25"/>
          <w:szCs w:val="25"/>
        </w:rPr>
        <w:t xml:space="preserve">  </w:t>
      </w:r>
      <w:r>
        <w:rPr>
          <w:rFonts w:ascii="黑体" w:hAnsi="黑体" w:eastAsia="黑体" w:cs="黑体"/>
          <w:spacing w:val="19"/>
          <w:sz w:val="25"/>
          <w:szCs w:val="25"/>
        </w:rPr>
        <w:t>产品测试信息代码</w:t>
      </w:r>
    </w:p>
    <w:p w14:paraId="22F76ADF">
      <w:pPr>
        <w:pStyle w:val="2"/>
        <w:spacing w:before="93" w:line="272" w:lineRule="auto"/>
        <w:ind w:firstLine="560"/>
      </w:pPr>
      <w:r>
        <w:rPr>
          <w:spacing w:val="1"/>
        </w:rPr>
        <w:t>按照</w:t>
      </w:r>
      <w:r>
        <w:rPr>
          <w:rFonts w:ascii="Times New Roman" w:hAnsi="Times New Roman" w:eastAsia="Times New Roman" w:cs="Times New Roman"/>
        </w:rPr>
        <w:t>GJB</w:t>
      </w:r>
      <w:r>
        <w:rPr>
          <w:rFonts w:ascii="Times New Roman" w:hAnsi="Times New Roman" w:eastAsia="Times New Roman" w:cs="Times New Roman"/>
          <w:spacing w:val="27"/>
        </w:rPr>
        <w:t xml:space="preserve">  </w:t>
      </w:r>
      <w:r>
        <w:rPr>
          <w:rFonts w:ascii="Times New Roman" w:hAnsi="Times New Roman" w:eastAsia="Times New Roman" w:cs="Times New Roman"/>
          <w:spacing w:val="1"/>
        </w:rPr>
        <w:t>1775</w:t>
      </w:r>
      <w:r>
        <w:rPr>
          <w:rFonts w:ascii="Times New Roman" w:hAnsi="Times New Roman" w:eastAsia="Times New Roman" w:cs="Times New Roman"/>
          <w:spacing w:val="-25"/>
        </w:rPr>
        <w:t xml:space="preserve"> </w:t>
      </w:r>
      <w:r>
        <w:rPr>
          <w:spacing w:val="1"/>
        </w:rPr>
        <w:t>要求，参照具体型号装备编制的代码手册，设</w:t>
      </w:r>
      <w:r>
        <w:t xml:space="preserve">置产品测试信 </w:t>
      </w:r>
      <w:r>
        <w:rPr>
          <w:spacing w:val="-3"/>
        </w:rPr>
        <w:t>息代码。</w:t>
      </w:r>
    </w:p>
    <w:p w14:paraId="34C69A0A">
      <w:pPr>
        <w:spacing w:line="327" w:lineRule="exact"/>
        <w:rPr>
          <w:rFonts w:ascii="黑体" w:hAnsi="黑体" w:eastAsia="黑体" w:cs="黑体"/>
          <w:sz w:val="24"/>
          <w:szCs w:val="24"/>
        </w:rPr>
      </w:pPr>
      <w:r>
        <w:rPr>
          <w:rFonts w:ascii="Arial" w:hAnsi="Arial" w:eastAsia="Arial" w:cs="Arial"/>
          <w:spacing w:val="26"/>
          <w:position w:val="1"/>
          <w:sz w:val="24"/>
          <w:szCs w:val="24"/>
        </w:rPr>
        <w:t>6.3</w:t>
      </w:r>
      <w:r>
        <w:rPr>
          <w:rFonts w:ascii="Arial" w:hAnsi="Arial" w:eastAsia="Arial" w:cs="Arial"/>
          <w:spacing w:val="4"/>
          <w:position w:val="1"/>
          <w:sz w:val="24"/>
          <w:szCs w:val="24"/>
        </w:rPr>
        <w:t xml:space="preserve">     </w:t>
      </w:r>
      <w:r>
        <w:rPr>
          <w:rFonts w:ascii="黑体" w:hAnsi="黑体" w:eastAsia="黑体" w:cs="黑体"/>
          <w:spacing w:val="26"/>
          <w:position w:val="1"/>
          <w:sz w:val="24"/>
          <w:szCs w:val="24"/>
        </w:rPr>
        <w:t>产品××信息代码</w:t>
      </w:r>
    </w:p>
    <w:p w14:paraId="6F28E8F6">
      <w:pPr>
        <w:pStyle w:val="2"/>
        <w:spacing w:before="106" w:line="277" w:lineRule="auto"/>
        <w:ind w:firstLine="560"/>
      </w:pPr>
      <w:r>
        <w:rPr>
          <w:spacing w:val="1"/>
        </w:rPr>
        <w:t>按照</w:t>
      </w:r>
      <w:r>
        <w:rPr>
          <w:rFonts w:ascii="Times New Roman" w:hAnsi="Times New Roman" w:eastAsia="Times New Roman" w:cs="Times New Roman"/>
        </w:rPr>
        <w:t>GJB</w:t>
      </w:r>
      <w:r>
        <w:rPr>
          <w:rFonts w:ascii="Times New Roman" w:hAnsi="Times New Roman" w:eastAsia="Times New Roman" w:cs="Times New Roman"/>
          <w:spacing w:val="27"/>
        </w:rPr>
        <w:t xml:space="preserve">  </w:t>
      </w:r>
      <w:r>
        <w:rPr>
          <w:rFonts w:ascii="Times New Roman" w:hAnsi="Times New Roman" w:eastAsia="Times New Roman" w:cs="Times New Roman"/>
          <w:spacing w:val="1"/>
        </w:rPr>
        <w:t>1775</w:t>
      </w:r>
      <w:r>
        <w:rPr>
          <w:rFonts w:ascii="Times New Roman" w:hAnsi="Times New Roman" w:eastAsia="Times New Roman" w:cs="Times New Roman"/>
          <w:spacing w:val="-25"/>
        </w:rPr>
        <w:t xml:space="preserve"> </w:t>
      </w:r>
      <w:r>
        <w:rPr>
          <w:spacing w:val="1"/>
        </w:rPr>
        <w:t>要求，参照具体型号装备编制的代码手册，设</w:t>
      </w:r>
      <w:r>
        <w:t xml:space="preserve">置产品……信 </w:t>
      </w:r>
      <w:r>
        <w:rPr>
          <w:spacing w:val="-3"/>
        </w:rPr>
        <w:t>息代码。</w:t>
      </w:r>
    </w:p>
    <w:p w14:paraId="4D6639FA">
      <w:pPr>
        <w:spacing w:line="221" w:lineRule="auto"/>
        <w:rPr>
          <w:rFonts w:ascii="黑体" w:hAnsi="黑体" w:eastAsia="黑体" w:cs="黑体"/>
          <w:sz w:val="27"/>
          <w:szCs w:val="27"/>
        </w:rPr>
      </w:pPr>
      <w:r>
        <w:rPr>
          <w:rFonts w:ascii="Arial" w:hAnsi="Arial" w:eastAsia="Arial" w:cs="Arial"/>
          <w:spacing w:val="3"/>
          <w:sz w:val="27"/>
          <w:szCs w:val="27"/>
        </w:rPr>
        <w:t>7</w:t>
      </w:r>
      <w:r>
        <w:rPr>
          <w:rFonts w:ascii="Arial" w:hAnsi="Arial" w:eastAsia="Arial" w:cs="Arial"/>
          <w:spacing w:val="20"/>
          <w:w w:val="101"/>
          <w:sz w:val="27"/>
          <w:szCs w:val="27"/>
        </w:rPr>
        <w:t xml:space="preserve">   </w:t>
      </w:r>
      <w:r>
        <w:rPr>
          <w:rFonts w:ascii="黑体" w:hAnsi="黑体" w:eastAsia="黑体" w:cs="黑体"/>
          <w:spacing w:val="3"/>
          <w:sz w:val="27"/>
          <w:szCs w:val="27"/>
        </w:rPr>
        <w:t>与其他信息收集工作的协调</w:t>
      </w:r>
    </w:p>
    <w:p w14:paraId="0274D6CC">
      <w:pPr>
        <w:pStyle w:val="2"/>
        <w:spacing w:before="96" w:line="276" w:lineRule="auto"/>
        <w:ind w:right="33" w:firstLine="560"/>
      </w:pPr>
      <w:r>
        <w:rPr>
          <w:spacing w:val="5"/>
        </w:rPr>
        <w:t>使用期间测试性信息收集应与维修性、可靠性、保障性信息收集工作相结</w:t>
      </w:r>
      <w:r>
        <w:rPr>
          <w:spacing w:val="4"/>
        </w:rPr>
        <w:t xml:space="preserve"> </w:t>
      </w:r>
      <w:r>
        <w:rPr>
          <w:spacing w:val="-10"/>
        </w:rPr>
        <w:t>合，作出有关协调说明。</w:t>
      </w:r>
    </w:p>
    <w:p w14:paraId="06ACB18B">
      <w:pPr>
        <w:spacing w:line="241" w:lineRule="auto"/>
        <w:rPr>
          <w:rFonts w:ascii="Arial"/>
          <w:sz w:val="21"/>
        </w:rPr>
      </w:pPr>
    </w:p>
    <w:p w14:paraId="355EBC68">
      <w:pPr>
        <w:pStyle w:val="2"/>
        <w:spacing w:before="117" w:line="218" w:lineRule="auto"/>
        <w:ind w:left="2129"/>
        <w:outlineLvl w:val="1"/>
        <w:rPr>
          <w:sz w:val="36"/>
          <w:szCs w:val="36"/>
        </w:rPr>
      </w:pPr>
      <w:r>
        <w:rPr>
          <w:rFonts w:ascii="Times New Roman" w:hAnsi="Times New Roman" w:eastAsia="Times New Roman" w:cs="Times New Roman"/>
          <w:b/>
          <w:bCs/>
          <w:spacing w:val="2"/>
          <w:sz w:val="36"/>
          <w:szCs w:val="36"/>
        </w:rPr>
        <w:t xml:space="preserve">9.24     </w:t>
      </w:r>
      <w:r>
        <w:rPr>
          <w:b/>
          <w:bCs/>
          <w:spacing w:val="2"/>
          <w:sz w:val="36"/>
          <w:szCs w:val="36"/>
        </w:rPr>
        <w:t>使用期间测试性评价计划</w:t>
      </w:r>
    </w:p>
    <w:p w14:paraId="7D7F114C">
      <w:pPr>
        <w:spacing w:line="330" w:lineRule="auto"/>
        <w:rPr>
          <w:rFonts w:ascii="Arial"/>
          <w:sz w:val="21"/>
        </w:rPr>
      </w:pPr>
    </w:p>
    <w:p w14:paraId="39FD8728">
      <w:pPr>
        <w:pStyle w:val="2"/>
        <w:spacing w:before="91" w:line="223" w:lineRule="auto"/>
        <w:ind w:left="560"/>
        <w:rPr>
          <w:rFonts w:ascii="楷体" w:hAnsi="楷体" w:eastAsia="楷体" w:cs="楷体"/>
          <w:sz w:val="28"/>
          <w:szCs w:val="28"/>
        </w:rPr>
      </w:pPr>
      <w:r>
        <w:rPr>
          <w:rFonts w:ascii="楷体" w:hAnsi="楷体" w:eastAsia="楷体" w:cs="楷体"/>
          <w:spacing w:val="-12"/>
          <w:sz w:val="28"/>
          <w:szCs w:val="28"/>
        </w:rPr>
        <w:t>按照</w:t>
      </w:r>
      <w:r>
        <w:rPr>
          <w:rFonts w:ascii="Times New Roman" w:hAnsi="Times New Roman" w:eastAsia="Times New Roman" w:cs="Times New Roman"/>
          <w:spacing w:val="-12"/>
          <w:sz w:val="28"/>
          <w:szCs w:val="28"/>
        </w:rPr>
        <w:t>GJB 2547A</w:t>
      </w:r>
      <w:r>
        <w:rPr>
          <w:spacing w:val="-12"/>
          <w:sz w:val="28"/>
          <w:szCs w:val="28"/>
        </w:rPr>
        <w:t>《</w:t>
      </w:r>
      <w:r>
        <w:rPr>
          <w:rFonts w:ascii="楷体" w:hAnsi="楷体" w:eastAsia="楷体" w:cs="楷体"/>
          <w:spacing w:val="-12"/>
          <w:sz w:val="28"/>
          <w:szCs w:val="28"/>
        </w:rPr>
        <w:t>装备测试性工作通用要求》编写。</w:t>
      </w:r>
    </w:p>
    <w:p w14:paraId="38F1E4C0">
      <w:pPr>
        <w:spacing w:before="79" w:line="223" w:lineRule="auto"/>
        <w:rPr>
          <w:rFonts w:ascii="黑体" w:hAnsi="黑体" w:eastAsia="黑体" w:cs="黑体"/>
          <w:sz w:val="27"/>
          <w:szCs w:val="27"/>
        </w:rPr>
      </w:pPr>
      <w:r>
        <w:rPr>
          <w:rFonts w:ascii="黑体" w:hAnsi="黑体" w:eastAsia="黑体" w:cs="黑体"/>
          <w:spacing w:val="-11"/>
          <w:sz w:val="27"/>
          <w:szCs w:val="27"/>
        </w:rPr>
        <w:t>1</w:t>
      </w:r>
      <w:r>
        <w:rPr>
          <w:rFonts w:ascii="黑体" w:hAnsi="黑体" w:eastAsia="黑体" w:cs="黑体"/>
          <w:spacing w:val="19"/>
          <w:sz w:val="27"/>
          <w:szCs w:val="27"/>
        </w:rPr>
        <w:t xml:space="preserve">  </w:t>
      </w:r>
      <w:r>
        <w:rPr>
          <w:rFonts w:ascii="黑体" w:hAnsi="黑体" w:eastAsia="黑体" w:cs="黑体"/>
          <w:spacing w:val="-11"/>
          <w:sz w:val="27"/>
          <w:szCs w:val="27"/>
        </w:rPr>
        <w:t>范围</w:t>
      </w:r>
    </w:p>
    <w:p w14:paraId="39902403">
      <w:pPr>
        <w:spacing w:before="71"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3"/>
          <w:sz w:val="27"/>
          <w:szCs w:val="27"/>
        </w:rPr>
        <w:t xml:space="preserve">  </w:t>
      </w:r>
      <w:r>
        <w:rPr>
          <w:rFonts w:ascii="黑体" w:hAnsi="黑体" w:eastAsia="黑体" w:cs="黑体"/>
          <w:sz w:val="27"/>
          <w:szCs w:val="27"/>
        </w:rPr>
        <w:t>引用文件</w:t>
      </w:r>
    </w:p>
    <w:p w14:paraId="72FBBD42">
      <w:pPr>
        <w:spacing w:before="69" w:line="341" w:lineRule="exact"/>
        <w:rPr>
          <w:rFonts w:ascii="黑体" w:hAnsi="黑体" w:eastAsia="黑体" w:cs="黑体"/>
          <w:sz w:val="25"/>
          <w:szCs w:val="25"/>
        </w:rPr>
      </w:pPr>
      <w:r>
        <w:rPr>
          <w:rFonts w:ascii="Arial" w:hAnsi="Arial" w:eastAsia="Arial" w:cs="Arial"/>
          <w:spacing w:val="22"/>
          <w:position w:val="1"/>
          <w:sz w:val="25"/>
          <w:szCs w:val="25"/>
        </w:rPr>
        <w:t>3</w:t>
      </w:r>
      <w:r>
        <w:rPr>
          <w:rFonts w:ascii="Arial" w:hAnsi="Arial" w:eastAsia="Arial" w:cs="Arial"/>
          <w:spacing w:val="3"/>
          <w:position w:val="1"/>
          <w:sz w:val="25"/>
          <w:szCs w:val="25"/>
        </w:rPr>
        <w:t xml:space="preserve">    </w:t>
      </w:r>
      <w:r>
        <w:rPr>
          <w:rFonts w:ascii="黑体" w:hAnsi="黑体" w:eastAsia="黑体" w:cs="黑体"/>
          <w:spacing w:val="22"/>
          <w:position w:val="1"/>
          <w:sz w:val="25"/>
          <w:szCs w:val="25"/>
        </w:rPr>
        <w:t>参与评价各方及其职责</w:t>
      </w:r>
    </w:p>
    <w:p w14:paraId="6F03874B">
      <w:pPr>
        <w:pStyle w:val="2"/>
        <w:spacing w:before="104" w:line="218" w:lineRule="auto"/>
        <w:ind w:left="560"/>
        <w:rPr>
          <w:sz w:val="25"/>
          <w:szCs w:val="25"/>
        </w:rPr>
      </w:pPr>
      <w:r>
        <w:rPr>
          <w:spacing w:val="21"/>
          <w:sz w:val="25"/>
          <w:szCs w:val="25"/>
        </w:rPr>
        <w:t>明确参与评价各方人员及其职责。</w:t>
      </w:r>
    </w:p>
    <w:p w14:paraId="0A6FA67F">
      <w:pPr>
        <w:spacing w:before="96"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9"/>
          <w:sz w:val="27"/>
          <w:szCs w:val="27"/>
        </w:rPr>
        <w:t xml:space="preserve">  </w:t>
      </w:r>
      <w:r>
        <w:rPr>
          <w:rFonts w:ascii="黑体" w:hAnsi="黑体" w:eastAsia="黑体" w:cs="黑体"/>
          <w:spacing w:val="1"/>
          <w:sz w:val="27"/>
          <w:szCs w:val="27"/>
        </w:rPr>
        <w:t>装备概述</w:t>
      </w:r>
    </w:p>
    <w:p w14:paraId="486B96C4">
      <w:pPr>
        <w:pStyle w:val="2"/>
        <w:spacing w:before="110" w:line="273" w:lineRule="auto"/>
        <w:ind w:right="7" w:firstLine="560"/>
      </w:pPr>
      <w:r>
        <w:rPr>
          <w:spacing w:val="-2"/>
        </w:rPr>
        <w:t>概述装备规定的使用技术状态，实际使用与</w:t>
      </w:r>
      <w:r>
        <w:rPr>
          <w:spacing w:val="-3"/>
        </w:rPr>
        <w:t>维修条件，规定的各类维修保障</w:t>
      </w:r>
      <w:r>
        <w:t xml:space="preserve"> </w:t>
      </w:r>
      <w:r>
        <w:rPr>
          <w:spacing w:val="-3"/>
        </w:rPr>
        <w:t>资源配备，使用与维修人员应经过的训练要求等。</w:t>
      </w:r>
    </w:p>
    <w:p w14:paraId="449D1B6B">
      <w:pPr>
        <w:spacing w:line="222" w:lineRule="auto"/>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spacing w:val="11"/>
          <w:sz w:val="27"/>
          <w:szCs w:val="27"/>
        </w:rPr>
        <w:t xml:space="preserve">  </w:t>
      </w:r>
      <w:r>
        <w:rPr>
          <w:rFonts w:ascii="黑体" w:hAnsi="黑体" w:eastAsia="黑体" w:cs="黑体"/>
          <w:spacing w:val="2"/>
          <w:sz w:val="27"/>
          <w:szCs w:val="27"/>
        </w:rPr>
        <w:t>数据与信息</w:t>
      </w:r>
    </w:p>
    <w:p w14:paraId="16E4EE63">
      <w:pPr>
        <w:pStyle w:val="2"/>
        <w:spacing w:before="115" w:line="263" w:lineRule="auto"/>
        <w:ind w:right="33" w:firstLine="560"/>
      </w:pPr>
      <w:r>
        <w:rPr>
          <w:spacing w:val="-3"/>
        </w:rPr>
        <w:t>明确实际使用条件下应收集的各种数据，部队使用期间的各</w:t>
      </w:r>
      <w:r>
        <w:rPr>
          <w:spacing w:val="-4"/>
        </w:rPr>
        <w:t>种信息，必要时</w:t>
      </w:r>
      <w:r>
        <w:t xml:space="preserve"> </w:t>
      </w:r>
      <w:r>
        <w:rPr>
          <w:spacing w:val="-3"/>
        </w:rPr>
        <w:t>也可组织专门的试验，以获得所需的信息。</w:t>
      </w:r>
    </w:p>
    <w:p w14:paraId="28EB9839">
      <w:pPr>
        <w:spacing w:before="1" w:line="221"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12"/>
          <w:sz w:val="27"/>
          <w:szCs w:val="27"/>
        </w:rPr>
        <w:t xml:space="preserve">  </w:t>
      </w:r>
      <w:r>
        <w:rPr>
          <w:rFonts w:ascii="黑体" w:hAnsi="黑体" w:eastAsia="黑体" w:cs="黑体"/>
          <w:spacing w:val="3"/>
          <w:sz w:val="27"/>
          <w:szCs w:val="27"/>
        </w:rPr>
        <w:t>评价准则</w:t>
      </w:r>
    </w:p>
    <w:p w14:paraId="2479CBDA">
      <w:pPr>
        <w:pStyle w:val="2"/>
        <w:spacing w:before="95" w:line="218" w:lineRule="auto"/>
        <w:ind w:left="560"/>
      </w:pPr>
      <w:r>
        <w:rPr>
          <w:spacing w:val="-11"/>
        </w:rPr>
        <w:t>制定评价准则、判据。</w:t>
      </w:r>
    </w:p>
    <w:p w14:paraId="538EB203">
      <w:pPr>
        <w:spacing w:before="92" w:line="222" w:lineRule="auto"/>
        <w:rPr>
          <w:rFonts w:ascii="黑体" w:hAnsi="黑体" w:eastAsia="黑体" w:cs="黑体"/>
          <w:sz w:val="27"/>
          <w:szCs w:val="27"/>
        </w:rPr>
      </w:pPr>
      <w:r>
        <w:rPr>
          <w:rFonts w:ascii="Arial" w:hAnsi="Arial" w:eastAsia="Arial" w:cs="Arial"/>
          <w:spacing w:val="-1"/>
          <w:sz w:val="27"/>
          <w:szCs w:val="27"/>
        </w:rPr>
        <w:t>7</w:t>
      </w:r>
      <w:r>
        <w:rPr>
          <w:rFonts w:ascii="Arial" w:hAnsi="Arial" w:eastAsia="Arial" w:cs="Arial"/>
          <w:spacing w:val="20"/>
          <w:sz w:val="27"/>
          <w:szCs w:val="27"/>
        </w:rPr>
        <w:t xml:space="preserve">   </w:t>
      </w:r>
      <w:r>
        <w:rPr>
          <w:rFonts w:ascii="黑体" w:hAnsi="黑体" w:eastAsia="黑体" w:cs="黑体"/>
          <w:spacing w:val="-1"/>
          <w:sz w:val="27"/>
          <w:szCs w:val="27"/>
        </w:rPr>
        <w:t>评价内容</w:t>
      </w:r>
    </w:p>
    <w:p w14:paraId="0D1A9ACD">
      <w:pPr>
        <w:pStyle w:val="2"/>
        <w:spacing w:before="113" w:line="273" w:lineRule="auto"/>
        <w:ind w:right="15" w:firstLine="560"/>
        <w:jc w:val="both"/>
      </w:pPr>
      <w:r>
        <w:rPr>
          <w:spacing w:val="1"/>
        </w:rPr>
        <w:t>测试性评价的内容，除了评估故障检测率、隔离率和虚警率(或平均虚警间</w:t>
      </w:r>
      <w:r>
        <w:rPr>
          <w:spacing w:val="7"/>
        </w:rPr>
        <w:t xml:space="preserve"> </w:t>
      </w:r>
      <w:r>
        <w:rPr>
          <w:spacing w:val="2"/>
        </w:rPr>
        <w:t>隔时间)等参数值之外，还应考虑不能复现率、重测合格率以及不符合实</w:t>
      </w:r>
      <w:r>
        <w:rPr>
          <w:spacing w:val="1"/>
        </w:rPr>
        <w:t>际使用</w:t>
      </w:r>
      <w:r>
        <w:t xml:space="preserve"> </w:t>
      </w:r>
      <w:r>
        <w:rPr>
          <w:spacing w:val="1"/>
        </w:rPr>
        <w:t>要求的测试性缺陷。</w:t>
      </w:r>
    </w:p>
    <w:p w14:paraId="0D05772F">
      <w:pPr>
        <w:spacing w:before="23" w:line="221" w:lineRule="auto"/>
        <w:rPr>
          <w:rFonts w:ascii="黑体" w:hAnsi="黑体" w:eastAsia="黑体" w:cs="黑体"/>
          <w:sz w:val="24"/>
          <w:szCs w:val="24"/>
        </w:rPr>
      </w:pPr>
      <w:r>
        <w:rPr>
          <w:rFonts w:ascii="黑体" w:hAnsi="黑体" w:eastAsia="黑体" w:cs="黑体"/>
          <w:spacing w:val="27"/>
          <w:sz w:val="24"/>
          <w:szCs w:val="24"/>
        </w:rPr>
        <w:t>8</w:t>
      </w:r>
      <w:r>
        <w:rPr>
          <w:rFonts w:ascii="黑体" w:hAnsi="黑体" w:eastAsia="黑体" w:cs="黑体"/>
          <w:spacing w:val="33"/>
          <w:sz w:val="24"/>
          <w:szCs w:val="24"/>
        </w:rPr>
        <w:t xml:space="preserve">  </w:t>
      </w:r>
      <w:r>
        <w:rPr>
          <w:rFonts w:ascii="黑体" w:hAnsi="黑体" w:eastAsia="黑体" w:cs="黑体"/>
          <w:spacing w:val="27"/>
          <w:sz w:val="24"/>
          <w:szCs w:val="24"/>
        </w:rPr>
        <w:t>评价方法及程序</w:t>
      </w:r>
    </w:p>
    <w:p w14:paraId="38A30F72">
      <w:pPr>
        <w:pStyle w:val="2"/>
        <w:spacing w:before="113" w:line="218" w:lineRule="auto"/>
        <w:ind w:left="560"/>
      </w:pPr>
      <w:r>
        <w:rPr>
          <w:spacing w:val="-2"/>
        </w:rPr>
        <w:t>确定采用的评价方法，并说明理由。制定评价工作程序。</w:t>
      </w:r>
    </w:p>
    <w:p w14:paraId="6C9093BE">
      <w:pPr>
        <w:spacing w:line="218" w:lineRule="auto"/>
        <w:sectPr>
          <w:footerReference r:id="rId486" w:type="default"/>
          <w:pgSz w:w="11910" w:h="17130"/>
          <w:pgMar w:top="1456" w:right="951" w:bottom="1570" w:left="1559" w:header="0" w:footer="1363" w:gutter="0"/>
          <w:cols w:space="720" w:num="1"/>
        </w:sectPr>
      </w:pPr>
    </w:p>
    <w:p w14:paraId="196E424F">
      <w:pPr>
        <w:spacing w:before="118" w:line="221" w:lineRule="auto"/>
        <w:rPr>
          <w:rFonts w:ascii="黑体" w:hAnsi="黑体" w:eastAsia="黑体" w:cs="黑体"/>
          <w:sz w:val="27"/>
          <w:szCs w:val="27"/>
        </w:rPr>
      </w:pPr>
      <w:r>
        <w:rPr>
          <w:rFonts w:ascii="黑体" w:hAnsi="黑体" w:eastAsia="黑体" w:cs="黑体"/>
          <w:spacing w:val="1"/>
          <w:sz w:val="27"/>
          <w:szCs w:val="27"/>
        </w:rPr>
        <w:t xml:space="preserve">9  </w:t>
      </w:r>
      <w:r>
        <w:rPr>
          <w:rFonts w:ascii="黑体" w:hAnsi="黑体" w:eastAsia="黑体" w:cs="黑体"/>
          <w:b/>
          <w:bCs/>
          <w:spacing w:val="1"/>
          <w:sz w:val="27"/>
          <w:szCs w:val="27"/>
        </w:rPr>
        <w:t>所需资源</w:t>
      </w:r>
    </w:p>
    <w:p w14:paraId="19FD40B8">
      <w:pPr>
        <w:pStyle w:val="2"/>
        <w:spacing w:before="102" w:line="219" w:lineRule="auto"/>
        <w:ind w:left="559"/>
        <w:rPr>
          <w:sz w:val="24"/>
          <w:szCs w:val="24"/>
        </w:rPr>
      </w:pPr>
      <w:r>
        <w:rPr>
          <w:spacing w:val="31"/>
          <w:sz w:val="24"/>
          <w:szCs w:val="24"/>
        </w:rPr>
        <w:t>按规定配备所需的资源。</w:t>
      </w:r>
    </w:p>
    <w:p w14:paraId="6A561C88">
      <w:pPr>
        <w:spacing w:before="90" w:line="222" w:lineRule="auto"/>
        <w:rPr>
          <w:rFonts w:ascii="黑体" w:hAnsi="黑体" w:eastAsia="黑体" w:cs="黑体"/>
          <w:sz w:val="27"/>
          <w:szCs w:val="27"/>
        </w:rPr>
      </w:pPr>
      <w:r>
        <w:rPr>
          <w:rFonts w:ascii="黑体" w:hAnsi="黑体" w:eastAsia="黑体" w:cs="黑体"/>
          <w:spacing w:val="-1"/>
          <w:sz w:val="27"/>
          <w:szCs w:val="27"/>
        </w:rPr>
        <w:t>10</w:t>
      </w:r>
      <w:r>
        <w:rPr>
          <w:rFonts w:ascii="黑体" w:hAnsi="黑体" w:eastAsia="黑体" w:cs="黑体"/>
          <w:spacing w:val="25"/>
          <w:sz w:val="27"/>
          <w:szCs w:val="27"/>
        </w:rPr>
        <w:t xml:space="preserve">  </w:t>
      </w:r>
      <w:r>
        <w:rPr>
          <w:rFonts w:ascii="黑体" w:hAnsi="黑体" w:eastAsia="黑体" w:cs="黑体"/>
          <w:b/>
          <w:bCs/>
          <w:spacing w:val="-1"/>
          <w:sz w:val="27"/>
          <w:szCs w:val="27"/>
        </w:rPr>
        <w:t>与其他评估的协调</w:t>
      </w:r>
    </w:p>
    <w:p w14:paraId="7B1D7ADA">
      <w:pPr>
        <w:pStyle w:val="2"/>
        <w:spacing w:before="59" w:line="295" w:lineRule="auto"/>
        <w:ind w:right="7" w:firstLine="559"/>
      </w:pPr>
      <w:r>
        <w:rPr>
          <w:spacing w:val="-3"/>
        </w:rPr>
        <w:t>使用期间测试性评价可以结合使用期间维修性评价、使用可靠性评估、保障</w:t>
      </w:r>
      <w:r>
        <w:rPr>
          <w:spacing w:val="9"/>
        </w:rPr>
        <w:t xml:space="preserve"> </w:t>
      </w:r>
      <w:r>
        <w:rPr>
          <w:spacing w:val="-3"/>
        </w:rPr>
        <w:t>性评估等一起进行，作出有关协调说明。</w:t>
      </w:r>
    </w:p>
    <w:p w14:paraId="6160E8FD">
      <w:pPr>
        <w:pStyle w:val="2"/>
        <w:spacing w:before="334" w:line="218" w:lineRule="auto"/>
        <w:ind w:left="2129"/>
        <w:outlineLvl w:val="1"/>
        <w:rPr>
          <w:sz w:val="36"/>
          <w:szCs w:val="36"/>
        </w:rPr>
      </w:pPr>
      <w:r>
        <w:rPr>
          <w:rFonts w:ascii="Times New Roman" w:hAnsi="Times New Roman" w:eastAsia="Times New Roman" w:cs="Times New Roman"/>
          <w:b/>
          <w:bCs/>
          <w:spacing w:val="3"/>
          <w:sz w:val="36"/>
          <w:szCs w:val="36"/>
        </w:rPr>
        <w:t>9.25</w:t>
      </w:r>
      <w:r>
        <w:rPr>
          <w:rFonts w:ascii="Times New Roman" w:hAnsi="Times New Roman" w:eastAsia="Times New Roman" w:cs="Times New Roman"/>
          <w:b/>
          <w:bCs/>
          <w:spacing w:val="2"/>
          <w:sz w:val="36"/>
          <w:szCs w:val="36"/>
        </w:rPr>
        <w:t xml:space="preserve">     </w:t>
      </w:r>
      <w:r>
        <w:rPr>
          <w:b/>
          <w:bCs/>
          <w:spacing w:val="3"/>
          <w:sz w:val="36"/>
          <w:szCs w:val="36"/>
        </w:rPr>
        <w:t>使用期间测试性评价报告</w:t>
      </w:r>
    </w:p>
    <w:p w14:paraId="0FD9BAEC">
      <w:pPr>
        <w:spacing w:line="315" w:lineRule="auto"/>
        <w:rPr>
          <w:rFonts w:ascii="Arial"/>
          <w:sz w:val="21"/>
        </w:rPr>
      </w:pPr>
    </w:p>
    <w:p w14:paraId="459B5335">
      <w:pPr>
        <w:pStyle w:val="2"/>
        <w:spacing w:before="92" w:line="223" w:lineRule="auto"/>
        <w:ind w:left="563"/>
        <w:rPr>
          <w:rFonts w:ascii="楷体" w:hAnsi="楷体" w:eastAsia="楷体" w:cs="楷体"/>
          <w:sz w:val="28"/>
          <w:szCs w:val="28"/>
        </w:rPr>
      </w:pPr>
      <w:r>
        <w:rPr>
          <w:rFonts w:ascii="楷体" w:hAnsi="楷体" w:eastAsia="楷体" w:cs="楷体"/>
          <w:b/>
          <w:bCs/>
          <w:spacing w:val="-15"/>
          <w:sz w:val="28"/>
          <w:szCs w:val="28"/>
        </w:rPr>
        <w:t>按照</w:t>
      </w:r>
      <w:r>
        <w:rPr>
          <w:rFonts w:ascii="Times New Roman" w:hAnsi="Times New Roman" w:eastAsia="Times New Roman" w:cs="Times New Roman"/>
          <w:b/>
          <w:bCs/>
          <w:spacing w:val="-15"/>
          <w:sz w:val="28"/>
          <w:szCs w:val="28"/>
        </w:rPr>
        <w:t>GJB 2547A</w:t>
      </w:r>
      <w:r>
        <w:rPr>
          <w:b/>
          <w:bCs/>
          <w:spacing w:val="-15"/>
          <w:sz w:val="28"/>
          <w:szCs w:val="28"/>
        </w:rPr>
        <w:t>《</w:t>
      </w:r>
      <w:r>
        <w:rPr>
          <w:rFonts w:ascii="楷体" w:hAnsi="楷体" w:eastAsia="楷体" w:cs="楷体"/>
          <w:b/>
          <w:bCs/>
          <w:spacing w:val="-15"/>
          <w:sz w:val="28"/>
          <w:szCs w:val="28"/>
        </w:rPr>
        <w:t>装备测试性工作通用要求》编写。</w:t>
      </w:r>
    </w:p>
    <w:p w14:paraId="66EEFE24">
      <w:pPr>
        <w:spacing w:before="89"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16"/>
          <w:sz w:val="27"/>
          <w:szCs w:val="27"/>
        </w:rPr>
        <w:t xml:space="preserve">  </w:t>
      </w:r>
      <w:r>
        <w:rPr>
          <w:rFonts w:ascii="黑体" w:hAnsi="黑体" w:eastAsia="黑体" w:cs="黑体"/>
          <w:b/>
          <w:bCs/>
          <w:spacing w:val="-13"/>
          <w:sz w:val="27"/>
          <w:szCs w:val="27"/>
        </w:rPr>
        <w:t>范围</w:t>
      </w:r>
    </w:p>
    <w:p w14:paraId="5649AEEC">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引用文件</w:t>
      </w:r>
    </w:p>
    <w:p w14:paraId="1F8A2CF3">
      <w:pPr>
        <w:spacing w:before="85"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1"/>
          <w:sz w:val="27"/>
          <w:szCs w:val="27"/>
        </w:rPr>
        <w:t xml:space="preserve">  </w:t>
      </w:r>
      <w:r>
        <w:rPr>
          <w:rFonts w:ascii="黑体" w:hAnsi="黑体" w:eastAsia="黑体" w:cs="黑体"/>
          <w:b/>
          <w:bCs/>
          <w:spacing w:val="-1"/>
          <w:sz w:val="27"/>
          <w:szCs w:val="27"/>
        </w:rPr>
        <w:t>数据的评价</w:t>
      </w:r>
    </w:p>
    <w:p w14:paraId="78BCC83A">
      <w:pPr>
        <w:pStyle w:val="2"/>
        <w:spacing w:before="69" w:line="282" w:lineRule="auto"/>
        <w:ind w:firstLine="559"/>
        <w:jc w:val="both"/>
      </w:pPr>
      <w:r>
        <w:rPr>
          <w:spacing w:val="-3"/>
        </w:rPr>
        <w:t>应对收集的测试性信息，按测试性评价内容进行分析、处理，确保获得可信</w:t>
      </w:r>
      <w:r>
        <w:rPr>
          <w:spacing w:val="16"/>
        </w:rPr>
        <w:t xml:space="preserve"> </w:t>
      </w:r>
      <w:r>
        <w:rPr>
          <w:spacing w:val="5"/>
        </w:rPr>
        <w:t>的评价结果及其他有用信息。当有关数据不能满足评价要求时，应采取必要措</w:t>
      </w:r>
      <w:r>
        <w:rPr>
          <w:spacing w:val="3"/>
        </w:rPr>
        <w:t xml:space="preserve"> </w:t>
      </w:r>
      <w:r>
        <w:rPr>
          <w:spacing w:val="2"/>
        </w:rPr>
        <w:t>施予以补充。</w:t>
      </w:r>
    </w:p>
    <w:p w14:paraId="00980E27">
      <w:pPr>
        <w:spacing w:line="221" w:lineRule="auto"/>
        <w:rPr>
          <w:rFonts w:ascii="黑体" w:hAnsi="黑体" w:eastAsia="黑体" w:cs="黑体"/>
          <w:sz w:val="25"/>
          <w:szCs w:val="25"/>
        </w:rPr>
      </w:pPr>
      <w:r>
        <w:rPr>
          <w:rFonts w:ascii="黑体" w:hAnsi="黑体" w:eastAsia="黑体" w:cs="黑体"/>
          <w:spacing w:val="15"/>
          <w:sz w:val="25"/>
          <w:szCs w:val="25"/>
        </w:rPr>
        <w:t>4</w:t>
      </w:r>
      <w:r>
        <w:rPr>
          <w:rFonts w:ascii="黑体" w:hAnsi="黑体" w:eastAsia="黑体" w:cs="黑体"/>
          <w:spacing w:val="21"/>
          <w:sz w:val="25"/>
          <w:szCs w:val="25"/>
        </w:rPr>
        <w:t xml:space="preserve">  </w:t>
      </w:r>
      <w:r>
        <w:rPr>
          <w:rFonts w:ascii="黑体" w:hAnsi="黑体" w:eastAsia="黑体" w:cs="黑体"/>
          <w:b/>
          <w:bCs/>
          <w:spacing w:val="15"/>
          <w:sz w:val="25"/>
          <w:szCs w:val="25"/>
        </w:rPr>
        <w:t>分析过程</w:t>
      </w:r>
    </w:p>
    <w:p w14:paraId="7315007E">
      <w:pPr>
        <w:pStyle w:val="2"/>
        <w:spacing w:before="95" w:line="279" w:lineRule="auto"/>
        <w:ind w:right="2" w:firstLine="559"/>
      </w:pPr>
      <w:r>
        <w:rPr>
          <w:spacing w:val="-3"/>
        </w:rPr>
        <w:t>依据使用期间测试性评价计划中要求的评价方法，制定的评价程序，对各项</w:t>
      </w:r>
      <w:r>
        <w:rPr>
          <w:spacing w:val="14"/>
        </w:rPr>
        <w:t xml:space="preserve"> </w:t>
      </w:r>
      <w:r>
        <w:t>内容进行的分析评价过程。</w:t>
      </w:r>
    </w:p>
    <w:p w14:paraId="19B60D76">
      <w:pPr>
        <w:spacing w:before="1" w:line="221" w:lineRule="auto"/>
        <w:rPr>
          <w:rFonts w:ascii="黑体" w:hAnsi="黑体" w:eastAsia="黑体" w:cs="黑体"/>
          <w:sz w:val="27"/>
          <w:szCs w:val="27"/>
        </w:rPr>
      </w:pPr>
      <w:r>
        <w:rPr>
          <w:rFonts w:ascii="黑体" w:hAnsi="黑体" w:eastAsia="黑体" w:cs="黑体"/>
          <w:spacing w:val="2"/>
          <w:sz w:val="27"/>
          <w:szCs w:val="27"/>
        </w:rPr>
        <w:t xml:space="preserve">5  </w:t>
      </w:r>
      <w:r>
        <w:rPr>
          <w:rFonts w:ascii="黑体" w:hAnsi="黑体" w:eastAsia="黑体" w:cs="黑体"/>
          <w:b/>
          <w:bCs/>
          <w:spacing w:val="2"/>
          <w:sz w:val="27"/>
          <w:szCs w:val="27"/>
        </w:rPr>
        <w:t>分析评价结论</w:t>
      </w:r>
    </w:p>
    <w:p w14:paraId="2C4913FC">
      <w:pPr>
        <w:pStyle w:val="2"/>
        <w:spacing w:before="98" w:line="218" w:lineRule="auto"/>
        <w:ind w:left="559"/>
      </w:pPr>
      <w:r>
        <w:rPr>
          <w:spacing w:val="-3"/>
        </w:rPr>
        <w:t>依据评价准则、判据得出的分析评价结论。</w:t>
      </w:r>
    </w:p>
    <w:p w14:paraId="30E0029F">
      <w:pPr>
        <w:spacing w:before="71" w:line="223"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0"/>
          <w:sz w:val="27"/>
          <w:szCs w:val="27"/>
        </w:rPr>
        <w:t xml:space="preserve">  </w:t>
      </w:r>
      <w:r>
        <w:rPr>
          <w:rFonts w:ascii="黑体" w:hAnsi="黑体" w:eastAsia="黑体" w:cs="黑体"/>
          <w:b/>
          <w:bCs/>
          <w:spacing w:val="-2"/>
          <w:sz w:val="27"/>
          <w:szCs w:val="27"/>
        </w:rPr>
        <w:t>纠正措施</w:t>
      </w:r>
    </w:p>
    <w:p w14:paraId="1978DBD8">
      <w:pPr>
        <w:pStyle w:val="2"/>
        <w:spacing w:before="87" w:line="220" w:lineRule="auto"/>
        <w:ind w:left="559"/>
      </w:pPr>
      <w:r>
        <w:rPr>
          <w:spacing w:val="3"/>
        </w:rPr>
        <w:t>提出对发现问题的纠正措施建议。</w:t>
      </w:r>
    </w:p>
    <w:p w14:paraId="37869501">
      <w:pPr>
        <w:spacing w:before="92" w:line="222" w:lineRule="auto"/>
        <w:rPr>
          <w:rFonts w:ascii="黑体" w:hAnsi="黑体" w:eastAsia="黑体" w:cs="黑体"/>
          <w:sz w:val="25"/>
          <w:szCs w:val="25"/>
        </w:rPr>
      </w:pPr>
      <w:r>
        <w:rPr>
          <w:rFonts w:ascii="黑体" w:hAnsi="黑体" w:eastAsia="黑体" w:cs="黑体"/>
          <w:spacing w:val="14"/>
          <w:sz w:val="25"/>
          <w:szCs w:val="25"/>
        </w:rPr>
        <w:t>7</w:t>
      </w:r>
      <w:r>
        <w:rPr>
          <w:rFonts w:ascii="黑体" w:hAnsi="黑体" w:eastAsia="黑体" w:cs="黑体"/>
          <w:spacing w:val="35"/>
          <w:sz w:val="25"/>
          <w:szCs w:val="25"/>
        </w:rPr>
        <w:t xml:space="preserve">  </w:t>
      </w:r>
      <w:r>
        <w:rPr>
          <w:rFonts w:ascii="黑体" w:hAnsi="黑体" w:eastAsia="黑体" w:cs="黑体"/>
          <w:b/>
          <w:bCs/>
          <w:spacing w:val="14"/>
          <w:sz w:val="25"/>
          <w:szCs w:val="25"/>
        </w:rPr>
        <w:t>改进建议</w:t>
      </w:r>
    </w:p>
    <w:p w14:paraId="10CB81AF">
      <w:pPr>
        <w:pStyle w:val="2"/>
        <w:spacing w:before="105" w:line="219" w:lineRule="auto"/>
        <w:ind w:left="559"/>
      </w:pPr>
      <w:r>
        <w:rPr>
          <w:spacing w:val="4"/>
        </w:rPr>
        <w:t>对装备的测试性缺陷提出设计改进建议。</w:t>
      </w:r>
    </w:p>
    <w:p w14:paraId="2BBD5653">
      <w:pPr>
        <w:spacing w:before="94" w:line="221" w:lineRule="auto"/>
        <w:rPr>
          <w:rFonts w:ascii="黑体" w:hAnsi="黑体" w:eastAsia="黑体" w:cs="黑体"/>
          <w:sz w:val="27"/>
          <w:szCs w:val="27"/>
        </w:rPr>
      </w:pPr>
      <w:r>
        <w:rPr>
          <w:rFonts w:ascii="黑体" w:hAnsi="黑体" w:eastAsia="黑体" w:cs="黑体"/>
          <w:spacing w:val="3"/>
          <w:sz w:val="27"/>
          <w:szCs w:val="27"/>
        </w:rPr>
        <w:t xml:space="preserve">8  </w:t>
      </w:r>
      <w:r>
        <w:rPr>
          <w:rFonts w:ascii="黑体" w:hAnsi="黑体" w:eastAsia="黑体" w:cs="黑体"/>
          <w:b/>
          <w:bCs/>
          <w:spacing w:val="3"/>
          <w:sz w:val="27"/>
          <w:szCs w:val="27"/>
        </w:rPr>
        <w:t>有关说明</w:t>
      </w:r>
    </w:p>
    <w:p w14:paraId="46228D3F">
      <w:pPr>
        <w:pStyle w:val="2"/>
        <w:spacing w:before="100" w:line="218" w:lineRule="auto"/>
        <w:ind w:left="559"/>
      </w:pPr>
      <w:r>
        <w:rPr>
          <w:spacing w:val="-4"/>
        </w:rPr>
        <w:t>对有关情况进行说明，如与可靠性、测试性等有关评价协调进行等情况。</w:t>
      </w:r>
    </w:p>
    <w:p w14:paraId="1222AE9B">
      <w:pPr>
        <w:spacing w:line="323" w:lineRule="auto"/>
        <w:rPr>
          <w:rFonts w:ascii="Arial"/>
          <w:sz w:val="21"/>
        </w:rPr>
      </w:pPr>
    </w:p>
    <w:p w14:paraId="7DB9C469">
      <w:pPr>
        <w:pStyle w:val="2"/>
        <w:spacing w:before="118" w:line="219" w:lineRule="auto"/>
        <w:ind w:left="2139"/>
        <w:outlineLvl w:val="1"/>
        <w:rPr>
          <w:sz w:val="36"/>
          <w:szCs w:val="36"/>
        </w:rPr>
      </w:pPr>
      <w:r>
        <w:rPr>
          <w:rFonts w:ascii="Times New Roman" w:hAnsi="Times New Roman" w:eastAsia="Times New Roman" w:cs="Times New Roman"/>
          <w:b/>
          <w:bCs/>
          <w:spacing w:val="2"/>
          <w:sz w:val="36"/>
          <w:szCs w:val="36"/>
        </w:rPr>
        <w:t xml:space="preserve">9.26     </w:t>
      </w:r>
      <w:r>
        <w:rPr>
          <w:b/>
          <w:bCs/>
          <w:spacing w:val="2"/>
          <w:sz w:val="36"/>
          <w:szCs w:val="36"/>
        </w:rPr>
        <w:t>使用期间测试性改进计划</w:t>
      </w:r>
    </w:p>
    <w:p w14:paraId="5FAA738B">
      <w:pPr>
        <w:spacing w:line="324" w:lineRule="auto"/>
        <w:rPr>
          <w:rFonts w:ascii="Arial"/>
          <w:sz w:val="21"/>
        </w:rPr>
      </w:pPr>
    </w:p>
    <w:p w14:paraId="1417FA7F">
      <w:pPr>
        <w:pStyle w:val="2"/>
        <w:spacing w:before="91" w:line="223" w:lineRule="auto"/>
        <w:ind w:left="559"/>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2547A</w:t>
      </w:r>
      <w:r>
        <w:rPr>
          <w:spacing w:val="-11"/>
          <w:sz w:val="28"/>
          <w:szCs w:val="28"/>
        </w:rPr>
        <w:t>《</w:t>
      </w:r>
      <w:r>
        <w:rPr>
          <w:rFonts w:ascii="楷体" w:hAnsi="楷体" w:eastAsia="楷体" w:cs="楷体"/>
          <w:spacing w:val="-11"/>
          <w:sz w:val="28"/>
          <w:szCs w:val="28"/>
        </w:rPr>
        <w:t>装备测试性工作通用要求》编写。</w:t>
      </w:r>
    </w:p>
    <w:p w14:paraId="28E377B1">
      <w:pPr>
        <w:spacing w:before="105" w:line="223" w:lineRule="auto"/>
        <w:rPr>
          <w:rFonts w:ascii="黑体" w:hAnsi="黑体" w:eastAsia="黑体" w:cs="黑体"/>
          <w:sz w:val="24"/>
          <w:szCs w:val="24"/>
        </w:rPr>
      </w:pPr>
      <w:r>
        <w:rPr>
          <w:rFonts w:ascii="黑体" w:hAnsi="黑体" w:eastAsia="黑体" w:cs="黑体"/>
          <w:spacing w:val="-14"/>
          <w:sz w:val="24"/>
          <w:szCs w:val="24"/>
        </w:rPr>
        <w:t>1</w:t>
      </w:r>
      <w:r>
        <w:rPr>
          <w:rFonts w:ascii="黑体" w:hAnsi="黑体" w:eastAsia="黑体" w:cs="黑体"/>
          <w:spacing w:val="38"/>
          <w:sz w:val="24"/>
          <w:szCs w:val="24"/>
        </w:rPr>
        <w:t xml:space="preserve">  </w:t>
      </w:r>
      <w:r>
        <w:rPr>
          <w:rFonts w:ascii="黑体" w:hAnsi="黑体" w:eastAsia="黑体" w:cs="黑体"/>
          <w:b/>
          <w:bCs/>
          <w:spacing w:val="-14"/>
          <w:sz w:val="24"/>
          <w:szCs w:val="24"/>
        </w:rPr>
        <w:t>范</w:t>
      </w:r>
      <w:r>
        <w:rPr>
          <w:rFonts w:ascii="黑体" w:hAnsi="黑体" w:eastAsia="黑体" w:cs="黑体"/>
          <w:spacing w:val="-26"/>
          <w:sz w:val="24"/>
          <w:szCs w:val="24"/>
        </w:rPr>
        <w:t xml:space="preserve"> </w:t>
      </w:r>
      <w:r>
        <w:rPr>
          <w:rFonts w:ascii="黑体" w:hAnsi="黑体" w:eastAsia="黑体" w:cs="黑体"/>
          <w:b/>
          <w:bCs/>
          <w:spacing w:val="-14"/>
          <w:sz w:val="24"/>
          <w:szCs w:val="24"/>
        </w:rPr>
        <w:t>围</w:t>
      </w:r>
    </w:p>
    <w:p w14:paraId="0670B867">
      <w:pPr>
        <w:spacing w:before="108" w:line="222" w:lineRule="auto"/>
        <w:rPr>
          <w:rFonts w:ascii="黑体" w:hAnsi="黑体" w:eastAsia="黑体" w:cs="黑体"/>
          <w:sz w:val="24"/>
          <w:szCs w:val="24"/>
        </w:rPr>
      </w:pPr>
      <w:r>
        <w:rPr>
          <w:rFonts w:ascii="黑体" w:hAnsi="黑体" w:eastAsia="黑体" w:cs="黑体"/>
          <w:spacing w:val="23"/>
          <w:sz w:val="24"/>
          <w:szCs w:val="24"/>
        </w:rPr>
        <w:t>2</w:t>
      </w:r>
      <w:r>
        <w:rPr>
          <w:rFonts w:ascii="黑体" w:hAnsi="黑体" w:eastAsia="黑体" w:cs="黑体"/>
          <w:spacing w:val="30"/>
          <w:sz w:val="24"/>
          <w:szCs w:val="24"/>
        </w:rPr>
        <w:t xml:space="preserve">  </w:t>
      </w:r>
      <w:r>
        <w:rPr>
          <w:rFonts w:ascii="黑体" w:hAnsi="黑体" w:eastAsia="黑体" w:cs="黑体"/>
          <w:b/>
          <w:bCs/>
          <w:spacing w:val="23"/>
          <w:sz w:val="24"/>
          <w:szCs w:val="24"/>
        </w:rPr>
        <w:t>引用文件</w:t>
      </w:r>
    </w:p>
    <w:p w14:paraId="36318EB0">
      <w:pPr>
        <w:spacing w:before="121" w:line="222" w:lineRule="auto"/>
        <w:rPr>
          <w:rFonts w:ascii="黑体" w:hAnsi="黑体" w:eastAsia="黑体" w:cs="黑体"/>
          <w:sz w:val="24"/>
          <w:szCs w:val="24"/>
        </w:rPr>
      </w:pPr>
      <w:r>
        <w:rPr>
          <w:rFonts w:ascii="黑体" w:hAnsi="黑体" w:eastAsia="黑体" w:cs="黑体"/>
          <w:spacing w:val="27"/>
          <w:sz w:val="24"/>
          <w:szCs w:val="24"/>
        </w:rPr>
        <w:t>3</w:t>
      </w:r>
      <w:r>
        <w:rPr>
          <w:rFonts w:ascii="黑体" w:hAnsi="黑体" w:eastAsia="黑体" w:cs="黑体"/>
          <w:spacing w:val="35"/>
          <w:sz w:val="24"/>
          <w:szCs w:val="24"/>
        </w:rPr>
        <w:t xml:space="preserve">  </w:t>
      </w:r>
      <w:r>
        <w:rPr>
          <w:rFonts w:ascii="黑体" w:hAnsi="黑体" w:eastAsia="黑体" w:cs="黑体"/>
          <w:b/>
          <w:bCs/>
          <w:spacing w:val="27"/>
          <w:sz w:val="24"/>
          <w:szCs w:val="24"/>
        </w:rPr>
        <w:t>确定改进项目及其目标</w:t>
      </w:r>
    </w:p>
    <w:p w14:paraId="1889DC6C">
      <w:pPr>
        <w:pStyle w:val="2"/>
        <w:spacing w:before="137" w:line="219" w:lineRule="auto"/>
        <w:ind w:right="7"/>
        <w:jc w:val="right"/>
        <w:rPr>
          <w:sz w:val="25"/>
          <w:szCs w:val="25"/>
        </w:rPr>
      </w:pPr>
      <w:r>
        <w:rPr>
          <w:spacing w:val="26"/>
          <w:sz w:val="25"/>
          <w:szCs w:val="25"/>
        </w:rPr>
        <w:t>根据装备在使用中发现的测试性问题和相关技</w:t>
      </w:r>
      <w:r>
        <w:rPr>
          <w:spacing w:val="25"/>
          <w:sz w:val="25"/>
          <w:szCs w:val="25"/>
        </w:rPr>
        <w:t>术的发展，通过必要的权衡</w:t>
      </w:r>
    </w:p>
    <w:p w14:paraId="75E65B14">
      <w:pPr>
        <w:spacing w:line="219" w:lineRule="auto"/>
        <w:rPr>
          <w:sz w:val="25"/>
          <w:szCs w:val="25"/>
        </w:rPr>
        <w:sectPr>
          <w:footerReference r:id="rId487" w:type="default"/>
          <w:pgSz w:w="11910" w:h="17130"/>
          <w:pgMar w:top="1456" w:right="1591" w:bottom="1636" w:left="930" w:header="0" w:footer="1447" w:gutter="0"/>
          <w:cols w:space="720" w:num="1"/>
        </w:sectPr>
      </w:pPr>
    </w:p>
    <w:p w14:paraId="75EDEFEB">
      <w:pPr>
        <w:pStyle w:val="2"/>
        <w:spacing w:before="55" w:line="293" w:lineRule="auto"/>
        <w:ind w:left="3" w:right="19"/>
        <w:jc w:val="both"/>
      </w:pPr>
      <w:r>
        <w:rPr>
          <w:spacing w:val="5"/>
        </w:rPr>
        <w:t>分析或试验确定需要改进的项目及改进目标。改进项目是那些对使用安全和性</w:t>
      </w:r>
      <w:r>
        <w:t xml:space="preserve"> </w:t>
      </w:r>
      <w:r>
        <w:rPr>
          <w:spacing w:val="-3"/>
        </w:rPr>
        <w:t>能监测、减少维修消耗时间、降低维修技术难度、降低使用费用有重要影响和效</w:t>
      </w:r>
      <w:r>
        <w:rPr>
          <w:spacing w:val="5"/>
        </w:rPr>
        <w:t xml:space="preserve"> </w:t>
      </w:r>
      <w:r>
        <w:rPr>
          <w:spacing w:val="-1"/>
        </w:rPr>
        <w:t>果的项目。</w:t>
      </w:r>
    </w:p>
    <w:p w14:paraId="19617976">
      <w:pPr>
        <w:spacing w:before="1" w:line="220" w:lineRule="auto"/>
        <w:ind w:left="3"/>
        <w:rPr>
          <w:rFonts w:ascii="黑体" w:hAnsi="黑体" w:eastAsia="黑体" w:cs="黑体"/>
          <w:sz w:val="24"/>
          <w:szCs w:val="24"/>
        </w:rPr>
      </w:pPr>
      <w:r>
        <w:rPr>
          <w:rFonts w:ascii="黑体" w:hAnsi="黑体" w:eastAsia="黑体" w:cs="黑体"/>
          <w:spacing w:val="18"/>
          <w:sz w:val="24"/>
          <w:szCs w:val="24"/>
        </w:rPr>
        <w:t>4</w:t>
      </w:r>
      <w:r>
        <w:rPr>
          <w:rFonts w:ascii="黑体" w:hAnsi="黑体" w:eastAsia="黑体" w:cs="黑体"/>
          <w:spacing w:val="31"/>
          <w:sz w:val="24"/>
          <w:szCs w:val="24"/>
        </w:rPr>
        <w:t xml:space="preserve">  </w:t>
      </w:r>
      <w:r>
        <w:rPr>
          <w:rFonts w:ascii="黑体" w:hAnsi="黑体" w:eastAsia="黑体" w:cs="黑体"/>
          <w:spacing w:val="18"/>
          <w:sz w:val="24"/>
          <w:szCs w:val="24"/>
        </w:rPr>
        <w:t>改进单位、人员及其职责</w:t>
      </w:r>
    </w:p>
    <w:p w14:paraId="611A7AD6">
      <w:pPr>
        <w:pStyle w:val="2"/>
        <w:spacing w:before="96" w:line="219" w:lineRule="auto"/>
        <w:ind w:left="553"/>
      </w:pPr>
      <w:r>
        <w:rPr>
          <w:spacing w:val="-3"/>
        </w:rPr>
        <w:t>确定进行测试性改进的单位、人员及其职责。</w:t>
      </w:r>
    </w:p>
    <w:p w14:paraId="078E6DC5">
      <w:pPr>
        <w:pStyle w:val="2"/>
        <w:spacing w:before="99" w:line="219" w:lineRule="auto"/>
        <w:ind w:left="553"/>
      </w:pPr>
      <w:r>
        <w:rPr>
          <w:spacing w:val="-2"/>
        </w:rPr>
        <w:t>测试性改进应有专门的组织负责管理，其主要职责是：</w:t>
      </w:r>
    </w:p>
    <w:p w14:paraId="3EC80C74">
      <w:pPr>
        <w:pStyle w:val="2"/>
        <w:spacing w:before="49" w:line="212" w:lineRule="auto"/>
        <w:ind w:left="553"/>
      </w:pPr>
      <w:r>
        <w:rPr>
          <w:rFonts w:ascii="Times New Roman" w:hAnsi="Times New Roman" w:eastAsia="Times New Roman" w:cs="Times New Roman"/>
          <w:spacing w:val="2"/>
        </w:rPr>
        <w:t xml:space="preserve">a)  </w:t>
      </w:r>
      <w:r>
        <w:rPr>
          <w:spacing w:val="2"/>
        </w:rPr>
        <w:t>组织论证并确定测试性改进项目；</w:t>
      </w:r>
    </w:p>
    <w:p w14:paraId="53BD2469">
      <w:pPr>
        <w:pStyle w:val="2"/>
        <w:spacing w:before="109" w:line="212" w:lineRule="auto"/>
        <w:ind w:left="553"/>
      </w:pPr>
      <w:r>
        <w:rPr>
          <w:rFonts w:ascii="Times New Roman" w:hAnsi="Times New Roman" w:eastAsia="Times New Roman" w:cs="Times New Roman"/>
          <w:spacing w:val="3"/>
        </w:rPr>
        <w:t xml:space="preserve">b)  </w:t>
      </w:r>
      <w:r>
        <w:rPr>
          <w:spacing w:val="3"/>
        </w:rPr>
        <w:t>制定测试性改进计划；</w:t>
      </w:r>
    </w:p>
    <w:p w14:paraId="35FFE90A">
      <w:pPr>
        <w:pStyle w:val="2"/>
        <w:spacing w:before="90" w:line="212" w:lineRule="auto"/>
        <w:ind w:left="553"/>
      </w:pPr>
      <w:r>
        <w:rPr>
          <w:rFonts w:ascii="Times New Roman" w:hAnsi="Times New Roman" w:eastAsia="Times New Roman" w:cs="Times New Roman"/>
          <w:spacing w:val="-4"/>
        </w:rPr>
        <w:t xml:space="preserve">c)  </w:t>
      </w:r>
      <w:r>
        <w:rPr>
          <w:spacing w:val="-4"/>
        </w:rPr>
        <w:t>组织对改进项目、改进方案的评审；</w:t>
      </w:r>
    </w:p>
    <w:p w14:paraId="69F6304D">
      <w:pPr>
        <w:pStyle w:val="2"/>
        <w:spacing w:before="100" w:line="212" w:lineRule="auto"/>
        <w:ind w:left="553"/>
      </w:pPr>
      <w:r>
        <w:rPr>
          <w:rFonts w:ascii="Times New Roman" w:hAnsi="Times New Roman" w:eastAsia="Times New Roman" w:cs="Times New Roman"/>
          <w:spacing w:val="2"/>
        </w:rPr>
        <w:t xml:space="preserve">d)  </w:t>
      </w:r>
      <w:r>
        <w:rPr>
          <w:spacing w:val="2"/>
        </w:rPr>
        <w:t>对改进的过程进行跟踪；</w:t>
      </w:r>
    </w:p>
    <w:p w14:paraId="7118612B">
      <w:pPr>
        <w:pStyle w:val="2"/>
        <w:spacing w:before="131" w:line="219" w:lineRule="auto"/>
        <w:ind w:left="553"/>
      </w:pPr>
      <w:r>
        <w:rPr>
          <w:rFonts w:ascii="Times New Roman" w:hAnsi="Times New Roman" w:eastAsia="Times New Roman" w:cs="Times New Roman"/>
          <w:spacing w:val="10"/>
        </w:rPr>
        <w:t>e</w:t>
      </w:r>
      <w:r>
        <w:rPr>
          <w:spacing w:val="10"/>
        </w:rPr>
        <w:t>)组织改进项目的验证；</w:t>
      </w:r>
    </w:p>
    <w:p w14:paraId="438C0A90">
      <w:pPr>
        <w:pStyle w:val="2"/>
        <w:spacing w:before="59" w:line="212" w:lineRule="auto"/>
        <w:ind w:left="553"/>
      </w:pPr>
      <w:r>
        <w:rPr>
          <w:rFonts w:ascii="Times New Roman" w:hAnsi="Times New Roman" w:eastAsia="Times New Roman" w:cs="Times New Roman"/>
          <w:spacing w:val="2"/>
        </w:rPr>
        <w:t xml:space="preserve">f)  </w:t>
      </w:r>
      <w:r>
        <w:rPr>
          <w:spacing w:val="2"/>
        </w:rPr>
        <w:t>编制测试性改进项目报告等。</w:t>
      </w:r>
    </w:p>
    <w:p w14:paraId="58901485">
      <w:pPr>
        <w:spacing w:before="59" w:line="368" w:lineRule="exact"/>
        <w:ind w:left="3"/>
        <w:rPr>
          <w:rFonts w:ascii="黑体" w:hAnsi="黑体" w:eastAsia="黑体" w:cs="黑体"/>
          <w:sz w:val="27"/>
          <w:szCs w:val="27"/>
        </w:rPr>
      </w:pPr>
      <w:r>
        <w:rPr>
          <w:rFonts w:ascii="Arial" w:hAnsi="Arial" w:eastAsia="Arial" w:cs="Arial"/>
          <w:spacing w:val="2"/>
          <w:position w:val="1"/>
          <w:sz w:val="27"/>
          <w:szCs w:val="27"/>
        </w:rPr>
        <w:t>5</w:t>
      </w:r>
      <w:r>
        <w:rPr>
          <w:rFonts w:ascii="Arial" w:hAnsi="Arial" w:eastAsia="Arial" w:cs="Arial"/>
          <w:spacing w:val="15"/>
          <w:position w:val="1"/>
          <w:sz w:val="27"/>
          <w:szCs w:val="27"/>
        </w:rPr>
        <w:t xml:space="preserve">   </w:t>
      </w:r>
      <w:r>
        <w:rPr>
          <w:rFonts w:ascii="黑体" w:hAnsi="黑体" w:eastAsia="黑体" w:cs="黑体"/>
          <w:spacing w:val="2"/>
          <w:position w:val="1"/>
          <w:sz w:val="27"/>
          <w:szCs w:val="27"/>
        </w:rPr>
        <w:t>改进方案</w:t>
      </w:r>
    </w:p>
    <w:p w14:paraId="28B6DC04">
      <w:pPr>
        <w:pStyle w:val="2"/>
        <w:spacing w:before="84" w:line="273" w:lineRule="auto"/>
        <w:ind w:left="3" w:firstLine="550"/>
      </w:pPr>
      <w:r>
        <w:rPr>
          <w:spacing w:val="6"/>
        </w:rPr>
        <w:t>针对确定的改进项目的目标，制定改进方案</w:t>
      </w:r>
      <w:r>
        <w:rPr>
          <w:spacing w:val="5"/>
        </w:rPr>
        <w:t>。使用期间装备测试性的改进</w:t>
      </w:r>
      <w:r>
        <w:t xml:space="preserve"> </w:t>
      </w:r>
      <w:r>
        <w:rPr>
          <w:spacing w:val="-4"/>
        </w:rPr>
        <w:t>方法应依据具体问题确定，主要途径包括：</w:t>
      </w:r>
    </w:p>
    <w:p w14:paraId="5996EA15">
      <w:pPr>
        <w:pStyle w:val="2"/>
        <w:spacing w:line="212" w:lineRule="auto"/>
        <w:ind w:left="553"/>
      </w:pPr>
      <w:r>
        <w:rPr>
          <w:rFonts w:ascii="Times New Roman" w:hAnsi="Times New Roman" w:eastAsia="Times New Roman" w:cs="Times New Roman"/>
          <w:spacing w:val="-4"/>
        </w:rPr>
        <w:t xml:space="preserve">a)  </w:t>
      </w:r>
      <w:r>
        <w:rPr>
          <w:spacing w:val="-4"/>
        </w:rPr>
        <w:t>改进产品测试性设计，如调整检测门限、修正故障判别和诊断程序等；</w:t>
      </w:r>
    </w:p>
    <w:p w14:paraId="1832E2A7">
      <w:pPr>
        <w:pStyle w:val="2"/>
        <w:spacing w:before="100" w:line="212" w:lineRule="auto"/>
        <w:ind w:left="553"/>
      </w:pPr>
      <w:r>
        <w:rPr>
          <w:rFonts w:ascii="Times New Roman" w:hAnsi="Times New Roman" w:eastAsia="Times New Roman" w:cs="Times New Roman"/>
          <w:spacing w:val="2"/>
        </w:rPr>
        <w:t xml:space="preserve">b)  </w:t>
      </w:r>
      <w:r>
        <w:rPr>
          <w:spacing w:val="2"/>
        </w:rPr>
        <w:t>改进维修检测与使用方法；</w:t>
      </w:r>
    </w:p>
    <w:p w14:paraId="2505F9D7">
      <w:pPr>
        <w:pStyle w:val="2"/>
        <w:spacing w:before="100" w:line="212" w:lineRule="auto"/>
        <w:ind w:left="553"/>
      </w:pPr>
      <w:r>
        <w:rPr>
          <w:rFonts w:ascii="Times New Roman" w:hAnsi="Times New Roman" w:eastAsia="Times New Roman" w:cs="Times New Roman"/>
          <w:spacing w:val="3"/>
        </w:rPr>
        <w:t>c)</w:t>
      </w:r>
      <w:r>
        <w:rPr>
          <w:rFonts w:ascii="Times New Roman" w:hAnsi="Times New Roman" w:eastAsia="Times New Roman" w:cs="Times New Roman"/>
          <w:spacing w:val="68"/>
          <w:w w:val="101"/>
        </w:rPr>
        <w:t xml:space="preserve"> </w:t>
      </w:r>
      <w:r>
        <w:rPr>
          <w:spacing w:val="3"/>
        </w:rPr>
        <w:t>改进有关测试设备及保障系统；</w:t>
      </w:r>
    </w:p>
    <w:p w14:paraId="12D1BE2F">
      <w:pPr>
        <w:pStyle w:val="2"/>
        <w:spacing w:before="100" w:line="212" w:lineRule="auto"/>
        <w:ind w:left="553"/>
      </w:pPr>
      <w:r>
        <w:rPr>
          <w:rFonts w:ascii="Times New Roman" w:hAnsi="Times New Roman" w:eastAsia="Times New Roman" w:cs="Times New Roman"/>
          <w:spacing w:val="3"/>
        </w:rPr>
        <w:t xml:space="preserve">d)  </w:t>
      </w:r>
      <w:r>
        <w:rPr>
          <w:spacing w:val="3"/>
        </w:rPr>
        <w:t>选用测试性好的新产品替换有问题的产品等。</w:t>
      </w:r>
    </w:p>
    <w:p w14:paraId="730DF5E7">
      <w:pPr>
        <w:spacing w:before="121" w:line="222" w:lineRule="auto"/>
        <w:ind w:left="3"/>
        <w:rPr>
          <w:rFonts w:ascii="黑体" w:hAnsi="黑体" w:eastAsia="黑体" w:cs="黑体"/>
          <w:sz w:val="27"/>
          <w:szCs w:val="27"/>
        </w:rPr>
      </w:pPr>
      <w:r>
        <w:rPr>
          <w:rFonts w:ascii="黑体" w:hAnsi="黑体" w:eastAsia="黑体" w:cs="黑体"/>
          <w:spacing w:val="3"/>
          <w:sz w:val="27"/>
          <w:szCs w:val="27"/>
        </w:rPr>
        <w:t>6  经费安排</w:t>
      </w:r>
    </w:p>
    <w:p w14:paraId="310AEA8A">
      <w:pPr>
        <w:pStyle w:val="2"/>
        <w:spacing w:before="86" w:line="220" w:lineRule="auto"/>
        <w:ind w:left="553"/>
      </w:pPr>
      <w:r>
        <w:t>确定经费需求。</w:t>
      </w:r>
    </w:p>
    <w:p w14:paraId="4A979229">
      <w:pPr>
        <w:spacing w:before="114" w:line="222" w:lineRule="auto"/>
        <w:ind w:left="3"/>
        <w:rPr>
          <w:rFonts w:ascii="黑体" w:hAnsi="黑体" w:eastAsia="黑体" w:cs="黑体"/>
          <w:sz w:val="24"/>
          <w:szCs w:val="24"/>
        </w:rPr>
      </w:pPr>
      <w:r>
        <w:rPr>
          <w:rFonts w:ascii="黑体" w:hAnsi="黑体" w:eastAsia="黑体" w:cs="黑体"/>
          <w:spacing w:val="25"/>
          <w:sz w:val="24"/>
          <w:szCs w:val="24"/>
        </w:rPr>
        <w:t>7</w:t>
      </w:r>
      <w:r>
        <w:rPr>
          <w:rFonts w:ascii="黑体" w:hAnsi="黑体" w:eastAsia="黑体" w:cs="黑体"/>
          <w:spacing w:val="31"/>
          <w:sz w:val="24"/>
          <w:szCs w:val="24"/>
        </w:rPr>
        <w:t xml:space="preserve">  </w:t>
      </w:r>
      <w:r>
        <w:rPr>
          <w:rFonts w:ascii="黑体" w:hAnsi="黑体" w:eastAsia="黑体" w:cs="黑体"/>
          <w:spacing w:val="25"/>
          <w:sz w:val="24"/>
          <w:szCs w:val="24"/>
        </w:rPr>
        <w:t>进度安排</w:t>
      </w:r>
    </w:p>
    <w:p w14:paraId="5B4B4012">
      <w:pPr>
        <w:pStyle w:val="2"/>
        <w:spacing w:before="85" w:line="219" w:lineRule="auto"/>
        <w:ind w:left="553"/>
      </w:pPr>
      <w:r>
        <w:rPr>
          <w:spacing w:val="1"/>
        </w:rPr>
        <w:t>明确测试性改进工作进度安排。</w:t>
      </w:r>
    </w:p>
    <w:p w14:paraId="3DF3E336">
      <w:pPr>
        <w:spacing w:before="38" w:line="368" w:lineRule="exact"/>
        <w:ind w:left="3"/>
        <w:rPr>
          <w:rFonts w:ascii="黑体" w:hAnsi="黑体" w:eastAsia="黑体" w:cs="黑体"/>
          <w:sz w:val="27"/>
          <w:szCs w:val="27"/>
        </w:rPr>
      </w:pPr>
      <w:r>
        <w:rPr>
          <w:rFonts w:ascii="Arial" w:hAnsi="Arial" w:eastAsia="Arial" w:cs="Arial"/>
          <w:spacing w:val="1"/>
          <w:position w:val="1"/>
          <w:sz w:val="27"/>
          <w:szCs w:val="27"/>
        </w:rPr>
        <w:t>8</w:t>
      </w:r>
      <w:r>
        <w:rPr>
          <w:rFonts w:ascii="Arial" w:hAnsi="Arial" w:eastAsia="Arial" w:cs="Arial"/>
          <w:spacing w:val="16"/>
          <w:position w:val="1"/>
          <w:sz w:val="27"/>
          <w:szCs w:val="27"/>
        </w:rPr>
        <w:t xml:space="preserve">   </w:t>
      </w:r>
      <w:r>
        <w:rPr>
          <w:rFonts w:ascii="黑体" w:hAnsi="黑体" w:eastAsia="黑体" w:cs="黑体"/>
          <w:spacing w:val="1"/>
          <w:position w:val="1"/>
          <w:sz w:val="27"/>
          <w:szCs w:val="27"/>
        </w:rPr>
        <w:t>验证要求和方法</w:t>
      </w:r>
    </w:p>
    <w:p w14:paraId="4814E80C">
      <w:pPr>
        <w:pStyle w:val="2"/>
        <w:spacing w:before="101" w:line="219" w:lineRule="auto"/>
        <w:ind w:left="553"/>
      </w:pPr>
      <w:r>
        <w:rPr>
          <w:spacing w:val="-1"/>
        </w:rPr>
        <w:t>对改进项目提出验证要求和方法，说明采用验证方法的理由。</w:t>
      </w:r>
    </w:p>
    <w:p w14:paraId="77535D5A">
      <w:pPr>
        <w:spacing w:before="90" w:line="222" w:lineRule="auto"/>
        <w:ind w:left="3"/>
        <w:rPr>
          <w:rFonts w:ascii="黑体" w:hAnsi="黑体" w:eastAsia="黑体" w:cs="黑体"/>
          <w:sz w:val="27"/>
          <w:szCs w:val="27"/>
        </w:rPr>
      </w:pPr>
      <w:r>
        <w:rPr>
          <w:rFonts w:ascii="黑体" w:hAnsi="黑体" w:eastAsia="黑体" w:cs="黑体"/>
          <w:spacing w:val="5"/>
          <w:sz w:val="27"/>
          <w:szCs w:val="27"/>
        </w:rPr>
        <w:t>9  与其他改进项目的协调和权衡</w:t>
      </w:r>
    </w:p>
    <w:p w14:paraId="4DEA2186">
      <w:pPr>
        <w:pStyle w:val="2"/>
        <w:spacing w:before="66" w:line="284" w:lineRule="auto"/>
        <w:ind w:left="3" w:firstLine="550"/>
      </w:pPr>
      <w:r>
        <w:rPr>
          <w:spacing w:val="14"/>
        </w:rPr>
        <w:t>必须与装备的其他改进项目进行充分的协调和权衡，以保证总体的改进</w:t>
      </w:r>
      <w:r>
        <w:rPr>
          <w:spacing w:val="15"/>
        </w:rPr>
        <w:t xml:space="preserve"> </w:t>
      </w:r>
      <w:r>
        <w:rPr>
          <w:spacing w:val="-4"/>
        </w:rPr>
        <w:t>效益。</w:t>
      </w:r>
    </w:p>
    <w:p w14:paraId="2C9E91E4">
      <w:pPr>
        <w:spacing w:line="247" w:lineRule="auto"/>
        <w:rPr>
          <w:rFonts w:ascii="Arial"/>
          <w:sz w:val="21"/>
        </w:rPr>
      </w:pPr>
    </w:p>
    <w:p w14:paraId="1D4CBF99">
      <w:pPr>
        <w:pStyle w:val="2"/>
        <w:spacing w:before="117" w:line="218" w:lineRule="auto"/>
        <w:ind w:left="1773"/>
        <w:outlineLvl w:val="1"/>
        <w:rPr>
          <w:sz w:val="36"/>
          <w:szCs w:val="36"/>
        </w:rPr>
      </w:pPr>
      <w:r>
        <w:rPr>
          <w:rFonts w:ascii="Times New Roman" w:hAnsi="Times New Roman" w:eastAsia="Times New Roman" w:cs="Times New Roman"/>
          <w:b/>
          <w:bCs/>
          <w:spacing w:val="3"/>
          <w:sz w:val="36"/>
          <w:szCs w:val="36"/>
        </w:rPr>
        <w:t xml:space="preserve">9.27     </w:t>
      </w:r>
      <w:r>
        <w:rPr>
          <w:b/>
          <w:bCs/>
          <w:spacing w:val="3"/>
          <w:sz w:val="36"/>
          <w:szCs w:val="36"/>
        </w:rPr>
        <w:t>使用期间测试性改进项目报告</w:t>
      </w:r>
    </w:p>
    <w:p w14:paraId="7B5BAEFE">
      <w:pPr>
        <w:spacing w:line="349" w:lineRule="auto"/>
        <w:rPr>
          <w:rFonts w:ascii="Arial"/>
          <w:sz w:val="21"/>
        </w:rPr>
      </w:pPr>
    </w:p>
    <w:p w14:paraId="73F998EC">
      <w:pPr>
        <w:pStyle w:val="2"/>
        <w:spacing w:before="89" w:line="219" w:lineRule="auto"/>
        <w:ind w:left="553"/>
      </w:pPr>
      <w:r>
        <w:rPr>
          <w:spacing w:val="-3"/>
        </w:rPr>
        <w:t>按照</w:t>
      </w:r>
      <w:r>
        <w:rPr>
          <w:rFonts w:ascii="Times New Roman" w:hAnsi="Times New Roman" w:eastAsia="Times New Roman" w:cs="Times New Roman"/>
          <w:spacing w:val="-3"/>
        </w:rPr>
        <w:t>GJB 2547A</w:t>
      </w:r>
      <w:r>
        <w:rPr>
          <w:spacing w:val="-3"/>
        </w:rPr>
        <w:t>《装备测试性工作通用要求》</w:t>
      </w:r>
      <w:r>
        <w:rPr>
          <w:spacing w:val="-4"/>
        </w:rPr>
        <w:t>编写。</w:t>
      </w:r>
    </w:p>
    <w:p w14:paraId="33FF2753">
      <w:pPr>
        <w:spacing w:before="60" w:line="223" w:lineRule="auto"/>
        <w:ind w:left="3"/>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4"/>
          <w:sz w:val="27"/>
          <w:szCs w:val="27"/>
        </w:rPr>
        <w:t xml:space="preserve">  </w:t>
      </w:r>
      <w:r>
        <w:rPr>
          <w:rFonts w:ascii="黑体" w:hAnsi="黑体" w:eastAsia="黑体" w:cs="黑体"/>
          <w:spacing w:val="-6"/>
          <w:sz w:val="27"/>
          <w:szCs w:val="27"/>
        </w:rPr>
        <w:t>范围</w:t>
      </w:r>
    </w:p>
    <w:p w14:paraId="7407F10D">
      <w:pPr>
        <w:spacing w:before="111" w:line="222" w:lineRule="auto"/>
        <w:ind w:left="3"/>
        <w:rPr>
          <w:rFonts w:ascii="黑体" w:hAnsi="黑体" w:eastAsia="黑体" w:cs="黑体"/>
          <w:sz w:val="25"/>
          <w:szCs w:val="25"/>
        </w:rPr>
      </w:pPr>
      <w:r>
        <w:rPr>
          <w:rFonts w:ascii="黑体" w:hAnsi="黑体" w:eastAsia="黑体" w:cs="黑体"/>
          <w:spacing w:val="18"/>
          <w:sz w:val="25"/>
          <w:szCs w:val="25"/>
        </w:rPr>
        <w:t>2</w:t>
      </w:r>
      <w:r>
        <w:rPr>
          <w:rFonts w:ascii="黑体" w:hAnsi="黑体" w:eastAsia="黑体" w:cs="黑体"/>
          <w:spacing w:val="22"/>
          <w:sz w:val="25"/>
          <w:szCs w:val="25"/>
        </w:rPr>
        <w:t xml:space="preserve">  </w:t>
      </w:r>
      <w:r>
        <w:rPr>
          <w:rFonts w:ascii="黑体" w:hAnsi="黑体" w:eastAsia="黑体" w:cs="黑体"/>
          <w:spacing w:val="18"/>
          <w:sz w:val="25"/>
          <w:szCs w:val="25"/>
        </w:rPr>
        <w:t>引用文件</w:t>
      </w:r>
    </w:p>
    <w:p w14:paraId="36420016">
      <w:pPr>
        <w:spacing w:line="222" w:lineRule="auto"/>
        <w:rPr>
          <w:rFonts w:ascii="黑体" w:hAnsi="黑体" w:eastAsia="黑体" w:cs="黑体"/>
          <w:sz w:val="25"/>
          <w:szCs w:val="25"/>
        </w:rPr>
        <w:sectPr>
          <w:footerReference r:id="rId488" w:type="default"/>
          <w:pgSz w:w="11910" w:h="17130"/>
          <w:pgMar w:top="1436" w:right="749" w:bottom="1623" w:left="1786" w:header="0" w:footer="1425" w:gutter="0"/>
          <w:cols w:space="720" w:num="1"/>
        </w:sectPr>
      </w:pPr>
    </w:p>
    <w:p w14:paraId="40630D7B">
      <w:pPr>
        <w:spacing w:before="55" w:line="219"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22"/>
          <w:sz w:val="27"/>
          <w:szCs w:val="27"/>
        </w:rPr>
        <w:t xml:space="preserve">  </w:t>
      </w:r>
      <w:r>
        <w:rPr>
          <w:rFonts w:ascii="黑体" w:hAnsi="黑体" w:eastAsia="黑体" w:cs="黑体"/>
          <w:b/>
          <w:bCs/>
          <w:spacing w:val="-1"/>
          <w:sz w:val="27"/>
          <w:szCs w:val="27"/>
        </w:rPr>
        <w:t>改进计划的执行情况</w:t>
      </w:r>
    </w:p>
    <w:p w14:paraId="76056C41">
      <w:pPr>
        <w:pStyle w:val="2"/>
        <w:spacing w:before="96" w:line="277" w:lineRule="auto"/>
        <w:ind w:right="6" w:firstLine="570"/>
        <w:jc w:val="both"/>
      </w:pPr>
      <w:r>
        <w:rPr>
          <w:spacing w:val="-3"/>
        </w:rPr>
        <w:t>对照使用期间测试性改进计划，说明执行情况，</w:t>
      </w:r>
      <w:r>
        <w:rPr>
          <w:spacing w:val="-4"/>
        </w:rPr>
        <w:t>包括项目改进目标、改进方</w:t>
      </w:r>
      <w:r>
        <w:t xml:space="preserve"> </w:t>
      </w:r>
      <w:r>
        <w:rPr>
          <w:spacing w:val="5"/>
        </w:rPr>
        <w:t>案、各级各类人员职责、经费使用、进度安排、相关验证和协调权衡等的落实</w:t>
      </w:r>
      <w:r>
        <w:rPr>
          <w:spacing w:val="3"/>
        </w:rPr>
        <w:t xml:space="preserve"> </w:t>
      </w:r>
      <w:r>
        <w:rPr>
          <w:spacing w:val="-6"/>
        </w:rPr>
        <w:t>情况。</w:t>
      </w:r>
    </w:p>
    <w:p w14:paraId="0FEF4BED">
      <w:pPr>
        <w:spacing w:line="221"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6"/>
          <w:sz w:val="27"/>
          <w:szCs w:val="27"/>
        </w:rPr>
        <w:t xml:space="preserve">  </w:t>
      </w:r>
      <w:r>
        <w:rPr>
          <w:rFonts w:ascii="黑体" w:hAnsi="黑体" w:eastAsia="黑体" w:cs="黑体"/>
          <w:b/>
          <w:bCs/>
          <w:spacing w:val="1"/>
          <w:sz w:val="27"/>
          <w:szCs w:val="27"/>
        </w:rPr>
        <w:t>各项目改进过程</w:t>
      </w:r>
    </w:p>
    <w:p w14:paraId="14B33550">
      <w:pPr>
        <w:pStyle w:val="2"/>
        <w:spacing w:before="91" w:line="219" w:lineRule="auto"/>
        <w:ind w:left="570"/>
      </w:pPr>
      <w:r>
        <w:rPr>
          <w:spacing w:val="-3"/>
        </w:rPr>
        <w:t>根据改进计划，具体说明各改进项目的实施过程。</w:t>
      </w:r>
    </w:p>
    <w:p w14:paraId="7CCECE92">
      <w:pPr>
        <w:spacing w:before="64" w:line="222" w:lineRule="auto"/>
        <w:outlineLvl w:val="3"/>
        <w:rPr>
          <w:rFonts w:ascii="黑体" w:hAnsi="黑体" w:eastAsia="黑体" w:cs="黑体"/>
          <w:sz w:val="27"/>
          <w:szCs w:val="27"/>
        </w:rPr>
      </w:pPr>
      <w:r>
        <w:rPr>
          <w:rFonts w:ascii="Arial" w:hAnsi="Arial" w:eastAsia="Arial" w:cs="Arial"/>
          <w:b/>
          <w:bCs/>
          <w:spacing w:val="-3"/>
          <w:sz w:val="27"/>
          <w:szCs w:val="27"/>
        </w:rPr>
        <w:t>5</w:t>
      </w:r>
      <w:r>
        <w:rPr>
          <w:rFonts w:ascii="Arial" w:hAnsi="Arial" w:eastAsia="Arial" w:cs="Arial"/>
          <w:b/>
          <w:bCs/>
          <w:spacing w:val="24"/>
          <w:w w:val="101"/>
          <w:sz w:val="27"/>
          <w:szCs w:val="27"/>
        </w:rPr>
        <w:t xml:space="preserve">   </w:t>
      </w:r>
      <w:r>
        <w:rPr>
          <w:rFonts w:ascii="黑体" w:hAnsi="黑体" w:eastAsia="黑体" w:cs="黑体"/>
          <w:b/>
          <w:bCs/>
          <w:spacing w:val="-3"/>
          <w:sz w:val="27"/>
          <w:szCs w:val="27"/>
        </w:rPr>
        <w:t>改进结果分析</w:t>
      </w:r>
    </w:p>
    <w:p w14:paraId="4249F7AD">
      <w:pPr>
        <w:pStyle w:val="2"/>
        <w:spacing w:before="80" w:line="282" w:lineRule="auto"/>
        <w:ind w:right="4" w:firstLine="570"/>
      </w:pPr>
      <w:r>
        <w:rPr>
          <w:spacing w:val="5"/>
        </w:rPr>
        <w:t>具体说明改进项目的验证情况。通过对改进结果进行分析，评价改进措施</w:t>
      </w:r>
      <w:r>
        <w:rPr>
          <w:spacing w:val="1"/>
        </w:rPr>
        <w:t xml:space="preserve"> </w:t>
      </w:r>
      <w:r>
        <w:rPr>
          <w:spacing w:val="-1"/>
        </w:rPr>
        <w:t>的有效性。</w:t>
      </w:r>
    </w:p>
    <w:p w14:paraId="58AF8375">
      <w:pPr>
        <w:spacing w:before="1" w:line="220"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20"/>
          <w:sz w:val="27"/>
          <w:szCs w:val="27"/>
        </w:rPr>
        <w:t xml:space="preserve">  </w:t>
      </w:r>
      <w:r>
        <w:rPr>
          <w:rFonts w:ascii="黑体" w:hAnsi="黑体" w:eastAsia="黑体" w:cs="黑体"/>
          <w:b/>
          <w:bCs/>
          <w:spacing w:val="1"/>
          <w:sz w:val="27"/>
          <w:szCs w:val="27"/>
        </w:rPr>
        <w:t>有关说明</w:t>
      </w:r>
    </w:p>
    <w:p w14:paraId="34EDC1CD">
      <w:pPr>
        <w:pStyle w:val="2"/>
        <w:spacing w:before="83" w:line="219" w:lineRule="auto"/>
        <w:ind w:left="570"/>
      </w:pPr>
      <w:r>
        <w:rPr>
          <w:spacing w:val="3"/>
        </w:rPr>
        <w:t>具体说明与装备其他改进项目的协调和权衡情况。</w:t>
      </w:r>
    </w:p>
    <w:p w14:paraId="362E9A85">
      <w:pPr>
        <w:spacing w:before="84" w:line="222" w:lineRule="auto"/>
        <w:rPr>
          <w:rFonts w:ascii="黑体" w:hAnsi="黑体" w:eastAsia="黑体" w:cs="黑体"/>
          <w:sz w:val="27"/>
          <w:szCs w:val="27"/>
        </w:rPr>
      </w:pPr>
      <w:r>
        <w:rPr>
          <w:rFonts w:ascii="黑体" w:hAnsi="黑体" w:eastAsia="黑体" w:cs="黑体"/>
          <w:spacing w:val="-2"/>
          <w:sz w:val="27"/>
          <w:szCs w:val="27"/>
        </w:rPr>
        <w:t>7</w:t>
      </w:r>
      <w:r>
        <w:rPr>
          <w:rFonts w:ascii="黑体" w:hAnsi="黑体" w:eastAsia="黑体" w:cs="黑体"/>
          <w:spacing w:val="20"/>
          <w:sz w:val="27"/>
          <w:szCs w:val="27"/>
        </w:rPr>
        <w:t xml:space="preserve">  </w:t>
      </w:r>
      <w:r>
        <w:rPr>
          <w:rFonts w:ascii="黑体" w:hAnsi="黑体" w:eastAsia="黑体" w:cs="黑体"/>
          <w:b/>
          <w:bCs/>
          <w:spacing w:val="-2"/>
          <w:sz w:val="27"/>
          <w:szCs w:val="27"/>
        </w:rPr>
        <w:t>有关建议</w:t>
      </w:r>
    </w:p>
    <w:p w14:paraId="6263B8FC">
      <w:pPr>
        <w:pStyle w:val="2"/>
        <w:spacing w:before="100" w:line="276" w:lineRule="auto"/>
        <w:ind w:firstLine="570"/>
      </w:pPr>
      <w:r>
        <w:rPr>
          <w:spacing w:val="5"/>
        </w:rPr>
        <w:t xml:space="preserve">对尚未完全落实的改进措施提出处理建议，对已落实的改进措施提出推广 </w:t>
      </w:r>
      <w:r>
        <w:rPr>
          <w:spacing w:val="3"/>
        </w:rPr>
        <w:t>使用建议。</w:t>
      </w:r>
    </w:p>
    <w:p w14:paraId="3CCBAF02">
      <w:pPr>
        <w:spacing w:line="276" w:lineRule="auto"/>
        <w:sectPr>
          <w:footerReference r:id="rId489" w:type="default"/>
          <w:pgSz w:w="11910" w:h="17130"/>
          <w:pgMar w:top="1448" w:right="1543" w:bottom="1686" w:left="989" w:header="0" w:footer="1497" w:gutter="0"/>
          <w:cols w:space="720" w:num="1"/>
        </w:sectPr>
      </w:pPr>
    </w:p>
    <w:p w14:paraId="63DFB4CE">
      <w:pPr>
        <w:spacing w:line="252" w:lineRule="auto"/>
        <w:rPr>
          <w:rFonts w:ascii="Arial"/>
          <w:sz w:val="21"/>
        </w:rPr>
      </w:pPr>
    </w:p>
    <w:p w14:paraId="40C0E55A">
      <w:pPr>
        <w:spacing w:line="252" w:lineRule="auto"/>
        <w:rPr>
          <w:rFonts w:ascii="Arial"/>
          <w:sz w:val="21"/>
        </w:rPr>
      </w:pPr>
    </w:p>
    <w:p w14:paraId="5362CC71">
      <w:pPr>
        <w:spacing w:line="252" w:lineRule="auto"/>
        <w:rPr>
          <w:rFonts w:ascii="Arial"/>
          <w:sz w:val="21"/>
        </w:rPr>
      </w:pPr>
    </w:p>
    <w:p w14:paraId="74E8B34C">
      <w:pPr>
        <w:spacing w:line="252" w:lineRule="auto"/>
        <w:rPr>
          <w:rFonts w:ascii="Arial"/>
          <w:sz w:val="21"/>
        </w:rPr>
      </w:pPr>
    </w:p>
    <w:p w14:paraId="339DA778">
      <w:pPr>
        <w:spacing w:before="156" w:line="222" w:lineRule="auto"/>
        <w:ind w:left="2480"/>
        <w:rPr>
          <w:rFonts w:ascii="黑体" w:hAnsi="黑体" w:eastAsia="黑体" w:cs="黑体"/>
          <w:sz w:val="48"/>
          <w:szCs w:val="48"/>
        </w:rPr>
      </w:pPr>
      <w:r>
        <w:rPr>
          <w:rFonts w:ascii="黑体" w:hAnsi="黑体" w:eastAsia="黑体" w:cs="黑体"/>
          <w:spacing w:val="16"/>
          <w:sz w:val="48"/>
          <w:szCs w:val="48"/>
        </w:rPr>
        <w:t>第10章</w:t>
      </w:r>
      <w:r>
        <w:rPr>
          <w:rFonts w:ascii="黑体" w:hAnsi="黑体" w:eastAsia="黑体" w:cs="黑体"/>
          <w:spacing w:val="6"/>
          <w:sz w:val="48"/>
          <w:szCs w:val="48"/>
        </w:rPr>
        <w:t xml:space="preserve">  </w:t>
      </w:r>
      <w:r>
        <w:rPr>
          <w:rFonts w:ascii="黑体" w:hAnsi="黑体" w:eastAsia="黑体" w:cs="黑体"/>
          <w:spacing w:val="16"/>
          <w:sz w:val="48"/>
          <w:szCs w:val="48"/>
        </w:rPr>
        <w:t>保障性文件</w:t>
      </w:r>
    </w:p>
    <w:p w14:paraId="25E1DC23">
      <w:pPr>
        <w:spacing w:line="248" w:lineRule="auto"/>
        <w:rPr>
          <w:rFonts w:ascii="Arial"/>
          <w:sz w:val="21"/>
        </w:rPr>
      </w:pPr>
    </w:p>
    <w:p w14:paraId="199E0BC0">
      <w:pPr>
        <w:spacing w:line="248" w:lineRule="auto"/>
        <w:rPr>
          <w:rFonts w:ascii="Arial"/>
          <w:sz w:val="21"/>
        </w:rPr>
      </w:pPr>
    </w:p>
    <w:p w14:paraId="7851B99E">
      <w:pPr>
        <w:spacing w:line="248" w:lineRule="auto"/>
        <w:rPr>
          <w:rFonts w:ascii="Arial"/>
          <w:sz w:val="21"/>
        </w:rPr>
      </w:pPr>
    </w:p>
    <w:p w14:paraId="4D55A294">
      <w:pPr>
        <w:pStyle w:val="2"/>
        <w:spacing w:before="117" w:line="219" w:lineRule="auto"/>
        <w:ind w:left="3229"/>
        <w:rPr>
          <w:sz w:val="36"/>
          <w:szCs w:val="36"/>
        </w:rPr>
      </w:pPr>
      <w:r>
        <w:rPr>
          <w:spacing w:val="-3"/>
          <w:sz w:val="36"/>
          <w:szCs w:val="36"/>
        </w:rPr>
        <w:t>10.</w:t>
      </w:r>
      <w:r>
        <w:rPr>
          <w:b/>
          <w:bCs/>
          <w:spacing w:val="-3"/>
          <w:sz w:val="36"/>
          <w:szCs w:val="36"/>
        </w:rPr>
        <w:t>1</w:t>
      </w:r>
      <w:r>
        <w:rPr>
          <w:spacing w:val="27"/>
          <w:sz w:val="36"/>
          <w:szCs w:val="36"/>
        </w:rPr>
        <w:t xml:space="preserve">  </w:t>
      </w:r>
      <w:r>
        <w:rPr>
          <w:b/>
          <w:bCs/>
          <w:spacing w:val="-3"/>
          <w:sz w:val="36"/>
          <w:szCs w:val="36"/>
        </w:rPr>
        <w:t>保障性要求</w:t>
      </w:r>
    </w:p>
    <w:p w14:paraId="665DE959">
      <w:pPr>
        <w:spacing w:line="318" w:lineRule="auto"/>
        <w:rPr>
          <w:rFonts w:ascii="Arial"/>
          <w:sz w:val="21"/>
        </w:rPr>
      </w:pPr>
    </w:p>
    <w:p w14:paraId="0A53FA3D">
      <w:pPr>
        <w:pStyle w:val="2"/>
        <w:spacing w:before="88" w:line="227" w:lineRule="auto"/>
        <w:ind w:right="30"/>
        <w:jc w:val="right"/>
        <w:rPr>
          <w:rFonts w:ascii="楷体" w:hAnsi="楷体" w:eastAsia="楷体" w:cs="楷体"/>
        </w:rPr>
      </w:pPr>
      <w:r>
        <w:rPr>
          <w:rFonts w:ascii="楷体" w:hAnsi="楷体" w:eastAsia="楷体" w:cs="楷体"/>
          <w:b/>
          <w:bCs/>
          <w:spacing w:val="-5"/>
        </w:rPr>
        <w:t>按照</w:t>
      </w:r>
      <w:r>
        <w:rPr>
          <w:rFonts w:ascii="Times New Roman" w:hAnsi="Times New Roman" w:eastAsia="Times New Roman" w:cs="Times New Roman"/>
          <w:b/>
          <w:bCs/>
          <w:spacing w:val="-5"/>
        </w:rPr>
        <w:t>GJB 3872—1999</w:t>
      </w:r>
      <w:r>
        <w:rPr>
          <w:b/>
          <w:bCs/>
          <w:spacing w:val="-5"/>
        </w:rPr>
        <w:t>《</w:t>
      </w:r>
      <w:r>
        <w:rPr>
          <w:rFonts w:ascii="楷体" w:hAnsi="楷体" w:eastAsia="楷体" w:cs="楷体"/>
          <w:b/>
          <w:bCs/>
          <w:spacing w:val="-5"/>
        </w:rPr>
        <w:t>装备综合保障通用要求》、</w:t>
      </w:r>
      <w:r>
        <w:rPr>
          <w:rFonts w:ascii="Times New Roman" w:hAnsi="Times New Roman" w:eastAsia="Times New Roman" w:cs="Times New Roman"/>
          <w:b/>
          <w:bCs/>
          <w:spacing w:val="-5"/>
        </w:rPr>
        <w:t>GJB</w:t>
      </w:r>
      <w:r>
        <w:rPr>
          <w:rFonts w:ascii="Times New Roman" w:hAnsi="Times New Roman" w:eastAsia="Times New Roman" w:cs="Times New Roman"/>
          <w:b/>
          <w:bCs/>
          <w:spacing w:val="16"/>
        </w:rPr>
        <w:t xml:space="preserve"> </w:t>
      </w:r>
      <w:r>
        <w:rPr>
          <w:rFonts w:ascii="Times New Roman" w:hAnsi="Times New Roman" w:eastAsia="Times New Roman" w:cs="Times New Roman"/>
          <w:b/>
          <w:bCs/>
          <w:spacing w:val="-5"/>
        </w:rPr>
        <w:t>1909A</w:t>
      </w:r>
      <w:r>
        <w:rPr>
          <w:rFonts w:ascii="Times New Roman" w:hAnsi="Times New Roman" w:eastAsia="Times New Roman" w:cs="Times New Roman"/>
          <w:b/>
          <w:bCs/>
          <w:spacing w:val="-6"/>
        </w:rPr>
        <w:t>—2009</w:t>
      </w:r>
      <w:r>
        <w:rPr>
          <w:b/>
          <w:bCs/>
          <w:spacing w:val="-6"/>
        </w:rPr>
        <w:t>《</w:t>
      </w:r>
      <w:r>
        <w:rPr>
          <w:rFonts w:ascii="楷体" w:hAnsi="楷体" w:eastAsia="楷体" w:cs="楷体"/>
          <w:b/>
          <w:bCs/>
          <w:spacing w:val="-6"/>
        </w:rPr>
        <w:t>装备</w:t>
      </w:r>
    </w:p>
    <w:p w14:paraId="3907D04A">
      <w:pPr>
        <w:spacing w:before="91" w:line="226" w:lineRule="auto"/>
        <w:rPr>
          <w:rFonts w:ascii="楷体" w:hAnsi="楷体" w:eastAsia="楷体" w:cs="楷体"/>
          <w:sz w:val="27"/>
          <w:szCs w:val="27"/>
        </w:rPr>
      </w:pPr>
      <w:r>
        <w:rPr>
          <w:rFonts w:ascii="楷体" w:hAnsi="楷体" w:eastAsia="楷体" w:cs="楷体"/>
          <w:spacing w:val="-6"/>
          <w:sz w:val="27"/>
          <w:szCs w:val="27"/>
        </w:rPr>
        <w:t>可靠性维修性保障性要求论证》编写。</w:t>
      </w:r>
    </w:p>
    <w:p w14:paraId="03D1387D">
      <w:pPr>
        <w:spacing w:before="91"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4"/>
          <w:sz w:val="25"/>
          <w:szCs w:val="25"/>
        </w:rPr>
        <w:t xml:space="preserve">  </w:t>
      </w:r>
      <w:r>
        <w:rPr>
          <w:rFonts w:ascii="黑体" w:hAnsi="黑体" w:eastAsia="黑体" w:cs="黑体"/>
          <w:spacing w:val="-13"/>
          <w:sz w:val="25"/>
          <w:szCs w:val="25"/>
        </w:rPr>
        <w:t>范</w:t>
      </w:r>
      <w:r>
        <w:rPr>
          <w:rFonts w:ascii="黑体" w:hAnsi="黑体" w:eastAsia="黑体" w:cs="黑体"/>
          <w:spacing w:val="-31"/>
          <w:sz w:val="25"/>
          <w:szCs w:val="25"/>
        </w:rPr>
        <w:t xml:space="preserve"> </w:t>
      </w:r>
      <w:r>
        <w:rPr>
          <w:rFonts w:ascii="黑体" w:hAnsi="黑体" w:eastAsia="黑体" w:cs="黑体"/>
          <w:spacing w:val="-13"/>
          <w:sz w:val="25"/>
          <w:szCs w:val="25"/>
        </w:rPr>
        <w:t>围</w:t>
      </w:r>
    </w:p>
    <w:p w14:paraId="20F7514B">
      <w:pPr>
        <w:spacing w:before="76"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04AE195C">
      <w:pPr>
        <w:spacing w:before="101" w:line="221" w:lineRule="auto"/>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36"/>
          <w:sz w:val="24"/>
          <w:szCs w:val="24"/>
        </w:rPr>
        <w:t xml:space="preserve">  </w:t>
      </w:r>
      <w:r>
        <w:rPr>
          <w:rFonts w:ascii="黑体" w:hAnsi="黑体" w:eastAsia="黑体" w:cs="黑体"/>
          <w:b/>
          <w:bCs/>
          <w:spacing w:val="-7"/>
          <w:sz w:val="24"/>
          <w:szCs w:val="24"/>
        </w:rPr>
        <w:t>概</w:t>
      </w:r>
      <w:r>
        <w:rPr>
          <w:rFonts w:ascii="黑体" w:hAnsi="黑体" w:eastAsia="黑体" w:cs="黑体"/>
          <w:spacing w:val="-55"/>
          <w:sz w:val="24"/>
          <w:szCs w:val="24"/>
        </w:rPr>
        <w:t xml:space="preserve"> </w:t>
      </w:r>
      <w:r>
        <w:rPr>
          <w:rFonts w:ascii="黑体" w:hAnsi="黑体" w:eastAsia="黑体" w:cs="黑体"/>
          <w:b/>
          <w:bCs/>
          <w:spacing w:val="-7"/>
          <w:sz w:val="24"/>
          <w:szCs w:val="24"/>
        </w:rPr>
        <w:t>述</w:t>
      </w:r>
    </w:p>
    <w:p w14:paraId="31C5EB7A">
      <w:pPr>
        <w:pStyle w:val="2"/>
        <w:spacing w:before="109" w:line="219" w:lineRule="auto"/>
        <w:ind w:left="570"/>
      </w:pPr>
      <w:r>
        <w:rPr>
          <w:spacing w:val="-2"/>
        </w:rPr>
        <w:t>主要说明装备保障性要求论证的作用、目标和意</w:t>
      </w:r>
      <w:r>
        <w:rPr>
          <w:spacing w:val="-3"/>
        </w:rPr>
        <w:t>义等。</w:t>
      </w:r>
    </w:p>
    <w:p w14:paraId="74956D95">
      <w:pPr>
        <w:spacing w:before="86" w:line="221" w:lineRule="auto"/>
        <w:rPr>
          <w:rFonts w:ascii="黑体" w:hAnsi="黑体" w:eastAsia="黑体" w:cs="黑体"/>
          <w:sz w:val="24"/>
          <w:szCs w:val="24"/>
        </w:rPr>
      </w:pPr>
      <w:r>
        <w:rPr>
          <w:rFonts w:ascii="Arial" w:hAnsi="Arial" w:eastAsia="Arial" w:cs="Arial"/>
          <w:spacing w:val="29"/>
          <w:sz w:val="24"/>
          <w:szCs w:val="24"/>
        </w:rPr>
        <w:t>4</w:t>
      </w:r>
      <w:r>
        <w:rPr>
          <w:rFonts w:ascii="Arial" w:hAnsi="Arial" w:eastAsia="Arial" w:cs="Arial"/>
          <w:spacing w:val="6"/>
          <w:sz w:val="24"/>
          <w:szCs w:val="24"/>
        </w:rPr>
        <w:t xml:space="preserve">    </w:t>
      </w:r>
      <w:r>
        <w:rPr>
          <w:rFonts w:ascii="黑体" w:hAnsi="黑体" w:eastAsia="黑体" w:cs="黑体"/>
          <w:spacing w:val="29"/>
          <w:sz w:val="24"/>
          <w:szCs w:val="24"/>
        </w:rPr>
        <w:t>装备的使命和任务</w:t>
      </w:r>
    </w:p>
    <w:p w14:paraId="7E04B1B2">
      <w:pPr>
        <w:pStyle w:val="2"/>
        <w:spacing w:before="96" w:line="262" w:lineRule="auto"/>
        <w:ind w:firstLine="570"/>
        <w:jc w:val="both"/>
      </w:pPr>
      <w:r>
        <w:rPr>
          <w:spacing w:val="5"/>
        </w:rPr>
        <w:t>说明装备的使命和任务，主要包括新研装备担负的主要任务和辅助任务及</w:t>
      </w:r>
      <w:r>
        <w:rPr>
          <w:spacing w:val="13"/>
        </w:rPr>
        <w:t xml:space="preserve"> </w:t>
      </w:r>
      <w:r>
        <w:rPr>
          <w:spacing w:val="-3"/>
        </w:rPr>
        <w:t>其使用环境条件，论述现有装备在战备完好性、任务成功性、持续性和部署性等</w:t>
      </w:r>
      <w:r>
        <w:rPr>
          <w:spacing w:val="6"/>
        </w:rPr>
        <w:t xml:space="preserve"> </w:t>
      </w:r>
      <w:r>
        <w:rPr>
          <w:spacing w:val="-1"/>
        </w:rPr>
        <w:t>方面的不足和缺陷，以及国内外相似装备保障性现状分析。</w:t>
      </w:r>
    </w:p>
    <w:p w14:paraId="43EF9B58">
      <w:pPr>
        <w:spacing w:line="368" w:lineRule="exact"/>
        <w:rPr>
          <w:rFonts w:ascii="黑体" w:hAnsi="黑体" w:eastAsia="黑体" w:cs="黑体"/>
          <w:sz w:val="27"/>
          <w:szCs w:val="27"/>
        </w:rPr>
      </w:pPr>
      <w:r>
        <w:rPr>
          <w:rFonts w:ascii="Arial" w:hAnsi="Arial" w:eastAsia="Arial" w:cs="Arial"/>
          <w:spacing w:val="-4"/>
          <w:position w:val="1"/>
          <w:sz w:val="27"/>
          <w:szCs w:val="27"/>
        </w:rPr>
        <w:t>5</w:t>
      </w:r>
      <w:r>
        <w:rPr>
          <w:rFonts w:ascii="Arial" w:hAnsi="Arial" w:eastAsia="Arial" w:cs="Arial"/>
          <w:spacing w:val="18"/>
          <w:w w:val="101"/>
          <w:position w:val="1"/>
          <w:sz w:val="27"/>
          <w:szCs w:val="27"/>
        </w:rPr>
        <w:t xml:space="preserve">   </w:t>
      </w:r>
      <w:r>
        <w:rPr>
          <w:rFonts w:ascii="黑体" w:hAnsi="黑体" w:eastAsia="黑体" w:cs="黑体"/>
          <w:spacing w:val="-4"/>
          <w:position w:val="1"/>
          <w:sz w:val="27"/>
          <w:szCs w:val="27"/>
        </w:rPr>
        <w:t>装备使用方案、设计方案和保障方案</w:t>
      </w:r>
    </w:p>
    <w:p w14:paraId="7C669A74">
      <w:pPr>
        <w:pStyle w:val="2"/>
        <w:spacing w:before="82" w:line="277" w:lineRule="auto"/>
        <w:ind w:right="1" w:firstLine="570"/>
        <w:jc w:val="both"/>
      </w:pPr>
      <w:r>
        <w:rPr>
          <w:spacing w:val="-3"/>
        </w:rPr>
        <w:t>使用方案、设计方案和保障方案是进一步确定保障性要求的依据。使用方案</w:t>
      </w:r>
      <w:r>
        <w:rPr>
          <w:spacing w:val="1"/>
        </w:rPr>
        <w:t xml:space="preserve"> </w:t>
      </w:r>
      <w:r>
        <w:rPr>
          <w:spacing w:val="-10"/>
        </w:rPr>
        <w:t>主要说明装备将如何使用和使用时的组织机构、人员安排，还应包括装备的寿命剖</w:t>
      </w:r>
      <w:r>
        <w:rPr>
          <w:spacing w:val="1"/>
        </w:rPr>
        <w:t xml:space="preserve"> </w:t>
      </w:r>
      <w:r>
        <w:rPr>
          <w:spacing w:val="-10"/>
        </w:rPr>
        <w:t>面和任务剖面；设计方案简述装备的基本组成，列出为完成使用任务，装备必要的</w:t>
      </w:r>
      <w:r>
        <w:t xml:space="preserve"> </w:t>
      </w:r>
      <w:r>
        <w:rPr>
          <w:spacing w:val="-3"/>
        </w:rPr>
        <w:t>功能清单和相应的分系统清单；保障方案说明对保障工作的总体设想。它由满足</w:t>
      </w:r>
      <w:r>
        <w:rPr>
          <w:spacing w:val="5"/>
        </w:rPr>
        <w:t xml:space="preserve"> </w:t>
      </w:r>
      <w:r>
        <w:rPr>
          <w:spacing w:val="-7"/>
        </w:rPr>
        <w:t>功能的保障要求、与设计方案及使用方案相协调的各保障要素方案组成。</w:t>
      </w:r>
    </w:p>
    <w:p w14:paraId="67E74A50">
      <w:pPr>
        <w:spacing w:line="327" w:lineRule="exact"/>
        <w:rPr>
          <w:rFonts w:ascii="黑体" w:hAnsi="黑体" w:eastAsia="黑体" w:cs="黑体"/>
          <w:sz w:val="24"/>
          <w:szCs w:val="24"/>
        </w:rPr>
      </w:pPr>
      <w:r>
        <w:rPr>
          <w:rFonts w:ascii="Arial" w:hAnsi="Arial" w:eastAsia="Arial" w:cs="Arial"/>
          <w:spacing w:val="30"/>
          <w:position w:val="1"/>
          <w:sz w:val="24"/>
          <w:szCs w:val="24"/>
        </w:rPr>
        <w:t>6</w:t>
      </w:r>
      <w:r>
        <w:rPr>
          <w:rFonts w:ascii="Arial" w:hAnsi="Arial" w:eastAsia="Arial" w:cs="Arial"/>
          <w:spacing w:val="8"/>
          <w:position w:val="1"/>
          <w:sz w:val="24"/>
          <w:szCs w:val="24"/>
        </w:rPr>
        <w:t xml:space="preserve">    </w:t>
      </w:r>
      <w:r>
        <w:rPr>
          <w:rFonts w:ascii="黑体" w:hAnsi="黑体" w:eastAsia="黑体" w:cs="黑体"/>
          <w:spacing w:val="30"/>
          <w:position w:val="1"/>
          <w:sz w:val="24"/>
          <w:szCs w:val="24"/>
        </w:rPr>
        <w:t>故障定义和判断准则</w:t>
      </w:r>
    </w:p>
    <w:p w14:paraId="35046F2E">
      <w:pPr>
        <w:pStyle w:val="2"/>
        <w:spacing w:before="87" w:line="267" w:lineRule="auto"/>
        <w:ind w:right="3" w:firstLine="570"/>
      </w:pPr>
      <w:r>
        <w:rPr>
          <w:spacing w:val="5"/>
        </w:rPr>
        <w:t>说明在试验过程中对故障原因和后果进行分类所需的指导原则。故障分类</w:t>
      </w:r>
      <w:r>
        <w:rPr>
          <w:spacing w:val="10"/>
        </w:rPr>
        <w:t xml:space="preserve"> </w:t>
      </w:r>
      <w:r>
        <w:rPr>
          <w:spacing w:val="1"/>
        </w:rPr>
        <w:t>的结果将评价装备的保障性。</w:t>
      </w:r>
    </w:p>
    <w:p w14:paraId="669D58FA">
      <w:pPr>
        <w:spacing w:before="39" w:line="222" w:lineRule="auto"/>
        <w:rPr>
          <w:rFonts w:ascii="黑体" w:hAnsi="黑体" w:eastAsia="黑体" w:cs="黑体"/>
          <w:sz w:val="24"/>
          <w:szCs w:val="24"/>
        </w:rPr>
      </w:pPr>
      <w:r>
        <w:rPr>
          <w:rFonts w:ascii="Arial" w:hAnsi="Arial" w:eastAsia="Arial" w:cs="Arial"/>
          <w:spacing w:val="32"/>
          <w:sz w:val="24"/>
          <w:szCs w:val="24"/>
        </w:rPr>
        <w:t>7</w:t>
      </w:r>
      <w:r>
        <w:rPr>
          <w:rFonts w:ascii="Arial" w:hAnsi="Arial" w:eastAsia="Arial" w:cs="Arial"/>
          <w:spacing w:val="9"/>
          <w:sz w:val="24"/>
          <w:szCs w:val="24"/>
        </w:rPr>
        <w:t xml:space="preserve">    </w:t>
      </w:r>
      <w:r>
        <w:rPr>
          <w:rFonts w:ascii="黑体" w:hAnsi="黑体" w:eastAsia="黑体" w:cs="黑体"/>
          <w:spacing w:val="32"/>
          <w:sz w:val="24"/>
          <w:szCs w:val="24"/>
        </w:rPr>
        <w:t>装备保障性定性定量要求及约束条件</w:t>
      </w:r>
    </w:p>
    <w:p w14:paraId="2AEAC7D4">
      <w:pPr>
        <w:pStyle w:val="2"/>
        <w:spacing w:before="102" w:line="275" w:lineRule="auto"/>
        <w:ind w:right="2" w:firstLine="570"/>
      </w:pPr>
      <w:r>
        <w:rPr>
          <w:spacing w:val="-3"/>
        </w:rPr>
        <w:t>列出装备的保障性定性和定量要求，保障性定量要求参数及其计算方法，装</w:t>
      </w:r>
      <w:r>
        <w:t xml:space="preserve"> </w:t>
      </w:r>
      <w:r>
        <w:rPr>
          <w:spacing w:val="3"/>
        </w:rPr>
        <w:t>备形成初始作战能力和保障能力的时机和状态等。</w:t>
      </w:r>
    </w:p>
    <w:p w14:paraId="7E2BCE64">
      <w:pPr>
        <w:pStyle w:val="2"/>
        <w:spacing w:before="7" w:line="219" w:lineRule="auto"/>
        <w:ind w:left="570"/>
      </w:pPr>
      <w:r>
        <w:rPr>
          <w:spacing w:val="-3"/>
        </w:rPr>
        <w:t>为了合理确定装备保障性要求，应遵循如下原则：</w:t>
      </w:r>
    </w:p>
    <w:p w14:paraId="20BA8543">
      <w:pPr>
        <w:pStyle w:val="2"/>
        <w:spacing w:before="49" w:line="212" w:lineRule="auto"/>
        <w:ind w:left="570"/>
      </w:pPr>
      <w:r>
        <w:rPr>
          <w:rFonts w:ascii="Times New Roman" w:hAnsi="Times New Roman" w:eastAsia="Times New Roman" w:cs="Times New Roman"/>
        </w:rPr>
        <w:t xml:space="preserve">a)  </w:t>
      </w:r>
      <w:r>
        <w:t>提出保障性要求应从任务需求出发，</w:t>
      </w:r>
      <w:r>
        <w:rPr>
          <w:spacing w:val="-1"/>
        </w:rPr>
        <w:t>满足装备的作战使命；</w:t>
      </w:r>
    </w:p>
    <w:p w14:paraId="0104DA2D">
      <w:pPr>
        <w:pStyle w:val="2"/>
        <w:spacing w:before="81" w:line="264" w:lineRule="auto"/>
        <w:ind w:right="1" w:firstLine="570"/>
      </w:pPr>
      <w:r>
        <w:rPr>
          <w:rFonts w:ascii="Times New Roman" w:hAnsi="Times New Roman" w:eastAsia="Times New Roman" w:cs="Times New Roman"/>
          <w:spacing w:val="2"/>
        </w:rPr>
        <w:t xml:space="preserve">b)  </w:t>
      </w:r>
      <w:r>
        <w:rPr>
          <w:spacing w:val="2"/>
        </w:rPr>
        <w:t>提出的保障性要求应经过可行性分析，包括技术可行性分析和经济可行</w:t>
      </w:r>
      <w:r>
        <w:rPr>
          <w:spacing w:val="12"/>
        </w:rPr>
        <w:t xml:space="preserve"> </w:t>
      </w:r>
      <w:r>
        <w:rPr>
          <w:spacing w:val="-5"/>
        </w:rPr>
        <w:t>性分析；</w:t>
      </w:r>
    </w:p>
    <w:p w14:paraId="0AC2E5C3">
      <w:pPr>
        <w:spacing w:line="264" w:lineRule="auto"/>
        <w:sectPr>
          <w:footerReference r:id="rId490" w:type="default"/>
          <w:pgSz w:w="11910" w:h="17130"/>
          <w:pgMar w:top="1456" w:right="815" w:bottom="1623" w:left="1710" w:header="0" w:footer="1425" w:gutter="0"/>
          <w:cols w:space="720" w:num="1"/>
        </w:sectPr>
      </w:pPr>
    </w:p>
    <w:p w14:paraId="11B4DDEF">
      <w:pPr>
        <w:pStyle w:val="2"/>
        <w:spacing w:before="86" w:line="212" w:lineRule="auto"/>
        <w:ind w:left="559"/>
        <w:rPr>
          <w:sz w:val="25"/>
          <w:szCs w:val="25"/>
        </w:rPr>
      </w:pPr>
      <w:r>
        <w:rPr>
          <w:rFonts w:ascii="Times New Roman" w:hAnsi="Times New Roman" w:eastAsia="Times New Roman" w:cs="Times New Roman"/>
          <w:spacing w:val="17"/>
          <w:sz w:val="25"/>
          <w:szCs w:val="25"/>
        </w:rPr>
        <w:t xml:space="preserve">c)  </w:t>
      </w:r>
      <w:r>
        <w:rPr>
          <w:spacing w:val="17"/>
          <w:sz w:val="25"/>
          <w:szCs w:val="25"/>
        </w:rPr>
        <w:t>提出的保障性参数的数量应尽可能地少，并经过反复迭代和细化；</w:t>
      </w:r>
    </w:p>
    <w:p w14:paraId="280A6638">
      <w:pPr>
        <w:pStyle w:val="2"/>
        <w:spacing w:before="99" w:line="265" w:lineRule="auto"/>
        <w:ind w:right="49" w:firstLine="559"/>
      </w:pPr>
      <w:r>
        <w:rPr>
          <w:rFonts w:ascii="Times New Roman" w:hAnsi="Times New Roman" w:eastAsia="Times New Roman" w:cs="Times New Roman"/>
          <w:spacing w:val="-12"/>
        </w:rPr>
        <w:t xml:space="preserve">d)  </w:t>
      </w:r>
      <w:r>
        <w:rPr>
          <w:spacing w:val="-12"/>
        </w:rPr>
        <w:t>提出的保障性定量要求应有明确的定义，是可度量、可追溯、</w:t>
      </w:r>
      <w:r>
        <w:rPr>
          <w:spacing w:val="-13"/>
        </w:rPr>
        <w:t>可验证的，并</w:t>
      </w:r>
      <w:r>
        <w:t xml:space="preserve"> </w:t>
      </w:r>
      <w:r>
        <w:rPr>
          <w:spacing w:val="-22"/>
        </w:rPr>
        <w:t>且有明确的验证时机、内容、条件和方法；定性要求应是明确的、可评估、可检查的，</w:t>
      </w:r>
      <w:r>
        <w:t xml:space="preserve"> </w:t>
      </w:r>
      <w:r>
        <w:rPr>
          <w:spacing w:val="-10"/>
        </w:rPr>
        <w:t>应有明确的检查清单和检查方法；不得用含糊、模棱两可的语言来表述各项要求；</w:t>
      </w:r>
    </w:p>
    <w:p w14:paraId="6390B829">
      <w:pPr>
        <w:pStyle w:val="2"/>
        <w:spacing w:before="78" w:line="257" w:lineRule="auto"/>
        <w:ind w:right="95" w:firstLine="559"/>
      </w:pPr>
      <w:r>
        <w:rPr>
          <w:rFonts w:ascii="Times New Roman" w:hAnsi="Times New Roman" w:eastAsia="Times New Roman" w:cs="Times New Roman"/>
          <w:spacing w:val="4"/>
        </w:rPr>
        <w:t xml:space="preserve">e </w:t>
      </w:r>
      <w:r>
        <w:rPr>
          <w:spacing w:val="4"/>
        </w:rPr>
        <w:t>)提出的保障性要求应完整，相互之间应协调匹配</w:t>
      </w:r>
      <w:r>
        <w:rPr>
          <w:spacing w:val="3"/>
        </w:rPr>
        <w:t>，并保证最终提出的保</w:t>
      </w:r>
      <w:r>
        <w:t xml:space="preserve"> </w:t>
      </w:r>
      <w:r>
        <w:rPr>
          <w:spacing w:val="-2"/>
        </w:rPr>
        <w:t>障性要求与装备设计方案、使用方案和保障方案相协调。</w:t>
      </w:r>
    </w:p>
    <w:p w14:paraId="41CC8424">
      <w:pPr>
        <w:pStyle w:val="2"/>
        <w:spacing w:before="89" w:line="219" w:lineRule="auto"/>
        <w:ind w:left="559"/>
      </w:pPr>
      <w:r>
        <w:rPr>
          <w:spacing w:val="3"/>
        </w:rPr>
        <w:t>对保障性要求有影响的约束条件主要有：</w:t>
      </w:r>
    </w:p>
    <w:p w14:paraId="578D1EFE">
      <w:pPr>
        <w:pStyle w:val="2"/>
        <w:spacing w:before="59" w:line="212" w:lineRule="auto"/>
        <w:ind w:left="559"/>
      </w:pPr>
      <w:r>
        <w:rPr>
          <w:rFonts w:ascii="Times New Roman" w:hAnsi="Times New Roman" w:eastAsia="Times New Roman" w:cs="Times New Roman"/>
          <w:spacing w:val="-8"/>
        </w:rPr>
        <w:t xml:space="preserve">a)  </w:t>
      </w:r>
      <w:r>
        <w:rPr>
          <w:spacing w:val="-8"/>
        </w:rPr>
        <w:t>平时战备训练的环境条件，包括使用、维修、贮存和运输等环境条件；</w:t>
      </w:r>
    </w:p>
    <w:p w14:paraId="7BE2292D">
      <w:pPr>
        <w:pStyle w:val="2"/>
        <w:spacing w:before="90" w:line="212" w:lineRule="auto"/>
        <w:ind w:right="8"/>
        <w:jc w:val="right"/>
      </w:pPr>
      <w:r>
        <w:rPr>
          <w:rFonts w:ascii="Times New Roman" w:hAnsi="Times New Roman" w:eastAsia="Times New Roman" w:cs="Times New Roman"/>
          <w:spacing w:val="-10"/>
        </w:rPr>
        <w:t>b)</w:t>
      </w:r>
      <w:r>
        <w:rPr>
          <w:rFonts w:ascii="Times New Roman" w:hAnsi="Times New Roman" w:eastAsia="Times New Roman" w:cs="Times New Roman"/>
          <w:spacing w:val="57"/>
        </w:rPr>
        <w:t xml:space="preserve"> </w:t>
      </w:r>
      <w:r>
        <w:rPr>
          <w:spacing w:val="-10"/>
        </w:rPr>
        <w:t>作战环境条件，包括自然环境、核生化环境、电子环境、复杂电</w:t>
      </w:r>
      <w:r>
        <w:rPr>
          <w:spacing w:val="-11"/>
        </w:rPr>
        <w:t>磁环境等；</w:t>
      </w:r>
    </w:p>
    <w:p w14:paraId="22828A18">
      <w:pPr>
        <w:pStyle w:val="2"/>
        <w:spacing w:before="89" w:line="212" w:lineRule="auto"/>
        <w:ind w:left="559"/>
      </w:pPr>
      <w:r>
        <w:rPr>
          <w:rFonts w:ascii="Times New Roman" w:hAnsi="Times New Roman" w:eastAsia="Times New Roman" w:cs="Times New Roman"/>
          <w:spacing w:val="-5"/>
        </w:rPr>
        <w:t>c)</w:t>
      </w:r>
      <w:r>
        <w:rPr>
          <w:rFonts w:ascii="Times New Roman" w:hAnsi="Times New Roman" w:eastAsia="Times New Roman" w:cs="Times New Roman"/>
          <w:spacing w:val="66"/>
          <w:w w:val="101"/>
        </w:rPr>
        <w:t xml:space="preserve"> </w:t>
      </w:r>
      <w:r>
        <w:rPr>
          <w:spacing w:val="-5"/>
        </w:rPr>
        <w:t>与装备保障有关的指挥、控制、通信和情报系统之间的接口；</w:t>
      </w:r>
    </w:p>
    <w:p w14:paraId="5CE10A84">
      <w:pPr>
        <w:pStyle w:val="2"/>
        <w:spacing w:before="90" w:line="212" w:lineRule="auto"/>
        <w:ind w:left="559"/>
      </w:pPr>
      <w:r>
        <w:rPr>
          <w:rFonts w:ascii="Times New Roman" w:hAnsi="Times New Roman" w:eastAsia="Times New Roman" w:cs="Times New Roman"/>
          <w:spacing w:val="3"/>
        </w:rPr>
        <w:t xml:space="preserve">d)  </w:t>
      </w:r>
      <w:r>
        <w:rPr>
          <w:spacing w:val="3"/>
        </w:rPr>
        <w:t>标准化和互用性的总体要求；</w:t>
      </w:r>
    </w:p>
    <w:p w14:paraId="7DDAE5EF">
      <w:pPr>
        <w:pStyle w:val="2"/>
        <w:spacing w:before="100" w:line="212" w:lineRule="auto"/>
        <w:ind w:left="559"/>
      </w:pPr>
      <w:r>
        <w:rPr>
          <w:rFonts w:ascii="Times New Roman" w:hAnsi="Times New Roman" w:eastAsia="Times New Roman" w:cs="Times New Roman"/>
          <w:spacing w:val="1"/>
        </w:rPr>
        <w:t xml:space="preserve">e)  </w:t>
      </w:r>
      <w:r>
        <w:rPr>
          <w:spacing w:val="1"/>
        </w:rPr>
        <w:t>装备寿命周期费用分析结论，特别是使用和保障费用方面</w:t>
      </w:r>
      <w:r>
        <w:t>的估算结果；</w:t>
      </w:r>
    </w:p>
    <w:p w14:paraId="58A2FD98">
      <w:pPr>
        <w:pStyle w:val="2"/>
        <w:spacing w:before="100" w:line="212" w:lineRule="auto"/>
        <w:ind w:left="559"/>
      </w:pPr>
      <w:r>
        <w:rPr>
          <w:rFonts w:ascii="Times New Roman" w:hAnsi="Times New Roman" w:eastAsia="Times New Roman" w:cs="Times New Roman"/>
          <w:spacing w:val="3"/>
        </w:rPr>
        <w:t>f)</w:t>
      </w:r>
      <w:r>
        <w:rPr>
          <w:rFonts w:ascii="Times New Roman" w:hAnsi="Times New Roman" w:eastAsia="Times New Roman" w:cs="Times New Roman"/>
          <w:spacing w:val="78"/>
          <w:w w:val="101"/>
        </w:rPr>
        <w:t xml:space="preserve"> </w:t>
      </w:r>
      <w:r>
        <w:rPr>
          <w:spacing w:val="3"/>
        </w:rPr>
        <w:t>装备形成初始作战使用能力和保障能力的时机和状态；</w:t>
      </w:r>
    </w:p>
    <w:p w14:paraId="09031058">
      <w:pPr>
        <w:pStyle w:val="2"/>
        <w:spacing w:before="110" w:line="212" w:lineRule="auto"/>
        <w:ind w:left="559"/>
      </w:pPr>
      <w:r>
        <w:rPr>
          <w:rFonts w:ascii="Times New Roman" w:hAnsi="Times New Roman" w:eastAsia="Times New Roman" w:cs="Times New Roman"/>
          <w:spacing w:val="8"/>
        </w:rPr>
        <w:t>g</w:t>
      </w:r>
      <w:r>
        <w:rPr>
          <w:rFonts w:ascii="Times New Roman" w:hAnsi="Times New Roman" w:eastAsia="Times New Roman" w:cs="Times New Roman"/>
          <w:spacing w:val="-18"/>
        </w:rPr>
        <w:t xml:space="preserve"> </w:t>
      </w:r>
      <w:r>
        <w:rPr>
          <w:spacing w:val="8"/>
        </w:rPr>
        <w:t>)风险和进度。</w:t>
      </w:r>
    </w:p>
    <w:p w14:paraId="1F01768B">
      <w:pPr>
        <w:pStyle w:val="2"/>
        <w:spacing w:before="112" w:line="273" w:lineRule="auto"/>
        <w:ind w:right="93" w:firstLine="559"/>
        <w:jc w:val="both"/>
      </w:pPr>
      <w:r>
        <w:rPr>
          <w:spacing w:val="-3"/>
        </w:rPr>
        <w:t>保障性定量要求一般分为三类：针对装备系统的系统战备完好性要求；针对</w:t>
      </w:r>
      <w:r>
        <w:rPr>
          <w:spacing w:val="9"/>
        </w:rPr>
        <w:t xml:space="preserve"> </w:t>
      </w:r>
      <w:r>
        <w:rPr>
          <w:spacing w:val="5"/>
        </w:rPr>
        <w:t>装备的保障性设计特性要求；针对保障系统及其资源的要求。保障系统及其资</w:t>
      </w:r>
      <w:r>
        <w:rPr>
          <w:spacing w:val="9"/>
        </w:rPr>
        <w:t xml:space="preserve"> </w:t>
      </w:r>
      <w:r>
        <w:t>源参数主要有：</w:t>
      </w:r>
    </w:p>
    <w:p w14:paraId="7E0F1C14">
      <w:pPr>
        <w:pStyle w:val="2"/>
        <w:spacing w:line="212" w:lineRule="auto"/>
        <w:ind w:left="559"/>
      </w:pPr>
      <w:r>
        <w:rPr>
          <w:rFonts w:ascii="Times New Roman" w:hAnsi="Times New Roman" w:eastAsia="Times New Roman" w:cs="Times New Roman"/>
          <w:spacing w:val="-25"/>
        </w:rPr>
        <w:t>a)</w:t>
      </w:r>
      <w:r>
        <w:rPr>
          <w:rFonts w:ascii="Times New Roman" w:hAnsi="Times New Roman" w:eastAsia="Times New Roman" w:cs="Times New Roman"/>
          <w:spacing w:val="15"/>
        </w:rPr>
        <w:t xml:space="preserve">  </w:t>
      </w:r>
      <w:r>
        <w:rPr>
          <w:spacing w:val="-25"/>
        </w:rPr>
        <w:t>与保障系统有关的参数，如</w:t>
      </w:r>
      <w:r>
        <w:rPr>
          <w:spacing w:val="-75"/>
        </w:rPr>
        <w:t xml:space="preserve"> </w:t>
      </w:r>
      <w:r>
        <w:rPr>
          <w:rFonts w:ascii="Times New Roman" w:hAnsi="Times New Roman" w:eastAsia="Times New Roman" w:cs="Times New Roman"/>
          <w:spacing w:val="-25"/>
        </w:rPr>
        <w:t>TMLD</w:t>
      </w:r>
      <w:r>
        <w:rPr>
          <w:spacing w:val="-25"/>
        </w:rPr>
        <w:t>、</w:t>
      </w:r>
      <w:r>
        <w:rPr>
          <w:rFonts w:ascii="Times New Roman" w:hAnsi="Times New Roman" w:eastAsia="Times New Roman" w:cs="Times New Roman"/>
          <w:spacing w:val="-25"/>
        </w:rPr>
        <w:t>TMAD</w:t>
      </w:r>
      <w:r>
        <w:rPr>
          <w:spacing w:val="-25"/>
        </w:rPr>
        <w:t>等；</w:t>
      </w:r>
    </w:p>
    <w:p w14:paraId="0562D38B">
      <w:pPr>
        <w:pStyle w:val="2"/>
        <w:spacing w:before="100" w:line="212" w:lineRule="auto"/>
        <w:ind w:left="559"/>
        <w:rPr>
          <w:rFonts w:ascii="仿宋" w:hAnsi="仿宋" w:eastAsia="仿宋" w:cs="仿宋"/>
        </w:rPr>
      </w:pPr>
      <w:r>
        <w:rPr>
          <w:rFonts w:ascii="Times New Roman" w:hAnsi="Times New Roman" w:eastAsia="Times New Roman" w:cs="Times New Roman"/>
          <w:spacing w:val="-18"/>
        </w:rPr>
        <w:t xml:space="preserve">b)  </w:t>
      </w:r>
      <w:r>
        <w:rPr>
          <w:spacing w:val="-18"/>
        </w:rPr>
        <w:t>与保障资源有关的参数，如</w:t>
      </w:r>
      <w:r>
        <w:rPr>
          <w:rFonts w:ascii="Times New Roman" w:hAnsi="Times New Roman" w:eastAsia="Times New Roman" w:cs="Times New Roman"/>
          <w:spacing w:val="-18"/>
        </w:rPr>
        <w:t>RsEu</w:t>
      </w:r>
      <w:r>
        <w:rPr>
          <w:spacing w:val="-18"/>
        </w:rPr>
        <w:t>、</w:t>
      </w:r>
      <w:r>
        <w:rPr>
          <w:rFonts w:ascii="Times New Roman" w:hAnsi="Times New Roman" w:eastAsia="Times New Roman" w:cs="Times New Roman"/>
          <w:spacing w:val="-18"/>
        </w:rPr>
        <w:t>RSEF</w:t>
      </w:r>
      <w:r>
        <w:rPr>
          <w:spacing w:val="-18"/>
        </w:rPr>
        <w:t>、</w:t>
      </w:r>
      <w:r>
        <w:rPr>
          <w:rFonts w:ascii="Times New Roman" w:hAnsi="Times New Roman" w:eastAsia="Times New Roman" w:cs="Times New Roman"/>
          <w:spacing w:val="-18"/>
        </w:rPr>
        <w:t>Rsu</w:t>
      </w:r>
      <w:r>
        <w:rPr>
          <w:spacing w:val="-19"/>
        </w:rPr>
        <w:t>、</w:t>
      </w:r>
      <w:r>
        <w:rPr>
          <w:rFonts w:ascii="Times New Roman" w:hAnsi="Times New Roman" w:eastAsia="Times New Roman" w:cs="Times New Roman"/>
          <w:spacing w:val="-19"/>
        </w:rPr>
        <w:t>RsF</w:t>
      </w:r>
      <w:r>
        <w:rPr>
          <w:rFonts w:ascii="仿宋" w:hAnsi="仿宋" w:eastAsia="仿宋" w:cs="仿宋"/>
          <w:spacing w:val="-19"/>
        </w:rPr>
        <w:t>等。</w:t>
      </w:r>
    </w:p>
    <w:p w14:paraId="20E2B29E">
      <w:pPr>
        <w:pStyle w:val="2"/>
        <w:spacing w:before="130" w:line="277" w:lineRule="auto"/>
        <w:ind w:right="85" w:firstLine="559"/>
      </w:pPr>
      <w:r>
        <w:rPr>
          <w:spacing w:val="-3"/>
        </w:rPr>
        <w:t>保障性定性要求一般包括针对装备系统、装备保障性设计、保障系统及其资</w:t>
      </w:r>
      <w:r>
        <w:rPr>
          <w:spacing w:val="17"/>
        </w:rPr>
        <w:t xml:space="preserve"> </w:t>
      </w:r>
      <w:r>
        <w:rPr>
          <w:spacing w:val="2"/>
        </w:rPr>
        <w:t>源等几方面的非量化要求。</w:t>
      </w:r>
    </w:p>
    <w:p w14:paraId="4A3E05F9">
      <w:pPr>
        <w:pStyle w:val="2"/>
        <w:spacing w:line="263" w:lineRule="auto"/>
        <w:ind w:right="93" w:firstLine="559"/>
      </w:pPr>
      <w:r>
        <w:rPr>
          <w:rFonts w:ascii="Times New Roman" w:hAnsi="Times New Roman" w:eastAsia="Times New Roman" w:cs="Times New Roman"/>
          <w:spacing w:val="11"/>
        </w:rPr>
        <w:t>a)</w:t>
      </w:r>
      <w:r>
        <w:rPr>
          <w:rFonts w:ascii="Times New Roman" w:hAnsi="Times New Roman" w:eastAsia="Times New Roman" w:cs="Times New Roman"/>
          <w:spacing w:val="6"/>
        </w:rPr>
        <w:t xml:space="preserve">  </w:t>
      </w:r>
      <w:r>
        <w:rPr>
          <w:spacing w:val="11"/>
        </w:rPr>
        <w:t>装备设计的便于保障的定性要求。1)使用保障设计要求。有关自保障</w:t>
      </w:r>
      <w:r>
        <w:rPr>
          <w:spacing w:val="1"/>
        </w:rPr>
        <w:t xml:space="preserve"> </w:t>
      </w:r>
      <w:r>
        <w:rPr>
          <w:spacing w:val="-3"/>
        </w:rPr>
        <w:t>设计要求；装备自带必要的自救和互救工具或设备的要求，特殊的保障要求；简</w:t>
      </w:r>
      <w:r>
        <w:rPr>
          <w:spacing w:val="13"/>
        </w:rPr>
        <w:t xml:space="preserve"> </w:t>
      </w:r>
      <w:r>
        <w:rPr>
          <w:spacing w:val="5"/>
        </w:rPr>
        <w:t>化装备动用、使用前的装配、检测等方面要求。2)维修保障设计要</w:t>
      </w:r>
      <w:r>
        <w:rPr>
          <w:spacing w:val="4"/>
        </w:rPr>
        <w:t>求。装备维</w:t>
      </w:r>
      <w:r>
        <w:t xml:space="preserve"> </w:t>
      </w:r>
      <w:r>
        <w:rPr>
          <w:spacing w:val="-4"/>
        </w:rPr>
        <w:t>修级别划分的要求；各级维修机构的维修能力的要求；战场抢救抢修的要求。</w:t>
      </w:r>
    </w:p>
    <w:p w14:paraId="23ED1988">
      <w:pPr>
        <w:pStyle w:val="2"/>
        <w:spacing w:before="105" w:line="268" w:lineRule="auto"/>
        <w:ind w:firstLine="559"/>
      </w:pPr>
      <w:r>
        <w:rPr>
          <w:rFonts w:ascii="Times New Roman" w:hAnsi="Times New Roman" w:eastAsia="Times New Roman" w:cs="Times New Roman"/>
          <w:spacing w:val="3"/>
        </w:rPr>
        <w:t>b)</w:t>
      </w:r>
      <w:r>
        <w:rPr>
          <w:rFonts w:ascii="Times New Roman" w:hAnsi="Times New Roman" w:eastAsia="Times New Roman" w:cs="Times New Roman"/>
          <w:spacing w:val="57"/>
        </w:rPr>
        <w:t xml:space="preserve"> </w:t>
      </w:r>
      <w:r>
        <w:rPr>
          <w:spacing w:val="3"/>
        </w:rPr>
        <w:t>保障资源定性要求。装备保障性要求论证时应从减轻保障负担、缩小保</w:t>
      </w:r>
      <w:r>
        <w:t xml:space="preserve"> </w:t>
      </w:r>
      <w:r>
        <w:rPr>
          <w:spacing w:val="5"/>
        </w:rPr>
        <w:t>障系统规模等方面提出要求。首先应优先选用现役装备保障设备和设施中可利</w:t>
      </w:r>
      <w:r>
        <w:rPr>
          <w:spacing w:val="4"/>
        </w:rPr>
        <w:t xml:space="preserve">  </w:t>
      </w:r>
      <w:r>
        <w:rPr>
          <w:spacing w:val="-3"/>
        </w:rPr>
        <w:t>用的资源，并从减少保障资源品种和数量、简化保障资源设计、保障资源标准化</w:t>
      </w:r>
      <w:r>
        <w:rPr>
          <w:spacing w:val="2"/>
        </w:rPr>
        <w:t xml:space="preserve">  </w:t>
      </w:r>
      <w:r>
        <w:rPr>
          <w:spacing w:val="5"/>
        </w:rPr>
        <w:t>等方面提出的约束条件，主要有：1)人力和人员。包括对使用维修</w:t>
      </w:r>
      <w:r>
        <w:rPr>
          <w:spacing w:val="4"/>
        </w:rPr>
        <w:t>和其他保障</w:t>
      </w:r>
      <w:r>
        <w:t xml:space="preserve">  </w:t>
      </w:r>
      <w:r>
        <w:rPr>
          <w:spacing w:val="-3"/>
        </w:rPr>
        <w:t>人员的编制数量、技术专业、文化程度、技术水平等的约束条件。2)训练和训练</w:t>
      </w:r>
      <w:r>
        <w:rPr>
          <w:spacing w:val="4"/>
        </w:rPr>
        <w:t xml:space="preserve">  </w:t>
      </w:r>
      <w:r>
        <w:rPr>
          <w:spacing w:val="-3"/>
        </w:rPr>
        <w:t>保障。包括训练周期的限制，有关训练装置、训练器材(含训练模拟器)的研制和</w:t>
      </w:r>
      <w:r>
        <w:rPr>
          <w:spacing w:val="18"/>
        </w:rPr>
        <w:t xml:space="preserve"> </w:t>
      </w:r>
      <w:r>
        <w:rPr>
          <w:spacing w:val="8"/>
        </w:rPr>
        <w:t>选用的约束条件，有关训练教材应系统配套形成体系的要求等。3)保障设备。</w:t>
      </w:r>
      <w:r>
        <w:rPr>
          <w:spacing w:val="13"/>
        </w:rPr>
        <w:t xml:space="preserve"> </w:t>
      </w:r>
      <w:r>
        <w:rPr>
          <w:spacing w:val="-3"/>
        </w:rPr>
        <w:t>包括采用现役保障设备的要求，对新研制的保障设备通用化、系列化、组合化要</w:t>
      </w:r>
      <w:r>
        <w:rPr>
          <w:spacing w:val="3"/>
        </w:rPr>
        <w:t xml:space="preserve">  </w:t>
      </w:r>
      <w:r>
        <w:rPr>
          <w:spacing w:val="-2"/>
        </w:rPr>
        <w:t>求；对新研制的保障设备费用的限制、保障设备互用性的要求；对各维修级别检</w:t>
      </w:r>
    </w:p>
    <w:p w14:paraId="092D59EA">
      <w:pPr>
        <w:spacing w:line="268" w:lineRule="auto"/>
        <w:sectPr>
          <w:footerReference r:id="rId491" w:type="default"/>
          <w:pgSz w:w="11910" w:h="17130"/>
          <w:pgMar w:top="1456" w:right="1505" w:bottom="1630" w:left="930" w:header="0" w:footer="1423" w:gutter="0"/>
          <w:cols w:space="720" w:num="1"/>
        </w:sectPr>
      </w:pPr>
    </w:p>
    <w:p w14:paraId="3E02DC88">
      <w:pPr>
        <w:pStyle w:val="2"/>
        <w:spacing w:before="57" w:line="279" w:lineRule="auto"/>
        <w:jc w:val="both"/>
      </w:pPr>
      <w:r>
        <w:rPr>
          <w:spacing w:val="5"/>
        </w:rPr>
        <w:t>测能力的要求；保障设备应具有自测试功能的要求。4)保障设施。包括对</w:t>
      </w:r>
      <w:r>
        <w:rPr>
          <w:spacing w:val="4"/>
        </w:rPr>
        <w:t>现有</w:t>
      </w:r>
      <w:r>
        <w:t xml:space="preserve">  </w:t>
      </w:r>
      <w:r>
        <w:rPr>
          <w:spacing w:val="-3"/>
        </w:rPr>
        <w:t>保障设施可利用程度的要求，改建、新建保障设施的约束条件，避免增加新建设</w:t>
      </w:r>
      <w:r>
        <w:rPr>
          <w:spacing w:val="3"/>
        </w:rPr>
        <w:t xml:space="preserve">  </w:t>
      </w:r>
      <w:r>
        <w:rPr>
          <w:spacing w:val="1"/>
        </w:rPr>
        <w:t>施的要求等。5)备件和消耗品。明确对备件、原材料、擦拭材料、油液(包</w:t>
      </w:r>
      <w:r>
        <w:t xml:space="preserve">括燃  </w:t>
      </w:r>
      <w:r>
        <w:rPr>
          <w:spacing w:val="-13"/>
        </w:rPr>
        <w:t>料、润滑油、液压油、特种液等)等以及对充电、充气(包括高</w:t>
      </w:r>
      <w:r>
        <w:rPr>
          <w:spacing w:val="-14"/>
        </w:rPr>
        <w:t>压空气、氧、氮等)等</w:t>
      </w:r>
      <w:r>
        <w:t xml:space="preserve">  </w:t>
      </w:r>
      <w:r>
        <w:rPr>
          <w:spacing w:val="5"/>
        </w:rPr>
        <w:t>的限制条件。6)技术资料。要求提供的技术资料范围，包括装备设计资料</w:t>
      </w:r>
      <w:r>
        <w:rPr>
          <w:spacing w:val="4"/>
        </w:rPr>
        <w:t>、使</w:t>
      </w:r>
      <w:r>
        <w:t xml:space="preserve">  </w:t>
      </w:r>
      <w:r>
        <w:rPr>
          <w:spacing w:val="-3"/>
        </w:rPr>
        <w:t>用维修手册、有关的技术报告、计算机软件文档和各类清单等。明确技术资料的</w:t>
      </w:r>
      <w:r>
        <w:rPr>
          <w:spacing w:val="14"/>
        </w:rPr>
        <w:t xml:space="preserve"> </w:t>
      </w:r>
      <w:r>
        <w:rPr>
          <w:spacing w:val="1"/>
        </w:rPr>
        <w:t>提交日期，使用各种技术资料的对象，有关技术资料</w:t>
      </w:r>
      <w:r>
        <w:t>编制要求以及其他要求等。</w:t>
      </w:r>
    </w:p>
    <w:p w14:paraId="000385AD">
      <w:pPr>
        <w:pStyle w:val="2"/>
        <w:spacing w:before="10" w:line="279" w:lineRule="auto"/>
        <w:jc w:val="both"/>
      </w:pPr>
      <w:r>
        <w:rPr>
          <w:spacing w:val="-3"/>
        </w:rPr>
        <w:t>7)包装、装卸、贮存和运输。包括装备及其备件在贮存和运输过程中的包装、装</w:t>
      </w:r>
      <w:r>
        <w:rPr>
          <w:spacing w:val="4"/>
        </w:rPr>
        <w:t xml:space="preserve">  </w:t>
      </w:r>
      <w:r>
        <w:rPr>
          <w:spacing w:val="-10"/>
        </w:rPr>
        <w:t>卸要求；贮存保障方案的要求，如封存器材、封存和启封时间、贮存周期</w:t>
      </w:r>
      <w:r>
        <w:rPr>
          <w:spacing w:val="-11"/>
        </w:rPr>
        <w:t>、贮存期</w:t>
      </w:r>
      <w:r>
        <w:t xml:space="preserve">  </w:t>
      </w:r>
      <w:r>
        <w:rPr>
          <w:spacing w:val="5"/>
        </w:rPr>
        <w:t>间的维护(含检测)等要求；装备及其保障资源的运输要求，包括运输</w:t>
      </w:r>
      <w:r>
        <w:rPr>
          <w:spacing w:val="4"/>
        </w:rPr>
        <w:t>方式要求</w:t>
      </w:r>
      <w:r>
        <w:t xml:space="preserve">  </w:t>
      </w:r>
      <w:r>
        <w:rPr>
          <w:spacing w:val="-10"/>
        </w:rPr>
        <w:t>(如海运、空运、铁路运输、公路运输)以及所需要的保障车辆、保障船的数量和种</w:t>
      </w:r>
      <w:r>
        <w:rPr>
          <w:spacing w:val="4"/>
        </w:rPr>
        <w:t xml:space="preserve">  </w:t>
      </w:r>
      <w:r>
        <w:rPr>
          <w:spacing w:val="6"/>
        </w:rPr>
        <w:t>类等。8)计算机资源保障。对建立软件保障系统提</w:t>
      </w:r>
      <w:r>
        <w:rPr>
          <w:spacing w:val="5"/>
        </w:rPr>
        <w:t>出要求，包括提出使用与保</w:t>
      </w:r>
      <w:r>
        <w:t xml:space="preserve"> </w:t>
      </w:r>
      <w:r>
        <w:rPr>
          <w:spacing w:val="-14"/>
        </w:rPr>
        <w:t>障装备中的计算机所需的设施、硬件、软件、文档、检测仪器、人力和人员等要求；</w:t>
      </w:r>
      <w:r>
        <w:rPr>
          <w:spacing w:val="2"/>
        </w:rPr>
        <w:t xml:space="preserve"> </w:t>
      </w:r>
      <w:r>
        <w:rPr>
          <w:spacing w:val="-10"/>
        </w:rPr>
        <w:t>有关计算机操作系统、运行环境、数据库、特殊类型接口、编程语言以及现有平台</w:t>
      </w:r>
      <w:r>
        <w:rPr>
          <w:spacing w:val="7"/>
        </w:rPr>
        <w:t xml:space="preserve"> </w:t>
      </w:r>
      <w:r>
        <w:rPr>
          <w:spacing w:val="-3"/>
        </w:rPr>
        <w:t>和数据资源的整合兼容等要求；装备软件更改的要求，如软件的更改应以模块升</w:t>
      </w:r>
      <w:r>
        <w:rPr>
          <w:spacing w:val="3"/>
        </w:rPr>
        <w:t xml:space="preserve">  </w:t>
      </w:r>
      <w:r>
        <w:rPr>
          <w:spacing w:val="-1"/>
        </w:rPr>
        <w:t>级方式进行，更改时应考虑操作和维修软件人员的能力等。</w:t>
      </w:r>
    </w:p>
    <w:p w14:paraId="3D781FAC">
      <w:pPr>
        <w:spacing w:before="11" w:line="221" w:lineRule="auto"/>
        <w:rPr>
          <w:rFonts w:ascii="黑体" w:hAnsi="黑体" w:eastAsia="黑体" w:cs="黑体"/>
          <w:sz w:val="27"/>
          <w:szCs w:val="27"/>
        </w:rPr>
      </w:pPr>
      <w:r>
        <w:rPr>
          <w:rFonts w:ascii="黑体" w:hAnsi="黑体" w:eastAsia="黑体" w:cs="黑体"/>
          <w:spacing w:val="1"/>
          <w:sz w:val="27"/>
          <w:szCs w:val="27"/>
        </w:rPr>
        <w:t>8</w:t>
      </w:r>
      <w:r>
        <w:rPr>
          <w:rFonts w:ascii="黑体" w:hAnsi="黑体" w:eastAsia="黑体" w:cs="黑体"/>
          <w:spacing w:val="33"/>
          <w:sz w:val="27"/>
          <w:szCs w:val="27"/>
        </w:rPr>
        <w:t xml:space="preserve">  </w:t>
      </w:r>
      <w:r>
        <w:rPr>
          <w:rFonts w:ascii="黑体" w:hAnsi="黑体" w:eastAsia="黑体" w:cs="黑体"/>
          <w:b/>
          <w:bCs/>
          <w:spacing w:val="1"/>
          <w:sz w:val="27"/>
          <w:szCs w:val="27"/>
        </w:rPr>
        <w:t>装备保障性要求确定的过程和分析方法</w:t>
      </w:r>
    </w:p>
    <w:p w14:paraId="76F9FC43">
      <w:pPr>
        <w:pStyle w:val="2"/>
        <w:spacing w:before="93" w:line="219" w:lineRule="auto"/>
        <w:ind w:left="580"/>
      </w:pPr>
      <w:r>
        <w:rPr>
          <w:spacing w:val="-1"/>
        </w:rPr>
        <w:t>列出确定装备保障性要求的过程、所用的分析方法和理由。</w:t>
      </w:r>
    </w:p>
    <w:p w14:paraId="605C13BE">
      <w:pPr>
        <w:spacing w:before="63" w:line="222" w:lineRule="auto"/>
        <w:rPr>
          <w:rFonts w:ascii="黑体" w:hAnsi="黑体" w:eastAsia="黑体" w:cs="黑体"/>
          <w:sz w:val="27"/>
          <w:szCs w:val="27"/>
        </w:rPr>
      </w:pPr>
      <w:r>
        <w:rPr>
          <w:rFonts w:ascii="黑体" w:hAnsi="黑体" w:eastAsia="黑体" w:cs="黑体"/>
          <w:spacing w:val="3"/>
          <w:sz w:val="27"/>
          <w:szCs w:val="27"/>
        </w:rPr>
        <w:t>9</w:t>
      </w:r>
      <w:r>
        <w:rPr>
          <w:rFonts w:ascii="黑体" w:hAnsi="黑体" w:eastAsia="黑体" w:cs="黑体"/>
          <w:spacing w:val="21"/>
          <w:sz w:val="27"/>
          <w:szCs w:val="27"/>
        </w:rPr>
        <w:t xml:space="preserve">  </w:t>
      </w:r>
      <w:r>
        <w:rPr>
          <w:rFonts w:ascii="黑体" w:hAnsi="黑体" w:eastAsia="黑体" w:cs="黑体"/>
          <w:b/>
          <w:bCs/>
          <w:spacing w:val="3"/>
          <w:sz w:val="27"/>
          <w:szCs w:val="27"/>
        </w:rPr>
        <w:t>装备保障性要求可验证性分析</w:t>
      </w:r>
    </w:p>
    <w:p w14:paraId="4F069772">
      <w:pPr>
        <w:pStyle w:val="2"/>
        <w:spacing w:before="100" w:line="277" w:lineRule="auto"/>
        <w:ind w:right="74" w:firstLine="580"/>
      </w:pPr>
      <w:r>
        <w:rPr>
          <w:spacing w:val="-3"/>
        </w:rPr>
        <w:t>列出装备保障性要求可验证性分析的结果，包括验证的参数、验证时机和方</w:t>
      </w:r>
      <w:r>
        <w:rPr>
          <w:spacing w:val="8"/>
        </w:rPr>
        <w:t xml:space="preserve"> </w:t>
      </w:r>
      <w:r>
        <w:rPr>
          <w:spacing w:val="-2"/>
        </w:rPr>
        <w:t>法等。</w:t>
      </w:r>
    </w:p>
    <w:p w14:paraId="61438E2D">
      <w:pPr>
        <w:pStyle w:val="2"/>
        <w:spacing w:before="1" w:line="280" w:lineRule="auto"/>
        <w:ind w:right="93" w:firstLine="580"/>
      </w:pPr>
      <w:r>
        <w:rPr>
          <w:spacing w:val="5"/>
        </w:rPr>
        <w:t>可验证性分析是确定提出的各项保障性指标能否得到验证的过程。通过可</w:t>
      </w:r>
      <w:r>
        <w:t xml:space="preserve"> </w:t>
      </w:r>
      <w:r>
        <w:rPr>
          <w:spacing w:val="-7"/>
        </w:rPr>
        <w:t>验证性分析，应明确如下主要内容：</w:t>
      </w:r>
    </w:p>
    <w:p w14:paraId="1920E82C">
      <w:pPr>
        <w:pStyle w:val="2"/>
        <w:spacing w:before="3" w:line="249" w:lineRule="auto"/>
        <w:ind w:right="73" w:firstLine="580"/>
      </w:pPr>
      <w:r>
        <w:rPr>
          <w:rFonts w:ascii="Times New Roman" w:hAnsi="Times New Roman" w:eastAsia="Times New Roman" w:cs="Times New Roman"/>
          <w:spacing w:val="6"/>
        </w:rPr>
        <w:t>a</w:t>
      </w:r>
      <w:r>
        <w:rPr>
          <w:spacing w:val="6"/>
        </w:rPr>
        <w:t>)待验证参数的定义和内涵。包括试验时应记录的数据、如何利用数</w:t>
      </w:r>
      <w:r>
        <w:rPr>
          <w:spacing w:val="5"/>
        </w:rPr>
        <w:t>据计</w:t>
      </w:r>
      <w:r>
        <w:t xml:space="preserve"> </w:t>
      </w:r>
      <w:r>
        <w:rPr>
          <w:spacing w:val="3"/>
        </w:rPr>
        <w:t>算参数量值的方法。</w:t>
      </w:r>
    </w:p>
    <w:p w14:paraId="7FDD0772">
      <w:pPr>
        <w:pStyle w:val="2"/>
        <w:spacing w:before="79" w:line="260" w:lineRule="auto"/>
        <w:ind w:firstLine="580"/>
      </w:pPr>
      <w:r>
        <w:rPr>
          <w:rFonts w:ascii="Times New Roman" w:hAnsi="Times New Roman" w:eastAsia="Times New Roman" w:cs="Times New Roman"/>
          <w:spacing w:val="11"/>
        </w:rPr>
        <w:t>b)</w:t>
      </w:r>
      <w:r>
        <w:rPr>
          <w:rFonts w:ascii="Times New Roman" w:hAnsi="Times New Roman" w:eastAsia="Times New Roman" w:cs="Times New Roman"/>
          <w:spacing w:val="68"/>
        </w:rPr>
        <w:t xml:space="preserve"> </w:t>
      </w:r>
      <w:r>
        <w:rPr>
          <w:spacing w:val="11"/>
        </w:rPr>
        <w:t>装备的故障判断准则。包括关联和非关联(责任和非责任)故障判</w:t>
      </w:r>
      <w:r>
        <w:rPr>
          <w:spacing w:val="10"/>
        </w:rPr>
        <w:t>断准</w:t>
      </w:r>
      <w:r>
        <w:t xml:space="preserve"> </w:t>
      </w:r>
      <w:r>
        <w:rPr>
          <w:spacing w:val="1"/>
        </w:rPr>
        <w:t>则，任务成功的准则和严重故障(任务故障)判断准则</w:t>
      </w:r>
      <w:r>
        <w:t xml:space="preserve">等。有耐久性要求的装备， </w:t>
      </w:r>
      <w:r>
        <w:rPr>
          <w:spacing w:val="4"/>
        </w:rPr>
        <w:t>应明确极限状态(耐久性损坏)的判断准则。</w:t>
      </w:r>
    </w:p>
    <w:p w14:paraId="6D6F89E1">
      <w:pPr>
        <w:pStyle w:val="2"/>
        <w:spacing w:before="78" w:line="271" w:lineRule="auto"/>
        <w:ind w:right="73" w:firstLine="580"/>
      </w:pPr>
      <w:r>
        <w:rPr>
          <w:rFonts w:ascii="Times New Roman" w:hAnsi="Times New Roman" w:eastAsia="Times New Roman" w:cs="Times New Roman"/>
          <w:spacing w:val="-2"/>
        </w:rPr>
        <w:t>c)</w:t>
      </w:r>
      <w:r>
        <w:rPr>
          <w:rFonts w:ascii="Times New Roman" w:hAnsi="Times New Roman" w:eastAsia="Times New Roman" w:cs="Times New Roman"/>
          <w:spacing w:val="52"/>
          <w:w w:val="101"/>
        </w:rPr>
        <w:t xml:space="preserve"> </w:t>
      </w:r>
      <w:r>
        <w:rPr>
          <w:spacing w:val="-2"/>
        </w:rPr>
        <w:t>验证试验方案。根据</w:t>
      </w:r>
      <w:r>
        <w:rPr>
          <w:rFonts w:ascii="Times New Roman" w:hAnsi="Times New Roman" w:eastAsia="Times New Roman" w:cs="Times New Roman"/>
          <w:spacing w:val="-2"/>
        </w:rPr>
        <w:t>GJB 899</w:t>
      </w:r>
      <w:r>
        <w:rPr>
          <w:rFonts w:ascii="Times New Roman" w:hAnsi="Times New Roman" w:eastAsia="Times New Roman" w:cs="Times New Roman"/>
          <w:spacing w:val="-40"/>
        </w:rPr>
        <w:t xml:space="preserve"> </w:t>
      </w:r>
      <w:r>
        <w:rPr>
          <w:spacing w:val="-2"/>
        </w:rPr>
        <w:t>、</w:t>
      </w:r>
      <w:r>
        <w:rPr>
          <w:rFonts w:ascii="Times New Roman" w:hAnsi="Times New Roman" w:eastAsia="Times New Roman" w:cs="Times New Roman"/>
          <w:spacing w:val="-2"/>
        </w:rPr>
        <w:t>GJB 207</w:t>
      </w:r>
      <w:r>
        <w:rPr>
          <w:rFonts w:ascii="Times New Roman" w:hAnsi="Times New Roman" w:eastAsia="Times New Roman" w:cs="Times New Roman"/>
          <w:spacing w:val="-3"/>
        </w:rPr>
        <w:t>2</w:t>
      </w:r>
      <w:r>
        <w:rPr>
          <w:rFonts w:ascii="Times New Roman" w:hAnsi="Times New Roman" w:eastAsia="Times New Roman" w:cs="Times New Roman"/>
          <w:spacing w:val="-28"/>
        </w:rPr>
        <w:t xml:space="preserve"> </w:t>
      </w:r>
      <w:r>
        <w:rPr>
          <w:spacing w:val="-3"/>
        </w:rPr>
        <w:t>和有关标准规定的原则确定试验</w:t>
      </w:r>
      <w:r>
        <w:t xml:space="preserve"> </w:t>
      </w:r>
      <w:r>
        <w:rPr>
          <w:spacing w:val="-10"/>
        </w:rPr>
        <w:t>方案时，应明确指标的统计含义，说明所提指标是用置信下限(或上限)还是均值来</w:t>
      </w:r>
      <w:r>
        <w:t xml:space="preserve"> </w:t>
      </w:r>
      <w:r>
        <w:rPr>
          <w:spacing w:val="-16"/>
        </w:rPr>
        <w:t>度量；应规定检验的统计准则，包括试验的判</w:t>
      </w:r>
      <w:r>
        <w:rPr>
          <w:spacing w:val="-17"/>
        </w:rPr>
        <w:t>决风险、样本数、试验总时间、置信水</w:t>
      </w:r>
      <w:r>
        <w:t xml:space="preserve"> </w:t>
      </w:r>
      <w:r>
        <w:rPr>
          <w:spacing w:val="-10"/>
        </w:rPr>
        <w:t>平等。当有多种任务剖面时，还应明确试验剖面，规定试验</w:t>
      </w:r>
      <w:r>
        <w:rPr>
          <w:spacing w:val="-11"/>
        </w:rPr>
        <w:t>剖面的持续时间、各分</w:t>
      </w:r>
      <w:r>
        <w:t xml:space="preserve"> </w:t>
      </w:r>
      <w:r>
        <w:rPr>
          <w:spacing w:val="-11"/>
        </w:rPr>
        <w:t>系统的试验时间、综合环境试验条件等，试验剖面的设计应与任务剖面相协调。</w:t>
      </w:r>
    </w:p>
    <w:p w14:paraId="6A881040">
      <w:pPr>
        <w:pStyle w:val="2"/>
        <w:spacing w:before="50" w:line="212" w:lineRule="auto"/>
        <w:ind w:left="580"/>
      </w:pPr>
      <w:r>
        <w:rPr>
          <w:rFonts w:ascii="Times New Roman" w:hAnsi="Times New Roman" w:eastAsia="Times New Roman" w:cs="Times New Roman"/>
          <w:spacing w:val="2"/>
        </w:rPr>
        <w:t>d)</w:t>
      </w:r>
      <w:r>
        <w:rPr>
          <w:rFonts w:ascii="Times New Roman" w:hAnsi="Times New Roman" w:eastAsia="Times New Roman" w:cs="Times New Roman"/>
          <w:spacing w:val="81"/>
          <w:w w:val="101"/>
        </w:rPr>
        <w:t xml:space="preserve"> </w:t>
      </w:r>
      <w:r>
        <w:rPr>
          <w:spacing w:val="2"/>
        </w:rPr>
        <w:t>对不能或不适宜用统计试验方案验证的参数提出评估验证的要求，有的</w:t>
      </w:r>
    </w:p>
    <w:p w14:paraId="4B463558">
      <w:pPr>
        <w:spacing w:line="212" w:lineRule="auto"/>
        <w:sectPr>
          <w:footerReference r:id="rId492" w:type="default"/>
          <w:pgSz w:w="11910" w:h="17130"/>
          <w:pgMar w:top="1416" w:right="894" w:bottom="1720" w:left="1539" w:header="0" w:footer="1434" w:gutter="0"/>
          <w:cols w:space="720" w:num="1"/>
        </w:sectPr>
      </w:pPr>
    </w:p>
    <w:p w14:paraId="3AAB90C9">
      <w:pPr>
        <w:pStyle w:val="2"/>
        <w:spacing w:before="53" w:line="274" w:lineRule="auto"/>
        <w:ind w:right="122"/>
      </w:pPr>
      <w:r>
        <w:rPr>
          <w:spacing w:val="6"/>
        </w:rPr>
        <w:t>指标可采用演示试验的方法进行验证，有的指标(如小子样</w:t>
      </w:r>
      <w:r>
        <w:rPr>
          <w:spacing w:val="5"/>
        </w:rPr>
        <w:t>的成功概率)可利用</w:t>
      </w:r>
      <w:r>
        <w:t xml:space="preserve"> </w:t>
      </w:r>
      <w:r>
        <w:rPr>
          <w:spacing w:val="3"/>
        </w:rPr>
        <w:t>不同层次的数据通过建模仿真或其他综合的方法进行评估。</w:t>
      </w:r>
    </w:p>
    <w:p w14:paraId="33D68BE2">
      <w:pPr>
        <w:pStyle w:val="2"/>
        <w:spacing w:before="1" w:line="285" w:lineRule="auto"/>
        <w:ind w:right="142" w:firstLine="560"/>
        <w:jc w:val="both"/>
      </w:pPr>
      <w:r>
        <w:rPr>
          <w:rFonts w:ascii="Times New Roman" w:hAnsi="Times New Roman" w:eastAsia="Times New Roman" w:cs="Times New Roman"/>
          <w:spacing w:val="3"/>
        </w:rPr>
        <w:t>e)</w:t>
      </w:r>
      <w:r>
        <w:rPr>
          <w:rFonts w:ascii="Times New Roman" w:hAnsi="Times New Roman" w:eastAsia="Times New Roman" w:cs="Times New Roman"/>
          <w:spacing w:val="63"/>
        </w:rPr>
        <w:t xml:space="preserve"> </w:t>
      </w:r>
      <w:r>
        <w:rPr>
          <w:spacing w:val="3"/>
        </w:rPr>
        <w:t>装备保障性使用要求的验证应在装备实际使用条件</w:t>
      </w:r>
      <w:r>
        <w:rPr>
          <w:spacing w:val="2"/>
        </w:rPr>
        <w:t>下通过使用试验来验</w:t>
      </w:r>
      <w:r>
        <w:t xml:space="preserve"> </w:t>
      </w:r>
      <w:r>
        <w:rPr>
          <w:spacing w:val="-3"/>
        </w:rPr>
        <w:t>证。在不具备使用验证条件的情况下，可以利用定型试验期间收集的数据和装备</w:t>
      </w:r>
      <w:r>
        <w:rPr>
          <w:spacing w:val="16"/>
        </w:rPr>
        <w:t xml:space="preserve"> </w:t>
      </w:r>
      <w:r>
        <w:rPr>
          <w:spacing w:val="-10"/>
        </w:rPr>
        <w:t>设计过程中的数据，利用仿真等技术进行分析</w:t>
      </w:r>
      <w:r>
        <w:rPr>
          <w:spacing w:val="-11"/>
        </w:rPr>
        <w:t>评估，以评估使用要求的实现情况。</w:t>
      </w:r>
    </w:p>
    <w:p w14:paraId="11EDF3E3">
      <w:pPr>
        <w:spacing w:before="3" w:line="222"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b/>
          <w:bCs/>
          <w:spacing w:val="-1"/>
          <w:sz w:val="27"/>
          <w:szCs w:val="27"/>
        </w:rPr>
        <w:t>0</w:t>
      </w:r>
      <w:r>
        <w:rPr>
          <w:rFonts w:ascii="黑体" w:hAnsi="黑体" w:eastAsia="黑体" w:cs="黑体"/>
          <w:spacing w:val="30"/>
          <w:sz w:val="27"/>
          <w:szCs w:val="27"/>
        </w:rPr>
        <w:t xml:space="preserve">  </w:t>
      </w:r>
      <w:r>
        <w:rPr>
          <w:rFonts w:ascii="黑体" w:hAnsi="黑体" w:eastAsia="黑体" w:cs="黑体"/>
          <w:b/>
          <w:bCs/>
          <w:spacing w:val="-1"/>
          <w:sz w:val="27"/>
          <w:szCs w:val="27"/>
        </w:rPr>
        <w:t>装备保障性专项经费预计分析</w:t>
      </w:r>
    </w:p>
    <w:p w14:paraId="3A2F37FD">
      <w:pPr>
        <w:pStyle w:val="2"/>
        <w:spacing w:before="100" w:line="312" w:lineRule="auto"/>
        <w:ind w:right="119" w:firstLine="560"/>
        <w:rPr>
          <w:sz w:val="25"/>
          <w:szCs w:val="25"/>
        </w:rPr>
      </w:pPr>
      <w:r>
        <w:rPr>
          <w:spacing w:val="26"/>
          <w:sz w:val="25"/>
          <w:szCs w:val="25"/>
        </w:rPr>
        <w:t>通过寿命周期费用影响的费用分析，列出装备保障性</w:t>
      </w:r>
      <w:r>
        <w:rPr>
          <w:spacing w:val="25"/>
          <w:sz w:val="25"/>
          <w:szCs w:val="25"/>
        </w:rPr>
        <w:t>专项经费需求分析结</w:t>
      </w:r>
      <w:r>
        <w:rPr>
          <w:sz w:val="25"/>
          <w:szCs w:val="25"/>
        </w:rPr>
        <w:t xml:space="preserve"> </w:t>
      </w:r>
      <w:r>
        <w:rPr>
          <w:spacing w:val="6"/>
          <w:sz w:val="25"/>
          <w:szCs w:val="25"/>
        </w:rPr>
        <w:t>果、支付进度和要求等。</w:t>
      </w:r>
    </w:p>
    <w:p w14:paraId="7F971BF0">
      <w:pPr>
        <w:pStyle w:val="2"/>
        <w:spacing w:before="254" w:line="219" w:lineRule="auto"/>
        <w:ind w:left="2510"/>
        <w:rPr>
          <w:sz w:val="36"/>
          <w:szCs w:val="36"/>
        </w:rPr>
      </w:pPr>
      <w:r>
        <w:rPr>
          <w:spacing w:val="1"/>
          <w:sz w:val="36"/>
          <w:szCs w:val="36"/>
        </w:rPr>
        <w:t>10.</w:t>
      </w:r>
      <w:r>
        <w:rPr>
          <w:b/>
          <w:bCs/>
          <w:spacing w:val="1"/>
          <w:sz w:val="36"/>
          <w:szCs w:val="36"/>
        </w:rPr>
        <w:t>2</w:t>
      </w:r>
      <w:r>
        <w:rPr>
          <w:spacing w:val="1"/>
          <w:sz w:val="36"/>
          <w:szCs w:val="36"/>
        </w:rPr>
        <w:t xml:space="preserve">  </w:t>
      </w:r>
      <w:r>
        <w:rPr>
          <w:b/>
          <w:bCs/>
          <w:spacing w:val="1"/>
          <w:sz w:val="36"/>
          <w:szCs w:val="36"/>
        </w:rPr>
        <w:t>保障性工作项目要求</w:t>
      </w:r>
    </w:p>
    <w:p w14:paraId="4FB337B9">
      <w:pPr>
        <w:spacing w:line="269" w:lineRule="auto"/>
        <w:rPr>
          <w:rFonts w:ascii="Arial"/>
          <w:sz w:val="21"/>
        </w:rPr>
      </w:pPr>
    </w:p>
    <w:p w14:paraId="6E8F2AE7">
      <w:pPr>
        <w:pStyle w:val="2"/>
        <w:spacing w:before="91" w:line="226"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3872—1999</w:t>
      </w:r>
      <w:r>
        <w:rPr>
          <w:spacing w:val="-11"/>
          <w:sz w:val="28"/>
          <w:szCs w:val="28"/>
        </w:rPr>
        <w:t>《</w:t>
      </w:r>
      <w:r>
        <w:rPr>
          <w:rFonts w:ascii="楷体" w:hAnsi="楷体" w:eastAsia="楷体" w:cs="楷体"/>
          <w:spacing w:val="-11"/>
          <w:sz w:val="28"/>
          <w:szCs w:val="28"/>
        </w:rPr>
        <w:t>装备综合保障通用要求》编写。</w:t>
      </w:r>
    </w:p>
    <w:p w14:paraId="36987E60">
      <w:pPr>
        <w:spacing w:before="86"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6"/>
          <w:sz w:val="27"/>
          <w:szCs w:val="27"/>
        </w:rPr>
        <w:t xml:space="preserve">  </w:t>
      </w:r>
      <w:r>
        <w:rPr>
          <w:rFonts w:ascii="黑体" w:hAnsi="黑体" w:eastAsia="黑体" w:cs="黑体"/>
          <w:b/>
          <w:bCs/>
          <w:spacing w:val="-13"/>
          <w:sz w:val="27"/>
          <w:szCs w:val="27"/>
        </w:rPr>
        <w:t>范围</w:t>
      </w:r>
    </w:p>
    <w:p w14:paraId="11EF4ACC">
      <w:pPr>
        <w:spacing w:before="9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79FFB777">
      <w:pPr>
        <w:spacing w:before="95"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21"/>
          <w:sz w:val="27"/>
          <w:szCs w:val="27"/>
        </w:rPr>
        <w:t xml:space="preserve">  </w:t>
      </w:r>
      <w:r>
        <w:rPr>
          <w:rFonts w:ascii="黑体" w:hAnsi="黑体" w:eastAsia="黑体" w:cs="黑体"/>
          <w:b/>
          <w:bCs/>
          <w:spacing w:val="1"/>
          <w:sz w:val="27"/>
          <w:szCs w:val="27"/>
        </w:rPr>
        <w:t>保障性工作项目选择原则</w:t>
      </w:r>
    </w:p>
    <w:p w14:paraId="2CD9B9BA">
      <w:pPr>
        <w:pStyle w:val="2"/>
        <w:spacing w:before="92" w:line="278" w:lineRule="auto"/>
        <w:ind w:firstLine="560"/>
        <w:jc w:val="both"/>
      </w:pPr>
      <w:r>
        <w:rPr>
          <w:spacing w:val="1"/>
        </w:rPr>
        <w:t>综合保障工作是装备研制中不可缺少的组成部分，应根据具体装备的类型、</w:t>
      </w:r>
      <w:r>
        <w:t xml:space="preserve"> </w:t>
      </w:r>
      <w:r>
        <w:rPr>
          <w:spacing w:val="-3"/>
        </w:rPr>
        <w:t>使用要求、费用、进度、所处寿命周期阶段、复杂程度、采用新技术的比例等对</w:t>
      </w:r>
      <w:r>
        <w:rPr>
          <w:spacing w:val="7"/>
        </w:rPr>
        <w:t xml:space="preserve">  </w:t>
      </w:r>
      <w:r>
        <w:rPr>
          <w:rFonts w:ascii="Times New Roman" w:hAnsi="Times New Roman" w:eastAsia="Times New Roman" w:cs="Times New Roman"/>
        </w:rPr>
        <w:t>GJB  3872—1999</w:t>
      </w:r>
      <w:r>
        <w:rPr>
          <w:rFonts w:ascii="Times New Roman" w:hAnsi="Times New Roman" w:eastAsia="Times New Roman" w:cs="Times New Roman"/>
          <w:spacing w:val="-19"/>
        </w:rPr>
        <w:t xml:space="preserve"> </w:t>
      </w:r>
      <w:r>
        <w:t>进行剪裁。</w:t>
      </w:r>
    </w:p>
    <w:p w14:paraId="30EB32FF">
      <w:pPr>
        <w:pStyle w:val="2"/>
        <w:spacing w:before="10" w:line="282" w:lineRule="auto"/>
        <w:ind w:right="141" w:firstLine="560"/>
        <w:jc w:val="both"/>
      </w:pPr>
      <w:r>
        <w:rPr>
          <w:spacing w:val="1"/>
        </w:rPr>
        <w:t>对于新研或重大改型的大型复杂装备，一般需要全面实施</w:t>
      </w:r>
      <w:r>
        <w:rPr>
          <w:rFonts w:ascii="Times New Roman" w:hAnsi="Times New Roman" w:eastAsia="Times New Roman" w:cs="Times New Roman"/>
        </w:rPr>
        <w:t>GJB</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1"/>
        </w:rPr>
        <w:t>3872—1999</w:t>
      </w:r>
      <w:r>
        <w:rPr>
          <w:rFonts w:ascii="Times New Roman" w:hAnsi="Times New Roman" w:eastAsia="Times New Roman" w:cs="Times New Roman"/>
        </w:rPr>
        <w:t xml:space="preserve"> </w:t>
      </w:r>
      <w:r>
        <w:rPr>
          <w:spacing w:val="5"/>
        </w:rPr>
        <w:t>规定的工作项目。对于只要求部分改进的装备或小型简单装备，可以只选择有</w:t>
      </w:r>
      <w:r>
        <w:rPr>
          <w:spacing w:val="12"/>
        </w:rPr>
        <w:t xml:space="preserve"> </w:t>
      </w:r>
      <w:r>
        <w:t>关的工作项目。</w:t>
      </w:r>
    </w:p>
    <w:p w14:paraId="179ABDB3">
      <w:pPr>
        <w:pStyle w:val="2"/>
        <w:spacing w:before="1" w:line="275" w:lineRule="auto"/>
        <w:ind w:right="134" w:firstLine="560"/>
      </w:pPr>
      <w:r>
        <w:t>经费和进度应作为剪裁</w:t>
      </w:r>
      <w:r>
        <w:rPr>
          <w:spacing w:val="-49"/>
        </w:rPr>
        <w:t xml:space="preserve"> </w:t>
      </w:r>
      <w:r>
        <w:rPr>
          <w:rFonts w:ascii="Times New Roman" w:hAnsi="Times New Roman" w:eastAsia="Times New Roman" w:cs="Times New Roman"/>
        </w:rPr>
        <w:t xml:space="preserve">GJB 3872—1999 </w:t>
      </w:r>
      <w:r>
        <w:t>的权衡因素。剪裁应用</w:t>
      </w:r>
      <w:r>
        <w:rPr>
          <w:rFonts w:ascii="Times New Roman" w:hAnsi="Times New Roman" w:eastAsia="Times New Roman" w:cs="Times New Roman"/>
        </w:rPr>
        <w:t xml:space="preserve">GJB 3872— </w:t>
      </w:r>
      <w:r>
        <w:rPr>
          <w:spacing w:val="-8"/>
        </w:rPr>
        <w:t>1999时，应符合</w:t>
      </w:r>
      <w:r>
        <w:rPr>
          <w:rFonts w:ascii="Times New Roman" w:hAnsi="Times New Roman" w:eastAsia="Times New Roman" w:cs="Times New Roman"/>
          <w:spacing w:val="-8"/>
        </w:rPr>
        <w:t>GJB/Z69—1994</w:t>
      </w:r>
      <w:r>
        <w:rPr>
          <w:rFonts w:ascii="Times New Roman" w:hAnsi="Times New Roman" w:eastAsia="Times New Roman" w:cs="Times New Roman"/>
          <w:spacing w:val="42"/>
          <w:w w:val="101"/>
        </w:rPr>
        <w:t xml:space="preserve"> </w:t>
      </w:r>
      <w:r>
        <w:rPr>
          <w:spacing w:val="-8"/>
        </w:rPr>
        <w:t>规定的基本原则和方法。</w:t>
      </w:r>
    </w:p>
    <w:p w14:paraId="048E6241">
      <w:pPr>
        <w:spacing w:before="21" w:line="222" w:lineRule="auto"/>
        <w:outlineLvl w:val="3"/>
        <w:rPr>
          <w:rFonts w:ascii="黑体" w:hAnsi="黑体" w:eastAsia="黑体" w:cs="黑体"/>
          <w:sz w:val="27"/>
          <w:szCs w:val="27"/>
        </w:rPr>
      </w:pPr>
      <w:r>
        <w:rPr>
          <w:rFonts w:ascii="Arial" w:hAnsi="Arial" w:eastAsia="Arial" w:cs="Arial"/>
          <w:b/>
          <w:bCs/>
          <w:sz w:val="27"/>
          <w:szCs w:val="27"/>
        </w:rPr>
        <w:t xml:space="preserve">4    </w:t>
      </w:r>
      <w:r>
        <w:rPr>
          <w:rFonts w:ascii="黑体" w:hAnsi="黑体" w:eastAsia="黑体" w:cs="黑体"/>
          <w:b/>
          <w:bCs/>
          <w:sz w:val="27"/>
          <w:szCs w:val="27"/>
        </w:rPr>
        <w:t>保障性工作项目选择权衡分析</w:t>
      </w:r>
    </w:p>
    <w:p w14:paraId="7732F963">
      <w:pPr>
        <w:pStyle w:val="2"/>
        <w:spacing w:before="100" w:line="278" w:lineRule="auto"/>
        <w:ind w:right="143" w:firstLine="560"/>
        <w:jc w:val="both"/>
      </w:pPr>
      <w:r>
        <w:rPr>
          <w:spacing w:val="-3"/>
        </w:rPr>
        <w:t>可靠性、维修性、测试性工作项目是保障性工作项</w:t>
      </w:r>
      <w:r>
        <w:rPr>
          <w:spacing w:val="-4"/>
        </w:rPr>
        <w:t>目的有机组成部分，对可</w:t>
      </w:r>
      <w:r>
        <w:t xml:space="preserve"> </w:t>
      </w:r>
      <w:r>
        <w:rPr>
          <w:spacing w:val="-3"/>
        </w:rPr>
        <w:t>靠性、维修性、测试性工作项目的选择权衡分析是保障性工作项目选择权衡分析</w:t>
      </w:r>
      <w:r>
        <w:rPr>
          <w:spacing w:val="15"/>
        </w:rPr>
        <w:t xml:space="preserve"> </w:t>
      </w:r>
      <w:r>
        <w:rPr>
          <w:spacing w:val="-1"/>
        </w:rPr>
        <w:t>的重要依据和内容。</w:t>
      </w:r>
    </w:p>
    <w:p w14:paraId="343DF280">
      <w:pPr>
        <w:pStyle w:val="2"/>
        <w:spacing w:before="20" w:line="275" w:lineRule="auto"/>
        <w:ind w:right="69" w:firstLine="560"/>
        <w:jc w:val="both"/>
      </w:pPr>
      <w:r>
        <w:rPr>
          <w:spacing w:val="1"/>
        </w:rPr>
        <w:t>对于新研或重大改型的大型复杂装备，实施</w:t>
      </w:r>
      <w:r>
        <w:rPr>
          <w:rFonts w:ascii="Times New Roman" w:hAnsi="Times New Roman" w:eastAsia="Times New Roman" w:cs="Times New Roman"/>
        </w:rPr>
        <w:t>GJB</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3872—</w:t>
      </w:r>
      <w:r>
        <w:rPr>
          <w:rFonts w:ascii="Times New Roman" w:hAnsi="Times New Roman" w:eastAsia="Times New Roman" w:cs="Times New Roman"/>
        </w:rPr>
        <w:t>1999</w:t>
      </w:r>
      <w:r>
        <w:rPr>
          <w:rFonts w:ascii="Times New Roman" w:hAnsi="Times New Roman" w:eastAsia="Times New Roman" w:cs="Times New Roman"/>
          <w:spacing w:val="-29"/>
        </w:rPr>
        <w:t xml:space="preserve"> </w:t>
      </w:r>
      <w:r>
        <w:t>规定的工作项 目，寿命周期各阶段工作内容见</w:t>
      </w:r>
      <w:r>
        <w:rPr>
          <w:rFonts w:ascii="Times New Roman" w:hAnsi="Times New Roman" w:eastAsia="Times New Roman" w:cs="Times New Roman"/>
        </w:rPr>
        <w:t>GJB  3872—1999</w:t>
      </w:r>
      <w:r>
        <w:rPr>
          <w:rFonts w:ascii="Times New Roman" w:hAnsi="Times New Roman" w:eastAsia="Times New Roman" w:cs="Times New Roman"/>
          <w:spacing w:val="31"/>
        </w:rPr>
        <w:t xml:space="preserve"> </w:t>
      </w:r>
      <w:r>
        <w:t>附</w:t>
      </w:r>
      <w:r>
        <w:rPr>
          <w:spacing w:val="-1"/>
        </w:rPr>
        <w:t>录</w:t>
      </w:r>
      <w:r>
        <w:rPr>
          <w:spacing w:val="-78"/>
        </w:rPr>
        <w:t xml:space="preserve"> </w:t>
      </w:r>
      <w:r>
        <w:rPr>
          <w:rFonts w:ascii="Times New Roman" w:hAnsi="Times New Roman" w:eastAsia="Times New Roman" w:cs="Times New Roman"/>
          <w:spacing w:val="-1"/>
        </w:rPr>
        <w:t>B</w:t>
      </w:r>
      <w:r>
        <w:rPr>
          <w:spacing w:val="-1"/>
        </w:rPr>
        <w:t>。对于只要求部分改进</w:t>
      </w:r>
      <w:r>
        <w:t xml:space="preserve">  </w:t>
      </w:r>
      <w:r>
        <w:rPr>
          <w:spacing w:val="-8"/>
        </w:rPr>
        <w:t>的装备或小型简单装备，进行权衡分析，选择有关的工作项目，说明选择的理由。</w:t>
      </w:r>
    </w:p>
    <w:p w14:paraId="5C2C3FF6">
      <w:pPr>
        <w:spacing w:before="1" w:line="221"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6"/>
          <w:sz w:val="27"/>
          <w:szCs w:val="27"/>
        </w:rPr>
        <w:t xml:space="preserve">   </w:t>
      </w:r>
      <w:r>
        <w:rPr>
          <w:rFonts w:ascii="黑体" w:hAnsi="黑体" w:eastAsia="黑体" w:cs="黑体"/>
          <w:b/>
          <w:bCs/>
          <w:spacing w:val="1"/>
          <w:sz w:val="27"/>
          <w:szCs w:val="27"/>
        </w:rPr>
        <w:t>保障性工作项目与其他工程的协调</w:t>
      </w:r>
    </w:p>
    <w:p w14:paraId="4A889251">
      <w:pPr>
        <w:pStyle w:val="2"/>
        <w:spacing w:before="140" w:line="268" w:lineRule="auto"/>
        <w:ind w:right="95" w:firstLine="560"/>
        <w:jc w:val="both"/>
      </w:pPr>
      <w:r>
        <w:rPr>
          <w:spacing w:val="-2"/>
        </w:rPr>
        <w:t>保障性工作项目应与其他专业工程(如可靠性、维修性、测试性、安全性等)</w:t>
      </w:r>
      <w:r>
        <w:rPr>
          <w:spacing w:val="5"/>
        </w:rPr>
        <w:t xml:space="preserve"> </w:t>
      </w:r>
      <w:r>
        <w:rPr>
          <w:spacing w:val="-3"/>
        </w:rPr>
        <w:t>相协调，以便进行保障方案等的权衡优选，确定保障系统及其资源要求，使装备</w:t>
      </w:r>
      <w:r>
        <w:rPr>
          <w:spacing w:val="16"/>
        </w:rPr>
        <w:t xml:space="preserve"> </w:t>
      </w:r>
      <w:r>
        <w:rPr>
          <w:spacing w:val="2"/>
        </w:rPr>
        <w:t>设计和规划保障同步协调地进行。</w:t>
      </w:r>
    </w:p>
    <w:p w14:paraId="6A441C38">
      <w:pPr>
        <w:spacing w:line="268" w:lineRule="auto"/>
        <w:sectPr>
          <w:footerReference r:id="rId493" w:type="default"/>
          <w:pgSz w:w="11910" w:h="17130"/>
          <w:pgMar w:top="1456" w:right="1365" w:bottom="1660" w:left="1039" w:header="0" w:footer="1453" w:gutter="0"/>
          <w:cols w:space="720" w:num="1"/>
        </w:sectPr>
      </w:pPr>
    </w:p>
    <w:p w14:paraId="7C228A81">
      <w:pPr>
        <w:spacing w:before="54" w:line="222" w:lineRule="auto"/>
        <w:rPr>
          <w:rFonts w:ascii="黑体" w:hAnsi="黑体" w:eastAsia="黑体" w:cs="黑体"/>
          <w:sz w:val="27"/>
          <w:szCs w:val="27"/>
        </w:rPr>
      </w:pPr>
      <w:r>
        <w:rPr>
          <w:rFonts w:ascii="黑体" w:hAnsi="黑体" w:eastAsia="黑体" w:cs="黑体"/>
          <w:spacing w:val="4"/>
          <w:sz w:val="27"/>
          <w:szCs w:val="27"/>
        </w:rPr>
        <w:t xml:space="preserve">6  </w:t>
      </w:r>
      <w:r>
        <w:rPr>
          <w:rFonts w:ascii="黑体" w:hAnsi="黑体" w:eastAsia="黑体" w:cs="黑体"/>
          <w:b/>
          <w:bCs/>
          <w:spacing w:val="4"/>
          <w:sz w:val="27"/>
          <w:szCs w:val="27"/>
        </w:rPr>
        <w:t>保障性工作项目主要实施内容</w:t>
      </w:r>
    </w:p>
    <w:p w14:paraId="12B1BDEE">
      <w:pPr>
        <w:pStyle w:val="2"/>
        <w:spacing w:before="50" w:line="304" w:lineRule="auto"/>
        <w:ind w:firstLine="570"/>
      </w:pPr>
      <w:r>
        <w:rPr>
          <w:spacing w:val="6"/>
        </w:rPr>
        <w:t>应明确对保障性工作项目的具体要求和注意事</w:t>
      </w:r>
      <w:r>
        <w:rPr>
          <w:spacing w:val="5"/>
        </w:rPr>
        <w:t>项，以确保保障性工作项目</w:t>
      </w:r>
      <w:r>
        <w:t xml:space="preserve"> </w:t>
      </w:r>
      <w:r>
        <w:rPr>
          <w:spacing w:val="-1"/>
        </w:rPr>
        <w:t>的实施效果。</w:t>
      </w:r>
    </w:p>
    <w:p w14:paraId="4F0B33F3">
      <w:pPr>
        <w:pStyle w:val="2"/>
        <w:spacing w:before="99" w:line="219" w:lineRule="auto"/>
        <w:ind w:left="3060"/>
        <w:outlineLvl w:val="1"/>
        <w:rPr>
          <w:sz w:val="36"/>
          <w:szCs w:val="36"/>
        </w:rPr>
      </w:pPr>
      <w:r>
        <w:rPr>
          <w:rFonts w:ascii="Times New Roman" w:hAnsi="Times New Roman" w:eastAsia="Times New Roman" w:cs="Times New Roman"/>
          <w:b/>
          <w:bCs/>
          <w:spacing w:val="1"/>
          <w:sz w:val="36"/>
          <w:szCs w:val="36"/>
        </w:rPr>
        <w:t xml:space="preserve">10.3     </w:t>
      </w:r>
      <w:r>
        <w:rPr>
          <w:b/>
          <w:bCs/>
          <w:spacing w:val="1"/>
          <w:sz w:val="36"/>
          <w:szCs w:val="36"/>
        </w:rPr>
        <w:t>综合保障计划</w:t>
      </w:r>
    </w:p>
    <w:p w14:paraId="73F1D5E1">
      <w:pPr>
        <w:pStyle w:val="2"/>
        <w:spacing w:before="242" w:line="227" w:lineRule="auto"/>
        <w:ind w:right="21"/>
        <w:jc w:val="right"/>
        <w:rPr>
          <w:rFonts w:ascii="楷体" w:hAnsi="楷体" w:eastAsia="楷体" w:cs="楷体"/>
        </w:rPr>
      </w:pPr>
      <w:r>
        <w:rPr>
          <w:rFonts w:ascii="楷体" w:hAnsi="楷体" w:eastAsia="楷体" w:cs="楷体"/>
          <w:spacing w:val="-3"/>
        </w:rPr>
        <w:t>按照</w:t>
      </w:r>
      <w:r>
        <w:rPr>
          <w:rFonts w:ascii="Times New Roman" w:hAnsi="Times New Roman" w:eastAsia="Times New Roman" w:cs="Times New Roman"/>
          <w:spacing w:val="-3"/>
        </w:rPr>
        <w:t>GJB 6388—</w:t>
      </w:r>
      <w:r>
        <w:rPr>
          <w:rFonts w:ascii="Times New Roman" w:hAnsi="Times New Roman" w:eastAsia="Times New Roman" w:cs="Times New Roman"/>
          <w:strike/>
          <w:spacing w:val="-3"/>
        </w:rPr>
        <w:t>2</w:t>
      </w:r>
      <w:r>
        <w:rPr>
          <w:rFonts w:ascii="Times New Roman" w:hAnsi="Times New Roman" w:eastAsia="Times New Roman" w:cs="Times New Roman"/>
          <w:spacing w:val="-3"/>
        </w:rPr>
        <w:t>008</w:t>
      </w:r>
      <w:r>
        <w:rPr>
          <w:spacing w:val="-3"/>
        </w:rPr>
        <w:t>《</w:t>
      </w:r>
      <w:r>
        <w:rPr>
          <w:rFonts w:ascii="楷体" w:hAnsi="楷体" w:eastAsia="楷体" w:cs="楷体"/>
          <w:spacing w:val="-3"/>
        </w:rPr>
        <w:t>装备综合保障计划编制要求》和</w:t>
      </w:r>
      <w:r>
        <w:rPr>
          <w:rFonts w:ascii="Times New Roman" w:hAnsi="Times New Roman" w:eastAsia="Times New Roman" w:cs="Times New Roman"/>
          <w:spacing w:val="-3"/>
        </w:rPr>
        <w:t>GJB 3872—1999</w:t>
      </w:r>
      <w:r>
        <w:rPr>
          <w:spacing w:val="-3"/>
        </w:rPr>
        <w:t>《</w:t>
      </w:r>
      <w:r>
        <w:rPr>
          <w:rFonts w:ascii="楷体" w:hAnsi="楷体" w:eastAsia="楷体" w:cs="楷体"/>
          <w:spacing w:val="-3"/>
        </w:rPr>
        <w:t>装</w:t>
      </w:r>
    </w:p>
    <w:p w14:paraId="4C11CE64">
      <w:pPr>
        <w:spacing w:before="73" w:line="226" w:lineRule="auto"/>
        <w:ind w:left="3"/>
        <w:rPr>
          <w:rFonts w:ascii="楷体" w:hAnsi="楷体" w:eastAsia="楷体" w:cs="楷体"/>
          <w:sz w:val="27"/>
          <w:szCs w:val="27"/>
        </w:rPr>
      </w:pPr>
      <w:r>
        <w:rPr>
          <w:rFonts w:ascii="楷体" w:hAnsi="楷体" w:eastAsia="楷体" w:cs="楷体"/>
          <w:b/>
          <w:bCs/>
          <w:spacing w:val="-11"/>
          <w:sz w:val="27"/>
          <w:szCs w:val="27"/>
        </w:rPr>
        <w:t>备综合保障通用要求》编写。</w:t>
      </w:r>
    </w:p>
    <w:p w14:paraId="49AE553B">
      <w:pPr>
        <w:spacing w:before="73"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080EE340">
      <w:pPr>
        <w:spacing w:before="8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74AE0D2E">
      <w:pPr>
        <w:spacing w:before="114" w:line="221" w:lineRule="auto"/>
        <w:rPr>
          <w:rFonts w:ascii="黑体" w:hAnsi="黑体" w:eastAsia="黑体" w:cs="黑体"/>
          <w:sz w:val="24"/>
          <w:szCs w:val="24"/>
        </w:rPr>
      </w:pPr>
      <w:r>
        <w:rPr>
          <w:rFonts w:ascii="黑体" w:hAnsi="黑体" w:eastAsia="黑体" w:cs="黑体"/>
          <w:spacing w:val="23"/>
          <w:sz w:val="24"/>
          <w:szCs w:val="24"/>
        </w:rPr>
        <w:t>3</w:t>
      </w:r>
      <w:r>
        <w:rPr>
          <w:rFonts w:ascii="黑体" w:hAnsi="黑体" w:eastAsia="黑体" w:cs="黑体"/>
          <w:spacing w:val="37"/>
          <w:sz w:val="24"/>
          <w:szCs w:val="24"/>
        </w:rPr>
        <w:t xml:space="preserve">  </w:t>
      </w:r>
      <w:r>
        <w:rPr>
          <w:rFonts w:ascii="黑体" w:hAnsi="黑体" w:eastAsia="黑体" w:cs="黑体"/>
          <w:b/>
          <w:bCs/>
          <w:spacing w:val="23"/>
          <w:sz w:val="24"/>
          <w:szCs w:val="24"/>
        </w:rPr>
        <w:t>装备说明</w:t>
      </w:r>
    </w:p>
    <w:p w14:paraId="5BE04E41">
      <w:pPr>
        <w:spacing w:before="93" w:line="221" w:lineRule="auto"/>
        <w:rPr>
          <w:rFonts w:ascii="黑体" w:hAnsi="黑体" w:eastAsia="黑体" w:cs="黑体"/>
          <w:sz w:val="27"/>
          <w:szCs w:val="27"/>
        </w:rPr>
      </w:pPr>
      <w:r>
        <w:rPr>
          <w:rFonts w:ascii="黑体" w:hAnsi="黑体" w:eastAsia="黑体" w:cs="黑体"/>
          <w:sz w:val="27"/>
          <w:szCs w:val="27"/>
        </w:rPr>
        <w:t>3.1</w:t>
      </w:r>
      <w:r>
        <w:rPr>
          <w:rFonts w:ascii="黑体" w:hAnsi="黑体" w:eastAsia="黑体" w:cs="黑体"/>
          <w:spacing w:val="31"/>
          <w:sz w:val="27"/>
          <w:szCs w:val="27"/>
        </w:rPr>
        <w:t xml:space="preserve">  </w:t>
      </w:r>
      <w:r>
        <w:rPr>
          <w:rFonts w:ascii="黑体" w:hAnsi="黑体" w:eastAsia="黑体" w:cs="黑体"/>
          <w:b/>
          <w:bCs/>
          <w:sz w:val="27"/>
          <w:szCs w:val="27"/>
        </w:rPr>
        <w:t>装备的作战使命和任务</w:t>
      </w:r>
    </w:p>
    <w:p w14:paraId="4799C884">
      <w:pPr>
        <w:pStyle w:val="2"/>
        <w:spacing w:before="82" w:line="219" w:lineRule="auto"/>
        <w:ind w:left="570"/>
      </w:pPr>
      <w:r>
        <w:rPr>
          <w:spacing w:val="3"/>
        </w:rPr>
        <w:t>一般对下列主要内容进行简要说明：</w:t>
      </w:r>
    </w:p>
    <w:p w14:paraId="31FFA779">
      <w:pPr>
        <w:pStyle w:val="2"/>
        <w:spacing w:before="51" w:line="212" w:lineRule="auto"/>
        <w:ind w:left="570"/>
      </w:pPr>
      <w:r>
        <w:rPr>
          <w:rFonts w:ascii="Times New Roman" w:hAnsi="Times New Roman" w:eastAsia="Times New Roman" w:cs="Times New Roman"/>
          <w:spacing w:val="1"/>
        </w:rPr>
        <w:t>a)</w:t>
      </w:r>
      <w:r>
        <w:rPr>
          <w:rFonts w:ascii="Times New Roman" w:hAnsi="Times New Roman" w:eastAsia="Times New Roman" w:cs="Times New Roman"/>
          <w:spacing w:val="67"/>
          <w:w w:val="101"/>
        </w:rPr>
        <w:t xml:space="preserve"> </w:t>
      </w:r>
      <w:r>
        <w:rPr>
          <w:spacing w:val="1"/>
        </w:rPr>
        <w:t>装备使用地域；</w:t>
      </w:r>
    </w:p>
    <w:p w14:paraId="7AC0175F">
      <w:pPr>
        <w:pStyle w:val="2"/>
        <w:spacing w:before="110" w:line="277" w:lineRule="auto"/>
        <w:ind w:right="11" w:firstLine="570"/>
        <w:rPr>
          <w:sz w:val="25"/>
          <w:szCs w:val="25"/>
        </w:rPr>
      </w:pPr>
      <w:r>
        <w:rPr>
          <w:rFonts w:ascii="Times New Roman" w:hAnsi="Times New Roman" w:eastAsia="Times New Roman" w:cs="Times New Roman"/>
          <w:spacing w:val="21"/>
          <w:sz w:val="25"/>
          <w:szCs w:val="25"/>
        </w:rPr>
        <w:t xml:space="preserve">b)  </w:t>
      </w:r>
      <w:r>
        <w:rPr>
          <w:spacing w:val="21"/>
          <w:sz w:val="25"/>
          <w:szCs w:val="25"/>
        </w:rPr>
        <w:t>战时和平时执行的主要和辅助的使命任务、打击</w:t>
      </w:r>
      <w:r>
        <w:rPr>
          <w:spacing w:val="20"/>
          <w:sz w:val="25"/>
          <w:szCs w:val="25"/>
        </w:rPr>
        <w:t>目标类型和所要应付的</w:t>
      </w:r>
      <w:r>
        <w:rPr>
          <w:sz w:val="25"/>
          <w:szCs w:val="25"/>
        </w:rPr>
        <w:t xml:space="preserve"> </w:t>
      </w:r>
      <w:r>
        <w:rPr>
          <w:spacing w:val="17"/>
          <w:sz w:val="25"/>
          <w:szCs w:val="25"/>
        </w:rPr>
        <w:t>主要威胁。</w:t>
      </w:r>
    </w:p>
    <w:p w14:paraId="69E51E94">
      <w:pPr>
        <w:spacing w:before="74" w:line="222" w:lineRule="auto"/>
        <w:rPr>
          <w:rFonts w:ascii="黑体" w:hAnsi="黑体" w:eastAsia="黑体" w:cs="黑体"/>
          <w:sz w:val="27"/>
          <w:szCs w:val="27"/>
        </w:rPr>
      </w:pPr>
      <w:r>
        <w:rPr>
          <w:rFonts w:ascii="黑体" w:hAnsi="黑体" w:eastAsia="黑体" w:cs="黑体"/>
          <w:spacing w:val="1"/>
          <w:sz w:val="27"/>
          <w:szCs w:val="27"/>
        </w:rPr>
        <w:t>3.2</w:t>
      </w:r>
      <w:r>
        <w:rPr>
          <w:rFonts w:ascii="黑体" w:hAnsi="黑体" w:eastAsia="黑体" w:cs="黑体"/>
          <w:spacing w:val="24"/>
          <w:sz w:val="27"/>
          <w:szCs w:val="27"/>
        </w:rPr>
        <w:t xml:space="preserve">  </w:t>
      </w:r>
      <w:r>
        <w:rPr>
          <w:rFonts w:ascii="黑体" w:hAnsi="黑体" w:eastAsia="黑体" w:cs="黑体"/>
          <w:b/>
          <w:bCs/>
          <w:spacing w:val="1"/>
          <w:sz w:val="27"/>
          <w:szCs w:val="27"/>
        </w:rPr>
        <w:t>装备的主要作战使用性能</w:t>
      </w:r>
    </w:p>
    <w:p w14:paraId="5F531174">
      <w:pPr>
        <w:pStyle w:val="2"/>
        <w:spacing w:before="80" w:line="282" w:lineRule="auto"/>
        <w:ind w:right="16" w:firstLine="570"/>
      </w:pPr>
      <w:r>
        <w:rPr>
          <w:spacing w:val="-19"/>
        </w:rPr>
        <w:t>简述装备的基本能力要求，如：火力性能、机动性能、通信性能、防护性能、战</w:t>
      </w:r>
      <w:r>
        <w:rPr>
          <w:spacing w:val="18"/>
        </w:rPr>
        <w:t xml:space="preserve"> </w:t>
      </w:r>
      <w:r>
        <w:rPr>
          <w:spacing w:val="-2"/>
        </w:rPr>
        <w:t>备完好性、任务成功性(任务可靠性)等主要性能指</w:t>
      </w:r>
      <w:r>
        <w:rPr>
          <w:spacing w:val="-3"/>
        </w:rPr>
        <w:t>标。</w:t>
      </w:r>
    </w:p>
    <w:p w14:paraId="25A0F979">
      <w:pPr>
        <w:spacing w:before="2" w:line="220" w:lineRule="auto"/>
        <w:rPr>
          <w:rFonts w:ascii="黑体" w:hAnsi="黑体" w:eastAsia="黑体" w:cs="黑体"/>
          <w:sz w:val="27"/>
          <w:szCs w:val="27"/>
        </w:rPr>
      </w:pPr>
      <w:r>
        <w:rPr>
          <w:rFonts w:ascii="黑体" w:hAnsi="黑体" w:eastAsia="黑体" w:cs="黑体"/>
          <w:spacing w:val="-2"/>
          <w:sz w:val="27"/>
          <w:szCs w:val="27"/>
        </w:rPr>
        <w:t>3.3</w:t>
      </w:r>
      <w:r>
        <w:rPr>
          <w:rFonts w:ascii="黑体" w:hAnsi="黑体" w:eastAsia="黑体" w:cs="黑体"/>
          <w:spacing w:val="26"/>
          <w:sz w:val="27"/>
          <w:szCs w:val="27"/>
        </w:rPr>
        <w:t xml:space="preserve">  </w:t>
      </w:r>
      <w:r>
        <w:rPr>
          <w:rFonts w:ascii="黑体" w:hAnsi="黑体" w:eastAsia="黑体" w:cs="黑体"/>
          <w:b/>
          <w:bCs/>
          <w:spacing w:val="-2"/>
          <w:sz w:val="27"/>
          <w:szCs w:val="27"/>
        </w:rPr>
        <w:t>装备总体方案</w:t>
      </w:r>
    </w:p>
    <w:p w14:paraId="322B9907">
      <w:pPr>
        <w:pStyle w:val="2"/>
        <w:spacing w:before="91" w:line="219" w:lineRule="auto"/>
        <w:ind w:left="570"/>
      </w:pPr>
      <w:r>
        <w:rPr>
          <w:spacing w:val="3"/>
        </w:rPr>
        <w:t>一般对下列主要内容进行简要说明：</w:t>
      </w:r>
    </w:p>
    <w:p w14:paraId="5F3BAF27">
      <w:pPr>
        <w:pStyle w:val="2"/>
        <w:spacing w:before="101" w:line="219" w:lineRule="auto"/>
        <w:ind w:left="570"/>
        <w:rPr>
          <w:sz w:val="25"/>
          <w:szCs w:val="25"/>
        </w:rPr>
      </w:pPr>
      <w:r>
        <w:rPr>
          <w:rFonts w:ascii="Times New Roman" w:hAnsi="Times New Roman" w:eastAsia="Times New Roman" w:cs="Times New Roman"/>
          <w:spacing w:val="15"/>
          <w:sz w:val="25"/>
          <w:szCs w:val="25"/>
        </w:rPr>
        <w:t>a</w:t>
      </w:r>
      <w:r>
        <w:rPr>
          <w:rFonts w:ascii="Times New Roman" w:hAnsi="Times New Roman" w:eastAsia="Times New Roman" w:cs="Times New Roman"/>
          <w:spacing w:val="-20"/>
          <w:sz w:val="25"/>
          <w:szCs w:val="25"/>
        </w:rPr>
        <w:t xml:space="preserve"> </w:t>
      </w:r>
      <w:r>
        <w:rPr>
          <w:spacing w:val="15"/>
          <w:sz w:val="25"/>
          <w:szCs w:val="25"/>
        </w:rPr>
        <w:t>)装备的组成，包括系统软件；</w:t>
      </w:r>
    </w:p>
    <w:p w14:paraId="43B1E011">
      <w:pPr>
        <w:pStyle w:val="2"/>
        <w:spacing w:before="53" w:line="212" w:lineRule="auto"/>
        <w:ind w:left="570"/>
      </w:pPr>
      <w:r>
        <w:rPr>
          <w:rFonts w:ascii="Times New Roman" w:hAnsi="Times New Roman" w:eastAsia="Times New Roman" w:cs="Times New Roman"/>
          <w:spacing w:val="-3"/>
        </w:rPr>
        <w:t xml:space="preserve">b)  </w:t>
      </w:r>
      <w:r>
        <w:rPr>
          <w:spacing w:val="-3"/>
        </w:rPr>
        <w:t>装备、分系统或设备的功能或功能框图。</w:t>
      </w:r>
    </w:p>
    <w:p w14:paraId="7B0AD230">
      <w:pPr>
        <w:spacing w:before="124" w:line="221" w:lineRule="auto"/>
        <w:rPr>
          <w:rFonts w:ascii="黑体" w:hAnsi="黑体" w:eastAsia="黑体" w:cs="黑体"/>
          <w:sz w:val="27"/>
          <w:szCs w:val="27"/>
        </w:rPr>
      </w:pPr>
      <w:r>
        <w:rPr>
          <w:rFonts w:ascii="黑体" w:hAnsi="黑体" w:eastAsia="黑体" w:cs="黑体"/>
          <w:spacing w:val="-5"/>
          <w:sz w:val="27"/>
          <w:szCs w:val="27"/>
        </w:rPr>
        <w:t>4</w:t>
      </w:r>
      <w:r>
        <w:rPr>
          <w:rFonts w:ascii="黑体" w:hAnsi="黑体" w:eastAsia="黑体" w:cs="黑体"/>
          <w:spacing w:val="12"/>
          <w:sz w:val="27"/>
          <w:szCs w:val="27"/>
        </w:rPr>
        <w:t xml:space="preserve">  </w:t>
      </w:r>
      <w:r>
        <w:rPr>
          <w:rFonts w:ascii="黑体" w:hAnsi="黑体" w:eastAsia="黑体" w:cs="黑体"/>
          <w:b/>
          <w:bCs/>
          <w:spacing w:val="-5"/>
          <w:sz w:val="27"/>
          <w:szCs w:val="27"/>
        </w:rPr>
        <w:t>使用方案</w:t>
      </w:r>
    </w:p>
    <w:p w14:paraId="4F5C3493">
      <w:pPr>
        <w:pStyle w:val="2"/>
        <w:spacing w:before="102" w:line="219" w:lineRule="auto"/>
        <w:ind w:left="570"/>
      </w:pPr>
      <w:r>
        <w:rPr>
          <w:spacing w:val="3"/>
        </w:rPr>
        <w:t>一般对下列主要内容进行简要说明：</w:t>
      </w:r>
    </w:p>
    <w:p w14:paraId="6F962847">
      <w:pPr>
        <w:pStyle w:val="2"/>
        <w:spacing w:before="61" w:line="212" w:lineRule="auto"/>
        <w:ind w:left="570"/>
      </w:pPr>
      <w:r>
        <w:rPr>
          <w:rFonts w:ascii="Times New Roman" w:hAnsi="Times New Roman" w:eastAsia="Times New Roman" w:cs="Times New Roman"/>
          <w:spacing w:val="-10"/>
        </w:rPr>
        <w:t>a)</w:t>
      </w:r>
      <w:r>
        <w:rPr>
          <w:rFonts w:ascii="Times New Roman" w:hAnsi="Times New Roman" w:eastAsia="Times New Roman" w:cs="Times New Roman"/>
          <w:spacing w:val="67"/>
        </w:rPr>
        <w:t xml:space="preserve"> </w:t>
      </w:r>
      <w:r>
        <w:rPr>
          <w:spacing w:val="-10"/>
        </w:rPr>
        <w:t>装备预定的部署数量、地域、服役期限；</w:t>
      </w:r>
    </w:p>
    <w:p w14:paraId="294E8CA7">
      <w:pPr>
        <w:pStyle w:val="2"/>
        <w:spacing w:before="90"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71"/>
        </w:rPr>
        <w:t xml:space="preserve"> </w:t>
      </w:r>
      <w:r>
        <w:rPr>
          <w:spacing w:val="4"/>
        </w:rPr>
        <w:t>装备预定投入使用后使用部队的编成和装备的编配；</w:t>
      </w:r>
    </w:p>
    <w:p w14:paraId="70F779FD">
      <w:pPr>
        <w:pStyle w:val="2"/>
        <w:spacing w:before="110" w:line="212" w:lineRule="auto"/>
        <w:ind w:left="570"/>
      </w:pPr>
      <w:r>
        <w:rPr>
          <w:rFonts w:ascii="Times New Roman" w:hAnsi="Times New Roman" w:eastAsia="Times New Roman" w:cs="Times New Roman"/>
          <w:spacing w:val="-6"/>
        </w:rPr>
        <w:t>c)</w:t>
      </w:r>
      <w:r>
        <w:rPr>
          <w:rFonts w:ascii="Times New Roman" w:hAnsi="Times New Roman" w:eastAsia="Times New Roman" w:cs="Times New Roman"/>
          <w:spacing w:val="68"/>
        </w:rPr>
        <w:t xml:space="preserve"> </w:t>
      </w:r>
      <w:r>
        <w:rPr>
          <w:spacing w:val="-6"/>
        </w:rPr>
        <w:t>装备任务剖面、寿命剖面；</w:t>
      </w:r>
    </w:p>
    <w:p w14:paraId="6468E2B1">
      <w:pPr>
        <w:pStyle w:val="2"/>
        <w:spacing w:before="100" w:line="212" w:lineRule="auto"/>
        <w:ind w:left="570"/>
      </w:pPr>
      <w:r>
        <w:rPr>
          <w:rFonts w:ascii="Times New Roman" w:hAnsi="Times New Roman" w:eastAsia="Times New Roman" w:cs="Times New Roman"/>
          <w:spacing w:val="3"/>
        </w:rPr>
        <w:t>d)</w:t>
      </w:r>
      <w:r>
        <w:rPr>
          <w:rFonts w:ascii="Times New Roman" w:hAnsi="Times New Roman" w:eastAsia="Times New Roman" w:cs="Times New Roman"/>
          <w:spacing w:val="78"/>
        </w:rPr>
        <w:t xml:space="preserve"> </w:t>
      </w:r>
      <w:r>
        <w:rPr>
          <w:spacing w:val="3"/>
        </w:rPr>
        <w:t>使用装备的作战部队保障工作的指导原则；</w:t>
      </w:r>
    </w:p>
    <w:p w14:paraId="22AD9981">
      <w:pPr>
        <w:pStyle w:val="2"/>
        <w:spacing w:before="100" w:line="212" w:lineRule="auto"/>
        <w:ind w:left="570"/>
      </w:pPr>
      <w:r>
        <w:rPr>
          <w:rFonts w:ascii="Times New Roman" w:hAnsi="Times New Roman" w:eastAsia="Times New Roman" w:cs="Times New Roman"/>
          <w:spacing w:val="3"/>
        </w:rPr>
        <w:t>e)</w:t>
      </w:r>
      <w:r>
        <w:rPr>
          <w:rFonts w:ascii="Times New Roman" w:hAnsi="Times New Roman" w:eastAsia="Times New Roman" w:cs="Times New Roman"/>
          <w:spacing w:val="71"/>
          <w:w w:val="101"/>
        </w:rPr>
        <w:t xml:space="preserve"> </w:t>
      </w:r>
      <w:r>
        <w:rPr>
          <w:spacing w:val="3"/>
        </w:rPr>
        <w:t>平时和战时的装备保障要求。</w:t>
      </w:r>
    </w:p>
    <w:p w14:paraId="790274A0">
      <w:pPr>
        <w:spacing w:before="124" w:line="221" w:lineRule="auto"/>
        <w:rPr>
          <w:rFonts w:ascii="黑体" w:hAnsi="黑体" w:eastAsia="黑体" w:cs="黑体"/>
          <w:sz w:val="27"/>
          <w:szCs w:val="27"/>
        </w:rPr>
      </w:pPr>
      <w:r>
        <w:rPr>
          <w:rFonts w:ascii="黑体" w:hAnsi="黑体" w:eastAsia="黑体" w:cs="黑体"/>
          <w:spacing w:val="2"/>
          <w:sz w:val="27"/>
          <w:szCs w:val="27"/>
        </w:rPr>
        <w:t xml:space="preserve">5  </w:t>
      </w:r>
      <w:r>
        <w:rPr>
          <w:rFonts w:ascii="黑体" w:hAnsi="黑体" w:eastAsia="黑体" w:cs="黑体"/>
          <w:b/>
          <w:bCs/>
          <w:spacing w:val="2"/>
          <w:sz w:val="27"/>
          <w:szCs w:val="27"/>
        </w:rPr>
        <w:t>综合保障工作机构及其职责</w:t>
      </w:r>
    </w:p>
    <w:p w14:paraId="6A1EF153">
      <w:pPr>
        <w:spacing w:before="76" w:line="221" w:lineRule="auto"/>
        <w:rPr>
          <w:rFonts w:ascii="黑体" w:hAnsi="黑体" w:eastAsia="黑体" w:cs="黑体"/>
          <w:sz w:val="27"/>
          <w:szCs w:val="27"/>
        </w:rPr>
      </w:pPr>
      <w:r>
        <w:rPr>
          <w:rFonts w:ascii="黑体" w:hAnsi="黑体" w:eastAsia="黑体" w:cs="黑体"/>
          <w:spacing w:val="1"/>
          <w:sz w:val="27"/>
          <w:szCs w:val="27"/>
        </w:rPr>
        <w:t>5.1</w:t>
      </w:r>
      <w:r>
        <w:rPr>
          <w:rFonts w:ascii="黑体" w:hAnsi="黑体" w:eastAsia="黑体" w:cs="黑体"/>
          <w:spacing w:val="25"/>
          <w:sz w:val="27"/>
          <w:szCs w:val="27"/>
        </w:rPr>
        <w:t xml:space="preserve">  </w:t>
      </w:r>
      <w:r>
        <w:rPr>
          <w:rFonts w:ascii="黑体" w:hAnsi="黑体" w:eastAsia="黑体" w:cs="黑体"/>
          <w:b/>
          <w:bCs/>
          <w:spacing w:val="1"/>
          <w:sz w:val="27"/>
          <w:szCs w:val="27"/>
        </w:rPr>
        <w:t>订购方综合保障工作机构</w:t>
      </w:r>
    </w:p>
    <w:p w14:paraId="38830866">
      <w:pPr>
        <w:pStyle w:val="2"/>
        <w:spacing w:before="104" w:line="219" w:lineRule="auto"/>
        <w:ind w:left="570"/>
      </w:pPr>
      <w:r>
        <w:rPr>
          <w:spacing w:val="1"/>
        </w:rPr>
        <w:t>一般应明确下列主要内容：</w:t>
      </w:r>
    </w:p>
    <w:p w14:paraId="58E533AE">
      <w:pPr>
        <w:pStyle w:val="2"/>
        <w:spacing w:before="91" w:line="212" w:lineRule="auto"/>
        <w:ind w:left="570"/>
        <w:rPr>
          <w:sz w:val="24"/>
          <w:szCs w:val="24"/>
        </w:rPr>
      </w:pPr>
      <w:r>
        <w:rPr>
          <w:rFonts w:ascii="Times New Roman" w:hAnsi="Times New Roman" w:eastAsia="Times New Roman" w:cs="Times New Roman"/>
          <w:spacing w:val="31"/>
          <w:sz w:val="24"/>
          <w:szCs w:val="24"/>
        </w:rPr>
        <w:t xml:space="preserve">a)  </w:t>
      </w:r>
      <w:r>
        <w:rPr>
          <w:spacing w:val="31"/>
          <w:sz w:val="24"/>
          <w:szCs w:val="24"/>
        </w:rPr>
        <w:t>装备寿命周期中订购方综合保障工作机构</w:t>
      </w:r>
      <w:r>
        <w:rPr>
          <w:spacing w:val="30"/>
          <w:sz w:val="24"/>
          <w:szCs w:val="24"/>
        </w:rPr>
        <w:t>的组成和职责；</w:t>
      </w:r>
    </w:p>
    <w:p w14:paraId="41E6BD9F">
      <w:pPr>
        <w:pStyle w:val="2"/>
        <w:spacing w:before="82"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67"/>
        </w:rPr>
        <w:t xml:space="preserve"> </w:t>
      </w:r>
      <w:r>
        <w:rPr>
          <w:spacing w:val="4"/>
        </w:rPr>
        <w:t>订购方综合保障工作机构的主要工作方式和工作计划；</w:t>
      </w:r>
    </w:p>
    <w:p w14:paraId="1F5AD461">
      <w:pPr>
        <w:spacing w:line="212" w:lineRule="auto"/>
        <w:sectPr>
          <w:footerReference r:id="rId494" w:type="default"/>
          <w:pgSz w:w="11910" w:h="17130"/>
          <w:pgMar w:top="1421" w:right="1008" w:bottom="1717" w:left="1509" w:header="0" w:footer="1501" w:gutter="0"/>
          <w:cols w:space="720" w:num="1"/>
        </w:sectPr>
      </w:pPr>
    </w:p>
    <w:p w14:paraId="3BDB4C3A">
      <w:pPr>
        <w:pStyle w:val="2"/>
        <w:spacing w:before="58" w:line="212" w:lineRule="auto"/>
        <w:ind w:left="539"/>
      </w:pPr>
      <w:r>
        <w:rPr>
          <w:rFonts w:ascii="Times New Roman" w:hAnsi="Times New Roman" w:eastAsia="Times New Roman" w:cs="Times New Roman"/>
          <w:spacing w:val="3"/>
        </w:rPr>
        <w:t>c)</w:t>
      </w:r>
      <w:r>
        <w:rPr>
          <w:rFonts w:ascii="Times New Roman" w:hAnsi="Times New Roman" w:eastAsia="Times New Roman" w:cs="Times New Roman"/>
          <w:spacing w:val="69"/>
          <w:w w:val="101"/>
        </w:rPr>
        <w:t xml:space="preserve"> </w:t>
      </w:r>
      <w:r>
        <w:rPr>
          <w:spacing w:val="3"/>
        </w:rPr>
        <w:t>与装备其他工作机构之间的工作关系。</w:t>
      </w:r>
    </w:p>
    <w:p w14:paraId="5520AD3B">
      <w:pPr>
        <w:spacing w:before="148" w:line="222" w:lineRule="auto"/>
        <w:rPr>
          <w:rFonts w:ascii="黑体" w:hAnsi="黑体" w:eastAsia="黑体" w:cs="黑体"/>
          <w:sz w:val="25"/>
          <w:szCs w:val="25"/>
        </w:rPr>
      </w:pPr>
      <w:r>
        <w:rPr>
          <w:rFonts w:ascii="黑体" w:hAnsi="黑体" w:eastAsia="黑体" w:cs="黑体"/>
          <w:spacing w:val="17"/>
          <w:sz w:val="25"/>
          <w:szCs w:val="25"/>
        </w:rPr>
        <w:t>5.2</w:t>
      </w:r>
      <w:r>
        <w:rPr>
          <w:rFonts w:ascii="黑体" w:hAnsi="黑体" w:eastAsia="黑体" w:cs="黑体"/>
          <w:spacing w:val="32"/>
          <w:sz w:val="25"/>
          <w:szCs w:val="25"/>
        </w:rPr>
        <w:t xml:space="preserve">  </w:t>
      </w:r>
      <w:r>
        <w:rPr>
          <w:rFonts w:ascii="黑体" w:hAnsi="黑体" w:eastAsia="黑体" w:cs="黑体"/>
          <w:spacing w:val="17"/>
          <w:sz w:val="25"/>
          <w:szCs w:val="25"/>
        </w:rPr>
        <w:t>综合保障管理组</w:t>
      </w:r>
    </w:p>
    <w:p w14:paraId="69B16567">
      <w:pPr>
        <w:pStyle w:val="2"/>
        <w:spacing w:before="71" w:line="219" w:lineRule="auto"/>
        <w:ind w:left="539"/>
      </w:pPr>
      <w:r>
        <w:rPr>
          <w:spacing w:val="1"/>
        </w:rPr>
        <w:t>一般应包括下列主要内容：</w:t>
      </w:r>
    </w:p>
    <w:p w14:paraId="27E56544">
      <w:pPr>
        <w:pStyle w:val="2"/>
        <w:spacing w:before="39" w:line="267" w:lineRule="auto"/>
        <w:ind w:right="124" w:firstLine="539"/>
      </w:pPr>
      <w:r>
        <w:rPr>
          <w:rFonts w:ascii="Times New Roman" w:hAnsi="Times New Roman" w:eastAsia="Times New Roman" w:cs="Times New Roman"/>
          <w:spacing w:val="3"/>
        </w:rPr>
        <w:t>a)</w:t>
      </w:r>
      <w:r>
        <w:rPr>
          <w:rFonts w:ascii="Times New Roman" w:hAnsi="Times New Roman" w:eastAsia="Times New Roman" w:cs="Times New Roman"/>
          <w:spacing w:val="63"/>
        </w:rPr>
        <w:t xml:space="preserve"> </w:t>
      </w:r>
      <w:r>
        <w:rPr>
          <w:spacing w:val="3"/>
        </w:rPr>
        <w:t>订购方负责成立综合保障管理组，综合保障管理组的组成要包括订购方</w:t>
      </w:r>
      <w:r>
        <w:t xml:space="preserve"> </w:t>
      </w:r>
      <w:r>
        <w:rPr>
          <w:spacing w:val="3"/>
        </w:rPr>
        <w:t>和承制方与综合保障有关的各方面代表；</w:t>
      </w:r>
    </w:p>
    <w:p w14:paraId="71805253">
      <w:pPr>
        <w:pStyle w:val="2"/>
        <w:spacing w:before="69" w:line="212" w:lineRule="auto"/>
        <w:ind w:left="539"/>
      </w:pPr>
      <w:r>
        <w:rPr>
          <w:rFonts w:ascii="Times New Roman" w:hAnsi="Times New Roman" w:eastAsia="Times New Roman" w:cs="Times New Roman"/>
          <w:spacing w:val="-3"/>
        </w:rPr>
        <w:t xml:space="preserve">b)  </w:t>
      </w:r>
      <w:r>
        <w:rPr>
          <w:spacing w:val="-3"/>
        </w:rPr>
        <w:t>综合保障管理组的组成、职责和领导关系；</w:t>
      </w:r>
    </w:p>
    <w:p w14:paraId="50BCE284">
      <w:pPr>
        <w:pStyle w:val="2"/>
        <w:spacing w:before="100" w:line="212" w:lineRule="auto"/>
        <w:ind w:left="539"/>
      </w:pPr>
      <w:r>
        <w:rPr>
          <w:rFonts w:ascii="Times New Roman" w:hAnsi="Times New Roman" w:eastAsia="Times New Roman" w:cs="Times New Roman"/>
          <w:spacing w:val="3"/>
        </w:rPr>
        <w:t>c)</w:t>
      </w:r>
      <w:r>
        <w:rPr>
          <w:rFonts w:ascii="Times New Roman" w:hAnsi="Times New Roman" w:eastAsia="Times New Roman" w:cs="Times New Roman"/>
          <w:spacing w:val="80"/>
          <w:w w:val="101"/>
        </w:rPr>
        <w:t xml:space="preserve"> </w:t>
      </w:r>
      <w:r>
        <w:rPr>
          <w:spacing w:val="3"/>
        </w:rPr>
        <w:t>综合保障管理组的主要工作方式和工作计划；</w:t>
      </w:r>
    </w:p>
    <w:p w14:paraId="619E3076">
      <w:pPr>
        <w:pStyle w:val="2"/>
        <w:spacing w:before="89" w:line="212" w:lineRule="auto"/>
        <w:ind w:left="539"/>
      </w:pPr>
      <w:r>
        <w:rPr>
          <w:rFonts w:ascii="Times New Roman" w:hAnsi="Times New Roman" w:eastAsia="Times New Roman" w:cs="Times New Roman"/>
          <w:spacing w:val="3"/>
        </w:rPr>
        <w:t xml:space="preserve">d)  </w:t>
      </w:r>
      <w:r>
        <w:rPr>
          <w:spacing w:val="3"/>
        </w:rPr>
        <w:t>与装备其他工作机构之间的工作关系。</w:t>
      </w:r>
    </w:p>
    <w:p w14:paraId="75E4CEEC">
      <w:pPr>
        <w:spacing w:before="104" w:line="327" w:lineRule="exact"/>
        <w:rPr>
          <w:rFonts w:ascii="黑体" w:hAnsi="黑体" w:eastAsia="黑体" w:cs="黑体"/>
          <w:sz w:val="24"/>
          <w:szCs w:val="24"/>
        </w:rPr>
      </w:pPr>
      <w:r>
        <w:rPr>
          <w:rFonts w:ascii="Arial" w:hAnsi="Arial" w:eastAsia="Arial" w:cs="Arial"/>
          <w:spacing w:val="29"/>
          <w:position w:val="1"/>
          <w:sz w:val="24"/>
          <w:szCs w:val="24"/>
        </w:rPr>
        <w:t>5.3</w:t>
      </w:r>
      <w:r>
        <w:rPr>
          <w:rFonts w:ascii="Arial" w:hAnsi="Arial" w:eastAsia="Arial" w:cs="Arial"/>
          <w:spacing w:val="4"/>
          <w:position w:val="1"/>
          <w:sz w:val="24"/>
          <w:szCs w:val="24"/>
        </w:rPr>
        <w:t xml:space="preserve">     </w:t>
      </w:r>
      <w:r>
        <w:rPr>
          <w:rFonts w:ascii="黑体" w:hAnsi="黑体" w:eastAsia="黑体" w:cs="黑体"/>
          <w:spacing w:val="29"/>
          <w:position w:val="1"/>
          <w:sz w:val="24"/>
          <w:szCs w:val="24"/>
        </w:rPr>
        <w:t>对承制方综合保障工作机构的要求</w:t>
      </w:r>
    </w:p>
    <w:p w14:paraId="1A3C263D">
      <w:pPr>
        <w:pStyle w:val="2"/>
        <w:spacing w:before="109" w:line="219" w:lineRule="auto"/>
        <w:ind w:left="539"/>
      </w:pPr>
      <w:r>
        <w:rPr>
          <w:spacing w:val="1"/>
        </w:rPr>
        <w:t>一般应包括下列主要内容。</w:t>
      </w:r>
    </w:p>
    <w:p w14:paraId="6EAA7253">
      <w:pPr>
        <w:pStyle w:val="2"/>
        <w:spacing w:before="49" w:line="212" w:lineRule="auto"/>
        <w:ind w:left="539"/>
      </w:pPr>
      <w:r>
        <w:rPr>
          <w:rFonts w:ascii="Times New Roman" w:hAnsi="Times New Roman" w:eastAsia="Times New Roman" w:cs="Times New Roman"/>
          <w:spacing w:val="3"/>
        </w:rPr>
        <w:t xml:space="preserve">a)  </w:t>
      </w:r>
      <w:r>
        <w:rPr>
          <w:spacing w:val="3"/>
        </w:rPr>
        <w:t>承制方应成立或明确负责综合保障工作的机构；</w:t>
      </w:r>
    </w:p>
    <w:p w14:paraId="03F9E186">
      <w:pPr>
        <w:pStyle w:val="2"/>
        <w:spacing w:before="110" w:line="212" w:lineRule="auto"/>
        <w:ind w:left="539"/>
      </w:pPr>
      <w:r>
        <w:rPr>
          <w:rFonts w:ascii="Times New Roman" w:hAnsi="Times New Roman" w:eastAsia="Times New Roman" w:cs="Times New Roman"/>
          <w:spacing w:val="4"/>
        </w:rPr>
        <w:t xml:space="preserve">b)  </w:t>
      </w:r>
      <w:r>
        <w:rPr>
          <w:spacing w:val="4"/>
        </w:rPr>
        <w:t>承制方应明确综合保障工作机构的组成和职责。</w:t>
      </w:r>
    </w:p>
    <w:p w14:paraId="4ECF2C1D">
      <w:pPr>
        <w:spacing w:before="149" w:line="222" w:lineRule="auto"/>
        <w:rPr>
          <w:rFonts w:ascii="黑体" w:hAnsi="黑体" w:eastAsia="黑体" w:cs="黑体"/>
          <w:sz w:val="24"/>
          <w:szCs w:val="24"/>
        </w:rPr>
      </w:pPr>
      <w:r>
        <w:rPr>
          <w:rFonts w:ascii="黑体" w:hAnsi="黑体" w:eastAsia="黑体" w:cs="黑体"/>
          <w:spacing w:val="28"/>
          <w:sz w:val="24"/>
          <w:szCs w:val="24"/>
        </w:rPr>
        <w:t>6</w:t>
      </w:r>
      <w:r>
        <w:rPr>
          <w:rFonts w:ascii="黑体" w:hAnsi="黑体" w:eastAsia="黑体" w:cs="黑体"/>
          <w:spacing w:val="42"/>
          <w:sz w:val="24"/>
          <w:szCs w:val="24"/>
        </w:rPr>
        <w:t xml:space="preserve">  </w:t>
      </w:r>
      <w:r>
        <w:rPr>
          <w:rFonts w:ascii="黑体" w:hAnsi="黑体" w:eastAsia="黑体" w:cs="黑体"/>
          <w:spacing w:val="28"/>
          <w:sz w:val="24"/>
          <w:szCs w:val="24"/>
        </w:rPr>
        <w:t>保障性定量和定性要求</w:t>
      </w:r>
    </w:p>
    <w:p w14:paraId="6AD1A98E">
      <w:pPr>
        <w:pStyle w:val="2"/>
        <w:spacing w:before="83" w:line="219" w:lineRule="auto"/>
        <w:ind w:left="539"/>
      </w:pPr>
      <w:r>
        <w:rPr>
          <w:spacing w:val="3"/>
        </w:rPr>
        <w:t>一般应包括下列主要内容。</w:t>
      </w:r>
    </w:p>
    <w:p w14:paraId="647D2EF0">
      <w:pPr>
        <w:pStyle w:val="2"/>
        <w:spacing w:before="72" w:line="266" w:lineRule="auto"/>
        <w:ind w:firstLine="539"/>
      </w:pPr>
      <w:r>
        <w:rPr>
          <w:rFonts w:ascii="Times New Roman" w:hAnsi="Times New Roman" w:eastAsia="Times New Roman" w:cs="Times New Roman"/>
          <w:spacing w:val="3"/>
        </w:rPr>
        <w:t>a)</w:t>
      </w:r>
      <w:r>
        <w:rPr>
          <w:rFonts w:ascii="Times New Roman" w:hAnsi="Times New Roman" w:eastAsia="Times New Roman" w:cs="Times New Roman"/>
          <w:spacing w:val="62"/>
        </w:rPr>
        <w:t xml:space="preserve"> </w:t>
      </w:r>
      <w:r>
        <w:rPr>
          <w:spacing w:val="3"/>
        </w:rPr>
        <w:t>订购方在各阶段应完成的保障性要求的论证工作，主要包括：1)在装备</w:t>
      </w:r>
      <w:r>
        <w:t xml:space="preserve">  </w:t>
      </w:r>
      <w:r>
        <w:rPr>
          <w:spacing w:val="5"/>
        </w:rPr>
        <w:t>立项的综合论证结束时，提出初步的保障性要求；2)在装备研制总</w:t>
      </w:r>
      <w:r>
        <w:rPr>
          <w:spacing w:val="4"/>
        </w:rPr>
        <w:t>要求的综合</w:t>
      </w:r>
      <w:r>
        <w:t xml:space="preserve">  </w:t>
      </w:r>
      <w:r>
        <w:rPr>
          <w:spacing w:val="1"/>
        </w:rPr>
        <w:t>论证时，对保障性要求进行权衡协调；3)在装备研制</w:t>
      </w:r>
      <w:r>
        <w:t xml:space="preserve">总要求的综合论证结束时， </w:t>
      </w:r>
      <w:r>
        <w:rPr>
          <w:spacing w:val="-3"/>
        </w:rPr>
        <w:t>最终确定保障性要求；4)对保障性定量要求，应明确每一参数的定义、指标的考</w:t>
      </w:r>
      <w:r>
        <w:rPr>
          <w:spacing w:val="3"/>
        </w:rPr>
        <w:t xml:space="preserve">  </w:t>
      </w:r>
      <w:r>
        <w:rPr>
          <w:spacing w:val="-10"/>
        </w:rPr>
        <w:t>核时机、考核方法、故障判据及试验剖面；对保障性定性</w:t>
      </w:r>
      <w:r>
        <w:rPr>
          <w:spacing w:val="-11"/>
        </w:rPr>
        <w:t>要求，应明确保障性定性</w:t>
      </w:r>
      <w:r>
        <w:t xml:space="preserve">  </w:t>
      </w:r>
      <w:r>
        <w:rPr>
          <w:spacing w:val="-4"/>
        </w:rPr>
        <w:t>要求的评估方法、评价准则和评估时机，明确保障资源要素的约</w:t>
      </w:r>
      <w:r>
        <w:rPr>
          <w:spacing w:val="-5"/>
        </w:rPr>
        <w:t>束条件。</w:t>
      </w:r>
    </w:p>
    <w:p w14:paraId="057532DB">
      <w:pPr>
        <w:pStyle w:val="2"/>
        <w:spacing w:before="106" w:line="270" w:lineRule="auto"/>
        <w:ind w:right="121" w:firstLine="539"/>
      </w:pPr>
      <w:r>
        <w:rPr>
          <w:rFonts w:ascii="Times New Roman" w:hAnsi="Times New Roman" w:eastAsia="Times New Roman" w:cs="Times New Roman"/>
          <w:spacing w:val="2"/>
        </w:rPr>
        <w:t>b)</w:t>
      </w:r>
      <w:r>
        <w:rPr>
          <w:rFonts w:ascii="Times New Roman" w:hAnsi="Times New Roman" w:eastAsia="Times New Roman" w:cs="Times New Roman"/>
          <w:spacing w:val="82"/>
        </w:rPr>
        <w:t xml:space="preserve"> </w:t>
      </w:r>
      <w:r>
        <w:rPr>
          <w:spacing w:val="2"/>
        </w:rPr>
        <w:t>订购方应规定保障性要求论证需要开展的工作，主要包括：1)保障性要</w:t>
      </w:r>
      <w:r>
        <w:t xml:space="preserve"> </w:t>
      </w:r>
      <w:r>
        <w:rPr>
          <w:spacing w:val="-4"/>
        </w:rPr>
        <w:t>求论证时应按</w:t>
      </w:r>
      <w:r>
        <w:rPr>
          <w:rFonts w:ascii="Times New Roman" w:hAnsi="Times New Roman" w:eastAsia="Times New Roman" w:cs="Times New Roman"/>
          <w:spacing w:val="-4"/>
        </w:rPr>
        <w:t>GJB</w:t>
      </w:r>
      <w:r>
        <w:rPr>
          <w:rFonts w:ascii="Times New Roman" w:hAnsi="Times New Roman" w:eastAsia="Times New Roman" w:cs="Times New Roman"/>
          <w:spacing w:val="29"/>
        </w:rPr>
        <w:t xml:space="preserve"> </w:t>
      </w:r>
      <w:r>
        <w:rPr>
          <w:rFonts w:ascii="Times New Roman" w:hAnsi="Times New Roman" w:eastAsia="Times New Roman" w:cs="Times New Roman"/>
          <w:spacing w:val="-4"/>
        </w:rPr>
        <w:t>1909A</w:t>
      </w:r>
      <w:r>
        <w:rPr>
          <w:rFonts w:ascii="Times New Roman" w:hAnsi="Times New Roman" w:eastAsia="Times New Roman" w:cs="Times New Roman"/>
          <w:spacing w:val="-39"/>
        </w:rPr>
        <w:t xml:space="preserve"> </w:t>
      </w:r>
      <w:r>
        <w:rPr>
          <w:spacing w:val="-4"/>
        </w:rPr>
        <w:t>、</w:t>
      </w:r>
      <w:r>
        <w:rPr>
          <w:rFonts w:ascii="Times New Roman" w:hAnsi="Times New Roman" w:eastAsia="Times New Roman" w:cs="Times New Roman"/>
          <w:spacing w:val="-4"/>
        </w:rPr>
        <w:t>GJB</w:t>
      </w:r>
      <w:r>
        <w:rPr>
          <w:rFonts w:ascii="Times New Roman" w:hAnsi="Times New Roman" w:eastAsia="Times New Roman" w:cs="Times New Roman"/>
          <w:spacing w:val="30"/>
        </w:rPr>
        <w:t xml:space="preserve"> </w:t>
      </w:r>
      <w:r>
        <w:rPr>
          <w:rFonts w:ascii="Times New Roman" w:hAnsi="Times New Roman" w:eastAsia="Times New Roman" w:cs="Times New Roman"/>
          <w:spacing w:val="-4"/>
        </w:rPr>
        <w:t>137</w:t>
      </w:r>
      <w:r>
        <w:rPr>
          <w:rFonts w:ascii="Times New Roman" w:hAnsi="Times New Roman" w:eastAsia="Times New Roman" w:cs="Times New Roman"/>
          <w:spacing w:val="-5"/>
        </w:rPr>
        <w:t>1</w:t>
      </w:r>
      <w:r>
        <w:rPr>
          <w:rFonts w:ascii="Times New Roman" w:hAnsi="Times New Roman" w:eastAsia="Times New Roman" w:cs="Times New Roman"/>
          <w:spacing w:val="-39"/>
        </w:rPr>
        <w:t xml:space="preserve"> </w:t>
      </w:r>
      <w:r>
        <w:rPr>
          <w:spacing w:val="-5"/>
        </w:rPr>
        <w:t>、</w:t>
      </w:r>
      <w:r>
        <w:rPr>
          <w:rFonts w:ascii="Times New Roman" w:hAnsi="Times New Roman" w:eastAsia="Times New Roman" w:cs="Times New Roman"/>
          <w:spacing w:val="-5"/>
        </w:rPr>
        <w:t>GJB 3872</w:t>
      </w:r>
      <w:r>
        <w:rPr>
          <w:rFonts w:ascii="Times New Roman" w:hAnsi="Times New Roman" w:eastAsia="Times New Roman" w:cs="Times New Roman"/>
          <w:spacing w:val="-29"/>
        </w:rPr>
        <w:t xml:space="preserve"> </w:t>
      </w:r>
      <w:r>
        <w:rPr>
          <w:spacing w:val="-5"/>
        </w:rPr>
        <w:t>等标准给出的方法和程序，通过</w:t>
      </w:r>
      <w:r>
        <w:t xml:space="preserve"> </w:t>
      </w:r>
      <w:r>
        <w:rPr>
          <w:spacing w:val="13"/>
        </w:rPr>
        <w:t>反复的分析权衡确定保障性要求；2)应明确保障性要求论证过程中的评审节</w:t>
      </w:r>
      <w:r>
        <w:t xml:space="preserve"> </w:t>
      </w:r>
      <w:r>
        <w:rPr>
          <w:spacing w:val="5"/>
        </w:rPr>
        <w:t>点、评审内容及评审要求等；3)应将保障性要求论证结果纳入立项综</w:t>
      </w:r>
      <w:r>
        <w:rPr>
          <w:spacing w:val="4"/>
        </w:rPr>
        <w:t>合论证报</w:t>
      </w:r>
      <w:r>
        <w:t xml:space="preserve"> </w:t>
      </w:r>
      <w:r>
        <w:rPr>
          <w:spacing w:val="-6"/>
        </w:rPr>
        <w:t>告、研制总要求论证报告及合同文件。</w:t>
      </w:r>
    </w:p>
    <w:p w14:paraId="65DB5695">
      <w:pPr>
        <w:spacing w:before="94" w:line="223" w:lineRule="auto"/>
        <w:rPr>
          <w:rFonts w:ascii="黑体" w:hAnsi="黑体" w:eastAsia="黑体" w:cs="黑体"/>
          <w:sz w:val="27"/>
          <w:szCs w:val="27"/>
        </w:rPr>
      </w:pPr>
      <w:r>
        <w:rPr>
          <w:rFonts w:ascii="Arial" w:hAnsi="Arial" w:eastAsia="Arial" w:cs="Arial"/>
          <w:spacing w:val="1"/>
          <w:sz w:val="27"/>
          <w:szCs w:val="27"/>
        </w:rPr>
        <w:t>7</w:t>
      </w:r>
      <w:r>
        <w:rPr>
          <w:rFonts w:ascii="Arial" w:hAnsi="Arial" w:eastAsia="Arial" w:cs="Arial"/>
          <w:spacing w:val="22"/>
          <w:sz w:val="27"/>
          <w:szCs w:val="27"/>
        </w:rPr>
        <w:t xml:space="preserve">   </w:t>
      </w:r>
      <w:r>
        <w:rPr>
          <w:rFonts w:ascii="黑体" w:hAnsi="黑体" w:eastAsia="黑体" w:cs="黑体"/>
          <w:spacing w:val="1"/>
          <w:sz w:val="27"/>
          <w:szCs w:val="27"/>
        </w:rPr>
        <w:t>规划保障</w:t>
      </w:r>
    </w:p>
    <w:p w14:paraId="0BC48464">
      <w:pPr>
        <w:pStyle w:val="2"/>
        <w:spacing w:before="73" w:line="219" w:lineRule="auto"/>
        <w:ind w:left="539"/>
      </w:pPr>
      <w:r>
        <w:rPr>
          <w:spacing w:val="3"/>
        </w:rPr>
        <w:t>一般应包括下列主要内容。</w:t>
      </w:r>
    </w:p>
    <w:p w14:paraId="16DAEDAD">
      <w:pPr>
        <w:pStyle w:val="2"/>
        <w:spacing w:before="69" w:line="267" w:lineRule="auto"/>
        <w:ind w:right="114" w:firstLine="539"/>
      </w:pPr>
      <w:r>
        <w:rPr>
          <w:rFonts w:ascii="Times New Roman" w:hAnsi="Times New Roman" w:eastAsia="Times New Roman" w:cs="Times New Roman"/>
          <w:spacing w:val="2"/>
        </w:rPr>
        <w:t>a)</w:t>
      </w:r>
      <w:r>
        <w:rPr>
          <w:rFonts w:ascii="Times New Roman" w:hAnsi="Times New Roman" w:eastAsia="Times New Roman" w:cs="Times New Roman"/>
          <w:spacing w:val="69"/>
        </w:rPr>
        <w:t xml:space="preserve"> </w:t>
      </w:r>
      <w:r>
        <w:rPr>
          <w:spacing w:val="2"/>
        </w:rPr>
        <w:t>订购方应规定规划保障工作在各阶段应完成的任务，主要包括：1)在立</w:t>
      </w:r>
      <w:r>
        <w:t xml:space="preserve"> </w:t>
      </w:r>
      <w:r>
        <w:rPr>
          <w:spacing w:val="-3"/>
        </w:rPr>
        <w:t>项论证结束时，提出初始保障方案；2)在研制总要求论证结束时，应明确装备的</w:t>
      </w:r>
      <w:r>
        <w:rPr>
          <w:spacing w:val="17"/>
        </w:rPr>
        <w:t xml:space="preserve"> </w:t>
      </w:r>
      <w:r>
        <w:rPr>
          <w:spacing w:val="2"/>
        </w:rPr>
        <w:t>保障方案；3)在工程研制结束时应完成装备的保障计划。</w:t>
      </w:r>
    </w:p>
    <w:p w14:paraId="6D12C7C9">
      <w:pPr>
        <w:pStyle w:val="2"/>
        <w:spacing w:before="69" w:line="267" w:lineRule="auto"/>
        <w:ind w:right="83" w:firstLine="539"/>
      </w:pPr>
      <w:r>
        <w:rPr>
          <w:rFonts w:ascii="Times New Roman" w:hAnsi="Times New Roman" w:eastAsia="Times New Roman" w:cs="Times New Roman"/>
          <w:spacing w:val="-12"/>
        </w:rPr>
        <w:t xml:space="preserve">b)  </w:t>
      </w:r>
      <w:r>
        <w:rPr>
          <w:spacing w:val="-12"/>
        </w:rPr>
        <w:t>订购方应规定“规划保障”工作在各阶段采</w:t>
      </w:r>
      <w:r>
        <w:rPr>
          <w:spacing w:val="-13"/>
        </w:rPr>
        <w:t>用的保障性分析工作项目，主要</w:t>
      </w:r>
      <w:r>
        <w:t xml:space="preserve"> </w:t>
      </w:r>
      <w:r>
        <w:rPr>
          <w:spacing w:val="2"/>
        </w:rPr>
        <w:t>包括：1)应要求论证单位通过开展</w:t>
      </w:r>
      <w:r>
        <w:rPr>
          <w:rFonts w:ascii="Times New Roman" w:hAnsi="Times New Roman" w:eastAsia="Times New Roman" w:cs="Times New Roman"/>
        </w:rPr>
        <w:t>GJB</w:t>
      </w:r>
      <w:r>
        <w:rPr>
          <w:rFonts w:ascii="Times New Roman" w:hAnsi="Times New Roman" w:eastAsia="Times New Roman" w:cs="Times New Roman"/>
          <w:spacing w:val="2"/>
        </w:rPr>
        <w:t xml:space="preserve">  1371</w:t>
      </w:r>
      <w:r>
        <w:rPr>
          <w:spacing w:val="2"/>
        </w:rPr>
        <w:t>中的200系列工作(装备与保障系统</w:t>
      </w:r>
      <w:r>
        <w:rPr>
          <w:spacing w:val="18"/>
        </w:rPr>
        <w:t xml:space="preserve"> </w:t>
      </w:r>
      <w:r>
        <w:rPr>
          <w:spacing w:val="9"/>
        </w:rPr>
        <w:t>的分析)提出初始保障方案；2)应要求论证单位在研制总要求论</w:t>
      </w:r>
      <w:r>
        <w:rPr>
          <w:spacing w:val="8"/>
        </w:rPr>
        <w:t>证时通过开展</w:t>
      </w:r>
      <w:r>
        <w:t xml:space="preserve"> </w:t>
      </w:r>
      <w:r>
        <w:rPr>
          <w:rFonts w:ascii="Times New Roman" w:hAnsi="Times New Roman" w:eastAsia="Times New Roman" w:cs="Times New Roman"/>
        </w:rPr>
        <w:t>GJB1371</w:t>
      </w:r>
      <w:r>
        <w:rPr>
          <w:rFonts w:ascii="Times New Roman" w:hAnsi="Times New Roman" w:eastAsia="Times New Roman" w:cs="Times New Roman"/>
          <w:spacing w:val="52"/>
        </w:rPr>
        <w:t xml:space="preserve"> </w:t>
      </w:r>
      <w:r>
        <w:t>中300系列工作(备选方案</w:t>
      </w:r>
      <w:r>
        <w:rPr>
          <w:spacing w:val="-1"/>
        </w:rPr>
        <w:t>的制定与评价),确定优化的保障方案，</w:t>
      </w:r>
      <w:r>
        <w:rPr>
          <w:spacing w:val="36"/>
        </w:rPr>
        <w:t xml:space="preserve"> </w:t>
      </w:r>
      <w:r>
        <w:rPr>
          <w:spacing w:val="-1"/>
        </w:rPr>
        <w:t>一般</w:t>
      </w:r>
    </w:p>
    <w:p w14:paraId="5C59CA89">
      <w:pPr>
        <w:spacing w:line="267" w:lineRule="auto"/>
        <w:sectPr>
          <w:footerReference r:id="rId495" w:type="default"/>
          <w:pgSz w:w="11910" w:h="17130"/>
          <w:pgMar w:top="1432" w:right="1254" w:bottom="1673" w:left="1180" w:header="0" w:footer="1475" w:gutter="0"/>
          <w:cols w:space="720" w:num="1"/>
        </w:sectPr>
      </w:pPr>
    </w:p>
    <w:p w14:paraId="430FF328">
      <w:pPr>
        <w:pStyle w:val="2"/>
        <w:spacing w:before="74" w:line="277" w:lineRule="auto"/>
        <w:ind w:right="122"/>
        <w:rPr>
          <w:sz w:val="25"/>
          <w:szCs w:val="25"/>
        </w:rPr>
      </w:pPr>
      <w:r>
        <w:rPr>
          <w:spacing w:val="10"/>
          <w:sz w:val="25"/>
          <w:szCs w:val="25"/>
        </w:rPr>
        <w:t>通过合同由承制方完成；3)应要求承制方在工</w:t>
      </w:r>
      <w:r>
        <w:rPr>
          <w:spacing w:val="9"/>
          <w:sz w:val="25"/>
          <w:szCs w:val="25"/>
        </w:rPr>
        <w:t>程研制中通过开展</w:t>
      </w:r>
      <w:r>
        <w:rPr>
          <w:rFonts w:ascii="Times New Roman" w:hAnsi="Times New Roman" w:eastAsia="Times New Roman" w:cs="Times New Roman"/>
          <w:sz w:val="25"/>
          <w:szCs w:val="25"/>
        </w:rPr>
        <w:t>GJB</w:t>
      </w:r>
      <w:r>
        <w:rPr>
          <w:rFonts w:ascii="Times New Roman" w:hAnsi="Times New Roman" w:eastAsia="Times New Roman" w:cs="Times New Roman"/>
          <w:spacing w:val="9"/>
          <w:sz w:val="25"/>
          <w:szCs w:val="25"/>
        </w:rPr>
        <w:t xml:space="preserve">   1371</w:t>
      </w:r>
      <w:r>
        <w:rPr>
          <w:spacing w:val="9"/>
          <w:sz w:val="25"/>
          <w:szCs w:val="25"/>
        </w:rPr>
        <w:t>中</w:t>
      </w:r>
      <w:r>
        <w:rPr>
          <w:spacing w:val="-53"/>
          <w:sz w:val="25"/>
          <w:szCs w:val="25"/>
        </w:rPr>
        <w:t xml:space="preserve"> </w:t>
      </w:r>
      <w:r>
        <w:rPr>
          <w:spacing w:val="9"/>
          <w:sz w:val="25"/>
          <w:szCs w:val="25"/>
        </w:rPr>
        <w:t>4</w:t>
      </w:r>
      <w:r>
        <w:rPr>
          <w:spacing w:val="-49"/>
          <w:sz w:val="25"/>
          <w:szCs w:val="25"/>
        </w:rPr>
        <w:t xml:space="preserve"> </w:t>
      </w:r>
      <w:r>
        <w:rPr>
          <w:spacing w:val="9"/>
          <w:sz w:val="25"/>
          <w:szCs w:val="25"/>
        </w:rPr>
        <w:t>0</w:t>
      </w:r>
      <w:r>
        <w:rPr>
          <w:spacing w:val="-50"/>
          <w:sz w:val="25"/>
          <w:szCs w:val="25"/>
        </w:rPr>
        <w:t xml:space="preserve"> </w:t>
      </w:r>
      <w:r>
        <w:rPr>
          <w:spacing w:val="9"/>
          <w:sz w:val="25"/>
          <w:szCs w:val="25"/>
        </w:rPr>
        <w:t>0</w:t>
      </w:r>
      <w:r>
        <w:rPr>
          <w:sz w:val="25"/>
          <w:szCs w:val="25"/>
        </w:rPr>
        <w:t xml:space="preserve"> </w:t>
      </w:r>
      <w:r>
        <w:rPr>
          <w:spacing w:val="11"/>
          <w:sz w:val="25"/>
          <w:szCs w:val="25"/>
        </w:rPr>
        <w:t>系列工作(确定保障资源要求),确定保障资源需求，制定装备的保障计划。</w:t>
      </w:r>
    </w:p>
    <w:p w14:paraId="4B6F1D52">
      <w:pPr>
        <w:pStyle w:val="2"/>
        <w:spacing w:before="3" w:line="284" w:lineRule="auto"/>
        <w:ind w:right="29" w:firstLine="560"/>
        <w:jc w:val="both"/>
      </w:pPr>
      <w:r>
        <w:rPr>
          <w:rFonts w:ascii="Times New Roman" w:hAnsi="Times New Roman" w:eastAsia="Times New Roman" w:cs="Times New Roman"/>
          <w:spacing w:val="12"/>
        </w:rPr>
        <w:t>c)</w:t>
      </w:r>
      <w:r>
        <w:rPr>
          <w:rFonts w:ascii="Times New Roman" w:hAnsi="Times New Roman" w:eastAsia="Times New Roman" w:cs="Times New Roman"/>
          <w:spacing w:val="59"/>
        </w:rPr>
        <w:t xml:space="preserve"> </w:t>
      </w:r>
      <w:r>
        <w:rPr>
          <w:spacing w:val="12"/>
        </w:rPr>
        <w:t>订购方应在合同或相关文件中明确规定在整个规划保障工作中应提交</w:t>
      </w:r>
      <w:r>
        <w:t xml:space="preserve"> </w:t>
      </w:r>
      <w:r>
        <w:rPr>
          <w:spacing w:val="5"/>
        </w:rPr>
        <w:t>的报告或资料，主要包括：1)新装备的人力和人员需求报告；2)初始和后续的</w:t>
      </w:r>
      <w:r>
        <w:rPr>
          <w:spacing w:val="10"/>
        </w:rPr>
        <w:t xml:space="preserve"> </w:t>
      </w:r>
      <w:r>
        <w:rPr>
          <w:spacing w:val="16"/>
        </w:rPr>
        <w:t>备件和消耗品清单；3)保障设备配套目录</w:t>
      </w:r>
      <w:r>
        <w:rPr>
          <w:spacing w:val="15"/>
        </w:rPr>
        <w:t>；4)保障设备研制与采购建议书；</w:t>
      </w:r>
    </w:p>
    <w:p w14:paraId="5189D848">
      <w:pPr>
        <w:pStyle w:val="2"/>
        <w:spacing w:before="2" w:line="273" w:lineRule="auto"/>
        <w:jc w:val="both"/>
      </w:pPr>
      <w:r>
        <w:rPr>
          <w:spacing w:val="5"/>
        </w:rPr>
        <w:t>5)初始训练计划和训练器材清单；6)技术资料配套目录；7)保障设施</w:t>
      </w:r>
      <w:r>
        <w:rPr>
          <w:spacing w:val="4"/>
        </w:rPr>
        <w:t>建设建议</w:t>
      </w:r>
      <w:r>
        <w:t xml:space="preserve">  </w:t>
      </w:r>
      <w:r>
        <w:rPr>
          <w:spacing w:val="1"/>
        </w:rPr>
        <w:t>书；8)计算机资源保障需求报告；9)装备及其保障设备、备件等的包装</w:t>
      </w:r>
      <w:r>
        <w:t xml:space="preserve">、装卸、 </w:t>
      </w:r>
      <w:r>
        <w:rPr>
          <w:spacing w:val="-1"/>
        </w:rPr>
        <w:t>贮存和运输程序、方法和所需资源；10)预防性维修大</w:t>
      </w:r>
      <w:r>
        <w:rPr>
          <w:spacing w:val="-2"/>
        </w:rPr>
        <w:t>纲；11)其他报告或资料。</w:t>
      </w:r>
    </w:p>
    <w:p w14:paraId="51328752">
      <w:pPr>
        <w:pStyle w:val="2"/>
        <w:spacing w:line="212" w:lineRule="auto"/>
        <w:ind w:left="560"/>
      </w:pPr>
      <w:r>
        <w:rPr>
          <w:rFonts w:ascii="Times New Roman" w:hAnsi="Times New Roman" w:eastAsia="Times New Roman" w:cs="Times New Roman"/>
          <w:spacing w:val="5"/>
        </w:rPr>
        <w:t xml:space="preserve">d)  </w:t>
      </w:r>
      <w:r>
        <w:rPr>
          <w:spacing w:val="5"/>
        </w:rPr>
        <w:t>订购方对制定保障方案和保障计划的内容要求见</w:t>
      </w:r>
      <w:r>
        <w:rPr>
          <w:rFonts w:ascii="Times New Roman" w:hAnsi="Times New Roman" w:eastAsia="Times New Roman" w:cs="Times New Roman"/>
        </w:rPr>
        <w:t>GJB</w:t>
      </w:r>
      <w:r>
        <w:rPr>
          <w:rFonts w:ascii="Times New Roman" w:hAnsi="Times New Roman" w:eastAsia="Times New Roman" w:cs="Times New Roman"/>
          <w:spacing w:val="5"/>
        </w:rPr>
        <w:t>/Z151</w:t>
      </w:r>
      <w:r>
        <w:rPr>
          <w:spacing w:val="5"/>
        </w:rPr>
        <w:t>。</w:t>
      </w:r>
    </w:p>
    <w:p w14:paraId="2CEE6F90">
      <w:pPr>
        <w:spacing w:before="124" w:line="221" w:lineRule="auto"/>
        <w:outlineLvl w:val="3"/>
        <w:rPr>
          <w:rFonts w:ascii="黑体" w:hAnsi="黑体" w:eastAsia="黑体" w:cs="黑体"/>
          <w:sz w:val="27"/>
          <w:szCs w:val="27"/>
        </w:rPr>
      </w:pPr>
      <w:r>
        <w:rPr>
          <w:rFonts w:ascii="Arial" w:hAnsi="Arial" w:eastAsia="Arial" w:cs="Arial"/>
          <w:b/>
          <w:bCs/>
          <w:spacing w:val="-1"/>
          <w:sz w:val="27"/>
          <w:szCs w:val="27"/>
        </w:rPr>
        <w:t>8</w:t>
      </w:r>
      <w:r>
        <w:rPr>
          <w:rFonts w:ascii="Arial" w:hAnsi="Arial" w:eastAsia="Arial" w:cs="Arial"/>
          <w:b/>
          <w:bCs/>
          <w:spacing w:val="21"/>
          <w:sz w:val="27"/>
          <w:szCs w:val="27"/>
        </w:rPr>
        <w:t xml:space="preserve">   </w:t>
      </w:r>
      <w:r>
        <w:rPr>
          <w:rFonts w:ascii="黑体" w:hAnsi="黑体" w:eastAsia="黑体" w:cs="黑体"/>
          <w:b/>
          <w:bCs/>
          <w:spacing w:val="-1"/>
          <w:sz w:val="27"/>
          <w:szCs w:val="27"/>
        </w:rPr>
        <w:t>研制与提供保障资源</w:t>
      </w:r>
    </w:p>
    <w:p w14:paraId="2CFBE997">
      <w:pPr>
        <w:pStyle w:val="2"/>
        <w:spacing w:before="83" w:line="219" w:lineRule="auto"/>
        <w:ind w:left="560"/>
      </w:pPr>
      <w:r>
        <w:rPr>
          <w:spacing w:val="1"/>
        </w:rPr>
        <w:t>一般应包括下列主要内容：</w:t>
      </w:r>
    </w:p>
    <w:p w14:paraId="359D0967">
      <w:pPr>
        <w:pStyle w:val="2"/>
        <w:spacing w:before="58" w:line="257" w:lineRule="auto"/>
        <w:ind w:right="102" w:firstLine="560"/>
      </w:pPr>
      <w:r>
        <w:rPr>
          <w:rFonts w:ascii="Times New Roman" w:hAnsi="Times New Roman" w:eastAsia="Times New Roman" w:cs="Times New Roman"/>
          <w:spacing w:val="4"/>
        </w:rPr>
        <w:t>a)</w:t>
      </w:r>
      <w:r>
        <w:rPr>
          <w:rFonts w:ascii="Times New Roman" w:hAnsi="Times New Roman" w:eastAsia="Times New Roman" w:cs="Times New Roman"/>
          <w:spacing w:val="52"/>
        </w:rPr>
        <w:t xml:space="preserve"> </w:t>
      </w:r>
      <w:r>
        <w:rPr>
          <w:spacing w:val="4"/>
        </w:rPr>
        <w:t>方案阶段提出重要的保障资源研制计划，如保障</w:t>
      </w:r>
      <w:r>
        <w:rPr>
          <w:spacing w:val="3"/>
        </w:rPr>
        <w:t>设备研制计划、保障设</w:t>
      </w:r>
      <w:r>
        <w:t xml:space="preserve"> </w:t>
      </w:r>
      <w:r>
        <w:rPr>
          <w:spacing w:val="3"/>
        </w:rPr>
        <w:t>施建设计划和技术资料的编制计划等；</w:t>
      </w:r>
    </w:p>
    <w:p w14:paraId="33F9DC39">
      <w:pPr>
        <w:pStyle w:val="2"/>
        <w:spacing w:before="59"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69"/>
        </w:rPr>
        <w:t xml:space="preserve"> </w:t>
      </w:r>
      <w:r>
        <w:rPr>
          <w:spacing w:val="4"/>
        </w:rPr>
        <w:t>工程研制阶段研制和筹措保障资源；</w:t>
      </w:r>
    </w:p>
    <w:p w14:paraId="5A038FFC">
      <w:pPr>
        <w:pStyle w:val="2"/>
        <w:spacing w:before="110"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7"/>
        </w:rPr>
        <w:t xml:space="preserve"> </w:t>
      </w:r>
      <w:r>
        <w:rPr>
          <w:spacing w:val="3"/>
        </w:rPr>
        <w:t>定型阶段考核研制或采购的保障资源的适用性；</w:t>
      </w:r>
    </w:p>
    <w:p w14:paraId="70DD763F">
      <w:pPr>
        <w:pStyle w:val="2"/>
        <w:spacing w:before="90" w:line="212" w:lineRule="auto"/>
        <w:ind w:left="560"/>
      </w:pPr>
      <w:r>
        <w:rPr>
          <w:rFonts w:ascii="Times New Roman" w:hAnsi="Times New Roman" w:eastAsia="Times New Roman" w:cs="Times New Roman"/>
          <w:spacing w:val="4"/>
        </w:rPr>
        <w:t xml:space="preserve">d)  </w:t>
      </w:r>
      <w:r>
        <w:rPr>
          <w:spacing w:val="4"/>
        </w:rPr>
        <w:t>装备部署时完成保障资源购置与配套。</w:t>
      </w:r>
    </w:p>
    <w:p w14:paraId="62E611C8">
      <w:pPr>
        <w:spacing w:before="144" w:line="222" w:lineRule="auto"/>
        <w:rPr>
          <w:rFonts w:ascii="黑体" w:hAnsi="黑体" w:eastAsia="黑体" w:cs="黑体"/>
          <w:sz w:val="24"/>
          <w:szCs w:val="24"/>
        </w:rPr>
      </w:pPr>
      <w:r>
        <w:rPr>
          <w:rFonts w:ascii="黑体" w:hAnsi="黑体" w:eastAsia="黑体" w:cs="黑体"/>
          <w:spacing w:val="28"/>
          <w:sz w:val="24"/>
          <w:szCs w:val="24"/>
        </w:rPr>
        <w:t>9</w:t>
      </w:r>
      <w:r>
        <w:rPr>
          <w:rFonts w:ascii="黑体" w:hAnsi="黑体" w:eastAsia="黑体" w:cs="黑体"/>
          <w:spacing w:val="45"/>
          <w:sz w:val="24"/>
          <w:szCs w:val="24"/>
        </w:rPr>
        <w:t xml:space="preserve">  </w:t>
      </w:r>
      <w:r>
        <w:rPr>
          <w:rFonts w:ascii="黑体" w:hAnsi="黑体" w:eastAsia="黑体" w:cs="黑体"/>
          <w:b/>
          <w:bCs/>
          <w:spacing w:val="28"/>
          <w:sz w:val="24"/>
          <w:szCs w:val="24"/>
        </w:rPr>
        <w:t>综合保障评审要求和安排</w:t>
      </w:r>
    </w:p>
    <w:p w14:paraId="621B824C">
      <w:pPr>
        <w:pStyle w:val="2"/>
        <w:spacing w:before="126" w:line="219" w:lineRule="auto"/>
        <w:ind w:left="560"/>
        <w:rPr>
          <w:sz w:val="24"/>
          <w:szCs w:val="24"/>
        </w:rPr>
      </w:pPr>
      <w:r>
        <w:rPr>
          <w:spacing w:val="29"/>
          <w:sz w:val="24"/>
          <w:szCs w:val="24"/>
        </w:rPr>
        <w:t>一般应包括下列主要内容：</w:t>
      </w:r>
    </w:p>
    <w:p w14:paraId="41E4D2D0">
      <w:pPr>
        <w:pStyle w:val="2"/>
        <w:spacing w:before="76" w:line="262" w:lineRule="auto"/>
        <w:ind w:firstLine="560"/>
      </w:pPr>
      <w:r>
        <w:rPr>
          <w:rFonts w:ascii="Times New Roman" w:hAnsi="Times New Roman" w:eastAsia="Times New Roman" w:cs="Times New Roman"/>
          <w:spacing w:val="3"/>
        </w:rPr>
        <w:t xml:space="preserve">a)  </w:t>
      </w:r>
      <w:r>
        <w:rPr>
          <w:spacing w:val="3"/>
        </w:rPr>
        <w:t>在装备寿命周期中，明确对订购方内部综合保障评审、订购方主持的综</w:t>
      </w:r>
      <w:r>
        <w:t xml:space="preserve"> </w:t>
      </w:r>
      <w:r>
        <w:rPr>
          <w:spacing w:val="-7"/>
        </w:rPr>
        <w:t>合保障评审、承制方综合保障评审的要求和安排，主要包括评审项目、评审目的、</w:t>
      </w:r>
      <w:r>
        <w:rPr>
          <w:spacing w:val="15"/>
        </w:rPr>
        <w:t xml:space="preserve"> </w:t>
      </w:r>
      <w:r>
        <w:rPr>
          <w:spacing w:val="-6"/>
        </w:rPr>
        <w:t>时间时机、评审内容和判据等；</w:t>
      </w:r>
    </w:p>
    <w:p w14:paraId="24FBD89C">
      <w:pPr>
        <w:pStyle w:val="2"/>
        <w:spacing w:before="71" w:line="260" w:lineRule="auto"/>
        <w:ind w:right="105" w:firstLine="560"/>
      </w:pPr>
      <w:r>
        <w:rPr>
          <w:rFonts w:ascii="Times New Roman" w:hAnsi="Times New Roman" w:eastAsia="Times New Roman" w:cs="Times New Roman"/>
          <w:spacing w:val="10"/>
        </w:rPr>
        <w:t xml:space="preserve">b)  </w:t>
      </w:r>
      <w:r>
        <w:rPr>
          <w:spacing w:val="10"/>
        </w:rPr>
        <w:t>承制方应根据订购方关于综合保障评审的总体要求和安排制定综合保</w:t>
      </w:r>
      <w:r>
        <w:rPr>
          <w:spacing w:val="18"/>
        </w:rPr>
        <w:t xml:space="preserve"> </w:t>
      </w:r>
      <w:r>
        <w:rPr>
          <w:spacing w:val="-1"/>
        </w:rPr>
        <w:t>障评审计划；</w:t>
      </w:r>
    </w:p>
    <w:p w14:paraId="26467F81">
      <w:pPr>
        <w:pStyle w:val="2"/>
        <w:spacing w:before="69" w:line="255" w:lineRule="auto"/>
        <w:ind w:right="93" w:firstLine="560"/>
      </w:pPr>
      <w:r>
        <w:rPr>
          <w:rFonts w:ascii="Times New Roman" w:hAnsi="Times New Roman" w:eastAsia="Times New Roman" w:cs="Times New Roman"/>
          <w:spacing w:val="12"/>
        </w:rPr>
        <w:t>c)</w:t>
      </w:r>
      <w:r>
        <w:rPr>
          <w:rFonts w:ascii="Times New Roman" w:hAnsi="Times New Roman" w:eastAsia="Times New Roman" w:cs="Times New Roman"/>
          <w:spacing w:val="2"/>
        </w:rPr>
        <w:t xml:space="preserve">  </w:t>
      </w:r>
      <w:r>
        <w:rPr>
          <w:spacing w:val="12"/>
        </w:rPr>
        <w:t>对订购方主持的综合保障评审，应明确对承制方参与综合保</w:t>
      </w:r>
      <w:r>
        <w:rPr>
          <w:spacing w:val="11"/>
        </w:rPr>
        <w:t>障评审的</w:t>
      </w:r>
      <w:r>
        <w:rPr>
          <w:spacing w:val="1"/>
        </w:rPr>
        <w:t xml:space="preserve"> </w:t>
      </w:r>
      <w:r>
        <w:rPr>
          <w:spacing w:val="-6"/>
        </w:rPr>
        <w:t>要求；</w:t>
      </w:r>
    </w:p>
    <w:p w14:paraId="75920F29">
      <w:pPr>
        <w:pStyle w:val="2"/>
        <w:spacing w:before="56" w:line="257" w:lineRule="auto"/>
        <w:ind w:right="103" w:firstLine="560"/>
      </w:pPr>
      <w:r>
        <w:rPr>
          <w:rFonts w:ascii="Times New Roman" w:hAnsi="Times New Roman" w:eastAsia="Times New Roman" w:cs="Times New Roman"/>
          <w:spacing w:val="6"/>
        </w:rPr>
        <w:t>d)</w:t>
      </w:r>
      <w:r>
        <w:rPr>
          <w:rFonts w:ascii="Times New Roman" w:hAnsi="Times New Roman" w:eastAsia="Times New Roman" w:cs="Times New Roman"/>
          <w:spacing w:val="71"/>
        </w:rPr>
        <w:t xml:space="preserve"> </w:t>
      </w:r>
      <w:r>
        <w:rPr>
          <w:spacing w:val="6"/>
        </w:rPr>
        <w:t>装备寿命周期各阶段综合保障评审的要求见</w:t>
      </w:r>
      <w:r>
        <w:rPr>
          <w:rFonts w:ascii="Times New Roman" w:hAnsi="Times New Roman" w:eastAsia="Times New Roman" w:cs="Times New Roman"/>
        </w:rPr>
        <w:t>GJB</w:t>
      </w:r>
      <w:r>
        <w:rPr>
          <w:rFonts w:ascii="Times New Roman" w:hAnsi="Times New Roman" w:eastAsia="Times New Roman" w:cs="Times New Roman"/>
          <w:spacing w:val="6"/>
        </w:rPr>
        <w:t xml:space="preserve">/Z   147( </w:t>
      </w:r>
      <w:r>
        <w:rPr>
          <w:spacing w:val="6"/>
        </w:rPr>
        <w:t>装备综合保障</w:t>
      </w:r>
      <w:r>
        <w:t xml:space="preserve"> </w:t>
      </w:r>
      <w:r>
        <w:rPr>
          <w:spacing w:val="9"/>
        </w:rPr>
        <w:t>评审指南);</w:t>
      </w:r>
    </w:p>
    <w:p w14:paraId="77F7146C">
      <w:pPr>
        <w:pStyle w:val="2"/>
        <w:spacing w:before="77" w:line="212" w:lineRule="auto"/>
        <w:ind w:left="560"/>
        <w:rPr>
          <w:rFonts w:ascii="Times New Roman" w:hAnsi="Times New Roman" w:eastAsia="Times New Roman" w:cs="Times New Roman"/>
        </w:rPr>
      </w:pPr>
      <w:r>
        <w:rPr>
          <w:rFonts w:ascii="Times New Roman" w:hAnsi="Times New Roman" w:eastAsia="Times New Roman" w:cs="Times New Roman"/>
          <w:spacing w:val="4"/>
        </w:rPr>
        <w:t xml:space="preserve">e)  </w:t>
      </w:r>
      <w:r>
        <w:rPr>
          <w:spacing w:val="4"/>
        </w:rPr>
        <w:t>综合保障评审应与研制阶段技术审查和其他相关</w:t>
      </w:r>
      <w:r>
        <w:rPr>
          <w:spacing w:val="3"/>
        </w:rPr>
        <w:t>评审结合进行，见</w:t>
      </w:r>
      <w:r>
        <w:rPr>
          <w:rFonts w:ascii="Times New Roman" w:hAnsi="Times New Roman" w:eastAsia="Times New Roman" w:cs="Times New Roman"/>
        </w:rPr>
        <w:t>GJB</w:t>
      </w:r>
    </w:p>
    <w:p w14:paraId="6BA34D62">
      <w:pPr>
        <w:pStyle w:val="2"/>
        <w:spacing w:before="164" w:line="184" w:lineRule="auto"/>
      </w:pPr>
      <w:r>
        <w:rPr>
          <w:rFonts w:ascii="Times New Roman" w:hAnsi="Times New Roman" w:eastAsia="Times New Roman" w:cs="Times New Roman"/>
          <w:spacing w:val="-3"/>
        </w:rPr>
        <w:t>3273</w:t>
      </w:r>
      <w:r>
        <w:rPr>
          <w:rFonts w:ascii="Times New Roman" w:hAnsi="Times New Roman" w:eastAsia="Times New Roman" w:cs="Times New Roman"/>
          <w:spacing w:val="-39"/>
        </w:rPr>
        <w:t xml:space="preserve"> </w:t>
      </w:r>
      <w:r>
        <w:rPr>
          <w:spacing w:val="-3"/>
        </w:rPr>
        <w:t>、</w:t>
      </w:r>
      <w:r>
        <w:rPr>
          <w:rFonts w:ascii="Times New Roman" w:hAnsi="Times New Roman" w:eastAsia="Times New Roman" w:cs="Times New Roman"/>
          <w:spacing w:val="-3"/>
        </w:rPr>
        <w:t>GJB/Z 72</w:t>
      </w:r>
      <w:r>
        <w:rPr>
          <w:spacing w:val="-3"/>
        </w:rPr>
        <w:t>。</w:t>
      </w:r>
    </w:p>
    <w:p w14:paraId="3F06B303">
      <w:pPr>
        <w:spacing w:before="110" w:line="221" w:lineRule="auto"/>
        <w:rPr>
          <w:rFonts w:ascii="黑体" w:hAnsi="黑体" w:eastAsia="黑体" w:cs="黑体"/>
          <w:sz w:val="24"/>
          <w:szCs w:val="24"/>
        </w:rPr>
      </w:pPr>
      <w:r>
        <w:rPr>
          <w:rFonts w:ascii="黑体" w:hAnsi="黑体" w:eastAsia="黑体" w:cs="黑体"/>
          <w:spacing w:val="24"/>
          <w:sz w:val="24"/>
          <w:szCs w:val="24"/>
        </w:rPr>
        <w:t>10</w:t>
      </w:r>
      <w:r>
        <w:rPr>
          <w:rFonts w:ascii="黑体" w:hAnsi="黑体" w:eastAsia="黑体" w:cs="黑体"/>
          <w:spacing w:val="57"/>
          <w:sz w:val="24"/>
          <w:szCs w:val="24"/>
        </w:rPr>
        <w:t xml:space="preserve">  </w:t>
      </w:r>
      <w:r>
        <w:rPr>
          <w:rFonts w:ascii="黑体" w:hAnsi="黑体" w:eastAsia="黑体" w:cs="黑体"/>
          <w:b/>
          <w:bCs/>
          <w:spacing w:val="24"/>
          <w:sz w:val="24"/>
          <w:szCs w:val="24"/>
        </w:rPr>
        <w:t>保障性试验与评价要求</w:t>
      </w:r>
    </w:p>
    <w:p w14:paraId="4C6191A7">
      <w:pPr>
        <w:pStyle w:val="2"/>
        <w:spacing w:before="110" w:line="219" w:lineRule="auto"/>
        <w:ind w:left="560"/>
      </w:pPr>
      <w:r>
        <w:rPr>
          <w:spacing w:val="1"/>
        </w:rPr>
        <w:t>一般应包括下列主要内容：</w:t>
      </w:r>
    </w:p>
    <w:p w14:paraId="479CB6E8">
      <w:pPr>
        <w:pStyle w:val="2"/>
        <w:spacing w:before="48" w:line="259" w:lineRule="auto"/>
        <w:ind w:right="103" w:firstLine="560"/>
      </w:pPr>
      <w:r>
        <w:rPr>
          <w:rFonts w:ascii="Times New Roman" w:hAnsi="Times New Roman" w:eastAsia="Times New Roman" w:cs="Times New Roman"/>
          <w:spacing w:val="3"/>
        </w:rPr>
        <w:t xml:space="preserve">a)  </w:t>
      </w:r>
      <w:r>
        <w:rPr>
          <w:spacing w:val="3"/>
        </w:rPr>
        <w:t>订购方应制定保障性试验与评价总计划，包括研制试验要求、定型试验</w:t>
      </w:r>
      <w:r>
        <w:t xml:space="preserve"> </w:t>
      </w:r>
      <w:r>
        <w:rPr>
          <w:spacing w:val="-1"/>
        </w:rPr>
        <w:t>和现场使用评估；</w:t>
      </w:r>
    </w:p>
    <w:p w14:paraId="6C1B906E">
      <w:pPr>
        <w:pStyle w:val="2"/>
        <w:spacing w:before="73"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82"/>
        </w:rPr>
        <w:t xml:space="preserve"> </w:t>
      </w:r>
      <w:r>
        <w:rPr>
          <w:spacing w:val="3"/>
        </w:rPr>
        <w:t>应明确对承制方保障性试验与评价工作的要求；</w:t>
      </w:r>
    </w:p>
    <w:p w14:paraId="698074DB">
      <w:pPr>
        <w:spacing w:line="212" w:lineRule="auto"/>
        <w:sectPr>
          <w:footerReference r:id="rId496" w:type="default"/>
          <w:pgSz w:w="11910" w:h="17130"/>
          <w:pgMar w:top="1456" w:right="725" w:bottom="1646" w:left="1700" w:header="0" w:footer="1457" w:gutter="0"/>
          <w:cols w:space="720" w:num="1"/>
        </w:sectPr>
      </w:pPr>
    </w:p>
    <w:p w14:paraId="00F39F3A">
      <w:pPr>
        <w:pStyle w:val="2"/>
        <w:spacing w:before="58" w:line="212" w:lineRule="auto"/>
        <w:ind w:left="529"/>
      </w:pPr>
      <w:r>
        <w:rPr>
          <w:rFonts w:ascii="Times New Roman" w:hAnsi="Times New Roman" w:eastAsia="Times New Roman" w:cs="Times New Roman"/>
          <w:spacing w:val="4"/>
        </w:rPr>
        <w:t>c)</w:t>
      </w:r>
      <w:r>
        <w:rPr>
          <w:rFonts w:ascii="Times New Roman" w:hAnsi="Times New Roman" w:eastAsia="Times New Roman" w:cs="Times New Roman"/>
          <w:spacing w:val="66"/>
          <w:w w:val="101"/>
        </w:rPr>
        <w:t xml:space="preserve"> </w:t>
      </w:r>
      <w:r>
        <w:rPr>
          <w:spacing w:val="4"/>
        </w:rPr>
        <w:t>订购方应为承制方保障性试验与评价提供必要支持；</w:t>
      </w:r>
    </w:p>
    <w:p w14:paraId="3F11BA15">
      <w:pPr>
        <w:pStyle w:val="2"/>
        <w:spacing w:before="78" w:line="266" w:lineRule="auto"/>
        <w:ind w:right="4" w:firstLine="529"/>
      </w:pPr>
      <w:r>
        <w:rPr>
          <w:rFonts w:ascii="Times New Roman" w:hAnsi="Times New Roman" w:eastAsia="Times New Roman" w:cs="Times New Roman"/>
          <w:spacing w:val="-5"/>
        </w:rPr>
        <w:t xml:space="preserve">d)  </w:t>
      </w:r>
      <w:r>
        <w:rPr>
          <w:spacing w:val="-5"/>
        </w:rPr>
        <w:t>应明确保障性试验与评价的实施机构、试验项目要求、进度要求、评价准</w:t>
      </w:r>
      <w:r>
        <w:rPr>
          <w:spacing w:val="1"/>
        </w:rPr>
        <w:t xml:space="preserve"> </w:t>
      </w:r>
      <w:r>
        <w:rPr>
          <w:spacing w:val="-18"/>
        </w:rPr>
        <w:t>则、评价方法、试验方法等；</w:t>
      </w:r>
    </w:p>
    <w:p w14:paraId="4A5695A6">
      <w:pPr>
        <w:pStyle w:val="2"/>
        <w:spacing w:before="31" w:line="266" w:lineRule="auto"/>
        <w:ind w:firstLine="529"/>
      </w:pPr>
      <w:r>
        <w:rPr>
          <w:rFonts w:ascii="Times New Roman" w:hAnsi="Times New Roman" w:eastAsia="Times New Roman" w:cs="Times New Roman"/>
          <w:spacing w:val="3"/>
        </w:rPr>
        <w:t>e)</w:t>
      </w:r>
      <w:r>
        <w:rPr>
          <w:rFonts w:ascii="Times New Roman" w:hAnsi="Times New Roman" w:eastAsia="Times New Roman" w:cs="Times New Roman"/>
          <w:spacing w:val="79"/>
        </w:rPr>
        <w:t xml:space="preserve"> </w:t>
      </w:r>
      <w:r>
        <w:rPr>
          <w:spacing w:val="3"/>
        </w:rPr>
        <w:t>保障性试验应与其他相关专业工程中的试验与评价之间结合进行；现场</w:t>
      </w:r>
      <w:r>
        <w:t xml:space="preserve"> </w:t>
      </w:r>
      <w:r>
        <w:rPr>
          <w:spacing w:val="3"/>
        </w:rPr>
        <w:t>使用评估应结合部队的使用和训练进行；</w:t>
      </w:r>
    </w:p>
    <w:p w14:paraId="632EE2DB">
      <w:pPr>
        <w:pStyle w:val="2"/>
        <w:spacing w:before="43" w:line="212" w:lineRule="auto"/>
        <w:ind w:left="529"/>
      </w:pPr>
      <w:r>
        <w:rPr>
          <w:rFonts w:ascii="Times New Roman" w:hAnsi="Times New Roman" w:eastAsia="Times New Roman" w:cs="Times New Roman"/>
          <w:spacing w:val="4"/>
        </w:rPr>
        <w:t>f)</w:t>
      </w:r>
      <w:r>
        <w:rPr>
          <w:rFonts w:ascii="Times New Roman" w:hAnsi="Times New Roman" w:eastAsia="Times New Roman" w:cs="Times New Roman"/>
          <w:spacing w:val="74"/>
        </w:rPr>
        <w:t xml:space="preserve"> </w:t>
      </w:r>
      <w:r>
        <w:rPr>
          <w:spacing w:val="4"/>
        </w:rPr>
        <w:t>应明确根据试验与评价结果解决保障性问题应采取的措施。</w:t>
      </w:r>
    </w:p>
    <w:p w14:paraId="0991E170">
      <w:pPr>
        <w:spacing w:before="154" w:line="222" w:lineRule="auto"/>
        <w:rPr>
          <w:rFonts w:ascii="黑体" w:hAnsi="黑体" w:eastAsia="黑体" w:cs="黑体"/>
          <w:sz w:val="24"/>
          <w:szCs w:val="24"/>
        </w:rPr>
      </w:pPr>
      <w:r>
        <w:rPr>
          <w:rFonts w:ascii="黑体" w:hAnsi="黑体" w:eastAsia="黑体" w:cs="黑体"/>
          <w:spacing w:val="27"/>
          <w:sz w:val="24"/>
          <w:szCs w:val="24"/>
        </w:rPr>
        <w:t>11</w:t>
      </w:r>
      <w:r>
        <w:rPr>
          <w:rFonts w:ascii="黑体" w:hAnsi="黑体" w:eastAsia="黑体" w:cs="黑体"/>
          <w:spacing w:val="37"/>
          <w:sz w:val="24"/>
          <w:szCs w:val="24"/>
        </w:rPr>
        <w:t xml:space="preserve">  </w:t>
      </w:r>
      <w:r>
        <w:rPr>
          <w:rFonts w:ascii="黑体" w:hAnsi="黑体" w:eastAsia="黑体" w:cs="黑体"/>
          <w:b/>
          <w:bCs/>
          <w:spacing w:val="27"/>
          <w:sz w:val="24"/>
          <w:szCs w:val="24"/>
        </w:rPr>
        <w:t>综合保障工作经费预算</w:t>
      </w:r>
    </w:p>
    <w:p w14:paraId="3C795059">
      <w:pPr>
        <w:pStyle w:val="2"/>
        <w:spacing w:before="87" w:line="219" w:lineRule="auto"/>
        <w:ind w:left="529"/>
      </w:pPr>
      <w:r>
        <w:rPr>
          <w:spacing w:val="1"/>
        </w:rPr>
        <w:t>一般应包括下列主要内容：</w:t>
      </w:r>
    </w:p>
    <w:p w14:paraId="71E38C1D">
      <w:pPr>
        <w:pStyle w:val="2"/>
        <w:spacing w:before="69" w:line="212" w:lineRule="auto"/>
        <w:ind w:left="529"/>
      </w:pPr>
      <w:r>
        <w:rPr>
          <w:rFonts w:ascii="Times New Roman" w:hAnsi="Times New Roman" w:eastAsia="Times New Roman" w:cs="Times New Roman"/>
          <w:spacing w:val="4"/>
        </w:rPr>
        <w:t>a)</w:t>
      </w:r>
      <w:r>
        <w:rPr>
          <w:rFonts w:ascii="Times New Roman" w:hAnsi="Times New Roman" w:eastAsia="Times New Roman" w:cs="Times New Roman"/>
          <w:spacing w:val="60"/>
        </w:rPr>
        <w:t xml:space="preserve"> </w:t>
      </w:r>
      <w:r>
        <w:rPr>
          <w:spacing w:val="4"/>
        </w:rPr>
        <w:t>订购方应制定综合保障工作经费预算；</w:t>
      </w:r>
    </w:p>
    <w:p w14:paraId="5C168AD7">
      <w:pPr>
        <w:pStyle w:val="2"/>
        <w:spacing w:before="90" w:line="212" w:lineRule="auto"/>
        <w:ind w:left="529"/>
      </w:pPr>
      <w:r>
        <w:rPr>
          <w:rFonts w:ascii="Times New Roman" w:hAnsi="Times New Roman" w:eastAsia="Times New Roman" w:cs="Times New Roman"/>
          <w:spacing w:val="4"/>
        </w:rPr>
        <w:t>b)</w:t>
      </w:r>
      <w:r>
        <w:rPr>
          <w:rFonts w:ascii="Times New Roman" w:hAnsi="Times New Roman" w:eastAsia="Times New Roman" w:cs="Times New Roman"/>
          <w:spacing w:val="67"/>
        </w:rPr>
        <w:t xml:space="preserve"> </w:t>
      </w:r>
      <w:r>
        <w:rPr>
          <w:spacing w:val="4"/>
        </w:rPr>
        <w:t>说明综合保障工作经费预算采用的费用分解结构模型；</w:t>
      </w:r>
    </w:p>
    <w:p w14:paraId="6394BA2B">
      <w:pPr>
        <w:pStyle w:val="2"/>
        <w:spacing w:before="99" w:line="258" w:lineRule="auto"/>
        <w:ind w:right="61" w:firstLine="529"/>
        <w:rPr>
          <w:rFonts w:ascii="黑体" w:hAnsi="黑体" w:eastAsia="黑体" w:cs="黑体"/>
        </w:rPr>
      </w:pPr>
      <w:r>
        <w:rPr>
          <w:rFonts w:ascii="Times New Roman" w:hAnsi="Times New Roman" w:eastAsia="Times New Roman" w:cs="Times New Roman"/>
          <w:spacing w:val="-13"/>
        </w:rPr>
        <w:t xml:space="preserve">c)  </w:t>
      </w:r>
      <w:r>
        <w:rPr>
          <w:spacing w:val="-13"/>
        </w:rPr>
        <w:t>说明综合保障阶段性工作的经费预算、经费来源，拨</w:t>
      </w:r>
      <w:r>
        <w:rPr>
          <w:spacing w:val="-14"/>
        </w:rPr>
        <w:t>款要求、年度拨款等。</w:t>
      </w:r>
      <w:r>
        <w:t xml:space="preserve"> </w:t>
      </w:r>
      <w:r>
        <w:rPr>
          <w:rFonts w:ascii="黑体" w:hAnsi="黑体" w:eastAsia="黑体" w:cs="黑体"/>
          <w:spacing w:val="-4"/>
        </w:rPr>
        <w:t>12</w:t>
      </w:r>
      <w:r>
        <w:rPr>
          <w:rFonts w:ascii="黑体" w:hAnsi="黑体" w:eastAsia="黑体" w:cs="黑体"/>
          <w:spacing w:val="9"/>
        </w:rPr>
        <w:t xml:space="preserve">  </w:t>
      </w:r>
      <w:r>
        <w:rPr>
          <w:rFonts w:ascii="黑体" w:hAnsi="黑体" w:eastAsia="黑体" w:cs="黑体"/>
          <w:b/>
          <w:bCs/>
          <w:spacing w:val="-4"/>
        </w:rPr>
        <w:t>部署保障</w:t>
      </w:r>
    </w:p>
    <w:p w14:paraId="38083182">
      <w:pPr>
        <w:spacing w:before="90" w:line="221" w:lineRule="auto"/>
        <w:rPr>
          <w:rFonts w:ascii="黑体" w:hAnsi="黑体" w:eastAsia="黑体" w:cs="黑体"/>
          <w:sz w:val="25"/>
          <w:szCs w:val="25"/>
        </w:rPr>
      </w:pPr>
      <w:r>
        <w:rPr>
          <w:rFonts w:ascii="黑体" w:hAnsi="黑体" w:eastAsia="黑体" w:cs="黑体"/>
          <w:spacing w:val="6"/>
          <w:sz w:val="25"/>
          <w:szCs w:val="25"/>
        </w:rPr>
        <w:t>12.1</w:t>
      </w:r>
      <w:r>
        <w:rPr>
          <w:rFonts w:ascii="黑体" w:hAnsi="黑体" w:eastAsia="黑体" w:cs="黑体"/>
          <w:spacing w:val="55"/>
          <w:sz w:val="25"/>
          <w:szCs w:val="25"/>
        </w:rPr>
        <w:t xml:space="preserve">  </w:t>
      </w:r>
      <w:r>
        <w:rPr>
          <w:rFonts w:ascii="黑体" w:hAnsi="黑体" w:eastAsia="黑体" w:cs="黑体"/>
          <w:b/>
          <w:bCs/>
          <w:spacing w:val="6"/>
          <w:sz w:val="25"/>
          <w:szCs w:val="25"/>
        </w:rPr>
        <w:t>部署说明</w:t>
      </w:r>
    </w:p>
    <w:p w14:paraId="65331697">
      <w:pPr>
        <w:pStyle w:val="2"/>
        <w:spacing w:before="88" w:line="219" w:lineRule="auto"/>
        <w:ind w:left="529"/>
      </w:pPr>
      <w:r>
        <w:rPr>
          <w:spacing w:val="1"/>
        </w:rPr>
        <w:t>一般应包括下列主要内容：</w:t>
      </w:r>
    </w:p>
    <w:p w14:paraId="4CF35C59">
      <w:pPr>
        <w:pStyle w:val="2"/>
        <w:spacing w:before="91" w:line="271" w:lineRule="auto"/>
        <w:ind w:right="7" w:firstLine="529"/>
        <w:rPr>
          <w:sz w:val="25"/>
          <w:szCs w:val="25"/>
        </w:rPr>
      </w:pPr>
      <w:r>
        <w:rPr>
          <w:rFonts w:ascii="Times New Roman" w:hAnsi="Times New Roman" w:eastAsia="Times New Roman" w:cs="Times New Roman"/>
          <w:spacing w:val="14"/>
          <w:sz w:val="25"/>
          <w:szCs w:val="25"/>
        </w:rPr>
        <w:t xml:space="preserve">a)  </w:t>
      </w:r>
      <w:r>
        <w:rPr>
          <w:spacing w:val="14"/>
          <w:sz w:val="25"/>
          <w:szCs w:val="25"/>
        </w:rPr>
        <w:t>装备部署计划，主要包括装备部署数量、部署时间安排、部</w:t>
      </w:r>
      <w:r>
        <w:rPr>
          <w:spacing w:val="13"/>
          <w:sz w:val="25"/>
          <w:szCs w:val="25"/>
        </w:rPr>
        <w:t>署的地理位置</w:t>
      </w:r>
      <w:r>
        <w:rPr>
          <w:sz w:val="25"/>
          <w:szCs w:val="25"/>
        </w:rPr>
        <w:t xml:space="preserve"> </w:t>
      </w:r>
      <w:r>
        <w:rPr>
          <w:spacing w:val="16"/>
          <w:sz w:val="25"/>
          <w:szCs w:val="25"/>
        </w:rPr>
        <w:t>及部署环境、部队编制体制与装备的编配等；</w:t>
      </w:r>
    </w:p>
    <w:p w14:paraId="1C7112A7">
      <w:pPr>
        <w:pStyle w:val="2"/>
        <w:spacing w:before="54" w:line="212" w:lineRule="auto"/>
        <w:ind w:left="529"/>
      </w:pPr>
      <w:r>
        <w:rPr>
          <w:rFonts w:ascii="Times New Roman" w:hAnsi="Times New Roman" w:eastAsia="Times New Roman" w:cs="Times New Roman"/>
          <w:spacing w:val="4"/>
        </w:rPr>
        <w:t>b)</w:t>
      </w:r>
      <w:r>
        <w:rPr>
          <w:rFonts w:ascii="Times New Roman" w:hAnsi="Times New Roman" w:eastAsia="Times New Roman" w:cs="Times New Roman"/>
          <w:spacing w:val="69"/>
        </w:rPr>
        <w:t xml:space="preserve"> </w:t>
      </w:r>
      <w:r>
        <w:rPr>
          <w:spacing w:val="4"/>
        </w:rPr>
        <w:t>应根据部署计划制定部署保障计划。</w:t>
      </w:r>
    </w:p>
    <w:p w14:paraId="23217BAE">
      <w:pPr>
        <w:spacing w:before="144" w:line="221" w:lineRule="auto"/>
        <w:rPr>
          <w:rFonts w:ascii="黑体" w:hAnsi="黑体" w:eastAsia="黑体" w:cs="黑体"/>
          <w:sz w:val="24"/>
          <w:szCs w:val="24"/>
        </w:rPr>
      </w:pPr>
      <w:r>
        <w:rPr>
          <w:rFonts w:ascii="黑体" w:hAnsi="黑体" w:eastAsia="黑体" w:cs="黑体"/>
          <w:spacing w:val="23"/>
          <w:sz w:val="24"/>
          <w:szCs w:val="24"/>
        </w:rPr>
        <w:t>12.2</w:t>
      </w:r>
      <w:r>
        <w:rPr>
          <w:rFonts w:ascii="黑体" w:hAnsi="黑体" w:eastAsia="黑体" w:cs="黑体"/>
          <w:spacing w:val="5"/>
          <w:sz w:val="24"/>
          <w:szCs w:val="24"/>
        </w:rPr>
        <w:t xml:space="preserve">   </w:t>
      </w:r>
      <w:r>
        <w:rPr>
          <w:rFonts w:ascii="黑体" w:hAnsi="黑体" w:eastAsia="黑体" w:cs="黑体"/>
          <w:b/>
          <w:bCs/>
          <w:spacing w:val="23"/>
          <w:sz w:val="24"/>
          <w:szCs w:val="24"/>
        </w:rPr>
        <w:t>装备及其保障资源的部署</w:t>
      </w:r>
    </w:p>
    <w:p w14:paraId="4836626E">
      <w:pPr>
        <w:pStyle w:val="2"/>
        <w:spacing w:before="109" w:line="219" w:lineRule="auto"/>
        <w:ind w:left="529"/>
      </w:pPr>
      <w:r>
        <w:rPr>
          <w:spacing w:val="1"/>
        </w:rPr>
        <w:t>一般应包括下列主要内容：</w:t>
      </w:r>
    </w:p>
    <w:p w14:paraId="59261C3A">
      <w:pPr>
        <w:pStyle w:val="2"/>
        <w:spacing w:before="58" w:line="264" w:lineRule="auto"/>
        <w:ind w:right="1" w:firstLine="529"/>
      </w:pPr>
      <w:r>
        <w:rPr>
          <w:rFonts w:ascii="Times New Roman" w:hAnsi="Times New Roman" w:eastAsia="Times New Roman" w:cs="Times New Roman"/>
          <w:spacing w:val="3"/>
        </w:rPr>
        <w:t>a)</w:t>
      </w:r>
      <w:r>
        <w:rPr>
          <w:rFonts w:ascii="Times New Roman" w:hAnsi="Times New Roman" w:eastAsia="Times New Roman" w:cs="Times New Roman"/>
          <w:spacing w:val="77"/>
        </w:rPr>
        <w:t xml:space="preserve"> </w:t>
      </w:r>
      <w:r>
        <w:rPr>
          <w:spacing w:val="3"/>
        </w:rPr>
        <w:t>应明确部署保障工作机构的组成和职责，或者明确部署保障相关部门及</w:t>
      </w:r>
      <w:r>
        <w:t xml:space="preserve"> </w:t>
      </w:r>
      <w:r>
        <w:rPr>
          <w:spacing w:val="-1"/>
        </w:rPr>
        <w:t>其在部署保障工作中的职责，明确部署保障工作组织的工作方式；</w:t>
      </w:r>
    </w:p>
    <w:p w14:paraId="5808D573">
      <w:pPr>
        <w:pStyle w:val="2"/>
        <w:spacing w:before="49" w:line="212" w:lineRule="auto"/>
        <w:ind w:left="529"/>
      </w:pPr>
      <w:r>
        <w:rPr>
          <w:rFonts w:ascii="Times New Roman" w:hAnsi="Times New Roman" w:eastAsia="Times New Roman" w:cs="Times New Roman"/>
          <w:spacing w:val="4"/>
        </w:rPr>
        <w:t>b)</w:t>
      </w:r>
      <w:r>
        <w:rPr>
          <w:rFonts w:ascii="Times New Roman" w:hAnsi="Times New Roman" w:eastAsia="Times New Roman" w:cs="Times New Roman"/>
          <w:spacing w:val="67"/>
          <w:w w:val="101"/>
        </w:rPr>
        <w:t xml:space="preserve"> </w:t>
      </w:r>
      <w:r>
        <w:rPr>
          <w:spacing w:val="4"/>
        </w:rPr>
        <w:t>装备部署所需的保障资源要求及准备情况；</w:t>
      </w:r>
    </w:p>
    <w:p w14:paraId="120E6CCB">
      <w:pPr>
        <w:pStyle w:val="2"/>
        <w:spacing w:before="90" w:line="212" w:lineRule="auto"/>
        <w:ind w:left="529"/>
      </w:pPr>
      <w:r>
        <w:rPr>
          <w:rFonts w:ascii="Times New Roman" w:hAnsi="Times New Roman" w:eastAsia="Times New Roman" w:cs="Times New Roman"/>
          <w:spacing w:val="4"/>
        </w:rPr>
        <w:t>c)</w:t>
      </w:r>
      <w:r>
        <w:rPr>
          <w:rFonts w:ascii="Times New Roman" w:hAnsi="Times New Roman" w:eastAsia="Times New Roman" w:cs="Times New Roman"/>
          <w:spacing w:val="66"/>
          <w:w w:val="101"/>
        </w:rPr>
        <w:t xml:space="preserve"> </w:t>
      </w:r>
      <w:r>
        <w:rPr>
          <w:spacing w:val="4"/>
        </w:rPr>
        <w:t>装备及保障资源提交和发放的审查安排；</w:t>
      </w:r>
    </w:p>
    <w:p w14:paraId="378E70D2">
      <w:pPr>
        <w:pStyle w:val="2"/>
        <w:spacing w:before="90" w:line="212" w:lineRule="auto"/>
        <w:ind w:left="529"/>
      </w:pPr>
      <w:r>
        <w:rPr>
          <w:rFonts w:ascii="Times New Roman" w:hAnsi="Times New Roman" w:eastAsia="Times New Roman" w:cs="Times New Roman"/>
          <w:spacing w:val="4"/>
        </w:rPr>
        <w:t>d)</w:t>
      </w:r>
      <w:r>
        <w:rPr>
          <w:rFonts w:ascii="Times New Roman" w:hAnsi="Times New Roman" w:eastAsia="Times New Roman" w:cs="Times New Roman"/>
          <w:spacing w:val="69"/>
        </w:rPr>
        <w:t xml:space="preserve"> </w:t>
      </w:r>
      <w:r>
        <w:rPr>
          <w:spacing w:val="4"/>
        </w:rPr>
        <w:t>装备及其保障资源的交接工作安排；</w:t>
      </w:r>
    </w:p>
    <w:p w14:paraId="404F98B5">
      <w:pPr>
        <w:pStyle w:val="2"/>
        <w:spacing w:before="90" w:line="212" w:lineRule="auto"/>
        <w:ind w:left="529"/>
      </w:pPr>
      <w:r>
        <w:rPr>
          <w:rFonts w:ascii="Times New Roman" w:hAnsi="Times New Roman" w:eastAsia="Times New Roman" w:cs="Times New Roman"/>
          <w:spacing w:val="2"/>
        </w:rPr>
        <w:t>e)</w:t>
      </w:r>
      <w:r>
        <w:rPr>
          <w:rFonts w:ascii="Times New Roman" w:hAnsi="Times New Roman" w:eastAsia="Times New Roman" w:cs="Times New Roman"/>
          <w:spacing w:val="64"/>
          <w:w w:val="101"/>
        </w:rPr>
        <w:t xml:space="preserve"> </w:t>
      </w:r>
      <w:r>
        <w:rPr>
          <w:spacing w:val="2"/>
        </w:rPr>
        <w:t>装备初始使用安排；</w:t>
      </w:r>
    </w:p>
    <w:p w14:paraId="14F57BFD">
      <w:pPr>
        <w:pStyle w:val="2"/>
        <w:spacing w:before="109" w:line="260" w:lineRule="auto"/>
        <w:ind w:right="4" w:firstLine="529"/>
      </w:pPr>
      <w:r>
        <w:rPr>
          <w:rFonts w:ascii="Times New Roman" w:hAnsi="Times New Roman" w:eastAsia="Times New Roman" w:cs="Times New Roman"/>
          <w:spacing w:val="-4"/>
        </w:rPr>
        <w:t>f)</w:t>
      </w:r>
      <w:r>
        <w:rPr>
          <w:rFonts w:ascii="Times New Roman" w:hAnsi="Times New Roman" w:eastAsia="Times New Roman" w:cs="Times New Roman"/>
          <w:spacing w:val="69"/>
        </w:rPr>
        <w:t xml:space="preserve"> </w:t>
      </w:r>
      <w:r>
        <w:rPr>
          <w:spacing w:val="-4"/>
        </w:rPr>
        <w:t>建立保障系统的工作安排，包括部队保障机构的调整、保障设施建设、器</w:t>
      </w:r>
      <w:r>
        <w:t xml:space="preserve"> </w:t>
      </w:r>
      <w:r>
        <w:rPr>
          <w:spacing w:val="-12"/>
        </w:rPr>
        <w:t>材供应、人员培训等；</w:t>
      </w:r>
    </w:p>
    <w:p w14:paraId="0F2E77A1">
      <w:pPr>
        <w:pStyle w:val="2"/>
        <w:spacing w:before="60" w:line="212" w:lineRule="auto"/>
        <w:ind w:left="529"/>
      </w:pPr>
      <w:r>
        <w:rPr>
          <w:rFonts w:ascii="Times New Roman" w:hAnsi="Times New Roman" w:eastAsia="Times New Roman" w:cs="Times New Roman"/>
          <w:spacing w:val="10"/>
        </w:rPr>
        <w:t>g</w:t>
      </w:r>
      <w:r>
        <w:rPr>
          <w:spacing w:val="10"/>
        </w:rPr>
        <w:t>)其他方面需要说明的问题。</w:t>
      </w:r>
    </w:p>
    <w:p w14:paraId="4432CE59">
      <w:pPr>
        <w:spacing w:before="146" w:line="222" w:lineRule="auto"/>
        <w:rPr>
          <w:rFonts w:ascii="黑体" w:hAnsi="黑体" w:eastAsia="黑体" w:cs="黑体"/>
          <w:sz w:val="24"/>
          <w:szCs w:val="24"/>
        </w:rPr>
      </w:pPr>
      <w:r>
        <w:rPr>
          <w:rFonts w:ascii="黑体" w:hAnsi="黑体" w:eastAsia="黑体" w:cs="黑体"/>
          <w:spacing w:val="12"/>
          <w:sz w:val="24"/>
          <w:szCs w:val="24"/>
        </w:rPr>
        <w:t>12.3</w:t>
      </w:r>
      <w:r>
        <w:rPr>
          <w:rFonts w:ascii="黑体" w:hAnsi="黑体" w:eastAsia="黑体" w:cs="黑体"/>
          <w:spacing w:val="6"/>
          <w:sz w:val="24"/>
          <w:szCs w:val="24"/>
        </w:rPr>
        <w:t xml:space="preserve">   </w:t>
      </w:r>
      <w:r>
        <w:rPr>
          <w:rFonts w:ascii="黑体" w:hAnsi="黑体" w:eastAsia="黑体" w:cs="黑体"/>
          <w:b/>
          <w:bCs/>
          <w:spacing w:val="12"/>
          <w:sz w:val="24"/>
          <w:szCs w:val="24"/>
        </w:rPr>
        <w:t>保障交接</w:t>
      </w:r>
    </w:p>
    <w:p w14:paraId="4867D723">
      <w:pPr>
        <w:spacing w:before="119" w:line="221" w:lineRule="auto"/>
        <w:rPr>
          <w:rFonts w:ascii="黑体" w:hAnsi="黑体" w:eastAsia="黑体" w:cs="黑体"/>
          <w:sz w:val="24"/>
          <w:szCs w:val="24"/>
        </w:rPr>
      </w:pPr>
      <w:r>
        <w:rPr>
          <w:rFonts w:ascii="黑体" w:hAnsi="黑体" w:eastAsia="黑体" w:cs="黑体"/>
          <w:spacing w:val="12"/>
          <w:sz w:val="24"/>
          <w:szCs w:val="24"/>
        </w:rPr>
        <w:t>12.3.1</w:t>
      </w:r>
      <w:r>
        <w:rPr>
          <w:rFonts w:ascii="黑体" w:hAnsi="黑体" w:eastAsia="黑体" w:cs="黑体"/>
          <w:spacing w:val="19"/>
          <w:sz w:val="24"/>
          <w:szCs w:val="24"/>
        </w:rPr>
        <w:t xml:space="preserve">   </w:t>
      </w:r>
      <w:r>
        <w:rPr>
          <w:rFonts w:ascii="黑体" w:hAnsi="黑体" w:eastAsia="黑体" w:cs="黑体"/>
          <w:b/>
          <w:bCs/>
          <w:spacing w:val="12"/>
          <w:sz w:val="24"/>
          <w:szCs w:val="24"/>
        </w:rPr>
        <w:t>承制方保障</w:t>
      </w:r>
    </w:p>
    <w:p w14:paraId="7B7A3C60">
      <w:pPr>
        <w:pStyle w:val="2"/>
        <w:spacing w:before="100" w:line="278" w:lineRule="auto"/>
        <w:ind w:right="3" w:firstLine="529"/>
      </w:pPr>
      <w:r>
        <w:rPr>
          <w:spacing w:val="-3"/>
        </w:rPr>
        <w:t>说明承制方在承制方保障期间应承担的工作范围、服务方式，特别是规定承</w:t>
      </w:r>
      <w:r>
        <w:rPr>
          <w:spacing w:val="10"/>
        </w:rPr>
        <w:t xml:space="preserve"> </w:t>
      </w:r>
      <w:r>
        <w:rPr>
          <w:spacing w:val="-8"/>
        </w:rPr>
        <w:t>制方应承担的装备维修、器材供应、人员培训等任务。</w:t>
      </w:r>
    </w:p>
    <w:p w14:paraId="6AB60F5F">
      <w:pPr>
        <w:spacing w:before="2" w:line="220" w:lineRule="auto"/>
        <w:rPr>
          <w:rFonts w:ascii="黑体" w:hAnsi="黑体" w:eastAsia="黑体" w:cs="黑体"/>
          <w:sz w:val="25"/>
          <w:szCs w:val="25"/>
        </w:rPr>
      </w:pPr>
      <w:r>
        <w:rPr>
          <w:rFonts w:ascii="黑体" w:hAnsi="黑体" w:eastAsia="黑体" w:cs="黑体"/>
          <w:spacing w:val="9"/>
          <w:sz w:val="25"/>
          <w:szCs w:val="25"/>
        </w:rPr>
        <w:t>12.3.2</w:t>
      </w:r>
      <w:r>
        <w:rPr>
          <w:rFonts w:ascii="黑体" w:hAnsi="黑体" w:eastAsia="黑体" w:cs="黑体"/>
          <w:sz w:val="25"/>
          <w:szCs w:val="25"/>
        </w:rPr>
        <w:t xml:space="preserve">   </w:t>
      </w:r>
      <w:r>
        <w:rPr>
          <w:rFonts w:ascii="黑体" w:hAnsi="黑体" w:eastAsia="黑体" w:cs="黑体"/>
          <w:b/>
          <w:bCs/>
          <w:spacing w:val="9"/>
          <w:sz w:val="25"/>
          <w:szCs w:val="25"/>
        </w:rPr>
        <w:t>保障责任移交</w:t>
      </w:r>
    </w:p>
    <w:p w14:paraId="1F234104">
      <w:pPr>
        <w:pStyle w:val="2"/>
        <w:spacing w:before="97" w:line="219" w:lineRule="auto"/>
        <w:ind w:left="529"/>
      </w:pPr>
      <w:r>
        <w:rPr>
          <w:spacing w:val="1"/>
        </w:rPr>
        <w:t>一般应包括下列主要内容：</w:t>
      </w:r>
    </w:p>
    <w:p w14:paraId="102D5908">
      <w:pPr>
        <w:spacing w:line="219" w:lineRule="auto"/>
        <w:sectPr>
          <w:footerReference r:id="rId497" w:type="default"/>
          <w:pgSz w:w="11910" w:h="17130"/>
          <w:pgMar w:top="1392" w:right="1463" w:bottom="1750" w:left="1090" w:header="0" w:footer="1542" w:gutter="0"/>
          <w:cols w:space="720" w:num="1"/>
        </w:sectPr>
      </w:pPr>
    </w:p>
    <w:p w14:paraId="78DB3BBC">
      <w:pPr>
        <w:pStyle w:val="2"/>
        <w:spacing w:before="58" w:line="212" w:lineRule="auto"/>
        <w:ind w:left="550"/>
      </w:pPr>
      <w:r>
        <w:rPr>
          <w:rFonts w:ascii="Times New Roman" w:hAnsi="Times New Roman" w:eastAsia="Times New Roman" w:cs="Times New Roman"/>
        </w:rPr>
        <w:t>a)</w:t>
      </w:r>
      <w:r>
        <w:rPr>
          <w:rFonts w:ascii="Times New Roman" w:hAnsi="Times New Roman" w:eastAsia="Times New Roman" w:cs="Times New Roman"/>
          <w:spacing w:val="62"/>
          <w:w w:val="101"/>
        </w:rPr>
        <w:t xml:space="preserve"> </w:t>
      </w:r>
      <w:r>
        <w:t>根据承制方保障工作的效果和问题，提出后续保障</w:t>
      </w:r>
      <w:r>
        <w:rPr>
          <w:spacing w:val="-1"/>
        </w:rPr>
        <w:t>工作的要求；</w:t>
      </w:r>
    </w:p>
    <w:p w14:paraId="132D0F0E">
      <w:pPr>
        <w:pStyle w:val="2"/>
        <w:spacing w:before="78" w:line="262" w:lineRule="auto"/>
        <w:ind w:firstLine="550"/>
      </w:pPr>
      <w:r>
        <w:rPr>
          <w:rFonts w:ascii="Times New Roman" w:hAnsi="Times New Roman" w:eastAsia="Times New Roman" w:cs="Times New Roman"/>
          <w:spacing w:val="11"/>
        </w:rPr>
        <w:t>b)</w:t>
      </w:r>
      <w:r>
        <w:rPr>
          <w:rFonts w:ascii="Times New Roman" w:hAnsi="Times New Roman" w:eastAsia="Times New Roman" w:cs="Times New Roman"/>
          <w:spacing w:val="77"/>
        </w:rPr>
        <w:t xml:space="preserve"> </w:t>
      </w:r>
      <w:r>
        <w:rPr>
          <w:spacing w:val="11"/>
        </w:rPr>
        <w:t>针对每一保障资源分别说明保障责任从承制方向订购方移交的时机和</w:t>
      </w:r>
      <w:r>
        <w:t xml:space="preserve"> </w:t>
      </w:r>
      <w:r>
        <w:rPr>
          <w:spacing w:val="-2"/>
        </w:rPr>
        <w:t>方式；</w:t>
      </w:r>
    </w:p>
    <w:p w14:paraId="68DDFB5C">
      <w:pPr>
        <w:pStyle w:val="2"/>
        <w:spacing w:before="54"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68"/>
          <w:w w:val="101"/>
        </w:rPr>
        <w:t xml:space="preserve"> </w:t>
      </w:r>
      <w:r>
        <w:rPr>
          <w:spacing w:val="4"/>
        </w:rPr>
        <w:t>说明订购方获取各项保障资源的要求和途径。</w:t>
      </w:r>
    </w:p>
    <w:p w14:paraId="31485C14">
      <w:pPr>
        <w:spacing w:before="129" w:line="222" w:lineRule="auto"/>
        <w:rPr>
          <w:rFonts w:ascii="黑体" w:hAnsi="黑体" w:eastAsia="黑体" w:cs="黑体"/>
          <w:sz w:val="25"/>
          <w:szCs w:val="25"/>
        </w:rPr>
      </w:pPr>
      <w:r>
        <w:rPr>
          <w:rFonts w:ascii="黑体" w:hAnsi="黑体" w:eastAsia="黑体" w:cs="黑体"/>
          <w:spacing w:val="13"/>
          <w:sz w:val="25"/>
          <w:szCs w:val="25"/>
        </w:rPr>
        <w:t>12.4</w:t>
      </w:r>
      <w:r>
        <w:rPr>
          <w:rFonts w:ascii="黑体" w:hAnsi="黑体" w:eastAsia="黑体" w:cs="黑体"/>
          <w:spacing w:val="46"/>
          <w:sz w:val="25"/>
          <w:szCs w:val="25"/>
        </w:rPr>
        <w:t xml:space="preserve">  </w:t>
      </w:r>
      <w:r>
        <w:rPr>
          <w:rFonts w:ascii="黑体" w:hAnsi="黑体" w:eastAsia="黑体" w:cs="黑体"/>
          <w:spacing w:val="13"/>
          <w:sz w:val="25"/>
          <w:szCs w:val="25"/>
        </w:rPr>
        <w:t>部署问题的协调</w:t>
      </w:r>
    </w:p>
    <w:p w14:paraId="27EA229D">
      <w:pPr>
        <w:pStyle w:val="2"/>
        <w:spacing w:before="100" w:line="219" w:lineRule="auto"/>
        <w:ind w:left="550"/>
      </w:pPr>
      <w:r>
        <w:rPr>
          <w:spacing w:val="1"/>
        </w:rPr>
        <w:t>一般应包括下列主要内容：</w:t>
      </w:r>
    </w:p>
    <w:p w14:paraId="30891FE3">
      <w:pPr>
        <w:pStyle w:val="2"/>
        <w:spacing w:before="49" w:line="212" w:lineRule="auto"/>
        <w:ind w:left="550"/>
      </w:pPr>
      <w:r>
        <w:rPr>
          <w:rFonts w:ascii="Times New Roman" w:hAnsi="Times New Roman" w:eastAsia="Times New Roman" w:cs="Times New Roman"/>
          <w:spacing w:val="4"/>
        </w:rPr>
        <w:t>a)</w:t>
      </w:r>
      <w:r>
        <w:rPr>
          <w:rFonts w:ascii="Times New Roman" w:hAnsi="Times New Roman" w:eastAsia="Times New Roman" w:cs="Times New Roman"/>
          <w:spacing w:val="66"/>
        </w:rPr>
        <w:t xml:space="preserve"> </w:t>
      </w:r>
      <w:r>
        <w:rPr>
          <w:spacing w:val="4"/>
        </w:rPr>
        <w:t>部署装备的保障系统与现役装备的保障系统的协调；</w:t>
      </w:r>
    </w:p>
    <w:p w14:paraId="28A34358">
      <w:pPr>
        <w:pStyle w:val="2"/>
        <w:spacing w:before="110" w:line="212" w:lineRule="auto"/>
        <w:ind w:left="550"/>
      </w:pPr>
      <w:r>
        <w:rPr>
          <w:rFonts w:ascii="Times New Roman" w:hAnsi="Times New Roman" w:eastAsia="Times New Roman" w:cs="Times New Roman"/>
          <w:spacing w:val="4"/>
        </w:rPr>
        <w:t>b)</w:t>
      </w:r>
      <w:r>
        <w:rPr>
          <w:rFonts w:ascii="Times New Roman" w:hAnsi="Times New Roman" w:eastAsia="Times New Roman" w:cs="Times New Roman"/>
          <w:spacing w:val="69"/>
        </w:rPr>
        <w:t xml:space="preserve"> </w:t>
      </w:r>
      <w:r>
        <w:rPr>
          <w:spacing w:val="4"/>
        </w:rPr>
        <w:t>使用部队反馈装备及保障系统出现问题的渠道；</w:t>
      </w:r>
    </w:p>
    <w:p w14:paraId="40ED3067">
      <w:pPr>
        <w:pStyle w:val="2"/>
        <w:spacing w:before="90"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64"/>
          <w:w w:val="101"/>
        </w:rPr>
        <w:t xml:space="preserve"> </w:t>
      </w:r>
      <w:r>
        <w:rPr>
          <w:spacing w:val="4"/>
        </w:rPr>
        <w:t>订购方与承制方对部署中遇到问题的协商程序。</w:t>
      </w:r>
    </w:p>
    <w:p w14:paraId="70EAA977">
      <w:pPr>
        <w:spacing w:before="160" w:line="223" w:lineRule="auto"/>
        <w:rPr>
          <w:rFonts w:ascii="黑体" w:hAnsi="黑体" w:eastAsia="黑体" w:cs="黑体"/>
          <w:sz w:val="24"/>
          <w:szCs w:val="24"/>
        </w:rPr>
      </w:pPr>
      <w:r>
        <w:rPr>
          <w:rFonts w:ascii="黑体" w:hAnsi="黑体" w:eastAsia="黑体" w:cs="黑体"/>
          <w:spacing w:val="19"/>
          <w:sz w:val="24"/>
          <w:szCs w:val="24"/>
        </w:rPr>
        <w:t>13</w:t>
      </w:r>
      <w:r>
        <w:rPr>
          <w:rFonts w:ascii="黑体" w:hAnsi="黑体" w:eastAsia="黑体" w:cs="黑体"/>
          <w:spacing w:val="47"/>
          <w:sz w:val="24"/>
          <w:szCs w:val="24"/>
        </w:rPr>
        <w:t xml:space="preserve">  </w:t>
      </w:r>
      <w:r>
        <w:rPr>
          <w:rFonts w:ascii="黑体" w:hAnsi="黑体" w:eastAsia="黑体" w:cs="黑体"/>
          <w:spacing w:val="19"/>
          <w:sz w:val="24"/>
          <w:szCs w:val="24"/>
        </w:rPr>
        <w:t>停产后保障</w:t>
      </w:r>
    </w:p>
    <w:p w14:paraId="72D88CE1">
      <w:pPr>
        <w:pStyle w:val="2"/>
        <w:spacing w:before="101" w:line="219" w:lineRule="auto"/>
        <w:ind w:left="550"/>
      </w:pPr>
      <w:r>
        <w:rPr>
          <w:spacing w:val="1"/>
        </w:rPr>
        <w:t>一般应包括下列主要内容：</w:t>
      </w:r>
    </w:p>
    <w:p w14:paraId="353E8A25">
      <w:pPr>
        <w:pStyle w:val="2"/>
        <w:spacing w:before="98" w:line="253" w:lineRule="auto"/>
        <w:ind w:right="9" w:firstLine="550"/>
      </w:pPr>
      <w:r>
        <w:rPr>
          <w:rFonts w:ascii="Times New Roman" w:hAnsi="Times New Roman" w:eastAsia="Times New Roman" w:cs="Times New Roman"/>
          <w:spacing w:val="3"/>
        </w:rPr>
        <w:t>a</w:t>
      </w:r>
      <w:r>
        <w:rPr>
          <w:spacing w:val="3"/>
        </w:rPr>
        <w:t>)</w:t>
      </w:r>
      <w:r>
        <w:rPr>
          <w:spacing w:val="-49"/>
        </w:rPr>
        <w:t xml:space="preserve"> </w:t>
      </w:r>
      <w:r>
        <w:rPr>
          <w:spacing w:val="3"/>
        </w:rPr>
        <w:t>根据装备生产、部署使用、预期的使用寿命预计可能发生的停产后</w:t>
      </w:r>
      <w:r>
        <w:rPr>
          <w:spacing w:val="2"/>
        </w:rPr>
        <w:t>的保</w:t>
      </w:r>
      <w:r>
        <w:t xml:space="preserve"> </w:t>
      </w:r>
      <w:r>
        <w:rPr>
          <w:spacing w:val="-3"/>
        </w:rPr>
        <w:t>障工作，规定装备在预定使用期内预计的停产后保障问题的解决方法，主要是备</w:t>
      </w:r>
      <w:r>
        <w:rPr>
          <w:spacing w:val="16"/>
        </w:rPr>
        <w:t xml:space="preserve"> </w:t>
      </w:r>
      <w:r>
        <w:rPr>
          <w:spacing w:val="1"/>
        </w:rPr>
        <w:t>件供应的原则和安排；</w:t>
      </w:r>
    </w:p>
    <w:p w14:paraId="412B66F7">
      <w:pPr>
        <w:pStyle w:val="2"/>
        <w:spacing w:before="71" w:line="212" w:lineRule="auto"/>
        <w:ind w:left="550"/>
      </w:pPr>
      <w:r>
        <w:rPr>
          <w:rFonts w:ascii="Times New Roman" w:hAnsi="Times New Roman" w:eastAsia="Times New Roman" w:cs="Times New Roman"/>
          <w:spacing w:val="-9"/>
        </w:rPr>
        <w:t>b)</w:t>
      </w:r>
      <w:r>
        <w:rPr>
          <w:rFonts w:ascii="Times New Roman" w:hAnsi="Times New Roman" w:eastAsia="Times New Roman" w:cs="Times New Roman"/>
          <w:spacing w:val="69"/>
        </w:rPr>
        <w:t xml:space="preserve"> </w:t>
      </w:r>
      <w:r>
        <w:rPr>
          <w:spacing w:val="-9"/>
        </w:rPr>
        <w:t>停产后保障的职责分工、管理活动(资料、供应、技术状态管理)。</w:t>
      </w:r>
    </w:p>
    <w:p w14:paraId="184915EB">
      <w:pPr>
        <w:spacing w:before="137" w:line="222" w:lineRule="auto"/>
        <w:rPr>
          <w:rFonts w:ascii="黑体" w:hAnsi="黑体" w:eastAsia="黑体" w:cs="黑体"/>
          <w:sz w:val="24"/>
          <w:szCs w:val="24"/>
        </w:rPr>
      </w:pPr>
      <w:r>
        <w:rPr>
          <w:rFonts w:ascii="黑体" w:hAnsi="黑体" w:eastAsia="黑体" w:cs="黑体"/>
          <w:spacing w:val="29"/>
          <w:sz w:val="24"/>
          <w:szCs w:val="24"/>
        </w:rPr>
        <w:t>14</w:t>
      </w:r>
      <w:r>
        <w:rPr>
          <w:rFonts w:ascii="黑体" w:hAnsi="黑体" w:eastAsia="黑体" w:cs="黑体"/>
          <w:spacing w:val="46"/>
          <w:sz w:val="24"/>
          <w:szCs w:val="24"/>
        </w:rPr>
        <w:t xml:space="preserve">  </w:t>
      </w:r>
      <w:r>
        <w:rPr>
          <w:rFonts w:ascii="黑体" w:hAnsi="黑体" w:eastAsia="黑体" w:cs="黑体"/>
          <w:spacing w:val="29"/>
          <w:sz w:val="24"/>
          <w:szCs w:val="24"/>
        </w:rPr>
        <w:t>退役报废处理的保障工作安排</w:t>
      </w:r>
    </w:p>
    <w:p w14:paraId="55CA07A4">
      <w:pPr>
        <w:pStyle w:val="2"/>
        <w:spacing w:before="85" w:line="219" w:lineRule="auto"/>
        <w:ind w:left="550"/>
      </w:pPr>
      <w:r>
        <w:rPr>
          <w:spacing w:val="1"/>
        </w:rPr>
        <w:t>一般应包括下列主要内容：</w:t>
      </w:r>
    </w:p>
    <w:p w14:paraId="1FFE0E44">
      <w:pPr>
        <w:pStyle w:val="2"/>
        <w:spacing w:before="69" w:line="212" w:lineRule="auto"/>
        <w:ind w:left="550"/>
      </w:pPr>
      <w:r>
        <w:rPr>
          <w:rFonts w:ascii="Times New Roman" w:hAnsi="Times New Roman" w:eastAsia="Times New Roman" w:cs="Times New Roman"/>
          <w:spacing w:val="-5"/>
        </w:rPr>
        <w:t>a)</w:t>
      </w:r>
      <w:r>
        <w:rPr>
          <w:rFonts w:ascii="Times New Roman" w:hAnsi="Times New Roman" w:eastAsia="Times New Roman" w:cs="Times New Roman"/>
          <w:spacing w:val="77"/>
        </w:rPr>
        <w:t xml:space="preserve"> </w:t>
      </w:r>
      <w:r>
        <w:rPr>
          <w:spacing w:val="-5"/>
        </w:rPr>
        <w:t>装备质量分级、退役报废的技术条件；</w:t>
      </w:r>
    </w:p>
    <w:p w14:paraId="78F71FFB">
      <w:pPr>
        <w:pStyle w:val="2"/>
        <w:spacing w:before="120" w:line="212" w:lineRule="auto"/>
        <w:ind w:left="550"/>
      </w:pPr>
      <w:r>
        <w:rPr>
          <w:rFonts w:ascii="Times New Roman" w:hAnsi="Times New Roman" w:eastAsia="Times New Roman" w:cs="Times New Roman"/>
        </w:rPr>
        <w:t>b)</w:t>
      </w:r>
      <w:r>
        <w:rPr>
          <w:rFonts w:ascii="Times New Roman" w:hAnsi="Times New Roman" w:eastAsia="Times New Roman" w:cs="Times New Roman"/>
          <w:spacing w:val="57"/>
          <w:w w:val="101"/>
        </w:rPr>
        <w:t xml:space="preserve"> </w:t>
      </w:r>
      <w:r>
        <w:t>进行退役报废处理的保障工作程序、方法以及</w:t>
      </w:r>
      <w:r>
        <w:rPr>
          <w:spacing w:val="-1"/>
        </w:rPr>
        <w:t>所需的资源；</w:t>
      </w:r>
    </w:p>
    <w:p w14:paraId="6A33C136">
      <w:pPr>
        <w:pStyle w:val="2"/>
        <w:spacing w:before="119" w:line="250" w:lineRule="auto"/>
        <w:ind w:right="22" w:firstLine="550"/>
      </w:pPr>
      <w:r>
        <w:rPr>
          <w:rFonts w:ascii="Times New Roman" w:hAnsi="Times New Roman" w:eastAsia="Times New Roman" w:cs="Times New Roman"/>
          <w:spacing w:val="-3"/>
        </w:rPr>
        <w:t>c</w:t>
      </w:r>
      <w:r>
        <w:rPr>
          <w:spacing w:val="-3"/>
        </w:rPr>
        <w:t>)对特殊(如影响安全、造成环境污染)装备，若有相关规定，按其相关规定</w:t>
      </w:r>
      <w:r>
        <w:rPr>
          <w:spacing w:val="9"/>
        </w:rPr>
        <w:t xml:space="preserve"> </w:t>
      </w:r>
      <w:r>
        <w:rPr>
          <w:spacing w:val="-2"/>
        </w:rPr>
        <w:t>执行；</w:t>
      </w:r>
    </w:p>
    <w:p w14:paraId="3ADC1C22">
      <w:pPr>
        <w:pStyle w:val="2"/>
        <w:spacing w:before="59" w:line="254" w:lineRule="auto"/>
        <w:ind w:right="7" w:firstLine="550"/>
      </w:pPr>
      <w:r>
        <w:rPr>
          <w:rFonts w:ascii="Times New Roman" w:hAnsi="Times New Roman" w:eastAsia="Times New Roman" w:cs="Times New Roman"/>
          <w:spacing w:val="3"/>
        </w:rPr>
        <w:t>d)</w:t>
      </w:r>
      <w:r>
        <w:rPr>
          <w:rFonts w:ascii="Times New Roman" w:hAnsi="Times New Roman" w:eastAsia="Times New Roman" w:cs="Times New Roman"/>
          <w:spacing w:val="66"/>
        </w:rPr>
        <w:t xml:space="preserve"> </w:t>
      </w:r>
      <w:r>
        <w:rPr>
          <w:spacing w:val="3"/>
        </w:rPr>
        <w:t>对批准退役的装备的综合保障数据与资</w:t>
      </w:r>
      <w:r>
        <w:rPr>
          <w:spacing w:val="2"/>
        </w:rPr>
        <w:t>料，订购方进行整理并归档的工</w:t>
      </w:r>
      <w:r>
        <w:t xml:space="preserve"> </w:t>
      </w:r>
      <w:r>
        <w:rPr>
          <w:spacing w:val="-1"/>
        </w:rPr>
        <w:t>作安排。</w:t>
      </w:r>
    </w:p>
    <w:p w14:paraId="497671AB">
      <w:pPr>
        <w:spacing w:before="115" w:line="222" w:lineRule="auto"/>
        <w:rPr>
          <w:rFonts w:ascii="黑体" w:hAnsi="黑体" w:eastAsia="黑体" w:cs="黑体"/>
          <w:sz w:val="24"/>
          <w:szCs w:val="24"/>
        </w:rPr>
      </w:pPr>
      <w:r>
        <w:rPr>
          <w:rFonts w:ascii="黑体" w:hAnsi="黑体" w:eastAsia="黑体" w:cs="黑体"/>
          <w:spacing w:val="22"/>
          <w:sz w:val="24"/>
          <w:szCs w:val="24"/>
        </w:rPr>
        <w:t>15</w:t>
      </w:r>
      <w:r>
        <w:rPr>
          <w:rFonts w:ascii="黑体" w:hAnsi="黑体" w:eastAsia="黑体" w:cs="黑体"/>
          <w:spacing w:val="46"/>
          <w:sz w:val="24"/>
          <w:szCs w:val="24"/>
        </w:rPr>
        <w:t xml:space="preserve">  </w:t>
      </w:r>
      <w:r>
        <w:rPr>
          <w:rFonts w:ascii="黑体" w:hAnsi="黑体" w:eastAsia="黑体" w:cs="黑体"/>
          <w:spacing w:val="22"/>
          <w:sz w:val="24"/>
          <w:szCs w:val="24"/>
        </w:rPr>
        <w:t>工作进度安排</w:t>
      </w:r>
    </w:p>
    <w:p w14:paraId="4ED43788">
      <w:pPr>
        <w:pStyle w:val="2"/>
        <w:spacing w:before="103" w:line="267" w:lineRule="auto"/>
        <w:ind w:right="6" w:firstLine="550"/>
      </w:pPr>
      <w:r>
        <w:rPr>
          <w:spacing w:val="5"/>
        </w:rPr>
        <w:t>说明装备寿命周期各阶段应完成的各项综合保障工作及其进度。工作进度</w:t>
      </w:r>
      <w:r>
        <w:rPr>
          <w:spacing w:val="14"/>
        </w:rPr>
        <w:t xml:space="preserve"> </w:t>
      </w:r>
      <w:r>
        <w:rPr>
          <w:spacing w:val="1"/>
        </w:rPr>
        <w:t>安排应满足下列要求：</w:t>
      </w:r>
    </w:p>
    <w:p w14:paraId="5E9698E8">
      <w:pPr>
        <w:pStyle w:val="2"/>
        <w:spacing w:before="3" w:line="262" w:lineRule="auto"/>
        <w:ind w:right="10" w:firstLine="550"/>
      </w:pPr>
      <w:r>
        <w:rPr>
          <w:rFonts w:ascii="Times New Roman" w:hAnsi="Times New Roman" w:eastAsia="Times New Roman" w:cs="Times New Roman"/>
          <w:spacing w:val="-5"/>
        </w:rPr>
        <w:t>a)</w:t>
      </w:r>
      <w:r>
        <w:rPr>
          <w:rFonts w:ascii="Times New Roman" w:hAnsi="Times New Roman" w:eastAsia="Times New Roman" w:cs="Times New Roman"/>
          <w:spacing w:val="63"/>
        </w:rPr>
        <w:t xml:space="preserve"> </w:t>
      </w:r>
      <w:r>
        <w:rPr>
          <w:spacing w:val="-5"/>
        </w:rPr>
        <w:t>说明订购方、承制方、试验单位具体的综合保障主要工作，每项工作的起</w:t>
      </w:r>
      <w:r>
        <w:t xml:space="preserve"> </w:t>
      </w:r>
      <w:r>
        <w:rPr>
          <w:spacing w:val="-4"/>
        </w:rPr>
        <w:t>止时间和控制节点，指定的牵头部门及其他要求；</w:t>
      </w:r>
    </w:p>
    <w:p w14:paraId="51246551">
      <w:pPr>
        <w:pStyle w:val="2"/>
        <w:spacing w:before="71" w:line="276" w:lineRule="auto"/>
        <w:ind w:right="11" w:firstLine="550"/>
        <w:rPr>
          <w:sz w:val="25"/>
          <w:szCs w:val="25"/>
        </w:rPr>
      </w:pPr>
      <w:r>
        <w:rPr>
          <w:rFonts w:ascii="Times New Roman" w:hAnsi="Times New Roman" w:eastAsia="Times New Roman" w:cs="Times New Roman"/>
          <w:spacing w:val="21"/>
          <w:sz w:val="25"/>
          <w:szCs w:val="25"/>
        </w:rPr>
        <w:t xml:space="preserve">b)  </w:t>
      </w:r>
      <w:r>
        <w:rPr>
          <w:spacing w:val="21"/>
          <w:sz w:val="25"/>
          <w:szCs w:val="25"/>
        </w:rPr>
        <w:t>涉及其他的军兵种、部门时，制定单独的工作进度</w:t>
      </w:r>
      <w:r>
        <w:rPr>
          <w:spacing w:val="20"/>
          <w:sz w:val="25"/>
          <w:szCs w:val="25"/>
        </w:rPr>
        <w:t>安排说明其综合保障</w:t>
      </w:r>
      <w:r>
        <w:rPr>
          <w:sz w:val="25"/>
          <w:szCs w:val="25"/>
        </w:rPr>
        <w:t xml:space="preserve"> </w:t>
      </w:r>
      <w:r>
        <w:rPr>
          <w:spacing w:val="15"/>
          <w:sz w:val="25"/>
          <w:szCs w:val="25"/>
        </w:rPr>
        <w:t>工作。</w:t>
      </w:r>
    </w:p>
    <w:p w14:paraId="1BC4D71B">
      <w:pPr>
        <w:pStyle w:val="2"/>
        <w:spacing w:before="261" w:line="219" w:lineRule="auto"/>
        <w:ind w:left="1599"/>
        <w:rPr>
          <w:sz w:val="36"/>
          <w:szCs w:val="36"/>
        </w:rPr>
      </w:pPr>
      <w:r>
        <w:rPr>
          <w:spacing w:val="3"/>
          <w:sz w:val="36"/>
          <w:szCs w:val="36"/>
        </w:rPr>
        <w:t xml:space="preserve">10.4  </w:t>
      </w:r>
      <w:r>
        <w:rPr>
          <w:b/>
          <w:bCs/>
          <w:spacing w:val="3"/>
          <w:sz w:val="36"/>
          <w:szCs w:val="36"/>
        </w:rPr>
        <w:t>综合保障工作计划(保障性大纲)</w:t>
      </w:r>
    </w:p>
    <w:p w14:paraId="63CFA8B4">
      <w:pPr>
        <w:pStyle w:val="2"/>
        <w:spacing w:before="203" w:line="227" w:lineRule="auto"/>
        <w:ind w:right="31"/>
        <w:jc w:val="right"/>
        <w:rPr>
          <w:rFonts w:ascii="楷体" w:hAnsi="楷体" w:eastAsia="楷体" w:cs="楷体"/>
        </w:rPr>
      </w:pPr>
      <w:r>
        <w:rPr>
          <w:rFonts w:ascii="楷体" w:hAnsi="楷体" w:eastAsia="楷体" w:cs="楷体"/>
          <w:spacing w:val="-1"/>
        </w:rPr>
        <w:t>按照</w:t>
      </w:r>
      <w:r>
        <w:rPr>
          <w:rFonts w:ascii="Times New Roman" w:hAnsi="Times New Roman" w:eastAsia="Times New Roman" w:cs="Times New Roman"/>
          <w:spacing w:val="-1"/>
        </w:rPr>
        <w:t>GJB6388—2008</w:t>
      </w:r>
      <w:r>
        <w:rPr>
          <w:spacing w:val="-1"/>
        </w:rPr>
        <w:t>《</w:t>
      </w:r>
      <w:r>
        <w:rPr>
          <w:rFonts w:ascii="楷体" w:hAnsi="楷体" w:eastAsia="楷体" w:cs="楷体"/>
          <w:spacing w:val="-1"/>
        </w:rPr>
        <w:t>装备综合</w:t>
      </w:r>
      <w:r>
        <w:rPr>
          <w:rFonts w:ascii="楷体" w:hAnsi="楷体" w:eastAsia="楷体" w:cs="楷体"/>
          <w:spacing w:val="-2"/>
        </w:rPr>
        <w:t>保障计划编制要求》和</w:t>
      </w:r>
      <w:r>
        <w:rPr>
          <w:rFonts w:ascii="Times New Roman" w:hAnsi="Times New Roman" w:eastAsia="Times New Roman" w:cs="Times New Roman"/>
          <w:spacing w:val="-2"/>
        </w:rPr>
        <w:t>GJB 3872—1999</w:t>
      </w:r>
      <w:r>
        <w:rPr>
          <w:spacing w:val="-2"/>
        </w:rPr>
        <w:t>《</w:t>
      </w:r>
      <w:r>
        <w:rPr>
          <w:rFonts w:ascii="楷体" w:hAnsi="楷体" w:eastAsia="楷体" w:cs="楷体"/>
          <w:spacing w:val="-2"/>
        </w:rPr>
        <w:t>装</w:t>
      </w:r>
    </w:p>
    <w:p w14:paraId="0F3450DB">
      <w:pPr>
        <w:spacing w:before="83" w:line="226" w:lineRule="auto"/>
        <w:ind w:left="3"/>
        <w:rPr>
          <w:rFonts w:ascii="楷体" w:hAnsi="楷体" w:eastAsia="楷体" w:cs="楷体"/>
          <w:sz w:val="27"/>
          <w:szCs w:val="27"/>
        </w:rPr>
      </w:pPr>
      <w:r>
        <w:rPr>
          <w:rFonts w:ascii="楷体" w:hAnsi="楷体" w:eastAsia="楷体" w:cs="楷体"/>
          <w:b/>
          <w:bCs/>
          <w:spacing w:val="-12"/>
          <w:sz w:val="27"/>
          <w:szCs w:val="27"/>
        </w:rPr>
        <w:t>备综合保障通用要求》编写。</w:t>
      </w:r>
    </w:p>
    <w:p w14:paraId="3A9399E6">
      <w:pPr>
        <w:spacing w:line="226" w:lineRule="auto"/>
        <w:rPr>
          <w:rFonts w:ascii="楷体" w:hAnsi="楷体" w:eastAsia="楷体" w:cs="楷体"/>
          <w:sz w:val="27"/>
          <w:szCs w:val="27"/>
        </w:rPr>
        <w:sectPr>
          <w:footerReference r:id="rId498" w:type="default"/>
          <w:pgSz w:w="11910" w:h="17130"/>
          <w:pgMar w:top="1452" w:right="997" w:bottom="1606" w:left="1539" w:header="0" w:footer="1417" w:gutter="0"/>
          <w:cols w:space="720" w:num="1"/>
        </w:sectPr>
      </w:pPr>
    </w:p>
    <w:p w14:paraId="477BC568">
      <w:pPr>
        <w:spacing w:before="54"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4"/>
          <w:sz w:val="27"/>
          <w:szCs w:val="27"/>
        </w:rPr>
        <w:t xml:space="preserve">  </w:t>
      </w:r>
      <w:r>
        <w:rPr>
          <w:rFonts w:ascii="黑体" w:hAnsi="黑体" w:eastAsia="黑体" w:cs="黑体"/>
          <w:spacing w:val="-3"/>
          <w:sz w:val="27"/>
          <w:szCs w:val="27"/>
        </w:rPr>
        <w:t>范围</w:t>
      </w:r>
    </w:p>
    <w:p w14:paraId="3EBB0B0A">
      <w:pPr>
        <w:spacing w:before="120" w:line="222" w:lineRule="auto"/>
        <w:rPr>
          <w:rFonts w:ascii="黑体" w:hAnsi="黑体" w:eastAsia="黑体" w:cs="黑体"/>
          <w:sz w:val="24"/>
          <w:szCs w:val="24"/>
        </w:rPr>
      </w:pPr>
      <w:r>
        <w:rPr>
          <w:rFonts w:ascii="黑体" w:hAnsi="黑体" w:eastAsia="黑体" w:cs="黑体"/>
          <w:spacing w:val="24"/>
          <w:sz w:val="24"/>
          <w:szCs w:val="24"/>
        </w:rPr>
        <w:t>2</w:t>
      </w:r>
      <w:r>
        <w:rPr>
          <w:rFonts w:ascii="黑体" w:hAnsi="黑体" w:eastAsia="黑体" w:cs="黑体"/>
          <w:spacing w:val="30"/>
          <w:sz w:val="24"/>
          <w:szCs w:val="24"/>
        </w:rPr>
        <w:t xml:space="preserve">  </w:t>
      </w:r>
      <w:r>
        <w:rPr>
          <w:rFonts w:ascii="黑体" w:hAnsi="黑体" w:eastAsia="黑体" w:cs="黑体"/>
          <w:spacing w:val="24"/>
          <w:sz w:val="24"/>
          <w:szCs w:val="24"/>
        </w:rPr>
        <w:t>引用文件</w:t>
      </w:r>
    </w:p>
    <w:p w14:paraId="629148D8">
      <w:pPr>
        <w:spacing w:before="110" w:line="221" w:lineRule="auto"/>
        <w:rPr>
          <w:rFonts w:ascii="黑体" w:hAnsi="黑体" w:eastAsia="黑体" w:cs="黑体"/>
          <w:sz w:val="24"/>
          <w:szCs w:val="24"/>
        </w:rPr>
      </w:pPr>
      <w:r>
        <w:rPr>
          <w:rFonts w:ascii="黑体" w:hAnsi="黑体" w:eastAsia="黑体" w:cs="黑体"/>
          <w:spacing w:val="26"/>
          <w:sz w:val="24"/>
          <w:szCs w:val="24"/>
        </w:rPr>
        <w:t>3</w:t>
      </w:r>
      <w:r>
        <w:rPr>
          <w:rFonts w:ascii="黑体" w:hAnsi="黑体" w:eastAsia="黑体" w:cs="黑体"/>
          <w:spacing w:val="31"/>
          <w:sz w:val="24"/>
          <w:szCs w:val="24"/>
        </w:rPr>
        <w:t xml:space="preserve">  </w:t>
      </w:r>
      <w:r>
        <w:rPr>
          <w:rFonts w:ascii="黑体" w:hAnsi="黑体" w:eastAsia="黑体" w:cs="黑体"/>
          <w:spacing w:val="26"/>
          <w:sz w:val="24"/>
          <w:szCs w:val="24"/>
        </w:rPr>
        <w:t>装备说明</w:t>
      </w:r>
    </w:p>
    <w:p w14:paraId="7C376CEF">
      <w:pPr>
        <w:pStyle w:val="2"/>
        <w:spacing w:before="84" w:line="219" w:lineRule="auto"/>
        <w:ind w:left="570"/>
      </w:pPr>
      <w:r>
        <w:rPr>
          <w:spacing w:val="3"/>
        </w:rPr>
        <w:t>一般对下列主要内容加以简要说明：</w:t>
      </w:r>
    </w:p>
    <w:p w14:paraId="5D5925A4">
      <w:pPr>
        <w:pStyle w:val="2"/>
        <w:spacing w:before="120" w:line="219" w:lineRule="auto"/>
        <w:ind w:left="570"/>
        <w:rPr>
          <w:sz w:val="24"/>
          <w:szCs w:val="24"/>
        </w:rPr>
      </w:pPr>
      <w:r>
        <w:rPr>
          <w:rFonts w:ascii="Times New Roman" w:hAnsi="Times New Roman" w:eastAsia="Times New Roman" w:cs="Times New Roman"/>
          <w:spacing w:val="32"/>
          <w:sz w:val="24"/>
          <w:szCs w:val="24"/>
        </w:rPr>
        <w:t>a</w:t>
      </w:r>
      <w:r>
        <w:rPr>
          <w:rFonts w:ascii="Times New Roman" w:hAnsi="Times New Roman" w:eastAsia="Times New Roman" w:cs="Times New Roman"/>
          <w:spacing w:val="-8"/>
          <w:sz w:val="24"/>
          <w:szCs w:val="24"/>
        </w:rPr>
        <w:t xml:space="preserve"> </w:t>
      </w:r>
      <w:r>
        <w:rPr>
          <w:spacing w:val="32"/>
          <w:sz w:val="24"/>
          <w:szCs w:val="24"/>
        </w:rPr>
        <w:t>)装备的作战使命与主要功能；</w:t>
      </w:r>
    </w:p>
    <w:p w14:paraId="7044F564">
      <w:pPr>
        <w:pStyle w:val="2"/>
        <w:spacing w:before="37" w:line="270" w:lineRule="auto"/>
        <w:ind w:right="82" w:firstLine="570"/>
      </w:pPr>
      <w:r>
        <w:rPr>
          <w:rFonts w:ascii="Times New Roman" w:hAnsi="Times New Roman" w:eastAsia="Times New Roman" w:cs="Times New Roman"/>
          <w:spacing w:val="-5"/>
        </w:rPr>
        <w:t xml:space="preserve">b)  </w:t>
      </w:r>
      <w:r>
        <w:rPr>
          <w:spacing w:val="-5"/>
        </w:rPr>
        <w:t>装备的组成、研制的主要配套设备、设施及订购方提供或推荐的设备与设</w:t>
      </w:r>
      <w:r>
        <w:rPr>
          <w:spacing w:val="1"/>
        </w:rPr>
        <w:t xml:space="preserve"> </w:t>
      </w:r>
      <w:r>
        <w:rPr>
          <w:spacing w:val="-17"/>
        </w:rPr>
        <w:t>施等；</w:t>
      </w:r>
    </w:p>
    <w:p w14:paraId="30CB5AE1">
      <w:pPr>
        <w:pStyle w:val="2"/>
        <w:spacing w:before="11" w:line="271" w:lineRule="auto"/>
        <w:ind w:right="83" w:firstLine="570"/>
      </w:pPr>
      <w:r>
        <w:rPr>
          <w:rFonts w:ascii="Times New Roman" w:hAnsi="Times New Roman" w:eastAsia="Times New Roman" w:cs="Times New Roman"/>
          <w:spacing w:val="3"/>
        </w:rPr>
        <w:t>c)</w:t>
      </w:r>
      <w:r>
        <w:rPr>
          <w:rFonts w:ascii="Times New Roman" w:hAnsi="Times New Roman" w:eastAsia="Times New Roman" w:cs="Times New Roman"/>
          <w:spacing w:val="74"/>
        </w:rPr>
        <w:t xml:space="preserve"> </w:t>
      </w:r>
      <w:r>
        <w:rPr>
          <w:spacing w:val="3"/>
        </w:rPr>
        <w:t>装备主要性能指标，包括主要的作战性能指标、装备的主要参数及保障</w:t>
      </w:r>
      <w:r>
        <w:t xml:space="preserve"> </w:t>
      </w:r>
      <w:r>
        <w:rPr>
          <w:spacing w:val="5"/>
        </w:rPr>
        <w:t>性定量与定性要求。列出订购方未作规定而应由承制方规定的并在设计中加以</w:t>
      </w:r>
      <w:r>
        <w:rPr>
          <w:spacing w:val="13"/>
        </w:rPr>
        <w:t xml:space="preserve"> </w:t>
      </w:r>
      <w:r>
        <w:rPr>
          <w:spacing w:val="1"/>
        </w:rPr>
        <w:t>控制的主要的下层次指标。</w:t>
      </w:r>
    </w:p>
    <w:p w14:paraId="6F22323A">
      <w:pPr>
        <w:spacing w:before="98" w:line="222" w:lineRule="auto"/>
        <w:rPr>
          <w:rFonts w:ascii="黑体" w:hAnsi="黑体" w:eastAsia="黑体" w:cs="黑体"/>
          <w:sz w:val="27"/>
          <w:szCs w:val="27"/>
        </w:rPr>
      </w:pPr>
      <w:r>
        <w:rPr>
          <w:rFonts w:ascii="黑体" w:hAnsi="黑体" w:eastAsia="黑体" w:cs="黑体"/>
          <w:spacing w:val="4"/>
          <w:sz w:val="27"/>
          <w:szCs w:val="27"/>
        </w:rPr>
        <w:t>4  综合保障工作要求</w:t>
      </w:r>
    </w:p>
    <w:p w14:paraId="179E5011">
      <w:pPr>
        <w:spacing w:before="65" w:line="222" w:lineRule="auto"/>
        <w:rPr>
          <w:rFonts w:ascii="黑体" w:hAnsi="黑体" w:eastAsia="黑体" w:cs="黑体"/>
          <w:sz w:val="27"/>
          <w:szCs w:val="27"/>
        </w:rPr>
      </w:pPr>
      <w:r>
        <w:rPr>
          <w:rFonts w:ascii="黑体" w:hAnsi="黑体" w:eastAsia="黑体" w:cs="黑体"/>
          <w:spacing w:val="4"/>
          <w:sz w:val="27"/>
          <w:szCs w:val="27"/>
        </w:rPr>
        <w:t>4.1</w:t>
      </w:r>
      <w:r>
        <w:rPr>
          <w:rFonts w:ascii="黑体" w:hAnsi="黑体" w:eastAsia="黑体" w:cs="黑体"/>
          <w:spacing w:val="23"/>
          <w:sz w:val="27"/>
          <w:szCs w:val="27"/>
        </w:rPr>
        <w:t xml:space="preserve">  </w:t>
      </w:r>
      <w:r>
        <w:rPr>
          <w:rFonts w:ascii="黑体" w:hAnsi="黑体" w:eastAsia="黑体" w:cs="黑体"/>
          <w:spacing w:val="4"/>
          <w:sz w:val="27"/>
          <w:szCs w:val="27"/>
        </w:rPr>
        <w:t>开展综合保障工作的目标</w:t>
      </w:r>
    </w:p>
    <w:p w14:paraId="186201DA">
      <w:pPr>
        <w:pStyle w:val="2"/>
        <w:spacing w:before="96" w:line="283" w:lineRule="auto"/>
        <w:ind w:right="80" w:firstLine="570"/>
      </w:pPr>
      <w:r>
        <w:rPr>
          <w:spacing w:val="6"/>
        </w:rPr>
        <w:t>简述订购方对承制方规定的综合保障的目标和任务要</w:t>
      </w:r>
      <w:r>
        <w:rPr>
          <w:spacing w:val="5"/>
        </w:rPr>
        <w:t>求，说明承制方开展</w:t>
      </w:r>
      <w:r>
        <w:t xml:space="preserve"> </w:t>
      </w:r>
      <w:r>
        <w:rPr>
          <w:spacing w:val="1"/>
        </w:rPr>
        <w:t>综合保障工作的目标。</w:t>
      </w:r>
    </w:p>
    <w:p w14:paraId="442D7594">
      <w:pPr>
        <w:spacing w:before="11" w:line="222" w:lineRule="auto"/>
        <w:rPr>
          <w:rFonts w:ascii="黑体" w:hAnsi="黑体" w:eastAsia="黑体" w:cs="黑体"/>
          <w:sz w:val="24"/>
          <w:szCs w:val="24"/>
        </w:rPr>
      </w:pPr>
      <w:r>
        <w:rPr>
          <w:rFonts w:ascii="Arial" w:hAnsi="Arial" w:eastAsia="Arial" w:cs="Arial"/>
          <w:spacing w:val="24"/>
          <w:sz w:val="24"/>
          <w:szCs w:val="24"/>
        </w:rPr>
        <w:t xml:space="preserve">4.2     </w:t>
      </w:r>
      <w:r>
        <w:rPr>
          <w:rFonts w:ascii="黑体" w:hAnsi="黑体" w:eastAsia="黑体" w:cs="黑体"/>
          <w:spacing w:val="24"/>
          <w:sz w:val="24"/>
          <w:szCs w:val="24"/>
        </w:rPr>
        <w:t>开展综合保障工作的基本途径</w:t>
      </w:r>
    </w:p>
    <w:p w14:paraId="6C0647D1">
      <w:pPr>
        <w:pStyle w:val="2"/>
        <w:spacing w:before="102" w:line="219" w:lineRule="auto"/>
        <w:ind w:left="570"/>
      </w:pPr>
      <w:r>
        <w:rPr>
          <w:spacing w:val="-5"/>
        </w:rPr>
        <w:t>说明开展综合保障工作基本途径，列出必须执行的法规、标准等。</w:t>
      </w:r>
    </w:p>
    <w:p w14:paraId="70C99235">
      <w:pPr>
        <w:spacing w:before="80" w:line="222" w:lineRule="auto"/>
        <w:rPr>
          <w:rFonts w:ascii="黑体" w:hAnsi="黑体" w:eastAsia="黑体" w:cs="黑体"/>
          <w:sz w:val="27"/>
          <w:szCs w:val="27"/>
        </w:rPr>
      </w:pPr>
      <w:r>
        <w:rPr>
          <w:rFonts w:ascii="黑体" w:hAnsi="黑体" w:eastAsia="黑体" w:cs="黑体"/>
          <w:spacing w:val="2"/>
          <w:sz w:val="27"/>
          <w:szCs w:val="27"/>
        </w:rPr>
        <w:t>4.3</w:t>
      </w:r>
      <w:r>
        <w:rPr>
          <w:rFonts w:ascii="黑体" w:hAnsi="黑体" w:eastAsia="黑体" w:cs="黑体"/>
          <w:spacing w:val="21"/>
          <w:sz w:val="27"/>
          <w:szCs w:val="27"/>
        </w:rPr>
        <w:t xml:space="preserve">  </w:t>
      </w:r>
      <w:r>
        <w:rPr>
          <w:rFonts w:ascii="黑体" w:hAnsi="黑体" w:eastAsia="黑体" w:cs="黑体"/>
          <w:spacing w:val="2"/>
          <w:sz w:val="27"/>
          <w:szCs w:val="27"/>
        </w:rPr>
        <w:t>综合保障信息管理</w:t>
      </w:r>
    </w:p>
    <w:p w14:paraId="67225CF4">
      <w:pPr>
        <w:pStyle w:val="2"/>
        <w:spacing w:before="97" w:line="219" w:lineRule="auto"/>
        <w:ind w:left="570"/>
      </w:pPr>
      <w:r>
        <w:rPr>
          <w:spacing w:val="1"/>
        </w:rPr>
        <w:t>一般应包括下列主要内容：</w:t>
      </w:r>
    </w:p>
    <w:p w14:paraId="77EBD18D">
      <w:pPr>
        <w:pStyle w:val="2"/>
        <w:spacing w:before="59" w:line="212" w:lineRule="auto"/>
        <w:ind w:right="26"/>
        <w:jc w:val="right"/>
      </w:pPr>
      <w:r>
        <w:rPr>
          <w:rFonts w:ascii="Times New Roman" w:hAnsi="Times New Roman" w:eastAsia="Times New Roman" w:cs="Times New Roman"/>
          <w:spacing w:val="-3"/>
        </w:rPr>
        <w:t xml:space="preserve">a)  </w:t>
      </w:r>
      <w:r>
        <w:rPr>
          <w:spacing w:val="-3"/>
        </w:rPr>
        <w:t>对综合保障信息(包括文件、资料、数据等)进行整理并归档的工作安排；</w:t>
      </w:r>
    </w:p>
    <w:p w14:paraId="0042F1C2">
      <w:pPr>
        <w:pStyle w:val="2"/>
        <w:spacing w:before="80" w:line="212" w:lineRule="auto"/>
        <w:ind w:right="30"/>
        <w:jc w:val="right"/>
      </w:pPr>
      <w:r>
        <w:rPr>
          <w:rFonts w:ascii="Times New Roman" w:hAnsi="Times New Roman" w:eastAsia="Times New Roman" w:cs="Times New Roman"/>
          <w:spacing w:val="4"/>
        </w:rPr>
        <w:t>b)</w:t>
      </w:r>
      <w:r>
        <w:rPr>
          <w:rFonts w:ascii="Times New Roman" w:hAnsi="Times New Roman" w:eastAsia="Times New Roman" w:cs="Times New Roman"/>
          <w:spacing w:val="75"/>
        </w:rPr>
        <w:t xml:space="preserve"> </w:t>
      </w:r>
      <w:r>
        <w:rPr>
          <w:spacing w:val="4"/>
        </w:rPr>
        <w:t>综合保障信息与其他信息系统(例如试验数据收集系统等)之间的接口；</w:t>
      </w:r>
    </w:p>
    <w:p w14:paraId="20526B82">
      <w:pPr>
        <w:pStyle w:val="2"/>
        <w:spacing w:before="100" w:line="212" w:lineRule="auto"/>
        <w:ind w:left="570"/>
      </w:pPr>
      <w:r>
        <w:rPr>
          <w:rFonts w:ascii="Times New Roman" w:hAnsi="Times New Roman" w:eastAsia="Times New Roman" w:cs="Times New Roman"/>
          <w:spacing w:val="4"/>
        </w:rPr>
        <w:t>c)</w:t>
      </w:r>
      <w:r>
        <w:rPr>
          <w:rFonts w:ascii="Times New Roman" w:hAnsi="Times New Roman" w:eastAsia="Times New Roman" w:cs="Times New Roman"/>
          <w:spacing w:val="52"/>
          <w:w w:val="101"/>
        </w:rPr>
        <w:t xml:space="preserve"> </w:t>
      </w:r>
      <w:r>
        <w:rPr>
          <w:spacing w:val="4"/>
        </w:rPr>
        <w:t>及时通报和传递保障性信息及更新的措施。</w:t>
      </w:r>
    </w:p>
    <w:p w14:paraId="46506B03">
      <w:pPr>
        <w:spacing w:before="119" w:line="222" w:lineRule="auto"/>
        <w:rPr>
          <w:rFonts w:ascii="黑体" w:hAnsi="黑体" w:eastAsia="黑体" w:cs="黑体"/>
          <w:sz w:val="27"/>
          <w:szCs w:val="27"/>
        </w:rPr>
      </w:pPr>
      <w:r>
        <w:rPr>
          <w:rFonts w:ascii="黑体" w:hAnsi="黑体" w:eastAsia="黑体" w:cs="黑体"/>
          <w:spacing w:val="6"/>
          <w:sz w:val="27"/>
          <w:szCs w:val="27"/>
        </w:rPr>
        <w:t>4.4  综合保障与其他专业工程的协调</w:t>
      </w:r>
    </w:p>
    <w:p w14:paraId="39AC6CC3">
      <w:pPr>
        <w:pStyle w:val="2"/>
        <w:spacing w:before="75" w:line="287" w:lineRule="auto"/>
        <w:ind w:right="81" w:firstLine="570"/>
      </w:pPr>
      <w:r>
        <w:rPr>
          <w:spacing w:val="-14"/>
        </w:rPr>
        <w:t>说明综合保障工作项目与其他专业工程(例如设计工程、可靠性工程、维修</w:t>
      </w:r>
      <w:r>
        <w:rPr>
          <w:spacing w:val="-15"/>
        </w:rPr>
        <w:t>性工</w:t>
      </w:r>
      <w:r>
        <w:t xml:space="preserve"> </w:t>
      </w:r>
      <w:r>
        <w:rPr>
          <w:spacing w:val="-21"/>
        </w:rPr>
        <w:t>程、测试性工程等)工作项目在进度、工作项目、输入输出及其他方面的协调关系。</w:t>
      </w:r>
    </w:p>
    <w:p w14:paraId="7DCDCF4F">
      <w:pPr>
        <w:spacing w:before="2" w:line="220" w:lineRule="auto"/>
        <w:rPr>
          <w:rFonts w:ascii="黑体" w:hAnsi="黑体" w:eastAsia="黑体" w:cs="黑体"/>
          <w:sz w:val="27"/>
          <w:szCs w:val="27"/>
        </w:rPr>
      </w:pPr>
      <w:r>
        <w:rPr>
          <w:rFonts w:ascii="黑体" w:hAnsi="黑体" w:eastAsia="黑体" w:cs="黑体"/>
          <w:spacing w:val="6"/>
          <w:sz w:val="27"/>
          <w:szCs w:val="27"/>
        </w:rPr>
        <w:t>4.5  对转承制方和供应方综合保障工作的监督与控制</w:t>
      </w:r>
    </w:p>
    <w:p w14:paraId="762C880C">
      <w:pPr>
        <w:spacing w:before="86" w:line="221" w:lineRule="auto"/>
        <w:rPr>
          <w:rFonts w:ascii="黑体" w:hAnsi="黑体" w:eastAsia="黑体" w:cs="黑体"/>
          <w:sz w:val="27"/>
          <w:szCs w:val="27"/>
        </w:rPr>
      </w:pPr>
      <w:r>
        <w:rPr>
          <w:rFonts w:ascii="黑体" w:hAnsi="黑体" w:eastAsia="黑体" w:cs="黑体"/>
          <w:spacing w:val="4"/>
          <w:sz w:val="27"/>
          <w:szCs w:val="27"/>
        </w:rPr>
        <w:t>4.5.1</w:t>
      </w:r>
      <w:r>
        <w:rPr>
          <w:rFonts w:ascii="黑体" w:hAnsi="黑体" w:eastAsia="黑体" w:cs="黑体"/>
          <w:spacing w:val="39"/>
          <w:sz w:val="27"/>
          <w:szCs w:val="27"/>
        </w:rPr>
        <w:t xml:space="preserve">  </w:t>
      </w:r>
      <w:r>
        <w:rPr>
          <w:rFonts w:ascii="黑体" w:hAnsi="黑体" w:eastAsia="黑体" w:cs="黑体"/>
          <w:spacing w:val="4"/>
          <w:sz w:val="27"/>
          <w:szCs w:val="27"/>
        </w:rPr>
        <w:t>对转承制方综合保障工作的监督与控制</w:t>
      </w:r>
    </w:p>
    <w:p w14:paraId="590A2ED1">
      <w:pPr>
        <w:pStyle w:val="2"/>
        <w:spacing w:before="99" w:line="273" w:lineRule="auto"/>
        <w:ind w:firstLine="570"/>
        <w:jc w:val="both"/>
      </w:pPr>
      <w:r>
        <w:rPr>
          <w:spacing w:val="10"/>
        </w:rPr>
        <w:t>明确对转承制方参与的综合保障相关内容(例如综合保障工作机构及</w:t>
      </w:r>
      <w:r>
        <w:rPr>
          <w:spacing w:val="9"/>
        </w:rPr>
        <w:t>其职</w:t>
      </w:r>
      <w:r>
        <w:t xml:space="preserve"> </w:t>
      </w:r>
      <w:r>
        <w:rPr>
          <w:spacing w:val="-10"/>
        </w:rPr>
        <w:t>责、规划保障、综合保障评审计划、保障性试验与评价计划、综合保障</w:t>
      </w:r>
      <w:r>
        <w:rPr>
          <w:spacing w:val="-11"/>
        </w:rPr>
        <w:t>工作的经费</w:t>
      </w:r>
      <w:r>
        <w:t xml:space="preserve">  </w:t>
      </w:r>
      <w:r>
        <w:rPr>
          <w:spacing w:val="-7"/>
        </w:rPr>
        <w:t>预算、部署保障工作的安排、保障交接工作的安排、参与停产后保障工作的安排、</w:t>
      </w:r>
      <w:r>
        <w:rPr>
          <w:spacing w:val="6"/>
        </w:rPr>
        <w:t xml:space="preserve"> </w:t>
      </w:r>
      <w:r>
        <w:rPr>
          <w:spacing w:val="2"/>
        </w:rPr>
        <w:t>提出退役报废处理保障工作的建议、工作进度</w:t>
      </w:r>
      <w:r>
        <w:rPr>
          <w:spacing w:val="1"/>
        </w:rPr>
        <w:t>表等)的工作要求；明确监督与控</w:t>
      </w:r>
      <w:r>
        <w:t xml:space="preserve"> </w:t>
      </w:r>
      <w:r>
        <w:rPr>
          <w:spacing w:val="1"/>
        </w:rPr>
        <w:t>制的方式和方法。</w:t>
      </w:r>
    </w:p>
    <w:p w14:paraId="0296FAF0">
      <w:pPr>
        <w:spacing w:before="42" w:line="221" w:lineRule="auto"/>
        <w:rPr>
          <w:rFonts w:ascii="黑体" w:hAnsi="黑体" w:eastAsia="黑体" w:cs="黑体"/>
          <w:sz w:val="27"/>
          <w:szCs w:val="27"/>
        </w:rPr>
      </w:pPr>
      <w:r>
        <w:rPr>
          <w:rFonts w:ascii="黑体" w:hAnsi="黑体" w:eastAsia="黑体" w:cs="黑体"/>
          <w:spacing w:val="3"/>
          <w:sz w:val="27"/>
          <w:szCs w:val="27"/>
        </w:rPr>
        <w:t>4.5.2</w:t>
      </w:r>
      <w:r>
        <w:rPr>
          <w:rFonts w:ascii="黑体" w:hAnsi="黑体" w:eastAsia="黑体" w:cs="黑体"/>
          <w:spacing w:val="41"/>
          <w:sz w:val="27"/>
          <w:szCs w:val="27"/>
        </w:rPr>
        <w:t xml:space="preserve">  </w:t>
      </w:r>
      <w:r>
        <w:rPr>
          <w:rFonts w:ascii="黑体" w:hAnsi="黑体" w:eastAsia="黑体" w:cs="黑体"/>
          <w:spacing w:val="3"/>
          <w:sz w:val="27"/>
          <w:szCs w:val="27"/>
        </w:rPr>
        <w:t>对供应方综合保障工作的监督与控制</w:t>
      </w:r>
    </w:p>
    <w:p w14:paraId="7EF9DD1F">
      <w:pPr>
        <w:pStyle w:val="2"/>
        <w:spacing w:before="98" w:line="276" w:lineRule="auto"/>
        <w:ind w:firstLine="570"/>
      </w:pPr>
      <w:r>
        <w:rPr>
          <w:spacing w:val="1"/>
        </w:rPr>
        <w:t>明确对供应方参与的综合保障工作计划相关内容(例如规划保障、部署保障</w:t>
      </w:r>
      <w:r>
        <w:rPr>
          <w:spacing w:val="12"/>
        </w:rPr>
        <w:t xml:space="preserve"> </w:t>
      </w:r>
      <w:r>
        <w:rPr>
          <w:spacing w:val="1"/>
        </w:rPr>
        <w:t>工作的安排、参与停产后保障工作的安排、提出退役报</w:t>
      </w:r>
      <w:r>
        <w:t>废处理保障工作的建议、</w:t>
      </w:r>
    </w:p>
    <w:p w14:paraId="6947064C">
      <w:pPr>
        <w:spacing w:line="276" w:lineRule="auto"/>
        <w:sectPr>
          <w:footerReference r:id="rId499" w:type="default"/>
          <w:pgSz w:w="11910" w:h="17130"/>
          <w:pgMar w:top="1437" w:right="1354" w:bottom="1703" w:left="1079" w:header="0" w:footer="1504" w:gutter="0"/>
          <w:cols w:space="720" w:num="1"/>
        </w:sectPr>
      </w:pPr>
    </w:p>
    <w:p w14:paraId="52A043C4">
      <w:pPr>
        <w:pStyle w:val="2"/>
        <w:spacing w:before="85" w:line="219" w:lineRule="auto"/>
      </w:pPr>
      <w:r>
        <w:rPr>
          <w:spacing w:val="-1"/>
        </w:rPr>
        <w:t>工作进度表等)的工作要求；明确监督与控制的方式和</w:t>
      </w:r>
      <w:r>
        <w:rPr>
          <w:spacing w:val="-2"/>
        </w:rPr>
        <w:t>方法。</w:t>
      </w:r>
    </w:p>
    <w:p w14:paraId="26E12396">
      <w:pPr>
        <w:spacing w:before="116" w:line="221" w:lineRule="auto"/>
        <w:rPr>
          <w:rFonts w:ascii="黑体" w:hAnsi="黑体" w:eastAsia="黑体" w:cs="黑体"/>
          <w:sz w:val="24"/>
          <w:szCs w:val="24"/>
        </w:rPr>
      </w:pPr>
      <w:r>
        <w:rPr>
          <w:rFonts w:ascii="黑体" w:hAnsi="黑体" w:eastAsia="黑体" w:cs="黑体"/>
          <w:spacing w:val="31"/>
          <w:sz w:val="24"/>
          <w:szCs w:val="24"/>
        </w:rPr>
        <w:t>5</w:t>
      </w:r>
      <w:r>
        <w:rPr>
          <w:rFonts w:ascii="黑体" w:hAnsi="黑体" w:eastAsia="黑体" w:cs="黑体"/>
          <w:spacing w:val="35"/>
          <w:sz w:val="24"/>
          <w:szCs w:val="24"/>
        </w:rPr>
        <w:t xml:space="preserve">  </w:t>
      </w:r>
      <w:r>
        <w:rPr>
          <w:rFonts w:ascii="黑体" w:hAnsi="黑体" w:eastAsia="黑体" w:cs="黑体"/>
          <w:spacing w:val="31"/>
          <w:sz w:val="24"/>
          <w:szCs w:val="24"/>
        </w:rPr>
        <w:t>综合保障工作机构及其职责</w:t>
      </w:r>
    </w:p>
    <w:p w14:paraId="3E5F7D9A">
      <w:pPr>
        <w:spacing w:before="124" w:line="222" w:lineRule="auto"/>
        <w:rPr>
          <w:rFonts w:ascii="黑体" w:hAnsi="黑体" w:eastAsia="黑体" w:cs="黑体"/>
          <w:sz w:val="27"/>
          <w:szCs w:val="27"/>
        </w:rPr>
      </w:pPr>
      <w:r>
        <w:rPr>
          <w:rFonts w:ascii="黑体" w:hAnsi="黑体" w:eastAsia="黑体" w:cs="黑体"/>
          <w:spacing w:val="1"/>
          <w:sz w:val="27"/>
          <w:szCs w:val="27"/>
        </w:rPr>
        <w:t>5.1</w:t>
      </w:r>
      <w:r>
        <w:rPr>
          <w:rFonts w:ascii="黑体" w:hAnsi="黑体" w:eastAsia="黑体" w:cs="黑体"/>
          <w:spacing w:val="17"/>
          <w:sz w:val="27"/>
          <w:szCs w:val="27"/>
        </w:rPr>
        <w:t xml:space="preserve">  </w:t>
      </w:r>
      <w:r>
        <w:rPr>
          <w:rFonts w:ascii="黑体" w:hAnsi="黑体" w:eastAsia="黑体" w:cs="黑体"/>
          <w:spacing w:val="1"/>
          <w:sz w:val="27"/>
          <w:szCs w:val="27"/>
        </w:rPr>
        <w:t>综合保障管理组</w:t>
      </w:r>
    </w:p>
    <w:p w14:paraId="7CF10B55">
      <w:pPr>
        <w:pStyle w:val="2"/>
        <w:spacing w:before="65" w:line="219" w:lineRule="auto"/>
        <w:ind w:left="560"/>
      </w:pPr>
      <w:r>
        <w:t>明确承制方和供应方参加的综合保障管理组的任务、职责及分工等。</w:t>
      </w:r>
    </w:p>
    <w:p w14:paraId="5B0628BB">
      <w:pPr>
        <w:spacing w:before="158" w:line="221" w:lineRule="auto"/>
        <w:rPr>
          <w:rFonts w:ascii="黑体" w:hAnsi="黑体" w:eastAsia="黑体" w:cs="黑体"/>
          <w:sz w:val="24"/>
          <w:szCs w:val="24"/>
        </w:rPr>
      </w:pPr>
      <w:r>
        <w:rPr>
          <w:rFonts w:ascii="黑体" w:hAnsi="黑体" w:eastAsia="黑体" w:cs="黑体"/>
          <w:spacing w:val="29"/>
          <w:sz w:val="24"/>
          <w:szCs w:val="24"/>
        </w:rPr>
        <w:t>5.2  承制方综合保障工作机构</w:t>
      </w:r>
    </w:p>
    <w:p w14:paraId="6F89DA66">
      <w:pPr>
        <w:pStyle w:val="2"/>
        <w:spacing w:before="96" w:line="219" w:lineRule="auto"/>
        <w:ind w:left="560"/>
      </w:pPr>
      <w:r>
        <w:rPr>
          <w:spacing w:val="1"/>
        </w:rPr>
        <w:t>一般应包括下列主要内容：</w:t>
      </w:r>
    </w:p>
    <w:p w14:paraId="5118AA13">
      <w:pPr>
        <w:pStyle w:val="2"/>
        <w:spacing w:before="79" w:line="212" w:lineRule="auto"/>
        <w:ind w:left="560"/>
      </w:pPr>
      <w:r>
        <w:rPr>
          <w:rFonts w:ascii="Times New Roman" w:hAnsi="Times New Roman" w:eastAsia="Times New Roman" w:cs="Times New Roman"/>
          <w:spacing w:val="-1"/>
        </w:rPr>
        <w:t xml:space="preserve">a)  </w:t>
      </w:r>
      <w:r>
        <w:rPr>
          <w:spacing w:val="-1"/>
        </w:rPr>
        <w:t>承制方综合保障工作机构的任务、职责及分工等；</w:t>
      </w:r>
    </w:p>
    <w:p w14:paraId="43E2D35A">
      <w:pPr>
        <w:pStyle w:val="2"/>
        <w:spacing w:before="109" w:line="212" w:lineRule="auto"/>
        <w:ind w:left="560"/>
      </w:pPr>
      <w:r>
        <w:rPr>
          <w:rFonts w:ascii="Times New Roman" w:hAnsi="Times New Roman" w:eastAsia="Times New Roman" w:cs="Times New Roman"/>
          <w:spacing w:val="4"/>
        </w:rPr>
        <w:t xml:space="preserve">b)  </w:t>
      </w:r>
      <w:r>
        <w:rPr>
          <w:spacing w:val="4"/>
        </w:rPr>
        <w:t>承制方综合保障工作机构对转承制方及供应方的监督与控制要求；</w:t>
      </w:r>
    </w:p>
    <w:p w14:paraId="768D1A30">
      <w:pPr>
        <w:pStyle w:val="2"/>
        <w:spacing w:before="10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68"/>
        </w:rPr>
        <w:t xml:space="preserve"> </w:t>
      </w:r>
      <w:r>
        <w:rPr>
          <w:spacing w:val="-4"/>
        </w:rPr>
        <w:t>综合保障工作机构的主要工作方式、开展活动的计划、活动频度等；</w:t>
      </w:r>
    </w:p>
    <w:p w14:paraId="2CB21947">
      <w:pPr>
        <w:pStyle w:val="2"/>
        <w:spacing w:before="110" w:line="212" w:lineRule="auto"/>
        <w:ind w:left="560"/>
      </w:pPr>
      <w:r>
        <w:rPr>
          <w:rFonts w:ascii="Times New Roman" w:hAnsi="Times New Roman" w:eastAsia="Times New Roman" w:cs="Times New Roman"/>
          <w:spacing w:val="4"/>
        </w:rPr>
        <w:t xml:space="preserve">d)  </w:t>
      </w:r>
      <w:r>
        <w:rPr>
          <w:spacing w:val="4"/>
        </w:rPr>
        <w:t>与装备其他工作机构之间的工作关系。</w:t>
      </w:r>
    </w:p>
    <w:p w14:paraId="41B742A1">
      <w:pPr>
        <w:spacing w:before="150" w:line="222" w:lineRule="auto"/>
        <w:rPr>
          <w:rFonts w:ascii="黑体" w:hAnsi="黑体" w:eastAsia="黑体" w:cs="黑体"/>
          <w:sz w:val="27"/>
          <w:szCs w:val="27"/>
        </w:rPr>
      </w:pPr>
      <w:r>
        <w:rPr>
          <w:rFonts w:ascii="黑体" w:hAnsi="黑体" w:eastAsia="黑体" w:cs="黑体"/>
          <w:spacing w:val="5"/>
          <w:sz w:val="27"/>
          <w:szCs w:val="27"/>
        </w:rPr>
        <w:t>6</w:t>
      </w:r>
      <w:r>
        <w:rPr>
          <w:rFonts w:ascii="黑体" w:hAnsi="黑体" w:eastAsia="黑体" w:cs="黑体"/>
          <w:spacing w:val="14"/>
          <w:sz w:val="27"/>
          <w:szCs w:val="27"/>
        </w:rPr>
        <w:t xml:space="preserve">  </w:t>
      </w:r>
      <w:r>
        <w:rPr>
          <w:rFonts w:ascii="黑体" w:hAnsi="黑体" w:eastAsia="黑体" w:cs="黑体"/>
          <w:spacing w:val="5"/>
          <w:sz w:val="27"/>
          <w:szCs w:val="27"/>
        </w:rPr>
        <w:t>保障性要求</w:t>
      </w:r>
    </w:p>
    <w:p w14:paraId="6CD25051">
      <w:pPr>
        <w:pStyle w:val="2"/>
        <w:spacing w:before="96" w:line="289" w:lineRule="auto"/>
        <w:ind w:right="90" w:firstLine="560"/>
      </w:pPr>
      <w:r>
        <w:rPr>
          <w:spacing w:val="6"/>
        </w:rPr>
        <w:t>应明确研制总要求论证时承制方参与论证工作的要求</w:t>
      </w:r>
      <w:r>
        <w:rPr>
          <w:spacing w:val="5"/>
        </w:rPr>
        <w:t>、内容和应开展的工</w:t>
      </w:r>
      <w:r>
        <w:t xml:space="preserve"> </w:t>
      </w:r>
      <w:r>
        <w:rPr>
          <w:spacing w:val="1"/>
        </w:rPr>
        <w:t>作。研制总要求论证中含有保障性要求论证内容，承制</w:t>
      </w:r>
      <w:r>
        <w:t>方应派相应人员参与。</w:t>
      </w:r>
    </w:p>
    <w:p w14:paraId="6CA457E7">
      <w:pPr>
        <w:spacing w:before="14" w:line="223" w:lineRule="auto"/>
        <w:rPr>
          <w:rFonts w:ascii="黑体" w:hAnsi="黑体" w:eastAsia="黑体" w:cs="黑体"/>
          <w:sz w:val="25"/>
          <w:szCs w:val="25"/>
        </w:rPr>
      </w:pPr>
      <w:r>
        <w:rPr>
          <w:rFonts w:ascii="黑体" w:hAnsi="黑体" w:eastAsia="黑体" w:cs="黑体"/>
          <w:spacing w:val="17"/>
          <w:sz w:val="25"/>
          <w:szCs w:val="25"/>
        </w:rPr>
        <w:t>7</w:t>
      </w:r>
      <w:r>
        <w:rPr>
          <w:rFonts w:ascii="黑体" w:hAnsi="黑体" w:eastAsia="黑体" w:cs="黑体"/>
          <w:spacing w:val="28"/>
          <w:sz w:val="25"/>
          <w:szCs w:val="25"/>
        </w:rPr>
        <w:t xml:space="preserve">  </w:t>
      </w:r>
      <w:r>
        <w:rPr>
          <w:rFonts w:ascii="黑体" w:hAnsi="黑体" w:eastAsia="黑体" w:cs="黑体"/>
          <w:spacing w:val="17"/>
          <w:sz w:val="25"/>
          <w:szCs w:val="25"/>
        </w:rPr>
        <w:t>规划保障</w:t>
      </w:r>
    </w:p>
    <w:p w14:paraId="329432D4">
      <w:pPr>
        <w:pStyle w:val="2"/>
        <w:spacing w:before="98" w:line="219" w:lineRule="auto"/>
        <w:ind w:left="560"/>
      </w:pPr>
      <w:r>
        <w:rPr>
          <w:spacing w:val="1"/>
        </w:rPr>
        <w:t>一般应包括下列主要内容：</w:t>
      </w:r>
    </w:p>
    <w:p w14:paraId="377488FC">
      <w:pPr>
        <w:pStyle w:val="2"/>
        <w:spacing w:before="99" w:line="267" w:lineRule="auto"/>
        <w:ind w:right="93" w:firstLine="560"/>
      </w:pPr>
      <w:r>
        <w:rPr>
          <w:rFonts w:ascii="Times New Roman" w:hAnsi="Times New Roman" w:eastAsia="Times New Roman" w:cs="Times New Roman"/>
          <w:spacing w:val="3"/>
        </w:rPr>
        <w:t xml:space="preserve">a)  </w:t>
      </w:r>
      <w:r>
        <w:rPr>
          <w:spacing w:val="3"/>
        </w:rPr>
        <w:t>规划保障工作在各阶段应由承制方完成的任务，主要包括：1)在方</w:t>
      </w:r>
      <w:r>
        <w:rPr>
          <w:spacing w:val="2"/>
        </w:rPr>
        <w:t>案阶</w:t>
      </w:r>
      <w:r>
        <w:t xml:space="preserve"> </w:t>
      </w:r>
      <w:r>
        <w:rPr>
          <w:spacing w:val="1"/>
        </w:rPr>
        <w:t>段，应配合订购方确定装备的保障方案(包括各资源要素方案);2)在工程研制结</w:t>
      </w:r>
      <w:r>
        <w:rPr>
          <w:spacing w:val="2"/>
        </w:rPr>
        <w:t xml:space="preserve"> </w:t>
      </w:r>
      <w:r>
        <w:rPr>
          <w:spacing w:val="3"/>
        </w:rPr>
        <w:t>束时应完成装备的保障计划。</w:t>
      </w:r>
    </w:p>
    <w:p w14:paraId="0055E552">
      <w:pPr>
        <w:pStyle w:val="2"/>
        <w:spacing w:before="78" w:line="271" w:lineRule="auto"/>
        <w:ind w:right="92" w:firstLine="560"/>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承制方“规划保障”工作在各阶段采用的保障性分析</w:t>
      </w:r>
      <w:r>
        <w:rPr>
          <w:spacing w:val="2"/>
        </w:rPr>
        <w:t>工作项目，主要包</w:t>
      </w:r>
      <w:r>
        <w:t xml:space="preserve"> </w:t>
      </w:r>
      <w:r>
        <w:rPr>
          <w:spacing w:val="-12"/>
        </w:rPr>
        <w:t>括：1)在方案阶段，通过开展</w:t>
      </w:r>
      <w:r>
        <w:rPr>
          <w:spacing w:val="-79"/>
        </w:rPr>
        <w:t xml:space="preserve"> </w:t>
      </w:r>
      <w:r>
        <w:rPr>
          <w:rFonts w:ascii="Times New Roman" w:hAnsi="Times New Roman" w:eastAsia="Times New Roman" w:cs="Times New Roman"/>
          <w:spacing w:val="-12"/>
        </w:rPr>
        <w:t>GJB   1371</w:t>
      </w:r>
      <w:r>
        <w:rPr>
          <w:spacing w:val="-12"/>
        </w:rPr>
        <w:t>中30</w:t>
      </w:r>
      <w:r>
        <w:rPr>
          <w:spacing w:val="-13"/>
        </w:rPr>
        <w:t>1“确定功能要求”、302“确定备选保</w:t>
      </w:r>
      <w:r>
        <w:t xml:space="preserve"> </w:t>
      </w:r>
      <w:r>
        <w:rPr>
          <w:spacing w:val="-13"/>
        </w:rPr>
        <w:t>障方案”、303“备选方案的评价与权衡”等工作，确定优化的保障方案；2)在工程</w:t>
      </w:r>
      <w:r>
        <w:t xml:space="preserve"> </w:t>
      </w:r>
      <w:r>
        <w:rPr>
          <w:spacing w:val="-6"/>
        </w:rPr>
        <w:t>研制中通过开展</w:t>
      </w:r>
      <w:r>
        <w:rPr>
          <w:rFonts w:ascii="Times New Roman" w:hAnsi="Times New Roman" w:eastAsia="Times New Roman" w:cs="Times New Roman"/>
          <w:spacing w:val="-6"/>
        </w:rPr>
        <w:t>GJB1371</w:t>
      </w:r>
      <w:r>
        <w:rPr>
          <w:rFonts w:ascii="Times New Roman" w:hAnsi="Times New Roman" w:eastAsia="Times New Roman" w:cs="Times New Roman"/>
          <w:spacing w:val="35"/>
          <w:w w:val="101"/>
        </w:rPr>
        <w:t xml:space="preserve">  </w:t>
      </w:r>
      <w:r>
        <w:rPr>
          <w:spacing w:val="-6"/>
        </w:rPr>
        <w:t>中401“使用维修工作分析”、402“早期现场分析”等</w:t>
      </w:r>
      <w:r>
        <w:t xml:space="preserve"> </w:t>
      </w:r>
      <w:r>
        <w:rPr>
          <w:spacing w:val="-9"/>
        </w:rPr>
        <w:t>工作，制定装备的保障计划。</w:t>
      </w:r>
    </w:p>
    <w:p w14:paraId="13CB7DF0">
      <w:pPr>
        <w:pStyle w:val="2"/>
        <w:spacing w:before="131" w:line="212" w:lineRule="auto"/>
        <w:ind w:right="10"/>
        <w:jc w:val="right"/>
        <w:rPr>
          <w:sz w:val="25"/>
          <w:szCs w:val="25"/>
        </w:rPr>
      </w:pPr>
      <w:r>
        <w:rPr>
          <w:rFonts w:ascii="Times New Roman" w:hAnsi="Times New Roman" w:eastAsia="Times New Roman" w:cs="Times New Roman"/>
          <w:spacing w:val="24"/>
          <w:sz w:val="25"/>
          <w:szCs w:val="25"/>
        </w:rPr>
        <w:t xml:space="preserve">c)  </w:t>
      </w:r>
      <w:r>
        <w:rPr>
          <w:spacing w:val="24"/>
          <w:sz w:val="25"/>
          <w:szCs w:val="25"/>
        </w:rPr>
        <w:t>承制方在整个规划保障工作中应完成和提交的报告或资料</w:t>
      </w:r>
      <w:r>
        <w:rPr>
          <w:spacing w:val="23"/>
          <w:sz w:val="25"/>
          <w:szCs w:val="25"/>
        </w:rPr>
        <w:t>，主要包括：</w:t>
      </w:r>
    </w:p>
    <w:p w14:paraId="3474DBB7">
      <w:pPr>
        <w:pStyle w:val="2"/>
        <w:spacing w:before="141" w:line="280" w:lineRule="auto"/>
      </w:pPr>
      <w:r>
        <w:rPr>
          <w:spacing w:val="-3"/>
        </w:rPr>
        <w:t>1)新装备的人力和人员需求报告；2)初始和后续的备件和消耗品清单；3)保障设</w:t>
      </w:r>
      <w:r>
        <w:rPr>
          <w:spacing w:val="7"/>
        </w:rPr>
        <w:t xml:space="preserve">  </w:t>
      </w:r>
      <w:r>
        <w:rPr>
          <w:spacing w:val="1"/>
        </w:rPr>
        <w:t>备配套目录；4)保障设备研制与采购建议书；5)初</w:t>
      </w:r>
      <w:r>
        <w:t>始训练计划和训练器材清单；</w:t>
      </w:r>
    </w:p>
    <w:p w14:paraId="0184E142">
      <w:pPr>
        <w:pStyle w:val="2"/>
        <w:spacing w:line="276" w:lineRule="auto"/>
        <w:ind w:right="122"/>
        <w:jc w:val="both"/>
      </w:pPr>
      <w:r>
        <w:rPr>
          <w:spacing w:val="-3"/>
        </w:rPr>
        <w:t>6)技术资料配套目录；7)保障设施需求报告；8)计算机资源保障需求报告；9)装</w:t>
      </w:r>
      <w:r>
        <w:rPr>
          <w:spacing w:val="18"/>
        </w:rPr>
        <w:t xml:space="preserve"> </w:t>
      </w:r>
      <w:r>
        <w:rPr>
          <w:spacing w:val="-13"/>
        </w:rPr>
        <w:t>备及其保障设备、备件等的包装、装卸、贮存和运输程序、</w:t>
      </w:r>
      <w:r>
        <w:rPr>
          <w:spacing w:val="-14"/>
        </w:rPr>
        <w:t>方法和所需资源；10)预</w:t>
      </w:r>
      <w:r>
        <w:t xml:space="preserve"> </w:t>
      </w:r>
      <w:r>
        <w:rPr>
          <w:spacing w:val="-4"/>
        </w:rPr>
        <w:t>防性维修大纲；11)其他报告或资料。</w:t>
      </w:r>
    </w:p>
    <w:p w14:paraId="0E1CF6FB">
      <w:pPr>
        <w:spacing w:line="368" w:lineRule="exact"/>
        <w:rPr>
          <w:rFonts w:ascii="黑体" w:hAnsi="黑体" w:eastAsia="黑体" w:cs="黑体"/>
          <w:sz w:val="27"/>
          <w:szCs w:val="27"/>
        </w:rPr>
      </w:pPr>
      <w:r>
        <w:rPr>
          <w:rFonts w:ascii="Arial" w:hAnsi="Arial" w:eastAsia="Arial" w:cs="Arial"/>
          <w:spacing w:val="3"/>
          <w:position w:val="1"/>
          <w:sz w:val="27"/>
          <w:szCs w:val="27"/>
        </w:rPr>
        <w:t>8</w:t>
      </w:r>
      <w:r>
        <w:rPr>
          <w:rFonts w:ascii="Arial" w:hAnsi="Arial" w:eastAsia="Arial" w:cs="Arial"/>
          <w:spacing w:val="21"/>
          <w:position w:val="1"/>
          <w:sz w:val="27"/>
          <w:szCs w:val="27"/>
        </w:rPr>
        <w:t xml:space="preserve">   </w:t>
      </w:r>
      <w:r>
        <w:rPr>
          <w:rFonts w:ascii="黑体" w:hAnsi="黑体" w:eastAsia="黑体" w:cs="黑体"/>
          <w:spacing w:val="3"/>
          <w:position w:val="1"/>
          <w:sz w:val="27"/>
          <w:szCs w:val="27"/>
        </w:rPr>
        <w:t>研制与提供保障资源</w:t>
      </w:r>
    </w:p>
    <w:p w14:paraId="3ABE7E9C">
      <w:pPr>
        <w:pStyle w:val="2"/>
        <w:spacing w:before="113" w:line="219" w:lineRule="auto"/>
        <w:ind w:left="560"/>
      </w:pPr>
      <w:r>
        <w:rPr>
          <w:spacing w:val="1"/>
        </w:rPr>
        <w:t>一般应包括下列主要内容：</w:t>
      </w:r>
    </w:p>
    <w:p w14:paraId="2F05DAD6">
      <w:pPr>
        <w:pStyle w:val="2"/>
        <w:spacing w:before="69" w:line="212" w:lineRule="auto"/>
        <w:ind w:left="560"/>
      </w:pPr>
      <w:r>
        <w:rPr>
          <w:rFonts w:ascii="Times New Roman" w:hAnsi="Times New Roman" w:eastAsia="Times New Roman" w:cs="Times New Roman"/>
          <w:spacing w:val="4"/>
        </w:rPr>
        <w:t xml:space="preserve">a)  </w:t>
      </w:r>
      <w:r>
        <w:rPr>
          <w:spacing w:val="4"/>
        </w:rPr>
        <w:t>工程研制阶段进行保障资源的研制；</w:t>
      </w:r>
    </w:p>
    <w:p w14:paraId="358E76BB">
      <w:pPr>
        <w:pStyle w:val="2"/>
        <w:spacing w:before="130"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58"/>
        </w:rPr>
        <w:t xml:space="preserve"> </w:t>
      </w:r>
      <w:r>
        <w:rPr>
          <w:spacing w:val="-4"/>
        </w:rPr>
        <w:t>装备部署时，根据订购方要求筹措保障资源，完成人员培训</w:t>
      </w:r>
      <w:r>
        <w:rPr>
          <w:spacing w:val="-5"/>
        </w:rPr>
        <w:t>等。</w:t>
      </w:r>
    </w:p>
    <w:p w14:paraId="4D747934">
      <w:pPr>
        <w:spacing w:line="212" w:lineRule="auto"/>
        <w:sectPr>
          <w:footerReference r:id="rId500" w:type="default"/>
          <w:pgSz w:w="11910" w:h="17130"/>
          <w:pgMar w:top="1456" w:right="1064" w:bottom="1613" w:left="1370" w:header="0" w:footer="1414" w:gutter="0"/>
          <w:cols w:space="720" w:num="1"/>
        </w:sectPr>
      </w:pPr>
    </w:p>
    <w:p w14:paraId="79894093">
      <w:pPr>
        <w:spacing w:before="89" w:line="327" w:lineRule="exact"/>
        <w:rPr>
          <w:rFonts w:ascii="黑体" w:hAnsi="黑体" w:eastAsia="黑体" w:cs="黑体"/>
          <w:sz w:val="24"/>
          <w:szCs w:val="24"/>
        </w:rPr>
      </w:pPr>
      <w:r>
        <w:rPr>
          <w:rFonts w:ascii="Arial" w:hAnsi="Arial" w:eastAsia="Arial" w:cs="Arial"/>
          <w:spacing w:val="20"/>
          <w:position w:val="1"/>
          <w:sz w:val="24"/>
          <w:szCs w:val="24"/>
        </w:rPr>
        <w:t xml:space="preserve">9    </w:t>
      </w:r>
      <w:r>
        <w:rPr>
          <w:rFonts w:ascii="黑体" w:hAnsi="黑体" w:eastAsia="黑体" w:cs="黑体"/>
          <w:spacing w:val="20"/>
          <w:position w:val="1"/>
          <w:sz w:val="24"/>
          <w:szCs w:val="24"/>
        </w:rPr>
        <w:t>综合保障评审</w:t>
      </w:r>
    </w:p>
    <w:p w14:paraId="1783D140">
      <w:pPr>
        <w:pStyle w:val="2"/>
        <w:spacing w:before="108" w:line="219" w:lineRule="auto"/>
        <w:ind w:left="560"/>
      </w:pPr>
      <w:r>
        <w:rPr>
          <w:spacing w:val="1"/>
        </w:rPr>
        <w:t>一般应包括下列主要内容：</w:t>
      </w:r>
    </w:p>
    <w:p w14:paraId="54A9BEFB">
      <w:pPr>
        <w:pStyle w:val="2"/>
        <w:spacing w:before="59" w:line="284" w:lineRule="auto"/>
        <w:ind w:right="120" w:firstLine="560"/>
        <w:rPr>
          <w:sz w:val="25"/>
          <w:szCs w:val="25"/>
        </w:rPr>
      </w:pPr>
      <w:r>
        <w:rPr>
          <w:rFonts w:ascii="Times New Roman" w:hAnsi="Times New Roman" w:eastAsia="Times New Roman" w:cs="Times New Roman"/>
          <w:spacing w:val="21"/>
          <w:sz w:val="25"/>
          <w:szCs w:val="25"/>
        </w:rPr>
        <w:t xml:space="preserve">a)  </w:t>
      </w:r>
      <w:r>
        <w:rPr>
          <w:spacing w:val="21"/>
          <w:sz w:val="25"/>
          <w:szCs w:val="25"/>
        </w:rPr>
        <w:t>在装备寿命周期中，承制方对订购方主持的综合保障评审和承制方内部</w:t>
      </w:r>
      <w:r>
        <w:rPr>
          <w:spacing w:val="18"/>
          <w:sz w:val="25"/>
          <w:szCs w:val="25"/>
        </w:rPr>
        <w:t xml:space="preserve"> 综合保障评审应制定综合保障评审计划，主要包括评审项目、评审目的、时间时</w:t>
      </w:r>
      <w:r>
        <w:rPr>
          <w:spacing w:val="3"/>
          <w:sz w:val="25"/>
          <w:szCs w:val="25"/>
        </w:rPr>
        <w:t xml:space="preserve"> </w:t>
      </w:r>
      <w:r>
        <w:rPr>
          <w:spacing w:val="9"/>
          <w:sz w:val="25"/>
          <w:szCs w:val="25"/>
        </w:rPr>
        <w:t>机、评审内容和评审判据等；</w:t>
      </w:r>
    </w:p>
    <w:p w14:paraId="7589E2CB">
      <w:pPr>
        <w:pStyle w:val="2"/>
        <w:spacing w:before="54" w:line="257" w:lineRule="auto"/>
        <w:ind w:right="124" w:firstLine="560"/>
      </w:pPr>
      <w:r>
        <w:rPr>
          <w:rFonts w:ascii="Times New Roman" w:hAnsi="Times New Roman" w:eastAsia="Times New Roman" w:cs="Times New Roman"/>
          <w:spacing w:val="3"/>
        </w:rPr>
        <w:t xml:space="preserve">b)  </w:t>
      </w:r>
      <w:r>
        <w:rPr>
          <w:spacing w:val="3"/>
        </w:rPr>
        <w:t>对转承制方综合保障评审或供应方</w:t>
      </w:r>
      <w:r>
        <w:rPr>
          <w:spacing w:val="2"/>
        </w:rPr>
        <w:t>综合保障评审的要求和安排，承制方</w:t>
      </w:r>
      <w:r>
        <w:t xml:space="preserve"> </w:t>
      </w:r>
      <w:r>
        <w:rPr>
          <w:spacing w:val="2"/>
        </w:rPr>
        <w:t>应在综合保障评审计划中明确；</w:t>
      </w:r>
    </w:p>
    <w:p w14:paraId="7E49EA8B">
      <w:pPr>
        <w:pStyle w:val="2"/>
        <w:spacing w:before="99" w:line="250" w:lineRule="auto"/>
        <w:ind w:right="123" w:firstLine="560"/>
      </w:pPr>
      <w:r>
        <w:rPr>
          <w:rFonts w:ascii="Times New Roman" w:hAnsi="Times New Roman" w:eastAsia="Times New Roman" w:cs="Times New Roman"/>
          <w:spacing w:val="3"/>
        </w:rPr>
        <w:t>c</w:t>
      </w:r>
      <w:r>
        <w:rPr>
          <w:spacing w:val="3"/>
        </w:rPr>
        <w:t>)</w:t>
      </w:r>
      <w:r>
        <w:rPr>
          <w:spacing w:val="-39"/>
        </w:rPr>
        <w:t xml:space="preserve"> </w:t>
      </w:r>
      <w:r>
        <w:rPr>
          <w:spacing w:val="3"/>
        </w:rPr>
        <w:t>对订购方主持的评审，应明确承制方应如何根据订购方的要求进行综合</w:t>
      </w:r>
      <w:r>
        <w:t xml:space="preserve"> </w:t>
      </w:r>
      <w:r>
        <w:rPr>
          <w:spacing w:val="3"/>
        </w:rPr>
        <w:t>保障评审的准备及如何配合订购方开展有关评审工作；</w:t>
      </w:r>
    </w:p>
    <w:p w14:paraId="3C370FE6">
      <w:pPr>
        <w:pStyle w:val="2"/>
        <w:spacing w:before="49" w:line="212" w:lineRule="auto"/>
        <w:ind w:left="560"/>
      </w:pPr>
      <w:r>
        <w:rPr>
          <w:rFonts w:ascii="Times New Roman" w:hAnsi="Times New Roman" w:eastAsia="Times New Roman" w:cs="Times New Roman"/>
          <w:spacing w:val="4"/>
        </w:rPr>
        <w:t xml:space="preserve">d)  </w:t>
      </w:r>
      <w:r>
        <w:rPr>
          <w:spacing w:val="4"/>
        </w:rPr>
        <w:t>综合保障评审与其他相关专业评审结合进</w:t>
      </w:r>
      <w:r>
        <w:rPr>
          <w:spacing w:val="3"/>
        </w:rPr>
        <w:t>行。</w:t>
      </w:r>
    </w:p>
    <w:p w14:paraId="6A71E5B0">
      <w:pPr>
        <w:spacing w:before="118" w:line="221" w:lineRule="auto"/>
        <w:rPr>
          <w:rFonts w:ascii="黑体" w:hAnsi="黑体" w:eastAsia="黑体" w:cs="黑体"/>
          <w:sz w:val="27"/>
          <w:szCs w:val="27"/>
        </w:rPr>
      </w:pPr>
      <w:r>
        <w:rPr>
          <w:rFonts w:ascii="黑体" w:hAnsi="黑体" w:eastAsia="黑体" w:cs="黑体"/>
          <w:spacing w:val="1"/>
          <w:sz w:val="27"/>
          <w:szCs w:val="27"/>
        </w:rPr>
        <w:t>10</w:t>
      </w:r>
      <w:r>
        <w:rPr>
          <w:rFonts w:ascii="黑体" w:hAnsi="黑体" w:eastAsia="黑体" w:cs="黑体"/>
          <w:spacing w:val="24"/>
          <w:sz w:val="27"/>
          <w:szCs w:val="27"/>
        </w:rPr>
        <w:t xml:space="preserve">  </w:t>
      </w:r>
      <w:r>
        <w:rPr>
          <w:rFonts w:ascii="黑体" w:hAnsi="黑体" w:eastAsia="黑体" w:cs="黑体"/>
          <w:spacing w:val="1"/>
          <w:sz w:val="27"/>
          <w:szCs w:val="27"/>
        </w:rPr>
        <w:t>保障性试验与评价</w:t>
      </w:r>
    </w:p>
    <w:p w14:paraId="7BBAC05D">
      <w:pPr>
        <w:pStyle w:val="2"/>
        <w:spacing w:before="99" w:line="219" w:lineRule="auto"/>
        <w:ind w:left="560"/>
      </w:pPr>
      <w:r>
        <w:rPr>
          <w:spacing w:val="1"/>
        </w:rPr>
        <w:t>一般应包括下列主要内容：</w:t>
      </w:r>
    </w:p>
    <w:p w14:paraId="152862D8">
      <w:pPr>
        <w:pStyle w:val="2"/>
        <w:spacing w:before="59" w:line="259" w:lineRule="auto"/>
        <w:ind w:right="125" w:firstLine="560"/>
      </w:pPr>
      <w:r>
        <w:rPr>
          <w:rFonts w:ascii="Times New Roman" w:hAnsi="Times New Roman" w:eastAsia="Times New Roman" w:cs="Times New Roman"/>
          <w:spacing w:val="3"/>
        </w:rPr>
        <w:t xml:space="preserve">a)  </w:t>
      </w:r>
      <w:r>
        <w:rPr>
          <w:spacing w:val="3"/>
        </w:rPr>
        <w:t>在装备寿命周期中，承制方根据订购方保障性试验与评价要求，制</w:t>
      </w:r>
      <w:r>
        <w:rPr>
          <w:spacing w:val="2"/>
        </w:rPr>
        <w:t>定保</w:t>
      </w:r>
      <w:r>
        <w:t xml:space="preserve"> </w:t>
      </w:r>
      <w:r>
        <w:rPr>
          <w:spacing w:val="-5"/>
        </w:rPr>
        <w:t>障性试验与评价计划，主要包括试验方法、时间节点和试验内容等；</w:t>
      </w:r>
    </w:p>
    <w:p w14:paraId="0B50221A">
      <w:pPr>
        <w:pStyle w:val="2"/>
        <w:spacing w:before="43" w:line="212" w:lineRule="auto"/>
        <w:ind w:left="560"/>
      </w:pPr>
      <w:r>
        <w:rPr>
          <w:rFonts w:ascii="Times New Roman" w:hAnsi="Times New Roman" w:eastAsia="Times New Roman" w:cs="Times New Roman"/>
          <w:spacing w:val="4"/>
        </w:rPr>
        <w:t xml:space="preserve">b)  </w:t>
      </w:r>
      <w:r>
        <w:rPr>
          <w:spacing w:val="4"/>
        </w:rPr>
        <w:t>承制方需配合订购方进行保障性试验与评价的有关工作；</w:t>
      </w:r>
    </w:p>
    <w:p w14:paraId="36C6F317">
      <w:pPr>
        <w:pStyle w:val="2"/>
        <w:spacing w:before="109" w:line="259" w:lineRule="auto"/>
        <w:ind w:right="123" w:firstLine="560"/>
      </w:pPr>
      <w:r>
        <w:rPr>
          <w:rFonts w:ascii="Times New Roman" w:hAnsi="Times New Roman" w:eastAsia="Times New Roman" w:cs="Times New Roman"/>
          <w:spacing w:val="3"/>
        </w:rPr>
        <w:t xml:space="preserve">c)  </w:t>
      </w:r>
      <w:r>
        <w:rPr>
          <w:spacing w:val="3"/>
        </w:rPr>
        <w:t>对承制方保障性试验与评价，应明确保障性试验与评价的实施机构及其</w:t>
      </w:r>
      <w:r>
        <w:t xml:space="preserve"> </w:t>
      </w:r>
      <w:r>
        <w:rPr>
          <w:spacing w:val="-12"/>
        </w:rPr>
        <w:t>职责、试验项目要求、试验方法、进度要求和评价准则等；</w:t>
      </w:r>
    </w:p>
    <w:p w14:paraId="183C95BC">
      <w:pPr>
        <w:pStyle w:val="2"/>
        <w:spacing w:before="63" w:line="212" w:lineRule="auto"/>
        <w:ind w:left="560"/>
      </w:pPr>
      <w:r>
        <w:rPr>
          <w:rFonts w:ascii="Times New Roman" w:hAnsi="Times New Roman" w:eastAsia="Times New Roman" w:cs="Times New Roman"/>
          <w:spacing w:val="4"/>
        </w:rPr>
        <w:t xml:space="preserve">d)  </w:t>
      </w:r>
      <w:r>
        <w:rPr>
          <w:spacing w:val="4"/>
        </w:rPr>
        <w:t>保障性试验应与其他相关试验结合进行；</w:t>
      </w:r>
    </w:p>
    <w:p w14:paraId="10A065D1">
      <w:pPr>
        <w:pStyle w:val="2"/>
        <w:spacing w:before="80" w:line="212" w:lineRule="auto"/>
        <w:ind w:left="560"/>
      </w:pPr>
      <w:r>
        <w:rPr>
          <w:rFonts w:ascii="Times New Roman" w:hAnsi="Times New Roman" w:eastAsia="Times New Roman" w:cs="Times New Roman"/>
          <w:spacing w:val="4"/>
        </w:rPr>
        <w:t xml:space="preserve">e)  </w:t>
      </w:r>
      <w:r>
        <w:rPr>
          <w:spacing w:val="4"/>
        </w:rPr>
        <w:t>明确根据试验与评价结果解决保障性问题应采取的措施。</w:t>
      </w:r>
    </w:p>
    <w:p w14:paraId="797BE56B">
      <w:pPr>
        <w:spacing w:before="168" w:line="222" w:lineRule="auto"/>
        <w:rPr>
          <w:rFonts w:ascii="黑体" w:hAnsi="黑体" w:eastAsia="黑体" w:cs="黑体"/>
          <w:sz w:val="24"/>
          <w:szCs w:val="24"/>
        </w:rPr>
      </w:pPr>
      <w:r>
        <w:rPr>
          <w:rFonts w:ascii="Arial" w:hAnsi="Arial" w:eastAsia="Arial" w:cs="Arial"/>
          <w:spacing w:val="25"/>
          <w:sz w:val="24"/>
          <w:szCs w:val="24"/>
        </w:rPr>
        <w:t xml:space="preserve">11    </w:t>
      </w:r>
      <w:r>
        <w:rPr>
          <w:rFonts w:ascii="黑体" w:hAnsi="黑体" w:eastAsia="黑体" w:cs="黑体"/>
          <w:spacing w:val="25"/>
          <w:sz w:val="24"/>
          <w:szCs w:val="24"/>
        </w:rPr>
        <w:t>综合保障工作的经费预算</w:t>
      </w:r>
    </w:p>
    <w:p w14:paraId="0D20B61A">
      <w:pPr>
        <w:pStyle w:val="2"/>
        <w:spacing w:before="94" w:line="219" w:lineRule="auto"/>
        <w:ind w:left="560"/>
      </w:pPr>
      <w:r>
        <w:rPr>
          <w:spacing w:val="1"/>
        </w:rPr>
        <w:t>一般应包括下列主要内容：</w:t>
      </w:r>
    </w:p>
    <w:p w14:paraId="3E44774B">
      <w:pPr>
        <w:pStyle w:val="2"/>
        <w:spacing w:before="59" w:line="212" w:lineRule="auto"/>
        <w:ind w:left="560"/>
      </w:pPr>
      <w:r>
        <w:rPr>
          <w:rFonts w:ascii="Times New Roman" w:hAnsi="Times New Roman" w:eastAsia="Times New Roman" w:cs="Times New Roman"/>
          <w:spacing w:val="3"/>
        </w:rPr>
        <w:t xml:space="preserve">a)  </w:t>
      </w:r>
      <w:r>
        <w:rPr>
          <w:spacing w:val="3"/>
        </w:rPr>
        <w:t>承制方应制定综合保障工作经费预算；</w:t>
      </w:r>
    </w:p>
    <w:p w14:paraId="6F154927">
      <w:pPr>
        <w:pStyle w:val="2"/>
        <w:spacing w:before="90" w:line="212" w:lineRule="auto"/>
        <w:ind w:left="560"/>
      </w:pPr>
      <w:r>
        <w:rPr>
          <w:rFonts w:ascii="Times New Roman" w:hAnsi="Times New Roman" w:eastAsia="Times New Roman" w:cs="Times New Roman"/>
          <w:spacing w:val="5"/>
        </w:rPr>
        <w:t>b)</w:t>
      </w:r>
      <w:r>
        <w:rPr>
          <w:rFonts w:ascii="Times New Roman" w:hAnsi="Times New Roman" w:eastAsia="Times New Roman" w:cs="Times New Roman"/>
          <w:spacing w:val="67"/>
        </w:rPr>
        <w:t xml:space="preserve"> </w:t>
      </w:r>
      <w:r>
        <w:rPr>
          <w:spacing w:val="5"/>
        </w:rPr>
        <w:t>说明承制方综合保障工作经费预算采用的费用分解结构模型；</w:t>
      </w:r>
    </w:p>
    <w:p w14:paraId="31879F23">
      <w:pPr>
        <w:pStyle w:val="2"/>
        <w:spacing w:before="110"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2"/>
        </w:rPr>
        <w:t xml:space="preserve"> </w:t>
      </w:r>
      <w:r>
        <w:rPr>
          <w:spacing w:val="-3"/>
        </w:rPr>
        <w:t>在装备研制、生产和使用中控制综合保障工作经费的要求、原则和方法；</w:t>
      </w:r>
    </w:p>
    <w:p w14:paraId="21CABF7B">
      <w:pPr>
        <w:pStyle w:val="2"/>
        <w:spacing w:before="89" w:line="258" w:lineRule="auto"/>
        <w:ind w:right="40" w:firstLine="560"/>
        <w:rPr>
          <w:rFonts w:ascii="黑体" w:hAnsi="黑体" w:eastAsia="黑体" w:cs="黑体"/>
        </w:rPr>
      </w:pPr>
      <w:r>
        <w:rPr>
          <w:rFonts w:ascii="Times New Roman" w:hAnsi="Times New Roman" w:eastAsia="Times New Roman" w:cs="Times New Roman"/>
          <w:spacing w:val="-3"/>
        </w:rPr>
        <w:t xml:space="preserve">d)  </w:t>
      </w:r>
      <w:r>
        <w:rPr>
          <w:spacing w:val="-3"/>
        </w:rPr>
        <w:t>承制方所承担的各项综合保障工作的经费预算、经费来源、拨款情况等。</w:t>
      </w:r>
      <w:r>
        <w:rPr>
          <w:spacing w:val="12"/>
        </w:rPr>
        <w:t xml:space="preserve"> </w:t>
      </w:r>
      <w:r>
        <w:rPr>
          <w:rFonts w:ascii="黑体" w:hAnsi="黑体" w:eastAsia="黑体" w:cs="黑体"/>
          <w:spacing w:val="3"/>
        </w:rPr>
        <w:t>12</w:t>
      </w:r>
      <w:r>
        <w:rPr>
          <w:rFonts w:ascii="黑体" w:hAnsi="黑体" w:eastAsia="黑体" w:cs="黑体"/>
          <w:spacing w:val="23"/>
        </w:rPr>
        <w:t xml:space="preserve">  </w:t>
      </w:r>
      <w:r>
        <w:rPr>
          <w:rFonts w:ascii="黑体" w:hAnsi="黑体" w:eastAsia="黑体" w:cs="黑体"/>
          <w:spacing w:val="3"/>
        </w:rPr>
        <w:t>部署保障工作的安排</w:t>
      </w:r>
    </w:p>
    <w:p w14:paraId="513026AD">
      <w:pPr>
        <w:pStyle w:val="2"/>
        <w:spacing w:before="87" w:line="219" w:lineRule="auto"/>
        <w:ind w:left="560"/>
      </w:pPr>
      <w:r>
        <w:rPr>
          <w:spacing w:val="1"/>
        </w:rPr>
        <w:t>一般应包括下列主要内容：</w:t>
      </w:r>
    </w:p>
    <w:p w14:paraId="43B39F6A">
      <w:pPr>
        <w:pStyle w:val="2"/>
        <w:spacing w:before="89" w:line="212" w:lineRule="auto"/>
        <w:ind w:left="560"/>
      </w:pPr>
      <w:r>
        <w:rPr>
          <w:rFonts w:ascii="Times New Roman" w:hAnsi="Times New Roman" w:eastAsia="Times New Roman" w:cs="Times New Roman"/>
        </w:rPr>
        <w:t xml:space="preserve">a)  </w:t>
      </w:r>
      <w:r>
        <w:t>应明确承制方部署保障工作机构的</w:t>
      </w:r>
      <w:r>
        <w:rPr>
          <w:spacing w:val="-1"/>
        </w:rPr>
        <w:t>组成、职责和工作方式；</w:t>
      </w:r>
    </w:p>
    <w:p w14:paraId="0258B7C3">
      <w:pPr>
        <w:pStyle w:val="2"/>
        <w:spacing w:before="101" w:line="257" w:lineRule="auto"/>
        <w:ind w:firstLine="560"/>
      </w:pPr>
      <w:r>
        <w:rPr>
          <w:rFonts w:ascii="Times New Roman" w:hAnsi="Times New Roman" w:eastAsia="Times New Roman" w:cs="Times New Roman"/>
          <w:spacing w:val="10"/>
        </w:rPr>
        <w:t xml:space="preserve">b)  </w:t>
      </w:r>
      <w:r>
        <w:rPr>
          <w:spacing w:val="10"/>
        </w:rPr>
        <w:t>应明确列出承制方需配合订购方进行的工作项目(例如初始备件供应、</w:t>
      </w:r>
      <w:r>
        <w:t xml:space="preserve"> </w:t>
      </w:r>
      <w:r>
        <w:rPr>
          <w:spacing w:val="-12"/>
        </w:rPr>
        <w:t>人员培训等),并说明其目的、内容、方法、负责单位、起始和完成时间等；</w:t>
      </w:r>
    </w:p>
    <w:p w14:paraId="0B084485">
      <w:pPr>
        <w:pStyle w:val="2"/>
        <w:spacing w:before="68" w:line="253" w:lineRule="auto"/>
        <w:ind w:right="114" w:firstLine="560"/>
      </w:pPr>
      <w:r>
        <w:rPr>
          <w:rFonts w:ascii="Times New Roman" w:hAnsi="Times New Roman" w:eastAsia="Times New Roman" w:cs="Times New Roman"/>
          <w:spacing w:val="3"/>
        </w:rPr>
        <w:t xml:space="preserve">c)  </w:t>
      </w:r>
      <w:r>
        <w:rPr>
          <w:spacing w:val="3"/>
        </w:rPr>
        <w:t>应明确使用部队、订购方和承制方对装备及保障资源部署中出现问题的</w:t>
      </w:r>
      <w:r>
        <w:rPr>
          <w:spacing w:val="10"/>
        </w:rPr>
        <w:t xml:space="preserve"> </w:t>
      </w:r>
      <w:r>
        <w:rPr>
          <w:spacing w:val="-1"/>
        </w:rPr>
        <w:t>协商程序和途径等；</w:t>
      </w:r>
    </w:p>
    <w:p w14:paraId="607C9E20">
      <w:pPr>
        <w:pStyle w:val="2"/>
        <w:spacing w:before="80" w:line="256" w:lineRule="auto"/>
        <w:ind w:right="123" w:firstLine="560"/>
      </w:pPr>
      <w:r>
        <w:rPr>
          <w:rFonts w:ascii="Times New Roman" w:hAnsi="Times New Roman" w:eastAsia="Times New Roman" w:cs="Times New Roman"/>
          <w:spacing w:val="2"/>
        </w:rPr>
        <w:t xml:space="preserve">d)  </w:t>
      </w:r>
      <w:r>
        <w:rPr>
          <w:spacing w:val="2"/>
        </w:rPr>
        <w:t>对保障交接工作的安排应明确：1)合同或相关文件应规定在承包商保障</w:t>
      </w:r>
      <w:r>
        <w:rPr>
          <w:spacing w:val="18"/>
        </w:rPr>
        <w:t xml:space="preserve"> </w:t>
      </w:r>
      <w:r>
        <w:rPr>
          <w:spacing w:val="-2"/>
        </w:rPr>
        <w:t>期内由承制方承担的保障任务，例如承制方承担的装备维修任务、需承制方提供</w:t>
      </w:r>
    </w:p>
    <w:p w14:paraId="7F6213F6">
      <w:pPr>
        <w:spacing w:line="256" w:lineRule="auto"/>
        <w:sectPr>
          <w:footerReference r:id="rId501" w:type="default"/>
          <w:pgSz w:w="11910" w:h="17130"/>
          <w:pgMar w:top="1456" w:right="1214" w:bottom="1606" w:left="1190" w:header="0" w:footer="1417" w:gutter="0"/>
          <w:cols w:space="720" w:num="1"/>
        </w:sectPr>
      </w:pPr>
    </w:p>
    <w:p w14:paraId="5429A341">
      <w:pPr>
        <w:pStyle w:val="2"/>
        <w:spacing w:before="64" w:line="282" w:lineRule="auto"/>
        <w:ind w:right="4"/>
      </w:pPr>
      <w:r>
        <w:rPr>
          <w:spacing w:val="-3"/>
        </w:rPr>
        <w:t>的保障资源等；2)由承制方向订购方移交的工作要求，列出工作目的、内容、方</w:t>
      </w:r>
      <w:r>
        <w:rPr>
          <w:spacing w:val="17"/>
        </w:rPr>
        <w:t xml:space="preserve"> </w:t>
      </w:r>
      <w:r>
        <w:rPr>
          <w:spacing w:val="-16"/>
        </w:rPr>
        <w:t>法、负责单位、完成时间等。</w:t>
      </w:r>
    </w:p>
    <w:p w14:paraId="78766080">
      <w:pPr>
        <w:spacing w:line="221" w:lineRule="auto"/>
        <w:rPr>
          <w:rFonts w:ascii="黑体" w:hAnsi="黑体" w:eastAsia="黑体" w:cs="黑体"/>
          <w:sz w:val="24"/>
          <w:szCs w:val="24"/>
        </w:rPr>
      </w:pPr>
      <w:r>
        <w:rPr>
          <w:rFonts w:ascii="黑体" w:hAnsi="黑体" w:eastAsia="黑体" w:cs="黑体"/>
          <w:spacing w:val="25"/>
          <w:sz w:val="24"/>
          <w:szCs w:val="24"/>
        </w:rPr>
        <w:t>13</w:t>
      </w:r>
      <w:r>
        <w:rPr>
          <w:rFonts w:ascii="黑体" w:hAnsi="黑体" w:eastAsia="黑体" w:cs="黑体"/>
          <w:spacing w:val="52"/>
          <w:sz w:val="24"/>
          <w:szCs w:val="24"/>
        </w:rPr>
        <w:t xml:space="preserve">  </w:t>
      </w:r>
      <w:r>
        <w:rPr>
          <w:rFonts w:ascii="黑体" w:hAnsi="黑体" w:eastAsia="黑体" w:cs="黑体"/>
          <w:b/>
          <w:bCs/>
          <w:spacing w:val="25"/>
          <w:sz w:val="24"/>
          <w:szCs w:val="24"/>
        </w:rPr>
        <w:t>参与停产后保障工作的安排</w:t>
      </w:r>
    </w:p>
    <w:p w14:paraId="23A14E95">
      <w:pPr>
        <w:pStyle w:val="2"/>
        <w:spacing w:before="106" w:line="219" w:lineRule="auto"/>
        <w:ind w:left="550"/>
      </w:pPr>
      <w:r>
        <w:rPr>
          <w:spacing w:val="1"/>
        </w:rPr>
        <w:t>一般应包括下列主要内容：</w:t>
      </w:r>
    </w:p>
    <w:p w14:paraId="3F335D1C">
      <w:pPr>
        <w:pStyle w:val="2"/>
        <w:spacing w:before="2" w:line="273" w:lineRule="auto"/>
        <w:ind w:firstLine="550"/>
      </w:pPr>
      <w:r>
        <w:rPr>
          <w:rFonts w:ascii="Times New Roman" w:hAnsi="Times New Roman" w:eastAsia="Times New Roman" w:cs="Times New Roman"/>
          <w:spacing w:val="7"/>
        </w:rPr>
        <w:t xml:space="preserve">a)  </w:t>
      </w:r>
      <w:r>
        <w:rPr>
          <w:spacing w:val="7"/>
        </w:rPr>
        <w:t>承制方对停产后保障工作的建议(例如一次</w:t>
      </w:r>
      <w:r>
        <w:rPr>
          <w:spacing w:val="6"/>
        </w:rPr>
        <w:t>性备件供应、建立备件第二</w:t>
      </w:r>
      <w:r>
        <w:t xml:space="preserve"> </w:t>
      </w:r>
      <w:r>
        <w:rPr>
          <w:spacing w:val="-5"/>
        </w:rPr>
        <w:t>生产源、新技术替代等);</w:t>
      </w:r>
    </w:p>
    <w:p w14:paraId="3CC6AFA4">
      <w:pPr>
        <w:pStyle w:val="2"/>
        <w:spacing w:before="59" w:line="212" w:lineRule="auto"/>
        <w:ind w:left="550"/>
      </w:pPr>
      <w:r>
        <w:rPr>
          <w:rFonts w:ascii="Times New Roman" w:hAnsi="Times New Roman" w:eastAsia="Times New Roman" w:cs="Times New Roman"/>
          <w:spacing w:val="4"/>
        </w:rPr>
        <w:t>b)</w:t>
      </w:r>
      <w:r>
        <w:rPr>
          <w:rFonts w:ascii="Times New Roman" w:hAnsi="Times New Roman" w:eastAsia="Times New Roman" w:cs="Times New Roman"/>
          <w:spacing w:val="73"/>
        </w:rPr>
        <w:t xml:space="preserve"> </w:t>
      </w:r>
      <w:r>
        <w:rPr>
          <w:spacing w:val="4"/>
        </w:rPr>
        <w:t>停产时承制方需配合使用方完成的工作要求。</w:t>
      </w:r>
    </w:p>
    <w:p w14:paraId="5907964F">
      <w:pPr>
        <w:pStyle w:val="2"/>
        <w:spacing w:before="126" w:line="259" w:lineRule="auto"/>
        <w:ind w:left="550" w:right="4937" w:hanging="550"/>
      </w:pPr>
      <w:r>
        <w:rPr>
          <w:rFonts w:ascii="黑体" w:hAnsi="黑体" w:eastAsia="黑体" w:cs="黑体"/>
          <w:spacing w:val="30"/>
          <w:sz w:val="24"/>
          <w:szCs w:val="24"/>
        </w:rPr>
        <w:t>1</w:t>
      </w:r>
      <w:r>
        <w:rPr>
          <w:rFonts w:ascii="黑体" w:hAnsi="黑体" w:eastAsia="黑体" w:cs="黑体"/>
          <w:b/>
          <w:bCs/>
          <w:spacing w:val="30"/>
          <w:sz w:val="24"/>
          <w:szCs w:val="24"/>
        </w:rPr>
        <w:t>4</w:t>
      </w:r>
      <w:r>
        <w:rPr>
          <w:rFonts w:ascii="黑体" w:hAnsi="黑体" w:eastAsia="黑体" w:cs="黑体"/>
          <w:spacing w:val="30"/>
          <w:sz w:val="24"/>
          <w:szCs w:val="24"/>
        </w:rPr>
        <w:t xml:space="preserve">  </w:t>
      </w:r>
      <w:r>
        <w:rPr>
          <w:rFonts w:ascii="黑体" w:hAnsi="黑体" w:eastAsia="黑体" w:cs="黑体"/>
          <w:b/>
          <w:bCs/>
          <w:spacing w:val="30"/>
          <w:sz w:val="24"/>
          <w:szCs w:val="24"/>
        </w:rPr>
        <w:t>提出退役报废处理保障工作建议</w:t>
      </w:r>
      <w:r>
        <w:rPr>
          <w:rFonts w:ascii="黑体" w:hAnsi="黑体" w:eastAsia="黑体" w:cs="黑体"/>
          <w:spacing w:val="8"/>
          <w:sz w:val="24"/>
          <w:szCs w:val="24"/>
        </w:rPr>
        <w:t xml:space="preserve"> </w:t>
      </w:r>
      <w:r>
        <w:rPr>
          <w:spacing w:val="1"/>
        </w:rPr>
        <w:t>一般应包括下列主要内容：</w:t>
      </w:r>
    </w:p>
    <w:p w14:paraId="68BBCED3">
      <w:pPr>
        <w:pStyle w:val="2"/>
        <w:spacing w:before="50" w:line="212" w:lineRule="auto"/>
        <w:ind w:left="550"/>
        <w:rPr>
          <w:sz w:val="25"/>
          <w:szCs w:val="25"/>
        </w:rPr>
      </w:pPr>
      <w:r>
        <w:rPr>
          <w:rFonts w:ascii="Times New Roman" w:hAnsi="Times New Roman" w:eastAsia="Times New Roman" w:cs="Times New Roman"/>
          <w:spacing w:val="13"/>
          <w:sz w:val="25"/>
          <w:szCs w:val="25"/>
        </w:rPr>
        <w:t xml:space="preserve">a)  </w:t>
      </w:r>
      <w:r>
        <w:rPr>
          <w:spacing w:val="13"/>
          <w:sz w:val="25"/>
          <w:szCs w:val="25"/>
        </w:rPr>
        <w:t>装备质量分级、退役报废的技术条件；</w:t>
      </w:r>
    </w:p>
    <w:p w14:paraId="431821E5">
      <w:pPr>
        <w:pStyle w:val="2"/>
        <w:spacing w:before="102" w:line="212" w:lineRule="auto"/>
        <w:ind w:left="550"/>
      </w:pPr>
      <w:r>
        <w:rPr>
          <w:rFonts w:ascii="Times New Roman" w:hAnsi="Times New Roman" w:eastAsia="Times New Roman" w:cs="Times New Roman"/>
        </w:rPr>
        <w:t>b)</w:t>
      </w:r>
      <w:r>
        <w:rPr>
          <w:rFonts w:ascii="Times New Roman" w:hAnsi="Times New Roman" w:eastAsia="Times New Roman" w:cs="Times New Roman"/>
          <w:spacing w:val="68"/>
        </w:rPr>
        <w:t xml:space="preserve"> </w:t>
      </w:r>
      <w:r>
        <w:t>进行退役报废处理的工作程序、方法以及所</w:t>
      </w:r>
      <w:r>
        <w:rPr>
          <w:spacing w:val="-1"/>
        </w:rPr>
        <w:t>需的资源等。</w:t>
      </w:r>
    </w:p>
    <w:p w14:paraId="19DD2532">
      <w:pPr>
        <w:spacing w:before="134" w:line="222" w:lineRule="auto"/>
        <w:rPr>
          <w:rFonts w:ascii="黑体" w:hAnsi="黑体" w:eastAsia="黑体" w:cs="黑体"/>
          <w:sz w:val="25"/>
          <w:szCs w:val="25"/>
        </w:rPr>
      </w:pPr>
      <w:r>
        <w:rPr>
          <w:rFonts w:ascii="黑体" w:hAnsi="黑体" w:eastAsia="黑体" w:cs="黑体"/>
          <w:spacing w:val="13"/>
          <w:sz w:val="25"/>
          <w:szCs w:val="25"/>
        </w:rPr>
        <w:t>15</w:t>
      </w:r>
      <w:r>
        <w:rPr>
          <w:rFonts w:ascii="黑体" w:hAnsi="黑体" w:eastAsia="黑体" w:cs="黑体"/>
          <w:spacing w:val="38"/>
          <w:sz w:val="25"/>
          <w:szCs w:val="25"/>
        </w:rPr>
        <w:t xml:space="preserve">  </w:t>
      </w:r>
      <w:r>
        <w:rPr>
          <w:rFonts w:ascii="黑体" w:hAnsi="黑体" w:eastAsia="黑体" w:cs="黑体"/>
          <w:b/>
          <w:bCs/>
          <w:spacing w:val="13"/>
          <w:sz w:val="25"/>
          <w:szCs w:val="25"/>
        </w:rPr>
        <w:t>工作进度安排</w:t>
      </w:r>
    </w:p>
    <w:p w14:paraId="74616281">
      <w:pPr>
        <w:pStyle w:val="2"/>
        <w:spacing w:before="104" w:line="260" w:lineRule="auto"/>
        <w:ind w:right="3" w:firstLine="550"/>
      </w:pPr>
      <w:r>
        <w:rPr>
          <w:spacing w:val="5"/>
        </w:rPr>
        <w:t>说明装备寿命周期各阶段承制方主管部门、研制单位及转承制方应完成综</w:t>
      </w:r>
      <w:r>
        <w:rPr>
          <w:spacing w:val="10"/>
        </w:rPr>
        <w:t xml:space="preserve"> </w:t>
      </w:r>
      <w:r>
        <w:rPr>
          <w:spacing w:val="3"/>
        </w:rPr>
        <w:t>合保障主要工作及其进度。应满足下列要求：</w:t>
      </w:r>
    </w:p>
    <w:p w14:paraId="75DE5934">
      <w:pPr>
        <w:pStyle w:val="2"/>
        <w:spacing w:before="2" w:line="259" w:lineRule="auto"/>
        <w:ind w:right="4" w:firstLine="550"/>
      </w:pPr>
      <w:r>
        <w:rPr>
          <w:rFonts w:ascii="Times New Roman" w:hAnsi="Times New Roman" w:eastAsia="Times New Roman" w:cs="Times New Roman"/>
          <w:spacing w:val="3"/>
        </w:rPr>
        <w:t>a)</w:t>
      </w:r>
      <w:r>
        <w:rPr>
          <w:rFonts w:ascii="Times New Roman" w:hAnsi="Times New Roman" w:eastAsia="Times New Roman" w:cs="Times New Roman"/>
          <w:spacing w:val="63"/>
        </w:rPr>
        <w:t xml:space="preserve"> </w:t>
      </w:r>
      <w:r>
        <w:rPr>
          <w:spacing w:val="3"/>
        </w:rPr>
        <w:t>说明承制方应完成的各项综合保障工作，标定每项工作的起止时间，标</w:t>
      </w:r>
      <w:r>
        <w:t xml:space="preserve"> </w:t>
      </w:r>
      <w:r>
        <w:rPr>
          <w:spacing w:val="1"/>
        </w:rPr>
        <w:t>明指定的牵头部门和实施单位；</w:t>
      </w:r>
    </w:p>
    <w:p w14:paraId="2316A3ED">
      <w:pPr>
        <w:pStyle w:val="2"/>
        <w:spacing w:before="72" w:line="270" w:lineRule="auto"/>
        <w:ind w:left="3" w:right="19" w:firstLine="546"/>
        <w:rPr>
          <w:rFonts w:ascii="黑体" w:hAnsi="黑体" w:eastAsia="黑体" w:cs="黑体"/>
          <w:sz w:val="25"/>
          <w:szCs w:val="25"/>
        </w:rPr>
      </w:pPr>
      <w:r>
        <w:rPr>
          <w:rFonts w:ascii="Times New Roman" w:hAnsi="Times New Roman" w:eastAsia="Times New Roman" w:cs="Times New Roman"/>
          <w:spacing w:val="-1"/>
          <w:sz w:val="25"/>
          <w:szCs w:val="25"/>
        </w:rPr>
        <w:t xml:space="preserve">b)  </w:t>
      </w:r>
      <w:r>
        <w:rPr>
          <w:spacing w:val="-1"/>
          <w:sz w:val="25"/>
          <w:szCs w:val="25"/>
        </w:rPr>
        <w:t>对于单独定型产品或相关重要配套产品，必要时应制定单独的工作进度安</w:t>
      </w:r>
      <w:r>
        <w:rPr>
          <w:spacing w:val="-2"/>
          <w:sz w:val="25"/>
          <w:szCs w:val="25"/>
        </w:rPr>
        <w:t>排。</w:t>
      </w:r>
      <w:r>
        <w:rPr>
          <w:sz w:val="25"/>
          <w:szCs w:val="25"/>
        </w:rPr>
        <w:t xml:space="preserve"> </w:t>
      </w:r>
      <w:r>
        <w:rPr>
          <w:rFonts w:ascii="黑体" w:hAnsi="黑体" w:eastAsia="黑体" w:cs="黑体"/>
          <w:b/>
          <w:bCs/>
          <w:spacing w:val="9"/>
          <w:sz w:val="25"/>
          <w:szCs w:val="25"/>
        </w:rPr>
        <w:t>附件</w:t>
      </w:r>
    </w:p>
    <w:p w14:paraId="5F2FBD70">
      <w:pPr>
        <w:pStyle w:val="2"/>
        <w:spacing w:before="86" w:line="219" w:lineRule="auto"/>
        <w:ind w:left="550"/>
      </w:pPr>
      <w:r>
        <w:rPr>
          <w:spacing w:val="4"/>
        </w:rPr>
        <w:t>适当时可以附加相关文件作为综合保障工作计划的附件。</w:t>
      </w:r>
    </w:p>
    <w:p w14:paraId="68AAC952">
      <w:pPr>
        <w:pStyle w:val="2"/>
        <w:spacing w:before="290" w:line="219" w:lineRule="auto"/>
        <w:ind w:left="2540"/>
        <w:rPr>
          <w:sz w:val="36"/>
          <w:szCs w:val="36"/>
        </w:rPr>
      </w:pPr>
      <w:r>
        <w:rPr>
          <w:spacing w:val="2"/>
          <w:sz w:val="36"/>
          <w:szCs w:val="36"/>
        </w:rPr>
        <w:t>10.</w:t>
      </w:r>
      <w:r>
        <w:rPr>
          <w:b/>
          <w:bCs/>
          <w:spacing w:val="2"/>
          <w:sz w:val="36"/>
          <w:szCs w:val="36"/>
        </w:rPr>
        <w:t>5</w:t>
      </w:r>
      <w:r>
        <w:rPr>
          <w:spacing w:val="2"/>
          <w:sz w:val="36"/>
          <w:szCs w:val="36"/>
        </w:rPr>
        <w:t xml:space="preserve">  </w:t>
      </w:r>
      <w:r>
        <w:rPr>
          <w:b/>
          <w:bCs/>
          <w:spacing w:val="2"/>
          <w:sz w:val="36"/>
          <w:szCs w:val="36"/>
        </w:rPr>
        <w:t>保障性分析工作纲要</w:t>
      </w:r>
    </w:p>
    <w:p w14:paraId="3B56F1D5">
      <w:pPr>
        <w:spacing w:line="241" w:lineRule="auto"/>
        <w:rPr>
          <w:rFonts w:ascii="Arial"/>
          <w:sz w:val="21"/>
        </w:rPr>
      </w:pPr>
    </w:p>
    <w:p w14:paraId="2FB5C9D3">
      <w:pPr>
        <w:pStyle w:val="2"/>
        <w:spacing w:before="79" w:line="226" w:lineRule="auto"/>
        <w:ind w:left="550"/>
        <w:rPr>
          <w:rFonts w:ascii="楷体" w:hAnsi="楷体" w:eastAsia="楷体" w:cs="楷体"/>
          <w:sz w:val="24"/>
          <w:szCs w:val="24"/>
        </w:rPr>
      </w:pPr>
      <w:r>
        <w:rPr>
          <w:rFonts w:ascii="楷体" w:hAnsi="楷体" w:eastAsia="楷体" w:cs="楷体"/>
          <w:spacing w:val="8"/>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 xml:space="preserve">    1371—1992</w:t>
      </w:r>
      <w:r>
        <w:rPr>
          <w:spacing w:val="8"/>
          <w:sz w:val="24"/>
          <w:szCs w:val="24"/>
        </w:rPr>
        <w:t>《</w:t>
      </w:r>
      <w:r>
        <w:rPr>
          <w:rFonts w:ascii="楷体" w:hAnsi="楷体" w:eastAsia="楷体" w:cs="楷体"/>
          <w:spacing w:val="8"/>
          <w:sz w:val="24"/>
          <w:szCs w:val="24"/>
        </w:rPr>
        <w:t>装备保障性分析》编</w:t>
      </w:r>
      <w:r>
        <w:rPr>
          <w:rFonts w:ascii="楷体" w:hAnsi="楷体" w:eastAsia="楷体" w:cs="楷体"/>
          <w:spacing w:val="7"/>
          <w:sz w:val="24"/>
          <w:szCs w:val="24"/>
        </w:rPr>
        <w:t>写。</w:t>
      </w:r>
    </w:p>
    <w:p w14:paraId="1E94CF99">
      <w:pPr>
        <w:spacing w:before="106"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50"/>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4638286A">
      <w:pPr>
        <w:spacing w:before="95" w:line="222" w:lineRule="auto"/>
        <w:rPr>
          <w:rFonts w:ascii="黑体" w:hAnsi="黑体" w:eastAsia="黑体" w:cs="黑体"/>
          <w:sz w:val="25"/>
          <w:szCs w:val="25"/>
        </w:rPr>
      </w:pPr>
      <w:r>
        <w:rPr>
          <w:rFonts w:ascii="黑体" w:hAnsi="黑体" w:eastAsia="黑体" w:cs="黑体"/>
          <w:spacing w:val="15"/>
          <w:sz w:val="25"/>
          <w:szCs w:val="25"/>
        </w:rPr>
        <w:t>2</w:t>
      </w:r>
      <w:r>
        <w:rPr>
          <w:rFonts w:ascii="黑体" w:hAnsi="黑体" w:eastAsia="黑体" w:cs="黑体"/>
          <w:spacing w:val="43"/>
          <w:sz w:val="25"/>
          <w:szCs w:val="25"/>
        </w:rPr>
        <w:t xml:space="preserve">  </w:t>
      </w:r>
      <w:r>
        <w:rPr>
          <w:rFonts w:ascii="黑体" w:hAnsi="黑体" w:eastAsia="黑体" w:cs="黑体"/>
          <w:b/>
          <w:bCs/>
          <w:spacing w:val="15"/>
          <w:sz w:val="25"/>
          <w:szCs w:val="25"/>
        </w:rPr>
        <w:t>引用文件</w:t>
      </w:r>
    </w:p>
    <w:p w14:paraId="11AD1E0E">
      <w:pPr>
        <w:spacing w:before="100" w:line="222" w:lineRule="auto"/>
        <w:rPr>
          <w:rFonts w:ascii="黑体" w:hAnsi="黑体" w:eastAsia="黑体" w:cs="黑体"/>
          <w:sz w:val="25"/>
          <w:szCs w:val="25"/>
        </w:rPr>
      </w:pPr>
      <w:r>
        <w:rPr>
          <w:rFonts w:ascii="黑体" w:hAnsi="黑体" w:eastAsia="黑体" w:cs="黑体"/>
          <w:spacing w:val="19"/>
          <w:sz w:val="25"/>
          <w:szCs w:val="25"/>
        </w:rPr>
        <w:t>3</w:t>
      </w:r>
      <w:r>
        <w:rPr>
          <w:rFonts w:ascii="黑体" w:hAnsi="黑体" w:eastAsia="黑体" w:cs="黑体"/>
          <w:spacing w:val="47"/>
          <w:sz w:val="25"/>
          <w:szCs w:val="25"/>
        </w:rPr>
        <w:t xml:space="preserve">  </w:t>
      </w:r>
      <w:r>
        <w:rPr>
          <w:rFonts w:ascii="黑体" w:hAnsi="黑体" w:eastAsia="黑体" w:cs="黑体"/>
          <w:b/>
          <w:bCs/>
          <w:spacing w:val="19"/>
          <w:sz w:val="25"/>
          <w:szCs w:val="25"/>
        </w:rPr>
        <w:t>保障性目标及风险分析</w:t>
      </w:r>
    </w:p>
    <w:p w14:paraId="6D984795">
      <w:pPr>
        <w:spacing w:before="109" w:line="222" w:lineRule="auto"/>
        <w:rPr>
          <w:rFonts w:ascii="黑体" w:hAnsi="黑体" w:eastAsia="黑体" w:cs="黑体"/>
          <w:sz w:val="25"/>
          <w:szCs w:val="25"/>
        </w:rPr>
      </w:pPr>
      <w:r>
        <w:rPr>
          <w:rFonts w:ascii="黑体" w:hAnsi="黑体" w:eastAsia="黑体" w:cs="黑体"/>
          <w:spacing w:val="15"/>
          <w:sz w:val="25"/>
          <w:szCs w:val="25"/>
        </w:rPr>
        <w:t>3.1</w:t>
      </w:r>
      <w:r>
        <w:rPr>
          <w:rFonts w:ascii="黑体" w:hAnsi="黑体" w:eastAsia="黑体" w:cs="黑体"/>
          <w:spacing w:val="56"/>
          <w:sz w:val="25"/>
          <w:szCs w:val="25"/>
        </w:rPr>
        <w:t xml:space="preserve">  </w:t>
      </w:r>
      <w:r>
        <w:rPr>
          <w:rFonts w:ascii="黑体" w:hAnsi="黑体" w:eastAsia="黑体" w:cs="黑体"/>
          <w:b/>
          <w:bCs/>
          <w:spacing w:val="15"/>
          <w:sz w:val="25"/>
          <w:szCs w:val="25"/>
        </w:rPr>
        <w:t>预期的保障性目标</w:t>
      </w:r>
    </w:p>
    <w:p w14:paraId="1F1CB124">
      <w:pPr>
        <w:pStyle w:val="2"/>
        <w:spacing w:before="86" w:line="273" w:lineRule="auto"/>
        <w:ind w:right="13" w:firstLine="550"/>
      </w:pPr>
      <w:r>
        <w:rPr>
          <w:spacing w:val="5"/>
        </w:rPr>
        <w:t>为新研系统和设备制定预期的保障性目标。可根据下列因素确定保障性目</w:t>
      </w:r>
      <w:r>
        <w:t xml:space="preserve"> </w:t>
      </w:r>
      <w:r>
        <w:rPr>
          <w:spacing w:val="2"/>
        </w:rPr>
        <w:t>标及工作项目和子项目：</w:t>
      </w:r>
    </w:p>
    <w:p w14:paraId="5B429D1E">
      <w:pPr>
        <w:pStyle w:val="2"/>
        <w:spacing w:before="3" w:line="254" w:lineRule="auto"/>
        <w:ind w:right="3" w:firstLine="550"/>
      </w:pPr>
      <w:r>
        <w:rPr>
          <w:rFonts w:ascii="Times New Roman" w:hAnsi="Times New Roman" w:eastAsia="Times New Roman" w:cs="Times New Roman"/>
          <w:spacing w:val="3"/>
        </w:rPr>
        <w:t>a)</w:t>
      </w:r>
      <w:r>
        <w:rPr>
          <w:rFonts w:ascii="Times New Roman" w:hAnsi="Times New Roman" w:eastAsia="Times New Roman" w:cs="Times New Roman"/>
          <w:spacing w:val="64"/>
        </w:rPr>
        <w:t xml:space="preserve"> </w:t>
      </w:r>
      <w:r>
        <w:rPr>
          <w:spacing w:val="3"/>
        </w:rPr>
        <w:t>新研系统和设备可能的设计方案、维修方案、使用方法以及对各种设计</w:t>
      </w:r>
      <w:r>
        <w:t xml:space="preserve"> </w:t>
      </w:r>
      <w:r>
        <w:rPr>
          <w:spacing w:val="-3"/>
        </w:rPr>
        <w:t>方案和使用方法中的可靠性、维修性、使用与保障费用、保障资源和战备完好性</w:t>
      </w:r>
      <w:r>
        <w:rPr>
          <w:spacing w:val="14"/>
        </w:rPr>
        <w:t xml:space="preserve"> </w:t>
      </w:r>
      <w:r>
        <w:rPr>
          <w:spacing w:val="-1"/>
        </w:rPr>
        <w:t>的粗略估计。</w:t>
      </w:r>
    </w:p>
    <w:p w14:paraId="492B1A19">
      <w:pPr>
        <w:pStyle w:val="2"/>
        <w:spacing w:before="92" w:line="257" w:lineRule="auto"/>
        <w:ind w:right="18" w:firstLine="550"/>
      </w:pPr>
      <w:r>
        <w:rPr>
          <w:rFonts w:ascii="Times New Roman" w:hAnsi="Times New Roman" w:eastAsia="Times New Roman" w:cs="Times New Roman"/>
          <w:spacing w:val="2"/>
        </w:rPr>
        <w:t>b)</w:t>
      </w:r>
      <w:r>
        <w:rPr>
          <w:rFonts w:ascii="Times New Roman" w:hAnsi="Times New Roman" w:eastAsia="Times New Roman" w:cs="Times New Roman"/>
          <w:spacing w:val="67"/>
        </w:rPr>
        <w:t xml:space="preserve"> </w:t>
      </w:r>
      <w:r>
        <w:rPr>
          <w:spacing w:val="2"/>
        </w:rPr>
        <w:t>执行保障性分析工作项目和子项目时，有关战备完好性、使用与保障费</w:t>
      </w:r>
      <w:r>
        <w:t xml:space="preserve"> </w:t>
      </w:r>
      <w:r>
        <w:rPr>
          <w:spacing w:val="-3"/>
        </w:rPr>
        <w:t>用及保障资源等数据的有效性、准确性及相关性。</w:t>
      </w:r>
    </w:p>
    <w:p w14:paraId="331A9A57">
      <w:pPr>
        <w:pStyle w:val="2"/>
        <w:spacing w:before="49" w:line="212" w:lineRule="auto"/>
        <w:ind w:left="550"/>
      </w:pPr>
      <w:r>
        <w:rPr>
          <w:rFonts w:ascii="Times New Roman" w:hAnsi="Times New Roman" w:eastAsia="Times New Roman" w:cs="Times New Roman"/>
          <w:spacing w:val="5"/>
        </w:rPr>
        <w:t>c)</w:t>
      </w:r>
      <w:r>
        <w:rPr>
          <w:rFonts w:ascii="Times New Roman" w:hAnsi="Times New Roman" w:eastAsia="Times New Roman" w:cs="Times New Roman"/>
          <w:spacing w:val="52"/>
        </w:rPr>
        <w:t xml:space="preserve"> </w:t>
      </w:r>
      <w:r>
        <w:rPr>
          <w:spacing w:val="5"/>
        </w:rPr>
        <w:t>执行保障性分析工作项目及子项目对设计</w:t>
      </w:r>
      <w:r>
        <w:rPr>
          <w:spacing w:val="4"/>
        </w:rPr>
        <w:t>的可能影响。</w:t>
      </w:r>
    </w:p>
    <w:p w14:paraId="7E7B52C4">
      <w:pPr>
        <w:spacing w:line="212" w:lineRule="auto"/>
        <w:sectPr>
          <w:footerReference r:id="rId502" w:type="default"/>
          <w:pgSz w:w="11910" w:h="17130"/>
          <w:pgMar w:top="1456" w:right="1015" w:bottom="1666" w:left="1529" w:header="0" w:footer="1476" w:gutter="0"/>
          <w:cols w:space="720" w:num="1"/>
        </w:sectPr>
      </w:pPr>
    </w:p>
    <w:p w14:paraId="01A88594">
      <w:pPr>
        <w:spacing w:line="280" w:lineRule="auto"/>
        <w:rPr>
          <w:rFonts w:ascii="Arial"/>
          <w:sz w:val="21"/>
        </w:rPr>
      </w:pPr>
    </w:p>
    <w:p w14:paraId="331B5E43">
      <w:pPr>
        <w:spacing w:line="280" w:lineRule="auto"/>
        <w:rPr>
          <w:rFonts w:ascii="Arial"/>
          <w:sz w:val="21"/>
        </w:rPr>
      </w:pPr>
    </w:p>
    <w:p w14:paraId="12CA652C">
      <w:pPr>
        <w:spacing w:line="280" w:lineRule="auto"/>
        <w:rPr>
          <w:rFonts w:ascii="Arial"/>
          <w:sz w:val="21"/>
        </w:rPr>
      </w:pPr>
    </w:p>
    <w:p w14:paraId="2F7137A8">
      <w:pPr>
        <w:spacing w:line="280" w:lineRule="auto"/>
        <w:rPr>
          <w:rFonts w:ascii="Arial"/>
          <w:sz w:val="21"/>
        </w:rPr>
      </w:pPr>
    </w:p>
    <w:p w14:paraId="0ACE3485">
      <w:pPr>
        <w:spacing w:before="81" w:line="222" w:lineRule="auto"/>
        <w:rPr>
          <w:rFonts w:ascii="黑体" w:hAnsi="黑体" w:eastAsia="黑体" w:cs="黑体"/>
          <w:sz w:val="25"/>
          <w:szCs w:val="25"/>
        </w:rPr>
      </w:pPr>
      <w:r>
        <w:rPr>
          <w:rFonts w:ascii="黑体" w:hAnsi="黑体" w:eastAsia="黑体" w:cs="黑体"/>
          <w:spacing w:val="14"/>
          <w:sz w:val="25"/>
          <w:szCs w:val="25"/>
        </w:rPr>
        <w:t>3.2</w:t>
      </w:r>
      <w:r>
        <w:rPr>
          <w:rFonts w:ascii="黑体" w:hAnsi="黑体" w:eastAsia="黑体" w:cs="黑体"/>
          <w:spacing w:val="32"/>
          <w:sz w:val="25"/>
          <w:szCs w:val="25"/>
        </w:rPr>
        <w:t xml:space="preserve">  </w:t>
      </w:r>
      <w:r>
        <w:rPr>
          <w:rFonts w:ascii="黑体" w:hAnsi="黑体" w:eastAsia="黑体" w:cs="黑体"/>
          <w:spacing w:val="14"/>
          <w:sz w:val="25"/>
          <w:szCs w:val="25"/>
        </w:rPr>
        <w:t>风险分析</w:t>
      </w:r>
    </w:p>
    <w:p w14:paraId="543F6ABA">
      <w:pPr>
        <w:pStyle w:val="2"/>
        <w:spacing w:before="110" w:line="219" w:lineRule="auto"/>
        <w:ind w:left="570"/>
        <w:rPr>
          <w:sz w:val="24"/>
          <w:szCs w:val="24"/>
        </w:rPr>
      </w:pPr>
      <w:r>
        <w:rPr>
          <w:spacing w:val="33"/>
          <w:sz w:val="24"/>
          <w:szCs w:val="24"/>
        </w:rPr>
        <w:t>对完成预期的保障性目标的风险进行分析。</w:t>
      </w:r>
    </w:p>
    <w:p w14:paraId="2051956E">
      <w:pPr>
        <w:spacing w:before="103" w:line="222" w:lineRule="auto"/>
        <w:rPr>
          <w:rFonts w:ascii="黑体" w:hAnsi="黑体" w:eastAsia="黑体" w:cs="黑体"/>
          <w:sz w:val="24"/>
          <w:szCs w:val="24"/>
        </w:rPr>
      </w:pPr>
      <w:r>
        <w:rPr>
          <w:rFonts w:ascii="黑体" w:hAnsi="黑体" w:eastAsia="黑体" w:cs="黑体"/>
          <w:spacing w:val="33"/>
          <w:sz w:val="24"/>
          <w:szCs w:val="24"/>
        </w:rPr>
        <w:t>4  保障性分析工作项目及子项目</w:t>
      </w:r>
    </w:p>
    <w:p w14:paraId="47BCC720">
      <w:pPr>
        <w:spacing w:before="92" w:line="222" w:lineRule="auto"/>
        <w:rPr>
          <w:rFonts w:ascii="黑体" w:hAnsi="黑体" w:eastAsia="黑体" w:cs="黑体"/>
          <w:sz w:val="27"/>
          <w:szCs w:val="27"/>
        </w:rPr>
      </w:pPr>
      <w:r>
        <w:rPr>
          <w:rFonts w:ascii="Arial" w:hAnsi="Arial" w:eastAsia="Arial" w:cs="Arial"/>
          <w:spacing w:val="4"/>
          <w:sz w:val="27"/>
          <w:szCs w:val="27"/>
        </w:rPr>
        <w:t xml:space="preserve">4.1    </w:t>
      </w:r>
      <w:r>
        <w:rPr>
          <w:rFonts w:ascii="黑体" w:hAnsi="黑体" w:eastAsia="黑体" w:cs="黑体"/>
          <w:spacing w:val="4"/>
          <w:sz w:val="27"/>
          <w:szCs w:val="27"/>
        </w:rPr>
        <w:t>确定保障性分析工作项目及子项目</w:t>
      </w:r>
    </w:p>
    <w:p w14:paraId="30BBC342">
      <w:pPr>
        <w:pStyle w:val="2"/>
        <w:spacing w:before="67" w:line="273" w:lineRule="auto"/>
        <w:ind w:firstLine="560"/>
        <w:jc w:val="both"/>
      </w:pPr>
      <w:r>
        <w:rPr>
          <w:spacing w:val="5"/>
        </w:rPr>
        <w:t>选择工作项目必须在子项目一级进行，图10.1给出了选择工作项目时必须</w:t>
      </w:r>
      <w:r>
        <w:rPr>
          <w:spacing w:val="3"/>
        </w:rPr>
        <w:t xml:space="preserve"> </w:t>
      </w:r>
      <w:r>
        <w:rPr>
          <w:spacing w:val="13"/>
        </w:rPr>
        <w:t>遵循的通用剪裁决策逻辑图。表10.1给出了在寿命周期各阶段</w:t>
      </w:r>
      <w:r>
        <w:rPr>
          <w:spacing w:val="12"/>
        </w:rPr>
        <w:t>中工作项目的</w:t>
      </w:r>
      <w:r>
        <w:t xml:space="preserve"> </w:t>
      </w:r>
      <w:r>
        <w:rPr>
          <w:spacing w:val="5"/>
        </w:rPr>
        <w:t>适用性。表10.1仅给出典型的应用情况，可根据不同系</w:t>
      </w:r>
      <w:r>
        <w:rPr>
          <w:spacing w:val="4"/>
        </w:rPr>
        <w:t>统和设备类型的具体阶</w:t>
      </w:r>
      <w:r>
        <w:t xml:space="preserve"> 段进行适当调整。</w:t>
      </w:r>
    </w:p>
    <w:p w14:paraId="75F87136">
      <w:pPr>
        <w:spacing w:line="273" w:lineRule="auto"/>
        <w:sectPr>
          <w:headerReference r:id="rId503" w:type="default"/>
          <w:footerReference r:id="rId504" w:type="default"/>
          <w:pgSz w:w="11910" w:h="17130"/>
          <w:pgMar w:top="400" w:right="1215" w:bottom="1623" w:left="1319" w:header="0" w:footer="1424" w:gutter="0"/>
          <w:cols w:equalWidth="0" w:num="1">
            <w:col w:w="9375"/>
          </w:cols>
        </w:sectPr>
      </w:pPr>
    </w:p>
    <w:p w14:paraId="21197601">
      <w:pPr>
        <w:pStyle w:val="2"/>
        <w:spacing w:before="71" w:line="221" w:lineRule="auto"/>
        <w:ind w:left="100"/>
        <w:rPr>
          <w:sz w:val="20"/>
          <w:szCs w:val="20"/>
        </w:rPr>
      </w:pPr>
      <w:r>
        <w:rPr>
          <w:spacing w:val="-18"/>
          <w:sz w:val="20"/>
          <w:szCs w:val="20"/>
        </w:rPr>
        <w:t>准备：</w:t>
      </w:r>
    </w:p>
    <w:p w14:paraId="41520552">
      <w:pPr>
        <w:pStyle w:val="2"/>
        <w:spacing w:before="124" w:line="231" w:lineRule="auto"/>
        <w:ind w:left="100" w:right="69"/>
        <w:rPr>
          <w:sz w:val="17"/>
          <w:szCs w:val="17"/>
        </w:rPr>
      </w:pPr>
      <w:r>
        <w:rPr>
          <w:spacing w:val="26"/>
          <w:sz w:val="16"/>
          <w:szCs w:val="16"/>
        </w:rPr>
        <w:t>为了确定目</w:t>
      </w:r>
      <w:r>
        <w:rPr>
          <w:sz w:val="16"/>
          <w:szCs w:val="16"/>
        </w:rPr>
        <w:t xml:space="preserve">   </w:t>
      </w:r>
      <w:r>
        <w:rPr>
          <w:spacing w:val="8"/>
          <w:sz w:val="16"/>
          <w:szCs w:val="16"/>
        </w:rPr>
        <w:t>标 、剪载工</w:t>
      </w:r>
      <w:r>
        <w:rPr>
          <w:sz w:val="16"/>
          <w:szCs w:val="16"/>
        </w:rPr>
        <w:t xml:space="preserve">   </w:t>
      </w:r>
      <w:r>
        <w:rPr>
          <w:spacing w:val="22"/>
          <w:sz w:val="16"/>
          <w:szCs w:val="16"/>
        </w:rPr>
        <w:t>作项目和编</w:t>
      </w:r>
      <w:r>
        <w:rPr>
          <w:sz w:val="16"/>
          <w:szCs w:val="16"/>
        </w:rPr>
        <w:t xml:space="preserve">   </w:t>
      </w:r>
      <w:r>
        <w:rPr>
          <w:spacing w:val="19"/>
          <w:sz w:val="16"/>
          <w:szCs w:val="16"/>
        </w:rPr>
        <w:t>制工作说明，</w:t>
      </w:r>
      <w:r>
        <w:rPr>
          <w:spacing w:val="4"/>
          <w:sz w:val="16"/>
          <w:szCs w:val="16"/>
        </w:rPr>
        <w:t xml:space="preserve"> </w:t>
      </w:r>
      <w:r>
        <w:rPr>
          <w:spacing w:val="16"/>
          <w:sz w:val="17"/>
          <w:szCs w:val="17"/>
        </w:rPr>
        <w:t>执行工作项</w:t>
      </w:r>
      <w:r>
        <w:rPr>
          <w:sz w:val="17"/>
          <w:szCs w:val="17"/>
        </w:rPr>
        <w:t xml:space="preserve">  </w:t>
      </w:r>
      <w:r>
        <w:rPr>
          <w:spacing w:val="13"/>
          <w:sz w:val="17"/>
          <w:szCs w:val="17"/>
        </w:rPr>
        <w:t>目101-</w:t>
      </w:r>
      <w:r>
        <w:rPr>
          <w:spacing w:val="-46"/>
          <w:sz w:val="17"/>
          <w:szCs w:val="17"/>
        </w:rPr>
        <w:t xml:space="preserve"> </w:t>
      </w:r>
      <w:r>
        <w:rPr>
          <w:spacing w:val="13"/>
          <w:sz w:val="17"/>
          <w:szCs w:val="17"/>
        </w:rPr>
        <w:t>制定</w:t>
      </w:r>
      <w:r>
        <w:rPr>
          <w:sz w:val="17"/>
          <w:szCs w:val="17"/>
        </w:rPr>
        <w:t xml:space="preserve">  </w:t>
      </w:r>
      <w:r>
        <w:rPr>
          <w:spacing w:val="11"/>
          <w:sz w:val="17"/>
          <w:szCs w:val="17"/>
        </w:rPr>
        <w:t>保障性分析</w:t>
      </w:r>
      <w:r>
        <w:rPr>
          <w:sz w:val="17"/>
          <w:szCs w:val="17"/>
        </w:rPr>
        <w:t xml:space="preserve">   </w:t>
      </w:r>
      <w:r>
        <w:rPr>
          <w:spacing w:val="12"/>
          <w:sz w:val="17"/>
          <w:szCs w:val="17"/>
        </w:rPr>
        <w:t>工作纲要和</w:t>
      </w:r>
      <w:r>
        <w:rPr>
          <w:sz w:val="17"/>
          <w:szCs w:val="17"/>
        </w:rPr>
        <w:t xml:space="preserve">   </w:t>
      </w:r>
      <w:r>
        <w:rPr>
          <w:spacing w:val="-6"/>
          <w:sz w:val="17"/>
          <w:szCs w:val="17"/>
        </w:rPr>
        <w:t>工作项目201-</w:t>
      </w:r>
      <w:r>
        <w:rPr>
          <w:spacing w:val="1"/>
          <w:sz w:val="17"/>
          <w:szCs w:val="17"/>
        </w:rPr>
        <w:t xml:space="preserve">  </w:t>
      </w:r>
      <w:r>
        <w:rPr>
          <w:spacing w:val="14"/>
          <w:sz w:val="17"/>
          <w:szCs w:val="17"/>
        </w:rPr>
        <w:t>使用研究</w:t>
      </w:r>
    </w:p>
    <w:p w14:paraId="3A2A52D7">
      <w:pPr>
        <w:spacing w:line="272" w:lineRule="auto"/>
        <w:rPr>
          <w:rFonts w:ascii="Arial"/>
          <w:sz w:val="21"/>
        </w:rPr>
      </w:pPr>
    </w:p>
    <w:p w14:paraId="08E6F52C">
      <w:pPr>
        <w:spacing w:line="273" w:lineRule="auto"/>
        <w:rPr>
          <w:rFonts w:ascii="Arial"/>
          <w:sz w:val="21"/>
        </w:rPr>
      </w:pPr>
    </w:p>
    <w:p w14:paraId="20036395">
      <w:pPr>
        <w:spacing w:line="273" w:lineRule="auto"/>
        <w:rPr>
          <w:rFonts w:ascii="Arial"/>
          <w:sz w:val="21"/>
        </w:rPr>
      </w:pPr>
    </w:p>
    <w:p w14:paraId="0AEF873A">
      <w:pPr>
        <w:spacing w:line="273" w:lineRule="auto"/>
        <w:rPr>
          <w:rFonts w:ascii="Arial"/>
          <w:sz w:val="21"/>
        </w:rPr>
      </w:pPr>
    </w:p>
    <w:p w14:paraId="46DB41A7">
      <w:pPr>
        <w:spacing w:line="273" w:lineRule="auto"/>
        <w:rPr>
          <w:rFonts w:ascii="Arial"/>
          <w:sz w:val="21"/>
        </w:rPr>
      </w:pPr>
    </w:p>
    <w:p w14:paraId="64564BAC">
      <w:pPr>
        <w:spacing w:line="273" w:lineRule="auto"/>
        <w:rPr>
          <w:rFonts w:ascii="Arial"/>
          <w:sz w:val="21"/>
        </w:rPr>
      </w:pPr>
    </w:p>
    <w:p w14:paraId="07BE3CC2">
      <w:pPr>
        <w:spacing w:line="273" w:lineRule="auto"/>
        <w:rPr>
          <w:rFonts w:ascii="Arial"/>
          <w:sz w:val="21"/>
        </w:rPr>
      </w:pPr>
    </w:p>
    <w:p w14:paraId="53EFDCA7">
      <w:pPr>
        <w:pStyle w:val="2"/>
        <w:spacing w:before="56" w:line="252" w:lineRule="auto"/>
        <w:ind w:left="100" w:right="358" w:firstLine="69"/>
        <w:rPr>
          <w:sz w:val="16"/>
          <w:szCs w:val="16"/>
        </w:rPr>
      </w:pPr>
      <w:r>
        <w:pict>
          <v:shape id="_x0000_s1048" o:spid="_x0000_s1048" o:spt="202" type="#_x0000_t202" style="position:absolute;left:0pt;margin-left:51.95pt;margin-top:30pt;height:14.1pt;width:11.45pt;z-index:251685888;mso-width-relative:page;mso-height-relative:page;" filled="f" stroked="f" coordsize="21600,21600">
            <v:path/>
            <v:fill on="f" focussize="0,0"/>
            <v:stroke on="f"/>
            <v:imagedata o:title=""/>
            <o:lock v:ext="edit" aspectratio="f"/>
            <v:textbox inset="0mm,0mm,0mm,0mm">
              <w:txbxContent>
                <w:p w14:paraId="0A241DD7">
                  <w:pPr>
                    <w:pStyle w:val="2"/>
                    <w:spacing w:before="19" w:line="223" w:lineRule="auto"/>
                    <w:ind w:left="20"/>
                    <w:rPr>
                      <w:sz w:val="20"/>
                      <w:szCs w:val="20"/>
                    </w:rPr>
                  </w:pPr>
                  <w:r>
                    <w:rPr>
                      <w:sz w:val="20"/>
                      <w:szCs w:val="20"/>
                    </w:rPr>
                    <w:t>是</w:t>
                  </w:r>
                </w:p>
              </w:txbxContent>
            </v:textbox>
          </v:shape>
        </w:pict>
      </w:r>
      <w:r>
        <w:rPr>
          <w:spacing w:val="10"/>
          <w:sz w:val="17"/>
          <w:szCs w:val="17"/>
        </w:rPr>
        <w:t>不需要正</w:t>
      </w:r>
      <w:r>
        <w:rPr>
          <w:sz w:val="17"/>
          <w:szCs w:val="17"/>
        </w:rPr>
        <w:t xml:space="preserve"> </w:t>
      </w:r>
      <w:r>
        <w:rPr>
          <w:spacing w:val="36"/>
          <w:sz w:val="16"/>
          <w:szCs w:val="16"/>
        </w:rPr>
        <w:t>式的分析</w:t>
      </w:r>
      <w:r>
        <w:rPr>
          <w:spacing w:val="1"/>
          <w:sz w:val="16"/>
          <w:szCs w:val="16"/>
        </w:rPr>
        <w:t xml:space="preserve"> </w:t>
      </w:r>
      <w:r>
        <w:rPr>
          <w:spacing w:val="24"/>
          <w:sz w:val="16"/>
          <w:szCs w:val="16"/>
        </w:rPr>
        <w:t>工作鼓励</w:t>
      </w:r>
    </w:p>
    <w:p w14:paraId="3C8AD519">
      <w:pPr>
        <w:pStyle w:val="2"/>
        <w:spacing w:line="188" w:lineRule="auto"/>
        <w:ind w:left="100"/>
        <w:rPr>
          <w:sz w:val="16"/>
          <w:szCs w:val="16"/>
        </w:rPr>
      </w:pPr>
      <w:r>
        <w:rPr>
          <w:spacing w:val="24"/>
          <w:sz w:val="16"/>
          <w:szCs w:val="16"/>
        </w:rPr>
        <w:t>按工作项</w:t>
      </w:r>
    </w:p>
    <w:p w14:paraId="57BB3FAA">
      <w:pPr>
        <w:pStyle w:val="2"/>
        <w:spacing w:before="1" w:line="233" w:lineRule="auto"/>
        <w:ind w:left="100" w:right="164" w:firstLine="69"/>
        <w:rPr>
          <w:sz w:val="17"/>
          <w:szCs w:val="17"/>
        </w:rPr>
      </w:pPr>
      <w:r>
        <w:rPr>
          <w:spacing w:val="-12"/>
          <w:sz w:val="17"/>
          <w:szCs w:val="17"/>
        </w:rPr>
        <w:t>目204、205、</w:t>
      </w:r>
      <w:r>
        <w:rPr>
          <w:spacing w:val="2"/>
          <w:sz w:val="17"/>
          <w:szCs w:val="17"/>
        </w:rPr>
        <w:t xml:space="preserve"> </w:t>
      </w:r>
      <w:r>
        <w:rPr>
          <w:spacing w:val="10"/>
          <w:sz w:val="17"/>
          <w:szCs w:val="17"/>
        </w:rPr>
        <w:t>303进行价</w:t>
      </w:r>
      <w:r>
        <w:rPr>
          <w:sz w:val="17"/>
          <w:szCs w:val="17"/>
        </w:rPr>
        <w:t xml:space="preserve">   </w:t>
      </w:r>
      <w:r>
        <w:rPr>
          <w:spacing w:val="14"/>
          <w:sz w:val="17"/>
          <w:szCs w:val="17"/>
        </w:rPr>
        <w:t>值工程分</w:t>
      </w:r>
    </w:p>
    <w:p w14:paraId="26BCAF5F">
      <w:pPr>
        <w:pStyle w:val="2"/>
        <w:spacing w:before="24" w:line="220" w:lineRule="auto"/>
        <w:ind w:left="100"/>
        <w:rPr>
          <w:sz w:val="17"/>
          <w:szCs w:val="17"/>
        </w:rPr>
      </w:pPr>
      <w:r>
        <w:rPr>
          <w:sz w:val="17"/>
          <w:szCs w:val="17"/>
        </w:rPr>
        <w:t>析</w:t>
      </w:r>
    </w:p>
    <w:p w14:paraId="066CEFD9">
      <w:pPr>
        <w:spacing w:before="3"/>
      </w:pPr>
    </w:p>
    <w:p w14:paraId="39D8ABA7">
      <w:pPr>
        <w:spacing w:before="3"/>
      </w:pPr>
    </w:p>
    <w:p w14:paraId="0A7D36AF">
      <w:pPr>
        <w:spacing w:before="3"/>
      </w:pPr>
    </w:p>
    <w:p w14:paraId="2C5E53B5">
      <w:pPr>
        <w:spacing w:before="3"/>
      </w:pPr>
    </w:p>
    <w:p w14:paraId="68BF80E1">
      <w:pPr>
        <w:spacing w:before="3"/>
      </w:pPr>
    </w:p>
    <w:p w14:paraId="096F91A6">
      <w:pPr>
        <w:spacing w:before="3"/>
      </w:pPr>
    </w:p>
    <w:p w14:paraId="56CCECDD">
      <w:pPr>
        <w:spacing w:before="3"/>
      </w:pPr>
    </w:p>
    <w:p w14:paraId="52F5D99E">
      <w:pPr>
        <w:spacing w:before="3"/>
      </w:pPr>
    </w:p>
    <w:p w14:paraId="2F0D44A1">
      <w:pPr>
        <w:spacing w:before="3"/>
      </w:pPr>
    </w:p>
    <w:p w14:paraId="5289DCC3">
      <w:pPr>
        <w:spacing w:before="3"/>
      </w:pPr>
    </w:p>
    <w:p w14:paraId="3F068469">
      <w:pPr>
        <w:spacing w:before="3"/>
      </w:pPr>
    </w:p>
    <w:p w14:paraId="2936F0DD">
      <w:pPr>
        <w:spacing w:before="3"/>
      </w:pPr>
    </w:p>
    <w:p w14:paraId="4DCE75D1">
      <w:pPr>
        <w:spacing w:before="3"/>
      </w:pPr>
    </w:p>
    <w:p w14:paraId="3993E6F8">
      <w:pPr>
        <w:spacing w:before="2"/>
      </w:pPr>
    </w:p>
    <w:p w14:paraId="23566707">
      <w:pPr>
        <w:spacing w:before="2"/>
      </w:pPr>
    </w:p>
    <w:p w14:paraId="7A215F85">
      <w:pPr>
        <w:spacing w:before="2"/>
      </w:pPr>
    </w:p>
    <w:p w14:paraId="2A82B1EC">
      <w:pPr>
        <w:spacing w:line="14" w:lineRule="auto"/>
        <w:rPr>
          <w:rFonts w:ascii="Arial"/>
          <w:sz w:val="2"/>
        </w:rPr>
      </w:pPr>
      <w:r>
        <w:rPr>
          <w:rFonts w:ascii="Arial" w:hAnsi="Arial" w:eastAsia="Arial" w:cs="Arial"/>
          <w:sz w:val="2"/>
          <w:szCs w:val="2"/>
        </w:rPr>
        <w:br w:type="column"/>
      </w:r>
    </w:p>
    <w:p w14:paraId="1783AE6F">
      <w:pPr>
        <w:pStyle w:val="2"/>
        <w:spacing w:before="88" w:line="219" w:lineRule="auto"/>
        <w:rPr>
          <w:sz w:val="17"/>
          <w:szCs w:val="17"/>
        </w:rPr>
      </w:pPr>
      <w:r>
        <w:rPr>
          <w:spacing w:val="1"/>
          <w:sz w:val="17"/>
          <w:szCs w:val="17"/>
        </w:rPr>
        <w:t>剪载：</w:t>
      </w:r>
      <w:r>
        <w:rPr>
          <w:spacing w:val="5"/>
          <w:sz w:val="17"/>
          <w:szCs w:val="17"/>
        </w:rPr>
        <w:t xml:space="preserve">        </w:t>
      </w:r>
      <w:r>
        <w:rPr>
          <w:spacing w:val="1"/>
          <w:sz w:val="17"/>
          <w:szCs w:val="17"/>
        </w:rPr>
        <w:t>更改自由度：</w:t>
      </w:r>
    </w:p>
    <w:p w14:paraId="46E262C3">
      <w:pPr>
        <w:pStyle w:val="2"/>
        <w:spacing w:before="135" w:line="223" w:lineRule="auto"/>
        <w:ind w:left="110" w:right="1475"/>
        <w:rPr>
          <w:sz w:val="17"/>
          <w:szCs w:val="17"/>
        </w:rPr>
      </w:pPr>
      <w:r>
        <w:pict>
          <v:shape id="_x0000_s1049" o:spid="_x0000_s1049" o:spt="202" type="#_x0000_t202" style="position:absolute;left:0pt;margin-left:73pt;margin-top:6.2pt;height:66.75pt;width:40.4pt;z-index:251683840;mso-width-relative:page;mso-height-relative:page;" filled="f" stroked="f" coordsize="21600,21600">
            <v:path/>
            <v:fill on="f" focussize="0,0"/>
            <v:stroke on="f"/>
            <v:imagedata o:title=""/>
            <o:lock v:ext="edit" aspectratio="f"/>
            <v:textbox inset="0mm,0mm,0mm,0mm">
              <w:txbxContent>
                <w:p w14:paraId="708B130F">
                  <w:pPr>
                    <w:pStyle w:val="2"/>
                    <w:spacing w:before="19" w:line="278" w:lineRule="auto"/>
                    <w:ind w:left="20" w:right="20"/>
                    <w:jc w:val="both"/>
                    <w:rPr>
                      <w:sz w:val="15"/>
                      <w:szCs w:val="15"/>
                    </w:rPr>
                  </w:pPr>
                  <w:r>
                    <w:rPr>
                      <w:spacing w:val="-8"/>
                      <w:sz w:val="15"/>
                      <w:szCs w:val="15"/>
                    </w:rPr>
                    <w:t>系</w:t>
                  </w:r>
                  <w:r>
                    <w:rPr>
                      <w:spacing w:val="-20"/>
                      <w:sz w:val="15"/>
                      <w:szCs w:val="15"/>
                    </w:rPr>
                    <w:t xml:space="preserve"> </w:t>
                  </w:r>
                  <w:r>
                    <w:rPr>
                      <w:spacing w:val="-8"/>
                      <w:sz w:val="15"/>
                      <w:szCs w:val="15"/>
                    </w:rPr>
                    <w:t>统</w:t>
                  </w:r>
                  <w:r>
                    <w:rPr>
                      <w:spacing w:val="-25"/>
                      <w:sz w:val="15"/>
                      <w:szCs w:val="15"/>
                    </w:rPr>
                    <w:t xml:space="preserve"> </w:t>
                  </w:r>
                  <w:r>
                    <w:rPr>
                      <w:spacing w:val="-8"/>
                      <w:sz w:val="15"/>
                      <w:szCs w:val="15"/>
                    </w:rPr>
                    <w:t>及</w:t>
                  </w:r>
                  <w:r>
                    <w:rPr>
                      <w:spacing w:val="-24"/>
                      <w:sz w:val="15"/>
                      <w:szCs w:val="15"/>
                    </w:rPr>
                    <w:t xml:space="preserve"> </w:t>
                  </w:r>
                  <w:r>
                    <w:rPr>
                      <w:spacing w:val="-8"/>
                      <w:sz w:val="15"/>
                      <w:szCs w:val="15"/>
                    </w:rPr>
                    <w:t>保</w:t>
                  </w:r>
                  <w:r>
                    <w:rPr>
                      <w:sz w:val="15"/>
                      <w:szCs w:val="15"/>
                    </w:rPr>
                    <w:t xml:space="preserve"> </w:t>
                  </w:r>
                  <w:r>
                    <w:rPr>
                      <w:spacing w:val="-9"/>
                      <w:sz w:val="15"/>
                      <w:szCs w:val="15"/>
                    </w:rPr>
                    <w:t>障 资 源 设</w:t>
                  </w:r>
                  <w:r>
                    <w:rPr>
                      <w:spacing w:val="4"/>
                      <w:sz w:val="15"/>
                      <w:szCs w:val="15"/>
                    </w:rPr>
                    <w:t xml:space="preserve"> </w:t>
                  </w:r>
                  <w:r>
                    <w:rPr>
                      <w:spacing w:val="-8"/>
                      <w:sz w:val="15"/>
                      <w:szCs w:val="15"/>
                    </w:rPr>
                    <w:t>计</w:t>
                  </w:r>
                  <w:r>
                    <w:rPr>
                      <w:spacing w:val="-10"/>
                      <w:sz w:val="15"/>
                      <w:szCs w:val="15"/>
                    </w:rPr>
                    <w:t xml:space="preserve"> </w:t>
                  </w:r>
                  <w:r>
                    <w:rPr>
                      <w:spacing w:val="-8"/>
                      <w:sz w:val="15"/>
                      <w:szCs w:val="15"/>
                    </w:rPr>
                    <w:t>均</w:t>
                  </w:r>
                  <w:r>
                    <w:rPr>
                      <w:spacing w:val="-10"/>
                      <w:sz w:val="15"/>
                      <w:szCs w:val="15"/>
                    </w:rPr>
                    <w:t xml:space="preserve"> </w:t>
                  </w:r>
                  <w:r>
                    <w:rPr>
                      <w:spacing w:val="-8"/>
                      <w:sz w:val="15"/>
                      <w:szCs w:val="15"/>
                    </w:rPr>
                    <w:t>更 改</w:t>
                  </w:r>
                </w:p>
                <w:p w14:paraId="41B6D451">
                  <w:pPr>
                    <w:pStyle w:val="2"/>
                    <w:spacing w:before="203" w:line="232" w:lineRule="auto"/>
                    <w:ind w:left="20" w:right="79" w:firstLine="99"/>
                    <w:rPr>
                      <w:sz w:val="17"/>
                      <w:szCs w:val="17"/>
                    </w:rPr>
                  </w:pPr>
                  <w:r>
                    <w:rPr>
                      <w:spacing w:val="9"/>
                      <w:sz w:val="17"/>
                      <w:szCs w:val="17"/>
                    </w:rPr>
                    <w:t>仅更改</w:t>
                  </w:r>
                  <w:r>
                    <w:rPr>
                      <w:sz w:val="17"/>
                      <w:szCs w:val="17"/>
                    </w:rPr>
                    <w:t xml:space="preserve">  </w:t>
                  </w:r>
                  <w:r>
                    <w:rPr>
                      <w:spacing w:val="6"/>
                      <w:sz w:val="17"/>
                      <w:szCs w:val="17"/>
                    </w:rPr>
                    <w:t>系统设计</w:t>
                  </w:r>
                </w:p>
              </w:txbxContent>
            </v:textbox>
          </v:shape>
        </w:pict>
      </w:r>
      <w:r>
        <w:rPr>
          <w:spacing w:val="4"/>
          <w:sz w:val="17"/>
          <w:szCs w:val="17"/>
        </w:rPr>
        <w:t>根据用户、</w:t>
      </w:r>
      <w:r>
        <w:rPr>
          <w:spacing w:val="3"/>
          <w:sz w:val="17"/>
          <w:szCs w:val="17"/>
        </w:rPr>
        <w:t xml:space="preserve"> </w:t>
      </w:r>
      <w:r>
        <w:rPr>
          <w:spacing w:val="5"/>
          <w:sz w:val="17"/>
          <w:szCs w:val="17"/>
        </w:rPr>
        <w:t>型号初始</w:t>
      </w:r>
      <w:r>
        <w:rPr>
          <w:sz w:val="17"/>
          <w:szCs w:val="17"/>
        </w:rPr>
        <w:t xml:space="preserve">   </w:t>
      </w:r>
      <w:r>
        <w:rPr>
          <w:spacing w:val="4"/>
          <w:sz w:val="17"/>
          <w:szCs w:val="17"/>
        </w:rPr>
        <w:t>文件、合</w:t>
      </w:r>
      <w:r>
        <w:rPr>
          <w:sz w:val="17"/>
          <w:szCs w:val="17"/>
        </w:rPr>
        <w:t xml:space="preserve">   </w:t>
      </w:r>
      <w:r>
        <w:rPr>
          <w:spacing w:val="4"/>
          <w:sz w:val="17"/>
          <w:szCs w:val="17"/>
        </w:rPr>
        <w:t>同签订权</w:t>
      </w:r>
      <w:r>
        <w:rPr>
          <w:sz w:val="17"/>
          <w:szCs w:val="17"/>
        </w:rPr>
        <w:t xml:space="preserve">   </w:t>
      </w:r>
      <w:r>
        <w:rPr>
          <w:spacing w:val="6"/>
          <w:sz w:val="17"/>
          <w:szCs w:val="17"/>
        </w:rPr>
        <w:t>限及承制</w:t>
      </w:r>
      <w:r>
        <w:rPr>
          <w:sz w:val="17"/>
          <w:szCs w:val="17"/>
        </w:rPr>
        <w:t xml:space="preserve">   </w:t>
      </w:r>
      <w:r>
        <w:rPr>
          <w:spacing w:val="4"/>
          <w:sz w:val="17"/>
          <w:szCs w:val="17"/>
        </w:rPr>
        <w:t>方，评估</w:t>
      </w:r>
      <w:r>
        <w:rPr>
          <w:sz w:val="17"/>
          <w:szCs w:val="17"/>
        </w:rPr>
        <w:t xml:space="preserve">   </w:t>
      </w:r>
      <w:r>
        <w:rPr>
          <w:spacing w:val="7"/>
          <w:sz w:val="17"/>
          <w:szCs w:val="17"/>
        </w:rPr>
        <w:t>设计自由</w:t>
      </w:r>
      <w:r>
        <w:rPr>
          <w:sz w:val="17"/>
          <w:szCs w:val="17"/>
        </w:rPr>
        <w:t xml:space="preserve">   度</w:t>
      </w:r>
    </w:p>
    <w:p w14:paraId="57334A1C">
      <w:pPr>
        <w:pStyle w:val="2"/>
        <w:spacing w:before="2" w:line="212" w:lineRule="auto"/>
        <w:ind w:left="1480" w:right="214"/>
        <w:rPr>
          <w:sz w:val="17"/>
          <w:szCs w:val="17"/>
        </w:rPr>
      </w:pPr>
      <w:r>
        <w:rPr>
          <w:spacing w:val="21"/>
          <w:sz w:val="17"/>
          <w:szCs w:val="17"/>
        </w:rPr>
        <w:t>仅更改保</w:t>
      </w:r>
      <w:r>
        <w:rPr>
          <w:sz w:val="17"/>
          <w:szCs w:val="17"/>
        </w:rPr>
        <w:t xml:space="preserve"> </w:t>
      </w:r>
      <w:r>
        <w:rPr>
          <w:spacing w:val="16"/>
          <w:sz w:val="17"/>
          <w:szCs w:val="17"/>
        </w:rPr>
        <w:t>障资源设</w:t>
      </w:r>
    </w:p>
    <w:p w14:paraId="409D6207">
      <w:pPr>
        <w:pStyle w:val="2"/>
        <w:spacing w:before="30" w:line="221" w:lineRule="auto"/>
        <w:ind w:left="1770"/>
        <w:rPr>
          <w:sz w:val="20"/>
          <w:szCs w:val="20"/>
        </w:rPr>
      </w:pPr>
      <w:r>
        <w:rPr>
          <w:sz w:val="20"/>
          <w:szCs w:val="20"/>
        </w:rPr>
        <w:t>计</w:t>
      </w:r>
    </w:p>
    <w:p w14:paraId="506B63D5">
      <w:pPr>
        <w:pStyle w:val="2"/>
        <w:spacing w:line="220" w:lineRule="auto"/>
        <w:ind w:left="2020"/>
        <w:rPr>
          <w:sz w:val="20"/>
          <w:szCs w:val="20"/>
        </w:rPr>
      </w:pPr>
      <w:r>
        <w:rPr>
          <w:sz w:val="20"/>
          <w:szCs w:val="20"/>
        </w:rPr>
        <w:t>否</w:t>
      </w:r>
    </w:p>
    <w:p w14:paraId="196D9400">
      <w:pPr>
        <w:pStyle w:val="2"/>
        <w:spacing w:before="91" w:line="220" w:lineRule="auto"/>
        <w:ind w:left="110"/>
        <w:rPr>
          <w:sz w:val="17"/>
          <w:szCs w:val="17"/>
        </w:rPr>
      </w:pPr>
      <w:r>
        <w:rPr>
          <w:spacing w:val="4"/>
          <w:sz w:val="17"/>
          <w:szCs w:val="17"/>
        </w:rPr>
        <w:t>无自由度</w:t>
      </w:r>
    </w:p>
    <w:p w14:paraId="5946AC28">
      <w:pPr>
        <w:pStyle w:val="2"/>
        <w:spacing w:before="125" w:line="231" w:lineRule="auto"/>
        <w:ind w:left="1639" w:right="216" w:hanging="69"/>
        <w:rPr>
          <w:sz w:val="17"/>
          <w:szCs w:val="17"/>
        </w:rPr>
      </w:pPr>
      <w:r>
        <w:pict>
          <v:shape id="_x0000_s1050" o:spid="_x0000_s1050" o:spt="202" type="#_x0000_t202" style="position:absolute;left:0pt;margin-left:52.45pt;margin-top:12.05pt;height:14.1pt;width:11.45pt;z-index:251684864;mso-width-relative:page;mso-height-relative:page;" filled="f" stroked="f" coordsize="21600,21600">
            <v:path/>
            <v:fill on="f" focussize="0,0"/>
            <v:stroke on="f"/>
            <v:imagedata o:title=""/>
            <o:lock v:ext="edit" aspectratio="f"/>
            <v:textbox inset="0mm,0mm,0mm,0mm">
              <w:txbxContent>
                <w:p w14:paraId="14254FB7">
                  <w:pPr>
                    <w:pStyle w:val="2"/>
                    <w:spacing w:before="19" w:line="223" w:lineRule="auto"/>
                    <w:ind w:left="20"/>
                    <w:rPr>
                      <w:sz w:val="20"/>
                      <w:szCs w:val="20"/>
                    </w:rPr>
                  </w:pPr>
                  <w:r>
                    <w:rPr>
                      <w:sz w:val="20"/>
                      <w:szCs w:val="20"/>
                    </w:rPr>
                    <w:t>是</w:t>
                  </w:r>
                </w:p>
              </w:txbxContent>
            </v:textbox>
          </v:shape>
        </w:pict>
      </w:r>
      <w:r>
        <w:pict>
          <v:shape id="_x0000_s1051" o:spid="_x0000_s1051" o:spt="202" type="#_x0000_t202" style="position:absolute;left:0pt;margin-left:4.5pt;margin-top:20.3pt;height:120.55pt;width:37.9pt;z-index:251682816;mso-width-relative:page;mso-height-relative:page;" filled="f" stroked="f" coordsize="21600,21600">
            <v:path/>
            <v:fill on="f" focussize="0,0"/>
            <v:stroke on="f"/>
            <v:imagedata o:title=""/>
            <o:lock v:ext="edit" aspectratio="f"/>
            <v:textbox inset="0mm,0mm,0mm,0mm">
              <w:txbxContent>
                <w:p w14:paraId="173BC469">
                  <w:pPr>
                    <w:pStyle w:val="2"/>
                    <w:spacing w:before="19" w:line="261" w:lineRule="auto"/>
                    <w:ind w:left="20" w:right="20"/>
                    <w:jc w:val="both"/>
                    <w:rPr>
                      <w:sz w:val="20"/>
                      <w:szCs w:val="20"/>
                    </w:rPr>
                  </w:pPr>
                  <w:r>
                    <w:rPr>
                      <w:spacing w:val="9"/>
                      <w:sz w:val="17"/>
                      <w:szCs w:val="17"/>
                    </w:rPr>
                    <w:t>需要保障</w:t>
                  </w:r>
                  <w:r>
                    <w:rPr>
                      <w:sz w:val="17"/>
                      <w:szCs w:val="17"/>
                    </w:rPr>
                    <w:t xml:space="preserve"> </w:t>
                  </w:r>
                  <w:r>
                    <w:rPr>
                      <w:spacing w:val="5"/>
                      <w:sz w:val="17"/>
                      <w:szCs w:val="17"/>
                    </w:rPr>
                    <w:t>资源规划</w:t>
                  </w:r>
                  <w:r>
                    <w:rPr>
                      <w:spacing w:val="1"/>
                      <w:sz w:val="17"/>
                      <w:szCs w:val="17"/>
                    </w:rPr>
                    <w:t xml:space="preserve"> </w:t>
                  </w:r>
                  <w:r>
                    <w:rPr>
                      <w:spacing w:val="5"/>
                      <w:sz w:val="17"/>
                      <w:szCs w:val="17"/>
                    </w:rPr>
                    <w:t>或研制吗</w:t>
                  </w:r>
                  <w:r>
                    <w:rPr>
                      <w:sz w:val="17"/>
                      <w:szCs w:val="17"/>
                    </w:rPr>
                    <w:t xml:space="preserve"> </w:t>
                  </w:r>
                  <w:r>
                    <w:rPr>
                      <w:sz w:val="20"/>
                      <w:szCs w:val="20"/>
                    </w:rPr>
                    <w:t>否</w:t>
                  </w:r>
                </w:p>
                <w:p w14:paraId="26108F9D">
                  <w:pPr>
                    <w:pStyle w:val="2"/>
                    <w:spacing w:before="294" w:line="279" w:lineRule="auto"/>
                    <w:ind w:left="20" w:right="39"/>
                    <w:jc w:val="both"/>
                    <w:rPr>
                      <w:sz w:val="17"/>
                      <w:szCs w:val="17"/>
                    </w:rPr>
                  </w:pPr>
                  <w:r>
                    <w:rPr>
                      <w:spacing w:val="3"/>
                      <w:sz w:val="17"/>
                      <w:szCs w:val="17"/>
                    </w:rPr>
                    <w:t>是现货供</w:t>
                  </w:r>
                  <w:r>
                    <w:rPr>
                      <w:spacing w:val="2"/>
                      <w:sz w:val="17"/>
                      <w:szCs w:val="17"/>
                    </w:rPr>
                    <w:t xml:space="preserve"> </w:t>
                  </w:r>
                  <w:r>
                    <w:rPr>
                      <w:spacing w:val="4"/>
                      <w:sz w:val="17"/>
                      <w:szCs w:val="17"/>
                    </w:rPr>
                    <w:t>应或是全</w:t>
                  </w:r>
                  <w:r>
                    <w:rPr>
                      <w:sz w:val="17"/>
                      <w:szCs w:val="17"/>
                    </w:rPr>
                    <w:t xml:space="preserve"> </w:t>
                  </w:r>
                  <w:r>
                    <w:rPr>
                      <w:spacing w:val="8"/>
                      <w:sz w:val="17"/>
                      <w:szCs w:val="17"/>
                    </w:rPr>
                    <w:t>面生产?</w:t>
                  </w:r>
                </w:p>
                <w:p w14:paraId="243C7603">
                  <w:pPr>
                    <w:pStyle w:val="2"/>
                    <w:spacing w:before="62" w:line="220" w:lineRule="auto"/>
                    <w:ind w:left="20"/>
                    <w:rPr>
                      <w:sz w:val="20"/>
                      <w:szCs w:val="20"/>
                    </w:rPr>
                  </w:pPr>
                  <w:r>
                    <w:rPr>
                      <w:sz w:val="20"/>
                      <w:szCs w:val="20"/>
                    </w:rPr>
                    <w:t>否</w:t>
                  </w:r>
                </w:p>
              </w:txbxContent>
            </v:textbox>
          </v:shape>
        </w:pict>
      </w:r>
      <w:r>
        <w:rPr>
          <w:spacing w:val="-2"/>
          <w:sz w:val="17"/>
          <w:szCs w:val="17"/>
        </w:rPr>
        <w:t>考虑使用</w:t>
      </w:r>
      <w:r>
        <w:rPr>
          <w:sz w:val="17"/>
          <w:szCs w:val="17"/>
        </w:rPr>
        <w:t xml:space="preserve"> </w:t>
      </w:r>
      <w:r>
        <w:rPr>
          <w:spacing w:val="5"/>
          <w:sz w:val="17"/>
          <w:szCs w:val="17"/>
        </w:rPr>
        <w:t>与保障</w:t>
      </w:r>
    </w:p>
    <w:p w14:paraId="56A82BBE">
      <w:pPr>
        <w:spacing w:line="389" w:lineRule="auto"/>
        <w:rPr>
          <w:rFonts w:ascii="Arial"/>
          <w:sz w:val="21"/>
        </w:rPr>
      </w:pPr>
    </w:p>
    <w:p w14:paraId="6969E8F8">
      <w:pPr>
        <w:pStyle w:val="2"/>
        <w:spacing w:before="55" w:line="216" w:lineRule="auto"/>
        <w:ind w:left="1480"/>
        <w:rPr>
          <w:sz w:val="17"/>
          <w:szCs w:val="17"/>
        </w:rPr>
      </w:pPr>
      <w:r>
        <w:rPr>
          <w:spacing w:val="1"/>
          <w:sz w:val="17"/>
          <w:szCs w:val="17"/>
        </w:rPr>
        <w:t>规定：</w:t>
      </w:r>
    </w:p>
    <w:p w14:paraId="2E73E9F9">
      <w:pPr>
        <w:pStyle w:val="2"/>
        <w:spacing w:before="1" w:line="219" w:lineRule="auto"/>
        <w:ind w:left="1480"/>
        <w:rPr>
          <w:sz w:val="17"/>
          <w:szCs w:val="17"/>
        </w:rPr>
      </w:pPr>
      <w:r>
        <w:rPr>
          <w:spacing w:val="11"/>
          <w:sz w:val="17"/>
          <w:szCs w:val="17"/>
        </w:rPr>
        <w:t>保障资源</w:t>
      </w:r>
    </w:p>
    <w:p w14:paraId="617C53F8">
      <w:pPr>
        <w:pStyle w:val="2"/>
        <w:spacing w:before="8" w:line="220" w:lineRule="auto"/>
        <w:ind w:left="1480"/>
        <w:rPr>
          <w:sz w:val="17"/>
          <w:szCs w:val="17"/>
        </w:rPr>
      </w:pPr>
      <w:r>
        <w:rPr>
          <w:spacing w:val="12"/>
          <w:sz w:val="17"/>
          <w:szCs w:val="17"/>
        </w:rPr>
        <w:t>限制，工</w:t>
      </w:r>
    </w:p>
    <w:p w14:paraId="5F5C392B">
      <w:pPr>
        <w:pStyle w:val="2"/>
        <w:spacing w:before="25" w:line="189" w:lineRule="auto"/>
        <w:ind w:left="1480" w:right="97"/>
        <w:rPr>
          <w:rFonts w:ascii="Times New Roman" w:hAnsi="Times New Roman" w:eastAsia="Times New Roman" w:cs="Times New Roman"/>
          <w:sz w:val="20"/>
          <w:szCs w:val="20"/>
        </w:rPr>
      </w:pPr>
      <w:r>
        <w:rPr>
          <w:spacing w:val="4"/>
          <w:sz w:val="17"/>
          <w:szCs w:val="17"/>
        </w:rPr>
        <w:t>作项目201,</w:t>
      </w:r>
      <w:r>
        <w:rPr>
          <w:spacing w:val="3"/>
          <w:sz w:val="17"/>
          <w:szCs w:val="17"/>
        </w:rPr>
        <w:t xml:space="preserve"> </w:t>
      </w:r>
      <w:r>
        <w:rPr>
          <w:rFonts w:ascii="Times New Roman" w:hAnsi="Times New Roman" w:eastAsia="Times New Roman" w:cs="Times New Roman"/>
          <w:spacing w:val="-4"/>
          <w:sz w:val="20"/>
          <w:szCs w:val="20"/>
        </w:rPr>
        <w:t>202,203,</w:t>
      </w:r>
    </w:p>
    <w:p w14:paraId="79951B13">
      <w:pPr>
        <w:pStyle w:val="2"/>
        <w:spacing w:before="36" w:line="235" w:lineRule="auto"/>
        <w:ind w:left="1470" w:right="240" w:firstLine="10"/>
        <w:rPr>
          <w:sz w:val="17"/>
          <w:szCs w:val="17"/>
        </w:rPr>
      </w:pPr>
      <w:r>
        <w:rPr>
          <w:spacing w:val="-4"/>
          <w:sz w:val="19"/>
          <w:szCs w:val="19"/>
        </w:rPr>
        <w:t>205,关键</w:t>
      </w:r>
      <w:r>
        <w:rPr>
          <w:spacing w:val="2"/>
          <w:sz w:val="19"/>
          <w:szCs w:val="19"/>
        </w:rPr>
        <w:t xml:space="preserve"> </w:t>
      </w:r>
      <w:r>
        <w:rPr>
          <w:spacing w:val="14"/>
          <w:sz w:val="17"/>
          <w:szCs w:val="17"/>
        </w:rPr>
        <w:t>性资源按</w:t>
      </w:r>
      <w:r>
        <w:rPr>
          <w:spacing w:val="2"/>
          <w:sz w:val="17"/>
          <w:szCs w:val="17"/>
        </w:rPr>
        <w:t xml:space="preserve"> </w:t>
      </w:r>
      <w:r>
        <w:rPr>
          <w:spacing w:val="15"/>
          <w:sz w:val="17"/>
          <w:szCs w:val="17"/>
        </w:rPr>
        <w:t>适用而定</w:t>
      </w:r>
    </w:p>
    <w:p w14:paraId="3C6EA8B6">
      <w:pPr>
        <w:spacing w:line="458" w:lineRule="auto"/>
        <w:rPr>
          <w:rFonts w:ascii="Arial"/>
          <w:sz w:val="21"/>
        </w:rPr>
      </w:pPr>
    </w:p>
    <w:p w14:paraId="1B6FDEC6">
      <w:pPr>
        <w:pStyle w:val="2"/>
        <w:spacing w:before="56" w:line="223" w:lineRule="auto"/>
        <w:ind w:left="110" w:right="1592"/>
        <w:jc w:val="both"/>
        <w:rPr>
          <w:sz w:val="17"/>
          <w:szCs w:val="17"/>
        </w:rPr>
      </w:pPr>
      <w:r>
        <w:rPr>
          <w:spacing w:val="19"/>
          <w:sz w:val="17"/>
          <w:szCs w:val="17"/>
        </w:rPr>
        <w:t>特殊情况</w:t>
      </w:r>
      <w:r>
        <w:rPr>
          <w:sz w:val="17"/>
          <w:szCs w:val="17"/>
        </w:rPr>
        <w:t xml:space="preserve"> </w:t>
      </w:r>
      <w:r>
        <w:rPr>
          <w:spacing w:val="4"/>
          <w:sz w:val="17"/>
          <w:szCs w:val="17"/>
        </w:rPr>
        <w:t>进入决策</w:t>
      </w:r>
      <w:r>
        <w:rPr>
          <w:sz w:val="17"/>
          <w:szCs w:val="17"/>
        </w:rPr>
        <w:t xml:space="preserve"> </w:t>
      </w:r>
      <w:r>
        <w:rPr>
          <w:spacing w:val="4"/>
          <w:sz w:val="17"/>
          <w:szCs w:val="17"/>
        </w:rPr>
        <w:t>树最适合</w:t>
      </w:r>
      <w:r>
        <w:rPr>
          <w:sz w:val="17"/>
          <w:szCs w:val="17"/>
        </w:rPr>
        <w:t xml:space="preserve"> </w:t>
      </w:r>
      <w:r>
        <w:rPr>
          <w:spacing w:val="5"/>
          <w:sz w:val="17"/>
          <w:szCs w:val="17"/>
        </w:rPr>
        <w:t>的位置</w:t>
      </w:r>
    </w:p>
    <w:p w14:paraId="671DB1A9">
      <w:pPr>
        <w:pStyle w:val="2"/>
        <w:spacing w:before="1" w:line="253" w:lineRule="auto"/>
        <w:ind w:left="1480" w:right="247"/>
        <w:jc w:val="both"/>
        <w:rPr>
          <w:sz w:val="16"/>
          <w:szCs w:val="16"/>
        </w:rPr>
      </w:pPr>
      <w:r>
        <w:rPr>
          <w:spacing w:val="13"/>
          <w:sz w:val="17"/>
          <w:szCs w:val="17"/>
        </w:rPr>
        <w:t>资源规划</w:t>
      </w:r>
      <w:r>
        <w:rPr>
          <w:sz w:val="17"/>
          <w:szCs w:val="17"/>
        </w:rPr>
        <w:t xml:space="preserve"> </w:t>
      </w:r>
      <w:r>
        <w:rPr>
          <w:spacing w:val="22"/>
          <w:sz w:val="16"/>
          <w:szCs w:val="16"/>
        </w:rPr>
        <w:t>与研制均</w:t>
      </w:r>
      <w:r>
        <w:rPr>
          <w:spacing w:val="1"/>
          <w:sz w:val="16"/>
          <w:szCs w:val="16"/>
        </w:rPr>
        <w:t xml:space="preserve"> </w:t>
      </w:r>
      <w:r>
        <w:rPr>
          <w:spacing w:val="-8"/>
          <w:sz w:val="16"/>
          <w:szCs w:val="16"/>
        </w:rPr>
        <w:t>需</w:t>
      </w:r>
      <w:r>
        <w:rPr>
          <w:spacing w:val="-10"/>
          <w:sz w:val="16"/>
          <w:szCs w:val="16"/>
        </w:rPr>
        <w:t xml:space="preserve"> </w:t>
      </w:r>
      <w:r>
        <w:rPr>
          <w:spacing w:val="-8"/>
          <w:sz w:val="16"/>
          <w:szCs w:val="16"/>
        </w:rPr>
        <w:t>要</w:t>
      </w:r>
    </w:p>
    <w:p w14:paraId="66963995">
      <w:pPr>
        <w:spacing w:line="458" w:lineRule="auto"/>
        <w:rPr>
          <w:rFonts w:ascii="Arial"/>
          <w:sz w:val="21"/>
        </w:rPr>
      </w:pPr>
    </w:p>
    <w:p w14:paraId="1ED65298">
      <w:pPr>
        <w:pStyle w:val="2"/>
        <w:spacing w:before="55" w:line="222" w:lineRule="auto"/>
        <w:ind w:left="1480" w:right="267"/>
        <w:rPr>
          <w:sz w:val="17"/>
          <w:szCs w:val="17"/>
        </w:rPr>
      </w:pPr>
      <w:r>
        <w:rPr>
          <w:spacing w:val="8"/>
          <w:sz w:val="17"/>
          <w:szCs w:val="17"/>
        </w:rPr>
        <w:t>只需要资</w:t>
      </w:r>
      <w:r>
        <w:rPr>
          <w:sz w:val="17"/>
          <w:szCs w:val="17"/>
        </w:rPr>
        <w:t xml:space="preserve"> </w:t>
      </w:r>
      <w:r>
        <w:rPr>
          <w:spacing w:val="7"/>
          <w:sz w:val="17"/>
          <w:szCs w:val="17"/>
        </w:rPr>
        <w:t>源规划</w:t>
      </w:r>
    </w:p>
    <w:p w14:paraId="234F388B">
      <w:pPr>
        <w:spacing w:line="304" w:lineRule="auto"/>
        <w:rPr>
          <w:rFonts w:ascii="Arial"/>
          <w:sz w:val="21"/>
        </w:rPr>
      </w:pPr>
    </w:p>
    <w:p w14:paraId="6124F66B">
      <w:pPr>
        <w:spacing w:line="305" w:lineRule="auto"/>
        <w:rPr>
          <w:rFonts w:ascii="Arial"/>
          <w:sz w:val="21"/>
        </w:rPr>
      </w:pPr>
    </w:p>
    <w:p w14:paraId="0FB0887D">
      <w:pPr>
        <w:pStyle w:val="2"/>
        <w:spacing w:before="56" w:line="247" w:lineRule="auto"/>
        <w:ind w:left="1480" w:right="269"/>
        <w:rPr>
          <w:sz w:val="15"/>
          <w:szCs w:val="15"/>
        </w:rPr>
      </w:pPr>
      <w:r>
        <w:rPr>
          <w:spacing w:val="6"/>
          <w:sz w:val="17"/>
          <w:szCs w:val="17"/>
        </w:rPr>
        <w:t>只</w:t>
      </w:r>
      <w:r>
        <w:rPr>
          <w:b/>
          <w:bCs/>
          <w:spacing w:val="6"/>
          <w:sz w:val="17"/>
          <w:szCs w:val="17"/>
        </w:rPr>
        <w:t>需要资</w:t>
      </w:r>
      <w:r>
        <w:rPr>
          <w:sz w:val="17"/>
          <w:szCs w:val="17"/>
        </w:rPr>
        <w:t xml:space="preserve"> </w:t>
      </w:r>
      <w:r>
        <w:rPr>
          <w:spacing w:val="29"/>
          <w:sz w:val="15"/>
          <w:szCs w:val="15"/>
        </w:rPr>
        <w:t>源研制</w:t>
      </w:r>
    </w:p>
    <w:p w14:paraId="7CC0CFAC">
      <w:pPr>
        <w:spacing w:line="14" w:lineRule="auto"/>
        <w:rPr>
          <w:rFonts w:ascii="Arial"/>
          <w:sz w:val="2"/>
        </w:rPr>
      </w:pPr>
      <w:r>
        <w:rPr>
          <w:rFonts w:ascii="Arial" w:hAnsi="Arial" w:eastAsia="Arial" w:cs="Arial"/>
          <w:sz w:val="2"/>
          <w:szCs w:val="2"/>
        </w:rPr>
        <w:br w:type="column"/>
      </w:r>
    </w:p>
    <w:p w14:paraId="2C7B457A">
      <w:pPr>
        <w:spacing w:line="77" w:lineRule="exact"/>
      </w:pPr>
    </w:p>
    <w:tbl>
      <w:tblPr>
        <w:tblStyle w:val="5"/>
        <w:tblW w:w="200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80"/>
        <w:gridCol w:w="293"/>
        <w:gridCol w:w="829"/>
      </w:tblGrid>
      <w:tr w14:paraId="252398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9" w:hRule="atLeast"/>
        </w:trPr>
        <w:tc>
          <w:tcPr>
            <w:tcW w:w="880" w:type="dxa"/>
            <w:vAlign w:val="top"/>
          </w:tcPr>
          <w:p w14:paraId="6773CDD2">
            <w:pPr>
              <w:spacing w:line="219" w:lineRule="auto"/>
              <w:rPr>
                <w:rFonts w:ascii="宋体" w:hAnsi="宋体" w:eastAsia="宋体" w:cs="宋体"/>
                <w:sz w:val="17"/>
                <w:szCs w:val="17"/>
              </w:rPr>
            </w:pPr>
            <w:r>
              <w:rPr>
                <w:rFonts w:ascii="宋体" w:hAnsi="宋体" w:eastAsia="宋体" w:cs="宋体"/>
                <w:sz w:val="17"/>
                <w:szCs w:val="17"/>
              </w:rPr>
              <w:t>更改能力：</w:t>
            </w:r>
          </w:p>
          <w:p w14:paraId="5E9D3C87">
            <w:pPr>
              <w:spacing w:before="158" w:line="225" w:lineRule="auto"/>
              <w:ind w:left="90" w:right="50"/>
              <w:rPr>
                <w:rFonts w:ascii="宋体" w:hAnsi="宋体" w:eastAsia="宋体" w:cs="宋体"/>
                <w:sz w:val="16"/>
                <w:szCs w:val="16"/>
              </w:rPr>
            </w:pPr>
            <w:r>
              <w:rPr>
                <w:rFonts w:ascii="宋体" w:hAnsi="宋体" w:eastAsia="宋体" w:cs="宋体"/>
                <w:spacing w:val="17"/>
                <w:sz w:val="16"/>
                <w:szCs w:val="16"/>
              </w:rPr>
              <w:t>是否有时</w:t>
            </w:r>
            <w:r>
              <w:rPr>
                <w:rFonts w:ascii="宋体" w:hAnsi="宋体" w:eastAsia="宋体" w:cs="宋体"/>
                <w:sz w:val="16"/>
                <w:szCs w:val="16"/>
              </w:rPr>
              <w:t xml:space="preserve"> </w:t>
            </w:r>
            <w:r>
              <w:rPr>
                <w:rFonts w:ascii="宋体" w:hAnsi="宋体" w:eastAsia="宋体" w:cs="宋体"/>
                <w:spacing w:val="-2"/>
                <w:sz w:val="16"/>
                <w:szCs w:val="16"/>
              </w:rPr>
              <w:t>间</w:t>
            </w:r>
            <w:r>
              <w:rPr>
                <w:rFonts w:ascii="宋体" w:hAnsi="宋体" w:eastAsia="宋体" w:cs="宋体"/>
                <w:spacing w:val="-21"/>
                <w:sz w:val="16"/>
                <w:szCs w:val="16"/>
              </w:rPr>
              <w:t xml:space="preserve"> </w:t>
            </w:r>
            <w:r>
              <w:rPr>
                <w:rFonts w:ascii="宋体" w:hAnsi="宋体" w:eastAsia="宋体" w:cs="宋体"/>
                <w:spacing w:val="-2"/>
                <w:sz w:val="16"/>
                <w:szCs w:val="16"/>
              </w:rPr>
              <w:t>、</w:t>
            </w:r>
            <w:r>
              <w:rPr>
                <w:rFonts w:ascii="宋体" w:hAnsi="宋体" w:eastAsia="宋体" w:cs="宋体"/>
                <w:spacing w:val="-33"/>
                <w:sz w:val="16"/>
                <w:szCs w:val="16"/>
              </w:rPr>
              <w:t xml:space="preserve"> </w:t>
            </w:r>
            <w:r>
              <w:rPr>
                <w:rFonts w:ascii="宋体" w:hAnsi="宋体" w:eastAsia="宋体" w:cs="宋体"/>
                <w:spacing w:val="-2"/>
                <w:sz w:val="16"/>
                <w:szCs w:val="16"/>
              </w:rPr>
              <w:t>经费</w:t>
            </w:r>
          </w:p>
          <w:p w14:paraId="4AF8B822">
            <w:pPr>
              <w:spacing w:line="205" w:lineRule="auto"/>
              <w:ind w:left="92"/>
              <w:rPr>
                <w:rFonts w:ascii="宋体" w:hAnsi="宋体" w:eastAsia="宋体" w:cs="宋体"/>
                <w:sz w:val="17"/>
                <w:szCs w:val="17"/>
              </w:rPr>
            </w:pPr>
            <w:r>
              <w:rPr>
                <w:rFonts w:ascii="宋体" w:hAnsi="宋体" w:eastAsia="宋体" w:cs="宋体"/>
                <w:b/>
                <w:bCs/>
                <w:spacing w:val="11"/>
                <w:sz w:val="17"/>
                <w:szCs w:val="17"/>
              </w:rPr>
              <w:t>和必要进</w:t>
            </w:r>
          </w:p>
          <w:p w14:paraId="4D417FE2">
            <w:pPr>
              <w:spacing w:line="219" w:lineRule="auto"/>
              <w:ind w:left="90"/>
              <w:rPr>
                <w:rFonts w:ascii="宋体" w:hAnsi="宋体" w:eastAsia="宋体" w:cs="宋体"/>
                <w:sz w:val="17"/>
                <w:szCs w:val="17"/>
              </w:rPr>
            </w:pPr>
            <w:r>
              <w:rPr>
                <w:rFonts w:ascii="宋体" w:hAnsi="宋体" w:eastAsia="宋体" w:cs="宋体"/>
                <w:spacing w:val="3"/>
                <w:sz w:val="17"/>
                <w:szCs w:val="17"/>
              </w:rPr>
              <w:t>行权衡?</w:t>
            </w:r>
          </w:p>
          <w:p w14:paraId="61510A20">
            <w:pPr>
              <w:pStyle w:val="6"/>
              <w:spacing w:line="429" w:lineRule="auto"/>
            </w:pPr>
          </w:p>
          <w:p w14:paraId="585A569F">
            <w:pPr>
              <w:spacing w:before="56" w:line="231" w:lineRule="auto"/>
              <w:ind w:left="90" w:right="82"/>
              <w:rPr>
                <w:rFonts w:ascii="宋体" w:hAnsi="宋体" w:eastAsia="宋体" w:cs="宋体"/>
                <w:sz w:val="17"/>
                <w:szCs w:val="17"/>
              </w:rPr>
            </w:pPr>
            <w:r>
              <w:rPr>
                <w:rFonts w:ascii="宋体" w:hAnsi="宋体" w:eastAsia="宋体" w:cs="宋体"/>
                <w:spacing w:val="6"/>
                <w:sz w:val="17"/>
                <w:szCs w:val="17"/>
              </w:rPr>
              <w:t>有投资效</w:t>
            </w:r>
            <w:r>
              <w:rPr>
                <w:rFonts w:ascii="宋体" w:hAnsi="宋体" w:eastAsia="宋体" w:cs="宋体"/>
                <w:spacing w:val="2"/>
                <w:sz w:val="17"/>
                <w:szCs w:val="17"/>
              </w:rPr>
              <w:t xml:space="preserve"> </w:t>
            </w:r>
            <w:r>
              <w:rPr>
                <w:rFonts w:ascii="宋体" w:hAnsi="宋体" w:eastAsia="宋体" w:cs="宋体"/>
                <w:spacing w:val="11"/>
                <w:sz w:val="17"/>
                <w:szCs w:val="17"/>
              </w:rPr>
              <w:t>果吗?</w:t>
            </w:r>
          </w:p>
        </w:tc>
        <w:tc>
          <w:tcPr>
            <w:tcW w:w="293" w:type="dxa"/>
            <w:vAlign w:val="top"/>
          </w:tcPr>
          <w:p w14:paraId="1C7F1DC8">
            <w:pPr>
              <w:pStyle w:val="6"/>
              <w:spacing w:line="308" w:lineRule="auto"/>
            </w:pPr>
          </w:p>
          <w:p w14:paraId="05CA6EAA">
            <w:pPr>
              <w:spacing w:before="62" w:line="224" w:lineRule="auto"/>
              <w:ind w:left="49"/>
              <w:rPr>
                <w:rFonts w:ascii="仿宋" w:hAnsi="仿宋" w:eastAsia="仿宋" w:cs="仿宋"/>
                <w:sz w:val="19"/>
                <w:szCs w:val="19"/>
              </w:rPr>
            </w:pPr>
            <w:r>
              <w:rPr>
                <w:rFonts w:ascii="仿宋" w:hAnsi="仿宋" w:eastAsia="仿宋" w:cs="仿宋"/>
                <w:sz w:val="19"/>
                <w:szCs w:val="19"/>
              </w:rPr>
              <w:t>是</w:t>
            </w:r>
          </w:p>
          <w:p w14:paraId="32FE8D3C">
            <w:pPr>
              <w:pStyle w:val="6"/>
              <w:spacing w:line="422" w:lineRule="auto"/>
            </w:pPr>
          </w:p>
          <w:p w14:paraId="04430F4A">
            <w:pPr>
              <w:spacing w:before="56" w:line="223" w:lineRule="auto"/>
              <w:ind w:left="49"/>
              <w:rPr>
                <w:rFonts w:ascii="宋体" w:hAnsi="宋体" w:eastAsia="宋体" w:cs="宋体"/>
                <w:sz w:val="17"/>
                <w:szCs w:val="17"/>
              </w:rPr>
            </w:pPr>
            <w:r>
              <w:rPr>
                <w:rFonts w:ascii="宋体" w:hAnsi="宋体" w:eastAsia="宋体" w:cs="宋体"/>
                <w:sz w:val="17"/>
                <w:szCs w:val="17"/>
              </w:rPr>
              <w:t>是</w:t>
            </w:r>
          </w:p>
          <w:p w14:paraId="79BF167A">
            <w:pPr>
              <w:pStyle w:val="6"/>
              <w:spacing w:line="312" w:lineRule="auto"/>
            </w:pPr>
          </w:p>
          <w:p w14:paraId="53947EE2">
            <w:pPr>
              <w:pStyle w:val="6"/>
              <w:spacing w:line="313" w:lineRule="auto"/>
            </w:pPr>
          </w:p>
          <w:p w14:paraId="6421007D">
            <w:pPr>
              <w:spacing w:before="55" w:line="223" w:lineRule="auto"/>
              <w:ind w:left="49"/>
              <w:rPr>
                <w:rFonts w:ascii="宋体" w:hAnsi="宋体" w:eastAsia="宋体" w:cs="宋体"/>
                <w:sz w:val="17"/>
                <w:szCs w:val="17"/>
              </w:rPr>
            </w:pPr>
            <w:r>
              <w:rPr>
                <w:rFonts w:ascii="宋体" w:hAnsi="宋体" w:eastAsia="宋体" w:cs="宋体"/>
                <w:sz w:val="17"/>
                <w:szCs w:val="17"/>
              </w:rPr>
              <w:t>是</w:t>
            </w:r>
          </w:p>
        </w:tc>
        <w:tc>
          <w:tcPr>
            <w:tcW w:w="829" w:type="dxa"/>
            <w:vAlign w:val="top"/>
          </w:tcPr>
          <w:p w14:paraId="6AA8FCB9">
            <w:pPr>
              <w:pStyle w:val="6"/>
              <w:spacing w:line="263" w:lineRule="auto"/>
            </w:pPr>
          </w:p>
          <w:p w14:paraId="6BDF00F7">
            <w:pPr>
              <w:spacing w:before="56" w:line="220" w:lineRule="auto"/>
              <w:ind w:left="66"/>
              <w:rPr>
                <w:rFonts w:ascii="宋体" w:hAnsi="宋体" w:eastAsia="宋体" w:cs="宋体"/>
                <w:sz w:val="17"/>
                <w:szCs w:val="17"/>
              </w:rPr>
            </w:pPr>
            <w:r>
              <w:rPr>
                <w:rFonts w:ascii="宋体" w:hAnsi="宋体" w:eastAsia="宋体" w:cs="宋体"/>
                <w:spacing w:val="1"/>
                <w:sz w:val="17"/>
                <w:szCs w:val="17"/>
              </w:rPr>
              <w:t>规定：</w:t>
            </w:r>
          </w:p>
          <w:p w14:paraId="1A18D5BD">
            <w:pPr>
              <w:spacing w:before="4" w:line="219" w:lineRule="auto"/>
              <w:ind w:left="69"/>
              <w:rPr>
                <w:rFonts w:ascii="宋体" w:hAnsi="宋体" w:eastAsia="宋体" w:cs="宋体"/>
                <w:sz w:val="17"/>
                <w:szCs w:val="17"/>
              </w:rPr>
            </w:pPr>
            <w:r>
              <w:rPr>
                <w:rFonts w:ascii="宋体" w:hAnsi="宋体" w:eastAsia="宋体" w:cs="宋体"/>
                <w:b/>
                <w:bCs/>
                <w:spacing w:val="-4"/>
                <w:sz w:val="17"/>
                <w:szCs w:val="17"/>
              </w:rPr>
              <w:t>使用与维</w:t>
            </w:r>
          </w:p>
          <w:p w14:paraId="769F3DEE">
            <w:pPr>
              <w:spacing w:before="1" w:line="235" w:lineRule="auto"/>
              <w:ind w:left="66" w:right="61"/>
              <w:jc w:val="both"/>
              <w:rPr>
                <w:rFonts w:ascii="宋体" w:hAnsi="宋体" w:eastAsia="宋体" w:cs="宋体"/>
                <w:sz w:val="17"/>
                <w:szCs w:val="17"/>
              </w:rPr>
            </w:pPr>
            <w:r>
              <w:rPr>
                <w:rFonts w:ascii="宋体" w:hAnsi="宋体" w:eastAsia="宋体" w:cs="宋体"/>
                <w:spacing w:val="3"/>
                <w:sz w:val="17"/>
                <w:szCs w:val="17"/>
              </w:rPr>
              <w:t>修原则，</w:t>
            </w:r>
            <w:r>
              <w:rPr>
                <w:rFonts w:ascii="宋体" w:hAnsi="宋体" w:eastAsia="宋体" w:cs="宋体"/>
                <w:spacing w:val="2"/>
                <w:sz w:val="17"/>
                <w:szCs w:val="17"/>
              </w:rPr>
              <w:t xml:space="preserve"> </w:t>
            </w:r>
            <w:r>
              <w:rPr>
                <w:rFonts w:ascii="宋体" w:hAnsi="宋体" w:eastAsia="宋体" w:cs="宋体"/>
                <w:spacing w:val="5"/>
                <w:sz w:val="17"/>
                <w:szCs w:val="17"/>
              </w:rPr>
              <w:t>自由度范</w:t>
            </w:r>
            <w:r>
              <w:rPr>
                <w:rFonts w:ascii="宋体" w:hAnsi="宋体" w:eastAsia="宋体" w:cs="宋体"/>
                <w:sz w:val="17"/>
                <w:szCs w:val="17"/>
              </w:rPr>
              <w:t xml:space="preserve"> </w:t>
            </w:r>
            <w:r>
              <w:rPr>
                <w:rFonts w:ascii="宋体" w:hAnsi="宋体" w:eastAsia="宋体" w:cs="宋体"/>
                <w:spacing w:val="5"/>
                <w:sz w:val="17"/>
                <w:szCs w:val="17"/>
              </w:rPr>
              <w:t>围和程序</w:t>
            </w:r>
          </w:p>
          <w:p w14:paraId="610E8C60">
            <w:pPr>
              <w:spacing w:before="158" w:line="219" w:lineRule="auto"/>
              <w:ind w:left="66"/>
              <w:rPr>
                <w:rFonts w:ascii="宋体" w:hAnsi="宋体" w:eastAsia="宋体" w:cs="宋体"/>
                <w:sz w:val="17"/>
                <w:szCs w:val="17"/>
              </w:rPr>
            </w:pPr>
            <w:r>
              <w:rPr>
                <w:rFonts w:ascii="宋体" w:hAnsi="宋体" w:eastAsia="宋体" w:cs="宋体"/>
                <w:spacing w:val="11"/>
                <w:sz w:val="17"/>
                <w:szCs w:val="17"/>
              </w:rPr>
              <w:t>提供：</w:t>
            </w:r>
          </w:p>
          <w:p w14:paraId="5530F7AC">
            <w:pPr>
              <w:spacing w:before="9" w:line="217" w:lineRule="auto"/>
              <w:ind w:left="66"/>
              <w:jc w:val="both"/>
              <w:rPr>
                <w:rFonts w:ascii="宋体" w:hAnsi="宋体" w:eastAsia="宋体" w:cs="宋体"/>
                <w:sz w:val="17"/>
                <w:szCs w:val="17"/>
              </w:rPr>
            </w:pPr>
            <w:r>
              <w:rPr>
                <w:rFonts w:ascii="宋体" w:hAnsi="宋体" w:eastAsia="宋体" w:cs="宋体"/>
                <w:spacing w:val="4"/>
                <w:sz w:val="17"/>
                <w:szCs w:val="17"/>
              </w:rPr>
              <w:t>订购方全</w:t>
            </w:r>
            <w:r>
              <w:rPr>
                <w:rFonts w:ascii="宋体" w:hAnsi="宋体" w:eastAsia="宋体" w:cs="宋体"/>
                <w:sz w:val="17"/>
                <w:szCs w:val="17"/>
              </w:rPr>
              <w:t xml:space="preserve"> </w:t>
            </w:r>
            <w:r>
              <w:rPr>
                <w:rFonts w:ascii="宋体" w:hAnsi="宋体" w:eastAsia="宋体" w:cs="宋体"/>
                <w:spacing w:val="4"/>
                <w:sz w:val="17"/>
                <w:szCs w:val="17"/>
              </w:rPr>
              <w:t>部输入数</w:t>
            </w:r>
            <w:r>
              <w:rPr>
                <w:rFonts w:ascii="宋体" w:hAnsi="宋体" w:eastAsia="宋体" w:cs="宋体"/>
                <w:sz w:val="17"/>
                <w:szCs w:val="17"/>
              </w:rPr>
              <w:t xml:space="preserve">  </w:t>
            </w:r>
            <w:r>
              <w:rPr>
                <w:rFonts w:ascii="宋体" w:hAnsi="宋体" w:eastAsia="宋体" w:cs="宋体"/>
                <w:spacing w:val="5"/>
                <w:sz w:val="17"/>
                <w:szCs w:val="17"/>
              </w:rPr>
              <w:t>据，工作</w:t>
            </w:r>
            <w:r>
              <w:rPr>
                <w:rFonts w:ascii="宋体" w:hAnsi="宋体" w:eastAsia="宋体" w:cs="宋体"/>
                <w:sz w:val="17"/>
                <w:szCs w:val="17"/>
              </w:rPr>
              <w:t xml:space="preserve"> </w:t>
            </w:r>
            <w:r>
              <w:rPr>
                <w:rFonts w:ascii="宋体" w:hAnsi="宋体" w:eastAsia="宋体" w:cs="宋体"/>
                <w:spacing w:val="13"/>
                <w:sz w:val="17"/>
                <w:szCs w:val="17"/>
              </w:rPr>
              <w:t>项目101,</w:t>
            </w:r>
            <w:r>
              <w:rPr>
                <w:rFonts w:ascii="宋体" w:hAnsi="宋体" w:eastAsia="宋体" w:cs="宋体"/>
                <w:spacing w:val="3"/>
                <w:sz w:val="17"/>
                <w:szCs w:val="17"/>
              </w:rPr>
              <w:t xml:space="preserve"> </w:t>
            </w:r>
            <w:r>
              <w:rPr>
                <w:rFonts w:ascii="宋体" w:hAnsi="宋体" w:eastAsia="宋体" w:cs="宋体"/>
                <w:spacing w:val="4"/>
                <w:sz w:val="17"/>
                <w:szCs w:val="17"/>
              </w:rPr>
              <w:t>以前进行</w:t>
            </w:r>
            <w:r>
              <w:rPr>
                <w:rFonts w:ascii="宋体" w:hAnsi="宋体" w:eastAsia="宋体" w:cs="宋体"/>
                <w:spacing w:val="1"/>
                <w:sz w:val="17"/>
                <w:szCs w:val="17"/>
              </w:rPr>
              <w:t xml:space="preserve"> </w:t>
            </w:r>
            <w:r>
              <w:rPr>
                <w:rFonts w:ascii="宋体" w:hAnsi="宋体" w:eastAsia="宋体" w:cs="宋体"/>
                <w:spacing w:val="5"/>
                <w:sz w:val="17"/>
                <w:szCs w:val="17"/>
              </w:rPr>
              <w:t>的分析与</w:t>
            </w:r>
            <w:r>
              <w:rPr>
                <w:rFonts w:ascii="宋体" w:hAnsi="宋体" w:eastAsia="宋体" w:cs="宋体"/>
                <w:spacing w:val="2"/>
                <w:sz w:val="17"/>
                <w:szCs w:val="17"/>
              </w:rPr>
              <w:t xml:space="preserve"> </w:t>
            </w:r>
            <w:r>
              <w:rPr>
                <w:rFonts w:ascii="宋体" w:hAnsi="宋体" w:eastAsia="宋体" w:cs="宋体"/>
                <w:spacing w:val="4"/>
                <w:sz w:val="17"/>
                <w:szCs w:val="17"/>
              </w:rPr>
              <w:t>权衡结果</w:t>
            </w:r>
          </w:p>
        </w:tc>
      </w:tr>
    </w:tbl>
    <w:p w14:paraId="42648A2A">
      <w:pPr>
        <w:pStyle w:val="2"/>
        <w:spacing w:before="143" w:line="222" w:lineRule="auto"/>
        <w:ind w:left="689"/>
        <w:rPr>
          <w:sz w:val="17"/>
          <w:szCs w:val="17"/>
        </w:rPr>
      </w:pPr>
      <w:r>
        <w:rPr>
          <w:spacing w:val="-3"/>
          <w:sz w:val="17"/>
          <w:szCs w:val="17"/>
        </w:rPr>
        <w:t>也要</w:t>
      </w:r>
    </w:p>
    <w:p w14:paraId="6A074403">
      <w:pPr>
        <w:spacing w:line="260" w:lineRule="auto"/>
        <w:rPr>
          <w:rFonts w:ascii="Arial"/>
          <w:sz w:val="21"/>
        </w:rPr>
      </w:pPr>
    </w:p>
    <w:p w14:paraId="171975F3">
      <w:pPr>
        <w:spacing w:line="261" w:lineRule="auto"/>
        <w:rPr>
          <w:rFonts w:ascii="Arial"/>
          <w:sz w:val="21"/>
        </w:rPr>
      </w:pPr>
    </w:p>
    <w:p w14:paraId="5BD96FA3">
      <w:pPr>
        <w:spacing w:line="261" w:lineRule="auto"/>
        <w:rPr>
          <w:rFonts w:ascii="Arial"/>
          <w:sz w:val="21"/>
        </w:rPr>
      </w:pPr>
    </w:p>
    <w:p w14:paraId="28B601F3">
      <w:pPr>
        <w:spacing w:line="261" w:lineRule="auto"/>
        <w:rPr>
          <w:rFonts w:ascii="Arial"/>
          <w:sz w:val="21"/>
        </w:rPr>
      </w:pPr>
    </w:p>
    <w:p w14:paraId="2F1640DE">
      <w:pPr>
        <w:spacing w:line="261" w:lineRule="auto"/>
        <w:rPr>
          <w:rFonts w:ascii="Arial"/>
          <w:sz w:val="21"/>
        </w:rPr>
      </w:pPr>
    </w:p>
    <w:p w14:paraId="2A1F9FB7">
      <w:pPr>
        <w:spacing w:line="261" w:lineRule="auto"/>
        <w:rPr>
          <w:rFonts w:ascii="Arial"/>
          <w:sz w:val="21"/>
        </w:rPr>
      </w:pPr>
    </w:p>
    <w:p w14:paraId="39063A25">
      <w:pPr>
        <w:spacing w:line="261" w:lineRule="auto"/>
        <w:rPr>
          <w:rFonts w:ascii="Arial"/>
          <w:sz w:val="21"/>
        </w:rPr>
      </w:pPr>
    </w:p>
    <w:p w14:paraId="3967039F">
      <w:pPr>
        <w:spacing w:line="261" w:lineRule="auto"/>
        <w:rPr>
          <w:rFonts w:ascii="Arial"/>
          <w:sz w:val="21"/>
        </w:rPr>
      </w:pPr>
    </w:p>
    <w:p w14:paraId="5480512A">
      <w:pPr>
        <w:spacing w:line="261" w:lineRule="auto"/>
        <w:rPr>
          <w:rFonts w:ascii="Arial"/>
          <w:sz w:val="21"/>
        </w:rPr>
      </w:pPr>
    </w:p>
    <w:p w14:paraId="13B0673A">
      <w:pPr>
        <w:pStyle w:val="2"/>
        <w:spacing w:before="62" w:line="203" w:lineRule="auto"/>
        <w:ind w:left="269"/>
        <w:rPr>
          <w:sz w:val="19"/>
          <w:szCs w:val="19"/>
        </w:rPr>
      </w:pPr>
      <w:r>
        <w:rPr>
          <w:spacing w:val="-6"/>
          <w:sz w:val="19"/>
          <w:szCs w:val="19"/>
        </w:rPr>
        <w:t>需要：</w:t>
      </w:r>
      <w:r>
        <w:rPr>
          <w:spacing w:val="64"/>
          <w:w w:val="101"/>
          <w:sz w:val="19"/>
          <w:szCs w:val="19"/>
        </w:rPr>
        <w:t xml:space="preserve"> </w:t>
      </w:r>
      <w:r>
        <w:rPr>
          <w:spacing w:val="-6"/>
          <w:sz w:val="19"/>
          <w:szCs w:val="19"/>
        </w:rPr>
        <w:t>指南：</w:t>
      </w:r>
    </w:p>
    <w:p w14:paraId="750240B0">
      <w:pPr>
        <w:pStyle w:val="2"/>
        <w:spacing w:line="220" w:lineRule="auto"/>
        <w:ind w:left="269"/>
        <w:rPr>
          <w:rFonts w:ascii="Times New Roman" w:hAnsi="Times New Roman" w:eastAsia="Times New Roman" w:cs="Times New Roman"/>
          <w:sz w:val="17"/>
          <w:szCs w:val="17"/>
        </w:rPr>
      </w:pPr>
      <w:r>
        <w:rPr>
          <w:spacing w:val="2"/>
          <w:sz w:val="17"/>
          <w:szCs w:val="17"/>
        </w:rPr>
        <w:t xml:space="preserve">工作项目102 </w:t>
      </w:r>
      <w:r>
        <w:rPr>
          <w:rFonts w:ascii="Times New Roman" w:hAnsi="Times New Roman" w:eastAsia="Times New Roman" w:cs="Times New Roman"/>
          <w:spacing w:val="2"/>
          <w:sz w:val="17"/>
          <w:szCs w:val="17"/>
        </w:rPr>
        <w:t>A3.1.3</w:t>
      </w:r>
    </w:p>
    <w:p w14:paraId="32449FE3">
      <w:pPr>
        <w:pStyle w:val="2"/>
        <w:spacing w:before="7" w:line="220" w:lineRule="auto"/>
        <w:ind w:left="269" w:right="448"/>
        <w:rPr>
          <w:rFonts w:ascii="Times New Roman" w:hAnsi="Times New Roman" w:eastAsia="Times New Roman" w:cs="Times New Roman"/>
          <w:sz w:val="17"/>
          <w:szCs w:val="17"/>
        </w:rPr>
      </w:pPr>
      <w:r>
        <w:rPr>
          <w:spacing w:val="2"/>
          <w:sz w:val="17"/>
          <w:szCs w:val="17"/>
        </w:rPr>
        <w:t xml:space="preserve">工作项目103 </w:t>
      </w:r>
      <w:r>
        <w:rPr>
          <w:rFonts w:ascii="Times New Roman" w:hAnsi="Times New Roman" w:eastAsia="Times New Roman" w:cs="Times New Roman"/>
          <w:spacing w:val="2"/>
          <w:sz w:val="17"/>
          <w:szCs w:val="17"/>
        </w:rPr>
        <w:t>A3.1.4</w:t>
      </w:r>
      <w:r>
        <w:rPr>
          <w:rFonts w:ascii="Times New Roman" w:hAnsi="Times New Roman" w:eastAsia="Times New Roman" w:cs="Times New Roman"/>
          <w:sz w:val="17"/>
          <w:szCs w:val="17"/>
        </w:rPr>
        <w:t xml:space="preserve"> </w:t>
      </w:r>
      <w:r>
        <w:rPr>
          <w:spacing w:val="6"/>
          <w:sz w:val="17"/>
          <w:szCs w:val="17"/>
        </w:rPr>
        <w:t xml:space="preserve">项目系列300 </w:t>
      </w:r>
      <w:r>
        <w:rPr>
          <w:rFonts w:ascii="Times New Roman" w:hAnsi="Times New Roman" w:eastAsia="Times New Roman" w:cs="Times New Roman"/>
          <w:spacing w:val="6"/>
          <w:sz w:val="17"/>
          <w:szCs w:val="17"/>
        </w:rPr>
        <w:t>A3.3</w:t>
      </w:r>
    </w:p>
    <w:p w14:paraId="2D2249CB">
      <w:pPr>
        <w:pStyle w:val="2"/>
        <w:spacing w:before="5" w:line="234" w:lineRule="auto"/>
        <w:ind w:left="269" w:right="372"/>
        <w:rPr>
          <w:sz w:val="17"/>
          <w:szCs w:val="17"/>
        </w:rPr>
      </w:pPr>
      <w:r>
        <w:rPr>
          <w:spacing w:val="6"/>
          <w:sz w:val="17"/>
          <w:szCs w:val="17"/>
        </w:rPr>
        <w:t>用于备选保障方案或</w:t>
      </w:r>
      <w:r>
        <w:rPr>
          <w:spacing w:val="2"/>
          <w:sz w:val="17"/>
          <w:szCs w:val="17"/>
        </w:rPr>
        <w:t xml:space="preserve"> </w:t>
      </w:r>
      <w:r>
        <w:rPr>
          <w:spacing w:val="9"/>
          <w:sz w:val="17"/>
          <w:szCs w:val="17"/>
        </w:rPr>
        <w:t>权衡分析</w:t>
      </w:r>
    </w:p>
    <w:p w14:paraId="530D010D">
      <w:pPr>
        <w:pStyle w:val="2"/>
        <w:spacing w:line="220" w:lineRule="auto"/>
        <w:ind w:left="269"/>
        <w:rPr>
          <w:rFonts w:ascii="Times New Roman" w:hAnsi="Times New Roman" w:eastAsia="Times New Roman" w:cs="Times New Roman"/>
          <w:sz w:val="17"/>
          <w:szCs w:val="17"/>
        </w:rPr>
      </w:pPr>
      <w:r>
        <w:rPr>
          <w:spacing w:val="3"/>
          <w:sz w:val="17"/>
          <w:szCs w:val="17"/>
        </w:rPr>
        <w:t>项目系列400</w:t>
      </w:r>
      <w:r>
        <w:rPr>
          <w:spacing w:val="24"/>
          <w:sz w:val="17"/>
          <w:szCs w:val="17"/>
        </w:rPr>
        <w:t xml:space="preserve"> </w:t>
      </w:r>
      <w:r>
        <w:rPr>
          <w:rFonts w:ascii="Times New Roman" w:hAnsi="Times New Roman" w:eastAsia="Times New Roman" w:cs="Times New Roman"/>
          <w:spacing w:val="3"/>
          <w:sz w:val="17"/>
          <w:szCs w:val="17"/>
        </w:rPr>
        <w:t>A3.4</w:t>
      </w:r>
    </w:p>
    <w:p w14:paraId="2C61B3D6">
      <w:pPr>
        <w:pStyle w:val="2"/>
        <w:spacing w:before="17" w:line="220" w:lineRule="auto"/>
        <w:ind w:left="270"/>
        <w:rPr>
          <w:sz w:val="17"/>
          <w:szCs w:val="17"/>
        </w:rPr>
      </w:pPr>
      <w:r>
        <w:rPr>
          <w:spacing w:val="6"/>
          <w:sz w:val="17"/>
          <w:szCs w:val="17"/>
        </w:rPr>
        <w:t>用于需要研制的资源</w:t>
      </w:r>
    </w:p>
    <w:p w14:paraId="03EDBE58">
      <w:pPr>
        <w:spacing w:line="264" w:lineRule="auto"/>
        <w:rPr>
          <w:rFonts w:ascii="Arial"/>
          <w:sz w:val="21"/>
        </w:rPr>
      </w:pPr>
    </w:p>
    <w:p w14:paraId="38E06462">
      <w:pPr>
        <w:pStyle w:val="2"/>
        <w:spacing w:before="63" w:line="213" w:lineRule="auto"/>
        <w:ind w:left="330"/>
        <w:rPr>
          <w:sz w:val="19"/>
          <w:szCs w:val="19"/>
        </w:rPr>
      </w:pPr>
      <w:r>
        <w:rPr>
          <w:spacing w:val="-6"/>
          <w:sz w:val="19"/>
          <w:szCs w:val="19"/>
        </w:rPr>
        <w:t>需要：</w:t>
      </w:r>
      <w:r>
        <w:rPr>
          <w:spacing w:val="54"/>
          <w:w w:val="101"/>
          <w:sz w:val="19"/>
          <w:szCs w:val="19"/>
        </w:rPr>
        <w:t xml:space="preserve"> </w:t>
      </w:r>
      <w:r>
        <w:rPr>
          <w:spacing w:val="-6"/>
          <w:sz w:val="19"/>
          <w:szCs w:val="19"/>
        </w:rPr>
        <w:t>指南：</w:t>
      </w:r>
    </w:p>
    <w:p w14:paraId="453540CB">
      <w:pPr>
        <w:pStyle w:val="2"/>
        <w:spacing w:line="220" w:lineRule="auto"/>
        <w:ind w:left="330"/>
        <w:rPr>
          <w:rFonts w:ascii="Times New Roman" w:hAnsi="Times New Roman" w:eastAsia="Times New Roman" w:cs="Times New Roman"/>
          <w:sz w:val="17"/>
          <w:szCs w:val="17"/>
        </w:rPr>
      </w:pPr>
      <w:r>
        <w:rPr>
          <w:spacing w:val="1"/>
          <w:sz w:val="17"/>
          <w:szCs w:val="17"/>
        </w:rPr>
        <w:t xml:space="preserve">工作项目102 </w:t>
      </w:r>
      <w:r>
        <w:rPr>
          <w:rFonts w:ascii="Times New Roman" w:hAnsi="Times New Roman" w:eastAsia="Times New Roman" w:cs="Times New Roman"/>
          <w:spacing w:val="1"/>
          <w:sz w:val="17"/>
          <w:szCs w:val="17"/>
        </w:rPr>
        <w:t>A3.1.3</w:t>
      </w:r>
    </w:p>
    <w:p w14:paraId="4BFD268A">
      <w:pPr>
        <w:pStyle w:val="2"/>
        <w:spacing w:before="17" w:line="217" w:lineRule="auto"/>
        <w:ind w:left="330" w:right="378"/>
        <w:rPr>
          <w:rFonts w:ascii="Times New Roman" w:hAnsi="Times New Roman" w:eastAsia="Times New Roman" w:cs="Times New Roman"/>
          <w:sz w:val="17"/>
          <w:szCs w:val="17"/>
        </w:rPr>
      </w:pPr>
      <w:r>
        <w:rPr>
          <w:spacing w:val="1"/>
          <w:sz w:val="17"/>
          <w:szCs w:val="17"/>
        </w:rPr>
        <w:t>工作项目103</w:t>
      </w:r>
      <w:r>
        <w:rPr>
          <w:spacing w:val="24"/>
          <w:sz w:val="17"/>
          <w:szCs w:val="17"/>
        </w:rPr>
        <w:t xml:space="preserve"> </w:t>
      </w:r>
      <w:r>
        <w:rPr>
          <w:rFonts w:ascii="Times New Roman" w:hAnsi="Times New Roman" w:eastAsia="Times New Roman" w:cs="Times New Roman"/>
          <w:spacing w:val="1"/>
          <w:sz w:val="17"/>
          <w:szCs w:val="17"/>
        </w:rPr>
        <w:t>A3.1.4</w:t>
      </w:r>
      <w:r>
        <w:rPr>
          <w:rFonts w:ascii="Times New Roman" w:hAnsi="Times New Roman" w:eastAsia="Times New Roman" w:cs="Times New Roman"/>
          <w:sz w:val="17"/>
          <w:szCs w:val="17"/>
        </w:rPr>
        <w:t xml:space="preserve"> </w:t>
      </w:r>
      <w:r>
        <w:rPr>
          <w:spacing w:val="3"/>
          <w:sz w:val="17"/>
          <w:szCs w:val="17"/>
        </w:rPr>
        <w:t xml:space="preserve">项目系列300 </w:t>
      </w:r>
      <w:r>
        <w:rPr>
          <w:rFonts w:ascii="Times New Roman" w:hAnsi="Times New Roman" w:eastAsia="Times New Roman" w:cs="Times New Roman"/>
          <w:spacing w:val="3"/>
          <w:sz w:val="17"/>
          <w:szCs w:val="17"/>
        </w:rPr>
        <w:t>A3.3</w:t>
      </w:r>
    </w:p>
    <w:p w14:paraId="0CE161D5">
      <w:pPr>
        <w:pStyle w:val="2"/>
        <w:spacing w:before="1" w:line="212" w:lineRule="auto"/>
        <w:ind w:left="330" w:right="333"/>
        <w:rPr>
          <w:sz w:val="17"/>
          <w:szCs w:val="17"/>
        </w:rPr>
      </w:pPr>
      <w:r>
        <w:rPr>
          <w:spacing w:val="4"/>
          <w:sz w:val="17"/>
          <w:szCs w:val="17"/>
        </w:rPr>
        <w:t>用于保障系统备选方</w:t>
      </w:r>
      <w:r>
        <w:rPr>
          <w:sz w:val="17"/>
          <w:szCs w:val="17"/>
        </w:rPr>
        <w:t xml:space="preserve"> </w:t>
      </w:r>
      <w:r>
        <w:rPr>
          <w:spacing w:val="4"/>
          <w:sz w:val="17"/>
          <w:szCs w:val="17"/>
        </w:rPr>
        <w:t>案或权衡分析</w:t>
      </w:r>
    </w:p>
    <w:p w14:paraId="1ACE0E89">
      <w:pPr>
        <w:pStyle w:val="2"/>
        <w:spacing w:before="249" w:line="206" w:lineRule="auto"/>
        <w:ind w:left="270"/>
        <w:rPr>
          <w:sz w:val="17"/>
          <w:szCs w:val="17"/>
        </w:rPr>
      </w:pPr>
      <w:r>
        <w:rPr>
          <w:spacing w:val="-7"/>
          <w:sz w:val="17"/>
          <w:szCs w:val="17"/>
        </w:rPr>
        <w:t>需</w:t>
      </w:r>
      <w:r>
        <w:rPr>
          <w:spacing w:val="-37"/>
          <w:sz w:val="17"/>
          <w:szCs w:val="17"/>
        </w:rPr>
        <w:t xml:space="preserve"> </w:t>
      </w:r>
      <w:r>
        <w:rPr>
          <w:spacing w:val="-7"/>
          <w:sz w:val="17"/>
          <w:szCs w:val="17"/>
        </w:rPr>
        <w:t>要</w:t>
      </w:r>
      <w:r>
        <w:rPr>
          <w:spacing w:val="-23"/>
          <w:sz w:val="17"/>
          <w:szCs w:val="17"/>
        </w:rPr>
        <w:t xml:space="preserve"> </w:t>
      </w:r>
      <w:r>
        <w:rPr>
          <w:spacing w:val="-7"/>
          <w:sz w:val="17"/>
          <w:szCs w:val="17"/>
        </w:rPr>
        <w:t>：</w:t>
      </w:r>
      <w:r>
        <w:rPr>
          <w:spacing w:val="71"/>
          <w:sz w:val="17"/>
          <w:szCs w:val="17"/>
        </w:rPr>
        <w:t xml:space="preserve"> </w:t>
      </w:r>
      <w:r>
        <w:rPr>
          <w:spacing w:val="-7"/>
          <w:sz w:val="17"/>
          <w:szCs w:val="17"/>
        </w:rPr>
        <w:t>指南：</w:t>
      </w:r>
    </w:p>
    <w:p w14:paraId="31A15FF5">
      <w:pPr>
        <w:pStyle w:val="2"/>
        <w:spacing w:before="1" w:line="206" w:lineRule="auto"/>
        <w:ind w:left="269"/>
        <w:rPr>
          <w:rFonts w:ascii="Times New Roman" w:hAnsi="Times New Roman" w:eastAsia="Times New Roman" w:cs="Times New Roman"/>
          <w:sz w:val="17"/>
          <w:szCs w:val="17"/>
        </w:rPr>
      </w:pPr>
      <w:r>
        <w:rPr>
          <w:spacing w:val="6"/>
          <w:sz w:val="17"/>
          <w:szCs w:val="17"/>
        </w:rPr>
        <w:t xml:space="preserve">项目系列400 </w:t>
      </w:r>
      <w:r>
        <w:rPr>
          <w:rFonts w:ascii="Times New Roman" w:hAnsi="Times New Roman" w:eastAsia="Times New Roman" w:cs="Times New Roman"/>
          <w:spacing w:val="6"/>
          <w:sz w:val="17"/>
          <w:szCs w:val="17"/>
        </w:rPr>
        <w:t>A3.4</w:t>
      </w:r>
    </w:p>
    <w:p w14:paraId="1B83F458">
      <w:pPr>
        <w:pStyle w:val="2"/>
        <w:spacing w:line="220" w:lineRule="auto"/>
        <w:ind w:left="330"/>
        <w:rPr>
          <w:sz w:val="17"/>
          <w:szCs w:val="17"/>
        </w:rPr>
      </w:pPr>
      <w:r>
        <w:rPr>
          <w:spacing w:val="4"/>
          <w:sz w:val="17"/>
          <w:szCs w:val="17"/>
        </w:rPr>
        <w:t>用于需要研制的资源</w:t>
      </w:r>
    </w:p>
    <w:p w14:paraId="75628A49">
      <w:pPr>
        <w:spacing w:line="14" w:lineRule="auto"/>
        <w:rPr>
          <w:rFonts w:ascii="Arial"/>
          <w:sz w:val="2"/>
        </w:rPr>
      </w:pPr>
      <w:r>
        <w:rPr>
          <w:rFonts w:ascii="Arial" w:hAnsi="Arial" w:eastAsia="Arial" w:cs="Arial"/>
          <w:sz w:val="2"/>
          <w:szCs w:val="2"/>
        </w:rPr>
        <w:br w:type="column"/>
      </w:r>
    </w:p>
    <w:p w14:paraId="31B481BA">
      <w:pPr>
        <w:pStyle w:val="2"/>
        <w:spacing w:before="39" w:line="219" w:lineRule="auto"/>
        <w:rPr>
          <w:sz w:val="20"/>
          <w:szCs w:val="20"/>
        </w:rPr>
      </w:pPr>
      <w:r>
        <w:rPr>
          <w:spacing w:val="-12"/>
          <w:sz w:val="20"/>
          <w:szCs w:val="20"/>
        </w:rPr>
        <w:t>输出：</w:t>
      </w:r>
    </w:p>
    <w:p w14:paraId="57BCBA9C">
      <w:pPr>
        <w:pStyle w:val="2"/>
        <w:spacing w:before="94" w:line="221" w:lineRule="auto"/>
        <w:ind w:left="769"/>
        <w:rPr>
          <w:sz w:val="20"/>
          <w:szCs w:val="20"/>
        </w:rPr>
      </w:pPr>
      <w:r>
        <w:rPr>
          <w:spacing w:val="-13"/>
          <w:sz w:val="20"/>
          <w:szCs w:val="20"/>
        </w:rPr>
        <w:t>指南：</w:t>
      </w:r>
    </w:p>
    <w:p w14:paraId="6AEBC6B2">
      <w:pPr>
        <w:pStyle w:val="2"/>
        <w:spacing w:before="9" w:line="217" w:lineRule="auto"/>
        <w:ind w:left="50"/>
        <w:rPr>
          <w:rFonts w:ascii="Times New Roman" w:hAnsi="Times New Roman" w:eastAsia="Times New Roman" w:cs="Times New Roman"/>
          <w:sz w:val="17"/>
          <w:szCs w:val="17"/>
        </w:rPr>
      </w:pPr>
      <w:r>
        <w:rPr>
          <w:spacing w:val="2"/>
          <w:sz w:val="17"/>
          <w:szCs w:val="17"/>
        </w:rPr>
        <w:t xml:space="preserve">工作项目102 </w:t>
      </w:r>
      <w:r>
        <w:rPr>
          <w:rFonts w:ascii="Times New Roman" w:hAnsi="Times New Roman" w:eastAsia="Times New Roman" w:cs="Times New Roman"/>
          <w:spacing w:val="2"/>
          <w:sz w:val="17"/>
          <w:szCs w:val="17"/>
        </w:rPr>
        <w:t>A3.1.3</w:t>
      </w:r>
    </w:p>
    <w:p w14:paraId="65F43DAB">
      <w:pPr>
        <w:pStyle w:val="2"/>
        <w:spacing w:line="220" w:lineRule="auto"/>
        <w:ind w:left="50"/>
        <w:rPr>
          <w:rFonts w:ascii="Times New Roman" w:hAnsi="Times New Roman" w:eastAsia="Times New Roman" w:cs="Times New Roman"/>
          <w:sz w:val="17"/>
          <w:szCs w:val="17"/>
        </w:rPr>
      </w:pPr>
      <w:r>
        <w:rPr>
          <w:spacing w:val="2"/>
          <w:sz w:val="17"/>
          <w:szCs w:val="17"/>
        </w:rPr>
        <w:t xml:space="preserve">工作项目103 </w:t>
      </w:r>
      <w:r>
        <w:rPr>
          <w:rFonts w:ascii="Times New Roman" w:hAnsi="Times New Roman" w:eastAsia="Times New Roman" w:cs="Times New Roman"/>
          <w:spacing w:val="2"/>
          <w:sz w:val="17"/>
          <w:szCs w:val="17"/>
        </w:rPr>
        <w:t>A3.1.4</w:t>
      </w:r>
    </w:p>
    <w:p w14:paraId="71237E28">
      <w:pPr>
        <w:pStyle w:val="2"/>
        <w:spacing w:before="47" w:line="185" w:lineRule="auto"/>
        <w:ind w:left="50"/>
        <w:rPr>
          <w:rFonts w:ascii="Times New Roman" w:hAnsi="Times New Roman" w:eastAsia="Times New Roman" w:cs="Times New Roman"/>
          <w:sz w:val="17"/>
          <w:szCs w:val="17"/>
        </w:rPr>
      </w:pPr>
      <w:r>
        <w:rPr>
          <w:spacing w:val="5"/>
          <w:sz w:val="17"/>
          <w:szCs w:val="17"/>
        </w:rPr>
        <w:t xml:space="preserve">项目系列200 </w:t>
      </w:r>
      <w:r>
        <w:rPr>
          <w:rFonts w:ascii="Times New Roman" w:hAnsi="Times New Roman" w:eastAsia="Times New Roman" w:cs="Times New Roman"/>
          <w:spacing w:val="5"/>
          <w:sz w:val="17"/>
          <w:szCs w:val="17"/>
        </w:rPr>
        <w:t>A3.2</w:t>
      </w:r>
    </w:p>
    <w:p w14:paraId="07E95723">
      <w:pPr>
        <w:pStyle w:val="2"/>
        <w:spacing w:line="220" w:lineRule="auto"/>
        <w:ind w:left="50"/>
        <w:rPr>
          <w:rFonts w:ascii="Times New Roman" w:hAnsi="Times New Roman" w:eastAsia="Times New Roman" w:cs="Times New Roman"/>
          <w:sz w:val="17"/>
          <w:szCs w:val="17"/>
        </w:rPr>
      </w:pPr>
      <w:r>
        <w:rPr>
          <w:spacing w:val="5"/>
          <w:sz w:val="17"/>
          <w:szCs w:val="17"/>
        </w:rPr>
        <w:t xml:space="preserve">项目系列300 </w:t>
      </w:r>
      <w:r>
        <w:rPr>
          <w:rFonts w:ascii="Times New Roman" w:hAnsi="Times New Roman" w:eastAsia="Times New Roman" w:cs="Times New Roman"/>
          <w:spacing w:val="5"/>
          <w:sz w:val="17"/>
          <w:szCs w:val="17"/>
        </w:rPr>
        <w:t>A3.3</w:t>
      </w:r>
    </w:p>
    <w:p w14:paraId="1735006A">
      <w:pPr>
        <w:pStyle w:val="2"/>
        <w:spacing w:before="197" w:line="220" w:lineRule="auto"/>
        <w:ind w:left="50"/>
        <w:rPr>
          <w:sz w:val="17"/>
          <w:szCs w:val="17"/>
        </w:rPr>
      </w:pPr>
      <w:r>
        <w:rPr>
          <w:spacing w:val="1"/>
          <w:sz w:val="17"/>
          <w:szCs w:val="17"/>
        </w:rPr>
        <w:t>规定：</w:t>
      </w:r>
    </w:p>
    <w:p w14:paraId="335BEAFC">
      <w:pPr>
        <w:pStyle w:val="2"/>
        <w:spacing w:before="7" w:line="220" w:lineRule="auto"/>
        <w:ind w:left="50"/>
        <w:rPr>
          <w:sz w:val="17"/>
          <w:szCs w:val="17"/>
        </w:rPr>
      </w:pPr>
      <w:r>
        <w:rPr>
          <w:spacing w:val="6"/>
          <w:sz w:val="17"/>
          <w:szCs w:val="17"/>
        </w:rPr>
        <w:t>对系统设计人员的保</w:t>
      </w:r>
    </w:p>
    <w:p w14:paraId="4AEDECE7">
      <w:pPr>
        <w:pStyle w:val="2"/>
        <w:spacing w:before="5" w:line="219" w:lineRule="auto"/>
        <w:ind w:left="52"/>
        <w:rPr>
          <w:sz w:val="17"/>
          <w:szCs w:val="17"/>
        </w:rPr>
      </w:pPr>
      <w:r>
        <w:rPr>
          <w:b/>
          <w:bCs/>
          <w:spacing w:val="8"/>
          <w:sz w:val="17"/>
          <w:szCs w:val="17"/>
        </w:rPr>
        <w:t>障资源限制</w:t>
      </w:r>
    </w:p>
    <w:p w14:paraId="7C454778">
      <w:pPr>
        <w:pStyle w:val="2"/>
        <w:spacing w:before="28" w:line="216" w:lineRule="auto"/>
        <w:ind w:left="50"/>
        <w:rPr>
          <w:sz w:val="17"/>
          <w:szCs w:val="17"/>
        </w:rPr>
      </w:pPr>
      <w:r>
        <w:rPr>
          <w:spacing w:val="-3"/>
          <w:sz w:val="17"/>
          <w:szCs w:val="17"/>
        </w:rPr>
        <w:t>工作项目202,204,205</w:t>
      </w:r>
    </w:p>
    <w:p w14:paraId="10A7C753">
      <w:pPr>
        <w:spacing w:line="347" w:lineRule="auto"/>
        <w:rPr>
          <w:rFonts w:ascii="Arial"/>
          <w:sz w:val="21"/>
        </w:rPr>
      </w:pPr>
    </w:p>
    <w:p w14:paraId="50176C56">
      <w:pPr>
        <w:spacing w:line="348" w:lineRule="auto"/>
        <w:rPr>
          <w:rFonts w:ascii="Arial"/>
          <w:sz w:val="21"/>
        </w:rPr>
      </w:pPr>
    </w:p>
    <w:p w14:paraId="659BBF52">
      <w:pPr>
        <w:pStyle w:val="2"/>
        <w:spacing w:before="66" w:line="185" w:lineRule="auto"/>
        <w:ind w:left="50"/>
        <w:rPr>
          <w:rFonts w:ascii="Times New Roman" w:hAnsi="Times New Roman" w:eastAsia="Times New Roman" w:cs="Times New Roman"/>
          <w:sz w:val="20"/>
          <w:szCs w:val="20"/>
        </w:rPr>
      </w:pPr>
      <w:r>
        <w:rPr>
          <w:spacing w:val="-14"/>
          <w:sz w:val="20"/>
          <w:szCs w:val="20"/>
        </w:rPr>
        <w:t xml:space="preserve">工作项目102 </w:t>
      </w:r>
      <w:r>
        <w:rPr>
          <w:rFonts w:ascii="Times New Roman" w:hAnsi="Times New Roman" w:eastAsia="Times New Roman" w:cs="Times New Roman"/>
          <w:spacing w:val="-14"/>
          <w:sz w:val="20"/>
          <w:szCs w:val="20"/>
        </w:rPr>
        <w:t>A3.1.3</w:t>
      </w:r>
    </w:p>
    <w:p w14:paraId="7600F6E6">
      <w:pPr>
        <w:pStyle w:val="2"/>
        <w:spacing w:before="2" w:line="223" w:lineRule="auto"/>
        <w:ind w:left="50" w:right="642"/>
        <w:rPr>
          <w:rFonts w:ascii="Times New Roman" w:hAnsi="Times New Roman" w:eastAsia="Times New Roman" w:cs="Times New Roman"/>
          <w:sz w:val="19"/>
          <w:szCs w:val="19"/>
        </w:rPr>
      </w:pPr>
      <w:r>
        <w:rPr>
          <w:spacing w:val="-19"/>
          <w:sz w:val="20"/>
          <w:szCs w:val="20"/>
        </w:rPr>
        <w:t>工作项目103</w:t>
      </w:r>
      <w:r>
        <w:rPr>
          <w:spacing w:val="37"/>
          <w:sz w:val="20"/>
          <w:szCs w:val="20"/>
        </w:rPr>
        <w:t xml:space="preserve"> </w:t>
      </w:r>
      <w:r>
        <w:rPr>
          <w:rFonts w:ascii="Times New Roman" w:hAnsi="Times New Roman" w:eastAsia="Times New Roman" w:cs="Times New Roman"/>
          <w:spacing w:val="-19"/>
          <w:sz w:val="20"/>
          <w:szCs w:val="20"/>
        </w:rPr>
        <w:t>A3.1.4</w:t>
      </w:r>
      <w:r>
        <w:rPr>
          <w:rFonts w:ascii="Times New Roman" w:hAnsi="Times New Roman" w:eastAsia="Times New Roman" w:cs="Times New Roman"/>
          <w:sz w:val="20"/>
          <w:szCs w:val="20"/>
        </w:rPr>
        <w:t xml:space="preserve"> </w:t>
      </w:r>
      <w:r>
        <w:rPr>
          <w:spacing w:val="7"/>
          <w:sz w:val="17"/>
          <w:szCs w:val="17"/>
        </w:rPr>
        <w:t xml:space="preserve">项目系列200 </w:t>
      </w:r>
      <w:r>
        <w:rPr>
          <w:rFonts w:ascii="Times New Roman" w:hAnsi="Times New Roman" w:eastAsia="Times New Roman" w:cs="Times New Roman"/>
          <w:spacing w:val="7"/>
          <w:sz w:val="17"/>
          <w:szCs w:val="17"/>
        </w:rPr>
        <w:t>A3.2</w:t>
      </w:r>
      <w:r>
        <w:rPr>
          <w:rFonts w:ascii="Times New Roman" w:hAnsi="Times New Roman" w:eastAsia="Times New Roman" w:cs="Times New Roman"/>
          <w:spacing w:val="1"/>
          <w:sz w:val="17"/>
          <w:szCs w:val="17"/>
        </w:rPr>
        <w:t xml:space="preserve">   </w:t>
      </w:r>
      <w:r>
        <w:rPr>
          <w:spacing w:val="-9"/>
          <w:sz w:val="19"/>
          <w:szCs w:val="19"/>
        </w:rPr>
        <w:t xml:space="preserve">工作项目301 </w:t>
      </w:r>
      <w:r>
        <w:rPr>
          <w:rFonts w:ascii="Times New Roman" w:hAnsi="Times New Roman" w:eastAsia="Times New Roman" w:cs="Times New Roman"/>
          <w:spacing w:val="-9"/>
          <w:sz w:val="19"/>
          <w:szCs w:val="19"/>
        </w:rPr>
        <w:t>A3.3.2</w:t>
      </w:r>
    </w:p>
    <w:p w14:paraId="37D20635">
      <w:pPr>
        <w:pStyle w:val="2"/>
        <w:spacing w:line="220" w:lineRule="auto"/>
        <w:ind w:left="50"/>
        <w:rPr>
          <w:rFonts w:ascii="Times New Roman" w:hAnsi="Times New Roman" w:eastAsia="Times New Roman" w:cs="Times New Roman"/>
          <w:sz w:val="16"/>
          <w:szCs w:val="16"/>
        </w:rPr>
      </w:pPr>
      <w:r>
        <w:rPr>
          <w:spacing w:val="3"/>
          <w:sz w:val="16"/>
          <w:szCs w:val="16"/>
        </w:rPr>
        <w:t>工作项目303</w:t>
      </w:r>
      <w:r>
        <w:rPr>
          <w:spacing w:val="38"/>
          <w:sz w:val="16"/>
          <w:szCs w:val="16"/>
        </w:rPr>
        <w:t xml:space="preserve"> </w:t>
      </w:r>
      <w:r>
        <w:rPr>
          <w:rFonts w:ascii="Times New Roman" w:hAnsi="Times New Roman" w:eastAsia="Times New Roman" w:cs="Times New Roman"/>
          <w:spacing w:val="3"/>
          <w:sz w:val="16"/>
          <w:szCs w:val="16"/>
        </w:rPr>
        <w:t>A3.3.4</w:t>
      </w:r>
    </w:p>
    <w:p w14:paraId="62FEC917">
      <w:pPr>
        <w:spacing w:line="259" w:lineRule="auto"/>
        <w:rPr>
          <w:rFonts w:ascii="Arial"/>
          <w:sz w:val="21"/>
        </w:rPr>
      </w:pPr>
    </w:p>
    <w:p w14:paraId="31D247BE">
      <w:pPr>
        <w:spacing w:line="259" w:lineRule="auto"/>
        <w:rPr>
          <w:rFonts w:ascii="Arial"/>
          <w:sz w:val="21"/>
        </w:rPr>
      </w:pPr>
    </w:p>
    <w:p w14:paraId="6F0F608C">
      <w:pPr>
        <w:spacing w:line="259" w:lineRule="auto"/>
        <w:rPr>
          <w:rFonts w:ascii="Arial"/>
          <w:sz w:val="21"/>
        </w:rPr>
      </w:pPr>
    </w:p>
    <w:p w14:paraId="451C3D6F">
      <w:pPr>
        <w:spacing w:line="259" w:lineRule="auto"/>
        <w:rPr>
          <w:rFonts w:ascii="Arial"/>
          <w:sz w:val="21"/>
        </w:rPr>
      </w:pPr>
    </w:p>
    <w:p w14:paraId="5C883DBD">
      <w:pPr>
        <w:spacing w:line="260" w:lineRule="auto"/>
        <w:rPr>
          <w:rFonts w:ascii="Arial"/>
          <w:sz w:val="21"/>
        </w:rPr>
      </w:pPr>
    </w:p>
    <w:p w14:paraId="3C7FA26F">
      <w:pPr>
        <w:spacing w:line="260" w:lineRule="auto"/>
        <w:rPr>
          <w:rFonts w:ascii="Arial"/>
          <w:sz w:val="21"/>
        </w:rPr>
      </w:pPr>
    </w:p>
    <w:p w14:paraId="531EA4FA">
      <w:pPr>
        <w:pStyle w:val="2"/>
        <w:spacing w:before="66" w:line="220" w:lineRule="auto"/>
        <w:ind w:left="830"/>
        <w:rPr>
          <w:sz w:val="20"/>
          <w:szCs w:val="20"/>
        </w:rPr>
      </w:pPr>
      <w:r>
        <w:rPr>
          <w:spacing w:val="-18"/>
          <w:sz w:val="20"/>
          <w:szCs w:val="20"/>
        </w:rPr>
        <w:t>指南：</w:t>
      </w:r>
    </w:p>
    <w:p w14:paraId="0C75C6D6">
      <w:pPr>
        <w:pStyle w:val="2"/>
        <w:spacing w:line="220" w:lineRule="auto"/>
        <w:ind w:left="130"/>
        <w:rPr>
          <w:rFonts w:ascii="Times New Roman" w:hAnsi="Times New Roman" w:eastAsia="Times New Roman" w:cs="Times New Roman"/>
          <w:sz w:val="17"/>
          <w:szCs w:val="17"/>
        </w:rPr>
      </w:pPr>
      <w:r>
        <w:rPr>
          <w:spacing w:val="-1"/>
          <w:sz w:val="17"/>
          <w:szCs w:val="17"/>
        </w:rPr>
        <w:t>工作项目102</w:t>
      </w:r>
      <w:r>
        <w:rPr>
          <w:spacing w:val="29"/>
          <w:sz w:val="17"/>
          <w:szCs w:val="17"/>
        </w:rPr>
        <w:t xml:space="preserve"> </w:t>
      </w:r>
      <w:r>
        <w:rPr>
          <w:rFonts w:ascii="Times New Roman" w:hAnsi="Times New Roman" w:eastAsia="Times New Roman" w:cs="Times New Roman"/>
          <w:spacing w:val="-1"/>
          <w:sz w:val="17"/>
          <w:szCs w:val="17"/>
        </w:rPr>
        <w:t>A3.13</w:t>
      </w:r>
    </w:p>
    <w:p w14:paraId="36B896AB">
      <w:pPr>
        <w:pStyle w:val="2"/>
        <w:spacing w:before="16" w:line="218" w:lineRule="auto"/>
        <w:ind w:left="130" w:right="668" w:hanging="80"/>
        <w:rPr>
          <w:rFonts w:ascii="Times New Roman" w:hAnsi="Times New Roman" w:eastAsia="Times New Roman" w:cs="Times New Roman"/>
          <w:sz w:val="17"/>
          <w:szCs w:val="17"/>
        </w:rPr>
      </w:pPr>
      <w:r>
        <w:rPr>
          <w:spacing w:val="2"/>
          <w:sz w:val="17"/>
          <w:szCs w:val="17"/>
        </w:rPr>
        <w:t xml:space="preserve">工作项目103 </w:t>
      </w:r>
      <w:r>
        <w:rPr>
          <w:rFonts w:ascii="Times New Roman" w:hAnsi="Times New Roman" w:eastAsia="Times New Roman" w:cs="Times New Roman"/>
          <w:spacing w:val="2"/>
          <w:sz w:val="17"/>
          <w:szCs w:val="17"/>
        </w:rPr>
        <w:t>A3.1.4</w:t>
      </w:r>
      <w:r>
        <w:rPr>
          <w:rFonts w:ascii="Times New Roman" w:hAnsi="Times New Roman" w:eastAsia="Times New Roman" w:cs="Times New Roman"/>
          <w:sz w:val="17"/>
          <w:szCs w:val="17"/>
        </w:rPr>
        <w:t xml:space="preserve"> </w:t>
      </w:r>
      <w:r>
        <w:rPr>
          <w:spacing w:val="3"/>
          <w:sz w:val="17"/>
          <w:szCs w:val="17"/>
        </w:rPr>
        <w:t>项目系列200</w:t>
      </w:r>
      <w:r>
        <w:rPr>
          <w:spacing w:val="24"/>
          <w:sz w:val="17"/>
          <w:szCs w:val="17"/>
        </w:rPr>
        <w:t xml:space="preserve"> </w:t>
      </w:r>
      <w:r>
        <w:rPr>
          <w:rFonts w:ascii="Times New Roman" w:hAnsi="Times New Roman" w:eastAsia="Times New Roman" w:cs="Times New Roman"/>
          <w:spacing w:val="3"/>
          <w:sz w:val="17"/>
          <w:szCs w:val="17"/>
        </w:rPr>
        <w:t>A3.2</w:t>
      </w:r>
    </w:p>
    <w:p w14:paraId="6D5BFFB8">
      <w:pPr>
        <w:pStyle w:val="2"/>
        <w:spacing w:line="220" w:lineRule="auto"/>
        <w:ind w:left="130"/>
        <w:rPr>
          <w:rFonts w:ascii="Times New Roman" w:hAnsi="Times New Roman" w:eastAsia="Times New Roman" w:cs="Times New Roman"/>
          <w:sz w:val="19"/>
          <w:szCs w:val="19"/>
        </w:rPr>
      </w:pPr>
      <w:r>
        <w:rPr>
          <w:spacing w:val="-10"/>
          <w:sz w:val="19"/>
          <w:szCs w:val="19"/>
        </w:rPr>
        <w:t>项目系列300</w:t>
      </w:r>
      <w:r>
        <w:rPr>
          <w:spacing w:val="37"/>
          <w:sz w:val="19"/>
          <w:szCs w:val="19"/>
        </w:rPr>
        <w:t xml:space="preserve"> </w:t>
      </w:r>
      <w:r>
        <w:rPr>
          <w:rFonts w:ascii="Times New Roman" w:hAnsi="Times New Roman" w:eastAsia="Times New Roman" w:cs="Times New Roman"/>
          <w:spacing w:val="-10"/>
          <w:sz w:val="19"/>
          <w:szCs w:val="19"/>
        </w:rPr>
        <w:t>A3.3</w:t>
      </w:r>
    </w:p>
    <w:p w14:paraId="020F66E1">
      <w:pPr>
        <w:spacing w:line="14" w:lineRule="auto"/>
        <w:rPr>
          <w:rFonts w:ascii="Arial"/>
          <w:sz w:val="2"/>
        </w:rPr>
      </w:pPr>
      <w:r>
        <w:rPr>
          <w:rFonts w:ascii="Arial" w:hAnsi="Arial" w:eastAsia="Arial" w:cs="Arial"/>
          <w:sz w:val="2"/>
          <w:szCs w:val="2"/>
        </w:rPr>
        <w:br w:type="column"/>
      </w:r>
    </w:p>
    <w:p w14:paraId="4358A098">
      <w:pPr>
        <w:spacing w:line="252" w:lineRule="auto"/>
        <w:rPr>
          <w:rFonts w:ascii="Arial"/>
          <w:sz w:val="21"/>
        </w:rPr>
      </w:pPr>
    </w:p>
    <w:p w14:paraId="3951A38A">
      <w:pPr>
        <w:spacing w:line="252" w:lineRule="auto"/>
        <w:rPr>
          <w:rFonts w:ascii="Arial"/>
          <w:sz w:val="21"/>
        </w:rPr>
      </w:pPr>
    </w:p>
    <w:p w14:paraId="6DA18E97">
      <w:pPr>
        <w:spacing w:line="252" w:lineRule="auto"/>
        <w:rPr>
          <w:rFonts w:ascii="Arial"/>
          <w:sz w:val="21"/>
        </w:rPr>
      </w:pPr>
    </w:p>
    <w:p w14:paraId="028AB384">
      <w:pPr>
        <w:spacing w:line="252" w:lineRule="auto"/>
        <w:rPr>
          <w:rFonts w:ascii="Arial"/>
          <w:sz w:val="21"/>
        </w:rPr>
      </w:pPr>
    </w:p>
    <w:p w14:paraId="72CB24F0">
      <w:pPr>
        <w:spacing w:line="252" w:lineRule="auto"/>
        <w:rPr>
          <w:rFonts w:ascii="Arial"/>
          <w:sz w:val="21"/>
        </w:rPr>
      </w:pPr>
    </w:p>
    <w:p w14:paraId="22764361">
      <w:pPr>
        <w:spacing w:line="253" w:lineRule="auto"/>
        <w:rPr>
          <w:rFonts w:ascii="Arial"/>
          <w:sz w:val="21"/>
        </w:rPr>
      </w:pPr>
    </w:p>
    <w:p w14:paraId="1520145B">
      <w:pPr>
        <w:spacing w:line="253" w:lineRule="auto"/>
        <w:rPr>
          <w:rFonts w:ascii="Arial"/>
          <w:sz w:val="21"/>
        </w:rPr>
      </w:pPr>
    </w:p>
    <w:p w14:paraId="7EFF9687">
      <w:pPr>
        <w:spacing w:line="253" w:lineRule="auto"/>
        <w:rPr>
          <w:rFonts w:ascii="Arial"/>
          <w:sz w:val="21"/>
        </w:rPr>
      </w:pPr>
    </w:p>
    <w:p w14:paraId="6889D760">
      <w:pPr>
        <w:spacing w:line="253" w:lineRule="auto"/>
        <w:rPr>
          <w:rFonts w:ascii="Arial"/>
          <w:sz w:val="21"/>
        </w:rPr>
      </w:pPr>
    </w:p>
    <w:p w14:paraId="0ACE816E">
      <w:pPr>
        <w:spacing w:line="253" w:lineRule="auto"/>
        <w:rPr>
          <w:rFonts w:ascii="Arial"/>
          <w:sz w:val="21"/>
        </w:rPr>
      </w:pPr>
    </w:p>
    <w:p w14:paraId="410B468E">
      <w:pPr>
        <w:spacing w:line="253" w:lineRule="auto"/>
        <w:rPr>
          <w:rFonts w:ascii="Arial"/>
          <w:sz w:val="21"/>
        </w:rPr>
      </w:pPr>
    </w:p>
    <w:p w14:paraId="46506679">
      <w:pPr>
        <w:spacing w:line="253" w:lineRule="auto"/>
        <w:rPr>
          <w:rFonts w:ascii="Arial"/>
          <w:sz w:val="21"/>
        </w:rPr>
      </w:pPr>
    </w:p>
    <w:p w14:paraId="7C6F8578">
      <w:pPr>
        <w:spacing w:line="253" w:lineRule="auto"/>
        <w:rPr>
          <w:rFonts w:ascii="Arial"/>
          <w:sz w:val="21"/>
        </w:rPr>
      </w:pPr>
    </w:p>
    <w:p w14:paraId="793AAC57">
      <w:pPr>
        <w:pStyle w:val="2"/>
        <w:spacing w:before="66" w:line="221" w:lineRule="auto"/>
        <w:rPr>
          <w:sz w:val="20"/>
          <w:szCs w:val="20"/>
        </w:rPr>
      </w:pPr>
      <w:r>
        <w:rPr>
          <w:spacing w:val="-12"/>
          <w:sz w:val="20"/>
          <w:szCs w:val="20"/>
        </w:rPr>
        <w:t>批准：</w:t>
      </w:r>
    </w:p>
    <w:p w14:paraId="36DBC14A">
      <w:pPr>
        <w:pStyle w:val="2"/>
        <w:spacing w:before="118" w:line="220" w:lineRule="auto"/>
        <w:ind w:left="139"/>
        <w:rPr>
          <w:sz w:val="17"/>
          <w:szCs w:val="17"/>
        </w:rPr>
      </w:pPr>
      <w:r>
        <w:rPr>
          <w:spacing w:val="-3"/>
          <w:sz w:val="17"/>
          <w:szCs w:val="17"/>
        </w:rPr>
        <w:t>如果有</w:t>
      </w:r>
    </w:p>
    <w:p w14:paraId="1F9F5D25">
      <w:pPr>
        <w:pStyle w:val="2"/>
        <w:spacing w:before="6" w:line="221" w:lineRule="auto"/>
        <w:ind w:left="142"/>
        <w:rPr>
          <w:sz w:val="17"/>
          <w:szCs w:val="17"/>
        </w:rPr>
      </w:pPr>
      <w:r>
        <w:rPr>
          <w:b/>
          <w:bCs/>
          <w:spacing w:val="-4"/>
          <w:sz w:val="17"/>
          <w:szCs w:val="17"/>
        </w:rPr>
        <w:t>试验要</w:t>
      </w:r>
    </w:p>
    <w:p w14:paraId="361BCD61">
      <w:pPr>
        <w:pStyle w:val="2"/>
        <w:spacing w:before="38" w:line="213" w:lineRule="auto"/>
        <w:ind w:left="139" w:right="190"/>
        <w:jc w:val="both"/>
        <w:rPr>
          <w:rFonts w:ascii="Times New Roman" w:hAnsi="Times New Roman" w:eastAsia="Times New Roman" w:cs="Times New Roman"/>
          <w:sz w:val="20"/>
          <w:szCs w:val="20"/>
        </w:rPr>
      </w:pPr>
      <w:r>
        <w:rPr>
          <w:spacing w:val="4"/>
          <w:sz w:val="17"/>
          <w:szCs w:val="17"/>
        </w:rPr>
        <w:t>求增加</w:t>
      </w:r>
      <w:r>
        <w:rPr>
          <w:sz w:val="17"/>
          <w:szCs w:val="17"/>
        </w:rPr>
        <w:t xml:space="preserve"> </w:t>
      </w:r>
      <w:r>
        <w:rPr>
          <w:spacing w:val="-3"/>
          <w:sz w:val="17"/>
          <w:szCs w:val="17"/>
        </w:rPr>
        <w:t>工作项</w:t>
      </w:r>
      <w:r>
        <w:rPr>
          <w:sz w:val="17"/>
          <w:szCs w:val="17"/>
        </w:rPr>
        <w:t xml:space="preserve"> </w:t>
      </w:r>
      <w:r>
        <w:rPr>
          <w:spacing w:val="4"/>
          <w:sz w:val="17"/>
          <w:szCs w:val="17"/>
        </w:rPr>
        <w:t>目系列</w:t>
      </w:r>
      <w:r>
        <w:rPr>
          <w:sz w:val="17"/>
          <w:szCs w:val="17"/>
        </w:rPr>
        <w:t xml:space="preserve"> </w:t>
      </w:r>
      <w:r>
        <w:rPr>
          <w:rFonts w:ascii="Times New Roman" w:hAnsi="Times New Roman" w:eastAsia="Times New Roman" w:cs="Times New Roman"/>
          <w:spacing w:val="-8"/>
          <w:sz w:val="20"/>
          <w:szCs w:val="20"/>
        </w:rPr>
        <w:t>500</w:t>
      </w:r>
    </w:p>
    <w:p w14:paraId="0D1D888C">
      <w:pPr>
        <w:spacing w:line="371" w:lineRule="auto"/>
        <w:rPr>
          <w:rFonts w:ascii="Arial"/>
          <w:sz w:val="21"/>
        </w:rPr>
      </w:pPr>
    </w:p>
    <w:p w14:paraId="34D195B5">
      <w:pPr>
        <w:pStyle w:val="2"/>
        <w:spacing w:before="56" w:line="229" w:lineRule="auto"/>
        <w:ind w:left="139" w:right="198"/>
        <w:rPr>
          <w:rFonts w:ascii="Times New Roman" w:hAnsi="Times New Roman" w:eastAsia="Times New Roman" w:cs="Times New Roman"/>
          <w:sz w:val="20"/>
          <w:szCs w:val="20"/>
        </w:rPr>
      </w:pPr>
      <w:r>
        <w:rPr>
          <w:spacing w:val="1"/>
          <w:sz w:val="17"/>
          <w:szCs w:val="17"/>
        </w:rPr>
        <w:t xml:space="preserve">指南： </w:t>
      </w:r>
      <w:r>
        <w:rPr>
          <w:rFonts w:ascii="Times New Roman" w:hAnsi="Times New Roman" w:eastAsia="Times New Roman" w:cs="Times New Roman"/>
          <w:spacing w:val="-10"/>
          <w:sz w:val="20"/>
          <w:szCs w:val="20"/>
        </w:rPr>
        <w:t>A3.5</w:t>
      </w:r>
    </w:p>
    <w:p w14:paraId="22D07001">
      <w:pPr>
        <w:spacing w:line="229" w:lineRule="auto"/>
        <w:rPr>
          <w:rFonts w:ascii="Times New Roman" w:hAnsi="Times New Roman" w:eastAsia="Times New Roman" w:cs="Times New Roman"/>
          <w:sz w:val="20"/>
          <w:szCs w:val="20"/>
        </w:rPr>
        <w:sectPr>
          <w:type w:val="continuous"/>
          <w:pgSz w:w="11910" w:h="17130"/>
          <w:pgMar w:top="400" w:right="1215" w:bottom="1623" w:left="1319" w:header="0" w:footer="1424" w:gutter="0"/>
          <w:cols w:equalWidth="0" w:num="5">
            <w:col w:w="1249" w:space="50"/>
            <w:col w:w="2461" w:space="100"/>
            <w:col w:w="2230" w:space="100"/>
            <w:col w:w="2231" w:space="100"/>
            <w:col w:w="854"/>
          </w:cols>
        </w:sectPr>
      </w:pPr>
    </w:p>
    <w:p w14:paraId="40524131">
      <w:pPr>
        <w:pStyle w:val="2"/>
        <w:spacing w:before="278" w:line="189" w:lineRule="auto"/>
        <w:ind w:left="2780"/>
        <w:rPr>
          <w:sz w:val="20"/>
          <w:szCs w:val="20"/>
        </w:rPr>
      </w:pPr>
      <w:r>
        <w:rPr>
          <w:rFonts w:ascii="仿宋" w:hAnsi="仿宋" w:eastAsia="仿宋" w:cs="仿宋"/>
          <w:spacing w:val="20"/>
          <w:sz w:val="20"/>
          <w:szCs w:val="20"/>
        </w:rPr>
        <w:t>图</w:t>
      </w:r>
      <w:r>
        <w:rPr>
          <w:rFonts w:ascii="仿宋" w:hAnsi="仿宋" w:eastAsia="仿宋" w:cs="仿宋"/>
          <w:spacing w:val="-22"/>
          <w:sz w:val="20"/>
          <w:szCs w:val="20"/>
        </w:rPr>
        <w:t xml:space="preserve"> </w:t>
      </w:r>
      <w:r>
        <w:rPr>
          <w:rFonts w:ascii="仿宋" w:hAnsi="仿宋" w:eastAsia="仿宋" w:cs="仿宋"/>
          <w:spacing w:val="20"/>
          <w:sz w:val="20"/>
          <w:szCs w:val="20"/>
        </w:rPr>
        <w:t>1</w:t>
      </w:r>
      <w:r>
        <w:rPr>
          <w:rFonts w:ascii="仿宋" w:hAnsi="仿宋" w:eastAsia="仿宋" w:cs="仿宋"/>
          <w:spacing w:val="-43"/>
          <w:sz w:val="20"/>
          <w:szCs w:val="20"/>
        </w:rPr>
        <w:t xml:space="preserve"> </w:t>
      </w:r>
      <w:r>
        <w:rPr>
          <w:rFonts w:ascii="仿宋" w:hAnsi="仿宋" w:eastAsia="仿宋" w:cs="仿宋"/>
          <w:spacing w:val="20"/>
          <w:sz w:val="20"/>
          <w:szCs w:val="20"/>
        </w:rPr>
        <w:t>0</w:t>
      </w:r>
      <w:r>
        <w:rPr>
          <w:rFonts w:ascii="仿宋" w:hAnsi="仿宋" w:eastAsia="仿宋" w:cs="仿宋"/>
          <w:spacing w:val="-39"/>
          <w:sz w:val="20"/>
          <w:szCs w:val="20"/>
        </w:rPr>
        <w:t xml:space="preserve"> </w:t>
      </w:r>
      <w:r>
        <w:rPr>
          <w:rFonts w:ascii="仿宋" w:hAnsi="仿宋" w:eastAsia="仿宋" w:cs="仿宋"/>
          <w:spacing w:val="20"/>
          <w:sz w:val="20"/>
          <w:szCs w:val="20"/>
        </w:rPr>
        <w:t>.</w:t>
      </w:r>
      <w:r>
        <w:rPr>
          <w:rFonts w:ascii="仿宋" w:hAnsi="仿宋" w:eastAsia="仿宋" w:cs="仿宋"/>
          <w:spacing w:val="-29"/>
          <w:sz w:val="20"/>
          <w:szCs w:val="20"/>
        </w:rPr>
        <w:t xml:space="preserve"> </w:t>
      </w:r>
      <w:r>
        <w:rPr>
          <w:rFonts w:ascii="仿宋" w:hAnsi="仿宋" w:eastAsia="仿宋" w:cs="仿宋"/>
          <w:spacing w:val="20"/>
          <w:sz w:val="20"/>
          <w:szCs w:val="20"/>
        </w:rPr>
        <w:t>1</w:t>
      </w:r>
      <w:r>
        <w:rPr>
          <w:rFonts w:ascii="仿宋" w:hAnsi="仿宋" w:eastAsia="仿宋" w:cs="仿宋"/>
          <w:spacing w:val="29"/>
          <w:sz w:val="20"/>
          <w:szCs w:val="20"/>
        </w:rPr>
        <w:t xml:space="preserve">  </w:t>
      </w:r>
      <w:r>
        <w:rPr>
          <w:spacing w:val="20"/>
          <w:sz w:val="20"/>
          <w:szCs w:val="20"/>
        </w:rPr>
        <w:t>保障性分析剪裁决策逻辑图</w:t>
      </w:r>
    </w:p>
    <w:p w14:paraId="35135B44">
      <w:pPr>
        <w:spacing w:line="189" w:lineRule="auto"/>
        <w:rPr>
          <w:sz w:val="20"/>
          <w:szCs w:val="20"/>
        </w:rPr>
        <w:sectPr>
          <w:type w:val="continuous"/>
          <w:pgSz w:w="11910" w:h="17130"/>
          <w:pgMar w:top="400" w:right="1215" w:bottom="1623" w:left="1319" w:header="0" w:footer="1424" w:gutter="0"/>
          <w:cols w:equalWidth="0" w:num="1">
            <w:col w:w="9375"/>
          </w:cols>
        </w:sectPr>
      </w:pPr>
    </w:p>
    <w:p w14:paraId="6E7C6C0D">
      <w:pPr>
        <w:spacing w:line="272" w:lineRule="auto"/>
        <w:rPr>
          <w:rFonts w:ascii="Arial"/>
          <w:sz w:val="21"/>
        </w:rPr>
      </w:pPr>
    </w:p>
    <w:p w14:paraId="42C755CA">
      <w:pPr>
        <w:spacing w:line="272" w:lineRule="auto"/>
        <w:rPr>
          <w:rFonts w:ascii="Arial"/>
          <w:sz w:val="21"/>
        </w:rPr>
      </w:pPr>
    </w:p>
    <w:p w14:paraId="4F6A2F6E">
      <w:pPr>
        <w:spacing w:line="273" w:lineRule="auto"/>
        <w:rPr>
          <w:rFonts w:ascii="Arial"/>
          <w:sz w:val="21"/>
        </w:rPr>
      </w:pPr>
    </w:p>
    <w:p w14:paraId="7B54F923">
      <w:pPr>
        <w:spacing w:line="273" w:lineRule="auto"/>
        <w:rPr>
          <w:rFonts w:ascii="Arial"/>
          <w:sz w:val="21"/>
        </w:rPr>
      </w:pPr>
    </w:p>
    <w:p w14:paraId="1867A428">
      <w:pPr>
        <w:spacing w:before="78" w:line="220" w:lineRule="auto"/>
        <w:ind w:left="2604"/>
        <w:rPr>
          <w:rFonts w:ascii="仿宋" w:hAnsi="仿宋" w:eastAsia="仿宋" w:cs="仿宋"/>
          <w:sz w:val="24"/>
          <w:szCs w:val="24"/>
        </w:rPr>
      </w:pPr>
      <w:r>
        <w:rPr>
          <w:rFonts w:ascii="仿宋" w:hAnsi="仿宋" w:eastAsia="仿宋" w:cs="仿宋"/>
          <w:spacing w:val="27"/>
          <w:sz w:val="24"/>
          <w:szCs w:val="24"/>
        </w:rPr>
        <w:t>表10</w:t>
      </w:r>
      <w:r>
        <w:rPr>
          <w:rFonts w:ascii="仿宋" w:hAnsi="仿宋" w:eastAsia="仿宋" w:cs="仿宋"/>
          <w:spacing w:val="-49"/>
          <w:sz w:val="24"/>
          <w:szCs w:val="24"/>
        </w:rPr>
        <w:t xml:space="preserve"> </w:t>
      </w:r>
      <w:r>
        <w:rPr>
          <w:rFonts w:ascii="仿宋" w:hAnsi="仿宋" w:eastAsia="仿宋" w:cs="仿宋"/>
          <w:spacing w:val="27"/>
          <w:sz w:val="24"/>
          <w:szCs w:val="24"/>
        </w:rPr>
        <w:t>.</w:t>
      </w:r>
      <w:r>
        <w:rPr>
          <w:rFonts w:ascii="仿宋" w:hAnsi="仿宋" w:eastAsia="仿宋" w:cs="仿宋"/>
          <w:spacing w:val="-46"/>
          <w:sz w:val="24"/>
          <w:szCs w:val="24"/>
        </w:rPr>
        <w:t xml:space="preserve"> </w:t>
      </w:r>
      <w:r>
        <w:rPr>
          <w:rFonts w:ascii="仿宋" w:hAnsi="仿宋" w:eastAsia="仿宋" w:cs="仿宋"/>
          <w:spacing w:val="27"/>
          <w:sz w:val="24"/>
          <w:szCs w:val="24"/>
        </w:rPr>
        <w:t>1</w:t>
      </w:r>
      <w:r>
        <w:rPr>
          <w:rFonts w:ascii="仿宋" w:hAnsi="仿宋" w:eastAsia="仿宋" w:cs="仿宋"/>
          <w:spacing w:val="115"/>
          <w:sz w:val="24"/>
          <w:szCs w:val="24"/>
        </w:rPr>
        <w:t xml:space="preserve"> </w:t>
      </w:r>
      <w:r>
        <w:rPr>
          <w:rFonts w:ascii="仿宋" w:hAnsi="仿宋" w:eastAsia="仿宋" w:cs="仿宋"/>
          <w:spacing w:val="27"/>
          <w:sz w:val="24"/>
          <w:szCs w:val="24"/>
        </w:rPr>
        <w:t>保障性分析工作项目应用</w:t>
      </w:r>
    </w:p>
    <w:p w14:paraId="094C2EFE">
      <w:pPr>
        <w:spacing w:line="103" w:lineRule="exact"/>
      </w:pPr>
    </w:p>
    <w:tbl>
      <w:tblPr>
        <w:tblStyle w:val="5"/>
        <w:tblW w:w="93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61"/>
        <w:gridCol w:w="619"/>
        <w:gridCol w:w="1049"/>
        <w:gridCol w:w="1049"/>
        <w:gridCol w:w="1258"/>
        <w:gridCol w:w="1623"/>
      </w:tblGrid>
      <w:tr w14:paraId="59E59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761" w:type="dxa"/>
            <w:vMerge w:val="restart"/>
            <w:tcBorders>
              <w:bottom w:val="nil"/>
            </w:tcBorders>
            <w:vAlign w:val="top"/>
          </w:tcPr>
          <w:p w14:paraId="2A7436A8">
            <w:pPr>
              <w:pStyle w:val="6"/>
              <w:spacing w:line="420" w:lineRule="auto"/>
            </w:pPr>
          </w:p>
          <w:p w14:paraId="641AED3F">
            <w:pPr>
              <w:spacing w:before="72" w:line="220" w:lineRule="auto"/>
              <w:ind w:left="724"/>
              <w:rPr>
                <w:rFonts w:ascii="宋体" w:hAnsi="宋体" w:eastAsia="宋体" w:cs="宋体"/>
                <w:sz w:val="22"/>
                <w:szCs w:val="22"/>
              </w:rPr>
            </w:pPr>
            <w:r>
              <w:rPr>
                <w:rFonts w:ascii="宋体" w:hAnsi="宋体" w:eastAsia="宋体" w:cs="宋体"/>
                <w:spacing w:val="-13"/>
                <w:sz w:val="22"/>
                <w:szCs w:val="22"/>
              </w:rPr>
              <w:t>工  作</w:t>
            </w:r>
            <w:r>
              <w:rPr>
                <w:rFonts w:ascii="宋体" w:hAnsi="宋体" w:eastAsia="宋体" w:cs="宋体"/>
                <w:spacing w:val="108"/>
                <w:sz w:val="22"/>
                <w:szCs w:val="22"/>
              </w:rPr>
              <w:t xml:space="preserve"> </w:t>
            </w:r>
            <w:r>
              <w:rPr>
                <w:rFonts w:ascii="宋体" w:hAnsi="宋体" w:eastAsia="宋体" w:cs="宋体"/>
                <w:spacing w:val="-13"/>
                <w:sz w:val="22"/>
                <w:szCs w:val="22"/>
              </w:rPr>
              <w:t>项</w:t>
            </w:r>
            <w:r>
              <w:rPr>
                <w:rFonts w:ascii="宋体" w:hAnsi="宋体" w:eastAsia="宋体" w:cs="宋体"/>
                <w:spacing w:val="18"/>
                <w:sz w:val="22"/>
                <w:szCs w:val="22"/>
              </w:rPr>
              <w:t xml:space="preserve">  </w:t>
            </w:r>
            <w:r>
              <w:rPr>
                <w:rFonts w:ascii="宋体" w:hAnsi="宋体" w:eastAsia="宋体" w:cs="宋体"/>
                <w:spacing w:val="-13"/>
                <w:sz w:val="22"/>
                <w:szCs w:val="22"/>
              </w:rPr>
              <w:t>目</w:t>
            </w:r>
            <w:r>
              <w:rPr>
                <w:rFonts w:ascii="宋体" w:hAnsi="宋体" w:eastAsia="宋体" w:cs="宋体"/>
                <w:spacing w:val="105"/>
                <w:sz w:val="22"/>
                <w:szCs w:val="22"/>
              </w:rPr>
              <w:t xml:space="preserve"> </w:t>
            </w:r>
            <w:r>
              <w:rPr>
                <w:rFonts w:ascii="宋体" w:hAnsi="宋体" w:eastAsia="宋体" w:cs="宋体"/>
                <w:spacing w:val="-13"/>
                <w:sz w:val="22"/>
                <w:szCs w:val="22"/>
              </w:rPr>
              <w:t>名</w:t>
            </w:r>
            <w:r>
              <w:rPr>
                <w:rFonts w:ascii="宋体" w:hAnsi="宋体" w:eastAsia="宋体" w:cs="宋体"/>
                <w:spacing w:val="102"/>
                <w:sz w:val="22"/>
                <w:szCs w:val="22"/>
              </w:rPr>
              <w:t xml:space="preserve"> </w:t>
            </w:r>
            <w:r>
              <w:rPr>
                <w:rFonts w:ascii="宋体" w:hAnsi="宋体" w:eastAsia="宋体" w:cs="宋体"/>
                <w:spacing w:val="-13"/>
                <w:sz w:val="22"/>
                <w:szCs w:val="22"/>
              </w:rPr>
              <w:t>称</w:t>
            </w:r>
          </w:p>
        </w:tc>
        <w:tc>
          <w:tcPr>
            <w:tcW w:w="5598" w:type="dxa"/>
            <w:gridSpan w:val="5"/>
            <w:vAlign w:val="top"/>
          </w:tcPr>
          <w:p w14:paraId="5C501195">
            <w:pPr>
              <w:spacing w:before="94" w:line="220" w:lineRule="auto"/>
              <w:ind w:left="2183"/>
              <w:rPr>
                <w:rFonts w:ascii="宋体" w:hAnsi="宋体" w:eastAsia="宋体" w:cs="宋体"/>
                <w:sz w:val="22"/>
                <w:szCs w:val="22"/>
              </w:rPr>
            </w:pPr>
            <w:r>
              <w:rPr>
                <w:rFonts w:ascii="宋体" w:hAnsi="宋体" w:eastAsia="宋体" w:cs="宋体"/>
                <w:spacing w:val="4"/>
                <w:sz w:val="22"/>
                <w:szCs w:val="22"/>
              </w:rPr>
              <w:t>各阶段的应用</w:t>
            </w:r>
          </w:p>
        </w:tc>
      </w:tr>
      <w:tr w14:paraId="3D00C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761" w:type="dxa"/>
            <w:vMerge w:val="continue"/>
            <w:tcBorders>
              <w:top w:val="nil"/>
              <w:bottom w:val="nil"/>
            </w:tcBorders>
            <w:vAlign w:val="top"/>
          </w:tcPr>
          <w:p w14:paraId="7E8EB5FA">
            <w:pPr>
              <w:pStyle w:val="6"/>
            </w:pPr>
          </w:p>
        </w:tc>
        <w:tc>
          <w:tcPr>
            <w:tcW w:w="619" w:type="dxa"/>
            <w:vMerge w:val="restart"/>
            <w:tcBorders>
              <w:bottom w:val="nil"/>
            </w:tcBorders>
            <w:vAlign w:val="top"/>
          </w:tcPr>
          <w:p w14:paraId="40A06DB8">
            <w:pPr>
              <w:spacing w:before="127" w:line="227" w:lineRule="auto"/>
              <w:ind w:left="83"/>
              <w:rPr>
                <w:rFonts w:ascii="宋体" w:hAnsi="宋体" w:eastAsia="宋体" w:cs="宋体"/>
                <w:sz w:val="22"/>
                <w:szCs w:val="22"/>
              </w:rPr>
            </w:pPr>
            <w:r>
              <w:rPr>
                <w:rFonts w:ascii="宋体" w:hAnsi="宋体" w:eastAsia="宋体" w:cs="宋体"/>
                <w:spacing w:val="-3"/>
                <w:sz w:val="22"/>
                <w:szCs w:val="22"/>
              </w:rPr>
              <w:t>论证</w:t>
            </w:r>
          </w:p>
          <w:p w14:paraId="139EDAF2">
            <w:pPr>
              <w:spacing w:before="62" w:line="221" w:lineRule="auto"/>
              <w:ind w:left="83"/>
              <w:rPr>
                <w:rFonts w:ascii="宋体" w:hAnsi="宋体" w:eastAsia="宋体" w:cs="宋体"/>
                <w:sz w:val="22"/>
                <w:szCs w:val="22"/>
              </w:rPr>
            </w:pPr>
            <w:r>
              <w:rPr>
                <w:rFonts w:ascii="宋体" w:hAnsi="宋体" w:eastAsia="宋体" w:cs="宋体"/>
                <w:spacing w:val="4"/>
                <w:sz w:val="22"/>
                <w:szCs w:val="22"/>
              </w:rPr>
              <w:t>阶段</w:t>
            </w:r>
          </w:p>
        </w:tc>
        <w:tc>
          <w:tcPr>
            <w:tcW w:w="2098" w:type="dxa"/>
            <w:gridSpan w:val="2"/>
            <w:vAlign w:val="top"/>
          </w:tcPr>
          <w:p w14:paraId="597597E0">
            <w:pPr>
              <w:spacing w:before="90" w:line="220" w:lineRule="auto"/>
              <w:ind w:left="634"/>
              <w:rPr>
                <w:rFonts w:ascii="宋体" w:hAnsi="宋体" w:eastAsia="宋体" w:cs="宋体"/>
                <w:sz w:val="22"/>
                <w:szCs w:val="22"/>
              </w:rPr>
            </w:pPr>
            <w:r>
              <w:rPr>
                <w:rFonts w:ascii="宋体" w:hAnsi="宋体" w:eastAsia="宋体" w:cs="宋体"/>
                <w:spacing w:val="-2"/>
                <w:sz w:val="22"/>
                <w:szCs w:val="22"/>
              </w:rPr>
              <w:t>方案阶段</w:t>
            </w:r>
          </w:p>
        </w:tc>
        <w:tc>
          <w:tcPr>
            <w:tcW w:w="1258" w:type="dxa"/>
            <w:vMerge w:val="restart"/>
            <w:tcBorders>
              <w:bottom w:val="nil"/>
            </w:tcBorders>
            <w:vAlign w:val="top"/>
          </w:tcPr>
          <w:p w14:paraId="69EDDEE5">
            <w:pPr>
              <w:spacing w:before="131" w:line="272" w:lineRule="auto"/>
              <w:ind w:left="76" w:right="62" w:firstLine="110"/>
              <w:rPr>
                <w:rFonts w:ascii="宋体" w:hAnsi="宋体" w:eastAsia="宋体" w:cs="宋体"/>
                <w:sz w:val="22"/>
                <w:szCs w:val="22"/>
              </w:rPr>
            </w:pPr>
            <w:r>
              <w:rPr>
                <w:rFonts w:ascii="宋体" w:hAnsi="宋体" w:eastAsia="宋体" w:cs="宋体"/>
                <w:spacing w:val="4"/>
                <w:sz w:val="22"/>
                <w:szCs w:val="22"/>
              </w:rPr>
              <w:t>工程研制</w:t>
            </w:r>
            <w:r>
              <w:rPr>
                <w:rFonts w:ascii="宋体" w:hAnsi="宋体" w:eastAsia="宋体" w:cs="宋体"/>
                <w:sz w:val="22"/>
                <w:szCs w:val="22"/>
              </w:rPr>
              <w:t xml:space="preserve">  </w:t>
            </w:r>
            <w:r>
              <w:rPr>
                <w:rFonts w:ascii="宋体" w:hAnsi="宋体" w:eastAsia="宋体" w:cs="宋体"/>
                <w:spacing w:val="1"/>
                <w:sz w:val="22"/>
                <w:szCs w:val="22"/>
              </w:rPr>
              <w:t>与定型阶段</w:t>
            </w:r>
          </w:p>
        </w:tc>
        <w:tc>
          <w:tcPr>
            <w:tcW w:w="1623" w:type="dxa"/>
            <w:vMerge w:val="restart"/>
            <w:tcBorders>
              <w:bottom w:val="nil"/>
            </w:tcBorders>
            <w:vAlign w:val="top"/>
          </w:tcPr>
          <w:p w14:paraId="5D177653">
            <w:pPr>
              <w:spacing w:before="138" w:line="269" w:lineRule="auto"/>
              <w:ind w:left="368" w:right="21" w:hanging="330"/>
              <w:rPr>
                <w:rFonts w:ascii="宋体" w:hAnsi="宋体" w:eastAsia="宋体" w:cs="宋体"/>
                <w:sz w:val="22"/>
                <w:szCs w:val="22"/>
              </w:rPr>
            </w:pPr>
            <w:r>
              <w:rPr>
                <w:rFonts w:ascii="宋体" w:hAnsi="宋体" w:eastAsia="宋体" w:cs="宋体"/>
                <w:spacing w:val="1"/>
                <w:sz w:val="22"/>
                <w:szCs w:val="22"/>
              </w:rPr>
              <w:t>生产阶段及部署</w:t>
            </w:r>
            <w:r>
              <w:rPr>
                <w:rFonts w:ascii="宋体" w:hAnsi="宋体" w:eastAsia="宋体" w:cs="宋体"/>
                <w:spacing w:val="4"/>
                <w:sz w:val="22"/>
                <w:szCs w:val="22"/>
              </w:rPr>
              <w:t xml:space="preserve"> </w:t>
            </w:r>
            <w:r>
              <w:rPr>
                <w:rFonts w:ascii="宋体" w:hAnsi="宋体" w:eastAsia="宋体" w:cs="宋体"/>
                <w:spacing w:val="-2"/>
                <w:sz w:val="22"/>
                <w:szCs w:val="22"/>
              </w:rPr>
              <w:t>使用阶段</w:t>
            </w:r>
          </w:p>
        </w:tc>
      </w:tr>
      <w:tr w14:paraId="03044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3761" w:type="dxa"/>
            <w:vMerge w:val="continue"/>
            <w:tcBorders>
              <w:top w:val="nil"/>
            </w:tcBorders>
            <w:vAlign w:val="top"/>
          </w:tcPr>
          <w:p w14:paraId="4EB0AB52">
            <w:pPr>
              <w:pStyle w:val="6"/>
            </w:pPr>
          </w:p>
        </w:tc>
        <w:tc>
          <w:tcPr>
            <w:tcW w:w="619" w:type="dxa"/>
            <w:vMerge w:val="continue"/>
            <w:tcBorders>
              <w:top w:val="nil"/>
            </w:tcBorders>
            <w:vAlign w:val="top"/>
          </w:tcPr>
          <w:p w14:paraId="70470C67">
            <w:pPr>
              <w:pStyle w:val="6"/>
            </w:pPr>
          </w:p>
        </w:tc>
        <w:tc>
          <w:tcPr>
            <w:tcW w:w="1049" w:type="dxa"/>
            <w:vAlign w:val="top"/>
          </w:tcPr>
          <w:p w14:paraId="4AC477E3">
            <w:pPr>
              <w:spacing w:before="80" w:line="220" w:lineRule="auto"/>
              <w:ind w:left="74"/>
              <w:rPr>
                <w:rFonts w:ascii="宋体" w:hAnsi="宋体" w:eastAsia="宋体" w:cs="宋体"/>
                <w:sz w:val="22"/>
                <w:szCs w:val="22"/>
              </w:rPr>
            </w:pPr>
            <w:r>
              <w:rPr>
                <w:rFonts w:ascii="宋体" w:hAnsi="宋体" w:eastAsia="宋体" w:cs="宋体"/>
                <w:spacing w:val="-2"/>
                <w:sz w:val="22"/>
                <w:szCs w:val="22"/>
              </w:rPr>
              <w:t>方案论证</w:t>
            </w:r>
          </w:p>
        </w:tc>
        <w:tc>
          <w:tcPr>
            <w:tcW w:w="1049" w:type="dxa"/>
            <w:vAlign w:val="top"/>
          </w:tcPr>
          <w:p w14:paraId="193DEF8D">
            <w:pPr>
              <w:spacing w:before="80" w:line="220" w:lineRule="auto"/>
              <w:ind w:left="75"/>
              <w:rPr>
                <w:rFonts w:ascii="宋体" w:hAnsi="宋体" w:eastAsia="宋体" w:cs="宋体"/>
                <w:sz w:val="22"/>
                <w:szCs w:val="22"/>
              </w:rPr>
            </w:pPr>
            <w:r>
              <w:rPr>
                <w:rFonts w:ascii="宋体" w:hAnsi="宋体" w:eastAsia="宋体" w:cs="宋体"/>
                <w:spacing w:val="2"/>
                <w:sz w:val="22"/>
                <w:szCs w:val="22"/>
              </w:rPr>
              <w:t>方案确认</w:t>
            </w:r>
          </w:p>
        </w:tc>
        <w:tc>
          <w:tcPr>
            <w:tcW w:w="1258" w:type="dxa"/>
            <w:vMerge w:val="continue"/>
            <w:tcBorders>
              <w:top w:val="nil"/>
            </w:tcBorders>
            <w:vAlign w:val="top"/>
          </w:tcPr>
          <w:p w14:paraId="635FB14A">
            <w:pPr>
              <w:pStyle w:val="6"/>
            </w:pPr>
          </w:p>
        </w:tc>
        <w:tc>
          <w:tcPr>
            <w:tcW w:w="1623" w:type="dxa"/>
            <w:vMerge w:val="continue"/>
            <w:tcBorders>
              <w:top w:val="nil"/>
            </w:tcBorders>
            <w:vAlign w:val="top"/>
          </w:tcPr>
          <w:p w14:paraId="38465039">
            <w:pPr>
              <w:pStyle w:val="6"/>
            </w:pPr>
          </w:p>
        </w:tc>
      </w:tr>
      <w:tr w14:paraId="50E71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36" w:hRule="atLeast"/>
        </w:trPr>
        <w:tc>
          <w:tcPr>
            <w:tcW w:w="3761" w:type="dxa"/>
            <w:vAlign w:val="top"/>
          </w:tcPr>
          <w:p w14:paraId="5F157F7A">
            <w:pPr>
              <w:spacing w:before="90" w:line="219" w:lineRule="auto"/>
              <w:ind w:left="94"/>
              <w:rPr>
                <w:rFonts w:ascii="宋体" w:hAnsi="宋体" w:eastAsia="宋体" w:cs="宋体"/>
                <w:sz w:val="22"/>
                <w:szCs w:val="22"/>
              </w:rPr>
            </w:pPr>
            <w:r>
              <w:rPr>
                <w:rFonts w:ascii="宋体" w:hAnsi="宋体" w:eastAsia="宋体" w:cs="宋体"/>
                <w:sz w:val="22"/>
                <w:szCs w:val="22"/>
              </w:rPr>
              <w:t>101制定保障性分析工作纲要</w:t>
            </w:r>
          </w:p>
          <w:p w14:paraId="542EBD33">
            <w:pPr>
              <w:spacing w:before="109" w:line="219" w:lineRule="auto"/>
              <w:ind w:left="104"/>
              <w:rPr>
                <w:rFonts w:ascii="宋体" w:hAnsi="宋体" w:eastAsia="宋体" w:cs="宋体"/>
                <w:sz w:val="22"/>
                <w:szCs w:val="22"/>
              </w:rPr>
            </w:pPr>
            <w:r>
              <w:rPr>
                <w:rFonts w:ascii="宋体" w:hAnsi="宋体" w:eastAsia="宋体" w:cs="宋体"/>
                <w:spacing w:val="1"/>
                <w:sz w:val="22"/>
                <w:szCs w:val="22"/>
              </w:rPr>
              <w:t>102制定保障性分析计划</w:t>
            </w:r>
          </w:p>
          <w:p w14:paraId="1A71B1B1">
            <w:pPr>
              <w:spacing w:before="79" w:line="219" w:lineRule="auto"/>
              <w:ind w:left="104"/>
              <w:rPr>
                <w:rFonts w:ascii="宋体" w:hAnsi="宋体" w:eastAsia="宋体" w:cs="宋体"/>
                <w:sz w:val="22"/>
                <w:szCs w:val="22"/>
              </w:rPr>
            </w:pPr>
            <w:r>
              <w:rPr>
                <w:rFonts w:ascii="宋体" w:hAnsi="宋体" w:eastAsia="宋体" w:cs="宋体"/>
                <w:spacing w:val="1"/>
                <w:sz w:val="22"/>
                <w:szCs w:val="22"/>
              </w:rPr>
              <w:t>103有关保障性分析的评审</w:t>
            </w:r>
          </w:p>
          <w:p w14:paraId="2C441BAB">
            <w:pPr>
              <w:spacing w:before="97" w:line="219" w:lineRule="auto"/>
              <w:ind w:left="74"/>
              <w:rPr>
                <w:rFonts w:ascii="宋体" w:hAnsi="宋体" w:eastAsia="宋体" w:cs="宋体"/>
                <w:sz w:val="22"/>
                <w:szCs w:val="22"/>
              </w:rPr>
            </w:pPr>
            <w:r>
              <w:rPr>
                <w:rFonts w:ascii="宋体" w:hAnsi="宋体" w:eastAsia="宋体" w:cs="宋体"/>
                <w:spacing w:val="1"/>
                <w:sz w:val="22"/>
                <w:szCs w:val="22"/>
              </w:rPr>
              <w:t>201使用研究</w:t>
            </w:r>
          </w:p>
          <w:p w14:paraId="47D607C9">
            <w:pPr>
              <w:spacing w:before="109" w:line="307" w:lineRule="auto"/>
              <w:ind w:left="94" w:right="236"/>
              <w:rPr>
                <w:rFonts w:ascii="宋体" w:hAnsi="宋体" w:eastAsia="宋体" w:cs="宋体"/>
                <w:sz w:val="22"/>
                <w:szCs w:val="22"/>
              </w:rPr>
            </w:pPr>
            <w:r>
              <w:rPr>
                <w:rFonts w:ascii="宋体" w:hAnsi="宋体" w:eastAsia="宋体" w:cs="宋体"/>
                <w:sz w:val="22"/>
                <w:szCs w:val="22"/>
              </w:rPr>
              <w:t>202硬件、软件及保障系统的标准化</w:t>
            </w:r>
            <w:r>
              <w:rPr>
                <w:rFonts w:ascii="宋体" w:hAnsi="宋体" w:eastAsia="宋体" w:cs="宋体"/>
                <w:spacing w:val="8"/>
                <w:sz w:val="22"/>
                <w:szCs w:val="22"/>
              </w:rPr>
              <w:t xml:space="preserve"> </w:t>
            </w:r>
            <w:r>
              <w:rPr>
                <w:rFonts w:ascii="宋体" w:hAnsi="宋体" w:eastAsia="宋体" w:cs="宋体"/>
                <w:spacing w:val="1"/>
                <w:sz w:val="22"/>
                <w:szCs w:val="22"/>
              </w:rPr>
              <w:t>203比较分析</w:t>
            </w:r>
          </w:p>
          <w:p w14:paraId="0ED22E6A">
            <w:pPr>
              <w:spacing w:line="220" w:lineRule="auto"/>
              <w:ind w:left="314"/>
              <w:rPr>
                <w:rFonts w:ascii="宋体" w:hAnsi="宋体" w:eastAsia="宋体" w:cs="宋体"/>
                <w:sz w:val="22"/>
                <w:szCs w:val="22"/>
              </w:rPr>
            </w:pPr>
            <w:r>
              <w:rPr>
                <w:rFonts w:ascii="宋体" w:hAnsi="宋体" w:eastAsia="宋体" w:cs="宋体"/>
                <w:spacing w:val="2"/>
                <w:sz w:val="22"/>
                <w:szCs w:val="22"/>
              </w:rPr>
              <w:t>子项目203.2.1</w:t>
            </w:r>
          </w:p>
          <w:p w14:paraId="51FEFB3F">
            <w:pPr>
              <w:spacing w:before="97" w:line="220" w:lineRule="auto"/>
              <w:ind w:left="314"/>
              <w:rPr>
                <w:rFonts w:ascii="宋体" w:hAnsi="宋体" w:eastAsia="宋体" w:cs="宋体"/>
                <w:sz w:val="22"/>
                <w:szCs w:val="22"/>
              </w:rPr>
            </w:pPr>
            <w:r>
              <w:rPr>
                <w:rFonts w:ascii="宋体" w:hAnsi="宋体" w:eastAsia="宋体" w:cs="宋体"/>
                <w:spacing w:val="1"/>
                <w:sz w:val="22"/>
                <w:szCs w:val="22"/>
              </w:rPr>
              <w:t>子项目203.2.2</w:t>
            </w:r>
          </w:p>
          <w:p w14:paraId="32E1FD2C">
            <w:pPr>
              <w:spacing w:before="77" w:line="220" w:lineRule="auto"/>
              <w:ind w:left="314"/>
              <w:rPr>
                <w:rFonts w:ascii="宋体" w:hAnsi="宋体" w:eastAsia="宋体" w:cs="宋体"/>
                <w:sz w:val="22"/>
                <w:szCs w:val="22"/>
              </w:rPr>
            </w:pPr>
            <w:r>
              <w:rPr>
                <w:rFonts w:ascii="宋体" w:hAnsi="宋体" w:eastAsia="宋体" w:cs="宋体"/>
                <w:spacing w:val="1"/>
                <w:sz w:val="22"/>
                <w:szCs w:val="22"/>
              </w:rPr>
              <w:t>子项目203.2.3</w:t>
            </w:r>
          </w:p>
          <w:p w14:paraId="1096B83B">
            <w:pPr>
              <w:spacing w:before="118" w:line="220" w:lineRule="auto"/>
              <w:ind w:left="314"/>
              <w:rPr>
                <w:rFonts w:ascii="宋体" w:hAnsi="宋体" w:eastAsia="宋体" w:cs="宋体"/>
                <w:sz w:val="22"/>
                <w:szCs w:val="22"/>
              </w:rPr>
            </w:pPr>
            <w:r>
              <w:rPr>
                <w:rFonts w:ascii="宋体" w:hAnsi="宋体" w:eastAsia="宋体" w:cs="宋体"/>
                <w:spacing w:val="-1"/>
                <w:sz w:val="22"/>
                <w:szCs w:val="22"/>
              </w:rPr>
              <w:t>子项目203.2.4</w:t>
            </w:r>
          </w:p>
          <w:p w14:paraId="6B041DE7">
            <w:pPr>
              <w:spacing w:before="98" w:line="220" w:lineRule="auto"/>
              <w:ind w:left="314"/>
              <w:rPr>
                <w:rFonts w:ascii="宋体" w:hAnsi="宋体" w:eastAsia="宋体" w:cs="宋体"/>
                <w:sz w:val="22"/>
                <w:szCs w:val="22"/>
              </w:rPr>
            </w:pPr>
            <w:r>
              <w:rPr>
                <w:rFonts w:ascii="宋体" w:hAnsi="宋体" w:eastAsia="宋体" w:cs="宋体"/>
                <w:spacing w:val="1"/>
                <w:sz w:val="22"/>
                <w:szCs w:val="22"/>
              </w:rPr>
              <w:t>子项目203.2.5</w:t>
            </w:r>
          </w:p>
          <w:p w14:paraId="2C54456B">
            <w:pPr>
              <w:spacing w:before="98" w:line="220" w:lineRule="auto"/>
              <w:ind w:left="314"/>
              <w:rPr>
                <w:rFonts w:ascii="宋体" w:hAnsi="宋体" w:eastAsia="宋体" w:cs="宋体"/>
                <w:sz w:val="22"/>
                <w:szCs w:val="22"/>
              </w:rPr>
            </w:pPr>
            <w:r>
              <w:rPr>
                <w:rFonts w:ascii="宋体" w:hAnsi="宋体" w:eastAsia="宋体" w:cs="宋体"/>
                <w:spacing w:val="1"/>
                <w:sz w:val="22"/>
                <w:szCs w:val="22"/>
              </w:rPr>
              <w:t>子项目203.2.6</w:t>
            </w:r>
          </w:p>
          <w:p w14:paraId="34D1105F">
            <w:pPr>
              <w:spacing w:before="98" w:line="220" w:lineRule="auto"/>
              <w:ind w:left="314"/>
              <w:rPr>
                <w:rFonts w:ascii="宋体" w:hAnsi="宋体" w:eastAsia="宋体" w:cs="宋体"/>
                <w:sz w:val="22"/>
                <w:szCs w:val="22"/>
              </w:rPr>
            </w:pPr>
            <w:r>
              <w:rPr>
                <w:rFonts w:ascii="宋体" w:hAnsi="宋体" w:eastAsia="宋体" w:cs="宋体"/>
                <w:spacing w:val="1"/>
                <w:sz w:val="22"/>
                <w:szCs w:val="22"/>
              </w:rPr>
              <w:t>子项目203.2.7</w:t>
            </w:r>
          </w:p>
          <w:p w14:paraId="5C9255C2">
            <w:pPr>
              <w:spacing w:before="107" w:line="220" w:lineRule="auto"/>
              <w:ind w:left="314"/>
              <w:rPr>
                <w:rFonts w:ascii="宋体" w:hAnsi="宋体" w:eastAsia="宋体" w:cs="宋体"/>
                <w:sz w:val="22"/>
                <w:szCs w:val="22"/>
              </w:rPr>
            </w:pPr>
            <w:r>
              <w:rPr>
                <w:rFonts w:ascii="宋体" w:hAnsi="宋体" w:eastAsia="宋体" w:cs="宋体"/>
                <w:spacing w:val="1"/>
                <w:sz w:val="22"/>
                <w:szCs w:val="22"/>
              </w:rPr>
              <w:t>子项目203.2.8</w:t>
            </w:r>
          </w:p>
          <w:p w14:paraId="50A6CB0A">
            <w:pPr>
              <w:spacing w:before="98" w:line="219" w:lineRule="auto"/>
              <w:ind w:left="94"/>
              <w:rPr>
                <w:rFonts w:ascii="宋体" w:hAnsi="宋体" w:eastAsia="宋体" w:cs="宋体"/>
                <w:sz w:val="22"/>
                <w:szCs w:val="22"/>
              </w:rPr>
            </w:pPr>
            <w:r>
              <w:rPr>
                <w:rFonts w:ascii="宋体" w:hAnsi="宋体" w:eastAsia="宋体" w:cs="宋体"/>
                <w:sz w:val="22"/>
                <w:szCs w:val="22"/>
              </w:rPr>
              <w:t>204改进保障性的技术途径</w:t>
            </w:r>
          </w:p>
          <w:p w14:paraId="1E02BE6E">
            <w:pPr>
              <w:spacing w:before="109" w:line="219" w:lineRule="auto"/>
              <w:ind w:left="104"/>
              <w:rPr>
                <w:rFonts w:ascii="宋体" w:hAnsi="宋体" w:eastAsia="宋体" w:cs="宋体"/>
                <w:sz w:val="22"/>
                <w:szCs w:val="22"/>
              </w:rPr>
            </w:pPr>
            <w:r>
              <w:rPr>
                <w:rFonts w:ascii="宋体" w:hAnsi="宋体" w:eastAsia="宋体" w:cs="宋体"/>
                <w:sz w:val="22"/>
                <w:szCs w:val="22"/>
              </w:rPr>
              <w:t>205保障性和有关保障性的设计因素</w:t>
            </w:r>
          </w:p>
          <w:p w14:paraId="1C092FCC">
            <w:pPr>
              <w:spacing w:before="109" w:line="220" w:lineRule="auto"/>
              <w:ind w:left="314"/>
              <w:rPr>
                <w:rFonts w:ascii="宋体" w:hAnsi="宋体" w:eastAsia="宋体" w:cs="宋体"/>
                <w:sz w:val="22"/>
                <w:szCs w:val="22"/>
              </w:rPr>
            </w:pPr>
            <w:r>
              <w:rPr>
                <w:rFonts w:ascii="宋体" w:hAnsi="宋体" w:eastAsia="宋体" w:cs="宋体"/>
                <w:spacing w:val="2"/>
                <w:sz w:val="22"/>
                <w:szCs w:val="22"/>
              </w:rPr>
              <w:t>子项目205.2.1</w:t>
            </w:r>
          </w:p>
          <w:p w14:paraId="692FC541">
            <w:pPr>
              <w:spacing w:before="108" w:line="220" w:lineRule="auto"/>
              <w:ind w:left="314"/>
              <w:rPr>
                <w:rFonts w:ascii="宋体" w:hAnsi="宋体" w:eastAsia="宋体" w:cs="宋体"/>
                <w:sz w:val="22"/>
                <w:szCs w:val="22"/>
              </w:rPr>
            </w:pPr>
            <w:r>
              <w:rPr>
                <w:rFonts w:ascii="宋体" w:hAnsi="宋体" w:eastAsia="宋体" w:cs="宋体"/>
                <w:spacing w:val="1"/>
                <w:sz w:val="22"/>
                <w:szCs w:val="22"/>
              </w:rPr>
              <w:t>子项目205.2.2</w:t>
            </w:r>
          </w:p>
          <w:p w14:paraId="36BEC777">
            <w:pPr>
              <w:spacing w:before="88" w:line="220" w:lineRule="auto"/>
              <w:ind w:left="314"/>
              <w:rPr>
                <w:rFonts w:ascii="宋体" w:hAnsi="宋体" w:eastAsia="宋体" w:cs="宋体"/>
                <w:sz w:val="22"/>
                <w:szCs w:val="22"/>
              </w:rPr>
            </w:pPr>
            <w:r>
              <w:rPr>
                <w:rFonts w:ascii="宋体" w:hAnsi="宋体" w:eastAsia="宋体" w:cs="宋体"/>
                <w:spacing w:val="1"/>
                <w:sz w:val="22"/>
                <w:szCs w:val="22"/>
              </w:rPr>
              <w:t>子项目205.2.3</w:t>
            </w:r>
          </w:p>
          <w:p w14:paraId="3C91B0F6">
            <w:pPr>
              <w:spacing w:before="98" w:line="220" w:lineRule="auto"/>
              <w:ind w:left="314"/>
              <w:rPr>
                <w:rFonts w:ascii="宋体" w:hAnsi="宋体" w:eastAsia="宋体" w:cs="宋体"/>
                <w:sz w:val="22"/>
                <w:szCs w:val="22"/>
              </w:rPr>
            </w:pPr>
            <w:r>
              <w:rPr>
                <w:rFonts w:ascii="宋体" w:hAnsi="宋体" w:eastAsia="宋体" w:cs="宋体"/>
                <w:spacing w:val="-1"/>
                <w:sz w:val="22"/>
                <w:szCs w:val="22"/>
              </w:rPr>
              <w:t>子项目205.2.4</w:t>
            </w:r>
          </w:p>
          <w:p w14:paraId="18CE0DE3">
            <w:pPr>
              <w:spacing w:before="98" w:line="220" w:lineRule="auto"/>
              <w:ind w:left="314"/>
              <w:rPr>
                <w:rFonts w:ascii="宋体" w:hAnsi="宋体" w:eastAsia="宋体" w:cs="宋体"/>
                <w:sz w:val="22"/>
                <w:szCs w:val="22"/>
              </w:rPr>
            </w:pPr>
            <w:r>
              <w:rPr>
                <w:rFonts w:ascii="宋体" w:hAnsi="宋体" w:eastAsia="宋体" w:cs="宋体"/>
                <w:spacing w:val="1"/>
                <w:sz w:val="22"/>
                <w:szCs w:val="22"/>
              </w:rPr>
              <w:t>子项目205.2.5</w:t>
            </w:r>
          </w:p>
          <w:p w14:paraId="377F6284">
            <w:pPr>
              <w:spacing w:before="98" w:line="302" w:lineRule="auto"/>
              <w:ind w:left="94" w:right="1983" w:firstLine="219"/>
              <w:jc w:val="right"/>
              <w:rPr>
                <w:rFonts w:ascii="宋体" w:hAnsi="宋体" w:eastAsia="宋体" w:cs="宋体"/>
                <w:sz w:val="22"/>
                <w:szCs w:val="22"/>
              </w:rPr>
            </w:pPr>
            <w:r>
              <w:rPr>
                <w:rFonts w:ascii="宋体" w:hAnsi="宋体" w:eastAsia="宋体" w:cs="宋体"/>
                <w:spacing w:val="1"/>
                <w:sz w:val="22"/>
                <w:szCs w:val="22"/>
              </w:rPr>
              <w:t>子项目205.2.6</w:t>
            </w:r>
            <w:r>
              <w:rPr>
                <w:rFonts w:ascii="宋体" w:hAnsi="宋体" w:eastAsia="宋体" w:cs="宋体"/>
                <w:sz w:val="22"/>
                <w:szCs w:val="22"/>
              </w:rPr>
              <w:t xml:space="preserve"> </w:t>
            </w:r>
            <w:r>
              <w:rPr>
                <w:rFonts w:ascii="宋体" w:hAnsi="宋体" w:eastAsia="宋体" w:cs="宋体"/>
                <w:spacing w:val="1"/>
                <w:sz w:val="22"/>
                <w:szCs w:val="22"/>
              </w:rPr>
              <w:t>301确定功能要求</w:t>
            </w:r>
            <w:r>
              <w:rPr>
                <w:rFonts w:ascii="宋体" w:hAnsi="宋体" w:eastAsia="宋体" w:cs="宋体"/>
                <w:sz w:val="22"/>
                <w:szCs w:val="22"/>
              </w:rPr>
              <w:t xml:space="preserve"> </w:t>
            </w:r>
            <w:r>
              <w:rPr>
                <w:rFonts w:ascii="宋体" w:hAnsi="宋体" w:eastAsia="宋体" w:cs="宋体"/>
                <w:spacing w:val="2"/>
                <w:sz w:val="22"/>
                <w:szCs w:val="22"/>
              </w:rPr>
              <w:t>子项目301.2.1</w:t>
            </w:r>
          </w:p>
          <w:p w14:paraId="610DB813">
            <w:pPr>
              <w:spacing w:line="220" w:lineRule="auto"/>
              <w:ind w:left="314"/>
              <w:rPr>
                <w:rFonts w:ascii="宋体" w:hAnsi="宋体" w:eastAsia="宋体" w:cs="宋体"/>
                <w:sz w:val="22"/>
                <w:szCs w:val="22"/>
              </w:rPr>
            </w:pPr>
            <w:r>
              <w:rPr>
                <w:rFonts w:ascii="宋体" w:hAnsi="宋体" w:eastAsia="宋体" w:cs="宋体"/>
                <w:spacing w:val="1"/>
                <w:sz w:val="22"/>
                <w:szCs w:val="22"/>
              </w:rPr>
              <w:t>子项目301.2.2</w:t>
            </w:r>
          </w:p>
          <w:p w14:paraId="38309798">
            <w:pPr>
              <w:spacing w:before="108" w:line="220" w:lineRule="auto"/>
              <w:ind w:left="314"/>
              <w:rPr>
                <w:rFonts w:ascii="宋体" w:hAnsi="宋体" w:eastAsia="宋体" w:cs="宋体"/>
                <w:sz w:val="22"/>
                <w:szCs w:val="22"/>
              </w:rPr>
            </w:pPr>
            <w:r>
              <w:rPr>
                <w:rFonts w:ascii="宋体" w:hAnsi="宋体" w:eastAsia="宋体" w:cs="宋体"/>
                <w:spacing w:val="1"/>
                <w:sz w:val="22"/>
                <w:szCs w:val="22"/>
              </w:rPr>
              <w:t>子项目301.2.3</w:t>
            </w:r>
          </w:p>
          <w:p w14:paraId="1378640F">
            <w:pPr>
              <w:spacing w:before="108" w:line="220" w:lineRule="auto"/>
              <w:ind w:left="314"/>
              <w:rPr>
                <w:rFonts w:ascii="宋体" w:hAnsi="宋体" w:eastAsia="宋体" w:cs="宋体"/>
                <w:sz w:val="22"/>
                <w:szCs w:val="22"/>
              </w:rPr>
            </w:pPr>
            <w:r>
              <w:rPr>
                <w:rFonts w:ascii="宋体" w:hAnsi="宋体" w:eastAsia="宋体" w:cs="宋体"/>
                <w:spacing w:val="-1"/>
                <w:sz w:val="22"/>
                <w:szCs w:val="22"/>
              </w:rPr>
              <w:t>子项目301.2.4</w:t>
            </w:r>
          </w:p>
          <w:p w14:paraId="58BF79F8">
            <w:pPr>
              <w:spacing w:before="97" w:line="220" w:lineRule="auto"/>
              <w:ind w:left="314"/>
              <w:rPr>
                <w:rFonts w:ascii="宋体" w:hAnsi="宋体" w:eastAsia="宋体" w:cs="宋体"/>
                <w:sz w:val="22"/>
                <w:szCs w:val="22"/>
              </w:rPr>
            </w:pPr>
            <w:r>
              <w:rPr>
                <w:rFonts w:ascii="宋体" w:hAnsi="宋体" w:eastAsia="宋体" w:cs="宋体"/>
                <w:spacing w:val="1"/>
                <w:sz w:val="22"/>
                <w:szCs w:val="22"/>
              </w:rPr>
              <w:t>子项目301.2.5</w:t>
            </w:r>
          </w:p>
          <w:p w14:paraId="6BEE3913">
            <w:pPr>
              <w:spacing w:before="98" w:line="220" w:lineRule="auto"/>
              <w:ind w:left="314"/>
              <w:rPr>
                <w:rFonts w:ascii="宋体" w:hAnsi="宋体" w:eastAsia="宋体" w:cs="宋体"/>
                <w:sz w:val="22"/>
                <w:szCs w:val="22"/>
              </w:rPr>
            </w:pPr>
            <w:r>
              <w:rPr>
                <w:rFonts w:ascii="宋体" w:hAnsi="宋体" w:eastAsia="宋体" w:cs="宋体"/>
                <w:spacing w:val="1"/>
                <w:sz w:val="22"/>
                <w:szCs w:val="22"/>
              </w:rPr>
              <w:t>子项目301.2.6</w:t>
            </w:r>
          </w:p>
          <w:p w14:paraId="79667C41">
            <w:pPr>
              <w:spacing w:before="108" w:line="219" w:lineRule="auto"/>
              <w:ind w:left="94"/>
              <w:rPr>
                <w:rFonts w:ascii="宋体" w:hAnsi="宋体" w:eastAsia="宋体" w:cs="宋体"/>
                <w:sz w:val="22"/>
                <w:szCs w:val="22"/>
              </w:rPr>
            </w:pPr>
            <w:r>
              <w:rPr>
                <w:rFonts w:ascii="宋体" w:hAnsi="宋体" w:eastAsia="宋体" w:cs="宋体"/>
                <w:sz w:val="22"/>
                <w:szCs w:val="22"/>
              </w:rPr>
              <w:t>302确定保障系统的备选方案</w:t>
            </w:r>
          </w:p>
          <w:p w14:paraId="51E316A7">
            <w:pPr>
              <w:spacing w:before="89" w:line="220" w:lineRule="auto"/>
              <w:ind w:left="314"/>
              <w:rPr>
                <w:rFonts w:ascii="宋体" w:hAnsi="宋体" w:eastAsia="宋体" w:cs="宋体"/>
                <w:sz w:val="22"/>
                <w:szCs w:val="22"/>
              </w:rPr>
            </w:pPr>
            <w:r>
              <w:rPr>
                <w:rFonts w:ascii="宋体" w:hAnsi="宋体" w:eastAsia="宋体" w:cs="宋体"/>
                <w:spacing w:val="2"/>
                <w:sz w:val="22"/>
                <w:szCs w:val="22"/>
              </w:rPr>
              <w:t>子项目302.2.1</w:t>
            </w:r>
          </w:p>
          <w:p w14:paraId="287F7815">
            <w:pPr>
              <w:spacing w:before="78" w:line="220" w:lineRule="auto"/>
              <w:ind w:left="314"/>
              <w:rPr>
                <w:rFonts w:ascii="宋体" w:hAnsi="宋体" w:eastAsia="宋体" w:cs="宋体"/>
                <w:sz w:val="22"/>
                <w:szCs w:val="22"/>
              </w:rPr>
            </w:pPr>
            <w:r>
              <w:rPr>
                <w:rFonts w:ascii="宋体" w:hAnsi="宋体" w:eastAsia="宋体" w:cs="宋体"/>
                <w:spacing w:val="1"/>
                <w:sz w:val="22"/>
                <w:szCs w:val="22"/>
              </w:rPr>
              <w:t>子项目302.2.2</w:t>
            </w:r>
          </w:p>
          <w:p w14:paraId="146D3190">
            <w:pPr>
              <w:spacing w:before="108" w:line="220" w:lineRule="auto"/>
              <w:ind w:left="314"/>
              <w:rPr>
                <w:rFonts w:ascii="宋体" w:hAnsi="宋体" w:eastAsia="宋体" w:cs="宋体"/>
                <w:sz w:val="22"/>
                <w:szCs w:val="22"/>
              </w:rPr>
            </w:pPr>
            <w:r>
              <w:rPr>
                <w:rFonts w:ascii="宋体" w:hAnsi="宋体" w:eastAsia="宋体" w:cs="宋体"/>
                <w:spacing w:val="1"/>
                <w:sz w:val="22"/>
                <w:szCs w:val="22"/>
              </w:rPr>
              <w:t>子项目302.2.3</w:t>
            </w:r>
          </w:p>
        </w:tc>
        <w:tc>
          <w:tcPr>
            <w:tcW w:w="619" w:type="dxa"/>
            <w:textDirection w:val="tbRlV"/>
            <w:vAlign w:val="top"/>
          </w:tcPr>
          <w:p w14:paraId="4445DB6F">
            <w:pPr>
              <w:spacing w:before="211" w:line="206" w:lineRule="auto"/>
              <w:ind w:right="9"/>
              <w:jc w:val="right"/>
              <w:rPr>
                <w:rFonts w:ascii="宋体" w:hAnsi="宋体" w:eastAsia="宋体" w:cs="宋体"/>
                <w:sz w:val="22"/>
                <w:szCs w:val="22"/>
              </w:rPr>
            </w:pPr>
            <w:r>
              <w:pict>
                <v:shape id="_x0000_s1052" o:spid="_x0000_s1052" o:spt="202" type="#_x0000_t202" style="position:absolute;left:0pt;margin-left:8.95pt;margin-top:368.6pt;height:16.75pt;width:11.05pt;mso-position-horizontal-relative:page;mso-position-vertical-relative:page;z-index:251694080;mso-width-relative:page;mso-height-relative:page;" filled="f" stroked="f" coordsize="21600,21600">
                  <v:path/>
                  <v:fill on="f" focussize="0,0"/>
                  <v:stroke on="f"/>
                  <v:imagedata o:title=""/>
                  <o:lock v:ext="edit" aspectratio="f"/>
                  <v:textbox inset="0mm,0mm,0mm,0mm">
                    <w:txbxContent>
                      <w:p w14:paraId="162C8E06">
                        <w:pPr>
                          <w:spacing w:before="20" w:line="294" w:lineRule="exact"/>
                          <w:jc w:val="right"/>
                          <w:rPr>
                            <w:rFonts w:ascii="宋体" w:hAnsi="宋体" w:eastAsia="宋体" w:cs="宋体"/>
                            <w:sz w:val="22"/>
                            <w:szCs w:val="22"/>
                          </w:rPr>
                        </w:pPr>
                        <w:r>
                          <w:rPr>
                            <w:rFonts w:ascii="宋体" w:hAnsi="宋体" w:eastAsia="宋体" w:cs="宋体"/>
                            <w:spacing w:val="-40"/>
                            <w:position w:val="1"/>
                            <w:sz w:val="22"/>
                            <w:szCs w:val="22"/>
                          </w:rPr>
                          <w:t>×</w:t>
                        </w:r>
                      </w:p>
                    </w:txbxContent>
                  </v:textbox>
                </v:shape>
              </w:pict>
            </w:r>
            <w:r>
              <w:rPr>
                <w:rFonts w:ascii="宋体" w:hAnsi="宋体" w:eastAsia="宋体" w:cs="宋体"/>
                <w:color w:val="708090"/>
                <w:spacing w:val="2"/>
                <w:sz w:val="22"/>
                <w:szCs w:val="22"/>
              </w:rPr>
              <w:t>△  △</w:t>
            </w:r>
            <w:r>
              <w:rPr>
                <w:rFonts w:ascii="宋体" w:hAnsi="宋体" w:eastAsia="宋体" w:cs="宋体"/>
                <w:color w:val="708090"/>
                <w:spacing w:val="8"/>
                <w:sz w:val="22"/>
                <w:szCs w:val="22"/>
              </w:rPr>
              <w:t xml:space="preserve">  </w:t>
            </w:r>
            <w:r>
              <w:rPr>
                <w:rFonts w:ascii="宋体" w:hAnsi="宋体" w:eastAsia="宋体" w:cs="宋体"/>
                <w:color w:val="708090"/>
                <w:spacing w:val="2"/>
                <w:sz w:val="22"/>
                <w:szCs w:val="22"/>
              </w:rPr>
              <w:t>△</w:t>
            </w:r>
            <w:r>
              <w:rPr>
                <w:rFonts w:ascii="宋体" w:hAnsi="宋体" w:eastAsia="宋体" w:cs="宋体"/>
                <w:color w:val="708090"/>
                <w:spacing w:val="9"/>
                <w:sz w:val="22"/>
                <w:szCs w:val="22"/>
              </w:rPr>
              <w:t xml:space="preserve">  </w:t>
            </w:r>
            <w:r>
              <w:rPr>
                <w:rFonts w:ascii="宋体" w:hAnsi="宋体" w:eastAsia="宋体" w:cs="宋体"/>
                <w:color w:val="708090"/>
                <w:spacing w:val="2"/>
                <w:sz w:val="22"/>
                <w:szCs w:val="22"/>
              </w:rPr>
              <w:t>△</w:t>
            </w:r>
            <w:r>
              <w:rPr>
                <w:rFonts w:ascii="宋体" w:hAnsi="宋体" w:eastAsia="宋体" w:cs="宋体"/>
                <w:color w:val="708090"/>
                <w:spacing w:val="25"/>
                <w:sz w:val="22"/>
                <w:szCs w:val="22"/>
              </w:rPr>
              <w:t xml:space="preserve">  </w:t>
            </w:r>
            <w:r>
              <w:rPr>
                <w:rFonts w:ascii="宋体" w:hAnsi="宋体" w:eastAsia="宋体" w:cs="宋体"/>
                <w:color w:val="808080"/>
                <w:spacing w:val="2"/>
                <w:sz w:val="22"/>
                <w:szCs w:val="22"/>
              </w:rPr>
              <w:t>△△</w:t>
            </w:r>
            <w:r>
              <w:rPr>
                <w:rFonts w:ascii="宋体" w:hAnsi="宋体" w:eastAsia="宋体" w:cs="宋体"/>
                <w:color w:val="808080"/>
                <w:spacing w:val="7"/>
                <w:sz w:val="22"/>
                <w:szCs w:val="22"/>
              </w:rPr>
              <w:t xml:space="preserve">  </w:t>
            </w:r>
            <w:r>
              <w:rPr>
                <w:rFonts w:ascii="宋体" w:hAnsi="宋体" w:eastAsia="宋体" w:cs="宋体"/>
                <w:color w:val="808080"/>
                <w:spacing w:val="2"/>
                <w:sz w:val="22"/>
                <w:szCs w:val="22"/>
              </w:rPr>
              <w:t>△</w:t>
            </w:r>
            <w:r>
              <w:rPr>
                <w:rFonts w:ascii="宋体" w:hAnsi="宋体" w:eastAsia="宋体" w:cs="宋体"/>
                <w:color w:val="808080"/>
                <w:spacing w:val="7"/>
                <w:sz w:val="22"/>
                <w:szCs w:val="22"/>
              </w:rPr>
              <w:t xml:space="preserve">  </w:t>
            </w:r>
            <w:r>
              <w:rPr>
                <w:rFonts w:ascii="宋体" w:hAnsi="宋体" w:eastAsia="宋体" w:cs="宋体"/>
                <w:color w:val="808080"/>
                <w:spacing w:val="2"/>
                <w:sz w:val="22"/>
                <w:szCs w:val="22"/>
              </w:rPr>
              <w:t>△</w:t>
            </w:r>
            <w:r>
              <w:rPr>
                <w:rFonts w:ascii="宋体" w:hAnsi="宋体" w:eastAsia="宋体" w:cs="宋体"/>
                <w:color w:val="808080"/>
                <w:spacing w:val="7"/>
                <w:sz w:val="22"/>
                <w:szCs w:val="22"/>
              </w:rPr>
              <w:t xml:space="preserve">  </w:t>
            </w:r>
            <w:r>
              <w:rPr>
                <w:rFonts w:ascii="宋体" w:hAnsi="宋体" w:eastAsia="宋体" w:cs="宋体"/>
                <w:color w:val="808080"/>
                <w:spacing w:val="2"/>
                <w:sz w:val="22"/>
                <w:szCs w:val="22"/>
              </w:rPr>
              <w:t>△</w:t>
            </w:r>
          </w:p>
        </w:tc>
        <w:tc>
          <w:tcPr>
            <w:tcW w:w="1049" w:type="dxa"/>
            <w:vAlign w:val="top"/>
          </w:tcPr>
          <w:p w14:paraId="1E193E53">
            <w:pPr>
              <w:pStyle w:val="6"/>
              <w:spacing w:line="253" w:lineRule="auto"/>
            </w:pPr>
          </w:p>
          <w:p w14:paraId="7C2AB373">
            <w:pPr>
              <w:pStyle w:val="6"/>
              <w:spacing w:line="253" w:lineRule="auto"/>
            </w:pPr>
          </w:p>
          <w:p w14:paraId="036EF7D7">
            <w:pPr>
              <w:pStyle w:val="6"/>
              <w:spacing w:line="253" w:lineRule="auto"/>
            </w:pPr>
          </w:p>
          <w:p w14:paraId="0AB28FF0">
            <w:pPr>
              <w:pStyle w:val="6"/>
              <w:spacing w:line="253" w:lineRule="auto"/>
            </w:pPr>
          </w:p>
          <w:p w14:paraId="2994CF84">
            <w:pPr>
              <w:pStyle w:val="6"/>
              <w:spacing w:line="253" w:lineRule="auto"/>
            </w:pPr>
          </w:p>
          <w:p w14:paraId="0372EFC8">
            <w:pPr>
              <w:pStyle w:val="6"/>
              <w:spacing w:line="253" w:lineRule="auto"/>
            </w:pPr>
          </w:p>
          <w:p w14:paraId="74D62716">
            <w:pPr>
              <w:pStyle w:val="6"/>
              <w:spacing w:line="253" w:lineRule="auto"/>
            </w:pPr>
          </w:p>
          <w:p w14:paraId="0EB3D1A6">
            <w:pPr>
              <w:pStyle w:val="6"/>
              <w:spacing w:line="253" w:lineRule="auto"/>
            </w:pPr>
          </w:p>
          <w:p w14:paraId="3CA8C518">
            <w:pPr>
              <w:pStyle w:val="6"/>
              <w:spacing w:line="253" w:lineRule="auto"/>
            </w:pPr>
          </w:p>
          <w:p w14:paraId="0063B376">
            <w:pPr>
              <w:pStyle w:val="6"/>
              <w:spacing w:line="253" w:lineRule="auto"/>
            </w:pPr>
          </w:p>
          <w:p w14:paraId="4FFEDC4E">
            <w:pPr>
              <w:pStyle w:val="6"/>
              <w:spacing w:line="253" w:lineRule="auto"/>
            </w:pPr>
          </w:p>
          <w:p w14:paraId="2851EC56">
            <w:pPr>
              <w:pStyle w:val="6"/>
              <w:spacing w:line="253" w:lineRule="auto"/>
            </w:pPr>
          </w:p>
          <w:p w14:paraId="7901CDAF">
            <w:pPr>
              <w:pStyle w:val="6"/>
              <w:spacing w:line="254" w:lineRule="auto"/>
            </w:pPr>
          </w:p>
          <w:p w14:paraId="4D619860">
            <w:pPr>
              <w:spacing w:before="71" w:line="238" w:lineRule="auto"/>
              <w:ind w:left="404"/>
              <w:rPr>
                <w:rFonts w:ascii="宋体" w:hAnsi="宋体" w:eastAsia="宋体" w:cs="宋体"/>
                <w:sz w:val="22"/>
                <w:szCs w:val="22"/>
              </w:rPr>
            </w:pPr>
            <w:r>
              <w:rPr>
                <w:rFonts w:ascii="宋体" w:hAnsi="宋体" w:eastAsia="宋体" w:cs="宋体"/>
                <w:sz w:val="22"/>
                <w:szCs w:val="22"/>
              </w:rPr>
              <w:t>√</w:t>
            </w:r>
          </w:p>
          <w:p w14:paraId="151A40E3">
            <w:pPr>
              <w:spacing w:before="76" w:line="238" w:lineRule="auto"/>
              <w:ind w:left="404"/>
              <w:rPr>
                <w:rFonts w:ascii="宋体" w:hAnsi="宋体" w:eastAsia="宋体" w:cs="宋体"/>
                <w:sz w:val="22"/>
                <w:szCs w:val="22"/>
              </w:rPr>
            </w:pPr>
            <w:r>
              <w:rPr>
                <w:rFonts w:ascii="宋体" w:hAnsi="宋体" w:eastAsia="宋体" w:cs="宋体"/>
                <w:sz w:val="22"/>
                <w:szCs w:val="22"/>
              </w:rPr>
              <w:t>√</w:t>
            </w:r>
          </w:p>
          <w:p w14:paraId="4129291F">
            <w:pPr>
              <w:spacing w:before="56" w:line="238" w:lineRule="auto"/>
              <w:ind w:left="404"/>
              <w:rPr>
                <w:rFonts w:ascii="宋体" w:hAnsi="宋体" w:eastAsia="宋体" w:cs="宋体"/>
                <w:sz w:val="22"/>
                <w:szCs w:val="22"/>
              </w:rPr>
            </w:pPr>
            <w:r>
              <w:rPr>
                <w:rFonts w:ascii="宋体" w:hAnsi="宋体" w:eastAsia="宋体" w:cs="宋体"/>
                <w:sz w:val="22"/>
                <w:szCs w:val="22"/>
              </w:rPr>
              <w:t>√</w:t>
            </w:r>
          </w:p>
          <w:p w14:paraId="4F8FB12B">
            <w:pPr>
              <w:spacing w:before="86" w:line="238" w:lineRule="auto"/>
              <w:ind w:left="404"/>
              <w:rPr>
                <w:rFonts w:ascii="宋体" w:hAnsi="宋体" w:eastAsia="宋体" w:cs="宋体"/>
                <w:sz w:val="22"/>
                <w:szCs w:val="22"/>
              </w:rPr>
            </w:pPr>
            <w:r>
              <w:rPr>
                <w:rFonts w:ascii="宋体" w:hAnsi="宋体" w:eastAsia="宋体" w:cs="宋体"/>
                <w:sz w:val="22"/>
                <w:szCs w:val="22"/>
              </w:rPr>
              <w:t>√</w:t>
            </w:r>
          </w:p>
          <w:p w14:paraId="23174E48">
            <w:pPr>
              <w:spacing w:before="86" w:line="238" w:lineRule="auto"/>
              <w:ind w:left="404"/>
              <w:rPr>
                <w:rFonts w:ascii="宋体" w:hAnsi="宋体" w:eastAsia="宋体" w:cs="宋体"/>
                <w:sz w:val="22"/>
                <w:szCs w:val="22"/>
              </w:rPr>
            </w:pPr>
            <w:r>
              <w:rPr>
                <w:rFonts w:ascii="宋体" w:hAnsi="宋体" w:eastAsia="宋体" w:cs="宋体"/>
                <w:sz w:val="22"/>
                <w:szCs w:val="22"/>
              </w:rPr>
              <w:t>√</w:t>
            </w:r>
          </w:p>
          <w:p w14:paraId="530CB0AB">
            <w:pPr>
              <w:spacing w:before="66" w:line="238" w:lineRule="auto"/>
              <w:ind w:left="404"/>
              <w:rPr>
                <w:rFonts w:ascii="宋体" w:hAnsi="宋体" w:eastAsia="宋体" w:cs="宋体"/>
                <w:sz w:val="22"/>
                <w:szCs w:val="22"/>
              </w:rPr>
            </w:pPr>
            <w:r>
              <w:rPr>
                <w:rFonts w:ascii="宋体" w:hAnsi="宋体" w:eastAsia="宋体" w:cs="宋体"/>
                <w:sz w:val="22"/>
                <w:szCs w:val="22"/>
              </w:rPr>
              <w:t>√</w:t>
            </w:r>
          </w:p>
          <w:p w14:paraId="42996B8E">
            <w:pPr>
              <w:spacing w:before="97" w:line="238" w:lineRule="auto"/>
              <w:ind w:left="404"/>
              <w:rPr>
                <w:rFonts w:ascii="宋体" w:hAnsi="宋体" w:eastAsia="宋体" w:cs="宋体"/>
                <w:sz w:val="22"/>
                <w:szCs w:val="22"/>
              </w:rPr>
            </w:pPr>
            <w:r>
              <w:rPr>
                <w:rFonts w:ascii="宋体" w:hAnsi="宋体" w:eastAsia="宋体" w:cs="宋体"/>
                <w:sz w:val="22"/>
                <w:szCs w:val="22"/>
              </w:rPr>
              <w:t>√</w:t>
            </w:r>
          </w:p>
          <w:p w14:paraId="0529E992">
            <w:pPr>
              <w:spacing w:before="76" w:line="238" w:lineRule="auto"/>
              <w:ind w:left="404"/>
              <w:rPr>
                <w:rFonts w:ascii="宋体" w:hAnsi="宋体" w:eastAsia="宋体" w:cs="宋体"/>
                <w:sz w:val="22"/>
                <w:szCs w:val="22"/>
              </w:rPr>
            </w:pPr>
            <w:r>
              <w:rPr>
                <w:rFonts w:ascii="宋体" w:hAnsi="宋体" w:eastAsia="宋体" w:cs="宋体"/>
                <w:sz w:val="22"/>
                <w:szCs w:val="22"/>
              </w:rPr>
              <w:t>√</w:t>
            </w:r>
          </w:p>
          <w:p w14:paraId="11188E97">
            <w:pPr>
              <w:pStyle w:val="6"/>
              <w:spacing w:line="267" w:lineRule="auto"/>
            </w:pPr>
          </w:p>
          <w:p w14:paraId="3447EBA5">
            <w:pPr>
              <w:pStyle w:val="6"/>
              <w:spacing w:line="267" w:lineRule="auto"/>
            </w:pPr>
          </w:p>
          <w:p w14:paraId="3B2A6786">
            <w:pPr>
              <w:pStyle w:val="6"/>
              <w:spacing w:line="267" w:lineRule="auto"/>
            </w:pPr>
          </w:p>
          <w:p w14:paraId="2DD65569">
            <w:pPr>
              <w:pStyle w:val="6"/>
              <w:spacing w:line="267" w:lineRule="auto"/>
            </w:pPr>
          </w:p>
          <w:p w14:paraId="0F3E0E20">
            <w:pPr>
              <w:spacing w:before="72" w:line="295" w:lineRule="exact"/>
              <w:ind w:left="404"/>
              <w:rPr>
                <w:rFonts w:ascii="宋体" w:hAnsi="宋体" w:eastAsia="宋体" w:cs="宋体"/>
                <w:sz w:val="22"/>
                <w:szCs w:val="22"/>
              </w:rPr>
            </w:pPr>
            <w:r>
              <w:rPr>
                <w:rFonts w:ascii="宋体" w:hAnsi="宋体" w:eastAsia="宋体" w:cs="宋体"/>
                <w:position w:val="1"/>
                <w:sz w:val="22"/>
                <w:szCs w:val="22"/>
              </w:rPr>
              <w:t>×</w:t>
            </w:r>
          </w:p>
          <w:p w14:paraId="333BD1EE">
            <w:pPr>
              <w:spacing w:before="55" w:line="295" w:lineRule="exact"/>
              <w:ind w:left="404"/>
              <w:rPr>
                <w:rFonts w:ascii="宋体" w:hAnsi="宋体" w:eastAsia="宋体" w:cs="宋体"/>
                <w:sz w:val="22"/>
                <w:szCs w:val="22"/>
              </w:rPr>
            </w:pPr>
            <w:r>
              <w:rPr>
                <w:rFonts w:ascii="宋体" w:hAnsi="宋体" w:eastAsia="宋体" w:cs="宋体"/>
                <w:position w:val="1"/>
                <w:sz w:val="22"/>
                <w:szCs w:val="22"/>
              </w:rPr>
              <w:t>×</w:t>
            </w:r>
          </w:p>
          <w:p w14:paraId="442CB974">
            <w:pPr>
              <w:pStyle w:val="6"/>
              <w:spacing w:line="252" w:lineRule="auto"/>
            </w:pPr>
          </w:p>
          <w:p w14:paraId="589CD329">
            <w:pPr>
              <w:spacing w:before="71" w:line="238" w:lineRule="auto"/>
              <w:ind w:left="404"/>
              <w:rPr>
                <w:rFonts w:ascii="宋体" w:hAnsi="宋体" w:eastAsia="宋体" w:cs="宋体"/>
                <w:sz w:val="22"/>
                <w:szCs w:val="22"/>
              </w:rPr>
            </w:pPr>
            <w:r>
              <w:rPr>
                <w:rFonts w:ascii="宋体" w:hAnsi="宋体" w:eastAsia="宋体" w:cs="宋体"/>
                <w:sz w:val="22"/>
                <w:szCs w:val="22"/>
              </w:rPr>
              <w:t>√</w:t>
            </w:r>
          </w:p>
          <w:p w14:paraId="47400EBA">
            <w:pPr>
              <w:spacing w:before="177" w:line="238" w:lineRule="auto"/>
              <w:ind w:left="404"/>
              <w:rPr>
                <w:rFonts w:ascii="宋体" w:hAnsi="宋体" w:eastAsia="宋体" w:cs="宋体"/>
                <w:sz w:val="22"/>
                <w:szCs w:val="22"/>
              </w:rPr>
            </w:pPr>
            <w:r>
              <w:rPr>
                <w:rFonts w:ascii="宋体" w:hAnsi="宋体" w:eastAsia="宋体" w:cs="宋体"/>
                <w:sz w:val="22"/>
                <w:szCs w:val="22"/>
              </w:rPr>
              <w:t>√</w:t>
            </w:r>
          </w:p>
          <w:p w14:paraId="541E484A">
            <w:pPr>
              <w:spacing w:before="86" w:line="323" w:lineRule="auto"/>
              <w:ind w:left="404" w:right="429"/>
              <w:rPr>
                <w:rFonts w:ascii="宋体" w:hAnsi="宋体" w:eastAsia="宋体" w:cs="宋体"/>
                <w:sz w:val="22"/>
                <w:szCs w:val="22"/>
              </w:rPr>
            </w:pPr>
            <w:r>
              <w:rPr>
                <w:rFonts w:ascii="宋体" w:hAnsi="宋体" w:eastAsia="宋体" w:cs="宋体"/>
                <w:spacing w:val="-63"/>
                <w:sz w:val="22"/>
                <w:szCs w:val="22"/>
              </w:rPr>
              <w:t>√</w:t>
            </w:r>
            <w:r>
              <w:rPr>
                <w:rFonts w:ascii="宋体" w:hAnsi="宋体" w:eastAsia="宋体" w:cs="宋体"/>
                <w:sz w:val="22"/>
                <w:szCs w:val="22"/>
              </w:rPr>
              <w:t xml:space="preserve"> </w:t>
            </w:r>
            <w:r>
              <w:rPr>
                <w:rFonts w:ascii="宋体" w:hAnsi="宋体" w:eastAsia="宋体" w:cs="宋体"/>
                <w:spacing w:val="-16"/>
                <w:sz w:val="22"/>
                <w:szCs w:val="22"/>
              </w:rPr>
              <w:t>△</w:t>
            </w:r>
          </w:p>
          <w:p w14:paraId="6E57CD47">
            <w:pPr>
              <w:spacing w:before="1" w:line="201" w:lineRule="auto"/>
              <w:ind w:left="404"/>
              <w:rPr>
                <w:rFonts w:ascii="宋体" w:hAnsi="宋体" w:eastAsia="宋体" w:cs="宋体"/>
                <w:sz w:val="22"/>
                <w:szCs w:val="22"/>
              </w:rPr>
            </w:pPr>
            <w:r>
              <w:rPr>
                <w:rFonts w:ascii="宋体" w:hAnsi="宋体" w:eastAsia="宋体" w:cs="宋体"/>
                <w:sz w:val="22"/>
                <w:szCs w:val="22"/>
              </w:rPr>
              <w:t>√</w:t>
            </w:r>
          </w:p>
          <w:p w14:paraId="4C7BDD63">
            <w:pPr>
              <w:spacing w:line="238" w:lineRule="auto"/>
              <w:ind w:left="404"/>
              <w:rPr>
                <w:rFonts w:ascii="宋体" w:hAnsi="宋体" w:eastAsia="宋体" w:cs="宋体"/>
                <w:sz w:val="22"/>
                <w:szCs w:val="22"/>
              </w:rPr>
            </w:pPr>
            <w:r>
              <w:rPr>
                <w:rFonts w:ascii="宋体" w:hAnsi="宋体" w:eastAsia="宋体" w:cs="宋体"/>
                <w:sz w:val="22"/>
                <w:szCs w:val="22"/>
              </w:rPr>
              <w:t>√</w:t>
            </w:r>
          </w:p>
          <w:p w14:paraId="48D5D234">
            <w:pPr>
              <w:spacing w:before="126" w:line="235" w:lineRule="auto"/>
              <w:ind w:left="404"/>
              <w:rPr>
                <w:rFonts w:ascii="宋体" w:hAnsi="宋体" w:eastAsia="宋体" w:cs="宋体"/>
                <w:sz w:val="22"/>
                <w:szCs w:val="22"/>
              </w:rPr>
            </w:pPr>
            <w:r>
              <w:rPr>
                <w:rFonts w:ascii="宋体" w:hAnsi="宋体" w:eastAsia="宋体" w:cs="宋体"/>
                <w:sz w:val="22"/>
                <w:szCs w:val="22"/>
              </w:rPr>
              <w:t>√</w:t>
            </w:r>
          </w:p>
          <w:p w14:paraId="16CDFC76">
            <w:pPr>
              <w:spacing w:line="238" w:lineRule="auto"/>
              <w:ind w:left="404"/>
              <w:rPr>
                <w:rFonts w:ascii="宋体" w:hAnsi="宋体" w:eastAsia="宋体" w:cs="宋体"/>
                <w:sz w:val="22"/>
                <w:szCs w:val="22"/>
              </w:rPr>
            </w:pPr>
            <w:r>
              <w:rPr>
                <w:rFonts w:ascii="宋体" w:hAnsi="宋体" w:eastAsia="宋体" w:cs="宋体"/>
                <w:sz w:val="22"/>
                <w:szCs w:val="22"/>
              </w:rPr>
              <w:t>√</w:t>
            </w:r>
          </w:p>
          <w:p w14:paraId="0C6A80FE">
            <w:pPr>
              <w:spacing w:before="185" w:line="258" w:lineRule="auto"/>
              <w:ind w:left="404" w:right="429"/>
              <w:rPr>
                <w:rFonts w:ascii="宋体" w:hAnsi="宋体" w:eastAsia="宋体" w:cs="宋体"/>
                <w:sz w:val="22"/>
                <w:szCs w:val="22"/>
              </w:rPr>
            </w:pPr>
            <w:r>
              <w:rPr>
                <w:rFonts w:ascii="宋体" w:hAnsi="宋体" w:eastAsia="宋体" w:cs="宋体"/>
                <w:spacing w:val="-63"/>
                <w:sz w:val="22"/>
                <w:szCs w:val="22"/>
              </w:rPr>
              <w:t>√</w:t>
            </w:r>
            <w:r>
              <w:rPr>
                <w:rFonts w:ascii="宋体" w:hAnsi="宋体" w:eastAsia="宋体" w:cs="宋体"/>
                <w:sz w:val="22"/>
                <w:szCs w:val="22"/>
              </w:rPr>
              <w:t xml:space="preserve"> </w:t>
            </w:r>
            <w:r>
              <w:rPr>
                <w:rFonts w:ascii="宋体" w:hAnsi="宋体" w:eastAsia="宋体" w:cs="宋体"/>
                <w:spacing w:val="-16"/>
                <w:sz w:val="22"/>
                <w:szCs w:val="22"/>
              </w:rPr>
              <w:t>△</w:t>
            </w:r>
          </w:p>
        </w:tc>
        <w:tc>
          <w:tcPr>
            <w:tcW w:w="1049" w:type="dxa"/>
            <w:vAlign w:val="top"/>
          </w:tcPr>
          <w:p w14:paraId="3E572EAC">
            <w:pPr>
              <w:pStyle w:val="6"/>
              <w:spacing w:line="246" w:lineRule="auto"/>
            </w:pPr>
          </w:p>
          <w:p w14:paraId="605BEC55">
            <w:pPr>
              <w:pStyle w:val="6"/>
              <w:spacing w:line="246" w:lineRule="auto"/>
            </w:pPr>
          </w:p>
          <w:p w14:paraId="4F2B08F9">
            <w:pPr>
              <w:pStyle w:val="6"/>
              <w:spacing w:line="246" w:lineRule="auto"/>
            </w:pPr>
          </w:p>
          <w:p w14:paraId="22600180">
            <w:pPr>
              <w:pStyle w:val="6"/>
              <w:spacing w:line="246" w:lineRule="auto"/>
            </w:pPr>
          </w:p>
          <w:p w14:paraId="10DFCF25">
            <w:pPr>
              <w:pStyle w:val="6"/>
              <w:spacing w:line="246" w:lineRule="auto"/>
            </w:pPr>
          </w:p>
          <w:p w14:paraId="27FB1CC3">
            <w:pPr>
              <w:pStyle w:val="6"/>
              <w:spacing w:line="247" w:lineRule="auto"/>
            </w:pPr>
          </w:p>
          <w:p w14:paraId="51AE70AC">
            <w:pPr>
              <w:pStyle w:val="6"/>
              <w:spacing w:line="247" w:lineRule="auto"/>
            </w:pPr>
          </w:p>
          <w:p w14:paraId="7891F0F2">
            <w:pPr>
              <w:pStyle w:val="6"/>
              <w:spacing w:line="247" w:lineRule="auto"/>
            </w:pPr>
          </w:p>
          <w:p w14:paraId="382BB570">
            <w:pPr>
              <w:pStyle w:val="6"/>
              <w:spacing w:line="247" w:lineRule="auto"/>
            </w:pPr>
          </w:p>
          <w:p w14:paraId="2B0A41EC">
            <w:pPr>
              <w:pStyle w:val="6"/>
              <w:spacing w:line="247" w:lineRule="auto"/>
            </w:pPr>
          </w:p>
          <w:p w14:paraId="42DDA853">
            <w:pPr>
              <w:spacing w:before="71" w:line="238" w:lineRule="auto"/>
              <w:ind w:left="405"/>
              <w:rPr>
                <w:rFonts w:ascii="宋体" w:hAnsi="宋体" w:eastAsia="宋体" w:cs="宋体"/>
                <w:sz w:val="22"/>
                <w:szCs w:val="22"/>
              </w:rPr>
            </w:pPr>
            <w:r>
              <w:rPr>
                <w:rFonts w:ascii="宋体" w:hAnsi="宋体" w:eastAsia="宋体" w:cs="宋体"/>
                <w:sz w:val="22"/>
                <w:szCs w:val="22"/>
              </w:rPr>
              <w:t>√</w:t>
            </w:r>
          </w:p>
          <w:p w14:paraId="30041F5D">
            <w:pPr>
              <w:spacing w:before="186" w:line="238" w:lineRule="auto"/>
              <w:ind w:left="405"/>
              <w:rPr>
                <w:rFonts w:ascii="宋体" w:hAnsi="宋体" w:eastAsia="宋体" w:cs="宋体"/>
                <w:sz w:val="22"/>
                <w:szCs w:val="22"/>
              </w:rPr>
            </w:pPr>
            <w:r>
              <w:rPr>
                <w:rFonts w:ascii="宋体" w:hAnsi="宋体" w:eastAsia="宋体" w:cs="宋体"/>
                <w:sz w:val="22"/>
                <w:szCs w:val="22"/>
              </w:rPr>
              <w:t>√</w:t>
            </w:r>
          </w:p>
          <w:p w14:paraId="10D3A3C8">
            <w:pPr>
              <w:spacing w:before="26" w:line="238" w:lineRule="auto"/>
              <w:ind w:left="405"/>
              <w:rPr>
                <w:rFonts w:ascii="宋体" w:hAnsi="宋体" w:eastAsia="宋体" w:cs="宋体"/>
                <w:sz w:val="22"/>
                <w:szCs w:val="22"/>
              </w:rPr>
            </w:pPr>
            <w:r>
              <w:rPr>
                <w:rFonts w:ascii="宋体" w:hAnsi="宋体" w:eastAsia="宋体" w:cs="宋体"/>
                <w:sz w:val="22"/>
                <w:szCs w:val="22"/>
              </w:rPr>
              <w:t>√</w:t>
            </w:r>
          </w:p>
          <w:p w14:paraId="5D7076D9">
            <w:pPr>
              <w:spacing w:before="76" w:line="238" w:lineRule="auto"/>
              <w:ind w:left="405"/>
              <w:rPr>
                <w:rFonts w:ascii="宋体" w:hAnsi="宋体" w:eastAsia="宋体" w:cs="宋体"/>
                <w:sz w:val="22"/>
                <w:szCs w:val="22"/>
              </w:rPr>
            </w:pPr>
            <w:r>
              <w:rPr>
                <w:rFonts w:ascii="宋体" w:hAnsi="宋体" w:eastAsia="宋体" w:cs="宋体"/>
                <w:sz w:val="22"/>
                <w:szCs w:val="22"/>
              </w:rPr>
              <w:t>√</w:t>
            </w:r>
          </w:p>
          <w:p w14:paraId="63BE6FC1">
            <w:pPr>
              <w:spacing w:before="106" w:line="238" w:lineRule="auto"/>
              <w:ind w:left="405"/>
              <w:rPr>
                <w:rFonts w:ascii="宋体" w:hAnsi="宋体" w:eastAsia="宋体" w:cs="宋体"/>
                <w:sz w:val="22"/>
                <w:szCs w:val="22"/>
              </w:rPr>
            </w:pPr>
            <w:r>
              <w:rPr>
                <w:rFonts w:ascii="宋体" w:hAnsi="宋体" w:eastAsia="宋体" w:cs="宋体"/>
                <w:sz w:val="22"/>
                <w:szCs w:val="22"/>
              </w:rPr>
              <w:t>√</w:t>
            </w:r>
          </w:p>
          <w:p w14:paraId="14BDD168">
            <w:pPr>
              <w:spacing w:before="76" w:line="238" w:lineRule="auto"/>
              <w:ind w:left="405"/>
              <w:rPr>
                <w:rFonts w:ascii="宋体" w:hAnsi="宋体" w:eastAsia="宋体" w:cs="宋体"/>
                <w:sz w:val="22"/>
                <w:szCs w:val="22"/>
              </w:rPr>
            </w:pPr>
            <w:r>
              <w:rPr>
                <w:rFonts w:ascii="宋体" w:hAnsi="宋体" w:eastAsia="宋体" w:cs="宋体"/>
                <w:sz w:val="22"/>
                <w:szCs w:val="22"/>
              </w:rPr>
              <w:t>√</w:t>
            </w:r>
          </w:p>
          <w:p w14:paraId="21E67A33">
            <w:pPr>
              <w:spacing w:before="87" w:line="193" w:lineRule="auto"/>
              <w:ind w:left="405"/>
              <w:rPr>
                <w:rFonts w:ascii="宋体" w:hAnsi="宋体" w:eastAsia="宋体" w:cs="宋体"/>
                <w:sz w:val="22"/>
                <w:szCs w:val="22"/>
              </w:rPr>
            </w:pPr>
            <w:r>
              <w:rPr>
                <w:rFonts w:ascii="宋体" w:hAnsi="宋体" w:eastAsia="宋体" w:cs="宋体"/>
                <w:sz w:val="22"/>
                <w:szCs w:val="22"/>
              </w:rPr>
              <w:t>√</w:t>
            </w:r>
          </w:p>
          <w:p w14:paraId="61C9D3B6">
            <w:pPr>
              <w:spacing w:line="238" w:lineRule="auto"/>
              <w:ind w:left="405"/>
              <w:rPr>
                <w:rFonts w:ascii="宋体" w:hAnsi="宋体" w:eastAsia="宋体" w:cs="宋体"/>
                <w:sz w:val="22"/>
                <w:szCs w:val="22"/>
              </w:rPr>
            </w:pPr>
            <w:r>
              <w:rPr>
                <w:rFonts w:ascii="宋体" w:hAnsi="宋体" w:eastAsia="宋体" w:cs="宋体"/>
                <w:sz w:val="22"/>
                <w:szCs w:val="22"/>
              </w:rPr>
              <w:t>√</w:t>
            </w:r>
          </w:p>
          <w:p w14:paraId="684F39D5">
            <w:pPr>
              <w:spacing w:before="116" w:line="238" w:lineRule="auto"/>
              <w:ind w:left="405"/>
              <w:rPr>
                <w:rFonts w:ascii="宋体" w:hAnsi="宋体" w:eastAsia="宋体" w:cs="宋体"/>
                <w:sz w:val="22"/>
                <w:szCs w:val="22"/>
              </w:rPr>
            </w:pPr>
            <w:r>
              <w:rPr>
                <w:rFonts w:ascii="宋体" w:hAnsi="宋体" w:eastAsia="宋体" w:cs="宋体"/>
                <w:sz w:val="22"/>
                <w:szCs w:val="22"/>
              </w:rPr>
              <w:t>√</w:t>
            </w:r>
          </w:p>
          <w:p w14:paraId="6CFF5BBF">
            <w:pPr>
              <w:spacing w:before="97" w:line="238" w:lineRule="auto"/>
              <w:ind w:left="405"/>
              <w:rPr>
                <w:rFonts w:ascii="宋体" w:hAnsi="宋体" w:eastAsia="宋体" w:cs="宋体"/>
                <w:sz w:val="22"/>
                <w:szCs w:val="22"/>
              </w:rPr>
            </w:pPr>
            <w:r>
              <w:rPr>
                <w:rFonts w:ascii="宋体" w:hAnsi="宋体" w:eastAsia="宋体" w:cs="宋体"/>
                <w:sz w:val="22"/>
                <w:szCs w:val="22"/>
              </w:rPr>
              <w:t>√</w:t>
            </w:r>
          </w:p>
          <w:p w14:paraId="38AF945F">
            <w:pPr>
              <w:spacing w:before="96" w:line="238" w:lineRule="auto"/>
              <w:ind w:left="405"/>
              <w:rPr>
                <w:rFonts w:ascii="宋体" w:hAnsi="宋体" w:eastAsia="宋体" w:cs="宋体"/>
                <w:sz w:val="22"/>
                <w:szCs w:val="22"/>
              </w:rPr>
            </w:pPr>
            <w:r>
              <w:rPr>
                <w:rFonts w:ascii="宋体" w:hAnsi="宋体" w:eastAsia="宋体" w:cs="宋体"/>
                <w:sz w:val="22"/>
                <w:szCs w:val="22"/>
              </w:rPr>
              <w:t>√</w:t>
            </w:r>
          </w:p>
          <w:p w14:paraId="22226003">
            <w:pPr>
              <w:spacing w:before="36" w:line="238" w:lineRule="auto"/>
              <w:ind w:left="405"/>
              <w:rPr>
                <w:rFonts w:ascii="宋体" w:hAnsi="宋体" w:eastAsia="宋体" w:cs="宋体"/>
                <w:sz w:val="22"/>
                <w:szCs w:val="22"/>
              </w:rPr>
            </w:pPr>
            <w:r>
              <w:rPr>
                <w:rFonts w:ascii="宋体" w:hAnsi="宋体" w:eastAsia="宋体" w:cs="宋体"/>
                <w:sz w:val="22"/>
                <w:szCs w:val="22"/>
              </w:rPr>
              <w:t>√</w:t>
            </w:r>
          </w:p>
          <w:p w14:paraId="1C09E1EB">
            <w:pPr>
              <w:spacing w:before="107" w:line="238" w:lineRule="auto"/>
              <w:ind w:left="405"/>
              <w:rPr>
                <w:rFonts w:ascii="宋体" w:hAnsi="宋体" w:eastAsia="宋体" w:cs="宋体"/>
                <w:sz w:val="22"/>
                <w:szCs w:val="22"/>
              </w:rPr>
            </w:pPr>
            <w:r>
              <w:rPr>
                <w:rFonts w:ascii="宋体" w:hAnsi="宋体" w:eastAsia="宋体" w:cs="宋体"/>
                <w:sz w:val="22"/>
                <w:szCs w:val="22"/>
              </w:rPr>
              <w:t>√</w:t>
            </w:r>
          </w:p>
          <w:p w14:paraId="0598EEA5">
            <w:pPr>
              <w:spacing w:before="36" w:line="238" w:lineRule="auto"/>
              <w:ind w:left="405"/>
              <w:rPr>
                <w:rFonts w:ascii="宋体" w:hAnsi="宋体" w:eastAsia="宋体" w:cs="宋体"/>
                <w:sz w:val="22"/>
                <w:szCs w:val="22"/>
              </w:rPr>
            </w:pPr>
            <w:r>
              <w:rPr>
                <w:rFonts w:ascii="宋体" w:hAnsi="宋体" w:eastAsia="宋体" w:cs="宋体"/>
                <w:sz w:val="22"/>
                <w:szCs w:val="22"/>
              </w:rPr>
              <w:t>√</w:t>
            </w:r>
          </w:p>
          <w:p w14:paraId="2B9096CD">
            <w:pPr>
              <w:spacing w:before="87" w:line="238" w:lineRule="auto"/>
              <w:ind w:left="405"/>
              <w:rPr>
                <w:rFonts w:ascii="宋体" w:hAnsi="宋体" w:eastAsia="宋体" w:cs="宋体"/>
                <w:sz w:val="22"/>
                <w:szCs w:val="22"/>
              </w:rPr>
            </w:pPr>
            <w:r>
              <w:rPr>
                <w:rFonts w:ascii="宋体" w:hAnsi="宋体" w:eastAsia="宋体" w:cs="宋体"/>
                <w:sz w:val="22"/>
                <w:szCs w:val="22"/>
              </w:rPr>
              <w:t>√</w:t>
            </w:r>
          </w:p>
          <w:p w14:paraId="63C0C54E">
            <w:pPr>
              <w:spacing w:before="116" w:line="238" w:lineRule="auto"/>
              <w:ind w:left="405"/>
              <w:rPr>
                <w:rFonts w:ascii="宋体" w:hAnsi="宋体" w:eastAsia="宋体" w:cs="宋体"/>
                <w:sz w:val="22"/>
                <w:szCs w:val="22"/>
              </w:rPr>
            </w:pPr>
            <w:r>
              <w:rPr>
                <w:rFonts w:ascii="宋体" w:hAnsi="宋体" w:eastAsia="宋体" w:cs="宋体"/>
                <w:sz w:val="22"/>
                <w:szCs w:val="22"/>
              </w:rPr>
              <w:t>√</w:t>
            </w:r>
          </w:p>
          <w:p w14:paraId="2FA69947">
            <w:pPr>
              <w:spacing w:before="146" w:line="238" w:lineRule="auto"/>
              <w:ind w:left="405"/>
              <w:rPr>
                <w:rFonts w:ascii="宋体" w:hAnsi="宋体" w:eastAsia="宋体" w:cs="宋体"/>
                <w:sz w:val="22"/>
                <w:szCs w:val="22"/>
              </w:rPr>
            </w:pPr>
            <w:r>
              <w:rPr>
                <w:rFonts w:ascii="宋体" w:hAnsi="宋体" w:eastAsia="宋体" w:cs="宋体"/>
                <w:sz w:val="22"/>
                <w:szCs w:val="22"/>
              </w:rPr>
              <w:t>√</w:t>
            </w:r>
          </w:p>
          <w:p w14:paraId="78C8AD9E">
            <w:pPr>
              <w:spacing w:before="17" w:line="238" w:lineRule="auto"/>
              <w:ind w:left="405"/>
              <w:rPr>
                <w:rFonts w:ascii="宋体" w:hAnsi="宋体" w:eastAsia="宋体" w:cs="宋体"/>
                <w:sz w:val="22"/>
                <w:szCs w:val="22"/>
              </w:rPr>
            </w:pPr>
            <w:r>
              <w:rPr>
                <w:rFonts w:ascii="宋体" w:hAnsi="宋体" w:eastAsia="宋体" w:cs="宋体"/>
                <w:sz w:val="22"/>
                <w:szCs w:val="22"/>
              </w:rPr>
              <w:t>√</w:t>
            </w:r>
          </w:p>
          <w:p w14:paraId="734DC4AD">
            <w:pPr>
              <w:spacing w:before="156" w:line="238" w:lineRule="auto"/>
              <w:ind w:left="405"/>
              <w:rPr>
                <w:rFonts w:ascii="宋体" w:hAnsi="宋体" w:eastAsia="宋体" w:cs="宋体"/>
                <w:sz w:val="22"/>
                <w:szCs w:val="22"/>
              </w:rPr>
            </w:pPr>
            <w:r>
              <w:rPr>
                <w:rFonts w:ascii="宋体" w:hAnsi="宋体" w:eastAsia="宋体" w:cs="宋体"/>
                <w:sz w:val="22"/>
                <w:szCs w:val="22"/>
              </w:rPr>
              <w:t>√</w:t>
            </w:r>
          </w:p>
          <w:p w14:paraId="4938529B">
            <w:pPr>
              <w:spacing w:before="66" w:line="238" w:lineRule="auto"/>
              <w:ind w:left="405"/>
              <w:rPr>
                <w:rFonts w:ascii="宋体" w:hAnsi="宋体" w:eastAsia="宋体" w:cs="宋体"/>
                <w:sz w:val="22"/>
                <w:szCs w:val="22"/>
              </w:rPr>
            </w:pPr>
            <w:r>
              <w:rPr>
                <w:rFonts w:ascii="宋体" w:hAnsi="宋体" w:eastAsia="宋体" w:cs="宋体"/>
                <w:sz w:val="22"/>
                <w:szCs w:val="22"/>
              </w:rPr>
              <w:t>√</w:t>
            </w:r>
          </w:p>
          <w:p w14:paraId="649F9BFF">
            <w:pPr>
              <w:pStyle w:val="6"/>
              <w:spacing w:line="283" w:lineRule="auto"/>
            </w:pPr>
          </w:p>
          <w:p w14:paraId="1EB1EF2D">
            <w:pPr>
              <w:spacing w:before="72" w:line="238" w:lineRule="auto"/>
              <w:ind w:left="405"/>
              <w:rPr>
                <w:rFonts w:ascii="宋体" w:hAnsi="宋体" w:eastAsia="宋体" w:cs="宋体"/>
                <w:sz w:val="22"/>
                <w:szCs w:val="22"/>
              </w:rPr>
            </w:pPr>
            <w:r>
              <w:rPr>
                <w:rFonts w:ascii="宋体" w:hAnsi="宋体" w:eastAsia="宋体" w:cs="宋体"/>
                <w:sz w:val="22"/>
                <w:szCs w:val="22"/>
              </w:rPr>
              <w:t>√</w:t>
            </w:r>
          </w:p>
          <w:p w14:paraId="74718E22">
            <w:pPr>
              <w:spacing w:before="36" w:line="238" w:lineRule="auto"/>
              <w:ind w:left="405"/>
              <w:rPr>
                <w:rFonts w:ascii="宋体" w:hAnsi="宋体" w:eastAsia="宋体" w:cs="宋体"/>
                <w:sz w:val="22"/>
                <w:szCs w:val="22"/>
              </w:rPr>
            </w:pPr>
            <w:r>
              <w:rPr>
                <w:rFonts w:ascii="宋体" w:hAnsi="宋体" w:eastAsia="宋体" w:cs="宋体"/>
                <w:sz w:val="22"/>
                <w:szCs w:val="22"/>
              </w:rPr>
              <w:t>√</w:t>
            </w:r>
          </w:p>
          <w:p w14:paraId="11DF1CCC">
            <w:pPr>
              <w:spacing w:before="87" w:line="238" w:lineRule="auto"/>
              <w:ind w:left="405"/>
              <w:rPr>
                <w:rFonts w:ascii="宋体" w:hAnsi="宋体" w:eastAsia="宋体" w:cs="宋体"/>
                <w:sz w:val="22"/>
                <w:szCs w:val="22"/>
              </w:rPr>
            </w:pPr>
            <w:r>
              <w:rPr>
                <w:rFonts w:ascii="宋体" w:hAnsi="宋体" w:eastAsia="宋体" w:cs="宋体"/>
                <w:sz w:val="22"/>
                <w:szCs w:val="22"/>
              </w:rPr>
              <w:t>√</w:t>
            </w:r>
          </w:p>
          <w:p w14:paraId="539E0073">
            <w:pPr>
              <w:spacing w:before="76" w:line="238" w:lineRule="auto"/>
              <w:ind w:left="405"/>
              <w:rPr>
                <w:rFonts w:ascii="宋体" w:hAnsi="宋体" w:eastAsia="宋体" w:cs="宋体"/>
                <w:sz w:val="22"/>
                <w:szCs w:val="22"/>
              </w:rPr>
            </w:pPr>
            <w:r>
              <w:rPr>
                <w:rFonts w:ascii="宋体" w:hAnsi="宋体" w:eastAsia="宋体" w:cs="宋体"/>
                <w:sz w:val="22"/>
                <w:szCs w:val="22"/>
              </w:rPr>
              <w:t>√</w:t>
            </w:r>
          </w:p>
          <w:p w14:paraId="6061C235">
            <w:pPr>
              <w:spacing w:before="205" w:line="189" w:lineRule="auto"/>
              <w:ind w:left="405"/>
              <w:rPr>
                <w:rFonts w:ascii="宋体" w:hAnsi="宋体" w:eastAsia="宋体" w:cs="宋体"/>
                <w:sz w:val="22"/>
                <w:szCs w:val="22"/>
              </w:rPr>
            </w:pPr>
            <w:r>
              <w:rPr>
                <w:rFonts w:ascii="宋体" w:hAnsi="宋体" w:eastAsia="宋体" w:cs="宋体"/>
                <w:sz w:val="22"/>
                <w:szCs w:val="22"/>
              </w:rPr>
              <w:t>△</w:t>
            </w:r>
          </w:p>
        </w:tc>
        <w:tc>
          <w:tcPr>
            <w:tcW w:w="1258" w:type="dxa"/>
            <w:textDirection w:val="tbRlV"/>
            <w:vAlign w:val="top"/>
          </w:tcPr>
          <w:p w14:paraId="33E352EE">
            <w:pPr>
              <w:pStyle w:val="6"/>
              <w:spacing w:line="440" w:lineRule="auto"/>
            </w:pPr>
            <w:r>
              <w:pict>
                <v:shape id="_x0000_s1053" o:spid="_x0000_s1053" o:spt="202" type="#_x0000_t202" style="position:absolute;left:0pt;margin-left:25.1pt;margin-top:4.05pt;height:16.2pt;width:9.9pt;mso-position-horizontal-relative:page;mso-position-vertical-relative:page;z-index:251693056;mso-width-relative:page;mso-height-relative:page;" filled="f" stroked="f" coordsize="21600,21600">
                  <v:path/>
                  <v:fill on="f" focussize="0,0"/>
                  <v:stroke on="f"/>
                  <v:imagedata o:title=""/>
                  <o:lock v:ext="edit" aspectratio="f"/>
                  <v:textbox inset="0mm,0mm,0mm,0mm">
                    <w:txbxContent>
                      <w:p w14:paraId="4DB869B8">
                        <w:pPr>
                          <w:spacing w:before="20" w:line="238" w:lineRule="auto"/>
                          <w:jc w:val="right"/>
                          <w:rPr>
                            <w:rFonts w:ascii="宋体" w:hAnsi="宋体" w:eastAsia="宋体" w:cs="宋体"/>
                            <w:sz w:val="22"/>
                            <w:szCs w:val="22"/>
                          </w:rPr>
                        </w:pPr>
                        <w:r>
                          <w:rPr>
                            <w:rFonts w:ascii="宋体" w:hAnsi="宋体" w:eastAsia="宋体" w:cs="宋体"/>
                            <w:spacing w:val="-63"/>
                            <w:sz w:val="22"/>
                            <w:szCs w:val="22"/>
                          </w:rPr>
                          <w:t>√</w:t>
                        </w:r>
                      </w:p>
                    </w:txbxContent>
                  </v:textbox>
                </v:shape>
              </w:pict>
            </w:r>
            <w:r>
              <w:pict>
                <v:shape id="_x0000_s1054" o:spid="_x0000_s1054" o:spt="202" type="#_x0000_t202" style="position:absolute;left:0pt;margin-left:25.1pt;margin-top:60.6pt;height:103.25pt;width:11.05pt;mso-position-horizontal-relative:page;mso-position-vertical-relative:page;z-index:251687936;mso-width-relative:page;mso-height-relative:page;" filled="f" stroked="f" coordsize="21600,21600">
                  <v:path/>
                  <v:fill on="f" focussize="0,0"/>
                  <v:stroke on="f"/>
                  <v:imagedata o:title=""/>
                  <o:lock v:ext="edit" aspectratio="f"/>
                  <v:textbox inset="0mm,0mm,0mm,0mm">
                    <w:txbxContent>
                      <w:p w14:paraId="62D12534">
                        <w:pPr>
                          <w:spacing w:before="20" w:line="238" w:lineRule="auto"/>
                          <w:jc w:val="right"/>
                          <w:rPr>
                            <w:rFonts w:ascii="宋体" w:hAnsi="宋体" w:eastAsia="宋体" w:cs="宋体"/>
                            <w:sz w:val="22"/>
                            <w:szCs w:val="22"/>
                          </w:rPr>
                        </w:pPr>
                        <w:r>
                          <w:rPr>
                            <w:rFonts w:ascii="宋体" w:hAnsi="宋体" w:eastAsia="宋体" w:cs="宋体"/>
                            <w:spacing w:val="-63"/>
                            <w:sz w:val="22"/>
                            <w:szCs w:val="22"/>
                          </w:rPr>
                          <w:t>√</w:t>
                        </w:r>
                      </w:p>
                      <w:p w14:paraId="1A6FADFB">
                        <w:pPr>
                          <w:spacing w:before="86" w:line="238" w:lineRule="auto"/>
                          <w:jc w:val="right"/>
                          <w:rPr>
                            <w:rFonts w:ascii="宋体" w:hAnsi="宋体" w:eastAsia="宋体" w:cs="宋体"/>
                            <w:sz w:val="22"/>
                            <w:szCs w:val="22"/>
                          </w:rPr>
                        </w:pPr>
                        <w:r>
                          <w:rPr>
                            <w:rFonts w:ascii="宋体" w:hAnsi="宋体" w:eastAsia="宋体" w:cs="宋体"/>
                            <w:spacing w:val="-63"/>
                            <w:sz w:val="22"/>
                            <w:szCs w:val="22"/>
                          </w:rPr>
                          <w:t>√</w:t>
                        </w:r>
                      </w:p>
                      <w:p w14:paraId="4ACD73CA">
                        <w:pPr>
                          <w:spacing w:before="75" w:line="313" w:lineRule="auto"/>
                          <w:ind w:left="20" w:right="43"/>
                          <w:jc w:val="both"/>
                          <w:rPr>
                            <w:rFonts w:ascii="宋体" w:hAnsi="宋体" w:eastAsia="宋体" w:cs="宋体"/>
                            <w:sz w:val="22"/>
                            <w:szCs w:val="22"/>
                          </w:rPr>
                        </w:pPr>
                        <w:r>
                          <w:rPr>
                            <w:rFonts w:ascii="宋体" w:hAnsi="宋体" w:eastAsia="宋体" w:cs="宋体"/>
                            <w:spacing w:val="-63"/>
                            <w:sz w:val="22"/>
                            <w:szCs w:val="22"/>
                          </w:rPr>
                          <w:t>√</w:t>
                        </w:r>
                        <w:r>
                          <w:rPr>
                            <w:rFonts w:ascii="宋体" w:hAnsi="宋体" w:eastAsia="宋体" w:cs="宋体"/>
                            <w:sz w:val="22"/>
                            <w:szCs w:val="22"/>
                          </w:rPr>
                          <w:t xml:space="preserve"> </w:t>
                        </w:r>
                        <w:r>
                          <w:rPr>
                            <w:rFonts w:ascii="宋体" w:hAnsi="宋体" w:eastAsia="宋体" w:cs="宋体"/>
                            <w:spacing w:val="3"/>
                            <w:sz w:val="15"/>
                            <w:szCs w:val="15"/>
                          </w:rPr>
                          <w:t>×</w:t>
                        </w:r>
                        <w:r>
                          <w:rPr>
                            <w:rFonts w:ascii="宋体" w:hAnsi="宋体" w:eastAsia="宋体" w:cs="宋体"/>
                            <w:sz w:val="15"/>
                            <w:szCs w:val="15"/>
                          </w:rPr>
                          <w:t xml:space="preserve"> </w:t>
                        </w:r>
                        <w:r>
                          <w:rPr>
                            <w:rFonts w:ascii="宋体" w:hAnsi="宋体" w:eastAsia="宋体" w:cs="宋体"/>
                            <w:spacing w:val="-63"/>
                            <w:sz w:val="22"/>
                            <w:szCs w:val="22"/>
                          </w:rPr>
                          <w:t>√</w:t>
                        </w:r>
                      </w:p>
                      <w:p w14:paraId="6CA0F825">
                        <w:pPr>
                          <w:spacing w:line="294" w:lineRule="exact"/>
                          <w:jc w:val="right"/>
                          <w:rPr>
                            <w:rFonts w:ascii="宋体" w:hAnsi="宋体" w:eastAsia="宋体" w:cs="宋体"/>
                            <w:sz w:val="22"/>
                            <w:szCs w:val="22"/>
                          </w:rPr>
                        </w:pPr>
                        <w:r>
                          <w:rPr>
                            <w:rFonts w:ascii="宋体" w:hAnsi="宋体" w:eastAsia="宋体" w:cs="宋体"/>
                            <w:spacing w:val="-40"/>
                            <w:position w:val="1"/>
                            <w:sz w:val="22"/>
                            <w:szCs w:val="22"/>
                          </w:rPr>
                          <w:t>×</w:t>
                        </w:r>
                      </w:p>
                    </w:txbxContent>
                  </v:textbox>
                </v:shape>
              </w:pict>
            </w:r>
            <w:r>
              <w:pict>
                <v:shape id="_x0000_s1055" o:spid="_x0000_s1055" o:spt="202" type="#_x0000_t202" style="position:absolute;left:0pt;margin-left:25.1pt;margin-top:218.6pt;height:136.35pt;width:11.05pt;mso-position-horizontal-relative:page;mso-position-vertical-relative:page;z-index:251692032;mso-width-relative:page;mso-height-relative:page;" filled="f" stroked="f" coordsize="21600,21600">
                  <v:path/>
                  <v:fill on="f" focussize="0,0"/>
                  <v:stroke on="f"/>
                  <v:imagedata o:title=""/>
                  <o:lock v:ext="edit" aspectratio="f"/>
                  <v:textbox inset="0mm,0mm,0mm,0mm">
                    <w:txbxContent>
                      <w:p w14:paraId="1F1C40A3">
                        <w:pPr>
                          <w:spacing w:before="20" w:line="238" w:lineRule="auto"/>
                          <w:jc w:val="right"/>
                          <w:rPr>
                            <w:rFonts w:ascii="宋体" w:hAnsi="宋体" w:eastAsia="宋体" w:cs="宋体"/>
                            <w:sz w:val="22"/>
                            <w:szCs w:val="22"/>
                          </w:rPr>
                        </w:pPr>
                        <w:r>
                          <w:rPr>
                            <w:rFonts w:ascii="宋体" w:hAnsi="宋体" w:eastAsia="宋体" w:cs="宋体"/>
                            <w:spacing w:val="-63"/>
                            <w:sz w:val="22"/>
                            <w:szCs w:val="22"/>
                          </w:rPr>
                          <w:t>√</w:t>
                        </w:r>
                      </w:p>
                      <w:p w14:paraId="2051E547">
                        <w:pPr>
                          <w:spacing w:before="36" w:line="238" w:lineRule="auto"/>
                          <w:jc w:val="right"/>
                          <w:rPr>
                            <w:rFonts w:ascii="宋体" w:hAnsi="宋体" w:eastAsia="宋体" w:cs="宋体"/>
                            <w:sz w:val="22"/>
                            <w:szCs w:val="22"/>
                          </w:rPr>
                        </w:pPr>
                        <w:r>
                          <w:rPr>
                            <w:rFonts w:ascii="宋体" w:hAnsi="宋体" w:eastAsia="宋体" w:cs="宋体"/>
                            <w:spacing w:val="-63"/>
                            <w:sz w:val="22"/>
                            <w:szCs w:val="22"/>
                          </w:rPr>
                          <w:t>√</w:t>
                        </w:r>
                      </w:p>
                      <w:p w14:paraId="2319326E">
                        <w:pPr>
                          <w:pStyle w:val="6"/>
                          <w:spacing w:line="352" w:lineRule="auto"/>
                        </w:pPr>
                      </w:p>
                      <w:p w14:paraId="100C566A">
                        <w:pPr>
                          <w:spacing w:before="72" w:line="238" w:lineRule="auto"/>
                          <w:jc w:val="right"/>
                          <w:rPr>
                            <w:rFonts w:ascii="宋体" w:hAnsi="宋体" w:eastAsia="宋体" w:cs="宋体"/>
                            <w:sz w:val="22"/>
                            <w:szCs w:val="22"/>
                          </w:rPr>
                        </w:pPr>
                        <w:r>
                          <w:rPr>
                            <w:rFonts w:ascii="宋体" w:hAnsi="宋体" w:eastAsia="宋体" w:cs="宋体"/>
                            <w:spacing w:val="-63"/>
                            <w:sz w:val="22"/>
                            <w:szCs w:val="22"/>
                          </w:rPr>
                          <w:t>√</w:t>
                        </w:r>
                      </w:p>
                      <w:p w14:paraId="4688A1A0">
                        <w:pPr>
                          <w:spacing w:before="186" w:line="295" w:lineRule="exact"/>
                          <w:jc w:val="right"/>
                          <w:rPr>
                            <w:rFonts w:ascii="宋体" w:hAnsi="宋体" w:eastAsia="宋体" w:cs="宋体"/>
                            <w:sz w:val="22"/>
                            <w:szCs w:val="22"/>
                          </w:rPr>
                        </w:pPr>
                        <w:r>
                          <w:rPr>
                            <w:rFonts w:ascii="宋体" w:hAnsi="宋体" w:eastAsia="宋体" w:cs="宋体"/>
                            <w:spacing w:val="-40"/>
                            <w:position w:val="1"/>
                            <w:sz w:val="22"/>
                            <w:szCs w:val="22"/>
                          </w:rPr>
                          <w:t>×</w:t>
                        </w:r>
                      </w:p>
                      <w:p w14:paraId="544DF8EF">
                        <w:pPr>
                          <w:pStyle w:val="6"/>
                          <w:spacing w:line="242" w:lineRule="auto"/>
                        </w:pPr>
                      </w:p>
                      <w:p w14:paraId="7EA6E182">
                        <w:pPr>
                          <w:spacing w:before="71" w:line="238" w:lineRule="auto"/>
                          <w:jc w:val="right"/>
                          <w:rPr>
                            <w:rFonts w:ascii="宋体" w:hAnsi="宋体" w:eastAsia="宋体" w:cs="宋体"/>
                            <w:sz w:val="22"/>
                            <w:szCs w:val="22"/>
                          </w:rPr>
                        </w:pPr>
                        <w:r>
                          <w:rPr>
                            <w:rFonts w:ascii="宋体" w:hAnsi="宋体" w:eastAsia="宋体" w:cs="宋体"/>
                            <w:spacing w:val="-63"/>
                            <w:sz w:val="22"/>
                            <w:szCs w:val="22"/>
                          </w:rPr>
                          <w:t>√</w:t>
                        </w:r>
                      </w:p>
                      <w:p w14:paraId="117F287E">
                        <w:pPr>
                          <w:spacing w:before="104" w:line="188" w:lineRule="exact"/>
                          <w:ind w:left="60"/>
                          <w:rPr>
                            <w:rFonts w:ascii="宋体" w:hAnsi="宋体" w:eastAsia="宋体" w:cs="宋体"/>
                            <w:sz w:val="14"/>
                            <w:szCs w:val="14"/>
                          </w:rPr>
                        </w:pPr>
                        <w:r>
                          <w:rPr>
                            <w:rFonts w:ascii="宋体" w:hAnsi="宋体" w:eastAsia="宋体" w:cs="宋体"/>
                            <w:position w:val="1"/>
                            <w:sz w:val="14"/>
                            <w:szCs w:val="14"/>
                          </w:rPr>
                          <w:t>×</w:t>
                        </w:r>
                      </w:p>
                    </w:txbxContent>
                  </v:textbox>
                </v:shape>
              </w:pict>
            </w:r>
            <w:r>
              <w:pict>
                <v:shape id="_x0000_s1056" o:spid="_x0000_s1056" o:spt="202" type="#_x0000_t202" style="position:absolute;left:0pt;margin-left:25.1pt;margin-top:524.6pt;height:57.65pt;width:12.25pt;mso-position-horizontal-relative:page;mso-position-vertical-relative:page;z-index:251691008;mso-width-relative:page;mso-height-relative:page;" filled="f" stroked="f" coordsize="21600,21600">
                  <v:path/>
                  <v:fill on="f" focussize="0,0"/>
                  <v:stroke on="f"/>
                  <v:imagedata o:title=""/>
                  <o:lock v:ext="edit" aspectratio="f"/>
                  <v:textbox inset="0mm,0mm,0mm,0mm">
                    <w:txbxContent>
                      <w:p w14:paraId="4CBFF1E5">
                        <w:pPr>
                          <w:spacing w:before="20" w:line="238" w:lineRule="auto"/>
                          <w:ind w:left="20"/>
                          <w:rPr>
                            <w:rFonts w:ascii="宋体" w:hAnsi="宋体" w:eastAsia="宋体" w:cs="宋体"/>
                            <w:sz w:val="22"/>
                            <w:szCs w:val="22"/>
                          </w:rPr>
                        </w:pPr>
                        <w:r>
                          <w:rPr>
                            <w:rFonts w:ascii="宋体" w:hAnsi="宋体" w:eastAsia="宋体" w:cs="宋体"/>
                            <w:sz w:val="22"/>
                            <w:szCs w:val="22"/>
                          </w:rPr>
                          <w:t>√</w:t>
                        </w:r>
                      </w:p>
                      <w:p w14:paraId="2637EC18">
                        <w:pPr>
                          <w:spacing w:before="136" w:line="201" w:lineRule="exact"/>
                          <w:ind w:left="50"/>
                          <w:rPr>
                            <w:rFonts w:ascii="宋体" w:hAnsi="宋体" w:eastAsia="宋体" w:cs="宋体"/>
                            <w:sz w:val="15"/>
                            <w:szCs w:val="15"/>
                          </w:rPr>
                        </w:pPr>
                        <w:r>
                          <w:rPr>
                            <w:rFonts w:ascii="宋体" w:hAnsi="宋体" w:eastAsia="宋体" w:cs="宋体"/>
                            <w:position w:val="1"/>
                            <w:sz w:val="15"/>
                            <w:szCs w:val="15"/>
                          </w:rPr>
                          <w:t>×</w:t>
                        </w:r>
                      </w:p>
                      <w:p w14:paraId="4C438719">
                        <w:pPr>
                          <w:spacing w:before="208" w:line="237" w:lineRule="auto"/>
                          <w:ind w:left="20"/>
                          <w:rPr>
                            <w:rFonts w:ascii="宋体" w:hAnsi="宋体" w:eastAsia="宋体" w:cs="宋体"/>
                            <w:sz w:val="22"/>
                            <w:szCs w:val="22"/>
                          </w:rPr>
                        </w:pPr>
                        <w:r>
                          <w:rPr>
                            <w:rFonts w:ascii="宋体" w:hAnsi="宋体" w:eastAsia="宋体" w:cs="宋体"/>
                            <w:sz w:val="22"/>
                            <w:szCs w:val="22"/>
                          </w:rPr>
                          <w:t>△</w:t>
                        </w:r>
                      </w:p>
                    </w:txbxContent>
                  </v:textbox>
                </v:shape>
              </w:pict>
            </w:r>
          </w:p>
          <w:p w14:paraId="5789E43B">
            <w:pPr>
              <w:spacing w:before="74" w:line="206" w:lineRule="auto"/>
              <w:ind w:left="3230"/>
              <w:rPr>
                <w:rFonts w:ascii="宋体" w:hAnsi="宋体" w:eastAsia="宋体" w:cs="宋体"/>
                <w:sz w:val="22"/>
                <w:szCs w:val="22"/>
              </w:rPr>
            </w:pPr>
            <w:r>
              <w:rPr>
                <w:rFonts w:ascii="宋体" w:hAnsi="宋体" w:eastAsia="宋体" w:cs="宋体"/>
                <w:color w:val="506070"/>
                <w:spacing w:val="-2"/>
                <w:sz w:val="15"/>
                <w:szCs w:val="15"/>
              </w:rPr>
              <w:t>√</w:t>
            </w:r>
            <w:r>
              <w:rPr>
                <w:rFonts w:ascii="宋体" w:hAnsi="宋体" w:eastAsia="宋体" w:cs="宋体"/>
                <w:color w:val="506070"/>
                <w:spacing w:val="12"/>
                <w:sz w:val="15"/>
                <w:szCs w:val="15"/>
              </w:rPr>
              <w:t xml:space="preserve">    </w:t>
            </w:r>
            <w:r>
              <w:rPr>
                <w:rFonts w:ascii="宋体" w:hAnsi="宋体" w:eastAsia="宋体" w:cs="宋体"/>
                <w:color w:val="506070"/>
                <w:spacing w:val="-2"/>
                <w:sz w:val="15"/>
                <w:szCs w:val="15"/>
              </w:rPr>
              <w:t>√</w:t>
            </w:r>
            <w:r>
              <w:rPr>
                <w:rFonts w:ascii="宋体" w:hAnsi="宋体" w:eastAsia="宋体" w:cs="宋体"/>
                <w:color w:val="506070"/>
                <w:spacing w:val="9"/>
                <w:sz w:val="15"/>
                <w:szCs w:val="15"/>
              </w:rPr>
              <w:t xml:space="preserve">    </w:t>
            </w:r>
            <w:r>
              <w:rPr>
                <w:rFonts w:ascii="宋体" w:hAnsi="宋体" w:eastAsia="宋体" w:cs="宋体"/>
                <w:color w:val="506070"/>
                <w:spacing w:val="-2"/>
                <w:sz w:val="15"/>
                <w:szCs w:val="15"/>
              </w:rPr>
              <w:t>×</w:t>
            </w:r>
            <w:r>
              <w:rPr>
                <w:rFonts w:ascii="宋体" w:hAnsi="宋体" w:eastAsia="宋体" w:cs="宋体"/>
                <w:color w:val="506070"/>
                <w:spacing w:val="1"/>
                <w:sz w:val="15"/>
                <w:szCs w:val="15"/>
              </w:rPr>
              <w:t xml:space="preserve">                                    </w:t>
            </w:r>
            <w:r>
              <w:rPr>
                <w:rFonts w:ascii="宋体" w:hAnsi="宋体" w:eastAsia="宋体" w:cs="宋体"/>
                <w:color w:val="708090"/>
                <w:spacing w:val="-2"/>
                <w:sz w:val="22"/>
                <w:szCs w:val="22"/>
              </w:rPr>
              <w:t>× ×</w:t>
            </w:r>
            <w:r>
              <w:rPr>
                <w:rFonts w:ascii="宋体" w:hAnsi="宋体" w:eastAsia="宋体" w:cs="宋体"/>
                <w:color w:val="708090"/>
                <w:spacing w:val="34"/>
                <w:sz w:val="22"/>
                <w:szCs w:val="22"/>
              </w:rPr>
              <w:t xml:space="preserve">   </w:t>
            </w:r>
            <w:r>
              <w:rPr>
                <w:rFonts w:ascii="宋体" w:hAnsi="宋体" w:eastAsia="宋体" w:cs="宋体"/>
                <w:color w:val="708090"/>
                <w:spacing w:val="-2"/>
                <w:sz w:val="22"/>
                <w:szCs w:val="22"/>
              </w:rPr>
              <w:t>√</w:t>
            </w:r>
            <w:r>
              <w:rPr>
                <w:rFonts w:ascii="宋体" w:hAnsi="宋体" w:eastAsia="宋体" w:cs="宋体"/>
                <w:color w:val="708090"/>
                <w:spacing w:val="-12"/>
                <w:sz w:val="22"/>
                <w:szCs w:val="22"/>
              </w:rPr>
              <w:t xml:space="preserve"> </w:t>
            </w:r>
            <w:r>
              <w:rPr>
                <w:rFonts w:ascii="宋体" w:hAnsi="宋体" w:eastAsia="宋体" w:cs="宋体"/>
                <w:color w:val="708090"/>
                <w:spacing w:val="-2"/>
                <w:sz w:val="22"/>
                <w:szCs w:val="22"/>
              </w:rPr>
              <w:t>△</w:t>
            </w:r>
            <w:r>
              <w:rPr>
                <w:rFonts w:ascii="宋体" w:hAnsi="宋体" w:eastAsia="宋体" w:cs="宋体"/>
                <w:color w:val="708090"/>
                <w:spacing w:val="28"/>
                <w:sz w:val="22"/>
                <w:szCs w:val="22"/>
              </w:rPr>
              <w:t xml:space="preserve">   </w:t>
            </w:r>
            <w:r>
              <w:rPr>
                <w:rFonts w:ascii="宋体" w:hAnsi="宋体" w:eastAsia="宋体" w:cs="宋体"/>
                <w:color w:val="708090"/>
                <w:spacing w:val="-2"/>
                <w:sz w:val="22"/>
                <w:szCs w:val="22"/>
              </w:rPr>
              <w:t>△</w:t>
            </w:r>
            <w:r>
              <w:rPr>
                <w:rFonts w:ascii="宋体" w:hAnsi="宋体" w:eastAsia="宋体" w:cs="宋体"/>
                <w:color w:val="708090"/>
                <w:spacing w:val="-13"/>
                <w:sz w:val="22"/>
                <w:szCs w:val="22"/>
              </w:rPr>
              <w:t xml:space="preserve"> </w:t>
            </w:r>
            <w:r>
              <w:rPr>
                <w:rFonts w:ascii="宋体" w:hAnsi="宋体" w:eastAsia="宋体" w:cs="宋体"/>
                <w:color w:val="708090"/>
                <w:spacing w:val="-2"/>
                <w:sz w:val="22"/>
                <w:szCs w:val="22"/>
              </w:rPr>
              <w:t>△</w:t>
            </w:r>
            <w:r>
              <w:rPr>
                <w:rFonts w:ascii="宋体" w:hAnsi="宋体" w:eastAsia="宋体" w:cs="宋体"/>
                <w:color w:val="708090"/>
                <w:spacing w:val="-14"/>
                <w:sz w:val="22"/>
                <w:szCs w:val="22"/>
              </w:rPr>
              <w:t xml:space="preserve"> </w:t>
            </w:r>
            <w:r>
              <w:rPr>
                <w:rFonts w:ascii="宋体" w:hAnsi="宋体" w:eastAsia="宋体" w:cs="宋体"/>
                <w:color w:val="708090"/>
                <w:spacing w:val="-2"/>
                <w:sz w:val="22"/>
                <w:szCs w:val="22"/>
              </w:rPr>
              <w:t>√</w:t>
            </w:r>
            <w:r>
              <w:rPr>
                <w:rFonts w:ascii="宋体" w:hAnsi="宋体" w:eastAsia="宋体" w:cs="宋体"/>
                <w:color w:val="708090"/>
                <w:spacing w:val="-13"/>
                <w:sz w:val="22"/>
                <w:szCs w:val="22"/>
              </w:rPr>
              <w:t xml:space="preserve"> </w:t>
            </w:r>
            <w:r>
              <w:rPr>
                <w:rFonts w:ascii="宋体" w:hAnsi="宋体" w:eastAsia="宋体" w:cs="宋体"/>
                <w:color w:val="708090"/>
                <w:spacing w:val="-2"/>
                <w:sz w:val="22"/>
                <w:szCs w:val="22"/>
              </w:rPr>
              <w:t>√</w:t>
            </w:r>
            <w:r>
              <w:rPr>
                <w:rFonts w:ascii="宋体" w:hAnsi="宋体" w:eastAsia="宋体" w:cs="宋体"/>
                <w:color w:val="708090"/>
                <w:spacing w:val="-13"/>
                <w:sz w:val="22"/>
                <w:szCs w:val="22"/>
              </w:rPr>
              <w:t xml:space="preserve"> </w:t>
            </w:r>
            <w:r>
              <w:rPr>
                <w:rFonts w:ascii="宋体" w:hAnsi="宋体" w:eastAsia="宋体" w:cs="宋体"/>
                <w:color w:val="708090"/>
                <w:spacing w:val="-2"/>
                <w:sz w:val="22"/>
                <w:szCs w:val="22"/>
              </w:rPr>
              <w:t>√</w:t>
            </w:r>
          </w:p>
        </w:tc>
        <w:tc>
          <w:tcPr>
            <w:tcW w:w="1623" w:type="dxa"/>
            <w:vAlign w:val="top"/>
          </w:tcPr>
          <w:p w14:paraId="7861E4A0">
            <w:pPr>
              <w:pStyle w:val="6"/>
              <w:spacing w:line="289" w:lineRule="auto"/>
            </w:pPr>
            <w:r>
              <w:pict>
                <v:shape id="_x0000_s1057" o:spid="_x0000_s1057" o:spt="202" type="#_x0000_t202" style="position:absolute;left:0pt;margin-left:36.65pt;margin-top:269pt;height:9.5pt;width:7.6pt;mso-position-horizontal-relative:page;mso-position-vertical-relative:page;z-index:251689984;mso-width-relative:page;mso-height-relative:page;" filled="f" stroked="f" coordsize="21600,21600">
                  <v:path/>
                  <v:fill on="f" focussize="0,0"/>
                  <v:stroke on="f"/>
                  <v:imagedata o:title=""/>
                  <o:lock v:ext="edit" aspectratio="f"/>
                  <v:textbox inset="0mm,0mm,0mm,0mm" style="layout-flow:vertical-ideographic;">
                    <w:txbxContent>
                      <w:p w14:paraId="33269012">
                        <w:pPr>
                          <w:spacing w:before="20" w:line="111" w:lineRule="exact"/>
                          <w:ind w:left="20"/>
                          <w:rPr>
                            <w:rFonts w:ascii="宋体" w:hAnsi="宋体" w:eastAsia="宋体" w:cs="宋体"/>
                            <w:sz w:val="15"/>
                            <w:szCs w:val="15"/>
                          </w:rPr>
                        </w:pPr>
                        <w:r>
                          <w:rPr>
                            <w:rFonts w:ascii="宋体" w:hAnsi="宋体" w:eastAsia="宋体" w:cs="宋体"/>
                            <w:color w:val="506060"/>
                            <w:position w:val="-2"/>
                            <w:sz w:val="15"/>
                            <w:szCs w:val="15"/>
                          </w:rPr>
                          <w:t>○</w:t>
                        </w:r>
                      </w:p>
                    </w:txbxContent>
                  </v:textbox>
                </v:shape>
              </w:pict>
            </w:r>
            <w:r>
              <w:pict>
                <v:shape id="_x0000_s1058" o:spid="_x0000_s1058" o:spt="202" type="#_x0000_t202" style="position:absolute;left:0pt;margin-left:37.05pt;margin-top:293.4pt;height:9.5pt;width:6.7pt;mso-position-horizontal-relative:page;mso-position-vertical-relative:page;z-index:251686912;mso-width-relative:page;mso-height-relative:page;" filled="f" stroked="f" coordsize="21600,21600">
                  <v:path/>
                  <v:fill on="f" focussize="0,0"/>
                  <v:stroke on="f"/>
                  <v:imagedata o:title=""/>
                  <o:lock v:ext="edit" aspectratio="f"/>
                  <v:textbox inset="0mm,0mm,0mm,0mm" style="layout-flow:vertical-ideographic;">
                    <w:txbxContent>
                      <w:p w14:paraId="5267C91F">
                        <w:pPr>
                          <w:spacing w:before="20" w:line="93" w:lineRule="exact"/>
                          <w:ind w:left="20"/>
                          <w:rPr>
                            <w:rFonts w:ascii="宋体" w:hAnsi="宋体" w:eastAsia="宋体" w:cs="宋体"/>
                            <w:sz w:val="15"/>
                            <w:szCs w:val="15"/>
                          </w:rPr>
                        </w:pPr>
                        <w:r>
                          <w:rPr>
                            <w:rFonts w:ascii="宋体" w:hAnsi="宋体" w:eastAsia="宋体" w:cs="宋体"/>
                            <w:color w:val="506060"/>
                            <w:position w:val="-3"/>
                            <w:sz w:val="15"/>
                            <w:szCs w:val="15"/>
                          </w:rPr>
                          <w:t>×</w:t>
                        </w:r>
                      </w:p>
                    </w:txbxContent>
                  </v:textbox>
                </v:shape>
              </w:pict>
            </w:r>
            <w:r>
              <w:pict>
                <v:shape id="_x0000_s1059" o:spid="_x0000_s1059" o:spt="202" type="#_x0000_t202" style="position:absolute;left:0pt;margin-left:34.45pt;margin-top:317.8pt;height:9.5pt;width:9.35pt;mso-position-horizontal-relative:page;mso-position-vertical-relative:page;z-index:251688960;mso-width-relative:page;mso-height-relative:page;" filled="f" stroked="f" coordsize="21600,21600">
                  <v:path/>
                  <v:fill on="f" focussize="0,0"/>
                  <v:stroke on="f"/>
                  <v:imagedata o:title=""/>
                  <o:lock v:ext="edit" aspectratio="f"/>
                  <v:textbox inset="0mm,0mm,0mm,0mm" style="layout-flow:vertical-ideographic;">
                    <w:txbxContent>
                      <w:p w14:paraId="127C7754">
                        <w:pPr>
                          <w:spacing w:before="19" w:line="175" w:lineRule="auto"/>
                          <w:ind w:left="20"/>
                          <w:rPr>
                            <w:rFonts w:ascii="宋体" w:hAnsi="宋体" w:eastAsia="宋体" w:cs="宋体"/>
                            <w:sz w:val="15"/>
                            <w:szCs w:val="15"/>
                          </w:rPr>
                        </w:pPr>
                        <w:r>
                          <w:rPr>
                            <w:rFonts w:ascii="宋体" w:hAnsi="宋体" w:eastAsia="宋体" w:cs="宋体"/>
                            <w:color w:val="506060"/>
                            <w:sz w:val="15"/>
                            <w:szCs w:val="15"/>
                          </w:rPr>
                          <w:t>×</w:t>
                        </w:r>
                      </w:p>
                    </w:txbxContent>
                  </v:textbox>
                </v:shape>
              </w:pict>
            </w:r>
          </w:p>
          <w:p w14:paraId="3E7D5AC5">
            <w:pPr>
              <w:pStyle w:val="6"/>
              <w:spacing w:line="289" w:lineRule="auto"/>
            </w:pPr>
          </w:p>
          <w:p w14:paraId="34F2603C">
            <w:pPr>
              <w:pStyle w:val="6"/>
              <w:spacing w:line="289" w:lineRule="auto"/>
            </w:pPr>
          </w:p>
          <w:p w14:paraId="3A17C371">
            <w:pPr>
              <w:pStyle w:val="6"/>
              <w:spacing w:line="289" w:lineRule="auto"/>
            </w:pPr>
          </w:p>
          <w:p w14:paraId="59B98A01">
            <w:pPr>
              <w:spacing w:before="48" w:line="202" w:lineRule="exact"/>
              <w:ind w:left="728"/>
              <w:rPr>
                <w:rFonts w:ascii="宋体" w:hAnsi="宋体" w:eastAsia="宋体" w:cs="宋体"/>
                <w:sz w:val="15"/>
                <w:szCs w:val="15"/>
              </w:rPr>
            </w:pPr>
            <w:r>
              <w:rPr>
                <w:rFonts w:ascii="宋体" w:hAnsi="宋体" w:eastAsia="宋体" w:cs="宋体"/>
                <w:position w:val="1"/>
                <w:sz w:val="15"/>
                <w:szCs w:val="15"/>
              </w:rPr>
              <w:t>×</w:t>
            </w:r>
          </w:p>
          <w:p w14:paraId="4D527129">
            <w:pPr>
              <w:spacing w:before="169" w:line="238" w:lineRule="auto"/>
              <w:ind w:left="698"/>
              <w:rPr>
                <w:rFonts w:ascii="宋体" w:hAnsi="宋体" w:eastAsia="宋体" w:cs="宋体"/>
                <w:sz w:val="22"/>
                <w:szCs w:val="22"/>
              </w:rPr>
            </w:pPr>
            <w:r>
              <w:rPr>
                <w:rFonts w:ascii="宋体" w:hAnsi="宋体" w:eastAsia="宋体" w:cs="宋体"/>
                <w:sz w:val="22"/>
                <w:szCs w:val="22"/>
              </w:rPr>
              <w:t>√</w:t>
            </w:r>
          </w:p>
          <w:p w14:paraId="418BD21C">
            <w:pPr>
              <w:spacing w:before="56" w:line="201" w:lineRule="exact"/>
              <w:ind w:left="728"/>
              <w:rPr>
                <w:rFonts w:ascii="宋体" w:hAnsi="宋体" w:eastAsia="宋体" w:cs="宋体"/>
                <w:sz w:val="15"/>
                <w:szCs w:val="15"/>
              </w:rPr>
            </w:pPr>
            <w:r>
              <w:rPr>
                <w:rFonts w:ascii="宋体" w:hAnsi="宋体" w:eastAsia="宋体" w:cs="宋体"/>
                <w:position w:val="1"/>
                <w:sz w:val="15"/>
                <w:szCs w:val="15"/>
              </w:rPr>
              <w:t>×</w:t>
            </w:r>
          </w:p>
          <w:p w14:paraId="5CD392E0">
            <w:pPr>
              <w:spacing w:before="168" w:line="202" w:lineRule="exact"/>
              <w:ind w:left="728"/>
              <w:rPr>
                <w:rFonts w:ascii="宋体" w:hAnsi="宋体" w:eastAsia="宋体" w:cs="宋体"/>
                <w:sz w:val="15"/>
                <w:szCs w:val="15"/>
              </w:rPr>
            </w:pPr>
            <w:r>
              <w:rPr>
                <w:rFonts w:ascii="宋体" w:hAnsi="宋体" w:eastAsia="宋体" w:cs="宋体"/>
                <w:position w:val="1"/>
                <w:sz w:val="15"/>
                <w:szCs w:val="15"/>
              </w:rPr>
              <w:t>×</w:t>
            </w:r>
          </w:p>
          <w:p w14:paraId="47408635">
            <w:pPr>
              <w:spacing w:before="118" w:line="201" w:lineRule="exact"/>
              <w:ind w:left="728"/>
              <w:rPr>
                <w:rFonts w:ascii="宋体" w:hAnsi="宋体" w:eastAsia="宋体" w:cs="宋体"/>
                <w:sz w:val="15"/>
                <w:szCs w:val="15"/>
              </w:rPr>
            </w:pPr>
            <w:r>
              <w:rPr>
                <w:rFonts w:ascii="宋体" w:hAnsi="宋体" w:eastAsia="宋体" w:cs="宋体"/>
                <w:position w:val="1"/>
                <w:sz w:val="15"/>
                <w:szCs w:val="15"/>
              </w:rPr>
              <w:t>×</w:t>
            </w:r>
          </w:p>
          <w:p w14:paraId="3B657114">
            <w:pPr>
              <w:spacing w:before="148" w:line="201" w:lineRule="exact"/>
              <w:ind w:left="728"/>
              <w:rPr>
                <w:rFonts w:ascii="宋体" w:hAnsi="宋体" w:eastAsia="宋体" w:cs="宋体"/>
                <w:sz w:val="15"/>
                <w:szCs w:val="15"/>
              </w:rPr>
            </w:pPr>
            <w:r>
              <w:rPr>
                <w:rFonts w:ascii="宋体" w:hAnsi="宋体" w:eastAsia="宋体" w:cs="宋体"/>
                <w:position w:val="1"/>
                <w:sz w:val="15"/>
                <w:szCs w:val="15"/>
              </w:rPr>
              <w:t>×</w:t>
            </w:r>
          </w:p>
          <w:p w14:paraId="01ADF431">
            <w:pPr>
              <w:spacing w:before="169" w:line="201" w:lineRule="exact"/>
              <w:ind w:left="728"/>
              <w:rPr>
                <w:rFonts w:ascii="宋体" w:hAnsi="宋体" w:eastAsia="宋体" w:cs="宋体"/>
                <w:sz w:val="15"/>
                <w:szCs w:val="15"/>
              </w:rPr>
            </w:pPr>
            <w:r>
              <w:rPr>
                <w:rFonts w:ascii="宋体" w:hAnsi="宋体" w:eastAsia="宋体" w:cs="宋体"/>
                <w:position w:val="1"/>
                <w:sz w:val="15"/>
                <w:szCs w:val="15"/>
              </w:rPr>
              <w:t>×</w:t>
            </w:r>
          </w:p>
          <w:p w14:paraId="35D316F7">
            <w:pPr>
              <w:spacing w:before="159" w:line="201" w:lineRule="exact"/>
              <w:ind w:left="728"/>
              <w:rPr>
                <w:rFonts w:ascii="宋体" w:hAnsi="宋体" w:eastAsia="宋体" w:cs="宋体"/>
                <w:sz w:val="15"/>
                <w:szCs w:val="15"/>
              </w:rPr>
            </w:pPr>
            <w:r>
              <w:rPr>
                <w:rFonts w:ascii="宋体" w:hAnsi="宋体" w:eastAsia="宋体" w:cs="宋体"/>
                <w:position w:val="1"/>
                <w:sz w:val="15"/>
                <w:szCs w:val="15"/>
              </w:rPr>
              <w:t>×</w:t>
            </w:r>
          </w:p>
          <w:p w14:paraId="5F33F519">
            <w:pPr>
              <w:pStyle w:val="6"/>
              <w:spacing w:line="477" w:lineRule="auto"/>
            </w:pPr>
          </w:p>
          <w:p w14:paraId="0DDDBD5B">
            <w:pPr>
              <w:spacing w:before="49" w:line="201" w:lineRule="exact"/>
              <w:ind w:left="728"/>
              <w:rPr>
                <w:rFonts w:ascii="宋体" w:hAnsi="宋体" w:eastAsia="宋体" w:cs="宋体"/>
                <w:sz w:val="15"/>
                <w:szCs w:val="15"/>
              </w:rPr>
            </w:pPr>
            <w:r>
              <w:rPr>
                <w:rFonts w:ascii="宋体" w:hAnsi="宋体" w:eastAsia="宋体" w:cs="宋体"/>
                <w:position w:val="1"/>
                <w:sz w:val="15"/>
                <w:szCs w:val="15"/>
              </w:rPr>
              <w:t>×</w:t>
            </w:r>
          </w:p>
          <w:p w14:paraId="0A1C6F5B">
            <w:pPr>
              <w:spacing w:before="159" w:line="201" w:lineRule="exact"/>
              <w:ind w:left="728"/>
              <w:rPr>
                <w:rFonts w:ascii="宋体" w:hAnsi="宋体" w:eastAsia="宋体" w:cs="宋体"/>
                <w:sz w:val="15"/>
                <w:szCs w:val="15"/>
              </w:rPr>
            </w:pPr>
            <w:r>
              <w:rPr>
                <w:rFonts w:ascii="宋体" w:hAnsi="宋体" w:eastAsia="宋体" w:cs="宋体"/>
                <w:position w:val="1"/>
                <w:sz w:val="15"/>
                <w:szCs w:val="15"/>
              </w:rPr>
              <w:t>×</w:t>
            </w:r>
          </w:p>
          <w:p w14:paraId="2D3B6251">
            <w:pPr>
              <w:pStyle w:val="6"/>
              <w:spacing w:line="262" w:lineRule="auto"/>
            </w:pPr>
          </w:p>
          <w:p w14:paraId="7B67BABD">
            <w:pPr>
              <w:pStyle w:val="6"/>
              <w:spacing w:line="262" w:lineRule="auto"/>
            </w:pPr>
          </w:p>
          <w:p w14:paraId="00C0F927">
            <w:pPr>
              <w:pStyle w:val="6"/>
              <w:spacing w:line="262" w:lineRule="auto"/>
            </w:pPr>
          </w:p>
          <w:p w14:paraId="0B45DC93">
            <w:pPr>
              <w:pStyle w:val="6"/>
              <w:spacing w:line="263" w:lineRule="auto"/>
            </w:pPr>
          </w:p>
          <w:p w14:paraId="6CC06637">
            <w:pPr>
              <w:pStyle w:val="6"/>
              <w:spacing w:line="263" w:lineRule="auto"/>
            </w:pPr>
          </w:p>
          <w:p w14:paraId="53487504">
            <w:pPr>
              <w:pStyle w:val="6"/>
              <w:spacing w:line="263" w:lineRule="auto"/>
            </w:pPr>
          </w:p>
          <w:p w14:paraId="5AE468C7">
            <w:pPr>
              <w:pStyle w:val="6"/>
              <w:spacing w:line="263" w:lineRule="auto"/>
            </w:pPr>
          </w:p>
          <w:p w14:paraId="0F3A508F">
            <w:pPr>
              <w:spacing w:before="50" w:line="201" w:lineRule="exact"/>
              <w:ind w:left="728"/>
              <w:rPr>
                <w:rFonts w:ascii="宋体" w:hAnsi="宋体" w:eastAsia="宋体" w:cs="宋体"/>
                <w:sz w:val="15"/>
                <w:szCs w:val="15"/>
              </w:rPr>
            </w:pPr>
            <w:r>
              <w:rPr>
                <w:rFonts w:ascii="宋体" w:hAnsi="宋体" w:eastAsia="宋体" w:cs="宋体"/>
                <w:position w:val="1"/>
                <w:sz w:val="15"/>
                <w:szCs w:val="15"/>
              </w:rPr>
              <w:t>×</w:t>
            </w:r>
          </w:p>
          <w:p w14:paraId="6988ECED">
            <w:pPr>
              <w:spacing w:before="199" w:line="201" w:lineRule="exact"/>
              <w:ind w:left="728"/>
              <w:rPr>
                <w:rFonts w:ascii="宋体" w:hAnsi="宋体" w:eastAsia="宋体" w:cs="宋体"/>
                <w:sz w:val="15"/>
                <w:szCs w:val="15"/>
              </w:rPr>
            </w:pPr>
            <w:r>
              <w:rPr>
                <w:rFonts w:ascii="宋体" w:hAnsi="宋体" w:eastAsia="宋体" w:cs="宋体"/>
                <w:position w:val="1"/>
                <w:sz w:val="15"/>
                <w:szCs w:val="15"/>
              </w:rPr>
              <w:t>×</w:t>
            </w:r>
          </w:p>
          <w:p w14:paraId="2AB861F9">
            <w:pPr>
              <w:spacing w:before="199" w:line="201" w:lineRule="exact"/>
              <w:ind w:left="728"/>
              <w:rPr>
                <w:rFonts w:ascii="宋体" w:hAnsi="宋体" w:eastAsia="宋体" w:cs="宋体"/>
                <w:sz w:val="15"/>
                <w:szCs w:val="15"/>
              </w:rPr>
            </w:pPr>
            <w:r>
              <w:rPr>
                <w:rFonts w:ascii="宋体" w:hAnsi="宋体" w:eastAsia="宋体" w:cs="宋体"/>
                <w:position w:val="1"/>
                <w:sz w:val="15"/>
                <w:szCs w:val="15"/>
              </w:rPr>
              <w:t>×</w:t>
            </w:r>
          </w:p>
          <w:p w14:paraId="6C469E2F">
            <w:pPr>
              <w:spacing w:before="219" w:line="183" w:lineRule="auto"/>
              <w:ind w:left="748"/>
              <w:rPr>
                <w:rFonts w:ascii="宋体" w:hAnsi="宋体" w:eastAsia="宋体" w:cs="宋体"/>
                <w:sz w:val="24"/>
                <w:szCs w:val="24"/>
              </w:rPr>
            </w:pPr>
            <w:r>
              <w:rPr>
                <w:rFonts w:ascii="宋体" w:hAnsi="宋体" w:eastAsia="宋体" w:cs="宋体"/>
                <w:sz w:val="24"/>
                <w:szCs w:val="24"/>
              </w:rPr>
              <w:t>O</w:t>
            </w:r>
          </w:p>
          <w:p w14:paraId="1A581F11">
            <w:pPr>
              <w:spacing w:before="146" w:line="183" w:lineRule="auto"/>
              <w:ind w:left="768"/>
              <w:rPr>
                <w:rFonts w:ascii="宋体" w:hAnsi="宋体" w:eastAsia="宋体" w:cs="宋体"/>
                <w:sz w:val="15"/>
                <w:szCs w:val="15"/>
              </w:rPr>
            </w:pPr>
            <w:r>
              <w:rPr>
                <w:rFonts w:ascii="宋体" w:hAnsi="宋体" w:eastAsia="宋体" w:cs="宋体"/>
                <w:sz w:val="15"/>
                <w:szCs w:val="15"/>
              </w:rPr>
              <w:t>O</w:t>
            </w:r>
          </w:p>
          <w:p w14:paraId="68933B63">
            <w:pPr>
              <w:spacing w:before="201" w:line="183" w:lineRule="auto"/>
              <w:ind w:left="768"/>
              <w:rPr>
                <w:rFonts w:ascii="宋体" w:hAnsi="宋体" w:eastAsia="宋体" w:cs="宋体"/>
                <w:sz w:val="15"/>
                <w:szCs w:val="15"/>
              </w:rPr>
            </w:pPr>
            <w:r>
              <w:rPr>
                <w:rFonts w:ascii="宋体" w:hAnsi="宋体" w:eastAsia="宋体" w:cs="宋体"/>
                <w:sz w:val="15"/>
                <w:szCs w:val="15"/>
              </w:rPr>
              <w:t>O</w:t>
            </w:r>
          </w:p>
          <w:p w14:paraId="7BC65A6D">
            <w:pPr>
              <w:spacing w:before="231" w:line="183" w:lineRule="auto"/>
              <w:ind w:left="768"/>
              <w:rPr>
                <w:rFonts w:ascii="宋体" w:hAnsi="宋体" w:eastAsia="宋体" w:cs="宋体"/>
                <w:sz w:val="15"/>
                <w:szCs w:val="15"/>
              </w:rPr>
            </w:pPr>
            <w:r>
              <w:rPr>
                <w:rFonts w:ascii="宋体" w:hAnsi="宋体" w:eastAsia="宋体" w:cs="宋体"/>
                <w:color w:val="606050"/>
                <w:sz w:val="15"/>
                <w:szCs w:val="15"/>
              </w:rPr>
              <w:t>O</w:t>
            </w:r>
          </w:p>
          <w:p w14:paraId="0D4212EA">
            <w:pPr>
              <w:pStyle w:val="6"/>
              <w:spacing w:line="244" w:lineRule="auto"/>
            </w:pPr>
          </w:p>
          <w:p w14:paraId="6C73236A">
            <w:pPr>
              <w:pStyle w:val="6"/>
              <w:spacing w:line="244" w:lineRule="auto"/>
            </w:pPr>
          </w:p>
          <w:p w14:paraId="17F133B6">
            <w:pPr>
              <w:pStyle w:val="6"/>
              <w:spacing w:line="244" w:lineRule="auto"/>
            </w:pPr>
          </w:p>
          <w:p w14:paraId="09FAED80">
            <w:pPr>
              <w:pStyle w:val="6"/>
              <w:spacing w:line="245" w:lineRule="auto"/>
            </w:pPr>
          </w:p>
          <w:p w14:paraId="2DA5B1DB">
            <w:pPr>
              <w:pStyle w:val="6"/>
              <w:spacing w:line="245" w:lineRule="auto"/>
            </w:pPr>
          </w:p>
          <w:p w14:paraId="21413BD3">
            <w:pPr>
              <w:spacing w:before="79" w:line="183" w:lineRule="auto"/>
              <w:ind w:left="748"/>
              <w:rPr>
                <w:rFonts w:ascii="宋体" w:hAnsi="宋体" w:eastAsia="宋体" w:cs="宋体"/>
                <w:sz w:val="24"/>
                <w:szCs w:val="24"/>
              </w:rPr>
            </w:pPr>
            <w:r>
              <w:rPr>
                <w:rFonts w:ascii="宋体" w:hAnsi="宋体" w:eastAsia="宋体" w:cs="宋体"/>
                <w:sz w:val="24"/>
                <w:szCs w:val="24"/>
              </w:rPr>
              <w:t>O</w:t>
            </w:r>
          </w:p>
          <w:p w14:paraId="47915F4B">
            <w:pPr>
              <w:spacing w:before="61" w:line="201" w:lineRule="exact"/>
              <w:ind w:left="728"/>
              <w:rPr>
                <w:rFonts w:ascii="宋体" w:hAnsi="宋体" w:eastAsia="宋体" w:cs="宋体"/>
                <w:sz w:val="15"/>
                <w:szCs w:val="15"/>
              </w:rPr>
            </w:pPr>
            <w:r>
              <w:rPr>
                <w:rFonts w:ascii="宋体" w:hAnsi="宋体" w:eastAsia="宋体" w:cs="宋体"/>
                <w:position w:val="1"/>
                <w:sz w:val="15"/>
                <w:szCs w:val="15"/>
              </w:rPr>
              <w:t>×</w:t>
            </w:r>
          </w:p>
          <w:p w14:paraId="568C97DE">
            <w:pPr>
              <w:spacing w:before="169" w:line="201" w:lineRule="exact"/>
              <w:ind w:left="728"/>
              <w:rPr>
                <w:rFonts w:ascii="宋体" w:hAnsi="宋体" w:eastAsia="宋体" w:cs="宋体"/>
                <w:sz w:val="15"/>
                <w:szCs w:val="15"/>
              </w:rPr>
            </w:pPr>
            <w:r>
              <w:rPr>
                <w:rFonts w:ascii="宋体" w:hAnsi="宋体" w:eastAsia="宋体" w:cs="宋体"/>
                <w:position w:val="1"/>
                <w:sz w:val="15"/>
                <w:szCs w:val="15"/>
              </w:rPr>
              <w:t>×</w:t>
            </w:r>
          </w:p>
          <w:p w14:paraId="0238768E">
            <w:pPr>
              <w:spacing w:before="190" w:line="193" w:lineRule="exact"/>
              <w:ind w:left="748"/>
              <w:rPr>
                <w:rFonts w:ascii="宋体" w:hAnsi="宋体" w:eastAsia="宋体" w:cs="宋体"/>
                <w:sz w:val="24"/>
                <w:szCs w:val="24"/>
              </w:rPr>
            </w:pPr>
            <w:r>
              <w:rPr>
                <w:rFonts w:ascii="宋体" w:hAnsi="宋体" w:eastAsia="宋体" w:cs="宋体"/>
                <w:position w:val="-3"/>
                <w:sz w:val="24"/>
                <w:szCs w:val="24"/>
              </w:rPr>
              <w:t>O</w:t>
            </w:r>
          </w:p>
        </w:tc>
      </w:tr>
    </w:tbl>
    <w:p w14:paraId="589A4540">
      <w:pPr>
        <w:rPr>
          <w:rFonts w:ascii="Arial"/>
          <w:sz w:val="21"/>
        </w:rPr>
      </w:pPr>
    </w:p>
    <w:p w14:paraId="19BBB7E2">
      <w:pPr>
        <w:rPr>
          <w:rFonts w:ascii="Arial" w:hAnsi="Arial" w:eastAsia="Arial" w:cs="Arial"/>
          <w:sz w:val="21"/>
          <w:szCs w:val="21"/>
        </w:rPr>
        <w:sectPr>
          <w:headerReference r:id="rId505" w:type="default"/>
          <w:footerReference r:id="rId506" w:type="default"/>
          <w:pgSz w:w="11910" w:h="17130"/>
          <w:pgMar w:top="400" w:right="1095" w:bottom="1590" w:left="1445" w:header="0" w:footer="1383" w:gutter="0"/>
          <w:cols w:space="720" w:num="1"/>
        </w:sectPr>
      </w:pPr>
    </w:p>
    <w:p w14:paraId="26936431">
      <w:pPr>
        <w:spacing w:line="267" w:lineRule="auto"/>
        <w:rPr>
          <w:rFonts w:ascii="Arial"/>
          <w:sz w:val="21"/>
        </w:rPr>
      </w:pPr>
    </w:p>
    <w:p w14:paraId="360DFD5A">
      <w:pPr>
        <w:spacing w:line="268" w:lineRule="auto"/>
        <w:rPr>
          <w:rFonts w:ascii="Arial"/>
          <w:sz w:val="21"/>
        </w:rPr>
      </w:pPr>
    </w:p>
    <w:p w14:paraId="4CB00E12">
      <w:pPr>
        <w:spacing w:line="268" w:lineRule="auto"/>
        <w:rPr>
          <w:rFonts w:ascii="Arial"/>
          <w:sz w:val="21"/>
        </w:rPr>
      </w:pPr>
    </w:p>
    <w:p w14:paraId="7E64850E">
      <w:pPr>
        <w:spacing w:line="268" w:lineRule="auto"/>
        <w:rPr>
          <w:rFonts w:ascii="Arial"/>
          <w:sz w:val="21"/>
        </w:rPr>
      </w:pPr>
    </w:p>
    <w:p w14:paraId="1367BB95">
      <w:pPr>
        <w:pStyle w:val="2"/>
        <w:spacing w:before="72" w:line="220" w:lineRule="auto"/>
        <w:ind w:left="8695"/>
        <w:rPr>
          <w:sz w:val="22"/>
          <w:szCs w:val="22"/>
        </w:rPr>
      </w:pPr>
      <w:r>
        <w:rPr>
          <w:spacing w:val="-20"/>
          <w:sz w:val="22"/>
          <w:szCs w:val="22"/>
        </w:rPr>
        <w:t>(</w:t>
      </w:r>
      <w:r>
        <w:rPr>
          <w:spacing w:val="-46"/>
          <w:sz w:val="22"/>
          <w:szCs w:val="22"/>
        </w:rPr>
        <w:t xml:space="preserve"> </w:t>
      </w:r>
      <w:r>
        <w:rPr>
          <w:spacing w:val="-20"/>
          <w:sz w:val="22"/>
          <w:szCs w:val="22"/>
        </w:rPr>
        <w:t>续</w:t>
      </w:r>
      <w:r>
        <w:rPr>
          <w:spacing w:val="-48"/>
          <w:sz w:val="22"/>
          <w:szCs w:val="22"/>
        </w:rPr>
        <w:t xml:space="preserve"> </w:t>
      </w:r>
      <w:r>
        <w:rPr>
          <w:spacing w:val="-20"/>
          <w:sz w:val="22"/>
          <w:szCs w:val="22"/>
        </w:rPr>
        <w:t>)</w:t>
      </w:r>
    </w:p>
    <w:p w14:paraId="156224F8">
      <w:pPr>
        <w:spacing w:line="113" w:lineRule="exact"/>
      </w:pPr>
    </w:p>
    <w:tbl>
      <w:tblPr>
        <w:tblStyle w:val="5"/>
        <w:tblW w:w="93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41"/>
        <w:gridCol w:w="649"/>
        <w:gridCol w:w="1039"/>
        <w:gridCol w:w="1049"/>
        <w:gridCol w:w="1248"/>
        <w:gridCol w:w="1613"/>
      </w:tblGrid>
      <w:tr w14:paraId="1F280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3741" w:type="dxa"/>
            <w:vMerge w:val="restart"/>
            <w:tcBorders>
              <w:bottom w:val="nil"/>
            </w:tcBorders>
            <w:vAlign w:val="top"/>
          </w:tcPr>
          <w:p w14:paraId="6E8F02AD">
            <w:pPr>
              <w:pStyle w:val="6"/>
              <w:spacing w:line="244" w:lineRule="auto"/>
            </w:pPr>
          </w:p>
          <w:p w14:paraId="500B2FD8">
            <w:pPr>
              <w:pStyle w:val="6"/>
              <w:spacing w:line="245" w:lineRule="auto"/>
            </w:pPr>
          </w:p>
          <w:p w14:paraId="66C7669A">
            <w:pPr>
              <w:spacing w:before="49" w:line="220" w:lineRule="auto"/>
              <w:ind w:left="315"/>
              <w:rPr>
                <w:rFonts w:ascii="宋体" w:hAnsi="宋体" w:eastAsia="宋体" w:cs="宋体"/>
                <w:sz w:val="15"/>
                <w:szCs w:val="15"/>
              </w:rPr>
            </w:pPr>
            <w:r>
              <w:rPr>
                <w:rFonts w:ascii="宋体" w:hAnsi="宋体" w:eastAsia="宋体" w:cs="宋体"/>
                <w:spacing w:val="-11"/>
                <w:sz w:val="15"/>
                <w:szCs w:val="15"/>
              </w:rPr>
              <w:t>工</w:t>
            </w:r>
            <w:r>
              <w:rPr>
                <w:rFonts w:ascii="宋体" w:hAnsi="宋体" w:eastAsia="宋体" w:cs="宋体"/>
                <w:spacing w:val="10"/>
                <w:sz w:val="15"/>
                <w:szCs w:val="15"/>
              </w:rPr>
              <w:t xml:space="preserve"> </w:t>
            </w:r>
            <w:r>
              <w:rPr>
                <w:rFonts w:ascii="宋体" w:hAnsi="宋体" w:eastAsia="宋体" w:cs="宋体"/>
                <w:spacing w:val="-11"/>
                <w:sz w:val="15"/>
                <w:szCs w:val="15"/>
              </w:rPr>
              <w:t>作</w:t>
            </w:r>
            <w:r>
              <w:rPr>
                <w:rFonts w:ascii="宋体" w:hAnsi="宋体" w:eastAsia="宋体" w:cs="宋体"/>
                <w:spacing w:val="13"/>
                <w:sz w:val="15"/>
                <w:szCs w:val="15"/>
              </w:rPr>
              <w:t xml:space="preserve"> </w:t>
            </w:r>
            <w:r>
              <w:rPr>
                <w:rFonts w:ascii="宋体" w:hAnsi="宋体" w:eastAsia="宋体" w:cs="宋体"/>
                <w:spacing w:val="-11"/>
                <w:sz w:val="15"/>
                <w:szCs w:val="15"/>
              </w:rPr>
              <w:t>项</w:t>
            </w:r>
            <w:r>
              <w:rPr>
                <w:rFonts w:ascii="宋体" w:hAnsi="宋体" w:eastAsia="宋体" w:cs="宋体"/>
                <w:spacing w:val="38"/>
                <w:w w:val="101"/>
                <w:sz w:val="15"/>
                <w:szCs w:val="15"/>
              </w:rPr>
              <w:t xml:space="preserve"> </w:t>
            </w:r>
            <w:r>
              <w:rPr>
                <w:rFonts w:ascii="宋体" w:hAnsi="宋体" w:eastAsia="宋体" w:cs="宋体"/>
                <w:spacing w:val="-11"/>
                <w:sz w:val="15"/>
                <w:szCs w:val="15"/>
              </w:rPr>
              <w:t>目</w:t>
            </w:r>
            <w:r>
              <w:rPr>
                <w:rFonts w:ascii="宋体" w:hAnsi="宋体" w:eastAsia="宋体" w:cs="宋体"/>
                <w:spacing w:val="11"/>
                <w:sz w:val="15"/>
                <w:szCs w:val="15"/>
              </w:rPr>
              <w:t xml:space="preserve"> </w:t>
            </w:r>
            <w:r>
              <w:rPr>
                <w:rFonts w:ascii="宋体" w:hAnsi="宋体" w:eastAsia="宋体" w:cs="宋体"/>
                <w:spacing w:val="-11"/>
                <w:sz w:val="15"/>
                <w:szCs w:val="15"/>
              </w:rPr>
              <w:t>名</w:t>
            </w:r>
            <w:r>
              <w:rPr>
                <w:rFonts w:ascii="宋体" w:hAnsi="宋体" w:eastAsia="宋体" w:cs="宋体"/>
                <w:spacing w:val="10"/>
                <w:sz w:val="15"/>
                <w:szCs w:val="15"/>
              </w:rPr>
              <w:t xml:space="preserve"> </w:t>
            </w:r>
            <w:r>
              <w:rPr>
                <w:rFonts w:ascii="宋体" w:hAnsi="宋体" w:eastAsia="宋体" w:cs="宋体"/>
                <w:spacing w:val="-11"/>
                <w:sz w:val="15"/>
                <w:szCs w:val="15"/>
              </w:rPr>
              <w:t>称</w:t>
            </w:r>
          </w:p>
        </w:tc>
        <w:tc>
          <w:tcPr>
            <w:tcW w:w="5598" w:type="dxa"/>
            <w:gridSpan w:val="5"/>
            <w:tcBorders>
              <w:bottom w:val="nil"/>
            </w:tcBorders>
            <w:vAlign w:val="top"/>
          </w:tcPr>
          <w:p w14:paraId="5E86E3A0">
            <w:pPr>
              <w:spacing w:before="121" w:line="220" w:lineRule="auto"/>
              <w:ind w:left="2343"/>
              <w:rPr>
                <w:rFonts w:ascii="宋体" w:hAnsi="宋体" w:eastAsia="宋体" w:cs="宋体"/>
                <w:sz w:val="15"/>
                <w:szCs w:val="15"/>
              </w:rPr>
            </w:pPr>
            <w:r>
              <w:rPr>
                <w:rFonts w:ascii="宋体" w:hAnsi="宋体" w:eastAsia="宋体" w:cs="宋体"/>
                <w:spacing w:val="3"/>
                <w:sz w:val="15"/>
                <w:szCs w:val="15"/>
              </w:rPr>
              <w:t>各阶段的应用</w:t>
            </w:r>
          </w:p>
        </w:tc>
      </w:tr>
      <w:tr w14:paraId="37B05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1" w:hRule="atLeast"/>
        </w:trPr>
        <w:tc>
          <w:tcPr>
            <w:tcW w:w="3741" w:type="dxa"/>
            <w:vMerge w:val="continue"/>
            <w:tcBorders>
              <w:top w:val="nil"/>
            </w:tcBorders>
            <w:vAlign w:val="top"/>
          </w:tcPr>
          <w:p w14:paraId="2E18E248">
            <w:pPr>
              <w:pStyle w:val="6"/>
            </w:pPr>
          </w:p>
        </w:tc>
        <w:tc>
          <w:tcPr>
            <w:tcW w:w="649" w:type="dxa"/>
            <w:tcBorders>
              <w:top w:val="nil"/>
            </w:tcBorders>
            <w:vAlign w:val="top"/>
          </w:tcPr>
          <w:p w14:paraId="026DF87F">
            <w:pPr>
              <w:spacing w:before="223" w:line="227" w:lineRule="auto"/>
              <w:ind w:left="143"/>
              <w:rPr>
                <w:rFonts w:ascii="宋体" w:hAnsi="宋体" w:eastAsia="宋体" w:cs="宋体"/>
                <w:sz w:val="15"/>
                <w:szCs w:val="15"/>
              </w:rPr>
            </w:pPr>
            <w:r>
              <w:rPr>
                <w:rFonts w:ascii="宋体" w:hAnsi="宋体" w:eastAsia="宋体" w:cs="宋体"/>
                <w:spacing w:val="8"/>
                <w:sz w:val="15"/>
                <w:szCs w:val="15"/>
              </w:rPr>
              <w:t>论证</w:t>
            </w:r>
          </w:p>
          <w:p w14:paraId="675108E0">
            <w:pPr>
              <w:spacing w:before="141" w:line="221" w:lineRule="auto"/>
              <w:ind w:left="143"/>
              <w:rPr>
                <w:rFonts w:ascii="宋体" w:hAnsi="宋体" w:eastAsia="宋体" w:cs="宋体"/>
                <w:sz w:val="15"/>
                <w:szCs w:val="15"/>
              </w:rPr>
            </w:pPr>
            <w:r>
              <w:rPr>
                <w:rFonts w:ascii="宋体" w:hAnsi="宋体" w:eastAsia="宋体" w:cs="宋体"/>
                <w:spacing w:val="7"/>
                <w:sz w:val="15"/>
                <w:szCs w:val="15"/>
              </w:rPr>
              <w:t>阶段</w:t>
            </w:r>
          </w:p>
        </w:tc>
        <w:tc>
          <w:tcPr>
            <w:tcW w:w="2088" w:type="dxa"/>
            <w:gridSpan w:val="2"/>
            <w:tcBorders>
              <w:top w:val="nil"/>
              <w:right w:val="single" w:color="000000" w:sz="4" w:space="0"/>
            </w:tcBorders>
            <w:vAlign w:val="top"/>
          </w:tcPr>
          <w:p w14:paraId="7FC7F5C5">
            <w:pPr>
              <w:spacing w:before="198" w:line="220" w:lineRule="auto"/>
              <w:ind w:left="734"/>
              <w:rPr>
                <w:rFonts w:ascii="宋体" w:hAnsi="宋体" w:eastAsia="宋体" w:cs="宋体"/>
                <w:sz w:val="15"/>
                <w:szCs w:val="15"/>
              </w:rPr>
            </w:pPr>
            <w:r>
              <w:rPr>
                <w:rFonts w:ascii="宋体" w:hAnsi="宋体" w:eastAsia="宋体" w:cs="宋体"/>
                <w:spacing w:val="-2"/>
                <w:sz w:val="15"/>
                <w:szCs w:val="15"/>
              </w:rPr>
              <w:t>方案阶段</w:t>
            </w:r>
          </w:p>
          <w:p w14:paraId="4E149D09">
            <w:pPr>
              <w:spacing w:before="231" w:line="220" w:lineRule="auto"/>
              <w:ind w:left="215"/>
              <w:rPr>
                <w:rFonts w:ascii="宋体" w:hAnsi="宋体" w:eastAsia="宋体" w:cs="宋体"/>
                <w:sz w:val="15"/>
                <w:szCs w:val="15"/>
              </w:rPr>
            </w:pPr>
            <w:r>
              <w:rPr>
                <w:rFonts w:ascii="宋体" w:hAnsi="宋体" w:eastAsia="宋体" w:cs="宋体"/>
                <w:spacing w:val="-2"/>
                <w:sz w:val="15"/>
                <w:szCs w:val="15"/>
              </w:rPr>
              <w:t>方案论证      方案确认</w:t>
            </w:r>
          </w:p>
        </w:tc>
        <w:tc>
          <w:tcPr>
            <w:tcW w:w="1248" w:type="dxa"/>
            <w:tcBorders>
              <w:top w:val="nil"/>
              <w:left w:val="single" w:color="000000" w:sz="4" w:space="0"/>
              <w:right w:val="single" w:color="000000" w:sz="4" w:space="0"/>
            </w:tcBorders>
            <w:vAlign w:val="top"/>
          </w:tcPr>
          <w:p w14:paraId="072DC974">
            <w:pPr>
              <w:spacing w:before="208" w:line="414" w:lineRule="auto"/>
              <w:ind w:left="146" w:right="349" w:firstLine="100"/>
              <w:rPr>
                <w:rFonts w:ascii="宋体" w:hAnsi="宋体" w:eastAsia="宋体" w:cs="宋体"/>
                <w:sz w:val="15"/>
                <w:szCs w:val="15"/>
              </w:rPr>
            </w:pPr>
            <w:r>
              <w:rPr>
                <w:rFonts w:ascii="宋体" w:hAnsi="宋体" w:eastAsia="宋体" w:cs="宋体"/>
                <w:spacing w:val="3"/>
                <w:sz w:val="15"/>
                <w:szCs w:val="15"/>
              </w:rPr>
              <w:t>工程研制</w:t>
            </w:r>
            <w:r>
              <w:rPr>
                <w:rFonts w:ascii="宋体" w:hAnsi="宋体" w:eastAsia="宋体" w:cs="宋体"/>
                <w:sz w:val="15"/>
                <w:szCs w:val="15"/>
              </w:rPr>
              <w:t xml:space="preserve"> </w:t>
            </w:r>
            <w:r>
              <w:rPr>
                <w:rFonts w:ascii="宋体" w:hAnsi="宋体" w:eastAsia="宋体" w:cs="宋体"/>
                <w:spacing w:val="-2"/>
                <w:sz w:val="15"/>
                <w:szCs w:val="15"/>
              </w:rPr>
              <w:t>与定型阶段</w:t>
            </w:r>
          </w:p>
        </w:tc>
        <w:tc>
          <w:tcPr>
            <w:tcW w:w="1613" w:type="dxa"/>
            <w:tcBorders>
              <w:top w:val="nil"/>
              <w:left w:val="single" w:color="000000" w:sz="4" w:space="0"/>
            </w:tcBorders>
            <w:vAlign w:val="top"/>
          </w:tcPr>
          <w:p w14:paraId="7CD73DB6">
            <w:pPr>
              <w:spacing w:before="208" w:line="414" w:lineRule="auto"/>
              <w:ind w:left="439" w:right="441" w:hanging="320"/>
              <w:rPr>
                <w:rFonts w:ascii="宋体" w:hAnsi="宋体" w:eastAsia="宋体" w:cs="宋体"/>
                <w:sz w:val="15"/>
                <w:szCs w:val="15"/>
              </w:rPr>
            </w:pPr>
            <w:r>
              <w:rPr>
                <w:rFonts w:ascii="宋体" w:hAnsi="宋体" w:eastAsia="宋体" w:cs="宋体"/>
                <w:spacing w:val="-2"/>
                <w:sz w:val="15"/>
                <w:szCs w:val="15"/>
              </w:rPr>
              <w:t>生产阶段及部署</w:t>
            </w:r>
            <w:r>
              <w:rPr>
                <w:rFonts w:ascii="宋体" w:hAnsi="宋体" w:eastAsia="宋体" w:cs="宋体"/>
                <w:spacing w:val="5"/>
                <w:sz w:val="15"/>
                <w:szCs w:val="15"/>
              </w:rPr>
              <w:t xml:space="preserve"> </w:t>
            </w:r>
            <w:r>
              <w:rPr>
                <w:rFonts w:ascii="宋体" w:hAnsi="宋体" w:eastAsia="宋体" w:cs="宋体"/>
                <w:spacing w:val="-2"/>
                <w:sz w:val="15"/>
                <w:szCs w:val="15"/>
              </w:rPr>
              <w:t>使用阶段</w:t>
            </w:r>
          </w:p>
        </w:tc>
      </w:tr>
      <w:tr w14:paraId="79320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56" w:hRule="atLeast"/>
        </w:trPr>
        <w:tc>
          <w:tcPr>
            <w:tcW w:w="3741" w:type="dxa"/>
            <w:vAlign w:val="top"/>
          </w:tcPr>
          <w:p w14:paraId="44CB1612">
            <w:pPr>
              <w:spacing w:before="107" w:line="220" w:lineRule="auto"/>
              <w:ind w:left="315"/>
              <w:rPr>
                <w:rFonts w:ascii="宋体" w:hAnsi="宋体" w:eastAsia="宋体" w:cs="宋体"/>
                <w:sz w:val="15"/>
                <w:szCs w:val="15"/>
              </w:rPr>
            </w:pPr>
            <w:r>
              <w:rPr>
                <w:rFonts w:ascii="宋体" w:hAnsi="宋体" w:eastAsia="宋体" w:cs="宋体"/>
                <w:spacing w:val="-1"/>
                <w:sz w:val="15"/>
                <w:szCs w:val="15"/>
              </w:rPr>
              <w:t>子项目302.2.4</w:t>
            </w:r>
          </w:p>
          <w:p w14:paraId="33F9D2BC">
            <w:pPr>
              <w:spacing w:before="191" w:line="220" w:lineRule="auto"/>
              <w:ind w:left="315"/>
              <w:rPr>
                <w:rFonts w:ascii="宋体" w:hAnsi="宋体" w:eastAsia="宋体" w:cs="宋体"/>
                <w:sz w:val="15"/>
                <w:szCs w:val="15"/>
              </w:rPr>
            </w:pPr>
            <w:r>
              <w:rPr>
                <w:rFonts w:ascii="宋体" w:hAnsi="宋体" w:eastAsia="宋体" w:cs="宋体"/>
                <w:spacing w:val="1"/>
                <w:sz w:val="15"/>
                <w:szCs w:val="15"/>
              </w:rPr>
              <w:t>子项目302.2.5</w:t>
            </w:r>
          </w:p>
          <w:p w14:paraId="29D9B88B">
            <w:pPr>
              <w:spacing w:before="169" w:line="435" w:lineRule="auto"/>
              <w:ind w:left="315" w:right="1379"/>
              <w:rPr>
                <w:rFonts w:ascii="宋体" w:hAnsi="宋体" w:eastAsia="宋体" w:cs="宋体"/>
                <w:sz w:val="15"/>
                <w:szCs w:val="15"/>
              </w:rPr>
            </w:pPr>
            <w:r>
              <w:rPr>
                <w:rFonts w:ascii="宋体" w:hAnsi="宋体" w:eastAsia="宋体" w:cs="宋体"/>
                <w:sz w:val="15"/>
                <w:szCs w:val="15"/>
              </w:rPr>
              <w:t>303备选方案的评价与权衡分析</w:t>
            </w:r>
            <w:r>
              <w:rPr>
                <w:rFonts w:ascii="宋体" w:hAnsi="宋体" w:eastAsia="宋体" w:cs="宋体"/>
                <w:spacing w:val="10"/>
                <w:sz w:val="15"/>
                <w:szCs w:val="15"/>
              </w:rPr>
              <w:t xml:space="preserve"> </w:t>
            </w:r>
            <w:r>
              <w:rPr>
                <w:rFonts w:ascii="宋体" w:hAnsi="宋体" w:eastAsia="宋体" w:cs="宋体"/>
                <w:spacing w:val="2"/>
                <w:sz w:val="15"/>
                <w:szCs w:val="15"/>
              </w:rPr>
              <w:t>子项目303.2.1</w:t>
            </w:r>
          </w:p>
          <w:p w14:paraId="5CE2E3E3">
            <w:pPr>
              <w:spacing w:before="4" w:line="220" w:lineRule="auto"/>
              <w:ind w:left="315"/>
              <w:rPr>
                <w:rFonts w:ascii="宋体" w:hAnsi="宋体" w:eastAsia="宋体" w:cs="宋体"/>
                <w:sz w:val="15"/>
                <w:szCs w:val="15"/>
              </w:rPr>
            </w:pPr>
            <w:r>
              <w:rPr>
                <w:rFonts w:ascii="宋体" w:hAnsi="宋体" w:eastAsia="宋体" w:cs="宋体"/>
                <w:spacing w:val="1"/>
                <w:sz w:val="15"/>
                <w:szCs w:val="15"/>
              </w:rPr>
              <w:t>子项目303.2.2</w:t>
            </w:r>
          </w:p>
          <w:p w14:paraId="497B64D8">
            <w:pPr>
              <w:spacing w:before="201" w:line="220" w:lineRule="auto"/>
              <w:ind w:left="315"/>
              <w:rPr>
                <w:rFonts w:ascii="宋体" w:hAnsi="宋体" w:eastAsia="宋体" w:cs="宋体"/>
                <w:sz w:val="15"/>
                <w:szCs w:val="15"/>
              </w:rPr>
            </w:pPr>
            <w:r>
              <w:rPr>
                <w:rFonts w:ascii="宋体" w:hAnsi="宋体" w:eastAsia="宋体" w:cs="宋体"/>
                <w:spacing w:val="1"/>
                <w:sz w:val="15"/>
                <w:szCs w:val="15"/>
              </w:rPr>
              <w:t>子项目303.2.3</w:t>
            </w:r>
          </w:p>
          <w:p w14:paraId="2948D509">
            <w:pPr>
              <w:spacing w:before="181" w:line="220" w:lineRule="auto"/>
              <w:ind w:left="315"/>
              <w:rPr>
                <w:rFonts w:ascii="宋体" w:hAnsi="宋体" w:eastAsia="宋体" w:cs="宋体"/>
                <w:sz w:val="15"/>
                <w:szCs w:val="15"/>
              </w:rPr>
            </w:pPr>
            <w:r>
              <w:rPr>
                <w:rFonts w:ascii="宋体" w:hAnsi="宋体" w:eastAsia="宋体" w:cs="宋体"/>
                <w:spacing w:val="-1"/>
                <w:sz w:val="15"/>
                <w:szCs w:val="15"/>
              </w:rPr>
              <w:t>子项目303.2.4</w:t>
            </w:r>
          </w:p>
          <w:p w14:paraId="42E4B5DF">
            <w:pPr>
              <w:spacing w:before="181" w:line="220" w:lineRule="auto"/>
              <w:ind w:left="315"/>
              <w:rPr>
                <w:rFonts w:ascii="宋体" w:hAnsi="宋体" w:eastAsia="宋体" w:cs="宋体"/>
                <w:sz w:val="15"/>
                <w:szCs w:val="15"/>
              </w:rPr>
            </w:pPr>
            <w:r>
              <w:rPr>
                <w:rFonts w:ascii="宋体" w:hAnsi="宋体" w:eastAsia="宋体" w:cs="宋体"/>
                <w:spacing w:val="-1"/>
                <w:sz w:val="15"/>
                <w:szCs w:val="15"/>
              </w:rPr>
              <w:t>子项目</w:t>
            </w:r>
            <w:r>
              <w:rPr>
                <w:rFonts w:ascii="宋体" w:hAnsi="宋体" w:eastAsia="宋体" w:cs="宋体"/>
                <w:spacing w:val="11"/>
                <w:sz w:val="15"/>
                <w:szCs w:val="15"/>
              </w:rPr>
              <w:t xml:space="preserve">  </w:t>
            </w:r>
            <w:r>
              <w:rPr>
                <w:rFonts w:ascii="宋体" w:hAnsi="宋体" w:eastAsia="宋体" w:cs="宋体"/>
                <w:spacing w:val="-1"/>
                <w:sz w:val="15"/>
                <w:szCs w:val="15"/>
              </w:rPr>
              <w:t>303.2.5</w:t>
            </w:r>
          </w:p>
          <w:p w14:paraId="137FBCAF">
            <w:pPr>
              <w:spacing w:before="192" w:line="238" w:lineRule="auto"/>
              <w:ind w:left="364"/>
              <w:rPr>
                <w:rFonts w:ascii="宋体" w:hAnsi="宋体" w:eastAsia="宋体" w:cs="宋体"/>
                <w:sz w:val="15"/>
                <w:szCs w:val="15"/>
              </w:rPr>
            </w:pPr>
            <w:r>
              <w:rPr>
                <w:rFonts w:ascii="宋体" w:hAnsi="宋体" w:eastAsia="宋体" w:cs="宋体"/>
                <w:spacing w:val="2"/>
                <w:position w:val="1"/>
                <w:sz w:val="15"/>
                <w:szCs w:val="15"/>
              </w:rPr>
              <w:t xml:space="preserve">子项目   </w:t>
            </w:r>
            <w:r>
              <w:rPr>
                <w:rFonts w:ascii="宋体" w:hAnsi="宋体" w:eastAsia="宋体" w:cs="宋体"/>
                <w:spacing w:val="2"/>
                <w:sz w:val="15"/>
                <w:szCs w:val="15"/>
              </w:rPr>
              <w:t>303.2.6</w:t>
            </w:r>
          </w:p>
          <w:p w14:paraId="4E8EF791">
            <w:pPr>
              <w:spacing w:before="156" w:line="238" w:lineRule="auto"/>
              <w:ind w:left="344"/>
              <w:rPr>
                <w:rFonts w:ascii="宋体" w:hAnsi="宋体" w:eastAsia="宋体" w:cs="宋体"/>
                <w:sz w:val="15"/>
                <w:szCs w:val="15"/>
              </w:rPr>
            </w:pPr>
            <w:r>
              <w:rPr>
                <w:rFonts w:ascii="宋体" w:hAnsi="宋体" w:eastAsia="宋体" w:cs="宋体"/>
                <w:spacing w:val="2"/>
                <w:position w:val="1"/>
                <w:sz w:val="15"/>
                <w:szCs w:val="15"/>
              </w:rPr>
              <w:t xml:space="preserve">子项目    </w:t>
            </w:r>
            <w:r>
              <w:rPr>
                <w:rFonts w:ascii="宋体" w:hAnsi="宋体" w:eastAsia="宋体" w:cs="宋体"/>
                <w:spacing w:val="2"/>
                <w:sz w:val="15"/>
                <w:szCs w:val="15"/>
              </w:rPr>
              <w:t>303.2.7</w:t>
            </w:r>
          </w:p>
          <w:p w14:paraId="4A2A2184">
            <w:pPr>
              <w:spacing w:before="157" w:line="238" w:lineRule="auto"/>
              <w:ind w:left="344"/>
              <w:rPr>
                <w:rFonts w:ascii="宋体" w:hAnsi="宋体" w:eastAsia="宋体" w:cs="宋体"/>
                <w:sz w:val="15"/>
                <w:szCs w:val="15"/>
              </w:rPr>
            </w:pPr>
            <w:r>
              <w:rPr>
                <w:rFonts w:ascii="宋体" w:hAnsi="宋体" w:eastAsia="宋体" w:cs="宋体"/>
                <w:spacing w:val="2"/>
                <w:position w:val="1"/>
                <w:sz w:val="15"/>
                <w:szCs w:val="15"/>
              </w:rPr>
              <w:t xml:space="preserve">子项目    </w:t>
            </w:r>
            <w:r>
              <w:rPr>
                <w:rFonts w:ascii="宋体" w:hAnsi="宋体" w:eastAsia="宋体" w:cs="宋体"/>
                <w:spacing w:val="2"/>
                <w:sz w:val="15"/>
                <w:szCs w:val="15"/>
              </w:rPr>
              <w:t>303.2.8</w:t>
            </w:r>
          </w:p>
          <w:p w14:paraId="6E6F220C">
            <w:pPr>
              <w:spacing w:before="147" w:line="238" w:lineRule="auto"/>
              <w:ind w:left="334"/>
              <w:rPr>
                <w:rFonts w:ascii="宋体" w:hAnsi="宋体" w:eastAsia="宋体" w:cs="宋体"/>
                <w:sz w:val="15"/>
                <w:szCs w:val="15"/>
              </w:rPr>
            </w:pPr>
            <w:r>
              <w:rPr>
                <w:rFonts w:ascii="宋体" w:hAnsi="宋体" w:eastAsia="宋体" w:cs="宋体"/>
                <w:spacing w:val="2"/>
                <w:position w:val="1"/>
                <w:sz w:val="15"/>
                <w:szCs w:val="15"/>
              </w:rPr>
              <w:t>子项目</w:t>
            </w:r>
            <w:r>
              <w:rPr>
                <w:rFonts w:ascii="宋体" w:hAnsi="宋体" w:eastAsia="宋体" w:cs="宋体"/>
                <w:spacing w:val="12"/>
                <w:position w:val="1"/>
                <w:sz w:val="15"/>
                <w:szCs w:val="15"/>
              </w:rPr>
              <w:t xml:space="preserve">   </w:t>
            </w:r>
            <w:r>
              <w:rPr>
                <w:rFonts w:ascii="宋体" w:hAnsi="宋体" w:eastAsia="宋体" w:cs="宋体"/>
                <w:spacing w:val="2"/>
                <w:sz w:val="15"/>
                <w:szCs w:val="15"/>
              </w:rPr>
              <w:t>303.2.9</w:t>
            </w:r>
          </w:p>
          <w:p w14:paraId="23B7D098">
            <w:pPr>
              <w:spacing w:before="156" w:line="238" w:lineRule="auto"/>
              <w:ind w:left="334"/>
              <w:rPr>
                <w:rFonts w:ascii="宋体" w:hAnsi="宋体" w:eastAsia="宋体" w:cs="宋体"/>
                <w:sz w:val="15"/>
                <w:szCs w:val="15"/>
              </w:rPr>
            </w:pPr>
            <w:r>
              <w:rPr>
                <w:rFonts w:ascii="宋体" w:hAnsi="宋体" w:eastAsia="宋体" w:cs="宋体"/>
                <w:spacing w:val="1"/>
                <w:position w:val="1"/>
                <w:sz w:val="15"/>
                <w:szCs w:val="15"/>
              </w:rPr>
              <w:t>子项目</w:t>
            </w:r>
            <w:r>
              <w:rPr>
                <w:rFonts w:ascii="宋体" w:hAnsi="宋体" w:eastAsia="宋体" w:cs="宋体"/>
                <w:spacing w:val="15"/>
                <w:position w:val="1"/>
                <w:sz w:val="15"/>
                <w:szCs w:val="15"/>
              </w:rPr>
              <w:t xml:space="preserve">   </w:t>
            </w:r>
            <w:r>
              <w:rPr>
                <w:rFonts w:ascii="宋体" w:hAnsi="宋体" w:eastAsia="宋体" w:cs="宋体"/>
                <w:spacing w:val="1"/>
                <w:sz w:val="15"/>
                <w:szCs w:val="15"/>
              </w:rPr>
              <w:t>303.2.10</w:t>
            </w:r>
          </w:p>
          <w:p w14:paraId="300C480D">
            <w:pPr>
              <w:spacing w:before="156" w:line="441" w:lineRule="auto"/>
              <w:ind w:left="315" w:right="2044" w:firstLine="309"/>
              <w:rPr>
                <w:rFonts w:ascii="宋体" w:hAnsi="宋体" w:eastAsia="宋体" w:cs="宋体"/>
                <w:sz w:val="15"/>
                <w:szCs w:val="15"/>
              </w:rPr>
            </w:pPr>
            <w:r>
              <w:rPr>
                <w:rFonts w:ascii="宋体" w:hAnsi="宋体" w:eastAsia="宋体" w:cs="宋体"/>
                <w:spacing w:val="1"/>
                <w:sz w:val="15"/>
                <w:szCs w:val="15"/>
              </w:rPr>
              <w:t>子项目303.2.11</w:t>
            </w:r>
            <w:r>
              <w:rPr>
                <w:rFonts w:ascii="宋体" w:hAnsi="宋体" w:eastAsia="宋体" w:cs="宋体"/>
                <w:sz w:val="15"/>
                <w:szCs w:val="15"/>
              </w:rPr>
              <w:t xml:space="preserve"> </w:t>
            </w:r>
            <w:r>
              <w:rPr>
                <w:rFonts w:ascii="宋体" w:hAnsi="宋体" w:eastAsia="宋体" w:cs="宋体"/>
                <w:spacing w:val="-1"/>
                <w:sz w:val="15"/>
                <w:szCs w:val="15"/>
              </w:rPr>
              <w:t>子项目303.2.12</w:t>
            </w:r>
          </w:p>
          <w:p w14:paraId="4B0F9304">
            <w:pPr>
              <w:spacing w:before="14" w:line="220" w:lineRule="auto"/>
              <w:ind w:left="315"/>
              <w:rPr>
                <w:rFonts w:ascii="宋体" w:hAnsi="宋体" w:eastAsia="宋体" w:cs="宋体"/>
                <w:sz w:val="15"/>
                <w:szCs w:val="15"/>
              </w:rPr>
            </w:pPr>
            <w:r>
              <w:rPr>
                <w:rFonts w:ascii="宋体" w:hAnsi="宋体" w:eastAsia="宋体" w:cs="宋体"/>
                <w:spacing w:val="-1"/>
                <w:sz w:val="15"/>
                <w:szCs w:val="15"/>
              </w:rPr>
              <w:t>子项目303.2.13</w:t>
            </w:r>
          </w:p>
          <w:p w14:paraId="467BB6D3">
            <w:pPr>
              <w:spacing w:before="190" w:line="450" w:lineRule="auto"/>
              <w:ind w:left="315" w:right="1846"/>
              <w:rPr>
                <w:rFonts w:ascii="宋体" w:hAnsi="宋体" w:eastAsia="宋体" w:cs="宋体"/>
                <w:sz w:val="15"/>
                <w:szCs w:val="15"/>
              </w:rPr>
            </w:pPr>
            <w:r>
              <w:rPr>
                <w:rFonts w:ascii="宋体" w:hAnsi="宋体" w:eastAsia="宋体" w:cs="宋体"/>
                <w:spacing w:val="-1"/>
                <w:sz w:val="15"/>
                <w:szCs w:val="15"/>
              </w:rPr>
              <w:t>401使用与维修工作分析</w:t>
            </w:r>
            <w:r>
              <w:rPr>
                <w:rFonts w:ascii="宋体" w:hAnsi="宋体" w:eastAsia="宋体" w:cs="宋体"/>
                <w:spacing w:val="5"/>
                <w:sz w:val="15"/>
                <w:szCs w:val="15"/>
              </w:rPr>
              <w:t xml:space="preserve"> </w:t>
            </w:r>
            <w:r>
              <w:rPr>
                <w:rFonts w:ascii="宋体" w:hAnsi="宋体" w:eastAsia="宋体" w:cs="宋体"/>
                <w:spacing w:val="2"/>
                <w:sz w:val="15"/>
                <w:szCs w:val="15"/>
              </w:rPr>
              <w:t>子项目401.2.1</w:t>
            </w:r>
          </w:p>
          <w:p w14:paraId="632EDD35">
            <w:pPr>
              <w:spacing w:line="220" w:lineRule="auto"/>
              <w:ind w:left="315"/>
              <w:rPr>
                <w:rFonts w:ascii="宋体" w:hAnsi="宋体" w:eastAsia="宋体" w:cs="宋体"/>
                <w:sz w:val="15"/>
                <w:szCs w:val="15"/>
              </w:rPr>
            </w:pPr>
            <w:r>
              <w:rPr>
                <w:rFonts w:ascii="宋体" w:hAnsi="宋体" w:eastAsia="宋体" w:cs="宋体"/>
                <w:spacing w:val="1"/>
                <w:sz w:val="15"/>
                <w:szCs w:val="15"/>
              </w:rPr>
              <w:t>子项目401.2.2</w:t>
            </w:r>
          </w:p>
          <w:p w14:paraId="1EA075CA">
            <w:pPr>
              <w:spacing w:before="181" w:line="220" w:lineRule="auto"/>
              <w:ind w:left="315"/>
              <w:rPr>
                <w:rFonts w:ascii="宋体" w:hAnsi="宋体" w:eastAsia="宋体" w:cs="宋体"/>
                <w:sz w:val="15"/>
                <w:szCs w:val="15"/>
              </w:rPr>
            </w:pPr>
            <w:r>
              <w:rPr>
                <w:rFonts w:ascii="宋体" w:hAnsi="宋体" w:eastAsia="宋体" w:cs="宋体"/>
                <w:spacing w:val="1"/>
                <w:sz w:val="15"/>
                <w:szCs w:val="15"/>
              </w:rPr>
              <w:t>子项目401.2.3</w:t>
            </w:r>
          </w:p>
          <w:p w14:paraId="48D8F456">
            <w:pPr>
              <w:spacing w:before="182" w:line="220" w:lineRule="auto"/>
              <w:ind w:left="315"/>
              <w:rPr>
                <w:rFonts w:ascii="宋体" w:hAnsi="宋体" w:eastAsia="宋体" w:cs="宋体"/>
                <w:sz w:val="15"/>
                <w:szCs w:val="15"/>
              </w:rPr>
            </w:pPr>
            <w:r>
              <w:rPr>
                <w:rFonts w:ascii="宋体" w:hAnsi="宋体" w:eastAsia="宋体" w:cs="宋体"/>
                <w:spacing w:val="-1"/>
                <w:sz w:val="15"/>
                <w:szCs w:val="15"/>
              </w:rPr>
              <w:t>子项目401.2.4</w:t>
            </w:r>
          </w:p>
          <w:p w14:paraId="5A071A18">
            <w:pPr>
              <w:spacing w:before="181" w:line="220" w:lineRule="auto"/>
              <w:ind w:left="315"/>
              <w:rPr>
                <w:rFonts w:ascii="宋体" w:hAnsi="宋体" w:eastAsia="宋体" w:cs="宋体"/>
                <w:sz w:val="15"/>
                <w:szCs w:val="15"/>
              </w:rPr>
            </w:pPr>
            <w:r>
              <w:rPr>
                <w:rFonts w:ascii="宋体" w:hAnsi="宋体" w:eastAsia="宋体" w:cs="宋体"/>
                <w:sz w:val="15"/>
                <w:szCs w:val="15"/>
              </w:rPr>
              <w:t>子项目</w:t>
            </w:r>
            <w:r>
              <w:rPr>
                <w:rFonts w:ascii="宋体" w:hAnsi="宋体" w:eastAsia="宋体" w:cs="宋体"/>
                <w:spacing w:val="6"/>
                <w:sz w:val="15"/>
                <w:szCs w:val="15"/>
              </w:rPr>
              <w:t xml:space="preserve">  </w:t>
            </w:r>
            <w:r>
              <w:rPr>
                <w:rFonts w:ascii="宋体" w:hAnsi="宋体" w:eastAsia="宋体" w:cs="宋体"/>
                <w:sz w:val="15"/>
                <w:szCs w:val="15"/>
              </w:rPr>
              <w:t>401.2.5</w:t>
            </w:r>
          </w:p>
          <w:p w14:paraId="2BCF7CC9">
            <w:pPr>
              <w:spacing w:before="191" w:line="238" w:lineRule="auto"/>
              <w:ind w:left="324"/>
              <w:rPr>
                <w:rFonts w:ascii="宋体" w:hAnsi="宋体" w:eastAsia="宋体" w:cs="宋体"/>
                <w:sz w:val="15"/>
                <w:szCs w:val="15"/>
              </w:rPr>
            </w:pPr>
            <w:r>
              <w:rPr>
                <w:rFonts w:ascii="宋体" w:hAnsi="宋体" w:eastAsia="宋体" w:cs="宋体"/>
                <w:spacing w:val="2"/>
                <w:position w:val="1"/>
                <w:sz w:val="15"/>
                <w:szCs w:val="15"/>
              </w:rPr>
              <w:t>子项目</w:t>
            </w:r>
            <w:r>
              <w:rPr>
                <w:rFonts w:ascii="宋体" w:hAnsi="宋体" w:eastAsia="宋体" w:cs="宋体"/>
                <w:spacing w:val="1"/>
                <w:position w:val="1"/>
                <w:sz w:val="15"/>
                <w:szCs w:val="15"/>
              </w:rPr>
              <w:t xml:space="preserve">    </w:t>
            </w:r>
            <w:r>
              <w:rPr>
                <w:rFonts w:ascii="宋体" w:hAnsi="宋体" w:eastAsia="宋体" w:cs="宋体"/>
                <w:spacing w:val="2"/>
                <w:sz w:val="15"/>
                <w:szCs w:val="15"/>
              </w:rPr>
              <w:t>401.2.6</w:t>
            </w:r>
          </w:p>
          <w:p w14:paraId="5178D6E3">
            <w:pPr>
              <w:spacing w:before="157" w:line="220" w:lineRule="auto"/>
              <w:ind w:left="315"/>
              <w:rPr>
                <w:rFonts w:ascii="宋体" w:hAnsi="宋体" w:eastAsia="宋体" w:cs="宋体"/>
                <w:sz w:val="15"/>
                <w:szCs w:val="15"/>
              </w:rPr>
            </w:pPr>
            <w:r>
              <w:rPr>
                <w:rFonts w:ascii="宋体" w:hAnsi="宋体" w:eastAsia="宋体" w:cs="宋体"/>
                <w:spacing w:val="1"/>
                <w:sz w:val="15"/>
                <w:szCs w:val="15"/>
              </w:rPr>
              <w:t>子项目401.2.7</w:t>
            </w:r>
          </w:p>
          <w:p w14:paraId="28EF98F8">
            <w:pPr>
              <w:spacing w:before="191" w:line="238" w:lineRule="auto"/>
              <w:ind w:left="324"/>
              <w:rPr>
                <w:rFonts w:ascii="宋体" w:hAnsi="宋体" w:eastAsia="宋体" w:cs="宋体"/>
                <w:sz w:val="15"/>
                <w:szCs w:val="15"/>
              </w:rPr>
            </w:pPr>
            <w:r>
              <w:rPr>
                <w:rFonts w:ascii="宋体" w:hAnsi="宋体" w:eastAsia="宋体" w:cs="宋体"/>
                <w:spacing w:val="2"/>
                <w:position w:val="1"/>
                <w:sz w:val="15"/>
                <w:szCs w:val="15"/>
              </w:rPr>
              <w:t>子项目</w:t>
            </w:r>
            <w:r>
              <w:rPr>
                <w:rFonts w:ascii="宋体" w:hAnsi="宋体" w:eastAsia="宋体" w:cs="宋体"/>
                <w:spacing w:val="1"/>
                <w:position w:val="1"/>
                <w:sz w:val="15"/>
                <w:szCs w:val="15"/>
              </w:rPr>
              <w:t xml:space="preserve">    </w:t>
            </w:r>
            <w:r>
              <w:rPr>
                <w:rFonts w:ascii="宋体" w:hAnsi="宋体" w:eastAsia="宋体" w:cs="宋体"/>
                <w:spacing w:val="2"/>
                <w:sz w:val="15"/>
                <w:szCs w:val="15"/>
              </w:rPr>
              <w:t>401.2.8</w:t>
            </w:r>
          </w:p>
          <w:p w14:paraId="05151DCE">
            <w:pPr>
              <w:spacing w:before="157" w:line="220" w:lineRule="auto"/>
              <w:ind w:left="315"/>
              <w:rPr>
                <w:rFonts w:ascii="宋体" w:hAnsi="宋体" w:eastAsia="宋体" w:cs="宋体"/>
                <w:sz w:val="15"/>
                <w:szCs w:val="15"/>
              </w:rPr>
            </w:pPr>
            <w:r>
              <w:rPr>
                <w:rFonts w:ascii="宋体" w:hAnsi="宋体" w:eastAsia="宋体" w:cs="宋体"/>
                <w:spacing w:val="-1"/>
                <w:sz w:val="15"/>
                <w:szCs w:val="15"/>
              </w:rPr>
              <w:t>子项目401.2.9</w:t>
            </w:r>
          </w:p>
          <w:p w14:paraId="32743022">
            <w:pPr>
              <w:spacing w:before="171" w:line="220" w:lineRule="auto"/>
              <w:ind w:left="315"/>
              <w:rPr>
                <w:rFonts w:ascii="宋体" w:hAnsi="宋体" w:eastAsia="宋体" w:cs="宋体"/>
                <w:sz w:val="15"/>
                <w:szCs w:val="15"/>
              </w:rPr>
            </w:pPr>
            <w:r>
              <w:rPr>
                <w:rFonts w:ascii="宋体" w:hAnsi="宋体" w:eastAsia="宋体" w:cs="宋体"/>
                <w:spacing w:val="-1"/>
                <w:sz w:val="15"/>
                <w:szCs w:val="15"/>
              </w:rPr>
              <w:t>子项目401.2.10</w:t>
            </w:r>
          </w:p>
          <w:p w14:paraId="112C4840">
            <w:pPr>
              <w:spacing w:before="181" w:line="220" w:lineRule="auto"/>
              <w:ind w:left="315"/>
              <w:rPr>
                <w:rFonts w:ascii="宋体" w:hAnsi="宋体" w:eastAsia="宋体" w:cs="宋体"/>
                <w:sz w:val="15"/>
                <w:szCs w:val="15"/>
              </w:rPr>
            </w:pPr>
            <w:r>
              <w:rPr>
                <w:rFonts w:ascii="宋体" w:hAnsi="宋体" w:eastAsia="宋体" w:cs="宋体"/>
                <w:spacing w:val="1"/>
                <w:sz w:val="15"/>
                <w:szCs w:val="15"/>
              </w:rPr>
              <w:t>子项目401.2.11</w:t>
            </w:r>
          </w:p>
          <w:p w14:paraId="79D2CE22">
            <w:pPr>
              <w:spacing w:before="181" w:line="220" w:lineRule="auto"/>
              <w:ind w:left="315"/>
              <w:rPr>
                <w:rFonts w:ascii="宋体" w:hAnsi="宋体" w:eastAsia="宋体" w:cs="宋体"/>
                <w:sz w:val="15"/>
                <w:szCs w:val="15"/>
              </w:rPr>
            </w:pPr>
            <w:r>
              <w:rPr>
                <w:rFonts w:ascii="宋体" w:hAnsi="宋体" w:eastAsia="宋体" w:cs="宋体"/>
                <w:spacing w:val="-1"/>
                <w:sz w:val="15"/>
                <w:szCs w:val="15"/>
              </w:rPr>
              <w:t>402早期现场分析</w:t>
            </w:r>
          </w:p>
          <w:p w14:paraId="23580058">
            <w:pPr>
              <w:spacing w:before="191" w:line="219" w:lineRule="auto"/>
              <w:ind w:left="315"/>
              <w:rPr>
                <w:rFonts w:ascii="宋体" w:hAnsi="宋体" w:eastAsia="宋体" w:cs="宋体"/>
                <w:sz w:val="15"/>
                <w:szCs w:val="15"/>
              </w:rPr>
            </w:pPr>
            <w:r>
              <w:rPr>
                <w:rFonts w:ascii="宋体" w:hAnsi="宋体" w:eastAsia="宋体" w:cs="宋体"/>
                <w:spacing w:val="-1"/>
                <w:sz w:val="15"/>
                <w:szCs w:val="15"/>
              </w:rPr>
              <w:t>403停产后保障分析</w:t>
            </w:r>
          </w:p>
          <w:p w14:paraId="67E1DC6F">
            <w:pPr>
              <w:spacing w:before="182" w:line="456" w:lineRule="auto"/>
              <w:ind w:left="315" w:right="1529"/>
              <w:rPr>
                <w:rFonts w:ascii="宋体" w:hAnsi="宋体" w:eastAsia="宋体" w:cs="宋体"/>
                <w:sz w:val="15"/>
                <w:szCs w:val="15"/>
              </w:rPr>
            </w:pPr>
            <w:r>
              <w:rPr>
                <w:rFonts w:ascii="宋体" w:hAnsi="宋体" w:eastAsia="宋体" w:cs="宋体"/>
                <w:sz w:val="15"/>
                <w:szCs w:val="15"/>
              </w:rPr>
              <w:t>501保障性试验、评价与验证</w:t>
            </w:r>
            <w:r>
              <w:rPr>
                <w:rFonts w:ascii="宋体" w:hAnsi="宋体" w:eastAsia="宋体" w:cs="宋体"/>
                <w:spacing w:val="10"/>
                <w:sz w:val="15"/>
                <w:szCs w:val="15"/>
              </w:rPr>
              <w:t xml:space="preserve"> </w:t>
            </w:r>
            <w:r>
              <w:rPr>
                <w:rFonts w:ascii="宋体" w:hAnsi="宋体" w:eastAsia="宋体" w:cs="宋体"/>
                <w:spacing w:val="2"/>
                <w:sz w:val="15"/>
                <w:szCs w:val="15"/>
              </w:rPr>
              <w:t>子项目501.2.1</w:t>
            </w:r>
          </w:p>
          <w:p w14:paraId="0411BDF7">
            <w:pPr>
              <w:spacing w:line="220" w:lineRule="auto"/>
              <w:ind w:left="315"/>
              <w:rPr>
                <w:rFonts w:ascii="宋体" w:hAnsi="宋体" w:eastAsia="宋体" w:cs="宋体"/>
                <w:sz w:val="15"/>
                <w:szCs w:val="15"/>
              </w:rPr>
            </w:pPr>
            <w:r>
              <w:rPr>
                <w:rFonts w:ascii="宋体" w:hAnsi="宋体" w:eastAsia="宋体" w:cs="宋体"/>
                <w:spacing w:val="1"/>
                <w:sz w:val="15"/>
                <w:szCs w:val="15"/>
              </w:rPr>
              <w:t>子项目501.2.2</w:t>
            </w:r>
          </w:p>
        </w:tc>
        <w:tc>
          <w:tcPr>
            <w:tcW w:w="649" w:type="dxa"/>
            <w:vAlign w:val="top"/>
          </w:tcPr>
          <w:p w14:paraId="1EF2CC85">
            <w:pPr>
              <w:spacing w:before="121" w:line="237" w:lineRule="auto"/>
              <w:ind w:left="243"/>
              <w:rPr>
                <w:rFonts w:ascii="宋体" w:hAnsi="宋体" w:eastAsia="宋体" w:cs="宋体"/>
                <w:sz w:val="15"/>
                <w:szCs w:val="15"/>
              </w:rPr>
            </w:pPr>
            <w:r>
              <mc:AlternateContent>
                <mc:Choice Requires="wps">
                  <w:drawing>
                    <wp:anchor distT="0" distB="0" distL="0" distR="0" simplePos="0" relativeHeight="251695104" behindDoc="0" locked="0" layoutInCell="1" allowOverlap="1">
                      <wp:simplePos x="0" y="0"/>
                      <wp:positionH relativeFrom="rightMargin">
                        <wp:posOffset>-1876425</wp:posOffset>
                      </wp:positionH>
                      <wp:positionV relativeFrom="topMargin">
                        <wp:posOffset>5107305</wp:posOffset>
                      </wp:positionV>
                      <wp:extent cx="3374390" cy="179070"/>
                      <wp:effectExtent l="1597660" t="0" r="0" b="0"/>
                      <wp:wrapNone/>
                      <wp:docPr id="25" name="TextBox 22"/>
                      <wp:cNvGraphicFramePr/>
                      <a:graphic xmlns:a="http://schemas.openxmlformats.org/drawingml/2006/main">
                        <a:graphicData uri="http://schemas.microsoft.com/office/word/2010/wordprocessingShape">
                          <wps:wsp>
                            <wps:cNvSpPr txBox="1"/>
                            <wps:spPr>
                              <a:xfrm rot="16200000">
                                <a:off x="-1876791" y="5107689"/>
                                <a:ext cx="3374390" cy="1790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E76C88">
                                  <w:pPr>
                                    <w:spacing w:before="65" w:line="241" w:lineRule="auto"/>
                                    <w:jc w:val="right"/>
                                    <w:rPr>
                                      <w:rFonts w:ascii="宋体" w:hAnsi="宋体" w:eastAsia="宋体" w:cs="宋体"/>
                                      <w:sz w:val="15"/>
                                      <w:szCs w:val="15"/>
                                    </w:rPr>
                                  </w:pPr>
                                  <w:r>
                                    <w:rPr>
                                      <w:rFonts w:ascii="宋体" w:hAnsi="宋体" w:eastAsia="宋体" w:cs="宋体"/>
                                      <w:spacing w:val="-16"/>
                                      <w:sz w:val="15"/>
                                      <w:szCs w:val="15"/>
                                    </w:rPr>
                                    <w:t>××</w:t>
                                  </w:r>
                                  <w:r>
                                    <w:rPr>
                                      <w:rFonts w:ascii="宋体" w:hAnsi="宋体" w:eastAsia="宋体" w:cs="宋体"/>
                                      <w:spacing w:val="1"/>
                                      <w:sz w:val="15"/>
                                      <w:szCs w:val="15"/>
                                    </w:rPr>
                                    <w:t xml:space="preserve">      </w:t>
                                  </w:r>
                                  <w:r>
                                    <w:rPr>
                                      <w:rFonts w:ascii="宋体" w:hAnsi="宋体" w:eastAsia="宋体" w:cs="宋体"/>
                                      <w:spacing w:val="-16"/>
                                      <w:sz w:val="15"/>
                                      <w:szCs w:val="15"/>
                                    </w:rPr>
                                    <w:t>×</w:t>
                                  </w:r>
                                  <w:r>
                                    <w:rPr>
                                      <w:rFonts w:ascii="宋体" w:hAnsi="宋体" w:eastAsia="宋体" w:cs="宋体"/>
                                      <w:spacing w:val="-47"/>
                                      <w:sz w:val="15"/>
                                      <w:szCs w:val="15"/>
                                    </w:rPr>
                                    <w:t xml:space="preserve"> </w:t>
                                  </w:r>
                                  <w:r>
                                    <w:rPr>
                                      <w:rFonts w:ascii="宋体" w:hAnsi="宋体" w:eastAsia="宋体" w:cs="宋体"/>
                                      <w:spacing w:val="-16"/>
                                      <w:sz w:val="15"/>
                                      <w:szCs w:val="15"/>
                                    </w:rPr>
                                    <w:t>×</w:t>
                                  </w:r>
                                  <w:r>
                                    <w:rPr>
                                      <w:rFonts w:ascii="宋体" w:hAnsi="宋体" w:eastAsia="宋体" w:cs="宋体"/>
                                      <w:spacing w:val="1"/>
                                      <w:sz w:val="15"/>
                                      <w:szCs w:val="15"/>
                                    </w:rPr>
                                    <w:t xml:space="preserve">                          </w:t>
                                  </w:r>
                                  <w:r>
                                    <w:rPr>
                                      <w:rFonts w:ascii="宋体" w:hAnsi="宋体" w:eastAsia="宋体" w:cs="宋体"/>
                                      <w:sz w:val="15"/>
                                      <w:szCs w:val="15"/>
                                    </w:rPr>
                                    <w:t xml:space="preserve">                        </w:t>
                                  </w:r>
                                  <w:r>
                                    <w:rPr>
                                      <w:rFonts w:ascii="宋体" w:hAnsi="宋体" w:eastAsia="宋体" w:cs="宋体"/>
                                      <w:spacing w:val="-16"/>
                                      <w:sz w:val="15"/>
                                      <w:szCs w:val="15"/>
                                    </w:rPr>
                                    <w:t>DD</w:t>
                                  </w:r>
                                  <w:r>
                                    <w:rPr>
                                      <w:rFonts w:ascii="宋体" w:hAnsi="宋体" w:eastAsia="宋体" w:cs="宋体"/>
                                      <w:spacing w:val="37"/>
                                      <w:sz w:val="15"/>
                                      <w:szCs w:val="15"/>
                                    </w:rPr>
                                    <w:t xml:space="preserve">  </w:t>
                                  </w:r>
                                  <w:r>
                                    <w:rPr>
                                      <w:rFonts w:ascii="宋体" w:hAnsi="宋体" w:eastAsia="宋体" w:cs="宋体"/>
                                      <w:spacing w:val="-16"/>
                                      <w:sz w:val="15"/>
                                      <w:szCs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 o:spid="_x0000_s1026" o:spt="202" type="#_x0000_t202" style="position:absolute;left:0pt;margin-left:-115.55pt;margin-top:402.65pt;height:14.1pt;width:265.7pt;mso-position-horizontal-relative:page;mso-position-vertical-relative:page;rotation:-5898240f;z-index:251695104;mso-width-relative:page;mso-height-relative:page;" filled="f" stroked="f" coordsize="21600,21600" o:gfxdata="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I10TFTb&#10;AAAADAEAAA8AAAAAAAAAAQAgAAAAIgAAAGRycy9kb3ducmV2LnhtbFBLAQIUABQAAAAIAIdO4kCI&#10;z6wuVgIAAKUEAAAOAAAAAAAAAAEAIAAAACoBAABkcnMvZTJvRG9jLnhtbFBLBQYAAAAABgAGAFkB&#10;AADyBQAAAAA=&#10;">
                      <v:fill on="f" focussize="0,0"/>
                      <v:stroke on="f" weight="0pt" miterlimit="0" joinstyle="miter"/>
                      <v:imagedata o:title=""/>
                      <o:lock v:ext="edit" aspectratio="f"/>
                      <v:textbox inset="0mm,0mm,0mm,0mm">
                        <w:txbxContent>
                          <w:p w14:paraId="33E76C88">
                            <w:pPr>
                              <w:spacing w:before="65" w:line="241" w:lineRule="auto"/>
                              <w:jc w:val="right"/>
                              <w:rPr>
                                <w:rFonts w:ascii="宋体" w:hAnsi="宋体" w:eastAsia="宋体" w:cs="宋体"/>
                                <w:sz w:val="15"/>
                                <w:szCs w:val="15"/>
                              </w:rPr>
                            </w:pPr>
                            <w:r>
                              <w:rPr>
                                <w:rFonts w:ascii="宋体" w:hAnsi="宋体" w:eastAsia="宋体" w:cs="宋体"/>
                                <w:spacing w:val="-16"/>
                                <w:sz w:val="15"/>
                                <w:szCs w:val="15"/>
                              </w:rPr>
                              <w:t>××</w:t>
                            </w:r>
                            <w:r>
                              <w:rPr>
                                <w:rFonts w:ascii="宋体" w:hAnsi="宋体" w:eastAsia="宋体" w:cs="宋体"/>
                                <w:spacing w:val="1"/>
                                <w:sz w:val="15"/>
                                <w:szCs w:val="15"/>
                              </w:rPr>
                              <w:t xml:space="preserve">      </w:t>
                            </w:r>
                            <w:r>
                              <w:rPr>
                                <w:rFonts w:ascii="宋体" w:hAnsi="宋体" w:eastAsia="宋体" w:cs="宋体"/>
                                <w:spacing w:val="-16"/>
                                <w:sz w:val="15"/>
                                <w:szCs w:val="15"/>
                              </w:rPr>
                              <w:t>×</w:t>
                            </w:r>
                            <w:r>
                              <w:rPr>
                                <w:rFonts w:ascii="宋体" w:hAnsi="宋体" w:eastAsia="宋体" w:cs="宋体"/>
                                <w:spacing w:val="-47"/>
                                <w:sz w:val="15"/>
                                <w:szCs w:val="15"/>
                              </w:rPr>
                              <w:t xml:space="preserve"> </w:t>
                            </w:r>
                            <w:r>
                              <w:rPr>
                                <w:rFonts w:ascii="宋体" w:hAnsi="宋体" w:eastAsia="宋体" w:cs="宋体"/>
                                <w:spacing w:val="-16"/>
                                <w:sz w:val="15"/>
                                <w:szCs w:val="15"/>
                              </w:rPr>
                              <w:t>×</w:t>
                            </w:r>
                            <w:r>
                              <w:rPr>
                                <w:rFonts w:ascii="宋体" w:hAnsi="宋体" w:eastAsia="宋体" w:cs="宋体"/>
                                <w:spacing w:val="1"/>
                                <w:sz w:val="15"/>
                                <w:szCs w:val="15"/>
                              </w:rPr>
                              <w:t xml:space="preserve">                          </w:t>
                            </w:r>
                            <w:r>
                              <w:rPr>
                                <w:rFonts w:ascii="宋体" w:hAnsi="宋体" w:eastAsia="宋体" w:cs="宋体"/>
                                <w:sz w:val="15"/>
                                <w:szCs w:val="15"/>
                              </w:rPr>
                              <w:t xml:space="preserve">                        </w:t>
                            </w:r>
                            <w:r>
                              <w:rPr>
                                <w:rFonts w:ascii="宋体" w:hAnsi="宋体" w:eastAsia="宋体" w:cs="宋体"/>
                                <w:spacing w:val="-16"/>
                                <w:sz w:val="15"/>
                                <w:szCs w:val="15"/>
                              </w:rPr>
                              <w:t>DD</w:t>
                            </w:r>
                            <w:r>
                              <w:rPr>
                                <w:rFonts w:ascii="宋体" w:hAnsi="宋体" w:eastAsia="宋体" w:cs="宋体"/>
                                <w:spacing w:val="37"/>
                                <w:sz w:val="15"/>
                                <w:szCs w:val="15"/>
                              </w:rPr>
                              <w:t xml:space="preserve">  </w:t>
                            </w:r>
                            <w:r>
                              <w:rPr>
                                <w:rFonts w:ascii="宋体" w:hAnsi="宋体" w:eastAsia="宋体" w:cs="宋体"/>
                                <w:spacing w:val="-16"/>
                                <w:sz w:val="15"/>
                                <w:szCs w:val="15"/>
                              </w:rPr>
                              <w:t>×</w:t>
                            </w:r>
                          </w:p>
                        </w:txbxContent>
                      </v:textbox>
                    </v:shape>
                  </w:pict>
                </mc:Fallback>
              </mc:AlternateContent>
            </w:r>
            <w:r>
              <w:rPr>
                <w:rFonts w:ascii="宋体" w:hAnsi="宋体" w:eastAsia="宋体" w:cs="宋体"/>
                <w:sz w:val="15"/>
                <w:szCs w:val="15"/>
              </w:rPr>
              <w:t>△</w:t>
            </w:r>
          </w:p>
          <w:p w14:paraId="7802AA8A">
            <w:pPr>
              <w:spacing w:before="177" w:line="237" w:lineRule="auto"/>
              <w:ind w:left="243"/>
              <w:rPr>
                <w:rFonts w:ascii="宋体" w:hAnsi="宋体" w:eastAsia="宋体" w:cs="宋体"/>
                <w:sz w:val="15"/>
                <w:szCs w:val="15"/>
              </w:rPr>
            </w:pPr>
            <w:r>
              <w:rPr>
                <w:rFonts w:ascii="宋体" w:hAnsi="宋体" w:eastAsia="宋体" w:cs="宋体"/>
                <w:sz w:val="15"/>
                <w:szCs w:val="15"/>
              </w:rPr>
              <w:t>△</w:t>
            </w:r>
          </w:p>
          <w:p w14:paraId="56F862E5">
            <w:pPr>
              <w:spacing w:before="157" w:line="237" w:lineRule="auto"/>
              <w:ind w:left="243"/>
              <w:rPr>
                <w:rFonts w:ascii="宋体" w:hAnsi="宋体" w:eastAsia="宋体" w:cs="宋体"/>
                <w:sz w:val="15"/>
                <w:szCs w:val="15"/>
              </w:rPr>
            </w:pPr>
            <w:r>
              <w:rPr>
                <w:rFonts w:ascii="宋体" w:hAnsi="宋体" w:eastAsia="宋体" w:cs="宋体"/>
                <w:sz w:val="15"/>
                <w:szCs w:val="15"/>
              </w:rPr>
              <w:t>△</w:t>
            </w:r>
          </w:p>
        </w:tc>
        <w:tc>
          <w:tcPr>
            <w:tcW w:w="1039" w:type="dxa"/>
            <w:vAlign w:val="top"/>
          </w:tcPr>
          <w:p w14:paraId="0F369500">
            <w:pPr>
              <w:spacing w:before="121" w:line="237" w:lineRule="auto"/>
              <w:ind w:left="434"/>
              <w:rPr>
                <w:rFonts w:ascii="宋体" w:hAnsi="宋体" w:eastAsia="宋体" w:cs="宋体"/>
                <w:sz w:val="15"/>
                <w:szCs w:val="15"/>
              </w:rPr>
            </w:pPr>
            <w:r>
              <w:pict>
                <v:shape id="_x0000_s1060" o:spid="_x0000_s1060" o:spt="202" type="#_x0000_t202" style="position:absolute;left:0pt;margin-left:22.35pt;margin-top:289.05pt;height:9.5pt;width:6.7pt;mso-position-horizontal-relative:page;mso-position-vertical-relative:page;z-index:251706368;mso-width-relative:page;mso-height-relative:page;" filled="f" stroked="f" coordsize="21600,21600">
                  <v:path/>
                  <v:fill on="f" focussize="0,0"/>
                  <v:stroke on="f"/>
                  <v:imagedata o:title=""/>
                  <o:lock v:ext="edit" aspectratio="f"/>
                  <v:textbox inset="0mm,0mm,0mm,0mm" style="layout-flow:vertical-ideographic;">
                    <w:txbxContent>
                      <w:p w14:paraId="42D892B2">
                        <w:pPr>
                          <w:spacing w:before="20" w:line="93" w:lineRule="exact"/>
                          <w:ind w:left="20"/>
                          <w:rPr>
                            <w:rFonts w:ascii="宋体" w:hAnsi="宋体" w:eastAsia="宋体" w:cs="宋体"/>
                            <w:sz w:val="15"/>
                            <w:szCs w:val="15"/>
                          </w:rPr>
                        </w:pPr>
                        <w:r>
                          <w:rPr>
                            <w:rFonts w:ascii="宋体" w:hAnsi="宋体" w:eastAsia="宋体" w:cs="宋体"/>
                            <w:position w:val="-3"/>
                            <w:sz w:val="15"/>
                            <w:szCs w:val="15"/>
                          </w:rPr>
                          <w:t>×</w:t>
                        </w:r>
                      </w:p>
                    </w:txbxContent>
                  </v:textbox>
                </v:shape>
              </w:pict>
            </w:r>
            <w:r>
              <w:pict>
                <v:shape id="_x0000_s1061" o:spid="_x0000_s1061" o:spt="202" type="#_x0000_t202" style="position:absolute;left:0pt;margin-left:22.35pt;margin-top:325.05pt;height:9.5pt;width:6.7pt;mso-position-horizontal-relative:page;mso-position-vertical-relative:page;z-index:251707392;mso-width-relative:page;mso-height-relative:page;" filled="f" stroked="f" coordsize="21600,21600">
                  <v:path/>
                  <v:fill on="f" focussize="0,0"/>
                  <v:stroke on="f"/>
                  <v:imagedata o:title=""/>
                  <o:lock v:ext="edit" aspectratio="f"/>
                  <v:textbox inset="0mm,0mm,0mm,0mm" style="layout-flow:vertical-ideographic;">
                    <w:txbxContent>
                      <w:p w14:paraId="54D33C07">
                        <w:pPr>
                          <w:spacing w:before="20" w:line="93" w:lineRule="exact"/>
                          <w:ind w:left="20"/>
                          <w:rPr>
                            <w:rFonts w:ascii="宋体" w:hAnsi="宋体" w:eastAsia="宋体" w:cs="宋体"/>
                            <w:sz w:val="15"/>
                            <w:szCs w:val="15"/>
                          </w:rPr>
                        </w:pPr>
                        <w:r>
                          <w:rPr>
                            <w:rFonts w:ascii="宋体" w:hAnsi="宋体" w:eastAsia="宋体" w:cs="宋体"/>
                            <w:position w:val="-3"/>
                            <w:sz w:val="15"/>
                            <w:szCs w:val="15"/>
                          </w:rPr>
                          <w:t>×</w:t>
                        </w:r>
                      </w:p>
                    </w:txbxContent>
                  </v:textbox>
                </v:shape>
              </w:pict>
            </w:r>
            <w:r>
              <w:pict>
                <v:shape id="_x0000_s1062" o:spid="_x0000_s1062" o:spt="202" type="#_x0000_t202" style="position:absolute;left:0pt;margin-left:22.35pt;margin-top:343.05pt;height:9.5pt;width:6.7pt;mso-position-horizontal-relative:page;mso-position-vertical-relative:page;z-index:251705344;mso-width-relative:page;mso-height-relative:page;" filled="f" stroked="f" coordsize="21600,21600">
                  <v:path/>
                  <v:fill on="f" focussize="0,0"/>
                  <v:stroke on="f"/>
                  <v:imagedata o:title=""/>
                  <o:lock v:ext="edit" aspectratio="f"/>
                  <v:textbox inset="0mm,0mm,0mm,0mm" style="layout-flow:vertical-ideographic;">
                    <w:txbxContent>
                      <w:p w14:paraId="094E8451">
                        <w:pPr>
                          <w:spacing w:before="20" w:line="93" w:lineRule="exact"/>
                          <w:ind w:left="20"/>
                          <w:rPr>
                            <w:rFonts w:ascii="宋体" w:hAnsi="宋体" w:eastAsia="宋体" w:cs="宋体"/>
                            <w:sz w:val="15"/>
                            <w:szCs w:val="15"/>
                          </w:rPr>
                        </w:pPr>
                        <w:r>
                          <w:rPr>
                            <w:rFonts w:ascii="宋体" w:hAnsi="宋体" w:eastAsia="宋体" w:cs="宋体"/>
                            <w:position w:val="-3"/>
                            <w:sz w:val="15"/>
                            <w:szCs w:val="15"/>
                          </w:rPr>
                          <w:t>×</w:t>
                        </w:r>
                      </w:p>
                    </w:txbxContent>
                  </v:textbox>
                </v:shape>
              </w:pict>
            </w:r>
            <w:r>
              <w:pict>
                <v:shape id="_x0000_s1063" o:spid="_x0000_s1063" o:spt="202" type="#_x0000_t202" style="position:absolute;left:0pt;margin-left:22.35pt;margin-top:379.55pt;height:9.5pt;width:6.7pt;mso-position-horizontal-relative:page;mso-position-vertical-relative:page;z-index:251703296;mso-width-relative:page;mso-height-relative:page;" filled="f" stroked="f" coordsize="21600,21600">
                  <v:path/>
                  <v:fill on="f" focussize="0,0"/>
                  <v:stroke on="f"/>
                  <v:imagedata o:title=""/>
                  <o:lock v:ext="edit" aspectratio="f"/>
                  <v:textbox inset="0mm,0mm,0mm,0mm" style="layout-flow:vertical-ideographic;">
                    <w:txbxContent>
                      <w:p w14:paraId="2B705758">
                        <w:pPr>
                          <w:spacing w:before="20" w:line="93" w:lineRule="exact"/>
                          <w:ind w:left="20"/>
                          <w:rPr>
                            <w:rFonts w:ascii="宋体" w:hAnsi="宋体" w:eastAsia="宋体" w:cs="宋体"/>
                            <w:sz w:val="15"/>
                            <w:szCs w:val="15"/>
                          </w:rPr>
                        </w:pPr>
                        <w:r>
                          <w:rPr>
                            <w:rFonts w:ascii="宋体" w:hAnsi="宋体" w:eastAsia="宋体" w:cs="宋体"/>
                            <w:position w:val="-3"/>
                            <w:sz w:val="15"/>
                            <w:szCs w:val="15"/>
                          </w:rPr>
                          <w:t>×</w:t>
                        </w:r>
                      </w:p>
                    </w:txbxContent>
                  </v:textbox>
                </v:shape>
              </w:pict>
            </w:r>
            <w:r>
              <w:pict>
                <v:shape id="_x0000_s1064" o:spid="_x0000_s1064" o:spt="202" type="#_x0000_t202" style="position:absolute;left:0pt;margin-left:22.35pt;margin-top:397.55pt;height:9.5pt;width:6.7pt;mso-position-horizontal-relative:page;mso-position-vertical-relative:page;z-index:251697152;mso-width-relative:page;mso-height-relative:page;" filled="f" stroked="f" coordsize="21600,21600">
                  <v:path/>
                  <v:fill on="f" focussize="0,0"/>
                  <v:stroke on="f"/>
                  <v:imagedata o:title=""/>
                  <o:lock v:ext="edit" aspectratio="f"/>
                  <v:textbox inset="0mm,0mm,0mm,0mm" style="layout-flow:vertical-ideographic;">
                    <w:txbxContent>
                      <w:p w14:paraId="3420EA72">
                        <w:pPr>
                          <w:spacing w:before="20" w:line="93" w:lineRule="exact"/>
                          <w:ind w:left="20"/>
                          <w:rPr>
                            <w:rFonts w:ascii="宋体" w:hAnsi="宋体" w:eastAsia="宋体" w:cs="宋体"/>
                            <w:sz w:val="15"/>
                            <w:szCs w:val="15"/>
                          </w:rPr>
                        </w:pPr>
                        <w:r>
                          <w:rPr>
                            <w:rFonts w:ascii="宋体" w:hAnsi="宋体" w:eastAsia="宋体" w:cs="宋体"/>
                            <w:position w:val="-3"/>
                            <w:sz w:val="15"/>
                            <w:szCs w:val="15"/>
                          </w:rPr>
                          <w:t>×</w:t>
                        </w:r>
                      </w:p>
                    </w:txbxContent>
                  </v:textbox>
                </v:shape>
              </w:pict>
            </w:r>
            <w:r>
              <w:pict>
                <v:shape id="_x0000_s1065" o:spid="_x0000_s1065" o:spt="202" type="#_x0000_t202" style="position:absolute;left:0pt;margin-left:22.35pt;margin-top:434.05pt;height:9.5pt;width:6.7pt;mso-position-horizontal-relative:page;mso-position-vertical-relative:page;z-index:251699200;mso-width-relative:page;mso-height-relative:page;" filled="f" stroked="f" coordsize="21600,21600">
                  <v:path/>
                  <v:fill on="f" focussize="0,0"/>
                  <v:stroke on="f"/>
                  <v:imagedata o:title=""/>
                  <o:lock v:ext="edit" aspectratio="f"/>
                  <v:textbox inset="0mm,0mm,0mm,0mm" style="layout-flow:vertical-ideographic;">
                    <w:txbxContent>
                      <w:p w14:paraId="668A6EE1">
                        <w:pPr>
                          <w:spacing w:before="20" w:line="93" w:lineRule="exact"/>
                          <w:ind w:left="20"/>
                          <w:rPr>
                            <w:rFonts w:ascii="宋体" w:hAnsi="宋体" w:eastAsia="宋体" w:cs="宋体"/>
                            <w:sz w:val="15"/>
                            <w:szCs w:val="15"/>
                          </w:rPr>
                        </w:pPr>
                        <w:r>
                          <w:rPr>
                            <w:rFonts w:ascii="宋体" w:hAnsi="宋体" w:eastAsia="宋体" w:cs="宋体"/>
                            <w:position w:val="-3"/>
                            <w:sz w:val="15"/>
                            <w:szCs w:val="15"/>
                          </w:rPr>
                          <w:t>×</w:t>
                        </w:r>
                      </w:p>
                    </w:txbxContent>
                  </v:textbox>
                </v:shape>
              </w:pict>
            </w:r>
            <w:r>
              <w:pict>
                <v:shape id="_x0000_s1066" o:spid="_x0000_s1066" o:spt="202" type="#_x0000_t202" style="position:absolute;left:0pt;margin-left:22.35pt;margin-top:487.55pt;height:9.5pt;width:6.7pt;mso-position-horizontal-relative:page;mso-position-vertical-relative:page;z-index:251702272;mso-width-relative:page;mso-height-relative:page;" filled="f" stroked="f" coordsize="21600,21600">
                  <v:path/>
                  <v:fill on="f" focussize="0,0"/>
                  <v:stroke on="f"/>
                  <v:imagedata o:title=""/>
                  <o:lock v:ext="edit" aspectratio="f"/>
                  <v:textbox inset="0mm,0mm,0mm,0mm" style="layout-flow:vertical-ideographic;">
                    <w:txbxContent>
                      <w:p w14:paraId="513B688C">
                        <w:pPr>
                          <w:spacing w:before="20" w:line="93" w:lineRule="exact"/>
                          <w:ind w:left="20"/>
                          <w:rPr>
                            <w:rFonts w:ascii="宋体" w:hAnsi="宋体" w:eastAsia="宋体" w:cs="宋体"/>
                            <w:sz w:val="15"/>
                            <w:szCs w:val="15"/>
                          </w:rPr>
                        </w:pPr>
                        <w:r>
                          <w:rPr>
                            <w:rFonts w:ascii="宋体" w:hAnsi="宋体" w:eastAsia="宋体" w:cs="宋体"/>
                            <w:position w:val="-3"/>
                            <w:sz w:val="15"/>
                            <w:szCs w:val="15"/>
                          </w:rPr>
                          <w:t>×</w:t>
                        </w:r>
                      </w:p>
                    </w:txbxContent>
                  </v:textbox>
                </v:shape>
              </w:pict>
            </w:r>
            <w:r>
              <w:pict>
                <v:shape id="_x0000_s1067" o:spid="_x0000_s1067" o:spt="202" type="#_x0000_t202" style="position:absolute;left:0pt;margin-left:22.35pt;margin-top:506.05pt;height:9.5pt;width:6.7pt;mso-position-horizontal-relative:page;mso-position-vertical-relative:page;z-index:251700224;mso-width-relative:page;mso-height-relative:page;" filled="f" stroked="f" coordsize="21600,21600">
                  <v:path/>
                  <v:fill on="f" focussize="0,0"/>
                  <v:stroke on="f"/>
                  <v:imagedata o:title=""/>
                  <o:lock v:ext="edit" aspectratio="f"/>
                  <v:textbox inset="0mm,0mm,0mm,0mm" style="layout-flow:vertical-ideographic;">
                    <w:txbxContent>
                      <w:p w14:paraId="201F1810">
                        <w:pPr>
                          <w:spacing w:before="20" w:line="93" w:lineRule="exact"/>
                          <w:ind w:left="20"/>
                          <w:rPr>
                            <w:rFonts w:ascii="宋体" w:hAnsi="宋体" w:eastAsia="宋体" w:cs="宋体"/>
                            <w:sz w:val="15"/>
                            <w:szCs w:val="15"/>
                          </w:rPr>
                        </w:pPr>
                        <w:r>
                          <w:rPr>
                            <w:rFonts w:ascii="宋体" w:hAnsi="宋体" w:eastAsia="宋体" w:cs="宋体"/>
                            <w:position w:val="-3"/>
                            <w:sz w:val="15"/>
                            <w:szCs w:val="15"/>
                          </w:rPr>
                          <w:t>×</w:t>
                        </w:r>
                      </w:p>
                    </w:txbxContent>
                  </v:textbox>
                </v:shape>
              </w:pict>
            </w:r>
            <w:r>
              <w:pict>
                <v:shape id="_x0000_s1068" o:spid="_x0000_s1068" o:spt="202" type="#_x0000_t202" style="position:absolute;left:0pt;margin-left:19.75pt;margin-top:524.05pt;height:9.5pt;width:9.35pt;mso-position-horizontal-relative:page;mso-position-vertical-relative:page;z-index:251701248;mso-width-relative:page;mso-height-relative:page;" filled="f" stroked="f" coordsize="21600,21600">
                  <v:path/>
                  <v:fill on="f" focussize="0,0"/>
                  <v:stroke on="f"/>
                  <v:imagedata o:title=""/>
                  <o:lock v:ext="edit" aspectratio="f"/>
                  <v:textbox inset="0mm,0mm,0mm,0mm" style="layout-flow:vertical-ideographic;">
                    <w:txbxContent>
                      <w:p w14:paraId="02CA1E78">
                        <w:pPr>
                          <w:spacing w:before="19" w:line="175" w:lineRule="auto"/>
                          <w:ind w:left="20"/>
                          <w:rPr>
                            <w:rFonts w:ascii="宋体" w:hAnsi="宋体" w:eastAsia="宋体" w:cs="宋体"/>
                            <w:sz w:val="15"/>
                            <w:szCs w:val="15"/>
                          </w:rPr>
                        </w:pPr>
                        <w:r>
                          <w:rPr>
                            <w:rFonts w:ascii="宋体" w:hAnsi="宋体" w:eastAsia="宋体" w:cs="宋体"/>
                            <w:sz w:val="15"/>
                            <w:szCs w:val="15"/>
                          </w:rPr>
                          <w:t>×</w:t>
                        </w:r>
                      </w:p>
                    </w:txbxContent>
                  </v:textbox>
                </v:shape>
              </w:pict>
            </w:r>
            <w:r>
              <w:rPr>
                <w:rFonts w:ascii="宋体" w:hAnsi="宋体" w:eastAsia="宋体" w:cs="宋体"/>
                <w:sz w:val="15"/>
                <w:szCs w:val="15"/>
              </w:rPr>
              <w:t>△</w:t>
            </w:r>
          </w:p>
          <w:p w14:paraId="0A740D6B">
            <w:pPr>
              <w:pStyle w:val="6"/>
              <w:spacing w:line="295" w:lineRule="auto"/>
            </w:pPr>
          </w:p>
          <w:p w14:paraId="38159694">
            <w:pPr>
              <w:pStyle w:val="6"/>
              <w:spacing w:line="295" w:lineRule="auto"/>
            </w:pPr>
          </w:p>
          <w:p w14:paraId="7ADFA3B9">
            <w:pPr>
              <w:pStyle w:val="6"/>
              <w:spacing w:line="295" w:lineRule="auto"/>
            </w:pPr>
          </w:p>
          <w:p w14:paraId="5729CB39">
            <w:pPr>
              <w:pStyle w:val="6"/>
              <w:spacing w:line="296" w:lineRule="auto"/>
            </w:pPr>
          </w:p>
          <w:p w14:paraId="76FDB009">
            <w:pPr>
              <w:spacing w:before="49" w:line="238" w:lineRule="auto"/>
              <w:ind w:left="434"/>
              <w:rPr>
                <w:rFonts w:ascii="宋体" w:hAnsi="宋体" w:eastAsia="宋体" w:cs="宋体"/>
                <w:sz w:val="15"/>
                <w:szCs w:val="15"/>
              </w:rPr>
            </w:pPr>
            <w:r>
              <w:rPr>
                <w:rFonts w:ascii="宋体" w:hAnsi="宋体" w:eastAsia="宋体" w:cs="宋体"/>
                <w:sz w:val="15"/>
                <w:szCs w:val="15"/>
              </w:rPr>
              <w:t>√</w:t>
            </w:r>
          </w:p>
          <w:p w14:paraId="45B6E80F">
            <w:pPr>
              <w:spacing w:before="186" w:line="238" w:lineRule="auto"/>
              <w:ind w:left="434"/>
              <w:rPr>
                <w:rFonts w:ascii="宋体" w:hAnsi="宋体" w:eastAsia="宋体" w:cs="宋体"/>
                <w:sz w:val="15"/>
                <w:szCs w:val="15"/>
              </w:rPr>
            </w:pPr>
            <w:r>
              <w:rPr>
                <w:rFonts w:ascii="宋体" w:hAnsi="宋体" w:eastAsia="宋体" w:cs="宋体"/>
                <w:sz w:val="15"/>
                <w:szCs w:val="15"/>
              </w:rPr>
              <w:t>√</w:t>
            </w:r>
          </w:p>
          <w:p w14:paraId="46DAF6DB">
            <w:pPr>
              <w:spacing w:before="166" w:line="238" w:lineRule="auto"/>
              <w:ind w:left="434"/>
              <w:rPr>
                <w:rFonts w:ascii="宋体" w:hAnsi="宋体" w:eastAsia="宋体" w:cs="宋体"/>
                <w:sz w:val="15"/>
                <w:szCs w:val="15"/>
              </w:rPr>
            </w:pPr>
            <w:r>
              <w:rPr>
                <w:rFonts w:ascii="宋体" w:hAnsi="宋体" w:eastAsia="宋体" w:cs="宋体"/>
                <w:sz w:val="15"/>
                <w:szCs w:val="15"/>
              </w:rPr>
              <w:t>√</w:t>
            </w:r>
          </w:p>
          <w:p w14:paraId="28EA4D83">
            <w:pPr>
              <w:spacing w:before="167" w:line="238" w:lineRule="auto"/>
              <w:ind w:left="434"/>
              <w:rPr>
                <w:rFonts w:ascii="宋体" w:hAnsi="宋体" w:eastAsia="宋体" w:cs="宋体"/>
                <w:sz w:val="15"/>
                <w:szCs w:val="15"/>
              </w:rPr>
            </w:pPr>
            <w:r>
              <w:rPr>
                <w:rFonts w:ascii="宋体" w:hAnsi="宋体" w:eastAsia="宋体" w:cs="宋体"/>
                <w:sz w:val="15"/>
                <w:szCs w:val="15"/>
              </w:rPr>
              <w:t>√</w:t>
            </w:r>
          </w:p>
          <w:p w14:paraId="31960DC5">
            <w:pPr>
              <w:spacing w:before="176" w:line="238" w:lineRule="auto"/>
              <w:ind w:left="434"/>
              <w:rPr>
                <w:rFonts w:ascii="宋体" w:hAnsi="宋体" w:eastAsia="宋体" w:cs="宋体"/>
                <w:sz w:val="15"/>
                <w:szCs w:val="15"/>
              </w:rPr>
            </w:pPr>
            <w:r>
              <w:rPr>
                <w:rFonts w:ascii="宋体" w:hAnsi="宋体" w:eastAsia="宋体" w:cs="宋体"/>
                <w:sz w:val="15"/>
                <w:szCs w:val="15"/>
              </w:rPr>
              <w:t>√</w:t>
            </w:r>
          </w:p>
          <w:p w14:paraId="3AF05591">
            <w:pPr>
              <w:spacing w:before="167" w:line="237" w:lineRule="auto"/>
              <w:ind w:left="434"/>
              <w:rPr>
                <w:rFonts w:ascii="宋体" w:hAnsi="宋体" w:eastAsia="宋体" w:cs="宋体"/>
                <w:sz w:val="15"/>
                <w:szCs w:val="15"/>
              </w:rPr>
            </w:pPr>
            <w:r>
              <w:rPr>
                <w:rFonts w:ascii="宋体" w:hAnsi="宋体" w:eastAsia="宋体" w:cs="宋体"/>
                <w:sz w:val="15"/>
                <w:szCs w:val="15"/>
              </w:rPr>
              <w:t>△</w:t>
            </w:r>
          </w:p>
          <w:p w14:paraId="5AD5DA38">
            <w:pPr>
              <w:spacing w:before="167" w:line="238" w:lineRule="auto"/>
              <w:ind w:left="434"/>
              <w:rPr>
                <w:rFonts w:ascii="宋体" w:hAnsi="宋体" w:eastAsia="宋体" w:cs="宋体"/>
                <w:sz w:val="15"/>
                <w:szCs w:val="15"/>
              </w:rPr>
            </w:pPr>
            <w:r>
              <w:rPr>
                <w:rFonts w:ascii="宋体" w:hAnsi="宋体" w:eastAsia="宋体" w:cs="宋体"/>
                <w:sz w:val="15"/>
                <w:szCs w:val="15"/>
              </w:rPr>
              <w:t>√</w:t>
            </w:r>
          </w:p>
          <w:p w14:paraId="68E46C42">
            <w:pPr>
              <w:spacing w:before="157" w:line="238" w:lineRule="auto"/>
              <w:ind w:left="434"/>
              <w:rPr>
                <w:rFonts w:ascii="宋体" w:hAnsi="宋体" w:eastAsia="宋体" w:cs="宋体"/>
                <w:sz w:val="15"/>
                <w:szCs w:val="15"/>
              </w:rPr>
            </w:pPr>
            <w:r>
              <w:rPr>
                <w:rFonts w:ascii="宋体" w:hAnsi="宋体" w:eastAsia="宋体" w:cs="宋体"/>
                <w:sz w:val="15"/>
                <w:szCs w:val="15"/>
              </w:rPr>
              <w:t>√</w:t>
            </w:r>
          </w:p>
          <w:p w14:paraId="085E17BF">
            <w:pPr>
              <w:spacing w:before="167" w:line="238" w:lineRule="auto"/>
              <w:ind w:left="434"/>
              <w:rPr>
                <w:rFonts w:ascii="宋体" w:hAnsi="宋体" w:eastAsia="宋体" w:cs="宋体"/>
                <w:sz w:val="15"/>
                <w:szCs w:val="15"/>
              </w:rPr>
            </w:pPr>
            <w:r>
              <w:rPr>
                <w:rFonts w:ascii="宋体" w:hAnsi="宋体" w:eastAsia="宋体" w:cs="宋体"/>
                <w:sz w:val="15"/>
                <w:szCs w:val="15"/>
              </w:rPr>
              <w:t>√</w:t>
            </w:r>
          </w:p>
          <w:p w14:paraId="7AEB69AF">
            <w:pPr>
              <w:spacing w:before="166" w:line="238" w:lineRule="auto"/>
              <w:ind w:left="434"/>
              <w:rPr>
                <w:rFonts w:ascii="宋体" w:hAnsi="宋体" w:eastAsia="宋体" w:cs="宋体"/>
                <w:sz w:val="15"/>
                <w:szCs w:val="15"/>
              </w:rPr>
            </w:pPr>
            <w:r>
              <w:rPr>
                <w:rFonts w:ascii="宋体" w:hAnsi="宋体" w:eastAsia="宋体" w:cs="宋体"/>
                <w:sz w:val="15"/>
                <w:szCs w:val="15"/>
              </w:rPr>
              <w:t>√</w:t>
            </w:r>
          </w:p>
          <w:p w14:paraId="51BF985D">
            <w:pPr>
              <w:spacing w:before="177" w:line="238" w:lineRule="auto"/>
              <w:ind w:left="434"/>
              <w:rPr>
                <w:rFonts w:ascii="宋体" w:hAnsi="宋体" w:eastAsia="宋体" w:cs="宋体"/>
                <w:sz w:val="15"/>
                <w:szCs w:val="15"/>
              </w:rPr>
            </w:pPr>
            <w:r>
              <w:rPr>
                <w:rFonts w:ascii="宋体" w:hAnsi="宋体" w:eastAsia="宋体" w:cs="宋体"/>
                <w:sz w:val="15"/>
                <w:szCs w:val="15"/>
              </w:rPr>
              <w:t>√</w:t>
            </w:r>
          </w:p>
          <w:p w14:paraId="7E045EFF">
            <w:pPr>
              <w:spacing w:before="166" w:line="238" w:lineRule="auto"/>
              <w:ind w:left="434"/>
              <w:rPr>
                <w:rFonts w:ascii="宋体" w:hAnsi="宋体" w:eastAsia="宋体" w:cs="宋体"/>
                <w:sz w:val="15"/>
                <w:szCs w:val="15"/>
              </w:rPr>
            </w:pPr>
            <w:r>
              <w:rPr>
                <w:rFonts w:ascii="宋体" w:hAnsi="宋体" w:eastAsia="宋体" w:cs="宋体"/>
                <w:sz w:val="15"/>
                <w:szCs w:val="15"/>
              </w:rPr>
              <w:t>√</w:t>
            </w:r>
          </w:p>
          <w:p w14:paraId="03CD144B">
            <w:pPr>
              <w:pStyle w:val="6"/>
              <w:spacing w:line="247" w:lineRule="auto"/>
            </w:pPr>
          </w:p>
          <w:p w14:paraId="4D909E54">
            <w:pPr>
              <w:pStyle w:val="6"/>
              <w:spacing w:line="247" w:lineRule="auto"/>
            </w:pPr>
          </w:p>
          <w:p w14:paraId="6FA4B6CA">
            <w:pPr>
              <w:spacing w:before="50" w:line="201" w:lineRule="exact"/>
              <w:ind w:left="434"/>
              <w:rPr>
                <w:rFonts w:ascii="宋体" w:hAnsi="宋体" w:eastAsia="宋体" w:cs="宋体"/>
                <w:sz w:val="15"/>
                <w:szCs w:val="15"/>
              </w:rPr>
            </w:pPr>
            <w:r>
              <w:rPr>
                <w:rFonts w:ascii="宋体" w:hAnsi="宋体" w:eastAsia="宋体" w:cs="宋体"/>
                <w:position w:val="1"/>
                <w:sz w:val="15"/>
                <w:szCs w:val="15"/>
              </w:rPr>
              <w:t>×</w:t>
            </w:r>
          </w:p>
          <w:p w14:paraId="4BF9FA7B">
            <w:pPr>
              <w:pStyle w:val="6"/>
              <w:spacing w:line="275" w:lineRule="auto"/>
            </w:pPr>
          </w:p>
          <w:p w14:paraId="5B668F83">
            <w:pPr>
              <w:pStyle w:val="6"/>
              <w:spacing w:line="275" w:lineRule="auto"/>
            </w:pPr>
          </w:p>
          <w:p w14:paraId="6BBEF90D">
            <w:pPr>
              <w:pStyle w:val="6"/>
              <w:spacing w:line="275" w:lineRule="auto"/>
            </w:pPr>
          </w:p>
          <w:p w14:paraId="4F9282D9">
            <w:pPr>
              <w:spacing w:before="49" w:line="201" w:lineRule="exact"/>
              <w:ind w:left="434"/>
              <w:rPr>
                <w:rFonts w:ascii="宋体" w:hAnsi="宋体" w:eastAsia="宋体" w:cs="宋体"/>
                <w:sz w:val="15"/>
                <w:szCs w:val="15"/>
              </w:rPr>
            </w:pPr>
            <w:r>
              <w:rPr>
                <w:rFonts w:ascii="宋体" w:hAnsi="宋体" w:eastAsia="宋体" w:cs="宋体"/>
                <w:position w:val="1"/>
                <w:sz w:val="15"/>
                <w:szCs w:val="15"/>
              </w:rPr>
              <w:t>×</w:t>
            </w:r>
          </w:p>
          <w:p w14:paraId="51B85E72">
            <w:pPr>
              <w:pStyle w:val="6"/>
              <w:spacing w:line="278" w:lineRule="auto"/>
            </w:pPr>
          </w:p>
          <w:p w14:paraId="214A6171">
            <w:pPr>
              <w:pStyle w:val="6"/>
              <w:spacing w:line="278" w:lineRule="auto"/>
            </w:pPr>
          </w:p>
          <w:p w14:paraId="28D6CAE7">
            <w:pPr>
              <w:pStyle w:val="6"/>
              <w:spacing w:line="279" w:lineRule="auto"/>
            </w:pPr>
          </w:p>
          <w:p w14:paraId="6BEF9226">
            <w:pPr>
              <w:spacing w:before="49" w:line="201" w:lineRule="exact"/>
              <w:ind w:left="434"/>
              <w:rPr>
                <w:rFonts w:ascii="宋体" w:hAnsi="宋体" w:eastAsia="宋体" w:cs="宋体"/>
                <w:sz w:val="15"/>
                <w:szCs w:val="15"/>
              </w:rPr>
            </w:pPr>
            <w:r>
              <w:rPr>
                <w:rFonts w:ascii="宋体" w:hAnsi="宋体" w:eastAsia="宋体" w:cs="宋体"/>
                <w:position w:val="1"/>
                <w:sz w:val="15"/>
                <w:szCs w:val="15"/>
              </w:rPr>
              <w:t>×</w:t>
            </w:r>
          </w:p>
          <w:p w14:paraId="27876CA5">
            <w:pPr>
              <w:pStyle w:val="6"/>
              <w:spacing w:line="477" w:lineRule="auto"/>
            </w:pPr>
          </w:p>
          <w:p w14:paraId="08B34DF4">
            <w:pPr>
              <w:spacing w:before="49" w:line="201" w:lineRule="exact"/>
              <w:ind w:left="434"/>
              <w:rPr>
                <w:rFonts w:ascii="宋体" w:hAnsi="宋体" w:eastAsia="宋体" w:cs="宋体"/>
                <w:sz w:val="15"/>
                <w:szCs w:val="15"/>
              </w:rPr>
            </w:pPr>
            <w:r>
              <w:rPr>
                <w:rFonts w:ascii="宋体" w:hAnsi="宋体" w:eastAsia="宋体" w:cs="宋体"/>
                <w:position w:val="1"/>
                <w:sz w:val="15"/>
                <w:szCs w:val="15"/>
              </w:rPr>
              <w:t>×</w:t>
            </w:r>
          </w:p>
          <w:p w14:paraId="35DBD611">
            <w:pPr>
              <w:spacing w:before="149" w:line="201" w:lineRule="exact"/>
              <w:ind w:left="434"/>
              <w:rPr>
                <w:rFonts w:ascii="宋体" w:hAnsi="宋体" w:eastAsia="宋体" w:cs="宋体"/>
                <w:sz w:val="15"/>
                <w:szCs w:val="15"/>
              </w:rPr>
            </w:pPr>
            <w:r>
              <w:rPr>
                <w:rFonts w:ascii="宋体" w:hAnsi="宋体" w:eastAsia="宋体" w:cs="宋体"/>
                <w:position w:val="1"/>
                <w:sz w:val="15"/>
                <w:szCs w:val="15"/>
              </w:rPr>
              <w:t>×</w:t>
            </w:r>
          </w:p>
          <w:p w14:paraId="5A5F7EAB">
            <w:pPr>
              <w:pStyle w:val="6"/>
              <w:spacing w:line="298" w:lineRule="auto"/>
            </w:pPr>
          </w:p>
          <w:p w14:paraId="24C9AD62">
            <w:pPr>
              <w:pStyle w:val="6"/>
              <w:spacing w:line="298" w:lineRule="auto"/>
            </w:pPr>
          </w:p>
          <w:p w14:paraId="369695CC">
            <w:pPr>
              <w:pStyle w:val="6"/>
              <w:spacing w:line="298" w:lineRule="auto"/>
            </w:pPr>
          </w:p>
          <w:p w14:paraId="414D739F">
            <w:pPr>
              <w:pStyle w:val="6"/>
              <w:spacing w:line="298" w:lineRule="auto"/>
            </w:pPr>
          </w:p>
          <w:p w14:paraId="7E84D383">
            <w:pPr>
              <w:spacing w:before="50" w:line="238" w:lineRule="auto"/>
              <w:ind w:left="434"/>
              <w:rPr>
                <w:rFonts w:ascii="宋体" w:hAnsi="宋体" w:eastAsia="宋体" w:cs="宋体"/>
                <w:sz w:val="15"/>
                <w:szCs w:val="15"/>
              </w:rPr>
            </w:pPr>
            <w:r>
              <w:rPr>
                <w:rFonts w:ascii="宋体" w:hAnsi="宋体" w:eastAsia="宋体" w:cs="宋体"/>
                <w:sz w:val="15"/>
                <w:szCs w:val="15"/>
              </w:rPr>
              <w:t>√</w:t>
            </w:r>
          </w:p>
          <w:p w14:paraId="5487E072">
            <w:pPr>
              <w:spacing w:before="176" w:line="238" w:lineRule="auto"/>
              <w:ind w:left="434"/>
              <w:rPr>
                <w:rFonts w:ascii="宋体" w:hAnsi="宋体" w:eastAsia="宋体" w:cs="宋体"/>
                <w:sz w:val="15"/>
                <w:szCs w:val="15"/>
              </w:rPr>
            </w:pPr>
            <w:r>
              <w:rPr>
                <w:rFonts w:ascii="宋体" w:hAnsi="宋体" w:eastAsia="宋体" w:cs="宋体"/>
                <w:sz w:val="15"/>
                <w:szCs w:val="15"/>
              </w:rPr>
              <w:t>√</w:t>
            </w:r>
          </w:p>
          <w:p w14:paraId="2395F15E">
            <w:pPr>
              <w:spacing w:before="177" w:line="201" w:lineRule="exact"/>
              <w:ind w:left="434"/>
              <w:rPr>
                <w:rFonts w:ascii="宋体" w:hAnsi="宋体" w:eastAsia="宋体" w:cs="宋体"/>
                <w:sz w:val="15"/>
                <w:szCs w:val="15"/>
              </w:rPr>
            </w:pPr>
            <w:r>
              <w:rPr>
                <w:rFonts w:ascii="宋体" w:hAnsi="宋体" w:eastAsia="宋体" w:cs="宋体"/>
                <w:position w:val="1"/>
                <w:sz w:val="15"/>
                <w:szCs w:val="15"/>
              </w:rPr>
              <w:t>×</w:t>
            </w:r>
          </w:p>
        </w:tc>
        <w:tc>
          <w:tcPr>
            <w:tcW w:w="1049" w:type="dxa"/>
            <w:vAlign w:val="top"/>
          </w:tcPr>
          <w:p w14:paraId="0B00A63C">
            <w:pPr>
              <w:spacing w:before="121" w:line="237" w:lineRule="auto"/>
              <w:ind w:left="445"/>
              <w:rPr>
                <w:rFonts w:ascii="宋体" w:hAnsi="宋体" w:eastAsia="宋体" w:cs="宋体"/>
                <w:sz w:val="15"/>
                <w:szCs w:val="15"/>
              </w:rPr>
            </w:pPr>
            <w:r>
              <w:pict>
                <v:shape id="_x0000_s1069" o:spid="_x0000_s1069" o:spt="202" type="#_x0000_t202" style="position:absolute;left:0pt;margin-left:22.1pt;margin-top:289.7pt;height:9.5pt;width:8.4pt;mso-position-horizontal-relative:page;mso-position-vertical-relative:page;z-index:251696128;mso-width-relative:page;mso-height-relative:page;" filled="f" stroked="f" coordsize="21600,21600">
                  <v:path/>
                  <v:fill on="f" focussize="0,0"/>
                  <v:stroke on="f"/>
                  <v:imagedata o:title=""/>
                  <o:lock v:ext="edit" aspectratio="f"/>
                  <v:textbox inset="0mm,0mm,0mm,0mm" style="layout-flow:vertical-ideographic;">
                    <w:txbxContent>
                      <w:p w14:paraId="422456E8">
                        <w:pPr>
                          <w:spacing w:before="20" w:line="127" w:lineRule="exact"/>
                          <w:ind w:left="20"/>
                          <w:rPr>
                            <w:rFonts w:ascii="宋体" w:hAnsi="宋体" w:eastAsia="宋体" w:cs="宋体"/>
                            <w:sz w:val="15"/>
                            <w:szCs w:val="15"/>
                          </w:rPr>
                        </w:pPr>
                        <w:r>
                          <w:rPr>
                            <w:rFonts w:ascii="宋体" w:hAnsi="宋体" w:eastAsia="宋体" w:cs="宋体"/>
                            <w:position w:val="-2"/>
                            <w:sz w:val="15"/>
                            <w:szCs w:val="15"/>
                          </w:rPr>
                          <w:t>△</w:t>
                        </w:r>
                      </w:p>
                    </w:txbxContent>
                  </v:textbox>
                </v:shape>
              </w:pict>
            </w:r>
            <w:r>
              <w:pict>
                <v:shape id="_x0000_s1070" o:spid="_x0000_s1070" o:spt="202" type="#_x0000_t202" style="position:absolute;left:0pt;margin-left:22.1pt;margin-top:325.7pt;height:9.5pt;width:8.4pt;mso-position-horizontal-relative:page;mso-position-vertical-relative:page;z-index:251708416;mso-width-relative:page;mso-height-relative:page;" filled="f" stroked="f" coordsize="21600,21600">
                  <v:path/>
                  <v:fill on="f" focussize="0,0"/>
                  <v:stroke on="f"/>
                  <v:imagedata o:title=""/>
                  <o:lock v:ext="edit" aspectratio="f"/>
                  <v:textbox inset="0mm,0mm,0mm,0mm" style="layout-flow:vertical-ideographic;">
                    <w:txbxContent>
                      <w:p w14:paraId="01DD6F48">
                        <w:pPr>
                          <w:spacing w:before="20" w:line="127" w:lineRule="exact"/>
                          <w:ind w:left="20"/>
                          <w:rPr>
                            <w:rFonts w:ascii="宋体" w:hAnsi="宋体" w:eastAsia="宋体" w:cs="宋体"/>
                            <w:sz w:val="15"/>
                            <w:szCs w:val="15"/>
                          </w:rPr>
                        </w:pPr>
                        <w:r>
                          <w:rPr>
                            <w:rFonts w:ascii="宋体" w:hAnsi="宋体" w:eastAsia="宋体" w:cs="宋体"/>
                            <w:position w:val="-2"/>
                            <w:sz w:val="15"/>
                            <w:szCs w:val="15"/>
                          </w:rPr>
                          <w:t>△</w:t>
                        </w:r>
                      </w:p>
                    </w:txbxContent>
                  </v:textbox>
                </v:shape>
              </w:pict>
            </w:r>
            <w:r>
              <w:pict>
                <v:shape id="_x0000_s1071" o:spid="_x0000_s1071" o:spt="202" type="#_x0000_t202" style="position:absolute;left:0pt;margin-left:22.1pt;margin-top:343.7pt;height:9.5pt;width:8.4pt;mso-position-horizontal-relative:page;mso-position-vertical-relative:page;z-index:251704320;mso-width-relative:page;mso-height-relative:page;" filled="f" stroked="f" coordsize="21600,21600">
                  <v:path/>
                  <v:fill on="f" focussize="0,0"/>
                  <v:stroke on="f"/>
                  <v:imagedata o:title=""/>
                  <o:lock v:ext="edit" aspectratio="f"/>
                  <v:textbox inset="0mm,0mm,0mm,0mm" style="layout-flow:vertical-ideographic;">
                    <w:txbxContent>
                      <w:p w14:paraId="77364E36">
                        <w:pPr>
                          <w:spacing w:before="20" w:line="127" w:lineRule="exact"/>
                          <w:ind w:left="20"/>
                          <w:rPr>
                            <w:rFonts w:ascii="宋体" w:hAnsi="宋体" w:eastAsia="宋体" w:cs="宋体"/>
                            <w:sz w:val="15"/>
                            <w:szCs w:val="15"/>
                          </w:rPr>
                        </w:pPr>
                        <w:r>
                          <w:rPr>
                            <w:rFonts w:ascii="宋体" w:hAnsi="宋体" w:eastAsia="宋体" w:cs="宋体"/>
                            <w:position w:val="-2"/>
                            <w:sz w:val="15"/>
                            <w:szCs w:val="15"/>
                          </w:rPr>
                          <w:t>△</w:t>
                        </w:r>
                      </w:p>
                    </w:txbxContent>
                  </v:textbox>
                </v:shape>
              </w:pict>
            </w:r>
            <w:r>
              <w:pict>
                <v:shape id="_x0000_s1072" o:spid="_x0000_s1072" o:spt="202" type="#_x0000_t202" style="position:absolute;left:0pt;margin-left:20.3pt;margin-top:506.05pt;height:9.5pt;width:9.35pt;mso-position-horizontal-relative:page;mso-position-vertical-relative:page;z-index:251698176;mso-width-relative:page;mso-height-relative:page;" filled="f" stroked="f" coordsize="21600,21600">
                  <v:path/>
                  <v:fill on="f" focussize="0,0"/>
                  <v:stroke on="f"/>
                  <v:imagedata o:title=""/>
                  <o:lock v:ext="edit" aspectratio="f"/>
                  <v:textbox inset="0mm,0mm,0mm,0mm" style="layout-flow:vertical-ideographic;">
                    <w:txbxContent>
                      <w:p w14:paraId="3CCCCE73">
                        <w:pPr>
                          <w:spacing w:before="19" w:line="175" w:lineRule="auto"/>
                          <w:ind w:left="20"/>
                          <w:rPr>
                            <w:rFonts w:ascii="宋体" w:hAnsi="宋体" w:eastAsia="宋体" w:cs="宋体"/>
                            <w:sz w:val="15"/>
                            <w:szCs w:val="15"/>
                          </w:rPr>
                        </w:pPr>
                        <w:r>
                          <w:rPr>
                            <w:rFonts w:ascii="宋体" w:hAnsi="宋体" w:eastAsia="宋体" w:cs="宋体"/>
                            <w:sz w:val="15"/>
                            <w:szCs w:val="15"/>
                          </w:rPr>
                          <w:t>×</w:t>
                        </w:r>
                      </w:p>
                    </w:txbxContent>
                  </v:textbox>
                </v:shape>
              </w:pict>
            </w:r>
            <w:r>
              <w:rPr>
                <w:rFonts w:ascii="宋体" w:hAnsi="宋体" w:eastAsia="宋体" w:cs="宋体"/>
                <w:sz w:val="15"/>
                <w:szCs w:val="15"/>
              </w:rPr>
              <w:t>△</w:t>
            </w:r>
          </w:p>
          <w:p w14:paraId="22DC7F33">
            <w:pPr>
              <w:pStyle w:val="6"/>
              <w:spacing w:line="259" w:lineRule="auto"/>
            </w:pPr>
          </w:p>
          <w:p w14:paraId="655A11D0">
            <w:pPr>
              <w:pStyle w:val="6"/>
              <w:spacing w:line="260" w:lineRule="auto"/>
            </w:pPr>
          </w:p>
          <w:p w14:paraId="7D99103F">
            <w:pPr>
              <w:pStyle w:val="6"/>
              <w:spacing w:line="260" w:lineRule="auto"/>
            </w:pPr>
          </w:p>
          <w:p w14:paraId="78B557EE">
            <w:pPr>
              <w:pStyle w:val="6"/>
              <w:spacing w:line="260" w:lineRule="auto"/>
            </w:pPr>
          </w:p>
          <w:p w14:paraId="5E03D305">
            <w:pPr>
              <w:pStyle w:val="6"/>
              <w:spacing w:line="260" w:lineRule="auto"/>
            </w:pPr>
          </w:p>
          <w:p w14:paraId="00B129AA">
            <w:pPr>
              <w:pStyle w:val="6"/>
              <w:spacing w:line="260" w:lineRule="auto"/>
            </w:pPr>
          </w:p>
          <w:p w14:paraId="0F056EE5">
            <w:pPr>
              <w:spacing w:before="49" w:line="238" w:lineRule="auto"/>
              <w:ind w:left="445"/>
              <w:rPr>
                <w:rFonts w:ascii="宋体" w:hAnsi="宋体" w:eastAsia="宋体" w:cs="宋体"/>
                <w:sz w:val="15"/>
                <w:szCs w:val="15"/>
              </w:rPr>
            </w:pPr>
            <w:r>
              <w:rPr>
                <w:rFonts w:ascii="宋体" w:hAnsi="宋体" w:eastAsia="宋体" w:cs="宋体"/>
                <w:sz w:val="15"/>
                <w:szCs w:val="15"/>
              </w:rPr>
              <w:t>√</w:t>
            </w:r>
          </w:p>
          <w:p w14:paraId="3C29FF32">
            <w:pPr>
              <w:spacing w:before="166" w:line="238" w:lineRule="auto"/>
              <w:ind w:left="445"/>
              <w:rPr>
                <w:rFonts w:ascii="宋体" w:hAnsi="宋体" w:eastAsia="宋体" w:cs="宋体"/>
                <w:sz w:val="15"/>
                <w:szCs w:val="15"/>
              </w:rPr>
            </w:pPr>
            <w:r>
              <w:rPr>
                <w:rFonts w:ascii="宋体" w:hAnsi="宋体" w:eastAsia="宋体" w:cs="宋体"/>
                <w:sz w:val="15"/>
                <w:szCs w:val="15"/>
              </w:rPr>
              <w:t>√</w:t>
            </w:r>
          </w:p>
          <w:p w14:paraId="3DD911FD">
            <w:pPr>
              <w:spacing w:before="166" w:line="238" w:lineRule="auto"/>
              <w:ind w:left="445"/>
              <w:rPr>
                <w:rFonts w:ascii="宋体" w:hAnsi="宋体" w:eastAsia="宋体" w:cs="宋体"/>
                <w:sz w:val="15"/>
                <w:szCs w:val="15"/>
              </w:rPr>
            </w:pPr>
            <w:r>
              <w:rPr>
                <w:rFonts w:ascii="宋体" w:hAnsi="宋体" w:eastAsia="宋体" w:cs="宋体"/>
                <w:sz w:val="15"/>
                <w:szCs w:val="15"/>
              </w:rPr>
              <w:t>√</w:t>
            </w:r>
          </w:p>
          <w:p w14:paraId="0A4FAF92">
            <w:pPr>
              <w:spacing w:before="176" w:line="238" w:lineRule="auto"/>
              <w:ind w:left="445"/>
              <w:rPr>
                <w:rFonts w:ascii="宋体" w:hAnsi="宋体" w:eastAsia="宋体" w:cs="宋体"/>
                <w:sz w:val="15"/>
                <w:szCs w:val="15"/>
              </w:rPr>
            </w:pPr>
            <w:r>
              <w:rPr>
                <w:rFonts w:ascii="宋体" w:hAnsi="宋体" w:eastAsia="宋体" w:cs="宋体"/>
                <w:sz w:val="15"/>
                <w:szCs w:val="15"/>
              </w:rPr>
              <w:t>√</w:t>
            </w:r>
          </w:p>
          <w:p w14:paraId="7B8A0109">
            <w:pPr>
              <w:spacing w:before="167" w:line="238" w:lineRule="auto"/>
              <w:ind w:left="445"/>
              <w:rPr>
                <w:rFonts w:ascii="宋体" w:hAnsi="宋体" w:eastAsia="宋体" w:cs="宋体"/>
                <w:sz w:val="15"/>
                <w:szCs w:val="15"/>
              </w:rPr>
            </w:pPr>
            <w:r>
              <w:rPr>
                <w:rFonts w:ascii="宋体" w:hAnsi="宋体" w:eastAsia="宋体" w:cs="宋体"/>
                <w:sz w:val="15"/>
                <w:szCs w:val="15"/>
              </w:rPr>
              <w:t>√</w:t>
            </w:r>
          </w:p>
          <w:p w14:paraId="379A4729">
            <w:pPr>
              <w:spacing w:before="167" w:line="238" w:lineRule="auto"/>
              <w:ind w:left="445"/>
              <w:rPr>
                <w:rFonts w:ascii="宋体" w:hAnsi="宋体" w:eastAsia="宋体" w:cs="宋体"/>
                <w:sz w:val="15"/>
                <w:szCs w:val="15"/>
              </w:rPr>
            </w:pPr>
            <w:r>
              <w:rPr>
                <w:rFonts w:ascii="宋体" w:hAnsi="宋体" w:eastAsia="宋体" w:cs="宋体"/>
                <w:sz w:val="15"/>
                <w:szCs w:val="15"/>
              </w:rPr>
              <w:t>√</w:t>
            </w:r>
          </w:p>
          <w:p w14:paraId="565FB575">
            <w:pPr>
              <w:spacing w:before="156" w:line="238" w:lineRule="auto"/>
              <w:ind w:left="445"/>
              <w:rPr>
                <w:rFonts w:ascii="宋体" w:hAnsi="宋体" w:eastAsia="宋体" w:cs="宋体"/>
                <w:sz w:val="15"/>
                <w:szCs w:val="15"/>
              </w:rPr>
            </w:pPr>
            <w:r>
              <w:rPr>
                <w:rFonts w:ascii="宋体" w:hAnsi="宋体" w:eastAsia="宋体" w:cs="宋体"/>
                <w:sz w:val="15"/>
                <w:szCs w:val="15"/>
              </w:rPr>
              <w:t>√</w:t>
            </w:r>
          </w:p>
          <w:p w14:paraId="047E826D">
            <w:pPr>
              <w:spacing w:before="167" w:line="238" w:lineRule="auto"/>
              <w:ind w:left="445"/>
              <w:rPr>
                <w:rFonts w:ascii="宋体" w:hAnsi="宋体" w:eastAsia="宋体" w:cs="宋体"/>
                <w:sz w:val="15"/>
                <w:szCs w:val="15"/>
              </w:rPr>
            </w:pPr>
            <w:r>
              <w:rPr>
                <w:rFonts w:ascii="宋体" w:hAnsi="宋体" w:eastAsia="宋体" w:cs="宋体"/>
                <w:sz w:val="15"/>
                <w:szCs w:val="15"/>
              </w:rPr>
              <w:t>√</w:t>
            </w:r>
          </w:p>
          <w:p w14:paraId="1C3ED69D">
            <w:pPr>
              <w:spacing w:before="167" w:line="238" w:lineRule="auto"/>
              <w:ind w:left="445"/>
              <w:rPr>
                <w:rFonts w:ascii="宋体" w:hAnsi="宋体" w:eastAsia="宋体" w:cs="宋体"/>
                <w:sz w:val="15"/>
                <w:szCs w:val="15"/>
              </w:rPr>
            </w:pPr>
            <w:r>
              <w:rPr>
                <w:rFonts w:ascii="宋体" w:hAnsi="宋体" w:eastAsia="宋体" w:cs="宋体"/>
                <w:sz w:val="15"/>
                <w:szCs w:val="15"/>
              </w:rPr>
              <w:t>√</w:t>
            </w:r>
          </w:p>
          <w:p w14:paraId="51E7DD1F">
            <w:pPr>
              <w:spacing w:before="176" w:line="238" w:lineRule="auto"/>
              <w:ind w:left="445"/>
              <w:rPr>
                <w:rFonts w:ascii="宋体" w:hAnsi="宋体" w:eastAsia="宋体" w:cs="宋体"/>
                <w:sz w:val="15"/>
                <w:szCs w:val="15"/>
              </w:rPr>
            </w:pPr>
            <w:r>
              <w:rPr>
                <w:rFonts w:ascii="宋体" w:hAnsi="宋体" w:eastAsia="宋体" w:cs="宋体"/>
                <w:sz w:val="15"/>
                <w:szCs w:val="15"/>
              </w:rPr>
              <w:t>√</w:t>
            </w:r>
          </w:p>
          <w:p w14:paraId="2794110A">
            <w:pPr>
              <w:spacing w:before="167" w:line="238" w:lineRule="auto"/>
              <w:ind w:left="445"/>
              <w:rPr>
                <w:rFonts w:ascii="宋体" w:hAnsi="宋体" w:eastAsia="宋体" w:cs="宋体"/>
                <w:sz w:val="15"/>
                <w:szCs w:val="15"/>
              </w:rPr>
            </w:pPr>
            <w:r>
              <w:rPr>
                <w:rFonts w:ascii="宋体" w:hAnsi="宋体" w:eastAsia="宋体" w:cs="宋体"/>
                <w:sz w:val="15"/>
                <w:szCs w:val="15"/>
              </w:rPr>
              <w:t>√</w:t>
            </w:r>
          </w:p>
          <w:p w14:paraId="49D5B2CB">
            <w:pPr>
              <w:pStyle w:val="6"/>
              <w:spacing w:line="247" w:lineRule="auto"/>
            </w:pPr>
          </w:p>
          <w:p w14:paraId="3DEE893D">
            <w:pPr>
              <w:pStyle w:val="6"/>
              <w:spacing w:line="247" w:lineRule="auto"/>
            </w:pPr>
          </w:p>
          <w:p w14:paraId="2AB832E0">
            <w:pPr>
              <w:spacing w:before="49" w:line="237" w:lineRule="auto"/>
              <w:ind w:left="445"/>
              <w:rPr>
                <w:rFonts w:ascii="宋体" w:hAnsi="宋体" w:eastAsia="宋体" w:cs="宋体"/>
                <w:sz w:val="15"/>
                <w:szCs w:val="15"/>
              </w:rPr>
            </w:pPr>
            <w:r>
              <w:rPr>
                <w:rFonts w:ascii="宋体" w:hAnsi="宋体" w:eastAsia="宋体" w:cs="宋体"/>
                <w:sz w:val="15"/>
                <w:szCs w:val="15"/>
              </w:rPr>
              <w:t>△</w:t>
            </w:r>
          </w:p>
          <w:p w14:paraId="5C995CD0">
            <w:pPr>
              <w:pStyle w:val="6"/>
              <w:spacing w:line="277" w:lineRule="auto"/>
            </w:pPr>
          </w:p>
          <w:p w14:paraId="4CB6B164">
            <w:pPr>
              <w:pStyle w:val="6"/>
              <w:spacing w:line="278" w:lineRule="auto"/>
            </w:pPr>
          </w:p>
          <w:p w14:paraId="0B12E08F">
            <w:pPr>
              <w:pStyle w:val="6"/>
              <w:spacing w:line="278" w:lineRule="auto"/>
            </w:pPr>
          </w:p>
          <w:p w14:paraId="6B048098">
            <w:pPr>
              <w:spacing w:before="49" w:line="237" w:lineRule="auto"/>
              <w:ind w:left="445"/>
              <w:rPr>
                <w:rFonts w:ascii="宋体" w:hAnsi="宋体" w:eastAsia="宋体" w:cs="宋体"/>
                <w:sz w:val="15"/>
                <w:szCs w:val="15"/>
              </w:rPr>
            </w:pPr>
            <w:r>
              <w:rPr>
                <w:rFonts w:ascii="宋体" w:hAnsi="宋体" w:eastAsia="宋体" w:cs="宋体"/>
                <w:sz w:val="15"/>
                <w:szCs w:val="15"/>
              </w:rPr>
              <w:t>△</w:t>
            </w:r>
          </w:p>
          <w:p w14:paraId="42BF24C6">
            <w:pPr>
              <w:spacing w:before="168" w:line="237" w:lineRule="auto"/>
              <w:ind w:left="445"/>
              <w:rPr>
                <w:rFonts w:ascii="宋体" w:hAnsi="宋体" w:eastAsia="宋体" w:cs="宋体"/>
                <w:sz w:val="15"/>
                <w:szCs w:val="15"/>
              </w:rPr>
            </w:pPr>
            <w:r>
              <w:rPr>
                <w:rFonts w:ascii="宋体" w:hAnsi="宋体" w:eastAsia="宋体" w:cs="宋体"/>
                <w:sz w:val="15"/>
                <w:szCs w:val="15"/>
              </w:rPr>
              <w:t>△</w:t>
            </w:r>
          </w:p>
          <w:p w14:paraId="2602ECFF">
            <w:pPr>
              <w:spacing w:before="177" w:line="237" w:lineRule="auto"/>
              <w:ind w:left="445"/>
              <w:rPr>
                <w:rFonts w:ascii="宋体" w:hAnsi="宋体" w:eastAsia="宋体" w:cs="宋体"/>
                <w:sz w:val="15"/>
                <w:szCs w:val="15"/>
              </w:rPr>
            </w:pPr>
            <w:r>
              <w:rPr>
                <w:rFonts w:ascii="宋体" w:hAnsi="宋体" w:eastAsia="宋体" w:cs="宋体"/>
                <w:sz w:val="15"/>
                <w:szCs w:val="15"/>
              </w:rPr>
              <w:t>△</w:t>
            </w:r>
          </w:p>
          <w:p w14:paraId="1AC773B7">
            <w:pPr>
              <w:spacing w:before="168" w:line="238" w:lineRule="auto"/>
              <w:ind w:left="445"/>
              <w:rPr>
                <w:rFonts w:ascii="宋体" w:hAnsi="宋体" w:eastAsia="宋体" w:cs="宋体"/>
                <w:sz w:val="15"/>
                <w:szCs w:val="15"/>
              </w:rPr>
            </w:pPr>
            <w:r>
              <w:rPr>
                <w:rFonts w:ascii="宋体" w:hAnsi="宋体" w:eastAsia="宋体" w:cs="宋体"/>
                <w:sz w:val="15"/>
                <w:szCs w:val="15"/>
              </w:rPr>
              <w:t>√</w:t>
            </w:r>
          </w:p>
          <w:p w14:paraId="6BD86AD3">
            <w:pPr>
              <w:spacing w:before="176" w:line="237" w:lineRule="auto"/>
              <w:ind w:left="445"/>
              <w:rPr>
                <w:rFonts w:ascii="宋体" w:hAnsi="宋体" w:eastAsia="宋体" w:cs="宋体"/>
                <w:sz w:val="15"/>
                <w:szCs w:val="15"/>
              </w:rPr>
            </w:pPr>
            <w:r>
              <w:rPr>
                <w:rFonts w:ascii="宋体" w:hAnsi="宋体" w:eastAsia="宋体" w:cs="宋体"/>
                <w:sz w:val="15"/>
                <w:szCs w:val="15"/>
              </w:rPr>
              <w:t>△</w:t>
            </w:r>
          </w:p>
          <w:p w14:paraId="3BA2DB24">
            <w:pPr>
              <w:spacing w:before="168" w:line="237" w:lineRule="auto"/>
              <w:ind w:left="445"/>
              <w:rPr>
                <w:rFonts w:ascii="宋体" w:hAnsi="宋体" w:eastAsia="宋体" w:cs="宋体"/>
                <w:sz w:val="15"/>
                <w:szCs w:val="15"/>
              </w:rPr>
            </w:pPr>
            <w:r>
              <w:rPr>
                <w:rFonts w:ascii="宋体" w:hAnsi="宋体" w:eastAsia="宋体" w:cs="宋体"/>
                <w:sz w:val="15"/>
                <w:szCs w:val="15"/>
              </w:rPr>
              <w:t>△</w:t>
            </w:r>
          </w:p>
          <w:p w14:paraId="02A8350E">
            <w:pPr>
              <w:spacing w:before="157" w:line="237" w:lineRule="auto"/>
              <w:ind w:left="445"/>
              <w:rPr>
                <w:rFonts w:ascii="宋体" w:hAnsi="宋体" w:eastAsia="宋体" w:cs="宋体"/>
                <w:sz w:val="15"/>
                <w:szCs w:val="15"/>
              </w:rPr>
            </w:pPr>
            <w:r>
              <w:rPr>
                <w:rFonts w:ascii="宋体" w:hAnsi="宋体" w:eastAsia="宋体" w:cs="宋体"/>
                <w:sz w:val="15"/>
                <w:szCs w:val="15"/>
              </w:rPr>
              <w:t>△</w:t>
            </w:r>
          </w:p>
          <w:p w14:paraId="1C1A1509">
            <w:pPr>
              <w:spacing w:before="168" w:line="237" w:lineRule="auto"/>
              <w:ind w:left="445"/>
              <w:rPr>
                <w:rFonts w:ascii="宋体" w:hAnsi="宋体" w:eastAsia="宋体" w:cs="宋体"/>
                <w:sz w:val="15"/>
                <w:szCs w:val="15"/>
              </w:rPr>
            </w:pPr>
            <w:r>
              <w:rPr>
                <w:rFonts w:ascii="宋体" w:hAnsi="宋体" w:eastAsia="宋体" w:cs="宋体"/>
                <w:sz w:val="15"/>
                <w:szCs w:val="15"/>
              </w:rPr>
              <w:t>△</w:t>
            </w:r>
          </w:p>
          <w:p w14:paraId="74404E0B">
            <w:pPr>
              <w:pStyle w:val="6"/>
              <w:spacing w:line="242" w:lineRule="auto"/>
            </w:pPr>
          </w:p>
          <w:p w14:paraId="08EB3214">
            <w:pPr>
              <w:pStyle w:val="6"/>
              <w:spacing w:line="243" w:lineRule="auto"/>
            </w:pPr>
          </w:p>
          <w:p w14:paraId="13AD2AB6">
            <w:pPr>
              <w:spacing w:before="49" w:line="201" w:lineRule="exact"/>
              <w:ind w:left="445"/>
              <w:rPr>
                <w:rFonts w:ascii="宋体" w:hAnsi="宋体" w:eastAsia="宋体" w:cs="宋体"/>
                <w:sz w:val="15"/>
                <w:szCs w:val="15"/>
              </w:rPr>
            </w:pPr>
            <w:r>
              <w:rPr>
                <w:rFonts w:ascii="宋体" w:hAnsi="宋体" w:eastAsia="宋体" w:cs="宋体"/>
                <w:position w:val="1"/>
                <w:sz w:val="15"/>
                <w:szCs w:val="15"/>
              </w:rPr>
              <w:t>×</w:t>
            </w:r>
          </w:p>
          <w:p w14:paraId="51CDCB7F">
            <w:pPr>
              <w:spacing w:before="159" w:line="238" w:lineRule="auto"/>
              <w:ind w:left="445"/>
              <w:rPr>
                <w:rFonts w:ascii="宋体" w:hAnsi="宋体" w:eastAsia="宋体" w:cs="宋体"/>
                <w:sz w:val="15"/>
                <w:szCs w:val="15"/>
              </w:rPr>
            </w:pPr>
            <w:r>
              <w:rPr>
                <w:rFonts w:ascii="宋体" w:hAnsi="宋体" w:eastAsia="宋体" w:cs="宋体"/>
                <w:sz w:val="15"/>
                <w:szCs w:val="15"/>
              </w:rPr>
              <w:t>√</w:t>
            </w:r>
          </w:p>
          <w:p w14:paraId="587A294D">
            <w:pPr>
              <w:spacing w:before="177" w:line="238" w:lineRule="auto"/>
              <w:ind w:left="445"/>
              <w:rPr>
                <w:rFonts w:ascii="宋体" w:hAnsi="宋体" w:eastAsia="宋体" w:cs="宋体"/>
                <w:sz w:val="15"/>
                <w:szCs w:val="15"/>
              </w:rPr>
            </w:pPr>
            <w:r>
              <w:rPr>
                <w:rFonts w:ascii="宋体" w:hAnsi="宋体" w:eastAsia="宋体" w:cs="宋体"/>
                <w:sz w:val="15"/>
                <w:szCs w:val="15"/>
              </w:rPr>
              <w:t>√</w:t>
            </w:r>
          </w:p>
          <w:p w14:paraId="58BB34FA">
            <w:pPr>
              <w:spacing w:before="177" w:line="238" w:lineRule="auto"/>
              <w:ind w:left="445"/>
              <w:rPr>
                <w:rFonts w:ascii="宋体" w:hAnsi="宋体" w:eastAsia="宋体" w:cs="宋体"/>
                <w:sz w:val="15"/>
                <w:szCs w:val="15"/>
              </w:rPr>
            </w:pPr>
            <w:r>
              <w:rPr>
                <w:rFonts w:ascii="宋体" w:hAnsi="宋体" w:eastAsia="宋体" w:cs="宋体"/>
                <w:sz w:val="15"/>
                <w:szCs w:val="15"/>
              </w:rPr>
              <w:t>√</w:t>
            </w:r>
          </w:p>
        </w:tc>
        <w:tc>
          <w:tcPr>
            <w:tcW w:w="1248" w:type="dxa"/>
            <w:vAlign w:val="top"/>
          </w:tcPr>
          <w:p w14:paraId="6804B650">
            <w:pPr>
              <w:spacing w:before="122" w:line="238" w:lineRule="auto"/>
              <w:ind w:left="546"/>
              <w:rPr>
                <w:rFonts w:ascii="宋体" w:hAnsi="宋体" w:eastAsia="宋体" w:cs="宋体"/>
                <w:sz w:val="15"/>
                <w:szCs w:val="15"/>
              </w:rPr>
            </w:pPr>
            <w:r>
              <w:rPr>
                <w:rFonts w:ascii="宋体" w:hAnsi="宋体" w:eastAsia="宋体" w:cs="宋体"/>
                <w:sz w:val="15"/>
                <w:szCs w:val="15"/>
              </w:rPr>
              <w:t>√</w:t>
            </w:r>
          </w:p>
          <w:p w14:paraId="32DBC5C6">
            <w:pPr>
              <w:pStyle w:val="6"/>
              <w:spacing w:line="274" w:lineRule="auto"/>
            </w:pPr>
          </w:p>
          <w:p w14:paraId="73D20BA9">
            <w:pPr>
              <w:pStyle w:val="6"/>
              <w:spacing w:line="274" w:lineRule="auto"/>
            </w:pPr>
          </w:p>
          <w:p w14:paraId="5B78AAED">
            <w:pPr>
              <w:pStyle w:val="6"/>
              <w:spacing w:line="274" w:lineRule="auto"/>
            </w:pPr>
          </w:p>
          <w:p w14:paraId="479C69E3">
            <w:pPr>
              <w:spacing w:before="49" w:line="238" w:lineRule="auto"/>
              <w:ind w:left="546"/>
              <w:rPr>
                <w:rFonts w:ascii="宋体" w:hAnsi="宋体" w:eastAsia="宋体" w:cs="宋体"/>
                <w:sz w:val="15"/>
                <w:szCs w:val="15"/>
              </w:rPr>
            </w:pPr>
            <w:r>
              <w:rPr>
                <w:rFonts w:ascii="宋体" w:hAnsi="宋体" w:eastAsia="宋体" w:cs="宋体"/>
                <w:sz w:val="15"/>
                <w:szCs w:val="15"/>
              </w:rPr>
              <w:t>√</w:t>
            </w:r>
          </w:p>
          <w:p w14:paraId="41409117">
            <w:pPr>
              <w:spacing w:before="166" w:line="238" w:lineRule="auto"/>
              <w:ind w:left="546"/>
              <w:rPr>
                <w:rFonts w:ascii="宋体" w:hAnsi="宋体" w:eastAsia="宋体" w:cs="宋体"/>
                <w:sz w:val="15"/>
                <w:szCs w:val="15"/>
              </w:rPr>
            </w:pPr>
            <w:r>
              <w:rPr>
                <w:rFonts w:ascii="宋体" w:hAnsi="宋体" w:eastAsia="宋体" w:cs="宋体"/>
                <w:sz w:val="15"/>
                <w:szCs w:val="15"/>
              </w:rPr>
              <w:t>√</w:t>
            </w:r>
          </w:p>
          <w:p w14:paraId="4398F97F">
            <w:pPr>
              <w:spacing w:before="186" w:line="238" w:lineRule="auto"/>
              <w:ind w:left="546"/>
              <w:rPr>
                <w:rFonts w:ascii="宋体" w:hAnsi="宋体" w:eastAsia="宋体" w:cs="宋体"/>
                <w:sz w:val="15"/>
                <w:szCs w:val="15"/>
              </w:rPr>
            </w:pPr>
            <w:r>
              <w:rPr>
                <w:rFonts w:ascii="宋体" w:hAnsi="宋体" w:eastAsia="宋体" w:cs="宋体"/>
                <w:sz w:val="15"/>
                <w:szCs w:val="15"/>
              </w:rPr>
              <w:t>√</w:t>
            </w:r>
          </w:p>
          <w:p w14:paraId="34805FD6">
            <w:pPr>
              <w:spacing w:before="166" w:line="238" w:lineRule="auto"/>
              <w:ind w:left="546"/>
              <w:rPr>
                <w:rFonts w:ascii="宋体" w:hAnsi="宋体" w:eastAsia="宋体" w:cs="宋体"/>
                <w:sz w:val="15"/>
                <w:szCs w:val="15"/>
              </w:rPr>
            </w:pPr>
            <w:r>
              <w:rPr>
                <w:rFonts w:ascii="宋体" w:hAnsi="宋体" w:eastAsia="宋体" w:cs="宋体"/>
                <w:sz w:val="15"/>
                <w:szCs w:val="15"/>
              </w:rPr>
              <w:t>√</w:t>
            </w:r>
          </w:p>
          <w:p w14:paraId="6AFA8C2B">
            <w:pPr>
              <w:spacing w:before="166" w:line="237" w:lineRule="auto"/>
              <w:ind w:left="546"/>
              <w:rPr>
                <w:rFonts w:ascii="宋体" w:hAnsi="宋体" w:eastAsia="宋体" w:cs="宋体"/>
                <w:sz w:val="15"/>
                <w:szCs w:val="15"/>
              </w:rPr>
            </w:pPr>
            <w:r>
              <w:rPr>
                <w:rFonts w:ascii="宋体" w:hAnsi="宋体" w:eastAsia="宋体" w:cs="宋体"/>
                <w:sz w:val="15"/>
                <w:szCs w:val="15"/>
              </w:rPr>
              <w:t>△</w:t>
            </w:r>
          </w:p>
          <w:p w14:paraId="01A2E90F">
            <w:pPr>
              <w:spacing w:before="178" w:line="238" w:lineRule="auto"/>
              <w:ind w:left="546"/>
              <w:rPr>
                <w:rFonts w:ascii="宋体" w:hAnsi="宋体" w:eastAsia="宋体" w:cs="宋体"/>
                <w:sz w:val="15"/>
                <w:szCs w:val="15"/>
              </w:rPr>
            </w:pPr>
            <w:r>
              <w:rPr>
                <w:rFonts w:ascii="宋体" w:hAnsi="宋体" w:eastAsia="宋体" w:cs="宋体"/>
                <w:sz w:val="15"/>
                <w:szCs w:val="15"/>
              </w:rPr>
              <w:t>√</w:t>
            </w:r>
          </w:p>
          <w:p w14:paraId="0D246BB7">
            <w:pPr>
              <w:spacing w:before="167" w:line="238" w:lineRule="auto"/>
              <w:ind w:left="546"/>
              <w:rPr>
                <w:rFonts w:ascii="宋体" w:hAnsi="宋体" w:eastAsia="宋体" w:cs="宋体"/>
                <w:sz w:val="15"/>
                <w:szCs w:val="15"/>
              </w:rPr>
            </w:pPr>
            <w:r>
              <w:rPr>
                <w:rFonts w:ascii="宋体" w:hAnsi="宋体" w:eastAsia="宋体" w:cs="宋体"/>
                <w:sz w:val="15"/>
                <w:szCs w:val="15"/>
              </w:rPr>
              <w:t>√</w:t>
            </w:r>
          </w:p>
          <w:p w14:paraId="51D3A350">
            <w:pPr>
              <w:spacing w:before="166" w:line="237" w:lineRule="auto"/>
              <w:ind w:left="546"/>
              <w:rPr>
                <w:rFonts w:ascii="宋体" w:hAnsi="宋体" w:eastAsia="宋体" w:cs="宋体"/>
                <w:sz w:val="15"/>
                <w:szCs w:val="15"/>
              </w:rPr>
            </w:pPr>
            <w:r>
              <w:rPr>
                <w:rFonts w:ascii="宋体" w:hAnsi="宋体" w:eastAsia="宋体" w:cs="宋体"/>
                <w:sz w:val="15"/>
                <w:szCs w:val="15"/>
              </w:rPr>
              <w:t>△</w:t>
            </w:r>
          </w:p>
          <w:p w14:paraId="5AC5B4ED">
            <w:pPr>
              <w:spacing w:before="158" w:line="237" w:lineRule="auto"/>
              <w:ind w:left="546"/>
              <w:rPr>
                <w:rFonts w:ascii="宋体" w:hAnsi="宋体" w:eastAsia="宋体" w:cs="宋体"/>
                <w:sz w:val="15"/>
                <w:szCs w:val="15"/>
              </w:rPr>
            </w:pPr>
            <w:r>
              <w:rPr>
                <w:rFonts w:ascii="宋体" w:hAnsi="宋体" w:eastAsia="宋体" w:cs="宋体"/>
                <w:sz w:val="15"/>
                <w:szCs w:val="15"/>
              </w:rPr>
              <w:t>△</w:t>
            </w:r>
          </w:p>
          <w:p w14:paraId="613D7D64">
            <w:pPr>
              <w:spacing w:before="167" w:line="237" w:lineRule="auto"/>
              <w:ind w:left="546"/>
              <w:rPr>
                <w:rFonts w:ascii="宋体" w:hAnsi="宋体" w:eastAsia="宋体" w:cs="宋体"/>
                <w:sz w:val="15"/>
                <w:szCs w:val="15"/>
              </w:rPr>
            </w:pPr>
            <w:r>
              <w:rPr>
                <w:rFonts w:ascii="宋体" w:hAnsi="宋体" w:eastAsia="宋体" w:cs="宋体"/>
                <w:sz w:val="15"/>
                <w:szCs w:val="15"/>
              </w:rPr>
              <w:t>△</w:t>
            </w:r>
          </w:p>
          <w:p w14:paraId="422AC8CC">
            <w:pPr>
              <w:spacing w:before="168" w:line="238" w:lineRule="auto"/>
              <w:ind w:left="546"/>
              <w:rPr>
                <w:rFonts w:ascii="宋体" w:hAnsi="宋体" w:eastAsia="宋体" w:cs="宋体"/>
                <w:sz w:val="15"/>
                <w:szCs w:val="15"/>
              </w:rPr>
            </w:pPr>
            <w:r>
              <w:rPr>
                <w:rFonts w:ascii="宋体" w:hAnsi="宋体" w:eastAsia="宋体" w:cs="宋体"/>
                <w:sz w:val="15"/>
                <w:szCs w:val="15"/>
              </w:rPr>
              <w:t>√</w:t>
            </w:r>
          </w:p>
          <w:p w14:paraId="257BB0D1">
            <w:pPr>
              <w:spacing w:before="176" w:line="201" w:lineRule="exact"/>
              <w:ind w:left="546"/>
              <w:rPr>
                <w:rFonts w:ascii="宋体" w:hAnsi="宋体" w:eastAsia="宋体" w:cs="宋体"/>
                <w:sz w:val="15"/>
                <w:szCs w:val="15"/>
              </w:rPr>
            </w:pPr>
            <w:r>
              <w:rPr>
                <w:rFonts w:ascii="宋体" w:hAnsi="宋体" w:eastAsia="宋体" w:cs="宋体"/>
                <w:position w:val="1"/>
                <w:sz w:val="15"/>
                <w:szCs w:val="15"/>
              </w:rPr>
              <w:t>×</w:t>
            </w:r>
          </w:p>
          <w:p w14:paraId="662EF298">
            <w:pPr>
              <w:spacing w:before="159" w:line="238" w:lineRule="auto"/>
              <w:ind w:left="546"/>
              <w:rPr>
                <w:rFonts w:ascii="宋体" w:hAnsi="宋体" w:eastAsia="宋体" w:cs="宋体"/>
                <w:sz w:val="15"/>
                <w:szCs w:val="15"/>
              </w:rPr>
            </w:pPr>
            <w:r>
              <w:rPr>
                <w:rFonts w:ascii="宋体" w:hAnsi="宋体" w:eastAsia="宋体" w:cs="宋体"/>
                <w:sz w:val="15"/>
                <w:szCs w:val="15"/>
              </w:rPr>
              <w:t>√</w:t>
            </w:r>
          </w:p>
          <w:p w14:paraId="5BB70EB2">
            <w:pPr>
              <w:spacing w:before="177" w:line="238" w:lineRule="auto"/>
              <w:ind w:left="546"/>
              <w:rPr>
                <w:rFonts w:ascii="宋体" w:hAnsi="宋体" w:eastAsia="宋体" w:cs="宋体"/>
                <w:sz w:val="15"/>
                <w:szCs w:val="15"/>
              </w:rPr>
            </w:pPr>
            <w:r>
              <w:rPr>
                <w:rFonts w:ascii="宋体" w:hAnsi="宋体" w:eastAsia="宋体" w:cs="宋体"/>
                <w:sz w:val="15"/>
                <w:szCs w:val="15"/>
              </w:rPr>
              <w:t>√</w:t>
            </w:r>
          </w:p>
          <w:p w14:paraId="37B90027">
            <w:pPr>
              <w:spacing w:before="177" w:line="238" w:lineRule="auto"/>
              <w:ind w:left="546"/>
              <w:rPr>
                <w:rFonts w:ascii="宋体" w:hAnsi="宋体" w:eastAsia="宋体" w:cs="宋体"/>
                <w:sz w:val="15"/>
                <w:szCs w:val="15"/>
              </w:rPr>
            </w:pPr>
            <w:r>
              <w:rPr>
                <w:rFonts w:ascii="宋体" w:hAnsi="宋体" w:eastAsia="宋体" w:cs="宋体"/>
                <w:sz w:val="15"/>
                <w:szCs w:val="15"/>
              </w:rPr>
              <w:t>√</w:t>
            </w:r>
          </w:p>
          <w:p w14:paraId="2757E83D">
            <w:pPr>
              <w:spacing w:before="166" w:line="238" w:lineRule="auto"/>
              <w:ind w:left="546"/>
              <w:rPr>
                <w:rFonts w:ascii="宋体" w:hAnsi="宋体" w:eastAsia="宋体" w:cs="宋体"/>
                <w:sz w:val="15"/>
                <w:szCs w:val="15"/>
              </w:rPr>
            </w:pPr>
            <w:r>
              <w:rPr>
                <w:rFonts w:ascii="宋体" w:hAnsi="宋体" w:eastAsia="宋体" w:cs="宋体"/>
                <w:sz w:val="15"/>
                <w:szCs w:val="15"/>
              </w:rPr>
              <w:t>√</w:t>
            </w:r>
          </w:p>
          <w:p w14:paraId="386D3806">
            <w:pPr>
              <w:spacing w:before="167" w:line="238" w:lineRule="auto"/>
              <w:ind w:left="546"/>
              <w:rPr>
                <w:rFonts w:ascii="宋体" w:hAnsi="宋体" w:eastAsia="宋体" w:cs="宋体"/>
                <w:sz w:val="15"/>
                <w:szCs w:val="15"/>
              </w:rPr>
            </w:pPr>
            <w:r>
              <w:rPr>
                <w:rFonts w:ascii="宋体" w:hAnsi="宋体" w:eastAsia="宋体" w:cs="宋体"/>
                <w:sz w:val="15"/>
                <w:szCs w:val="15"/>
              </w:rPr>
              <w:t>√</w:t>
            </w:r>
          </w:p>
          <w:p w14:paraId="672DE9AF">
            <w:pPr>
              <w:spacing w:before="166" w:line="238" w:lineRule="auto"/>
              <w:ind w:left="546"/>
              <w:rPr>
                <w:rFonts w:ascii="宋体" w:hAnsi="宋体" w:eastAsia="宋体" w:cs="宋体"/>
                <w:sz w:val="15"/>
                <w:szCs w:val="15"/>
              </w:rPr>
            </w:pPr>
            <w:r>
              <w:rPr>
                <w:rFonts w:ascii="宋体" w:hAnsi="宋体" w:eastAsia="宋体" w:cs="宋体"/>
                <w:sz w:val="15"/>
                <w:szCs w:val="15"/>
              </w:rPr>
              <w:t>√</w:t>
            </w:r>
          </w:p>
          <w:p w14:paraId="5C8885B0">
            <w:pPr>
              <w:spacing w:before="167" w:line="238" w:lineRule="auto"/>
              <w:ind w:left="546"/>
              <w:rPr>
                <w:rFonts w:ascii="宋体" w:hAnsi="宋体" w:eastAsia="宋体" w:cs="宋体"/>
                <w:sz w:val="15"/>
                <w:szCs w:val="15"/>
              </w:rPr>
            </w:pPr>
            <w:r>
              <w:rPr>
                <w:rFonts w:ascii="宋体" w:hAnsi="宋体" w:eastAsia="宋体" w:cs="宋体"/>
                <w:sz w:val="15"/>
                <w:szCs w:val="15"/>
              </w:rPr>
              <w:t>√</w:t>
            </w:r>
          </w:p>
          <w:p w14:paraId="1D180478">
            <w:pPr>
              <w:spacing w:before="177" w:line="238" w:lineRule="auto"/>
              <w:ind w:left="546"/>
              <w:rPr>
                <w:rFonts w:ascii="宋体" w:hAnsi="宋体" w:eastAsia="宋体" w:cs="宋体"/>
                <w:sz w:val="15"/>
                <w:szCs w:val="15"/>
              </w:rPr>
            </w:pPr>
            <w:r>
              <w:rPr>
                <w:rFonts w:ascii="宋体" w:hAnsi="宋体" w:eastAsia="宋体" w:cs="宋体"/>
                <w:sz w:val="15"/>
                <w:szCs w:val="15"/>
              </w:rPr>
              <w:t>√</w:t>
            </w:r>
          </w:p>
          <w:p w14:paraId="1F247CF7">
            <w:pPr>
              <w:spacing w:before="166" w:line="237" w:lineRule="auto"/>
              <w:ind w:left="546"/>
              <w:rPr>
                <w:rFonts w:ascii="宋体" w:hAnsi="宋体" w:eastAsia="宋体" w:cs="宋体"/>
                <w:sz w:val="15"/>
                <w:szCs w:val="15"/>
              </w:rPr>
            </w:pPr>
            <w:r>
              <w:rPr>
                <w:rFonts w:ascii="宋体" w:hAnsi="宋体" w:eastAsia="宋体" w:cs="宋体"/>
                <w:sz w:val="15"/>
                <w:szCs w:val="15"/>
              </w:rPr>
              <w:t>△</w:t>
            </w:r>
          </w:p>
          <w:p w14:paraId="71650C50">
            <w:pPr>
              <w:spacing w:before="178" w:line="238" w:lineRule="auto"/>
              <w:ind w:left="546"/>
              <w:rPr>
                <w:rFonts w:ascii="宋体" w:hAnsi="宋体" w:eastAsia="宋体" w:cs="宋体"/>
                <w:sz w:val="15"/>
                <w:szCs w:val="15"/>
              </w:rPr>
            </w:pPr>
            <w:r>
              <w:rPr>
                <w:rFonts w:ascii="宋体" w:hAnsi="宋体" w:eastAsia="宋体" w:cs="宋体"/>
                <w:sz w:val="15"/>
                <w:szCs w:val="15"/>
              </w:rPr>
              <w:t>√</w:t>
            </w:r>
          </w:p>
          <w:p w14:paraId="32A51DA0">
            <w:pPr>
              <w:spacing w:before="166" w:line="238" w:lineRule="auto"/>
              <w:ind w:left="546"/>
              <w:rPr>
                <w:rFonts w:ascii="宋体" w:hAnsi="宋体" w:eastAsia="宋体" w:cs="宋体"/>
                <w:sz w:val="15"/>
                <w:szCs w:val="15"/>
              </w:rPr>
            </w:pPr>
            <w:r>
              <w:rPr>
                <w:rFonts w:ascii="宋体" w:hAnsi="宋体" w:eastAsia="宋体" w:cs="宋体"/>
                <w:sz w:val="15"/>
                <w:szCs w:val="15"/>
              </w:rPr>
              <w:t>√</w:t>
            </w:r>
          </w:p>
          <w:p w14:paraId="73498BFF">
            <w:pPr>
              <w:spacing w:before="157" w:line="238" w:lineRule="auto"/>
              <w:ind w:left="546"/>
              <w:rPr>
                <w:rFonts w:ascii="宋体" w:hAnsi="宋体" w:eastAsia="宋体" w:cs="宋体"/>
                <w:sz w:val="15"/>
                <w:szCs w:val="15"/>
              </w:rPr>
            </w:pPr>
            <w:r>
              <w:rPr>
                <w:rFonts w:ascii="宋体" w:hAnsi="宋体" w:eastAsia="宋体" w:cs="宋体"/>
                <w:sz w:val="15"/>
                <w:szCs w:val="15"/>
              </w:rPr>
              <w:t>√</w:t>
            </w:r>
          </w:p>
          <w:p w14:paraId="62C52C28">
            <w:pPr>
              <w:spacing w:before="167" w:line="238" w:lineRule="auto"/>
              <w:ind w:left="546"/>
              <w:rPr>
                <w:rFonts w:ascii="宋体" w:hAnsi="宋体" w:eastAsia="宋体" w:cs="宋体"/>
                <w:sz w:val="15"/>
                <w:szCs w:val="15"/>
              </w:rPr>
            </w:pPr>
            <w:r>
              <w:rPr>
                <w:rFonts w:ascii="宋体" w:hAnsi="宋体" w:eastAsia="宋体" w:cs="宋体"/>
                <w:sz w:val="15"/>
                <w:szCs w:val="15"/>
              </w:rPr>
              <w:t>√</w:t>
            </w:r>
          </w:p>
          <w:p w14:paraId="40D07DF7">
            <w:pPr>
              <w:spacing w:before="166" w:line="238" w:lineRule="auto"/>
              <w:ind w:left="546"/>
              <w:rPr>
                <w:rFonts w:ascii="宋体" w:hAnsi="宋体" w:eastAsia="宋体" w:cs="宋体"/>
                <w:sz w:val="15"/>
                <w:szCs w:val="15"/>
              </w:rPr>
            </w:pPr>
            <w:r>
              <w:rPr>
                <w:rFonts w:ascii="宋体" w:hAnsi="宋体" w:eastAsia="宋体" w:cs="宋体"/>
                <w:sz w:val="15"/>
                <w:szCs w:val="15"/>
              </w:rPr>
              <w:t>√</w:t>
            </w:r>
          </w:p>
          <w:p w14:paraId="1E24B437">
            <w:pPr>
              <w:spacing w:before="177" w:line="201" w:lineRule="exact"/>
              <w:ind w:left="546"/>
              <w:rPr>
                <w:rFonts w:ascii="宋体" w:hAnsi="宋体" w:eastAsia="宋体" w:cs="宋体"/>
                <w:sz w:val="15"/>
                <w:szCs w:val="15"/>
              </w:rPr>
            </w:pPr>
            <w:r>
              <w:rPr>
                <w:rFonts w:ascii="宋体" w:hAnsi="宋体" w:eastAsia="宋体" w:cs="宋体"/>
                <w:position w:val="1"/>
                <w:sz w:val="15"/>
                <w:szCs w:val="15"/>
              </w:rPr>
              <w:t>×</w:t>
            </w:r>
          </w:p>
          <w:p w14:paraId="79EF8DD2">
            <w:pPr>
              <w:spacing w:before="159" w:line="238" w:lineRule="auto"/>
              <w:ind w:left="546"/>
              <w:rPr>
                <w:rFonts w:ascii="宋体" w:hAnsi="宋体" w:eastAsia="宋体" w:cs="宋体"/>
                <w:sz w:val="15"/>
                <w:szCs w:val="15"/>
              </w:rPr>
            </w:pPr>
            <w:r>
              <w:rPr>
                <w:rFonts w:ascii="宋体" w:hAnsi="宋体" w:eastAsia="宋体" w:cs="宋体"/>
                <w:sz w:val="15"/>
                <w:szCs w:val="15"/>
              </w:rPr>
              <w:t>√</w:t>
            </w:r>
          </w:p>
          <w:p w14:paraId="0B941A49">
            <w:pPr>
              <w:spacing w:before="176" w:line="237" w:lineRule="auto"/>
              <w:ind w:left="546"/>
              <w:rPr>
                <w:rFonts w:ascii="宋体" w:hAnsi="宋体" w:eastAsia="宋体" w:cs="宋体"/>
                <w:sz w:val="15"/>
                <w:szCs w:val="15"/>
              </w:rPr>
            </w:pPr>
            <w:r>
              <w:rPr>
                <w:rFonts w:ascii="宋体" w:hAnsi="宋体" w:eastAsia="宋体" w:cs="宋体"/>
                <w:sz w:val="15"/>
                <w:szCs w:val="15"/>
              </w:rPr>
              <w:t>△</w:t>
            </w:r>
          </w:p>
          <w:p w14:paraId="01037583">
            <w:pPr>
              <w:spacing w:before="178" w:line="238" w:lineRule="auto"/>
              <w:ind w:left="546"/>
              <w:rPr>
                <w:rFonts w:ascii="宋体" w:hAnsi="宋体" w:eastAsia="宋体" w:cs="宋体"/>
                <w:sz w:val="15"/>
                <w:szCs w:val="15"/>
              </w:rPr>
            </w:pPr>
            <w:r>
              <w:rPr>
                <w:rFonts w:ascii="宋体" w:hAnsi="宋体" w:eastAsia="宋体" w:cs="宋体"/>
                <w:sz w:val="15"/>
                <w:szCs w:val="15"/>
              </w:rPr>
              <w:t>√</w:t>
            </w:r>
          </w:p>
        </w:tc>
        <w:tc>
          <w:tcPr>
            <w:tcW w:w="1613" w:type="dxa"/>
            <w:vAlign w:val="top"/>
          </w:tcPr>
          <w:p w14:paraId="464F4A42">
            <w:pPr>
              <w:pStyle w:val="6"/>
              <w:spacing w:line="252" w:lineRule="auto"/>
            </w:pPr>
          </w:p>
          <w:p w14:paraId="12B0BD3E">
            <w:pPr>
              <w:pStyle w:val="6"/>
              <w:spacing w:line="253" w:lineRule="auto"/>
            </w:pPr>
          </w:p>
          <w:p w14:paraId="5C933B32">
            <w:pPr>
              <w:pStyle w:val="6"/>
              <w:spacing w:line="253" w:lineRule="auto"/>
            </w:pPr>
          </w:p>
          <w:p w14:paraId="080B69B9">
            <w:pPr>
              <w:pStyle w:val="6"/>
              <w:spacing w:line="253" w:lineRule="auto"/>
            </w:pPr>
          </w:p>
          <w:p w14:paraId="228A31DF">
            <w:pPr>
              <w:pStyle w:val="6"/>
              <w:spacing w:line="253" w:lineRule="auto"/>
            </w:pPr>
          </w:p>
          <w:p w14:paraId="5C9551CD">
            <w:pPr>
              <w:pStyle w:val="6"/>
              <w:spacing w:line="253" w:lineRule="auto"/>
            </w:pPr>
          </w:p>
          <w:p w14:paraId="67DD57AA">
            <w:pPr>
              <w:spacing w:before="49" w:line="183" w:lineRule="auto"/>
              <w:ind w:left="758"/>
              <w:rPr>
                <w:rFonts w:ascii="宋体" w:hAnsi="宋体" w:eastAsia="宋体" w:cs="宋体"/>
                <w:sz w:val="15"/>
                <w:szCs w:val="15"/>
              </w:rPr>
            </w:pPr>
            <w:r>
              <w:rPr>
                <w:rFonts w:ascii="宋体" w:hAnsi="宋体" w:eastAsia="宋体" w:cs="宋体"/>
                <w:sz w:val="15"/>
                <w:szCs w:val="15"/>
              </w:rPr>
              <w:t>O</w:t>
            </w:r>
          </w:p>
          <w:p w14:paraId="290AA9F3">
            <w:pPr>
              <w:spacing w:before="231" w:line="183" w:lineRule="auto"/>
              <w:ind w:left="758"/>
              <w:rPr>
                <w:rFonts w:ascii="宋体" w:hAnsi="宋体" w:eastAsia="宋体" w:cs="宋体"/>
                <w:sz w:val="15"/>
                <w:szCs w:val="15"/>
              </w:rPr>
            </w:pPr>
            <w:r>
              <w:rPr>
                <w:rFonts w:ascii="宋体" w:hAnsi="宋体" w:eastAsia="宋体" w:cs="宋体"/>
                <w:sz w:val="15"/>
                <w:szCs w:val="15"/>
              </w:rPr>
              <w:t>O</w:t>
            </w:r>
          </w:p>
          <w:p w14:paraId="152FB2AA">
            <w:pPr>
              <w:spacing w:before="187" w:line="201" w:lineRule="exact"/>
              <w:ind w:left="728"/>
              <w:rPr>
                <w:rFonts w:ascii="宋体" w:hAnsi="宋体" w:eastAsia="宋体" w:cs="宋体"/>
                <w:sz w:val="15"/>
                <w:szCs w:val="15"/>
              </w:rPr>
            </w:pPr>
            <w:r>
              <w:rPr>
                <w:rFonts w:ascii="宋体" w:hAnsi="宋体" w:eastAsia="宋体" w:cs="宋体"/>
                <w:position w:val="1"/>
                <w:sz w:val="15"/>
                <w:szCs w:val="15"/>
              </w:rPr>
              <w:t>×</w:t>
            </w:r>
          </w:p>
          <w:p w14:paraId="3FA9CF51">
            <w:pPr>
              <w:spacing w:before="158" w:line="201" w:lineRule="exact"/>
              <w:ind w:left="728"/>
              <w:rPr>
                <w:rFonts w:ascii="宋体" w:hAnsi="宋体" w:eastAsia="宋体" w:cs="宋体"/>
                <w:sz w:val="15"/>
                <w:szCs w:val="15"/>
              </w:rPr>
            </w:pPr>
            <w:r>
              <w:rPr>
                <w:rFonts w:ascii="宋体" w:hAnsi="宋体" w:eastAsia="宋体" w:cs="宋体"/>
                <w:position w:val="1"/>
                <w:sz w:val="15"/>
                <w:szCs w:val="15"/>
              </w:rPr>
              <w:t>×</w:t>
            </w:r>
          </w:p>
          <w:p w14:paraId="372E6D03">
            <w:pPr>
              <w:pStyle w:val="6"/>
              <w:spacing w:line="278" w:lineRule="auto"/>
            </w:pPr>
          </w:p>
          <w:p w14:paraId="44C24865">
            <w:pPr>
              <w:pStyle w:val="6"/>
              <w:spacing w:line="278" w:lineRule="auto"/>
            </w:pPr>
          </w:p>
          <w:p w14:paraId="6E63BE21">
            <w:pPr>
              <w:pStyle w:val="6"/>
              <w:spacing w:line="279" w:lineRule="auto"/>
            </w:pPr>
          </w:p>
          <w:p w14:paraId="4E23DBCD">
            <w:pPr>
              <w:spacing w:before="49" w:line="201" w:lineRule="exact"/>
              <w:ind w:left="728"/>
              <w:rPr>
                <w:rFonts w:ascii="宋体" w:hAnsi="宋体" w:eastAsia="宋体" w:cs="宋体"/>
                <w:sz w:val="15"/>
                <w:szCs w:val="15"/>
              </w:rPr>
            </w:pPr>
            <w:r>
              <w:rPr>
                <w:rFonts w:ascii="宋体" w:hAnsi="宋体" w:eastAsia="宋体" w:cs="宋体"/>
                <w:position w:val="1"/>
                <w:sz w:val="15"/>
                <w:szCs w:val="15"/>
              </w:rPr>
              <w:t>×</w:t>
            </w:r>
          </w:p>
          <w:p w14:paraId="37C160DC">
            <w:pPr>
              <w:spacing w:before="147" w:line="236" w:lineRule="auto"/>
              <w:ind w:left="728"/>
              <w:rPr>
                <w:rFonts w:ascii="宋体" w:hAnsi="宋体" w:eastAsia="宋体" w:cs="宋体"/>
                <w:sz w:val="15"/>
                <w:szCs w:val="15"/>
              </w:rPr>
            </w:pPr>
            <w:r>
              <w:rPr>
                <w:rFonts w:ascii="宋体" w:hAnsi="宋体" w:eastAsia="宋体" w:cs="宋体"/>
                <w:sz w:val="15"/>
                <w:szCs w:val="15"/>
              </w:rPr>
              <w:t>○</w:t>
            </w:r>
          </w:p>
          <w:p w14:paraId="7C27E409">
            <w:pPr>
              <w:spacing w:before="194" w:line="183" w:lineRule="auto"/>
              <w:ind w:left="758"/>
              <w:rPr>
                <w:rFonts w:ascii="宋体" w:hAnsi="宋体" w:eastAsia="宋体" w:cs="宋体"/>
                <w:sz w:val="15"/>
                <w:szCs w:val="15"/>
              </w:rPr>
            </w:pPr>
            <w:r>
              <w:rPr>
                <w:rFonts w:ascii="宋体" w:hAnsi="宋体" w:eastAsia="宋体" w:cs="宋体"/>
                <w:sz w:val="15"/>
                <w:szCs w:val="15"/>
              </w:rPr>
              <w:t>O</w:t>
            </w:r>
          </w:p>
          <w:p w14:paraId="3D93E8DA">
            <w:pPr>
              <w:spacing w:before="211" w:line="183" w:lineRule="auto"/>
              <w:ind w:left="758"/>
              <w:rPr>
                <w:rFonts w:ascii="宋体" w:hAnsi="宋体" w:eastAsia="宋体" w:cs="宋体"/>
                <w:sz w:val="15"/>
                <w:szCs w:val="15"/>
              </w:rPr>
            </w:pPr>
            <w:r>
              <w:rPr>
                <w:rFonts w:ascii="宋体" w:hAnsi="宋体" w:eastAsia="宋体" w:cs="宋体"/>
                <w:sz w:val="15"/>
                <w:szCs w:val="15"/>
              </w:rPr>
              <w:t>O</w:t>
            </w:r>
          </w:p>
          <w:p w14:paraId="466E295E">
            <w:pPr>
              <w:spacing w:before="198" w:line="201" w:lineRule="exact"/>
              <w:ind w:left="728"/>
              <w:rPr>
                <w:rFonts w:ascii="宋体" w:hAnsi="宋体" w:eastAsia="宋体" w:cs="宋体"/>
                <w:sz w:val="15"/>
                <w:szCs w:val="15"/>
              </w:rPr>
            </w:pPr>
            <w:r>
              <w:rPr>
                <w:rFonts w:ascii="宋体" w:hAnsi="宋体" w:eastAsia="宋体" w:cs="宋体"/>
                <w:position w:val="1"/>
                <w:sz w:val="15"/>
                <w:szCs w:val="15"/>
              </w:rPr>
              <w:t>×</w:t>
            </w:r>
          </w:p>
          <w:p w14:paraId="602FC0FA">
            <w:pPr>
              <w:spacing w:before="159" w:line="201" w:lineRule="exact"/>
              <w:ind w:left="728"/>
              <w:rPr>
                <w:rFonts w:ascii="宋体" w:hAnsi="宋体" w:eastAsia="宋体" w:cs="宋体"/>
                <w:sz w:val="15"/>
                <w:szCs w:val="15"/>
              </w:rPr>
            </w:pPr>
            <w:r>
              <w:rPr>
                <w:rFonts w:ascii="宋体" w:hAnsi="宋体" w:eastAsia="宋体" w:cs="宋体"/>
                <w:position w:val="1"/>
                <w:sz w:val="15"/>
                <w:szCs w:val="15"/>
              </w:rPr>
              <w:t>×</w:t>
            </w:r>
          </w:p>
          <w:p w14:paraId="2FD4D6A4">
            <w:pPr>
              <w:spacing w:before="192" w:line="183" w:lineRule="auto"/>
              <w:ind w:left="758"/>
              <w:rPr>
                <w:rFonts w:ascii="宋体" w:hAnsi="宋体" w:eastAsia="宋体" w:cs="宋体"/>
                <w:sz w:val="15"/>
                <w:szCs w:val="15"/>
              </w:rPr>
            </w:pPr>
            <w:r>
              <w:rPr>
                <w:rFonts w:ascii="宋体" w:hAnsi="宋体" w:eastAsia="宋体" w:cs="宋体"/>
                <w:sz w:val="15"/>
                <w:szCs w:val="15"/>
              </w:rPr>
              <w:t>O</w:t>
            </w:r>
          </w:p>
          <w:p w14:paraId="74D4DD9C">
            <w:pPr>
              <w:spacing w:before="222" w:line="183" w:lineRule="auto"/>
              <w:ind w:left="758"/>
              <w:rPr>
                <w:rFonts w:ascii="宋体" w:hAnsi="宋体" w:eastAsia="宋体" w:cs="宋体"/>
                <w:sz w:val="15"/>
                <w:szCs w:val="15"/>
              </w:rPr>
            </w:pPr>
            <w:r>
              <w:rPr>
                <w:rFonts w:ascii="宋体" w:hAnsi="宋体" w:eastAsia="宋体" w:cs="宋体"/>
                <w:sz w:val="15"/>
                <w:szCs w:val="15"/>
              </w:rPr>
              <w:t>O</w:t>
            </w:r>
          </w:p>
          <w:p w14:paraId="7EAD05D6">
            <w:pPr>
              <w:pStyle w:val="6"/>
            </w:pPr>
          </w:p>
          <w:p w14:paraId="65D62A5B">
            <w:pPr>
              <w:pStyle w:val="6"/>
            </w:pPr>
          </w:p>
          <w:p w14:paraId="23E43676">
            <w:pPr>
              <w:pStyle w:val="6"/>
            </w:pPr>
          </w:p>
          <w:p w14:paraId="66CB5116">
            <w:pPr>
              <w:pStyle w:val="6"/>
            </w:pPr>
          </w:p>
          <w:p w14:paraId="737DC9B5">
            <w:pPr>
              <w:pStyle w:val="6"/>
              <w:spacing w:line="241" w:lineRule="auto"/>
            </w:pPr>
          </w:p>
          <w:p w14:paraId="24E86B12">
            <w:pPr>
              <w:pStyle w:val="6"/>
              <w:spacing w:line="241" w:lineRule="auto"/>
            </w:pPr>
          </w:p>
          <w:p w14:paraId="57D0A5FC">
            <w:pPr>
              <w:pStyle w:val="6"/>
              <w:spacing w:line="241" w:lineRule="auto"/>
            </w:pPr>
          </w:p>
          <w:p w14:paraId="31B1AB57">
            <w:pPr>
              <w:pStyle w:val="6"/>
              <w:spacing w:line="241" w:lineRule="auto"/>
            </w:pPr>
          </w:p>
          <w:p w14:paraId="5A700D77">
            <w:pPr>
              <w:pStyle w:val="6"/>
              <w:spacing w:line="241" w:lineRule="auto"/>
            </w:pPr>
          </w:p>
          <w:p w14:paraId="402F0BE7">
            <w:pPr>
              <w:pStyle w:val="6"/>
              <w:spacing w:line="241" w:lineRule="auto"/>
            </w:pPr>
          </w:p>
          <w:p w14:paraId="03DC1A17">
            <w:pPr>
              <w:pStyle w:val="6"/>
              <w:spacing w:line="241" w:lineRule="auto"/>
            </w:pPr>
          </w:p>
          <w:p w14:paraId="7EE2F79F">
            <w:pPr>
              <w:pStyle w:val="6"/>
              <w:spacing w:line="241" w:lineRule="auto"/>
            </w:pPr>
          </w:p>
          <w:p w14:paraId="3E75C7D0">
            <w:pPr>
              <w:pStyle w:val="6"/>
              <w:spacing w:line="241" w:lineRule="auto"/>
            </w:pPr>
          </w:p>
          <w:p w14:paraId="2F8ADA06">
            <w:pPr>
              <w:pStyle w:val="6"/>
              <w:spacing w:line="241" w:lineRule="auto"/>
            </w:pPr>
          </w:p>
          <w:p w14:paraId="5D16648B">
            <w:pPr>
              <w:pStyle w:val="6"/>
              <w:spacing w:line="241" w:lineRule="auto"/>
            </w:pPr>
          </w:p>
          <w:p w14:paraId="49FA5CD2">
            <w:pPr>
              <w:pStyle w:val="6"/>
              <w:spacing w:line="241" w:lineRule="auto"/>
            </w:pPr>
          </w:p>
          <w:p w14:paraId="005F59FF">
            <w:pPr>
              <w:pStyle w:val="6"/>
              <w:spacing w:line="241" w:lineRule="auto"/>
            </w:pPr>
          </w:p>
          <w:p w14:paraId="361D5340">
            <w:pPr>
              <w:spacing w:before="49" w:line="238" w:lineRule="auto"/>
              <w:ind w:left="728"/>
              <w:rPr>
                <w:rFonts w:ascii="宋体" w:hAnsi="宋体" w:eastAsia="宋体" w:cs="宋体"/>
                <w:sz w:val="15"/>
                <w:szCs w:val="15"/>
              </w:rPr>
            </w:pPr>
            <w:r>
              <w:rPr>
                <w:rFonts w:ascii="宋体" w:hAnsi="宋体" w:eastAsia="宋体" w:cs="宋体"/>
                <w:sz w:val="15"/>
                <w:szCs w:val="15"/>
              </w:rPr>
              <w:t>√</w:t>
            </w:r>
          </w:p>
          <w:p w14:paraId="60373D97">
            <w:pPr>
              <w:spacing w:before="167" w:line="238" w:lineRule="auto"/>
              <w:ind w:left="728"/>
              <w:rPr>
                <w:rFonts w:ascii="宋体" w:hAnsi="宋体" w:eastAsia="宋体" w:cs="宋体"/>
                <w:sz w:val="15"/>
                <w:szCs w:val="15"/>
              </w:rPr>
            </w:pPr>
            <w:r>
              <w:rPr>
                <w:rFonts w:ascii="宋体" w:hAnsi="宋体" w:eastAsia="宋体" w:cs="宋体"/>
                <w:sz w:val="15"/>
                <w:szCs w:val="15"/>
              </w:rPr>
              <w:t>√</w:t>
            </w:r>
          </w:p>
          <w:p w14:paraId="77B1EC4F">
            <w:pPr>
              <w:spacing w:before="176" w:line="201" w:lineRule="exact"/>
              <w:ind w:left="728"/>
              <w:rPr>
                <w:rFonts w:ascii="宋体" w:hAnsi="宋体" w:eastAsia="宋体" w:cs="宋体"/>
                <w:sz w:val="15"/>
                <w:szCs w:val="15"/>
              </w:rPr>
            </w:pPr>
            <w:r>
              <w:rPr>
                <w:rFonts w:ascii="宋体" w:hAnsi="宋体" w:eastAsia="宋体" w:cs="宋体"/>
                <w:position w:val="1"/>
                <w:sz w:val="15"/>
                <w:szCs w:val="15"/>
              </w:rPr>
              <w:t>×</w:t>
            </w:r>
          </w:p>
          <w:p w14:paraId="47413AF8">
            <w:pPr>
              <w:spacing w:before="169" w:line="238" w:lineRule="auto"/>
              <w:ind w:left="728"/>
              <w:rPr>
                <w:rFonts w:ascii="宋体" w:hAnsi="宋体" w:eastAsia="宋体" w:cs="宋体"/>
                <w:sz w:val="15"/>
                <w:szCs w:val="15"/>
              </w:rPr>
            </w:pPr>
            <w:r>
              <w:rPr>
                <w:rFonts w:ascii="宋体" w:hAnsi="宋体" w:eastAsia="宋体" w:cs="宋体"/>
                <w:sz w:val="15"/>
                <w:szCs w:val="15"/>
              </w:rPr>
              <w:t>√</w:t>
            </w:r>
          </w:p>
        </w:tc>
      </w:tr>
    </w:tbl>
    <w:p w14:paraId="4BFFE31F">
      <w:pPr>
        <w:rPr>
          <w:rFonts w:ascii="Arial"/>
          <w:sz w:val="21"/>
        </w:rPr>
      </w:pPr>
    </w:p>
    <w:p w14:paraId="1E8149B6">
      <w:pPr>
        <w:rPr>
          <w:rFonts w:ascii="Arial" w:hAnsi="Arial" w:eastAsia="Arial" w:cs="Arial"/>
          <w:sz w:val="21"/>
          <w:szCs w:val="21"/>
        </w:rPr>
        <w:sectPr>
          <w:footerReference r:id="rId507" w:type="default"/>
          <w:pgSz w:w="11910" w:h="17130"/>
          <w:pgMar w:top="400" w:right="1405" w:bottom="1650" w:left="1155" w:header="0" w:footer="1442" w:gutter="0"/>
          <w:cols w:space="720" w:num="1"/>
        </w:sectPr>
      </w:pPr>
    </w:p>
    <w:p w14:paraId="7C8826C6">
      <w:pPr>
        <w:spacing w:line="255" w:lineRule="auto"/>
        <w:rPr>
          <w:rFonts w:ascii="Arial"/>
          <w:sz w:val="21"/>
        </w:rPr>
      </w:pPr>
    </w:p>
    <w:p w14:paraId="51DCCD1B">
      <w:pPr>
        <w:spacing w:line="255" w:lineRule="auto"/>
        <w:rPr>
          <w:rFonts w:ascii="Arial"/>
          <w:sz w:val="21"/>
        </w:rPr>
      </w:pPr>
    </w:p>
    <w:p w14:paraId="1993A1C7">
      <w:pPr>
        <w:spacing w:line="255" w:lineRule="auto"/>
        <w:rPr>
          <w:rFonts w:ascii="Arial"/>
          <w:sz w:val="21"/>
        </w:rPr>
      </w:pPr>
    </w:p>
    <w:p w14:paraId="0992ECB9">
      <w:pPr>
        <w:spacing w:line="256" w:lineRule="auto"/>
        <w:rPr>
          <w:rFonts w:ascii="Arial"/>
          <w:sz w:val="21"/>
        </w:rPr>
      </w:pPr>
    </w:p>
    <w:p w14:paraId="0A7F7C2C">
      <w:pPr>
        <w:pStyle w:val="2"/>
        <w:spacing w:before="72" w:line="220" w:lineRule="auto"/>
        <w:ind w:left="8670"/>
        <w:rPr>
          <w:sz w:val="22"/>
          <w:szCs w:val="22"/>
        </w:rPr>
      </w:pPr>
      <w:r>
        <w:rPr>
          <w:spacing w:val="16"/>
          <w:sz w:val="22"/>
          <w:szCs w:val="22"/>
        </w:rPr>
        <w:t>(续)</w:t>
      </w:r>
    </w:p>
    <w:p w14:paraId="19471B31">
      <w:pPr>
        <w:spacing w:line="133" w:lineRule="exact"/>
      </w:pPr>
    </w:p>
    <w:tbl>
      <w:tblPr>
        <w:tblStyle w:val="5"/>
        <w:tblW w:w="936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61"/>
        <w:gridCol w:w="629"/>
        <w:gridCol w:w="1039"/>
        <w:gridCol w:w="1049"/>
        <w:gridCol w:w="1258"/>
        <w:gridCol w:w="1633"/>
      </w:tblGrid>
      <w:tr w14:paraId="71807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761" w:type="dxa"/>
            <w:vMerge w:val="restart"/>
            <w:tcBorders>
              <w:bottom w:val="nil"/>
            </w:tcBorders>
            <w:vAlign w:val="top"/>
          </w:tcPr>
          <w:p w14:paraId="499280C1">
            <w:pPr>
              <w:pStyle w:val="6"/>
              <w:spacing w:line="471" w:lineRule="auto"/>
            </w:pPr>
          </w:p>
          <w:p w14:paraId="18240534">
            <w:pPr>
              <w:spacing w:before="58" w:line="220" w:lineRule="auto"/>
              <w:ind w:left="714"/>
              <w:rPr>
                <w:rFonts w:ascii="宋体" w:hAnsi="宋体" w:eastAsia="宋体" w:cs="宋体"/>
                <w:sz w:val="18"/>
                <w:szCs w:val="18"/>
              </w:rPr>
            </w:pPr>
            <w:r>
              <w:rPr>
                <w:rFonts w:ascii="宋体" w:hAnsi="宋体" w:eastAsia="宋体" w:cs="宋体"/>
                <w:spacing w:val="-10"/>
                <w:sz w:val="18"/>
                <w:szCs w:val="18"/>
              </w:rPr>
              <w:t>工   作</w:t>
            </w:r>
            <w:r>
              <w:rPr>
                <w:rFonts w:ascii="宋体" w:hAnsi="宋体" w:eastAsia="宋体" w:cs="宋体"/>
                <w:spacing w:val="41"/>
                <w:sz w:val="18"/>
                <w:szCs w:val="18"/>
              </w:rPr>
              <w:t xml:space="preserve">  </w:t>
            </w:r>
            <w:r>
              <w:rPr>
                <w:rFonts w:ascii="宋体" w:hAnsi="宋体" w:eastAsia="宋体" w:cs="宋体"/>
                <w:spacing w:val="-10"/>
                <w:sz w:val="18"/>
                <w:szCs w:val="18"/>
              </w:rPr>
              <w:t>项</w:t>
            </w:r>
            <w:r>
              <w:rPr>
                <w:rFonts w:ascii="宋体" w:hAnsi="宋体" w:eastAsia="宋体" w:cs="宋体"/>
                <w:spacing w:val="7"/>
                <w:sz w:val="18"/>
                <w:szCs w:val="18"/>
              </w:rPr>
              <w:t xml:space="preserve">   </w:t>
            </w:r>
            <w:r>
              <w:rPr>
                <w:rFonts w:ascii="宋体" w:hAnsi="宋体" w:eastAsia="宋体" w:cs="宋体"/>
                <w:spacing w:val="-10"/>
                <w:sz w:val="18"/>
                <w:szCs w:val="18"/>
              </w:rPr>
              <w:t>目</w:t>
            </w:r>
            <w:r>
              <w:rPr>
                <w:rFonts w:ascii="宋体" w:hAnsi="宋体" w:eastAsia="宋体" w:cs="宋体"/>
                <w:spacing w:val="41"/>
                <w:sz w:val="18"/>
                <w:szCs w:val="18"/>
              </w:rPr>
              <w:t xml:space="preserve">  </w:t>
            </w:r>
            <w:r>
              <w:rPr>
                <w:rFonts w:ascii="宋体" w:hAnsi="宋体" w:eastAsia="宋体" w:cs="宋体"/>
                <w:spacing w:val="-10"/>
                <w:sz w:val="18"/>
                <w:szCs w:val="18"/>
              </w:rPr>
              <w:t>名</w:t>
            </w:r>
            <w:r>
              <w:rPr>
                <w:rFonts w:ascii="宋体" w:hAnsi="宋体" w:eastAsia="宋体" w:cs="宋体"/>
                <w:spacing w:val="39"/>
                <w:sz w:val="18"/>
                <w:szCs w:val="18"/>
              </w:rPr>
              <w:t xml:space="preserve">  </w:t>
            </w:r>
            <w:r>
              <w:rPr>
                <w:rFonts w:ascii="宋体" w:hAnsi="宋体" w:eastAsia="宋体" w:cs="宋体"/>
                <w:spacing w:val="-10"/>
                <w:sz w:val="18"/>
                <w:szCs w:val="18"/>
              </w:rPr>
              <w:t>称</w:t>
            </w:r>
          </w:p>
        </w:tc>
        <w:tc>
          <w:tcPr>
            <w:tcW w:w="5608" w:type="dxa"/>
            <w:gridSpan w:val="5"/>
            <w:vAlign w:val="top"/>
          </w:tcPr>
          <w:p w14:paraId="6237DA90">
            <w:pPr>
              <w:spacing w:before="122" w:line="220" w:lineRule="auto"/>
              <w:ind w:left="2183"/>
              <w:rPr>
                <w:rFonts w:ascii="宋体" w:hAnsi="宋体" w:eastAsia="宋体" w:cs="宋体"/>
                <w:sz w:val="18"/>
                <w:szCs w:val="18"/>
              </w:rPr>
            </w:pPr>
            <w:r>
              <w:rPr>
                <w:rFonts w:ascii="宋体" w:hAnsi="宋体" w:eastAsia="宋体" w:cs="宋体"/>
                <w:spacing w:val="3"/>
                <w:sz w:val="18"/>
                <w:szCs w:val="18"/>
              </w:rPr>
              <w:t>各阶段的应用</w:t>
            </w:r>
          </w:p>
        </w:tc>
      </w:tr>
      <w:tr w14:paraId="621EF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761" w:type="dxa"/>
            <w:vMerge w:val="continue"/>
            <w:tcBorders>
              <w:top w:val="nil"/>
              <w:bottom w:val="nil"/>
            </w:tcBorders>
            <w:vAlign w:val="top"/>
          </w:tcPr>
          <w:p w14:paraId="7D2D5AE7">
            <w:pPr>
              <w:pStyle w:val="6"/>
            </w:pPr>
          </w:p>
        </w:tc>
        <w:tc>
          <w:tcPr>
            <w:tcW w:w="629" w:type="dxa"/>
            <w:vMerge w:val="restart"/>
            <w:tcBorders>
              <w:bottom w:val="nil"/>
            </w:tcBorders>
            <w:vAlign w:val="top"/>
          </w:tcPr>
          <w:p w14:paraId="2D0CD137">
            <w:pPr>
              <w:spacing w:before="135" w:line="227" w:lineRule="auto"/>
              <w:ind w:left="124"/>
              <w:rPr>
                <w:rFonts w:ascii="宋体" w:hAnsi="宋体" w:eastAsia="宋体" w:cs="宋体"/>
                <w:sz w:val="18"/>
                <w:szCs w:val="18"/>
              </w:rPr>
            </w:pPr>
            <w:r>
              <w:rPr>
                <w:rFonts w:ascii="宋体" w:hAnsi="宋体" w:eastAsia="宋体" w:cs="宋体"/>
                <w:spacing w:val="-3"/>
                <w:sz w:val="18"/>
                <w:szCs w:val="18"/>
              </w:rPr>
              <w:t>论证</w:t>
            </w:r>
          </w:p>
          <w:p w14:paraId="3ADF4160">
            <w:pPr>
              <w:spacing w:before="113" w:line="221" w:lineRule="auto"/>
              <w:ind w:left="124"/>
              <w:rPr>
                <w:rFonts w:ascii="宋体" w:hAnsi="宋体" w:eastAsia="宋体" w:cs="宋体"/>
                <w:sz w:val="18"/>
                <w:szCs w:val="18"/>
              </w:rPr>
            </w:pPr>
            <w:r>
              <w:rPr>
                <w:rFonts w:ascii="宋体" w:hAnsi="宋体" w:eastAsia="宋体" w:cs="宋体"/>
                <w:spacing w:val="3"/>
                <w:sz w:val="18"/>
                <w:szCs w:val="18"/>
              </w:rPr>
              <w:t>阶段</w:t>
            </w:r>
          </w:p>
        </w:tc>
        <w:tc>
          <w:tcPr>
            <w:tcW w:w="2088" w:type="dxa"/>
            <w:gridSpan w:val="2"/>
            <w:vAlign w:val="top"/>
          </w:tcPr>
          <w:p w14:paraId="1634C468">
            <w:pPr>
              <w:spacing w:before="109" w:line="220" w:lineRule="auto"/>
              <w:ind w:left="635"/>
              <w:rPr>
                <w:rFonts w:ascii="宋体" w:hAnsi="宋体" w:eastAsia="宋体" w:cs="宋体"/>
                <w:sz w:val="18"/>
                <w:szCs w:val="18"/>
              </w:rPr>
            </w:pPr>
            <w:r>
              <w:rPr>
                <w:rFonts w:ascii="宋体" w:hAnsi="宋体" w:eastAsia="宋体" w:cs="宋体"/>
                <w:spacing w:val="-2"/>
                <w:sz w:val="18"/>
                <w:szCs w:val="18"/>
              </w:rPr>
              <w:t>方案阶段</w:t>
            </w:r>
          </w:p>
        </w:tc>
        <w:tc>
          <w:tcPr>
            <w:tcW w:w="1258" w:type="dxa"/>
            <w:vMerge w:val="restart"/>
            <w:tcBorders>
              <w:bottom w:val="nil"/>
            </w:tcBorders>
            <w:vAlign w:val="top"/>
          </w:tcPr>
          <w:p w14:paraId="037B3192">
            <w:pPr>
              <w:spacing w:before="119" w:line="348" w:lineRule="auto"/>
              <w:ind w:left="176" w:right="181" w:firstLine="90"/>
              <w:rPr>
                <w:rFonts w:ascii="宋体" w:hAnsi="宋体" w:eastAsia="宋体" w:cs="宋体"/>
                <w:sz w:val="18"/>
                <w:szCs w:val="18"/>
              </w:rPr>
            </w:pPr>
            <w:r>
              <w:rPr>
                <w:rFonts w:ascii="宋体" w:hAnsi="宋体" w:eastAsia="宋体" w:cs="宋体"/>
                <w:spacing w:val="3"/>
                <w:sz w:val="18"/>
                <w:szCs w:val="18"/>
              </w:rPr>
              <w:t>工程研制</w:t>
            </w:r>
            <w:r>
              <w:rPr>
                <w:rFonts w:ascii="宋体" w:hAnsi="宋体" w:eastAsia="宋体" w:cs="宋体"/>
                <w:spacing w:val="2"/>
                <w:sz w:val="18"/>
                <w:szCs w:val="18"/>
              </w:rPr>
              <w:t xml:space="preserve"> </w:t>
            </w:r>
            <w:r>
              <w:rPr>
                <w:rFonts w:ascii="宋体" w:hAnsi="宋体" w:eastAsia="宋体" w:cs="宋体"/>
                <w:spacing w:val="-3"/>
                <w:sz w:val="18"/>
                <w:szCs w:val="18"/>
              </w:rPr>
              <w:t>与定型阶段</w:t>
            </w:r>
          </w:p>
        </w:tc>
        <w:tc>
          <w:tcPr>
            <w:tcW w:w="1633" w:type="dxa"/>
            <w:vMerge w:val="restart"/>
            <w:tcBorders>
              <w:bottom w:val="nil"/>
            </w:tcBorders>
            <w:vAlign w:val="top"/>
          </w:tcPr>
          <w:p w14:paraId="7D52FA55">
            <w:pPr>
              <w:spacing w:before="119" w:line="348" w:lineRule="auto"/>
              <w:ind w:left="449" w:right="192" w:hanging="270"/>
              <w:rPr>
                <w:rFonts w:ascii="宋体" w:hAnsi="宋体" w:eastAsia="宋体" w:cs="宋体"/>
                <w:sz w:val="18"/>
                <w:szCs w:val="18"/>
              </w:rPr>
            </w:pPr>
            <w:r>
              <w:rPr>
                <w:rFonts w:ascii="宋体" w:hAnsi="宋体" w:eastAsia="宋体" w:cs="宋体"/>
                <w:spacing w:val="-2"/>
                <w:sz w:val="18"/>
                <w:szCs w:val="18"/>
              </w:rPr>
              <w:t>生产阶段及部署</w:t>
            </w:r>
            <w:r>
              <w:rPr>
                <w:rFonts w:ascii="宋体" w:hAnsi="宋体" w:eastAsia="宋体" w:cs="宋体"/>
                <w:spacing w:val="4"/>
                <w:sz w:val="18"/>
                <w:szCs w:val="18"/>
              </w:rPr>
              <w:t xml:space="preserve"> </w:t>
            </w:r>
            <w:r>
              <w:rPr>
                <w:rFonts w:ascii="宋体" w:hAnsi="宋体" w:eastAsia="宋体" w:cs="宋体"/>
                <w:spacing w:val="-2"/>
                <w:sz w:val="18"/>
                <w:szCs w:val="18"/>
              </w:rPr>
              <w:t>使用阶段</w:t>
            </w:r>
          </w:p>
        </w:tc>
      </w:tr>
      <w:tr w14:paraId="4C340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761" w:type="dxa"/>
            <w:vMerge w:val="continue"/>
            <w:tcBorders>
              <w:top w:val="nil"/>
            </w:tcBorders>
            <w:vAlign w:val="top"/>
          </w:tcPr>
          <w:p w14:paraId="4616F119">
            <w:pPr>
              <w:pStyle w:val="6"/>
            </w:pPr>
          </w:p>
        </w:tc>
        <w:tc>
          <w:tcPr>
            <w:tcW w:w="629" w:type="dxa"/>
            <w:vMerge w:val="continue"/>
            <w:tcBorders>
              <w:top w:val="nil"/>
            </w:tcBorders>
            <w:vAlign w:val="top"/>
          </w:tcPr>
          <w:p w14:paraId="6D853428">
            <w:pPr>
              <w:pStyle w:val="6"/>
            </w:pPr>
          </w:p>
        </w:tc>
        <w:tc>
          <w:tcPr>
            <w:tcW w:w="1039" w:type="dxa"/>
            <w:vAlign w:val="top"/>
          </w:tcPr>
          <w:p w14:paraId="6FFAB48D">
            <w:pPr>
              <w:spacing w:before="110" w:line="220" w:lineRule="auto"/>
              <w:ind w:left="154"/>
              <w:rPr>
                <w:rFonts w:ascii="宋体" w:hAnsi="宋体" w:eastAsia="宋体" w:cs="宋体"/>
                <w:sz w:val="18"/>
                <w:szCs w:val="18"/>
              </w:rPr>
            </w:pPr>
            <w:r>
              <w:rPr>
                <w:rFonts w:ascii="宋体" w:hAnsi="宋体" w:eastAsia="宋体" w:cs="宋体"/>
                <w:spacing w:val="-2"/>
                <w:sz w:val="18"/>
                <w:szCs w:val="18"/>
              </w:rPr>
              <w:t>方案论证</w:t>
            </w:r>
          </w:p>
        </w:tc>
        <w:tc>
          <w:tcPr>
            <w:tcW w:w="1049" w:type="dxa"/>
            <w:vAlign w:val="top"/>
          </w:tcPr>
          <w:p w14:paraId="4FBB5C2A">
            <w:pPr>
              <w:spacing w:before="110" w:line="220" w:lineRule="auto"/>
              <w:ind w:left="155"/>
              <w:rPr>
                <w:rFonts w:ascii="宋体" w:hAnsi="宋体" w:eastAsia="宋体" w:cs="宋体"/>
                <w:sz w:val="18"/>
                <w:szCs w:val="18"/>
              </w:rPr>
            </w:pPr>
            <w:r>
              <w:rPr>
                <w:rFonts w:ascii="宋体" w:hAnsi="宋体" w:eastAsia="宋体" w:cs="宋体"/>
                <w:spacing w:val="-2"/>
                <w:sz w:val="18"/>
                <w:szCs w:val="18"/>
              </w:rPr>
              <w:t>方案确认</w:t>
            </w:r>
          </w:p>
        </w:tc>
        <w:tc>
          <w:tcPr>
            <w:tcW w:w="1258" w:type="dxa"/>
            <w:vMerge w:val="continue"/>
            <w:tcBorders>
              <w:top w:val="nil"/>
            </w:tcBorders>
            <w:vAlign w:val="top"/>
          </w:tcPr>
          <w:p w14:paraId="308E2BEB">
            <w:pPr>
              <w:pStyle w:val="6"/>
            </w:pPr>
          </w:p>
        </w:tc>
        <w:tc>
          <w:tcPr>
            <w:tcW w:w="1633" w:type="dxa"/>
            <w:vMerge w:val="continue"/>
            <w:tcBorders>
              <w:top w:val="nil"/>
            </w:tcBorders>
            <w:vAlign w:val="top"/>
          </w:tcPr>
          <w:p w14:paraId="51EF0C7E">
            <w:pPr>
              <w:pStyle w:val="6"/>
            </w:pPr>
          </w:p>
        </w:tc>
      </w:tr>
      <w:tr w14:paraId="20D34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5" w:hRule="atLeast"/>
        </w:trPr>
        <w:tc>
          <w:tcPr>
            <w:tcW w:w="3761" w:type="dxa"/>
            <w:vAlign w:val="top"/>
          </w:tcPr>
          <w:p w14:paraId="36CAE2FF">
            <w:pPr>
              <w:spacing w:before="111" w:line="220" w:lineRule="auto"/>
              <w:ind w:left="315"/>
              <w:rPr>
                <w:rFonts w:ascii="宋体" w:hAnsi="宋体" w:eastAsia="宋体" w:cs="宋体"/>
                <w:sz w:val="18"/>
                <w:szCs w:val="18"/>
              </w:rPr>
            </w:pPr>
            <w:r>
              <w:rPr>
                <w:rFonts w:ascii="宋体" w:hAnsi="宋体" w:eastAsia="宋体" w:cs="宋体"/>
                <w:spacing w:val="-2"/>
                <w:sz w:val="18"/>
                <w:szCs w:val="18"/>
              </w:rPr>
              <w:t>子项目</w:t>
            </w:r>
            <w:r>
              <w:rPr>
                <w:rFonts w:ascii="宋体" w:hAnsi="宋体" w:eastAsia="宋体" w:cs="宋体"/>
                <w:spacing w:val="6"/>
                <w:sz w:val="18"/>
                <w:szCs w:val="18"/>
              </w:rPr>
              <w:t xml:space="preserve">  </w:t>
            </w:r>
            <w:r>
              <w:rPr>
                <w:rFonts w:ascii="宋体" w:hAnsi="宋体" w:eastAsia="宋体" w:cs="宋体"/>
                <w:spacing w:val="-2"/>
                <w:sz w:val="18"/>
                <w:szCs w:val="18"/>
              </w:rPr>
              <w:t>501.2.3</w:t>
            </w:r>
          </w:p>
          <w:p w14:paraId="519E0D49">
            <w:pPr>
              <w:spacing w:before="235" w:line="228" w:lineRule="auto"/>
              <w:ind w:left="325"/>
              <w:rPr>
                <w:rFonts w:ascii="宋体" w:hAnsi="宋体" w:eastAsia="宋体" w:cs="宋体"/>
                <w:sz w:val="18"/>
                <w:szCs w:val="18"/>
              </w:rPr>
            </w:pPr>
            <w:r>
              <w:rPr>
                <w:rFonts w:ascii="宋体" w:hAnsi="宋体" w:eastAsia="宋体" w:cs="宋体"/>
                <w:spacing w:val="2"/>
                <w:sz w:val="18"/>
                <w:szCs w:val="18"/>
              </w:rPr>
              <w:t>子项目</w:t>
            </w:r>
            <w:r>
              <w:rPr>
                <w:rFonts w:ascii="宋体" w:hAnsi="宋体" w:eastAsia="宋体" w:cs="宋体"/>
                <w:spacing w:val="14"/>
                <w:sz w:val="18"/>
                <w:szCs w:val="18"/>
              </w:rPr>
              <w:t xml:space="preserve">  </w:t>
            </w:r>
            <w:r>
              <w:rPr>
                <w:rFonts w:ascii="宋体" w:hAnsi="宋体" w:eastAsia="宋体" w:cs="宋体"/>
                <w:spacing w:val="2"/>
                <w:sz w:val="18"/>
                <w:szCs w:val="18"/>
              </w:rPr>
              <w:t>501.2.4</w:t>
            </w:r>
          </w:p>
          <w:p w14:paraId="1F75CF6D">
            <w:pPr>
              <w:spacing w:before="187" w:line="228" w:lineRule="auto"/>
              <w:ind w:left="335"/>
              <w:rPr>
                <w:rFonts w:ascii="宋体" w:hAnsi="宋体" w:eastAsia="宋体" w:cs="宋体"/>
                <w:sz w:val="18"/>
                <w:szCs w:val="18"/>
              </w:rPr>
            </w:pPr>
            <w:r>
              <w:rPr>
                <w:rFonts w:ascii="宋体" w:hAnsi="宋体" w:eastAsia="宋体" w:cs="宋体"/>
                <w:spacing w:val="3"/>
                <w:sz w:val="18"/>
                <w:szCs w:val="18"/>
              </w:rPr>
              <w:t>子项目  501.2.5</w:t>
            </w:r>
          </w:p>
          <w:p w14:paraId="76D4A372">
            <w:pPr>
              <w:spacing w:before="178" w:line="220" w:lineRule="auto"/>
              <w:ind w:left="305"/>
              <w:rPr>
                <w:rFonts w:ascii="宋体" w:hAnsi="宋体" w:eastAsia="宋体" w:cs="宋体"/>
                <w:sz w:val="18"/>
                <w:szCs w:val="18"/>
              </w:rPr>
            </w:pPr>
            <w:r>
              <w:rPr>
                <w:rFonts w:ascii="宋体" w:hAnsi="宋体" w:eastAsia="宋体" w:cs="宋体"/>
                <w:spacing w:val="-2"/>
                <w:sz w:val="18"/>
                <w:szCs w:val="18"/>
              </w:rPr>
              <w:t>子项目</w:t>
            </w:r>
            <w:r>
              <w:rPr>
                <w:rFonts w:ascii="宋体" w:hAnsi="宋体" w:eastAsia="宋体" w:cs="宋体"/>
                <w:spacing w:val="6"/>
                <w:sz w:val="18"/>
                <w:szCs w:val="18"/>
              </w:rPr>
              <w:t xml:space="preserve">  </w:t>
            </w:r>
            <w:r>
              <w:rPr>
                <w:rFonts w:ascii="宋体" w:hAnsi="宋体" w:eastAsia="宋体" w:cs="宋体"/>
                <w:spacing w:val="-2"/>
                <w:sz w:val="18"/>
                <w:szCs w:val="18"/>
              </w:rPr>
              <w:t>501.2.6</w:t>
            </w:r>
          </w:p>
        </w:tc>
        <w:tc>
          <w:tcPr>
            <w:tcW w:w="629" w:type="dxa"/>
            <w:vAlign w:val="top"/>
          </w:tcPr>
          <w:p w14:paraId="482E1229">
            <w:pPr>
              <w:spacing w:before="129" w:line="241" w:lineRule="exact"/>
              <w:ind w:left="213"/>
              <w:rPr>
                <w:rFonts w:ascii="宋体" w:hAnsi="宋体" w:eastAsia="宋体" w:cs="宋体"/>
                <w:sz w:val="18"/>
                <w:szCs w:val="18"/>
              </w:rPr>
            </w:pPr>
            <w:r>
              <w:rPr>
                <w:rFonts w:ascii="宋体" w:hAnsi="宋体" w:eastAsia="宋体" w:cs="宋体"/>
                <w:position w:val="1"/>
                <w:sz w:val="18"/>
                <w:szCs w:val="18"/>
              </w:rPr>
              <w:t>×</w:t>
            </w:r>
          </w:p>
          <w:p w14:paraId="50EE086E">
            <w:pPr>
              <w:spacing w:before="168" w:line="242" w:lineRule="exact"/>
              <w:ind w:left="213"/>
              <w:rPr>
                <w:rFonts w:ascii="宋体" w:hAnsi="宋体" w:eastAsia="宋体" w:cs="宋体"/>
                <w:sz w:val="18"/>
                <w:szCs w:val="18"/>
              </w:rPr>
            </w:pPr>
            <w:r>
              <w:rPr>
                <w:rFonts w:ascii="宋体" w:hAnsi="宋体" w:eastAsia="宋体" w:cs="宋体"/>
                <w:position w:val="1"/>
                <w:sz w:val="18"/>
                <w:szCs w:val="18"/>
              </w:rPr>
              <w:t>×</w:t>
            </w:r>
          </w:p>
          <w:p w14:paraId="474C5768">
            <w:pPr>
              <w:spacing w:before="188" w:line="241" w:lineRule="exact"/>
              <w:ind w:left="213"/>
              <w:rPr>
                <w:rFonts w:ascii="宋体" w:hAnsi="宋体" w:eastAsia="宋体" w:cs="宋体"/>
                <w:sz w:val="18"/>
                <w:szCs w:val="18"/>
              </w:rPr>
            </w:pPr>
            <w:r>
              <w:rPr>
                <w:rFonts w:ascii="宋体" w:hAnsi="宋体" w:eastAsia="宋体" w:cs="宋体"/>
                <w:position w:val="1"/>
                <w:sz w:val="18"/>
                <w:szCs w:val="18"/>
              </w:rPr>
              <w:t>×</w:t>
            </w:r>
          </w:p>
          <w:p w14:paraId="46BD88BA">
            <w:pPr>
              <w:spacing w:before="68" w:line="242" w:lineRule="exact"/>
              <w:ind w:left="213"/>
              <w:rPr>
                <w:rFonts w:ascii="宋体" w:hAnsi="宋体" w:eastAsia="宋体" w:cs="宋体"/>
                <w:sz w:val="18"/>
                <w:szCs w:val="18"/>
              </w:rPr>
            </w:pPr>
            <w:r>
              <w:rPr>
                <w:rFonts w:ascii="宋体" w:hAnsi="宋体" w:eastAsia="宋体" w:cs="宋体"/>
                <w:position w:val="1"/>
                <w:sz w:val="18"/>
                <w:szCs w:val="18"/>
              </w:rPr>
              <w:t>×</w:t>
            </w:r>
          </w:p>
        </w:tc>
        <w:tc>
          <w:tcPr>
            <w:tcW w:w="1039" w:type="dxa"/>
            <w:vAlign w:val="top"/>
          </w:tcPr>
          <w:p w14:paraId="2CDB3C5F">
            <w:pPr>
              <w:spacing w:before="149" w:line="241" w:lineRule="exact"/>
              <w:ind w:left="424"/>
              <w:rPr>
                <w:rFonts w:ascii="宋体" w:hAnsi="宋体" w:eastAsia="宋体" w:cs="宋体"/>
                <w:sz w:val="18"/>
                <w:szCs w:val="18"/>
              </w:rPr>
            </w:pPr>
            <w:r>
              <w:rPr>
                <w:rFonts w:ascii="宋体" w:hAnsi="宋体" w:eastAsia="宋体" w:cs="宋体"/>
                <w:position w:val="1"/>
                <w:sz w:val="18"/>
                <w:szCs w:val="18"/>
              </w:rPr>
              <w:t>×</w:t>
            </w:r>
          </w:p>
          <w:p w14:paraId="01105F76">
            <w:pPr>
              <w:spacing w:before="158" w:line="241" w:lineRule="exact"/>
              <w:ind w:left="424"/>
              <w:rPr>
                <w:rFonts w:ascii="宋体" w:hAnsi="宋体" w:eastAsia="宋体" w:cs="宋体"/>
                <w:sz w:val="18"/>
                <w:szCs w:val="18"/>
              </w:rPr>
            </w:pPr>
            <w:r>
              <w:rPr>
                <w:rFonts w:ascii="宋体" w:hAnsi="宋体" w:eastAsia="宋体" w:cs="宋体"/>
                <w:position w:val="1"/>
                <w:sz w:val="18"/>
                <w:szCs w:val="18"/>
              </w:rPr>
              <w:t>×</w:t>
            </w:r>
          </w:p>
          <w:p w14:paraId="4722ADB9">
            <w:pPr>
              <w:spacing w:before="188" w:line="241" w:lineRule="exact"/>
              <w:ind w:left="424"/>
              <w:rPr>
                <w:rFonts w:ascii="宋体" w:hAnsi="宋体" w:eastAsia="宋体" w:cs="宋体"/>
                <w:sz w:val="18"/>
                <w:szCs w:val="18"/>
              </w:rPr>
            </w:pPr>
            <w:r>
              <w:rPr>
                <w:rFonts w:ascii="宋体" w:hAnsi="宋体" w:eastAsia="宋体" w:cs="宋体"/>
                <w:position w:val="1"/>
                <w:sz w:val="18"/>
                <w:szCs w:val="18"/>
              </w:rPr>
              <w:t>×</w:t>
            </w:r>
          </w:p>
          <w:p w14:paraId="4E17F8BB">
            <w:pPr>
              <w:spacing w:before="169" w:line="241" w:lineRule="exact"/>
              <w:ind w:left="424"/>
              <w:rPr>
                <w:rFonts w:ascii="宋体" w:hAnsi="宋体" w:eastAsia="宋体" w:cs="宋体"/>
                <w:sz w:val="18"/>
                <w:szCs w:val="18"/>
              </w:rPr>
            </w:pPr>
            <w:r>
              <w:rPr>
                <w:rFonts w:ascii="宋体" w:hAnsi="宋体" w:eastAsia="宋体" w:cs="宋体"/>
                <w:position w:val="1"/>
                <w:sz w:val="18"/>
                <w:szCs w:val="18"/>
              </w:rPr>
              <w:t>×</w:t>
            </w:r>
          </w:p>
        </w:tc>
        <w:tc>
          <w:tcPr>
            <w:tcW w:w="1049" w:type="dxa"/>
            <w:vAlign w:val="top"/>
          </w:tcPr>
          <w:p w14:paraId="532BC9C6">
            <w:pPr>
              <w:spacing w:before="139" w:line="238" w:lineRule="auto"/>
              <w:ind w:left="425"/>
              <w:rPr>
                <w:rFonts w:ascii="宋体" w:hAnsi="宋体" w:eastAsia="宋体" w:cs="宋体"/>
                <w:sz w:val="18"/>
                <w:szCs w:val="18"/>
              </w:rPr>
            </w:pPr>
            <w:r>
              <w:rPr>
                <w:rFonts w:ascii="宋体" w:hAnsi="宋体" w:eastAsia="宋体" w:cs="宋体"/>
                <w:sz w:val="18"/>
                <w:szCs w:val="18"/>
              </w:rPr>
              <w:t>√</w:t>
            </w:r>
          </w:p>
          <w:p w14:paraId="53600FFC">
            <w:pPr>
              <w:spacing w:before="187" w:line="238" w:lineRule="auto"/>
              <w:ind w:left="425"/>
              <w:rPr>
                <w:rFonts w:ascii="宋体" w:hAnsi="宋体" w:eastAsia="宋体" w:cs="宋体"/>
                <w:sz w:val="18"/>
                <w:szCs w:val="18"/>
              </w:rPr>
            </w:pPr>
            <w:r>
              <w:rPr>
                <w:rFonts w:ascii="宋体" w:hAnsi="宋体" w:eastAsia="宋体" w:cs="宋体"/>
                <w:sz w:val="18"/>
                <w:szCs w:val="18"/>
              </w:rPr>
              <w:t>√</w:t>
            </w:r>
          </w:p>
          <w:p w14:paraId="4C7849D6">
            <w:pPr>
              <w:spacing w:before="187" w:line="241" w:lineRule="exact"/>
              <w:ind w:left="425"/>
              <w:rPr>
                <w:rFonts w:ascii="宋体" w:hAnsi="宋体" w:eastAsia="宋体" w:cs="宋体"/>
                <w:sz w:val="18"/>
                <w:szCs w:val="18"/>
              </w:rPr>
            </w:pPr>
            <w:r>
              <w:rPr>
                <w:rFonts w:ascii="宋体" w:hAnsi="宋体" w:eastAsia="宋体" w:cs="宋体"/>
                <w:position w:val="1"/>
                <w:sz w:val="18"/>
                <w:szCs w:val="18"/>
              </w:rPr>
              <w:t>×</w:t>
            </w:r>
          </w:p>
          <w:p w14:paraId="12F305DF">
            <w:pPr>
              <w:spacing w:before="169" w:line="241" w:lineRule="exact"/>
              <w:ind w:left="425"/>
              <w:rPr>
                <w:rFonts w:ascii="宋体" w:hAnsi="宋体" w:eastAsia="宋体" w:cs="宋体"/>
                <w:sz w:val="18"/>
                <w:szCs w:val="18"/>
              </w:rPr>
            </w:pPr>
            <w:r>
              <w:rPr>
                <w:rFonts w:ascii="宋体" w:hAnsi="宋体" w:eastAsia="宋体" w:cs="宋体"/>
                <w:position w:val="1"/>
                <w:sz w:val="18"/>
                <w:szCs w:val="18"/>
              </w:rPr>
              <w:t>×</w:t>
            </w:r>
          </w:p>
        </w:tc>
        <w:tc>
          <w:tcPr>
            <w:tcW w:w="1258" w:type="dxa"/>
            <w:vAlign w:val="top"/>
          </w:tcPr>
          <w:p w14:paraId="3C4B2236">
            <w:pPr>
              <w:pStyle w:val="6"/>
              <w:spacing w:line="262" w:lineRule="auto"/>
            </w:pPr>
          </w:p>
          <w:p w14:paraId="3F06D4D0">
            <w:pPr>
              <w:pStyle w:val="6"/>
              <w:spacing w:line="262" w:lineRule="auto"/>
            </w:pPr>
          </w:p>
          <w:p w14:paraId="79767F01">
            <w:pPr>
              <w:pStyle w:val="6"/>
              <w:spacing w:line="262" w:lineRule="auto"/>
            </w:pPr>
          </w:p>
          <w:p w14:paraId="52675FD0">
            <w:pPr>
              <w:pStyle w:val="6"/>
              <w:spacing w:line="263" w:lineRule="auto"/>
            </w:pPr>
          </w:p>
          <w:p w14:paraId="731D20AD">
            <w:pPr>
              <w:pStyle w:val="6"/>
              <w:spacing w:line="263" w:lineRule="auto"/>
            </w:pPr>
          </w:p>
          <w:p w14:paraId="42059962">
            <w:pPr>
              <w:spacing w:before="59" w:line="241" w:lineRule="exact"/>
              <w:ind w:left="536"/>
              <w:rPr>
                <w:rFonts w:ascii="宋体" w:hAnsi="宋体" w:eastAsia="宋体" w:cs="宋体"/>
                <w:sz w:val="18"/>
                <w:szCs w:val="18"/>
              </w:rPr>
            </w:pPr>
            <w:r>
              <w:rPr>
                <w:rFonts w:ascii="宋体" w:hAnsi="宋体" w:eastAsia="宋体" w:cs="宋体"/>
                <w:position w:val="1"/>
                <w:sz w:val="18"/>
                <w:szCs w:val="18"/>
              </w:rPr>
              <w:t>×</w:t>
            </w:r>
          </w:p>
        </w:tc>
        <w:tc>
          <w:tcPr>
            <w:tcW w:w="1633" w:type="dxa"/>
            <w:vAlign w:val="top"/>
          </w:tcPr>
          <w:p w14:paraId="24955FA8">
            <w:pPr>
              <w:spacing w:before="149" w:line="237" w:lineRule="auto"/>
              <w:ind w:left="719"/>
              <w:rPr>
                <w:rFonts w:ascii="宋体" w:hAnsi="宋体" w:eastAsia="宋体" w:cs="宋体"/>
                <w:sz w:val="18"/>
                <w:szCs w:val="18"/>
              </w:rPr>
            </w:pPr>
            <w:r>
              <w:rPr>
                <w:rFonts w:ascii="宋体" w:hAnsi="宋体" w:eastAsia="宋体" w:cs="宋体"/>
                <w:sz w:val="18"/>
                <w:szCs w:val="18"/>
              </w:rPr>
              <w:t>△</w:t>
            </w:r>
          </w:p>
          <w:p w14:paraId="56151885">
            <w:pPr>
              <w:spacing w:before="168" w:line="237" w:lineRule="auto"/>
              <w:ind w:left="719"/>
              <w:rPr>
                <w:rFonts w:ascii="宋体" w:hAnsi="宋体" w:eastAsia="宋体" w:cs="宋体"/>
                <w:sz w:val="18"/>
                <w:szCs w:val="18"/>
              </w:rPr>
            </w:pPr>
            <w:r>
              <w:rPr>
                <w:rFonts w:ascii="宋体" w:hAnsi="宋体" w:eastAsia="宋体" w:cs="宋体"/>
                <w:sz w:val="18"/>
                <w:szCs w:val="18"/>
              </w:rPr>
              <w:t>△</w:t>
            </w:r>
          </w:p>
          <w:p w14:paraId="0A6E993E">
            <w:pPr>
              <w:spacing w:before="178" w:line="347" w:lineRule="auto"/>
              <w:ind w:left="719" w:right="736"/>
              <w:rPr>
                <w:rFonts w:ascii="宋体" w:hAnsi="宋体" w:eastAsia="宋体" w:cs="宋体"/>
                <w:sz w:val="18"/>
                <w:szCs w:val="18"/>
              </w:rPr>
            </w:pPr>
            <w:r>
              <w:rPr>
                <w:rFonts w:ascii="宋体" w:hAnsi="宋体" w:eastAsia="宋体" w:cs="宋体"/>
                <w:spacing w:val="-13"/>
                <w:sz w:val="18"/>
                <w:szCs w:val="18"/>
              </w:rPr>
              <w:t>△</w:t>
            </w:r>
            <w:r>
              <w:rPr>
                <w:rFonts w:ascii="宋体" w:hAnsi="宋体" w:eastAsia="宋体" w:cs="宋体"/>
                <w:sz w:val="18"/>
                <w:szCs w:val="18"/>
              </w:rPr>
              <w:t xml:space="preserve"> </w:t>
            </w:r>
            <w:r>
              <w:rPr>
                <w:rFonts w:ascii="宋体" w:hAnsi="宋体" w:eastAsia="宋体" w:cs="宋体"/>
                <w:spacing w:val="-52"/>
                <w:sz w:val="18"/>
                <w:szCs w:val="18"/>
              </w:rPr>
              <w:t>√</w:t>
            </w:r>
          </w:p>
        </w:tc>
      </w:tr>
      <w:tr w14:paraId="47FD4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9369" w:type="dxa"/>
            <w:gridSpan w:val="6"/>
            <w:vAlign w:val="top"/>
          </w:tcPr>
          <w:p w14:paraId="31F10F7C">
            <w:pPr>
              <w:spacing w:before="116" w:line="219" w:lineRule="auto"/>
              <w:ind w:left="75"/>
              <w:rPr>
                <w:rFonts w:ascii="宋体" w:hAnsi="宋体" w:eastAsia="宋体" w:cs="宋体"/>
                <w:sz w:val="18"/>
                <w:szCs w:val="18"/>
              </w:rPr>
            </w:pPr>
            <w:r>
              <w:rPr>
                <w:rFonts w:ascii="宋体" w:hAnsi="宋体" w:eastAsia="宋体" w:cs="宋体"/>
                <w:spacing w:val="-1"/>
                <w:sz w:val="18"/>
                <w:szCs w:val="18"/>
              </w:rPr>
              <w:t>注：</w:t>
            </w:r>
            <w:r>
              <w:rPr>
                <w:rFonts w:ascii="宋体" w:hAnsi="宋体" w:eastAsia="宋体" w:cs="宋体"/>
                <w:spacing w:val="-37"/>
                <w:sz w:val="18"/>
                <w:szCs w:val="18"/>
              </w:rPr>
              <w:t xml:space="preserve"> </w:t>
            </w:r>
            <w:r>
              <w:rPr>
                <w:rFonts w:ascii="宋体" w:hAnsi="宋体" w:eastAsia="宋体" w:cs="宋体"/>
                <w:spacing w:val="-1"/>
                <w:sz w:val="18"/>
                <w:szCs w:val="18"/>
              </w:rPr>
              <w:t>√表示适用；△表示根据需要选用；〇表</w:t>
            </w:r>
            <w:r>
              <w:rPr>
                <w:rFonts w:ascii="宋体" w:hAnsi="宋体" w:eastAsia="宋体" w:cs="宋体"/>
                <w:spacing w:val="-2"/>
                <w:sz w:val="18"/>
                <w:szCs w:val="18"/>
              </w:rPr>
              <w:t>示仅设计更改时适用；×表示不适用。</w:t>
            </w:r>
          </w:p>
        </w:tc>
      </w:tr>
    </w:tbl>
    <w:p w14:paraId="30BC7915">
      <w:pPr>
        <w:pStyle w:val="2"/>
        <w:spacing w:before="194" w:line="219" w:lineRule="auto"/>
        <w:ind w:left="550"/>
      </w:pPr>
      <w:r>
        <w:rPr>
          <w:spacing w:val="2"/>
        </w:rPr>
        <w:t>选择工作项目时可考虑以下因素：</w:t>
      </w:r>
    </w:p>
    <w:p w14:paraId="3ED74A85">
      <w:pPr>
        <w:pStyle w:val="2"/>
        <w:spacing w:before="50" w:line="212" w:lineRule="auto"/>
        <w:ind w:left="550"/>
      </w:pPr>
      <w:r>
        <w:rPr>
          <w:rFonts w:ascii="Times New Roman" w:hAnsi="Times New Roman" w:eastAsia="Times New Roman" w:cs="Times New Roman"/>
          <w:spacing w:val="1"/>
        </w:rPr>
        <w:t>a)</w:t>
      </w:r>
      <w:r>
        <w:rPr>
          <w:rFonts w:ascii="Times New Roman" w:hAnsi="Times New Roman" w:eastAsia="Times New Roman" w:cs="Times New Roman"/>
          <w:spacing w:val="57"/>
          <w:w w:val="101"/>
        </w:rPr>
        <w:t xml:space="preserve"> </w:t>
      </w:r>
      <w:r>
        <w:rPr>
          <w:spacing w:val="1"/>
        </w:rPr>
        <w:t>设计的自由度；</w:t>
      </w:r>
    </w:p>
    <w:p w14:paraId="5E3AC2A7">
      <w:pPr>
        <w:pStyle w:val="2"/>
        <w:spacing w:before="100" w:line="260" w:lineRule="auto"/>
        <w:ind w:right="24" w:firstLine="550"/>
      </w:pPr>
      <w:r>
        <w:rPr>
          <w:rFonts w:ascii="Times New Roman" w:hAnsi="Times New Roman" w:eastAsia="Times New Roman" w:cs="Times New Roman"/>
          <w:spacing w:val="-1"/>
        </w:rPr>
        <w:t>b)</w:t>
      </w:r>
      <w:r>
        <w:rPr>
          <w:rFonts w:ascii="Times New Roman" w:hAnsi="Times New Roman" w:eastAsia="Times New Roman" w:cs="Times New Roman"/>
          <w:spacing w:val="75"/>
          <w:w w:val="101"/>
        </w:rPr>
        <w:t xml:space="preserve"> </w:t>
      </w:r>
      <w:r>
        <w:rPr>
          <w:spacing w:val="-1"/>
        </w:rPr>
        <w:t>是否是“快捷项目”(快捷项目是指由于时间限制，要求尽量采用成熟技</w:t>
      </w:r>
      <w:r>
        <w:t xml:space="preserve"> </w:t>
      </w:r>
      <w:r>
        <w:rPr>
          <w:spacing w:val="-3"/>
        </w:rPr>
        <w:t>术，加速研制与生产进度的项目);</w:t>
      </w:r>
    </w:p>
    <w:p w14:paraId="008DB966">
      <w:pPr>
        <w:pStyle w:val="2"/>
        <w:spacing w:before="49" w:line="212" w:lineRule="auto"/>
        <w:ind w:left="550"/>
      </w:pPr>
      <w:r>
        <w:rPr>
          <w:rFonts w:ascii="Times New Roman" w:hAnsi="Times New Roman" w:eastAsia="Times New Roman" w:cs="Times New Roman"/>
        </w:rPr>
        <w:t xml:space="preserve">c)  </w:t>
      </w:r>
      <w:r>
        <w:t>已经完成的分析工作；</w:t>
      </w:r>
    </w:p>
    <w:p w14:paraId="04537CC3">
      <w:pPr>
        <w:pStyle w:val="2"/>
        <w:spacing w:before="120" w:line="212" w:lineRule="auto"/>
        <w:ind w:left="550"/>
      </w:pPr>
      <w:r>
        <w:rPr>
          <w:rFonts w:ascii="Times New Roman" w:hAnsi="Times New Roman" w:eastAsia="Times New Roman" w:cs="Times New Roman"/>
          <w:spacing w:val="3"/>
        </w:rPr>
        <w:t>d)</w:t>
      </w:r>
      <w:r>
        <w:rPr>
          <w:rFonts w:ascii="Times New Roman" w:hAnsi="Times New Roman" w:eastAsia="Times New Roman" w:cs="Times New Roman"/>
          <w:spacing w:val="70"/>
        </w:rPr>
        <w:t xml:space="preserve"> </w:t>
      </w:r>
      <w:r>
        <w:rPr>
          <w:spacing w:val="3"/>
        </w:rPr>
        <w:t>现有类似系统和设备的历史资料；</w:t>
      </w:r>
    </w:p>
    <w:p w14:paraId="4C0C10FB">
      <w:pPr>
        <w:pStyle w:val="2"/>
        <w:spacing w:before="112" w:line="221" w:lineRule="auto"/>
        <w:ind w:left="550"/>
      </w:pPr>
      <w:r>
        <w:rPr>
          <w:rFonts w:ascii="Times New Roman" w:hAnsi="Times New Roman" w:eastAsia="Times New Roman" w:cs="Times New Roman"/>
          <w:spacing w:val="4"/>
        </w:rPr>
        <w:t>e</w:t>
      </w:r>
      <w:r>
        <w:rPr>
          <w:rFonts w:ascii="Times New Roman" w:hAnsi="Times New Roman" w:eastAsia="Times New Roman" w:cs="Times New Roman"/>
          <w:spacing w:val="-17"/>
        </w:rPr>
        <w:t xml:space="preserve"> </w:t>
      </w:r>
      <w:r>
        <w:rPr>
          <w:spacing w:val="4"/>
        </w:rPr>
        <w:t>)可利用的时间与资源；</w:t>
      </w:r>
    </w:p>
    <w:p w14:paraId="4733B33C">
      <w:pPr>
        <w:pStyle w:val="2"/>
        <w:spacing w:before="55" w:line="212" w:lineRule="auto"/>
        <w:ind w:left="550"/>
      </w:pPr>
      <w:r>
        <w:rPr>
          <w:rFonts w:ascii="Times New Roman" w:hAnsi="Times New Roman" w:eastAsia="Times New Roman" w:cs="Times New Roman"/>
          <w:spacing w:val="1"/>
        </w:rPr>
        <w:t>f)</w:t>
      </w:r>
      <w:r>
        <w:rPr>
          <w:rFonts w:ascii="Times New Roman" w:hAnsi="Times New Roman" w:eastAsia="Times New Roman" w:cs="Times New Roman"/>
        </w:rPr>
        <w:t>GJB</w:t>
      </w:r>
      <w:r>
        <w:rPr>
          <w:rFonts w:ascii="Times New Roman" w:hAnsi="Times New Roman" w:eastAsia="Times New Roman" w:cs="Times New Roman"/>
          <w:spacing w:val="1"/>
        </w:rPr>
        <w:t>1371</w:t>
      </w:r>
      <w:r>
        <w:rPr>
          <w:rFonts w:ascii="Times New Roman" w:hAnsi="Times New Roman" w:eastAsia="Times New Roman" w:cs="Times New Roman"/>
          <w:spacing w:val="18"/>
        </w:rPr>
        <w:t xml:space="preserve">    </w:t>
      </w:r>
      <w:r>
        <w:rPr>
          <w:spacing w:val="1"/>
        </w:rPr>
        <w:t>未包含而需要完成的工作项目；</w:t>
      </w:r>
    </w:p>
    <w:p w14:paraId="7B47A69C">
      <w:pPr>
        <w:pStyle w:val="2"/>
        <w:spacing w:before="141" w:line="212" w:lineRule="auto"/>
        <w:ind w:left="550"/>
        <w:rPr>
          <w:sz w:val="24"/>
          <w:szCs w:val="24"/>
        </w:rPr>
      </w:pPr>
      <w:r>
        <w:rPr>
          <w:rFonts w:ascii="Times New Roman" w:hAnsi="Times New Roman" w:eastAsia="Times New Roman" w:cs="Times New Roman"/>
          <w:spacing w:val="20"/>
          <w:sz w:val="24"/>
          <w:szCs w:val="24"/>
        </w:rPr>
        <w:t>g</w:t>
      </w:r>
      <w:r>
        <w:rPr>
          <w:rFonts w:ascii="Times New Roman" w:hAnsi="Times New Roman" w:eastAsia="Times New Roman" w:cs="Times New Roman"/>
          <w:spacing w:val="-12"/>
          <w:sz w:val="24"/>
          <w:szCs w:val="24"/>
        </w:rPr>
        <w:t xml:space="preserve"> </w:t>
      </w:r>
      <w:r>
        <w:rPr>
          <w:spacing w:val="20"/>
          <w:sz w:val="24"/>
          <w:szCs w:val="24"/>
        </w:rPr>
        <w:t>)</w:t>
      </w:r>
      <w:r>
        <w:rPr>
          <w:spacing w:val="-30"/>
          <w:sz w:val="24"/>
          <w:szCs w:val="24"/>
        </w:rPr>
        <w:t xml:space="preserve"> </w:t>
      </w:r>
      <w:r>
        <w:rPr>
          <w:spacing w:val="20"/>
          <w:sz w:val="24"/>
          <w:szCs w:val="24"/>
        </w:rPr>
        <w:t>研制的考虑。</w:t>
      </w:r>
    </w:p>
    <w:p w14:paraId="53ED6CED">
      <w:pPr>
        <w:pStyle w:val="2"/>
        <w:spacing w:before="114" w:line="281" w:lineRule="auto"/>
        <w:ind w:right="23" w:firstLine="550"/>
        <w:jc w:val="both"/>
      </w:pPr>
      <w:r>
        <w:rPr>
          <w:spacing w:val="9"/>
        </w:rPr>
        <w:t xml:space="preserve">上述大部分因素是为了减少或限制分析工作项目的数量。 </w:t>
      </w:r>
      <w:r>
        <w:rPr>
          <w:rFonts w:ascii="仿宋" w:hAnsi="仿宋" w:eastAsia="仿宋" w:cs="仿宋"/>
          <w:spacing w:val="9"/>
        </w:rPr>
        <w:t>可对照</w:t>
      </w:r>
      <w:r>
        <w:rPr>
          <w:rFonts w:ascii="仿宋" w:hAnsi="仿宋" w:eastAsia="仿宋" w:cs="仿宋"/>
          <w:spacing w:val="8"/>
        </w:rPr>
        <w:t>表10.2</w:t>
      </w:r>
      <w:r>
        <w:rPr>
          <w:rFonts w:ascii="仿宋" w:hAnsi="仿宋" w:eastAsia="仿宋" w:cs="仿宋"/>
        </w:rPr>
        <w:t xml:space="preserve"> </w:t>
      </w:r>
      <w:r>
        <w:rPr>
          <w:spacing w:val="6"/>
        </w:rPr>
        <w:t>选择分析项目，如果某子项目在表10.2中没有列入，执行时就必</w:t>
      </w:r>
      <w:r>
        <w:rPr>
          <w:spacing w:val="5"/>
        </w:rPr>
        <w:t>须对该子项目</w:t>
      </w:r>
      <w:r>
        <w:t xml:space="preserve"> </w:t>
      </w:r>
      <w:r>
        <w:rPr>
          <w:spacing w:val="13"/>
        </w:rPr>
        <w:t>的可行性和实用性进行评估。如果执行表1</w:t>
      </w:r>
      <w:r>
        <w:rPr>
          <w:spacing w:val="12"/>
        </w:rPr>
        <w:t>0.2中的子项目是不可能或不合适</w:t>
      </w:r>
      <w:r>
        <w:t xml:space="preserve"> </w:t>
      </w:r>
      <w:r>
        <w:rPr>
          <w:spacing w:val="-12"/>
        </w:rPr>
        <w:t>的，应说明放弃的理由。</w:t>
      </w:r>
    </w:p>
    <w:p w14:paraId="11CF8074">
      <w:pPr>
        <w:spacing w:before="62" w:line="219" w:lineRule="auto"/>
        <w:rPr>
          <w:rFonts w:ascii="黑体" w:hAnsi="黑体" w:eastAsia="黑体" w:cs="黑体"/>
          <w:sz w:val="27"/>
          <w:szCs w:val="27"/>
        </w:rPr>
      </w:pPr>
      <w:r>
        <w:rPr>
          <w:rFonts w:ascii="黑体" w:hAnsi="黑体" w:eastAsia="黑体" w:cs="黑体"/>
          <w:spacing w:val="3"/>
          <w:sz w:val="27"/>
          <w:szCs w:val="27"/>
        </w:rPr>
        <w:t>4.2  执行组织机构</w:t>
      </w:r>
    </w:p>
    <w:p w14:paraId="7DC6CF5D">
      <w:pPr>
        <w:pStyle w:val="2"/>
        <w:spacing w:before="172" w:line="219" w:lineRule="auto"/>
        <w:ind w:left="550"/>
      </w:pPr>
      <w:r>
        <w:rPr>
          <w:spacing w:val="4"/>
        </w:rPr>
        <w:t>确定执行每个工作项目及子项目组织机构的建议。</w:t>
      </w:r>
    </w:p>
    <w:p w14:paraId="6E225EB3">
      <w:pPr>
        <w:spacing w:before="100" w:line="368" w:lineRule="exact"/>
        <w:rPr>
          <w:rFonts w:ascii="黑体" w:hAnsi="黑体" w:eastAsia="黑体" w:cs="黑体"/>
          <w:sz w:val="27"/>
          <w:szCs w:val="27"/>
        </w:rPr>
      </w:pPr>
      <w:r>
        <w:rPr>
          <w:rFonts w:ascii="Arial" w:hAnsi="Arial" w:eastAsia="Arial" w:cs="Arial"/>
          <w:spacing w:val="5"/>
          <w:position w:val="1"/>
          <w:sz w:val="27"/>
          <w:szCs w:val="27"/>
        </w:rPr>
        <w:t xml:space="preserve">4.3    </w:t>
      </w:r>
      <w:r>
        <w:rPr>
          <w:rFonts w:ascii="黑体" w:hAnsi="黑体" w:eastAsia="黑体" w:cs="黑体"/>
          <w:spacing w:val="5"/>
          <w:position w:val="1"/>
          <w:sz w:val="27"/>
          <w:szCs w:val="27"/>
        </w:rPr>
        <w:t>各工作项目的费用及效益</w:t>
      </w:r>
    </w:p>
    <w:p w14:paraId="5C4122B5">
      <w:pPr>
        <w:pStyle w:val="2"/>
        <w:spacing w:before="192" w:line="264" w:lineRule="auto"/>
        <w:ind w:right="53" w:firstLine="550"/>
      </w:pPr>
      <w:r>
        <w:rPr>
          <w:spacing w:val="5"/>
        </w:rPr>
        <w:t>在给定的规划费用及进度约束条件下，估计确定的每个工作项目和子项目</w:t>
      </w:r>
      <w:r>
        <w:rPr>
          <w:spacing w:val="10"/>
        </w:rPr>
        <w:t xml:space="preserve"> </w:t>
      </w:r>
      <w:r>
        <w:rPr>
          <w:spacing w:val="-1"/>
        </w:rPr>
        <w:t>的费用及其效益。</w:t>
      </w:r>
    </w:p>
    <w:p w14:paraId="40D2611A">
      <w:pPr>
        <w:pStyle w:val="2"/>
        <w:spacing w:before="38" w:line="219" w:lineRule="auto"/>
        <w:ind w:left="550"/>
        <w:rPr>
          <w:sz w:val="25"/>
          <w:szCs w:val="25"/>
        </w:rPr>
      </w:pPr>
      <w:r>
        <w:rPr>
          <w:spacing w:val="15"/>
          <w:sz w:val="25"/>
          <w:szCs w:val="25"/>
        </w:rPr>
        <w:t>根据分析结果、型号的决策及进度变化，修正保障性分</w:t>
      </w:r>
      <w:r>
        <w:rPr>
          <w:spacing w:val="14"/>
          <w:sz w:val="25"/>
          <w:szCs w:val="25"/>
        </w:rPr>
        <w:t>析工作纲要。</w:t>
      </w:r>
    </w:p>
    <w:p w14:paraId="1B61F0D4">
      <w:pPr>
        <w:spacing w:before="119" w:line="221" w:lineRule="auto"/>
        <w:ind w:left="2070"/>
        <w:rPr>
          <w:rFonts w:ascii="仿宋" w:hAnsi="仿宋" w:eastAsia="仿宋" w:cs="仿宋"/>
          <w:sz w:val="24"/>
          <w:szCs w:val="24"/>
        </w:rPr>
      </w:pPr>
      <w:r>
        <w:rPr>
          <w:rFonts w:ascii="仿宋" w:hAnsi="仿宋" w:eastAsia="仿宋" w:cs="仿宋"/>
          <w:spacing w:val="27"/>
          <w:sz w:val="24"/>
          <w:szCs w:val="24"/>
        </w:rPr>
        <w:t>表10</w:t>
      </w:r>
      <w:r>
        <w:rPr>
          <w:rFonts w:ascii="仿宋" w:hAnsi="仿宋" w:eastAsia="仿宋" w:cs="仿宋"/>
          <w:spacing w:val="-52"/>
          <w:sz w:val="24"/>
          <w:szCs w:val="24"/>
        </w:rPr>
        <w:t xml:space="preserve"> </w:t>
      </w:r>
      <w:r>
        <w:rPr>
          <w:rFonts w:ascii="仿宋" w:hAnsi="仿宋" w:eastAsia="仿宋" w:cs="仿宋"/>
          <w:spacing w:val="27"/>
          <w:sz w:val="24"/>
          <w:szCs w:val="24"/>
        </w:rPr>
        <w:t>.</w:t>
      </w:r>
      <w:r>
        <w:rPr>
          <w:rFonts w:ascii="仿宋" w:hAnsi="仿宋" w:eastAsia="仿宋" w:cs="仿宋"/>
          <w:spacing w:val="-65"/>
          <w:sz w:val="24"/>
          <w:szCs w:val="24"/>
        </w:rPr>
        <w:t xml:space="preserve"> </w:t>
      </w:r>
      <w:r>
        <w:rPr>
          <w:rFonts w:ascii="仿宋" w:hAnsi="仿宋" w:eastAsia="仿宋" w:cs="仿宋"/>
          <w:spacing w:val="27"/>
          <w:sz w:val="24"/>
          <w:szCs w:val="24"/>
        </w:rPr>
        <w:t>2  按决策点列出的保障分析信息要求</w:t>
      </w:r>
    </w:p>
    <w:p w14:paraId="6CA9B6A6">
      <w:pPr>
        <w:spacing w:line="122" w:lineRule="exact"/>
      </w:pPr>
    </w:p>
    <w:tbl>
      <w:tblPr>
        <w:tblStyle w:val="5"/>
        <w:tblW w:w="936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58"/>
        <w:gridCol w:w="3511"/>
      </w:tblGrid>
      <w:tr w14:paraId="2AF4C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5858" w:type="dxa"/>
            <w:vAlign w:val="top"/>
          </w:tcPr>
          <w:p w14:paraId="1287A616">
            <w:pPr>
              <w:spacing w:before="73" w:line="219" w:lineRule="auto"/>
              <w:ind w:left="2185"/>
              <w:rPr>
                <w:rFonts w:ascii="宋体" w:hAnsi="宋体" w:eastAsia="宋体" w:cs="宋体"/>
                <w:sz w:val="21"/>
                <w:szCs w:val="21"/>
              </w:rPr>
            </w:pPr>
            <w:r>
              <w:rPr>
                <w:rFonts w:ascii="宋体" w:hAnsi="宋体" w:eastAsia="宋体" w:cs="宋体"/>
                <w:spacing w:val="-9"/>
                <w:sz w:val="21"/>
                <w:szCs w:val="21"/>
              </w:rPr>
              <w:t>信</w:t>
            </w:r>
            <w:r>
              <w:rPr>
                <w:rFonts w:ascii="宋体" w:hAnsi="宋体" w:eastAsia="宋体" w:cs="宋体"/>
                <w:spacing w:val="13"/>
                <w:sz w:val="21"/>
                <w:szCs w:val="21"/>
              </w:rPr>
              <w:t xml:space="preserve">  </w:t>
            </w:r>
            <w:r>
              <w:rPr>
                <w:rFonts w:ascii="宋体" w:hAnsi="宋体" w:eastAsia="宋体" w:cs="宋体"/>
                <w:spacing w:val="-9"/>
                <w:sz w:val="21"/>
                <w:szCs w:val="21"/>
              </w:rPr>
              <w:t>息</w:t>
            </w:r>
            <w:r>
              <w:rPr>
                <w:rFonts w:ascii="宋体" w:hAnsi="宋体" w:eastAsia="宋体" w:cs="宋体"/>
                <w:spacing w:val="9"/>
                <w:sz w:val="21"/>
                <w:szCs w:val="21"/>
              </w:rPr>
              <w:t xml:space="preserve">  </w:t>
            </w:r>
            <w:r>
              <w:rPr>
                <w:rFonts w:ascii="宋体" w:hAnsi="宋体" w:eastAsia="宋体" w:cs="宋体"/>
                <w:spacing w:val="-9"/>
                <w:sz w:val="21"/>
                <w:szCs w:val="21"/>
              </w:rPr>
              <w:t>要</w:t>
            </w:r>
            <w:r>
              <w:rPr>
                <w:rFonts w:ascii="宋体" w:hAnsi="宋体" w:eastAsia="宋体" w:cs="宋体"/>
                <w:spacing w:val="10"/>
                <w:sz w:val="21"/>
                <w:szCs w:val="21"/>
              </w:rPr>
              <w:t xml:space="preserve">  </w:t>
            </w:r>
            <w:r>
              <w:rPr>
                <w:rFonts w:ascii="宋体" w:hAnsi="宋体" w:eastAsia="宋体" w:cs="宋体"/>
                <w:spacing w:val="-9"/>
                <w:sz w:val="21"/>
                <w:szCs w:val="21"/>
              </w:rPr>
              <w:t>求</w:t>
            </w:r>
          </w:p>
        </w:tc>
        <w:tc>
          <w:tcPr>
            <w:tcW w:w="3511" w:type="dxa"/>
            <w:vAlign w:val="top"/>
          </w:tcPr>
          <w:p w14:paraId="58FA9532">
            <w:pPr>
              <w:spacing w:before="73" w:line="219" w:lineRule="auto"/>
              <w:jc w:val="right"/>
              <w:rPr>
                <w:rFonts w:ascii="宋体" w:hAnsi="宋体" w:eastAsia="宋体" w:cs="宋体"/>
                <w:sz w:val="21"/>
                <w:szCs w:val="21"/>
              </w:rPr>
            </w:pPr>
            <w:r>
              <w:rPr>
                <w:rFonts w:ascii="宋体" w:hAnsi="宋体" w:eastAsia="宋体" w:cs="宋体"/>
                <w:spacing w:val="2"/>
                <w:sz w:val="21"/>
                <w:szCs w:val="21"/>
              </w:rPr>
              <w:t>有关的保障性分析工作项目(子项目)</w:t>
            </w:r>
          </w:p>
        </w:tc>
      </w:tr>
      <w:tr w14:paraId="5FBD1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5858" w:type="dxa"/>
            <w:vAlign w:val="top"/>
          </w:tcPr>
          <w:p w14:paraId="077DD81A">
            <w:pPr>
              <w:spacing w:before="61" w:line="219" w:lineRule="auto"/>
              <w:ind w:left="2555"/>
              <w:rPr>
                <w:rFonts w:ascii="宋体" w:hAnsi="宋体" w:eastAsia="宋体" w:cs="宋体"/>
                <w:sz w:val="21"/>
                <w:szCs w:val="21"/>
              </w:rPr>
            </w:pPr>
            <w:r>
              <w:rPr>
                <w:rFonts w:ascii="宋体" w:hAnsi="宋体" w:eastAsia="宋体" w:cs="宋体"/>
                <w:spacing w:val="3"/>
                <w:sz w:val="21"/>
                <w:szCs w:val="21"/>
              </w:rPr>
              <w:t>0决策点</w:t>
            </w:r>
          </w:p>
          <w:p w14:paraId="57C0B764">
            <w:pPr>
              <w:spacing w:before="250" w:line="219" w:lineRule="auto"/>
              <w:ind w:left="125"/>
              <w:rPr>
                <w:rFonts w:ascii="宋体" w:hAnsi="宋体" w:eastAsia="宋体" w:cs="宋体"/>
                <w:sz w:val="21"/>
                <w:szCs w:val="21"/>
              </w:rPr>
            </w:pPr>
            <w:r>
              <w:rPr>
                <w:rFonts w:ascii="宋体" w:hAnsi="宋体" w:eastAsia="宋体" w:cs="宋体"/>
                <w:sz w:val="21"/>
                <w:szCs w:val="21"/>
              </w:rPr>
              <w:t>1.新研系统的人力与其他保障资源的约束</w:t>
            </w:r>
          </w:p>
        </w:tc>
        <w:tc>
          <w:tcPr>
            <w:tcW w:w="3511" w:type="dxa"/>
            <w:vAlign w:val="top"/>
          </w:tcPr>
          <w:p w14:paraId="2485AEDB">
            <w:pPr>
              <w:pStyle w:val="6"/>
              <w:spacing w:line="337" w:lineRule="auto"/>
            </w:pPr>
          </w:p>
          <w:p w14:paraId="7169A2D9">
            <w:pPr>
              <w:spacing w:before="68" w:line="246" w:lineRule="auto"/>
              <w:ind w:left="97" w:right="1117"/>
              <w:rPr>
                <w:rFonts w:ascii="宋体" w:hAnsi="宋体" w:eastAsia="宋体" w:cs="宋体"/>
                <w:sz w:val="21"/>
                <w:szCs w:val="21"/>
              </w:rPr>
            </w:pPr>
            <w:r>
              <w:rPr>
                <w:rFonts w:ascii="宋体" w:hAnsi="宋体" w:eastAsia="宋体" w:cs="宋体"/>
                <w:spacing w:val="-1"/>
                <w:sz w:val="21"/>
                <w:szCs w:val="21"/>
              </w:rPr>
              <w:t>1.201(201.2.1,201.2</w:t>
            </w:r>
            <w:r>
              <w:rPr>
                <w:rFonts w:ascii="宋体" w:hAnsi="宋体" w:eastAsia="宋体" w:cs="宋体"/>
                <w:spacing w:val="-2"/>
                <w:sz w:val="21"/>
                <w:szCs w:val="21"/>
              </w:rPr>
              <w:t>.2)</w:t>
            </w:r>
            <w:r>
              <w:rPr>
                <w:rFonts w:ascii="宋体" w:hAnsi="宋体" w:eastAsia="宋体" w:cs="宋体"/>
                <w:sz w:val="21"/>
                <w:szCs w:val="21"/>
              </w:rPr>
              <w:t xml:space="preserve"> </w:t>
            </w:r>
            <w:r>
              <w:rPr>
                <w:rFonts w:ascii="宋体" w:hAnsi="宋体" w:eastAsia="宋体" w:cs="宋体"/>
                <w:spacing w:val="-1"/>
                <w:sz w:val="21"/>
                <w:szCs w:val="21"/>
              </w:rPr>
              <w:t>203(203.2.1,203.2.3)</w:t>
            </w:r>
          </w:p>
        </w:tc>
      </w:tr>
    </w:tbl>
    <w:p w14:paraId="52C23CD9">
      <w:pPr>
        <w:rPr>
          <w:rFonts w:ascii="Arial"/>
          <w:sz w:val="21"/>
        </w:rPr>
      </w:pPr>
    </w:p>
    <w:p w14:paraId="199894CB">
      <w:pPr>
        <w:rPr>
          <w:rFonts w:ascii="Arial" w:hAnsi="Arial" w:eastAsia="Arial" w:cs="Arial"/>
          <w:sz w:val="21"/>
          <w:szCs w:val="21"/>
        </w:rPr>
        <w:sectPr>
          <w:footerReference r:id="rId508" w:type="default"/>
          <w:pgSz w:w="11910" w:h="17130"/>
          <w:pgMar w:top="400" w:right="915" w:bottom="1617" w:left="1579" w:header="0" w:footer="1401" w:gutter="0"/>
          <w:cols w:space="720" w:num="1"/>
        </w:sectPr>
      </w:pPr>
    </w:p>
    <w:p w14:paraId="41E315B1">
      <w:pPr>
        <w:spacing w:line="257" w:lineRule="auto"/>
        <w:rPr>
          <w:rFonts w:ascii="Arial"/>
          <w:sz w:val="21"/>
        </w:rPr>
      </w:pPr>
    </w:p>
    <w:p w14:paraId="0AA9C01D">
      <w:pPr>
        <w:spacing w:line="258" w:lineRule="auto"/>
        <w:rPr>
          <w:rFonts w:ascii="Arial"/>
          <w:sz w:val="21"/>
        </w:rPr>
      </w:pPr>
    </w:p>
    <w:p w14:paraId="665C6065">
      <w:pPr>
        <w:spacing w:line="258" w:lineRule="auto"/>
        <w:rPr>
          <w:rFonts w:ascii="Arial"/>
          <w:sz w:val="21"/>
        </w:rPr>
      </w:pPr>
    </w:p>
    <w:p w14:paraId="464F64DF">
      <w:pPr>
        <w:spacing w:line="258" w:lineRule="auto"/>
        <w:rPr>
          <w:rFonts w:ascii="Arial"/>
          <w:sz w:val="21"/>
        </w:rPr>
      </w:pPr>
    </w:p>
    <w:p w14:paraId="2A8639AB">
      <w:pPr>
        <w:pStyle w:val="2"/>
        <w:spacing w:before="72" w:line="220" w:lineRule="auto"/>
        <w:ind w:left="8685"/>
        <w:rPr>
          <w:sz w:val="22"/>
          <w:szCs w:val="22"/>
        </w:rPr>
      </w:pPr>
      <w:r>
        <w:rPr>
          <w:spacing w:val="12"/>
          <w:sz w:val="22"/>
          <w:szCs w:val="22"/>
        </w:rPr>
        <w:t>(续)</w:t>
      </w:r>
    </w:p>
    <w:p w14:paraId="0390F387">
      <w:pPr>
        <w:spacing w:line="123" w:lineRule="exact"/>
      </w:pPr>
    </w:p>
    <w:tbl>
      <w:tblPr>
        <w:tblStyle w:val="5"/>
        <w:tblW w:w="93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49"/>
        <w:gridCol w:w="3521"/>
      </w:tblGrid>
      <w:tr w14:paraId="37D4A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5849" w:type="dxa"/>
            <w:vAlign w:val="top"/>
          </w:tcPr>
          <w:p w14:paraId="03B0C36D">
            <w:pPr>
              <w:spacing w:before="83" w:line="219" w:lineRule="auto"/>
              <w:ind w:left="2195"/>
              <w:rPr>
                <w:rFonts w:ascii="宋体" w:hAnsi="宋体" w:eastAsia="宋体" w:cs="宋体"/>
                <w:sz w:val="20"/>
                <w:szCs w:val="20"/>
              </w:rPr>
            </w:pPr>
            <w:r>
              <w:rPr>
                <w:rFonts w:ascii="宋体" w:hAnsi="宋体" w:eastAsia="宋体" w:cs="宋体"/>
                <w:spacing w:val="-9"/>
                <w:sz w:val="20"/>
                <w:szCs w:val="20"/>
              </w:rPr>
              <w:t>信</w:t>
            </w:r>
            <w:r>
              <w:rPr>
                <w:rFonts w:ascii="宋体" w:hAnsi="宋体" w:eastAsia="宋体" w:cs="宋体"/>
                <w:spacing w:val="22"/>
                <w:sz w:val="20"/>
                <w:szCs w:val="20"/>
              </w:rPr>
              <w:t xml:space="preserve">  </w:t>
            </w:r>
            <w:r>
              <w:rPr>
                <w:rFonts w:ascii="宋体" w:hAnsi="宋体" w:eastAsia="宋体" w:cs="宋体"/>
                <w:spacing w:val="-9"/>
                <w:sz w:val="20"/>
                <w:szCs w:val="20"/>
              </w:rPr>
              <w:t>息</w:t>
            </w:r>
            <w:r>
              <w:rPr>
                <w:rFonts w:ascii="宋体" w:hAnsi="宋体" w:eastAsia="宋体" w:cs="宋体"/>
                <w:spacing w:val="17"/>
                <w:sz w:val="20"/>
                <w:szCs w:val="20"/>
              </w:rPr>
              <w:t xml:space="preserve">  </w:t>
            </w:r>
            <w:r>
              <w:rPr>
                <w:rFonts w:ascii="宋体" w:hAnsi="宋体" w:eastAsia="宋体" w:cs="宋体"/>
                <w:spacing w:val="-9"/>
                <w:sz w:val="20"/>
                <w:szCs w:val="20"/>
              </w:rPr>
              <w:t>要</w:t>
            </w:r>
            <w:r>
              <w:rPr>
                <w:rFonts w:ascii="宋体" w:hAnsi="宋体" w:eastAsia="宋体" w:cs="宋体"/>
                <w:spacing w:val="17"/>
                <w:sz w:val="20"/>
                <w:szCs w:val="20"/>
              </w:rPr>
              <w:t xml:space="preserve">  </w:t>
            </w:r>
            <w:r>
              <w:rPr>
                <w:rFonts w:ascii="宋体" w:hAnsi="宋体" w:eastAsia="宋体" w:cs="宋体"/>
                <w:spacing w:val="-9"/>
                <w:sz w:val="20"/>
                <w:szCs w:val="20"/>
              </w:rPr>
              <w:t>求</w:t>
            </w:r>
          </w:p>
        </w:tc>
        <w:tc>
          <w:tcPr>
            <w:tcW w:w="3521" w:type="dxa"/>
            <w:vAlign w:val="top"/>
          </w:tcPr>
          <w:p w14:paraId="6788D4ED">
            <w:pPr>
              <w:spacing w:before="83" w:line="219" w:lineRule="auto"/>
              <w:ind w:left="116"/>
              <w:rPr>
                <w:rFonts w:ascii="宋体" w:hAnsi="宋体" w:eastAsia="宋体" w:cs="宋体"/>
                <w:sz w:val="20"/>
                <w:szCs w:val="20"/>
              </w:rPr>
            </w:pPr>
            <w:r>
              <w:rPr>
                <w:rFonts w:ascii="宋体" w:hAnsi="宋体" w:eastAsia="宋体" w:cs="宋体"/>
                <w:spacing w:val="2"/>
                <w:sz w:val="20"/>
                <w:szCs w:val="20"/>
              </w:rPr>
              <w:t>有关的保障性分析工作项目(子项目)</w:t>
            </w:r>
          </w:p>
        </w:tc>
      </w:tr>
      <w:tr w14:paraId="5AC41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55" w:hRule="atLeast"/>
        </w:trPr>
        <w:tc>
          <w:tcPr>
            <w:tcW w:w="5849" w:type="dxa"/>
            <w:vAlign w:val="top"/>
          </w:tcPr>
          <w:p w14:paraId="267E55DC">
            <w:pPr>
              <w:spacing w:before="89" w:line="219" w:lineRule="auto"/>
              <w:ind w:left="2545"/>
              <w:rPr>
                <w:rFonts w:ascii="宋体" w:hAnsi="宋体" w:eastAsia="宋体" w:cs="宋体"/>
                <w:sz w:val="20"/>
                <w:szCs w:val="20"/>
              </w:rPr>
            </w:pPr>
            <w:r>
              <w:rPr>
                <w:rFonts w:ascii="宋体" w:hAnsi="宋体" w:eastAsia="宋体" w:cs="宋体"/>
                <w:spacing w:val="4"/>
                <w:sz w:val="20"/>
                <w:szCs w:val="20"/>
              </w:rPr>
              <w:t>I决策点</w:t>
            </w:r>
          </w:p>
          <w:p w14:paraId="365C55DF">
            <w:pPr>
              <w:spacing w:before="132" w:line="219" w:lineRule="auto"/>
              <w:ind w:left="105"/>
              <w:rPr>
                <w:rFonts w:ascii="宋体" w:hAnsi="宋体" w:eastAsia="宋体" w:cs="宋体"/>
                <w:sz w:val="20"/>
                <w:szCs w:val="20"/>
              </w:rPr>
            </w:pPr>
            <w:r>
              <w:rPr>
                <w:rFonts w:ascii="宋体" w:hAnsi="宋体" w:eastAsia="宋体" w:cs="宋体"/>
                <w:sz w:val="20"/>
                <w:szCs w:val="20"/>
              </w:rPr>
              <w:t>1.现有比较系统的保障费用、人力要求、可靠性、维修性</w:t>
            </w:r>
          </w:p>
          <w:p w14:paraId="493CE79C">
            <w:pPr>
              <w:spacing w:before="122" w:line="219" w:lineRule="auto"/>
              <w:ind w:left="105"/>
              <w:rPr>
                <w:rFonts w:ascii="宋体" w:hAnsi="宋体" w:eastAsia="宋体" w:cs="宋体"/>
                <w:sz w:val="20"/>
                <w:szCs w:val="20"/>
              </w:rPr>
            </w:pPr>
            <w:r>
              <w:rPr>
                <w:rFonts w:ascii="宋体" w:hAnsi="宋体" w:eastAsia="宋体" w:cs="宋体"/>
                <w:spacing w:val="-1"/>
                <w:sz w:val="20"/>
                <w:szCs w:val="20"/>
              </w:rPr>
              <w:t>2.人力、费用和战备完好性主宰因素</w:t>
            </w:r>
          </w:p>
          <w:p w14:paraId="41E67EC3">
            <w:pPr>
              <w:spacing w:before="102" w:line="219" w:lineRule="auto"/>
              <w:ind w:left="105"/>
              <w:rPr>
                <w:rFonts w:ascii="宋体" w:hAnsi="宋体" w:eastAsia="宋体" w:cs="宋体"/>
                <w:sz w:val="20"/>
                <w:szCs w:val="20"/>
              </w:rPr>
            </w:pPr>
            <w:r>
              <w:rPr>
                <w:rFonts w:ascii="宋体" w:hAnsi="宋体" w:eastAsia="宋体" w:cs="宋体"/>
                <w:spacing w:val="1"/>
                <w:sz w:val="20"/>
                <w:szCs w:val="20"/>
              </w:rPr>
              <w:t>3.战备完好性和保障费用改进的方向</w:t>
            </w:r>
          </w:p>
          <w:p w14:paraId="6C102573">
            <w:pPr>
              <w:spacing w:before="151" w:line="218" w:lineRule="auto"/>
              <w:ind w:left="105"/>
              <w:rPr>
                <w:rFonts w:ascii="宋体" w:hAnsi="宋体" w:eastAsia="宋体" w:cs="宋体"/>
                <w:sz w:val="20"/>
                <w:szCs w:val="20"/>
              </w:rPr>
            </w:pPr>
            <w:r>
              <w:rPr>
                <w:rFonts w:ascii="宋体" w:hAnsi="宋体" w:eastAsia="宋体" w:cs="宋体"/>
                <w:spacing w:val="-1"/>
                <w:sz w:val="20"/>
                <w:szCs w:val="20"/>
              </w:rPr>
              <w:t>4.对应用于备选使用与保障方案的保障资源的评价</w:t>
            </w:r>
          </w:p>
          <w:p w14:paraId="3120680F">
            <w:pPr>
              <w:spacing w:before="106" w:line="219" w:lineRule="auto"/>
              <w:ind w:left="105"/>
              <w:rPr>
                <w:rFonts w:ascii="宋体" w:hAnsi="宋体" w:eastAsia="宋体" w:cs="宋体"/>
                <w:sz w:val="20"/>
                <w:szCs w:val="20"/>
              </w:rPr>
            </w:pPr>
            <w:r>
              <w:rPr>
                <w:rFonts w:ascii="宋体" w:hAnsi="宋体" w:eastAsia="宋体" w:cs="宋体"/>
                <w:spacing w:val="-1"/>
                <w:sz w:val="20"/>
                <w:szCs w:val="20"/>
              </w:rPr>
              <w:t>5.战备完好性初定目标</w:t>
            </w:r>
          </w:p>
          <w:p w14:paraId="1E48E5A3">
            <w:pPr>
              <w:spacing w:before="132" w:line="219" w:lineRule="auto"/>
              <w:ind w:left="105"/>
              <w:rPr>
                <w:rFonts w:ascii="宋体" w:hAnsi="宋体" w:eastAsia="宋体" w:cs="宋体"/>
                <w:sz w:val="20"/>
                <w:szCs w:val="20"/>
              </w:rPr>
            </w:pPr>
            <w:r>
              <w:rPr>
                <w:rFonts w:ascii="宋体" w:hAnsi="宋体" w:eastAsia="宋体" w:cs="宋体"/>
                <w:spacing w:val="2"/>
                <w:sz w:val="20"/>
                <w:szCs w:val="20"/>
              </w:rPr>
              <w:t>6.要求修理技术有发展的新技术项目</w:t>
            </w:r>
          </w:p>
          <w:p w14:paraId="144AEBF9">
            <w:pPr>
              <w:spacing w:before="103" w:line="219" w:lineRule="auto"/>
              <w:ind w:left="105"/>
              <w:rPr>
                <w:rFonts w:ascii="宋体" w:hAnsi="宋体" w:eastAsia="宋体" w:cs="宋体"/>
                <w:sz w:val="20"/>
                <w:szCs w:val="20"/>
              </w:rPr>
            </w:pPr>
            <w:r>
              <w:rPr>
                <w:rFonts w:ascii="宋体" w:hAnsi="宋体" w:eastAsia="宋体" w:cs="宋体"/>
                <w:spacing w:val="1"/>
                <w:sz w:val="20"/>
                <w:szCs w:val="20"/>
              </w:rPr>
              <w:t>7.要求研制的与保障有关的硬件及软件的重大项目</w:t>
            </w:r>
          </w:p>
          <w:p w14:paraId="1AC218EA">
            <w:pPr>
              <w:spacing w:before="132" w:line="219" w:lineRule="auto"/>
              <w:ind w:left="105"/>
              <w:rPr>
                <w:rFonts w:ascii="宋体" w:hAnsi="宋体" w:eastAsia="宋体" w:cs="宋体"/>
                <w:sz w:val="20"/>
                <w:szCs w:val="20"/>
              </w:rPr>
            </w:pPr>
            <w:r>
              <w:rPr>
                <w:rFonts w:ascii="宋体" w:hAnsi="宋体" w:eastAsia="宋体" w:cs="宋体"/>
                <w:sz w:val="20"/>
                <w:szCs w:val="20"/>
              </w:rPr>
              <w:t>8.人力对备选勤务方案的敏感度</w:t>
            </w:r>
          </w:p>
          <w:p w14:paraId="4B2B5358">
            <w:pPr>
              <w:spacing w:before="132" w:line="219" w:lineRule="auto"/>
              <w:ind w:left="105"/>
              <w:rPr>
                <w:rFonts w:ascii="宋体" w:hAnsi="宋体" w:eastAsia="宋体" w:cs="宋体"/>
                <w:sz w:val="20"/>
                <w:szCs w:val="20"/>
              </w:rPr>
            </w:pPr>
            <w:r>
              <w:rPr>
                <w:rFonts w:ascii="宋体" w:hAnsi="宋体" w:eastAsia="宋体" w:cs="宋体"/>
                <w:sz w:val="20"/>
                <w:szCs w:val="20"/>
              </w:rPr>
              <w:t>9.所考虑的系统备选方案在训练内容上的重大差别</w:t>
            </w:r>
          </w:p>
          <w:p w14:paraId="10481F8C">
            <w:pPr>
              <w:spacing w:before="165" w:line="257" w:lineRule="auto"/>
              <w:ind w:left="105" w:right="415" w:firstLine="10"/>
              <w:rPr>
                <w:rFonts w:ascii="宋体" w:hAnsi="宋体" w:eastAsia="宋体" w:cs="宋体"/>
                <w:sz w:val="20"/>
                <w:szCs w:val="20"/>
              </w:rPr>
            </w:pPr>
            <w:r>
              <w:rPr>
                <w:rFonts w:ascii="宋体" w:hAnsi="宋体" w:eastAsia="宋体" w:cs="宋体"/>
                <w:sz w:val="20"/>
                <w:szCs w:val="20"/>
              </w:rPr>
              <w:t>10.与现有系统相比较的关键的人力、保障资源和可靠性与维</w:t>
            </w:r>
            <w:r>
              <w:rPr>
                <w:rFonts w:ascii="宋体" w:hAnsi="宋体" w:eastAsia="宋体" w:cs="宋体"/>
                <w:spacing w:val="7"/>
                <w:sz w:val="20"/>
                <w:szCs w:val="20"/>
              </w:rPr>
              <w:t xml:space="preserve"> </w:t>
            </w:r>
            <w:r>
              <w:rPr>
                <w:rFonts w:ascii="宋体" w:hAnsi="宋体" w:eastAsia="宋体" w:cs="宋体"/>
                <w:spacing w:val="-2"/>
                <w:sz w:val="20"/>
                <w:szCs w:val="20"/>
              </w:rPr>
              <w:t>修性的参数</w:t>
            </w:r>
          </w:p>
          <w:p w14:paraId="6B16BA5D">
            <w:pPr>
              <w:spacing w:before="172" w:line="219" w:lineRule="auto"/>
              <w:ind w:left="2545"/>
              <w:rPr>
                <w:rFonts w:ascii="宋体" w:hAnsi="宋体" w:eastAsia="宋体" w:cs="宋体"/>
                <w:sz w:val="20"/>
                <w:szCs w:val="20"/>
              </w:rPr>
            </w:pPr>
            <w:r>
              <w:rPr>
                <w:rFonts w:ascii="宋体" w:hAnsi="宋体" w:eastAsia="宋体" w:cs="宋体"/>
                <w:spacing w:val="4"/>
                <w:sz w:val="20"/>
                <w:szCs w:val="20"/>
              </w:rPr>
              <w:t>Ⅱ决策点</w:t>
            </w:r>
          </w:p>
          <w:p w14:paraId="2A2F5FF5">
            <w:pPr>
              <w:spacing w:before="93" w:line="262" w:lineRule="auto"/>
              <w:ind w:left="105" w:right="308" w:firstLine="10"/>
              <w:rPr>
                <w:rFonts w:ascii="宋体" w:hAnsi="宋体" w:eastAsia="宋体" w:cs="宋体"/>
                <w:sz w:val="20"/>
                <w:szCs w:val="20"/>
              </w:rPr>
            </w:pPr>
            <w:r>
              <w:rPr>
                <w:rFonts w:ascii="宋体" w:hAnsi="宋体" w:eastAsia="宋体" w:cs="宋体"/>
                <w:sz w:val="20"/>
                <w:szCs w:val="20"/>
              </w:rPr>
              <w:t>1.人力及保障资源对关键参数更改的敏感度，对战备完好性的</w:t>
            </w:r>
            <w:r>
              <w:rPr>
                <w:rFonts w:ascii="宋体" w:hAnsi="宋体" w:eastAsia="宋体" w:cs="宋体"/>
                <w:spacing w:val="14"/>
                <w:sz w:val="20"/>
                <w:szCs w:val="20"/>
              </w:rPr>
              <w:t xml:space="preserve"> </w:t>
            </w:r>
            <w:r>
              <w:rPr>
                <w:rFonts w:ascii="宋体" w:hAnsi="宋体" w:eastAsia="宋体" w:cs="宋体"/>
                <w:spacing w:val="1"/>
                <w:sz w:val="20"/>
                <w:szCs w:val="20"/>
              </w:rPr>
              <w:t>影响及有关保障风险范围</w:t>
            </w:r>
          </w:p>
          <w:p w14:paraId="43760EF2">
            <w:pPr>
              <w:spacing w:before="43" w:line="271" w:lineRule="auto"/>
              <w:ind w:left="105" w:right="117"/>
              <w:rPr>
                <w:rFonts w:ascii="宋体" w:hAnsi="宋体" w:eastAsia="宋体" w:cs="宋体"/>
                <w:sz w:val="20"/>
                <w:szCs w:val="20"/>
              </w:rPr>
            </w:pPr>
            <w:r>
              <w:rPr>
                <w:rFonts w:ascii="宋体" w:hAnsi="宋体" w:eastAsia="宋体" w:cs="宋体"/>
                <w:sz w:val="20"/>
                <w:szCs w:val="20"/>
              </w:rPr>
              <w:t>2.战备完好性、可靠性与维修性、人力、其他保障资源目标值与</w:t>
            </w:r>
            <w:r>
              <w:rPr>
                <w:rFonts w:ascii="宋体" w:hAnsi="宋体" w:eastAsia="宋体" w:cs="宋体"/>
                <w:spacing w:val="15"/>
                <w:sz w:val="20"/>
                <w:szCs w:val="20"/>
              </w:rPr>
              <w:t xml:space="preserve"> </w:t>
            </w:r>
            <w:r>
              <w:rPr>
                <w:rFonts w:ascii="宋体" w:hAnsi="宋体" w:eastAsia="宋体" w:cs="宋体"/>
                <w:sz w:val="20"/>
                <w:szCs w:val="20"/>
              </w:rPr>
              <w:t>门限值及与现有系统的比较</w:t>
            </w:r>
          </w:p>
          <w:p w14:paraId="3A4820B4">
            <w:pPr>
              <w:spacing w:before="203" w:line="219" w:lineRule="auto"/>
              <w:ind w:left="105"/>
              <w:rPr>
                <w:rFonts w:ascii="宋体" w:hAnsi="宋体" w:eastAsia="宋体" w:cs="宋体"/>
                <w:sz w:val="20"/>
                <w:szCs w:val="20"/>
              </w:rPr>
            </w:pPr>
            <w:r>
              <w:rPr>
                <w:rFonts w:ascii="宋体" w:hAnsi="宋体" w:eastAsia="宋体" w:cs="宋体"/>
                <w:spacing w:val="1"/>
                <w:sz w:val="20"/>
                <w:szCs w:val="20"/>
              </w:rPr>
              <w:t>3.基准保障方案</w:t>
            </w:r>
          </w:p>
          <w:p w14:paraId="33032F46">
            <w:pPr>
              <w:spacing w:before="271" w:line="219" w:lineRule="auto"/>
              <w:ind w:left="105"/>
              <w:rPr>
                <w:rFonts w:ascii="宋体" w:hAnsi="宋体" w:eastAsia="宋体" w:cs="宋体"/>
                <w:sz w:val="20"/>
                <w:szCs w:val="20"/>
              </w:rPr>
            </w:pPr>
            <w:r>
              <w:rPr>
                <w:rFonts w:ascii="宋体" w:hAnsi="宋体" w:eastAsia="宋体" w:cs="宋体"/>
                <w:sz w:val="20"/>
                <w:szCs w:val="20"/>
              </w:rPr>
              <w:t>4.对长期由承制方保障的子系统的考虑</w:t>
            </w:r>
          </w:p>
          <w:p w14:paraId="7406A32C">
            <w:pPr>
              <w:spacing w:before="62" w:line="268" w:lineRule="auto"/>
              <w:ind w:left="105" w:right="355" w:hanging="10"/>
              <w:rPr>
                <w:rFonts w:ascii="宋体" w:hAnsi="宋体" w:eastAsia="宋体" w:cs="宋体"/>
                <w:sz w:val="20"/>
                <w:szCs w:val="20"/>
              </w:rPr>
            </w:pPr>
            <w:r>
              <w:rPr>
                <w:rFonts w:ascii="宋体" w:hAnsi="宋体" w:eastAsia="宋体" w:cs="宋体"/>
                <w:spacing w:val="-1"/>
                <w:sz w:val="20"/>
                <w:szCs w:val="20"/>
              </w:rPr>
              <w:t>5.硬件特性、保障方案和保障资源要求之间达到最佳平衡的权</w:t>
            </w:r>
            <w:r>
              <w:rPr>
                <w:rFonts w:ascii="宋体" w:hAnsi="宋体" w:eastAsia="宋体" w:cs="宋体"/>
                <w:spacing w:val="15"/>
                <w:sz w:val="20"/>
                <w:szCs w:val="20"/>
              </w:rPr>
              <w:t xml:space="preserve"> </w:t>
            </w:r>
            <w:r>
              <w:rPr>
                <w:rFonts w:ascii="宋体" w:hAnsi="宋体" w:eastAsia="宋体" w:cs="宋体"/>
                <w:spacing w:val="-2"/>
                <w:sz w:val="20"/>
                <w:szCs w:val="20"/>
              </w:rPr>
              <w:t>衡结果</w:t>
            </w:r>
          </w:p>
          <w:p w14:paraId="35AA5FA6">
            <w:pPr>
              <w:spacing w:before="102" w:line="220" w:lineRule="auto"/>
              <w:ind w:left="105"/>
              <w:rPr>
                <w:rFonts w:ascii="宋体" w:hAnsi="宋体" w:eastAsia="宋体" w:cs="宋体"/>
                <w:sz w:val="20"/>
                <w:szCs w:val="20"/>
              </w:rPr>
            </w:pPr>
            <w:r>
              <w:rPr>
                <w:rFonts w:ascii="宋体" w:hAnsi="宋体" w:eastAsia="宋体" w:cs="宋体"/>
                <w:spacing w:val="-1"/>
                <w:sz w:val="20"/>
                <w:szCs w:val="20"/>
              </w:rPr>
              <w:t>6.正规的训练要求</w:t>
            </w:r>
          </w:p>
          <w:p w14:paraId="5B97056C">
            <w:pPr>
              <w:spacing w:before="131" w:line="219" w:lineRule="auto"/>
              <w:ind w:left="105"/>
              <w:rPr>
                <w:rFonts w:ascii="宋体" w:hAnsi="宋体" w:eastAsia="宋体" w:cs="宋体"/>
                <w:sz w:val="20"/>
                <w:szCs w:val="20"/>
              </w:rPr>
            </w:pPr>
            <w:r>
              <w:rPr>
                <w:rFonts w:ascii="宋体" w:hAnsi="宋体" w:eastAsia="宋体" w:cs="宋体"/>
                <w:sz w:val="20"/>
                <w:szCs w:val="20"/>
              </w:rPr>
              <w:t>7.现有及已计划的保障系统满足保障目标的能力</w:t>
            </w:r>
          </w:p>
          <w:p w14:paraId="5EBD6BBA">
            <w:pPr>
              <w:spacing w:before="140" w:line="263" w:lineRule="auto"/>
              <w:ind w:left="104" w:hanging="9"/>
              <w:rPr>
                <w:rFonts w:ascii="宋体" w:hAnsi="宋体" w:eastAsia="宋体" w:cs="宋体"/>
                <w:sz w:val="20"/>
                <w:szCs w:val="20"/>
              </w:rPr>
            </w:pPr>
            <w:r>
              <w:rPr>
                <w:rFonts w:ascii="宋体" w:hAnsi="宋体" w:eastAsia="宋体" w:cs="宋体"/>
                <w:spacing w:val="-2"/>
                <w:sz w:val="20"/>
                <w:szCs w:val="20"/>
              </w:rPr>
              <w:t>8.试验与评价计划，以用于评估是否达到有关保障的门限值、保障</w:t>
            </w:r>
            <w:r>
              <w:rPr>
                <w:rFonts w:ascii="宋体" w:hAnsi="宋体" w:eastAsia="宋体" w:cs="宋体"/>
                <w:spacing w:val="2"/>
                <w:sz w:val="20"/>
                <w:szCs w:val="20"/>
              </w:rPr>
              <w:t xml:space="preserve"> </w:t>
            </w:r>
            <w:r>
              <w:rPr>
                <w:rFonts w:ascii="宋体" w:hAnsi="宋体" w:eastAsia="宋体" w:cs="宋体"/>
                <w:sz w:val="20"/>
                <w:szCs w:val="20"/>
              </w:rPr>
              <w:t>计划与资源的充分性以及对费用与战备完好性目标产生的影响</w:t>
            </w:r>
          </w:p>
          <w:p w14:paraId="09115CD2">
            <w:pPr>
              <w:spacing w:before="193" w:line="219" w:lineRule="auto"/>
              <w:ind w:left="105"/>
              <w:rPr>
                <w:rFonts w:ascii="宋体" w:hAnsi="宋体" w:eastAsia="宋体" w:cs="宋体"/>
                <w:sz w:val="20"/>
                <w:szCs w:val="20"/>
              </w:rPr>
            </w:pPr>
            <w:r>
              <w:rPr>
                <w:rFonts w:ascii="宋体" w:hAnsi="宋体" w:eastAsia="宋体" w:cs="宋体"/>
                <w:spacing w:val="1"/>
                <w:sz w:val="20"/>
                <w:szCs w:val="20"/>
              </w:rPr>
              <w:t>9.试验结果对保障资源要求的影响</w:t>
            </w:r>
          </w:p>
          <w:p w14:paraId="6A8E6485">
            <w:pPr>
              <w:spacing w:before="103" w:line="219" w:lineRule="auto"/>
              <w:ind w:left="105"/>
              <w:rPr>
                <w:rFonts w:ascii="宋体" w:hAnsi="宋体" w:eastAsia="宋体" w:cs="宋体"/>
                <w:sz w:val="20"/>
                <w:szCs w:val="20"/>
              </w:rPr>
            </w:pPr>
            <w:r>
              <w:rPr>
                <w:rFonts w:ascii="宋体" w:hAnsi="宋体" w:eastAsia="宋体" w:cs="宋体"/>
                <w:spacing w:val="1"/>
                <w:sz w:val="20"/>
                <w:szCs w:val="20"/>
              </w:rPr>
              <w:t>10.更新决策点I的信息</w:t>
            </w:r>
          </w:p>
          <w:p w14:paraId="75D150BC">
            <w:pPr>
              <w:spacing w:before="132" w:line="219" w:lineRule="auto"/>
              <w:ind w:left="2715"/>
              <w:rPr>
                <w:rFonts w:ascii="宋体" w:hAnsi="宋体" w:eastAsia="宋体" w:cs="宋体"/>
                <w:sz w:val="20"/>
                <w:szCs w:val="20"/>
              </w:rPr>
            </w:pPr>
            <w:r>
              <w:rPr>
                <w:rFonts w:ascii="宋体" w:hAnsi="宋体" w:eastAsia="宋体" w:cs="宋体"/>
                <w:spacing w:val="6"/>
                <w:sz w:val="20"/>
                <w:szCs w:val="20"/>
              </w:rPr>
              <w:t>生产</w:t>
            </w:r>
          </w:p>
          <w:p w14:paraId="77D53026">
            <w:pPr>
              <w:pStyle w:val="6"/>
              <w:spacing w:line="256" w:lineRule="auto"/>
            </w:pPr>
          </w:p>
          <w:p w14:paraId="1C402C40">
            <w:pPr>
              <w:spacing w:before="66" w:line="219" w:lineRule="auto"/>
              <w:ind w:left="105"/>
              <w:rPr>
                <w:rFonts w:ascii="宋体" w:hAnsi="宋体" w:eastAsia="宋体" w:cs="宋体"/>
                <w:sz w:val="20"/>
                <w:szCs w:val="20"/>
              </w:rPr>
            </w:pPr>
            <w:r>
              <w:rPr>
                <w:rFonts w:ascii="宋体" w:hAnsi="宋体" w:eastAsia="宋体" w:cs="宋体"/>
                <w:sz w:val="20"/>
                <w:szCs w:val="20"/>
              </w:rPr>
              <w:t>1.详细的保障规划要求</w:t>
            </w:r>
          </w:p>
          <w:p w14:paraId="493E2B45">
            <w:pPr>
              <w:pStyle w:val="6"/>
              <w:spacing w:line="264" w:lineRule="auto"/>
            </w:pPr>
          </w:p>
          <w:p w14:paraId="6EF057E9">
            <w:pPr>
              <w:spacing w:before="65" w:line="219" w:lineRule="auto"/>
              <w:ind w:left="105"/>
              <w:rPr>
                <w:rFonts w:ascii="宋体" w:hAnsi="宋体" w:eastAsia="宋体" w:cs="宋体"/>
                <w:sz w:val="20"/>
                <w:szCs w:val="20"/>
              </w:rPr>
            </w:pPr>
            <w:r>
              <w:rPr>
                <w:rFonts w:ascii="宋体" w:hAnsi="宋体" w:eastAsia="宋体" w:cs="宋体"/>
                <w:spacing w:val="-1"/>
                <w:sz w:val="20"/>
                <w:szCs w:val="20"/>
              </w:rPr>
              <w:t>2.对保障平时战备完好性、战时勤务的人力及训练要求</w:t>
            </w:r>
          </w:p>
          <w:p w14:paraId="272B4A32">
            <w:pPr>
              <w:spacing w:before="104" w:line="219" w:lineRule="auto"/>
              <w:ind w:left="105"/>
              <w:rPr>
                <w:rFonts w:ascii="宋体" w:hAnsi="宋体" w:eastAsia="宋体" w:cs="宋体"/>
                <w:sz w:val="20"/>
                <w:szCs w:val="20"/>
              </w:rPr>
            </w:pPr>
            <w:r>
              <w:rPr>
                <w:rFonts w:ascii="宋体" w:hAnsi="宋体" w:eastAsia="宋体" w:cs="宋体"/>
                <w:sz w:val="20"/>
                <w:szCs w:val="20"/>
              </w:rPr>
              <w:t>3.可靠性与维修性的验收演示、维修计划、人力及保障资源</w:t>
            </w:r>
          </w:p>
          <w:p w14:paraId="3CCA1AB9">
            <w:pPr>
              <w:spacing w:before="163" w:line="219" w:lineRule="auto"/>
              <w:ind w:left="105"/>
              <w:rPr>
                <w:rFonts w:ascii="宋体" w:hAnsi="宋体" w:eastAsia="宋体" w:cs="宋体"/>
                <w:sz w:val="20"/>
                <w:szCs w:val="20"/>
              </w:rPr>
            </w:pPr>
            <w:r>
              <w:rPr>
                <w:rFonts w:ascii="宋体" w:hAnsi="宋体" w:eastAsia="宋体" w:cs="宋体"/>
                <w:sz w:val="20"/>
                <w:szCs w:val="20"/>
              </w:rPr>
              <w:t>4.不能得到所需要的人员对战备完好性产生的影响</w:t>
            </w:r>
          </w:p>
          <w:p w14:paraId="497ACDA6">
            <w:pPr>
              <w:spacing w:before="121" w:line="218" w:lineRule="auto"/>
              <w:ind w:left="105"/>
              <w:rPr>
                <w:rFonts w:ascii="宋体" w:hAnsi="宋体" w:eastAsia="宋体" w:cs="宋体"/>
                <w:sz w:val="20"/>
                <w:szCs w:val="20"/>
              </w:rPr>
            </w:pPr>
            <w:r>
              <w:rPr>
                <w:rFonts w:ascii="宋体" w:hAnsi="宋体" w:eastAsia="宋体" w:cs="宋体"/>
                <w:sz w:val="20"/>
                <w:szCs w:val="20"/>
              </w:rPr>
              <w:t>5.在后续试验与评价阶段，用于评价人力要求的计划</w:t>
            </w:r>
          </w:p>
          <w:p w14:paraId="1BF8B1EF">
            <w:pPr>
              <w:spacing w:before="116" w:line="219" w:lineRule="auto"/>
              <w:ind w:left="105"/>
              <w:rPr>
                <w:rFonts w:ascii="宋体" w:hAnsi="宋体" w:eastAsia="宋体" w:cs="宋体"/>
                <w:sz w:val="20"/>
                <w:szCs w:val="20"/>
              </w:rPr>
            </w:pPr>
            <w:r>
              <w:rPr>
                <w:rFonts w:ascii="宋体" w:hAnsi="宋体" w:eastAsia="宋体" w:cs="宋体"/>
                <w:spacing w:val="1"/>
                <w:sz w:val="20"/>
                <w:szCs w:val="20"/>
              </w:rPr>
              <w:t>6.更新决策点Ⅱ的信息</w:t>
            </w:r>
          </w:p>
        </w:tc>
        <w:tc>
          <w:tcPr>
            <w:tcW w:w="3521" w:type="dxa"/>
            <w:vAlign w:val="top"/>
          </w:tcPr>
          <w:p w14:paraId="1B66F05D">
            <w:pPr>
              <w:pStyle w:val="6"/>
              <w:spacing w:line="404" w:lineRule="auto"/>
            </w:pPr>
          </w:p>
          <w:p w14:paraId="49BFA423">
            <w:pPr>
              <w:spacing w:before="65" w:line="222" w:lineRule="auto"/>
              <w:ind w:left="116"/>
              <w:rPr>
                <w:rFonts w:ascii="宋体" w:hAnsi="宋体" w:eastAsia="宋体" w:cs="宋体"/>
                <w:sz w:val="20"/>
                <w:szCs w:val="20"/>
              </w:rPr>
            </w:pPr>
            <w:r>
              <w:rPr>
                <w:rFonts w:ascii="宋体" w:hAnsi="宋体" w:eastAsia="宋体" w:cs="宋体"/>
                <w:spacing w:val="-2"/>
                <w:sz w:val="20"/>
                <w:szCs w:val="20"/>
              </w:rPr>
              <w:t>1.203(203.2.3)</w:t>
            </w:r>
          </w:p>
          <w:p w14:paraId="422A187F">
            <w:pPr>
              <w:spacing w:before="139" w:line="222" w:lineRule="auto"/>
              <w:ind w:left="116"/>
              <w:rPr>
                <w:rFonts w:ascii="宋体" w:hAnsi="宋体" w:eastAsia="宋体" w:cs="宋体"/>
                <w:sz w:val="20"/>
                <w:szCs w:val="20"/>
              </w:rPr>
            </w:pPr>
            <w:r>
              <w:rPr>
                <w:rFonts w:ascii="宋体" w:hAnsi="宋体" w:eastAsia="宋体" w:cs="宋体"/>
                <w:spacing w:val="-1"/>
                <w:sz w:val="20"/>
                <w:szCs w:val="20"/>
              </w:rPr>
              <w:t>2.203(203.2.5)</w:t>
            </w:r>
          </w:p>
          <w:p w14:paraId="2766A46A">
            <w:pPr>
              <w:spacing w:before="99" w:line="222" w:lineRule="auto"/>
              <w:ind w:left="116"/>
              <w:rPr>
                <w:rFonts w:ascii="宋体" w:hAnsi="宋体" w:eastAsia="宋体" w:cs="宋体"/>
                <w:sz w:val="20"/>
                <w:szCs w:val="20"/>
              </w:rPr>
            </w:pPr>
            <w:r>
              <w:rPr>
                <w:rFonts w:ascii="宋体" w:hAnsi="宋体" w:eastAsia="宋体" w:cs="宋体"/>
                <w:spacing w:val="-1"/>
                <w:sz w:val="20"/>
                <w:szCs w:val="20"/>
              </w:rPr>
              <w:t>3.204(204.2.1)</w:t>
            </w:r>
          </w:p>
          <w:p w14:paraId="1032AFB5">
            <w:pPr>
              <w:spacing w:before="123" w:line="335" w:lineRule="auto"/>
              <w:ind w:left="116" w:right="391" w:firstLine="10"/>
              <w:rPr>
                <w:rFonts w:ascii="宋体" w:hAnsi="宋体" w:eastAsia="宋体" w:cs="宋体"/>
                <w:sz w:val="20"/>
                <w:szCs w:val="20"/>
              </w:rPr>
            </w:pPr>
            <w:r>
              <w:rPr>
                <w:rFonts w:ascii="宋体" w:hAnsi="宋体" w:eastAsia="宋体" w:cs="宋体"/>
                <w:sz w:val="20"/>
                <w:szCs w:val="20"/>
              </w:rPr>
              <w:t>4.205(205.2.1,205.2.2</w:t>
            </w:r>
            <w:r>
              <w:rPr>
                <w:rFonts w:ascii="宋体" w:hAnsi="宋体" w:eastAsia="宋体" w:cs="宋体"/>
                <w:spacing w:val="-1"/>
                <w:sz w:val="20"/>
                <w:szCs w:val="20"/>
              </w:rPr>
              <w:t>,205.2.3)</w:t>
            </w:r>
            <w:r>
              <w:rPr>
                <w:rFonts w:ascii="宋体" w:hAnsi="宋体" w:eastAsia="宋体" w:cs="宋体"/>
                <w:sz w:val="20"/>
                <w:szCs w:val="20"/>
              </w:rPr>
              <w:t xml:space="preserve"> </w:t>
            </w:r>
            <w:r>
              <w:rPr>
                <w:rFonts w:ascii="宋体" w:hAnsi="宋体" w:eastAsia="宋体" w:cs="宋体"/>
                <w:spacing w:val="-1"/>
                <w:sz w:val="20"/>
                <w:szCs w:val="20"/>
              </w:rPr>
              <w:t>5.205(205.2.4)</w:t>
            </w:r>
          </w:p>
          <w:p w14:paraId="4D85906C">
            <w:pPr>
              <w:spacing w:line="222" w:lineRule="auto"/>
              <w:ind w:left="116"/>
              <w:rPr>
                <w:rFonts w:ascii="宋体" w:hAnsi="宋体" w:eastAsia="宋体" w:cs="宋体"/>
                <w:sz w:val="20"/>
                <w:szCs w:val="20"/>
              </w:rPr>
            </w:pPr>
            <w:r>
              <w:rPr>
                <w:rFonts w:ascii="宋体" w:hAnsi="宋体" w:eastAsia="宋体" w:cs="宋体"/>
                <w:spacing w:val="-1"/>
                <w:sz w:val="20"/>
                <w:szCs w:val="20"/>
              </w:rPr>
              <w:t>6.301(301.2.2)</w:t>
            </w:r>
          </w:p>
          <w:p w14:paraId="7BA8CA56">
            <w:pPr>
              <w:spacing w:before="110" w:line="222" w:lineRule="auto"/>
              <w:ind w:left="116"/>
              <w:rPr>
                <w:rFonts w:ascii="宋体" w:hAnsi="宋体" w:eastAsia="宋体" w:cs="宋体"/>
                <w:sz w:val="20"/>
                <w:szCs w:val="20"/>
              </w:rPr>
            </w:pPr>
            <w:r>
              <w:rPr>
                <w:rFonts w:ascii="宋体" w:hAnsi="宋体" w:eastAsia="宋体" w:cs="宋体"/>
                <w:spacing w:val="-1"/>
                <w:sz w:val="20"/>
                <w:szCs w:val="20"/>
              </w:rPr>
              <w:t>7.303(303.2.2)</w:t>
            </w:r>
          </w:p>
          <w:p w14:paraId="2721BA69">
            <w:pPr>
              <w:spacing w:before="129" w:line="222" w:lineRule="auto"/>
              <w:ind w:left="116"/>
              <w:rPr>
                <w:rFonts w:ascii="宋体" w:hAnsi="宋体" w:eastAsia="宋体" w:cs="宋体"/>
                <w:sz w:val="20"/>
                <w:szCs w:val="20"/>
              </w:rPr>
            </w:pPr>
            <w:r>
              <w:rPr>
                <w:rFonts w:ascii="宋体" w:hAnsi="宋体" w:eastAsia="宋体" w:cs="宋体"/>
                <w:spacing w:val="-1"/>
                <w:sz w:val="20"/>
                <w:szCs w:val="20"/>
              </w:rPr>
              <w:t>8.303(303.2.5)</w:t>
            </w:r>
          </w:p>
          <w:p w14:paraId="047AA28D">
            <w:pPr>
              <w:spacing w:before="119" w:line="222" w:lineRule="auto"/>
              <w:ind w:left="116"/>
              <w:rPr>
                <w:rFonts w:ascii="宋体" w:hAnsi="宋体" w:eastAsia="宋体" w:cs="宋体"/>
                <w:sz w:val="20"/>
                <w:szCs w:val="20"/>
              </w:rPr>
            </w:pPr>
            <w:r>
              <w:rPr>
                <w:rFonts w:ascii="宋体" w:hAnsi="宋体" w:eastAsia="宋体" w:cs="宋体"/>
                <w:spacing w:val="-1"/>
                <w:sz w:val="20"/>
                <w:szCs w:val="20"/>
              </w:rPr>
              <w:t>9.303(303.2.6)</w:t>
            </w:r>
          </w:p>
          <w:p w14:paraId="5CEE5621">
            <w:pPr>
              <w:pStyle w:val="6"/>
              <w:spacing w:line="253" w:lineRule="auto"/>
            </w:pPr>
          </w:p>
          <w:p w14:paraId="24288F85">
            <w:pPr>
              <w:spacing w:before="66" w:line="222" w:lineRule="auto"/>
              <w:ind w:left="116"/>
              <w:rPr>
                <w:rFonts w:ascii="宋体" w:hAnsi="宋体" w:eastAsia="宋体" w:cs="宋体"/>
                <w:sz w:val="20"/>
                <w:szCs w:val="20"/>
              </w:rPr>
            </w:pPr>
            <w:r>
              <w:rPr>
                <w:rFonts w:ascii="宋体" w:hAnsi="宋体" w:eastAsia="宋体" w:cs="宋体"/>
                <w:spacing w:val="-2"/>
                <w:sz w:val="20"/>
                <w:szCs w:val="20"/>
              </w:rPr>
              <w:t>10.303(303.2.9)</w:t>
            </w:r>
          </w:p>
          <w:p w14:paraId="2E62386E">
            <w:pPr>
              <w:pStyle w:val="6"/>
              <w:spacing w:line="247" w:lineRule="auto"/>
            </w:pPr>
          </w:p>
          <w:p w14:paraId="3DE2C18A">
            <w:pPr>
              <w:pStyle w:val="6"/>
              <w:spacing w:line="248" w:lineRule="auto"/>
            </w:pPr>
          </w:p>
          <w:p w14:paraId="12ECB551">
            <w:pPr>
              <w:pStyle w:val="6"/>
              <w:spacing w:line="248" w:lineRule="auto"/>
            </w:pPr>
          </w:p>
          <w:p w14:paraId="11A9D817">
            <w:pPr>
              <w:spacing w:before="66" w:line="216" w:lineRule="auto"/>
              <w:ind w:left="116"/>
              <w:rPr>
                <w:rFonts w:ascii="宋体" w:hAnsi="宋体" w:eastAsia="宋体" w:cs="宋体"/>
                <w:sz w:val="20"/>
                <w:szCs w:val="20"/>
              </w:rPr>
            </w:pPr>
            <w:r>
              <w:rPr>
                <w:rFonts w:ascii="宋体" w:hAnsi="宋体" w:eastAsia="宋体" w:cs="宋体"/>
                <w:spacing w:val="-1"/>
                <w:sz w:val="20"/>
                <w:szCs w:val="20"/>
              </w:rPr>
              <w:t>1.205(205.2.1),303(303.2.5)</w:t>
            </w:r>
          </w:p>
          <w:p w14:paraId="5900AE92">
            <w:pPr>
              <w:pStyle w:val="6"/>
              <w:spacing w:line="328" w:lineRule="auto"/>
            </w:pPr>
          </w:p>
          <w:p w14:paraId="0DF014CD">
            <w:pPr>
              <w:spacing w:before="65" w:line="216" w:lineRule="auto"/>
              <w:ind w:left="116"/>
              <w:rPr>
                <w:rFonts w:ascii="宋体" w:hAnsi="宋体" w:eastAsia="宋体" w:cs="宋体"/>
                <w:sz w:val="20"/>
                <w:szCs w:val="20"/>
              </w:rPr>
            </w:pPr>
            <w:r>
              <w:rPr>
                <w:rFonts w:ascii="宋体" w:hAnsi="宋体" w:eastAsia="宋体" w:cs="宋体"/>
                <w:sz w:val="20"/>
                <w:szCs w:val="20"/>
              </w:rPr>
              <w:t>2.205(205.2.6),303(3</w:t>
            </w:r>
            <w:r>
              <w:rPr>
                <w:rFonts w:ascii="宋体" w:hAnsi="宋体" w:eastAsia="宋体" w:cs="宋体"/>
                <w:spacing w:val="-1"/>
                <w:sz w:val="20"/>
                <w:szCs w:val="20"/>
              </w:rPr>
              <w:t>03.2.9)</w:t>
            </w:r>
          </w:p>
          <w:p w14:paraId="2DB8464B">
            <w:pPr>
              <w:spacing w:before="206" w:line="314" w:lineRule="auto"/>
              <w:ind w:left="116" w:right="606"/>
              <w:rPr>
                <w:rFonts w:ascii="宋体" w:hAnsi="宋体" w:eastAsia="宋体" w:cs="宋体"/>
                <w:sz w:val="20"/>
                <w:szCs w:val="20"/>
              </w:rPr>
            </w:pPr>
            <w:r>
              <w:rPr>
                <w:rFonts w:ascii="宋体" w:hAnsi="宋体" w:eastAsia="宋体" w:cs="宋体"/>
                <w:spacing w:val="-1"/>
                <w:sz w:val="20"/>
                <w:szCs w:val="20"/>
              </w:rPr>
              <w:t>3.301(301.2.1),302(302.2.1),</w:t>
            </w:r>
            <w:r>
              <w:rPr>
                <w:rFonts w:ascii="宋体" w:hAnsi="宋体" w:eastAsia="宋体" w:cs="宋体"/>
                <w:spacing w:val="15"/>
                <w:sz w:val="20"/>
                <w:szCs w:val="20"/>
              </w:rPr>
              <w:t xml:space="preserve"> </w:t>
            </w:r>
            <w:r>
              <w:rPr>
                <w:rFonts w:ascii="宋体" w:hAnsi="宋体" w:eastAsia="宋体" w:cs="宋体"/>
                <w:spacing w:val="-1"/>
                <w:sz w:val="20"/>
                <w:szCs w:val="20"/>
              </w:rPr>
              <w:t>303(303.2.2)</w:t>
            </w:r>
          </w:p>
          <w:p w14:paraId="7D7A26DA">
            <w:pPr>
              <w:spacing w:line="452" w:lineRule="auto"/>
              <w:ind w:left="116" w:right="701"/>
              <w:rPr>
                <w:rFonts w:ascii="宋体" w:hAnsi="宋体" w:eastAsia="宋体" w:cs="宋体"/>
                <w:sz w:val="20"/>
                <w:szCs w:val="20"/>
              </w:rPr>
            </w:pPr>
            <w:r>
              <w:rPr>
                <w:rFonts w:ascii="宋体" w:hAnsi="宋体" w:eastAsia="宋体" w:cs="宋体"/>
                <w:sz w:val="20"/>
                <w:szCs w:val="20"/>
              </w:rPr>
              <w:t>4.302(302.2.1),303</w:t>
            </w:r>
            <w:r>
              <w:rPr>
                <w:rFonts w:ascii="宋体" w:hAnsi="宋体" w:eastAsia="宋体" w:cs="宋体"/>
                <w:spacing w:val="-1"/>
                <w:sz w:val="20"/>
                <w:szCs w:val="20"/>
              </w:rPr>
              <w:t>(303.2.2)</w:t>
            </w:r>
            <w:r>
              <w:rPr>
                <w:rFonts w:ascii="宋体" w:hAnsi="宋体" w:eastAsia="宋体" w:cs="宋体"/>
                <w:sz w:val="20"/>
                <w:szCs w:val="20"/>
              </w:rPr>
              <w:t xml:space="preserve"> </w:t>
            </w:r>
            <w:r>
              <w:rPr>
                <w:rFonts w:ascii="宋体" w:hAnsi="宋体" w:eastAsia="宋体" w:cs="宋体"/>
                <w:spacing w:val="-1"/>
                <w:sz w:val="20"/>
                <w:szCs w:val="20"/>
              </w:rPr>
              <w:t>5.303(303.2.3)</w:t>
            </w:r>
          </w:p>
          <w:p w14:paraId="6395CC65">
            <w:pPr>
              <w:spacing w:before="2" w:line="359" w:lineRule="auto"/>
              <w:ind w:left="116" w:right="704"/>
              <w:rPr>
                <w:rFonts w:ascii="宋体" w:hAnsi="宋体" w:eastAsia="宋体" w:cs="宋体"/>
                <w:sz w:val="20"/>
                <w:szCs w:val="20"/>
              </w:rPr>
            </w:pPr>
            <w:r>
              <w:rPr>
                <w:rFonts w:ascii="宋体" w:hAnsi="宋体" w:eastAsia="宋体" w:cs="宋体"/>
                <w:spacing w:val="-1"/>
                <w:sz w:val="20"/>
                <w:szCs w:val="20"/>
              </w:rPr>
              <w:t>6.303(303.2.6),401(401.2.4)</w:t>
            </w:r>
            <w:r>
              <w:rPr>
                <w:rFonts w:ascii="宋体" w:hAnsi="宋体" w:eastAsia="宋体" w:cs="宋体"/>
                <w:spacing w:val="16"/>
                <w:sz w:val="20"/>
                <w:szCs w:val="20"/>
              </w:rPr>
              <w:t xml:space="preserve"> </w:t>
            </w:r>
            <w:r>
              <w:rPr>
                <w:rFonts w:ascii="宋体" w:hAnsi="宋体" w:eastAsia="宋体" w:cs="宋体"/>
                <w:spacing w:val="-1"/>
                <w:sz w:val="20"/>
                <w:szCs w:val="20"/>
              </w:rPr>
              <w:t>7.303(303.2.1)</w:t>
            </w:r>
          </w:p>
          <w:p w14:paraId="6451858E">
            <w:pPr>
              <w:spacing w:before="151" w:line="216" w:lineRule="auto"/>
              <w:ind w:left="116"/>
              <w:rPr>
                <w:rFonts w:ascii="宋体" w:hAnsi="宋体" w:eastAsia="宋体" w:cs="宋体"/>
                <w:sz w:val="20"/>
                <w:szCs w:val="20"/>
              </w:rPr>
            </w:pPr>
            <w:r>
              <w:rPr>
                <w:rFonts w:ascii="宋体" w:hAnsi="宋体" w:eastAsia="宋体" w:cs="宋体"/>
                <w:spacing w:val="-1"/>
                <w:sz w:val="20"/>
                <w:szCs w:val="20"/>
              </w:rPr>
              <w:t>8.501(501.2.2,501.2.3)</w:t>
            </w:r>
          </w:p>
          <w:p w14:paraId="2311994C">
            <w:pPr>
              <w:pStyle w:val="6"/>
              <w:spacing w:line="275" w:lineRule="auto"/>
            </w:pPr>
          </w:p>
          <w:p w14:paraId="626D75AD">
            <w:pPr>
              <w:spacing w:before="65" w:line="222" w:lineRule="auto"/>
              <w:ind w:left="116"/>
              <w:rPr>
                <w:rFonts w:ascii="宋体" w:hAnsi="宋体" w:eastAsia="宋体" w:cs="宋体"/>
                <w:sz w:val="20"/>
                <w:szCs w:val="20"/>
              </w:rPr>
            </w:pPr>
            <w:r>
              <w:rPr>
                <w:rFonts w:ascii="宋体" w:hAnsi="宋体" w:eastAsia="宋体" w:cs="宋体"/>
                <w:spacing w:val="-1"/>
                <w:sz w:val="20"/>
                <w:szCs w:val="20"/>
              </w:rPr>
              <w:t>9.501(501.2.4)</w:t>
            </w:r>
          </w:p>
          <w:p w14:paraId="7913EB65">
            <w:pPr>
              <w:spacing w:before="104" w:line="216" w:lineRule="auto"/>
              <w:ind w:left="116"/>
              <w:rPr>
                <w:rFonts w:ascii="宋体" w:hAnsi="宋体" w:eastAsia="宋体" w:cs="宋体"/>
                <w:sz w:val="20"/>
                <w:szCs w:val="20"/>
              </w:rPr>
            </w:pPr>
            <w:r>
              <w:rPr>
                <w:rFonts w:ascii="宋体" w:hAnsi="宋体" w:eastAsia="宋体" w:cs="宋体"/>
                <w:spacing w:val="-1"/>
                <w:sz w:val="20"/>
                <w:szCs w:val="20"/>
              </w:rPr>
              <w:t>10.203,204,205,301,302,303</w:t>
            </w:r>
          </w:p>
          <w:p w14:paraId="7EFF663F">
            <w:pPr>
              <w:pStyle w:val="6"/>
              <w:spacing w:line="458" w:lineRule="auto"/>
            </w:pPr>
          </w:p>
          <w:p w14:paraId="71D1E503">
            <w:pPr>
              <w:spacing w:before="65" w:line="342" w:lineRule="auto"/>
              <w:ind w:left="116" w:right="607" w:firstLine="10"/>
              <w:rPr>
                <w:rFonts w:ascii="宋体" w:hAnsi="宋体" w:eastAsia="宋体" w:cs="宋体"/>
                <w:sz w:val="20"/>
                <w:szCs w:val="20"/>
              </w:rPr>
            </w:pPr>
            <w:r>
              <w:rPr>
                <w:rFonts w:ascii="宋体" w:hAnsi="宋体" w:eastAsia="宋体" w:cs="宋体"/>
                <w:spacing w:val="-1"/>
                <w:sz w:val="20"/>
                <w:szCs w:val="20"/>
              </w:rPr>
              <w:t>1.302(302.2.3),303(303.2.2),</w:t>
            </w:r>
            <w:r>
              <w:rPr>
                <w:rFonts w:ascii="宋体" w:hAnsi="宋体" w:eastAsia="宋体" w:cs="宋体"/>
                <w:spacing w:val="4"/>
                <w:sz w:val="20"/>
                <w:szCs w:val="20"/>
              </w:rPr>
              <w:t xml:space="preserve"> </w:t>
            </w:r>
            <w:r>
              <w:rPr>
                <w:rFonts w:ascii="宋体" w:hAnsi="宋体" w:eastAsia="宋体" w:cs="宋体"/>
                <w:spacing w:val="-1"/>
                <w:sz w:val="20"/>
                <w:szCs w:val="20"/>
              </w:rPr>
              <w:t>401,402</w:t>
            </w:r>
          </w:p>
          <w:p w14:paraId="6760A5E5">
            <w:pPr>
              <w:spacing w:before="29" w:line="216" w:lineRule="auto"/>
              <w:ind w:left="116"/>
              <w:rPr>
                <w:rFonts w:ascii="宋体" w:hAnsi="宋体" w:eastAsia="宋体" w:cs="宋体"/>
                <w:sz w:val="20"/>
                <w:szCs w:val="20"/>
              </w:rPr>
            </w:pPr>
            <w:r>
              <w:rPr>
                <w:rFonts w:ascii="宋体" w:hAnsi="宋体" w:eastAsia="宋体" w:cs="宋体"/>
                <w:spacing w:val="-2"/>
                <w:sz w:val="20"/>
                <w:szCs w:val="20"/>
              </w:rPr>
              <w:t>2.401,402</w:t>
            </w:r>
          </w:p>
          <w:p w14:paraId="0F6F9AFA">
            <w:pPr>
              <w:spacing w:before="106" w:line="216" w:lineRule="auto"/>
              <w:ind w:left="116"/>
              <w:rPr>
                <w:rFonts w:ascii="宋体" w:hAnsi="宋体" w:eastAsia="宋体" w:cs="宋体"/>
                <w:sz w:val="20"/>
                <w:szCs w:val="20"/>
              </w:rPr>
            </w:pPr>
            <w:r>
              <w:rPr>
                <w:rFonts w:ascii="宋体" w:hAnsi="宋体" w:eastAsia="宋体" w:cs="宋体"/>
                <w:spacing w:val="-1"/>
                <w:sz w:val="20"/>
                <w:szCs w:val="20"/>
              </w:rPr>
              <w:t>3.401,402,501(501.2.4)</w:t>
            </w:r>
          </w:p>
          <w:p w14:paraId="1A8B11D3">
            <w:pPr>
              <w:spacing w:before="142" w:line="222" w:lineRule="auto"/>
              <w:ind w:left="116"/>
              <w:rPr>
                <w:rFonts w:ascii="宋体" w:hAnsi="宋体" w:eastAsia="宋体" w:cs="宋体"/>
                <w:sz w:val="20"/>
                <w:szCs w:val="20"/>
              </w:rPr>
            </w:pPr>
            <w:r>
              <w:rPr>
                <w:rFonts w:ascii="宋体" w:hAnsi="宋体" w:eastAsia="宋体" w:cs="宋体"/>
                <w:spacing w:val="-1"/>
                <w:sz w:val="20"/>
                <w:szCs w:val="20"/>
              </w:rPr>
              <w:t>4.402(402.2.3)</w:t>
            </w:r>
          </w:p>
          <w:p w14:paraId="22A08331">
            <w:pPr>
              <w:spacing w:before="119" w:line="222" w:lineRule="auto"/>
              <w:ind w:left="116"/>
              <w:rPr>
                <w:rFonts w:ascii="宋体" w:hAnsi="宋体" w:eastAsia="宋体" w:cs="宋体"/>
                <w:sz w:val="20"/>
                <w:szCs w:val="20"/>
              </w:rPr>
            </w:pPr>
            <w:r>
              <w:rPr>
                <w:rFonts w:ascii="宋体" w:hAnsi="宋体" w:eastAsia="宋体" w:cs="宋体"/>
                <w:spacing w:val="-1"/>
                <w:sz w:val="20"/>
                <w:szCs w:val="20"/>
              </w:rPr>
              <w:t>5.501(501.2.2)</w:t>
            </w:r>
          </w:p>
          <w:p w14:paraId="1F8C6DB5">
            <w:pPr>
              <w:spacing w:before="104" w:line="216" w:lineRule="auto"/>
              <w:ind w:left="116"/>
              <w:rPr>
                <w:rFonts w:ascii="宋体" w:hAnsi="宋体" w:eastAsia="宋体" w:cs="宋体"/>
                <w:sz w:val="20"/>
                <w:szCs w:val="20"/>
              </w:rPr>
            </w:pPr>
            <w:r>
              <w:rPr>
                <w:rFonts w:ascii="宋体" w:hAnsi="宋体" w:eastAsia="宋体" w:cs="宋体"/>
                <w:spacing w:val="-1"/>
                <w:sz w:val="20"/>
                <w:szCs w:val="20"/>
              </w:rPr>
              <w:t>6.205,301,302,303,401,501</w:t>
            </w:r>
          </w:p>
        </w:tc>
      </w:tr>
    </w:tbl>
    <w:p w14:paraId="113D9C49">
      <w:pPr>
        <w:rPr>
          <w:rFonts w:ascii="Arial"/>
          <w:sz w:val="21"/>
        </w:rPr>
      </w:pPr>
    </w:p>
    <w:p w14:paraId="13B3A104">
      <w:pPr>
        <w:rPr>
          <w:rFonts w:ascii="Arial" w:hAnsi="Arial" w:eastAsia="Arial" w:cs="Arial"/>
          <w:sz w:val="21"/>
          <w:szCs w:val="21"/>
        </w:rPr>
        <w:sectPr>
          <w:footerReference r:id="rId509" w:type="default"/>
          <w:pgSz w:w="11910" w:h="17130"/>
          <w:pgMar w:top="400" w:right="1314" w:bottom="1667" w:left="1214" w:header="0" w:footer="1451" w:gutter="0"/>
          <w:cols w:space="720" w:num="1"/>
        </w:sectPr>
      </w:pPr>
    </w:p>
    <w:p w14:paraId="6502227D">
      <w:pPr>
        <w:spacing w:line="258" w:lineRule="auto"/>
        <w:rPr>
          <w:rFonts w:ascii="Arial"/>
          <w:sz w:val="21"/>
        </w:rPr>
      </w:pPr>
    </w:p>
    <w:p w14:paraId="590CAED6">
      <w:pPr>
        <w:spacing w:line="258" w:lineRule="auto"/>
        <w:rPr>
          <w:rFonts w:ascii="Arial"/>
          <w:sz w:val="21"/>
        </w:rPr>
      </w:pPr>
    </w:p>
    <w:p w14:paraId="4EA5A8E0">
      <w:pPr>
        <w:spacing w:line="259" w:lineRule="auto"/>
        <w:rPr>
          <w:rFonts w:ascii="Arial"/>
          <w:sz w:val="21"/>
        </w:rPr>
      </w:pPr>
    </w:p>
    <w:p w14:paraId="08348313">
      <w:pPr>
        <w:spacing w:line="259" w:lineRule="auto"/>
        <w:rPr>
          <w:rFonts w:ascii="Arial"/>
          <w:sz w:val="21"/>
        </w:rPr>
      </w:pPr>
    </w:p>
    <w:p w14:paraId="457407CE">
      <w:pPr>
        <w:spacing w:line="259" w:lineRule="auto"/>
        <w:rPr>
          <w:rFonts w:ascii="Arial"/>
          <w:sz w:val="21"/>
        </w:rPr>
      </w:pPr>
    </w:p>
    <w:p w14:paraId="48723BAD">
      <w:pPr>
        <w:pStyle w:val="2"/>
        <w:spacing w:before="130" w:line="219" w:lineRule="auto"/>
        <w:ind w:left="2869"/>
        <w:rPr>
          <w:sz w:val="40"/>
          <w:szCs w:val="40"/>
        </w:rPr>
      </w:pPr>
      <w:r>
        <w:rPr>
          <w:spacing w:val="-27"/>
          <w:sz w:val="40"/>
          <w:szCs w:val="40"/>
        </w:rPr>
        <w:t>10.</w:t>
      </w:r>
      <w:r>
        <w:rPr>
          <w:b/>
          <w:bCs/>
          <w:spacing w:val="-27"/>
          <w:sz w:val="40"/>
          <w:szCs w:val="40"/>
        </w:rPr>
        <w:t>6</w:t>
      </w:r>
      <w:r>
        <w:rPr>
          <w:spacing w:val="-27"/>
          <w:sz w:val="40"/>
          <w:szCs w:val="40"/>
        </w:rPr>
        <w:t xml:space="preserve">  </w:t>
      </w:r>
      <w:r>
        <w:rPr>
          <w:b/>
          <w:bCs/>
          <w:spacing w:val="-27"/>
          <w:sz w:val="40"/>
          <w:szCs w:val="40"/>
        </w:rPr>
        <w:t>保障性分析计划</w:t>
      </w:r>
    </w:p>
    <w:p w14:paraId="2647B801">
      <w:pPr>
        <w:spacing w:line="330" w:lineRule="auto"/>
        <w:rPr>
          <w:rFonts w:ascii="Arial"/>
          <w:sz w:val="21"/>
        </w:rPr>
      </w:pPr>
    </w:p>
    <w:p w14:paraId="3CB7E284">
      <w:pPr>
        <w:pStyle w:val="2"/>
        <w:spacing w:before="91" w:line="226" w:lineRule="auto"/>
        <w:ind w:left="560"/>
        <w:rPr>
          <w:rFonts w:ascii="楷体" w:hAnsi="楷体" w:eastAsia="楷体" w:cs="楷体"/>
          <w:sz w:val="28"/>
          <w:szCs w:val="28"/>
        </w:rPr>
      </w:pPr>
      <w:r>
        <w:rPr>
          <w:rFonts w:ascii="楷体" w:hAnsi="楷体" w:eastAsia="楷体" w:cs="楷体"/>
          <w:spacing w:val="-13"/>
          <w:sz w:val="28"/>
          <w:szCs w:val="28"/>
        </w:rPr>
        <w:t>按照</w:t>
      </w:r>
      <w:r>
        <w:rPr>
          <w:rFonts w:ascii="Times New Roman" w:hAnsi="Times New Roman" w:eastAsia="Times New Roman" w:cs="Times New Roman"/>
          <w:spacing w:val="-13"/>
          <w:sz w:val="28"/>
          <w:szCs w:val="28"/>
        </w:rPr>
        <w:t>GJB</w:t>
      </w:r>
      <w:r>
        <w:rPr>
          <w:rFonts w:ascii="Times New Roman" w:hAnsi="Times New Roman" w:eastAsia="Times New Roman" w:cs="Times New Roman"/>
          <w:spacing w:val="37"/>
          <w:sz w:val="28"/>
          <w:szCs w:val="28"/>
        </w:rPr>
        <w:t xml:space="preserve"> </w:t>
      </w:r>
      <w:r>
        <w:rPr>
          <w:rFonts w:ascii="Times New Roman" w:hAnsi="Times New Roman" w:eastAsia="Times New Roman" w:cs="Times New Roman"/>
          <w:spacing w:val="-13"/>
          <w:sz w:val="28"/>
          <w:szCs w:val="28"/>
        </w:rPr>
        <w:t>1371—1992</w:t>
      </w:r>
      <w:r>
        <w:rPr>
          <w:spacing w:val="-13"/>
          <w:sz w:val="28"/>
          <w:szCs w:val="28"/>
        </w:rPr>
        <w:t>《</w:t>
      </w:r>
      <w:r>
        <w:rPr>
          <w:rFonts w:ascii="楷体" w:hAnsi="楷体" w:eastAsia="楷体" w:cs="楷体"/>
          <w:spacing w:val="-13"/>
          <w:sz w:val="28"/>
          <w:szCs w:val="28"/>
        </w:rPr>
        <w:t>装备保障性分析》编写。</w:t>
      </w:r>
    </w:p>
    <w:p w14:paraId="5365E901">
      <w:pPr>
        <w:spacing w:before="76"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7"/>
          <w:sz w:val="27"/>
          <w:szCs w:val="27"/>
        </w:rPr>
        <w:t xml:space="preserve">  </w:t>
      </w:r>
      <w:r>
        <w:rPr>
          <w:rFonts w:ascii="黑体" w:hAnsi="黑体" w:eastAsia="黑体" w:cs="黑体"/>
          <w:b/>
          <w:bCs/>
          <w:spacing w:val="-8"/>
          <w:sz w:val="27"/>
          <w:szCs w:val="27"/>
        </w:rPr>
        <w:t>范围</w:t>
      </w:r>
    </w:p>
    <w:p w14:paraId="368D97A0">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引用文件</w:t>
      </w:r>
    </w:p>
    <w:p w14:paraId="7DB43A09">
      <w:pPr>
        <w:spacing w:before="84" w:line="221" w:lineRule="auto"/>
        <w:rPr>
          <w:rFonts w:ascii="黑体" w:hAnsi="黑体" w:eastAsia="黑体" w:cs="黑体"/>
          <w:sz w:val="27"/>
          <w:szCs w:val="27"/>
        </w:rPr>
      </w:pPr>
      <w:r>
        <w:rPr>
          <w:rFonts w:ascii="黑体" w:hAnsi="黑体" w:eastAsia="黑体" w:cs="黑体"/>
          <w:spacing w:val="1"/>
          <w:sz w:val="27"/>
          <w:szCs w:val="27"/>
        </w:rPr>
        <w:t xml:space="preserve">3  </w:t>
      </w:r>
      <w:r>
        <w:rPr>
          <w:rFonts w:ascii="黑体" w:hAnsi="黑体" w:eastAsia="黑体" w:cs="黑体"/>
          <w:b/>
          <w:bCs/>
          <w:spacing w:val="1"/>
          <w:sz w:val="27"/>
          <w:szCs w:val="27"/>
        </w:rPr>
        <w:t>保障性分析工作方法</w:t>
      </w:r>
    </w:p>
    <w:p w14:paraId="3350590C">
      <w:pPr>
        <w:pStyle w:val="2"/>
        <w:spacing w:before="93" w:line="219" w:lineRule="auto"/>
        <w:ind w:left="560"/>
      </w:pPr>
      <w:r>
        <w:t>说明完成保障性分析工作的方法。</w:t>
      </w:r>
    </w:p>
    <w:p w14:paraId="61A8CAEC">
      <w:pPr>
        <w:spacing w:before="73" w:line="221" w:lineRule="auto"/>
        <w:rPr>
          <w:rFonts w:ascii="黑体" w:hAnsi="黑体" w:eastAsia="黑体" w:cs="黑体"/>
          <w:sz w:val="27"/>
          <w:szCs w:val="27"/>
        </w:rPr>
      </w:pPr>
      <w:r>
        <w:rPr>
          <w:rFonts w:ascii="黑体" w:hAnsi="黑体" w:eastAsia="黑体" w:cs="黑体"/>
          <w:spacing w:val="1"/>
          <w:sz w:val="27"/>
          <w:szCs w:val="27"/>
        </w:rPr>
        <w:t xml:space="preserve">4  </w:t>
      </w:r>
      <w:r>
        <w:rPr>
          <w:rFonts w:ascii="黑体" w:hAnsi="黑体" w:eastAsia="黑体" w:cs="黑体"/>
          <w:b/>
          <w:bCs/>
          <w:spacing w:val="1"/>
          <w:sz w:val="27"/>
          <w:szCs w:val="27"/>
        </w:rPr>
        <w:t>管理组织及其职责</w:t>
      </w:r>
    </w:p>
    <w:p w14:paraId="6559DA31">
      <w:pPr>
        <w:pStyle w:val="2"/>
        <w:spacing w:before="103" w:line="219" w:lineRule="auto"/>
        <w:ind w:left="560"/>
      </w:pPr>
      <w:r>
        <w:rPr>
          <w:spacing w:val="2"/>
        </w:rPr>
        <w:t>明确保障性分析工作的管理组织及其职责。</w:t>
      </w:r>
    </w:p>
    <w:p w14:paraId="37C57A07">
      <w:pPr>
        <w:spacing w:before="74" w:line="222" w:lineRule="auto"/>
        <w:rPr>
          <w:rFonts w:ascii="黑体" w:hAnsi="黑体" w:eastAsia="黑体" w:cs="黑体"/>
          <w:sz w:val="27"/>
          <w:szCs w:val="27"/>
        </w:rPr>
      </w:pPr>
      <w:r>
        <w:rPr>
          <w:rFonts w:ascii="黑体" w:hAnsi="黑体" w:eastAsia="黑体" w:cs="黑体"/>
          <w:spacing w:val="1"/>
          <w:sz w:val="27"/>
          <w:szCs w:val="27"/>
        </w:rPr>
        <w:t xml:space="preserve">5  </w:t>
      </w:r>
      <w:r>
        <w:rPr>
          <w:rFonts w:ascii="黑体" w:hAnsi="黑体" w:eastAsia="黑体" w:cs="黑体"/>
          <w:b/>
          <w:bCs/>
          <w:spacing w:val="1"/>
          <w:sz w:val="27"/>
          <w:szCs w:val="27"/>
        </w:rPr>
        <w:t>保障性有关评审的管理</w:t>
      </w:r>
    </w:p>
    <w:p w14:paraId="0B7600F7">
      <w:pPr>
        <w:pStyle w:val="2"/>
        <w:spacing w:before="113" w:line="271" w:lineRule="auto"/>
        <w:ind w:firstLine="560"/>
        <w:jc w:val="both"/>
      </w:pPr>
      <w:r>
        <w:rPr>
          <w:spacing w:val="9"/>
        </w:rPr>
        <w:t>制定设计评审程序。该程序应规定与保障性要求有关的接收或拒收判据、</w:t>
      </w:r>
      <w:r>
        <w:rPr>
          <w:spacing w:val="6"/>
        </w:rPr>
        <w:t xml:space="preserve"> 将评审结果记录成文的方法、要提交的评审设计文件的种类和每个</w:t>
      </w:r>
      <w:r>
        <w:rPr>
          <w:spacing w:val="5"/>
        </w:rPr>
        <w:t>评审机构的</w:t>
      </w:r>
      <w:r>
        <w:t xml:space="preserve"> </w:t>
      </w:r>
      <w:r>
        <w:rPr>
          <w:spacing w:val="-1"/>
        </w:rPr>
        <w:t>权限等。</w:t>
      </w:r>
    </w:p>
    <w:p w14:paraId="16049D44">
      <w:pPr>
        <w:spacing w:before="33" w:line="222" w:lineRule="auto"/>
        <w:outlineLvl w:val="3"/>
        <w:rPr>
          <w:rFonts w:ascii="黑体" w:hAnsi="黑体" w:eastAsia="黑体" w:cs="黑体"/>
          <w:sz w:val="24"/>
          <w:szCs w:val="24"/>
        </w:rPr>
      </w:pPr>
      <w:r>
        <w:rPr>
          <w:rFonts w:ascii="Arial" w:hAnsi="Arial" w:eastAsia="Arial" w:cs="Arial"/>
          <w:b/>
          <w:bCs/>
          <w:spacing w:val="29"/>
          <w:sz w:val="24"/>
          <w:szCs w:val="24"/>
        </w:rPr>
        <w:t>6</w:t>
      </w:r>
      <w:r>
        <w:rPr>
          <w:rFonts w:ascii="Arial" w:hAnsi="Arial" w:eastAsia="Arial" w:cs="Arial"/>
          <w:b/>
          <w:bCs/>
          <w:spacing w:val="6"/>
          <w:sz w:val="24"/>
          <w:szCs w:val="24"/>
        </w:rPr>
        <w:t xml:space="preserve">    </w:t>
      </w:r>
      <w:r>
        <w:rPr>
          <w:rFonts w:ascii="黑体" w:hAnsi="黑体" w:eastAsia="黑体" w:cs="黑体"/>
          <w:b/>
          <w:bCs/>
          <w:spacing w:val="29"/>
          <w:sz w:val="24"/>
          <w:szCs w:val="24"/>
        </w:rPr>
        <w:t>确定保障性分析工作项目及工作程序</w:t>
      </w:r>
    </w:p>
    <w:p w14:paraId="25DFE7C2">
      <w:pPr>
        <w:pStyle w:val="2"/>
        <w:spacing w:before="95" w:line="269" w:lineRule="auto"/>
        <w:ind w:right="117" w:firstLine="560"/>
      </w:pPr>
      <w:r>
        <w:rPr>
          <w:spacing w:val="5"/>
        </w:rPr>
        <w:t>说明需完成的保障性分析工作项目及如何执行该工作项目。适用时可确定</w:t>
      </w:r>
      <w:r>
        <w:rPr>
          <w:spacing w:val="16"/>
        </w:rPr>
        <w:t xml:space="preserve"> </w:t>
      </w:r>
      <w:r>
        <w:rPr>
          <w:spacing w:val="3"/>
        </w:rPr>
        <w:t>子项目系统级权衡分析中实施的主要权衡分析。</w:t>
      </w:r>
    </w:p>
    <w:p w14:paraId="5525B636">
      <w:pPr>
        <w:spacing w:before="1" w:line="221"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19"/>
          <w:sz w:val="27"/>
          <w:szCs w:val="27"/>
        </w:rPr>
        <w:t xml:space="preserve">   </w:t>
      </w:r>
      <w:r>
        <w:rPr>
          <w:rFonts w:ascii="黑体" w:hAnsi="黑体" w:eastAsia="黑体" w:cs="黑体"/>
          <w:b/>
          <w:bCs/>
          <w:spacing w:val="-1"/>
          <w:sz w:val="27"/>
          <w:szCs w:val="27"/>
        </w:rPr>
        <w:t>各分析工作项目进度</w:t>
      </w:r>
    </w:p>
    <w:p w14:paraId="4CBEF08D">
      <w:pPr>
        <w:pStyle w:val="2"/>
        <w:spacing w:before="119" w:line="272" w:lineRule="auto"/>
        <w:ind w:right="124" w:firstLine="560"/>
      </w:pPr>
      <w:r>
        <w:rPr>
          <w:spacing w:val="5"/>
        </w:rPr>
        <w:t>明确每一项保障性分析工作项目的计划进度，并说明与各有关工程专业活</w:t>
      </w:r>
      <w:r>
        <w:rPr>
          <w:spacing w:val="9"/>
        </w:rPr>
        <w:t xml:space="preserve"> </w:t>
      </w:r>
      <w:r>
        <w:t>动之间的进度关系。</w:t>
      </w:r>
    </w:p>
    <w:p w14:paraId="667CC13B">
      <w:pPr>
        <w:spacing w:before="2" w:line="220" w:lineRule="auto"/>
        <w:outlineLvl w:val="3"/>
        <w:rPr>
          <w:rFonts w:ascii="黑体" w:hAnsi="黑体" w:eastAsia="黑体" w:cs="黑体"/>
          <w:sz w:val="27"/>
          <w:szCs w:val="27"/>
        </w:rPr>
      </w:pPr>
      <w:r>
        <w:rPr>
          <w:rFonts w:ascii="Arial" w:hAnsi="Arial" w:eastAsia="Arial" w:cs="Arial"/>
          <w:b/>
          <w:bCs/>
          <w:spacing w:val="-10"/>
          <w:sz w:val="27"/>
          <w:szCs w:val="27"/>
        </w:rPr>
        <w:t>8</w:t>
      </w:r>
      <w:r>
        <w:rPr>
          <w:rFonts w:ascii="Arial" w:hAnsi="Arial" w:eastAsia="Arial" w:cs="Arial"/>
          <w:b/>
          <w:bCs/>
          <w:spacing w:val="16"/>
          <w:sz w:val="27"/>
          <w:szCs w:val="27"/>
        </w:rPr>
        <w:t xml:space="preserve">   </w:t>
      </w:r>
      <w:r>
        <w:rPr>
          <w:rFonts w:ascii="黑体" w:hAnsi="黑体" w:eastAsia="黑体" w:cs="黑体"/>
          <w:b/>
          <w:bCs/>
          <w:spacing w:val="-10"/>
          <w:sz w:val="27"/>
          <w:szCs w:val="27"/>
        </w:rPr>
        <w:t>有关工作、数据接口的说明</w:t>
      </w:r>
    </w:p>
    <w:p w14:paraId="766CEF9D">
      <w:pPr>
        <w:pStyle w:val="2"/>
        <w:spacing w:before="112" w:line="269" w:lineRule="auto"/>
        <w:ind w:right="124" w:firstLine="560"/>
        <w:jc w:val="both"/>
      </w:pPr>
      <w:r>
        <w:rPr>
          <w:spacing w:val="5"/>
        </w:rPr>
        <w:t>说明保障性分析工作项目和数据与系统及其综合保障有关的工作、数据接</w:t>
      </w:r>
      <w:r>
        <w:rPr>
          <w:spacing w:val="9"/>
        </w:rPr>
        <w:t xml:space="preserve"> </w:t>
      </w:r>
      <w:r>
        <w:rPr>
          <w:spacing w:val="-3"/>
        </w:rPr>
        <w:t>口。适用时，一般包括对核毁伤危害的考虑，以及所要求的分析及数据与下</w:t>
      </w:r>
      <w:r>
        <w:rPr>
          <w:spacing w:val="-4"/>
        </w:rPr>
        <w:t>列工</w:t>
      </w:r>
      <w:r>
        <w:t xml:space="preserve"> </w:t>
      </w:r>
      <w:r>
        <w:rPr>
          <w:spacing w:val="1"/>
        </w:rPr>
        <w:t>程专业工作的分析和数据的接口：</w:t>
      </w:r>
    </w:p>
    <w:p w14:paraId="67761F48">
      <w:pPr>
        <w:pStyle w:val="2"/>
        <w:spacing w:line="212" w:lineRule="auto"/>
        <w:ind w:left="560"/>
      </w:pPr>
      <w:r>
        <w:rPr>
          <w:rFonts w:ascii="Times New Roman" w:hAnsi="Times New Roman" w:eastAsia="Times New Roman" w:cs="Times New Roman"/>
          <w:spacing w:val="-2"/>
        </w:rPr>
        <w:t>a)</w:t>
      </w:r>
      <w:r>
        <w:rPr>
          <w:rFonts w:ascii="Times New Roman" w:hAnsi="Times New Roman" w:eastAsia="Times New Roman" w:cs="Times New Roman"/>
          <w:spacing w:val="14"/>
        </w:rPr>
        <w:t xml:space="preserve">  </w:t>
      </w:r>
      <w:r>
        <w:rPr>
          <w:spacing w:val="-2"/>
        </w:rPr>
        <w:t>系统和设备设计；</w:t>
      </w:r>
    </w:p>
    <w:p w14:paraId="3234A682">
      <w:pPr>
        <w:pStyle w:val="2"/>
        <w:spacing w:before="100" w:line="212" w:lineRule="auto"/>
        <w:ind w:left="560"/>
      </w:pPr>
      <w:r>
        <w:rPr>
          <w:rFonts w:ascii="Times New Roman" w:hAnsi="Times New Roman" w:eastAsia="Times New Roman" w:cs="Times New Roman"/>
          <w:spacing w:val="-2"/>
        </w:rPr>
        <w:t xml:space="preserve">b)  </w:t>
      </w:r>
      <w:r>
        <w:rPr>
          <w:spacing w:val="-2"/>
        </w:rPr>
        <w:t>可靠性；</w:t>
      </w:r>
    </w:p>
    <w:p w14:paraId="1AD8C6C5">
      <w:pPr>
        <w:pStyle w:val="2"/>
        <w:spacing w:before="110" w:line="212" w:lineRule="auto"/>
        <w:ind w:left="560"/>
      </w:pPr>
      <w:r>
        <w:rPr>
          <w:rFonts w:ascii="Times New Roman" w:hAnsi="Times New Roman" w:eastAsia="Times New Roman" w:cs="Times New Roman"/>
          <w:spacing w:val="-3"/>
        </w:rPr>
        <w:t>c)</w:t>
      </w:r>
      <w:r>
        <w:rPr>
          <w:rFonts w:ascii="Times New Roman" w:hAnsi="Times New Roman" w:eastAsia="Times New Roman" w:cs="Times New Roman"/>
          <w:spacing w:val="65"/>
          <w:w w:val="101"/>
        </w:rPr>
        <w:t xml:space="preserve"> </w:t>
      </w:r>
      <w:r>
        <w:rPr>
          <w:spacing w:val="-3"/>
        </w:rPr>
        <w:t>维修性；</w:t>
      </w:r>
    </w:p>
    <w:p w14:paraId="5EF0A2D1">
      <w:pPr>
        <w:pStyle w:val="2"/>
        <w:spacing w:before="122" w:line="212" w:lineRule="auto"/>
        <w:ind w:left="560"/>
        <w:rPr>
          <w:sz w:val="24"/>
          <w:szCs w:val="24"/>
        </w:rPr>
      </w:pPr>
      <w:r>
        <w:rPr>
          <w:rFonts w:ascii="Times New Roman" w:hAnsi="Times New Roman" w:eastAsia="Times New Roman" w:cs="Times New Roman"/>
          <w:spacing w:val="17"/>
          <w:sz w:val="24"/>
          <w:szCs w:val="24"/>
        </w:rPr>
        <w:t xml:space="preserve">d)  </w:t>
      </w:r>
      <w:r>
        <w:rPr>
          <w:spacing w:val="17"/>
          <w:sz w:val="24"/>
          <w:szCs w:val="24"/>
        </w:rPr>
        <w:t>人素工程；</w:t>
      </w:r>
    </w:p>
    <w:p w14:paraId="7181CF83">
      <w:pPr>
        <w:pStyle w:val="2"/>
        <w:spacing w:before="102" w:line="212" w:lineRule="auto"/>
        <w:ind w:left="560"/>
      </w:pPr>
      <w:r>
        <w:rPr>
          <w:rFonts w:ascii="Times New Roman" w:hAnsi="Times New Roman" w:eastAsia="Times New Roman" w:cs="Times New Roman"/>
          <w:spacing w:val="-1"/>
        </w:rPr>
        <w:t>e)</w:t>
      </w:r>
      <w:r>
        <w:rPr>
          <w:rFonts w:ascii="Times New Roman" w:hAnsi="Times New Roman" w:eastAsia="Times New Roman" w:cs="Times New Roman"/>
          <w:spacing w:val="52"/>
          <w:w w:val="101"/>
        </w:rPr>
        <w:t xml:space="preserve"> </w:t>
      </w:r>
      <w:r>
        <w:rPr>
          <w:spacing w:val="-1"/>
        </w:rPr>
        <w:t>标准化；</w:t>
      </w:r>
    </w:p>
    <w:p w14:paraId="5D55F242">
      <w:pPr>
        <w:pStyle w:val="2"/>
        <w:spacing w:before="100" w:line="212" w:lineRule="auto"/>
        <w:ind w:left="560"/>
      </w:pPr>
      <w:r>
        <w:rPr>
          <w:rFonts w:ascii="Times New Roman" w:hAnsi="Times New Roman" w:eastAsia="Times New Roman" w:cs="Times New Roman"/>
          <w:spacing w:val="3"/>
        </w:rPr>
        <w:t>f)</w:t>
      </w:r>
      <w:r>
        <w:rPr>
          <w:rFonts w:ascii="Times New Roman" w:hAnsi="Times New Roman" w:eastAsia="Times New Roman" w:cs="Times New Roman"/>
          <w:spacing w:val="43"/>
        </w:rPr>
        <w:t xml:space="preserve"> </w:t>
      </w:r>
      <w:r>
        <w:rPr>
          <w:spacing w:val="3"/>
        </w:rPr>
        <w:t>元器件及零件控制；</w:t>
      </w:r>
    </w:p>
    <w:p w14:paraId="39BA5169">
      <w:pPr>
        <w:pStyle w:val="2"/>
        <w:spacing w:before="120" w:line="212" w:lineRule="auto"/>
        <w:ind w:left="560"/>
      </w:pPr>
      <w:r>
        <w:rPr>
          <w:rFonts w:ascii="Times New Roman" w:hAnsi="Times New Roman" w:eastAsia="Times New Roman" w:cs="Times New Roman"/>
          <w:spacing w:val="-1"/>
        </w:rPr>
        <w:t>g</w:t>
      </w:r>
      <w:r>
        <w:rPr>
          <w:spacing w:val="-1"/>
        </w:rPr>
        <w:t>)</w:t>
      </w:r>
      <w:r>
        <w:rPr>
          <w:spacing w:val="-49"/>
        </w:rPr>
        <w:t xml:space="preserve"> </w:t>
      </w:r>
      <w:r>
        <w:rPr>
          <w:spacing w:val="-1"/>
        </w:rPr>
        <w:t>安全性；</w:t>
      </w:r>
    </w:p>
    <w:p w14:paraId="3AA3D4F0">
      <w:pPr>
        <w:pStyle w:val="2"/>
        <w:spacing w:before="90" w:line="212" w:lineRule="auto"/>
        <w:ind w:left="560"/>
      </w:pPr>
      <w:r>
        <w:rPr>
          <w:rFonts w:ascii="Times New Roman" w:hAnsi="Times New Roman" w:eastAsia="Times New Roman" w:cs="Times New Roman"/>
          <w:spacing w:val="-13"/>
        </w:rPr>
        <w:t xml:space="preserve">h)  </w:t>
      </w:r>
      <w:r>
        <w:rPr>
          <w:spacing w:val="-13"/>
        </w:rPr>
        <w:t>包装、装卸、贮存及运输性；</w:t>
      </w:r>
    </w:p>
    <w:p w14:paraId="4956E2F5">
      <w:pPr>
        <w:pStyle w:val="2"/>
        <w:spacing w:before="100" w:line="212" w:lineRule="auto"/>
        <w:ind w:left="560"/>
      </w:pPr>
      <w:r>
        <w:rPr>
          <w:rFonts w:ascii="Times New Roman" w:hAnsi="Times New Roman" w:eastAsia="Times New Roman" w:cs="Times New Roman"/>
          <w:spacing w:val="2"/>
        </w:rPr>
        <w:t>i)</w:t>
      </w:r>
      <w:r>
        <w:rPr>
          <w:rFonts w:ascii="Times New Roman" w:hAnsi="Times New Roman" w:eastAsia="Times New Roman" w:cs="Times New Roman"/>
          <w:spacing w:val="63"/>
        </w:rPr>
        <w:t xml:space="preserve"> </w:t>
      </w:r>
      <w:r>
        <w:rPr>
          <w:spacing w:val="2"/>
        </w:rPr>
        <w:t>初始备件供应；</w:t>
      </w:r>
    </w:p>
    <w:p w14:paraId="0E30146E">
      <w:pPr>
        <w:pStyle w:val="2"/>
        <w:spacing w:before="132" w:line="212" w:lineRule="auto"/>
        <w:ind w:left="560"/>
        <w:rPr>
          <w:sz w:val="24"/>
          <w:szCs w:val="24"/>
        </w:rPr>
      </w:pPr>
      <w:r>
        <w:rPr>
          <w:rFonts w:ascii="Times New Roman" w:hAnsi="Times New Roman" w:eastAsia="Times New Roman" w:cs="Times New Roman"/>
          <w:spacing w:val="-3"/>
          <w:sz w:val="24"/>
          <w:szCs w:val="24"/>
        </w:rPr>
        <w:t>j)</w:t>
      </w:r>
      <w:r>
        <w:rPr>
          <w:rFonts w:ascii="Times New Roman" w:hAnsi="Times New Roman" w:eastAsia="Times New Roman" w:cs="Times New Roman"/>
          <w:spacing w:val="14"/>
          <w:sz w:val="24"/>
          <w:szCs w:val="24"/>
        </w:rPr>
        <w:t xml:space="preserve">  </w:t>
      </w:r>
      <w:r>
        <w:rPr>
          <w:spacing w:val="-3"/>
          <w:sz w:val="24"/>
          <w:szCs w:val="24"/>
        </w:rPr>
        <w:t>测</w:t>
      </w:r>
      <w:r>
        <w:rPr>
          <w:spacing w:val="-55"/>
          <w:sz w:val="24"/>
          <w:szCs w:val="24"/>
        </w:rPr>
        <w:t xml:space="preserve"> </w:t>
      </w:r>
      <w:r>
        <w:rPr>
          <w:spacing w:val="-3"/>
          <w:sz w:val="24"/>
          <w:szCs w:val="24"/>
        </w:rPr>
        <w:t>试</w:t>
      </w:r>
      <w:r>
        <w:rPr>
          <w:spacing w:val="-52"/>
          <w:sz w:val="24"/>
          <w:szCs w:val="24"/>
        </w:rPr>
        <w:t xml:space="preserve"> </w:t>
      </w:r>
      <w:r>
        <w:rPr>
          <w:spacing w:val="-3"/>
          <w:sz w:val="24"/>
          <w:szCs w:val="24"/>
        </w:rPr>
        <w:t>性</w:t>
      </w:r>
      <w:r>
        <w:rPr>
          <w:spacing w:val="-65"/>
          <w:sz w:val="24"/>
          <w:szCs w:val="24"/>
        </w:rPr>
        <w:t xml:space="preserve"> </w:t>
      </w:r>
      <w:r>
        <w:rPr>
          <w:spacing w:val="-3"/>
          <w:sz w:val="24"/>
          <w:szCs w:val="24"/>
        </w:rPr>
        <w:t>；</w:t>
      </w:r>
    </w:p>
    <w:p w14:paraId="3D562DB1">
      <w:pPr>
        <w:spacing w:line="212" w:lineRule="auto"/>
        <w:rPr>
          <w:sz w:val="24"/>
          <w:szCs w:val="24"/>
        </w:rPr>
        <w:sectPr>
          <w:footerReference r:id="rId510" w:type="default"/>
          <w:pgSz w:w="11910" w:h="17130"/>
          <w:pgMar w:top="400" w:right="724" w:bottom="1627" w:left="1690" w:header="0" w:footer="1411" w:gutter="0"/>
          <w:cols w:space="720" w:num="1"/>
        </w:sectPr>
      </w:pPr>
    </w:p>
    <w:p w14:paraId="44393C39">
      <w:pPr>
        <w:spacing w:line="244" w:lineRule="auto"/>
        <w:rPr>
          <w:rFonts w:ascii="Arial"/>
          <w:sz w:val="21"/>
        </w:rPr>
      </w:pPr>
    </w:p>
    <w:p w14:paraId="324C8025">
      <w:pPr>
        <w:spacing w:line="244" w:lineRule="auto"/>
        <w:rPr>
          <w:rFonts w:ascii="Arial"/>
          <w:sz w:val="21"/>
        </w:rPr>
      </w:pPr>
    </w:p>
    <w:p w14:paraId="041968C6">
      <w:pPr>
        <w:spacing w:line="244" w:lineRule="auto"/>
        <w:rPr>
          <w:rFonts w:ascii="Arial"/>
          <w:sz w:val="21"/>
        </w:rPr>
      </w:pPr>
    </w:p>
    <w:p w14:paraId="7CDC7AE2">
      <w:pPr>
        <w:spacing w:line="244" w:lineRule="auto"/>
        <w:rPr>
          <w:rFonts w:ascii="Arial"/>
          <w:sz w:val="21"/>
        </w:rPr>
      </w:pPr>
    </w:p>
    <w:p w14:paraId="13E3D1A1">
      <w:pPr>
        <w:pStyle w:val="2"/>
        <w:spacing w:before="88" w:line="212" w:lineRule="auto"/>
        <w:ind w:left="539"/>
      </w:pPr>
      <w:r>
        <w:rPr>
          <w:rFonts w:ascii="Times New Roman" w:hAnsi="Times New Roman" w:eastAsia="Times New Roman" w:cs="Times New Roman"/>
        </w:rPr>
        <w:t>k)</w:t>
      </w:r>
      <w:r>
        <w:rPr>
          <w:rFonts w:ascii="Times New Roman" w:hAnsi="Times New Roman" w:eastAsia="Times New Roman" w:cs="Times New Roman"/>
          <w:spacing w:val="61"/>
        </w:rPr>
        <w:t xml:space="preserve"> </w:t>
      </w:r>
      <w:r>
        <w:t>生存性；</w:t>
      </w:r>
    </w:p>
    <w:p w14:paraId="6F7C588B">
      <w:pPr>
        <w:pStyle w:val="2"/>
        <w:spacing w:before="130" w:line="219" w:lineRule="auto"/>
        <w:ind w:left="539"/>
      </w:pPr>
      <w:r>
        <w:rPr>
          <w:spacing w:val="4"/>
        </w:rPr>
        <w:t>1)技术资料；</w:t>
      </w:r>
    </w:p>
    <w:p w14:paraId="5BEC7B8E">
      <w:pPr>
        <w:pStyle w:val="2"/>
        <w:spacing w:before="80" w:line="220" w:lineRule="auto"/>
        <w:ind w:left="539"/>
      </w:pPr>
      <w:r>
        <w:rPr>
          <w:rFonts w:ascii="Times New Roman" w:hAnsi="Times New Roman" w:eastAsia="Times New Roman" w:cs="Times New Roman"/>
          <w:spacing w:val="1"/>
        </w:rPr>
        <w:t>m</w:t>
      </w:r>
      <w:r>
        <w:rPr>
          <w:spacing w:val="1"/>
        </w:rPr>
        <w:t>)</w:t>
      </w:r>
      <w:r>
        <w:rPr>
          <w:spacing w:val="-47"/>
        </w:rPr>
        <w:t xml:space="preserve"> </w:t>
      </w:r>
      <w:r>
        <w:rPr>
          <w:spacing w:val="1"/>
        </w:rPr>
        <w:t>训练与训练设备；</w:t>
      </w:r>
    </w:p>
    <w:p w14:paraId="7C5F4ACC">
      <w:pPr>
        <w:pStyle w:val="2"/>
        <w:spacing w:before="107" w:line="219" w:lineRule="auto"/>
        <w:ind w:left="539"/>
      </w:pPr>
      <w:r>
        <w:rPr>
          <w:rFonts w:ascii="Times New Roman" w:hAnsi="Times New Roman" w:eastAsia="Times New Roman" w:cs="Times New Roman"/>
          <w:spacing w:val="13"/>
        </w:rPr>
        <w:t>n</w:t>
      </w:r>
      <w:r>
        <w:rPr>
          <w:spacing w:val="13"/>
        </w:rPr>
        <w:t>)保障设施；</w:t>
      </w:r>
    </w:p>
    <w:p w14:paraId="08862E7C">
      <w:pPr>
        <w:pStyle w:val="2"/>
        <w:spacing w:before="79" w:line="219" w:lineRule="auto"/>
        <w:ind w:left="539"/>
      </w:pPr>
      <w:r>
        <w:rPr>
          <w:rFonts w:ascii="Times New Roman" w:hAnsi="Times New Roman" w:eastAsia="Times New Roman" w:cs="Times New Roman"/>
          <w:spacing w:val="13"/>
        </w:rPr>
        <w:t>o</w:t>
      </w:r>
      <w:r>
        <w:rPr>
          <w:spacing w:val="13"/>
        </w:rPr>
        <w:t>)保障设备；</w:t>
      </w:r>
    </w:p>
    <w:p w14:paraId="3486240B">
      <w:pPr>
        <w:pStyle w:val="2"/>
        <w:spacing w:before="49" w:line="212" w:lineRule="auto"/>
        <w:ind w:left="539"/>
      </w:pPr>
      <w:r>
        <w:rPr>
          <w:rFonts w:ascii="Times New Roman" w:hAnsi="Times New Roman" w:eastAsia="Times New Roman" w:cs="Times New Roman"/>
          <w:spacing w:val="13"/>
        </w:rPr>
        <w:t>p</w:t>
      </w:r>
      <w:r>
        <w:rPr>
          <w:spacing w:val="13"/>
        </w:rPr>
        <w:t>)试验与评价。</w:t>
      </w:r>
    </w:p>
    <w:p w14:paraId="2AD11B26">
      <w:pPr>
        <w:spacing w:before="144" w:line="221" w:lineRule="auto"/>
        <w:rPr>
          <w:rFonts w:ascii="黑体" w:hAnsi="黑体" w:eastAsia="黑体" w:cs="黑体"/>
          <w:sz w:val="24"/>
          <w:szCs w:val="24"/>
        </w:rPr>
      </w:pPr>
      <w:r>
        <w:rPr>
          <w:rFonts w:ascii="黑体" w:hAnsi="黑体" w:eastAsia="黑体" w:cs="黑体"/>
          <w:spacing w:val="27"/>
          <w:sz w:val="24"/>
          <w:szCs w:val="24"/>
        </w:rPr>
        <w:t>9</w:t>
      </w:r>
      <w:r>
        <w:rPr>
          <w:rFonts w:ascii="黑体" w:hAnsi="黑体" w:eastAsia="黑体" w:cs="黑体"/>
          <w:spacing w:val="30"/>
          <w:sz w:val="24"/>
          <w:szCs w:val="24"/>
        </w:rPr>
        <w:t xml:space="preserve">  </w:t>
      </w:r>
      <w:r>
        <w:rPr>
          <w:rFonts w:ascii="黑体" w:hAnsi="黑体" w:eastAsia="黑体" w:cs="黑体"/>
          <w:b/>
          <w:bCs/>
          <w:spacing w:val="27"/>
          <w:sz w:val="24"/>
          <w:szCs w:val="24"/>
        </w:rPr>
        <w:t>产品结构层次</w:t>
      </w:r>
    </w:p>
    <w:p w14:paraId="076FD0BF">
      <w:pPr>
        <w:spacing w:before="116" w:line="223" w:lineRule="auto"/>
        <w:rPr>
          <w:rFonts w:ascii="黑体" w:hAnsi="黑体" w:eastAsia="黑体" w:cs="黑体"/>
          <w:sz w:val="24"/>
          <w:szCs w:val="24"/>
        </w:rPr>
      </w:pPr>
      <w:r>
        <w:rPr>
          <w:rFonts w:ascii="黑体" w:hAnsi="黑体" w:eastAsia="黑体" w:cs="黑体"/>
          <w:spacing w:val="19"/>
          <w:sz w:val="24"/>
          <w:szCs w:val="24"/>
        </w:rPr>
        <w:t>9.1</w:t>
      </w:r>
      <w:r>
        <w:rPr>
          <w:rFonts w:ascii="黑体" w:hAnsi="黑体" w:eastAsia="黑体" w:cs="黑体"/>
          <w:spacing w:val="43"/>
          <w:sz w:val="24"/>
          <w:szCs w:val="24"/>
        </w:rPr>
        <w:t xml:space="preserve">  </w:t>
      </w:r>
      <w:r>
        <w:rPr>
          <w:rFonts w:ascii="黑体" w:hAnsi="黑体" w:eastAsia="黑体" w:cs="黑体"/>
          <w:b/>
          <w:bCs/>
          <w:spacing w:val="19"/>
          <w:sz w:val="24"/>
          <w:szCs w:val="24"/>
        </w:rPr>
        <w:t>产品清单</w:t>
      </w:r>
    </w:p>
    <w:p w14:paraId="678B835C">
      <w:pPr>
        <w:pStyle w:val="2"/>
        <w:spacing w:before="94" w:line="275" w:lineRule="auto"/>
        <w:ind w:right="114" w:firstLine="539"/>
      </w:pPr>
      <w:r>
        <w:rPr>
          <w:spacing w:val="6"/>
        </w:rPr>
        <w:t>确定实施保障性分析的产品结构层次并形成文</w:t>
      </w:r>
      <w:r>
        <w:rPr>
          <w:spacing w:val="5"/>
        </w:rPr>
        <w:t>件。提出实施保障性分析的</w:t>
      </w:r>
      <w:r>
        <w:t xml:space="preserve"> </w:t>
      </w:r>
      <w:r>
        <w:rPr>
          <w:spacing w:val="4"/>
        </w:rPr>
        <w:t>产品清单。清单中应包括所有推荐与没有推荐进行分析的产品及其理由。</w:t>
      </w:r>
    </w:p>
    <w:p w14:paraId="53D7E420">
      <w:pPr>
        <w:spacing w:before="1" w:line="221" w:lineRule="auto"/>
        <w:rPr>
          <w:rFonts w:ascii="黑体" w:hAnsi="黑体" w:eastAsia="黑体" w:cs="黑体"/>
          <w:sz w:val="27"/>
          <w:szCs w:val="27"/>
        </w:rPr>
      </w:pPr>
      <w:r>
        <w:rPr>
          <w:rFonts w:ascii="黑体" w:hAnsi="黑体" w:eastAsia="黑体" w:cs="黑体"/>
          <w:spacing w:val="2"/>
          <w:sz w:val="27"/>
          <w:szCs w:val="27"/>
        </w:rPr>
        <w:t>9.2</w:t>
      </w:r>
      <w:r>
        <w:rPr>
          <w:rFonts w:ascii="黑体" w:hAnsi="黑体" w:eastAsia="黑体" w:cs="黑体"/>
          <w:spacing w:val="11"/>
          <w:sz w:val="27"/>
          <w:szCs w:val="27"/>
        </w:rPr>
        <w:t xml:space="preserve">  </w:t>
      </w:r>
      <w:r>
        <w:rPr>
          <w:rFonts w:ascii="黑体" w:hAnsi="黑体" w:eastAsia="黑体" w:cs="黑体"/>
          <w:b/>
          <w:bCs/>
          <w:spacing w:val="2"/>
          <w:sz w:val="27"/>
          <w:szCs w:val="27"/>
        </w:rPr>
        <w:t>选择准则</w:t>
      </w:r>
    </w:p>
    <w:p w14:paraId="6EA8B4F6">
      <w:pPr>
        <w:pStyle w:val="2"/>
        <w:spacing w:before="91" w:line="219" w:lineRule="auto"/>
        <w:ind w:left="539"/>
      </w:pPr>
      <w:r>
        <w:rPr>
          <w:spacing w:val="2"/>
        </w:rPr>
        <w:t>提出实施保障性分析的产品选择准则。</w:t>
      </w:r>
    </w:p>
    <w:p w14:paraId="75EBD647">
      <w:pPr>
        <w:spacing w:before="83" w:line="221" w:lineRule="auto"/>
        <w:rPr>
          <w:rFonts w:ascii="黑体" w:hAnsi="黑体" w:eastAsia="黑体" w:cs="黑体"/>
          <w:sz w:val="27"/>
          <w:szCs w:val="27"/>
        </w:rPr>
      </w:pPr>
      <w:r>
        <w:rPr>
          <w:rFonts w:ascii="黑体" w:hAnsi="黑体" w:eastAsia="黑体" w:cs="黑体"/>
          <w:spacing w:val="1"/>
          <w:sz w:val="27"/>
          <w:szCs w:val="27"/>
        </w:rPr>
        <w:t xml:space="preserve">10  </w:t>
      </w:r>
      <w:r>
        <w:rPr>
          <w:rFonts w:ascii="黑体" w:hAnsi="黑体" w:eastAsia="黑体" w:cs="黑体"/>
          <w:b/>
          <w:bCs/>
          <w:spacing w:val="1"/>
          <w:sz w:val="27"/>
          <w:szCs w:val="27"/>
        </w:rPr>
        <w:t>保障性设计要求传达给承制方的方式</w:t>
      </w:r>
    </w:p>
    <w:p w14:paraId="7D680899">
      <w:pPr>
        <w:pStyle w:val="2"/>
        <w:spacing w:before="74" w:line="219" w:lineRule="auto"/>
        <w:ind w:left="539"/>
      </w:pPr>
      <w:r>
        <w:rPr>
          <w:spacing w:val="-17"/>
        </w:rPr>
        <w:t>说明将保障性要求和有关保障性的设计要求送交给设计人员和有关人员</w:t>
      </w:r>
      <w:r>
        <w:rPr>
          <w:spacing w:val="-18"/>
        </w:rPr>
        <w:t>的方式。</w:t>
      </w:r>
    </w:p>
    <w:p w14:paraId="19C973E4">
      <w:pPr>
        <w:spacing w:before="103" w:line="221" w:lineRule="auto"/>
        <w:rPr>
          <w:rFonts w:ascii="黑体" w:hAnsi="黑体" w:eastAsia="黑体" w:cs="黑体"/>
          <w:sz w:val="27"/>
          <w:szCs w:val="27"/>
        </w:rPr>
      </w:pPr>
      <w:r>
        <w:rPr>
          <w:rFonts w:ascii="黑体" w:hAnsi="黑体" w:eastAsia="黑体" w:cs="黑体"/>
          <w:spacing w:val="2"/>
          <w:sz w:val="27"/>
          <w:szCs w:val="27"/>
        </w:rPr>
        <w:t xml:space="preserve">11  </w:t>
      </w:r>
      <w:r>
        <w:rPr>
          <w:rFonts w:ascii="黑体" w:hAnsi="黑体" w:eastAsia="黑体" w:cs="黑体"/>
          <w:b/>
          <w:bCs/>
          <w:spacing w:val="2"/>
          <w:sz w:val="27"/>
          <w:szCs w:val="27"/>
        </w:rPr>
        <w:t>保障性设计要求传达给转承制方的方式及控制措施</w:t>
      </w:r>
    </w:p>
    <w:p w14:paraId="1BEF9077">
      <w:pPr>
        <w:pStyle w:val="2"/>
        <w:spacing w:before="94" w:line="281" w:lineRule="auto"/>
        <w:ind w:right="120" w:firstLine="539"/>
      </w:pPr>
      <w:r>
        <w:rPr>
          <w:spacing w:val="5"/>
        </w:rPr>
        <w:t>说明将保障性要求和有关保障性的设计要求送交给转承制方的程序以及在</w:t>
      </w:r>
      <w:r>
        <w:rPr>
          <w:spacing w:val="13"/>
        </w:rPr>
        <w:t xml:space="preserve"> </w:t>
      </w:r>
      <w:r>
        <w:rPr>
          <w:spacing w:val="2"/>
        </w:rPr>
        <w:t>这种情况下所采取的控制措施。</w:t>
      </w:r>
    </w:p>
    <w:p w14:paraId="6BF80B64">
      <w:pPr>
        <w:spacing w:before="11" w:line="222" w:lineRule="auto"/>
        <w:rPr>
          <w:rFonts w:ascii="黑体" w:hAnsi="黑体" w:eastAsia="黑体" w:cs="黑体"/>
          <w:sz w:val="24"/>
          <w:szCs w:val="24"/>
        </w:rPr>
      </w:pPr>
      <w:r>
        <w:rPr>
          <w:rFonts w:ascii="黑体" w:hAnsi="黑体" w:eastAsia="黑体" w:cs="黑体"/>
          <w:spacing w:val="20"/>
          <w:sz w:val="24"/>
          <w:szCs w:val="24"/>
        </w:rPr>
        <w:t>12</w:t>
      </w:r>
      <w:r>
        <w:rPr>
          <w:rFonts w:ascii="黑体" w:hAnsi="黑体" w:eastAsia="黑体" w:cs="黑体"/>
          <w:spacing w:val="42"/>
          <w:sz w:val="24"/>
          <w:szCs w:val="24"/>
        </w:rPr>
        <w:t xml:space="preserve">  </w:t>
      </w:r>
      <w:r>
        <w:rPr>
          <w:rFonts w:ascii="黑体" w:hAnsi="黑体" w:eastAsia="黑体" w:cs="黑体"/>
          <w:b/>
          <w:bCs/>
          <w:spacing w:val="20"/>
          <w:sz w:val="24"/>
          <w:szCs w:val="24"/>
        </w:rPr>
        <w:t>资料管理程序</w:t>
      </w:r>
    </w:p>
    <w:p w14:paraId="568EF35E">
      <w:pPr>
        <w:pStyle w:val="2"/>
        <w:spacing w:before="98" w:line="219" w:lineRule="auto"/>
        <w:ind w:left="539"/>
      </w:pPr>
      <w:r>
        <w:rPr>
          <w:spacing w:val="4"/>
        </w:rPr>
        <w:t>确定保障性分析资料的修改和审批程序。</w:t>
      </w:r>
    </w:p>
    <w:p w14:paraId="5AAA95C0">
      <w:pPr>
        <w:spacing w:before="94" w:line="222" w:lineRule="auto"/>
        <w:rPr>
          <w:rFonts w:ascii="黑体" w:hAnsi="黑体" w:eastAsia="黑体" w:cs="黑体"/>
          <w:sz w:val="27"/>
          <w:szCs w:val="27"/>
        </w:rPr>
      </w:pPr>
      <w:r>
        <w:rPr>
          <w:rFonts w:ascii="黑体" w:hAnsi="黑体" w:eastAsia="黑体" w:cs="黑体"/>
          <w:spacing w:val="-6"/>
          <w:sz w:val="27"/>
          <w:szCs w:val="27"/>
        </w:rPr>
        <w:t xml:space="preserve">13  </w:t>
      </w:r>
      <w:r>
        <w:rPr>
          <w:rFonts w:ascii="黑体" w:hAnsi="黑体" w:eastAsia="黑体" w:cs="黑体"/>
          <w:b/>
          <w:bCs/>
          <w:spacing w:val="-6"/>
          <w:sz w:val="27"/>
          <w:szCs w:val="27"/>
        </w:rPr>
        <w:t>对提供设备、物资的保障性分析要求</w:t>
      </w:r>
    </w:p>
    <w:p w14:paraId="353F670C">
      <w:pPr>
        <w:pStyle w:val="2"/>
        <w:spacing w:before="80" w:line="284" w:lineRule="auto"/>
        <w:ind w:right="123" w:firstLine="539"/>
      </w:pPr>
      <w:r>
        <w:rPr>
          <w:spacing w:val="-3"/>
        </w:rPr>
        <w:t>对订购方和转承制方、供应方提供的设备(包括保障设备)、物资的保障性分</w:t>
      </w:r>
      <w:r>
        <w:rPr>
          <w:spacing w:val="2"/>
        </w:rPr>
        <w:t xml:space="preserve"> </w:t>
      </w:r>
      <w:r>
        <w:rPr>
          <w:spacing w:val="-1"/>
        </w:rPr>
        <w:t>析的要求。</w:t>
      </w:r>
    </w:p>
    <w:p w14:paraId="15BA350A">
      <w:pPr>
        <w:spacing w:before="14" w:line="222" w:lineRule="auto"/>
        <w:rPr>
          <w:rFonts w:ascii="黑体" w:hAnsi="黑体" w:eastAsia="黑体" w:cs="黑体"/>
          <w:sz w:val="24"/>
          <w:szCs w:val="24"/>
        </w:rPr>
      </w:pPr>
      <w:r>
        <w:rPr>
          <w:rFonts w:ascii="黑体" w:hAnsi="黑体" w:eastAsia="黑体" w:cs="黑体"/>
          <w:spacing w:val="26"/>
          <w:sz w:val="24"/>
          <w:szCs w:val="24"/>
        </w:rPr>
        <w:t>1</w:t>
      </w:r>
      <w:r>
        <w:rPr>
          <w:rFonts w:ascii="黑体" w:hAnsi="黑体" w:eastAsia="黑体" w:cs="黑体"/>
          <w:b/>
          <w:bCs/>
          <w:spacing w:val="26"/>
          <w:sz w:val="24"/>
          <w:szCs w:val="24"/>
        </w:rPr>
        <w:t>4</w:t>
      </w:r>
      <w:r>
        <w:rPr>
          <w:rFonts w:ascii="黑体" w:hAnsi="黑体" w:eastAsia="黑体" w:cs="黑体"/>
          <w:spacing w:val="42"/>
          <w:sz w:val="24"/>
          <w:szCs w:val="24"/>
        </w:rPr>
        <w:t xml:space="preserve">  </w:t>
      </w:r>
      <w:r>
        <w:rPr>
          <w:rFonts w:ascii="黑体" w:hAnsi="黑体" w:eastAsia="黑体" w:cs="黑体"/>
          <w:b/>
          <w:bCs/>
          <w:spacing w:val="26"/>
          <w:sz w:val="24"/>
          <w:szCs w:val="24"/>
        </w:rPr>
        <w:t>各工作项目的评价和控制程序</w:t>
      </w:r>
    </w:p>
    <w:p w14:paraId="71009B76">
      <w:pPr>
        <w:pStyle w:val="2"/>
        <w:spacing w:before="95" w:line="218" w:lineRule="auto"/>
        <w:ind w:left="539"/>
      </w:pPr>
      <w:r>
        <w:rPr>
          <w:spacing w:val="4"/>
        </w:rPr>
        <w:t>确定评价每个工作项目的状况和控制的程序(现有程序适用时)。</w:t>
      </w:r>
    </w:p>
    <w:p w14:paraId="1528C972">
      <w:pPr>
        <w:spacing w:before="86" w:line="219" w:lineRule="auto"/>
        <w:rPr>
          <w:rFonts w:ascii="黑体" w:hAnsi="黑体" w:eastAsia="黑体" w:cs="黑体"/>
          <w:sz w:val="27"/>
          <w:szCs w:val="27"/>
        </w:rPr>
      </w:pPr>
      <w:r>
        <w:rPr>
          <w:rFonts w:ascii="黑体" w:hAnsi="黑体" w:eastAsia="黑体" w:cs="黑体"/>
          <w:spacing w:val="2"/>
          <w:sz w:val="27"/>
          <w:szCs w:val="27"/>
        </w:rPr>
        <w:t xml:space="preserve">15  </w:t>
      </w:r>
      <w:r>
        <w:rPr>
          <w:rFonts w:ascii="黑体" w:hAnsi="黑体" w:eastAsia="黑体" w:cs="黑体"/>
          <w:b/>
          <w:bCs/>
          <w:spacing w:val="2"/>
          <w:sz w:val="27"/>
          <w:szCs w:val="27"/>
        </w:rPr>
        <w:t>各工作项目执行单位的职责</w:t>
      </w:r>
    </w:p>
    <w:p w14:paraId="1686965F">
      <w:pPr>
        <w:pStyle w:val="2"/>
        <w:spacing w:before="97" w:line="219" w:lineRule="auto"/>
        <w:ind w:left="539"/>
      </w:pPr>
      <w:r>
        <w:rPr>
          <w:spacing w:val="2"/>
        </w:rPr>
        <w:t>明确每个工作项目执行单位的职责。</w:t>
      </w:r>
    </w:p>
    <w:p w14:paraId="68297D78">
      <w:pPr>
        <w:spacing w:before="104" w:line="222" w:lineRule="auto"/>
        <w:rPr>
          <w:rFonts w:ascii="黑体" w:hAnsi="黑体" w:eastAsia="黑体" w:cs="黑体"/>
          <w:sz w:val="24"/>
          <w:szCs w:val="24"/>
        </w:rPr>
      </w:pPr>
      <w:r>
        <w:rPr>
          <w:rFonts w:ascii="黑体" w:hAnsi="黑体" w:eastAsia="黑体" w:cs="黑体"/>
          <w:spacing w:val="26"/>
          <w:sz w:val="24"/>
          <w:szCs w:val="24"/>
        </w:rPr>
        <w:t>16</w:t>
      </w:r>
      <w:r>
        <w:rPr>
          <w:rFonts w:ascii="黑体" w:hAnsi="黑体" w:eastAsia="黑体" w:cs="黑体"/>
          <w:spacing w:val="47"/>
          <w:sz w:val="24"/>
          <w:szCs w:val="24"/>
        </w:rPr>
        <w:t xml:space="preserve">  </w:t>
      </w:r>
      <w:r>
        <w:rPr>
          <w:rFonts w:ascii="黑体" w:hAnsi="黑体" w:eastAsia="黑体" w:cs="黑体"/>
          <w:b/>
          <w:bCs/>
          <w:spacing w:val="26"/>
          <w:sz w:val="24"/>
          <w:szCs w:val="24"/>
        </w:rPr>
        <w:t>保障性设计问题管理程序</w:t>
      </w:r>
    </w:p>
    <w:p w14:paraId="3C1E7ED4">
      <w:pPr>
        <w:pStyle w:val="2"/>
        <w:spacing w:before="107" w:line="219" w:lineRule="auto"/>
        <w:ind w:left="539"/>
      </w:pPr>
      <w:r>
        <w:rPr>
          <w:spacing w:val="-4"/>
        </w:rPr>
        <w:t>确定和记录影响保障性的设计问题或缺陷的程序、方法、控制及纠正措施。</w:t>
      </w:r>
    </w:p>
    <w:p w14:paraId="0E89E4BF">
      <w:pPr>
        <w:spacing w:before="84" w:line="222" w:lineRule="auto"/>
        <w:rPr>
          <w:rFonts w:ascii="黑体" w:hAnsi="黑体" w:eastAsia="黑体" w:cs="黑体"/>
          <w:sz w:val="27"/>
          <w:szCs w:val="27"/>
        </w:rPr>
      </w:pPr>
      <w:r>
        <w:rPr>
          <w:rFonts w:ascii="黑体" w:hAnsi="黑体" w:eastAsia="黑体" w:cs="黑体"/>
          <w:spacing w:val="-2"/>
          <w:sz w:val="27"/>
          <w:szCs w:val="27"/>
        </w:rPr>
        <w:t>17</w:t>
      </w:r>
      <w:r>
        <w:rPr>
          <w:rFonts w:ascii="黑体" w:hAnsi="黑体" w:eastAsia="黑体" w:cs="黑体"/>
          <w:spacing w:val="14"/>
          <w:sz w:val="27"/>
          <w:szCs w:val="27"/>
        </w:rPr>
        <w:t xml:space="preserve">  </w:t>
      </w:r>
      <w:r>
        <w:rPr>
          <w:rFonts w:ascii="黑体" w:hAnsi="黑体" w:eastAsia="黑体" w:cs="黑体"/>
          <w:b/>
          <w:bCs/>
          <w:spacing w:val="-2"/>
          <w:sz w:val="27"/>
          <w:szCs w:val="27"/>
        </w:rPr>
        <w:t>相关信息管理程序</w:t>
      </w:r>
    </w:p>
    <w:p w14:paraId="75C1854A">
      <w:pPr>
        <w:pStyle w:val="2"/>
        <w:spacing w:before="92" w:line="219" w:lineRule="auto"/>
        <w:jc w:val="right"/>
      </w:pPr>
      <w:r>
        <w:rPr>
          <w:spacing w:val="1"/>
        </w:rPr>
        <w:t>确定承制方记录、分发和管理保障性分析及有关设计资</w:t>
      </w:r>
      <w:r>
        <w:t>料的信息收集系统。</w:t>
      </w:r>
    </w:p>
    <w:p w14:paraId="614BEA19">
      <w:pPr>
        <w:spacing w:before="73" w:line="221" w:lineRule="auto"/>
        <w:outlineLvl w:val="3"/>
        <w:rPr>
          <w:rFonts w:ascii="黑体" w:hAnsi="黑体" w:eastAsia="黑体" w:cs="黑体"/>
          <w:sz w:val="27"/>
          <w:szCs w:val="27"/>
        </w:rPr>
      </w:pPr>
      <w:r>
        <w:rPr>
          <w:rFonts w:ascii="Arial" w:hAnsi="Arial" w:eastAsia="Arial" w:cs="Arial"/>
          <w:b/>
          <w:bCs/>
          <w:spacing w:val="-3"/>
          <w:sz w:val="27"/>
          <w:szCs w:val="27"/>
        </w:rPr>
        <w:t>18</w:t>
      </w:r>
      <w:r>
        <w:rPr>
          <w:rFonts w:ascii="Arial" w:hAnsi="Arial" w:eastAsia="Arial" w:cs="Arial"/>
          <w:b/>
          <w:bCs/>
          <w:spacing w:val="15"/>
          <w:sz w:val="27"/>
          <w:szCs w:val="27"/>
        </w:rPr>
        <w:t xml:space="preserve">   </w:t>
      </w:r>
      <w:r>
        <w:rPr>
          <w:rFonts w:ascii="黑体" w:hAnsi="黑体" w:eastAsia="黑体" w:cs="黑体"/>
          <w:b/>
          <w:bCs/>
          <w:spacing w:val="-3"/>
          <w:sz w:val="27"/>
          <w:szCs w:val="27"/>
        </w:rPr>
        <w:t>订购方提供的资料</w:t>
      </w:r>
    </w:p>
    <w:p w14:paraId="7EB43E4F">
      <w:pPr>
        <w:pStyle w:val="2"/>
        <w:spacing w:before="101" w:line="219" w:lineRule="auto"/>
        <w:ind w:left="539"/>
      </w:pPr>
      <w:r>
        <w:rPr>
          <w:spacing w:val="3"/>
        </w:rPr>
        <w:t>说明订购方提供给承制方的资料。</w:t>
      </w:r>
    </w:p>
    <w:p w14:paraId="716C0613">
      <w:pPr>
        <w:pStyle w:val="2"/>
        <w:spacing w:before="61" w:line="304" w:lineRule="auto"/>
        <w:ind w:right="103" w:firstLine="539"/>
      </w:pPr>
      <w:r>
        <w:rPr>
          <w:spacing w:val="-2"/>
        </w:rPr>
        <w:t>根据分析结果、工作进度及其工作内容的变</w:t>
      </w:r>
      <w:r>
        <w:rPr>
          <w:spacing w:val="-3"/>
        </w:rPr>
        <w:t>化，修正保障性分析计划，并由</w:t>
      </w:r>
      <w:r>
        <w:t xml:space="preserve"> 订购方批准。</w:t>
      </w:r>
    </w:p>
    <w:p w14:paraId="6E822133">
      <w:pPr>
        <w:spacing w:line="304" w:lineRule="auto"/>
        <w:sectPr>
          <w:footerReference r:id="rId511" w:type="default"/>
          <w:pgSz w:w="11910" w:h="17130"/>
          <w:pgMar w:top="400" w:right="1324" w:bottom="1649" w:left="1110" w:header="0" w:footer="1469" w:gutter="0"/>
          <w:cols w:space="720" w:num="1"/>
        </w:sectPr>
      </w:pPr>
    </w:p>
    <w:p w14:paraId="794E442D">
      <w:pPr>
        <w:spacing w:line="266" w:lineRule="auto"/>
        <w:rPr>
          <w:rFonts w:ascii="Arial"/>
          <w:sz w:val="21"/>
        </w:rPr>
      </w:pPr>
    </w:p>
    <w:p w14:paraId="42730BD1">
      <w:pPr>
        <w:spacing w:line="267" w:lineRule="auto"/>
        <w:rPr>
          <w:rFonts w:ascii="Arial"/>
          <w:sz w:val="21"/>
        </w:rPr>
      </w:pPr>
    </w:p>
    <w:p w14:paraId="27CD9D7D">
      <w:pPr>
        <w:spacing w:line="267" w:lineRule="auto"/>
        <w:rPr>
          <w:rFonts w:ascii="Arial"/>
          <w:sz w:val="21"/>
        </w:rPr>
      </w:pPr>
    </w:p>
    <w:p w14:paraId="23B38D80">
      <w:pPr>
        <w:spacing w:line="267" w:lineRule="auto"/>
        <w:rPr>
          <w:rFonts w:ascii="Arial"/>
          <w:sz w:val="21"/>
        </w:rPr>
      </w:pPr>
    </w:p>
    <w:p w14:paraId="2A016B92">
      <w:pPr>
        <w:spacing w:line="267" w:lineRule="auto"/>
        <w:rPr>
          <w:rFonts w:ascii="Arial"/>
          <w:sz w:val="21"/>
        </w:rPr>
      </w:pPr>
    </w:p>
    <w:p w14:paraId="0BC6233F">
      <w:pPr>
        <w:pStyle w:val="2"/>
        <w:spacing w:before="117" w:line="219" w:lineRule="auto"/>
        <w:ind w:left="2529"/>
        <w:rPr>
          <w:sz w:val="36"/>
          <w:szCs w:val="36"/>
        </w:rPr>
      </w:pPr>
      <w:r>
        <w:rPr>
          <w:spacing w:val="2"/>
          <w:sz w:val="36"/>
          <w:szCs w:val="36"/>
        </w:rPr>
        <w:t>10.</w:t>
      </w:r>
      <w:r>
        <w:rPr>
          <w:b/>
          <w:bCs/>
          <w:spacing w:val="2"/>
          <w:sz w:val="36"/>
          <w:szCs w:val="36"/>
        </w:rPr>
        <w:t>7</w:t>
      </w:r>
      <w:r>
        <w:rPr>
          <w:spacing w:val="2"/>
          <w:sz w:val="36"/>
          <w:szCs w:val="36"/>
        </w:rPr>
        <w:t xml:space="preserve">  </w:t>
      </w:r>
      <w:r>
        <w:rPr>
          <w:b/>
          <w:bCs/>
          <w:spacing w:val="2"/>
          <w:sz w:val="36"/>
          <w:szCs w:val="36"/>
        </w:rPr>
        <w:t>保障性分析评审程序</w:t>
      </w:r>
    </w:p>
    <w:p w14:paraId="26FA077D">
      <w:pPr>
        <w:spacing w:line="339" w:lineRule="auto"/>
        <w:rPr>
          <w:rFonts w:ascii="Arial"/>
          <w:sz w:val="21"/>
        </w:rPr>
      </w:pPr>
    </w:p>
    <w:p w14:paraId="7FF1D87F">
      <w:pPr>
        <w:pStyle w:val="2"/>
        <w:spacing w:before="91" w:line="226" w:lineRule="auto"/>
        <w:ind w:left="569"/>
        <w:rPr>
          <w:rFonts w:ascii="楷体" w:hAnsi="楷体" w:eastAsia="楷体" w:cs="楷体"/>
          <w:sz w:val="28"/>
          <w:szCs w:val="28"/>
        </w:rPr>
      </w:pPr>
      <w:r>
        <w:rPr>
          <w:rFonts w:ascii="楷体" w:hAnsi="楷体" w:eastAsia="楷体" w:cs="楷体"/>
          <w:spacing w:val="-13"/>
          <w:sz w:val="28"/>
          <w:szCs w:val="28"/>
        </w:rPr>
        <w:t>按照</w:t>
      </w:r>
      <w:r>
        <w:rPr>
          <w:rFonts w:ascii="Times New Roman" w:hAnsi="Times New Roman" w:eastAsia="Times New Roman" w:cs="Times New Roman"/>
          <w:spacing w:val="-13"/>
          <w:sz w:val="28"/>
          <w:szCs w:val="28"/>
        </w:rPr>
        <w:t>GJB</w:t>
      </w:r>
      <w:r>
        <w:rPr>
          <w:rFonts w:ascii="Times New Roman" w:hAnsi="Times New Roman" w:eastAsia="Times New Roman" w:cs="Times New Roman"/>
          <w:spacing w:val="37"/>
          <w:sz w:val="28"/>
          <w:szCs w:val="28"/>
        </w:rPr>
        <w:t xml:space="preserve"> </w:t>
      </w:r>
      <w:r>
        <w:rPr>
          <w:rFonts w:ascii="Times New Roman" w:hAnsi="Times New Roman" w:eastAsia="Times New Roman" w:cs="Times New Roman"/>
          <w:spacing w:val="-13"/>
          <w:sz w:val="28"/>
          <w:szCs w:val="28"/>
        </w:rPr>
        <w:t>1371—1992</w:t>
      </w:r>
      <w:r>
        <w:rPr>
          <w:spacing w:val="-13"/>
          <w:sz w:val="28"/>
          <w:szCs w:val="28"/>
        </w:rPr>
        <w:t>《</w:t>
      </w:r>
      <w:r>
        <w:rPr>
          <w:rFonts w:ascii="楷体" w:hAnsi="楷体" w:eastAsia="楷体" w:cs="楷体"/>
          <w:spacing w:val="-13"/>
          <w:sz w:val="28"/>
          <w:szCs w:val="28"/>
        </w:rPr>
        <w:t>装备保障性分析》编写。</w:t>
      </w:r>
    </w:p>
    <w:p w14:paraId="2B53C1A3">
      <w:pPr>
        <w:spacing w:before="100"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63488DB1">
      <w:pPr>
        <w:spacing w:before="91"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7A1223D9">
      <w:pPr>
        <w:spacing w:before="94" w:line="221" w:lineRule="auto"/>
        <w:rPr>
          <w:rFonts w:ascii="黑体" w:hAnsi="黑体" w:eastAsia="黑体" w:cs="黑体"/>
          <w:sz w:val="27"/>
          <w:szCs w:val="27"/>
        </w:rPr>
      </w:pPr>
      <w:r>
        <w:rPr>
          <w:rFonts w:ascii="黑体" w:hAnsi="黑体" w:eastAsia="黑体" w:cs="黑体"/>
          <w:spacing w:val="5"/>
          <w:sz w:val="27"/>
          <w:szCs w:val="27"/>
        </w:rPr>
        <w:t>3  各类人员及其职责</w:t>
      </w:r>
    </w:p>
    <w:p w14:paraId="6A4C612B">
      <w:pPr>
        <w:pStyle w:val="2"/>
        <w:spacing w:before="79" w:line="219" w:lineRule="auto"/>
        <w:ind w:left="569"/>
      </w:pPr>
      <w:r>
        <w:rPr>
          <w:spacing w:val="3"/>
        </w:rPr>
        <w:t>明确进行保障性分析评审工作的各类人员及其职责。</w:t>
      </w:r>
    </w:p>
    <w:p w14:paraId="72DA5727">
      <w:pPr>
        <w:spacing w:before="137" w:line="222" w:lineRule="auto"/>
        <w:rPr>
          <w:rFonts w:ascii="黑体" w:hAnsi="黑体" w:eastAsia="黑体" w:cs="黑体"/>
          <w:sz w:val="27"/>
          <w:szCs w:val="27"/>
        </w:rPr>
      </w:pPr>
      <w:r>
        <w:rPr>
          <w:rFonts w:ascii="黑体" w:hAnsi="黑体" w:eastAsia="黑体" w:cs="黑体"/>
          <w:spacing w:val="6"/>
          <w:sz w:val="27"/>
          <w:szCs w:val="27"/>
        </w:rPr>
        <w:t>4  评审目的</w:t>
      </w:r>
    </w:p>
    <w:p w14:paraId="23535074">
      <w:pPr>
        <w:pStyle w:val="2"/>
        <w:spacing w:before="67" w:line="296" w:lineRule="auto"/>
        <w:ind w:right="3" w:firstLine="569"/>
      </w:pPr>
      <w:r>
        <w:rPr>
          <w:spacing w:val="1"/>
        </w:rPr>
        <w:t>根据具体的评审如系统和设备设计评审(方案设计评审、工程设计评审及定</w:t>
      </w:r>
      <w:r>
        <w:rPr>
          <w:spacing w:val="8"/>
        </w:rPr>
        <w:t xml:space="preserve"> </w:t>
      </w:r>
      <w:r>
        <w:rPr>
          <w:spacing w:val="-9"/>
        </w:rPr>
        <w:t>型设计评审)、型号评审、保障性分析评审，明确每次评审的目的。</w:t>
      </w:r>
    </w:p>
    <w:p w14:paraId="2F64C2A4">
      <w:pPr>
        <w:spacing w:before="1" w:line="221" w:lineRule="auto"/>
        <w:outlineLvl w:val="3"/>
        <w:rPr>
          <w:rFonts w:ascii="黑体" w:hAnsi="黑体" w:eastAsia="黑体" w:cs="黑体"/>
          <w:sz w:val="27"/>
          <w:szCs w:val="27"/>
        </w:rPr>
      </w:pPr>
      <w:r>
        <w:rPr>
          <w:rFonts w:ascii="Arial" w:hAnsi="Arial" w:eastAsia="Arial" w:cs="Arial"/>
          <w:b/>
          <w:bCs/>
          <w:spacing w:val="-3"/>
          <w:sz w:val="27"/>
          <w:szCs w:val="27"/>
        </w:rPr>
        <w:t>5</w:t>
      </w:r>
      <w:r>
        <w:rPr>
          <w:rFonts w:ascii="Arial" w:hAnsi="Arial" w:eastAsia="Arial" w:cs="Arial"/>
          <w:b/>
          <w:bCs/>
          <w:spacing w:val="20"/>
          <w:w w:val="101"/>
          <w:sz w:val="27"/>
          <w:szCs w:val="27"/>
        </w:rPr>
        <w:t xml:space="preserve">   </w:t>
      </w:r>
      <w:r>
        <w:rPr>
          <w:rFonts w:ascii="黑体" w:hAnsi="黑体" w:eastAsia="黑体" w:cs="黑体"/>
          <w:b/>
          <w:bCs/>
          <w:spacing w:val="-3"/>
          <w:sz w:val="27"/>
          <w:szCs w:val="27"/>
        </w:rPr>
        <w:t>评审议程</w:t>
      </w:r>
    </w:p>
    <w:p w14:paraId="54D06B67">
      <w:pPr>
        <w:pStyle w:val="2"/>
        <w:spacing w:before="101" w:line="219" w:lineRule="auto"/>
        <w:ind w:left="569"/>
      </w:pPr>
      <w:r>
        <w:rPr>
          <w:spacing w:val="2"/>
        </w:rPr>
        <w:t>确定评审的工作程序并通知订购方。</w:t>
      </w:r>
    </w:p>
    <w:p w14:paraId="64899087">
      <w:pPr>
        <w:spacing w:before="137" w:line="222" w:lineRule="auto"/>
        <w:rPr>
          <w:rFonts w:ascii="黑体" w:hAnsi="黑体" w:eastAsia="黑体" w:cs="黑体"/>
          <w:sz w:val="25"/>
          <w:szCs w:val="25"/>
        </w:rPr>
      </w:pPr>
      <w:r>
        <w:rPr>
          <w:rFonts w:ascii="黑体" w:hAnsi="黑体" w:eastAsia="黑体" w:cs="黑体"/>
          <w:spacing w:val="18"/>
          <w:sz w:val="25"/>
          <w:szCs w:val="25"/>
        </w:rPr>
        <w:t>6</w:t>
      </w:r>
      <w:r>
        <w:rPr>
          <w:rFonts w:ascii="黑体" w:hAnsi="黑体" w:eastAsia="黑体" w:cs="黑体"/>
          <w:spacing w:val="27"/>
          <w:sz w:val="25"/>
          <w:szCs w:val="25"/>
        </w:rPr>
        <w:t xml:space="preserve">  </w:t>
      </w:r>
      <w:r>
        <w:rPr>
          <w:rFonts w:ascii="黑体" w:hAnsi="黑体" w:eastAsia="黑体" w:cs="黑体"/>
          <w:spacing w:val="18"/>
          <w:sz w:val="25"/>
          <w:szCs w:val="25"/>
        </w:rPr>
        <w:t>评审议题</w:t>
      </w:r>
    </w:p>
    <w:p w14:paraId="50EE16DB">
      <w:pPr>
        <w:pStyle w:val="2"/>
        <w:spacing w:before="92" w:line="219" w:lineRule="auto"/>
        <w:ind w:left="569"/>
      </w:pPr>
      <w:r>
        <w:rPr>
          <w:spacing w:val="-2"/>
        </w:rPr>
        <w:t>确定保障性分析评审的议题，一般应包括下述内容：</w:t>
      </w:r>
    </w:p>
    <w:p w14:paraId="1DEB927C">
      <w:pPr>
        <w:pStyle w:val="2"/>
        <w:spacing w:before="89" w:line="212" w:lineRule="auto"/>
        <w:ind w:left="569"/>
      </w:pPr>
      <w:r>
        <w:rPr>
          <w:rFonts w:ascii="Times New Roman" w:hAnsi="Times New Roman" w:eastAsia="Times New Roman" w:cs="Times New Roman"/>
          <w:spacing w:val="4"/>
        </w:rPr>
        <w:t>a)</w:t>
      </w:r>
      <w:r>
        <w:rPr>
          <w:rFonts w:ascii="Times New Roman" w:hAnsi="Times New Roman" w:eastAsia="Times New Roman" w:cs="Times New Roman"/>
          <w:spacing w:val="63"/>
        </w:rPr>
        <w:t xml:space="preserve"> </w:t>
      </w:r>
      <w:r>
        <w:rPr>
          <w:spacing w:val="4"/>
        </w:rPr>
        <w:t>按工作项目及产品结构层次所进行的保障性</w:t>
      </w:r>
      <w:r>
        <w:rPr>
          <w:spacing w:val="3"/>
        </w:rPr>
        <w:t>分析。</w:t>
      </w:r>
    </w:p>
    <w:p w14:paraId="77ECCFB3">
      <w:pPr>
        <w:pStyle w:val="2"/>
        <w:spacing w:before="98" w:line="264" w:lineRule="auto"/>
        <w:ind w:firstLine="569"/>
      </w:pPr>
      <w:r>
        <w:rPr>
          <w:rFonts w:ascii="Times New Roman" w:hAnsi="Times New Roman" w:eastAsia="Times New Roman" w:cs="Times New Roman"/>
          <w:spacing w:val="-5"/>
        </w:rPr>
        <w:t xml:space="preserve">b)  </w:t>
      </w:r>
      <w:r>
        <w:rPr>
          <w:spacing w:val="-5"/>
        </w:rPr>
        <w:t>对建议采用的设计特性的保障性评估，包括保障性、费用、战备完好性的</w:t>
      </w:r>
      <w:r>
        <w:t xml:space="preserve"> </w:t>
      </w:r>
      <w:r>
        <w:rPr>
          <w:spacing w:val="2"/>
        </w:rPr>
        <w:t>主宰因素及新的或关键的保障资源要求。</w:t>
      </w:r>
    </w:p>
    <w:p w14:paraId="1165F989">
      <w:pPr>
        <w:pStyle w:val="2"/>
        <w:spacing w:before="50" w:line="271" w:lineRule="auto"/>
        <w:ind w:right="7" w:firstLine="569"/>
      </w:pPr>
      <w:r>
        <w:rPr>
          <w:rFonts w:ascii="Times New Roman" w:hAnsi="Times New Roman" w:eastAsia="Times New Roman" w:cs="Times New Roman"/>
          <w:spacing w:val="-5"/>
        </w:rPr>
        <w:t>c)</w:t>
      </w:r>
      <w:r>
        <w:rPr>
          <w:rFonts w:ascii="Times New Roman" w:hAnsi="Times New Roman" w:eastAsia="Times New Roman" w:cs="Times New Roman"/>
          <w:spacing w:val="65"/>
        </w:rPr>
        <w:t xml:space="preserve"> </w:t>
      </w:r>
      <w:r>
        <w:rPr>
          <w:spacing w:val="-5"/>
        </w:rPr>
        <w:t>对备选保障方案、系统和设备的备选方案、评价及权衡分析结果、与现有</w:t>
      </w:r>
      <w:r>
        <w:t xml:space="preserve"> </w:t>
      </w:r>
      <w:r>
        <w:rPr>
          <w:spacing w:val="5"/>
        </w:rPr>
        <w:t>系统和设备对比分析结果、建议采取或已采取的设计或重新设计措施中已考虑</w:t>
      </w:r>
      <w:r>
        <w:rPr>
          <w:spacing w:val="7"/>
        </w:rPr>
        <w:t xml:space="preserve"> </w:t>
      </w:r>
      <w:r>
        <w:rPr>
          <w:spacing w:val="-4"/>
        </w:rPr>
        <w:t>的、建议采取的或已采取的改进措施。</w:t>
      </w:r>
    </w:p>
    <w:p w14:paraId="056267B6">
      <w:pPr>
        <w:pStyle w:val="2"/>
        <w:spacing w:before="81" w:line="212" w:lineRule="auto"/>
        <w:ind w:left="569"/>
      </w:pPr>
      <w:r>
        <w:rPr>
          <w:rFonts w:ascii="Times New Roman" w:hAnsi="Times New Roman" w:eastAsia="Times New Roman" w:cs="Times New Roman"/>
          <w:spacing w:val="5"/>
        </w:rPr>
        <w:t>d)</w:t>
      </w:r>
      <w:r>
        <w:rPr>
          <w:rFonts w:ascii="Times New Roman" w:hAnsi="Times New Roman" w:eastAsia="Times New Roman" w:cs="Times New Roman"/>
          <w:spacing w:val="61"/>
          <w:w w:val="101"/>
        </w:rPr>
        <w:t xml:space="preserve"> </w:t>
      </w:r>
      <w:r>
        <w:rPr>
          <w:spacing w:val="5"/>
        </w:rPr>
        <w:t>保障性和有关保障性的设计要求(同技术规范一起评审)。</w:t>
      </w:r>
    </w:p>
    <w:p w14:paraId="5DF95BD3">
      <w:pPr>
        <w:pStyle w:val="2"/>
        <w:spacing w:before="109" w:line="212" w:lineRule="auto"/>
        <w:ind w:left="569"/>
      </w:pPr>
      <w:r>
        <w:rPr>
          <w:rFonts w:ascii="Times New Roman" w:hAnsi="Times New Roman" w:eastAsia="Times New Roman" w:cs="Times New Roman"/>
          <w:spacing w:val="3"/>
        </w:rPr>
        <w:t xml:space="preserve">e)  </w:t>
      </w:r>
      <w:r>
        <w:rPr>
          <w:spacing w:val="3"/>
        </w:rPr>
        <w:t>达到保障性目标值的程度。</w:t>
      </w:r>
    </w:p>
    <w:p w14:paraId="15DB894A">
      <w:pPr>
        <w:pStyle w:val="2"/>
        <w:spacing w:before="110" w:line="212" w:lineRule="auto"/>
        <w:ind w:left="569"/>
      </w:pPr>
      <w:r>
        <w:rPr>
          <w:rFonts w:ascii="Times New Roman" w:hAnsi="Times New Roman" w:eastAsia="Times New Roman" w:cs="Times New Roman"/>
          <w:spacing w:val="4"/>
        </w:rPr>
        <w:t xml:space="preserve">f)  </w:t>
      </w:r>
      <w:r>
        <w:rPr>
          <w:spacing w:val="4"/>
        </w:rPr>
        <w:t>保障性分析文件的编制情况。</w:t>
      </w:r>
    </w:p>
    <w:p w14:paraId="072FF99D">
      <w:pPr>
        <w:pStyle w:val="2"/>
        <w:spacing w:before="120" w:line="212" w:lineRule="auto"/>
        <w:ind w:left="569"/>
      </w:pPr>
      <w:r>
        <w:rPr>
          <w:rFonts w:ascii="Times New Roman" w:hAnsi="Times New Roman" w:eastAsia="Times New Roman" w:cs="Times New Roman"/>
          <w:spacing w:val="-2"/>
        </w:rPr>
        <w:t xml:space="preserve">g)  </w:t>
      </w:r>
      <w:r>
        <w:rPr>
          <w:spacing w:val="-2"/>
        </w:rPr>
        <w:t>影响保障性的设计、进度或分析方面的问题。</w:t>
      </w:r>
    </w:p>
    <w:p w14:paraId="5AA683BA">
      <w:pPr>
        <w:pStyle w:val="2"/>
        <w:spacing w:before="100" w:line="212" w:lineRule="auto"/>
        <w:ind w:left="569"/>
      </w:pPr>
      <w:r>
        <w:rPr>
          <w:rFonts w:ascii="Times New Roman" w:hAnsi="Times New Roman" w:eastAsia="Times New Roman" w:cs="Times New Roman"/>
          <w:spacing w:val="4"/>
        </w:rPr>
        <w:t xml:space="preserve">h)  </w:t>
      </w:r>
      <w:r>
        <w:rPr>
          <w:spacing w:val="4"/>
        </w:rPr>
        <w:t>有关保障性的设计建议及论证。</w:t>
      </w:r>
    </w:p>
    <w:p w14:paraId="23DEE23F">
      <w:pPr>
        <w:pStyle w:val="2"/>
        <w:spacing w:before="110" w:line="212" w:lineRule="auto"/>
        <w:ind w:left="569"/>
      </w:pPr>
      <w:r>
        <w:rPr>
          <w:rFonts w:ascii="Times New Roman" w:hAnsi="Times New Roman" w:eastAsia="Times New Roman" w:cs="Times New Roman"/>
          <w:spacing w:val="3"/>
        </w:rPr>
        <w:t>i)</w:t>
      </w:r>
      <w:r>
        <w:rPr>
          <w:rFonts w:ascii="Times New Roman" w:hAnsi="Times New Roman" w:eastAsia="Times New Roman" w:cs="Times New Roman"/>
          <w:spacing w:val="67"/>
        </w:rPr>
        <w:t xml:space="preserve"> </w:t>
      </w:r>
      <w:r>
        <w:rPr>
          <w:spacing w:val="3"/>
        </w:rPr>
        <w:t>其他的议题。</w:t>
      </w:r>
    </w:p>
    <w:p w14:paraId="460992A8">
      <w:pPr>
        <w:spacing w:before="129" w:line="222" w:lineRule="auto"/>
        <w:rPr>
          <w:rFonts w:ascii="黑体" w:hAnsi="黑体" w:eastAsia="黑体" w:cs="黑体"/>
          <w:sz w:val="27"/>
          <w:szCs w:val="27"/>
        </w:rPr>
      </w:pPr>
      <w:r>
        <w:rPr>
          <w:rFonts w:ascii="Arial" w:hAnsi="Arial" w:eastAsia="Arial" w:cs="Arial"/>
          <w:spacing w:val="3"/>
          <w:sz w:val="27"/>
          <w:szCs w:val="27"/>
        </w:rPr>
        <w:t>7</w:t>
      </w:r>
      <w:r>
        <w:rPr>
          <w:rFonts w:ascii="Arial" w:hAnsi="Arial" w:eastAsia="Arial" w:cs="Arial"/>
          <w:spacing w:val="21"/>
          <w:w w:val="101"/>
          <w:sz w:val="27"/>
          <w:szCs w:val="27"/>
        </w:rPr>
        <w:t xml:space="preserve">   </w:t>
      </w:r>
      <w:r>
        <w:rPr>
          <w:rFonts w:ascii="黑体" w:hAnsi="黑体" w:eastAsia="黑体" w:cs="黑体"/>
          <w:spacing w:val="3"/>
          <w:sz w:val="27"/>
          <w:szCs w:val="27"/>
        </w:rPr>
        <w:t>保障性分析评审输入</w:t>
      </w:r>
    </w:p>
    <w:p w14:paraId="55030DEF">
      <w:pPr>
        <w:pStyle w:val="2"/>
        <w:spacing w:before="105" w:line="219" w:lineRule="auto"/>
        <w:ind w:left="569"/>
      </w:pPr>
      <w:r>
        <w:rPr>
          <w:spacing w:val="2"/>
        </w:rPr>
        <w:t>明确评审所需准备的材料及提供者。</w:t>
      </w:r>
    </w:p>
    <w:p w14:paraId="1274698C">
      <w:pPr>
        <w:spacing w:before="123" w:line="224" w:lineRule="auto"/>
        <w:rPr>
          <w:rFonts w:ascii="黑体" w:hAnsi="黑体" w:eastAsia="黑体" w:cs="黑体"/>
          <w:sz w:val="27"/>
          <w:szCs w:val="27"/>
        </w:rPr>
      </w:pPr>
      <w:r>
        <w:rPr>
          <w:rFonts w:ascii="黑体" w:hAnsi="黑体" w:eastAsia="黑体" w:cs="黑体"/>
          <w:spacing w:val="3"/>
          <w:sz w:val="27"/>
          <w:szCs w:val="27"/>
        </w:rPr>
        <w:t>8</w:t>
      </w:r>
      <w:r>
        <w:rPr>
          <w:rFonts w:ascii="黑体" w:hAnsi="黑体" w:eastAsia="黑体" w:cs="黑体"/>
          <w:spacing w:val="11"/>
          <w:sz w:val="27"/>
          <w:szCs w:val="27"/>
        </w:rPr>
        <w:t xml:space="preserve">  </w:t>
      </w:r>
      <w:r>
        <w:rPr>
          <w:rFonts w:ascii="黑体" w:hAnsi="黑体" w:eastAsia="黑体" w:cs="黑体"/>
          <w:spacing w:val="3"/>
          <w:sz w:val="27"/>
          <w:szCs w:val="27"/>
        </w:rPr>
        <w:t>有关判据</w:t>
      </w:r>
    </w:p>
    <w:p w14:paraId="57B0FD40">
      <w:pPr>
        <w:pStyle w:val="2"/>
        <w:spacing w:before="81" w:line="219" w:lineRule="auto"/>
        <w:ind w:left="569"/>
      </w:pPr>
      <w:r>
        <w:rPr>
          <w:spacing w:val="3"/>
        </w:rPr>
        <w:t>规定与保障性要求有关的接收或拒收判据。</w:t>
      </w:r>
    </w:p>
    <w:p w14:paraId="5CA1F5E7">
      <w:pPr>
        <w:spacing w:before="139" w:line="222" w:lineRule="auto"/>
        <w:rPr>
          <w:rFonts w:ascii="黑体" w:hAnsi="黑体" w:eastAsia="黑体" w:cs="黑体"/>
          <w:sz w:val="24"/>
          <w:szCs w:val="24"/>
        </w:rPr>
      </w:pPr>
      <w:r>
        <w:rPr>
          <w:rFonts w:ascii="黑体" w:hAnsi="黑体" w:eastAsia="黑体" w:cs="黑体"/>
          <w:spacing w:val="25"/>
          <w:sz w:val="24"/>
          <w:szCs w:val="24"/>
        </w:rPr>
        <w:t>9</w:t>
      </w:r>
      <w:r>
        <w:rPr>
          <w:rFonts w:ascii="黑体" w:hAnsi="黑体" w:eastAsia="黑体" w:cs="黑体"/>
          <w:spacing w:val="36"/>
          <w:sz w:val="24"/>
          <w:szCs w:val="24"/>
        </w:rPr>
        <w:t xml:space="preserve">  </w:t>
      </w:r>
      <w:r>
        <w:rPr>
          <w:rFonts w:ascii="黑体" w:hAnsi="黑体" w:eastAsia="黑体" w:cs="黑体"/>
          <w:spacing w:val="25"/>
          <w:sz w:val="24"/>
          <w:szCs w:val="24"/>
        </w:rPr>
        <w:t>问题处理</w:t>
      </w:r>
    </w:p>
    <w:p w14:paraId="46360EF7">
      <w:pPr>
        <w:pStyle w:val="2"/>
        <w:spacing w:before="112" w:line="219" w:lineRule="auto"/>
        <w:ind w:left="569"/>
      </w:pPr>
      <w:r>
        <w:rPr>
          <w:spacing w:val="4"/>
        </w:rPr>
        <w:t>明确订购方与承制方对评审中出现的有争议问题的</w:t>
      </w:r>
      <w:r>
        <w:rPr>
          <w:spacing w:val="3"/>
        </w:rPr>
        <w:t>处理方法。</w:t>
      </w:r>
    </w:p>
    <w:p w14:paraId="5F4CB9A3">
      <w:pPr>
        <w:spacing w:line="219" w:lineRule="auto"/>
        <w:sectPr>
          <w:footerReference r:id="rId512" w:type="default"/>
          <w:pgSz w:w="11910" w:h="17130"/>
          <w:pgMar w:top="400" w:right="1039" w:bottom="1633" w:left="1480" w:header="0" w:footer="1435" w:gutter="0"/>
          <w:cols w:space="720" w:num="1"/>
        </w:sectPr>
      </w:pPr>
    </w:p>
    <w:p w14:paraId="28F2CEAD">
      <w:pPr>
        <w:spacing w:line="252" w:lineRule="auto"/>
        <w:rPr>
          <w:rFonts w:ascii="Arial"/>
          <w:sz w:val="21"/>
        </w:rPr>
      </w:pPr>
    </w:p>
    <w:p w14:paraId="1832346B">
      <w:pPr>
        <w:spacing w:line="252" w:lineRule="auto"/>
        <w:rPr>
          <w:rFonts w:ascii="Arial"/>
          <w:sz w:val="21"/>
        </w:rPr>
      </w:pPr>
    </w:p>
    <w:p w14:paraId="01517728">
      <w:pPr>
        <w:spacing w:line="253" w:lineRule="auto"/>
        <w:rPr>
          <w:rFonts w:ascii="Arial"/>
          <w:sz w:val="21"/>
        </w:rPr>
      </w:pPr>
    </w:p>
    <w:p w14:paraId="61A7B9DD">
      <w:pPr>
        <w:spacing w:line="253" w:lineRule="auto"/>
        <w:rPr>
          <w:rFonts w:ascii="Arial"/>
          <w:sz w:val="21"/>
        </w:rPr>
      </w:pPr>
    </w:p>
    <w:p w14:paraId="1A24326F">
      <w:pPr>
        <w:spacing w:before="88" w:line="221" w:lineRule="auto"/>
        <w:rPr>
          <w:rFonts w:ascii="黑体" w:hAnsi="黑体" w:eastAsia="黑体" w:cs="黑体"/>
          <w:sz w:val="27"/>
          <w:szCs w:val="27"/>
        </w:rPr>
      </w:pPr>
      <w:r>
        <w:rPr>
          <w:rFonts w:ascii="黑体" w:hAnsi="黑体" w:eastAsia="黑体" w:cs="黑体"/>
          <w:spacing w:val="1"/>
          <w:sz w:val="27"/>
          <w:szCs w:val="27"/>
        </w:rPr>
        <w:t xml:space="preserve">10  </w:t>
      </w:r>
      <w:r>
        <w:rPr>
          <w:rFonts w:ascii="黑体" w:hAnsi="黑体" w:eastAsia="黑体" w:cs="黑体"/>
          <w:b/>
          <w:bCs/>
          <w:spacing w:val="1"/>
          <w:sz w:val="27"/>
          <w:szCs w:val="27"/>
        </w:rPr>
        <w:t>评审结果的记录方法</w:t>
      </w:r>
    </w:p>
    <w:p w14:paraId="3CA1C99D">
      <w:pPr>
        <w:pStyle w:val="2"/>
        <w:spacing w:before="113" w:line="219" w:lineRule="auto"/>
        <w:ind w:left="529"/>
      </w:pPr>
      <w:r>
        <w:rPr>
          <w:spacing w:val="3"/>
        </w:rPr>
        <w:t>明确将评审结果记录成文的方法。</w:t>
      </w:r>
    </w:p>
    <w:p w14:paraId="5F798545">
      <w:pPr>
        <w:spacing w:line="326" w:lineRule="auto"/>
        <w:rPr>
          <w:rFonts w:ascii="Arial"/>
          <w:sz w:val="21"/>
        </w:rPr>
      </w:pPr>
    </w:p>
    <w:p w14:paraId="23782A63">
      <w:pPr>
        <w:pStyle w:val="2"/>
        <w:spacing w:before="117" w:line="219" w:lineRule="auto"/>
        <w:ind w:left="3050"/>
        <w:outlineLvl w:val="1"/>
        <w:rPr>
          <w:sz w:val="36"/>
          <w:szCs w:val="36"/>
        </w:rPr>
      </w:pPr>
      <w:r>
        <w:rPr>
          <w:rFonts w:ascii="Times New Roman" w:hAnsi="Times New Roman" w:eastAsia="Times New Roman" w:cs="Times New Roman"/>
          <w:b/>
          <w:bCs/>
          <w:spacing w:val="3"/>
          <w:sz w:val="36"/>
          <w:szCs w:val="36"/>
        </w:rPr>
        <w:t xml:space="preserve">10.8     </w:t>
      </w:r>
      <w:r>
        <w:rPr>
          <w:b/>
          <w:bCs/>
          <w:spacing w:val="3"/>
          <w:sz w:val="36"/>
          <w:szCs w:val="36"/>
        </w:rPr>
        <w:t>产品使用研究</w:t>
      </w:r>
    </w:p>
    <w:p w14:paraId="54E2977A">
      <w:pPr>
        <w:spacing w:line="351" w:lineRule="auto"/>
        <w:rPr>
          <w:rFonts w:ascii="Arial"/>
          <w:sz w:val="21"/>
        </w:rPr>
      </w:pPr>
    </w:p>
    <w:p w14:paraId="7805EF2A">
      <w:pPr>
        <w:pStyle w:val="2"/>
        <w:spacing w:before="91" w:line="226" w:lineRule="auto"/>
        <w:ind w:left="529"/>
        <w:rPr>
          <w:rFonts w:ascii="楷体" w:hAnsi="楷体" w:eastAsia="楷体" w:cs="楷体"/>
          <w:sz w:val="28"/>
          <w:szCs w:val="28"/>
        </w:rPr>
      </w:pPr>
      <w:r>
        <w:rPr>
          <w:rFonts w:ascii="楷体" w:hAnsi="楷体" w:eastAsia="楷体" w:cs="楷体"/>
          <w:spacing w:val="-12"/>
          <w:sz w:val="28"/>
          <w:szCs w:val="28"/>
        </w:rPr>
        <w:t>按照</w:t>
      </w:r>
      <w:r>
        <w:rPr>
          <w:rFonts w:ascii="Times New Roman" w:hAnsi="Times New Roman" w:eastAsia="Times New Roman" w:cs="Times New Roman"/>
          <w:spacing w:val="-12"/>
          <w:sz w:val="28"/>
          <w:szCs w:val="28"/>
        </w:rPr>
        <w:t>GJB</w:t>
      </w:r>
      <w:r>
        <w:rPr>
          <w:rFonts w:ascii="Times New Roman" w:hAnsi="Times New Roman" w:eastAsia="Times New Roman" w:cs="Times New Roman"/>
          <w:spacing w:val="30"/>
          <w:sz w:val="28"/>
          <w:szCs w:val="28"/>
        </w:rPr>
        <w:t xml:space="preserve"> </w:t>
      </w:r>
      <w:r>
        <w:rPr>
          <w:rFonts w:ascii="Times New Roman" w:hAnsi="Times New Roman" w:eastAsia="Times New Roman" w:cs="Times New Roman"/>
          <w:spacing w:val="-12"/>
          <w:sz w:val="28"/>
          <w:szCs w:val="28"/>
        </w:rPr>
        <w:t>1371—1992</w:t>
      </w:r>
      <w:r>
        <w:rPr>
          <w:spacing w:val="-12"/>
          <w:sz w:val="28"/>
          <w:szCs w:val="28"/>
        </w:rPr>
        <w:t>《</w:t>
      </w:r>
      <w:r>
        <w:rPr>
          <w:rFonts w:ascii="楷体" w:hAnsi="楷体" w:eastAsia="楷体" w:cs="楷体"/>
          <w:spacing w:val="-12"/>
          <w:sz w:val="28"/>
          <w:szCs w:val="28"/>
        </w:rPr>
        <w:t>装备保障性分析》编写。</w:t>
      </w:r>
    </w:p>
    <w:p w14:paraId="6AF835D2">
      <w:pPr>
        <w:spacing w:before="96"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21"/>
          <w:sz w:val="27"/>
          <w:szCs w:val="27"/>
        </w:rPr>
        <w:t xml:space="preserve">  </w:t>
      </w:r>
      <w:r>
        <w:rPr>
          <w:rFonts w:ascii="黑体" w:hAnsi="黑体" w:eastAsia="黑体" w:cs="黑体"/>
          <w:b/>
          <w:bCs/>
          <w:spacing w:val="-4"/>
          <w:sz w:val="27"/>
          <w:szCs w:val="27"/>
        </w:rPr>
        <w:t>范围</w:t>
      </w:r>
    </w:p>
    <w:p w14:paraId="0DA86C1D">
      <w:pPr>
        <w:spacing w:before="9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1A2CDC12">
      <w:pPr>
        <w:spacing w:before="86" w:line="222"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15"/>
          <w:sz w:val="27"/>
          <w:szCs w:val="27"/>
        </w:rPr>
        <w:t xml:space="preserve">  </w:t>
      </w:r>
      <w:r>
        <w:rPr>
          <w:rFonts w:ascii="黑体" w:hAnsi="黑体" w:eastAsia="黑体" w:cs="黑体"/>
          <w:b/>
          <w:bCs/>
          <w:spacing w:val="1"/>
          <w:sz w:val="27"/>
          <w:szCs w:val="27"/>
        </w:rPr>
        <w:t>确定保障性因素</w:t>
      </w:r>
    </w:p>
    <w:p w14:paraId="34DCBF96">
      <w:pPr>
        <w:pStyle w:val="2"/>
        <w:spacing w:before="78" w:line="296" w:lineRule="auto"/>
        <w:ind w:right="113" w:firstLine="529"/>
        <w:jc w:val="both"/>
      </w:pPr>
      <w:r>
        <w:rPr>
          <w:spacing w:val="-10"/>
        </w:rPr>
        <w:t>确定保障性因素时，要考虑到机动性要求、部署情况、使用方案、任务频度与</w:t>
      </w:r>
      <w:r>
        <w:t xml:space="preserve"> </w:t>
      </w:r>
      <w:r>
        <w:rPr>
          <w:spacing w:val="-10"/>
        </w:rPr>
        <w:t>持续时间、基地设置方案、预定使用寿命、与其他系统和设备的相互关系、使用环</w:t>
      </w:r>
      <w:r>
        <w:rPr>
          <w:spacing w:val="2"/>
        </w:rPr>
        <w:t xml:space="preserve"> </w:t>
      </w:r>
      <w:r>
        <w:rPr>
          <w:spacing w:val="-8"/>
        </w:rPr>
        <w:t>境，以及人的能力及限度等。</w:t>
      </w:r>
    </w:p>
    <w:p w14:paraId="2B75E9EF">
      <w:pPr>
        <w:spacing w:before="10" w:line="223" w:lineRule="auto"/>
        <w:rPr>
          <w:rFonts w:ascii="黑体" w:hAnsi="黑体" w:eastAsia="黑体" w:cs="黑体"/>
          <w:sz w:val="25"/>
          <w:szCs w:val="25"/>
        </w:rPr>
      </w:pPr>
      <w:r>
        <w:rPr>
          <w:rFonts w:ascii="黑体" w:hAnsi="黑体" w:eastAsia="黑体" w:cs="黑体"/>
          <w:spacing w:val="12"/>
          <w:sz w:val="25"/>
          <w:szCs w:val="25"/>
        </w:rPr>
        <w:t>3.1</w:t>
      </w:r>
      <w:r>
        <w:rPr>
          <w:rFonts w:ascii="黑体" w:hAnsi="黑体" w:eastAsia="黑体" w:cs="黑体"/>
          <w:spacing w:val="50"/>
          <w:sz w:val="25"/>
          <w:szCs w:val="25"/>
        </w:rPr>
        <w:t xml:space="preserve">  </w:t>
      </w:r>
      <w:r>
        <w:rPr>
          <w:rFonts w:ascii="黑体" w:hAnsi="黑体" w:eastAsia="黑体" w:cs="黑体"/>
          <w:b/>
          <w:bCs/>
          <w:spacing w:val="12"/>
          <w:sz w:val="25"/>
          <w:szCs w:val="25"/>
        </w:rPr>
        <w:t>平时应用时</w:t>
      </w:r>
    </w:p>
    <w:p w14:paraId="4238DB50">
      <w:pPr>
        <w:pStyle w:val="2"/>
        <w:spacing w:before="92" w:line="219" w:lineRule="auto"/>
        <w:ind w:left="529"/>
      </w:pPr>
      <w:r>
        <w:rPr>
          <w:spacing w:val="4"/>
        </w:rPr>
        <w:t>分析确定平时应用时的保障性因素。</w:t>
      </w:r>
    </w:p>
    <w:p w14:paraId="6A91A7B5">
      <w:pPr>
        <w:spacing w:before="146" w:line="223" w:lineRule="auto"/>
        <w:rPr>
          <w:rFonts w:ascii="黑体" w:hAnsi="黑体" w:eastAsia="黑体" w:cs="黑体"/>
          <w:sz w:val="25"/>
          <w:szCs w:val="25"/>
        </w:rPr>
      </w:pPr>
      <w:r>
        <w:rPr>
          <w:rFonts w:ascii="黑体" w:hAnsi="黑体" w:eastAsia="黑体" w:cs="黑体"/>
          <w:spacing w:val="9"/>
          <w:sz w:val="25"/>
          <w:szCs w:val="25"/>
        </w:rPr>
        <w:t>3.2</w:t>
      </w:r>
      <w:r>
        <w:rPr>
          <w:rFonts w:ascii="黑体" w:hAnsi="黑体" w:eastAsia="黑体" w:cs="黑体"/>
          <w:spacing w:val="52"/>
          <w:sz w:val="25"/>
          <w:szCs w:val="25"/>
        </w:rPr>
        <w:t xml:space="preserve">  </w:t>
      </w:r>
      <w:r>
        <w:rPr>
          <w:rFonts w:ascii="黑体" w:hAnsi="黑体" w:eastAsia="黑体" w:cs="黑体"/>
          <w:b/>
          <w:bCs/>
          <w:spacing w:val="9"/>
          <w:sz w:val="25"/>
          <w:szCs w:val="25"/>
        </w:rPr>
        <w:t>战时应用时</w:t>
      </w:r>
    </w:p>
    <w:p w14:paraId="4C57CE15">
      <w:pPr>
        <w:pStyle w:val="2"/>
        <w:spacing w:before="92" w:line="219" w:lineRule="auto"/>
        <w:ind w:left="529"/>
      </w:pPr>
      <w:r>
        <w:rPr>
          <w:spacing w:val="4"/>
        </w:rPr>
        <w:t>分析确定战时应用时的保障性因素。</w:t>
      </w:r>
    </w:p>
    <w:p w14:paraId="497705F3">
      <w:pPr>
        <w:spacing w:before="123" w:line="221" w:lineRule="auto"/>
        <w:rPr>
          <w:rFonts w:ascii="黑体" w:hAnsi="黑体" w:eastAsia="黑体" w:cs="黑体"/>
          <w:sz w:val="27"/>
          <w:szCs w:val="27"/>
        </w:rPr>
      </w:pPr>
      <w:r>
        <w:rPr>
          <w:rFonts w:ascii="黑体" w:hAnsi="黑体" w:eastAsia="黑体" w:cs="黑体"/>
          <w:spacing w:val="4"/>
          <w:sz w:val="27"/>
          <w:szCs w:val="27"/>
        </w:rPr>
        <w:t xml:space="preserve">3.3  </w:t>
      </w:r>
      <w:r>
        <w:rPr>
          <w:rFonts w:ascii="黑体" w:hAnsi="黑体" w:eastAsia="黑体" w:cs="黑体"/>
          <w:b/>
          <w:bCs/>
          <w:spacing w:val="4"/>
          <w:sz w:val="27"/>
          <w:szCs w:val="27"/>
        </w:rPr>
        <w:t>曾经进行过的任务范围及系统和设备分析</w:t>
      </w:r>
    </w:p>
    <w:p w14:paraId="6E5D1DD3">
      <w:pPr>
        <w:pStyle w:val="2"/>
        <w:spacing w:before="84" w:line="295" w:lineRule="auto"/>
        <w:ind w:right="121" w:firstLine="529"/>
      </w:pPr>
      <w:r>
        <w:rPr>
          <w:spacing w:val="10"/>
        </w:rPr>
        <w:t>确定曾经进行过的任务范围及系统和设备分析(这种分析不仅与新研系统</w:t>
      </w:r>
      <w:r>
        <w:rPr>
          <w:spacing w:val="6"/>
        </w:rPr>
        <w:t xml:space="preserve"> </w:t>
      </w:r>
      <w:r>
        <w:rPr>
          <w:spacing w:val="-4"/>
        </w:rPr>
        <w:t>和设备有关，而且确定了硬件、任务与保障性参数之间的定量关</w:t>
      </w:r>
      <w:r>
        <w:rPr>
          <w:spacing w:val="-5"/>
        </w:rPr>
        <w:t>系)。</w:t>
      </w:r>
    </w:p>
    <w:p w14:paraId="20879A0D">
      <w:pPr>
        <w:spacing w:before="1" w:line="220"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定量数据及详细说明</w:t>
      </w:r>
    </w:p>
    <w:p w14:paraId="3C8CF946">
      <w:pPr>
        <w:pStyle w:val="2"/>
        <w:spacing w:before="62" w:line="291" w:lineRule="auto"/>
        <w:ind w:right="123" w:firstLine="529"/>
      </w:pPr>
      <w:r>
        <w:rPr>
          <w:spacing w:val="-2"/>
        </w:rPr>
        <w:t>说明执行“确定保障性因素”得到的在制定</w:t>
      </w:r>
      <w:r>
        <w:rPr>
          <w:spacing w:val="-3"/>
        </w:rPr>
        <w:t>备选保障方案和进行保障性分析</w:t>
      </w:r>
      <w:r>
        <w:t xml:space="preserve"> </w:t>
      </w:r>
      <w:r>
        <w:rPr>
          <w:spacing w:val="3"/>
        </w:rPr>
        <w:t>中必须加以考虑的定量数据。这些数据一般包括：</w:t>
      </w:r>
    </w:p>
    <w:p w14:paraId="12F7A146">
      <w:pPr>
        <w:pStyle w:val="2"/>
        <w:spacing w:line="260" w:lineRule="auto"/>
        <w:ind w:firstLine="529"/>
      </w:pPr>
      <w:r>
        <w:rPr>
          <w:rFonts w:ascii="Times New Roman" w:hAnsi="Times New Roman" w:eastAsia="Times New Roman" w:cs="Times New Roman"/>
          <w:spacing w:val="3"/>
        </w:rPr>
        <w:t xml:space="preserve">a)  </w:t>
      </w:r>
      <w:r>
        <w:rPr>
          <w:spacing w:val="3"/>
        </w:rPr>
        <w:t>使用要求，包括每个单位时间内任务次数、任务的持续时间(使</w:t>
      </w:r>
      <w:r>
        <w:rPr>
          <w:spacing w:val="2"/>
        </w:rPr>
        <w:t>用天数、</w:t>
      </w:r>
      <w:r>
        <w:t xml:space="preserve"> </w:t>
      </w:r>
      <w:r>
        <w:rPr>
          <w:spacing w:val="-7"/>
        </w:rPr>
        <w:t>使用里程、作用小时、发射次数、飞行次数)</w:t>
      </w:r>
      <w:r>
        <w:rPr>
          <w:spacing w:val="-8"/>
        </w:rPr>
        <w:t>或每单位时间的循环次数等。</w:t>
      </w:r>
    </w:p>
    <w:p w14:paraId="12C955D8">
      <w:pPr>
        <w:pStyle w:val="2"/>
        <w:spacing w:before="79" w:line="212" w:lineRule="auto"/>
        <w:ind w:left="529"/>
      </w:pPr>
      <w:r>
        <w:rPr>
          <w:rFonts w:ascii="Times New Roman" w:hAnsi="Times New Roman" w:eastAsia="Times New Roman" w:cs="Times New Roman"/>
          <w:spacing w:val="3"/>
        </w:rPr>
        <w:t xml:space="preserve">b)  </w:t>
      </w:r>
      <w:r>
        <w:rPr>
          <w:spacing w:val="3"/>
        </w:rPr>
        <w:t>需保障的系统数目。</w:t>
      </w:r>
    </w:p>
    <w:p w14:paraId="14F8B955">
      <w:pPr>
        <w:pStyle w:val="2"/>
        <w:spacing w:before="90" w:line="212" w:lineRule="auto"/>
        <w:ind w:left="529"/>
      </w:pPr>
      <w:r>
        <w:rPr>
          <w:rFonts w:ascii="Times New Roman" w:hAnsi="Times New Roman" w:eastAsia="Times New Roman" w:cs="Times New Roman"/>
          <w:spacing w:val="-12"/>
        </w:rPr>
        <w:t xml:space="preserve">c)  </w:t>
      </w:r>
      <w:r>
        <w:rPr>
          <w:spacing w:val="-12"/>
        </w:rPr>
        <w:t>运输因素(方式、类型、运输数量、目的地、运输时间及日程)。</w:t>
      </w:r>
    </w:p>
    <w:p w14:paraId="1EEE6EEB">
      <w:pPr>
        <w:pStyle w:val="2"/>
        <w:spacing w:before="110" w:line="212" w:lineRule="auto"/>
        <w:ind w:left="529"/>
      </w:pPr>
      <w:r>
        <w:rPr>
          <w:rFonts w:ascii="Times New Roman" w:hAnsi="Times New Roman" w:eastAsia="Times New Roman" w:cs="Times New Roman"/>
          <w:spacing w:val="4"/>
        </w:rPr>
        <w:t xml:space="preserve">d)  </w:t>
      </w:r>
      <w:r>
        <w:rPr>
          <w:spacing w:val="4"/>
        </w:rPr>
        <w:t>各种维修级别允许的维修期限。</w:t>
      </w:r>
    </w:p>
    <w:p w14:paraId="22969FF8">
      <w:pPr>
        <w:pStyle w:val="2"/>
        <w:spacing w:before="120" w:line="212" w:lineRule="auto"/>
        <w:ind w:left="529"/>
      </w:pPr>
      <w:r>
        <w:rPr>
          <w:rFonts w:ascii="Times New Roman" w:hAnsi="Times New Roman" w:eastAsia="Times New Roman" w:cs="Times New Roman"/>
          <w:spacing w:val="-4"/>
        </w:rPr>
        <w:t xml:space="preserve">e)  </w:t>
      </w:r>
      <w:r>
        <w:rPr>
          <w:spacing w:val="-4"/>
        </w:rPr>
        <w:t>环境要求，包括对危险物资、有害废料和环境</w:t>
      </w:r>
      <w:r>
        <w:rPr>
          <w:spacing w:val="-5"/>
        </w:rPr>
        <w:t>污染物等的考虑。</w:t>
      </w:r>
    </w:p>
    <w:p w14:paraId="159C8963">
      <w:pPr>
        <w:pStyle w:val="2"/>
        <w:spacing w:before="109" w:line="257" w:lineRule="auto"/>
        <w:ind w:right="128" w:firstLine="529"/>
      </w:pPr>
      <w:r>
        <w:rPr>
          <w:rFonts w:ascii="Times New Roman" w:hAnsi="Times New Roman" w:eastAsia="Times New Roman" w:cs="Times New Roman"/>
          <w:spacing w:val="4"/>
        </w:rPr>
        <w:t xml:space="preserve">f)  </w:t>
      </w:r>
      <w:r>
        <w:rPr>
          <w:spacing w:val="4"/>
        </w:rPr>
        <w:t>有效地满足新研系统和设备保障要求的使用人员、维修人员与保障人员</w:t>
      </w:r>
      <w:r>
        <w:t xml:space="preserve"> </w:t>
      </w:r>
      <w:r>
        <w:rPr>
          <w:spacing w:val="-3"/>
        </w:rPr>
        <w:t>的数量。</w:t>
      </w:r>
    </w:p>
    <w:p w14:paraId="204AFCAD">
      <w:pPr>
        <w:spacing w:before="104" w:line="222" w:lineRule="auto"/>
        <w:rPr>
          <w:rFonts w:ascii="黑体" w:hAnsi="黑体" w:eastAsia="黑体" w:cs="黑体"/>
          <w:sz w:val="27"/>
          <w:szCs w:val="27"/>
        </w:rPr>
      </w:pPr>
      <w:r>
        <w:rPr>
          <w:rFonts w:ascii="黑体" w:hAnsi="黑体" w:eastAsia="黑体" w:cs="黑体"/>
          <w:spacing w:val="-5"/>
          <w:sz w:val="27"/>
          <w:szCs w:val="27"/>
        </w:rPr>
        <w:t>5</w:t>
      </w:r>
      <w:r>
        <w:rPr>
          <w:rFonts w:ascii="黑体" w:hAnsi="黑体" w:eastAsia="黑体" w:cs="黑体"/>
          <w:spacing w:val="11"/>
          <w:sz w:val="27"/>
          <w:szCs w:val="27"/>
        </w:rPr>
        <w:t xml:space="preserve">  </w:t>
      </w:r>
      <w:r>
        <w:rPr>
          <w:rFonts w:ascii="黑体" w:hAnsi="黑体" w:eastAsia="黑体" w:cs="黑体"/>
          <w:b/>
          <w:bCs/>
          <w:spacing w:val="-5"/>
          <w:sz w:val="27"/>
          <w:szCs w:val="27"/>
        </w:rPr>
        <w:t>现场调研</w:t>
      </w:r>
    </w:p>
    <w:p w14:paraId="5A1FC821">
      <w:pPr>
        <w:spacing w:before="135" w:line="222" w:lineRule="auto"/>
        <w:rPr>
          <w:rFonts w:ascii="黑体" w:hAnsi="黑体" w:eastAsia="黑体" w:cs="黑体"/>
          <w:sz w:val="24"/>
          <w:szCs w:val="24"/>
        </w:rPr>
      </w:pPr>
      <w:r>
        <w:rPr>
          <w:rFonts w:ascii="黑体" w:hAnsi="黑体" w:eastAsia="黑体" w:cs="黑体"/>
          <w:spacing w:val="25"/>
          <w:sz w:val="24"/>
          <w:szCs w:val="24"/>
        </w:rPr>
        <w:t>5.1</w:t>
      </w:r>
      <w:r>
        <w:rPr>
          <w:rFonts w:ascii="黑体" w:hAnsi="黑体" w:eastAsia="黑体" w:cs="黑体"/>
          <w:spacing w:val="58"/>
          <w:sz w:val="24"/>
          <w:szCs w:val="24"/>
        </w:rPr>
        <w:t xml:space="preserve">  </w:t>
      </w:r>
      <w:r>
        <w:rPr>
          <w:rFonts w:ascii="黑体" w:hAnsi="黑体" w:eastAsia="黑体" w:cs="黑体"/>
          <w:b/>
          <w:bCs/>
          <w:spacing w:val="25"/>
          <w:sz w:val="24"/>
          <w:szCs w:val="24"/>
        </w:rPr>
        <w:t>拟进行现场调研的单位</w:t>
      </w:r>
    </w:p>
    <w:p w14:paraId="38145832">
      <w:pPr>
        <w:pStyle w:val="2"/>
        <w:spacing w:before="106" w:line="219" w:lineRule="auto"/>
        <w:ind w:left="529"/>
      </w:pPr>
      <w:r>
        <w:rPr>
          <w:spacing w:val="3"/>
        </w:rPr>
        <w:t>列出拟进行现场调研的使用单位和保障部门。</w:t>
      </w:r>
    </w:p>
    <w:p w14:paraId="58AC1AC1">
      <w:pPr>
        <w:spacing w:line="219" w:lineRule="auto"/>
        <w:sectPr>
          <w:footerReference r:id="rId513" w:type="default"/>
          <w:pgSz w:w="11910" w:h="17130"/>
          <w:pgMar w:top="400" w:right="1415" w:bottom="1646" w:left="1009" w:header="0" w:footer="1457" w:gutter="0"/>
          <w:cols w:space="720" w:num="1"/>
        </w:sectPr>
      </w:pPr>
    </w:p>
    <w:p w14:paraId="43F9D3FA">
      <w:pPr>
        <w:spacing w:line="285" w:lineRule="auto"/>
        <w:rPr>
          <w:rFonts w:ascii="Arial"/>
          <w:sz w:val="21"/>
        </w:rPr>
      </w:pPr>
    </w:p>
    <w:p w14:paraId="180B04F7">
      <w:pPr>
        <w:spacing w:line="285" w:lineRule="auto"/>
        <w:rPr>
          <w:rFonts w:ascii="Arial"/>
          <w:sz w:val="21"/>
        </w:rPr>
      </w:pPr>
    </w:p>
    <w:p w14:paraId="4467BDC7">
      <w:pPr>
        <w:spacing w:line="285" w:lineRule="auto"/>
        <w:rPr>
          <w:rFonts w:ascii="Arial"/>
          <w:sz w:val="21"/>
        </w:rPr>
      </w:pPr>
    </w:p>
    <w:p w14:paraId="030123D8">
      <w:pPr>
        <w:spacing w:line="285" w:lineRule="auto"/>
        <w:rPr>
          <w:rFonts w:ascii="Arial"/>
          <w:sz w:val="21"/>
        </w:rPr>
      </w:pPr>
    </w:p>
    <w:p w14:paraId="0C8A15E3">
      <w:pPr>
        <w:spacing w:before="88" w:line="222" w:lineRule="auto"/>
        <w:rPr>
          <w:rFonts w:ascii="黑体" w:hAnsi="黑体" w:eastAsia="黑体" w:cs="黑体"/>
          <w:sz w:val="27"/>
          <w:szCs w:val="27"/>
        </w:rPr>
      </w:pPr>
      <w:r>
        <w:rPr>
          <w:rFonts w:ascii="黑体" w:hAnsi="黑体" w:eastAsia="黑体" w:cs="黑体"/>
          <w:sz w:val="27"/>
          <w:szCs w:val="27"/>
        </w:rPr>
        <w:t>5.2</w:t>
      </w:r>
      <w:r>
        <w:rPr>
          <w:rFonts w:ascii="黑体" w:hAnsi="黑体" w:eastAsia="黑体" w:cs="黑体"/>
          <w:spacing w:val="27"/>
          <w:sz w:val="27"/>
          <w:szCs w:val="27"/>
        </w:rPr>
        <w:t xml:space="preserve">  </w:t>
      </w:r>
      <w:r>
        <w:rPr>
          <w:rFonts w:ascii="黑体" w:hAnsi="黑体" w:eastAsia="黑体" w:cs="黑体"/>
          <w:b/>
          <w:bCs/>
          <w:sz w:val="27"/>
          <w:szCs w:val="27"/>
        </w:rPr>
        <w:t>拟进行现场调研的内容</w:t>
      </w:r>
    </w:p>
    <w:p w14:paraId="556F4B85">
      <w:pPr>
        <w:pStyle w:val="2"/>
        <w:spacing w:before="89" w:line="219" w:lineRule="auto"/>
        <w:ind w:left="560"/>
      </w:pPr>
      <w:r>
        <w:rPr>
          <w:spacing w:val="4"/>
        </w:rPr>
        <w:t>逐条详细列出拟进行现场调研的具体内容。</w:t>
      </w:r>
    </w:p>
    <w:p w14:paraId="4CC16CA3">
      <w:pPr>
        <w:spacing w:before="105" w:line="222" w:lineRule="auto"/>
        <w:rPr>
          <w:rFonts w:ascii="黑体" w:hAnsi="黑体" w:eastAsia="黑体" w:cs="黑体"/>
          <w:sz w:val="25"/>
          <w:szCs w:val="25"/>
        </w:rPr>
      </w:pPr>
      <w:r>
        <w:rPr>
          <w:rFonts w:ascii="黑体" w:hAnsi="黑体" w:eastAsia="黑体" w:cs="黑体"/>
          <w:spacing w:val="11"/>
          <w:sz w:val="25"/>
          <w:szCs w:val="25"/>
        </w:rPr>
        <w:t>5.3</w:t>
      </w:r>
      <w:r>
        <w:rPr>
          <w:rFonts w:ascii="黑体" w:hAnsi="黑体" w:eastAsia="黑体" w:cs="黑体"/>
          <w:spacing w:val="46"/>
          <w:sz w:val="25"/>
          <w:szCs w:val="25"/>
        </w:rPr>
        <w:t xml:space="preserve">  </w:t>
      </w:r>
      <w:r>
        <w:rPr>
          <w:rFonts w:ascii="黑体" w:hAnsi="黑体" w:eastAsia="黑体" w:cs="黑体"/>
          <w:b/>
          <w:bCs/>
          <w:spacing w:val="11"/>
          <w:sz w:val="25"/>
          <w:szCs w:val="25"/>
        </w:rPr>
        <w:t>调研情况</w:t>
      </w:r>
    </w:p>
    <w:p w14:paraId="3170CA55">
      <w:pPr>
        <w:pStyle w:val="2"/>
        <w:spacing w:before="92" w:line="282" w:lineRule="auto"/>
        <w:ind w:right="102" w:firstLine="560"/>
      </w:pPr>
      <w:r>
        <w:rPr>
          <w:spacing w:val="6"/>
        </w:rPr>
        <w:t>根据执行上述条款的过程中得到的资料，编写使</w:t>
      </w:r>
      <w:r>
        <w:rPr>
          <w:spacing w:val="5"/>
        </w:rPr>
        <w:t>用研究报告。当得到有关</w:t>
      </w:r>
      <w:r>
        <w:t xml:space="preserve"> 系统和设备预定用途的更为详细的资料时，修改使用研究报告的内容。</w:t>
      </w:r>
    </w:p>
    <w:p w14:paraId="126C50A5">
      <w:pPr>
        <w:pStyle w:val="2"/>
        <w:spacing w:before="337" w:line="219" w:lineRule="auto"/>
        <w:ind w:left="1870"/>
        <w:outlineLvl w:val="1"/>
        <w:rPr>
          <w:sz w:val="36"/>
          <w:szCs w:val="36"/>
        </w:rPr>
      </w:pPr>
      <w:r>
        <w:rPr>
          <w:rFonts w:ascii="Times New Roman" w:hAnsi="Times New Roman" w:eastAsia="Times New Roman" w:cs="Times New Roman"/>
          <w:b/>
          <w:bCs/>
          <w:spacing w:val="-6"/>
          <w:sz w:val="36"/>
          <w:szCs w:val="36"/>
        </w:rPr>
        <w:t xml:space="preserve">10.9     </w:t>
      </w:r>
      <w:r>
        <w:rPr>
          <w:b/>
          <w:bCs/>
          <w:spacing w:val="-6"/>
          <w:sz w:val="36"/>
          <w:szCs w:val="36"/>
        </w:rPr>
        <w:t>硬件、软件和保障系统标准化</w:t>
      </w:r>
    </w:p>
    <w:p w14:paraId="2C2C2FFE">
      <w:pPr>
        <w:spacing w:line="319" w:lineRule="auto"/>
        <w:rPr>
          <w:rFonts w:ascii="Arial"/>
          <w:sz w:val="21"/>
        </w:rPr>
      </w:pPr>
    </w:p>
    <w:p w14:paraId="2B0C357C">
      <w:pPr>
        <w:pStyle w:val="2"/>
        <w:spacing w:before="91" w:line="226" w:lineRule="auto"/>
        <w:ind w:left="560"/>
        <w:rPr>
          <w:rFonts w:ascii="楷体" w:hAnsi="楷体" w:eastAsia="楷体" w:cs="楷体"/>
          <w:sz w:val="28"/>
          <w:szCs w:val="28"/>
        </w:rPr>
      </w:pPr>
      <w:r>
        <w:rPr>
          <w:rFonts w:ascii="楷体" w:hAnsi="楷体" w:eastAsia="楷体" w:cs="楷体"/>
          <w:spacing w:val="-12"/>
          <w:sz w:val="28"/>
          <w:szCs w:val="28"/>
        </w:rPr>
        <w:t>按照</w:t>
      </w:r>
      <w:r>
        <w:rPr>
          <w:rFonts w:ascii="Times New Roman" w:hAnsi="Times New Roman" w:eastAsia="Times New Roman" w:cs="Times New Roman"/>
          <w:spacing w:val="-12"/>
          <w:sz w:val="28"/>
          <w:szCs w:val="28"/>
        </w:rPr>
        <w:t>GJB</w:t>
      </w:r>
      <w:r>
        <w:rPr>
          <w:rFonts w:ascii="Times New Roman" w:hAnsi="Times New Roman" w:eastAsia="Times New Roman" w:cs="Times New Roman"/>
          <w:spacing w:val="40"/>
          <w:sz w:val="28"/>
          <w:szCs w:val="28"/>
        </w:rPr>
        <w:t xml:space="preserve"> </w:t>
      </w:r>
      <w:r>
        <w:rPr>
          <w:rFonts w:ascii="Times New Roman" w:hAnsi="Times New Roman" w:eastAsia="Times New Roman" w:cs="Times New Roman"/>
          <w:spacing w:val="-12"/>
          <w:sz w:val="28"/>
          <w:szCs w:val="28"/>
        </w:rPr>
        <w:t>1371—1992</w:t>
      </w:r>
      <w:r>
        <w:rPr>
          <w:spacing w:val="-12"/>
          <w:sz w:val="28"/>
          <w:szCs w:val="28"/>
        </w:rPr>
        <w:t>《</w:t>
      </w:r>
      <w:r>
        <w:rPr>
          <w:rFonts w:ascii="楷体" w:hAnsi="楷体" w:eastAsia="楷体" w:cs="楷体"/>
          <w:spacing w:val="-12"/>
          <w:sz w:val="28"/>
          <w:szCs w:val="28"/>
        </w:rPr>
        <w:t>装备保障性分析》编写。</w:t>
      </w:r>
    </w:p>
    <w:p w14:paraId="548C37B5">
      <w:pPr>
        <w:spacing w:before="86"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0DC471BF">
      <w:pPr>
        <w:spacing w:before="8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1C579B49">
      <w:pPr>
        <w:spacing w:before="84" w:line="221"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21"/>
          <w:sz w:val="27"/>
          <w:szCs w:val="27"/>
        </w:rPr>
        <w:t xml:space="preserve">  </w:t>
      </w:r>
      <w:r>
        <w:rPr>
          <w:rFonts w:ascii="黑体" w:hAnsi="黑体" w:eastAsia="黑体" w:cs="黑体"/>
          <w:b/>
          <w:bCs/>
          <w:spacing w:val="-3"/>
          <w:sz w:val="27"/>
          <w:szCs w:val="27"/>
        </w:rPr>
        <w:t>确定保障资源</w:t>
      </w:r>
    </w:p>
    <w:p w14:paraId="67BE09DA">
      <w:pPr>
        <w:pStyle w:val="2"/>
        <w:spacing w:before="81" w:line="280" w:lineRule="auto"/>
        <w:ind w:right="94" w:firstLine="560"/>
      </w:pPr>
      <w:r>
        <w:rPr>
          <w:spacing w:val="6"/>
        </w:rPr>
        <w:t>确定有利于所研究的每一备选方案的现有和计划的保障资源。确定</w:t>
      </w:r>
      <w:r>
        <w:rPr>
          <w:spacing w:val="5"/>
        </w:rPr>
        <w:t>保障资</w:t>
      </w:r>
      <w:r>
        <w:t xml:space="preserve"> </w:t>
      </w:r>
      <w:r>
        <w:rPr>
          <w:spacing w:val="-5"/>
        </w:rPr>
        <w:t>源时，应考虑所有的综合保障要素。</w:t>
      </w:r>
    </w:p>
    <w:p w14:paraId="5285AD5E">
      <w:pPr>
        <w:spacing w:line="223"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7"/>
          <w:sz w:val="27"/>
          <w:szCs w:val="27"/>
        </w:rPr>
        <w:t xml:space="preserve">  </w:t>
      </w:r>
      <w:r>
        <w:rPr>
          <w:rFonts w:ascii="黑体" w:hAnsi="黑体" w:eastAsia="黑体" w:cs="黑体"/>
          <w:b/>
          <w:bCs/>
          <w:spacing w:val="1"/>
          <w:sz w:val="27"/>
          <w:szCs w:val="27"/>
        </w:rPr>
        <w:t>定量保障性</w:t>
      </w:r>
    </w:p>
    <w:p w14:paraId="58A96CA0">
      <w:pPr>
        <w:pStyle w:val="2"/>
        <w:spacing w:before="86" w:line="276" w:lineRule="auto"/>
        <w:ind w:right="102" w:firstLine="560"/>
      </w:pPr>
      <w:r>
        <w:rPr>
          <w:spacing w:val="-3"/>
        </w:rPr>
        <w:t>对由于费用、人员数量与技术等级、战备完好性或保障政策与收益方面会成</w:t>
      </w:r>
      <w:r>
        <w:rPr>
          <w:spacing w:val="10"/>
        </w:rPr>
        <w:t xml:space="preserve"> </w:t>
      </w:r>
      <w:r>
        <w:t>为系统和设备研制约束的保障资源项目，用定量的参数确定其保障性。</w:t>
      </w:r>
    </w:p>
    <w:p w14:paraId="26D4504C">
      <w:pPr>
        <w:spacing w:before="8" w:line="222"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4"/>
          <w:sz w:val="27"/>
          <w:szCs w:val="27"/>
        </w:rPr>
        <w:t xml:space="preserve">   </w:t>
      </w:r>
      <w:r>
        <w:rPr>
          <w:rFonts w:ascii="黑体" w:hAnsi="黑体" w:eastAsia="黑体" w:cs="黑体"/>
          <w:b/>
          <w:bCs/>
          <w:spacing w:val="1"/>
          <w:sz w:val="27"/>
          <w:szCs w:val="27"/>
        </w:rPr>
        <w:t>有关保障性的设计约束</w:t>
      </w:r>
    </w:p>
    <w:p w14:paraId="33BA18AB">
      <w:pPr>
        <w:pStyle w:val="2"/>
        <w:spacing w:before="89" w:line="276" w:lineRule="auto"/>
        <w:ind w:right="103" w:firstLine="560"/>
      </w:pPr>
      <w:r>
        <w:rPr>
          <w:spacing w:val="6"/>
        </w:rPr>
        <w:t>根据对保障方面的标准化考虑，明确新研系统</w:t>
      </w:r>
      <w:r>
        <w:rPr>
          <w:spacing w:val="5"/>
        </w:rPr>
        <w:t>和设备的有关保障性的设计</w:t>
      </w:r>
      <w:r>
        <w:t xml:space="preserve"> </w:t>
      </w:r>
      <w:r>
        <w:rPr>
          <w:spacing w:val="-2"/>
        </w:rPr>
        <w:t>约束。</w:t>
      </w:r>
    </w:p>
    <w:p w14:paraId="42F04743">
      <w:pPr>
        <w:spacing w:before="1" w:line="221"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20"/>
          <w:sz w:val="27"/>
          <w:szCs w:val="27"/>
        </w:rPr>
        <w:t xml:space="preserve">  </w:t>
      </w:r>
      <w:r>
        <w:rPr>
          <w:rFonts w:ascii="黑体" w:hAnsi="黑体" w:eastAsia="黑体" w:cs="黑体"/>
          <w:b/>
          <w:bCs/>
          <w:sz w:val="27"/>
          <w:szCs w:val="27"/>
        </w:rPr>
        <w:t>由标准化确定的特性</w:t>
      </w:r>
    </w:p>
    <w:p w14:paraId="406F3319">
      <w:pPr>
        <w:pStyle w:val="2"/>
        <w:spacing w:before="90" w:line="275" w:lineRule="auto"/>
        <w:ind w:firstLine="560"/>
      </w:pPr>
      <w:r>
        <w:rPr>
          <w:spacing w:val="9"/>
        </w:rPr>
        <w:t>由系统和设备硬件及软件标准化确定的保障性、费用和战备完好</w:t>
      </w:r>
      <w:r>
        <w:rPr>
          <w:spacing w:val="8"/>
        </w:rPr>
        <w:t>性特性。</w:t>
      </w:r>
      <w:r>
        <w:t xml:space="preserve"> </w:t>
      </w:r>
      <w:r>
        <w:rPr>
          <w:spacing w:val="5"/>
        </w:rPr>
        <w:t>所输入信息的层次应与系统和设备采用的硬件及软件标准化层次相一致。</w:t>
      </w:r>
    </w:p>
    <w:p w14:paraId="293C5D88">
      <w:pPr>
        <w:spacing w:before="2" w:line="220"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23"/>
          <w:sz w:val="27"/>
          <w:szCs w:val="27"/>
        </w:rPr>
        <w:t xml:space="preserve">   </w:t>
      </w:r>
      <w:r>
        <w:rPr>
          <w:rFonts w:ascii="黑体" w:hAnsi="黑体" w:eastAsia="黑体" w:cs="黑体"/>
          <w:b/>
          <w:bCs/>
          <w:spacing w:val="-1"/>
          <w:sz w:val="27"/>
          <w:szCs w:val="27"/>
        </w:rPr>
        <w:t>建议的标准化方法</w:t>
      </w:r>
    </w:p>
    <w:p w14:paraId="5B1D89E8">
      <w:pPr>
        <w:pStyle w:val="2"/>
        <w:spacing w:before="100" w:line="298" w:lineRule="auto"/>
        <w:ind w:right="104" w:firstLine="560"/>
        <w:rPr>
          <w:sz w:val="25"/>
          <w:szCs w:val="25"/>
        </w:rPr>
      </w:pPr>
      <w:r>
        <w:rPr>
          <w:spacing w:val="17"/>
          <w:sz w:val="25"/>
          <w:szCs w:val="25"/>
        </w:rPr>
        <w:t>由于费用、战备完好性或保障性的考虑，建议采用的系统和设备硬件及软件</w:t>
      </w:r>
      <w:r>
        <w:rPr>
          <w:spacing w:val="8"/>
          <w:sz w:val="25"/>
          <w:szCs w:val="25"/>
        </w:rPr>
        <w:t xml:space="preserve"> </w:t>
      </w:r>
      <w:r>
        <w:rPr>
          <w:spacing w:val="25"/>
          <w:sz w:val="25"/>
          <w:szCs w:val="25"/>
        </w:rPr>
        <w:t>标准化的方法。执行标准化工作的层次应与设计</w:t>
      </w:r>
      <w:r>
        <w:rPr>
          <w:spacing w:val="24"/>
          <w:sz w:val="25"/>
          <w:szCs w:val="25"/>
        </w:rPr>
        <w:t>的进度相一致。</w:t>
      </w:r>
    </w:p>
    <w:p w14:paraId="65B72E6F">
      <w:pPr>
        <w:spacing w:before="1" w:line="221" w:lineRule="auto"/>
        <w:outlineLvl w:val="3"/>
        <w:rPr>
          <w:rFonts w:ascii="黑体" w:hAnsi="黑体" w:eastAsia="黑体" w:cs="黑体"/>
          <w:sz w:val="27"/>
          <w:szCs w:val="27"/>
        </w:rPr>
      </w:pPr>
      <w:r>
        <w:rPr>
          <w:rFonts w:ascii="Arial" w:hAnsi="Arial" w:eastAsia="Arial" w:cs="Arial"/>
          <w:b/>
          <w:bCs/>
          <w:spacing w:val="1"/>
          <w:sz w:val="27"/>
          <w:szCs w:val="27"/>
        </w:rPr>
        <w:t>8</w:t>
      </w:r>
      <w:r>
        <w:rPr>
          <w:rFonts w:ascii="Arial" w:hAnsi="Arial" w:eastAsia="Arial" w:cs="Arial"/>
          <w:b/>
          <w:bCs/>
          <w:spacing w:val="25"/>
          <w:sz w:val="27"/>
          <w:szCs w:val="27"/>
        </w:rPr>
        <w:t xml:space="preserve">   </w:t>
      </w:r>
      <w:r>
        <w:rPr>
          <w:rFonts w:ascii="黑体" w:hAnsi="黑体" w:eastAsia="黑体" w:cs="黑体"/>
          <w:b/>
          <w:bCs/>
          <w:spacing w:val="1"/>
          <w:sz w:val="27"/>
          <w:szCs w:val="27"/>
        </w:rPr>
        <w:t>每项约束的风险分析</w:t>
      </w:r>
    </w:p>
    <w:p w14:paraId="4EC22862">
      <w:pPr>
        <w:pStyle w:val="2"/>
        <w:spacing w:before="101" w:line="219" w:lineRule="auto"/>
        <w:ind w:left="560"/>
      </w:pPr>
      <w:r>
        <w:rPr>
          <w:spacing w:val="2"/>
        </w:rPr>
        <w:t>确定与每项约束有关的风险。</w:t>
      </w:r>
    </w:p>
    <w:p w14:paraId="094E4D98">
      <w:pPr>
        <w:spacing w:line="340" w:lineRule="auto"/>
        <w:rPr>
          <w:rFonts w:ascii="Arial"/>
          <w:sz w:val="21"/>
        </w:rPr>
      </w:pPr>
    </w:p>
    <w:p w14:paraId="17DC42D9">
      <w:pPr>
        <w:pStyle w:val="2"/>
        <w:spacing w:before="118" w:line="220" w:lineRule="auto"/>
        <w:ind w:left="3160"/>
        <w:outlineLvl w:val="1"/>
        <w:rPr>
          <w:sz w:val="36"/>
          <w:szCs w:val="36"/>
        </w:rPr>
      </w:pPr>
      <w:r>
        <w:rPr>
          <w:rFonts w:ascii="Times New Roman" w:hAnsi="Times New Roman" w:eastAsia="Times New Roman" w:cs="Times New Roman"/>
          <w:b/>
          <w:bCs/>
          <w:spacing w:val="-13"/>
          <w:sz w:val="36"/>
          <w:szCs w:val="36"/>
        </w:rPr>
        <w:t>10.10</w:t>
      </w:r>
      <w:r>
        <w:rPr>
          <w:rFonts w:ascii="Times New Roman" w:hAnsi="Times New Roman" w:eastAsia="Times New Roman" w:cs="Times New Roman"/>
          <w:b/>
          <w:bCs/>
          <w:spacing w:val="7"/>
          <w:sz w:val="36"/>
          <w:szCs w:val="36"/>
        </w:rPr>
        <w:t xml:space="preserve">     </w:t>
      </w:r>
      <w:r>
        <w:rPr>
          <w:b/>
          <w:bCs/>
          <w:spacing w:val="-13"/>
          <w:sz w:val="36"/>
          <w:szCs w:val="36"/>
        </w:rPr>
        <w:t>比</w:t>
      </w:r>
      <w:r>
        <w:rPr>
          <w:spacing w:val="-13"/>
          <w:sz w:val="36"/>
          <w:szCs w:val="36"/>
        </w:rPr>
        <w:t xml:space="preserve"> </w:t>
      </w:r>
      <w:r>
        <w:rPr>
          <w:b/>
          <w:bCs/>
          <w:spacing w:val="-13"/>
          <w:sz w:val="36"/>
          <w:szCs w:val="36"/>
        </w:rPr>
        <w:t>较</w:t>
      </w:r>
      <w:r>
        <w:rPr>
          <w:spacing w:val="-13"/>
          <w:sz w:val="36"/>
          <w:szCs w:val="36"/>
        </w:rPr>
        <w:t xml:space="preserve"> </w:t>
      </w:r>
      <w:r>
        <w:rPr>
          <w:b/>
          <w:bCs/>
          <w:spacing w:val="-13"/>
          <w:sz w:val="36"/>
          <w:szCs w:val="36"/>
        </w:rPr>
        <w:t>分</w:t>
      </w:r>
      <w:r>
        <w:rPr>
          <w:spacing w:val="-13"/>
          <w:sz w:val="36"/>
          <w:szCs w:val="36"/>
        </w:rPr>
        <w:t xml:space="preserve"> </w:t>
      </w:r>
      <w:r>
        <w:rPr>
          <w:b/>
          <w:bCs/>
          <w:spacing w:val="-13"/>
          <w:sz w:val="36"/>
          <w:szCs w:val="36"/>
        </w:rPr>
        <w:t>析</w:t>
      </w:r>
    </w:p>
    <w:p w14:paraId="52FBB1AF">
      <w:pPr>
        <w:spacing w:line="367" w:lineRule="auto"/>
        <w:rPr>
          <w:rFonts w:ascii="Arial"/>
          <w:sz w:val="21"/>
        </w:rPr>
      </w:pPr>
    </w:p>
    <w:p w14:paraId="3A381AAA">
      <w:pPr>
        <w:pStyle w:val="2"/>
        <w:spacing w:before="78" w:line="226" w:lineRule="auto"/>
        <w:ind w:left="560"/>
        <w:rPr>
          <w:rFonts w:ascii="楷体" w:hAnsi="楷体" w:eastAsia="楷体" w:cs="楷体"/>
          <w:sz w:val="24"/>
          <w:szCs w:val="24"/>
        </w:rPr>
      </w:pPr>
      <w:r>
        <w:rPr>
          <w:rFonts w:ascii="楷体" w:hAnsi="楷体" w:eastAsia="楷体" w:cs="楷体"/>
          <w:spacing w:val="7"/>
          <w:sz w:val="24"/>
          <w:szCs w:val="24"/>
        </w:rPr>
        <w:t>按</w:t>
      </w:r>
      <w:r>
        <w:rPr>
          <w:rFonts w:ascii="楷体" w:hAnsi="楷体" w:eastAsia="楷体" w:cs="楷体"/>
          <w:spacing w:val="-23"/>
          <w:sz w:val="24"/>
          <w:szCs w:val="24"/>
        </w:rPr>
        <w:t xml:space="preserve"> </w:t>
      </w:r>
      <w:r>
        <w:rPr>
          <w:rFonts w:ascii="楷体" w:hAnsi="楷体" w:eastAsia="楷体" w:cs="楷体"/>
          <w:spacing w:val="7"/>
          <w:sz w:val="24"/>
          <w:szCs w:val="24"/>
        </w:rPr>
        <w:t>照</w:t>
      </w:r>
      <w:r>
        <w:rPr>
          <w:rFonts w:ascii="Times New Roman" w:hAnsi="Times New Roman" w:eastAsia="Times New Roman" w:cs="Times New Roman"/>
          <w:sz w:val="24"/>
          <w:szCs w:val="24"/>
        </w:rPr>
        <w:t xml:space="preserve">GJB     </w:t>
      </w:r>
      <w:r>
        <w:rPr>
          <w:rFonts w:ascii="Times New Roman" w:hAnsi="Times New Roman" w:eastAsia="Times New Roman" w:cs="Times New Roman"/>
          <w:spacing w:val="7"/>
          <w:sz w:val="24"/>
          <w:szCs w:val="24"/>
        </w:rPr>
        <w:t>1371—1992</w:t>
      </w:r>
      <w:r>
        <w:rPr>
          <w:spacing w:val="7"/>
          <w:sz w:val="24"/>
          <w:szCs w:val="24"/>
        </w:rPr>
        <w:t>《</w:t>
      </w:r>
      <w:r>
        <w:rPr>
          <w:rFonts w:ascii="楷体" w:hAnsi="楷体" w:eastAsia="楷体" w:cs="楷体"/>
          <w:spacing w:val="7"/>
          <w:sz w:val="24"/>
          <w:szCs w:val="24"/>
        </w:rPr>
        <w:t>装备保障性分析》编写。</w:t>
      </w:r>
    </w:p>
    <w:p w14:paraId="3BB69A78">
      <w:pPr>
        <w:spacing w:before="87"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0D8F76B7">
      <w:pPr>
        <w:spacing w:before="101" w:line="222" w:lineRule="auto"/>
        <w:rPr>
          <w:rFonts w:ascii="黑体" w:hAnsi="黑体" w:eastAsia="黑体" w:cs="黑体"/>
          <w:sz w:val="25"/>
          <w:szCs w:val="25"/>
        </w:rPr>
      </w:pPr>
      <w:r>
        <w:rPr>
          <w:rFonts w:ascii="黑体" w:hAnsi="黑体" w:eastAsia="黑体" w:cs="黑体"/>
          <w:spacing w:val="13"/>
          <w:sz w:val="25"/>
          <w:szCs w:val="25"/>
        </w:rPr>
        <w:t>2</w:t>
      </w:r>
      <w:r>
        <w:rPr>
          <w:rFonts w:ascii="黑体" w:hAnsi="黑体" w:eastAsia="黑体" w:cs="黑体"/>
          <w:spacing w:val="33"/>
          <w:sz w:val="25"/>
          <w:szCs w:val="25"/>
        </w:rPr>
        <w:t xml:space="preserve">  </w:t>
      </w:r>
      <w:r>
        <w:rPr>
          <w:rFonts w:ascii="黑体" w:hAnsi="黑体" w:eastAsia="黑体" w:cs="黑体"/>
          <w:b/>
          <w:bCs/>
          <w:spacing w:val="13"/>
          <w:sz w:val="25"/>
          <w:szCs w:val="25"/>
        </w:rPr>
        <w:t>引用文件</w:t>
      </w:r>
    </w:p>
    <w:p w14:paraId="5320EDA6">
      <w:pPr>
        <w:spacing w:line="222" w:lineRule="auto"/>
        <w:rPr>
          <w:rFonts w:ascii="黑体" w:hAnsi="黑体" w:eastAsia="黑体" w:cs="黑体"/>
          <w:sz w:val="25"/>
          <w:szCs w:val="25"/>
        </w:rPr>
        <w:sectPr>
          <w:footerReference r:id="rId514" w:type="default"/>
          <w:pgSz w:w="11910" w:h="17130"/>
          <w:pgMar w:top="400" w:right="924" w:bottom="1570" w:left="1499" w:header="0" w:footer="1284" w:gutter="0"/>
          <w:cols w:space="720" w:num="1"/>
        </w:sectPr>
      </w:pPr>
    </w:p>
    <w:p w14:paraId="3335EE00">
      <w:pPr>
        <w:spacing w:line="270" w:lineRule="auto"/>
        <w:rPr>
          <w:rFonts w:ascii="Arial"/>
          <w:sz w:val="21"/>
        </w:rPr>
      </w:pPr>
    </w:p>
    <w:p w14:paraId="4BE6E2CA">
      <w:pPr>
        <w:spacing w:line="270" w:lineRule="auto"/>
        <w:rPr>
          <w:rFonts w:ascii="Arial"/>
          <w:sz w:val="21"/>
        </w:rPr>
      </w:pPr>
    </w:p>
    <w:p w14:paraId="3F7E4DFE">
      <w:pPr>
        <w:spacing w:line="270" w:lineRule="auto"/>
        <w:rPr>
          <w:rFonts w:ascii="Arial"/>
          <w:sz w:val="21"/>
        </w:rPr>
      </w:pPr>
    </w:p>
    <w:p w14:paraId="713AF592">
      <w:pPr>
        <w:spacing w:line="270" w:lineRule="auto"/>
        <w:rPr>
          <w:rFonts w:ascii="Arial"/>
          <w:sz w:val="21"/>
        </w:rPr>
      </w:pPr>
    </w:p>
    <w:p w14:paraId="4CE1FF58">
      <w:pPr>
        <w:spacing w:before="88" w:line="221" w:lineRule="auto"/>
        <w:rPr>
          <w:rFonts w:ascii="黑体" w:hAnsi="黑体" w:eastAsia="黑体" w:cs="黑体"/>
          <w:sz w:val="27"/>
          <w:szCs w:val="27"/>
        </w:rPr>
      </w:pPr>
      <w:r>
        <w:rPr>
          <w:rFonts w:ascii="黑体" w:hAnsi="黑体" w:eastAsia="黑体" w:cs="黑体"/>
          <w:spacing w:val="2"/>
          <w:sz w:val="27"/>
          <w:szCs w:val="27"/>
        </w:rPr>
        <w:t xml:space="preserve">3  </w:t>
      </w:r>
      <w:r>
        <w:rPr>
          <w:rFonts w:ascii="黑体" w:hAnsi="黑体" w:eastAsia="黑体" w:cs="黑体"/>
          <w:b/>
          <w:bCs/>
          <w:spacing w:val="2"/>
          <w:sz w:val="27"/>
          <w:szCs w:val="27"/>
        </w:rPr>
        <w:t>选定比较系统</w:t>
      </w:r>
    </w:p>
    <w:p w14:paraId="4C1A1E6B">
      <w:pPr>
        <w:pStyle w:val="2"/>
        <w:spacing w:before="54" w:line="291" w:lineRule="auto"/>
        <w:ind w:right="113" w:firstLine="550"/>
        <w:jc w:val="both"/>
      </w:pPr>
      <w:r>
        <w:rPr>
          <w:spacing w:val="1"/>
        </w:rPr>
        <w:t>选定与系统和设备备选方案比较时有用的现有系统及分系统(硬件、使用与</w:t>
      </w:r>
      <w:r>
        <w:rPr>
          <w:spacing w:val="12"/>
        </w:rPr>
        <w:t xml:space="preserve"> </w:t>
      </w:r>
      <w:r>
        <w:rPr>
          <w:spacing w:val="1"/>
        </w:rPr>
        <w:t>保障方面)。当系统和设备备选方案在设计方案、使用方案或保障方案上与比较</w:t>
      </w:r>
      <w:r>
        <w:rPr>
          <w:spacing w:val="10"/>
        </w:rPr>
        <w:t xml:space="preserve"> </w:t>
      </w:r>
      <w:r>
        <w:rPr>
          <w:spacing w:val="6"/>
        </w:rPr>
        <w:t>系统有很大差异时，或者需要用不同的现有系</w:t>
      </w:r>
      <w:r>
        <w:rPr>
          <w:spacing w:val="5"/>
        </w:rPr>
        <w:t>统和设备来恰当比较各种有关的</w:t>
      </w:r>
      <w:r>
        <w:t xml:space="preserve"> </w:t>
      </w:r>
      <w:r>
        <w:rPr>
          <w:spacing w:val="-3"/>
        </w:rPr>
        <w:t>参数时，应用不同的现有系统和设备组成比较系统。</w:t>
      </w:r>
    </w:p>
    <w:p w14:paraId="7A31C0F2">
      <w:pPr>
        <w:spacing w:before="1" w:line="220"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选定基准比较系统</w:t>
      </w:r>
    </w:p>
    <w:p w14:paraId="5D240588">
      <w:pPr>
        <w:pStyle w:val="2"/>
        <w:spacing w:before="77" w:line="286" w:lineRule="auto"/>
        <w:ind w:firstLine="550"/>
        <w:jc w:val="both"/>
      </w:pPr>
      <w:r>
        <w:rPr>
          <w:spacing w:val="6"/>
        </w:rPr>
        <w:t>选定一个基准比较系统，用于比较分析和确定有显著差别的各种系统和设</w:t>
      </w:r>
      <w:r>
        <w:t xml:space="preserve"> </w:t>
      </w:r>
      <w:r>
        <w:rPr>
          <w:spacing w:val="6"/>
        </w:rPr>
        <w:t>备备选方案的保障性、费用及战备完好的主宰因</w:t>
      </w:r>
      <w:r>
        <w:rPr>
          <w:spacing w:val="5"/>
        </w:rPr>
        <w:t>素。如果将现有的不同系统和</w:t>
      </w:r>
      <w:r>
        <w:t xml:space="preserve"> </w:t>
      </w:r>
      <w:r>
        <w:rPr>
          <w:spacing w:val="-3"/>
        </w:rPr>
        <w:t>设备的组成部分组合成一体，最能代表系统和设备备选方案的设计特性、使用特</w:t>
      </w:r>
      <w:r>
        <w:rPr>
          <w:spacing w:val="6"/>
        </w:rPr>
        <w:t xml:space="preserve">  </w:t>
      </w:r>
      <w:r>
        <w:rPr>
          <w:spacing w:val="1"/>
        </w:rPr>
        <w:t>性及保障特性，就用这个合成体作为基准比较系统。为了比较不同的重要参</w:t>
      </w:r>
      <w:r>
        <w:t xml:space="preserve">数， </w:t>
      </w:r>
      <w:r>
        <w:rPr>
          <w:spacing w:val="6"/>
        </w:rPr>
        <w:t>宜采用不同的基准比较系统。应对以前选定的基准比较系统进行评估，以确定</w:t>
      </w:r>
      <w:r>
        <w:rPr>
          <w:spacing w:val="2"/>
        </w:rPr>
        <w:t xml:space="preserve"> </w:t>
      </w:r>
      <w:r>
        <w:rPr>
          <w:spacing w:val="3"/>
        </w:rPr>
        <w:t>其满足系统和设备需要的程度。</w:t>
      </w:r>
    </w:p>
    <w:p w14:paraId="7B21ED77">
      <w:pPr>
        <w:spacing w:before="10" w:line="221" w:lineRule="auto"/>
        <w:outlineLvl w:val="3"/>
        <w:rPr>
          <w:rFonts w:ascii="黑体" w:hAnsi="黑体" w:eastAsia="黑体" w:cs="黑体"/>
          <w:sz w:val="27"/>
          <w:szCs w:val="27"/>
        </w:rPr>
      </w:pPr>
      <w:r>
        <w:rPr>
          <w:rFonts w:ascii="Arial" w:hAnsi="Arial" w:eastAsia="Arial" w:cs="Arial"/>
          <w:b/>
          <w:bCs/>
          <w:spacing w:val="-2"/>
          <w:sz w:val="27"/>
          <w:szCs w:val="27"/>
        </w:rPr>
        <w:t xml:space="preserve">5    </w:t>
      </w:r>
      <w:r>
        <w:rPr>
          <w:rFonts w:ascii="黑体" w:hAnsi="黑体" w:eastAsia="黑体" w:cs="黑体"/>
          <w:b/>
          <w:bCs/>
          <w:spacing w:val="-2"/>
          <w:sz w:val="27"/>
          <w:szCs w:val="27"/>
        </w:rPr>
        <w:t>比较系统的相关数值</w:t>
      </w:r>
    </w:p>
    <w:p w14:paraId="7FFB240B">
      <w:pPr>
        <w:pStyle w:val="2"/>
        <w:spacing w:before="84" w:line="288" w:lineRule="auto"/>
        <w:ind w:right="102" w:firstLine="550"/>
        <w:jc w:val="both"/>
      </w:pPr>
      <w:r>
        <w:rPr>
          <w:spacing w:val="-2"/>
        </w:rPr>
        <w:t>确定各比较系统的使用与保障费用、保障资源</w:t>
      </w:r>
      <w:r>
        <w:rPr>
          <w:spacing w:val="-3"/>
        </w:rPr>
        <w:t>要求、可靠性、维修性及战备</w:t>
      </w:r>
      <w:r>
        <w:t xml:space="preserve"> </w:t>
      </w:r>
      <w:r>
        <w:rPr>
          <w:spacing w:val="6"/>
        </w:rPr>
        <w:t>完好性的数值。确定每个基准比较系统在系统和分系统一级的上述数值</w:t>
      </w:r>
      <w:r>
        <w:rPr>
          <w:spacing w:val="5"/>
        </w:rPr>
        <w:t>。适用</w:t>
      </w:r>
      <w:r>
        <w:t xml:space="preserve"> </w:t>
      </w:r>
      <w:r>
        <w:rPr>
          <w:spacing w:val="6"/>
        </w:rPr>
        <w:t>时根据比较系统的使用过程与新研系统和设备的使</w:t>
      </w:r>
      <w:r>
        <w:rPr>
          <w:spacing w:val="5"/>
        </w:rPr>
        <w:t>用过程之间的差异，调整以</w:t>
      </w:r>
      <w:r>
        <w:t xml:space="preserve"> 上各种数值。</w:t>
      </w:r>
    </w:p>
    <w:p w14:paraId="14A74209">
      <w:pPr>
        <w:spacing w:before="7" w:line="221" w:lineRule="auto"/>
        <w:outlineLvl w:val="3"/>
        <w:rPr>
          <w:rFonts w:ascii="黑体" w:hAnsi="黑体" w:eastAsia="黑体" w:cs="黑体"/>
          <w:sz w:val="27"/>
          <w:szCs w:val="27"/>
        </w:rPr>
      </w:pPr>
      <w:r>
        <w:rPr>
          <w:rFonts w:ascii="Arial" w:hAnsi="Arial" w:eastAsia="Arial" w:cs="Arial"/>
          <w:b/>
          <w:bCs/>
          <w:spacing w:val="-2"/>
          <w:sz w:val="27"/>
          <w:szCs w:val="27"/>
        </w:rPr>
        <w:t>6</w:t>
      </w:r>
      <w:r>
        <w:rPr>
          <w:rFonts w:ascii="Arial" w:hAnsi="Arial" w:eastAsia="Arial" w:cs="Arial"/>
          <w:b/>
          <w:bCs/>
          <w:spacing w:val="18"/>
          <w:w w:val="101"/>
          <w:sz w:val="27"/>
          <w:szCs w:val="27"/>
        </w:rPr>
        <w:t xml:space="preserve">   </w:t>
      </w:r>
      <w:r>
        <w:rPr>
          <w:rFonts w:ascii="黑体" w:hAnsi="黑体" w:eastAsia="黑体" w:cs="黑体"/>
          <w:b/>
          <w:bCs/>
          <w:spacing w:val="-2"/>
          <w:sz w:val="27"/>
          <w:szCs w:val="27"/>
        </w:rPr>
        <w:t>比较系统中存在的问题</w:t>
      </w:r>
    </w:p>
    <w:p w14:paraId="2DDC9996">
      <w:pPr>
        <w:pStyle w:val="2"/>
        <w:spacing w:before="113" w:line="285" w:lineRule="auto"/>
        <w:ind w:firstLine="550"/>
      </w:pPr>
      <w:r>
        <w:rPr>
          <w:spacing w:val="1"/>
        </w:rPr>
        <w:t>确定新研系统和设备上应防止的比较系统中存在的定性</w:t>
      </w:r>
      <w:r>
        <w:t xml:space="preserve">的环境、危害健康、 </w:t>
      </w:r>
      <w:r>
        <w:rPr>
          <w:spacing w:val="4"/>
        </w:rPr>
        <w:t>安全及保障性等问题。包括确定与比较系统有关的某些使用与维修工作。</w:t>
      </w:r>
    </w:p>
    <w:p w14:paraId="305395AC">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19"/>
          <w:w w:val="101"/>
          <w:sz w:val="27"/>
          <w:szCs w:val="27"/>
        </w:rPr>
        <w:t xml:space="preserve">   </w:t>
      </w:r>
      <w:r>
        <w:rPr>
          <w:rFonts w:ascii="黑体" w:hAnsi="黑体" w:eastAsia="黑体" w:cs="黑体"/>
          <w:b/>
          <w:bCs/>
          <w:spacing w:val="-1"/>
          <w:sz w:val="27"/>
          <w:szCs w:val="27"/>
        </w:rPr>
        <w:t>确定比较系统的主宰因素</w:t>
      </w:r>
    </w:p>
    <w:p w14:paraId="08965708">
      <w:pPr>
        <w:pStyle w:val="2"/>
        <w:spacing w:before="102" w:line="282" w:lineRule="auto"/>
        <w:ind w:right="107" w:firstLine="550"/>
        <w:jc w:val="both"/>
      </w:pPr>
      <w:r>
        <w:rPr>
          <w:spacing w:val="6"/>
        </w:rPr>
        <w:t>确定每个比较系统或基准比较系统的保障性、费用及战备完</w:t>
      </w:r>
      <w:r>
        <w:rPr>
          <w:spacing w:val="5"/>
        </w:rPr>
        <w:t>好性的主宰因</w:t>
      </w:r>
      <w:r>
        <w:t xml:space="preserve"> </w:t>
      </w:r>
      <w:r>
        <w:rPr>
          <w:spacing w:val="5"/>
        </w:rPr>
        <w:t>素。这些主宰因素可能来自比较系统的设计特性、使用特性或保障特性并代表</w:t>
      </w:r>
      <w:r>
        <w:rPr>
          <w:spacing w:val="11"/>
        </w:rPr>
        <w:t xml:space="preserve"> </w:t>
      </w:r>
      <w:r>
        <w:rPr>
          <w:spacing w:val="1"/>
        </w:rPr>
        <w:t>新研系统和设备的主宰因素。</w:t>
      </w:r>
    </w:p>
    <w:p w14:paraId="4C897112">
      <w:pPr>
        <w:spacing w:before="18" w:line="221" w:lineRule="auto"/>
        <w:rPr>
          <w:rFonts w:ascii="黑体" w:hAnsi="黑体" w:eastAsia="黑体" w:cs="黑体"/>
          <w:sz w:val="27"/>
          <w:szCs w:val="27"/>
        </w:rPr>
      </w:pPr>
      <w:r>
        <w:rPr>
          <w:rFonts w:ascii="黑体" w:hAnsi="黑体" w:eastAsia="黑体" w:cs="黑体"/>
          <w:spacing w:val="2"/>
          <w:sz w:val="27"/>
          <w:szCs w:val="27"/>
        </w:rPr>
        <w:t xml:space="preserve">8  </w:t>
      </w:r>
      <w:r>
        <w:rPr>
          <w:rFonts w:ascii="黑体" w:hAnsi="黑体" w:eastAsia="黑体" w:cs="黑体"/>
          <w:b/>
          <w:bCs/>
          <w:spacing w:val="2"/>
          <w:sz w:val="27"/>
          <w:szCs w:val="27"/>
        </w:rPr>
        <w:t>新研系统和设备中存在的主宰因素</w:t>
      </w:r>
    </w:p>
    <w:p w14:paraId="7889A836">
      <w:pPr>
        <w:pStyle w:val="2"/>
        <w:spacing w:before="93" w:line="289" w:lineRule="auto"/>
        <w:ind w:right="102" w:firstLine="550"/>
      </w:pPr>
      <w:r>
        <w:rPr>
          <w:spacing w:val="6"/>
        </w:rPr>
        <w:t>确定新研系统和设备中有而比较系统中没有的分系统或设备所得出的系统</w:t>
      </w:r>
      <w:r>
        <w:t xml:space="preserve"> </w:t>
      </w:r>
      <w:r>
        <w:rPr>
          <w:spacing w:val="-3"/>
        </w:rPr>
        <w:t>和设备保障性、费用和战备完好性的主宰因素。</w:t>
      </w:r>
    </w:p>
    <w:p w14:paraId="6C0E7574">
      <w:pPr>
        <w:spacing w:line="221" w:lineRule="auto"/>
        <w:rPr>
          <w:rFonts w:ascii="黑体" w:hAnsi="黑体" w:eastAsia="黑体" w:cs="黑体"/>
          <w:sz w:val="27"/>
          <w:szCs w:val="27"/>
        </w:rPr>
      </w:pPr>
      <w:r>
        <w:rPr>
          <w:rFonts w:ascii="黑体" w:hAnsi="黑体" w:eastAsia="黑体" w:cs="黑体"/>
          <w:spacing w:val="2"/>
          <w:sz w:val="27"/>
          <w:szCs w:val="27"/>
        </w:rPr>
        <w:t xml:space="preserve">9  </w:t>
      </w:r>
      <w:r>
        <w:rPr>
          <w:rFonts w:ascii="黑体" w:hAnsi="黑体" w:eastAsia="黑体" w:cs="黑体"/>
          <w:b/>
          <w:bCs/>
          <w:spacing w:val="2"/>
          <w:sz w:val="27"/>
          <w:szCs w:val="27"/>
        </w:rPr>
        <w:t>相关风险与假设</w:t>
      </w:r>
    </w:p>
    <w:p w14:paraId="309ADBBF">
      <w:pPr>
        <w:pStyle w:val="2"/>
        <w:spacing w:before="110" w:line="219" w:lineRule="auto"/>
        <w:ind w:left="550"/>
      </w:pPr>
      <w:r>
        <w:rPr>
          <w:spacing w:val="4"/>
        </w:rPr>
        <w:t>确定比较系统及其有关的参数和主宰因素的风险与假设。</w:t>
      </w:r>
    </w:p>
    <w:p w14:paraId="71326BE9">
      <w:pPr>
        <w:spacing w:before="95" w:line="222" w:lineRule="auto"/>
        <w:rPr>
          <w:rFonts w:ascii="黑体" w:hAnsi="黑体" w:eastAsia="黑体" w:cs="黑体"/>
          <w:sz w:val="27"/>
          <w:szCs w:val="27"/>
        </w:rPr>
      </w:pPr>
      <w:r>
        <w:rPr>
          <w:rFonts w:ascii="黑体" w:hAnsi="黑体" w:eastAsia="黑体" w:cs="黑体"/>
          <w:spacing w:val="-1"/>
          <w:sz w:val="27"/>
          <w:szCs w:val="27"/>
        </w:rPr>
        <w:t>10</w:t>
      </w:r>
      <w:r>
        <w:rPr>
          <w:rFonts w:ascii="黑体" w:hAnsi="黑体" w:eastAsia="黑体" w:cs="黑体"/>
          <w:spacing w:val="20"/>
          <w:sz w:val="27"/>
          <w:szCs w:val="27"/>
        </w:rPr>
        <w:t xml:space="preserve">  </w:t>
      </w:r>
      <w:r>
        <w:rPr>
          <w:rFonts w:ascii="黑体" w:hAnsi="黑体" w:eastAsia="黑体" w:cs="黑体"/>
          <w:b/>
          <w:bCs/>
          <w:spacing w:val="-1"/>
          <w:sz w:val="27"/>
          <w:szCs w:val="27"/>
        </w:rPr>
        <w:t>相应修正</w:t>
      </w:r>
    </w:p>
    <w:p w14:paraId="0B9FA379">
      <w:pPr>
        <w:pStyle w:val="2"/>
        <w:spacing w:before="132" w:line="275" w:lineRule="auto"/>
        <w:ind w:right="114" w:firstLine="550"/>
        <w:jc w:val="both"/>
        <w:rPr>
          <w:rFonts w:ascii="仿宋" w:hAnsi="仿宋" w:eastAsia="仿宋" w:cs="仿宋"/>
        </w:rPr>
      </w:pPr>
      <w:r>
        <w:rPr>
          <w:spacing w:val="14"/>
        </w:rPr>
        <w:t>随着系统和设备备选方案的细化或在比较系统和分系统上得到更好的数</w:t>
      </w:r>
      <w:r>
        <w:rPr>
          <w:spacing w:val="6"/>
        </w:rPr>
        <w:t xml:space="preserve"> </w:t>
      </w:r>
      <w:r>
        <w:rPr>
          <w:spacing w:val="14"/>
        </w:rPr>
        <w:t>据时，修正比较系统及其有关的参数以及保障性、费用和战备完好性</w:t>
      </w:r>
      <w:r>
        <w:rPr>
          <w:spacing w:val="13"/>
        </w:rPr>
        <w:t>的主宰</w:t>
      </w:r>
      <w:r>
        <w:t xml:space="preserve"> </w:t>
      </w:r>
      <w:r>
        <w:rPr>
          <w:spacing w:val="-15"/>
        </w:rPr>
        <w:t>因</w:t>
      </w:r>
      <w:r>
        <w:rPr>
          <w:rFonts w:ascii="仿宋" w:hAnsi="仿宋" w:eastAsia="仿宋" w:cs="仿宋"/>
          <w:spacing w:val="-15"/>
        </w:rPr>
        <w:t>素</w:t>
      </w:r>
      <w:r>
        <w:rPr>
          <w:rFonts w:ascii="仿宋" w:hAnsi="仿宋" w:eastAsia="仿宋" w:cs="仿宋"/>
          <w:spacing w:val="-71"/>
        </w:rPr>
        <w:t xml:space="preserve"> </w:t>
      </w:r>
      <w:r>
        <w:rPr>
          <w:rFonts w:ascii="仿宋" w:hAnsi="仿宋" w:eastAsia="仿宋" w:cs="仿宋"/>
          <w:spacing w:val="-15"/>
        </w:rPr>
        <w:t>。</w:t>
      </w:r>
    </w:p>
    <w:p w14:paraId="0C58A8F8">
      <w:pPr>
        <w:spacing w:line="275" w:lineRule="auto"/>
        <w:rPr>
          <w:rFonts w:ascii="仿宋" w:hAnsi="仿宋" w:eastAsia="仿宋" w:cs="仿宋"/>
        </w:rPr>
        <w:sectPr>
          <w:footerReference r:id="rId515" w:type="default"/>
          <w:pgSz w:w="11910" w:h="17130"/>
          <w:pgMar w:top="400" w:right="1264" w:bottom="1721" w:left="1160" w:header="0" w:footer="1408" w:gutter="0"/>
          <w:cols w:space="720" w:num="1"/>
        </w:sectPr>
      </w:pPr>
    </w:p>
    <w:p w14:paraId="26A19D66">
      <w:pPr>
        <w:spacing w:line="253" w:lineRule="auto"/>
        <w:rPr>
          <w:rFonts w:ascii="Arial"/>
          <w:sz w:val="21"/>
        </w:rPr>
      </w:pPr>
    </w:p>
    <w:p w14:paraId="2DF369CA">
      <w:pPr>
        <w:spacing w:line="254" w:lineRule="auto"/>
        <w:rPr>
          <w:rFonts w:ascii="Arial"/>
          <w:sz w:val="21"/>
        </w:rPr>
      </w:pPr>
    </w:p>
    <w:p w14:paraId="37446232">
      <w:pPr>
        <w:spacing w:line="254" w:lineRule="auto"/>
        <w:rPr>
          <w:rFonts w:ascii="Arial"/>
          <w:sz w:val="21"/>
        </w:rPr>
      </w:pPr>
    </w:p>
    <w:p w14:paraId="1D60E5D4">
      <w:pPr>
        <w:spacing w:line="254" w:lineRule="auto"/>
        <w:rPr>
          <w:rFonts w:ascii="Arial"/>
          <w:sz w:val="21"/>
        </w:rPr>
      </w:pPr>
    </w:p>
    <w:p w14:paraId="5A0BA8FB">
      <w:pPr>
        <w:spacing w:line="254" w:lineRule="auto"/>
        <w:rPr>
          <w:rFonts w:ascii="Arial"/>
          <w:sz w:val="21"/>
        </w:rPr>
      </w:pPr>
    </w:p>
    <w:p w14:paraId="6C435DA1">
      <w:pPr>
        <w:spacing w:line="254" w:lineRule="auto"/>
        <w:rPr>
          <w:rFonts w:ascii="Arial"/>
          <w:sz w:val="21"/>
        </w:rPr>
      </w:pPr>
    </w:p>
    <w:p w14:paraId="004CFB12">
      <w:pPr>
        <w:pStyle w:val="2"/>
        <w:spacing w:before="117" w:line="219" w:lineRule="auto"/>
        <w:ind w:left="2240"/>
        <w:rPr>
          <w:sz w:val="36"/>
          <w:szCs w:val="36"/>
        </w:rPr>
      </w:pPr>
      <w:r>
        <w:rPr>
          <w:spacing w:val="-1"/>
          <w:sz w:val="36"/>
          <w:szCs w:val="36"/>
        </w:rPr>
        <w:t>10.</w:t>
      </w:r>
      <w:r>
        <w:rPr>
          <w:b/>
          <w:bCs/>
          <w:spacing w:val="-1"/>
          <w:sz w:val="36"/>
          <w:szCs w:val="36"/>
        </w:rPr>
        <w:t>11</w:t>
      </w:r>
      <w:r>
        <w:rPr>
          <w:spacing w:val="30"/>
          <w:sz w:val="36"/>
          <w:szCs w:val="36"/>
        </w:rPr>
        <w:t xml:space="preserve">  </w:t>
      </w:r>
      <w:r>
        <w:rPr>
          <w:b/>
          <w:bCs/>
          <w:spacing w:val="-1"/>
          <w:sz w:val="36"/>
          <w:szCs w:val="36"/>
        </w:rPr>
        <w:t>保障性改进的技术途径</w:t>
      </w:r>
    </w:p>
    <w:p w14:paraId="6634CCD7">
      <w:pPr>
        <w:spacing w:line="338" w:lineRule="auto"/>
        <w:rPr>
          <w:rFonts w:ascii="Arial"/>
          <w:sz w:val="21"/>
        </w:rPr>
      </w:pPr>
    </w:p>
    <w:p w14:paraId="7F5C5FB7">
      <w:pPr>
        <w:pStyle w:val="2"/>
        <w:spacing w:before="91" w:line="226" w:lineRule="auto"/>
        <w:ind w:left="580"/>
        <w:rPr>
          <w:rFonts w:ascii="楷体" w:hAnsi="楷体" w:eastAsia="楷体" w:cs="楷体"/>
          <w:sz w:val="28"/>
          <w:szCs w:val="28"/>
        </w:rPr>
      </w:pPr>
      <w:r>
        <w:rPr>
          <w:rFonts w:ascii="楷体" w:hAnsi="楷体" w:eastAsia="楷体" w:cs="楷体"/>
          <w:spacing w:val="-12"/>
          <w:sz w:val="28"/>
          <w:szCs w:val="28"/>
        </w:rPr>
        <w:t>按照</w:t>
      </w:r>
      <w:r>
        <w:rPr>
          <w:rFonts w:ascii="Times New Roman" w:hAnsi="Times New Roman" w:eastAsia="Times New Roman" w:cs="Times New Roman"/>
          <w:spacing w:val="-12"/>
          <w:sz w:val="28"/>
          <w:szCs w:val="28"/>
        </w:rPr>
        <w:t>GJB</w:t>
      </w:r>
      <w:r>
        <w:rPr>
          <w:rFonts w:ascii="Times New Roman" w:hAnsi="Times New Roman" w:eastAsia="Times New Roman" w:cs="Times New Roman"/>
          <w:spacing w:val="30"/>
          <w:sz w:val="28"/>
          <w:szCs w:val="28"/>
        </w:rPr>
        <w:t xml:space="preserve"> </w:t>
      </w:r>
      <w:r>
        <w:rPr>
          <w:rFonts w:ascii="Times New Roman" w:hAnsi="Times New Roman" w:eastAsia="Times New Roman" w:cs="Times New Roman"/>
          <w:spacing w:val="-12"/>
          <w:sz w:val="28"/>
          <w:szCs w:val="28"/>
        </w:rPr>
        <w:t>1371—1992</w:t>
      </w:r>
      <w:r>
        <w:rPr>
          <w:spacing w:val="-12"/>
          <w:sz w:val="28"/>
          <w:szCs w:val="28"/>
        </w:rPr>
        <w:t>《</w:t>
      </w:r>
      <w:r>
        <w:rPr>
          <w:rFonts w:ascii="楷体" w:hAnsi="楷体" w:eastAsia="楷体" w:cs="楷体"/>
          <w:spacing w:val="-12"/>
          <w:sz w:val="28"/>
          <w:szCs w:val="28"/>
        </w:rPr>
        <w:t>装备保障性分析》编写。</w:t>
      </w:r>
    </w:p>
    <w:p w14:paraId="3EAC589C">
      <w:pPr>
        <w:spacing w:before="66"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45DD1A57">
      <w:pPr>
        <w:spacing w:before="71" w:line="222" w:lineRule="auto"/>
        <w:rPr>
          <w:rFonts w:ascii="黑体" w:hAnsi="黑体" w:eastAsia="黑体" w:cs="黑体"/>
          <w:sz w:val="27"/>
          <w:szCs w:val="27"/>
        </w:rPr>
      </w:pPr>
      <w:r>
        <w:rPr>
          <w:rFonts w:ascii="Arial" w:hAnsi="Arial" w:eastAsia="Arial" w:cs="Arial"/>
          <w:b/>
          <w:bCs/>
          <w:spacing w:val="-1"/>
          <w:sz w:val="27"/>
          <w:szCs w:val="27"/>
        </w:rPr>
        <w:t>2</w:t>
      </w:r>
      <w:r>
        <w:rPr>
          <w:rFonts w:ascii="Arial" w:hAnsi="Arial" w:eastAsia="Arial" w:cs="Arial"/>
          <w:b/>
          <w:bCs/>
          <w:spacing w:val="22"/>
          <w:sz w:val="27"/>
          <w:szCs w:val="27"/>
        </w:rPr>
        <w:t xml:space="preserve">   </w:t>
      </w:r>
      <w:r>
        <w:rPr>
          <w:rFonts w:ascii="黑体" w:hAnsi="黑体" w:eastAsia="黑体" w:cs="黑体"/>
          <w:b/>
          <w:bCs/>
          <w:spacing w:val="-1"/>
          <w:sz w:val="27"/>
          <w:szCs w:val="27"/>
        </w:rPr>
        <w:t>引用文件</w:t>
      </w:r>
    </w:p>
    <w:p w14:paraId="0297A5B4">
      <w:pPr>
        <w:spacing w:before="75"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19"/>
          <w:sz w:val="27"/>
          <w:szCs w:val="27"/>
        </w:rPr>
        <w:t xml:space="preserve">  </w:t>
      </w:r>
      <w:r>
        <w:rPr>
          <w:rFonts w:ascii="黑体" w:hAnsi="黑体" w:eastAsia="黑体" w:cs="黑体"/>
          <w:b/>
          <w:bCs/>
          <w:spacing w:val="2"/>
          <w:sz w:val="27"/>
          <w:szCs w:val="27"/>
        </w:rPr>
        <w:t>确定设计的技术途径</w:t>
      </w:r>
    </w:p>
    <w:p w14:paraId="51CFC009">
      <w:pPr>
        <w:pStyle w:val="2"/>
        <w:spacing w:before="91" w:line="270" w:lineRule="auto"/>
        <w:ind w:right="92" w:firstLine="580"/>
      </w:pPr>
      <w:r>
        <w:rPr>
          <w:spacing w:val="5"/>
        </w:rPr>
        <w:t>为了在现有系统及分系统的基础上改进系统和设备的保障性，要确定系统</w:t>
      </w:r>
      <w:r>
        <w:rPr>
          <w:spacing w:val="11"/>
        </w:rPr>
        <w:t xml:space="preserve"> </w:t>
      </w:r>
      <w:r>
        <w:rPr>
          <w:spacing w:val="4"/>
        </w:rPr>
        <w:t>和设备设计的技术途径。应通过下述工作确定这些设</w:t>
      </w:r>
      <w:r>
        <w:rPr>
          <w:spacing w:val="3"/>
        </w:rPr>
        <w:t>计途径：</w:t>
      </w:r>
    </w:p>
    <w:p w14:paraId="4F14D236">
      <w:pPr>
        <w:pStyle w:val="2"/>
        <w:spacing w:before="3" w:line="266" w:lineRule="auto"/>
        <w:ind w:right="91" w:firstLine="580"/>
      </w:pPr>
      <w:r>
        <w:rPr>
          <w:rFonts w:ascii="Times New Roman" w:hAnsi="Times New Roman" w:eastAsia="Times New Roman" w:cs="Times New Roman"/>
          <w:spacing w:val="3"/>
        </w:rPr>
        <w:t>a)</w:t>
      </w:r>
      <w:r>
        <w:rPr>
          <w:rFonts w:ascii="Times New Roman" w:hAnsi="Times New Roman" w:eastAsia="Times New Roman" w:cs="Times New Roman"/>
          <w:spacing w:val="66"/>
          <w:w w:val="101"/>
        </w:rPr>
        <w:t xml:space="preserve"> </w:t>
      </w:r>
      <w:r>
        <w:rPr>
          <w:spacing w:val="3"/>
        </w:rPr>
        <w:t>鉴别在系统和设备研制中可采用的先进技术及其他设计上的改进，这些</w:t>
      </w:r>
      <w:r>
        <w:t xml:space="preserve"> </w:t>
      </w:r>
      <w:r>
        <w:rPr>
          <w:spacing w:val="-3"/>
        </w:rPr>
        <w:t>新技术和改进对降低保障资源要求、减少费用、减少对环境的影响、改善安全性</w:t>
      </w:r>
      <w:r>
        <w:rPr>
          <w:spacing w:val="14"/>
        </w:rPr>
        <w:t xml:space="preserve"> </w:t>
      </w:r>
      <w:r>
        <w:rPr>
          <w:spacing w:val="-3"/>
        </w:rPr>
        <w:t>或提高系统的战备完好性，是有潜力的。</w:t>
      </w:r>
    </w:p>
    <w:p w14:paraId="6229CF1B">
      <w:pPr>
        <w:pStyle w:val="2"/>
        <w:spacing w:before="69" w:line="257" w:lineRule="auto"/>
        <w:ind w:right="94" w:firstLine="580"/>
      </w:pPr>
      <w:r>
        <w:rPr>
          <w:rFonts w:ascii="Times New Roman" w:hAnsi="Times New Roman" w:eastAsia="Times New Roman" w:cs="Times New Roman"/>
          <w:spacing w:val="-5"/>
        </w:rPr>
        <w:t xml:space="preserve">b)  </w:t>
      </w:r>
      <w:r>
        <w:rPr>
          <w:spacing w:val="-5"/>
        </w:rPr>
        <w:t>估计在保障性、费用、环境影响、安全性和战备</w:t>
      </w:r>
      <w:r>
        <w:rPr>
          <w:spacing w:val="-6"/>
        </w:rPr>
        <w:t>完好性的数值方面可能达</w:t>
      </w:r>
      <w:r>
        <w:t xml:space="preserve"> </w:t>
      </w:r>
      <w:r>
        <w:rPr>
          <w:spacing w:val="-1"/>
        </w:rPr>
        <w:t>到的改进。</w:t>
      </w:r>
    </w:p>
    <w:p w14:paraId="178AE821">
      <w:pPr>
        <w:pStyle w:val="2"/>
        <w:spacing w:before="68" w:line="264" w:lineRule="auto"/>
        <w:ind w:firstLine="580"/>
      </w:pPr>
      <w:r>
        <w:rPr>
          <w:rFonts w:ascii="Times New Roman" w:hAnsi="Times New Roman" w:eastAsia="Times New Roman" w:cs="Times New Roman"/>
          <w:spacing w:val="3"/>
        </w:rPr>
        <w:t>c)</w:t>
      </w:r>
      <w:r>
        <w:rPr>
          <w:rFonts w:ascii="Times New Roman" w:hAnsi="Times New Roman" w:eastAsia="Times New Roman" w:cs="Times New Roman"/>
          <w:spacing w:val="62"/>
        </w:rPr>
        <w:t xml:space="preserve"> </w:t>
      </w:r>
      <w:r>
        <w:rPr>
          <w:spacing w:val="3"/>
        </w:rPr>
        <w:t>鉴别保障资源(如保障设备及训练器件)的设计改进，这样一些设计</w:t>
      </w:r>
      <w:r>
        <w:rPr>
          <w:spacing w:val="2"/>
        </w:rPr>
        <w:t>改进</w:t>
      </w:r>
      <w:r>
        <w:t xml:space="preserve"> </w:t>
      </w:r>
      <w:r>
        <w:rPr>
          <w:spacing w:val="1"/>
        </w:rPr>
        <w:t>可以用在系统和设备的研制过程中，以提高保障系统的效能或提高战备完好性。</w:t>
      </w:r>
    </w:p>
    <w:p w14:paraId="38FA6836">
      <w:pPr>
        <w:spacing w:before="53" w:line="222"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7"/>
          <w:sz w:val="27"/>
          <w:szCs w:val="27"/>
        </w:rPr>
        <w:t xml:space="preserve">  </w:t>
      </w:r>
      <w:r>
        <w:rPr>
          <w:rFonts w:ascii="黑体" w:hAnsi="黑体" w:eastAsia="黑体" w:cs="黑体"/>
          <w:b/>
          <w:bCs/>
          <w:spacing w:val="-1"/>
          <w:sz w:val="27"/>
          <w:szCs w:val="27"/>
        </w:rPr>
        <w:t>风险分析</w:t>
      </w:r>
    </w:p>
    <w:p w14:paraId="1B526D98">
      <w:pPr>
        <w:pStyle w:val="2"/>
        <w:spacing w:before="110" w:line="219" w:lineRule="auto"/>
        <w:ind w:left="580"/>
      </w:pPr>
      <w:r>
        <w:rPr>
          <w:spacing w:val="4"/>
        </w:rPr>
        <w:t>确定新研系统和设备采用先进技术对设计目标带来的风险。</w:t>
      </w:r>
    </w:p>
    <w:p w14:paraId="0A47BC85">
      <w:pPr>
        <w:spacing w:before="65" w:line="221" w:lineRule="auto"/>
        <w:rPr>
          <w:rFonts w:ascii="黑体" w:hAnsi="黑体" w:eastAsia="黑体" w:cs="黑体"/>
          <w:sz w:val="27"/>
          <w:szCs w:val="27"/>
        </w:rPr>
      </w:pPr>
      <w:r>
        <w:rPr>
          <w:rFonts w:ascii="黑体" w:hAnsi="黑体" w:eastAsia="黑体" w:cs="黑体"/>
          <w:sz w:val="27"/>
          <w:szCs w:val="27"/>
        </w:rPr>
        <w:t>5</w:t>
      </w:r>
      <w:r>
        <w:rPr>
          <w:rFonts w:ascii="黑体" w:hAnsi="黑体" w:eastAsia="黑体" w:cs="黑体"/>
          <w:spacing w:val="16"/>
          <w:sz w:val="27"/>
          <w:szCs w:val="27"/>
        </w:rPr>
        <w:t xml:space="preserve">  </w:t>
      </w:r>
      <w:r>
        <w:rPr>
          <w:rFonts w:ascii="黑体" w:hAnsi="黑体" w:eastAsia="黑体" w:cs="黑体"/>
          <w:b/>
          <w:bCs/>
          <w:sz w:val="27"/>
          <w:szCs w:val="27"/>
        </w:rPr>
        <w:t>评价方法</w:t>
      </w:r>
    </w:p>
    <w:p w14:paraId="677D80B3">
      <w:pPr>
        <w:pStyle w:val="2"/>
        <w:spacing w:before="101" w:line="218" w:lineRule="auto"/>
        <w:ind w:left="580"/>
      </w:pPr>
      <w:r>
        <w:rPr>
          <w:spacing w:val="2"/>
        </w:rPr>
        <w:t>确定验证改进结果的评价方法。</w:t>
      </w:r>
    </w:p>
    <w:p w14:paraId="4D462494">
      <w:pPr>
        <w:spacing w:before="79" w:line="222"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20"/>
          <w:sz w:val="27"/>
          <w:szCs w:val="27"/>
        </w:rPr>
        <w:t xml:space="preserve">  </w:t>
      </w:r>
      <w:r>
        <w:rPr>
          <w:rFonts w:ascii="黑体" w:hAnsi="黑体" w:eastAsia="黑体" w:cs="黑体"/>
          <w:b/>
          <w:bCs/>
          <w:sz w:val="27"/>
          <w:szCs w:val="27"/>
        </w:rPr>
        <w:t>相关影响</w:t>
      </w:r>
    </w:p>
    <w:p w14:paraId="578982E7">
      <w:pPr>
        <w:pStyle w:val="2"/>
        <w:spacing w:before="110" w:line="219" w:lineRule="auto"/>
        <w:ind w:left="580"/>
      </w:pPr>
      <w:r>
        <w:rPr>
          <w:spacing w:val="3"/>
        </w:rPr>
        <w:t>确定实施改进对费用和进度的影响。</w:t>
      </w:r>
    </w:p>
    <w:p w14:paraId="4BAF710D">
      <w:pPr>
        <w:spacing w:before="63" w:line="222" w:lineRule="auto"/>
        <w:outlineLvl w:val="3"/>
        <w:rPr>
          <w:rFonts w:ascii="黑体" w:hAnsi="黑体" w:eastAsia="黑体" w:cs="黑体"/>
          <w:sz w:val="27"/>
          <w:szCs w:val="27"/>
        </w:rPr>
      </w:pPr>
      <w:r>
        <w:rPr>
          <w:rFonts w:ascii="Arial" w:hAnsi="Arial" w:eastAsia="Arial" w:cs="Arial"/>
          <w:b/>
          <w:bCs/>
          <w:spacing w:val="2"/>
          <w:sz w:val="27"/>
          <w:szCs w:val="27"/>
        </w:rPr>
        <w:t>7</w:t>
      </w:r>
      <w:r>
        <w:rPr>
          <w:rFonts w:ascii="Arial" w:hAnsi="Arial" w:eastAsia="Arial" w:cs="Arial"/>
          <w:b/>
          <w:bCs/>
          <w:spacing w:val="25"/>
          <w:sz w:val="27"/>
          <w:szCs w:val="27"/>
        </w:rPr>
        <w:t xml:space="preserve">   </w:t>
      </w:r>
      <w:r>
        <w:rPr>
          <w:rFonts w:ascii="黑体" w:hAnsi="黑体" w:eastAsia="黑体" w:cs="黑体"/>
          <w:b/>
          <w:bCs/>
          <w:spacing w:val="2"/>
          <w:sz w:val="27"/>
          <w:szCs w:val="27"/>
        </w:rPr>
        <w:t>设计目标的修正</w:t>
      </w:r>
    </w:p>
    <w:p w14:paraId="240BA7E1">
      <w:pPr>
        <w:pStyle w:val="2"/>
        <w:spacing w:before="102" w:line="219" w:lineRule="auto"/>
        <w:ind w:left="580"/>
      </w:pPr>
      <w:r>
        <w:t>随着新研系统和设备备选方案得到进一步细化，对设计目</w:t>
      </w:r>
      <w:r>
        <w:rPr>
          <w:spacing w:val="-1"/>
        </w:rPr>
        <w:t>标的修正。</w:t>
      </w:r>
    </w:p>
    <w:p w14:paraId="46E39D39">
      <w:pPr>
        <w:spacing w:line="349" w:lineRule="auto"/>
        <w:rPr>
          <w:rFonts w:ascii="Arial"/>
          <w:sz w:val="21"/>
        </w:rPr>
      </w:pPr>
    </w:p>
    <w:p w14:paraId="3CFC175F">
      <w:pPr>
        <w:pStyle w:val="2"/>
        <w:spacing w:before="117" w:line="219" w:lineRule="auto"/>
        <w:ind w:left="1520"/>
        <w:rPr>
          <w:sz w:val="36"/>
          <w:szCs w:val="36"/>
        </w:rPr>
      </w:pPr>
      <w:r>
        <w:rPr>
          <w:spacing w:val="-1"/>
          <w:sz w:val="36"/>
          <w:szCs w:val="36"/>
        </w:rPr>
        <w:t>10.12</w:t>
      </w:r>
      <w:r>
        <w:rPr>
          <w:spacing w:val="33"/>
          <w:sz w:val="36"/>
          <w:szCs w:val="36"/>
        </w:rPr>
        <w:t xml:space="preserve">  </w:t>
      </w:r>
      <w:r>
        <w:rPr>
          <w:b/>
          <w:bCs/>
          <w:spacing w:val="-1"/>
          <w:sz w:val="36"/>
          <w:szCs w:val="36"/>
        </w:rPr>
        <w:t>保障性和有关保障性的设计因素</w:t>
      </w:r>
    </w:p>
    <w:p w14:paraId="09BECC26">
      <w:pPr>
        <w:spacing w:line="370" w:lineRule="auto"/>
        <w:rPr>
          <w:rFonts w:ascii="Arial"/>
          <w:sz w:val="21"/>
        </w:rPr>
      </w:pPr>
    </w:p>
    <w:p w14:paraId="39883C5C">
      <w:pPr>
        <w:pStyle w:val="2"/>
        <w:spacing w:before="78" w:line="226" w:lineRule="auto"/>
        <w:ind w:left="580"/>
        <w:rPr>
          <w:rFonts w:ascii="楷体" w:hAnsi="楷体" w:eastAsia="楷体" w:cs="楷体"/>
          <w:sz w:val="24"/>
          <w:szCs w:val="24"/>
        </w:rPr>
      </w:pPr>
      <w:r>
        <w:rPr>
          <w:rFonts w:ascii="楷体" w:hAnsi="楷体" w:eastAsia="楷体" w:cs="楷体"/>
          <w:spacing w:val="6"/>
          <w:sz w:val="24"/>
          <w:szCs w:val="24"/>
        </w:rPr>
        <w:t>按</w:t>
      </w:r>
      <w:r>
        <w:rPr>
          <w:rFonts w:ascii="楷体" w:hAnsi="楷体" w:eastAsia="楷体" w:cs="楷体"/>
          <w:spacing w:val="-20"/>
          <w:sz w:val="24"/>
          <w:szCs w:val="24"/>
        </w:rPr>
        <w:t xml:space="preserve"> </w:t>
      </w:r>
      <w:r>
        <w:rPr>
          <w:rFonts w:ascii="楷体" w:hAnsi="楷体" w:eastAsia="楷体" w:cs="楷体"/>
          <w:spacing w:val="6"/>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6"/>
          <w:sz w:val="24"/>
          <w:szCs w:val="24"/>
        </w:rPr>
        <w:t xml:space="preserve">     1371—1992</w:t>
      </w:r>
      <w:r>
        <w:rPr>
          <w:spacing w:val="6"/>
          <w:sz w:val="24"/>
          <w:szCs w:val="24"/>
        </w:rPr>
        <w:t>《</w:t>
      </w:r>
      <w:r>
        <w:rPr>
          <w:rFonts w:ascii="楷体" w:hAnsi="楷体" w:eastAsia="楷体" w:cs="楷体"/>
          <w:spacing w:val="6"/>
          <w:sz w:val="24"/>
          <w:szCs w:val="24"/>
        </w:rPr>
        <w:t>装备保障性</w:t>
      </w:r>
      <w:r>
        <w:rPr>
          <w:rFonts w:ascii="楷体" w:hAnsi="楷体" w:eastAsia="楷体" w:cs="楷体"/>
          <w:spacing w:val="5"/>
          <w:sz w:val="24"/>
          <w:szCs w:val="24"/>
        </w:rPr>
        <w:t>分析》编写。</w:t>
      </w:r>
    </w:p>
    <w:p w14:paraId="2356CE07">
      <w:pPr>
        <w:spacing w:before="86"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40"/>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18D6880F">
      <w:pPr>
        <w:spacing w:before="106" w:line="222" w:lineRule="auto"/>
        <w:rPr>
          <w:rFonts w:ascii="黑体" w:hAnsi="黑体" w:eastAsia="黑体" w:cs="黑体"/>
          <w:sz w:val="25"/>
          <w:szCs w:val="25"/>
        </w:rPr>
      </w:pPr>
      <w:r>
        <w:rPr>
          <w:rFonts w:ascii="黑体" w:hAnsi="黑体" w:eastAsia="黑体" w:cs="黑体"/>
          <w:spacing w:val="15"/>
          <w:sz w:val="25"/>
          <w:szCs w:val="25"/>
        </w:rPr>
        <w:t>2</w:t>
      </w:r>
      <w:r>
        <w:rPr>
          <w:rFonts w:ascii="黑体" w:hAnsi="黑体" w:eastAsia="黑体" w:cs="黑体"/>
          <w:spacing w:val="33"/>
          <w:sz w:val="25"/>
          <w:szCs w:val="25"/>
        </w:rPr>
        <w:t xml:space="preserve">  </w:t>
      </w:r>
      <w:r>
        <w:rPr>
          <w:rFonts w:ascii="黑体" w:hAnsi="黑体" w:eastAsia="黑体" w:cs="黑体"/>
          <w:b/>
          <w:bCs/>
          <w:spacing w:val="15"/>
          <w:sz w:val="25"/>
          <w:szCs w:val="25"/>
        </w:rPr>
        <w:t>引用文件</w:t>
      </w:r>
    </w:p>
    <w:p w14:paraId="05F8EDE5">
      <w:pPr>
        <w:spacing w:before="109" w:line="222" w:lineRule="auto"/>
        <w:rPr>
          <w:rFonts w:ascii="黑体" w:hAnsi="黑体" w:eastAsia="黑体" w:cs="黑体"/>
          <w:sz w:val="25"/>
          <w:szCs w:val="25"/>
        </w:rPr>
      </w:pPr>
      <w:r>
        <w:rPr>
          <w:rFonts w:ascii="黑体" w:hAnsi="黑体" w:eastAsia="黑体" w:cs="黑体"/>
          <w:spacing w:val="20"/>
          <w:sz w:val="25"/>
          <w:szCs w:val="25"/>
        </w:rPr>
        <w:t>3</w:t>
      </w:r>
      <w:r>
        <w:rPr>
          <w:rFonts w:ascii="黑体" w:hAnsi="黑体" w:eastAsia="黑体" w:cs="黑体"/>
          <w:spacing w:val="36"/>
          <w:sz w:val="25"/>
          <w:szCs w:val="25"/>
        </w:rPr>
        <w:t xml:space="preserve">  </w:t>
      </w:r>
      <w:r>
        <w:rPr>
          <w:rFonts w:ascii="黑体" w:hAnsi="黑体" w:eastAsia="黑体" w:cs="黑体"/>
          <w:b/>
          <w:bCs/>
          <w:spacing w:val="20"/>
          <w:sz w:val="25"/>
          <w:szCs w:val="25"/>
        </w:rPr>
        <w:t>定量的使用特性与保障特性</w:t>
      </w:r>
    </w:p>
    <w:p w14:paraId="5EBB3343">
      <w:pPr>
        <w:pStyle w:val="2"/>
        <w:spacing w:before="127" w:line="278" w:lineRule="auto"/>
        <w:ind w:right="93" w:firstLine="580"/>
        <w:jc w:val="both"/>
      </w:pPr>
      <w:r>
        <w:rPr>
          <w:spacing w:val="5"/>
        </w:rPr>
        <w:t>确定由系统和设备的备选设计方案及使用方案得出的定量的使用特性与保</w:t>
      </w:r>
      <w:r>
        <w:rPr>
          <w:spacing w:val="8"/>
        </w:rPr>
        <w:t xml:space="preserve"> </w:t>
      </w:r>
      <w:r>
        <w:rPr>
          <w:spacing w:val="5"/>
        </w:rPr>
        <w:t>障特性。使用特性应用每个系统和设备的人员配备数量、所配备人员中每个专</w:t>
      </w:r>
      <w:r>
        <w:rPr>
          <w:spacing w:val="13"/>
        </w:rPr>
        <w:t xml:space="preserve"> </w:t>
      </w:r>
      <w:r>
        <w:rPr>
          <w:spacing w:val="6"/>
        </w:rPr>
        <w:t>业职务的能力与技能要求、每项工作的完成标准来表示。保障性的特性应用可</w:t>
      </w:r>
    </w:p>
    <w:p w14:paraId="4A01BC8A">
      <w:pPr>
        <w:spacing w:line="278" w:lineRule="auto"/>
        <w:sectPr>
          <w:footerReference r:id="rId516" w:type="default"/>
          <w:pgSz w:w="11910" w:h="17130"/>
          <w:pgMar w:top="400" w:right="894" w:bottom="1511" w:left="1529" w:header="0" w:footer="1198" w:gutter="0"/>
          <w:cols w:space="720" w:num="1"/>
        </w:sectPr>
      </w:pPr>
    </w:p>
    <w:p w14:paraId="1D83DAB6">
      <w:pPr>
        <w:spacing w:line="270" w:lineRule="auto"/>
        <w:rPr>
          <w:rFonts w:ascii="Arial"/>
          <w:sz w:val="21"/>
        </w:rPr>
      </w:pPr>
    </w:p>
    <w:p w14:paraId="2EFD6190">
      <w:pPr>
        <w:spacing w:line="270" w:lineRule="auto"/>
        <w:rPr>
          <w:rFonts w:ascii="Arial"/>
          <w:sz w:val="21"/>
        </w:rPr>
      </w:pPr>
    </w:p>
    <w:p w14:paraId="4F48A24F">
      <w:pPr>
        <w:spacing w:line="270" w:lineRule="auto"/>
        <w:rPr>
          <w:rFonts w:ascii="Arial"/>
          <w:sz w:val="21"/>
        </w:rPr>
      </w:pPr>
    </w:p>
    <w:p w14:paraId="2FD32E73">
      <w:pPr>
        <w:spacing w:line="271" w:lineRule="auto"/>
        <w:rPr>
          <w:rFonts w:ascii="Arial"/>
          <w:sz w:val="21"/>
        </w:rPr>
      </w:pPr>
    </w:p>
    <w:p w14:paraId="2C727FA7">
      <w:pPr>
        <w:pStyle w:val="2"/>
        <w:spacing w:before="81" w:line="307" w:lineRule="auto"/>
        <w:ind w:right="21"/>
        <w:jc w:val="both"/>
        <w:rPr>
          <w:sz w:val="25"/>
          <w:szCs w:val="25"/>
        </w:rPr>
      </w:pPr>
      <w:r>
        <w:rPr>
          <w:spacing w:val="17"/>
          <w:sz w:val="25"/>
          <w:szCs w:val="25"/>
        </w:rPr>
        <w:t>行的保障方案、人力要求的估计、与系统和设备有关的每个专业职务的能力与技</w:t>
      </w:r>
      <w:r>
        <w:rPr>
          <w:spacing w:val="4"/>
          <w:sz w:val="25"/>
          <w:szCs w:val="25"/>
        </w:rPr>
        <w:t xml:space="preserve"> </w:t>
      </w:r>
      <w:r>
        <w:rPr>
          <w:spacing w:val="10"/>
          <w:sz w:val="25"/>
          <w:szCs w:val="25"/>
        </w:rPr>
        <w:t>能要求、每项工作的完成标准、可靠性与维修性参数、系统战备完好性、使用与保</w:t>
      </w:r>
      <w:r>
        <w:rPr>
          <w:spacing w:val="7"/>
          <w:sz w:val="25"/>
          <w:szCs w:val="25"/>
        </w:rPr>
        <w:t xml:space="preserve"> </w:t>
      </w:r>
      <w:r>
        <w:rPr>
          <w:spacing w:val="22"/>
          <w:sz w:val="25"/>
          <w:szCs w:val="25"/>
        </w:rPr>
        <w:t>障费用以及保障资源要求(应考虑平时和战时)来表示。</w:t>
      </w:r>
    </w:p>
    <w:p w14:paraId="6199AAE6">
      <w:pPr>
        <w:spacing w:line="221"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对有关变量进行敏感度分析</w:t>
      </w:r>
    </w:p>
    <w:p w14:paraId="4596C212">
      <w:pPr>
        <w:pStyle w:val="2"/>
        <w:spacing w:before="101" w:line="302" w:lineRule="auto"/>
        <w:ind w:right="20" w:firstLine="560"/>
      </w:pPr>
      <w:r>
        <w:rPr>
          <w:spacing w:val="5"/>
        </w:rPr>
        <w:t>对影响新研系统和设备保障性、费用与战备完好性的主宰因素的有关变量</w:t>
      </w:r>
      <w:r>
        <w:rPr>
          <w:spacing w:val="9"/>
        </w:rPr>
        <w:t xml:space="preserve"> </w:t>
      </w:r>
      <w:r>
        <w:rPr>
          <w:spacing w:val="-3"/>
        </w:rPr>
        <w:t>进行敏感度分析，说明分析过程和分析结果。</w:t>
      </w:r>
    </w:p>
    <w:p w14:paraId="0085CC69">
      <w:pPr>
        <w:spacing w:line="221" w:lineRule="auto"/>
        <w:rPr>
          <w:rFonts w:ascii="黑体" w:hAnsi="黑体" w:eastAsia="黑体" w:cs="黑体"/>
          <w:sz w:val="24"/>
          <w:szCs w:val="24"/>
        </w:rPr>
      </w:pPr>
      <w:r>
        <w:rPr>
          <w:rFonts w:ascii="黑体" w:hAnsi="黑体" w:eastAsia="黑体" w:cs="黑体"/>
          <w:spacing w:val="27"/>
          <w:sz w:val="24"/>
          <w:szCs w:val="24"/>
        </w:rPr>
        <w:t>5</w:t>
      </w:r>
      <w:r>
        <w:rPr>
          <w:rFonts w:ascii="黑体" w:hAnsi="黑体" w:eastAsia="黑体" w:cs="黑体"/>
          <w:spacing w:val="36"/>
          <w:sz w:val="24"/>
          <w:szCs w:val="24"/>
        </w:rPr>
        <w:t xml:space="preserve">  </w:t>
      </w:r>
      <w:r>
        <w:rPr>
          <w:rFonts w:ascii="黑体" w:hAnsi="黑体" w:eastAsia="黑体" w:cs="黑体"/>
          <w:b/>
          <w:bCs/>
          <w:spacing w:val="27"/>
          <w:sz w:val="24"/>
          <w:szCs w:val="24"/>
        </w:rPr>
        <w:t>相关硬件或软件的影响</w:t>
      </w:r>
    </w:p>
    <w:p w14:paraId="4C388295">
      <w:pPr>
        <w:pStyle w:val="2"/>
        <w:spacing w:before="86" w:line="289" w:lineRule="auto"/>
        <w:ind w:right="17" w:firstLine="560"/>
        <w:jc w:val="both"/>
      </w:pPr>
      <w:r>
        <w:rPr>
          <w:spacing w:val="5"/>
        </w:rPr>
        <w:t>明确由于专利或供货控制及其他原因，订购方不能拥有对某些硬件或软件</w:t>
      </w:r>
      <w:r>
        <w:rPr>
          <w:spacing w:val="10"/>
        </w:rPr>
        <w:t xml:space="preserve"> </w:t>
      </w:r>
      <w:r>
        <w:rPr>
          <w:spacing w:val="-10"/>
        </w:rPr>
        <w:t>的全部设计资料，明确这些硬件或软件，并考虑其对备选方案、费用、进度及功能</w:t>
      </w:r>
      <w:r>
        <w:rPr>
          <w:spacing w:val="12"/>
        </w:rPr>
        <w:t xml:space="preserve"> </w:t>
      </w:r>
      <w:r>
        <w:rPr>
          <w:spacing w:val="-1"/>
        </w:rPr>
        <w:t>等的影响。</w:t>
      </w:r>
    </w:p>
    <w:p w14:paraId="643EAE8D">
      <w:pPr>
        <w:spacing w:line="222"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4"/>
          <w:sz w:val="27"/>
          <w:szCs w:val="27"/>
        </w:rPr>
        <w:t xml:space="preserve">  </w:t>
      </w:r>
      <w:r>
        <w:rPr>
          <w:rFonts w:ascii="黑体" w:hAnsi="黑体" w:eastAsia="黑体" w:cs="黑体"/>
          <w:b/>
          <w:bCs/>
          <w:spacing w:val="-1"/>
          <w:sz w:val="27"/>
          <w:szCs w:val="27"/>
        </w:rPr>
        <w:t>制定目标及分析</w:t>
      </w:r>
    </w:p>
    <w:p w14:paraId="495C4036">
      <w:pPr>
        <w:pStyle w:val="2"/>
        <w:spacing w:before="99" w:line="289" w:lineRule="auto"/>
        <w:ind w:right="19" w:firstLine="560"/>
      </w:pPr>
      <w:r>
        <w:rPr>
          <w:spacing w:val="5"/>
        </w:rPr>
        <w:t>制定新研系统和设备的保障性、费用和战备完好性的目标。分析达到目标</w:t>
      </w:r>
      <w:r>
        <w:rPr>
          <w:spacing w:val="9"/>
        </w:rPr>
        <w:t xml:space="preserve"> </w:t>
      </w:r>
      <w:r>
        <w:rPr>
          <w:spacing w:val="1"/>
        </w:rPr>
        <w:t>的不确定因素及风险。</w:t>
      </w:r>
    </w:p>
    <w:p w14:paraId="0CE2BCC6">
      <w:pPr>
        <w:spacing w:before="1" w:line="221"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7"/>
          <w:sz w:val="27"/>
          <w:szCs w:val="27"/>
        </w:rPr>
        <w:t xml:space="preserve">  </w:t>
      </w:r>
      <w:r>
        <w:rPr>
          <w:rFonts w:ascii="黑体" w:hAnsi="黑体" w:eastAsia="黑体" w:cs="黑体"/>
          <w:b/>
          <w:bCs/>
          <w:spacing w:val="-1"/>
          <w:sz w:val="27"/>
          <w:szCs w:val="27"/>
        </w:rPr>
        <w:t>有关保障性风险分析</w:t>
      </w:r>
    </w:p>
    <w:p w14:paraId="3D907CF8">
      <w:pPr>
        <w:pStyle w:val="2"/>
        <w:spacing w:before="109" w:line="219" w:lineRule="auto"/>
        <w:ind w:left="560"/>
      </w:pPr>
      <w:r>
        <w:rPr>
          <w:spacing w:val="4"/>
        </w:rPr>
        <w:t>对与系统和设备计划采用的先进技术有关的保障性风险进行分析。</w:t>
      </w:r>
    </w:p>
    <w:p w14:paraId="4A5CC0AE">
      <w:pPr>
        <w:spacing w:before="106" w:line="222" w:lineRule="auto"/>
        <w:rPr>
          <w:rFonts w:ascii="黑体" w:hAnsi="黑体" w:eastAsia="黑体" w:cs="黑体"/>
          <w:sz w:val="27"/>
          <w:szCs w:val="27"/>
        </w:rPr>
      </w:pPr>
      <w:r>
        <w:rPr>
          <w:rFonts w:ascii="黑体" w:hAnsi="黑体" w:eastAsia="黑体" w:cs="黑体"/>
          <w:spacing w:val="-1"/>
          <w:sz w:val="27"/>
          <w:szCs w:val="27"/>
        </w:rPr>
        <w:t>8</w:t>
      </w:r>
      <w:r>
        <w:rPr>
          <w:rFonts w:ascii="黑体" w:hAnsi="黑体" w:eastAsia="黑体" w:cs="黑体"/>
          <w:spacing w:val="13"/>
          <w:sz w:val="27"/>
          <w:szCs w:val="27"/>
        </w:rPr>
        <w:t xml:space="preserve">  </w:t>
      </w:r>
      <w:r>
        <w:rPr>
          <w:rFonts w:ascii="黑体" w:hAnsi="黑体" w:eastAsia="黑体" w:cs="黑体"/>
          <w:b/>
          <w:bCs/>
          <w:spacing w:val="-1"/>
          <w:sz w:val="27"/>
          <w:szCs w:val="27"/>
        </w:rPr>
        <w:t>设计约束</w:t>
      </w:r>
    </w:p>
    <w:p w14:paraId="5BA7B30D">
      <w:pPr>
        <w:pStyle w:val="2"/>
        <w:spacing w:before="121" w:line="286" w:lineRule="auto"/>
        <w:ind w:firstLine="560"/>
        <w:jc w:val="both"/>
      </w:pPr>
      <w:r>
        <w:rPr>
          <w:spacing w:val="6"/>
        </w:rPr>
        <w:t>确定新研系统和设备的保障性及有关保障性的设计约束，这些约束</w:t>
      </w:r>
      <w:r>
        <w:rPr>
          <w:spacing w:val="5"/>
        </w:rPr>
        <w:t>应包括</w:t>
      </w:r>
      <w:r>
        <w:t xml:space="preserve"> </w:t>
      </w:r>
      <w:r>
        <w:rPr>
          <w:spacing w:val="6"/>
        </w:rPr>
        <w:t>考虑到危险物资、有害废料和环境污染等有关内容</w:t>
      </w:r>
      <w:r>
        <w:rPr>
          <w:spacing w:val="5"/>
        </w:rPr>
        <w:t>的定量及定性的约束。必须</w:t>
      </w:r>
      <w:r>
        <w:t xml:space="preserve"> </w:t>
      </w:r>
      <w:r>
        <w:rPr>
          <w:spacing w:val="6"/>
        </w:rPr>
        <w:t>保证研制任务书或合同内的参数只包括承制方</w:t>
      </w:r>
      <w:r>
        <w:rPr>
          <w:spacing w:val="5"/>
        </w:rPr>
        <w:t>通过设计及保障系统研制所能控</w:t>
      </w:r>
      <w:r>
        <w:t xml:space="preserve"> </w:t>
      </w:r>
      <w:r>
        <w:rPr>
          <w:spacing w:val="6"/>
        </w:rPr>
        <w:t>制的那些参数。订购方提供的设备与器材的保障问题、</w:t>
      </w:r>
      <w:r>
        <w:rPr>
          <w:spacing w:val="5"/>
        </w:rPr>
        <w:t>行政管理和后勤延误时</w:t>
      </w:r>
      <w:r>
        <w:t xml:space="preserve"> </w:t>
      </w:r>
      <w:r>
        <w:rPr>
          <w:spacing w:val="4"/>
        </w:rPr>
        <w:t>间及承制方控制之外的其他项目在这里也必须加以考虑。</w:t>
      </w:r>
    </w:p>
    <w:p w14:paraId="1D46F8DE">
      <w:pPr>
        <w:spacing w:before="17" w:line="224" w:lineRule="auto"/>
        <w:rPr>
          <w:rFonts w:ascii="黑体" w:hAnsi="黑体" w:eastAsia="黑体" w:cs="黑体"/>
          <w:sz w:val="24"/>
          <w:szCs w:val="24"/>
        </w:rPr>
      </w:pPr>
      <w:r>
        <w:rPr>
          <w:rFonts w:ascii="黑体" w:hAnsi="黑体" w:eastAsia="黑体" w:cs="黑体"/>
          <w:spacing w:val="27"/>
          <w:sz w:val="24"/>
          <w:szCs w:val="24"/>
        </w:rPr>
        <w:t>9</w:t>
      </w:r>
      <w:r>
        <w:rPr>
          <w:rFonts w:ascii="黑体" w:hAnsi="黑体" w:eastAsia="黑体" w:cs="黑体"/>
          <w:spacing w:val="37"/>
          <w:sz w:val="24"/>
          <w:szCs w:val="24"/>
        </w:rPr>
        <w:t xml:space="preserve">  </w:t>
      </w:r>
      <w:r>
        <w:rPr>
          <w:rFonts w:ascii="黑体" w:hAnsi="黑体" w:eastAsia="黑体" w:cs="黑体"/>
          <w:b/>
          <w:bCs/>
          <w:spacing w:val="27"/>
          <w:sz w:val="24"/>
          <w:szCs w:val="24"/>
        </w:rPr>
        <w:t>制定目标值及门限值</w:t>
      </w:r>
    </w:p>
    <w:p w14:paraId="243F3A8C">
      <w:pPr>
        <w:pStyle w:val="2"/>
        <w:spacing w:before="120" w:line="282" w:lineRule="auto"/>
        <w:ind w:right="12" w:firstLine="560"/>
      </w:pPr>
      <w:r>
        <w:rPr>
          <w:spacing w:val="5"/>
        </w:rPr>
        <w:t>制定保障性、费用和战备完好性的目标值和门限值。系统总的保障性初定</w:t>
      </w:r>
      <w:r>
        <w:rPr>
          <w:spacing w:val="16"/>
        </w:rPr>
        <w:t xml:space="preserve"> </w:t>
      </w:r>
      <w:r>
        <w:rPr>
          <w:spacing w:val="-6"/>
        </w:rPr>
        <w:t>目标、目标值与门限值必须分配和转换。</w:t>
      </w:r>
    </w:p>
    <w:p w14:paraId="2AA9A6BA">
      <w:pPr>
        <w:spacing w:before="1" w:line="221" w:lineRule="auto"/>
        <w:rPr>
          <w:rFonts w:ascii="黑体" w:hAnsi="黑体" w:eastAsia="黑体" w:cs="黑体"/>
          <w:sz w:val="27"/>
          <w:szCs w:val="27"/>
        </w:rPr>
      </w:pPr>
      <w:r>
        <w:rPr>
          <w:rFonts w:ascii="黑体" w:hAnsi="黑体" w:eastAsia="黑体" w:cs="黑体"/>
          <w:sz w:val="27"/>
          <w:szCs w:val="27"/>
        </w:rPr>
        <w:t>10</w:t>
      </w:r>
      <w:r>
        <w:rPr>
          <w:rFonts w:ascii="黑体" w:hAnsi="黑体" w:eastAsia="黑体" w:cs="黑体"/>
          <w:spacing w:val="25"/>
          <w:sz w:val="27"/>
          <w:szCs w:val="27"/>
        </w:rPr>
        <w:t xml:space="preserve">  </w:t>
      </w:r>
      <w:r>
        <w:rPr>
          <w:rFonts w:ascii="黑体" w:hAnsi="黑体" w:eastAsia="黑体" w:cs="黑体"/>
          <w:b/>
          <w:bCs/>
          <w:sz w:val="27"/>
          <w:szCs w:val="27"/>
        </w:rPr>
        <w:t>目标的修正</w:t>
      </w:r>
    </w:p>
    <w:p w14:paraId="50291C81">
      <w:pPr>
        <w:pStyle w:val="2"/>
        <w:spacing w:before="102" w:line="297" w:lineRule="auto"/>
        <w:ind w:right="9" w:firstLine="560"/>
      </w:pPr>
      <w:r>
        <w:rPr>
          <w:spacing w:val="-3"/>
        </w:rPr>
        <w:t>随着系统和设备备选方案的进一步细化，修正保障性、费用和战备完好性的</w:t>
      </w:r>
      <w:r>
        <w:rPr>
          <w:spacing w:val="8"/>
        </w:rPr>
        <w:t xml:space="preserve"> </w:t>
      </w:r>
      <w:r>
        <w:rPr>
          <w:spacing w:val="-13"/>
        </w:rPr>
        <w:t>目标。</w:t>
      </w:r>
    </w:p>
    <w:p w14:paraId="36E373BC">
      <w:pPr>
        <w:spacing w:line="242" w:lineRule="auto"/>
        <w:rPr>
          <w:rFonts w:ascii="Arial"/>
          <w:sz w:val="21"/>
        </w:rPr>
      </w:pPr>
    </w:p>
    <w:p w14:paraId="58A549EF">
      <w:pPr>
        <w:pStyle w:val="2"/>
        <w:spacing w:before="117" w:line="221" w:lineRule="auto"/>
        <w:ind w:left="3149"/>
        <w:outlineLvl w:val="1"/>
        <w:rPr>
          <w:sz w:val="36"/>
          <w:szCs w:val="36"/>
        </w:rPr>
      </w:pPr>
      <w:r>
        <w:rPr>
          <w:rFonts w:ascii="Times New Roman" w:hAnsi="Times New Roman" w:eastAsia="Times New Roman" w:cs="Times New Roman"/>
          <w:b/>
          <w:bCs/>
          <w:spacing w:val="-12"/>
          <w:sz w:val="36"/>
          <w:szCs w:val="36"/>
        </w:rPr>
        <w:t>10.13</w:t>
      </w:r>
      <w:r>
        <w:rPr>
          <w:rFonts w:ascii="Times New Roman" w:hAnsi="Times New Roman" w:eastAsia="Times New Roman" w:cs="Times New Roman"/>
          <w:b/>
          <w:bCs/>
          <w:spacing w:val="6"/>
          <w:sz w:val="36"/>
          <w:szCs w:val="36"/>
        </w:rPr>
        <w:t xml:space="preserve">     </w:t>
      </w:r>
      <w:r>
        <w:rPr>
          <w:b/>
          <w:bCs/>
          <w:spacing w:val="-12"/>
          <w:sz w:val="36"/>
          <w:szCs w:val="36"/>
        </w:rPr>
        <w:t>功</w:t>
      </w:r>
      <w:r>
        <w:rPr>
          <w:spacing w:val="-12"/>
          <w:sz w:val="36"/>
          <w:szCs w:val="36"/>
        </w:rPr>
        <w:t xml:space="preserve"> </w:t>
      </w:r>
      <w:r>
        <w:rPr>
          <w:b/>
          <w:bCs/>
          <w:spacing w:val="-12"/>
          <w:sz w:val="36"/>
          <w:szCs w:val="36"/>
        </w:rPr>
        <w:t>能</w:t>
      </w:r>
      <w:r>
        <w:rPr>
          <w:spacing w:val="-12"/>
          <w:sz w:val="36"/>
          <w:szCs w:val="36"/>
        </w:rPr>
        <w:t xml:space="preserve"> </w:t>
      </w:r>
      <w:r>
        <w:rPr>
          <w:b/>
          <w:bCs/>
          <w:spacing w:val="-12"/>
          <w:sz w:val="36"/>
          <w:szCs w:val="36"/>
        </w:rPr>
        <w:t>要</w:t>
      </w:r>
      <w:r>
        <w:rPr>
          <w:spacing w:val="-16"/>
          <w:sz w:val="36"/>
          <w:szCs w:val="36"/>
        </w:rPr>
        <w:t xml:space="preserve"> </w:t>
      </w:r>
      <w:r>
        <w:rPr>
          <w:b/>
          <w:bCs/>
          <w:spacing w:val="-12"/>
          <w:sz w:val="36"/>
          <w:szCs w:val="36"/>
        </w:rPr>
        <w:t>求</w:t>
      </w:r>
    </w:p>
    <w:p w14:paraId="25A2FA1B">
      <w:pPr>
        <w:spacing w:line="333" w:lineRule="auto"/>
        <w:rPr>
          <w:rFonts w:ascii="Arial"/>
          <w:sz w:val="21"/>
        </w:rPr>
      </w:pPr>
    </w:p>
    <w:p w14:paraId="503412DA">
      <w:pPr>
        <w:pStyle w:val="2"/>
        <w:spacing w:before="92" w:line="226" w:lineRule="auto"/>
        <w:ind w:left="560"/>
        <w:rPr>
          <w:rFonts w:ascii="楷体" w:hAnsi="楷体" w:eastAsia="楷体" w:cs="楷体"/>
          <w:sz w:val="28"/>
          <w:szCs w:val="28"/>
        </w:rPr>
      </w:pPr>
      <w:r>
        <w:rPr>
          <w:rFonts w:ascii="楷体" w:hAnsi="楷体" w:eastAsia="楷体" w:cs="楷体"/>
          <w:spacing w:val="-13"/>
          <w:sz w:val="28"/>
          <w:szCs w:val="28"/>
        </w:rPr>
        <w:t>按照</w:t>
      </w:r>
      <w:r>
        <w:rPr>
          <w:rFonts w:ascii="Times New Roman" w:hAnsi="Times New Roman" w:eastAsia="Times New Roman" w:cs="Times New Roman"/>
          <w:spacing w:val="-13"/>
          <w:sz w:val="28"/>
          <w:szCs w:val="28"/>
        </w:rPr>
        <w:t>GJB</w:t>
      </w:r>
      <w:r>
        <w:rPr>
          <w:rFonts w:ascii="Times New Roman" w:hAnsi="Times New Roman" w:eastAsia="Times New Roman" w:cs="Times New Roman"/>
          <w:spacing w:val="37"/>
          <w:sz w:val="28"/>
          <w:szCs w:val="28"/>
        </w:rPr>
        <w:t xml:space="preserve"> </w:t>
      </w:r>
      <w:r>
        <w:rPr>
          <w:rFonts w:ascii="Times New Roman" w:hAnsi="Times New Roman" w:eastAsia="Times New Roman" w:cs="Times New Roman"/>
          <w:spacing w:val="-13"/>
          <w:sz w:val="28"/>
          <w:szCs w:val="28"/>
        </w:rPr>
        <w:t>1371—1992</w:t>
      </w:r>
      <w:r>
        <w:rPr>
          <w:spacing w:val="-13"/>
          <w:sz w:val="28"/>
          <w:szCs w:val="28"/>
        </w:rPr>
        <w:t>《</w:t>
      </w:r>
      <w:r>
        <w:rPr>
          <w:rFonts w:ascii="楷体" w:hAnsi="楷体" w:eastAsia="楷体" w:cs="楷体"/>
          <w:spacing w:val="-13"/>
          <w:sz w:val="28"/>
          <w:szCs w:val="28"/>
        </w:rPr>
        <w:t>装备保障性分析》编写。</w:t>
      </w:r>
    </w:p>
    <w:p w14:paraId="1A81F546">
      <w:pPr>
        <w:spacing w:before="66"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0FA1564D">
      <w:pPr>
        <w:spacing w:before="10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0FF7B4AF">
      <w:pPr>
        <w:spacing w:line="222" w:lineRule="auto"/>
        <w:rPr>
          <w:rFonts w:ascii="黑体" w:hAnsi="黑体" w:eastAsia="黑体" w:cs="黑体"/>
          <w:sz w:val="27"/>
          <w:szCs w:val="27"/>
        </w:rPr>
        <w:sectPr>
          <w:footerReference r:id="rId517" w:type="default"/>
          <w:pgSz w:w="11910" w:h="17130"/>
          <w:pgMar w:top="400" w:right="1329" w:bottom="1586" w:left="1190" w:header="0" w:footer="1397" w:gutter="0"/>
          <w:cols w:space="720" w:num="1"/>
        </w:sectPr>
      </w:pPr>
    </w:p>
    <w:p w14:paraId="46DA256A">
      <w:pPr>
        <w:spacing w:line="269" w:lineRule="auto"/>
        <w:rPr>
          <w:rFonts w:ascii="Arial"/>
          <w:sz w:val="21"/>
        </w:rPr>
      </w:pPr>
    </w:p>
    <w:p w14:paraId="48B577FE">
      <w:pPr>
        <w:spacing w:line="269" w:lineRule="auto"/>
        <w:rPr>
          <w:rFonts w:ascii="Arial"/>
          <w:sz w:val="21"/>
        </w:rPr>
      </w:pPr>
    </w:p>
    <w:p w14:paraId="7D2A3033">
      <w:pPr>
        <w:spacing w:line="269" w:lineRule="auto"/>
        <w:rPr>
          <w:rFonts w:ascii="Arial"/>
          <w:sz w:val="21"/>
        </w:rPr>
      </w:pPr>
    </w:p>
    <w:p w14:paraId="3F35A8D7">
      <w:pPr>
        <w:spacing w:line="270" w:lineRule="auto"/>
        <w:rPr>
          <w:rFonts w:ascii="Arial"/>
          <w:sz w:val="21"/>
        </w:rPr>
      </w:pPr>
    </w:p>
    <w:p w14:paraId="203EAB31">
      <w:pPr>
        <w:spacing w:before="87" w:line="368" w:lineRule="exact"/>
        <w:rPr>
          <w:rFonts w:ascii="黑体" w:hAnsi="黑体" w:eastAsia="黑体" w:cs="黑体"/>
          <w:sz w:val="27"/>
          <w:szCs w:val="27"/>
        </w:rPr>
      </w:pPr>
      <w:r>
        <w:rPr>
          <w:rFonts w:ascii="Arial" w:hAnsi="Arial" w:eastAsia="Arial" w:cs="Arial"/>
          <w:spacing w:val="-6"/>
          <w:position w:val="1"/>
          <w:sz w:val="27"/>
          <w:szCs w:val="27"/>
        </w:rPr>
        <w:t>3</w:t>
      </w:r>
      <w:r>
        <w:rPr>
          <w:rFonts w:ascii="Arial" w:hAnsi="Arial" w:eastAsia="Arial" w:cs="Arial"/>
          <w:spacing w:val="21"/>
          <w:w w:val="101"/>
          <w:position w:val="1"/>
          <w:sz w:val="27"/>
          <w:szCs w:val="27"/>
        </w:rPr>
        <w:t xml:space="preserve">   </w:t>
      </w:r>
      <w:r>
        <w:rPr>
          <w:rFonts w:ascii="黑体" w:hAnsi="黑体" w:eastAsia="黑体" w:cs="黑体"/>
          <w:spacing w:val="-6"/>
          <w:position w:val="1"/>
          <w:sz w:val="27"/>
          <w:szCs w:val="27"/>
        </w:rPr>
        <w:t>使用、维修与保障的功能</w:t>
      </w:r>
    </w:p>
    <w:p w14:paraId="7E3DE173">
      <w:pPr>
        <w:pStyle w:val="2"/>
        <w:spacing w:before="82" w:line="273" w:lineRule="auto"/>
        <w:ind w:firstLine="560"/>
        <w:jc w:val="both"/>
      </w:pPr>
      <w:r>
        <w:rPr>
          <w:spacing w:val="6"/>
        </w:rPr>
        <w:t>确定系统和设备的每一备选方案在预期的使用环境中使用、维修与保障必</w:t>
      </w:r>
      <w:r>
        <w:rPr>
          <w:spacing w:val="9"/>
        </w:rPr>
        <w:t xml:space="preserve"> </w:t>
      </w:r>
      <w:r>
        <w:rPr>
          <w:spacing w:val="5"/>
        </w:rPr>
        <w:t>须具备的功能。确定这些功能(包括平时和战时)时，应使其达到与设计和使用</w:t>
      </w:r>
      <w:r>
        <w:rPr>
          <w:spacing w:val="16"/>
        </w:rPr>
        <w:t xml:space="preserve"> </w:t>
      </w:r>
      <w:r>
        <w:rPr>
          <w:spacing w:val="5"/>
        </w:rPr>
        <w:t>情况相一致的层次。应确定与这些功能有关的危险物资、有害废料和环境污染</w:t>
      </w:r>
      <w:r>
        <w:t xml:space="preserve"> </w:t>
      </w:r>
      <w:r>
        <w:rPr>
          <w:spacing w:val="-2"/>
        </w:rPr>
        <w:t>等公害。功能要求的重点有：系统和设备的保障</w:t>
      </w:r>
      <w:r>
        <w:rPr>
          <w:spacing w:val="-3"/>
        </w:rPr>
        <w:t>性、费用或战备完好性的主宰因</w:t>
      </w:r>
      <w:r>
        <w:t xml:space="preserve"> </w:t>
      </w:r>
      <w:r>
        <w:rPr>
          <w:spacing w:val="5"/>
        </w:rPr>
        <w:t>素，或者是根据新设计技术或新使用方案必须完成的新功能。可用功能流程图</w:t>
      </w:r>
      <w:r>
        <w:rPr>
          <w:spacing w:val="12"/>
        </w:rPr>
        <w:t xml:space="preserve"> </w:t>
      </w:r>
      <w:r>
        <w:rPr>
          <w:spacing w:val="3"/>
        </w:rPr>
        <w:t>确定功能要求及功能间相互关系。</w:t>
      </w:r>
    </w:p>
    <w:p w14:paraId="7FF61215">
      <w:pPr>
        <w:spacing w:before="41" w:line="221" w:lineRule="auto"/>
        <w:rPr>
          <w:rFonts w:ascii="黑体" w:hAnsi="黑体" w:eastAsia="黑体" w:cs="黑体"/>
          <w:sz w:val="27"/>
          <w:szCs w:val="27"/>
        </w:rPr>
      </w:pPr>
      <w:r>
        <w:rPr>
          <w:rFonts w:ascii="黑体" w:hAnsi="黑体" w:eastAsia="黑体" w:cs="黑体"/>
          <w:spacing w:val="5"/>
          <w:sz w:val="27"/>
          <w:szCs w:val="27"/>
        </w:rPr>
        <w:t>4  独特功能要求</w:t>
      </w:r>
    </w:p>
    <w:p w14:paraId="4F88CFED">
      <w:pPr>
        <w:pStyle w:val="2"/>
        <w:spacing w:before="70" w:line="280" w:lineRule="auto"/>
        <w:ind w:right="24" w:firstLine="560"/>
        <w:jc w:val="both"/>
      </w:pPr>
      <w:r>
        <w:rPr>
          <w:spacing w:val="5"/>
        </w:rPr>
        <w:t>确定由于采用新的设计技术或使用方案而使新研系统和设备具有的独特功</w:t>
      </w:r>
      <w:r>
        <w:rPr>
          <w:spacing w:val="16"/>
        </w:rPr>
        <w:t xml:space="preserve"> </w:t>
      </w:r>
      <w:r>
        <w:rPr>
          <w:spacing w:val="-2"/>
        </w:rPr>
        <w:t>能要求，或确定那些属于新研系统和设备的保障</w:t>
      </w:r>
      <w:r>
        <w:rPr>
          <w:spacing w:val="-3"/>
        </w:rPr>
        <w:t>性、费用和战备完好性的主宰因</w:t>
      </w:r>
      <w:r>
        <w:t xml:space="preserve"> </w:t>
      </w:r>
      <w:r>
        <w:rPr>
          <w:spacing w:val="-3"/>
        </w:rPr>
        <w:t>素的功能要求。适用时，还应鉴别与这些功能有关的危险物资、有害废料和环境</w:t>
      </w:r>
      <w:r>
        <w:rPr>
          <w:spacing w:val="5"/>
        </w:rPr>
        <w:t xml:space="preserve"> </w:t>
      </w:r>
      <w:r>
        <w:t>污染等公害。</w:t>
      </w:r>
    </w:p>
    <w:p w14:paraId="5A5DBDF3">
      <w:pPr>
        <w:spacing w:line="221" w:lineRule="auto"/>
        <w:rPr>
          <w:rFonts w:ascii="黑体" w:hAnsi="黑体" w:eastAsia="黑体" w:cs="黑体"/>
          <w:sz w:val="27"/>
          <w:szCs w:val="27"/>
        </w:rPr>
      </w:pPr>
      <w:r>
        <w:rPr>
          <w:rFonts w:ascii="黑体" w:hAnsi="黑体" w:eastAsia="黑体" w:cs="黑体"/>
          <w:spacing w:val="3"/>
          <w:sz w:val="27"/>
          <w:szCs w:val="27"/>
        </w:rPr>
        <w:t>5</w:t>
      </w:r>
      <w:r>
        <w:rPr>
          <w:rFonts w:ascii="黑体" w:hAnsi="黑体" w:eastAsia="黑体" w:cs="黑体"/>
          <w:spacing w:val="9"/>
          <w:sz w:val="27"/>
          <w:szCs w:val="27"/>
        </w:rPr>
        <w:t xml:space="preserve">  </w:t>
      </w:r>
      <w:r>
        <w:rPr>
          <w:rFonts w:ascii="黑体" w:hAnsi="黑体" w:eastAsia="黑体" w:cs="黑体"/>
          <w:spacing w:val="3"/>
          <w:sz w:val="27"/>
          <w:szCs w:val="27"/>
        </w:rPr>
        <w:t>风险分析</w:t>
      </w:r>
    </w:p>
    <w:p w14:paraId="4F0C7497">
      <w:pPr>
        <w:pStyle w:val="2"/>
        <w:spacing w:before="87" w:line="219" w:lineRule="auto"/>
        <w:ind w:left="560"/>
      </w:pPr>
      <w:r>
        <w:rPr>
          <w:spacing w:val="4"/>
        </w:rPr>
        <w:t>确定满足新研系统和设备功能要求的风险。</w:t>
      </w:r>
    </w:p>
    <w:p w14:paraId="266A12CB">
      <w:pPr>
        <w:spacing w:before="117" w:line="222" w:lineRule="auto"/>
        <w:rPr>
          <w:rFonts w:ascii="黑体" w:hAnsi="黑体" w:eastAsia="黑体" w:cs="黑体"/>
          <w:sz w:val="24"/>
          <w:szCs w:val="24"/>
        </w:rPr>
      </w:pPr>
      <w:r>
        <w:rPr>
          <w:rFonts w:ascii="黑体" w:hAnsi="黑体" w:eastAsia="黑体" w:cs="黑体"/>
          <w:spacing w:val="31"/>
          <w:sz w:val="24"/>
          <w:szCs w:val="24"/>
        </w:rPr>
        <w:t>6</w:t>
      </w:r>
      <w:r>
        <w:rPr>
          <w:rFonts w:ascii="黑体" w:hAnsi="黑体" w:eastAsia="黑体" w:cs="黑体"/>
          <w:spacing w:val="37"/>
          <w:sz w:val="24"/>
          <w:szCs w:val="24"/>
        </w:rPr>
        <w:t xml:space="preserve">  </w:t>
      </w:r>
      <w:r>
        <w:rPr>
          <w:rFonts w:ascii="黑体" w:hAnsi="黑体" w:eastAsia="黑体" w:cs="黑体"/>
          <w:spacing w:val="31"/>
          <w:sz w:val="24"/>
          <w:szCs w:val="24"/>
        </w:rPr>
        <w:t>使用与维修工作</w:t>
      </w:r>
    </w:p>
    <w:p w14:paraId="14102241">
      <w:pPr>
        <w:pStyle w:val="2"/>
        <w:spacing w:before="104" w:line="279" w:lineRule="auto"/>
        <w:ind w:right="7" w:firstLine="560"/>
        <w:jc w:val="both"/>
      </w:pPr>
      <w:r>
        <w:rPr>
          <w:spacing w:val="6"/>
        </w:rPr>
        <w:t>根据已确定的功能要求，确定系统和设备的使用与维修工作。确定这些工</w:t>
      </w:r>
      <w:r>
        <w:rPr>
          <w:spacing w:val="1"/>
        </w:rPr>
        <w:t xml:space="preserve"> </w:t>
      </w:r>
      <w:r>
        <w:rPr>
          <w:spacing w:val="-2"/>
        </w:rPr>
        <w:t>作时，应使其达到与设计和使用情况相一致的层次，这些</w:t>
      </w:r>
      <w:r>
        <w:rPr>
          <w:spacing w:val="-3"/>
        </w:rPr>
        <w:t>工作应涉及需要的保障</w:t>
      </w:r>
      <w:r>
        <w:t xml:space="preserve"> </w:t>
      </w:r>
      <w:r>
        <w:rPr>
          <w:spacing w:val="-3"/>
        </w:rPr>
        <w:t>资源的全部功能。还应确定与每项工作有关的危险物资、废料的产生，有害气体</w:t>
      </w:r>
      <w:r>
        <w:rPr>
          <w:spacing w:val="5"/>
        </w:rPr>
        <w:t xml:space="preserve"> </w:t>
      </w:r>
      <w:r>
        <w:rPr>
          <w:spacing w:val="3"/>
        </w:rPr>
        <w:t>和污水的排放以及对环境的影响。</w:t>
      </w:r>
    </w:p>
    <w:p w14:paraId="63CDDCA9">
      <w:pPr>
        <w:spacing w:before="15" w:line="222" w:lineRule="auto"/>
        <w:rPr>
          <w:rFonts w:ascii="黑体" w:hAnsi="黑体" w:eastAsia="黑体" w:cs="黑体"/>
          <w:sz w:val="24"/>
          <w:szCs w:val="24"/>
        </w:rPr>
      </w:pPr>
      <w:r>
        <w:rPr>
          <w:rFonts w:ascii="黑体" w:hAnsi="黑体" w:eastAsia="黑体" w:cs="黑体"/>
          <w:spacing w:val="25"/>
          <w:sz w:val="24"/>
          <w:szCs w:val="24"/>
        </w:rPr>
        <w:t>6.1</w:t>
      </w:r>
      <w:r>
        <w:rPr>
          <w:rFonts w:ascii="黑体" w:hAnsi="黑体" w:eastAsia="黑体" w:cs="黑体"/>
          <w:spacing w:val="56"/>
          <w:sz w:val="24"/>
          <w:szCs w:val="24"/>
        </w:rPr>
        <w:t xml:space="preserve">  </w:t>
      </w:r>
      <w:r>
        <w:rPr>
          <w:rFonts w:ascii="黑体" w:hAnsi="黑体" w:eastAsia="黑体" w:cs="黑体"/>
          <w:spacing w:val="25"/>
          <w:sz w:val="24"/>
          <w:szCs w:val="24"/>
        </w:rPr>
        <w:t>修复性维修工作要求</w:t>
      </w:r>
    </w:p>
    <w:p w14:paraId="49D74D6E">
      <w:pPr>
        <w:pStyle w:val="2"/>
        <w:spacing w:before="95" w:line="278" w:lineRule="auto"/>
        <w:ind w:right="30" w:firstLine="560"/>
        <w:jc w:val="both"/>
      </w:pPr>
      <w:r>
        <w:rPr>
          <w:spacing w:val="-3"/>
        </w:rPr>
        <w:t>以系统和设备的硬件与软件为对象，对故障模式、影响及危害性分析或等效</w:t>
      </w:r>
      <w:r>
        <w:t xml:space="preserve"> </w:t>
      </w:r>
      <w:r>
        <w:rPr>
          <w:spacing w:val="5"/>
        </w:rPr>
        <w:t>分析的结果进行分析，以便确定修复性维修工作要求。这种分析要达到订购方</w:t>
      </w:r>
      <w:r>
        <w:t xml:space="preserve"> </w:t>
      </w:r>
      <w:r>
        <w:rPr>
          <w:spacing w:val="3"/>
        </w:rPr>
        <w:t>规定的和设计进展相一致的层次。</w:t>
      </w:r>
    </w:p>
    <w:p w14:paraId="28E9BF58">
      <w:pPr>
        <w:spacing w:before="36" w:line="221" w:lineRule="auto"/>
        <w:rPr>
          <w:rFonts w:ascii="黑体" w:hAnsi="黑体" w:eastAsia="黑体" w:cs="黑体"/>
          <w:sz w:val="24"/>
          <w:szCs w:val="24"/>
        </w:rPr>
      </w:pPr>
      <w:r>
        <w:rPr>
          <w:rFonts w:ascii="黑体" w:hAnsi="黑体" w:eastAsia="黑体" w:cs="黑体"/>
          <w:spacing w:val="27"/>
          <w:sz w:val="24"/>
          <w:szCs w:val="24"/>
        </w:rPr>
        <w:t>6.2</w:t>
      </w:r>
      <w:r>
        <w:rPr>
          <w:rFonts w:ascii="黑体" w:hAnsi="黑体" w:eastAsia="黑体" w:cs="黑体"/>
          <w:spacing w:val="44"/>
          <w:sz w:val="24"/>
          <w:szCs w:val="24"/>
        </w:rPr>
        <w:t xml:space="preserve">  </w:t>
      </w:r>
      <w:r>
        <w:rPr>
          <w:rFonts w:ascii="黑体" w:hAnsi="黑体" w:eastAsia="黑体" w:cs="黑体"/>
          <w:spacing w:val="27"/>
          <w:sz w:val="24"/>
          <w:szCs w:val="24"/>
        </w:rPr>
        <w:t>预防性维修工作要求</w:t>
      </w:r>
    </w:p>
    <w:p w14:paraId="52D68888">
      <w:pPr>
        <w:pStyle w:val="2"/>
        <w:spacing w:before="94" w:line="276" w:lineRule="auto"/>
        <w:ind w:right="26" w:firstLine="560"/>
        <w:jc w:val="both"/>
      </w:pPr>
      <w:r>
        <w:rPr>
          <w:spacing w:val="5"/>
        </w:rPr>
        <w:t>按照订购方提供的详细指南进行以可靠性为中心的维修分析，以确定预防</w:t>
      </w:r>
      <w:r>
        <w:rPr>
          <w:spacing w:val="14"/>
        </w:rPr>
        <w:t xml:space="preserve"> </w:t>
      </w:r>
      <w:r>
        <w:rPr>
          <w:spacing w:val="-3"/>
        </w:rPr>
        <w:t>性维修工作要求。以可靠性为中心的维修分析，应根据故障模式、影响及危害性</w:t>
      </w:r>
      <w:r>
        <w:rPr>
          <w:spacing w:val="4"/>
        </w:rPr>
        <w:t xml:space="preserve"> 分析的数据进行。</w:t>
      </w:r>
    </w:p>
    <w:p w14:paraId="592A6F91">
      <w:pPr>
        <w:spacing w:before="1" w:line="221" w:lineRule="auto"/>
        <w:rPr>
          <w:rFonts w:ascii="黑体" w:hAnsi="黑体" w:eastAsia="黑体" w:cs="黑体"/>
          <w:sz w:val="27"/>
          <w:szCs w:val="27"/>
        </w:rPr>
      </w:pPr>
      <w:r>
        <w:rPr>
          <w:rFonts w:ascii="黑体" w:hAnsi="黑体" w:eastAsia="黑体" w:cs="黑体"/>
          <w:sz w:val="27"/>
          <w:szCs w:val="27"/>
        </w:rPr>
        <w:t>6.3</w:t>
      </w:r>
      <w:r>
        <w:rPr>
          <w:rFonts w:ascii="黑体" w:hAnsi="黑体" w:eastAsia="黑体" w:cs="黑体"/>
          <w:spacing w:val="34"/>
          <w:sz w:val="27"/>
          <w:szCs w:val="27"/>
        </w:rPr>
        <w:t xml:space="preserve">  </w:t>
      </w:r>
      <w:r>
        <w:rPr>
          <w:rFonts w:ascii="黑体" w:hAnsi="黑体" w:eastAsia="黑体" w:cs="黑体"/>
          <w:sz w:val="27"/>
          <w:szCs w:val="27"/>
        </w:rPr>
        <w:t>使用和其他保障工作</w:t>
      </w:r>
    </w:p>
    <w:p w14:paraId="1B277F69">
      <w:pPr>
        <w:pStyle w:val="2"/>
        <w:spacing w:before="118" w:line="275" w:lineRule="auto"/>
        <w:ind w:right="29" w:firstLine="560"/>
        <w:jc w:val="both"/>
      </w:pPr>
      <w:r>
        <w:rPr>
          <w:spacing w:val="-3"/>
        </w:rPr>
        <w:t>既不能用故障模式、影响及危害性分析，也不能用以可靠性为中心的维修分</w:t>
      </w:r>
      <w:r>
        <w:t xml:space="preserve"> </w:t>
      </w:r>
      <w:r>
        <w:rPr>
          <w:spacing w:val="6"/>
        </w:rPr>
        <w:t>析确定的使用和其他保障工作，应通过对系统和</w:t>
      </w:r>
      <w:r>
        <w:rPr>
          <w:spacing w:val="5"/>
        </w:rPr>
        <w:t>设备的功能要求及预期的使用</w:t>
      </w:r>
      <w:r>
        <w:t xml:space="preserve"> </w:t>
      </w:r>
      <w:r>
        <w:rPr>
          <w:spacing w:val="1"/>
        </w:rPr>
        <w:t>情况分析加以确定。</w:t>
      </w:r>
    </w:p>
    <w:p w14:paraId="587273FD">
      <w:pPr>
        <w:spacing w:before="2" w:line="220" w:lineRule="auto"/>
        <w:rPr>
          <w:rFonts w:ascii="黑体" w:hAnsi="黑体" w:eastAsia="黑体" w:cs="黑体"/>
          <w:sz w:val="27"/>
          <w:szCs w:val="27"/>
        </w:rPr>
      </w:pPr>
      <w:r>
        <w:rPr>
          <w:rFonts w:ascii="黑体" w:hAnsi="黑体" w:eastAsia="黑体" w:cs="黑体"/>
          <w:spacing w:val="2"/>
          <w:sz w:val="27"/>
          <w:szCs w:val="27"/>
        </w:rPr>
        <w:t>7</w:t>
      </w:r>
      <w:r>
        <w:rPr>
          <w:rFonts w:ascii="黑体" w:hAnsi="黑体" w:eastAsia="黑体" w:cs="黑体"/>
          <w:spacing w:val="15"/>
          <w:sz w:val="27"/>
          <w:szCs w:val="27"/>
        </w:rPr>
        <w:t xml:space="preserve">  </w:t>
      </w:r>
      <w:r>
        <w:rPr>
          <w:rFonts w:ascii="黑体" w:hAnsi="黑体" w:eastAsia="黑体" w:cs="黑体"/>
          <w:spacing w:val="2"/>
          <w:sz w:val="27"/>
          <w:szCs w:val="27"/>
        </w:rPr>
        <w:t>发现的设计缺陷</w:t>
      </w:r>
    </w:p>
    <w:p w14:paraId="735578C5">
      <w:pPr>
        <w:pStyle w:val="2"/>
        <w:spacing w:before="89" w:line="295" w:lineRule="auto"/>
        <w:ind w:right="44" w:firstLine="560"/>
      </w:pPr>
      <w:r>
        <w:rPr>
          <w:spacing w:val="5"/>
        </w:rPr>
        <w:t>参与系统和设备备选方案的制定，以便在确定功能要求或使用与</w:t>
      </w:r>
      <w:r>
        <w:rPr>
          <w:spacing w:val="4"/>
        </w:rPr>
        <w:t>维修工作</w:t>
      </w:r>
      <w:r>
        <w:t xml:space="preserve"> </w:t>
      </w:r>
      <w:r>
        <w:rPr>
          <w:spacing w:val="5"/>
        </w:rPr>
        <w:t>要求过程中发现需要纠正和重新设计的设计缺陷。应分析那些能减少或简</w:t>
      </w:r>
      <w:r>
        <w:rPr>
          <w:spacing w:val="4"/>
        </w:rPr>
        <w:t>化保</w:t>
      </w:r>
    </w:p>
    <w:p w14:paraId="56F53073">
      <w:pPr>
        <w:spacing w:line="295" w:lineRule="auto"/>
        <w:sectPr>
          <w:footerReference r:id="rId518" w:type="default"/>
          <w:pgSz w:w="11910" w:h="17130"/>
          <w:pgMar w:top="400" w:right="1007" w:bottom="1543" w:left="1499" w:header="0" w:footer="1345" w:gutter="0"/>
          <w:cols w:space="720" w:num="1"/>
        </w:sectPr>
      </w:pPr>
    </w:p>
    <w:p w14:paraId="1590BC96">
      <w:pPr>
        <w:spacing w:line="299" w:lineRule="auto"/>
        <w:rPr>
          <w:rFonts w:ascii="Arial"/>
          <w:sz w:val="21"/>
        </w:rPr>
      </w:pPr>
    </w:p>
    <w:p w14:paraId="481E66F3">
      <w:pPr>
        <w:spacing w:line="299" w:lineRule="auto"/>
        <w:rPr>
          <w:rFonts w:ascii="Arial"/>
          <w:sz w:val="21"/>
        </w:rPr>
      </w:pPr>
    </w:p>
    <w:p w14:paraId="31822711">
      <w:pPr>
        <w:spacing w:line="299" w:lineRule="auto"/>
        <w:rPr>
          <w:rFonts w:ascii="Arial"/>
          <w:sz w:val="21"/>
        </w:rPr>
      </w:pPr>
    </w:p>
    <w:p w14:paraId="2BD06581">
      <w:pPr>
        <w:spacing w:line="299" w:lineRule="auto"/>
        <w:rPr>
          <w:rFonts w:ascii="Arial"/>
          <w:sz w:val="21"/>
        </w:rPr>
      </w:pPr>
    </w:p>
    <w:p w14:paraId="6BEFB9E4">
      <w:pPr>
        <w:pStyle w:val="2"/>
        <w:spacing w:before="87" w:line="219" w:lineRule="auto"/>
      </w:pPr>
      <w:r>
        <w:t>障功能的设计备选方案。</w:t>
      </w:r>
    </w:p>
    <w:p w14:paraId="583E2C9B">
      <w:pPr>
        <w:spacing w:before="73" w:line="222" w:lineRule="auto"/>
        <w:rPr>
          <w:rFonts w:ascii="黑体" w:hAnsi="黑体" w:eastAsia="黑体" w:cs="黑体"/>
          <w:sz w:val="27"/>
          <w:szCs w:val="27"/>
        </w:rPr>
      </w:pPr>
      <w:r>
        <w:rPr>
          <w:rFonts w:ascii="黑体" w:hAnsi="黑体" w:eastAsia="黑体" w:cs="黑体"/>
          <w:spacing w:val="3"/>
          <w:sz w:val="27"/>
          <w:szCs w:val="27"/>
        </w:rPr>
        <w:t xml:space="preserve">8  </w:t>
      </w:r>
      <w:r>
        <w:rPr>
          <w:rFonts w:ascii="黑体" w:hAnsi="黑体" w:eastAsia="黑体" w:cs="黑体"/>
          <w:b/>
          <w:bCs/>
          <w:spacing w:val="3"/>
          <w:sz w:val="27"/>
          <w:szCs w:val="27"/>
        </w:rPr>
        <w:t>保障功能要求和使用与维修工作要求的修正</w:t>
      </w:r>
    </w:p>
    <w:p w14:paraId="04DC732B">
      <w:pPr>
        <w:pStyle w:val="2"/>
        <w:spacing w:before="40" w:line="303" w:lineRule="auto"/>
        <w:ind w:right="106" w:firstLine="570"/>
      </w:pPr>
      <w:r>
        <w:rPr>
          <w:spacing w:val="-3"/>
        </w:rPr>
        <w:t>随着系统和设备设计的进一步细化，或有更好的数据时，应修正保障功能要</w:t>
      </w:r>
      <w:r>
        <w:rPr>
          <w:spacing w:val="1"/>
        </w:rPr>
        <w:t xml:space="preserve"> 求和使用与维修工作要求。</w:t>
      </w:r>
    </w:p>
    <w:p w14:paraId="3DAA1648">
      <w:pPr>
        <w:pStyle w:val="2"/>
        <w:spacing w:before="303" w:line="219" w:lineRule="auto"/>
        <w:ind w:left="2419"/>
        <w:rPr>
          <w:sz w:val="36"/>
          <w:szCs w:val="36"/>
        </w:rPr>
      </w:pPr>
      <w:r>
        <w:rPr>
          <w:spacing w:val="3"/>
          <w:sz w:val="36"/>
          <w:szCs w:val="36"/>
        </w:rPr>
        <w:t>10.1</w:t>
      </w:r>
      <w:r>
        <w:rPr>
          <w:b/>
          <w:bCs/>
          <w:spacing w:val="3"/>
          <w:sz w:val="36"/>
          <w:szCs w:val="36"/>
        </w:rPr>
        <w:t>4</w:t>
      </w:r>
      <w:r>
        <w:rPr>
          <w:spacing w:val="3"/>
          <w:sz w:val="36"/>
          <w:szCs w:val="36"/>
        </w:rPr>
        <w:t xml:space="preserve">  </w:t>
      </w:r>
      <w:r>
        <w:rPr>
          <w:b/>
          <w:bCs/>
          <w:spacing w:val="3"/>
          <w:sz w:val="36"/>
          <w:szCs w:val="36"/>
        </w:rPr>
        <w:t>保障系统的备选方案</w:t>
      </w:r>
    </w:p>
    <w:p w14:paraId="22B7C96A">
      <w:pPr>
        <w:spacing w:line="357" w:lineRule="auto"/>
        <w:rPr>
          <w:rFonts w:ascii="Arial"/>
          <w:sz w:val="21"/>
        </w:rPr>
      </w:pPr>
    </w:p>
    <w:p w14:paraId="0A61DF69">
      <w:pPr>
        <w:pStyle w:val="2"/>
        <w:spacing w:before="78" w:line="313" w:lineRule="auto"/>
        <w:ind w:left="3" w:right="116" w:firstLine="570"/>
        <w:rPr>
          <w:rFonts w:ascii="楷体" w:hAnsi="楷体" w:eastAsia="楷体" w:cs="楷体"/>
          <w:sz w:val="24"/>
          <w:szCs w:val="24"/>
        </w:rPr>
      </w:pPr>
      <w:r>
        <w:rPr>
          <w:rFonts w:ascii="楷体" w:hAnsi="楷体" w:eastAsia="楷体" w:cs="楷体"/>
          <w:b/>
          <w:bCs/>
          <w:spacing w:val="8"/>
          <w:sz w:val="24"/>
          <w:szCs w:val="24"/>
        </w:rPr>
        <w:t>按</w:t>
      </w:r>
      <w:r>
        <w:rPr>
          <w:rFonts w:ascii="楷体" w:hAnsi="楷体" w:eastAsia="楷体" w:cs="楷体"/>
          <w:spacing w:val="8"/>
          <w:sz w:val="24"/>
          <w:szCs w:val="24"/>
        </w:rPr>
        <w:t xml:space="preserve"> </w:t>
      </w:r>
      <w:r>
        <w:rPr>
          <w:rFonts w:ascii="楷体" w:hAnsi="楷体" w:eastAsia="楷体" w:cs="楷体"/>
          <w:b/>
          <w:bCs/>
          <w:spacing w:val="8"/>
          <w:sz w:val="24"/>
          <w:szCs w:val="24"/>
        </w:rPr>
        <w:t>照</w:t>
      </w:r>
      <w:r>
        <w:rPr>
          <w:rFonts w:ascii="Times New Roman" w:hAnsi="Times New Roman" w:eastAsia="Times New Roman" w:cs="Times New Roman"/>
          <w:b/>
          <w:bCs/>
          <w:sz w:val="24"/>
          <w:szCs w:val="24"/>
        </w:rPr>
        <w:t>GJB</w:t>
      </w:r>
      <w:r>
        <w:rPr>
          <w:rFonts w:ascii="Times New Roman" w:hAnsi="Times New Roman" w:eastAsia="Times New Roman" w:cs="Times New Roman"/>
          <w:b/>
          <w:bCs/>
          <w:spacing w:val="19"/>
          <w:w w:val="101"/>
          <w:sz w:val="24"/>
          <w:szCs w:val="24"/>
        </w:rPr>
        <w:t xml:space="preserve">   </w:t>
      </w:r>
      <w:r>
        <w:rPr>
          <w:rFonts w:ascii="Times New Roman" w:hAnsi="Times New Roman" w:eastAsia="Times New Roman" w:cs="Times New Roman"/>
          <w:b/>
          <w:bCs/>
          <w:spacing w:val="8"/>
          <w:sz w:val="24"/>
          <w:szCs w:val="24"/>
        </w:rPr>
        <w:t>1371—1992</w:t>
      </w:r>
      <w:r>
        <w:rPr>
          <w:b/>
          <w:bCs/>
          <w:spacing w:val="8"/>
          <w:sz w:val="24"/>
          <w:szCs w:val="24"/>
        </w:rPr>
        <w:t>《</w:t>
      </w:r>
      <w:r>
        <w:rPr>
          <w:rFonts w:ascii="楷体" w:hAnsi="楷体" w:eastAsia="楷体" w:cs="楷体"/>
          <w:b/>
          <w:bCs/>
          <w:spacing w:val="8"/>
          <w:sz w:val="24"/>
          <w:szCs w:val="24"/>
        </w:rPr>
        <w:t>装备保障性分析》和</w:t>
      </w:r>
      <w:r>
        <w:rPr>
          <w:rFonts w:ascii="楷体" w:hAnsi="楷体" w:eastAsia="楷体" w:cs="楷体"/>
          <w:spacing w:val="-54"/>
          <w:sz w:val="24"/>
          <w:szCs w:val="24"/>
        </w:rPr>
        <w:t xml:space="preserve"> </w:t>
      </w:r>
      <w:r>
        <w:rPr>
          <w:rFonts w:ascii="Times New Roman" w:hAnsi="Times New Roman" w:eastAsia="Times New Roman" w:cs="Times New Roman"/>
          <w:b/>
          <w:bCs/>
          <w:sz w:val="24"/>
          <w:szCs w:val="24"/>
        </w:rPr>
        <w:t>GJB</w:t>
      </w:r>
      <w:r>
        <w:rPr>
          <w:rFonts w:ascii="Times New Roman" w:hAnsi="Times New Roman" w:eastAsia="Times New Roman" w:cs="Times New Roman"/>
          <w:b/>
          <w:bCs/>
          <w:spacing w:val="8"/>
          <w:sz w:val="24"/>
          <w:szCs w:val="24"/>
        </w:rPr>
        <w:t>/Z    151—200</w:t>
      </w:r>
      <w:r>
        <w:rPr>
          <w:rFonts w:ascii="Times New Roman" w:hAnsi="Times New Roman" w:eastAsia="Times New Roman" w:cs="Times New Roman"/>
          <w:b/>
          <w:bCs/>
          <w:spacing w:val="7"/>
          <w:sz w:val="24"/>
          <w:szCs w:val="24"/>
        </w:rPr>
        <w:t>7</w:t>
      </w:r>
      <w:r>
        <w:rPr>
          <w:b/>
          <w:bCs/>
          <w:spacing w:val="7"/>
          <w:sz w:val="24"/>
          <w:szCs w:val="24"/>
        </w:rPr>
        <w:t>《</w:t>
      </w:r>
      <w:r>
        <w:rPr>
          <w:rFonts w:ascii="楷体" w:hAnsi="楷体" w:eastAsia="楷体" w:cs="楷体"/>
          <w:b/>
          <w:bCs/>
          <w:spacing w:val="7"/>
          <w:sz w:val="24"/>
          <w:szCs w:val="24"/>
        </w:rPr>
        <w:t>装备保障方</w:t>
      </w:r>
      <w:r>
        <w:rPr>
          <w:rFonts w:ascii="楷体" w:hAnsi="楷体" w:eastAsia="楷体" w:cs="楷体"/>
          <w:sz w:val="24"/>
          <w:szCs w:val="24"/>
        </w:rPr>
        <w:t xml:space="preserve"> </w:t>
      </w:r>
      <w:r>
        <w:rPr>
          <w:rFonts w:ascii="楷体" w:hAnsi="楷体" w:eastAsia="楷体" w:cs="楷体"/>
          <w:b/>
          <w:bCs/>
          <w:spacing w:val="17"/>
          <w:sz w:val="24"/>
          <w:szCs w:val="24"/>
        </w:rPr>
        <w:t>案和保障计划编制指南》编写。</w:t>
      </w:r>
    </w:p>
    <w:p w14:paraId="42820633">
      <w:pPr>
        <w:spacing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17"/>
          <w:sz w:val="27"/>
          <w:szCs w:val="27"/>
        </w:rPr>
        <w:t xml:space="preserve">  </w:t>
      </w:r>
      <w:r>
        <w:rPr>
          <w:rFonts w:ascii="黑体" w:hAnsi="黑体" w:eastAsia="黑体" w:cs="黑体"/>
          <w:b/>
          <w:bCs/>
          <w:spacing w:val="-8"/>
          <w:sz w:val="27"/>
          <w:szCs w:val="27"/>
        </w:rPr>
        <w:t>范围</w:t>
      </w:r>
    </w:p>
    <w:p w14:paraId="31693E5C">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引用文件</w:t>
      </w:r>
    </w:p>
    <w:p w14:paraId="3AAC87BB">
      <w:pPr>
        <w:spacing w:before="85" w:line="221" w:lineRule="auto"/>
        <w:rPr>
          <w:rFonts w:ascii="黑体" w:hAnsi="黑体" w:eastAsia="黑体" w:cs="黑体"/>
          <w:sz w:val="27"/>
          <w:szCs w:val="27"/>
        </w:rPr>
      </w:pPr>
      <w:r>
        <w:rPr>
          <w:rFonts w:ascii="黑体" w:hAnsi="黑体" w:eastAsia="黑体" w:cs="黑体"/>
          <w:sz w:val="27"/>
          <w:szCs w:val="27"/>
        </w:rPr>
        <w:t xml:space="preserve">3  </w:t>
      </w:r>
      <w:r>
        <w:rPr>
          <w:rFonts w:ascii="黑体" w:hAnsi="黑体" w:eastAsia="黑体" w:cs="黑体"/>
          <w:b/>
          <w:bCs/>
          <w:sz w:val="27"/>
          <w:szCs w:val="27"/>
        </w:rPr>
        <w:t>备选装备技术方案描述</w:t>
      </w:r>
    </w:p>
    <w:p w14:paraId="555A05E8">
      <w:pPr>
        <w:pStyle w:val="2"/>
        <w:spacing w:before="92" w:line="275" w:lineRule="auto"/>
        <w:ind w:right="107" w:firstLine="570"/>
      </w:pPr>
      <w:r>
        <w:rPr>
          <w:spacing w:val="-3"/>
        </w:rPr>
        <w:t>说明备选装备组成和工作原理、主要战术技术指标、结构设计方案、电路设</w:t>
      </w:r>
      <w:r>
        <w:t xml:space="preserve"> </w:t>
      </w:r>
      <w:r>
        <w:rPr>
          <w:spacing w:val="-2"/>
        </w:rPr>
        <w:t>计方案、可靠性维修性测试性保障性安全性设计方案等。</w:t>
      </w:r>
    </w:p>
    <w:p w14:paraId="64AB2DAB">
      <w:pPr>
        <w:spacing w:before="2" w:line="220" w:lineRule="auto"/>
        <w:rPr>
          <w:rFonts w:ascii="黑体" w:hAnsi="黑体" w:eastAsia="黑体" w:cs="黑体"/>
          <w:sz w:val="27"/>
          <w:szCs w:val="27"/>
        </w:rPr>
      </w:pPr>
      <w:r>
        <w:rPr>
          <w:rFonts w:ascii="黑体" w:hAnsi="黑体" w:eastAsia="黑体" w:cs="黑体"/>
          <w:sz w:val="27"/>
          <w:szCs w:val="27"/>
        </w:rPr>
        <w:t xml:space="preserve">4  </w:t>
      </w:r>
      <w:r>
        <w:rPr>
          <w:rFonts w:ascii="黑体" w:hAnsi="黑体" w:eastAsia="黑体" w:cs="黑体"/>
          <w:b/>
          <w:bCs/>
          <w:sz w:val="27"/>
          <w:szCs w:val="27"/>
        </w:rPr>
        <w:t>备选装备使用方案</w:t>
      </w:r>
    </w:p>
    <w:p w14:paraId="1AF9CCD1">
      <w:pPr>
        <w:pStyle w:val="2"/>
        <w:spacing w:before="81" w:line="272" w:lineRule="auto"/>
        <w:ind w:right="108" w:firstLine="570"/>
        <w:jc w:val="both"/>
      </w:pPr>
      <w:r>
        <w:rPr>
          <w:spacing w:val="-11"/>
        </w:rPr>
        <w:t>简要描述备选装备使用方案，包括装备预定的部署数量、地域、服役期限；装</w:t>
      </w:r>
      <w:r>
        <w:rPr>
          <w:spacing w:val="5"/>
        </w:rPr>
        <w:t xml:space="preserve"> </w:t>
      </w:r>
      <w:r>
        <w:rPr>
          <w:spacing w:val="-3"/>
        </w:rPr>
        <w:t>备预定投入使用后使用部队的编成和装备的编配；装备任务剖面、寿命剖面；使</w:t>
      </w:r>
      <w:r>
        <w:rPr>
          <w:spacing w:val="17"/>
        </w:rPr>
        <w:t xml:space="preserve"> </w:t>
      </w:r>
      <w:r>
        <w:t>用装备的作战部队保障工作的指导原则；平时和战时的装</w:t>
      </w:r>
      <w:r>
        <w:rPr>
          <w:spacing w:val="-1"/>
        </w:rPr>
        <w:t>备保障要求。</w:t>
      </w:r>
    </w:p>
    <w:p w14:paraId="3E59B5A5">
      <w:pPr>
        <w:spacing w:before="32" w:line="221" w:lineRule="auto"/>
        <w:rPr>
          <w:rFonts w:ascii="黑体" w:hAnsi="黑体" w:eastAsia="黑体" w:cs="黑体"/>
          <w:sz w:val="27"/>
          <w:szCs w:val="27"/>
        </w:rPr>
      </w:pPr>
      <w:r>
        <w:rPr>
          <w:rFonts w:ascii="黑体" w:hAnsi="黑体" w:eastAsia="黑体" w:cs="黑体"/>
          <w:sz w:val="27"/>
          <w:szCs w:val="27"/>
        </w:rPr>
        <w:t xml:space="preserve">5  </w:t>
      </w:r>
      <w:r>
        <w:rPr>
          <w:rFonts w:ascii="黑体" w:hAnsi="黑体" w:eastAsia="黑体" w:cs="黑体"/>
          <w:b/>
          <w:bCs/>
          <w:sz w:val="27"/>
          <w:szCs w:val="27"/>
        </w:rPr>
        <w:t>备选装备保障方案</w:t>
      </w:r>
    </w:p>
    <w:p w14:paraId="1A5F12A5">
      <w:pPr>
        <w:spacing w:before="97" w:line="222" w:lineRule="auto"/>
        <w:rPr>
          <w:rFonts w:ascii="黑体" w:hAnsi="黑体" w:eastAsia="黑体" w:cs="黑体"/>
          <w:sz w:val="25"/>
          <w:szCs w:val="25"/>
        </w:rPr>
      </w:pPr>
      <w:r>
        <w:rPr>
          <w:rFonts w:ascii="黑体" w:hAnsi="黑体" w:eastAsia="黑体" w:cs="黑体"/>
          <w:spacing w:val="15"/>
          <w:sz w:val="25"/>
          <w:szCs w:val="25"/>
        </w:rPr>
        <w:t>5.1</w:t>
      </w:r>
      <w:r>
        <w:rPr>
          <w:rFonts w:ascii="黑体" w:hAnsi="黑体" w:eastAsia="黑体" w:cs="黑体"/>
          <w:spacing w:val="60"/>
          <w:sz w:val="25"/>
          <w:szCs w:val="25"/>
        </w:rPr>
        <w:t xml:space="preserve">  </w:t>
      </w:r>
      <w:r>
        <w:rPr>
          <w:rFonts w:ascii="黑体" w:hAnsi="黑体" w:eastAsia="黑体" w:cs="黑体"/>
          <w:b/>
          <w:bCs/>
          <w:spacing w:val="15"/>
          <w:sz w:val="25"/>
          <w:szCs w:val="25"/>
        </w:rPr>
        <w:t>使用前后的保障</w:t>
      </w:r>
    </w:p>
    <w:p w14:paraId="4096B8FC">
      <w:pPr>
        <w:pStyle w:val="2"/>
        <w:spacing w:before="94" w:line="267" w:lineRule="auto"/>
        <w:ind w:right="107" w:firstLine="570"/>
      </w:pPr>
      <w:r>
        <w:rPr>
          <w:spacing w:val="-3"/>
        </w:rPr>
        <w:t>在明确装备动用前准备和动用后保障的内容、起迄时刻的基础上，拟定装备</w:t>
      </w:r>
      <w:r>
        <w:t xml:space="preserve"> </w:t>
      </w:r>
      <w:r>
        <w:rPr>
          <w:spacing w:val="-5"/>
        </w:rPr>
        <w:t>动用前后的保障方案，其内容包括：</w:t>
      </w:r>
    </w:p>
    <w:p w14:paraId="42D283C0">
      <w:pPr>
        <w:pStyle w:val="2"/>
        <w:spacing w:before="2" w:line="256" w:lineRule="auto"/>
        <w:ind w:firstLine="570"/>
      </w:pPr>
      <w:r>
        <w:rPr>
          <w:rFonts w:ascii="Times New Roman" w:hAnsi="Times New Roman" w:eastAsia="Times New Roman" w:cs="Times New Roman"/>
          <w:spacing w:val="-2"/>
        </w:rPr>
        <w:t>a)</w:t>
      </w:r>
      <w:r>
        <w:rPr>
          <w:rFonts w:ascii="Times New Roman" w:hAnsi="Times New Roman" w:eastAsia="Times New Roman" w:cs="Times New Roman"/>
          <w:spacing w:val="72"/>
        </w:rPr>
        <w:t xml:space="preserve"> </w:t>
      </w:r>
      <w:r>
        <w:rPr>
          <w:spacing w:val="-2"/>
        </w:rPr>
        <w:t>装备在贮存(封存)、维修、训练等状态下，转入动用前准备的工作方式、</w:t>
      </w:r>
      <w:r>
        <w:t xml:space="preserve"> </w:t>
      </w:r>
      <w:r>
        <w:rPr>
          <w:spacing w:val="-4"/>
        </w:rPr>
        <w:t>内容和时限；</w:t>
      </w:r>
    </w:p>
    <w:p w14:paraId="0749439D">
      <w:pPr>
        <w:pStyle w:val="2"/>
        <w:spacing w:before="59" w:line="263" w:lineRule="auto"/>
        <w:ind w:right="109" w:firstLine="570"/>
      </w:pPr>
      <w:r>
        <w:rPr>
          <w:rFonts w:ascii="Times New Roman" w:hAnsi="Times New Roman" w:eastAsia="Times New Roman" w:cs="Times New Roman"/>
          <w:spacing w:val="-8"/>
        </w:rPr>
        <w:t>b)</w:t>
      </w:r>
      <w:r>
        <w:rPr>
          <w:rFonts w:ascii="Times New Roman" w:hAnsi="Times New Roman" w:eastAsia="Times New Roman" w:cs="Times New Roman"/>
          <w:spacing w:val="37"/>
          <w:w w:val="101"/>
        </w:rPr>
        <w:t xml:space="preserve"> </w:t>
      </w:r>
      <w:r>
        <w:rPr>
          <w:spacing w:val="-8"/>
        </w:rPr>
        <w:t>装备工作状态转换，即由行驶、运输等状</w:t>
      </w:r>
      <w:r>
        <w:rPr>
          <w:spacing w:val="-9"/>
        </w:rPr>
        <w:t>态向待命或作业(飞行、航行、发</w:t>
      </w:r>
      <w:r>
        <w:t xml:space="preserve"> </w:t>
      </w:r>
      <w:r>
        <w:rPr>
          <w:spacing w:val="-10"/>
        </w:rPr>
        <w:t>射、布设)状态的转换，展开和撤收的方式、工作内容和时限；</w:t>
      </w:r>
    </w:p>
    <w:p w14:paraId="37F5FB3F">
      <w:pPr>
        <w:pStyle w:val="2"/>
        <w:spacing w:before="62" w:line="257" w:lineRule="auto"/>
        <w:ind w:right="83" w:firstLine="570"/>
      </w:pPr>
      <w:r>
        <w:rPr>
          <w:rFonts w:ascii="Times New Roman" w:hAnsi="Times New Roman" w:eastAsia="Times New Roman" w:cs="Times New Roman"/>
          <w:spacing w:val="4"/>
        </w:rPr>
        <w:t>c)</w:t>
      </w:r>
      <w:r>
        <w:rPr>
          <w:rFonts w:ascii="Times New Roman" w:hAnsi="Times New Roman" w:eastAsia="Times New Roman" w:cs="Times New Roman"/>
          <w:spacing w:val="52"/>
          <w:w w:val="101"/>
        </w:rPr>
        <w:t xml:space="preserve"> </w:t>
      </w:r>
      <w:r>
        <w:rPr>
          <w:spacing w:val="4"/>
        </w:rPr>
        <w:t>能源(包括燃料、供电、供气等)加注充填及蓄电池充电的方式、工作内</w:t>
      </w:r>
      <w:r>
        <w:t xml:space="preserve"> </w:t>
      </w:r>
      <w:r>
        <w:rPr>
          <w:spacing w:val="-25"/>
        </w:rPr>
        <w:t>容、时限；</w:t>
      </w:r>
    </w:p>
    <w:p w14:paraId="02F8F3C6">
      <w:pPr>
        <w:pStyle w:val="2"/>
        <w:spacing w:before="67" w:line="212" w:lineRule="auto"/>
        <w:ind w:left="570"/>
      </w:pPr>
      <w:r>
        <w:rPr>
          <w:rFonts w:ascii="Times New Roman" w:hAnsi="Times New Roman" w:eastAsia="Times New Roman" w:cs="Times New Roman"/>
          <w:spacing w:val="-11"/>
        </w:rPr>
        <w:t xml:space="preserve">d)  </w:t>
      </w:r>
      <w:r>
        <w:rPr>
          <w:spacing w:val="-11"/>
        </w:rPr>
        <w:t>冷却液、润滑脂加注充填的方式、工作内容、时限；</w:t>
      </w:r>
    </w:p>
    <w:p w14:paraId="6C043138">
      <w:pPr>
        <w:pStyle w:val="2"/>
        <w:spacing w:before="90" w:line="212" w:lineRule="auto"/>
        <w:ind w:left="570"/>
      </w:pPr>
      <w:r>
        <w:rPr>
          <w:rFonts w:ascii="Times New Roman" w:hAnsi="Times New Roman" w:eastAsia="Times New Roman" w:cs="Times New Roman"/>
          <w:spacing w:val="-9"/>
        </w:rPr>
        <w:t xml:space="preserve">e)  </w:t>
      </w:r>
      <w:r>
        <w:rPr>
          <w:spacing w:val="-9"/>
        </w:rPr>
        <w:t>弹药补充和加挂的方式、工作内容、时限；</w:t>
      </w:r>
    </w:p>
    <w:p w14:paraId="0447A77D">
      <w:pPr>
        <w:pStyle w:val="2"/>
        <w:spacing w:before="100" w:line="212" w:lineRule="auto"/>
        <w:ind w:left="570"/>
      </w:pPr>
      <w:r>
        <w:rPr>
          <w:rFonts w:ascii="Times New Roman" w:hAnsi="Times New Roman" w:eastAsia="Times New Roman" w:cs="Times New Roman"/>
          <w:spacing w:val="4"/>
        </w:rPr>
        <w:t>f)</w:t>
      </w:r>
      <w:r>
        <w:rPr>
          <w:rFonts w:ascii="Times New Roman" w:hAnsi="Times New Roman" w:eastAsia="Times New Roman" w:cs="Times New Roman"/>
          <w:spacing w:val="62"/>
          <w:w w:val="101"/>
        </w:rPr>
        <w:t xml:space="preserve"> </w:t>
      </w:r>
      <w:r>
        <w:rPr>
          <w:spacing w:val="4"/>
        </w:rPr>
        <w:t>装备动用前后的其他准备工作。</w:t>
      </w:r>
    </w:p>
    <w:p w14:paraId="58DC3EEB">
      <w:pPr>
        <w:spacing w:before="154" w:line="222" w:lineRule="auto"/>
        <w:rPr>
          <w:rFonts w:ascii="黑体" w:hAnsi="黑体" w:eastAsia="黑体" w:cs="黑体"/>
          <w:sz w:val="24"/>
          <w:szCs w:val="24"/>
        </w:rPr>
      </w:pPr>
      <w:r>
        <w:rPr>
          <w:rFonts w:ascii="黑体" w:hAnsi="黑体" w:eastAsia="黑体" w:cs="黑体"/>
          <w:spacing w:val="21"/>
          <w:sz w:val="24"/>
          <w:szCs w:val="24"/>
        </w:rPr>
        <w:t xml:space="preserve">5.2   </w:t>
      </w:r>
      <w:r>
        <w:rPr>
          <w:rFonts w:ascii="黑体" w:hAnsi="黑体" w:eastAsia="黑体" w:cs="黑体"/>
          <w:b/>
          <w:bCs/>
          <w:spacing w:val="21"/>
          <w:sz w:val="24"/>
          <w:szCs w:val="24"/>
        </w:rPr>
        <w:t>使用过程中的保障</w:t>
      </w:r>
    </w:p>
    <w:p w14:paraId="17BC454A">
      <w:pPr>
        <w:pStyle w:val="2"/>
        <w:spacing w:before="107" w:line="305" w:lineRule="auto"/>
        <w:ind w:right="90" w:firstLine="570"/>
        <w:rPr>
          <w:sz w:val="25"/>
          <w:szCs w:val="25"/>
        </w:rPr>
      </w:pPr>
      <w:r>
        <w:rPr>
          <w:spacing w:val="17"/>
          <w:sz w:val="25"/>
          <w:szCs w:val="25"/>
        </w:rPr>
        <w:t xml:space="preserve">在明确装备动用的内容、工作程序的基础上，拟定装备动用过程中的保障方 </w:t>
      </w:r>
      <w:r>
        <w:rPr>
          <w:spacing w:val="3"/>
          <w:sz w:val="25"/>
          <w:szCs w:val="25"/>
        </w:rPr>
        <w:t>案，其内容包括：</w:t>
      </w:r>
    </w:p>
    <w:p w14:paraId="7C425941">
      <w:pPr>
        <w:spacing w:line="305" w:lineRule="auto"/>
        <w:rPr>
          <w:sz w:val="25"/>
          <w:szCs w:val="25"/>
        </w:rPr>
        <w:sectPr>
          <w:footerReference r:id="rId519" w:type="default"/>
          <w:pgSz w:w="11910" w:h="17130"/>
          <w:pgMar w:top="400" w:right="1299" w:bottom="1547" w:left="1120" w:header="0" w:footer="1330" w:gutter="0"/>
          <w:cols w:space="720" w:num="1"/>
        </w:sectPr>
      </w:pPr>
    </w:p>
    <w:p w14:paraId="2797DFEA">
      <w:pPr>
        <w:spacing w:line="281" w:lineRule="auto"/>
        <w:rPr>
          <w:rFonts w:ascii="Arial"/>
          <w:sz w:val="21"/>
        </w:rPr>
      </w:pPr>
    </w:p>
    <w:p w14:paraId="0A059807">
      <w:pPr>
        <w:spacing w:line="281" w:lineRule="auto"/>
        <w:rPr>
          <w:rFonts w:ascii="Arial"/>
          <w:sz w:val="21"/>
        </w:rPr>
      </w:pPr>
    </w:p>
    <w:p w14:paraId="7CDEADEA">
      <w:pPr>
        <w:spacing w:line="282" w:lineRule="auto"/>
        <w:rPr>
          <w:rFonts w:ascii="Arial"/>
          <w:sz w:val="21"/>
        </w:rPr>
      </w:pPr>
    </w:p>
    <w:p w14:paraId="7F07EF7F">
      <w:pPr>
        <w:spacing w:line="282" w:lineRule="auto"/>
        <w:rPr>
          <w:rFonts w:ascii="Arial"/>
          <w:sz w:val="21"/>
        </w:rPr>
      </w:pPr>
    </w:p>
    <w:p w14:paraId="584CAADE">
      <w:pPr>
        <w:pStyle w:val="2"/>
        <w:spacing w:before="88" w:line="219" w:lineRule="auto"/>
        <w:ind w:left="559"/>
      </w:pPr>
      <w:r>
        <w:rPr>
          <w:rFonts w:ascii="Times New Roman" w:hAnsi="Times New Roman" w:eastAsia="Times New Roman" w:cs="Times New Roman"/>
          <w:spacing w:val="6"/>
        </w:rPr>
        <w:t>a</w:t>
      </w:r>
      <w:r>
        <w:rPr>
          <w:rFonts w:ascii="Times New Roman" w:hAnsi="Times New Roman" w:eastAsia="Times New Roman" w:cs="Times New Roman"/>
          <w:spacing w:val="-23"/>
        </w:rPr>
        <w:t xml:space="preserve"> </w:t>
      </w:r>
      <w:r>
        <w:rPr>
          <w:spacing w:val="6"/>
        </w:rPr>
        <w:t>)装备动用期间的维护保养；</w:t>
      </w:r>
    </w:p>
    <w:p w14:paraId="64EAE139">
      <w:pPr>
        <w:pStyle w:val="2"/>
        <w:spacing w:before="49" w:line="212" w:lineRule="auto"/>
        <w:ind w:left="559"/>
      </w:pPr>
      <w:r>
        <w:rPr>
          <w:rFonts w:ascii="Times New Roman" w:hAnsi="Times New Roman" w:eastAsia="Times New Roman" w:cs="Times New Roman"/>
          <w:spacing w:val="-2"/>
        </w:rPr>
        <w:t xml:space="preserve">b)  </w:t>
      </w:r>
      <w:r>
        <w:rPr>
          <w:spacing w:val="-2"/>
        </w:rPr>
        <w:t>装备动用过程中的测试、技术状态判定和决策；</w:t>
      </w:r>
    </w:p>
    <w:p w14:paraId="6FE2BCCF">
      <w:pPr>
        <w:pStyle w:val="2"/>
        <w:spacing w:before="89" w:line="212" w:lineRule="auto"/>
        <w:ind w:left="559"/>
      </w:pPr>
      <w:r>
        <w:rPr>
          <w:rFonts w:ascii="Times New Roman" w:hAnsi="Times New Roman" w:eastAsia="Times New Roman" w:cs="Times New Roman"/>
          <w:spacing w:val="1"/>
        </w:rPr>
        <w:t>c)</w:t>
      </w:r>
      <w:r>
        <w:rPr>
          <w:rFonts w:ascii="Times New Roman" w:hAnsi="Times New Roman" w:eastAsia="Times New Roman" w:cs="Times New Roman"/>
          <w:spacing w:val="68"/>
          <w:w w:val="101"/>
        </w:rPr>
        <w:t xml:space="preserve"> </w:t>
      </w:r>
      <w:r>
        <w:rPr>
          <w:spacing w:val="1"/>
        </w:rPr>
        <w:t>应急处置等。</w:t>
      </w:r>
    </w:p>
    <w:p w14:paraId="64078445">
      <w:pPr>
        <w:spacing w:before="114" w:line="221" w:lineRule="auto"/>
        <w:outlineLvl w:val="3"/>
        <w:rPr>
          <w:rFonts w:ascii="黑体" w:hAnsi="黑体" w:eastAsia="黑体" w:cs="黑体"/>
          <w:sz w:val="27"/>
          <w:szCs w:val="27"/>
        </w:rPr>
      </w:pPr>
      <w:r>
        <w:rPr>
          <w:rFonts w:ascii="Arial" w:hAnsi="Arial" w:eastAsia="Arial" w:cs="Arial"/>
          <w:b/>
          <w:bCs/>
          <w:spacing w:val="-1"/>
          <w:sz w:val="27"/>
          <w:szCs w:val="27"/>
        </w:rPr>
        <w:t xml:space="preserve">6    </w:t>
      </w:r>
      <w:r>
        <w:rPr>
          <w:rFonts w:ascii="黑体" w:hAnsi="黑体" w:eastAsia="黑体" w:cs="黑体"/>
          <w:b/>
          <w:bCs/>
          <w:spacing w:val="-1"/>
          <w:sz w:val="27"/>
          <w:szCs w:val="27"/>
        </w:rPr>
        <w:t>备选维修保障方案</w:t>
      </w:r>
    </w:p>
    <w:p w14:paraId="16400EA5">
      <w:pPr>
        <w:spacing w:before="87" w:line="222" w:lineRule="auto"/>
        <w:rPr>
          <w:rFonts w:ascii="黑体" w:hAnsi="黑体" w:eastAsia="黑体" w:cs="黑体"/>
          <w:sz w:val="27"/>
          <w:szCs w:val="27"/>
        </w:rPr>
      </w:pPr>
      <w:r>
        <w:rPr>
          <w:rFonts w:ascii="黑体" w:hAnsi="黑体" w:eastAsia="黑体" w:cs="黑体"/>
          <w:sz w:val="27"/>
          <w:szCs w:val="27"/>
        </w:rPr>
        <w:t>6.1</w:t>
      </w:r>
      <w:r>
        <w:rPr>
          <w:rFonts w:ascii="黑体" w:hAnsi="黑体" w:eastAsia="黑体" w:cs="黑体"/>
          <w:spacing w:val="17"/>
          <w:sz w:val="27"/>
          <w:szCs w:val="27"/>
        </w:rPr>
        <w:t xml:space="preserve">  </w:t>
      </w:r>
      <w:r>
        <w:rPr>
          <w:rFonts w:ascii="黑体" w:hAnsi="黑体" w:eastAsia="黑体" w:cs="黑体"/>
          <w:b/>
          <w:bCs/>
          <w:sz w:val="27"/>
          <w:szCs w:val="27"/>
        </w:rPr>
        <w:t>维修保障体制</w:t>
      </w:r>
    </w:p>
    <w:p w14:paraId="0BA1C327">
      <w:pPr>
        <w:pStyle w:val="2"/>
        <w:spacing w:before="100" w:line="219" w:lineRule="auto"/>
        <w:ind w:left="559"/>
      </w:pPr>
      <w:r>
        <w:rPr>
          <w:spacing w:val="2"/>
        </w:rPr>
        <w:t>维修保障体制包括：</w:t>
      </w:r>
    </w:p>
    <w:p w14:paraId="3CFC2E11">
      <w:pPr>
        <w:pStyle w:val="2"/>
        <w:spacing w:before="82" w:line="212" w:lineRule="auto"/>
        <w:ind w:left="559"/>
        <w:rPr>
          <w:sz w:val="24"/>
          <w:szCs w:val="24"/>
        </w:rPr>
      </w:pPr>
      <w:r>
        <w:rPr>
          <w:rFonts w:ascii="Times New Roman" w:hAnsi="Times New Roman" w:eastAsia="Times New Roman" w:cs="Times New Roman"/>
          <w:spacing w:val="18"/>
          <w:sz w:val="24"/>
          <w:szCs w:val="24"/>
        </w:rPr>
        <w:t xml:space="preserve">a)  </w:t>
      </w:r>
      <w:r>
        <w:rPr>
          <w:spacing w:val="18"/>
          <w:sz w:val="24"/>
          <w:szCs w:val="24"/>
        </w:rPr>
        <w:t>机构设置、隶属关系、管理权限及运行机制；</w:t>
      </w:r>
    </w:p>
    <w:p w14:paraId="212B2560">
      <w:pPr>
        <w:pStyle w:val="2"/>
        <w:spacing w:before="92" w:line="212" w:lineRule="auto"/>
        <w:ind w:left="559"/>
      </w:pPr>
      <w:r>
        <w:rPr>
          <w:rFonts w:ascii="Times New Roman" w:hAnsi="Times New Roman" w:eastAsia="Times New Roman" w:cs="Times New Roman"/>
          <w:spacing w:val="3"/>
        </w:rPr>
        <w:t xml:space="preserve">b)  </w:t>
      </w:r>
      <w:r>
        <w:rPr>
          <w:spacing w:val="3"/>
        </w:rPr>
        <w:t>维修级别划分及其任务范围；</w:t>
      </w:r>
    </w:p>
    <w:p w14:paraId="74CE3CFD">
      <w:pPr>
        <w:pStyle w:val="2"/>
        <w:spacing w:before="100" w:line="212" w:lineRule="auto"/>
        <w:ind w:left="559"/>
      </w:pPr>
      <w:r>
        <w:rPr>
          <w:rFonts w:ascii="Times New Roman" w:hAnsi="Times New Roman" w:eastAsia="Times New Roman" w:cs="Times New Roman"/>
          <w:spacing w:val="4"/>
        </w:rPr>
        <w:t xml:space="preserve">c)  </w:t>
      </w:r>
      <w:r>
        <w:rPr>
          <w:spacing w:val="4"/>
        </w:rPr>
        <w:t>战时保障力量构成和保障机构设置。</w:t>
      </w:r>
    </w:p>
    <w:p w14:paraId="516DF53E">
      <w:pPr>
        <w:spacing w:before="115" w:line="222"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b/>
          <w:bCs/>
          <w:spacing w:val="1"/>
          <w:sz w:val="27"/>
          <w:szCs w:val="27"/>
        </w:rPr>
        <w:t>2</w:t>
      </w:r>
      <w:r>
        <w:rPr>
          <w:rFonts w:ascii="黑体" w:hAnsi="黑体" w:eastAsia="黑体" w:cs="黑体"/>
          <w:spacing w:val="26"/>
          <w:sz w:val="27"/>
          <w:szCs w:val="27"/>
        </w:rPr>
        <w:t xml:space="preserve">  </w:t>
      </w:r>
      <w:r>
        <w:rPr>
          <w:rFonts w:ascii="黑体" w:hAnsi="黑体" w:eastAsia="黑体" w:cs="黑体"/>
          <w:b/>
          <w:bCs/>
          <w:spacing w:val="1"/>
          <w:sz w:val="27"/>
          <w:szCs w:val="27"/>
        </w:rPr>
        <w:t>维修保障策略</w:t>
      </w:r>
    </w:p>
    <w:p w14:paraId="296CE9A7">
      <w:pPr>
        <w:pStyle w:val="2"/>
        <w:spacing w:before="91" w:line="219" w:lineRule="auto"/>
        <w:ind w:left="559"/>
      </w:pPr>
      <w:r>
        <w:rPr>
          <w:spacing w:val="2"/>
        </w:rPr>
        <w:t>维修保障策略应包括：</w:t>
      </w:r>
    </w:p>
    <w:p w14:paraId="4A49CF95">
      <w:pPr>
        <w:pStyle w:val="2"/>
        <w:spacing w:before="48" w:line="264" w:lineRule="auto"/>
        <w:ind w:right="5" w:firstLine="559"/>
      </w:pPr>
      <w:r>
        <w:rPr>
          <w:rFonts w:ascii="Times New Roman" w:hAnsi="Times New Roman" w:eastAsia="Times New Roman" w:cs="Times New Roman"/>
          <w:spacing w:val="-8"/>
        </w:rPr>
        <w:t xml:space="preserve">a)  </w:t>
      </w:r>
      <w:r>
        <w:rPr>
          <w:spacing w:val="-8"/>
        </w:rPr>
        <w:t>拟采用的维修工作类型(保养、操作人员监控、功能</w:t>
      </w:r>
      <w:r>
        <w:rPr>
          <w:spacing w:val="-9"/>
        </w:rPr>
        <w:t>检测、定时拆修、定时</w:t>
      </w:r>
      <w:r>
        <w:t xml:space="preserve"> </w:t>
      </w:r>
      <w:r>
        <w:rPr>
          <w:spacing w:val="-3"/>
        </w:rPr>
        <w:t>报废等)或其组合及组合原则，并说明运作方式；</w:t>
      </w:r>
    </w:p>
    <w:p w14:paraId="419590A0">
      <w:pPr>
        <w:pStyle w:val="2"/>
        <w:spacing w:before="59" w:line="212" w:lineRule="auto"/>
        <w:ind w:left="559"/>
      </w:pPr>
      <w:r>
        <w:rPr>
          <w:rFonts w:ascii="Times New Roman" w:hAnsi="Times New Roman" w:eastAsia="Times New Roman" w:cs="Times New Roman"/>
          <w:spacing w:val="4"/>
        </w:rPr>
        <w:t>b)</w:t>
      </w:r>
      <w:r>
        <w:rPr>
          <w:rFonts w:ascii="Times New Roman" w:hAnsi="Times New Roman" w:eastAsia="Times New Roman" w:cs="Times New Roman"/>
          <w:spacing w:val="77"/>
          <w:w w:val="101"/>
        </w:rPr>
        <w:t xml:space="preserve"> </w:t>
      </w:r>
      <w:r>
        <w:rPr>
          <w:spacing w:val="4"/>
        </w:rPr>
        <w:t>装备的维修等级及各等级的预定修理深度；</w:t>
      </w:r>
    </w:p>
    <w:p w14:paraId="3C8D237A">
      <w:pPr>
        <w:pStyle w:val="2"/>
        <w:spacing w:before="110" w:line="212" w:lineRule="auto"/>
        <w:ind w:left="559"/>
      </w:pPr>
      <w:r>
        <w:rPr>
          <w:rFonts w:ascii="Times New Roman" w:hAnsi="Times New Roman" w:eastAsia="Times New Roman" w:cs="Times New Roman"/>
          <w:spacing w:val="2"/>
        </w:rPr>
        <w:t xml:space="preserve">c)  </w:t>
      </w:r>
      <w:r>
        <w:rPr>
          <w:spacing w:val="2"/>
        </w:rPr>
        <w:t>修理周期结构预案；</w:t>
      </w:r>
    </w:p>
    <w:p w14:paraId="415D3BFD">
      <w:pPr>
        <w:pStyle w:val="2"/>
        <w:spacing w:before="90" w:line="212" w:lineRule="auto"/>
        <w:ind w:left="559"/>
      </w:pPr>
      <w:r>
        <w:rPr>
          <w:rFonts w:ascii="Times New Roman" w:hAnsi="Times New Roman" w:eastAsia="Times New Roman" w:cs="Times New Roman"/>
          <w:spacing w:val="3"/>
        </w:rPr>
        <w:t xml:space="preserve">d)  </w:t>
      </w:r>
      <w:r>
        <w:rPr>
          <w:spacing w:val="3"/>
        </w:rPr>
        <w:t>确定换件范围的原则；</w:t>
      </w:r>
    </w:p>
    <w:p w14:paraId="126D1A25">
      <w:pPr>
        <w:pStyle w:val="2"/>
        <w:spacing w:before="140" w:line="219" w:lineRule="auto"/>
        <w:ind w:left="559"/>
      </w:pPr>
      <w:r>
        <w:rPr>
          <w:rFonts w:ascii="Times New Roman" w:hAnsi="Times New Roman" w:eastAsia="Times New Roman" w:cs="Times New Roman"/>
          <w:spacing w:val="9"/>
        </w:rPr>
        <w:t>e</w:t>
      </w:r>
      <w:r>
        <w:rPr>
          <w:spacing w:val="9"/>
        </w:rPr>
        <w:t>)维修新技术的引进与应用；</w:t>
      </w:r>
    </w:p>
    <w:p w14:paraId="66A299ED">
      <w:pPr>
        <w:pStyle w:val="2"/>
        <w:spacing w:before="49" w:line="212" w:lineRule="auto"/>
        <w:ind w:left="559"/>
      </w:pPr>
      <w:r>
        <w:rPr>
          <w:rFonts w:ascii="Times New Roman" w:hAnsi="Times New Roman" w:eastAsia="Times New Roman" w:cs="Times New Roman"/>
          <w:spacing w:val="-7"/>
        </w:rPr>
        <w:t xml:space="preserve">f)  </w:t>
      </w:r>
      <w:r>
        <w:rPr>
          <w:spacing w:val="-7"/>
        </w:rPr>
        <w:t>战时装备保障的原则、编组与职责分工、战损评估和修复、后送程序等；</w:t>
      </w:r>
    </w:p>
    <w:p w14:paraId="0EE59754">
      <w:pPr>
        <w:pStyle w:val="2"/>
        <w:spacing w:before="132" w:line="212" w:lineRule="auto"/>
        <w:ind w:left="559"/>
        <w:rPr>
          <w:sz w:val="24"/>
          <w:szCs w:val="24"/>
        </w:rPr>
      </w:pPr>
      <w:r>
        <w:rPr>
          <w:rFonts w:ascii="Times New Roman" w:hAnsi="Times New Roman" w:eastAsia="Times New Roman" w:cs="Times New Roman"/>
          <w:spacing w:val="26"/>
          <w:sz w:val="24"/>
          <w:szCs w:val="24"/>
        </w:rPr>
        <w:t>g</w:t>
      </w:r>
      <w:r>
        <w:rPr>
          <w:rFonts w:ascii="Times New Roman" w:hAnsi="Times New Roman" w:eastAsia="Times New Roman" w:cs="Times New Roman"/>
          <w:spacing w:val="-2"/>
          <w:sz w:val="24"/>
          <w:szCs w:val="24"/>
        </w:rPr>
        <w:t xml:space="preserve"> </w:t>
      </w:r>
      <w:r>
        <w:rPr>
          <w:spacing w:val="26"/>
          <w:sz w:val="24"/>
          <w:szCs w:val="24"/>
        </w:rPr>
        <w:t>)</w:t>
      </w:r>
      <w:r>
        <w:rPr>
          <w:spacing w:val="-19"/>
          <w:sz w:val="24"/>
          <w:szCs w:val="24"/>
        </w:rPr>
        <w:t xml:space="preserve"> </w:t>
      </w:r>
      <w:r>
        <w:rPr>
          <w:spacing w:val="26"/>
          <w:sz w:val="24"/>
          <w:szCs w:val="24"/>
        </w:rPr>
        <w:t>战场抢救的要求及实施方案；</w:t>
      </w:r>
    </w:p>
    <w:p w14:paraId="750BD1D5">
      <w:pPr>
        <w:pStyle w:val="2"/>
        <w:spacing w:before="83" w:line="212" w:lineRule="auto"/>
        <w:ind w:left="559"/>
      </w:pPr>
      <w:r>
        <w:rPr>
          <w:rFonts w:ascii="Times New Roman" w:hAnsi="Times New Roman" w:eastAsia="Times New Roman" w:cs="Times New Roman"/>
        </w:rPr>
        <w:t xml:space="preserve">h)  </w:t>
      </w:r>
      <w:r>
        <w:t>承包商保障向部队建制保障转换的时机、条件和要求。</w:t>
      </w:r>
    </w:p>
    <w:p w14:paraId="4B839488">
      <w:pPr>
        <w:spacing w:before="134" w:line="279" w:lineRule="auto"/>
        <w:ind w:right="6193"/>
        <w:rPr>
          <w:rFonts w:ascii="黑体" w:hAnsi="黑体" w:eastAsia="黑体" w:cs="黑体"/>
          <w:sz w:val="27"/>
          <w:szCs w:val="27"/>
        </w:rPr>
      </w:pPr>
      <w:r>
        <w:rPr>
          <w:rFonts w:ascii="Arial" w:hAnsi="Arial" w:eastAsia="Arial" w:cs="Arial"/>
          <w:b/>
          <w:bCs/>
          <w:sz w:val="27"/>
          <w:szCs w:val="27"/>
        </w:rPr>
        <w:t xml:space="preserve">7    </w:t>
      </w:r>
      <w:r>
        <w:rPr>
          <w:rFonts w:ascii="黑体" w:hAnsi="黑体" w:eastAsia="黑体" w:cs="黑体"/>
          <w:b/>
          <w:bCs/>
          <w:sz w:val="27"/>
          <w:szCs w:val="27"/>
        </w:rPr>
        <w:t>备选综合保障要素方案</w:t>
      </w:r>
      <w:r>
        <w:rPr>
          <w:rFonts w:ascii="黑体" w:hAnsi="黑体" w:eastAsia="黑体" w:cs="黑体"/>
          <w:spacing w:val="8"/>
          <w:sz w:val="27"/>
          <w:szCs w:val="27"/>
        </w:rPr>
        <w:t xml:space="preserve"> </w:t>
      </w:r>
      <w:r>
        <w:rPr>
          <w:rFonts w:ascii="黑体" w:hAnsi="黑体" w:eastAsia="黑体" w:cs="黑体"/>
          <w:spacing w:val="-3"/>
          <w:sz w:val="27"/>
          <w:szCs w:val="27"/>
        </w:rPr>
        <w:t>7.1</w:t>
      </w:r>
      <w:r>
        <w:rPr>
          <w:rFonts w:ascii="黑体" w:hAnsi="黑体" w:eastAsia="黑体" w:cs="黑体"/>
          <w:spacing w:val="32"/>
          <w:sz w:val="27"/>
          <w:szCs w:val="27"/>
        </w:rPr>
        <w:t xml:space="preserve">  </w:t>
      </w:r>
      <w:r>
        <w:rPr>
          <w:rFonts w:ascii="黑体" w:hAnsi="黑体" w:eastAsia="黑体" w:cs="黑体"/>
          <w:b/>
          <w:bCs/>
          <w:spacing w:val="-3"/>
          <w:sz w:val="27"/>
          <w:szCs w:val="27"/>
        </w:rPr>
        <w:t>人力和人员</w:t>
      </w:r>
    </w:p>
    <w:p w14:paraId="219735AA">
      <w:pPr>
        <w:pStyle w:val="2"/>
        <w:spacing w:line="219" w:lineRule="auto"/>
        <w:ind w:left="559"/>
      </w:pPr>
      <w:r>
        <w:rPr>
          <w:spacing w:val="1"/>
        </w:rPr>
        <w:t>人力和人员保障方案包括：</w:t>
      </w:r>
    </w:p>
    <w:p w14:paraId="602E827E">
      <w:pPr>
        <w:pStyle w:val="2"/>
        <w:spacing w:before="59" w:line="212" w:lineRule="auto"/>
        <w:ind w:left="559"/>
      </w:pPr>
      <w:r>
        <w:rPr>
          <w:rFonts w:ascii="Times New Roman" w:hAnsi="Times New Roman" w:eastAsia="Times New Roman" w:cs="Times New Roman"/>
          <w:spacing w:val="-9"/>
        </w:rPr>
        <w:t xml:space="preserve">a)  </w:t>
      </w:r>
      <w:r>
        <w:rPr>
          <w:spacing w:val="-9"/>
        </w:rPr>
        <w:t>人员编制、总需求及分工、编组原则；</w:t>
      </w:r>
    </w:p>
    <w:p w14:paraId="116125C5">
      <w:pPr>
        <w:pStyle w:val="2"/>
        <w:spacing w:before="121" w:line="253" w:lineRule="auto"/>
        <w:ind w:firstLine="559"/>
      </w:pPr>
      <w:r>
        <w:rPr>
          <w:rFonts w:ascii="Times New Roman" w:hAnsi="Times New Roman" w:eastAsia="Times New Roman" w:cs="Times New Roman"/>
          <w:spacing w:val="3"/>
        </w:rPr>
        <w:t>b)</w:t>
      </w:r>
      <w:r>
        <w:rPr>
          <w:rFonts w:ascii="Times New Roman" w:hAnsi="Times New Roman" w:eastAsia="Times New Roman" w:cs="Times New Roman"/>
          <w:spacing w:val="67"/>
          <w:w w:val="101"/>
        </w:rPr>
        <w:t xml:space="preserve"> </w:t>
      </w:r>
      <w:r>
        <w:rPr>
          <w:spacing w:val="3"/>
        </w:rPr>
        <w:t>使用操作及相关技术人员(包括技术把关、决</w:t>
      </w:r>
      <w:r>
        <w:rPr>
          <w:spacing w:val="2"/>
        </w:rPr>
        <w:t>策和技术状况处置人员)的</w:t>
      </w:r>
      <w:r>
        <w:t xml:space="preserve"> </w:t>
      </w:r>
      <w:r>
        <w:rPr>
          <w:spacing w:val="1"/>
        </w:rPr>
        <w:t>素质和技能要求；</w:t>
      </w:r>
    </w:p>
    <w:p w14:paraId="69334969">
      <w:pPr>
        <w:pStyle w:val="2"/>
        <w:spacing w:before="59" w:line="212" w:lineRule="auto"/>
        <w:ind w:left="559"/>
      </w:pPr>
      <w:r>
        <w:rPr>
          <w:rFonts w:ascii="Times New Roman" w:hAnsi="Times New Roman" w:eastAsia="Times New Roman" w:cs="Times New Roman"/>
          <w:spacing w:val="3"/>
        </w:rPr>
        <w:t>c)</w:t>
      </w:r>
      <w:r>
        <w:rPr>
          <w:rFonts w:ascii="Times New Roman" w:hAnsi="Times New Roman" w:eastAsia="Times New Roman" w:cs="Times New Roman"/>
          <w:spacing w:val="62"/>
          <w:w w:val="101"/>
        </w:rPr>
        <w:t xml:space="preserve"> </w:t>
      </w:r>
      <w:r>
        <w:rPr>
          <w:spacing w:val="3"/>
        </w:rPr>
        <w:t>维修及管理人员的技能和素质要求；</w:t>
      </w:r>
    </w:p>
    <w:p w14:paraId="01AF63F8">
      <w:pPr>
        <w:pStyle w:val="2"/>
        <w:spacing w:before="90" w:line="212" w:lineRule="auto"/>
        <w:ind w:left="559"/>
      </w:pPr>
      <w:r>
        <w:rPr>
          <w:rFonts w:ascii="Times New Roman" w:hAnsi="Times New Roman" w:eastAsia="Times New Roman" w:cs="Times New Roman"/>
          <w:spacing w:val="1"/>
        </w:rPr>
        <w:t xml:space="preserve">d)  </w:t>
      </w:r>
      <w:r>
        <w:rPr>
          <w:spacing w:val="1"/>
        </w:rPr>
        <w:t>人力、人员的规划时应特别注意工作环境对人员健康和安全的影响。</w:t>
      </w:r>
    </w:p>
    <w:p w14:paraId="156EED98">
      <w:pPr>
        <w:spacing w:before="128" w:line="223" w:lineRule="auto"/>
        <w:rPr>
          <w:rFonts w:ascii="黑体" w:hAnsi="黑体" w:eastAsia="黑体" w:cs="黑体"/>
          <w:sz w:val="27"/>
          <w:szCs w:val="27"/>
        </w:rPr>
      </w:pPr>
      <w:r>
        <w:rPr>
          <w:rFonts w:ascii="黑体" w:hAnsi="黑体" w:eastAsia="黑体" w:cs="黑体"/>
          <w:spacing w:val="-1"/>
          <w:sz w:val="27"/>
          <w:szCs w:val="27"/>
        </w:rPr>
        <w:t>7.2</w:t>
      </w:r>
      <w:r>
        <w:rPr>
          <w:rFonts w:ascii="黑体" w:hAnsi="黑体" w:eastAsia="黑体" w:cs="黑体"/>
          <w:spacing w:val="32"/>
          <w:sz w:val="27"/>
          <w:szCs w:val="27"/>
        </w:rPr>
        <w:t xml:space="preserve">  </w:t>
      </w:r>
      <w:r>
        <w:rPr>
          <w:rFonts w:ascii="黑体" w:hAnsi="黑体" w:eastAsia="黑体" w:cs="黑体"/>
          <w:b/>
          <w:bCs/>
          <w:spacing w:val="-1"/>
          <w:sz w:val="27"/>
          <w:szCs w:val="27"/>
        </w:rPr>
        <w:t>供应保障</w:t>
      </w:r>
    </w:p>
    <w:p w14:paraId="30B33FBD">
      <w:pPr>
        <w:pStyle w:val="2"/>
        <w:spacing w:before="85" w:line="219" w:lineRule="auto"/>
        <w:ind w:left="559"/>
      </w:pPr>
      <w:r>
        <w:rPr>
          <w:spacing w:val="1"/>
        </w:rPr>
        <w:t>供应保障方案中应包括：</w:t>
      </w:r>
    </w:p>
    <w:p w14:paraId="7BF2176E">
      <w:pPr>
        <w:pStyle w:val="2"/>
        <w:spacing w:before="61" w:line="212" w:lineRule="auto"/>
        <w:ind w:left="559"/>
      </w:pPr>
      <w:r>
        <w:rPr>
          <w:rFonts w:ascii="Times New Roman" w:hAnsi="Times New Roman" w:eastAsia="Times New Roman" w:cs="Times New Roman"/>
          <w:spacing w:val="2"/>
        </w:rPr>
        <w:t xml:space="preserve">a)  </w:t>
      </w:r>
      <w:r>
        <w:rPr>
          <w:spacing w:val="2"/>
        </w:rPr>
        <w:t>供应品的保障原则；</w:t>
      </w:r>
    </w:p>
    <w:p w14:paraId="521F7938">
      <w:pPr>
        <w:pStyle w:val="2"/>
        <w:spacing w:before="110" w:line="212" w:lineRule="auto"/>
        <w:ind w:left="559"/>
      </w:pPr>
      <w:r>
        <w:rPr>
          <w:rFonts w:ascii="Times New Roman" w:hAnsi="Times New Roman" w:eastAsia="Times New Roman" w:cs="Times New Roman"/>
          <w:spacing w:val="3"/>
        </w:rPr>
        <w:t>b)</w:t>
      </w:r>
      <w:r>
        <w:rPr>
          <w:rFonts w:ascii="Times New Roman" w:hAnsi="Times New Roman" w:eastAsia="Times New Roman" w:cs="Times New Roman"/>
          <w:spacing w:val="69"/>
        </w:rPr>
        <w:t xml:space="preserve"> </w:t>
      </w:r>
      <w:r>
        <w:rPr>
          <w:spacing w:val="3"/>
        </w:rPr>
        <w:t>供应品的分类与储备原则；</w:t>
      </w:r>
    </w:p>
    <w:p w14:paraId="709240C3">
      <w:pPr>
        <w:pStyle w:val="2"/>
        <w:spacing w:before="100" w:line="212" w:lineRule="auto"/>
        <w:ind w:left="559"/>
      </w:pPr>
      <w:r>
        <w:rPr>
          <w:rFonts w:ascii="Times New Roman" w:hAnsi="Times New Roman" w:eastAsia="Times New Roman" w:cs="Times New Roman"/>
          <w:spacing w:val="-5"/>
        </w:rPr>
        <w:t>c)</w:t>
      </w:r>
      <w:r>
        <w:rPr>
          <w:rFonts w:ascii="Times New Roman" w:hAnsi="Times New Roman" w:eastAsia="Times New Roman" w:cs="Times New Roman"/>
          <w:spacing w:val="63"/>
        </w:rPr>
        <w:t xml:space="preserve"> </w:t>
      </w:r>
      <w:r>
        <w:rPr>
          <w:spacing w:val="-5"/>
        </w:rPr>
        <w:t>供应品筹措渠道和方式、方法；</w:t>
      </w:r>
    </w:p>
    <w:p w14:paraId="3AF8B4FC">
      <w:pPr>
        <w:pStyle w:val="2"/>
        <w:spacing w:before="99" w:line="212" w:lineRule="auto"/>
        <w:ind w:left="559"/>
      </w:pPr>
      <w:r>
        <w:rPr>
          <w:rFonts w:ascii="Times New Roman" w:hAnsi="Times New Roman" w:eastAsia="Times New Roman" w:cs="Times New Roman"/>
          <w:spacing w:val="3"/>
        </w:rPr>
        <w:t xml:space="preserve">d)  </w:t>
      </w:r>
      <w:r>
        <w:rPr>
          <w:spacing w:val="3"/>
        </w:rPr>
        <w:t>供应品的供应方法；</w:t>
      </w:r>
    </w:p>
    <w:p w14:paraId="186A1DAF">
      <w:pPr>
        <w:spacing w:line="212" w:lineRule="auto"/>
        <w:sectPr>
          <w:footerReference r:id="rId520" w:type="default"/>
          <w:pgSz w:w="11910" w:h="17130"/>
          <w:pgMar w:top="400" w:right="1048" w:bottom="1610" w:left="1480" w:header="0" w:footer="1337" w:gutter="0"/>
          <w:cols w:space="720" w:num="1"/>
        </w:sectPr>
      </w:pPr>
    </w:p>
    <w:p w14:paraId="02D44F9A">
      <w:pPr>
        <w:spacing w:line="274" w:lineRule="auto"/>
        <w:rPr>
          <w:rFonts w:ascii="Arial"/>
          <w:sz w:val="21"/>
        </w:rPr>
      </w:pPr>
    </w:p>
    <w:p w14:paraId="053C1467">
      <w:pPr>
        <w:spacing w:line="274" w:lineRule="auto"/>
        <w:rPr>
          <w:rFonts w:ascii="Arial"/>
          <w:sz w:val="21"/>
        </w:rPr>
      </w:pPr>
    </w:p>
    <w:p w14:paraId="3BDFE2FF">
      <w:pPr>
        <w:spacing w:line="274" w:lineRule="auto"/>
        <w:rPr>
          <w:rFonts w:ascii="Arial"/>
          <w:sz w:val="21"/>
        </w:rPr>
      </w:pPr>
    </w:p>
    <w:p w14:paraId="575302B7">
      <w:pPr>
        <w:spacing w:line="274" w:lineRule="auto"/>
        <w:rPr>
          <w:rFonts w:ascii="Arial"/>
          <w:sz w:val="21"/>
        </w:rPr>
      </w:pPr>
    </w:p>
    <w:p w14:paraId="1105146C">
      <w:pPr>
        <w:pStyle w:val="2"/>
        <w:spacing w:before="87" w:line="212" w:lineRule="auto"/>
        <w:ind w:left="570"/>
      </w:pPr>
      <w:r>
        <w:rPr>
          <w:rFonts w:ascii="Times New Roman" w:hAnsi="Times New Roman" w:eastAsia="Times New Roman" w:cs="Times New Roman"/>
          <w:spacing w:val="4"/>
        </w:rPr>
        <w:t>e)</w:t>
      </w:r>
      <w:r>
        <w:rPr>
          <w:rFonts w:ascii="Times New Roman" w:hAnsi="Times New Roman" w:eastAsia="Times New Roman" w:cs="Times New Roman"/>
          <w:spacing w:val="62"/>
          <w:w w:val="101"/>
        </w:rPr>
        <w:t xml:space="preserve"> </w:t>
      </w:r>
      <w:r>
        <w:rPr>
          <w:spacing w:val="4"/>
        </w:rPr>
        <w:t>停产后的供应保障。</w:t>
      </w:r>
    </w:p>
    <w:p w14:paraId="5F9DF707">
      <w:pPr>
        <w:spacing w:before="164" w:line="222" w:lineRule="auto"/>
        <w:rPr>
          <w:rFonts w:ascii="黑体" w:hAnsi="黑体" w:eastAsia="黑体" w:cs="黑体"/>
          <w:sz w:val="24"/>
          <w:szCs w:val="24"/>
        </w:rPr>
      </w:pPr>
      <w:r>
        <w:rPr>
          <w:rFonts w:ascii="黑体" w:hAnsi="黑体" w:eastAsia="黑体" w:cs="黑体"/>
          <w:spacing w:val="17"/>
          <w:sz w:val="24"/>
          <w:szCs w:val="24"/>
        </w:rPr>
        <w:t>7.3</w:t>
      </w:r>
      <w:r>
        <w:rPr>
          <w:rFonts w:ascii="黑体" w:hAnsi="黑体" w:eastAsia="黑体" w:cs="黑体"/>
          <w:spacing w:val="52"/>
          <w:sz w:val="24"/>
          <w:szCs w:val="24"/>
        </w:rPr>
        <w:t xml:space="preserve">  </w:t>
      </w:r>
      <w:r>
        <w:rPr>
          <w:rFonts w:ascii="黑体" w:hAnsi="黑体" w:eastAsia="黑体" w:cs="黑体"/>
          <w:b/>
          <w:bCs/>
          <w:spacing w:val="17"/>
          <w:sz w:val="24"/>
          <w:szCs w:val="24"/>
        </w:rPr>
        <w:t>保障设备</w:t>
      </w:r>
    </w:p>
    <w:p w14:paraId="7FE1EF12">
      <w:pPr>
        <w:pStyle w:val="2"/>
        <w:spacing w:before="87" w:line="219" w:lineRule="auto"/>
        <w:ind w:left="570"/>
      </w:pPr>
      <w:r>
        <w:rPr>
          <w:spacing w:val="-1"/>
        </w:rPr>
        <w:t>保障设备方案包括：</w:t>
      </w:r>
    </w:p>
    <w:p w14:paraId="001A0DA4">
      <w:pPr>
        <w:pStyle w:val="2"/>
        <w:spacing w:before="99" w:line="219" w:lineRule="auto"/>
        <w:ind w:left="570"/>
      </w:pPr>
      <w:r>
        <w:rPr>
          <w:rFonts w:ascii="Times New Roman" w:hAnsi="Times New Roman" w:eastAsia="Times New Roman" w:cs="Times New Roman"/>
          <w:spacing w:val="10"/>
        </w:rPr>
        <w:t>a</w:t>
      </w:r>
      <w:r>
        <w:rPr>
          <w:spacing w:val="10"/>
        </w:rPr>
        <w:t>)保障设备的配备原则和约束；</w:t>
      </w:r>
    </w:p>
    <w:p w14:paraId="521CE398">
      <w:pPr>
        <w:pStyle w:val="2"/>
        <w:spacing w:before="49"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69"/>
        </w:rPr>
        <w:t xml:space="preserve"> </w:t>
      </w:r>
      <w:r>
        <w:rPr>
          <w:spacing w:val="4"/>
        </w:rPr>
        <w:t>不同维修级别维修设备的配置方案；</w:t>
      </w:r>
    </w:p>
    <w:p w14:paraId="242047CF">
      <w:pPr>
        <w:pStyle w:val="2"/>
        <w:spacing w:before="132" w:line="212" w:lineRule="auto"/>
        <w:ind w:left="570"/>
        <w:rPr>
          <w:sz w:val="24"/>
          <w:szCs w:val="24"/>
        </w:rPr>
      </w:pPr>
      <w:r>
        <w:rPr>
          <w:rFonts w:ascii="Times New Roman" w:hAnsi="Times New Roman" w:eastAsia="Times New Roman" w:cs="Times New Roman"/>
          <w:spacing w:val="25"/>
          <w:sz w:val="24"/>
          <w:szCs w:val="24"/>
        </w:rPr>
        <w:t xml:space="preserve">c)  </w:t>
      </w:r>
      <w:r>
        <w:rPr>
          <w:spacing w:val="25"/>
          <w:sz w:val="24"/>
          <w:szCs w:val="24"/>
        </w:rPr>
        <w:t>战时保障装备的配置方案。</w:t>
      </w:r>
    </w:p>
    <w:p w14:paraId="1FD02E2F">
      <w:pPr>
        <w:spacing w:before="137" w:line="222" w:lineRule="auto"/>
        <w:rPr>
          <w:rFonts w:ascii="黑体" w:hAnsi="黑体" w:eastAsia="黑体" w:cs="黑体"/>
          <w:sz w:val="25"/>
          <w:szCs w:val="25"/>
        </w:rPr>
      </w:pPr>
      <w:r>
        <w:rPr>
          <w:rFonts w:ascii="黑体" w:hAnsi="黑体" w:eastAsia="黑体" w:cs="黑体"/>
          <w:spacing w:val="11"/>
          <w:sz w:val="25"/>
          <w:szCs w:val="25"/>
        </w:rPr>
        <w:t>7.4</w:t>
      </w:r>
      <w:r>
        <w:rPr>
          <w:rFonts w:ascii="黑体" w:hAnsi="黑体" w:eastAsia="黑体" w:cs="黑体"/>
          <w:spacing w:val="41"/>
          <w:sz w:val="25"/>
          <w:szCs w:val="25"/>
        </w:rPr>
        <w:t xml:space="preserve">  </w:t>
      </w:r>
      <w:r>
        <w:rPr>
          <w:rFonts w:ascii="黑体" w:hAnsi="黑体" w:eastAsia="黑体" w:cs="黑体"/>
          <w:b/>
          <w:bCs/>
          <w:spacing w:val="11"/>
          <w:sz w:val="25"/>
          <w:szCs w:val="25"/>
        </w:rPr>
        <w:t>技术资料</w:t>
      </w:r>
    </w:p>
    <w:p w14:paraId="7CA2A1BC">
      <w:pPr>
        <w:pStyle w:val="2"/>
        <w:spacing w:before="85" w:line="219" w:lineRule="auto"/>
        <w:ind w:left="570"/>
      </w:pPr>
      <w:r>
        <w:t>技术资料保障方案包括：</w:t>
      </w:r>
    </w:p>
    <w:p w14:paraId="2AAF449F">
      <w:pPr>
        <w:pStyle w:val="2"/>
        <w:spacing w:before="70" w:line="212" w:lineRule="auto"/>
        <w:ind w:left="570"/>
      </w:pPr>
      <w:r>
        <w:rPr>
          <w:rFonts w:ascii="Times New Roman" w:hAnsi="Times New Roman" w:eastAsia="Times New Roman" w:cs="Times New Roman"/>
          <w:spacing w:val="-8"/>
        </w:rPr>
        <w:t>a)</w:t>
      </w:r>
      <w:r>
        <w:rPr>
          <w:rFonts w:ascii="Times New Roman" w:hAnsi="Times New Roman" w:eastAsia="Times New Roman" w:cs="Times New Roman"/>
          <w:spacing w:val="70"/>
          <w:w w:val="101"/>
        </w:rPr>
        <w:t xml:space="preserve"> </w:t>
      </w:r>
      <w:r>
        <w:rPr>
          <w:spacing w:val="-8"/>
        </w:rPr>
        <w:t>装备使用技术资料的种类、格式；不同维修级别的资料种类、格式；</w:t>
      </w:r>
    </w:p>
    <w:p w14:paraId="2CFE1FE2">
      <w:pPr>
        <w:pStyle w:val="2"/>
        <w:spacing w:before="90" w:line="212" w:lineRule="auto"/>
        <w:ind w:left="570"/>
      </w:pPr>
      <w:r>
        <w:rPr>
          <w:rFonts w:ascii="Times New Roman" w:hAnsi="Times New Roman" w:eastAsia="Times New Roman" w:cs="Times New Roman"/>
          <w:spacing w:val="-1"/>
        </w:rPr>
        <w:t>b)</w:t>
      </w:r>
      <w:r>
        <w:rPr>
          <w:rFonts w:ascii="Times New Roman" w:hAnsi="Times New Roman" w:eastAsia="Times New Roman" w:cs="Times New Roman"/>
          <w:spacing w:val="68"/>
        </w:rPr>
        <w:t xml:space="preserve"> </w:t>
      </w:r>
      <w:r>
        <w:rPr>
          <w:spacing w:val="-1"/>
        </w:rPr>
        <w:t>装备使用与维修技术资料配发范围、数量和交付时机；</w:t>
      </w:r>
    </w:p>
    <w:p w14:paraId="7B671E71">
      <w:pPr>
        <w:pStyle w:val="2"/>
        <w:spacing w:before="89" w:line="212" w:lineRule="auto"/>
        <w:ind w:left="570"/>
      </w:pPr>
      <w:r>
        <w:rPr>
          <w:rFonts w:ascii="Times New Roman" w:hAnsi="Times New Roman" w:eastAsia="Times New Roman" w:cs="Times New Roman"/>
          <w:spacing w:val="4"/>
        </w:rPr>
        <w:t>c)</w:t>
      </w:r>
      <w:r>
        <w:rPr>
          <w:rFonts w:ascii="Times New Roman" w:hAnsi="Times New Roman" w:eastAsia="Times New Roman" w:cs="Times New Roman"/>
          <w:spacing w:val="50"/>
          <w:w w:val="101"/>
        </w:rPr>
        <w:t xml:space="preserve"> </w:t>
      </w:r>
      <w:r>
        <w:rPr>
          <w:spacing w:val="4"/>
        </w:rPr>
        <w:t>装备使用与维修技术资料的交付要求；</w:t>
      </w:r>
    </w:p>
    <w:p w14:paraId="1106A3AE">
      <w:pPr>
        <w:pStyle w:val="2"/>
        <w:spacing w:before="110" w:line="212" w:lineRule="auto"/>
        <w:ind w:left="570"/>
      </w:pPr>
      <w:r>
        <w:rPr>
          <w:rFonts w:ascii="Times New Roman" w:hAnsi="Times New Roman" w:eastAsia="Times New Roman" w:cs="Times New Roman"/>
          <w:spacing w:val="5"/>
        </w:rPr>
        <w:t>d)</w:t>
      </w:r>
      <w:r>
        <w:rPr>
          <w:rFonts w:ascii="Times New Roman" w:hAnsi="Times New Roman" w:eastAsia="Times New Roman" w:cs="Times New Roman"/>
          <w:spacing w:val="56"/>
          <w:w w:val="101"/>
        </w:rPr>
        <w:t xml:space="preserve"> </w:t>
      </w:r>
      <w:r>
        <w:rPr>
          <w:spacing w:val="5"/>
        </w:rPr>
        <w:t>装备使用与维修技术资料的更新程序。</w:t>
      </w:r>
    </w:p>
    <w:p w14:paraId="0B64DD8E">
      <w:pPr>
        <w:spacing w:before="118" w:line="223" w:lineRule="auto"/>
        <w:outlineLvl w:val="3"/>
        <w:rPr>
          <w:rFonts w:ascii="黑体" w:hAnsi="黑体" w:eastAsia="黑体" w:cs="黑体"/>
          <w:sz w:val="27"/>
          <w:szCs w:val="27"/>
        </w:rPr>
      </w:pPr>
      <w:r>
        <w:rPr>
          <w:rFonts w:ascii="Arial" w:hAnsi="Arial" w:eastAsia="Arial" w:cs="Arial"/>
          <w:b/>
          <w:bCs/>
          <w:spacing w:val="-2"/>
          <w:sz w:val="27"/>
          <w:szCs w:val="27"/>
        </w:rPr>
        <w:t>7.5</w:t>
      </w:r>
      <w:r>
        <w:rPr>
          <w:rFonts w:ascii="Arial" w:hAnsi="Arial" w:eastAsia="Arial" w:cs="Arial"/>
          <w:b/>
          <w:bCs/>
          <w:spacing w:val="7"/>
          <w:sz w:val="27"/>
          <w:szCs w:val="27"/>
        </w:rPr>
        <w:t xml:space="preserve">    </w:t>
      </w:r>
      <w:r>
        <w:rPr>
          <w:rFonts w:ascii="黑体" w:hAnsi="黑体" w:eastAsia="黑体" w:cs="黑体"/>
          <w:b/>
          <w:bCs/>
          <w:spacing w:val="-2"/>
          <w:sz w:val="27"/>
          <w:szCs w:val="27"/>
        </w:rPr>
        <w:t>训练与训练保障</w:t>
      </w:r>
    </w:p>
    <w:p w14:paraId="260B25DE">
      <w:pPr>
        <w:pStyle w:val="2"/>
        <w:spacing w:before="97" w:line="219" w:lineRule="auto"/>
        <w:ind w:left="570"/>
      </w:pPr>
      <w:r>
        <w:rPr>
          <w:spacing w:val="2"/>
        </w:rPr>
        <w:t>训练与训练保障方案包括：</w:t>
      </w:r>
    </w:p>
    <w:p w14:paraId="0FA611CF">
      <w:pPr>
        <w:pStyle w:val="2"/>
        <w:spacing w:before="70" w:line="253" w:lineRule="auto"/>
        <w:ind w:right="2" w:firstLine="570"/>
      </w:pPr>
      <w:r>
        <w:rPr>
          <w:rFonts w:ascii="Times New Roman" w:hAnsi="Times New Roman" w:eastAsia="Times New Roman" w:cs="Times New Roman"/>
          <w:spacing w:val="-2"/>
        </w:rPr>
        <w:t>a</w:t>
      </w:r>
      <w:r>
        <w:rPr>
          <w:spacing w:val="-2"/>
        </w:rPr>
        <w:t>)初始训练和后续训练安排，包括训练对象的员额与要求、训练时间、实施</w:t>
      </w:r>
      <w:r>
        <w:rPr>
          <w:spacing w:val="4"/>
        </w:rPr>
        <w:t xml:space="preserve"> </w:t>
      </w:r>
      <w:r>
        <w:rPr>
          <w:spacing w:val="-3"/>
        </w:rPr>
        <w:t>方法等；</w:t>
      </w:r>
    </w:p>
    <w:p w14:paraId="658D0C6A">
      <w:pPr>
        <w:pStyle w:val="2"/>
        <w:spacing w:before="59"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67"/>
          <w:w w:val="101"/>
        </w:rPr>
        <w:t xml:space="preserve"> </w:t>
      </w:r>
      <w:r>
        <w:rPr>
          <w:spacing w:val="-4"/>
        </w:rPr>
        <w:t>模拟训练的目的、方法和应达到的效果；</w:t>
      </w:r>
    </w:p>
    <w:p w14:paraId="72E06E5C">
      <w:pPr>
        <w:pStyle w:val="2"/>
        <w:spacing w:before="122" w:line="212" w:lineRule="auto"/>
        <w:ind w:left="570"/>
        <w:rPr>
          <w:sz w:val="24"/>
          <w:szCs w:val="24"/>
        </w:rPr>
      </w:pPr>
      <w:r>
        <w:rPr>
          <w:rFonts w:ascii="Times New Roman" w:hAnsi="Times New Roman" w:eastAsia="Times New Roman" w:cs="Times New Roman"/>
          <w:spacing w:val="22"/>
          <w:sz w:val="24"/>
          <w:szCs w:val="24"/>
        </w:rPr>
        <w:t xml:space="preserve">c)  </w:t>
      </w:r>
      <w:r>
        <w:rPr>
          <w:spacing w:val="22"/>
          <w:sz w:val="24"/>
          <w:szCs w:val="24"/>
        </w:rPr>
        <w:t>承制方承担的训练任务安排和教材、训练设备、设施的提供等。</w:t>
      </w:r>
    </w:p>
    <w:p w14:paraId="3D924D2D">
      <w:pPr>
        <w:spacing w:before="116" w:line="221" w:lineRule="auto"/>
        <w:rPr>
          <w:rFonts w:ascii="黑体" w:hAnsi="黑体" w:eastAsia="黑体" w:cs="黑体"/>
          <w:sz w:val="27"/>
          <w:szCs w:val="27"/>
        </w:rPr>
      </w:pPr>
      <w:r>
        <w:rPr>
          <w:rFonts w:ascii="黑体" w:hAnsi="黑体" w:eastAsia="黑体" w:cs="黑体"/>
          <w:sz w:val="27"/>
          <w:szCs w:val="27"/>
        </w:rPr>
        <w:t>7.6</w:t>
      </w:r>
      <w:r>
        <w:rPr>
          <w:rFonts w:ascii="黑体" w:hAnsi="黑体" w:eastAsia="黑体" w:cs="黑体"/>
          <w:spacing w:val="15"/>
          <w:sz w:val="27"/>
          <w:szCs w:val="27"/>
        </w:rPr>
        <w:t xml:space="preserve">  </w:t>
      </w:r>
      <w:r>
        <w:rPr>
          <w:rFonts w:ascii="黑体" w:hAnsi="黑体" w:eastAsia="黑体" w:cs="黑体"/>
          <w:b/>
          <w:bCs/>
          <w:sz w:val="27"/>
          <w:szCs w:val="27"/>
        </w:rPr>
        <w:t>计算机资源保障</w:t>
      </w:r>
    </w:p>
    <w:p w14:paraId="0AA7FE78">
      <w:pPr>
        <w:pStyle w:val="2"/>
        <w:spacing w:before="102" w:line="219" w:lineRule="auto"/>
        <w:ind w:left="570"/>
      </w:pPr>
      <w:r>
        <w:rPr>
          <w:spacing w:val="3"/>
        </w:rPr>
        <w:t>计算机资源保障方案应包含如下各项：</w:t>
      </w:r>
    </w:p>
    <w:p w14:paraId="362DBB6E">
      <w:pPr>
        <w:pStyle w:val="2"/>
        <w:spacing w:before="51" w:line="212" w:lineRule="auto"/>
        <w:ind w:left="570"/>
      </w:pPr>
      <w:r>
        <w:rPr>
          <w:rFonts w:ascii="Times New Roman" w:hAnsi="Times New Roman" w:eastAsia="Times New Roman" w:cs="Times New Roman"/>
          <w:spacing w:val="-3"/>
        </w:rPr>
        <w:t>a)</w:t>
      </w:r>
      <w:r>
        <w:rPr>
          <w:rFonts w:ascii="Times New Roman" w:hAnsi="Times New Roman" w:eastAsia="Times New Roman" w:cs="Times New Roman"/>
          <w:spacing w:val="52"/>
          <w:w w:val="101"/>
        </w:rPr>
        <w:t xml:space="preserve"> </w:t>
      </w:r>
      <w:r>
        <w:rPr>
          <w:spacing w:val="-3"/>
        </w:rPr>
        <w:t>计算机资源保障方面的约束，如采用的计算机语言、软件开发</w:t>
      </w:r>
      <w:r>
        <w:rPr>
          <w:spacing w:val="-4"/>
        </w:rPr>
        <w:t>环境等；</w:t>
      </w:r>
    </w:p>
    <w:p w14:paraId="7857804C">
      <w:pPr>
        <w:pStyle w:val="2"/>
        <w:spacing w:before="100" w:line="258" w:lineRule="auto"/>
        <w:ind w:firstLine="570"/>
      </w:pPr>
      <w:r>
        <w:rPr>
          <w:rFonts w:ascii="Times New Roman" w:hAnsi="Times New Roman" w:eastAsia="Times New Roman" w:cs="Times New Roman"/>
          <w:spacing w:val="-5"/>
        </w:rPr>
        <w:t xml:space="preserve">b)  </w:t>
      </w:r>
      <w:r>
        <w:rPr>
          <w:spacing w:val="-5"/>
        </w:rPr>
        <w:t>与部队联合训练、保障指挥、维修管理、综合测试诊断等系统的兼容性及</w:t>
      </w:r>
      <w:r>
        <w:rPr>
          <w:spacing w:val="13"/>
        </w:rPr>
        <w:t xml:space="preserve"> </w:t>
      </w:r>
      <w:r>
        <w:rPr>
          <w:spacing w:val="-3"/>
        </w:rPr>
        <w:t>接口安排；</w:t>
      </w:r>
    </w:p>
    <w:p w14:paraId="59302B33">
      <w:pPr>
        <w:pStyle w:val="2"/>
        <w:spacing w:before="66" w:line="257" w:lineRule="auto"/>
        <w:ind w:right="5" w:firstLine="570"/>
      </w:pPr>
      <w:r>
        <w:rPr>
          <w:rFonts w:ascii="Times New Roman" w:hAnsi="Times New Roman" w:eastAsia="Times New Roman" w:cs="Times New Roman"/>
          <w:spacing w:val="4"/>
        </w:rPr>
        <w:t>c)</w:t>
      </w:r>
      <w:r>
        <w:rPr>
          <w:rFonts w:ascii="Times New Roman" w:hAnsi="Times New Roman" w:eastAsia="Times New Roman" w:cs="Times New Roman"/>
          <w:spacing w:val="53"/>
        </w:rPr>
        <w:t xml:space="preserve"> </w:t>
      </w:r>
      <w:r>
        <w:rPr>
          <w:spacing w:val="4"/>
        </w:rPr>
        <w:t>对软件保障应重点说明软件故障诊断、维护和升级的责任主体</w:t>
      </w:r>
      <w:r>
        <w:rPr>
          <w:spacing w:val="3"/>
        </w:rPr>
        <w:t>、工作程</w:t>
      </w:r>
      <w:r>
        <w:t xml:space="preserve"> 序及实施方法。</w:t>
      </w:r>
    </w:p>
    <w:p w14:paraId="724CA57A">
      <w:pPr>
        <w:spacing w:before="92" w:line="222" w:lineRule="auto"/>
        <w:rPr>
          <w:rFonts w:ascii="黑体" w:hAnsi="黑体" w:eastAsia="黑体" w:cs="黑体"/>
          <w:sz w:val="27"/>
          <w:szCs w:val="27"/>
        </w:rPr>
      </w:pPr>
      <w:r>
        <w:rPr>
          <w:rFonts w:ascii="黑体" w:hAnsi="黑体" w:eastAsia="黑体" w:cs="黑体"/>
          <w:sz w:val="27"/>
          <w:szCs w:val="27"/>
        </w:rPr>
        <w:t>7.7</w:t>
      </w:r>
      <w:r>
        <w:rPr>
          <w:rFonts w:ascii="黑体" w:hAnsi="黑体" w:eastAsia="黑体" w:cs="黑体"/>
          <w:spacing w:val="15"/>
          <w:sz w:val="27"/>
          <w:szCs w:val="27"/>
        </w:rPr>
        <w:t xml:space="preserve">  </w:t>
      </w:r>
      <w:r>
        <w:rPr>
          <w:rFonts w:ascii="黑体" w:hAnsi="黑体" w:eastAsia="黑体" w:cs="黑体"/>
          <w:b/>
          <w:bCs/>
          <w:sz w:val="27"/>
          <w:szCs w:val="27"/>
        </w:rPr>
        <w:t>保障设施</w:t>
      </w:r>
    </w:p>
    <w:p w14:paraId="03FC809A">
      <w:pPr>
        <w:pStyle w:val="2"/>
        <w:spacing w:before="91" w:line="219" w:lineRule="auto"/>
        <w:ind w:left="570"/>
      </w:pPr>
      <w:r>
        <w:rPr>
          <w:spacing w:val="2"/>
        </w:rPr>
        <w:t>保障设施保障方案应包含如下各项：</w:t>
      </w:r>
    </w:p>
    <w:p w14:paraId="1F3B6320">
      <w:pPr>
        <w:pStyle w:val="2"/>
        <w:spacing w:before="59" w:line="212" w:lineRule="auto"/>
        <w:ind w:left="570"/>
      </w:pPr>
      <w:r>
        <w:rPr>
          <w:rFonts w:ascii="Times New Roman" w:hAnsi="Times New Roman" w:eastAsia="Times New Roman" w:cs="Times New Roman"/>
          <w:spacing w:val="4"/>
        </w:rPr>
        <w:t>a)</w:t>
      </w:r>
      <w:r>
        <w:rPr>
          <w:rFonts w:ascii="Times New Roman" w:hAnsi="Times New Roman" w:eastAsia="Times New Roman" w:cs="Times New Roman"/>
          <w:spacing w:val="70"/>
          <w:w w:val="101"/>
        </w:rPr>
        <w:t xml:space="preserve"> </w:t>
      </w:r>
      <w:r>
        <w:rPr>
          <w:spacing w:val="4"/>
        </w:rPr>
        <w:t>场站及各级别维修设施及其内部设备的配置方案；</w:t>
      </w:r>
    </w:p>
    <w:p w14:paraId="6A04D854">
      <w:pPr>
        <w:pStyle w:val="2"/>
        <w:spacing w:before="100" w:line="212" w:lineRule="auto"/>
        <w:ind w:left="570"/>
      </w:pPr>
      <w:r>
        <w:rPr>
          <w:rFonts w:ascii="Times New Roman" w:hAnsi="Times New Roman" w:eastAsia="Times New Roman" w:cs="Times New Roman"/>
        </w:rPr>
        <w:t>b)</w:t>
      </w:r>
      <w:r>
        <w:rPr>
          <w:rFonts w:ascii="Times New Roman" w:hAnsi="Times New Roman" w:eastAsia="Times New Roman" w:cs="Times New Roman"/>
          <w:spacing w:val="61"/>
        </w:rPr>
        <w:t xml:space="preserve"> </w:t>
      </w:r>
      <w:r>
        <w:t>设施建设方案，特别是建设周期长的设施的建设要求。</w:t>
      </w:r>
    </w:p>
    <w:p w14:paraId="34BD9D00">
      <w:pPr>
        <w:spacing w:before="144" w:line="221" w:lineRule="auto"/>
        <w:rPr>
          <w:rFonts w:ascii="黑体" w:hAnsi="黑体" w:eastAsia="黑体" w:cs="黑体"/>
          <w:sz w:val="24"/>
          <w:szCs w:val="24"/>
        </w:rPr>
      </w:pPr>
      <w:r>
        <w:rPr>
          <w:rFonts w:ascii="黑体" w:hAnsi="黑体" w:eastAsia="黑体" w:cs="黑体"/>
          <w:spacing w:val="8"/>
          <w:sz w:val="24"/>
          <w:szCs w:val="24"/>
        </w:rPr>
        <w:t>7.8</w:t>
      </w:r>
      <w:r>
        <w:rPr>
          <w:rFonts w:ascii="黑体" w:hAnsi="黑体" w:eastAsia="黑体" w:cs="黑体"/>
          <w:spacing w:val="51"/>
          <w:sz w:val="24"/>
          <w:szCs w:val="24"/>
        </w:rPr>
        <w:t xml:space="preserve">  </w:t>
      </w:r>
      <w:r>
        <w:rPr>
          <w:rFonts w:ascii="黑体" w:hAnsi="黑体" w:eastAsia="黑体" w:cs="黑体"/>
          <w:b/>
          <w:bCs/>
          <w:spacing w:val="8"/>
          <w:sz w:val="24"/>
          <w:szCs w:val="24"/>
        </w:rPr>
        <w:t>包装、装卸、贮存和运输保障</w:t>
      </w:r>
    </w:p>
    <w:p w14:paraId="2602D40E">
      <w:pPr>
        <w:pStyle w:val="2"/>
        <w:spacing w:before="100" w:line="219" w:lineRule="auto"/>
        <w:ind w:left="570"/>
      </w:pPr>
      <w:r>
        <w:rPr>
          <w:spacing w:val="-11"/>
        </w:rPr>
        <w:t>包装、装卸、贮存和运输保障方案应包含：</w:t>
      </w:r>
    </w:p>
    <w:p w14:paraId="1D6DBD6D">
      <w:pPr>
        <w:pStyle w:val="2"/>
        <w:spacing w:before="79" w:line="254" w:lineRule="auto"/>
        <w:ind w:firstLine="570"/>
      </w:pPr>
      <w:r>
        <w:rPr>
          <w:rFonts w:ascii="Times New Roman" w:hAnsi="Times New Roman" w:eastAsia="Times New Roman" w:cs="Times New Roman"/>
          <w:spacing w:val="3"/>
        </w:rPr>
        <w:t xml:space="preserve">a)  </w:t>
      </w:r>
      <w:r>
        <w:rPr>
          <w:spacing w:val="3"/>
        </w:rPr>
        <w:t>包装类型及其对装备物理特性要求，包装拆除后所需的组装、调试等工</w:t>
      </w:r>
      <w:r>
        <w:rPr>
          <w:spacing w:val="14"/>
        </w:rPr>
        <w:t xml:space="preserve"> </w:t>
      </w:r>
      <w:r>
        <w:rPr>
          <w:spacing w:val="-3"/>
        </w:rPr>
        <w:t>作要求；</w:t>
      </w:r>
    </w:p>
    <w:p w14:paraId="49DB5015">
      <w:pPr>
        <w:pStyle w:val="2"/>
        <w:spacing w:before="67" w:line="212" w:lineRule="auto"/>
        <w:ind w:right="2"/>
        <w:jc w:val="right"/>
      </w:pPr>
      <w:r>
        <w:rPr>
          <w:rFonts w:ascii="Times New Roman" w:hAnsi="Times New Roman" w:eastAsia="Times New Roman" w:cs="Times New Roman"/>
          <w:spacing w:val="3"/>
        </w:rPr>
        <w:t>b)</w:t>
      </w:r>
      <w:r>
        <w:rPr>
          <w:rFonts w:ascii="Times New Roman" w:hAnsi="Times New Roman" w:eastAsia="Times New Roman" w:cs="Times New Roman"/>
          <w:spacing w:val="70"/>
        </w:rPr>
        <w:t xml:space="preserve"> </w:t>
      </w:r>
      <w:r>
        <w:rPr>
          <w:spacing w:val="3"/>
        </w:rPr>
        <w:t>确定包装、运输对装卸的要求，装卸对产品可能造成的影响以及需采取</w:t>
      </w:r>
    </w:p>
    <w:p w14:paraId="6DCE12F5">
      <w:pPr>
        <w:spacing w:line="212" w:lineRule="auto"/>
        <w:sectPr>
          <w:footerReference r:id="rId521" w:type="default"/>
          <w:pgSz w:w="11910" w:h="17130"/>
          <w:pgMar w:top="400" w:right="1375" w:bottom="1546" w:left="1130" w:header="0" w:footer="1357" w:gutter="0"/>
          <w:cols w:space="720" w:num="1"/>
        </w:sectPr>
      </w:pPr>
    </w:p>
    <w:p w14:paraId="46E853B4">
      <w:pPr>
        <w:spacing w:line="269" w:lineRule="auto"/>
        <w:rPr>
          <w:rFonts w:ascii="Arial"/>
          <w:sz w:val="21"/>
        </w:rPr>
      </w:pPr>
    </w:p>
    <w:p w14:paraId="6C71A8AD">
      <w:pPr>
        <w:spacing w:line="269" w:lineRule="auto"/>
        <w:rPr>
          <w:rFonts w:ascii="Arial"/>
          <w:sz w:val="21"/>
        </w:rPr>
      </w:pPr>
    </w:p>
    <w:p w14:paraId="33D5F53F">
      <w:pPr>
        <w:spacing w:line="269" w:lineRule="auto"/>
        <w:rPr>
          <w:rFonts w:ascii="Arial"/>
          <w:sz w:val="21"/>
        </w:rPr>
      </w:pPr>
    </w:p>
    <w:p w14:paraId="47D02148">
      <w:pPr>
        <w:spacing w:line="270" w:lineRule="auto"/>
        <w:rPr>
          <w:rFonts w:ascii="Arial"/>
          <w:sz w:val="21"/>
        </w:rPr>
      </w:pPr>
    </w:p>
    <w:p w14:paraId="03C40757">
      <w:pPr>
        <w:pStyle w:val="2"/>
        <w:spacing w:before="88" w:line="220" w:lineRule="auto"/>
      </w:pPr>
      <w:r>
        <w:rPr>
          <w:spacing w:val="-5"/>
        </w:rPr>
        <w:t>的措施；</w:t>
      </w:r>
    </w:p>
    <w:p w14:paraId="50B36E99">
      <w:pPr>
        <w:pStyle w:val="2"/>
        <w:spacing w:before="8" w:line="270" w:lineRule="auto"/>
        <w:ind w:firstLine="560"/>
      </w:pPr>
      <w:r>
        <w:rPr>
          <w:rFonts w:ascii="Times New Roman" w:hAnsi="Times New Roman" w:eastAsia="Times New Roman" w:cs="Times New Roman"/>
          <w:spacing w:val="-2"/>
        </w:rPr>
        <w:t>c)</w:t>
      </w:r>
      <w:r>
        <w:rPr>
          <w:rFonts w:ascii="Times New Roman" w:hAnsi="Times New Roman" w:eastAsia="Times New Roman" w:cs="Times New Roman"/>
          <w:spacing w:val="74"/>
          <w:w w:val="101"/>
        </w:rPr>
        <w:t xml:space="preserve"> </w:t>
      </w:r>
      <w:r>
        <w:rPr>
          <w:spacing w:val="-2"/>
        </w:rPr>
        <w:t>贮存环境和条件要求，贮存期间的保养、</w:t>
      </w:r>
      <w:r>
        <w:rPr>
          <w:rFonts w:ascii="仿宋" w:hAnsi="仿宋" w:eastAsia="仿宋" w:cs="仿宋"/>
          <w:spacing w:val="-2"/>
        </w:rPr>
        <w:t>检测间隔期及方法、装备封存、</w:t>
      </w:r>
      <w:r>
        <w:rPr>
          <w:rFonts w:ascii="仿宋" w:hAnsi="仿宋" w:eastAsia="仿宋" w:cs="仿宋"/>
        </w:rPr>
        <w:t xml:space="preserve"> </w:t>
      </w:r>
      <w:r>
        <w:rPr>
          <w:spacing w:val="-9"/>
        </w:rPr>
        <w:t>启封的保养、检测安排；</w:t>
      </w:r>
    </w:p>
    <w:p w14:paraId="27DB075D">
      <w:pPr>
        <w:pStyle w:val="2"/>
        <w:spacing w:before="18" w:line="274" w:lineRule="auto"/>
        <w:ind w:right="102" w:firstLine="560"/>
      </w:pPr>
      <w:r>
        <w:rPr>
          <w:rFonts w:ascii="Times New Roman" w:hAnsi="Times New Roman" w:eastAsia="Times New Roman" w:cs="Times New Roman"/>
          <w:spacing w:val="3"/>
        </w:rPr>
        <w:t>d)</w:t>
      </w:r>
      <w:r>
        <w:rPr>
          <w:rFonts w:ascii="Times New Roman" w:hAnsi="Times New Roman" w:eastAsia="Times New Roman" w:cs="Times New Roman"/>
          <w:spacing w:val="66"/>
        </w:rPr>
        <w:t xml:space="preserve"> </w:t>
      </w:r>
      <w:r>
        <w:rPr>
          <w:spacing w:val="3"/>
        </w:rPr>
        <w:t>需要采用的运输方式、运载工具以及尺寸限制措施，运输</w:t>
      </w:r>
      <w:r>
        <w:rPr>
          <w:spacing w:val="2"/>
        </w:rPr>
        <w:t>条件及其对装</w:t>
      </w:r>
      <w:r>
        <w:t xml:space="preserve"> </w:t>
      </w:r>
      <w:r>
        <w:rPr>
          <w:spacing w:val="1"/>
        </w:rPr>
        <w:t>备技术性能的要求。</w:t>
      </w:r>
    </w:p>
    <w:p w14:paraId="2C2F3698">
      <w:pPr>
        <w:spacing w:before="103" w:line="222" w:lineRule="auto"/>
        <w:rPr>
          <w:rFonts w:ascii="黑体" w:hAnsi="黑体" w:eastAsia="黑体" w:cs="黑体"/>
          <w:sz w:val="24"/>
          <w:szCs w:val="24"/>
        </w:rPr>
      </w:pPr>
      <w:r>
        <w:rPr>
          <w:rFonts w:ascii="黑体" w:hAnsi="黑体" w:eastAsia="黑体" w:cs="黑体"/>
          <w:spacing w:val="14"/>
          <w:sz w:val="24"/>
          <w:szCs w:val="24"/>
        </w:rPr>
        <w:t>7.9</w:t>
      </w:r>
      <w:r>
        <w:rPr>
          <w:rFonts w:ascii="黑体" w:hAnsi="黑体" w:eastAsia="黑体" w:cs="黑体"/>
          <w:spacing w:val="1"/>
          <w:sz w:val="24"/>
          <w:szCs w:val="24"/>
        </w:rPr>
        <w:t xml:space="preserve">   </w:t>
      </w:r>
      <w:r>
        <w:rPr>
          <w:rFonts w:ascii="黑体" w:hAnsi="黑体" w:eastAsia="黑体" w:cs="黑体"/>
          <w:b/>
          <w:bCs/>
          <w:spacing w:val="14"/>
          <w:sz w:val="24"/>
          <w:szCs w:val="24"/>
        </w:rPr>
        <w:t>特殊保障</w:t>
      </w:r>
    </w:p>
    <w:p w14:paraId="53547FAF">
      <w:pPr>
        <w:pStyle w:val="2"/>
        <w:spacing w:before="55" w:line="296" w:lineRule="auto"/>
        <w:ind w:right="96" w:firstLine="560"/>
      </w:pPr>
      <w:r>
        <w:rPr>
          <w:spacing w:val="-3"/>
        </w:rPr>
        <w:t>考虑特殊保障要求，如核生化条件下的防护，坦克的潜渡保障要求，</w:t>
      </w:r>
      <w:r>
        <w:rPr>
          <w:rFonts w:ascii="仿宋" w:hAnsi="仿宋" w:eastAsia="仿宋" w:cs="仿宋"/>
          <w:spacing w:val="-3"/>
        </w:rPr>
        <w:t>战时特</w:t>
      </w:r>
      <w:r>
        <w:rPr>
          <w:rFonts w:ascii="仿宋" w:hAnsi="仿宋" w:eastAsia="仿宋" w:cs="仿宋"/>
          <w:spacing w:val="16"/>
        </w:rPr>
        <w:t xml:space="preserve"> </w:t>
      </w:r>
      <w:r>
        <w:t>殊保障要求等。</w:t>
      </w:r>
    </w:p>
    <w:p w14:paraId="4AFBEF31">
      <w:pPr>
        <w:spacing w:before="1" w:line="220" w:lineRule="auto"/>
        <w:rPr>
          <w:rFonts w:ascii="黑体" w:hAnsi="黑体" w:eastAsia="黑体" w:cs="黑体"/>
          <w:sz w:val="24"/>
          <w:szCs w:val="24"/>
        </w:rPr>
      </w:pPr>
      <w:r>
        <w:rPr>
          <w:rFonts w:ascii="黑体" w:hAnsi="黑体" w:eastAsia="黑体" w:cs="黑体"/>
          <w:spacing w:val="30"/>
          <w:sz w:val="24"/>
          <w:szCs w:val="24"/>
        </w:rPr>
        <w:t>8</w:t>
      </w:r>
      <w:r>
        <w:rPr>
          <w:rFonts w:ascii="黑体" w:hAnsi="黑体" w:eastAsia="黑体" w:cs="黑体"/>
          <w:spacing w:val="40"/>
          <w:sz w:val="24"/>
          <w:szCs w:val="24"/>
        </w:rPr>
        <w:t xml:space="preserve">  </w:t>
      </w:r>
      <w:r>
        <w:rPr>
          <w:rFonts w:ascii="黑体" w:hAnsi="黑体" w:eastAsia="黑体" w:cs="黑体"/>
          <w:b/>
          <w:bCs/>
          <w:spacing w:val="30"/>
          <w:sz w:val="24"/>
          <w:szCs w:val="24"/>
        </w:rPr>
        <w:t>分析备选保障系统方案的风险</w:t>
      </w:r>
    </w:p>
    <w:p w14:paraId="5C54E0B1">
      <w:pPr>
        <w:pStyle w:val="2"/>
        <w:spacing w:before="99" w:line="219" w:lineRule="auto"/>
        <w:ind w:left="560"/>
      </w:pPr>
      <w:r>
        <w:rPr>
          <w:spacing w:val="-4"/>
        </w:rPr>
        <w:t>从技术、费用、进度等方面分析实施备选保障系统方案可能产生的风险。</w:t>
      </w:r>
    </w:p>
    <w:p w14:paraId="71EC76CD">
      <w:pPr>
        <w:spacing w:line="315" w:lineRule="auto"/>
        <w:rPr>
          <w:rFonts w:ascii="Arial"/>
          <w:sz w:val="21"/>
        </w:rPr>
      </w:pPr>
    </w:p>
    <w:p w14:paraId="4B80625A">
      <w:pPr>
        <w:pStyle w:val="2"/>
        <w:spacing w:before="118" w:line="218" w:lineRule="auto"/>
        <w:ind w:left="1869"/>
        <w:outlineLvl w:val="1"/>
        <w:rPr>
          <w:sz w:val="36"/>
          <w:szCs w:val="36"/>
        </w:rPr>
      </w:pPr>
      <w:r>
        <w:rPr>
          <w:rFonts w:ascii="Times New Roman" w:hAnsi="Times New Roman" w:eastAsia="Times New Roman" w:cs="Times New Roman"/>
          <w:b/>
          <w:bCs/>
          <w:spacing w:val="2"/>
          <w:sz w:val="36"/>
          <w:szCs w:val="36"/>
        </w:rPr>
        <w:t xml:space="preserve">10.15     </w:t>
      </w:r>
      <w:r>
        <w:rPr>
          <w:b/>
          <w:bCs/>
          <w:spacing w:val="2"/>
          <w:sz w:val="36"/>
          <w:szCs w:val="36"/>
        </w:rPr>
        <w:t>备选方案的评价和权衡分析</w:t>
      </w:r>
    </w:p>
    <w:p w14:paraId="1B368046">
      <w:pPr>
        <w:spacing w:line="334" w:lineRule="auto"/>
        <w:rPr>
          <w:rFonts w:ascii="Arial"/>
          <w:sz w:val="21"/>
        </w:rPr>
      </w:pPr>
    </w:p>
    <w:p w14:paraId="3646201A">
      <w:pPr>
        <w:pStyle w:val="2"/>
        <w:spacing w:before="91" w:line="226" w:lineRule="auto"/>
        <w:ind w:left="560"/>
        <w:rPr>
          <w:rFonts w:ascii="楷体" w:hAnsi="楷体" w:eastAsia="楷体" w:cs="楷体"/>
          <w:sz w:val="28"/>
          <w:szCs w:val="28"/>
        </w:rPr>
      </w:pPr>
      <w:r>
        <w:rPr>
          <w:rFonts w:ascii="楷体" w:hAnsi="楷体" w:eastAsia="楷体" w:cs="楷体"/>
          <w:spacing w:val="-12"/>
          <w:sz w:val="28"/>
          <w:szCs w:val="28"/>
        </w:rPr>
        <w:t>按照</w:t>
      </w:r>
      <w:r>
        <w:rPr>
          <w:rFonts w:ascii="Times New Roman" w:hAnsi="Times New Roman" w:eastAsia="Times New Roman" w:cs="Times New Roman"/>
          <w:spacing w:val="-12"/>
          <w:sz w:val="28"/>
          <w:szCs w:val="28"/>
        </w:rPr>
        <w:t>GJB</w:t>
      </w:r>
      <w:r>
        <w:rPr>
          <w:rFonts w:ascii="Times New Roman" w:hAnsi="Times New Roman" w:eastAsia="Times New Roman" w:cs="Times New Roman"/>
          <w:spacing w:val="39"/>
          <w:sz w:val="28"/>
          <w:szCs w:val="28"/>
        </w:rPr>
        <w:t xml:space="preserve"> </w:t>
      </w:r>
      <w:r>
        <w:rPr>
          <w:rFonts w:ascii="Times New Roman" w:hAnsi="Times New Roman" w:eastAsia="Times New Roman" w:cs="Times New Roman"/>
          <w:spacing w:val="-12"/>
          <w:sz w:val="28"/>
          <w:szCs w:val="28"/>
        </w:rPr>
        <w:t>1371—1992</w:t>
      </w:r>
      <w:r>
        <w:rPr>
          <w:spacing w:val="-12"/>
          <w:sz w:val="28"/>
          <w:szCs w:val="28"/>
        </w:rPr>
        <w:t>《</w:t>
      </w:r>
      <w:r>
        <w:rPr>
          <w:rFonts w:ascii="楷体" w:hAnsi="楷体" w:eastAsia="楷体" w:cs="楷体"/>
          <w:spacing w:val="-12"/>
          <w:sz w:val="28"/>
          <w:szCs w:val="28"/>
        </w:rPr>
        <w:t>装备保障性分析》编写。</w:t>
      </w:r>
    </w:p>
    <w:p w14:paraId="1303CF3A">
      <w:pPr>
        <w:spacing w:before="86"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778EB258">
      <w:pPr>
        <w:spacing w:before="82"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23"/>
          <w:sz w:val="27"/>
          <w:szCs w:val="27"/>
        </w:rPr>
        <w:t xml:space="preserve">  </w:t>
      </w:r>
      <w:r>
        <w:rPr>
          <w:rFonts w:ascii="黑体" w:hAnsi="黑体" w:eastAsia="黑体" w:cs="黑体"/>
          <w:b/>
          <w:bCs/>
          <w:spacing w:val="-3"/>
          <w:sz w:val="27"/>
          <w:szCs w:val="27"/>
        </w:rPr>
        <w:t>引用文件</w:t>
      </w:r>
    </w:p>
    <w:p w14:paraId="2EFCD519">
      <w:pPr>
        <w:spacing w:before="85" w:line="222"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14"/>
          <w:sz w:val="27"/>
          <w:szCs w:val="27"/>
        </w:rPr>
        <w:t xml:space="preserve">  </w:t>
      </w:r>
      <w:r>
        <w:rPr>
          <w:rFonts w:ascii="黑体" w:hAnsi="黑体" w:eastAsia="黑体" w:cs="黑体"/>
          <w:b/>
          <w:bCs/>
          <w:spacing w:val="3"/>
          <w:sz w:val="27"/>
          <w:szCs w:val="27"/>
        </w:rPr>
        <w:t>评价与权衡</w:t>
      </w:r>
    </w:p>
    <w:p w14:paraId="076B9EFF">
      <w:pPr>
        <w:pStyle w:val="2"/>
        <w:spacing w:before="79" w:line="218" w:lineRule="auto"/>
        <w:ind w:left="560"/>
      </w:pPr>
      <w:r>
        <w:rPr>
          <w:spacing w:val="2"/>
        </w:rPr>
        <w:t>应按下列各项进行评价与权衡：</w:t>
      </w:r>
    </w:p>
    <w:p w14:paraId="08BB7CDF">
      <w:pPr>
        <w:pStyle w:val="2"/>
        <w:spacing w:before="62" w:line="264" w:lineRule="auto"/>
        <w:ind w:right="89" w:firstLine="560"/>
      </w:pPr>
      <w:r>
        <w:rPr>
          <w:rFonts w:ascii="Times New Roman" w:hAnsi="Times New Roman" w:eastAsia="Times New Roman" w:cs="Times New Roman"/>
          <w:spacing w:val="3"/>
        </w:rPr>
        <w:t xml:space="preserve">a)  </w:t>
      </w:r>
      <w:r>
        <w:rPr>
          <w:spacing w:val="3"/>
        </w:rPr>
        <w:t>制定用于确定有最佳结果的定性与定量评价准则，这些准则应与新研系</w:t>
      </w:r>
      <w:r>
        <w:rPr>
          <w:spacing w:val="14"/>
        </w:rPr>
        <w:t xml:space="preserve"> </w:t>
      </w:r>
      <w:r>
        <w:rPr>
          <w:spacing w:val="-5"/>
        </w:rPr>
        <w:t>统和设备保障性、费用、环境影响及战备完好性</w:t>
      </w:r>
      <w:r>
        <w:rPr>
          <w:spacing w:val="-6"/>
        </w:rPr>
        <w:t>的要求有关；</w:t>
      </w:r>
    </w:p>
    <w:p w14:paraId="56473E13">
      <w:pPr>
        <w:pStyle w:val="2"/>
        <w:spacing w:before="48" w:line="257" w:lineRule="auto"/>
        <w:ind w:right="100" w:firstLine="560"/>
      </w:pPr>
      <w:r>
        <w:rPr>
          <w:rFonts w:ascii="Times New Roman" w:hAnsi="Times New Roman" w:eastAsia="Times New Roman" w:cs="Times New Roman"/>
          <w:spacing w:val="3"/>
        </w:rPr>
        <w:t xml:space="preserve">b)  </w:t>
      </w:r>
      <w:r>
        <w:rPr>
          <w:spacing w:val="3"/>
        </w:rPr>
        <w:t>在保障性、设计和使用参数与那些被确认为</w:t>
      </w:r>
      <w:r>
        <w:rPr>
          <w:spacing w:val="2"/>
        </w:rPr>
        <w:t>评价准则的参数之间选择及</w:t>
      </w:r>
      <w:r>
        <w:t xml:space="preserve"> </w:t>
      </w:r>
      <w:r>
        <w:rPr>
          <w:spacing w:val="2"/>
        </w:rPr>
        <w:t>建立解析关系式或模型；</w:t>
      </w:r>
    </w:p>
    <w:p w14:paraId="57CD17F7">
      <w:pPr>
        <w:pStyle w:val="2"/>
        <w:spacing w:before="57" w:line="260" w:lineRule="auto"/>
        <w:ind w:right="101" w:firstLine="560"/>
      </w:pPr>
      <w:r>
        <w:rPr>
          <w:rFonts w:ascii="Times New Roman" w:hAnsi="Times New Roman" w:eastAsia="Times New Roman" w:cs="Times New Roman"/>
          <w:spacing w:val="3"/>
        </w:rPr>
        <w:t>c)</w:t>
      </w:r>
      <w:r>
        <w:rPr>
          <w:rFonts w:ascii="Times New Roman" w:hAnsi="Times New Roman" w:eastAsia="Times New Roman" w:cs="Times New Roman"/>
          <w:spacing w:val="76"/>
        </w:rPr>
        <w:t xml:space="preserve"> </w:t>
      </w:r>
      <w:r>
        <w:rPr>
          <w:spacing w:val="3"/>
        </w:rPr>
        <w:t>用已建立的关系式或模型进行权衡或评价，并根据已建立的准则选定最</w:t>
      </w:r>
      <w:r>
        <w:t xml:space="preserve"> </w:t>
      </w:r>
      <w:r>
        <w:rPr>
          <w:spacing w:val="-1"/>
        </w:rPr>
        <w:t>佳方案；</w:t>
      </w:r>
    </w:p>
    <w:p w14:paraId="722049F1">
      <w:pPr>
        <w:pStyle w:val="2"/>
        <w:spacing w:before="60" w:line="264" w:lineRule="auto"/>
        <w:ind w:right="102" w:firstLine="560"/>
      </w:pPr>
      <w:r>
        <w:rPr>
          <w:rFonts w:ascii="Times New Roman" w:hAnsi="Times New Roman" w:eastAsia="Times New Roman" w:cs="Times New Roman"/>
          <w:spacing w:val="3"/>
        </w:rPr>
        <w:t xml:space="preserve">d)  </w:t>
      </w:r>
      <w:r>
        <w:rPr>
          <w:spacing w:val="3"/>
        </w:rPr>
        <w:t>对于涉及较高风险的变量或影响新研系</w:t>
      </w:r>
      <w:r>
        <w:rPr>
          <w:spacing w:val="2"/>
        </w:rPr>
        <w:t>统和设备的保障性、费用与战备</w:t>
      </w:r>
      <w:r>
        <w:t xml:space="preserve"> </w:t>
      </w:r>
      <w:r>
        <w:rPr>
          <w:spacing w:val="3"/>
        </w:rPr>
        <w:t>完好性的关键变量进行适当的敏感度分析；</w:t>
      </w:r>
    </w:p>
    <w:p w14:paraId="7FB774EE">
      <w:pPr>
        <w:pStyle w:val="2"/>
        <w:spacing w:before="59" w:line="212" w:lineRule="auto"/>
        <w:ind w:left="560"/>
      </w:pPr>
      <w:r>
        <w:rPr>
          <w:rFonts w:ascii="Times New Roman" w:hAnsi="Times New Roman" w:eastAsia="Times New Roman" w:cs="Times New Roman"/>
          <w:spacing w:val="3"/>
        </w:rPr>
        <w:t xml:space="preserve">e)  </w:t>
      </w:r>
      <w:r>
        <w:rPr>
          <w:spacing w:val="3"/>
        </w:rPr>
        <w:t>将评价和权衡的结果(包括风险和假设)形成文件；</w:t>
      </w:r>
    </w:p>
    <w:p w14:paraId="6272327E">
      <w:pPr>
        <w:pStyle w:val="2"/>
        <w:spacing w:before="91" w:line="255" w:lineRule="auto"/>
        <w:ind w:right="99" w:firstLine="560"/>
      </w:pPr>
      <w:r>
        <w:rPr>
          <w:rFonts w:ascii="Times New Roman" w:hAnsi="Times New Roman" w:eastAsia="Times New Roman" w:cs="Times New Roman"/>
          <w:spacing w:val="4"/>
        </w:rPr>
        <w:t xml:space="preserve">f)  </w:t>
      </w:r>
      <w:r>
        <w:rPr>
          <w:spacing w:val="4"/>
        </w:rPr>
        <w:t>当新研系统和设备得到更好的确认或有更精确的数据可供利用时，修正</w:t>
      </w:r>
      <w:r>
        <w:t xml:space="preserve"> </w:t>
      </w:r>
      <w:r>
        <w:rPr>
          <w:spacing w:val="-1"/>
        </w:rPr>
        <w:t>评价与权衡分析结果；</w:t>
      </w:r>
    </w:p>
    <w:p w14:paraId="15BAAE6B">
      <w:pPr>
        <w:pStyle w:val="2"/>
        <w:spacing w:before="73" w:line="212" w:lineRule="auto"/>
        <w:ind w:left="560"/>
      </w:pPr>
      <w:r>
        <w:rPr>
          <w:rFonts w:ascii="Times New Roman" w:hAnsi="Times New Roman" w:eastAsia="Times New Roman" w:cs="Times New Roman"/>
          <w:spacing w:val="3"/>
        </w:rPr>
        <w:t xml:space="preserve">g)  </w:t>
      </w:r>
      <w:r>
        <w:rPr>
          <w:spacing w:val="3"/>
        </w:rPr>
        <w:t>评价与分析中要包括平时和战时的各种考虑；</w:t>
      </w:r>
    </w:p>
    <w:p w14:paraId="0988F188">
      <w:pPr>
        <w:pStyle w:val="2"/>
        <w:spacing w:before="91" w:line="262" w:lineRule="auto"/>
        <w:ind w:right="103" w:firstLine="560"/>
      </w:pPr>
      <w:r>
        <w:rPr>
          <w:rFonts w:ascii="Times New Roman" w:hAnsi="Times New Roman" w:eastAsia="Times New Roman" w:cs="Times New Roman"/>
          <w:spacing w:val="-5"/>
        </w:rPr>
        <w:t xml:space="preserve">h)  </w:t>
      </w:r>
      <w:r>
        <w:rPr>
          <w:spacing w:val="-5"/>
        </w:rPr>
        <w:t>根据经权衡分析后做出的决策，对现有的或已计划的装备、供应系统、维</w:t>
      </w:r>
      <w:r>
        <w:t xml:space="preserve"> </w:t>
      </w:r>
      <w:r>
        <w:rPr>
          <w:spacing w:val="3"/>
        </w:rPr>
        <w:t>修系统和运输系统的影响进行评估；</w:t>
      </w:r>
    </w:p>
    <w:p w14:paraId="06E4F7CE">
      <w:pPr>
        <w:pStyle w:val="2"/>
        <w:spacing w:before="63" w:line="212" w:lineRule="auto"/>
        <w:ind w:left="560"/>
      </w:pPr>
      <w:r>
        <w:rPr>
          <w:rFonts w:ascii="Times New Roman" w:hAnsi="Times New Roman" w:eastAsia="Times New Roman" w:cs="Times New Roman"/>
          <w:spacing w:val="4"/>
        </w:rPr>
        <w:t>i)</w:t>
      </w:r>
      <w:r>
        <w:rPr>
          <w:rFonts w:ascii="Times New Roman" w:hAnsi="Times New Roman" w:eastAsia="Times New Roman" w:cs="Times New Roman"/>
          <w:spacing w:val="67"/>
          <w:w w:val="101"/>
        </w:rPr>
        <w:t xml:space="preserve"> </w:t>
      </w:r>
      <w:r>
        <w:rPr>
          <w:spacing w:val="4"/>
        </w:rPr>
        <w:t>评估寿命周期中的各种保障考虑(包括停产后保障)。</w:t>
      </w:r>
    </w:p>
    <w:p w14:paraId="034939E6">
      <w:pPr>
        <w:pStyle w:val="2"/>
        <w:spacing w:before="138" w:line="218" w:lineRule="auto"/>
        <w:ind w:left="560"/>
      </w:pPr>
      <w:r>
        <w:rPr>
          <w:spacing w:val="6"/>
        </w:rPr>
        <w:t>评价与权衡的范围应由订购方与承制方协商确定。选择评价与权衡子项目</w:t>
      </w:r>
    </w:p>
    <w:p w14:paraId="04C76CFD">
      <w:pPr>
        <w:spacing w:line="218" w:lineRule="auto"/>
        <w:sectPr>
          <w:footerReference r:id="rId522" w:type="default"/>
          <w:pgSz w:w="11910" w:h="17130"/>
          <w:pgMar w:top="400" w:right="985" w:bottom="1606" w:left="1440" w:header="0" w:footer="1417" w:gutter="0"/>
          <w:cols w:space="720" w:num="1"/>
        </w:sectPr>
      </w:pPr>
    </w:p>
    <w:p w14:paraId="3CBF1680">
      <w:pPr>
        <w:spacing w:line="266" w:lineRule="auto"/>
        <w:rPr>
          <w:rFonts w:ascii="Arial"/>
          <w:sz w:val="21"/>
        </w:rPr>
      </w:pPr>
    </w:p>
    <w:p w14:paraId="3F178DAF">
      <w:pPr>
        <w:spacing w:line="266" w:lineRule="auto"/>
        <w:rPr>
          <w:rFonts w:ascii="Arial"/>
          <w:sz w:val="21"/>
        </w:rPr>
      </w:pPr>
    </w:p>
    <w:p w14:paraId="2C552434">
      <w:pPr>
        <w:spacing w:line="266" w:lineRule="auto"/>
        <w:rPr>
          <w:rFonts w:ascii="Arial"/>
          <w:sz w:val="21"/>
        </w:rPr>
      </w:pPr>
    </w:p>
    <w:p w14:paraId="05628D38">
      <w:pPr>
        <w:spacing w:line="267" w:lineRule="auto"/>
        <w:rPr>
          <w:rFonts w:ascii="Arial"/>
          <w:sz w:val="21"/>
        </w:rPr>
      </w:pPr>
    </w:p>
    <w:p w14:paraId="1F9ACCAF">
      <w:pPr>
        <w:pStyle w:val="2"/>
        <w:spacing w:before="87" w:line="219" w:lineRule="auto"/>
      </w:pPr>
      <w:r>
        <w:rPr>
          <w:spacing w:val="-12"/>
        </w:rPr>
        <w:t>时，应考虑以下因素：</w:t>
      </w:r>
    </w:p>
    <w:p w14:paraId="0740C8E8">
      <w:pPr>
        <w:pStyle w:val="2"/>
        <w:spacing w:before="60" w:line="212" w:lineRule="auto"/>
        <w:ind w:left="539"/>
      </w:pPr>
      <w:r>
        <w:rPr>
          <w:rFonts w:ascii="Times New Roman" w:hAnsi="Times New Roman" w:eastAsia="Times New Roman" w:cs="Times New Roman"/>
          <w:spacing w:val="4"/>
        </w:rPr>
        <w:t xml:space="preserve">a)  </w:t>
      </w:r>
      <w:r>
        <w:rPr>
          <w:spacing w:val="4"/>
        </w:rPr>
        <w:t>系统战备完好性分析要置于最优先的地位。</w:t>
      </w:r>
    </w:p>
    <w:p w14:paraId="2B599A1A">
      <w:pPr>
        <w:pStyle w:val="2"/>
        <w:spacing w:before="121" w:line="212" w:lineRule="auto"/>
        <w:ind w:left="539"/>
        <w:rPr>
          <w:sz w:val="25"/>
          <w:szCs w:val="25"/>
        </w:rPr>
      </w:pPr>
      <w:r>
        <w:rPr>
          <w:rFonts w:ascii="Times New Roman" w:hAnsi="Times New Roman" w:eastAsia="Times New Roman" w:cs="Times New Roman"/>
          <w:spacing w:val="19"/>
          <w:sz w:val="25"/>
          <w:szCs w:val="25"/>
        </w:rPr>
        <w:t xml:space="preserve">b)  </w:t>
      </w:r>
      <w:r>
        <w:rPr>
          <w:spacing w:val="19"/>
          <w:sz w:val="25"/>
          <w:szCs w:val="25"/>
        </w:rPr>
        <w:t>涉及系统保障性、费用和战备完好性的主宰因素的评价与权衡子项目。</w:t>
      </w:r>
    </w:p>
    <w:p w14:paraId="6FDCC590">
      <w:pPr>
        <w:pStyle w:val="2"/>
        <w:spacing w:before="93" w:line="262" w:lineRule="auto"/>
        <w:ind w:right="22" w:firstLine="539"/>
      </w:pPr>
      <w:r>
        <w:rPr>
          <w:rFonts w:ascii="Times New Roman" w:hAnsi="Times New Roman" w:eastAsia="Times New Roman" w:cs="Times New Roman"/>
          <w:spacing w:val="4"/>
        </w:rPr>
        <w:t>c)</w:t>
      </w:r>
      <w:r>
        <w:rPr>
          <w:rFonts w:ascii="Times New Roman" w:hAnsi="Times New Roman" w:eastAsia="Times New Roman" w:cs="Times New Roman"/>
          <w:spacing w:val="52"/>
        </w:rPr>
        <w:t xml:space="preserve"> </w:t>
      </w:r>
      <w:r>
        <w:rPr>
          <w:spacing w:val="4"/>
        </w:rPr>
        <w:t>某些评价与权衡适合于由专门机构执行，例如诊断权</w:t>
      </w:r>
      <w:r>
        <w:rPr>
          <w:spacing w:val="3"/>
        </w:rPr>
        <w:t>衡最好在维修性工</w:t>
      </w:r>
      <w:r>
        <w:t xml:space="preserve"> </w:t>
      </w:r>
      <w:r>
        <w:rPr>
          <w:spacing w:val="-3"/>
        </w:rPr>
        <w:t>作里进行，而训练权衡最好由负责培训的专业人员执行，并将分析结果输入到保</w:t>
      </w:r>
      <w:r>
        <w:rPr>
          <w:spacing w:val="13"/>
        </w:rPr>
        <w:t xml:space="preserve"> </w:t>
      </w:r>
      <w:r>
        <w:rPr>
          <w:spacing w:val="1"/>
        </w:rPr>
        <w:t>障性分析工作中。</w:t>
      </w:r>
    </w:p>
    <w:p w14:paraId="08C049D6">
      <w:pPr>
        <w:pStyle w:val="2"/>
        <w:spacing w:before="73" w:line="272" w:lineRule="auto"/>
        <w:ind w:firstLine="539"/>
      </w:pPr>
      <w:r>
        <w:rPr>
          <w:rFonts w:ascii="Times New Roman" w:hAnsi="Times New Roman" w:eastAsia="Times New Roman" w:cs="Times New Roman"/>
          <w:spacing w:val="1"/>
        </w:rPr>
        <w:t>d)</w:t>
      </w:r>
      <w:r>
        <w:rPr>
          <w:rFonts w:ascii="Times New Roman" w:hAnsi="Times New Roman" w:eastAsia="Times New Roman" w:cs="Times New Roman"/>
          <w:spacing w:val="47"/>
        </w:rPr>
        <w:t xml:space="preserve"> </w:t>
      </w:r>
      <w:r>
        <w:rPr>
          <w:spacing w:val="1"/>
        </w:rPr>
        <w:t>采用工时作为人力权衡的判断参数时，</w:t>
      </w:r>
      <w:r>
        <w:rPr>
          <w:spacing w:val="-56"/>
        </w:rPr>
        <w:t xml:space="preserve"> </w:t>
      </w:r>
      <w:r>
        <w:rPr>
          <w:spacing w:val="1"/>
        </w:rPr>
        <w:t>一定要谨慎。因为要考虑总</w:t>
      </w:r>
      <w:r>
        <w:t xml:space="preserve">人数 </w:t>
      </w:r>
      <w:r>
        <w:rPr>
          <w:spacing w:val="6"/>
        </w:rPr>
        <w:t>的限制和技术水平折限制两个方面。首先总人</w:t>
      </w:r>
      <w:r>
        <w:rPr>
          <w:spacing w:val="5"/>
        </w:rPr>
        <w:t>数都相应有一个工时范围，增加</w:t>
      </w:r>
      <w:r>
        <w:t xml:space="preserve"> </w:t>
      </w:r>
      <w:r>
        <w:rPr>
          <w:spacing w:val="-3"/>
        </w:rPr>
        <w:t>或减少工时如果没有突破范围的上下限，则不会对要求的人数产生影响，当突破</w:t>
      </w:r>
      <w:r>
        <w:rPr>
          <w:spacing w:val="15"/>
        </w:rPr>
        <w:t xml:space="preserve"> </w:t>
      </w:r>
      <w:r>
        <w:rPr>
          <w:spacing w:val="-3"/>
        </w:rPr>
        <w:t>了上下限时，才改变要求的人数；其次人员的技术水平使得工时与所需人员数量</w:t>
      </w:r>
      <w:r>
        <w:rPr>
          <w:spacing w:val="14"/>
        </w:rPr>
        <w:t xml:space="preserve"> </w:t>
      </w:r>
      <w:r>
        <w:rPr>
          <w:spacing w:val="-2"/>
        </w:rPr>
        <w:t>有直接关系，例如相同的工时，对不同技术熟练程度的人员可以等价于不同人员</w:t>
      </w:r>
      <w:r>
        <w:rPr>
          <w:spacing w:val="5"/>
        </w:rPr>
        <w:t xml:space="preserve"> </w:t>
      </w:r>
      <w:r>
        <w:rPr>
          <w:spacing w:val="-4"/>
        </w:rPr>
        <w:t>数量。</w:t>
      </w:r>
    </w:p>
    <w:p w14:paraId="6BCE3AE5">
      <w:pPr>
        <w:pStyle w:val="2"/>
        <w:spacing w:before="59" w:line="212" w:lineRule="auto"/>
        <w:ind w:left="539"/>
      </w:pPr>
      <w:r>
        <w:rPr>
          <w:rFonts w:ascii="Times New Roman" w:hAnsi="Times New Roman" w:eastAsia="Times New Roman" w:cs="Times New Roman"/>
          <w:spacing w:val="-1"/>
        </w:rPr>
        <w:t>e)</w:t>
      </w:r>
      <w:r>
        <w:rPr>
          <w:rFonts w:ascii="Times New Roman" w:hAnsi="Times New Roman" w:eastAsia="Times New Roman" w:cs="Times New Roman"/>
          <w:spacing w:val="62"/>
          <w:w w:val="101"/>
        </w:rPr>
        <w:t xml:space="preserve"> </w:t>
      </w:r>
      <w:r>
        <w:rPr>
          <w:spacing w:val="-1"/>
        </w:rPr>
        <w:t>在方案阶段的修理级别分析中，应只分析初始方案。</w:t>
      </w:r>
    </w:p>
    <w:p w14:paraId="1FBAF50C">
      <w:pPr>
        <w:pStyle w:val="2"/>
        <w:spacing w:before="102" w:line="271" w:lineRule="auto"/>
        <w:ind w:right="19" w:firstLine="539"/>
        <w:rPr>
          <w:sz w:val="25"/>
          <w:szCs w:val="25"/>
        </w:rPr>
      </w:pPr>
      <w:r>
        <w:rPr>
          <w:rFonts w:ascii="Times New Roman" w:hAnsi="Times New Roman" w:eastAsia="Times New Roman" w:cs="Times New Roman"/>
          <w:spacing w:val="27"/>
          <w:sz w:val="25"/>
          <w:szCs w:val="25"/>
        </w:rPr>
        <w:t>f)</w:t>
      </w:r>
      <w:r>
        <w:rPr>
          <w:rFonts w:ascii="Times New Roman" w:hAnsi="Times New Roman" w:eastAsia="Times New Roman" w:cs="Times New Roman"/>
          <w:spacing w:val="61"/>
          <w:sz w:val="25"/>
          <w:szCs w:val="25"/>
        </w:rPr>
        <w:t xml:space="preserve"> </w:t>
      </w:r>
      <w:r>
        <w:rPr>
          <w:spacing w:val="27"/>
          <w:sz w:val="25"/>
          <w:szCs w:val="25"/>
        </w:rPr>
        <w:t>必要时(如承制方提出的保障方案与订购方要求有较大出</w:t>
      </w:r>
      <w:r>
        <w:rPr>
          <w:spacing w:val="26"/>
          <w:sz w:val="25"/>
          <w:szCs w:val="25"/>
        </w:rPr>
        <w:t>入时),应考虑</w:t>
      </w:r>
      <w:r>
        <w:rPr>
          <w:sz w:val="25"/>
          <w:szCs w:val="25"/>
        </w:rPr>
        <w:t xml:space="preserve"> </w:t>
      </w:r>
      <w:r>
        <w:rPr>
          <w:spacing w:val="18"/>
          <w:sz w:val="25"/>
          <w:szCs w:val="25"/>
        </w:rPr>
        <w:t>使用人员的实际费用，以防止在权衡分析时出现偏差。</w:t>
      </w:r>
    </w:p>
    <w:p w14:paraId="6FB58221">
      <w:pPr>
        <w:spacing w:before="118" w:line="221" w:lineRule="auto"/>
        <w:rPr>
          <w:rFonts w:ascii="黑体" w:hAnsi="黑体" w:eastAsia="黑体" w:cs="黑体"/>
          <w:sz w:val="24"/>
          <w:szCs w:val="24"/>
        </w:rPr>
      </w:pPr>
      <w:r>
        <w:rPr>
          <w:rFonts w:ascii="黑体" w:hAnsi="黑体" w:eastAsia="黑体" w:cs="黑体"/>
          <w:spacing w:val="29"/>
          <w:sz w:val="24"/>
          <w:szCs w:val="24"/>
        </w:rPr>
        <w:t>4</w:t>
      </w:r>
      <w:r>
        <w:rPr>
          <w:rFonts w:ascii="黑体" w:hAnsi="黑体" w:eastAsia="黑体" w:cs="黑体"/>
          <w:spacing w:val="33"/>
          <w:sz w:val="24"/>
          <w:szCs w:val="24"/>
        </w:rPr>
        <w:t xml:space="preserve">  </w:t>
      </w:r>
      <w:r>
        <w:rPr>
          <w:rFonts w:ascii="黑体" w:hAnsi="黑体" w:eastAsia="黑体" w:cs="黑体"/>
          <w:b/>
          <w:bCs/>
          <w:spacing w:val="29"/>
          <w:sz w:val="24"/>
          <w:szCs w:val="24"/>
        </w:rPr>
        <w:t>备选方案之间的评价与权衡</w:t>
      </w:r>
    </w:p>
    <w:p w14:paraId="442108D7">
      <w:pPr>
        <w:pStyle w:val="2"/>
        <w:spacing w:before="87" w:line="279" w:lineRule="auto"/>
        <w:ind w:right="14" w:firstLine="539"/>
        <w:jc w:val="both"/>
      </w:pPr>
      <w:r>
        <w:rPr>
          <w:spacing w:val="6"/>
        </w:rPr>
        <w:t>在为系统和设备每一备选方案所确定的保障系统备选方案之间进行评价与</w:t>
      </w:r>
      <w:r>
        <w:t xml:space="preserve"> </w:t>
      </w:r>
      <w:r>
        <w:rPr>
          <w:spacing w:val="5"/>
        </w:rPr>
        <w:t>权衡分析。对已选中的保障系统方案，要确定新的或关键的保障资源要求。重</w:t>
      </w:r>
      <w:r>
        <w:rPr>
          <w:spacing w:val="11"/>
        </w:rPr>
        <w:t xml:space="preserve"> </w:t>
      </w:r>
      <w:r>
        <w:rPr>
          <w:spacing w:val="-2"/>
        </w:rPr>
        <w:t>新调整的人员专业职务分类，应作为新资源列入文</w:t>
      </w:r>
      <w:r>
        <w:rPr>
          <w:spacing w:val="-3"/>
        </w:rPr>
        <w:t>件。</w:t>
      </w:r>
    </w:p>
    <w:p w14:paraId="3A9BA099">
      <w:pPr>
        <w:spacing w:before="2" w:line="221" w:lineRule="auto"/>
        <w:rPr>
          <w:rFonts w:ascii="黑体" w:hAnsi="黑体" w:eastAsia="黑体" w:cs="黑体"/>
          <w:sz w:val="27"/>
          <w:szCs w:val="27"/>
        </w:rPr>
      </w:pPr>
      <w:r>
        <w:rPr>
          <w:rFonts w:ascii="黑体" w:hAnsi="黑体" w:eastAsia="黑体" w:cs="黑体"/>
          <w:spacing w:val="-4"/>
          <w:sz w:val="27"/>
          <w:szCs w:val="27"/>
        </w:rPr>
        <w:t xml:space="preserve">5  </w:t>
      </w:r>
      <w:r>
        <w:rPr>
          <w:rFonts w:ascii="黑体" w:hAnsi="黑体" w:eastAsia="黑体" w:cs="黑体"/>
          <w:b/>
          <w:bCs/>
          <w:spacing w:val="-4"/>
          <w:sz w:val="27"/>
          <w:szCs w:val="27"/>
        </w:rPr>
        <w:t>设计、使用和保障方案之间的评价与权衡</w:t>
      </w:r>
    </w:p>
    <w:p w14:paraId="6A8CE2BA">
      <w:pPr>
        <w:pStyle w:val="2"/>
        <w:spacing w:before="90" w:line="218" w:lineRule="auto"/>
        <w:ind w:left="539"/>
      </w:pPr>
      <w:r>
        <w:rPr>
          <w:spacing w:val="1"/>
        </w:rPr>
        <w:t>在所考虑的设计方案、使用方案和保障方案之间进行评</w:t>
      </w:r>
      <w:r>
        <w:t>价与权衡分析。</w:t>
      </w:r>
    </w:p>
    <w:p w14:paraId="3592A864">
      <w:pPr>
        <w:spacing w:before="78" w:line="222"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5"/>
          <w:sz w:val="27"/>
          <w:szCs w:val="27"/>
        </w:rPr>
        <w:t xml:space="preserve">  </w:t>
      </w:r>
      <w:r>
        <w:rPr>
          <w:rFonts w:ascii="黑体" w:hAnsi="黑体" w:eastAsia="黑体" w:cs="黑体"/>
          <w:b/>
          <w:bCs/>
          <w:spacing w:val="1"/>
          <w:sz w:val="27"/>
          <w:szCs w:val="27"/>
        </w:rPr>
        <w:t>敏感度评价</w:t>
      </w:r>
    </w:p>
    <w:p w14:paraId="2AD3ECED">
      <w:pPr>
        <w:pStyle w:val="2"/>
        <w:spacing w:before="98" w:line="276" w:lineRule="auto"/>
        <w:ind w:right="24" w:firstLine="539"/>
      </w:pPr>
      <w:r>
        <w:rPr>
          <w:spacing w:val="1"/>
        </w:rPr>
        <w:t>评价系统战备完好性参数随关键的设计和保障参数(如可靠性与维修性、备</w:t>
      </w:r>
      <w:r>
        <w:rPr>
          <w:spacing w:val="13"/>
        </w:rPr>
        <w:t xml:space="preserve"> </w:t>
      </w:r>
      <w:r>
        <w:t>件预算、再补给时间以及可利用的人员数量与技</w:t>
      </w:r>
      <w:r>
        <w:rPr>
          <w:spacing w:val="-1"/>
        </w:rPr>
        <w:t>术等级)变化的敏感度。</w:t>
      </w:r>
    </w:p>
    <w:p w14:paraId="58F796C1">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24"/>
          <w:w w:val="101"/>
          <w:sz w:val="27"/>
          <w:szCs w:val="27"/>
        </w:rPr>
        <w:t xml:space="preserve">   </w:t>
      </w:r>
      <w:r>
        <w:rPr>
          <w:rFonts w:ascii="黑体" w:hAnsi="黑体" w:eastAsia="黑体" w:cs="黑体"/>
          <w:b/>
          <w:bCs/>
          <w:spacing w:val="1"/>
          <w:sz w:val="27"/>
          <w:szCs w:val="27"/>
        </w:rPr>
        <w:t>人员数量及技术等级要求的估计与评价</w:t>
      </w:r>
    </w:p>
    <w:p w14:paraId="136D828F">
      <w:pPr>
        <w:pStyle w:val="2"/>
        <w:spacing w:before="102" w:line="277" w:lineRule="auto"/>
        <w:ind w:right="18" w:firstLine="539"/>
        <w:jc w:val="both"/>
      </w:pPr>
      <w:r>
        <w:rPr>
          <w:spacing w:val="-3"/>
        </w:rPr>
        <w:t>从需要的人员总数、专业职务分类、技术等级及所需经验等方面，估计与评</w:t>
      </w:r>
      <w:r>
        <w:rPr>
          <w:spacing w:val="8"/>
        </w:rPr>
        <w:t xml:space="preserve"> </w:t>
      </w:r>
      <w:r>
        <w:rPr>
          <w:spacing w:val="9"/>
        </w:rPr>
        <w:t>价系统和设备备选方案的人员数量及技术等级要求。该分析应包括编制(机构</w:t>
      </w:r>
      <w:r>
        <w:rPr>
          <w:spacing w:val="16"/>
        </w:rPr>
        <w:t xml:space="preserve"> </w:t>
      </w:r>
      <w:r>
        <w:rPr>
          <w:spacing w:val="1"/>
        </w:rPr>
        <w:t>和人员数量)要求和训练要求。</w:t>
      </w:r>
    </w:p>
    <w:p w14:paraId="45EAB32D">
      <w:pPr>
        <w:spacing w:before="1" w:line="220" w:lineRule="auto"/>
        <w:outlineLvl w:val="3"/>
        <w:rPr>
          <w:rFonts w:ascii="黑体" w:hAnsi="黑体" w:eastAsia="黑体" w:cs="黑体"/>
          <w:sz w:val="27"/>
          <w:szCs w:val="27"/>
        </w:rPr>
      </w:pPr>
      <w:r>
        <w:rPr>
          <w:rFonts w:ascii="Arial" w:hAnsi="Arial" w:eastAsia="Arial" w:cs="Arial"/>
          <w:b/>
          <w:bCs/>
          <w:spacing w:val="-8"/>
          <w:sz w:val="27"/>
          <w:szCs w:val="27"/>
        </w:rPr>
        <w:t>8</w:t>
      </w:r>
      <w:r>
        <w:rPr>
          <w:rFonts w:ascii="Arial" w:hAnsi="Arial" w:eastAsia="Arial" w:cs="Arial"/>
          <w:b/>
          <w:bCs/>
          <w:spacing w:val="20"/>
          <w:w w:val="101"/>
          <w:sz w:val="27"/>
          <w:szCs w:val="27"/>
        </w:rPr>
        <w:t xml:space="preserve">   </w:t>
      </w:r>
      <w:r>
        <w:rPr>
          <w:rFonts w:ascii="黑体" w:hAnsi="黑体" w:eastAsia="黑体" w:cs="黑体"/>
          <w:b/>
          <w:bCs/>
          <w:spacing w:val="-8"/>
          <w:sz w:val="27"/>
          <w:szCs w:val="27"/>
        </w:rPr>
        <w:t>设计、使用、人员训练与专业职务设置之间的评价与权衡</w:t>
      </w:r>
    </w:p>
    <w:p w14:paraId="103C93D8">
      <w:pPr>
        <w:pStyle w:val="2"/>
        <w:spacing w:before="108" w:line="273" w:lineRule="auto"/>
        <w:ind w:right="7" w:firstLine="539"/>
        <w:jc w:val="both"/>
      </w:pPr>
      <w:r>
        <w:rPr>
          <w:spacing w:val="-3"/>
        </w:rPr>
        <w:t>在设计、使用、人员训练与专业职务设置之间进行评价与权衡，以便确定达</w:t>
      </w:r>
      <w:r>
        <w:rPr>
          <w:spacing w:val="8"/>
        </w:rPr>
        <w:t xml:space="preserve"> </w:t>
      </w:r>
      <w:r>
        <w:rPr>
          <w:spacing w:val="6"/>
        </w:rPr>
        <w:t>到并保持使用、维修与保障人员所需熟练的技术等级的最佳解决</w:t>
      </w:r>
      <w:r>
        <w:rPr>
          <w:spacing w:val="5"/>
        </w:rPr>
        <w:t>方法。应对训</w:t>
      </w:r>
      <w:r>
        <w:t xml:space="preserve"> </w:t>
      </w:r>
      <w:r>
        <w:rPr>
          <w:spacing w:val="-3"/>
        </w:rPr>
        <w:t>练进行评价与权衡分析，并应考虑：专业职务类别之间各职务工作的转换，供选</w:t>
      </w:r>
      <w:r>
        <w:rPr>
          <w:spacing w:val="14"/>
        </w:rPr>
        <w:t xml:space="preserve"> </w:t>
      </w:r>
      <w:r>
        <w:rPr>
          <w:spacing w:val="-3"/>
        </w:rPr>
        <w:t>择的技术资料出版方案，正规训练、在职训练和单项训练相配合的备选方案以及</w:t>
      </w:r>
      <w:r>
        <w:rPr>
          <w:spacing w:val="18"/>
        </w:rPr>
        <w:t xml:space="preserve"> </w:t>
      </w:r>
      <w:r>
        <w:rPr>
          <w:spacing w:val="1"/>
        </w:rPr>
        <w:t>各种训练模拟器的使用。</w:t>
      </w:r>
    </w:p>
    <w:p w14:paraId="6EFCD497">
      <w:pPr>
        <w:spacing w:line="273" w:lineRule="auto"/>
        <w:sectPr>
          <w:footerReference r:id="rId523" w:type="default"/>
          <w:pgSz w:w="11910" w:h="17130"/>
          <w:pgMar w:top="400" w:right="1423" w:bottom="1619" w:left="1100" w:header="0" w:footer="1439" w:gutter="0"/>
          <w:cols w:space="720" w:num="1"/>
        </w:sectPr>
      </w:pPr>
    </w:p>
    <w:p w14:paraId="100E0BCD">
      <w:pPr>
        <w:spacing w:line="241" w:lineRule="auto"/>
        <w:rPr>
          <w:rFonts w:ascii="Arial"/>
          <w:sz w:val="21"/>
        </w:rPr>
      </w:pPr>
    </w:p>
    <w:p w14:paraId="2C6651AB">
      <w:pPr>
        <w:spacing w:line="241" w:lineRule="auto"/>
        <w:rPr>
          <w:rFonts w:ascii="Arial"/>
          <w:sz w:val="21"/>
        </w:rPr>
      </w:pPr>
    </w:p>
    <w:p w14:paraId="42D7A805">
      <w:pPr>
        <w:spacing w:line="242" w:lineRule="auto"/>
        <w:rPr>
          <w:rFonts w:ascii="Arial"/>
          <w:sz w:val="21"/>
        </w:rPr>
      </w:pPr>
    </w:p>
    <w:p w14:paraId="20556519">
      <w:pPr>
        <w:spacing w:line="242" w:lineRule="auto"/>
        <w:rPr>
          <w:rFonts w:ascii="Arial"/>
          <w:sz w:val="21"/>
        </w:rPr>
      </w:pPr>
    </w:p>
    <w:p w14:paraId="74F5CE88">
      <w:pPr>
        <w:spacing w:before="88" w:line="368" w:lineRule="exact"/>
        <w:rPr>
          <w:rFonts w:ascii="黑体" w:hAnsi="黑体" w:eastAsia="黑体" w:cs="黑体"/>
          <w:sz w:val="27"/>
          <w:szCs w:val="27"/>
        </w:rPr>
      </w:pPr>
      <w:r>
        <w:rPr>
          <w:rFonts w:ascii="Arial" w:hAnsi="Arial" w:eastAsia="Arial" w:cs="Arial"/>
          <w:spacing w:val="2"/>
          <w:position w:val="1"/>
          <w:sz w:val="27"/>
          <w:szCs w:val="27"/>
        </w:rPr>
        <w:t>9</w:t>
      </w:r>
      <w:r>
        <w:rPr>
          <w:rFonts w:ascii="Arial" w:hAnsi="Arial" w:eastAsia="Arial" w:cs="Arial"/>
          <w:spacing w:val="23"/>
          <w:position w:val="1"/>
          <w:sz w:val="27"/>
          <w:szCs w:val="27"/>
        </w:rPr>
        <w:t xml:space="preserve">   </w:t>
      </w:r>
      <w:r>
        <w:rPr>
          <w:rFonts w:ascii="黑体" w:hAnsi="黑体" w:eastAsia="黑体" w:cs="黑体"/>
          <w:spacing w:val="2"/>
          <w:position w:val="1"/>
          <w:sz w:val="27"/>
          <w:szCs w:val="27"/>
        </w:rPr>
        <w:t>修理级别分析</w:t>
      </w:r>
    </w:p>
    <w:p w14:paraId="7B3E7BDD">
      <w:pPr>
        <w:pStyle w:val="2"/>
        <w:spacing w:before="42" w:line="307" w:lineRule="auto"/>
        <w:ind w:right="17" w:firstLine="560"/>
      </w:pPr>
      <w:r>
        <w:rPr>
          <w:spacing w:val="-3"/>
        </w:rPr>
        <w:t>进行与现有的设计、使用、维修及保障资料的可用程度相一致的系统和设备</w:t>
      </w:r>
      <w:r>
        <w:t xml:space="preserve"> </w:t>
      </w:r>
      <w:r>
        <w:rPr>
          <w:spacing w:val="2"/>
        </w:rPr>
        <w:t>修理级别分析。</w:t>
      </w:r>
    </w:p>
    <w:p w14:paraId="4AC95FDE">
      <w:pPr>
        <w:spacing w:before="1" w:line="220" w:lineRule="auto"/>
        <w:rPr>
          <w:rFonts w:ascii="黑体" w:hAnsi="黑体" w:eastAsia="黑体" w:cs="黑体"/>
          <w:sz w:val="27"/>
          <w:szCs w:val="27"/>
        </w:rPr>
      </w:pPr>
      <w:r>
        <w:rPr>
          <w:rFonts w:ascii="黑体" w:hAnsi="黑体" w:eastAsia="黑体" w:cs="黑体"/>
          <w:spacing w:val="3"/>
          <w:sz w:val="27"/>
          <w:szCs w:val="27"/>
        </w:rPr>
        <w:t>10</w:t>
      </w:r>
      <w:r>
        <w:rPr>
          <w:rFonts w:ascii="黑体" w:hAnsi="黑体" w:eastAsia="黑体" w:cs="黑体"/>
          <w:spacing w:val="23"/>
          <w:sz w:val="27"/>
          <w:szCs w:val="27"/>
        </w:rPr>
        <w:t xml:space="preserve">  </w:t>
      </w:r>
      <w:r>
        <w:rPr>
          <w:rFonts w:ascii="黑体" w:hAnsi="黑体" w:eastAsia="黑体" w:cs="黑体"/>
          <w:spacing w:val="3"/>
          <w:sz w:val="27"/>
          <w:szCs w:val="27"/>
        </w:rPr>
        <w:t>备选诊断方案的评价</w:t>
      </w:r>
    </w:p>
    <w:p w14:paraId="3DD8ABC3">
      <w:pPr>
        <w:pStyle w:val="2"/>
        <w:spacing w:before="107" w:line="309" w:lineRule="auto"/>
        <w:ind w:right="12" w:firstLine="560"/>
        <w:rPr>
          <w:sz w:val="25"/>
          <w:szCs w:val="25"/>
        </w:rPr>
      </w:pPr>
      <w:r>
        <w:rPr>
          <w:spacing w:val="13"/>
          <w:sz w:val="25"/>
          <w:szCs w:val="25"/>
        </w:rPr>
        <w:t>评价备选的诊断方案(包括不同程度的机内测试、外部测试、人工测试、自动</w:t>
      </w:r>
      <w:r>
        <w:rPr>
          <w:sz w:val="25"/>
          <w:szCs w:val="25"/>
        </w:rPr>
        <w:t xml:space="preserve"> </w:t>
      </w:r>
      <w:r>
        <w:rPr>
          <w:spacing w:val="20"/>
          <w:sz w:val="25"/>
          <w:szCs w:val="25"/>
        </w:rPr>
        <w:t>测试、测试诊断的接口),为考虑的系统和设备备选方案确定最佳的诊断方案。</w:t>
      </w:r>
    </w:p>
    <w:p w14:paraId="71AAED8D">
      <w:pPr>
        <w:spacing w:before="22" w:line="222" w:lineRule="auto"/>
        <w:rPr>
          <w:rFonts w:ascii="黑体" w:hAnsi="黑体" w:eastAsia="黑体" w:cs="黑体"/>
          <w:sz w:val="24"/>
          <w:szCs w:val="24"/>
        </w:rPr>
      </w:pPr>
      <w:r>
        <w:rPr>
          <w:rFonts w:ascii="黑体" w:hAnsi="黑体" w:eastAsia="黑体" w:cs="黑体"/>
          <w:spacing w:val="30"/>
          <w:sz w:val="24"/>
          <w:szCs w:val="24"/>
        </w:rPr>
        <w:t>11</w:t>
      </w:r>
      <w:r>
        <w:rPr>
          <w:rFonts w:ascii="黑体" w:hAnsi="黑体" w:eastAsia="黑体" w:cs="黑体"/>
          <w:spacing w:val="53"/>
          <w:sz w:val="24"/>
          <w:szCs w:val="24"/>
        </w:rPr>
        <w:t xml:space="preserve">  </w:t>
      </w:r>
      <w:r>
        <w:rPr>
          <w:rFonts w:ascii="黑体" w:hAnsi="黑体" w:eastAsia="黑体" w:cs="黑体"/>
          <w:spacing w:val="30"/>
          <w:sz w:val="24"/>
          <w:szCs w:val="24"/>
        </w:rPr>
        <w:t>参数的对比评价及达到目标的风险</w:t>
      </w:r>
    </w:p>
    <w:p w14:paraId="32B4EA70">
      <w:pPr>
        <w:pStyle w:val="2"/>
        <w:spacing w:before="92" w:line="287" w:lineRule="auto"/>
        <w:ind w:right="19" w:firstLine="560"/>
        <w:jc w:val="both"/>
      </w:pPr>
      <w:r>
        <w:rPr>
          <w:spacing w:val="5"/>
        </w:rPr>
        <w:t>在新研系统和设备与现有的比较系统之间进行保障性、费用及战备完好性</w:t>
      </w:r>
      <w:r>
        <w:rPr>
          <w:spacing w:val="9"/>
        </w:rPr>
        <w:t xml:space="preserve"> </w:t>
      </w:r>
      <w:r>
        <w:rPr>
          <w:spacing w:val="-2"/>
        </w:rPr>
        <w:t>参数的对比评价，根据新研系统和设备比现</w:t>
      </w:r>
      <w:r>
        <w:rPr>
          <w:spacing w:val="-3"/>
        </w:rPr>
        <w:t>有比较系统的改善程度，评估新研系</w:t>
      </w:r>
      <w:r>
        <w:t xml:space="preserve"> </w:t>
      </w:r>
      <w:r>
        <w:rPr>
          <w:spacing w:val="-1"/>
        </w:rPr>
        <w:t>统和设备达到保障性、费用及战备完好性等目标的风险。</w:t>
      </w:r>
    </w:p>
    <w:p w14:paraId="1025AEB8">
      <w:pPr>
        <w:spacing w:before="1" w:line="220" w:lineRule="auto"/>
        <w:rPr>
          <w:rFonts w:ascii="黑体" w:hAnsi="黑体" w:eastAsia="黑体" w:cs="黑体"/>
          <w:sz w:val="27"/>
          <w:szCs w:val="27"/>
        </w:rPr>
      </w:pPr>
      <w:r>
        <w:rPr>
          <w:rFonts w:ascii="Arial" w:hAnsi="Arial" w:eastAsia="Arial" w:cs="Arial"/>
          <w:spacing w:val="4"/>
          <w:sz w:val="27"/>
          <w:szCs w:val="27"/>
        </w:rPr>
        <w:t>12</w:t>
      </w:r>
      <w:r>
        <w:rPr>
          <w:rFonts w:ascii="Arial" w:hAnsi="Arial" w:eastAsia="Arial" w:cs="Arial"/>
          <w:spacing w:val="21"/>
          <w:sz w:val="27"/>
          <w:szCs w:val="27"/>
        </w:rPr>
        <w:t xml:space="preserve">   </w:t>
      </w:r>
      <w:r>
        <w:rPr>
          <w:rFonts w:ascii="黑体" w:hAnsi="黑体" w:eastAsia="黑体" w:cs="黑体"/>
          <w:spacing w:val="4"/>
          <w:sz w:val="27"/>
          <w:szCs w:val="27"/>
        </w:rPr>
        <w:t>备选方案与能源及油料要求的评价和权衡</w:t>
      </w:r>
    </w:p>
    <w:p w14:paraId="2F73FD05">
      <w:pPr>
        <w:pStyle w:val="2"/>
        <w:spacing w:before="95" w:line="284" w:lineRule="auto"/>
        <w:ind w:right="18" w:firstLine="560"/>
        <w:jc w:val="both"/>
      </w:pPr>
      <w:r>
        <w:rPr>
          <w:spacing w:val="5"/>
        </w:rPr>
        <w:t>在系统和设备备选方案与能源及油料要求之间进行评价和权衡。为每一个</w:t>
      </w:r>
      <w:r>
        <w:rPr>
          <w:spacing w:val="10"/>
        </w:rPr>
        <w:t xml:space="preserve"> </w:t>
      </w:r>
      <w:r>
        <w:rPr>
          <w:spacing w:val="-2"/>
        </w:rPr>
        <w:t>被考虑的系统和设备备选方案确定所需的燃料、润滑</w:t>
      </w:r>
      <w:r>
        <w:rPr>
          <w:spacing w:val="-3"/>
        </w:rPr>
        <w:t>油、润滑脂要求，并对其所</w:t>
      </w:r>
      <w:r>
        <w:t xml:space="preserve"> </w:t>
      </w:r>
      <w:r>
        <w:rPr>
          <w:spacing w:val="2"/>
        </w:rPr>
        <w:t>需费用进行敏感度分析。</w:t>
      </w:r>
    </w:p>
    <w:p w14:paraId="30425B37">
      <w:pPr>
        <w:spacing w:line="341" w:lineRule="exact"/>
        <w:rPr>
          <w:rFonts w:ascii="黑体" w:hAnsi="黑体" w:eastAsia="黑体" w:cs="黑体"/>
          <w:sz w:val="25"/>
          <w:szCs w:val="25"/>
        </w:rPr>
      </w:pPr>
      <w:r>
        <w:rPr>
          <w:rFonts w:ascii="Arial" w:hAnsi="Arial" w:eastAsia="Arial" w:cs="Arial"/>
          <w:spacing w:val="14"/>
          <w:position w:val="1"/>
          <w:sz w:val="25"/>
          <w:szCs w:val="25"/>
        </w:rPr>
        <w:t xml:space="preserve">13    </w:t>
      </w:r>
      <w:r>
        <w:rPr>
          <w:rFonts w:ascii="黑体" w:hAnsi="黑体" w:eastAsia="黑体" w:cs="黑体"/>
          <w:spacing w:val="14"/>
          <w:position w:val="1"/>
          <w:sz w:val="25"/>
          <w:szCs w:val="25"/>
        </w:rPr>
        <w:t>备选方案与生存性、战损修复性的评价与权衡</w:t>
      </w:r>
    </w:p>
    <w:p w14:paraId="2C91694F">
      <w:pPr>
        <w:pStyle w:val="2"/>
        <w:spacing w:before="85" w:line="301" w:lineRule="auto"/>
        <w:ind w:right="28" w:firstLine="560"/>
      </w:pPr>
      <w:r>
        <w:rPr>
          <w:spacing w:val="5"/>
        </w:rPr>
        <w:t>系统和设备备选方案与作战环境中的生存性、战损修复性之间进行评价与</w:t>
      </w:r>
      <w:r>
        <w:rPr>
          <w:spacing w:val="1"/>
        </w:rPr>
        <w:t xml:space="preserve"> </w:t>
      </w:r>
      <w:r>
        <w:rPr>
          <w:spacing w:val="-2"/>
        </w:rPr>
        <w:t>权衡。</w:t>
      </w:r>
    </w:p>
    <w:p w14:paraId="54FA93C9">
      <w:pPr>
        <w:spacing w:before="1" w:line="220" w:lineRule="auto"/>
        <w:rPr>
          <w:rFonts w:ascii="黑体" w:hAnsi="黑体" w:eastAsia="黑体" w:cs="黑体"/>
          <w:sz w:val="27"/>
          <w:szCs w:val="27"/>
        </w:rPr>
      </w:pPr>
      <w:r>
        <w:rPr>
          <w:rFonts w:ascii="黑体" w:hAnsi="黑体" w:eastAsia="黑体" w:cs="黑体"/>
          <w:spacing w:val="7"/>
          <w:sz w:val="27"/>
          <w:szCs w:val="27"/>
        </w:rPr>
        <w:t>14  备选方案与运输性要求的评价与权衡</w:t>
      </w:r>
    </w:p>
    <w:p w14:paraId="481EBAB3">
      <w:pPr>
        <w:pStyle w:val="2"/>
        <w:spacing w:before="86" w:line="318" w:lineRule="auto"/>
        <w:ind w:firstLine="560"/>
        <w:rPr>
          <w:sz w:val="25"/>
          <w:szCs w:val="25"/>
        </w:rPr>
      </w:pPr>
      <w:r>
        <w:rPr>
          <w:spacing w:val="26"/>
          <w:sz w:val="25"/>
          <w:szCs w:val="25"/>
        </w:rPr>
        <w:t>在系统和设备备选方案与运输性要求之间进行评价与权衡分析，确</w:t>
      </w:r>
      <w:r>
        <w:rPr>
          <w:spacing w:val="25"/>
          <w:sz w:val="25"/>
          <w:szCs w:val="25"/>
        </w:rPr>
        <w:t>定备选</w:t>
      </w:r>
      <w:r>
        <w:rPr>
          <w:sz w:val="25"/>
          <w:szCs w:val="25"/>
        </w:rPr>
        <w:t xml:space="preserve"> </w:t>
      </w:r>
      <w:r>
        <w:rPr>
          <w:spacing w:val="19"/>
          <w:sz w:val="25"/>
          <w:szCs w:val="25"/>
        </w:rPr>
        <w:t>方案运输性要求以及每种运输方式的限制条件、特点和使用环境。</w:t>
      </w:r>
    </w:p>
    <w:p w14:paraId="2DCEF119">
      <w:pPr>
        <w:spacing w:before="1" w:line="220" w:lineRule="auto"/>
        <w:rPr>
          <w:rFonts w:ascii="黑体" w:hAnsi="黑体" w:eastAsia="黑体" w:cs="黑体"/>
          <w:sz w:val="27"/>
          <w:szCs w:val="27"/>
        </w:rPr>
      </w:pPr>
      <w:r>
        <w:rPr>
          <w:rFonts w:ascii="黑体" w:hAnsi="黑体" w:eastAsia="黑体" w:cs="黑体"/>
          <w:spacing w:val="6"/>
          <w:sz w:val="27"/>
          <w:szCs w:val="27"/>
        </w:rPr>
        <w:t>15  备选方案与保障设施要求的评价与权衡</w:t>
      </w:r>
    </w:p>
    <w:p w14:paraId="05AE4A89">
      <w:pPr>
        <w:pStyle w:val="2"/>
        <w:spacing w:before="87" w:line="289" w:lineRule="auto"/>
        <w:ind w:right="17" w:firstLine="560"/>
        <w:jc w:val="both"/>
      </w:pPr>
      <w:r>
        <w:rPr>
          <w:spacing w:val="5"/>
        </w:rPr>
        <w:t>在系统和设备备选方案与保障设施(包括动力、公共设施和道路等)要求之</w:t>
      </w:r>
      <w:r>
        <w:rPr>
          <w:spacing w:val="4"/>
        </w:rPr>
        <w:t xml:space="preserve"> </w:t>
      </w:r>
      <w:r>
        <w:rPr>
          <w:spacing w:val="6"/>
        </w:rPr>
        <w:t>间进行评价及权衡分析。确定每种保障系统备选</w:t>
      </w:r>
      <w:r>
        <w:rPr>
          <w:spacing w:val="5"/>
        </w:rPr>
        <w:t>方案的设施要求以及各类设施</w:t>
      </w:r>
      <w:r>
        <w:t xml:space="preserve"> </w:t>
      </w:r>
      <w:r>
        <w:rPr>
          <w:spacing w:val="-5"/>
        </w:rPr>
        <w:t>的限制条件、特点及使用环境。</w:t>
      </w:r>
    </w:p>
    <w:p w14:paraId="59D095D2">
      <w:pPr>
        <w:spacing w:before="22" w:line="222" w:lineRule="auto"/>
        <w:rPr>
          <w:rFonts w:ascii="黑体" w:hAnsi="黑体" w:eastAsia="黑体" w:cs="黑体"/>
          <w:sz w:val="24"/>
          <w:szCs w:val="24"/>
        </w:rPr>
      </w:pPr>
      <w:r>
        <w:rPr>
          <w:rFonts w:ascii="黑体" w:hAnsi="黑体" w:eastAsia="黑体" w:cs="黑体"/>
          <w:spacing w:val="31"/>
          <w:sz w:val="24"/>
          <w:szCs w:val="24"/>
        </w:rPr>
        <w:t>16</w:t>
      </w:r>
      <w:r>
        <w:rPr>
          <w:rFonts w:ascii="黑体" w:hAnsi="黑体" w:eastAsia="黑体" w:cs="黑体"/>
          <w:spacing w:val="50"/>
          <w:sz w:val="24"/>
          <w:szCs w:val="24"/>
        </w:rPr>
        <w:t xml:space="preserve">  </w:t>
      </w:r>
      <w:r>
        <w:rPr>
          <w:rFonts w:ascii="黑体" w:hAnsi="黑体" w:eastAsia="黑体" w:cs="黑体"/>
          <w:spacing w:val="31"/>
          <w:sz w:val="24"/>
          <w:szCs w:val="24"/>
        </w:rPr>
        <w:t>相关评价与权衡分析结果的修正</w:t>
      </w:r>
    </w:p>
    <w:p w14:paraId="40EC2315">
      <w:pPr>
        <w:pStyle w:val="2"/>
        <w:spacing w:before="92" w:line="304" w:lineRule="auto"/>
        <w:ind w:right="18" w:firstLine="560"/>
      </w:pPr>
      <w:r>
        <w:rPr>
          <w:spacing w:val="-3"/>
        </w:rPr>
        <w:t>随着系统和设备设计的进一步细化，或有更好的数据时，对相关评价与权衡</w:t>
      </w:r>
      <w:r>
        <w:t xml:space="preserve"> </w:t>
      </w:r>
      <w:r>
        <w:rPr>
          <w:spacing w:val="2"/>
        </w:rPr>
        <w:t>分析结果进行修正。</w:t>
      </w:r>
    </w:p>
    <w:p w14:paraId="06DEED32">
      <w:pPr>
        <w:pStyle w:val="2"/>
        <w:spacing w:before="351" w:line="219" w:lineRule="auto"/>
        <w:ind w:left="2440"/>
        <w:rPr>
          <w:sz w:val="36"/>
          <w:szCs w:val="36"/>
        </w:rPr>
      </w:pPr>
      <w:r>
        <w:rPr>
          <w:spacing w:val="-3"/>
          <w:sz w:val="36"/>
          <w:szCs w:val="36"/>
        </w:rPr>
        <w:t>10.</w:t>
      </w:r>
      <w:r>
        <w:rPr>
          <w:b/>
          <w:bCs/>
          <w:spacing w:val="-3"/>
          <w:sz w:val="36"/>
          <w:szCs w:val="36"/>
        </w:rPr>
        <w:t>16</w:t>
      </w:r>
      <w:r>
        <w:rPr>
          <w:spacing w:val="40"/>
          <w:sz w:val="36"/>
          <w:szCs w:val="36"/>
        </w:rPr>
        <w:t xml:space="preserve">  </w:t>
      </w:r>
      <w:r>
        <w:rPr>
          <w:b/>
          <w:bCs/>
          <w:spacing w:val="-3"/>
          <w:sz w:val="36"/>
          <w:szCs w:val="36"/>
        </w:rPr>
        <w:t>使用与维修工作分析</w:t>
      </w:r>
    </w:p>
    <w:p w14:paraId="2A1D2ECF">
      <w:pPr>
        <w:spacing w:line="370" w:lineRule="auto"/>
        <w:rPr>
          <w:rFonts w:ascii="Arial"/>
          <w:sz w:val="21"/>
        </w:rPr>
      </w:pPr>
    </w:p>
    <w:p w14:paraId="0FA95647">
      <w:pPr>
        <w:pStyle w:val="2"/>
        <w:spacing w:before="79" w:line="226" w:lineRule="auto"/>
        <w:ind w:left="560"/>
        <w:rPr>
          <w:rFonts w:ascii="楷体" w:hAnsi="楷体" w:eastAsia="楷体" w:cs="楷体"/>
          <w:sz w:val="24"/>
          <w:szCs w:val="24"/>
        </w:rPr>
      </w:pPr>
      <w:r>
        <w:rPr>
          <w:rFonts w:ascii="楷体" w:hAnsi="楷体" w:eastAsia="楷体" w:cs="楷体"/>
          <w:spacing w:val="8"/>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1371—1992</w:t>
      </w:r>
      <w:r>
        <w:rPr>
          <w:spacing w:val="8"/>
          <w:sz w:val="24"/>
          <w:szCs w:val="24"/>
        </w:rPr>
        <w:t xml:space="preserve">《  </w:t>
      </w:r>
      <w:r>
        <w:rPr>
          <w:rFonts w:ascii="楷体" w:hAnsi="楷体" w:eastAsia="楷体" w:cs="楷体"/>
          <w:spacing w:val="8"/>
          <w:sz w:val="24"/>
          <w:szCs w:val="24"/>
        </w:rPr>
        <w:t>装备保障性分析》编写。</w:t>
      </w:r>
    </w:p>
    <w:p w14:paraId="67C4E437">
      <w:pPr>
        <w:spacing w:before="119"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9"/>
          <w:sz w:val="25"/>
          <w:szCs w:val="25"/>
        </w:rPr>
        <w:t xml:space="preserve">  </w:t>
      </w:r>
      <w:r>
        <w:rPr>
          <w:rFonts w:ascii="黑体" w:hAnsi="黑体" w:eastAsia="黑体" w:cs="黑体"/>
          <w:spacing w:val="-13"/>
          <w:sz w:val="25"/>
          <w:szCs w:val="25"/>
        </w:rPr>
        <w:t>范</w:t>
      </w:r>
      <w:r>
        <w:rPr>
          <w:rFonts w:ascii="黑体" w:hAnsi="黑体" w:eastAsia="黑体" w:cs="黑体"/>
          <w:spacing w:val="-30"/>
          <w:sz w:val="25"/>
          <w:szCs w:val="25"/>
        </w:rPr>
        <w:t xml:space="preserve"> </w:t>
      </w:r>
      <w:r>
        <w:rPr>
          <w:rFonts w:ascii="黑体" w:hAnsi="黑体" w:eastAsia="黑体" w:cs="黑体"/>
          <w:spacing w:val="-13"/>
          <w:sz w:val="25"/>
          <w:szCs w:val="25"/>
        </w:rPr>
        <w:t>围</w:t>
      </w:r>
    </w:p>
    <w:p w14:paraId="1CFA9BE6">
      <w:pPr>
        <w:spacing w:before="107"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8"/>
          <w:sz w:val="27"/>
          <w:szCs w:val="27"/>
        </w:rPr>
        <w:t xml:space="preserve">  </w:t>
      </w:r>
      <w:r>
        <w:rPr>
          <w:rFonts w:ascii="黑体" w:hAnsi="黑体" w:eastAsia="黑体" w:cs="黑体"/>
          <w:spacing w:val="2"/>
          <w:sz w:val="27"/>
          <w:szCs w:val="27"/>
        </w:rPr>
        <w:t>引用文件</w:t>
      </w:r>
    </w:p>
    <w:p w14:paraId="481604A4">
      <w:pPr>
        <w:spacing w:line="222" w:lineRule="auto"/>
        <w:rPr>
          <w:rFonts w:ascii="黑体" w:hAnsi="黑体" w:eastAsia="黑体" w:cs="黑体"/>
          <w:sz w:val="27"/>
          <w:szCs w:val="27"/>
        </w:rPr>
        <w:sectPr>
          <w:footerReference r:id="rId524" w:type="default"/>
          <w:pgSz w:w="11910" w:h="17130"/>
          <w:pgMar w:top="400" w:right="1019" w:bottom="1646" w:left="1499" w:header="0" w:footer="1457" w:gutter="0"/>
          <w:cols w:space="720" w:num="1"/>
        </w:sectPr>
      </w:pPr>
    </w:p>
    <w:p w14:paraId="327DE7F4">
      <w:pPr>
        <w:spacing w:line="252" w:lineRule="auto"/>
        <w:rPr>
          <w:rFonts w:ascii="Arial"/>
          <w:sz w:val="21"/>
        </w:rPr>
      </w:pPr>
    </w:p>
    <w:p w14:paraId="21DDFF8B">
      <w:pPr>
        <w:spacing w:line="253" w:lineRule="auto"/>
        <w:rPr>
          <w:rFonts w:ascii="Arial"/>
          <w:sz w:val="21"/>
        </w:rPr>
      </w:pPr>
    </w:p>
    <w:p w14:paraId="21DAD2E4">
      <w:pPr>
        <w:spacing w:line="253" w:lineRule="auto"/>
        <w:rPr>
          <w:rFonts w:ascii="Arial"/>
          <w:sz w:val="21"/>
        </w:rPr>
      </w:pPr>
    </w:p>
    <w:p w14:paraId="48E68939">
      <w:pPr>
        <w:spacing w:line="253" w:lineRule="auto"/>
        <w:rPr>
          <w:rFonts w:ascii="Arial"/>
          <w:sz w:val="21"/>
        </w:rPr>
      </w:pPr>
    </w:p>
    <w:p w14:paraId="7F184A06">
      <w:pPr>
        <w:spacing w:before="88" w:line="222" w:lineRule="auto"/>
        <w:rPr>
          <w:rFonts w:ascii="黑体" w:hAnsi="黑体" w:eastAsia="黑体" w:cs="黑体"/>
          <w:sz w:val="27"/>
          <w:szCs w:val="27"/>
        </w:rPr>
      </w:pPr>
      <w:r>
        <w:rPr>
          <w:rFonts w:ascii="黑体" w:hAnsi="黑体" w:eastAsia="黑体" w:cs="黑体"/>
          <w:spacing w:val="-4"/>
          <w:sz w:val="27"/>
          <w:szCs w:val="27"/>
        </w:rPr>
        <w:t xml:space="preserve">3  </w:t>
      </w:r>
      <w:r>
        <w:rPr>
          <w:rFonts w:ascii="黑体" w:hAnsi="黑体" w:eastAsia="黑体" w:cs="黑体"/>
          <w:b/>
          <w:bCs/>
          <w:spacing w:val="-4"/>
          <w:sz w:val="27"/>
          <w:szCs w:val="27"/>
        </w:rPr>
        <w:t>每项使用、维修与保障工作要求的详细分析</w:t>
      </w:r>
    </w:p>
    <w:p w14:paraId="63499B19">
      <w:pPr>
        <w:pStyle w:val="2"/>
        <w:spacing w:before="60" w:line="277" w:lineRule="auto"/>
        <w:ind w:right="87" w:firstLine="560"/>
      </w:pPr>
      <w:r>
        <w:rPr>
          <w:spacing w:val="-2"/>
        </w:rPr>
        <w:t>对新研系统和设备每项使用、维修与保障工作的要求进行</w:t>
      </w:r>
      <w:r>
        <w:rPr>
          <w:spacing w:val="-3"/>
        </w:rPr>
        <w:t>详细分析，并确定</w:t>
      </w:r>
      <w:r>
        <w:t xml:space="preserve"> </w:t>
      </w:r>
      <w:r>
        <w:rPr>
          <w:spacing w:val="-3"/>
        </w:rPr>
        <w:t>下述内容：</w:t>
      </w:r>
    </w:p>
    <w:p w14:paraId="7892CF1F">
      <w:pPr>
        <w:pStyle w:val="2"/>
        <w:spacing w:line="212" w:lineRule="auto"/>
        <w:ind w:left="560"/>
      </w:pPr>
      <w:r>
        <w:rPr>
          <w:rFonts w:ascii="Times New Roman" w:hAnsi="Times New Roman" w:eastAsia="Times New Roman" w:cs="Times New Roman"/>
          <w:spacing w:val="4"/>
        </w:rPr>
        <w:t>a)</w:t>
      </w:r>
      <w:r>
        <w:rPr>
          <w:rFonts w:ascii="Times New Roman" w:hAnsi="Times New Roman" w:eastAsia="Times New Roman" w:cs="Times New Roman"/>
          <w:spacing w:val="68"/>
        </w:rPr>
        <w:t xml:space="preserve"> </w:t>
      </w:r>
      <w:r>
        <w:rPr>
          <w:spacing w:val="4"/>
        </w:rPr>
        <w:t>完成工作所需(要考虑全部综合保障要素)的保障资源；</w:t>
      </w:r>
    </w:p>
    <w:p w14:paraId="6FE8E4A6">
      <w:pPr>
        <w:pStyle w:val="2"/>
        <w:spacing w:before="79" w:line="267" w:lineRule="auto"/>
        <w:ind w:right="114" w:firstLine="560"/>
      </w:pPr>
      <w:r>
        <w:rPr>
          <w:rFonts w:ascii="Times New Roman" w:hAnsi="Times New Roman" w:eastAsia="Times New Roman" w:cs="Times New Roman"/>
          <w:spacing w:val="11"/>
        </w:rPr>
        <w:t>b)</w:t>
      </w:r>
      <w:r>
        <w:rPr>
          <w:rFonts w:ascii="Times New Roman" w:hAnsi="Times New Roman" w:eastAsia="Times New Roman" w:cs="Times New Roman"/>
          <w:spacing w:val="67"/>
        </w:rPr>
        <w:t xml:space="preserve"> </w:t>
      </w:r>
      <w:r>
        <w:rPr>
          <w:spacing w:val="11"/>
        </w:rPr>
        <w:t>在新研系统和设备的预定使用环境里，按年度使用基数规定的工</w:t>
      </w:r>
      <w:r>
        <w:rPr>
          <w:spacing w:val="10"/>
        </w:rPr>
        <w:t>作频</w:t>
      </w:r>
      <w:r>
        <w:t xml:space="preserve"> </w:t>
      </w:r>
      <w:r>
        <w:rPr>
          <w:spacing w:val="-14"/>
        </w:rPr>
        <w:t>度、工作间隔、工作时间及工时数；</w:t>
      </w:r>
    </w:p>
    <w:p w14:paraId="5D391421">
      <w:pPr>
        <w:pStyle w:val="2"/>
        <w:spacing w:before="62" w:line="212" w:lineRule="auto"/>
        <w:ind w:left="560"/>
      </w:pPr>
      <w:r>
        <w:rPr>
          <w:rFonts w:ascii="Times New Roman" w:hAnsi="Times New Roman" w:eastAsia="Times New Roman" w:cs="Times New Roman"/>
          <w:b/>
          <w:bCs/>
        </w:rPr>
        <w:t>c)</w:t>
      </w:r>
      <w:r>
        <w:rPr>
          <w:rFonts w:ascii="Times New Roman" w:hAnsi="Times New Roman" w:eastAsia="Times New Roman" w:cs="Times New Roman"/>
          <w:b/>
          <w:bCs/>
          <w:spacing w:val="74"/>
          <w:w w:val="101"/>
        </w:rPr>
        <w:t xml:space="preserve"> </w:t>
      </w:r>
      <w:r>
        <w:rPr>
          <w:b/>
          <w:bCs/>
        </w:rPr>
        <w:t>根据制定的保障计划规定的维修级别；</w:t>
      </w:r>
    </w:p>
    <w:p w14:paraId="4DE5EB8C">
      <w:pPr>
        <w:pStyle w:val="2"/>
        <w:spacing w:before="66" w:line="271" w:lineRule="auto"/>
        <w:ind w:right="111" w:firstLine="560"/>
      </w:pPr>
      <w:r>
        <w:rPr>
          <w:rFonts w:ascii="Times New Roman" w:hAnsi="Times New Roman" w:eastAsia="Times New Roman" w:cs="Times New Roman"/>
          <w:spacing w:val="2"/>
        </w:rPr>
        <w:t>d)</w:t>
      </w:r>
      <w:r>
        <w:rPr>
          <w:rFonts w:ascii="Times New Roman" w:hAnsi="Times New Roman" w:eastAsia="Times New Roman" w:cs="Times New Roman"/>
          <w:spacing w:val="84"/>
        </w:rPr>
        <w:t xml:space="preserve"> </w:t>
      </w:r>
      <w:r>
        <w:rPr>
          <w:spacing w:val="2"/>
        </w:rPr>
        <w:t>工作中使用危险物资、生产有害废料、排放到空气和水中的污染物对环</w:t>
      </w:r>
      <w:r>
        <w:t xml:space="preserve"> </w:t>
      </w:r>
      <w:r>
        <w:rPr>
          <w:spacing w:val="-3"/>
        </w:rPr>
        <w:t>境的影响。</w:t>
      </w:r>
    </w:p>
    <w:p w14:paraId="260EEAB8">
      <w:pPr>
        <w:pStyle w:val="2"/>
        <w:spacing w:before="88" w:line="219" w:lineRule="auto"/>
        <w:ind w:left="560"/>
      </w:pPr>
      <w:r>
        <w:rPr>
          <w:spacing w:val="3"/>
        </w:rPr>
        <w:t>必须为每一项使用与维修工作确定以下内容：</w:t>
      </w:r>
    </w:p>
    <w:p w14:paraId="409F31AA">
      <w:pPr>
        <w:pStyle w:val="2"/>
        <w:spacing w:before="80" w:line="219" w:lineRule="auto"/>
        <w:ind w:left="560"/>
      </w:pPr>
      <w:r>
        <w:rPr>
          <w:rFonts w:ascii="Times New Roman" w:hAnsi="Times New Roman" w:eastAsia="Times New Roman" w:cs="Times New Roman"/>
          <w:spacing w:val="11"/>
        </w:rPr>
        <w:t>a</w:t>
      </w:r>
      <w:r>
        <w:rPr>
          <w:spacing w:val="11"/>
        </w:rPr>
        <w:t>)维修级别；</w:t>
      </w:r>
    </w:p>
    <w:p w14:paraId="278E6432">
      <w:pPr>
        <w:pStyle w:val="2"/>
        <w:spacing w:before="59" w:line="212" w:lineRule="auto"/>
        <w:ind w:left="560"/>
      </w:pPr>
      <w:r>
        <w:rPr>
          <w:rFonts w:ascii="Times New Roman" w:hAnsi="Times New Roman" w:eastAsia="Times New Roman" w:cs="Times New Roman"/>
          <w:spacing w:val="-6"/>
        </w:rPr>
        <w:t>b)</w:t>
      </w:r>
      <w:r>
        <w:rPr>
          <w:rFonts w:ascii="Times New Roman" w:hAnsi="Times New Roman" w:eastAsia="Times New Roman" w:cs="Times New Roman"/>
          <w:spacing w:val="58"/>
        </w:rPr>
        <w:t xml:space="preserve"> </w:t>
      </w:r>
      <w:r>
        <w:rPr>
          <w:spacing w:val="-6"/>
        </w:rPr>
        <w:t>人员数量与技术等级、技术专业、工时及消耗时间；</w:t>
      </w:r>
    </w:p>
    <w:p w14:paraId="6B188328">
      <w:pPr>
        <w:pStyle w:val="2"/>
        <w:spacing w:before="100" w:line="212" w:lineRule="auto"/>
        <w:ind w:left="560"/>
      </w:pPr>
      <w:r>
        <w:rPr>
          <w:rFonts w:ascii="Times New Roman" w:hAnsi="Times New Roman" w:eastAsia="Times New Roman" w:cs="Times New Roman"/>
          <w:spacing w:val="-6"/>
        </w:rPr>
        <w:t>c)</w:t>
      </w:r>
      <w:r>
        <w:rPr>
          <w:rFonts w:ascii="Times New Roman" w:hAnsi="Times New Roman" w:eastAsia="Times New Roman" w:cs="Times New Roman"/>
          <w:spacing w:val="73"/>
          <w:w w:val="101"/>
        </w:rPr>
        <w:t xml:space="preserve"> </w:t>
      </w:r>
      <w:r>
        <w:rPr>
          <w:spacing w:val="-6"/>
        </w:rPr>
        <w:t>所需备件、修理件及消耗品；</w:t>
      </w:r>
    </w:p>
    <w:p w14:paraId="49BB3B6A">
      <w:pPr>
        <w:pStyle w:val="2"/>
        <w:spacing w:before="90" w:line="212" w:lineRule="auto"/>
        <w:ind w:left="560"/>
      </w:pPr>
      <w:r>
        <w:rPr>
          <w:rFonts w:ascii="Times New Roman" w:hAnsi="Times New Roman" w:eastAsia="Times New Roman" w:cs="Times New Roman"/>
          <w:spacing w:val="-9"/>
        </w:rPr>
        <w:t xml:space="preserve">d)  </w:t>
      </w:r>
      <w:r>
        <w:rPr>
          <w:spacing w:val="-9"/>
        </w:rPr>
        <w:t>所需的保障设备，测试、测量及诊断设备，及各种测试程序；</w:t>
      </w:r>
    </w:p>
    <w:p w14:paraId="10748FDC">
      <w:pPr>
        <w:pStyle w:val="2"/>
        <w:spacing w:before="109" w:line="212" w:lineRule="auto"/>
        <w:ind w:left="560"/>
      </w:pPr>
      <w:r>
        <w:rPr>
          <w:rFonts w:ascii="Times New Roman" w:hAnsi="Times New Roman" w:eastAsia="Times New Roman" w:cs="Times New Roman"/>
          <w:spacing w:val="-2"/>
        </w:rPr>
        <w:t>e)</w:t>
      </w:r>
      <w:r>
        <w:rPr>
          <w:rFonts w:ascii="Times New Roman" w:hAnsi="Times New Roman" w:eastAsia="Times New Roman" w:cs="Times New Roman"/>
          <w:spacing w:val="64"/>
          <w:w w:val="101"/>
        </w:rPr>
        <w:t xml:space="preserve"> </w:t>
      </w:r>
      <w:r>
        <w:rPr>
          <w:spacing w:val="-2"/>
        </w:rPr>
        <w:t>训练及所需的训练器材，建议的训练地点和理由；</w:t>
      </w:r>
    </w:p>
    <w:p w14:paraId="470E0063">
      <w:pPr>
        <w:pStyle w:val="2"/>
        <w:spacing w:before="91" w:line="212" w:lineRule="auto"/>
        <w:ind w:left="560"/>
      </w:pPr>
      <w:r>
        <w:rPr>
          <w:rFonts w:ascii="Times New Roman" w:hAnsi="Times New Roman" w:eastAsia="Times New Roman" w:cs="Times New Roman"/>
          <w:spacing w:val="1"/>
        </w:rPr>
        <w:t>f)</w:t>
      </w:r>
      <w:r>
        <w:rPr>
          <w:rFonts w:ascii="Times New Roman" w:hAnsi="Times New Roman" w:eastAsia="Times New Roman" w:cs="Times New Roman"/>
          <w:spacing w:val="56"/>
        </w:rPr>
        <w:t xml:space="preserve"> </w:t>
      </w:r>
      <w:r>
        <w:rPr>
          <w:spacing w:val="1"/>
        </w:rPr>
        <w:t>完成工作的步骤；</w:t>
      </w:r>
    </w:p>
    <w:p w14:paraId="24F16657">
      <w:pPr>
        <w:pStyle w:val="2"/>
        <w:spacing w:before="119" w:line="212" w:lineRule="auto"/>
        <w:ind w:left="560"/>
      </w:pPr>
      <w:r>
        <w:rPr>
          <w:rFonts w:ascii="Times New Roman" w:hAnsi="Times New Roman" w:eastAsia="Times New Roman" w:cs="Times New Roman"/>
          <w:spacing w:val="10"/>
        </w:rPr>
        <w:t>g</w:t>
      </w:r>
      <w:r>
        <w:rPr>
          <w:spacing w:val="10"/>
        </w:rPr>
        <w:t>)所需的保障设施；</w:t>
      </w:r>
    </w:p>
    <w:p w14:paraId="4C79441A">
      <w:pPr>
        <w:pStyle w:val="2"/>
        <w:spacing w:before="70" w:line="263" w:lineRule="auto"/>
        <w:ind w:right="107" w:firstLine="560"/>
      </w:pPr>
      <w:r>
        <w:rPr>
          <w:rFonts w:ascii="Times New Roman" w:hAnsi="Times New Roman" w:eastAsia="Times New Roman" w:cs="Times New Roman"/>
          <w:spacing w:val="7"/>
        </w:rPr>
        <w:t>h)</w:t>
      </w:r>
      <w:r>
        <w:rPr>
          <w:rFonts w:ascii="Times New Roman" w:hAnsi="Times New Roman" w:eastAsia="Times New Roman" w:cs="Times New Roman"/>
        </w:rPr>
        <w:t xml:space="preserve">  </w:t>
      </w:r>
      <w:r>
        <w:rPr>
          <w:spacing w:val="7"/>
        </w:rPr>
        <w:t>在预期的使用环境里，完成工作的间隔与频度</w:t>
      </w:r>
      <w:r>
        <w:rPr>
          <w:spacing w:val="6"/>
        </w:rPr>
        <w:t>(按年度使用基数的工作</w:t>
      </w:r>
      <w:r>
        <w:rPr>
          <w:spacing w:val="1"/>
        </w:rPr>
        <w:t xml:space="preserve"> 频度必须慎重选择，要防止误用由本工作项目产生的信息</w:t>
      </w:r>
      <w:r>
        <w:t>);</w:t>
      </w:r>
    </w:p>
    <w:p w14:paraId="2D773D22">
      <w:pPr>
        <w:pStyle w:val="2"/>
        <w:spacing w:before="51" w:line="212" w:lineRule="auto"/>
        <w:ind w:left="560"/>
      </w:pPr>
      <w:r>
        <w:rPr>
          <w:rFonts w:ascii="Times New Roman" w:hAnsi="Times New Roman" w:eastAsia="Times New Roman" w:cs="Times New Roman"/>
          <w:spacing w:val="-13"/>
        </w:rPr>
        <w:t>i)</w:t>
      </w:r>
      <w:r>
        <w:rPr>
          <w:rFonts w:ascii="Times New Roman" w:hAnsi="Times New Roman" w:eastAsia="Times New Roman" w:cs="Times New Roman"/>
          <w:spacing w:val="64"/>
        </w:rPr>
        <w:t xml:space="preserve"> </w:t>
      </w:r>
      <w:r>
        <w:rPr>
          <w:spacing w:val="-13"/>
        </w:rPr>
        <w:t>包装、装卸、贮存及运输要求。</w:t>
      </w:r>
    </w:p>
    <w:p w14:paraId="27ECB43B">
      <w:pPr>
        <w:spacing w:before="154" w:line="221" w:lineRule="auto"/>
        <w:rPr>
          <w:rFonts w:ascii="黑体" w:hAnsi="黑体" w:eastAsia="黑体" w:cs="黑体"/>
          <w:sz w:val="24"/>
          <w:szCs w:val="24"/>
        </w:rPr>
      </w:pPr>
      <w:r>
        <w:rPr>
          <w:rFonts w:ascii="黑体" w:hAnsi="黑体" w:eastAsia="黑体" w:cs="黑体"/>
          <w:spacing w:val="28"/>
          <w:sz w:val="24"/>
          <w:szCs w:val="24"/>
        </w:rPr>
        <w:t>4</w:t>
      </w:r>
      <w:r>
        <w:rPr>
          <w:rFonts w:ascii="黑体" w:hAnsi="黑体" w:eastAsia="黑体" w:cs="黑体"/>
          <w:spacing w:val="37"/>
          <w:sz w:val="24"/>
          <w:szCs w:val="24"/>
        </w:rPr>
        <w:t xml:space="preserve">  </w:t>
      </w:r>
      <w:r>
        <w:rPr>
          <w:rFonts w:ascii="黑体" w:hAnsi="黑体" w:eastAsia="黑体" w:cs="黑体"/>
          <w:b/>
          <w:bCs/>
          <w:spacing w:val="28"/>
          <w:sz w:val="24"/>
          <w:szCs w:val="24"/>
        </w:rPr>
        <w:t>新的保障资源及相关要求</w:t>
      </w:r>
    </w:p>
    <w:p w14:paraId="60F50AEA">
      <w:pPr>
        <w:pStyle w:val="2"/>
        <w:spacing w:before="118" w:line="290" w:lineRule="auto"/>
        <w:ind w:right="112" w:firstLine="560"/>
        <w:rPr>
          <w:sz w:val="25"/>
          <w:szCs w:val="25"/>
        </w:rPr>
      </w:pPr>
      <w:r>
        <w:rPr>
          <w:spacing w:val="17"/>
          <w:sz w:val="25"/>
          <w:szCs w:val="25"/>
        </w:rPr>
        <w:t>确定执行每项工作所需新的保障资源，以及与这些资源有关的危险物资、有</w:t>
      </w:r>
      <w:r>
        <w:rPr>
          <w:spacing w:val="1"/>
          <w:sz w:val="25"/>
          <w:szCs w:val="25"/>
        </w:rPr>
        <w:t xml:space="preserve"> </w:t>
      </w:r>
      <w:r>
        <w:rPr>
          <w:spacing w:val="21"/>
          <w:sz w:val="25"/>
          <w:szCs w:val="25"/>
        </w:rPr>
        <w:t>害废料及对环境影响的要求。</w:t>
      </w:r>
    </w:p>
    <w:p w14:paraId="76D42EDF">
      <w:pPr>
        <w:spacing w:before="1" w:line="220" w:lineRule="auto"/>
        <w:rPr>
          <w:rFonts w:ascii="黑体" w:hAnsi="黑体" w:eastAsia="黑体" w:cs="黑体"/>
          <w:sz w:val="27"/>
          <w:szCs w:val="27"/>
        </w:rPr>
      </w:pPr>
      <w:r>
        <w:rPr>
          <w:rFonts w:ascii="黑体" w:hAnsi="黑体" w:eastAsia="黑体" w:cs="黑体"/>
          <w:spacing w:val="4"/>
          <w:sz w:val="27"/>
          <w:szCs w:val="27"/>
        </w:rPr>
        <w:t xml:space="preserve">5  </w:t>
      </w:r>
      <w:r>
        <w:rPr>
          <w:rFonts w:ascii="黑体" w:hAnsi="黑体" w:eastAsia="黑体" w:cs="黑体"/>
          <w:b/>
          <w:bCs/>
          <w:spacing w:val="4"/>
          <w:sz w:val="27"/>
          <w:szCs w:val="27"/>
        </w:rPr>
        <w:t>新的保障资源的管理措施</w:t>
      </w:r>
    </w:p>
    <w:p w14:paraId="481DF895">
      <w:pPr>
        <w:pStyle w:val="2"/>
        <w:spacing w:before="111" w:line="272" w:lineRule="auto"/>
        <w:ind w:right="111" w:firstLine="560"/>
        <w:jc w:val="both"/>
      </w:pPr>
      <w:r>
        <w:rPr>
          <w:spacing w:val="5"/>
        </w:rPr>
        <w:t>说明根据确定的新的保障资源而采取的管理措施，使与每一项新的资源有</w:t>
      </w:r>
      <w:r>
        <w:rPr>
          <w:spacing w:val="13"/>
        </w:rPr>
        <w:t xml:space="preserve"> </w:t>
      </w:r>
      <w:r>
        <w:rPr>
          <w:spacing w:val="5"/>
        </w:rPr>
        <w:t>关的风险减到最低。这些管理措施可能包括制定详细的跟踪程序、修改进度及</w:t>
      </w:r>
      <w:r>
        <w:rPr>
          <w:spacing w:val="4"/>
        </w:rPr>
        <w:t xml:space="preserve"> </w:t>
      </w:r>
      <w:r>
        <w:rPr>
          <w:spacing w:val="-3"/>
        </w:rPr>
        <w:t>经费预算。</w:t>
      </w:r>
    </w:p>
    <w:p w14:paraId="2D45C59A">
      <w:pPr>
        <w:spacing w:before="42" w:line="221" w:lineRule="auto"/>
        <w:rPr>
          <w:rFonts w:ascii="黑体" w:hAnsi="黑体" w:eastAsia="黑体" w:cs="黑体"/>
          <w:sz w:val="24"/>
          <w:szCs w:val="24"/>
        </w:rPr>
      </w:pPr>
      <w:r>
        <w:rPr>
          <w:rFonts w:ascii="黑体" w:hAnsi="黑体" w:eastAsia="黑体" w:cs="黑体"/>
          <w:spacing w:val="26"/>
          <w:sz w:val="24"/>
          <w:szCs w:val="24"/>
        </w:rPr>
        <w:t>6</w:t>
      </w:r>
      <w:r>
        <w:rPr>
          <w:rFonts w:ascii="黑体" w:hAnsi="黑体" w:eastAsia="黑体" w:cs="黑体"/>
          <w:spacing w:val="38"/>
          <w:sz w:val="24"/>
          <w:szCs w:val="24"/>
        </w:rPr>
        <w:t xml:space="preserve">  </w:t>
      </w:r>
      <w:r>
        <w:rPr>
          <w:rFonts w:ascii="黑体" w:hAnsi="黑体" w:eastAsia="黑体" w:cs="黑体"/>
          <w:b/>
          <w:bCs/>
          <w:spacing w:val="26"/>
          <w:sz w:val="24"/>
          <w:szCs w:val="24"/>
        </w:rPr>
        <w:t>关键资源及相关要求</w:t>
      </w:r>
    </w:p>
    <w:p w14:paraId="22B098BD">
      <w:pPr>
        <w:pStyle w:val="2"/>
        <w:spacing w:before="117" w:line="294" w:lineRule="auto"/>
        <w:ind w:firstLine="560"/>
        <w:rPr>
          <w:sz w:val="25"/>
          <w:szCs w:val="25"/>
        </w:rPr>
      </w:pPr>
      <w:r>
        <w:rPr>
          <w:spacing w:val="20"/>
          <w:sz w:val="25"/>
          <w:szCs w:val="25"/>
        </w:rPr>
        <w:t>确定执行每项工作所需关键的保障资源，以及与这些资源有关的危险物资、</w:t>
      </w:r>
      <w:r>
        <w:rPr>
          <w:spacing w:val="14"/>
          <w:sz w:val="25"/>
          <w:szCs w:val="25"/>
        </w:rPr>
        <w:t xml:space="preserve"> </w:t>
      </w:r>
      <w:r>
        <w:rPr>
          <w:spacing w:val="21"/>
          <w:sz w:val="25"/>
          <w:szCs w:val="25"/>
        </w:rPr>
        <w:t>有害废料及对环境影响的要求。</w:t>
      </w:r>
    </w:p>
    <w:p w14:paraId="2D5FE6A8">
      <w:pPr>
        <w:spacing w:before="1" w:line="220"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8"/>
          <w:sz w:val="27"/>
          <w:szCs w:val="27"/>
        </w:rPr>
        <w:t xml:space="preserve">  </w:t>
      </w:r>
      <w:r>
        <w:rPr>
          <w:rFonts w:ascii="黑体" w:hAnsi="黑体" w:eastAsia="黑体" w:cs="黑体"/>
          <w:b/>
          <w:bCs/>
          <w:spacing w:val="1"/>
          <w:sz w:val="27"/>
          <w:szCs w:val="27"/>
        </w:rPr>
        <w:t>关键资源的管理措施</w:t>
      </w:r>
    </w:p>
    <w:p w14:paraId="19FD3E8B">
      <w:pPr>
        <w:pStyle w:val="2"/>
        <w:spacing w:before="62" w:line="289" w:lineRule="auto"/>
        <w:ind w:right="110" w:firstLine="560"/>
        <w:jc w:val="both"/>
      </w:pPr>
      <w:r>
        <w:rPr>
          <w:spacing w:val="5"/>
        </w:rPr>
        <w:t>根据确定的关键的保障资源而采取的管理措施，使与每一项关键的资源有</w:t>
      </w:r>
      <w:r>
        <w:rPr>
          <w:spacing w:val="12"/>
        </w:rPr>
        <w:t xml:space="preserve"> </w:t>
      </w:r>
      <w:r>
        <w:rPr>
          <w:spacing w:val="6"/>
        </w:rPr>
        <w:t>关的风险减到最低。这些管理措施可能包括制定详细的</w:t>
      </w:r>
      <w:r>
        <w:rPr>
          <w:spacing w:val="5"/>
        </w:rPr>
        <w:t>跟踪程序、修改进度及</w:t>
      </w:r>
      <w:r>
        <w:t xml:space="preserve"> </w:t>
      </w:r>
      <w:r>
        <w:rPr>
          <w:spacing w:val="-3"/>
        </w:rPr>
        <w:t>经费预算。</w:t>
      </w:r>
    </w:p>
    <w:p w14:paraId="06D567E6">
      <w:pPr>
        <w:spacing w:line="289" w:lineRule="auto"/>
        <w:sectPr>
          <w:footerReference r:id="rId525" w:type="default"/>
          <w:pgSz w:w="11910" w:h="17130"/>
          <w:pgMar w:top="400" w:right="1374" w:bottom="1667" w:left="1049" w:header="0" w:footer="1450" w:gutter="0"/>
          <w:cols w:space="720" w:num="1"/>
        </w:sectPr>
      </w:pPr>
    </w:p>
    <w:p w14:paraId="3497729D">
      <w:pPr>
        <w:spacing w:line="252" w:lineRule="auto"/>
        <w:rPr>
          <w:rFonts w:ascii="Arial"/>
          <w:sz w:val="21"/>
        </w:rPr>
      </w:pPr>
    </w:p>
    <w:p w14:paraId="139A7B98">
      <w:pPr>
        <w:spacing w:line="253" w:lineRule="auto"/>
        <w:rPr>
          <w:rFonts w:ascii="Arial"/>
          <w:sz w:val="21"/>
        </w:rPr>
      </w:pPr>
    </w:p>
    <w:p w14:paraId="4386ED72">
      <w:pPr>
        <w:spacing w:line="253" w:lineRule="auto"/>
        <w:rPr>
          <w:rFonts w:ascii="Arial"/>
          <w:sz w:val="21"/>
        </w:rPr>
      </w:pPr>
    </w:p>
    <w:p w14:paraId="786FF6BE">
      <w:pPr>
        <w:spacing w:line="253" w:lineRule="auto"/>
        <w:rPr>
          <w:rFonts w:ascii="Arial"/>
          <w:sz w:val="21"/>
        </w:rPr>
      </w:pPr>
    </w:p>
    <w:p w14:paraId="21CF9073">
      <w:pPr>
        <w:spacing w:before="88" w:line="222" w:lineRule="auto"/>
        <w:outlineLvl w:val="3"/>
        <w:rPr>
          <w:rFonts w:ascii="黑体" w:hAnsi="黑体" w:eastAsia="黑体" w:cs="黑体"/>
          <w:sz w:val="27"/>
          <w:szCs w:val="27"/>
        </w:rPr>
      </w:pPr>
      <w:r>
        <w:rPr>
          <w:rFonts w:ascii="Arial" w:hAnsi="Arial" w:eastAsia="Arial" w:cs="Arial"/>
          <w:b/>
          <w:bCs/>
          <w:spacing w:val="-1"/>
          <w:sz w:val="27"/>
          <w:szCs w:val="27"/>
        </w:rPr>
        <w:t>8</w:t>
      </w:r>
      <w:r>
        <w:rPr>
          <w:rFonts w:ascii="Arial" w:hAnsi="Arial" w:eastAsia="Arial" w:cs="Arial"/>
          <w:b/>
          <w:bCs/>
          <w:spacing w:val="24"/>
          <w:w w:val="101"/>
          <w:sz w:val="27"/>
          <w:szCs w:val="27"/>
        </w:rPr>
        <w:t xml:space="preserve">   </w:t>
      </w:r>
      <w:r>
        <w:rPr>
          <w:rFonts w:ascii="黑体" w:hAnsi="黑体" w:eastAsia="黑体" w:cs="黑体"/>
          <w:b/>
          <w:bCs/>
          <w:spacing w:val="-1"/>
          <w:sz w:val="27"/>
          <w:szCs w:val="27"/>
        </w:rPr>
        <w:t>确定训练要求</w:t>
      </w:r>
    </w:p>
    <w:p w14:paraId="56DC6CDD">
      <w:pPr>
        <w:pStyle w:val="2"/>
        <w:spacing w:before="81" w:line="219" w:lineRule="auto"/>
        <w:ind w:left="550"/>
      </w:pPr>
      <w:r>
        <w:rPr>
          <w:spacing w:val="-1"/>
        </w:rPr>
        <w:t>根据使用、维修与保障工作的程序和人员配备情况确定训练要求。</w:t>
      </w:r>
    </w:p>
    <w:p w14:paraId="39E47E88">
      <w:pPr>
        <w:spacing w:before="102" w:line="221" w:lineRule="auto"/>
        <w:rPr>
          <w:rFonts w:ascii="黑体" w:hAnsi="黑体" w:eastAsia="黑体" w:cs="黑体"/>
          <w:sz w:val="24"/>
          <w:szCs w:val="24"/>
        </w:rPr>
      </w:pPr>
      <w:r>
        <w:rPr>
          <w:rFonts w:ascii="黑体" w:hAnsi="黑体" w:eastAsia="黑体" w:cs="黑体"/>
          <w:spacing w:val="30"/>
          <w:sz w:val="24"/>
          <w:szCs w:val="24"/>
        </w:rPr>
        <w:t>9</w:t>
      </w:r>
      <w:r>
        <w:rPr>
          <w:rFonts w:ascii="黑体" w:hAnsi="黑体" w:eastAsia="黑体" w:cs="黑体"/>
          <w:spacing w:val="33"/>
          <w:sz w:val="24"/>
          <w:szCs w:val="24"/>
        </w:rPr>
        <w:t xml:space="preserve">  </w:t>
      </w:r>
      <w:r>
        <w:rPr>
          <w:rFonts w:ascii="黑体" w:hAnsi="黑体" w:eastAsia="黑体" w:cs="黑体"/>
          <w:b/>
          <w:bCs/>
          <w:spacing w:val="30"/>
          <w:sz w:val="24"/>
          <w:szCs w:val="24"/>
        </w:rPr>
        <w:t>建议最佳训练方式及理由</w:t>
      </w:r>
    </w:p>
    <w:p w14:paraId="5A607302">
      <w:pPr>
        <w:pStyle w:val="2"/>
        <w:spacing w:before="107" w:line="219" w:lineRule="auto"/>
        <w:ind w:left="550"/>
      </w:pPr>
      <w:r>
        <w:rPr>
          <w:spacing w:val="-3"/>
        </w:rPr>
        <w:t>对最佳训练方式提出建议，并论述理由。</w:t>
      </w:r>
    </w:p>
    <w:p w14:paraId="78A24E4F">
      <w:pPr>
        <w:spacing w:before="94" w:line="221" w:lineRule="auto"/>
        <w:rPr>
          <w:rFonts w:ascii="黑体" w:hAnsi="黑体" w:eastAsia="黑体" w:cs="黑体"/>
          <w:sz w:val="24"/>
          <w:szCs w:val="24"/>
        </w:rPr>
      </w:pPr>
      <w:r>
        <w:rPr>
          <w:rFonts w:ascii="黑体" w:hAnsi="黑体" w:eastAsia="黑体" w:cs="黑体"/>
          <w:spacing w:val="28"/>
          <w:sz w:val="24"/>
          <w:szCs w:val="24"/>
        </w:rPr>
        <w:t>10</w:t>
      </w:r>
      <w:r>
        <w:rPr>
          <w:rFonts w:ascii="黑体" w:hAnsi="黑体" w:eastAsia="黑体" w:cs="黑体"/>
          <w:spacing w:val="46"/>
          <w:sz w:val="24"/>
          <w:szCs w:val="24"/>
        </w:rPr>
        <w:t xml:space="preserve">  </w:t>
      </w:r>
      <w:r>
        <w:rPr>
          <w:rFonts w:ascii="黑体" w:hAnsi="黑体" w:eastAsia="黑体" w:cs="黑体"/>
          <w:b/>
          <w:bCs/>
          <w:spacing w:val="28"/>
          <w:sz w:val="24"/>
          <w:szCs w:val="24"/>
        </w:rPr>
        <w:t>每项使用与维修工作对保障资源的要求</w:t>
      </w:r>
    </w:p>
    <w:p w14:paraId="5E100715">
      <w:pPr>
        <w:pStyle w:val="2"/>
        <w:spacing w:before="100" w:line="279" w:lineRule="auto"/>
        <w:ind w:right="114" w:firstLine="550"/>
        <w:jc w:val="both"/>
      </w:pPr>
      <w:r>
        <w:rPr>
          <w:spacing w:val="5"/>
        </w:rPr>
        <w:t>分析每项使用与维修工作对保障资源的要求，确定哪些工作不能满足新研</w:t>
      </w:r>
      <w:r>
        <w:rPr>
          <w:spacing w:val="10"/>
        </w:rPr>
        <w:t xml:space="preserve"> </w:t>
      </w:r>
      <w:r>
        <w:rPr>
          <w:spacing w:val="5"/>
        </w:rPr>
        <w:t>系统和设备的保障性及有关保障性的设计目标值与约束，哪些工作可以优化或</w:t>
      </w:r>
      <w:r>
        <w:rPr>
          <w:spacing w:val="11"/>
        </w:rPr>
        <w:t xml:space="preserve"> </w:t>
      </w:r>
      <w:r>
        <w:rPr>
          <w:spacing w:val="-10"/>
        </w:rPr>
        <w:t>简化，以减少使用与保障费用，优化保障资源要求，减少使用的危险物资、产生的</w:t>
      </w:r>
      <w:r>
        <w:rPr>
          <w:spacing w:val="9"/>
        </w:rPr>
        <w:t xml:space="preserve"> </w:t>
      </w:r>
      <w:r>
        <w:rPr>
          <w:spacing w:val="-4"/>
        </w:rPr>
        <w:t>有害废料、排放到空气和水中的污染物对环境的影响，或提高战备完好性。</w:t>
      </w:r>
    </w:p>
    <w:p w14:paraId="655EA637">
      <w:pPr>
        <w:spacing w:before="31" w:line="221" w:lineRule="auto"/>
        <w:rPr>
          <w:rFonts w:ascii="黑体" w:hAnsi="黑体" w:eastAsia="黑体" w:cs="黑体"/>
          <w:sz w:val="24"/>
          <w:szCs w:val="24"/>
        </w:rPr>
      </w:pPr>
      <w:r>
        <w:rPr>
          <w:rFonts w:ascii="黑体" w:hAnsi="黑体" w:eastAsia="黑体" w:cs="黑体"/>
          <w:spacing w:val="28"/>
          <w:sz w:val="24"/>
          <w:szCs w:val="24"/>
        </w:rPr>
        <w:t>11</w:t>
      </w:r>
      <w:r>
        <w:rPr>
          <w:rFonts w:ascii="黑体" w:hAnsi="黑体" w:eastAsia="黑体" w:cs="黑体"/>
          <w:spacing w:val="47"/>
          <w:sz w:val="24"/>
          <w:szCs w:val="24"/>
        </w:rPr>
        <w:t xml:space="preserve">  </w:t>
      </w:r>
      <w:r>
        <w:rPr>
          <w:rFonts w:ascii="黑体" w:hAnsi="黑体" w:eastAsia="黑体" w:cs="黑体"/>
          <w:b/>
          <w:bCs/>
          <w:spacing w:val="28"/>
          <w:sz w:val="24"/>
          <w:szCs w:val="24"/>
        </w:rPr>
        <w:t>各种备选设计方案和解决途径</w:t>
      </w:r>
    </w:p>
    <w:p w14:paraId="3F97E293">
      <w:pPr>
        <w:pStyle w:val="2"/>
        <w:spacing w:before="98" w:line="272" w:lineRule="auto"/>
        <w:ind w:right="122" w:firstLine="550"/>
      </w:pPr>
      <w:r>
        <w:rPr>
          <w:spacing w:val="5"/>
        </w:rPr>
        <w:t>提出各种备选的设计方案和解决途径，以便优化与简化工作或将工作要求</w:t>
      </w:r>
      <w:r>
        <w:rPr>
          <w:spacing w:val="11"/>
        </w:rPr>
        <w:t xml:space="preserve"> </w:t>
      </w:r>
      <w:r>
        <w:t>限制在可接受程度。</w:t>
      </w:r>
    </w:p>
    <w:p w14:paraId="2ACD278A">
      <w:pPr>
        <w:spacing w:before="1" w:line="221" w:lineRule="auto"/>
        <w:rPr>
          <w:rFonts w:ascii="黑体" w:hAnsi="黑体" w:eastAsia="黑体" w:cs="黑体"/>
          <w:sz w:val="27"/>
          <w:szCs w:val="27"/>
        </w:rPr>
      </w:pPr>
      <w:r>
        <w:rPr>
          <w:rFonts w:ascii="黑体" w:hAnsi="黑体" w:eastAsia="黑体" w:cs="黑体"/>
          <w:spacing w:val="-8"/>
          <w:sz w:val="27"/>
          <w:szCs w:val="27"/>
        </w:rPr>
        <w:t>12</w:t>
      </w:r>
      <w:r>
        <w:rPr>
          <w:rFonts w:ascii="黑体" w:hAnsi="黑体" w:eastAsia="黑体" w:cs="黑体"/>
          <w:spacing w:val="21"/>
          <w:sz w:val="27"/>
          <w:szCs w:val="27"/>
        </w:rPr>
        <w:t xml:space="preserve">  </w:t>
      </w:r>
      <w:r>
        <w:rPr>
          <w:rFonts w:ascii="黑体" w:hAnsi="黑体" w:eastAsia="黑体" w:cs="黑体"/>
          <w:b/>
          <w:bCs/>
          <w:spacing w:val="-8"/>
          <w:sz w:val="27"/>
          <w:szCs w:val="27"/>
        </w:rPr>
        <w:t>运输性分析</w:t>
      </w:r>
    </w:p>
    <w:p w14:paraId="4F6F7D2B">
      <w:pPr>
        <w:pStyle w:val="2"/>
        <w:spacing w:before="112" w:line="276" w:lineRule="auto"/>
        <w:ind w:firstLine="550"/>
        <w:jc w:val="both"/>
      </w:pPr>
      <w:r>
        <w:rPr>
          <w:spacing w:val="5"/>
        </w:rPr>
        <w:t>对新研系统和设备及其分解运输的任何一部分进行运输性分析。如果超过</w:t>
      </w:r>
      <w:r>
        <w:rPr>
          <w:spacing w:val="4"/>
        </w:rPr>
        <w:t xml:space="preserve">  </w:t>
      </w:r>
      <w:r>
        <w:rPr>
          <w:spacing w:val="-3"/>
        </w:rPr>
        <w:t>了《铁路超限货物运输规则》及其他有关运输规定的一般要求，应将运输性的工</w:t>
      </w:r>
      <w:r>
        <w:rPr>
          <w:spacing w:val="9"/>
        </w:rPr>
        <w:t xml:space="preserve">  程特性记入保障性记录或经订购方批准的等效文件。当运输性方面有问题</w:t>
      </w:r>
      <w:r>
        <w:rPr>
          <w:spacing w:val="8"/>
        </w:rPr>
        <w:t>时，</w:t>
      </w:r>
      <w:r>
        <w:t xml:space="preserve"> </w:t>
      </w:r>
      <w:r>
        <w:rPr>
          <w:spacing w:val="3"/>
        </w:rPr>
        <w:t>应在制定备选设计方案时予以考虑。</w:t>
      </w:r>
    </w:p>
    <w:p w14:paraId="25A19795">
      <w:pPr>
        <w:spacing w:before="1" w:line="221" w:lineRule="auto"/>
        <w:rPr>
          <w:rFonts w:ascii="黑体" w:hAnsi="黑体" w:eastAsia="黑体" w:cs="黑体"/>
          <w:sz w:val="27"/>
          <w:szCs w:val="27"/>
        </w:rPr>
      </w:pPr>
      <w:r>
        <w:rPr>
          <w:rFonts w:ascii="黑体" w:hAnsi="黑体" w:eastAsia="黑体" w:cs="黑体"/>
          <w:spacing w:val="-3"/>
          <w:sz w:val="27"/>
          <w:szCs w:val="27"/>
        </w:rPr>
        <w:t>13</w:t>
      </w:r>
      <w:r>
        <w:rPr>
          <w:rFonts w:ascii="黑体" w:hAnsi="黑体" w:eastAsia="黑体" w:cs="黑体"/>
          <w:spacing w:val="22"/>
          <w:sz w:val="27"/>
          <w:szCs w:val="27"/>
        </w:rPr>
        <w:t xml:space="preserve">  </w:t>
      </w:r>
      <w:r>
        <w:rPr>
          <w:rFonts w:ascii="黑体" w:hAnsi="黑体" w:eastAsia="黑体" w:cs="黑体"/>
          <w:b/>
          <w:bCs/>
          <w:spacing w:val="-3"/>
          <w:sz w:val="27"/>
          <w:szCs w:val="27"/>
        </w:rPr>
        <w:t>供应技术文件</w:t>
      </w:r>
    </w:p>
    <w:p w14:paraId="3C96B292">
      <w:pPr>
        <w:pStyle w:val="2"/>
        <w:spacing w:before="89" w:line="219" w:lineRule="auto"/>
        <w:ind w:left="550"/>
      </w:pPr>
      <w:r>
        <w:rPr>
          <w:spacing w:val="4"/>
        </w:rPr>
        <w:t>对要求初始供应的保障资源编制供应技术文件。</w:t>
      </w:r>
    </w:p>
    <w:p w14:paraId="6736B475">
      <w:pPr>
        <w:spacing w:before="76" w:line="222" w:lineRule="auto"/>
        <w:rPr>
          <w:rFonts w:ascii="黑体" w:hAnsi="黑体" w:eastAsia="黑体" w:cs="黑体"/>
          <w:sz w:val="27"/>
          <w:szCs w:val="27"/>
        </w:rPr>
      </w:pPr>
      <w:r>
        <w:rPr>
          <w:rFonts w:ascii="黑体" w:hAnsi="黑体" w:eastAsia="黑体" w:cs="黑体"/>
          <w:spacing w:val="-3"/>
          <w:sz w:val="27"/>
          <w:szCs w:val="27"/>
        </w:rPr>
        <w:t>14</w:t>
      </w:r>
      <w:r>
        <w:rPr>
          <w:rFonts w:ascii="黑体" w:hAnsi="黑体" w:eastAsia="黑体" w:cs="黑体"/>
          <w:spacing w:val="21"/>
          <w:sz w:val="27"/>
          <w:szCs w:val="27"/>
        </w:rPr>
        <w:t xml:space="preserve">  </w:t>
      </w:r>
      <w:r>
        <w:rPr>
          <w:rFonts w:ascii="黑体" w:hAnsi="黑体" w:eastAsia="黑体" w:cs="黑体"/>
          <w:b/>
          <w:bCs/>
          <w:spacing w:val="-3"/>
          <w:sz w:val="27"/>
          <w:szCs w:val="27"/>
        </w:rPr>
        <w:t>确认关键信息</w:t>
      </w:r>
    </w:p>
    <w:p w14:paraId="4E225D35">
      <w:pPr>
        <w:pStyle w:val="2"/>
        <w:spacing w:before="117" w:line="275" w:lineRule="auto"/>
        <w:ind w:right="114" w:firstLine="550"/>
        <w:jc w:val="both"/>
      </w:pPr>
      <w:r>
        <w:rPr>
          <w:spacing w:val="5"/>
        </w:rPr>
        <w:t>通过对系统和设备样机的使用与维修，确认记入保障性分析记录或经订购</w:t>
      </w:r>
      <w:r>
        <w:rPr>
          <w:spacing w:val="12"/>
        </w:rPr>
        <w:t xml:space="preserve"> </w:t>
      </w:r>
      <w:r>
        <w:rPr>
          <w:spacing w:val="6"/>
        </w:rPr>
        <w:t>方批准的等效文件中的关键信息。确认工作</w:t>
      </w:r>
      <w:r>
        <w:rPr>
          <w:spacing w:val="5"/>
        </w:rPr>
        <w:t>应利用由工作分析确定的程序和资</w:t>
      </w:r>
      <w:r>
        <w:t xml:space="preserve"> </w:t>
      </w:r>
      <w:r>
        <w:rPr>
          <w:spacing w:val="2"/>
        </w:rPr>
        <w:t>源来进行。需要时，可加以修正。确认工作</w:t>
      </w:r>
      <w:r>
        <w:rPr>
          <w:spacing w:val="1"/>
        </w:rPr>
        <w:t>应同其他工程专业的演示及试验(如</w:t>
      </w:r>
      <w:r>
        <w:t xml:space="preserve"> </w:t>
      </w:r>
      <w:r>
        <w:rPr>
          <w:spacing w:val="-4"/>
        </w:rPr>
        <w:t>维修性演示、可靠性和耐久性试验)进行协调，以优</w:t>
      </w:r>
      <w:r>
        <w:rPr>
          <w:spacing w:val="-5"/>
        </w:rPr>
        <w:t>化确认时间和要求。</w:t>
      </w:r>
    </w:p>
    <w:p w14:paraId="2B59111D">
      <w:pPr>
        <w:spacing w:before="1" w:line="221" w:lineRule="auto"/>
        <w:rPr>
          <w:rFonts w:ascii="黑体" w:hAnsi="黑体" w:eastAsia="黑体" w:cs="黑体"/>
          <w:sz w:val="27"/>
          <w:szCs w:val="27"/>
        </w:rPr>
      </w:pPr>
      <w:r>
        <w:rPr>
          <w:rFonts w:ascii="黑体" w:hAnsi="黑体" w:eastAsia="黑体" w:cs="黑体"/>
          <w:spacing w:val="-1"/>
          <w:sz w:val="27"/>
          <w:szCs w:val="27"/>
        </w:rPr>
        <w:t>15</w:t>
      </w:r>
      <w:r>
        <w:rPr>
          <w:rFonts w:ascii="黑体" w:hAnsi="黑体" w:eastAsia="黑体" w:cs="黑体"/>
          <w:spacing w:val="19"/>
          <w:sz w:val="27"/>
          <w:szCs w:val="27"/>
        </w:rPr>
        <w:t xml:space="preserve">  </w:t>
      </w:r>
      <w:r>
        <w:rPr>
          <w:rFonts w:ascii="黑体" w:hAnsi="黑体" w:eastAsia="黑体" w:cs="黑体"/>
          <w:b/>
          <w:bCs/>
          <w:spacing w:val="-1"/>
          <w:sz w:val="27"/>
          <w:szCs w:val="27"/>
        </w:rPr>
        <w:t>保障性分析记录</w:t>
      </w:r>
    </w:p>
    <w:p w14:paraId="1B0D7BC7">
      <w:pPr>
        <w:pStyle w:val="2"/>
        <w:spacing w:before="97" w:line="283" w:lineRule="auto"/>
        <w:ind w:right="103" w:firstLine="550"/>
      </w:pPr>
      <w:r>
        <w:rPr>
          <w:spacing w:val="6"/>
        </w:rPr>
        <w:t>编写结果总结和报告，以满足订购方规定的综合保障文件要求。其内</w:t>
      </w:r>
      <w:r>
        <w:rPr>
          <w:spacing w:val="5"/>
        </w:rPr>
        <w:t>容应</w:t>
      </w:r>
      <w:r>
        <w:t xml:space="preserve"> </w:t>
      </w:r>
      <w:r>
        <w:rPr>
          <w:spacing w:val="4"/>
        </w:rPr>
        <w:t>包括分析过程中记在保障性分析记录中的全部有关数据。</w:t>
      </w:r>
    </w:p>
    <w:p w14:paraId="2AC0057A">
      <w:pPr>
        <w:spacing w:before="1" w:line="221" w:lineRule="auto"/>
        <w:outlineLvl w:val="3"/>
        <w:rPr>
          <w:rFonts w:ascii="黑体" w:hAnsi="黑体" w:eastAsia="黑体" w:cs="黑体"/>
          <w:sz w:val="24"/>
          <w:szCs w:val="24"/>
        </w:rPr>
      </w:pPr>
      <w:r>
        <w:rPr>
          <w:rFonts w:ascii="Arial" w:hAnsi="Arial" w:eastAsia="Arial" w:cs="Arial"/>
          <w:b/>
          <w:bCs/>
          <w:spacing w:val="23"/>
          <w:sz w:val="24"/>
          <w:szCs w:val="24"/>
        </w:rPr>
        <w:t xml:space="preserve">16    </w:t>
      </w:r>
      <w:r>
        <w:rPr>
          <w:rFonts w:ascii="黑体" w:hAnsi="黑体" w:eastAsia="黑体" w:cs="黑体"/>
          <w:b/>
          <w:bCs/>
          <w:spacing w:val="23"/>
          <w:sz w:val="24"/>
          <w:szCs w:val="24"/>
        </w:rPr>
        <w:t>保障性分析记录数据的修正</w:t>
      </w:r>
    </w:p>
    <w:p w14:paraId="1C4447A6">
      <w:pPr>
        <w:pStyle w:val="2"/>
        <w:spacing w:before="99" w:line="282" w:lineRule="auto"/>
        <w:ind w:right="139" w:firstLine="550"/>
      </w:pPr>
      <w:r>
        <w:rPr>
          <w:spacing w:val="14"/>
        </w:rPr>
        <w:t>当得到更好的信息或从其他工程专业工作的分析中</w:t>
      </w:r>
      <w:r>
        <w:rPr>
          <w:spacing w:val="13"/>
        </w:rPr>
        <w:t>得到可以利用的数据</w:t>
      </w:r>
      <w:r>
        <w:t xml:space="preserve"> </w:t>
      </w:r>
      <w:r>
        <w:rPr>
          <w:spacing w:val="-6"/>
        </w:rPr>
        <w:t>时，修正保障性分析记录里的数据。</w:t>
      </w:r>
    </w:p>
    <w:p w14:paraId="43708AFD">
      <w:pPr>
        <w:spacing w:line="245" w:lineRule="auto"/>
        <w:rPr>
          <w:rFonts w:ascii="Arial"/>
          <w:sz w:val="21"/>
        </w:rPr>
      </w:pPr>
    </w:p>
    <w:p w14:paraId="38FDBDFF">
      <w:pPr>
        <w:pStyle w:val="2"/>
        <w:spacing w:before="117" w:line="220" w:lineRule="auto"/>
        <w:ind w:left="2969"/>
        <w:outlineLvl w:val="1"/>
        <w:rPr>
          <w:sz w:val="36"/>
          <w:szCs w:val="36"/>
        </w:rPr>
      </w:pPr>
      <w:r>
        <w:rPr>
          <w:rFonts w:ascii="Times New Roman" w:hAnsi="Times New Roman" w:eastAsia="Times New Roman" w:cs="Times New Roman"/>
          <w:b/>
          <w:bCs/>
          <w:spacing w:val="-1"/>
          <w:sz w:val="36"/>
          <w:szCs w:val="36"/>
        </w:rPr>
        <w:t>10.17</w:t>
      </w:r>
      <w:r>
        <w:rPr>
          <w:rFonts w:ascii="Times New Roman" w:hAnsi="Times New Roman" w:eastAsia="Times New Roman" w:cs="Times New Roman"/>
          <w:b/>
          <w:bCs/>
          <w:spacing w:val="9"/>
          <w:sz w:val="36"/>
          <w:szCs w:val="36"/>
        </w:rPr>
        <w:t xml:space="preserve">     </w:t>
      </w:r>
      <w:r>
        <w:rPr>
          <w:b/>
          <w:bCs/>
          <w:spacing w:val="-1"/>
          <w:sz w:val="36"/>
          <w:szCs w:val="36"/>
        </w:rPr>
        <w:t>早期现场分析</w:t>
      </w:r>
    </w:p>
    <w:p w14:paraId="2B9383F5">
      <w:pPr>
        <w:spacing w:line="336" w:lineRule="auto"/>
        <w:rPr>
          <w:rFonts w:ascii="Arial"/>
          <w:sz w:val="21"/>
        </w:rPr>
      </w:pPr>
    </w:p>
    <w:p w14:paraId="2C9614AD">
      <w:pPr>
        <w:pStyle w:val="2"/>
        <w:spacing w:before="91" w:line="226" w:lineRule="auto"/>
        <w:ind w:left="550"/>
        <w:rPr>
          <w:rFonts w:ascii="楷体" w:hAnsi="楷体" w:eastAsia="楷体" w:cs="楷体"/>
          <w:sz w:val="28"/>
          <w:szCs w:val="28"/>
        </w:rPr>
      </w:pPr>
      <w:r>
        <w:rPr>
          <w:rFonts w:ascii="楷体" w:hAnsi="楷体" w:eastAsia="楷体" w:cs="楷体"/>
          <w:spacing w:val="-13"/>
          <w:sz w:val="28"/>
          <w:szCs w:val="28"/>
        </w:rPr>
        <w:t>按照</w:t>
      </w:r>
      <w:r>
        <w:rPr>
          <w:rFonts w:ascii="Times New Roman" w:hAnsi="Times New Roman" w:eastAsia="Times New Roman" w:cs="Times New Roman"/>
          <w:spacing w:val="-13"/>
          <w:sz w:val="28"/>
          <w:szCs w:val="28"/>
        </w:rPr>
        <w:t>GJB</w:t>
      </w:r>
      <w:r>
        <w:rPr>
          <w:rFonts w:ascii="Times New Roman" w:hAnsi="Times New Roman" w:eastAsia="Times New Roman" w:cs="Times New Roman"/>
          <w:spacing w:val="37"/>
          <w:sz w:val="28"/>
          <w:szCs w:val="28"/>
        </w:rPr>
        <w:t xml:space="preserve"> </w:t>
      </w:r>
      <w:r>
        <w:rPr>
          <w:rFonts w:ascii="Times New Roman" w:hAnsi="Times New Roman" w:eastAsia="Times New Roman" w:cs="Times New Roman"/>
          <w:spacing w:val="-13"/>
          <w:sz w:val="28"/>
          <w:szCs w:val="28"/>
        </w:rPr>
        <w:t>1371—1992</w:t>
      </w:r>
      <w:r>
        <w:rPr>
          <w:spacing w:val="-13"/>
          <w:sz w:val="28"/>
          <w:szCs w:val="28"/>
        </w:rPr>
        <w:t>《</w:t>
      </w:r>
      <w:r>
        <w:rPr>
          <w:rFonts w:ascii="楷体" w:hAnsi="楷体" w:eastAsia="楷体" w:cs="楷体"/>
          <w:spacing w:val="-13"/>
          <w:sz w:val="28"/>
          <w:szCs w:val="28"/>
        </w:rPr>
        <w:t>装备保障性分析》编写。</w:t>
      </w:r>
    </w:p>
    <w:p w14:paraId="503966AF">
      <w:pPr>
        <w:spacing w:line="226" w:lineRule="auto"/>
        <w:rPr>
          <w:rFonts w:ascii="楷体" w:hAnsi="楷体" w:eastAsia="楷体" w:cs="楷体"/>
          <w:sz w:val="28"/>
          <w:szCs w:val="28"/>
        </w:rPr>
        <w:sectPr>
          <w:footerReference r:id="rId526" w:type="default"/>
          <w:pgSz w:w="11910" w:h="17130"/>
          <w:pgMar w:top="400" w:right="834" w:bottom="1626" w:left="1589" w:header="0" w:footer="1437" w:gutter="0"/>
          <w:cols w:space="720" w:num="1"/>
        </w:sectPr>
      </w:pPr>
    </w:p>
    <w:p w14:paraId="4D7381D0">
      <w:pPr>
        <w:spacing w:line="298" w:lineRule="auto"/>
        <w:rPr>
          <w:rFonts w:ascii="Arial"/>
          <w:sz w:val="21"/>
        </w:rPr>
      </w:pPr>
    </w:p>
    <w:p w14:paraId="68D26608">
      <w:pPr>
        <w:spacing w:line="298" w:lineRule="auto"/>
        <w:rPr>
          <w:rFonts w:ascii="Arial"/>
          <w:sz w:val="21"/>
        </w:rPr>
      </w:pPr>
    </w:p>
    <w:p w14:paraId="2F5E8F63">
      <w:pPr>
        <w:spacing w:line="298" w:lineRule="auto"/>
        <w:rPr>
          <w:rFonts w:ascii="Arial"/>
          <w:sz w:val="21"/>
        </w:rPr>
      </w:pPr>
    </w:p>
    <w:p w14:paraId="509F1626">
      <w:pPr>
        <w:spacing w:before="88"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7875E29A">
      <w:pPr>
        <w:spacing w:before="8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3227D329">
      <w:pPr>
        <w:spacing w:before="94" w:line="221" w:lineRule="auto"/>
        <w:rPr>
          <w:rFonts w:ascii="黑体" w:hAnsi="黑体" w:eastAsia="黑体" w:cs="黑体"/>
          <w:sz w:val="27"/>
          <w:szCs w:val="27"/>
        </w:rPr>
      </w:pPr>
      <w:r>
        <w:rPr>
          <w:rFonts w:ascii="黑体" w:hAnsi="黑体" w:eastAsia="黑体" w:cs="黑体"/>
          <w:spacing w:val="1"/>
          <w:sz w:val="27"/>
          <w:szCs w:val="27"/>
        </w:rPr>
        <w:t xml:space="preserve">3  </w:t>
      </w:r>
      <w:r>
        <w:rPr>
          <w:rFonts w:ascii="黑体" w:hAnsi="黑体" w:eastAsia="黑体" w:cs="黑体"/>
          <w:b/>
          <w:bCs/>
          <w:spacing w:val="1"/>
          <w:sz w:val="27"/>
          <w:szCs w:val="27"/>
        </w:rPr>
        <w:t>新研系统和设备的影响评估</w:t>
      </w:r>
    </w:p>
    <w:p w14:paraId="5E51C5E7">
      <w:pPr>
        <w:pStyle w:val="2"/>
        <w:spacing w:before="49" w:line="291" w:lineRule="auto"/>
        <w:ind w:right="5" w:firstLine="570"/>
        <w:jc w:val="both"/>
      </w:pPr>
      <w:r>
        <w:rPr>
          <w:spacing w:val="1"/>
        </w:rPr>
        <w:t>评估新研系统和设备对现有和已计划的系统(如装备、供应系统、维修系统</w:t>
      </w:r>
      <w:r>
        <w:rPr>
          <w:spacing w:val="13"/>
        </w:rPr>
        <w:t xml:space="preserve"> </w:t>
      </w:r>
      <w:r>
        <w:rPr>
          <w:spacing w:val="1"/>
        </w:rPr>
        <w:t>及运输系统等)所产生的影响。此评估要检查对各方面的影响，如基地工作负荷</w:t>
      </w:r>
      <w:r>
        <w:rPr>
          <w:spacing w:val="3"/>
        </w:rPr>
        <w:t xml:space="preserve"> </w:t>
      </w:r>
      <w:r>
        <w:rPr>
          <w:spacing w:val="-2"/>
        </w:rPr>
        <w:t>及进度安排、备件供应与库存因素、测试设备的能力与可用</w:t>
      </w:r>
      <w:r>
        <w:rPr>
          <w:spacing w:val="-3"/>
        </w:rPr>
        <w:t>性、人员数量与技术</w:t>
      </w:r>
      <w:r>
        <w:t xml:space="preserve"> </w:t>
      </w:r>
      <w:r>
        <w:rPr>
          <w:spacing w:val="-3"/>
        </w:rPr>
        <w:t>等级、训练计划与要求、油料与润滑剂要求及运输系统，还应确定由于引入新研</w:t>
      </w:r>
      <w:r>
        <w:rPr>
          <w:spacing w:val="5"/>
        </w:rPr>
        <w:t xml:space="preserve"> </w:t>
      </w:r>
      <w:r>
        <w:rPr>
          <w:spacing w:val="2"/>
        </w:rPr>
        <w:t>系统和设备引起现有系统和设备保障的变化。</w:t>
      </w:r>
    </w:p>
    <w:p w14:paraId="1223D3CC">
      <w:pPr>
        <w:spacing w:before="1" w:line="220" w:lineRule="auto"/>
        <w:rPr>
          <w:rFonts w:ascii="黑体" w:hAnsi="黑体" w:eastAsia="黑体" w:cs="黑体"/>
          <w:sz w:val="27"/>
          <w:szCs w:val="27"/>
        </w:rPr>
      </w:pPr>
      <w:r>
        <w:rPr>
          <w:rFonts w:ascii="黑体" w:hAnsi="黑体" w:eastAsia="黑体" w:cs="黑体"/>
          <w:spacing w:val="4"/>
          <w:sz w:val="27"/>
          <w:szCs w:val="27"/>
        </w:rPr>
        <w:t xml:space="preserve">4  </w:t>
      </w:r>
      <w:r>
        <w:rPr>
          <w:rFonts w:ascii="黑体" w:hAnsi="黑体" w:eastAsia="黑体" w:cs="黑体"/>
          <w:b/>
          <w:bCs/>
          <w:spacing w:val="4"/>
          <w:sz w:val="27"/>
          <w:szCs w:val="27"/>
        </w:rPr>
        <w:t>所需人员数量与技术等级</w:t>
      </w:r>
    </w:p>
    <w:p w14:paraId="67482A2D">
      <w:pPr>
        <w:pStyle w:val="2"/>
        <w:spacing w:before="92" w:line="292" w:lineRule="auto"/>
        <w:ind w:right="7" w:firstLine="570"/>
      </w:pPr>
      <w:r>
        <w:rPr>
          <w:spacing w:val="6"/>
        </w:rPr>
        <w:t>分析现有的人力资源，确定新研系统和设备</w:t>
      </w:r>
      <w:r>
        <w:rPr>
          <w:spacing w:val="5"/>
        </w:rPr>
        <w:t>所需人员数量与技术等级。根</w:t>
      </w:r>
      <w:r>
        <w:t xml:space="preserve"> </w:t>
      </w:r>
      <w:r>
        <w:rPr>
          <w:spacing w:val="-1"/>
        </w:rPr>
        <w:t>据确定的人员数量与技术等级，确定对现有使用系统的影响。</w:t>
      </w:r>
    </w:p>
    <w:p w14:paraId="60507D3A">
      <w:pPr>
        <w:spacing w:before="2" w:line="220"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4"/>
          <w:sz w:val="27"/>
          <w:szCs w:val="27"/>
        </w:rPr>
        <w:t xml:space="preserve">   </w:t>
      </w:r>
      <w:r>
        <w:rPr>
          <w:rFonts w:ascii="黑体" w:hAnsi="黑体" w:eastAsia="黑体" w:cs="黑体"/>
          <w:b/>
          <w:bCs/>
          <w:sz w:val="27"/>
          <w:szCs w:val="27"/>
        </w:rPr>
        <w:t>未获得必要数量保障资源的影响</w:t>
      </w:r>
    </w:p>
    <w:p w14:paraId="34312ACE">
      <w:pPr>
        <w:pStyle w:val="2"/>
        <w:spacing w:before="79" w:line="290" w:lineRule="auto"/>
        <w:ind w:firstLine="570"/>
      </w:pPr>
      <w:r>
        <w:rPr>
          <w:spacing w:val="6"/>
        </w:rPr>
        <w:t>评估未获得必要数量的保障资源对新研系统战备完好性的影</w:t>
      </w:r>
      <w:r>
        <w:rPr>
          <w:spacing w:val="5"/>
        </w:rPr>
        <w:t>响。此项工作</w:t>
      </w:r>
      <w:r>
        <w:t xml:space="preserve"> </w:t>
      </w:r>
      <w:r>
        <w:rPr>
          <w:spacing w:val="-5"/>
        </w:rPr>
        <w:t>不应重复工作项目“备选方案的评价和权衡分析”中所进行的分析。</w:t>
      </w:r>
    </w:p>
    <w:p w14:paraId="6D8B06A0">
      <w:pPr>
        <w:spacing w:before="1" w:line="221" w:lineRule="auto"/>
        <w:outlineLvl w:val="3"/>
        <w:rPr>
          <w:rFonts w:ascii="黑体" w:hAnsi="黑体" w:eastAsia="黑体" w:cs="黑体"/>
          <w:sz w:val="27"/>
          <w:szCs w:val="27"/>
        </w:rPr>
      </w:pPr>
      <w:r>
        <w:rPr>
          <w:rFonts w:ascii="Arial" w:hAnsi="Arial" w:eastAsia="Arial" w:cs="Arial"/>
          <w:b/>
          <w:bCs/>
          <w:spacing w:val="-3"/>
          <w:sz w:val="27"/>
          <w:szCs w:val="27"/>
        </w:rPr>
        <w:t>6</w:t>
      </w:r>
      <w:r>
        <w:rPr>
          <w:rFonts w:ascii="Arial" w:hAnsi="Arial" w:eastAsia="Arial" w:cs="Arial"/>
          <w:b/>
          <w:bCs/>
          <w:spacing w:val="21"/>
          <w:sz w:val="27"/>
          <w:szCs w:val="27"/>
        </w:rPr>
        <w:t xml:space="preserve">   </w:t>
      </w:r>
      <w:r>
        <w:rPr>
          <w:rFonts w:ascii="黑体" w:hAnsi="黑体" w:eastAsia="黑体" w:cs="黑体"/>
          <w:b/>
          <w:bCs/>
          <w:spacing w:val="-3"/>
          <w:sz w:val="27"/>
          <w:szCs w:val="27"/>
        </w:rPr>
        <w:t>生存性分析</w:t>
      </w:r>
    </w:p>
    <w:p w14:paraId="4475DC4A">
      <w:pPr>
        <w:pStyle w:val="2"/>
        <w:spacing w:before="92" w:line="285" w:lineRule="auto"/>
        <w:ind w:right="3" w:firstLine="570"/>
        <w:jc w:val="both"/>
      </w:pPr>
      <w:r>
        <w:rPr>
          <w:spacing w:val="6"/>
        </w:rPr>
        <w:t>进行生存性分析，以便根据作战使用确定在保障资</w:t>
      </w:r>
      <w:r>
        <w:rPr>
          <w:spacing w:val="5"/>
        </w:rPr>
        <w:t>源要求方面的变化。该</w:t>
      </w:r>
      <w:r>
        <w:t xml:space="preserve"> </w:t>
      </w:r>
      <w:r>
        <w:rPr>
          <w:spacing w:val="1"/>
        </w:rPr>
        <w:t>分析应依据：威慑评估、预定的作战过程概况(为某一系统设计的典型作战条件</w:t>
      </w:r>
      <w:r>
        <w:t xml:space="preserve"> </w:t>
      </w:r>
      <w:r>
        <w:rPr>
          <w:spacing w:val="-6"/>
        </w:rPr>
        <w:t>下行动过程的概要)、系统和设备的易损性、战损修</w:t>
      </w:r>
      <w:r>
        <w:rPr>
          <w:spacing w:val="-7"/>
        </w:rPr>
        <w:t>理能力、战斗备品。此项工作</w:t>
      </w:r>
      <w:r>
        <w:t xml:space="preserve"> </w:t>
      </w:r>
      <w:r>
        <w:rPr>
          <w:spacing w:val="-5"/>
        </w:rPr>
        <w:t>不应重复工作项目“备选方案的评价和权衡分析”中所进行的分析。</w:t>
      </w:r>
    </w:p>
    <w:p w14:paraId="6FFD7DB7">
      <w:pPr>
        <w:spacing w:before="16" w:line="221" w:lineRule="auto"/>
        <w:outlineLvl w:val="3"/>
        <w:rPr>
          <w:rFonts w:ascii="黑体" w:hAnsi="黑体" w:eastAsia="黑体" w:cs="黑体"/>
          <w:sz w:val="27"/>
          <w:szCs w:val="27"/>
        </w:rPr>
      </w:pPr>
      <w:r>
        <w:rPr>
          <w:rFonts w:ascii="Arial" w:hAnsi="Arial" w:eastAsia="Arial" w:cs="Arial"/>
          <w:b/>
          <w:bCs/>
          <w:spacing w:val="2"/>
          <w:sz w:val="27"/>
          <w:szCs w:val="27"/>
        </w:rPr>
        <w:t>7</w:t>
      </w:r>
      <w:r>
        <w:rPr>
          <w:rFonts w:ascii="Arial" w:hAnsi="Arial" w:eastAsia="Arial" w:cs="Arial"/>
          <w:b/>
          <w:bCs/>
          <w:spacing w:val="20"/>
          <w:sz w:val="27"/>
          <w:szCs w:val="27"/>
        </w:rPr>
        <w:t xml:space="preserve">   </w:t>
      </w:r>
      <w:r>
        <w:rPr>
          <w:rFonts w:ascii="黑体" w:hAnsi="黑体" w:eastAsia="黑体" w:cs="黑体"/>
          <w:b/>
          <w:bCs/>
          <w:spacing w:val="2"/>
          <w:sz w:val="27"/>
          <w:szCs w:val="27"/>
        </w:rPr>
        <w:t>确定作战环境所需的基本保障资源要求及来源</w:t>
      </w:r>
    </w:p>
    <w:p w14:paraId="2202D479">
      <w:pPr>
        <w:pStyle w:val="2"/>
        <w:spacing w:before="101" w:line="219" w:lineRule="auto"/>
        <w:ind w:left="570"/>
      </w:pPr>
      <w:r>
        <w:rPr>
          <w:spacing w:val="4"/>
        </w:rPr>
        <w:t>确定在作战环境所需的基本保障资源要求及资源的来源。</w:t>
      </w:r>
    </w:p>
    <w:p w14:paraId="1494DE46">
      <w:pPr>
        <w:spacing w:before="116" w:line="222" w:lineRule="auto"/>
        <w:rPr>
          <w:rFonts w:ascii="黑体" w:hAnsi="黑体" w:eastAsia="黑体" w:cs="黑体"/>
          <w:sz w:val="27"/>
          <w:szCs w:val="27"/>
        </w:rPr>
      </w:pPr>
      <w:r>
        <w:rPr>
          <w:rFonts w:ascii="黑体" w:hAnsi="黑体" w:eastAsia="黑体" w:cs="黑体"/>
          <w:spacing w:val="3"/>
          <w:sz w:val="27"/>
          <w:szCs w:val="27"/>
        </w:rPr>
        <w:t xml:space="preserve">8  </w:t>
      </w:r>
      <w:r>
        <w:rPr>
          <w:rFonts w:ascii="黑体" w:hAnsi="黑体" w:eastAsia="黑体" w:cs="黑体"/>
          <w:b/>
          <w:bCs/>
          <w:spacing w:val="3"/>
          <w:sz w:val="27"/>
          <w:szCs w:val="27"/>
        </w:rPr>
        <w:t>解决评估和分析中问题的计划措施</w:t>
      </w:r>
    </w:p>
    <w:p w14:paraId="6CF6DBBE">
      <w:pPr>
        <w:pStyle w:val="2"/>
        <w:spacing w:before="108" w:line="218" w:lineRule="auto"/>
        <w:ind w:left="570"/>
      </w:pPr>
      <w:r>
        <w:rPr>
          <w:spacing w:val="-1"/>
        </w:rPr>
        <w:t>为解决上述评估和分析中所暴露的问题而制定的计划、措施。</w:t>
      </w:r>
    </w:p>
    <w:p w14:paraId="72A0BC31">
      <w:pPr>
        <w:spacing w:line="358" w:lineRule="auto"/>
        <w:rPr>
          <w:rFonts w:ascii="Arial"/>
          <w:sz w:val="21"/>
        </w:rPr>
      </w:pPr>
    </w:p>
    <w:p w14:paraId="7D5DB39A">
      <w:pPr>
        <w:pStyle w:val="2"/>
        <w:spacing w:before="118" w:line="219" w:lineRule="auto"/>
        <w:ind w:left="2799"/>
        <w:rPr>
          <w:sz w:val="36"/>
          <w:szCs w:val="36"/>
        </w:rPr>
      </w:pPr>
      <w:r>
        <w:rPr>
          <w:spacing w:val="1"/>
          <w:sz w:val="36"/>
          <w:szCs w:val="36"/>
        </w:rPr>
        <w:t>10.18</w:t>
      </w:r>
      <w:r>
        <w:rPr>
          <w:spacing w:val="26"/>
          <w:sz w:val="36"/>
          <w:szCs w:val="36"/>
        </w:rPr>
        <w:t xml:space="preserve">  </w:t>
      </w:r>
      <w:r>
        <w:rPr>
          <w:spacing w:val="1"/>
          <w:sz w:val="36"/>
          <w:szCs w:val="36"/>
        </w:rPr>
        <w:t>停产后保障分析</w:t>
      </w:r>
    </w:p>
    <w:p w14:paraId="09218BB8">
      <w:pPr>
        <w:spacing w:line="323" w:lineRule="auto"/>
        <w:rPr>
          <w:rFonts w:ascii="Arial"/>
          <w:sz w:val="21"/>
        </w:rPr>
      </w:pPr>
    </w:p>
    <w:p w14:paraId="045D6C42">
      <w:pPr>
        <w:pStyle w:val="2"/>
        <w:spacing w:before="91" w:line="226" w:lineRule="auto"/>
        <w:ind w:left="57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GJB1371—1992</w:t>
      </w:r>
      <w:r>
        <w:rPr>
          <w:spacing w:val="-9"/>
          <w:sz w:val="28"/>
          <w:szCs w:val="28"/>
        </w:rPr>
        <w:t>《</w:t>
      </w:r>
      <w:r>
        <w:rPr>
          <w:rFonts w:ascii="楷体" w:hAnsi="楷体" w:eastAsia="楷体" w:cs="楷体"/>
          <w:spacing w:val="-9"/>
          <w:sz w:val="28"/>
          <w:szCs w:val="28"/>
        </w:rPr>
        <w:t>装备保障性分析》编写。</w:t>
      </w:r>
    </w:p>
    <w:p w14:paraId="6EE2BB49">
      <w:pPr>
        <w:spacing w:before="136"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35"/>
          <w:sz w:val="25"/>
          <w:szCs w:val="25"/>
        </w:rPr>
        <w:t xml:space="preserve">  </w:t>
      </w:r>
      <w:r>
        <w:rPr>
          <w:rFonts w:ascii="黑体" w:hAnsi="黑体" w:eastAsia="黑体" w:cs="黑体"/>
          <w:b/>
          <w:bCs/>
          <w:spacing w:val="3"/>
          <w:sz w:val="25"/>
          <w:szCs w:val="25"/>
        </w:rPr>
        <w:t>范围</w:t>
      </w:r>
    </w:p>
    <w:p w14:paraId="76E550FA">
      <w:pPr>
        <w:spacing w:before="106" w:line="222" w:lineRule="auto"/>
        <w:rPr>
          <w:rFonts w:ascii="黑体" w:hAnsi="黑体" w:eastAsia="黑体" w:cs="黑体"/>
          <w:sz w:val="25"/>
          <w:szCs w:val="25"/>
        </w:rPr>
      </w:pPr>
      <w:r>
        <w:rPr>
          <w:rFonts w:ascii="Arial" w:hAnsi="Arial" w:eastAsia="Arial" w:cs="Arial"/>
          <w:b/>
          <w:bCs/>
          <w:spacing w:val="13"/>
          <w:sz w:val="25"/>
          <w:szCs w:val="25"/>
        </w:rPr>
        <w:t>2</w:t>
      </w:r>
      <w:r>
        <w:rPr>
          <w:rFonts w:ascii="Arial" w:hAnsi="Arial" w:eastAsia="Arial" w:cs="Arial"/>
          <w:b/>
          <w:bCs/>
          <w:spacing w:val="3"/>
          <w:sz w:val="25"/>
          <w:szCs w:val="25"/>
        </w:rPr>
        <w:t xml:space="preserve">    </w:t>
      </w:r>
      <w:r>
        <w:rPr>
          <w:rFonts w:ascii="黑体" w:hAnsi="黑体" w:eastAsia="黑体" w:cs="黑体"/>
          <w:b/>
          <w:bCs/>
          <w:spacing w:val="13"/>
          <w:sz w:val="25"/>
          <w:szCs w:val="25"/>
        </w:rPr>
        <w:t>引用文件</w:t>
      </w:r>
    </w:p>
    <w:p w14:paraId="57186832">
      <w:pPr>
        <w:spacing w:before="119" w:line="222" w:lineRule="auto"/>
        <w:rPr>
          <w:rFonts w:ascii="黑体" w:hAnsi="黑体" w:eastAsia="黑体" w:cs="黑体"/>
          <w:sz w:val="25"/>
          <w:szCs w:val="25"/>
        </w:rPr>
      </w:pPr>
      <w:r>
        <w:rPr>
          <w:rFonts w:ascii="Arial" w:hAnsi="Arial" w:eastAsia="Arial" w:cs="Arial"/>
          <w:b/>
          <w:bCs/>
          <w:spacing w:val="17"/>
          <w:sz w:val="25"/>
          <w:szCs w:val="25"/>
        </w:rPr>
        <w:t>3</w:t>
      </w:r>
      <w:r>
        <w:rPr>
          <w:rFonts w:ascii="Arial" w:hAnsi="Arial" w:eastAsia="Arial" w:cs="Arial"/>
          <w:b/>
          <w:bCs/>
          <w:spacing w:val="5"/>
          <w:sz w:val="25"/>
          <w:szCs w:val="25"/>
        </w:rPr>
        <w:t xml:space="preserve">    </w:t>
      </w:r>
      <w:r>
        <w:rPr>
          <w:rFonts w:ascii="黑体" w:hAnsi="黑体" w:eastAsia="黑体" w:cs="黑体"/>
          <w:b/>
          <w:bCs/>
          <w:spacing w:val="17"/>
          <w:sz w:val="25"/>
          <w:szCs w:val="25"/>
        </w:rPr>
        <w:t>预定使用寿命评估</w:t>
      </w:r>
    </w:p>
    <w:p w14:paraId="10DBB59F">
      <w:pPr>
        <w:pStyle w:val="2"/>
        <w:spacing w:before="122" w:line="218" w:lineRule="auto"/>
        <w:ind w:left="570"/>
        <w:rPr>
          <w:sz w:val="24"/>
          <w:szCs w:val="24"/>
        </w:rPr>
      </w:pPr>
      <w:r>
        <w:rPr>
          <w:spacing w:val="33"/>
          <w:sz w:val="24"/>
          <w:szCs w:val="24"/>
        </w:rPr>
        <w:t>评估新研系统和设备的预定使用寿命。</w:t>
      </w:r>
    </w:p>
    <w:p w14:paraId="7C425919">
      <w:pPr>
        <w:spacing w:before="164" w:line="222" w:lineRule="auto"/>
        <w:rPr>
          <w:rFonts w:ascii="黑体" w:hAnsi="黑体" w:eastAsia="黑体" w:cs="黑体"/>
          <w:sz w:val="24"/>
          <w:szCs w:val="24"/>
        </w:rPr>
      </w:pPr>
      <w:r>
        <w:rPr>
          <w:rFonts w:ascii="黑体" w:hAnsi="黑体" w:eastAsia="黑体" w:cs="黑体"/>
          <w:spacing w:val="29"/>
          <w:sz w:val="24"/>
          <w:szCs w:val="24"/>
        </w:rPr>
        <w:t>4</w:t>
      </w:r>
      <w:r>
        <w:rPr>
          <w:rFonts w:ascii="黑体" w:hAnsi="黑体" w:eastAsia="黑体" w:cs="黑体"/>
          <w:spacing w:val="33"/>
          <w:sz w:val="24"/>
          <w:szCs w:val="24"/>
        </w:rPr>
        <w:t xml:space="preserve">  </w:t>
      </w:r>
      <w:r>
        <w:rPr>
          <w:rFonts w:ascii="黑体" w:hAnsi="黑体" w:eastAsia="黑体" w:cs="黑体"/>
          <w:b/>
          <w:bCs/>
          <w:spacing w:val="29"/>
          <w:sz w:val="24"/>
          <w:szCs w:val="24"/>
        </w:rPr>
        <w:t>供应短缺时可能出现的保障问题</w:t>
      </w:r>
    </w:p>
    <w:p w14:paraId="165634A3">
      <w:pPr>
        <w:pStyle w:val="2"/>
        <w:spacing w:before="116" w:line="219" w:lineRule="auto"/>
        <w:ind w:left="570"/>
      </w:pPr>
      <w:r>
        <w:rPr>
          <w:spacing w:val="4"/>
        </w:rPr>
        <w:t>确定关闭生产线后可能因供应短缺将出现的系统和设备保障问题。</w:t>
      </w:r>
    </w:p>
    <w:p w14:paraId="003F95C7">
      <w:pPr>
        <w:spacing w:line="219" w:lineRule="auto"/>
        <w:sectPr>
          <w:footerReference r:id="rId527" w:type="default"/>
          <w:pgSz w:w="11910" w:h="17130"/>
          <w:pgMar w:top="400" w:right="1612" w:bottom="1813" w:left="900" w:header="0" w:footer="1615" w:gutter="0"/>
          <w:cols w:space="720" w:num="1"/>
        </w:sectPr>
      </w:pPr>
    </w:p>
    <w:p w14:paraId="56008FF5">
      <w:pPr>
        <w:spacing w:line="260" w:lineRule="auto"/>
        <w:rPr>
          <w:rFonts w:ascii="Arial"/>
          <w:sz w:val="21"/>
        </w:rPr>
      </w:pPr>
    </w:p>
    <w:p w14:paraId="25F08C7F">
      <w:pPr>
        <w:spacing w:line="260" w:lineRule="auto"/>
        <w:rPr>
          <w:rFonts w:ascii="Arial"/>
          <w:sz w:val="21"/>
        </w:rPr>
      </w:pPr>
    </w:p>
    <w:p w14:paraId="5E066096">
      <w:pPr>
        <w:spacing w:line="260" w:lineRule="auto"/>
        <w:rPr>
          <w:rFonts w:ascii="Arial"/>
          <w:sz w:val="21"/>
        </w:rPr>
      </w:pPr>
    </w:p>
    <w:p w14:paraId="50C3D7E0">
      <w:pPr>
        <w:spacing w:line="260" w:lineRule="auto"/>
        <w:rPr>
          <w:rFonts w:ascii="Arial"/>
          <w:sz w:val="21"/>
        </w:rPr>
      </w:pPr>
    </w:p>
    <w:p w14:paraId="3A8CC0E4">
      <w:pPr>
        <w:spacing w:before="78" w:line="222" w:lineRule="auto"/>
        <w:rPr>
          <w:rFonts w:ascii="黑体" w:hAnsi="黑体" w:eastAsia="黑体" w:cs="黑体"/>
          <w:sz w:val="24"/>
          <w:szCs w:val="24"/>
        </w:rPr>
      </w:pPr>
      <w:r>
        <w:rPr>
          <w:rFonts w:ascii="黑体" w:hAnsi="黑体" w:eastAsia="黑体" w:cs="黑体"/>
          <w:spacing w:val="28"/>
          <w:sz w:val="24"/>
          <w:szCs w:val="24"/>
        </w:rPr>
        <w:t>5</w:t>
      </w:r>
      <w:r>
        <w:rPr>
          <w:rFonts w:ascii="黑体" w:hAnsi="黑体" w:eastAsia="黑体" w:cs="黑体"/>
          <w:spacing w:val="33"/>
          <w:sz w:val="24"/>
          <w:szCs w:val="24"/>
        </w:rPr>
        <w:t xml:space="preserve">  </w:t>
      </w:r>
      <w:r>
        <w:rPr>
          <w:rFonts w:ascii="黑体" w:hAnsi="黑体" w:eastAsia="黑体" w:cs="黑体"/>
          <w:b/>
          <w:bCs/>
          <w:spacing w:val="28"/>
          <w:sz w:val="24"/>
          <w:szCs w:val="24"/>
        </w:rPr>
        <w:t>预计保障问题的处置</w:t>
      </w:r>
    </w:p>
    <w:p w14:paraId="5D3D88A2">
      <w:pPr>
        <w:pStyle w:val="2"/>
        <w:spacing w:before="87" w:line="219" w:lineRule="auto"/>
        <w:ind w:left="570"/>
      </w:pPr>
      <w:r>
        <w:rPr>
          <w:spacing w:val="4"/>
        </w:rPr>
        <w:t>分析提出系统和设备在预定剩余寿命期内预计保障问题的解决办法。</w:t>
      </w:r>
    </w:p>
    <w:p w14:paraId="119928CA">
      <w:pPr>
        <w:spacing w:before="133" w:line="221"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5"/>
          <w:sz w:val="27"/>
          <w:szCs w:val="27"/>
        </w:rPr>
        <w:t xml:space="preserve">  </w:t>
      </w:r>
      <w:r>
        <w:rPr>
          <w:rFonts w:ascii="黑体" w:hAnsi="黑体" w:eastAsia="黑体" w:cs="黑体"/>
          <w:b/>
          <w:bCs/>
          <w:spacing w:val="1"/>
          <w:sz w:val="27"/>
          <w:szCs w:val="27"/>
        </w:rPr>
        <w:t>有效保障计划</w:t>
      </w:r>
    </w:p>
    <w:p w14:paraId="230D72C6">
      <w:pPr>
        <w:pStyle w:val="2"/>
        <w:spacing w:before="90" w:line="320" w:lineRule="auto"/>
        <w:ind w:right="89" w:firstLine="570"/>
        <w:rPr>
          <w:sz w:val="25"/>
          <w:szCs w:val="25"/>
        </w:rPr>
      </w:pPr>
      <w:r>
        <w:rPr>
          <w:spacing w:val="26"/>
          <w:sz w:val="25"/>
          <w:szCs w:val="25"/>
        </w:rPr>
        <w:t>制定系统和设备预定剩余寿命期中进行有效保障的计划。该计划至</w:t>
      </w:r>
      <w:r>
        <w:rPr>
          <w:spacing w:val="25"/>
          <w:sz w:val="25"/>
          <w:szCs w:val="25"/>
        </w:rPr>
        <w:t>少应提</w:t>
      </w:r>
      <w:r>
        <w:rPr>
          <w:sz w:val="25"/>
          <w:szCs w:val="25"/>
        </w:rPr>
        <w:t xml:space="preserve"> </w:t>
      </w:r>
      <w:r>
        <w:rPr>
          <w:spacing w:val="14"/>
          <w:sz w:val="25"/>
          <w:szCs w:val="25"/>
        </w:rPr>
        <w:t>出制造与修理部门、资料管理、供应管理和技术状态管理等要</w:t>
      </w:r>
      <w:r>
        <w:rPr>
          <w:spacing w:val="13"/>
          <w:sz w:val="25"/>
          <w:szCs w:val="25"/>
        </w:rPr>
        <w:t>求。</w:t>
      </w:r>
    </w:p>
    <w:p w14:paraId="5DAE488B">
      <w:pPr>
        <w:spacing w:before="1" w:line="221" w:lineRule="auto"/>
        <w:rPr>
          <w:rFonts w:ascii="黑体" w:hAnsi="黑体" w:eastAsia="黑体" w:cs="黑体"/>
          <w:sz w:val="24"/>
          <w:szCs w:val="24"/>
        </w:rPr>
      </w:pPr>
      <w:r>
        <w:rPr>
          <w:rFonts w:ascii="黑体" w:hAnsi="黑体" w:eastAsia="黑体" w:cs="黑体"/>
          <w:spacing w:val="22"/>
          <w:sz w:val="24"/>
          <w:szCs w:val="24"/>
        </w:rPr>
        <w:t>7</w:t>
      </w:r>
      <w:r>
        <w:rPr>
          <w:rFonts w:ascii="黑体" w:hAnsi="黑体" w:eastAsia="黑体" w:cs="黑体"/>
          <w:spacing w:val="37"/>
          <w:sz w:val="24"/>
          <w:szCs w:val="24"/>
        </w:rPr>
        <w:t xml:space="preserve">  </w:t>
      </w:r>
      <w:r>
        <w:rPr>
          <w:rFonts w:ascii="黑体" w:hAnsi="黑体" w:eastAsia="黑体" w:cs="黑体"/>
          <w:b/>
          <w:bCs/>
          <w:spacing w:val="22"/>
          <w:sz w:val="24"/>
          <w:szCs w:val="24"/>
        </w:rPr>
        <w:t>经费预算</w:t>
      </w:r>
    </w:p>
    <w:p w14:paraId="01858236">
      <w:pPr>
        <w:pStyle w:val="2"/>
        <w:spacing w:before="95" w:line="218" w:lineRule="auto"/>
        <w:ind w:left="570"/>
      </w:pPr>
      <w:r>
        <w:rPr>
          <w:spacing w:val="3"/>
        </w:rPr>
        <w:t>估算执行上述有效保障计划的经费。</w:t>
      </w:r>
    </w:p>
    <w:p w14:paraId="4C1D869D">
      <w:pPr>
        <w:spacing w:line="363" w:lineRule="auto"/>
        <w:rPr>
          <w:rFonts w:ascii="Arial"/>
          <w:sz w:val="21"/>
        </w:rPr>
      </w:pPr>
    </w:p>
    <w:p w14:paraId="06793A9E">
      <w:pPr>
        <w:pStyle w:val="2"/>
        <w:spacing w:before="121" w:line="223" w:lineRule="auto"/>
        <w:ind w:left="3159"/>
        <w:rPr>
          <w:rFonts w:ascii="仿宋" w:hAnsi="仿宋" w:eastAsia="仿宋" w:cs="仿宋"/>
          <w:sz w:val="37"/>
          <w:szCs w:val="37"/>
        </w:rPr>
      </w:pPr>
      <w:r>
        <w:rPr>
          <w:spacing w:val="-11"/>
          <w:sz w:val="37"/>
          <w:szCs w:val="37"/>
        </w:rPr>
        <w:t>10.19  保 障 方</w:t>
      </w:r>
      <w:r>
        <w:rPr>
          <w:spacing w:val="-98"/>
          <w:sz w:val="37"/>
          <w:szCs w:val="37"/>
        </w:rPr>
        <w:t xml:space="preserve"> </w:t>
      </w:r>
      <w:r>
        <w:rPr>
          <w:rFonts w:ascii="仿宋" w:hAnsi="仿宋" w:eastAsia="仿宋" w:cs="仿宋"/>
          <w:spacing w:val="-11"/>
          <w:sz w:val="37"/>
          <w:szCs w:val="37"/>
        </w:rPr>
        <w:t>案</w:t>
      </w:r>
    </w:p>
    <w:p w14:paraId="689CF04D">
      <w:pPr>
        <w:spacing w:line="314" w:lineRule="auto"/>
        <w:rPr>
          <w:rFonts w:ascii="Arial"/>
          <w:sz w:val="21"/>
        </w:rPr>
      </w:pPr>
    </w:p>
    <w:p w14:paraId="1A7C16A9">
      <w:pPr>
        <w:pStyle w:val="2"/>
        <w:spacing w:before="91" w:line="225" w:lineRule="auto"/>
        <w:ind w:left="57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GJB/Z</w:t>
      </w:r>
      <w:r>
        <w:rPr>
          <w:rFonts w:ascii="Times New Roman" w:hAnsi="Times New Roman" w:eastAsia="Times New Roman" w:cs="Times New Roman"/>
          <w:spacing w:val="31"/>
          <w:sz w:val="28"/>
          <w:szCs w:val="28"/>
        </w:rPr>
        <w:t xml:space="preserve"> </w:t>
      </w:r>
      <w:r>
        <w:rPr>
          <w:rFonts w:ascii="Times New Roman" w:hAnsi="Times New Roman" w:eastAsia="Times New Roman" w:cs="Times New Roman"/>
          <w:spacing w:val="-9"/>
          <w:sz w:val="28"/>
          <w:szCs w:val="28"/>
        </w:rPr>
        <w:t>151—2007</w:t>
      </w:r>
      <w:r>
        <w:rPr>
          <w:spacing w:val="-9"/>
          <w:sz w:val="28"/>
          <w:szCs w:val="28"/>
        </w:rPr>
        <w:t>《</w:t>
      </w:r>
      <w:r>
        <w:rPr>
          <w:rFonts w:ascii="楷体" w:hAnsi="楷体" w:eastAsia="楷体" w:cs="楷体"/>
          <w:spacing w:val="-9"/>
          <w:sz w:val="28"/>
          <w:szCs w:val="28"/>
        </w:rPr>
        <w:t>装备保障方案和保障计划编制指南》编</w:t>
      </w:r>
      <w:r>
        <w:rPr>
          <w:rFonts w:ascii="楷体" w:hAnsi="楷体" w:eastAsia="楷体" w:cs="楷体"/>
          <w:spacing w:val="-10"/>
          <w:sz w:val="28"/>
          <w:szCs w:val="28"/>
        </w:rPr>
        <w:t>写。</w:t>
      </w:r>
    </w:p>
    <w:p w14:paraId="79A9DE03">
      <w:pPr>
        <w:spacing w:before="79"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1D96C545">
      <w:pPr>
        <w:spacing w:before="10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44243FC1">
      <w:pPr>
        <w:spacing w:before="95" w:line="221" w:lineRule="auto"/>
        <w:rPr>
          <w:rFonts w:ascii="黑体" w:hAnsi="黑体" w:eastAsia="黑体" w:cs="黑体"/>
          <w:sz w:val="27"/>
          <w:szCs w:val="27"/>
        </w:rPr>
      </w:pPr>
      <w:r>
        <w:rPr>
          <w:rFonts w:ascii="Arial" w:hAnsi="Arial" w:eastAsia="Arial" w:cs="Arial"/>
          <w:b/>
          <w:bCs/>
          <w:sz w:val="27"/>
          <w:szCs w:val="27"/>
        </w:rPr>
        <w:t>3</w:t>
      </w:r>
      <w:r>
        <w:rPr>
          <w:rFonts w:ascii="Arial" w:hAnsi="Arial" w:eastAsia="Arial" w:cs="Arial"/>
          <w:b/>
          <w:bCs/>
          <w:spacing w:val="20"/>
          <w:sz w:val="27"/>
          <w:szCs w:val="27"/>
        </w:rPr>
        <w:t xml:space="preserve">   </w:t>
      </w:r>
      <w:r>
        <w:rPr>
          <w:rFonts w:ascii="黑体" w:hAnsi="黑体" w:eastAsia="黑体" w:cs="黑体"/>
          <w:b/>
          <w:bCs/>
          <w:sz w:val="27"/>
          <w:szCs w:val="27"/>
        </w:rPr>
        <w:t>装备总体技术方案描述</w:t>
      </w:r>
    </w:p>
    <w:p w14:paraId="2676B5C7">
      <w:pPr>
        <w:pStyle w:val="2"/>
        <w:spacing w:before="103" w:line="296" w:lineRule="auto"/>
        <w:ind w:right="109" w:firstLine="570"/>
      </w:pPr>
      <w:r>
        <w:rPr>
          <w:spacing w:val="-3"/>
        </w:rPr>
        <w:t>说明系统组成和工作原理、主要战术技术指标、结构设计方案、电路设</w:t>
      </w:r>
      <w:r>
        <w:rPr>
          <w:spacing w:val="-4"/>
        </w:rPr>
        <w:t>计方</w:t>
      </w:r>
      <w:r>
        <w:t xml:space="preserve"> </w:t>
      </w:r>
      <w:r>
        <w:rPr>
          <w:spacing w:val="-3"/>
        </w:rPr>
        <w:t>案、可靠性维修性测试性保障性安全性设计方案等。</w:t>
      </w:r>
    </w:p>
    <w:p w14:paraId="6E56EB48">
      <w:pPr>
        <w:spacing w:before="27" w:line="221" w:lineRule="auto"/>
        <w:rPr>
          <w:rFonts w:ascii="黑体" w:hAnsi="黑体" w:eastAsia="黑体" w:cs="黑体"/>
          <w:sz w:val="24"/>
          <w:szCs w:val="24"/>
        </w:rPr>
      </w:pPr>
      <w:r>
        <w:rPr>
          <w:rFonts w:ascii="黑体" w:hAnsi="黑体" w:eastAsia="黑体" w:cs="黑体"/>
          <w:spacing w:val="26"/>
          <w:sz w:val="24"/>
          <w:szCs w:val="24"/>
        </w:rPr>
        <w:t>4</w:t>
      </w:r>
      <w:r>
        <w:rPr>
          <w:rFonts w:ascii="黑体" w:hAnsi="黑体" w:eastAsia="黑体" w:cs="黑体"/>
          <w:spacing w:val="34"/>
          <w:sz w:val="24"/>
          <w:szCs w:val="24"/>
        </w:rPr>
        <w:t xml:space="preserve">  </w:t>
      </w:r>
      <w:r>
        <w:rPr>
          <w:rFonts w:ascii="黑体" w:hAnsi="黑体" w:eastAsia="黑体" w:cs="黑体"/>
          <w:b/>
          <w:bCs/>
          <w:spacing w:val="26"/>
          <w:sz w:val="24"/>
          <w:szCs w:val="24"/>
        </w:rPr>
        <w:t>装备使用方案</w:t>
      </w:r>
    </w:p>
    <w:p w14:paraId="4712E641">
      <w:pPr>
        <w:pStyle w:val="2"/>
        <w:spacing w:before="98" w:line="284" w:lineRule="auto"/>
        <w:ind w:right="88" w:firstLine="570"/>
        <w:jc w:val="both"/>
      </w:pPr>
      <w:r>
        <w:rPr>
          <w:spacing w:val="-10"/>
        </w:rPr>
        <w:t>简要说明：装备预定的部署数量、地域、服役期限；装</w:t>
      </w:r>
      <w:r>
        <w:rPr>
          <w:spacing w:val="-11"/>
        </w:rPr>
        <w:t>备预定投入使用后使用</w:t>
      </w:r>
      <w:r>
        <w:t xml:space="preserve"> </w:t>
      </w:r>
      <w:r>
        <w:rPr>
          <w:spacing w:val="-3"/>
        </w:rPr>
        <w:t>部队的编成和装备的编配；装备任务剖面、寿命剖面；使用装备的作战部队保障</w:t>
      </w:r>
      <w:r>
        <w:rPr>
          <w:spacing w:val="15"/>
        </w:rPr>
        <w:t xml:space="preserve"> </w:t>
      </w:r>
      <w:r>
        <w:rPr>
          <w:spacing w:val="-3"/>
        </w:rPr>
        <w:t>工作的指导原则；平时和战时的装备保障要求。</w:t>
      </w:r>
    </w:p>
    <w:p w14:paraId="2570BD69">
      <w:pPr>
        <w:spacing w:before="1" w:line="220" w:lineRule="auto"/>
        <w:rPr>
          <w:rFonts w:ascii="黑体" w:hAnsi="黑体" w:eastAsia="黑体" w:cs="黑体"/>
          <w:sz w:val="27"/>
          <w:szCs w:val="27"/>
        </w:rPr>
      </w:pPr>
      <w:r>
        <w:rPr>
          <w:rFonts w:ascii="黑体" w:hAnsi="黑体" w:eastAsia="黑体" w:cs="黑体"/>
          <w:sz w:val="27"/>
          <w:szCs w:val="27"/>
        </w:rPr>
        <w:t>5</w:t>
      </w:r>
      <w:r>
        <w:rPr>
          <w:rFonts w:ascii="黑体" w:hAnsi="黑体" w:eastAsia="黑体" w:cs="黑体"/>
          <w:spacing w:val="12"/>
          <w:sz w:val="27"/>
          <w:szCs w:val="27"/>
        </w:rPr>
        <w:t xml:space="preserve">  </w:t>
      </w:r>
      <w:r>
        <w:rPr>
          <w:rFonts w:ascii="黑体" w:hAnsi="黑体" w:eastAsia="黑体" w:cs="黑体"/>
          <w:b/>
          <w:bCs/>
          <w:sz w:val="27"/>
          <w:szCs w:val="27"/>
        </w:rPr>
        <w:t>装备保障方案</w:t>
      </w:r>
    </w:p>
    <w:p w14:paraId="525C407F">
      <w:pPr>
        <w:spacing w:before="137" w:line="222" w:lineRule="auto"/>
        <w:rPr>
          <w:rFonts w:ascii="黑体" w:hAnsi="黑体" w:eastAsia="黑体" w:cs="黑体"/>
          <w:sz w:val="24"/>
          <w:szCs w:val="24"/>
        </w:rPr>
      </w:pPr>
      <w:r>
        <w:rPr>
          <w:rFonts w:ascii="黑体" w:hAnsi="黑体" w:eastAsia="黑体" w:cs="黑体"/>
          <w:spacing w:val="23"/>
          <w:sz w:val="24"/>
          <w:szCs w:val="24"/>
        </w:rPr>
        <w:t>5.1</w:t>
      </w:r>
      <w:r>
        <w:rPr>
          <w:rFonts w:ascii="黑体" w:hAnsi="黑体" w:eastAsia="黑体" w:cs="黑体"/>
          <w:spacing w:val="62"/>
          <w:sz w:val="24"/>
          <w:szCs w:val="24"/>
        </w:rPr>
        <w:t xml:space="preserve">  </w:t>
      </w:r>
      <w:r>
        <w:rPr>
          <w:rFonts w:ascii="黑体" w:hAnsi="黑体" w:eastAsia="黑体" w:cs="黑体"/>
          <w:b/>
          <w:bCs/>
          <w:spacing w:val="23"/>
          <w:sz w:val="24"/>
          <w:szCs w:val="24"/>
        </w:rPr>
        <w:t>使用前后的准备保障</w:t>
      </w:r>
    </w:p>
    <w:p w14:paraId="3901B9EF">
      <w:pPr>
        <w:pStyle w:val="2"/>
        <w:spacing w:before="106" w:line="274" w:lineRule="auto"/>
        <w:ind w:right="107" w:firstLine="570"/>
      </w:pPr>
      <w:r>
        <w:rPr>
          <w:spacing w:val="-3"/>
        </w:rPr>
        <w:t>在明确装备动用前准备和动用后保障的内容、起迄时刻的基础上，拟定装备</w:t>
      </w:r>
      <w:r>
        <w:t xml:space="preserve"> </w:t>
      </w:r>
      <w:r>
        <w:rPr>
          <w:spacing w:val="-6"/>
        </w:rPr>
        <w:t>动用前后的保障方案，其内容包括：</w:t>
      </w:r>
    </w:p>
    <w:p w14:paraId="5C82E284">
      <w:pPr>
        <w:pStyle w:val="2"/>
        <w:spacing w:before="1" w:line="263" w:lineRule="auto"/>
        <w:ind w:firstLine="570"/>
      </w:pPr>
      <w:r>
        <w:rPr>
          <w:rFonts w:ascii="Times New Roman" w:hAnsi="Times New Roman" w:eastAsia="Times New Roman" w:cs="Times New Roman"/>
          <w:spacing w:val="-2"/>
        </w:rPr>
        <w:t>a)</w:t>
      </w:r>
      <w:r>
        <w:rPr>
          <w:rFonts w:ascii="Times New Roman" w:hAnsi="Times New Roman" w:eastAsia="Times New Roman" w:cs="Times New Roman"/>
          <w:spacing w:val="72"/>
        </w:rPr>
        <w:t xml:space="preserve"> </w:t>
      </w:r>
      <w:r>
        <w:rPr>
          <w:spacing w:val="-2"/>
        </w:rPr>
        <w:t>装备在贮存(封存)、维修、训练等状态下，转入动用前准备的工作方式、</w:t>
      </w:r>
      <w:r>
        <w:t xml:space="preserve"> </w:t>
      </w:r>
      <w:r>
        <w:rPr>
          <w:spacing w:val="-3"/>
        </w:rPr>
        <w:t>内容和时限；</w:t>
      </w:r>
    </w:p>
    <w:p w14:paraId="32674101">
      <w:pPr>
        <w:pStyle w:val="2"/>
        <w:spacing w:before="88" w:line="260" w:lineRule="auto"/>
        <w:ind w:right="109" w:firstLine="570"/>
      </w:pPr>
      <w:r>
        <w:rPr>
          <w:rFonts w:ascii="Times New Roman" w:hAnsi="Times New Roman" w:eastAsia="Times New Roman" w:cs="Times New Roman"/>
          <w:spacing w:val="-9"/>
        </w:rPr>
        <w:t xml:space="preserve">b)  </w:t>
      </w:r>
      <w:r>
        <w:rPr>
          <w:spacing w:val="-9"/>
        </w:rPr>
        <w:t>装备工作状态转换，即由行驶、运输等状态向待命或作业(飞行、航行、发</w:t>
      </w:r>
      <w:r>
        <w:rPr>
          <w:spacing w:val="8"/>
        </w:rPr>
        <w:t xml:space="preserve"> </w:t>
      </w:r>
      <w:r>
        <w:rPr>
          <w:spacing w:val="-11"/>
        </w:rPr>
        <w:t>射、布设)状态的转换，展开和撤收的方式、工作内容和时限；</w:t>
      </w:r>
    </w:p>
    <w:p w14:paraId="2ACEDB52">
      <w:pPr>
        <w:pStyle w:val="2"/>
        <w:spacing w:before="60" w:line="261" w:lineRule="auto"/>
        <w:ind w:right="83" w:firstLine="570"/>
      </w:pPr>
      <w:r>
        <w:rPr>
          <w:rFonts w:ascii="Times New Roman" w:hAnsi="Times New Roman" w:eastAsia="Times New Roman" w:cs="Times New Roman"/>
          <w:spacing w:val="3"/>
        </w:rPr>
        <w:t xml:space="preserve">c)  </w:t>
      </w:r>
      <w:r>
        <w:rPr>
          <w:spacing w:val="3"/>
        </w:rPr>
        <w:t>能源(包括燃料、供电、供气等)加注充填及蓄电池充电的方式、工作内</w:t>
      </w:r>
      <w:r>
        <w:rPr>
          <w:spacing w:val="13"/>
        </w:rPr>
        <w:t xml:space="preserve"> </w:t>
      </w:r>
      <w:r>
        <w:rPr>
          <w:spacing w:val="-25"/>
        </w:rPr>
        <w:t>容、时限；</w:t>
      </w:r>
    </w:p>
    <w:p w14:paraId="34E17A2F">
      <w:pPr>
        <w:pStyle w:val="2"/>
        <w:spacing w:before="87" w:line="212" w:lineRule="auto"/>
        <w:ind w:left="570"/>
      </w:pPr>
      <w:r>
        <w:rPr>
          <w:rFonts w:ascii="Times New Roman" w:hAnsi="Times New Roman" w:eastAsia="Times New Roman" w:cs="Times New Roman"/>
          <w:spacing w:val="-11"/>
        </w:rPr>
        <w:t xml:space="preserve">d)  </w:t>
      </w:r>
      <w:r>
        <w:rPr>
          <w:spacing w:val="-11"/>
        </w:rPr>
        <w:t>冷却液、润滑脂加注充填的方式、工作内容、时限；</w:t>
      </w:r>
    </w:p>
    <w:p w14:paraId="0CC7B2CE">
      <w:pPr>
        <w:pStyle w:val="2"/>
        <w:spacing w:before="90" w:line="212" w:lineRule="auto"/>
        <w:ind w:left="570"/>
      </w:pPr>
      <w:r>
        <w:rPr>
          <w:rFonts w:ascii="Times New Roman" w:hAnsi="Times New Roman" w:eastAsia="Times New Roman" w:cs="Times New Roman"/>
          <w:spacing w:val="-9"/>
        </w:rPr>
        <w:t>e)</w:t>
      </w:r>
      <w:r>
        <w:rPr>
          <w:rFonts w:ascii="Times New Roman" w:hAnsi="Times New Roman" w:eastAsia="Times New Roman" w:cs="Times New Roman"/>
          <w:spacing w:val="74"/>
          <w:w w:val="101"/>
        </w:rPr>
        <w:t xml:space="preserve"> </w:t>
      </w:r>
      <w:r>
        <w:rPr>
          <w:spacing w:val="-9"/>
        </w:rPr>
        <w:t>弹药补充和加挂的方式、工作内容、时限；</w:t>
      </w:r>
    </w:p>
    <w:p w14:paraId="7E127374">
      <w:pPr>
        <w:pStyle w:val="2"/>
        <w:spacing w:before="110" w:line="212" w:lineRule="auto"/>
        <w:ind w:left="570"/>
      </w:pPr>
      <w:r>
        <w:rPr>
          <w:rFonts w:ascii="Times New Roman" w:hAnsi="Times New Roman" w:eastAsia="Times New Roman" w:cs="Times New Roman"/>
          <w:spacing w:val="4"/>
        </w:rPr>
        <w:t>f)</w:t>
      </w:r>
      <w:r>
        <w:rPr>
          <w:rFonts w:ascii="Times New Roman" w:hAnsi="Times New Roman" w:eastAsia="Times New Roman" w:cs="Times New Roman"/>
          <w:spacing w:val="62"/>
          <w:w w:val="101"/>
        </w:rPr>
        <w:t xml:space="preserve"> </w:t>
      </w:r>
      <w:r>
        <w:rPr>
          <w:spacing w:val="4"/>
        </w:rPr>
        <w:t>装备动用前后的其他准备工作。</w:t>
      </w:r>
    </w:p>
    <w:p w14:paraId="10892628">
      <w:pPr>
        <w:spacing w:line="212" w:lineRule="auto"/>
        <w:sectPr>
          <w:footerReference r:id="rId528" w:type="default"/>
          <w:pgSz w:w="11910" w:h="17130"/>
          <w:pgMar w:top="400" w:right="749" w:bottom="1666" w:left="1670" w:header="0" w:footer="1477" w:gutter="0"/>
          <w:cols w:space="720" w:num="1"/>
        </w:sectPr>
      </w:pPr>
    </w:p>
    <w:p w14:paraId="51B51EB7">
      <w:pPr>
        <w:spacing w:line="304" w:lineRule="auto"/>
        <w:rPr>
          <w:rFonts w:ascii="Arial"/>
          <w:sz w:val="21"/>
        </w:rPr>
      </w:pPr>
    </w:p>
    <w:p w14:paraId="641675E2">
      <w:pPr>
        <w:spacing w:line="304" w:lineRule="auto"/>
        <w:rPr>
          <w:rFonts w:ascii="Arial"/>
          <w:sz w:val="21"/>
        </w:rPr>
      </w:pPr>
    </w:p>
    <w:p w14:paraId="324C7949">
      <w:pPr>
        <w:spacing w:line="304" w:lineRule="auto"/>
        <w:rPr>
          <w:rFonts w:ascii="Arial"/>
          <w:sz w:val="21"/>
        </w:rPr>
      </w:pPr>
    </w:p>
    <w:p w14:paraId="1812EFC2">
      <w:pPr>
        <w:spacing w:before="87" w:line="222" w:lineRule="auto"/>
        <w:rPr>
          <w:rFonts w:ascii="黑体" w:hAnsi="黑体" w:eastAsia="黑体" w:cs="黑体"/>
          <w:sz w:val="27"/>
          <w:szCs w:val="27"/>
        </w:rPr>
      </w:pPr>
      <w:r>
        <w:rPr>
          <w:rFonts w:ascii="黑体" w:hAnsi="黑体" w:eastAsia="黑体" w:cs="黑体"/>
          <w:sz w:val="27"/>
          <w:szCs w:val="27"/>
        </w:rPr>
        <w:t xml:space="preserve">5.2  </w:t>
      </w:r>
      <w:r>
        <w:rPr>
          <w:rFonts w:ascii="黑体" w:hAnsi="黑体" w:eastAsia="黑体" w:cs="黑体"/>
          <w:b/>
          <w:bCs/>
          <w:sz w:val="27"/>
          <w:szCs w:val="27"/>
        </w:rPr>
        <w:t>使用过程中的保障</w:t>
      </w:r>
    </w:p>
    <w:p w14:paraId="4FA0309C">
      <w:pPr>
        <w:pStyle w:val="2"/>
        <w:spacing w:before="58" w:line="301" w:lineRule="auto"/>
        <w:ind w:right="10" w:firstLine="550"/>
      </w:pPr>
      <w:r>
        <w:rPr>
          <w:spacing w:val="-3"/>
        </w:rPr>
        <w:t>在明确装备动用的内容、工作程序的基础上，拟定装备动用过程中的保障方</w:t>
      </w:r>
      <w:r>
        <w:rPr>
          <w:spacing w:val="8"/>
        </w:rPr>
        <w:t xml:space="preserve"> </w:t>
      </w:r>
      <w:r>
        <w:rPr>
          <w:spacing w:val="-13"/>
        </w:rPr>
        <w:t>案，其内容包括：</w:t>
      </w:r>
    </w:p>
    <w:p w14:paraId="2E6AE648">
      <w:pPr>
        <w:pStyle w:val="2"/>
        <w:spacing w:line="219" w:lineRule="auto"/>
        <w:ind w:left="550"/>
        <w:rPr>
          <w:sz w:val="24"/>
          <w:szCs w:val="24"/>
        </w:rPr>
      </w:pPr>
      <w:r>
        <w:rPr>
          <w:rFonts w:ascii="Times New Roman" w:hAnsi="Times New Roman" w:eastAsia="Times New Roman" w:cs="Times New Roman"/>
          <w:spacing w:val="26"/>
          <w:sz w:val="24"/>
          <w:szCs w:val="24"/>
        </w:rPr>
        <w:t>a</w:t>
      </w:r>
      <w:r>
        <w:rPr>
          <w:rFonts w:ascii="Times New Roman" w:hAnsi="Times New Roman" w:eastAsia="Times New Roman" w:cs="Times New Roman"/>
          <w:spacing w:val="-2"/>
          <w:sz w:val="24"/>
          <w:szCs w:val="24"/>
        </w:rPr>
        <w:t xml:space="preserve"> </w:t>
      </w:r>
      <w:r>
        <w:rPr>
          <w:spacing w:val="26"/>
          <w:sz w:val="24"/>
          <w:szCs w:val="24"/>
        </w:rPr>
        <w:t>)</w:t>
      </w:r>
      <w:r>
        <w:rPr>
          <w:spacing w:val="-40"/>
          <w:sz w:val="24"/>
          <w:szCs w:val="24"/>
        </w:rPr>
        <w:t xml:space="preserve"> </w:t>
      </w:r>
      <w:r>
        <w:rPr>
          <w:spacing w:val="26"/>
          <w:sz w:val="24"/>
          <w:szCs w:val="24"/>
        </w:rPr>
        <w:t>装备动用期间的维护保养；</w:t>
      </w:r>
    </w:p>
    <w:p w14:paraId="38DA94B7">
      <w:pPr>
        <w:pStyle w:val="2"/>
        <w:spacing w:before="66" w:line="212" w:lineRule="auto"/>
        <w:ind w:left="550"/>
      </w:pPr>
      <w:r>
        <w:rPr>
          <w:rFonts w:ascii="Times New Roman" w:hAnsi="Times New Roman" w:eastAsia="Times New Roman" w:cs="Times New Roman"/>
          <w:spacing w:val="-2"/>
        </w:rPr>
        <w:t xml:space="preserve">b)  </w:t>
      </w:r>
      <w:r>
        <w:rPr>
          <w:spacing w:val="-2"/>
        </w:rPr>
        <w:t>装备动用过程中的测试、技术状态判定和决策；</w:t>
      </w:r>
    </w:p>
    <w:p w14:paraId="35CA7CC4">
      <w:pPr>
        <w:pStyle w:val="2"/>
        <w:spacing w:before="90" w:line="212" w:lineRule="auto"/>
        <w:ind w:left="550"/>
      </w:pPr>
      <w:r>
        <w:rPr>
          <w:rFonts w:ascii="Times New Roman" w:hAnsi="Times New Roman" w:eastAsia="Times New Roman" w:cs="Times New Roman"/>
          <w:spacing w:val="2"/>
        </w:rPr>
        <w:t xml:space="preserve">c)  </w:t>
      </w:r>
      <w:r>
        <w:rPr>
          <w:spacing w:val="2"/>
        </w:rPr>
        <w:t>应急处置等。</w:t>
      </w:r>
    </w:p>
    <w:p w14:paraId="4E9359D9">
      <w:pPr>
        <w:spacing w:before="124" w:line="221" w:lineRule="auto"/>
        <w:outlineLvl w:val="3"/>
        <w:rPr>
          <w:rFonts w:ascii="黑体" w:hAnsi="黑体" w:eastAsia="黑体" w:cs="黑体"/>
          <w:sz w:val="27"/>
          <w:szCs w:val="27"/>
        </w:rPr>
      </w:pPr>
      <w:r>
        <w:rPr>
          <w:rFonts w:ascii="Arial" w:hAnsi="Arial" w:eastAsia="Arial" w:cs="Arial"/>
          <w:b/>
          <w:bCs/>
          <w:spacing w:val="-1"/>
          <w:sz w:val="27"/>
          <w:szCs w:val="27"/>
        </w:rPr>
        <w:t>6</w:t>
      </w:r>
      <w:r>
        <w:rPr>
          <w:rFonts w:ascii="Arial" w:hAnsi="Arial" w:eastAsia="Arial" w:cs="Arial"/>
          <w:b/>
          <w:bCs/>
          <w:spacing w:val="23"/>
          <w:w w:val="101"/>
          <w:sz w:val="27"/>
          <w:szCs w:val="27"/>
        </w:rPr>
        <w:t xml:space="preserve">   </w:t>
      </w:r>
      <w:r>
        <w:rPr>
          <w:rFonts w:ascii="黑体" w:hAnsi="黑体" w:eastAsia="黑体" w:cs="黑体"/>
          <w:b/>
          <w:bCs/>
          <w:spacing w:val="-1"/>
          <w:sz w:val="27"/>
          <w:szCs w:val="27"/>
        </w:rPr>
        <w:t>维修保障方案</w:t>
      </w:r>
    </w:p>
    <w:p w14:paraId="2AD7EB8F">
      <w:pPr>
        <w:spacing w:before="77" w:line="222" w:lineRule="auto"/>
        <w:rPr>
          <w:rFonts w:ascii="黑体" w:hAnsi="黑体" w:eastAsia="黑体" w:cs="黑体"/>
          <w:sz w:val="27"/>
          <w:szCs w:val="27"/>
        </w:rPr>
      </w:pPr>
      <w:r>
        <w:rPr>
          <w:rFonts w:ascii="黑体" w:hAnsi="黑体" w:eastAsia="黑体" w:cs="黑体"/>
          <w:spacing w:val="-1"/>
          <w:sz w:val="27"/>
          <w:szCs w:val="27"/>
        </w:rPr>
        <w:t>6.1</w:t>
      </w:r>
      <w:r>
        <w:rPr>
          <w:rFonts w:ascii="黑体" w:hAnsi="黑体" w:eastAsia="黑体" w:cs="黑体"/>
          <w:spacing w:val="17"/>
          <w:sz w:val="27"/>
          <w:szCs w:val="27"/>
        </w:rPr>
        <w:t xml:space="preserve">  </w:t>
      </w:r>
      <w:r>
        <w:rPr>
          <w:rFonts w:ascii="黑体" w:hAnsi="黑体" w:eastAsia="黑体" w:cs="黑体"/>
          <w:b/>
          <w:bCs/>
          <w:spacing w:val="-1"/>
          <w:sz w:val="27"/>
          <w:szCs w:val="27"/>
        </w:rPr>
        <w:t>维修保障体制</w:t>
      </w:r>
    </w:p>
    <w:p w14:paraId="253DA4F5">
      <w:pPr>
        <w:pStyle w:val="2"/>
        <w:spacing w:before="91" w:line="219" w:lineRule="auto"/>
        <w:ind w:left="550"/>
      </w:pPr>
      <w:r>
        <w:rPr>
          <w:spacing w:val="1"/>
        </w:rPr>
        <w:t>维修保障体制包括：</w:t>
      </w:r>
    </w:p>
    <w:p w14:paraId="710AC7DF">
      <w:pPr>
        <w:pStyle w:val="2"/>
        <w:spacing w:before="92" w:line="212" w:lineRule="auto"/>
        <w:ind w:left="550"/>
        <w:rPr>
          <w:sz w:val="24"/>
          <w:szCs w:val="24"/>
        </w:rPr>
      </w:pPr>
      <w:r>
        <w:rPr>
          <w:rFonts w:ascii="Times New Roman" w:hAnsi="Times New Roman" w:eastAsia="Times New Roman" w:cs="Times New Roman"/>
          <w:spacing w:val="17"/>
          <w:sz w:val="24"/>
          <w:szCs w:val="24"/>
        </w:rPr>
        <w:t>a)</w:t>
      </w:r>
      <w:r>
        <w:rPr>
          <w:rFonts w:ascii="Times New Roman" w:hAnsi="Times New Roman" w:eastAsia="Times New Roman" w:cs="Times New Roman"/>
          <w:spacing w:val="2"/>
          <w:sz w:val="24"/>
          <w:szCs w:val="24"/>
        </w:rPr>
        <w:t xml:space="preserve">   </w:t>
      </w:r>
      <w:r>
        <w:rPr>
          <w:spacing w:val="17"/>
          <w:sz w:val="24"/>
          <w:szCs w:val="24"/>
        </w:rPr>
        <w:t>机构设置、隶属关系、管理权限及运行机制；</w:t>
      </w:r>
    </w:p>
    <w:p w14:paraId="06D7118E">
      <w:pPr>
        <w:pStyle w:val="2"/>
        <w:spacing w:before="102" w:line="212" w:lineRule="auto"/>
        <w:ind w:left="550"/>
      </w:pPr>
      <w:r>
        <w:rPr>
          <w:rFonts w:ascii="Times New Roman" w:hAnsi="Times New Roman" w:eastAsia="Times New Roman" w:cs="Times New Roman"/>
          <w:spacing w:val="3"/>
        </w:rPr>
        <w:t xml:space="preserve">b)  </w:t>
      </w:r>
      <w:r>
        <w:rPr>
          <w:spacing w:val="3"/>
        </w:rPr>
        <w:t>维修级别划分及其任务范围；</w:t>
      </w:r>
    </w:p>
    <w:p w14:paraId="0A1F7BFA">
      <w:pPr>
        <w:pStyle w:val="2"/>
        <w:spacing w:before="100" w:line="212" w:lineRule="auto"/>
        <w:ind w:left="550"/>
      </w:pPr>
      <w:r>
        <w:rPr>
          <w:rFonts w:ascii="Times New Roman" w:hAnsi="Times New Roman" w:eastAsia="Times New Roman" w:cs="Times New Roman"/>
          <w:spacing w:val="3"/>
        </w:rPr>
        <w:t xml:space="preserve">c)  </w:t>
      </w:r>
      <w:r>
        <w:rPr>
          <w:spacing w:val="3"/>
        </w:rPr>
        <w:t>战时保障力量构成和保障机构设置。</w:t>
      </w:r>
    </w:p>
    <w:p w14:paraId="7D7467DF">
      <w:pPr>
        <w:spacing w:before="105" w:line="222" w:lineRule="auto"/>
        <w:rPr>
          <w:rFonts w:ascii="黑体" w:hAnsi="黑体" w:eastAsia="黑体" w:cs="黑体"/>
          <w:sz w:val="27"/>
          <w:szCs w:val="27"/>
        </w:rPr>
      </w:pPr>
      <w:r>
        <w:rPr>
          <w:rFonts w:ascii="黑体" w:hAnsi="黑体" w:eastAsia="黑体" w:cs="黑体"/>
          <w:sz w:val="27"/>
          <w:szCs w:val="27"/>
        </w:rPr>
        <w:t>6.2</w:t>
      </w:r>
      <w:r>
        <w:rPr>
          <w:rFonts w:ascii="黑体" w:hAnsi="黑体" w:eastAsia="黑体" w:cs="黑体"/>
          <w:spacing w:val="17"/>
          <w:sz w:val="27"/>
          <w:szCs w:val="27"/>
        </w:rPr>
        <w:t xml:space="preserve">  </w:t>
      </w:r>
      <w:r>
        <w:rPr>
          <w:rFonts w:ascii="黑体" w:hAnsi="黑体" w:eastAsia="黑体" w:cs="黑体"/>
          <w:b/>
          <w:bCs/>
          <w:sz w:val="27"/>
          <w:szCs w:val="27"/>
        </w:rPr>
        <w:t>维修保障策略</w:t>
      </w:r>
    </w:p>
    <w:p w14:paraId="3BF7C043">
      <w:pPr>
        <w:pStyle w:val="2"/>
        <w:spacing w:before="91" w:line="219" w:lineRule="auto"/>
        <w:ind w:left="550"/>
      </w:pPr>
      <w:r>
        <w:rPr>
          <w:spacing w:val="1"/>
        </w:rPr>
        <w:t>维修保障策略应包括：</w:t>
      </w:r>
    </w:p>
    <w:p w14:paraId="522A3CF4">
      <w:pPr>
        <w:pStyle w:val="2"/>
        <w:spacing w:before="70" w:line="253" w:lineRule="auto"/>
        <w:ind w:right="5" w:firstLine="550"/>
      </w:pPr>
      <w:r>
        <w:rPr>
          <w:rFonts w:ascii="Times New Roman" w:hAnsi="Times New Roman" w:eastAsia="Times New Roman" w:cs="Times New Roman"/>
          <w:spacing w:val="-8"/>
        </w:rPr>
        <w:t xml:space="preserve">a)  </w:t>
      </w:r>
      <w:r>
        <w:rPr>
          <w:spacing w:val="-8"/>
        </w:rPr>
        <w:t>拟采用的维修工作类型(保养、操作人员监控、功能检测、定时拆修、定时</w:t>
      </w:r>
      <w:r>
        <w:t xml:space="preserve"> </w:t>
      </w:r>
      <w:r>
        <w:rPr>
          <w:spacing w:val="-4"/>
        </w:rPr>
        <w:t>报废等)或其组合及组合原则，并说明运作方式；</w:t>
      </w:r>
    </w:p>
    <w:p w14:paraId="1ED863A0">
      <w:pPr>
        <w:pStyle w:val="2"/>
        <w:spacing w:before="101" w:line="212" w:lineRule="auto"/>
        <w:ind w:left="550"/>
        <w:rPr>
          <w:sz w:val="24"/>
          <w:szCs w:val="24"/>
        </w:rPr>
      </w:pPr>
      <w:r>
        <w:rPr>
          <w:rFonts w:ascii="Times New Roman" w:hAnsi="Times New Roman" w:eastAsia="Times New Roman" w:cs="Times New Roman"/>
          <w:spacing w:val="29"/>
          <w:sz w:val="24"/>
          <w:szCs w:val="24"/>
        </w:rPr>
        <w:t xml:space="preserve">b)  </w:t>
      </w:r>
      <w:r>
        <w:rPr>
          <w:spacing w:val="29"/>
          <w:sz w:val="24"/>
          <w:szCs w:val="24"/>
        </w:rPr>
        <w:t>装备的维修等级及各等级的预定修理深度；</w:t>
      </w:r>
    </w:p>
    <w:p w14:paraId="7AFC38B4">
      <w:pPr>
        <w:pStyle w:val="2"/>
        <w:spacing w:before="92" w:line="212" w:lineRule="auto"/>
        <w:ind w:left="550"/>
      </w:pPr>
      <w:r>
        <w:rPr>
          <w:rFonts w:ascii="Times New Roman" w:hAnsi="Times New Roman" w:eastAsia="Times New Roman" w:cs="Times New Roman"/>
        </w:rPr>
        <w:t xml:space="preserve">c)  </w:t>
      </w:r>
      <w:r>
        <w:t>修理周期结构预案；</w:t>
      </w:r>
    </w:p>
    <w:p w14:paraId="50DD2BAF">
      <w:pPr>
        <w:pStyle w:val="2"/>
        <w:spacing w:before="100" w:line="212" w:lineRule="auto"/>
        <w:ind w:left="550"/>
      </w:pPr>
      <w:r>
        <w:rPr>
          <w:rFonts w:ascii="Times New Roman" w:hAnsi="Times New Roman" w:eastAsia="Times New Roman" w:cs="Times New Roman"/>
          <w:spacing w:val="2"/>
        </w:rPr>
        <w:t xml:space="preserve">d)  </w:t>
      </w:r>
      <w:r>
        <w:rPr>
          <w:spacing w:val="2"/>
        </w:rPr>
        <w:t>确定换件范围的原则；</w:t>
      </w:r>
    </w:p>
    <w:p w14:paraId="6EF7E10F">
      <w:pPr>
        <w:pStyle w:val="2"/>
        <w:spacing w:before="131" w:line="219" w:lineRule="auto"/>
        <w:ind w:left="550"/>
      </w:pPr>
      <w:r>
        <w:rPr>
          <w:rFonts w:ascii="Times New Roman" w:hAnsi="Times New Roman" w:eastAsia="Times New Roman" w:cs="Times New Roman"/>
          <w:spacing w:val="5"/>
        </w:rPr>
        <w:t>e</w:t>
      </w:r>
      <w:r>
        <w:rPr>
          <w:rFonts w:ascii="Times New Roman" w:hAnsi="Times New Roman" w:eastAsia="Times New Roman" w:cs="Times New Roman"/>
          <w:spacing w:val="-9"/>
        </w:rPr>
        <w:t xml:space="preserve"> </w:t>
      </w:r>
      <w:r>
        <w:rPr>
          <w:spacing w:val="5"/>
        </w:rPr>
        <w:t>)维修新技术的引进与应用；</w:t>
      </w:r>
    </w:p>
    <w:p w14:paraId="56FBE908">
      <w:pPr>
        <w:pStyle w:val="2"/>
        <w:spacing w:before="69" w:line="212" w:lineRule="auto"/>
        <w:ind w:left="550"/>
      </w:pPr>
      <w:r>
        <w:rPr>
          <w:rFonts w:ascii="Times New Roman" w:hAnsi="Times New Roman" w:eastAsia="Times New Roman" w:cs="Times New Roman"/>
          <w:spacing w:val="-7"/>
        </w:rPr>
        <w:t xml:space="preserve">f)  </w:t>
      </w:r>
      <w:r>
        <w:rPr>
          <w:spacing w:val="-7"/>
        </w:rPr>
        <w:t>战时装备保障的原则、编组与职责分工、战损评估和修复、后送程序等；</w:t>
      </w:r>
    </w:p>
    <w:p w14:paraId="6D472834">
      <w:pPr>
        <w:pStyle w:val="2"/>
        <w:spacing w:before="131" w:line="212" w:lineRule="auto"/>
        <w:ind w:left="550"/>
        <w:rPr>
          <w:sz w:val="24"/>
          <w:szCs w:val="24"/>
        </w:rPr>
      </w:pPr>
      <w:r>
        <w:rPr>
          <w:rFonts w:ascii="Times New Roman" w:hAnsi="Times New Roman" w:eastAsia="Times New Roman" w:cs="Times New Roman"/>
          <w:spacing w:val="27"/>
          <w:sz w:val="24"/>
          <w:szCs w:val="24"/>
        </w:rPr>
        <w:t>g)</w:t>
      </w:r>
      <w:r>
        <w:rPr>
          <w:rFonts w:ascii="Times New Roman" w:hAnsi="Times New Roman" w:eastAsia="Times New Roman" w:cs="Times New Roman"/>
          <w:spacing w:val="32"/>
          <w:sz w:val="24"/>
          <w:szCs w:val="24"/>
        </w:rPr>
        <w:t xml:space="preserve">  </w:t>
      </w:r>
      <w:r>
        <w:rPr>
          <w:spacing w:val="27"/>
          <w:sz w:val="24"/>
          <w:szCs w:val="24"/>
        </w:rPr>
        <w:t>战场抢救的要求及实施方案；</w:t>
      </w:r>
    </w:p>
    <w:p w14:paraId="7160FA01">
      <w:pPr>
        <w:pStyle w:val="2"/>
        <w:spacing w:before="83" w:line="212" w:lineRule="auto"/>
        <w:ind w:left="550"/>
      </w:pPr>
      <w:r>
        <w:rPr>
          <w:rFonts w:ascii="Times New Roman" w:hAnsi="Times New Roman" w:eastAsia="Times New Roman" w:cs="Times New Roman"/>
        </w:rPr>
        <w:t xml:space="preserve">h)  </w:t>
      </w:r>
      <w:r>
        <w:t>承包商保障向部队建制保障转换的时机、条件和要求。</w:t>
      </w:r>
    </w:p>
    <w:p w14:paraId="688229B6">
      <w:pPr>
        <w:spacing w:before="124" w:line="297" w:lineRule="auto"/>
        <w:ind w:right="6763"/>
        <w:rPr>
          <w:rFonts w:ascii="黑体" w:hAnsi="黑体" w:eastAsia="黑体" w:cs="黑体"/>
          <w:sz w:val="25"/>
          <w:szCs w:val="25"/>
        </w:rPr>
      </w:pPr>
      <w:r>
        <w:rPr>
          <w:rFonts w:ascii="Arial" w:hAnsi="Arial" w:eastAsia="Arial" w:cs="Arial"/>
          <w:b/>
          <w:bCs/>
          <w:spacing w:val="-2"/>
          <w:sz w:val="27"/>
          <w:szCs w:val="27"/>
        </w:rPr>
        <w:t xml:space="preserve">7    </w:t>
      </w:r>
      <w:r>
        <w:rPr>
          <w:rFonts w:ascii="黑体" w:hAnsi="黑体" w:eastAsia="黑体" w:cs="黑体"/>
          <w:b/>
          <w:bCs/>
          <w:spacing w:val="-2"/>
          <w:sz w:val="27"/>
          <w:szCs w:val="27"/>
        </w:rPr>
        <w:t>综合保障要素方案</w:t>
      </w:r>
      <w:r>
        <w:rPr>
          <w:rFonts w:ascii="黑体" w:hAnsi="黑体" w:eastAsia="黑体" w:cs="黑体"/>
          <w:spacing w:val="9"/>
          <w:sz w:val="27"/>
          <w:szCs w:val="27"/>
        </w:rPr>
        <w:t xml:space="preserve"> </w:t>
      </w:r>
      <w:r>
        <w:rPr>
          <w:rFonts w:ascii="黑体" w:hAnsi="黑体" w:eastAsia="黑体" w:cs="黑体"/>
          <w:spacing w:val="11"/>
          <w:sz w:val="25"/>
          <w:szCs w:val="25"/>
        </w:rPr>
        <w:t>7.1</w:t>
      </w:r>
      <w:r>
        <w:rPr>
          <w:rFonts w:ascii="黑体" w:hAnsi="黑体" w:eastAsia="黑体" w:cs="黑体"/>
          <w:spacing w:val="41"/>
          <w:sz w:val="25"/>
          <w:szCs w:val="25"/>
        </w:rPr>
        <w:t xml:space="preserve">  </w:t>
      </w:r>
      <w:r>
        <w:rPr>
          <w:rFonts w:ascii="黑体" w:hAnsi="黑体" w:eastAsia="黑体" w:cs="黑体"/>
          <w:b/>
          <w:bCs/>
          <w:spacing w:val="11"/>
          <w:sz w:val="25"/>
          <w:szCs w:val="25"/>
        </w:rPr>
        <w:t>人力和人员</w:t>
      </w:r>
    </w:p>
    <w:p w14:paraId="7C1F45E4">
      <w:pPr>
        <w:pStyle w:val="2"/>
        <w:spacing w:line="219" w:lineRule="auto"/>
        <w:ind w:left="550"/>
      </w:pPr>
      <w:r>
        <w:rPr>
          <w:spacing w:val="1"/>
        </w:rPr>
        <w:t>人力和人员保障方案包括：</w:t>
      </w:r>
    </w:p>
    <w:p w14:paraId="41534235">
      <w:pPr>
        <w:pStyle w:val="2"/>
        <w:spacing w:before="81" w:line="212" w:lineRule="auto"/>
        <w:ind w:left="550"/>
        <w:rPr>
          <w:sz w:val="25"/>
          <w:szCs w:val="25"/>
        </w:rPr>
      </w:pPr>
      <w:r>
        <w:rPr>
          <w:rFonts w:ascii="Times New Roman" w:hAnsi="Times New Roman" w:eastAsia="Times New Roman" w:cs="Times New Roman"/>
          <w:spacing w:val="6"/>
          <w:sz w:val="25"/>
          <w:szCs w:val="25"/>
        </w:rPr>
        <w:t xml:space="preserve">a)  </w:t>
      </w:r>
      <w:r>
        <w:rPr>
          <w:spacing w:val="6"/>
          <w:sz w:val="25"/>
          <w:szCs w:val="25"/>
        </w:rPr>
        <w:t>人员编制、总需求及分工、编组原则；</w:t>
      </w:r>
    </w:p>
    <w:p w14:paraId="187BBF10">
      <w:pPr>
        <w:pStyle w:val="2"/>
        <w:spacing w:before="70" w:line="264" w:lineRule="auto"/>
        <w:ind w:firstLine="550"/>
      </w:pPr>
      <w:r>
        <w:rPr>
          <w:rFonts w:ascii="Times New Roman" w:hAnsi="Times New Roman" w:eastAsia="Times New Roman" w:cs="Times New Roman"/>
          <w:spacing w:val="3"/>
        </w:rPr>
        <w:t>b)</w:t>
      </w:r>
      <w:r>
        <w:rPr>
          <w:rFonts w:ascii="Times New Roman" w:hAnsi="Times New Roman" w:eastAsia="Times New Roman" w:cs="Times New Roman"/>
          <w:spacing w:val="65"/>
        </w:rPr>
        <w:t xml:space="preserve"> </w:t>
      </w:r>
      <w:r>
        <w:rPr>
          <w:spacing w:val="3"/>
        </w:rPr>
        <w:t>使用操作及相关技术人员(包括技术把关、决策和技术状况处置人员)的</w:t>
      </w:r>
      <w:r>
        <w:t xml:space="preserve"> </w:t>
      </w:r>
      <w:r>
        <w:rPr>
          <w:spacing w:val="-2"/>
        </w:rPr>
        <w:t>素质和技能要求；</w:t>
      </w:r>
    </w:p>
    <w:p w14:paraId="260B1C99">
      <w:pPr>
        <w:pStyle w:val="2"/>
        <w:spacing w:before="49" w:line="212" w:lineRule="auto"/>
        <w:ind w:left="550"/>
      </w:pPr>
      <w:r>
        <w:rPr>
          <w:rFonts w:ascii="Times New Roman" w:hAnsi="Times New Roman" w:eastAsia="Times New Roman" w:cs="Times New Roman"/>
          <w:spacing w:val="3"/>
        </w:rPr>
        <w:t xml:space="preserve">c)  </w:t>
      </w:r>
      <w:r>
        <w:rPr>
          <w:spacing w:val="3"/>
        </w:rPr>
        <w:t>维修及管理人员的技能和素质要求；</w:t>
      </w:r>
    </w:p>
    <w:p w14:paraId="7EADA77E">
      <w:pPr>
        <w:pStyle w:val="2"/>
        <w:spacing w:before="120" w:line="212" w:lineRule="auto"/>
        <w:ind w:left="550"/>
      </w:pPr>
      <w:r>
        <w:rPr>
          <w:rFonts w:ascii="Times New Roman" w:hAnsi="Times New Roman" w:eastAsia="Times New Roman" w:cs="Times New Roman"/>
        </w:rPr>
        <w:t xml:space="preserve">d)  </w:t>
      </w:r>
      <w:r>
        <w:t>人力、人员的规划时应特别注意工作环境对人员健康和安全的影响。</w:t>
      </w:r>
    </w:p>
    <w:p w14:paraId="3816AA9F">
      <w:pPr>
        <w:spacing w:before="97" w:line="223" w:lineRule="auto"/>
        <w:rPr>
          <w:rFonts w:ascii="黑体" w:hAnsi="黑体" w:eastAsia="黑体" w:cs="黑体"/>
          <w:sz w:val="27"/>
          <w:szCs w:val="27"/>
        </w:rPr>
      </w:pPr>
      <w:r>
        <w:rPr>
          <w:rFonts w:ascii="黑体" w:hAnsi="黑体" w:eastAsia="黑体" w:cs="黑体"/>
          <w:spacing w:val="-1"/>
          <w:sz w:val="27"/>
          <w:szCs w:val="27"/>
        </w:rPr>
        <w:t>7.2</w:t>
      </w:r>
      <w:r>
        <w:rPr>
          <w:rFonts w:ascii="黑体" w:hAnsi="黑体" w:eastAsia="黑体" w:cs="黑体"/>
          <w:spacing w:val="17"/>
          <w:sz w:val="27"/>
          <w:szCs w:val="27"/>
        </w:rPr>
        <w:t xml:space="preserve">  </w:t>
      </w:r>
      <w:r>
        <w:rPr>
          <w:rFonts w:ascii="黑体" w:hAnsi="黑体" w:eastAsia="黑体" w:cs="黑体"/>
          <w:b/>
          <w:bCs/>
          <w:spacing w:val="-1"/>
          <w:sz w:val="27"/>
          <w:szCs w:val="27"/>
        </w:rPr>
        <w:t>供应保障</w:t>
      </w:r>
    </w:p>
    <w:p w14:paraId="2A21E94B">
      <w:pPr>
        <w:pStyle w:val="2"/>
        <w:spacing w:before="85" w:line="219" w:lineRule="auto"/>
        <w:ind w:left="550"/>
      </w:pPr>
      <w:r>
        <w:rPr>
          <w:spacing w:val="1"/>
        </w:rPr>
        <w:t>供应保障方案中应包括：</w:t>
      </w:r>
    </w:p>
    <w:p w14:paraId="15583FCD">
      <w:pPr>
        <w:pStyle w:val="2"/>
        <w:spacing w:before="71" w:line="212" w:lineRule="auto"/>
        <w:ind w:left="550"/>
      </w:pPr>
      <w:r>
        <w:rPr>
          <w:rFonts w:ascii="Times New Roman" w:hAnsi="Times New Roman" w:eastAsia="Times New Roman" w:cs="Times New Roman"/>
        </w:rPr>
        <w:t xml:space="preserve">a)  </w:t>
      </w:r>
      <w:r>
        <w:t>供应品的保障原则；</w:t>
      </w:r>
    </w:p>
    <w:p w14:paraId="159490AA">
      <w:pPr>
        <w:spacing w:line="212" w:lineRule="auto"/>
        <w:sectPr>
          <w:footerReference r:id="rId529" w:type="default"/>
          <w:pgSz w:w="11910" w:h="17130"/>
          <w:pgMar w:top="400" w:right="1608" w:bottom="1860" w:left="920" w:header="0" w:footer="1561" w:gutter="0"/>
          <w:cols w:space="720" w:num="1"/>
        </w:sectPr>
      </w:pPr>
    </w:p>
    <w:p w14:paraId="55A75281">
      <w:pPr>
        <w:spacing w:line="312" w:lineRule="auto"/>
        <w:rPr>
          <w:rFonts w:ascii="Arial"/>
          <w:sz w:val="21"/>
        </w:rPr>
      </w:pPr>
    </w:p>
    <w:p w14:paraId="4442B187">
      <w:pPr>
        <w:spacing w:line="312" w:lineRule="auto"/>
        <w:rPr>
          <w:rFonts w:ascii="Arial"/>
          <w:sz w:val="21"/>
        </w:rPr>
      </w:pPr>
    </w:p>
    <w:p w14:paraId="1AC335AD">
      <w:pPr>
        <w:spacing w:line="313" w:lineRule="auto"/>
        <w:rPr>
          <w:rFonts w:ascii="Arial"/>
          <w:sz w:val="21"/>
        </w:rPr>
      </w:pPr>
    </w:p>
    <w:p w14:paraId="55C32880">
      <w:pPr>
        <w:pStyle w:val="2"/>
        <w:spacing w:before="87" w:line="212" w:lineRule="auto"/>
        <w:ind w:left="539"/>
      </w:pPr>
      <w:r>
        <w:rPr>
          <w:rFonts w:ascii="Times New Roman" w:hAnsi="Times New Roman" w:eastAsia="Times New Roman" w:cs="Times New Roman"/>
          <w:spacing w:val="3"/>
        </w:rPr>
        <w:t>b)</w:t>
      </w:r>
      <w:r>
        <w:rPr>
          <w:rFonts w:ascii="Times New Roman" w:hAnsi="Times New Roman" w:eastAsia="Times New Roman" w:cs="Times New Roman"/>
          <w:spacing w:val="79"/>
        </w:rPr>
        <w:t xml:space="preserve"> </w:t>
      </w:r>
      <w:r>
        <w:rPr>
          <w:spacing w:val="3"/>
        </w:rPr>
        <w:t>供应品的分类与储备原则；</w:t>
      </w:r>
    </w:p>
    <w:p w14:paraId="6FFA72A2">
      <w:pPr>
        <w:pStyle w:val="2"/>
        <w:spacing w:before="99" w:line="212" w:lineRule="auto"/>
        <w:ind w:left="539"/>
      </w:pPr>
      <w:r>
        <w:rPr>
          <w:rFonts w:ascii="Times New Roman" w:hAnsi="Times New Roman" w:eastAsia="Times New Roman" w:cs="Times New Roman"/>
          <w:spacing w:val="-5"/>
        </w:rPr>
        <w:t>c)</w:t>
      </w:r>
      <w:r>
        <w:rPr>
          <w:rFonts w:ascii="Times New Roman" w:hAnsi="Times New Roman" w:eastAsia="Times New Roman" w:cs="Times New Roman"/>
          <w:spacing w:val="63"/>
        </w:rPr>
        <w:t xml:space="preserve"> </w:t>
      </w:r>
      <w:r>
        <w:rPr>
          <w:spacing w:val="-5"/>
        </w:rPr>
        <w:t>供应品筹措渠道和方式、方法；</w:t>
      </w:r>
    </w:p>
    <w:p w14:paraId="6939F6A9">
      <w:pPr>
        <w:pStyle w:val="2"/>
        <w:spacing w:before="109" w:line="212" w:lineRule="auto"/>
        <w:ind w:left="539"/>
      </w:pPr>
      <w:r>
        <w:rPr>
          <w:rFonts w:ascii="Times New Roman" w:hAnsi="Times New Roman" w:eastAsia="Times New Roman" w:cs="Times New Roman"/>
          <w:spacing w:val="3"/>
        </w:rPr>
        <w:t xml:space="preserve">d)  </w:t>
      </w:r>
      <w:r>
        <w:rPr>
          <w:spacing w:val="3"/>
        </w:rPr>
        <w:t>供应品的供应方法；</w:t>
      </w:r>
    </w:p>
    <w:p w14:paraId="1275D5B4">
      <w:pPr>
        <w:pStyle w:val="2"/>
        <w:spacing w:before="90" w:line="212" w:lineRule="auto"/>
        <w:ind w:left="539"/>
      </w:pPr>
      <w:r>
        <w:rPr>
          <w:rFonts w:ascii="Times New Roman" w:hAnsi="Times New Roman" w:eastAsia="Times New Roman" w:cs="Times New Roman"/>
          <w:spacing w:val="2"/>
        </w:rPr>
        <w:t xml:space="preserve">e)  </w:t>
      </w:r>
      <w:r>
        <w:rPr>
          <w:spacing w:val="2"/>
        </w:rPr>
        <w:t>停产后的供应保障。</w:t>
      </w:r>
    </w:p>
    <w:p w14:paraId="1DEB69F5">
      <w:pPr>
        <w:spacing w:before="144" w:line="222" w:lineRule="auto"/>
        <w:rPr>
          <w:rFonts w:ascii="黑体" w:hAnsi="黑体" w:eastAsia="黑体" w:cs="黑体"/>
          <w:sz w:val="24"/>
          <w:szCs w:val="24"/>
        </w:rPr>
      </w:pPr>
      <w:r>
        <w:rPr>
          <w:rFonts w:ascii="黑体" w:hAnsi="黑体" w:eastAsia="黑体" w:cs="黑体"/>
          <w:spacing w:val="14"/>
          <w:sz w:val="24"/>
          <w:szCs w:val="24"/>
        </w:rPr>
        <w:t>7.3</w:t>
      </w:r>
      <w:r>
        <w:rPr>
          <w:rFonts w:ascii="黑体" w:hAnsi="黑体" w:eastAsia="黑体" w:cs="黑体"/>
          <w:spacing w:val="52"/>
          <w:sz w:val="24"/>
          <w:szCs w:val="24"/>
        </w:rPr>
        <w:t xml:space="preserve">  </w:t>
      </w:r>
      <w:r>
        <w:rPr>
          <w:rFonts w:ascii="黑体" w:hAnsi="黑体" w:eastAsia="黑体" w:cs="黑体"/>
          <w:b/>
          <w:bCs/>
          <w:spacing w:val="14"/>
          <w:sz w:val="24"/>
          <w:szCs w:val="24"/>
        </w:rPr>
        <w:t>保障设备</w:t>
      </w:r>
    </w:p>
    <w:p w14:paraId="3FE376AA">
      <w:pPr>
        <w:pStyle w:val="2"/>
        <w:spacing w:before="88" w:line="219" w:lineRule="auto"/>
        <w:ind w:left="539"/>
      </w:pPr>
      <w:r>
        <w:rPr>
          <w:spacing w:val="2"/>
        </w:rPr>
        <w:t>保障设备方案包括：</w:t>
      </w:r>
    </w:p>
    <w:p w14:paraId="058C18EE">
      <w:pPr>
        <w:pStyle w:val="2"/>
        <w:spacing w:before="119" w:line="219" w:lineRule="auto"/>
        <w:ind w:left="539"/>
        <w:rPr>
          <w:sz w:val="24"/>
          <w:szCs w:val="24"/>
        </w:rPr>
      </w:pPr>
      <w:r>
        <w:rPr>
          <w:rFonts w:ascii="Times New Roman" w:hAnsi="Times New Roman" w:eastAsia="Times New Roman" w:cs="Times New Roman"/>
          <w:spacing w:val="28"/>
          <w:sz w:val="24"/>
          <w:szCs w:val="24"/>
        </w:rPr>
        <w:t>a</w:t>
      </w:r>
      <w:r>
        <w:rPr>
          <w:rFonts w:ascii="Times New Roman" w:hAnsi="Times New Roman" w:eastAsia="Times New Roman" w:cs="Times New Roman"/>
          <w:spacing w:val="-8"/>
          <w:sz w:val="24"/>
          <w:szCs w:val="24"/>
        </w:rPr>
        <w:t xml:space="preserve"> </w:t>
      </w:r>
      <w:r>
        <w:rPr>
          <w:spacing w:val="28"/>
          <w:sz w:val="24"/>
          <w:szCs w:val="24"/>
        </w:rPr>
        <w:t>)</w:t>
      </w:r>
      <w:r>
        <w:rPr>
          <w:spacing w:val="-40"/>
          <w:sz w:val="24"/>
          <w:szCs w:val="24"/>
        </w:rPr>
        <w:t xml:space="preserve"> </w:t>
      </w:r>
      <w:r>
        <w:rPr>
          <w:spacing w:val="28"/>
          <w:sz w:val="24"/>
          <w:szCs w:val="24"/>
        </w:rPr>
        <w:t>保障设备的配备原则和约束；</w:t>
      </w:r>
    </w:p>
    <w:p w14:paraId="03BA7629">
      <w:pPr>
        <w:pStyle w:val="2"/>
        <w:spacing w:before="56" w:line="212" w:lineRule="auto"/>
        <w:ind w:left="539"/>
      </w:pPr>
      <w:r>
        <w:rPr>
          <w:rFonts w:ascii="Times New Roman" w:hAnsi="Times New Roman" w:eastAsia="Times New Roman" w:cs="Times New Roman"/>
          <w:spacing w:val="4"/>
        </w:rPr>
        <w:t>b)</w:t>
      </w:r>
      <w:r>
        <w:rPr>
          <w:rFonts w:ascii="Times New Roman" w:hAnsi="Times New Roman" w:eastAsia="Times New Roman" w:cs="Times New Roman"/>
          <w:spacing w:val="79"/>
          <w:w w:val="101"/>
        </w:rPr>
        <w:t xml:space="preserve"> </w:t>
      </w:r>
      <w:r>
        <w:rPr>
          <w:spacing w:val="4"/>
        </w:rPr>
        <w:t>不同维修级别维修设备的配置方案；</w:t>
      </w:r>
    </w:p>
    <w:p w14:paraId="5B5F5CAD">
      <w:pPr>
        <w:pStyle w:val="2"/>
        <w:spacing w:before="122" w:line="212" w:lineRule="auto"/>
        <w:ind w:left="539"/>
        <w:rPr>
          <w:sz w:val="24"/>
          <w:szCs w:val="24"/>
        </w:rPr>
      </w:pPr>
      <w:r>
        <w:rPr>
          <w:rFonts w:ascii="Times New Roman" w:hAnsi="Times New Roman" w:eastAsia="Times New Roman" w:cs="Times New Roman"/>
          <w:spacing w:val="28"/>
          <w:sz w:val="24"/>
          <w:szCs w:val="24"/>
        </w:rPr>
        <w:t xml:space="preserve">c)  </w:t>
      </w:r>
      <w:r>
        <w:rPr>
          <w:spacing w:val="28"/>
          <w:sz w:val="24"/>
          <w:szCs w:val="24"/>
        </w:rPr>
        <w:t>战时保障装备的配置方案。</w:t>
      </w:r>
    </w:p>
    <w:p w14:paraId="63BCA3FA">
      <w:pPr>
        <w:spacing w:before="137" w:line="222" w:lineRule="auto"/>
        <w:rPr>
          <w:rFonts w:ascii="黑体" w:hAnsi="黑体" w:eastAsia="黑体" w:cs="黑体"/>
          <w:sz w:val="27"/>
          <w:szCs w:val="27"/>
        </w:rPr>
      </w:pPr>
      <w:r>
        <w:rPr>
          <w:rFonts w:ascii="黑体" w:hAnsi="黑体" w:eastAsia="黑体" w:cs="黑体"/>
          <w:spacing w:val="1"/>
          <w:sz w:val="27"/>
          <w:szCs w:val="27"/>
        </w:rPr>
        <w:t>7.4</w:t>
      </w:r>
      <w:r>
        <w:rPr>
          <w:rFonts w:ascii="黑体" w:hAnsi="黑体" w:eastAsia="黑体" w:cs="黑体"/>
          <w:spacing w:val="16"/>
          <w:sz w:val="27"/>
          <w:szCs w:val="27"/>
        </w:rPr>
        <w:t xml:space="preserve">  </w:t>
      </w:r>
      <w:r>
        <w:rPr>
          <w:rFonts w:ascii="黑体" w:hAnsi="黑体" w:eastAsia="黑体" w:cs="黑体"/>
          <w:b/>
          <w:bCs/>
          <w:spacing w:val="1"/>
          <w:sz w:val="27"/>
          <w:szCs w:val="27"/>
        </w:rPr>
        <w:t>技术资料</w:t>
      </w:r>
    </w:p>
    <w:p w14:paraId="46E29E40">
      <w:pPr>
        <w:pStyle w:val="2"/>
        <w:spacing w:before="91" w:line="219" w:lineRule="auto"/>
        <w:ind w:left="539"/>
      </w:pPr>
      <w:r>
        <w:rPr>
          <w:spacing w:val="2"/>
        </w:rPr>
        <w:t>技术资料保障方案包括：</w:t>
      </w:r>
    </w:p>
    <w:p w14:paraId="2E8902EC">
      <w:pPr>
        <w:pStyle w:val="2"/>
        <w:spacing w:before="49" w:line="212" w:lineRule="auto"/>
        <w:ind w:left="539"/>
      </w:pPr>
      <w:r>
        <w:rPr>
          <w:rFonts w:ascii="Times New Roman" w:hAnsi="Times New Roman" w:eastAsia="Times New Roman" w:cs="Times New Roman"/>
          <w:spacing w:val="-8"/>
        </w:rPr>
        <w:t>a)</w:t>
      </w:r>
      <w:r>
        <w:rPr>
          <w:rFonts w:ascii="Times New Roman" w:hAnsi="Times New Roman" w:eastAsia="Times New Roman" w:cs="Times New Roman"/>
          <w:spacing w:val="70"/>
          <w:w w:val="101"/>
        </w:rPr>
        <w:t xml:space="preserve"> </w:t>
      </w:r>
      <w:r>
        <w:rPr>
          <w:spacing w:val="-8"/>
        </w:rPr>
        <w:t>装备使用技术资料的种类、格式；不同维修级别的资料种类、格式；</w:t>
      </w:r>
    </w:p>
    <w:p w14:paraId="3C11ABA9">
      <w:pPr>
        <w:pStyle w:val="2"/>
        <w:spacing w:before="100" w:line="212" w:lineRule="auto"/>
        <w:ind w:left="539"/>
      </w:pPr>
      <w:r>
        <w:rPr>
          <w:rFonts w:ascii="Times New Roman" w:hAnsi="Times New Roman" w:eastAsia="Times New Roman" w:cs="Times New Roman"/>
          <w:spacing w:val="-1"/>
        </w:rPr>
        <w:t xml:space="preserve">b)  </w:t>
      </w:r>
      <w:r>
        <w:rPr>
          <w:spacing w:val="-1"/>
        </w:rPr>
        <w:t>装备使用与维修技术资料配发范围、数量和交付时机；</w:t>
      </w:r>
    </w:p>
    <w:p w14:paraId="4818DDBB">
      <w:pPr>
        <w:pStyle w:val="2"/>
        <w:spacing w:before="90" w:line="212" w:lineRule="auto"/>
        <w:ind w:left="539"/>
      </w:pPr>
      <w:r>
        <w:rPr>
          <w:rFonts w:ascii="Times New Roman" w:hAnsi="Times New Roman" w:eastAsia="Times New Roman" w:cs="Times New Roman"/>
          <w:spacing w:val="3"/>
        </w:rPr>
        <w:t>c)</w:t>
      </w:r>
      <w:r>
        <w:rPr>
          <w:rFonts w:ascii="Times New Roman" w:hAnsi="Times New Roman" w:eastAsia="Times New Roman" w:cs="Times New Roman"/>
          <w:spacing w:val="79"/>
        </w:rPr>
        <w:t xml:space="preserve"> </w:t>
      </w:r>
      <w:r>
        <w:rPr>
          <w:spacing w:val="3"/>
        </w:rPr>
        <w:t>装备使用与维修技术资料的交付要求；</w:t>
      </w:r>
    </w:p>
    <w:p w14:paraId="5DBC6D6D">
      <w:pPr>
        <w:pStyle w:val="2"/>
        <w:spacing w:before="100" w:line="212" w:lineRule="auto"/>
        <w:ind w:left="539"/>
      </w:pPr>
      <w:r>
        <w:rPr>
          <w:rFonts w:ascii="Times New Roman" w:hAnsi="Times New Roman" w:eastAsia="Times New Roman" w:cs="Times New Roman"/>
          <w:spacing w:val="4"/>
        </w:rPr>
        <w:t xml:space="preserve">d)  </w:t>
      </w:r>
      <w:r>
        <w:rPr>
          <w:spacing w:val="4"/>
        </w:rPr>
        <w:t>装备使用与维修技术资料的更新程序。</w:t>
      </w:r>
    </w:p>
    <w:p w14:paraId="5DD961AB">
      <w:pPr>
        <w:spacing w:before="117" w:line="223" w:lineRule="auto"/>
        <w:outlineLvl w:val="3"/>
        <w:rPr>
          <w:rFonts w:ascii="黑体" w:hAnsi="黑体" w:eastAsia="黑体" w:cs="黑体"/>
          <w:sz w:val="27"/>
          <w:szCs w:val="27"/>
        </w:rPr>
      </w:pPr>
      <w:r>
        <w:rPr>
          <w:rFonts w:ascii="Arial" w:hAnsi="Arial" w:eastAsia="Arial" w:cs="Arial"/>
          <w:b/>
          <w:bCs/>
          <w:spacing w:val="-1"/>
          <w:sz w:val="27"/>
          <w:szCs w:val="27"/>
        </w:rPr>
        <w:t>7.5</w:t>
      </w:r>
      <w:r>
        <w:rPr>
          <w:rFonts w:ascii="Arial" w:hAnsi="Arial" w:eastAsia="Arial" w:cs="Arial"/>
          <w:b/>
          <w:bCs/>
          <w:spacing w:val="7"/>
          <w:sz w:val="27"/>
          <w:szCs w:val="27"/>
        </w:rPr>
        <w:t xml:space="preserve">    </w:t>
      </w:r>
      <w:r>
        <w:rPr>
          <w:rFonts w:ascii="黑体" w:hAnsi="黑体" w:eastAsia="黑体" w:cs="黑体"/>
          <w:b/>
          <w:bCs/>
          <w:spacing w:val="-1"/>
          <w:sz w:val="27"/>
          <w:szCs w:val="27"/>
        </w:rPr>
        <w:t>训练与训练保障</w:t>
      </w:r>
    </w:p>
    <w:p w14:paraId="0FFF99F0">
      <w:pPr>
        <w:pStyle w:val="2"/>
        <w:spacing w:before="87" w:line="219" w:lineRule="auto"/>
        <w:ind w:left="539"/>
      </w:pPr>
      <w:r>
        <w:rPr>
          <w:spacing w:val="-1"/>
        </w:rPr>
        <w:t>训练与训练保障方案包括：</w:t>
      </w:r>
    </w:p>
    <w:p w14:paraId="417B99DD">
      <w:pPr>
        <w:pStyle w:val="2"/>
        <w:spacing w:before="109" w:line="261" w:lineRule="auto"/>
        <w:ind w:right="14" w:firstLine="539"/>
        <w:rPr>
          <w:sz w:val="25"/>
          <w:szCs w:val="25"/>
        </w:rPr>
      </w:pPr>
      <w:r>
        <w:rPr>
          <w:rFonts w:ascii="Times New Roman" w:hAnsi="Times New Roman" w:eastAsia="Times New Roman" w:cs="Times New Roman"/>
          <w:spacing w:val="13"/>
          <w:sz w:val="25"/>
          <w:szCs w:val="25"/>
        </w:rPr>
        <w:t>a</w:t>
      </w:r>
      <w:r>
        <w:rPr>
          <w:rFonts w:ascii="Times New Roman" w:hAnsi="Times New Roman" w:eastAsia="Times New Roman" w:cs="Times New Roman"/>
          <w:spacing w:val="-8"/>
          <w:sz w:val="25"/>
          <w:szCs w:val="25"/>
        </w:rPr>
        <w:t xml:space="preserve"> </w:t>
      </w:r>
      <w:r>
        <w:rPr>
          <w:spacing w:val="13"/>
          <w:sz w:val="25"/>
          <w:szCs w:val="25"/>
        </w:rPr>
        <w:t>)</w:t>
      </w:r>
      <w:r>
        <w:rPr>
          <w:spacing w:val="-49"/>
          <w:sz w:val="25"/>
          <w:szCs w:val="25"/>
        </w:rPr>
        <w:t xml:space="preserve"> </w:t>
      </w:r>
      <w:r>
        <w:rPr>
          <w:spacing w:val="13"/>
          <w:sz w:val="25"/>
          <w:szCs w:val="25"/>
        </w:rPr>
        <w:t>初始训练和后续训练安排，包括训练对象的员额与要求、训练时间、实施</w:t>
      </w:r>
      <w:r>
        <w:rPr>
          <w:sz w:val="25"/>
          <w:szCs w:val="25"/>
        </w:rPr>
        <w:t xml:space="preserve"> </w:t>
      </w:r>
      <w:r>
        <w:rPr>
          <w:spacing w:val="16"/>
          <w:sz w:val="25"/>
          <w:szCs w:val="25"/>
        </w:rPr>
        <w:t>方法等；</w:t>
      </w:r>
    </w:p>
    <w:p w14:paraId="6F30E6BA">
      <w:pPr>
        <w:pStyle w:val="2"/>
        <w:spacing w:before="63" w:line="212" w:lineRule="auto"/>
        <w:ind w:left="539"/>
      </w:pPr>
      <w:r>
        <w:rPr>
          <w:rFonts w:ascii="Times New Roman" w:hAnsi="Times New Roman" w:eastAsia="Times New Roman" w:cs="Times New Roman"/>
          <w:spacing w:val="-3"/>
        </w:rPr>
        <w:t xml:space="preserve">b)  </w:t>
      </w:r>
      <w:r>
        <w:rPr>
          <w:spacing w:val="-3"/>
        </w:rPr>
        <w:t>模拟训练的目的、方法和应达到的效果；</w:t>
      </w:r>
    </w:p>
    <w:p w14:paraId="73F45CB6">
      <w:pPr>
        <w:pStyle w:val="2"/>
        <w:spacing w:before="110" w:line="212" w:lineRule="auto"/>
        <w:ind w:left="539"/>
      </w:pPr>
      <w:r>
        <w:rPr>
          <w:rFonts w:ascii="Times New Roman" w:hAnsi="Times New Roman" w:eastAsia="Times New Roman" w:cs="Times New Roman"/>
          <w:spacing w:val="-4"/>
        </w:rPr>
        <w:t xml:space="preserve">c)  </w:t>
      </w:r>
      <w:r>
        <w:rPr>
          <w:spacing w:val="-4"/>
        </w:rPr>
        <w:t>承制方承担的训练任务安排和教材、训练设</w:t>
      </w:r>
      <w:r>
        <w:rPr>
          <w:spacing w:val="-5"/>
        </w:rPr>
        <w:t>备、设施的提供等。</w:t>
      </w:r>
    </w:p>
    <w:p w14:paraId="072D6528">
      <w:pPr>
        <w:spacing w:before="125" w:line="221" w:lineRule="auto"/>
        <w:rPr>
          <w:rFonts w:ascii="黑体" w:hAnsi="黑体" w:eastAsia="黑体" w:cs="黑体"/>
          <w:sz w:val="27"/>
          <w:szCs w:val="27"/>
        </w:rPr>
      </w:pPr>
      <w:r>
        <w:rPr>
          <w:rFonts w:ascii="黑体" w:hAnsi="黑体" w:eastAsia="黑体" w:cs="黑体"/>
          <w:spacing w:val="-1"/>
          <w:sz w:val="27"/>
          <w:szCs w:val="27"/>
        </w:rPr>
        <w:t>7.6</w:t>
      </w:r>
      <w:r>
        <w:rPr>
          <w:rFonts w:ascii="黑体" w:hAnsi="黑体" w:eastAsia="黑体" w:cs="黑体"/>
          <w:spacing w:val="15"/>
          <w:sz w:val="27"/>
          <w:szCs w:val="27"/>
        </w:rPr>
        <w:t xml:space="preserve">  </w:t>
      </w:r>
      <w:r>
        <w:rPr>
          <w:rFonts w:ascii="黑体" w:hAnsi="黑体" w:eastAsia="黑体" w:cs="黑体"/>
          <w:b/>
          <w:bCs/>
          <w:spacing w:val="-1"/>
          <w:sz w:val="27"/>
          <w:szCs w:val="27"/>
        </w:rPr>
        <w:t>计算机资源保障</w:t>
      </w:r>
    </w:p>
    <w:p w14:paraId="5B20F75E">
      <w:pPr>
        <w:pStyle w:val="2"/>
        <w:spacing w:before="91" w:line="219" w:lineRule="auto"/>
        <w:ind w:left="539"/>
      </w:pPr>
      <w:r>
        <w:rPr>
          <w:spacing w:val="3"/>
        </w:rPr>
        <w:t>计算机资源保障方案应包含如下各项：</w:t>
      </w:r>
    </w:p>
    <w:p w14:paraId="40371375">
      <w:pPr>
        <w:pStyle w:val="2"/>
        <w:spacing w:before="51" w:line="212" w:lineRule="auto"/>
        <w:ind w:left="539"/>
      </w:pPr>
      <w:r>
        <w:rPr>
          <w:rFonts w:ascii="Times New Roman" w:hAnsi="Times New Roman" w:eastAsia="Times New Roman" w:cs="Times New Roman"/>
          <w:spacing w:val="-3"/>
        </w:rPr>
        <w:t xml:space="preserve">a)  </w:t>
      </w:r>
      <w:r>
        <w:rPr>
          <w:spacing w:val="-3"/>
        </w:rPr>
        <w:t>计算机资源保障方面的约束，如采用的计算机语言、软件开发环</w:t>
      </w:r>
      <w:r>
        <w:rPr>
          <w:spacing w:val="-4"/>
        </w:rPr>
        <w:t>境等；</w:t>
      </w:r>
    </w:p>
    <w:p w14:paraId="5EBD4EDF">
      <w:pPr>
        <w:pStyle w:val="2"/>
        <w:spacing w:before="111" w:line="251" w:lineRule="auto"/>
        <w:ind w:firstLine="539"/>
      </w:pPr>
      <w:r>
        <w:rPr>
          <w:rFonts w:ascii="Times New Roman" w:hAnsi="Times New Roman" w:eastAsia="Times New Roman" w:cs="Times New Roman"/>
          <w:spacing w:val="-5"/>
        </w:rPr>
        <w:t xml:space="preserve">b)  </w:t>
      </w:r>
      <w:r>
        <w:rPr>
          <w:spacing w:val="-5"/>
        </w:rPr>
        <w:t>与部队联合训练、保障指挥、维修管理、综合测试诊断等系统的兼容性及</w:t>
      </w:r>
      <w:r>
        <w:rPr>
          <w:spacing w:val="3"/>
        </w:rPr>
        <w:t xml:space="preserve"> </w:t>
      </w:r>
      <w:r>
        <w:rPr>
          <w:spacing w:val="-1"/>
        </w:rPr>
        <w:t>接口安排；</w:t>
      </w:r>
    </w:p>
    <w:p w14:paraId="3A05A1AA">
      <w:pPr>
        <w:pStyle w:val="2"/>
        <w:spacing w:before="66" w:line="257" w:lineRule="auto"/>
        <w:ind w:right="5" w:firstLine="539"/>
      </w:pPr>
      <w:r>
        <w:rPr>
          <w:rFonts w:ascii="Times New Roman" w:hAnsi="Times New Roman" w:eastAsia="Times New Roman" w:cs="Times New Roman"/>
          <w:spacing w:val="3"/>
        </w:rPr>
        <w:t>c)</w:t>
      </w:r>
      <w:r>
        <w:rPr>
          <w:rFonts w:ascii="Times New Roman" w:hAnsi="Times New Roman" w:eastAsia="Times New Roman" w:cs="Times New Roman"/>
          <w:spacing w:val="72"/>
        </w:rPr>
        <w:t xml:space="preserve"> </w:t>
      </w:r>
      <w:r>
        <w:rPr>
          <w:spacing w:val="3"/>
        </w:rPr>
        <w:t>对软件保障应重点说明软件故障诊断、维护和升级的责任主体、工作程</w:t>
      </w:r>
      <w:r>
        <w:t xml:space="preserve"> </w:t>
      </w:r>
      <w:r>
        <w:rPr>
          <w:spacing w:val="2"/>
        </w:rPr>
        <w:t>序及实施方法。</w:t>
      </w:r>
    </w:p>
    <w:p w14:paraId="5725894F">
      <w:pPr>
        <w:spacing w:before="82" w:line="222" w:lineRule="auto"/>
        <w:rPr>
          <w:rFonts w:ascii="黑体" w:hAnsi="黑体" w:eastAsia="黑体" w:cs="黑体"/>
          <w:sz w:val="27"/>
          <w:szCs w:val="27"/>
        </w:rPr>
      </w:pPr>
      <w:r>
        <w:rPr>
          <w:rFonts w:ascii="黑体" w:hAnsi="黑体" w:eastAsia="黑体" w:cs="黑体"/>
          <w:spacing w:val="1"/>
          <w:sz w:val="27"/>
          <w:szCs w:val="27"/>
        </w:rPr>
        <w:t>7.7</w:t>
      </w:r>
      <w:r>
        <w:rPr>
          <w:rFonts w:ascii="黑体" w:hAnsi="黑体" w:eastAsia="黑体" w:cs="黑体"/>
          <w:spacing w:val="17"/>
          <w:sz w:val="27"/>
          <w:szCs w:val="27"/>
        </w:rPr>
        <w:t xml:space="preserve">  </w:t>
      </w:r>
      <w:r>
        <w:rPr>
          <w:rFonts w:ascii="黑体" w:hAnsi="黑体" w:eastAsia="黑体" w:cs="黑体"/>
          <w:b/>
          <w:bCs/>
          <w:spacing w:val="1"/>
          <w:sz w:val="27"/>
          <w:szCs w:val="27"/>
        </w:rPr>
        <w:t>保障设施</w:t>
      </w:r>
    </w:p>
    <w:p w14:paraId="35C55A09">
      <w:pPr>
        <w:pStyle w:val="2"/>
        <w:spacing w:before="91" w:line="219" w:lineRule="auto"/>
        <w:ind w:left="539"/>
      </w:pPr>
      <w:r>
        <w:rPr>
          <w:spacing w:val="3"/>
        </w:rPr>
        <w:t>保障设施保障方案应包含如下各项：</w:t>
      </w:r>
    </w:p>
    <w:p w14:paraId="1E06AC4F">
      <w:pPr>
        <w:pStyle w:val="2"/>
        <w:spacing w:before="49" w:line="212" w:lineRule="auto"/>
        <w:ind w:left="539"/>
      </w:pPr>
      <w:r>
        <w:rPr>
          <w:rFonts w:ascii="Times New Roman" w:hAnsi="Times New Roman" w:eastAsia="Times New Roman" w:cs="Times New Roman"/>
          <w:spacing w:val="4"/>
        </w:rPr>
        <w:t xml:space="preserve">a)  </w:t>
      </w:r>
      <w:r>
        <w:rPr>
          <w:spacing w:val="4"/>
        </w:rPr>
        <w:t>场站及各级别维修设施及其内部设备的</w:t>
      </w:r>
      <w:r>
        <w:rPr>
          <w:spacing w:val="3"/>
        </w:rPr>
        <w:t>配置方案；</w:t>
      </w:r>
    </w:p>
    <w:p w14:paraId="2F3C635E">
      <w:pPr>
        <w:pStyle w:val="2"/>
        <w:spacing w:before="110" w:line="212" w:lineRule="auto"/>
        <w:ind w:left="539"/>
      </w:pPr>
      <w:r>
        <w:rPr>
          <w:rFonts w:ascii="Times New Roman" w:hAnsi="Times New Roman" w:eastAsia="Times New Roman" w:cs="Times New Roman"/>
        </w:rPr>
        <w:t xml:space="preserve">b)  </w:t>
      </w:r>
      <w:r>
        <w:t>设施建设方案，特别是建设周期长的设施的建设要求。</w:t>
      </w:r>
    </w:p>
    <w:p w14:paraId="32EB80E2">
      <w:pPr>
        <w:spacing w:before="134" w:line="221" w:lineRule="auto"/>
        <w:rPr>
          <w:rFonts w:ascii="黑体" w:hAnsi="黑体" w:eastAsia="黑体" w:cs="黑体"/>
          <w:sz w:val="25"/>
          <w:szCs w:val="25"/>
        </w:rPr>
      </w:pPr>
      <w:r>
        <w:rPr>
          <w:rFonts w:ascii="黑体" w:hAnsi="黑体" w:eastAsia="黑体" w:cs="黑体"/>
          <w:sz w:val="25"/>
          <w:szCs w:val="25"/>
        </w:rPr>
        <w:t>7.</w:t>
      </w:r>
      <w:r>
        <w:rPr>
          <w:rFonts w:ascii="黑体" w:hAnsi="黑体" w:eastAsia="黑体" w:cs="黑体"/>
          <w:b/>
          <w:bCs/>
          <w:sz w:val="25"/>
          <w:szCs w:val="25"/>
        </w:rPr>
        <w:t>8</w:t>
      </w:r>
      <w:r>
        <w:rPr>
          <w:rFonts w:ascii="黑体" w:hAnsi="黑体" w:eastAsia="黑体" w:cs="黑体"/>
          <w:spacing w:val="41"/>
          <w:sz w:val="25"/>
          <w:szCs w:val="25"/>
        </w:rPr>
        <w:t xml:space="preserve">  </w:t>
      </w:r>
      <w:r>
        <w:rPr>
          <w:rFonts w:ascii="黑体" w:hAnsi="黑体" w:eastAsia="黑体" w:cs="黑体"/>
          <w:b/>
          <w:bCs/>
          <w:sz w:val="25"/>
          <w:szCs w:val="25"/>
        </w:rPr>
        <w:t>包装、装卸、贮存和运输保障</w:t>
      </w:r>
    </w:p>
    <w:p w14:paraId="42F4F39C">
      <w:pPr>
        <w:pStyle w:val="2"/>
        <w:spacing w:before="97" w:line="219" w:lineRule="auto"/>
        <w:ind w:left="539"/>
      </w:pPr>
      <w:r>
        <w:rPr>
          <w:spacing w:val="-11"/>
        </w:rPr>
        <w:t>包装、装卸、贮存和运输保障方案应包含：</w:t>
      </w:r>
    </w:p>
    <w:p w14:paraId="76E2CAFD">
      <w:pPr>
        <w:spacing w:line="219" w:lineRule="auto"/>
        <w:sectPr>
          <w:footerReference r:id="rId530" w:type="default"/>
          <w:pgSz w:w="11910" w:h="17130"/>
          <w:pgMar w:top="400" w:right="1095" w:bottom="1716" w:left="1450" w:header="0" w:footer="1527" w:gutter="0"/>
          <w:cols w:space="720" w:num="1"/>
        </w:sectPr>
      </w:pPr>
    </w:p>
    <w:p w14:paraId="583926F9">
      <w:pPr>
        <w:spacing w:line="305" w:lineRule="auto"/>
        <w:rPr>
          <w:rFonts w:ascii="Arial"/>
          <w:sz w:val="21"/>
        </w:rPr>
      </w:pPr>
    </w:p>
    <w:p w14:paraId="4207C120">
      <w:pPr>
        <w:spacing w:line="305" w:lineRule="auto"/>
        <w:rPr>
          <w:rFonts w:ascii="Arial"/>
          <w:sz w:val="21"/>
        </w:rPr>
      </w:pPr>
    </w:p>
    <w:p w14:paraId="17A35DD0">
      <w:pPr>
        <w:spacing w:line="306" w:lineRule="auto"/>
        <w:rPr>
          <w:rFonts w:ascii="Arial"/>
          <w:sz w:val="21"/>
        </w:rPr>
      </w:pPr>
    </w:p>
    <w:p w14:paraId="0E8B4659">
      <w:pPr>
        <w:pStyle w:val="2"/>
        <w:spacing w:before="88" w:line="277" w:lineRule="auto"/>
        <w:ind w:right="119" w:firstLine="539"/>
      </w:pPr>
      <w:r>
        <w:rPr>
          <w:rFonts w:ascii="Times New Roman" w:hAnsi="Times New Roman" w:eastAsia="Times New Roman" w:cs="Times New Roman"/>
          <w:spacing w:val="3"/>
        </w:rPr>
        <w:t xml:space="preserve">a)  </w:t>
      </w:r>
      <w:r>
        <w:rPr>
          <w:spacing w:val="3"/>
        </w:rPr>
        <w:t>包装类型及其对装备物理特性要求，包装拆除后所需的组装、调试等工</w:t>
      </w:r>
      <w:r>
        <w:rPr>
          <w:spacing w:val="4"/>
        </w:rPr>
        <w:t xml:space="preserve"> </w:t>
      </w:r>
      <w:r>
        <w:rPr>
          <w:spacing w:val="-3"/>
        </w:rPr>
        <w:t>作要求；</w:t>
      </w:r>
    </w:p>
    <w:p w14:paraId="6286CC5F">
      <w:pPr>
        <w:pStyle w:val="2"/>
        <w:spacing w:before="1" w:line="274" w:lineRule="auto"/>
        <w:ind w:right="121" w:firstLine="539"/>
      </w:pPr>
      <w:r>
        <w:rPr>
          <w:rFonts w:ascii="Times New Roman" w:hAnsi="Times New Roman" w:eastAsia="Times New Roman" w:cs="Times New Roman"/>
          <w:spacing w:val="3"/>
        </w:rPr>
        <w:t xml:space="preserve">b)  </w:t>
      </w:r>
      <w:r>
        <w:rPr>
          <w:spacing w:val="3"/>
        </w:rPr>
        <w:t>确定包装、运输对装卸的要求，装卸对产</w:t>
      </w:r>
      <w:r>
        <w:rPr>
          <w:spacing w:val="2"/>
        </w:rPr>
        <w:t>品可能造成的影响以及需采取</w:t>
      </w:r>
      <w:r>
        <w:t xml:space="preserve"> </w:t>
      </w:r>
      <w:r>
        <w:rPr>
          <w:spacing w:val="-7"/>
        </w:rPr>
        <w:t>的措施；</w:t>
      </w:r>
    </w:p>
    <w:p w14:paraId="72A70EA0">
      <w:pPr>
        <w:pStyle w:val="2"/>
        <w:spacing w:before="6" w:line="274" w:lineRule="auto"/>
        <w:ind w:right="5" w:firstLine="539"/>
      </w:pPr>
      <w:r>
        <w:rPr>
          <w:rFonts w:ascii="Times New Roman" w:hAnsi="Times New Roman" w:eastAsia="Times New Roman" w:cs="Times New Roman"/>
          <w:spacing w:val="-1"/>
        </w:rPr>
        <w:t xml:space="preserve">c)  </w:t>
      </w:r>
      <w:r>
        <w:rPr>
          <w:spacing w:val="-1"/>
        </w:rPr>
        <w:t>贮存环境和条件要求，贮存期间的保养、检测间</w:t>
      </w:r>
      <w:r>
        <w:rPr>
          <w:spacing w:val="-2"/>
        </w:rPr>
        <w:t>隔期及方法、装备封存、</w:t>
      </w:r>
      <w:r>
        <w:t xml:space="preserve"> </w:t>
      </w:r>
      <w:r>
        <w:rPr>
          <w:spacing w:val="-9"/>
        </w:rPr>
        <w:t>启封的保养、检测安排；</w:t>
      </w:r>
    </w:p>
    <w:p w14:paraId="3DE6DEDE">
      <w:pPr>
        <w:pStyle w:val="2"/>
        <w:spacing w:before="18" w:line="274" w:lineRule="auto"/>
        <w:ind w:right="121" w:firstLine="539"/>
      </w:pPr>
      <w:r>
        <w:rPr>
          <w:rFonts w:ascii="Times New Roman" w:hAnsi="Times New Roman" w:eastAsia="Times New Roman" w:cs="Times New Roman"/>
          <w:spacing w:val="3"/>
        </w:rPr>
        <w:t>d)</w:t>
      </w:r>
      <w:r>
        <w:rPr>
          <w:rFonts w:ascii="Times New Roman" w:hAnsi="Times New Roman" w:eastAsia="Times New Roman" w:cs="Times New Roman"/>
          <w:spacing w:val="66"/>
        </w:rPr>
        <w:t xml:space="preserve"> </w:t>
      </w:r>
      <w:r>
        <w:rPr>
          <w:spacing w:val="3"/>
        </w:rPr>
        <w:t>需要采用的运输方式、运载工具以及尺寸限制措施，运输</w:t>
      </w:r>
      <w:r>
        <w:rPr>
          <w:spacing w:val="2"/>
        </w:rPr>
        <w:t>条件及其对装</w:t>
      </w:r>
      <w:r>
        <w:t xml:space="preserve"> 备技术性能的要求。</w:t>
      </w:r>
    </w:p>
    <w:p w14:paraId="579E1278">
      <w:pPr>
        <w:spacing w:before="20" w:line="368" w:lineRule="exact"/>
        <w:rPr>
          <w:rFonts w:ascii="黑体" w:hAnsi="黑体" w:eastAsia="黑体" w:cs="黑体"/>
          <w:sz w:val="27"/>
          <w:szCs w:val="27"/>
        </w:rPr>
      </w:pPr>
      <w:r>
        <w:rPr>
          <w:rFonts w:ascii="Arial" w:hAnsi="Arial" w:eastAsia="Arial" w:cs="Arial"/>
          <w:spacing w:val="2"/>
          <w:position w:val="1"/>
          <w:sz w:val="27"/>
          <w:szCs w:val="27"/>
        </w:rPr>
        <w:t>7.9</w:t>
      </w:r>
      <w:r>
        <w:rPr>
          <w:rFonts w:ascii="Arial" w:hAnsi="Arial" w:eastAsia="Arial" w:cs="Arial"/>
          <w:spacing w:val="9"/>
          <w:position w:val="1"/>
          <w:sz w:val="27"/>
          <w:szCs w:val="27"/>
        </w:rPr>
        <w:t xml:space="preserve">    </w:t>
      </w:r>
      <w:r>
        <w:rPr>
          <w:rFonts w:ascii="黑体" w:hAnsi="黑体" w:eastAsia="黑体" w:cs="黑体"/>
          <w:spacing w:val="2"/>
          <w:position w:val="1"/>
          <w:sz w:val="27"/>
          <w:szCs w:val="27"/>
        </w:rPr>
        <w:t>特殊保障</w:t>
      </w:r>
    </w:p>
    <w:p w14:paraId="50B15E8E">
      <w:pPr>
        <w:pStyle w:val="2"/>
        <w:spacing w:before="80" w:line="283" w:lineRule="auto"/>
        <w:ind w:right="125" w:firstLine="539"/>
      </w:pPr>
      <w:r>
        <w:rPr>
          <w:spacing w:val="-3"/>
        </w:rPr>
        <w:t>考虑特殊保障要求，如核生化条件下的防护，坦克的潜渡保障要求，战时特</w:t>
      </w:r>
      <w:r>
        <w:rPr>
          <w:spacing w:val="7"/>
        </w:rPr>
        <w:t xml:space="preserve"> </w:t>
      </w:r>
      <w:r>
        <w:rPr>
          <w:spacing w:val="2"/>
        </w:rPr>
        <w:t>殊保障要求等。</w:t>
      </w:r>
    </w:p>
    <w:p w14:paraId="1B3354C7">
      <w:pPr>
        <w:spacing w:before="306" w:line="221" w:lineRule="auto"/>
        <w:ind w:left="3150"/>
        <w:rPr>
          <w:rFonts w:ascii="仿宋" w:hAnsi="仿宋" w:eastAsia="仿宋" w:cs="仿宋"/>
          <w:sz w:val="39"/>
          <w:szCs w:val="39"/>
        </w:rPr>
      </w:pPr>
      <w:r>
        <w:rPr>
          <w:rFonts w:ascii="仿宋" w:hAnsi="仿宋" w:eastAsia="仿宋" w:cs="仿宋"/>
          <w:spacing w:val="-21"/>
          <w:sz w:val="39"/>
          <w:szCs w:val="39"/>
        </w:rPr>
        <w:t xml:space="preserve">10.20  </w:t>
      </w:r>
      <w:r>
        <w:rPr>
          <w:rFonts w:ascii="仿宋" w:hAnsi="仿宋" w:eastAsia="仿宋" w:cs="仿宋"/>
          <w:b/>
          <w:bCs/>
          <w:spacing w:val="-21"/>
          <w:sz w:val="39"/>
          <w:szCs w:val="39"/>
        </w:rPr>
        <w:t>保</w:t>
      </w:r>
      <w:r>
        <w:rPr>
          <w:rFonts w:ascii="仿宋" w:hAnsi="仿宋" w:eastAsia="仿宋" w:cs="仿宋"/>
          <w:spacing w:val="-21"/>
          <w:sz w:val="39"/>
          <w:szCs w:val="39"/>
        </w:rPr>
        <w:t xml:space="preserve"> </w:t>
      </w:r>
      <w:r>
        <w:rPr>
          <w:rFonts w:ascii="仿宋" w:hAnsi="仿宋" w:eastAsia="仿宋" w:cs="仿宋"/>
          <w:b/>
          <w:bCs/>
          <w:spacing w:val="-21"/>
          <w:sz w:val="39"/>
          <w:szCs w:val="39"/>
        </w:rPr>
        <w:t>障</w:t>
      </w:r>
      <w:r>
        <w:rPr>
          <w:rFonts w:ascii="仿宋" w:hAnsi="仿宋" w:eastAsia="仿宋" w:cs="仿宋"/>
          <w:spacing w:val="-49"/>
          <w:sz w:val="39"/>
          <w:szCs w:val="39"/>
        </w:rPr>
        <w:t xml:space="preserve"> </w:t>
      </w:r>
      <w:r>
        <w:rPr>
          <w:rFonts w:ascii="仿宋" w:hAnsi="仿宋" w:eastAsia="仿宋" w:cs="仿宋"/>
          <w:b/>
          <w:bCs/>
          <w:spacing w:val="-21"/>
          <w:sz w:val="39"/>
          <w:szCs w:val="39"/>
        </w:rPr>
        <w:t>计</w:t>
      </w:r>
      <w:r>
        <w:rPr>
          <w:rFonts w:ascii="仿宋" w:hAnsi="仿宋" w:eastAsia="仿宋" w:cs="仿宋"/>
          <w:spacing w:val="-53"/>
          <w:sz w:val="39"/>
          <w:szCs w:val="39"/>
        </w:rPr>
        <w:t xml:space="preserve"> </w:t>
      </w:r>
      <w:r>
        <w:rPr>
          <w:rFonts w:ascii="仿宋" w:hAnsi="仿宋" w:eastAsia="仿宋" w:cs="仿宋"/>
          <w:b/>
          <w:bCs/>
          <w:spacing w:val="-21"/>
          <w:sz w:val="39"/>
          <w:szCs w:val="39"/>
        </w:rPr>
        <w:t>划</w:t>
      </w:r>
    </w:p>
    <w:p w14:paraId="198B8FAC">
      <w:pPr>
        <w:spacing w:line="310" w:lineRule="auto"/>
        <w:rPr>
          <w:rFonts w:ascii="Arial"/>
          <w:sz w:val="21"/>
        </w:rPr>
      </w:pPr>
    </w:p>
    <w:p w14:paraId="07EB24B3">
      <w:pPr>
        <w:pStyle w:val="2"/>
        <w:spacing w:before="92" w:line="225" w:lineRule="auto"/>
        <w:ind w:left="544"/>
        <w:rPr>
          <w:rFonts w:ascii="楷体" w:hAnsi="楷体" w:eastAsia="楷体" w:cs="楷体"/>
          <w:sz w:val="28"/>
          <w:szCs w:val="28"/>
        </w:rPr>
      </w:pPr>
      <w:r>
        <w:rPr>
          <w:rFonts w:ascii="楷体" w:hAnsi="楷体" w:eastAsia="楷体" w:cs="楷体"/>
          <w:b/>
          <w:bCs/>
          <w:spacing w:val="-12"/>
          <w:sz w:val="28"/>
          <w:szCs w:val="28"/>
        </w:rPr>
        <w:t>按照</w:t>
      </w:r>
      <w:r>
        <w:rPr>
          <w:rFonts w:ascii="Times New Roman" w:hAnsi="Times New Roman" w:eastAsia="Times New Roman" w:cs="Times New Roman"/>
          <w:b/>
          <w:bCs/>
          <w:spacing w:val="-12"/>
          <w:sz w:val="28"/>
          <w:szCs w:val="28"/>
        </w:rPr>
        <w:t>GJB/Z</w:t>
      </w:r>
      <w:r>
        <w:rPr>
          <w:rFonts w:ascii="Times New Roman" w:hAnsi="Times New Roman" w:eastAsia="Times New Roman" w:cs="Times New Roman"/>
          <w:b/>
          <w:bCs/>
          <w:spacing w:val="14"/>
          <w:sz w:val="28"/>
          <w:szCs w:val="28"/>
        </w:rPr>
        <w:t xml:space="preserve"> </w:t>
      </w:r>
      <w:r>
        <w:rPr>
          <w:rFonts w:ascii="Times New Roman" w:hAnsi="Times New Roman" w:eastAsia="Times New Roman" w:cs="Times New Roman"/>
          <w:b/>
          <w:bCs/>
          <w:spacing w:val="-12"/>
          <w:sz w:val="28"/>
          <w:szCs w:val="28"/>
        </w:rPr>
        <w:t>151—2007</w:t>
      </w:r>
      <w:r>
        <w:rPr>
          <w:b/>
          <w:bCs/>
          <w:spacing w:val="-12"/>
          <w:sz w:val="28"/>
          <w:szCs w:val="28"/>
        </w:rPr>
        <w:t>《</w:t>
      </w:r>
      <w:r>
        <w:rPr>
          <w:rFonts w:ascii="楷体" w:hAnsi="楷体" w:eastAsia="楷体" w:cs="楷体"/>
          <w:b/>
          <w:bCs/>
          <w:spacing w:val="-12"/>
          <w:sz w:val="28"/>
          <w:szCs w:val="28"/>
        </w:rPr>
        <w:t>装备保障方案和保障计划编制指南</w:t>
      </w:r>
      <w:r>
        <w:rPr>
          <w:rFonts w:ascii="楷体" w:hAnsi="楷体" w:eastAsia="楷体" w:cs="楷体"/>
          <w:b/>
          <w:bCs/>
          <w:spacing w:val="-13"/>
          <w:sz w:val="28"/>
          <w:szCs w:val="28"/>
        </w:rPr>
        <w:t>》编写。</w:t>
      </w:r>
    </w:p>
    <w:p w14:paraId="38D1642A">
      <w:pPr>
        <w:spacing w:before="96"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34"/>
          <w:sz w:val="27"/>
          <w:szCs w:val="27"/>
        </w:rPr>
        <w:t xml:space="preserve">  </w:t>
      </w:r>
      <w:r>
        <w:rPr>
          <w:rFonts w:ascii="黑体" w:hAnsi="黑体" w:eastAsia="黑体" w:cs="黑体"/>
          <w:spacing w:val="-6"/>
          <w:sz w:val="27"/>
          <w:szCs w:val="27"/>
        </w:rPr>
        <w:t>范围</w:t>
      </w:r>
    </w:p>
    <w:p w14:paraId="19FA8118">
      <w:pPr>
        <w:spacing w:before="72"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23"/>
          <w:sz w:val="27"/>
          <w:szCs w:val="27"/>
        </w:rPr>
        <w:t xml:space="preserve">  </w:t>
      </w:r>
      <w:r>
        <w:rPr>
          <w:rFonts w:ascii="黑体" w:hAnsi="黑体" w:eastAsia="黑体" w:cs="黑体"/>
          <w:spacing w:val="-2"/>
          <w:sz w:val="27"/>
          <w:szCs w:val="27"/>
        </w:rPr>
        <w:t>引用文件</w:t>
      </w:r>
    </w:p>
    <w:p w14:paraId="1EC45F74">
      <w:pPr>
        <w:spacing w:before="36" w:line="368" w:lineRule="exact"/>
        <w:rPr>
          <w:rFonts w:ascii="黑体" w:hAnsi="黑体" w:eastAsia="黑体" w:cs="黑体"/>
          <w:sz w:val="27"/>
          <w:szCs w:val="27"/>
        </w:rPr>
      </w:pPr>
      <w:r>
        <w:rPr>
          <w:rFonts w:ascii="Arial" w:hAnsi="Arial" w:eastAsia="Arial" w:cs="Arial"/>
          <w:spacing w:val="1"/>
          <w:position w:val="1"/>
          <w:sz w:val="27"/>
          <w:szCs w:val="27"/>
        </w:rPr>
        <w:t xml:space="preserve">3    </w:t>
      </w:r>
      <w:r>
        <w:rPr>
          <w:rFonts w:ascii="黑体" w:hAnsi="黑体" w:eastAsia="黑体" w:cs="黑体"/>
          <w:spacing w:val="1"/>
          <w:position w:val="1"/>
          <w:sz w:val="27"/>
          <w:szCs w:val="27"/>
        </w:rPr>
        <w:t>保障方案描述</w:t>
      </w:r>
    </w:p>
    <w:p w14:paraId="626E31AA">
      <w:pPr>
        <w:pStyle w:val="2"/>
        <w:spacing w:before="91" w:line="284" w:lineRule="auto"/>
        <w:ind w:right="124" w:firstLine="539"/>
      </w:pPr>
      <w:r>
        <w:rPr>
          <w:spacing w:val="-3"/>
        </w:rPr>
        <w:t>从装备使用方案、使用保障方案、维修保障方案、综合保障要素方案等几方</w:t>
      </w:r>
      <w:r>
        <w:rPr>
          <w:spacing w:val="8"/>
        </w:rPr>
        <w:t xml:space="preserve"> </w:t>
      </w:r>
      <w:r>
        <w:rPr>
          <w:spacing w:val="-3"/>
        </w:rPr>
        <w:t>面进行描述。</w:t>
      </w:r>
    </w:p>
    <w:p w14:paraId="43011D82">
      <w:pPr>
        <w:spacing w:before="1" w:line="221" w:lineRule="auto"/>
        <w:rPr>
          <w:rFonts w:ascii="黑体" w:hAnsi="黑体" w:eastAsia="黑体" w:cs="黑体"/>
          <w:sz w:val="27"/>
          <w:szCs w:val="27"/>
        </w:rPr>
      </w:pPr>
      <w:r>
        <w:rPr>
          <w:rFonts w:ascii="黑体" w:hAnsi="黑体" w:eastAsia="黑体" w:cs="黑体"/>
          <w:spacing w:val="4"/>
          <w:sz w:val="27"/>
          <w:szCs w:val="27"/>
        </w:rPr>
        <w:t>4</w:t>
      </w:r>
      <w:r>
        <w:rPr>
          <w:rFonts w:ascii="黑体" w:hAnsi="黑体" w:eastAsia="黑体" w:cs="黑体"/>
          <w:spacing w:val="25"/>
          <w:sz w:val="27"/>
          <w:szCs w:val="27"/>
        </w:rPr>
        <w:t xml:space="preserve">  </w:t>
      </w:r>
      <w:r>
        <w:rPr>
          <w:rFonts w:ascii="黑体" w:hAnsi="黑体" w:eastAsia="黑体" w:cs="黑体"/>
          <w:spacing w:val="4"/>
          <w:sz w:val="27"/>
          <w:szCs w:val="27"/>
        </w:rPr>
        <w:t>使用保障计划</w:t>
      </w:r>
    </w:p>
    <w:p w14:paraId="100695C7">
      <w:pPr>
        <w:pStyle w:val="2"/>
        <w:spacing w:before="77" w:line="219" w:lineRule="auto"/>
        <w:ind w:left="539"/>
      </w:pPr>
      <w:r>
        <w:rPr>
          <w:spacing w:val="1"/>
        </w:rPr>
        <w:t>使用保障计划包括如下内容：</w:t>
      </w:r>
    </w:p>
    <w:p w14:paraId="618D3A68">
      <w:pPr>
        <w:pStyle w:val="2"/>
        <w:spacing w:before="69" w:line="212" w:lineRule="auto"/>
        <w:ind w:left="539"/>
      </w:pPr>
      <w:r>
        <w:rPr>
          <w:rFonts w:ascii="Times New Roman" w:hAnsi="Times New Roman" w:eastAsia="Times New Roman" w:cs="Times New Roman"/>
          <w:spacing w:val="-1"/>
        </w:rPr>
        <w:t xml:space="preserve">a)  </w:t>
      </w:r>
      <w:r>
        <w:rPr>
          <w:spacing w:val="-1"/>
        </w:rPr>
        <w:t>所有使用保障工作项目及内容和技术要求，分类列</w:t>
      </w:r>
      <w:r>
        <w:rPr>
          <w:spacing w:val="-2"/>
        </w:rPr>
        <w:t>出；</w:t>
      </w:r>
    </w:p>
    <w:p w14:paraId="56764996">
      <w:pPr>
        <w:pStyle w:val="2"/>
        <w:spacing w:before="91" w:line="260" w:lineRule="auto"/>
        <w:ind w:right="119" w:firstLine="539"/>
      </w:pPr>
      <w:r>
        <w:rPr>
          <w:rFonts w:ascii="Times New Roman" w:hAnsi="Times New Roman" w:eastAsia="Times New Roman" w:cs="Times New Roman"/>
          <w:spacing w:val="-5"/>
        </w:rPr>
        <w:t xml:space="preserve">b)  </w:t>
      </w:r>
      <w:r>
        <w:rPr>
          <w:spacing w:val="-5"/>
        </w:rPr>
        <w:t>每个工作项目的实施时机、步骤、方法、所需时间等，其详细程度应能据</w:t>
      </w:r>
      <w:r>
        <w:rPr>
          <w:spacing w:val="4"/>
        </w:rPr>
        <w:t xml:space="preserve"> </w:t>
      </w:r>
      <w:r>
        <w:rPr>
          <w:spacing w:val="-2"/>
        </w:rPr>
        <w:t>以确定保障资源；</w:t>
      </w:r>
    </w:p>
    <w:p w14:paraId="360C0675">
      <w:pPr>
        <w:pStyle w:val="2"/>
        <w:spacing w:before="59" w:line="212" w:lineRule="auto"/>
        <w:ind w:left="539"/>
      </w:pPr>
      <w:r>
        <w:rPr>
          <w:rFonts w:ascii="Times New Roman" w:hAnsi="Times New Roman" w:eastAsia="Times New Roman" w:cs="Times New Roman"/>
          <w:spacing w:val="3"/>
        </w:rPr>
        <w:t xml:space="preserve">c)  </w:t>
      </w:r>
      <w:r>
        <w:rPr>
          <w:spacing w:val="3"/>
        </w:rPr>
        <w:t>与每个工作项目相适应并经优化组合的保障资源。</w:t>
      </w:r>
    </w:p>
    <w:p w14:paraId="7DA71C08">
      <w:pPr>
        <w:spacing w:before="60" w:line="368" w:lineRule="exact"/>
        <w:rPr>
          <w:rFonts w:ascii="黑体" w:hAnsi="黑体" w:eastAsia="黑体" w:cs="黑体"/>
          <w:sz w:val="27"/>
          <w:szCs w:val="27"/>
        </w:rPr>
      </w:pPr>
      <w:r>
        <w:rPr>
          <w:rFonts w:ascii="Arial" w:hAnsi="Arial" w:eastAsia="Arial" w:cs="Arial"/>
          <w:spacing w:val="3"/>
          <w:position w:val="1"/>
          <w:sz w:val="27"/>
          <w:szCs w:val="27"/>
        </w:rPr>
        <w:t xml:space="preserve">5    </w:t>
      </w:r>
      <w:r>
        <w:rPr>
          <w:rFonts w:ascii="黑体" w:hAnsi="黑体" w:eastAsia="黑体" w:cs="黑体"/>
          <w:spacing w:val="3"/>
          <w:position w:val="1"/>
          <w:sz w:val="27"/>
          <w:szCs w:val="27"/>
        </w:rPr>
        <w:t>维修保障计划</w:t>
      </w:r>
    </w:p>
    <w:p w14:paraId="25720E22">
      <w:pPr>
        <w:pStyle w:val="2"/>
        <w:spacing w:before="102" w:line="219" w:lineRule="auto"/>
        <w:ind w:left="539"/>
      </w:pPr>
      <w:r>
        <w:rPr>
          <w:spacing w:val="1"/>
        </w:rPr>
        <w:t>维修保障计划包括如下内容：</w:t>
      </w:r>
    </w:p>
    <w:p w14:paraId="563B2484">
      <w:pPr>
        <w:pStyle w:val="2"/>
        <w:spacing w:before="69" w:line="254" w:lineRule="auto"/>
        <w:ind w:firstLine="539"/>
      </w:pPr>
      <w:r>
        <w:rPr>
          <w:rFonts w:ascii="Times New Roman" w:hAnsi="Times New Roman" w:eastAsia="Times New Roman" w:cs="Times New Roman"/>
          <w:spacing w:val="3"/>
        </w:rPr>
        <w:t xml:space="preserve">a)  </w:t>
      </w:r>
      <w:r>
        <w:rPr>
          <w:spacing w:val="3"/>
        </w:rPr>
        <w:t>所有维修工作项目及内容和技术要求，并</w:t>
      </w:r>
      <w:r>
        <w:rPr>
          <w:spacing w:val="2"/>
        </w:rPr>
        <w:t>分别按不同维修级别(基层级、</w:t>
      </w:r>
      <w:r>
        <w:t xml:space="preserve"> </w:t>
      </w:r>
      <w:r>
        <w:rPr>
          <w:spacing w:val="-11"/>
        </w:rPr>
        <w:t>中继级、基地级)列出；</w:t>
      </w:r>
    </w:p>
    <w:p w14:paraId="4D294E1C">
      <w:pPr>
        <w:pStyle w:val="2"/>
        <w:spacing w:before="99" w:line="212" w:lineRule="auto"/>
        <w:ind w:left="539"/>
        <w:rPr>
          <w:sz w:val="24"/>
          <w:szCs w:val="24"/>
        </w:rPr>
      </w:pPr>
      <w:r>
        <w:rPr>
          <w:rFonts w:ascii="Times New Roman" w:hAnsi="Times New Roman" w:eastAsia="Times New Roman" w:cs="Times New Roman"/>
          <w:spacing w:val="27"/>
          <w:sz w:val="24"/>
          <w:szCs w:val="24"/>
        </w:rPr>
        <w:t xml:space="preserve">b)  </w:t>
      </w:r>
      <w:r>
        <w:rPr>
          <w:spacing w:val="27"/>
          <w:sz w:val="24"/>
          <w:szCs w:val="24"/>
        </w:rPr>
        <w:t>维修对象(装备的部位、设备或部件)和维修时机(或维修间隔期);</w:t>
      </w:r>
    </w:p>
    <w:p w14:paraId="2484281C">
      <w:pPr>
        <w:pStyle w:val="2"/>
        <w:spacing w:before="103" w:line="212" w:lineRule="auto"/>
        <w:ind w:left="539"/>
      </w:pPr>
      <w:r>
        <w:rPr>
          <w:rFonts w:ascii="Times New Roman" w:hAnsi="Times New Roman" w:eastAsia="Times New Roman" w:cs="Times New Roman"/>
          <w:spacing w:val="-6"/>
        </w:rPr>
        <w:t xml:space="preserve">c)  </w:t>
      </w:r>
      <w:r>
        <w:rPr>
          <w:spacing w:val="-6"/>
        </w:rPr>
        <w:t>每个工作项目的实施步骤、方法、人员及所需时间等；</w:t>
      </w:r>
    </w:p>
    <w:p w14:paraId="2D7EE672">
      <w:pPr>
        <w:pStyle w:val="2"/>
        <w:spacing w:before="132" w:line="263" w:lineRule="auto"/>
        <w:ind w:right="125" w:firstLine="539"/>
        <w:rPr>
          <w:sz w:val="25"/>
          <w:szCs w:val="25"/>
        </w:rPr>
      </w:pPr>
      <w:r>
        <w:rPr>
          <w:rFonts w:ascii="Times New Roman" w:hAnsi="Times New Roman" w:eastAsia="Times New Roman" w:cs="Times New Roman"/>
          <w:spacing w:val="21"/>
          <w:sz w:val="25"/>
          <w:szCs w:val="25"/>
        </w:rPr>
        <w:t xml:space="preserve">d)  </w:t>
      </w:r>
      <w:r>
        <w:rPr>
          <w:spacing w:val="21"/>
          <w:sz w:val="25"/>
          <w:szCs w:val="25"/>
        </w:rPr>
        <w:t>战场装备损伤修复项目与技术要求，抢救实施程序和方法，抢修与抢救</w:t>
      </w:r>
      <w:r>
        <w:rPr>
          <w:sz w:val="25"/>
          <w:szCs w:val="25"/>
        </w:rPr>
        <w:t xml:space="preserve"> </w:t>
      </w:r>
      <w:r>
        <w:rPr>
          <w:spacing w:val="13"/>
          <w:sz w:val="25"/>
          <w:szCs w:val="25"/>
        </w:rPr>
        <w:t>设施、设备及战时器材保障等；</w:t>
      </w:r>
    </w:p>
    <w:p w14:paraId="03F568C8">
      <w:pPr>
        <w:spacing w:line="263" w:lineRule="auto"/>
        <w:rPr>
          <w:sz w:val="25"/>
          <w:szCs w:val="25"/>
        </w:rPr>
        <w:sectPr>
          <w:footerReference r:id="rId531" w:type="default"/>
          <w:pgSz w:w="11910" w:h="17130"/>
          <w:pgMar w:top="400" w:right="1465" w:bottom="1733" w:left="959" w:header="0" w:footer="1535" w:gutter="0"/>
          <w:cols w:space="720" w:num="1"/>
        </w:sectPr>
      </w:pPr>
    </w:p>
    <w:p w14:paraId="686845F5">
      <w:pPr>
        <w:spacing w:line="292" w:lineRule="auto"/>
        <w:rPr>
          <w:rFonts w:ascii="Arial"/>
          <w:sz w:val="21"/>
        </w:rPr>
      </w:pPr>
    </w:p>
    <w:p w14:paraId="45A8772C">
      <w:pPr>
        <w:spacing w:line="292" w:lineRule="auto"/>
        <w:rPr>
          <w:rFonts w:ascii="Arial"/>
          <w:sz w:val="21"/>
        </w:rPr>
      </w:pPr>
    </w:p>
    <w:p w14:paraId="0C1ADF55">
      <w:pPr>
        <w:spacing w:line="293" w:lineRule="auto"/>
        <w:rPr>
          <w:rFonts w:ascii="Arial"/>
          <w:sz w:val="21"/>
        </w:rPr>
      </w:pPr>
    </w:p>
    <w:p w14:paraId="19B2440E">
      <w:pPr>
        <w:pStyle w:val="2"/>
        <w:spacing w:before="88" w:line="212" w:lineRule="auto"/>
        <w:ind w:left="570"/>
      </w:pPr>
      <w:r>
        <w:rPr>
          <w:rFonts w:ascii="Times New Roman" w:hAnsi="Times New Roman" w:eastAsia="Times New Roman" w:cs="Times New Roman"/>
          <w:spacing w:val="3"/>
        </w:rPr>
        <w:t xml:space="preserve">e)  </w:t>
      </w:r>
      <w:r>
        <w:rPr>
          <w:spacing w:val="3"/>
        </w:rPr>
        <w:t>与每个工作项目相适应并经优化组合的保障资源。</w:t>
      </w:r>
    </w:p>
    <w:p w14:paraId="34F69FF7">
      <w:pPr>
        <w:spacing w:before="146" w:line="221" w:lineRule="auto"/>
        <w:rPr>
          <w:rFonts w:ascii="黑体" w:hAnsi="黑体" w:eastAsia="黑体" w:cs="黑体"/>
          <w:sz w:val="24"/>
          <w:szCs w:val="24"/>
        </w:rPr>
      </w:pPr>
      <w:r>
        <w:rPr>
          <w:rFonts w:ascii="黑体" w:hAnsi="黑体" w:eastAsia="黑体" w:cs="黑体"/>
          <w:spacing w:val="29"/>
          <w:sz w:val="24"/>
          <w:szCs w:val="24"/>
        </w:rPr>
        <w:t>6</w:t>
      </w:r>
      <w:r>
        <w:rPr>
          <w:rFonts w:ascii="黑体" w:hAnsi="黑体" w:eastAsia="黑体" w:cs="黑体"/>
          <w:spacing w:val="30"/>
          <w:sz w:val="24"/>
          <w:szCs w:val="24"/>
        </w:rPr>
        <w:t xml:space="preserve">  </w:t>
      </w:r>
      <w:r>
        <w:rPr>
          <w:rFonts w:ascii="黑体" w:hAnsi="黑体" w:eastAsia="黑体" w:cs="黑体"/>
          <w:spacing w:val="29"/>
          <w:sz w:val="24"/>
          <w:szCs w:val="24"/>
        </w:rPr>
        <w:t>保障资源清单</w:t>
      </w:r>
    </w:p>
    <w:p w14:paraId="7BDE047A">
      <w:pPr>
        <w:pStyle w:val="2"/>
        <w:spacing w:before="76" w:line="287" w:lineRule="auto"/>
        <w:ind w:right="8" w:firstLine="570"/>
      </w:pPr>
      <w:r>
        <w:rPr>
          <w:spacing w:val="-6"/>
        </w:rPr>
        <w:t>根据本书10.19《保障方案》的“综合</w:t>
      </w:r>
      <w:r>
        <w:rPr>
          <w:spacing w:val="-7"/>
        </w:rPr>
        <w:t>保障要素方案”一节中的各项要求对以</w:t>
      </w:r>
      <w:r>
        <w:t xml:space="preserve"> 下内容进行详细说明。</w:t>
      </w:r>
    </w:p>
    <w:p w14:paraId="5B48DAA3">
      <w:pPr>
        <w:pStyle w:val="2"/>
        <w:spacing w:line="219" w:lineRule="auto"/>
        <w:ind w:left="570"/>
      </w:pPr>
      <w:r>
        <w:rPr>
          <w:spacing w:val="2"/>
        </w:rPr>
        <w:t>6.1  人力和人员保障清单</w:t>
      </w:r>
    </w:p>
    <w:p w14:paraId="5907E930">
      <w:pPr>
        <w:pStyle w:val="2"/>
        <w:spacing w:before="77" w:line="219" w:lineRule="auto"/>
        <w:ind w:left="570"/>
      </w:pPr>
      <w:r>
        <w:rPr>
          <w:rFonts w:ascii="Times New Roman" w:hAnsi="Times New Roman" w:eastAsia="Times New Roman" w:cs="Times New Roman"/>
          <w:spacing w:val="3"/>
        </w:rPr>
        <w:t xml:space="preserve">6.2     </w:t>
      </w:r>
      <w:r>
        <w:rPr>
          <w:spacing w:val="3"/>
        </w:rPr>
        <w:t>备件供应清单</w:t>
      </w:r>
    </w:p>
    <w:p w14:paraId="32A412DB">
      <w:pPr>
        <w:pStyle w:val="2"/>
        <w:spacing w:before="131" w:line="219" w:lineRule="auto"/>
        <w:ind w:left="570"/>
        <w:rPr>
          <w:sz w:val="24"/>
          <w:szCs w:val="24"/>
        </w:rPr>
      </w:pPr>
      <w:r>
        <w:rPr>
          <w:rFonts w:ascii="Times New Roman" w:hAnsi="Times New Roman" w:eastAsia="Times New Roman" w:cs="Times New Roman"/>
          <w:spacing w:val="23"/>
          <w:sz w:val="24"/>
          <w:szCs w:val="24"/>
        </w:rPr>
        <w:t>6.3</w:t>
      </w:r>
      <w:r>
        <w:rPr>
          <w:rFonts w:ascii="Times New Roman" w:hAnsi="Times New Roman" w:eastAsia="Times New Roman" w:cs="Times New Roman"/>
          <w:spacing w:val="5"/>
          <w:sz w:val="24"/>
          <w:szCs w:val="24"/>
        </w:rPr>
        <w:t xml:space="preserve">      </w:t>
      </w:r>
      <w:r>
        <w:rPr>
          <w:spacing w:val="23"/>
          <w:sz w:val="24"/>
          <w:szCs w:val="24"/>
        </w:rPr>
        <w:t>保障设备清单</w:t>
      </w:r>
    </w:p>
    <w:p w14:paraId="6CDF4488">
      <w:pPr>
        <w:pStyle w:val="2"/>
        <w:spacing w:before="115" w:line="219" w:lineRule="auto"/>
        <w:ind w:left="570"/>
        <w:rPr>
          <w:sz w:val="24"/>
          <w:szCs w:val="24"/>
        </w:rPr>
      </w:pPr>
      <w:r>
        <w:rPr>
          <w:rFonts w:ascii="Times New Roman" w:hAnsi="Times New Roman" w:eastAsia="Times New Roman" w:cs="Times New Roman"/>
          <w:spacing w:val="27"/>
          <w:sz w:val="24"/>
          <w:szCs w:val="24"/>
        </w:rPr>
        <w:t>6.4</w:t>
      </w:r>
      <w:r>
        <w:rPr>
          <w:rFonts w:ascii="Times New Roman" w:hAnsi="Times New Roman" w:eastAsia="Times New Roman" w:cs="Times New Roman"/>
          <w:spacing w:val="6"/>
          <w:sz w:val="24"/>
          <w:szCs w:val="24"/>
        </w:rPr>
        <w:t xml:space="preserve">      </w:t>
      </w:r>
      <w:r>
        <w:rPr>
          <w:spacing w:val="27"/>
          <w:sz w:val="24"/>
          <w:szCs w:val="24"/>
        </w:rPr>
        <w:t>技术资料品种与数量清单</w:t>
      </w:r>
    </w:p>
    <w:p w14:paraId="3161A237">
      <w:pPr>
        <w:pStyle w:val="2"/>
        <w:spacing w:before="115" w:line="219" w:lineRule="auto"/>
        <w:ind w:left="570"/>
        <w:rPr>
          <w:sz w:val="24"/>
          <w:szCs w:val="24"/>
        </w:rPr>
      </w:pPr>
      <w:r>
        <w:rPr>
          <w:rFonts w:ascii="Times New Roman" w:hAnsi="Times New Roman" w:eastAsia="Times New Roman" w:cs="Times New Roman"/>
          <w:spacing w:val="25"/>
          <w:sz w:val="24"/>
          <w:szCs w:val="24"/>
        </w:rPr>
        <w:t>6.5</w:t>
      </w:r>
      <w:r>
        <w:rPr>
          <w:rFonts w:ascii="Times New Roman" w:hAnsi="Times New Roman" w:eastAsia="Times New Roman" w:cs="Times New Roman"/>
          <w:spacing w:val="5"/>
          <w:sz w:val="24"/>
          <w:szCs w:val="24"/>
        </w:rPr>
        <w:t xml:space="preserve">      </w:t>
      </w:r>
      <w:r>
        <w:rPr>
          <w:spacing w:val="25"/>
          <w:sz w:val="24"/>
          <w:szCs w:val="24"/>
        </w:rPr>
        <w:t>训练保障资源清单</w:t>
      </w:r>
    </w:p>
    <w:p w14:paraId="07817EB1">
      <w:pPr>
        <w:pStyle w:val="2"/>
        <w:spacing w:before="85" w:line="219" w:lineRule="auto"/>
        <w:ind w:left="570"/>
      </w:pPr>
      <w:r>
        <w:rPr>
          <w:spacing w:val="4"/>
        </w:rPr>
        <w:t>6.6  计算机资源清单</w:t>
      </w:r>
    </w:p>
    <w:p w14:paraId="04B0A0A2">
      <w:pPr>
        <w:pStyle w:val="2"/>
        <w:spacing w:before="92" w:line="219" w:lineRule="auto"/>
        <w:ind w:left="570"/>
      </w:pPr>
      <w:r>
        <w:rPr>
          <w:rFonts w:ascii="Times New Roman" w:hAnsi="Times New Roman" w:eastAsia="Times New Roman" w:cs="Times New Roman"/>
          <w:spacing w:val="3"/>
        </w:rPr>
        <w:t xml:space="preserve">6.7     </w:t>
      </w:r>
      <w:r>
        <w:rPr>
          <w:spacing w:val="3"/>
        </w:rPr>
        <w:t>保障设施清单</w:t>
      </w:r>
    </w:p>
    <w:p w14:paraId="4EBDE9A5">
      <w:pPr>
        <w:pStyle w:val="2"/>
        <w:spacing w:before="99" w:line="220" w:lineRule="auto"/>
        <w:ind w:left="570"/>
        <w:rPr>
          <w:sz w:val="25"/>
          <w:szCs w:val="25"/>
        </w:rPr>
      </w:pPr>
      <w:r>
        <w:rPr>
          <w:spacing w:val="-5"/>
          <w:sz w:val="25"/>
          <w:szCs w:val="25"/>
        </w:rPr>
        <w:t>6.8</w:t>
      </w:r>
      <w:r>
        <w:rPr>
          <w:spacing w:val="34"/>
          <w:sz w:val="25"/>
          <w:szCs w:val="25"/>
        </w:rPr>
        <w:t xml:space="preserve">  </w:t>
      </w:r>
      <w:r>
        <w:rPr>
          <w:spacing w:val="-5"/>
          <w:sz w:val="25"/>
          <w:szCs w:val="25"/>
        </w:rPr>
        <w:t>其</w:t>
      </w:r>
      <w:r>
        <w:rPr>
          <w:spacing w:val="-35"/>
          <w:sz w:val="25"/>
          <w:szCs w:val="25"/>
        </w:rPr>
        <w:t xml:space="preserve"> </w:t>
      </w:r>
      <w:r>
        <w:rPr>
          <w:spacing w:val="-5"/>
          <w:sz w:val="25"/>
          <w:szCs w:val="25"/>
        </w:rPr>
        <w:t>他</w:t>
      </w:r>
    </w:p>
    <w:p w14:paraId="534CD608">
      <w:pPr>
        <w:spacing w:line="328" w:lineRule="auto"/>
        <w:rPr>
          <w:rFonts w:ascii="Arial"/>
          <w:sz w:val="21"/>
        </w:rPr>
      </w:pPr>
    </w:p>
    <w:p w14:paraId="60A276F3">
      <w:pPr>
        <w:pStyle w:val="2"/>
        <w:spacing w:before="118" w:line="218" w:lineRule="auto"/>
        <w:ind w:left="1799"/>
        <w:outlineLvl w:val="1"/>
        <w:rPr>
          <w:sz w:val="36"/>
          <w:szCs w:val="36"/>
        </w:rPr>
      </w:pPr>
      <w:r>
        <w:rPr>
          <w:rFonts w:ascii="Times New Roman" w:hAnsi="Times New Roman" w:eastAsia="Times New Roman" w:cs="Times New Roman"/>
          <w:b/>
          <w:bCs/>
          <w:spacing w:val="-5"/>
          <w:sz w:val="36"/>
          <w:szCs w:val="36"/>
        </w:rPr>
        <w:t xml:space="preserve">10.21     </w:t>
      </w:r>
      <w:r>
        <w:rPr>
          <w:b/>
          <w:bCs/>
          <w:spacing w:val="-5"/>
          <w:sz w:val="36"/>
          <w:szCs w:val="36"/>
        </w:rPr>
        <w:t>保障性试验、评价与验证大纲</w:t>
      </w:r>
    </w:p>
    <w:p w14:paraId="653176BF">
      <w:pPr>
        <w:spacing w:line="334" w:lineRule="auto"/>
        <w:rPr>
          <w:rFonts w:ascii="Arial"/>
          <w:sz w:val="21"/>
        </w:rPr>
      </w:pPr>
    </w:p>
    <w:p w14:paraId="070B7F68">
      <w:pPr>
        <w:pStyle w:val="2"/>
        <w:spacing w:before="91" w:line="226" w:lineRule="auto"/>
        <w:ind w:left="570"/>
        <w:rPr>
          <w:rFonts w:ascii="楷体" w:hAnsi="楷体" w:eastAsia="楷体" w:cs="楷体"/>
          <w:sz w:val="28"/>
          <w:szCs w:val="28"/>
        </w:rPr>
      </w:pPr>
      <w:r>
        <w:rPr>
          <w:rFonts w:ascii="楷体" w:hAnsi="楷体" w:eastAsia="楷体" w:cs="楷体"/>
          <w:spacing w:val="-13"/>
          <w:sz w:val="28"/>
          <w:szCs w:val="28"/>
        </w:rPr>
        <w:t>按照</w:t>
      </w:r>
      <w:r>
        <w:rPr>
          <w:rFonts w:ascii="Times New Roman" w:hAnsi="Times New Roman" w:eastAsia="Times New Roman" w:cs="Times New Roman"/>
          <w:spacing w:val="-13"/>
          <w:sz w:val="28"/>
          <w:szCs w:val="28"/>
        </w:rPr>
        <w:t>GJB</w:t>
      </w:r>
      <w:r>
        <w:rPr>
          <w:rFonts w:ascii="Times New Roman" w:hAnsi="Times New Roman" w:eastAsia="Times New Roman" w:cs="Times New Roman"/>
          <w:spacing w:val="46"/>
          <w:sz w:val="28"/>
          <w:szCs w:val="28"/>
        </w:rPr>
        <w:t xml:space="preserve"> </w:t>
      </w:r>
      <w:r>
        <w:rPr>
          <w:rFonts w:ascii="Times New Roman" w:hAnsi="Times New Roman" w:eastAsia="Times New Roman" w:cs="Times New Roman"/>
          <w:spacing w:val="-13"/>
          <w:sz w:val="28"/>
          <w:szCs w:val="28"/>
        </w:rPr>
        <w:t>1371—1992</w:t>
      </w:r>
      <w:r>
        <w:rPr>
          <w:spacing w:val="-13"/>
          <w:sz w:val="28"/>
          <w:szCs w:val="28"/>
        </w:rPr>
        <w:t>《</w:t>
      </w:r>
      <w:r>
        <w:rPr>
          <w:rFonts w:ascii="楷体" w:hAnsi="楷体" w:eastAsia="楷体" w:cs="楷体"/>
          <w:spacing w:val="-13"/>
          <w:sz w:val="28"/>
          <w:szCs w:val="28"/>
        </w:rPr>
        <w:t>装备保障性分析》编写。</w:t>
      </w:r>
    </w:p>
    <w:p w14:paraId="2EDB8A07">
      <w:pPr>
        <w:spacing w:before="77" w:line="221" w:lineRule="auto"/>
        <w:rPr>
          <w:rFonts w:ascii="黑体" w:hAnsi="黑体" w:eastAsia="黑体" w:cs="黑体"/>
          <w:sz w:val="27"/>
          <w:szCs w:val="27"/>
        </w:rPr>
      </w:pPr>
      <w:r>
        <w:rPr>
          <w:rFonts w:ascii="Arial" w:hAnsi="Arial" w:eastAsia="Arial" w:cs="Arial"/>
          <w:spacing w:val="1"/>
          <w:sz w:val="27"/>
          <w:szCs w:val="27"/>
        </w:rPr>
        <w:t>1</w:t>
      </w:r>
      <w:r>
        <w:rPr>
          <w:rFonts w:ascii="Arial" w:hAnsi="Arial" w:eastAsia="Arial" w:cs="Arial"/>
          <w:spacing w:val="10"/>
          <w:sz w:val="27"/>
          <w:szCs w:val="27"/>
        </w:rPr>
        <w:t xml:space="preserve">    </w:t>
      </w:r>
      <w:r>
        <w:rPr>
          <w:rFonts w:ascii="黑体" w:hAnsi="黑体" w:eastAsia="黑体" w:cs="黑体"/>
          <w:spacing w:val="1"/>
          <w:sz w:val="27"/>
          <w:szCs w:val="27"/>
        </w:rPr>
        <w:t>编制大纲的依据</w:t>
      </w:r>
    </w:p>
    <w:p w14:paraId="71E8CA27">
      <w:pPr>
        <w:pStyle w:val="2"/>
        <w:spacing w:before="66" w:line="291" w:lineRule="auto"/>
        <w:ind w:firstLine="570"/>
      </w:pPr>
      <w:r>
        <w:rPr>
          <w:spacing w:val="-3"/>
        </w:rPr>
        <w:t>说明编制保障性试验、评价与验证大纲的依据，主要包括研制总要求，通用</w:t>
      </w:r>
      <w:r>
        <w:rPr>
          <w:spacing w:val="10"/>
        </w:rPr>
        <w:t xml:space="preserve"> </w:t>
      </w:r>
      <w:r>
        <w:rPr>
          <w:spacing w:val="-13"/>
        </w:rPr>
        <w:t>规范，产品规范，有关试验规范等。</w:t>
      </w:r>
    </w:p>
    <w:p w14:paraId="35E20937">
      <w:pPr>
        <w:spacing w:before="1" w:line="220" w:lineRule="auto"/>
        <w:rPr>
          <w:rFonts w:ascii="黑体" w:hAnsi="黑体" w:eastAsia="黑体" w:cs="黑体"/>
          <w:sz w:val="27"/>
          <w:szCs w:val="27"/>
        </w:rPr>
      </w:pPr>
      <w:r>
        <w:rPr>
          <w:rFonts w:ascii="黑体" w:hAnsi="黑体" w:eastAsia="黑体" w:cs="黑体"/>
          <w:spacing w:val="4"/>
          <w:sz w:val="27"/>
          <w:szCs w:val="27"/>
        </w:rPr>
        <w:t>2</w:t>
      </w:r>
      <w:r>
        <w:rPr>
          <w:rFonts w:ascii="黑体" w:hAnsi="黑体" w:eastAsia="黑体" w:cs="黑体"/>
          <w:spacing w:val="36"/>
          <w:sz w:val="27"/>
          <w:szCs w:val="27"/>
        </w:rPr>
        <w:t xml:space="preserve">  </w:t>
      </w:r>
      <w:r>
        <w:rPr>
          <w:rFonts w:ascii="黑体" w:hAnsi="黑体" w:eastAsia="黑体" w:cs="黑体"/>
          <w:spacing w:val="4"/>
          <w:sz w:val="27"/>
          <w:szCs w:val="27"/>
        </w:rPr>
        <w:t>试验与评价的目标和准则</w:t>
      </w:r>
    </w:p>
    <w:p w14:paraId="77138063">
      <w:pPr>
        <w:pStyle w:val="2"/>
        <w:spacing w:before="87" w:line="218" w:lineRule="auto"/>
        <w:ind w:left="570"/>
      </w:pPr>
      <w:r>
        <w:rPr>
          <w:spacing w:val="4"/>
        </w:rPr>
        <w:t>制定综合了其他工程专业试验要求的保障性试验与评价的目标和准则。</w:t>
      </w:r>
    </w:p>
    <w:p w14:paraId="44513A5C">
      <w:pPr>
        <w:spacing w:before="32" w:line="369" w:lineRule="exact"/>
        <w:rPr>
          <w:rFonts w:ascii="黑体" w:hAnsi="黑体" w:eastAsia="黑体" w:cs="黑体"/>
          <w:sz w:val="27"/>
          <w:szCs w:val="27"/>
        </w:rPr>
      </w:pPr>
      <w:r>
        <w:rPr>
          <w:rFonts w:ascii="Arial" w:hAnsi="Arial" w:eastAsia="Arial" w:cs="Arial"/>
          <w:spacing w:val="-3"/>
          <w:position w:val="1"/>
          <w:sz w:val="27"/>
          <w:szCs w:val="27"/>
        </w:rPr>
        <w:t xml:space="preserve">3    </w:t>
      </w:r>
      <w:r>
        <w:rPr>
          <w:rFonts w:ascii="黑体" w:hAnsi="黑体" w:eastAsia="黑体" w:cs="黑体"/>
          <w:spacing w:val="-3"/>
          <w:position w:val="1"/>
          <w:sz w:val="27"/>
          <w:szCs w:val="27"/>
        </w:rPr>
        <w:t>试验组织、参试单位及试验任务分工</w:t>
      </w:r>
    </w:p>
    <w:p w14:paraId="4C283BF4">
      <w:pPr>
        <w:pStyle w:val="2"/>
        <w:spacing w:before="82" w:line="283" w:lineRule="auto"/>
        <w:ind w:right="17" w:firstLine="570"/>
      </w:pPr>
      <w:r>
        <w:rPr>
          <w:spacing w:val="-3"/>
        </w:rPr>
        <w:t>应规定试验组织的要求，通常，应根据试验规模组成试验</w:t>
      </w:r>
      <w:r>
        <w:rPr>
          <w:spacing w:val="-4"/>
        </w:rPr>
        <w:t>领导组和必要的职</w:t>
      </w:r>
      <w:r>
        <w:t xml:space="preserve"> </w:t>
      </w:r>
      <w:r>
        <w:rPr>
          <w:spacing w:val="-5"/>
        </w:rPr>
        <w:t>能小组，具体负责试验的组织实施，明确参试单位及试验任务分工。</w:t>
      </w:r>
    </w:p>
    <w:p w14:paraId="6DA614FC">
      <w:pPr>
        <w:spacing w:before="1" w:line="220" w:lineRule="auto"/>
        <w:rPr>
          <w:rFonts w:ascii="黑体" w:hAnsi="黑体" w:eastAsia="黑体" w:cs="黑体"/>
          <w:sz w:val="27"/>
          <w:szCs w:val="27"/>
        </w:rPr>
      </w:pPr>
      <w:r>
        <w:rPr>
          <w:rFonts w:ascii="Arial" w:hAnsi="Arial" w:eastAsia="Arial" w:cs="Arial"/>
          <w:spacing w:val="5"/>
          <w:sz w:val="27"/>
          <w:szCs w:val="27"/>
        </w:rPr>
        <w:t xml:space="preserve">4    </w:t>
      </w:r>
      <w:r>
        <w:rPr>
          <w:rFonts w:ascii="黑体" w:hAnsi="黑体" w:eastAsia="黑体" w:cs="黑体"/>
          <w:spacing w:val="5"/>
          <w:sz w:val="27"/>
          <w:szCs w:val="27"/>
        </w:rPr>
        <w:t>试验网络图和试验的保障措施及</w:t>
      </w:r>
      <w:r>
        <w:rPr>
          <w:rFonts w:ascii="黑体" w:hAnsi="黑体" w:eastAsia="黑体" w:cs="黑体"/>
          <w:spacing w:val="4"/>
          <w:sz w:val="27"/>
          <w:szCs w:val="27"/>
        </w:rPr>
        <w:t>要求</w:t>
      </w:r>
    </w:p>
    <w:p w14:paraId="364320DF">
      <w:pPr>
        <w:pStyle w:val="2"/>
        <w:spacing w:before="109" w:line="219" w:lineRule="auto"/>
        <w:ind w:left="570"/>
        <w:rPr>
          <w:sz w:val="25"/>
          <w:szCs w:val="25"/>
        </w:rPr>
      </w:pPr>
      <w:r>
        <w:rPr>
          <w:spacing w:val="14"/>
          <w:sz w:val="25"/>
          <w:szCs w:val="25"/>
        </w:rPr>
        <w:t>按照项目研制计划和实际情况，制定试验计划，给出试验网络图。</w:t>
      </w:r>
    </w:p>
    <w:p w14:paraId="65B6DEBA">
      <w:pPr>
        <w:pStyle w:val="2"/>
        <w:spacing w:before="82" w:line="267" w:lineRule="auto"/>
        <w:ind w:right="20" w:firstLine="570"/>
      </w:pPr>
      <w:r>
        <w:rPr>
          <w:spacing w:val="-3"/>
        </w:rPr>
        <w:t>应规定试验保障措施及要求。通常，试验相关的软</w:t>
      </w:r>
      <w:r>
        <w:rPr>
          <w:spacing w:val="-4"/>
        </w:rPr>
        <w:t>件、技术文件、资料等应</w:t>
      </w:r>
      <w:r>
        <w:t xml:space="preserve"> </w:t>
      </w:r>
      <w:r>
        <w:rPr>
          <w:spacing w:val="-3"/>
        </w:rPr>
        <w:t>配套齐全。应规定试验场地及主要设施、仪器设备的保障；规定相关技术保障和</w:t>
      </w:r>
      <w:r>
        <w:rPr>
          <w:spacing w:val="15"/>
        </w:rPr>
        <w:t xml:space="preserve"> </w:t>
      </w:r>
      <w:r>
        <w:rPr>
          <w:spacing w:val="-1"/>
        </w:rPr>
        <w:t>人员培训等。</w:t>
      </w:r>
    </w:p>
    <w:p w14:paraId="1A0E9BE4">
      <w:pPr>
        <w:spacing w:line="368" w:lineRule="exact"/>
        <w:rPr>
          <w:rFonts w:ascii="黑体" w:hAnsi="黑体" w:eastAsia="黑体" w:cs="黑体"/>
          <w:sz w:val="27"/>
          <w:szCs w:val="27"/>
        </w:rPr>
      </w:pPr>
      <w:r>
        <w:rPr>
          <w:rFonts w:ascii="Arial" w:hAnsi="Arial" w:eastAsia="Arial" w:cs="Arial"/>
          <w:spacing w:val="3"/>
          <w:position w:val="1"/>
          <w:sz w:val="27"/>
          <w:szCs w:val="27"/>
        </w:rPr>
        <w:t xml:space="preserve">5    </w:t>
      </w:r>
      <w:r>
        <w:rPr>
          <w:rFonts w:ascii="黑体" w:hAnsi="黑体" w:eastAsia="黑体" w:cs="黑体"/>
          <w:spacing w:val="3"/>
          <w:position w:val="1"/>
          <w:sz w:val="27"/>
          <w:szCs w:val="27"/>
        </w:rPr>
        <w:t>试验所需资源</w:t>
      </w:r>
    </w:p>
    <w:p w14:paraId="57191D32">
      <w:pPr>
        <w:pStyle w:val="2"/>
        <w:spacing w:before="103" w:line="219" w:lineRule="auto"/>
        <w:ind w:left="570"/>
      </w:pPr>
      <w:r>
        <w:rPr>
          <w:spacing w:val="3"/>
        </w:rPr>
        <w:t>确定为达到试验目标所需的试验资源及其保障。</w:t>
      </w:r>
    </w:p>
    <w:p w14:paraId="5F6E3C6D">
      <w:pPr>
        <w:spacing w:before="106" w:line="221" w:lineRule="auto"/>
        <w:rPr>
          <w:rFonts w:ascii="黑体" w:hAnsi="黑体" w:eastAsia="黑体" w:cs="黑体"/>
          <w:sz w:val="24"/>
          <w:szCs w:val="24"/>
        </w:rPr>
      </w:pPr>
      <w:r>
        <w:rPr>
          <w:rFonts w:ascii="黑体" w:hAnsi="黑体" w:eastAsia="黑体" w:cs="黑体"/>
          <w:spacing w:val="13"/>
          <w:sz w:val="24"/>
          <w:szCs w:val="24"/>
        </w:rPr>
        <w:t>6</w:t>
      </w:r>
      <w:r>
        <w:rPr>
          <w:rFonts w:ascii="黑体" w:hAnsi="黑体" w:eastAsia="黑体" w:cs="黑体"/>
          <w:spacing w:val="59"/>
          <w:sz w:val="24"/>
          <w:szCs w:val="24"/>
        </w:rPr>
        <w:t xml:space="preserve">  </w:t>
      </w:r>
      <w:r>
        <w:rPr>
          <w:rFonts w:ascii="黑体" w:hAnsi="黑体" w:eastAsia="黑体" w:cs="黑体"/>
          <w:spacing w:val="13"/>
          <w:sz w:val="24"/>
          <w:szCs w:val="24"/>
        </w:rPr>
        <w:t>试验项目、内容、程序及进度</w:t>
      </w:r>
    </w:p>
    <w:p w14:paraId="6C1A216B">
      <w:pPr>
        <w:pStyle w:val="2"/>
        <w:spacing w:before="95" w:line="283" w:lineRule="auto"/>
        <w:ind w:right="20" w:firstLine="570"/>
      </w:pPr>
      <w:r>
        <w:rPr>
          <w:spacing w:val="5"/>
        </w:rPr>
        <w:t>依据研制总要求或研制合同规定试验项目、内容和程序。可根据具体情况</w:t>
      </w:r>
      <w:r>
        <w:t xml:space="preserve"> </w:t>
      </w:r>
      <w:r>
        <w:rPr>
          <w:spacing w:val="4"/>
        </w:rPr>
        <w:t>用文字逐项描述或使用表格形式。确定试验进度。</w:t>
      </w:r>
    </w:p>
    <w:p w14:paraId="2D64352A">
      <w:pPr>
        <w:spacing w:line="283" w:lineRule="auto"/>
        <w:sectPr>
          <w:footerReference r:id="rId532" w:type="default"/>
          <w:pgSz w:w="11910" w:h="17130"/>
          <w:pgMar w:top="400" w:right="1087" w:bottom="1766" w:left="1430" w:header="0" w:footer="1577" w:gutter="0"/>
          <w:cols w:space="720" w:num="1"/>
        </w:sectPr>
      </w:pPr>
    </w:p>
    <w:p w14:paraId="3106AC6F">
      <w:pPr>
        <w:spacing w:line="255" w:lineRule="auto"/>
        <w:rPr>
          <w:rFonts w:ascii="Arial"/>
          <w:sz w:val="21"/>
        </w:rPr>
      </w:pPr>
    </w:p>
    <w:p w14:paraId="103796D1">
      <w:pPr>
        <w:spacing w:line="256" w:lineRule="auto"/>
        <w:rPr>
          <w:rFonts w:ascii="Arial"/>
          <w:sz w:val="21"/>
        </w:rPr>
      </w:pPr>
    </w:p>
    <w:p w14:paraId="77A3CFA0">
      <w:pPr>
        <w:spacing w:line="256" w:lineRule="auto"/>
        <w:rPr>
          <w:rFonts w:ascii="Arial"/>
          <w:sz w:val="21"/>
        </w:rPr>
      </w:pPr>
    </w:p>
    <w:p w14:paraId="765E56A2">
      <w:pPr>
        <w:spacing w:line="256" w:lineRule="auto"/>
        <w:rPr>
          <w:rFonts w:ascii="Arial"/>
          <w:sz w:val="21"/>
        </w:rPr>
      </w:pPr>
    </w:p>
    <w:p w14:paraId="772C639F">
      <w:pPr>
        <w:spacing w:before="78" w:line="221" w:lineRule="auto"/>
        <w:rPr>
          <w:rFonts w:ascii="黑体" w:hAnsi="黑体" w:eastAsia="黑体" w:cs="黑体"/>
          <w:sz w:val="24"/>
          <w:szCs w:val="24"/>
        </w:rPr>
      </w:pPr>
      <w:r>
        <w:rPr>
          <w:rFonts w:ascii="黑体" w:hAnsi="黑体" w:eastAsia="黑体" w:cs="黑体"/>
          <w:spacing w:val="5"/>
          <w:sz w:val="24"/>
          <w:szCs w:val="24"/>
        </w:rPr>
        <w:t>7</w:t>
      </w:r>
      <w:r>
        <w:rPr>
          <w:rFonts w:ascii="黑体" w:hAnsi="黑体" w:eastAsia="黑体" w:cs="黑体"/>
          <w:spacing w:val="48"/>
          <w:sz w:val="24"/>
          <w:szCs w:val="24"/>
        </w:rPr>
        <w:t xml:space="preserve">  </w:t>
      </w:r>
      <w:r>
        <w:rPr>
          <w:rFonts w:ascii="黑体" w:hAnsi="黑体" w:eastAsia="黑体" w:cs="黑体"/>
          <w:spacing w:val="5"/>
          <w:sz w:val="24"/>
          <w:szCs w:val="24"/>
        </w:rPr>
        <w:t>主要测试、测量设备的名称、精度、数 量</w:t>
      </w:r>
    </w:p>
    <w:p w14:paraId="372E85DA">
      <w:pPr>
        <w:pStyle w:val="2"/>
        <w:spacing w:before="94" w:line="219" w:lineRule="auto"/>
        <w:ind w:left="539"/>
      </w:pPr>
      <w:r>
        <w:rPr>
          <w:spacing w:val="-9"/>
        </w:rPr>
        <w:t>列表给出主要测试、测量设备的名称、精度、数量等信息，见表10.3。</w:t>
      </w:r>
    </w:p>
    <w:p w14:paraId="38334EF9">
      <w:pPr>
        <w:spacing w:before="119" w:line="223" w:lineRule="auto"/>
        <w:ind w:left="2980"/>
        <w:rPr>
          <w:rFonts w:ascii="仿宋" w:hAnsi="仿宋" w:eastAsia="仿宋" w:cs="仿宋"/>
          <w:sz w:val="24"/>
          <w:szCs w:val="24"/>
        </w:rPr>
      </w:pPr>
      <w:r>
        <w:rPr>
          <w:rFonts w:ascii="仿宋" w:hAnsi="仿宋" w:eastAsia="仿宋" w:cs="仿宋"/>
          <w:spacing w:val="13"/>
          <w:sz w:val="24"/>
          <w:szCs w:val="24"/>
        </w:rPr>
        <w:t>表10</w:t>
      </w:r>
      <w:r>
        <w:rPr>
          <w:rFonts w:ascii="仿宋" w:hAnsi="仿宋" w:eastAsia="仿宋" w:cs="仿宋"/>
          <w:spacing w:val="-57"/>
          <w:sz w:val="24"/>
          <w:szCs w:val="24"/>
        </w:rPr>
        <w:t xml:space="preserve"> </w:t>
      </w:r>
      <w:r>
        <w:rPr>
          <w:rFonts w:ascii="仿宋" w:hAnsi="仿宋" w:eastAsia="仿宋" w:cs="仿宋"/>
          <w:spacing w:val="13"/>
          <w:sz w:val="24"/>
          <w:szCs w:val="24"/>
        </w:rPr>
        <w:t>.</w:t>
      </w:r>
      <w:r>
        <w:rPr>
          <w:rFonts w:ascii="仿宋" w:hAnsi="仿宋" w:eastAsia="仿宋" w:cs="仿宋"/>
          <w:spacing w:val="-64"/>
          <w:sz w:val="24"/>
          <w:szCs w:val="24"/>
        </w:rPr>
        <w:t xml:space="preserve"> </w:t>
      </w:r>
      <w:r>
        <w:rPr>
          <w:rFonts w:ascii="仿宋" w:hAnsi="仿宋" w:eastAsia="仿宋" w:cs="仿宋"/>
          <w:spacing w:val="13"/>
          <w:sz w:val="24"/>
          <w:szCs w:val="24"/>
        </w:rPr>
        <w:t>3</w:t>
      </w:r>
      <w:r>
        <w:rPr>
          <w:rFonts w:ascii="仿宋" w:hAnsi="仿宋" w:eastAsia="仿宋" w:cs="仿宋"/>
          <w:spacing w:val="27"/>
          <w:sz w:val="24"/>
          <w:szCs w:val="24"/>
        </w:rPr>
        <w:t xml:space="preserve">  </w:t>
      </w:r>
      <w:r>
        <w:rPr>
          <w:rFonts w:ascii="仿宋" w:hAnsi="仿宋" w:eastAsia="仿宋" w:cs="仿宋"/>
          <w:spacing w:val="13"/>
          <w:sz w:val="24"/>
          <w:szCs w:val="24"/>
        </w:rPr>
        <w:t>主要测试、测量设备</w:t>
      </w:r>
    </w:p>
    <w:p w14:paraId="5F0BDE74">
      <w:pPr>
        <w:spacing w:line="106" w:lineRule="exact"/>
      </w:pPr>
    </w:p>
    <w:tbl>
      <w:tblPr>
        <w:tblStyle w:val="5"/>
        <w:tblW w:w="937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1668"/>
        <w:gridCol w:w="1669"/>
        <w:gridCol w:w="1678"/>
        <w:gridCol w:w="2682"/>
      </w:tblGrid>
      <w:tr w14:paraId="43970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1673" w:type="dxa"/>
            <w:vAlign w:val="top"/>
          </w:tcPr>
          <w:p w14:paraId="159801A3">
            <w:pPr>
              <w:spacing w:before="104" w:line="221" w:lineRule="auto"/>
              <w:ind w:left="595"/>
              <w:rPr>
                <w:rFonts w:ascii="宋体" w:hAnsi="宋体" w:eastAsia="宋体" w:cs="宋体"/>
                <w:sz w:val="20"/>
                <w:szCs w:val="20"/>
              </w:rPr>
            </w:pPr>
            <w:r>
              <w:rPr>
                <w:rFonts w:ascii="宋体" w:hAnsi="宋体" w:eastAsia="宋体" w:cs="宋体"/>
                <w:spacing w:val="-2"/>
                <w:sz w:val="20"/>
                <w:szCs w:val="20"/>
              </w:rPr>
              <w:t>序号</w:t>
            </w:r>
          </w:p>
        </w:tc>
        <w:tc>
          <w:tcPr>
            <w:tcW w:w="1668" w:type="dxa"/>
            <w:vAlign w:val="top"/>
          </w:tcPr>
          <w:p w14:paraId="7365BCBA">
            <w:pPr>
              <w:spacing w:before="104" w:line="221" w:lineRule="auto"/>
              <w:ind w:left="302"/>
              <w:rPr>
                <w:rFonts w:ascii="宋体" w:hAnsi="宋体" w:eastAsia="宋体" w:cs="宋体"/>
                <w:sz w:val="20"/>
                <w:szCs w:val="20"/>
              </w:rPr>
            </w:pPr>
            <w:r>
              <w:rPr>
                <w:rFonts w:ascii="宋体" w:hAnsi="宋体" w:eastAsia="宋体" w:cs="宋体"/>
                <w:spacing w:val="2"/>
                <w:sz w:val="20"/>
                <w:szCs w:val="20"/>
              </w:rPr>
              <w:t>型号和名称</w:t>
            </w:r>
          </w:p>
        </w:tc>
        <w:tc>
          <w:tcPr>
            <w:tcW w:w="1669" w:type="dxa"/>
            <w:vAlign w:val="top"/>
          </w:tcPr>
          <w:p w14:paraId="158CB146">
            <w:pPr>
              <w:spacing w:before="101" w:line="219" w:lineRule="auto"/>
              <w:ind w:left="614"/>
              <w:rPr>
                <w:rFonts w:ascii="宋体" w:hAnsi="宋体" w:eastAsia="宋体" w:cs="宋体"/>
                <w:sz w:val="20"/>
                <w:szCs w:val="20"/>
              </w:rPr>
            </w:pPr>
            <w:r>
              <w:rPr>
                <w:rFonts w:ascii="宋体" w:hAnsi="宋体" w:eastAsia="宋体" w:cs="宋体"/>
                <w:spacing w:val="-2"/>
                <w:sz w:val="20"/>
                <w:szCs w:val="20"/>
              </w:rPr>
              <w:t>精度</w:t>
            </w:r>
          </w:p>
        </w:tc>
        <w:tc>
          <w:tcPr>
            <w:tcW w:w="1678" w:type="dxa"/>
            <w:vAlign w:val="top"/>
          </w:tcPr>
          <w:p w14:paraId="717A3ED8">
            <w:pPr>
              <w:spacing w:before="103" w:line="219" w:lineRule="auto"/>
              <w:ind w:left="615"/>
              <w:rPr>
                <w:rFonts w:ascii="宋体" w:hAnsi="宋体" w:eastAsia="宋体" w:cs="宋体"/>
                <w:sz w:val="20"/>
                <w:szCs w:val="20"/>
              </w:rPr>
            </w:pPr>
            <w:r>
              <w:rPr>
                <w:rFonts w:ascii="宋体" w:hAnsi="宋体" w:eastAsia="宋体" w:cs="宋体"/>
                <w:spacing w:val="-3"/>
                <w:sz w:val="20"/>
                <w:szCs w:val="20"/>
              </w:rPr>
              <w:t>数量</w:t>
            </w:r>
          </w:p>
        </w:tc>
        <w:tc>
          <w:tcPr>
            <w:tcW w:w="2682" w:type="dxa"/>
            <w:vAlign w:val="top"/>
          </w:tcPr>
          <w:p w14:paraId="4C1A56A5">
            <w:pPr>
              <w:spacing w:before="101" w:line="219" w:lineRule="auto"/>
              <w:ind w:left="907"/>
              <w:rPr>
                <w:rFonts w:ascii="宋体" w:hAnsi="宋体" w:eastAsia="宋体" w:cs="宋体"/>
                <w:sz w:val="20"/>
                <w:szCs w:val="20"/>
              </w:rPr>
            </w:pPr>
            <w:r>
              <w:rPr>
                <w:rFonts w:ascii="宋体" w:hAnsi="宋体" w:eastAsia="宋体" w:cs="宋体"/>
                <w:spacing w:val="-2"/>
                <w:sz w:val="20"/>
                <w:szCs w:val="20"/>
              </w:rPr>
              <w:t>提供单位</w:t>
            </w:r>
          </w:p>
        </w:tc>
      </w:tr>
      <w:tr w14:paraId="603D4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673" w:type="dxa"/>
            <w:vAlign w:val="top"/>
          </w:tcPr>
          <w:p w14:paraId="5FBA8312">
            <w:pPr>
              <w:pStyle w:val="6"/>
            </w:pPr>
          </w:p>
        </w:tc>
        <w:tc>
          <w:tcPr>
            <w:tcW w:w="1668" w:type="dxa"/>
            <w:vAlign w:val="top"/>
          </w:tcPr>
          <w:p w14:paraId="3C1EB817">
            <w:pPr>
              <w:pStyle w:val="6"/>
            </w:pPr>
          </w:p>
        </w:tc>
        <w:tc>
          <w:tcPr>
            <w:tcW w:w="1669" w:type="dxa"/>
            <w:vAlign w:val="top"/>
          </w:tcPr>
          <w:p w14:paraId="36BB500B">
            <w:pPr>
              <w:pStyle w:val="6"/>
            </w:pPr>
          </w:p>
        </w:tc>
        <w:tc>
          <w:tcPr>
            <w:tcW w:w="1678" w:type="dxa"/>
            <w:vAlign w:val="top"/>
          </w:tcPr>
          <w:p w14:paraId="23D5E3D8">
            <w:pPr>
              <w:pStyle w:val="6"/>
            </w:pPr>
          </w:p>
        </w:tc>
        <w:tc>
          <w:tcPr>
            <w:tcW w:w="2682" w:type="dxa"/>
            <w:vAlign w:val="top"/>
          </w:tcPr>
          <w:p w14:paraId="7016B0B4">
            <w:pPr>
              <w:pStyle w:val="6"/>
            </w:pPr>
          </w:p>
        </w:tc>
      </w:tr>
      <w:tr w14:paraId="7DB1F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1673" w:type="dxa"/>
            <w:vAlign w:val="top"/>
          </w:tcPr>
          <w:p w14:paraId="6D3F11EB">
            <w:pPr>
              <w:pStyle w:val="6"/>
            </w:pPr>
          </w:p>
        </w:tc>
        <w:tc>
          <w:tcPr>
            <w:tcW w:w="1668" w:type="dxa"/>
            <w:vAlign w:val="top"/>
          </w:tcPr>
          <w:p w14:paraId="548EE0B3">
            <w:pPr>
              <w:pStyle w:val="6"/>
            </w:pPr>
          </w:p>
        </w:tc>
        <w:tc>
          <w:tcPr>
            <w:tcW w:w="1669" w:type="dxa"/>
            <w:vAlign w:val="top"/>
          </w:tcPr>
          <w:p w14:paraId="371A302C">
            <w:pPr>
              <w:pStyle w:val="6"/>
            </w:pPr>
          </w:p>
        </w:tc>
        <w:tc>
          <w:tcPr>
            <w:tcW w:w="1678" w:type="dxa"/>
            <w:vAlign w:val="top"/>
          </w:tcPr>
          <w:p w14:paraId="2B9F2C1A">
            <w:pPr>
              <w:pStyle w:val="6"/>
            </w:pPr>
          </w:p>
        </w:tc>
        <w:tc>
          <w:tcPr>
            <w:tcW w:w="2682" w:type="dxa"/>
            <w:vAlign w:val="top"/>
          </w:tcPr>
          <w:p w14:paraId="71B7F0CA">
            <w:pPr>
              <w:pStyle w:val="6"/>
            </w:pPr>
          </w:p>
        </w:tc>
      </w:tr>
    </w:tbl>
    <w:p w14:paraId="730B3338">
      <w:pPr>
        <w:spacing w:before="199" w:line="327" w:lineRule="exact"/>
        <w:rPr>
          <w:rFonts w:ascii="黑体" w:hAnsi="黑体" w:eastAsia="黑体" w:cs="黑体"/>
          <w:sz w:val="24"/>
          <w:szCs w:val="24"/>
        </w:rPr>
      </w:pPr>
      <w:r>
        <w:rPr>
          <w:rFonts w:ascii="Arial" w:hAnsi="Arial" w:eastAsia="Arial" w:cs="Arial"/>
          <w:spacing w:val="24"/>
          <w:position w:val="1"/>
          <w:sz w:val="24"/>
          <w:szCs w:val="24"/>
        </w:rPr>
        <w:t xml:space="preserve">8    </w:t>
      </w:r>
      <w:r>
        <w:rPr>
          <w:rFonts w:ascii="黑体" w:hAnsi="黑体" w:eastAsia="黑体" w:cs="黑体"/>
          <w:spacing w:val="24"/>
          <w:position w:val="1"/>
          <w:sz w:val="24"/>
          <w:szCs w:val="24"/>
        </w:rPr>
        <w:t>系统保障包的项目清单</w:t>
      </w:r>
    </w:p>
    <w:p w14:paraId="0A0F45C4">
      <w:pPr>
        <w:pStyle w:val="2"/>
        <w:spacing w:before="129" w:line="274" w:lineRule="auto"/>
        <w:ind w:right="79" w:firstLine="539"/>
      </w:pPr>
      <w:r>
        <w:rPr>
          <w:spacing w:val="6"/>
        </w:rPr>
        <w:t>编制确定保障资源的系统保障包的项目清单，对清单中</w:t>
      </w:r>
      <w:r>
        <w:rPr>
          <w:spacing w:val="5"/>
        </w:rPr>
        <w:t>的项目应在保障演</w:t>
      </w:r>
      <w:r>
        <w:t xml:space="preserve"> 示期间进行评价，以及在研制与使用试验中进行试验和确认。该清单包括：</w:t>
      </w:r>
    </w:p>
    <w:p w14:paraId="4D5119EF">
      <w:pPr>
        <w:pStyle w:val="2"/>
        <w:spacing w:line="212" w:lineRule="auto"/>
        <w:ind w:left="539"/>
        <w:rPr>
          <w:sz w:val="24"/>
          <w:szCs w:val="24"/>
        </w:rPr>
      </w:pPr>
      <w:r>
        <w:rPr>
          <w:rFonts w:ascii="Times New Roman" w:hAnsi="Times New Roman" w:eastAsia="Times New Roman" w:cs="Times New Roman"/>
          <w:spacing w:val="24"/>
          <w:sz w:val="24"/>
          <w:szCs w:val="24"/>
        </w:rPr>
        <w:t xml:space="preserve">a)  </w:t>
      </w:r>
      <w:r>
        <w:rPr>
          <w:spacing w:val="24"/>
          <w:sz w:val="24"/>
          <w:szCs w:val="24"/>
        </w:rPr>
        <w:t>保障性试验的要求；</w:t>
      </w:r>
    </w:p>
    <w:p w14:paraId="1273669E">
      <w:pPr>
        <w:pStyle w:val="2"/>
        <w:spacing w:before="124" w:line="212" w:lineRule="auto"/>
        <w:ind w:left="539"/>
        <w:rPr>
          <w:sz w:val="24"/>
          <w:szCs w:val="24"/>
        </w:rPr>
      </w:pPr>
      <w:r>
        <w:rPr>
          <w:rFonts w:ascii="Times New Roman" w:hAnsi="Times New Roman" w:eastAsia="Times New Roman" w:cs="Times New Roman"/>
          <w:spacing w:val="21"/>
          <w:sz w:val="24"/>
          <w:szCs w:val="24"/>
        </w:rPr>
        <w:t>b)</w:t>
      </w:r>
      <w:r>
        <w:rPr>
          <w:rFonts w:ascii="Times New Roman" w:hAnsi="Times New Roman" w:eastAsia="Times New Roman" w:cs="Times New Roman"/>
          <w:spacing w:val="25"/>
          <w:sz w:val="24"/>
          <w:szCs w:val="24"/>
        </w:rPr>
        <w:t xml:space="preserve">  </w:t>
      </w:r>
      <w:r>
        <w:rPr>
          <w:spacing w:val="21"/>
          <w:sz w:val="24"/>
          <w:szCs w:val="24"/>
        </w:rPr>
        <w:t>维修配置表；</w:t>
      </w:r>
    </w:p>
    <w:p w14:paraId="50342A06">
      <w:pPr>
        <w:pStyle w:val="2"/>
        <w:spacing w:before="123" w:line="212" w:lineRule="auto"/>
        <w:ind w:left="539"/>
      </w:pPr>
      <w:r>
        <w:rPr>
          <w:rFonts w:ascii="Times New Roman" w:hAnsi="Times New Roman" w:eastAsia="Times New Roman" w:cs="Times New Roman"/>
          <w:spacing w:val="1"/>
        </w:rPr>
        <w:t>c)</w:t>
      </w:r>
      <w:r>
        <w:rPr>
          <w:rFonts w:ascii="Times New Roman" w:hAnsi="Times New Roman" w:eastAsia="Times New Roman" w:cs="Times New Roman"/>
          <w:spacing w:val="66"/>
          <w:w w:val="101"/>
        </w:rPr>
        <w:t xml:space="preserve"> </w:t>
      </w:r>
      <w:r>
        <w:rPr>
          <w:spacing w:val="1"/>
        </w:rPr>
        <w:t>技术文件与资料；</w:t>
      </w:r>
    </w:p>
    <w:p w14:paraId="58AF4CCB">
      <w:pPr>
        <w:pStyle w:val="2"/>
        <w:spacing w:before="90" w:line="212" w:lineRule="auto"/>
        <w:ind w:left="539"/>
      </w:pPr>
      <w:r>
        <w:rPr>
          <w:rFonts w:ascii="Times New Roman" w:hAnsi="Times New Roman" w:eastAsia="Times New Roman" w:cs="Times New Roman"/>
          <w:spacing w:val="5"/>
        </w:rPr>
        <w:t xml:space="preserve">d)  </w:t>
      </w:r>
      <w:r>
        <w:rPr>
          <w:spacing w:val="5"/>
        </w:rPr>
        <w:t>备件与修理件</w:t>
      </w:r>
    </w:p>
    <w:p w14:paraId="683ED8A8">
      <w:pPr>
        <w:pStyle w:val="2"/>
        <w:spacing w:before="128" w:line="219" w:lineRule="auto"/>
        <w:ind w:left="539"/>
      </w:pPr>
      <w:r>
        <w:rPr>
          <w:rFonts w:ascii="Times New Roman" w:hAnsi="Times New Roman" w:eastAsia="Times New Roman" w:cs="Times New Roman"/>
          <w:spacing w:val="5"/>
        </w:rPr>
        <w:t>e</w:t>
      </w:r>
      <w:r>
        <w:rPr>
          <w:rFonts w:ascii="Times New Roman" w:hAnsi="Times New Roman" w:eastAsia="Times New Roman" w:cs="Times New Roman"/>
          <w:spacing w:val="-24"/>
        </w:rPr>
        <w:t xml:space="preserve"> </w:t>
      </w:r>
      <w:r>
        <w:rPr>
          <w:spacing w:val="5"/>
        </w:rPr>
        <w:t>)训练器材；</w:t>
      </w:r>
    </w:p>
    <w:p w14:paraId="2B9654A7">
      <w:pPr>
        <w:pStyle w:val="2"/>
        <w:spacing w:before="81" w:line="212" w:lineRule="auto"/>
        <w:ind w:left="539"/>
      </w:pPr>
      <w:r>
        <w:rPr>
          <w:rFonts w:ascii="Times New Roman" w:hAnsi="Times New Roman" w:eastAsia="Times New Roman" w:cs="Times New Roman"/>
          <w:spacing w:val="2"/>
        </w:rPr>
        <w:t>f)</w:t>
      </w:r>
      <w:r>
        <w:rPr>
          <w:rFonts w:ascii="Times New Roman" w:hAnsi="Times New Roman" w:eastAsia="Times New Roman" w:cs="Times New Roman"/>
          <w:spacing w:val="62"/>
          <w:w w:val="101"/>
        </w:rPr>
        <w:t xml:space="preserve"> </w:t>
      </w:r>
      <w:r>
        <w:rPr>
          <w:spacing w:val="2"/>
        </w:rPr>
        <w:t>通用工具与专用工具；</w:t>
      </w:r>
    </w:p>
    <w:p w14:paraId="23A1BA1B">
      <w:pPr>
        <w:pStyle w:val="2"/>
        <w:spacing w:before="100" w:line="212" w:lineRule="auto"/>
        <w:ind w:left="539"/>
      </w:pPr>
      <w:r>
        <w:rPr>
          <w:rFonts w:ascii="Times New Roman" w:hAnsi="Times New Roman" w:eastAsia="Times New Roman" w:cs="Times New Roman"/>
          <w:spacing w:val="-7"/>
        </w:rPr>
        <w:t>g</w:t>
      </w:r>
      <w:r>
        <w:rPr>
          <w:spacing w:val="-7"/>
        </w:rPr>
        <w:t>)</w:t>
      </w:r>
      <w:r>
        <w:rPr>
          <w:spacing w:val="-32"/>
        </w:rPr>
        <w:t xml:space="preserve"> </w:t>
      </w:r>
      <w:r>
        <w:rPr>
          <w:spacing w:val="-7"/>
        </w:rPr>
        <w:t>测试、测量与诊断设备；</w:t>
      </w:r>
    </w:p>
    <w:p w14:paraId="48DF2190">
      <w:pPr>
        <w:pStyle w:val="2"/>
        <w:spacing w:before="110" w:line="212" w:lineRule="auto"/>
        <w:ind w:left="539"/>
      </w:pPr>
      <w:r>
        <w:rPr>
          <w:rFonts w:ascii="Times New Roman" w:hAnsi="Times New Roman" w:eastAsia="Times New Roman" w:cs="Times New Roman"/>
          <w:spacing w:val="4"/>
        </w:rPr>
        <w:t xml:space="preserve">h)  </w:t>
      </w:r>
      <w:r>
        <w:rPr>
          <w:spacing w:val="4"/>
        </w:rPr>
        <w:t>使用和维修人员的数量与技术等级；</w:t>
      </w:r>
    </w:p>
    <w:p w14:paraId="05347930">
      <w:pPr>
        <w:pStyle w:val="2"/>
        <w:spacing w:before="90" w:line="212" w:lineRule="auto"/>
        <w:ind w:left="539"/>
      </w:pPr>
      <w:r>
        <w:rPr>
          <w:rFonts w:ascii="Times New Roman" w:hAnsi="Times New Roman" w:eastAsia="Times New Roman" w:cs="Times New Roman"/>
          <w:spacing w:val="1"/>
        </w:rPr>
        <w:t>i)</w:t>
      </w:r>
      <w:r>
        <w:rPr>
          <w:rFonts w:ascii="Times New Roman" w:hAnsi="Times New Roman" w:eastAsia="Times New Roman" w:cs="Times New Roman"/>
          <w:spacing w:val="61"/>
          <w:w w:val="101"/>
        </w:rPr>
        <w:t xml:space="preserve"> </w:t>
      </w:r>
      <w:r>
        <w:rPr>
          <w:spacing w:val="1"/>
        </w:rPr>
        <w:t>训练大纲与教材；</w:t>
      </w:r>
    </w:p>
    <w:p w14:paraId="05375036">
      <w:pPr>
        <w:pStyle w:val="2"/>
        <w:spacing w:before="100" w:line="212" w:lineRule="auto"/>
        <w:ind w:left="539"/>
      </w:pPr>
      <w:r>
        <w:rPr>
          <w:rFonts w:ascii="Times New Roman" w:hAnsi="Times New Roman" w:eastAsia="Times New Roman" w:cs="Times New Roman"/>
          <w:spacing w:val="5"/>
        </w:rPr>
        <w:t>j)</w:t>
      </w:r>
      <w:r>
        <w:rPr>
          <w:rFonts w:ascii="Times New Roman" w:hAnsi="Times New Roman" w:eastAsia="Times New Roman" w:cs="Times New Roman"/>
          <w:spacing w:val="41"/>
        </w:rPr>
        <w:t xml:space="preserve"> </w:t>
      </w:r>
      <w:r>
        <w:rPr>
          <w:spacing w:val="5"/>
        </w:rPr>
        <w:t>运输与装卸设备；</w:t>
      </w:r>
    </w:p>
    <w:p w14:paraId="61B837D6">
      <w:pPr>
        <w:pStyle w:val="2"/>
        <w:spacing w:before="110" w:line="212" w:lineRule="auto"/>
        <w:ind w:left="539"/>
      </w:pPr>
      <w:r>
        <w:rPr>
          <w:rFonts w:ascii="Times New Roman" w:hAnsi="Times New Roman" w:eastAsia="Times New Roman" w:cs="Times New Roman"/>
          <w:spacing w:val="2"/>
        </w:rPr>
        <w:t xml:space="preserve">k)  </w:t>
      </w:r>
      <w:r>
        <w:rPr>
          <w:spacing w:val="2"/>
        </w:rPr>
        <w:t>校准程序与设备；</w:t>
      </w:r>
    </w:p>
    <w:p w14:paraId="59957B46">
      <w:pPr>
        <w:pStyle w:val="2"/>
        <w:spacing w:before="141" w:line="219" w:lineRule="auto"/>
        <w:ind w:left="539"/>
      </w:pPr>
      <w:r>
        <w:rPr>
          <w:spacing w:val="4"/>
        </w:rPr>
        <w:t>1)移动与固定的保障设施；</w:t>
      </w:r>
    </w:p>
    <w:p w14:paraId="6605A53B">
      <w:pPr>
        <w:pStyle w:val="2"/>
        <w:spacing w:before="89" w:line="219" w:lineRule="auto"/>
        <w:ind w:left="539"/>
      </w:pPr>
      <w:r>
        <w:rPr>
          <w:rFonts w:ascii="Times New Roman" w:hAnsi="Times New Roman" w:eastAsia="Times New Roman" w:cs="Times New Roman"/>
        </w:rPr>
        <w:t>m</w:t>
      </w:r>
      <w:r>
        <w:rPr>
          <w:rFonts w:ascii="Times New Roman" w:hAnsi="Times New Roman" w:eastAsia="Times New Roman" w:cs="Times New Roman"/>
          <w:spacing w:val="-36"/>
        </w:rPr>
        <w:t xml:space="preserve"> </w:t>
      </w:r>
      <w:r>
        <w:t>)</w:t>
      </w:r>
      <w:r>
        <w:rPr>
          <w:spacing w:val="-48"/>
        </w:rPr>
        <w:t xml:space="preserve"> </w:t>
      </w:r>
      <w:r>
        <w:t>嵌入软件的要求；</w:t>
      </w:r>
    </w:p>
    <w:p w14:paraId="248AD414">
      <w:pPr>
        <w:pStyle w:val="2"/>
        <w:spacing w:before="49" w:line="212" w:lineRule="auto"/>
        <w:ind w:left="539"/>
      </w:pPr>
      <w:r>
        <w:rPr>
          <w:rFonts w:ascii="Times New Roman" w:hAnsi="Times New Roman" w:eastAsia="Times New Roman" w:cs="Times New Roman"/>
          <w:spacing w:val="1"/>
        </w:rPr>
        <w:t xml:space="preserve">n)  </w:t>
      </w:r>
      <w:r>
        <w:rPr>
          <w:spacing w:val="1"/>
        </w:rPr>
        <w:t>其他保障设备。</w:t>
      </w:r>
    </w:p>
    <w:p w14:paraId="6D7D212B">
      <w:pPr>
        <w:spacing w:before="131" w:line="222" w:lineRule="auto"/>
        <w:rPr>
          <w:rFonts w:ascii="黑体" w:hAnsi="黑体" w:eastAsia="黑体" w:cs="黑体"/>
          <w:sz w:val="27"/>
          <w:szCs w:val="27"/>
        </w:rPr>
      </w:pPr>
      <w:r>
        <w:rPr>
          <w:rFonts w:ascii="黑体" w:hAnsi="黑体" w:eastAsia="黑体" w:cs="黑体"/>
          <w:spacing w:val="2"/>
          <w:sz w:val="27"/>
          <w:szCs w:val="27"/>
        </w:rPr>
        <w:t>9</w:t>
      </w:r>
      <w:r>
        <w:rPr>
          <w:rFonts w:ascii="黑体" w:hAnsi="黑体" w:eastAsia="黑体" w:cs="黑体"/>
          <w:spacing w:val="21"/>
          <w:sz w:val="27"/>
          <w:szCs w:val="27"/>
        </w:rPr>
        <w:t xml:space="preserve">  </w:t>
      </w:r>
      <w:r>
        <w:rPr>
          <w:rFonts w:ascii="黑体" w:hAnsi="黑体" w:eastAsia="黑体" w:cs="黑体"/>
          <w:spacing w:val="2"/>
          <w:sz w:val="27"/>
          <w:szCs w:val="27"/>
        </w:rPr>
        <w:t>有关保障性要求</w:t>
      </w:r>
    </w:p>
    <w:p w14:paraId="1E3CC391">
      <w:pPr>
        <w:spacing w:before="134" w:line="222" w:lineRule="auto"/>
        <w:rPr>
          <w:rFonts w:ascii="黑体" w:hAnsi="黑体" w:eastAsia="黑体" w:cs="黑体"/>
          <w:sz w:val="24"/>
          <w:szCs w:val="24"/>
        </w:rPr>
      </w:pPr>
      <w:r>
        <w:rPr>
          <w:rFonts w:ascii="黑体" w:hAnsi="黑体" w:eastAsia="黑体" w:cs="黑体"/>
          <w:spacing w:val="24"/>
          <w:sz w:val="24"/>
          <w:szCs w:val="24"/>
        </w:rPr>
        <w:t>9.1</w:t>
      </w:r>
      <w:r>
        <w:rPr>
          <w:rFonts w:ascii="黑体" w:hAnsi="黑体" w:eastAsia="黑体" w:cs="黑体"/>
          <w:spacing w:val="49"/>
          <w:sz w:val="24"/>
          <w:szCs w:val="24"/>
        </w:rPr>
        <w:t xml:space="preserve">  </w:t>
      </w:r>
      <w:r>
        <w:rPr>
          <w:rFonts w:ascii="黑体" w:hAnsi="黑体" w:eastAsia="黑体" w:cs="黑体"/>
          <w:spacing w:val="24"/>
          <w:sz w:val="24"/>
          <w:szCs w:val="24"/>
        </w:rPr>
        <w:t>规定的保障性要求</w:t>
      </w:r>
    </w:p>
    <w:p w14:paraId="0DA24AF4">
      <w:pPr>
        <w:pStyle w:val="2"/>
        <w:spacing w:before="112" w:line="299" w:lineRule="auto"/>
        <w:ind w:firstLine="539"/>
        <w:rPr>
          <w:sz w:val="25"/>
          <w:szCs w:val="25"/>
        </w:rPr>
      </w:pPr>
      <w:r>
        <w:rPr>
          <w:spacing w:val="20"/>
          <w:sz w:val="25"/>
          <w:szCs w:val="25"/>
        </w:rPr>
        <w:t>明确系统和设备保障性定量定性要求，对定量要求，说明每</w:t>
      </w:r>
      <w:r>
        <w:rPr>
          <w:spacing w:val="19"/>
          <w:sz w:val="25"/>
          <w:szCs w:val="25"/>
        </w:rPr>
        <w:t>一参数的含义、</w:t>
      </w:r>
      <w:r>
        <w:rPr>
          <w:sz w:val="25"/>
          <w:szCs w:val="25"/>
        </w:rPr>
        <w:t xml:space="preserve"> </w:t>
      </w:r>
      <w:r>
        <w:rPr>
          <w:spacing w:val="19"/>
          <w:sz w:val="25"/>
          <w:szCs w:val="25"/>
        </w:rPr>
        <w:t>各参数之间的关系。</w:t>
      </w:r>
    </w:p>
    <w:p w14:paraId="5AA6BE00">
      <w:pPr>
        <w:spacing w:before="1" w:line="221" w:lineRule="auto"/>
        <w:rPr>
          <w:rFonts w:ascii="黑体" w:hAnsi="黑体" w:eastAsia="黑体" w:cs="黑体"/>
          <w:sz w:val="27"/>
          <w:szCs w:val="27"/>
        </w:rPr>
      </w:pPr>
      <w:r>
        <w:rPr>
          <w:rFonts w:ascii="黑体" w:hAnsi="黑体" w:eastAsia="黑体" w:cs="黑体"/>
          <w:spacing w:val="1"/>
          <w:sz w:val="27"/>
          <w:szCs w:val="27"/>
        </w:rPr>
        <w:t>9.2</w:t>
      </w:r>
      <w:r>
        <w:rPr>
          <w:rFonts w:ascii="黑体" w:hAnsi="黑体" w:eastAsia="黑体" w:cs="黑体"/>
          <w:spacing w:val="29"/>
          <w:sz w:val="27"/>
          <w:szCs w:val="27"/>
        </w:rPr>
        <w:t xml:space="preserve">  </w:t>
      </w:r>
      <w:r>
        <w:rPr>
          <w:rFonts w:ascii="黑体" w:hAnsi="黑体" w:eastAsia="黑体" w:cs="黑体"/>
          <w:spacing w:val="1"/>
          <w:sz w:val="27"/>
          <w:szCs w:val="27"/>
        </w:rPr>
        <w:t>保障性设计参数</w:t>
      </w:r>
    </w:p>
    <w:p w14:paraId="0C9CEFCA">
      <w:pPr>
        <w:pStyle w:val="2"/>
        <w:spacing w:before="125" w:line="288" w:lineRule="auto"/>
        <w:ind w:right="112" w:firstLine="539"/>
        <w:rPr>
          <w:sz w:val="25"/>
          <w:szCs w:val="25"/>
        </w:rPr>
      </w:pPr>
      <w:r>
        <w:rPr>
          <w:spacing w:val="25"/>
          <w:sz w:val="25"/>
          <w:szCs w:val="25"/>
        </w:rPr>
        <w:t>说明最后确定的一组协调匹配的系统战备完好性参数</w:t>
      </w:r>
      <w:r>
        <w:rPr>
          <w:spacing w:val="24"/>
          <w:sz w:val="25"/>
          <w:szCs w:val="25"/>
        </w:rPr>
        <w:t>、保障性设计特性参</w:t>
      </w:r>
      <w:r>
        <w:rPr>
          <w:sz w:val="25"/>
          <w:szCs w:val="25"/>
        </w:rPr>
        <w:t xml:space="preserve"> </w:t>
      </w:r>
      <w:r>
        <w:rPr>
          <w:spacing w:val="23"/>
          <w:sz w:val="25"/>
          <w:szCs w:val="25"/>
        </w:rPr>
        <w:t>数和保障系统及其资源参数的规定值和最低可接受值。</w:t>
      </w:r>
    </w:p>
    <w:p w14:paraId="7D7FB663">
      <w:pPr>
        <w:spacing w:before="1" w:line="221" w:lineRule="auto"/>
        <w:rPr>
          <w:rFonts w:ascii="黑体" w:hAnsi="黑体" w:eastAsia="黑体" w:cs="黑体"/>
          <w:sz w:val="27"/>
          <w:szCs w:val="27"/>
        </w:rPr>
      </w:pPr>
      <w:r>
        <w:rPr>
          <w:rFonts w:ascii="黑体" w:hAnsi="黑体" w:eastAsia="黑体" w:cs="黑体"/>
          <w:spacing w:val="4"/>
          <w:sz w:val="27"/>
          <w:szCs w:val="27"/>
        </w:rPr>
        <w:t>10  现场数据收集计划</w:t>
      </w:r>
    </w:p>
    <w:p w14:paraId="4946A6DD">
      <w:pPr>
        <w:pStyle w:val="2"/>
        <w:spacing w:before="116" w:line="290" w:lineRule="auto"/>
        <w:ind w:right="111" w:firstLine="539"/>
      </w:pPr>
      <w:r>
        <w:rPr>
          <w:spacing w:val="-11"/>
        </w:rPr>
        <w:t>拟制现场数据收集计划，应包括有关数据收集</w:t>
      </w:r>
      <w:r>
        <w:rPr>
          <w:spacing w:val="-12"/>
        </w:rPr>
        <w:t>费用、持续时间、收集方法、使</w:t>
      </w:r>
      <w:r>
        <w:t xml:space="preserve"> </w:t>
      </w:r>
      <w:r>
        <w:rPr>
          <w:spacing w:val="-3"/>
        </w:rPr>
        <w:t>用部队、预测准确度及数据的预定用途等内容。</w:t>
      </w:r>
    </w:p>
    <w:p w14:paraId="2920C918">
      <w:pPr>
        <w:spacing w:line="290" w:lineRule="auto"/>
        <w:sectPr>
          <w:footerReference r:id="rId533" w:type="default"/>
          <w:pgSz w:w="11910" w:h="17130"/>
          <w:pgMar w:top="400" w:right="1245" w:bottom="1716" w:left="1219" w:header="0" w:footer="1527" w:gutter="0"/>
          <w:cols w:space="720" w:num="1"/>
        </w:sectPr>
      </w:pPr>
    </w:p>
    <w:p w14:paraId="50AE6833">
      <w:pPr>
        <w:spacing w:line="261" w:lineRule="auto"/>
        <w:rPr>
          <w:rFonts w:ascii="Arial"/>
          <w:sz w:val="21"/>
        </w:rPr>
      </w:pPr>
    </w:p>
    <w:p w14:paraId="0A6F0B83">
      <w:pPr>
        <w:spacing w:line="261" w:lineRule="auto"/>
        <w:rPr>
          <w:rFonts w:ascii="Arial"/>
          <w:sz w:val="21"/>
        </w:rPr>
      </w:pPr>
    </w:p>
    <w:p w14:paraId="31133966">
      <w:pPr>
        <w:spacing w:line="261" w:lineRule="auto"/>
        <w:rPr>
          <w:rFonts w:ascii="Arial"/>
          <w:sz w:val="21"/>
        </w:rPr>
      </w:pPr>
    </w:p>
    <w:p w14:paraId="1E0CD93B">
      <w:pPr>
        <w:spacing w:line="261" w:lineRule="auto"/>
        <w:rPr>
          <w:rFonts w:ascii="Arial"/>
          <w:sz w:val="21"/>
        </w:rPr>
      </w:pPr>
    </w:p>
    <w:p w14:paraId="306280E4">
      <w:pPr>
        <w:spacing w:before="88" w:line="221" w:lineRule="auto"/>
        <w:rPr>
          <w:rFonts w:ascii="黑体" w:hAnsi="黑体" w:eastAsia="黑体" w:cs="黑体"/>
          <w:sz w:val="27"/>
          <w:szCs w:val="27"/>
        </w:rPr>
      </w:pPr>
      <w:r>
        <w:rPr>
          <w:rFonts w:ascii="黑体" w:hAnsi="黑体" w:eastAsia="黑体" w:cs="黑体"/>
          <w:spacing w:val="4"/>
          <w:sz w:val="27"/>
          <w:szCs w:val="27"/>
        </w:rPr>
        <w:t>11  试验安全保证要求</w:t>
      </w:r>
    </w:p>
    <w:p w14:paraId="6E23301A">
      <w:pPr>
        <w:pStyle w:val="2"/>
        <w:spacing w:before="79" w:line="296" w:lineRule="auto"/>
        <w:ind w:right="97" w:firstLine="550"/>
      </w:pPr>
      <w:r>
        <w:rPr>
          <w:spacing w:val="5"/>
        </w:rPr>
        <w:t>应根据被试品的特点和使用要求，结合试验条件，给出必要的安全保证要</w:t>
      </w:r>
      <w:r>
        <w:rPr>
          <w:spacing w:val="12"/>
        </w:rPr>
        <w:t xml:space="preserve"> </w:t>
      </w:r>
      <w:r>
        <w:rPr>
          <w:spacing w:val="-7"/>
        </w:rPr>
        <w:t>求，防止试验过程中出现人身、装备和财产安全问题。</w:t>
      </w:r>
    </w:p>
    <w:p w14:paraId="7BBE3470">
      <w:pPr>
        <w:pStyle w:val="2"/>
        <w:spacing w:before="312" w:line="218" w:lineRule="auto"/>
        <w:ind w:left="1770"/>
        <w:rPr>
          <w:sz w:val="36"/>
          <w:szCs w:val="36"/>
        </w:rPr>
      </w:pPr>
      <w:r>
        <w:rPr>
          <w:spacing w:val="-5"/>
          <w:sz w:val="36"/>
          <w:szCs w:val="36"/>
        </w:rPr>
        <w:t>10.2</w:t>
      </w:r>
      <w:r>
        <w:rPr>
          <w:b/>
          <w:bCs/>
          <w:spacing w:val="-5"/>
          <w:sz w:val="36"/>
          <w:szCs w:val="36"/>
        </w:rPr>
        <w:t>2</w:t>
      </w:r>
      <w:r>
        <w:rPr>
          <w:spacing w:val="-5"/>
          <w:sz w:val="36"/>
          <w:szCs w:val="36"/>
        </w:rPr>
        <w:t xml:space="preserve">  </w:t>
      </w:r>
      <w:r>
        <w:rPr>
          <w:b/>
          <w:bCs/>
          <w:spacing w:val="-5"/>
          <w:sz w:val="36"/>
          <w:szCs w:val="36"/>
        </w:rPr>
        <w:t>保障性试验、</w:t>
      </w:r>
      <w:r>
        <w:rPr>
          <w:spacing w:val="-5"/>
          <w:sz w:val="36"/>
          <w:szCs w:val="36"/>
        </w:rPr>
        <w:t>评价与验证报告</w:t>
      </w:r>
    </w:p>
    <w:p w14:paraId="166C1CC0">
      <w:pPr>
        <w:spacing w:line="331" w:lineRule="auto"/>
        <w:rPr>
          <w:rFonts w:ascii="Arial"/>
          <w:sz w:val="21"/>
        </w:rPr>
      </w:pPr>
    </w:p>
    <w:p w14:paraId="1DCE8F4E">
      <w:pPr>
        <w:pStyle w:val="2"/>
        <w:spacing w:before="91" w:line="226" w:lineRule="auto"/>
        <w:ind w:left="570"/>
        <w:rPr>
          <w:rFonts w:ascii="楷体" w:hAnsi="楷体" w:eastAsia="楷体" w:cs="楷体"/>
          <w:sz w:val="28"/>
          <w:szCs w:val="28"/>
        </w:rPr>
      </w:pPr>
      <w:r>
        <w:rPr>
          <w:rFonts w:ascii="楷体" w:hAnsi="楷体" w:eastAsia="楷体" w:cs="楷体"/>
          <w:spacing w:val="-13"/>
          <w:sz w:val="28"/>
          <w:szCs w:val="28"/>
        </w:rPr>
        <w:t>按照</w:t>
      </w:r>
      <w:r>
        <w:rPr>
          <w:rFonts w:ascii="Times New Roman" w:hAnsi="Times New Roman" w:eastAsia="Times New Roman" w:cs="Times New Roman"/>
          <w:spacing w:val="-13"/>
          <w:sz w:val="28"/>
          <w:szCs w:val="28"/>
        </w:rPr>
        <w:t>GJB</w:t>
      </w:r>
      <w:r>
        <w:rPr>
          <w:rFonts w:ascii="Times New Roman" w:hAnsi="Times New Roman" w:eastAsia="Times New Roman" w:cs="Times New Roman"/>
          <w:spacing w:val="36"/>
          <w:sz w:val="28"/>
          <w:szCs w:val="28"/>
        </w:rPr>
        <w:t xml:space="preserve"> </w:t>
      </w:r>
      <w:r>
        <w:rPr>
          <w:rFonts w:ascii="Times New Roman" w:hAnsi="Times New Roman" w:eastAsia="Times New Roman" w:cs="Times New Roman"/>
          <w:spacing w:val="-13"/>
          <w:sz w:val="28"/>
          <w:szCs w:val="28"/>
        </w:rPr>
        <w:t>1371—1992</w:t>
      </w:r>
      <w:r>
        <w:rPr>
          <w:spacing w:val="-13"/>
          <w:sz w:val="28"/>
          <w:szCs w:val="28"/>
        </w:rPr>
        <w:t>《</w:t>
      </w:r>
      <w:r>
        <w:rPr>
          <w:rFonts w:ascii="楷体" w:hAnsi="楷体" w:eastAsia="楷体" w:cs="楷体"/>
          <w:spacing w:val="-13"/>
          <w:sz w:val="28"/>
          <w:szCs w:val="28"/>
        </w:rPr>
        <w:t>装备保障性分析》编写。</w:t>
      </w:r>
    </w:p>
    <w:p w14:paraId="008208A2">
      <w:pPr>
        <w:spacing w:before="96" w:line="221" w:lineRule="auto"/>
        <w:rPr>
          <w:rFonts w:ascii="黑体" w:hAnsi="黑体" w:eastAsia="黑体" w:cs="黑体"/>
          <w:sz w:val="25"/>
          <w:szCs w:val="25"/>
        </w:rPr>
      </w:pPr>
      <w:r>
        <w:rPr>
          <w:rFonts w:ascii="黑体" w:hAnsi="黑体" w:eastAsia="黑体" w:cs="黑体"/>
          <w:spacing w:val="19"/>
          <w:sz w:val="25"/>
          <w:szCs w:val="25"/>
        </w:rPr>
        <w:t>1</w:t>
      </w:r>
      <w:r>
        <w:rPr>
          <w:rFonts w:ascii="黑体" w:hAnsi="黑体" w:eastAsia="黑体" w:cs="黑体"/>
          <w:spacing w:val="29"/>
          <w:sz w:val="25"/>
          <w:szCs w:val="25"/>
        </w:rPr>
        <w:t xml:space="preserve">  </w:t>
      </w:r>
      <w:r>
        <w:rPr>
          <w:rFonts w:ascii="黑体" w:hAnsi="黑体" w:eastAsia="黑体" w:cs="黑体"/>
          <w:spacing w:val="19"/>
          <w:sz w:val="25"/>
          <w:szCs w:val="25"/>
        </w:rPr>
        <w:t>试验概况</w:t>
      </w:r>
    </w:p>
    <w:p w14:paraId="0648F57C">
      <w:pPr>
        <w:pStyle w:val="2"/>
        <w:spacing w:before="94" w:line="219" w:lineRule="auto"/>
        <w:ind w:left="570"/>
      </w:pPr>
      <w:r>
        <w:rPr>
          <w:spacing w:val="-4"/>
        </w:rPr>
        <w:t>概要描述保障性试验情况，通常应有以下内容：</w:t>
      </w:r>
    </w:p>
    <w:p w14:paraId="53A13FF0">
      <w:pPr>
        <w:pStyle w:val="2"/>
        <w:spacing w:before="117" w:line="219" w:lineRule="auto"/>
        <w:ind w:left="570"/>
        <w:rPr>
          <w:sz w:val="25"/>
          <w:szCs w:val="25"/>
        </w:rPr>
      </w:pPr>
      <w:r>
        <w:rPr>
          <w:rFonts w:ascii="Times New Roman" w:hAnsi="Times New Roman" w:eastAsia="Times New Roman" w:cs="Times New Roman"/>
          <w:spacing w:val="12"/>
          <w:sz w:val="25"/>
          <w:szCs w:val="25"/>
        </w:rPr>
        <w:t>a</w:t>
      </w:r>
      <w:r>
        <w:rPr>
          <w:spacing w:val="12"/>
          <w:sz w:val="25"/>
          <w:szCs w:val="25"/>
        </w:rPr>
        <w:t>)</w:t>
      </w:r>
      <w:r>
        <w:rPr>
          <w:spacing w:val="-37"/>
          <w:sz w:val="25"/>
          <w:szCs w:val="25"/>
        </w:rPr>
        <w:t xml:space="preserve"> </w:t>
      </w:r>
      <w:r>
        <w:rPr>
          <w:spacing w:val="12"/>
          <w:sz w:val="25"/>
          <w:szCs w:val="25"/>
        </w:rPr>
        <w:t>试验任务来源、依据及代号；</w:t>
      </w:r>
    </w:p>
    <w:p w14:paraId="7C42470F">
      <w:pPr>
        <w:pStyle w:val="2"/>
        <w:spacing w:before="55" w:line="212" w:lineRule="auto"/>
        <w:ind w:left="570"/>
      </w:pPr>
      <w:r>
        <w:rPr>
          <w:rFonts w:ascii="Times New Roman" w:hAnsi="Times New Roman" w:eastAsia="Times New Roman" w:cs="Times New Roman"/>
          <w:spacing w:val="2"/>
        </w:rPr>
        <w:t>b)</w:t>
      </w:r>
      <w:r>
        <w:rPr>
          <w:rFonts w:ascii="Times New Roman" w:hAnsi="Times New Roman" w:eastAsia="Times New Roman" w:cs="Times New Roman"/>
          <w:spacing w:val="69"/>
        </w:rPr>
        <w:t xml:space="preserve"> </w:t>
      </w:r>
      <w:r>
        <w:rPr>
          <w:spacing w:val="2"/>
        </w:rPr>
        <w:t>被试品代号和名称；</w:t>
      </w:r>
    </w:p>
    <w:p w14:paraId="1A578AB6">
      <w:pPr>
        <w:pStyle w:val="2"/>
        <w:spacing w:before="122" w:line="212" w:lineRule="auto"/>
        <w:ind w:left="570"/>
        <w:rPr>
          <w:sz w:val="24"/>
          <w:szCs w:val="24"/>
        </w:rPr>
      </w:pPr>
      <w:r>
        <w:rPr>
          <w:rFonts w:ascii="Times New Roman" w:hAnsi="Times New Roman" w:eastAsia="Times New Roman" w:cs="Times New Roman"/>
          <w:spacing w:val="25"/>
          <w:sz w:val="24"/>
          <w:szCs w:val="24"/>
        </w:rPr>
        <w:t xml:space="preserve">c)  </w:t>
      </w:r>
      <w:r>
        <w:rPr>
          <w:spacing w:val="25"/>
          <w:sz w:val="24"/>
          <w:szCs w:val="24"/>
        </w:rPr>
        <w:t>承试单位和参试单位名称；</w:t>
      </w:r>
    </w:p>
    <w:p w14:paraId="17BE9D92">
      <w:pPr>
        <w:pStyle w:val="2"/>
        <w:spacing w:before="124" w:line="212" w:lineRule="auto"/>
        <w:ind w:left="570"/>
        <w:rPr>
          <w:sz w:val="24"/>
          <w:szCs w:val="24"/>
        </w:rPr>
      </w:pPr>
      <w:r>
        <w:rPr>
          <w:rFonts w:ascii="Times New Roman" w:hAnsi="Times New Roman" w:eastAsia="Times New Roman" w:cs="Times New Roman"/>
          <w:spacing w:val="17"/>
          <w:sz w:val="24"/>
          <w:szCs w:val="24"/>
        </w:rPr>
        <w:t>d)</w:t>
      </w:r>
      <w:r>
        <w:rPr>
          <w:rFonts w:ascii="Times New Roman" w:hAnsi="Times New Roman" w:eastAsia="Times New Roman" w:cs="Times New Roman"/>
          <w:spacing w:val="24"/>
          <w:sz w:val="24"/>
          <w:szCs w:val="24"/>
        </w:rPr>
        <w:t xml:space="preserve">  </w:t>
      </w:r>
      <w:r>
        <w:rPr>
          <w:spacing w:val="17"/>
          <w:sz w:val="24"/>
          <w:szCs w:val="24"/>
        </w:rPr>
        <w:t>试验性质、目的和任务；</w:t>
      </w:r>
    </w:p>
    <w:p w14:paraId="7359E565">
      <w:pPr>
        <w:pStyle w:val="2"/>
        <w:spacing w:before="134" w:line="220" w:lineRule="auto"/>
        <w:ind w:left="570"/>
      </w:pPr>
      <w:r>
        <w:rPr>
          <w:rFonts w:ascii="Times New Roman" w:hAnsi="Times New Roman" w:eastAsia="Times New Roman" w:cs="Times New Roman"/>
          <w:spacing w:val="-1"/>
        </w:rPr>
        <w:t>e</w:t>
      </w:r>
      <w:r>
        <w:rPr>
          <w:spacing w:val="-1"/>
        </w:rPr>
        <w:t>)试验地点、起止时间；</w:t>
      </w:r>
    </w:p>
    <w:p w14:paraId="2282A8D1">
      <w:pPr>
        <w:pStyle w:val="2"/>
        <w:spacing w:before="57" w:line="212" w:lineRule="auto"/>
        <w:ind w:left="570"/>
      </w:pPr>
      <w:r>
        <w:rPr>
          <w:rFonts w:ascii="Times New Roman" w:hAnsi="Times New Roman" w:eastAsia="Times New Roman" w:cs="Times New Roman"/>
          <w:spacing w:val="4"/>
        </w:rPr>
        <w:t>f)</w:t>
      </w:r>
      <w:r>
        <w:rPr>
          <w:rFonts w:ascii="Times New Roman" w:hAnsi="Times New Roman" w:eastAsia="Times New Roman" w:cs="Times New Roman"/>
          <w:spacing w:val="56"/>
        </w:rPr>
        <w:t xml:space="preserve"> </w:t>
      </w:r>
      <w:r>
        <w:rPr>
          <w:spacing w:val="4"/>
        </w:rPr>
        <w:t>试验组织机构的设立及其职责分工情况；</w:t>
      </w:r>
    </w:p>
    <w:p w14:paraId="6401FAE9">
      <w:pPr>
        <w:pStyle w:val="2"/>
        <w:spacing w:before="119" w:line="212" w:lineRule="auto"/>
        <w:ind w:left="570"/>
      </w:pPr>
      <w:r>
        <w:rPr>
          <w:rFonts w:ascii="Times New Roman" w:hAnsi="Times New Roman" w:eastAsia="Times New Roman" w:cs="Times New Roman"/>
          <w:spacing w:val="9"/>
        </w:rPr>
        <w:t>g</w:t>
      </w:r>
      <w:r>
        <w:rPr>
          <w:spacing w:val="9"/>
        </w:rPr>
        <w:t>)试验实施计划的制定和落实情况；</w:t>
      </w:r>
    </w:p>
    <w:p w14:paraId="4275C62B">
      <w:pPr>
        <w:pStyle w:val="2"/>
        <w:spacing w:before="102" w:line="212" w:lineRule="auto"/>
        <w:ind w:left="570"/>
        <w:rPr>
          <w:sz w:val="25"/>
          <w:szCs w:val="25"/>
        </w:rPr>
      </w:pPr>
      <w:r>
        <w:rPr>
          <w:rFonts w:ascii="Times New Roman" w:hAnsi="Times New Roman" w:eastAsia="Times New Roman" w:cs="Times New Roman"/>
          <w:spacing w:val="10"/>
          <w:sz w:val="25"/>
          <w:szCs w:val="25"/>
        </w:rPr>
        <w:t xml:space="preserve">h)  </w:t>
      </w:r>
      <w:r>
        <w:rPr>
          <w:spacing w:val="10"/>
          <w:sz w:val="25"/>
          <w:szCs w:val="25"/>
        </w:rPr>
        <w:t>试验阶段划分，各阶段的起止时间、地点(地域)、主要工作和目的；</w:t>
      </w:r>
    </w:p>
    <w:p w14:paraId="473DEC60">
      <w:pPr>
        <w:pStyle w:val="2"/>
        <w:spacing w:before="92" w:line="212" w:lineRule="auto"/>
        <w:ind w:left="570"/>
      </w:pPr>
      <w:r>
        <w:rPr>
          <w:rFonts w:ascii="Times New Roman" w:hAnsi="Times New Roman" w:eastAsia="Times New Roman" w:cs="Times New Roman"/>
          <w:spacing w:val="3"/>
        </w:rPr>
        <w:t>i)</w:t>
      </w:r>
      <w:r>
        <w:rPr>
          <w:rFonts w:ascii="Times New Roman" w:hAnsi="Times New Roman" w:eastAsia="Times New Roman" w:cs="Times New Roman"/>
          <w:spacing w:val="70"/>
        </w:rPr>
        <w:t xml:space="preserve"> </w:t>
      </w:r>
      <w:r>
        <w:rPr>
          <w:spacing w:val="3"/>
        </w:rPr>
        <w:t>是否完成试验大纲规定的任务等。</w:t>
      </w:r>
    </w:p>
    <w:p w14:paraId="151A6DE4">
      <w:pPr>
        <w:spacing w:before="127" w:line="221" w:lineRule="auto"/>
        <w:rPr>
          <w:rFonts w:ascii="黑体" w:hAnsi="黑体" w:eastAsia="黑体" w:cs="黑体"/>
          <w:sz w:val="27"/>
          <w:szCs w:val="27"/>
        </w:rPr>
      </w:pPr>
      <w:r>
        <w:rPr>
          <w:rFonts w:ascii="黑体" w:hAnsi="黑体" w:eastAsia="黑体" w:cs="黑体"/>
          <w:spacing w:val="-6"/>
          <w:sz w:val="27"/>
          <w:szCs w:val="27"/>
        </w:rPr>
        <w:t>2  试验项目、步骤和方法</w:t>
      </w:r>
    </w:p>
    <w:p w14:paraId="408FD1AA">
      <w:pPr>
        <w:spacing w:before="32" w:line="368" w:lineRule="exact"/>
        <w:rPr>
          <w:rFonts w:ascii="黑体" w:hAnsi="黑体" w:eastAsia="黑体" w:cs="黑体"/>
          <w:sz w:val="27"/>
          <w:szCs w:val="27"/>
        </w:rPr>
      </w:pPr>
      <w:r>
        <w:rPr>
          <w:rFonts w:ascii="Arial" w:hAnsi="Arial" w:eastAsia="Arial" w:cs="Arial"/>
          <w:spacing w:val="6"/>
          <w:position w:val="3"/>
          <w:sz w:val="27"/>
          <w:szCs w:val="27"/>
        </w:rPr>
        <w:t>2.X</w:t>
      </w:r>
      <w:r>
        <w:rPr>
          <w:rFonts w:ascii="Arial" w:hAnsi="Arial" w:eastAsia="Arial" w:cs="Arial"/>
          <w:spacing w:val="15"/>
          <w:position w:val="3"/>
          <w:sz w:val="27"/>
          <w:szCs w:val="27"/>
        </w:rPr>
        <w:t xml:space="preserve">    </w:t>
      </w:r>
      <w:r>
        <w:rPr>
          <w:rFonts w:ascii="Arial" w:hAnsi="Arial" w:eastAsia="Arial" w:cs="Arial"/>
          <w:spacing w:val="6"/>
          <w:position w:val="3"/>
          <w:sz w:val="27"/>
          <w:szCs w:val="27"/>
        </w:rPr>
        <w:t>(</w:t>
      </w:r>
      <w:r>
        <w:rPr>
          <w:rFonts w:ascii="Arial" w:hAnsi="Arial" w:eastAsia="Arial" w:cs="Arial"/>
          <w:spacing w:val="-15"/>
          <w:position w:val="3"/>
          <w:sz w:val="27"/>
          <w:szCs w:val="27"/>
        </w:rPr>
        <w:t xml:space="preserve"> </w:t>
      </w:r>
      <w:r>
        <w:rPr>
          <w:rFonts w:ascii="黑体" w:hAnsi="黑体" w:eastAsia="黑体" w:cs="黑体"/>
          <w:spacing w:val="6"/>
          <w:position w:val="3"/>
          <w:sz w:val="27"/>
          <w:szCs w:val="27"/>
        </w:rPr>
        <w:t>试验项目</w:t>
      </w:r>
      <w:r>
        <w:rPr>
          <w:rFonts w:ascii="Arial" w:hAnsi="Arial" w:eastAsia="Arial" w:cs="Arial"/>
          <w:spacing w:val="6"/>
          <w:position w:val="3"/>
          <w:sz w:val="27"/>
          <w:szCs w:val="27"/>
        </w:rPr>
        <w:t>X)</w:t>
      </w:r>
      <w:r>
        <w:rPr>
          <w:rFonts w:ascii="Arial" w:hAnsi="Arial" w:eastAsia="Arial" w:cs="Arial"/>
          <w:spacing w:val="-14"/>
          <w:position w:val="3"/>
          <w:sz w:val="27"/>
          <w:szCs w:val="27"/>
        </w:rPr>
        <w:t xml:space="preserve"> </w:t>
      </w:r>
      <w:r>
        <w:rPr>
          <w:rFonts w:ascii="黑体" w:hAnsi="黑体" w:eastAsia="黑体" w:cs="黑体"/>
          <w:spacing w:val="6"/>
          <w:position w:val="3"/>
          <w:sz w:val="27"/>
          <w:szCs w:val="27"/>
        </w:rPr>
        <w:t>的步骤和方法</w:t>
      </w:r>
    </w:p>
    <w:p w14:paraId="1A384DF7">
      <w:pPr>
        <w:pStyle w:val="2"/>
        <w:spacing w:before="69" w:line="212" w:lineRule="auto"/>
        <w:ind w:left="570"/>
      </w:pPr>
      <w:r>
        <w:rPr>
          <w:spacing w:val="4"/>
        </w:rPr>
        <w:t>应按试验大纲的规定，简要叙述(试验项目</w:t>
      </w:r>
      <w:r>
        <w:rPr>
          <w:rFonts w:ascii="Times New Roman" w:hAnsi="Times New Roman" w:eastAsia="Times New Roman" w:cs="Times New Roman"/>
          <w:spacing w:val="4"/>
        </w:rPr>
        <w:t>X)</w:t>
      </w:r>
      <w:r>
        <w:rPr>
          <w:spacing w:val="4"/>
        </w:rPr>
        <w:t>的实施</w:t>
      </w:r>
      <w:r>
        <w:rPr>
          <w:spacing w:val="3"/>
        </w:rPr>
        <w:t>步骤和方法。</w:t>
      </w:r>
    </w:p>
    <w:p w14:paraId="08E2B90B">
      <w:pPr>
        <w:spacing w:before="138" w:line="221" w:lineRule="auto"/>
        <w:rPr>
          <w:rFonts w:ascii="黑体" w:hAnsi="黑体" w:eastAsia="黑体" w:cs="黑体"/>
          <w:sz w:val="27"/>
          <w:szCs w:val="27"/>
        </w:rPr>
      </w:pPr>
      <w:r>
        <w:rPr>
          <w:rFonts w:ascii="黑体" w:hAnsi="黑体" w:eastAsia="黑体" w:cs="黑体"/>
          <w:spacing w:val="6"/>
          <w:sz w:val="27"/>
          <w:szCs w:val="27"/>
        </w:rPr>
        <w:t>3  试验数据</w:t>
      </w:r>
    </w:p>
    <w:p w14:paraId="45360C83">
      <w:pPr>
        <w:pStyle w:val="2"/>
        <w:spacing w:before="78" w:line="219" w:lineRule="auto"/>
        <w:ind w:left="570"/>
      </w:pPr>
      <w:r>
        <w:rPr>
          <w:spacing w:val="4"/>
        </w:rPr>
        <w:t>提供各项试验所获得的实测数据(必要时可采用图表形式表示)。</w:t>
      </w:r>
    </w:p>
    <w:p w14:paraId="505F02F0">
      <w:pPr>
        <w:spacing w:before="89" w:line="221" w:lineRule="auto"/>
        <w:rPr>
          <w:rFonts w:ascii="黑体" w:hAnsi="黑体" w:eastAsia="黑体" w:cs="黑体"/>
          <w:sz w:val="27"/>
          <w:szCs w:val="27"/>
        </w:rPr>
      </w:pPr>
      <w:r>
        <w:rPr>
          <w:rFonts w:ascii="Arial" w:hAnsi="Arial" w:eastAsia="Arial" w:cs="Arial"/>
          <w:spacing w:val="6"/>
          <w:sz w:val="27"/>
          <w:szCs w:val="27"/>
        </w:rPr>
        <w:t xml:space="preserve">4   </w:t>
      </w:r>
      <w:r>
        <w:rPr>
          <w:rFonts w:ascii="黑体" w:hAnsi="黑体" w:eastAsia="黑体" w:cs="黑体"/>
          <w:spacing w:val="6"/>
          <w:sz w:val="27"/>
          <w:szCs w:val="27"/>
        </w:rPr>
        <w:t>试验中出现的主要技术问题及处理情况</w:t>
      </w:r>
    </w:p>
    <w:p w14:paraId="50D5E6C9">
      <w:pPr>
        <w:pStyle w:val="2"/>
        <w:spacing w:before="89" w:line="263" w:lineRule="auto"/>
        <w:ind w:right="71" w:firstLine="570"/>
      </w:pPr>
      <w:r>
        <w:rPr>
          <w:spacing w:val="1"/>
        </w:rPr>
        <w:t>描述试验中出现的主要技术问题及处理情况，包括问题现象(发生时间、试</w:t>
      </w:r>
      <w:r>
        <w:rPr>
          <w:spacing w:val="11"/>
        </w:rPr>
        <w:t xml:space="preserve"> </w:t>
      </w:r>
      <w:r>
        <w:rPr>
          <w:spacing w:val="-16"/>
        </w:rPr>
        <w:t>验项目、技术问题等)、问题原因、解决措施、验证情况等。</w:t>
      </w:r>
    </w:p>
    <w:p w14:paraId="3BB41C07">
      <w:pPr>
        <w:spacing w:line="368" w:lineRule="exact"/>
        <w:rPr>
          <w:rFonts w:ascii="黑体" w:hAnsi="黑体" w:eastAsia="黑体" w:cs="黑体"/>
          <w:sz w:val="27"/>
          <w:szCs w:val="27"/>
        </w:rPr>
      </w:pPr>
      <w:r>
        <w:rPr>
          <w:rFonts w:ascii="Arial" w:hAnsi="Arial" w:eastAsia="Arial" w:cs="Arial"/>
          <w:spacing w:val="3"/>
          <w:position w:val="1"/>
          <w:sz w:val="27"/>
          <w:szCs w:val="27"/>
        </w:rPr>
        <w:t>5</w:t>
      </w:r>
      <w:r>
        <w:rPr>
          <w:rFonts w:ascii="Arial" w:hAnsi="Arial" w:eastAsia="Arial" w:cs="Arial"/>
          <w:spacing w:val="2"/>
          <w:position w:val="1"/>
          <w:sz w:val="27"/>
          <w:szCs w:val="27"/>
        </w:rPr>
        <w:t xml:space="preserve">    </w:t>
      </w:r>
      <w:r>
        <w:rPr>
          <w:rFonts w:ascii="黑体" w:hAnsi="黑体" w:eastAsia="黑体" w:cs="黑体"/>
          <w:spacing w:val="3"/>
          <w:position w:val="1"/>
          <w:sz w:val="27"/>
          <w:szCs w:val="27"/>
        </w:rPr>
        <w:t>系统保障包的项目清单的评价确认</w:t>
      </w:r>
    </w:p>
    <w:p w14:paraId="53A09863">
      <w:pPr>
        <w:pStyle w:val="2"/>
        <w:spacing w:before="81" w:line="260" w:lineRule="auto"/>
        <w:ind w:right="71" w:firstLine="570"/>
      </w:pPr>
      <w:r>
        <w:rPr>
          <w:spacing w:val="5"/>
        </w:rPr>
        <w:t>对保障性试验、评价与验证大纲中的系统保障包的项目清单中的项目在保</w:t>
      </w:r>
      <w:r>
        <w:rPr>
          <w:spacing w:val="18"/>
        </w:rPr>
        <w:t xml:space="preserve"> </w:t>
      </w:r>
      <w:r>
        <w:rPr>
          <w:spacing w:val="1"/>
        </w:rPr>
        <w:t>障演示期间进行评价的结论，以及在研制与使用试验</w:t>
      </w:r>
      <w:r>
        <w:t>中进行试验和确认情况。</w:t>
      </w:r>
    </w:p>
    <w:p w14:paraId="38BDD4AA">
      <w:pPr>
        <w:spacing w:line="368" w:lineRule="exact"/>
        <w:rPr>
          <w:rFonts w:ascii="黑体" w:hAnsi="黑体" w:eastAsia="黑体" w:cs="黑体"/>
          <w:sz w:val="27"/>
          <w:szCs w:val="27"/>
        </w:rPr>
      </w:pPr>
      <w:r>
        <w:rPr>
          <w:rFonts w:ascii="Arial" w:hAnsi="Arial" w:eastAsia="Arial" w:cs="Arial"/>
          <w:spacing w:val="5"/>
          <w:position w:val="1"/>
          <w:sz w:val="27"/>
          <w:szCs w:val="27"/>
        </w:rPr>
        <w:t>6</w:t>
      </w:r>
      <w:r>
        <w:rPr>
          <w:rFonts w:ascii="Arial" w:hAnsi="Arial" w:eastAsia="Arial" w:cs="Arial"/>
          <w:spacing w:val="16"/>
          <w:position w:val="1"/>
          <w:sz w:val="27"/>
          <w:szCs w:val="27"/>
        </w:rPr>
        <w:t xml:space="preserve">   </w:t>
      </w:r>
      <w:r>
        <w:rPr>
          <w:rFonts w:ascii="黑体" w:hAnsi="黑体" w:eastAsia="黑体" w:cs="黑体"/>
          <w:spacing w:val="5"/>
          <w:position w:val="1"/>
          <w:sz w:val="27"/>
          <w:szCs w:val="27"/>
        </w:rPr>
        <w:t>试验结果分析</w:t>
      </w:r>
    </w:p>
    <w:p w14:paraId="2FFDB622">
      <w:pPr>
        <w:spacing w:before="130" w:line="222" w:lineRule="auto"/>
        <w:rPr>
          <w:rFonts w:ascii="黑体" w:hAnsi="黑体" w:eastAsia="黑体" w:cs="黑体"/>
          <w:sz w:val="24"/>
          <w:szCs w:val="24"/>
        </w:rPr>
      </w:pPr>
      <w:r>
        <w:rPr>
          <w:rFonts w:ascii="黑体" w:hAnsi="黑体" w:eastAsia="黑体" w:cs="黑体"/>
          <w:spacing w:val="29"/>
          <w:sz w:val="24"/>
          <w:szCs w:val="24"/>
        </w:rPr>
        <w:t>6.1</w:t>
      </w:r>
      <w:r>
        <w:rPr>
          <w:rFonts w:ascii="黑体" w:hAnsi="黑体" w:eastAsia="黑体" w:cs="黑体"/>
          <w:spacing w:val="15"/>
          <w:sz w:val="24"/>
          <w:szCs w:val="24"/>
        </w:rPr>
        <w:t xml:space="preserve">   </w:t>
      </w:r>
      <w:r>
        <w:rPr>
          <w:rFonts w:ascii="黑体" w:hAnsi="黑体" w:eastAsia="黑体" w:cs="黑体"/>
          <w:spacing w:val="29"/>
          <w:sz w:val="24"/>
          <w:szCs w:val="24"/>
        </w:rPr>
        <w:t>达到规定保障性要求的程度</w:t>
      </w:r>
    </w:p>
    <w:p w14:paraId="528801F1">
      <w:pPr>
        <w:pStyle w:val="2"/>
        <w:spacing w:before="82" w:line="218" w:lineRule="auto"/>
        <w:ind w:left="570"/>
      </w:pPr>
      <w:r>
        <w:rPr>
          <w:spacing w:val="-1"/>
        </w:rPr>
        <w:t>验证、评估新研系统和设备达到规定的保障性要求的程度。</w:t>
      </w:r>
    </w:p>
    <w:p w14:paraId="75AC0335">
      <w:pPr>
        <w:spacing w:before="44" w:line="368" w:lineRule="exact"/>
        <w:rPr>
          <w:rFonts w:ascii="黑体" w:hAnsi="黑体" w:eastAsia="黑体" w:cs="黑体"/>
          <w:sz w:val="27"/>
          <w:szCs w:val="27"/>
        </w:rPr>
      </w:pPr>
      <w:r>
        <w:rPr>
          <w:rFonts w:ascii="Arial" w:hAnsi="Arial" w:eastAsia="Arial" w:cs="Arial"/>
          <w:spacing w:val="3"/>
          <w:position w:val="1"/>
          <w:sz w:val="27"/>
          <w:szCs w:val="27"/>
        </w:rPr>
        <w:t xml:space="preserve">6.2     </w:t>
      </w:r>
      <w:r>
        <w:rPr>
          <w:rFonts w:ascii="黑体" w:hAnsi="黑体" w:eastAsia="黑体" w:cs="黑体"/>
          <w:spacing w:val="3"/>
          <w:position w:val="1"/>
          <w:sz w:val="27"/>
          <w:szCs w:val="27"/>
        </w:rPr>
        <w:t>保障性设计参数需改进的程度</w:t>
      </w:r>
    </w:p>
    <w:p w14:paraId="72EC91AB">
      <w:pPr>
        <w:pStyle w:val="2"/>
        <w:spacing w:before="92" w:line="219" w:lineRule="auto"/>
        <w:jc w:val="right"/>
      </w:pPr>
      <w:r>
        <w:rPr>
          <w:spacing w:val="6"/>
        </w:rPr>
        <w:t>为使新研系统和设备达到规定的目标值和门限</w:t>
      </w:r>
      <w:r>
        <w:rPr>
          <w:spacing w:val="5"/>
        </w:rPr>
        <w:t>值，确定保障性和有关保障</w:t>
      </w:r>
    </w:p>
    <w:p w14:paraId="643E26D9">
      <w:pPr>
        <w:spacing w:line="219" w:lineRule="auto"/>
        <w:sectPr>
          <w:footerReference r:id="rId534" w:type="default"/>
          <w:pgSz w:w="11910" w:h="17130"/>
          <w:pgMar w:top="400" w:right="908" w:bottom="1690" w:left="1539" w:header="0" w:footer="1404" w:gutter="0"/>
          <w:cols w:space="720" w:num="1"/>
        </w:sectPr>
      </w:pPr>
    </w:p>
    <w:p w14:paraId="2D70F34D">
      <w:pPr>
        <w:rPr>
          <w:rFonts w:ascii="Arial"/>
          <w:sz w:val="21"/>
        </w:rPr>
      </w:pPr>
    </w:p>
    <w:p w14:paraId="64FDD873">
      <w:pPr>
        <w:spacing w:line="241" w:lineRule="auto"/>
        <w:rPr>
          <w:rFonts w:ascii="Arial"/>
          <w:sz w:val="21"/>
        </w:rPr>
      </w:pPr>
    </w:p>
    <w:p w14:paraId="202823F0">
      <w:pPr>
        <w:spacing w:line="241" w:lineRule="auto"/>
        <w:rPr>
          <w:rFonts w:ascii="Arial"/>
          <w:sz w:val="21"/>
        </w:rPr>
      </w:pPr>
    </w:p>
    <w:p w14:paraId="03923EDA">
      <w:pPr>
        <w:spacing w:line="241" w:lineRule="auto"/>
        <w:rPr>
          <w:rFonts w:ascii="Arial"/>
          <w:sz w:val="21"/>
        </w:rPr>
      </w:pPr>
    </w:p>
    <w:p w14:paraId="453C9CF7">
      <w:pPr>
        <w:pStyle w:val="2"/>
        <w:spacing w:before="81" w:line="310" w:lineRule="auto"/>
        <w:ind w:right="144"/>
        <w:rPr>
          <w:sz w:val="25"/>
          <w:szCs w:val="25"/>
        </w:rPr>
      </w:pPr>
      <w:r>
        <w:rPr>
          <w:spacing w:val="25"/>
          <w:sz w:val="25"/>
          <w:szCs w:val="25"/>
        </w:rPr>
        <w:t>性的设计参数所需改进的程度。同时确定新研系统和设备目标值与门限值在可</w:t>
      </w:r>
      <w:r>
        <w:rPr>
          <w:sz w:val="25"/>
          <w:szCs w:val="25"/>
        </w:rPr>
        <w:t xml:space="preserve"> </w:t>
      </w:r>
      <w:r>
        <w:rPr>
          <w:spacing w:val="23"/>
          <w:sz w:val="25"/>
          <w:szCs w:val="25"/>
        </w:rPr>
        <w:t>接受的置信度范围内尚未得到验证的部分。</w:t>
      </w:r>
    </w:p>
    <w:p w14:paraId="7D3B3B21">
      <w:pPr>
        <w:spacing w:line="222" w:lineRule="auto"/>
        <w:rPr>
          <w:rFonts w:ascii="黑体" w:hAnsi="黑体" w:eastAsia="黑体" w:cs="黑体"/>
          <w:sz w:val="25"/>
          <w:szCs w:val="25"/>
        </w:rPr>
      </w:pPr>
      <w:r>
        <w:rPr>
          <w:rFonts w:ascii="黑体" w:hAnsi="黑体" w:eastAsia="黑体" w:cs="黑体"/>
          <w:spacing w:val="16"/>
          <w:sz w:val="25"/>
          <w:szCs w:val="25"/>
        </w:rPr>
        <w:t>6.3</w:t>
      </w:r>
      <w:r>
        <w:rPr>
          <w:rFonts w:ascii="黑体" w:hAnsi="黑体" w:eastAsia="黑体" w:cs="黑体"/>
          <w:spacing w:val="49"/>
          <w:sz w:val="25"/>
          <w:szCs w:val="25"/>
        </w:rPr>
        <w:t xml:space="preserve">  </w:t>
      </w:r>
      <w:r>
        <w:rPr>
          <w:rFonts w:ascii="黑体" w:hAnsi="黑体" w:eastAsia="黑体" w:cs="黑体"/>
          <w:spacing w:val="16"/>
          <w:sz w:val="25"/>
          <w:szCs w:val="25"/>
        </w:rPr>
        <w:t>暴露的保障性问题</w:t>
      </w:r>
    </w:p>
    <w:p w14:paraId="44EE96FF">
      <w:pPr>
        <w:pStyle w:val="2"/>
        <w:spacing w:before="87" w:line="218" w:lineRule="auto"/>
        <w:ind w:left="550"/>
      </w:pPr>
      <w:r>
        <w:rPr>
          <w:spacing w:val="4"/>
        </w:rPr>
        <w:t>记录试验与评价过程中暴露的保障性问题。</w:t>
      </w:r>
    </w:p>
    <w:p w14:paraId="2FA9287B">
      <w:pPr>
        <w:spacing w:before="120" w:line="222" w:lineRule="auto"/>
        <w:rPr>
          <w:rFonts w:ascii="黑体" w:hAnsi="黑体" w:eastAsia="黑体" w:cs="黑体"/>
          <w:sz w:val="24"/>
          <w:szCs w:val="24"/>
        </w:rPr>
      </w:pPr>
      <w:r>
        <w:rPr>
          <w:rFonts w:ascii="黑体" w:hAnsi="黑体" w:eastAsia="黑体" w:cs="黑体"/>
          <w:spacing w:val="29"/>
          <w:sz w:val="24"/>
          <w:szCs w:val="24"/>
        </w:rPr>
        <w:t>7</w:t>
      </w:r>
      <w:r>
        <w:rPr>
          <w:rFonts w:ascii="黑体" w:hAnsi="黑体" w:eastAsia="黑体" w:cs="黑体"/>
          <w:spacing w:val="40"/>
          <w:sz w:val="24"/>
          <w:szCs w:val="24"/>
        </w:rPr>
        <w:t xml:space="preserve">  </w:t>
      </w:r>
      <w:r>
        <w:rPr>
          <w:rFonts w:ascii="黑体" w:hAnsi="黑体" w:eastAsia="黑体" w:cs="黑体"/>
          <w:spacing w:val="29"/>
          <w:sz w:val="24"/>
          <w:szCs w:val="24"/>
        </w:rPr>
        <w:t>存在的问题和改进建议</w:t>
      </w:r>
    </w:p>
    <w:p w14:paraId="3E84F204">
      <w:pPr>
        <w:spacing w:before="16" w:line="368" w:lineRule="exact"/>
        <w:rPr>
          <w:rFonts w:ascii="黑体" w:hAnsi="黑体" w:eastAsia="黑体" w:cs="黑体"/>
          <w:sz w:val="27"/>
          <w:szCs w:val="27"/>
        </w:rPr>
      </w:pPr>
      <w:r>
        <w:rPr>
          <w:rFonts w:ascii="黑体" w:hAnsi="黑体" w:eastAsia="黑体" w:cs="黑体"/>
          <w:spacing w:val="6"/>
          <w:position w:val="3"/>
          <w:sz w:val="27"/>
          <w:szCs w:val="27"/>
        </w:rPr>
        <w:t>7.</w:t>
      </w:r>
      <w:r>
        <w:rPr>
          <w:rFonts w:ascii="Arial" w:hAnsi="Arial" w:eastAsia="Arial" w:cs="Arial"/>
          <w:spacing w:val="6"/>
          <w:position w:val="3"/>
          <w:sz w:val="27"/>
          <w:szCs w:val="27"/>
        </w:rPr>
        <w:t>X</w:t>
      </w:r>
      <w:r>
        <w:rPr>
          <w:rFonts w:ascii="Arial" w:hAnsi="Arial" w:eastAsia="Arial" w:cs="Arial"/>
          <w:spacing w:val="22"/>
          <w:position w:val="3"/>
          <w:sz w:val="27"/>
          <w:szCs w:val="27"/>
        </w:rPr>
        <w:t xml:space="preserve">   </w:t>
      </w:r>
      <w:r>
        <w:rPr>
          <w:rFonts w:ascii="Arial" w:hAnsi="Arial" w:eastAsia="Arial" w:cs="Arial"/>
          <w:spacing w:val="6"/>
          <w:position w:val="3"/>
          <w:sz w:val="27"/>
          <w:szCs w:val="27"/>
        </w:rPr>
        <w:t>(</w:t>
      </w:r>
      <w:r>
        <w:rPr>
          <w:rFonts w:ascii="Arial" w:hAnsi="Arial" w:eastAsia="Arial" w:cs="Arial"/>
          <w:spacing w:val="-17"/>
          <w:position w:val="3"/>
          <w:sz w:val="27"/>
          <w:szCs w:val="27"/>
        </w:rPr>
        <w:t xml:space="preserve"> </w:t>
      </w:r>
      <w:r>
        <w:rPr>
          <w:rFonts w:ascii="黑体" w:hAnsi="黑体" w:eastAsia="黑体" w:cs="黑体"/>
          <w:spacing w:val="6"/>
          <w:position w:val="3"/>
          <w:sz w:val="27"/>
          <w:szCs w:val="27"/>
        </w:rPr>
        <w:t>存在的问题</w:t>
      </w:r>
      <w:r>
        <w:rPr>
          <w:rFonts w:ascii="Arial" w:hAnsi="Arial" w:eastAsia="Arial" w:cs="Arial"/>
          <w:spacing w:val="6"/>
          <w:position w:val="3"/>
          <w:sz w:val="27"/>
          <w:szCs w:val="27"/>
        </w:rPr>
        <w:t>X)</w:t>
      </w:r>
      <w:r>
        <w:rPr>
          <w:rFonts w:ascii="Arial" w:hAnsi="Arial" w:eastAsia="Arial" w:cs="Arial"/>
          <w:spacing w:val="-14"/>
          <w:position w:val="3"/>
          <w:sz w:val="27"/>
          <w:szCs w:val="27"/>
        </w:rPr>
        <w:t xml:space="preserve"> </w:t>
      </w:r>
      <w:r>
        <w:rPr>
          <w:rFonts w:ascii="黑体" w:hAnsi="黑体" w:eastAsia="黑体" w:cs="黑体"/>
          <w:spacing w:val="6"/>
          <w:position w:val="3"/>
          <w:sz w:val="27"/>
          <w:szCs w:val="27"/>
        </w:rPr>
        <w:t>改进建议</w:t>
      </w:r>
    </w:p>
    <w:p w14:paraId="395252DD">
      <w:pPr>
        <w:pStyle w:val="2"/>
        <w:spacing w:before="79" w:line="282" w:lineRule="auto"/>
        <w:ind w:right="123" w:firstLine="550"/>
      </w:pPr>
      <w:r>
        <w:rPr>
          <w:spacing w:val="-9"/>
        </w:rPr>
        <w:t>对(存在的问题</w:t>
      </w:r>
      <w:r>
        <w:rPr>
          <w:rFonts w:ascii="Times New Roman" w:hAnsi="Times New Roman" w:eastAsia="Times New Roman" w:cs="Times New Roman"/>
          <w:spacing w:val="-9"/>
        </w:rPr>
        <w:t xml:space="preserve">X) </w:t>
      </w:r>
      <w:r>
        <w:rPr>
          <w:spacing w:val="-9"/>
        </w:rPr>
        <w:t>提出改进建议，包括修改硬件、软件、保障计划、保障资源</w:t>
      </w:r>
      <w:r>
        <w:rPr>
          <w:spacing w:val="16"/>
        </w:rPr>
        <w:t xml:space="preserve"> </w:t>
      </w:r>
      <w:r>
        <w:rPr>
          <w:spacing w:val="-4"/>
        </w:rPr>
        <w:t>的使用规则，并对预计费用、战备完好性和保障资源参数的影响进行量化。</w:t>
      </w:r>
    </w:p>
    <w:p w14:paraId="4C2D5EB5">
      <w:pPr>
        <w:spacing w:line="327" w:lineRule="exact"/>
        <w:rPr>
          <w:rFonts w:ascii="黑体" w:hAnsi="黑体" w:eastAsia="黑体" w:cs="黑体"/>
          <w:sz w:val="24"/>
          <w:szCs w:val="24"/>
        </w:rPr>
      </w:pPr>
      <w:r>
        <w:rPr>
          <w:rFonts w:ascii="Arial" w:hAnsi="Arial" w:eastAsia="Arial" w:cs="Arial"/>
          <w:spacing w:val="29"/>
          <w:position w:val="1"/>
          <w:sz w:val="24"/>
          <w:szCs w:val="24"/>
        </w:rPr>
        <w:t>8</w:t>
      </w:r>
      <w:r>
        <w:rPr>
          <w:rFonts w:ascii="Arial" w:hAnsi="Arial" w:eastAsia="Arial" w:cs="Arial"/>
          <w:spacing w:val="9"/>
          <w:position w:val="1"/>
          <w:sz w:val="24"/>
          <w:szCs w:val="24"/>
        </w:rPr>
        <w:t xml:space="preserve">    </w:t>
      </w:r>
      <w:r>
        <w:rPr>
          <w:rFonts w:ascii="黑体" w:hAnsi="黑体" w:eastAsia="黑体" w:cs="黑体"/>
          <w:spacing w:val="29"/>
          <w:position w:val="1"/>
          <w:sz w:val="24"/>
          <w:szCs w:val="24"/>
        </w:rPr>
        <w:t>现场信息收集系统分析</w:t>
      </w:r>
    </w:p>
    <w:p w14:paraId="5BF71DB7">
      <w:pPr>
        <w:pStyle w:val="2"/>
        <w:spacing w:before="109" w:line="281" w:lineRule="auto"/>
        <w:ind w:right="120" w:firstLine="550"/>
        <w:jc w:val="both"/>
        <w:rPr>
          <w:sz w:val="25"/>
          <w:szCs w:val="25"/>
        </w:rPr>
      </w:pPr>
      <w:r>
        <w:rPr>
          <w:spacing w:val="26"/>
          <w:sz w:val="25"/>
          <w:szCs w:val="25"/>
        </w:rPr>
        <w:t>对使用单位的现场信息收集系统进行分析，</w:t>
      </w:r>
      <w:r>
        <w:rPr>
          <w:spacing w:val="25"/>
          <w:sz w:val="25"/>
          <w:szCs w:val="25"/>
        </w:rPr>
        <w:t>以确定在使用环境中可取得新</w:t>
      </w:r>
      <w:r>
        <w:rPr>
          <w:sz w:val="25"/>
          <w:szCs w:val="25"/>
        </w:rPr>
        <w:t xml:space="preserve"> </w:t>
      </w:r>
      <w:r>
        <w:rPr>
          <w:spacing w:val="26"/>
          <w:sz w:val="25"/>
          <w:szCs w:val="25"/>
        </w:rPr>
        <w:t>研系统和设备保障性资料的数量与准确性，判明在</w:t>
      </w:r>
      <w:r>
        <w:rPr>
          <w:spacing w:val="25"/>
          <w:sz w:val="25"/>
          <w:szCs w:val="25"/>
        </w:rPr>
        <w:t>测量保障性目标值方面的不</w:t>
      </w:r>
      <w:r>
        <w:rPr>
          <w:sz w:val="25"/>
          <w:szCs w:val="25"/>
        </w:rPr>
        <w:t xml:space="preserve"> </w:t>
      </w:r>
      <w:r>
        <w:rPr>
          <w:spacing w:val="20"/>
          <w:sz w:val="25"/>
          <w:szCs w:val="25"/>
        </w:rPr>
        <w:t>足，以及确定在研制与生产期间未经试验验证的保障性因素</w:t>
      </w:r>
      <w:r>
        <w:rPr>
          <w:spacing w:val="19"/>
          <w:sz w:val="25"/>
          <w:szCs w:val="25"/>
        </w:rPr>
        <w:t>方面的不足。</w:t>
      </w:r>
    </w:p>
    <w:p w14:paraId="33BF3DE9">
      <w:pPr>
        <w:spacing w:line="368" w:lineRule="exact"/>
        <w:rPr>
          <w:rFonts w:ascii="黑体" w:hAnsi="黑体" w:eastAsia="黑体" w:cs="黑体"/>
          <w:sz w:val="27"/>
          <w:szCs w:val="27"/>
        </w:rPr>
      </w:pPr>
      <w:r>
        <w:rPr>
          <w:rFonts w:ascii="Arial" w:hAnsi="Arial" w:eastAsia="Arial" w:cs="Arial"/>
          <w:spacing w:val="3"/>
          <w:position w:val="1"/>
          <w:sz w:val="27"/>
          <w:szCs w:val="27"/>
        </w:rPr>
        <w:t>9</w:t>
      </w:r>
      <w:r>
        <w:rPr>
          <w:rFonts w:ascii="Arial" w:hAnsi="Arial" w:eastAsia="Arial" w:cs="Arial"/>
          <w:spacing w:val="20"/>
          <w:position w:val="1"/>
          <w:sz w:val="27"/>
          <w:szCs w:val="27"/>
        </w:rPr>
        <w:t xml:space="preserve">   </w:t>
      </w:r>
      <w:r>
        <w:rPr>
          <w:rFonts w:ascii="黑体" w:hAnsi="黑体" w:eastAsia="黑体" w:cs="黑体"/>
          <w:spacing w:val="3"/>
          <w:position w:val="1"/>
          <w:sz w:val="27"/>
          <w:szCs w:val="27"/>
        </w:rPr>
        <w:t>保障性数据分析</w:t>
      </w:r>
    </w:p>
    <w:p w14:paraId="29CCCEA9">
      <w:pPr>
        <w:pStyle w:val="2"/>
        <w:spacing w:before="101" w:line="275" w:lineRule="auto"/>
        <w:ind w:right="124" w:firstLine="550"/>
      </w:pPr>
      <w:r>
        <w:rPr>
          <w:spacing w:val="6"/>
        </w:rPr>
        <w:t>对从使用单位现场信息收集系统和执行现场</w:t>
      </w:r>
      <w:r>
        <w:rPr>
          <w:spacing w:val="5"/>
        </w:rPr>
        <w:t>数据收集计划中取得的保障性</w:t>
      </w:r>
      <w:r>
        <w:t xml:space="preserve"> 数据进行分析，验证是否达到新研系统和设备的保障性目标值和门限值。</w:t>
      </w:r>
    </w:p>
    <w:p w14:paraId="16A3AECD">
      <w:pPr>
        <w:spacing w:line="327" w:lineRule="exact"/>
        <w:rPr>
          <w:rFonts w:ascii="黑体" w:hAnsi="黑体" w:eastAsia="黑体" w:cs="黑体"/>
          <w:sz w:val="24"/>
          <w:szCs w:val="24"/>
        </w:rPr>
      </w:pPr>
      <w:r>
        <w:rPr>
          <w:rFonts w:ascii="Arial" w:hAnsi="Arial" w:eastAsia="Arial" w:cs="Arial"/>
          <w:spacing w:val="25"/>
          <w:position w:val="1"/>
          <w:sz w:val="24"/>
          <w:szCs w:val="24"/>
        </w:rPr>
        <w:t xml:space="preserve">10    </w:t>
      </w:r>
      <w:r>
        <w:rPr>
          <w:rFonts w:ascii="黑体" w:hAnsi="黑体" w:eastAsia="黑体" w:cs="黑体"/>
          <w:spacing w:val="25"/>
          <w:position w:val="1"/>
          <w:sz w:val="24"/>
          <w:szCs w:val="24"/>
        </w:rPr>
        <w:t>现场数据收集计划的修正</w:t>
      </w:r>
    </w:p>
    <w:p w14:paraId="77798C96">
      <w:pPr>
        <w:pStyle w:val="2"/>
        <w:spacing w:before="86" w:line="277" w:lineRule="auto"/>
        <w:ind w:right="112" w:firstLine="550"/>
      </w:pPr>
      <w:r>
        <w:rPr>
          <w:spacing w:val="-2"/>
        </w:rPr>
        <w:t>通过数据分析结果，对保障性试验、评价与</w:t>
      </w:r>
      <w:r>
        <w:rPr>
          <w:spacing w:val="-3"/>
        </w:rPr>
        <w:t>验证大纲中现场数据收集计划相</w:t>
      </w:r>
      <w:r>
        <w:t xml:space="preserve"> </w:t>
      </w:r>
      <w:r>
        <w:rPr>
          <w:spacing w:val="1"/>
        </w:rPr>
        <w:t>关内容进行修正。</w:t>
      </w:r>
    </w:p>
    <w:p w14:paraId="16B8A749">
      <w:pPr>
        <w:spacing w:before="10" w:line="221" w:lineRule="auto"/>
        <w:rPr>
          <w:rFonts w:ascii="黑体" w:hAnsi="黑体" w:eastAsia="黑体" w:cs="黑体"/>
          <w:sz w:val="27"/>
          <w:szCs w:val="27"/>
        </w:rPr>
      </w:pPr>
      <w:r>
        <w:rPr>
          <w:rFonts w:ascii="黑体" w:hAnsi="黑体" w:eastAsia="黑体" w:cs="黑体"/>
          <w:spacing w:val="1"/>
          <w:sz w:val="27"/>
          <w:szCs w:val="27"/>
        </w:rPr>
        <w:t>11</w:t>
      </w:r>
      <w:r>
        <w:rPr>
          <w:rFonts w:ascii="黑体" w:hAnsi="黑体" w:eastAsia="黑体" w:cs="黑体"/>
          <w:spacing w:val="18"/>
          <w:sz w:val="27"/>
          <w:szCs w:val="27"/>
        </w:rPr>
        <w:t xml:space="preserve">  </w:t>
      </w:r>
      <w:r>
        <w:rPr>
          <w:rFonts w:ascii="黑体" w:hAnsi="黑体" w:eastAsia="黑体" w:cs="黑体"/>
          <w:spacing w:val="1"/>
          <w:sz w:val="27"/>
          <w:szCs w:val="27"/>
        </w:rPr>
        <w:t>试验照片</w:t>
      </w:r>
    </w:p>
    <w:p w14:paraId="157AAD60">
      <w:pPr>
        <w:spacing w:before="86" w:line="221" w:lineRule="auto"/>
        <w:rPr>
          <w:rFonts w:ascii="黑体" w:hAnsi="黑体" w:eastAsia="黑体" w:cs="黑体"/>
          <w:sz w:val="27"/>
          <w:szCs w:val="27"/>
        </w:rPr>
      </w:pPr>
      <w:r>
        <w:rPr>
          <w:rFonts w:ascii="黑体" w:hAnsi="黑体" w:eastAsia="黑体" w:cs="黑体"/>
          <w:spacing w:val="-4"/>
          <w:sz w:val="27"/>
          <w:szCs w:val="27"/>
        </w:rPr>
        <w:t>11.1</w:t>
      </w:r>
      <w:r>
        <w:rPr>
          <w:rFonts w:ascii="黑体" w:hAnsi="黑体" w:eastAsia="黑体" w:cs="黑体"/>
          <w:spacing w:val="28"/>
          <w:sz w:val="27"/>
          <w:szCs w:val="27"/>
        </w:rPr>
        <w:t xml:space="preserve">  </w:t>
      </w:r>
      <w:r>
        <w:rPr>
          <w:rFonts w:ascii="黑体" w:hAnsi="黑体" w:eastAsia="黑体" w:cs="黑体"/>
          <w:spacing w:val="-4"/>
          <w:sz w:val="27"/>
          <w:szCs w:val="27"/>
        </w:rPr>
        <w:t>试验样品的全貌、主要侧面照片</w:t>
      </w:r>
    </w:p>
    <w:p w14:paraId="79CFCA37">
      <w:pPr>
        <w:pStyle w:val="2"/>
        <w:spacing w:before="78" w:line="219" w:lineRule="auto"/>
        <w:ind w:left="550"/>
      </w:pPr>
      <w:r>
        <w:rPr>
          <w:spacing w:val="-3"/>
        </w:rPr>
        <w:t>提供用于试验的试验样品的全貌、主要侧面照片。</w:t>
      </w:r>
    </w:p>
    <w:p w14:paraId="1E65D4A2">
      <w:pPr>
        <w:spacing w:before="99" w:line="221" w:lineRule="auto"/>
        <w:rPr>
          <w:rFonts w:ascii="黑体" w:hAnsi="黑体" w:eastAsia="黑体" w:cs="黑体"/>
          <w:sz w:val="27"/>
          <w:szCs w:val="27"/>
        </w:rPr>
      </w:pPr>
      <w:r>
        <w:rPr>
          <w:rFonts w:ascii="黑体" w:hAnsi="黑体" w:eastAsia="黑体" w:cs="黑体"/>
          <w:spacing w:val="3"/>
          <w:sz w:val="27"/>
          <w:szCs w:val="27"/>
        </w:rPr>
        <w:t>11.2</w:t>
      </w:r>
      <w:r>
        <w:rPr>
          <w:rFonts w:ascii="黑体" w:hAnsi="黑体" w:eastAsia="黑体" w:cs="黑体"/>
          <w:spacing w:val="23"/>
          <w:sz w:val="27"/>
          <w:szCs w:val="27"/>
        </w:rPr>
        <w:t xml:space="preserve">  </w:t>
      </w:r>
      <w:r>
        <w:rPr>
          <w:rFonts w:ascii="黑体" w:hAnsi="黑体" w:eastAsia="黑体" w:cs="黑体"/>
          <w:spacing w:val="3"/>
          <w:sz w:val="27"/>
          <w:szCs w:val="27"/>
        </w:rPr>
        <w:t>主要试验项目照片</w:t>
      </w:r>
    </w:p>
    <w:p w14:paraId="7B4DAB8F">
      <w:pPr>
        <w:pStyle w:val="2"/>
        <w:spacing w:before="57" w:line="274" w:lineRule="auto"/>
        <w:ind w:right="117" w:firstLine="550"/>
      </w:pPr>
      <w:r>
        <w:rPr>
          <w:spacing w:val="-3"/>
        </w:rPr>
        <w:t>提供试验过程中拍摄的主要试验项目的照片，特别是反映装机状态、试验显</w:t>
      </w:r>
      <w:r>
        <w:rPr>
          <w:spacing w:val="15"/>
        </w:rPr>
        <w:t xml:space="preserve"> </w:t>
      </w:r>
      <w:r>
        <w:t>示画面的照片。</w:t>
      </w:r>
    </w:p>
    <w:p w14:paraId="6B4DB7F7">
      <w:pPr>
        <w:spacing w:line="368" w:lineRule="exact"/>
        <w:rPr>
          <w:rFonts w:ascii="黑体" w:hAnsi="黑体" w:eastAsia="黑体" w:cs="黑体"/>
          <w:sz w:val="27"/>
          <w:szCs w:val="27"/>
        </w:rPr>
      </w:pPr>
      <w:r>
        <w:rPr>
          <w:rFonts w:ascii="Arial" w:hAnsi="Arial" w:eastAsia="Arial" w:cs="Arial"/>
          <w:spacing w:val="4"/>
          <w:position w:val="1"/>
          <w:sz w:val="27"/>
          <w:szCs w:val="27"/>
        </w:rPr>
        <w:t xml:space="preserve">11.3    </w:t>
      </w:r>
      <w:r>
        <w:rPr>
          <w:rFonts w:ascii="黑体" w:hAnsi="黑体" w:eastAsia="黑体" w:cs="黑体"/>
          <w:spacing w:val="4"/>
          <w:position w:val="1"/>
          <w:sz w:val="27"/>
          <w:szCs w:val="27"/>
        </w:rPr>
        <w:t>试验中发生的重大技术问题的特写照片</w:t>
      </w:r>
    </w:p>
    <w:p w14:paraId="6D39D82F">
      <w:pPr>
        <w:pStyle w:val="2"/>
        <w:spacing w:before="71" w:line="280" w:lineRule="auto"/>
        <w:ind w:right="124" w:firstLine="550"/>
      </w:pPr>
      <w:r>
        <w:rPr>
          <w:spacing w:val="-3"/>
        </w:rPr>
        <w:t>提供试验过程中发生重大技术问题时的特写照片，特别是试验样品损伤、试</w:t>
      </w:r>
      <w:r>
        <w:rPr>
          <w:spacing w:val="8"/>
        </w:rPr>
        <w:t xml:space="preserve"> </w:t>
      </w:r>
      <w:r>
        <w:rPr>
          <w:spacing w:val="2"/>
        </w:rPr>
        <w:t>验显示画面异常的照片。</w:t>
      </w:r>
    </w:p>
    <w:p w14:paraId="70813049">
      <w:pPr>
        <w:spacing w:before="2" w:line="220" w:lineRule="auto"/>
        <w:rPr>
          <w:rFonts w:ascii="黑体" w:hAnsi="黑体" w:eastAsia="黑体" w:cs="黑体"/>
          <w:sz w:val="27"/>
          <w:szCs w:val="27"/>
        </w:rPr>
      </w:pPr>
      <w:r>
        <w:rPr>
          <w:rFonts w:ascii="黑体" w:hAnsi="黑体" w:eastAsia="黑体" w:cs="黑体"/>
          <w:spacing w:val="5"/>
          <w:sz w:val="27"/>
          <w:szCs w:val="27"/>
        </w:rPr>
        <w:t>12  主要试验项目的实时音像资料</w:t>
      </w:r>
    </w:p>
    <w:p w14:paraId="5A06C4DD">
      <w:pPr>
        <w:pStyle w:val="2"/>
        <w:spacing w:before="105" w:line="271" w:lineRule="auto"/>
        <w:ind w:firstLine="550"/>
      </w:pPr>
      <w:r>
        <w:rPr>
          <w:spacing w:val="5"/>
        </w:rPr>
        <w:t>提供主要试验项目的实时音像资料(目录),包括拍摄时间、试验项目名</w:t>
      </w:r>
      <w:r>
        <w:rPr>
          <w:spacing w:val="4"/>
        </w:rPr>
        <w:t>称、</w:t>
      </w:r>
      <w:r>
        <w:t xml:space="preserve"> </w:t>
      </w:r>
      <w:r>
        <w:rPr>
          <w:spacing w:val="3"/>
        </w:rPr>
        <w:t>音像资料名称以及试验地点等信息。</w:t>
      </w:r>
    </w:p>
    <w:p w14:paraId="60B5EB34">
      <w:pPr>
        <w:spacing w:before="1" w:line="221" w:lineRule="auto"/>
        <w:rPr>
          <w:rFonts w:ascii="黑体" w:hAnsi="黑体" w:eastAsia="黑体" w:cs="黑体"/>
          <w:sz w:val="27"/>
          <w:szCs w:val="27"/>
        </w:rPr>
      </w:pPr>
      <w:r>
        <w:rPr>
          <w:rFonts w:ascii="黑体" w:hAnsi="黑体" w:eastAsia="黑体" w:cs="黑体"/>
          <w:spacing w:val="-1"/>
          <w:sz w:val="27"/>
          <w:szCs w:val="27"/>
        </w:rPr>
        <w:t>13</w:t>
      </w:r>
      <w:r>
        <w:rPr>
          <w:rFonts w:ascii="黑体" w:hAnsi="黑体" w:eastAsia="黑体" w:cs="黑体"/>
          <w:spacing w:val="20"/>
          <w:sz w:val="27"/>
          <w:szCs w:val="27"/>
        </w:rPr>
        <w:t xml:space="preserve">  </w:t>
      </w:r>
      <w:r>
        <w:rPr>
          <w:rFonts w:ascii="黑体" w:hAnsi="黑体" w:eastAsia="黑体" w:cs="黑体"/>
          <w:spacing w:val="-1"/>
          <w:sz w:val="27"/>
          <w:szCs w:val="27"/>
        </w:rPr>
        <w:t>有关保障性的改进</w:t>
      </w:r>
    </w:p>
    <w:p w14:paraId="5485E931">
      <w:pPr>
        <w:pStyle w:val="2"/>
        <w:spacing w:before="68" w:line="289" w:lineRule="auto"/>
        <w:ind w:right="123" w:firstLine="550"/>
        <w:jc w:val="both"/>
      </w:pPr>
      <w:r>
        <w:rPr>
          <w:spacing w:val="-3"/>
        </w:rPr>
        <w:t>当使用结果偏离预定值时，找出原因并确定纠正措施，</w:t>
      </w:r>
      <w:r>
        <w:rPr>
          <w:spacing w:val="-4"/>
        </w:rPr>
        <w:t>以及需要时对战术使</w:t>
      </w:r>
      <w:r>
        <w:t xml:space="preserve"> </w:t>
      </w:r>
      <w:r>
        <w:rPr>
          <w:spacing w:val="6"/>
        </w:rPr>
        <w:t>用、训练要求与部队编制方案的调整。分析反</w:t>
      </w:r>
      <w:r>
        <w:rPr>
          <w:spacing w:val="5"/>
        </w:rPr>
        <w:t>馈信息并确定经济有效地完成改</w:t>
      </w:r>
      <w:r>
        <w:t xml:space="preserve"> </w:t>
      </w:r>
      <w:r>
        <w:rPr>
          <w:spacing w:val="-1"/>
        </w:rPr>
        <w:t>进的范围。</w:t>
      </w:r>
    </w:p>
    <w:p w14:paraId="045D2F79">
      <w:pPr>
        <w:spacing w:line="289" w:lineRule="auto"/>
        <w:sectPr>
          <w:footerReference r:id="rId535" w:type="default"/>
          <w:pgSz w:w="11910" w:h="17130"/>
          <w:pgMar w:top="400" w:right="1235" w:bottom="1747" w:left="1180" w:header="0" w:footer="1530" w:gutter="0"/>
          <w:cols w:space="720" w:num="1"/>
        </w:sectPr>
      </w:pPr>
    </w:p>
    <w:p w14:paraId="35D3421A">
      <w:pPr>
        <w:spacing w:line="268" w:lineRule="auto"/>
        <w:rPr>
          <w:rFonts w:ascii="Arial"/>
          <w:sz w:val="21"/>
        </w:rPr>
      </w:pPr>
    </w:p>
    <w:p w14:paraId="752EED28">
      <w:pPr>
        <w:spacing w:line="268" w:lineRule="auto"/>
        <w:rPr>
          <w:rFonts w:ascii="Arial"/>
          <w:sz w:val="21"/>
        </w:rPr>
      </w:pPr>
    </w:p>
    <w:p w14:paraId="6378CDC3">
      <w:pPr>
        <w:spacing w:line="268" w:lineRule="auto"/>
        <w:rPr>
          <w:rFonts w:ascii="Arial"/>
          <w:sz w:val="21"/>
        </w:rPr>
      </w:pPr>
    </w:p>
    <w:p w14:paraId="283B2DAA">
      <w:pPr>
        <w:spacing w:line="268" w:lineRule="auto"/>
        <w:rPr>
          <w:rFonts w:ascii="Arial"/>
          <w:sz w:val="21"/>
        </w:rPr>
      </w:pPr>
    </w:p>
    <w:p w14:paraId="3602CAB9">
      <w:pPr>
        <w:spacing w:line="269" w:lineRule="auto"/>
        <w:rPr>
          <w:rFonts w:ascii="Arial"/>
          <w:sz w:val="21"/>
        </w:rPr>
      </w:pPr>
    </w:p>
    <w:p w14:paraId="00170534">
      <w:pPr>
        <w:pStyle w:val="2"/>
        <w:spacing w:before="117" w:line="218" w:lineRule="auto"/>
        <w:ind w:left="2780"/>
        <w:rPr>
          <w:sz w:val="36"/>
          <w:szCs w:val="36"/>
        </w:rPr>
      </w:pPr>
      <w:r>
        <w:rPr>
          <w:spacing w:val="-1"/>
          <w:sz w:val="36"/>
          <w:szCs w:val="36"/>
        </w:rPr>
        <w:t>10.</w:t>
      </w:r>
      <w:r>
        <w:rPr>
          <w:b/>
          <w:bCs/>
          <w:spacing w:val="-1"/>
          <w:sz w:val="36"/>
          <w:szCs w:val="36"/>
        </w:rPr>
        <w:t>23</w:t>
      </w:r>
      <w:r>
        <w:rPr>
          <w:spacing w:val="28"/>
          <w:sz w:val="36"/>
          <w:szCs w:val="36"/>
        </w:rPr>
        <w:t xml:space="preserve">  </w:t>
      </w:r>
      <w:r>
        <w:rPr>
          <w:b/>
          <w:bCs/>
          <w:spacing w:val="-1"/>
          <w:sz w:val="36"/>
          <w:szCs w:val="36"/>
        </w:rPr>
        <w:t>保障性评估报告</w:t>
      </w:r>
    </w:p>
    <w:p w14:paraId="6F8247FE">
      <w:pPr>
        <w:spacing w:line="354" w:lineRule="auto"/>
        <w:rPr>
          <w:rFonts w:ascii="Arial"/>
          <w:sz w:val="21"/>
        </w:rPr>
      </w:pPr>
    </w:p>
    <w:p w14:paraId="7F603A78">
      <w:pPr>
        <w:pStyle w:val="2"/>
        <w:spacing w:before="91" w:line="226" w:lineRule="auto"/>
        <w:ind w:left="590"/>
        <w:rPr>
          <w:rFonts w:ascii="楷体" w:hAnsi="楷体" w:eastAsia="楷体" w:cs="楷体"/>
          <w:sz w:val="28"/>
          <w:szCs w:val="28"/>
        </w:rPr>
      </w:pPr>
      <w:r>
        <w:rPr>
          <w:rFonts w:ascii="楷体" w:hAnsi="楷体" w:eastAsia="楷体" w:cs="楷体"/>
          <w:spacing w:val="-13"/>
          <w:sz w:val="28"/>
          <w:szCs w:val="28"/>
        </w:rPr>
        <w:t>按照</w:t>
      </w:r>
      <w:r>
        <w:rPr>
          <w:rFonts w:ascii="Times New Roman" w:hAnsi="Times New Roman" w:eastAsia="Times New Roman" w:cs="Times New Roman"/>
          <w:spacing w:val="-13"/>
          <w:sz w:val="28"/>
          <w:szCs w:val="28"/>
        </w:rPr>
        <w:t>GJB</w:t>
      </w:r>
      <w:r>
        <w:rPr>
          <w:rFonts w:ascii="Times New Roman" w:hAnsi="Times New Roman" w:eastAsia="Times New Roman" w:cs="Times New Roman"/>
          <w:spacing w:val="35"/>
          <w:sz w:val="28"/>
          <w:szCs w:val="28"/>
        </w:rPr>
        <w:t xml:space="preserve"> </w:t>
      </w:r>
      <w:r>
        <w:rPr>
          <w:rFonts w:ascii="Times New Roman" w:hAnsi="Times New Roman" w:eastAsia="Times New Roman" w:cs="Times New Roman"/>
          <w:spacing w:val="-13"/>
          <w:sz w:val="28"/>
          <w:szCs w:val="28"/>
        </w:rPr>
        <w:t>1371—1992</w:t>
      </w:r>
      <w:r>
        <w:rPr>
          <w:spacing w:val="-13"/>
          <w:sz w:val="28"/>
          <w:szCs w:val="28"/>
        </w:rPr>
        <w:t>《</w:t>
      </w:r>
      <w:r>
        <w:rPr>
          <w:rFonts w:ascii="楷体" w:hAnsi="楷体" w:eastAsia="楷体" w:cs="楷体"/>
          <w:spacing w:val="-13"/>
          <w:sz w:val="28"/>
          <w:szCs w:val="28"/>
        </w:rPr>
        <w:t>装备保障性分析》编写。</w:t>
      </w:r>
    </w:p>
    <w:p w14:paraId="60844465">
      <w:pPr>
        <w:spacing w:before="80"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4"/>
          <w:sz w:val="27"/>
          <w:szCs w:val="27"/>
        </w:rPr>
        <w:t xml:space="preserve">  </w:t>
      </w:r>
      <w:r>
        <w:rPr>
          <w:rFonts w:ascii="黑体" w:hAnsi="黑体" w:eastAsia="黑体" w:cs="黑体"/>
          <w:spacing w:val="-3"/>
          <w:sz w:val="27"/>
          <w:szCs w:val="27"/>
        </w:rPr>
        <w:t>范围</w:t>
      </w:r>
    </w:p>
    <w:p w14:paraId="16E887DB">
      <w:pPr>
        <w:spacing w:before="110" w:line="222" w:lineRule="auto"/>
        <w:rPr>
          <w:rFonts w:ascii="黑体" w:hAnsi="黑体" w:eastAsia="黑体" w:cs="黑体"/>
          <w:sz w:val="24"/>
          <w:szCs w:val="24"/>
        </w:rPr>
      </w:pPr>
      <w:r>
        <w:rPr>
          <w:rFonts w:ascii="黑体" w:hAnsi="黑体" w:eastAsia="黑体" w:cs="黑体"/>
          <w:spacing w:val="-13"/>
          <w:sz w:val="24"/>
          <w:szCs w:val="24"/>
        </w:rPr>
        <w:t>2</w:t>
      </w:r>
      <w:r>
        <w:rPr>
          <w:rFonts w:ascii="黑体" w:hAnsi="黑体" w:eastAsia="黑体" w:cs="黑体"/>
          <w:spacing w:val="29"/>
          <w:sz w:val="24"/>
          <w:szCs w:val="24"/>
        </w:rPr>
        <w:t xml:space="preserve">  </w:t>
      </w:r>
      <w:r>
        <w:rPr>
          <w:rFonts w:ascii="黑体" w:hAnsi="黑体" w:eastAsia="黑体" w:cs="黑体"/>
          <w:spacing w:val="-13"/>
          <w:sz w:val="24"/>
          <w:szCs w:val="24"/>
        </w:rPr>
        <w:t>引</w:t>
      </w:r>
      <w:r>
        <w:rPr>
          <w:rFonts w:ascii="黑体" w:hAnsi="黑体" w:eastAsia="黑体" w:cs="黑体"/>
          <w:spacing w:val="-50"/>
          <w:sz w:val="24"/>
          <w:szCs w:val="24"/>
        </w:rPr>
        <w:t xml:space="preserve"> </w:t>
      </w:r>
      <w:r>
        <w:rPr>
          <w:rFonts w:ascii="黑体" w:hAnsi="黑体" w:eastAsia="黑体" w:cs="黑体"/>
          <w:spacing w:val="-13"/>
          <w:sz w:val="24"/>
          <w:szCs w:val="24"/>
        </w:rPr>
        <w:t>用</w:t>
      </w:r>
      <w:r>
        <w:rPr>
          <w:rFonts w:ascii="黑体" w:hAnsi="黑体" w:eastAsia="黑体" w:cs="黑体"/>
          <w:spacing w:val="-50"/>
          <w:sz w:val="24"/>
          <w:szCs w:val="24"/>
        </w:rPr>
        <w:t xml:space="preserve"> </w:t>
      </w:r>
      <w:r>
        <w:rPr>
          <w:rFonts w:ascii="黑体" w:hAnsi="黑体" w:eastAsia="黑体" w:cs="黑体"/>
          <w:spacing w:val="-13"/>
          <w:sz w:val="24"/>
          <w:szCs w:val="24"/>
        </w:rPr>
        <w:t>文</w:t>
      </w:r>
      <w:r>
        <w:rPr>
          <w:rFonts w:ascii="黑体" w:hAnsi="黑体" w:eastAsia="黑体" w:cs="黑体"/>
          <w:spacing w:val="-56"/>
          <w:sz w:val="24"/>
          <w:szCs w:val="24"/>
        </w:rPr>
        <w:t xml:space="preserve"> </w:t>
      </w:r>
      <w:r>
        <w:rPr>
          <w:rFonts w:ascii="黑体" w:hAnsi="黑体" w:eastAsia="黑体" w:cs="黑体"/>
          <w:spacing w:val="-13"/>
          <w:sz w:val="24"/>
          <w:szCs w:val="24"/>
        </w:rPr>
        <w:t>件</w:t>
      </w:r>
    </w:p>
    <w:p w14:paraId="2A97A848">
      <w:pPr>
        <w:spacing w:before="91" w:line="221" w:lineRule="auto"/>
        <w:rPr>
          <w:rFonts w:ascii="黑体" w:hAnsi="黑体" w:eastAsia="黑体" w:cs="黑体"/>
          <w:sz w:val="25"/>
          <w:szCs w:val="25"/>
        </w:rPr>
      </w:pPr>
      <w:r>
        <w:rPr>
          <w:rFonts w:ascii="黑体" w:hAnsi="黑体" w:eastAsia="黑体" w:cs="黑体"/>
          <w:spacing w:val="21"/>
          <w:sz w:val="25"/>
          <w:szCs w:val="25"/>
        </w:rPr>
        <w:t>3</w:t>
      </w:r>
      <w:r>
        <w:rPr>
          <w:rFonts w:ascii="黑体" w:hAnsi="黑体" w:eastAsia="黑体" w:cs="黑体"/>
          <w:spacing w:val="23"/>
          <w:sz w:val="25"/>
          <w:szCs w:val="25"/>
        </w:rPr>
        <w:t xml:space="preserve">  </w:t>
      </w:r>
      <w:r>
        <w:rPr>
          <w:rFonts w:ascii="黑体" w:hAnsi="黑体" w:eastAsia="黑体" w:cs="黑体"/>
          <w:spacing w:val="21"/>
          <w:sz w:val="25"/>
          <w:szCs w:val="25"/>
        </w:rPr>
        <w:t>产品概述</w:t>
      </w:r>
    </w:p>
    <w:p w14:paraId="4745C611">
      <w:pPr>
        <w:spacing w:before="120" w:line="221" w:lineRule="auto"/>
        <w:rPr>
          <w:rFonts w:ascii="黑体" w:hAnsi="黑体" w:eastAsia="黑体" w:cs="黑体"/>
          <w:sz w:val="24"/>
          <w:szCs w:val="24"/>
        </w:rPr>
      </w:pPr>
      <w:r>
        <w:rPr>
          <w:rFonts w:ascii="黑体" w:hAnsi="黑体" w:eastAsia="黑体" w:cs="黑体"/>
          <w:spacing w:val="16"/>
          <w:sz w:val="24"/>
          <w:szCs w:val="24"/>
        </w:rPr>
        <w:t>3.</w:t>
      </w:r>
      <w:r>
        <w:rPr>
          <w:rFonts w:ascii="黑体" w:hAnsi="黑体" w:eastAsia="黑体" w:cs="黑体"/>
          <w:spacing w:val="-66"/>
          <w:sz w:val="24"/>
          <w:szCs w:val="24"/>
        </w:rPr>
        <w:t xml:space="preserve"> </w:t>
      </w:r>
      <w:r>
        <w:rPr>
          <w:rFonts w:ascii="黑体" w:hAnsi="黑体" w:eastAsia="黑体" w:cs="黑体"/>
          <w:spacing w:val="16"/>
          <w:sz w:val="24"/>
          <w:szCs w:val="24"/>
        </w:rPr>
        <w:t>1</w:t>
      </w:r>
      <w:r>
        <w:rPr>
          <w:rFonts w:ascii="黑体" w:hAnsi="黑体" w:eastAsia="黑体" w:cs="黑体"/>
          <w:spacing w:val="41"/>
          <w:sz w:val="24"/>
          <w:szCs w:val="24"/>
        </w:rPr>
        <w:t xml:space="preserve">  </w:t>
      </w:r>
      <w:r>
        <w:rPr>
          <w:rFonts w:ascii="黑体" w:hAnsi="黑体" w:eastAsia="黑体" w:cs="黑体"/>
          <w:spacing w:val="16"/>
          <w:sz w:val="24"/>
          <w:szCs w:val="24"/>
        </w:rPr>
        <w:t>产品任务</w:t>
      </w:r>
    </w:p>
    <w:p w14:paraId="5D5A0FC9">
      <w:pPr>
        <w:pStyle w:val="2"/>
        <w:spacing w:before="84" w:line="303" w:lineRule="auto"/>
        <w:ind w:firstLine="590"/>
        <w:rPr>
          <w:sz w:val="25"/>
          <w:szCs w:val="25"/>
        </w:rPr>
      </w:pPr>
      <w:r>
        <w:rPr>
          <w:spacing w:val="17"/>
          <w:sz w:val="25"/>
          <w:szCs w:val="25"/>
        </w:rPr>
        <w:t>简要说明产品的使命任务和地位作用等内容，如系配套产品，则介绍在系统</w:t>
      </w:r>
      <w:r>
        <w:rPr>
          <w:sz w:val="25"/>
          <w:szCs w:val="25"/>
        </w:rPr>
        <w:t xml:space="preserve"> </w:t>
      </w:r>
      <w:r>
        <w:rPr>
          <w:spacing w:val="-4"/>
          <w:sz w:val="25"/>
          <w:szCs w:val="25"/>
        </w:rPr>
        <w:t>中的定位、属性、用途。</w:t>
      </w:r>
    </w:p>
    <w:p w14:paraId="4F3F478D">
      <w:pPr>
        <w:spacing w:line="222" w:lineRule="auto"/>
        <w:rPr>
          <w:rFonts w:ascii="黑体" w:hAnsi="黑体" w:eastAsia="黑体" w:cs="黑体"/>
          <w:sz w:val="25"/>
          <w:szCs w:val="25"/>
        </w:rPr>
      </w:pPr>
      <w:r>
        <w:rPr>
          <w:rFonts w:ascii="黑体" w:hAnsi="黑体" w:eastAsia="黑体" w:cs="黑体"/>
          <w:spacing w:val="14"/>
          <w:sz w:val="25"/>
          <w:szCs w:val="25"/>
        </w:rPr>
        <w:t>3.2</w:t>
      </w:r>
      <w:r>
        <w:rPr>
          <w:rFonts w:ascii="黑体" w:hAnsi="黑体" w:eastAsia="黑体" w:cs="黑体"/>
          <w:spacing w:val="42"/>
          <w:sz w:val="25"/>
          <w:szCs w:val="25"/>
        </w:rPr>
        <w:t xml:space="preserve">  </w:t>
      </w:r>
      <w:r>
        <w:rPr>
          <w:rFonts w:ascii="黑体" w:hAnsi="黑体" w:eastAsia="黑体" w:cs="黑体"/>
          <w:spacing w:val="14"/>
          <w:sz w:val="25"/>
          <w:szCs w:val="25"/>
        </w:rPr>
        <w:t>产品组成</w:t>
      </w:r>
    </w:p>
    <w:p w14:paraId="56E8257C">
      <w:pPr>
        <w:pStyle w:val="2"/>
        <w:spacing w:before="89" w:line="282" w:lineRule="auto"/>
        <w:ind w:firstLine="590"/>
      </w:pPr>
      <w:r>
        <w:rPr>
          <w:spacing w:val="5"/>
        </w:rPr>
        <w:t>简要说明产品的组成(包括硬件组成和软件组成)以及各组成部分的功能等</w:t>
      </w:r>
      <w:r>
        <w:rPr>
          <w:spacing w:val="6"/>
        </w:rPr>
        <w:t xml:space="preserve"> </w:t>
      </w:r>
      <w:r>
        <w:rPr>
          <w:spacing w:val="-9"/>
        </w:rPr>
        <w:t>内容，可简要介绍工作原理。</w:t>
      </w:r>
    </w:p>
    <w:p w14:paraId="1774392E">
      <w:pPr>
        <w:spacing w:before="15" w:line="222" w:lineRule="auto"/>
        <w:rPr>
          <w:rFonts w:ascii="黑体" w:hAnsi="黑体" w:eastAsia="黑体" w:cs="黑体"/>
          <w:sz w:val="25"/>
          <w:szCs w:val="25"/>
        </w:rPr>
      </w:pPr>
      <w:r>
        <w:rPr>
          <w:rFonts w:ascii="黑体" w:hAnsi="黑体" w:eastAsia="黑体" w:cs="黑体"/>
          <w:spacing w:val="14"/>
          <w:sz w:val="25"/>
          <w:szCs w:val="25"/>
        </w:rPr>
        <w:t>3.3</w:t>
      </w:r>
      <w:r>
        <w:rPr>
          <w:rFonts w:ascii="黑体" w:hAnsi="黑体" w:eastAsia="黑体" w:cs="黑体"/>
          <w:spacing w:val="44"/>
          <w:sz w:val="25"/>
          <w:szCs w:val="25"/>
        </w:rPr>
        <w:t xml:space="preserve">  </w:t>
      </w:r>
      <w:r>
        <w:rPr>
          <w:rFonts w:ascii="黑体" w:hAnsi="黑体" w:eastAsia="黑体" w:cs="黑体"/>
          <w:spacing w:val="14"/>
          <w:sz w:val="25"/>
          <w:szCs w:val="25"/>
        </w:rPr>
        <w:t>产品功能</w:t>
      </w:r>
    </w:p>
    <w:p w14:paraId="57B0E165">
      <w:pPr>
        <w:pStyle w:val="2"/>
        <w:spacing w:before="118" w:line="219" w:lineRule="auto"/>
        <w:ind w:left="590"/>
        <w:rPr>
          <w:sz w:val="24"/>
          <w:szCs w:val="24"/>
        </w:rPr>
      </w:pPr>
      <w:r>
        <w:rPr>
          <w:spacing w:val="31"/>
          <w:sz w:val="24"/>
          <w:szCs w:val="24"/>
        </w:rPr>
        <w:t>简要说明产品具备的各种功能。</w:t>
      </w:r>
    </w:p>
    <w:p w14:paraId="7A3FF742">
      <w:pPr>
        <w:spacing w:before="98" w:line="222" w:lineRule="auto"/>
        <w:rPr>
          <w:rFonts w:ascii="黑体" w:hAnsi="黑体" w:eastAsia="黑体" w:cs="黑体"/>
          <w:sz w:val="27"/>
          <w:szCs w:val="27"/>
        </w:rPr>
      </w:pPr>
      <w:r>
        <w:rPr>
          <w:rFonts w:ascii="黑体" w:hAnsi="黑体" w:eastAsia="黑体" w:cs="黑体"/>
          <w:spacing w:val="4"/>
          <w:sz w:val="27"/>
          <w:szCs w:val="27"/>
        </w:rPr>
        <w:t>4  保障性要求</w:t>
      </w:r>
    </w:p>
    <w:p w14:paraId="7CE999E7">
      <w:pPr>
        <w:spacing w:before="75" w:line="222" w:lineRule="auto"/>
        <w:rPr>
          <w:rFonts w:ascii="黑体" w:hAnsi="黑体" w:eastAsia="黑体" w:cs="黑体"/>
          <w:sz w:val="27"/>
          <w:szCs w:val="27"/>
        </w:rPr>
      </w:pPr>
      <w:r>
        <w:rPr>
          <w:rFonts w:ascii="黑体" w:hAnsi="黑体" w:eastAsia="黑体" w:cs="黑体"/>
          <w:spacing w:val="3"/>
          <w:sz w:val="27"/>
          <w:szCs w:val="27"/>
        </w:rPr>
        <w:t>4.1</w:t>
      </w:r>
      <w:r>
        <w:rPr>
          <w:rFonts w:ascii="黑体" w:hAnsi="黑体" w:eastAsia="黑体" w:cs="黑体"/>
          <w:spacing w:val="14"/>
          <w:sz w:val="27"/>
          <w:szCs w:val="27"/>
        </w:rPr>
        <w:t xml:space="preserve">  </w:t>
      </w:r>
      <w:r>
        <w:rPr>
          <w:rFonts w:ascii="黑体" w:hAnsi="黑体" w:eastAsia="黑体" w:cs="黑体"/>
          <w:spacing w:val="3"/>
          <w:sz w:val="27"/>
          <w:szCs w:val="27"/>
        </w:rPr>
        <w:t>保障性定性要求</w:t>
      </w:r>
    </w:p>
    <w:p w14:paraId="46D1598E">
      <w:pPr>
        <w:pStyle w:val="2"/>
        <w:spacing w:before="85" w:line="219" w:lineRule="auto"/>
        <w:ind w:left="590"/>
      </w:pPr>
      <w:r>
        <w:rPr>
          <w:spacing w:val="4"/>
        </w:rPr>
        <w:t>说明论证提出并通过评审的保障性定性要求。</w:t>
      </w:r>
    </w:p>
    <w:p w14:paraId="53428349">
      <w:pPr>
        <w:spacing w:before="90" w:line="222" w:lineRule="auto"/>
        <w:rPr>
          <w:rFonts w:ascii="黑体" w:hAnsi="黑体" w:eastAsia="黑体" w:cs="黑体"/>
          <w:sz w:val="27"/>
          <w:szCs w:val="27"/>
        </w:rPr>
      </w:pPr>
      <w:r>
        <w:rPr>
          <w:rFonts w:ascii="黑体" w:hAnsi="黑体" w:eastAsia="黑体" w:cs="黑体"/>
          <w:spacing w:val="3"/>
          <w:sz w:val="27"/>
          <w:szCs w:val="27"/>
        </w:rPr>
        <w:t>4.2</w:t>
      </w:r>
      <w:r>
        <w:rPr>
          <w:rFonts w:ascii="黑体" w:hAnsi="黑体" w:eastAsia="黑体" w:cs="黑体"/>
          <w:spacing w:val="14"/>
          <w:sz w:val="27"/>
          <w:szCs w:val="27"/>
        </w:rPr>
        <w:t xml:space="preserve">  </w:t>
      </w:r>
      <w:r>
        <w:rPr>
          <w:rFonts w:ascii="黑体" w:hAnsi="黑体" w:eastAsia="黑体" w:cs="黑体"/>
          <w:spacing w:val="3"/>
          <w:sz w:val="27"/>
          <w:szCs w:val="27"/>
        </w:rPr>
        <w:t>保障性定量要求</w:t>
      </w:r>
    </w:p>
    <w:p w14:paraId="3BA586B6">
      <w:pPr>
        <w:pStyle w:val="2"/>
        <w:spacing w:before="95" w:line="219" w:lineRule="auto"/>
        <w:ind w:left="590"/>
      </w:pPr>
      <w:r>
        <w:rPr>
          <w:spacing w:val="4"/>
        </w:rPr>
        <w:t>说明论证提出并通过评审的保障性定量要求。</w:t>
      </w:r>
    </w:p>
    <w:p w14:paraId="2F3617BC">
      <w:pPr>
        <w:spacing w:before="30" w:line="368" w:lineRule="exact"/>
        <w:rPr>
          <w:rFonts w:ascii="黑体" w:hAnsi="黑体" w:eastAsia="黑体" w:cs="黑体"/>
          <w:sz w:val="27"/>
          <w:szCs w:val="27"/>
        </w:rPr>
      </w:pPr>
      <w:r>
        <w:rPr>
          <w:rFonts w:ascii="Arial" w:hAnsi="Arial" w:eastAsia="Arial" w:cs="Arial"/>
          <w:spacing w:val="4"/>
          <w:position w:val="1"/>
          <w:sz w:val="27"/>
          <w:szCs w:val="27"/>
        </w:rPr>
        <w:t>5</w:t>
      </w:r>
      <w:r>
        <w:rPr>
          <w:rFonts w:ascii="Arial" w:hAnsi="Arial" w:eastAsia="Arial" w:cs="Arial"/>
          <w:spacing w:val="16"/>
          <w:position w:val="1"/>
          <w:sz w:val="27"/>
          <w:szCs w:val="27"/>
        </w:rPr>
        <w:t xml:space="preserve">   </w:t>
      </w:r>
      <w:r>
        <w:rPr>
          <w:rFonts w:ascii="黑体" w:hAnsi="黑体" w:eastAsia="黑体" w:cs="黑体"/>
          <w:spacing w:val="4"/>
          <w:position w:val="1"/>
          <w:sz w:val="27"/>
          <w:szCs w:val="27"/>
        </w:rPr>
        <w:t>保障性设计与分析</w:t>
      </w:r>
    </w:p>
    <w:p w14:paraId="59E34C71">
      <w:pPr>
        <w:pStyle w:val="2"/>
        <w:spacing w:before="101" w:line="273" w:lineRule="auto"/>
        <w:ind w:right="1" w:firstLine="590"/>
      </w:pPr>
      <w:r>
        <w:rPr>
          <w:spacing w:val="5"/>
        </w:rPr>
        <w:t>说明在产品的研制过程中进行的保障性设计与分析工作情况，即总结综合</w:t>
      </w:r>
      <w:r>
        <w:rPr>
          <w:spacing w:val="10"/>
        </w:rPr>
        <w:t xml:space="preserve"> </w:t>
      </w:r>
      <w:r>
        <w:rPr>
          <w:spacing w:val="-3"/>
        </w:rPr>
        <w:t>保障工作计划、保障性分析计划的执行情况。</w:t>
      </w:r>
    </w:p>
    <w:p w14:paraId="76F4C5ED">
      <w:pPr>
        <w:spacing w:before="1" w:line="220" w:lineRule="auto"/>
        <w:rPr>
          <w:rFonts w:ascii="黑体" w:hAnsi="黑体" w:eastAsia="黑体" w:cs="黑体"/>
          <w:sz w:val="27"/>
          <w:szCs w:val="27"/>
        </w:rPr>
      </w:pPr>
      <w:r>
        <w:rPr>
          <w:rFonts w:ascii="黑体" w:hAnsi="黑体" w:eastAsia="黑体" w:cs="黑体"/>
          <w:spacing w:val="4"/>
          <w:sz w:val="27"/>
          <w:szCs w:val="27"/>
        </w:rPr>
        <w:t>6  保障性试验情况</w:t>
      </w:r>
    </w:p>
    <w:p w14:paraId="6D452BA6">
      <w:pPr>
        <w:pStyle w:val="2"/>
        <w:spacing w:before="89" w:line="290" w:lineRule="auto"/>
        <w:ind w:right="1" w:firstLine="590"/>
      </w:pPr>
      <w:r>
        <w:rPr>
          <w:spacing w:val="-3"/>
        </w:rPr>
        <w:t>说明在产品的研制过程中进行的保障性试验情况，即保障性试验、评价与验</w:t>
      </w:r>
      <w:r>
        <w:t xml:space="preserve"> </w:t>
      </w:r>
      <w:r>
        <w:rPr>
          <w:spacing w:val="1"/>
        </w:rPr>
        <w:t>证大纲的执行情况。</w:t>
      </w:r>
    </w:p>
    <w:p w14:paraId="06B2DF0B">
      <w:pPr>
        <w:spacing w:before="6" w:line="226" w:lineRule="auto"/>
        <w:rPr>
          <w:rFonts w:ascii="黑体" w:hAnsi="黑体" w:eastAsia="黑体" w:cs="黑体"/>
          <w:sz w:val="24"/>
          <w:szCs w:val="24"/>
        </w:rPr>
      </w:pPr>
      <w:r>
        <w:rPr>
          <w:rFonts w:ascii="黑体" w:hAnsi="黑体" w:eastAsia="黑体" w:cs="黑体"/>
          <w:spacing w:val="-7"/>
          <w:sz w:val="24"/>
          <w:szCs w:val="24"/>
        </w:rPr>
        <w:t>7</w:t>
      </w:r>
      <w:r>
        <w:rPr>
          <w:rFonts w:ascii="黑体" w:hAnsi="黑体" w:eastAsia="黑体" w:cs="黑体"/>
          <w:spacing w:val="30"/>
          <w:sz w:val="24"/>
          <w:szCs w:val="24"/>
        </w:rPr>
        <w:t xml:space="preserve">  </w:t>
      </w:r>
      <w:r>
        <w:rPr>
          <w:rFonts w:ascii="黑体" w:hAnsi="黑体" w:eastAsia="黑体" w:cs="黑体"/>
          <w:spacing w:val="-7"/>
          <w:sz w:val="24"/>
          <w:szCs w:val="24"/>
        </w:rPr>
        <w:t>结</w:t>
      </w:r>
      <w:r>
        <w:rPr>
          <w:rFonts w:ascii="黑体" w:hAnsi="黑体" w:eastAsia="黑体" w:cs="黑体"/>
          <w:spacing w:val="-42"/>
          <w:sz w:val="24"/>
          <w:szCs w:val="24"/>
        </w:rPr>
        <w:t xml:space="preserve"> </w:t>
      </w:r>
      <w:r>
        <w:rPr>
          <w:rFonts w:ascii="黑体" w:hAnsi="黑体" w:eastAsia="黑体" w:cs="黑体"/>
          <w:spacing w:val="-7"/>
          <w:sz w:val="24"/>
          <w:szCs w:val="24"/>
        </w:rPr>
        <w:t>论</w:t>
      </w:r>
    </w:p>
    <w:p w14:paraId="2B426300">
      <w:pPr>
        <w:pStyle w:val="2"/>
        <w:spacing w:before="69" w:line="321" w:lineRule="auto"/>
        <w:ind w:right="1" w:firstLine="590"/>
        <w:rPr>
          <w:sz w:val="25"/>
          <w:szCs w:val="25"/>
        </w:rPr>
      </w:pPr>
      <w:r>
        <w:rPr>
          <w:spacing w:val="17"/>
          <w:sz w:val="25"/>
          <w:szCs w:val="25"/>
        </w:rPr>
        <w:t>根据以上工作得到的相关信息，对产品的保障性进行分析评价，得出是否满</w:t>
      </w:r>
      <w:r>
        <w:rPr>
          <w:sz w:val="25"/>
          <w:szCs w:val="25"/>
        </w:rPr>
        <w:t xml:space="preserve"> </w:t>
      </w:r>
      <w:r>
        <w:rPr>
          <w:spacing w:val="21"/>
          <w:sz w:val="25"/>
          <w:szCs w:val="25"/>
        </w:rPr>
        <w:t>足规定的保障性要求的结论。</w:t>
      </w:r>
    </w:p>
    <w:p w14:paraId="0207F739">
      <w:pPr>
        <w:spacing w:line="321" w:lineRule="auto"/>
        <w:rPr>
          <w:sz w:val="25"/>
          <w:szCs w:val="25"/>
        </w:rPr>
        <w:sectPr>
          <w:footerReference r:id="rId536" w:type="default"/>
          <w:pgSz w:w="11910" w:h="17130"/>
          <w:pgMar w:top="400" w:right="977" w:bottom="1646" w:left="1529" w:header="0" w:footer="1457" w:gutter="0"/>
          <w:cols w:space="720" w:num="1"/>
        </w:sectPr>
      </w:pPr>
    </w:p>
    <w:p w14:paraId="605FADC7">
      <w:pPr>
        <w:spacing w:line="259" w:lineRule="auto"/>
        <w:rPr>
          <w:rFonts w:ascii="Arial"/>
          <w:sz w:val="21"/>
        </w:rPr>
      </w:pPr>
    </w:p>
    <w:p w14:paraId="3CEA9857">
      <w:pPr>
        <w:spacing w:line="260" w:lineRule="auto"/>
        <w:rPr>
          <w:rFonts w:ascii="Arial"/>
          <w:sz w:val="21"/>
        </w:rPr>
      </w:pPr>
    </w:p>
    <w:p w14:paraId="795A6458">
      <w:pPr>
        <w:spacing w:line="260" w:lineRule="auto"/>
        <w:rPr>
          <w:rFonts w:ascii="Arial"/>
          <w:sz w:val="21"/>
        </w:rPr>
      </w:pPr>
    </w:p>
    <w:p w14:paraId="3E900937">
      <w:pPr>
        <w:spacing w:line="260" w:lineRule="auto"/>
        <w:rPr>
          <w:rFonts w:ascii="Arial"/>
          <w:sz w:val="21"/>
        </w:rPr>
      </w:pPr>
    </w:p>
    <w:p w14:paraId="33D80525">
      <w:pPr>
        <w:spacing w:line="260" w:lineRule="auto"/>
        <w:rPr>
          <w:rFonts w:ascii="Arial"/>
          <w:sz w:val="21"/>
        </w:rPr>
      </w:pPr>
    </w:p>
    <w:p w14:paraId="4E9B47B3">
      <w:pPr>
        <w:spacing w:line="260" w:lineRule="auto"/>
        <w:rPr>
          <w:rFonts w:ascii="Arial"/>
          <w:sz w:val="21"/>
        </w:rPr>
      </w:pPr>
    </w:p>
    <w:p w14:paraId="3372A6DD">
      <w:pPr>
        <w:spacing w:line="260" w:lineRule="auto"/>
        <w:rPr>
          <w:rFonts w:ascii="Arial"/>
          <w:sz w:val="21"/>
        </w:rPr>
      </w:pPr>
    </w:p>
    <w:p w14:paraId="40E04A24">
      <w:pPr>
        <w:spacing w:line="260" w:lineRule="auto"/>
        <w:rPr>
          <w:rFonts w:ascii="Arial"/>
          <w:sz w:val="21"/>
        </w:rPr>
      </w:pPr>
    </w:p>
    <w:p w14:paraId="34C6DB12">
      <w:pPr>
        <w:spacing w:before="143" w:line="222" w:lineRule="auto"/>
        <w:ind w:left="2430"/>
        <w:rPr>
          <w:rFonts w:ascii="黑体" w:hAnsi="黑体" w:eastAsia="黑体" w:cs="黑体"/>
          <w:sz w:val="44"/>
          <w:szCs w:val="44"/>
        </w:rPr>
      </w:pPr>
      <w:r>
        <w:rPr>
          <w:rFonts w:ascii="黑体" w:hAnsi="黑体" w:eastAsia="黑体" w:cs="黑体"/>
          <w:spacing w:val="5"/>
          <w:sz w:val="44"/>
          <w:szCs w:val="44"/>
        </w:rPr>
        <w:t>第</w:t>
      </w:r>
      <w:r>
        <w:rPr>
          <w:rFonts w:ascii="黑体" w:hAnsi="黑体" w:eastAsia="黑体" w:cs="黑体"/>
          <w:spacing w:val="-79"/>
          <w:sz w:val="44"/>
          <w:szCs w:val="44"/>
        </w:rPr>
        <w:t xml:space="preserve"> </w:t>
      </w:r>
      <w:r>
        <w:rPr>
          <w:rFonts w:ascii="黑体" w:hAnsi="黑体" w:eastAsia="黑体" w:cs="黑体"/>
          <w:spacing w:val="5"/>
          <w:sz w:val="44"/>
          <w:szCs w:val="44"/>
        </w:rPr>
        <w:t>1</w:t>
      </w:r>
      <w:r>
        <w:rPr>
          <w:rFonts w:ascii="黑体" w:hAnsi="黑体" w:eastAsia="黑体" w:cs="黑体"/>
          <w:spacing w:val="-79"/>
          <w:sz w:val="44"/>
          <w:szCs w:val="44"/>
        </w:rPr>
        <w:t xml:space="preserve"> </w:t>
      </w:r>
      <w:r>
        <w:rPr>
          <w:rFonts w:ascii="黑体" w:hAnsi="黑体" w:eastAsia="黑体" w:cs="黑体"/>
          <w:spacing w:val="5"/>
          <w:sz w:val="44"/>
          <w:szCs w:val="44"/>
        </w:rPr>
        <w:t>1</w:t>
      </w:r>
      <w:r>
        <w:rPr>
          <w:rFonts w:ascii="黑体" w:hAnsi="黑体" w:eastAsia="黑体" w:cs="黑体"/>
          <w:spacing w:val="-100"/>
          <w:sz w:val="44"/>
          <w:szCs w:val="44"/>
        </w:rPr>
        <w:t xml:space="preserve"> </w:t>
      </w:r>
      <w:r>
        <w:rPr>
          <w:rFonts w:ascii="黑体" w:hAnsi="黑体" w:eastAsia="黑体" w:cs="黑体"/>
          <w:spacing w:val="5"/>
          <w:sz w:val="44"/>
          <w:szCs w:val="44"/>
        </w:rPr>
        <w:t>章</w:t>
      </w:r>
      <w:r>
        <w:rPr>
          <w:rFonts w:ascii="黑体" w:hAnsi="黑体" w:eastAsia="黑体" w:cs="黑体"/>
          <w:spacing w:val="41"/>
          <w:sz w:val="44"/>
          <w:szCs w:val="44"/>
        </w:rPr>
        <w:t xml:space="preserve">  </w:t>
      </w:r>
      <w:r>
        <w:rPr>
          <w:rFonts w:ascii="黑体" w:hAnsi="黑体" w:eastAsia="黑体" w:cs="黑体"/>
          <w:spacing w:val="5"/>
          <w:sz w:val="44"/>
          <w:szCs w:val="44"/>
        </w:rPr>
        <w:t>安全性文件</w:t>
      </w:r>
    </w:p>
    <w:p w14:paraId="4611A357">
      <w:pPr>
        <w:spacing w:line="357" w:lineRule="auto"/>
        <w:rPr>
          <w:rFonts w:ascii="Arial"/>
          <w:sz w:val="21"/>
        </w:rPr>
      </w:pPr>
    </w:p>
    <w:p w14:paraId="2E56C9DE">
      <w:pPr>
        <w:spacing w:line="358" w:lineRule="auto"/>
        <w:rPr>
          <w:rFonts w:ascii="Arial"/>
          <w:sz w:val="21"/>
        </w:rPr>
      </w:pPr>
    </w:p>
    <w:p w14:paraId="41227621">
      <w:pPr>
        <w:pStyle w:val="2"/>
        <w:spacing w:before="117" w:line="220" w:lineRule="auto"/>
        <w:ind w:left="3220"/>
        <w:rPr>
          <w:sz w:val="36"/>
          <w:szCs w:val="36"/>
        </w:rPr>
      </w:pPr>
      <w:r>
        <w:rPr>
          <w:spacing w:val="-5"/>
          <w:sz w:val="36"/>
          <w:szCs w:val="36"/>
        </w:rPr>
        <w:t>11.</w:t>
      </w:r>
      <w:r>
        <w:rPr>
          <w:b/>
          <w:bCs/>
          <w:spacing w:val="-5"/>
          <w:sz w:val="36"/>
          <w:szCs w:val="36"/>
        </w:rPr>
        <w:t>1</w:t>
      </w:r>
      <w:r>
        <w:rPr>
          <w:spacing w:val="35"/>
          <w:sz w:val="36"/>
          <w:szCs w:val="36"/>
        </w:rPr>
        <w:t xml:space="preserve">  </w:t>
      </w:r>
      <w:r>
        <w:rPr>
          <w:b/>
          <w:bCs/>
          <w:spacing w:val="-5"/>
          <w:sz w:val="36"/>
          <w:szCs w:val="36"/>
        </w:rPr>
        <w:t>安全性大纲</w:t>
      </w:r>
    </w:p>
    <w:p w14:paraId="2CE15D6B">
      <w:pPr>
        <w:spacing w:line="400" w:lineRule="auto"/>
        <w:rPr>
          <w:rFonts w:ascii="Arial"/>
          <w:sz w:val="21"/>
        </w:rPr>
      </w:pPr>
    </w:p>
    <w:p w14:paraId="436DDADF">
      <w:pPr>
        <w:pStyle w:val="2"/>
        <w:spacing w:before="78" w:line="223" w:lineRule="auto"/>
        <w:ind w:left="550"/>
        <w:rPr>
          <w:rFonts w:ascii="楷体" w:hAnsi="楷体" w:eastAsia="楷体" w:cs="楷体"/>
          <w:sz w:val="24"/>
          <w:szCs w:val="24"/>
        </w:rPr>
      </w:pPr>
      <w:r>
        <w:rPr>
          <w:rFonts w:ascii="楷体" w:hAnsi="楷体" w:eastAsia="楷体" w:cs="楷体"/>
          <w:spacing w:val="9"/>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9"/>
          <w:sz w:val="24"/>
          <w:szCs w:val="24"/>
        </w:rPr>
        <w:t>900—1990</w:t>
      </w:r>
      <w:r>
        <w:rPr>
          <w:spacing w:val="9"/>
          <w:sz w:val="24"/>
          <w:szCs w:val="24"/>
        </w:rPr>
        <w:t>《</w:t>
      </w:r>
      <w:r>
        <w:rPr>
          <w:rFonts w:ascii="楷体" w:hAnsi="楷体" w:eastAsia="楷体" w:cs="楷体"/>
          <w:b/>
          <w:bCs/>
          <w:spacing w:val="9"/>
          <w:sz w:val="24"/>
          <w:szCs w:val="24"/>
        </w:rPr>
        <w:t>系统安全性通用大纲》编写。</w:t>
      </w:r>
    </w:p>
    <w:p w14:paraId="57625986">
      <w:pPr>
        <w:spacing w:before="77"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11"/>
          <w:sz w:val="27"/>
          <w:szCs w:val="27"/>
        </w:rPr>
        <w:t xml:space="preserve">  </w:t>
      </w:r>
      <w:r>
        <w:rPr>
          <w:rFonts w:ascii="黑体" w:hAnsi="黑体" w:eastAsia="黑体" w:cs="黑体"/>
          <w:b/>
          <w:bCs/>
          <w:spacing w:val="-4"/>
          <w:sz w:val="27"/>
          <w:szCs w:val="27"/>
        </w:rPr>
        <w:t>范围</w:t>
      </w:r>
    </w:p>
    <w:p w14:paraId="106C0CAD">
      <w:pPr>
        <w:pStyle w:val="2"/>
        <w:spacing w:before="87" w:line="219" w:lineRule="auto"/>
        <w:ind w:left="550"/>
      </w:pPr>
      <w:r>
        <w:rPr>
          <w:spacing w:val="-1"/>
        </w:rPr>
        <w:t>说明安全性大纲的主题内容和适用范围。 一般表述</w:t>
      </w:r>
      <w:r>
        <w:rPr>
          <w:spacing w:val="-2"/>
        </w:rPr>
        <w:t>为：</w:t>
      </w:r>
    </w:p>
    <w:p w14:paraId="6BBFE358">
      <w:pPr>
        <w:spacing w:before="83" w:line="308" w:lineRule="auto"/>
        <w:ind w:right="66" w:firstLine="550"/>
        <w:rPr>
          <w:rFonts w:ascii="仿宋" w:hAnsi="仿宋" w:eastAsia="仿宋" w:cs="仿宋"/>
          <w:sz w:val="24"/>
          <w:szCs w:val="24"/>
        </w:rPr>
      </w:pPr>
      <w:r>
        <w:rPr>
          <w:rFonts w:ascii="仿宋" w:hAnsi="仿宋" w:eastAsia="仿宋" w:cs="仿宋"/>
          <w:spacing w:val="30"/>
          <w:sz w:val="24"/>
          <w:szCs w:val="24"/>
        </w:rPr>
        <w:t>本大纲规定了(产品型号和名称)安全性的</w:t>
      </w:r>
      <w:r>
        <w:rPr>
          <w:rFonts w:ascii="仿宋" w:hAnsi="仿宋" w:eastAsia="仿宋" w:cs="仿宋"/>
          <w:spacing w:val="-55"/>
          <w:sz w:val="24"/>
          <w:szCs w:val="24"/>
        </w:rPr>
        <w:t xml:space="preserve"> </w:t>
      </w:r>
      <w:r>
        <w:rPr>
          <w:rFonts w:ascii="仿宋" w:hAnsi="仿宋" w:eastAsia="仿宋" w:cs="仿宋"/>
          <w:spacing w:val="30"/>
          <w:sz w:val="24"/>
          <w:szCs w:val="24"/>
        </w:rPr>
        <w:t>一</w:t>
      </w:r>
      <w:r>
        <w:rPr>
          <w:rFonts w:ascii="仿宋" w:hAnsi="仿宋" w:eastAsia="仿宋" w:cs="仿宋"/>
          <w:spacing w:val="-68"/>
          <w:sz w:val="24"/>
          <w:szCs w:val="24"/>
        </w:rPr>
        <w:t xml:space="preserve"> </w:t>
      </w:r>
      <w:r>
        <w:rPr>
          <w:rFonts w:ascii="仿宋" w:hAnsi="仿宋" w:eastAsia="仿宋" w:cs="仿宋"/>
          <w:spacing w:val="30"/>
          <w:sz w:val="24"/>
          <w:szCs w:val="24"/>
        </w:rPr>
        <w:t>般要求和管理与控制、设计与</w:t>
      </w:r>
      <w:r>
        <w:rPr>
          <w:rFonts w:ascii="仿宋" w:hAnsi="仿宋" w:eastAsia="仿宋" w:cs="仿宋"/>
          <w:sz w:val="24"/>
          <w:szCs w:val="24"/>
        </w:rPr>
        <w:t xml:space="preserve"> </w:t>
      </w:r>
      <w:r>
        <w:rPr>
          <w:rFonts w:ascii="仿宋" w:hAnsi="仿宋" w:eastAsia="仿宋" w:cs="仿宋"/>
          <w:spacing w:val="23"/>
          <w:sz w:val="24"/>
          <w:szCs w:val="24"/>
        </w:rPr>
        <w:t>分析、验证与评价、培训及软件系统安全性等方面的工作项目。</w:t>
      </w:r>
    </w:p>
    <w:p w14:paraId="7461C414">
      <w:pPr>
        <w:spacing w:line="300" w:lineRule="auto"/>
        <w:ind w:right="45" w:firstLine="550"/>
        <w:rPr>
          <w:rFonts w:ascii="仿宋" w:hAnsi="仿宋" w:eastAsia="仿宋" w:cs="仿宋"/>
          <w:sz w:val="24"/>
          <w:szCs w:val="24"/>
        </w:rPr>
      </w:pPr>
      <w:r>
        <w:rPr>
          <w:rFonts w:ascii="仿宋" w:hAnsi="仿宋" w:eastAsia="仿宋" w:cs="仿宋"/>
          <w:spacing w:val="34"/>
          <w:sz w:val="24"/>
          <w:szCs w:val="24"/>
        </w:rPr>
        <w:t>本大纲主要适用于(产品型号和名称)寿命周期内的研制和生产阶段，也适</w:t>
      </w:r>
      <w:r>
        <w:rPr>
          <w:rFonts w:ascii="仿宋" w:hAnsi="仿宋" w:eastAsia="仿宋" w:cs="仿宋"/>
          <w:spacing w:val="6"/>
          <w:sz w:val="24"/>
          <w:szCs w:val="24"/>
        </w:rPr>
        <w:t xml:space="preserve"> </w:t>
      </w:r>
      <w:r>
        <w:rPr>
          <w:rFonts w:ascii="仿宋" w:hAnsi="仿宋" w:eastAsia="仿宋" w:cs="仿宋"/>
          <w:spacing w:val="33"/>
          <w:sz w:val="24"/>
          <w:szCs w:val="24"/>
        </w:rPr>
        <w:t>用于其他阶段的有关安全性的工作。</w:t>
      </w:r>
    </w:p>
    <w:p w14:paraId="7EAF0D16">
      <w:pPr>
        <w:spacing w:line="221"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8"/>
          <w:sz w:val="27"/>
          <w:szCs w:val="27"/>
        </w:rPr>
        <w:t xml:space="preserve">  </w:t>
      </w:r>
      <w:r>
        <w:rPr>
          <w:rFonts w:ascii="黑体" w:hAnsi="黑体" w:eastAsia="黑体" w:cs="黑体"/>
          <w:b/>
          <w:bCs/>
          <w:spacing w:val="-1"/>
          <w:sz w:val="27"/>
          <w:szCs w:val="27"/>
        </w:rPr>
        <w:t>引用文件</w:t>
      </w:r>
    </w:p>
    <w:p w14:paraId="1AD37760">
      <w:pPr>
        <w:pStyle w:val="2"/>
        <w:spacing w:before="102" w:line="219" w:lineRule="auto"/>
        <w:ind w:left="550"/>
      </w:pPr>
      <w:r>
        <w:rPr>
          <w:spacing w:val="-3"/>
        </w:rPr>
        <w:t>列出引用的有关标准、有关技术要求和设计文件。</w:t>
      </w:r>
    </w:p>
    <w:p w14:paraId="789F6248">
      <w:pPr>
        <w:spacing w:before="65"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21"/>
          <w:sz w:val="27"/>
          <w:szCs w:val="27"/>
        </w:rPr>
        <w:t xml:space="preserve">  </w:t>
      </w:r>
      <w:r>
        <w:rPr>
          <w:rFonts w:ascii="黑体" w:hAnsi="黑体" w:eastAsia="黑体" w:cs="黑体"/>
          <w:b/>
          <w:bCs/>
          <w:spacing w:val="-2"/>
          <w:sz w:val="27"/>
          <w:szCs w:val="27"/>
        </w:rPr>
        <w:t>术语和定义</w:t>
      </w:r>
    </w:p>
    <w:p w14:paraId="240C09D9">
      <w:pPr>
        <w:pStyle w:val="2"/>
        <w:spacing w:before="70" w:line="219" w:lineRule="auto"/>
        <w:ind w:left="550"/>
      </w:pPr>
      <w:r>
        <w:rPr>
          <w:spacing w:val="-3"/>
        </w:rPr>
        <w:t>列出大纲中用到的、引用标准中尚未定义的</w:t>
      </w:r>
      <w:r>
        <w:rPr>
          <w:spacing w:val="-4"/>
        </w:rPr>
        <w:t>主要术语，并给出确切的定义。</w:t>
      </w:r>
    </w:p>
    <w:p w14:paraId="674CE600">
      <w:pPr>
        <w:spacing w:before="93" w:line="221" w:lineRule="auto"/>
        <w:rPr>
          <w:rFonts w:ascii="黑体" w:hAnsi="黑体" w:eastAsia="黑体" w:cs="黑体"/>
          <w:sz w:val="27"/>
          <w:szCs w:val="27"/>
        </w:rPr>
      </w:pPr>
      <w:r>
        <w:rPr>
          <w:rFonts w:ascii="黑体" w:hAnsi="黑体" w:eastAsia="黑体" w:cs="黑体"/>
          <w:sz w:val="27"/>
          <w:szCs w:val="27"/>
        </w:rPr>
        <w:t>4</w:t>
      </w:r>
      <w:r>
        <w:rPr>
          <w:rFonts w:ascii="黑体" w:hAnsi="黑体" w:eastAsia="黑体" w:cs="黑体"/>
          <w:spacing w:val="16"/>
          <w:sz w:val="27"/>
          <w:szCs w:val="27"/>
        </w:rPr>
        <w:t xml:space="preserve">  </w:t>
      </w:r>
      <w:r>
        <w:rPr>
          <w:rFonts w:ascii="黑体" w:hAnsi="黑体" w:eastAsia="黑体" w:cs="黑体"/>
          <w:b/>
          <w:bCs/>
          <w:sz w:val="27"/>
          <w:szCs w:val="27"/>
        </w:rPr>
        <w:t>一般要求</w:t>
      </w:r>
    </w:p>
    <w:p w14:paraId="2CB15BBB">
      <w:pPr>
        <w:spacing w:before="87" w:line="221" w:lineRule="auto"/>
        <w:rPr>
          <w:rFonts w:ascii="黑体" w:hAnsi="黑体" w:eastAsia="黑体" w:cs="黑体"/>
          <w:sz w:val="27"/>
          <w:szCs w:val="27"/>
        </w:rPr>
      </w:pPr>
      <w:r>
        <w:rPr>
          <w:rFonts w:ascii="黑体" w:hAnsi="黑体" w:eastAsia="黑体" w:cs="黑体"/>
          <w:spacing w:val="-2"/>
          <w:sz w:val="27"/>
          <w:szCs w:val="27"/>
        </w:rPr>
        <w:t>4.1</w:t>
      </w:r>
      <w:r>
        <w:rPr>
          <w:rFonts w:ascii="黑体" w:hAnsi="黑体" w:eastAsia="黑体" w:cs="黑体"/>
          <w:spacing w:val="33"/>
          <w:sz w:val="27"/>
          <w:szCs w:val="27"/>
        </w:rPr>
        <w:t xml:space="preserve">  </w:t>
      </w:r>
      <w:r>
        <w:rPr>
          <w:rFonts w:ascii="黑体" w:hAnsi="黑体" w:eastAsia="黑体" w:cs="黑体"/>
          <w:b/>
          <w:bCs/>
          <w:spacing w:val="-2"/>
          <w:sz w:val="27"/>
          <w:szCs w:val="27"/>
        </w:rPr>
        <w:t>剪裁要求</w:t>
      </w:r>
    </w:p>
    <w:p w14:paraId="29CB2FB8">
      <w:pPr>
        <w:pStyle w:val="2"/>
        <w:spacing w:before="82" w:line="273" w:lineRule="auto"/>
        <w:ind w:right="43" w:firstLine="550"/>
        <w:jc w:val="both"/>
      </w:pPr>
      <w:r>
        <w:rPr>
          <w:spacing w:val="5"/>
        </w:rPr>
        <w:t>按国家有关文件的规定，根据产品的类型、重要程度、经费与进度要求和</w:t>
      </w:r>
      <w:r>
        <w:rPr>
          <w:spacing w:val="11"/>
        </w:rPr>
        <w:t xml:space="preserve"> </w:t>
      </w:r>
      <w:r>
        <w:rPr>
          <w:rFonts w:ascii="Times New Roman" w:hAnsi="Times New Roman" w:eastAsia="Times New Roman" w:cs="Times New Roman"/>
        </w:rPr>
        <w:t>GJB900—1990</w:t>
      </w:r>
      <w:r>
        <w:t>《系统安全性通用大纲》附录</w:t>
      </w:r>
      <w:r>
        <w:rPr>
          <w:rFonts w:ascii="Times New Roman" w:hAnsi="Times New Roman" w:eastAsia="Times New Roman" w:cs="Times New Roman"/>
        </w:rPr>
        <w:t xml:space="preserve">A, </w:t>
      </w:r>
      <w:r>
        <w:t>对</w:t>
      </w:r>
      <w:r>
        <w:rPr>
          <w:spacing w:val="-75"/>
        </w:rPr>
        <w:t xml:space="preserve"> </w:t>
      </w:r>
      <w:r>
        <w:rPr>
          <w:rFonts w:ascii="Times New Roman" w:hAnsi="Times New Roman" w:eastAsia="Times New Roman" w:cs="Times New Roman"/>
        </w:rPr>
        <w:t>GJB</w:t>
      </w:r>
      <w:r>
        <w:rPr>
          <w:rFonts w:ascii="Times New Roman" w:hAnsi="Times New Roman" w:eastAsia="Times New Roman" w:cs="Times New Roman"/>
          <w:spacing w:val="20"/>
        </w:rPr>
        <w:t xml:space="preserve">  </w:t>
      </w:r>
      <w:r>
        <w:rPr>
          <w:rFonts w:ascii="Times New Roman" w:hAnsi="Times New Roman" w:eastAsia="Times New Roman" w:cs="Times New Roman"/>
        </w:rPr>
        <w:t>900—1990</w:t>
      </w:r>
      <w:r>
        <w:t xml:space="preserve">规定的工作项 </w:t>
      </w:r>
      <w:r>
        <w:rPr>
          <w:spacing w:val="-4"/>
        </w:rPr>
        <w:t>目及其要点进行剪裁，确定产品的工作项目及其要点，并在研制合同或研制任务</w:t>
      </w:r>
      <w:r>
        <w:rPr>
          <w:spacing w:val="11"/>
        </w:rPr>
        <w:t xml:space="preserve"> </w:t>
      </w:r>
      <w:r>
        <w:rPr>
          <w:spacing w:val="-1"/>
        </w:rPr>
        <w:t>书中明确规定。</w:t>
      </w:r>
    </w:p>
    <w:p w14:paraId="2D50FAF8">
      <w:pPr>
        <w:spacing w:line="222" w:lineRule="auto"/>
        <w:rPr>
          <w:rFonts w:ascii="黑体" w:hAnsi="黑体" w:eastAsia="黑体" w:cs="黑体"/>
          <w:sz w:val="27"/>
          <w:szCs w:val="27"/>
        </w:rPr>
      </w:pPr>
      <w:r>
        <w:rPr>
          <w:rFonts w:ascii="黑体" w:hAnsi="黑体" w:eastAsia="黑体" w:cs="黑体"/>
          <w:sz w:val="27"/>
          <w:szCs w:val="27"/>
        </w:rPr>
        <w:t>4.2</w:t>
      </w:r>
      <w:r>
        <w:rPr>
          <w:rFonts w:ascii="黑体" w:hAnsi="黑体" w:eastAsia="黑体" w:cs="黑体"/>
          <w:spacing w:val="38"/>
          <w:sz w:val="27"/>
          <w:szCs w:val="27"/>
        </w:rPr>
        <w:t xml:space="preserve">  </w:t>
      </w:r>
      <w:r>
        <w:rPr>
          <w:rFonts w:ascii="黑体" w:hAnsi="黑体" w:eastAsia="黑体" w:cs="黑体"/>
          <w:b/>
          <w:bCs/>
          <w:sz w:val="27"/>
          <w:szCs w:val="27"/>
        </w:rPr>
        <w:t>安全性大纲目标与要求</w:t>
      </w:r>
    </w:p>
    <w:p w14:paraId="3EFF1978">
      <w:pPr>
        <w:pStyle w:val="2"/>
        <w:spacing w:before="79" w:line="219" w:lineRule="auto"/>
        <w:ind w:left="550"/>
      </w:pPr>
      <w:r>
        <w:rPr>
          <w:spacing w:val="3"/>
        </w:rPr>
        <w:t>列出产品应达到的安全性目标和要求。</w:t>
      </w:r>
    </w:p>
    <w:p w14:paraId="161E2799">
      <w:pPr>
        <w:pStyle w:val="2"/>
        <w:spacing w:before="81" w:line="220" w:lineRule="auto"/>
        <w:ind w:left="550"/>
      </w:pPr>
      <w:r>
        <w:rPr>
          <w:spacing w:val="1"/>
        </w:rPr>
        <w:t>安全性大纲应保证：</w:t>
      </w:r>
    </w:p>
    <w:p w14:paraId="4D05360E">
      <w:pPr>
        <w:pStyle w:val="2"/>
        <w:spacing w:before="67" w:line="212" w:lineRule="auto"/>
        <w:ind w:left="550"/>
      </w:pPr>
      <w:r>
        <w:rPr>
          <w:rFonts w:ascii="Times New Roman" w:hAnsi="Times New Roman" w:eastAsia="Times New Roman" w:cs="Times New Roman"/>
          <w:spacing w:val="-1"/>
        </w:rPr>
        <w:t xml:space="preserve">a)  </w:t>
      </w:r>
      <w:r>
        <w:rPr>
          <w:spacing w:val="-1"/>
        </w:rPr>
        <w:t>及时地、经济地进行符合任务要求的安全</w:t>
      </w:r>
      <w:r>
        <w:rPr>
          <w:spacing w:val="-2"/>
        </w:rPr>
        <w:t>性设计；</w:t>
      </w:r>
    </w:p>
    <w:p w14:paraId="6382120B">
      <w:pPr>
        <w:pStyle w:val="2"/>
        <w:spacing w:before="110" w:line="268" w:lineRule="auto"/>
        <w:ind w:right="52" w:firstLine="550"/>
        <w:rPr>
          <w:sz w:val="25"/>
          <w:szCs w:val="25"/>
        </w:rPr>
      </w:pPr>
      <w:r>
        <w:rPr>
          <w:rFonts w:ascii="Times New Roman" w:hAnsi="Times New Roman" w:eastAsia="Times New Roman" w:cs="Times New Roman"/>
          <w:spacing w:val="20"/>
          <w:sz w:val="25"/>
          <w:szCs w:val="25"/>
        </w:rPr>
        <w:t xml:space="preserve">b)  </w:t>
      </w:r>
      <w:r>
        <w:rPr>
          <w:spacing w:val="20"/>
          <w:sz w:val="25"/>
          <w:szCs w:val="25"/>
        </w:rPr>
        <w:t>在系统寿命周期内识别、评价和消除系统中的危险或将其风险减少到订</w:t>
      </w:r>
      <w:r>
        <w:rPr>
          <w:spacing w:val="18"/>
          <w:sz w:val="25"/>
          <w:szCs w:val="25"/>
        </w:rPr>
        <w:t xml:space="preserve"> </w:t>
      </w:r>
      <w:r>
        <w:rPr>
          <w:spacing w:val="19"/>
          <w:sz w:val="25"/>
          <w:szCs w:val="25"/>
        </w:rPr>
        <w:t>购方可接受的水平；</w:t>
      </w:r>
    </w:p>
    <w:p w14:paraId="1FFE5C39">
      <w:pPr>
        <w:pStyle w:val="2"/>
        <w:spacing w:before="96" w:line="212" w:lineRule="auto"/>
        <w:ind w:left="550"/>
        <w:rPr>
          <w:sz w:val="24"/>
          <w:szCs w:val="24"/>
        </w:rPr>
      </w:pPr>
      <w:r>
        <w:rPr>
          <w:rFonts w:ascii="Times New Roman" w:hAnsi="Times New Roman" w:eastAsia="Times New Roman" w:cs="Times New Roman"/>
          <w:spacing w:val="22"/>
          <w:sz w:val="24"/>
          <w:szCs w:val="24"/>
        </w:rPr>
        <w:t xml:space="preserve">c)  </w:t>
      </w:r>
      <w:r>
        <w:rPr>
          <w:spacing w:val="22"/>
          <w:sz w:val="24"/>
          <w:szCs w:val="24"/>
        </w:rPr>
        <w:t>考虑并应用以往的安全性资料，包括其他系统的经验、教训；</w:t>
      </w:r>
    </w:p>
    <w:p w14:paraId="08C0F192">
      <w:pPr>
        <w:pStyle w:val="2"/>
        <w:spacing w:before="82" w:line="212" w:lineRule="auto"/>
        <w:ind w:left="550"/>
      </w:pPr>
      <w:r>
        <w:rPr>
          <w:rFonts w:ascii="Times New Roman" w:hAnsi="Times New Roman" w:eastAsia="Times New Roman" w:cs="Times New Roman"/>
          <w:spacing w:val="-8"/>
        </w:rPr>
        <w:t xml:space="preserve">d)  </w:t>
      </w:r>
      <w:r>
        <w:rPr>
          <w:spacing w:val="-8"/>
        </w:rPr>
        <w:t>在采用新的设计方法、材料、生产工艺和试验技术时，寻求最小风险；</w:t>
      </w:r>
    </w:p>
    <w:p w14:paraId="03C676D3">
      <w:pPr>
        <w:pStyle w:val="2"/>
        <w:spacing w:before="110" w:line="212" w:lineRule="auto"/>
        <w:jc w:val="right"/>
      </w:pPr>
      <w:r>
        <w:rPr>
          <w:rFonts w:ascii="Times New Roman" w:hAnsi="Times New Roman" w:eastAsia="Times New Roman" w:cs="Times New Roman"/>
          <w:spacing w:val="4"/>
        </w:rPr>
        <w:t>e)</w:t>
      </w:r>
      <w:r>
        <w:rPr>
          <w:rFonts w:ascii="Times New Roman" w:hAnsi="Times New Roman" w:eastAsia="Times New Roman" w:cs="Times New Roman"/>
          <w:spacing w:val="75"/>
        </w:rPr>
        <w:t xml:space="preserve"> </w:t>
      </w:r>
      <w:r>
        <w:rPr>
          <w:spacing w:val="4"/>
        </w:rPr>
        <w:t>将消除危险或将风险减少到订购方可接受水平所采取的措施记录成文；</w:t>
      </w:r>
    </w:p>
    <w:p w14:paraId="6A887A8D">
      <w:pPr>
        <w:spacing w:line="212" w:lineRule="auto"/>
        <w:sectPr>
          <w:footerReference r:id="rId537" w:type="default"/>
          <w:pgSz w:w="11910" w:h="17130"/>
          <w:pgMar w:top="400" w:right="1554" w:bottom="1707" w:left="949" w:header="0" w:footer="1490" w:gutter="0"/>
          <w:cols w:space="720" w:num="1"/>
        </w:sectPr>
      </w:pPr>
    </w:p>
    <w:p w14:paraId="22FADE94">
      <w:pPr>
        <w:spacing w:line="253" w:lineRule="auto"/>
        <w:rPr>
          <w:rFonts w:ascii="Arial"/>
          <w:sz w:val="21"/>
        </w:rPr>
      </w:pPr>
    </w:p>
    <w:p w14:paraId="69228893">
      <w:pPr>
        <w:spacing w:line="254" w:lineRule="auto"/>
        <w:rPr>
          <w:rFonts w:ascii="Arial"/>
          <w:sz w:val="21"/>
        </w:rPr>
      </w:pPr>
    </w:p>
    <w:p w14:paraId="05CD88B7">
      <w:pPr>
        <w:spacing w:line="254" w:lineRule="auto"/>
        <w:rPr>
          <w:rFonts w:ascii="Arial"/>
          <w:sz w:val="21"/>
        </w:rPr>
      </w:pPr>
    </w:p>
    <w:p w14:paraId="1DD0BE48">
      <w:pPr>
        <w:spacing w:line="254" w:lineRule="auto"/>
        <w:rPr>
          <w:rFonts w:ascii="Arial"/>
          <w:sz w:val="21"/>
        </w:rPr>
      </w:pPr>
    </w:p>
    <w:p w14:paraId="39371120">
      <w:pPr>
        <w:pStyle w:val="2"/>
        <w:spacing w:before="88" w:line="264" w:lineRule="auto"/>
        <w:ind w:right="121" w:firstLine="550"/>
      </w:pPr>
      <w:r>
        <w:rPr>
          <w:rFonts w:ascii="Times New Roman" w:hAnsi="Times New Roman" w:eastAsia="Times New Roman" w:cs="Times New Roman"/>
          <w:spacing w:val="4"/>
        </w:rPr>
        <w:t>f)</w:t>
      </w:r>
      <w:r>
        <w:rPr>
          <w:rFonts w:ascii="Times New Roman" w:hAnsi="Times New Roman" w:eastAsia="Times New Roman" w:cs="Times New Roman"/>
          <w:spacing w:val="73"/>
        </w:rPr>
        <w:t xml:space="preserve"> </w:t>
      </w:r>
      <w:r>
        <w:rPr>
          <w:spacing w:val="4"/>
        </w:rPr>
        <w:t>在系统的论证、研制和订购中及时并充分地考虑安全性特性，以尽量减</w:t>
      </w:r>
      <w:r>
        <w:t xml:space="preserve"> </w:t>
      </w:r>
      <w:r>
        <w:rPr>
          <w:spacing w:val="3"/>
        </w:rPr>
        <w:t>少在使用中为改善安全性进行的改装；</w:t>
      </w:r>
    </w:p>
    <w:p w14:paraId="612ADD77">
      <w:pPr>
        <w:pStyle w:val="2"/>
        <w:spacing w:before="48" w:line="212" w:lineRule="auto"/>
        <w:ind w:right="38"/>
        <w:jc w:val="right"/>
      </w:pPr>
      <w:r>
        <w:rPr>
          <w:rFonts w:ascii="Times New Roman" w:hAnsi="Times New Roman" w:eastAsia="Times New Roman" w:cs="Times New Roman"/>
          <w:spacing w:val="-10"/>
        </w:rPr>
        <w:t xml:space="preserve">g)  </w:t>
      </w:r>
      <w:r>
        <w:rPr>
          <w:spacing w:val="-10"/>
        </w:rPr>
        <w:t>在设计、技术状态或任务要求更改时，使风险保持在订购方可接受的水平；</w:t>
      </w:r>
    </w:p>
    <w:p w14:paraId="18686571">
      <w:pPr>
        <w:pStyle w:val="2"/>
        <w:spacing w:before="110" w:line="212" w:lineRule="auto"/>
        <w:ind w:left="550"/>
      </w:pPr>
      <w:r>
        <w:rPr>
          <w:rFonts w:ascii="Times New Roman" w:hAnsi="Times New Roman" w:eastAsia="Times New Roman" w:cs="Times New Roman"/>
          <w:spacing w:val="5"/>
        </w:rPr>
        <w:t>h)</w:t>
      </w:r>
      <w:r>
        <w:rPr>
          <w:rFonts w:ascii="Times New Roman" w:hAnsi="Times New Roman" w:eastAsia="Times New Roman" w:cs="Times New Roman"/>
          <w:spacing w:val="1"/>
        </w:rPr>
        <w:t xml:space="preserve">  </w:t>
      </w:r>
      <w:r>
        <w:rPr>
          <w:spacing w:val="5"/>
        </w:rPr>
        <w:t>考虑与系统有关的所有危险器材的安全性并便于退役处理。</w:t>
      </w:r>
    </w:p>
    <w:p w14:paraId="7518555F">
      <w:pPr>
        <w:spacing w:before="135" w:line="222" w:lineRule="auto"/>
        <w:rPr>
          <w:rFonts w:ascii="黑体" w:hAnsi="黑体" w:eastAsia="黑体" w:cs="黑体"/>
          <w:sz w:val="24"/>
          <w:szCs w:val="24"/>
        </w:rPr>
      </w:pPr>
      <w:r>
        <w:rPr>
          <w:rFonts w:ascii="黑体" w:hAnsi="黑体" w:eastAsia="黑体" w:cs="黑体"/>
          <w:spacing w:val="19"/>
          <w:sz w:val="24"/>
          <w:szCs w:val="24"/>
        </w:rPr>
        <w:t>4.3</w:t>
      </w:r>
      <w:r>
        <w:rPr>
          <w:rFonts w:ascii="黑体" w:hAnsi="黑体" w:eastAsia="黑体" w:cs="黑体"/>
          <w:spacing w:val="60"/>
          <w:sz w:val="24"/>
          <w:szCs w:val="24"/>
        </w:rPr>
        <w:t xml:space="preserve">  </w:t>
      </w:r>
      <w:r>
        <w:rPr>
          <w:rFonts w:ascii="黑体" w:hAnsi="黑体" w:eastAsia="黑体" w:cs="黑体"/>
          <w:b/>
          <w:bCs/>
          <w:spacing w:val="19"/>
          <w:sz w:val="24"/>
          <w:szCs w:val="24"/>
        </w:rPr>
        <w:t>安全性信息要求</w:t>
      </w:r>
    </w:p>
    <w:p w14:paraId="3DE7C22F">
      <w:pPr>
        <w:pStyle w:val="2"/>
        <w:spacing w:before="86" w:line="273" w:lineRule="auto"/>
        <w:ind w:right="122" w:firstLine="550"/>
      </w:pPr>
      <w:r>
        <w:rPr>
          <w:spacing w:val="-3"/>
        </w:rPr>
        <w:t>安全性信息包括系统论证、研制、生产、使用和退役等各阶段中有关的安全</w:t>
      </w:r>
      <w:r>
        <w:rPr>
          <w:spacing w:val="10"/>
        </w:rPr>
        <w:t xml:space="preserve"> </w:t>
      </w:r>
      <w:r>
        <w:rPr>
          <w:spacing w:val="-4"/>
        </w:rPr>
        <w:t>性数据、资料以及文件等。其要求如下：</w:t>
      </w:r>
    </w:p>
    <w:p w14:paraId="2D8F2C71">
      <w:pPr>
        <w:pStyle w:val="2"/>
        <w:spacing w:before="1" w:line="212" w:lineRule="auto"/>
        <w:ind w:left="550"/>
      </w:pPr>
      <w:r>
        <w:rPr>
          <w:rFonts w:ascii="Times New Roman" w:hAnsi="Times New Roman" w:eastAsia="Times New Roman" w:cs="Times New Roman"/>
          <w:spacing w:val="1"/>
        </w:rPr>
        <w:t>a)</w:t>
      </w:r>
      <w:r>
        <w:rPr>
          <w:rFonts w:ascii="Times New Roman" w:hAnsi="Times New Roman" w:eastAsia="Times New Roman" w:cs="Times New Roman"/>
          <w:spacing w:val="53"/>
        </w:rPr>
        <w:t xml:space="preserve"> </w:t>
      </w:r>
      <w:r>
        <w:rPr>
          <w:spacing w:val="1"/>
        </w:rPr>
        <w:t>应建立安全性信息闭环系统，并制定信息必要的</w:t>
      </w:r>
      <w:r>
        <w:t>管理要求和程序。</w:t>
      </w:r>
    </w:p>
    <w:p w14:paraId="14B7788F">
      <w:pPr>
        <w:pStyle w:val="2"/>
        <w:spacing w:before="99" w:line="257" w:lineRule="auto"/>
        <w:ind w:right="122" w:firstLine="550"/>
      </w:pPr>
      <w:r>
        <w:rPr>
          <w:rFonts w:ascii="Times New Roman" w:hAnsi="Times New Roman" w:eastAsia="Times New Roman" w:cs="Times New Roman"/>
          <w:spacing w:val="3"/>
        </w:rPr>
        <w:t>b)</w:t>
      </w:r>
      <w:r>
        <w:rPr>
          <w:rFonts w:ascii="Times New Roman" w:hAnsi="Times New Roman" w:eastAsia="Times New Roman" w:cs="Times New Roman"/>
          <w:spacing w:val="60"/>
        </w:rPr>
        <w:t xml:space="preserve"> </w:t>
      </w:r>
      <w:r>
        <w:rPr>
          <w:spacing w:val="3"/>
        </w:rPr>
        <w:t>记录重要的安全性信息，作为历史资料或修改有关设计手册和规范的参</w:t>
      </w:r>
      <w:r>
        <w:t xml:space="preserve"> </w:t>
      </w:r>
      <w:r>
        <w:rPr>
          <w:spacing w:val="-3"/>
        </w:rPr>
        <w:t>考资料。</w:t>
      </w:r>
    </w:p>
    <w:p w14:paraId="4C87D4DB">
      <w:pPr>
        <w:pStyle w:val="2"/>
        <w:spacing w:before="49" w:line="212" w:lineRule="auto"/>
        <w:ind w:left="550"/>
      </w:pPr>
      <w:r>
        <w:rPr>
          <w:rFonts w:ascii="Times New Roman" w:hAnsi="Times New Roman" w:eastAsia="Times New Roman" w:cs="Times New Roman"/>
          <w:spacing w:val="5"/>
        </w:rPr>
        <w:t>c)</w:t>
      </w:r>
      <w:r>
        <w:rPr>
          <w:rFonts w:ascii="Times New Roman" w:hAnsi="Times New Roman" w:eastAsia="Times New Roman" w:cs="Times New Roman"/>
          <w:spacing w:val="52"/>
        </w:rPr>
        <w:t xml:space="preserve"> </w:t>
      </w:r>
      <w:r>
        <w:rPr>
          <w:spacing w:val="5"/>
        </w:rPr>
        <w:t>订购方应按安全性大纲要求向承制方提供有关的安全性信息。</w:t>
      </w:r>
    </w:p>
    <w:p w14:paraId="449F56AE">
      <w:pPr>
        <w:pStyle w:val="2"/>
        <w:spacing w:before="109" w:line="253" w:lineRule="auto"/>
        <w:ind w:right="121" w:firstLine="550"/>
      </w:pPr>
      <w:r>
        <w:rPr>
          <w:rFonts w:ascii="Times New Roman" w:hAnsi="Times New Roman" w:eastAsia="Times New Roman" w:cs="Times New Roman"/>
          <w:spacing w:val="3"/>
        </w:rPr>
        <w:t xml:space="preserve">d)  </w:t>
      </w:r>
      <w:r>
        <w:rPr>
          <w:spacing w:val="3"/>
        </w:rPr>
        <w:t>承制方应按信息管理要求或后勤保障信息</w:t>
      </w:r>
      <w:r>
        <w:rPr>
          <w:spacing w:val="2"/>
        </w:rPr>
        <w:t>要求，对研制生产、试验和使</w:t>
      </w:r>
      <w:r>
        <w:t xml:space="preserve"> </w:t>
      </w:r>
      <w:r>
        <w:rPr>
          <w:spacing w:val="-12"/>
        </w:rPr>
        <w:t>用过程中所得到的安全性信息进行收集、传递、分析、处理、反馈和归档。</w:t>
      </w:r>
    </w:p>
    <w:p w14:paraId="021974F1">
      <w:pPr>
        <w:pStyle w:val="2"/>
        <w:spacing w:before="70" w:line="257" w:lineRule="auto"/>
        <w:ind w:right="120" w:firstLine="550"/>
      </w:pPr>
      <w:r>
        <w:rPr>
          <w:rFonts w:ascii="Times New Roman" w:hAnsi="Times New Roman" w:eastAsia="Times New Roman" w:cs="Times New Roman"/>
          <w:spacing w:val="3"/>
        </w:rPr>
        <w:t xml:space="preserve">e)  </w:t>
      </w:r>
      <w:r>
        <w:rPr>
          <w:spacing w:val="3"/>
        </w:rPr>
        <w:t xml:space="preserve">承制方向订购方提供的安全性大纲各项工作项目的资料的内容、格式及 </w:t>
      </w:r>
      <w:r>
        <w:rPr>
          <w:spacing w:val="-8"/>
        </w:rPr>
        <w:t>交付日程，应由订购方规定。</w:t>
      </w:r>
    </w:p>
    <w:p w14:paraId="0FF7D1EF">
      <w:pPr>
        <w:spacing w:before="83" w:line="221" w:lineRule="auto"/>
        <w:rPr>
          <w:rFonts w:ascii="黑体" w:hAnsi="黑体" w:eastAsia="黑体" w:cs="黑体"/>
          <w:sz w:val="27"/>
          <w:szCs w:val="27"/>
        </w:rPr>
      </w:pPr>
      <w:r>
        <w:rPr>
          <w:rFonts w:ascii="黑体" w:hAnsi="黑体" w:eastAsia="黑体" w:cs="黑体"/>
          <w:spacing w:val="-1"/>
          <w:sz w:val="27"/>
          <w:szCs w:val="27"/>
        </w:rPr>
        <w:t>4.4</w:t>
      </w:r>
      <w:r>
        <w:rPr>
          <w:rFonts w:ascii="黑体" w:hAnsi="黑体" w:eastAsia="黑体" w:cs="黑体"/>
          <w:spacing w:val="21"/>
          <w:sz w:val="27"/>
          <w:szCs w:val="27"/>
        </w:rPr>
        <w:t xml:space="preserve">  </w:t>
      </w:r>
      <w:r>
        <w:rPr>
          <w:rFonts w:ascii="黑体" w:hAnsi="黑体" w:eastAsia="黑体" w:cs="黑体"/>
          <w:b/>
          <w:bCs/>
          <w:spacing w:val="-1"/>
          <w:sz w:val="27"/>
          <w:szCs w:val="27"/>
        </w:rPr>
        <w:t>系统安全性设计要求</w:t>
      </w:r>
    </w:p>
    <w:p w14:paraId="785208AE">
      <w:pPr>
        <w:pStyle w:val="2"/>
        <w:spacing w:before="123" w:line="263" w:lineRule="auto"/>
        <w:ind w:right="121" w:firstLine="550"/>
      </w:pPr>
      <w:r>
        <w:rPr>
          <w:spacing w:val="-3"/>
        </w:rPr>
        <w:t>应在考查系统设计所用的有关标准、规范、条例、设计手册和其他设计指南</w:t>
      </w:r>
      <w:r>
        <w:rPr>
          <w:spacing w:val="11"/>
        </w:rPr>
        <w:t xml:space="preserve"> </w:t>
      </w:r>
      <w:r>
        <w:t>资料后，确定系统安全性设计要求。一般的系统安全性设计要求如下：</w:t>
      </w:r>
    </w:p>
    <w:p w14:paraId="766B90C4">
      <w:pPr>
        <w:pStyle w:val="2"/>
        <w:spacing w:before="1" w:line="256" w:lineRule="auto"/>
        <w:ind w:firstLine="550"/>
      </w:pPr>
      <w:r>
        <w:rPr>
          <w:rFonts w:ascii="Times New Roman" w:hAnsi="Times New Roman" w:eastAsia="Times New Roman" w:cs="Times New Roman"/>
          <w:spacing w:val="7"/>
        </w:rPr>
        <w:t>a)</w:t>
      </w:r>
      <w:r>
        <w:rPr>
          <w:rFonts w:ascii="Times New Roman" w:hAnsi="Times New Roman" w:eastAsia="Times New Roman" w:cs="Times New Roman"/>
          <w:spacing w:val="63"/>
        </w:rPr>
        <w:t xml:space="preserve"> </w:t>
      </w:r>
      <w:r>
        <w:rPr>
          <w:spacing w:val="7"/>
        </w:rPr>
        <w:t>通过设计(包括器材选择和代用)消除已判定的危险或减少有</w:t>
      </w:r>
      <w:r>
        <w:rPr>
          <w:spacing w:val="6"/>
        </w:rPr>
        <w:t>关的风险，</w:t>
      </w:r>
      <w:r>
        <w:t xml:space="preserve"> 当必须使用有潜在危险的器材时，应选择在系统寿命周期内</w:t>
      </w:r>
      <w:r>
        <w:rPr>
          <w:spacing w:val="-1"/>
        </w:rPr>
        <w:t>风险最小者；</w:t>
      </w:r>
    </w:p>
    <w:p w14:paraId="413F7A95">
      <w:pPr>
        <w:pStyle w:val="2"/>
        <w:spacing w:before="71" w:line="254" w:lineRule="auto"/>
        <w:ind w:right="125" w:firstLine="550"/>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危险的物质、零部件和操作应与其他活动、区</w:t>
      </w:r>
      <w:r>
        <w:rPr>
          <w:spacing w:val="2"/>
        </w:rPr>
        <w:t>域、人员及不相容的器材</w:t>
      </w:r>
      <w:r>
        <w:t xml:space="preserve"> </w:t>
      </w:r>
      <w:r>
        <w:rPr>
          <w:spacing w:val="-6"/>
        </w:rPr>
        <w:t>隔离；</w:t>
      </w:r>
    </w:p>
    <w:p w14:paraId="3C58A5FB">
      <w:pPr>
        <w:pStyle w:val="2"/>
        <w:spacing w:before="68" w:line="262" w:lineRule="auto"/>
        <w:ind w:firstLine="550"/>
      </w:pPr>
      <w:r>
        <w:rPr>
          <w:rFonts w:ascii="Times New Roman" w:hAnsi="Times New Roman" w:eastAsia="Times New Roman" w:cs="Times New Roman"/>
          <w:spacing w:val="-1"/>
        </w:rPr>
        <w:t>c)</w:t>
      </w:r>
      <w:r>
        <w:rPr>
          <w:rFonts w:ascii="Times New Roman" w:hAnsi="Times New Roman" w:eastAsia="Times New Roman" w:cs="Times New Roman"/>
          <w:spacing w:val="60"/>
          <w:w w:val="101"/>
        </w:rPr>
        <w:t xml:space="preserve"> </w:t>
      </w:r>
      <w:r>
        <w:rPr>
          <w:spacing w:val="-1"/>
        </w:rPr>
        <w:t>设备的位置安排应使工作人员在操作、保养、维护、修理或调整过程中，</w:t>
      </w:r>
      <w:r>
        <w:t xml:space="preserve"> </w:t>
      </w:r>
      <w:r>
        <w:rPr>
          <w:spacing w:val="6"/>
        </w:rPr>
        <w:t>尽量避免危险，例如危险的化学药品、高压电、电磁</w:t>
      </w:r>
      <w:r>
        <w:rPr>
          <w:spacing w:val="5"/>
        </w:rPr>
        <w:t>辐射、切削锋口或尖锐部</w:t>
      </w:r>
      <w:r>
        <w:t xml:space="preserve">  </w:t>
      </w:r>
      <w:r>
        <w:rPr>
          <w:spacing w:val="-6"/>
        </w:rPr>
        <w:t>分等；</w:t>
      </w:r>
    </w:p>
    <w:p w14:paraId="3A2494AC">
      <w:pPr>
        <w:pStyle w:val="2"/>
        <w:spacing w:before="78" w:line="257" w:lineRule="auto"/>
        <w:ind w:right="125" w:firstLine="550"/>
      </w:pPr>
      <w:r>
        <w:rPr>
          <w:rFonts w:ascii="Times New Roman" w:hAnsi="Times New Roman" w:eastAsia="Times New Roman" w:cs="Times New Roman"/>
          <w:spacing w:val="-15"/>
        </w:rPr>
        <w:t xml:space="preserve">d)  </w:t>
      </w:r>
      <w:r>
        <w:rPr>
          <w:spacing w:val="-15"/>
        </w:rPr>
        <w:t>尽量减少恶劣环境条件(例如温度、压力</w:t>
      </w:r>
      <w:r>
        <w:rPr>
          <w:spacing w:val="-16"/>
        </w:rPr>
        <w:t>、噪声、毒性、加速度、振动、冲击</w:t>
      </w:r>
      <w:r>
        <w:t xml:space="preserve"> </w:t>
      </w:r>
      <w:r>
        <w:rPr>
          <w:spacing w:val="2"/>
        </w:rPr>
        <w:t>和有害射线等)所导致的危险；</w:t>
      </w:r>
    </w:p>
    <w:p w14:paraId="52DDEA71">
      <w:pPr>
        <w:pStyle w:val="2"/>
        <w:spacing w:before="59" w:line="212" w:lineRule="auto"/>
        <w:ind w:left="550"/>
      </w:pPr>
      <w:r>
        <w:rPr>
          <w:rFonts w:ascii="Times New Roman" w:hAnsi="Times New Roman" w:eastAsia="Times New Roman" w:cs="Times New Roman"/>
          <w:spacing w:val="4"/>
        </w:rPr>
        <w:t>e)</w:t>
      </w:r>
      <w:r>
        <w:rPr>
          <w:rFonts w:ascii="Times New Roman" w:hAnsi="Times New Roman" w:eastAsia="Times New Roman" w:cs="Times New Roman"/>
          <w:spacing w:val="74"/>
        </w:rPr>
        <w:t xml:space="preserve"> </w:t>
      </w:r>
      <w:r>
        <w:rPr>
          <w:spacing w:val="4"/>
        </w:rPr>
        <w:t>系统设计时应尽量减少在系统的使用和保障中人为差错所导致的风险；</w:t>
      </w:r>
    </w:p>
    <w:p w14:paraId="03016DF9">
      <w:pPr>
        <w:pStyle w:val="2"/>
        <w:spacing w:before="102" w:line="262" w:lineRule="auto"/>
        <w:ind w:right="120" w:firstLine="550"/>
      </w:pPr>
      <w:r>
        <w:rPr>
          <w:rFonts w:ascii="Times New Roman" w:hAnsi="Times New Roman" w:eastAsia="Times New Roman" w:cs="Times New Roman"/>
          <w:spacing w:val="5"/>
        </w:rPr>
        <w:t>f)</w:t>
      </w:r>
      <w:r>
        <w:rPr>
          <w:rFonts w:ascii="Times New Roman" w:hAnsi="Times New Roman" w:eastAsia="Times New Roman" w:cs="Times New Roman"/>
          <w:spacing w:val="53"/>
          <w:w w:val="101"/>
        </w:rPr>
        <w:t xml:space="preserve"> </w:t>
      </w:r>
      <w:r>
        <w:rPr>
          <w:spacing w:val="5"/>
        </w:rPr>
        <w:t>为把不能消除的危险所形成的风险减少到最</w:t>
      </w:r>
      <w:r>
        <w:rPr>
          <w:spacing w:val="4"/>
        </w:rPr>
        <w:t>低程度，应考虑采取补偿措</w:t>
      </w:r>
      <w:r>
        <w:t xml:space="preserve"> </w:t>
      </w:r>
      <w:r>
        <w:rPr>
          <w:spacing w:val="-17"/>
        </w:rPr>
        <w:t>施，这类措施包括：联锁、冗余、故障安全保护设计、系统防护、灭火和防护服、防</w:t>
      </w:r>
      <w:r>
        <w:rPr>
          <w:spacing w:val="12"/>
        </w:rPr>
        <w:t xml:space="preserve"> </w:t>
      </w:r>
      <w:r>
        <w:rPr>
          <w:spacing w:val="-11"/>
        </w:rPr>
        <w:t>护设备、防护规程等；</w:t>
      </w:r>
    </w:p>
    <w:p w14:paraId="7D73F4DA">
      <w:pPr>
        <w:pStyle w:val="2"/>
        <w:spacing w:before="59" w:line="260" w:lineRule="auto"/>
        <w:ind w:right="123" w:firstLine="550"/>
      </w:pPr>
      <w:r>
        <w:rPr>
          <w:rFonts w:ascii="Times New Roman" w:hAnsi="Times New Roman" w:eastAsia="Times New Roman" w:cs="Times New Roman"/>
          <w:spacing w:val="11"/>
        </w:rPr>
        <w:t xml:space="preserve">g)  </w:t>
      </w:r>
      <w:r>
        <w:rPr>
          <w:spacing w:val="11"/>
        </w:rPr>
        <w:t>用隔离或屏蔽的方法保护有冗余的分</w:t>
      </w:r>
      <w:r>
        <w:rPr>
          <w:spacing w:val="10"/>
        </w:rPr>
        <w:t>系统的电源、控制装置和关键零</w:t>
      </w:r>
      <w:r>
        <w:t xml:space="preserve"> </w:t>
      </w:r>
      <w:r>
        <w:rPr>
          <w:spacing w:val="-6"/>
        </w:rPr>
        <w:t>部件；</w:t>
      </w:r>
    </w:p>
    <w:p w14:paraId="7437A3F5">
      <w:pPr>
        <w:pStyle w:val="2"/>
        <w:spacing w:before="79" w:line="212" w:lineRule="auto"/>
        <w:ind w:left="550"/>
      </w:pPr>
      <w:r>
        <w:rPr>
          <w:rFonts w:ascii="Times New Roman" w:hAnsi="Times New Roman" w:eastAsia="Times New Roman" w:cs="Times New Roman"/>
          <w:spacing w:val="-4"/>
        </w:rPr>
        <w:t xml:space="preserve">h)  </w:t>
      </w:r>
      <w:r>
        <w:rPr>
          <w:spacing w:val="-4"/>
        </w:rPr>
        <w:t>当各种补偿设计方法都不能消除危险时，在</w:t>
      </w:r>
      <w:r>
        <w:rPr>
          <w:spacing w:val="-5"/>
        </w:rPr>
        <w:t>装配、使用、维护和修理说明</w:t>
      </w:r>
    </w:p>
    <w:p w14:paraId="6E47A4A7">
      <w:pPr>
        <w:spacing w:line="212" w:lineRule="auto"/>
        <w:sectPr>
          <w:footerReference r:id="rId538" w:type="default"/>
          <w:pgSz w:w="11910" w:h="17130"/>
          <w:pgMar w:top="400" w:right="844" w:bottom="1627" w:left="1569" w:header="0" w:footer="1411" w:gutter="0"/>
          <w:cols w:space="720" w:num="1"/>
        </w:sectPr>
      </w:pPr>
    </w:p>
    <w:p w14:paraId="7205CA46">
      <w:pPr>
        <w:spacing w:line="244" w:lineRule="auto"/>
        <w:rPr>
          <w:rFonts w:ascii="Arial"/>
          <w:sz w:val="21"/>
        </w:rPr>
      </w:pPr>
    </w:p>
    <w:p w14:paraId="2170D2B8">
      <w:pPr>
        <w:spacing w:line="244" w:lineRule="auto"/>
        <w:rPr>
          <w:rFonts w:ascii="Arial"/>
          <w:sz w:val="21"/>
        </w:rPr>
      </w:pPr>
    </w:p>
    <w:p w14:paraId="53FDCD67">
      <w:pPr>
        <w:spacing w:line="244" w:lineRule="auto"/>
        <w:rPr>
          <w:rFonts w:ascii="Arial"/>
          <w:sz w:val="21"/>
        </w:rPr>
      </w:pPr>
    </w:p>
    <w:p w14:paraId="4280FB59">
      <w:pPr>
        <w:spacing w:line="245" w:lineRule="auto"/>
        <w:rPr>
          <w:rFonts w:ascii="Arial"/>
          <w:sz w:val="21"/>
        </w:rPr>
      </w:pPr>
    </w:p>
    <w:p w14:paraId="23490C9F">
      <w:pPr>
        <w:pStyle w:val="2"/>
        <w:spacing w:before="87" w:line="270" w:lineRule="auto"/>
        <w:ind w:right="74"/>
      </w:pPr>
      <w:r>
        <w:rPr>
          <w:spacing w:val="-3"/>
        </w:rPr>
        <w:t>书中应给出报警和注意事项，并在危险零部件、器材、设备和设施上标出醒目的</w:t>
      </w:r>
      <w:r>
        <w:rPr>
          <w:spacing w:val="14"/>
        </w:rPr>
        <w:t xml:space="preserve"> </w:t>
      </w:r>
      <w:r>
        <w:rPr>
          <w:spacing w:val="-2"/>
        </w:rPr>
        <w:t>标记，以使人员、设备得到保护。这些标记应符合</w:t>
      </w:r>
      <w:r>
        <w:rPr>
          <w:rFonts w:ascii="Times New Roman" w:hAnsi="Times New Roman" w:eastAsia="Times New Roman" w:cs="Times New Roman"/>
          <w:spacing w:val="-2"/>
        </w:rPr>
        <w:t>GB  2894</w:t>
      </w:r>
      <w:r>
        <w:rPr>
          <w:spacing w:val="-2"/>
        </w:rPr>
        <w:t>的有关规定；</w:t>
      </w:r>
    </w:p>
    <w:p w14:paraId="1B3CDDA5">
      <w:pPr>
        <w:pStyle w:val="2"/>
        <w:spacing w:line="212" w:lineRule="auto"/>
        <w:ind w:left="550"/>
      </w:pPr>
      <w:r>
        <w:rPr>
          <w:rFonts w:ascii="Times New Roman" w:hAnsi="Times New Roman" w:eastAsia="Times New Roman" w:cs="Times New Roman"/>
          <w:spacing w:val="3"/>
        </w:rPr>
        <w:t>i)</w:t>
      </w:r>
      <w:r>
        <w:rPr>
          <w:rFonts w:ascii="Times New Roman" w:hAnsi="Times New Roman" w:eastAsia="Times New Roman" w:cs="Times New Roman"/>
          <w:spacing w:val="68"/>
        </w:rPr>
        <w:t xml:space="preserve"> </w:t>
      </w:r>
      <w:r>
        <w:rPr>
          <w:spacing w:val="3"/>
        </w:rPr>
        <w:t>尽量减轻事故中人员的伤害和设备的损坏；</w:t>
      </w:r>
    </w:p>
    <w:p w14:paraId="7A212F4A">
      <w:pPr>
        <w:pStyle w:val="2"/>
        <w:spacing w:before="130" w:line="212" w:lineRule="auto"/>
        <w:ind w:left="550"/>
        <w:rPr>
          <w:sz w:val="25"/>
          <w:szCs w:val="25"/>
        </w:rPr>
      </w:pPr>
      <w:r>
        <w:rPr>
          <w:rFonts w:ascii="Times New Roman" w:hAnsi="Times New Roman" w:eastAsia="Times New Roman" w:cs="Times New Roman"/>
          <w:spacing w:val="20"/>
          <w:sz w:val="25"/>
          <w:szCs w:val="25"/>
        </w:rPr>
        <w:t>j)</w:t>
      </w:r>
      <w:r>
        <w:rPr>
          <w:rFonts w:ascii="Times New Roman" w:hAnsi="Times New Roman" w:eastAsia="Times New Roman" w:cs="Times New Roman"/>
          <w:spacing w:val="2"/>
          <w:sz w:val="25"/>
          <w:szCs w:val="25"/>
        </w:rPr>
        <w:t xml:space="preserve">  </w:t>
      </w:r>
      <w:r>
        <w:rPr>
          <w:spacing w:val="20"/>
          <w:sz w:val="25"/>
          <w:szCs w:val="25"/>
        </w:rPr>
        <w:t>设计由软件控制或监测的功能，以尽可能减少危险事</w:t>
      </w:r>
      <w:r>
        <w:rPr>
          <w:spacing w:val="19"/>
          <w:sz w:val="25"/>
          <w:szCs w:val="25"/>
        </w:rPr>
        <w:t>件或事故的发生；</w:t>
      </w:r>
    </w:p>
    <w:p w14:paraId="1D66704D">
      <w:pPr>
        <w:pStyle w:val="2"/>
        <w:spacing w:before="42" w:line="273" w:lineRule="auto"/>
        <w:ind w:right="63" w:firstLine="550"/>
      </w:pPr>
      <w:r>
        <w:rPr>
          <w:rFonts w:ascii="Times New Roman" w:hAnsi="Times New Roman" w:eastAsia="Times New Roman" w:cs="Times New Roman"/>
          <w:spacing w:val="11"/>
        </w:rPr>
        <w:t xml:space="preserve">k)  </w:t>
      </w:r>
      <w:r>
        <w:rPr>
          <w:spacing w:val="11"/>
        </w:rPr>
        <w:t>评审设计准则中对安全性不足或限制</w:t>
      </w:r>
      <w:r>
        <w:rPr>
          <w:spacing w:val="10"/>
        </w:rPr>
        <w:t>过多的要求，根据分析或试验数</w:t>
      </w:r>
      <w:r>
        <w:t xml:space="preserve"> </w:t>
      </w:r>
      <w:r>
        <w:rPr>
          <w:spacing w:val="-11"/>
        </w:rPr>
        <w:t>据，推荐新的设计准则；</w:t>
      </w:r>
    </w:p>
    <w:p w14:paraId="229A17C4">
      <w:pPr>
        <w:pStyle w:val="2"/>
        <w:spacing w:before="91" w:line="272" w:lineRule="auto"/>
        <w:ind w:right="63" w:firstLine="550"/>
      </w:pPr>
      <w:r>
        <w:rPr>
          <w:spacing w:val="14"/>
        </w:rPr>
        <w:t>1)必须消除</w:t>
      </w:r>
      <w:r>
        <w:rPr>
          <w:spacing w:val="-78"/>
        </w:rPr>
        <w:t xml:space="preserve"> </w:t>
      </w:r>
      <w:r>
        <w:rPr>
          <w:rFonts w:ascii="Times New Roman" w:hAnsi="Times New Roman" w:eastAsia="Times New Roman" w:cs="Times New Roman"/>
          <w:spacing w:val="14"/>
        </w:rPr>
        <w:t>I</w:t>
      </w:r>
      <w:r>
        <w:rPr>
          <w:rFonts w:ascii="Times New Roman" w:hAnsi="Times New Roman" w:eastAsia="Times New Roman" w:cs="Times New Roman"/>
        </w:rPr>
        <w:t xml:space="preserve">  </w:t>
      </w:r>
      <w:r>
        <w:rPr>
          <w:spacing w:val="14"/>
        </w:rPr>
        <w:t>级的和Ⅱ级的危险或将其相关的</w:t>
      </w:r>
      <w:r>
        <w:rPr>
          <w:spacing w:val="13"/>
        </w:rPr>
        <w:t>风险减少到订购方可接受</w:t>
      </w:r>
      <w:r>
        <w:rPr>
          <w:spacing w:val="1"/>
        </w:rPr>
        <w:t xml:space="preserve"> </w:t>
      </w:r>
      <w:r>
        <w:rPr>
          <w:rFonts w:ascii="仿宋" w:hAnsi="仿宋" w:eastAsia="仿宋" w:cs="仿宋"/>
          <w:spacing w:val="-1"/>
        </w:rPr>
        <w:t>水平。</w:t>
      </w:r>
      <w:r>
        <w:rPr>
          <w:spacing w:val="-1"/>
        </w:rPr>
        <w:t>若无有效的措施，则应向订购方推荐替换的设计方案。</w:t>
      </w:r>
    </w:p>
    <w:p w14:paraId="73239B87">
      <w:pPr>
        <w:spacing w:before="1" w:line="222" w:lineRule="auto"/>
        <w:rPr>
          <w:rFonts w:ascii="黑体" w:hAnsi="黑体" w:eastAsia="黑体" w:cs="黑体"/>
          <w:sz w:val="27"/>
          <w:szCs w:val="27"/>
        </w:rPr>
      </w:pPr>
      <w:r>
        <w:rPr>
          <w:rFonts w:ascii="黑体" w:hAnsi="黑体" w:eastAsia="黑体" w:cs="黑体"/>
          <w:spacing w:val="2"/>
          <w:sz w:val="27"/>
          <w:szCs w:val="27"/>
        </w:rPr>
        <w:t xml:space="preserve">4.5  </w:t>
      </w:r>
      <w:r>
        <w:rPr>
          <w:rFonts w:ascii="黑体" w:hAnsi="黑体" w:eastAsia="黑体" w:cs="黑体"/>
          <w:b/>
          <w:bCs/>
          <w:spacing w:val="2"/>
          <w:sz w:val="27"/>
          <w:szCs w:val="27"/>
        </w:rPr>
        <w:t>安全性措施优先次序要求</w:t>
      </w:r>
    </w:p>
    <w:p w14:paraId="1C97696A">
      <w:pPr>
        <w:pStyle w:val="2"/>
        <w:spacing w:before="87" w:line="219" w:lineRule="auto"/>
        <w:ind w:left="550"/>
      </w:pPr>
      <w:r>
        <w:rPr>
          <w:spacing w:val="2"/>
        </w:rPr>
        <w:t>系统采取安全性措施的优先次序如下：</w:t>
      </w:r>
    </w:p>
    <w:p w14:paraId="40D3427A">
      <w:pPr>
        <w:pStyle w:val="2"/>
        <w:spacing w:before="62" w:line="253" w:lineRule="auto"/>
        <w:ind w:right="63" w:firstLine="550"/>
      </w:pPr>
      <w:r>
        <w:rPr>
          <w:rFonts w:ascii="Times New Roman" w:hAnsi="Times New Roman" w:eastAsia="Times New Roman" w:cs="Times New Roman"/>
          <w:spacing w:val="3"/>
        </w:rPr>
        <w:t>a)</w:t>
      </w:r>
      <w:r>
        <w:rPr>
          <w:rFonts w:ascii="Times New Roman" w:hAnsi="Times New Roman" w:eastAsia="Times New Roman" w:cs="Times New Roman"/>
          <w:spacing w:val="74"/>
        </w:rPr>
        <w:t xml:space="preserve"> </w:t>
      </w:r>
      <w:r>
        <w:rPr>
          <w:spacing w:val="3"/>
        </w:rPr>
        <w:t>最小风险设计。首先在设计上消除危险，若不能消除已判定的危险，应</w:t>
      </w:r>
      <w:r>
        <w:t xml:space="preserve"> </w:t>
      </w:r>
      <w:r>
        <w:rPr>
          <w:spacing w:val="4"/>
        </w:rPr>
        <w:t>通过设计方案的选择将其风险减少到订购方规定的可接受水平。</w:t>
      </w:r>
    </w:p>
    <w:p w14:paraId="0A2FB3A6">
      <w:pPr>
        <w:pStyle w:val="2"/>
        <w:spacing w:before="59" w:line="267" w:lineRule="auto"/>
        <w:ind w:right="61" w:firstLine="550"/>
      </w:pPr>
      <w:r>
        <w:rPr>
          <w:rFonts w:ascii="Times New Roman" w:hAnsi="Times New Roman" w:eastAsia="Times New Roman" w:cs="Times New Roman"/>
          <w:spacing w:val="3"/>
        </w:rPr>
        <w:t xml:space="preserve">b)  </w:t>
      </w:r>
      <w:r>
        <w:rPr>
          <w:spacing w:val="3"/>
        </w:rPr>
        <w:t>采用安全装置。若不能通过设计消除已判</w:t>
      </w:r>
      <w:r>
        <w:rPr>
          <w:spacing w:val="2"/>
        </w:rPr>
        <w:t>定的危险或不能通过设计方案</w:t>
      </w:r>
      <w:r>
        <w:t xml:space="preserve"> </w:t>
      </w:r>
      <w:r>
        <w:rPr>
          <w:spacing w:val="-10"/>
        </w:rPr>
        <w:t>的选择满足订购方的要求，则应采用永久性的、自动的或其他安全防护装置，使风</w:t>
      </w:r>
      <w:r>
        <w:rPr>
          <w:spacing w:val="11"/>
        </w:rPr>
        <w:t xml:space="preserve"> </w:t>
      </w:r>
      <w:r>
        <w:rPr>
          <w:spacing w:val="-7"/>
        </w:rPr>
        <w:t>险减少到订购方可接受水平。可能时，应规定对安全装置作定期功能检查。</w:t>
      </w:r>
    </w:p>
    <w:p w14:paraId="27A69C12">
      <w:pPr>
        <w:pStyle w:val="2"/>
        <w:spacing w:before="56" w:line="269" w:lineRule="auto"/>
        <w:ind w:right="62" w:firstLine="550"/>
      </w:pPr>
      <w:r>
        <w:rPr>
          <w:rFonts w:ascii="Times New Roman" w:hAnsi="Times New Roman" w:eastAsia="Times New Roman" w:cs="Times New Roman"/>
          <w:spacing w:val="12"/>
        </w:rPr>
        <w:t>c)</w:t>
      </w:r>
      <w:r>
        <w:rPr>
          <w:rFonts w:ascii="Times New Roman" w:hAnsi="Times New Roman" w:eastAsia="Times New Roman" w:cs="Times New Roman"/>
          <w:spacing w:val="62"/>
        </w:rPr>
        <w:t xml:space="preserve"> </w:t>
      </w:r>
      <w:r>
        <w:rPr>
          <w:spacing w:val="12"/>
        </w:rPr>
        <w:t>采用报警装置。若设计和安全装置都不能有效地消除已判定的危</w:t>
      </w:r>
      <w:r>
        <w:rPr>
          <w:spacing w:val="11"/>
        </w:rPr>
        <w:t>险或</w:t>
      </w:r>
      <w:r>
        <w:t xml:space="preserve"> </w:t>
      </w:r>
      <w:r>
        <w:rPr>
          <w:spacing w:val="-2"/>
        </w:rPr>
        <w:t>满足订购方的要求，则应采用报警装置来检测出危险状</w:t>
      </w:r>
      <w:r>
        <w:rPr>
          <w:spacing w:val="-3"/>
        </w:rPr>
        <w:t>况，并向有关人员发出适</w:t>
      </w:r>
      <w:r>
        <w:t xml:space="preserve"> </w:t>
      </w:r>
      <w:r>
        <w:rPr>
          <w:spacing w:val="5"/>
        </w:rPr>
        <w:t>当的报警信号。报警信号应明显，以尽量减少人员对信号作出错误反应的可能</w:t>
      </w:r>
      <w:r>
        <w:rPr>
          <w:spacing w:val="2"/>
        </w:rPr>
        <w:t xml:space="preserve"> </w:t>
      </w:r>
      <w:r>
        <w:rPr>
          <w:spacing w:val="-6"/>
        </w:rPr>
        <w:t>性，并应在同类系统内标准化。</w:t>
      </w:r>
    </w:p>
    <w:p w14:paraId="2385B41D">
      <w:pPr>
        <w:pStyle w:val="2"/>
        <w:spacing w:before="68" w:line="271" w:lineRule="auto"/>
        <w:ind w:right="62" w:firstLine="550"/>
      </w:pPr>
      <w:r>
        <w:rPr>
          <w:rFonts w:ascii="Times New Roman" w:hAnsi="Times New Roman" w:eastAsia="Times New Roman" w:cs="Times New Roman"/>
          <w:spacing w:val="3"/>
        </w:rPr>
        <w:t xml:space="preserve">d)  </w:t>
      </w:r>
      <w:r>
        <w:rPr>
          <w:spacing w:val="3"/>
        </w:rPr>
        <w:t>制定专用规程和进行培训。若通过设</w:t>
      </w:r>
      <w:r>
        <w:rPr>
          <w:spacing w:val="2"/>
        </w:rPr>
        <w:t>计方案的选择不能消除危险，或采</w:t>
      </w:r>
      <w:r>
        <w:t xml:space="preserve"> </w:t>
      </w:r>
      <w:r>
        <w:rPr>
          <w:spacing w:val="5"/>
        </w:rPr>
        <w:t>用安全装置和报警装置也不能满足订购方的要求，则应制定专用的规程和进行</w:t>
      </w:r>
      <w:r>
        <w:rPr>
          <w:spacing w:val="2"/>
        </w:rPr>
        <w:t xml:space="preserve"> </w:t>
      </w:r>
      <w:r>
        <w:rPr>
          <w:spacing w:val="-1"/>
        </w:rPr>
        <w:t>培训。除非订购方放弃要求，对于</w:t>
      </w:r>
      <w:r>
        <w:rPr>
          <w:rFonts w:ascii="Times New Roman" w:hAnsi="Times New Roman" w:eastAsia="Times New Roman" w:cs="Times New Roman"/>
          <w:spacing w:val="-1"/>
        </w:rPr>
        <w:t xml:space="preserve">I  </w:t>
      </w:r>
      <w:r>
        <w:rPr>
          <w:spacing w:val="-1"/>
        </w:rPr>
        <w:t>级和Ⅱ级危险决不能仅仅使用报警</w:t>
      </w:r>
      <w:r>
        <w:rPr>
          <w:spacing w:val="-2"/>
        </w:rPr>
        <w:t>、注意事</w:t>
      </w:r>
      <w:r>
        <w:t xml:space="preserve"> </w:t>
      </w:r>
      <w:r>
        <w:rPr>
          <w:spacing w:val="6"/>
        </w:rPr>
        <w:t>项或其他形式的提醒作为唯一的减少风险的方法</w:t>
      </w:r>
      <w:r>
        <w:rPr>
          <w:spacing w:val="5"/>
        </w:rPr>
        <w:t>。专用的规程包括个人防护装</w:t>
      </w:r>
      <w:r>
        <w:t xml:space="preserve"> 置的使用方法。对于关键的工作，必要时应要求考核人员</w:t>
      </w:r>
      <w:r>
        <w:rPr>
          <w:spacing w:val="-1"/>
        </w:rPr>
        <w:t>的熟练程度。</w:t>
      </w:r>
    </w:p>
    <w:p w14:paraId="69905BC2">
      <w:pPr>
        <w:spacing w:before="84" w:line="222" w:lineRule="auto"/>
        <w:rPr>
          <w:rFonts w:ascii="黑体" w:hAnsi="黑体" w:eastAsia="黑体" w:cs="黑体"/>
          <w:sz w:val="27"/>
          <w:szCs w:val="27"/>
        </w:rPr>
      </w:pPr>
      <w:r>
        <w:rPr>
          <w:rFonts w:ascii="黑体" w:hAnsi="黑体" w:eastAsia="黑体" w:cs="黑体"/>
          <w:spacing w:val="-1"/>
          <w:sz w:val="27"/>
          <w:szCs w:val="27"/>
        </w:rPr>
        <w:t>4.6</w:t>
      </w:r>
      <w:r>
        <w:rPr>
          <w:rFonts w:ascii="黑体" w:hAnsi="黑体" w:eastAsia="黑体" w:cs="黑体"/>
          <w:spacing w:val="23"/>
          <w:sz w:val="27"/>
          <w:szCs w:val="27"/>
        </w:rPr>
        <w:t xml:space="preserve">  </w:t>
      </w:r>
      <w:r>
        <w:rPr>
          <w:rFonts w:ascii="黑体" w:hAnsi="黑体" w:eastAsia="黑体" w:cs="黑体"/>
          <w:b/>
          <w:bCs/>
          <w:spacing w:val="-1"/>
          <w:sz w:val="27"/>
          <w:szCs w:val="27"/>
        </w:rPr>
        <w:t>风险评价</w:t>
      </w:r>
    </w:p>
    <w:p w14:paraId="0BEDABEC">
      <w:pPr>
        <w:pStyle w:val="2"/>
        <w:spacing w:before="108" w:line="275" w:lineRule="auto"/>
        <w:ind w:right="62" w:firstLine="550"/>
      </w:pPr>
      <w:r>
        <w:rPr>
          <w:spacing w:val="-3"/>
        </w:rPr>
        <w:t>应按危险严重性和危险可能性划分危险的等级，进行风险评价，并根据有关</w:t>
      </w:r>
      <w:r>
        <w:rPr>
          <w:spacing w:val="10"/>
        </w:rPr>
        <w:t xml:space="preserve"> </w:t>
      </w:r>
      <w:r>
        <w:rPr>
          <w:spacing w:val="3"/>
        </w:rPr>
        <w:t>风险的评价决定对已判定的危险的处理方法。</w:t>
      </w:r>
    </w:p>
    <w:p w14:paraId="20D2AD55">
      <w:pPr>
        <w:pStyle w:val="2"/>
        <w:spacing w:before="9" w:line="219" w:lineRule="auto"/>
        <w:ind w:left="550"/>
      </w:pPr>
      <w:r>
        <w:rPr>
          <w:spacing w:val="7"/>
        </w:rPr>
        <w:t>危险严重性等级给出危险严重程度定性的度量。其规定见表11.</w:t>
      </w:r>
      <w:r>
        <w:rPr>
          <w:spacing w:val="6"/>
        </w:rPr>
        <w:t>1。</w:t>
      </w:r>
    </w:p>
    <w:p w14:paraId="7FD3488E">
      <w:pPr>
        <w:spacing w:before="84" w:line="220" w:lineRule="auto"/>
        <w:ind w:left="3189"/>
        <w:rPr>
          <w:rFonts w:ascii="仿宋" w:hAnsi="仿宋" w:eastAsia="仿宋" w:cs="仿宋"/>
          <w:sz w:val="27"/>
          <w:szCs w:val="27"/>
        </w:rPr>
      </w:pPr>
      <w:r>
        <w:rPr>
          <w:rFonts w:ascii="仿宋" w:hAnsi="仿宋" w:eastAsia="仿宋" w:cs="仿宋"/>
          <w:spacing w:val="5"/>
          <w:sz w:val="27"/>
          <w:szCs w:val="27"/>
        </w:rPr>
        <w:t>表11.</w:t>
      </w:r>
      <w:r>
        <w:rPr>
          <w:rFonts w:ascii="仿宋" w:hAnsi="仿宋" w:eastAsia="仿宋" w:cs="仿宋"/>
          <w:spacing w:val="-78"/>
          <w:sz w:val="27"/>
          <w:szCs w:val="27"/>
        </w:rPr>
        <w:t xml:space="preserve"> </w:t>
      </w:r>
      <w:r>
        <w:rPr>
          <w:rFonts w:ascii="仿宋" w:hAnsi="仿宋" w:eastAsia="仿宋" w:cs="仿宋"/>
          <w:spacing w:val="5"/>
          <w:sz w:val="27"/>
          <w:szCs w:val="27"/>
        </w:rPr>
        <w:t>1</w:t>
      </w:r>
      <w:r>
        <w:rPr>
          <w:rFonts w:ascii="仿宋" w:hAnsi="仿宋" w:eastAsia="仿宋" w:cs="仿宋"/>
          <w:spacing w:val="126"/>
          <w:sz w:val="27"/>
          <w:szCs w:val="27"/>
        </w:rPr>
        <w:t xml:space="preserve"> </w:t>
      </w:r>
      <w:r>
        <w:rPr>
          <w:rFonts w:ascii="仿宋" w:hAnsi="仿宋" w:eastAsia="仿宋" w:cs="仿宋"/>
          <w:spacing w:val="5"/>
          <w:sz w:val="27"/>
          <w:szCs w:val="27"/>
        </w:rPr>
        <w:t>危险严重性等级</w:t>
      </w:r>
    </w:p>
    <w:p w14:paraId="428CA6F1">
      <w:pPr>
        <w:spacing w:line="98" w:lineRule="exact"/>
      </w:pPr>
    </w:p>
    <w:tbl>
      <w:tblPr>
        <w:tblStyle w:val="5"/>
        <w:tblW w:w="937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42"/>
        <w:gridCol w:w="6228"/>
      </w:tblGrid>
      <w:tr w14:paraId="1E9A1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3142" w:type="dxa"/>
            <w:vAlign w:val="top"/>
          </w:tcPr>
          <w:p w14:paraId="51544ADB">
            <w:pPr>
              <w:spacing w:before="93" w:line="219" w:lineRule="auto"/>
              <w:ind w:left="1295"/>
              <w:rPr>
                <w:rFonts w:ascii="宋体" w:hAnsi="宋体" w:eastAsia="宋体" w:cs="宋体"/>
                <w:sz w:val="21"/>
                <w:szCs w:val="21"/>
              </w:rPr>
            </w:pPr>
            <w:r>
              <w:rPr>
                <w:rFonts w:ascii="宋体" w:hAnsi="宋体" w:eastAsia="宋体" w:cs="宋体"/>
                <w:spacing w:val="-5"/>
                <w:sz w:val="21"/>
                <w:szCs w:val="21"/>
              </w:rPr>
              <w:t>等</w:t>
            </w:r>
            <w:r>
              <w:rPr>
                <w:rFonts w:ascii="宋体" w:hAnsi="宋体" w:eastAsia="宋体" w:cs="宋体"/>
                <w:spacing w:val="39"/>
                <w:sz w:val="21"/>
                <w:szCs w:val="21"/>
              </w:rPr>
              <w:t xml:space="preserve"> </w:t>
            </w:r>
            <w:r>
              <w:rPr>
                <w:rFonts w:ascii="宋体" w:hAnsi="宋体" w:eastAsia="宋体" w:cs="宋体"/>
                <w:spacing w:val="-5"/>
                <w:sz w:val="21"/>
                <w:szCs w:val="21"/>
              </w:rPr>
              <w:t>级</w:t>
            </w:r>
          </w:p>
        </w:tc>
        <w:tc>
          <w:tcPr>
            <w:tcW w:w="6228" w:type="dxa"/>
            <w:vAlign w:val="top"/>
          </w:tcPr>
          <w:p w14:paraId="208AF938">
            <w:pPr>
              <w:spacing w:before="93" w:line="219" w:lineRule="auto"/>
              <w:ind w:left="2363"/>
              <w:rPr>
                <w:rFonts w:ascii="宋体" w:hAnsi="宋体" w:eastAsia="宋体" w:cs="宋体"/>
                <w:sz w:val="21"/>
                <w:szCs w:val="21"/>
              </w:rPr>
            </w:pPr>
            <w:r>
              <w:rPr>
                <w:rFonts w:ascii="宋体" w:hAnsi="宋体" w:eastAsia="宋体" w:cs="宋体"/>
                <w:spacing w:val="-8"/>
                <w:sz w:val="21"/>
                <w:szCs w:val="21"/>
              </w:rPr>
              <w:t>事</w:t>
            </w:r>
            <w:r>
              <w:rPr>
                <w:rFonts w:ascii="宋体" w:hAnsi="宋体" w:eastAsia="宋体" w:cs="宋体"/>
                <w:spacing w:val="12"/>
                <w:sz w:val="21"/>
                <w:szCs w:val="21"/>
              </w:rPr>
              <w:t xml:space="preserve">  </w:t>
            </w:r>
            <w:r>
              <w:rPr>
                <w:rFonts w:ascii="宋体" w:hAnsi="宋体" w:eastAsia="宋体" w:cs="宋体"/>
                <w:spacing w:val="-8"/>
                <w:sz w:val="21"/>
                <w:szCs w:val="21"/>
              </w:rPr>
              <w:t>故</w:t>
            </w:r>
            <w:r>
              <w:rPr>
                <w:rFonts w:ascii="宋体" w:hAnsi="宋体" w:eastAsia="宋体" w:cs="宋体"/>
                <w:spacing w:val="13"/>
                <w:sz w:val="21"/>
                <w:szCs w:val="21"/>
              </w:rPr>
              <w:t xml:space="preserve">  </w:t>
            </w:r>
            <w:r>
              <w:rPr>
                <w:rFonts w:ascii="宋体" w:hAnsi="宋体" w:eastAsia="宋体" w:cs="宋体"/>
                <w:spacing w:val="-8"/>
                <w:sz w:val="21"/>
                <w:szCs w:val="21"/>
              </w:rPr>
              <w:t>说</w:t>
            </w:r>
            <w:r>
              <w:rPr>
                <w:rFonts w:ascii="宋体" w:hAnsi="宋体" w:eastAsia="宋体" w:cs="宋体"/>
                <w:spacing w:val="20"/>
                <w:sz w:val="21"/>
                <w:szCs w:val="21"/>
              </w:rPr>
              <w:t xml:space="preserve">  </w:t>
            </w:r>
            <w:r>
              <w:rPr>
                <w:rFonts w:ascii="宋体" w:hAnsi="宋体" w:eastAsia="宋体" w:cs="宋体"/>
                <w:spacing w:val="-8"/>
                <w:sz w:val="21"/>
                <w:szCs w:val="21"/>
              </w:rPr>
              <w:t>明</w:t>
            </w:r>
          </w:p>
        </w:tc>
      </w:tr>
      <w:tr w14:paraId="11648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7" w:hRule="atLeast"/>
        </w:trPr>
        <w:tc>
          <w:tcPr>
            <w:tcW w:w="3142" w:type="dxa"/>
            <w:vAlign w:val="top"/>
          </w:tcPr>
          <w:p w14:paraId="01AF003E">
            <w:pPr>
              <w:spacing w:before="131" w:line="221" w:lineRule="auto"/>
              <w:ind w:left="1085"/>
              <w:rPr>
                <w:rFonts w:ascii="宋体" w:hAnsi="宋体" w:eastAsia="宋体" w:cs="宋体"/>
                <w:sz w:val="21"/>
                <w:szCs w:val="21"/>
              </w:rPr>
            </w:pPr>
            <w:r>
              <w:rPr>
                <w:rFonts w:ascii="宋体" w:hAnsi="宋体" w:eastAsia="宋体" w:cs="宋体"/>
                <w:spacing w:val="8"/>
                <w:sz w:val="21"/>
                <w:szCs w:val="21"/>
              </w:rPr>
              <w:t>I(灾难的)</w:t>
            </w:r>
          </w:p>
          <w:p w14:paraId="4858D0C5">
            <w:pPr>
              <w:spacing w:before="98" w:line="220" w:lineRule="auto"/>
              <w:ind w:left="1035"/>
              <w:rPr>
                <w:rFonts w:ascii="宋体" w:hAnsi="宋体" w:eastAsia="宋体" w:cs="宋体"/>
                <w:sz w:val="21"/>
                <w:szCs w:val="21"/>
              </w:rPr>
            </w:pPr>
            <w:r>
              <w:rPr>
                <w:rFonts w:ascii="宋体" w:hAnsi="宋体" w:eastAsia="宋体" w:cs="宋体"/>
                <w:spacing w:val="7"/>
                <w:sz w:val="21"/>
                <w:szCs w:val="21"/>
              </w:rPr>
              <w:t>Ⅱ(严重的)</w:t>
            </w:r>
          </w:p>
          <w:p w14:paraId="0206D7A5">
            <w:pPr>
              <w:spacing w:before="89" w:line="219" w:lineRule="auto"/>
              <w:ind w:left="1035"/>
              <w:rPr>
                <w:rFonts w:ascii="宋体" w:hAnsi="宋体" w:eastAsia="宋体" w:cs="宋体"/>
                <w:sz w:val="21"/>
                <w:szCs w:val="21"/>
              </w:rPr>
            </w:pPr>
            <w:r>
              <w:rPr>
                <w:rFonts w:ascii="宋体" w:hAnsi="宋体" w:eastAsia="宋体" w:cs="宋体"/>
                <w:spacing w:val="7"/>
                <w:sz w:val="21"/>
                <w:szCs w:val="21"/>
              </w:rPr>
              <w:t>Ⅲ(轻度的)</w:t>
            </w:r>
          </w:p>
          <w:p w14:paraId="78E811BD">
            <w:pPr>
              <w:spacing w:before="100" w:line="219" w:lineRule="auto"/>
              <w:ind w:left="1035"/>
              <w:rPr>
                <w:rFonts w:ascii="宋体" w:hAnsi="宋体" w:eastAsia="宋体" w:cs="宋体"/>
                <w:sz w:val="21"/>
                <w:szCs w:val="21"/>
              </w:rPr>
            </w:pPr>
            <w:r>
              <w:rPr>
                <w:rFonts w:ascii="宋体" w:hAnsi="宋体" w:eastAsia="宋体" w:cs="宋体"/>
                <w:sz w:val="21"/>
                <w:szCs w:val="21"/>
              </w:rPr>
              <w:t>IV</w:t>
            </w:r>
            <w:r>
              <w:rPr>
                <w:rFonts w:ascii="宋体" w:hAnsi="宋体" w:eastAsia="宋体" w:cs="宋体"/>
                <w:spacing w:val="9"/>
                <w:sz w:val="21"/>
                <w:szCs w:val="21"/>
              </w:rPr>
              <w:t>(轻微的)</w:t>
            </w:r>
          </w:p>
        </w:tc>
        <w:tc>
          <w:tcPr>
            <w:tcW w:w="6228" w:type="dxa"/>
            <w:vAlign w:val="top"/>
          </w:tcPr>
          <w:p w14:paraId="3B5C2EBD">
            <w:pPr>
              <w:spacing w:before="130" w:line="219" w:lineRule="auto"/>
              <w:ind w:left="133"/>
              <w:rPr>
                <w:rFonts w:ascii="宋体" w:hAnsi="宋体" w:eastAsia="宋体" w:cs="宋体"/>
                <w:sz w:val="21"/>
                <w:szCs w:val="21"/>
              </w:rPr>
            </w:pPr>
            <w:r>
              <w:rPr>
                <w:rFonts w:ascii="宋体" w:hAnsi="宋体" w:eastAsia="宋体" w:cs="宋体"/>
                <w:spacing w:val="1"/>
                <w:sz w:val="21"/>
                <w:szCs w:val="21"/>
              </w:rPr>
              <w:t>人员死亡或系统报废</w:t>
            </w:r>
          </w:p>
          <w:p w14:paraId="3A9F9D25">
            <w:pPr>
              <w:spacing w:before="90" w:line="295" w:lineRule="auto"/>
              <w:ind w:left="133" w:right="2083"/>
              <w:rPr>
                <w:rFonts w:ascii="宋体" w:hAnsi="宋体" w:eastAsia="宋体" w:cs="宋体"/>
                <w:sz w:val="21"/>
                <w:szCs w:val="21"/>
              </w:rPr>
            </w:pPr>
            <w:r>
              <w:rPr>
                <w:rFonts w:ascii="宋体" w:hAnsi="宋体" w:eastAsia="宋体" w:cs="宋体"/>
                <w:sz w:val="21"/>
                <w:szCs w:val="21"/>
              </w:rPr>
              <w:t>人员严重受伤、严重职业病或系统严重损坏</w:t>
            </w:r>
            <w:r>
              <w:rPr>
                <w:rFonts w:ascii="宋体" w:hAnsi="宋体" w:eastAsia="宋体" w:cs="宋体"/>
                <w:spacing w:val="10"/>
                <w:sz w:val="21"/>
                <w:szCs w:val="21"/>
              </w:rPr>
              <w:t xml:space="preserve"> </w:t>
            </w:r>
            <w:r>
              <w:rPr>
                <w:rFonts w:ascii="宋体" w:hAnsi="宋体" w:eastAsia="宋体" w:cs="宋体"/>
                <w:sz w:val="21"/>
                <w:szCs w:val="21"/>
              </w:rPr>
              <w:t>人员轻度受伤、轻度职业病或系统轻度损坏</w:t>
            </w:r>
            <w:r>
              <w:rPr>
                <w:rFonts w:ascii="宋体" w:hAnsi="宋体" w:eastAsia="宋体" w:cs="宋体"/>
                <w:spacing w:val="10"/>
                <w:sz w:val="21"/>
                <w:szCs w:val="21"/>
              </w:rPr>
              <w:t xml:space="preserve"> </w:t>
            </w:r>
            <w:r>
              <w:rPr>
                <w:rFonts w:ascii="宋体" w:hAnsi="宋体" w:eastAsia="宋体" w:cs="宋体"/>
                <w:spacing w:val="-2"/>
                <w:sz w:val="21"/>
                <w:szCs w:val="21"/>
              </w:rPr>
              <w:t>轻于Ⅲ级的损伤</w:t>
            </w:r>
          </w:p>
        </w:tc>
      </w:tr>
    </w:tbl>
    <w:p w14:paraId="7E2BBD4C">
      <w:pPr>
        <w:spacing w:line="198" w:lineRule="exact"/>
        <w:rPr>
          <w:rFonts w:ascii="Arial"/>
          <w:sz w:val="17"/>
        </w:rPr>
      </w:pPr>
    </w:p>
    <w:p w14:paraId="0A62326A">
      <w:pPr>
        <w:spacing w:line="198" w:lineRule="exact"/>
        <w:rPr>
          <w:rFonts w:ascii="Arial" w:hAnsi="Arial" w:eastAsia="Arial" w:cs="Arial"/>
          <w:sz w:val="17"/>
          <w:szCs w:val="17"/>
        </w:rPr>
        <w:sectPr>
          <w:footerReference r:id="rId539" w:type="default"/>
          <w:pgSz w:w="11910" w:h="17130"/>
          <w:pgMar w:top="400" w:right="1314" w:bottom="1696" w:left="1160" w:header="0" w:footer="1506" w:gutter="0"/>
          <w:cols w:space="720" w:num="1"/>
        </w:sectPr>
      </w:pPr>
    </w:p>
    <w:p w14:paraId="251D4DA1">
      <w:pPr>
        <w:spacing w:line="269" w:lineRule="auto"/>
        <w:rPr>
          <w:rFonts w:ascii="Arial"/>
          <w:sz w:val="21"/>
        </w:rPr>
      </w:pPr>
    </w:p>
    <w:p w14:paraId="73454B69">
      <w:pPr>
        <w:spacing w:line="269" w:lineRule="auto"/>
        <w:rPr>
          <w:rFonts w:ascii="Arial"/>
          <w:sz w:val="21"/>
        </w:rPr>
      </w:pPr>
    </w:p>
    <w:p w14:paraId="6B18B15A">
      <w:pPr>
        <w:spacing w:line="269" w:lineRule="auto"/>
        <w:rPr>
          <w:rFonts w:ascii="Arial"/>
          <w:sz w:val="21"/>
        </w:rPr>
      </w:pPr>
    </w:p>
    <w:p w14:paraId="4B474E25">
      <w:pPr>
        <w:spacing w:line="270" w:lineRule="auto"/>
        <w:rPr>
          <w:rFonts w:ascii="Arial"/>
          <w:sz w:val="21"/>
        </w:rPr>
      </w:pPr>
    </w:p>
    <w:p w14:paraId="38F7802A">
      <w:pPr>
        <w:pStyle w:val="2"/>
        <w:spacing w:before="88" w:line="297" w:lineRule="auto"/>
        <w:ind w:right="46" w:firstLine="529"/>
      </w:pPr>
      <w:r>
        <w:rPr>
          <w:spacing w:val="-3"/>
        </w:rPr>
        <w:t>对于具体的系统应给出系统报废、系统严重或轻度损坏、严重或轻度职业病</w:t>
      </w:r>
      <w:r>
        <w:rPr>
          <w:spacing w:val="16"/>
        </w:rPr>
        <w:t xml:space="preserve"> </w:t>
      </w:r>
      <w:r>
        <w:rPr>
          <w:spacing w:val="3"/>
        </w:rPr>
        <w:t>明确的规定。其规定应得到订购方和承制方双方的认可。</w:t>
      </w:r>
    </w:p>
    <w:p w14:paraId="1A515D4E">
      <w:pPr>
        <w:pStyle w:val="2"/>
        <w:spacing w:line="219" w:lineRule="auto"/>
        <w:ind w:left="529"/>
      </w:pPr>
      <w:r>
        <w:rPr>
          <w:spacing w:val="4"/>
        </w:rPr>
        <w:t>危险可能性等级给出发生危险的可能程度的定性度量，</w:t>
      </w:r>
      <w:r>
        <w:rPr>
          <w:spacing w:val="3"/>
        </w:rPr>
        <w:t>其规定见表11.2。</w:t>
      </w:r>
    </w:p>
    <w:p w14:paraId="26179201">
      <w:pPr>
        <w:spacing w:before="74" w:line="220" w:lineRule="auto"/>
        <w:ind w:left="3150"/>
        <w:rPr>
          <w:rFonts w:ascii="仿宋" w:hAnsi="仿宋" w:eastAsia="仿宋" w:cs="仿宋"/>
          <w:sz w:val="27"/>
          <w:szCs w:val="27"/>
        </w:rPr>
      </w:pPr>
      <w:r>
        <w:rPr>
          <w:rFonts w:ascii="仿宋" w:hAnsi="仿宋" w:eastAsia="仿宋" w:cs="仿宋"/>
          <w:spacing w:val="8"/>
          <w:sz w:val="27"/>
          <w:szCs w:val="27"/>
        </w:rPr>
        <w:t>表11.2</w:t>
      </w:r>
      <w:r>
        <w:rPr>
          <w:rFonts w:ascii="仿宋" w:hAnsi="仿宋" w:eastAsia="仿宋" w:cs="仿宋"/>
          <w:spacing w:val="6"/>
          <w:sz w:val="27"/>
          <w:szCs w:val="27"/>
        </w:rPr>
        <w:t xml:space="preserve">  </w:t>
      </w:r>
      <w:r>
        <w:rPr>
          <w:rFonts w:ascii="仿宋" w:hAnsi="仿宋" w:eastAsia="仿宋" w:cs="仿宋"/>
          <w:spacing w:val="8"/>
          <w:sz w:val="27"/>
          <w:szCs w:val="27"/>
        </w:rPr>
        <w:t>危险可能性等级</w:t>
      </w:r>
    </w:p>
    <w:p w14:paraId="1647F57A">
      <w:pPr>
        <w:spacing w:line="107" w:lineRule="exact"/>
      </w:pPr>
    </w:p>
    <w:tbl>
      <w:tblPr>
        <w:tblStyle w:val="5"/>
        <w:tblW w:w="9370"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3"/>
        <w:gridCol w:w="4395"/>
        <w:gridCol w:w="3312"/>
      </w:tblGrid>
      <w:tr w14:paraId="02851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663" w:type="dxa"/>
            <w:vAlign w:val="top"/>
          </w:tcPr>
          <w:p w14:paraId="29DEF0A0">
            <w:pPr>
              <w:spacing w:before="93" w:line="219" w:lineRule="auto"/>
              <w:ind w:left="545"/>
              <w:rPr>
                <w:rFonts w:ascii="宋体" w:hAnsi="宋体" w:eastAsia="宋体" w:cs="宋体"/>
                <w:sz w:val="21"/>
                <w:szCs w:val="21"/>
              </w:rPr>
            </w:pPr>
            <w:r>
              <w:rPr>
                <w:rFonts w:ascii="宋体" w:hAnsi="宋体" w:eastAsia="宋体" w:cs="宋体"/>
                <w:spacing w:val="-5"/>
                <w:sz w:val="21"/>
                <w:szCs w:val="21"/>
              </w:rPr>
              <w:t>等</w:t>
            </w:r>
            <w:r>
              <w:rPr>
                <w:rFonts w:ascii="宋体" w:hAnsi="宋体" w:eastAsia="宋体" w:cs="宋体"/>
                <w:spacing w:val="69"/>
                <w:sz w:val="21"/>
                <w:szCs w:val="21"/>
              </w:rPr>
              <w:t xml:space="preserve"> </w:t>
            </w:r>
            <w:r>
              <w:rPr>
                <w:rFonts w:ascii="宋体" w:hAnsi="宋体" w:eastAsia="宋体" w:cs="宋体"/>
                <w:spacing w:val="-5"/>
                <w:sz w:val="21"/>
                <w:szCs w:val="21"/>
              </w:rPr>
              <w:t>级</w:t>
            </w:r>
          </w:p>
        </w:tc>
        <w:tc>
          <w:tcPr>
            <w:tcW w:w="4395" w:type="dxa"/>
            <w:vAlign w:val="top"/>
          </w:tcPr>
          <w:p w14:paraId="1134CBD6">
            <w:pPr>
              <w:spacing w:before="93" w:line="219" w:lineRule="auto"/>
              <w:ind w:left="1862"/>
              <w:rPr>
                <w:rFonts w:ascii="宋体" w:hAnsi="宋体" w:eastAsia="宋体" w:cs="宋体"/>
                <w:sz w:val="21"/>
                <w:szCs w:val="21"/>
              </w:rPr>
            </w:pPr>
            <w:r>
              <w:rPr>
                <w:rFonts w:ascii="宋体" w:hAnsi="宋体" w:eastAsia="宋体" w:cs="宋体"/>
                <w:spacing w:val="-5"/>
                <w:sz w:val="21"/>
                <w:szCs w:val="21"/>
              </w:rPr>
              <w:t>个</w:t>
            </w:r>
            <w:r>
              <w:rPr>
                <w:rFonts w:ascii="宋体" w:hAnsi="宋体" w:eastAsia="宋体" w:cs="宋体"/>
                <w:spacing w:val="4"/>
                <w:sz w:val="21"/>
                <w:szCs w:val="21"/>
              </w:rPr>
              <w:t xml:space="preserve"> </w:t>
            </w:r>
            <w:r>
              <w:rPr>
                <w:rFonts w:ascii="宋体" w:hAnsi="宋体" w:eastAsia="宋体" w:cs="宋体"/>
                <w:spacing w:val="-5"/>
                <w:sz w:val="21"/>
                <w:szCs w:val="21"/>
              </w:rPr>
              <w:t>体</w:t>
            </w:r>
          </w:p>
        </w:tc>
        <w:tc>
          <w:tcPr>
            <w:tcW w:w="3312" w:type="dxa"/>
            <w:vAlign w:val="top"/>
          </w:tcPr>
          <w:p w14:paraId="7C5B9D77">
            <w:pPr>
              <w:spacing w:before="94" w:line="221" w:lineRule="auto"/>
              <w:ind w:left="1327"/>
              <w:rPr>
                <w:rFonts w:ascii="宋体" w:hAnsi="宋体" w:eastAsia="宋体" w:cs="宋体"/>
                <w:sz w:val="21"/>
                <w:szCs w:val="21"/>
              </w:rPr>
            </w:pPr>
            <w:r>
              <w:rPr>
                <w:rFonts w:ascii="宋体" w:hAnsi="宋体" w:eastAsia="宋体" w:cs="宋体"/>
                <w:spacing w:val="-7"/>
                <w:sz w:val="21"/>
                <w:szCs w:val="21"/>
              </w:rPr>
              <w:t>总</w:t>
            </w:r>
            <w:r>
              <w:rPr>
                <w:rFonts w:ascii="宋体" w:hAnsi="宋体" w:eastAsia="宋体" w:cs="宋体"/>
                <w:spacing w:val="8"/>
                <w:sz w:val="21"/>
                <w:szCs w:val="21"/>
              </w:rPr>
              <w:t xml:space="preserve"> </w:t>
            </w:r>
            <w:r>
              <w:rPr>
                <w:rFonts w:ascii="宋体" w:hAnsi="宋体" w:eastAsia="宋体" w:cs="宋体"/>
                <w:spacing w:val="-7"/>
                <w:sz w:val="21"/>
                <w:szCs w:val="21"/>
              </w:rPr>
              <w:t>体</w:t>
            </w:r>
          </w:p>
        </w:tc>
      </w:tr>
      <w:tr w14:paraId="2FD1F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663" w:type="dxa"/>
            <w:vAlign w:val="top"/>
          </w:tcPr>
          <w:p w14:paraId="155C121C">
            <w:pPr>
              <w:spacing w:before="100" w:line="219" w:lineRule="auto"/>
              <w:ind w:left="455"/>
              <w:rPr>
                <w:rFonts w:ascii="宋体" w:hAnsi="宋体" w:eastAsia="宋体" w:cs="宋体"/>
                <w:sz w:val="21"/>
                <w:szCs w:val="21"/>
              </w:rPr>
            </w:pPr>
            <w:r>
              <w:rPr>
                <w:rFonts w:ascii="宋体" w:hAnsi="宋体" w:eastAsia="宋体" w:cs="宋体"/>
                <w:spacing w:val="8"/>
                <w:sz w:val="21"/>
                <w:szCs w:val="21"/>
              </w:rPr>
              <w:t>A(频繁)</w:t>
            </w:r>
          </w:p>
        </w:tc>
        <w:tc>
          <w:tcPr>
            <w:tcW w:w="4395" w:type="dxa"/>
            <w:vAlign w:val="top"/>
          </w:tcPr>
          <w:p w14:paraId="0D0B0D14">
            <w:pPr>
              <w:spacing w:before="100" w:line="219" w:lineRule="auto"/>
              <w:ind w:left="142"/>
              <w:rPr>
                <w:rFonts w:ascii="宋体" w:hAnsi="宋体" w:eastAsia="宋体" w:cs="宋体"/>
                <w:sz w:val="21"/>
                <w:szCs w:val="21"/>
              </w:rPr>
            </w:pPr>
            <w:r>
              <w:rPr>
                <w:rFonts w:ascii="宋体" w:hAnsi="宋体" w:eastAsia="宋体" w:cs="宋体"/>
                <w:spacing w:val="-2"/>
                <w:sz w:val="21"/>
                <w:szCs w:val="21"/>
              </w:rPr>
              <w:t>频繁发生</w:t>
            </w:r>
          </w:p>
        </w:tc>
        <w:tc>
          <w:tcPr>
            <w:tcW w:w="3312" w:type="dxa"/>
            <w:vAlign w:val="top"/>
          </w:tcPr>
          <w:p w14:paraId="36FF3329">
            <w:pPr>
              <w:spacing w:before="101" w:line="220" w:lineRule="auto"/>
              <w:ind w:left="136"/>
              <w:rPr>
                <w:rFonts w:ascii="宋体" w:hAnsi="宋体" w:eastAsia="宋体" w:cs="宋体"/>
                <w:sz w:val="21"/>
                <w:szCs w:val="21"/>
              </w:rPr>
            </w:pPr>
            <w:r>
              <w:rPr>
                <w:rFonts w:ascii="宋体" w:hAnsi="宋体" w:eastAsia="宋体" w:cs="宋体"/>
                <w:spacing w:val="-2"/>
                <w:sz w:val="21"/>
                <w:szCs w:val="21"/>
              </w:rPr>
              <w:t>连续发生</w:t>
            </w:r>
          </w:p>
        </w:tc>
      </w:tr>
      <w:tr w14:paraId="21AD1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663" w:type="dxa"/>
            <w:vAlign w:val="top"/>
          </w:tcPr>
          <w:p w14:paraId="0B4C3DD7">
            <w:pPr>
              <w:spacing w:before="103" w:line="220" w:lineRule="auto"/>
              <w:ind w:left="345"/>
              <w:rPr>
                <w:rFonts w:ascii="宋体" w:hAnsi="宋体" w:eastAsia="宋体" w:cs="宋体"/>
                <w:sz w:val="21"/>
                <w:szCs w:val="21"/>
              </w:rPr>
            </w:pPr>
            <w:r>
              <w:rPr>
                <w:rFonts w:ascii="宋体" w:hAnsi="宋体" w:eastAsia="宋体" w:cs="宋体"/>
                <w:spacing w:val="8"/>
                <w:sz w:val="21"/>
                <w:szCs w:val="21"/>
              </w:rPr>
              <w:t>B(很可能)</w:t>
            </w:r>
          </w:p>
        </w:tc>
        <w:tc>
          <w:tcPr>
            <w:tcW w:w="4395" w:type="dxa"/>
            <w:vAlign w:val="top"/>
          </w:tcPr>
          <w:p w14:paraId="216132AA">
            <w:pPr>
              <w:spacing w:before="101" w:line="219" w:lineRule="auto"/>
              <w:ind w:left="142"/>
              <w:rPr>
                <w:rFonts w:ascii="宋体" w:hAnsi="宋体" w:eastAsia="宋体" w:cs="宋体"/>
                <w:sz w:val="21"/>
                <w:szCs w:val="21"/>
              </w:rPr>
            </w:pPr>
            <w:r>
              <w:rPr>
                <w:rFonts w:ascii="宋体" w:hAnsi="宋体" w:eastAsia="宋体" w:cs="宋体"/>
                <w:spacing w:val="-1"/>
                <w:sz w:val="21"/>
                <w:szCs w:val="21"/>
              </w:rPr>
              <w:t>在寿命期内会出现若干次</w:t>
            </w:r>
          </w:p>
        </w:tc>
        <w:tc>
          <w:tcPr>
            <w:tcW w:w="3312" w:type="dxa"/>
            <w:vAlign w:val="top"/>
          </w:tcPr>
          <w:p w14:paraId="75F6C189">
            <w:pPr>
              <w:spacing w:before="103" w:line="220" w:lineRule="auto"/>
              <w:ind w:left="136"/>
              <w:rPr>
                <w:rFonts w:ascii="宋体" w:hAnsi="宋体" w:eastAsia="宋体" w:cs="宋体"/>
                <w:sz w:val="21"/>
                <w:szCs w:val="21"/>
              </w:rPr>
            </w:pPr>
            <w:r>
              <w:rPr>
                <w:rFonts w:ascii="宋体" w:hAnsi="宋体" w:eastAsia="宋体" w:cs="宋体"/>
                <w:spacing w:val="-2"/>
                <w:sz w:val="21"/>
                <w:szCs w:val="21"/>
              </w:rPr>
              <w:t>经常发生</w:t>
            </w:r>
          </w:p>
        </w:tc>
      </w:tr>
      <w:tr w14:paraId="2638A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663" w:type="dxa"/>
            <w:vAlign w:val="top"/>
          </w:tcPr>
          <w:p w14:paraId="6237E81F">
            <w:pPr>
              <w:spacing w:before="104" w:line="220" w:lineRule="auto"/>
              <w:ind w:left="455"/>
              <w:rPr>
                <w:rFonts w:ascii="宋体" w:hAnsi="宋体" w:eastAsia="宋体" w:cs="宋体"/>
                <w:sz w:val="21"/>
                <w:szCs w:val="21"/>
              </w:rPr>
            </w:pPr>
            <w:r>
              <w:rPr>
                <w:rFonts w:ascii="宋体" w:hAnsi="宋体" w:eastAsia="宋体" w:cs="宋体"/>
                <w:spacing w:val="8"/>
                <w:sz w:val="21"/>
                <w:szCs w:val="21"/>
              </w:rPr>
              <w:t>C(有时)</w:t>
            </w:r>
          </w:p>
        </w:tc>
        <w:tc>
          <w:tcPr>
            <w:tcW w:w="4395" w:type="dxa"/>
            <w:vAlign w:val="top"/>
          </w:tcPr>
          <w:p w14:paraId="22BAC568">
            <w:pPr>
              <w:spacing w:before="103" w:line="219" w:lineRule="auto"/>
              <w:ind w:left="142"/>
              <w:rPr>
                <w:rFonts w:ascii="宋体" w:hAnsi="宋体" w:eastAsia="宋体" w:cs="宋体"/>
                <w:sz w:val="21"/>
                <w:szCs w:val="21"/>
              </w:rPr>
            </w:pPr>
            <w:r>
              <w:rPr>
                <w:rFonts w:ascii="宋体" w:hAnsi="宋体" w:eastAsia="宋体" w:cs="宋体"/>
                <w:spacing w:val="-1"/>
                <w:sz w:val="21"/>
                <w:szCs w:val="21"/>
              </w:rPr>
              <w:t>在寿命期内可能有时发生</w:t>
            </w:r>
          </w:p>
        </w:tc>
        <w:tc>
          <w:tcPr>
            <w:tcW w:w="3312" w:type="dxa"/>
            <w:vAlign w:val="top"/>
          </w:tcPr>
          <w:p w14:paraId="081525B9">
            <w:pPr>
              <w:spacing w:before="102" w:line="219" w:lineRule="auto"/>
              <w:ind w:left="136"/>
              <w:rPr>
                <w:rFonts w:ascii="宋体" w:hAnsi="宋体" w:eastAsia="宋体" w:cs="宋体"/>
                <w:sz w:val="21"/>
                <w:szCs w:val="21"/>
              </w:rPr>
            </w:pPr>
            <w:r>
              <w:rPr>
                <w:rFonts w:ascii="宋体" w:hAnsi="宋体" w:eastAsia="宋体" w:cs="宋体"/>
                <w:spacing w:val="-2"/>
                <w:sz w:val="21"/>
                <w:szCs w:val="21"/>
              </w:rPr>
              <w:t>发生若干次</w:t>
            </w:r>
          </w:p>
        </w:tc>
      </w:tr>
      <w:tr w14:paraId="429AC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663" w:type="dxa"/>
            <w:vAlign w:val="top"/>
          </w:tcPr>
          <w:p w14:paraId="7C1FC7F5">
            <w:pPr>
              <w:spacing w:before="106" w:line="220" w:lineRule="auto"/>
              <w:ind w:left="455"/>
              <w:rPr>
                <w:rFonts w:ascii="宋体" w:hAnsi="宋体" w:eastAsia="宋体" w:cs="宋体"/>
                <w:sz w:val="21"/>
                <w:szCs w:val="21"/>
              </w:rPr>
            </w:pPr>
            <w:r>
              <w:rPr>
                <w:rFonts w:ascii="宋体" w:hAnsi="宋体" w:eastAsia="宋体" w:cs="宋体"/>
                <w:spacing w:val="8"/>
                <w:sz w:val="21"/>
                <w:szCs w:val="21"/>
              </w:rPr>
              <w:t>D(极少)</w:t>
            </w:r>
          </w:p>
        </w:tc>
        <w:tc>
          <w:tcPr>
            <w:tcW w:w="4395" w:type="dxa"/>
            <w:vAlign w:val="top"/>
          </w:tcPr>
          <w:p w14:paraId="1185449A">
            <w:pPr>
              <w:spacing w:before="105" w:line="219" w:lineRule="auto"/>
              <w:ind w:left="142"/>
              <w:rPr>
                <w:rFonts w:ascii="宋体" w:hAnsi="宋体" w:eastAsia="宋体" w:cs="宋体"/>
                <w:sz w:val="21"/>
                <w:szCs w:val="21"/>
              </w:rPr>
            </w:pPr>
            <w:r>
              <w:rPr>
                <w:rFonts w:ascii="宋体" w:hAnsi="宋体" w:eastAsia="宋体" w:cs="宋体"/>
                <w:spacing w:val="-1"/>
                <w:sz w:val="21"/>
                <w:szCs w:val="21"/>
              </w:rPr>
              <w:t>在寿命期内不易发生，但有可能</w:t>
            </w:r>
          </w:p>
        </w:tc>
        <w:tc>
          <w:tcPr>
            <w:tcW w:w="3312" w:type="dxa"/>
            <w:vAlign w:val="top"/>
          </w:tcPr>
          <w:p w14:paraId="7FB18924">
            <w:pPr>
              <w:spacing w:before="106" w:line="220" w:lineRule="auto"/>
              <w:ind w:left="136"/>
              <w:rPr>
                <w:rFonts w:ascii="宋体" w:hAnsi="宋体" w:eastAsia="宋体" w:cs="宋体"/>
                <w:sz w:val="21"/>
                <w:szCs w:val="21"/>
              </w:rPr>
            </w:pPr>
            <w:r>
              <w:rPr>
                <w:rFonts w:ascii="宋体" w:hAnsi="宋体" w:eastAsia="宋体" w:cs="宋体"/>
                <w:sz w:val="21"/>
                <w:szCs w:val="21"/>
              </w:rPr>
              <w:t>不易发生但有理由预期可能发生</w:t>
            </w:r>
          </w:p>
        </w:tc>
      </w:tr>
      <w:tr w14:paraId="51451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663" w:type="dxa"/>
            <w:vAlign w:val="top"/>
          </w:tcPr>
          <w:p w14:paraId="01E38304">
            <w:pPr>
              <w:spacing w:before="108" w:line="221" w:lineRule="auto"/>
              <w:ind w:left="345"/>
              <w:rPr>
                <w:rFonts w:ascii="宋体" w:hAnsi="宋体" w:eastAsia="宋体" w:cs="宋体"/>
                <w:sz w:val="21"/>
                <w:szCs w:val="21"/>
              </w:rPr>
            </w:pPr>
            <w:r>
              <w:rPr>
                <w:rFonts w:ascii="宋体" w:hAnsi="宋体" w:eastAsia="宋体" w:cs="宋体"/>
                <w:spacing w:val="8"/>
                <w:sz w:val="21"/>
                <w:szCs w:val="21"/>
              </w:rPr>
              <w:t>E(不可能)</w:t>
            </w:r>
          </w:p>
        </w:tc>
        <w:tc>
          <w:tcPr>
            <w:tcW w:w="4395" w:type="dxa"/>
            <w:vAlign w:val="top"/>
          </w:tcPr>
          <w:p w14:paraId="6CCE5B78">
            <w:pPr>
              <w:spacing w:before="106" w:line="219" w:lineRule="auto"/>
              <w:ind w:left="142"/>
              <w:rPr>
                <w:rFonts w:ascii="宋体" w:hAnsi="宋体" w:eastAsia="宋体" w:cs="宋体"/>
                <w:sz w:val="21"/>
                <w:szCs w:val="21"/>
              </w:rPr>
            </w:pPr>
            <w:r>
              <w:rPr>
                <w:rFonts w:ascii="宋体" w:hAnsi="宋体" w:eastAsia="宋体" w:cs="宋体"/>
                <w:spacing w:val="-1"/>
                <w:sz w:val="21"/>
                <w:szCs w:val="21"/>
              </w:rPr>
              <w:t>很不容易发生以至于可以认为不会发生</w:t>
            </w:r>
          </w:p>
        </w:tc>
        <w:tc>
          <w:tcPr>
            <w:tcW w:w="3312" w:type="dxa"/>
            <w:vAlign w:val="top"/>
          </w:tcPr>
          <w:p w14:paraId="04985B91">
            <w:pPr>
              <w:spacing w:before="108" w:line="220" w:lineRule="auto"/>
              <w:ind w:left="136"/>
              <w:rPr>
                <w:rFonts w:ascii="宋体" w:hAnsi="宋体" w:eastAsia="宋体" w:cs="宋体"/>
                <w:sz w:val="21"/>
                <w:szCs w:val="21"/>
              </w:rPr>
            </w:pPr>
            <w:r>
              <w:rPr>
                <w:rFonts w:ascii="宋体" w:hAnsi="宋体" w:eastAsia="宋体" w:cs="宋体"/>
                <w:sz w:val="21"/>
                <w:szCs w:val="21"/>
              </w:rPr>
              <w:t>不易发生，但有可能发生</w:t>
            </w:r>
          </w:p>
        </w:tc>
      </w:tr>
    </w:tbl>
    <w:p w14:paraId="770993B1">
      <w:pPr>
        <w:pStyle w:val="2"/>
        <w:spacing w:before="204" w:line="276" w:lineRule="auto"/>
        <w:ind w:right="52" w:firstLine="529"/>
      </w:pPr>
      <w:r>
        <w:rPr>
          <w:spacing w:val="-11"/>
        </w:rPr>
        <w:t>对于具体的系统，应明确规定频繁、很可能、有时、极少、不可能及总体的大</w:t>
      </w:r>
      <w:r>
        <w:rPr>
          <w:spacing w:val="15"/>
        </w:rPr>
        <w:t xml:space="preserve"> </w:t>
      </w:r>
      <w:r>
        <w:rPr>
          <w:spacing w:val="-3"/>
        </w:rPr>
        <w:t>小，其定义应得到订购方和承制方双方的认可。</w:t>
      </w:r>
    </w:p>
    <w:p w14:paraId="6A8D654F">
      <w:pPr>
        <w:spacing w:before="8" w:line="222" w:lineRule="auto"/>
        <w:outlineLvl w:val="3"/>
        <w:rPr>
          <w:rFonts w:ascii="黑体" w:hAnsi="黑体" w:eastAsia="黑体" w:cs="黑体"/>
          <w:sz w:val="27"/>
          <w:szCs w:val="27"/>
        </w:rPr>
      </w:pPr>
      <w:r>
        <w:rPr>
          <w:rFonts w:ascii="Arial" w:hAnsi="Arial" w:eastAsia="Arial" w:cs="Arial"/>
          <w:b/>
          <w:bCs/>
          <w:sz w:val="27"/>
          <w:szCs w:val="27"/>
        </w:rPr>
        <w:t xml:space="preserve">5    </w:t>
      </w:r>
      <w:r>
        <w:rPr>
          <w:rFonts w:ascii="黑体" w:hAnsi="黑体" w:eastAsia="黑体" w:cs="黑体"/>
          <w:b/>
          <w:bCs/>
          <w:sz w:val="27"/>
          <w:szCs w:val="27"/>
        </w:rPr>
        <w:t>安全性工作项目要求</w:t>
      </w:r>
    </w:p>
    <w:p w14:paraId="0FC8D1C1">
      <w:pPr>
        <w:spacing w:before="98" w:line="223" w:lineRule="auto"/>
        <w:rPr>
          <w:rFonts w:ascii="黑体" w:hAnsi="黑体" w:eastAsia="黑体" w:cs="黑体"/>
          <w:sz w:val="27"/>
          <w:szCs w:val="27"/>
        </w:rPr>
      </w:pPr>
      <w:r>
        <w:rPr>
          <w:rFonts w:ascii="黑体" w:hAnsi="黑体" w:eastAsia="黑体" w:cs="黑体"/>
          <w:spacing w:val="-1"/>
          <w:sz w:val="27"/>
          <w:szCs w:val="27"/>
        </w:rPr>
        <w:t>5.1</w:t>
      </w:r>
      <w:r>
        <w:rPr>
          <w:rFonts w:ascii="黑体" w:hAnsi="黑体" w:eastAsia="黑体" w:cs="黑体"/>
          <w:spacing w:val="28"/>
          <w:sz w:val="27"/>
          <w:szCs w:val="27"/>
        </w:rPr>
        <w:t xml:space="preserve">  </w:t>
      </w:r>
      <w:r>
        <w:rPr>
          <w:rFonts w:ascii="黑体" w:hAnsi="黑体" w:eastAsia="黑体" w:cs="黑体"/>
          <w:b/>
          <w:bCs/>
          <w:spacing w:val="-1"/>
          <w:sz w:val="27"/>
          <w:szCs w:val="27"/>
        </w:rPr>
        <w:t>管理与控制</w:t>
      </w:r>
    </w:p>
    <w:p w14:paraId="3D7D336D">
      <w:pPr>
        <w:spacing w:before="91" w:line="221" w:lineRule="auto"/>
        <w:rPr>
          <w:rFonts w:ascii="黑体" w:hAnsi="黑体" w:eastAsia="黑体" w:cs="黑体"/>
          <w:sz w:val="27"/>
          <w:szCs w:val="27"/>
        </w:rPr>
      </w:pPr>
      <w:r>
        <w:rPr>
          <w:rFonts w:ascii="黑体" w:hAnsi="黑体" w:eastAsia="黑体" w:cs="黑体"/>
          <w:spacing w:val="4"/>
          <w:sz w:val="27"/>
          <w:szCs w:val="27"/>
        </w:rPr>
        <w:t xml:space="preserve">5.1.1  </w:t>
      </w:r>
      <w:r>
        <w:rPr>
          <w:rFonts w:ascii="黑体" w:hAnsi="黑体" w:eastAsia="黑体" w:cs="黑体"/>
          <w:b/>
          <w:bCs/>
          <w:spacing w:val="4"/>
          <w:sz w:val="27"/>
          <w:szCs w:val="27"/>
        </w:rPr>
        <w:t>制定系统安全性工作计划(工作项目</w:t>
      </w:r>
      <w:r>
        <w:rPr>
          <w:rFonts w:ascii="黑体" w:hAnsi="黑体" w:eastAsia="黑体" w:cs="黑体"/>
          <w:spacing w:val="4"/>
          <w:sz w:val="27"/>
          <w:szCs w:val="27"/>
        </w:rPr>
        <w:t>1</w:t>
      </w:r>
      <w:r>
        <w:rPr>
          <w:rFonts w:ascii="黑体" w:hAnsi="黑体" w:eastAsia="黑体" w:cs="黑体"/>
          <w:spacing w:val="3"/>
          <w:sz w:val="27"/>
          <w:szCs w:val="27"/>
        </w:rPr>
        <w:t>01)</w:t>
      </w:r>
    </w:p>
    <w:p w14:paraId="5C6E6C77">
      <w:pPr>
        <w:pStyle w:val="2"/>
        <w:spacing w:before="91" w:line="282" w:lineRule="auto"/>
        <w:ind w:right="32" w:firstLine="529"/>
        <w:jc w:val="both"/>
      </w:pPr>
      <w:r>
        <w:rPr>
          <w:spacing w:val="6"/>
        </w:rPr>
        <w:t>制定安全性工作计划，以实现安全性大纲所</w:t>
      </w:r>
      <w:r>
        <w:rPr>
          <w:spacing w:val="5"/>
        </w:rPr>
        <w:t>规定的全部任务。系统安全性</w:t>
      </w:r>
      <w:r>
        <w:t xml:space="preserve"> </w:t>
      </w:r>
      <w:r>
        <w:rPr>
          <w:spacing w:val="-2"/>
        </w:rPr>
        <w:t>工作计划至少应包括以下四个组成部分：执行工作计划的方</w:t>
      </w:r>
      <w:r>
        <w:rPr>
          <w:spacing w:val="-3"/>
        </w:rPr>
        <w:t>法、合格的人选、各</w:t>
      </w:r>
      <w:r>
        <w:t xml:space="preserve"> </w:t>
      </w:r>
      <w:r>
        <w:rPr>
          <w:spacing w:val="4"/>
        </w:rPr>
        <w:t>级管理部门的职责以及确保工作完成所需的资源。</w:t>
      </w:r>
    </w:p>
    <w:p w14:paraId="1A7934AF">
      <w:pPr>
        <w:pStyle w:val="2"/>
        <w:spacing w:before="5" w:line="284" w:lineRule="auto"/>
        <w:ind w:right="54" w:firstLine="529"/>
      </w:pPr>
      <w:r>
        <w:rPr>
          <w:spacing w:val="6"/>
        </w:rPr>
        <w:t>系统安全性工作计划应符合合同要求并作为</w:t>
      </w:r>
      <w:r>
        <w:rPr>
          <w:spacing w:val="5"/>
        </w:rPr>
        <w:t>执行合同的依据。系统安全性</w:t>
      </w:r>
      <w:r>
        <w:t xml:space="preserve"> </w:t>
      </w:r>
      <w:r>
        <w:rPr>
          <w:spacing w:val="2"/>
        </w:rPr>
        <w:t>工作计划一般包括以下内容：</w:t>
      </w:r>
    </w:p>
    <w:p w14:paraId="1538EA3E">
      <w:pPr>
        <w:pStyle w:val="2"/>
        <w:spacing w:line="220" w:lineRule="auto"/>
        <w:ind w:left="529"/>
      </w:pPr>
      <w:r>
        <w:rPr>
          <w:rFonts w:ascii="Times New Roman" w:hAnsi="Times New Roman" w:eastAsia="Times New Roman" w:cs="Times New Roman"/>
          <w:spacing w:val="7"/>
        </w:rPr>
        <w:t>a</w:t>
      </w:r>
      <w:r>
        <w:rPr>
          <w:rFonts w:ascii="Times New Roman" w:hAnsi="Times New Roman" w:eastAsia="Times New Roman" w:cs="Times New Roman"/>
          <w:spacing w:val="-24"/>
        </w:rPr>
        <w:t xml:space="preserve"> </w:t>
      </w:r>
      <w:r>
        <w:rPr>
          <w:spacing w:val="7"/>
        </w:rPr>
        <w:t>)实施安全性大纲的指导思想；</w:t>
      </w:r>
    </w:p>
    <w:p w14:paraId="025194DA">
      <w:pPr>
        <w:pStyle w:val="2"/>
        <w:spacing w:before="57" w:line="260" w:lineRule="auto"/>
        <w:ind w:right="53" w:firstLine="529"/>
      </w:pPr>
      <w:r>
        <w:rPr>
          <w:rFonts w:ascii="Times New Roman" w:hAnsi="Times New Roman" w:eastAsia="Times New Roman" w:cs="Times New Roman"/>
          <w:spacing w:val="3"/>
        </w:rPr>
        <w:t xml:space="preserve">b)  </w:t>
      </w:r>
      <w:r>
        <w:rPr>
          <w:spacing w:val="3"/>
        </w:rPr>
        <w:t>系统安全性工作项目的实施细则，如</w:t>
      </w:r>
      <w:r>
        <w:rPr>
          <w:spacing w:val="2"/>
        </w:rPr>
        <w:t>工作项目要求、工作内容、完成状</w:t>
      </w:r>
      <w:r>
        <w:t xml:space="preserve"> </w:t>
      </w:r>
      <w:r>
        <w:rPr>
          <w:spacing w:val="-13"/>
        </w:rPr>
        <w:t>况、检查方法等；</w:t>
      </w:r>
    </w:p>
    <w:p w14:paraId="633FE6E3">
      <w:pPr>
        <w:pStyle w:val="2"/>
        <w:spacing w:before="89" w:line="212" w:lineRule="auto"/>
        <w:ind w:left="529"/>
      </w:pPr>
      <w:r>
        <w:rPr>
          <w:rFonts w:ascii="Times New Roman" w:hAnsi="Times New Roman" w:eastAsia="Times New Roman" w:cs="Times New Roman"/>
          <w:spacing w:val="-3"/>
        </w:rPr>
        <w:t xml:space="preserve">c)  </w:t>
      </w:r>
      <w:r>
        <w:rPr>
          <w:spacing w:val="-3"/>
        </w:rPr>
        <w:t>安全性工作组织、人员及其资格和职责；</w:t>
      </w:r>
    </w:p>
    <w:p w14:paraId="51A3EAC6">
      <w:pPr>
        <w:pStyle w:val="2"/>
        <w:spacing w:before="90" w:line="212" w:lineRule="auto"/>
        <w:ind w:left="529"/>
      </w:pPr>
      <w:r>
        <w:rPr>
          <w:rFonts w:ascii="Times New Roman" w:hAnsi="Times New Roman" w:eastAsia="Times New Roman" w:cs="Times New Roman"/>
          <w:spacing w:val="3"/>
        </w:rPr>
        <w:t>d)</w:t>
      </w:r>
      <w:r>
        <w:rPr>
          <w:rFonts w:ascii="Times New Roman" w:hAnsi="Times New Roman" w:eastAsia="Times New Roman" w:cs="Times New Roman"/>
          <w:spacing w:val="68"/>
        </w:rPr>
        <w:t xml:space="preserve"> </w:t>
      </w:r>
      <w:r>
        <w:rPr>
          <w:spacing w:val="3"/>
        </w:rPr>
        <w:t>安全性工作进度表；</w:t>
      </w:r>
    </w:p>
    <w:p w14:paraId="1CAC687E">
      <w:pPr>
        <w:pStyle w:val="2"/>
        <w:spacing w:before="110" w:line="212" w:lineRule="auto"/>
        <w:ind w:left="529"/>
      </w:pPr>
      <w:r>
        <w:rPr>
          <w:rFonts w:ascii="Times New Roman" w:hAnsi="Times New Roman" w:eastAsia="Times New Roman" w:cs="Times New Roman"/>
          <w:spacing w:val="3"/>
        </w:rPr>
        <w:t>e)</w:t>
      </w:r>
      <w:r>
        <w:rPr>
          <w:rFonts w:ascii="Times New Roman" w:hAnsi="Times New Roman" w:eastAsia="Times New Roman" w:cs="Times New Roman"/>
          <w:spacing w:val="63"/>
          <w:w w:val="101"/>
        </w:rPr>
        <w:t xml:space="preserve"> </w:t>
      </w:r>
      <w:r>
        <w:rPr>
          <w:spacing w:val="3"/>
        </w:rPr>
        <w:t>安全性大纲评审点；</w:t>
      </w:r>
    </w:p>
    <w:p w14:paraId="76BBADB7">
      <w:pPr>
        <w:pStyle w:val="2"/>
        <w:spacing w:before="101" w:line="260" w:lineRule="auto"/>
        <w:ind w:right="53" w:firstLine="529"/>
      </w:pPr>
      <w:r>
        <w:rPr>
          <w:rFonts w:ascii="Times New Roman" w:hAnsi="Times New Roman" w:eastAsia="Times New Roman" w:cs="Times New Roman"/>
          <w:spacing w:val="4"/>
        </w:rPr>
        <w:t xml:space="preserve">f)  </w:t>
      </w:r>
      <w:r>
        <w:rPr>
          <w:spacing w:val="4"/>
        </w:rPr>
        <w:t>系统安全性工作计划与系统总的研制计划协调的说明，包括</w:t>
      </w:r>
      <w:r>
        <w:rPr>
          <w:spacing w:val="3"/>
        </w:rPr>
        <w:t>与可靠性计</w:t>
      </w:r>
      <w:r>
        <w:t xml:space="preserve"> </w:t>
      </w:r>
      <w:r>
        <w:rPr>
          <w:spacing w:val="3"/>
        </w:rPr>
        <w:t>划和维修性计划的协调；</w:t>
      </w:r>
    </w:p>
    <w:p w14:paraId="4A0E99E3">
      <w:pPr>
        <w:pStyle w:val="2"/>
        <w:spacing w:before="78" w:line="212" w:lineRule="auto"/>
        <w:ind w:left="529"/>
      </w:pPr>
      <w:r>
        <w:rPr>
          <w:rFonts w:ascii="Times New Roman" w:hAnsi="Times New Roman" w:eastAsia="Times New Roman" w:cs="Times New Roman"/>
          <w:spacing w:val="-12"/>
        </w:rPr>
        <w:t xml:space="preserve">g)  </w:t>
      </w:r>
      <w:r>
        <w:rPr>
          <w:spacing w:val="-12"/>
        </w:rPr>
        <w:t>安全性信息收集、传递、分析、处理、反馈和归档等程序的说明；</w:t>
      </w:r>
    </w:p>
    <w:p w14:paraId="26919519">
      <w:pPr>
        <w:pStyle w:val="2"/>
        <w:spacing w:before="81" w:line="212" w:lineRule="auto"/>
        <w:ind w:left="529"/>
      </w:pPr>
      <w:r>
        <w:rPr>
          <w:rFonts w:ascii="Times New Roman" w:hAnsi="Times New Roman" w:eastAsia="Times New Roman" w:cs="Times New Roman"/>
          <w:spacing w:val="4"/>
        </w:rPr>
        <w:t xml:space="preserve">h)  </w:t>
      </w:r>
      <w:r>
        <w:rPr>
          <w:spacing w:val="4"/>
        </w:rPr>
        <w:t>处理已判定危险的方法或过程；</w:t>
      </w:r>
    </w:p>
    <w:p w14:paraId="72470A76">
      <w:pPr>
        <w:pStyle w:val="2"/>
        <w:spacing w:before="120" w:line="212" w:lineRule="auto"/>
        <w:ind w:left="529"/>
      </w:pPr>
      <w:r>
        <w:rPr>
          <w:rFonts w:ascii="Times New Roman" w:hAnsi="Times New Roman" w:eastAsia="Times New Roman" w:cs="Times New Roman"/>
          <w:spacing w:val="-2"/>
        </w:rPr>
        <w:t>i)</w:t>
      </w:r>
      <w:r>
        <w:rPr>
          <w:rFonts w:ascii="Times New Roman" w:hAnsi="Times New Roman" w:eastAsia="Times New Roman" w:cs="Times New Roman"/>
          <w:spacing w:val="76"/>
          <w:w w:val="101"/>
        </w:rPr>
        <w:t xml:space="preserve"> </w:t>
      </w:r>
      <w:r>
        <w:rPr>
          <w:spacing w:val="-2"/>
        </w:rPr>
        <w:t>对设计人员、使用和维修人员的安全性培训；</w:t>
      </w:r>
    </w:p>
    <w:p w14:paraId="5B4A31B0">
      <w:pPr>
        <w:pStyle w:val="2"/>
        <w:spacing w:before="99" w:line="212" w:lineRule="auto"/>
        <w:ind w:left="529"/>
      </w:pPr>
      <w:r>
        <w:rPr>
          <w:rFonts w:ascii="Times New Roman" w:hAnsi="Times New Roman" w:eastAsia="Times New Roman" w:cs="Times New Roman"/>
          <w:spacing w:val="5"/>
        </w:rPr>
        <w:t>j)</w:t>
      </w:r>
      <w:r>
        <w:rPr>
          <w:rFonts w:ascii="Times New Roman" w:hAnsi="Times New Roman" w:eastAsia="Times New Roman" w:cs="Times New Roman"/>
          <w:spacing w:val="71"/>
          <w:w w:val="101"/>
        </w:rPr>
        <w:t xml:space="preserve"> </w:t>
      </w:r>
      <w:r>
        <w:rPr>
          <w:spacing w:val="5"/>
        </w:rPr>
        <w:t>事故和危险故障的分析和报告；</w:t>
      </w:r>
    </w:p>
    <w:p w14:paraId="31EFA14E">
      <w:pPr>
        <w:pStyle w:val="2"/>
        <w:spacing w:before="130" w:line="212" w:lineRule="auto"/>
        <w:ind w:right="45"/>
        <w:jc w:val="right"/>
      </w:pPr>
      <w:r>
        <w:rPr>
          <w:rFonts w:ascii="Times New Roman" w:hAnsi="Times New Roman" w:eastAsia="Times New Roman" w:cs="Times New Roman"/>
          <w:spacing w:val="-5"/>
        </w:rPr>
        <w:t xml:space="preserve">k)  </w:t>
      </w:r>
      <w:r>
        <w:rPr>
          <w:spacing w:val="-5"/>
        </w:rPr>
        <w:t>系统安全性与其他安全性领域之间的接口：如核安全、靶场安全、爆炸物</w:t>
      </w:r>
    </w:p>
    <w:p w14:paraId="1530FE64">
      <w:pPr>
        <w:spacing w:line="212" w:lineRule="auto"/>
        <w:sectPr>
          <w:footerReference r:id="rId540" w:type="default"/>
          <w:pgSz w:w="11910" w:h="17130"/>
          <w:pgMar w:top="400" w:right="974" w:bottom="1543" w:left="1529" w:header="0" w:footer="1344" w:gutter="0"/>
          <w:cols w:space="720" w:num="1"/>
        </w:sectPr>
      </w:pPr>
    </w:p>
    <w:p w14:paraId="7665F5FE">
      <w:pPr>
        <w:spacing w:line="258" w:lineRule="auto"/>
        <w:rPr>
          <w:rFonts w:ascii="Arial"/>
          <w:sz w:val="21"/>
        </w:rPr>
      </w:pPr>
    </w:p>
    <w:p w14:paraId="43F2E049">
      <w:pPr>
        <w:spacing w:line="259" w:lineRule="auto"/>
        <w:rPr>
          <w:rFonts w:ascii="Arial"/>
          <w:sz w:val="21"/>
        </w:rPr>
      </w:pPr>
    </w:p>
    <w:p w14:paraId="5CAB2489">
      <w:pPr>
        <w:spacing w:line="259" w:lineRule="auto"/>
        <w:rPr>
          <w:rFonts w:ascii="Arial"/>
          <w:sz w:val="21"/>
        </w:rPr>
      </w:pPr>
    </w:p>
    <w:p w14:paraId="5C222DF7">
      <w:pPr>
        <w:spacing w:line="259" w:lineRule="auto"/>
        <w:rPr>
          <w:rFonts w:ascii="Arial"/>
          <w:sz w:val="21"/>
        </w:rPr>
      </w:pPr>
    </w:p>
    <w:p w14:paraId="6EC121A8">
      <w:pPr>
        <w:pStyle w:val="2"/>
        <w:spacing w:before="88" w:line="219" w:lineRule="auto"/>
      </w:pPr>
      <w:r>
        <w:rPr>
          <w:spacing w:val="-10"/>
        </w:rPr>
        <w:t>和军械安全、化学和生物安全、激光安全等；</w:t>
      </w:r>
    </w:p>
    <w:p w14:paraId="5D3DADF5">
      <w:pPr>
        <w:pStyle w:val="2"/>
        <w:spacing w:before="59" w:line="289" w:lineRule="auto"/>
        <w:ind w:firstLine="550"/>
      </w:pPr>
      <w:r>
        <w:rPr>
          <w:spacing w:val="1"/>
        </w:rPr>
        <w:t>1)系统安全性与其他保障领域之间的接口：如质量管理、可靠性、维修性、</w:t>
      </w:r>
      <w:r>
        <w:t xml:space="preserve"> </w:t>
      </w:r>
      <w:r>
        <w:rPr>
          <w:spacing w:val="-11"/>
        </w:rPr>
        <w:t>人素工程、健康保障等。</w:t>
      </w:r>
    </w:p>
    <w:p w14:paraId="63CBB150">
      <w:pPr>
        <w:spacing w:before="1" w:line="220" w:lineRule="auto"/>
        <w:rPr>
          <w:rFonts w:ascii="黑体" w:hAnsi="黑体" w:eastAsia="黑体" w:cs="黑体"/>
          <w:sz w:val="27"/>
          <w:szCs w:val="27"/>
        </w:rPr>
      </w:pPr>
      <w:r>
        <w:rPr>
          <w:rFonts w:ascii="黑体" w:hAnsi="黑体" w:eastAsia="黑体" w:cs="黑体"/>
          <w:sz w:val="27"/>
          <w:szCs w:val="27"/>
        </w:rPr>
        <w:t xml:space="preserve">5.1.2  </w:t>
      </w:r>
      <w:r>
        <w:rPr>
          <w:rFonts w:ascii="黑体" w:hAnsi="黑体" w:eastAsia="黑体" w:cs="黑体"/>
          <w:b/>
          <w:bCs/>
          <w:sz w:val="27"/>
          <w:szCs w:val="27"/>
        </w:rPr>
        <w:t>对转承制方、供应方和建筑工程单位的安全性综合管理(工作项目</w:t>
      </w:r>
      <w:r>
        <w:rPr>
          <w:rFonts w:ascii="黑体" w:hAnsi="黑体" w:eastAsia="黑体" w:cs="黑体"/>
          <w:sz w:val="27"/>
          <w:szCs w:val="27"/>
        </w:rPr>
        <w:t>102)</w:t>
      </w:r>
    </w:p>
    <w:p w14:paraId="05EB9485">
      <w:pPr>
        <w:pStyle w:val="2"/>
        <w:spacing w:before="61" w:line="305" w:lineRule="auto"/>
        <w:ind w:right="123" w:firstLine="550"/>
        <w:jc w:val="both"/>
        <w:rPr>
          <w:sz w:val="25"/>
          <w:szCs w:val="25"/>
        </w:rPr>
      </w:pPr>
      <w:r>
        <w:rPr>
          <w:spacing w:val="25"/>
          <w:sz w:val="25"/>
          <w:szCs w:val="25"/>
        </w:rPr>
        <w:t>对转承制方和供应方(以下简称转承制方)、建筑工程单位的</w:t>
      </w:r>
      <w:r>
        <w:rPr>
          <w:spacing w:val="24"/>
          <w:sz w:val="25"/>
          <w:szCs w:val="25"/>
        </w:rPr>
        <w:t>安全性工作执</w:t>
      </w:r>
      <w:r>
        <w:rPr>
          <w:sz w:val="25"/>
          <w:szCs w:val="25"/>
        </w:rPr>
        <w:t xml:space="preserve"> </w:t>
      </w:r>
      <w:r>
        <w:rPr>
          <w:spacing w:val="18"/>
          <w:sz w:val="25"/>
          <w:szCs w:val="25"/>
        </w:rPr>
        <w:t>行情况进行适当的监督与控制，以便必要时采取相应的措施</w:t>
      </w:r>
      <w:r>
        <w:rPr>
          <w:spacing w:val="17"/>
          <w:sz w:val="25"/>
          <w:szCs w:val="25"/>
        </w:rPr>
        <w:t>，确保与承制方安全</w:t>
      </w:r>
      <w:r>
        <w:rPr>
          <w:sz w:val="25"/>
          <w:szCs w:val="25"/>
        </w:rPr>
        <w:t xml:space="preserve"> </w:t>
      </w:r>
      <w:r>
        <w:rPr>
          <w:spacing w:val="21"/>
          <w:sz w:val="25"/>
          <w:szCs w:val="25"/>
        </w:rPr>
        <w:t>性大纲要求的一致性。</w:t>
      </w:r>
    </w:p>
    <w:p w14:paraId="206BA218">
      <w:pPr>
        <w:pStyle w:val="2"/>
        <w:spacing w:line="267" w:lineRule="auto"/>
        <w:ind w:right="113" w:firstLine="550"/>
      </w:pPr>
      <w:r>
        <w:rPr>
          <w:spacing w:val="6"/>
        </w:rPr>
        <w:t>承制方对转承制方和建筑工程单位的安全性工作进行审查、评价和采取相</w:t>
      </w:r>
      <w:r>
        <w:t xml:space="preserve"> </w:t>
      </w:r>
      <w:r>
        <w:rPr>
          <w:spacing w:val="4"/>
        </w:rPr>
        <w:t>应监控措施的条款应在合同中规定。合同一般应包括以下内容：</w:t>
      </w:r>
    </w:p>
    <w:p w14:paraId="7671DB29">
      <w:pPr>
        <w:pStyle w:val="2"/>
        <w:spacing w:line="212" w:lineRule="auto"/>
        <w:ind w:left="550"/>
      </w:pPr>
      <w:r>
        <w:rPr>
          <w:rFonts w:ascii="Times New Roman" w:hAnsi="Times New Roman" w:eastAsia="Times New Roman" w:cs="Times New Roman"/>
          <w:spacing w:val="-1"/>
        </w:rPr>
        <w:t xml:space="preserve">a)  </w:t>
      </w:r>
      <w:r>
        <w:rPr>
          <w:spacing w:val="-1"/>
        </w:rPr>
        <w:t>转承制方的安全性工作，包括工作的进度和有关的资料；</w:t>
      </w:r>
    </w:p>
    <w:p w14:paraId="49DB1057">
      <w:pPr>
        <w:pStyle w:val="2"/>
        <w:spacing w:before="90" w:line="212" w:lineRule="auto"/>
        <w:ind w:left="550"/>
      </w:pPr>
      <w:r>
        <w:rPr>
          <w:rFonts w:ascii="Times New Roman" w:hAnsi="Times New Roman" w:eastAsia="Times New Roman" w:cs="Times New Roman"/>
          <w:spacing w:val="4"/>
        </w:rPr>
        <w:t xml:space="preserve">b)  </w:t>
      </w:r>
      <w:r>
        <w:rPr>
          <w:spacing w:val="4"/>
        </w:rPr>
        <w:t>转承制方制定与承制方的安全性大纲相协调的安全性大纲；</w:t>
      </w:r>
    </w:p>
    <w:p w14:paraId="42D95631">
      <w:pPr>
        <w:pStyle w:val="2"/>
        <w:spacing w:before="112" w:line="275" w:lineRule="auto"/>
        <w:ind w:right="125" w:firstLine="550"/>
        <w:rPr>
          <w:sz w:val="25"/>
          <w:szCs w:val="25"/>
        </w:rPr>
      </w:pPr>
      <w:r>
        <w:rPr>
          <w:rFonts w:ascii="Times New Roman" w:hAnsi="Times New Roman" w:eastAsia="Times New Roman" w:cs="Times New Roman"/>
          <w:spacing w:val="21"/>
          <w:sz w:val="25"/>
          <w:szCs w:val="25"/>
        </w:rPr>
        <w:t xml:space="preserve">c)  </w:t>
      </w:r>
      <w:r>
        <w:rPr>
          <w:spacing w:val="21"/>
          <w:sz w:val="25"/>
          <w:szCs w:val="25"/>
        </w:rPr>
        <w:t>承制方进行风险评价，考察整个系统的设计和使用，特别是各转承制方</w:t>
      </w:r>
      <w:r>
        <w:rPr>
          <w:spacing w:val="14"/>
          <w:sz w:val="25"/>
          <w:szCs w:val="25"/>
        </w:rPr>
        <w:t xml:space="preserve"> </w:t>
      </w:r>
      <w:r>
        <w:rPr>
          <w:spacing w:val="19"/>
          <w:sz w:val="25"/>
          <w:szCs w:val="25"/>
        </w:rPr>
        <w:t>产品(包括软件)之间的接口，指导和协调各转承制方的安全性工作；</w:t>
      </w:r>
    </w:p>
    <w:p w14:paraId="3587E5D3">
      <w:pPr>
        <w:pStyle w:val="2"/>
        <w:spacing w:before="54" w:line="212" w:lineRule="auto"/>
        <w:ind w:left="550"/>
      </w:pPr>
      <w:r>
        <w:rPr>
          <w:rFonts w:ascii="Times New Roman" w:hAnsi="Times New Roman" w:eastAsia="Times New Roman" w:cs="Times New Roman"/>
          <w:spacing w:val="5"/>
        </w:rPr>
        <w:t xml:space="preserve">d)  </w:t>
      </w:r>
      <w:r>
        <w:rPr>
          <w:spacing w:val="5"/>
        </w:rPr>
        <w:t>承制方和各转承制方相互之间安全</w:t>
      </w:r>
      <w:r>
        <w:rPr>
          <w:spacing w:val="4"/>
        </w:rPr>
        <w:t>性信息的交换方法和内容；</w:t>
      </w:r>
    </w:p>
    <w:p w14:paraId="510D3647">
      <w:pPr>
        <w:pStyle w:val="2"/>
        <w:spacing w:before="99" w:line="212" w:lineRule="auto"/>
        <w:ind w:left="550"/>
      </w:pPr>
      <w:r>
        <w:rPr>
          <w:rFonts w:ascii="Times New Roman" w:hAnsi="Times New Roman" w:eastAsia="Times New Roman" w:cs="Times New Roman"/>
          <w:spacing w:val="3"/>
        </w:rPr>
        <w:t xml:space="preserve">e)  </w:t>
      </w:r>
      <w:r>
        <w:rPr>
          <w:spacing w:val="3"/>
        </w:rPr>
        <w:t>承制方评审转承制方的安全性工作；</w:t>
      </w:r>
    </w:p>
    <w:p w14:paraId="550935CC">
      <w:pPr>
        <w:pStyle w:val="2"/>
        <w:spacing w:before="110" w:line="212" w:lineRule="auto"/>
        <w:ind w:left="550"/>
      </w:pPr>
      <w:r>
        <w:rPr>
          <w:rFonts w:ascii="Times New Roman" w:hAnsi="Times New Roman" w:eastAsia="Times New Roman" w:cs="Times New Roman"/>
          <w:spacing w:val="4"/>
        </w:rPr>
        <w:t xml:space="preserve">f)  </w:t>
      </w:r>
      <w:r>
        <w:rPr>
          <w:spacing w:val="4"/>
        </w:rPr>
        <w:t>建筑工程单位按设施的安全性工作计划进行安全性工作；</w:t>
      </w:r>
    </w:p>
    <w:p w14:paraId="0CC020BA">
      <w:pPr>
        <w:pStyle w:val="2"/>
        <w:spacing w:before="100" w:line="212" w:lineRule="auto"/>
        <w:ind w:left="550"/>
      </w:pPr>
      <w:r>
        <w:rPr>
          <w:rFonts w:ascii="Times New Roman" w:hAnsi="Times New Roman" w:eastAsia="Times New Roman" w:cs="Times New Roman"/>
          <w:spacing w:val="5"/>
        </w:rPr>
        <w:t xml:space="preserve">g)  </w:t>
      </w:r>
      <w:r>
        <w:rPr>
          <w:spacing w:val="5"/>
        </w:rPr>
        <w:t>建筑工程单位和各有关单位相互之间安全性信息的交</w:t>
      </w:r>
      <w:r>
        <w:rPr>
          <w:spacing w:val="4"/>
        </w:rPr>
        <w:t>换方法和内容。</w:t>
      </w:r>
    </w:p>
    <w:p w14:paraId="75A6E722">
      <w:pPr>
        <w:spacing w:before="115" w:line="222" w:lineRule="auto"/>
        <w:rPr>
          <w:rFonts w:ascii="黑体" w:hAnsi="黑体" w:eastAsia="黑体" w:cs="黑体"/>
          <w:sz w:val="27"/>
          <w:szCs w:val="27"/>
        </w:rPr>
      </w:pPr>
      <w:r>
        <w:rPr>
          <w:rFonts w:ascii="黑体" w:hAnsi="黑体" w:eastAsia="黑体" w:cs="黑体"/>
          <w:spacing w:val="2"/>
          <w:sz w:val="27"/>
          <w:szCs w:val="27"/>
        </w:rPr>
        <w:t xml:space="preserve">5.1.3  </w:t>
      </w:r>
      <w:r>
        <w:rPr>
          <w:rFonts w:ascii="黑体" w:hAnsi="黑体" w:eastAsia="黑体" w:cs="黑体"/>
          <w:b/>
          <w:bCs/>
          <w:spacing w:val="2"/>
          <w:sz w:val="27"/>
          <w:szCs w:val="27"/>
        </w:rPr>
        <w:t>安全性大纲评审(工作项目</w:t>
      </w:r>
      <w:r>
        <w:rPr>
          <w:rFonts w:ascii="黑体" w:hAnsi="黑体" w:eastAsia="黑体" w:cs="黑体"/>
          <w:spacing w:val="2"/>
          <w:sz w:val="27"/>
          <w:szCs w:val="27"/>
        </w:rPr>
        <w:t>103)</w:t>
      </w:r>
    </w:p>
    <w:p w14:paraId="3D20E5BF">
      <w:pPr>
        <w:pStyle w:val="2"/>
        <w:spacing w:before="82" w:line="273" w:lineRule="auto"/>
        <w:ind w:right="123" w:firstLine="550"/>
      </w:pPr>
      <w:r>
        <w:rPr>
          <w:spacing w:val="6"/>
        </w:rPr>
        <w:t>按计划安排安全性大纲的评审，以确保安全性</w:t>
      </w:r>
      <w:r>
        <w:rPr>
          <w:spacing w:val="5"/>
        </w:rPr>
        <w:t>工作按预定程序进行并保证</w:t>
      </w:r>
      <w:r>
        <w:t xml:space="preserve"> </w:t>
      </w:r>
      <w:r>
        <w:rPr>
          <w:spacing w:val="-3"/>
        </w:rPr>
        <w:t>系统达到安全性定性、定量要求。工作项目要点如下：</w:t>
      </w:r>
    </w:p>
    <w:p w14:paraId="17FB362F">
      <w:pPr>
        <w:pStyle w:val="2"/>
        <w:spacing w:before="2" w:line="263" w:lineRule="auto"/>
        <w:ind w:right="124" w:firstLine="550"/>
      </w:pPr>
      <w:r>
        <w:rPr>
          <w:rFonts w:ascii="Times New Roman" w:hAnsi="Times New Roman" w:eastAsia="Times New Roman" w:cs="Times New Roman"/>
          <w:spacing w:val="3"/>
        </w:rPr>
        <w:t xml:space="preserve">a)  </w:t>
      </w:r>
      <w:r>
        <w:rPr>
          <w:spacing w:val="3"/>
        </w:rPr>
        <w:t>安全性大纲评审计划由承制方根据安全性工作计划制定，其内容应包括</w:t>
      </w:r>
      <w:r>
        <w:t xml:space="preserve"> </w:t>
      </w:r>
      <w:r>
        <w:rPr>
          <w:spacing w:val="-16"/>
        </w:rPr>
        <w:t>评审类型、评审点、评审要求等；</w:t>
      </w:r>
    </w:p>
    <w:p w14:paraId="067FA1FA">
      <w:pPr>
        <w:pStyle w:val="2"/>
        <w:spacing w:before="48" w:line="257" w:lineRule="auto"/>
        <w:ind w:right="121" w:firstLine="550"/>
      </w:pPr>
      <w:r>
        <w:rPr>
          <w:rFonts w:ascii="Times New Roman" w:hAnsi="Times New Roman" w:eastAsia="Times New Roman" w:cs="Times New Roman"/>
          <w:spacing w:val="3"/>
        </w:rPr>
        <w:t xml:space="preserve">b)  </w:t>
      </w:r>
      <w:r>
        <w:rPr>
          <w:spacing w:val="3"/>
        </w:rPr>
        <w:t>承制方作出的安全性大纲评审的时间和评</w:t>
      </w:r>
      <w:r>
        <w:rPr>
          <w:spacing w:val="2"/>
        </w:rPr>
        <w:t>审内容的安排，应及时通知订</w:t>
      </w:r>
      <w:r>
        <w:t xml:space="preserve"> </w:t>
      </w:r>
      <w:r>
        <w:rPr>
          <w:spacing w:val="-6"/>
        </w:rPr>
        <w:t>购方，也应根据需要通知转承制方，以便有关各方参加评审；</w:t>
      </w:r>
    </w:p>
    <w:p w14:paraId="5235CD86">
      <w:pPr>
        <w:pStyle w:val="2"/>
        <w:spacing w:before="100" w:line="264" w:lineRule="auto"/>
        <w:ind w:right="124" w:firstLine="550"/>
        <w:rPr>
          <w:sz w:val="25"/>
          <w:szCs w:val="25"/>
        </w:rPr>
      </w:pPr>
      <w:r>
        <w:rPr>
          <w:rFonts w:ascii="Times New Roman" w:hAnsi="Times New Roman" w:eastAsia="Times New Roman" w:cs="Times New Roman"/>
          <w:spacing w:val="25"/>
          <w:sz w:val="25"/>
          <w:szCs w:val="25"/>
        </w:rPr>
        <w:t xml:space="preserve">c)  </w:t>
      </w:r>
      <w:r>
        <w:rPr>
          <w:spacing w:val="25"/>
          <w:sz w:val="25"/>
          <w:szCs w:val="25"/>
        </w:rPr>
        <w:t>安全性大纲的评审应尽可能与系统设计的其他质量特性(例如性能、可</w:t>
      </w:r>
      <w:r>
        <w:rPr>
          <w:sz w:val="25"/>
          <w:szCs w:val="25"/>
        </w:rPr>
        <w:t xml:space="preserve"> </w:t>
      </w:r>
      <w:r>
        <w:rPr>
          <w:spacing w:val="11"/>
          <w:sz w:val="25"/>
          <w:szCs w:val="25"/>
        </w:rPr>
        <w:t>靠性、维修性)的评审结合进行；</w:t>
      </w:r>
    </w:p>
    <w:p w14:paraId="503EB652">
      <w:pPr>
        <w:pStyle w:val="2"/>
        <w:spacing w:before="76" w:line="261" w:lineRule="auto"/>
        <w:ind w:right="119" w:firstLine="550"/>
      </w:pPr>
      <w:r>
        <w:rPr>
          <w:rFonts w:ascii="Times New Roman" w:hAnsi="Times New Roman" w:eastAsia="Times New Roman" w:cs="Times New Roman"/>
          <w:spacing w:val="11"/>
        </w:rPr>
        <w:t xml:space="preserve">d)  </w:t>
      </w:r>
      <w:r>
        <w:rPr>
          <w:spacing w:val="11"/>
        </w:rPr>
        <w:t>在每一个评审点上所进行的安全性大纲评</w:t>
      </w:r>
      <w:r>
        <w:rPr>
          <w:spacing w:val="10"/>
        </w:rPr>
        <w:t>审都必须认真检查安全性大</w:t>
      </w:r>
      <w:r>
        <w:t xml:space="preserve"> </w:t>
      </w:r>
      <w:r>
        <w:rPr>
          <w:spacing w:val="-2"/>
        </w:rPr>
        <w:t>纲的执行情况、安全性工作进度，特别是对安全性大纲是否达到合</w:t>
      </w:r>
      <w:r>
        <w:rPr>
          <w:spacing w:val="-3"/>
        </w:rPr>
        <w:t>同所规定的安</w:t>
      </w:r>
      <w:r>
        <w:t xml:space="preserve"> </w:t>
      </w:r>
      <w:r>
        <w:rPr>
          <w:spacing w:val="2"/>
        </w:rPr>
        <w:t>全性要求进行评审和评价。</w:t>
      </w:r>
    </w:p>
    <w:p w14:paraId="2B91DB8E">
      <w:pPr>
        <w:spacing w:before="97" w:line="221" w:lineRule="auto"/>
        <w:rPr>
          <w:rFonts w:ascii="黑体" w:hAnsi="黑体" w:eastAsia="黑体" w:cs="黑体"/>
          <w:sz w:val="27"/>
          <w:szCs w:val="27"/>
        </w:rPr>
      </w:pPr>
      <w:r>
        <w:rPr>
          <w:rFonts w:ascii="黑体" w:hAnsi="黑体" w:eastAsia="黑体" w:cs="黑体"/>
          <w:spacing w:val="3"/>
          <w:sz w:val="27"/>
          <w:szCs w:val="27"/>
        </w:rPr>
        <w:t xml:space="preserve">5.1.4  </w:t>
      </w:r>
      <w:r>
        <w:rPr>
          <w:rFonts w:ascii="黑体" w:hAnsi="黑体" w:eastAsia="黑体" w:cs="黑体"/>
          <w:b/>
          <w:bCs/>
          <w:spacing w:val="3"/>
          <w:sz w:val="27"/>
          <w:szCs w:val="27"/>
        </w:rPr>
        <w:t>对系统安全性工作组的保障(工作项目</w:t>
      </w:r>
      <w:r>
        <w:rPr>
          <w:rFonts w:ascii="黑体" w:hAnsi="黑体" w:eastAsia="黑体" w:cs="黑体"/>
          <w:spacing w:val="3"/>
          <w:sz w:val="27"/>
          <w:szCs w:val="27"/>
        </w:rPr>
        <w:t>104)</w:t>
      </w:r>
    </w:p>
    <w:p w14:paraId="169B5828">
      <w:pPr>
        <w:pStyle w:val="2"/>
        <w:spacing w:before="91" w:line="219" w:lineRule="auto"/>
        <w:ind w:left="550"/>
      </w:pPr>
      <w:r>
        <w:rPr>
          <w:spacing w:val="5"/>
        </w:rPr>
        <w:t>应对订购方按有关规定建立的系统安全性工作组提供工作的保障。</w:t>
      </w:r>
    </w:p>
    <w:p w14:paraId="19E6C347">
      <w:pPr>
        <w:pStyle w:val="2"/>
        <w:spacing w:before="102" w:line="219" w:lineRule="auto"/>
        <w:ind w:left="550"/>
      </w:pPr>
      <w:r>
        <w:rPr>
          <w:spacing w:val="-1"/>
        </w:rPr>
        <w:t>承制方应作为系统安全性工作组成员参加其工作，包括下列内容：</w:t>
      </w:r>
    </w:p>
    <w:p w14:paraId="637B4D6F">
      <w:pPr>
        <w:pStyle w:val="2"/>
        <w:spacing w:before="59" w:line="212" w:lineRule="auto"/>
        <w:ind w:left="550"/>
      </w:pPr>
      <w:r>
        <w:rPr>
          <w:rFonts w:ascii="Times New Roman" w:hAnsi="Times New Roman" w:eastAsia="Times New Roman" w:cs="Times New Roman"/>
        </w:rPr>
        <w:t xml:space="preserve">a)  </w:t>
      </w:r>
      <w:r>
        <w:t>汇报承制方安全性大纲实施情况，包括设计和使用风险评价的结果；</w:t>
      </w:r>
    </w:p>
    <w:p w14:paraId="5F78867E">
      <w:pPr>
        <w:pStyle w:val="2"/>
        <w:spacing w:before="100" w:line="212" w:lineRule="auto"/>
        <w:ind w:left="550"/>
      </w:pPr>
      <w:r>
        <w:rPr>
          <w:rFonts w:ascii="Times New Roman" w:hAnsi="Times New Roman" w:eastAsia="Times New Roman" w:cs="Times New Roman"/>
          <w:spacing w:val="-1"/>
        </w:rPr>
        <w:t xml:space="preserve">b)  </w:t>
      </w:r>
      <w:r>
        <w:rPr>
          <w:spacing w:val="-1"/>
        </w:rPr>
        <w:t>提供危险分析摘要，包括问题的确定和解决的情况；</w:t>
      </w:r>
    </w:p>
    <w:p w14:paraId="73C40AE4">
      <w:pPr>
        <w:spacing w:line="212" w:lineRule="auto"/>
        <w:sectPr>
          <w:footerReference r:id="rId541" w:type="default"/>
          <w:pgSz w:w="11910" w:h="17130"/>
          <w:pgMar w:top="400" w:right="1434" w:bottom="1643" w:left="979" w:header="0" w:footer="1444" w:gutter="0"/>
          <w:cols w:space="720" w:num="1"/>
        </w:sectPr>
      </w:pPr>
    </w:p>
    <w:p w14:paraId="526173A0">
      <w:pPr>
        <w:spacing w:line="249" w:lineRule="auto"/>
        <w:rPr>
          <w:rFonts w:ascii="Arial"/>
          <w:sz w:val="21"/>
        </w:rPr>
      </w:pPr>
    </w:p>
    <w:p w14:paraId="19C58BE2">
      <w:pPr>
        <w:spacing w:line="249" w:lineRule="auto"/>
        <w:rPr>
          <w:rFonts w:ascii="Arial"/>
          <w:sz w:val="21"/>
        </w:rPr>
      </w:pPr>
    </w:p>
    <w:p w14:paraId="4590E646">
      <w:pPr>
        <w:spacing w:line="249" w:lineRule="auto"/>
        <w:rPr>
          <w:rFonts w:ascii="Arial"/>
          <w:sz w:val="21"/>
        </w:rPr>
      </w:pPr>
    </w:p>
    <w:p w14:paraId="1832B98C">
      <w:pPr>
        <w:spacing w:line="249" w:lineRule="auto"/>
        <w:rPr>
          <w:rFonts w:ascii="Arial"/>
          <w:sz w:val="21"/>
        </w:rPr>
      </w:pPr>
    </w:p>
    <w:p w14:paraId="2847EE80">
      <w:pPr>
        <w:pStyle w:val="2"/>
        <w:spacing w:before="88" w:line="212" w:lineRule="auto"/>
        <w:ind w:left="560"/>
      </w:pPr>
      <w:r>
        <w:rPr>
          <w:rFonts w:ascii="Times New Roman" w:hAnsi="Times New Roman" w:eastAsia="Times New Roman" w:cs="Times New Roman"/>
          <w:spacing w:val="-1"/>
        </w:rPr>
        <w:t>c)</w:t>
      </w:r>
      <w:r>
        <w:rPr>
          <w:rFonts w:ascii="Times New Roman" w:hAnsi="Times New Roman" w:eastAsia="Times New Roman" w:cs="Times New Roman"/>
          <w:spacing w:val="76"/>
          <w:w w:val="101"/>
        </w:rPr>
        <w:t xml:space="preserve"> </w:t>
      </w:r>
      <w:r>
        <w:rPr>
          <w:spacing w:val="-1"/>
        </w:rPr>
        <w:t>汇报研制中事故和危险故障的分析结果，包括预防建议和措施；</w:t>
      </w:r>
    </w:p>
    <w:p w14:paraId="072226BD">
      <w:pPr>
        <w:pStyle w:val="2"/>
        <w:spacing w:before="89" w:line="212" w:lineRule="auto"/>
        <w:ind w:left="560"/>
      </w:pPr>
      <w:r>
        <w:rPr>
          <w:rFonts w:ascii="Times New Roman" w:hAnsi="Times New Roman" w:eastAsia="Times New Roman" w:cs="Times New Roman"/>
          <w:spacing w:val="3"/>
        </w:rPr>
        <w:t>d)</w:t>
      </w:r>
      <w:r>
        <w:rPr>
          <w:rFonts w:ascii="Times New Roman" w:hAnsi="Times New Roman" w:eastAsia="Times New Roman" w:cs="Times New Roman"/>
          <w:spacing w:val="77"/>
        </w:rPr>
        <w:t xml:space="preserve"> </w:t>
      </w:r>
      <w:r>
        <w:rPr>
          <w:spacing w:val="3"/>
        </w:rPr>
        <w:t>接受系统安全性工作组分配的工作。</w:t>
      </w:r>
    </w:p>
    <w:p w14:paraId="797745F9">
      <w:pPr>
        <w:spacing w:before="104" w:line="221" w:lineRule="auto"/>
        <w:rPr>
          <w:rFonts w:ascii="黑体" w:hAnsi="黑体" w:eastAsia="黑体" w:cs="黑体"/>
          <w:sz w:val="27"/>
          <w:szCs w:val="27"/>
        </w:rPr>
      </w:pPr>
      <w:r>
        <w:rPr>
          <w:rFonts w:ascii="黑体" w:hAnsi="黑体" w:eastAsia="黑体" w:cs="黑体"/>
          <w:spacing w:val="-1"/>
          <w:sz w:val="27"/>
          <w:szCs w:val="27"/>
        </w:rPr>
        <w:t xml:space="preserve">5.1.5  </w:t>
      </w:r>
      <w:r>
        <w:rPr>
          <w:rFonts w:ascii="黑体" w:hAnsi="黑体" w:eastAsia="黑体" w:cs="黑体"/>
          <w:b/>
          <w:bCs/>
          <w:spacing w:val="-1"/>
          <w:sz w:val="27"/>
          <w:szCs w:val="27"/>
        </w:rPr>
        <w:t>建立危险报告、分析和纠正措施跟踪系统(工作项目</w:t>
      </w:r>
      <w:r>
        <w:rPr>
          <w:rFonts w:ascii="黑体" w:hAnsi="黑体" w:eastAsia="黑体" w:cs="黑体"/>
          <w:spacing w:val="-1"/>
          <w:sz w:val="27"/>
          <w:szCs w:val="27"/>
        </w:rPr>
        <w:t>105)</w:t>
      </w:r>
    </w:p>
    <w:p w14:paraId="5B88FADC">
      <w:pPr>
        <w:pStyle w:val="2"/>
        <w:spacing w:before="111" w:line="281" w:lineRule="auto"/>
        <w:ind w:right="23" w:firstLine="560"/>
      </w:pPr>
      <w:r>
        <w:rPr>
          <w:spacing w:val="-3"/>
        </w:rPr>
        <w:t>建立危险跟踪闭环系统，跟踪并记录危险的确定、消除或将其风险降低到订</w:t>
      </w:r>
      <w:r>
        <w:rPr>
          <w:spacing w:val="11"/>
        </w:rPr>
        <w:t xml:space="preserve"> </w:t>
      </w:r>
      <w:r>
        <w:rPr>
          <w:spacing w:val="4"/>
        </w:rPr>
        <w:t>购方可接受水平的过程。工作项目要点包括：</w:t>
      </w:r>
    </w:p>
    <w:p w14:paraId="08ECC535">
      <w:pPr>
        <w:pStyle w:val="2"/>
        <w:spacing w:line="220" w:lineRule="auto"/>
        <w:ind w:left="560"/>
      </w:pPr>
      <w:r>
        <w:rPr>
          <w:rFonts w:ascii="Times New Roman" w:hAnsi="Times New Roman" w:eastAsia="Times New Roman" w:cs="Times New Roman"/>
          <w:spacing w:val="8"/>
        </w:rPr>
        <w:t>a</w:t>
      </w:r>
      <w:r>
        <w:rPr>
          <w:spacing w:val="8"/>
        </w:rPr>
        <w:t>)建立危险跟踪的闭环系统；</w:t>
      </w:r>
    </w:p>
    <w:p w14:paraId="6DFD8D5B">
      <w:pPr>
        <w:pStyle w:val="2"/>
        <w:spacing w:before="57" w:line="212" w:lineRule="auto"/>
        <w:ind w:left="560"/>
      </w:pPr>
      <w:r>
        <w:rPr>
          <w:rFonts w:ascii="Times New Roman" w:hAnsi="Times New Roman" w:eastAsia="Times New Roman" w:cs="Times New Roman"/>
          <w:spacing w:val="-7"/>
        </w:rPr>
        <w:t xml:space="preserve">b)  </w:t>
      </w:r>
      <w:r>
        <w:rPr>
          <w:spacing w:val="-7"/>
        </w:rPr>
        <w:t>坚持填写“危险日志”,其中至少包含以下内容：</w:t>
      </w:r>
    </w:p>
    <w:p w14:paraId="1DEA7FD8">
      <w:pPr>
        <w:pStyle w:val="2"/>
        <w:spacing w:before="141" w:line="219" w:lineRule="auto"/>
        <w:ind w:left="560"/>
      </w:pPr>
      <w:r>
        <w:rPr>
          <w:spacing w:val="-1"/>
        </w:rPr>
        <w:t>每个危险的说明；</w:t>
      </w:r>
    </w:p>
    <w:p w14:paraId="1C060FB7">
      <w:pPr>
        <w:pStyle w:val="2"/>
        <w:spacing w:before="69" w:line="219" w:lineRule="auto"/>
        <w:ind w:left="560"/>
      </w:pPr>
      <w:r>
        <w:rPr>
          <w:spacing w:val="-1"/>
        </w:rPr>
        <w:t>每个危险的状况；</w:t>
      </w:r>
    </w:p>
    <w:p w14:paraId="280A66C1">
      <w:pPr>
        <w:pStyle w:val="2"/>
        <w:spacing w:before="100" w:line="219" w:lineRule="auto"/>
        <w:ind w:left="560"/>
      </w:pPr>
      <w:r>
        <w:rPr>
          <w:spacing w:val="4"/>
        </w:rPr>
        <w:t>每个危险的可跟踪性(从危险的确定到解决的整个过程)。</w:t>
      </w:r>
    </w:p>
    <w:p w14:paraId="11BCA2EA">
      <w:pPr>
        <w:spacing w:before="73" w:line="221" w:lineRule="auto"/>
        <w:rPr>
          <w:rFonts w:ascii="黑体" w:hAnsi="黑体" w:eastAsia="黑体" w:cs="黑体"/>
          <w:sz w:val="27"/>
          <w:szCs w:val="27"/>
        </w:rPr>
      </w:pPr>
      <w:r>
        <w:rPr>
          <w:rFonts w:ascii="黑体" w:hAnsi="黑体" w:eastAsia="黑体" w:cs="黑体"/>
          <w:spacing w:val="1"/>
          <w:sz w:val="27"/>
          <w:szCs w:val="27"/>
        </w:rPr>
        <w:t>5.1.6</w:t>
      </w:r>
      <w:r>
        <w:rPr>
          <w:rFonts w:ascii="黑体" w:hAnsi="黑体" w:eastAsia="黑体" w:cs="黑体"/>
          <w:spacing w:val="31"/>
          <w:sz w:val="27"/>
          <w:szCs w:val="27"/>
        </w:rPr>
        <w:t xml:space="preserve">  </w:t>
      </w:r>
      <w:r>
        <w:rPr>
          <w:rFonts w:ascii="黑体" w:hAnsi="黑体" w:eastAsia="黑体" w:cs="黑体"/>
          <w:b/>
          <w:bCs/>
          <w:spacing w:val="1"/>
          <w:sz w:val="27"/>
          <w:szCs w:val="27"/>
        </w:rPr>
        <w:t>试验的安全性(工作项目</w:t>
      </w:r>
      <w:r>
        <w:rPr>
          <w:rFonts w:ascii="黑体" w:hAnsi="黑体" w:eastAsia="黑体" w:cs="黑体"/>
          <w:spacing w:val="1"/>
          <w:sz w:val="27"/>
          <w:szCs w:val="27"/>
        </w:rPr>
        <w:t>106)</w:t>
      </w:r>
    </w:p>
    <w:p w14:paraId="0813E170">
      <w:pPr>
        <w:pStyle w:val="2"/>
        <w:spacing w:before="101" w:line="270" w:lineRule="auto"/>
        <w:ind w:right="24" w:firstLine="560"/>
      </w:pPr>
      <w:r>
        <w:rPr>
          <w:spacing w:val="-3"/>
        </w:rPr>
        <w:t>应考虑试验中的安全性，提供已有的分析报告和其他安全性资料，采取措施</w:t>
      </w:r>
      <w:r>
        <w:rPr>
          <w:spacing w:val="10"/>
        </w:rPr>
        <w:t xml:space="preserve"> </w:t>
      </w:r>
      <w:r>
        <w:rPr>
          <w:spacing w:val="2"/>
        </w:rPr>
        <w:t>满足各类试验的安全性要求，确保降低或消除试验中</w:t>
      </w:r>
      <w:r>
        <w:rPr>
          <w:rFonts w:ascii="Times New Roman" w:hAnsi="Times New Roman" w:eastAsia="Times New Roman" w:cs="Times New Roman"/>
          <w:spacing w:val="2"/>
        </w:rPr>
        <w:t xml:space="preserve">I </w:t>
      </w:r>
      <w:r>
        <w:rPr>
          <w:rFonts w:ascii="Times New Roman" w:hAnsi="Times New Roman" w:eastAsia="Times New Roman" w:cs="Times New Roman"/>
          <w:spacing w:val="1"/>
        </w:rPr>
        <w:t xml:space="preserve"> </w:t>
      </w:r>
      <w:r>
        <w:rPr>
          <w:spacing w:val="1"/>
        </w:rPr>
        <w:t>级和Ⅱ级的危险。</w:t>
      </w:r>
    </w:p>
    <w:p w14:paraId="449E9D06">
      <w:pPr>
        <w:pStyle w:val="2"/>
        <w:spacing w:before="21" w:line="219" w:lineRule="auto"/>
        <w:ind w:left="560"/>
      </w:pPr>
      <w:r>
        <w:rPr>
          <w:spacing w:val="-2"/>
        </w:rPr>
        <w:t>签订合同时就应制定试验的安全性计划，考虑以下内容：</w:t>
      </w:r>
    </w:p>
    <w:p w14:paraId="02385503">
      <w:pPr>
        <w:pStyle w:val="2"/>
        <w:spacing w:before="50" w:line="259" w:lineRule="auto"/>
        <w:ind w:right="25" w:firstLine="560"/>
      </w:pPr>
      <w:r>
        <w:rPr>
          <w:rFonts w:ascii="Times New Roman" w:hAnsi="Times New Roman" w:eastAsia="Times New Roman" w:cs="Times New Roman"/>
          <w:spacing w:val="11"/>
        </w:rPr>
        <w:t xml:space="preserve">a)  </w:t>
      </w:r>
      <w:r>
        <w:rPr>
          <w:spacing w:val="11"/>
        </w:rPr>
        <w:t>确定试验大纲中与安全性有关的进度关键点，在该点前应完成危险分</w:t>
      </w:r>
      <w:r>
        <w:rPr>
          <w:spacing w:val="1"/>
        </w:rPr>
        <w:t xml:space="preserve"> </w:t>
      </w:r>
      <w:r>
        <w:rPr>
          <w:spacing w:val="-5"/>
        </w:rPr>
        <w:t>析、风险评价或其他的安全性研究；</w:t>
      </w:r>
    </w:p>
    <w:p w14:paraId="2C5215AB">
      <w:pPr>
        <w:pStyle w:val="2"/>
        <w:spacing w:before="82" w:line="253" w:lineRule="auto"/>
        <w:ind w:right="26" w:firstLine="560"/>
      </w:pPr>
      <w:r>
        <w:rPr>
          <w:rFonts w:ascii="Times New Roman" w:hAnsi="Times New Roman" w:eastAsia="Times New Roman" w:cs="Times New Roman"/>
          <w:spacing w:val="-5"/>
        </w:rPr>
        <w:t xml:space="preserve">b)  </w:t>
      </w:r>
      <w:r>
        <w:rPr>
          <w:spacing w:val="-5"/>
        </w:rPr>
        <w:t>对试验计划、规程和其他文件的分析、评估和批准进度，以确保在整个试</w:t>
      </w:r>
      <w:r>
        <w:t xml:space="preserve"> </w:t>
      </w:r>
      <w:r>
        <w:rPr>
          <w:spacing w:val="2"/>
        </w:rPr>
        <w:t>验过程中考虑了安全性；</w:t>
      </w:r>
    </w:p>
    <w:p w14:paraId="44641DDA">
      <w:pPr>
        <w:pStyle w:val="2"/>
        <w:spacing w:before="51"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74"/>
        </w:rPr>
        <w:t xml:space="preserve"> </w:t>
      </w:r>
      <w:r>
        <w:rPr>
          <w:spacing w:val="4"/>
        </w:rPr>
        <w:t>在试验前的危险分析中考虑试验设备和测试仪器及其安装；</w:t>
      </w:r>
    </w:p>
    <w:p w14:paraId="3434E96D">
      <w:pPr>
        <w:pStyle w:val="2"/>
        <w:spacing w:before="133" w:line="268" w:lineRule="auto"/>
        <w:ind w:right="18" w:firstLine="560"/>
        <w:rPr>
          <w:sz w:val="25"/>
          <w:szCs w:val="25"/>
        </w:rPr>
      </w:pPr>
      <w:r>
        <w:rPr>
          <w:rFonts w:ascii="Times New Roman" w:hAnsi="Times New Roman" w:eastAsia="Times New Roman" w:cs="Times New Roman"/>
          <w:spacing w:val="21"/>
          <w:sz w:val="25"/>
          <w:szCs w:val="25"/>
        </w:rPr>
        <w:t xml:space="preserve">d)  </w:t>
      </w:r>
      <w:r>
        <w:rPr>
          <w:spacing w:val="21"/>
          <w:sz w:val="25"/>
          <w:szCs w:val="25"/>
        </w:rPr>
        <w:t>满足订购方的特殊要求，并把所有已确定的试验环境所特有的危险通知</w:t>
      </w:r>
      <w:r>
        <w:rPr>
          <w:spacing w:val="10"/>
          <w:sz w:val="25"/>
          <w:szCs w:val="25"/>
        </w:rPr>
        <w:t xml:space="preserve"> </w:t>
      </w:r>
      <w:r>
        <w:rPr>
          <w:spacing w:val="16"/>
          <w:sz w:val="25"/>
          <w:szCs w:val="25"/>
        </w:rPr>
        <w:t>订购方。</w:t>
      </w:r>
    </w:p>
    <w:p w14:paraId="0D996500">
      <w:pPr>
        <w:pStyle w:val="2"/>
        <w:spacing w:before="100" w:line="219" w:lineRule="auto"/>
        <w:ind w:left="560"/>
      </w:pPr>
      <w:r>
        <w:rPr>
          <w:spacing w:val="-1"/>
        </w:rPr>
        <w:t>应确保及时采取纠正措施，以降低或消除试验中的危险。</w:t>
      </w:r>
    </w:p>
    <w:p w14:paraId="19EBCA83">
      <w:pPr>
        <w:pStyle w:val="2"/>
        <w:spacing w:before="89" w:line="218" w:lineRule="auto"/>
        <w:ind w:left="560"/>
      </w:pPr>
      <w:r>
        <w:rPr>
          <w:spacing w:val="4"/>
        </w:rPr>
        <w:t>应建立关于试验中危险和相应措施状态的报告档案。</w:t>
      </w:r>
    </w:p>
    <w:p w14:paraId="2DE16FA5">
      <w:pPr>
        <w:spacing w:before="87" w:line="221" w:lineRule="auto"/>
        <w:rPr>
          <w:rFonts w:ascii="黑体" w:hAnsi="黑体" w:eastAsia="黑体" w:cs="黑体"/>
          <w:sz w:val="27"/>
          <w:szCs w:val="27"/>
        </w:rPr>
      </w:pPr>
      <w:r>
        <w:rPr>
          <w:rFonts w:ascii="黑体" w:hAnsi="黑体" w:eastAsia="黑体" w:cs="黑体"/>
          <w:sz w:val="27"/>
          <w:szCs w:val="27"/>
        </w:rPr>
        <w:t>5.1.</w:t>
      </w:r>
      <w:r>
        <w:rPr>
          <w:rFonts w:ascii="黑体" w:hAnsi="黑体" w:eastAsia="黑体" w:cs="黑体"/>
          <w:b/>
          <w:bCs/>
          <w:sz w:val="27"/>
          <w:szCs w:val="27"/>
        </w:rPr>
        <w:t>7</w:t>
      </w:r>
      <w:r>
        <w:rPr>
          <w:rFonts w:ascii="黑体" w:hAnsi="黑体" w:eastAsia="黑体" w:cs="黑体"/>
          <w:sz w:val="27"/>
          <w:szCs w:val="27"/>
        </w:rPr>
        <w:t xml:space="preserve">  </w:t>
      </w:r>
      <w:r>
        <w:rPr>
          <w:rFonts w:ascii="黑体" w:hAnsi="黑体" w:eastAsia="黑体" w:cs="黑体"/>
          <w:b/>
          <w:bCs/>
          <w:sz w:val="27"/>
          <w:szCs w:val="27"/>
        </w:rPr>
        <w:t>系统安全性进展报告(工作项目</w:t>
      </w:r>
      <w:r>
        <w:rPr>
          <w:rFonts w:ascii="黑体" w:hAnsi="黑体" w:eastAsia="黑体" w:cs="黑体"/>
          <w:sz w:val="27"/>
          <w:szCs w:val="27"/>
        </w:rPr>
        <w:t>107)</w:t>
      </w:r>
    </w:p>
    <w:p w14:paraId="3274A5C4">
      <w:pPr>
        <w:pStyle w:val="2"/>
        <w:spacing w:before="81" w:line="218" w:lineRule="auto"/>
        <w:ind w:left="560"/>
      </w:pPr>
      <w:r>
        <w:rPr>
          <w:spacing w:val="3"/>
        </w:rPr>
        <w:t>应定期地提供系统安全性进展报告。</w:t>
      </w:r>
    </w:p>
    <w:p w14:paraId="79D995B7">
      <w:pPr>
        <w:pStyle w:val="2"/>
        <w:spacing w:before="101" w:line="275" w:lineRule="auto"/>
        <w:ind w:right="52" w:firstLine="560"/>
      </w:pPr>
      <w:r>
        <w:rPr>
          <w:spacing w:val="5"/>
        </w:rPr>
        <w:t>系统安全性进展报告应概述在规定的报告期内安全性大纲</w:t>
      </w:r>
      <w:r>
        <w:rPr>
          <w:spacing w:val="4"/>
        </w:rPr>
        <w:t>的进展情况，以</w:t>
      </w:r>
      <w:r>
        <w:t xml:space="preserve"> </w:t>
      </w:r>
      <w:r>
        <w:rPr>
          <w:spacing w:val="-2"/>
        </w:rPr>
        <w:t>及在下一个报告期内计划的工作，其中应包括以下内容：</w:t>
      </w:r>
    </w:p>
    <w:p w14:paraId="10C52E98">
      <w:pPr>
        <w:pStyle w:val="2"/>
        <w:spacing w:before="10" w:line="266" w:lineRule="auto"/>
        <w:ind w:right="26" w:firstLine="560"/>
        <w:rPr>
          <w:sz w:val="25"/>
          <w:szCs w:val="25"/>
        </w:rPr>
      </w:pPr>
      <w:r>
        <w:rPr>
          <w:rFonts w:ascii="Times New Roman" w:hAnsi="Times New Roman" w:eastAsia="Times New Roman" w:cs="Times New Roman"/>
          <w:spacing w:val="21"/>
          <w:sz w:val="25"/>
          <w:szCs w:val="25"/>
        </w:rPr>
        <w:t xml:space="preserve">a)  </w:t>
      </w:r>
      <w:r>
        <w:rPr>
          <w:spacing w:val="21"/>
          <w:sz w:val="25"/>
          <w:szCs w:val="25"/>
        </w:rPr>
        <w:t>研制和生产各阶段安全性工作、进展及状况的概述，着重说明主要成效</w:t>
      </w:r>
      <w:r>
        <w:rPr>
          <w:spacing w:val="15"/>
          <w:sz w:val="25"/>
          <w:szCs w:val="25"/>
        </w:rPr>
        <w:t xml:space="preserve"> </w:t>
      </w:r>
      <w:r>
        <w:rPr>
          <w:spacing w:val="8"/>
          <w:sz w:val="25"/>
          <w:szCs w:val="25"/>
        </w:rPr>
        <w:t>和问题；</w:t>
      </w:r>
    </w:p>
    <w:p w14:paraId="5911C04F">
      <w:pPr>
        <w:pStyle w:val="2"/>
        <w:spacing w:before="67"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81"/>
        </w:rPr>
        <w:t xml:space="preserve"> </w:t>
      </w:r>
      <w:r>
        <w:rPr>
          <w:spacing w:val="4"/>
        </w:rPr>
        <w:t>新发现的显著级危险和对已知危险的风险控制程度的重大变化；</w:t>
      </w:r>
    </w:p>
    <w:p w14:paraId="29BE093F">
      <w:pPr>
        <w:pStyle w:val="2"/>
        <w:spacing w:before="10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78"/>
          <w:w w:val="101"/>
        </w:rPr>
        <w:t xml:space="preserve"> </w:t>
      </w:r>
      <w:r>
        <w:rPr>
          <w:spacing w:val="4"/>
        </w:rPr>
        <w:t>所有已提出的但仍未完成的纠正措施的现状；</w:t>
      </w:r>
    </w:p>
    <w:p w14:paraId="3EA868B2">
      <w:pPr>
        <w:pStyle w:val="2"/>
        <w:spacing w:before="100" w:line="212" w:lineRule="auto"/>
        <w:ind w:left="560"/>
      </w:pPr>
      <w:r>
        <w:rPr>
          <w:rFonts w:ascii="Times New Roman" w:hAnsi="Times New Roman" w:eastAsia="Times New Roman" w:cs="Times New Roman"/>
          <w:spacing w:val="3"/>
        </w:rPr>
        <w:t xml:space="preserve">d)  </w:t>
      </w:r>
      <w:r>
        <w:rPr>
          <w:spacing w:val="3"/>
        </w:rPr>
        <w:t>影响安全性大纲的费用和进度的重大变动；</w:t>
      </w:r>
    </w:p>
    <w:p w14:paraId="57357D85">
      <w:pPr>
        <w:pStyle w:val="2"/>
        <w:spacing w:before="89" w:line="257" w:lineRule="auto"/>
        <w:ind w:firstLine="560"/>
      </w:pPr>
      <w:r>
        <w:rPr>
          <w:rFonts w:ascii="Times New Roman" w:hAnsi="Times New Roman" w:eastAsia="Times New Roman" w:cs="Times New Roman"/>
          <w:spacing w:val="4"/>
        </w:rPr>
        <w:t>e)</w:t>
      </w:r>
      <w:r>
        <w:rPr>
          <w:rFonts w:ascii="Times New Roman" w:hAnsi="Times New Roman" w:eastAsia="Times New Roman" w:cs="Times New Roman"/>
          <w:spacing w:val="67"/>
        </w:rPr>
        <w:t xml:space="preserve"> </w:t>
      </w:r>
      <w:r>
        <w:rPr>
          <w:spacing w:val="4"/>
        </w:rPr>
        <w:t>讨论报告期内已作安全性评审的承制方文件，指出该文件中的安全性内</w:t>
      </w:r>
      <w:r>
        <w:t xml:space="preserve"> </w:t>
      </w:r>
      <w:r>
        <w:rPr>
          <w:spacing w:val="-5"/>
        </w:rPr>
        <w:t>容是否可接受，有无改善安全性的措施；</w:t>
      </w:r>
    </w:p>
    <w:p w14:paraId="28182711">
      <w:pPr>
        <w:spacing w:line="257" w:lineRule="auto"/>
        <w:sectPr>
          <w:footerReference r:id="rId542" w:type="default"/>
          <w:pgSz w:w="11910" w:h="17130"/>
          <w:pgMar w:top="400" w:right="962" w:bottom="1623" w:left="1539" w:header="0" w:footer="1424" w:gutter="0"/>
          <w:cols w:space="720" w:num="1"/>
        </w:sectPr>
      </w:pPr>
    </w:p>
    <w:p w14:paraId="0DCB6868">
      <w:pPr>
        <w:spacing w:line="269" w:lineRule="auto"/>
        <w:rPr>
          <w:rFonts w:ascii="Arial"/>
          <w:sz w:val="21"/>
        </w:rPr>
      </w:pPr>
    </w:p>
    <w:p w14:paraId="05622FDD">
      <w:pPr>
        <w:spacing w:line="269" w:lineRule="auto"/>
        <w:rPr>
          <w:rFonts w:ascii="Arial"/>
          <w:sz w:val="21"/>
        </w:rPr>
      </w:pPr>
    </w:p>
    <w:p w14:paraId="38CE343B">
      <w:pPr>
        <w:spacing w:line="269" w:lineRule="auto"/>
        <w:rPr>
          <w:rFonts w:ascii="Arial"/>
          <w:sz w:val="21"/>
        </w:rPr>
      </w:pPr>
    </w:p>
    <w:p w14:paraId="616046D9">
      <w:pPr>
        <w:spacing w:line="269" w:lineRule="auto"/>
        <w:rPr>
          <w:rFonts w:ascii="Arial"/>
          <w:sz w:val="21"/>
        </w:rPr>
      </w:pPr>
    </w:p>
    <w:p w14:paraId="53315BDA">
      <w:pPr>
        <w:pStyle w:val="2"/>
        <w:spacing w:before="88" w:line="212" w:lineRule="auto"/>
        <w:ind w:left="550"/>
      </w:pPr>
      <w:r>
        <w:rPr>
          <w:rFonts w:ascii="Times New Roman" w:hAnsi="Times New Roman" w:eastAsia="Times New Roman" w:cs="Times New Roman"/>
        </w:rPr>
        <w:t>f)</w:t>
      </w:r>
      <w:r>
        <w:rPr>
          <w:rFonts w:ascii="Times New Roman" w:hAnsi="Times New Roman" w:eastAsia="Times New Roman" w:cs="Times New Roman"/>
          <w:spacing w:val="53"/>
        </w:rPr>
        <w:t xml:space="preserve"> </w:t>
      </w:r>
      <w:r>
        <w:t>若有系统安全性工作组，可建议下次工作</w:t>
      </w:r>
      <w:r>
        <w:rPr>
          <w:spacing w:val="-1"/>
        </w:rPr>
        <w:t>组会议的议程。</w:t>
      </w:r>
    </w:p>
    <w:p w14:paraId="4695FC79">
      <w:pPr>
        <w:spacing w:before="124" w:line="222" w:lineRule="auto"/>
        <w:rPr>
          <w:rFonts w:ascii="黑体" w:hAnsi="黑体" w:eastAsia="黑体" w:cs="黑体"/>
          <w:sz w:val="25"/>
          <w:szCs w:val="25"/>
        </w:rPr>
      </w:pPr>
      <w:r>
        <w:rPr>
          <w:rFonts w:ascii="黑体" w:hAnsi="黑体" w:eastAsia="黑体" w:cs="黑体"/>
          <w:spacing w:val="14"/>
          <w:sz w:val="25"/>
          <w:szCs w:val="25"/>
        </w:rPr>
        <w:t>5.2</w:t>
      </w:r>
      <w:r>
        <w:rPr>
          <w:rFonts w:ascii="黑体" w:hAnsi="黑体" w:eastAsia="黑体" w:cs="黑体"/>
          <w:spacing w:val="32"/>
          <w:sz w:val="25"/>
          <w:szCs w:val="25"/>
        </w:rPr>
        <w:t xml:space="preserve">  </w:t>
      </w:r>
      <w:r>
        <w:rPr>
          <w:rFonts w:ascii="黑体" w:hAnsi="黑体" w:eastAsia="黑体" w:cs="黑体"/>
          <w:b/>
          <w:bCs/>
          <w:spacing w:val="14"/>
          <w:sz w:val="25"/>
          <w:szCs w:val="25"/>
        </w:rPr>
        <w:t>设计与分析</w:t>
      </w:r>
    </w:p>
    <w:p w14:paraId="795E3F73">
      <w:pPr>
        <w:spacing w:before="89" w:line="222" w:lineRule="auto"/>
        <w:rPr>
          <w:rFonts w:ascii="黑体" w:hAnsi="黑体" w:eastAsia="黑体" w:cs="黑体"/>
          <w:sz w:val="27"/>
          <w:szCs w:val="27"/>
        </w:rPr>
      </w:pPr>
      <w:r>
        <w:rPr>
          <w:rFonts w:ascii="黑体" w:hAnsi="黑体" w:eastAsia="黑体" w:cs="黑体"/>
          <w:spacing w:val="1"/>
          <w:sz w:val="27"/>
          <w:szCs w:val="27"/>
        </w:rPr>
        <w:t>5.2.1</w:t>
      </w:r>
      <w:r>
        <w:rPr>
          <w:rFonts w:ascii="黑体" w:hAnsi="黑体" w:eastAsia="黑体" w:cs="黑体"/>
          <w:spacing w:val="38"/>
          <w:sz w:val="27"/>
          <w:szCs w:val="27"/>
        </w:rPr>
        <w:t xml:space="preserve">  </w:t>
      </w:r>
      <w:r>
        <w:rPr>
          <w:rFonts w:ascii="黑体" w:hAnsi="黑体" w:eastAsia="黑体" w:cs="黑体"/>
          <w:b/>
          <w:bCs/>
          <w:spacing w:val="1"/>
          <w:sz w:val="27"/>
          <w:szCs w:val="27"/>
        </w:rPr>
        <w:t>初步危险表(工作项目</w:t>
      </w:r>
      <w:r>
        <w:rPr>
          <w:rFonts w:ascii="黑体" w:hAnsi="黑体" w:eastAsia="黑体" w:cs="黑体"/>
          <w:spacing w:val="1"/>
          <w:sz w:val="27"/>
          <w:szCs w:val="27"/>
        </w:rPr>
        <w:t>201)</w:t>
      </w:r>
    </w:p>
    <w:p w14:paraId="0997C66D">
      <w:pPr>
        <w:pStyle w:val="2"/>
        <w:spacing w:before="90" w:line="275" w:lineRule="auto"/>
        <w:ind w:right="80" w:firstLine="550"/>
        <w:jc w:val="both"/>
      </w:pPr>
      <w:r>
        <w:rPr>
          <w:spacing w:val="6"/>
        </w:rPr>
        <w:t>初步危险表是一份危险清单，初步列出安全性设计中可能需特别重视的危</w:t>
      </w:r>
      <w:r>
        <w:t xml:space="preserve"> </w:t>
      </w:r>
      <w:r>
        <w:rPr>
          <w:spacing w:val="14"/>
        </w:rPr>
        <w:t>险或需作深入分析的危险部位，旨在使订购方能</w:t>
      </w:r>
      <w:r>
        <w:rPr>
          <w:spacing w:val="13"/>
        </w:rPr>
        <w:t>尽早地选择重点管理的危险</w:t>
      </w:r>
      <w:r>
        <w:t xml:space="preserve"> </w:t>
      </w:r>
      <w:r>
        <w:rPr>
          <w:spacing w:val="-4"/>
        </w:rPr>
        <w:t>部位。</w:t>
      </w:r>
    </w:p>
    <w:p w14:paraId="4746A6D6">
      <w:pPr>
        <w:pStyle w:val="2"/>
        <w:spacing w:before="3" w:line="279" w:lineRule="auto"/>
        <w:ind w:right="96" w:firstLine="550"/>
        <w:jc w:val="both"/>
      </w:pPr>
      <w:r>
        <w:rPr>
          <w:spacing w:val="-3"/>
        </w:rPr>
        <w:t>在设计初期承制方就应考察系统方案，编制初步危险表，确定设计中可能存</w:t>
      </w:r>
      <w:r>
        <w:t xml:space="preserve"> </w:t>
      </w:r>
      <w:r>
        <w:rPr>
          <w:spacing w:val="5"/>
        </w:rPr>
        <w:t>在的危险。承制方应按订购方的意见做进一步的研究，分析初步危险表中选定</w:t>
      </w:r>
      <w:r>
        <w:rPr>
          <w:spacing w:val="16"/>
        </w:rPr>
        <w:t xml:space="preserve"> </w:t>
      </w:r>
      <w:r>
        <w:rPr>
          <w:spacing w:val="-9"/>
        </w:rPr>
        <w:t>的危险，以确定其重要程度。</w:t>
      </w:r>
    </w:p>
    <w:p w14:paraId="40E3B792">
      <w:pPr>
        <w:spacing w:line="222" w:lineRule="auto"/>
        <w:rPr>
          <w:rFonts w:ascii="黑体" w:hAnsi="黑体" w:eastAsia="黑体" w:cs="黑体"/>
          <w:sz w:val="27"/>
          <w:szCs w:val="27"/>
        </w:rPr>
      </w:pPr>
      <w:r>
        <w:rPr>
          <w:rFonts w:ascii="黑体" w:hAnsi="黑体" w:eastAsia="黑体" w:cs="黑体"/>
          <w:spacing w:val="-1"/>
          <w:sz w:val="27"/>
          <w:szCs w:val="27"/>
        </w:rPr>
        <w:t>5.2.2</w:t>
      </w:r>
      <w:r>
        <w:rPr>
          <w:rFonts w:ascii="黑体" w:hAnsi="黑体" w:eastAsia="黑体" w:cs="黑体"/>
          <w:spacing w:val="25"/>
          <w:sz w:val="27"/>
          <w:szCs w:val="27"/>
        </w:rPr>
        <w:t xml:space="preserve">  </w:t>
      </w:r>
      <w:r>
        <w:rPr>
          <w:rFonts w:ascii="黑体" w:hAnsi="黑体" w:eastAsia="黑体" w:cs="黑体"/>
          <w:b/>
          <w:bCs/>
          <w:spacing w:val="-1"/>
          <w:sz w:val="27"/>
          <w:szCs w:val="27"/>
        </w:rPr>
        <w:t>初步危险分析(工作项目</w:t>
      </w:r>
      <w:r>
        <w:rPr>
          <w:rFonts w:ascii="黑体" w:hAnsi="黑体" w:eastAsia="黑体" w:cs="黑体"/>
          <w:spacing w:val="-64"/>
          <w:sz w:val="27"/>
          <w:szCs w:val="27"/>
        </w:rPr>
        <w:t xml:space="preserve"> </w:t>
      </w:r>
      <w:r>
        <w:rPr>
          <w:rFonts w:ascii="黑体" w:hAnsi="黑体" w:eastAsia="黑体" w:cs="黑体"/>
          <w:spacing w:val="-1"/>
          <w:sz w:val="27"/>
          <w:szCs w:val="27"/>
        </w:rPr>
        <w:t>202)</w:t>
      </w:r>
    </w:p>
    <w:p w14:paraId="201053E2">
      <w:pPr>
        <w:pStyle w:val="2"/>
        <w:spacing w:before="103" w:line="273" w:lineRule="auto"/>
        <w:ind w:firstLine="550"/>
        <w:jc w:val="both"/>
      </w:pPr>
      <w:r>
        <w:rPr>
          <w:spacing w:val="-3"/>
        </w:rPr>
        <w:t>应进行初步危险分析并记录成文，以确定安全性关键的部位，评价各种危险</w:t>
      </w:r>
      <w:r>
        <w:t xml:space="preserve"> </w:t>
      </w:r>
      <w:r>
        <w:rPr>
          <w:spacing w:val="5"/>
        </w:rPr>
        <w:t>及确定要采用的安全性设计准则。承制方应在系统研制的初期进行初步危险分</w:t>
      </w:r>
      <w:r>
        <w:rPr>
          <w:spacing w:val="10"/>
        </w:rPr>
        <w:t xml:space="preserve"> </w:t>
      </w:r>
      <w:r>
        <w:rPr>
          <w:spacing w:val="-2"/>
        </w:rPr>
        <w:t>析，获得设计方案的初始风险评价，以便在</w:t>
      </w:r>
      <w:r>
        <w:rPr>
          <w:spacing w:val="-3"/>
        </w:rPr>
        <w:t>权衡研究和设计方案的选择中考虑安</w:t>
      </w:r>
      <w:r>
        <w:t xml:space="preserve"> </w:t>
      </w:r>
      <w:r>
        <w:rPr>
          <w:spacing w:val="1"/>
        </w:rPr>
        <w:t>全性问题。对于与建议的设计或功能有关的危险，应利用有效的信息(包括类似</w:t>
      </w:r>
      <w:r>
        <w:rPr>
          <w:spacing w:val="10"/>
        </w:rPr>
        <w:t xml:space="preserve"> </w:t>
      </w:r>
      <w:r>
        <w:t>系统的事故数据和其他经验教训),评估其危险严重性、危险可能性及使用约束，</w:t>
      </w:r>
      <w:r>
        <w:rPr>
          <w:spacing w:val="13"/>
        </w:rPr>
        <w:t xml:space="preserve"> </w:t>
      </w:r>
      <w:r>
        <w:rPr>
          <w:spacing w:val="5"/>
        </w:rPr>
        <w:t>应考虑消除危险或将其风险减少到订购方可接受水平所需的安全性措施和替换</w:t>
      </w:r>
      <w:r>
        <w:rPr>
          <w:spacing w:val="10"/>
        </w:rPr>
        <w:t xml:space="preserve"> </w:t>
      </w:r>
      <w:r>
        <w:rPr>
          <w:spacing w:val="-4"/>
        </w:rPr>
        <w:t>方案。</w:t>
      </w:r>
    </w:p>
    <w:p w14:paraId="7ED533EF">
      <w:pPr>
        <w:pStyle w:val="2"/>
        <w:spacing w:before="31" w:line="218" w:lineRule="auto"/>
        <w:ind w:left="550"/>
      </w:pPr>
      <w:r>
        <w:rPr>
          <w:spacing w:val="4"/>
        </w:rPr>
        <w:t>初步危险分析至少应考虑下列内容以确定和评价</w:t>
      </w:r>
      <w:r>
        <w:rPr>
          <w:spacing w:val="3"/>
        </w:rPr>
        <w:t>危险：</w:t>
      </w:r>
    </w:p>
    <w:p w14:paraId="37A22F89">
      <w:pPr>
        <w:pStyle w:val="2"/>
        <w:spacing w:before="74" w:line="253" w:lineRule="auto"/>
        <w:ind w:right="85" w:firstLine="550"/>
      </w:pPr>
      <w:r>
        <w:rPr>
          <w:rFonts w:ascii="Times New Roman" w:hAnsi="Times New Roman" w:eastAsia="Times New Roman" w:cs="Times New Roman"/>
          <w:spacing w:val="-18"/>
        </w:rPr>
        <w:t xml:space="preserve">a)  </w:t>
      </w:r>
      <w:r>
        <w:rPr>
          <w:spacing w:val="-18"/>
        </w:rPr>
        <w:t>危险品，例如燃料、激光、炸药、有毒物、有危</w:t>
      </w:r>
      <w:r>
        <w:rPr>
          <w:spacing w:val="-19"/>
        </w:rPr>
        <w:t>险的建筑材料、压力系统、放</w:t>
      </w:r>
      <w:r>
        <w:t xml:space="preserve"> </w:t>
      </w:r>
      <w:r>
        <w:rPr>
          <w:spacing w:val="-3"/>
        </w:rPr>
        <w:t>射性物质等；</w:t>
      </w:r>
    </w:p>
    <w:p w14:paraId="4C224603">
      <w:pPr>
        <w:pStyle w:val="2"/>
        <w:spacing w:before="87" w:line="257" w:lineRule="auto"/>
        <w:ind w:right="93" w:firstLine="550"/>
      </w:pPr>
      <w:r>
        <w:rPr>
          <w:rFonts w:ascii="Times New Roman" w:hAnsi="Times New Roman" w:eastAsia="Times New Roman" w:cs="Times New Roman"/>
          <w:spacing w:val="-1"/>
        </w:rPr>
        <w:t xml:space="preserve">b)  </w:t>
      </w:r>
      <w:r>
        <w:rPr>
          <w:spacing w:val="-1"/>
        </w:rPr>
        <w:t>系统部件间接口的安全性(例如材料相容</w:t>
      </w:r>
      <w:r>
        <w:rPr>
          <w:spacing w:val="-2"/>
        </w:rPr>
        <w:t>性、电磁干扰、意外触发、火灾</w:t>
      </w:r>
      <w:r>
        <w:t xml:space="preserve"> </w:t>
      </w:r>
      <w:r>
        <w:rPr>
          <w:spacing w:val="5"/>
        </w:rPr>
        <w:t>或爆炸的发生和蔓延、硬件和软件控制等),包括软件对系统或分系统安全性的</w:t>
      </w:r>
      <w:r>
        <w:rPr>
          <w:spacing w:val="14"/>
        </w:rPr>
        <w:t xml:space="preserve"> </w:t>
      </w:r>
      <w:r>
        <w:rPr>
          <w:spacing w:val="-3"/>
        </w:rPr>
        <w:t>可能影响；</w:t>
      </w:r>
    </w:p>
    <w:p w14:paraId="59B0B4D9">
      <w:pPr>
        <w:pStyle w:val="2"/>
        <w:spacing w:before="96" w:line="262" w:lineRule="auto"/>
        <w:ind w:right="81" w:firstLine="550"/>
      </w:pPr>
      <w:r>
        <w:rPr>
          <w:rFonts w:ascii="Times New Roman" w:hAnsi="Times New Roman" w:eastAsia="Times New Roman" w:cs="Times New Roman"/>
          <w:spacing w:val="8"/>
        </w:rPr>
        <w:t>c)</w:t>
      </w:r>
      <w:r>
        <w:rPr>
          <w:rFonts w:ascii="Times New Roman" w:hAnsi="Times New Roman" w:eastAsia="Times New Roman" w:cs="Times New Roman"/>
          <w:spacing w:val="62"/>
        </w:rPr>
        <w:t xml:space="preserve"> </w:t>
      </w:r>
      <w:r>
        <w:rPr>
          <w:spacing w:val="8"/>
        </w:rPr>
        <w:t>确定控制安全性关键的软件命令和响应(例如错误命令</w:t>
      </w:r>
      <w:r>
        <w:rPr>
          <w:spacing w:val="7"/>
        </w:rPr>
        <w:t>、不适时的命令</w:t>
      </w:r>
      <w:r>
        <w:t xml:space="preserve"> </w:t>
      </w:r>
      <w:r>
        <w:rPr>
          <w:spacing w:val="1"/>
        </w:rPr>
        <w:t>或响应、或由订购方指定的不希望事件等)的安全性设计准则，采取适当措施并</w:t>
      </w:r>
      <w:r>
        <w:rPr>
          <w:spacing w:val="10"/>
        </w:rPr>
        <w:t xml:space="preserve"> </w:t>
      </w:r>
      <w:r>
        <w:rPr>
          <w:spacing w:val="2"/>
        </w:rPr>
        <w:t>将其纳入软件和相关的硬件要求中；</w:t>
      </w:r>
    </w:p>
    <w:p w14:paraId="6C969189">
      <w:pPr>
        <w:pStyle w:val="2"/>
        <w:spacing w:before="79" w:line="260" w:lineRule="auto"/>
        <w:ind w:right="83" w:firstLine="550"/>
      </w:pPr>
      <w:r>
        <w:rPr>
          <w:rFonts w:ascii="Times New Roman" w:hAnsi="Times New Roman" w:eastAsia="Times New Roman" w:cs="Times New Roman"/>
          <w:spacing w:val="-5"/>
        </w:rPr>
        <w:t xml:space="preserve">d)  </w:t>
      </w:r>
      <w:r>
        <w:rPr>
          <w:spacing w:val="-5"/>
        </w:rPr>
        <w:t>与安全性有关的设备、保险装置和可能的备选方法，例如联锁装置、冗余</w:t>
      </w:r>
      <w:r>
        <w:rPr>
          <w:spacing w:val="10"/>
        </w:rPr>
        <w:t xml:space="preserve"> </w:t>
      </w:r>
      <w:r>
        <w:rPr>
          <w:spacing w:val="-10"/>
        </w:rPr>
        <w:t>技术、硬件或软件的故障安全设计、分系统保护、灭火系统、人员防护设备、通风</w:t>
      </w:r>
      <w:r>
        <w:rPr>
          <w:spacing w:val="1"/>
        </w:rPr>
        <w:t xml:space="preserve"> </w:t>
      </w:r>
      <w:r>
        <w:rPr>
          <w:spacing w:val="-10"/>
        </w:rPr>
        <w:t>装置、噪声或辐射屏蔽等；</w:t>
      </w:r>
    </w:p>
    <w:p w14:paraId="31950DED">
      <w:pPr>
        <w:pStyle w:val="2"/>
        <w:spacing w:before="99" w:line="260" w:lineRule="auto"/>
        <w:ind w:right="100" w:firstLine="550"/>
      </w:pPr>
      <w:r>
        <w:rPr>
          <w:rFonts w:ascii="Times New Roman" w:hAnsi="Times New Roman" w:eastAsia="Times New Roman" w:cs="Times New Roman"/>
          <w:spacing w:val="-12"/>
        </w:rPr>
        <w:t xml:space="preserve">e)  </w:t>
      </w:r>
      <w:r>
        <w:rPr>
          <w:spacing w:val="-12"/>
        </w:rPr>
        <w:t>包括使用环境在内的环境约束条件，例如坠落、冲击、振动、极限温度、噪</w:t>
      </w:r>
      <w:r>
        <w:rPr>
          <w:spacing w:val="2"/>
        </w:rPr>
        <w:t xml:space="preserve"> </w:t>
      </w:r>
      <w:r>
        <w:rPr>
          <w:spacing w:val="-17"/>
        </w:rPr>
        <w:t>声、接触有毒物质、有害健康的环境、火灾、静电放电、雷击、电磁环境影响</w:t>
      </w:r>
      <w:r>
        <w:rPr>
          <w:spacing w:val="-18"/>
        </w:rPr>
        <w:t>，包括</w:t>
      </w:r>
      <w:r>
        <w:t xml:space="preserve"> </w:t>
      </w:r>
      <w:r>
        <w:rPr>
          <w:spacing w:val="2"/>
        </w:rPr>
        <w:t>激光辐射在内的电离和非电离辐射等；</w:t>
      </w:r>
    </w:p>
    <w:p w14:paraId="7F627C3D">
      <w:pPr>
        <w:pStyle w:val="2"/>
        <w:spacing w:before="78" w:line="260" w:lineRule="auto"/>
        <w:ind w:right="100" w:firstLine="550"/>
      </w:pPr>
      <w:r>
        <w:rPr>
          <w:rFonts w:ascii="Times New Roman" w:hAnsi="Times New Roman" w:eastAsia="Times New Roman" w:cs="Times New Roman"/>
          <w:spacing w:val="-11"/>
        </w:rPr>
        <w:t xml:space="preserve">f)  </w:t>
      </w:r>
      <w:r>
        <w:rPr>
          <w:spacing w:val="-11"/>
        </w:rPr>
        <w:t>操作、试验、维修和应急规程，例如人素工程、操作人员的</w:t>
      </w:r>
      <w:r>
        <w:rPr>
          <w:spacing w:val="-12"/>
        </w:rPr>
        <w:t>作用、任务要求</w:t>
      </w:r>
      <w:r>
        <w:t xml:space="preserve"> </w:t>
      </w:r>
      <w:r>
        <w:rPr>
          <w:spacing w:val="-10"/>
        </w:rPr>
        <w:t>等的人为差错分析；设备布置、照明要求、可能外露的有毒物质等因素的影响，噪</w:t>
      </w:r>
    </w:p>
    <w:p w14:paraId="272A13DF">
      <w:pPr>
        <w:spacing w:line="260" w:lineRule="auto"/>
        <w:sectPr>
          <w:footerReference r:id="rId543" w:type="default"/>
          <w:pgSz w:w="11910" w:h="17130"/>
          <w:pgMar w:top="400" w:right="1305" w:bottom="1613" w:left="1140" w:header="0" w:footer="1414" w:gutter="0"/>
          <w:cols w:space="720" w:num="1"/>
        </w:sectPr>
      </w:pPr>
    </w:p>
    <w:p w14:paraId="51D6C544">
      <w:pPr>
        <w:spacing w:line="242" w:lineRule="auto"/>
        <w:rPr>
          <w:rFonts w:ascii="Arial"/>
          <w:sz w:val="21"/>
        </w:rPr>
      </w:pPr>
    </w:p>
    <w:p w14:paraId="38904D73">
      <w:pPr>
        <w:spacing w:line="243" w:lineRule="auto"/>
        <w:rPr>
          <w:rFonts w:ascii="Arial"/>
          <w:sz w:val="21"/>
        </w:rPr>
      </w:pPr>
    </w:p>
    <w:p w14:paraId="5E51FA3C">
      <w:pPr>
        <w:spacing w:line="243" w:lineRule="auto"/>
        <w:rPr>
          <w:rFonts w:ascii="Arial"/>
          <w:sz w:val="21"/>
        </w:rPr>
      </w:pPr>
    </w:p>
    <w:p w14:paraId="7BA593E3">
      <w:pPr>
        <w:spacing w:line="243" w:lineRule="auto"/>
        <w:rPr>
          <w:rFonts w:ascii="Arial"/>
          <w:sz w:val="21"/>
        </w:rPr>
      </w:pPr>
    </w:p>
    <w:p w14:paraId="1DA5A570">
      <w:pPr>
        <w:pStyle w:val="2"/>
        <w:spacing w:before="82" w:line="292" w:lineRule="auto"/>
        <w:ind w:right="28"/>
        <w:rPr>
          <w:sz w:val="25"/>
          <w:szCs w:val="25"/>
        </w:rPr>
      </w:pPr>
      <w:r>
        <w:rPr>
          <w:spacing w:val="18"/>
          <w:sz w:val="25"/>
          <w:szCs w:val="25"/>
        </w:rPr>
        <w:t>声或辐射对人的能力的影响，载人系统中的生命保</w:t>
      </w:r>
      <w:r>
        <w:rPr>
          <w:spacing w:val="17"/>
          <w:sz w:val="25"/>
          <w:szCs w:val="25"/>
        </w:rPr>
        <w:t>障要求及其安全性问题，例如</w:t>
      </w:r>
      <w:r>
        <w:rPr>
          <w:sz w:val="25"/>
          <w:szCs w:val="25"/>
        </w:rPr>
        <w:t xml:space="preserve"> </w:t>
      </w:r>
      <w:r>
        <w:rPr>
          <w:spacing w:val="-1"/>
          <w:sz w:val="25"/>
          <w:szCs w:val="25"/>
        </w:rPr>
        <w:t>坠落安全性、应急出口、营救、救生等；</w:t>
      </w:r>
    </w:p>
    <w:p w14:paraId="2A406CAB">
      <w:pPr>
        <w:pStyle w:val="2"/>
        <w:spacing w:line="292" w:lineRule="auto"/>
        <w:ind w:right="35" w:firstLine="550"/>
      </w:pPr>
      <w:r>
        <w:rPr>
          <w:rFonts w:ascii="Times New Roman" w:hAnsi="Times New Roman" w:eastAsia="Times New Roman" w:cs="Times New Roman"/>
          <w:spacing w:val="-5"/>
        </w:rPr>
        <w:t>g)</w:t>
      </w:r>
      <w:r>
        <w:rPr>
          <w:rFonts w:ascii="Times New Roman" w:hAnsi="Times New Roman" w:eastAsia="Times New Roman" w:cs="Times New Roman"/>
          <w:spacing w:val="56"/>
        </w:rPr>
        <w:t xml:space="preserve"> </w:t>
      </w:r>
      <w:r>
        <w:rPr>
          <w:spacing w:val="-5"/>
        </w:rPr>
        <w:t>设施、保障设备，例如用于含有危险物质的系统或组件</w:t>
      </w:r>
      <w:r>
        <w:rPr>
          <w:spacing w:val="-6"/>
        </w:rPr>
        <w:t>的贮存、组装、检</w:t>
      </w:r>
      <w:r>
        <w:t xml:space="preserve"> </w:t>
      </w:r>
      <w:r>
        <w:rPr>
          <w:spacing w:val="-13"/>
        </w:rPr>
        <w:t>查、检验等方面的设备，射线或噪声发射器，电源等。</w:t>
      </w:r>
    </w:p>
    <w:p w14:paraId="1E8B72A7">
      <w:pPr>
        <w:spacing w:before="1" w:line="220" w:lineRule="auto"/>
        <w:rPr>
          <w:rFonts w:ascii="黑体" w:hAnsi="黑体" w:eastAsia="黑体" w:cs="黑体"/>
          <w:sz w:val="27"/>
          <w:szCs w:val="27"/>
        </w:rPr>
      </w:pPr>
      <w:r>
        <w:rPr>
          <w:rFonts w:ascii="黑体" w:hAnsi="黑体" w:eastAsia="黑体" w:cs="黑体"/>
          <w:spacing w:val="2"/>
          <w:sz w:val="27"/>
          <w:szCs w:val="27"/>
        </w:rPr>
        <w:t>5.2.3</w:t>
      </w:r>
      <w:r>
        <w:rPr>
          <w:rFonts w:ascii="黑体" w:hAnsi="黑体" w:eastAsia="黑体" w:cs="黑体"/>
          <w:spacing w:val="32"/>
          <w:sz w:val="27"/>
          <w:szCs w:val="27"/>
        </w:rPr>
        <w:t xml:space="preserve">  </w:t>
      </w:r>
      <w:r>
        <w:rPr>
          <w:rFonts w:ascii="黑体" w:hAnsi="黑体" w:eastAsia="黑体" w:cs="黑体"/>
          <w:b/>
          <w:bCs/>
          <w:spacing w:val="2"/>
          <w:sz w:val="27"/>
          <w:szCs w:val="27"/>
        </w:rPr>
        <w:t>分系统危险分析(工作项目</w:t>
      </w:r>
      <w:r>
        <w:rPr>
          <w:rFonts w:ascii="黑体" w:hAnsi="黑体" w:eastAsia="黑体" w:cs="黑体"/>
          <w:spacing w:val="2"/>
          <w:sz w:val="27"/>
          <w:szCs w:val="27"/>
        </w:rPr>
        <w:t>203)</w:t>
      </w:r>
    </w:p>
    <w:p w14:paraId="7669E234">
      <w:pPr>
        <w:pStyle w:val="2"/>
        <w:spacing w:before="82" w:line="272" w:lineRule="auto"/>
        <w:ind w:right="21" w:firstLine="550"/>
        <w:jc w:val="both"/>
      </w:pPr>
      <w:r>
        <w:rPr>
          <w:spacing w:val="6"/>
        </w:rPr>
        <w:t>应进行分系统危险分析并记录成文，确定与分系统有关</w:t>
      </w:r>
      <w:r>
        <w:rPr>
          <w:spacing w:val="5"/>
        </w:rPr>
        <w:t>的危险以及由分系</w:t>
      </w:r>
      <w:r>
        <w:t xml:space="preserve"> </w:t>
      </w:r>
      <w:r>
        <w:rPr>
          <w:spacing w:val="5"/>
        </w:rPr>
        <w:t>统的部件和设备之间功能关系所导致的危险，确定分系统部件的使用和故障对</w:t>
      </w:r>
      <w:r>
        <w:rPr>
          <w:spacing w:val="10"/>
        </w:rPr>
        <w:t xml:space="preserve"> </w:t>
      </w:r>
      <w:r>
        <w:rPr>
          <w:spacing w:val="5"/>
        </w:rPr>
        <w:t>系统安全性的影响方式。若未规定分析的方法，承制方在进行分系统危险分析</w:t>
      </w:r>
      <w:r>
        <w:rPr>
          <w:spacing w:val="10"/>
        </w:rPr>
        <w:t xml:space="preserve"> </w:t>
      </w:r>
      <w:r>
        <w:rPr>
          <w:spacing w:val="-5"/>
        </w:rPr>
        <w:t>前，拟用的方法应得到订购方的认可。</w:t>
      </w:r>
    </w:p>
    <w:p w14:paraId="2C8AA99F">
      <w:pPr>
        <w:pStyle w:val="2"/>
        <w:spacing w:before="30" w:line="271" w:lineRule="auto"/>
        <w:ind w:right="27" w:firstLine="550"/>
        <w:jc w:val="both"/>
      </w:pPr>
      <w:r>
        <w:rPr>
          <w:spacing w:val="-3"/>
        </w:rPr>
        <w:t>应进行分系统危险分析，以确定其中因性能、性能下降、功能故障或意外动</w:t>
      </w:r>
      <w:r>
        <w:rPr>
          <w:spacing w:val="6"/>
        </w:rPr>
        <w:t xml:space="preserve"> </w:t>
      </w:r>
      <w:r>
        <w:rPr>
          <w:spacing w:val="9"/>
        </w:rPr>
        <w:t>作等可能导致危险的或其设计不满足合同安全性要求的所有部件和设备(包括</w:t>
      </w:r>
      <w:r>
        <w:rPr>
          <w:spacing w:val="8"/>
        </w:rPr>
        <w:t xml:space="preserve"> </w:t>
      </w:r>
      <w:r>
        <w:t>软件),分析应确定：</w:t>
      </w:r>
    </w:p>
    <w:p w14:paraId="5F2720AB">
      <w:pPr>
        <w:pStyle w:val="2"/>
        <w:spacing w:line="258" w:lineRule="auto"/>
        <w:ind w:right="13" w:firstLine="550"/>
      </w:pPr>
      <w:r>
        <w:rPr>
          <w:rFonts w:ascii="Times New Roman" w:hAnsi="Times New Roman" w:eastAsia="Times New Roman" w:cs="Times New Roman"/>
          <w:spacing w:val="4"/>
        </w:rPr>
        <w:t>a)</w:t>
      </w:r>
      <w:r>
        <w:rPr>
          <w:rFonts w:ascii="Times New Roman" w:hAnsi="Times New Roman" w:eastAsia="Times New Roman" w:cs="Times New Roman"/>
          <w:spacing w:val="63"/>
        </w:rPr>
        <w:t xml:space="preserve"> </w:t>
      </w:r>
      <w:r>
        <w:rPr>
          <w:spacing w:val="4"/>
        </w:rPr>
        <w:t>故障模式，包括可能的人为差错和单点故障以</w:t>
      </w:r>
      <w:r>
        <w:rPr>
          <w:spacing w:val="3"/>
        </w:rPr>
        <w:t>及分系统部件故障对安全</w:t>
      </w:r>
      <w:r>
        <w:t xml:space="preserve"> </w:t>
      </w:r>
      <w:r>
        <w:rPr>
          <w:spacing w:val="-3"/>
        </w:rPr>
        <w:t>性的影响；</w:t>
      </w:r>
    </w:p>
    <w:p w14:paraId="769BD660">
      <w:pPr>
        <w:pStyle w:val="2"/>
        <w:spacing w:before="56" w:line="262" w:lineRule="auto"/>
        <w:ind w:right="13" w:firstLine="550"/>
      </w:pPr>
      <w:r>
        <w:rPr>
          <w:rFonts w:ascii="Times New Roman" w:hAnsi="Times New Roman" w:eastAsia="Times New Roman" w:cs="Times New Roman"/>
          <w:spacing w:val="20"/>
        </w:rPr>
        <w:t>b)</w:t>
      </w:r>
      <w:r>
        <w:rPr>
          <w:rFonts w:ascii="Times New Roman" w:hAnsi="Times New Roman" w:eastAsia="Times New Roman" w:cs="Times New Roman"/>
          <w:spacing w:val="5"/>
        </w:rPr>
        <w:t xml:space="preserve">  </w:t>
      </w:r>
      <w:r>
        <w:rPr>
          <w:spacing w:val="20"/>
        </w:rPr>
        <w:t>软件事件、故障和偶然事件(例如定时不当)对分</w:t>
      </w:r>
      <w:r>
        <w:rPr>
          <w:spacing w:val="19"/>
        </w:rPr>
        <w:t>系统安全性的可能</w:t>
      </w:r>
      <w:r>
        <w:t xml:space="preserve"> </w:t>
      </w:r>
      <w:r>
        <w:rPr>
          <w:spacing w:val="-6"/>
        </w:rPr>
        <w:t>影响；</w:t>
      </w:r>
    </w:p>
    <w:p w14:paraId="3706B30A">
      <w:pPr>
        <w:pStyle w:val="2"/>
        <w:spacing w:before="52"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64"/>
          <w:w w:val="101"/>
        </w:rPr>
        <w:t xml:space="preserve"> </w:t>
      </w:r>
      <w:r>
        <w:rPr>
          <w:spacing w:val="4"/>
        </w:rPr>
        <w:t>软件规格说明中的安全性设计准则已得到满足；</w:t>
      </w:r>
    </w:p>
    <w:p w14:paraId="751B1EAF">
      <w:pPr>
        <w:pStyle w:val="2"/>
        <w:spacing w:before="102" w:line="257" w:lineRule="auto"/>
        <w:ind w:right="14" w:firstLine="550"/>
      </w:pPr>
      <w:r>
        <w:rPr>
          <w:rFonts w:ascii="Times New Roman" w:hAnsi="Times New Roman" w:eastAsia="Times New Roman" w:cs="Times New Roman"/>
          <w:spacing w:val="11"/>
        </w:rPr>
        <w:t xml:space="preserve">d)  </w:t>
      </w:r>
      <w:r>
        <w:rPr>
          <w:spacing w:val="11"/>
        </w:rPr>
        <w:t>软件设计需求及纠正措施的实现方法不影响或降低分系统的安</w:t>
      </w:r>
      <w:r>
        <w:rPr>
          <w:spacing w:val="10"/>
        </w:rPr>
        <w:t>全性或</w:t>
      </w:r>
      <w:r>
        <w:t xml:space="preserve"> 引入新的危险。</w:t>
      </w:r>
    </w:p>
    <w:p w14:paraId="112B3AB8">
      <w:pPr>
        <w:spacing w:before="81" w:line="221" w:lineRule="auto"/>
        <w:rPr>
          <w:rFonts w:ascii="黑体" w:hAnsi="黑体" w:eastAsia="黑体" w:cs="黑体"/>
          <w:sz w:val="27"/>
          <w:szCs w:val="27"/>
        </w:rPr>
      </w:pPr>
      <w:r>
        <w:rPr>
          <w:rFonts w:ascii="黑体" w:hAnsi="黑体" w:eastAsia="黑体" w:cs="黑体"/>
          <w:spacing w:val="1"/>
          <w:sz w:val="27"/>
          <w:szCs w:val="27"/>
        </w:rPr>
        <w:t>5.2.4</w:t>
      </w:r>
      <w:r>
        <w:rPr>
          <w:rFonts w:ascii="黑体" w:hAnsi="黑体" w:eastAsia="黑体" w:cs="黑体"/>
          <w:spacing w:val="39"/>
          <w:sz w:val="27"/>
          <w:szCs w:val="27"/>
        </w:rPr>
        <w:t xml:space="preserve">  </w:t>
      </w:r>
      <w:r>
        <w:rPr>
          <w:rFonts w:ascii="黑体" w:hAnsi="黑体" w:eastAsia="黑体" w:cs="黑体"/>
          <w:b/>
          <w:bCs/>
          <w:spacing w:val="1"/>
          <w:sz w:val="27"/>
          <w:szCs w:val="27"/>
        </w:rPr>
        <w:t>系统危险分析(工作项目</w:t>
      </w:r>
      <w:r>
        <w:rPr>
          <w:rFonts w:ascii="黑体" w:hAnsi="黑体" w:eastAsia="黑体" w:cs="黑体"/>
          <w:spacing w:val="1"/>
          <w:sz w:val="27"/>
          <w:szCs w:val="27"/>
        </w:rPr>
        <w:t>204)</w:t>
      </w:r>
    </w:p>
    <w:p w14:paraId="7D42CF2C">
      <w:pPr>
        <w:pStyle w:val="2"/>
        <w:spacing w:before="91" w:line="279" w:lineRule="auto"/>
        <w:ind w:right="33" w:firstLine="550"/>
        <w:jc w:val="both"/>
      </w:pPr>
      <w:r>
        <w:rPr>
          <w:spacing w:val="-3"/>
        </w:rPr>
        <w:t>应进行系统危险分析并记录成文，确定系统设计中有安全性问题的部</w:t>
      </w:r>
      <w:r>
        <w:rPr>
          <w:spacing w:val="-4"/>
        </w:rPr>
        <w:t>位，特</w:t>
      </w:r>
      <w:r>
        <w:t xml:space="preserve"> </w:t>
      </w:r>
      <w:r>
        <w:rPr>
          <w:spacing w:val="5"/>
        </w:rPr>
        <w:t>别是分系统之间的接口的危险(包括可能的安全性关键的人为差错)并评价其风</w:t>
      </w:r>
      <w:r>
        <w:rPr>
          <w:spacing w:val="6"/>
        </w:rPr>
        <w:t xml:space="preserve"> </w:t>
      </w:r>
      <w:r>
        <w:rPr>
          <w:spacing w:val="5"/>
        </w:rPr>
        <w:t>险，确定系统的使用和故障模式对系统及其分系统的影响。若未规定分析的方</w:t>
      </w:r>
      <w:r>
        <w:rPr>
          <w:spacing w:val="9"/>
        </w:rPr>
        <w:t xml:space="preserve"> </w:t>
      </w:r>
      <w:r>
        <w:rPr>
          <w:spacing w:val="-4"/>
        </w:rPr>
        <w:t>法，承制方在进行系统危险分析前，拟用的分析方法应得到订购方的认可。</w:t>
      </w:r>
    </w:p>
    <w:p w14:paraId="77662903">
      <w:pPr>
        <w:pStyle w:val="2"/>
        <w:spacing w:before="10" w:line="219" w:lineRule="auto"/>
        <w:ind w:left="550"/>
      </w:pPr>
      <w:r>
        <w:rPr>
          <w:spacing w:val="3"/>
        </w:rPr>
        <w:t>系统危险分析应包括评审各分系统间关系的下列内容：</w:t>
      </w:r>
    </w:p>
    <w:p w14:paraId="0B922B5A">
      <w:pPr>
        <w:pStyle w:val="2"/>
        <w:spacing w:before="108" w:line="219" w:lineRule="auto"/>
        <w:ind w:left="550"/>
        <w:rPr>
          <w:sz w:val="24"/>
          <w:szCs w:val="24"/>
        </w:rPr>
      </w:pPr>
      <w:r>
        <w:rPr>
          <w:rFonts w:ascii="Times New Roman" w:hAnsi="Times New Roman" w:eastAsia="Times New Roman" w:cs="Times New Roman"/>
          <w:spacing w:val="29"/>
          <w:sz w:val="24"/>
          <w:szCs w:val="24"/>
        </w:rPr>
        <w:t>a</w:t>
      </w:r>
      <w:r>
        <w:rPr>
          <w:spacing w:val="29"/>
          <w:sz w:val="24"/>
          <w:szCs w:val="24"/>
        </w:rPr>
        <w:t>)</w:t>
      </w:r>
      <w:r>
        <w:rPr>
          <w:spacing w:val="-33"/>
          <w:sz w:val="24"/>
          <w:szCs w:val="24"/>
        </w:rPr>
        <w:t xml:space="preserve"> </w:t>
      </w:r>
      <w:r>
        <w:rPr>
          <w:spacing w:val="29"/>
          <w:sz w:val="24"/>
          <w:szCs w:val="24"/>
        </w:rPr>
        <w:t>是否符合规定的安全性准则；</w:t>
      </w:r>
    </w:p>
    <w:p w14:paraId="41075B57">
      <w:pPr>
        <w:pStyle w:val="2"/>
        <w:spacing w:before="75" w:line="257" w:lineRule="auto"/>
        <w:ind w:right="32" w:firstLine="550"/>
      </w:pPr>
      <w:r>
        <w:rPr>
          <w:rFonts w:ascii="Times New Roman" w:hAnsi="Times New Roman" w:eastAsia="Times New Roman" w:cs="Times New Roman"/>
          <w:spacing w:val="2"/>
        </w:rPr>
        <w:t>b)</w:t>
      </w:r>
      <w:r>
        <w:rPr>
          <w:rFonts w:ascii="Times New Roman" w:hAnsi="Times New Roman" w:eastAsia="Times New Roman" w:cs="Times New Roman"/>
          <w:spacing w:val="84"/>
        </w:rPr>
        <w:t xml:space="preserve"> </w:t>
      </w:r>
      <w:r>
        <w:rPr>
          <w:spacing w:val="2"/>
        </w:rPr>
        <w:t>独立的、相关的和同时发生的危险事件，包括安全装置的故障或产生危</w:t>
      </w:r>
      <w:r>
        <w:t xml:space="preserve"> 险的共同原因；</w:t>
      </w:r>
    </w:p>
    <w:p w14:paraId="54E94785">
      <w:pPr>
        <w:pStyle w:val="2"/>
        <w:spacing w:before="69" w:line="212" w:lineRule="auto"/>
        <w:ind w:left="550"/>
      </w:pPr>
      <w:r>
        <w:rPr>
          <w:rFonts w:ascii="Times New Roman" w:hAnsi="Times New Roman" w:eastAsia="Times New Roman" w:cs="Times New Roman"/>
          <w:spacing w:val="5"/>
        </w:rPr>
        <w:t>c)</w:t>
      </w:r>
      <w:r>
        <w:rPr>
          <w:rFonts w:ascii="Times New Roman" w:hAnsi="Times New Roman" w:eastAsia="Times New Roman" w:cs="Times New Roman"/>
          <w:spacing w:val="41"/>
        </w:rPr>
        <w:t xml:space="preserve"> </w:t>
      </w:r>
      <w:r>
        <w:rPr>
          <w:spacing w:val="5"/>
        </w:rPr>
        <w:t>由于分系统的正常使用导致另一分系统或整个系统安全性的降低；</w:t>
      </w:r>
    </w:p>
    <w:p w14:paraId="5BBC4351">
      <w:pPr>
        <w:pStyle w:val="2"/>
        <w:spacing w:before="90" w:line="212" w:lineRule="auto"/>
        <w:ind w:left="550"/>
      </w:pPr>
      <w:r>
        <w:rPr>
          <w:rFonts w:ascii="Times New Roman" w:hAnsi="Times New Roman" w:eastAsia="Times New Roman" w:cs="Times New Roman"/>
          <w:spacing w:val="1"/>
        </w:rPr>
        <w:t>d)</w:t>
      </w:r>
      <w:r>
        <w:rPr>
          <w:rFonts w:ascii="Times New Roman" w:hAnsi="Times New Roman" w:eastAsia="Times New Roman" w:cs="Times New Roman"/>
          <w:spacing w:val="77"/>
        </w:rPr>
        <w:t xml:space="preserve"> </w:t>
      </w:r>
      <w:r>
        <w:rPr>
          <w:spacing w:val="1"/>
        </w:rPr>
        <w:t>设计更改对分系统的影响；</w:t>
      </w:r>
    </w:p>
    <w:p w14:paraId="3EF3DABC">
      <w:pPr>
        <w:pStyle w:val="2"/>
        <w:spacing w:before="90" w:line="212" w:lineRule="auto"/>
        <w:ind w:left="550"/>
      </w:pPr>
      <w:r>
        <w:rPr>
          <w:rFonts w:ascii="Times New Roman" w:hAnsi="Times New Roman" w:eastAsia="Times New Roman" w:cs="Times New Roman"/>
          <w:spacing w:val="3"/>
        </w:rPr>
        <w:t>e)</w:t>
      </w:r>
      <w:r>
        <w:rPr>
          <w:rFonts w:ascii="Times New Roman" w:hAnsi="Times New Roman" w:eastAsia="Times New Roman" w:cs="Times New Roman"/>
          <w:spacing w:val="66"/>
          <w:w w:val="101"/>
        </w:rPr>
        <w:t xml:space="preserve"> </w:t>
      </w:r>
      <w:r>
        <w:rPr>
          <w:spacing w:val="3"/>
        </w:rPr>
        <w:t>人为差错的影响；</w:t>
      </w:r>
    </w:p>
    <w:p w14:paraId="3BE18A24">
      <w:pPr>
        <w:pStyle w:val="2"/>
        <w:spacing w:before="130" w:line="212" w:lineRule="auto"/>
        <w:ind w:left="550"/>
      </w:pPr>
      <w:r>
        <w:rPr>
          <w:rFonts w:ascii="Times New Roman" w:hAnsi="Times New Roman" w:eastAsia="Times New Roman" w:cs="Times New Roman"/>
        </w:rPr>
        <w:t xml:space="preserve">f)  </w:t>
      </w:r>
      <w:r>
        <w:t>软件事件、故障和偶然事件(如定时不当)对系统安全性的可能影响；</w:t>
      </w:r>
    </w:p>
    <w:p w14:paraId="3616798E">
      <w:pPr>
        <w:pStyle w:val="2"/>
        <w:spacing w:before="90" w:line="212" w:lineRule="auto"/>
        <w:ind w:left="550"/>
      </w:pPr>
      <w:r>
        <w:rPr>
          <w:rFonts w:ascii="Times New Roman" w:hAnsi="Times New Roman" w:eastAsia="Times New Roman" w:cs="Times New Roman"/>
          <w:spacing w:val="4"/>
        </w:rPr>
        <w:t xml:space="preserve">g)  </w:t>
      </w:r>
      <w:r>
        <w:rPr>
          <w:spacing w:val="4"/>
        </w:rPr>
        <w:t>软件规格说明中的安全性设计准则已得到满足；</w:t>
      </w:r>
    </w:p>
    <w:p w14:paraId="3148A328">
      <w:pPr>
        <w:pStyle w:val="2"/>
        <w:spacing w:before="110" w:line="212" w:lineRule="auto"/>
        <w:jc w:val="right"/>
      </w:pPr>
      <w:r>
        <w:rPr>
          <w:rFonts w:ascii="Times New Roman" w:hAnsi="Times New Roman" w:eastAsia="Times New Roman" w:cs="Times New Roman"/>
          <w:spacing w:val="11"/>
        </w:rPr>
        <w:t xml:space="preserve">h)  </w:t>
      </w:r>
      <w:r>
        <w:rPr>
          <w:spacing w:val="11"/>
        </w:rPr>
        <w:t>软件设计需求及纠正措施的实现方法不影响或降低系统的安全性或引</w:t>
      </w:r>
    </w:p>
    <w:p w14:paraId="1999ACC0">
      <w:pPr>
        <w:spacing w:line="212" w:lineRule="auto"/>
        <w:sectPr>
          <w:footerReference r:id="rId544" w:type="default"/>
          <w:pgSz w:w="11910" w:h="17130"/>
          <w:pgMar w:top="400" w:right="903" w:bottom="1750" w:left="1609" w:header="0" w:footer="1464" w:gutter="0"/>
          <w:cols w:space="720" w:num="1"/>
        </w:sectPr>
      </w:pPr>
    </w:p>
    <w:p w14:paraId="4FD796A4">
      <w:pPr>
        <w:spacing w:line="264" w:lineRule="auto"/>
        <w:rPr>
          <w:rFonts w:ascii="Arial"/>
          <w:sz w:val="21"/>
        </w:rPr>
      </w:pPr>
    </w:p>
    <w:p w14:paraId="2188F38F">
      <w:pPr>
        <w:spacing w:line="264" w:lineRule="auto"/>
        <w:rPr>
          <w:rFonts w:ascii="Arial"/>
          <w:sz w:val="21"/>
        </w:rPr>
      </w:pPr>
    </w:p>
    <w:p w14:paraId="32E612F2">
      <w:pPr>
        <w:spacing w:line="264" w:lineRule="auto"/>
        <w:rPr>
          <w:rFonts w:ascii="Arial"/>
          <w:sz w:val="21"/>
        </w:rPr>
      </w:pPr>
    </w:p>
    <w:p w14:paraId="5A964D97">
      <w:pPr>
        <w:spacing w:line="265" w:lineRule="auto"/>
        <w:rPr>
          <w:rFonts w:ascii="Arial"/>
          <w:sz w:val="21"/>
        </w:rPr>
      </w:pPr>
    </w:p>
    <w:p w14:paraId="75928D61">
      <w:pPr>
        <w:pStyle w:val="2"/>
        <w:spacing w:before="88" w:line="220" w:lineRule="auto"/>
      </w:pPr>
      <w:r>
        <w:rPr>
          <w:spacing w:val="-1"/>
        </w:rPr>
        <w:t>入新的危险。</w:t>
      </w:r>
    </w:p>
    <w:p w14:paraId="230E7489">
      <w:pPr>
        <w:spacing w:before="61" w:line="222" w:lineRule="auto"/>
        <w:rPr>
          <w:rFonts w:ascii="黑体" w:hAnsi="黑体" w:eastAsia="黑体" w:cs="黑体"/>
          <w:sz w:val="27"/>
          <w:szCs w:val="27"/>
        </w:rPr>
      </w:pPr>
      <w:r>
        <w:rPr>
          <w:rFonts w:ascii="黑体" w:hAnsi="黑体" w:eastAsia="黑体" w:cs="黑体"/>
          <w:spacing w:val="4"/>
          <w:sz w:val="27"/>
          <w:szCs w:val="27"/>
        </w:rPr>
        <w:t xml:space="preserve">5.2.5  </w:t>
      </w:r>
      <w:r>
        <w:rPr>
          <w:rFonts w:ascii="黑体" w:hAnsi="黑体" w:eastAsia="黑体" w:cs="黑体"/>
          <w:b/>
          <w:bCs/>
          <w:spacing w:val="4"/>
          <w:sz w:val="27"/>
          <w:szCs w:val="27"/>
        </w:rPr>
        <w:t>使用和保障危险分析(工作项目</w:t>
      </w:r>
      <w:r>
        <w:rPr>
          <w:rFonts w:ascii="黑体" w:hAnsi="黑体" w:eastAsia="黑体" w:cs="黑体"/>
          <w:spacing w:val="4"/>
          <w:sz w:val="27"/>
          <w:szCs w:val="27"/>
        </w:rPr>
        <w:t>205)</w:t>
      </w:r>
    </w:p>
    <w:p w14:paraId="7916540E">
      <w:pPr>
        <w:pStyle w:val="2"/>
        <w:spacing w:before="77" w:line="283" w:lineRule="auto"/>
        <w:ind w:firstLine="560"/>
        <w:jc w:val="both"/>
      </w:pPr>
      <w:r>
        <w:rPr>
          <w:spacing w:val="1"/>
        </w:rPr>
        <w:t>应进行使用和保障危险分析并记录成文，以确定和评价系统使用中与环境、</w:t>
      </w:r>
      <w:r>
        <w:t xml:space="preserve"> </w:t>
      </w:r>
      <w:r>
        <w:rPr>
          <w:spacing w:val="-3"/>
        </w:rPr>
        <w:t>人员、规程和设备有关的危险。若未规定分析的方法，承制方在进行使用和保障</w:t>
      </w:r>
      <w:r>
        <w:rPr>
          <w:spacing w:val="2"/>
        </w:rPr>
        <w:t xml:space="preserve">  </w:t>
      </w:r>
      <w:r>
        <w:t>危险分析前，拟用的分析方法应得到订购方的认可。工作</w:t>
      </w:r>
      <w:r>
        <w:rPr>
          <w:spacing w:val="-1"/>
        </w:rPr>
        <w:t>项目要点包括：</w:t>
      </w:r>
    </w:p>
    <w:p w14:paraId="35DA7B10">
      <w:pPr>
        <w:pStyle w:val="2"/>
        <w:spacing w:before="6" w:line="272" w:lineRule="auto"/>
        <w:ind w:right="119" w:firstLine="560"/>
        <w:jc w:val="both"/>
      </w:pPr>
      <w:r>
        <w:rPr>
          <w:spacing w:val="-3"/>
        </w:rPr>
        <w:t>应确定和评价系统使用中的危险，应考虑：计划的系统配置和(或)状态；设</w:t>
      </w:r>
      <w:r>
        <w:rPr>
          <w:spacing w:val="13"/>
        </w:rPr>
        <w:t xml:space="preserve"> </w:t>
      </w:r>
      <w:r>
        <w:rPr>
          <w:spacing w:val="-2"/>
        </w:rPr>
        <w:t>施的接口；计划的环境；保障工具或其他设备，包括软件控制的自动测试设备或</w:t>
      </w:r>
      <w:r>
        <w:rPr>
          <w:spacing w:val="1"/>
        </w:rPr>
        <w:t xml:space="preserve"> </w:t>
      </w:r>
      <w:r>
        <w:rPr>
          <w:spacing w:val="-10"/>
        </w:rPr>
        <w:t>规定使用的设备；操作或工作的次序，同时进行工作的影响和限</w:t>
      </w:r>
      <w:r>
        <w:rPr>
          <w:spacing w:val="-11"/>
        </w:rPr>
        <w:t>制；生物因素；有</w:t>
      </w:r>
      <w:r>
        <w:t xml:space="preserve"> </w:t>
      </w:r>
      <w:r>
        <w:rPr>
          <w:spacing w:val="-2"/>
        </w:rPr>
        <w:t>关规定或合同规定的人员安全和健康要求；可能的非计划事件，包括由于人为差</w:t>
      </w:r>
      <w:r>
        <w:rPr>
          <w:spacing w:val="3"/>
        </w:rPr>
        <w:t xml:space="preserve"> </w:t>
      </w:r>
      <w:r>
        <w:rPr>
          <w:spacing w:val="-1"/>
        </w:rPr>
        <w:t>错产生的危险。</w:t>
      </w:r>
    </w:p>
    <w:p w14:paraId="67054993">
      <w:pPr>
        <w:pStyle w:val="2"/>
        <w:spacing w:before="37" w:line="270" w:lineRule="auto"/>
        <w:ind w:right="121" w:firstLine="560"/>
      </w:pPr>
      <w:r>
        <w:rPr>
          <w:spacing w:val="14"/>
        </w:rPr>
        <w:t>为消除已判定的危险或将其风险减少到有关规定或合同规定的可接受水</w:t>
      </w:r>
      <w:r>
        <w:rPr>
          <w:spacing w:val="18"/>
        </w:rPr>
        <w:t xml:space="preserve"> </w:t>
      </w:r>
      <w:r>
        <w:rPr>
          <w:spacing w:val="-3"/>
        </w:rPr>
        <w:t>平，确定所需的安全性要求或备选方案。</w:t>
      </w:r>
    </w:p>
    <w:p w14:paraId="14A198FE">
      <w:pPr>
        <w:pStyle w:val="2"/>
        <w:spacing w:line="220" w:lineRule="auto"/>
        <w:ind w:left="560"/>
      </w:pPr>
      <w:r>
        <w:rPr>
          <w:spacing w:val="-3"/>
        </w:rPr>
        <w:t>分析应确定：</w:t>
      </w:r>
    </w:p>
    <w:p w14:paraId="21DE4A02">
      <w:pPr>
        <w:pStyle w:val="2"/>
        <w:spacing w:before="56" w:line="260" w:lineRule="auto"/>
        <w:ind w:right="118" w:firstLine="560"/>
      </w:pPr>
      <w:r>
        <w:rPr>
          <w:rFonts w:ascii="Times New Roman" w:hAnsi="Times New Roman" w:eastAsia="Times New Roman" w:cs="Times New Roman"/>
          <w:spacing w:val="12"/>
        </w:rPr>
        <w:t>a)</w:t>
      </w:r>
      <w:r>
        <w:rPr>
          <w:rFonts w:ascii="Times New Roman" w:hAnsi="Times New Roman" w:eastAsia="Times New Roman" w:cs="Times New Roman"/>
          <w:spacing w:val="2"/>
        </w:rPr>
        <w:t xml:space="preserve">  </w:t>
      </w:r>
      <w:r>
        <w:rPr>
          <w:spacing w:val="12"/>
        </w:rPr>
        <w:t>在危险条件下进行的各项工作及其工作时间以及</w:t>
      </w:r>
      <w:r>
        <w:rPr>
          <w:spacing w:val="11"/>
        </w:rPr>
        <w:t>在这些工作或工作时</w:t>
      </w:r>
      <w:r>
        <w:rPr>
          <w:spacing w:val="1"/>
        </w:rPr>
        <w:t xml:space="preserve"> </w:t>
      </w:r>
      <w:r>
        <w:rPr>
          <w:spacing w:val="2"/>
        </w:rPr>
        <w:t>间内尽量减少风险需要采取的各种措施；</w:t>
      </w:r>
    </w:p>
    <w:p w14:paraId="0797A87A">
      <w:pPr>
        <w:pStyle w:val="2"/>
        <w:spacing w:before="71" w:line="260" w:lineRule="auto"/>
        <w:ind w:right="123" w:firstLine="560"/>
      </w:pPr>
      <w:r>
        <w:rPr>
          <w:rFonts w:ascii="Times New Roman" w:hAnsi="Times New Roman" w:eastAsia="Times New Roman" w:cs="Times New Roman"/>
          <w:spacing w:val="3"/>
        </w:rPr>
        <w:t xml:space="preserve">b)  </w:t>
      </w:r>
      <w:r>
        <w:rPr>
          <w:spacing w:val="3"/>
        </w:rPr>
        <w:t>为消除危险或减少有关风险所需的系</w:t>
      </w:r>
      <w:r>
        <w:rPr>
          <w:spacing w:val="2"/>
        </w:rPr>
        <w:t>统硬件或软件、设施、工具或保障</w:t>
      </w:r>
      <w:r>
        <w:t xml:space="preserve"> </w:t>
      </w:r>
      <w:r>
        <w:rPr>
          <w:spacing w:val="2"/>
        </w:rPr>
        <w:t>和检测设备在功能或设计要求上的更改；</w:t>
      </w:r>
    </w:p>
    <w:p w14:paraId="694088E0">
      <w:pPr>
        <w:pStyle w:val="2"/>
        <w:spacing w:before="59" w:line="212" w:lineRule="auto"/>
        <w:ind w:left="560"/>
      </w:pPr>
      <w:r>
        <w:rPr>
          <w:rFonts w:ascii="Times New Roman" w:hAnsi="Times New Roman" w:eastAsia="Times New Roman" w:cs="Times New Roman"/>
        </w:rPr>
        <w:t>c)</w:t>
      </w:r>
      <w:r>
        <w:rPr>
          <w:rFonts w:ascii="Times New Roman" w:hAnsi="Times New Roman" w:eastAsia="Times New Roman" w:cs="Times New Roman"/>
          <w:spacing w:val="62"/>
        </w:rPr>
        <w:t xml:space="preserve"> </w:t>
      </w:r>
      <w:r>
        <w:t>对安全装置和设备的要求，包括人员安全和生</w:t>
      </w:r>
      <w:r>
        <w:rPr>
          <w:spacing w:val="-1"/>
        </w:rPr>
        <w:t>命保障设备；</w:t>
      </w:r>
    </w:p>
    <w:p w14:paraId="430CC450">
      <w:pPr>
        <w:pStyle w:val="2"/>
        <w:spacing w:before="90" w:line="260" w:lineRule="auto"/>
        <w:ind w:right="116" w:firstLine="560"/>
      </w:pPr>
      <w:r>
        <w:rPr>
          <w:rFonts w:ascii="Times New Roman" w:hAnsi="Times New Roman" w:eastAsia="Times New Roman" w:cs="Times New Roman"/>
          <w:spacing w:val="-5"/>
        </w:rPr>
        <w:t xml:space="preserve">d)  </w:t>
      </w:r>
      <w:r>
        <w:rPr>
          <w:spacing w:val="-5"/>
        </w:rPr>
        <w:t>报警、注意事项以及特别应急措施，例如应急出口、营救、脱离、安全动</w:t>
      </w:r>
      <w:r>
        <w:rPr>
          <w:spacing w:val="7"/>
        </w:rPr>
        <w:t xml:space="preserve"> </w:t>
      </w:r>
      <w:r>
        <w:rPr>
          <w:spacing w:val="-22"/>
        </w:rPr>
        <w:t>作、放弃等；</w:t>
      </w:r>
    </w:p>
    <w:p w14:paraId="237A8448">
      <w:pPr>
        <w:pStyle w:val="2"/>
        <w:spacing w:before="60" w:line="212" w:lineRule="auto"/>
        <w:ind w:left="560"/>
      </w:pPr>
      <w:r>
        <w:rPr>
          <w:rFonts w:ascii="Times New Roman" w:hAnsi="Times New Roman" w:eastAsia="Times New Roman" w:cs="Times New Roman"/>
          <w:spacing w:val="-14"/>
        </w:rPr>
        <w:t xml:space="preserve">e)  </w:t>
      </w:r>
      <w:r>
        <w:rPr>
          <w:spacing w:val="-14"/>
        </w:rPr>
        <w:t>危险器材的装卸、使用、贮存、运输、维修及处理要求。</w:t>
      </w:r>
    </w:p>
    <w:p w14:paraId="649077A7">
      <w:pPr>
        <w:spacing w:before="124" w:line="222" w:lineRule="auto"/>
        <w:rPr>
          <w:rFonts w:ascii="黑体" w:hAnsi="黑体" w:eastAsia="黑体" w:cs="黑体"/>
          <w:sz w:val="27"/>
          <w:szCs w:val="27"/>
        </w:rPr>
      </w:pPr>
      <w:r>
        <w:rPr>
          <w:rFonts w:ascii="黑体" w:hAnsi="黑体" w:eastAsia="黑体" w:cs="黑体"/>
          <w:spacing w:val="2"/>
          <w:sz w:val="27"/>
          <w:szCs w:val="27"/>
        </w:rPr>
        <w:t xml:space="preserve">5.2.6  </w:t>
      </w:r>
      <w:r>
        <w:rPr>
          <w:rFonts w:ascii="黑体" w:hAnsi="黑体" w:eastAsia="黑体" w:cs="黑体"/>
          <w:b/>
          <w:bCs/>
          <w:spacing w:val="2"/>
          <w:sz w:val="27"/>
          <w:szCs w:val="27"/>
        </w:rPr>
        <w:t>职业健康危险分析(工作项目</w:t>
      </w:r>
      <w:r>
        <w:rPr>
          <w:rFonts w:ascii="黑体" w:hAnsi="黑体" w:eastAsia="黑体" w:cs="黑体"/>
          <w:spacing w:val="-65"/>
          <w:sz w:val="27"/>
          <w:szCs w:val="27"/>
        </w:rPr>
        <w:t xml:space="preserve"> </w:t>
      </w:r>
      <w:r>
        <w:rPr>
          <w:rFonts w:ascii="黑体" w:hAnsi="黑体" w:eastAsia="黑体" w:cs="黑体"/>
          <w:spacing w:val="2"/>
          <w:sz w:val="27"/>
          <w:szCs w:val="27"/>
        </w:rPr>
        <w:t>2</w:t>
      </w:r>
      <w:r>
        <w:rPr>
          <w:rFonts w:ascii="黑体" w:hAnsi="黑体" w:eastAsia="黑体" w:cs="黑体"/>
          <w:spacing w:val="1"/>
          <w:sz w:val="27"/>
          <w:szCs w:val="27"/>
        </w:rPr>
        <w:t>06)</w:t>
      </w:r>
    </w:p>
    <w:p w14:paraId="2FEE1770">
      <w:pPr>
        <w:pStyle w:val="2"/>
        <w:spacing w:before="91" w:line="273" w:lineRule="auto"/>
        <w:ind w:right="120" w:firstLine="560"/>
      </w:pPr>
      <w:r>
        <w:rPr>
          <w:spacing w:val="6"/>
        </w:rPr>
        <w:t>应进行职业健康危险评价并记录成文，确定有害健康</w:t>
      </w:r>
      <w:r>
        <w:rPr>
          <w:spacing w:val="5"/>
        </w:rPr>
        <w:t>的危险并提出保护措</w:t>
      </w:r>
      <w:r>
        <w:t xml:space="preserve"> </w:t>
      </w:r>
      <w:r>
        <w:rPr>
          <w:spacing w:val="-3"/>
        </w:rPr>
        <w:t>施，以便将有关风险减少到订购方可接受水平。</w:t>
      </w:r>
    </w:p>
    <w:p w14:paraId="61198D52">
      <w:pPr>
        <w:pStyle w:val="2"/>
        <w:spacing w:before="1" w:line="217" w:lineRule="auto"/>
        <w:ind w:left="560"/>
      </w:pPr>
      <w:r>
        <w:rPr>
          <w:spacing w:val="1"/>
        </w:rPr>
        <w:t>职业健康危险评价应考虑：</w:t>
      </w:r>
    </w:p>
    <w:p w14:paraId="19C2F79B">
      <w:pPr>
        <w:pStyle w:val="2"/>
        <w:spacing w:before="72" w:line="257" w:lineRule="auto"/>
        <w:ind w:right="123" w:firstLine="560"/>
      </w:pPr>
      <w:r>
        <w:rPr>
          <w:rFonts w:ascii="Times New Roman" w:hAnsi="Times New Roman" w:eastAsia="Times New Roman" w:cs="Times New Roman"/>
          <w:spacing w:val="-5"/>
        </w:rPr>
        <w:t xml:space="preserve">a)  </w:t>
      </w:r>
      <w:r>
        <w:rPr>
          <w:spacing w:val="-5"/>
        </w:rPr>
        <w:t>有毒物质，例如致癌物或有致癌嫌疑的物品、一般毒品、窒息物、对呼吸</w:t>
      </w:r>
      <w:r>
        <w:rPr>
          <w:spacing w:val="15"/>
        </w:rPr>
        <w:t xml:space="preserve"> </w:t>
      </w:r>
      <w:r>
        <w:rPr>
          <w:spacing w:val="1"/>
        </w:rPr>
        <w:t>器官有刺激的物品等；</w:t>
      </w:r>
    </w:p>
    <w:p w14:paraId="22EBF37F">
      <w:pPr>
        <w:pStyle w:val="2"/>
        <w:spacing w:before="79" w:line="212" w:lineRule="auto"/>
        <w:ind w:left="560"/>
      </w:pPr>
      <w:r>
        <w:rPr>
          <w:rFonts w:ascii="Times New Roman" w:hAnsi="Times New Roman" w:eastAsia="Times New Roman" w:cs="Times New Roman"/>
          <w:spacing w:val="-8"/>
        </w:rPr>
        <w:t xml:space="preserve">b)  </w:t>
      </w:r>
      <w:r>
        <w:rPr>
          <w:spacing w:val="-8"/>
        </w:rPr>
        <w:t>物理因素，例如噪声、热应力或冷应力、电离辐射或非电离辐射等；</w:t>
      </w:r>
    </w:p>
    <w:p w14:paraId="672C590C">
      <w:pPr>
        <w:pStyle w:val="2"/>
        <w:spacing w:before="102" w:line="263" w:lineRule="auto"/>
        <w:ind w:right="115" w:firstLine="560"/>
      </w:pPr>
      <w:r>
        <w:rPr>
          <w:rFonts w:ascii="Times New Roman" w:hAnsi="Times New Roman" w:eastAsia="Times New Roman" w:cs="Times New Roman"/>
          <w:spacing w:val="-1"/>
        </w:rPr>
        <w:t xml:space="preserve">c)  </w:t>
      </w:r>
      <w:r>
        <w:rPr>
          <w:spacing w:val="-1"/>
        </w:rPr>
        <w:t>系统、设施和人员防护装置的设计要求(例如通风、噪声衰减、辐射屏蔽</w:t>
      </w:r>
      <w:r>
        <w:rPr>
          <w:spacing w:val="14"/>
        </w:rPr>
        <w:t xml:space="preserve"> </w:t>
      </w:r>
      <w:r>
        <w:rPr>
          <w:spacing w:val="9"/>
        </w:rPr>
        <w:t>等)以保证使用和维修的安全。当没有可行的工程设计可把风险减少到可接受</w:t>
      </w:r>
      <w:r>
        <w:t xml:space="preserve"> </w:t>
      </w:r>
      <w:r>
        <w:rPr>
          <w:spacing w:val="-2"/>
        </w:rPr>
        <w:t>水平时，必须规定其他防护措施，例如防护服，可把风险减少到可接受水平的具</w:t>
      </w:r>
      <w:r>
        <w:rPr>
          <w:spacing w:val="3"/>
        </w:rPr>
        <w:t xml:space="preserve"> </w:t>
      </w:r>
      <w:r>
        <w:rPr>
          <w:spacing w:val="-3"/>
        </w:rPr>
        <w:t>体使用或维修操作规程，并应得到订购方的认可。</w:t>
      </w:r>
    </w:p>
    <w:p w14:paraId="7AD7A2AA">
      <w:pPr>
        <w:spacing w:before="104" w:line="222" w:lineRule="auto"/>
        <w:rPr>
          <w:rFonts w:ascii="黑体" w:hAnsi="黑体" w:eastAsia="黑体" w:cs="黑体"/>
          <w:sz w:val="27"/>
          <w:szCs w:val="27"/>
        </w:rPr>
      </w:pPr>
      <w:r>
        <w:rPr>
          <w:rFonts w:ascii="黑体" w:hAnsi="黑体" w:eastAsia="黑体" w:cs="黑体"/>
          <w:spacing w:val="6"/>
          <w:sz w:val="27"/>
          <w:szCs w:val="27"/>
        </w:rPr>
        <w:t xml:space="preserve">5.2.7  </w:t>
      </w:r>
      <w:r>
        <w:rPr>
          <w:rFonts w:ascii="黑体" w:hAnsi="黑体" w:eastAsia="黑体" w:cs="黑体"/>
          <w:b/>
          <w:bCs/>
          <w:spacing w:val="6"/>
          <w:sz w:val="27"/>
          <w:szCs w:val="27"/>
        </w:rPr>
        <w:t>工程更改建议的安全性评审(工作项目207)</w:t>
      </w:r>
    </w:p>
    <w:p w14:paraId="1D251100">
      <w:pPr>
        <w:pStyle w:val="2"/>
        <w:spacing w:before="101" w:line="219" w:lineRule="auto"/>
        <w:ind w:left="560"/>
      </w:pPr>
      <w:r>
        <w:rPr>
          <w:spacing w:val="6"/>
        </w:rPr>
        <w:t>对工程更改建议进行安全性评审并记录成文，以</w:t>
      </w:r>
      <w:r>
        <w:rPr>
          <w:spacing w:val="5"/>
        </w:rPr>
        <w:t>确定工程更改对系统安全</w:t>
      </w:r>
    </w:p>
    <w:p w14:paraId="420BB653">
      <w:pPr>
        <w:spacing w:line="219" w:lineRule="auto"/>
        <w:sectPr>
          <w:footerReference r:id="rId545" w:type="default"/>
          <w:pgSz w:w="11910" w:h="17130"/>
          <w:pgMar w:top="400" w:right="1175" w:bottom="1720" w:left="1229" w:header="0" w:footer="1434" w:gutter="0"/>
          <w:cols w:space="720" w:num="1"/>
        </w:sectPr>
      </w:pPr>
    </w:p>
    <w:p w14:paraId="279F352B">
      <w:pPr>
        <w:spacing w:line="315" w:lineRule="auto"/>
        <w:rPr>
          <w:rFonts w:ascii="Arial"/>
          <w:sz w:val="21"/>
        </w:rPr>
      </w:pPr>
    </w:p>
    <w:p w14:paraId="6802FECE">
      <w:pPr>
        <w:spacing w:line="316" w:lineRule="auto"/>
        <w:rPr>
          <w:rFonts w:ascii="Arial"/>
          <w:sz w:val="21"/>
        </w:rPr>
      </w:pPr>
    </w:p>
    <w:p w14:paraId="3D3B21F9">
      <w:pPr>
        <w:spacing w:line="316" w:lineRule="auto"/>
        <w:rPr>
          <w:rFonts w:ascii="Arial"/>
          <w:sz w:val="21"/>
        </w:rPr>
      </w:pPr>
    </w:p>
    <w:p w14:paraId="3C86FA45">
      <w:pPr>
        <w:pStyle w:val="2"/>
        <w:spacing w:before="88" w:line="219" w:lineRule="auto"/>
      </w:pPr>
      <w:r>
        <w:rPr>
          <w:spacing w:val="4"/>
        </w:rPr>
        <w:t>性的影响。工程更改包括安全性要求的偏离和(或)放弃。工作项目要点包括：</w:t>
      </w:r>
    </w:p>
    <w:p w14:paraId="0FA7E331">
      <w:pPr>
        <w:pStyle w:val="2"/>
        <w:spacing w:before="97" w:line="267" w:lineRule="auto"/>
        <w:ind w:right="83" w:firstLine="550"/>
      </w:pPr>
      <w:r>
        <w:rPr>
          <w:spacing w:val="-3"/>
        </w:rPr>
        <w:t>应分析每个工程更改方案，以确定与其有关的危险，评价相关的风险，并预</w:t>
      </w:r>
      <w:r>
        <w:rPr>
          <w:spacing w:val="9"/>
        </w:rPr>
        <w:t xml:space="preserve"> </w:t>
      </w:r>
      <w:r>
        <w:rPr>
          <w:spacing w:val="2"/>
        </w:rPr>
        <w:t>计工程更改对安全性的影响。</w:t>
      </w:r>
    </w:p>
    <w:p w14:paraId="3620CE41">
      <w:pPr>
        <w:pStyle w:val="2"/>
        <w:spacing w:before="2" w:line="288" w:lineRule="auto"/>
        <w:ind w:right="84" w:firstLine="550"/>
      </w:pPr>
      <w:r>
        <w:rPr>
          <w:spacing w:val="6"/>
        </w:rPr>
        <w:t>应提供工程更改不会增加新的危险的依据，</w:t>
      </w:r>
      <w:r>
        <w:rPr>
          <w:spacing w:val="5"/>
        </w:rPr>
        <w:t>当工程更改将降低系统安全性</w:t>
      </w:r>
      <w:r>
        <w:t xml:space="preserve"> </w:t>
      </w:r>
      <w:r>
        <w:rPr>
          <w:spacing w:val="-3"/>
        </w:rPr>
        <w:t>水平时，必须通知订购方并获得订购方的认可。</w:t>
      </w:r>
    </w:p>
    <w:p w14:paraId="5A866811">
      <w:pPr>
        <w:spacing w:before="1" w:line="220" w:lineRule="auto"/>
        <w:rPr>
          <w:rFonts w:ascii="黑体" w:hAnsi="黑体" w:eastAsia="黑体" w:cs="黑体"/>
          <w:sz w:val="27"/>
          <w:szCs w:val="27"/>
        </w:rPr>
      </w:pPr>
      <w:r>
        <w:rPr>
          <w:rFonts w:ascii="黑体" w:hAnsi="黑体" w:eastAsia="黑体" w:cs="黑体"/>
          <w:spacing w:val="5"/>
          <w:sz w:val="27"/>
          <w:szCs w:val="27"/>
        </w:rPr>
        <w:t xml:space="preserve">5.2.8  </w:t>
      </w:r>
      <w:r>
        <w:rPr>
          <w:rFonts w:ascii="黑体" w:hAnsi="黑体" w:eastAsia="黑体" w:cs="黑体"/>
          <w:b/>
          <w:bCs/>
          <w:spacing w:val="5"/>
          <w:sz w:val="27"/>
          <w:szCs w:val="27"/>
        </w:rPr>
        <w:t>订购方提供的设备和设施的安全性分析(工作项目208)</w:t>
      </w:r>
    </w:p>
    <w:p w14:paraId="093A400E">
      <w:pPr>
        <w:pStyle w:val="2"/>
        <w:spacing w:before="52" w:line="280" w:lineRule="auto"/>
        <w:ind w:right="79" w:firstLine="550"/>
      </w:pPr>
      <w:r>
        <w:rPr>
          <w:spacing w:val="15"/>
        </w:rPr>
        <w:t>对订购方提供的设备和设施进行安全性分析，以</w:t>
      </w:r>
      <w:r>
        <w:rPr>
          <w:spacing w:val="14"/>
        </w:rPr>
        <w:t>确定在系统中应用的安</w:t>
      </w:r>
      <w:r>
        <w:t xml:space="preserve"> </w:t>
      </w:r>
      <w:r>
        <w:rPr>
          <w:spacing w:val="-6"/>
        </w:rPr>
        <w:t>全性。</w:t>
      </w:r>
    </w:p>
    <w:p w14:paraId="6D586AE4">
      <w:pPr>
        <w:pStyle w:val="2"/>
        <w:spacing w:line="294" w:lineRule="auto"/>
        <w:ind w:right="83" w:firstLine="550"/>
      </w:pPr>
      <w:r>
        <w:rPr>
          <w:spacing w:val="24"/>
        </w:rPr>
        <w:t>承制方应确定订购方应提供的设备和设施的安全性关键的性能和设计</w:t>
      </w:r>
      <w:r>
        <w:t xml:space="preserve"> </w:t>
      </w:r>
      <w:r>
        <w:rPr>
          <w:spacing w:val="-6"/>
        </w:rPr>
        <w:t>资料。</w:t>
      </w:r>
    </w:p>
    <w:p w14:paraId="177C33E7">
      <w:pPr>
        <w:pStyle w:val="2"/>
        <w:spacing w:before="1" w:line="218" w:lineRule="auto"/>
        <w:ind w:left="550"/>
      </w:pPr>
      <w:r>
        <w:rPr>
          <w:spacing w:val="-4"/>
        </w:rPr>
        <w:t>若订购方能提供有效的资料，承制方应：</w:t>
      </w:r>
    </w:p>
    <w:p w14:paraId="565E8B63">
      <w:pPr>
        <w:pStyle w:val="2"/>
        <w:spacing w:before="51" w:line="212" w:lineRule="auto"/>
        <w:ind w:left="550"/>
      </w:pPr>
      <w:r>
        <w:rPr>
          <w:rFonts w:ascii="Times New Roman" w:hAnsi="Times New Roman" w:eastAsia="Times New Roman" w:cs="Times New Roman"/>
          <w:spacing w:val="3"/>
        </w:rPr>
        <w:t>a)</w:t>
      </w:r>
      <w:r>
        <w:rPr>
          <w:rFonts w:ascii="Times New Roman" w:hAnsi="Times New Roman" w:eastAsia="Times New Roman" w:cs="Times New Roman"/>
          <w:spacing w:val="73"/>
          <w:w w:val="101"/>
        </w:rPr>
        <w:t xml:space="preserve"> </w:t>
      </w:r>
      <w:r>
        <w:rPr>
          <w:spacing w:val="3"/>
        </w:rPr>
        <w:t>确定所需的安全性分析及进行分析的时间；</w:t>
      </w:r>
    </w:p>
    <w:p w14:paraId="56B57B71">
      <w:pPr>
        <w:pStyle w:val="2"/>
        <w:spacing w:before="80" w:line="212" w:lineRule="auto"/>
        <w:jc w:val="right"/>
      </w:pPr>
      <w:r>
        <w:rPr>
          <w:rFonts w:ascii="Times New Roman" w:hAnsi="Times New Roman" w:eastAsia="Times New Roman" w:cs="Times New Roman"/>
          <w:spacing w:val="5"/>
        </w:rPr>
        <w:t>b)</w:t>
      </w:r>
      <w:r>
        <w:rPr>
          <w:rFonts w:ascii="Times New Roman" w:hAnsi="Times New Roman" w:eastAsia="Times New Roman" w:cs="Times New Roman"/>
          <w:spacing w:val="76"/>
          <w:w w:val="101"/>
        </w:rPr>
        <w:t xml:space="preserve"> </w:t>
      </w:r>
      <w:r>
        <w:rPr>
          <w:spacing w:val="5"/>
        </w:rPr>
        <w:t>确定订购方提供的设备和设施与系统的其他部分的接口的安全性分析；</w:t>
      </w:r>
    </w:p>
    <w:p w14:paraId="2D3E1264">
      <w:pPr>
        <w:pStyle w:val="2"/>
        <w:spacing w:before="110" w:line="212" w:lineRule="auto"/>
        <w:ind w:left="550"/>
      </w:pPr>
      <w:r>
        <w:rPr>
          <w:rFonts w:ascii="Times New Roman" w:hAnsi="Times New Roman" w:eastAsia="Times New Roman" w:cs="Times New Roman"/>
          <w:spacing w:val="2"/>
        </w:rPr>
        <w:t xml:space="preserve">c)  </w:t>
      </w:r>
      <w:r>
        <w:rPr>
          <w:spacing w:val="2"/>
        </w:rPr>
        <w:t>以上两项应经订购方认可后执行。</w:t>
      </w:r>
    </w:p>
    <w:p w14:paraId="19B3709A">
      <w:pPr>
        <w:pStyle w:val="2"/>
        <w:spacing w:before="129" w:line="275" w:lineRule="auto"/>
        <w:ind w:right="82" w:firstLine="550"/>
      </w:pPr>
      <w:r>
        <w:rPr>
          <w:spacing w:val="-3"/>
        </w:rPr>
        <w:t>若订购方无有效的资料，承制方应通过分析、试验和检查确定所需安全性关</w:t>
      </w:r>
      <w:r>
        <w:rPr>
          <w:spacing w:val="10"/>
        </w:rPr>
        <w:t xml:space="preserve"> </w:t>
      </w:r>
      <w:r>
        <w:rPr>
          <w:spacing w:val="-6"/>
        </w:rPr>
        <w:t>键的资料；拟用的方法应提交订购方，经订购方认可后执行。</w:t>
      </w:r>
    </w:p>
    <w:p w14:paraId="516902B5">
      <w:pPr>
        <w:spacing w:before="1" w:line="222" w:lineRule="auto"/>
        <w:rPr>
          <w:rFonts w:ascii="黑体" w:hAnsi="黑体" w:eastAsia="黑体" w:cs="黑体"/>
          <w:sz w:val="27"/>
          <w:szCs w:val="27"/>
        </w:rPr>
      </w:pPr>
      <w:r>
        <w:rPr>
          <w:rFonts w:ascii="黑体" w:hAnsi="黑体" w:eastAsia="黑体" w:cs="黑体"/>
          <w:sz w:val="27"/>
          <w:szCs w:val="27"/>
        </w:rPr>
        <w:t>5.3</w:t>
      </w:r>
      <w:r>
        <w:rPr>
          <w:rFonts w:ascii="黑体" w:hAnsi="黑体" w:eastAsia="黑体" w:cs="黑体"/>
          <w:spacing w:val="13"/>
          <w:sz w:val="27"/>
          <w:szCs w:val="27"/>
        </w:rPr>
        <w:t xml:space="preserve">  </w:t>
      </w:r>
      <w:r>
        <w:rPr>
          <w:rFonts w:ascii="黑体" w:hAnsi="黑体" w:eastAsia="黑体" w:cs="黑体"/>
          <w:b/>
          <w:bCs/>
          <w:sz w:val="27"/>
          <w:szCs w:val="27"/>
        </w:rPr>
        <w:t>验证与评价</w:t>
      </w:r>
    </w:p>
    <w:p w14:paraId="43AFE3A4">
      <w:pPr>
        <w:spacing w:before="86" w:line="222" w:lineRule="auto"/>
        <w:rPr>
          <w:rFonts w:ascii="黑体" w:hAnsi="黑体" w:eastAsia="黑体" w:cs="黑体"/>
          <w:sz w:val="27"/>
          <w:szCs w:val="27"/>
        </w:rPr>
      </w:pPr>
      <w:r>
        <w:rPr>
          <w:rFonts w:ascii="黑体" w:hAnsi="黑体" w:eastAsia="黑体" w:cs="黑体"/>
          <w:spacing w:val="1"/>
          <w:sz w:val="27"/>
          <w:szCs w:val="27"/>
        </w:rPr>
        <w:t>5.3.</w:t>
      </w:r>
      <w:r>
        <w:rPr>
          <w:rFonts w:ascii="黑体" w:hAnsi="黑体" w:eastAsia="黑体" w:cs="黑体"/>
          <w:b/>
          <w:bCs/>
          <w:spacing w:val="1"/>
          <w:sz w:val="27"/>
          <w:szCs w:val="27"/>
        </w:rPr>
        <w:t>1</w:t>
      </w:r>
      <w:r>
        <w:rPr>
          <w:rFonts w:ascii="黑体" w:hAnsi="黑体" w:eastAsia="黑体" w:cs="黑体"/>
          <w:spacing w:val="34"/>
          <w:sz w:val="27"/>
          <w:szCs w:val="27"/>
        </w:rPr>
        <w:t xml:space="preserve">  </w:t>
      </w:r>
      <w:r>
        <w:rPr>
          <w:rFonts w:ascii="黑体" w:hAnsi="黑体" w:eastAsia="黑体" w:cs="黑体"/>
          <w:b/>
          <w:bCs/>
          <w:spacing w:val="1"/>
          <w:sz w:val="27"/>
          <w:szCs w:val="27"/>
        </w:rPr>
        <w:t>安全性验证(工作项目</w:t>
      </w:r>
      <w:r>
        <w:rPr>
          <w:rFonts w:ascii="黑体" w:hAnsi="黑体" w:eastAsia="黑体" w:cs="黑体"/>
          <w:spacing w:val="1"/>
          <w:sz w:val="27"/>
          <w:szCs w:val="27"/>
        </w:rPr>
        <w:t>301)</w:t>
      </w:r>
    </w:p>
    <w:p w14:paraId="046B9108">
      <w:pPr>
        <w:pStyle w:val="2"/>
        <w:spacing w:before="99" w:line="269" w:lineRule="auto"/>
        <w:ind w:right="83" w:firstLine="550"/>
      </w:pPr>
      <w:r>
        <w:rPr>
          <w:spacing w:val="-3"/>
        </w:rPr>
        <w:t>验证安全性关键的硬件、软件和规程是否符合安全性要求并记录成文，其验</w:t>
      </w:r>
      <w:r>
        <w:rPr>
          <w:spacing w:val="9"/>
        </w:rPr>
        <w:t xml:space="preserve"> </w:t>
      </w:r>
      <w:r>
        <w:rPr>
          <w:spacing w:val="2"/>
        </w:rPr>
        <w:t>证方法应得到订购方的认可。</w:t>
      </w:r>
    </w:p>
    <w:p w14:paraId="2E9A3493">
      <w:pPr>
        <w:pStyle w:val="2"/>
        <w:spacing w:before="45" w:line="271" w:lineRule="auto"/>
        <w:ind w:right="83" w:firstLine="550"/>
      </w:pPr>
      <w:r>
        <w:rPr>
          <w:spacing w:val="-3"/>
        </w:rPr>
        <w:t>应通过试验、演示或其他方法验证安全性关键的硬件、软件及规程是否符合</w:t>
      </w:r>
      <w:r>
        <w:rPr>
          <w:spacing w:val="9"/>
        </w:rPr>
        <w:t xml:space="preserve"> </w:t>
      </w:r>
      <w:r>
        <w:t>安全性要求。</w:t>
      </w:r>
    </w:p>
    <w:p w14:paraId="00707AA3">
      <w:pPr>
        <w:pStyle w:val="2"/>
        <w:spacing w:before="6" w:line="278" w:lineRule="auto"/>
        <w:ind w:right="82" w:firstLine="550"/>
        <w:jc w:val="both"/>
      </w:pPr>
      <w:r>
        <w:rPr>
          <w:spacing w:val="-7"/>
        </w:rPr>
        <w:t>评审所有试验(包括设计验证、使用评价、技术资料的验证、生产验收、贮存</w:t>
      </w:r>
      <w:r>
        <w:rPr>
          <w:spacing w:val="13"/>
        </w:rPr>
        <w:t xml:space="preserve"> </w:t>
      </w:r>
      <w:r>
        <w:rPr>
          <w:spacing w:val="-2"/>
        </w:rPr>
        <w:t>寿命验证)的试验计划、试验规程和结果，以确保充分验证了</w:t>
      </w:r>
      <w:r>
        <w:rPr>
          <w:spacing w:val="-3"/>
        </w:rPr>
        <w:t>设计的安全性(包括</w:t>
      </w:r>
      <w:r>
        <w:t xml:space="preserve"> </w:t>
      </w:r>
      <w:r>
        <w:rPr>
          <w:spacing w:val="8"/>
        </w:rPr>
        <w:t>使用和维修规程),包括验证因设计无法消除的</w:t>
      </w:r>
      <w:r>
        <w:rPr>
          <w:rFonts w:ascii="Times New Roman" w:hAnsi="Times New Roman" w:eastAsia="Times New Roman" w:cs="Times New Roman"/>
          <w:spacing w:val="8"/>
        </w:rPr>
        <w:t>I</w:t>
      </w:r>
      <w:r>
        <w:rPr>
          <w:rFonts w:ascii="Times New Roman" w:hAnsi="Times New Roman" w:eastAsia="Times New Roman" w:cs="Times New Roman"/>
          <w:spacing w:val="30"/>
        </w:rPr>
        <w:t xml:space="preserve"> </w:t>
      </w:r>
      <w:r>
        <w:rPr>
          <w:spacing w:val="8"/>
        </w:rPr>
        <w:t>级危险而设置的</w:t>
      </w:r>
      <w:r>
        <w:rPr>
          <w:spacing w:val="7"/>
        </w:rPr>
        <w:t>安全装置、报</w:t>
      </w:r>
      <w:r>
        <w:t xml:space="preserve"> </w:t>
      </w:r>
      <w:r>
        <w:rPr>
          <w:spacing w:val="-1"/>
        </w:rPr>
        <w:t>警装置等。</w:t>
      </w:r>
    </w:p>
    <w:p w14:paraId="56FE6DCC">
      <w:pPr>
        <w:spacing w:before="1" w:line="221" w:lineRule="auto"/>
        <w:rPr>
          <w:rFonts w:ascii="黑体" w:hAnsi="黑体" w:eastAsia="黑体" w:cs="黑体"/>
          <w:sz w:val="27"/>
          <w:szCs w:val="27"/>
        </w:rPr>
      </w:pPr>
      <w:r>
        <w:rPr>
          <w:rFonts w:ascii="黑体" w:hAnsi="黑体" w:eastAsia="黑体" w:cs="黑体"/>
          <w:spacing w:val="1"/>
          <w:sz w:val="27"/>
          <w:szCs w:val="27"/>
        </w:rPr>
        <w:t>5.3.2</w:t>
      </w:r>
      <w:r>
        <w:rPr>
          <w:rFonts w:ascii="黑体" w:hAnsi="黑体" w:eastAsia="黑体" w:cs="黑体"/>
          <w:spacing w:val="40"/>
          <w:sz w:val="27"/>
          <w:szCs w:val="27"/>
        </w:rPr>
        <w:t xml:space="preserve">  </w:t>
      </w:r>
      <w:r>
        <w:rPr>
          <w:rFonts w:ascii="黑体" w:hAnsi="黑体" w:eastAsia="黑体" w:cs="黑体"/>
          <w:b/>
          <w:bCs/>
          <w:spacing w:val="1"/>
          <w:sz w:val="27"/>
          <w:szCs w:val="27"/>
        </w:rPr>
        <w:t>安全性评价(工作项目</w:t>
      </w:r>
      <w:r>
        <w:rPr>
          <w:rFonts w:ascii="黑体" w:hAnsi="黑体" w:eastAsia="黑体" w:cs="黑体"/>
          <w:spacing w:val="1"/>
          <w:sz w:val="27"/>
          <w:szCs w:val="27"/>
        </w:rPr>
        <w:t>302)</w:t>
      </w:r>
    </w:p>
    <w:p w14:paraId="0D80674D">
      <w:pPr>
        <w:pStyle w:val="2"/>
        <w:spacing w:before="98" w:line="264" w:lineRule="auto"/>
        <w:ind w:right="82" w:firstLine="550"/>
      </w:pPr>
      <w:r>
        <w:rPr>
          <w:spacing w:val="6"/>
        </w:rPr>
        <w:t>在系统试验或使用前或合同完成时对所假定事故</w:t>
      </w:r>
      <w:r>
        <w:rPr>
          <w:spacing w:val="5"/>
        </w:rPr>
        <w:t>的风险进行全面评价并记</w:t>
      </w:r>
      <w:r>
        <w:t xml:space="preserve"> </w:t>
      </w:r>
      <w:r>
        <w:rPr>
          <w:spacing w:val="2"/>
        </w:rPr>
        <w:t>录成文。安全性评价应包括：</w:t>
      </w:r>
    </w:p>
    <w:p w14:paraId="51049836">
      <w:pPr>
        <w:pStyle w:val="2"/>
        <w:spacing w:line="212" w:lineRule="auto"/>
        <w:ind w:left="550"/>
      </w:pPr>
      <w:r>
        <w:rPr>
          <w:rFonts w:ascii="Times New Roman" w:hAnsi="Times New Roman" w:eastAsia="Times New Roman" w:cs="Times New Roman"/>
          <w:spacing w:val="3"/>
        </w:rPr>
        <w:t>a)</w:t>
      </w:r>
      <w:r>
        <w:rPr>
          <w:rFonts w:ascii="Times New Roman" w:hAnsi="Times New Roman" w:eastAsia="Times New Roman" w:cs="Times New Roman"/>
          <w:spacing w:val="69"/>
          <w:w w:val="101"/>
        </w:rPr>
        <w:t xml:space="preserve"> </w:t>
      </w:r>
      <w:r>
        <w:rPr>
          <w:spacing w:val="3"/>
        </w:rPr>
        <w:t>危险分类与分级的安全性准则和方法；</w:t>
      </w:r>
    </w:p>
    <w:p w14:paraId="592AEF8D">
      <w:pPr>
        <w:pStyle w:val="2"/>
        <w:spacing w:before="92" w:line="267" w:lineRule="auto"/>
        <w:ind w:right="74" w:firstLine="550"/>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为确定系统中存在的危险而进行的分析与试验，包括：仍有残余风险的</w:t>
      </w:r>
      <w:r>
        <w:t xml:space="preserve"> </w:t>
      </w:r>
      <w:r>
        <w:rPr>
          <w:spacing w:val="-2"/>
        </w:rPr>
        <w:t>危险，以及为把有关风险减少到合同规定的可接受水平而</w:t>
      </w:r>
      <w:r>
        <w:rPr>
          <w:spacing w:val="-3"/>
        </w:rPr>
        <w:t>已采取的措施；为验证</w:t>
      </w:r>
      <w:r>
        <w:t xml:space="preserve"> </w:t>
      </w:r>
      <w:r>
        <w:rPr>
          <w:spacing w:val="4"/>
        </w:rPr>
        <w:t>安全性准则要求和分析而进行的试验的结果；</w:t>
      </w:r>
    </w:p>
    <w:p w14:paraId="5842CFB2">
      <w:pPr>
        <w:pStyle w:val="2"/>
        <w:spacing w:before="77" w:line="212" w:lineRule="auto"/>
        <w:ind w:left="550"/>
      </w:pPr>
      <w:r>
        <w:rPr>
          <w:rFonts w:ascii="Times New Roman" w:hAnsi="Times New Roman" w:eastAsia="Times New Roman" w:cs="Times New Roman"/>
          <w:spacing w:val="3"/>
        </w:rPr>
        <w:t>c)</w:t>
      </w:r>
      <w:r>
        <w:rPr>
          <w:rFonts w:ascii="Times New Roman" w:hAnsi="Times New Roman" w:eastAsia="Times New Roman" w:cs="Times New Roman"/>
          <w:spacing w:val="73"/>
        </w:rPr>
        <w:t xml:space="preserve"> </w:t>
      </w:r>
      <w:r>
        <w:rPr>
          <w:spacing w:val="3"/>
        </w:rPr>
        <w:t>安全性大纲执行的结果，包括列出全部显著危险以及用来确保人员和财</w:t>
      </w:r>
    </w:p>
    <w:p w14:paraId="444566DB">
      <w:pPr>
        <w:spacing w:line="212" w:lineRule="auto"/>
        <w:sectPr>
          <w:footerReference r:id="rId546" w:type="default"/>
          <w:pgSz w:w="11910" w:h="17130"/>
          <w:pgMar w:top="400" w:right="824" w:bottom="1716" w:left="1630" w:header="0" w:footer="1527" w:gutter="0"/>
          <w:cols w:space="720" w:num="1"/>
        </w:sectPr>
      </w:pPr>
    </w:p>
    <w:p w14:paraId="4ACF3F5B">
      <w:pPr>
        <w:spacing w:line="251" w:lineRule="auto"/>
        <w:rPr>
          <w:rFonts w:ascii="Arial"/>
          <w:sz w:val="21"/>
        </w:rPr>
      </w:pPr>
    </w:p>
    <w:p w14:paraId="3F332D48">
      <w:pPr>
        <w:spacing w:line="252" w:lineRule="auto"/>
        <w:rPr>
          <w:rFonts w:ascii="Arial"/>
          <w:sz w:val="21"/>
        </w:rPr>
      </w:pPr>
    </w:p>
    <w:p w14:paraId="3A5258D1">
      <w:pPr>
        <w:spacing w:line="252" w:lineRule="auto"/>
        <w:rPr>
          <w:rFonts w:ascii="Arial"/>
          <w:sz w:val="21"/>
        </w:rPr>
      </w:pPr>
    </w:p>
    <w:p w14:paraId="7AF716C5">
      <w:pPr>
        <w:spacing w:line="252" w:lineRule="auto"/>
        <w:rPr>
          <w:rFonts w:ascii="Arial"/>
          <w:sz w:val="21"/>
        </w:rPr>
      </w:pPr>
    </w:p>
    <w:p w14:paraId="635B0408">
      <w:pPr>
        <w:pStyle w:val="2"/>
        <w:spacing w:before="88" w:line="263" w:lineRule="auto"/>
        <w:ind w:right="122"/>
      </w:pPr>
      <w:r>
        <w:rPr>
          <w:spacing w:val="6"/>
        </w:rPr>
        <w:t>产安全所需的具体安全性建议或预防措施的清单</w:t>
      </w:r>
      <w:r>
        <w:rPr>
          <w:spacing w:val="5"/>
        </w:rPr>
        <w:t>。按危险在正常或不正常使用</w:t>
      </w:r>
      <w:r>
        <w:t xml:space="preserve"> </w:t>
      </w:r>
      <w:r>
        <w:rPr>
          <w:spacing w:val="-4"/>
        </w:rPr>
        <w:t>条件下会不会发生，对清单上的危险进行分类；</w:t>
      </w:r>
    </w:p>
    <w:p w14:paraId="62CED524">
      <w:pPr>
        <w:pStyle w:val="2"/>
        <w:spacing w:line="271" w:lineRule="auto"/>
        <w:ind w:right="115" w:firstLine="550"/>
      </w:pPr>
      <w:r>
        <w:rPr>
          <w:rFonts w:ascii="Times New Roman" w:hAnsi="Times New Roman" w:eastAsia="Times New Roman" w:cs="Times New Roman"/>
          <w:spacing w:val="-5"/>
        </w:rPr>
        <w:t xml:space="preserve">d)  </w:t>
      </w:r>
      <w:r>
        <w:rPr>
          <w:spacing w:val="-5"/>
        </w:rPr>
        <w:t>由系统中产生或在系统中使用的所有危险器材，包括：确定器材类型、数</w:t>
      </w:r>
      <w:r>
        <w:t xml:space="preserve"> </w:t>
      </w:r>
      <w:r>
        <w:rPr>
          <w:spacing w:val="-10"/>
        </w:rPr>
        <w:t>量及可能的危险；在装卸、使用、贮存、运输、维修和处理期间所需的安全性防护</w:t>
      </w:r>
      <w:r>
        <w:rPr>
          <w:spacing w:val="18"/>
        </w:rPr>
        <w:t xml:space="preserve"> </w:t>
      </w:r>
      <w:r>
        <w:rPr>
          <w:spacing w:val="-5"/>
        </w:rPr>
        <w:t>措施和规程；器材安全性数据；</w:t>
      </w:r>
    </w:p>
    <w:p w14:paraId="1137BB18">
      <w:pPr>
        <w:pStyle w:val="2"/>
        <w:spacing w:before="49" w:line="266" w:lineRule="auto"/>
        <w:ind w:right="123" w:firstLine="550"/>
      </w:pPr>
      <w:r>
        <w:rPr>
          <w:rFonts w:ascii="Times New Roman" w:hAnsi="Times New Roman" w:eastAsia="Times New Roman" w:cs="Times New Roman"/>
          <w:spacing w:val="12"/>
        </w:rPr>
        <w:t>e)</w:t>
      </w:r>
      <w:r>
        <w:rPr>
          <w:rFonts w:ascii="Times New Roman" w:hAnsi="Times New Roman" w:eastAsia="Times New Roman" w:cs="Times New Roman"/>
          <w:spacing w:val="63"/>
        </w:rPr>
        <w:t xml:space="preserve"> </w:t>
      </w:r>
      <w:r>
        <w:rPr>
          <w:spacing w:val="12"/>
        </w:rPr>
        <w:t>作出书面结论。所有已判定的危险均已消除或有关的风险已</w:t>
      </w:r>
      <w:r>
        <w:rPr>
          <w:spacing w:val="11"/>
        </w:rPr>
        <w:t>控制在合</w:t>
      </w:r>
      <w:r>
        <w:t xml:space="preserve"> </w:t>
      </w:r>
      <w:r>
        <w:rPr>
          <w:spacing w:val="13"/>
        </w:rPr>
        <w:t>同规定的可接受水平；系统已可以进行试验或投入使用或者进入研制的下一</w:t>
      </w:r>
      <w:r>
        <w:rPr>
          <w:spacing w:val="14"/>
        </w:rPr>
        <w:t xml:space="preserve"> </w:t>
      </w:r>
      <w:r>
        <w:rPr>
          <w:spacing w:val="-6"/>
        </w:rPr>
        <w:t>阶段。</w:t>
      </w:r>
    </w:p>
    <w:p w14:paraId="6BF2E5A1">
      <w:pPr>
        <w:pStyle w:val="2"/>
        <w:spacing w:before="84" w:line="270" w:lineRule="auto"/>
        <w:ind w:right="125" w:firstLine="550"/>
      </w:pPr>
      <w:r>
        <w:rPr>
          <w:spacing w:val="14"/>
        </w:rPr>
        <w:t xml:space="preserve">应按合同要求对所承制的系统与其他系统的接口的危险提出可行的处理 </w:t>
      </w:r>
      <w:r>
        <w:rPr>
          <w:spacing w:val="-6"/>
        </w:rPr>
        <w:t>建议。</w:t>
      </w:r>
    </w:p>
    <w:p w14:paraId="73B16A88">
      <w:pPr>
        <w:spacing w:before="15" w:line="222" w:lineRule="auto"/>
        <w:rPr>
          <w:rFonts w:ascii="黑体" w:hAnsi="黑体" w:eastAsia="黑体" w:cs="黑体"/>
          <w:sz w:val="27"/>
          <w:szCs w:val="27"/>
        </w:rPr>
      </w:pPr>
      <w:r>
        <w:rPr>
          <w:rFonts w:ascii="黑体" w:hAnsi="黑体" w:eastAsia="黑体" w:cs="黑体"/>
          <w:spacing w:val="6"/>
          <w:sz w:val="27"/>
          <w:szCs w:val="27"/>
        </w:rPr>
        <w:t xml:space="preserve">5.3.3  </w:t>
      </w:r>
      <w:r>
        <w:rPr>
          <w:rFonts w:ascii="黑体" w:hAnsi="黑体" w:eastAsia="黑体" w:cs="黑体"/>
          <w:b/>
          <w:bCs/>
          <w:spacing w:val="6"/>
          <w:sz w:val="27"/>
          <w:szCs w:val="27"/>
        </w:rPr>
        <w:t>安全性符合有关规定的评价(工作项目303)</w:t>
      </w:r>
    </w:p>
    <w:p w14:paraId="08369BA7">
      <w:pPr>
        <w:pStyle w:val="2"/>
        <w:spacing w:before="76" w:line="281" w:lineRule="auto"/>
        <w:ind w:right="119" w:firstLine="550"/>
        <w:jc w:val="both"/>
      </w:pPr>
      <w:r>
        <w:rPr>
          <w:spacing w:val="6"/>
        </w:rPr>
        <w:t>进行安全性符合有关规定的评价并记录成文，以确保系</w:t>
      </w:r>
      <w:r>
        <w:rPr>
          <w:spacing w:val="5"/>
        </w:rPr>
        <w:t>统的安全设计及在</w:t>
      </w:r>
      <w:r>
        <w:t xml:space="preserve"> </w:t>
      </w:r>
      <w:r>
        <w:rPr>
          <w:spacing w:val="23"/>
        </w:rPr>
        <w:t>系统试验或使用前或合同完成时全面地评价</w:t>
      </w:r>
      <w:r>
        <w:rPr>
          <w:spacing w:val="22"/>
        </w:rPr>
        <w:t>所假定的风险。工作项目要点</w:t>
      </w:r>
      <w:r>
        <w:t xml:space="preserve"> </w:t>
      </w:r>
      <w:r>
        <w:rPr>
          <w:spacing w:val="-6"/>
        </w:rPr>
        <w:t>包括：</w:t>
      </w:r>
    </w:p>
    <w:p w14:paraId="23888B75">
      <w:pPr>
        <w:pStyle w:val="2"/>
        <w:spacing w:before="1" w:line="276" w:lineRule="auto"/>
        <w:ind w:firstLine="550"/>
      </w:pPr>
      <w:r>
        <w:rPr>
          <w:spacing w:val="1"/>
        </w:rPr>
        <w:t>应验证系统的设计和规程是否符合合同或国家、军用和行业的安全性标准、</w:t>
      </w:r>
      <w:r>
        <w:t xml:space="preserve"> 规范及有关法规等。</w:t>
      </w:r>
    </w:p>
    <w:p w14:paraId="33C5A22F">
      <w:pPr>
        <w:pStyle w:val="2"/>
        <w:spacing w:before="1" w:line="280" w:lineRule="auto"/>
        <w:ind w:right="119" w:firstLine="550"/>
      </w:pPr>
      <w:r>
        <w:rPr>
          <w:spacing w:val="6"/>
        </w:rPr>
        <w:t>安全性符合有关规定的评价包括必要的危险分析、设</w:t>
      </w:r>
      <w:r>
        <w:rPr>
          <w:spacing w:val="5"/>
        </w:rPr>
        <w:t>计图纸和规程评审及</w:t>
      </w:r>
      <w:r>
        <w:t xml:space="preserve"> 设备的检查。</w:t>
      </w:r>
    </w:p>
    <w:p w14:paraId="116D2B6B">
      <w:pPr>
        <w:pStyle w:val="2"/>
        <w:spacing w:before="2" w:line="280" w:lineRule="auto"/>
        <w:ind w:right="121" w:firstLine="550"/>
        <w:jc w:val="both"/>
      </w:pPr>
      <w:r>
        <w:rPr>
          <w:spacing w:val="-3"/>
        </w:rPr>
        <w:t>安全性符合有关规定的评价应包括初步危险分析、分系统危险分析、系统危</w:t>
      </w:r>
      <w:r>
        <w:rPr>
          <w:spacing w:val="11"/>
        </w:rPr>
        <w:t xml:space="preserve"> </w:t>
      </w:r>
      <w:r>
        <w:rPr>
          <w:spacing w:val="-10"/>
        </w:rPr>
        <w:t>险分析、使用和保障危险分析必要的内容和技术，以确保系统设计、使用、维修和</w:t>
      </w:r>
      <w:r>
        <w:t xml:space="preserve"> 保障的安全性。</w:t>
      </w:r>
    </w:p>
    <w:p w14:paraId="38DDDFD8">
      <w:pPr>
        <w:pStyle w:val="2"/>
        <w:spacing w:before="1" w:line="217" w:lineRule="auto"/>
        <w:ind w:left="550"/>
      </w:pPr>
      <w:r>
        <w:rPr>
          <w:spacing w:val="2"/>
        </w:rPr>
        <w:t>安全性符合有关规定的评价应：</w:t>
      </w:r>
    </w:p>
    <w:p w14:paraId="00517224">
      <w:pPr>
        <w:pStyle w:val="2"/>
        <w:spacing w:before="72" w:line="257" w:lineRule="auto"/>
        <w:ind w:right="124" w:firstLine="550"/>
      </w:pPr>
      <w:r>
        <w:rPr>
          <w:rFonts w:ascii="Times New Roman" w:hAnsi="Times New Roman" w:eastAsia="Times New Roman" w:cs="Times New Roman"/>
          <w:spacing w:val="-5"/>
        </w:rPr>
        <w:t>a)</w:t>
      </w:r>
      <w:r>
        <w:rPr>
          <w:rFonts w:ascii="Times New Roman" w:hAnsi="Times New Roman" w:eastAsia="Times New Roman" w:cs="Times New Roman"/>
          <w:spacing w:val="72"/>
        </w:rPr>
        <w:t xml:space="preserve"> </w:t>
      </w:r>
      <w:r>
        <w:rPr>
          <w:spacing w:val="-5"/>
        </w:rPr>
        <w:t>确定和评价系统中存在的或本系统特有的接口、安装、试验、使用、维修</w:t>
      </w:r>
      <w:r>
        <w:t xml:space="preserve"> 或保障引起的残余危险；</w:t>
      </w:r>
    </w:p>
    <w:p w14:paraId="59C229E8">
      <w:pPr>
        <w:pStyle w:val="2"/>
        <w:spacing w:before="69" w:line="261" w:lineRule="auto"/>
        <w:ind w:right="123" w:firstLine="550"/>
      </w:pPr>
      <w:r>
        <w:rPr>
          <w:rFonts w:ascii="Times New Roman" w:hAnsi="Times New Roman" w:eastAsia="Times New Roman" w:cs="Times New Roman"/>
          <w:spacing w:val="-12"/>
        </w:rPr>
        <w:t xml:space="preserve">b)  </w:t>
      </w:r>
      <w:r>
        <w:rPr>
          <w:spacing w:val="-12"/>
        </w:rPr>
        <w:t>确定必要的特殊的安全性设计特性、装置、规程、技能、培训</w:t>
      </w:r>
      <w:r>
        <w:rPr>
          <w:spacing w:val="-13"/>
        </w:rPr>
        <w:t>、设施、保障</w:t>
      </w:r>
      <w:r>
        <w:t xml:space="preserve"> </w:t>
      </w:r>
      <w:r>
        <w:rPr>
          <w:spacing w:val="1"/>
        </w:rPr>
        <w:t>要求及人员防护设备；</w:t>
      </w:r>
    </w:p>
    <w:p w14:paraId="3A4AEDD1">
      <w:pPr>
        <w:pStyle w:val="2"/>
        <w:spacing w:before="56" w:line="251" w:lineRule="auto"/>
        <w:ind w:right="120" w:firstLine="550"/>
      </w:pPr>
      <w:r>
        <w:rPr>
          <w:rFonts w:ascii="Times New Roman" w:hAnsi="Times New Roman" w:eastAsia="Times New Roman" w:cs="Times New Roman"/>
          <w:spacing w:val="-4"/>
        </w:rPr>
        <w:t>c)</w:t>
      </w:r>
      <w:r>
        <w:rPr>
          <w:rFonts w:ascii="Times New Roman" w:hAnsi="Times New Roman" w:eastAsia="Times New Roman" w:cs="Times New Roman"/>
          <w:spacing w:val="52"/>
        </w:rPr>
        <w:t xml:space="preserve"> </w:t>
      </w:r>
      <w:r>
        <w:rPr>
          <w:spacing w:val="-4"/>
        </w:rPr>
        <w:t>确定危险器材及其安全装卸、使用、贮存、运输、</w:t>
      </w:r>
      <w:r>
        <w:rPr>
          <w:spacing w:val="-5"/>
        </w:rPr>
        <w:t>维修及处理所需的预防</w:t>
      </w:r>
      <w:r>
        <w:t xml:space="preserve"> </w:t>
      </w:r>
      <w:r>
        <w:rPr>
          <w:spacing w:val="4"/>
        </w:rPr>
        <w:t>措施和规程。</w:t>
      </w:r>
    </w:p>
    <w:p w14:paraId="2BEEB3B4">
      <w:pPr>
        <w:spacing w:before="74" w:line="223" w:lineRule="auto"/>
        <w:rPr>
          <w:rFonts w:ascii="黑体" w:hAnsi="黑体" w:eastAsia="黑体" w:cs="黑体"/>
          <w:sz w:val="27"/>
          <w:szCs w:val="27"/>
        </w:rPr>
      </w:pPr>
      <w:r>
        <w:rPr>
          <w:rFonts w:ascii="黑体" w:hAnsi="黑体" w:eastAsia="黑体" w:cs="黑体"/>
          <w:spacing w:val="1"/>
          <w:sz w:val="27"/>
          <w:szCs w:val="27"/>
        </w:rPr>
        <w:t>5.4</w:t>
      </w:r>
      <w:r>
        <w:rPr>
          <w:rFonts w:ascii="黑体" w:hAnsi="黑体" w:eastAsia="黑体" w:cs="黑体"/>
          <w:spacing w:val="20"/>
          <w:sz w:val="27"/>
          <w:szCs w:val="27"/>
        </w:rPr>
        <w:t xml:space="preserve">  </w:t>
      </w:r>
      <w:r>
        <w:rPr>
          <w:rFonts w:ascii="黑体" w:hAnsi="黑体" w:eastAsia="黑体" w:cs="黑体"/>
          <w:b/>
          <w:bCs/>
          <w:spacing w:val="1"/>
          <w:sz w:val="27"/>
          <w:szCs w:val="27"/>
        </w:rPr>
        <w:t>安全性培训</w:t>
      </w:r>
    </w:p>
    <w:p w14:paraId="6054B138">
      <w:pPr>
        <w:spacing w:before="111" w:line="221" w:lineRule="auto"/>
        <w:rPr>
          <w:rFonts w:ascii="黑体" w:hAnsi="黑体" w:eastAsia="黑体" w:cs="黑体"/>
          <w:sz w:val="27"/>
          <w:szCs w:val="27"/>
        </w:rPr>
      </w:pPr>
      <w:r>
        <w:rPr>
          <w:rFonts w:ascii="黑体" w:hAnsi="黑体" w:eastAsia="黑体" w:cs="黑体"/>
          <w:spacing w:val="5"/>
          <w:sz w:val="27"/>
          <w:szCs w:val="27"/>
        </w:rPr>
        <w:t>5.4.1</w:t>
      </w:r>
      <w:r>
        <w:rPr>
          <w:rFonts w:ascii="黑体" w:hAnsi="黑体" w:eastAsia="黑体" w:cs="黑体"/>
          <w:spacing w:val="134"/>
          <w:sz w:val="27"/>
          <w:szCs w:val="27"/>
        </w:rPr>
        <w:t xml:space="preserve"> </w:t>
      </w:r>
      <w:r>
        <w:rPr>
          <w:rFonts w:ascii="黑体" w:hAnsi="黑体" w:eastAsia="黑体" w:cs="黑体"/>
          <w:b/>
          <w:bCs/>
          <w:spacing w:val="5"/>
          <w:sz w:val="27"/>
          <w:szCs w:val="27"/>
        </w:rPr>
        <w:t>系统安全性主管负责人的资格(工作项目</w:t>
      </w:r>
      <w:r>
        <w:rPr>
          <w:rFonts w:ascii="黑体" w:hAnsi="黑体" w:eastAsia="黑体" w:cs="黑体"/>
          <w:spacing w:val="5"/>
          <w:sz w:val="27"/>
          <w:szCs w:val="27"/>
        </w:rPr>
        <w:t>401)</w:t>
      </w:r>
    </w:p>
    <w:p w14:paraId="6CCACF5B">
      <w:pPr>
        <w:pStyle w:val="2"/>
        <w:spacing w:before="72" w:line="284" w:lineRule="auto"/>
        <w:ind w:right="120" w:firstLine="550"/>
      </w:pPr>
      <w:r>
        <w:rPr>
          <w:spacing w:val="6"/>
        </w:rPr>
        <w:t>用于确定承制方系统安全性主管负责人的资格。系</w:t>
      </w:r>
      <w:r>
        <w:rPr>
          <w:spacing w:val="5"/>
        </w:rPr>
        <w:t>统安全性主管负责人有</w:t>
      </w:r>
      <w:r>
        <w:t xml:space="preserve"> </w:t>
      </w:r>
      <w:r>
        <w:rPr>
          <w:spacing w:val="2"/>
        </w:rPr>
        <w:t>权协调或批准承制方有关系统安全性的文件。</w:t>
      </w:r>
    </w:p>
    <w:p w14:paraId="00825645">
      <w:pPr>
        <w:pStyle w:val="2"/>
        <w:spacing w:line="219" w:lineRule="auto"/>
        <w:ind w:left="550"/>
      </w:pPr>
      <w:r>
        <w:rPr>
          <w:spacing w:val="2"/>
        </w:rPr>
        <w:t>系统安全性主管负责人应符合下列条件：</w:t>
      </w:r>
    </w:p>
    <w:p w14:paraId="4DE3D8F2">
      <w:pPr>
        <w:pStyle w:val="2"/>
        <w:spacing w:before="70" w:line="212" w:lineRule="auto"/>
        <w:ind w:left="550"/>
      </w:pPr>
      <w:r>
        <w:rPr>
          <w:rFonts w:ascii="Times New Roman" w:hAnsi="Times New Roman" w:eastAsia="Times New Roman" w:cs="Times New Roman"/>
          <w:spacing w:val="4"/>
        </w:rPr>
        <w:t>a)</w:t>
      </w:r>
      <w:r>
        <w:rPr>
          <w:rFonts w:ascii="Times New Roman" w:hAnsi="Times New Roman" w:eastAsia="Times New Roman" w:cs="Times New Roman"/>
          <w:spacing w:val="64"/>
          <w:w w:val="101"/>
        </w:rPr>
        <w:t xml:space="preserve"> </w:t>
      </w:r>
      <w:r>
        <w:rPr>
          <w:spacing w:val="4"/>
        </w:rPr>
        <w:t>至少具有或相当理工科或管理专业大学本科毕业以上水平。</w:t>
      </w:r>
    </w:p>
    <w:p w14:paraId="41F7C53D">
      <w:pPr>
        <w:spacing w:line="212" w:lineRule="auto"/>
        <w:sectPr>
          <w:footerReference r:id="rId547" w:type="default"/>
          <w:pgSz w:w="11910" w:h="17130"/>
          <w:pgMar w:top="400" w:right="1285" w:bottom="1750" w:left="1130" w:header="0" w:footer="1464" w:gutter="0"/>
          <w:cols w:space="720" w:num="1"/>
        </w:sectPr>
      </w:pPr>
    </w:p>
    <w:p w14:paraId="21CC6710">
      <w:pPr>
        <w:spacing w:line="241" w:lineRule="auto"/>
        <w:rPr>
          <w:rFonts w:ascii="Arial"/>
          <w:sz w:val="21"/>
        </w:rPr>
      </w:pPr>
    </w:p>
    <w:p w14:paraId="3FE4EC38">
      <w:pPr>
        <w:spacing w:line="241" w:lineRule="auto"/>
        <w:rPr>
          <w:rFonts w:ascii="Arial"/>
          <w:sz w:val="21"/>
        </w:rPr>
      </w:pPr>
    </w:p>
    <w:p w14:paraId="0F19BA11">
      <w:pPr>
        <w:spacing w:line="242" w:lineRule="auto"/>
        <w:rPr>
          <w:rFonts w:ascii="Arial"/>
          <w:sz w:val="21"/>
        </w:rPr>
      </w:pPr>
    </w:p>
    <w:p w14:paraId="2D73470A">
      <w:pPr>
        <w:spacing w:line="242" w:lineRule="auto"/>
        <w:rPr>
          <w:rFonts w:ascii="Arial"/>
          <w:sz w:val="21"/>
        </w:rPr>
      </w:pPr>
    </w:p>
    <w:p w14:paraId="736E9712">
      <w:pPr>
        <w:pStyle w:val="2"/>
        <w:spacing w:before="88" w:line="212" w:lineRule="auto"/>
        <w:ind w:left="539"/>
      </w:pPr>
      <w:r>
        <w:rPr>
          <w:rFonts w:ascii="Times New Roman" w:hAnsi="Times New Roman" w:eastAsia="Times New Roman" w:cs="Times New Roman"/>
          <w:spacing w:val="4"/>
        </w:rPr>
        <w:t xml:space="preserve">b)  </w:t>
      </w:r>
      <w:r>
        <w:rPr>
          <w:spacing w:val="4"/>
        </w:rPr>
        <w:t>经系统安全性方面的专业培训并经考试合格。</w:t>
      </w:r>
    </w:p>
    <w:p w14:paraId="07C2CABD">
      <w:pPr>
        <w:pStyle w:val="2"/>
        <w:spacing w:before="69" w:line="212" w:lineRule="auto"/>
        <w:ind w:left="539"/>
      </w:pPr>
      <w:r>
        <w:rPr>
          <w:rFonts w:ascii="Times New Roman" w:hAnsi="Times New Roman" w:eastAsia="Times New Roman" w:cs="Times New Roman"/>
          <w:spacing w:val="6"/>
        </w:rPr>
        <w:t>c)</w:t>
      </w:r>
      <w:r>
        <w:rPr>
          <w:rFonts w:ascii="Times New Roman" w:hAnsi="Times New Roman" w:eastAsia="Times New Roman" w:cs="Times New Roman"/>
          <w:spacing w:val="62"/>
        </w:rPr>
        <w:t xml:space="preserve"> </w:t>
      </w:r>
      <w:r>
        <w:rPr>
          <w:spacing w:val="6"/>
        </w:rPr>
        <w:t>具有下列方面之一的工作经历(经历的</w:t>
      </w:r>
      <w:r>
        <w:rPr>
          <w:spacing w:val="5"/>
        </w:rPr>
        <w:t>长短由有关部门自定):</w:t>
      </w:r>
    </w:p>
    <w:p w14:paraId="0BC5E3D7">
      <w:pPr>
        <w:pStyle w:val="2"/>
        <w:spacing w:before="120" w:line="219" w:lineRule="auto"/>
        <w:ind w:left="539"/>
      </w:pPr>
      <w:r>
        <w:rPr>
          <w:spacing w:val="-1"/>
        </w:rPr>
        <w:t>系统安全性管理；</w:t>
      </w:r>
    </w:p>
    <w:p w14:paraId="5ED2A750">
      <w:pPr>
        <w:pStyle w:val="2"/>
        <w:spacing w:before="90" w:line="220" w:lineRule="auto"/>
        <w:ind w:left="539"/>
      </w:pPr>
      <w:r>
        <w:rPr>
          <w:spacing w:val="-1"/>
        </w:rPr>
        <w:t>系统安全性分析；</w:t>
      </w:r>
    </w:p>
    <w:p w14:paraId="64C28717">
      <w:pPr>
        <w:pStyle w:val="2"/>
        <w:spacing w:before="89" w:line="221" w:lineRule="auto"/>
        <w:ind w:left="539"/>
      </w:pPr>
      <w:r>
        <w:rPr>
          <w:spacing w:val="-1"/>
        </w:rPr>
        <w:t>系统安全性设计；</w:t>
      </w:r>
    </w:p>
    <w:p w14:paraId="3C8322B4">
      <w:pPr>
        <w:pStyle w:val="2"/>
        <w:spacing w:before="84" w:line="219" w:lineRule="auto"/>
        <w:ind w:left="539"/>
      </w:pPr>
      <w:r>
        <w:rPr>
          <w:spacing w:val="-1"/>
        </w:rPr>
        <w:t>系统安全性研究；</w:t>
      </w:r>
    </w:p>
    <w:p w14:paraId="2E7DF52A">
      <w:pPr>
        <w:pStyle w:val="2"/>
        <w:spacing w:before="91" w:line="219" w:lineRule="auto"/>
        <w:ind w:left="539"/>
      </w:pPr>
      <w:r>
        <w:rPr>
          <w:spacing w:val="1"/>
        </w:rPr>
        <w:t>系统的使用安全性；</w:t>
      </w:r>
    </w:p>
    <w:p w14:paraId="1FBABF7A">
      <w:pPr>
        <w:pStyle w:val="2"/>
        <w:spacing w:before="81" w:line="220" w:lineRule="auto"/>
        <w:ind w:left="539"/>
      </w:pPr>
      <w:r>
        <w:rPr>
          <w:spacing w:val="-1"/>
        </w:rPr>
        <w:t>事故调查；</w:t>
      </w:r>
    </w:p>
    <w:p w14:paraId="597633E9">
      <w:pPr>
        <w:pStyle w:val="2"/>
        <w:spacing w:before="87" w:line="219" w:lineRule="auto"/>
        <w:ind w:left="539"/>
      </w:pPr>
      <w:r>
        <w:rPr>
          <w:spacing w:val="-1"/>
        </w:rPr>
        <w:t>人素工程；</w:t>
      </w:r>
    </w:p>
    <w:p w14:paraId="38D77446">
      <w:pPr>
        <w:pStyle w:val="2"/>
        <w:spacing w:before="130" w:line="219" w:lineRule="auto"/>
        <w:ind w:left="539"/>
      </w:pPr>
      <w:r>
        <w:rPr>
          <w:spacing w:val="1"/>
        </w:rPr>
        <w:t>产品质量保证工程；</w:t>
      </w:r>
    </w:p>
    <w:p w14:paraId="32DEEDF0">
      <w:pPr>
        <w:pStyle w:val="2"/>
        <w:spacing w:before="90" w:line="220" w:lineRule="auto"/>
        <w:ind w:left="539"/>
      </w:pPr>
      <w:r>
        <w:rPr>
          <w:spacing w:val="-1"/>
        </w:rPr>
        <w:t>可靠性工程；</w:t>
      </w:r>
    </w:p>
    <w:p w14:paraId="2B7E8239">
      <w:pPr>
        <w:pStyle w:val="2"/>
        <w:spacing w:before="88" w:line="219" w:lineRule="auto"/>
        <w:ind w:left="539"/>
      </w:pPr>
      <w:r>
        <w:rPr>
          <w:spacing w:val="4"/>
        </w:rPr>
        <w:t>维修性工程。</w:t>
      </w:r>
    </w:p>
    <w:p w14:paraId="21C0F4A4">
      <w:pPr>
        <w:spacing w:before="74" w:line="222" w:lineRule="auto"/>
        <w:rPr>
          <w:rFonts w:ascii="黑体" w:hAnsi="黑体" w:eastAsia="黑体" w:cs="黑体"/>
          <w:sz w:val="27"/>
          <w:szCs w:val="27"/>
        </w:rPr>
      </w:pPr>
      <w:r>
        <w:rPr>
          <w:rFonts w:ascii="黑体" w:hAnsi="黑体" w:eastAsia="黑体" w:cs="黑体"/>
          <w:spacing w:val="3"/>
          <w:sz w:val="27"/>
          <w:szCs w:val="27"/>
        </w:rPr>
        <w:t>5.4</w:t>
      </w:r>
      <w:r>
        <w:rPr>
          <w:rFonts w:ascii="黑体" w:hAnsi="黑体" w:eastAsia="黑体" w:cs="黑体"/>
          <w:b/>
          <w:bCs/>
          <w:spacing w:val="3"/>
          <w:sz w:val="27"/>
          <w:szCs w:val="27"/>
        </w:rPr>
        <w:t>.2</w:t>
      </w:r>
      <w:r>
        <w:rPr>
          <w:rFonts w:ascii="黑体" w:hAnsi="黑体" w:eastAsia="黑体" w:cs="黑体"/>
          <w:spacing w:val="26"/>
          <w:sz w:val="27"/>
          <w:szCs w:val="27"/>
        </w:rPr>
        <w:t xml:space="preserve">  </w:t>
      </w:r>
      <w:r>
        <w:rPr>
          <w:rFonts w:ascii="黑体" w:hAnsi="黑体" w:eastAsia="黑体" w:cs="黑体"/>
          <w:b/>
          <w:bCs/>
          <w:spacing w:val="3"/>
          <w:sz w:val="27"/>
          <w:szCs w:val="27"/>
        </w:rPr>
        <w:t>培训(工作项目</w:t>
      </w:r>
      <w:r>
        <w:rPr>
          <w:rFonts w:ascii="黑体" w:hAnsi="黑体" w:eastAsia="黑体" w:cs="黑体"/>
          <w:spacing w:val="3"/>
          <w:sz w:val="27"/>
          <w:szCs w:val="27"/>
        </w:rPr>
        <w:t>402)</w:t>
      </w:r>
    </w:p>
    <w:p w14:paraId="7D6C6F1D">
      <w:pPr>
        <w:pStyle w:val="2"/>
        <w:spacing w:before="59" w:line="284" w:lineRule="auto"/>
        <w:ind w:right="36" w:firstLine="539"/>
        <w:jc w:val="both"/>
      </w:pPr>
      <w:r>
        <w:rPr>
          <w:spacing w:val="5"/>
        </w:rPr>
        <w:t>对承制方和订购方的有关人员进行培训，这些人员在承制方的工作中将参</w:t>
      </w:r>
      <w:r>
        <w:rPr>
          <w:spacing w:val="11"/>
        </w:rPr>
        <w:t xml:space="preserve"> </w:t>
      </w:r>
      <w:r>
        <w:rPr>
          <w:spacing w:val="-10"/>
        </w:rPr>
        <w:t>与下列方面的工作：确定危险及其分类，分析产生的原因、影响，采取防护和控制</w:t>
      </w:r>
      <w:r>
        <w:rPr>
          <w:spacing w:val="1"/>
        </w:rPr>
        <w:t xml:space="preserve"> </w:t>
      </w:r>
      <w:r>
        <w:rPr>
          <w:spacing w:val="-17"/>
        </w:rPr>
        <w:t>措施，制定和执行规程、检查表；消除人为差错；研制保险装置、保护设备、监</w:t>
      </w:r>
      <w:r>
        <w:rPr>
          <w:spacing w:val="-18"/>
        </w:rPr>
        <w:t>控和</w:t>
      </w:r>
      <w:r>
        <w:t xml:space="preserve"> </w:t>
      </w:r>
      <w:r>
        <w:rPr>
          <w:spacing w:val="-7"/>
        </w:rPr>
        <w:t>报警装置；及制定应急规程。</w:t>
      </w:r>
    </w:p>
    <w:p w14:paraId="711D0012">
      <w:pPr>
        <w:pStyle w:val="2"/>
        <w:spacing w:before="4" w:line="274" w:lineRule="auto"/>
        <w:ind w:right="22" w:firstLine="539"/>
        <w:jc w:val="both"/>
      </w:pPr>
      <w:r>
        <w:rPr>
          <w:spacing w:val="-3"/>
        </w:rPr>
        <w:t>试验、使用和保障人员的培训：承制方应对试验、使用和保障人员进行安全</w:t>
      </w:r>
      <w:r>
        <w:t xml:space="preserve"> </w:t>
      </w:r>
      <w:r>
        <w:rPr>
          <w:spacing w:val="-2"/>
        </w:rPr>
        <w:t>性培训，培训计划和考核中应包括已批准的安全性规程。试验、使用</w:t>
      </w:r>
      <w:r>
        <w:rPr>
          <w:spacing w:val="-3"/>
        </w:rPr>
        <w:t>和保障人员</w:t>
      </w:r>
      <w:r>
        <w:t xml:space="preserve"> </w:t>
      </w:r>
      <w:r>
        <w:rPr>
          <w:spacing w:val="3"/>
        </w:rPr>
        <w:t>的资格要由相应的具有审定职能的部门确认。</w:t>
      </w:r>
    </w:p>
    <w:p w14:paraId="7A0BCB88">
      <w:pPr>
        <w:pStyle w:val="2"/>
        <w:spacing w:before="42" w:line="265" w:lineRule="auto"/>
        <w:ind w:right="46" w:firstLine="539"/>
        <w:jc w:val="both"/>
      </w:pPr>
      <w:r>
        <w:rPr>
          <w:spacing w:val="-3"/>
        </w:rPr>
        <w:t>设计、研制和生产人员的培训：承制方应根据系统危险分析和使用危险分析</w:t>
      </w:r>
      <w:r>
        <w:t xml:space="preserve"> </w:t>
      </w:r>
      <w:r>
        <w:rPr>
          <w:spacing w:val="-3"/>
        </w:rPr>
        <w:t>的结果，制定相应的安全性培训计划，分别对承制方设计、研制和生产的各级各</w:t>
      </w:r>
      <w:r>
        <w:rPr>
          <w:spacing w:val="6"/>
        </w:rPr>
        <w:t xml:space="preserve"> </w:t>
      </w:r>
      <w:r>
        <w:rPr>
          <w:spacing w:val="3"/>
        </w:rPr>
        <w:t>类人员进行培训。</w:t>
      </w:r>
    </w:p>
    <w:p w14:paraId="21F54F49">
      <w:pPr>
        <w:pStyle w:val="2"/>
        <w:spacing w:before="29" w:line="282" w:lineRule="auto"/>
        <w:ind w:right="52" w:firstLine="539"/>
      </w:pPr>
      <w:r>
        <w:rPr>
          <w:spacing w:val="5"/>
        </w:rPr>
        <w:t xml:space="preserve">订购方管理人员的培训：承制方也应对参与承制方工作的订购方管理人员 </w:t>
      </w:r>
      <w:r>
        <w:rPr>
          <w:spacing w:val="3"/>
        </w:rPr>
        <w:t>进行安全性培训。</w:t>
      </w:r>
    </w:p>
    <w:p w14:paraId="7CEA18D5">
      <w:pPr>
        <w:spacing w:before="1" w:line="220"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b/>
          <w:bCs/>
          <w:spacing w:val="-1"/>
          <w:sz w:val="27"/>
          <w:szCs w:val="27"/>
        </w:rPr>
        <w:t>5</w:t>
      </w:r>
      <w:r>
        <w:rPr>
          <w:rFonts w:ascii="黑体" w:hAnsi="黑体" w:eastAsia="黑体" w:cs="黑体"/>
          <w:spacing w:val="16"/>
          <w:sz w:val="27"/>
          <w:szCs w:val="27"/>
        </w:rPr>
        <w:t xml:space="preserve">  </w:t>
      </w:r>
      <w:r>
        <w:rPr>
          <w:rFonts w:ascii="黑体" w:hAnsi="黑体" w:eastAsia="黑体" w:cs="黑体"/>
          <w:b/>
          <w:bCs/>
          <w:spacing w:val="-1"/>
          <w:sz w:val="27"/>
          <w:szCs w:val="27"/>
        </w:rPr>
        <w:t>软件系统安全性</w:t>
      </w:r>
    </w:p>
    <w:p w14:paraId="1F134368">
      <w:pPr>
        <w:spacing w:before="97" w:line="222" w:lineRule="auto"/>
        <w:rPr>
          <w:rFonts w:ascii="黑体" w:hAnsi="黑体" w:eastAsia="黑体" w:cs="黑体"/>
          <w:sz w:val="27"/>
          <w:szCs w:val="27"/>
        </w:rPr>
      </w:pPr>
      <w:r>
        <w:rPr>
          <w:rFonts w:ascii="黑体" w:hAnsi="黑体" w:eastAsia="黑体" w:cs="黑体"/>
          <w:spacing w:val="2"/>
          <w:sz w:val="27"/>
          <w:szCs w:val="27"/>
        </w:rPr>
        <w:t>5.5.1</w:t>
      </w:r>
      <w:r>
        <w:rPr>
          <w:rFonts w:ascii="黑体" w:hAnsi="黑体" w:eastAsia="黑体" w:cs="黑体"/>
          <w:spacing w:val="41"/>
          <w:sz w:val="27"/>
          <w:szCs w:val="27"/>
        </w:rPr>
        <w:t xml:space="preserve">  </w:t>
      </w:r>
      <w:r>
        <w:rPr>
          <w:rFonts w:ascii="黑体" w:hAnsi="黑体" w:eastAsia="黑体" w:cs="黑体"/>
          <w:b/>
          <w:bCs/>
          <w:spacing w:val="2"/>
          <w:sz w:val="27"/>
          <w:szCs w:val="27"/>
        </w:rPr>
        <w:t>软件需求危险分析(工作项目</w:t>
      </w:r>
      <w:r>
        <w:rPr>
          <w:rFonts w:ascii="黑体" w:hAnsi="黑体" w:eastAsia="黑体" w:cs="黑体"/>
          <w:spacing w:val="2"/>
          <w:sz w:val="27"/>
          <w:szCs w:val="27"/>
        </w:rPr>
        <w:t>501)</w:t>
      </w:r>
    </w:p>
    <w:p w14:paraId="6B5080ED">
      <w:pPr>
        <w:pStyle w:val="2"/>
        <w:spacing w:before="92" w:line="273" w:lineRule="auto"/>
        <w:ind w:firstLine="539"/>
        <w:jc w:val="both"/>
      </w:pPr>
      <w:r>
        <w:rPr>
          <w:spacing w:val="14"/>
        </w:rPr>
        <w:t>应用初步危险表(工作项目201)和系统级</w:t>
      </w:r>
      <w:r>
        <w:rPr>
          <w:spacing w:val="13"/>
        </w:rPr>
        <w:t>的初步危险分析(工作项目202)</w:t>
      </w:r>
      <w:r>
        <w:t xml:space="preserve"> </w:t>
      </w:r>
      <w:r>
        <w:rPr>
          <w:spacing w:val="-3"/>
        </w:rPr>
        <w:t>的结果，进行软件需求危险分析并记录成文，检查软件的需求和设计，确定软件</w:t>
      </w:r>
      <w:r>
        <w:rPr>
          <w:spacing w:val="5"/>
        </w:rPr>
        <w:t xml:space="preserve"> 的不安全模式，对软件系统进行初始的安全性评价。承制方应在方案设计评审</w:t>
      </w:r>
      <w:r>
        <w:rPr>
          <w:spacing w:val="12"/>
        </w:rPr>
        <w:t xml:space="preserve"> </w:t>
      </w:r>
      <w:r>
        <w:rPr>
          <w:spacing w:val="-14"/>
        </w:rPr>
        <w:t>时提出安全性关键的计算机软件成分(包括过程、程序、例程、模块、功能、表、变</w:t>
      </w:r>
      <w:r>
        <w:rPr>
          <w:spacing w:val="13"/>
        </w:rPr>
        <w:t xml:space="preserve"> </w:t>
      </w:r>
      <w:r>
        <w:rPr>
          <w:spacing w:val="1"/>
        </w:rPr>
        <w:t>量、值或计算机程序状态及其接口等)的清单，分析的最终结果应在软件需求评</w:t>
      </w:r>
      <w:r>
        <w:t xml:space="preserve"> </w:t>
      </w:r>
      <w:r>
        <w:rPr>
          <w:spacing w:val="1"/>
        </w:rPr>
        <w:t>审时提交。工作项目要点包括：</w:t>
      </w:r>
    </w:p>
    <w:p w14:paraId="06DEEC74">
      <w:pPr>
        <w:pStyle w:val="2"/>
        <w:spacing w:before="54" w:line="219" w:lineRule="auto"/>
        <w:ind w:left="539"/>
      </w:pPr>
      <w:r>
        <w:rPr>
          <w:spacing w:val="14"/>
        </w:rPr>
        <w:t>承制方应建立软件安全性跟踪系统，以记录软件的安全性需求及其实现</w:t>
      </w:r>
    </w:p>
    <w:p w14:paraId="24DB28DE">
      <w:pPr>
        <w:spacing w:line="219" w:lineRule="auto"/>
        <w:sectPr>
          <w:footerReference r:id="rId548" w:type="default"/>
          <w:pgSz w:w="11910" w:h="17130"/>
          <w:pgMar w:top="400" w:right="1030" w:bottom="1653" w:left="1480" w:header="0" w:footer="1455" w:gutter="0"/>
          <w:cols w:space="720" w:num="1"/>
        </w:sectPr>
      </w:pPr>
    </w:p>
    <w:p w14:paraId="75F6F81F">
      <w:pPr>
        <w:spacing w:line="264" w:lineRule="auto"/>
        <w:rPr>
          <w:rFonts w:ascii="Arial"/>
          <w:sz w:val="21"/>
        </w:rPr>
      </w:pPr>
    </w:p>
    <w:p w14:paraId="5EEEEB77">
      <w:pPr>
        <w:spacing w:line="264" w:lineRule="auto"/>
        <w:rPr>
          <w:rFonts w:ascii="Arial"/>
          <w:sz w:val="21"/>
        </w:rPr>
      </w:pPr>
    </w:p>
    <w:p w14:paraId="33263846">
      <w:pPr>
        <w:spacing w:line="264" w:lineRule="auto"/>
        <w:rPr>
          <w:rFonts w:ascii="Arial"/>
          <w:sz w:val="21"/>
        </w:rPr>
      </w:pPr>
    </w:p>
    <w:p w14:paraId="69F2DA69">
      <w:pPr>
        <w:spacing w:line="265" w:lineRule="auto"/>
        <w:rPr>
          <w:rFonts w:ascii="Arial"/>
          <w:sz w:val="21"/>
        </w:rPr>
      </w:pPr>
    </w:p>
    <w:p w14:paraId="5C61ECC3">
      <w:pPr>
        <w:pStyle w:val="2"/>
        <w:spacing w:before="88" w:line="220" w:lineRule="auto"/>
      </w:pPr>
      <w:r>
        <w:rPr>
          <w:spacing w:val="-6"/>
        </w:rPr>
        <w:t>过程。</w:t>
      </w:r>
    </w:p>
    <w:p w14:paraId="24209E73">
      <w:pPr>
        <w:pStyle w:val="2"/>
        <w:spacing w:before="85" w:line="219" w:lineRule="auto"/>
        <w:ind w:left="550"/>
      </w:pPr>
      <w:r>
        <w:rPr>
          <w:spacing w:val="3"/>
        </w:rPr>
        <w:t>承制方应分析系统或部分系统说明书和软件需求规格说明：</w:t>
      </w:r>
    </w:p>
    <w:p w14:paraId="5F94FCC7">
      <w:pPr>
        <w:pStyle w:val="2"/>
        <w:spacing w:before="62" w:line="275" w:lineRule="auto"/>
        <w:ind w:firstLine="550"/>
        <w:jc w:val="both"/>
      </w:pPr>
      <w:r>
        <w:rPr>
          <w:rFonts w:ascii="Times New Roman" w:hAnsi="Times New Roman" w:eastAsia="Times New Roman" w:cs="Times New Roman"/>
          <w:spacing w:val="12"/>
        </w:rPr>
        <w:t>a)</w:t>
      </w:r>
      <w:r>
        <w:rPr>
          <w:rFonts w:ascii="Times New Roman" w:hAnsi="Times New Roman" w:eastAsia="Times New Roman" w:cs="Times New Roman"/>
          <w:spacing w:val="70"/>
        </w:rPr>
        <w:t xml:space="preserve"> </w:t>
      </w:r>
      <w:r>
        <w:rPr>
          <w:spacing w:val="12"/>
        </w:rPr>
        <w:t>保证已经正确和完整地规定了系统安全性要求，并已恰当地转化为软</w:t>
      </w:r>
      <w:r>
        <w:t xml:space="preserve"> </w:t>
      </w:r>
      <w:r>
        <w:rPr>
          <w:spacing w:val="9"/>
        </w:rPr>
        <w:t>件需求，并确保软件安全性需求能恰当地影响软件的设计，以及操作员手</w:t>
      </w:r>
      <w:r>
        <w:rPr>
          <w:spacing w:val="8"/>
        </w:rPr>
        <w:t>册、</w:t>
      </w:r>
      <w:r>
        <w:t xml:space="preserve"> </w:t>
      </w:r>
      <w:r>
        <w:rPr>
          <w:spacing w:val="14"/>
        </w:rPr>
        <w:t>用户手册和诊断手册的制定。承制方至少应考察以</w:t>
      </w:r>
      <w:r>
        <w:rPr>
          <w:spacing w:val="13"/>
        </w:rPr>
        <w:t>下文件：1)系统或部分系</w:t>
      </w:r>
      <w:r>
        <w:t xml:space="preserve"> </w:t>
      </w:r>
      <w:r>
        <w:rPr>
          <w:spacing w:val="5"/>
        </w:rPr>
        <w:t>统说明书和分系统说明书；2)软件需求规格说明；3)接口要求说明书和其他接</w:t>
      </w:r>
      <w:r>
        <w:t xml:space="preserve">  </w:t>
      </w:r>
      <w:r>
        <w:rPr>
          <w:spacing w:val="4"/>
        </w:rPr>
        <w:t>口文件；4)功能流程图和有关资料；5)存储分配和程序结构文件；6)与涉及计</w:t>
      </w:r>
      <w:r>
        <w:rPr>
          <w:spacing w:val="6"/>
        </w:rPr>
        <w:t xml:space="preserve">  </w:t>
      </w:r>
      <w:r>
        <w:t>划的测试、生产、贮存、修理、使用和最终处置的安全性要求有关的基本信息；</w:t>
      </w:r>
    </w:p>
    <w:p w14:paraId="6BE87B66">
      <w:pPr>
        <w:pStyle w:val="2"/>
        <w:spacing w:before="46" w:line="248" w:lineRule="auto"/>
        <w:ind w:right="19"/>
      </w:pPr>
      <w:r>
        <w:rPr>
          <w:spacing w:val="17"/>
        </w:rPr>
        <w:t>7)与系统能源、有毒物质和其他危险事件源(特别是由软件直接或间接控制</w:t>
      </w:r>
      <w:r>
        <w:t xml:space="preserve"> </w:t>
      </w:r>
      <w:r>
        <w:rPr>
          <w:spacing w:val="12"/>
        </w:rPr>
        <w:t>的)有关的信息；8)软件开发计划、软件质量评估计划和软件配置管理计划；</w:t>
      </w:r>
    </w:p>
    <w:p w14:paraId="576EF94B">
      <w:pPr>
        <w:pStyle w:val="2"/>
        <w:spacing w:before="94" w:line="220" w:lineRule="auto"/>
      </w:pPr>
      <w:r>
        <w:rPr>
          <w:spacing w:val="8"/>
        </w:rPr>
        <w:t>9)有关的历史资料。</w:t>
      </w:r>
    </w:p>
    <w:p w14:paraId="21981E2B">
      <w:pPr>
        <w:pStyle w:val="2"/>
        <w:spacing w:before="57" w:line="212" w:lineRule="auto"/>
        <w:ind w:left="550"/>
      </w:pPr>
      <w:r>
        <w:rPr>
          <w:rFonts w:ascii="Times New Roman" w:hAnsi="Times New Roman" w:eastAsia="Times New Roman" w:cs="Times New Roman"/>
          <w:spacing w:val="4"/>
        </w:rPr>
        <w:t xml:space="preserve">b)  </w:t>
      </w:r>
      <w:r>
        <w:rPr>
          <w:spacing w:val="4"/>
        </w:rPr>
        <w:t>确定与上述说明书和文件有关的危险。</w:t>
      </w:r>
    </w:p>
    <w:p w14:paraId="76A7A3EA">
      <w:pPr>
        <w:pStyle w:val="2"/>
        <w:spacing w:before="111" w:line="280" w:lineRule="auto"/>
        <w:ind w:right="121" w:firstLine="550"/>
      </w:pPr>
      <w:r>
        <w:rPr>
          <w:spacing w:val="5"/>
        </w:rPr>
        <w:t>承制方应提出与安全性有关的对上述文件的更改建议、设计要求和测试要</w:t>
      </w:r>
      <w:r>
        <w:rPr>
          <w:spacing w:val="12"/>
        </w:rPr>
        <w:t xml:space="preserve"> </w:t>
      </w:r>
      <w:r>
        <w:rPr>
          <w:spacing w:val="1"/>
        </w:rPr>
        <w:t>求，并将其纳入软件概要设计文档和详细设计文档及</w:t>
      </w:r>
      <w:r>
        <w:t>软件测试计划中。</w:t>
      </w:r>
    </w:p>
    <w:p w14:paraId="1DD54905">
      <w:pPr>
        <w:pStyle w:val="2"/>
        <w:spacing w:before="1" w:line="218" w:lineRule="auto"/>
        <w:ind w:left="550"/>
      </w:pPr>
      <w:r>
        <w:rPr>
          <w:spacing w:val="3"/>
        </w:rPr>
        <w:t>承制方应从软件安全性的角度保障方案设计评审和软件需求评审。</w:t>
      </w:r>
    </w:p>
    <w:p w14:paraId="388E06AF">
      <w:pPr>
        <w:spacing w:before="95" w:line="221" w:lineRule="auto"/>
        <w:ind w:left="3"/>
        <w:rPr>
          <w:rFonts w:ascii="黑体" w:hAnsi="黑体" w:eastAsia="黑体" w:cs="黑体"/>
          <w:sz w:val="27"/>
          <w:szCs w:val="27"/>
        </w:rPr>
      </w:pPr>
      <w:r>
        <w:rPr>
          <w:rFonts w:ascii="黑体" w:hAnsi="黑体" w:eastAsia="黑体" w:cs="黑体"/>
          <w:b/>
          <w:bCs/>
          <w:spacing w:val="3"/>
          <w:sz w:val="27"/>
          <w:szCs w:val="27"/>
        </w:rPr>
        <w:t>5.5.2</w:t>
      </w:r>
      <w:r>
        <w:rPr>
          <w:rFonts w:ascii="黑体" w:hAnsi="黑体" w:eastAsia="黑体" w:cs="黑体"/>
          <w:spacing w:val="3"/>
          <w:sz w:val="27"/>
          <w:szCs w:val="27"/>
        </w:rPr>
        <w:t xml:space="preserve">  </w:t>
      </w:r>
      <w:r>
        <w:rPr>
          <w:rFonts w:ascii="黑体" w:hAnsi="黑体" w:eastAsia="黑体" w:cs="黑体"/>
          <w:b/>
          <w:bCs/>
          <w:spacing w:val="3"/>
          <w:sz w:val="27"/>
          <w:szCs w:val="27"/>
        </w:rPr>
        <w:t>概要设计危险分析(工作项目</w:t>
      </w:r>
      <w:r>
        <w:rPr>
          <w:rFonts w:ascii="黑体" w:hAnsi="黑体" w:eastAsia="黑体" w:cs="黑体"/>
          <w:spacing w:val="3"/>
          <w:sz w:val="27"/>
          <w:szCs w:val="27"/>
        </w:rPr>
        <w:t>50</w:t>
      </w:r>
      <w:r>
        <w:rPr>
          <w:rFonts w:ascii="黑体" w:hAnsi="黑体" w:eastAsia="黑体" w:cs="黑体"/>
          <w:spacing w:val="2"/>
          <w:sz w:val="27"/>
          <w:szCs w:val="27"/>
        </w:rPr>
        <w:t>2)</w:t>
      </w:r>
    </w:p>
    <w:p w14:paraId="6BF3D2B5">
      <w:pPr>
        <w:pStyle w:val="2"/>
        <w:spacing w:before="115" w:line="271" w:lineRule="auto"/>
        <w:ind w:right="121" w:firstLine="550"/>
        <w:jc w:val="both"/>
      </w:pPr>
      <w:r>
        <w:rPr>
          <w:spacing w:val="5"/>
        </w:rPr>
        <w:t>应用软件需求危险分析的结果进行概要设计危险分析并记录成文，以确保</w:t>
      </w:r>
      <w:r>
        <w:rPr>
          <w:spacing w:val="8"/>
        </w:rPr>
        <w:t xml:space="preserve"> </w:t>
      </w:r>
      <w:r>
        <w:rPr>
          <w:spacing w:val="5"/>
        </w:rPr>
        <w:t>概要设计中的安全性水平。概要设计危险分析应在软件详细设计开始前基本完</w:t>
      </w:r>
      <w:r>
        <w:rPr>
          <w:spacing w:val="12"/>
        </w:rPr>
        <w:t xml:space="preserve"> </w:t>
      </w:r>
      <w:r>
        <w:rPr>
          <w:spacing w:val="-2"/>
        </w:rPr>
        <w:t>成，分析结果应在概要设计评审时提交。工作项目要点包括：</w:t>
      </w:r>
    </w:p>
    <w:p w14:paraId="7636FFA0">
      <w:pPr>
        <w:pStyle w:val="2"/>
        <w:spacing w:before="17" w:line="274" w:lineRule="auto"/>
        <w:ind w:right="119" w:firstLine="550"/>
      </w:pPr>
      <w:r>
        <w:rPr>
          <w:spacing w:val="5"/>
        </w:rPr>
        <w:t>承制方应进行危险的风险评价，以确定在概要设计后需作进一步分析的安</w:t>
      </w:r>
      <w:r>
        <w:rPr>
          <w:spacing w:val="15"/>
        </w:rPr>
        <w:t xml:space="preserve"> </w:t>
      </w:r>
      <w:r>
        <w:rPr>
          <w:spacing w:val="1"/>
        </w:rPr>
        <w:t>全性关键的计算机软件成分。</w:t>
      </w:r>
    </w:p>
    <w:p w14:paraId="7F61C093">
      <w:pPr>
        <w:pStyle w:val="2"/>
        <w:spacing w:before="2" w:line="263" w:lineRule="auto"/>
        <w:ind w:right="117" w:firstLine="550"/>
      </w:pPr>
      <w:r>
        <w:rPr>
          <w:rFonts w:ascii="Times New Roman" w:hAnsi="Times New Roman" w:eastAsia="Times New Roman" w:cs="Times New Roman"/>
          <w:spacing w:val="12"/>
        </w:rPr>
        <w:t>a)</w:t>
      </w:r>
      <w:r>
        <w:rPr>
          <w:rFonts w:ascii="Times New Roman" w:hAnsi="Times New Roman" w:eastAsia="Times New Roman" w:cs="Times New Roman"/>
          <w:spacing w:val="62"/>
        </w:rPr>
        <w:t xml:space="preserve"> </w:t>
      </w:r>
      <w:r>
        <w:rPr>
          <w:spacing w:val="12"/>
        </w:rPr>
        <w:t>承制方应确定由初步危险分析、分</w:t>
      </w:r>
      <w:r>
        <w:rPr>
          <w:rFonts w:ascii="仿宋" w:hAnsi="仿宋" w:eastAsia="仿宋" w:cs="仿宋"/>
          <w:spacing w:val="12"/>
        </w:rPr>
        <w:t>系统危险分析和软</w:t>
      </w:r>
      <w:r>
        <w:rPr>
          <w:rFonts w:ascii="仿宋" w:hAnsi="仿宋" w:eastAsia="仿宋" w:cs="仿宋"/>
          <w:spacing w:val="11"/>
        </w:rPr>
        <w:t>件需求危险分析</w:t>
      </w:r>
      <w:r>
        <w:rPr>
          <w:rFonts w:ascii="仿宋" w:hAnsi="仿宋" w:eastAsia="仿宋" w:cs="仿宋"/>
        </w:rPr>
        <w:t xml:space="preserve"> </w:t>
      </w:r>
      <w:r>
        <w:rPr>
          <w:spacing w:val="14"/>
        </w:rPr>
        <w:t>所判定的危险与可能影响或控制这些危险的计算</w:t>
      </w:r>
      <w:r>
        <w:rPr>
          <w:spacing w:val="13"/>
        </w:rPr>
        <w:t>机软件成分和低层次软件单</w:t>
      </w:r>
      <w:r>
        <w:t xml:space="preserve"> </w:t>
      </w:r>
      <w:r>
        <w:rPr>
          <w:spacing w:val="14"/>
        </w:rPr>
        <w:t>元的关系，这些软件成分和所有指定的其他成分均</w:t>
      </w:r>
      <w:r>
        <w:rPr>
          <w:spacing w:val="13"/>
        </w:rPr>
        <w:t>为安全性关键的计算机软</w:t>
      </w:r>
      <w:r>
        <w:t xml:space="preserve"> </w:t>
      </w:r>
      <w:r>
        <w:rPr>
          <w:spacing w:val="6"/>
        </w:rPr>
        <w:t>件成分。</w:t>
      </w:r>
    </w:p>
    <w:p w14:paraId="4DDA9B45">
      <w:pPr>
        <w:pStyle w:val="2"/>
        <w:spacing w:before="90" w:line="263" w:lineRule="auto"/>
        <w:ind w:right="19" w:firstLine="550"/>
      </w:pPr>
      <w:r>
        <w:rPr>
          <w:rFonts w:ascii="Times New Roman" w:hAnsi="Times New Roman" w:eastAsia="Times New Roman" w:cs="Times New Roman"/>
          <w:spacing w:val="3"/>
        </w:rPr>
        <w:t xml:space="preserve">b)  </w:t>
      </w:r>
      <w:r>
        <w:rPr>
          <w:spacing w:val="3"/>
        </w:rPr>
        <w:t>承制方应评价现有的设计文档，以确</w:t>
      </w:r>
      <w:r>
        <w:rPr>
          <w:spacing w:val="2"/>
        </w:rPr>
        <w:t>定安全性关键的计算机软件成分与</w:t>
      </w:r>
      <w:r>
        <w:t xml:space="preserve"> </w:t>
      </w:r>
      <w:r>
        <w:rPr>
          <w:spacing w:val="8"/>
        </w:rPr>
        <w:t>其他安全性关键的和非安全性关键的计算机软件成分是否相关和相关的程度，</w:t>
      </w:r>
      <w:r>
        <w:rPr>
          <w:spacing w:val="12"/>
        </w:rPr>
        <w:t xml:space="preserve"> </w:t>
      </w:r>
      <w:r>
        <w:rPr>
          <w:spacing w:val="5"/>
        </w:rPr>
        <w:t>那些影响安全性关键的计算机软件成分的输出的计算机软件成分也为安全性关</w:t>
      </w:r>
      <w:r>
        <w:rPr>
          <w:spacing w:val="11"/>
        </w:rPr>
        <w:t xml:space="preserve"> </w:t>
      </w:r>
      <w:r>
        <w:rPr>
          <w:spacing w:val="1"/>
        </w:rPr>
        <w:t>键的计算机软件成分。</w:t>
      </w:r>
    </w:p>
    <w:p w14:paraId="7B174EE6">
      <w:pPr>
        <w:pStyle w:val="2"/>
        <w:spacing w:before="148" w:line="273" w:lineRule="auto"/>
        <w:ind w:right="111" w:firstLine="550"/>
        <w:jc w:val="both"/>
      </w:pPr>
      <w:r>
        <w:rPr>
          <w:spacing w:val="5"/>
        </w:rPr>
        <w:t>承制方分析安全性关键的计算机软件成分的概要设计以确保概要设计中正</w:t>
      </w:r>
      <w:r>
        <w:rPr>
          <w:spacing w:val="15"/>
        </w:rPr>
        <w:t xml:space="preserve"> </w:t>
      </w:r>
      <w:r>
        <w:rPr>
          <w:spacing w:val="6"/>
        </w:rPr>
        <w:t>确地和完整地规定了所有的安全性要求。承制方应确</w:t>
      </w:r>
      <w:r>
        <w:rPr>
          <w:spacing w:val="5"/>
        </w:rPr>
        <w:t>定在概要设计的何处，以</w:t>
      </w:r>
      <w:r>
        <w:t xml:space="preserve"> </w:t>
      </w:r>
      <w:r>
        <w:rPr>
          <w:spacing w:val="5"/>
        </w:rPr>
        <w:t>及在什么条件下可能出现不可接受的危险。分析中应包括输入输出时序、多重</w:t>
      </w:r>
      <w:r>
        <w:rPr>
          <w:spacing w:val="11"/>
        </w:rPr>
        <w:t xml:space="preserve"> </w:t>
      </w:r>
      <w:r>
        <w:rPr>
          <w:spacing w:val="-24"/>
        </w:rPr>
        <w:t>事件、失序、事件、事件失败、错误事件、不恰当的数值、不利环境、死锁、硬件故障</w:t>
      </w:r>
      <w:r>
        <w:rPr>
          <w:spacing w:val="11"/>
        </w:rPr>
        <w:t xml:space="preserve"> </w:t>
      </w:r>
      <w:r>
        <w:rPr>
          <w:spacing w:val="-3"/>
        </w:rPr>
        <w:t>敏感性等。</w:t>
      </w:r>
    </w:p>
    <w:p w14:paraId="00EE9939">
      <w:pPr>
        <w:spacing w:line="273" w:lineRule="auto"/>
        <w:sectPr>
          <w:footerReference r:id="rId549" w:type="default"/>
          <w:pgSz w:w="11910" w:h="17130"/>
          <w:pgMar w:top="400" w:right="1244" w:bottom="1690" w:left="1180" w:header="0" w:footer="1404" w:gutter="0"/>
          <w:cols w:space="720" w:num="1"/>
        </w:sectPr>
      </w:pPr>
    </w:p>
    <w:p w14:paraId="43283049">
      <w:pPr>
        <w:spacing w:line="261" w:lineRule="auto"/>
        <w:rPr>
          <w:rFonts w:ascii="Arial"/>
          <w:sz w:val="21"/>
        </w:rPr>
      </w:pPr>
    </w:p>
    <w:p w14:paraId="16094DED">
      <w:pPr>
        <w:spacing w:line="262" w:lineRule="auto"/>
        <w:rPr>
          <w:rFonts w:ascii="Arial"/>
          <w:sz w:val="21"/>
        </w:rPr>
      </w:pPr>
    </w:p>
    <w:p w14:paraId="5D5891FE">
      <w:pPr>
        <w:spacing w:line="262" w:lineRule="auto"/>
        <w:rPr>
          <w:rFonts w:ascii="Arial"/>
          <w:sz w:val="21"/>
        </w:rPr>
      </w:pPr>
    </w:p>
    <w:p w14:paraId="39B3DF08">
      <w:pPr>
        <w:spacing w:line="262" w:lineRule="auto"/>
        <w:rPr>
          <w:rFonts w:ascii="Arial"/>
          <w:sz w:val="21"/>
        </w:rPr>
      </w:pPr>
    </w:p>
    <w:p w14:paraId="64E698C1">
      <w:pPr>
        <w:pStyle w:val="2"/>
        <w:spacing w:before="87" w:line="280" w:lineRule="auto"/>
        <w:ind w:right="30" w:firstLine="559"/>
        <w:jc w:val="both"/>
      </w:pPr>
      <w:r>
        <w:rPr>
          <w:spacing w:val="-3"/>
        </w:rPr>
        <w:t>应提出设计更改建议。根据初步危险分析、分系统</w:t>
      </w:r>
      <w:r>
        <w:rPr>
          <w:spacing w:val="-4"/>
        </w:rPr>
        <w:t>危险分析、软件需求危险</w:t>
      </w:r>
      <w:r>
        <w:t xml:space="preserve"> </w:t>
      </w:r>
      <w:r>
        <w:rPr>
          <w:spacing w:val="5"/>
        </w:rPr>
        <w:t>分析和概要设计危险分析的结果，承制方应更改软件概要设计文档以消除危险</w:t>
      </w:r>
      <w:r>
        <w:rPr>
          <w:spacing w:val="10"/>
        </w:rPr>
        <w:t xml:space="preserve"> </w:t>
      </w:r>
      <w:r>
        <w:rPr>
          <w:spacing w:val="3"/>
        </w:rPr>
        <w:t>或将其风险降低到可接受水平。</w:t>
      </w:r>
    </w:p>
    <w:p w14:paraId="6A729997">
      <w:pPr>
        <w:pStyle w:val="2"/>
        <w:spacing w:line="282" w:lineRule="auto"/>
        <w:ind w:right="30" w:firstLine="559"/>
        <w:jc w:val="both"/>
      </w:pPr>
      <w:r>
        <w:rPr>
          <w:spacing w:val="5"/>
        </w:rPr>
        <w:t>承制方应将安全性需求以及对安全性关键的计算机软件成分和安全性关键</w:t>
      </w:r>
      <w:r>
        <w:t xml:space="preserve"> </w:t>
      </w:r>
      <w:r>
        <w:rPr>
          <w:spacing w:val="5"/>
        </w:rPr>
        <w:t>的条件的测试纳入软件测试计划。承制方应将安全性专用的测试纳入软件测试</w:t>
      </w:r>
      <w:r>
        <w:rPr>
          <w:spacing w:val="9"/>
        </w:rPr>
        <w:t xml:space="preserve"> </w:t>
      </w:r>
      <w:r>
        <w:rPr>
          <w:spacing w:val="-3"/>
        </w:rPr>
        <w:t>计划、系统测试计划和整个系统测试大纲，这些测试计划应包括在模拟和使用状</w:t>
      </w:r>
      <w:r>
        <w:rPr>
          <w:spacing w:val="15"/>
        </w:rPr>
        <w:t xml:space="preserve"> </w:t>
      </w:r>
      <w:r>
        <w:rPr>
          <w:spacing w:val="1"/>
        </w:rPr>
        <w:t>态下的测试规定。</w:t>
      </w:r>
    </w:p>
    <w:p w14:paraId="52447F13">
      <w:pPr>
        <w:pStyle w:val="2"/>
        <w:spacing w:before="9" w:line="219" w:lineRule="auto"/>
        <w:ind w:left="559"/>
      </w:pPr>
      <w:r>
        <w:rPr>
          <w:spacing w:val="3"/>
        </w:rPr>
        <w:t>承制方应从软件安全性的角度保障概要设计评审。</w:t>
      </w:r>
    </w:p>
    <w:p w14:paraId="7C28562A">
      <w:pPr>
        <w:spacing w:before="65" w:line="222" w:lineRule="auto"/>
        <w:rPr>
          <w:rFonts w:ascii="黑体" w:hAnsi="黑体" w:eastAsia="黑体" w:cs="黑体"/>
          <w:sz w:val="27"/>
          <w:szCs w:val="27"/>
        </w:rPr>
      </w:pPr>
      <w:r>
        <w:rPr>
          <w:rFonts w:ascii="黑体" w:hAnsi="黑体" w:eastAsia="黑体" w:cs="黑体"/>
          <w:spacing w:val="5"/>
          <w:sz w:val="27"/>
          <w:szCs w:val="27"/>
        </w:rPr>
        <w:t xml:space="preserve">5.5.3  </w:t>
      </w:r>
      <w:r>
        <w:rPr>
          <w:rFonts w:ascii="黑体" w:hAnsi="黑体" w:eastAsia="黑体" w:cs="黑体"/>
          <w:b/>
          <w:bCs/>
          <w:spacing w:val="5"/>
          <w:sz w:val="27"/>
          <w:szCs w:val="27"/>
        </w:rPr>
        <w:t>详细设计危险分析(工作项目</w:t>
      </w:r>
      <w:r>
        <w:rPr>
          <w:rFonts w:ascii="黑体" w:hAnsi="黑体" w:eastAsia="黑体" w:cs="黑体"/>
          <w:spacing w:val="5"/>
          <w:sz w:val="27"/>
          <w:szCs w:val="27"/>
        </w:rPr>
        <w:t>5</w:t>
      </w:r>
      <w:r>
        <w:rPr>
          <w:rFonts w:ascii="黑体" w:hAnsi="黑体" w:eastAsia="黑体" w:cs="黑体"/>
          <w:spacing w:val="4"/>
          <w:sz w:val="27"/>
          <w:szCs w:val="27"/>
        </w:rPr>
        <w:t>03)</w:t>
      </w:r>
    </w:p>
    <w:p w14:paraId="60D1DA08">
      <w:pPr>
        <w:pStyle w:val="2"/>
        <w:spacing w:before="88" w:line="280" w:lineRule="auto"/>
        <w:ind w:right="10" w:firstLine="559"/>
        <w:jc w:val="both"/>
      </w:pPr>
      <w:r>
        <w:rPr>
          <w:spacing w:val="6"/>
        </w:rPr>
        <w:t>应用软件需求危险分析和概要设计危险分析的</w:t>
      </w:r>
      <w:r>
        <w:rPr>
          <w:spacing w:val="5"/>
        </w:rPr>
        <w:t>结果，进行详细设计危险分</w:t>
      </w:r>
      <w:r>
        <w:t xml:space="preserve"> </w:t>
      </w:r>
      <w:r>
        <w:rPr>
          <w:spacing w:val="5"/>
        </w:rPr>
        <w:t>析并记录成文，以验证软件设计是否已正确地体现了安全性需求并对安全性关</w:t>
      </w:r>
      <w:r>
        <w:rPr>
          <w:spacing w:val="11"/>
        </w:rPr>
        <w:t xml:space="preserve"> </w:t>
      </w:r>
      <w:r>
        <w:rPr>
          <w:spacing w:val="5"/>
        </w:rPr>
        <w:t>键的计算机软件成分进行分析。本分析应在软件开始编程前基本完成，其分析</w:t>
      </w:r>
      <w:r>
        <w:rPr>
          <w:spacing w:val="10"/>
        </w:rPr>
        <w:t xml:space="preserve"> </w:t>
      </w:r>
      <w:r>
        <w:rPr>
          <w:spacing w:val="2"/>
        </w:rPr>
        <w:t>结果应在详细设计评审时提交。</w:t>
      </w:r>
    </w:p>
    <w:p w14:paraId="43F44EB1">
      <w:pPr>
        <w:pStyle w:val="2"/>
        <w:spacing w:before="3" w:line="218" w:lineRule="auto"/>
        <w:ind w:left="559"/>
      </w:pPr>
      <w:r>
        <w:rPr>
          <w:spacing w:val="4"/>
        </w:rPr>
        <w:t>承制方应进行危险的风险评价以确定需作进一步分析的软件成分。</w:t>
      </w:r>
    </w:p>
    <w:p w14:paraId="69489314">
      <w:pPr>
        <w:pStyle w:val="2"/>
        <w:spacing w:before="60" w:line="269" w:lineRule="auto"/>
        <w:ind w:firstLine="559"/>
      </w:pPr>
      <w:r>
        <w:rPr>
          <w:rFonts w:ascii="Times New Roman" w:hAnsi="Times New Roman" w:eastAsia="Times New Roman" w:cs="Times New Roman"/>
          <w:spacing w:val="3"/>
        </w:rPr>
        <w:t xml:space="preserve">a)  </w:t>
      </w:r>
      <w:r>
        <w:rPr>
          <w:spacing w:val="3"/>
        </w:rPr>
        <w:t>承制方应确定由初步危险分析、软件需求危险分析、分系统危险分析和</w:t>
      </w:r>
      <w:r>
        <w:rPr>
          <w:spacing w:val="11"/>
        </w:rPr>
        <w:t xml:space="preserve"> </w:t>
      </w:r>
      <w:r>
        <w:rPr>
          <w:spacing w:val="14"/>
        </w:rPr>
        <w:t>概要设计危险分析判定的危险与软件详细设计中规</w:t>
      </w:r>
      <w:r>
        <w:rPr>
          <w:spacing w:val="13"/>
        </w:rPr>
        <w:t>定的低层次软件成分的关</w:t>
      </w:r>
      <w:r>
        <w:t xml:space="preserve"> </w:t>
      </w:r>
      <w:r>
        <w:rPr>
          <w:rFonts w:ascii="仿宋" w:hAnsi="仿宋" w:eastAsia="仿宋" w:cs="仿宋"/>
          <w:spacing w:val="5"/>
        </w:rPr>
        <w:t>系，</w:t>
      </w:r>
      <w:r>
        <w:rPr>
          <w:spacing w:val="5"/>
        </w:rPr>
        <w:t>这些成分为安全性关键的计算机软件成分。安全性关键的计算机软件成分</w:t>
      </w:r>
      <w:r>
        <w:rPr>
          <w:spacing w:val="10"/>
        </w:rPr>
        <w:t xml:space="preserve"> </w:t>
      </w:r>
      <w:r>
        <w:rPr>
          <w:spacing w:val="4"/>
        </w:rPr>
        <w:t>的确定应随详细设计危险分析一直进行到实际可行的最低层次。</w:t>
      </w:r>
    </w:p>
    <w:p w14:paraId="2272E677">
      <w:pPr>
        <w:pStyle w:val="2"/>
        <w:spacing w:before="51" w:line="267" w:lineRule="auto"/>
        <w:ind w:right="10" w:firstLine="559"/>
      </w:pPr>
      <w:r>
        <w:rPr>
          <w:rFonts w:ascii="Times New Roman" w:hAnsi="Times New Roman" w:eastAsia="Times New Roman" w:cs="Times New Roman"/>
          <w:spacing w:val="3"/>
        </w:rPr>
        <w:t xml:space="preserve">b)  </w:t>
      </w:r>
      <w:r>
        <w:rPr>
          <w:spacing w:val="3"/>
        </w:rPr>
        <w:t>承制方应评价软件详细设计文档和其他</w:t>
      </w:r>
      <w:r>
        <w:rPr>
          <w:spacing w:val="2"/>
        </w:rPr>
        <w:t>详细设计文件，在计算机软件配</w:t>
      </w:r>
      <w:r>
        <w:t xml:space="preserve"> </w:t>
      </w:r>
      <w:r>
        <w:rPr>
          <w:spacing w:val="5"/>
        </w:rPr>
        <w:t>置项目及计算机软件成分各层次上确定安全性关键的软件与指定的其他软件是</w:t>
      </w:r>
      <w:r>
        <w:rPr>
          <w:spacing w:val="12"/>
        </w:rPr>
        <w:t xml:space="preserve"> </w:t>
      </w:r>
      <w:r>
        <w:rPr>
          <w:spacing w:val="2"/>
        </w:rPr>
        <w:t>否相关和相关的程度。</w:t>
      </w:r>
    </w:p>
    <w:p w14:paraId="34398C0D">
      <w:pPr>
        <w:pStyle w:val="2"/>
        <w:spacing w:before="85" w:line="279" w:lineRule="auto"/>
        <w:ind w:right="9" w:firstLine="559"/>
        <w:jc w:val="both"/>
      </w:pPr>
      <w:r>
        <w:rPr>
          <w:spacing w:val="6"/>
        </w:rPr>
        <w:t>承制方应对由危险的风险评价确定为安全性关键</w:t>
      </w:r>
      <w:r>
        <w:rPr>
          <w:spacing w:val="5"/>
        </w:rPr>
        <w:t>的软件成分的软件详细设</w:t>
      </w:r>
      <w:r>
        <w:t xml:space="preserve"> </w:t>
      </w:r>
      <w:r>
        <w:rPr>
          <w:spacing w:val="5"/>
        </w:rPr>
        <w:t>计进行安全性分析，以确保在设计中正确地和完整地规定和体现所有的安全性</w:t>
      </w:r>
      <w:r>
        <w:rPr>
          <w:spacing w:val="9"/>
        </w:rPr>
        <w:t xml:space="preserve"> </w:t>
      </w:r>
      <w:r>
        <w:rPr>
          <w:spacing w:val="5"/>
        </w:rPr>
        <w:t>需求。承制方应确定在详细设计的何处以及在什么条件下，将出现或可能出现</w:t>
      </w:r>
      <w:r>
        <w:rPr>
          <w:spacing w:val="9"/>
        </w:rPr>
        <w:t xml:space="preserve"> </w:t>
      </w:r>
      <w:r>
        <w:rPr>
          <w:spacing w:val="1"/>
        </w:rPr>
        <w:t>不可接受的危险。</w:t>
      </w:r>
    </w:p>
    <w:p w14:paraId="525411A4">
      <w:pPr>
        <w:pStyle w:val="2"/>
        <w:spacing w:before="1" w:line="280" w:lineRule="auto"/>
        <w:ind w:right="16" w:firstLine="559"/>
      </w:pPr>
      <w:r>
        <w:rPr>
          <w:spacing w:val="-3"/>
        </w:rPr>
        <w:t>根据详细设计安全性分析的结果，承制方应对详细设计提出更改建议，以消</w:t>
      </w:r>
      <w:r>
        <w:rPr>
          <w:spacing w:val="4"/>
        </w:rPr>
        <w:t xml:space="preserve"> 除危险或将危险的严重性降低到订购方可接受水平。</w:t>
      </w:r>
    </w:p>
    <w:p w14:paraId="6EC30A38">
      <w:pPr>
        <w:pStyle w:val="2"/>
        <w:spacing w:before="1" w:line="274" w:lineRule="auto"/>
        <w:ind w:right="9" w:firstLine="559"/>
      </w:pPr>
      <w:r>
        <w:rPr>
          <w:spacing w:val="6"/>
        </w:rPr>
        <w:t>承制方应参与制定测试计划、说明和规程的要求</w:t>
      </w:r>
      <w:r>
        <w:rPr>
          <w:spacing w:val="5"/>
        </w:rPr>
        <w:t>及其更改的历次过程。承</w:t>
      </w:r>
      <w:r>
        <w:t xml:space="preserve"> </w:t>
      </w:r>
      <w:r>
        <w:rPr>
          <w:spacing w:val="4"/>
        </w:rPr>
        <w:t>制方应制定安全性关键的计算机软件成分的测试说</w:t>
      </w:r>
      <w:r>
        <w:rPr>
          <w:spacing w:val="3"/>
        </w:rPr>
        <w:t>明和规程。</w:t>
      </w:r>
    </w:p>
    <w:p w14:paraId="62C7E282">
      <w:pPr>
        <w:pStyle w:val="2"/>
        <w:spacing w:before="15" w:line="280" w:lineRule="auto"/>
        <w:ind w:right="16" w:firstLine="559"/>
        <w:jc w:val="both"/>
      </w:pPr>
      <w:r>
        <w:rPr>
          <w:spacing w:val="9"/>
        </w:rPr>
        <w:t>承制方应确定安全性有关的信息(如注意和警告事项),以体现在计算机系</w:t>
      </w:r>
      <w:r>
        <w:rPr>
          <w:spacing w:val="12"/>
        </w:rPr>
        <w:t xml:space="preserve"> </w:t>
      </w:r>
      <w:r>
        <w:rPr>
          <w:spacing w:val="-3"/>
        </w:rPr>
        <w:t>统诊断手册、计算机系统操作员手册、固件保障手册和软件用户等手册及其他手</w:t>
      </w:r>
      <w:r>
        <w:rPr>
          <w:spacing w:val="15"/>
        </w:rPr>
        <w:t xml:space="preserve"> </w:t>
      </w:r>
      <w:r>
        <w:rPr>
          <w:spacing w:val="-2"/>
        </w:rPr>
        <w:t>册中。</w:t>
      </w:r>
    </w:p>
    <w:p w14:paraId="1BA8C459">
      <w:pPr>
        <w:pStyle w:val="2"/>
        <w:spacing w:before="3" w:line="276" w:lineRule="auto"/>
        <w:ind w:right="30" w:firstLine="559"/>
      </w:pPr>
      <w:r>
        <w:rPr>
          <w:spacing w:val="5"/>
        </w:rPr>
        <w:t>承制方应对编程人员明确安全性关键的计算机软件成分，并向编程人员提</w:t>
      </w:r>
      <w:r>
        <w:t xml:space="preserve"> </w:t>
      </w:r>
      <w:r>
        <w:rPr>
          <w:spacing w:val="5"/>
        </w:rPr>
        <w:t>出来自概要设计规格说明和设计文档中明确的与安全性有</w:t>
      </w:r>
      <w:r>
        <w:rPr>
          <w:spacing w:val="4"/>
        </w:rPr>
        <w:t>关的编程建议和安全</w:t>
      </w:r>
    </w:p>
    <w:p w14:paraId="3320A98D">
      <w:pPr>
        <w:spacing w:line="276" w:lineRule="auto"/>
        <w:sectPr>
          <w:footerReference r:id="rId550" w:type="default"/>
          <w:pgSz w:w="11910" w:h="17130"/>
          <w:pgMar w:top="400" w:right="1037" w:bottom="1649" w:left="1480" w:header="0" w:footer="1390" w:gutter="0"/>
          <w:cols w:space="720" w:num="1"/>
        </w:sectPr>
      </w:pPr>
    </w:p>
    <w:p w14:paraId="48D1B588">
      <w:pPr>
        <w:spacing w:line="244" w:lineRule="auto"/>
        <w:rPr>
          <w:rFonts w:ascii="Arial"/>
          <w:sz w:val="21"/>
        </w:rPr>
      </w:pPr>
    </w:p>
    <w:p w14:paraId="4E9C04B4">
      <w:pPr>
        <w:spacing w:line="244" w:lineRule="auto"/>
        <w:rPr>
          <w:rFonts w:ascii="Arial"/>
          <w:sz w:val="21"/>
        </w:rPr>
      </w:pPr>
    </w:p>
    <w:p w14:paraId="28B10092">
      <w:pPr>
        <w:spacing w:line="245" w:lineRule="auto"/>
        <w:rPr>
          <w:rFonts w:ascii="Arial"/>
          <w:sz w:val="21"/>
        </w:rPr>
      </w:pPr>
    </w:p>
    <w:p w14:paraId="00C4304E">
      <w:pPr>
        <w:spacing w:line="245" w:lineRule="auto"/>
        <w:rPr>
          <w:rFonts w:ascii="Arial"/>
          <w:sz w:val="21"/>
        </w:rPr>
      </w:pPr>
    </w:p>
    <w:p w14:paraId="605826EE">
      <w:pPr>
        <w:pStyle w:val="2"/>
        <w:spacing w:before="87" w:line="220" w:lineRule="auto"/>
      </w:pPr>
      <w:r>
        <w:rPr>
          <w:spacing w:val="-3"/>
        </w:rPr>
        <w:t>性需求。</w:t>
      </w:r>
    </w:p>
    <w:p w14:paraId="24E80815">
      <w:pPr>
        <w:pStyle w:val="2"/>
        <w:spacing w:before="54" w:line="279" w:lineRule="auto"/>
        <w:ind w:right="152" w:firstLine="570"/>
        <w:jc w:val="both"/>
      </w:pPr>
      <w:r>
        <w:rPr>
          <w:spacing w:val="5"/>
        </w:rPr>
        <w:t>承制方应从软件安全性的角度保障详细设计评审，应</w:t>
      </w:r>
      <w:r>
        <w:rPr>
          <w:spacing w:val="4"/>
        </w:rPr>
        <w:t>在详细设计评审时报</w:t>
      </w:r>
      <w:r>
        <w:t xml:space="preserve"> </w:t>
      </w:r>
      <w:r>
        <w:rPr>
          <w:spacing w:val="-3"/>
        </w:rPr>
        <w:t>告软件安全性分析的结果，报告中应包括概要设计安全性需求和实现、保障分析</w:t>
      </w:r>
      <w:r>
        <w:rPr>
          <w:spacing w:val="15"/>
        </w:rPr>
        <w:t xml:space="preserve"> </w:t>
      </w:r>
      <w:r>
        <w:rPr>
          <w:spacing w:val="3"/>
        </w:rPr>
        <w:t>及所应用的方法和任何未解决的风险问题。</w:t>
      </w:r>
    </w:p>
    <w:p w14:paraId="7EBC3959">
      <w:pPr>
        <w:spacing w:before="2" w:line="221" w:lineRule="auto"/>
        <w:rPr>
          <w:rFonts w:ascii="黑体" w:hAnsi="黑体" w:eastAsia="黑体" w:cs="黑体"/>
          <w:sz w:val="27"/>
          <w:szCs w:val="27"/>
        </w:rPr>
      </w:pPr>
      <w:r>
        <w:rPr>
          <w:rFonts w:ascii="黑体" w:hAnsi="黑体" w:eastAsia="黑体" w:cs="黑体"/>
          <w:spacing w:val="4"/>
          <w:sz w:val="27"/>
          <w:szCs w:val="27"/>
        </w:rPr>
        <w:t xml:space="preserve">5.5.4  </w:t>
      </w:r>
      <w:r>
        <w:rPr>
          <w:rFonts w:ascii="黑体" w:hAnsi="黑体" w:eastAsia="黑体" w:cs="黑体"/>
          <w:b/>
          <w:bCs/>
          <w:spacing w:val="4"/>
          <w:sz w:val="27"/>
          <w:szCs w:val="27"/>
        </w:rPr>
        <w:t>软件编程危险分析(工作项目</w:t>
      </w:r>
      <w:r>
        <w:rPr>
          <w:rFonts w:ascii="黑体" w:hAnsi="黑体" w:eastAsia="黑体" w:cs="黑体"/>
          <w:spacing w:val="4"/>
          <w:sz w:val="27"/>
          <w:szCs w:val="27"/>
        </w:rPr>
        <w:t>504)</w:t>
      </w:r>
    </w:p>
    <w:p w14:paraId="078BDCA6">
      <w:pPr>
        <w:pStyle w:val="2"/>
        <w:spacing w:before="92" w:line="271" w:lineRule="auto"/>
        <w:ind w:right="132" w:firstLine="570"/>
        <w:jc w:val="both"/>
      </w:pPr>
      <w:r>
        <w:rPr>
          <w:spacing w:val="-3"/>
        </w:rPr>
        <w:t>进行软件编程危险分析并记录成文，分析程序的编制和系统的接口，应利用</w:t>
      </w:r>
      <w:r>
        <w:t xml:space="preserve"> </w:t>
      </w:r>
      <w:r>
        <w:rPr>
          <w:spacing w:val="-2"/>
        </w:rPr>
        <w:t>详细设计危险分析的结果，确定其中可能导致或促成影响安</w:t>
      </w:r>
      <w:r>
        <w:rPr>
          <w:spacing w:val="-3"/>
        </w:rPr>
        <w:t>全性的事件、故障和</w:t>
      </w:r>
      <w:r>
        <w:t xml:space="preserve"> </w:t>
      </w:r>
      <w:r>
        <w:rPr>
          <w:spacing w:val="-1"/>
        </w:rPr>
        <w:t>条件。本分析工作应与编程同时进行，并贯穿系统的寿命周期。</w:t>
      </w:r>
    </w:p>
    <w:p w14:paraId="19458EEC">
      <w:pPr>
        <w:pStyle w:val="2"/>
        <w:spacing w:before="41" w:line="277" w:lineRule="auto"/>
        <w:ind w:right="148" w:firstLine="570"/>
        <w:rPr>
          <w:sz w:val="25"/>
          <w:szCs w:val="25"/>
        </w:rPr>
      </w:pPr>
      <w:r>
        <w:rPr>
          <w:spacing w:val="34"/>
          <w:sz w:val="25"/>
          <w:szCs w:val="25"/>
        </w:rPr>
        <w:t>承制方应对所有安全性关键的计算机软件成分进行</w:t>
      </w:r>
      <w:r>
        <w:rPr>
          <w:spacing w:val="33"/>
          <w:sz w:val="25"/>
          <w:szCs w:val="25"/>
        </w:rPr>
        <w:t>危险分析，包括以下</w:t>
      </w:r>
      <w:r>
        <w:rPr>
          <w:sz w:val="25"/>
          <w:szCs w:val="25"/>
        </w:rPr>
        <w:t xml:space="preserve"> </w:t>
      </w:r>
      <w:r>
        <w:rPr>
          <w:spacing w:val="8"/>
          <w:sz w:val="25"/>
          <w:szCs w:val="25"/>
        </w:rPr>
        <w:t>工作：</w:t>
      </w:r>
    </w:p>
    <w:p w14:paraId="25955B33">
      <w:pPr>
        <w:pStyle w:val="2"/>
        <w:spacing w:before="6" w:line="272" w:lineRule="auto"/>
        <w:ind w:right="30" w:firstLine="570"/>
      </w:pPr>
      <w:r>
        <w:rPr>
          <w:rFonts w:ascii="Times New Roman" w:hAnsi="Times New Roman" w:eastAsia="Times New Roman" w:cs="Times New Roman"/>
          <w:spacing w:val="3"/>
        </w:rPr>
        <w:t>a)</w:t>
      </w:r>
      <w:r>
        <w:rPr>
          <w:rFonts w:ascii="Times New Roman" w:hAnsi="Times New Roman" w:eastAsia="Times New Roman" w:cs="Times New Roman"/>
          <w:spacing w:val="65"/>
        </w:rPr>
        <w:t xml:space="preserve"> </w:t>
      </w:r>
      <w:r>
        <w:rPr>
          <w:spacing w:val="3"/>
        </w:rPr>
        <w:t>分析安全性关键的计算机软件成分的正确性和完整性，及其输入或输出</w:t>
      </w:r>
      <w:r>
        <w:t xml:space="preserve"> </w:t>
      </w:r>
      <w:r>
        <w:rPr>
          <w:spacing w:val="-20"/>
        </w:rPr>
        <w:t>时序、多重事件、失序事件、事件失败、错误事件</w:t>
      </w:r>
      <w:r>
        <w:rPr>
          <w:spacing w:val="-21"/>
        </w:rPr>
        <w:t>、不恰当的数值、不利环境、死锁、</w:t>
      </w:r>
      <w:r>
        <w:t xml:space="preserve"> </w:t>
      </w:r>
      <w:r>
        <w:rPr>
          <w:spacing w:val="5"/>
        </w:rPr>
        <w:t xml:space="preserve">硬件故障敏感性等方面的问题；分析系统说明书和要求文件中提出的安全性准  </w:t>
      </w:r>
      <w:r>
        <w:rPr>
          <w:spacing w:val="-3"/>
        </w:rPr>
        <w:t>则在软件中的实现情况；分析可能使系统处在危险状况下工作的硬件故障、软件</w:t>
      </w:r>
      <w:r>
        <w:rPr>
          <w:spacing w:val="7"/>
        </w:rPr>
        <w:t xml:space="preserve">  </w:t>
      </w:r>
      <w:r>
        <w:rPr>
          <w:spacing w:val="-2"/>
        </w:rPr>
        <w:t>故障、瞬时错误和其他事件的可能组合；分析对输入数</w:t>
      </w:r>
      <w:r>
        <w:rPr>
          <w:spacing w:val="-3"/>
        </w:rPr>
        <w:t>据流中特殊字符或不正确</w:t>
      </w:r>
      <w:r>
        <w:t xml:space="preserve"> </w:t>
      </w:r>
      <w:r>
        <w:rPr>
          <w:spacing w:val="-3"/>
        </w:rPr>
        <w:t>数据的不执行处理的正确性；分析故障安全保护和故障可用的模式；分析输入过</w:t>
      </w:r>
      <w:r>
        <w:rPr>
          <w:spacing w:val="7"/>
        </w:rPr>
        <w:t xml:space="preserve">  </w:t>
      </w:r>
      <w:r>
        <w:t>载或过界状态。</w:t>
      </w:r>
    </w:p>
    <w:p w14:paraId="19B74AA3">
      <w:pPr>
        <w:pStyle w:val="2"/>
        <w:spacing w:before="89" w:line="212" w:lineRule="auto"/>
        <w:ind w:left="570"/>
      </w:pPr>
      <w:r>
        <w:rPr>
          <w:rFonts w:ascii="Times New Roman" w:hAnsi="Times New Roman" w:eastAsia="Times New Roman" w:cs="Times New Roman"/>
          <w:spacing w:val="5"/>
        </w:rPr>
        <w:t>b)</w:t>
      </w:r>
      <w:r>
        <w:rPr>
          <w:rFonts w:ascii="Times New Roman" w:hAnsi="Times New Roman" w:eastAsia="Times New Roman" w:cs="Times New Roman"/>
          <w:spacing w:val="57"/>
        </w:rPr>
        <w:t xml:space="preserve"> </w:t>
      </w:r>
      <w:r>
        <w:rPr>
          <w:spacing w:val="5"/>
        </w:rPr>
        <w:t>分析安全性关键的计算机软件成分的内部路径和控</w:t>
      </w:r>
      <w:r>
        <w:rPr>
          <w:spacing w:val="4"/>
        </w:rPr>
        <w:t>制处理流程；</w:t>
      </w:r>
    </w:p>
    <w:p w14:paraId="0FF1C02C">
      <w:pPr>
        <w:pStyle w:val="2"/>
        <w:spacing w:before="101" w:line="253" w:lineRule="auto"/>
        <w:ind w:right="122" w:firstLine="570"/>
      </w:pPr>
      <w:r>
        <w:rPr>
          <w:rFonts w:ascii="Times New Roman" w:hAnsi="Times New Roman" w:eastAsia="Times New Roman" w:cs="Times New Roman"/>
          <w:spacing w:val="3"/>
        </w:rPr>
        <w:t xml:space="preserve">c)  </w:t>
      </w:r>
      <w:r>
        <w:rPr>
          <w:spacing w:val="3"/>
        </w:rPr>
        <w:t>向订购方提出对规格说明、设计和测试文档中的设计、编程和测试的更</w:t>
      </w:r>
      <w:r>
        <w:rPr>
          <w:spacing w:val="2"/>
        </w:rPr>
        <w:t xml:space="preserve"> </w:t>
      </w:r>
      <w:r>
        <w:rPr>
          <w:spacing w:val="-3"/>
        </w:rPr>
        <w:t>改建议；</w:t>
      </w:r>
    </w:p>
    <w:p w14:paraId="545B60EF">
      <w:pPr>
        <w:pStyle w:val="2"/>
        <w:spacing w:before="82" w:line="271" w:lineRule="auto"/>
        <w:ind w:right="111" w:firstLine="570"/>
      </w:pPr>
      <w:r>
        <w:rPr>
          <w:rFonts w:ascii="Times New Roman" w:hAnsi="Times New Roman" w:eastAsia="Times New Roman" w:cs="Times New Roman"/>
          <w:spacing w:val="12"/>
        </w:rPr>
        <w:t>d)</w:t>
      </w:r>
      <w:r>
        <w:rPr>
          <w:rFonts w:ascii="Times New Roman" w:hAnsi="Times New Roman" w:eastAsia="Times New Roman" w:cs="Times New Roman"/>
          <w:spacing w:val="66"/>
          <w:w w:val="101"/>
        </w:rPr>
        <w:t xml:space="preserve"> </w:t>
      </w:r>
      <w:r>
        <w:rPr>
          <w:spacing w:val="12"/>
        </w:rPr>
        <w:t>保障所有安全性关键的计算机软件成分的非</w:t>
      </w:r>
      <w:r>
        <w:rPr>
          <w:spacing w:val="11"/>
        </w:rPr>
        <w:t>正式评审。承制方应评审</w:t>
      </w:r>
      <w:r>
        <w:t xml:space="preserve"> </w:t>
      </w:r>
      <w:r>
        <w:rPr>
          <w:spacing w:val="-3"/>
        </w:rPr>
        <w:t>编程文档，确保所有安全性关键的计算机软件成分和所有源程序完整地、准确地</w:t>
      </w:r>
      <w:r>
        <w:rPr>
          <w:spacing w:val="14"/>
        </w:rPr>
        <w:t xml:space="preserve"> </w:t>
      </w:r>
      <w:r>
        <w:rPr>
          <w:spacing w:val="5"/>
        </w:rPr>
        <w:t>记录和注释，所用的记录和注释方式应使得将来不熟悉原有的程序的程序员在</w:t>
      </w:r>
      <w:r>
        <w:rPr>
          <w:spacing w:val="13"/>
        </w:rPr>
        <w:t xml:space="preserve"> </w:t>
      </w:r>
      <w:r>
        <w:rPr>
          <w:spacing w:val="5"/>
        </w:rPr>
        <w:t>更改程序时，减少引入新的危险的可能性。承制方应从软件安全性的角度保障</w:t>
      </w:r>
      <w:r>
        <w:rPr>
          <w:spacing w:val="10"/>
        </w:rPr>
        <w:t xml:space="preserve"> </w:t>
      </w:r>
      <w:r>
        <w:rPr>
          <w:spacing w:val="-2"/>
        </w:rPr>
        <w:t>测试准备状态评审，评审软件测试规程是否符合软件测试</w:t>
      </w:r>
      <w:r>
        <w:rPr>
          <w:spacing w:val="-3"/>
        </w:rPr>
        <w:t>方案，能否完成测试的</w:t>
      </w:r>
      <w:r>
        <w:t xml:space="preserve"> </w:t>
      </w:r>
      <w:r>
        <w:rPr>
          <w:spacing w:val="-1"/>
        </w:rPr>
        <w:t>要求，其目的是保证承制方做好了正式软件测试的准备。</w:t>
      </w:r>
    </w:p>
    <w:p w14:paraId="18945BA5">
      <w:pPr>
        <w:spacing w:before="83" w:line="221" w:lineRule="auto"/>
        <w:rPr>
          <w:rFonts w:ascii="黑体" w:hAnsi="黑体" w:eastAsia="黑体" w:cs="黑体"/>
          <w:sz w:val="27"/>
          <w:szCs w:val="27"/>
        </w:rPr>
      </w:pPr>
      <w:r>
        <w:rPr>
          <w:rFonts w:ascii="黑体" w:hAnsi="黑体" w:eastAsia="黑体" w:cs="黑体"/>
          <w:spacing w:val="3"/>
          <w:sz w:val="27"/>
          <w:szCs w:val="27"/>
        </w:rPr>
        <w:t>5.5.5</w:t>
      </w:r>
      <w:r>
        <w:rPr>
          <w:rFonts w:ascii="黑体" w:hAnsi="黑体" w:eastAsia="黑体" w:cs="黑体"/>
          <w:spacing w:val="28"/>
          <w:sz w:val="27"/>
          <w:szCs w:val="27"/>
        </w:rPr>
        <w:t xml:space="preserve">  </w:t>
      </w:r>
      <w:r>
        <w:rPr>
          <w:rFonts w:ascii="黑体" w:hAnsi="黑体" w:eastAsia="黑体" w:cs="黑体"/>
          <w:b/>
          <w:bCs/>
          <w:spacing w:val="3"/>
          <w:sz w:val="27"/>
          <w:szCs w:val="27"/>
        </w:rPr>
        <w:t>软件安全性测试(工作项目</w:t>
      </w:r>
      <w:r>
        <w:rPr>
          <w:rFonts w:ascii="黑体" w:hAnsi="黑体" w:eastAsia="黑体" w:cs="黑体"/>
          <w:spacing w:val="3"/>
          <w:sz w:val="27"/>
          <w:szCs w:val="27"/>
        </w:rPr>
        <w:t>505)</w:t>
      </w:r>
    </w:p>
    <w:p w14:paraId="2B9BF5A6">
      <w:pPr>
        <w:pStyle w:val="2"/>
        <w:spacing w:before="83" w:line="280" w:lineRule="auto"/>
        <w:ind w:right="139" w:firstLine="570"/>
      </w:pPr>
      <w:r>
        <w:rPr>
          <w:spacing w:val="-3"/>
        </w:rPr>
        <w:t>进行软件安全性测试并记录成文，验证安全性需求的实现情况</w:t>
      </w:r>
      <w:r>
        <w:rPr>
          <w:spacing w:val="-4"/>
        </w:rPr>
        <w:t>，以确保已消</w:t>
      </w:r>
      <w:r>
        <w:t xml:space="preserve"> </w:t>
      </w:r>
      <w:r>
        <w:rPr>
          <w:spacing w:val="4"/>
        </w:rPr>
        <w:t>除所有的危险或将其风险控制到可接受水平。</w:t>
      </w:r>
    </w:p>
    <w:p w14:paraId="342AEBBA">
      <w:pPr>
        <w:pStyle w:val="2"/>
        <w:spacing w:before="2" w:line="273" w:lineRule="auto"/>
        <w:ind w:right="123" w:firstLine="570"/>
      </w:pPr>
      <w:r>
        <w:rPr>
          <w:spacing w:val="6"/>
        </w:rPr>
        <w:t>承制方应参与安全性关键的计算机软件成分的</w:t>
      </w:r>
      <w:r>
        <w:rPr>
          <w:spacing w:val="5"/>
        </w:rPr>
        <w:t>所有层次的测试，包括单元</w:t>
      </w:r>
      <w:r>
        <w:t xml:space="preserve"> </w:t>
      </w:r>
      <w:r>
        <w:rPr>
          <w:spacing w:val="-11"/>
        </w:rPr>
        <w:t>测试、综合测试、验收测试和系统测试。</w:t>
      </w:r>
    </w:p>
    <w:p w14:paraId="7FC8FE04">
      <w:pPr>
        <w:pStyle w:val="2"/>
        <w:spacing w:before="4" w:line="281" w:lineRule="auto"/>
        <w:ind w:firstLine="570"/>
        <w:jc w:val="both"/>
      </w:pPr>
      <w:r>
        <w:rPr>
          <w:rFonts w:ascii="Times New Roman" w:hAnsi="Times New Roman" w:eastAsia="Times New Roman" w:cs="Times New Roman"/>
          <w:spacing w:val="7"/>
        </w:rPr>
        <w:t xml:space="preserve">a)  </w:t>
      </w:r>
      <w:r>
        <w:rPr>
          <w:spacing w:val="7"/>
        </w:rPr>
        <w:t>承制方软件安全性工作人员应确保</w:t>
      </w:r>
      <w:r>
        <w:rPr>
          <w:spacing w:val="6"/>
        </w:rPr>
        <w:t>严格地按照批准的测试计划、说明、</w:t>
      </w:r>
      <w:r>
        <w:t xml:space="preserve"> </w:t>
      </w:r>
      <w:r>
        <w:rPr>
          <w:spacing w:val="-3"/>
        </w:rPr>
        <w:t>规程和用例进行安全性关键的计算机软件成分的测试，并准确地记录成文、分析</w:t>
      </w:r>
      <w:r>
        <w:rPr>
          <w:spacing w:val="7"/>
        </w:rPr>
        <w:t xml:space="preserve">  </w:t>
      </w:r>
      <w:r>
        <w:rPr>
          <w:spacing w:val="4"/>
        </w:rPr>
        <w:t>和报告结果。承制方应确保纠正软件中的缺陷并重新测试。</w:t>
      </w:r>
    </w:p>
    <w:p w14:paraId="0AC119EC">
      <w:pPr>
        <w:spacing w:line="281" w:lineRule="auto"/>
        <w:sectPr>
          <w:footerReference r:id="rId551" w:type="default"/>
          <w:pgSz w:w="11910" w:h="17130"/>
          <w:pgMar w:top="400" w:right="1384" w:bottom="1743" w:left="1009" w:header="0" w:footer="1544" w:gutter="0"/>
          <w:cols w:space="720" w:num="1"/>
        </w:sectPr>
      </w:pPr>
    </w:p>
    <w:p w14:paraId="197AC2DB">
      <w:pPr>
        <w:spacing w:line="249" w:lineRule="auto"/>
        <w:rPr>
          <w:rFonts w:ascii="Arial"/>
          <w:sz w:val="21"/>
        </w:rPr>
      </w:pPr>
    </w:p>
    <w:p w14:paraId="2326DBD4">
      <w:pPr>
        <w:spacing w:line="249" w:lineRule="auto"/>
        <w:rPr>
          <w:rFonts w:ascii="Arial"/>
          <w:sz w:val="21"/>
        </w:rPr>
      </w:pPr>
    </w:p>
    <w:p w14:paraId="70E5C7EB">
      <w:pPr>
        <w:spacing w:line="249" w:lineRule="auto"/>
        <w:rPr>
          <w:rFonts w:ascii="Arial"/>
          <w:sz w:val="21"/>
        </w:rPr>
      </w:pPr>
    </w:p>
    <w:p w14:paraId="6B069FCD">
      <w:pPr>
        <w:spacing w:line="250" w:lineRule="auto"/>
        <w:rPr>
          <w:rFonts w:ascii="Arial"/>
          <w:sz w:val="21"/>
        </w:rPr>
      </w:pPr>
    </w:p>
    <w:p w14:paraId="763AA7F5">
      <w:pPr>
        <w:pStyle w:val="2"/>
        <w:spacing w:before="88" w:line="277" w:lineRule="auto"/>
        <w:ind w:right="42" w:firstLine="539"/>
      </w:pPr>
      <w:r>
        <w:rPr>
          <w:rFonts w:ascii="Times New Roman" w:hAnsi="Times New Roman" w:eastAsia="Times New Roman" w:cs="Times New Roman"/>
          <w:spacing w:val="3"/>
        </w:rPr>
        <w:t xml:space="preserve">b)  </w:t>
      </w:r>
      <w:r>
        <w:rPr>
          <w:spacing w:val="3"/>
        </w:rPr>
        <w:t>除在正常条件下测试外，应测试软件，</w:t>
      </w:r>
      <w:r>
        <w:rPr>
          <w:spacing w:val="2"/>
        </w:rPr>
        <w:t>以表明软件不会因可能的单个或</w:t>
      </w:r>
      <w:r>
        <w:t xml:space="preserve"> </w:t>
      </w:r>
      <w:r>
        <w:rPr>
          <w:spacing w:val="3"/>
        </w:rPr>
        <w:t>多个输入错误而导致不安全状态。</w:t>
      </w:r>
    </w:p>
    <w:p w14:paraId="72228DB3">
      <w:pPr>
        <w:pStyle w:val="2"/>
        <w:spacing w:before="17" w:line="264" w:lineRule="auto"/>
        <w:ind w:right="39" w:firstLine="539"/>
      </w:pPr>
      <w:r>
        <w:rPr>
          <w:rFonts w:ascii="Times New Roman" w:hAnsi="Times New Roman" w:eastAsia="Times New Roman" w:cs="Times New Roman"/>
          <w:spacing w:val="11"/>
        </w:rPr>
        <w:t xml:space="preserve">c)  </w:t>
      </w:r>
      <w:r>
        <w:rPr>
          <w:spacing w:val="11"/>
        </w:rPr>
        <w:t>承制方应确保在系统综合应力测试和系统验收测试时软件正确地和安</w:t>
      </w:r>
      <w:r>
        <w:rPr>
          <w:spacing w:val="6"/>
        </w:rPr>
        <w:t xml:space="preserve"> </w:t>
      </w:r>
      <w:r>
        <w:rPr>
          <w:spacing w:val="4"/>
        </w:rPr>
        <w:t>全地运行。系统验收测试应在实际的使用条件下</w:t>
      </w:r>
      <w:r>
        <w:rPr>
          <w:spacing w:val="3"/>
        </w:rPr>
        <w:t>进行。</w:t>
      </w:r>
    </w:p>
    <w:p w14:paraId="45B4E7DC">
      <w:pPr>
        <w:pStyle w:val="2"/>
        <w:spacing w:before="59" w:line="289" w:lineRule="auto"/>
        <w:ind w:right="38" w:firstLine="539"/>
        <w:jc w:val="both"/>
      </w:pPr>
      <w:r>
        <w:rPr>
          <w:spacing w:val="5"/>
        </w:rPr>
        <w:t>除订购方明确提出可不必考虑外，应分析和测试系统中的外购软件。外购</w:t>
      </w:r>
      <w:r>
        <w:rPr>
          <w:spacing w:val="2"/>
        </w:rPr>
        <w:t xml:space="preserve"> </w:t>
      </w:r>
      <w:r>
        <w:rPr>
          <w:spacing w:val="5"/>
        </w:rPr>
        <w:t>软件包括市场采购的、有专利的和不是为本系统专门开发的其他软件。无论外</w:t>
      </w:r>
      <w:r>
        <w:rPr>
          <w:spacing w:val="15"/>
        </w:rPr>
        <w:t xml:space="preserve"> </w:t>
      </w:r>
      <w:r>
        <w:rPr>
          <w:spacing w:val="-3"/>
        </w:rPr>
        <w:t>购软件是否修改，都应进行分析和测试。</w:t>
      </w:r>
    </w:p>
    <w:p w14:paraId="4159EC5F">
      <w:pPr>
        <w:pStyle w:val="2"/>
        <w:spacing w:line="281" w:lineRule="auto"/>
        <w:ind w:right="42" w:firstLine="539"/>
        <w:rPr>
          <w:sz w:val="25"/>
          <w:szCs w:val="25"/>
        </w:rPr>
      </w:pPr>
      <w:r>
        <w:rPr>
          <w:spacing w:val="17"/>
          <w:sz w:val="25"/>
          <w:szCs w:val="25"/>
        </w:rPr>
        <w:t>除订购方明确提出可不必考虑外，无论承制方对其软件是否修改，都应对订</w:t>
      </w:r>
      <w:r>
        <w:rPr>
          <w:spacing w:val="10"/>
          <w:sz w:val="25"/>
          <w:szCs w:val="25"/>
        </w:rPr>
        <w:t xml:space="preserve"> </w:t>
      </w:r>
      <w:r>
        <w:rPr>
          <w:spacing w:val="24"/>
          <w:sz w:val="25"/>
          <w:szCs w:val="25"/>
        </w:rPr>
        <w:t>购方提供的软件按在执行合同时开发的软件进行软件安全性分析和测试。</w:t>
      </w:r>
    </w:p>
    <w:p w14:paraId="4DC3CB9B">
      <w:pPr>
        <w:pStyle w:val="2"/>
        <w:spacing w:line="286" w:lineRule="auto"/>
        <w:ind w:right="43" w:firstLine="539"/>
        <w:jc w:val="both"/>
      </w:pPr>
      <w:r>
        <w:rPr>
          <w:spacing w:val="5"/>
        </w:rPr>
        <w:t>承制方应纠正软件的缺陷以消除在系统综合测试和系统验收测试中发现的</w:t>
      </w:r>
      <w:r>
        <w:rPr>
          <w:spacing w:val="10"/>
        </w:rPr>
        <w:t xml:space="preserve"> </w:t>
      </w:r>
      <w:r>
        <w:rPr>
          <w:spacing w:val="5"/>
        </w:rPr>
        <w:t>所有危险或将其风险降低到可接受水平。纠正后的软件应在同样的条件下重新</w:t>
      </w:r>
      <w:r>
        <w:rPr>
          <w:spacing w:val="10"/>
        </w:rPr>
        <w:t xml:space="preserve"> </w:t>
      </w:r>
      <w:r>
        <w:rPr>
          <w:spacing w:val="-3"/>
        </w:rPr>
        <w:t>测试，以确保已消除危险和不会出现其他危险。</w:t>
      </w:r>
    </w:p>
    <w:p w14:paraId="5AA6B569">
      <w:pPr>
        <w:spacing w:before="1" w:line="221" w:lineRule="auto"/>
        <w:rPr>
          <w:rFonts w:ascii="黑体" w:hAnsi="黑体" w:eastAsia="黑体" w:cs="黑体"/>
          <w:sz w:val="27"/>
          <w:szCs w:val="27"/>
        </w:rPr>
      </w:pPr>
      <w:r>
        <w:rPr>
          <w:rFonts w:ascii="黑体" w:hAnsi="黑体" w:eastAsia="黑体" w:cs="黑体"/>
          <w:spacing w:val="2"/>
          <w:sz w:val="27"/>
          <w:szCs w:val="27"/>
        </w:rPr>
        <w:t>5.5.6</w:t>
      </w:r>
      <w:r>
        <w:rPr>
          <w:rFonts w:ascii="黑体" w:hAnsi="黑体" w:eastAsia="黑体" w:cs="黑体"/>
          <w:spacing w:val="35"/>
          <w:sz w:val="27"/>
          <w:szCs w:val="27"/>
        </w:rPr>
        <w:t xml:space="preserve">  </w:t>
      </w:r>
      <w:r>
        <w:rPr>
          <w:rFonts w:ascii="黑体" w:hAnsi="黑体" w:eastAsia="黑体" w:cs="黑体"/>
          <w:b/>
          <w:bCs/>
          <w:spacing w:val="2"/>
          <w:sz w:val="27"/>
          <w:szCs w:val="27"/>
        </w:rPr>
        <w:t>软件与用户接口分析(工作项目</w:t>
      </w:r>
      <w:r>
        <w:rPr>
          <w:rFonts w:ascii="黑体" w:hAnsi="黑体" w:eastAsia="黑体" w:cs="黑体"/>
          <w:spacing w:val="2"/>
          <w:sz w:val="27"/>
          <w:szCs w:val="27"/>
        </w:rPr>
        <w:t>506)</w:t>
      </w:r>
    </w:p>
    <w:p w14:paraId="137B126B">
      <w:pPr>
        <w:pStyle w:val="2"/>
        <w:spacing w:before="81" w:line="219" w:lineRule="auto"/>
        <w:ind w:left="539"/>
      </w:pPr>
      <w:r>
        <w:rPr>
          <w:spacing w:val="-1"/>
        </w:rPr>
        <w:t>进行软件与用户接口分析并记录成文，制定软件用户规程。</w:t>
      </w:r>
    </w:p>
    <w:p w14:paraId="41CD6D9B">
      <w:pPr>
        <w:pStyle w:val="2"/>
        <w:spacing w:before="80" w:line="282" w:lineRule="auto"/>
        <w:ind w:right="42" w:firstLine="539"/>
      </w:pPr>
      <w:r>
        <w:rPr>
          <w:spacing w:val="6"/>
        </w:rPr>
        <w:t>承制方应分析不能由系统设计或其他措施消除或</w:t>
      </w:r>
      <w:r>
        <w:rPr>
          <w:spacing w:val="5"/>
        </w:rPr>
        <w:t>控制的危险，提出以下设</w:t>
      </w:r>
      <w:r>
        <w:t xml:space="preserve"> </w:t>
      </w:r>
      <w:r>
        <w:rPr>
          <w:spacing w:val="3"/>
        </w:rPr>
        <w:t>计更改建议并制定相应的操作规程：</w:t>
      </w:r>
    </w:p>
    <w:p w14:paraId="0D0C5E69">
      <w:pPr>
        <w:pStyle w:val="2"/>
        <w:spacing w:before="22" w:line="219" w:lineRule="auto"/>
        <w:ind w:left="539"/>
        <w:rPr>
          <w:sz w:val="24"/>
          <w:szCs w:val="24"/>
        </w:rPr>
      </w:pPr>
      <w:r>
        <w:rPr>
          <w:rFonts w:ascii="Times New Roman" w:hAnsi="Times New Roman" w:eastAsia="Times New Roman" w:cs="Times New Roman"/>
          <w:spacing w:val="27"/>
          <w:sz w:val="24"/>
          <w:szCs w:val="24"/>
        </w:rPr>
        <w:t>a</w:t>
      </w:r>
      <w:r>
        <w:rPr>
          <w:rFonts w:ascii="Times New Roman" w:hAnsi="Times New Roman" w:eastAsia="Times New Roman" w:cs="Times New Roman"/>
          <w:spacing w:val="-1"/>
          <w:sz w:val="24"/>
          <w:szCs w:val="24"/>
        </w:rPr>
        <w:t xml:space="preserve"> </w:t>
      </w:r>
      <w:r>
        <w:rPr>
          <w:spacing w:val="27"/>
          <w:sz w:val="24"/>
          <w:szCs w:val="24"/>
        </w:rPr>
        <w:t>)</w:t>
      </w:r>
      <w:r>
        <w:rPr>
          <w:spacing w:val="-19"/>
          <w:sz w:val="24"/>
          <w:szCs w:val="24"/>
        </w:rPr>
        <w:t xml:space="preserve"> </w:t>
      </w:r>
      <w:r>
        <w:rPr>
          <w:spacing w:val="27"/>
          <w:sz w:val="24"/>
          <w:szCs w:val="24"/>
        </w:rPr>
        <w:t>对每个危险状态提供探测方法；</w:t>
      </w:r>
    </w:p>
    <w:p w14:paraId="2576B39C">
      <w:pPr>
        <w:pStyle w:val="2"/>
        <w:spacing w:before="78" w:line="212" w:lineRule="auto"/>
        <w:ind w:left="539"/>
      </w:pPr>
      <w:r>
        <w:rPr>
          <w:rFonts w:ascii="Times New Roman" w:hAnsi="Times New Roman" w:eastAsia="Times New Roman" w:cs="Times New Roman"/>
          <w:spacing w:val="4"/>
        </w:rPr>
        <w:t>b)</w:t>
      </w:r>
      <w:r>
        <w:rPr>
          <w:rFonts w:ascii="Times New Roman" w:hAnsi="Times New Roman" w:eastAsia="Times New Roman" w:cs="Times New Roman"/>
          <w:spacing w:val="79"/>
        </w:rPr>
        <w:t xml:space="preserve"> </w:t>
      </w:r>
      <w:r>
        <w:rPr>
          <w:spacing w:val="4"/>
        </w:rPr>
        <w:t>对每个探测到的Ⅱ级危险状态提供安全生存和恢复的方法；</w:t>
      </w:r>
    </w:p>
    <w:p w14:paraId="73066CC9">
      <w:pPr>
        <w:pStyle w:val="2"/>
        <w:spacing w:before="90" w:line="212" w:lineRule="auto"/>
        <w:jc w:val="right"/>
      </w:pPr>
      <w:r>
        <w:rPr>
          <w:rFonts w:ascii="Times New Roman" w:hAnsi="Times New Roman" w:eastAsia="Times New Roman" w:cs="Times New Roman"/>
          <w:spacing w:val="5"/>
        </w:rPr>
        <w:t>c)</w:t>
      </w:r>
      <w:r>
        <w:rPr>
          <w:rFonts w:ascii="Times New Roman" w:hAnsi="Times New Roman" w:eastAsia="Times New Roman" w:cs="Times New Roman"/>
          <w:spacing w:val="62"/>
          <w:w w:val="101"/>
        </w:rPr>
        <w:t xml:space="preserve"> </w:t>
      </w:r>
      <w:r>
        <w:rPr>
          <w:spacing w:val="5"/>
        </w:rPr>
        <w:t>增设报警特性以警告操作员或驾驶员注意会导</w:t>
      </w:r>
      <w:r>
        <w:rPr>
          <w:spacing w:val="4"/>
        </w:rPr>
        <w:t>致设备故障的软件错误；</w:t>
      </w:r>
    </w:p>
    <w:p w14:paraId="6128908A">
      <w:pPr>
        <w:pStyle w:val="2"/>
        <w:spacing w:before="90" w:line="212" w:lineRule="auto"/>
        <w:ind w:left="539"/>
      </w:pPr>
      <w:r>
        <w:rPr>
          <w:rFonts w:ascii="Times New Roman" w:hAnsi="Times New Roman" w:eastAsia="Times New Roman" w:cs="Times New Roman"/>
          <w:spacing w:val="3"/>
        </w:rPr>
        <w:t xml:space="preserve">d)  </w:t>
      </w:r>
      <w:r>
        <w:rPr>
          <w:spacing w:val="3"/>
        </w:rPr>
        <w:t>对过程或事件提供安全的清除方法；</w:t>
      </w:r>
    </w:p>
    <w:p w14:paraId="3CC04FDE">
      <w:pPr>
        <w:pStyle w:val="2"/>
        <w:spacing w:before="97" w:line="271" w:lineRule="auto"/>
        <w:ind w:right="37" w:firstLine="539"/>
      </w:pPr>
      <w:r>
        <w:rPr>
          <w:rFonts w:ascii="Times New Roman" w:hAnsi="Times New Roman" w:eastAsia="Times New Roman" w:cs="Times New Roman"/>
          <w:spacing w:val="3"/>
        </w:rPr>
        <w:t xml:space="preserve">e)  </w:t>
      </w:r>
      <w:r>
        <w:rPr>
          <w:spacing w:val="3"/>
        </w:rPr>
        <w:t>对安全性关键的系统或成分的状态提供明确的和完整的显示方式，在显</w:t>
      </w:r>
      <w:r>
        <w:rPr>
          <w:spacing w:val="7"/>
        </w:rPr>
        <w:t xml:space="preserve"> </w:t>
      </w:r>
      <w:r>
        <w:rPr>
          <w:spacing w:val="-3"/>
        </w:rPr>
        <w:t>示完所有数据后，才可越过容许超越的潜在的安全性关键的故障，或清除状态数</w:t>
      </w:r>
      <w:r>
        <w:rPr>
          <w:spacing w:val="15"/>
        </w:rPr>
        <w:t xml:space="preserve"> </w:t>
      </w:r>
      <w:r>
        <w:rPr>
          <w:spacing w:val="-3"/>
        </w:rPr>
        <w:t>据，例如一个系统中有一系列故障，这些故障若单独发生从安全性上是可以超越</w:t>
      </w:r>
      <w:r>
        <w:rPr>
          <w:spacing w:val="15"/>
        </w:rPr>
        <w:t xml:space="preserve"> </w:t>
      </w:r>
      <w:r>
        <w:rPr>
          <w:spacing w:val="-3"/>
        </w:rPr>
        <w:t>的，若同时发生多重故障就可能导致系统的报废，所以操作人员在发出超越命令</w:t>
      </w:r>
      <w:r>
        <w:rPr>
          <w:spacing w:val="16"/>
        </w:rPr>
        <w:t xml:space="preserve"> </w:t>
      </w:r>
      <w:r>
        <w:rPr>
          <w:spacing w:val="4"/>
        </w:rPr>
        <w:t>或状态显示复位命令前应了解所有的安全性关键的故障。</w:t>
      </w:r>
    </w:p>
    <w:p w14:paraId="1116DB4A">
      <w:pPr>
        <w:spacing w:before="96" w:line="222" w:lineRule="auto"/>
        <w:rPr>
          <w:rFonts w:ascii="黑体" w:hAnsi="黑体" w:eastAsia="黑体" w:cs="黑体"/>
          <w:sz w:val="27"/>
          <w:szCs w:val="27"/>
        </w:rPr>
      </w:pPr>
      <w:r>
        <w:rPr>
          <w:rFonts w:ascii="黑体" w:hAnsi="黑体" w:eastAsia="黑体" w:cs="黑体"/>
          <w:spacing w:val="2"/>
          <w:sz w:val="27"/>
          <w:szCs w:val="27"/>
        </w:rPr>
        <w:t>5.5.</w:t>
      </w:r>
      <w:r>
        <w:rPr>
          <w:rFonts w:ascii="黑体" w:hAnsi="黑体" w:eastAsia="黑体" w:cs="黑体"/>
          <w:b/>
          <w:bCs/>
          <w:spacing w:val="2"/>
          <w:sz w:val="27"/>
          <w:szCs w:val="27"/>
        </w:rPr>
        <w:t>7</w:t>
      </w:r>
      <w:r>
        <w:rPr>
          <w:rFonts w:ascii="黑体" w:hAnsi="黑体" w:eastAsia="黑体" w:cs="黑体"/>
          <w:spacing w:val="41"/>
          <w:sz w:val="27"/>
          <w:szCs w:val="27"/>
        </w:rPr>
        <w:t xml:space="preserve">  </w:t>
      </w:r>
      <w:r>
        <w:rPr>
          <w:rFonts w:ascii="黑体" w:hAnsi="黑体" w:eastAsia="黑体" w:cs="黑体"/>
          <w:b/>
          <w:bCs/>
          <w:spacing w:val="2"/>
          <w:sz w:val="27"/>
          <w:szCs w:val="27"/>
        </w:rPr>
        <w:t>软件更改危险分析(工作项目</w:t>
      </w:r>
      <w:r>
        <w:rPr>
          <w:rFonts w:ascii="黑体" w:hAnsi="黑体" w:eastAsia="黑体" w:cs="黑体"/>
          <w:spacing w:val="2"/>
          <w:sz w:val="27"/>
          <w:szCs w:val="27"/>
        </w:rPr>
        <w:t>507)</w:t>
      </w:r>
    </w:p>
    <w:p w14:paraId="06155E1E">
      <w:pPr>
        <w:pStyle w:val="2"/>
        <w:spacing w:before="70" w:line="284" w:lineRule="auto"/>
        <w:ind w:right="43" w:firstLine="539"/>
      </w:pPr>
      <w:r>
        <w:rPr>
          <w:spacing w:val="5"/>
        </w:rPr>
        <w:t>分析软件的所有更改(包括修改和修补)并记录成文，以确定是否会引入新</w:t>
      </w:r>
      <w:r>
        <w:rPr>
          <w:spacing w:val="15"/>
        </w:rPr>
        <w:t xml:space="preserve"> </w:t>
      </w:r>
      <w:r>
        <w:rPr>
          <w:spacing w:val="2"/>
        </w:rPr>
        <w:t>的危险。工作项目要点包括：</w:t>
      </w:r>
    </w:p>
    <w:p w14:paraId="2F7DF269">
      <w:pPr>
        <w:pStyle w:val="2"/>
        <w:spacing w:line="273" w:lineRule="auto"/>
        <w:ind w:right="35" w:firstLine="539"/>
        <w:jc w:val="both"/>
      </w:pPr>
      <w:r>
        <w:rPr>
          <w:spacing w:val="-3"/>
        </w:rPr>
        <w:t>除更改的性质能说明不必要进行更改分析外，对规格说明、需求、设计、编</w:t>
      </w:r>
      <w:r>
        <w:rPr>
          <w:spacing w:val="17"/>
        </w:rPr>
        <w:t xml:space="preserve"> </w:t>
      </w:r>
      <w:r>
        <w:rPr>
          <w:spacing w:val="-10"/>
        </w:rPr>
        <w:t>程、系统、设备和测试计划、说明、规程、用例或准则的任何更改都应进行软件危</w:t>
      </w:r>
      <w:r>
        <w:rPr>
          <w:spacing w:val="2"/>
        </w:rPr>
        <w:t xml:space="preserve"> </w:t>
      </w:r>
      <w:r>
        <w:rPr>
          <w:spacing w:val="14"/>
        </w:rPr>
        <w:t>险分析和测试。更改危险分析应从更改建议所</w:t>
      </w:r>
      <w:r>
        <w:rPr>
          <w:spacing w:val="13"/>
        </w:rPr>
        <w:t>影响的文档或系统的最高层次</w:t>
      </w:r>
      <w:r>
        <w:t xml:space="preserve"> </w:t>
      </w:r>
      <w:r>
        <w:rPr>
          <w:spacing w:val="-6"/>
        </w:rPr>
        <w:t>开始。</w:t>
      </w:r>
    </w:p>
    <w:p w14:paraId="1C7E4F61">
      <w:pPr>
        <w:pStyle w:val="2"/>
        <w:spacing w:before="42" w:line="275" w:lineRule="auto"/>
        <w:ind w:right="34" w:firstLine="539"/>
      </w:pPr>
      <w:r>
        <w:rPr>
          <w:spacing w:val="-3"/>
        </w:rPr>
        <w:t>承制方应表明更改不会产生新的危险，不会影响已解决的危险，不会使现存</w:t>
      </w:r>
      <w:r>
        <w:rPr>
          <w:spacing w:val="9"/>
        </w:rPr>
        <w:t xml:space="preserve"> </w:t>
      </w:r>
      <w:r>
        <w:rPr>
          <w:spacing w:val="6"/>
        </w:rPr>
        <w:t>的危险更严重以及不会对任何安全性关键的计</w:t>
      </w:r>
      <w:r>
        <w:rPr>
          <w:spacing w:val="5"/>
        </w:rPr>
        <w:t>算机软件成分或有关的和接口的</w:t>
      </w:r>
    </w:p>
    <w:p w14:paraId="4C1E0E7B">
      <w:pPr>
        <w:spacing w:line="275" w:lineRule="auto"/>
        <w:sectPr>
          <w:footerReference r:id="rId552" w:type="default"/>
          <w:pgSz w:w="11910" w:h="17130"/>
          <w:pgMar w:top="400" w:right="1104" w:bottom="1626" w:left="1400" w:header="0" w:footer="1437" w:gutter="0"/>
          <w:cols w:space="720" w:num="1"/>
        </w:sectPr>
      </w:pPr>
    </w:p>
    <w:p w14:paraId="1F14710D">
      <w:pPr>
        <w:spacing w:line="299" w:lineRule="auto"/>
        <w:rPr>
          <w:rFonts w:ascii="Arial"/>
          <w:sz w:val="21"/>
        </w:rPr>
      </w:pPr>
    </w:p>
    <w:p w14:paraId="519387F3">
      <w:pPr>
        <w:spacing w:line="299" w:lineRule="auto"/>
        <w:rPr>
          <w:rFonts w:ascii="Arial"/>
          <w:sz w:val="21"/>
        </w:rPr>
      </w:pPr>
    </w:p>
    <w:p w14:paraId="481C8BEF">
      <w:pPr>
        <w:spacing w:line="299" w:lineRule="auto"/>
        <w:rPr>
          <w:rFonts w:ascii="Arial"/>
          <w:sz w:val="21"/>
        </w:rPr>
      </w:pPr>
    </w:p>
    <w:p w14:paraId="218CF334">
      <w:pPr>
        <w:pStyle w:val="2"/>
        <w:spacing w:before="88" w:line="219" w:lineRule="auto"/>
      </w:pPr>
      <w:r>
        <w:t>程序产生不利影响。</w:t>
      </w:r>
    </w:p>
    <w:p w14:paraId="1B20EF61">
      <w:pPr>
        <w:pStyle w:val="2"/>
        <w:spacing w:before="78" w:line="270" w:lineRule="auto"/>
        <w:ind w:right="71" w:firstLine="560"/>
      </w:pPr>
      <w:r>
        <w:rPr>
          <w:spacing w:val="5"/>
        </w:rPr>
        <w:t>承制方应评审受更改影响的文档，以保证文档中正确地反映了软件中所有</w:t>
      </w:r>
      <w:r>
        <w:rPr>
          <w:spacing w:val="12"/>
        </w:rPr>
        <w:t xml:space="preserve"> </w:t>
      </w:r>
      <w:r>
        <w:rPr>
          <w:spacing w:val="1"/>
        </w:rPr>
        <w:t>已做的与安全性有关的更改。</w:t>
      </w:r>
    </w:p>
    <w:p w14:paraId="25FB4D2F">
      <w:pPr>
        <w:pStyle w:val="2"/>
        <w:spacing w:before="2" w:line="331" w:lineRule="auto"/>
        <w:ind w:right="75" w:firstLine="560"/>
      </w:pPr>
      <w:r>
        <w:rPr>
          <w:spacing w:val="5"/>
        </w:rPr>
        <w:t>承制方应将执行本工作项目的方法、过程和其他信息包含在软件配置管理</w:t>
      </w:r>
      <w:r>
        <w:rPr>
          <w:spacing w:val="8"/>
        </w:rPr>
        <w:t xml:space="preserve"> </w:t>
      </w:r>
      <w:r>
        <w:rPr>
          <w:spacing w:val="1"/>
        </w:rPr>
        <w:t>计划中。</w:t>
      </w:r>
    </w:p>
    <w:p w14:paraId="0A97BB20">
      <w:pPr>
        <w:pStyle w:val="2"/>
        <w:spacing w:before="270" w:line="220" w:lineRule="auto"/>
        <w:ind w:left="2500"/>
        <w:rPr>
          <w:sz w:val="36"/>
          <w:szCs w:val="36"/>
        </w:rPr>
      </w:pPr>
      <w:r>
        <w:rPr>
          <w:spacing w:val="-2"/>
          <w:sz w:val="36"/>
          <w:szCs w:val="36"/>
        </w:rPr>
        <w:t>11.2</w:t>
      </w:r>
      <w:r>
        <w:rPr>
          <w:spacing w:val="31"/>
          <w:sz w:val="36"/>
          <w:szCs w:val="36"/>
        </w:rPr>
        <w:t xml:space="preserve">  </w:t>
      </w:r>
      <w:r>
        <w:rPr>
          <w:b/>
          <w:bCs/>
          <w:spacing w:val="-2"/>
          <w:sz w:val="36"/>
          <w:szCs w:val="36"/>
        </w:rPr>
        <w:t>系统安全性工作计划</w:t>
      </w:r>
    </w:p>
    <w:p w14:paraId="29D4D80D">
      <w:pPr>
        <w:spacing w:line="370" w:lineRule="auto"/>
        <w:rPr>
          <w:rFonts w:ascii="Arial"/>
          <w:sz w:val="21"/>
        </w:rPr>
      </w:pPr>
    </w:p>
    <w:p w14:paraId="1C45120C">
      <w:pPr>
        <w:pStyle w:val="2"/>
        <w:spacing w:before="78" w:line="223" w:lineRule="auto"/>
        <w:ind w:left="56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20"/>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900—1990</w:t>
      </w:r>
      <w:r>
        <w:rPr>
          <w:spacing w:val="9"/>
          <w:sz w:val="24"/>
          <w:szCs w:val="24"/>
        </w:rPr>
        <w:t>《</w:t>
      </w:r>
      <w:r>
        <w:rPr>
          <w:rFonts w:ascii="楷体" w:hAnsi="楷体" w:eastAsia="楷体" w:cs="楷体"/>
          <w:b/>
          <w:bCs/>
          <w:spacing w:val="9"/>
          <w:sz w:val="24"/>
          <w:szCs w:val="24"/>
        </w:rPr>
        <w:t>系统安全性通用</w:t>
      </w:r>
      <w:r>
        <w:rPr>
          <w:rFonts w:ascii="楷体" w:hAnsi="楷体" w:eastAsia="楷体" w:cs="楷体"/>
          <w:b/>
          <w:bCs/>
          <w:spacing w:val="8"/>
          <w:sz w:val="24"/>
          <w:szCs w:val="24"/>
        </w:rPr>
        <w:t>大纲》编写。</w:t>
      </w:r>
    </w:p>
    <w:p w14:paraId="5B603082">
      <w:pPr>
        <w:spacing w:before="137"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58401E4F">
      <w:pPr>
        <w:pStyle w:val="2"/>
        <w:spacing w:before="92" w:line="219" w:lineRule="auto"/>
        <w:ind w:left="560"/>
      </w:pPr>
      <w:r>
        <w:rPr>
          <w:spacing w:val="3"/>
        </w:rPr>
        <w:t>说明系统安全性工作计划的主题内容和适用范围。</w:t>
      </w:r>
    </w:p>
    <w:p w14:paraId="7C44B48B">
      <w:pPr>
        <w:spacing w:before="94"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78EDCB20">
      <w:pPr>
        <w:pStyle w:val="2"/>
        <w:spacing w:before="109" w:line="219" w:lineRule="auto"/>
        <w:ind w:left="560"/>
      </w:pPr>
      <w:r>
        <w:rPr>
          <w:spacing w:val="5"/>
        </w:rPr>
        <w:t>列出编制系统安全性工作计划的依据文件以</w:t>
      </w:r>
      <w:r>
        <w:rPr>
          <w:spacing w:val="4"/>
        </w:rPr>
        <w:t>及各章中引用的所有文件。</w:t>
      </w:r>
    </w:p>
    <w:p w14:paraId="5CE71F9C">
      <w:pPr>
        <w:spacing w:before="116" w:line="222" w:lineRule="auto"/>
        <w:rPr>
          <w:rFonts w:ascii="黑体" w:hAnsi="黑体" w:eastAsia="黑体" w:cs="黑体"/>
          <w:sz w:val="27"/>
          <w:szCs w:val="27"/>
        </w:rPr>
      </w:pPr>
      <w:r>
        <w:rPr>
          <w:rFonts w:ascii="黑体" w:hAnsi="黑体" w:eastAsia="黑体" w:cs="黑体"/>
          <w:spacing w:val="1"/>
          <w:sz w:val="27"/>
          <w:szCs w:val="27"/>
        </w:rPr>
        <w:t xml:space="preserve">3  </w:t>
      </w:r>
      <w:r>
        <w:rPr>
          <w:rFonts w:ascii="黑体" w:hAnsi="黑体" w:eastAsia="黑体" w:cs="黑体"/>
          <w:b/>
          <w:bCs/>
          <w:spacing w:val="1"/>
          <w:sz w:val="27"/>
          <w:szCs w:val="27"/>
        </w:rPr>
        <w:t>实施安全性大纲的指导思想</w:t>
      </w:r>
    </w:p>
    <w:p w14:paraId="75238464">
      <w:pPr>
        <w:pStyle w:val="2"/>
        <w:spacing w:before="91" w:line="219" w:lineRule="auto"/>
        <w:ind w:left="560"/>
      </w:pPr>
      <w:r>
        <w:rPr>
          <w:spacing w:val="1"/>
        </w:rPr>
        <w:t>阐述实施安全性大纲的指导思想。</w:t>
      </w:r>
    </w:p>
    <w:p w14:paraId="44C11722">
      <w:pPr>
        <w:spacing w:before="104" w:line="222" w:lineRule="auto"/>
        <w:outlineLvl w:val="3"/>
        <w:rPr>
          <w:rFonts w:ascii="黑体" w:hAnsi="黑体" w:eastAsia="黑体" w:cs="黑体"/>
          <w:sz w:val="27"/>
          <w:szCs w:val="27"/>
        </w:rPr>
      </w:pPr>
      <w:r>
        <w:rPr>
          <w:rFonts w:ascii="Arial" w:hAnsi="Arial" w:eastAsia="Arial" w:cs="Arial"/>
          <w:b/>
          <w:bCs/>
          <w:spacing w:val="1"/>
          <w:sz w:val="27"/>
          <w:szCs w:val="27"/>
        </w:rPr>
        <w:t>4</w:t>
      </w:r>
      <w:r>
        <w:rPr>
          <w:rFonts w:ascii="Arial" w:hAnsi="Arial" w:eastAsia="Arial" w:cs="Arial"/>
          <w:b/>
          <w:bCs/>
          <w:spacing w:val="21"/>
          <w:sz w:val="27"/>
          <w:szCs w:val="27"/>
        </w:rPr>
        <w:t xml:space="preserve">   </w:t>
      </w:r>
      <w:r>
        <w:rPr>
          <w:rFonts w:ascii="黑体" w:hAnsi="黑体" w:eastAsia="黑体" w:cs="黑体"/>
          <w:b/>
          <w:bCs/>
          <w:spacing w:val="1"/>
          <w:sz w:val="27"/>
          <w:szCs w:val="27"/>
        </w:rPr>
        <w:t>安全性工作项目实施细则</w:t>
      </w:r>
    </w:p>
    <w:p w14:paraId="19B75457">
      <w:pPr>
        <w:spacing w:before="125" w:line="222" w:lineRule="auto"/>
        <w:rPr>
          <w:rFonts w:ascii="黑体" w:hAnsi="黑体" w:eastAsia="黑体" w:cs="黑体"/>
          <w:sz w:val="24"/>
          <w:szCs w:val="24"/>
        </w:rPr>
      </w:pPr>
      <w:r>
        <w:rPr>
          <w:rFonts w:ascii="黑体" w:hAnsi="黑体" w:eastAsia="黑体" w:cs="黑体"/>
          <w:spacing w:val="19"/>
          <w:sz w:val="24"/>
          <w:szCs w:val="24"/>
        </w:rPr>
        <w:t>4.1</w:t>
      </w:r>
      <w:r>
        <w:rPr>
          <w:rFonts w:ascii="黑体" w:hAnsi="黑体" w:eastAsia="黑体" w:cs="黑体"/>
          <w:spacing w:val="61"/>
          <w:sz w:val="24"/>
          <w:szCs w:val="24"/>
        </w:rPr>
        <w:t xml:space="preserve">  </w:t>
      </w:r>
      <w:r>
        <w:rPr>
          <w:rFonts w:ascii="黑体" w:hAnsi="黑体" w:eastAsia="黑体" w:cs="黑体"/>
          <w:b/>
          <w:bCs/>
          <w:spacing w:val="19"/>
          <w:sz w:val="24"/>
          <w:szCs w:val="24"/>
        </w:rPr>
        <w:t>工作项目要求</w:t>
      </w:r>
    </w:p>
    <w:p w14:paraId="4799F9C5">
      <w:pPr>
        <w:pStyle w:val="2"/>
        <w:spacing w:before="98" w:line="285" w:lineRule="auto"/>
        <w:ind w:left="80" w:right="68" w:firstLine="479"/>
      </w:pPr>
      <w:r>
        <w:rPr>
          <w:spacing w:val="5"/>
        </w:rPr>
        <w:t xml:space="preserve">明确研制生产过程中计划开展的安全性工作项目要求，见表11.3。工作项 </w:t>
      </w:r>
      <w:r>
        <w:rPr>
          <w:spacing w:val="-9"/>
        </w:rPr>
        <w:t>目的选择取决于系统的复杂性、系统的寿命周期阶段、投资、进度等因素。</w:t>
      </w:r>
    </w:p>
    <w:p w14:paraId="5E2C093D">
      <w:pPr>
        <w:spacing w:line="220" w:lineRule="auto"/>
        <w:ind w:left="2500"/>
        <w:rPr>
          <w:rFonts w:ascii="仿宋" w:hAnsi="仿宋" w:eastAsia="仿宋" w:cs="仿宋"/>
          <w:sz w:val="27"/>
          <w:szCs w:val="27"/>
        </w:rPr>
      </w:pPr>
      <w:r>
        <w:rPr>
          <w:rFonts w:ascii="仿宋" w:hAnsi="仿宋" w:eastAsia="仿宋" w:cs="仿宋"/>
          <w:spacing w:val="9"/>
          <w:sz w:val="27"/>
          <w:szCs w:val="27"/>
        </w:rPr>
        <w:t>表11.3</w:t>
      </w:r>
      <w:r>
        <w:rPr>
          <w:rFonts w:ascii="仿宋" w:hAnsi="仿宋" w:eastAsia="仿宋" w:cs="仿宋"/>
          <w:spacing w:val="123"/>
          <w:sz w:val="27"/>
          <w:szCs w:val="27"/>
        </w:rPr>
        <w:t xml:space="preserve"> </w:t>
      </w:r>
      <w:r>
        <w:rPr>
          <w:rFonts w:ascii="仿宋" w:hAnsi="仿宋" w:eastAsia="仿宋" w:cs="仿宋"/>
          <w:spacing w:val="9"/>
          <w:sz w:val="27"/>
          <w:szCs w:val="27"/>
        </w:rPr>
        <w:t>系统安全性工作项目实施表</w:t>
      </w:r>
    </w:p>
    <w:p w14:paraId="0858AAE3">
      <w:pPr>
        <w:spacing w:line="118" w:lineRule="exact"/>
      </w:pPr>
    </w:p>
    <w:tbl>
      <w:tblPr>
        <w:tblStyle w:val="5"/>
        <w:tblW w:w="936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3966"/>
        <w:gridCol w:w="629"/>
        <w:gridCol w:w="1258"/>
        <w:gridCol w:w="1249"/>
        <w:gridCol w:w="639"/>
        <w:gridCol w:w="584"/>
      </w:tblGrid>
      <w:tr w14:paraId="72989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4" w:hRule="atLeast"/>
        </w:trPr>
        <w:tc>
          <w:tcPr>
            <w:tcW w:w="1044" w:type="dxa"/>
            <w:vAlign w:val="top"/>
          </w:tcPr>
          <w:p w14:paraId="7727FAC7">
            <w:pPr>
              <w:spacing w:before="131" w:line="285" w:lineRule="auto"/>
              <w:ind w:left="94" w:right="86" w:firstLine="50"/>
              <w:rPr>
                <w:rFonts w:ascii="宋体" w:hAnsi="宋体" w:eastAsia="宋体" w:cs="宋体"/>
                <w:sz w:val="21"/>
                <w:szCs w:val="21"/>
              </w:rPr>
            </w:pPr>
            <w:r>
              <w:rPr>
                <w:rFonts w:ascii="宋体" w:hAnsi="宋体" w:eastAsia="宋体" w:cs="宋体"/>
                <w:spacing w:val="-3"/>
                <w:sz w:val="21"/>
                <w:szCs w:val="21"/>
              </w:rPr>
              <w:t>GJB</w:t>
            </w:r>
            <w:r>
              <w:rPr>
                <w:rFonts w:ascii="宋体" w:hAnsi="宋体" w:eastAsia="宋体" w:cs="宋体"/>
                <w:spacing w:val="11"/>
                <w:sz w:val="21"/>
                <w:szCs w:val="21"/>
              </w:rPr>
              <w:t xml:space="preserve"> </w:t>
            </w:r>
            <w:r>
              <w:rPr>
                <w:rFonts w:ascii="宋体" w:hAnsi="宋体" w:eastAsia="宋体" w:cs="宋体"/>
                <w:spacing w:val="-3"/>
                <w:sz w:val="21"/>
                <w:szCs w:val="21"/>
              </w:rPr>
              <w:t>900</w:t>
            </w:r>
            <w:r>
              <w:rPr>
                <w:rFonts w:ascii="宋体" w:hAnsi="宋体" w:eastAsia="宋体" w:cs="宋体"/>
                <w:sz w:val="21"/>
                <w:szCs w:val="21"/>
              </w:rPr>
              <w:t xml:space="preserve"> </w:t>
            </w:r>
            <w:r>
              <w:rPr>
                <w:rFonts w:ascii="宋体" w:hAnsi="宋体" w:eastAsia="宋体" w:cs="宋体"/>
                <w:spacing w:val="3"/>
                <w:sz w:val="21"/>
                <w:szCs w:val="21"/>
              </w:rPr>
              <w:t>条款编号</w:t>
            </w:r>
          </w:p>
        </w:tc>
        <w:tc>
          <w:tcPr>
            <w:tcW w:w="3966" w:type="dxa"/>
            <w:vAlign w:val="top"/>
          </w:tcPr>
          <w:p w14:paraId="2F1940B8">
            <w:pPr>
              <w:spacing w:before="304" w:line="220" w:lineRule="auto"/>
              <w:ind w:left="1240"/>
              <w:rPr>
                <w:rFonts w:ascii="宋体" w:hAnsi="宋体" w:eastAsia="宋体" w:cs="宋体"/>
                <w:sz w:val="21"/>
                <w:szCs w:val="21"/>
              </w:rPr>
            </w:pPr>
            <w:r>
              <w:rPr>
                <w:rFonts w:ascii="宋体" w:hAnsi="宋体" w:eastAsia="宋体" w:cs="宋体"/>
                <w:spacing w:val="-8"/>
                <w:sz w:val="21"/>
                <w:szCs w:val="21"/>
              </w:rPr>
              <w:t>工</w:t>
            </w:r>
            <w:r>
              <w:rPr>
                <w:rFonts w:ascii="宋体" w:hAnsi="宋体" w:eastAsia="宋体" w:cs="宋体"/>
                <w:spacing w:val="11"/>
                <w:sz w:val="21"/>
                <w:szCs w:val="21"/>
              </w:rPr>
              <w:t xml:space="preserve">  </w:t>
            </w:r>
            <w:r>
              <w:rPr>
                <w:rFonts w:ascii="宋体" w:hAnsi="宋体" w:eastAsia="宋体" w:cs="宋体"/>
                <w:spacing w:val="-8"/>
                <w:sz w:val="21"/>
                <w:szCs w:val="21"/>
              </w:rPr>
              <w:t>作</w:t>
            </w:r>
            <w:r>
              <w:rPr>
                <w:rFonts w:ascii="宋体" w:hAnsi="宋体" w:eastAsia="宋体" w:cs="宋体"/>
                <w:spacing w:val="12"/>
                <w:sz w:val="21"/>
                <w:szCs w:val="21"/>
              </w:rPr>
              <w:t xml:space="preserve">  </w:t>
            </w:r>
            <w:r>
              <w:rPr>
                <w:rFonts w:ascii="宋体" w:hAnsi="宋体" w:eastAsia="宋体" w:cs="宋体"/>
                <w:spacing w:val="-8"/>
                <w:sz w:val="21"/>
                <w:szCs w:val="21"/>
              </w:rPr>
              <w:t>项</w:t>
            </w:r>
            <w:r>
              <w:rPr>
                <w:rFonts w:ascii="宋体" w:hAnsi="宋体" w:eastAsia="宋体" w:cs="宋体"/>
                <w:spacing w:val="31"/>
                <w:sz w:val="21"/>
                <w:szCs w:val="21"/>
              </w:rPr>
              <w:t xml:space="preserve">  </w:t>
            </w:r>
            <w:r>
              <w:rPr>
                <w:rFonts w:ascii="宋体" w:hAnsi="宋体" w:eastAsia="宋体" w:cs="宋体"/>
                <w:spacing w:val="-8"/>
                <w:sz w:val="21"/>
                <w:szCs w:val="21"/>
              </w:rPr>
              <w:t>目</w:t>
            </w:r>
          </w:p>
        </w:tc>
        <w:tc>
          <w:tcPr>
            <w:tcW w:w="629" w:type="dxa"/>
            <w:vAlign w:val="top"/>
          </w:tcPr>
          <w:p w14:paraId="7E7C973F">
            <w:pPr>
              <w:spacing w:before="303" w:line="219" w:lineRule="auto"/>
              <w:ind w:left="94"/>
              <w:rPr>
                <w:rFonts w:ascii="宋体" w:hAnsi="宋体" w:eastAsia="宋体" w:cs="宋体"/>
                <w:sz w:val="21"/>
                <w:szCs w:val="21"/>
              </w:rPr>
            </w:pPr>
            <w:r>
              <w:rPr>
                <w:rFonts w:ascii="宋体" w:hAnsi="宋体" w:eastAsia="宋体" w:cs="宋体"/>
                <w:spacing w:val="6"/>
                <w:sz w:val="21"/>
                <w:szCs w:val="21"/>
              </w:rPr>
              <w:t>类型</w:t>
            </w:r>
          </w:p>
        </w:tc>
        <w:tc>
          <w:tcPr>
            <w:tcW w:w="1258" w:type="dxa"/>
            <w:vAlign w:val="top"/>
          </w:tcPr>
          <w:p w14:paraId="2E4E5DDA">
            <w:pPr>
              <w:spacing w:before="113" w:line="299" w:lineRule="auto"/>
              <w:ind w:left="96" w:right="88"/>
              <w:rPr>
                <w:rFonts w:ascii="宋体" w:hAnsi="宋体" w:eastAsia="宋体" w:cs="宋体"/>
                <w:sz w:val="21"/>
                <w:szCs w:val="21"/>
              </w:rPr>
            </w:pPr>
            <w:r>
              <w:rPr>
                <w:rFonts w:ascii="宋体" w:hAnsi="宋体" w:eastAsia="宋体" w:cs="宋体"/>
                <w:spacing w:val="2"/>
                <w:sz w:val="21"/>
                <w:szCs w:val="21"/>
              </w:rPr>
              <w:t xml:space="preserve">战术技术指 </w:t>
            </w:r>
            <w:r>
              <w:rPr>
                <w:rFonts w:ascii="宋体" w:hAnsi="宋体" w:eastAsia="宋体" w:cs="宋体"/>
                <w:spacing w:val="-2"/>
                <w:sz w:val="21"/>
                <w:szCs w:val="21"/>
              </w:rPr>
              <w:t>标论证阶段</w:t>
            </w:r>
          </w:p>
        </w:tc>
        <w:tc>
          <w:tcPr>
            <w:tcW w:w="1249" w:type="dxa"/>
            <w:vAlign w:val="top"/>
          </w:tcPr>
          <w:p w14:paraId="1FDE7C77">
            <w:pPr>
              <w:spacing w:before="134" w:line="290" w:lineRule="auto"/>
              <w:ind w:left="197" w:right="79" w:hanging="100"/>
              <w:rPr>
                <w:rFonts w:ascii="宋体" w:hAnsi="宋体" w:eastAsia="宋体" w:cs="宋体"/>
                <w:sz w:val="21"/>
                <w:szCs w:val="21"/>
              </w:rPr>
            </w:pPr>
            <w:r>
              <w:rPr>
                <w:rFonts w:ascii="宋体" w:hAnsi="宋体" w:eastAsia="宋体" w:cs="宋体"/>
                <w:spacing w:val="2"/>
                <w:sz w:val="21"/>
                <w:szCs w:val="21"/>
              </w:rPr>
              <w:t>方案论证及</w:t>
            </w:r>
            <w:r>
              <w:rPr>
                <w:rFonts w:ascii="宋体" w:hAnsi="宋体" w:eastAsia="宋体" w:cs="宋体"/>
                <w:sz w:val="21"/>
                <w:szCs w:val="21"/>
              </w:rPr>
              <w:t xml:space="preserve"> </w:t>
            </w:r>
            <w:r>
              <w:rPr>
                <w:rFonts w:ascii="宋体" w:hAnsi="宋体" w:eastAsia="宋体" w:cs="宋体"/>
                <w:spacing w:val="-2"/>
                <w:sz w:val="21"/>
                <w:szCs w:val="21"/>
              </w:rPr>
              <w:t>确认阶段</w:t>
            </w:r>
          </w:p>
        </w:tc>
        <w:tc>
          <w:tcPr>
            <w:tcW w:w="639" w:type="dxa"/>
            <w:vAlign w:val="top"/>
          </w:tcPr>
          <w:p w14:paraId="6B5281A7">
            <w:pPr>
              <w:spacing w:before="114" w:line="220" w:lineRule="auto"/>
              <w:ind w:left="108"/>
              <w:rPr>
                <w:rFonts w:ascii="宋体" w:hAnsi="宋体" w:eastAsia="宋体" w:cs="宋体"/>
                <w:sz w:val="21"/>
                <w:szCs w:val="21"/>
              </w:rPr>
            </w:pPr>
            <w:r>
              <w:rPr>
                <w:rFonts w:ascii="宋体" w:hAnsi="宋体" w:eastAsia="宋体" w:cs="宋体"/>
                <w:spacing w:val="9"/>
                <w:sz w:val="21"/>
                <w:szCs w:val="21"/>
              </w:rPr>
              <w:t>研制</w:t>
            </w:r>
          </w:p>
          <w:p w14:paraId="66B0C065">
            <w:pPr>
              <w:spacing w:before="100" w:line="221" w:lineRule="auto"/>
              <w:ind w:left="108"/>
              <w:rPr>
                <w:rFonts w:ascii="宋体" w:hAnsi="宋体" w:eastAsia="宋体" w:cs="宋体"/>
                <w:sz w:val="21"/>
                <w:szCs w:val="21"/>
              </w:rPr>
            </w:pPr>
            <w:r>
              <w:rPr>
                <w:rFonts w:ascii="宋体" w:hAnsi="宋体" w:eastAsia="宋体" w:cs="宋体"/>
                <w:spacing w:val="4"/>
                <w:sz w:val="21"/>
                <w:szCs w:val="21"/>
              </w:rPr>
              <w:t>阶段</w:t>
            </w:r>
          </w:p>
        </w:tc>
        <w:tc>
          <w:tcPr>
            <w:tcW w:w="584" w:type="dxa"/>
            <w:vAlign w:val="top"/>
          </w:tcPr>
          <w:p w14:paraId="104CBFB5">
            <w:pPr>
              <w:spacing w:before="113" w:line="219" w:lineRule="auto"/>
              <w:ind w:left="79"/>
              <w:rPr>
                <w:rFonts w:ascii="宋体" w:hAnsi="宋体" w:eastAsia="宋体" w:cs="宋体"/>
                <w:sz w:val="21"/>
                <w:szCs w:val="21"/>
              </w:rPr>
            </w:pPr>
            <w:r>
              <w:rPr>
                <w:rFonts w:ascii="宋体" w:hAnsi="宋体" w:eastAsia="宋体" w:cs="宋体"/>
                <w:spacing w:val="6"/>
                <w:sz w:val="21"/>
                <w:szCs w:val="21"/>
              </w:rPr>
              <w:t>生产</w:t>
            </w:r>
          </w:p>
          <w:p w14:paraId="20D91979">
            <w:pPr>
              <w:spacing w:before="91" w:line="221" w:lineRule="auto"/>
              <w:ind w:left="79"/>
              <w:rPr>
                <w:rFonts w:ascii="宋体" w:hAnsi="宋体" w:eastAsia="宋体" w:cs="宋体"/>
                <w:sz w:val="21"/>
                <w:szCs w:val="21"/>
              </w:rPr>
            </w:pPr>
            <w:r>
              <w:rPr>
                <w:rFonts w:ascii="宋体" w:hAnsi="宋体" w:eastAsia="宋体" w:cs="宋体"/>
                <w:spacing w:val="4"/>
                <w:sz w:val="21"/>
                <w:szCs w:val="21"/>
              </w:rPr>
              <w:t>阶段</w:t>
            </w:r>
          </w:p>
        </w:tc>
      </w:tr>
      <w:tr w14:paraId="3ADCF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6" w:hRule="atLeast"/>
        </w:trPr>
        <w:tc>
          <w:tcPr>
            <w:tcW w:w="1044" w:type="dxa"/>
            <w:vAlign w:val="top"/>
          </w:tcPr>
          <w:p w14:paraId="2D2377DA">
            <w:pPr>
              <w:spacing w:before="150" w:line="239" w:lineRule="auto"/>
              <w:ind w:left="244"/>
              <w:rPr>
                <w:rFonts w:ascii="宋体" w:hAnsi="宋体" w:eastAsia="宋体" w:cs="宋体"/>
                <w:sz w:val="21"/>
                <w:szCs w:val="21"/>
              </w:rPr>
            </w:pPr>
            <w:r>
              <w:rPr>
                <w:rFonts w:ascii="宋体" w:hAnsi="宋体" w:eastAsia="宋体" w:cs="宋体"/>
                <w:spacing w:val="-2"/>
                <w:sz w:val="21"/>
                <w:szCs w:val="21"/>
              </w:rPr>
              <w:t>5.1.1</w:t>
            </w:r>
          </w:p>
          <w:p w14:paraId="0BD01963">
            <w:pPr>
              <w:spacing w:before="158" w:line="239" w:lineRule="auto"/>
              <w:ind w:left="244"/>
              <w:rPr>
                <w:rFonts w:ascii="宋体" w:hAnsi="宋体" w:eastAsia="宋体" w:cs="宋体"/>
                <w:sz w:val="21"/>
                <w:szCs w:val="21"/>
              </w:rPr>
            </w:pPr>
            <w:r>
              <w:rPr>
                <w:rFonts w:ascii="宋体" w:hAnsi="宋体" w:eastAsia="宋体" w:cs="宋体"/>
                <w:spacing w:val="-2"/>
                <w:sz w:val="21"/>
                <w:szCs w:val="21"/>
              </w:rPr>
              <w:t>5.1.2</w:t>
            </w:r>
          </w:p>
          <w:p w14:paraId="0AF29286">
            <w:pPr>
              <w:pStyle w:val="6"/>
              <w:spacing w:line="457" w:lineRule="auto"/>
            </w:pPr>
          </w:p>
          <w:p w14:paraId="54DEACDD">
            <w:pPr>
              <w:spacing w:before="68" w:line="239" w:lineRule="auto"/>
              <w:ind w:left="244"/>
              <w:rPr>
                <w:rFonts w:ascii="宋体" w:hAnsi="宋体" w:eastAsia="宋体" w:cs="宋体"/>
                <w:sz w:val="21"/>
                <w:szCs w:val="21"/>
              </w:rPr>
            </w:pPr>
            <w:r>
              <w:rPr>
                <w:rFonts w:ascii="宋体" w:hAnsi="宋体" w:eastAsia="宋体" w:cs="宋体"/>
                <w:spacing w:val="-2"/>
                <w:sz w:val="21"/>
                <w:szCs w:val="21"/>
              </w:rPr>
              <w:t>5.1.3</w:t>
            </w:r>
          </w:p>
          <w:p w14:paraId="69AE9C1A">
            <w:pPr>
              <w:spacing w:before="128" w:line="239" w:lineRule="auto"/>
              <w:ind w:left="244"/>
              <w:rPr>
                <w:rFonts w:ascii="宋体" w:hAnsi="宋体" w:eastAsia="宋体" w:cs="宋体"/>
                <w:sz w:val="21"/>
                <w:szCs w:val="21"/>
              </w:rPr>
            </w:pPr>
            <w:r>
              <w:rPr>
                <w:rFonts w:ascii="宋体" w:hAnsi="宋体" w:eastAsia="宋体" w:cs="宋体"/>
                <w:spacing w:val="-2"/>
                <w:sz w:val="21"/>
                <w:szCs w:val="21"/>
              </w:rPr>
              <w:t>5.1.4</w:t>
            </w:r>
          </w:p>
          <w:p w14:paraId="19AD0C93">
            <w:pPr>
              <w:spacing w:before="198" w:line="239" w:lineRule="auto"/>
              <w:ind w:left="244"/>
              <w:rPr>
                <w:rFonts w:ascii="宋体" w:hAnsi="宋体" w:eastAsia="宋体" w:cs="宋体"/>
                <w:sz w:val="21"/>
                <w:szCs w:val="21"/>
              </w:rPr>
            </w:pPr>
            <w:r>
              <w:rPr>
                <w:rFonts w:ascii="宋体" w:hAnsi="宋体" w:eastAsia="宋体" w:cs="宋体"/>
                <w:spacing w:val="-2"/>
                <w:sz w:val="21"/>
                <w:szCs w:val="21"/>
              </w:rPr>
              <w:t>5.1.5</w:t>
            </w:r>
          </w:p>
          <w:p w14:paraId="23093C0C">
            <w:pPr>
              <w:pStyle w:val="6"/>
              <w:spacing w:line="446" w:lineRule="auto"/>
            </w:pPr>
          </w:p>
          <w:p w14:paraId="0AA4EDDB">
            <w:pPr>
              <w:spacing w:before="69" w:line="239" w:lineRule="auto"/>
              <w:ind w:left="244"/>
              <w:rPr>
                <w:rFonts w:ascii="宋体" w:hAnsi="宋体" w:eastAsia="宋体" w:cs="宋体"/>
                <w:sz w:val="21"/>
                <w:szCs w:val="21"/>
              </w:rPr>
            </w:pPr>
            <w:r>
              <w:rPr>
                <w:rFonts w:ascii="宋体" w:hAnsi="宋体" w:eastAsia="宋体" w:cs="宋体"/>
                <w:spacing w:val="-2"/>
                <w:sz w:val="21"/>
                <w:szCs w:val="21"/>
              </w:rPr>
              <w:t>5.1.6</w:t>
            </w:r>
          </w:p>
          <w:p w14:paraId="518719B4">
            <w:pPr>
              <w:spacing w:before="128" w:line="239" w:lineRule="auto"/>
              <w:ind w:left="244"/>
              <w:rPr>
                <w:rFonts w:ascii="宋体" w:hAnsi="宋体" w:eastAsia="宋体" w:cs="宋体"/>
                <w:sz w:val="21"/>
                <w:szCs w:val="21"/>
              </w:rPr>
            </w:pPr>
            <w:r>
              <w:rPr>
                <w:rFonts w:ascii="宋体" w:hAnsi="宋体" w:eastAsia="宋体" w:cs="宋体"/>
                <w:spacing w:val="-2"/>
                <w:sz w:val="21"/>
                <w:szCs w:val="21"/>
              </w:rPr>
              <w:t>5.1.7</w:t>
            </w:r>
          </w:p>
          <w:p w14:paraId="3C3A40B8">
            <w:pPr>
              <w:spacing w:before="147" w:line="239" w:lineRule="auto"/>
              <w:ind w:left="244"/>
              <w:rPr>
                <w:rFonts w:ascii="宋体" w:hAnsi="宋体" w:eastAsia="宋体" w:cs="宋体"/>
                <w:sz w:val="21"/>
                <w:szCs w:val="21"/>
              </w:rPr>
            </w:pPr>
            <w:r>
              <w:rPr>
                <w:rFonts w:ascii="宋体" w:hAnsi="宋体" w:eastAsia="宋体" w:cs="宋体"/>
                <w:spacing w:val="-2"/>
                <w:sz w:val="21"/>
                <w:szCs w:val="21"/>
              </w:rPr>
              <w:t>5.2.1</w:t>
            </w:r>
          </w:p>
          <w:p w14:paraId="1AB5A54C">
            <w:pPr>
              <w:spacing w:before="148" w:line="225" w:lineRule="auto"/>
              <w:ind w:left="244"/>
              <w:rPr>
                <w:rFonts w:ascii="宋体" w:hAnsi="宋体" w:eastAsia="宋体" w:cs="宋体"/>
                <w:sz w:val="21"/>
                <w:szCs w:val="21"/>
              </w:rPr>
            </w:pPr>
            <w:r>
              <w:rPr>
                <w:rFonts w:ascii="宋体" w:hAnsi="宋体" w:eastAsia="宋体" w:cs="宋体"/>
                <w:spacing w:val="-2"/>
                <w:sz w:val="21"/>
                <w:szCs w:val="21"/>
              </w:rPr>
              <w:t>5.2.2</w:t>
            </w:r>
          </w:p>
        </w:tc>
        <w:tc>
          <w:tcPr>
            <w:tcW w:w="3966" w:type="dxa"/>
            <w:vAlign w:val="top"/>
          </w:tcPr>
          <w:p w14:paraId="57F8C64F">
            <w:pPr>
              <w:spacing w:before="100" w:line="220" w:lineRule="auto"/>
              <w:ind w:left="130"/>
              <w:rPr>
                <w:rFonts w:ascii="宋体" w:hAnsi="宋体" w:eastAsia="宋体" w:cs="宋体"/>
                <w:sz w:val="21"/>
                <w:szCs w:val="21"/>
              </w:rPr>
            </w:pPr>
            <w:r>
              <w:rPr>
                <w:rFonts w:ascii="宋体" w:hAnsi="宋体" w:eastAsia="宋体" w:cs="宋体"/>
                <w:spacing w:val="3"/>
                <w:sz w:val="21"/>
                <w:szCs w:val="21"/>
              </w:rPr>
              <w:t>制定系统安全性工作计划(101)</w:t>
            </w:r>
          </w:p>
          <w:p w14:paraId="355A6F62">
            <w:pPr>
              <w:spacing w:before="207" w:line="293" w:lineRule="auto"/>
              <w:ind w:left="130" w:right="52"/>
              <w:rPr>
                <w:rFonts w:ascii="宋体" w:hAnsi="宋体" w:eastAsia="宋体" w:cs="宋体"/>
                <w:sz w:val="21"/>
                <w:szCs w:val="21"/>
              </w:rPr>
            </w:pPr>
            <w:r>
              <w:rPr>
                <w:rFonts w:ascii="宋体" w:hAnsi="宋体" w:eastAsia="宋体" w:cs="宋体"/>
                <w:spacing w:val="-1"/>
                <w:sz w:val="21"/>
                <w:szCs w:val="21"/>
              </w:rPr>
              <w:t>对转承制方、供应方和建筑工程单位的安</w:t>
            </w:r>
            <w:r>
              <w:rPr>
                <w:rFonts w:ascii="宋体" w:hAnsi="宋体" w:eastAsia="宋体" w:cs="宋体"/>
                <w:spacing w:val="9"/>
                <w:sz w:val="21"/>
                <w:szCs w:val="21"/>
              </w:rPr>
              <w:t xml:space="preserve"> </w:t>
            </w:r>
            <w:r>
              <w:rPr>
                <w:rFonts w:ascii="宋体" w:hAnsi="宋体" w:eastAsia="宋体" w:cs="宋体"/>
                <w:spacing w:val="4"/>
                <w:sz w:val="21"/>
                <w:szCs w:val="21"/>
              </w:rPr>
              <w:t>全性综合管理(102)</w:t>
            </w:r>
          </w:p>
          <w:p w14:paraId="57A2F9F4">
            <w:pPr>
              <w:spacing w:before="125" w:line="220" w:lineRule="auto"/>
              <w:ind w:left="130"/>
              <w:rPr>
                <w:rFonts w:ascii="宋体" w:hAnsi="宋体" w:eastAsia="宋体" w:cs="宋体"/>
                <w:sz w:val="21"/>
                <w:szCs w:val="21"/>
              </w:rPr>
            </w:pPr>
            <w:r>
              <w:rPr>
                <w:rFonts w:ascii="宋体" w:hAnsi="宋体" w:eastAsia="宋体" w:cs="宋体"/>
                <w:spacing w:val="4"/>
                <w:sz w:val="21"/>
                <w:szCs w:val="21"/>
              </w:rPr>
              <w:t>安全性大纲评审(103)</w:t>
            </w:r>
          </w:p>
          <w:p w14:paraId="78992E27">
            <w:pPr>
              <w:spacing w:before="159" w:line="219" w:lineRule="auto"/>
              <w:ind w:left="130"/>
              <w:rPr>
                <w:rFonts w:ascii="宋体" w:hAnsi="宋体" w:eastAsia="宋体" w:cs="宋体"/>
                <w:sz w:val="21"/>
                <w:szCs w:val="21"/>
              </w:rPr>
            </w:pPr>
            <w:r>
              <w:rPr>
                <w:rFonts w:ascii="宋体" w:hAnsi="宋体" w:eastAsia="宋体" w:cs="宋体"/>
                <w:spacing w:val="2"/>
                <w:sz w:val="21"/>
                <w:szCs w:val="21"/>
              </w:rPr>
              <w:t>对系统安全性工作组的保障(104)</w:t>
            </w:r>
          </w:p>
          <w:p w14:paraId="4DF3F721">
            <w:pPr>
              <w:spacing w:before="208" w:line="218" w:lineRule="auto"/>
              <w:ind w:left="130"/>
              <w:rPr>
                <w:rFonts w:ascii="宋体" w:hAnsi="宋体" w:eastAsia="宋体" w:cs="宋体"/>
                <w:sz w:val="21"/>
                <w:szCs w:val="21"/>
              </w:rPr>
            </w:pPr>
            <w:r>
              <w:rPr>
                <w:rFonts w:ascii="宋体" w:hAnsi="宋体" w:eastAsia="宋体" w:cs="宋体"/>
                <w:sz w:val="21"/>
                <w:szCs w:val="21"/>
              </w:rPr>
              <w:t>建立危险报告，分析、纠正措施跟踪系统</w:t>
            </w:r>
          </w:p>
          <w:p w14:paraId="6F1E868C">
            <w:pPr>
              <w:spacing w:before="87" w:line="222" w:lineRule="auto"/>
              <w:ind w:left="130"/>
              <w:rPr>
                <w:rFonts w:ascii="宋体" w:hAnsi="宋体" w:eastAsia="宋体" w:cs="宋体"/>
                <w:sz w:val="21"/>
                <w:szCs w:val="21"/>
              </w:rPr>
            </w:pPr>
            <w:r>
              <w:rPr>
                <w:rFonts w:ascii="宋体" w:hAnsi="宋体" w:eastAsia="宋体" w:cs="宋体"/>
                <w:spacing w:val="-8"/>
                <w:sz w:val="21"/>
                <w:szCs w:val="21"/>
              </w:rPr>
              <w:t>(105)</w:t>
            </w:r>
          </w:p>
          <w:p w14:paraId="7AEC4758">
            <w:pPr>
              <w:spacing w:before="196" w:line="221" w:lineRule="auto"/>
              <w:ind w:left="130"/>
              <w:rPr>
                <w:rFonts w:ascii="宋体" w:hAnsi="宋体" w:eastAsia="宋体" w:cs="宋体"/>
                <w:sz w:val="21"/>
                <w:szCs w:val="21"/>
              </w:rPr>
            </w:pPr>
            <w:r>
              <w:rPr>
                <w:rFonts w:ascii="宋体" w:hAnsi="宋体" w:eastAsia="宋体" w:cs="宋体"/>
                <w:spacing w:val="4"/>
                <w:sz w:val="21"/>
                <w:szCs w:val="21"/>
              </w:rPr>
              <w:t>试验的安全性(106)</w:t>
            </w:r>
          </w:p>
          <w:p w14:paraId="2C64AD3D">
            <w:pPr>
              <w:spacing w:before="165" w:line="218" w:lineRule="auto"/>
              <w:ind w:left="130"/>
              <w:rPr>
                <w:rFonts w:ascii="宋体" w:hAnsi="宋体" w:eastAsia="宋体" w:cs="宋体"/>
                <w:sz w:val="21"/>
                <w:szCs w:val="21"/>
              </w:rPr>
            </w:pPr>
            <w:r>
              <w:rPr>
                <w:rFonts w:ascii="宋体" w:hAnsi="宋体" w:eastAsia="宋体" w:cs="宋体"/>
                <w:spacing w:val="3"/>
                <w:sz w:val="21"/>
                <w:szCs w:val="21"/>
              </w:rPr>
              <w:t>系统安全性进展报告(107)</w:t>
            </w:r>
          </w:p>
          <w:p w14:paraId="412DC383">
            <w:pPr>
              <w:spacing w:before="174" w:line="219" w:lineRule="auto"/>
              <w:ind w:left="130"/>
              <w:rPr>
                <w:rFonts w:ascii="宋体" w:hAnsi="宋体" w:eastAsia="宋体" w:cs="宋体"/>
                <w:sz w:val="21"/>
                <w:szCs w:val="21"/>
              </w:rPr>
            </w:pPr>
            <w:r>
              <w:rPr>
                <w:rFonts w:ascii="宋体" w:hAnsi="宋体" w:eastAsia="宋体" w:cs="宋体"/>
                <w:spacing w:val="5"/>
                <w:sz w:val="21"/>
                <w:szCs w:val="21"/>
              </w:rPr>
              <w:t>初步危险表(201)</w:t>
            </w:r>
          </w:p>
          <w:p w14:paraId="2116DA7A">
            <w:pPr>
              <w:spacing w:before="171" w:line="219" w:lineRule="auto"/>
              <w:ind w:left="130"/>
              <w:rPr>
                <w:rFonts w:ascii="宋体" w:hAnsi="宋体" w:eastAsia="宋体" w:cs="宋体"/>
                <w:sz w:val="21"/>
                <w:szCs w:val="21"/>
              </w:rPr>
            </w:pPr>
            <w:r>
              <w:rPr>
                <w:rFonts w:ascii="宋体" w:hAnsi="宋体" w:eastAsia="宋体" w:cs="宋体"/>
                <w:spacing w:val="4"/>
                <w:sz w:val="21"/>
                <w:szCs w:val="21"/>
              </w:rPr>
              <w:t>初步危险分析(202)</w:t>
            </w:r>
          </w:p>
        </w:tc>
        <w:tc>
          <w:tcPr>
            <w:tcW w:w="629" w:type="dxa"/>
            <w:vAlign w:val="top"/>
          </w:tcPr>
          <w:p w14:paraId="4F9B532D">
            <w:pPr>
              <w:spacing w:before="99" w:line="219" w:lineRule="auto"/>
              <w:ind w:left="94"/>
              <w:rPr>
                <w:rFonts w:ascii="宋体" w:hAnsi="宋体" w:eastAsia="宋体" w:cs="宋体"/>
                <w:sz w:val="21"/>
                <w:szCs w:val="21"/>
              </w:rPr>
            </w:pPr>
            <w:r>
              <w:rPr>
                <w:rFonts w:ascii="宋体" w:hAnsi="宋体" w:eastAsia="宋体" w:cs="宋体"/>
                <w:spacing w:val="3"/>
                <w:sz w:val="21"/>
                <w:szCs w:val="21"/>
              </w:rPr>
              <w:t>管理</w:t>
            </w:r>
          </w:p>
          <w:p w14:paraId="55EE60C3">
            <w:pPr>
              <w:spacing w:before="200" w:line="219" w:lineRule="auto"/>
              <w:ind w:left="94"/>
              <w:rPr>
                <w:rFonts w:ascii="宋体" w:hAnsi="宋体" w:eastAsia="宋体" w:cs="宋体"/>
                <w:sz w:val="21"/>
                <w:szCs w:val="21"/>
              </w:rPr>
            </w:pPr>
            <w:r>
              <w:rPr>
                <w:rFonts w:ascii="宋体" w:hAnsi="宋体" w:eastAsia="宋体" w:cs="宋体"/>
                <w:spacing w:val="3"/>
                <w:sz w:val="21"/>
                <w:szCs w:val="21"/>
              </w:rPr>
              <w:t>管理</w:t>
            </w:r>
          </w:p>
          <w:p w14:paraId="41D391BF">
            <w:pPr>
              <w:pStyle w:val="6"/>
              <w:spacing w:line="469" w:lineRule="auto"/>
            </w:pPr>
          </w:p>
          <w:p w14:paraId="151F9D8E">
            <w:pPr>
              <w:spacing w:before="69" w:line="219" w:lineRule="auto"/>
              <w:ind w:left="94"/>
              <w:rPr>
                <w:rFonts w:ascii="宋体" w:hAnsi="宋体" w:eastAsia="宋体" w:cs="宋体"/>
                <w:sz w:val="21"/>
                <w:szCs w:val="21"/>
              </w:rPr>
            </w:pPr>
            <w:r>
              <w:rPr>
                <w:rFonts w:ascii="宋体" w:hAnsi="宋体" w:eastAsia="宋体" w:cs="宋体"/>
                <w:spacing w:val="3"/>
                <w:sz w:val="21"/>
                <w:szCs w:val="21"/>
              </w:rPr>
              <w:t>管理</w:t>
            </w:r>
          </w:p>
          <w:p w14:paraId="59D87C6F">
            <w:pPr>
              <w:spacing w:before="160" w:line="219" w:lineRule="auto"/>
              <w:ind w:left="94"/>
              <w:rPr>
                <w:rFonts w:ascii="宋体" w:hAnsi="宋体" w:eastAsia="宋体" w:cs="宋体"/>
                <w:sz w:val="21"/>
                <w:szCs w:val="21"/>
              </w:rPr>
            </w:pPr>
            <w:r>
              <w:rPr>
                <w:rFonts w:ascii="宋体" w:hAnsi="宋体" w:eastAsia="宋体" w:cs="宋体"/>
                <w:spacing w:val="3"/>
                <w:sz w:val="21"/>
                <w:szCs w:val="21"/>
              </w:rPr>
              <w:t>管理</w:t>
            </w:r>
          </w:p>
          <w:p w14:paraId="60C821A6">
            <w:pPr>
              <w:spacing w:before="201" w:line="219" w:lineRule="auto"/>
              <w:ind w:left="94"/>
              <w:rPr>
                <w:rFonts w:ascii="宋体" w:hAnsi="宋体" w:eastAsia="宋体" w:cs="宋体"/>
                <w:sz w:val="21"/>
                <w:szCs w:val="21"/>
              </w:rPr>
            </w:pPr>
            <w:r>
              <w:rPr>
                <w:rFonts w:ascii="宋体" w:hAnsi="宋体" w:eastAsia="宋体" w:cs="宋体"/>
                <w:spacing w:val="3"/>
                <w:sz w:val="21"/>
                <w:szCs w:val="21"/>
              </w:rPr>
              <w:t>管理</w:t>
            </w:r>
          </w:p>
          <w:p w14:paraId="2B717638">
            <w:pPr>
              <w:pStyle w:val="6"/>
              <w:spacing w:line="469" w:lineRule="auto"/>
            </w:pPr>
          </w:p>
          <w:p w14:paraId="0C5A606A">
            <w:pPr>
              <w:spacing w:before="69" w:line="219" w:lineRule="auto"/>
              <w:ind w:left="94"/>
              <w:rPr>
                <w:rFonts w:ascii="宋体" w:hAnsi="宋体" w:eastAsia="宋体" w:cs="宋体"/>
                <w:sz w:val="21"/>
                <w:szCs w:val="21"/>
              </w:rPr>
            </w:pPr>
            <w:r>
              <w:rPr>
                <w:rFonts w:ascii="宋体" w:hAnsi="宋体" w:eastAsia="宋体" w:cs="宋体"/>
                <w:spacing w:val="3"/>
                <w:sz w:val="21"/>
                <w:szCs w:val="21"/>
              </w:rPr>
              <w:t>管理</w:t>
            </w:r>
          </w:p>
          <w:p w14:paraId="630349EF">
            <w:pPr>
              <w:spacing w:before="161" w:line="219" w:lineRule="auto"/>
              <w:ind w:left="94"/>
              <w:rPr>
                <w:rFonts w:ascii="宋体" w:hAnsi="宋体" w:eastAsia="宋体" w:cs="宋体"/>
                <w:sz w:val="21"/>
                <w:szCs w:val="21"/>
              </w:rPr>
            </w:pPr>
            <w:r>
              <w:rPr>
                <w:rFonts w:ascii="宋体" w:hAnsi="宋体" w:eastAsia="宋体" w:cs="宋体"/>
                <w:spacing w:val="3"/>
                <w:sz w:val="21"/>
                <w:szCs w:val="21"/>
              </w:rPr>
              <w:t>管理</w:t>
            </w:r>
          </w:p>
          <w:p w14:paraId="4B5530D3">
            <w:pPr>
              <w:spacing w:before="201" w:line="220" w:lineRule="auto"/>
              <w:ind w:left="94"/>
              <w:rPr>
                <w:rFonts w:ascii="宋体" w:hAnsi="宋体" w:eastAsia="宋体" w:cs="宋体"/>
                <w:sz w:val="21"/>
                <w:szCs w:val="21"/>
              </w:rPr>
            </w:pPr>
            <w:r>
              <w:rPr>
                <w:rFonts w:ascii="宋体" w:hAnsi="宋体" w:eastAsia="宋体" w:cs="宋体"/>
                <w:spacing w:val="-3"/>
                <w:sz w:val="21"/>
                <w:szCs w:val="21"/>
              </w:rPr>
              <w:t>工程</w:t>
            </w:r>
          </w:p>
          <w:p w14:paraId="3521CBCB">
            <w:pPr>
              <w:spacing w:before="170"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58" w:type="dxa"/>
            <w:vAlign w:val="top"/>
          </w:tcPr>
          <w:p w14:paraId="49C2D786">
            <w:pPr>
              <w:spacing w:before="173" w:line="183" w:lineRule="auto"/>
              <w:ind w:left="565"/>
              <w:rPr>
                <w:rFonts w:ascii="宋体" w:hAnsi="宋体" w:eastAsia="宋体" w:cs="宋体"/>
                <w:sz w:val="21"/>
                <w:szCs w:val="21"/>
              </w:rPr>
            </w:pPr>
            <w:r>
              <w:rPr>
                <w:rFonts w:ascii="宋体" w:hAnsi="宋体" w:eastAsia="宋体" w:cs="宋体"/>
                <w:sz w:val="21"/>
                <w:szCs w:val="21"/>
              </w:rPr>
              <w:t>G</w:t>
            </w:r>
          </w:p>
          <w:p w14:paraId="678779D2">
            <w:pPr>
              <w:spacing w:before="251" w:line="183" w:lineRule="auto"/>
              <w:ind w:left="565"/>
              <w:rPr>
                <w:rFonts w:ascii="宋体" w:hAnsi="宋体" w:eastAsia="宋体" w:cs="宋体"/>
                <w:sz w:val="21"/>
                <w:szCs w:val="21"/>
              </w:rPr>
            </w:pPr>
            <w:r>
              <w:rPr>
                <w:rFonts w:ascii="宋体" w:hAnsi="宋体" w:eastAsia="宋体" w:cs="宋体"/>
                <w:sz w:val="21"/>
                <w:szCs w:val="21"/>
              </w:rPr>
              <w:t>S</w:t>
            </w:r>
          </w:p>
          <w:p w14:paraId="4C309113">
            <w:pPr>
              <w:pStyle w:val="6"/>
              <w:spacing w:line="250" w:lineRule="auto"/>
            </w:pPr>
          </w:p>
          <w:p w14:paraId="365057FE">
            <w:pPr>
              <w:pStyle w:val="6"/>
              <w:spacing w:line="250" w:lineRule="auto"/>
            </w:pPr>
          </w:p>
          <w:p w14:paraId="3C28C2EF">
            <w:pPr>
              <w:spacing w:before="68" w:line="183" w:lineRule="auto"/>
              <w:ind w:left="565"/>
              <w:rPr>
                <w:rFonts w:ascii="宋体" w:hAnsi="宋体" w:eastAsia="宋体" w:cs="宋体"/>
                <w:sz w:val="21"/>
                <w:szCs w:val="21"/>
              </w:rPr>
            </w:pPr>
            <w:r>
              <w:rPr>
                <w:rFonts w:ascii="宋体" w:hAnsi="宋体" w:eastAsia="宋体" w:cs="宋体"/>
                <w:sz w:val="21"/>
                <w:szCs w:val="21"/>
              </w:rPr>
              <w:t>S</w:t>
            </w:r>
          </w:p>
          <w:p w14:paraId="62F858B2">
            <w:pPr>
              <w:spacing w:before="202" w:line="183" w:lineRule="auto"/>
              <w:ind w:left="565"/>
              <w:rPr>
                <w:rFonts w:ascii="宋体" w:hAnsi="宋体" w:eastAsia="宋体" w:cs="宋体"/>
                <w:sz w:val="21"/>
                <w:szCs w:val="21"/>
              </w:rPr>
            </w:pPr>
            <w:r>
              <w:rPr>
                <w:rFonts w:ascii="宋体" w:hAnsi="宋体" w:eastAsia="宋体" w:cs="宋体"/>
                <w:sz w:val="21"/>
                <w:szCs w:val="21"/>
              </w:rPr>
              <w:t>G</w:t>
            </w:r>
          </w:p>
          <w:p w14:paraId="322A801F">
            <w:pPr>
              <w:spacing w:before="242" w:line="183" w:lineRule="auto"/>
              <w:ind w:left="565"/>
              <w:rPr>
                <w:rFonts w:ascii="宋体" w:hAnsi="宋体" w:eastAsia="宋体" w:cs="宋体"/>
                <w:sz w:val="21"/>
                <w:szCs w:val="21"/>
              </w:rPr>
            </w:pPr>
            <w:r>
              <w:rPr>
                <w:rFonts w:ascii="宋体" w:hAnsi="宋体" w:eastAsia="宋体" w:cs="宋体"/>
                <w:sz w:val="21"/>
                <w:szCs w:val="21"/>
              </w:rPr>
              <w:t>S</w:t>
            </w:r>
          </w:p>
          <w:p w14:paraId="1B84A4F5">
            <w:pPr>
              <w:pStyle w:val="6"/>
              <w:spacing w:line="250" w:lineRule="auto"/>
            </w:pPr>
          </w:p>
          <w:p w14:paraId="5FF005D5">
            <w:pPr>
              <w:pStyle w:val="6"/>
              <w:spacing w:line="250" w:lineRule="auto"/>
            </w:pPr>
          </w:p>
          <w:p w14:paraId="1EA1001B">
            <w:pPr>
              <w:spacing w:before="68" w:line="183" w:lineRule="auto"/>
              <w:ind w:left="565"/>
              <w:rPr>
                <w:rFonts w:ascii="宋体" w:hAnsi="宋体" w:eastAsia="宋体" w:cs="宋体"/>
                <w:sz w:val="21"/>
                <w:szCs w:val="21"/>
              </w:rPr>
            </w:pPr>
            <w:r>
              <w:rPr>
                <w:rFonts w:ascii="宋体" w:hAnsi="宋体" w:eastAsia="宋体" w:cs="宋体"/>
                <w:sz w:val="21"/>
                <w:szCs w:val="21"/>
              </w:rPr>
              <w:t>G</w:t>
            </w:r>
          </w:p>
          <w:p w14:paraId="2E789383">
            <w:pPr>
              <w:spacing w:before="212" w:line="183" w:lineRule="auto"/>
              <w:ind w:left="565"/>
              <w:rPr>
                <w:rFonts w:ascii="宋体" w:hAnsi="宋体" w:eastAsia="宋体" w:cs="宋体"/>
                <w:sz w:val="21"/>
                <w:szCs w:val="21"/>
              </w:rPr>
            </w:pPr>
            <w:r>
              <w:rPr>
                <w:rFonts w:ascii="宋体" w:hAnsi="宋体" w:eastAsia="宋体" w:cs="宋体"/>
                <w:sz w:val="21"/>
                <w:szCs w:val="21"/>
              </w:rPr>
              <w:t>G</w:t>
            </w:r>
          </w:p>
          <w:p w14:paraId="4616181A">
            <w:pPr>
              <w:spacing w:before="212" w:line="183" w:lineRule="auto"/>
              <w:ind w:left="565"/>
              <w:rPr>
                <w:rFonts w:ascii="宋体" w:hAnsi="宋体" w:eastAsia="宋体" w:cs="宋体"/>
                <w:sz w:val="21"/>
                <w:szCs w:val="21"/>
              </w:rPr>
            </w:pPr>
            <w:r>
              <w:rPr>
                <w:rFonts w:ascii="宋体" w:hAnsi="宋体" w:eastAsia="宋体" w:cs="宋体"/>
                <w:sz w:val="21"/>
                <w:szCs w:val="21"/>
              </w:rPr>
              <w:t>G</w:t>
            </w:r>
          </w:p>
          <w:p w14:paraId="60F6E412">
            <w:pPr>
              <w:spacing w:before="212" w:line="183" w:lineRule="auto"/>
              <w:ind w:left="565"/>
              <w:rPr>
                <w:rFonts w:ascii="宋体" w:hAnsi="宋体" w:eastAsia="宋体" w:cs="宋体"/>
                <w:sz w:val="21"/>
                <w:szCs w:val="21"/>
              </w:rPr>
            </w:pPr>
            <w:r>
              <w:rPr>
                <w:rFonts w:ascii="宋体" w:hAnsi="宋体" w:eastAsia="宋体" w:cs="宋体"/>
                <w:sz w:val="21"/>
                <w:szCs w:val="21"/>
              </w:rPr>
              <w:t>G</w:t>
            </w:r>
          </w:p>
        </w:tc>
        <w:tc>
          <w:tcPr>
            <w:tcW w:w="1249" w:type="dxa"/>
            <w:vAlign w:val="top"/>
          </w:tcPr>
          <w:p w14:paraId="42A9C4C6">
            <w:pPr>
              <w:spacing w:before="173" w:line="183" w:lineRule="auto"/>
              <w:ind w:left="567"/>
              <w:rPr>
                <w:rFonts w:ascii="宋体" w:hAnsi="宋体" w:eastAsia="宋体" w:cs="宋体"/>
                <w:sz w:val="21"/>
                <w:szCs w:val="21"/>
              </w:rPr>
            </w:pPr>
            <w:r>
              <w:rPr>
                <w:rFonts w:ascii="宋体" w:hAnsi="宋体" w:eastAsia="宋体" w:cs="宋体"/>
                <w:sz w:val="21"/>
                <w:szCs w:val="21"/>
              </w:rPr>
              <w:t>G</w:t>
            </w:r>
          </w:p>
          <w:p w14:paraId="40BB9091">
            <w:pPr>
              <w:spacing w:before="231" w:line="183" w:lineRule="auto"/>
              <w:ind w:left="567"/>
              <w:rPr>
                <w:rFonts w:ascii="宋体" w:hAnsi="宋体" w:eastAsia="宋体" w:cs="宋体"/>
                <w:sz w:val="21"/>
                <w:szCs w:val="21"/>
              </w:rPr>
            </w:pPr>
            <w:r>
              <w:rPr>
                <w:rFonts w:ascii="宋体" w:hAnsi="宋体" w:eastAsia="宋体" w:cs="宋体"/>
                <w:sz w:val="21"/>
                <w:szCs w:val="21"/>
              </w:rPr>
              <w:t>S</w:t>
            </w:r>
          </w:p>
          <w:p w14:paraId="7661F4EF">
            <w:pPr>
              <w:pStyle w:val="6"/>
              <w:spacing w:line="260" w:lineRule="auto"/>
            </w:pPr>
          </w:p>
          <w:p w14:paraId="286C3403">
            <w:pPr>
              <w:pStyle w:val="6"/>
              <w:spacing w:line="260" w:lineRule="auto"/>
            </w:pPr>
          </w:p>
          <w:p w14:paraId="3E39910A">
            <w:pPr>
              <w:spacing w:before="68" w:line="183" w:lineRule="auto"/>
              <w:ind w:left="567"/>
              <w:rPr>
                <w:rFonts w:ascii="宋体" w:hAnsi="宋体" w:eastAsia="宋体" w:cs="宋体"/>
                <w:sz w:val="21"/>
                <w:szCs w:val="21"/>
              </w:rPr>
            </w:pPr>
            <w:r>
              <w:rPr>
                <w:rFonts w:ascii="宋体" w:hAnsi="宋体" w:eastAsia="宋体" w:cs="宋体"/>
                <w:sz w:val="21"/>
                <w:szCs w:val="21"/>
              </w:rPr>
              <w:t>S</w:t>
            </w:r>
          </w:p>
          <w:p w14:paraId="16638239">
            <w:pPr>
              <w:spacing w:before="202" w:line="183" w:lineRule="auto"/>
              <w:ind w:left="567"/>
              <w:rPr>
                <w:rFonts w:ascii="宋体" w:hAnsi="宋体" w:eastAsia="宋体" w:cs="宋体"/>
                <w:sz w:val="21"/>
                <w:szCs w:val="21"/>
              </w:rPr>
            </w:pPr>
            <w:r>
              <w:rPr>
                <w:rFonts w:ascii="宋体" w:hAnsi="宋体" w:eastAsia="宋体" w:cs="宋体"/>
                <w:sz w:val="21"/>
                <w:szCs w:val="21"/>
              </w:rPr>
              <w:t>G</w:t>
            </w:r>
          </w:p>
          <w:p w14:paraId="35C09473">
            <w:pPr>
              <w:spacing w:before="241" w:line="183" w:lineRule="auto"/>
              <w:ind w:left="567"/>
              <w:rPr>
                <w:rFonts w:ascii="宋体" w:hAnsi="宋体" w:eastAsia="宋体" w:cs="宋体"/>
                <w:sz w:val="21"/>
                <w:szCs w:val="21"/>
              </w:rPr>
            </w:pPr>
            <w:r>
              <w:rPr>
                <w:rFonts w:ascii="宋体" w:hAnsi="宋体" w:eastAsia="宋体" w:cs="宋体"/>
                <w:sz w:val="21"/>
                <w:szCs w:val="21"/>
              </w:rPr>
              <w:t>G</w:t>
            </w:r>
          </w:p>
          <w:p w14:paraId="46C73F7F">
            <w:pPr>
              <w:pStyle w:val="6"/>
              <w:spacing w:line="255" w:lineRule="auto"/>
            </w:pPr>
          </w:p>
          <w:p w14:paraId="5156D4E2">
            <w:pPr>
              <w:pStyle w:val="6"/>
              <w:spacing w:line="255" w:lineRule="auto"/>
            </w:pPr>
          </w:p>
          <w:p w14:paraId="014F1DB3">
            <w:pPr>
              <w:spacing w:before="69" w:line="183" w:lineRule="auto"/>
              <w:ind w:left="567"/>
              <w:rPr>
                <w:rFonts w:ascii="宋体" w:hAnsi="宋体" w:eastAsia="宋体" w:cs="宋体"/>
                <w:sz w:val="21"/>
                <w:szCs w:val="21"/>
              </w:rPr>
            </w:pPr>
            <w:r>
              <w:rPr>
                <w:rFonts w:ascii="宋体" w:hAnsi="宋体" w:eastAsia="宋体" w:cs="宋体"/>
                <w:sz w:val="21"/>
                <w:szCs w:val="21"/>
              </w:rPr>
              <w:t>G</w:t>
            </w:r>
          </w:p>
          <w:p w14:paraId="3FD1D2C3">
            <w:pPr>
              <w:spacing w:before="202" w:line="183" w:lineRule="auto"/>
              <w:ind w:left="567"/>
              <w:rPr>
                <w:rFonts w:ascii="宋体" w:hAnsi="宋体" w:eastAsia="宋体" w:cs="宋体"/>
                <w:sz w:val="21"/>
                <w:szCs w:val="21"/>
              </w:rPr>
            </w:pPr>
            <w:r>
              <w:rPr>
                <w:rFonts w:ascii="宋体" w:hAnsi="宋体" w:eastAsia="宋体" w:cs="宋体"/>
                <w:sz w:val="21"/>
                <w:szCs w:val="21"/>
              </w:rPr>
              <w:t>G</w:t>
            </w:r>
          </w:p>
          <w:p w14:paraId="45B8C0C4">
            <w:pPr>
              <w:spacing w:before="222" w:line="183" w:lineRule="auto"/>
              <w:ind w:left="567"/>
              <w:rPr>
                <w:rFonts w:ascii="宋体" w:hAnsi="宋体" w:eastAsia="宋体" w:cs="宋体"/>
                <w:sz w:val="21"/>
                <w:szCs w:val="21"/>
              </w:rPr>
            </w:pPr>
            <w:r>
              <w:rPr>
                <w:rFonts w:ascii="宋体" w:hAnsi="宋体" w:eastAsia="宋体" w:cs="宋体"/>
                <w:sz w:val="21"/>
                <w:szCs w:val="21"/>
              </w:rPr>
              <w:t>S</w:t>
            </w:r>
          </w:p>
          <w:p w14:paraId="059DB5FD">
            <w:pPr>
              <w:spacing w:before="202" w:line="183" w:lineRule="auto"/>
              <w:ind w:left="567"/>
              <w:rPr>
                <w:rFonts w:ascii="宋体" w:hAnsi="宋体" w:eastAsia="宋体" w:cs="宋体"/>
                <w:sz w:val="21"/>
                <w:szCs w:val="21"/>
              </w:rPr>
            </w:pPr>
            <w:r>
              <w:rPr>
                <w:rFonts w:ascii="宋体" w:hAnsi="宋体" w:eastAsia="宋体" w:cs="宋体"/>
                <w:sz w:val="21"/>
                <w:szCs w:val="21"/>
              </w:rPr>
              <w:t>G</w:t>
            </w:r>
          </w:p>
        </w:tc>
        <w:tc>
          <w:tcPr>
            <w:tcW w:w="639" w:type="dxa"/>
            <w:vAlign w:val="top"/>
          </w:tcPr>
          <w:p w14:paraId="32EFFA9E">
            <w:pPr>
              <w:spacing w:before="173" w:line="183" w:lineRule="auto"/>
              <w:ind w:left="259"/>
              <w:rPr>
                <w:rFonts w:ascii="宋体" w:hAnsi="宋体" w:eastAsia="宋体" w:cs="宋体"/>
                <w:sz w:val="21"/>
                <w:szCs w:val="21"/>
              </w:rPr>
            </w:pPr>
            <w:r>
              <w:rPr>
                <w:rFonts w:ascii="宋体" w:hAnsi="宋体" w:eastAsia="宋体" w:cs="宋体"/>
                <w:sz w:val="21"/>
                <w:szCs w:val="21"/>
              </w:rPr>
              <w:t>G</w:t>
            </w:r>
          </w:p>
          <w:p w14:paraId="25F42D6E">
            <w:pPr>
              <w:spacing w:before="241" w:line="183" w:lineRule="auto"/>
              <w:ind w:left="259"/>
              <w:rPr>
                <w:rFonts w:ascii="宋体" w:hAnsi="宋体" w:eastAsia="宋体" w:cs="宋体"/>
                <w:sz w:val="21"/>
                <w:szCs w:val="21"/>
              </w:rPr>
            </w:pPr>
            <w:r>
              <w:rPr>
                <w:rFonts w:ascii="宋体" w:hAnsi="宋体" w:eastAsia="宋体" w:cs="宋体"/>
                <w:sz w:val="21"/>
                <w:szCs w:val="21"/>
              </w:rPr>
              <w:t>S</w:t>
            </w:r>
          </w:p>
          <w:p w14:paraId="1F0F7222">
            <w:pPr>
              <w:pStyle w:val="6"/>
              <w:spacing w:line="265" w:lineRule="auto"/>
            </w:pPr>
          </w:p>
          <w:p w14:paraId="5F78C466">
            <w:pPr>
              <w:pStyle w:val="6"/>
              <w:spacing w:line="265" w:lineRule="auto"/>
            </w:pPr>
          </w:p>
          <w:p w14:paraId="00F4B1FD">
            <w:pPr>
              <w:spacing w:before="68" w:line="183" w:lineRule="auto"/>
              <w:ind w:left="259"/>
              <w:rPr>
                <w:rFonts w:ascii="宋体" w:hAnsi="宋体" w:eastAsia="宋体" w:cs="宋体"/>
                <w:sz w:val="21"/>
                <w:szCs w:val="21"/>
              </w:rPr>
            </w:pPr>
            <w:r>
              <w:rPr>
                <w:rFonts w:ascii="宋体" w:hAnsi="宋体" w:eastAsia="宋体" w:cs="宋体"/>
                <w:sz w:val="21"/>
                <w:szCs w:val="21"/>
              </w:rPr>
              <w:t>S</w:t>
            </w:r>
          </w:p>
          <w:p w14:paraId="028B84A6">
            <w:pPr>
              <w:spacing w:before="182" w:line="183" w:lineRule="auto"/>
              <w:ind w:left="259"/>
              <w:rPr>
                <w:rFonts w:ascii="宋体" w:hAnsi="宋体" w:eastAsia="宋体" w:cs="宋体"/>
                <w:sz w:val="21"/>
                <w:szCs w:val="21"/>
              </w:rPr>
            </w:pPr>
            <w:r>
              <w:rPr>
                <w:rFonts w:ascii="宋体" w:hAnsi="宋体" w:eastAsia="宋体" w:cs="宋体"/>
                <w:sz w:val="21"/>
                <w:szCs w:val="21"/>
              </w:rPr>
              <w:t>G</w:t>
            </w:r>
          </w:p>
          <w:p w14:paraId="4CBE894A">
            <w:pPr>
              <w:spacing w:before="241" w:line="183" w:lineRule="auto"/>
              <w:ind w:left="259"/>
              <w:rPr>
                <w:rFonts w:ascii="宋体" w:hAnsi="宋体" w:eastAsia="宋体" w:cs="宋体"/>
                <w:sz w:val="21"/>
                <w:szCs w:val="21"/>
              </w:rPr>
            </w:pPr>
            <w:r>
              <w:rPr>
                <w:rFonts w:ascii="宋体" w:hAnsi="宋体" w:eastAsia="宋体" w:cs="宋体"/>
                <w:sz w:val="21"/>
                <w:szCs w:val="21"/>
              </w:rPr>
              <w:t>G</w:t>
            </w:r>
          </w:p>
          <w:p w14:paraId="6B165D28">
            <w:pPr>
              <w:pStyle w:val="6"/>
              <w:spacing w:line="255" w:lineRule="auto"/>
            </w:pPr>
          </w:p>
          <w:p w14:paraId="1803EDA2">
            <w:pPr>
              <w:pStyle w:val="6"/>
              <w:spacing w:line="255" w:lineRule="auto"/>
            </w:pPr>
          </w:p>
          <w:p w14:paraId="78447A4A">
            <w:pPr>
              <w:spacing w:before="69" w:line="183" w:lineRule="auto"/>
              <w:ind w:left="259"/>
              <w:rPr>
                <w:rFonts w:ascii="宋体" w:hAnsi="宋体" w:eastAsia="宋体" w:cs="宋体"/>
                <w:sz w:val="21"/>
                <w:szCs w:val="21"/>
              </w:rPr>
            </w:pPr>
            <w:r>
              <w:rPr>
                <w:rFonts w:ascii="宋体" w:hAnsi="宋体" w:eastAsia="宋体" w:cs="宋体"/>
                <w:sz w:val="21"/>
                <w:szCs w:val="21"/>
              </w:rPr>
              <w:t>G</w:t>
            </w:r>
          </w:p>
          <w:p w14:paraId="39910DBC">
            <w:pPr>
              <w:spacing w:before="212" w:line="183" w:lineRule="auto"/>
              <w:ind w:left="259"/>
              <w:rPr>
                <w:rFonts w:ascii="宋体" w:hAnsi="宋体" w:eastAsia="宋体" w:cs="宋体"/>
                <w:sz w:val="21"/>
                <w:szCs w:val="21"/>
              </w:rPr>
            </w:pPr>
            <w:r>
              <w:rPr>
                <w:rFonts w:ascii="宋体" w:hAnsi="宋体" w:eastAsia="宋体" w:cs="宋体"/>
                <w:sz w:val="21"/>
                <w:szCs w:val="21"/>
              </w:rPr>
              <w:t>G</w:t>
            </w:r>
          </w:p>
          <w:p w14:paraId="0FDAE5B6">
            <w:pPr>
              <w:spacing w:before="212" w:line="183" w:lineRule="auto"/>
              <w:ind w:left="259"/>
              <w:rPr>
                <w:rFonts w:ascii="宋体" w:hAnsi="宋体" w:eastAsia="宋体" w:cs="宋体"/>
                <w:sz w:val="21"/>
                <w:szCs w:val="21"/>
              </w:rPr>
            </w:pPr>
            <w:r>
              <w:rPr>
                <w:rFonts w:ascii="宋体" w:hAnsi="宋体" w:eastAsia="宋体" w:cs="宋体"/>
                <w:sz w:val="21"/>
                <w:szCs w:val="21"/>
              </w:rPr>
              <w:t>S</w:t>
            </w:r>
          </w:p>
          <w:p w14:paraId="2BDE4FD7">
            <w:pPr>
              <w:spacing w:before="212"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vAlign w:val="top"/>
          </w:tcPr>
          <w:p w14:paraId="5084EA3A">
            <w:pPr>
              <w:spacing w:before="173" w:line="183" w:lineRule="auto"/>
              <w:ind w:left="229"/>
              <w:rPr>
                <w:rFonts w:ascii="宋体" w:hAnsi="宋体" w:eastAsia="宋体" w:cs="宋体"/>
                <w:sz w:val="21"/>
                <w:szCs w:val="21"/>
              </w:rPr>
            </w:pPr>
            <w:r>
              <w:rPr>
                <w:rFonts w:ascii="宋体" w:hAnsi="宋体" w:eastAsia="宋体" w:cs="宋体"/>
                <w:sz w:val="21"/>
                <w:szCs w:val="21"/>
              </w:rPr>
              <w:t>G</w:t>
            </w:r>
          </w:p>
          <w:p w14:paraId="64F27702">
            <w:pPr>
              <w:spacing w:before="221" w:line="183" w:lineRule="auto"/>
              <w:ind w:left="229"/>
              <w:rPr>
                <w:rFonts w:ascii="宋体" w:hAnsi="宋体" w:eastAsia="宋体" w:cs="宋体"/>
                <w:sz w:val="21"/>
                <w:szCs w:val="21"/>
              </w:rPr>
            </w:pPr>
            <w:r>
              <w:rPr>
                <w:rFonts w:ascii="宋体" w:hAnsi="宋体" w:eastAsia="宋体" w:cs="宋体"/>
                <w:sz w:val="21"/>
                <w:szCs w:val="21"/>
              </w:rPr>
              <w:t>S</w:t>
            </w:r>
          </w:p>
          <w:p w14:paraId="3A1958E3">
            <w:pPr>
              <w:pStyle w:val="6"/>
              <w:spacing w:line="260" w:lineRule="auto"/>
            </w:pPr>
          </w:p>
          <w:p w14:paraId="105E5A84">
            <w:pPr>
              <w:pStyle w:val="6"/>
              <w:spacing w:line="260" w:lineRule="auto"/>
            </w:pPr>
          </w:p>
          <w:p w14:paraId="4D75B97C">
            <w:pPr>
              <w:spacing w:before="68" w:line="183" w:lineRule="auto"/>
              <w:ind w:left="229"/>
              <w:rPr>
                <w:rFonts w:ascii="宋体" w:hAnsi="宋体" w:eastAsia="宋体" w:cs="宋体"/>
                <w:sz w:val="21"/>
                <w:szCs w:val="21"/>
              </w:rPr>
            </w:pPr>
            <w:r>
              <w:rPr>
                <w:rFonts w:ascii="宋体" w:hAnsi="宋体" w:eastAsia="宋体" w:cs="宋体"/>
                <w:sz w:val="21"/>
                <w:szCs w:val="21"/>
              </w:rPr>
              <w:t>S</w:t>
            </w:r>
          </w:p>
          <w:p w14:paraId="550FA7AA">
            <w:pPr>
              <w:spacing w:before="202" w:line="183" w:lineRule="auto"/>
              <w:ind w:left="229"/>
              <w:rPr>
                <w:rFonts w:ascii="宋体" w:hAnsi="宋体" w:eastAsia="宋体" w:cs="宋体"/>
                <w:sz w:val="21"/>
                <w:szCs w:val="21"/>
              </w:rPr>
            </w:pPr>
            <w:r>
              <w:rPr>
                <w:rFonts w:ascii="宋体" w:hAnsi="宋体" w:eastAsia="宋体" w:cs="宋体"/>
                <w:sz w:val="21"/>
                <w:szCs w:val="21"/>
              </w:rPr>
              <w:t>G</w:t>
            </w:r>
          </w:p>
          <w:p w14:paraId="0A681301">
            <w:pPr>
              <w:spacing w:before="242" w:line="183" w:lineRule="auto"/>
              <w:ind w:left="229"/>
              <w:rPr>
                <w:rFonts w:ascii="宋体" w:hAnsi="宋体" w:eastAsia="宋体" w:cs="宋体"/>
                <w:sz w:val="21"/>
                <w:szCs w:val="21"/>
              </w:rPr>
            </w:pPr>
            <w:r>
              <w:rPr>
                <w:rFonts w:ascii="宋体" w:hAnsi="宋体" w:eastAsia="宋体" w:cs="宋体"/>
                <w:sz w:val="21"/>
                <w:szCs w:val="21"/>
              </w:rPr>
              <w:t>G</w:t>
            </w:r>
          </w:p>
          <w:p w14:paraId="74E1C88F">
            <w:pPr>
              <w:pStyle w:val="6"/>
              <w:spacing w:line="260" w:lineRule="auto"/>
            </w:pPr>
          </w:p>
          <w:p w14:paraId="2D3E001D">
            <w:pPr>
              <w:pStyle w:val="6"/>
              <w:spacing w:line="260" w:lineRule="auto"/>
            </w:pPr>
          </w:p>
          <w:p w14:paraId="420758CD">
            <w:pPr>
              <w:spacing w:before="68" w:line="183" w:lineRule="auto"/>
              <w:ind w:left="229"/>
              <w:rPr>
                <w:rFonts w:ascii="宋体" w:hAnsi="宋体" w:eastAsia="宋体" w:cs="宋体"/>
                <w:sz w:val="21"/>
                <w:szCs w:val="21"/>
              </w:rPr>
            </w:pPr>
            <w:r>
              <w:rPr>
                <w:rFonts w:ascii="宋体" w:hAnsi="宋体" w:eastAsia="宋体" w:cs="宋体"/>
                <w:sz w:val="21"/>
                <w:szCs w:val="21"/>
              </w:rPr>
              <w:t>G</w:t>
            </w:r>
          </w:p>
          <w:p w14:paraId="08A7D340">
            <w:pPr>
              <w:spacing w:before="202" w:line="183" w:lineRule="auto"/>
              <w:ind w:left="229"/>
              <w:rPr>
                <w:rFonts w:ascii="宋体" w:hAnsi="宋体" w:eastAsia="宋体" w:cs="宋体"/>
                <w:sz w:val="21"/>
                <w:szCs w:val="21"/>
              </w:rPr>
            </w:pPr>
            <w:r>
              <w:rPr>
                <w:rFonts w:ascii="宋体" w:hAnsi="宋体" w:eastAsia="宋体" w:cs="宋体"/>
                <w:sz w:val="21"/>
                <w:szCs w:val="21"/>
              </w:rPr>
              <w:t>G</w:t>
            </w:r>
          </w:p>
          <w:p w14:paraId="498B6FEF">
            <w:pPr>
              <w:spacing w:before="211" w:line="184" w:lineRule="auto"/>
              <w:ind w:left="180"/>
              <w:rPr>
                <w:rFonts w:ascii="宋体" w:hAnsi="宋体" w:eastAsia="宋体" w:cs="宋体"/>
                <w:sz w:val="21"/>
                <w:szCs w:val="21"/>
              </w:rPr>
            </w:pPr>
            <w:r>
              <w:rPr>
                <w:rFonts w:ascii="宋体" w:hAnsi="宋体" w:eastAsia="宋体" w:cs="宋体"/>
                <w:spacing w:val="-1"/>
                <w:sz w:val="21"/>
                <w:szCs w:val="21"/>
              </w:rPr>
              <w:t>NA</w:t>
            </w:r>
          </w:p>
          <w:p w14:paraId="16E7A5F3">
            <w:pPr>
              <w:spacing w:before="211" w:line="183" w:lineRule="auto"/>
              <w:ind w:left="180"/>
              <w:rPr>
                <w:rFonts w:ascii="宋体" w:hAnsi="宋体" w:eastAsia="宋体" w:cs="宋体"/>
                <w:sz w:val="21"/>
                <w:szCs w:val="21"/>
              </w:rPr>
            </w:pPr>
            <w:r>
              <w:rPr>
                <w:rFonts w:ascii="宋体" w:hAnsi="宋体" w:eastAsia="宋体" w:cs="宋体"/>
                <w:spacing w:val="-2"/>
                <w:sz w:val="21"/>
                <w:szCs w:val="21"/>
              </w:rPr>
              <w:t>GC</w:t>
            </w:r>
          </w:p>
        </w:tc>
      </w:tr>
    </w:tbl>
    <w:p w14:paraId="742E8DB4">
      <w:pPr>
        <w:spacing w:line="155" w:lineRule="exact"/>
        <w:rPr>
          <w:rFonts w:ascii="Arial"/>
          <w:sz w:val="13"/>
        </w:rPr>
      </w:pPr>
    </w:p>
    <w:p w14:paraId="0EF70A6B">
      <w:pPr>
        <w:spacing w:line="155" w:lineRule="exact"/>
        <w:rPr>
          <w:rFonts w:ascii="Arial" w:hAnsi="Arial" w:eastAsia="Arial" w:cs="Arial"/>
          <w:sz w:val="13"/>
          <w:szCs w:val="13"/>
        </w:rPr>
        <w:sectPr>
          <w:footerReference r:id="rId553" w:type="default"/>
          <w:pgSz w:w="11910" w:h="17130"/>
          <w:pgMar w:top="400" w:right="1395" w:bottom="1829" w:left="1069" w:header="0" w:footer="1570" w:gutter="0"/>
          <w:cols w:space="720" w:num="1"/>
        </w:sectPr>
      </w:pPr>
    </w:p>
    <w:p w14:paraId="75F5C4DF">
      <w:pPr>
        <w:spacing w:line="297" w:lineRule="auto"/>
        <w:rPr>
          <w:rFonts w:ascii="Arial"/>
          <w:sz w:val="21"/>
        </w:rPr>
      </w:pPr>
    </w:p>
    <w:p w14:paraId="361B5E25">
      <w:pPr>
        <w:spacing w:line="297" w:lineRule="auto"/>
        <w:rPr>
          <w:rFonts w:ascii="Arial"/>
          <w:sz w:val="21"/>
        </w:rPr>
      </w:pPr>
    </w:p>
    <w:p w14:paraId="663E3A88">
      <w:pPr>
        <w:spacing w:line="298" w:lineRule="auto"/>
        <w:rPr>
          <w:rFonts w:ascii="Arial"/>
          <w:sz w:val="21"/>
        </w:rPr>
      </w:pPr>
    </w:p>
    <w:p w14:paraId="4CAFBEEE">
      <w:pPr>
        <w:spacing w:line="298" w:lineRule="auto"/>
        <w:rPr>
          <w:rFonts w:ascii="Arial"/>
          <w:sz w:val="21"/>
        </w:rPr>
      </w:pPr>
    </w:p>
    <w:p w14:paraId="016298F7">
      <w:pPr>
        <w:pStyle w:val="2"/>
        <w:spacing w:before="72" w:line="220" w:lineRule="auto"/>
        <w:ind w:left="8670"/>
        <w:rPr>
          <w:sz w:val="22"/>
          <w:szCs w:val="22"/>
        </w:rPr>
      </w:pPr>
      <w:r>
        <w:rPr>
          <w:spacing w:val="-20"/>
          <w:sz w:val="22"/>
          <w:szCs w:val="22"/>
        </w:rPr>
        <w:t>(</w:t>
      </w:r>
      <w:r>
        <w:rPr>
          <w:spacing w:val="-46"/>
          <w:sz w:val="22"/>
          <w:szCs w:val="22"/>
        </w:rPr>
        <w:t xml:space="preserve"> </w:t>
      </w:r>
      <w:r>
        <w:rPr>
          <w:spacing w:val="-20"/>
          <w:sz w:val="22"/>
          <w:szCs w:val="22"/>
        </w:rPr>
        <w:t>续</w:t>
      </w:r>
      <w:r>
        <w:rPr>
          <w:spacing w:val="-48"/>
          <w:sz w:val="22"/>
          <w:szCs w:val="22"/>
        </w:rPr>
        <w:t xml:space="preserve"> </w:t>
      </w:r>
      <w:r>
        <w:rPr>
          <w:spacing w:val="-20"/>
          <w:sz w:val="22"/>
          <w:szCs w:val="22"/>
        </w:rPr>
        <w:t>)</w:t>
      </w:r>
    </w:p>
    <w:p w14:paraId="69C2DFDE">
      <w:pPr>
        <w:spacing w:line="133" w:lineRule="exact"/>
      </w:pPr>
    </w:p>
    <w:tbl>
      <w:tblPr>
        <w:tblStyle w:val="5"/>
        <w:tblW w:w="936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4"/>
        <w:gridCol w:w="3976"/>
        <w:gridCol w:w="629"/>
        <w:gridCol w:w="1248"/>
        <w:gridCol w:w="1259"/>
        <w:gridCol w:w="629"/>
        <w:gridCol w:w="584"/>
      </w:tblGrid>
      <w:tr w14:paraId="75260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4" w:hRule="atLeast"/>
        </w:trPr>
        <w:tc>
          <w:tcPr>
            <w:tcW w:w="1044" w:type="dxa"/>
            <w:vAlign w:val="top"/>
          </w:tcPr>
          <w:p w14:paraId="704B129B">
            <w:pPr>
              <w:spacing w:before="132" w:line="295" w:lineRule="auto"/>
              <w:ind w:left="95" w:right="85" w:firstLine="49"/>
              <w:rPr>
                <w:rFonts w:ascii="宋体" w:hAnsi="宋体" w:eastAsia="宋体" w:cs="宋体"/>
                <w:sz w:val="21"/>
                <w:szCs w:val="21"/>
              </w:rPr>
            </w:pPr>
            <w:r>
              <w:rPr>
                <w:rFonts w:ascii="宋体" w:hAnsi="宋体" w:eastAsia="宋体" w:cs="宋体"/>
                <w:spacing w:val="-3"/>
                <w:sz w:val="21"/>
                <w:szCs w:val="21"/>
              </w:rPr>
              <w:t>GJB</w:t>
            </w:r>
            <w:r>
              <w:rPr>
                <w:rFonts w:ascii="宋体" w:hAnsi="宋体" w:eastAsia="宋体" w:cs="宋体"/>
                <w:spacing w:val="11"/>
                <w:sz w:val="21"/>
                <w:szCs w:val="21"/>
              </w:rPr>
              <w:t xml:space="preserve"> </w:t>
            </w:r>
            <w:r>
              <w:rPr>
                <w:rFonts w:ascii="宋体" w:hAnsi="宋体" w:eastAsia="宋体" w:cs="宋体"/>
                <w:spacing w:val="-3"/>
                <w:sz w:val="21"/>
                <w:szCs w:val="21"/>
              </w:rPr>
              <w:t>900</w:t>
            </w:r>
            <w:r>
              <w:rPr>
                <w:rFonts w:ascii="宋体" w:hAnsi="宋体" w:eastAsia="宋体" w:cs="宋体"/>
                <w:sz w:val="21"/>
                <w:szCs w:val="21"/>
              </w:rPr>
              <w:t xml:space="preserve"> </w:t>
            </w:r>
            <w:r>
              <w:rPr>
                <w:rFonts w:ascii="宋体" w:hAnsi="宋体" w:eastAsia="宋体" w:cs="宋体"/>
                <w:spacing w:val="3"/>
                <w:sz w:val="21"/>
                <w:szCs w:val="21"/>
              </w:rPr>
              <w:t>条款编号</w:t>
            </w:r>
          </w:p>
        </w:tc>
        <w:tc>
          <w:tcPr>
            <w:tcW w:w="3976" w:type="dxa"/>
            <w:vAlign w:val="top"/>
          </w:tcPr>
          <w:p w14:paraId="08AE632F">
            <w:pPr>
              <w:spacing w:before="304" w:line="220" w:lineRule="auto"/>
              <w:ind w:left="1250"/>
              <w:rPr>
                <w:rFonts w:ascii="宋体" w:hAnsi="宋体" w:eastAsia="宋体" w:cs="宋体"/>
                <w:sz w:val="21"/>
                <w:szCs w:val="21"/>
              </w:rPr>
            </w:pPr>
            <w:r>
              <w:rPr>
                <w:rFonts w:ascii="宋体" w:hAnsi="宋体" w:eastAsia="宋体" w:cs="宋体"/>
                <w:spacing w:val="-8"/>
                <w:sz w:val="21"/>
                <w:szCs w:val="21"/>
              </w:rPr>
              <w:t>工</w:t>
            </w:r>
            <w:r>
              <w:rPr>
                <w:rFonts w:ascii="宋体" w:hAnsi="宋体" w:eastAsia="宋体" w:cs="宋体"/>
                <w:spacing w:val="7"/>
                <w:sz w:val="21"/>
                <w:szCs w:val="21"/>
              </w:rPr>
              <w:t xml:space="preserve">  </w:t>
            </w:r>
            <w:r>
              <w:rPr>
                <w:rFonts w:ascii="宋体" w:hAnsi="宋体" w:eastAsia="宋体" w:cs="宋体"/>
                <w:spacing w:val="-8"/>
                <w:sz w:val="21"/>
                <w:szCs w:val="21"/>
              </w:rPr>
              <w:t>作</w:t>
            </w:r>
            <w:r>
              <w:rPr>
                <w:rFonts w:ascii="宋体" w:hAnsi="宋体" w:eastAsia="宋体" w:cs="宋体"/>
                <w:spacing w:val="10"/>
                <w:sz w:val="21"/>
                <w:szCs w:val="21"/>
              </w:rPr>
              <w:t xml:space="preserve">  </w:t>
            </w:r>
            <w:r>
              <w:rPr>
                <w:rFonts w:ascii="宋体" w:hAnsi="宋体" w:eastAsia="宋体" w:cs="宋体"/>
                <w:spacing w:val="-8"/>
                <w:sz w:val="21"/>
                <w:szCs w:val="21"/>
              </w:rPr>
              <w:t>项</w:t>
            </w:r>
            <w:r>
              <w:rPr>
                <w:rFonts w:ascii="宋体" w:hAnsi="宋体" w:eastAsia="宋体" w:cs="宋体"/>
                <w:spacing w:val="27"/>
                <w:sz w:val="21"/>
                <w:szCs w:val="21"/>
              </w:rPr>
              <w:t xml:space="preserve">  </w:t>
            </w:r>
            <w:r>
              <w:rPr>
                <w:rFonts w:ascii="宋体" w:hAnsi="宋体" w:eastAsia="宋体" w:cs="宋体"/>
                <w:spacing w:val="-8"/>
                <w:sz w:val="21"/>
                <w:szCs w:val="21"/>
              </w:rPr>
              <w:t>目</w:t>
            </w:r>
          </w:p>
        </w:tc>
        <w:tc>
          <w:tcPr>
            <w:tcW w:w="629" w:type="dxa"/>
            <w:vAlign w:val="top"/>
          </w:tcPr>
          <w:p w14:paraId="087A6C51">
            <w:pPr>
              <w:spacing w:before="303" w:line="219" w:lineRule="auto"/>
              <w:ind w:left="94"/>
              <w:rPr>
                <w:rFonts w:ascii="宋体" w:hAnsi="宋体" w:eastAsia="宋体" w:cs="宋体"/>
                <w:sz w:val="21"/>
                <w:szCs w:val="21"/>
              </w:rPr>
            </w:pPr>
            <w:r>
              <w:rPr>
                <w:rFonts w:ascii="宋体" w:hAnsi="宋体" w:eastAsia="宋体" w:cs="宋体"/>
                <w:spacing w:val="6"/>
                <w:sz w:val="21"/>
                <w:szCs w:val="21"/>
              </w:rPr>
              <w:t>类型</w:t>
            </w:r>
          </w:p>
        </w:tc>
        <w:tc>
          <w:tcPr>
            <w:tcW w:w="1248" w:type="dxa"/>
            <w:vAlign w:val="top"/>
          </w:tcPr>
          <w:p w14:paraId="58789515">
            <w:pPr>
              <w:spacing w:before="132" w:line="295" w:lineRule="auto"/>
              <w:ind w:left="96" w:right="78"/>
              <w:rPr>
                <w:rFonts w:ascii="宋体" w:hAnsi="宋体" w:eastAsia="宋体" w:cs="宋体"/>
                <w:sz w:val="21"/>
                <w:szCs w:val="21"/>
              </w:rPr>
            </w:pPr>
            <w:r>
              <w:rPr>
                <w:rFonts w:ascii="宋体" w:hAnsi="宋体" w:eastAsia="宋体" w:cs="宋体"/>
                <w:spacing w:val="2"/>
                <w:sz w:val="21"/>
                <w:szCs w:val="21"/>
              </w:rPr>
              <w:t xml:space="preserve">战术技术指 </w:t>
            </w:r>
            <w:r>
              <w:rPr>
                <w:rFonts w:ascii="宋体" w:hAnsi="宋体" w:eastAsia="宋体" w:cs="宋体"/>
                <w:spacing w:val="-2"/>
                <w:sz w:val="21"/>
                <w:szCs w:val="21"/>
              </w:rPr>
              <w:t>标论证阶段</w:t>
            </w:r>
          </w:p>
        </w:tc>
        <w:tc>
          <w:tcPr>
            <w:tcW w:w="1259" w:type="dxa"/>
            <w:vAlign w:val="top"/>
          </w:tcPr>
          <w:p w14:paraId="2C7E02C2">
            <w:pPr>
              <w:spacing w:before="135" w:line="294" w:lineRule="auto"/>
              <w:ind w:left="207" w:right="89" w:hanging="110"/>
              <w:rPr>
                <w:rFonts w:ascii="宋体" w:hAnsi="宋体" w:eastAsia="宋体" w:cs="宋体"/>
                <w:sz w:val="21"/>
                <w:szCs w:val="21"/>
              </w:rPr>
            </w:pPr>
            <w:r>
              <w:rPr>
                <w:rFonts w:ascii="宋体" w:hAnsi="宋体" w:eastAsia="宋体" w:cs="宋体"/>
                <w:spacing w:val="2"/>
                <w:sz w:val="21"/>
                <w:szCs w:val="21"/>
              </w:rPr>
              <w:t>方案论证及</w:t>
            </w:r>
            <w:r>
              <w:rPr>
                <w:rFonts w:ascii="宋体" w:hAnsi="宋体" w:eastAsia="宋体" w:cs="宋体"/>
                <w:sz w:val="21"/>
                <w:szCs w:val="21"/>
              </w:rPr>
              <w:t xml:space="preserve"> </w:t>
            </w:r>
            <w:r>
              <w:rPr>
                <w:rFonts w:ascii="宋体" w:hAnsi="宋体" w:eastAsia="宋体" w:cs="宋体"/>
                <w:spacing w:val="-2"/>
                <w:sz w:val="21"/>
                <w:szCs w:val="21"/>
              </w:rPr>
              <w:t>确认阶段</w:t>
            </w:r>
          </w:p>
        </w:tc>
        <w:tc>
          <w:tcPr>
            <w:tcW w:w="629" w:type="dxa"/>
            <w:vAlign w:val="top"/>
          </w:tcPr>
          <w:p w14:paraId="3E32AD97">
            <w:pPr>
              <w:spacing w:before="114" w:line="220" w:lineRule="auto"/>
              <w:ind w:left="98"/>
              <w:rPr>
                <w:rFonts w:ascii="宋体" w:hAnsi="宋体" w:eastAsia="宋体" w:cs="宋体"/>
                <w:sz w:val="21"/>
                <w:szCs w:val="21"/>
              </w:rPr>
            </w:pPr>
            <w:r>
              <w:rPr>
                <w:rFonts w:ascii="宋体" w:hAnsi="宋体" w:eastAsia="宋体" w:cs="宋体"/>
                <w:spacing w:val="9"/>
                <w:sz w:val="21"/>
                <w:szCs w:val="21"/>
              </w:rPr>
              <w:t>研制</w:t>
            </w:r>
          </w:p>
          <w:p w14:paraId="23366E1D">
            <w:pPr>
              <w:spacing w:before="110" w:line="221" w:lineRule="auto"/>
              <w:ind w:left="98"/>
              <w:rPr>
                <w:rFonts w:ascii="宋体" w:hAnsi="宋体" w:eastAsia="宋体" w:cs="宋体"/>
                <w:sz w:val="21"/>
                <w:szCs w:val="21"/>
              </w:rPr>
            </w:pPr>
            <w:r>
              <w:rPr>
                <w:rFonts w:ascii="宋体" w:hAnsi="宋体" w:eastAsia="宋体" w:cs="宋体"/>
                <w:spacing w:val="4"/>
                <w:sz w:val="21"/>
                <w:szCs w:val="21"/>
              </w:rPr>
              <w:t>阶段</w:t>
            </w:r>
          </w:p>
        </w:tc>
        <w:tc>
          <w:tcPr>
            <w:tcW w:w="584" w:type="dxa"/>
            <w:vAlign w:val="top"/>
          </w:tcPr>
          <w:p w14:paraId="43F3658A">
            <w:pPr>
              <w:spacing w:before="123" w:line="219" w:lineRule="auto"/>
              <w:ind w:left="79"/>
              <w:rPr>
                <w:rFonts w:ascii="宋体" w:hAnsi="宋体" w:eastAsia="宋体" w:cs="宋体"/>
                <w:sz w:val="21"/>
                <w:szCs w:val="21"/>
              </w:rPr>
            </w:pPr>
            <w:r>
              <w:rPr>
                <w:rFonts w:ascii="宋体" w:hAnsi="宋体" w:eastAsia="宋体" w:cs="宋体"/>
                <w:spacing w:val="6"/>
                <w:sz w:val="21"/>
                <w:szCs w:val="21"/>
              </w:rPr>
              <w:t>生产</w:t>
            </w:r>
          </w:p>
          <w:p w14:paraId="0B9204BD">
            <w:pPr>
              <w:spacing w:before="101" w:line="221" w:lineRule="auto"/>
              <w:ind w:left="79"/>
              <w:rPr>
                <w:rFonts w:ascii="宋体" w:hAnsi="宋体" w:eastAsia="宋体" w:cs="宋体"/>
                <w:sz w:val="21"/>
                <w:szCs w:val="21"/>
              </w:rPr>
            </w:pPr>
            <w:r>
              <w:rPr>
                <w:rFonts w:ascii="宋体" w:hAnsi="宋体" w:eastAsia="宋体" w:cs="宋体"/>
                <w:spacing w:val="4"/>
                <w:sz w:val="21"/>
                <w:szCs w:val="21"/>
              </w:rPr>
              <w:t>阶段</w:t>
            </w:r>
          </w:p>
        </w:tc>
      </w:tr>
      <w:tr w14:paraId="21E92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044" w:type="dxa"/>
            <w:tcBorders>
              <w:bottom w:val="nil"/>
            </w:tcBorders>
            <w:vAlign w:val="top"/>
          </w:tcPr>
          <w:p w14:paraId="05E8ED04">
            <w:pPr>
              <w:spacing w:before="130" w:line="238" w:lineRule="auto"/>
              <w:ind w:left="244"/>
              <w:rPr>
                <w:rFonts w:ascii="宋体" w:hAnsi="宋体" w:eastAsia="宋体" w:cs="宋体"/>
                <w:sz w:val="21"/>
                <w:szCs w:val="21"/>
              </w:rPr>
            </w:pPr>
            <w:r>
              <w:rPr>
                <w:rFonts w:ascii="宋体" w:hAnsi="宋体" w:eastAsia="宋体" w:cs="宋体"/>
                <w:spacing w:val="-2"/>
                <w:sz w:val="21"/>
                <w:szCs w:val="21"/>
              </w:rPr>
              <w:t>5.2.3</w:t>
            </w:r>
          </w:p>
        </w:tc>
        <w:tc>
          <w:tcPr>
            <w:tcW w:w="3976" w:type="dxa"/>
            <w:tcBorders>
              <w:bottom w:val="nil"/>
            </w:tcBorders>
            <w:vAlign w:val="top"/>
          </w:tcPr>
          <w:p w14:paraId="46C3681C">
            <w:pPr>
              <w:spacing w:before="110" w:line="220" w:lineRule="auto"/>
              <w:ind w:left="131"/>
              <w:rPr>
                <w:rFonts w:ascii="宋体" w:hAnsi="宋体" w:eastAsia="宋体" w:cs="宋体"/>
                <w:sz w:val="21"/>
                <w:szCs w:val="21"/>
              </w:rPr>
            </w:pPr>
            <w:r>
              <w:rPr>
                <w:rFonts w:ascii="宋体" w:hAnsi="宋体" w:eastAsia="宋体" w:cs="宋体"/>
                <w:spacing w:val="4"/>
                <w:sz w:val="21"/>
                <w:szCs w:val="21"/>
              </w:rPr>
              <w:t>分系统危险分析(203)</w:t>
            </w:r>
          </w:p>
        </w:tc>
        <w:tc>
          <w:tcPr>
            <w:tcW w:w="629" w:type="dxa"/>
            <w:tcBorders>
              <w:bottom w:val="nil"/>
            </w:tcBorders>
            <w:vAlign w:val="top"/>
          </w:tcPr>
          <w:p w14:paraId="3B79F720">
            <w:pPr>
              <w:spacing w:before="110"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bottom w:val="nil"/>
            </w:tcBorders>
            <w:vAlign w:val="top"/>
          </w:tcPr>
          <w:p w14:paraId="629854A8">
            <w:pPr>
              <w:spacing w:before="162" w:line="184" w:lineRule="auto"/>
              <w:ind w:left="515"/>
              <w:rPr>
                <w:rFonts w:ascii="宋体" w:hAnsi="宋体" w:eastAsia="宋体" w:cs="宋体"/>
                <w:sz w:val="21"/>
                <w:szCs w:val="21"/>
              </w:rPr>
            </w:pPr>
            <w:r>
              <w:rPr>
                <w:rFonts w:ascii="宋体" w:hAnsi="宋体" w:eastAsia="宋体" w:cs="宋体"/>
                <w:spacing w:val="-1"/>
                <w:sz w:val="21"/>
                <w:szCs w:val="21"/>
              </w:rPr>
              <w:t>NA</w:t>
            </w:r>
          </w:p>
        </w:tc>
        <w:tc>
          <w:tcPr>
            <w:tcW w:w="1259" w:type="dxa"/>
            <w:tcBorders>
              <w:bottom w:val="nil"/>
            </w:tcBorders>
            <w:vAlign w:val="top"/>
          </w:tcPr>
          <w:p w14:paraId="3B490260">
            <w:pPr>
              <w:spacing w:before="173"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bottom w:val="nil"/>
            </w:tcBorders>
            <w:vAlign w:val="top"/>
          </w:tcPr>
          <w:p w14:paraId="76309107">
            <w:pPr>
              <w:spacing w:before="163"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bottom w:val="nil"/>
            </w:tcBorders>
            <w:vAlign w:val="top"/>
          </w:tcPr>
          <w:p w14:paraId="0A2B64D6">
            <w:pPr>
              <w:spacing w:before="163"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4A539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44" w:type="dxa"/>
            <w:tcBorders>
              <w:top w:val="nil"/>
              <w:bottom w:val="nil"/>
            </w:tcBorders>
            <w:vAlign w:val="top"/>
          </w:tcPr>
          <w:p w14:paraId="5ED0480E">
            <w:pPr>
              <w:spacing w:before="140" w:line="232" w:lineRule="auto"/>
              <w:ind w:left="244"/>
              <w:rPr>
                <w:rFonts w:ascii="宋体" w:hAnsi="宋体" w:eastAsia="宋体" w:cs="宋体"/>
                <w:sz w:val="21"/>
                <w:szCs w:val="21"/>
              </w:rPr>
            </w:pPr>
            <w:r>
              <w:rPr>
                <w:rFonts w:ascii="宋体" w:hAnsi="宋体" w:eastAsia="宋体" w:cs="宋体"/>
                <w:spacing w:val="-2"/>
                <w:sz w:val="21"/>
                <w:szCs w:val="21"/>
              </w:rPr>
              <w:t>5.2.4</w:t>
            </w:r>
          </w:p>
        </w:tc>
        <w:tc>
          <w:tcPr>
            <w:tcW w:w="3976" w:type="dxa"/>
            <w:tcBorders>
              <w:top w:val="nil"/>
              <w:bottom w:val="nil"/>
            </w:tcBorders>
            <w:vAlign w:val="top"/>
          </w:tcPr>
          <w:p w14:paraId="4E86BB73">
            <w:pPr>
              <w:spacing w:before="89" w:line="220" w:lineRule="auto"/>
              <w:ind w:left="131"/>
              <w:rPr>
                <w:rFonts w:ascii="宋体" w:hAnsi="宋体" w:eastAsia="宋体" w:cs="宋体"/>
                <w:sz w:val="21"/>
                <w:szCs w:val="21"/>
              </w:rPr>
            </w:pPr>
            <w:r>
              <w:rPr>
                <w:rFonts w:ascii="宋体" w:hAnsi="宋体" w:eastAsia="宋体" w:cs="宋体"/>
                <w:spacing w:val="4"/>
                <w:sz w:val="21"/>
                <w:szCs w:val="21"/>
              </w:rPr>
              <w:t>系统危险分析(204)</w:t>
            </w:r>
          </w:p>
        </w:tc>
        <w:tc>
          <w:tcPr>
            <w:tcW w:w="629" w:type="dxa"/>
            <w:tcBorders>
              <w:top w:val="nil"/>
              <w:bottom w:val="nil"/>
            </w:tcBorders>
            <w:vAlign w:val="top"/>
          </w:tcPr>
          <w:p w14:paraId="0E6BEC08">
            <w:pPr>
              <w:spacing w:before="99"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4676045C">
            <w:pPr>
              <w:spacing w:before="171" w:line="184" w:lineRule="auto"/>
              <w:ind w:left="515"/>
              <w:rPr>
                <w:rFonts w:ascii="宋体" w:hAnsi="宋体" w:eastAsia="宋体" w:cs="宋体"/>
                <w:sz w:val="21"/>
                <w:szCs w:val="21"/>
              </w:rPr>
            </w:pPr>
            <w:r>
              <w:rPr>
                <w:rFonts w:ascii="宋体" w:hAnsi="宋体" w:eastAsia="宋体" w:cs="宋体"/>
                <w:spacing w:val="-1"/>
                <w:sz w:val="21"/>
                <w:szCs w:val="21"/>
              </w:rPr>
              <w:t>NA</w:t>
            </w:r>
          </w:p>
        </w:tc>
        <w:tc>
          <w:tcPr>
            <w:tcW w:w="1259" w:type="dxa"/>
            <w:tcBorders>
              <w:top w:val="nil"/>
              <w:bottom w:val="nil"/>
            </w:tcBorders>
            <w:vAlign w:val="top"/>
          </w:tcPr>
          <w:p w14:paraId="3229B49B">
            <w:pPr>
              <w:spacing w:before="172"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662333F0">
            <w:pPr>
              <w:spacing w:before="172"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4577C9AC">
            <w:pPr>
              <w:spacing w:before="172"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2BC88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044" w:type="dxa"/>
            <w:tcBorders>
              <w:top w:val="nil"/>
              <w:bottom w:val="nil"/>
            </w:tcBorders>
            <w:vAlign w:val="top"/>
          </w:tcPr>
          <w:p w14:paraId="6FA95B6B">
            <w:pPr>
              <w:spacing w:before="135" w:line="239" w:lineRule="auto"/>
              <w:ind w:left="244"/>
              <w:rPr>
                <w:rFonts w:ascii="宋体" w:hAnsi="宋体" w:eastAsia="宋体" w:cs="宋体"/>
                <w:sz w:val="21"/>
                <w:szCs w:val="21"/>
              </w:rPr>
            </w:pPr>
            <w:r>
              <w:rPr>
                <w:rFonts w:ascii="宋体" w:hAnsi="宋体" w:eastAsia="宋体" w:cs="宋体"/>
                <w:spacing w:val="-2"/>
                <w:sz w:val="21"/>
                <w:szCs w:val="21"/>
              </w:rPr>
              <w:t>5.2.5</w:t>
            </w:r>
          </w:p>
        </w:tc>
        <w:tc>
          <w:tcPr>
            <w:tcW w:w="3976" w:type="dxa"/>
            <w:tcBorders>
              <w:top w:val="nil"/>
              <w:bottom w:val="nil"/>
            </w:tcBorders>
            <w:vAlign w:val="top"/>
          </w:tcPr>
          <w:p w14:paraId="753D4956">
            <w:pPr>
              <w:spacing w:before="94" w:line="219" w:lineRule="auto"/>
              <w:ind w:left="131"/>
              <w:rPr>
                <w:rFonts w:ascii="宋体" w:hAnsi="宋体" w:eastAsia="宋体" w:cs="宋体"/>
                <w:sz w:val="21"/>
                <w:szCs w:val="21"/>
              </w:rPr>
            </w:pPr>
            <w:r>
              <w:rPr>
                <w:rFonts w:ascii="宋体" w:hAnsi="宋体" w:eastAsia="宋体" w:cs="宋体"/>
                <w:spacing w:val="3"/>
                <w:sz w:val="21"/>
                <w:szCs w:val="21"/>
              </w:rPr>
              <w:t>使用和保障危险分析(205)</w:t>
            </w:r>
          </w:p>
        </w:tc>
        <w:tc>
          <w:tcPr>
            <w:tcW w:w="629" w:type="dxa"/>
            <w:tcBorders>
              <w:top w:val="nil"/>
              <w:bottom w:val="nil"/>
            </w:tcBorders>
            <w:vAlign w:val="top"/>
          </w:tcPr>
          <w:p w14:paraId="614DECAE">
            <w:pPr>
              <w:spacing w:before="115"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6F621081">
            <w:pPr>
              <w:spacing w:before="158"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36DD8AE7">
            <w:pPr>
              <w:spacing w:before="178"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4D6BE680">
            <w:pPr>
              <w:spacing w:before="178"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064B03AF">
            <w:pPr>
              <w:spacing w:before="178"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3753C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044" w:type="dxa"/>
            <w:tcBorders>
              <w:top w:val="nil"/>
              <w:bottom w:val="nil"/>
            </w:tcBorders>
            <w:vAlign w:val="top"/>
          </w:tcPr>
          <w:p w14:paraId="3D36F0E2">
            <w:pPr>
              <w:spacing w:before="118" w:line="239" w:lineRule="auto"/>
              <w:ind w:left="244"/>
              <w:rPr>
                <w:rFonts w:ascii="宋体" w:hAnsi="宋体" w:eastAsia="宋体" w:cs="宋体"/>
                <w:sz w:val="21"/>
                <w:szCs w:val="21"/>
              </w:rPr>
            </w:pPr>
            <w:r>
              <w:rPr>
                <w:rFonts w:ascii="宋体" w:hAnsi="宋体" w:eastAsia="宋体" w:cs="宋体"/>
                <w:spacing w:val="-2"/>
                <w:sz w:val="21"/>
                <w:szCs w:val="21"/>
              </w:rPr>
              <w:t>5.2.6</w:t>
            </w:r>
          </w:p>
        </w:tc>
        <w:tc>
          <w:tcPr>
            <w:tcW w:w="3976" w:type="dxa"/>
            <w:tcBorders>
              <w:top w:val="nil"/>
              <w:bottom w:val="nil"/>
            </w:tcBorders>
            <w:vAlign w:val="top"/>
          </w:tcPr>
          <w:p w14:paraId="299882A2">
            <w:pPr>
              <w:spacing w:before="97" w:line="219" w:lineRule="auto"/>
              <w:ind w:left="131"/>
              <w:rPr>
                <w:rFonts w:ascii="宋体" w:hAnsi="宋体" w:eastAsia="宋体" w:cs="宋体"/>
                <w:sz w:val="21"/>
                <w:szCs w:val="21"/>
              </w:rPr>
            </w:pPr>
            <w:r>
              <w:rPr>
                <w:rFonts w:ascii="宋体" w:hAnsi="宋体" w:eastAsia="宋体" w:cs="宋体"/>
                <w:spacing w:val="3"/>
                <w:sz w:val="21"/>
                <w:szCs w:val="21"/>
              </w:rPr>
              <w:t>职业健康危险分析(206)</w:t>
            </w:r>
          </w:p>
        </w:tc>
        <w:tc>
          <w:tcPr>
            <w:tcW w:w="629" w:type="dxa"/>
            <w:tcBorders>
              <w:top w:val="nil"/>
              <w:bottom w:val="nil"/>
            </w:tcBorders>
            <w:vAlign w:val="top"/>
          </w:tcPr>
          <w:p w14:paraId="6E23600F">
            <w:pPr>
              <w:spacing w:before="88"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4789E081">
            <w:pPr>
              <w:spacing w:before="161" w:line="183" w:lineRule="auto"/>
              <w:ind w:left="565"/>
              <w:rPr>
                <w:rFonts w:ascii="宋体" w:hAnsi="宋体" w:eastAsia="宋体" w:cs="宋体"/>
                <w:sz w:val="21"/>
                <w:szCs w:val="21"/>
              </w:rPr>
            </w:pPr>
            <w:r>
              <w:rPr>
                <w:rFonts w:ascii="宋体" w:hAnsi="宋体" w:eastAsia="宋体" w:cs="宋体"/>
                <w:sz w:val="21"/>
                <w:szCs w:val="21"/>
              </w:rPr>
              <w:t>G</w:t>
            </w:r>
          </w:p>
        </w:tc>
        <w:tc>
          <w:tcPr>
            <w:tcW w:w="1259" w:type="dxa"/>
            <w:tcBorders>
              <w:top w:val="nil"/>
              <w:bottom w:val="nil"/>
            </w:tcBorders>
            <w:vAlign w:val="top"/>
          </w:tcPr>
          <w:p w14:paraId="60CA2EBE">
            <w:pPr>
              <w:spacing w:before="171"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4C92E8E1">
            <w:pPr>
              <w:spacing w:before="171"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3CD2D253">
            <w:pPr>
              <w:spacing w:before="171"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0DF75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044" w:type="dxa"/>
            <w:tcBorders>
              <w:top w:val="nil"/>
              <w:bottom w:val="nil"/>
            </w:tcBorders>
            <w:vAlign w:val="top"/>
          </w:tcPr>
          <w:p w14:paraId="4BBBF599">
            <w:pPr>
              <w:spacing w:before="121" w:line="239" w:lineRule="auto"/>
              <w:ind w:left="244"/>
              <w:rPr>
                <w:rFonts w:ascii="宋体" w:hAnsi="宋体" w:eastAsia="宋体" w:cs="宋体"/>
                <w:sz w:val="21"/>
                <w:szCs w:val="21"/>
              </w:rPr>
            </w:pPr>
            <w:r>
              <w:rPr>
                <w:rFonts w:ascii="宋体" w:hAnsi="宋体" w:eastAsia="宋体" w:cs="宋体"/>
                <w:spacing w:val="-2"/>
                <w:sz w:val="21"/>
                <w:szCs w:val="21"/>
              </w:rPr>
              <w:t>5.2.7</w:t>
            </w:r>
          </w:p>
        </w:tc>
        <w:tc>
          <w:tcPr>
            <w:tcW w:w="3976" w:type="dxa"/>
            <w:tcBorders>
              <w:top w:val="nil"/>
              <w:bottom w:val="nil"/>
            </w:tcBorders>
            <w:vAlign w:val="top"/>
          </w:tcPr>
          <w:p w14:paraId="2E3BFDCB">
            <w:pPr>
              <w:spacing w:before="100" w:line="219" w:lineRule="auto"/>
              <w:ind w:left="131"/>
              <w:rPr>
                <w:rFonts w:ascii="宋体" w:hAnsi="宋体" w:eastAsia="宋体" w:cs="宋体"/>
                <w:sz w:val="21"/>
                <w:szCs w:val="21"/>
              </w:rPr>
            </w:pPr>
            <w:r>
              <w:rPr>
                <w:rFonts w:ascii="宋体" w:hAnsi="宋体" w:eastAsia="宋体" w:cs="宋体"/>
                <w:spacing w:val="3"/>
                <w:sz w:val="21"/>
                <w:szCs w:val="21"/>
              </w:rPr>
              <w:t>工程更改建议的安全性评审(207)</w:t>
            </w:r>
          </w:p>
        </w:tc>
        <w:tc>
          <w:tcPr>
            <w:tcW w:w="629" w:type="dxa"/>
            <w:tcBorders>
              <w:top w:val="nil"/>
              <w:bottom w:val="nil"/>
            </w:tcBorders>
            <w:vAlign w:val="top"/>
          </w:tcPr>
          <w:p w14:paraId="163FA4BB">
            <w:pPr>
              <w:spacing w:before="90" w:line="219" w:lineRule="auto"/>
              <w:ind w:left="94"/>
              <w:rPr>
                <w:rFonts w:ascii="宋体" w:hAnsi="宋体" w:eastAsia="宋体" w:cs="宋体"/>
                <w:sz w:val="21"/>
                <w:szCs w:val="21"/>
              </w:rPr>
            </w:pPr>
            <w:r>
              <w:rPr>
                <w:rFonts w:ascii="宋体" w:hAnsi="宋体" w:eastAsia="宋体" w:cs="宋体"/>
                <w:spacing w:val="3"/>
                <w:sz w:val="21"/>
                <w:szCs w:val="21"/>
              </w:rPr>
              <w:t>管理</w:t>
            </w:r>
          </w:p>
        </w:tc>
        <w:tc>
          <w:tcPr>
            <w:tcW w:w="1248" w:type="dxa"/>
            <w:tcBorders>
              <w:top w:val="nil"/>
              <w:bottom w:val="nil"/>
            </w:tcBorders>
            <w:vAlign w:val="top"/>
          </w:tcPr>
          <w:p w14:paraId="09757EF8">
            <w:pPr>
              <w:spacing w:before="173" w:line="184" w:lineRule="auto"/>
              <w:ind w:left="515"/>
              <w:rPr>
                <w:rFonts w:ascii="宋体" w:hAnsi="宋体" w:eastAsia="宋体" w:cs="宋体"/>
                <w:sz w:val="21"/>
                <w:szCs w:val="21"/>
              </w:rPr>
            </w:pPr>
            <w:r>
              <w:rPr>
                <w:rFonts w:ascii="宋体" w:hAnsi="宋体" w:eastAsia="宋体" w:cs="宋体"/>
                <w:spacing w:val="-1"/>
                <w:sz w:val="21"/>
                <w:szCs w:val="21"/>
              </w:rPr>
              <w:t>NA</w:t>
            </w:r>
          </w:p>
        </w:tc>
        <w:tc>
          <w:tcPr>
            <w:tcW w:w="1259" w:type="dxa"/>
            <w:tcBorders>
              <w:top w:val="nil"/>
              <w:bottom w:val="nil"/>
            </w:tcBorders>
            <w:vAlign w:val="top"/>
          </w:tcPr>
          <w:p w14:paraId="30DA2E14">
            <w:pPr>
              <w:spacing w:before="184"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3BB03F84">
            <w:pPr>
              <w:spacing w:before="184"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33849E82">
            <w:pPr>
              <w:spacing w:before="174" w:line="183" w:lineRule="auto"/>
              <w:ind w:left="230"/>
              <w:rPr>
                <w:rFonts w:ascii="宋体" w:hAnsi="宋体" w:eastAsia="宋体" w:cs="宋体"/>
                <w:sz w:val="21"/>
                <w:szCs w:val="21"/>
              </w:rPr>
            </w:pPr>
            <w:r>
              <w:rPr>
                <w:rFonts w:ascii="宋体" w:hAnsi="宋体" w:eastAsia="宋体" w:cs="宋体"/>
                <w:sz w:val="21"/>
                <w:szCs w:val="21"/>
              </w:rPr>
              <w:t>G</w:t>
            </w:r>
          </w:p>
        </w:tc>
      </w:tr>
      <w:tr w14:paraId="3FBE2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1" w:hRule="atLeast"/>
        </w:trPr>
        <w:tc>
          <w:tcPr>
            <w:tcW w:w="1044" w:type="dxa"/>
            <w:tcBorders>
              <w:top w:val="nil"/>
              <w:bottom w:val="nil"/>
            </w:tcBorders>
            <w:vAlign w:val="top"/>
          </w:tcPr>
          <w:p w14:paraId="0DE17B90">
            <w:pPr>
              <w:spacing w:before="151" w:line="239" w:lineRule="auto"/>
              <w:ind w:left="244"/>
              <w:rPr>
                <w:rFonts w:ascii="宋体" w:hAnsi="宋体" w:eastAsia="宋体" w:cs="宋体"/>
                <w:sz w:val="21"/>
                <w:szCs w:val="21"/>
              </w:rPr>
            </w:pPr>
            <w:r>
              <w:rPr>
                <w:rFonts w:ascii="宋体" w:hAnsi="宋体" w:eastAsia="宋体" w:cs="宋体"/>
                <w:spacing w:val="-2"/>
                <w:sz w:val="21"/>
                <w:szCs w:val="21"/>
              </w:rPr>
              <w:t>5.2.8</w:t>
            </w:r>
          </w:p>
        </w:tc>
        <w:tc>
          <w:tcPr>
            <w:tcW w:w="3976" w:type="dxa"/>
            <w:tcBorders>
              <w:top w:val="nil"/>
              <w:bottom w:val="nil"/>
            </w:tcBorders>
            <w:vAlign w:val="top"/>
          </w:tcPr>
          <w:p w14:paraId="2B8D83DF">
            <w:pPr>
              <w:spacing w:before="109" w:line="219" w:lineRule="auto"/>
              <w:ind w:left="131"/>
              <w:rPr>
                <w:rFonts w:ascii="宋体" w:hAnsi="宋体" w:eastAsia="宋体" w:cs="宋体"/>
                <w:sz w:val="21"/>
                <w:szCs w:val="21"/>
              </w:rPr>
            </w:pPr>
            <w:r>
              <w:rPr>
                <w:rFonts w:ascii="宋体" w:hAnsi="宋体" w:eastAsia="宋体" w:cs="宋体"/>
                <w:spacing w:val="-1"/>
                <w:sz w:val="21"/>
                <w:szCs w:val="21"/>
              </w:rPr>
              <w:t>订购方提供的设备和设施的安全性分析</w:t>
            </w:r>
          </w:p>
          <w:p w14:paraId="14188244">
            <w:pPr>
              <w:spacing w:before="95" w:line="222" w:lineRule="auto"/>
              <w:ind w:left="131"/>
              <w:rPr>
                <w:rFonts w:ascii="宋体" w:hAnsi="宋体" w:eastAsia="宋体" w:cs="宋体"/>
                <w:sz w:val="21"/>
                <w:szCs w:val="21"/>
              </w:rPr>
            </w:pPr>
            <w:r>
              <w:rPr>
                <w:rFonts w:ascii="宋体" w:hAnsi="宋体" w:eastAsia="宋体" w:cs="宋体"/>
                <w:spacing w:val="-8"/>
                <w:sz w:val="21"/>
                <w:szCs w:val="21"/>
              </w:rPr>
              <w:t>(208)</w:t>
            </w:r>
          </w:p>
        </w:tc>
        <w:tc>
          <w:tcPr>
            <w:tcW w:w="629" w:type="dxa"/>
            <w:tcBorders>
              <w:top w:val="nil"/>
              <w:bottom w:val="nil"/>
            </w:tcBorders>
            <w:vAlign w:val="top"/>
          </w:tcPr>
          <w:p w14:paraId="7E3AEFA4">
            <w:pPr>
              <w:spacing w:before="121"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50CC4C97">
            <w:pPr>
              <w:spacing w:before="174"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61F67E9C">
            <w:pPr>
              <w:spacing w:before="174"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65946BE8">
            <w:pPr>
              <w:spacing w:before="174"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26E2DED7">
            <w:pPr>
              <w:spacing w:before="174" w:line="183" w:lineRule="auto"/>
              <w:ind w:left="230"/>
              <w:rPr>
                <w:rFonts w:ascii="宋体" w:hAnsi="宋体" w:eastAsia="宋体" w:cs="宋体"/>
                <w:sz w:val="21"/>
                <w:szCs w:val="21"/>
              </w:rPr>
            </w:pPr>
            <w:r>
              <w:rPr>
                <w:rFonts w:ascii="宋体" w:hAnsi="宋体" w:eastAsia="宋体" w:cs="宋体"/>
                <w:sz w:val="21"/>
                <w:szCs w:val="21"/>
              </w:rPr>
              <w:t>G</w:t>
            </w:r>
          </w:p>
        </w:tc>
      </w:tr>
      <w:tr w14:paraId="0C5DC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2" w:hRule="atLeast"/>
        </w:trPr>
        <w:tc>
          <w:tcPr>
            <w:tcW w:w="1044" w:type="dxa"/>
            <w:tcBorders>
              <w:top w:val="nil"/>
              <w:bottom w:val="nil"/>
            </w:tcBorders>
            <w:vAlign w:val="top"/>
          </w:tcPr>
          <w:p w14:paraId="344B2CBE">
            <w:pPr>
              <w:spacing w:before="130" w:line="239" w:lineRule="auto"/>
              <w:ind w:left="244"/>
              <w:rPr>
                <w:rFonts w:ascii="宋体" w:hAnsi="宋体" w:eastAsia="宋体" w:cs="宋体"/>
                <w:sz w:val="21"/>
                <w:szCs w:val="21"/>
              </w:rPr>
            </w:pPr>
            <w:r>
              <w:rPr>
                <w:rFonts w:ascii="宋体" w:hAnsi="宋体" w:eastAsia="宋体" w:cs="宋体"/>
                <w:spacing w:val="-2"/>
                <w:sz w:val="21"/>
                <w:szCs w:val="21"/>
              </w:rPr>
              <w:t>5.3.1</w:t>
            </w:r>
          </w:p>
        </w:tc>
        <w:tc>
          <w:tcPr>
            <w:tcW w:w="3976" w:type="dxa"/>
            <w:tcBorders>
              <w:top w:val="nil"/>
              <w:bottom w:val="nil"/>
            </w:tcBorders>
            <w:vAlign w:val="top"/>
          </w:tcPr>
          <w:p w14:paraId="159FC4F9">
            <w:pPr>
              <w:spacing w:before="120" w:line="221" w:lineRule="auto"/>
              <w:ind w:left="131"/>
              <w:rPr>
                <w:rFonts w:ascii="宋体" w:hAnsi="宋体" w:eastAsia="宋体" w:cs="宋体"/>
                <w:sz w:val="21"/>
                <w:szCs w:val="21"/>
              </w:rPr>
            </w:pPr>
            <w:r>
              <w:rPr>
                <w:rFonts w:ascii="宋体" w:hAnsi="宋体" w:eastAsia="宋体" w:cs="宋体"/>
                <w:spacing w:val="5"/>
                <w:sz w:val="21"/>
                <w:szCs w:val="21"/>
              </w:rPr>
              <w:t>安全性验证(301)</w:t>
            </w:r>
          </w:p>
        </w:tc>
        <w:tc>
          <w:tcPr>
            <w:tcW w:w="629" w:type="dxa"/>
            <w:tcBorders>
              <w:top w:val="nil"/>
              <w:bottom w:val="nil"/>
            </w:tcBorders>
            <w:vAlign w:val="top"/>
          </w:tcPr>
          <w:p w14:paraId="33474295">
            <w:pPr>
              <w:spacing w:before="130"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499BD18D">
            <w:pPr>
              <w:spacing w:before="193"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21368D80">
            <w:pPr>
              <w:spacing w:before="193"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4EAD88FB">
            <w:pPr>
              <w:spacing w:before="193"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1DCD3CEF">
            <w:pPr>
              <w:spacing w:before="223" w:line="183" w:lineRule="auto"/>
              <w:ind w:left="230"/>
              <w:rPr>
                <w:rFonts w:ascii="宋体" w:hAnsi="宋体" w:eastAsia="宋体" w:cs="宋体"/>
                <w:sz w:val="21"/>
                <w:szCs w:val="21"/>
              </w:rPr>
            </w:pPr>
            <w:r>
              <w:rPr>
                <w:rFonts w:ascii="宋体" w:hAnsi="宋体" w:eastAsia="宋体" w:cs="宋体"/>
                <w:sz w:val="21"/>
                <w:szCs w:val="21"/>
              </w:rPr>
              <w:t>S</w:t>
            </w:r>
          </w:p>
        </w:tc>
      </w:tr>
      <w:tr w14:paraId="08223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044" w:type="dxa"/>
            <w:tcBorders>
              <w:top w:val="nil"/>
              <w:bottom w:val="nil"/>
            </w:tcBorders>
            <w:vAlign w:val="top"/>
          </w:tcPr>
          <w:p w14:paraId="7052A4BF">
            <w:pPr>
              <w:spacing w:before="138" w:line="230" w:lineRule="auto"/>
              <w:ind w:left="244"/>
              <w:rPr>
                <w:rFonts w:ascii="宋体" w:hAnsi="宋体" w:eastAsia="宋体" w:cs="宋体"/>
                <w:sz w:val="21"/>
                <w:szCs w:val="21"/>
              </w:rPr>
            </w:pPr>
            <w:r>
              <w:rPr>
                <w:rFonts w:ascii="宋体" w:hAnsi="宋体" w:eastAsia="宋体" w:cs="宋体"/>
                <w:spacing w:val="-2"/>
                <w:sz w:val="21"/>
                <w:szCs w:val="21"/>
              </w:rPr>
              <w:t>5.3.2</w:t>
            </w:r>
          </w:p>
        </w:tc>
        <w:tc>
          <w:tcPr>
            <w:tcW w:w="3976" w:type="dxa"/>
            <w:tcBorders>
              <w:top w:val="nil"/>
              <w:bottom w:val="nil"/>
            </w:tcBorders>
            <w:vAlign w:val="top"/>
          </w:tcPr>
          <w:p w14:paraId="4D4704C0">
            <w:pPr>
              <w:spacing w:before="85" w:line="218" w:lineRule="auto"/>
              <w:ind w:left="131"/>
              <w:rPr>
                <w:rFonts w:ascii="宋体" w:hAnsi="宋体" w:eastAsia="宋体" w:cs="宋体"/>
                <w:sz w:val="21"/>
                <w:szCs w:val="21"/>
              </w:rPr>
            </w:pPr>
            <w:r>
              <w:rPr>
                <w:rFonts w:ascii="宋体" w:hAnsi="宋体" w:eastAsia="宋体" w:cs="宋体"/>
                <w:spacing w:val="5"/>
                <w:sz w:val="21"/>
                <w:szCs w:val="21"/>
              </w:rPr>
              <w:t>安全性评价(302)</w:t>
            </w:r>
          </w:p>
        </w:tc>
        <w:tc>
          <w:tcPr>
            <w:tcW w:w="629" w:type="dxa"/>
            <w:tcBorders>
              <w:top w:val="nil"/>
              <w:bottom w:val="nil"/>
            </w:tcBorders>
            <w:vAlign w:val="top"/>
          </w:tcPr>
          <w:p w14:paraId="25E45AB2">
            <w:pPr>
              <w:spacing w:before="87" w:line="219" w:lineRule="auto"/>
              <w:ind w:left="94"/>
              <w:rPr>
                <w:rFonts w:ascii="宋体" w:hAnsi="宋体" w:eastAsia="宋体" w:cs="宋体"/>
                <w:sz w:val="21"/>
                <w:szCs w:val="21"/>
              </w:rPr>
            </w:pPr>
            <w:r>
              <w:rPr>
                <w:rFonts w:ascii="宋体" w:hAnsi="宋体" w:eastAsia="宋体" w:cs="宋体"/>
                <w:spacing w:val="3"/>
                <w:sz w:val="21"/>
                <w:szCs w:val="21"/>
              </w:rPr>
              <w:t>管理</w:t>
            </w:r>
          </w:p>
        </w:tc>
        <w:tc>
          <w:tcPr>
            <w:tcW w:w="1248" w:type="dxa"/>
            <w:tcBorders>
              <w:top w:val="nil"/>
              <w:bottom w:val="nil"/>
            </w:tcBorders>
            <w:vAlign w:val="top"/>
          </w:tcPr>
          <w:p w14:paraId="3526A72E">
            <w:pPr>
              <w:spacing w:before="181"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20299447">
            <w:pPr>
              <w:spacing w:before="161" w:line="183" w:lineRule="auto"/>
              <w:ind w:left="567"/>
              <w:rPr>
                <w:rFonts w:ascii="宋体" w:hAnsi="宋体" w:eastAsia="宋体" w:cs="宋体"/>
                <w:sz w:val="21"/>
                <w:szCs w:val="21"/>
              </w:rPr>
            </w:pPr>
            <w:r>
              <w:rPr>
                <w:rFonts w:ascii="宋体" w:hAnsi="宋体" w:eastAsia="宋体" w:cs="宋体"/>
                <w:sz w:val="21"/>
                <w:szCs w:val="21"/>
              </w:rPr>
              <w:t>S</w:t>
            </w:r>
          </w:p>
        </w:tc>
        <w:tc>
          <w:tcPr>
            <w:tcW w:w="629" w:type="dxa"/>
            <w:tcBorders>
              <w:top w:val="nil"/>
              <w:bottom w:val="nil"/>
            </w:tcBorders>
            <w:vAlign w:val="top"/>
          </w:tcPr>
          <w:p w14:paraId="25B14F81">
            <w:pPr>
              <w:spacing w:before="161" w:line="183" w:lineRule="auto"/>
              <w:ind w:left="259"/>
              <w:rPr>
                <w:rFonts w:ascii="宋体" w:hAnsi="宋体" w:eastAsia="宋体" w:cs="宋体"/>
                <w:sz w:val="21"/>
                <w:szCs w:val="21"/>
              </w:rPr>
            </w:pPr>
            <w:r>
              <w:rPr>
                <w:rFonts w:ascii="宋体" w:hAnsi="宋体" w:eastAsia="宋体" w:cs="宋体"/>
                <w:sz w:val="21"/>
                <w:szCs w:val="21"/>
              </w:rPr>
              <w:t>S</w:t>
            </w:r>
          </w:p>
        </w:tc>
        <w:tc>
          <w:tcPr>
            <w:tcW w:w="584" w:type="dxa"/>
            <w:tcBorders>
              <w:top w:val="nil"/>
              <w:bottom w:val="nil"/>
            </w:tcBorders>
            <w:vAlign w:val="top"/>
          </w:tcPr>
          <w:p w14:paraId="02EBF26C">
            <w:pPr>
              <w:spacing w:before="161" w:line="183" w:lineRule="auto"/>
              <w:ind w:left="230"/>
              <w:rPr>
                <w:rFonts w:ascii="宋体" w:hAnsi="宋体" w:eastAsia="宋体" w:cs="宋体"/>
                <w:sz w:val="21"/>
                <w:szCs w:val="21"/>
              </w:rPr>
            </w:pPr>
            <w:r>
              <w:rPr>
                <w:rFonts w:ascii="宋体" w:hAnsi="宋体" w:eastAsia="宋体" w:cs="宋体"/>
                <w:sz w:val="21"/>
                <w:szCs w:val="21"/>
              </w:rPr>
              <w:t>S</w:t>
            </w:r>
          </w:p>
        </w:tc>
      </w:tr>
      <w:tr w14:paraId="73A3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4" w:type="dxa"/>
            <w:tcBorders>
              <w:top w:val="nil"/>
              <w:bottom w:val="nil"/>
            </w:tcBorders>
            <w:vAlign w:val="top"/>
          </w:tcPr>
          <w:p w14:paraId="7F04A322">
            <w:pPr>
              <w:spacing w:before="118" w:line="239" w:lineRule="auto"/>
              <w:ind w:left="244"/>
              <w:rPr>
                <w:rFonts w:ascii="宋体" w:hAnsi="宋体" w:eastAsia="宋体" w:cs="宋体"/>
                <w:sz w:val="21"/>
                <w:szCs w:val="21"/>
              </w:rPr>
            </w:pPr>
            <w:r>
              <w:rPr>
                <w:rFonts w:ascii="宋体" w:hAnsi="宋体" w:eastAsia="宋体" w:cs="宋体"/>
                <w:spacing w:val="-2"/>
                <w:sz w:val="21"/>
                <w:szCs w:val="21"/>
              </w:rPr>
              <w:t>5.3.3</w:t>
            </w:r>
          </w:p>
        </w:tc>
        <w:tc>
          <w:tcPr>
            <w:tcW w:w="3976" w:type="dxa"/>
            <w:tcBorders>
              <w:top w:val="nil"/>
              <w:bottom w:val="nil"/>
            </w:tcBorders>
            <w:vAlign w:val="top"/>
          </w:tcPr>
          <w:p w14:paraId="433E686F">
            <w:pPr>
              <w:spacing w:before="95" w:line="218" w:lineRule="auto"/>
              <w:ind w:left="131"/>
              <w:rPr>
                <w:rFonts w:ascii="宋体" w:hAnsi="宋体" w:eastAsia="宋体" w:cs="宋体"/>
                <w:sz w:val="21"/>
                <w:szCs w:val="21"/>
              </w:rPr>
            </w:pPr>
            <w:r>
              <w:rPr>
                <w:rFonts w:ascii="宋体" w:hAnsi="宋体" w:eastAsia="宋体" w:cs="宋体"/>
                <w:spacing w:val="2"/>
                <w:sz w:val="21"/>
                <w:szCs w:val="21"/>
              </w:rPr>
              <w:t>安全性符合有关规定的评价(303)</w:t>
            </w:r>
          </w:p>
        </w:tc>
        <w:tc>
          <w:tcPr>
            <w:tcW w:w="629" w:type="dxa"/>
            <w:tcBorders>
              <w:top w:val="nil"/>
              <w:bottom w:val="nil"/>
            </w:tcBorders>
            <w:vAlign w:val="top"/>
          </w:tcPr>
          <w:p w14:paraId="2263E0FB">
            <w:pPr>
              <w:spacing w:before="87" w:line="219" w:lineRule="auto"/>
              <w:ind w:left="94"/>
              <w:rPr>
                <w:rFonts w:ascii="宋体" w:hAnsi="宋体" w:eastAsia="宋体" w:cs="宋体"/>
                <w:sz w:val="21"/>
                <w:szCs w:val="21"/>
              </w:rPr>
            </w:pPr>
            <w:r>
              <w:rPr>
                <w:rFonts w:ascii="宋体" w:hAnsi="宋体" w:eastAsia="宋体" w:cs="宋体"/>
                <w:spacing w:val="3"/>
                <w:sz w:val="21"/>
                <w:szCs w:val="21"/>
              </w:rPr>
              <w:t>管理</w:t>
            </w:r>
          </w:p>
        </w:tc>
        <w:tc>
          <w:tcPr>
            <w:tcW w:w="1248" w:type="dxa"/>
            <w:tcBorders>
              <w:top w:val="nil"/>
              <w:bottom w:val="nil"/>
            </w:tcBorders>
            <w:vAlign w:val="top"/>
          </w:tcPr>
          <w:p w14:paraId="20E4BF1E">
            <w:pPr>
              <w:spacing w:before="151"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79AE0549">
            <w:pPr>
              <w:spacing w:before="161" w:line="183" w:lineRule="auto"/>
              <w:ind w:left="567"/>
              <w:rPr>
                <w:rFonts w:ascii="宋体" w:hAnsi="宋体" w:eastAsia="宋体" w:cs="宋体"/>
                <w:sz w:val="21"/>
                <w:szCs w:val="21"/>
              </w:rPr>
            </w:pPr>
            <w:r>
              <w:rPr>
                <w:rFonts w:ascii="宋体" w:hAnsi="宋体" w:eastAsia="宋体" w:cs="宋体"/>
                <w:sz w:val="21"/>
                <w:szCs w:val="21"/>
              </w:rPr>
              <w:t>S</w:t>
            </w:r>
          </w:p>
        </w:tc>
        <w:tc>
          <w:tcPr>
            <w:tcW w:w="629" w:type="dxa"/>
            <w:tcBorders>
              <w:top w:val="nil"/>
              <w:bottom w:val="nil"/>
            </w:tcBorders>
            <w:vAlign w:val="top"/>
          </w:tcPr>
          <w:p w14:paraId="7F26BE4E">
            <w:pPr>
              <w:spacing w:before="171" w:line="183" w:lineRule="auto"/>
              <w:ind w:left="259"/>
              <w:rPr>
                <w:rFonts w:ascii="宋体" w:hAnsi="宋体" w:eastAsia="宋体" w:cs="宋体"/>
                <w:sz w:val="21"/>
                <w:szCs w:val="21"/>
              </w:rPr>
            </w:pPr>
            <w:r>
              <w:rPr>
                <w:rFonts w:ascii="宋体" w:hAnsi="宋体" w:eastAsia="宋体" w:cs="宋体"/>
                <w:sz w:val="21"/>
                <w:szCs w:val="21"/>
              </w:rPr>
              <w:t>S</w:t>
            </w:r>
          </w:p>
        </w:tc>
        <w:tc>
          <w:tcPr>
            <w:tcW w:w="584" w:type="dxa"/>
            <w:tcBorders>
              <w:top w:val="nil"/>
              <w:bottom w:val="nil"/>
            </w:tcBorders>
            <w:vAlign w:val="top"/>
          </w:tcPr>
          <w:p w14:paraId="10A8EBF2">
            <w:pPr>
              <w:spacing w:before="161" w:line="183" w:lineRule="auto"/>
              <w:ind w:left="230"/>
              <w:rPr>
                <w:rFonts w:ascii="宋体" w:hAnsi="宋体" w:eastAsia="宋体" w:cs="宋体"/>
                <w:sz w:val="21"/>
                <w:szCs w:val="21"/>
              </w:rPr>
            </w:pPr>
            <w:r>
              <w:rPr>
                <w:rFonts w:ascii="宋体" w:hAnsi="宋体" w:eastAsia="宋体" w:cs="宋体"/>
                <w:sz w:val="21"/>
                <w:szCs w:val="21"/>
              </w:rPr>
              <w:t>S</w:t>
            </w:r>
          </w:p>
        </w:tc>
      </w:tr>
      <w:tr w14:paraId="7A10A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1044" w:type="dxa"/>
            <w:tcBorders>
              <w:top w:val="nil"/>
              <w:bottom w:val="nil"/>
            </w:tcBorders>
            <w:vAlign w:val="top"/>
          </w:tcPr>
          <w:p w14:paraId="11BD79FA">
            <w:pPr>
              <w:spacing w:before="133" w:line="239" w:lineRule="auto"/>
              <w:ind w:left="244"/>
              <w:rPr>
                <w:rFonts w:ascii="宋体" w:hAnsi="宋体" w:eastAsia="宋体" w:cs="宋体"/>
                <w:sz w:val="21"/>
                <w:szCs w:val="21"/>
              </w:rPr>
            </w:pPr>
            <w:r>
              <w:rPr>
                <w:rFonts w:ascii="宋体" w:hAnsi="宋体" w:eastAsia="宋体" w:cs="宋体"/>
                <w:spacing w:val="-2"/>
                <w:sz w:val="21"/>
                <w:szCs w:val="21"/>
              </w:rPr>
              <w:t>5.4.1</w:t>
            </w:r>
          </w:p>
        </w:tc>
        <w:tc>
          <w:tcPr>
            <w:tcW w:w="3976" w:type="dxa"/>
            <w:tcBorders>
              <w:top w:val="nil"/>
              <w:bottom w:val="nil"/>
            </w:tcBorders>
            <w:vAlign w:val="top"/>
          </w:tcPr>
          <w:p w14:paraId="32844178">
            <w:pPr>
              <w:spacing w:before="102" w:line="219" w:lineRule="auto"/>
              <w:ind w:left="131"/>
              <w:rPr>
                <w:rFonts w:ascii="宋体" w:hAnsi="宋体" w:eastAsia="宋体" w:cs="宋体"/>
                <w:sz w:val="21"/>
                <w:szCs w:val="21"/>
              </w:rPr>
            </w:pPr>
            <w:r>
              <w:rPr>
                <w:rFonts w:ascii="宋体" w:hAnsi="宋体" w:eastAsia="宋体" w:cs="宋体"/>
                <w:spacing w:val="2"/>
                <w:sz w:val="21"/>
                <w:szCs w:val="21"/>
              </w:rPr>
              <w:t>系统安全性主管负责人的资格(401)</w:t>
            </w:r>
          </w:p>
        </w:tc>
        <w:tc>
          <w:tcPr>
            <w:tcW w:w="629" w:type="dxa"/>
            <w:tcBorders>
              <w:top w:val="nil"/>
              <w:bottom w:val="nil"/>
            </w:tcBorders>
            <w:vAlign w:val="top"/>
          </w:tcPr>
          <w:p w14:paraId="007C77D0">
            <w:pPr>
              <w:spacing w:before="92" w:line="219" w:lineRule="auto"/>
              <w:ind w:left="94"/>
              <w:rPr>
                <w:rFonts w:ascii="宋体" w:hAnsi="宋体" w:eastAsia="宋体" w:cs="宋体"/>
                <w:sz w:val="21"/>
                <w:szCs w:val="21"/>
              </w:rPr>
            </w:pPr>
            <w:r>
              <w:rPr>
                <w:rFonts w:ascii="宋体" w:hAnsi="宋体" w:eastAsia="宋体" w:cs="宋体"/>
                <w:spacing w:val="3"/>
                <w:sz w:val="21"/>
                <w:szCs w:val="21"/>
              </w:rPr>
              <w:t>管理</w:t>
            </w:r>
          </w:p>
        </w:tc>
        <w:tc>
          <w:tcPr>
            <w:tcW w:w="1248" w:type="dxa"/>
            <w:tcBorders>
              <w:top w:val="nil"/>
              <w:bottom w:val="nil"/>
            </w:tcBorders>
            <w:vAlign w:val="top"/>
          </w:tcPr>
          <w:p w14:paraId="66C6C592">
            <w:pPr>
              <w:spacing w:before="166"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6AF916C6">
            <w:pPr>
              <w:spacing w:before="176" w:line="183" w:lineRule="auto"/>
              <w:ind w:left="567"/>
              <w:rPr>
                <w:rFonts w:ascii="宋体" w:hAnsi="宋体" w:eastAsia="宋体" w:cs="宋体"/>
                <w:sz w:val="21"/>
                <w:szCs w:val="21"/>
              </w:rPr>
            </w:pPr>
            <w:r>
              <w:rPr>
                <w:rFonts w:ascii="宋体" w:hAnsi="宋体" w:eastAsia="宋体" w:cs="宋体"/>
                <w:sz w:val="21"/>
                <w:szCs w:val="21"/>
              </w:rPr>
              <w:t>S</w:t>
            </w:r>
          </w:p>
        </w:tc>
        <w:tc>
          <w:tcPr>
            <w:tcW w:w="629" w:type="dxa"/>
            <w:tcBorders>
              <w:top w:val="nil"/>
              <w:bottom w:val="nil"/>
            </w:tcBorders>
            <w:vAlign w:val="top"/>
          </w:tcPr>
          <w:p w14:paraId="430A5011">
            <w:pPr>
              <w:spacing w:before="186" w:line="183" w:lineRule="auto"/>
              <w:ind w:left="259"/>
              <w:rPr>
                <w:rFonts w:ascii="宋体" w:hAnsi="宋体" w:eastAsia="宋体" w:cs="宋体"/>
                <w:sz w:val="21"/>
                <w:szCs w:val="21"/>
              </w:rPr>
            </w:pPr>
            <w:r>
              <w:rPr>
                <w:rFonts w:ascii="宋体" w:hAnsi="宋体" w:eastAsia="宋体" w:cs="宋体"/>
                <w:sz w:val="21"/>
                <w:szCs w:val="21"/>
              </w:rPr>
              <w:t>S</w:t>
            </w:r>
          </w:p>
        </w:tc>
        <w:tc>
          <w:tcPr>
            <w:tcW w:w="584" w:type="dxa"/>
            <w:tcBorders>
              <w:top w:val="nil"/>
              <w:bottom w:val="nil"/>
            </w:tcBorders>
            <w:vAlign w:val="top"/>
          </w:tcPr>
          <w:p w14:paraId="39EA9BF7">
            <w:pPr>
              <w:spacing w:before="176" w:line="183" w:lineRule="auto"/>
              <w:ind w:left="230"/>
              <w:rPr>
                <w:rFonts w:ascii="宋体" w:hAnsi="宋体" w:eastAsia="宋体" w:cs="宋体"/>
                <w:sz w:val="21"/>
                <w:szCs w:val="21"/>
              </w:rPr>
            </w:pPr>
            <w:r>
              <w:rPr>
                <w:rFonts w:ascii="宋体" w:hAnsi="宋体" w:eastAsia="宋体" w:cs="宋体"/>
                <w:sz w:val="21"/>
                <w:szCs w:val="21"/>
              </w:rPr>
              <w:t>S</w:t>
            </w:r>
          </w:p>
        </w:tc>
      </w:tr>
      <w:tr w14:paraId="5C82A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1044" w:type="dxa"/>
            <w:tcBorders>
              <w:top w:val="nil"/>
              <w:bottom w:val="nil"/>
            </w:tcBorders>
            <w:vAlign w:val="top"/>
          </w:tcPr>
          <w:p w14:paraId="0758FFCC">
            <w:pPr>
              <w:spacing w:before="128" w:line="239" w:lineRule="auto"/>
              <w:ind w:left="244"/>
              <w:rPr>
                <w:rFonts w:ascii="宋体" w:hAnsi="宋体" w:eastAsia="宋体" w:cs="宋体"/>
                <w:sz w:val="21"/>
                <w:szCs w:val="21"/>
              </w:rPr>
            </w:pPr>
            <w:r>
              <w:rPr>
                <w:rFonts w:ascii="宋体" w:hAnsi="宋体" w:eastAsia="宋体" w:cs="宋体"/>
                <w:spacing w:val="-2"/>
                <w:sz w:val="21"/>
                <w:szCs w:val="21"/>
              </w:rPr>
              <w:t>5.4.2</w:t>
            </w:r>
          </w:p>
        </w:tc>
        <w:tc>
          <w:tcPr>
            <w:tcW w:w="3976" w:type="dxa"/>
            <w:tcBorders>
              <w:top w:val="nil"/>
              <w:bottom w:val="nil"/>
            </w:tcBorders>
            <w:vAlign w:val="top"/>
          </w:tcPr>
          <w:p w14:paraId="009E2662">
            <w:pPr>
              <w:spacing w:before="98" w:line="220" w:lineRule="auto"/>
              <w:ind w:left="131"/>
              <w:rPr>
                <w:rFonts w:ascii="宋体" w:hAnsi="宋体" w:eastAsia="宋体" w:cs="宋体"/>
                <w:sz w:val="21"/>
                <w:szCs w:val="21"/>
              </w:rPr>
            </w:pPr>
            <w:r>
              <w:rPr>
                <w:rFonts w:ascii="宋体" w:hAnsi="宋体" w:eastAsia="宋体" w:cs="宋体"/>
                <w:spacing w:val="7"/>
                <w:sz w:val="21"/>
                <w:szCs w:val="21"/>
              </w:rPr>
              <w:t>培训(402)</w:t>
            </w:r>
          </w:p>
        </w:tc>
        <w:tc>
          <w:tcPr>
            <w:tcW w:w="629" w:type="dxa"/>
            <w:tcBorders>
              <w:top w:val="nil"/>
              <w:bottom w:val="nil"/>
            </w:tcBorders>
            <w:vAlign w:val="top"/>
          </w:tcPr>
          <w:p w14:paraId="6F4EB802">
            <w:pPr>
              <w:spacing w:before="87" w:line="219" w:lineRule="auto"/>
              <w:ind w:left="94"/>
              <w:rPr>
                <w:rFonts w:ascii="宋体" w:hAnsi="宋体" w:eastAsia="宋体" w:cs="宋体"/>
                <w:sz w:val="21"/>
                <w:szCs w:val="21"/>
              </w:rPr>
            </w:pPr>
            <w:r>
              <w:rPr>
                <w:rFonts w:ascii="宋体" w:hAnsi="宋体" w:eastAsia="宋体" w:cs="宋体"/>
                <w:spacing w:val="3"/>
                <w:sz w:val="21"/>
                <w:szCs w:val="21"/>
              </w:rPr>
              <w:t>管理</w:t>
            </w:r>
          </w:p>
        </w:tc>
        <w:tc>
          <w:tcPr>
            <w:tcW w:w="1248" w:type="dxa"/>
            <w:tcBorders>
              <w:top w:val="nil"/>
              <w:bottom w:val="nil"/>
            </w:tcBorders>
            <w:vAlign w:val="top"/>
          </w:tcPr>
          <w:p w14:paraId="4D0BD499">
            <w:pPr>
              <w:spacing w:before="160" w:line="184" w:lineRule="auto"/>
              <w:ind w:left="515"/>
              <w:rPr>
                <w:rFonts w:ascii="宋体" w:hAnsi="宋体" w:eastAsia="宋体" w:cs="宋体"/>
                <w:sz w:val="21"/>
                <w:szCs w:val="21"/>
              </w:rPr>
            </w:pPr>
            <w:r>
              <w:rPr>
                <w:rFonts w:ascii="宋体" w:hAnsi="宋体" w:eastAsia="宋体" w:cs="宋体"/>
                <w:spacing w:val="-1"/>
                <w:sz w:val="21"/>
                <w:szCs w:val="21"/>
              </w:rPr>
              <w:t>NA</w:t>
            </w:r>
          </w:p>
        </w:tc>
        <w:tc>
          <w:tcPr>
            <w:tcW w:w="1259" w:type="dxa"/>
            <w:tcBorders>
              <w:top w:val="nil"/>
              <w:bottom w:val="nil"/>
            </w:tcBorders>
            <w:vAlign w:val="top"/>
          </w:tcPr>
          <w:p w14:paraId="2BA6A103">
            <w:pPr>
              <w:spacing w:before="171" w:line="183" w:lineRule="auto"/>
              <w:ind w:left="567"/>
              <w:rPr>
                <w:rFonts w:ascii="宋体" w:hAnsi="宋体" w:eastAsia="宋体" w:cs="宋体"/>
                <w:sz w:val="21"/>
                <w:szCs w:val="21"/>
              </w:rPr>
            </w:pPr>
            <w:r>
              <w:rPr>
                <w:rFonts w:ascii="宋体" w:hAnsi="宋体" w:eastAsia="宋体" w:cs="宋体"/>
                <w:sz w:val="21"/>
                <w:szCs w:val="21"/>
              </w:rPr>
              <w:t>S</w:t>
            </w:r>
          </w:p>
        </w:tc>
        <w:tc>
          <w:tcPr>
            <w:tcW w:w="629" w:type="dxa"/>
            <w:tcBorders>
              <w:top w:val="nil"/>
              <w:bottom w:val="nil"/>
            </w:tcBorders>
            <w:vAlign w:val="top"/>
          </w:tcPr>
          <w:p w14:paraId="101F2DC9">
            <w:pPr>
              <w:spacing w:before="171" w:line="183" w:lineRule="auto"/>
              <w:ind w:left="259"/>
              <w:rPr>
                <w:rFonts w:ascii="宋体" w:hAnsi="宋体" w:eastAsia="宋体" w:cs="宋体"/>
                <w:sz w:val="21"/>
                <w:szCs w:val="21"/>
              </w:rPr>
            </w:pPr>
            <w:r>
              <w:rPr>
                <w:rFonts w:ascii="宋体" w:hAnsi="宋体" w:eastAsia="宋体" w:cs="宋体"/>
                <w:sz w:val="21"/>
                <w:szCs w:val="21"/>
              </w:rPr>
              <w:t>S</w:t>
            </w:r>
          </w:p>
        </w:tc>
        <w:tc>
          <w:tcPr>
            <w:tcW w:w="584" w:type="dxa"/>
            <w:tcBorders>
              <w:top w:val="nil"/>
              <w:bottom w:val="nil"/>
            </w:tcBorders>
            <w:vAlign w:val="top"/>
          </w:tcPr>
          <w:p w14:paraId="786701BE">
            <w:pPr>
              <w:spacing w:before="161" w:line="183" w:lineRule="auto"/>
              <w:ind w:left="230"/>
              <w:rPr>
                <w:rFonts w:ascii="宋体" w:hAnsi="宋体" w:eastAsia="宋体" w:cs="宋体"/>
                <w:sz w:val="21"/>
                <w:szCs w:val="21"/>
              </w:rPr>
            </w:pPr>
            <w:r>
              <w:rPr>
                <w:rFonts w:ascii="宋体" w:hAnsi="宋体" w:eastAsia="宋体" w:cs="宋体"/>
                <w:sz w:val="21"/>
                <w:szCs w:val="21"/>
              </w:rPr>
              <w:t>S</w:t>
            </w:r>
          </w:p>
        </w:tc>
      </w:tr>
      <w:tr w14:paraId="7A8AA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44" w:type="dxa"/>
            <w:tcBorders>
              <w:top w:val="nil"/>
              <w:bottom w:val="nil"/>
            </w:tcBorders>
            <w:vAlign w:val="top"/>
          </w:tcPr>
          <w:p w14:paraId="6683FC45">
            <w:pPr>
              <w:spacing w:before="133" w:line="238" w:lineRule="auto"/>
              <w:ind w:left="244"/>
              <w:rPr>
                <w:rFonts w:ascii="宋体" w:hAnsi="宋体" w:eastAsia="宋体" w:cs="宋体"/>
                <w:sz w:val="21"/>
                <w:szCs w:val="21"/>
              </w:rPr>
            </w:pPr>
            <w:r>
              <w:rPr>
                <w:rFonts w:ascii="宋体" w:hAnsi="宋体" w:eastAsia="宋体" w:cs="宋体"/>
                <w:spacing w:val="-2"/>
                <w:sz w:val="21"/>
                <w:szCs w:val="21"/>
              </w:rPr>
              <w:t>5.5.1</w:t>
            </w:r>
          </w:p>
        </w:tc>
        <w:tc>
          <w:tcPr>
            <w:tcW w:w="3976" w:type="dxa"/>
            <w:tcBorders>
              <w:top w:val="nil"/>
              <w:bottom w:val="nil"/>
            </w:tcBorders>
            <w:vAlign w:val="top"/>
          </w:tcPr>
          <w:p w14:paraId="392D2F00">
            <w:pPr>
              <w:spacing w:before="102" w:line="219" w:lineRule="auto"/>
              <w:ind w:left="131"/>
              <w:rPr>
                <w:rFonts w:ascii="宋体" w:hAnsi="宋体" w:eastAsia="宋体" w:cs="宋体"/>
                <w:sz w:val="21"/>
                <w:szCs w:val="21"/>
              </w:rPr>
            </w:pPr>
            <w:r>
              <w:rPr>
                <w:rFonts w:ascii="宋体" w:hAnsi="宋体" w:eastAsia="宋体" w:cs="宋体"/>
                <w:spacing w:val="3"/>
                <w:sz w:val="21"/>
                <w:szCs w:val="21"/>
              </w:rPr>
              <w:t>软件需求危险分析(501)</w:t>
            </w:r>
          </w:p>
        </w:tc>
        <w:tc>
          <w:tcPr>
            <w:tcW w:w="629" w:type="dxa"/>
            <w:tcBorders>
              <w:top w:val="nil"/>
              <w:bottom w:val="nil"/>
            </w:tcBorders>
            <w:vAlign w:val="top"/>
          </w:tcPr>
          <w:p w14:paraId="4BF8DA04">
            <w:pPr>
              <w:spacing w:before="103"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280B7C05">
            <w:pPr>
              <w:spacing w:before="156"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67168EA6">
            <w:pPr>
              <w:spacing w:before="166"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6CDB08C8">
            <w:pPr>
              <w:spacing w:before="166"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3B989375">
            <w:pPr>
              <w:spacing w:before="176"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5383E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044" w:type="dxa"/>
            <w:tcBorders>
              <w:top w:val="nil"/>
              <w:bottom w:val="nil"/>
            </w:tcBorders>
            <w:vAlign w:val="top"/>
          </w:tcPr>
          <w:p w14:paraId="525F52F4">
            <w:pPr>
              <w:spacing w:before="149" w:line="226" w:lineRule="auto"/>
              <w:ind w:left="244"/>
              <w:rPr>
                <w:rFonts w:ascii="宋体" w:hAnsi="宋体" w:eastAsia="宋体" w:cs="宋体"/>
                <w:sz w:val="21"/>
                <w:szCs w:val="21"/>
              </w:rPr>
            </w:pPr>
            <w:r>
              <w:rPr>
                <w:rFonts w:ascii="宋体" w:hAnsi="宋体" w:eastAsia="宋体" w:cs="宋体"/>
                <w:spacing w:val="-2"/>
                <w:sz w:val="21"/>
                <w:szCs w:val="21"/>
              </w:rPr>
              <w:t>5.5.2</w:t>
            </w:r>
          </w:p>
        </w:tc>
        <w:tc>
          <w:tcPr>
            <w:tcW w:w="3976" w:type="dxa"/>
            <w:tcBorders>
              <w:top w:val="nil"/>
              <w:bottom w:val="nil"/>
            </w:tcBorders>
            <w:vAlign w:val="top"/>
          </w:tcPr>
          <w:p w14:paraId="432EEF85">
            <w:pPr>
              <w:spacing w:before="98" w:line="219" w:lineRule="auto"/>
              <w:ind w:left="131"/>
              <w:rPr>
                <w:rFonts w:ascii="宋体" w:hAnsi="宋体" w:eastAsia="宋体" w:cs="宋体"/>
                <w:sz w:val="21"/>
                <w:szCs w:val="21"/>
              </w:rPr>
            </w:pPr>
            <w:r>
              <w:rPr>
                <w:rFonts w:ascii="宋体" w:hAnsi="宋体" w:eastAsia="宋体" w:cs="宋体"/>
                <w:spacing w:val="3"/>
                <w:sz w:val="21"/>
                <w:szCs w:val="21"/>
              </w:rPr>
              <w:t>概要设计危险分析(502)</w:t>
            </w:r>
          </w:p>
        </w:tc>
        <w:tc>
          <w:tcPr>
            <w:tcW w:w="629" w:type="dxa"/>
            <w:tcBorders>
              <w:top w:val="nil"/>
              <w:bottom w:val="nil"/>
            </w:tcBorders>
            <w:vAlign w:val="top"/>
          </w:tcPr>
          <w:p w14:paraId="67602D97">
            <w:pPr>
              <w:spacing w:before="109"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60966CD1">
            <w:pPr>
              <w:spacing w:before="152"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68BFEA97">
            <w:pPr>
              <w:spacing w:before="162"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5D0EBA03">
            <w:pPr>
              <w:spacing w:before="162"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5543E42C">
            <w:pPr>
              <w:spacing w:before="172"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21A12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044" w:type="dxa"/>
            <w:tcBorders>
              <w:top w:val="nil"/>
              <w:bottom w:val="nil"/>
            </w:tcBorders>
            <w:vAlign w:val="top"/>
          </w:tcPr>
          <w:p w14:paraId="0F528115">
            <w:pPr>
              <w:spacing w:before="153" w:line="225" w:lineRule="auto"/>
              <w:ind w:left="244"/>
              <w:rPr>
                <w:rFonts w:ascii="宋体" w:hAnsi="宋体" w:eastAsia="宋体" w:cs="宋体"/>
                <w:sz w:val="21"/>
                <w:szCs w:val="21"/>
              </w:rPr>
            </w:pPr>
            <w:r>
              <w:rPr>
                <w:rFonts w:ascii="宋体" w:hAnsi="宋体" w:eastAsia="宋体" w:cs="宋体"/>
                <w:spacing w:val="-2"/>
                <w:sz w:val="21"/>
                <w:szCs w:val="21"/>
              </w:rPr>
              <w:t>5.5.3</w:t>
            </w:r>
          </w:p>
        </w:tc>
        <w:tc>
          <w:tcPr>
            <w:tcW w:w="3976" w:type="dxa"/>
            <w:tcBorders>
              <w:top w:val="nil"/>
              <w:bottom w:val="nil"/>
            </w:tcBorders>
            <w:vAlign w:val="top"/>
          </w:tcPr>
          <w:p w14:paraId="135389F5">
            <w:pPr>
              <w:spacing w:before="102" w:line="220" w:lineRule="auto"/>
              <w:ind w:left="131"/>
              <w:rPr>
                <w:rFonts w:ascii="宋体" w:hAnsi="宋体" w:eastAsia="宋体" w:cs="宋体"/>
                <w:sz w:val="21"/>
                <w:szCs w:val="21"/>
              </w:rPr>
            </w:pPr>
            <w:r>
              <w:rPr>
                <w:rFonts w:ascii="宋体" w:hAnsi="宋体" w:eastAsia="宋体" w:cs="宋体"/>
                <w:spacing w:val="3"/>
                <w:sz w:val="21"/>
                <w:szCs w:val="21"/>
              </w:rPr>
              <w:t>详细设计危险分析(503)</w:t>
            </w:r>
          </w:p>
        </w:tc>
        <w:tc>
          <w:tcPr>
            <w:tcW w:w="629" w:type="dxa"/>
            <w:tcBorders>
              <w:top w:val="nil"/>
              <w:bottom w:val="nil"/>
            </w:tcBorders>
            <w:vAlign w:val="top"/>
          </w:tcPr>
          <w:p w14:paraId="0E31307F">
            <w:pPr>
              <w:spacing w:before="92"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16D95015">
            <w:pPr>
              <w:spacing w:before="155"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5710BA0C">
            <w:pPr>
              <w:spacing w:before="165"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36244FEA">
            <w:pPr>
              <w:spacing w:before="165"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7BB577F7">
            <w:pPr>
              <w:spacing w:before="175"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59FBA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044" w:type="dxa"/>
            <w:tcBorders>
              <w:top w:val="nil"/>
              <w:bottom w:val="nil"/>
            </w:tcBorders>
            <w:vAlign w:val="top"/>
          </w:tcPr>
          <w:p w14:paraId="4D8C06F0">
            <w:pPr>
              <w:spacing w:before="123" w:line="239" w:lineRule="auto"/>
              <w:ind w:left="244"/>
              <w:rPr>
                <w:rFonts w:ascii="宋体" w:hAnsi="宋体" w:eastAsia="宋体" w:cs="宋体"/>
                <w:sz w:val="21"/>
                <w:szCs w:val="21"/>
              </w:rPr>
            </w:pPr>
            <w:r>
              <w:rPr>
                <w:rFonts w:ascii="宋体" w:hAnsi="宋体" w:eastAsia="宋体" w:cs="宋体"/>
                <w:spacing w:val="-2"/>
                <w:sz w:val="21"/>
                <w:szCs w:val="21"/>
              </w:rPr>
              <w:t>5.5.4</w:t>
            </w:r>
          </w:p>
        </w:tc>
        <w:tc>
          <w:tcPr>
            <w:tcW w:w="3976" w:type="dxa"/>
            <w:tcBorders>
              <w:top w:val="nil"/>
              <w:bottom w:val="nil"/>
            </w:tcBorders>
            <w:vAlign w:val="top"/>
          </w:tcPr>
          <w:p w14:paraId="2B228CD6">
            <w:pPr>
              <w:spacing w:before="102" w:line="219" w:lineRule="auto"/>
              <w:ind w:left="131"/>
              <w:rPr>
                <w:rFonts w:ascii="宋体" w:hAnsi="宋体" w:eastAsia="宋体" w:cs="宋体"/>
                <w:sz w:val="21"/>
                <w:szCs w:val="21"/>
              </w:rPr>
            </w:pPr>
            <w:r>
              <w:rPr>
                <w:rFonts w:ascii="宋体" w:hAnsi="宋体" w:eastAsia="宋体" w:cs="宋体"/>
                <w:spacing w:val="3"/>
                <w:sz w:val="21"/>
                <w:szCs w:val="21"/>
              </w:rPr>
              <w:t>软件编程危险设计(504)</w:t>
            </w:r>
          </w:p>
        </w:tc>
        <w:tc>
          <w:tcPr>
            <w:tcW w:w="629" w:type="dxa"/>
            <w:tcBorders>
              <w:top w:val="nil"/>
              <w:bottom w:val="nil"/>
            </w:tcBorders>
            <w:vAlign w:val="top"/>
          </w:tcPr>
          <w:p w14:paraId="2629F6DD">
            <w:pPr>
              <w:spacing w:before="93"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48519997">
            <w:pPr>
              <w:spacing w:before="156"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78CBCFCE">
            <w:pPr>
              <w:spacing w:before="156"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79686123">
            <w:pPr>
              <w:spacing w:before="166"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2B909F4A">
            <w:pPr>
              <w:spacing w:before="176"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55DA4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44" w:type="dxa"/>
            <w:tcBorders>
              <w:top w:val="nil"/>
              <w:bottom w:val="nil"/>
            </w:tcBorders>
            <w:vAlign w:val="top"/>
          </w:tcPr>
          <w:p w14:paraId="073B6D40">
            <w:pPr>
              <w:spacing w:before="126" w:line="239" w:lineRule="auto"/>
              <w:ind w:left="244"/>
              <w:rPr>
                <w:rFonts w:ascii="宋体" w:hAnsi="宋体" w:eastAsia="宋体" w:cs="宋体"/>
                <w:sz w:val="21"/>
                <w:szCs w:val="21"/>
              </w:rPr>
            </w:pPr>
            <w:r>
              <w:rPr>
                <w:rFonts w:ascii="宋体" w:hAnsi="宋体" w:eastAsia="宋体" w:cs="宋体"/>
                <w:spacing w:val="-2"/>
                <w:sz w:val="21"/>
                <w:szCs w:val="21"/>
              </w:rPr>
              <w:t>5.5.5</w:t>
            </w:r>
          </w:p>
        </w:tc>
        <w:tc>
          <w:tcPr>
            <w:tcW w:w="3976" w:type="dxa"/>
            <w:tcBorders>
              <w:top w:val="nil"/>
              <w:bottom w:val="nil"/>
            </w:tcBorders>
            <w:vAlign w:val="top"/>
          </w:tcPr>
          <w:p w14:paraId="0054A0F9">
            <w:pPr>
              <w:spacing w:before="105" w:line="219" w:lineRule="auto"/>
              <w:ind w:left="131"/>
              <w:rPr>
                <w:rFonts w:ascii="宋体" w:hAnsi="宋体" w:eastAsia="宋体" w:cs="宋体"/>
                <w:sz w:val="21"/>
                <w:szCs w:val="21"/>
              </w:rPr>
            </w:pPr>
            <w:r>
              <w:rPr>
                <w:rFonts w:ascii="宋体" w:hAnsi="宋体" w:eastAsia="宋体" w:cs="宋体"/>
                <w:spacing w:val="4"/>
                <w:sz w:val="21"/>
                <w:szCs w:val="21"/>
              </w:rPr>
              <w:t>软件安全性测试(505)</w:t>
            </w:r>
          </w:p>
        </w:tc>
        <w:tc>
          <w:tcPr>
            <w:tcW w:w="629" w:type="dxa"/>
            <w:tcBorders>
              <w:top w:val="nil"/>
              <w:bottom w:val="nil"/>
            </w:tcBorders>
            <w:vAlign w:val="top"/>
          </w:tcPr>
          <w:p w14:paraId="64DAC723">
            <w:pPr>
              <w:spacing w:before="106"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4B19BDD2">
            <w:pPr>
              <w:spacing w:before="159"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50BB110E">
            <w:pPr>
              <w:spacing w:before="159"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41DCC029">
            <w:pPr>
              <w:spacing w:before="169"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388D1EDE">
            <w:pPr>
              <w:spacing w:before="179"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52AA3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044" w:type="dxa"/>
            <w:tcBorders>
              <w:top w:val="nil"/>
              <w:bottom w:val="nil"/>
            </w:tcBorders>
            <w:vAlign w:val="top"/>
          </w:tcPr>
          <w:p w14:paraId="73170EE2">
            <w:pPr>
              <w:spacing w:before="132" w:line="239" w:lineRule="auto"/>
              <w:ind w:left="244"/>
              <w:rPr>
                <w:rFonts w:ascii="宋体" w:hAnsi="宋体" w:eastAsia="宋体" w:cs="宋体"/>
                <w:sz w:val="21"/>
                <w:szCs w:val="21"/>
              </w:rPr>
            </w:pPr>
            <w:r>
              <w:rPr>
                <w:rFonts w:ascii="宋体" w:hAnsi="宋体" w:eastAsia="宋体" w:cs="宋体"/>
                <w:spacing w:val="-2"/>
                <w:sz w:val="21"/>
                <w:szCs w:val="21"/>
              </w:rPr>
              <w:t>5.5.6</w:t>
            </w:r>
          </w:p>
        </w:tc>
        <w:tc>
          <w:tcPr>
            <w:tcW w:w="3976" w:type="dxa"/>
            <w:tcBorders>
              <w:top w:val="nil"/>
              <w:bottom w:val="nil"/>
            </w:tcBorders>
            <w:vAlign w:val="top"/>
          </w:tcPr>
          <w:p w14:paraId="5C0F9FBB">
            <w:pPr>
              <w:spacing w:before="101" w:line="219" w:lineRule="auto"/>
              <w:ind w:left="131"/>
              <w:rPr>
                <w:rFonts w:ascii="宋体" w:hAnsi="宋体" w:eastAsia="宋体" w:cs="宋体"/>
                <w:sz w:val="21"/>
                <w:szCs w:val="21"/>
              </w:rPr>
            </w:pPr>
            <w:r>
              <w:rPr>
                <w:rFonts w:ascii="宋体" w:hAnsi="宋体" w:eastAsia="宋体" w:cs="宋体"/>
                <w:spacing w:val="3"/>
                <w:sz w:val="21"/>
                <w:szCs w:val="21"/>
              </w:rPr>
              <w:t>软件与用户接口分析(506)</w:t>
            </w:r>
          </w:p>
        </w:tc>
        <w:tc>
          <w:tcPr>
            <w:tcW w:w="629" w:type="dxa"/>
            <w:tcBorders>
              <w:top w:val="nil"/>
              <w:bottom w:val="nil"/>
            </w:tcBorders>
            <w:vAlign w:val="top"/>
          </w:tcPr>
          <w:p w14:paraId="3229C8EA">
            <w:pPr>
              <w:spacing w:before="112"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bottom w:val="nil"/>
            </w:tcBorders>
            <w:vAlign w:val="top"/>
          </w:tcPr>
          <w:p w14:paraId="4BD91BAD">
            <w:pPr>
              <w:spacing w:before="185" w:line="18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bottom w:val="nil"/>
            </w:tcBorders>
            <w:vAlign w:val="top"/>
          </w:tcPr>
          <w:p w14:paraId="1B7ECE03">
            <w:pPr>
              <w:spacing w:before="155"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bottom w:val="nil"/>
            </w:tcBorders>
            <w:vAlign w:val="top"/>
          </w:tcPr>
          <w:p w14:paraId="3ACF4715">
            <w:pPr>
              <w:spacing w:before="165"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bottom w:val="nil"/>
            </w:tcBorders>
            <w:vAlign w:val="top"/>
          </w:tcPr>
          <w:p w14:paraId="4FB41A49">
            <w:pPr>
              <w:spacing w:before="165" w:line="183" w:lineRule="auto"/>
              <w:ind w:left="180"/>
              <w:rPr>
                <w:rFonts w:ascii="宋体" w:hAnsi="宋体" w:eastAsia="宋体" w:cs="宋体"/>
                <w:sz w:val="21"/>
                <w:szCs w:val="21"/>
              </w:rPr>
            </w:pPr>
            <w:r>
              <w:rPr>
                <w:rFonts w:ascii="宋体" w:hAnsi="宋体" w:eastAsia="宋体" w:cs="宋体"/>
                <w:spacing w:val="-2"/>
                <w:sz w:val="21"/>
                <w:szCs w:val="21"/>
              </w:rPr>
              <w:t>GC</w:t>
            </w:r>
          </w:p>
        </w:tc>
      </w:tr>
      <w:tr w14:paraId="17B64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044" w:type="dxa"/>
            <w:tcBorders>
              <w:top w:val="nil"/>
            </w:tcBorders>
            <w:vAlign w:val="top"/>
          </w:tcPr>
          <w:p w14:paraId="48E4B837">
            <w:pPr>
              <w:spacing w:before="122" w:line="211" w:lineRule="auto"/>
              <w:ind w:left="244"/>
              <w:rPr>
                <w:rFonts w:ascii="宋体" w:hAnsi="宋体" w:eastAsia="宋体" w:cs="宋体"/>
                <w:sz w:val="21"/>
                <w:szCs w:val="21"/>
              </w:rPr>
            </w:pPr>
            <w:r>
              <w:rPr>
                <w:rFonts w:ascii="宋体" w:hAnsi="宋体" w:eastAsia="宋体" w:cs="宋体"/>
                <w:spacing w:val="-2"/>
                <w:sz w:val="21"/>
                <w:szCs w:val="21"/>
              </w:rPr>
              <w:t>5.5.7</w:t>
            </w:r>
          </w:p>
        </w:tc>
        <w:tc>
          <w:tcPr>
            <w:tcW w:w="3976" w:type="dxa"/>
            <w:tcBorders>
              <w:top w:val="nil"/>
            </w:tcBorders>
            <w:vAlign w:val="top"/>
          </w:tcPr>
          <w:p w14:paraId="5A2ABA2E">
            <w:pPr>
              <w:spacing w:before="101" w:line="219" w:lineRule="auto"/>
              <w:ind w:left="131"/>
              <w:rPr>
                <w:rFonts w:ascii="宋体" w:hAnsi="宋体" w:eastAsia="宋体" w:cs="宋体"/>
                <w:sz w:val="21"/>
                <w:szCs w:val="21"/>
              </w:rPr>
            </w:pPr>
            <w:r>
              <w:rPr>
                <w:rFonts w:ascii="宋体" w:hAnsi="宋体" w:eastAsia="宋体" w:cs="宋体"/>
                <w:spacing w:val="3"/>
                <w:sz w:val="21"/>
                <w:szCs w:val="21"/>
              </w:rPr>
              <w:t>软件更改危险分析(507)</w:t>
            </w:r>
          </w:p>
        </w:tc>
        <w:tc>
          <w:tcPr>
            <w:tcW w:w="629" w:type="dxa"/>
            <w:tcBorders>
              <w:top w:val="nil"/>
            </w:tcBorders>
            <w:vAlign w:val="top"/>
          </w:tcPr>
          <w:p w14:paraId="5777FF21">
            <w:pPr>
              <w:spacing w:before="102" w:line="220" w:lineRule="auto"/>
              <w:ind w:left="94"/>
              <w:rPr>
                <w:rFonts w:ascii="宋体" w:hAnsi="宋体" w:eastAsia="宋体" w:cs="宋体"/>
                <w:sz w:val="21"/>
                <w:szCs w:val="21"/>
              </w:rPr>
            </w:pPr>
            <w:r>
              <w:rPr>
                <w:rFonts w:ascii="宋体" w:hAnsi="宋体" w:eastAsia="宋体" w:cs="宋体"/>
                <w:spacing w:val="-3"/>
                <w:sz w:val="21"/>
                <w:szCs w:val="21"/>
              </w:rPr>
              <w:t>工程</w:t>
            </w:r>
          </w:p>
        </w:tc>
        <w:tc>
          <w:tcPr>
            <w:tcW w:w="1248" w:type="dxa"/>
            <w:tcBorders>
              <w:top w:val="nil"/>
            </w:tcBorders>
            <w:vAlign w:val="top"/>
          </w:tcPr>
          <w:p w14:paraId="0575A69C">
            <w:pPr>
              <w:spacing w:before="166" w:line="173" w:lineRule="auto"/>
              <w:ind w:left="565"/>
              <w:rPr>
                <w:rFonts w:ascii="宋体" w:hAnsi="宋体" w:eastAsia="宋体" w:cs="宋体"/>
                <w:sz w:val="21"/>
                <w:szCs w:val="21"/>
              </w:rPr>
            </w:pPr>
            <w:r>
              <w:rPr>
                <w:rFonts w:ascii="宋体" w:hAnsi="宋体" w:eastAsia="宋体" w:cs="宋体"/>
                <w:sz w:val="21"/>
                <w:szCs w:val="21"/>
              </w:rPr>
              <w:t>S</w:t>
            </w:r>
          </w:p>
        </w:tc>
        <w:tc>
          <w:tcPr>
            <w:tcW w:w="1259" w:type="dxa"/>
            <w:tcBorders>
              <w:top w:val="nil"/>
            </w:tcBorders>
            <w:vAlign w:val="top"/>
          </w:tcPr>
          <w:p w14:paraId="5EAED0FF">
            <w:pPr>
              <w:spacing w:before="145" w:line="183" w:lineRule="auto"/>
              <w:ind w:left="567"/>
              <w:rPr>
                <w:rFonts w:ascii="宋体" w:hAnsi="宋体" w:eastAsia="宋体" w:cs="宋体"/>
                <w:sz w:val="21"/>
                <w:szCs w:val="21"/>
              </w:rPr>
            </w:pPr>
            <w:r>
              <w:rPr>
                <w:rFonts w:ascii="宋体" w:hAnsi="宋体" w:eastAsia="宋体" w:cs="宋体"/>
                <w:sz w:val="21"/>
                <w:szCs w:val="21"/>
              </w:rPr>
              <w:t>G</w:t>
            </w:r>
          </w:p>
        </w:tc>
        <w:tc>
          <w:tcPr>
            <w:tcW w:w="629" w:type="dxa"/>
            <w:tcBorders>
              <w:top w:val="nil"/>
            </w:tcBorders>
            <w:vAlign w:val="top"/>
          </w:tcPr>
          <w:p w14:paraId="4EBD0160">
            <w:pPr>
              <w:spacing w:before="145" w:line="183" w:lineRule="auto"/>
              <w:ind w:left="259"/>
              <w:rPr>
                <w:rFonts w:ascii="宋体" w:hAnsi="宋体" w:eastAsia="宋体" w:cs="宋体"/>
                <w:sz w:val="21"/>
                <w:szCs w:val="21"/>
              </w:rPr>
            </w:pPr>
            <w:r>
              <w:rPr>
                <w:rFonts w:ascii="宋体" w:hAnsi="宋体" w:eastAsia="宋体" w:cs="宋体"/>
                <w:sz w:val="21"/>
                <w:szCs w:val="21"/>
              </w:rPr>
              <w:t>G</w:t>
            </w:r>
          </w:p>
        </w:tc>
        <w:tc>
          <w:tcPr>
            <w:tcW w:w="584" w:type="dxa"/>
            <w:tcBorders>
              <w:top w:val="nil"/>
            </w:tcBorders>
            <w:vAlign w:val="top"/>
          </w:tcPr>
          <w:p w14:paraId="20D2ED5D">
            <w:pPr>
              <w:spacing w:before="155" w:line="182" w:lineRule="auto"/>
              <w:ind w:left="180"/>
              <w:rPr>
                <w:rFonts w:ascii="宋体" w:hAnsi="宋体" w:eastAsia="宋体" w:cs="宋体"/>
                <w:sz w:val="21"/>
                <w:szCs w:val="21"/>
              </w:rPr>
            </w:pPr>
            <w:r>
              <w:rPr>
                <w:rFonts w:ascii="宋体" w:hAnsi="宋体" w:eastAsia="宋体" w:cs="宋体"/>
                <w:spacing w:val="-2"/>
                <w:sz w:val="21"/>
                <w:szCs w:val="21"/>
              </w:rPr>
              <w:t>GC</w:t>
            </w:r>
          </w:p>
        </w:tc>
      </w:tr>
      <w:tr w14:paraId="46333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9369" w:type="dxa"/>
            <w:gridSpan w:val="7"/>
            <w:vAlign w:val="top"/>
          </w:tcPr>
          <w:p w14:paraId="1305D21E">
            <w:pPr>
              <w:spacing w:before="138" w:line="297" w:lineRule="auto"/>
              <w:ind w:left="454" w:right="192" w:hanging="310"/>
              <w:rPr>
                <w:rFonts w:ascii="宋体" w:hAnsi="宋体" w:eastAsia="宋体" w:cs="宋体"/>
                <w:sz w:val="21"/>
                <w:szCs w:val="21"/>
              </w:rPr>
            </w:pPr>
            <w:r>
              <w:rPr>
                <w:rFonts w:ascii="宋体" w:hAnsi="宋体" w:eastAsia="宋体" w:cs="宋体"/>
                <w:sz w:val="21"/>
                <w:szCs w:val="21"/>
              </w:rPr>
              <w:t>注：G表示适用；S表示根据需要选用；GC表示仅设计更改时适用；NA表示不</w:t>
            </w:r>
            <w:r>
              <w:rPr>
                <w:rFonts w:ascii="宋体" w:hAnsi="宋体" w:eastAsia="宋体" w:cs="宋体"/>
                <w:spacing w:val="-1"/>
                <w:sz w:val="21"/>
                <w:szCs w:val="21"/>
              </w:rPr>
              <w:t>适用；管理表示安全性</w:t>
            </w:r>
            <w:r>
              <w:rPr>
                <w:rFonts w:ascii="宋体" w:hAnsi="宋体" w:eastAsia="宋体" w:cs="宋体"/>
                <w:sz w:val="21"/>
                <w:szCs w:val="21"/>
              </w:rPr>
              <w:t xml:space="preserve"> 管理；工程表示安全性工程</w:t>
            </w:r>
          </w:p>
        </w:tc>
      </w:tr>
    </w:tbl>
    <w:p w14:paraId="5B31E19A">
      <w:pPr>
        <w:spacing w:before="193" w:line="222" w:lineRule="auto"/>
        <w:rPr>
          <w:rFonts w:ascii="黑体" w:hAnsi="黑体" w:eastAsia="黑体" w:cs="黑体"/>
          <w:sz w:val="25"/>
          <w:szCs w:val="25"/>
        </w:rPr>
      </w:pPr>
      <w:r>
        <w:rPr>
          <w:rFonts w:ascii="黑体" w:hAnsi="黑体" w:eastAsia="黑体" w:cs="黑体"/>
          <w:spacing w:val="15"/>
          <w:sz w:val="25"/>
          <w:szCs w:val="25"/>
        </w:rPr>
        <w:t>4.2</w:t>
      </w:r>
      <w:r>
        <w:rPr>
          <w:rFonts w:ascii="黑体" w:hAnsi="黑体" w:eastAsia="黑体" w:cs="黑体"/>
          <w:spacing w:val="40"/>
          <w:sz w:val="25"/>
          <w:szCs w:val="25"/>
        </w:rPr>
        <w:t xml:space="preserve">  </w:t>
      </w:r>
      <w:r>
        <w:rPr>
          <w:rFonts w:ascii="黑体" w:hAnsi="黑体" w:eastAsia="黑体" w:cs="黑体"/>
          <w:spacing w:val="15"/>
          <w:sz w:val="25"/>
          <w:szCs w:val="25"/>
        </w:rPr>
        <w:t>工作内容</w:t>
      </w:r>
    </w:p>
    <w:p w14:paraId="07B7F6F5">
      <w:pPr>
        <w:pStyle w:val="2"/>
        <w:spacing w:before="91" w:line="219" w:lineRule="auto"/>
        <w:ind w:left="570"/>
      </w:pPr>
      <w:r>
        <w:rPr>
          <w:spacing w:val="2"/>
        </w:rPr>
        <w:t>明确各安全性工作项目的工作内容要求。</w:t>
      </w:r>
    </w:p>
    <w:p w14:paraId="0031FE82">
      <w:pPr>
        <w:spacing w:before="106" w:line="221" w:lineRule="auto"/>
        <w:rPr>
          <w:rFonts w:ascii="黑体" w:hAnsi="黑体" w:eastAsia="黑体" w:cs="黑体"/>
          <w:sz w:val="24"/>
          <w:szCs w:val="24"/>
        </w:rPr>
      </w:pPr>
      <w:r>
        <w:rPr>
          <w:rFonts w:ascii="黑体" w:hAnsi="黑体" w:eastAsia="黑体" w:cs="黑体"/>
          <w:spacing w:val="18"/>
          <w:sz w:val="24"/>
          <w:szCs w:val="24"/>
        </w:rPr>
        <w:t>4.3</w:t>
      </w:r>
      <w:r>
        <w:rPr>
          <w:rFonts w:ascii="黑体" w:hAnsi="黑体" w:eastAsia="黑体" w:cs="黑体"/>
          <w:spacing w:val="51"/>
          <w:sz w:val="24"/>
          <w:szCs w:val="24"/>
        </w:rPr>
        <w:t xml:space="preserve">  </w:t>
      </w:r>
      <w:r>
        <w:rPr>
          <w:rFonts w:ascii="黑体" w:hAnsi="黑体" w:eastAsia="黑体" w:cs="黑体"/>
          <w:spacing w:val="18"/>
          <w:sz w:val="24"/>
          <w:szCs w:val="24"/>
        </w:rPr>
        <w:t>完成状况</w:t>
      </w:r>
    </w:p>
    <w:p w14:paraId="7F13D1D4">
      <w:pPr>
        <w:pStyle w:val="2"/>
        <w:spacing w:before="116" w:line="219" w:lineRule="auto"/>
        <w:ind w:left="570"/>
      </w:pPr>
      <w:r>
        <w:rPr>
          <w:spacing w:val="-3"/>
        </w:rPr>
        <w:t>说明各安全性工作项目的完成状况，明确成果形式。</w:t>
      </w:r>
    </w:p>
    <w:p w14:paraId="1938FB0B">
      <w:pPr>
        <w:spacing w:before="77" w:line="221" w:lineRule="auto"/>
        <w:rPr>
          <w:rFonts w:ascii="黑体" w:hAnsi="黑体" w:eastAsia="黑体" w:cs="黑体"/>
          <w:sz w:val="27"/>
          <w:szCs w:val="27"/>
        </w:rPr>
      </w:pPr>
      <w:r>
        <w:rPr>
          <w:rFonts w:ascii="黑体" w:hAnsi="黑体" w:eastAsia="黑体" w:cs="黑体"/>
          <w:spacing w:val="1"/>
          <w:sz w:val="27"/>
          <w:szCs w:val="27"/>
        </w:rPr>
        <w:t>4.4</w:t>
      </w:r>
      <w:r>
        <w:rPr>
          <w:rFonts w:ascii="黑体" w:hAnsi="黑体" w:eastAsia="黑体" w:cs="黑体"/>
          <w:spacing w:val="15"/>
          <w:sz w:val="27"/>
          <w:szCs w:val="27"/>
        </w:rPr>
        <w:t xml:space="preserve">  </w:t>
      </w:r>
      <w:r>
        <w:rPr>
          <w:rFonts w:ascii="黑体" w:hAnsi="黑体" w:eastAsia="黑体" w:cs="黑体"/>
          <w:spacing w:val="1"/>
          <w:sz w:val="27"/>
          <w:szCs w:val="27"/>
        </w:rPr>
        <w:t>检查方法</w:t>
      </w:r>
    </w:p>
    <w:p w14:paraId="31789CD8">
      <w:pPr>
        <w:pStyle w:val="2"/>
        <w:spacing w:before="90" w:line="219" w:lineRule="auto"/>
        <w:ind w:left="570"/>
      </w:pPr>
      <w:r>
        <w:rPr>
          <w:spacing w:val="3"/>
        </w:rPr>
        <w:t>明确对各安全性工作项目完成情况的检查方法。</w:t>
      </w:r>
    </w:p>
    <w:p w14:paraId="18088880">
      <w:pPr>
        <w:spacing w:before="29" w:line="368" w:lineRule="exact"/>
        <w:rPr>
          <w:rFonts w:ascii="黑体" w:hAnsi="黑体" w:eastAsia="黑体" w:cs="黑体"/>
          <w:sz w:val="27"/>
          <w:szCs w:val="27"/>
        </w:rPr>
      </w:pPr>
      <w:r>
        <w:rPr>
          <w:rFonts w:ascii="Arial" w:hAnsi="Arial" w:eastAsia="Arial" w:cs="Arial"/>
          <w:spacing w:val="2"/>
          <w:position w:val="1"/>
          <w:sz w:val="27"/>
          <w:szCs w:val="27"/>
        </w:rPr>
        <w:t>5</w:t>
      </w:r>
      <w:r>
        <w:rPr>
          <w:rFonts w:ascii="Arial" w:hAnsi="Arial" w:eastAsia="Arial" w:cs="Arial"/>
          <w:spacing w:val="20"/>
          <w:position w:val="1"/>
          <w:sz w:val="27"/>
          <w:szCs w:val="27"/>
        </w:rPr>
        <w:t xml:space="preserve">   </w:t>
      </w:r>
      <w:r>
        <w:rPr>
          <w:rFonts w:ascii="黑体" w:hAnsi="黑体" w:eastAsia="黑体" w:cs="黑体"/>
          <w:spacing w:val="2"/>
          <w:position w:val="1"/>
          <w:sz w:val="27"/>
          <w:szCs w:val="27"/>
        </w:rPr>
        <w:t>安全性工作进度</w:t>
      </w:r>
    </w:p>
    <w:p w14:paraId="62A88003">
      <w:pPr>
        <w:pStyle w:val="2"/>
        <w:spacing w:before="102" w:line="219" w:lineRule="auto"/>
        <w:ind w:left="570"/>
      </w:pPr>
      <w:r>
        <w:rPr>
          <w:spacing w:val="-3"/>
        </w:rPr>
        <w:t>明确安全性工作项目和工作内容的进度安排，宜列表。</w:t>
      </w:r>
    </w:p>
    <w:p w14:paraId="5106EAA3">
      <w:pPr>
        <w:spacing w:line="219" w:lineRule="auto"/>
        <w:sectPr>
          <w:footerReference r:id="rId554" w:type="default"/>
          <w:pgSz w:w="11910" w:h="17130"/>
          <w:pgMar w:top="400" w:right="905" w:bottom="1456" w:left="1589" w:header="0" w:footer="1266" w:gutter="0"/>
          <w:cols w:space="720" w:num="1"/>
        </w:sectPr>
      </w:pPr>
    </w:p>
    <w:p w14:paraId="0C82ADD7">
      <w:pPr>
        <w:spacing w:line="257" w:lineRule="auto"/>
        <w:rPr>
          <w:rFonts w:ascii="Arial"/>
          <w:sz w:val="21"/>
        </w:rPr>
      </w:pPr>
    </w:p>
    <w:p w14:paraId="29B3CA19">
      <w:pPr>
        <w:spacing w:line="258" w:lineRule="auto"/>
        <w:rPr>
          <w:rFonts w:ascii="Arial"/>
          <w:sz w:val="21"/>
        </w:rPr>
      </w:pPr>
    </w:p>
    <w:p w14:paraId="5AE8C6FE">
      <w:pPr>
        <w:spacing w:line="258" w:lineRule="auto"/>
        <w:rPr>
          <w:rFonts w:ascii="Arial"/>
          <w:sz w:val="21"/>
        </w:rPr>
      </w:pPr>
    </w:p>
    <w:p w14:paraId="514F18D7">
      <w:pPr>
        <w:spacing w:line="258" w:lineRule="auto"/>
        <w:rPr>
          <w:rFonts w:ascii="Arial"/>
          <w:sz w:val="21"/>
        </w:rPr>
      </w:pPr>
    </w:p>
    <w:p w14:paraId="74B9BA3B">
      <w:pPr>
        <w:spacing w:before="88" w:line="222"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9"/>
          <w:sz w:val="27"/>
          <w:szCs w:val="27"/>
        </w:rPr>
        <w:t xml:space="preserve">  </w:t>
      </w:r>
      <w:r>
        <w:rPr>
          <w:rFonts w:ascii="黑体" w:hAnsi="黑体" w:eastAsia="黑体" w:cs="黑体"/>
          <w:b/>
          <w:bCs/>
          <w:spacing w:val="-2"/>
          <w:sz w:val="27"/>
          <w:szCs w:val="27"/>
        </w:rPr>
        <w:t>安全性大纲评审点</w:t>
      </w:r>
    </w:p>
    <w:p w14:paraId="44312140">
      <w:pPr>
        <w:pStyle w:val="2"/>
        <w:spacing w:before="81" w:line="285" w:lineRule="auto"/>
        <w:ind w:right="120" w:firstLine="560"/>
        <w:jc w:val="both"/>
      </w:pPr>
      <w:r>
        <w:rPr>
          <w:spacing w:val="1"/>
        </w:rPr>
        <w:t>制定安全性大纲评审计划，内容包括评审类型(安全性设计评审、安全性工</w:t>
      </w:r>
      <w:r>
        <w:rPr>
          <w:spacing w:val="15"/>
        </w:rPr>
        <w:t xml:space="preserve"> </w:t>
      </w:r>
      <w:r>
        <w:rPr>
          <w:spacing w:val="-6"/>
        </w:rPr>
        <w:t>作评审),评审点、评审要求(评审时间、评审内容、人员设置及其职责、评审结论</w:t>
      </w:r>
      <w:r>
        <w:rPr>
          <w:spacing w:val="18"/>
        </w:rPr>
        <w:t xml:space="preserve"> </w:t>
      </w:r>
      <w:r>
        <w:rPr>
          <w:spacing w:val="-6"/>
        </w:rPr>
        <w:t>等)。</w:t>
      </w:r>
    </w:p>
    <w:p w14:paraId="19A7A7EB">
      <w:pPr>
        <w:spacing w:before="12" w:line="221"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27"/>
          <w:sz w:val="27"/>
          <w:szCs w:val="27"/>
        </w:rPr>
        <w:t xml:space="preserve">   </w:t>
      </w:r>
      <w:r>
        <w:rPr>
          <w:rFonts w:ascii="黑体" w:hAnsi="黑体" w:eastAsia="黑体" w:cs="黑体"/>
          <w:b/>
          <w:bCs/>
          <w:spacing w:val="1"/>
          <w:sz w:val="27"/>
          <w:szCs w:val="27"/>
        </w:rPr>
        <w:t>安全性工作计划与产品研制计划协调的说明</w:t>
      </w:r>
    </w:p>
    <w:p w14:paraId="1D26AC22">
      <w:pPr>
        <w:pStyle w:val="2"/>
        <w:spacing w:before="72" w:line="292" w:lineRule="auto"/>
        <w:ind w:right="122" w:firstLine="560"/>
      </w:pPr>
      <w:r>
        <w:rPr>
          <w:spacing w:val="6"/>
        </w:rPr>
        <w:t>说明安全性工作计划与产品研制计划的协调内容</w:t>
      </w:r>
      <w:r>
        <w:rPr>
          <w:spacing w:val="5"/>
        </w:rPr>
        <w:t>和协调结果，包括与可靠</w:t>
      </w:r>
      <w:r>
        <w:t xml:space="preserve"> </w:t>
      </w:r>
      <w:r>
        <w:rPr>
          <w:spacing w:val="-7"/>
        </w:rPr>
        <w:t>性工作计划、维修性工作计划、测试性工作计划、综合保障工作计划等的协调。</w:t>
      </w:r>
    </w:p>
    <w:p w14:paraId="268300AE">
      <w:pPr>
        <w:spacing w:before="1" w:line="220" w:lineRule="auto"/>
        <w:outlineLvl w:val="3"/>
        <w:rPr>
          <w:rFonts w:ascii="黑体" w:hAnsi="黑体" w:eastAsia="黑体" w:cs="黑体"/>
          <w:sz w:val="25"/>
          <w:szCs w:val="25"/>
        </w:rPr>
      </w:pPr>
      <w:r>
        <w:rPr>
          <w:rFonts w:ascii="Arial" w:hAnsi="Arial" w:eastAsia="Arial" w:cs="Arial"/>
          <w:b/>
          <w:bCs/>
          <w:spacing w:val="3"/>
          <w:sz w:val="25"/>
          <w:szCs w:val="25"/>
        </w:rPr>
        <w:t xml:space="preserve">8    </w:t>
      </w:r>
      <w:r>
        <w:rPr>
          <w:rFonts w:ascii="黑体" w:hAnsi="黑体" w:eastAsia="黑体" w:cs="黑体"/>
          <w:b/>
          <w:bCs/>
          <w:spacing w:val="3"/>
          <w:sz w:val="25"/>
          <w:szCs w:val="25"/>
        </w:rPr>
        <w:t>安全性信息收集、传递、分析、处理、反</w:t>
      </w:r>
      <w:r>
        <w:rPr>
          <w:rFonts w:ascii="黑体" w:hAnsi="黑体" w:eastAsia="黑体" w:cs="黑体"/>
          <w:b/>
          <w:bCs/>
          <w:spacing w:val="2"/>
          <w:sz w:val="25"/>
          <w:szCs w:val="25"/>
        </w:rPr>
        <w:t>馈和归档等程序的说明</w:t>
      </w:r>
    </w:p>
    <w:p w14:paraId="49034ECA">
      <w:pPr>
        <w:pStyle w:val="2"/>
        <w:spacing w:before="95" w:line="219" w:lineRule="auto"/>
        <w:ind w:left="560"/>
      </w:pPr>
      <w:r>
        <w:rPr>
          <w:spacing w:val="-15"/>
        </w:rPr>
        <w:t>说明安全性信息收集、传递、分析、处理、反馈和归档的程序。</w:t>
      </w:r>
    </w:p>
    <w:p w14:paraId="6E9AD7BC">
      <w:pPr>
        <w:spacing w:before="115" w:line="221" w:lineRule="auto"/>
        <w:outlineLvl w:val="3"/>
        <w:rPr>
          <w:rFonts w:ascii="黑体" w:hAnsi="黑体" w:eastAsia="黑体" w:cs="黑体"/>
          <w:sz w:val="27"/>
          <w:szCs w:val="27"/>
        </w:rPr>
      </w:pPr>
      <w:r>
        <w:rPr>
          <w:rFonts w:ascii="Arial" w:hAnsi="Arial" w:eastAsia="Arial" w:cs="Arial"/>
          <w:b/>
          <w:bCs/>
          <w:spacing w:val="1"/>
          <w:sz w:val="27"/>
          <w:szCs w:val="27"/>
        </w:rPr>
        <w:t>9</w:t>
      </w:r>
      <w:r>
        <w:rPr>
          <w:rFonts w:ascii="Arial" w:hAnsi="Arial" w:eastAsia="Arial" w:cs="Arial"/>
          <w:b/>
          <w:bCs/>
          <w:spacing w:val="22"/>
          <w:w w:val="101"/>
          <w:sz w:val="27"/>
          <w:szCs w:val="27"/>
        </w:rPr>
        <w:t xml:space="preserve">   </w:t>
      </w:r>
      <w:r>
        <w:rPr>
          <w:rFonts w:ascii="黑体" w:hAnsi="黑体" w:eastAsia="黑体" w:cs="黑体"/>
          <w:b/>
          <w:bCs/>
          <w:spacing w:val="1"/>
          <w:sz w:val="27"/>
          <w:szCs w:val="27"/>
        </w:rPr>
        <w:t>处理已判定危险的方法或过程</w:t>
      </w:r>
    </w:p>
    <w:p w14:paraId="0183A23B">
      <w:pPr>
        <w:pStyle w:val="2"/>
        <w:spacing w:before="94" w:line="219" w:lineRule="auto"/>
        <w:jc w:val="right"/>
      </w:pPr>
      <w:r>
        <w:rPr>
          <w:spacing w:val="-7"/>
        </w:rPr>
        <w:t>说明处理已判定危险的方法或过程，包括处理方法、处理流程、责任单位等。</w:t>
      </w:r>
    </w:p>
    <w:p w14:paraId="22501794">
      <w:pPr>
        <w:spacing w:before="123" w:line="221" w:lineRule="auto"/>
        <w:rPr>
          <w:rFonts w:ascii="黑体" w:hAnsi="黑体" w:eastAsia="黑体" w:cs="黑体"/>
          <w:sz w:val="27"/>
          <w:szCs w:val="27"/>
        </w:rPr>
      </w:pPr>
      <w:r>
        <w:rPr>
          <w:rFonts w:ascii="黑体" w:hAnsi="黑体" w:eastAsia="黑体" w:cs="黑体"/>
          <w:spacing w:val="-6"/>
          <w:sz w:val="27"/>
          <w:szCs w:val="27"/>
        </w:rPr>
        <w:t>10</w:t>
      </w:r>
      <w:r>
        <w:rPr>
          <w:rFonts w:ascii="黑体" w:hAnsi="黑体" w:eastAsia="黑体" w:cs="黑体"/>
          <w:spacing w:val="30"/>
          <w:sz w:val="27"/>
          <w:szCs w:val="27"/>
        </w:rPr>
        <w:t xml:space="preserve">  </w:t>
      </w:r>
      <w:r>
        <w:rPr>
          <w:rFonts w:ascii="黑体" w:hAnsi="黑体" w:eastAsia="黑体" w:cs="黑体"/>
          <w:b/>
          <w:bCs/>
          <w:spacing w:val="-6"/>
          <w:sz w:val="27"/>
          <w:szCs w:val="27"/>
        </w:rPr>
        <w:t>对设计人员、使用和维护人员的安全性培训</w:t>
      </w:r>
    </w:p>
    <w:p w14:paraId="78D82F02">
      <w:pPr>
        <w:pStyle w:val="2"/>
        <w:spacing w:before="82" w:line="286" w:lineRule="auto"/>
        <w:ind w:right="105" w:firstLine="560"/>
      </w:pPr>
      <w:r>
        <w:rPr>
          <w:spacing w:val="-2"/>
        </w:rPr>
        <w:t>分别明确对设计人员、使用和维护人员的安全性培训要求、培</w:t>
      </w:r>
      <w:r>
        <w:rPr>
          <w:spacing w:val="-3"/>
        </w:rPr>
        <w:t>训内容、培训</w:t>
      </w:r>
      <w:r>
        <w:t xml:space="preserve"> </w:t>
      </w:r>
      <w:r>
        <w:rPr>
          <w:spacing w:val="-3"/>
        </w:rPr>
        <w:t>时间等。</w:t>
      </w:r>
    </w:p>
    <w:p w14:paraId="5F5D7A15">
      <w:pPr>
        <w:spacing w:before="1" w:line="222" w:lineRule="auto"/>
        <w:rPr>
          <w:rFonts w:ascii="黑体" w:hAnsi="黑体" w:eastAsia="黑体" w:cs="黑体"/>
          <w:sz w:val="27"/>
          <w:szCs w:val="27"/>
        </w:rPr>
      </w:pPr>
      <w:r>
        <w:rPr>
          <w:rFonts w:ascii="黑体" w:hAnsi="黑体" w:eastAsia="黑体" w:cs="黑体"/>
          <w:spacing w:val="1"/>
          <w:sz w:val="27"/>
          <w:szCs w:val="27"/>
        </w:rPr>
        <w:t>11</w:t>
      </w:r>
      <w:r>
        <w:rPr>
          <w:rFonts w:ascii="黑体" w:hAnsi="黑体" w:eastAsia="黑体" w:cs="黑体"/>
          <w:spacing w:val="27"/>
          <w:sz w:val="27"/>
          <w:szCs w:val="27"/>
        </w:rPr>
        <w:t xml:space="preserve">  </w:t>
      </w:r>
      <w:r>
        <w:rPr>
          <w:rFonts w:ascii="黑体" w:hAnsi="黑体" w:eastAsia="黑体" w:cs="黑体"/>
          <w:b/>
          <w:bCs/>
          <w:spacing w:val="1"/>
          <w:sz w:val="27"/>
          <w:szCs w:val="27"/>
        </w:rPr>
        <w:t>对事故和危险故障的分析的报告</w:t>
      </w:r>
    </w:p>
    <w:p w14:paraId="2ABC1BD4">
      <w:pPr>
        <w:pStyle w:val="2"/>
        <w:spacing w:before="106" w:line="218" w:lineRule="auto"/>
        <w:ind w:left="560"/>
      </w:pPr>
      <w:r>
        <w:rPr>
          <w:spacing w:val="-6"/>
        </w:rPr>
        <w:t>明确对事故和危险故障的分析的报告要求、程序、内容格式等。</w:t>
      </w:r>
    </w:p>
    <w:p w14:paraId="0B86BA4D">
      <w:pPr>
        <w:spacing w:before="108" w:line="221" w:lineRule="auto"/>
        <w:rPr>
          <w:rFonts w:ascii="黑体" w:hAnsi="黑体" w:eastAsia="黑体" w:cs="黑体"/>
          <w:sz w:val="27"/>
          <w:szCs w:val="27"/>
        </w:rPr>
      </w:pPr>
      <w:r>
        <w:rPr>
          <w:rFonts w:ascii="黑体" w:hAnsi="黑体" w:eastAsia="黑体" w:cs="黑体"/>
          <w:spacing w:val="3"/>
          <w:sz w:val="27"/>
          <w:szCs w:val="27"/>
        </w:rPr>
        <w:t xml:space="preserve">12  </w:t>
      </w:r>
      <w:r>
        <w:rPr>
          <w:rFonts w:ascii="黑体" w:hAnsi="黑体" w:eastAsia="黑体" w:cs="黑体"/>
          <w:b/>
          <w:bCs/>
          <w:spacing w:val="3"/>
          <w:sz w:val="27"/>
          <w:szCs w:val="27"/>
        </w:rPr>
        <w:t>系统安全性与其他安全性领域之间的接口</w:t>
      </w:r>
    </w:p>
    <w:p w14:paraId="1E6B745E">
      <w:pPr>
        <w:pStyle w:val="2"/>
        <w:spacing w:before="100" w:line="283" w:lineRule="auto"/>
        <w:ind w:right="124" w:firstLine="560"/>
      </w:pPr>
      <w:r>
        <w:rPr>
          <w:spacing w:val="-3"/>
        </w:rPr>
        <w:t>说明系统安全性与其他安全性领域之间的接口，如与核安全、靶场安全、爆</w:t>
      </w:r>
      <w:r>
        <w:rPr>
          <w:spacing w:val="8"/>
        </w:rPr>
        <w:t xml:space="preserve"> </w:t>
      </w:r>
      <w:r>
        <w:rPr>
          <w:spacing w:val="-5"/>
        </w:rPr>
        <w:t>炸物和军械安全、化学和生物安全、激光安全等领域之间的接口。</w:t>
      </w:r>
    </w:p>
    <w:p w14:paraId="6ABE883F">
      <w:pPr>
        <w:spacing w:before="19" w:line="221" w:lineRule="auto"/>
        <w:rPr>
          <w:rFonts w:ascii="黑体" w:hAnsi="黑体" w:eastAsia="黑体" w:cs="黑体"/>
          <w:sz w:val="27"/>
          <w:szCs w:val="27"/>
        </w:rPr>
      </w:pPr>
      <w:r>
        <w:rPr>
          <w:rFonts w:ascii="黑体" w:hAnsi="黑体" w:eastAsia="黑体" w:cs="黑体"/>
          <w:spacing w:val="2"/>
          <w:sz w:val="27"/>
          <w:szCs w:val="27"/>
        </w:rPr>
        <w:t xml:space="preserve">13  </w:t>
      </w:r>
      <w:r>
        <w:rPr>
          <w:rFonts w:ascii="黑体" w:hAnsi="黑体" w:eastAsia="黑体" w:cs="黑体"/>
          <w:b/>
          <w:bCs/>
          <w:spacing w:val="2"/>
          <w:sz w:val="27"/>
          <w:szCs w:val="27"/>
        </w:rPr>
        <w:t>系统安全性与其他保障领域之间的接口</w:t>
      </w:r>
    </w:p>
    <w:p w14:paraId="5C0AD32E">
      <w:pPr>
        <w:pStyle w:val="2"/>
        <w:spacing w:before="93" w:line="289" w:lineRule="auto"/>
        <w:ind w:right="113" w:firstLine="560"/>
      </w:pPr>
      <w:r>
        <w:rPr>
          <w:spacing w:val="-10"/>
        </w:rPr>
        <w:t>说明系统安全性与其他保障领域之间的接口，如与质量</w:t>
      </w:r>
      <w:r>
        <w:rPr>
          <w:spacing w:val="-11"/>
        </w:rPr>
        <w:t>、可靠性、维修性、测</w:t>
      </w:r>
      <w:r>
        <w:t xml:space="preserve"> </w:t>
      </w:r>
      <w:r>
        <w:rPr>
          <w:spacing w:val="-13"/>
        </w:rPr>
        <w:t>试性、保障性、人素工程、健康保障等领域之间的接口。</w:t>
      </w:r>
    </w:p>
    <w:p w14:paraId="442A2E33">
      <w:pPr>
        <w:pStyle w:val="2"/>
        <w:spacing w:before="350" w:line="218" w:lineRule="auto"/>
        <w:ind w:left="2540"/>
        <w:rPr>
          <w:sz w:val="36"/>
          <w:szCs w:val="36"/>
        </w:rPr>
      </w:pPr>
      <w:r>
        <w:rPr>
          <w:spacing w:val="-2"/>
          <w:sz w:val="36"/>
          <w:szCs w:val="36"/>
        </w:rPr>
        <w:t>11.</w:t>
      </w:r>
      <w:r>
        <w:rPr>
          <w:b/>
          <w:bCs/>
          <w:spacing w:val="-2"/>
          <w:sz w:val="36"/>
          <w:szCs w:val="36"/>
        </w:rPr>
        <w:t>3</w:t>
      </w:r>
      <w:r>
        <w:rPr>
          <w:spacing w:val="28"/>
          <w:sz w:val="36"/>
          <w:szCs w:val="36"/>
        </w:rPr>
        <w:t xml:space="preserve">  </w:t>
      </w:r>
      <w:r>
        <w:rPr>
          <w:b/>
          <w:bCs/>
          <w:spacing w:val="-2"/>
          <w:sz w:val="36"/>
          <w:szCs w:val="36"/>
        </w:rPr>
        <w:t>系统安全性工作报告</w:t>
      </w:r>
    </w:p>
    <w:p w14:paraId="7314D433">
      <w:pPr>
        <w:spacing w:line="382" w:lineRule="auto"/>
        <w:rPr>
          <w:rFonts w:ascii="Arial"/>
          <w:sz w:val="21"/>
        </w:rPr>
      </w:pPr>
    </w:p>
    <w:p w14:paraId="02ABD575">
      <w:pPr>
        <w:pStyle w:val="2"/>
        <w:spacing w:before="78" w:line="223" w:lineRule="auto"/>
        <w:ind w:left="560"/>
        <w:rPr>
          <w:rFonts w:ascii="楷体" w:hAnsi="楷体" w:eastAsia="楷体" w:cs="楷体"/>
          <w:sz w:val="24"/>
          <w:szCs w:val="24"/>
        </w:rPr>
      </w:pPr>
      <w:r>
        <w:rPr>
          <w:rFonts w:ascii="楷体" w:hAnsi="楷体" w:eastAsia="楷体" w:cs="楷体"/>
          <w:spacing w:val="10"/>
          <w:sz w:val="24"/>
          <w:szCs w:val="24"/>
        </w:rPr>
        <w:t>按</w:t>
      </w:r>
      <w:r>
        <w:rPr>
          <w:rFonts w:ascii="楷体" w:hAnsi="楷体" w:eastAsia="楷体" w:cs="楷体"/>
          <w:spacing w:val="-8"/>
          <w:sz w:val="24"/>
          <w:szCs w:val="24"/>
        </w:rPr>
        <w:t xml:space="preserve"> </w:t>
      </w:r>
      <w:r>
        <w:rPr>
          <w:rFonts w:ascii="楷体" w:hAnsi="楷体" w:eastAsia="楷体" w:cs="楷体"/>
          <w:spacing w:val="10"/>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0"/>
          <w:sz w:val="24"/>
          <w:szCs w:val="24"/>
        </w:rPr>
        <w:t>900—1990</w:t>
      </w:r>
      <w:r>
        <w:rPr>
          <w:spacing w:val="10"/>
          <w:sz w:val="24"/>
          <w:szCs w:val="24"/>
        </w:rPr>
        <w:t xml:space="preserve">《  </w:t>
      </w:r>
      <w:r>
        <w:rPr>
          <w:rFonts w:ascii="楷体" w:hAnsi="楷体" w:eastAsia="楷体" w:cs="楷体"/>
          <w:spacing w:val="10"/>
          <w:sz w:val="24"/>
          <w:szCs w:val="24"/>
        </w:rPr>
        <w:t>系统安全性通用大纲》编写。</w:t>
      </w:r>
    </w:p>
    <w:p w14:paraId="04C7B470">
      <w:pPr>
        <w:spacing w:before="133"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40"/>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74A0EFCE">
      <w:pPr>
        <w:pStyle w:val="2"/>
        <w:spacing w:before="110" w:line="218" w:lineRule="auto"/>
        <w:ind w:left="560"/>
      </w:pPr>
      <w:r>
        <w:rPr>
          <w:spacing w:val="3"/>
        </w:rPr>
        <w:t>说明系统安全性工作报告的主题内容和适用范围。</w:t>
      </w:r>
    </w:p>
    <w:p w14:paraId="28228CB4">
      <w:pPr>
        <w:spacing w:before="118"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729EBF1B">
      <w:pPr>
        <w:pStyle w:val="2"/>
        <w:spacing w:before="117" w:line="218" w:lineRule="auto"/>
        <w:ind w:left="560"/>
        <w:rPr>
          <w:sz w:val="25"/>
          <w:szCs w:val="25"/>
        </w:rPr>
      </w:pPr>
      <w:r>
        <w:rPr>
          <w:spacing w:val="24"/>
          <w:sz w:val="25"/>
          <w:szCs w:val="25"/>
        </w:rPr>
        <w:t>列出编制系统安全性工作报告的依据文件以及各章中引用的所有文件。</w:t>
      </w:r>
    </w:p>
    <w:p w14:paraId="7CE8CC29">
      <w:pPr>
        <w:spacing w:before="131" w:line="221" w:lineRule="auto"/>
        <w:outlineLvl w:val="3"/>
        <w:rPr>
          <w:rFonts w:ascii="黑体" w:hAnsi="黑体" w:eastAsia="黑体" w:cs="黑体"/>
          <w:sz w:val="24"/>
          <w:szCs w:val="24"/>
        </w:rPr>
      </w:pPr>
      <w:r>
        <w:rPr>
          <w:rFonts w:ascii="Arial" w:hAnsi="Arial" w:eastAsia="Arial" w:cs="Arial"/>
          <w:b/>
          <w:bCs/>
          <w:spacing w:val="23"/>
          <w:sz w:val="24"/>
          <w:szCs w:val="24"/>
        </w:rPr>
        <w:t xml:space="preserve">3    </w:t>
      </w:r>
      <w:r>
        <w:rPr>
          <w:rFonts w:ascii="黑体" w:hAnsi="黑体" w:eastAsia="黑体" w:cs="黑体"/>
          <w:b/>
          <w:bCs/>
          <w:spacing w:val="23"/>
          <w:sz w:val="24"/>
          <w:szCs w:val="24"/>
        </w:rPr>
        <w:t>安全性工作进展及状况概述</w:t>
      </w:r>
    </w:p>
    <w:p w14:paraId="792C7AB1">
      <w:pPr>
        <w:pStyle w:val="2"/>
        <w:spacing w:before="99" w:line="323" w:lineRule="auto"/>
        <w:ind w:right="134" w:firstLine="560"/>
        <w:rPr>
          <w:sz w:val="25"/>
          <w:szCs w:val="25"/>
        </w:rPr>
      </w:pPr>
      <w:r>
        <w:rPr>
          <w:spacing w:val="25"/>
          <w:sz w:val="25"/>
          <w:szCs w:val="25"/>
        </w:rPr>
        <w:t>研制和生产各阶段安全性工作、进展及状况的概述，着重说明主要成效和</w:t>
      </w:r>
      <w:r>
        <w:rPr>
          <w:spacing w:val="9"/>
          <w:sz w:val="25"/>
          <w:szCs w:val="25"/>
        </w:rPr>
        <w:t xml:space="preserve"> </w:t>
      </w:r>
      <w:r>
        <w:rPr>
          <w:spacing w:val="5"/>
          <w:sz w:val="25"/>
          <w:szCs w:val="25"/>
        </w:rPr>
        <w:t>问题。</w:t>
      </w:r>
    </w:p>
    <w:p w14:paraId="1A441F2B">
      <w:pPr>
        <w:spacing w:line="323" w:lineRule="auto"/>
        <w:rPr>
          <w:sz w:val="25"/>
          <w:szCs w:val="25"/>
        </w:rPr>
        <w:sectPr>
          <w:footerReference r:id="rId555" w:type="default"/>
          <w:pgSz w:w="11910" w:h="17130"/>
          <w:pgMar w:top="400" w:right="1094" w:bottom="1673" w:left="1309" w:header="0" w:footer="1474" w:gutter="0"/>
          <w:cols w:space="720" w:num="1"/>
        </w:sectPr>
      </w:pPr>
    </w:p>
    <w:p w14:paraId="4C706C02">
      <w:pPr>
        <w:spacing w:line="275" w:lineRule="auto"/>
        <w:rPr>
          <w:rFonts w:ascii="Arial"/>
          <w:sz w:val="21"/>
        </w:rPr>
      </w:pPr>
    </w:p>
    <w:p w14:paraId="436E9285">
      <w:pPr>
        <w:spacing w:line="275" w:lineRule="auto"/>
        <w:rPr>
          <w:rFonts w:ascii="Arial"/>
          <w:sz w:val="21"/>
        </w:rPr>
      </w:pPr>
    </w:p>
    <w:p w14:paraId="526E5DC1">
      <w:pPr>
        <w:spacing w:line="276" w:lineRule="auto"/>
        <w:rPr>
          <w:rFonts w:ascii="Arial"/>
          <w:sz w:val="21"/>
        </w:rPr>
      </w:pPr>
    </w:p>
    <w:p w14:paraId="179CE1AA">
      <w:pPr>
        <w:spacing w:line="276" w:lineRule="auto"/>
        <w:rPr>
          <w:rFonts w:ascii="Arial"/>
          <w:sz w:val="21"/>
        </w:rPr>
      </w:pPr>
    </w:p>
    <w:p w14:paraId="7355FD5B">
      <w:pPr>
        <w:pStyle w:val="2"/>
        <w:spacing w:before="78" w:line="291" w:lineRule="auto"/>
        <w:ind w:left="570" w:right="1518" w:hanging="570"/>
      </w:pPr>
      <w:r>
        <w:rPr>
          <w:rFonts w:ascii="黑体" w:hAnsi="黑体" w:eastAsia="黑体" w:cs="黑体"/>
          <w:spacing w:val="34"/>
          <w:sz w:val="24"/>
          <w:szCs w:val="24"/>
        </w:rPr>
        <w:t>4  新发现的显著级危险和对已知危险的风险控制程度的重大变化</w:t>
      </w:r>
      <w:r>
        <w:rPr>
          <w:rFonts w:ascii="黑体" w:hAnsi="黑体" w:eastAsia="黑体" w:cs="黑体"/>
          <w:spacing w:val="8"/>
          <w:sz w:val="24"/>
          <w:szCs w:val="24"/>
        </w:rPr>
        <w:t xml:space="preserve"> </w:t>
      </w:r>
      <w:r>
        <w:rPr>
          <w:spacing w:val="-3"/>
        </w:rPr>
        <w:t>报告新发现的显著级危险，并提出处置建议。</w:t>
      </w:r>
    </w:p>
    <w:p w14:paraId="72958EDE">
      <w:pPr>
        <w:pStyle w:val="2"/>
        <w:spacing w:line="219" w:lineRule="auto"/>
        <w:ind w:left="570"/>
      </w:pPr>
      <w:r>
        <w:t>对已知危险的风险控制程度的重大变化进行说明，并提出处置建议。</w:t>
      </w:r>
    </w:p>
    <w:p w14:paraId="4C0A8B4A">
      <w:pPr>
        <w:spacing w:before="28" w:line="368" w:lineRule="exact"/>
        <w:rPr>
          <w:rFonts w:ascii="黑体" w:hAnsi="黑体" w:eastAsia="黑体" w:cs="黑体"/>
          <w:sz w:val="27"/>
          <w:szCs w:val="27"/>
        </w:rPr>
      </w:pPr>
      <w:r>
        <w:rPr>
          <w:rFonts w:ascii="Arial" w:hAnsi="Arial" w:eastAsia="Arial" w:cs="Arial"/>
          <w:spacing w:val="5"/>
          <w:position w:val="1"/>
          <w:sz w:val="27"/>
          <w:szCs w:val="27"/>
        </w:rPr>
        <w:t>5</w:t>
      </w:r>
      <w:r>
        <w:rPr>
          <w:rFonts w:ascii="Arial" w:hAnsi="Arial" w:eastAsia="Arial" w:cs="Arial"/>
          <w:spacing w:val="25"/>
          <w:position w:val="1"/>
          <w:sz w:val="27"/>
          <w:szCs w:val="27"/>
        </w:rPr>
        <w:t xml:space="preserve">   </w:t>
      </w:r>
      <w:r>
        <w:rPr>
          <w:rFonts w:ascii="黑体" w:hAnsi="黑体" w:eastAsia="黑体" w:cs="黑体"/>
          <w:spacing w:val="5"/>
          <w:position w:val="1"/>
          <w:sz w:val="27"/>
          <w:szCs w:val="27"/>
        </w:rPr>
        <w:t>所有已提出的但仍未完成的纠正措施的现状</w:t>
      </w:r>
    </w:p>
    <w:p w14:paraId="13FACE1E">
      <w:pPr>
        <w:pStyle w:val="2"/>
        <w:spacing w:before="71" w:line="267" w:lineRule="auto"/>
        <w:ind w:right="6" w:firstLine="570"/>
        <w:jc w:val="both"/>
      </w:pPr>
      <w:r>
        <w:rPr>
          <w:spacing w:val="5"/>
        </w:rPr>
        <w:t>对所有已提出的纠正措施进行梳理，确认已落实到系统设计中并已验证其</w:t>
      </w:r>
      <w:r>
        <w:rPr>
          <w:spacing w:val="10"/>
        </w:rPr>
        <w:t xml:space="preserve"> </w:t>
      </w:r>
      <w:r>
        <w:rPr>
          <w:spacing w:val="-3"/>
        </w:rPr>
        <w:t>有效性；对仍未完成的纠正措施，说明现状，并进一步分析研究纠正措施的必要</w:t>
      </w:r>
      <w:r>
        <w:rPr>
          <w:spacing w:val="7"/>
        </w:rPr>
        <w:t xml:space="preserve"> </w:t>
      </w:r>
      <w:r>
        <w:rPr>
          <w:spacing w:val="-8"/>
        </w:rPr>
        <w:t>性，提出下一步工作建议。</w:t>
      </w:r>
    </w:p>
    <w:p w14:paraId="0F56769B">
      <w:pPr>
        <w:spacing w:line="368" w:lineRule="exact"/>
        <w:rPr>
          <w:rFonts w:ascii="黑体" w:hAnsi="黑体" w:eastAsia="黑体" w:cs="黑体"/>
          <w:sz w:val="27"/>
          <w:szCs w:val="27"/>
        </w:rPr>
      </w:pPr>
      <w:r>
        <w:rPr>
          <w:rFonts w:ascii="Arial" w:hAnsi="Arial" w:eastAsia="Arial" w:cs="Arial"/>
          <w:spacing w:val="3"/>
          <w:position w:val="1"/>
          <w:sz w:val="27"/>
          <w:szCs w:val="27"/>
        </w:rPr>
        <w:t>6</w:t>
      </w:r>
      <w:r>
        <w:rPr>
          <w:rFonts w:ascii="Arial" w:hAnsi="Arial" w:eastAsia="Arial" w:cs="Arial"/>
          <w:spacing w:val="4"/>
          <w:position w:val="1"/>
          <w:sz w:val="27"/>
          <w:szCs w:val="27"/>
        </w:rPr>
        <w:t xml:space="preserve">    </w:t>
      </w:r>
      <w:r>
        <w:rPr>
          <w:rFonts w:ascii="黑体" w:hAnsi="黑体" w:eastAsia="黑体" w:cs="黑体"/>
          <w:spacing w:val="3"/>
          <w:position w:val="1"/>
          <w:sz w:val="27"/>
          <w:szCs w:val="27"/>
        </w:rPr>
        <w:t>影响安全性大纲的费用和进度的重大变动</w:t>
      </w:r>
    </w:p>
    <w:p w14:paraId="7FCBD5B3">
      <w:pPr>
        <w:pStyle w:val="2"/>
        <w:spacing w:before="111" w:line="219" w:lineRule="auto"/>
        <w:ind w:left="570"/>
      </w:pPr>
      <w:r>
        <w:rPr>
          <w:spacing w:val="4"/>
        </w:rPr>
        <w:t>分别对影响安全性大纲的费用和进度的重大变动情况详细说明理由。</w:t>
      </w:r>
    </w:p>
    <w:p w14:paraId="43A08D87">
      <w:pPr>
        <w:spacing w:before="78" w:line="222" w:lineRule="auto"/>
        <w:rPr>
          <w:rFonts w:ascii="黑体" w:hAnsi="黑体" w:eastAsia="黑体" w:cs="黑体"/>
          <w:sz w:val="27"/>
          <w:szCs w:val="27"/>
        </w:rPr>
      </w:pPr>
      <w:r>
        <w:rPr>
          <w:rFonts w:ascii="Arial" w:hAnsi="Arial" w:eastAsia="Arial" w:cs="Arial"/>
          <w:spacing w:val="3"/>
          <w:sz w:val="27"/>
          <w:szCs w:val="27"/>
        </w:rPr>
        <w:t>7</w:t>
      </w:r>
      <w:r>
        <w:rPr>
          <w:rFonts w:ascii="Arial" w:hAnsi="Arial" w:eastAsia="Arial" w:cs="Arial"/>
          <w:spacing w:val="27"/>
          <w:w w:val="101"/>
          <w:sz w:val="27"/>
          <w:szCs w:val="27"/>
        </w:rPr>
        <w:t xml:space="preserve">   </w:t>
      </w:r>
      <w:r>
        <w:rPr>
          <w:rFonts w:ascii="黑体" w:hAnsi="黑体" w:eastAsia="黑体" w:cs="黑体"/>
          <w:spacing w:val="3"/>
          <w:sz w:val="27"/>
          <w:szCs w:val="27"/>
        </w:rPr>
        <w:t>报告期内技术文件的安全性评审情况</w:t>
      </w:r>
    </w:p>
    <w:p w14:paraId="0E6400DC">
      <w:pPr>
        <w:pStyle w:val="2"/>
        <w:spacing w:before="95" w:line="270" w:lineRule="auto"/>
        <w:ind w:right="7" w:firstLine="570"/>
      </w:pPr>
      <w:r>
        <w:rPr>
          <w:spacing w:val="5"/>
        </w:rPr>
        <w:t>讨论报告期内已作安全性评审的技术文件，指出这些技术文件中的安全性</w:t>
      </w:r>
      <w:r>
        <w:rPr>
          <w:spacing w:val="9"/>
        </w:rPr>
        <w:t xml:space="preserve"> </w:t>
      </w:r>
      <w:r>
        <w:rPr>
          <w:spacing w:val="-5"/>
        </w:rPr>
        <w:t>内容是否可接受，有无改善安全性的措施。</w:t>
      </w:r>
    </w:p>
    <w:p w14:paraId="407334D9">
      <w:pPr>
        <w:spacing w:before="10" w:line="221" w:lineRule="auto"/>
        <w:rPr>
          <w:rFonts w:ascii="黑体" w:hAnsi="黑体" w:eastAsia="黑体" w:cs="黑体"/>
          <w:sz w:val="27"/>
          <w:szCs w:val="27"/>
        </w:rPr>
      </w:pPr>
      <w:r>
        <w:rPr>
          <w:rFonts w:ascii="黑体" w:hAnsi="黑体" w:eastAsia="黑体" w:cs="黑体"/>
          <w:spacing w:val="8"/>
          <w:sz w:val="27"/>
          <w:szCs w:val="27"/>
        </w:rPr>
        <w:t>8</w:t>
      </w:r>
      <w:r>
        <w:rPr>
          <w:rFonts w:ascii="黑体" w:hAnsi="黑体" w:eastAsia="黑体" w:cs="黑体"/>
          <w:spacing w:val="128"/>
          <w:sz w:val="27"/>
          <w:szCs w:val="27"/>
        </w:rPr>
        <w:t xml:space="preserve"> </w:t>
      </w:r>
      <w:r>
        <w:rPr>
          <w:rFonts w:ascii="黑体" w:hAnsi="黑体" w:eastAsia="黑体" w:cs="黑体"/>
          <w:spacing w:val="8"/>
          <w:sz w:val="27"/>
          <w:szCs w:val="27"/>
        </w:rPr>
        <w:t>系统安全性工作组下次会议议程</w:t>
      </w:r>
    </w:p>
    <w:p w14:paraId="60587E67">
      <w:pPr>
        <w:pStyle w:val="2"/>
        <w:spacing w:before="98" w:line="219" w:lineRule="auto"/>
        <w:ind w:left="570"/>
      </w:pPr>
      <w:r>
        <w:rPr>
          <w:spacing w:val="-2"/>
        </w:rPr>
        <w:t>若有系统安全性工作组，可建议其下次会议的主要议程。</w:t>
      </w:r>
    </w:p>
    <w:p w14:paraId="5C409EA1">
      <w:pPr>
        <w:spacing w:line="331" w:lineRule="auto"/>
        <w:rPr>
          <w:rFonts w:ascii="Arial"/>
          <w:sz w:val="21"/>
        </w:rPr>
      </w:pPr>
    </w:p>
    <w:p w14:paraId="0EDF288E">
      <w:pPr>
        <w:pStyle w:val="2"/>
        <w:spacing w:before="117" w:line="219" w:lineRule="auto"/>
        <w:ind w:left="3260"/>
        <w:rPr>
          <w:sz w:val="36"/>
          <w:szCs w:val="36"/>
        </w:rPr>
      </w:pPr>
      <w:r>
        <w:rPr>
          <w:spacing w:val="-2"/>
          <w:sz w:val="36"/>
          <w:szCs w:val="36"/>
        </w:rPr>
        <w:t>11.4</w:t>
      </w:r>
      <w:r>
        <w:rPr>
          <w:spacing w:val="19"/>
          <w:sz w:val="36"/>
          <w:szCs w:val="36"/>
        </w:rPr>
        <w:t xml:space="preserve">  </w:t>
      </w:r>
      <w:r>
        <w:rPr>
          <w:b/>
          <w:bCs/>
          <w:spacing w:val="-2"/>
          <w:sz w:val="36"/>
          <w:szCs w:val="36"/>
        </w:rPr>
        <w:t>初步危险表</w:t>
      </w:r>
    </w:p>
    <w:p w14:paraId="7EC9E6D1">
      <w:pPr>
        <w:spacing w:line="376" w:lineRule="auto"/>
        <w:rPr>
          <w:rFonts w:ascii="Arial"/>
          <w:sz w:val="21"/>
        </w:rPr>
      </w:pPr>
    </w:p>
    <w:p w14:paraId="663E46F4">
      <w:pPr>
        <w:pStyle w:val="2"/>
        <w:spacing w:before="78" w:line="223" w:lineRule="auto"/>
        <w:ind w:left="570"/>
        <w:rPr>
          <w:rFonts w:ascii="楷体" w:hAnsi="楷体" w:eastAsia="楷体" w:cs="楷体"/>
          <w:sz w:val="24"/>
          <w:szCs w:val="24"/>
        </w:rPr>
      </w:pPr>
      <w:r>
        <w:rPr>
          <w:rFonts w:ascii="楷体" w:hAnsi="楷体" w:eastAsia="楷体" w:cs="楷体"/>
          <w:spacing w:val="10"/>
          <w:sz w:val="24"/>
          <w:szCs w:val="24"/>
        </w:rPr>
        <w:t>按</w:t>
      </w:r>
      <w:r>
        <w:rPr>
          <w:rFonts w:ascii="楷体" w:hAnsi="楷体" w:eastAsia="楷体" w:cs="楷体"/>
          <w:spacing w:val="-20"/>
          <w:sz w:val="24"/>
          <w:szCs w:val="24"/>
        </w:rPr>
        <w:t xml:space="preserve"> </w:t>
      </w:r>
      <w:r>
        <w:rPr>
          <w:rFonts w:ascii="楷体" w:hAnsi="楷体" w:eastAsia="楷体" w:cs="楷体"/>
          <w:spacing w:val="10"/>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0"/>
          <w:sz w:val="24"/>
          <w:szCs w:val="24"/>
        </w:rPr>
        <w:t xml:space="preserve">    900—1990</w:t>
      </w:r>
      <w:r>
        <w:rPr>
          <w:spacing w:val="10"/>
          <w:sz w:val="24"/>
          <w:szCs w:val="24"/>
        </w:rPr>
        <w:t>《</w:t>
      </w:r>
      <w:r>
        <w:rPr>
          <w:rFonts w:ascii="楷体" w:hAnsi="楷体" w:eastAsia="楷体" w:cs="楷体"/>
          <w:spacing w:val="10"/>
          <w:sz w:val="24"/>
          <w:szCs w:val="24"/>
        </w:rPr>
        <w:t>系统安全性</w:t>
      </w:r>
      <w:r>
        <w:rPr>
          <w:rFonts w:ascii="楷体" w:hAnsi="楷体" w:eastAsia="楷体" w:cs="楷体"/>
          <w:spacing w:val="9"/>
          <w:sz w:val="24"/>
          <w:szCs w:val="24"/>
        </w:rPr>
        <w:t>通用大纲》编写。</w:t>
      </w:r>
    </w:p>
    <w:p w14:paraId="5754A6C3">
      <w:pPr>
        <w:spacing w:before="78"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24"/>
          <w:sz w:val="27"/>
          <w:szCs w:val="27"/>
        </w:rPr>
        <w:t xml:space="preserve">  </w:t>
      </w:r>
      <w:r>
        <w:rPr>
          <w:rFonts w:ascii="黑体" w:hAnsi="黑体" w:eastAsia="黑体" w:cs="黑体"/>
          <w:spacing w:val="-6"/>
          <w:sz w:val="27"/>
          <w:szCs w:val="27"/>
        </w:rPr>
        <w:t>范围</w:t>
      </w:r>
    </w:p>
    <w:p w14:paraId="268914FA">
      <w:pPr>
        <w:pStyle w:val="2"/>
        <w:spacing w:before="104" w:line="219" w:lineRule="auto"/>
        <w:ind w:left="570"/>
      </w:pPr>
      <w:r>
        <w:rPr>
          <w:spacing w:val="3"/>
        </w:rPr>
        <w:t>说明初步危险表的主题内容和适用范围。</w:t>
      </w:r>
    </w:p>
    <w:p w14:paraId="6F74537B">
      <w:pPr>
        <w:spacing w:before="77"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sz w:val="27"/>
          <w:szCs w:val="27"/>
        </w:rPr>
        <w:t>引用文件</w:t>
      </w:r>
    </w:p>
    <w:p w14:paraId="4337C68A">
      <w:pPr>
        <w:pStyle w:val="2"/>
        <w:spacing w:before="106" w:line="219" w:lineRule="auto"/>
        <w:ind w:left="570"/>
      </w:pPr>
      <w:r>
        <w:rPr>
          <w:spacing w:val="4"/>
        </w:rPr>
        <w:t>列出编制初步危险表的依据文件以及引用的所有文件。</w:t>
      </w:r>
    </w:p>
    <w:p w14:paraId="47BDDE7D">
      <w:pPr>
        <w:spacing w:before="12" w:line="368" w:lineRule="exact"/>
        <w:rPr>
          <w:rFonts w:ascii="黑体" w:hAnsi="黑体" w:eastAsia="黑体" w:cs="黑体"/>
          <w:sz w:val="27"/>
          <w:szCs w:val="27"/>
        </w:rPr>
      </w:pPr>
      <w:r>
        <w:rPr>
          <w:rFonts w:ascii="Arial" w:hAnsi="Arial" w:eastAsia="Arial" w:cs="Arial"/>
          <w:spacing w:val="4"/>
          <w:position w:val="1"/>
          <w:sz w:val="27"/>
          <w:szCs w:val="27"/>
        </w:rPr>
        <w:t>3</w:t>
      </w:r>
      <w:r>
        <w:rPr>
          <w:rFonts w:ascii="Arial" w:hAnsi="Arial" w:eastAsia="Arial" w:cs="Arial"/>
          <w:spacing w:val="23"/>
          <w:position w:val="1"/>
          <w:sz w:val="27"/>
          <w:szCs w:val="27"/>
        </w:rPr>
        <w:t xml:space="preserve">   </w:t>
      </w:r>
      <w:r>
        <w:rPr>
          <w:rFonts w:ascii="黑体" w:hAnsi="黑体" w:eastAsia="黑体" w:cs="黑体"/>
          <w:spacing w:val="4"/>
          <w:position w:val="1"/>
          <w:sz w:val="27"/>
          <w:szCs w:val="27"/>
        </w:rPr>
        <w:t>初步危险表</w:t>
      </w:r>
    </w:p>
    <w:p w14:paraId="45F8D4E8">
      <w:pPr>
        <w:pStyle w:val="2"/>
        <w:spacing w:before="103" w:line="275" w:lineRule="auto"/>
        <w:ind w:firstLine="570"/>
        <w:jc w:val="both"/>
      </w:pPr>
      <w:r>
        <w:rPr>
          <w:spacing w:val="-3"/>
        </w:rPr>
        <w:t>在设计初期承制方就应考察系统方案，编制初步危险表，确定设计中可能存</w:t>
      </w:r>
      <w:r>
        <w:t xml:space="preserve"> </w:t>
      </w:r>
      <w:r>
        <w:rPr>
          <w:spacing w:val="6"/>
        </w:rPr>
        <w:t>在的危险。承制方应按订购方的意见做进一步的研究，分析初步危险表中选定</w:t>
      </w:r>
      <w:r>
        <w:rPr>
          <w:spacing w:val="2"/>
        </w:rPr>
        <w:t xml:space="preserve"> </w:t>
      </w:r>
      <w:r>
        <w:rPr>
          <w:spacing w:val="-9"/>
        </w:rPr>
        <w:t>的危险，以确定其重要程度。</w:t>
      </w:r>
    </w:p>
    <w:p w14:paraId="1ED105C9">
      <w:pPr>
        <w:spacing w:line="261" w:lineRule="auto"/>
        <w:rPr>
          <w:rFonts w:ascii="Arial"/>
          <w:sz w:val="21"/>
        </w:rPr>
      </w:pPr>
    </w:p>
    <w:p w14:paraId="457E5D2C">
      <w:pPr>
        <w:pStyle w:val="2"/>
        <w:spacing w:before="118" w:line="219" w:lineRule="auto"/>
        <w:ind w:left="3060"/>
        <w:rPr>
          <w:sz w:val="36"/>
          <w:szCs w:val="36"/>
        </w:rPr>
      </w:pPr>
      <w:r>
        <w:rPr>
          <w:sz w:val="36"/>
          <w:szCs w:val="36"/>
        </w:rPr>
        <w:t>11.5</w:t>
      </w:r>
      <w:r>
        <w:rPr>
          <w:spacing w:val="18"/>
          <w:sz w:val="36"/>
          <w:szCs w:val="36"/>
        </w:rPr>
        <w:t xml:space="preserve">  </w:t>
      </w:r>
      <w:r>
        <w:rPr>
          <w:b/>
          <w:bCs/>
          <w:sz w:val="36"/>
          <w:szCs w:val="36"/>
        </w:rPr>
        <w:t>初步危险分析</w:t>
      </w:r>
    </w:p>
    <w:p w14:paraId="0ABE1700">
      <w:pPr>
        <w:spacing w:line="366" w:lineRule="auto"/>
        <w:rPr>
          <w:rFonts w:ascii="Arial"/>
          <w:sz w:val="21"/>
        </w:rPr>
      </w:pPr>
    </w:p>
    <w:p w14:paraId="1CEC8E10">
      <w:pPr>
        <w:pStyle w:val="2"/>
        <w:spacing w:before="79" w:line="223" w:lineRule="auto"/>
        <w:ind w:left="570"/>
        <w:rPr>
          <w:rFonts w:ascii="楷体" w:hAnsi="楷体" w:eastAsia="楷体" w:cs="楷体"/>
          <w:sz w:val="24"/>
          <w:szCs w:val="24"/>
        </w:rPr>
      </w:pPr>
      <w:r>
        <w:rPr>
          <w:rFonts w:ascii="楷体" w:hAnsi="楷体" w:eastAsia="楷体" w:cs="楷体"/>
          <w:spacing w:val="11"/>
          <w:sz w:val="24"/>
          <w:szCs w:val="24"/>
        </w:rPr>
        <w:t>按</w:t>
      </w:r>
      <w:r>
        <w:rPr>
          <w:rFonts w:ascii="楷体" w:hAnsi="楷体" w:eastAsia="楷体" w:cs="楷体"/>
          <w:spacing w:val="-17"/>
          <w:sz w:val="24"/>
          <w:szCs w:val="24"/>
        </w:rPr>
        <w:t xml:space="preserve"> </w:t>
      </w:r>
      <w:r>
        <w:rPr>
          <w:rFonts w:ascii="楷体" w:hAnsi="楷体" w:eastAsia="楷体" w:cs="楷体"/>
          <w:spacing w:val="1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1"/>
          <w:sz w:val="24"/>
          <w:szCs w:val="24"/>
        </w:rPr>
        <w:t>900—1990</w:t>
      </w:r>
      <w:r>
        <w:rPr>
          <w:spacing w:val="11"/>
          <w:sz w:val="24"/>
          <w:szCs w:val="24"/>
        </w:rPr>
        <w:t>《</w:t>
      </w:r>
      <w:r>
        <w:rPr>
          <w:rFonts w:ascii="楷体" w:hAnsi="楷体" w:eastAsia="楷体" w:cs="楷体"/>
          <w:spacing w:val="11"/>
          <w:sz w:val="24"/>
          <w:szCs w:val="24"/>
        </w:rPr>
        <w:t>系统安全性通用大纲》编写。</w:t>
      </w:r>
    </w:p>
    <w:p w14:paraId="3DAB0371">
      <w:pPr>
        <w:spacing w:before="97"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39"/>
          <w:sz w:val="25"/>
          <w:szCs w:val="25"/>
        </w:rPr>
        <w:t xml:space="preserve">  </w:t>
      </w:r>
      <w:r>
        <w:rPr>
          <w:rFonts w:ascii="黑体" w:hAnsi="黑体" w:eastAsia="黑体" w:cs="黑体"/>
          <w:spacing w:val="-13"/>
          <w:sz w:val="25"/>
          <w:szCs w:val="25"/>
        </w:rPr>
        <w:t>范</w:t>
      </w:r>
      <w:r>
        <w:rPr>
          <w:rFonts w:ascii="黑体" w:hAnsi="黑体" w:eastAsia="黑体" w:cs="黑体"/>
          <w:spacing w:val="-40"/>
          <w:sz w:val="25"/>
          <w:szCs w:val="25"/>
        </w:rPr>
        <w:t xml:space="preserve"> </w:t>
      </w:r>
      <w:r>
        <w:rPr>
          <w:rFonts w:ascii="黑体" w:hAnsi="黑体" w:eastAsia="黑体" w:cs="黑体"/>
          <w:spacing w:val="-13"/>
          <w:sz w:val="25"/>
          <w:szCs w:val="25"/>
        </w:rPr>
        <w:t>围</w:t>
      </w:r>
    </w:p>
    <w:p w14:paraId="38ECEBE0">
      <w:pPr>
        <w:pStyle w:val="2"/>
        <w:spacing w:before="118" w:line="219" w:lineRule="auto"/>
        <w:ind w:left="570"/>
      </w:pPr>
      <w:r>
        <w:rPr>
          <w:spacing w:val="2"/>
        </w:rPr>
        <w:t>说明初步危险分析的主题内容和适用范围。</w:t>
      </w:r>
    </w:p>
    <w:p w14:paraId="591635A2">
      <w:pPr>
        <w:spacing w:before="58"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sz w:val="27"/>
          <w:szCs w:val="27"/>
        </w:rPr>
        <w:t>引用文件</w:t>
      </w:r>
    </w:p>
    <w:p w14:paraId="22BEB8A1">
      <w:pPr>
        <w:pStyle w:val="2"/>
        <w:spacing w:before="125" w:line="219" w:lineRule="auto"/>
        <w:ind w:left="570"/>
      </w:pPr>
      <w:r>
        <w:rPr>
          <w:spacing w:val="4"/>
        </w:rPr>
        <w:t>列出编制初步危险分析的依据文件以及各章中引用的所有文件。</w:t>
      </w:r>
    </w:p>
    <w:p w14:paraId="22C2E810">
      <w:pPr>
        <w:spacing w:line="219" w:lineRule="auto"/>
        <w:sectPr>
          <w:footerReference r:id="rId556" w:type="default"/>
          <w:pgSz w:w="11910" w:h="17130"/>
          <w:pgMar w:top="400" w:right="1012" w:bottom="1573" w:left="1509" w:header="0" w:footer="1375" w:gutter="0"/>
          <w:cols w:space="720" w:num="1"/>
        </w:sectPr>
      </w:pPr>
    </w:p>
    <w:p w14:paraId="3048D800">
      <w:pPr>
        <w:spacing w:line="243" w:lineRule="auto"/>
        <w:rPr>
          <w:rFonts w:ascii="Arial"/>
          <w:sz w:val="21"/>
        </w:rPr>
      </w:pPr>
    </w:p>
    <w:p w14:paraId="03B1B101">
      <w:pPr>
        <w:spacing w:line="243" w:lineRule="auto"/>
        <w:rPr>
          <w:rFonts w:ascii="Arial"/>
          <w:sz w:val="21"/>
        </w:rPr>
      </w:pPr>
    </w:p>
    <w:p w14:paraId="7420DDFC">
      <w:pPr>
        <w:spacing w:line="244" w:lineRule="auto"/>
        <w:rPr>
          <w:rFonts w:ascii="Arial"/>
          <w:sz w:val="21"/>
        </w:rPr>
      </w:pPr>
    </w:p>
    <w:p w14:paraId="62A0B7F7">
      <w:pPr>
        <w:spacing w:line="244" w:lineRule="auto"/>
        <w:rPr>
          <w:rFonts w:ascii="Arial"/>
          <w:sz w:val="21"/>
        </w:rPr>
      </w:pPr>
    </w:p>
    <w:p w14:paraId="4FC1A736">
      <w:pPr>
        <w:spacing w:before="88" w:line="221"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14"/>
          <w:sz w:val="27"/>
          <w:szCs w:val="27"/>
        </w:rPr>
        <w:t xml:space="preserve">  </w:t>
      </w:r>
      <w:r>
        <w:rPr>
          <w:rFonts w:ascii="黑体" w:hAnsi="黑体" w:eastAsia="黑体" w:cs="黑体"/>
          <w:spacing w:val="2"/>
          <w:sz w:val="27"/>
          <w:szCs w:val="27"/>
        </w:rPr>
        <w:t>设计方案概述</w:t>
      </w:r>
    </w:p>
    <w:p w14:paraId="03312F4A">
      <w:pPr>
        <w:pStyle w:val="2"/>
        <w:spacing w:before="93" w:line="289" w:lineRule="auto"/>
        <w:ind w:right="420" w:firstLine="560"/>
        <w:rPr>
          <w:rFonts w:ascii="黑体" w:hAnsi="黑体" w:eastAsia="黑体" w:cs="黑体"/>
        </w:rPr>
      </w:pPr>
      <w:r>
        <w:rPr>
          <w:spacing w:val="-8"/>
        </w:rPr>
        <w:t>依据本书1.16《研制方案》或1.21《详细设计》,简要说明系统设计方案。</w:t>
      </w:r>
      <w:r>
        <w:rPr>
          <w:spacing w:val="14"/>
        </w:rPr>
        <w:t xml:space="preserve"> </w:t>
      </w:r>
      <w:r>
        <w:rPr>
          <w:rFonts w:ascii="黑体" w:hAnsi="黑体" w:eastAsia="黑体" w:cs="黑体"/>
          <w:spacing w:val="2"/>
        </w:rPr>
        <w:t>4</w:t>
      </w:r>
      <w:r>
        <w:rPr>
          <w:rFonts w:ascii="黑体" w:hAnsi="黑体" w:eastAsia="黑体" w:cs="黑体"/>
          <w:spacing w:val="9"/>
        </w:rPr>
        <w:t xml:space="preserve">  </w:t>
      </w:r>
      <w:r>
        <w:rPr>
          <w:rFonts w:ascii="黑体" w:hAnsi="黑体" w:eastAsia="黑体" w:cs="黑体"/>
          <w:spacing w:val="2"/>
        </w:rPr>
        <w:t>分析方法</w:t>
      </w:r>
    </w:p>
    <w:p w14:paraId="325E0FCC">
      <w:pPr>
        <w:pStyle w:val="2"/>
        <w:spacing w:line="219" w:lineRule="auto"/>
        <w:ind w:left="560"/>
      </w:pPr>
      <w:r>
        <w:rPr>
          <w:spacing w:val="1"/>
        </w:rPr>
        <w:t>说明用于危险分析的方法。</w:t>
      </w:r>
    </w:p>
    <w:p w14:paraId="337CD60B">
      <w:pPr>
        <w:pStyle w:val="2"/>
        <w:spacing w:before="111" w:line="275" w:lineRule="auto"/>
        <w:ind w:firstLine="560"/>
        <w:jc w:val="both"/>
      </w:pPr>
      <w:r>
        <w:rPr>
          <w:spacing w:val="6"/>
        </w:rPr>
        <w:t>应对系统(设备)中组成单元可能出现的危险事件及产生的后</w:t>
      </w:r>
      <w:r>
        <w:rPr>
          <w:spacing w:val="5"/>
        </w:rPr>
        <w:t>果进行初步危</w:t>
      </w:r>
      <w:r>
        <w:t xml:space="preserve"> </w:t>
      </w:r>
      <w:r>
        <w:rPr>
          <w:spacing w:val="-2"/>
        </w:rPr>
        <w:t>险分析，从而确定安全性的关键部位、评估各种风险、确</w:t>
      </w:r>
      <w:r>
        <w:rPr>
          <w:spacing w:val="-3"/>
        </w:rPr>
        <w:t>定安全性设计措施及应</w:t>
      </w:r>
      <w:r>
        <w:t xml:space="preserve"> </w:t>
      </w:r>
      <w:r>
        <w:rPr>
          <w:spacing w:val="-7"/>
        </w:rPr>
        <w:t>对策略，保证系统、设备、人员和信息的安全，并确定故障检测参数及故障判据。</w:t>
      </w:r>
      <w:r>
        <w:rPr>
          <w:spacing w:val="6"/>
        </w:rPr>
        <w:t xml:space="preserve"> </w:t>
      </w:r>
      <w:r>
        <w:rPr>
          <w:spacing w:val="5"/>
        </w:rPr>
        <w:t>初步分析可结合</w:t>
      </w:r>
      <w:r>
        <w:rPr>
          <w:rFonts w:ascii="Times New Roman" w:hAnsi="Times New Roman" w:eastAsia="Times New Roman" w:cs="Times New Roman"/>
        </w:rPr>
        <w:t>FMEA</w:t>
      </w:r>
      <w:r>
        <w:rPr>
          <w:rFonts w:ascii="Times New Roman" w:hAnsi="Times New Roman" w:eastAsia="Times New Roman" w:cs="Times New Roman"/>
          <w:spacing w:val="5"/>
        </w:rPr>
        <w:t xml:space="preserve">  </w:t>
      </w:r>
      <w:r>
        <w:rPr>
          <w:spacing w:val="5"/>
        </w:rPr>
        <w:t>的分析结果，按表11.4的格式填写危险统计表。</w:t>
      </w:r>
    </w:p>
    <w:p w14:paraId="71AA95E0">
      <w:pPr>
        <w:spacing w:line="368" w:lineRule="exact"/>
        <w:rPr>
          <w:rFonts w:ascii="黑体" w:hAnsi="黑体" w:eastAsia="黑体" w:cs="黑体"/>
          <w:sz w:val="27"/>
          <w:szCs w:val="27"/>
        </w:rPr>
      </w:pPr>
      <w:r>
        <w:rPr>
          <w:rFonts w:ascii="Arial" w:hAnsi="Arial" w:eastAsia="Arial" w:cs="Arial"/>
          <w:spacing w:val="2"/>
          <w:position w:val="1"/>
          <w:sz w:val="27"/>
          <w:szCs w:val="27"/>
        </w:rPr>
        <w:t>5</w:t>
      </w:r>
      <w:r>
        <w:rPr>
          <w:rFonts w:ascii="Arial" w:hAnsi="Arial" w:eastAsia="Arial" w:cs="Arial"/>
          <w:spacing w:val="20"/>
          <w:position w:val="1"/>
          <w:sz w:val="27"/>
          <w:szCs w:val="27"/>
        </w:rPr>
        <w:t xml:space="preserve">   </w:t>
      </w:r>
      <w:r>
        <w:rPr>
          <w:rFonts w:ascii="黑体" w:hAnsi="黑体" w:eastAsia="黑体" w:cs="黑体"/>
          <w:spacing w:val="2"/>
          <w:position w:val="1"/>
          <w:sz w:val="27"/>
          <w:szCs w:val="27"/>
        </w:rPr>
        <w:t>初步危险分析</w:t>
      </w:r>
    </w:p>
    <w:p w14:paraId="6BD14018">
      <w:pPr>
        <w:spacing w:before="130" w:line="222" w:lineRule="auto"/>
        <w:rPr>
          <w:rFonts w:ascii="黑体" w:hAnsi="黑体" w:eastAsia="黑体" w:cs="黑体"/>
          <w:sz w:val="25"/>
          <w:szCs w:val="25"/>
        </w:rPr>
      </w:pPr>
      <w:r>
        <w:rPr>
          <w:rFonts w:ascii="黑体" w:hAnsi="黑体" w:eastAsia="黑体" w:cs="黑体"/>
          <w:spacing w:val="11"/>
          <w:sz w:val="25"/>
          <w:szCs w:val="25"/>
        </w:rPr>
        <w:t>5.1</w:t>
      </w:r>
      <w:r>
        <w:rPr>
          <w:rFonts w:ascii="黑体" w:hAnsi="黑体" w:eastAsia="黑体" w:cs="黑体"/>
          <w:spacing w:val="39"/>
          <w:sz w:val="25"/>
          <w:szCs w:val="25"/>
        </w:rPr>
        <w:t xml:space="preserve">  </w:t>
      </w:r>
      <w:r>
        <w:rPr>
          <w:rFonts w:ascii="黑体" w:hAnsi="黑体" w:eastAsia="黑体" w:cs="黑体"/>
          <w:spacing w:val="11"/>
          <w:sz w:val="25"/>
          <w:szCs w:val="25"/>
        </w:rPr>
        <w:t>危险品</w:t>
      </w:r>
    </w:p>
    <w:p w14:paraId="2DF4E63B">
      <w:pPr>
        <w:pStyle w:val="2"/>
        <w:spacing w:before="99" w:line="290" w:lineRule="auto"/>
        <w:ind w:right="91" w:firstLine="560"/>
      </w:pPr>
      <w:r>
        <w:rPr>
          <w:spacing w:val="-18"/>
        </w:rPr>
        <w:t>列出危险品清单，例如燃料、激光、炸药、有毒物、有危险的建筑材料、压力系</w:t>
      </w:r>
      <w:r>
        <w:rPr>
          <w:spacing w:val="2"/>
        </w:rPr>
        <w:t xml:space="preserve"> </w:t>
      </w:r>
      <w:r>
        <w:rPr>
          <w:spacing w:val="-13"/>
        </w:rPr>
        <w:t>统、放射性物质等。</w:t>
      </w:r>
    </w:p>
    <w:p w14:paraId="7C719FDE">
      <w:pPr>
        <w:spacing w:before="3" w:line="222" w:lineRule="auto"/>
        <w:rPr>
          <w:rFonts w:ascii="黑体" w:hAnsi="黑体" w:eastAsia="黑体" w:cs="黑体"/>
          <w:sz w:val="27"/>
          <w:szCs w:val="27"/>
        </w:rPr>
      </w:pPr>
      <w:r>
        <w:rPr>
          <w:rFonts w:ascii="黑体" w:hAnsi="黑体" w:eastAsia="黑体" w:cs="黑体"/>
          <w:spacing w:val="4"/>
          <w:sz w:val="27"/>
          <w:szCs w:val="27"/>
        </w:rPr>
        <w:t>5.2</w:t>
      </w:r>
      <w:r>
        <w:rPr>
          <w:rFonts w:ascii="黑体" w:hAnsi="黑体" w:eastAsia="黑体" w:cs="黑体"/>
          <w:spacing w:val="14"/>
          <w:sz w:val="27"/>
          <w:szCs w:val="27"/>
        </w:rPr>
        <w:t xml:space="preserve">  </w:t>
      </w:r>
      <w:r>
        <w:rPr>
          <w:rFonts w:ascii="黑体" w:hAnsi="黑体" w:eastAsia="黑体" w:cs="黑体"/>
          <w:spacing w:val="4"/>
          <w:sz w:val="27"/>
          <w:szCs w:val="27"/>
        </w:rPr>
        <w:t>部件接口安全性</w:t>
      </w:r>
    </w:p>
    <w:p w14:paraId="06D0A86B">
      <w:pPr>
        <w:pStyle w:val="2"/>
        <w:spacing w:before="102" w:line="307" w:lineRule="auto"/>
        <w:ind w:right="104" w:firstLine="560"/>
        <w:rPr>
          <w:sz w:val="25"/>
          <w:szCs w:val="25"/>
        </w:rPr>
      </w:pPr>
      <w:r>
        <w:rPr>
          <w:spacing w:val="9"/>
          <w:sz w:val="25"/>
          <w:szCs w:val="25"/>
        </w:rPr>
        <w:t>分析部件接口安全性，如材料相容性、电磁干扰、意外触发、火灾或爆炸的发</w:t>
      </w:r>
      <w:r>
        <w:rPr>
          <w:spacing w:val="3"/>
          <w:sz w:val="25"/>
          <w:szCs w:val="25"/>
        </w:rPr>
        <w:t xml:space="preserve"> </w:t>
      </w:r>
      <w:r>
        <w:rPr>
          <w:spacing w:val="16"/>
          <w:sz w:val="25"/>
          <w:szCs w:val="25"/>
        </w:rPr>
        <w:t>生和蔓延、硬件和软件控制等，包括软件对系统或分系统安全性的可能影响。</w:t>
      </w:r>
    </w:p>
    <w:p w14:paraId="24E5F521">
      <w:pPr>
        <w:spacing w:line="222" w:lineRule="auto"/>
        <w:ind w:left="3469"/>
        <w:rPr>
          <w:rFonts w:ascii="仿宋" w:hAnsi="仿宋" w:eastAsia="仿宋" w:cs="仿宋"/>
          <w:sz w:val="27"/>
          <w:szCs w:val="27"/>
        </w:rPr>
      </w:pPr>
      <w:r>
        <w:rPr>
          <w:rFonts w:ascii="仿宋" w:hAnsi="仿宋" w:eastAsia="仿宋" w:cs="仿宋"/>
          <w:spacing w:val="6"/>
          <w:sz w:val="27"/>
          <w:szCs w:val="27"/>
        </w:rPr>
        <w:t>表11.4  危险统计表</w:t>
      </w:r>
    </w:p>
    <w:p w14:paraId="163900AB">
      <w:pPr>
        <w:spacing w:line="111" w:lineRule="exact"/>
      </w:pPr>
    </w:p>
    <w:tbl>
      <w:tblPr>
        <w:tblStyle w:val="5"/>
        <w:tblW w:w="936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4"/>
        <w:gridCol w:w="739"/>
        <w:gridCol w:w="739"/>
        <w:gridCol w:w="729"/>
        <w:gridCol w:w="729"/>
        <w:gridCol w:w="730"/>
        <w:gridCol w:w="739"/>
        <w:gridCol w:w="729"/>
        <w:gridCol w:w="630"/>
        <w:gridCol w:w="619"/>
        <w:gridCol w:w="739"/>
        <w:gridCol w:w="729"/>
        <w:gridCol w:w="794"/>
      </w:tblGrid>
      <w:tr w14:paraId="04614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724" w:type="dxa"/>
            <w:vMerge w:val="restart"/>
            <w:tcBorders>
              <w:bottom w:val="nil"/>
            </w:tcBorders>
            <w:vAlign w:val="top"/>
          </w:tcPr>
          <w:p w14:paraId="7A44D0C4">
            <w:pPr>
              <w:pStyle w:val="6"/>
              <w:spacing w:line="316" w:lineRule="auto"/>
            </w:pPr>
          </w:p>
          <w:p w14:paraId="05C2913D">
            <w:pPr>
              <w:pStyle w:val="6"/>
              <w:spacing w:line="317" w:lineRule="auto"/>
            </w:pPr>
          </w:p>
          <w:p w14:paraId="69022349">
            <w:pPr>
              <w:pStyle w:val="6"/>
              <w:spacing w:line="317" w:lineRule="auto"/>
            </w:pPr>
          </w:p>
          <w:p w14:paraId="5521CCA2">
            <w:pPr>
              <w:spacing w:before="68" w:line="221" w:lineRule="auto"/>
              <w:ind w:left="134"/>
              <w:rPr>
                <w:rFonts w:ascii="宋体" w:hAnsi="宋体" w:eastAsia="宋体" w:cs="宋体"/>
                <w:sz w:val="21"/>
                <w:szCs w:val="21"/>
              </w:rPr>
            </w:pPr>
            <w:r>
              <w:rPr>
                <w:rFonts w:ascii="宋体" w:hAnsi="宋体" w:eastAsia="宋体" w:cs="宋体"/>
                <w:spacing w:val="6"/>
                <w:sz w:val="21"/>
                <w:szCs w:val="21"/>
              </w:rPr>
              <w:t>序号</w:t>
            </w:r>
          </w:p>
        </w:tc>
        <w:tc>
          <w:tcPr>
            <w:tcW w:w="739" w:type="dxa"/>
            <w:vMerge w:val="restart"/>
            <w:tcBorders>
              <w:bottom w:val="nil"/>
            </w:tcBorders>
            <w:vAlign w:val="top"/>
          </w:tcPr>
          <w:p w14:paraId="5A6D06B7">
            <w:pPr>
              <w:pStyle w:val="6"/>
              <w:spacing w:line="300" w:lineRule="auto"/>
            </w:pPr>
          </w:p>
          <w:p w14:paraId="635BC8D3">
            <w:pPr>
              <w:pStyle w:val="6"/>
              <w:spacing w:line="301" w:lineRule="auto"/>
            </w:pPr>
          </w:p>
          <w:p w14:paraId="4AEA2FE4">
            <w:pPr>
              <w:spacing w:before="69" w:line="219" w:lineRule="auto"/>
              <w:ind w:left="151"/>
              <w:rPr>
                <w:rFonts w:ascii="宋体" w:hAnsi="宋体" w:eastAsia="宋体" w:cs="宋体"/>
                <w:sz w:val="21"/>
                <w:szCs w:val="21"/>
              </w:rPr>
            </w:pPr>
            <w:r>
              <w:rPr>
                <w:rFonts w:ascii="宋体" w:hAnsi="宋体" w:eastAsia="宋体" w:cs="宋体"/>
                <w:spacing w:val="10"/>
                <w:sz w:val="21"/>
                <w:szCs w:val="21"/>
              </w:rPr>
              <w:t>产品</w:t>
            </w:r>
          </w:p>
          <w:p w14:paraId="366D7785">
            <w:pPr>
              <w:spacing w:before="101" w:line="221" w:lineRule="auto"/>
              <w:ind w:left="151"/>
              <w:rPr>
                <w:rFonts w:ascii="宋体" w:hAnsi="宋体" w:eastAsia="宋体" w:cs="宋体"/>
                <w:sz w:val="21"/>
                <w:szCs w:val="21"/>
              </w:rPr>
            </w:pPr>
            <w:r>
              <w:rPr>
                <w:rFonts w:ascii="宋体" w:hAnsi="宋体" w:eastAsia="宋体" w:cs="宋体"/>
                <w:spacing w:val="6"/>
                <w:sz w:val="21"/>
                <w:szCs w:val="21"/>
              </w:rPr>
              <w:t>图号</w:t>
            </w:r>
          </w:p>
          <w:p w14:paraId="5FF9E03C">
            <w:pPr>
              <w:spacing w:before="87" w:line="219" w:lineRule="auto"/>
              <w:ind w:left="151"/>
              <w:rPr>
                <w:rFonts w:ascii="宋体" w:hAnsi="宋体" w:eastAsia="宋体" w:cs="宋体"/>
                <w:sz w:val="21"/>
                <w:szCs w:val="21"/>
              </w:rPr>
            </w:pPr>
            <w:r>
              <w:rPr>
                <w:rFonts w:ascii="宋体" w:hAnsi="宋体" w:eastAsia="宋体" w:cs="宋体"/>
                <w:spacing w:val="6"/>
                <w:sz w:val="21"/>
                <w:szCs w:val="21"/>
              </w:rPr>
              <w:t>代号</w:t>
            </w:r>
          </w:p>
        </w:tc>
        <w:tc>
          <w:tcPr>
            <w:tcW w:w="739" w:type="dxa"/>
            <w:vMerge w:val="restart"/>
            <w:tcBorders>
              <w:bottom w:val="nil"/>
            </w:tcBorders>
            <w:vAlign w:val="top"/>
          </w:tcPr>
          <w:p w14:paraId="2C6057E3">
            <w:pPr>
              <w:pStyle w:val="6"/>
              <w:spacing w:line="260" w:lineRule="auto"/>
            </w:pPr>
          </w:p>
          <w:p w14:paraId="3E6E083C">
            <w:pPr>
              <w:pStyle w:val="6"/>
              <w:spacing w:line="260" w:lineRule="auto"/>
            </w:pPr>
          </w:p>
          <w:p w14:paraId="06C453F8">
            <w:pPr>
              <w:pStyle w:val="6"/>
              <w:spacing w:line="260" w:lineRule="auto"/>
            </w:pPr>
          </w:p>
          <w:p w14:paraId="30F057FF">
            <w:pPr>
              <w:spacing w:before="68" w:line="219" w:lineRule="auto"/>
              <w:ind w:left="151"/>
              <w:rPr>
                <w:rFonts w:ascii="宋体" w:hAnsi="宋体" w:eastAsia="宋体" w:cs="宋体"/>
                <w:sz w:val="21"/>
                <w:szCs w:val="21"/>
              </w:rPr>
            </w:pPr>
            <w:r>
              <w:rPr>
                <w:rFonts w:ascii="宋体" w:hAnsi="宋体" w:eastAsia="宋体" w:cs="宋体"/>
                <w:spacing w:val="10"/>
                <w:sz w:val="21"/>
                <w:szCs w:val="21"/>
              </w:rPr>
              <w:t>产品</w:t>
            </w:r>
          </w:p>
          <w:p w14:paraId="0E970A71">
            <w:pPr>
              <w:spacing w:before="93" w:line="221" w:lineRule="auto"/>
              <w:ind w:left="151"/>
              <w:rPr>
                <w:rFonts w:ascii="宋体" w:hAnsi="宋体" w:eastAsia="宋体" w:cs="宋体"/>
                <w:sz w:val="21"/>
                <w:szCs w:val="21"/>
              </w:rPr>
            </w:pPr>
            <w:r>
              <w:rPr>
                <w:rFonts w:ascii="宋体" w:hAnsi="宋体" w:eastAsia="宋体" w:cs="宋体"/>
                <w:spacing w:val="5"/>
                <w:sz w:val="21"/>
                <w:szCs w:val="21"/>
              </w:rPr>
              <w:t>名称</w:t>
            </w:r>
          </w:p>
        </w:tc>
        <w:tc>
          <w:tcPr>
            <w:tcW w:w="729" w:type="dxa"/>
            <w:vMerge w:val="restart"/>
            <w:tcBorders>
              <w:bottom w:val="nil"/>
            </w:tcBorders>
            <w:vAlign w:val="top"/>
          </w:tcPr>
          <w:p w14:paraId="7E82A702">
            <w:pPr>
              <w:pStyle w:val="6"/>
              <w:spacing w:line="260" w:lineRule="auto"/>
            </w:pPr>
          </w:p>
          <w:p w14:paraId="592EE162">
            <w:pPr>
              <w:pStyle w:val="6"/>
              <w:spacing w:line="260" w:lineRule="auto"/>
            </w:pPr>
          </w:p>
          <w:p w14:paraId="5B2A4B07">
            <w:pPr>
              <w:pStyle w:val="6"/>
              <w:spacing w:line="261" w:lineRule="auto"/>
            </w:pPr>
          </w:p>
          <w:p w14:paraId="79E03864">
            <w:pPr>
              <w:spacing w:before="68" w:line="220" w:lineRule="auto"/>
              <w:ind w:left="142"/>
              <w:rPr>
                <w:rFonts w:ascii="宋体" w:hAnsi="宋体" w:eastAsia="宋体" w:cs="宋体"/>
                <w:sz w:val="21"/>
                <w:szCs w:val="21"/>
              </w:rPr>
            </w:pPr>
            <w:r>
              <w:rPr>
                <w:rFonts w:ascii="宋体" w:hAnsi="宋体" w:eastAsia="宋体" w:cs="宋体"/>
                <w:spacing w:val="-3"/>
                <w:sz w:val="21"/>
                <w:szCs w:val="21"/>
              </w:rPr>
              <w:t>危险</w:t>
            </w:r>
          </w:p>
          <w:p w14:paraId="48FE55A2">
            <w:pPr>
              <w:spacing w:before="89" w:line="219" w:lineRule="auto"/>
              <w:ind w:left="142"/>
              <w:rPr>
                <w:rFonts w:ascii="宋体" w:hAnsi="宋体" w:eastAsia="宋体" w:cs="宋体"/>
                <w:sz w:val="21"/>
                <w:szCs w:val="21"/>
              </w:rPr>
            </w:pPr>
            <w:r>
              <w:rPr>
                <w:rFonts w:ascii="宋体" w:hAnsi="宋体" w:eastAsia="宋体" w:cs="宋体"/>
                <w:spacing w:val="-3"/>
                <w:sz w:val="21"/>
                <w:szCs w:val="21"/>
              </w:rPr>
              <w:t>状态</w:t>
            </w:r>
          </w:p>
        </w:tc>
        <w:tc>
          <w:tcPr>
            <w:tcW w:w="729" w:type="dxa"/>
            <w:vMerge w:val="restart"/>
            <w:tcBorders>
              <w:bottom w:val="nil"/>
            </w:tcBorders>
            <w:vAlign w:val="top"/>
          </w:tcPr>
          <w:p w14:paraId="6A019A64">
            <w:pPr>
              <w:pStyle w:val="6"/>
              <w:spacing w:line="317" w:lineRule="auto"/>
            </w:pPr>
          </w:p>
          <w:p w14:paraId="4DB85A1F">
            <w:pPr>
              <w:pStyle w:val="6"/>
              <w:spacing w:line="317" w:lineRule="auto"/>
            </w:pPr>
          </w:p>
          <w:p w14:paraId="15F7B358">
            <w:pPr>
              <w:pStyle w:val="6"/>
              <w:spacing w:line="318" w:lineRule="auto"/>
            </w:pPr>
          </w:p>
          <w:p w14:paraId="7D64F4B1">
            <w:pPr>
              <w:spacing w:before="69" w:line="222" w:lineRule="auto"/>
              <w:ind w:left="133"/>
              <w:rPr>
                <w:rFonts w:ascii="宋体" w:hAnsi="宋体" w:eastAsia="宋体" w:cs="宋体"/>
                <w:sz w:val="21"/>
                <w:szCs w:val="21"/>
              </w:rPr>
            </w:pPr>
            <w:r>
              <w:rPr>
                <w:rFonts w:ascii="宋体" w:hAnsi="宋体" w:eastAsia="宋体" w:cs="宋体"/>
                <w:spacing w:val="10"/>
                <w:sz w:val="21"/>
                <w:szCs w:val="21"/>
              </w:rPr>
              <w:t>原因</w:t>
            </w:r>
          </w:p>
        </w:tc>
        <w:tc>
          <w:tcPr>
            <w:tcW w:w="730" w:type="dxa"/>
            <w:vMerge w:val="restart"/>
            <w:tcBorders>
              <w:bottom w:val="nil"/>
            </w:tcBorders>
            <w:vAlign w:val="top"/>
          </w:tcPr>
          <w:p w14:paraId="2105CF29">
            <w:pPr>
              <w:pStyle w:val="6"/>
              <w:spacing w:line="316" w:lineRule="auto"/>
            </w:pPr>
          </w:p>
          <w:p w14:paraId="5F54145C">
            <w:pPr>
              <w:pStyle w:val="6"/>
              <w:spacing w:line="317" w:lineRule="auto"/>
            </w:pPr>
          </w:p>
          <w:p w14:paraId="67636956">
            <w:pPr>
              <w:pStyle w:val="6"/>
              <w:spacing w:line="317" w:lineRule="auto"/>
            </w:pPr>
          </w:p>
          <w:p w14:paraId="064E2A37">
            <w:pPr>
              <w:spacing w:before="68" w:line="220" w:lineRule="auto"/>
              <w:ind w:left="135"/>
              <w:rPr>
                <w:rFonts w:ascii="宋体" w:hAnsi="宋体" w:eastAsia="宋体" w:cs="宋体"/>
                <w:sz w:val="21"/>
                <w:szCs w:val="21"/>
              </w:rPr>
            </w:pPr>
            <w:r>
              <w:rPr>
                <w:rFonts w:ascii="宋体" w:hAnsi="宋体" w:eastAsia="宋体" w:cs="宋体"/>
                <w:spacing w:val="6"/>
                <w:sz w:val="21"/>
                <w:szCs w:val="21"/>
              </w:rPr>
              <w:t>后果</w:t>
            </w:r>
          </w:p>
        </w:tc>
        <w:tc>
          <w:tcPr>
            <w:tcW w:w="739" w:type="dxa"/>
            <w:vMerge w:val="restart"/>
            <w:tcBorders>
              <w:bottom w:val="nil"/>
            </w:tcBorders>
            <w:vAlign w:val="top"/>
          </w:tcPr>
          <w:p w14:paraId="68F66D4E">
            <w:pPr>
              <w:pStyle w:val="6"/>
              <w:spacing w:line="301" w:lineRule="auto"/>
            </w:pPr>
          </w:p>
          <w:p w14:paraId="0A7FEAA8">
            <w:pPr>
              <w:pStyle w:val="6"/>
              <w:spacing w:line="301" w:lineRule="auto"/>
            </w:pPr>
          </w:p>
          <w:p w14:paraId="1726BEE3">
            <w:pPr>
              <w:spacing w:before="68" w:line="220" w:lineRule="auto"/>
              <w:ind w:left="154"/>
              <w:rPr>
                <w:rFonts w:ascii="宋体" w:hAnsi="宋体" w:eastAsia="宋体" w:cs="宋体"/>
                <w:sz w:val="21"/>
                <w:szCs w:val="21"/>
              </w:rPr>
            </w:pPr>
            <w:r>
              <w:rPr>
                <w:rFonts w:ascii="宋体" w:hAnsi="宋体" w:eastAsia="宋体" w:cs="宋体"/>
                <w:spacing w:val="-3"/>
                <w:sz w:val="21"/>
                <w:szCs w:val="21"/>
              </w:rPr>
              <w:t>危险</w:t>
            </w:r>
          </w:p>
          <w:p w14:paraId="6E2263B5">
            <w:pPr>
              <w:spacing w:before="100" w:line="300" w:lineRule="auto"/>
              <w:ind w:left="44" w:right="41" w:firstLine="110"/>
              <w:rPr>
                <w:rFonts w:ascii="宋体" w:hAnsi="宋体" w:eastAsia="宋体" w:cs="宋体"/>
                <w:sz w:val="21"/>
                <w:szCs w:val="21"/>
              </w:rPr>
            </w:pPr>
            <w:r>
              <w:rPr>
                <w:rFonts w:ascii="宋体" w:hAnsi="宋体" w:eastAsia="宋体" w:cs="宋体"/>
                <w:spacing w:val="-5"/>
                <w:sz w:val="21"/>
                <w:szCs w:val="21"/>
              </w:rPr>
              <w:t>严重</w:t>
            </w:r>
            <w:r>
              <w:rPr>
                <w:rFonts w:ascii="宋体" w:hAnsi="宋体" w:eastAsia="宋体" w:cs="宋体"/>
                <w:sz w:val="21"/>
                <w:szCs w:val="21"/>
              </w:rPr>
              <w:t xml:space="preserve">  </w:t>
            </w:r>
            <w:r>
              <w:rPr>
                <w:rFonts w:ascii="宋体" w:hAnsi="宋体" w:eastAsia="宋体" w:cs="宋体"/>
                <w:spacing w:val="4"/>
                <w:sz w:val="21"/>
                <w:szCs w:val="21"/>
              </w:rPr>
              <w:t>性等级</w:t>
            </w:r>
          </w:p>
        </w:tc>
        <w:tc>
          <w:tcPr>
            <w:tcW w:w="729" w:type="dxa"/>
            <w:vMerge w:val="restart"/>
            <w:tcBorders>
              <w:bottom w:val="nil"/>
            </w:tcBorders>
            <w:vAlign w:val="top"/>
          </w:tcPr>
          <w:p w14:paraId="22193B26">
            <w:pPr>
              <w:pStyle w:val="6"/>
              <w:spacing w:line="305" w:lineRule="auto"/>
            </w:pPr>
          </w:p>
          <w:p w14:paraId="2A917EDA">
            <w:pPr>
              <w:pStyle w:val="6"/>
              <w:spacing w:line="306" w:lineRule="auto"/>
            </w:pPr>
          </w:p>
          <w:p w14:paraId="10BAD4DE">
            <w:pPr>
              <w:spacing w:before="68" w:line="309" w:lineRule="auto"/>
              <w:ind w:left="46" w:right="30" w:firstLine="99"/>
              <w:rPr>
                <w:rFonts w:ascii="宋体" w:hAnsi="宋体" w:eastAsia="宋体" w:cs="宋体"/>
                <w:sz w:val="21"/>
                <w:szCs w:val="21"/>
              </w:rPr>
            </w:pPr>
            <w:r>
              <w:rPr>
                <w:rFonts w:ascii="宋体" w:hAnsi="宋体" w:eastAsia="宋体" w:cs="宋体"/>
                <w:spacing w:val="-6"/>
                <w:sz w:val="21"/>
                <w:szCs w:val="21"/>
              </w:rPr>
              <w:t>危险</w:t>
            </w:r>
            <w:r>
              <w:rPr>
                <w:rFonts w:ascii="宋体" w:hAnsi="宋体" w:eastAsia="宋体" w:cs="宋体"/>
                <w:sz w:val="21"/>
                <w:szCs w:val="21"/>
              </w:rPr>
              <w:t xml:space="preserve">  </w:t>
            </w:r>
            <w:r>
              <w:rPr>
                <w:rFonts w:ascii="宋体" w:hAnsi="宋体" w:eastAsia="宋体" w:cs="宋体"/>
                <w:spacing w:val="19"/>
                <w:w w:val="117"/>
                <w:sz w:val="21"/>
                <w:szCs w:val="21"/>
              </w:rPr>
              <w:t>可能</w:t>
            </w:r>
            <w:r>
              <w:rPr>
                <w:rFonts w:ascii="宋体" w:hAnsi="宋体" w:eastAsia="宋体" w:cs="宋体"/>
                <w:sz w:val="21"/>
                <w:szCs w:val="21"/>
              </w:rPr>
              <w:t xml:space="preserve">  </w:t>
            </w:r>
            <w:r>
              <w:rPr>
                <w:rFonts w:ascii="宋体" w:hAnsi="宋体" w:eastAsia="宋体" w:cs="宋体"/>
                <w:spacing w:val="4"/>
                <w:sz w:val="21"/>
                <w:szCs w:val="21"/>
              </w:rPr>
              <w:t>性等级</w:t>
            </w:r>
          </w:p>
        </w:tc>
        <w:tc>
          <w:tcPr>
            <w:tcW w:w="1249" w:type="dxa"/>
            <w:gridSpan w:val="2"/>
            <w:vAlign w:val="top"/>
          </w:tcPr>
          <w:p w14:paraId="59EF17D4">
            <w:pPr>
              <w:spacing w:before="104" w:line="220" w:lineRule="auto"/>
              <w:ind w:left="206"/>
              <w:rPr>
                <w:rFonts w:ascii="宋体" w:hAnsi="宋体" w:eastAsia="宋体" w:cs="宋体"/>
                <w:sz w:val="21"/>
                <w:szCs w:val="21"/>
              </w:rPr>
            </w:pPr>
            <w:r>
              <w:rPr>
                <w:rFonts w:ascii="宋体" w:hAnsi="宋体" w:eastAsia="宋体" w:cs="宋体"/>
                <w:spacing w:val="2"/>
                <w:sz w:val="21"/>
                <w:szCs w:val="21"/>
              </w:rPr>
              <w:t>安全措施</w:t>
            </w:r>
          </w:p>
        </w:tc>
        <w:tc>
          <w:tcPr>
            <w:tcW w:w="739" w:type="dxa"/>
            <w:vMerge w:val="restart"/>
            <w:tcBorders>
              <w:bottom w:val="nil"/>
            </w:tcBorders>
            <w:vAlign w:val="top"/>
          </w:tcPr>
          <w:p w14:paraId="3E336F41">
            <w:pPr>
              <w:pStyle w:val="6"/>
              <w:spacing w:line="300" w:lineRule="auto"/>
            </w:pPr>
          </w:p>
          <w:p w14:paraId="53810503">
            <w:pPr>
              <w:pStyle w:val="6"/>
              <w:spacing w:line="301" w:lineRule="auto"/>
            </w:pPr>
          </w:p>
          <w:p w14:paraId="0955526E">
            <w:pPr>
              <w:spacing w:before="69" w:line="219" w:lineRule="auto"/>
              <w:ind w:left="157"/>
              <w:rPr>
                <w:rFonts w:ascii="宋体" w:hAnsi="宋体" w:eastAsia="宋体" w:cs="宋体"/>
                <w:sz w:val="21"/>
                <w:szCs w:val="21"/>
              </w:rPr>
            </w:pPr>
            <w:r>
              <w:rPr>
                <w:rFonts w:ascii="宋体" w:hAnsi="宋体" w:eastAsia="宋体" w:cs="宋体"/>
                <w:spacing w:val="4"/>
                <w:sz w:val="21"/>
                <w:szCs w:val="21"/>
              </w:rPr>
              <w:t>故障</w:t>
            </w:r>
          </w:p>
          <w:p w14:paraId="5279A4AA">
            <w:pPr>
              <w:spacing w:before="101" w:line="292" w:lineRule="auto"/>
              <w:ind w:left="157" w:right="133"/>
              <w:rPr>
                <w:rFonts w:ascii="宋体" w:hAnsi="宋体" w:eastAsia="宋体" w:cs="宋体"/>
                <w:sz w:val="21"/>
                <w:szCs w:val="21"/>
              </w:rPr>
            </w:pPr>
            <w:r>
              <w:rPr>
                <w:rFonts w:ascii="宋体" w:hAnsi="宋体" w:eastAsia="宋体" w:cs="宋体"/>
                <w:spacing w:val="8"/>
                <w:sz w:val="21"/>
                <w:szCs w:val="21"/>
              </w:rPr>
              <w:t>检测</w:t>
            </w:r>
            <w:r>
              <w:rPr>
                <w:rFonts w:ascii="宋体" w:hAnsi="宋体" w:eastAsia="宋体" w:cs="宋体"/>
                <w:sz w:val="21"/>
                <w:szCs w:val="21"/>
              </w:rPr>
              <w:t xml:space="preserve"> </w:t>
            </w:r>
            <w:r>
              <w:rPr>
                <w:rFonts w:ascii="宋体" w:hAnsi="宋体" w:eastAsia="宋体" w:cs="宋体"/>
                <w:spacing w:val="-3"/>
                <w:sz w:val="21"/>
                <w:szCs w:val="21"/>
              </w:rPr>
              <w:t>参数</w:t>
            </w:r>
          </w:p>
        </w:tc>
        <w:tc>
          <w:tcPr>
            <w:tcW w:w="729" w:type="dxa"/>
            <w:vMerge w:val="restart"/>
            <w:tcBorders>
              <w:bottom w:val="nil"/>
            </w:tcBorders>
            <w:vAlign w:val="top"/>
          </w:tcPr>
          <w:p w14:paraId="04F9F14C">
            <w:pPr>
              <w:pStyle w:val="6"/>
              <w:spacing w:line="256" w:lineRule="auto"/>
            </w:pPr>
          </w:p>
          <w:p w14:paraId="4A6E9DC1">
            <w:pPr>
              <w:pStyle w:val="6"/>
              <w:spacing w:line="257" w:lineRule="auto"/>
            </w:pPr>
          </w:p>
          <w:p w14:paraId="1447E7ED">
            <w:pPr>
              <w:pStyle w:val="6"/>
              <w:spacing w:line="257" w:lineRule="auto"/>
            </w:pPr>
          </w:p>
          <w:p w14:paraId="0A423C60">
            <w:pPr>
              <w:spacing w:before="69" w:line="219" w:lineRule="auto"/>
              <w:ind w:left="148"/>
              <w:rPr>
                <w:rFonts w:ascii="宋体" w:hAnsi="宋体" w:eastAsia="宋体" w:cs="宋体"/>
                <w:sz w:val="21"/>
                <w:szCs w:val="21"/>
              </w:rPr>
            </w:pPr>
            <w:r>
              <w:rPr>
                <w:rFonts w:ascii="宋体" w:hAnsi="宋体" w:eastAsia="宋体" w:cs="宋体"/>
                <w:spacing w:val="4"/>
                <w:sz w:val="21"/>
                <w:szCs w:val="21"/>
              </w:rPr>
              <w:t>故障</w:t>
            </w:r>
          </w:p>
          <w:p w14:paraId="5FDE04F3">
            <w:pPr>
              <w:spacing w:before="100" w:line="219" w:lineRule="auto"/>
              <w:ind w:left="148"/>
              <w:rPr>
                <w:rFonts w:ascii="宋体" w:hAnsi="宋体" w:eastAsia="宋体" w:cs="宋体"/>
                <w:sz w:val="21"/>
                <w:szCs w:val="21"/>
              </w:rPr>
            </w:pPr>
            <w:r>
              <w:rPr>
                <w:rFonts w:ascii="宋体" w:hAnsi="宋体" w:eastAsia="宋体" w:cs="宋体"/>
                <w:spacing w:val="6"/>
                <w:sz w:val="21"/>
                <w:szCs w:val="21"/>
              </w:rPr>
              <w:t>判据</w:t>
            </w:r>
          </w:p>
        </w:tc>
        <w:tc>
          <w:tcPr>
            <w:tcW w:w="794" w:type="dxa"/>
            <w:vMerge w:val="restart"/>
            <w:tcBorders>
              <w:bottom w:val="nil"/>
            </w:tcBorders>
            <w:vAlign w:val="top"/>
          </w:tcPr>
          <w:p w14:paraId="4B8CC841">
            <w:pPr>
              <w:pStyle w:val="6"/>
              <w:spacing w:line="316" w:lineRule="auto"/>
            </w:pPr>
          </w:p>
          <w:p w14:paraId="7B786194">
            <w:pPr>
              <w:pStyle w:val="6"/>
              <w:spacing w:line="317" w:lineRule="auto"/>
            </w:pPr>
          </w:p>
          <w:p w14:paraId="71622A8B">
            <w:pPr>
              <w:pStyle w:val="6"/>
              <w:spacing w:line="317" w:lineRule="auto"/>
            </w:pPr>
          </w:p>
          <w:p w14:paraId="5DC4C368">
            <w:pPr>
              <w:spacing w:before="68" w:line="221" w:lineRule="auto"/>
              <w:ind w:left="179"/>
              <w:rPr>
                <w:rFonts w:ascii="宋体" w:hAnsi="宋体" w:eastAsia="宋体" w:cs="宋体"/>
                <w:sz w:val="21"/>
                <w:szCs w:val="21"/>
              </w:rPr>
            </w:pPr>
            <w:r>
              <w:rPr>
                <w:rFonts w:ascii="宋体" w:hAnsi="宋体" w:eastAsia="宋体" w:cs="宋体"/>
                <w:spacing w:val="5"/>
                <w:sz w:val="21"/>
                <w:szCs w:val="21"/>
              </w:rPr>
              <w:t>备注</w:t>
            </w:r>
          </w:p>
        </w:tc>
      </w:tr>
      <w:tr w14:paraId="0BC18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4" w:hRule="atLeast"/>
        </w:trPr>
        <w:tc>
          <w:tcPr>
            <w:tcW w:w="724" w:type="dxa"/>
            <w:vMerge w:val="continue"/>
            <w:tcBorders>
              <w:top w:val="nil"/>
            </w:tcBorders>
            <w:vAlign w:val="top"/>
          </w:tcPr>
          <w:p w14:paraId="1DB94B70">
            <w:pPr>
              <w:pStyle w:val="6"/>
            </w:pPr>
          </w:p>
        </w:tc>
        <w:tc>
          <w:tcPr>
            <w:tcW w:w="739" w:type="dxa"/>
            <w:vMerge w:val="continue"/>
            <w:tcBorders>
              <w:top w:val="nil"/>
            </w:tcBorders>
            <w:vAlign w:val="top"/>
          </w:tcPr>
          <w:p w14:paraId="33E82817">
            <w:pPr>
              <w:pStyle w:val="6"/>
            </w:pPr>
          </w:p>
        </w:tc>
        <w:tc>
          <w:tcPr>
            <w:tcW w:w="739" w:type="dxa"/>
            <w:vMerge w:val="continue"/>
            <w:tcBorders>
              <w:top w:val="nil"/>
            </w:tcBorders>
            <w:vAlign w:val="top"/>
          </w:tcPr>
          <w:p w14:paraId="2F23B7B0">
            <w:pPr>
              <w:pStyle w:val="6"/>
            </w:pPr>
          </w:p>
        </w:tc>
        <w:tc>
          <w:tcPr>
            <w:tcW w:w="729" w:type="dxa"/>
            <w:vMerge w:val="continue"/>
            <w:tcBorders>
              <w:top w:val="nil"/>
            </w:tcBorders>
            <w:vAlign w:val="top"/>
          </w:tcPr>
          <w:p w14:paraId="4CE993E2">
            <w:pPr>
              <w:pStyle w:val="6"/>
            </w:pPr>
          </w:p>
        </w:tc>
        <w:tc>
          <w:tcPr>
            <w:tcW w:w="729" w:type="dxa"/>
            <w:vMerge w:val="continue"/>
            <w:tcBorders>
              <w:top w:val="nil"/>
            </w:tcBorders>
            <w:vAlign w:val="top"/>
          </w:tcPr>
          <w:p w14:paraId="25CBFF05">
            <w:pPr>
              <w:pStyle w:val="6"/>
            </w:pPr>
          </w:p>
        </w:tc>
        <w:tc>
          <w:tcPr>
            <w:tcW w:w="730" w:type="dxa"/>
            <w:vMerge w:val="continue"/>
            <w:tcBorders>
              <w:top w:val="nil"/>
            </w:tcBorders>
            <w:vAlign w:val="top"/>
          </w:tcPr>
          <w:p w14:paraId="1AEE8132">
            <w:pPr>
              <w:pStyle w:val="6"/>
            </w:pPr>
          </w:p>
        </w:tc>
        <w:tc>
          <w:tcPr>
            <w:tcW w:w="739" w:type="dxa"/>
            <w:vMerge w:val="continue"/>
            <w:tcBorders>
              <w:top w:val="nil"/>
            </w:tcBorders>
            <w:vAlign w:val="top"/>
          </w:tcPr>
          <w:p w14:paraId="5D95AA5A">
            <w:pPr>
              <w:pStyle w:val="6"/>
            </w:pPr>
          </w:p>
        </w:tc>
        <w:tc>
          <w:tcPr>
            <w:tcW w:w="729" w:type="dxa"/>
            <w:vMerge w:val="continue"/>
            <w:tcBorders>
              <w:top w:val="nil"/>
            </w:tcBorders>
            <w:vAlign w:val="top"/>
          </w:tcPr>
          <w:p w14:paraId="39A08BA8">
            <w:pPr>
              <w:pStyle w:val="6"/>
            </w:pPr>
          </w:p>
        </w:tc>
        <w:tc>
          <w:tcPr>
            <w:tcW w:w="630" w:type="dxa"/>
            <w:vAlign w:val="top"/>
          </w:tcPr>
          <w:p w14:paraId="0C96BA24">
            <w:pPr>
              <w:spacing w:before="140" w:line="299" w:lineRule="auto"/>
              <w:ind w:left="97" w:right="93"/>
              <w:jc w:val="both"/>
              <w:rPr>
                <w:rFonts w:ascii="宋体" w:hAnsi="宋体" w:eastAsia="宋体" w:cs="宋体"/>
                <w:sz w:val="21"/>
                <w:szCs w:val="21"/>
              </w:rPr>
            </w:pPr>
            <w:r>
              <w:rPr>
                <w:rFonts w:ascii="宋体" w:hAnsi="宋体" w:eastAsia="宋体" w:cs="宋体"/>
                <w:spacing w:val="4"/>
                <w:sz w:val="21"/>
                <w:szCs w:val="21"/>
              </w:rPr>
              <w:t>防止</w:t>
            </w:r>
            <w:r>
              <w:rPr>
                <w:rFonts w:ascii="宋体" w:hAnsi="宋体" w:eastAsia="宋体" w:cs="宋体"/>
                <w:sz w:val="21"/>
                <w:szCs w:val="21"/>
              </w:rPr>
              <w:t xml:space="preserve"> </w:t>
            </w:r>
            <w:r>
              <w:rPr>
                <w:rFonts w:ascii="宋体" w:hAnsi="宋体" w:eastAsia="宋体" w:cs="宋体"/>
                <w:spacing w:val="-6"/>
                <w:sz w:val="21"/>
                <w:szCs w:val="21"/>
              </w:rPr>
              <w:t>危险</w:t>
            </w:r>
            <w:r>
              <w:rPr>
                <w:rFonts w:ascii="宋体" w:hAnsi="宋体" w:eastAsia="宋体" w:cs="宋体"/>
                <w:sz w:val="21"/>
                <w:szCs w:val="21"/>
              </w:rPr>
              <w:t xml:space="preserve"> </w:t>
            </w:r>
            <w:r>
              <w:rPr>
                <w:rFonts w:ascii="宋体" w:hAnsi="宋体" w:eastAsia="宋体" w:cs="宋体"/>
                <w:spacing w:val="4"/>
                <w:sz w:val="21"/>
                <w:szCs w:val="21"/>
              </w:rPr>
              <w:t>发生</w:t>
            </w:r>
          </w:p>
          <w:p w14:paraId="7C176191">
            <w:pPr>
              <w:spacing w:line="291" w:lineRule="auto"/>
              <w:ind w:left="206" w:right="91" w:hanging="109"/>
              <w:rPr>
                <w:rFonts w:ascii="宋体" w:hAnsi="宋体" w:eastAsia="宋体" w:cs="宋体"/>
                <w:sz w:val="21"/>
                <w:szCs w:val="21"/>
              </w:rPr>
            </w:pPr>
            <w:r>
              <w:rPr>
                <w:rFonts w:ascii="宋体" w:hAnsi="宋体" w:eastAsia="宋体" w:cs="宋体"/>
                <w:spacing w:val="5"/>
                <w:sz w:val="21"/>
                <w:szCs w:val="21"/>
              </w:rPr>
              <w:t>的措</w:t>
            </w:r>
            <w:r>
              <w:rPr>
                <w:rFonts w:ascii="宋体" w:hAnsi="宋体" w:eastAsia="宋体" w:cs="宋体"/>
                <w:sz w:val="21"/>
                <w:szCs w:val="21"/>
              </w:rPr>
              <w:t xml:space="preserve"> 施</w:t>
            </w:r>
          </w:p>
        </w:tc>
        <w:tc>
          <w:tcPr>
            <w:tcW w:w="619" w:type="dxa"/>
            <w:vAlign w:val="top"/>
          </w:tcPr>
          <w:p w14:paraId="68C2D47A">
            <w:pPr>
              <w:spacing w:before="131" w:line="299" w:lineRule="auto"/>
              <w:ind w:left="96" w:right="82"/>
              <w:rPr>
                <w:rFonts w:ascii="宋体" w:hAnsi="宋体" w:eastAsia="宋体" w:cs="宋体"/>
                <w:sz w:val="21"/>
                <w:szCs w:val="21"/>
              </w:rPr>
            </w:pPr>
            <w:r>
              <w:rPr>
                <w:rFonts w:ascii="宋体" w:hAnsi="宋体" w:eastAsia="宋体" w:cs="宋体"/>
                <w:spacing w:val="-6"/>
                <w:sz w:val="21"/>
                <w:szCs w:val="21"/>
              </w:rPr>
              <w:t>危险</w:t>
            </w:r>
            <w:r>
              <w:rPr>
                <w:rFonts w:ascii="宋体" w:hAnsi="宋体" w:eastAsia="宋体" w:cs="宋体"/>
                <w:sz w:val="21"/>
                <w:szCs w:val="21"/>
              </w:rPr>
              <w:t xml:space="preserve"> </w:t>
            </w:r>
            <w:r>
              <w:rPr>
                <w:rFonts w:ascii="宋体" w:hAnsi="宋体" w:eastAsia="宋体" w:cs="宋体"/>
                <w:spacing w:val="4"/>
                <w:sz w:val="21"/>
                <w:szCs w:val="21"/>
              </w:rPr>
              <w:t>发生</w:t>
            </w:r>
          </w:p>
          <w:p w14:paraId="4722E1BD">
            <w:pPr>
              <w:spacing w:before="2" w:line="296" w:lineRule="auto"/>
              <w:ind w:left="96" w:right="75"/>
              <w:jc w:val="both"/>
              <w:rPr>
                <w:rFonts w:ascii="宋体" w:hAnsi="宋体" w:eastAsia="宋体" w:cs="宋体"/>
                <w:sz w:val="21"/>
                <w:szCs w:val="21"/>
              </w:rPr>
            </w:pPr>
            <w:r>
              <w:rPr>
                <w:rFonts w:ascii="宋体" w:hAnsi="宋体" w:eastAsia="宋体" w:cs="宋体"/>
                <w:spacing w:val="8"/>
                <w:sz w:val="21"/>
                <w:szCs w:val="21"/>
              </w:rPr>
              <w:t>后的</w:t>
            </w:r>
            <w:r>
              <w:rPr>
                <w:rFonts w:ascii="宋体" w:hAnsi="宋体" w:eastAsia="宋体" w:cs="宋体"/>
                <w:sz w:val="21"/>
                <w:szCs w:val="21"/>
              </w:rPr>
              <w:t xml:space="preserve"> </w:t>
            </w:r>
            <w:r>
              <w:rPr>
                <w:rFonts w:ascii="宋体" w:hAnsi="宋体" w:eastAsia="宋体" w:cs="宋体"/>
                <w:spacing w:val="-7"/>
                <w:sz w:val="21"/>
                <w:szCs w:val="21"/>
              </w:rPr>
              <w:t>处置</w:t>
            </w:r>
            <w:r>
              <w:rPr>
                <w:rFonts w:ascii="宋体" w:hAnsi="宋体" w:eastAsia="宋体" w:cs="宋体"/>
                <w:sz w:val="21"/>
                <w:szCs w:val="21"/>
              </w:rPr>
              <w:t xml:space="preserve"> </w:t>
            </w:r>
            <w:r>
              <w:rPr>
                <w:rFonts w:ascii="宋体" w:hAnsi="宋体" w:eastAsia="宋体" w:cs="宋体"/>
                <w:spacing w:val="-3"/>
                <w:sz w:val="21"/>
                <w:szCs w:val="21"/>
              </w:rPr>
              <w:t>措施</w:t>
            </w:r>
          </w:p>
        </w:tc>
        <w:tc>
          <w:tcPr>
            <w:tcW w:w="739" w:type="dxa"/>
            <w:vMerge w:val="continue"/>
            <w:tcBorders>
              <w:top w:val="nil"/>
            </w:tcBorders>
            <w:vAlign w:val="top"/>
          </w:tcPr>
          <w:p w14:paraId="4ED38DF5">
            <w:pPr>
              <w:pStyle w:val="6"/>
            </w:pPr>
          </w:p>
        </w:tc>
        <w:tc>
          <w:tcPr>
            <w:tcW w:w="729" w:type="dxa"/>
            <w:vMerge w:val="continue"/>
            <w:tcBorders>
              <w:top w:val="nil"/>
            </w:tcBorders>
            <w:vAlign w:val="top"/>
          </w:tcPr>
          <w:p w14:paraId="2830E961">
            <w:pPr>
              <w:pStyle w:val="6"/>
            </w:pPr>
          </w:p>
        </w:tc>
        <w:tc>
          <w:tcPr>
            <w:tcW w:w="794" w:type="dxa"/>
            <w:vMerge w:val="continue"/>
            <w:tcBorders>
              <w:top w:val="nil"/>
            </w:tcBorders>
            <w:vAlign w:val="top"/>
          </w:tcPr>
          <w:p w14:paraId="477C21CF">
            <w:pPr>
              <w:pStyle w:val="6"/>
            </w:pPr>
          </w:p>
        </w:tc>
      </w:tr>
      <w:tr w14:paraId="1214D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Align w:val="top"/>
          </w:tcPr>
          <w:p w14:paraId="586B0FAD">
            <w:pPr>
              <w:pStyle w:val="6"/>
            </w:pPr>
          </w:p>
        </w:tc>
        <w:tc>
          <w:tcPr>
            <w:tcW w:w="739" w:type="dxa"/>
            <w:vAlign w:val="top"/>
          </w:tcPr>
          <w:p w14:paraId="0F0E12A6">
            <w:pPr>
              <w:pStyle w:val="6"/>
            </w:pPr>
          </w:p>
        </w:tc>
        <w:tc>
          <w:tcPr>
            <w:tcW w:w="739" w:type="dxa"/>
            <w:vAlign w:val="top"/>
          </w:tcPr>
          <w:p w14:paraId="1890FE1E">
            <w:pPr>
              <w:pStyle w:val="6"/>
            </w:pPr>
          </w:p>
        </w:tc>
        <w:tc>
          <w:tcPr>
            <w:tcW w:w="729" w:type="dxa"/>
            <w:vAlign w:val="top"/>
          </w:tcPr>
          <w:p w14:paraId="58A98AD2">
            <w:pPr>
              <w:pStyle w:val="6"/>
            </w:pPr>
          </w:p>
        </w:tc>
        <w:tc>
          <w:tcPr>
            <w:tcW w:w="729" w:type="dxa"/>
            <w:vAlign w:val="top"/>
          </w:tcPr>
          <w:p w14:paraId="0FA70A6A">
            <w:pPr>
              <w:pStyle w:val="6"/>
            </w:pPr>
          </w:p>
        </w:tc>
        <w:tc>
          <w:tcPr>
            <w:tcW w:w="730" w:type="dxa"/>
            <w:vAlign w:val="top"/>
          </w:tcPr>
          <w:p w14:paraId="7073ECF4">
            <w:pPr>
              <w:pStyle w:val="6"/>
            </w:pPr>
          </w:p>
        </w:tc>
        <w:tc>
          <w:tcPr>
            <w:tcW w:w="739" w:type="dxa"/>
            <w:vAlign w:val="top"/>
          </w:tcPr>
          <w:p w14:paraId="5DFFAF67">
            <w:pPr>
              <w:pStyle w:val="6"/>
            </w:pPr>
          </w:p>
        </w:tc>
        <w:tc>
          <w:tcPr>
            <w:tcW w:w="729" w:type="dxa"/>
            <w:vAlign w:val="top"/>
          </w:tcPr>
          <w:p w14:paraId="582BA2ED">
            <w:pPr>
              <w:pStyle w:val="6"/>
            </w:pPr>
          </w:p>
        </w:tc>
        <w:tc>
          <w:tcPr>
            <w:tcW w:w="630" w:type="dxa"/>
            <w:vAlign w:val="top"/>
          </w:tcPr>
          <w:p w14:paraId="7F6A5BCE">
            <w:pPr>
              <w:pStyle w:val="6"/>
            </w:pPr>
          </w:p>
        </w:tc>
        <w:tc>
          <w:tcPr>
            <w:tcW w:w="619" w:type="dxa"/>
            <w:vAlign w:val="top"/>
          </w:tcPr>
          <w:p w14:paraId="52B820C5">
            <w:pPr>
              <w:pStyle w:val="6"/>
            </w:pPr>
          </w:p>
        </w:tc>
        <w:tc>
          <w:tcPr>
            <w:tcW w:w="739" w:type="dxa"/>
            <w:vAlign w:val="top"/>
          </w:tcPr>
          <w:p w14:paraId="0C8749D4">
            <w:pPr>
              <w:pStyle w:val="6"/>
            </w:pPr>
          </w:p>
        </w:tc>
        <w:tc>
          <w:tcPr>
            <w:tcW w:w="729" w:type="dxa"/>
            <w:vAlign w:val="top"/>
          </w:tcPr>
          <w:p w14:paraId="6D0530D8">
            <w:pPr>
              <w:pStyle w:val="6"/>
            </w:pPr>
          </w:p>
        </w:tc>
        <w:tc>
          <w:tcPr>
            <w:tcW w:w="794" w:type="dxa"/>
            <w:vAlign w:val="top"/>
          </w:tcPr>
          <w:p w14:paraId="4E001B20">
            <w:pPr>
              <w:pStyle w:val="6"/>
            </w:pPr>
          </w:p>
        </w:tc>
      </w:tr>
      <w:tr w14:paraId="63625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724" w:type="dxa"/>
            <w:vAlign w:val="top"/>
          </w:tcPr>
          <w:p w14:paraId="014E6288">
            <w:pPr>
              <w:pStyle w:val="6"/>
            </w:pPr>
          </w:p>
        </w:tc>
        <w:tc>
          <w:tcPr>
            <w:tcW w:w="739" w:type="dxa"/>
            <w:vAlign w:val="top"/>
          </w:tcPr>
          <w:p w14:paraId="207FD004">
            <w:pPr>
              <w:pStyle w:val="6"/>
            </w:pPr>
          </w:p>
        </w:tc>
        <w:tc>
          <w:tcPr>
            <w:tcW w:w="739" w:type="dxa"/>
            <w:vAlign w:val="top"/>
          </w:tcPr>
          <w:p w14:paraId="05026789">
            <w:pPr>
              <w:pStyle w:val="6"/>
            </w:pPr>
          </w:p>
        </w:tc>
        <w:tc>
          <w:tcPr>
            <w:tcW w:w="729" w:type="dxa"/>
            <w:vAlign w:val="top"/>
          </w:tcPr>
          <w:p w14:paraId="05108691">
            <w:pPr>
              <w:pStyle w:val="6"/>
            </w:pPr>
          </w:p>
        </w:tc>
        <w:tc>
          <w:tcPr>
            <w:tcW w:w="729" w:type="dxa"/>
            <w:vAlign w:val="top"/>
          </w:tcPr>
          <w:p w14:paraId="2E3AE17B">
            <w:pPr>
              <w:pStyle w:val="6"/>
            </w:pPr>
          </w:p>
        </w:tc>
        <w:tc>
          <w:tcPr>
            <w:tcW w:w="730" w:type="dxa"/>
            <w:vAlign w:val="top"/>
          </w:tcPr>
          <w:p w14:paraId="77A4C25F">
            <w:pPr>
              <w:pStyle w:val="6"/>
            </w:pPr>
          </w:p>
        </w:tc>
        <w:tc>
          <w:tcPr>
            <w:tcW w:w="739" w:type="dxa"/>
            <w:vAlign w:val="top"/>
          </w:tcPr>
          <w:p w14:paraId="383E4F32">
            <w:pPr>
              <w:pStyle w:val="6"/>
            </w:pPr>
          </w:p>
        </w:tc>
        <w:tc>
          <w:tcPr>
            <w:tcW w:w="729" w:type="dxa"/>
            <w:vAlign w:val="top"/>
          </w:tcPr>
          <w:p w14:paraId="2A710A96">
            <w:pPr>
              <w:pStyle w:val="6"/>
            </w:pPr>
          </w:p>
        </w:tc>
        <w:tc>
          <w:tcPr>
            <w:tcW w:w="630" w:type="dxa"/>
            <w:vAlign w:val="top"/>
          </w:tcPr>
          <w:p w14:paraId="69EF282A">
            <w:pPr>
              <w:pStyle w:val="6"/>
            </w:pPr>
          </w:p>
        </w:tc>
        <w:tc>
          <w:tcPr>
            <w:tcW w:w="619" w:type="dxa"/>
            <w:vAlign w:val="top"/>
          </w:tcPr>
          <w:p w14:paraId="64948135">
            <w:pPr>
              <w:pStyle w:val="6"/>
            </w:pPr>
          </w:p>
        </w:tc>
        <w:tc>
          <w:tcPr>
            <w:tcW w:w="739" w:type="dxa"/>
            <w:vAlign w:val="top"/>
          </w:tcPr>
          <w:p w14:paraId="3A7DEA0D">
            <w:pPr>
              <w:pStyle w:val="6"/>
            </w:pPr>
          </w:p>
        </w:tc>
        <w:tc>
          <w:tcPr>
            <w:tcW w:w="729" w:type="dxa"/>
            <w:vAlign w:val="top"/>
          </w:tcPr>
          <w:p w14:paraId="342FFD07">
            <w:pPr>
              <w:pStyle w:val="6"/>
            </w:pPr>
          </w:p>
        </w:tc>
        <w:tc>
          <w:tcPr>
            <w:tcW w:w="794" w:type="dxa"/>
            <w:vAlign w:val="top"/>
          </w:tcPr>
          <w:p w14:paraId="492CE325">
            <w:pPr>
              <w:pStyle w:val="6"/>
            </w:pPr>
          </w:p>
        </w:tc>
      </w:tr>
    </w:tbl>
    <w:p w14:paraId="00DF385B">
      <w:pPr>
        <w:pStyle w:val="2"/>
        <w:spacing w:before="264" w:line="226" w:lineRule="auto"/>
        <w:rPr>
          <w:sz w:val="22"/>
          <w:szCs w:val="22"/>
        </w:rPr>
      </w:pPr>
      <w:r>
        <w:rPr>
          <w:spacing w:val="7"/>
          <w:position w:val="1"/>
          <w:sz w:val="22"/>
          <w:szCs w:val="22"/>
        </w:rPr>
        <w:t>填表：</w:t>
      </w:r>
      <w:r>
        <w:rPr>
          <w:spacing w:val="2"/>
          <w:position w:val="1"/>
          <w:sz w:val="22"/>
          <w:szCs w:val="22"/>
        </w:rPr>
        <w:t xml:space="preserve">                 </w:t>
      </w:r>
      <w:r>
        <w:rPr>
          <w:spacing w:val="7"/>
          <w:position w:val="1"/>
          <w:sz w:val="22"/>
          <w:szCs w:val="22"/>
        </w:rPr>
        <w:t>审核：</w:t>
      </w:r>
      <w:r>
        <w:rPr>
          <w:spacing w:val="3"/>
          <w:position w:val="1"/>
          <w:sz w:val="22"/>
          <w:szCs w:val="22"/>
        </w:rPr>
        <w:t xml:space="preserve">             </w:t>
      </w:r>
      <w:r>
        <w:rPr>
          <w:spacing w:val="7"/>
          <w:sz w:val="22"/>
          <w:szCs w:val="22"/>
        </w:rPr>
        <w:t>可靠性安全性会签：</w:t>
      </w:r>
    </w:p>
    <w:p w14:paraId="59B02C29">
      <w:pPr>
        <w:spacing w:before="127" w:line="219" w:lineRule="auto"/>
        <w:rPr>
          <w:rFonts w:ascii="黑体" w:hAnsi="黑体" w:eastAsia="黑体" w:cs="黑体"/>
          <w:sz w:val="27"/>
          <w:szCs w:val="27"/>
        </w:rPr>
      </w:pPr>
      <w:r>
        <w:rPr>
          <w:rFonts w:ascii="黑体" w:hAnsi="黑体" w:eastAsia="黑体" w:cs="黑体"/>
          <w:spacing w:val="5"/>
          <w:sz w:val="27"/>
          <w:szCs w:val="27"/>
        </w:rPr>
        <w:t>5.3  软件命令和响应的安全性设计准则</w:t>
      </w:r>
    </w:p>
    <w:p w14:paraId="74E59B42">
      <w:pPr>
        <w:pStyle w:val="2"/>
        <w:spacing w:before="94" w:line="289" w:lineRule="auto"/>
        <w:ind w:right="92" w:firstLine="560"/>
        <w:jc w:val="both"/>
      </w:pPr>
      <w:r>
        <w:rPr>
          <w:spacing w:val="1"/>
        </w:rPr>
        <w:t>确定控制安全性关键的软件命令和响应(例如错误命令、不适时的命令和响</w:t>
      </w:r>
      <w:r>
        <w:rPr>
          <w:spacing w:val="13"/>
        </w:rPr>
        <w:t xml:space="preserve"> </w:t>
      </w:r>
      <w:r>
        <w:rPr>
          <w:spacing w:val="2"/>
        </w:rPr>
        <w:t>应、或由订购方指定的不希望事件等)的安全性</w:t>
      </w:r>
      <w:r>
        <w:rPr>
          <w:spacing w:val="1"/>
        </w:rPr>
        <w:t>设计准则，采取适当的措施并将</w:t>
      </w:r>
      <w:r>
        <w:t xml:space="preserve"> </w:t>
      </w:r>
      <w:r>
        <w:rPr>
          <w:spacing w:val="2"/>
        </w:rPr>
        <w:t>其纳入软件和相关的硬件要求中。</w:t>
      </w:r>
    </w:p>
    <w:p w14:paraId="09E6CD0B">
      <w:pPr>
        <w:spacing w:before="17" w:line="221" w:lineRule="auto"/>
        <w:outlineLvl w:val="3"/>
        <w:rPr>
          <w:rFonts w:ascii="黑体" w:hAnsi="黑体" w:eastAsia="黑体" w:cs="黑体"/>
          <w:sz w:val="27"/>
          <w:szCs w:val="27"/>
        </w:rPr>
      </w:pPr>
      <w:r>
        <w:rPr>
          <w:rFonts w:ascii="Arial" w:hAnsi="Arial" w:eastAsia="Arial" w:cs="Arial"/>
          <w:b/>
          <w:bCs/>
          <w:spacing w:val="-2"/>
          <w:sz w:val="27"/>
          <w:szCs w:val="27"/>
        </w:rPr>
        <w:t xml:space="preserve">5.4    </w:t>
      </w:r>
      <w:r>
        <w:rPr>
          <w:rFonts w:ascii="黑体" w:hAnsi="黑体" w:eastAsia="黑体" w:cs="黑体"/>
          <w:b/>
          <w:bCs/>
          <w:spacing w:val="-2"/>
          <w:sz w:val="27"/>
          <w:szCs w:val="27"/>
        </w:rPr>
        <w:t>与安全性有关的设备、保险装置和可能的备选方法</w:t>
      </w:r>
    </w:p>
    <w:p w14:paraId="6A70499F">
      <w:pPr>
        <w:pStyle w:val="2"/>
        <w:spacing w:before="65" w:line="295" w:lineRule="auto"/>
        <w:ind w:right="100" w:firstLine="560"/>
        <w:jc w:val="both"/>
      </w:pPr>
      <w:r>
        <w:rPr>
          <w:spacing w:val="-3"/>
        </w:rPr>
        <w:t>说明与安全性有关的设备、保险装置和可能的备选方法，例如联锁装置、冗</w:t>
      </w:r>
      <w:r>
        <w:rPr>
          <w:spacing w:val="2"/>
        </w:rPr>
        <w:t xml:space="preserve"> </w:t>
      </w:r>
      <w:r>
        <w:rPr>
          <w:spacing w:val="-10"/>
        </w:rPr>
        <w:t>余技术、硬件或软件的故障安全设计、分系统保护、灭火</w:t>
      </w:r>
      <w:r>
        <w:rPr>
          <w:spacing w:val="-11"/>
        </w:rPr>
        <w:t>系统、人员防护设备、通</w:t>
      </w:r>
      <w:r>
        <w:t xml:space="preserve"> </w:t>
      </w:r>
      <w:r>
        <w:rPr>
          <w:spacing w:val="-8"/>
        </w:rPr>
        <w:t>风装置、噪声或辐射屏蔽等。</w:t>
      </w:r>
    </w:p>
    <w:p w14:paraId="2A931BF9">
      <w:pPr>
        <w:spacing w:line="295" w:lineRule="auto"/>
        <w:sectPr>
          <w:footerReference r:id="rId557" w:type="default"/>
          <w:pgSz w:w="11910" w:h="17130"/>
          <w:pgMar w:top="400" w:right="1354" w:bottom="1703" w:left="1079" w:header="0" w:footer="1504" w:gutter="0"/>
          <w:cols w:space="720" w:num="1"/>
        </w:sectPr>
      </w:pPr>
    </w:p>
    <w:p w14:paraId="3FB9196A">
      <w:pPr>
        <w:rPr>
          <w:rFonts w:ascii="Arial"/>
          <w:sz w:val="21"/>
        </w:rPr>
      </w:pPr>
    </w:p>
    <w:p w14:paraId="4B887DA7">
      <w:pPr>
        <w:rPr>
          <w:rFonts w:ascii="Arial"/>
          <w:sz w:val="21"/>
        </w:rPr>
      </w:pPr>
    </w:p>
    <w:p w14:paraId="2F007F46">
      <w:pPr>
        <w:rPr>
          <w:rFonts w:ascii="Arial"/>
          <w:sz w:val="21"/>
        </w:rPr>
      </w:pPr>
    </w:p>
    <w:p w14:paraId="6DE6D8C9">
      <w:pPr>
        <w:spacing w:line="241" w:lineRule="auto"/>
        <w:rPr>
          <w:rFonts w:ascii="Arial"/>
          <w:sz w:val="21"/>
        </w:rPr>
      </w:pPr>
    </w:p>
    <w:p w14:paraId="785CA327">
      <w:pPr>
        <w:spacing w:before="88" w:line="222" w:lineRule="auto"/>
        <w:rPr>
          <w:rFonts w:ascii="黑体" w:hAnsi="黑体" w:eastAsia="黑体" w:cs="黑体"/>
          <w:sz w:val="27"/>
          <w:szCs w:val="27"/>
        </w:rPr>
      </w:pPr>
      <w:r>
        <w:rPr>
          <w:rFonts w:ascii="黑体" w:hAnsi="黑体" w:eastAsia="黑体" w:cs="黑体"/>
          <w:spacing w:val="1"/>
          <w:sz w:val="27"/>
          <w:szCs w:val="27"/>
        </w:rPr>
        <w:t>5.5</w:t>
      </w:r>
      <w:r>
        <w:rPr>
          <w:rFonts w:ascii="黑体" w:hAnsi="黑体" w:eastAsia="黑体" w:cs="黑体"/>
          <w:spacing w:val="18"/>
          <w:sz w:val="27"/>
          <w:szCs w:val="27"/>
        </w:rPr>
        <w:t xml:space="preserve">  </w:t>
      </w:r>
      <w:r>
        <w:rPr>
          <w:rFonts w:ascii="黑体" w:hAnsi="黑体" w:eastAsia="黑体" w:cs="黑体"/>
          <w:b/>
          <w:bCs/>
          <w:spacing w:val="1"/>
          <w:sz w:val="27"/>
          <w:szCs w:val="27"/>
        </w:rPr>
        <w:t>环境约束条件</w:t>
      </w:r>
    </w:p>
    <w:p w14:paraId="7D4F008B">
      <w:pPr>
        <w:pStyle w:val="2"/>
        <w:spacing w:before="81" w:line="278" w:lineRule="auto"/>
        <w:ind w:right="30" w:firstLine="569"/>
        <w:jc w:val="both"/>
      </w:pPr>
      <w:r>
        <w:rPr>
          <w:spacing w:val="-8"/>
        </w:rPr>
        <w:t>明确包括使用环境在内的环境约束条件并进行分析，例如坠落、冲击、振动、</w:t>
      </w:r>
      <w:r>
        <w:rPr>
          <w:spacing w:val="6"/>
        </w:rPr>
        <w:t xml:space="preserve"> </w:t>
      </w:r>
      <w:r>
        <w:rPr>
          <w:spacing w:val="-17"/>
        </w:rPr>
        <w:t>极限温度、噪声、接触有毒物质、有害健康的环境、火灾、静电放电、雷击、电磁环</w:t>
      </w:r>
      <w:r>
        <w:t xml:space="preserve">  </w:t>
      </w:r>
      <w:r>
        <w:rPr>
          <w:spacing w:val="-2"/>
        </w:rPr>
        <w:t>境影响，包括激光辐射在内的电离和非电离</w:t>
      </w:r>
      <w:r>
        <w:rPr>
          <w:spacing w:val="-3"/>
        </w:rPr>
        <w:t>辐射等。</w:t>
      </w:r>
    </w:p>
    <w:p w14:paraId="1A304DFE">
      <w:pPr>
        <w:spacing w:before="22" w:line="221" w:lineRule="auto"/>
        <w:rPr>
          <w:rFonts w:ascii="黑体" w:hAnsi="黑体" w:eastAsia="黑体" w:cs="黑体"/>
          <w:sz w:val="24"/>
          <w:szCs w:val="24"/>
        </w:rPr>
      </w:pPr>
      <w:r>
        <w:rPr>
          <w:rFonts w:ascii="黑体" w:hAnsi="黑体" w:eastAsia="黑体" w:cs="黑体"/>
          <w:spacing w:val="10"/>
          <w:sz w:val="24"/>
          <w:szCs w:val="24"/>
        </w:rPr>
        <w:t>5.6</w:t>
      </w:r>
      <w:r>
        <w:rPr>
          <w:rFonts w:ascii="黑体" w:hAnsi="黑体" w:eastAsia="黑体" w:cs="黑体"/>
          <w:spacing w:val="40"/>
          <w:sz w:val="24"/>
          <w:szCs w:val="24"/>
        </w:rPr>
        <w:t xml:space="preserve">  </w:t>
      </w:r>
      <w:r>
        <w:rPr>
          <w:rFonts w:ascii="黑体" w:hAnsi="黑体" w:eastAsia="黑体" w:cs="黑体"/>
          <w:b/>
          <w:bCs/>
          <w:spacing w:val="10"/>
          <w:sz w:val="24"/>
          <w:szCs w:val="24"/>
        </w:rPr>
        <w:t>操作、试验、维修和应急规程</w:t>
      </w:r>
    </w:p>
    <w:p w14:paraId="511032DA">
      <w:pPr>
        <w:pStyle w:val="2"/>
        <w:spacing w:before="89" w:line="279" w:lineRule="auto"/>
        <w:ind w:right="30" w:firstLine="569"/>
        <w:jc w:val="both"/>
      </w:pPr>
      <w:r>
        <w:rPr>
          <w:spacing w:val="-8"/>
        </w:rPr>
        <w:t>对操作、试验、维修和应急规程进行分析，例如人素工程、操作人员的作用、</w:t>
      </w:r>
      <w:r>
        <w:rPr>
          <w:spacing w:val="6"/>
        </w:rPr>
        <w:t xml:space="preserve"> </w:t>
      </w:r>
      <w:r>
        <w:rPr>
          <w:spacing w:val="-3"/>
        </w:rPr>
        <w:t>任务要求等的人为差错分析；设备布置、照明要求、可能外露的有毒物质等因素</w:t>
      </w:r>
      <w:r>
        <w:rPr>
          <w:spacing w:val="8"/>
        </w:rPr>
        <w:t xml:space="preserve">  </w:t>
      </w:r>
      <w:r>
        <w:rPr>
          <w:spacing w:val="-3"/>
        </w:rPr>
        <w:t>的影响，噪声或辐射对人的能力的影响，载人系统中的生命保障要求及其安全性</w:t>
      </w:r>
      <w:r>
        <w:rPr>
          <w:spacing w:val="7"/>
        </w:rPr>
        <w:t xml:space="preserve">  </w:t>
      </w:r>
      <w:r>
        <w:rPr>
          <w:spacing w:val="-19"/>
        </w:rPr>
        <w:t>问题，例如坠落安全性、应急出口、营救、救生等。</w:t>
      </w:r>
    </w:p>
    <w:p w14:paraId="5852A232">
      <w:pPr>
        <w:spacing w:before="22" w:line="222" w:lineRule="auto"/>
        <w:rPr>
          <w:rFonts w:ascii="黑体" w:hAnsi="黑体" w:eastAsia="黑体" w:cs="黑体"/>
          <w:sz w:val="24"/>
          <w:szCs w:val="24"/>
        </w:rPr>
      </w:pPr>
      <w:r>
        <w:rPr>
          <w:rFonts w:ascii="黑体" w:hAnsi="黑体" w:eastAsia="黑体" w:cs="黑体"/>
          <w:spacing w:val="8"/>
          <w:sz w:val="24"/>
          <w:szCs w:val="24"/>
        </w:rPr>
        <w:t>5.7</w:t>
      </w:r>
      <w:r>
        <w:rPr>
          <w:rFonts w:ascii="黑体" w:hAnsi="黑体" w:eastAsia="黑体" w:cs="黑体"/>
          <w:spacing w:val="53"/>
          <w:sz w:val="24"/>
          <w:szCs w:val="24"/>
        </w:rPr>
        <w:t xml:space="preserve">  </w:t>
      </w:r>
      <w:r>
        <w:rPr>
          <w:rFonts w:ascii="黑体" w:hAnsi="黑体" w:eastAsia="黑体" w:cs="黑体"/>
          <w:b/>
          <w:bCs/>
          <w:spacing w:val="8"/>
          <w:sz w:val="24"/>
          <w:szCs w:val="24"/>
        </w:rPr>
        <w:t>设施、保障设备</w:t>
      </w:r>
    </w:p>
    <w:p w14:paraId="2B4A4320">
      <w:pPr>
        <w:pStyle w:val="2"/>
        <w:spacing w:before="107" w:line="275" w:lineRule="auto"/>
        <w:ind w:firstLine="569"/>
      </w:pPr>
      <w:r>
        <w:rPr>
          <w:spacing w:val="1"/>
        </w:rPr>
        <w:t xml:space="preserve">对设施、保障设备进行分析，例如用于含有危险物质的系统或组件的贮存、 </w:t>
      </w:r>
      <w:r>
        <w:rPr>
          <w:spacing w:val="-15"/>
        </w:rPr>
        <w:t>组装、检查、检验等方面的设备，射线或噪声发射器，电源等。</w:t>
      </w:r>
    </w:p>
    <w:p w14:paraId="38CF95FC">
      <w:pPr>
        <w:spacing w:before="1" w:line="220"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27"/>
          <w:sz w:val="27"/>
          <w:szCs w:val="27"/>
        </w:rPr>
        <w:t xml:space="preserve">  </w:t>
      </w:r>
      <w:r>
        <w:rPr>
          <w:rFonts w:ascii="黑体" w:hAnsi="黑体" w:eastAsia="黑体" w:cs="黑体"/>
          <w:b/>
          <w:bCs/>
          <w:spacing w:val="-1"/>
          <w:sz w:val="27"/>
          <w:szCs w:val="27"/>
        </w:rPr>
        <w:t>安全性措施和替换方案</w:t>
      </w:r>
    </w:p>
    <w:p w14:paraId="0A21DE3C">
      <w:pPr>
        <w:pStyle w:val="2"/>
        <w:spacing w:before="82" w:line="291" w:lineRule="auto"/>
        <w:ind w:right="123" w:firstLine="569"/>
      </w:pPr>
      <w:r>
        <w:rPr>
          <w:spacing w:val="24"/>
        </w:rPr>
        <w:t>考虑消除危险或减少风险以达到可接受水平所需的安全性措施和替换</w:t>
      </w:r>
      <w:r>
        <w:t xml:space="preserve"> </w:t>
      </w:r>
      <w:r>
        <w:rPr>
          <w:spacing w:val="-2"/>
        </w:rPr>
        <w:t>方案。</w:t>
      </w:r>
    </w:p>
    <w:p w14:paraId="6FBCA5F2">
      <w:pPr>
        <w:pStyle w:val="2"/>
        <w:spacing w:before="321" w:line="220" w:lineRule="auto"/>
        <w:ind w:left="2889"/>
        <w:rPr>
          <w:sz w:val="39"/>
          <w:szCs w:val="39"/>
        </w:rPr>
      </w:pPr>
      <w:r>
        <w:rPr>
          <w:spacing w:val="-22"/>
          <w:sz w:val="39"/>
          <w:szCs w:val="39"/>
        </w:rPr>
        <w:t>11.6</w:t>
      </w:r>
      <w:r>
        <w:rPr>
          <w:spacing w:val="178"/>
          <w:sz w:val="39"/>
          <w:szCs w:val="39"/>
        </w:rPr>
        <w:t xml:space="preserve"> </w:t>
      </w:r>
      <w:r>
        <w:rPr>
          <w:b/>
          <w:bCs/>
          <w:spacing w:val="-22"/>
          <w:sz w:val="39"/>
          <w:szCs w:val="39"/>
        </w:rPr>
        <w:t>分系统危险分析</w:t>
      </w:r>
    </w:p>
    <w:p w14:paraId="1709B4A2">
      <w:pPr>
        <w:spacing w:line="363" w:lineRule="auto"/>
        <w:rPr>
          <w:rFonts w:ascii="Arial"/>
          <w:sz w:val="21"/>
        </w:rPr>
      </w:pPr>
    </w:p>
    <w:p w14:paraId="2C86CF07">
      <w:pPr>
        <w:pStyle w:val="2"/>
        <w:spacing w:before="78" w:line="223" w:lineRule="auto"/>
        <w:ind w:left="569"/>
        <w:rPr>
          <w:rFonts w:ascii="楷体" w:hAnsi="楷体" w:eastAsia="楷体" w:cs="楷体"/>
          <w:sz w:val="24"/>
          <w:szCs w:val="24"/>
        </w:rPr>
      </w:pPr>
      <w:r>
        <w:rPr>
          <w:rFonts w:ascii="楷体" w:hAnsi="楷体" w:eastAsia="楷体" w:cs="楷体"/>
          <w:spacing w:val="11"/>
          <w:sz w:val="24"/>
          <w:szCs w:val="24"/>
        </w:rPr>
        <w:t>按</w:t>
      </w:r>
      <w:r>
        <w:rPr>
          <w:rFonts w:ascii="楷体" w:hAnsi="楷体" w:eastAsia="楷体" w:cs="楷体"/>
          <w:spacing w:val="-14"/>
          <w:sz w:val="24"/>
          <w:szCs w:val="24"/>
        </w:rPr>
        <w:t xml:space="preserve"> </w:t>
      </w:r>
      <w:r>
        <w:rPr>
          <w:rFonts w:ascii="楷体" w:hAnsi="楷体" w:eastAsia="楷体" w:cs="楷体"/>
          <w:spacing w:val="1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1"/>
          <w:sz w:val="24"/>
          <w:szCs w:val="24"/>
        </w:rPr>
        <w:t xml:space="preserve">900—1990   </w:t>
      </w:r>
      <w:r>
        <w:rPr>
          <w:b/>
          <w:bCs/>
          <w:spacing w:val="11"/>
          <w:sz w:val="24"/>
          <w:szCs w:val="24"/>
        </w:rPr>
        <w:t>《</w:t>
      </w:r>
      <w:r>
        <w:rPr>
          <w:rFonts w:ascii="楷体" w:hAnsi="楷体" w:eastAsia="楷体" w:cs="楷体"/>
          <w:b/>
          <w:bCs/>
          <w:spacing w:val="11"/>
          <w:sz w:val="24"/>
          <w:szCs w:val="24"/>
        </w:rPr>
        <w:t>系统安全性通用大纲》编写。</w:t>
      </w:r>
    </w:p>
    <w:p w14:paraId="7B9E109A">
      <w:pPr>
        <w:spacing w:before="98"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31"/>
          <w:sz w:val="27"/>
          <w:szCs w:val="27"/>
        </w:rPr>
        <w:t xml:space="preserve">  </w:t>
      </w:r>
      <w:r>
        <w:rPr>
          <w:rFonts w:ascii="黑体" w:hAnsi="黑体" w:eastAsia="黑体" w:cs="黑体"/>
          <w:b/>
          <w:bCs/>
          <w:spacing w:val="-13"/>
          <w:sz w:val="27"/>
          <w:szCs w:val="27"/>
        </w:rPr>
        <w:t>范围</w:t>
      </w:r>
    </w:p>
    <w:p w14:paraId="7453CA39">
      <w:pPr>
        <w:pStyle w:val="2"/>
        <w:spacing w:before="97" w:line="219" w:lineRule="auto"/>
        <w:ind w:left="569"/>
      </w:pPr>
      <w:r>
        <w:rPr>
          <w:spacing w:val="4"/>
        </w:rPr>
        <w:t>说明分系统危险分析的主题内容和适用范围。</w:t>
      </w:r>
    </w:p>
    <w:p w14:paraId="14B3B50F">
      <w:pPr>
        <w:spacing w:before="64"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23"/>
          <w:sz w:val="27"/>
          <w:szCs w:val="27"/>
        </w:rPr>
        <w:t xml:space="preserve">  </w:t>
      </w:r>
      <w:r>
        <w:rPr>
          <w:rFonts w:ascii="黑体" w:hAnsi="黑体" w:eastAsia="黑体" w:cs="黑体"/>
          <w:b/>
          <w:bCs/>
          <w:spacing w:val="-3"/>
          <w:sz w:val="27"/>
          <w:szCs w:val="27"/>
        </w:rPr>
        <w:t>引用文件</w:t>
      </w:r>
    </w:p>
    <w:p w14:paraId="38086E6B">
      <w:pPr>
        <w:pStyle w:val="2"/>
        <w:spacing w:before="110" w:line="259" w:lineRule="auto"/>
        <w:ind w:right="979" w:firstLine="569"/>
        <w:rPr>
          <w:rFonts w:ascii="黑体" w:hAnsi="黑体" w:eastAsia="黑体" w:cs="黑体"/>
        </w:rPr>
      </w:pPr>
      <w:r>
        <w:rPr>
          <w:spacing w:val="4"/>
        </w:rPr>
        <w:t>列出编制分系统危险分析的依据文件以及各章中引用的所有文件。</w:t>
      </w:r>
      <w:r>
        <w:rPr>
          <w:spacing w:val="18"/>
        </w:rPr>
        <w:t xml:space="preserve"> </w:t>
      </w:r>
      <w:r>
        <w:rPr>
          <w:rFonts w:ascii="黑体" w:hAnsi="黑体" w:eastAsia="黑体" w:cs="黑体"/>
          <w:spacing w:val="-3"/>
        </w:rPr>
        <w:t>3</w:t>
      </w:r>
      <w:r>
        <w:rPr>
          <w:rFonts w:ascii="黑体" w:hAnsi="黑体" w:eastAsia="黑体" w:cs="黑体"/>
          <w:spacing w:val="26"/>
        </w:rPr>
        <w:t xml:space="preserve">  </w:t>
      </w:r>
      <w:r>
        <w:rPr>
          <w:rFonts w:ascii="黑体" w:hAnsi="黑体" w:eastAsia="黑体" w:cs="黑体"/>
          <w:b/>
          <w:bCs/>
          <w:spacing w:val="-3"/>
        </w:rPr>
        <w:t>分系统概述</w:t>
      </w:r>
    </w:p>
    <w:p w14:paraId="63F36809">
      <w:pPr>
        <w:pStyle w:val="2"/>
        <w:spacing w:before="62" w:line="266" w:lineRule="auto"/>
        <w:ind w:right="160" w:firstLine="569"/>
        <w:rPr>
          <w:rFonts w:ascii="黑体" w:hAnsi="黑体" w:eastAsia="黑体" w:cs="黑体"/>
        </w:rPr>
      </w:pPr>
      <w:r>
        <w:rPr>
          <w:spacing w:val="-4"/>
        </w:rPr>
        <w:t>简要说明分系统的组成、工作原理，在系统工作分解结构中的位置等内容。</w:t>
      </w:r>
      <w:r>
        <w:rPr>
          <w:spacing w:val="6"/>
        </w:rPr>
        <w:t xml:space="preserve"> </w:t>
      </w:r>
      <w:r>
        <w:rPr>
          <w:rFonts w:ascii="黑体" w:hAnsi="黑体" w:eastAsia="黑体" w:cs="黑体"/>
          <w:spacing w:val="-2"/>
        </w:rPr>
        <w:t>4</w:t>
      </w:r>
      <w:r>
        <w:rPr>
          <w:rFonts w:ascii="黑体" w:hAnsi="黑体" w:eastAsia="黑体" w:cs="黑体"/>
          <w:spacing w:val="21"/>
        </w:rPr>
        <w:t xml:space="preserve">  </w:t>
      </w:r>
      <w:r>
        <w:rPr>
          <w:rFonts w:ascii="黑体" w:hAnsi="黑体" w:eastAsia="黑体" w:cs="黑体"/>
          <w:b/>
          <w:bCs/>
          <w:spacing w:val="-2"/>
        </w:rPr>
        <w:t>分析方法</w:t>
      </w:r>
    </w:p>
    <w:p w14:paraId="2506CCFF">
      <w:pPr>
        <w:pStyle w:val="2"/>
        <w:spacing w:before="44" w:line="273" w:lineRule="auto"/>
        <w:ind w:right="132" w:firstLine="569"/>
      </w:pPr>
      <w:r>
        <w:rPr>
          <w:spacing w:val="-3"/>
        </w:rPr>
        <w:t>为了进行分系统危险分析，通常必须根据经费预算、时间和被分析设备可用</w:t>
      </w:r>
      <w:r>
        <w:t xml:space="preserve"> </w:t>
      </w:r>
      <w:r>
        <w:rPr>
          <w:spacing w:val="-2"/>
        </w:rPr>
        <w:t>信息的状态选择最经济有效的方法，主要考虑的问题如下：</w:t>
      </w:r>
    </w:p>
    <w:p w14:paraId="5857F910">
      <w:pPr>
        <w:pStyle w:val="2"/>
        <w:spacing w:before="1" w:line="218" w:lineRule="auto"/>
        <w:ind w:left="569"/>
      </w:pPr>
      <w:r>
        <w:rPr>
          <w:rFonts w:ascii="Times New Roman" w:hAnsi="Times New Roman" w:eastAsia="Times New Roman" w:cs="Times New Roman"/>
          <w:spacing w:val="10"/>
        </w:rPr>
        <w:t>a</w:t>
      </w:r>
      <w:r>
        <w:rPr>
          <w:spacing w:val="10"/>
        </w:rPr>
        <w:t>)只规定基本的定量结果；</w:t>
      </w:r>
    </w:p>
    <w:p w14:paraId="7B13452F">
      <w:pPr>
        <w:pStyle w:val="2"/>
        <w:spacing w:before="60" w:line="212" w:lineRule="auto"/>
        <w:ind w:left="569"/>
      </w:pPr>
      <w:r>
        <w:rPr>
          <w:rFonts w:ascii="Times New Roman" w:hAnsi="Times New Roman" w:eastAsia="Times New Roman" w:cs="Times New Roman"/>
          <w:spacing w:val="4"/>
        </w:rPr>
        <w:t xml:space="preserve">b)  </w:t>
      </w:r>
      <w:r>
        <w:rPr>
          <w:spacing w:val="4"/>
        </w:rPr>
        <w:t>把分析所涉及的设备约定层次限制在所需的最低数量；</w:t>
      </w:r>
    </w:p>
    <w:p w14:paraId="7E089F39">
      <w:pPr>
        <w:pStyle w:val="2"/>
        <w:spacing w:before="110" w:line="212" w:lineRule="auto"/>
        <w:ind w:left="569"/>
      </w:pPr>
      <w:r>
        <w:rPr>
          <w:rFonts w:ascii="Times New Roman" w:hAnsi="Times New Roman" w:eastAsia="Times New Roman" w:cs="Times New Roman"/>
          <w:spacing w:val="3"/>
        </w:rPr>
        <w:t>c)</w:t>
      </w:r>
      <w:r>
        <w:rPr>
          <w:rFonts w:ascii="Times New Roman" w:hAnsi="Times New Roman" w:eastAsia="Times New Roman" w:cs="Times New Roman"/>
          <w:spacing w:val="77"/>
          <w:w w:val="101"/>
        </w:rPr>
        <w:t xml:space="preserve"> </w:t>
      </w:r>
      <w:r>
        <w:rPr>
          <w:spacing w:val="3"/>
        </w:rPr>
        <w:t>故障影响只限于满足分析目的所需的那些设备；</w:t>
      </w:r>
    </w:p>
    <w:p w14:paraId="4775EDF4">
      <w:pPr>
        <w:pStyle w:val="2"/>
        <w:spacing w:before="89" w:line="263" w:lineRule="auto"/>
        <w:ind w:right="121" w:firstLine="569"/>
      </w:pPr>
      <w:r>
        <w:rPr>
          <w:rFonts w:ascii="Times New Roman" w:hAnsi="Times New Roman" w:eastAsia="Times New Roman" w:cs="Times New Roman"/>
          <w:spacing w:val="3"/>
        </w:rPr>
        <w:t xml:space="preserve">d)  </w:t>
      </w:r>
      <w:r>
        <w:rPr>
          <w:spacing w:val="3"/>
        </w:rPr>
        <w:t>如果对主要故障模式的分析能够达到分析</w:t>
      </w:r>
      <w:r>
        <w:rPr>
          <w:spacing w:val="2"/>
        </w:rPr>
        <w:t>目的，那么就不必对所有可能</w:t>
      </w:r>
      <w:r>
        <w:t xml:space="preserve"> </w:t>
      </w:r>
      <w:r>
        <w:rPr>
          <w:spacing w:val="-3"/>
        </w:rPr>
        <w:t>发生的故障模式都进行分析，也就是应区分哪些故障模式是希望进行分析的，而</w:t>
      </w:r>
      <w:r>
        <w:rPr>
          <w:spacing w:val="17"/>
        </w:rPr>
        <w:t xml:space="preserve"> </w:t>
      </w:r>
      <w:r>
        <w:rPr>
          <w:spacing w:val="1"/>
        </w:rPr>
        <w:t>哪些又是必须进行分析的；</w:t>
      </w:r>
    </w:p>
    <w:p w14:paraId="7CCE611E">
      <w:pPr>
        <w:spacing w:line="263" w:lineRule="auto"/>
        <w:sectPr>
          <w:footerReference r:id="rId558" w:type="default"/>
          <w:pgSz w:w="11910" w:h="17130"/>
          <w:pgMar w:top="400" w:right="924" w:bottom="1750" w:left="1470" w:header="0" w:footer="1464" w:gutter="0"/>
          <w:cols w:space="720" w:num="1"/>
        </w:sectPr>
      </w:pPr>
    </w:p>
    <w:p w14:paraId="73771273">
      <w:pPr>
        <w:spacing w:line="251" w:lineRule="auto"/>
        <w:rPr>
          <w:rFonts w:ascii="Arial"/>
          <w:sz w:val="21"/>
        </w:rPr>
      </w:pPr>
    </w:p>
    <w:p w14:paraId="003D701F">
      <w:pPr>
        <w:spacing w:line="251" w:lineRule="auto"/>
        <w:rPr>
          <w:rFonts w:ascii="Arial"/>
          <w:sz w:val="21"/>
        </w:rPr>
      </w:pPr>
    </w:p>
    <w:p w14:paraId="3CF0A96B">
      <w:pPr>
        <w:spacing w:line="252" w:lineRule="auto"/>
        <w:rPr>
          <w:rFonts w:ascii="Arial"/>
          <w:sz w:val="21"/>
        </w:rPr>
      </w:pPr>
    </w:p>
    <w:p w14:paraId="0782953D">
      <w:pPr>
        <w:spacing w:line="252" w:lineRule="auto"/>
        <w:rPr>
          <w:rFonts w:ascii="Arial"/>
          <w:sz w:val="21"/>
        </w:rPr>
      </w:pPr>
    </w:p>
    <w:p w14:paraId="263C57A5">
      <w:pPr>
        <w:pStyle w:val="2"/>
        <w:spacing w:before="88" w:line="212" w:lineRule="auto"/>
        <w:ind w:left="560"/>
      </w:pPr>
      <w:r>
        <w:rPr>
          <w:rFonts w:ascii="Times New Roman" w:hAnsi="Times New Roman" w:eastAsia="Times New Roman" w:cs="Times New Roman"/>
          <w:spacing w:val="3"/>
        </w:rPr>
        <w:t xml:space="preserve">e)  </w:t>
      </w:r>
      <w:r>
        <w:rPr>
          <w:spacing w:val="3"/>
        </w:rPr>
        <w:t>故障树分析只用于极严重的故障影响和危险分析中。</w:t>
      </w:r>
    </w:p>
    <w:p w14:paraId="143B9AD2">
      <w:pPr>
        <w:spacing w:before="137" w:line="221" w:lineRule="auto"/>
        <w:rPr>
          <w:rFonts w:ascii="黑体" w:hAnsi="黑体" w:eastAsia="黑体" w:cs="黑体"/>
          <w:sz w:val="27"/>
          <w:szCs w:val="27"/>
        </w:rPr>
      </w:pPr>
      <w:r>
        <w:rPr>
          <w:rFonts w:ascii="黑体" w:hAnsi="黑体" w:eastAsia="黑体" w:cs="黑体"/>
          <w:spacing w:val="4"/>
          <w:sz w:val="27"/>
          <w:szCs w:val="27"/>
        </w:rPr>
        <w:t>5  分系统危险分析</w:t>
      </w:r>
    </w:p>
    <w:p w14:paraId="2D613C35">
      <w:pPr>
        <w:spacing w:before="118" w:line="222" w:lineRule="auto"/>
        <w:rPr>
          <w:rFonts w:ascii="黑体" w:hAnsi="黑体" w:eastAsia="黑体" w:cs="黑体"/>
          <w:sz w:val="24"/>
          <w:szCs w:val="24"/>
        </w:rPr>
      </w:pPr>
      <w:r>
        <w:rPr>
          <w:rFonts w:ascii="黑体" w:hAnsi="黑体" w:eastAsia="黑体" w:cs="黑体"/>
          <w:spacing w:val="28"/>
          <w:sz w:val="24"/>
          <w:szCs w:val="24"/>
        </w:rPr>
        <w:t>5.1</w:t>
      </w:r>
      <w:r>
        <w:rPr>
          <w:rFonts w:ascii="黑体" w:hAnsi="黑体" w:eastAsia="黑体" w:cs="黑体"/>
          <w:spacing w:val="50"/>
          <w:sz w:val="24"/>
          <w:szCs w:val="24"/>
        </w:rPr>
        <w:t xml:space="preserve">  </w:t>
      </w:r>
      <w:r>
        <w:rPr>
          <w:rFonts w:ascii="黑体" w:hAnsi="黑体" w:eastAsia="黑体" w:cs="黑体"/>
          <w:spacing w:val="28"/>
          <w:sz w:val="24"/>
          <w:szCs w:val="24"/>
        </w:rPr>
        <w:t>故障模式及其对安全性的影响</w:t>
      </w:r>
    </w:p>
    <w:p w14:paraId="16532728">
      <w:pPr>
        <w:pStyle w:val="2"/>
        <w:spacing w:before="71" w:line="299" w:lineRule="auto"/>
        <w:ind w:right="3" w:firstLine="560"/>
        <w:rPr>
          <w:sz w:val="25"/>
          <w:szCs w:val="25"/>
        </w:rPr>
      </w:pPr>
      <w:r>
        <w:rPr>
          <w:spacing w:val="26"/>
          <w:sz w:val="25"/>
          <w:szCs w:val="25"/>
        </w:rPr>
        <w:t>对故障模式及其对安全性的影响进行分析，</w:t>
      </w:r>
      <w:r>
        <w:rPr>
          <w:spacing w:val="25"/>
          <w:sz w:val="25"/>
          <w:szCs w:val="25"/>
        </w:rPr>
        <w:t>包括可能的人为差错和单点故</w:t>
      </w:r>
      <w:r>
        <w:rPr>
          <w:sz w:val="25"/>
          <w:szCs w:val="25"/>
        </w:rPr>
        <w:t xml:space="preserve"> </w:t>
      </w:r>
      <w:r>
        <w:rPr>
          <w:spacing w:val="22"/>
          <w:sz w:val="25"/>
          <w:szCs w:val="25"/>
        </w:rPr>
        <w:t>障以及分系统部件故障对安全性的影响。</w:t>
      </w:r>
    </w:p>
    <w:p w14:paraId="590EAFD9">
      <w:pPr>
        <w:spacing w:line="368" w:lineRule="exact"/>
        <w:rPr>
          <w:rFonts w:ascii="黑体" w:hAnsi="黑体" w:eastAsia="黑体" w:cs="黑体"/>
          <w:sz w:val="27"/>
          <w:szCs w:val="27"/>
        </w:rPr>
      </w:pPr>
      <w:r>
        <w:rPr>
          <w:rFonts w:ascii="Arial" w:hAnsi="Arial" w:eastAsia="Arial" w:cs="Arial"/>
          <w:position w:val="1"/>
          <w:sz w:val="27"/>
          <w:szCs w:val="27"/>
        </w:rPr>
        <w:t xml:space="preserve">5.2    </w:t>
      </w:r>
      <w:r>
        <w:rPr>
          <w:rFonts w:ascii="黑体" w:hAnsi="黑体" w:eastAsia="黑体" w:cs="黑体"/>
          <w:position w:val="1"/>
          <w:sz w:val="27"/>
          <w:szCs w:val="27"/>
        </w:rPr>
        <w:t>软件事件、故障和偶然事件对分系统安全性的可能影响</w:t>
      </w:r>
    </w:p>
    <w:p w14:paraId="662D7CF3">
      <w:pPr>
        <w:pStyle w:val="2"/>
        <w:spacing w:before="81" w:line="219" w:lineRule="auto"/>
        <w:ind w:left="560"/>
      </w:pPr>
      <w:r>
        <w:t>对软件事件、故障和偶然事件对分系统安全性的可能影</w:t>
      </w:r>
      <w:r>
        <w:rPr>
          <w:spacing w:val="-1"/>
        </w:rPr>
        <w:t>响进行分析。</w:t>
      </w:r>
    </w:p>
    <w:p w14:paraId="4ED6FEF8">
      <w:pPr>
        <w:spacing w:before="120" w:line="222" w:lineRule="auto"/>
        <w:rPr>
          <w:rFonts w:ascii="黑体" w:hAnsi="黑体" w:eastAsia="黑体" w:cs="黑体"/>
          <w:sz w:val="27"/>
          <w:szCs w:val="27"/>
        </w:rPr>
      </w:pPr>
      <w:r>
        <w:rPr>
          <w:rFonts w:ascii="黑体" w:hAnsi="黑体" w:eastAsia="黑体" w:cs="黑体"/>
          <w:spacing w:val="5"/>
          <w:sz w:val="27"/>
          <w:szCs w:val="27"/>
        </w:rPr>
        <w:t>5.3  软件安全性设计准则的满足程度</w:t>
      </w:r>
    </w:p>
    <w:p w14:paraId="33B08644">
      <w:pPr>
        <w:pStyle w:val="2"/>
        <w:spacing w:before="97" w:line="219" w:lineRule="auto"/>
        <w:ind w:left="560"/>
      </w:pPr>
      <w:r>
        <w:rPr>
          <w:spacing w:val="4"/>
        </w:rPr>
        <w:t>确定软件规格说明中的安全性设计准则的满足程度。</w:t>
      </w:r>
    </w:p>
    <w:p w14:paraId="38D51582">
      <w:pPr>
        <w:spacing w:before="80" w:line="368" w:lineRule="exact"/>
        <w:rPr>
          <w:rFonts w:ascii="黑体" w:hAnsi="黑体" w:eastAsia="黑体" w:cs="黑体"/>
          <w:sz w:val="27"/>
          <w:szCs w:val="27"/>
        </w:rPr>
      </w:pPr>
      <w:r>
        <w:rPr>
          <w:rFonts w:ascii="Arial" w:hAnsi="Arial" w:eastAsia="Arial" w:cs="Arial"/>
          <w:spacing w:val="4"/>
          <w:position w:val="1"/>
          <w:sz w:val="27"/>
          <w:szCs w:val="27"/>
        </w:rPr>
        <w:t xml:space="preserve">5.4    </w:t>
      </w:r>
      <w:r>
        <w:rPr>
          <w:rFonts w:ascii="黑体" w:hAnsi="黑体" w:eastAsia="黑体" w:cs="黑体"/>
          <w:spacing w:val="4"/>
          <w:position w:val="1"/>
          <w:sz w:val="27"/>
          <w:szCs w:val="27"/>
        </w:rPr>
        <w:t>软件设计需求及纠正措施对安全性的影响</w:t>
      </w:r>
    </w:p>
    <w:p w14:paraId="1524AF53">
      <w:pPr>
        <w:pStyle w:val="2"/>
        <w:spacing w:before="101" w:line="306" w:lineRule="auto"/>
        <w:ind w:right="2" w:firstLine="560"/>
        <w:rPr>
          <w:sz w:val="25"/>
          <w:szCs w:val="25"/>
        </w:rPr>
      </w:pPr>
      <w:r>
        <w:rPr>
          <w:spacing w:val="26"/>
          <w:sz w:val="25"/>
          <w:szCs w:val="25"/>
        </w:rPr>
        <w:t>确定软件设计需求及纠正措施的实现方法不影</w:t>
      </w:r>
      <w:r>
        <w:rPr>
          <w:spacing w:val="25"/>
          <w:sz w:val="25"/>
          <w:szCs w:val="25"/>
        </w:rPr>
        <w:t>响或降低分系统的安全性或</w:t>
      </w:r>
      <w:r>
        <w:rPr>
          <w:sz w:val="25"/>
          <w:szCs w:val="25"/>
        </w:rPr>
        <w:t xml:space="preserve"> </w:t>
      </w:r>
      <w:r>
        <w:rPr>
          <w:spacing w:val="19"/>
          <w:sz w:val="25"/>
          <w:szCs w:val="25"/>
        </w:rPr>
        <w:t>引入新的危险。</w:t>
      </w:r>
    </w:p>
    <w:p w14:paraId="49AC0F1D">
      <w:pPr>
        <w:spacing w:before="1" w:line="220" w:lineRule="auto"/>
        <w:rPr>
          <w:rFonts w:ascii="黑体" w:hAnsi="黑体" w:eastAsia="黑体" w:cs="黑体"/>
          <w:sz w:val="27"/>
          <w:szCs w:val="27"/>
        </w:rPr>
      </w:pPr>
      <w:r>
        <w:rPr>
          <w:rFonts w:ascii="黑体" w:hAnsi="黑体" w:eastAsia="黑体" w:cs="黑体"/>
          <w:spacing w:val="4"/>
          <w:sz w:val="27"/>
          <w:szCs w:val="27"/>
        </w:rPr>
        <w:t>6  安全性措施和替换方案</w:t>
      </w:r>
    </w:p>
    <w:p w14:paraId="2165605E">
      <w:pPr>
        <w:pStyle w:val="2"/>
        <w:spacing w:before="89" w:line="219" w:lineRule="auto"/>
        <w:ind w:left="560"/>
      </w:pPr>
      <w:r>
        <w:rPr>
          <w:spacing w:val="4"/>
        </w:rPr>
        <w:t>确定消除已判定的危险或降低风险所必须的安全性措施和替换方案。</w:t>
      </w:r>
    </w:p>
    <w:p w14:paraId="556D698F">
      <w:pPr>
        <w:pStyle w:val="2"/>
        <w:spacing w:before="79" w:line="220" w:lineRule="auto"/>
        <w:ind w:left="560"/>
        <w:rPr>
          <w:rFonts w:ascii="楷体" w:hAnsi="楷体" w:eastAsia="楷体" w:cs="楷体"/>
        </w:rPr>
      </w:pPr>
      <w:r>
        <w:rPr>
          <w:rFonts w:ascii="楷体" w:hAnsi="楷体" w:eastAsia="楷体" w:cs="楷体"/>
          <w:spacing w:val="-6"/>
        </w:rPr>
        <w:t>按照</w:t>
      </w:r>
      <w:r>
        <w:rPr>
          <w:rFonts w:ascii="Times New Roman" w:hAnsi="Times New Roman" w:eastAsia="Times New Roman" w:cs="Times New Roman"/>
          <w:spacing w:val="-6"/>
        </w:rPr>
        <w:t>GJB/Z</w:t>
      </w:r>
      <w:r>
        <w:rPr>
          <w:rFonts w:ascii="Times New Roman" w:hAnsi="Times New Roman" w:eastAsia="Times New Roman" w:cs="Times New Roman"/>
          <w:spacing w:val="49"/>
        </w:rPr>
        <w:t xml:space="preserve"> </w:t>
      </w:r>
      <w:r>
        <w:rPr>
          <w:rFonts w:ascii="Times New Roman" w:hAnsi="Times New Roman" w:eastAsia="Times New Roman" w:cs="Times New Roman"/>
          <w:spacing w:val="-6"/>
        </w:rPr>
        <w:t>99—1997</w:t>
      </w:r>
      <w:r>
        <w:rPr>
          <w:spacing w:val="-6"/>
        </w:rPr>
        <w:t>《</w:t>
      </w:r>
      <w:r>
        <w:rPr>
          <w:rFonts w:ascii="楷体" w:hAnsi="楷体" w:eastAsia="楷体" w:cs="楷体"/>
          <w:spacing w:val="-6"/>
        </w:rPr>
        <w:t>系统安全工程手册》编写，说明如下。</w:t>
      </w:r>
    </w:p>
    <w:p w14:paraId="7FB63D3C">
      <w:pPr>
        <w:spacing w:before="130"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4"/>
          <w:sz w:val="27"/>
          <w:szCs w:val="27"/>
        </w:rPr>
        <w:t xml:space="preserve">  </w:t>
      </w:r>
      <w:r>
        <w:rPr>
          <w:rFonts w:ascii="黑体" w:hAnsi="黑体" w:eastAsia="黑体" w:cs="黑体"/>
          <w:spacing w:val="-3"/>
          <w:sz w:val="27"/>
          <w:szCs w:val="27"/>
        </w:rPr>
        <w:t>范围</w:t>
      </w:r>
    </w:p>
    <w:p w14:paraId="77D9354F">
      <w:pPr>
        <w:pStyle w:val="2"/>
        <w:spacing w:before="83" w:line="219" w:lineRule="auto"/>
        <w:ind w:left="560"/>
      </w:pPr>
      <w:r>
        <w:rPr>
          <w:spacing w:val="2"/>
        </w:rPr>
        <w:t>说明分系统危险分析的主题内容和适用范围。</w:t>
      </w:r>
    </w:p>
    <w:p w14:paraId="1678426B">
      <w:pPr>
        <w:spacing w:before="108"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10051D68">
      <w:pPr>
        <w:pStyle w:val="2"/>
        <w:spacing w:before="95" w:line="294" w:lineRule="auto"/>
        <w:ind w:right="859" w:firstLine="560"/>
        <w:rPr>
          <w:rFonts w:ascii="黑体" w:hAnsi="黑体" w:eastAsia="黑体" w:cs="黑体"/>
        </w:rPr>
      </w:pPr>
      <w:r>
        <w:rPr>
          <w:spacing w:val="4"/>
        </w:rPr>
        <w:t>列出编制分系统危险分析的依据文件以及各章中引用的所有文件。</w:t>
      </w:r>
      <w:r>
        <w:rPr>
          <w:spacing w:val="17"/>
        </w:rPr>
        <w:t xml:space="preserve"> </w:t>
      </w:r>
      <w:r>
        <w:rPr>
          <w:rFonts w:ascii="Arial" w:hAnsi="Arial" w:eastAsia="Arial" w:cs="Arial"/>
          <w:spacing w:val="-1"/>
        </w:rPr>
        <w:t>3</w:t>
      </w:r>
      <w:r>
        <w:rPr>
          <w:rFonts w:ascii="Arial" w:hAnsi="Arial" w:eastAsia="Arial" w:cs="Arial"/>
          <w:spacing w:val="16"/>
        </w:rPr>
        <w:t xml:space="preserve">   </w:t>
      </w:r>
      <w:r>
        <w:rPr>
          <w:rFonts w:ascii="黑体" w:hAnsi="黑体" w:eastAsia="黑体" w:cs="黑体"/>
          <w:spacing w:val="-1"/>
        </w:rPr>
        <w:t>分系统概述</w:t>
      </w:r>
    </w:p>
    <w:p w14:paraId="6517E177">
      <w:pPr>
        <w:pStyle w:val="2"/>
        <w:spacing w:before="1" w:line="314" w:lineRule="auto"/>
        <w:ind w:right="48" w:firstLine="560"/>
        <w:rPr>
          <w:rFonts w:ascii="黑体" w:hAnsi="黑体" w:eastAsia="黑体" w:cs="黑体"/>
          <w:sz w:val="25"/>
          <w:szCs w:val="25"/>
        </w:rPr>
      </w:pPr>
      <w:r>
        <w:rPr>
          <w:spacing w:val="16"/>
          <w:sz w:val="25"/>
          <w:szCs w:val="25"/>
        </w:rPr>
        <w:t>简要说明分系统的组成、工作原理，在系统工作分解结构中的位</w:t>
      </w:r>
      <w:r>
        <w:rPr>
          <w:spacing w:val="15"/>
          <w:sz w:val="25"/>
          <w:szCs w:val="25"/>
        </w:rPr>
        <w:t>置等内容。</w:t>
      </w:r>
      <w:r>
        <w:rPr>
          <w:sz w:val="25"/>
          <w:szCs w:val="25"/>
        </w:rPr>
        <w:t xml:space="preserve"> </w:t>
      </w:r>
      <w:r>
        <w:rPr>
          <w:rFonts w:ascii="黑体" w:hAnsi="黑体" w:eastAsia="黑体" w:cs="黑体"/>
          <w:spacing w:val="17"/>
          <w:sz w:val="25"/>
          <w:szCs w:val="25"/>
        </w:rPr>
        <w:t>4</w:t>
      </w:r>
      <w:r>
        <w:rPr>
          <w:rFonts w:ascii="黑体" w:hAnsi="黑体" w:eastAsia="黑体" w:cs="黑体"/>
          <w:spacing w:val="20"/>
          <w:sz w:val="25"/>
          <w:szCs w:val="25"/>
        </w:rPr>
        <w:t xml:space="preserve">  </w:t>
      </w:r>
      <w:r>
        <w:rPr>
          <w:rFonts w:ascii="黑体" w:hAnsi="黑体" w:eastAsia="黑体" w:cs="黑体"/>
          <w:spacing w:val="17"/>
          <w:sz w:val="25"/>
          <w:szCs w:val="25"/>
        </w:rPr>
        <w:t>分析方法</w:t>
      </w:r>
    </w:p>
    <w:p w14:paraId="3791E31F">
      <w:pPr>
        <w:pStyle w:val="2"/>
        <w:spacing w:before="3" w:line="286" w:lineRule="auto"/>
        <w:ind w:right="11" w:firstLine="560"/>
      </w:pPr>
      <w:r>
        <w:rPr>
          <w:spacing w:val="-3"/>
        </w:rPr>
        <w:t>为了进行分系统危险分析，通常必须根据经费预算、时间和被分析设备可用</w:t>
      </w:r>
      <w:r>
        <w:t xml:space="preserve"> </w:t>
      </w:r>
      <w:r>
        <w:rPr>
          <w:spacing w:val="-2"/>
        </w:rPr>
        <w:t>信息的状态选择最经济有效的方法，主要考虑的问题如下：</w:t>
      </w:r>
    </w:p>
    <w:p w14:paraId="454FED99">
      <w:pPr>
        <w:pStyle w:val="2"/>
        <w:spacing w:before="1" w:line="218" w:lineRule="auto"/>
        <w:ind w:left="560"/>
      </w:pPr>
      <w:r>
        <w:rPr>
          <w:rFonts w:ascii="Times New Roman" w:hAnsi="Times New Roman" w:eastAsia="Times New Roman" w:cs="Times New Roman"/>
          <w:spacing w:val="1"/>
        </w:rPr>
        <w:t>a</w:t>
      </w:r>
      <w:r>
        <w:rPr>
          <w:spacing w:val="1"/>
        </w:rPr>
        <w:t>)</w:t>
      </w:r>
      <w:r>
        <w:rPr>
          <w:spacing w:val="-29"/>
        </w:rPr>
        <w:t xml:space="preserve"> </w:t>
      </w:r>
      <w:r>
        <w:rPr>
          <w:spacing w:val="1"/>
        </w:rPr>
        <w:t>只规定基本的定量结果；</w:t>
      </w:r>
    </w:p>
    <w:p w14:paraId="62370AAF">
      <w:pPr>
        <w:pStyle w:val="2"/>
        <w:spacing w:before="71"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67"/>
        </w:rPr>
        <w:t xml:space="preserve"> </w:t>
      </w:r>
      <w:r>
        <w:rPr>
          <w:spacing w:val="4"/>
        </w:rPr>
        <w:t>把分析所涉及的设备约定层次限制在所需的最低数量；</w:t>
      </w:r>
    </w:p>
    <w:p w14:paraId="4F82EE04">
      <w:pPr>
        <w:pStyle w:val="2"/>
        <w:spacing w:before="11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54"/>
          <w:w w:val="101"/>
        </w:rPr>
        <w:t xml:space="preserve"> </w:t>
      </w:r>
      <w:r>
        <w:rPr>
          <w:spacing w:val="4"/>
        </w:rPr>
        <w:t>故障影响只限于满足分析目的所需的那些设备；</w:t>
      </w:r>
    </w:p>
    <w:p w14:paraId="0398F602">
      <w:pPr>
        <w:pStyle w:val="2"/>
        <w:spacing w:before="110" w:line="265" w:lineRule="auto"/>
        <w:ind w:firstLine="560"/>
      </w:pPr>
      <w:r>
        <w:rPr>
          <w:rFonts w:ascii="Times New Roman" w:hAnsi="Times New Roman" w:eastAsia="Times New Roman" w:cs="Times New Roman"/>
          <w:spacing w:val="3"/>
        </w:rPr>
        <w:t>d)</w:t>
      </w:r>
      <w:r>
        <w:rPr>
          <w:rFonts w:ascii="Times New Roman" w:hAnsi="Times New Roman" w:eastAsia="Times New Roman" w:cs="Times New Roman"/>
          <w:spacing w:val="66"/>
        </w:rPr>
        <w:t xml:space="preserve"> </w:t>
      </w:r>
      <w:r>
        <w:rPr>
          <w:spacing w:val="3"/>
        </w:rPr>
        <w:t>如果对主要故障模式的分析能够达到分析目的，那么就不必</w:t>
      </w:r>
      <w:r>
        <w:rPr>
          <w:spacing w:val="2"/>
        </w:rPr>
        <w:t>对所有可能</w:t>
      </w:r>
      <w:r>
        <w:t xml:space="preserve"> </w:t>
      </w:r>
      <w:r>
        <w:rPr>
          <w:spacing w:val="-3"/>
        </w:rPr>
        <w:t>发生的故障模式都进行分析，也就是应区分哪些故障模式是希望进行分析的，而</w:t>
      </w:r>
      <w:r>
        <w:rPr>
          <w:spacing w:val="7"/>
        </w:rPr>
        <w:t xml:space="preserve"> </w:t>
      </w:r>
      <w:r>
        <w:rPr>
          <w:spacing w:val="1"/>
        </w:rPr>
        <w:t>哪些又是必须进行分析的；</w:t>
      </w:r>
    </w:p>
    <w:p w14:paraId="241FF38B">
      <w:pPr>
        <w:pStyle w:val="2"/>
        <w:spacing w:before="77"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66"/>
          <w:w w:val="101"/>
        </w:rPr>
        <w:t xml:space="preserve"> </w:t>
      </w:r>
      <w:r>
        <w:rPr>
          <w:spacing w:val="4"/>
        </w:rPr>
        <w:t>故障树分析只用于极严重的故障影响和危险分析中。</w:t>
      </w:r>
    </w:p>
    <w:p w14:paraId="3D51894F">
      <w:pPr>
        <w:spacing w:before="80" w:line="368" w:lineRule="exact"/>
        <w:rPr>
          <w:rFonts w:ascii="黑体" w:hAnsi="黑体" w:eastAsia="黑体" w:cs="黑体"/>
          <w:sz w:val="27"/>
          <w:szCs w:val="27"/>
        </w:rPr>
      </w:pPr>
      <w:r>
        <w:rPr>
          <w:rFonts w:ascii="Arial" w:hAnsi="Arial" w:eastAsia="Arial" w:cs="Arial"/>
          <w:spacing w:val="3"/>
          <w:position w:val="1"/>
          <w:sz w:val="27"/>
          <w:szCs w:val="27"/>
        </w:rPr>
        <w:t>5</w:t>
      </w:r>
      <w:r>
        <w:rPr>
          <w:rFonts w:ascii="Arial" w:hAnsi="Arial" w:eastAsia="Arial" w:cs="Arial"/>
          <w:spacing w:val="16"/>
          <w:position w:val="1"/>
          <w:sz w:val="27"/>
          <w:szCs w:val="27"/>
        </w:rPr>
        <w:t xml:space="preserve">   </w:t>
      </w:r>
      <w:r>
        <w:rPr>
          <w:rFonts w:ascii="黑体" w:hAnsi="黑体" w:eastAsia="黑体" w:cs="黑体"/>
          <w:spacing w:val="3"/>
          <w:position w:val="1"/>
          <w:sz w:val="27"/>
          <w:szCs w:val="27"/>
        </w:rPr>
        <w:t>分系统危险分析</w:t>
      </w:r>
    </w:p>
    <w:p w14:paraId="536EF7B9">
      <w:pPr>
        <w:pStyle w:val="2"/>
        <w:spacing w:before="102" w:line="219" w:lineRule="auto"/>
        <w:ind w:left="560"/>
      </w:pPr>
      <w:r>
        <w:rPr>
          <w:spacing w:val="2"/>
        </w:rPr>
        <w:t>概括说明分析结果外还必须包括下列内容：</w:t>
      </w:r>
    </w:p>
    <w:p w14:paraId="632F8B86">
      <w:pPr>
        <w:spacing w:line="219" w:lineRule="auto"/>
        <w:sectPr>
          <w:footerReference r:id="rId559" w:type="default"/>
          <w:pgSz w:w="11910" w:h="17130"/>
          <w:pgMar w:top="400" w:right="1436" w:bottom="1673" w:left="1090" w:header="0" w:footer="1474" w:gutter="0"/>
          <w:cols w:space="720" w:num="1"/>
        </w:sectPr>
      </w:pPr>
    </w:p>
    <w:p w14:paraId="2BCCDAB0">
      <w:pPr>
        <w:spacing w:line="316" w:lineRule="auto"/>
        <w:rPr>
          <w:rFonts w:ascii="Arial"/>
          <w:sz w:val="21"/>
        </w:rPr>
      </w:pPr>
    </w:p>
    <w:p w14:paraId="4DA3F293">
      <w:pPr>
        <w:spacing w:line="316" w:lineRule="auto"/>
        <w:rPr>
          <w:rFonts w:ascii="Arial"/>
          <w:sz w:val="21"/>
        </w:rPr>
      </w:pPr>
    </w:p>
    <w:p w14:paraId="5D7018E4">
      <w:pPr>
        <w:spacing w:line="316" w:lineRule="auto"/>
        <w:rPr>
          <w:rFonts w:ascii="Arial"/>
          <w:sz w:val="21"/>
        </w:rPr>
      </w:pPr>
    </w:p>
    <w:p w14:paraId="7433B63E">
      <w:pPr>
        <w:spacing w:before="88" w:line="223" w:lineRule="auto"/>
        <w:rPr>
          <w:rFonts w:ascii="黑体" w:hAnsi="黑体" w:eastAsia="黑体" w:cs="黑体"/>
          <w:sz w:val="27"/>
          <w:szCs w:val="27"/>
        </w:rPr>
      </w:pPr>
      <w:r>
        <w:rPr>
          <w:rFonts w:ascii="黑体" w:hAnsi="黑体" w:eastAsia="黑体" w:cs="黑体"/>
          <w:spacing w:val="-1"/>
          <w:sz w:val="27"/>
          <w:szCs w:val="27"/>
        </w:rPr>
        <w:t>5.1</w:t>
      </w:r>
      <w:r>
        <w:rPr>
          <w:rFonts w:ascii="黑体" w:hAnsi="黑体" w:eastAsia="黑体" w:cs="黑体"/>
          <w:spacing w:val="26"/>
          <w:sz w:val="27"/>
          <w:szCs w:val="27"/>
        </w:rPr>
        <w:t xml:space="preserve">  </w:t>
      </w:r>
      <w:r>
        <w:rPr>
          <w:rFonts w:ascii="黑体" w:hAnsi="黑体" w:eastAsia="黑体" w:cs="黑体"/>
          <w:spacing w:val="-1"/>
          <w:sz w:val="27"/>
          <w:szCs w:val="27"/>
        </w:rPr>
        <w:t>部件故障模式</w:t>
      </w:r>
    </w:p>
    <w:p w14:paraId="36D27F71">
      <w:pPr>
        <w:pStyle w:val="2"/>
        <w:spacing w:before="83" w:line="219" w:lineRule="auto"/>
        <w:ind w:left="560"/>
      </w:pPr>
      <w:r>
        <w:rPr>
          <w:spacing w:val="4"/>
        </w:rPr>
        <w:t>描述所有可能引起危险的故障模式。</w:t>
      </w:r>
    </w:p>
    <w:p w14:paraId="66DE53DA">
      <w:pPr>
        <w:spacing w:before="77" w:line="221" w:lineRule="auto"/>
        <w:rPr>
          <w:rFonts w:ascii="黑体" w:hAnsi="黑体" w:eastAsia="黑体" w:cs="黑体"/>
          <w:sz w:val="27"/>
          <w:szCs w:val="27"/>
        </w:rPr>
      </w:pPr>
      <w:r>
        <w:rPr>
          <w:rFonts w:ascii="黑体" w:hAnsi="黑体" w:eastAsia="黑体" w:cs="黑体"/>
          <w:spacing w:val="1"/>
          <w:sz w:val="27"/>
          <w:szCs w:val="27"/>
        </w:rPr>
        <w:t>5.2</w:t>
      </w:r>
      <w:r>
        <w:rPr>
          <w:rFonts w:ascii="黑体" w:hAnsi="黑体" w:eastAsia="黑体" w:cs="黑体"/>
          <w:spacing w:val="18"/>
          <w:sz w:val="27"/>
          <w:szCs w:val="27"/>
        </w:rPr>
        <w:t xml:space="preserve">  </w:t>
      </w:r>
      <w:r>
        <w:rPr>
          <w:rFonts w:ascii="黑体" w:hAnsi="黑体" w:eastAsia="黑体" w:cs="黑体"/>
          <w:spacing w:val="1"/>
          <w:sz w:val="27"/>
          <w:szCs w:val="27"/>
        </w:rPr>
        <w:t>系统事件阶段</w:t>
      </w:r>
    </w:p>
    <w:p w14:paraId="66A25F43">
      <w:pPr>
        <w:pStyle w:val="2"/>
        <w:spacing w:before="99" w:line="219" w:lineRule="auto"/>
        <w:ind w:left="560"/>
      </w:pPr>
      <w:r>
        <w:rPr>
          <w:spacing w:val="5"/>
        </w:rPr>
        <w:t>说明发生危险时系统所处的任务阶段。</w:t>
      </w:r>
    </w:p>
    <w:p w14:paraId="1ACF6554">
      <w:pPr>
        <w:spacing w:before="86" w:line="221" w:lineRule="auto"/>
        <w:rPr>
          <w:rFonts w:ascii="黑体" w:hAnsi="黑体" w:eastAsia="黑体" w:cs="黑体"/>
          <w:sz w:val="25"/>
          <w:szCs w:val="25"/>
        </w:rPr>
      </w:pPr>
      <w:r>
        <w:rPr>
          <w:rFonts w:ascii="黑体" w:hAnsi="黑体" w:eastAsia="黑体" w:cs="黑体"/>
          <w:spacing w:val="15"/>
          <w:sz w:val="25"/>
          <w:szCs w:val="25"/>
        </w:rPr>
        <w:t>5.3</w:t>
      </w:r>
      <w:r>
        <w:rPr>
          <w:rFonts w:ascii="黑体" w:hAnsi="黑体" w:eastAsia="黑体" w:cs="黑体"/>
          <w:spacing w:val="36"/>
          <w:sz w:val="25"/>
          <w:szCs w:val="25"/>
        </w:rPr>
        <w:t xml:space="preserve">  </w:t>
      </w:r>
      <w:r>
        <w:rPr>
          <w:rFonts w:ascii="黑体" w:hAnsi="黑体" w:eastAsia="黑体" w:cs="黑体"/>
          <w:spacing w:val="15"/>
          <w:sz w:val="25"/>
          <w:szCs w:val="25"/>
        </w:rPr>
        <w:t>危险说明</w:t>
      </w:r>
    </w:p>
    <w:p w14:paraId="57D8AA9E">
      <w:pPr>
        <w:pStyle w:val="2"/>
        <w:spacing w:before="94" w:line="219" w:lineRule="auto"/>
        <w:ind w:left="560"/>
      </w:pPr>
      <w:r>
        <w:rPr>
          <w:spacing w:val="2"/>
        </w:rPr>
        <w:t>对危险作出全面说明。</w:t>
      </w:r>
    </w:p>
    <w:p w14:paraId="483B8B24">
      <w:pPr>
        <w:spacing w:before="73" w:line="327" w:lineRule="exact"/>
        <w:rPr>
          <w:rFonts w:ascii="黑体" w:hAnsi="黑体" w:eastAsia="黑体" w:cs="黑体"/>
          <w:sz w:val="24"/>
          <w:szCs w:val="24"/>
        </w:rPr>
      </w:pPr>
      <w:r>
        <w:rPr>
          <w:rFonts w:ascii="Arial" w:hAnsi="Arial" w:eastAsia="Arial" w:cs="Arial"/>
          <w:spacing w:val="26"/>
          <w:position w:val="1"/>
          <w:sz w:val="24"/>
          <w:szCs w:val="24"/>
        </w:rPr>
        <w:t>5.4</w:t>
      </w:r>
      <w:r>
        <w:rPr>
          <w:rFonts w:ascii="Arial" w:hAnsi="Arial" w:eastAsia="Arial" w:cs="Arial"/>
          <w:spacing w:val="9"/>
          <w:position w:val="1"/>
          <w:sz w:val="24"/>
          <w:szCs w:val="24"/>
        </w:rPr>
        <w:t xml:space="preserve">     </w:t>
      </w:r>
      <w:r>
        <w:rPr>
          <w:rFonts w:ascii="黑体" w:hAnsi="黑体" w:eastAsia="黑体" w:cs="黑体"/>
          <w:spacing w:val="26"/>
          <w:position w:val="1"/>
          <w:sz w:val="24"/>
          <w:szCs w:val="24"/>
        </w:rPr>
        <w:t>对分系统和(或)系统的影响</w:t>
      </w:r>
    </w:p>
    <w:p w14:paraId="751483E2">
      <w:pPr>
        <w:pStyle w:val="2"/>
        <w:spacing w:before="100" w:line="220" w:lineRule="auto"/>
        <w:ind w:left="560"/>
      </w:pPr>
      <w:r>
        <w:rPr>
          <w:spacing w:val="3"/>
        </w:rPr>
        <w:t>描述危险对分系统及系统的影响。</w:t>
      </w:r>
    </w:p>
    <w:p w14:paraId="1A9E2C6E">
      <w:pPr>
        <w:spacing w:before="75" w:line="222" w:lineRule="auto"/>
        <w:rPr>
          <w:rFonts w:ascii="黑体" w:hAnsi="黑体" w:eastAsia="黑体" w:cs="黑体"/>
          <w:sz w:val="27"/>
          <w:szCs w:val="27"/>
        </w:rPr>
      </w:pPr>
      <w:r>
        <w:rPr>
          <w:rFonts w:ascii="黑体" w:hAnsi="黑体" w:eastAsia="黑体" w:cs="黑体"/>
          <w:spacing w:val="2"/>
          <w:sz w:val="27"/>
          <w:szCs w:val="27"/>
        </w:rPr>
        <w:t>5.5</w:t>
      </w:r>
      <w:r>
        <w:rPr>
          <w:rFonts w:ascii="黑体" w:hAnsi="黑体" w:eastAsia="黑体" w:cs="黑体"/>
          <w:spacing w:val="10"/>
          <w:sz w:val="27"/>
          <w:szCs w:val="27"/>
        </w:rPr>
        <w:t xml:space="preserve">  </w:t>
      </w:r>
      <w:r>
        <w:rPr>
          <w:rFonts w:ascii="黑体" w:hAnsi="黑体" w:eastAsia="黑体" w:cs="黑体"/>
          <w:spacing w:val="2"/>
          <w:sz w:val="27"/>
          <w:szCs w:val="27"/>
        </w:rPr>
        <w:t>风险评价</w:t>
      </w:r>
    </w:p>
    <w:p w14:paraId="7AA5C647">
      <w:pPr>
        <w:pStyle w:val="2"/>
        <w:spacing w:before="75" w:line="218" w:lineRule="auto"/>
        <w:ind w:left="560"/>
      </w:pPr>
      <w:r>
        <w:rPr>
          <w:spacing w:val="-8"/>
        </w:rPr>
        <w:t>对每项危险进行风险评价，即风险鉴别、风险估算、风险处理和风险接受。</w:t>
      </w:r>
    </w:p>
    <w:p w14:paraId="416C1C04">
      <w:pPr>
        <w:spacing w:before="121" w:line="222" w:lineRule="auto"/>
        <w:rPr>
          <w:rFonts w:ascii="黑体" w:hAnsi="黑体" w:eastAsia="黑体" w:cs="黑体"/>
          <w:sz w:val="25"/>
          <w:szCs w:val="25"/>
        </w:rPr>
      </w:pPr>
      <w:r>
        <w:rPr>
          <w:rFonts w:ascii="黑体" w:hAnsi="黑体" w:eastAsia="黑体" w:cs="黑体"/>
          <w:spacing w:val="13"/>
          <w:sz w:val="25"/>
          <w:szCs w:val="25"/>
        </w:rPr>
        <w:t>5.6</w:t>
      </w:r>
      <w:r>
        <w:rPr>
          <w:rFonts w:ascii="黑体" w:hAnsi="黑体" w:eastAsia="黑体" w:cs="黑体"/>
          <w:spacing w:val="37"/>
          <w:sz w:val="25"/>
          <w:szCs w:val="25"/>
        </w:rPr>
        <w:t xml:space="preserve">  </w:t>
      </w:r>
      <w:r>
        <w:rPr>
          <w:rFonts w:ascii="黑体" w:hAnsi="黑体" w:eastAsia="黑体" w:cs="黑体"/>
          <w:spacing w:val="13"/>
          <w:sz w:val="25"/>
          <w:szCs w:val="25"/>
        </w:rPr>
        <w:t>建议措施</w:t>
      </w:r>
    </w:p>
    <w:p w14:paraId="5FF34733">
      <w:pPr>
        <w:pStyle w:val="2"/>
        <w:spacing w:before="80" w:line="277" w:lineRule="auto"/>
        <w:ind w:firstLine="560"/>
      </w:pPr>
      <w:r>
        <w:rPr>
          <w:spacing w:val="6"/>
        </w:rPr>
        <w:t>提出消除或减少危险应采取的措施，并讨论在</w:t>
      </w:r>
      <w:r>
        <w:rPr>
          <w:spacing w:val="5"/>
        </w:rPr>
        <w:t>什么情况下采取什么形式的</w:t>
      </w:r>
      <w:r>
        <w:t xml:space="preserve"> </w:t>
      </w:r>
      <w:r>
        <w:rPr>
          <w:spacing w:val="-4"/>
        </w:rPr>
        <w:t>措施。</w:t>
      </w:r>
    </w:p>
    <w:p w14:paraId="118B9CD0">
      <w:pPr>
        <w:spacing w:before="1" w:line="221" w:lineRule="auto"/>
        <w:rPr>
          <w:rFonts w:ascii="黑体" w:hAnsi="黑体" w:eastAsia="黑体" w:cs="黑体"/>
          <w:sz w:val="27"/>
          <w:szCs w:val="27"/>
        </w:rPr>
      </w:pPr>
      <w:r>
        <w:rPr>
          <w:rFonts w:ascii="黑体" w:hAnsi="黑体" w:eastAsia="黑体" w:cs="黑体"/>
          <w:spacing w:val="2"/>
          <w:sz w:val="27"/>
          <w:szCs w:val="27"/>
        </w:rPr>
        <w:t>5.7</w:t>
      </w:r>
      <w:r>
        <w:rPr>
          <w:rFonts w:ascii="黑体" w:hAnsi="黑体" w:eastAsia="黑体" w:cs="黑体"/>
          <w:spacing w:val="23"/>
          <w:sz w:val="27"/>
          <w:szCs w:val="27"/>
        </w:rPr>
        <w:t xml:space="preserve">  </w:t>
      </w:r>
      <w:r>
        <w:rPr>
          <w:rFonts w:ascii="黑体" w:hAnsi="黑体" w:eastAsia="黑体" w:cs="黑体"/>
          <w:spacing w:val="2"/>
          <w:sz w:val="27"/>
          <w:szCs w:val="27"/>
        </w:rPr>
        <w:t>建议措施的影响</w:t>
      </w:r>
    </w:p>
    <w:p w14:paraId="500B829F">
      <w:pPr>
        <w:pStyle w:val="2"/>
        <w:spacing w:before="85" w:line="218" w:lineRule="auto"/>
        <w:ind w:left="560"/>
      </w:pPr>
      <w:r>
        <w:rPr>
          <w:spacing w:val="5"/>
        </w:rPr>
        <w:t>讨论所建议的措施对风险评价结果带来的变化。</w:t>
      </w:r>
    </w:p>
    <w:p w14:paraId="77955BC0">
      <w:pPr>
        <w:spacing w:before="81" w:line="222" w:lineRule="auto"/>
        <w:rPr>
          <w:rFonts w:ascii="黑体" w:hAnsi="黑体" w:eastAsia="黑体" w:cs="黑体"/>
          <w:sz w:val="25"/>
          <w:szCs w:val="25"/>
        </w:rPr>
      </w:pPr>
      <w:r>
        <w:rPr>
          <w:rFonts w:ascii="黑体" w:hAnsi="黑体" w:eastAsia="黑体" w:cs="黑体"/>
          <w:spacing w:val="5"/>
          <w:sz w:val="25"/>
          <w:szCs w:val="25"/>
        </w:rPr>
        <w:t>5.8</w:t>
      </w:r>
      <w:r>
        <w:rPr>
          <w:rFonts w:ascii="黑体" w:hAnsi="黑体" w:eastAsia="黑体" w:cs="黑体"/>
          <w:spacing w:val="35"/>
          <w:sz w:val="25"/>
          <w:szCs w:val="25"/>
        </w:rPr>
        <w:t xml:space="preserve">  </w:t>
      </w:r>
      <w:r>
        <w:rPr>
          <w:rFonts w:ascii="黑体" w:hAnsi="黑体" w:eastAsia="黑体" w:cs="黑体"/>
          <w:spacing w:val="5"/>
          <w:sz w:val="25"/>
          <w:szCs w:val="25"/>
        </w:rPr>
        <w:t>备注</w:t>
      </w:r>
    </w:p>
    <w:p w14:paraId="0D0AC33B">
      <w:pPr>
        <w:pStyle w:val="2"/>
        <w:spacing w:before="119" w:line="218" w:lineRule="auto"/>
        <w:ind w:left="560"/>
      </w:pPr>
      <w:r>
        <w:t>列出参考资料、相似系统的信息等在分析报告中未包</w:t>
      </w:r>
      <w:r>
        <w:rPr>
          <w:spacing w:val="-1"/>
        </w:rPr>
        <w:t>括的所有信息。</w:t>
      </w:r>
    </w:p>
    <w:p w14:paraId="66C8B1A2">
      <w:pPr>
        <w:spacing w:before="110" w:line="221" w:lineRule="auto"/>
        <w:rPr>
          <w:rFonts w:ascii="黑体" w:hAnsi="黑体" w:eastAsia="黑体" w:cs="黑体"/>
          <w:sz w:val="24"/>
          <w:szCs w:val="24"/>
        </w:rPr>
      </w:pPr>
      <w:r>
        <w:rPr>
          <w:rFonts w:ascii="黑体" w:hAnsi="黑体" w:eastAsia="黑体" w:cs="黑体"/>
          <w:spacing w:val="28"/>
          <w:sz w:val="24"/>
          <w:szCs w:val="24"/>
        </w:rPr>
        <w:t>6</w:t>
      </w:r>
      <w:r>
        <w:rPr>
          <w:rFonts w:ascii="黑体" w:hAnsi="黑体" w:eastAsia="黑体" w:cs="黑体"/>
          <w:spacing w:val="45"/>
          <w:sz w:val="24"/>
          <w:szCs w:val="24"/>
        </w:rPr>
        <w:t xml:space="preserve">  </w:t>
      </w:r>
      <w:r>
        <w:rPr>
          <w:rFonts w:ascii="黑体" w:hAnsi="黑体" w:eastAsia="黑体" w:cs="黑体"/>
          <w:spacing w:val="28"/>
          <w:sz w:val="24"/>
          <w:szCs w:val="24"/>
        </w:rPr>
        <w:t>安全性措施和替换方案</w:t>
      </w:r>
    </w:p>
    <w:p w14:paraId="6A9CF1D0">
      <w:pPr>
        <w:pStyle w:val="2"/>
        <w:spacing w:before="117" w:line="219" w:lineRule="auto"/>
        <w:ind w:left="560"/>
      </w:pPr>
      <w:r>
        <w:rPr>
          <w:spacing w:val="4"/>
        </w:rPr>
        <w:t>确定消除已判定的危险或降低风险所必须的安全性措施和替换方案。</w:t>
      </w:r>
    </w:p>
    <w:p w14:paraId="146A8BE5">
      <w:pPr>
        <w:spacing w:line="291" w:lineRule="auto"/>
        <w:rPr>
          <w:rFonts w:ascii="Arial"/>
          <w:sz w:val="21"/>
        </w:rPr>
      </w:pPr>
    </w:p>
    <w:p w14:paraId="371DD00C">
      <w:pPr>
        <w:pStyle w:val="2"/>
        <w:spacing w:before="127" w:line="220" w:lineRule="auto"/>
        <w:ind w:left="3070"/>
        <w:rPr>
          <w:sz w:val="39"/>
          <w:szCs w:val="39"/>
        </w:rPr>
      </w:pPr>
      <w:r>
        <w:rPr>
          <w:spacing w:val="-23"/>
          <w:sz w:val="39"/>
          <w:szCs w:val="39"/>
        </w:rPr>
        <w:t>11.7</w:t>
      </w:r>
      <w:r>
        <w:rPr>
          <w:spacing w:val="9"/>
          <w:sz w:val="39"/>
          <w:szCs w:val="39"/>
        </w:rPr>
        <w:t xml:space="preserve">  </w:t>
      </w:r>
      <w:r>
        <w:rPr>
          <w:b/>
          <w:bCs/>
          <w:spacing w:val="-23"/>
          <w:sz w:val="39"/>
          <w:szCs w:val="39"/>
        </w:rPr>
        <w:t>系统危险分析</w:t>
      </w:r>
    </w:p>
    <w:p w14:paraId="3AC79CFB">
      <w:pPr>
        <w:spacing w:line="357" w:lineRule="auto"/>
        <w:rPr>
          <w:rFonts w:ascii="Arial"/>
          <w:sz w:val="21"/>
        </w:rPr>
      </w:pPr>
    </w:p>
    <w:p w14:paraId="35FF774C">
      <w:pPr>
        <w:pStyle w:val="2"/>
        <w:spacing w:before="78" w:line="223" w:lineRule="auto"/>
        <w:ind w:left="560"/>
        <w:rPr>
          <w:rFonts w:ascii="楷体" w:hAnsi="楷体" w:eastAsia="楷体" w:cs="楷体"/>
          <w:sz w:val="24"/>
          <w:szCs w:val="24"/>
        </w:rPr>
      </w:pPr>
      <w:r>
        <w:rPr>
          <w:rFonts w:ascii="楷体" w:hAnsi="楷体" w:eastAsia="楷体" w:cs="楷体"/>
          <w:spacing w:val="9"/>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900—1990</w:t>
      </w:r>
      <w:r>
        <w:rPr>
          <w:spacing w:val="9"/>
          <w:sz w:val="24"/>
          <w:szCs w:val="24"/>
        </w:rPr>
        <w:t>《</w:t>
      </w:r>
      <w:r>
        <w:rPr>
          <w:rFonts w:ascii="楷体" w:hAnsi="楷体" w:eastAsia="楷体" w:cs="楷体"/>
          <w:spacing w:val="9"/>
          <w:sz w:val="24"/>
          <w:szCs w:val="24"/>
        </w:rPr>
        <w:t>系统安全性通用大纲》编写。</w:t>
      </w:r>
    </w:p>
    <w:p w14:paraId="62E805CE">
      <w:pPr>
        <w:spacing w:before="78"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9"/>
          <w:sz w:val="27"/>
          <w:szCs w:val="27"/>
        </w:rPr>
        <w:t xml:space="preserve">  </w:t>
      </w:r>
      <w:r>
        <w:rPr>
          <w:rFonts w:ascii="黑体" w:hAnsi="黑体" w:eastAsia="黑体" w:cs="黑体"/>
          <w:spacing w:val="-3"/>
          <w:sz w:val="27"/>
          <w:szCs w:val="27"/>
        </w:rPr>
        <w:t>范围</w:t>
      </w:r>
    </w:p>
    <w:p w14:paraId="4BFC9DCA">
      <w:pPr>
        <w:pStyle w:val="2"/>
        <w:spacing w:before="94" w:line="219" w:lineRule="auto"/>
        <w:ind w:left="560"/>
      </w:pPr>
      <w:r>
        <w:rPr>
          <w:spacing w:val="3"/>
        </w:rPr>
        <w:t>说明系统危险分析的主题内容和适用范围。</w:t>
      </w:r>
    </w:p>
    <w:p w14:paraId="4E15A775">
      <w:pPr>
        <w:spacing w:before="77"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23"/>
          <w:sz w:val="27"/>
          <w:szCs w:val="27"/>
        </w:rPr>
        <w:t xml:space="preserve">  </w:t>
      </w:r>
      <w:r>
        <w:rPr>
          <w:rFonts w:ascii="黑体" w:hAnsi="黑体" w:eastAsia="黑体" w:cs="黑体"/>
          <w:spacing w:val="2"/>
          <w:sz w:val="27"/>
          <w:szCs w:val="27"/>
        </w:rPr>
        <w:t>引用文件</w:t>
      </w:r>
    </w:p>
    <w:p w14:paraId="7744FC4F">
      <w:pPr>
        <w:pStyle w:val="2"/>
        <w:spacing w:before="96" w:line="219" w:lineRule="auto"/>
        <w:ind w:left="560"/>
      </w:pPr>
      <w:r>
        <w:rPr>
          <w:spacing w:val="5"/>
        </w:rPr>
        <w:t>列出系统危险分析的依据文件以及引用的所有文件。</w:t>
      </w:r>
    </w:p>
    <w:p w14:paraId="7DA2ACCA">
      <w:pPr>
        <w:spacing w:before="59" w:line="221" w:lineRule="auto"/>
        <w:rPr>
          <w:rFonts w:ascii="黑体" w:hAnsi="黑体" w:eastAsia="黑体" w:cs="黑体"/>
          <w:sz w:val="27"/>
          <w:szCs w:val="27"/>
        </w:rPr>
      </w:pPr>
      <w:r>
        <w:rPr>
          <w:rFonts w:ascii="黑体" w:hAnsi="黑体" w:eastAsia="黑体" w:cs="黑体"/>
          <w:spacing w:val="-5"/>
          <w:sz w:val="27"/>
          <w:szCs w:val="27"/>
        </w:rPr>
        <w:t>3</w:t>
      </w:r>
      <w:r>
        <w:rPr>
          <w:rFonts w:ascii="黑体" w:hAnsi="黑体" w:eastAsia="黑体" w:cs="黑体"/>
          <w:spacing w:val="23"/>
          <w:sz w:val="27"/>
          <w:szCs w:val="27"/>
        </w:rPr>
        <w:t xml:space="preserve">  </w:t>
      </w:r>
      <w:r>
        <w:rPr>
          <w:rFonts w:ascii="黑体" w:hAnsi="黑体" w:eastAsia="黑体" w:cs="黑体"/>
          <w:spacing w:val="-5"/>
          <w:sz w:val="27"/>
          <w:szCs w:val="27"/>
        </w:rPr>
        <w:t>系统概述</w:t>
      </w:r>
    </w:p>
    <w:p w14:paraId="663D7DBF">
      <w:pPr>
        <w:pStyle w:val="2"/>
        <w:spacing w:before="115" w:line="257" w:lineRule="auto"/>
        <w:ind w:right="306" w:firstLine="560"/>
        <w:rPr>
          <w:rFonts w:ascii="黑体" w:hAnsi="黑体" w:eastAsia="黑体" w:cs="黑体"/>
        </w:rPr>
      </w:pPr>
      <w:r>
        <w:rPr>
          <w:spacing w:val="-7"/>
        </w:rPr>
        <w:t>依据本书1.16《研制方案》或1.21《详细设计》,简要说明系统设计</w:t>
      </w:r>
      <w:r>
        <w:rPr>
          <w:spacing w:val="-8"/>
        </w:rPr>
        <w:t>方案。</w:t>
      </w:r>
      <w:r>
        <w:t xml:space="preserve"> </w:t>
      </w:r>
      <w:r>
        <w:rPr>
          <w:rFonts w:ascii="黑体" w:hAnsi="黑体" w:eastAsia="黑体" w:cs="黑体"/>
          <w:spacing w:val="4"/>
        </w:rPr>
        <w:t>4</w:t>
      </w:r>
      <w:r>
        <w:rPr>
          <w:rFonts w:ascii="黑体" w:hAnsi="黑体" w:eastAsia="黑体" w:cs="黑体"/>
          <w:spacing w:val="19"/>
        </w:rPr>
        <w:t xml:space="preserve">  </w:t>
      </w:r>
      <w:r>
        <w:rPr>
          <w:rFonts w:ascii="黑体" w:hAnsi="黑体" w:eastAsia="黑体" w:cs="黑体"/>
          <w:spacing w:val="4"/>
        </w:rPr>
        <w:t>分析方法</w:t>
      </w:r>
    </w:p>
    <w:p w14:paraId="16A7EF7C">
      <w:pPr>
        <w:pStyle w:val="2"/>
        <w:spacing w:before="63" w:line="220" w:lineRule="auto"/>
        <w:ind w:left="560"/>
      </w:pPr>
      <w:r>
        <w:rPr>
          <w:spacing w:val="2"/>
        </w:rPr>
        <w:t>选择用于危险分析的方法。</w:t>
      </w:r>
    </w:p>
    <w:p w14:paraId="75FA0F07">
      <w:pPr>
        <w:spacing w:before="17" w:line="368" w:lineRule="exact"/>
        <w:rPr>
          <w:rFonts w:ascii="黑体" w:hAnsi="黑体" w:eastAsia="黑体" w:cs="黑体"/>
          <w:sz w:val="27"/>
          <w:szCs w:val="27"/>
        </w:rPr>
      </w:pPr>
      <w:r>
        <w:rPr>
          <w:rFonts w:ascii="Arial" w:hAnsi="Arial" w:eastAsia="Arial" w:cs="Arial"/>
          <w:spacing w:val="1"/>
          <w:position w:val="1"/>
          <w:sz w:val="27"/>
          <w:szCs w:val="27"/>
        </w:rPr>
        <w:t>5</w:t>
      </w:r>
      <w:r>
        <w:rPr>
          <w:rFonts w:ascii="Arial" w:hAnsi="Arial" w:eastAsia="Arial" w:cs="Arial"/>
          <w:position w:val="1"/>
          <w:sz w:val="27"/>
          <w:szCs w:val="27"/>
        </w:rPr>
        <w:t xml:space="preserve">    </w:t>
      </w:r>
      <w:r>
        <w:rPr>
          <w:rFonts w:ascii="黑体" w:hAnsi="黑体" w:eastAsia="黑体" w:cs="黑体"/>
          <w:spacing w:val="1"/>
          <w:position w:val="1"/>
          <w:sz w:val="27"/>
          <w:szCs w:val="27"/>
        </w:rPr>
        <w:t>系统危险分析</w:t>
      </w:r>
    </w:p>
    <w:p w14:paraId="55933970">
      <w:pPr>
        <w:spacing w:before="120" w:line="222" w:lineRule="auto"/>
        <w:rPr>
          <w:rFonts w:ascii="黑体" w:hAnsi="黑体" w:eastAsia="黑体" w:cs="黑体"/>
          <w:sz w:val="24"/>
          <w:szCs w:val="24"/>
        </w:rPr>
      </w:pPr>
      <w:r>
        <w:rPr>
          <w:rFonts w:ascii="黑体" w:hAnsi="黑体" w:eastAsia="黑体" w:cs="黑体"/>
          <w:spacing w:val="26"/>
          <w:sz w:val="24"/>
          <w:szCs w:val="24"/>
        </w:rPr>
        <w:t>5.1</w:t>
      </w:r>
      <w:r>
        <w:rPr>
          <w:rFonts w:ascii="黑体" w:hAnsi="黑体" w:eastAsia="黑体" w:cs="黑体"/>
          <w:spacing w:val="44"/>
          <w:sz w:val="24"/>
          <w:szCs w:val="24"/>
        </w:rPr>
        <w:t xml:space="preserve">  </w:t>
      </w:r>
      <w:r>
        <w:rPr>
          <w:rFonts w:ascii="黑体" w:hAnsi="黑体" w:eastAsia="黑体" w:cs="黑体"/>
          <w:spacing w:val="26"/>
          <w:sz w:val="24"/>
          <w:szCs w:val="24"/>
        </w:rPr>
        <w:t>安全性准则符合程度</w:t>
      </w:r>
    </w:p>
    <w:p w14:paraId="3969D60B">
      <w:pPr>
        <w:pStyle w:val="2"/>
        <w:spacing w:before="133" w:line="219" w:lineRule="auto"/>
        <w:ind w:right="11"/>
        <w:jc w:val="right"/>
        <w:rPr>
          <w:sz w:val="25"/>
          <w:szCs w:val="25"/>
        </w:rPr>
      </w:pPr>
      <w:r>
        <w:rPr>
          <w:spacing w:val="25"/>
          <w:sz w:val="25"/>
          <w:szCs w:val="25"/>
        </w:rPr>
        <w:t>考察所有的分系统接口是否符合在系统或分系统要求文件中规定的安全性</w:t>
      </w:r>
    </w:p>
    <w:p w14:paraId="6AE7D7C5">
      <w:pPr>
        <w:spacing w:line="219" w:lineRule="auto"/>
        <w:rPr>
          <w:sz w:val="25"/>
          <w:szCs w:val="25"/>
        </w:rPr>
        <w:sectPr>
          <w:footerReference r:id="rId560" w:type="default"/>
          <w:pgSz w:w="11910" w:h="17130"/>
          <w:pgMar w:top="400" w:right="878" w:bottom="1716" w:left="1650" w:header="0" w:footer="1527" w:gutter="0"/>
          <w:cols w:space="720" w:num="1"/>
        </w:sectPr>
      </w:pPr>
    </w:p>
    <w:p w14:paraId="093E5510">
      <w:pPr>
        <w:spacing w:line="264" w:lineRule="auto"/>
        <w:rPr>
          <w:rFonts w:ascii="Arial"/>
          <w:sz w:val="21"/>
        </w:rPr>
      </w:pPr>
    </w:p>
    <w:p w14:paraId="4BE924AA">
      <w:pPr>
        <w:spacing w:line="264" w:lineRule="auto"/>
        <w:rPr>
          <w:rFonts w:ascii="Arial"/>
          <w:sz w:val="21"/>
        </w:rPr>
      </w:pPr>
    </w:p>
    <w:p w14:paraId="0F2EA0F6">
      <w:pPr>
        <w:spacing w:line="264" w:lineRule="auto"/>
        <w:rPr>
          <w:rFonts w:ascii="Arial"/>
          <w:sz w:val="21"/>
        </w:rPr>
      </w:pPr>
    </w:p>
    <w:p w14:paraId="356377CD">
      <w:pPr>
        <w:spacing w:line="265" w:lineRule="auto"/>
        <w:rPr>
          <w:rFonts w:ascii="Arial"/>
          <w:sz w:val="21"/>
        </w:rPr>
      </w:pPr>
    </w:p>
    <w:p w14:paraId="117989EF">
      <w:pPr>
        <w:pStyle w:val="2"/>
        <w:spacing w:before="88" w:line="220" w:lineRule="auto"/>
      </w:pPr>
      <w:r>
        <w:rPr>
          <w:spacing w:val="-6"/>
        </w:rPr>
        <w:t>准则。</w:t>
      </w:r>
    </w:p>
    <w:p w14:paraId="7134A052">
      <w:pPr>
        <w:spacing w:before="73" w:line="222" w:lineRule="auto"/>
        <w:rPr>
          <w:rFonts w:ascii="黑体" w:hAnsi="黑体" w:eastAsia="黑体" w:cs="黑体"/>
          <w:sz w:val="27"/>
          <w:szCs w:val="27"/>
        </w:rPr>
      </w:pPr>
      <w:r>
        <w:rPr>
          <w:rFonts w:ascii="黑体" w:hAnsi="黑体" w:eastAsia="黑体" w:cs="黑体"/>
          <w:spacing w:val="1"/>
          <w:sz w:val="27"/>
          <w:szCs w:val="27"/>
        </w:rPr>
        <w:t xml:space="preserve">5.2  </w:t>
      </w:r>
      <w:r>
        <w:rPr>
          <w:rFonts w:ascii="黑体" w:hAnsi="黑体" w:eastAsia="黑体" w:cs="黑体"/>
          <w:b/>
          <w:bCs/>
          <w:spacing w:val="1"/>
          <w:sz w:val="27"/>
          <w:szCs w:val="27"/>
        </w:rPr>
        <w:t>危险事件的共因分析</w:t>
      </w:r>
    </w:p>
    <w:p w14:paraId="572330B5">
      <w:pPr>
        <w:pStyle w:val="2"/>
        <w:spacing w:before="30" w:line="295" w:lineRule="auto"/>
        <w:ind w:firstLine="560"/>
      </w:pPr>
      <w:r>
        <w:rPr>
          <w:spacing w:val="-3"/>
        </w:rPr>
        <w:t>独立的、相关的和同时发生的危险事件，包括安全装置的故障或产生危险的</w:t>
      </w:r>
      <w:r>
        <w:rPr>
          <w:spacing w:val="18"/>
        </w:rPr>
        <w:t xml:space="preserve"> </w:t>
      </w:r>
      <w:r>
        <w:rPr>
          <w:spacing w:val="-1"/>
        </w:rPr>
        <w:t>共同原因。</w:t>
      </w:r>
    </w:p>
    <w:p w14:paraId="06A5D728">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 xml:space="preserve">5.3    </w:t>
      </w:r>
      <w:r>
        <w:rPr>
          <w:rFonts w:ascii="黑体" w:hAnsi="黑体" w:eastAsia="黑体" w:cs="黑体"/>
          <w:b/>
          <w:bCs/>
          <w:spacing w:val="1"/>
          <w:sz w:val="27"/>
          <w:szCs w:val="27"/>
        </w:rPr>
        <w:t>分系统与其他分系统的兼容性</w:t>
      </w:r>
    </w:p>
    <w:p w14:paraId="23DFA218">
      <w:pPr>
        <w:pStyle w:val="2"/>
        <w:spacing w:before="93" w:line="219" w:lineRule="auto"/>
        <w:ind w:left="560"/>
      </w:pPr>
      <w:r>
        <w:rPr>
          <w:spacing w:val="4"/>
        </w:rPr>
        <w:t>分析由于分系统的正常使用怎样导致另一分系统或整个系统安全性降低。</w:t>
      </w:r>
    </w:p>
    <w:p w14:paraId="5995BE91">
      <w:pPr>
        <w:pStyle w:val="2"/>
        <w:spacing w:before="89" w:line="263" w:lineRule="auto"/>
        <w:ind w:right="7" w:firstLine="560"/>
      </w:pPr>
      <w:r>
        <w:rPr>
          <w:spacing w:val="6"/>
        </w:rPr>
        <w:t>系统危险分析的重点在于各分系统间的接口，各接</w:t>
      </w:r>
      <w:r>
        <w:rPr>
          <w:spacing w:val="5"/>
        </w:rPr>
        <w:t>口间的关系主要可分为</w:t>
      </w:r>
      <w:r>
        <w:t xml:space="preserve"> </w:t>
      </w:r>
      <w:r>
        <w:rPr>
          <w:spacing w:val="-8"/>
        </w:rPr>
        <w:t>物理的、功能的和能量流的关系：</w:t>
      </w:r>
    </w:p>
    <w:p w14:paraId="5DEB2EAA">
      <w:pPr>
        <w:pStyle w:val="2"/>
        <w:spacing w:line="212" w:lineRule="auto"/>
        <w:ind w:left="560"/>
      </w:pPr>
      <w:r>
        <w:rPr>
          <w:rFonts w:ascii="Times New Roman" w:hAnsi="Times New Roman" w:eastAsia="Times New Roman" w:cs="Times New Roman"/>
        </w:rPr>
        <w:t xml:space="preserve">a)  </w:t>
      </w:r>
      <w:r>
        <w:t>物理关系，系指各分系统几何尺寸及机械结构的相互关系。</w:t>
      </w:r>
    </w:p>
    <w:p w14:paraId="08A35DD3">
      <w:pPr>
        <w:pStyle w:val="2"/>
        <w:spacing w:before="100" w:line="212" w:lineRule="auto"/>
        <w:ind w:left="560"/>
      </w:pPr>
      <w:r>
        <w:rPr>
          <w:rFonts w:ascii="Times New Roman" w:hAnsi="Times New Roman" w:eastAsia="Times New Roman" w:cs="Times New Roman"/>
          <w:spacing w:val="-1"/>
        </w:rPr>
        <w:t xml:space="preserve">b)  </w:t>
      </w:r>
      <w:r>
        <w:rPr>
          <w:spacing w:val="-1"/>
        </w:rPr>
        <w:t>功能关系，系指各分系统的输入与输出之间的相互影响。</w:t>
      </w:r>
    </w:p>
    <w:p w14:paraId="7BCB3CDE">
      <w:pPr>
        <w:pStyle w:val="2"/>
        <w:spacing w:before="103" w:line="279" w:lineRule="auto"/>
        <w:ind w:right="11" w:firstLine="560"/>
        <w:rPr>
          <w:sz w:val="25"/>
          <w:szCs w:val="25"/>
        </w:rPr>
      </w:pPr>
      <w:r>
        <w:rPr>
          <w:rFonts w:ascii="Times New Roman" w:hAnsi="Times New Roman" w:eastAsia="Times New Roman" w:cs="Times New Roman"/>
          <w:spacing w:val="7"/>
          <w:sz w:val="25"/>
          <w:szCs w:val="25"/>
        </w:rPr>
        <w:t xml:space="preserve">c)  </w:t>
      </w:r>
      <w:r>
        <w:rPr>
          <w:spacing w:val="7"/>
          <w:sz w:val="25"/>
          <w:szCs w:val="25"/>
        </w:rPr>
        <w:t>能量流关系，系指各分系统间的电、机械、热、核、</w:t>
      </w:r>
      <w:r>
        <w:rPr>
          <w:spacing w:val="6"/>
          <w:sz w:val="25"/>
          <w:szCs w:val="25"/>
        </w:rPr>
        <w:t>化学或其他形式的能量</w:t>
      </w:r>
      <w:r>
        <w:rPr>
          <w:sz w:val="25"/>
          <w:szCs w:val="25"/>
        </w:rPr>
        <w:t xml:space="preserve"> </w:t>
      </w:r>
      <w:r>
        <w:rPr>
          <w:spacing w:val="15"/>
          <w:sz w:val="25"/>
          <w:szCs w:val="25"/>
        </w:rPr>
        <w:t>的相互关系。</w:t>
      </w:r>
    </w:p>
    <w:p w14:paraId="43C21762">
      <w:pPr>
        <w:spacing w:before="105" w:line="221" w:lineRule="auto"/>
        <w:rPr>
          <w:rFonts w:ascii="黑体" w:hAnsi="黑体" w:eastAsia="黑体" w:cs="黑体"/>
          <w:sz w:val="24"/>
          <w:szCs w:val="24"/>
        </w:rPr>
      </w:pPr>
      <w:r>
        <w:rPr>
          <w:rFonts w:ascii="黑体" w:hAnsi="黑体" w:eastAsia="黑体" w:cs="黑体"/>
          <w:spacing w:val="25"/>
          <w:sz w:val="24"/>
          <w:szCs w:val="24"/>
        </w:rPr>
        <w:t>5.4</w:t>
      </w:r>
      <w:r>
        <w:rPr>
          <w:rFonts w:ascii="黑体" w:hAnsi="黑体" w:eastAsia="黑体" w:cs="黑体"/>
          <w:spacing w:val="48"/>
          <w:sz w:val="24"/>
          <w:szCs w:val="24"/>
        </w:rPr>
        <w:t xml:space="preserve">  </w:t>
      </w:r>
      <w:r>
        <w:rPr>
          <w:rFonts w:ascii="黑体" w:hAnsi="黑体" w:eastAsia="黑体" w:cs="黑体"/>
          <w:b/>
          <w:bCs/>
          <w:spacing w:val="25"/>
          <w:sz w:val="24"/>
          <w:szCs w:val="24"/>
        </w:rPr>
        <w:t>设计更改对分系统的影响</w:t>
      </w:r>
    </w:p>
    <w:p w14:paraId="58C63D56">
      <w:pPr>
        <w:pStyle w:val="2"/>
        <w:spacing w:before="87" w:line="218" w:lineRule="auto"/>
        <w:ind w:left="560"/>
      </w:pPr>
      <w:r>
        <w:rPr>
          <w:spacing w:val="4"/>
        </w:rPr>
        <w:t>评价设计更改以确定对系统及其分系统的安全性影响。</w:t>
      </w:r>
    </w:p>
    <w:p w14:paraId="10BD4382">
      <w:pPr>
        <w:spacing w:before="100" w:line="222" w:lineRule="auto"/>
        <w:rPr>
          <w:rFonts w:ascii="黑体" w:hAnsi="黑体" w:eastAsia="黑体" w:cs="黑体"/>
          <w:sz w:val="27"/>
          <w:szCs w:val="27"/>
        </w:rPr>
      </w:pPr>
      <w:r>
        <w:rPr>
          <w:rFonts w:ascii="黑体" w:hAnsi="黑体" w:eastAsia="黑体" w:cs="黑体"/>
          <w:spacing w:val="1"/>
          <w:sz w:val="27"/>
          <w:szCs w:val="27"/>
        </w:rPr>
        <w:t xml:space="preserve">5.5  </w:t>
      </w:r>
      <w:r>
        <w:rPr>
          <w:rFonts w:ascii="黑体" w:hAnsi="黑体" w:eastAsia="黑体" w:cs="黑体"/>
          <w:b/>
          <w:bCs/>
          <w:spacing w:val="1"/>
          <w:sz w:val="27"/>
          <w:szCs w:val="27"/>
        </w:rPr>
        <w:t>人为差错的影响</w:t>
      </w:r>
    </w:p>
    <w:p w14:paraId="6A8DC4FE">
      <w:pPr>
        <w:pStyle w:val="2"/>
        <w:spacing w:before="68" w:line="287" w:lineRule="auto"/>
        <w:ind w:right="27" w:firstLine="560"/>
      </w:pPr>
      <w:r>
        <w:rPr>
          <w:spacing w:val="-3"/>
        </w:rPr>
        <w:t>人为差错对系统的影响随着系统的不同而不同，因此，</w:t>
      </w:r>
      <w:r>
        <w:rPr>
          <w:spacing w:val="-4"/>
        </w:rPr>
        <w:t>在研究时必须对人为</w:t>
      </w:r>
      <w:r>
        <w:t xml:space="preserve"> </w:t>
      </w:r>
      <w:r>
        <w:rPr>
          <w:spacing w:val="-6"/>
        </w:rPr>
        <w:t>差错的特点、类型及后果进行分析，给出定量的发生概率。</w:t>
      </w:r>
    </w:p>
    <w:p w14:paraId="15221B60">
      <w:pPr>
        <w:pStyle w:val="2"/>
        <w:spacing w:before="1" w:line="218" w:lineRule="auto"/>
        <w:ind w:left="560"/>
      </w:pPr>
      <w:r>
        <w:rPr>
          <w:spacing w:val="3"/>
        </w:rPr>
        <w:t>人为差错可按以下几种方式分类。</w:t>
      </w:r>
    </w:p>
    <w:p w14:paraId="2665C212">
      <w:pPr>
        <w:pStyle w:val="2"/>
        <w:spacing w:before="31" w:line="267" w:lineRule="auto"/>
        <w:ind w:right="6" w:firstLine="560"/>
      </w:pPr>
      <w:r>
        <w:rPr>
          <w:rFonts w:ascii="Times New Roman" w:hAnsi="Times New Roman" w:eastAsia="Times New Roman" w:cs="Times New Roman"/>
          <w:spacing w:val="7"/>
        </w:rPr>
        <w:t>a)</w:t>
      </w:r>
      <w:r>
        <w:rPr>
          <w:rFonts w:ascii="Times New Roman" w:hAnsi="Times New Roman" w:eastAsia="Times New Roman" w:cs="Times New Roman"/>
          <w:spacing w:val="72"/>
        </w:rPr>
        <w:t xml:space="preserve"> </w:t>
      </w:r>
      <w:r>
        <w:rPr>
          <w:spacing w:val="7"/>
        </w:rPr>
        <w:t>按作业要求分类，可分为不能完成必须做的工作(执行性);遗漏了必须</w:t>
      </w:r>
      <w:r>
        <w:t xml:space="preserve"> </w:t>
      </w:r>
      <w:r>
        <w:rPr>
          <w:spacing w:val="9"/>
        </w:rPr>
        <w:t>做的工作(疏忽性);做了不需要做的工作(多余性);操作顺序出错(次序</w:t>
      </w:r>
      <w:r>
        <w:rPr>
          <w:spacing w:val="8"/>
        </w:rPr>
        <w:t>性);不</w:t>
      </w:r>
      <w:r>
        <w:t xml:space="preserve"> </w:t>
      </w:r>
      <w:r>
        <w:rPr>
          <w:spacing w:val="3"/>
        </w:rPr>
        <w:t>能在规定时间内完成工作(时间性);操作错误(错误性)。</w:t>
      </w:r>
    </w:p>
    <w:p w14:paraId="5F11E82B">
      <w:pPr>
        <w:pStyle w:val="2"/>
        <w:spacing w:before="57" w:line="264" w:lineRule="auto"/>
        <w:ind w:right="10" w:firstLine="560"/>
      </w:pPr>
      <w:r>
        <w:rPr>
          <w:rFonts w:ascii="Times New Roman" w:hAnsi="Times New Roman" w:eastAsia="Times New Roman" w:cs="Times New Roman"/>
          <w:spacing w:val="-13"/>
        </w:rPr>
        <w:t>b)</w:t>
      </w:r>
      <w:r>
        <w:rPr>
          <w:rFonts w:ascii="Times New Roman" w:hAnsi="Times New Roman" w:eastAsia="Times New Roman" w:cs="Times New Roman"/>
          <w:spacing w:val="71"/>
        </w:rPr>
        <w:t xml:space="preserve"> </w:t>
      </w:r>
      <w:r>
        <w:rPr>
          <w:spacing w:val="-13"/>
        </w:rPr>
        <w:t>按工作类型分类，可分为设计差错；操作差错；装配差错；安装差错；维修</w:t>
      </w:r>
      <w:r>
        <w:t xml:space="preserve"> </w:t>
      </w:r>
      <w:r>
        <w:rPr>
          <w:spacing w:val="-1"/>
        </w:rPr>
        <w:t>保养差错。</w:t>
      </w:r>
    </w:p>
    <w:p w14:paraId="6B277189">
      <w:pPr>
        <w:pStyle w:val="2"/>
        <w:spacing w:before="40" w:line="265" w:lineRule="auto"/>
        <w:ind w:right="3" w:firstLine="560"/>
      </w:pPr>
      <w:r>
        <w:rPr>
          <w:rFonts w:ascii="Times New Roman" w:hAnsi="Times New Roman" w:eastAsia="Times New Roman" w:cs="Times New Roman"/>
          <w:spacing w:val="-5"/>
        </w:rPr>
        <w:t>c)</w:t>
      </w:r>
      <w:r>
        <w:rPr>
          <w:rFonts w:ascii="Times New Roman" w:hAnsi="Times New Roman" w:eastAsia="Times New Roman" w:cs="Times New Roman"/>
          <w:spacing w:val="79"/>
        </w:rPr>
        <w:t xml:space="preserve"> </w:t>
      </w:r>
      <w:r>
        <w:rPr>
          <w:spacing w:val="-5"/>
        </w:rPr>
        <w:t>按人的因素分类，可分为感知与确认失误；判断与记忆失误；动作与操作</w:t>
      </w:r>
      <w:r>
        <w:t xml:space="preserve"> </w:t>
      </w:r>
      <w:r>
        <w:rPr>
          <w:spacing w:val="-6"/>
        </w:rPr>
        <w:t>失误。</w:t>
      </w:r>
    </w:p>
    <w:p w14:paraId="304CE247">
      <w:pPr>
        <w:spacing w:before="79" w:line="221" w:lineRule="auto"/>
        <w:rPr>
          <w:rFonts w:ascii="黑体" w:hAnsi="黑体" w:eastAsia="黑体" w:cs="黑体"/>
          <w:sz w:val="27"/>
          <w:szCs w:val="27"/>
        </w:rPr>
      </w:pPr>
      <w:r>
        <w:rPr>
          <w:rFonts w:ascii="黑体" w:hAnsi="黑体" w:eastAsia="黑体" w:cs="黑体"/>
          <w:spacing w:val="-2"/>
          <w:sz w:val="27"/>
          <w:szCs w:val="27"/>
        </w:rPr>
        <w:t xml:space="preserve">5.6  </w:t>
      </w:r>
      <w:r>
        <w:rPr>
          <w:rFonts w:ascii="黑体" w:hAnsi="黑体" w:eastAsia="黑体" w:cs="黑体"/>
          <w:b/>
          <w:bCs/>
          <w:spacing w:val="-2"/>
          <w:sz w:val="27"/>
          <w:szCs w:val="27"/>
        </w:rPr>
        <w:t>软件事件、故障和偶然事件对系统安</w:t>
      </w:r>
      <w:r>
        <w:rPr>
          <w:rFonts w:ascii="黑体" w:hAnsi="黑体" w:eastAsia="黑体" w:cs="黑体"/>
          <w:b/>
          <w:bCs/>
          <w:spacing w:val="-3"/>
          <w:sz w:val="27"/>
          <w:szCs w:val="27"/>
        </w:rPr>
        <w:t>全性的可能影响</w:t>
      </w:r>
    </w:p>
    <w:p w14:paraId="0D293D00">
      <w:pPr>
        <w:pStyle w:val="2"/>
        <w:spacing w:before="81" w:line="219" w:lineRule="auto"/>
        <w:ind w:left="560"/>
      </w:pPr>
      <w:r>
        <w:t>确定软件事件、故障和偶然事件(如定时不当)对系统安全性的可能影响。</w:t>
      </w:r>
    </w:p>
    <w:p w14:paraId="21ABF87B">
      <w:pPr>
        <w:spacing w:before="86" w:line="222" w:lineRule="auto"/>
        <w:rPr>
          <w:rFonts w:ascii="黑体" w:hAnsi="黑体" w:eastAsia="黑体" w:cs="黑体"/>
          <w:sz w:val="27"/>
          <w:szCs w:val="27"/>
        </w:rPr>
      </w:pPr>
      <w:r>
        <w:rPr>
          <w:rFonts w:ascii="黑体" w:hAnsi="黑体" w:eastAsia="黑体" w:cs="黑体"/>
          <w:spacing w:val="1"/>
          <w:sz w:val="27"/>
          <w:szCs w:val="27"/>
        </w:rPr>
        <w:t xml:space="preserve">5.7  </w:t>
      </w:r>
      <w:r>
        <w:rPr>
          <w:rFonts w:ascii="黑体" w:hAnsi="黑体" w:eastAsia="黑体" w:cs="黑体"/>
          <w:b/>
          <w:bCs/>
          <w:spacing w:val="1"/>
          <w:sz w:val="27"/>
          <w:szCs w:val="27"/>
        </w:rPr>
        <w:t>软件安全性设计准则的满足程度</w:t>
      </w:r>
    </w:p>
    <w:p w14:paraId="39FC947E">
      <w:pPr>
        <w:pStyle w:val="2"/>
        <w:spacing w:before="101" w:line="219" w:lineRule="auto"/>
        <w:ind w:left="560"/>
      </w:pPr>
      <w:r>
        <w:rPr>
          <w:spacing w:val="4"/>
        </w:rPr>
        <w:t>确定软件规格说明中的安全性设计准则的满足程度。</w:t>
      </w:r>
    </w:p>
    <w:p w14:paraId="7EC613E8">
      <w:pPr>
        <w:spacing w:before="83" w:line="221" w:lineRule="auto"/>
        <w:rPr>
          <w:rFonts w:ascii="黑体" w:hAnsi="黑体" w:eastAsia="黑体" w:cs="黑体"/>
          <w:sz w:val="27"/>
          <w:szCs w:val="27"/>
        </w:rPr>
      </w:pPr>
      <w:r>
        <w:rPr>
          <w:rFonts w:ascii="黑体" w:hAnsi="黑体" w:eastAsia="黑体" w:cs="黑体"/>
          <w:spacing w:val="2"/>
          <w:sz w:val="27"/>
          <w:szCs w:val="27"/>
        </w:rPr>
        <w:t xml:space="preserve">5.8  </w:t>
      </w:r>
      <w:r>
        <w:rPr>
          <w:rFonts w:ascii="黑体" w:hAnsi="黑体" w:eastAsia="黑体" w:cs="黑体"/>
          <w:b/>
          <w:bCs/>
          <w:spacing w:val="2"/>
          <w:sz w:val="27"/>
          <w:szCs w:val="27"/>
        </w:rPr>
        <w:t>软件设计需求及纠正措施对系统安全性的影响</w:t>
      </w:r>
    </w:p>
    <w:p w14:paraId="230F33E7">
      <w:pPr>
        <w:pStyle w:val="2"/>
        <w:spacing w:before="93" w:line="268" w:lineRule="auto"/>
        <w:ind w:right="7" w:firstLine="560"/>
      </w:pPr>
      <w:r>
        <w:rPr>
          <w:spacing w:val="6"/>
        </w:rPr>
        <w:t>确定软件设计需求及纠正措施的实现方法不影响</w:t>
      </w:r>
      <w:r>
        <w:rPr>
          <w:spacing w:val="5"/>
        </w:rPr>
        <w:t>或不降低系统的安全性或</w:t>
      </w:r>
      <w:r>
        <w:t xml:space="preserve"> 不引入新的危险。</w:t>
      </w:r>
    </w:p>
    <w:p w14:paraId="3A4E492F">
      <w:pPr>
        <w:spacing w:before="1" w:line="220"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32"/>
          <w:sz w:val="27"/>
          <w:szCs w:val="27"/>
        </w:rPr>
        <w:t xml:space="preserve">  </w:t>
      </w:r>
      <w:r>
        <w:rPr>
          <w:rFonts w:ascii="黑体" w:hAnsi="黑体" w:eastAsia="黑体" w:cs="黑体"/>
          <w:b/>
          <w:bCs/>
          <w:spacing w:val="-1"/>
          <w:sz w:val="27"/>
          <w:szCs w:val="27"/>
        </w:rPr>
        <w:t>安全性措施和替换方案</w:t>
      </w:r>
    </w:p>
    <w:p w14:paraId="053E0CD3">
      <w:pPr>
        <w:pStyle w:val="2"/>
        <w:spacing w:before="124" w:line="219" w:lineRule="auto"/>
        <w:ind w:left="560"/>
      </w:pPr>
      <w:r>
        <w:rPr>
          <w:spacing w:val="4"/>
        </w:rPr>
        <w:t>提出消除已判定的危险或降低其风险的安全性纠正措施和替换方案。</w:t>
      </w:r>
    </w:p>
    <w:p w14:paraId="3AF95DA6">
      <w:pPr>
        <w:spacing w:line="219" w:lineRule="auto"/>
        <w:sectPr>
          <w:footerReference r:id="rId561" w:type="default"/>
          <w:pgSz w:w="11910" w:h="17130"/>
          <w:pgMar w:top="400" w:right="1449" w:bottom="1646" w:left="1069" w:header="0" w:footer="1457" w:gutter="0"/>
          <w:cols w:space="720" w:num="1"/>
        </w:sectPr>
      </w:pPr>
    </w:p>
    <w:p w14:paraId="0BA4036D">
      <w:pPr>
        <w:spacing w:line="276" w:lineRule="auto"/>
        <w:rPr>
          <w:rFonts w:ascii="Arial"/>
          <w:sz w:val="21"/>
        </w:rPr>
      </w:pPr>
    </w:p>
    <w:p w14:paraId="2546CE46">
      <w:pPr>
        <w:spacing w:line="277" w:lineRule="auto"/>
        <w:rPr>
          <w:rFonts w:ascii="Arial"/>
          <w:sz w:val="21"/>
        </w:rPr>
      </w:pPr>
    </w:p>
    <w:p w14:paraId="19E90391">
      <w:pPr>
        <w:spacing w:line="277" w:lineRule="auto"/>
        <w:rPr>
          <w:rFonts w:ascii="Arial"/>
          <w:sz w:val="21"/>
        </w:rPr>
      </w:pPr>
    </w:p>
    <w:p w14:paraId="58B45142">
      <w:pPr>
        <w:spacing w:line="277" w:lineRule="auto"/>
        <w:rPr>
          <w:rFonts w:ascii="Arial"/>
          <w:sz w:val="21"/>
        </w:rPr>
      </w:pPr>
    </w:p>
    <w:p w14:paraId="097AFAFF">
      <w:pPr>
        <w:spacing w:line="277" w:lineRule="auto"/>
        <w:rPr>
          <w:rFonts w:ascii="Arial"/>
          <w:sz w:val="21"/>
        </w:rPr>
      </w:pPr>
    </w:p>
    <w:p w14:paraId="643587B5">
      <w:pPr>
        <w:pStyle w:val="2"/>
        <w:spacing w:before="117" w:line="219" w:lineRule="auto"/>
        <w:ind w:left="2500"/>
        <w:rPr>
          <w:sz w:val="36"/>
          <w:szCs w:val="36"/>
        </w:rPr>
      </w:pPr>
      <w:r>
        <w:rPr>
          <w:spacing w:val="2"/>
          <w:sz w:val="36"/>
          <w:szCs w:val="36"/>
        </w:rPr>
        <w:t>11.</w:t>
      </w:r>
      <w:r>
        <w:rPr>
          <w:b/>
          <w:bCs/>
          <w:spacing w:val="2"/>
          <w:sz w:val="36"/>
          <w:szCs w:val="36"/>
        </w:rPr>
        <w:t>8</w:t>
      </w:r>
      <w:r>
        <w:rPr>
          <w:spacing w:val="2"/>
          <w:sz w:val="36"/>
          <w:szCs w:val="36"/>
        </w:rPr>
        <w:t xml:space="preserve">  </w:t>
      </w:r>
      <w:r>
        <w:rPr>
          <w:b/>
          <w:bCs/>
          <w:spacing w:val="2"/>
          <w:sz w:val="36"/>
          <w:szCs w:val="36"/>
        </w:rPr>
        <w:t>使用和保障危险分析</w:t>
      </w:r>
    </w:p>
    <w:p w14:paraId="721247A0">
      <w:pPr>
        <w:spacing w:line="373" w:lineRule="auto"/>
        <w:rPr>
          <w:rFonts w:ascii="Arial"/>
          <w:sz w:val="21"/>
        </w:rPr>
      </w:pPr>
    </w:p>
    <w:p w14:paraId="3218A756">
      <w:pPr>
        <w:pStyle w:val="2"/>
        <w:spacing w:before="78" w:line="223" w:lineRule="auto"/>
        <w:ind w:left="553"/>
        <w:rPr>
          <w:rFonts w:ascii="楷体" w:hAnsi="楷体" w:eastAsia="楷体" w:cs="楷体"/>
          <w:sz w:val="24"/>
          <w:szCs w:val="24"/>
        </w:rPr>
      </w:pPr>
      <w:r>
        <w:rPr>
          <w:rFonts w:ascii="楷体" w:hAnsi="楷体" w:eastAsia="楷体" w:cs="楷体"/>
          <w:b/>
          <w:bCs/>
          <w:spacing w:val="9"/>
          <w:sz w:val="24"/>
          <w:szCs w:val="24"/>
        </w:rPr>
        <w:t>按</w:t>
      </w:r>
      <w:r>
        <w:rPr>
          <w:rFonts w:ascii="楷体" w:hAnsi="楷体" w:eastAsia="楷体" w:cs="楷体"/>
          <w:spacing w:val="-27"/>
          <w:sz w:val="24"/>
          <w:szCs w:val="24"/>
        </w:rPr>
        <w:t xml:space="preserve"> </w:t>
      </w:r>
      <w:r>
        <w:rPr>
          <w:rFonts w:ascii="楷体" w:hAnsi="楷体" w:eastAsia="楷体" w:cs="楷体"/>
          <w:b/>
          <w:bCs/>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900—1990</w:t>
      </w:r>
      <w:r>
        <w:rPr>
          <w:spacing w:val="9"/>
          <w:sz w:val="24"/>
          <w:szCs w:val="24"/>
        </w:rPr>
        <w:t xml:space="preserve">《  </w:t>
      </w:r>
      <w:r>
        <w:rPr>
          <w:rFonts w:ascii="楷体" w:hAnsi="楷体" w:eastAsia="楷体" w:cs="楷体"/>
          <w:b/>
          <w:bCs/>
          <w:spacing w:val="9"/>
          <w:sz w:val="24"/>
          <w:szCs w:val="24"/>
        </w:rPr>
        <w:t>系统安全性通用大纲》编写。</w:t>
      </w:r>
    </w:p>
    <w:p w14:paraId="66668615">
      <w:pPr>
        <w:spacing w:before="87"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6"/>
          <w:sz w:val="27"/>
          <w:szCs w:val="27"/>
        </w:rPr>
        <w:t xml:space="preserve">  </w:t>
      </w:r>
      <w:r>
        <w:rPr>
          <w:rFonts w:ascii="黑体" w:hAnsi="黑体" w:eastAsia="黑体" w:cs="黑体"/>
          <w:b/>
          <w:bCs/>
          <w:spacing w:val="-13"/>
          <w:sz w:val="27"/>
          <w:szCs w:val="27"/>
        </w:rPr>
        <w:t>范围</w:t>
      </w:r>
    </w:p>
    <w:p w14:paraId="7A35E9D3">
      <w:pPr>
        <w:spacing w:before="95"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8"/>
          <w:sz w:val="27"/>
          <w:szCs w:val="27"/>
        </w:rPr>
        <w:t xml:space="preserve">  </w:t>
      </w:r>
      <w:r>
        <w:rPr>
          <w:rFonts w:ascii="黑体" w:hAnsi="黑体" w:eastAsia="黑体" w:cs="黑体"/>
          <w:spacing w:val="2"/>
          <w:sz w:val="27"/>
          <w:szCs w:val="27"/>
        </w:rPr>
        <w:t>引用文件</w:t>
      </w:r>
    </w:p>
    <w:p w14:paraId="531DB544">
      <w:pPr>
        <w:spacing w:before="94" w:line="221" w:lineRule="auto"/>
        <w:rPr>
          <w:rFonts w:ascii="黑体" w:hAnsi="黑体" w:eastAsia="黑体" w:cs="黑体"/>
          <w:sz w:val="27"/>
          <w:szCs w:val="27"/>
        </w:rPr>
      </w:pPr>
      <w:r>
        <w:rPr>
          <w:rFonts w:ascii="黑体" w:hAnsi="黑体" w:eastAsia="黑体" w:cs="黑体"/>
          <w:spacing w:val="1"/>
          <w:sz w:val="27"/>
          <w:szCs w:val="27"/>
        </w:rPr>
        <w:t>3</w:t>
      </w:r>
      <w:r>
        <w:rPr>
          <w:rFonts w:ascii="黑体" w:hAnsi="黑体" w:eastAsia="黑体" w:cs="黑体"/>
          <w:spacing w:val="21"/>
          <w:sz w:val="27"/>
          <w:szCs w:val="27"/>
        </w:rPr>
        <w:t xml:space="preserve">  </w:t>
      </w:r>
      <w:r>
        <w:rPr>
          <w:rFonts w:ascii="黑体" w:hAnsi="黑体" w:eastAsia="黑体" w:cs="黑体"/>
          <w:spacing w:val="1"/>
          <w:sz w:val="27"/>
          <w:szCs w:val="27"/>
        </w:rPr>
        <w:t>系统使用和保障概述</w:t>
      </w:r>
    </w:p>
    <w:p w14:paraId="13EC9478">
      <w:pPr>
        <w:spacing w:before="56" w:line="221" w:lineRule="auto"/>
        <w:rPr>
          <w:rFonts w:ascii="黑体" w:hAnsi="黑体" w:eastAsia="黑体" w:cs="黑体"/>
          <w:sz w:val="27"/>
          <w:szCs w:val="27"/>
        </w:rPr>
      </w:pPr>
      <w:r>
        <w:rPr>
          <w:rFonts w:ascii="黑体" w:hAnsi="黑体" w:eastAsia="黑体" w:cs="黑体"/>
          <w:spacing w:val="2"/>
          <w:sz w:val="27"/>
          <w:szCs w:val="27"/>
        </w:rPr>
        <w:t>3.1</w:t>
      </w:r>
      <w:r>
        <w:rPr>
          <w:rFonts w:ascii="黑体" w:hAnsi="黑体" w:eastAsia="黑体" w:cs="黑体"/>
          <w:spacing w:val="25"/>
          <w:sz w:val="27"/>
          <w:szCs w:val="27"/>
        </w:rPr>
        <w:t xml:space="preserve">  </w:t>
      </w:r>
      <w:r>
        <w:rPr>
          <w:rFonts w:ascii="黑体" w:hAnsi="黑体" w:eastAsia="黑体" w:cs="黑体"/>
          <w:spacing w:val="2"/>
          <w:sz w:val="27"/>
          <w:szCs w:val="27"/>
        </w:rPr>
        <w:t>计划的系统配置和状态</w:t>
      </w:r>
    </w:p>
    <w:p w14:paraId="38F15852">
      <w:pPr>
        <w:pStyle w:val="2"/>
        <w:spacing w:before="127" w:line="218" w:lineRule="auto"/>
        <w:ind w:left="550"/>
        <w:rPr>
          <w:sz w:val="25"/>
          <w:szCs w:val="25"/>
        </w:rPr>
      </w:pPr>
      <w:r>
        <w:rPr>
          <w:spacing w:val="20"/>
          <w:sz w:val="25"/>
          <w:szCs w:val="25"/>
        </w:rPr>
        <w:t>说明计划的系统配置和状态，确定和评价其在使用和保障中存在的危险。</w:t>
      </w:r>
    </w:p>
    <w:p w14:paraId="48CF80E5">
      <w:pPr>
        <w:spacing w:before="95" w:line="222" w:lineRule="auto"/>
        <w:rPr>
          <w:rFonts w:ascii="黑体" w:hAnsi="黑体" w:eastAsia="黑体" w:cs="黑体"/>
          <w:sz w:val="25"/>
          <w:szCs w:val="25"/>
        </w:rPr>
      </w:pPr>
      <w:r>
        <w:rPr>
          <w:rFonts w:ascii="黑体" w:hAnsi="黑体" w:eastAsia="黑体" w:cs="黑体"/>
          <w:spacing w:val="16"/>
          <w:sz w:val="25"/>
          <w:szCs w:val="25"/>
        </w:rPr>
        <w:t>3.2</w:t>
      </w:r>
      <w:r>
        <w:rPr>
          <w:rFonts w:ascii="黑体" w:hAnsi="黑体" w:eastAsia="黑体" w:cs="黑体"/>
          <w:spacing w:val="37"/>
          <w:sz w:val="25"/>
          <w:szCs w:val="25"/>
        </w:rPr>
        <w:t xml:space="preserve">  </w:t>
      </w:r>
      <w:r>
        <w:rPr>
          <w:rFonts w:ascii="黑体" w:hAnsi="黑体" w:eastAsia="黑体" w:cs="黑体"/>
          <w:spacing w:val="16"/>
          <w:sz w:val="25"/>
          <w:szCs w:val="25"/>
        </w:rPr>
        <w:t>设施的接口</w:t>
      </w:r>
    </w:p>
    <w:p w14:paraId="7D06CA07">
      <w:pPr>
        <w:pStyle w:val="2"/>
        <w:spacing w:before="89" w:line="218" w:lineRule="auto"/>
        <w:ind w:left="550"/>
      </w:pPr>
      <w:r>
        <w:t>说明设施的接口，确定和评价其在使用和保障中存在的危险。</w:t>
      </w:r>
    </w:p>
    <w:p w14:paraId="71C161AF">
      <w:pPr>
        <w:spacing w:before="92" w:line="222" w:lineRule="auto"/>
        <w:rPr>
          <w:rFonts w:ascii="黑体" w:hAnsi="黑体" w:eastAsia="黑体" w:cs="黑体"/>
          <w:sz w:val="27"/>
          <w:szCs w:val="27"/>
        </w:rPr>
      </w:pPr>
      <w:r>
        <w:rPr>
          <w:rFonts w:ascii="黑体" w:hAnsi="黑体" w:eastAsia="黑体" w:cs="黑体"/>
          <w:spacing w:val="2"/>
          <w:sz w:val="27"/>
          <w:szCs w:val="27"/>
        </w:rPr>
        <w:t>3.3</w:t>
      </w:r>
      <w:r>
        <w:rPr>
          <w:rFonts w:ascii="黑体" w:hAnsi="黑体" w:eastAsia="黑体" w:cs="黑体"/>
          <w:spacing w:val="14"/>
          <w:sz w:val="27"/>
          <w:szCs w:val="27"/>
        </w:rPr>
        <w:t xml:space="preserve">  </w:t>
      </w:r>
      <w:r>
        <w:rPr>
          <w:rFonts w:ascii="黑体" w:hAnsi="黑体" w:eastAsia="黑体" w:cs="黑体"/>
          <w:spacing w:val="2"/>
          <w:sz w:val="27"/>
          <w:szCs w:val="27"/>
        </w:rPr>
        <w:t>计划的环境</w:t>
      </w:r>
    </w:p>
    <w:p w14:paraId="11BE7FED">
      <w:pPr>
        <w:pStyle w:val="2"/>
        <w:spacing w:before="75" w:line="218" w:lineRule="auto"/>
        <w:ind w:left="550"/>
      </w:pPr>
      <w:r>
        <w:t>说明计划的环境，确定和评价其在使用和保障中存在的危险。</w:t>
      </w:r>
    </w:p>
    <w:p w14:paraId="5F71F65F">
      <w:pPr>
        <w:spacing w:before="92" w:line="222" w:lineRule="auto"/>
        <w:rPr>
          <w:rFonts w:ascii="黑体" w:hAnsi="黑体" w:eastAsia="黑体" w:cs="黑体"/>
          <w:sz w:val="27"/>
          <w:szCs w:val="27"/>
        </w:rPr>
      </w:pPr>
      <w:r>
        <w:rPr>
          <w:rFonts w:ascii="黑体" w:hAnsi="黑体" w:eastAsia="黑体" w:cs="黑体"/>
          <w:spacing w:val="3"/>
          <w:sz w:val="27"/>
          <w:szCs w:val="27"/>
        </w:rPr>
        <w:t>3.4  保障工具或其他设备</w:t>
      </w:r>
    </w:p>
    <w:p w14:paraId="6B7A0048">
      <w:pPr>
        <w:pStyle w:val="2"/>
        <w:spacing w:before="86" w:line="276" w:lineRule="auto"/>
        <w:ind w:right="19" w:firstLine="550"/>
      </w:pPr>
      <w:r>
        <w:rPr>
          <w:spacing w:val="6"/>
        </w:rPr>
        <w:t>说明保障工具或其他设备，包括软件控制的自动</w:t>
      </w:r>
      <w:r>
        <w:rPr>
          <w:spacing w:val="5"/>
        </w:rPr>
        <w:t>测试设备或规定使用的设</w:t>
      </w:r>
      <w:r>
        <w:t xml:space="preserve"> </w:t>
      </w:r>
      <w:r>
        <w:rPr>
          <w:spacing w:val="-2"/>
        </w:rPr>
        <w:t>备，确定和评价其在使用和保障中存在的危险。</w:t>
      </w:r>
    </w:p>
    <w:p w14:paraId="6FD3D008">
      <w:pPr>
        <w:spacing w:before="1" w:line="212" w:lineRule="auto"/>
        <w:rPr>
          <w:rFonts w:ascii="黑体" w:hAnsi="黑体" w:eastAsia="黑体" w:cs="黑体"/>
          <w:sz w:val="27"/>
          <w:szCs w:val="27"/>
        </w:rPr>
      </w:pPr>
      <w:r>
        <w:rPr>
          <w:rFonts w:ascii="黑体" w:hAnsi="黑体" w:eastAsia="黑体" w:cs="黑体"/>
          <w:sz w:val="27"/>
          <w:szCs w:val="27"/>
        </w:rPr>
        <w:t>3.5  操作或工作的次序，同时进行工作的影响和限制</w:t>
      </w:r>
    </w:p>
    <w:p w14:paraId="7515FFC1">
      <w:pPr>
        <w:pStyle w:val="2"/>
        <w:spacing w:before="99" w:line="282" w:lineRule="auto"/>
        <w:ind w:firstLine="550"/>
      </w:pPr>
      <w:r>
        <w:rPr>
          <w:spacing w:val="-2"/>
        </w:rPr>
        <w:t>说明操作或工作的次序，同时进行工作的影响和限制，确定和评价其</w:t>
      </w:r>
      <w:r>
        <w:rPr>
          <w:spacing w:val="-3"/>
        </w:rPr>
        <w:t>在使用</w:t>
      </w:r>
      <w:r>
        <w:t xml:space="preserve"> </w:t>
      </w:r>
      <w:r>
        <w:rPr>
          <w:spacing w:val="1"/>
        </w:rPr>
        <w:t>和保障中存在的危险。</w:t>
      </w:r>
    </w:p>
    <w:p w14:paraId="65A39D03">
      <w:pPr>
        <w:spacing w:before="1" w:line="223" w:lineRule="auto"/>
        <w:rPr>
          <w:rFonts w:ascii="黑体" w:hAnsi="黑体" w:eastAsia="黑体" w:cs="黑体"/>
          <w:sz w:val="27"/>
          <w:szCs w:val="27"/>
        </w:rPr>
      </w:pPr>
      <w:r>
        <w:rPr>
          <w:rFonts w:ascii="黑体" w:hAnsi="黑体" w:eastAsia="黑体" w:cs="黑体"/>
          <w:spacing w:val="4"/>
          <w:sz w:val="27"/>
          <w:szCs w:val="27"/>
        </w:rPr>
        <w:t>3.6</w:t>
      </w:r>
      <w:r>
        <w:rPr>
          <w:rFonts w:ascii="黑体" w:hAnsi="黑体" w:eastAsia="黑体" w:cs="黑体"/>
          <w:spacing w:val="12"/>
          <w:sz w:val="27"/>
          <w:szCs w:val="27"/>
        </w:rPr>
        <w:t xml:space="preserve">  </w:t>
      </w:r>
      <w:r>
        <w:rPr>
          <w:rFonts w:ascii="黑体" w:hAnsi="黑体" w:eastAsia="黑体" w:cs="黑体"/>
          <w:spacing w:val="4"/>
          <w:sz w:val="27"/>
          <w:szCs w:val="27"/>
        </w:rPr>
        <w:t>生物因素</w:t>
      </w:r>
    </w:p>
    <w:p w14:paraId="23F8F794">
      <w:pPr>
        <w:pStyle w:val="2"/>
        <w:spacing w:before="99" w:line="218" w:lineRule="auto"/>
        <w:ind w:left="550"/>
      </w:pPr>
      <w:r>
        <w:t>说明生物方面的因素，确定和评价其在使用和保障中</w:t>
      </w:r>
      <w:r>
        <w:rPr>
          <w:spacing w:val="-1"/>
        </w:rPr>
        <w:t>存在的危险。</w:t>
      </w:r>
    </w:p>
    <w:p w14:paraId="3F5C211E">
      <w:pPr>
        <w:spacing w:before="100" w:line="221" w:lineRule="auto"/>
        <w:rPr>
          <w:rFonts w:ascii="黑体" w:hAnsi="黑体" w:eastAsia="黑体" w:cs="黑体"/>
          <w:sz w:val="24"/>
          <w:szCs w:val="24"/>
        </w:rPr>
      </w:pPr>
      <w:r>
        <w:rPr>
          <w:rFonts w:ascii="黑体" w:hAnsi="黑体" w:eastAsia="黑体" w:cs="黑体"/>
          <w:spacing w:val="28"/>
          <w:sz w:val="24"/>
          <w:szCs w:val="24"/>
        </w:rPr>
        <w:t>3.7</w:t>
      </w:r>
      <w:r>
        <w:rPr>
          <w:rFonts w:ascii="黑体" w:hAnsi="黑体" w:eastAsia="黑体" w:cs="黑体"/>
          <w:spacing w:val="41"/>
          <w:sz w:val="24"/>
          <w:szCs w:val="24"/>
        </w:rPr>
        <w:t xml:space="preserve">  </w:t>
      </w:r>
      <w:r>
        <w:rPr>
          <w:rFonts w:ascii="黑体" w:hAnsi="黑体" w:eastAsia="黑体" w:cs="黑体"/>
          <w:spacing w:val="28"/>
          <w:sz w:val="24"/>
          <w:szCs w:val="24"/>
        </w:rPr>
        <w:t>规定的人员安全和健康要求</w:t>
      </w:r>
    </w:p>
    <w:p w14:paraId="2CFA9B1E">
      <w:pPr>
        <w:pStyle w:val="2"/>
        <w:spacing w:before="106" w:line="219" w:lineRule="auto"/>
        <w:ind w:left="550"/>
      </w:pPr>
      <w:r>
        <w:rPr>
          <w:spacing w:val="4"/>
        </w:rPr>
        <w:t>说明有关规定或合同规定的人员安全和健康要求。</w:t>
      </w:r>
    </w:p>
    <w:p w14:paraId="294CC916">
      <w:pPr>
        <w:spacing w:before="68" w:line="222" w:lineRule="auto"/>
        <w:rPr>
          <w:rFonts w:ascii="黑体" w:hAnsi="黑体" w:eastAsia="黑体" w:cs="黑体"/>
          <w:sz w:val="27"/>
          <w:szCs w:val="27"/>
        </w:rPr>
      </w:pPr>
      <w:r>
        <w:rPr>
          <w:rFonts w:ascii="黑体" w:hAnsi="黑体" w:eastAsia="黑体" w:cs="黑体"/>
          <w:spacing w:val="4"/>
          <w:sz w:val="27"/>
          <w:szCs w:val="27"/>
        </w:rPr>
        <w:t>3.8  可能的非计划事件</w:t>
      </w:r>
    </w:p>
    <w:p w14:paraId="2968CE7E">
      <w:pPr>
        <w:pStyle w:val="2"/>
        <w:spacing w:before="117" w:line="268" w:lineRule="auto"/>
        <w:ind w:right="177" w:firstLine="550"/>
        <w:rPr>
          <w:rFonts w:ascii="黑体" w:hAnsi="黑体" w:eastAsia="黑体" w:cs="黑体"/>
        </w:rPr>
      </w:pPr>
      <w:r>
        <w:rPr>
          <w:spacing w:val="1"/>
        </w:rPr>
        <w:t>说明可能的非计划事件，包括在使用和保障中由于人的</w:t>
      </w:r>
      <w:r>
        <w:t xml:space="preserve">差错产生的危险。 </w:t>
      </w:r>
      <w:r>
        <w:rPr>
          <w:rFonts w:ascii="黑体" w:hAnsi="黑体" w:eastAsia="黑体" w:cs="黑体"/>
          <w:spacing w:val="4"/>
        </w:rPr>
        <w:t>4</w:t>
      </w:r>
      <w:r>
        <w:rPr>
          <w:rFonts w:ascii="黑体" w:hAnsi="黑体" w:eastAsia="黑体" w:cs="黑体"/>
          <w:spacing w:val="14"/>
        </w:rPr>
        <w:t xml:space="preserve">  </w:t>
      </w:r>
      <w:r>
        <w:rPr>
          <w:rFonts w:ascii="黑体" w:hAnsi="黑体" w:eastAsia="黑体" w:cs="黑体"/>
          <w:spacing w:val="4"/>
        </w:rPr>
        <w:t>分析方法</w:t>
      </w:r>
    </w:p>
    <w:p w14:paraId="348E7E6F">
      <w:pPr>
        <w:pStyle w:val="2"/>
        <w:spacing w:before="27" w:line="219" w:lineRule="auto"/>
        <w:ind w:left="550"/>
      </w:pPr>
      <w:r>
        <w:rPr>
          <w:spacing w:val="-1"/>
        </w:rPr>
        <w:t>确定用于使用和保障危险分析的方法，并说明选择的理由。</w:t>
      </w:r>
    </w:p>
    <w:p w14:paraId="25CAE924">
      <w:pPr>
        <w:spacing w:before="96" w:line="222" w:lineRule="auto"/>
        <w:rPr>
          <w:rFonts w:ascii="黑体" w:hAnsi="黑体" w:eastAsia="黑体" w:cs="黑体"/>
          <w:sz w:val="24"/>
          <w:szCs w:val="24"/>
        </w:rPr>
      </w:pPr>
      <w:r>
        <w:rPr>
          <w:rFonts w:ascii="黑体" w:hAnsi="黑体" w:eastAsia="黑体" w:cs="黑体"/>
          <w:spacing w:val="31"/>
          <w:sz w:val="24"/>
          <w:szCs w:val="24"/>
        </w:rPr>
        <w:t>5</w:t>
      </w:r>
      <w:r>
        <w:rPr>
          <w:rFonts w:ascii="黑体" w:hAnsi="黑体" w:eastAsia="黑体" w:cs="黑体"/>
          <w:spacing w:val="39"/>
          <w:sz w:val="24"/>
          <w:szCs w:val="24"/>
        </w:rPr>
        <w:t xml:space="preserve">  </w:t>
      </w:r>
      <w:r>
        <w:rPr>
          <w:rFonts w:ascii="黑体" w:hAnsi="黑体" w:eastAsia="黑体" w:cs="黑体"/>
          <w:spacing w:val="31"/>
          <w:sz w:val="24"/>
          <w:szCs w:val="24"/>
        </w:rPr>
        <w:t>使用和保障危险分析</w:t>
      </w:r>
    </w:p>
    <w:p w14:paraId="43EA2B85">
      <w:pPr>
        <w:spacing w:before="82" w:line="221" w:lineRule="auto"/>
        <w:rPr>
          <w:rFonts w:ascii="黑体" w:hAnsi="黑体" w:eastAsia="黑体" w:cs="黑体"/>
          <w:sz w:val="27"/>
          <w:szCs w:val="27"/>
        </w:rPr>
      </w:pPr>
      <w:r>
        <w:rPr>
          <w:rFonts w:ascii="黑体" w:hAnsi="黑体" w:eastAsia="黑体" w:cs="黑体"/>
          <w:spacing w:val="5"/>
          <w:sz w:val="27"/>
          <w:szCs w:val="27"/>
        </w:rPr>
        <w:t>5.1  在危险条件下工作需要采取的措施</w:t>
      </w:r>
    </w:p>
    <w:p w14:paraId="462C9101">
      <w:pPr>
        <w:pStyle w:val="2"/>
        <w:spacing w:before="119" w:line="268" w:lineRule="auto"/>
        <w:ind w:right="17" w:firstLine="550"/>
      </w:pPr>
      <w:r>
        <w:rPr>
          <w:spacing w:val="6"/>
        </w:rPr>
        <w:t>分析提出在危险条件下进行的各项工作及其工作时间</w:t>
      </w:r>
      <w:r>
        <w:rPr>
          <w:spacing w:val="5"/>
        </w:rPr>
        <w:t>以及在这些工作或工</w:t>
      </w:r>
      <w:r>
        <w:t xml:space="preserve"> </w:t>
      </w:r>
      <w:r>
        <w:rPr>
          <w:spacing w:val="4"/>
        </w:rPr>
        <w:t>作时间内尽量减少风险需要采取的各种措施。</w:t>
      </w:r>
    </w:p>
    <w:p w14:paraId="734C6506">
      <w:pPr>
        <w:spacing w:before="15" w:line="222" w:lineRule="auto"/>
        <w:rPr>
          <w:rFonts w:ascii="黑体" w:hAnsi="黑体" w:eastAsia="黑体" w:cs="黑体"/>
          <w:sz w:val="27"/>
          <w:szCs w:val="27"/>
        </w:rPr>
      </w:pPr>
      <w:r>
        <w:rPr>
          <w:rFonts w:ascii="黑体" w:hAnsi="黑体" w:eastAsia="黑体" w:cs="黑体"/>
          <w:spacing w:val="4"/>
          <w:sz w:val="27"/>
          <w:szCs w:val="27"/>
        </w:rPr>
        <w:t>5.2  为消除危险或减少风险所需的设计更改</w:t>
      </w:r>
    </w:p>
    <w:p w14:paraId="1C639C5D">
      <w:pPr>
        <w:pStyle w:val="2"/>
        <w:spacing w:before="68" w:line="282" w:lineRule="auto"/>
        <w:ind w:right="19" w:firstLine="550"/>
      </w:pPr>
      <w:r>
        <w:rPr>
          <w:spacing w:val="-3"/>
        </w:rPr>
        <w:t>分析提出为消除危险或减少有关风险所需的系统硬件或软件、设施、工具或</w:t>
      </w:r>
      <w:r>
        <w:rPr>
          <w:spacing w:val="10"/>
        </w:rPr>
        <w:t xml:space="preserve"> </w:t>
      </w:r>
      <w:r>
        <w:rPr>
          <w:spacing w:val="4"/>
        </w:rPr>
        <w:t>保障和检测设备在功能或设计要求上的更改。</w:t>
      </w:r>
    </w:p>
    <w:p w14:paraId="39BC8665">
      <w:pPr>
        <w:spacing w:line="282" w:lineRule="auto"/>
        <w:sectPr>
          <w:footerReference r:id="rId562" w:type="default"/>
          <w:pgSz w:w="11910" w:h="17130"/>
          <w:pgMar w:top="400" w:right="1017" w:bottom="1660" w:left="1499" w:header="0" w:footer="1387" w:gutter="0"/>
          <w:cols w:space="720" w:num="1"/>
        </w:sectPr>
      </w:pPr>
    </w:p>
    <w:p w14:paraId="76C77A90">
      <w:pPr>
        <w:spacing w:line="318" w:lineRule="auto"/>
        <w:rPr>
          <w:rFonts w:ascii="Arial"/>
          <w:sz w:val="21"/>
        </w:rPr>
      </w:pPr>
    </w:p>
    <w:p w14:paraId="5574A47F">
      <w:pPr>
        <w:spacing w:line="318" w:lineRule="auto"/>
        <w:rPr>
          <w:rFonts w:ascii="Arial"/>
          <w:sz w:val="21"/>
        </w:rPr>
      </w:pPr>
    </w:p>
    <w:p w14:paraId="57DD2228">
      <w:pPr>
        <w:spacing w:line="319" w:lineRule="auto"/>
        <w:rPr>
          <w:rFonts w:ascii="Arial"/>
          <w:sz w:val="21"/>
        </w:rPr>
      </w:pPr>
    </w:p>
    <w:p w14:paraId="1F52E967">
      <w:pPr>
        <w:spacing w:before="88" w:line="222" w:lineRule="auto"/>
        <w:rPr>
          <w:rFonts w:ascii="黑体" w:hAnsi="黑体" w:eastAsia="黑体" w:cs="黑体"/>
          <w:sz w:val="27"/>
          <w:szCs w:val="27"/>
        </w:rPr>
      </w:pPr>
      <w:r>
        <w:rPr>
          <w:rFonts w:ascii="黑体" w:hAnsi="黑体" w:eastAsia="黑体" w:cs="黑体"/>
          <w:spacing w:val="6"/>
          <w:sz w:val="27"/>
          <w:szCs w:val="27"/>
        </w:rPr>
        <w:t>5.3  对安全装置和设备的要求</w:t>
      </w:r>
    </w:p>
    <w:p w14:paraId="36183B48">
      <w:pPr>
        <w:pStyle w:val="2"/>
        <w:spacing w:before="97" w:line="219" w:lineRule="auto"/>
        <w:ind w:left="580"/>
      </w:pPr>
      <w:r>
        <w:t>分析提出对安全装置和设备的要求，包括人员安全和生命保障设备。</w:t>
      </w:r>
    </w:p>
    <w:p w14:paraId="3A02084F">
      <w:pPr>
        <w:spacing w:before="116" w:line="221" w:lineRule="auto"/>
        <w:rPr>
          <w:rFonts w:ascii="黑体" w:hAnsi="黑体" w:eastAsia="黑体" w:cs="黑体"/>
          <w:sz w:val="24"/>
          <w:szCs w:val="24"/>
        </w:rPr>
      </w:pPr>
      <w:r>
        <w:rPr>
          <w:rFonts w:ascii="黑体" w:hAnsi="黑体" w:eastAsia="黑体" w:cs="黑体"/>
          <w:spacing w:val="22"/>
          <w:sz w:val="24"/>
          <w:szCs w:val="24"/>
        </w:rPr>
        <w:t>5.4</w:t>
      </w:r>
      <w:r>
        <w:rPr>
          <w:rFonts w:ascii="黑体" w:hAnsi="黑体" w:eastAsia="黑体" w:cs="黑体"/>
          <w:spacing w:val="52"/>
          <w:sz w:val="24"/>
          <w:szCs w:val="24"/>
        </w:rPr>
        <w:t xml:space="preserve">  </w:t>
      </w:r>
      <w:r>
        <w:rPr>
          <w:rFonts w:ascii="黑体" w:hAnsi="黑体" w:eastAsia="黑体" w:cs="黑体"/>
          <w:spacing w:val="22"/>
          <w:sz w:val="24"/>
          <w:szCs w:val="24"/>
        </w:rPr>
        <w:t>报警、注意事项以及特别应急措施</w:t>
      </w:r>
    </w:p>
    <w:p w14:paraId="46E72DAE">
      <w:pPr>
        <w:pStyle w:val="2"/>
        <w:spacing w:before="45" w:line="290" w:lineRule="auto"/>
        <w:ind w:right="6" w:firstLine="580"/>
      </w:pPr>
      <w:r>
        <w:rPr>
          <w:spacing w:val="-11"/>
        </w:rPr>
        <w:t>分析提出报警、注意事项以及特别应急措施，例如应急出口、营救、脱离、安</w:t>
      </w:r>
      <w:r>
        <w:rPr>
          <w:spacing w:val="18"/>
        </w:rPr>
        <w:t xml:space="preserve"> </w:t>
      </w:r>
      <w:r>
        <w:rPr>
          <w:spacing w:val="-13"/>
        </w:rPr>
        <w:t>全动作、放弃等。</w:t>
      </w:r>
    </w:p>
    <w:p w14:paraId="1F54E2DE">
      <w:pPr>
        <w:spacing w:before="1" w:line="220" w:lineRule="auto"/>
        <w:rPr>
          <w:rFonts w:ascii="黑体" w:hAnsi="黑体" w:eastAsia="黑体" w:cs="黑体"/>
          <w:sz w:val="25"/>
          <w:szCs w:val="25"/>
        </w:rPr>
      </w:pPr>
      <w:r>
        <w:rPr>
          <w:rFonts w:ascii="黑体" w:hAnsi="黑体" w:eastAsia="黑体" w:cs="黑体"/>
          <w:spacing w:val="2"/>
          <w:sz w:val="25"/>
          <w:szCs w:val="25"/>
        </w:rPr>
        <w:t>5.5</w:t>
      </w:r>
      <w:r>
        <w:rPr>
          <w:rFonts w:ascii="黑体" w:hAnsi="黑体" w:eastAsia="黑体" w:cs="黑体"/>
          <w:spacing w:val="41"/>
          <w:sz w:val="25"/>
          <w:szCs w:val="25"/>
        </w:rPr>
        <w:t xml:space="preserve">  </w:t>
      </w:r>
      <w:r>
        <w:rPr>
          <w:rFonts w:ascii="黑体" w:hAnsi="黑体" w:eastAsia="黑体" w:cs="黑体"/>
          <w:spacing w:val="2"/>
          <w:sz w:val="25"/>
          <w:szCs w:val="25"/>
        </w:rPr>
        <w:t>危险器材的装卸、使用、贮存、运输、维修及处理要求</w:t>
      </w:r>
    </w:p>
    <w:p w14:paraId="130E0924">
      <w:pPr>
        <w:pStyle w:val="2"/>
        <w:spacing w:before="82" w:line="219" w:lineRule="auto"/>
        <w:ind w:left="580"/>
      </w:pPr>
      <w:r>
        <w:rPr>
          <w:spacing w:val="-15"/>
        </w:rPr>
        <w:t>分析提出危险器材的装卸、使用、贮存、运输、维修及处理要求。</w:t>
      </w:r>
    </w:p>
    <w:p w14:paraId="58D13AE6">
      <w:pPr>
        <w:spacing w:before="50" w:line="368" w:lineRule="exact"/>
        <w:rPr>
          <w:rFonts w:ascii="黑体" w:hAnsi="黑体" w:eastAsia="黑体" w:cs="黑体"/>
          <w:sz w:val="27"/>
          <w:szCs w:val="27"/>
        </w:rPr>
      </w:pPr>
      <w:r>
        <w:rPr>
          <w:rFonts w:ascii="Arial" w:hAnsi="Arial" w:eastAsia="Arial" w:cs="Arial"/>
          <w:spacing w:val="2"/>
          <w:position w:val="1"/>
          <w:sz w:val="27"/>
          <w:szCs w:val="27"/>
        </w:rPr>
        <w:t xml:space="preserve">6    </w:t>
      </w:r>
      <w:r>
        <w:rPr>
          <w:rFonts w:ascii="黑体" w:hAnsi="黑体" w:eastAsia="黑体" w:cs="黑体"/>
          <w:spacing w:val="2"/>
          <w:position w:val="1"/>
          <w:sz w:val="27"/>
          <w:szCs w:val="27"/>
        </w:rPr>
        <w:t>安全性措施和替换方案</w:t>
      </w:r>
    </w:p>
    <w:p w14:paraId="30AD24DE">
      <w:pPr>
        <w:pStyle w:val="2"/>
        <w:spacing w:before="83" w:line="290" w:lineRule="auto"/>
        <w:ind w:right="48" w:firstLine="580"/>
      </w:pPr>
      <w:r>
        <w:rPr>
          <w:spacing w:val="13"/>
        </w:rPr>
        <w:t>为消除已判定的危险或将其风险减少到有关规定或合同规定的可接受水</w:t>
      </w:r>
      <w:r>
        <w:rPr>
          <w:spacing w:val="8"/>
        </w:rPr>
        <w:t xml:space="preserve"> </w:t>
      </w:r>
      <w:r>
        <w:rPr>
          <w:spacing w:val="-3"/>
        </w:rPr>
        <w:t>平，确定所需的安全性要求或备选方案。</w:t>
      </w:r>
    </w:p>
    <w:p w14:paraId="500C61AB">
      <w:pPr>
        <w:pStyle w:val="2"/>
        <w:spacing w:before="340" w:line="219" w:lineRule="auto"/>
        <w:ind w:left="2720"/>
        <w:rPr>
          <w:sz w:val="36"/>
          <w:szCs w:val="36"/>
        </w:rPr>
      </w:pPr>
      <w:r>
        <w:rPr>
          <w:spacing w:val="1"/>
          <w:sz w:val="36"/>
          <w:szCs w:val="36"/>
        </w:rPr>
        <w:t>11.</w:t>
      </w:r>
      <w:r>
        <w:rPr>
          <w:b/>
          <w:bCs/>
          <w:spacing w:val="1"/>
          <w:sz w:val="36"/>
          <w:szCs w:val="36"/>
        </w:rPr>
        <w:t>9</w:t>
      </w:r>
      <w:r>
        <w:rPr>
          <w:spacing w:val="1"/>
          <w:sz w:val="36"/>
          <w:szCs w:val="36"/>
        </w:rPr>
        <w:t xml:space="preserve">  </w:t>
      </w:r>
      <w:r>
        <w:rPr>
          <w:b/>
          <w:bCs/>
          <w:spacing w:val="1"/>
          <w:sz w:val="36"/>
          <w:szCs w:val="36"/>
        </w:rPr>
        <w:t>职业健康危险分析</w:t>
      </w:r>
    </w:p>
    <w:p w14:paraId="30C55533">
      <w:pPr>
        <w:spacing w:line="373" w:lineRule="auto"/>
        <w:rPr>
          <w:rFonts w:ascii="Arial"/>
          <w:sz w:val="21"/>
        </w:rPr>
      </w:pPr>
    </w:p>
    <w:p w14:paraId="24C12796">
      <w:pPr>
        <w:pStyle w:val="2"/>
        <w:spacing w:before="78" w:line="223" w:lineRule="auto"/>
        <w:ind w:left="580"/>
        <w:rPr>
          <w:rFonts w:ascii="楷体" w:hAnsi="楷体" w:eastAsia="楷体" w:cs="楷体"/>
          <w:sz w:val="24"/>
          <w:szCs w:val="24"/>
        </w:rPr>
      </w:pPr>
      <w:r>
        <w:rPr>
          <w:rFonts w:ascii="楷体" w:hAnsi="楷体" w:eastAsia="楷体" w:cs="楷体"/>
          <w:spacing w:val="11"/>
          <w:sz w:val="24"/>
          <w:szCs w:val="24"/>
        </w:rPr>
        <w:t>按</w:t>
      </w:r>
      <w:r>
        <w:rPr>
          <w:rFonts w:ascii="楷体" w:hAnsi="楷体" w:eastAsia="楷体" w:cs="楷体"/>
          <w:spacing w:val="-21"/>
          <w:sz w:val="24"/>
          <w:szCs w:val="24"/>
        </w:rPr>
        <w:t xml:space="preserve"> </w:t>
      </w:r>
      <w:r>
        <w:rPr>
          <w:rFonts w:ascii="楷体" w:hAnsi="楷体" w:eastAsia="楷体" w:cs="楷体"/>
          <w:spacing w:val="1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1"/>
          <w:sz w:val="24"/>
          <w:szCs w:val="24"/>
        </w:rPr>
        <w:t xml:space="preserve">   900—1990</w:t>
      </w:r>
      <w:r>
        <w:rPr>
          <w:spacing w:val="11"/>
          <w:sz w:val="24"/>
          <w:szCs w:val="24"/>
        </w:rPr>
        <w:t>《</w:t>
      </w:r>
      <w:r>
        <w:rPr>
          <w:rFonts w:ascii="楷体" w:hAnsi="楷体" w:eastAsia="楷体" w:cs="楷体"/>
          <w:b/>
          <w:bCs/>
          <w:spacing w:val="11"/>
          <w:sz w:val="24"/>
          <w:szCs w:val="24"/>
        </w:rPr>
        <w:t>系统安全性通用大纲》编写。</w:t>
      </w:r>
    </w:p>
    <w:p w14:paraId="04570B26">
      <w:pPr>
        <w:spacing w:before="90" w:line="223"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49"/>
          <w:sz w:val="25"/>
          <w:szCs w:val="25"/>
        </w:rPr>
        <w:t xml:space="preserve">  </w:t>
      </w:r>
      <w:r>
        <w:rPr>
          <w:rFonts w:ascii="黑体" w:hAnsi="黑体" w:eastAsia="黑体" w:cs="黑体"/>
          <w:spacing w:val="-13"/>
          <w:sz w:val="25"/>
          <w:szCs w:val="25"/>
        </w:rPr>
        <w:t>范</w:t>
      </w:r>
      <w:r>
        <w:rPr>
          <w:rFonts w:ascii="黑体" w:hAnsi="黑体" w:eastAsia="黑体" w:cs="黑体"/>
          <w:spacing w:val="-30"/>
          <w:sz w:val="25"/>
          <w:szCs w:val="25"/>
        </w:rPr>
        <w:t xml:space="preserve"> </w:t>
      </w:r>
      <w:r>
        <w:rPr>
          <w:rFonts w:ascii="黑体" w:hAnsi="黑体" w:eastAsia="黑体" w:cs="黑体"/>
          <w:spacing w:val="-13"/>
          <w:sz w:val="25"/>
          <w:szCs w:val="25"/>
        </w:rPr>
        <w:t>围</w:t>
      </w:r>
    </w:p>
    <w:p w14:paraId="6E6856FA">
      <w:pPr>
        <w:spacing w:before="87"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sz w:val="27"/>
          <w:szCs w:val="27"/>
        </w:rPr>
        <w:t>引用文件</w:t>
      </w:r>
    </w:p>
    <w:p w14:paraId="109F3F92">
      <w:pPr>
        <w:spacing w:before="84" w:line="221" w:lineRule="auto"/>
        <w:rPr>
          <w:rFonts w:ascii="黑体" w:hAnsi="黑体" w:eastAsia="黑体" w:cs="黑体"/>
          <w:sz w:val="27"/>
          <w:szCs w:val="27"/>
        </w:rPr>
      </w:pPr>
      <w:r>
        <w:rPr>
          <w:rFonts w:ascii="黑体" w:hAnsi="黑体" w:eastAsia="黑体" w:cs="黑体"/>
          <w:spacing w:val="-5"/>
          <w:sz w:val="27"/>
          <w:szCs w:val="27"/>
        </w:rPr>
        <w:t>3</w:t>
      </w:r>
      <w:r>
        <w:rPr>
          <w:rFonts w:ascii="黑体" w:hAnsi="黑体" w:eastAsia="黑体" w:cs="黑体"/>
          <w:spacing w:val="28"/>
          <w:sz w:val="27"/>
          <w:szCs w:val="27"/>
        </w:rPr>
        <w:t xml:space="preserve">  </w:t>
      </w:r>
      <w:r>
        <w:rPr>
          <w:rFonts w:ascii="黑体" w:hAnsi="黑体" w:eastAsia="黑体" w:cs="黑体"/>
          <w:spacing w:val="-5"/>
          <w:sz w:val="27"/>
          <w:szCs w:val="27"/>
        </w:rPr>
        <w:t>系统概述</w:t>
      </w:r>
    </w:p>
    <w:p w14:paraId="13D0F1CF">
      <w:pPr>
        <w:pStyle w:val="2"/>
        <w:spacing w:before="84" w:line="278" w:lineRule="auto"/>
        <w:ind w:firstLine="580"/>
      </w:pPr>
      <w:r>
        <w:rPr>
          <w:spacing w:val="-6"/>
        </w:rPr>
        <w:t>依据本书1.16《研制方案》或1.21《详细设计》,简要说明系统组成、工作原</w:t>
      </w:r>
      <w:r>
        <w:rPr>
          <w:spacing w:val="13"/>
        </w:rPr>
        <w:t xml:space="preserve"> </w:t>
      </w:r>
      <w:r>
        <w:rPr>
          <w:spacing w:val="-1"/>
        </w:rPr>
        <w:t>理和总体方案。</w:t>
      </w:r>
    </w:p>
    <w:p w14:paraId="75375A1D">
      <w:pPr>
        <w:spacing w:before="1" w:line="220"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24"/>
          <w:sz w:val="27"/>
          <w:szCs w:val="27"/>
        </w:rPr>
        <w:t xml:space="preserve">  </w:t>
      </w:r>
      <w:r>
        <w:rPr>
          <w:rFonts w:ascii="黑体" w:hAnsi="黑体" w:eastAsia="黑体" w:cs="黑体"/>
          <w:spacing w:val="2"/>
          <w:sz w:val="27"/>
          <w:szCs w:val="27"/>
        </w:rPr>
        <w:t>分析方法</w:t>
      </w:r>
    </w:p>
    <w:p w14:paraId="6E57AEAC">
      <w:pPr>
        <w:pStyle w:val="2"/>
        <w:spacing w:before="110" w:line="219" w:lineRule="auto"/>
        <w:ind w:left="580"/>
      </w:pPr>
      <w:r>
        <w:rPr>
          <w:spacing w:val="-3"/>
        </w:rPr>
        <w:t>确定用于职业健康危险分析的方法，并说明理由。</w:t>
      </w:r>
    </w:p>
    <w:p w14:paraId="66939BD4">
      <w:pPr>
        <w:spacing w:before="21" w:line="368" w:lineRule="exact"/>
        <w:rPr>
          <w:rFonts w:ascii="黑体" w:hAnsi="黑体" w:eastAsia="黑体" w:cs="黑体"/>
          <w:sz w:val="27"/>
          <w:szCs w:val="27"/>
        </w:rPr>
      </w:pPr>
      <w:r>
        <w:rPr>
          <w:rFonts w:ascii="Arial" w:hAnsi="Arial" w:eastAsia="Arial" w:cs="Arial"/>
          <w:spacing w:val="3"/>
          <w:position w:val="1"/>
          <w:sz w:val="27"/>
          <w:szCs w:val="27"/>
        </w:rPr>
        <w:t xml:space="preserve">5    </w:t>
      </w:r>
      <w:r>
        <w:rPr>
          <w:rFonts w:ascii="黑体" w:hAnsi="黑体" w:eastAsia="黑体" w:cs="黑体"/>
          <w:spacing w:val="3"/>
          <w:position w:val="1"/>
          <w:sz w:val="27"/>
          <w:szCs w:val="27"/>
        </w:rPr>
        <w:t>职业健康危险分析</w:t>
      </w:r>
    </w:p>
    <w:p w14:paraId="3A00407B">
      <w:pPr>
        <w:pStyle w:val="2"/>
        <w:spacing w:before="99" w:line="219" w:lineRule="auto"/>
        <w:ind w:left="580"/>
      </w:pPr>
      <w:r>
        <w:rPr>
          <w:spacing w:val="3"/>
        </w:rPr>
        <w:t>应考虑以下与系统及其保障有关的因素：</w:t>
      </w:r>
    </w:p>
    <w:p w14:paraId="776A7556">
      <w:pPr>
        <w:pStyle w:val="2"/>
        <w:spacing w:before="71" w:line="219" w:lineRule="auto"/>
        <w:ind w:left="580"/>
      </w:pPr>
      <w:r>
        <w:rPr>
          <w:rFonts w:ascii="Times New Roman" w:hAnsi="Times New Roman" w:eastAsia="Times New Roman" w:cs="Times New Roman"/>
          <w:spacing w:val="-5"/>
        </w:rPr>
        <w:t>a</w:t>
      </w:r>
      <w:r>
        <w:rPr>
          <w:spacing w:val="-5"/>
        </w:rPr>
        <w:t>)</w:t>
      </w:r>
      <w:r>
        <w:rPr>
          <w:spacing w:val="-40"/>
        </w:rPr>
        <w:t xml:space="preserve"> </w:t>
      </w:r>
      <w:r>
        <w:rPr>
          <w:spacing w:val="-5"/>
        </w:rPr>
        <w:t>物质的毒性、数量及物理状态；</w:t>
      </w:r>
    </w:p>
    <w:p w14:paraId="3715CEE2">
      <w:pPr>
        <w:pStyle w:val="2"/>
        <w:spacing w:before="70" w:line="212" w:lineRule="auto"/>
        <w:ind w:left="580"/>
      </w:pPr>
      <w:r>
        <w:rPr>
          <w:rFonts w:ascii="Times New Roman" w:hAnsi="Times New Roman" w:eastAsia="Times New Roman" w:cs="Times New Roman"/>
          <w:spacing w:val="3"/>
        </w:rPr>
        <w:t>b)</w:t>
      </w:r>
      <w:r>
        <w:rPr>
          <w:rFonts w:ascii="Times New Roman" w:hAnsi="Times New Roman" w:eastAsia="Times New Roman" w:cs="Times New Roman"/>
          <w:spacing w:val="77"/>
        </w:rPr>
        <w:t xml:space="preserve"> </w:t>
      </w:r>
      <w:r>
        <w:rPr>
          <w:spacing w:val="3"/>
        </w:rPr>
        <w:t>有毒物质或物理因素的使用及释放；</w:t>
      </w:r>
    </w:p>
    <w:p w14:paraId="26DA2E1A">
      <w:pPr>
        <w:pStyle w:val="2"/>
        <w:spacing w:before="89" w:line="212" w:lineRule="auto"/>
        <w:ind w:left="580"/>
      </w:pPr>
      <w:r>
        <w:rPr>
          <w:rFonts w:ascii="Times New Roman" w:hAnsi="Times New Roman" w:eastAsia="Times New Roman" w:cs="Times New Roman"/>
          <w:spacing w:val="1"/>
        </w:rPr>
        <w:t>c)</w:t>
      </w:r>
      <w:r>
        <w:rPr>
          <w:rFonts w:ascii="Times New Roman" w:hAnsi="Times New Roman" w:eastAsia="Times New Roman" w:cs="Times New Roman"/>
          <w:spacing w:val="65"/>
          <w:w w:val="101"/>
        </w:rPr>
        <w:t xml:space="preserve"> </w:t>
      </w:r>
      <w:r>
        <w:rPr>
          <w:spacing w:val="1"/>
        </w:rPr>
        <w:t>意外接触的可能性；</w:t>
      </w:r>
    </w:p>
    <w:p w14:paraId="40F91D10">
      <w:pPr>
        <w:pStyle w:val="2"/>
        <w:spacing w:before="110" w:line="212" w:lineRule="auto"/>
        <w:ind w:left="580"/>
      </w:pPr>
      <w:r>
        <w:rPr>
          <w:rFonts w:ascii="Times New Roman" w:hAnsi="Times New Roman" w:eastAsia="Times New Roman" w:cs="Times New Roman"/>
          <w:spacing w:val="1"/>
        </w:rPr>
        <w:t>d)</w:t>
      </w:r>
      <w:r>
        <w:rPr>
          <w:rFonts w:ascii="Times New Roman" w:hAnsi="Times New Roman" w:eastAsia="Times New Roman" w:cs="Times New Roman"/>
          <w:spacing w:val="71"/>
        </w:rPr>
        <w:t xml:space="preserve"> </w:t>
      </w:r>
      <w:r>
        <w:rPr>
          <w:spacing w:val="1"/>
        </w:rPr>
        <w:t>产生的危险废物；</w:t>
      </w:r>
    </w:p>
    <w:p w14:paraId="6B5B506E">
      <w:pPr>
        <w:pStyle w:val="2"/>
        <w:spacing w:before="110" w:line="212" w:lineRule="auto"/>
        <w:ind w:left="580"/>
      </w:pPr>
      <w:r>
        <w:rPr>
          <w:rFonts w:ascii="Times New Roman" w:hAnsi="Times New Roman" w:eastAsia="Times New Roman" w:cs="Times New Roman"/>
          <w:spacing w:val="-5"/>
        </w:rPr>
        <w:t>e)</w:t>
      </w:r>
      <w:r>
        <w:rPr>
          <w:rFonts w:ascii="Times New Roman" w:hAnsi="Times New Roman" w:eastAsia="Times New Roman" w:cs="Times New Roman"/>
          <w:spacing w:val="71"/>
        </w:rPr>
        <w:t xml:space="preserve"> </w:t>
      </w:r>
      <w:r>
        <w:rPr>
          <w:spacing w:val="-5"/>
        </w:rPr>
        <w:t>有毒物质的装卸、输送与运输要求；</w:t>
      </w:r>
    </w:p>
    <w:p w14:paraId="29CCB320">
      <w:pPr>
        <w:pStyle w:val="2"/>
        <w:spacing w:before="112" w:line="212" w:lineRule="auto"/>
        <w:ind w:left="580"/>
        <w:rPr>
          <w:sz w:val="24"/>
          <w:szCs w:val="24"/>
        </w:rPr>
      </w:pPr>
      <w:r>
        <w:rPr>
          <w:rFonts w:ascii="Times New Roman" w:hAnsi="Times New Roman" w:eastAsia="Times New Roman" w:cs="Times New Roman"/>
          <w:spacing w:val="25"/>
          <w:sz w:val="24"/>
          <w:szCs w:val="24"/>
        </w:rPr>
        <w:t>f)</w:t>
      </w:r>
      <w:r>
        <w:rPr>
          <w:rFonts w:ascii="Times New Roman" w:hAnsi="Times New Roman" w:eastAsia="Times New Roman" w:cs="Times New Roman"/>
          <w:spacing w:val="29"/>
          <w:sz w:val="24"/>
          <w:szCs w:val="24"/>
        </w:rPr>
        <w:t xml:space="preserve">  </w:t>
      </w:r>
      <w:r>
        <w:rPr>
          <w:spacing w:val="25"/>
          <w:sz w:val="24"/>
          <w:szCs w:val="24"/>
        </w:rPr>
        <w:t>防护服或保护设备的需求；</w:t>
      </w:r>
    </w:p>
    <w:p w14:paraId="678DAC71">
      <w:pPr>
        <w:pStyle w:val="2"/>
        <w:spacing w:before="112" w:line="212" w:lineRule="auto"/>
        <w:ind w:left="580"/>
      </w:pPr>
      <w:r>
        <w:rPr>
          <w:rFonts w:ascii="Times New Roman" w:hAnsi="Times New Roman" w:eastAsia="Times New Roman" w:cs="Times New Roman"/>
          <w:spacing w:val="9"/>
        </w:rPr>
        <w:t>g</w:t>
      </w:r>
      <w:r>
        <w:rPr>
          <w:spacing w:val="9"/>
        </w:rPr>
        <w:t>)定量接触水平所需的检测设备；</w:t>
      </w:r>
    </w:p>
    <w:p w14:paraId="7500CCDD">
      <w:pPr>
        <w:pStyle w:val="2"/>
        <w:spacing w:before="101" w:line="212" w:lineRule="auto"/>
        <w:ind w:left="580"/>
      </w:pPr>
      <w:r>
        <w:rPr>
          <w:rFonts w:ascii="Times New Roman" w:hAnsi="Times New Roman" w:eastAsia="Times New Roman" w:cs="Times New Roman"/>
          <w:spacing w:val="2"/>
        </w:rPr>
        <w:t xml:space="preserve">h)  </w:t>
      </w:r>
      <w:r>
        <w:rPr>
          <w:spacing w:val="2"/>
        </w:rPr>
        <w:t>可能处于危险之中的人数；</w:t>
      </w:r>
    </w:p>
    <w:p w14:paraId="33C0B60E">
      <w:pPr>
        <w:pStyle w:val="2"/>
        <w:spacing w:before="130" w:line="212" w:lineRule="auto"/>
        <w:ind w:left="580"/>
      </w:pPr>
      <w:r>
        <w:rPr>
          <w:rFonts w:ascii="Times New Roman" w:hAnsi="Times New Roman" w:eastAsia="Times New Roman" w:cs="Times New Roman"/>
          <w:spacing w:val="-11"/>
        </w:rPr>
        <w:t xml:space="preserve">i)  </w:t>
      </w:r>
      <w:r>
        <w:rPr>
          <w:spacing w:val="-11"/>
        </w:rPr>
        <w:t>可能使用的工作控制手段，例如隔离、封闭、通风、噪声或辐射屏蔽等。</w:t>
      </w:r>
    </w:p>
    <w:p w14:paraId="33C7D031">
      <w:pPr>
        <w:spacing w:before="80" w:line="222" w:lineRule="auto"/>
        <w:rPr>
          <w:rFonts w:ascii="黑体" w:hAnsi="黑体" w:eastAsia="黑体" w:cs="黑体"/>
          <w:sz w:val="27"/>
          <w:szCs w:val="27"/>
        </w:rPr>
      </w:pPr>
      <w:r>
        <w:rPr>
          <w:rFonts w:ascii="黑体" w:hAnsi="黑体" w:eastAsia="黑体" w:cs="黑体"/>
          <w:spacing w:val="4"/>
          <w:sz w:val="27"/>
          <w:szCs w:val="27"/>
        </w:rPr>
        <w:t>5.1</w:t>
      </w:r>
      <w:r>
        <w:rPr>
          <w:rFonts w:ascii="黑体" w:hAnsi="黑体" w:eastAsia="黑体" w:cs="黑体"/>
          <w:spacing w:val="16"/>
          <w:sz w:val="27"/>
          <w:szCs w:val="27"/>
        </w:rPr>
        <w:t xml:space="preserve">  </w:t>
      </w:r>
      <w:r>
        <w:rPr>
          <w:rFonts w:ascii="黑体" w:hAnsi="黑体" w:eastAsia="黑体" w:cs="黑体"/>
          <w:spacing w:val="4"/>
          <w:sz w:val="27"/>
          <w:szCs w:val="27"/>
        </w:rPr>
        <w:t>有毒物质</w:t>
      </w:r>
    </w:p>
    <w:p w14:paraId="57AFE5B4">
      <w:pPr>
        <w:pStyle w:val="2"/>
        <w:spacing w:before="135" w:line="219" w:lineRule="auto"/>
        <w:ind w:right="42"/>
        <w:jc w:val="right"/>
        <w:rPr>
          <w:sz w:val="25"/>
          <w:szCs w:val="25"/>
        </w:rPr>
      </w:pPr>
      <w:r>
        <w:rPr>
          <w:spacing w:val="10"/>
          <w:sz w:val="25"/>
          <w:szCs w:val="25"/>
        </w:rPr>
        <w:t>例如致癌物或有致癌嫌疑的物品、</w:t>
      </w:r>
      <w:r>
        <w:rPr>
          <w:spacing w:val="83"/>
          <w:sz w:val="25"/>
          <w:szCs w:val="25"/>
        </w:rPr>
        <w:t xml:space="preserve"> </w:t>
      </w:r>
      <w:r>
        <w:rPr>
          <w:spacing w:val="10"/>
          <w:sz w:val="25"/>
          <w:szCs w:val="25"/>
        </w:rPr>
        <w:t>一般毒品、窒息物、对呼吸器官有刺激的</w:t>
      </w:r>
    </w:p>
    <w:p w14:paraId="66F37F1C">
      <w:pPr>
        <w:spacing w:line="219" w:lineRule="auto"/>
        <w:rPr>
          <w:sz w:val="25"/>
          <w:szCs w:val="25"/>
        </w:rPr>
        <w:sectPr>
          <w:footerReference r:id="rId563" w:type="default"/>
          <w:pgSz w:w="11910" w:h="17130"/>
          <w:pgMar w:top="400" w:right="1478" w:bottom="1820" w:left="1019" w:header="0" w:footer="1547" w:gutter="0"/>
          <w:cols w:space="720" w:num="1"/>
        </w:sectPr>
      </w:pPr>
    </w:p>
    <w:p w14:paraId="60EC2AF1">
      <w:pPr>
        <w:spacing w:line="259" w:lineRule="auto"/>
        <w:rPr>
          <w:rFonts w:ascii="Arial"/>
          <w:sz w:val="21"/>
        </w:rPr>
      </w:pPr>
    </w:p>
    <w:p w14:paraId="607B03BF">
      <w:pPr>
        <w:spacing w:line="259" w:lineRule="auto"/>
        <w:rPr>
          <w:rFonts w:ascii="Arial"/>
          <w:sz w:val="21"/>
        </w:rPr>
      </w:pPr>
    </w:p>
    <w:p w14:paraId="4003CF79">
      <w:pPr>
        <w:spacing w:line="259" w:lineRule="auto"/>
        <w:rPr>
          <w:rFonts w:ascii="Arial"/>
          <w:sz w:val="21"/>
        </w:rPr>
      </w:pPr>
    </w:p>
    <w:p w14:paraId="3319CD1A">
      <w:pPr>
        <w:spacing w:line="260" w:lineRule="auto"/>
        <w:rPr>
          <w:rFonts w:ascii="Arial"/>
          <w:sz w:val="21"/>
        </w:rPr>
      </w:pPr>
    </w:p>
    <w:p w14:paraId="74D21412">
      <w:pPr>
        <w:pStyle w:val="2"/>
        <w:spacing w:before="87" w:line="219" w:lineRule="auto"/>
      </w:pPr>
      <w:r>
        <w:rPr>
          <w:spacing w:val="-3"/>
        </w:rPr>
        <w:t>物品等；</w:t>
      </w:r>
    </w:p>
    <w:p w14:paraId="5CCA3E82">
      <w:pPr>
        <w:spacing w:before="80" w:line="224" w:lineRule="auto"/>
        <w:rPr>
          <w:rFonts w:ascii="黑体" w:hAnsi="黑体" w:eastAsia="黑体" w:cs="黑体"/>
          <w:sz w:val="27"/>
          <w:szCs w:val="27"/>
        </w:rPr>
      </w:pPr>
      <w:r>
        <w:rPr>
          <w:rFonts w:ascii="黑体" w:hAnsi="黑体" w:eastAsia="黑体" w:cs="黑体"/>
          <w:spacing w:val="4"/>
          <w:sz w:val="27"/>
          <w:szCs w:val="27"/>
        </w:rPr>
        <w:t>5.2</w:t>
      </w:r>
      <w:r>
        <w:rPr>
          <w:rFonts w:ascii="黑体" w:hAnsi="黑体" w:eastAsia="黑体" w:cs="黑体"/>
          <w:spacing w:val="17"/>
          <w:sz w:val="27"/>
          <w:szCs w:val="27"/>
        </w:rPr>
        <w:t xml:space="preserve">  </w:t>
      </w:r>
      <w:r>
        <w:rPr>
          <w:rFonts w:ascii="黑体" w:hAnsi="黑体" w:eastAsia="黑体" w:cs="黑体"/>
          <w:spacing w:val="4"/>
          <w:sz w:val="27"/>
          <w:szCs w:val="27"/>
        </w:rPr>
        <w:t>物理因素</w:t>
      </w:r>
    </w:p>
    <w:p w14:paraId="31CF161D">
      <w:pPr>
        <w:pStyle w:val="2"/>
        <w:spacing w:before="90" w:line="219" w:lineRule="auto"/>
        <w:ind w:left="570"/>
      </w:pPr>
      <w:r>
        <w:rPr>
          <w:spacing w:val="-7"/>
        </w:rPr>
        <w:t>例如噪声、热应力或冷应力、电离辐射或非电离辐射等；</w:t>
      </w:r>
    </w:p>
    <w:p w14:paraId="1C078E2C">
      <w:pPr>
        <w:spacing w:before="19" w:line="368" w:lineRule="exact"/>
        <w:rPr>
          <w:rFonts w:ascii="黑体" w:hAnsi="黑体" w:eastAsia="黑体" w:cs="黑体"/>
          <w:sz w:val="27"/>
          <w:szCs w:val="27"/>
        </w:rPr>
      </w:pPr>
      <w:r>
        <w:rPr>
          <w:rFonts w:ascii="Arial" w:hAnsi="Arial" w:eastAsia="Arial" w:cs="Arial"/>
          <w:spacing w:val="-5"/>
          <w:position w:val="1"/>
          <w:sz w:val="27"/>
          <w:szCs w:val="27"/>
        </w:rPr>
        <w:t>5.3</w:t>
      </w:r>
      <w:r>
        <w:rPr>
          <w:rFonts w:ascii="Arial" w:hAnsi="Arial" w:eastAsia="Arial" w:cs="Arial"/>
          <w:spacing w:val="18"/>
          <w:position w:val="1"/>
          <w:sz w:val="27"/>
          <w:szCs w:val="27"/>
        </w:rPr>
        <w:t xml:space="preserve">    </w:t>
      </w:r>
      <w:r>
        <w:rPr>
          <w:rFonts w:ascii="黑体" w:hAnsi="黑体" w:eastAsia="黑体" w:cs="黑体"/>
          <w:spacing w:val="-5"/>
          <w:position w:val="1"/>
          <w:sz w:val="27"/>
          <w:szCs w:val="27"/>
        </w:rPr>
        <w:t>系统、设施和人员防护装置的设计要求</w:t>
      </w:r>
    </w:p>
    <w:p w14:paraId="1809D45A">
      <w:pPr>
        <w:pStyle w:val="2"/>
        <w:spacing w:before="65" w:line="279" w:lineRule="auto"/>
        <w:ind w:firstLine="570"/>
        <w:jc w:val="both"/>
      </w:pPr>
      <w:r>
        <w:rPr>
          <w:spacing w:val="-2"/>
        </w:rPr>
        <w:t>系统、设施和人员防护装置的设计要求(例如通风、噪声衰减、辐</w:t>
      </w:r>
      <w:r>
        <w:rPr>
          <w:spacing w:val="-3"/>
        </w:rPr>
        <w:t>射屏蔽等)</w:t>
      </w:r>
      <w:r>
        <w:t xml:space="preserve"> </w:t>
      </w:r>
      <w:r>
        <w:rPr>
          <w:spacing w:val="5"/>
        </w:rPr>
        <w:t>以保证使用和维修的安全。当没有可行的工程设计可把风险减少到可接受水平</w:t>
      </w:r>
      <w:r>
        <w:rPr>
          <w:spacing w:val="11"/>
        </w:rPr>
        <w:t xml:space="preserve"> </w:t>
      </w:r>
      <w:r>
        <w:rPr>
          <w:spacing w:val="-3"/>
        </w:rPr>
        <w:t>时，必须规定其他防护措施，例如防护服，可把风险减少到可接受水平的具体使</w:t>
      </w:r>
      <w:r>
        <w:rPr>
          <w:spacing w:val="17"/>
        </w:rPr>
        <w:t xml:space="preserve"> </w:t>
      </w:r>
      <w:r>
        <w:rPr>
          <w:spacing w:val="-4"/>
        </w:rPr>
        <w:t>用或维修操作规程，并应得到订购方的认可。</w:t>
      </w:r>
    </w:p>
    <w:p w14:paraId="2454072B">
      <w:pPr>
        <w:spacing w:line="327" w:lineRule="exact"/>
        <w:rPr>
          <w:rFonts w:ascii="黑体" w:hAnsi="黑体" w:eastAsia="黑体" w:cs="黑体"/>
          <w:sz w:val="24"/>
          <w:szCs w:val="24"/>
        </w:rPr>
      </w:pPr>
      <w:r>
        <w:rPr>
          <w:rFonts w:ascii="Arial" w:hAnsi="Arial" w:eastAsia="Arial" w:cs="Arial"/>
          <w:spacing w:val="25"/>
          <w:position w:val="1"/>
          <w:sz w:val="24"/>
          <w:szCs w:val="24"/>
        </w:rPr>
        <w:t xml:space="preserve">6    </w:t>
      </w:r>
      <w:r>
        <w:rPr>
          <w:rFonts w:ascii="黑体" w:hAnsi="黑体" w:eastAsia="黑体" w:cs="黑体"/>
          <w:spacing w:val="25"/>
          <w:position w:val="1"/>
          <w:sz w:val="24"/>
          <w:szCs w:val="24"/>
        </w:rPr>
        <w:t>安全性措施和替换方案</w:t>
      </w:r>
    </w:p>
    <w:p w14:paraId="0CEFCC07">
      <w:pPr>
        <w:pStyle w:val="2"/>
        <w:spacing w:before="89" w:line="296" w:lineRule="auto"/>
        <w:ind w:right="18" w:firstLine="570"/>
      </w:pPr>
      <w:r>
        <w:rPr>
          <w:spacing w:val="6"/>
        </w:rPr>
        <w:t>确定有害健康的危险并提出保护措施，以便</w:t>
      </w:r>
      <w:r>
        <w:rPr>
          <w:spacing w:val="5"/>
        </w:rPr>
        <w:t>将有关风险减少到订购方可接</w:t>
      </w:r>
      <w:r>
        <w:t xml:space="preserve"> </w:t>
      </w:r>
      <w:r>
        <w:rPr>
          <w:spacing w:val="-3"/>
        </w:rPr>
        <w:t>受水平。</w:t>
      </w:r>
    </w:p>
    <w:p w14:paraId="73134337">
      <w:pPr>
        <w:pStyle w:val="2"/>
        <w:spacing w:before="314" w:line="220" w:lineRule="auto"/>
        <w:ind w:left="2790"/>
        <w:rPr>
          <w:sz w:val="36"/>
          <w:szCs w:val="36"/>
        </w:rPr>
      </w:pPr>
      <w:r>
        <w:rPr>
          <w:spacing w:val="-4"/>
          <w:sz w:val="36"/>
          <w:szCs w:val="36"/>
        </w:rPr>
        <w:t>11.</w:t>
      </w:r>
      <w:r>
        <w:rPr>
          <w:b/>
          <w:bCs/>
          <w:spacing w:val="-4"/>
          <w:sz w:val="36"/>
          <w:szCs w:val="36"/>
        </w:rPr>
        <w:t>10</w:t>
      </w:r>
      <w:r>
        <w:rPr>
          <w:spacing w:val="35"/>
          <w:sz w:val="36"/>
          <w:szCs w:val="36"/>
        </w:rPr>
        <w:t xml:space="preserve">  </w:t>
      </w:r>
      <w:r>
        <w:rPr>
          <w:b/>
          <w:bCs/>
          <w:spacing w:val="-4"/>
          <w:sz w:val="36"/>
          <w:szCs w:val="36"/>
        </w:rPr>
        <w:t>安全性试验大纲</w:t>
      </w:r>
    </w:p>
    <w:p w14:paraId="00FCDC39">
      <w:pPr>
        <w:spacing w:line="341" w:lineRule="auto"/>
        <w:rPr>
          <w:rFonts w:ascii="Arial"/>
          <w:sz w:val="21"/>
        </w:rPr>
      </w:pPr>
    </w:p>
    <w:p w14:paraId="4BB4953F">
      <w:pPr>
        <w:pStyle w:val="2"/>
        <w:spacing w:before="88" w:line="278" w:lineRule="auto"/>
        <w:ind w:right="29" w:firstLine="570"/>
        <w:rPr>
          <w:rFonts w:ascii="楷体" w:hAnsi="楷体" w:eastAsia="楷体" w:cs="楷体"/>
        </w:rPr>
      </w:pPr>
      <w:r>
        <w:rPr>
          <w:rFonts w:ascii="楷体" w:hAnsi="楷体" w:eastAsia="楷体" w:cs="楷体"/>
          <w:spacing w:val="-2"/>
        </w:rPr>
        <w:t>按照</w:t>
      </w:r>
      <w:r>
        <w:rPr>
          <w:rFonts w:ascii="Times New Roman" w:hAnsi="Times New Roman" w:eastAsia="Times New Roman" w:cs="Times New Roman"/>
          <w:spacing w:val="-2"/>
        </w:rPr>
        <w:t>GJB</w:t>
      </w:r>
      <w:r>
        <w:rPr>
          <w:rFonts w:ascii="Times New Roman" w:hAnsi="Times New Roman" w:eastAsia="Times New Roman" w:cs="Times New Roman"/>
          <w:spacing w:val="41"/>
        </w:rPr>
        <w:t xml:space="preserve"> </w:t>
      </w:r>
      <w:r>
        <w:rPr>
          <w:rFonts w:ascii="Times New Roman" w:hAnsi="Times New Roman" w:eastAsia="Times New Roman" w:cs="Times New Roman"/>
          <w:spacing w:val="-2"/>
        </w:rPr>
        <w:t>1362A—2007</w:t>
      </w:r>
      <w:r>
        <w:rPr>
          <w:spacing w:val="-2"/>
        </w:rPr>
        <w:t>《</w:t>
      </w:r>
      <w:r>
        <w:rPr>
          <w:rFonts w:ascii="楷体" w:hAnsi="楷体" w:eastAsia="楷体" w:cs="楷体"/>
          <w:spacing w:val="-2"/>
        </w:rPr>
        <w:t>军工产品定型程序和要求》编写，目次格式和编写</w:t>
      </w:r>
      <w:r>
        <w:rPr>
          <w:rFonts w:ascii="楷体" w:hAnsi="楷体" w:eastAsia="楷体" w:cs="楷体"/>
        </w:rPr>
        <w:t xml:space="preserve"> </w:t>
      </w:r>
      <w:r>
        <w:rPr>
          <w:rFonts w:ascii="楷体" w:hAnsi="楷体" w:eastAsia="楷体" w:cs="楷体"/>
          <w:spacing w:val="-10"/>
        </w:rPr>
        <w:t>说明与本书1.34《设计定型试验大纲》相同，参见1.34《设计定型试验大纲》。</w:t>
      </w:r>
    </w:p>
    <w:p w14:paraId="30AA9D2F">
      <w:pPr>
        <w:spacing w:line="244" w:lineRule="auto"/>
        <w:rPr>
          <w:rFonts w:ascii="Arial"/>
          <w:sz w:val="21"/>
        </w:rPr>
      </w:pPr>
    </w:p>
    <w:p w14:paraId="38ADC517">
      <w:pPr>
        <w:pStyle w:val="2"/>
        <w:spacing w:before="117" w:line="218" w:lineRule="auto"/>
        <w:ind w:left="2790"/>
        <w:outlineLvl w:val="1"/>
        <w:rPr>
          <w:sz w:val="36"/>
          <w:szCs w:val="36"/>
        </w:rPr>
      </w:pPr>
      <w:r>
        <w:rPr>
          <w:rFonts w:ascii="Times New Roman" w:hAnsi="Times New Roman" w:eastAsia="Times New Roman" w:cs="Times New Roman"/>
          <w:b/>
          <w:bCs/>
          <w:spacing w:val="1"/>
          <w:sz w:val="36"/>
          <w:szCs w:val="36"/>
        </w:rPr>
        <w:t xml:space="preserve">11.11     </w:t>
      </w:r>
      <w:r>
        <w:rPr>
          <w:b/>
          <w:bCs/>
          <w:spacing w:val="1"/>
          <w:sz w:val="36"/>
          <w:szCs w:val="36"/>
        </w:rPr>
        <w:t>安全性试验报告</w:t>
      </w:r>
    </w:p>
    <w:p w14:paraId="00A613B9">
      <w:pPr>
        <w:spacing w:line="348" w:lineRule="auto"/>
        <w:rPr>
          <w:rFonts w:ascii="Arial"/>
          <w:sz w:val="21"/>
        </w:rPr>
      </w:pPr>
    </w:p>
    <w:p w14:paraId="1C01AC18">
      <w:pPr>
        <w:pStyle w:val="2"/>
        <w:spacing w:before="91" w:line="259" w:lineRule="auto"/>
        <w:ind w:right="51" w:firstLine="570"/>
        <w:rPr>
          <w:rFonts w:ascii="楷体" w:hAnsi="楷体" w:eastAsia="楷体" w:cs="楷体"/>
          <w:sz w:val="28"/>
          <w:szCs w:val="28"/>
        </w:rPr>
      </w:pPr>
      <w:r>
        <w:rPr>
          <w:rFonts w:ascii="楷体" w:hAnsi="楷体" w:eastAsia="楷体" w:cs="楷体"/>
          <w:spacing w:val="-1"/>
          <w:sz w:val="28"/>
          <w:szCs w:val="28"/>
        </w:rPr>
        <w:t>按照</w:t>
      </w:r>
      <w:r>
        <w:rPr>
          <w:rFonts w:ascii="Times New Roman" w:hAnsi="Times New Roman" w:eastAsia="Times New Roman" w:cs="Times New Roman"/>
          <w:spacing w:val="-1"/>
          <w:sz w:val="28"/>
          <w:szCs w:val="28"/>
        </w:rPr>
        <w:t>GJB1362A—2007</w:t>
      </w:r>
      <w:r>
        <w:rPr>
          <w:spacing w:val="-1"/>
          <w:sz w:val="28"/>
          <w:szCs w:val="28"/>
        </w:rPr>
        <w:t>《</w:t>
      </w:r>
      <w:r>
        <w:rPr>
          <w:rFonts w:ascii="楷体" w:hAnsi="楷体" w:eastAsia="楷体" w:cs="楷体"/>
          <w:spacing w:val="-1"/>
          <w:sz w:val="28"/>
          <w:szCs w:val="28"/>
        </w:rPr>
        <w:t>军工产品定型程序和要求》编写。目次格式和编</w:t>
      </w:r>
      <w:r>
        <w:rPr>
          <w:rFonts w:ascii="楷体" w:hAnsi="楷体" w:eastAsia="楷体" w:cs="楷体"/>
          <w:spacing w:val="3"/>
          <w:sz w:val="28"/>
          <w:szCs w:val="28"/>
        </w:rPr>
        <w:t xml:space="preserve"> </w:t>
      </w:r>
      <w:r>
        <w:rPr>
          <w:rFonts w:ascii="楷体" w:hAnsi="楷体" w:eastAsia="楷体" w:cs="楷体"/>
          <w:spacing w:val="-19"/>
          <w:sz w:val="28"/>
          <w:szCs w:val="28"/>
        </w:rPr>
        <w:t>写说明与本书1.37《设计定型试验报告》相同，参见1.37《设计定型试验报告》。</w:t>
      </w:r>
    </w:p>
    <w:p w14:paraId="14F8367C">
      <w:pPr>
        <w:spacing w:line="268" w:lineRule="auto"/>
        <w:rPr>
          <w:rFonts w:ascii="Arial"/>
          <w:sz w:val="21"/>
        </w:rPr>
      </w:pPr>
    </w:p>
    <w:p w14:paraId="1EB64DC6">
      <w:pPr>
        <w:pStyle w:val="2"/>
        <w:spacing w:before="118" w:line="218" w:lineRule="auto"/>
        <w:ind w:left="2790"/>
        <w:outlineLvl w:val="1"/>
        <w:rPr>
          <w:sz w:val="36"/>
          <w:szCs w:val="36"/>
        </w:rPr>
      </w:pPr>
      <w:r>
        <w:rPr>
          <w:rFonts w:ascii="Times New Roman" w:hAnsi="Times New Roman" w:eastAsia="Times New Roman" w:cs="Times New Roman"/>
          <w:b/>
          <w:bCs/>
          <w:spacing w:val="1"/>
          <w:sz w:val="36"/>
          <w:szCs w:val="36"/>
        </w:rPr>
        <w:t xml:space="preserve">11.12     </w:t>
      </w:r>
      <w:r>
        <w:rPr>
          <w:b/>
          <w:bCs/>
          <w:spacing w:val="1"/>
          <w:sz w:val="36"/>
          <w:szCs w:val="36"/>
        </w:rPr>
        <w:t>安全性评价报告</w:t>
      </w:r>
    </w:p>
    <w:p w14:paraId="33048CFA">
      <w:pPr>
        <w:spacing w:line="382" w:lineRule="auto"/>
        <w:rPr>
          <w:rFonts w:ascii="Arial"/>
          <w:sz w:val="21"/>
        </w:rPr>
      </w:pPr>
    </w:p>
    <w:p w14:paraId="4717688C">
      <w:pPr>
        <w:pStyle w:val="2"/>
        <w:spacing w:before="78" w:line="223" w:lineRule="auto"/>
        <w:ind w:left="570"/>
        <w:rPr>
          <w:rFonts w:ascii="楷体" w:hAnsi="楷体" w:eastAsia="楷体" w:cs="楷体"/>
          <w:sz w:val="24"/>
          <w:szCs w:val="24"/>
        </w:rPr>
      </w:pPr>
      <w:r>
        <w:rPr>
          <w:rFonts w:ascii="楷体" w:hAnsi="楷体" w:eastAsia="楷体" w:cs="楷体"/>
          <w:spacing w:val="9"/>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900—1990</w:t>
      </w:r>
      <w:r>
        <w:rPr>
          <w:spacing w:val="9"/>
          <w:sz w:val="24"/>
          <w:szCs w:val="24"/>
        </w:rPr>
        <w:t>《</w:t>
      </w:r>
      <w:r>
        <w:rPr>
          <w:rFonts w:ascii="楷体" w:hAnsi="楷体" w:eastAsia="楷体" w:cs="楷体"/>
          <w:spacing w:val="9"/>
          <w:sz w:val="24"/>
          <w:szCs w:val="24"/>
        </w:rPr>
        <w:t>系统安全性通用大纲》编写。</w:t>
      </w:r>
    </w:p>
    <w:p w14:paraId="65E9734B">
      <w:pPr>
        <w:spacing w:before="108"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29"/>
          <w:sz w:val="27"/>
          <w:szCs w:val="27"/>
        </w:rPr>
        <w:t xml:space="preserve">  </w:t>
      </w:r>
      <w:r>
        <w:rPr>
          <w:rFonts w:ascii="黑体" w:hAnsi="黑体" w:eastAsia="黑体" w:cs="黑体"/>
          <w:spacing w:val="-6"/>
          <w:sz w:val="27"/>
          <w:szCs w:val="27"/>
        </w:rPr>
        <w:t>范围</w:t>
      </w:r>
    </w:p>
    <w:p w14:paraId="55FF4E7E">
      <w:pPr>
        <w:spacing w:before="71"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23"/>
          <w:sz w:val="27"/>
          <w:szCs w:val="27"/>
        </w:rPr>
        <w:t xml:space="preserve">  </w:t>
      </w:r>
      <w:r>
        <w:rPr>
          <w:rFonts w:ascii="黑体" w:hAnsi="黑体" w:eastAsia="黑体" w:cs="黑体"/>
          <w:sz w:val="27"/>
          <w:szCs w:val="27"/>
        </w:rPr>
        <w:t>引用文件</w:t>
      </w:r>
    </w:p>
    <w:p w14:paraId="7D4F5E7B">
      <w:pPr>
        <w:spacing w:before="37" w:line="368" w:lineRule="exact"/>
        <w:rPr>
          <w:rFonts w:ascii="黑体" w:hAnsi="黑体" w:eastAsia="黑体" w:cs="黑体"/>
          <w:sz w:val="27"/>
          <w:szCs w:val="27"/>
        </w:rPr>
      </w:pPr>
      <w:r>
        <w:rPr>
          <w:rFonts w:ascii="Arial" w:hAnsi="Arial" w:eastAsia="Arial" w:cs="Arial"/>
          <w:spacing w:val="4"/>
          <w:position w:val="1"/>
          <w:sz w:val="27"/>
          <w:szCs w:val="27"/>
        </w:rPr>
        <w:t>3</w:t>
      </w:r>
      <w:r>
        <w:rPr>
          <w:rFonts w:ascii="Arial" w:hAnsi="Arial" w:eastAsia="Arial" w:cs="Arial"/>
          <w:spacing w:val="1"/>
          <w:position w:val="1"/>
          <w:sz w:val="27"/>
          <w:szCs w:val="27"/>
        </w:rPr>
        <w:t xml:space="preserve">    </w:t>
      </w:r>
      <w:r>
        <w:rPr>
          <w:rFonts w:ascii="黑体" w:hAnsi="黑体" w:eastAsia="黑体" w:cs="黑体"/>
          <w:spacing w:val="4"/>
          <w:position w:val="1"/>
          <w:sz w:val="27"/>
          <w:szCs w:val="27"/>
        </w:rPr>
        <w:t>危险分类与分级的安全性准则和方法</w:t>
      </w:r>
    </w:p>
    <w:p w14:paraId="166B1BE2">
      <w:pPr>
        <w:pStyle w:val="2"/>
        <w:spacing w:before="120" w:line="273" w:lineRule="auto"/>
        <w:ind w:right="18" w:firstLine="570"/>
        <w:jc w:val="both"/>
      </w:pPr>
      <w:r>
        <w:rPr>
          <w:spacing w:val="-3"/>
        </w:rPr>
        <w:t>为尽可能地消除危险，应确定危险严重性和危险可能性等级，以便采取解决</w:t>
      </w:r>
      <w:r>
        <w:rPr>
          <w:spacing w:val="8"/>
        </w:rPr>
        <w:t xml:space="preserve"> </w:t>
      </w:r>
      <w:r>
        <w:rPr>
          <w:spacing w:val="-3"/>
        </w:rPr>
        <w:t>措施。按系统安全性措施的优先次序，首先是通过设计消除危险，因此在设计初</w:t>
      </w:r>
      <w:r>
        <w:rPr>
          <w:spacing w:val="18"/>
        </w:rPr>
        <w:t xml:space="preserve"> </w:t>
      </w:r>
      <w:r>
        <w:rPr>
          <w:spacing w:val="5"/>
        </w:rPr>
        <w:t>期，只考虑危险严重性的风险评价一般就能满足使风险达到最小的要求。对设</w:t>
      </w:r>
      <w:r>
        <w:rPr>
          <w:spacing w:val="11"/>
        </w:rPr>
        <w:t xml:space="preserve"> </w:t>
      </w:r>
      <w:r>
        <w:rPr>
          <w:spacing w:val="5"/>
        </w:rPr>
        <w:t>计初期未能消除的危险，则应根据危险严重性和危险可能性的风险评价确定纠</w:t>
      </w:r>
      <w:r>
        <w:rPr>
          <w:spacing w:val="10"/>
        </w:rPr>
        <w:t xml:space="preserve"> </w:t>
      </w:r>
      <w:r>
        <w:rPr>
          <w:spacing w:val="2"/>
        </w:rPr>
        <w:t>正措施和解决已判定的危险。</w:t>
      </w:r>
    </w:p>
    <w:p w14:paraId="583BDBBE">
      <w:pPr>
        <w:pStyle w:val="2"/>
        <w:spacing w:before="53" w:line="218" w:lineRule="auto"/>
        <w:ind w:right="39"/>
        <w:jc w:val="right"/>
        <w:rPr>
          <w:sz w:val="25"/>
          <w:szCs w:val="25"/>
        </w:rPr>
      </w:pPr>
      <w:r>
        <w:rPr>
          <w:spacing w:val="25"/>
          <w:sz w:val="25"/>
          <w:szCs w:val="25"/>
        </w:rPr>
        <w:t>确定危险的等级可用定性分析得到可比较的风险评价，或通过发生概</w:t>
      </w:r>
      <w:r>
        <w:rPr>
          <w:spacing w:val="24"/>
          <w:sz w:val="25"/>
          <w:szCs w:val="25"/>
        </w:rPr>
        <w:t>率的</w:t>
      </w:r>
    </w:p>
    <w:p w14:paraId="5D6AD9FB">
      <w:pPr>
        <w:spacing w:line="218" w:lineRule="auto"/>
        <w:rPr>
          <w:sz w:val="25"/>
          <w:szCs w:val="25"/>
        </w:rPr>
        <w:sectPr>
          <w:footerReference r:id="rId564" w:type="default"/>
          <w:pgSz w:w="11910" w:h="17130"/>
          <w:pgMar w:top="400" w:right="1011" w:bottom="1646" w:left="1489" w:header="0" w:footer="1457" w:gutter="0"/>
          <w:cols w:space="720" w:num="1"/>
        </w:sectPr>
      </w:pPr>
    </w:p>
    <w:p w14:paraId="5F98273D">
      <w:pPr>
        <w:spacing w:line="247" w:lineRule="auto"/>
        <w:rPr>
          <w:rFonts w:ascii="Arial"/>
          <w:sz w:val="21"/>
        </w:rPr>
      </w:pPr>
    </w:p>
    <w:p w14:paraId="674B97C4">
      <w:pPr>
        <w:spacing w:line="248" w:lineRule="auto"/>
        <w:rPr>
          <w:rFonts w:ascii="Arial"/>
          <w:sz w:val="21"/>
        </w:rPr>
      </w:pPr>
    </w:p>
    <w:p w14:paraId="627AE0F6">
      <w:pPr>
        <w:spacing w:line="248" w:lineRule="auto"/>
        <w:rPr>
          <w:rFonts w:ascii="Arial"/>
          <w:sz w:val="21"/>
        </w:rPr>
      </w:pPr>
    </w:p>
    <w:p w14:paraId="50EE0181">
      <w:pPr>
        <w:spacing w:line="248" w:lineRule="auto"/>
        <w:rPr>
          <w:rFonts w:ascii="Arial"/>
          <w:sz w:val="21"/>
        </w:rPr>
      </w:pPr>
    </w:p>
    <w:p w14:paraId="701D6203">
      <w:pPr>
        <w:pStyle w:val="2"/>
        <w:spacing w:before="81" w:line="292" w:lineRule="auto"/>
        <w:ind w:right="85"/>
        <w:rPr>
          <w:sz w:val="25"/>
          <w:szCs w:val="25"/>
        </w:rPr>
      </w:pPr>
      <w:r>
        <w:rPr>
          <w:spacing w:val="30"/>
          <w:sz w:val="25"/>
          <w:szCs w:val="25"/>
        </w:rPr>
        <w:t>定量分析得到危险状态的指数。表11.5和表11.6</w:t>
      </w:r>
      <w:r>
        <w:rPr>
          <w:spacing w:val="29"/>
          <w:sz w:val="25"/>
          <w:szCs w:val="25"/>
        </w:rPr>
        <w:t>给出了危险的风险评价表的</w:t>
      </w:r>
      <w:r>
        <w:rPr>
          <w:sz w:val="25"/>
          <w:szCs w:val="25"/>
        </w:rPr>
        <w:t xml:space="preserve"> </w:t>
      </w:r>
      <w:r>
        <w:rPr>
          <w:spacing w:val="13"/>
          <w:sz w:val="25"/>
          <w:szCs w:val="25"/>
        </w:rPr>
        <w:t>两个例样，可用于得出定性的风险指数，以安排解决措施。</w:t>
      </w:r>
    </w:p>
    <w:p w14:paraId="52F7E235">
      <w:pPr>
        <w:pStyle w:val="2"/>
        <w:spacing w:before="2" w:line="289" w:lineRule="auto"/>
        <w:ind w:right="95" w:firstLine="550"/>
      </w:pPr>
      <w:r>
        <w:rPr>
          <w:spacing w:val="-4"/>
        </w:rPr>
        <w:t>表11.5中，其风险指数为1</w:t>
      </w:r>
      <w:r>
        <w:rPr>
          <w:rFonts w:ascii="Times New Roman" w:hAnsi="Times New Roman" w:eastAsia="Times New Roman" w:cs="Times New Roman"/>
          <w:spacing w:val="-4"/>
        </w:rPr>
        <w:t>A</w:t>
      </w:r>
      <w:r>
        <w:rPr>
          <w:spacing w:val="-4"/>
        </w:rPr>
        <w:t>、</w:t>
      </w:r>
      <w:r>
        <w:rPr>
          <w:rFonts w:ascii="Times New Roman" w:hAnsi="Times New Roman" w:eastAsia="Times New Roman" w:cs="Times New Roman"/>
          <w:spacing w:val="-4"/>
        </w:rPr>
        <w:t>1B</w:t>
      </w:r>
      <w:r>
        <w:rPr>
          <w:spacing w:val="-4"/>
        </w:rPr>
        <w:t>、</w:t>
      </w:r>
      <w:r>
        <w:rPr>
          <w:rFonts w:ascii="Times New Roman" w:hAnsi="Times New Roman" w:eastAsia="Times New Roman" w:cs="Times New Roman"/>
          <w:spacing w:val="-4"/>
        </w:rPr>
        <w:t>1C</w:t>
      </w:r>
      <w:r>
        <w:rPr>
          <w:spacing w:val="-4"/>
        </w:rPr>
        <w:t>、</w:t>
      </w:r>
      <w:r>
        <w:rPr>
          <w:rFonts w:ascii="Times New Roman" w:hAnsi="Times New Roman" w:eastAsia="Times New Roman" w:cs="Times New Roman"/>
          <w:spacing w:val="-4"/>
        </w:rPr>
        <w:t>2</w:t>
      </w:r>
      <w:r>
        <w:rPr>
          <w:rFonts w:ascii="Times New Roman" w:hAnsi="Times New Roman" w:eastAsia="Times New Roman" w:cs="Times New Roman"/>
          <w:spacing w:val="-5"/>
        </w:rPr>
        <w:t>A</w:t>
      </w:r>
      <w:r>
        <w:rPr>
          <w:spacing w:val="-5"/>
        </w:rPr>
        <w:t>、</w:t>
      </w:r>
      <w:r>
        <w:rPr>
          <w:rFonts w:ascii="Times New Roman" w:hAnsi="Times New Roman" w:eastAsia="Times New Roman" w:cs="Times New Roman"/>
          <w:spacing w:val="-5"/>
        </w:rPr>
        <w:t>2B</w:t>
      </w:r>
      <w:r>
        <w:rPr>
          <w:rFonts w:ascii="Times New Roman" w:hAnsi="Times New Roman" w:eastAsia="Times New Roman" w:cs="Times New Roman"/>
          <w:spacing w:val="-20"/>
        </w:rPr>
        <w:t xml:space="preserve"> </w:t>
      </w:r>
      <w:r>
        <w:rPr>
          <w:spacing w:val="-5"/>
        </w:rPr>
        <w:t>和 3</w:t>
      </w:r>
      <w:r>
        <w:rPr>
          <w:rFonts w:ascii="Times New Roman" w:hAnsi="Times New Roman" w:eastAsia="Times New Roman" w:cs="Times New Roman"/>
          <w:spacing w:val="-5"/>
        </w:rPr>
        <w:t>A</w:t>
      </w:r>
      <w:r>
        <w:rPr>
          <w:rFonts w:ascii="Times New Roman" w:hAnsi="Times New Roman" w:eastAsia="Times New Roman" w:cs="Times New Roman"/>
          <w:spacing w:val="30"/>
        </w:rPr>
        <w:t xml:space="preserve"> </w:t>
      </w:r>
      <w:r>
        <w:rPr>
          <w:spacing w:val="-5"/>
        </w:rPr>
        <w:t>的危险应立即采取解</w:t>
      </w:r>
      <w:r>
        <w:t xml:space="preserve"> </w:t>
      </w:r>
      <w:r>
        <w:rPr>
          <w:spacing w:val="-15"/>
        </w:rPr>
        <w:t>决措施；指数为1</w:t>
      </w:r>
      <w:r>
        <w:rPr>
          <w:rFonts w:ascii="Times New Roman" w:hAnsi="Times New Roman" w:eastAsia="Times New Roman" w:cs="Times New Roman"/>
          <w:spacing w:val="-15"/>
        </w:rPr>
        <w:t>D</w:t>
      </w:r>
      <w:r>
        <w:rPr>
          <w:spacing w:val="-15"/>
        </w:rPr>
        <w:t>、</w:t>
      </w:r>
      <w:r>
        <w:rPr>
          <w:rFonts w:ascii="Times New Roman" w:hAnsi="Times New Roman" w:eastAsia="Times New Roman" w:cs="Times New Roman"/>
          <w:spacing w:val="-15"/>
        </w:rPr>
        <w:t>2C</w:t>
      </w:r>
      <w:r>
        <w:rPr>
          <w:spacing w:val="-15"/>
        </w:rPr>
        <w:t>、</w:t>
      </w:r>
      <w:r>
        <w:rPr>
          <w:rFonts w:ascii="Times New Roman" w:hAnsi="Times New Roman" w:eastAsia="Times New Roman" w:cs="Times New Roman"/>
          <w:spacing w:val="-15"/>
        </w:rPr>
        <w:t>2D</w:t>
      </w:r>
      <w:r>
        <w:rPr>
          <w:spacing w:val="-15"/>
        </w:rPr>
        <w:t>、</w:t>
      </w:r>
      <w:r>
        <w:rPr>
          <w:rFonts w:ascii="Times New Roman" w:hAnsi="Times New Roman" w:eastAsia="Times New Roman" w:cs="Times New Roman"/>
          <w:spacing w:val="-15"/>
        </w:rPr>
        <w:t>3B</w:t>
      </w:r>
      <w:r>
        <w:rPr>
          <w:rFonts w:ascii="Times New Roman" w:hAnsi="Times New Roman" w:eastAsia="Times New Roman" w:cs="Times New Roman"/>
          <w:spacing w:val="-17"/>
        </w:rPr>
        <w:t xml:space="preserve"> </w:t>
      </w:r>
      <w:r>
        <w:rPr>
          <w:spacing w:val="-15"/>
        </w:rPr>
        <w:t>和 3</w:t>
      </w:r>
      <w:r>
        <w:rPr>
          <w:rFonts w:ascii="Times New Roman" w:hAnsi="Times New Roman" w:eastAsia="Times New Roman" w:cs="Times New Roman"/>
          <w:spacing w:val="-15"/>
        </w:rPr>
        <w:t xml:space="preserve">C </w:t>
      </w:r>
      <w:r>
        <w:rPr>
          <w:spacing w:val="-15"/>
        </w:rPr>
        <w:t>的危险需要跟踪。</w:t>
      </w:r>
    </w:p>
    <w:p w14:paraId="71B9FEC8">
      <w:pPr>
        <w:spacing w:line="222" w:lineRule="auto"/>
        <w:ind w:left="2760"/>
        <w:rPr>
          <w:rFonts w:ascii="仿宋" w:hAnsi="仿宋" w:eastAsia="仿宋" w:cs="仿宋"/>
          <w:sz w:val="24"/>
          <w:szCs w:val="24"/>
        </w:rPr>
      </w:pPr>
      <w:r>
        <w:rPr>
          <w:rFonts w:ascii="仿宋" w:hAnsi="仿宋" w:eastAsia="仿宋" w:cs="仿宋"/>
          <w:spacing w:val="31"/>
          <w:sz w:val="24"/>
          <w:szCs w:val="24"/>
        </w:rPr>
        <w:t>表11</w:t>
      </w:r>
      <w:r>
        <w:rPr>
          <w:rFonts w:ascii="仿宋" w:hAnsi="仿宋" w:eastAsia="仿宋" w:cs="仿宋"/>
          <w:spacing w:val="-56"/>
          <w:sz w:val="24"/>
          <w:szCs w:val="24"/>
        </w:rPr>
        <w:t xml:space="preserve"> </w:t>
      </w:r>
      <w:r>
        <w:rPr>
          <w:rFonts w:ascii="仿宋" w:hAnsi="仿宋" w:eastAsia="仿宋" w:cs="仿宋"/>
          <w:spacing w:val="31"/>
          <w:sz w:val="24"/>
          <w:szCs w:val="24"/>
        </w:rPr>
        <w:t>.</w:t>
      </w:r>
      <w:r>
        <w:rPr>
          <w:rFonts w:ascii="仿宋" w:hAnsi="仿宋" w:eastAsia="仿宋" w:cs="仿宋"/>
          <w:spacing w:val="-59"/>
          <w:sz w:val="24"/>
          <w:szCs w:val="24"/>
        </w:rPr>
        <w:t xml:space="preserve"> </w:t>
      </w:r>
      <w:r>
        <w:rPr>
          <w:rFonts w:ascii="仿宋" w:hAnsi="仿宋" w:eastAsia="仿宋" w:cs="仿宋"/>
          <w:spacing w:val="31"/>
          <w:sz w:val="24"/>
          <w:szCs w:val="24"/>
        </w:rPr>
        <w:t>5</w:t>
      </w:r>
      <w:r>
        <w:rPr>
          <w:rFonts w:ascii="仿宋" w:hAnsi="仿宋" w:eastAsia="仿宋" w:cs="仿宋"/>
          <w:spacing w:val="17"/>
          <w:sz w:val="24"/>
          <w:szCs w:val="24"/>
        </w:rPr>
        <w:t xml:space="preserve">  </w:t>
      </w:r>
      <w:r>
        <w:rPr>
          <w:rFonts w:ascii="仿宋" w:hAnsi="仿宋" w:eastAsia="仿宋" w:cs="仿宋"/>
          <w:spacing w:val="31"/>
          <w:sz w:val="24"/>
          <w:szCs w:val="24"/>
        </w:rPr>
        <w:t>危险的风险评价表例1</w:t>
      </w:r>
    </w:p>
    <w:p w14:paraId="560D7822">
      <w:pPr>
        <w:spacing w:line="88" w:lineRule="exact"/>
      </w:pPr>
    </w:p>
    <w:tbl>
      <w:tblPr>
        <w:tblStyle w:val="5"/>
        <w:tblW w:w="935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92"/>
        <w:gridCol w:w="1678"/>
        <w:gridCol w:w="1668"/>
        <w:gridCol w:w="1668"/>
        <w:gridCol w:w="2053"/>
      </w:tblGrid>
      <w:tr w14:paraId="318F5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2292" w:type="dxa"/>
            <w:vMerge w:val="restart"/>
            <w:tcBorders>
              <w:bottom w:val="nil"/>
            </w:tcBorders>
            <w:vAlign w:val="top"/>
          </w:tcPr>
          <w:p w14:paraId="6D52A3AE">
            <w:pPr>
              <w:pStyle w:val="6"/>
              <w:spacing w:line="244" w:lineRule="auto"/>
            </w:pPr>
          </w:p>
          <w:p w14:paraId="028A8FE7">
            <w:pPr>
              <w:spacing w:before="68" w:line="219" w:lineRule="auto"/>
              <w:ind w:left="404"/>
              <w:rPr>
                <w:rFonts w:ascii="宋体" w:hAnsi="宋体" w:eastAsia="宋体" w:cs="宋体"/>
                <w:sz w:val="21"/>
                <w:szCs w:val="21"/>
              </w:rPr>
            </w:pPr>
            <w:r>
              <w:rPr>
                <w:rFonts w:ascii="宋体" w:hAnsi="宋体" w:eastAsia="宋体" w:cs="宋体"/>
                <w:spacing w:val="1"/>
                <w:sz w:val="21"/>
                <w:szCs w:val="21"/>
              </w:rPr>
              <w:t>危险可能性等级</w:t>
            </w:r>
          </w:p>
        </w:tc>
        <w:tc>
          <w:tcPr>
            <w:tcW w:w="7067" w:type="dxa"/>
            <w:gridSpan w:val="4"/>
            <w:vAlign w:val="top"/>
          </w:tcPr>
          <w:p w14:paraId="5969FE61">
            <w:pPr>
              <w:spacing w:before="103" w:line="219" w:lineRule="auto"/>
              <w:ind w:left="2792"/>
              <w:rPr>
                <w:rFonts w:ascii="宋体" w:hAnsi="宋体" w:eastAsia="宋体" w:cs="宋体"/>
                <w:sz w:val="21"/>
                <w:szCs w:val="21"/>
              </w:rPr>
            </w:pPr>
            <w:r>
              <w:rPr>
                <w:rFonts w:ascii="宋体" w:hAnsi="宋体" w:eastAsia="宋体" w:cs="宋体"/>
                <w:spacing w:val="1"/>
                <w:sz w:val="21"/>
                <w:szCs w:val="21"/>
              </w:rPr>
              <w:t>危险严重性等级</w:t>
            </w:r>
          </w:p>
        </w:tc>
      </w:tr>
      <w:tr w14:paraId="0F036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292" w:type="dxa"/>
            <w:vMerge w:val="continue"/>
            <w:tcBorders>
              <w:top w:val="nil"/>
            </w:tcBorders>
            <w:vAlign w:val="top"/>
          </w:tcPr>
          <w:p w14:paraId="7FA324AD">
            <w:pPr>
              <w:pStyle w:val="6"/>
            </w:pPr>
          </w:p>
        </w:tc>
        <w:tc>
          <w:tcPr>
            <w:tcW w:w="1678" w:type="dxa"/>
            <w:vAlign w:val="top"/>
          </w:tcPr>
          <w:p w14:paraId="639140CD">
            <w:pPr>
              <w:spacing w:before="101" w:line="221" w:lineRule="auto"/>
              <w:ind w:left="352"/>
              <w:rPr>
                <w:rFonts w:ascii="宋体" w:hAnsi="宋体" w:eastAsia="宋体" w:cs="宋体"/>
                <w:sz w:val="21"/>
                <w:szCs w:val="21"/>
              </w:rPr>
            </w:pPr>
            <w:r>
              <w:rPr>
                <w:rFonts w:ascii="宋体" w:hAnsi="宋体" w:eastAsia="宋体" w:cs="宋体"/>
                <w:spacing w:val="8"/>
                <w:sz w:val="21"/>
                <w:szCs w:val="21"/>
              </w:rPr>
              <w:t>I(灾难的)</w:t>
            </w:r>
          </w:p>
        </w:tc>
        <w:tc>
          <w:tcPr>
            <w:tcW w:w="1668" w:type="dxa"/>
            <w:vAlign w:val="top"/>
          </w:tcPr>
          <w:p w14:paraId="2364AEDA">
            <w:pPr>
              <w:spacing w:before="101" w:line="220" w:lineRule="auto"/>
              <w:ind w:left="304"/>
              <w:rPr>
                <w:rFonts w:ascii="宋体" w:hAnsi="宋体" w:eastAsia="宋体" w:cs="宋体"/>
                <w:sz w:val="21"/>
                <w:szCs w:val="21"/>
              </w:rPr>
            </w:pPr>
            <w:r>
              <w:rPr>
                <w:rFonts w:ascii="宋体" w:hAnsi="宋体" w:eastAsia="宋体" w:cs="宋体"/>
                <w:spacing w:val="7"/>
                <w:sz w:val="21"/>
                <w:szCs w:val="21"/>
              </w:rPr>
              <w:t>Ⅱ(严重的)</w:t>
            </w:r>
          </w:p>
        </w:tc>
        <w:tc>
          <w:tcPr>
            <w:tcW w:w="1668" w:type="dxa"/>
            <w:vAlign w:val="top"/>
          </w:tcPr>
          <w:p w14:paraId="64702237">
            <w:pPr>
              <w:spacing w:before="100" w:line="219" w:lineRule="auto"/>
              <w:ind w:left="306"/>
              <w:rPr>
                <w:rFonts w:ascii="宋体" w:hAnsi="宋体" w:eastAsia="宋体" w:cs="宋体"/>
                <w:sz w:val="21"/>
                <w:szCs w:val="21"/>
              </w:rPr>
            </w:pPr>
            <w:r>
              <w:rPr>
                <w:rFonts w:ascii="宋体" w:hAnsi="宋体" w:eastAsia="宋体" w:cs="宋体"/>
                <w:spacing w:val="7"/>
                <w:sz w:val="21"/>
                <w:szCs w:val="21"/>
              </w:rPr>
              <w:t>Ⅲ(轻度的)</w:t>
            </w:r>
          </w:p>
        </w:tc>
        <w:tc>
          <w:tcPr>
            <w:tcW w:w="2053" w:type="dxa"/>
            <w:vAlign w:val="top"/>
          </w:tcPr>
          <w:p w14:paraId="1E47BD31">
            <w:pPr>
              <w:spacing w:before="100" w:line="219" w:lineRule="auto"/>
              <w:ind w:left="498"/>
              <w:rPr>
                <w:rFonts w:ascii="宋体" w:hAnsi="宋体" w:eastAsia="宋体" w:cs="宋体"/>
                <w:sz w:val="21"/>
                <w:szCs w:val="21"/>
              </w:rPr>
            </w:pPr>
            <w:r>
              <w:rPr>
                <w:rFonts w:ascii="宋体" w:hAnsi="宋体" w:eastAsia="宋体" w:cs="宋体"/>
                <w:sz w:val="21"/>
                <w:szCs w:val="21"/>
              </w:rPr>
              <w:t>IV</w:t>
            </w:r>
            <w:r>
              <w:rPr>
                <w:rFonts w:ascii="宋体" w:hAnsi="宋体" w:eastAsia="宋体" w:cs="宋体"/>
                <w:spacing w:val="9"/>
                <w:sz w:val="21"/>
                <w:szCs w:val="21"/>
              </w:rPr>
              <w:t>(轻微的)</w:t>
            </w:r>
          </w:p>
        </w:tc>
      </w:tr>
      <w:tr w14:paraId="7F137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2292" w:type="dxa"/>
            <w:vAlign w:val="top"/>
          </w:tcPr>
          <w:p w14:paraId="0A02C158">
            <w:pPr>
              <w:spacing w:before="91" w:line="219" w:lineRule="auto"/>
              <w:ind w:left="764"/>
              <w:rPr>
                <w:rFonts w:ascii="宋体" w:hAnsi="宋体" w:eastAsia="宋体" w:cs="宋体"/>
                <w:sz w:val="21"/>
                <w:szCs w:val="21"/>
              </w:rPr>
            </w:pPr>
            <w:r>
              <w:rPr>
                <w:rFonts w:ascii="宋体" w:hAnsi="宋体" w:eastAsia="宋体" w:cs="宋体"/>
                <w:spacing w:val="10"/>
                <w:sz w:val="21"/>
                <w:szCs w:val="21"/>
              </w:rPr>
              <w:t>A(频繁)</w:t>
            </w:r>
          </w:p>
        </w:tc>
        <w:tc>
          <w:tcPr>
            <w:tcW w:w="1678" w:type="dxa"/>
            <w:vAlign w:val="top"/>
          </w:tcPr>
          <w:p w14:paraId="01062452">
            <w:pPr>
              <w:spacing w:before="144" w:line="184" w:lineRule="auto"/>
              <w:ind w:left="723"/>
              <w:rPr>
                <w:rFonts w:ascii="宋体" w:hAnsi="宋体" w:eastAsia="宋体" w:cs="宋体"/>
                <w:sz w:val="21"/>
                <w:szCs w:val="21"/>
              </w:rPr>
            </w:pPr>
            <w:r>
              <w:rPr>
                <w:rFonts w:ascii="宋体" w:hAnsi="宋体" w:eastAsia="宋体" w:cs="宋体"/>
                <w:spacing w:val="-6"/>
                <w:sz w:val="21"/>
                <w:szCs w:val="21"/>
              </w:rPr>
              <w:t>1A</w:t>
            </w:r>
          </w:p>
        </w:tc>
        <w:tc>
          <w:tcPr>
            <w:tcW w:w="1668" w:type="dxa"/>
            <w:vAlign w:val="top"/>
          </w:tcPr>
          <w:p w14:paraId="0CE556CA">
            <w:pPr>
              <w:spacing w:before="144" w:line="184" w:lineRule="auto"/>
              <w:ind w:left="724"/>
              <w:rPr>
                <w:rFonts w:ascii="宋体" w:hAnsi="宋体" w:eastAsia="宋体" w:cs="宋体"/>
                <w:sz w:val="21"/>
                <w:szCs w:val="21"/>
              </w:rPr>
            </w:pPr>
            <w:r>
              <w:rPr>
                <w:rFonts w:ascii="宋体" w:hAnsi="宋体" w:eastAsia="宋体" w:cs="宋体"/>
                <w:spacing w:val="-3"/>
                <w:sz w:val="21"/>
                <w:szCs w:val="21"/>
              </w:rPr>
              <w:t>2A</w:t>
            </w:r>
          </w:p>
        </w:tc>
        <w:tc>
          <w:tcPr>
            <w:tcW w:w="1668" w:type="dxa"/>
            <w:vAlign w:val="top"/>
          </w:tcPr>
          <w:p w14:paraId="0D27F0F2">
            <w:pPr>
              <w:spacing w:before="143" w:line="185" w:lineRule="auto"/>
              <w:ind w:left="726"/>
              <w:rPr>
                <w:rFonts w:ascii="宋体" w:hAnsi="宋体" w:eastAsia="宋体" w:cs="宋体"/>
                <w:sz w:val="21"/>
                <w:szCs w:val="21"/>
              </w:rPr>
            </w:pPr>
            <w:r>
              <w:rPr>
                <w:rFonts w:ascii="宋体" w:hAnsi="宋体" w:eastAsia="宋体" w:cs="宋体"/>
                <w:spacing w:val="-4"/>
                <w:sz w:val="21"/>
                <w:szCs w:val="21"/>
              </w:rPr>
              <w:t>3A</w:t>
            </w:r>
          </w:p>
        </w:tc>
        <w:tc>
          <w:tcPr>
            <w:tcW w:w="2053" w:type="dxa"/>
            <w:vAlign w:val="top"/>
          </w:tcPr>
          <w:p w14:paraId="6A294C2E">
            <w:pPr>
              <w:spacing w:before="144" w:line="184" w:lineRule="auto"/>
              <w:ind w:left="918"/>
              <w:rPr>
                <w:rFonts w:ascii="宋体" w:hAnsi="宋体" w:eastAsia="宋体" w:cs="宋体"/>
                <w:sz w:val="21"/>
                <w:szCs w:val="21"/>
              </w:rPr>
            </w:pPr>
            <w:r>
              <w:rPr>
                <w:rFonts w:ascii="宋体" w:hAnsi="宋体" w:eastAsia="宋体" w:cs="宋体"/>
                <w:spacing w:val="-2"/>
                <w:sz w:val="21"/>
                <w:szCs w:val="21"/>
              </w:rPr>
              <w:t>4A</w:t>
            </w:r>
          </w:p>
        </w:tc>
      </w:tr>
      <w:tr w14:paraId="6935A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292" w:type="dxa"/>
            <w:vAlign w:val="top"/>
          </w:tcPr>
          <w:p w14:paraId="3415D163">
            <w:pPr>
              <w:spacing w:before="103" w:line="220" w:lineRule="auto"/>
              <w:ind w:left="664"/>
              <w:rPr>
                <w:rFonts w:ascii="宋体" w:hAnsi="宋体" w:eastAsia="宋体" w:cs="宋体"/>
                <w:sz w:val="21"/>
                <w:szCs w:val="21"/>
              </w:rPr>
            </w:pPr>
            <w:r>
              <w:rPr>
                <w:rFonts w:ascii="宋体" w:hAnsi="宋体" w:eastAsia="宋体" w:cs="宋体"/>
                <w:spacing w:val="6"/>
                <w:sz w:val="21"/>
                <w:szCs w:val="21"/>
              </w:rPr>
              <w:t>B(很可能)</w:t>
            </w:r>
          </w:p>
        </w:tc>
        <w:tc>
          <w:tcPr>
            <w:tcW w:w="1678" w:type="dxa"/>
            <w:vAlign w:val="top"/>
          </w:tcPr>
          <w:p w14:paraId="0FB54FAF">
            <w:pPr>
              <w:spacing w:before="155" w:line="184" w:lineRule="auto"/>
              <w:ind w:left="723"/>
              <w:rPr>
                <w:rFonts w:ascii="宋体" w:hAnsi="宋体" w:eastAsia="宋体" w:cs="宋体"/>
                <w:sz w:val="21"/>
                <w:szCs w:val="21"/>
              </w:rPr>
            </w:pPr>
            <w:r>
              <w:rPr>
                <w:rFonts w:ascii="宋体" w:hAnsi="宋体" w:eastAsia="宋体" w:cs="宋体"/>
                <w:spacing w:val="-6"/>
                <w:sz w:val="21"/>
                <w:szCs w:val="21"/>
              </w:rPr>
              <w:t>1B</w:t>
            </w:r>
          </w:p>
        </w:tc>
        <w:tc>
          <w:tcPr>
            <w:tcW w:w="1668" w:type="dxa"/>
            <w:vAlign w:val="top"/>
          </w:tcPr>
          <w:p w14:paraId="28BC47D6">
            <w:pPr>
              <w:spacing w:before="156" w:line="183" w:lineRule="auto"/>
              <w:ind w:left="724"/>
              <w:rPr>
                <w:rFonts w:ascii="宋体" w:hAnsi="宋体" w:eastAsia="宋体" w:cs="宋体"/>
                <w:sz w:val="21"/>
                <w:szCs w:val="21"/>
              </w:rPr>
            </w:pPr>
            <w:r>
              <w:rPr>
                <w:rFonts w:ascii="宋体" w:hAnsi="宋体" w:eastAsia="宋体" w:cs="宋体"/>
                <w:spacing w:val="-3"/>
                <w:sz w:val="21"/>
                <w:szCs w:val="21"/>
              </w:rPr>
              <w:t>2B</w:t>
            </w:r>
          </w:p>
        </w:tc>
        <w:tc>
          <w:tcPr>
            <w:tcW w:w="1668" w:type="dxa"/>
            <w:vAlign w:val="top"/>
          </w:tcPr>
          <w:p w14:paraId="297A2472">
            <w:pPr>
              <w:spacing w:before="156" w:line="183" w:lineRule="auto"/>
              <w:ind w:left="726"/>
              <w:rPr>
                <w:rFonts w:ascii="宋体" w:hAnsi="宋体" w:eastAsia="宋体" w:cs="宋体"/>
                <w:sz w:val="21"/>
                <w:szCs w:val="21"/>
              </w:rPr>
            </w:pPr>
            <w:r>
              <w:rPr>
                <w:rFonts w:ascii="宋体" w:hAnsi="宋体" w:eastAsia="宋体" w:cs="宋体"/>
                <w:spacing w:val="-4"/>
                <w:sz w:val="21"/>
                <w:szCs w:val="21"/>
              </w:rPr>
              <w:t>3B</w:t>
            </w:r>
          </w:p>
        </w:tc>
        <w:tc>
          <w:tcPr>
            <w:tcW w:w="2053" w:type="dxa"/>
            <w:vAlign w:val="top"/>
          </w:tcPr>
          <w:p w14:paraId="5175A7B9">
            <w:pPr>
              <w:spacing w:before="156" w:line="183" w:lineRule="auto"/>
              <w:ind w:left="918"/>
              <w:rPr>
                <w:rFonts w:ascii="宋体" w:hAnsi="宋体" w:eastAsia="宋体" w:cs="宋体"/>
                <w:sz w:val="21"/>
                <w:szCs w:val="21"/>
              </w:rPr>
            </w:pPr>
            <w:r>
              <w:rPr>
                <w:rFonts w:ascii="宋体" w:hAnsi="宋体" w:eastAsia="宋体" w:cs="宋体"/>
                <w:spacing w:val="-2"/>
                <w:sz w:val="21"/>
                <w:szCs w:val="21"/>
              </w:rPr>
              <w:t>4B</w:t>
            </w:r>
          </w:p>
        </w:tc>
      </w:tr>
      <w:tr w14:paraId="30CBD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292" w:type="dxa"/>
            <w:vAlign w:val="top"/>
          </w:tcPr>
          <w:p w14:paraId="39366F71">
            <w:pPr>
              <w:spacing w:before="104" w:line="220" w:lineRule="auto"/>
              <w:ind w:left="764"/>
              <w:rPr>
                <w:rFonts w:ascii="宋体" w:hAnsi="宋体" w:eastAsia="宋体" w:cs="宋体"/>
                <w:sz w:val="21"/>
                <w:szCs w:val="21"/>
              </w:rPr>
            </w:pPr>
            <w:r>
              <w:rPr>
                <w:rFonts w:ascii="宋体" w:hAnsi="宋体" w:eastAsia="宋体" w:cs="宋体"/>
                <w:spacing w:val="10"/>
                <w:sz w:val="21"/>
                <w:szCs w:val="21"/>
              </w:rPr>
              <w:t>C(有时)</w:t>
            </w:r>
          </w:p>
        </w:tc>
        <w:tc>
          <w:tcPr>
            <w:tcW w:w="1678" w:type="dxa"/>
            <w:vAlign w:val="top"/>
          </w:tcPr>
          <w:p w14:paraId="6B1F05AD">
            <w:pPr>
              <w:spacing w:before="156" w:line="184" w:lineRule="auto"/>
              <w:ind w:left="723"/>
              <w:rPr>
                <w:rFonts w:ascii="宋体" w:hAnsi="宋体" w:eastAsia="宋体" w:cs="宋体"/>
                <w:sz w:val="21"/>
                <w:szCs w:val="21"/>
              </w:rPr>
            </w:pPr>
            <w:r>
              <w:rPr>
                <w:rFonts w:ascii="宋体" w:hAnsi="宋体" w:eastAsia="宋体" w:cs="宋体"/>
                <w:spacing w:val="-6"/>
                <w:sz w:val="21"/>
                <w:szCs w:val="21"/>
              </w:rPr>
              <w:t>1C</w:t>
            </w:r>
          </w:p>
        </w:tc>
        <w:tc>
          <w:tcPr>
            <w:tcW w:w="1668" w:type="dxa"/>
            <w:vAlign w:val="top"/>
          </w:tcPr>
          <w:p w14:paraId="03DC1956">
            <w:pPr>
              <w:spacing w:before="157" w:line="183" w:lineRule="auto"/>
              <w:ind w:left="724"/>
              <w:rPr>
                <w:rFonts w:ascii="宋体" w:hAnsi="宋体" w:eastAsia="宋体" w:cs="宋体"/>
                <w:sz w:val="21"/>
                <w:szCs w:val="21"/>
              </w:rPr>
            </w:pPr>
            <w:r>
              <w:rPr>
                <w:rFonts w:ascii="宋体" w:hAnsi="宋体" w:eastAsia="宋体" w:cs="宋体"/>
                <w:spacing w:val="-3"/>
                <w:sz w:val="21"/>
                <w:szCs w:val="21"/>
              </w:rPr>
              <w:t>2C</w:t>
            </w:r>
          </w:p>
        </w:tc>
        <w:tc>
          <w:tcPr>
            <w:tcW w:w="1668" w:type="dxa"/>
            <w:vAlign w:val="top"/>
          </w:tcPr>
          <w:p w14:paraId="7AFED79F">
            <w:pPr>
              <w:spacing w:before="157" w:line="183" w:lineRule="auto"/>
              <w:ind w:left="726"/>
              <w:rPr>
                <w:rFonts w:ascii="宋体" w:hAnsi="宋体" w:eastAsia="宋体" w:cs="宋体"/>
                <w:sz w:val="21"/>
                <w:szCs w:val="21"/>
              </w:rPr>
            </w:pPr>
            <w:r>
              <w:rPr>
                <w:rFonts w:ascii="宋体" w:hAnsi="宋体" w:eastAsia="宋体" w:cs="宋体"/>
                <w:spacing w:val="-4"/>
                <w:sz w:val="21"/>
                <w:szCs w:val="21"/>
              </w:rPr>
              <w:t>3C</w:t>
            </w:r>
          </w:p>
        </w:tc>
        <w:tc>
          <w:tcPr>
            <w:tcW w:w="2053" w:type="dxa"/>
            <w:vAlign w:val="top"/>
          </w:tcPr>
          <w:p w14:paraId="617C0EB8">
            <w:pPr>
              <w:spacing w:before="157" w:line="183" w:lineRule="auto"/>
              <w:ind w:left="918"/>
              <w:rPr>
                <w:rFonts w:ascii="宋体" w:hAnsi="宋体" w:eastAsia="宋体" w:cs="宋体"/>
                <w:sz w:val="21"/>
                <w:szCs w:val="21"/>
              </w:rPr>
            </w:pPr>
            <w:r>
              <w:rPr>
                <w:rFonts w:ascii="宋体" w:hAnsi="宋体" w:eastAsia="宋体" w:cs="宋体"/>
                <w:spacing w:val="-2"/>
                <w:sz w:val="21"/>
                <w:szCs w:val="21"/>
              </w:rPr>
              <w:t>4C</w:t>
            </w:r>
          </w:p>
        </w:tc>
      </w:tr>
      <w:tr w14:paraId="6A351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92" w:type="dxa"/>
            <w:vAlign w:val="top"/>
          </w:tcPr>
          <w:p w14:paraId="1426058D">
            <w:pPr>
              <w:spacing w:before="105" w:line="220" w:lineRule="auto"/>
              <w:ind w:left="764"/>
              <w:rPr>
                <w:rFonts w:ascii="宋体" w:hAnsi="宋体" w:eastAsia="宋体" w:cs="宋体"/>
                <w:sz w:val="21"/>
                <w:szCs w:val="21"/>
              </w:rPr>
            </w:pPr>
            <w:r>
              <w:rPr>
                <w:rFonts w:ascii="宋体" w:hAnsi="宋体" w:eastAsia="宋体" w:cs="宋体"/>
                <w:spacing w:val="10"/>
                <w:sz w:val="21"/>
                <w:szCs w:val="21"/>
              </w:rPr>
              <w:t>D(极少)</w:t>
            </w:r>
          </w:p>
        </w:tc>
        <w:tc>
          <w:tcPr>
            <w:tcW w:w="1678" w:type="dxa"/>
            <w:vAlign w:val="top"/>
          </w:tcPr>
          <w:p w14:paraId="714F7BD0">
            <w:pPr>
              <w:spacing w:before="157" w:line="184" w:lineRule="auto"/>
              <w:ind w:left="723"/>
              <w:rPr>
                <w:rFonts w:ascii="宋体" w:hAnsi="宋体" w:eastAsia="宋体" w:cs="宋体"/>
                <w:sz w:val="21"/>
                <w:szCs w:val="21"/>
              </w:rPr>
            </w:pPr>
            <w:r>
              <w:rPr>
                <w:rFonts w:ascii="宋体" w:hAnsi="宋体" w:eastAsia="宋体" w:cs="宋体"/>
                <w:spacing w:val="-6"/>
                <w:sz w:val="21"/>
                <w:szCs w:val="21"/>
              </w:rPr>
              <w:t>1D</w:t>
            </w:r>
          </w:p>
        </w:tc>
        <w:tc>
          <w:tcPr>
            <w:tcW w:w="1668" w:type="dxa"/>
            <w:vAlign w:val="top"/>
          </w:tcPr>
          <w:p w14:paraId="38335B93">
            <w:pPr>
              <w:spacing w:before="158" w:line="183" w:lineRule="auto"/>
              <w:ind w:left="724"/>
              <w:rPr>
                <w:rFonts w:ascii="宋体" w:hAnsi="宋体" w:eastAsia="宋体" w:cs="宋体"/>
                <w:sz w:val="21"/>
                <w:szCs w:val="21"/>
              </w:rPr>
            </w:pPr>
            <w:r>
              <w:rPr>
                <w:rFonts w:ascii="宋体" w:hAnsi="宋体" w:eastAsia="宋体" w:cs="宋体"/>
                <w:spacing w:val="-3"/>
                <w:sz w:val="21"/>
                <w:szCs w:val="21"/>
              </w:rPr>
              <w:t>2D</w:t>
            </w:r>
          </w:p>
        </w:tc>
        <w:tc>
          <w:tcPr>
            <w:tcW w:w="1668" w:type="dxa"/>
            <w:vAlign w:val="top"/>
          </w:tcPr>
          <w:p w14:paraId="4735B96B">
            <w:pPr>
              <w:spacing w:before="158" w:line="183" w:lineRule="auto"/>
              <w:ind w:left="726"/>
              <w:rPr>
                <w:rFonts w:ascii="宋体" w:hAnsi="宋体" w:eastAsia="宋体" w:cs="宋体"/>
                <w:sz w:val="21"/>
                <w:szCs w:val="21"/>
              </w:rPr>
            </w:pPr>
            <w:r>
              <w:rPr>
                <w:rFonts w:ascii="宋体" w:hAnsi="宋体" w:eastAsia="宋体" w:cs="宋体"/>
                <w:spacing w:val="-4"/>
                <w:sz w:val="21"/>
                <w:szCs w:val="21"/>
              </w:rPr>
              <w:t>3D</w:t>
            </w:r>
          </w:p>
        </w:tc>
        <w:tc>
          <w:tcPr>
            <w:tcW w:w="2053" w:type="dxa"/>
            <w:vAlign w:val="top"/>
          </w:tcPr>
          <w:p w14:paraId="31C29BBF">
            <w:pPr>
              <w:spacing w:before="158" w:line="183" w:lineRule="auto"/>
              <w:ind w:left="918"/>
              <w:rPr>
                <w:rFonts w:ascii="宋体" w:hAnsi="宋体" w:eastAsia="宋体" w:cs="宋体"/>
                <w:sz w:val="21"/>
                <w:szCs w:val="21"/>
              </w:rPr>
            </w:pPr>
            <w:r>
              <w:rPr>
                <w:rFonts w:ascii="宋体" w:hAnsi="宋体" w:eastAsia="宋体" w:cs="宋体"/>
                <w:spacing w:val="-2"/>
                <w:sz w:val="21"/>
                <w:szCs w:val="21"/>
              </w:rPr>
              <w:t>4D</w:t>
            </w:r>
          </w:p>
        </w:tc>
      </w:tr>
      <w:tr w14:paraId="2CC59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292" w:type="dxa"/>
            <w:vAlign w:val="top"/>
          </w:tcPr>
          <w:p w14:paraId="448BA7DF">
            <w:pPr>
              <w:spacing w:before="107" w:line="221" w:lineRule="auto"/>
              <w:ind w:left="664"/>
              <w:rPr>
                <w:rFonts w:ascii="宋体" w:hAnsi="宋体" w:eastAsia="宋体" w:cs="宋体"/>
                <w:sz w:val="21"/>
                <w:szCs w:val="21"/>
              </w:rPr>
            </w:pPr>
            <w:r>
              <w:rPr>
                <w:rFonts w:ascii="宋体" w:hAnsi="宋体" w:eastAsia="宋体" w:cs="宋体"/>
                <w:spacing w:val="6"/>
                <w:sz w:val="21"/>
                <w:szCs w:val="21"/>
              </w:rPr>
              <w:t>E(不可能)</w:t>
            </w:r>
          </w:p>
        </w:tc>
        <w:tc>
          <w:tcPr>
            <w:tcW w:w="1678" w:type="dxa"/>
            <w:vAlign w:val="top"/>
          </w:tcPr>
          <w:p w14:paraId="0B51ED44">
            <w:pPr>
              <w:spacing w:before="159" w:line="184" w:lineRule="auto"/>
              <w:ind w:left="723"/>
              <w:rPr>
                <w:rFonts w:ascii="宋体" w:hAnsi="宋体" w:eastAsia="宋体" w:cs="宋体"/>
                <w:sz w:val="21"/>
                <w:szCs w:val="21"/>
              </w:rPr>
            </w:pPr>
            <w:r>
              <w:rPr>
                <w:rFonts w:ascii="宋体" w:hAnsi="宋体" w:eastAsia="宋体" w:cs="宋体"/>
                <w:spacing w:val="-6"/>
                <w:sz w:val="21"/>
                <w:szCs w:val="21"/>
              </w:rPr>
              <w:t>1E</w:t>
            </w:r>
          </w:p>
        </w:tc>
        <w:tc>
          <w:tcPr>
            <w:tcW w:w="1668" w:type="dxa"/>
            <w:vAlign w:val="top"/>
          </w:tcPr>
          <w:p w14:paraId="1C043E12">
            <w:pPr>
              <w:spacing w:before="160" w:line="183" w:lineRule="auto"/>
              <w:ind w:left="724"/>
              <w:rPr>
                <w:rFonts w:ascii="宋体" w:hAnsi="宋体" w:eastAsia="宋体" w:cs="宋体"/>
                <w:sz w:val="21"/>
                <w:szCs w:val="21"/>
              </w:rPr>
            </w:pPr>
            <w:r>
              <w:rPr>
                <w:rFonts w:ascii="宋体" w:hAnsi="宋体" w:eastAsia="宋体" w:cs="宋体"/>
                <w:spacing w:val="-3"/>
                <w:sz w:val="21"/>
                <w:szCs w:val="21"/>
              </w:rPr>
              <w:t>2E</w:t>
            </w:r>
          </w:p>
        </w:tc>
        <w:tc>
          <w:tcPr>
            <w:tcW w:w="1668" w:type="dxa"/>
            <w:vAlign w:val="top"/>
          </w:tcPr>
          <w:p w14:paraId="02D120C1">
            <w:pPr>
              <w:spacing w:before="160" w:line="183" w:lineRule="auto"/>
              <w:ind w:left="726"/>
              <w:rPr>
                <w:rFonts w:ascii="宋体" w:hAnsi="宋体" w:eastAsia="宋体" w:cs="宋体"/>
                <w:sz w:val="21"/>
                <w:szCs w:val="21"/>
              </w:rPr>
            </w:pPr>
            <w:r>
              <w:rPr>
                <w:rFonts w:ascii="宋体" w:hAnsi="宋体" w:eastAsia="宋体" w:cs="宋体"/>
                <w:spacing w:val="-4"/>
                <w:sz w:val="21"/>
                <w:szCs w:val="21"/>
              </w:rPr>
              <w:t>3E</w:t>
            </w:r>
          </w:p>
        </w:tc>
        <w:tc>
          <w:tcPr>
            <w:tcW w:w="2053" w:type="dxa"/>
            <w:vAlign w:val="top"/>
          </w:tcPr>
          <w:p w14:paraId="46EA39CC">
            <w:pPr>
              <w:spacing w:before="160" w:line="183" w:lineRule="auto"/>
              <w:ind w:left="918"/>
              <w:rPr>
                <w:rFonts w:ascii="宋体" w:hAnsi="宋体" w:eastAsia="宋体" w:cs="宋体"/>
                <w:sz w:val="21"/>
                <w:szCs w:val="21"/>
              </w:rPr>
            </w:pPr>
            <w:r>
              <w:rPr>
                <w:rFonts w:ascii="宋体" w:hAnsi="宋体" w:eastAsia="宋体" w:cs="宋体"/>
                <w:spacing w:val="-2"/>
                <w:sz w:val="21"/>
                <w:szCs w:val="21"/>
              </w:rPr>
              <w:t>4E</w:t>
            </w:r>
          </w:p>
        </w:tc>
      </w:tr>
    </w:tbl>
    <w:p w14:paraId="2D5DBC4A">
      <w:pPr>
        <w:spacing w:line="194" w:lineRule="exact"/>
      </w:pPr>
    </w:p>
    <w:tbl>
      <w:tblPr>
        <w:tblStyle w:val="5"/>
        <w:tblW w:w="6289" w:type="dxa"/>
        <w:tblInd w:w="2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02"/>
        <w:gridCol w:w="3587"/>
      </w:tblGrid>
      <w:tr w14:paraId="00FA3F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 w:hRule="atLeast"/>
        </w:trPr>
        <w:tc>
          <w:tcPr>
            <w:tcW w:w="2702" w:type="dxa"/>
            <w:vAlign w:val="top"/>
          </w:tcPr>
          <w:p w14:paraId="0FE589DF">
            <w:pPr>
              <w:spacing w:before="9" w:line="219" w:lineRule="auto"/>
              <w:rPr>
                <w:rFonts w:ascii="宋体" w:hAnsi="宋体" w:eastAsia="宋体" w:cs="宋体"/>
                <w:sz w:val="22"/>
                <w:szCs w:val="22"/>
              </w:rPr>
            </w:pPr>
            <w:r>
              <w:rPr>
                <w:rFonts w:ascii="宋体" w:hAnsi="宋体" w:eastAsia="宋体" w:cs="宋体"/>
                <w:spacing w:val="15"/>
                <w:sz w:val="22"/>
                <w:szCs w:val="22"/>
              </w:rPr>
              <w:t>危险的风险指数</w:t>
            </w:r>
          </w:p>
        </w:tc>
        <w:tc>
          <w:tcPr>
            <w:tcW w:w="3587" w:type="dxa"/>
            <w:vAlign w:val="top"/>
          </w:tcPr>
          <w:p w14:paraId="68EB1C3D">
            <w:pPr>
              <w:spacing w:line="220" w:lineRule="auto"/>
              <w:ind w:left="878"/>
              <w:rPr>
                <w:rFonts w:ascii="宋体" w:hAnsi="宋体" w:eastAsia="宋体" w:cs="宋体"/>
                <w:sz w:val="22"/>
                <w:szCs w:val="22"/>
              </w:rPr>
            </w:pPr>
            <w:r>
              <w:rPr>
                <w:rFonts w:ascii="宋体" w:hAnsi="宋体" w:eastAsia="宋体" w:cs="宋体"/>
                <w:spacing w:val="13"/>
                <w:sz w:val="22"/>
                <w:szCs w:val="22"/>
              </w:rPr>
              <w:t>建议的准则</w:t>
            </w:r>
          </w:p>
        </w:tc>
      </w:tr>
      <w:tr w14:paraId="455AAE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2702" w:type="dxa"/>
            <w:vAlign w:val="top"/>
          </w:tcPr>
          <w:p w14:paraId="472AB3D6">
            <w:pPr>
              <w:spacing w:before="67" w:line="18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1A,1B,1C,2A,2B,3A</w:t>
            </w:r>
          </w:p>
        </w:tc>
        <w:tc>
          <w:tcPr>
            <w:tcW w:w="3587" w:type="dxa"/>
            <w:vAlign w:val="top"/>
          </w:tcPr>
          <w:p w14:paraId="59FE9C6F">
            <w:pPr>
              <w:spacing w:before="74" w:line="221" w:lineRule="auto"/>
              <w:ind w:left="878"/>
              <w:rPr>
                <w:rFonts w:ascii="宋体" w:hAnsi="宋体" w:eastAsia="宋体" w:cs="宋体"/>
                <w:sz w:val="22"/>
                <w:szCs w:val="22"/>
              </w:rPr>
            </w:pPr>
            <w:r>
              <w:rPr>
                <w:rFonts w:ascii="宋体" w:hAnsi="宋体" w:eastAsia="宋体" w:cs="宋体"/>
                <w:spacing w:val="17"/>
                <w:sz w:val="22"/>
                <w:szCs w:val="22"/>
              </w:rPr>
              <w:t>不可接受</w:t>
            </w:r>
          </w:p>
        </w:tc>
      </w:tr>
      <w:tr w14:paraId="2F9F0C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94" w:hRule="atLeast"/>
        </w:trPr>
        <w:tc>
          <w:tcPr>
            <w:tcW w:w="2702" w:type="dxa"/>
            <w:vAlign w:val="top"/>
          </w:tcPr>
          <w:p w14:paraId="453B648B">
            <w:pPr>
              <w:spacing w:before="68" w:line="18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1D,2C,2D,3B,3C</w:t>
            </w:r>
          </w:p>
          <w:p w14:paraId="7838FDBD">
            <w:pPr>
              <w:spacing w:before="161" w:line="264" w:lineRule="auto"/>
              <w:ind w:right="92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1E,2E,3D,3E,4A,4B</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4C,4D,4E</w:t>
            </w:r>
          </w:p>
        </w:tc>
        <w:tc>
          <w:tcPr>
            <w:tcW w:w="3587" w:type="dxa"/>
            <w:vAlign w:val="top"/>
          </w:tcPr>
          <w:p w14:paraId="079A63E5">
            <w:pPr>
              <w:spacing w:before="64" w:line="298" w:lineRule="auto"/>
              <w:ind w:left="878"/>
              <w:rPr>
                <w:rFonts w:ascii="宋体" w:hAnsi="宋体" w:eastAsia="宋体" w:cs="宋体"/>
                <w:sz w:val="22"/>
                <w:szCs w:val="22"/>
              </w:rPr>
            </w:pPr>
            <w:r>
              <w:rPr>
                <w:rFonts w:ascii="宋体" w:hAnsi="宋体" w:eastAsia="宋体" w:cs="宋体"/>
                <w:spacing w:val="5"/>
                <w:sz w:val="22"/>
                <w:szCs w:val="22"/>
              </w:rPr>
              <w:t>不希望有的，需订购方决策</w:t>
            </w:r>
            <w:r>
              <w:rPr>
                <w:rFonts w:ascii="宋体" w:hAnsi="宋体" w:eastAsia="宋体" w:cs="宋体"/>
                <w:spacing w:val="7"/>
                <w:sz w:val="22"/>
                <w:szCs w:val="22"/>
              </w:rPr>
              <w:t xml:space="preserve"> </w:t>
            </w:r>
            <w:r>
              <w:rPr>
                <w:rFonts w:ascii="宋体" w:hAnsi="宋体" w:eastAsia="宋体" w:cs="宋体"/>
                <w:spacing w:val="16"/>
                <w:sz w:val="22"/>
                <w:szCs w:val="22"/>
              </w:rPr>
              <w:t>订购方评审后可接受</w:t>
            </w:r>
          </w:p>
          <w:p w14:paraId="1D5F8327">
            <w:pPr>
              <w:spacing w:line="175" w:lineRule="auto"/>
              <w:ind w:left="878"/>
              <w:rPr>
                <w:rFonts w:ascii="宋体" w:hAnsi="宋体" w:eastAsia="宋体" w:cs="宋体"/>
                <w:sz w:val="22"/>
                <w:szCs w:val="22"/>
              </w:rPr>
            </w:pPr>
            <w:r>
              <w:rPr>
                <w:rFonts w:ascii="宋体" w:hAnsi="宋体" w:eastAsia="宋体" w:cs="宋体"/>
                <w:spacing w:val="15"/>
                <w:sz w:val="22"/>
                <w:szCs w:val="22"/>
              </w:rPr>
              <w:t>不评审即可接受</w:t>
            </w:r>
          </w:p>
        </w:tc>
      </w:tr>
    </w:tbl>
    <w:p w14:paraId="519C5919">
      <w:pPr>
        <w:pStyle w:val="2"/>
        <w:spacing w:before="149" w:line="281" w:lineRule="auto"/>
        <w:ind w:right="43" w:firstLine="570"/>
        <w:jc w:val="both"/>
      </w:pPr>
      <w:r>
        <w:rPr>
          <w:spacing w:val="9"/>
        </w:rPr>
        <w:t>表11.6中，风险指数1到20的确定是稍带有任意性的，这张表的设计对每</w:t>
      </w:r>
      <w:r>
        <w:t xml:space="preserve"> </w:t>
      </w:r>
      <w:r>
        <w:rPr>
          <w:spacing w:val="5"/>
        </w:rPr>
        <w:t>一种危险可能性和严重性组合都给出了不同的指数，这样可以避免在</w:t>
      </w:r>
      <w:r>
        <w:rPr>
          <w:spacing w:val="4"/>
        </w:rPr>
        <w:t>把指数作</w:t>
      </w:r>
      <w:r>
        <w:t xml:space="preserve"> </w:t>
      </w:r>
      <w:r>
        <w:rPr>
          <w:spacing w:val="8"/>
        </w:rPr>
        <w:t>为危险的可能性和严重性等级数字乘积的情况下出现相同的结果，例如2×6=</w:t>
      </w:r>
      <w:r>
        <w:rPr>
          <w:spacing w:val="13"/>
        </w:rPr>
        <w:t xml:space="preserve"> </w:t>
      </w:r>
      <w:r>
        <w:rPr>
          <w:spacing w:val="5"/>
        </w:rPr>
        <w:t>3×4=4×3。这两个表只是风险评价方法的例样，不一定适</w:t>
      </w:r>
      <w:r>
        <w:rPr>
          <w:spacing w:val="4"/>
        </w:rPr>
        <w:t>合所有的产品。</w:t>
      </w:r>
    </w:p>
    <w:p w14:paraId="09D01CB0">
      <w:pPr>
        <w:spacing w:before="16" w:line="222" w:lineRule="auto"/>
        <w:ind w:left="2800"/>
        <w:rPr>
          <w:rFonts w:ascii="仿宋" w:hAnsi="仿宋" w:eastAsia="仿宋" w:cs="仿宋"/>
          <w:sz w:val="24"/>
          <w:szCs w:val="24"/>
        </w:rPr>
      </w:pPr>
      <w:r>
        <w:rPr>
          <w:rFonts w:ascii="仿宋" w:hAnsi="仿宋" w:eastAsia="仿宋" w:cs="仿宋"/>
          <w:spacing w:val="28"/>
          <w:sz w:val="24"/>
          <w:szCs w:val="24"/>
        </w:rPr>
        <w:t>表11</w:t>
      </w:r>
      <w:r>
        <w:rPr>
          <w:rFonts w:ascii="仿宋" w:hAnsi="仿宋" w:eastAsia="仿宋" w:cs="仿宋"/>
          <w:spacing w:val="-47"/>
          <w:sz w:val="24"/>
          <w:szCs w:val="24"/>
        </w:rPr>
        <w:t xml:space="preserve"> </w:t>
      </w:r>
      <w:r>
        <w:rPr>
          <w:rFonts w:ascii="仿宋" w:hAnsi="仿宋" w:eastAsia="仿宋" w:cs="仿宋"/>
          <w:spacing w:val="28"/>
          <w:sz w:val="24"/>
          <w:szCs w:val="24"/>
        </w:rPr>
        <w:t>.</w:t>
      </w:r>
      <w:r>
        <w:rPr>
          <w:rFonts w:ascii="仿宋" w:hAnsi="仿宋" w:eastAsia="仿宋" w:cs="仿宋"/>
          <w:spacing w:val="-65"/>
          <w:sz w:val="24"/>
          <w:szCs w:val="24"/>
        </w:rPr>
        <w:t xml:space="preserve"> </w:t>
      </w:r>
      <w:r>
        <w:rPr>
          <w:rFonts w:ascii="仿宋" w:hAnsi="仿宋" w:eastAsia="仿宋" w:cs="仿宋"/>
          <w:spacing w:val="28"/>
          <w:sz w:val="24"/>
          <w:szCs w:val="24"/>
        </w:rPr>
        <w:t>6  危险的风险评价表例2</w:t>
      </w:r>
    </w:p>
    <w:p w14:paraId="5B79608D">
      <w:pPr>
        <w:spacing w:line="118" w:lineRule="exact"/>
      </w:pPr>
    </w:p>
    <w:tbl>
      <w:tblPr>
        <w:tblStyle w:val="5"/>
        <w:tblW w:w="936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92"/>
        <w:gridCol w:w="1678"/>
        <w:gridCol w:w="1678"/>
        <w:gridCol w:w="1668"/>
        <w:gridCol w:w="2053"/>
      </w:tblGrid>
      <w:tr w14:paraId="53AE1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2292" w:type="dxa"/>
            <w:vMerge w:val="restart"/>
            <w:tcBorders>
              <w:bottom w:val="nil"/>
            </w:tcBorders>
            <w:vAlign w:val="top"/>
          </w:tcPr>
          <w:p w14:paraId="6F6BE807">
            <w:pPr>
              <w:pStyle w:val="6"/>
              <w:spacing w:line="244" w:lineRule="auto"/>
            </w:pPr>
          </w:p>
          <w:p w14:paraId="232244BF">
            <w:pPr>
              <w:spacing w:before="68" w:line="219" w:lineRule="auto"/>
              <w:ind w:left="404"/>
              <w:rPr>
                <w:rFonts w:ascii="宋体" w:hAnsi="宋体" w:eastAsia="宋体" w:cs="宋体"/>
                <w:sz w:val="21"/>
                <w:szCs w:val="21"/>
              </w:rPr>
            </w:pPr>
            <w:r>
              <w:rPr>
                <w:rFonts w:ascii="宋体" w:hAnsi="宋体" w:eastAsia="宋体" w:cs="宋体"/>
                <w:spacing w:val="1"/>
                <w:sz w:val="21"/>
                <w:szCs w:val="21"/>
              </w:rPr>
              <w:t>危险可能性等级</w:t>
            </w:r>
          </w:p>
        </w:tc>
        <w:tc>
          <w:tcPr>
            <w:tcW w:w="7077" w:type="dxa"/>
            <w:gridSpan w:val="4"/>
            <w:vAlign w:val="top"/>
          </w:tcPr>
          <w:p w14:paraId="298DA0D1">
            <w:pPr>
              <w:spacing w:before="103" w:line="219" w:lineRule="auto"/>
              <w:ind w:left="2792"/>
              <w:rPr>
                <w:rFonts w:ascii="宋体" w:hAnsi="宋体" w:eastAsia="宋体" w:cs="宋体"/>
                <w:sz w:val="21"/>
                <w:szCs w:val="21"/>
              </w:rPr>
            </w:pPr>
            <w:r>
              <w:rPr>
                <w:rFonts w:ascii="宋体" w:hAnsi="宋体" w:eastAsia="宋体" w:cs="宋体"/>
                <w:spacing w:val="1"/>
                <w:sz w:val="21"/>
                <w:szCs w:val="21"/>
              </w:rPr>
              <w:t>危险严重性等级</w:t>
            </w:r>
          </w:p>
        </w:tc>
      </w:tr>
      <w:tr w14:paraId="31627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292" w:type="dxa"/>
            <w:vMerge w:val="continue"/>
            <w:tcBorders>
              <w:top w:val="nil"/>
            </w:tcBorders>
            <w:vAlign w:val="top"/>
          </w:tcPr>
          <w:p w14:paraId="7892CFD0">
            <w:pPr>
              <w:pStyle w:val="6"/>
            </w:pPr>
          </w:p>
        </w:tc>
        <w:tc>
          <w:tcPr>
            <w:tcW w:w="1678" w:type="dxa"/>
            <w:vAlign w:val="top"/>
          </w:tcPr>
          <w:p w14:paraId="7DB5F450">
            <w:pPr>
              <w:spacing w:before="100" w:line="221" w:lineRule="auto"/>
              <w:ind w:left="352"/>
              <w:rPr>
                <w:rFonts w:ascii="宋体" w:hAnsi="宋体" w:eastAsia="宋体" w:cs="宋体"/>
                <w:sz w:val="21"/>
                <w:szCs w:val="21"/>
              </w:rPr>
            </w:pPr>
            <w:r>
              <w:rPr>
                <w:rFonts w:ascii="宋体" w:hAnsi="宋体" w:eastAsia="宋体" w:cs="宋体"/>
                <w:spacing w:val="8"/>
                <w:sz w:val="21"/>
                <w:szCs w:val="21"/>
              </w:rPr>
              <w:t>I(灾难的)</w:t>
            </w:r>
          </w:p>
        </w:tc>
        <w:tc>
          <w:tcPr>
            <w:tcW w:w="1678" w:type="dxa"/>
            <w:vAlign w:val="top"/>
          </w:tcPr>
          <w:p w14:paraId="544437A1">
            <w:pPr>
              <w:spacing w:before="100" w:line="220" w:lineRule="auto"/>
              <w:ind w:left="304"/>
              <w:rPr>
                <w:rFonts w:ascii="宋体" w:hAnsi="宋体" w:eastAsia="宋体" w:cs="宋体"/>
                <w:sz w:val="21"/>
                <w:szCs w:val="21"/>
              </w:rPr>
            </w:pPr>
            <w:r>
              <w:rPr>
                <w:rFonts w:ascii="宋体" w:hAnsi="宋体" w:eastAsia="宋体" w:cs="宋体"/>
                <w:spacing w:val="7"/>
                <w:sz w:val="21"/>
                <w:szCs w:val="21"/>
              </w:rPr>
              <w:t>Ⅱ(严重的)</w:t>
            </w:r>
          </w:p>
        </w:tc>
        <w:tc>
          <w:tcPr>
            <w:tcW w:w="1668" w:type="dxa"/>
            <w:vAlign w:val="top"/>
          </w:tcPr>
          <w:p w14:paraId="5B1A4B4D">
            <w:pPr>
              <w:spacing w:before="99" w:line="219" w:lineRule="auto"/>
              <w:ind w:left="307"/>
              <w:rPr>
                <w:rFonts w:ascii="宋体" w:hAnsi="宋体" w:eastAsia="宋体" w:cs="宋体"/>
                <w:sz w:val="21"/>
                <w:szCs w:val="21"/>
              </w:rPr>
            </w:pPr>
            <w:r>
              <w:rPr>
                <w:rFonts w:ascii="宋体" w:hAnsi="宋体" w:eastAsia="宋体" w:cs="宋体"/>
                <w:spacing w:val="7"/>
                <w:sz w:val="21"/>
                <w:szCs w:val="21"/>
              </w:rPr>
              <w:t>Ⅲ(轻度的)</w:t>
            </w:r>
          </w:p>
        </w:tc>
        <w:tc>
          <w:tcPr>
            <w:tcW w:w="2053" w:type="dxa"/>
            <w:vAlign w:val="top"/>
          </w:tcPr>
          <w:p w14:paraId="224EF278">
            <w:pPr>
              <w:spacing w:before="99" w:line="219" w:lineRule="auto"/>
              <w:ind w:left="498"/>
              <w:rPr>
                <w:rFonts w:ascii="宋体" w:hAnsi="宋体" w:eastAsia="宋体" w:cs="宋体"/>
                <w:sz w:val="21"/>
                <w:szCs w:val="21"/>
              </w:rPr>
            </w:pPr>
            <w:r>
              <w:rPr>
                <w:rFonts w:ascii="宋体" w:hAnsi="宋体" w:eastAsia="宋体" w:cs="宋体"/>
                <w:sz w:val="21"/>
                <w:szCs w:val="21"/>
              </w:rPr>
              <w:t>IV</w:t>
            </w:r>
            <w:r>
              <w:rPr>
                <w:rFonts w:ascii="宋体" w:hAnsi="宋体" w:eastAsia="宋体" w:cs="宋体"/>
                <w:spacing w:val="9"/>
                <w:sz w:val="21"/>
                <w:szCs w:val="21"/>
              </w:rPr>
              <w:t>(轻微的)</w:t>
            </w:r>
          </w:p>
        </w:tc>
      </w:tr>
      <w:tr w14:paraId="1889D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292" w:type="dxa"/>
            <w:vAlign w:val="top"/>
          </w:tcPr>
          <w:p w14:paraId="233ACF8C">
            <w:pPr>
              <w:spacing w:before="100" w:line="219" w:lineRule="auto"/>
              <w:ind w:left="764"/>
              <w:rPr>
                <w:rFonts w:ascii="宋体" w:hAnsi="宋体" w:eastAsia="宋体" w:cs="宋体"/>
                <w:sz w:val="21"/>
                <w:szCs w:val="21"/>
              </w:rPr>
            </w:pPr>
            <w:r>
              <w:rPr>
                <w:rFonts w:ascii="宋体" w:hAnsi="宋体" w:eastAsia="宋体" w:cs="宋体"/>
                <w:spacing w:val="10"/>
                <w:sz w:val="21"/>
                <w:szCs w:val="21"/>
              </w:rPr>
              <w:t>A(频繁)</w:t>
            </w:r>
          </w:p>
        </w:tc>
        <w:tc>
          <w:tcPr>
            <w:tcW w:w="1678" w:type="dxa"/>
            <w:vAlign w:val="top"/>
          </w:tcPr>
          <w:p w14:paraId="6AD6F7A1">
            <w:pPr>
              <w:spacing w:before="121" w:line="241" w:lineRule="auto"/>
              <w:ind w:left="772"/>
              <w:rPr>
                <w:rFonts w:ascii="宋体" w:hAnsi="宋体" w:eastAsia="宋体" w:cs="宋体"/>
                <w:sz w:val="21"/>
                <w:szCs w:val="21"/>
              </w:rPr>
            </w:pPr>
            <w:r>
              <w:rPr>
                <w:rFonts w:ascii="宋体" w:hAnsi="宋体" w:eastAsia="宋体" w:cs="宋体"/>
                <w:sz w:val="21"/>
                <w:szCs w:val="21"/>
              </w:rPr>
              <w:t>1</w:t>
            </w:r>
          </w:p>
        </w:tc>
        <w:tc>
          <w:tcPr>
            <w:tcW w:w="1678" w:type="dxa"/>
            <w:vAlign w:val="top"/>
          </w:tcPr>
          <w:p w14:paraId="6193CD30">
            <w:pPr>
              <w:spacing w:before="121"/>
              <w:ind w:left="774"/>
              <w:rPr>
                <w:rFonts w:ascii="宋体" w:hAnsi="宋体" w:eastAsia="宋体" w:cs="宋体"/>
                <w:sz w:val="21"/>
                <w:szCs w:val="21"/>
              </w:rPr>
            </w:pPr>
            <w:r>
              <w:rPr>
                <w:rFonts w:ascii="宋体" w:hAnsi="宋体" w:eastAsia="宋体" w:cs="宋体"/>
                <w:sz w:val="21"/>
                <w:szCs w:val="21"/>
              </w:rPr>
              <w:t>3</w:t>
            </w:r>
          </w:p>
        </w:tc>
        <w:tc>
          <w:tcPr>
            <w:tcW w:w="1668" w:type="dxa"/>
            <w:vAlign w:val="top"/>
          </w:tcPr>
          <w:p w14:paraId="615A98D3">
            <w:pPr>
              <w:spacing w:before="121"/>
              <w:ind w:left="776"/>
              <w:rPr>
                <w:rFonts w:ascii="宋体" w:hAnsi="宋体" w:eastAsia="宋体" w:cs="宋体"/>
                <w:sz w:val="21"/>
                <w:szCs w:val="21"/>
              </w:rPr>
            </w:pPr>
            <w:r>
              <w:rPr>
                <w:rFonts w:ascii="宋体" w:hAnsi="宋体" w:eastAsia="宋体" w:cs="宋体"/>
                <w:sz w:val="21"/>
                <w:szCs w:val="21"/>
              </w:rPr>
              <w:t>7</w:t>
            </w:r>
          </w:p>
        </w:tc>
        <w:tc>
          <w:tcPr>
            <w:tcW w:w="2053" w:type="dxa"/>
            <w:vAlign w:val="top"/>
          </w:tcPr>
          <w:p w14:paraId="35719182">
            <w:pPr>
              <w:spacing w:before="121"/>
              <w:ind w:left="918"/>
              <w:rPr>
                <w:rFonts w:ascii="宋体" w:hAnsi="宋体" w:eastAsia="宋体" w:cs="宋体"/>
                <w:sz w:val="21"/>
                <w:szCs w:val="21"/>
              </w:rPr>
            </w:pPr>
            <w:r>
              <w:rPr>
                <w:rFonts w:ascii="宋体" w:hAnsi="宋体" w:eastAsia="宋体" w:cs="宋体"/>
                <w:spacing w:val="-6"/>
                <w:sz w:val="21"/>
                <w:szCs w:val="21"/>
              </w:rPr>
              <w:t>13</w:t>
            </w:r>
          </w:p>
        </w:tc>
      </w:tr>
      <w:tr w14:paraId="0B11E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92" w:type="dxa"/>
            <w:vAlign w:val="top"/>
          </w:tcPr>
          <w:p w14:paraId="062E91B1">
            <w:pPr>
              <w:spacing w:before="102" w:line="220" w:lineRule="auto"/>
              <w:ind w:left="664"/>
              <w:rPr>
                <w:rFonts w:ascii="宋体" w:hAnsi="宋体" w:eastAsia="宋体" w:cs="宋体"/>
                <w:sz w:val="21"/>
                <w:szCs w:val="21"/>
              </w:rPr>
            </w:pPr>
            <w:r>
              <w:rPr>
                <w:rFonts w:ascii="宋体" w:hAnsi="宋体" w:eastAsia="宋体" w:cs="宋体"/>
                <w:spacing w:val="6"/>
                <w:sz w:val="21"/>
                <w:szCs w:val="21"/>
              </w:rPr>
              <w:t>B(很可能)</w:t>
            </w:r>
          </w:p>
        </w:tc>
        <w:tc>
          <w:tcPr>
            <w:tcW w:w="1678" w:type="dxa"/>
            <w:vAlign w:val="top"/>
          </w:tcPr>
          <w:p w14:paraId="6695CF3A">
            <w:pPr>
              <w:spacing w:before="122" w:line="233" w:lineRule="auto"/>
              <w:ind w:left="772"/>
              <w:rPr>
                <w:rFonts w:ascii="宋体" w:hAnsi="宋体" w:eastAsia="宋体" w:cs="宋体"/>
                <w:sz w:val="21"/>
                <w:szCs w:val="21"/>
              </w:rPr>
            </w:pPr>
            <w:r>
              <w:rPr>
                <w:rFonts w:ascii="宋体" w:hAnsi="宋体" w:eastAsia="宋体" w:cs="宋体"/>
                <w:sz w:val="21"/>
                <w:szCs w:val="21"/>
              </w:rPr>
              <w:t>2</w:t>
            </w:r>
          </w:p>
        </w:tc>
        <w:tc>
          <w:tcPr>
            <w:tcW w:w="1678" w:type="dxa"/>
            <w:vAlign w:val="top"/>
          </w:tcPr>
          <w:p w14:paraId="1B5EB3E6">
            <w:pPr>
              <w:spacing w:before="122" w:line="233" w:lineRule="auto"/>
              <w:ind w:left="774"/>
              <w:rPr>
                <w:rFonts w:ascii="宋体" w:hAnsi="宋体" w:eastAsia="宋体" w:cs="宋体"/>
                <w:sz w:val="21"/>
                <w:szCs w:val="21"/>
              </w:rPr>
            </w:pPr>
            <w:r>
              <w:rPr>
                <w:rFonts w:ascii="宋体" w:hAnsi="宋体" w:eastAsia="宋体" w:cs="宋体"/>
                <w:sz w:val="21"/>
                <w:szCs w:val="21"/>
              </w:rPr>
              <w:t>5</w:t>
            </w:r>
          </w:p>
        </w:tc>
        <w:tc>
          <w:tcPr>
            <w:tcW w:w="1668" w:type="dxa"/>
            <w:vAlign w:val="top"/>
          </w:tcPr>
          <w:p w14:paraId="1EFEE4EF">
            <w:pPr>
              <w:spacing w:before="122" w:line="233" w:lineRule="auto"/>
              <w:ind w:left="776"/>
              <w:rPr>
                <w:rFonts w:ascii="宋体" w:hAnsi="宋体" w:eastAsia="宋体" w:cs="宋体"/>
                <w:sz w:val="21"/>
                <w:szCs w:val="21"/>
              </w:rPr>
            </w:pPr>
            <w:r>
              <w:rPr>
                <w:rFonts w:ascii="宋体" w:hAnsi="宋体" w:eastAsia="宋体" w:cs="宋体"/>
                <w:sz w:val="21"/>
                <w:szCs w:val="21"/>
              </w:rPr>
              <w:t>9</w:t>
            </w:r>
          </w:p>
        </w:tc>
        <w:tc>
          <w:tcPr>
            <w:tcW w:w="2053" w:type="dxa"/>
            <w:vAlign w:val="top"/>
          </w:tcPr>
          <w:p w14:paraId="276F39E5">
            <w:pPr>
              <w:spacing w:before="122" w:line="233" w:lineRule="auto"/>
              <w:ind w:left="918"/>
              <w:rPr>
                <w:rFonts w:ascii="宋体" w:hAnsi="宋体" w:eastAsia="宋体" w:cs="宋体"/>
                <w:sz w:val="21"/>
                <w:szCs w:val="21"/>
              </w:rPr>
            </w:pPr>
            <w:r>
              <w:rPr>
                <w:rFonts w:ascii="宋体" w:hAnsi="宋体" w:eastAsia="宋体" w:cs="宋体"/>
                <w:spacing w:val="-6"/>
                <w:sz w:val="21"/>
                <w:szCs w:val="21"/>
              </w:rPr>
              <w:t>16</w:t>
            </w:r>
          </w:p>
        </w:tc>
      </w:tr>
      <w:tr w14:paraId="24E3E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292" w:type="dxa"/>
            <w:vAlign w:val="top"/>
          </w:tcPr>
          <w:p w14:paraId="5FDFCF3D">
            <w:pPr>
              <w:spacing w:before="104" w:line="220" w:lineRule="auto"/>
              <w:ind w:left="764"/>
              <w:rPr>
                <w:rFonts w:ascii="宋体" w:hAnsi="宋体" w:eastAsia="宋体" w:cs="宋体"/>
                <w:sz w:val="21"/>
                <w:szCs w:val="21"/>
              </w:rPr>
            </w:pPr>
            <w:r>
              <w:rPr>
                <w:rFonts w:ascii="宋体" w:hAnsi="宋体" w:eastAsia="宋体" w:cs="宋体"/>
                <w:spacing w:val="10"/>
                <w:sz w:val="21"/>
                <w:szCs w:val="21"/>
              </w:rPr>
              <w:t>C(有时)</w:t>
            </w:r>
          </w:p>
        </w:tc>
        <w:tc>
          <w:tcPr>
            <w:tcW w:w="1678" w:type="dxa"/>
            <w:vAlign w:val="top"/>
          </w:tcPr>
          <w:p w14:paraId="65FA8D07">
            <w:pPr>
              <w:spacing w:before="124"/>
              <w:ind w:left="772"/>
              <w:rPr>
                <w:rFonts w:ascii="宋体" w:hAnsi="宋体" w:eastAsia="宋体" w:cs="宋体"/>
                <w:sz w:val="21"/>
                <w:szCs w:val="21"/>
              </w:rPr>
            </w:pPr>
            <w:r>
              <w:rPr>
                <w:rFonts w:ascii="宋体" w:hAnsi="宋体" w:eastAsia="宋体" w:cs="宋体"/>
                <w:sz w:val="21"/>
                <w:szCs w:val="21"/>
              </w:rPr>
              <w:t>4</w:t>
            </w:r>
          </w:p>
        </w:tc>
        <w:tc>
          <w:tcPr>
            <w:tcW w:w="1678" w:type="dxa"/>
            <w:vAlign w:val="top"/>
          </w:tcPr>
          <w:p w14:paraId="16144F3A">
            <w:pPr>
              <w:spacing w:before="124"/>
              <w:ind w:left="774"/>
              <w:rPr>
                <w:rFonts w:ascii="宋体" w:hAnsi="宋体" w:eastAsia="宋体" w:cs="宋体"/>
                <w:sz w:val="21"/>
                <w:szCs w:val="21"/>
              </w:rPr>
            </w:pPr>
            <w:r>
              <w:rPr>
                <w:rFonts w:ascii="宋体" w:hAnsi="宋体" w:eastAsia="宋体" w:cs="宋体"/>
                <w:sz w:val="21"/>
                <w:szCs w:val="21"/>
              </w:rPr>
              <w:t>6</w:t>
            </w:r>
          </w:p>
        </w:tc>
        <w:tc>
          <w:tcPr>
            <w:tcW w:w="1668" w:type="dxa"/>
            <w:vAlign w:val="top"/>
          </w:tcPr>
          <w:p w14:paraId="69B995D0">
            <w:pPr>
              <w:spacing w:before="124"/>
              <w:ind w:left="726"/>
              <w:rPr>
                <w:rFonts w:ascii="宋体" w:hAnsi="宋体" w:eastAsia="宋体" w:cs="宋体"/>
                <w:sz w:val="21"/>
                <w:szCs w:val="21"/>
              </w:rPr>
            </w:pPr>
            <w:r>
              <w:rPr>
                <w:rFonts w:ascii="宋体" w:hAnsi="宋体" w:eastAsia="宋体" w:cs="宋体"/>
                <w:spacing w:val="-6"/>
                <w:sz w:val="21"/>
                <w:szCs w:val="21"/>
              </w:rPr>
              <w:t>11</w:t>
            </w:r>
          </w:p>
        </w:tc>
        <w:tc>
          <w:tcPr>
            <w:tcW w:w="2053" w:type="dxa"/>
            <w:vAlign w:val="top"/>
          </w:tcPr>
          <w:p w14:paraId="3064DD00">
            <w:pPr>
              <w:spacing w:before="124"/>
              <w:ind w:left="918"/>
              <w:rPr>
                <w:rFonts w:ascii="宋体" w:hAnsi="宋体" w:eastAsia="宋体" w:cs="宋体"/>
                <w:sz w:val="21"/>
                <w:szCs w:val="21"/>
              </w:rPr>
            </w:pPr>
            <w:r>
              <w:rPr>
                <w:rFonts w:ascii="宋体" w:hAnsi="宋体" w:eastAsia="宋体" w:cs="宋体"/>
                <w:spacing w:val="-6"/>
                <w:sz w:val="21"/>
                <w:szCs w:val="21"/>
              </w:rPr>
              <w:t>18</w:t>
            </w:r>
          </w:p>
        </w:tc>
      </w:tr>
      <w:tr w14:paraId="05CA9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92" w:type="dxa"/>
            <w:vAlign w:val="top"/>
          </w:tcPr>
          <w:p w14:paraId="0886E92C">
            <w:pPr>
              <w:spacing w:before="106" w:line="220" w:lineRule="auto"/>
              <w:ind w:left="764"/>
              <w:rPr>
                <w:rFonts w:ascii="宋体" w:hAnsi="宋体" w:eastAsia="宋体" w:cs="宋体"/>
                <w:sz w:val="21"/>
                <w:szCs w:val="21"/>
              </w:rPr>
            </w:pPr>
            <w:r>
              <w:rPr>
                <w:rFonts w:ascii="宋体" w:hAnsi="宋体" w:eastAsia="宋体" w:cs="宋体"/>
                <w:spacing w:val="10"/>
                <w:sz w:val="21"/>
                <w:szCs w:val="21"/>
              </w:rPr>
              <w:t>D(极少)</w:t>
            </w:r>
          </w:p>
        </w:tc>
        <w:tc>
          <w:tcPr>
            <w:tcW w:w="1678" w:type="dxa"/>
            <w:vAlign w:val="top"/>
          </w:tcPr>
          <w:p w14:paraId="0AB5E461">
            <w:pPr>
              <w:spacing w:before="126" w:line="230" w:lineRule="auto"/>
              <w:ind w:left="772"/>
              <w:rPr>
                <w:rFonts w:ascii="宋体" w:hAnsi="宋体" w:eastAsia="宋体" w:cs="宋体"/>
                <w:sz w:val="21"/>
                <w:szCs w:val="21"/>
              </w:rPr>
            </w:pPr>
            <w:r>
              <w:rPr>
                <w:rFonts w:ascii="宋体" w:hAnsi="宋体" w:eastAsia="宋体" w:cs="宋体"/>
                <w:sz w:val="21"/>
                <w:szCs w:val="21"/>
              </w:rPr>
              <w:t>8</w:t>
            </w:r>
          </w:p>
        </w:tc>
        <w:tc>
          <w:tcPr>
            <w:tcW w:w="1678" w:type="dxa"/>
            <w:vAlign w:val="top"/>
          </w:tcPr>
          <w:p w14:paraId="1D9F9690">
            <w:pPr>
              <w:spacing w:before="126" w:line="230" w:lineRule="auto"/>
              <w:ind w:left="724"/>
              <w:rPr>
                <w:rFonts w:ascii="宋体" w:hAnsi="宋体" w:eastAsia="宋体" w:cs="宋体"/>
                <w:sz w:val="21"/>
                <w:szCs w:val="21"/>
              </w:rPr>
            </w:pPr>
            <w:r>
              <w:rPr>
                <w:rFonts w:ascii="宋体" w:hAnsi="宋体" w:eastAsia="宋体" w:cs="宋体"/>
                <w:spacing w:val="-6"/>
                <w:sz w:val="21"/>
                <w:szCs w:val="21"/>
              </w:rPr>
              <w:t>10</w:t>
            </w:r>
          </w:p>
        </w:tc>
        <w:tc>
          <w:tcPr>
            <w:tcW w:w="1668" w:type="dxa"/>
            <w:vAlign w:val="top"/>
          </w:tcPr>
          <w:p w14:paraId="64E2AD23">
            <w:pPr>
              <w:spacing w:before="126" w:line="230" w:lineRule="auto"/>
              <w:ind w:left="726"/>
              <w:rPr>
                <w:rFonts w:ascii="宋体" w:hAnsi="宋体" w:eastAsia="宋体" w:cs="宋体"/>
                <w:sz w:val="21"/>
                <w:szCs w:val="21"/>
              </w:rPr>
            </w:pPr>
            <w:r>
              <w:rPr>
                <w:rFonts w:ascii="宋体" w:hAnsi="宋体" w:eastAsia="宋体" w:cs="宋体"/>
                <w:spacing w:val="-6"/>
                <w:sz w:val="21"/>
                <w:szCs w:val="21"/>
              </w:rPr>
              <w:t>14</w:t>
            </w:r>
          </w:p>
        </w:tc>
        <w:tc>
          <w:tcPr>
            <w:tcW w:w="2053" w:type="dxa"/>
            <w:vAlign w:val="top"/>
          </w:tcPr>
          <w:p w14:paraId="1580F614">
            <w:pPr>
              <w:spacing w:before="126" w:line="230" w:lineRule="auto"/>
              <w:ind w:left="918"/>
              <w:rPr>
                <w:rFonts w:ascii="宋体" w:hAnsi="宋体" w:eastAsia="宋体" w:cs="宋体"/>
                <w:sz w:val="21"/>
                <w:szCs w:val="21"/>
              </w:rPr>
            </w:pPr>
            <w:r>
              <w:rPr>
                <w:rFonts w:ascii="宋体" w:hAnsi="宋体" w:eastAsia="宋体" w:cs="宋体"/>
                <w:spacing w:val="-6"/>
                <w:sz w:val="21"/>
                <w:szCs w:val="21"/>
              </w:rPr>
              <w:t>19</w:t>
            </w:r>
          </w:p>
        </w:tc>
      </w:tr>
      <w:tr w14:paraId="597B3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2292" w:type="dxa"/>
            <w:vAlign w:val="top"/>
          </w:tcPr>
          <w:p w14:paraId="7B4C0722">
            <w:pPr>
              <w:spacing w:before="108" w:line="221" w:lineRule="auto"/>
              <w:ind w:left="664"/>
              <w:rPr>
                <w:rFonts w:ascii="宋体" w:hAnsi="宋体" w:eastAsia="宋体" w:cs="宋体"/>
                <w:sz w:val="21"/>
                <w:szCs w:val="21"/>
              </w:rPr>
            </w:pPr>
            <w:r>
              <w:rPr>
                <w:rFonts w:ascii="宋体" w:hAnsi="宋体" w:eastAsia="宋体" w:cs="宋体"/>
                <w:spacing w:val="6"/>
                <w:sz w:val="21"/>
                <w:szCs w:val="21"/>
              </w:rPr>
              <w:t>E(不可能)</w:t>
            </w:r>
          </w:p>
        </w:tc>
        <w:tc>
          <w:tcPr>
            <w:tcW w:w="1678" w:type="dxa"/>
            <w:vAlign w:val="top"/>
          </w:tcPr>
          <w:p w14:paraId="015C4268">
            <w:pPr>
              <w:spacing w:before="128" w:line="233" w:lineRule="auto"/>
              <w:ind w:left="723"/>
              <w:rPr>
                <w:rFonts w:ascii="宋体" w:hAnsi="宋体" w:eastAsia="宋体" w:cs="宋体"/>
                <w:sz w:val="21"/>
                <w:szCs w:val="21"/>
              </w:rPr>
            </w:pPr>
            <w:r>
              <w:rPr>
                <w:rFonts w:ascii="宋体" w:hAnsi="宋体" w:eastAsia="宋体" w:cs="宋体"/>
                <w:spacing w:val="-6"/>
                <w:sz w:val="21"/>
                <w:szCs w:val="21"/>
              </w:rPr>
              <w:t>12</w:t>
            </w:r>
          </w:p>
        </w:tc>
        <w:tc>
          <w:tcPr>
            <w:tcW w:w="1678" w:type="dxa"/>
            <w:vAlign w:val="top"/>
          </w:tcPr>
          <w:p w14:paraId="0725865D">
            <w:pPr>
              <w:spacing w:before="128" w:line="233" w:lineRule="auto"/>
              <w:ind w:left="724"/>
              <w:rPr>
                <w:rFonts w:ascii="宋体" w:hAnsi="宋体" w:eastAsia="宋体" w:cs="宋体"/>
                <w:sz w:val="21"/>
                <w:szCs w:val="21"/>
              </w:rPr>
            </w:pPr>
            <w:r>
              <w:rPr>
                <w:rFonts w:ascii="宋体" w:hAnsi="宋体" w:eastAsia="宋体" w:cs="宋体"/>
                <w:spacing w:val="-6"/>
                <w:sz w:val="21"/>
                <w:szCs w:val="21"/>
              </w:rPr>
              <w:t>15</w:t>
            </w:r>
          </w:p>
        </w:tc>
        <w:tc>
          <w:tcPr>
            <w:tcW w:w="1668" w:type="dxa"/>
            <w:vAlign w:val="top"/>
          </w:tcPr>
          <w:p w14:paraId="6F2F706A">
            <w:pPr>
              <w:spacing w:before="128" w:line="233" w:lineRule="auto"/>
              <w:ind w:left="726"/>
              <w:rPr>
                <w:rFonts w:ascii="宋体" w:hAnsi="宋体" w:eastAsia="宋体" w:cs="宋体"/>
                <w:sz w:val="21"/>
                <w:szCs w:val="21"/>
              </w:rPr>
            </w:pPr>
            <w:r>
              <w:rPr>
                <w:rFonts w:ascii="宋体" w:hAnsi="宋体" w:eastAsia="宋体" w:cs="宋体"/>
                <w:spacing w:val="-6"/>
                <w:sz w:val="21"/>
                <w:szCs w:val="21"/>
              </w:rPr>
              <w:t>17</w:t>
            </w:r>
          </w:p>
        </w:tc>
        <w:tc>
          <w:tcPr>
            <w:tcW w:w="2053" w:type="dxa"/>
            <w:vAlign w:val="top"/>
          </w:tcPr>
          <w:p w14:paraId="0F27E782">
            <w:pPr>
              <w:spacing w:before="128" w:line="233" w:lineRule="auto"/>
              <w:ind w:left="918"/>
              <w:rPr>
                <w:rFonts w:ascii="宋体" w:hAnsi="宋体" w:eastAsia="宋体" w:cs="宋体"/>
                <w:sz w:val="21"/>
                <w:szCs w:val="21"/>
              </w:rPr>
            </w:pPr>
            <w:r>
              <w:rPr>
                <w:rFonts w:ascii="宋体" w:hAnsi="宋体" w:eastAsia="宋体" w:cs="宋体"/>
                <w:spacing w:val="-3"/>
                <w:sz w:val="21"/>
                <w:szCs w:val="21"/>
              </w:rPr>
              <w:t>20</w:t>
            </w:r>
          </w:p>
        </w:tc>
      </w:tr>
    </w:tbl>
    <w:p w14:paraId="5DD6E899">
      <w:pPr>
        <w:spacing w:line="174" w:lineRule="exact"/>
      </w:pPr>
    </w:p>
    <w:tbl>
      <w:tblPr>
        <w:tblStyle w:val="5"/>
        <w:tblW w:w="5819" w:type="dxa"/>
        <w:tblInd w:w="2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79"/>
        <w:gridCol w:w="3440"/>
      </w:tblGrid>
      <w:tr w14:paraId="51D7BC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2379" w:type="dxa"/>
            <w:vAlign w:val="top"/>
          </w:tcPr>
          <w:p w14:paraId="518C257B">
            <w:pPr>
              <w:spacing w:line="219" w:lineRule="auto"/>
              <w:rPr>
                <w:rFonts w:ascii="宋体" w:hAnsi="宋体" w:eastAsia="宋体" w:cs="宋体"/>
                <w:sz w:val="22"/>
                <w:szCs w:val="22"/>
              </w:rPr>
            </w:pPr>
            <w:r>
              <w:rPr>
                <w:rFonts w:ascii="宋体" w:hAnsi="宋体" w:eastAsia="宋体" w:cs="宋体"/>
                <w:spacing w:val="15"/>
                <w:sz w:val="22"/>
                <w:szCs w:val="22"/>
              </w:rPr>
              <w:t>危险的风险指数</w:t>
            </w:r>
          </w:p>
        </w:tc>
        <w:tc>
          <w:tcPr>
            <w:tcW w:w="3440" w:type="dxa"/>
            <w:vAlign w:val="top"/>
          </w:tcPr>
          <w:p w14:paraId="79C07D85">
            <w:pPr>
              <w:spacing w:line="220" w:lineRule="auto"/>
              <w:ind w:left="731"/>
              <w:rPr>
                <w:rFonts w:ascii="宋体" w:hAnsi="宋体" w:eastAsia="宋体" w:cs="宋体"/>
                <w:sz w:val="22"/>
                <w:szCs w:val="22"/>
              </w:rPr>
            </w:pPr>
            <w:r>
              <w:rPr>
                <w:rFonts w:ascii="宋体" w:hAnsi="宋体" w:eastAsia="宋体" w:cs="宋体"/>
                <w:spacing w:val="19"/>
                <w:sz w:val="22"/>
                <w:szCs w:val="22"/>
              </w:rPr>
              <w:t>建议的准则</w:t>
            </w:r>
          </w:p>
        </w:tc>
      </w:tr>
      <w:tr w14:paraId="58F988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trPr>
        <w:tc>
          <w:tcPr>
            <w:tcW w:w="2379" w:type="dxa"/>
            <w:vAlign w:val="top"/>
          </w:tcPr>
          <w:p w14:paraId="08390D26">
            <w:pPr>
              <w:spacing w:before="76" w:line="236" w:lineRule="auto"/>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w:t>
            </w:r>
            <w:r>
              <w:rPr>
                <w:rFonts w:ascii="宋体" w:hAnsi="宋体" w:eastAsia="宋体" w:cs="宋体"/>
                <w:spacing w:val="-8"/>
                <w:sz w:val="20"/>
                <w:szCs w:val="20"/>
              </w:rPr>
              <w:t>～</w:t>
            </w:r>
            <w:r>
              <w:rPr>
                <w:rFonts w:ascii="Times New Roman" w:hAnsi="Times New Roman" w:eastAsia="Times New Roman" w:cs="Times New Roman"/>
                <w:spacing w:val="-8"/>
                <w:sz w:val="20"/>
                <w:szCs w:val="20"/>
              </w:rPr>
              <w:t>5</w:t>
            </w:r>
          </w:p>
        </w:tc>
        <w:tc>
          <w:tcPr>
            <w:tcW w:w="3440" w:type="dxa"/>
            <w:vAlign w:val="top"/>
          </w:tcPr>
          <w:p w14:paraId="0F65C979">
            <w:pPr>
              <w:spacing w:before="70" w:line="221" w:lineRule="auto"/>
              <w:ind w:left="731"/>
              <w:rPr>
                <w:rFonts w:ascii="宋体" w:hAnsi="宋体" w:eastAsia="宋体" w:cs="宋体"/>
                <w:sz w:val="22"/>
                <w:szCs w:val="22"/>
              </w:rPr>
            </w:pPr>
            <w:r>
              <w:rPr>
                <w:rFonts w:ascii="宋体" w:hAnsi="宋体" w:eastAsia="宋体" w:cs="宋体"/>
                <w:spacing w:val="17"/>
                <w:sz w:val="22"/>
                <w:szCs w:val="22"/>
              </w:rPr>
              <w:t>不可接受</w:t>
            </w:r>
          </w:p>
        </w:tc>
      </w:tr>
      <w:tr w14:paraId="110393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2379" w:type="dxa"/>
            <w:vAlign w:val="top"/>
          </w:tcPr>
          <w:p w14:paraId="3D260C3F">
            <w:pPr>
              <w:spacing w:before="72" w:line="236" w:lineRule="auto"/>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w:t>
            </w:r>
            <w:r>
              <w:rPr>
                <w:rFonts w:ascii="宋体" w:hAnsi="宋体" w:eastAsia="宋体" w:cs="宋体"/>
                <w:spacing w:val="-3"/>
                <w:sz w:val="20"/>
                <w:szCs w:val="20"/>
              </w:rPr>
              <w:t>～</w:t>
            </w:r>
            <w:r>
              <w:rPr>
                <w:rFonts w:ascii="Times New Roman" w:hAnsi="Times New Roman" w:eastAsia="Times New Roman" w:cs="Times New Roman"/>
                <w:spacing w:val="-3"/>
                <w:sz w:val="20"/>
                <w:szCs w:val="20"/>
              </w:rPr>
              <w:t>9</w:t>
            </w:r>
          </w:p>
        </w:tc>
        <w:tc>
          <w:tcPr>
            <w:tcW w:w="3440" w:type="dxa"/>
            <w:vAlign w:val="top"/>
          </w:tcPr>
          <w:p w14:paraId="71D93D1D">
            <w:pPr>
              <w:spacing w:before="86" w:line="219" w:lineRule="auto"/>
              <w:jc w:val="right"/>
              <w:rPr>
                <w:rFonts w:ascii="宋体" w:hAnsi="宋体" w:eastAsia="宋体" w:cs="宋体"/>
                <w:sz w:val="22"/>
                <w:szCs w:val="22"/>
              </w:rPr>
            </w:pPr>
            <w:r>
              <w:rPr>
                <w:rFonts w:ascii="宋体" w:hAnsi="宋体" w:eastAsia="宋体" w:cs="宋体"/>
                <w:spacing w:val="5"/>
                <w:sz w:val="22"/>
                <w:szCs w:val="22"/>
              </w:rPr>
              <w:t>不希望有的，需订购方决策</w:t>
            </w:r>
          </w:p>
        </w:tc>
      </w:tr>
      <w:tr w14:paraId="0BCCD7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trPr>
        <w:tc>
          <w:tcPr>
            <w:tcW w:w="2379" w:type="dxa"/>
            <w:vAlign w:val="top"/>
          </w:tcPr>
          <w:p w14:paraId="1C57CA91">
            <w:pPr>
              <w:spacing w:before="72" w:line="235" w:lineRule="auto"/>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w:t>
            </w:r>
            <w:r>
              <w:rPr>
                <w:rFonts w:ascii="宋体" w:hAnsi="宋体" w:eastAsia="宋体" w:cs="宋体"/>
                <w:spacing w:val="-5"/>
                <w:sz w:val="21"/>
                <w:szCs w:val="21"/>
              </w:rPr>
              <w:t>～</w:t>
            </w:r>
            <w:r>
              <w:rPr>
                <w:rFonts w:ascii="Times New Roman" w:hAnsi="Times New Roman" w:eastAsia="Times New Roman" w:cs="Times New Roman"/>
                <w:spacing w:val="-5"/>
                <w:sz w:val="21"/>
                <w:szCs w:val="21"/>
              </w:rPr>
              <w:t>17</w:t>
            </w:r>
          </w:p>
        </w:tc>
        <w:tc>
          <w:tcPr>
            <w:tcW w:w="3440" w:type="dxa"/>
            <w:vAlign w:val="top"/>
          </w:tcPr>
          <w:p w14:paraId="472C462D">
            <w:pPr>
              <w:spacing w:before="65" w:line="220" w:lineRule="auto"/>
              <w:ind w:left="731"/>
              <w:rPr>
                <w:rFonts w:ascii="宋体" w:hAnsi="宋体" w:eastAsia="宋体" w:cs="宋体"/>
                <w:sz w:val="22"/>
                <w:szCs w:val="22"/>
              </w:rPr>
            </w:pPr>
            <w:r>
              <w:rPr>
                <w:rFonts w:ascii="宋体" w:hAnsi="宋体" w:eastAsia="宋体" w:cs="宋体"/>
                <w:spacing w:val="13"/>
                <w:sz w:val="22"/>
                <w:szCs w:val="22"/>
              </w:rPr>
              <w:t>订购方评审后可接受</w:t>
            </w:r>
          </w:p>
        </w:tc>
      </w:tr>
      <w:tr w14:paraId="28F1BA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 w:hRule="atLeast"/>
        </w:trPr>
        <w:tc>
          <w:tcPr>
            <w:tcW w:w="2379" w:type="dxa"/>
            <w:vAlign w:val="top"/>
          </w:tcPr>
          <w:p w14:paraId="5E6F5387">
            <w:pPr>
              <w:spacing w:before="82" w:line="178" w:lineRule="auto"/>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18</w:t>
            </w:r>
            <w:r>
              <w:rPr>
                <w:rFonts w:ascii="宋体" w:hAnsi="宋体" w:eastAsia="宋体" w:cs="宋体"/>
                <w:spacing w:val="-5"/>
                <w:sz w:val="20"/>
                <w:szCs w:val="20"/>
              </w:rPr>
              <w:t>～</w:t>
            </w:r>
            <w:r>
              <w:rPr>
                <w:rFonts w:ascii="Times New Roman" w:hAnsi="Times New Roman" w:eastAsia="Times New Roman" w:cs="Times New Roman"/>
                <w:spacing w:val="-5"/>
                <w:sz w:val="20"/>
                <w:szCs w:val="20"/>
              </w:rPr>
              <w:t>20</w:t>
            </w:r>
          </w:p>
        </w:tc>
        <w:tc>
          <w:tcPr>
            <w:tcW w:w="3440" w:type="dxa"/>
            <w:vAlign w:val="top"/>
          </w:tcPr>
          <w:p w14:paraId="09F2DE31">
            <w:pPr>
              <w:spacing w:before="65" w:line="176" w:lineRule="auto"/>
              <w:ind w:left="731"/>
              <w:rPr>
                <w:rFonts w:ascii="宋体" w:hAnsi="宋体" w:eastAsia="宋体" w:cs="宋体"/>
                <w:sz w:val="22"/>
                <w:szCs w:val="22"/>
              </w:rPr>
            </w:pPr>
            <w:r>
              <w:rPr>
                <w:rFonts w:ascii="宋体" w:hAnsi="宋体" w:eastAsia="宋体" w:cs="宋体"/>
                <w:spacing w:val="15"/>
                <w:sz w:val="22"/>
                <w:szCs w:val="22"/>
              </w:rPr>
              <w:t>不评审即可接受</w:t>
            </w:r>
          </w:p>
        </w:tc>
      </w:tr>
    </w:tbl>
    <w:p w14:paraId="67A58DAB">
      <w:pPr>
        <w:spacing w:line="217" w:lineRule="exact"/>
        <w:rPr>
          <w:rFonts w:ascii="Arial"/>
          <w:sz w:val="18"/>
        </w:rPr>
      </w:pPr>
    </w:p>
    <w:p w14:paraId="15FD6795">
      <w:pPr>
        <w:spacing w:line="217" w:lineRule="exact"/>
        <w:rPr>
          <w:rFonts w:ascii="Arial" w:hAnsi="Arial" w:eastAsia="Arial" w:cs="Arial"/>
          <w:sz w:val="18"/>
          <w:szCs w:val="18"/>
        </w:rPr>
        <w:sectPr>
          <w:footerReference r:id="rId565" w:type="default"/>
          <w:pgSz w:w="11910" w:h="17130"/>
          <w:pgMar w:top="400" w:right="1375" w:bottom="1703" w:left="1100" w:header="0" w:footer="1504" w:gutter="0"/>
          <w:cols w:space="720" w:num="1"/>
        </w:sectPr>
      </w:pPr>
    </w:p>
    <w:p w14:paraId="29A4070F">
      <w:pPr>
        <w:spacing w:line="251" w:lineRule="auto"/>
        <w:rPr>
          <w:rFonts w:ascii="Arial"/>
          <w:sz w:val="21"/>
        </w:rPr>
      </w:pPr>
    </w:p>
    <w:p w14:paraId="722EC9CF">
      <w:pPr>
        <w:spacing w:line="251" w:lineRule="auto"/>
        <w:rPr>
          <w:rFonts w:ascii="Arial"/>
          <w:sz w:val="21"/>
        </w:rPr>
      </w:pPr>
    </w:p>
    <w:p w14:paraId="66B7F048">
      <w:pPr>
        <w:spacing w:line="251" w:lineRule="auto"/>
        <w:rPr>
          <w:rFonts w:ascii="Arial"/>
          <w:sz w:val="21"/>
        </w:rPr>
      </w:pPr>
    </w:p>
    <w:p w14:paraId="209D051B">
      <w:pPr>
        <w:spacing w:line="251" w:lineRule="auto"/>
        <w:rPr>
          <w:rFonts w:ascii="Arial"/>
          <w:sz w:val="21"/>
        </w:rPr>
      </w:pPr>
    </w:p>
    <w:p w14:paraId="36B605D2">
      <w:pPr>
        <w:spacing w:before="88" w:line="221" w:lineRule="auto"/>
        <w:rPr>
          <w:rFonts w:ascii="黑体" w:hAnsi="黑体" w:eastAsia="黑体" w:cs="黑体"/>
          <w:sz w:val="27"/>
          <w:szCs w:val="27"/>
        </w:rPr>
      </w:pPr>
      <w:r>
        <w:rPr>
          <w:rFonts w:ascii="黑体" w:hAnsi="黑体" w:eastAsia="黑体" w:cs="黑体"/>
          <w:spacing w:val="3"/>
          <w:sz w:val="27"/>
          <w:szCs w:val="27"/>
        </w:rPr>
        <w:t>4  安全性分析与试验情况</w:t>
      </w:r>
    </w:p>
    <w:p w14:paraId="0C437962">
      <w:pPr>
        <w:pStyle w:val="2"/>
        <w:spacing w:before="80" w:line="268" w:lineRule="auto"/>
        <w:ind w:right="15" w:firstLine="550"/>
        <w:jc w:val="both"/>
      </w:pPr>
      <w:r>
        <w:rPr>
          <w:spacing w:val="5"/>
        </w:rPr>
        <w:t>为确定系统中存在的危险而进行的分析与试验，包括：仍有残余风险的危</w:t>
      </w:r>
      <w:r>
        <w:rPr>
          <w:spacing w:val="12"/>
        </w:rPr>
        <w:t xml:space="preserve"> </w:t>
      </w:r>
      <w:r>
        <w:rPr>
          <w:spacing w:val="-2"/>
        </w:rPr>
        <w:t>险，以及为把有关风险减少到合同规定的可</w:t>
      </w:r>
      <w:r>
        <w:rPr>
          <w:spacing w:val="-3"/>
        </w:rPr>
        <w:t>接受水平而已采取的措施；为验证安</w:t>
      </w:r>
      <w:r>
        <w:t xml:space="preserve"> </w:t>
      </w:r>
      <w:r>
        <w:rPr>
          <w:spacing w:val="3"/>
        </w:rPr>
        <w:t>全性准则要求和分析而进行的试验的结果。</w:t>
      </w:r>
    </w:p>
    <w:p w14:paraId="0184A288">
      <w:pPr>
        <w:spacing w:line="368" w:lineRule="exact"/>
        <w:rPr>
          <w:rFonts w:ascii="黑体" w:hAnsi="黑体" w:eastAsia="黑体" w:cs="黑体"/>
          <w:sz w:val="27"/>
          <w:szCs w:val="27"/>
        </w:rPr>
      </w:pPr>
      <w:r>
        <w:rPr>
          <w:rFonts w:ascii="Arial" w:hAnsi="Arial" w:eastAsia="Arial" w:cs="Arial"/>
          <w:spacing w:val="3"/>
          <w:position w:val="1"/>
          <w:sz w:val="27"/>
          <w:szCs w:val="27"/>
        </w:rPr>
        <w:t>5</w:t>
      </w:r>
      <w:r>
        <w:rPr>
          <w:rFonts w:ascii="Arial" w:hAnsi="Arial" w:eastAsia="Arial" w:cs="Arial"/>
          <w:spacing w:val="15"/>
          <w:position w:val="1"/>
          <w:sz w:val="27"/>
          <w:szCs w:val="27"/>
        </w:rPr>
        <w:t xml:space="preserve">   </w:t>
      </w:r>
      <w:r>
        <w:rPr>
          <w:rFonts w:ascii="黑体" w:hAnsi="黑体" w:eastAsia="黑体" w:cs="黑体"/>
          <w:spacing w:val="3"/>
          <w:position w:val="1"/>
          <w:sz w:val="27"/>
          <w:szCs w:val="27"/>
        </w:rPr>
        <w:t>安全性大纲执行的结果</w:t>
      </w:r>
    </w:p>
    <w:p w14:paraId="07AC78EE">
      <w:pPr>
        <w:pStyle w:val="2"/>
        <w:spacing w:before="72" w:line="283" w:lineRule="auto"/>
        <w:ind w:firstLine="550"/>
        <w:jc w:val="both"/>
      </w:pPr>
      <w:r>
        <w:rPr>
          <w:spacing w:val="6"/>
        </w:rPr>
        <w:t>包括列出全部显著危险以及用来确保人员和财产安全所需的具体安全</w:t>
      </w:r>
      <w:r>
        <w:rPr>
          <w:spacing w:val="5"/>
        </w:rPr>
        <w:t>性建</w:t>
      </w:r>
      <w:r>
        <w:t xml:space="preserve"> </w:t>
      </w:r>
      <w:r>
        <w:rPr>
          <w:spacing w:val="5"/>
        </w:rPr>
        <w:t>议或预防措施的清单。按危险在正常或不正常使用条件下会不会发生，对清单</w:t>
      </w:r>
      <w:r>
        <w:rPr>
          <w:spacing w:val="10"/>
        </w:rPr>
        <w:t xml:space="preserve"> </w:t>
      </w:r>
      <w:r>
        <w:t>上的危险进行分类。</w:t>
      </w:r>
    </w:p>
    <w:p w14:paraId="42B21A68">
      <w:pPr>
        <w:spacing w:line="222" w:lineRule="auto"/>
        <w:rPr>
          <w:rFonts w:ascii="黑体" w:hAnsi="黑体" w:eastAsia="黑体" w:cs="黑体"/>
          <w:sz w:val="27"/>
          <w:szCs w:val="27"/>
        </w:rPr>
      </w:pPr>
      <w:r>
        <w:rPr>
          <w:rFonts w:ascii="黑体" w:hAnsi="黑体" w:eastAsia="黑体" w:cs="黑体"/>
          <w:spacing w:val="3"/>
          <w:sz w:val="27"/>
          <w:szCs w:val="27"/>
        </w:rPr>
        <w:t>6  危险器材</w:t>
      </w:r>
    </w:p>
    <w:p w14:paraId="5EC34344">
      <w:pPr>
        <w:spacing w:before="83" w:line="221" w:lineRule="auto"/>
        <w:rPr>
          <w:rFonts w:ascii="黑体" w:hAnsi="黑体" w:eastAsia="黑体" w:cs="黑体"/>
          <w:sz w:val="27"/>
          <w:szCs w:val="27"/>
        </w:rPr>
      </w:pPr>
      <w:r>
        <w:rPr>
          <w:rFonts w:ascii="黑体" w:hAnsi="黑体" w:eastAsia="黑体" w:cs="黑体"/>
          <w:spacing w:val="-2"/>
          <w:sz w:val="27"/>
          <w:szCs w:val="27"/>
        </w:rPr>
        <w:t>6.1  危险器材类型、数量及可能的危险</w:t>
      </w:r>
    </w:p>
    <w:p w14:paraId="198E0883">
      <w:pPr>
        <w:pStyle w:val="2"/>
        <w:spacing w:before="117" w:line="284" w:lineRule="auto"/>
        <w:ind w:right="12" w:firstLine="550"/>
        <w:rPr>
          <w:sz w:val="25"/>
          <w:szCs w:val="25"/>
        </w:rPr>
      </w:pPr>
      <w:r>
        <w:rPr>
          <w:spacing w:val="25"/>
          <w:sz w:val="25"/>
          <w:szCs w:val="25"/>
        </w:rPr>
        <w:t>说明由系统中产生或在系统中使用的所有危险器材的类型、数量及可能的</w:t>
      </w:r>
      <w:r>
        <w:rPr>
          <w:spacing w:val="18"/>
          <w:sz w:val="25"/>
          <w:szCs w:val="25"/>
        </w:rPr>
        <w:t xml:space="preserve"> </w:t>
      </w:r>
      <w:r>
        <w:rPr>
          <w:spacing w:val="11"/>
          <w:sz w:val="25"/>
          <w:szCs w:val="25"/>
        </w:rPr>
        <w:t>危险。</w:t>
      </w:r>
    </w:p>
    <w:p w14:paraId="5D9124A6">
      <w:pPr>
        <w:spacing w:before="2" w:line="220" w:lineRule="auto"/>
        <w:rPr>
          <w:rFonts w:ascii="黑体" w:hAnsi="黑体" w:eastAsia="黑体" w:cs="黑体"/>
          <w:sz w:val="27"/>
          <w:szCs w:val="27"/>
        </w:rPr>
      </w:pPr>
      <w:r>
        <w:rPr>
          <w:rFonts w:ascii="黑体" w:hAnsi="黑体" w:eastAsia="黑体" w:cs="黑体"/>
          <w:spacing w:val="3"/>
          <w:sz w:val="27"/>
          <w:szCs w:val="27"/>
        </w:rPr>
        <w:t>6.2</w:t>
      </w:r>
      <w:r>
        <w:rPr>
          <w:rFonts w:ascii="黑体" w:hAnsi="黑体" w:eastAsia="黑体" w:cs="黑体"/>
          <w:spacing w:val="17"/>
          <w:sz w:val="27"/>
          <w:szCs w:val="27"/>
        </w:rPr>
        <w:t xml:space="preserve">  </w:t>
      </w:r>
      <w:r>
        <w:rPr>
          <w:rFonts w:ascii="黑体" w:hAnsi="黑体" w:eastAsia="黑体" w:cs="黑体"/>
          <w:spacing w:val="3"/>
          <w:sz w:val="27"/>
          <w:szCs w:val="27"/>
        </w:rPr>
        <w:t>安全性防护措施和规程</w:t>
      </w:r>
    </w:p>
    <w:p w14:paraId="771EF2B0">
      <w:pPr>
        <w:pStyle w:val="2"/>
        <w:spacing w:before="88" w:line="277" w:lineRule="auto"/>
        <w:ind w:right="17" w:firstLine="550"/>
      </w:pPr>
      <w:r>
        <w:rPr>
          <w:spacing w:val="-11"/>
        </w:rPr>
        <w:t>在危险器材的装卸、使用、贮存、运输、维修和处理期间所需的安全性防护措</w:t>
      </w:r>
      <w:r>
        <w:rPr>
          <w:spacing w:val="7"/>
        </w:rPr>
        <w:t xml:space="preserve"> </w:t>
      </w:r>
      <w:r>
        <w:rPr>
          <w:spacing w:val="-1"/>
        </w:rPr>
        <w:t>施和规程。</w:t>
      </w:r>
    </w:p>
    <w:p w14:paraId="377691E8">
      <w:pPr>
        <w:spacing w:before="1" w:line="222" w:lineRule="auto"/>
        <w:rPr>
          <w:rFonts w:ascii="黑体" w:hAnsi="黑体" w:eastAsia="黑体" w:cs="黑体"/>
          <w:sz w:val="27"/>
          <w:szCs w:val="27"/>
        </w:rPr>
      </w:pPr>
      <w:r>
        <w:rPr>
          <w:rFonts w:ascii="黑体" w:hAnsi="黑体" w:eastAsia="黑体" w:cs="黑体"/>
          <w:spacing w:val="4"/>
          <w:sz w:val="27"/>
          <w:szCs w:val="27"/>
        </w:rPr>
        <w:t>6.3</w:t>
      </w:r>
      <w:r>
        <w:rPr>
          <w:rFonts w:ascii="黑体" w:hAnsi="黑体" w:eastAsia="黑体" w:cs="黑体"/>
          <w:spacing w:val="18"/>
          <w:sz w:val="27"/>
          <w:szCs w:val="27"/>
        </w:rPr>
        <w:t xml:space="preserve">  </w:t>
      </w:r>
      <w:r>
        <w:rPr>
          <w:rFonts w:ascii="黑体" w:hAnsi="黑体" w:eastAsia="黑体" w:cs="黑体"/>
          <w:spacing w:val="4"/>
          <w:sz w:val="27"/>
          <w:szCs w:val="27"/>
        </w:rPr>
        <w:t>器材安全性数据</w:t>
      </w:r>
    </w:p>
    <w:p w14:paraId="62CB6C66">
      <w:pPr>
        <w:pStyle w:val="2"/>
        <w:spacing w:before="103" w:line="219" w:lineRule="auto"/>
        <w:ind w:left="550"/>
      </w:pPr>
      <w:r>
        <w:rPr>
          <w:spacing w:val="2"/>
        </w:rPr>
        <w:t>给出危险器材的安全性数据。</w:t>
      </w:r>
    </w:p>
    <w:p w14:paraId="5A5BC989">
      <w:pPr>
        <w:spacing w:before="80" w:line="222"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9"/>
          <w:sz w:val="27"/>
          <w:szCs w:val="27"/>
        </w:rPr>
        <w:t xml:space="preserve">  </w:t>
      </w:r>
      <w:r>
        <w:rPr>
          <w:rFonts w:ascii="黑体" w:hAnsi="黑体" w:eastAsia="黑体" w:cs="黑体"/>
          <w:spacing w:val="1"/>
          <w:sz w:val="27"/>
          <w:szCs w:val="27"/>
        </w:rPr>
        <w:t>评价结论</w:t>
      </w:r>
    </w:p>
    <w:p w14:paraId="26C91E52">
      <w:pPr>
        <w:pStyle w:val="2"/>
        <w:spacing w:before="77" w:line="280" w:lineRule="auto"/>
        <w:ind w:right="19" w:firstLine="550"/>
      </w:pPr>
      <w:r>
        <w:rPr>
          <w:spacing w:val="14"/>
        </w:rPr>
        <w:t>所有已判定的危险均已消除或有关的风险已控制在合同规定的可接受水</w:t>
      </w:r>
      <w:r>
        <w:rPr>
          <w:spacing w:val="7"/>
        </w:rPr>
        <w:t xml:space="preserve"> </w:t>
      </w:r>
      <w:r>
        <w:t>平；系统已可以进行试验或投入使用或者进入研制的</w:t>
      </w:r>
      <w:r>
        <w:rPr>
          <w:spacing w:val="-1"/>
        </w:rPr>
        <w:t>下一阶段。</w:t>
      </w:r>
    </w:p>
    <w:p w14:paraId="4D746AFB">
      <w:pPr>
        <w:spacing w:before="1" w:line="221" w:lineRule="auto"/>
        <w:rPr>
          <w:rFonts w:ascii="黑体" w:hAnsi="黑体" w:eastAsia="黑体" w:cs="黑体"/>
          <w:sz w:val="27"/>
          <w:szCs w:val="27"/>
        </w:rPr>
      </w:pPr>
      <w:r>
        <w:rPr>
          <w:rFonts w:ascii="黑体" w:hAnsi="黑体" w:eastAsia="黑体" w:cs="黑体"/>
          <w:spacing w:val="5"/>
          <w:sz w:val="27"/>
          <w:szCs w:val="27"/>
        </w:rPr>
        <w:t>8  安全性措施和建议</w:t>
      </w:r>
    </w:p>
    <w:p w14:paraId="66F06B04">
      <w:pPr>
        <w:pStyle w:val="2"/>
        <w:spacing w:before="106" w:line="277" w:lineRule="auto"/>
        <w:ind w:right="10" w:firstLine="550"/>
      </w:pPr>
      <w:r>
        <w:rPr>
          <w:spacing w:val="6"/>
        </w:rPr>
        <w:t>承制方应按合同要求对所承制的系统与其他系</w:t>
      </w:r>
      <w:r>
        <w:rPr>
          <w:spacing w:val="5"/>
        </w:rPr>
        <w:t>统的接口的危险提出可行的</w:t>
      </w:r>
      <w:r>
        <w:t xml:space="preserve"> </w:t>
      </w:r>
      <w:r>
        <w:rPr>
          <w:spacing w:val="-1"/>
        </w:rPr>
        <w:t>处理建议。</w:t>
      </w:r>
    </w:p>
    <w:p w14:paraId="042C77F9">
      <w:pPr>
        <w:spacing w:line="247" w:lineRule="auto"/>
        <w:rPr>
          <w:rFonts w:ascii="Arial"/>
          <w:sz w:val="21"/>
        </w:rPr>
      </w:pPr>
    </w:p>
    <w:p w14:paraId="45FD1C15">
      <w:pPr>
        <w:pStyle w:val="2"/>
        <w:spacing w:before="118" w:line="218" w:lineRule="auto"/>
        <w:ind w:left="1879"/>
        <w:outlineLvl w:val="1"/>
        <w:rPr>
          <w:sz w:val="36"/>
          <w:szCs w:val="36"/>
        </w:rPr>
      </w:pPr>
      <w:r>
        <w:rPr>
          <w:rFonts w:ascii="Times New Roman" w:hAnsi="Times New Roman" w:eastAsia="Times New Roman" w:cs="Times New Roman"/>
          <w:b/>
          <w:bCs/>
          <w:spacing w:val="2"/>
          <w:sz w:val="36"/>
          <w:szCs w:val="36"/>
        </w:rPr>
        <w:t xml:space="preserve">11.13     </w:t>
      </w:r>
      <w:r>
        <w:rPr>
          <w:b/>
          <w:bCs/>
          <w:spacing w:val="2"/>
          <w:sz w:val="36"/>
          <w:szCs w:val="36"/>
        </w:rPr>
        <w:t>安全性符合有关规定的评价</w:t>
      </w:r>
    </w:p>
    <w:p w14:paraId="0CD9EE05">
      <w:pPr>
        <w:spacing w:line="378" w:lineRule="auto"/>
        <w:rPr>
          <w:rFonts w:ascii="Arial"/>
          <w:sz w:val="21"/>
        </w:rPr>
      </w:pPr>
    </w:p>
    <w:p w14:paraId="4C106097">
      <w:pPr>
        <w:pStyle w:val="2"/>
        <w:spacing w:before="78" w:line="223" w:lineRule="auto"/>
        <w:ind w:left="55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21"/>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900—1990</w:t>
      </w:r>
      <w:r>
        <w:rPr>
          <w:spacing w:val="9"/>
          <w:sz w:val="24"/>
          <w:szCs w:val="24"/>
        </w:rPr>
        <w:t>《</w:t>
      </w:r>
      <w:r>
        <w:rPr>
          <w:rFonts w:ascii="楷体" w:hAnsi="楷体" w:eastAsia="楷体" w:cs="楷体"/>
          <w:b/>
          <w:bCs/>
          <w:spacing w:val="9"/>
          <w:sz w:val="24"/>
          <w:szCs w:val="24"/>
        </w:rPr>
        <w:t>系统安全性通用</w:t>
      </w:r>
      <w:r>
        <w:rPr>
          <w:rFonts w:ascii="楷体" w:hAnsi="楷体" w:eastAsia="楷体" w:cs="楷体"/>
          <w:b/>
          <w:bCs/>
          <w:spacing w:val="8"/>
          <w:sz w:val="24"/>
          <w:szCs w:val="24"/>
        </w:rPr>
        <w:t>大纲》编写。</w:t>
      </w:r>
    </w:p>
    <w:p w14:paraId="704845A3">
      <w:pPr>
        <w:spacing w:before="92"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4"/>
          <w:sz w:val="27"/>
          <w:szCs w:val="27"/>
        </w:rPr>
        <w:t xml:space="preserve">  </w:t>
      </w:r>
      <w:r>
        <w:rPr>
          <w:rFonts w:ascii="黑体" w:hAnsi="黑体" w:eastAsia="黑体" w:cs="黑体"/>
          <w:spacing w:val="-6"/>
          <w:sz w:val="27"/>
          <w:szCs w:val="27"/>
        </w:rPr>
        <w:t>范围</w:t>
      </w:r>
    </w:p>
    <w:p w14:paraId="77BF0648">
      <w:pPr>
        <w:pStyle w:val="2"/>
        <w:spacing w:before="90" w:line="218" w:lineRule="auto"/>
        <w:ind w:left="550"/>
      </w:pPr>
      <w:r>
        <w:rPr>
          <w:spacing w:val="4"/>
        </w:rPr>
        <w:t>说明安全性符合有关规定的评价的主题内容和适用范围。</w:t>
      </w:r>
    </w:p>
    <w:p w14:paraId="50868856">
      <w:pPr>
        <w:spacing w:before="72" w:line="222" w:lineRule="auto"/>
        <w:rPr>
          <w:rFonts w:ascii="黑体" w:hAnsi="黑体" w:eastAsia="黑体" w:cs="黑体"/>
          <w:sz w:val="27"/>
          <w:szCs w:val="27"/>
        </w:rPr>
      </w:pPr>
      <w:r>
        <w:rPr>
          <w:rFonts w:ascii="黑体" w:hAnsi="黑体" w:eastAsia="黑体" w:cs="黑体"/>
          <w:spacing w:val="3"/>
          <w:sz w:val="27"/>
          <w:szCs w:val="27"/>
        </w:rPr>
        <w:t>2  引用文件</w:t>
      </w:r>
    </w:p>
    <w:p w14:paraId="7DC0A7DB">
      <w:pPr>
        <w:pStyle w:val="2"/>
        <w:spacing w:before="105" w:line="218" w:lineRule="auto"/>
        <w:ind w:left="550"/>
      </w:pPr>
      <w:r>
        <w:rPr>
          <w:spacing w:val="5"/>
        </w:rPr>
        <w:t>列出编制安全性符合有关规定的评价的依据</w:t>
      </w:r>
      <w:r>
        <w:rPr>
          <w:spacing w:val="4"/>
        </w:rPr>
        <w:t>文件以及引用的所有文件。</w:t>
      </w:r>
    </w:p>
    <w:p w14:paraId="2D9B77D3">
      <w:pPr>
        <w:spacing w:before="22" w:line="368" w:lineRule="exact"/>
        <w:rPr>
          <w:rFonts w:ascii="黑体" w:hAnsi="黑体" w:eastAsia="黑体" w:cs="黑体"/>
          <w:sz w:val="27"/>
          <w:szCs w:val="27"/>
        </w:rPr>
      </w:pPr>
      <w:r>
        <w:rPr>
          <w:rFonts w:ascii="Arial" w:hAnsi="Arial" w:eastAsia="Arial" w:cs="Arial"/>
          <w:spacing w:val="2"/>
          <w:position w:val="1"/>
          <w:sz w:val="27"/>
          <w:szCs w:val="27"/>
        </w:rPr>
        <w:t>3</w:t>
      </w:r>
      <w:r>
        <w:rPr>
          <w:rFonts w:ascii="Arial" w:hAnsi="Arial" w:eastAsia="Arial" w:cs="Arial"/>
          <w:spacing w:val="19"/>
          <w:position w:val="1"/>
          <w:sz w:val="27"/>
          <w:szCs w:val="27"/>
        </w:rPr>
        <w:t xml:space="preserve">   </w:t>
      </w:r>
      <w:r>
        <w:rPr>
          <w:rFonts w:ascii="黑体" w:hAnsi="黑体" w:eastAsia="黑体" w:cs="黑体"/>
          <w:spacing w:val="2"/>
          <w:position w:val="1"/>
          <w:sz w:val="27"/>
          <w:szCs w:val="27"/>
        </w:rPr>
        <w:t>系统设计和规程符合有关规定的验证</w:t>
      </w:r>
    </w:p>
    <w:p w14:paraId="0EDD3FA7">
      <w:pPr>
        <w:pStyle w:val="2"/>
        <w:spacing w:before="91" w:line="296" w:lineRule="auto"/>
        <w:ind w:right="10" w:firstLine="550"/>
      </w:pPr>
      <w:r>
        <w:rPr>
          <w:spacing w:val="-3"/>
        </w:rPr>
        <w:t>鉴别适用于所研制系统的有关安全的国家、军用、行业以及国际的标准、规</w:t>
      </w:r>
      <w:r>
        <w:t xml:space="preserve"> </w:t>
      </w:r>
      <w:r>
        <w:rPr>
          <w:spacing w:val="6"/>
        </w:rPr>
        <w:t>范和法规，并验证系统的设计和规程是否符</w:t>
      </w:r>
      <w:r>
        <w:rPr>
          <w:spacing w:val="5"/>
        </w:rPr>
        <w:t>合这些规章中的设计与使用方面的</w:t>
      </w:r>
    </w:p>
    <w:p w14:paraId="7C45387B">
      <w:pPr>
        <w:spacing w:line="296" w:lineRule="auto"/>
        <w:sectPr>
          <w:footerReference r:id="rId566" w:type="default"/>
          <w:pgSz w:w="11910" w:h="17130"/>
          <w:pgMar w:top="400" w:right="898" w:bottom="1690" w:left="1630" w:header="0" w:footer="1417" w:gutter="0"/>
          <w:cols w:space="720" w:num="1"/>
        </w:sectPr>
      </w:pPr>
    </w:p>
    <w:p w14:paraId="524F769B">
      <w:pPr>
        <w:spacing w:line="279" w:lineRule="auto"/>
        <w:rPr>
          <w:rFonts w:ascii="Arial"/>
          <w:sz w:val="21"/>
        </w:rPr>
      </w:pPr>
    </w:p>
    <w:p w14:paraId="5ECBD4DC">
      <w:pPr>
        <w:spacing w:line="279" w:lineRule="auto"/>
        <w:rPr>
          <w:rFonts w:ascii="Arial"/>
          <w:sz w:val="21"/>
        </w:rPr>
      </w:pPr>
    </w:p>
    <w:p w14:paraId="00D724E4">
      <w:pPr>
        <w:spacing w:line="280" w:lineRule="auto"/>
        <w:rPr>
          <w:rFonts w:ascii="Arial"/>
          <w:sz w:val="21"/>
        </w:rPr>
      </w:pPr>
    </w:p>
    <w:p w14:paraId="1537960D">
      <w:pPr>
        <w:spacing w:line="280" w:lineRule="auto"/>
        <w:rPr>
          <w:rFonts w:ascii="Arial"/>
          <w:sz w:val="21"/>
        </w:rPr>
      </w:pPr>
    </w:p>
    <w:p w14:paraId="5F08ECE7">
      <w:pPr>
        <w:pStyle w:val="2"/>
        <w:spacing w:before="87" w:line="221" w:lineRule="auto"/>
      </w:pPr>
      <w:r>
        <w:rPr>
          <w:spacing w:val="3"/>
        </w:rPr>
        <w:t>安全要求。</w:t>
      </w:r>
    </w:p>
    <w:p w14:paraId="45C9A849">
      <w:pPr>
        <w:spacing w:before="65" w:line="222"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16"/>
          <w:sz w:val="27"/>
          <w:szCs w:val="27"/>
        </w:rPr>
        <w:t xml:space="preserve">  </w:t>
      </w:r>
      <w:r>
        <w:rPr>
          <w:rFonts w:ascii="黑体" w:hAnsi="黑体" w:eastAsia="黑体" w:cs="黑体"/>
          <w:spacing w:val="2"/>
          <w:sz w:val="27"/>
          <w:szCs w:val="27"/>
        </w:rPr>
        <w:t>安全性分析</w:t>
      </w:r>
    </w:p>
    <w:p w14:paraId="3F8157FC">
      <w:pPr>
        <w:spacing w:before="95" w:line="222" w:lineRule="auto"/>
        <w:rPr>
          <w:rFonts w:ascii="黑体" w:hAnsi="黑体" w:eastAsia="黑体" w:cs="黑体"/>
          <w:sz w:val="27"/>
          <w:szCs w:val="27"/>
        </w:rPr>
      </w:pPr>
      <w:r>
        <w:rPr>
          <w:rFonts w:ascii="黑体" w:hAnsi="黑体" w:eastAsia="黑体" w:cs="黑体"/>
          <w:sz w:val="27"/>
          <w:szCs w:val="27"/>
        </w:rPr>
        <w:t>4.1</w:t>
      </w:r>
      <w:r>
        <w:rPr>
          <w:rFonts w:ascii="黑体" w:hAnsi="黑体" w:eastAsia="黑体" w:cs="黑体"/>
          <w:spacing w:val="32"/>
          <w:sz w:val="27"/>
          <w:szCs w:val="27"/>
        </w:rPr>
        <w:t xml:space="preserve">  </w:t>
      </w:r>
      <w:r>
        <w:rPr>
          <w:rFonts w:ascii="黑体" w:hAnsi="黑体" w:eastAsia="黑体" w:cs="黑体"/>
          <w:sz w:val="27"/>
          <w:szCs w:val="27"/>
        </w:rPr>
        <w:t>初步危险分析</w:t>
      </w:r>
    </w:p>
    <w:p w14:paraId="5AE6124F">
      <w:pPr>
        <w:pStyle w:val="2"/>
        <w:spacing w:before="75" w:line="219" w:lineRule="auto"/>
        <w:ind w:left="590"/>
      </w:pPr>
      <w:r>
        <w:rPr>
          <w:spacing w:val="3"/>
        </w:rPr>
        <w:t>说明完成的初步危险分析的过程和结果。</w:t>
      </w:r>
    </w:p>
    <w:p w14:paraId="62454771">
      <w:pPr>
        <w:spacing w:before="106" w:line="221" w:lineRule="auto"/>
        <w:rPr>
          <w:rFonts w:ascii="黑体" w:hAnsi="黑体" w:eastAsia="黑体" w:cs="黑体"/>
          <w:sz w:val="24"/>
          <w:szCs w:val="24"/>
        </w:rPr>
      </w:pPr>
      <w:r>
        <w:rPr>
          <w:rFonts w:ascii="黑体" w:hAnsi="黑体" w:eastAsia="黑体" w:cs="黑体"/>
          <w:spacing w:val="27"/>
          <w:sz w:val="24"/>
          <w:szCs w:val="24"/>
        </w:rPr>
        <w:t>4.2</w:t>
      </w:r>
      <w:r>
        <w:rPr>
          <w:rFonts w:ascii="黑体" w:hAnsi="黑体" w:eastAsia="黑体" w:cs="黑体"/>
          <w:spacing w:val="49"/>
          <w:sz w:val="24"/>
          <w:szCs w:val="24"/>
        </w:rPr>
        <w:t xml:space="preserve">  </w:t>
      </w:r>
      <w:r>
        <w:rPr>
          <w:rFonts w:ascii="黑体" w:hAnsi="黑体" w:eastAsia="黑体" w:cs="黑体"/>
          <w:spacing w:val="27"/>
          <w:sz w:val="24"/>
          <w:szCs w:val="24"/>
        </w:rPr>
        <w:t>分系统危险分析</w:t>
      </w:r>
    </w:p>
    <w:p w14:paraId="38C8E5AF">
      <w:pPr>
        <w:pStyle w:val="2"/>
        <w:spacing w:before="96" w:line="219" w:lineRule="auto"/>
        <w:ind w:left="590"/>
      </w:pPr>
      <w:r>
        <w:rPr>
          <w:spacing w:val="3"/>
        </w:rPr>
        <w:t>说明完成的分系统危险分析的过程和结果。</w:t>
      </w:r>
    </w:p>
    <w:p w14:paraId="7CEE7A8E">
      <w:pPr>
        <w:spacing w:before="116" w:line="221" w:lineRule="auto"/>
        <w:rPr>
          <w:rFonts w:ascii="黑体" w:hAnsi="黑体" w:eastAsia="黑体" w:cs="黑体"/>
          <w:sz w:val="24"/>
          <w:szCs w:val="24"/>
        </w:rPr>
      </w:pPr>
      <w:r>
        <w:rPr>
          <w:rFonts w:ascii="黑体" w:hAnsi="黑体" w:eastAsia="黑体" w:cs="黑体"/>
          <w:spacing w:val="22"/>
          <w:sz w:val="24"/>
          <w:szCs w:val="24"/>
        </w:rPr>
        <w:t>4.3</w:t>
      </w:r>
      <w:r>
        <w:rPr>
          <w:rFonts w:ascii="黑体" w:hAnsi="黑体" w:eastAsia="黑体" w:cs="黑体"/>
          <w:spacing w:val="50"/>
          <w:sz w:val="24"/>
          <w:szCs w:val="24"/>
        </w:rPr>
        <w:t xml:space="preserve">  </w:t>
      </w:r>
      <w:r>
        <w:rPr>
          <w:rFonts w:ascii="黑体" w:hAnsi="黑体" w:eastAsia="黑体" w:cs="黑体"/>
          <w:spacing w:val="22"/>
          <w:sz w:val="24"/>
          <w:szCs w:val="24"/>
        </w:rPr>
        <w:t>系统危险分析</w:t>
      </w:r>
    </w:p>
    <w:p w14:paraId="072C3B69">
      <w:pPr>
        <w:pStyle w:val="2"/>
        <w:spacing w:before="86" w:line="219" w:lineRule="auto"/>
        <w:ind w:left="590"/>
      </w:pPr>
      <w:r>
        <w:rPr>
          <w:spacing w:val="3"/>
        </w:rPr>
        <w:t>说明完成的系统危险分析的过程和结果。</w:t>
      </w:r>
    </w:p>
    <w:p w14:paraId="75D4FD1D">
      <w:pPr>
        <w:spacing w:before="127" w:line="222" w:lineRule="auto"/>
        <w:rPr>
          <w:rFonts w:ascii="黑体" w:hAnsi="黑体" w:eastAsia="黑体" w:cs="黑体"/>
          <w:sz w:val="24"/>
          <w:szCs w:val="24"/>
        </w:rPr>
      </w:pPr>
      <w:r>
        <w:rPr>
          <w:rFonts w:ascii="黑体" w:hAnsi="黑体" w:eastAsia="黑体" w:cs="黑体"/>
          <w:spacing w:val="26"/>
          <w:sz w:val="24"/>
          <w:szCs w:val="24"/>
        </w:rPr>
        <w:t>4.4</w:t>
      </w:r>
      <w:r>
        <w:rPr>
          <w:rFonts w:ascii="黑体" w:hAnsi="黑体" w:eastAsia="黑体" w:cs="黑体"/>
          <w:spacing w:val="58"/>
          <w:sz w:val="24"/>
          <w:szCs w:val="24"/>
        </w:rPr>
        <w:t xml:space="preserve">  </w:t>
      </w:r>
      <w:r>
        <w:rPr>
          <w:rFonts w:ascii="黑体" w:hAnsi="黑体" w:eastAsia="黑体" w:cs="黑体"/>
          <w:spacing w:val="26"/>
          <w:sz w:val="24"/>
          <w:szCs w:val="24"/>
        </w:rPr>
        <w:t>使用和保障危险分析</w:t>
      </w:r>
    </w:p>
    <w:p w14:paraId="67D2C51F">
      <w:pPr>
        <w:pStyle w:val="2"/>
        <w:spacing w:before="94" w:line="219" w:lineRule="auto"/>
        <w:ind w:left="590"/>
      </w:pPr>
      <w:r>
        <w:rPr>
          <w:spacing w:val="3"/>
        </w:rPr>
        <w:t>说明完成的使用和保障危险分析的过程和结果。</w:t>
      </w:r>
    </w:p>
    <w:p w14:paraId="1CD639DF">
      <w:pPr>
        <w:spacing w:before="53" w:line="327" w:lineRule="exact"/>
        <w:rPr>
          <w:rFonts w:ascii="黑体" w:hAnsi="黑体" w:eastAsia="黑体" w:cs="黑体"/>
          <w:sz w:val="24"/>
          <w:szCs w:val="24"/>
        </w:rPr>
      </w:pPr>
      <w:r>
        <w:rPr>
          <w:rFonts w:ascii="Arial" w:hAnsi="Arial" w:eastAsia="Arial" w:cs="Arial"/>
          <w:spacing w:val="26"/>
          <w:position w:val="1"/>
          <w:sz w:val="24"/>
          <w:szCs w:val="24"/>
        </w:rPr>
        <w:t xml:space="preserve">5    </w:t>
      </w:r>
      <w:r>
        <w:rPr>
          <w:rFonts w:ascii="黑体" w:hAnsi="黑体" w:eastAsia="黑体" w:cs="黑体"/>
          <w:spacing w:val="26"/>
          <w:position w:val="1"/>
          <w:sz w:val="24"/>
          <w:szCs w:val="24"/>
        </w:rPr>
        <w:t>安全性问题及其预防措施</w:t>
      </w:r>
    </w:p>
    <w:p w14:paraId="5122D28B">
      <w:pPr>
        <w:spacing w:before="130" w:line="217" w:lineRule="auto"/>
        <w:rPr>
          <w:rFonts w:ascii="黑体" w:hAnsi="黑体" w:eastAsia="黑体" w:cs="黑体"/>
          <w:sz w:val="24"/>
          <w:szCs w:val="24"/>
        </w:rPr>
      </w:pPr>
      <w:r>
        <w:rPr>
          <w:rFonts w:ascii="黑体" w:hAnsi="黑体" w:eastAsia="黑体" w:cs="黑体"/>
          <w:spacing w:val="17"/>
          <w:sz w:val="24"/>
          <w:szCs w:val="24"/>
        </w:rPr>
        <w:t>5.1</w:t>
      </w:r>
      <w:r>
        <w:rPr>
          <w:rFonts w:ascii="黑体" w:hAnsi="黑体" w:eastAsia="黑体" w:cs="黑体"/>
          <w:spacing w:val="58"/>
          <w:sz w:val="24"/>
          <w:szCs w:val="24"/>
        </w:rPr>
        <w:t xml:space="preserve">  </w:t>
      </w:r>
      <w:r>
        <w:rPr>
          <w:rFonts w:ascii="黑体" w:hAnsi="黑体" w:eastAsia="黑体" w:cs="黑体"/>
          <w:spacing w:val="17"/>
          <w:sz w:val="24"/>
          <w:szCs w:val="24"/>
        </w:rPr>
        <w:t>残余危险</w:t>
      </w:r>
    </w:p>
    <w:p w14:paraId="3725CE83">
      <w:pPr>
        <w:pStyle w:val="2"/>
        <w:spacing w:before="84" w:line="291" w:lineRule="auto"/>
        <w:ind w:right="105" w:firstLine="590"/>
      </w:pPr>
      <w:r>
        <w:rPr>
          <w:spacing w:val="-11"/>
        </w:rPr>
        <w:t>确定和评价系统中存在的或本系统特有的接口、安装、试验、使用、维修或保</w:t>
      </w:r>
      <w:r>
        <w:rPr>
          <w:spacing w:val="12"/>
        </w:rPr>
        <w:t xml:space="preserve"> </w:t>
      </w:r>
      <w:r>
        <w:t>障引起的残余危险。</w:t>
      </w:r>
    </w:p>
    <w:p w14:paraId="0013AC99">
      <w:pPr>
        <w:spacing w:before="1" w:line="221" w:lineRule="auto"/>
        <w:rPr>
          <w:rFonts w:ascii="黑体" w:hAnsi="黑体" w:eastAsia="黑体" w:cs="黑体"/>
          <w:sz w:val="24"/>
          <w:szCs w:val="24"/>
        </w:rPr>
      </w:pPr>
      <w:r>
        <w:rPr>
          <w:rFonts w:ascii="黑体" w:hAnsi="黑体" w:eastAsia="黑体" w:cs="黑体"/>
          <w:spacing w:val="28"/>
          <w:sz w:val="24"/>
          <w:szCs w:val="24"/>
        </w:rPr>
        <w:t>5.2</w:t>
      </w:r>
      <w:r>
        <w:rPr>
          <w:rFonts w:ascii="黑体" w:hAnsi="黑体" w:eastAsia="黑体" w:cs="黑体"/>
          <w:spacing w:val="48"/>
          <w:sz w:val="24"/>
          <w:szCs w:val="24"/>
        </w:rPr>
        <w:t xml:space="preserve">  </w:t>
      </w:r>
      <w:r>
        <w:rPr>
          <w:rFonts w:ascii="黑体" w:hAnsi="黑体" w:eastAsia="黑体" w:cs="黑体"/>
          <w:spacing w:val="28"/>
          <w:sz w:val="24"/>
          <w:szCs w:val="24"/>
        </w:rPr>
        <w:t>必要的特殊安全性设计</w:t>
      </w:r>
    </w:p>
    <w:p w14:paraId="0E42AD4F">
      <w:pPr>
        <w:pStyle w:val="2"/>
        <w:spacing w:before="93" w:line="277" w:lineRule="auto"/>
        <w:ind w:right="103" w:firstLine="590"/>
      </w:pPr>
      <w:r>
        <w:rPr>
          <w:spacing w:val="-18"/>
        </w:rPr>
        <w:t>确定必要的特殊的安全性设计特性、装置、规程、技能、培训、设施、保障要求</w:t>
      </w:r>
      <w:r>
        <w:t xml:space="preserve"> </w:t>
      </w:r>
      <w:r>
        <w:rPr>
          <w:spacing w:val="3"/>
        </w:rPr>
        <w:t>及人员防护设备。</w:t>
      </w:r>
    </w:p>
    <w:p w14:paraId="52B4507C">
      <w:pPr>
        <w:spacing w:before="28" w:line="221" w:lineRule="auto"/>
        <w:rPr>
          <w:rFonts w:ascii="黑体" w:hAnsi="黑体" w:eastAsia="黑体" w:cs="黑体"/>
          <w:sz w:val="24"/>
          <w:szCs w:val="24"/>
        </w:rPr>
      </w:pPr>
      <w:r>
        <w:rPr>
          <w:rFonts w:ascii="黑体" w:hAnsi="黑体" w:eastAsia="黑体" w:cs="黑体"/>
          <w:spacing w:val="28"/>
          <w:sz w:val="24"/>
          <w:szCs w:val="24"/>
        </w:rPr>
        <w:t>5.3</w:t>
      </w:r>
      <w:r>
        <w:rPr>
          <w:rFonts w:ascii="黑体" w:hAnsi="黑体" w:eastAsia="黑体" w:cs="黑体"/>
          <w:spacing w:val="59"/>
          <w:sz w:val="24"/>
          <w:szCs w:val="24"/>
        </w:rPr>
        <w:t xml:space="preserve">  </w:t>
      </w:r>
      <w:r>
        <w:rPr>
          <w:rFonts w:ascii="黑体" w:hAnsi="黑体" w:eastAsia="黑体" w:cs="黑体"/>
          <w:spacing w:val="28"/>
          <w:sz w:val="24"/>
          <w:szCs w:val="24"/>
        </w:rPr>
        <w:t>危险器材及其预防措施和规程</w:t>
      </w:r>
    </w:p>
    <w:p w14:paraId="685806E4">
      <w:pPr>
        <w:pStyle w:val="2"/>
        <w:spacing w:before="105" w:line="277" w:lineRule="auto"/>
        <w:ind w:right="102" w:firstLine="590"/>
      </w:pPr>
      <w:r>
        <w:rPr>
          <w:spacing w:val="-11"/>
        </w:rPr>
        <w:t>确定危险器材及其安全装卸、使用、贮存、运输、维修及处理所需的预防措施</w:t>
      </w:r>
      <w:r>
        <w:rPr>
          <w:spacing w:val="15"/>
        </w:rPr>
        <w:t xml:space="preserve"> </w:t>
      </w:r>
      <w:r>
        <w:rPr>
          <w:spacing w:val="-3"/>
        </w:rPr>
        <w:t>和规程。</w:t>
      </w:r>
    </w:p>
    <w:p w14:paraId="59D63308">
      <w:pPr>
        <w:spacing w:line="241" w:lineRule="auto"/>
        <w:rPr>
          <w:rFonts w:ascii="Arial"/>
          <w:sz w:val="21"/>
        </w:rPr>
      </w:pPr>
    </w:p>
    <w:p w14:paraId="664C9164">
      <w:pPr>
        <w:pStyle w:val="2"/>
        <w:spacing w:before="118" w:line="220" w:lineRule="auto"/>
        <w:ind w:left="3199"/>
        <w:outlineLvl w:val="1"/>
        <w:rPr>
          <w:sz w:val="36"/>
          <w:szCs w:val="36"/>
        </w:rPr>
      </w:pPr>
      <w:r>
        <w:rPr>
          <w:rFonts w:ascii="Times New Roman" w:hAnsi="Times New Roman" w:eastAsia="Times New Roman" w:cs="Times New Roman"/>
          <w:b/>
          <w:bCs/>
          <w:spacing w:val="3"/>
          <w:sz w:val="36"/>
          <w:szCs w:val="36"/>
        </w:rPr>
        <w:t xml:space="preserve">11.14     </w:t>
      </w:r>
      <w:r>
        <w:rPr>
          <w:b/>
          <w:bCs/>
          <w:spacing w:val="3"/>
          <w:sz w:val="36"/>
          <w:szCs w:val="36"/>
        </w:rPr>
        <w:t>安全性培训</w:t>
      </w:r>
    </w:p>
    <w:p w14:paraId="17CC570F">
      <w:pPr>
        <w:spacing w:line="370" w:lineRule="auto"/>
        <w:rPr>
          <w:rFonts w:ascii="Arial"/>
          <w:sz w:val="21"/>
        </w:rPr>
      </w:pPr>
    </w:p>
    <w:p w14:paraId="514E314B">
      <w:pPr>
        <w:pStyle w:val="2"/>
        <w:spacing w:before="78" w:line="223" w:lineRule="auto"/>
        <w:ind w:left="59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21"/>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900—1990</w:t>
      </w:r>
      <w:r>
        <w:rPr>
          <w:spacing w:val="9"/>
          <w:sz w:val="24"/>
          <w:szCs w:val="24"/>
        </w:rPr>
        <w:t>《</w:t>
      </w:r>
      <w:r>
        <w:rPr>
          <w:rFonts w:ascii="楷体" w:hAnsi="楷体" w:eastAsia="楷体" w:cs="楷体"/>
          <w:b/>
          <w:bCs/>
          <w:spacing w:val="9"/>
          <w:sz w:val="24"/>
          <w:szCs w:val="24"/>
        </w:rPr>
        <w:t>系统安全性通用</w:t>
      </w:r>
      <w:r>
        <w:rPr>
          <w:rFonts w:ascii="楷体" w:hAnsi="楷体" w:eastAsia="楷体" w:cs="楷体"/>
          <w:b/>
          <w:bCs/>
          <w:spacing w:val="8"/>
          <w:sz w:val="24"/>
          <w:szCs w:val="24"/>
        </w:rPr>
        <w:t>大纲》编写。</w:t>
      </w:r>
    </w:p>
    <w:p w14:paraId="316A3DB7">
      <w:pPr>
        <w:spacing w:before="102"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24"/>
          <w:sz w:val="27"/>
          <w:szCs w:val="27"/>
        </w:rPr>
        <w:t xml:space="preserve">  </w:t>
      </w:r>
      <w:r>
        <w:rPr>
          <w:rFonts w:ascii="黑体" w:hAnsi="黑体" w:eastAsia="黑体" w:cs="黑体"/>
          <w:spacing w:val="-6"/>
          <w:sz w:val="27"/>
          <w:szCs w:val="27"/>
        </w:rPr>
        <w:t>范围</w:t>
      </w:r>
    </w:p>
    <w:p w14:paraId="10E644F2">
      <w:pPr>
        <w:spacing w:before="81"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8"/>
          <w:sz w:val="27"/>
          <w:szCs w:val="27"/>
        </w:rPr>
        <w:t xml:space="preserve">  </w:t>
      </w:r>
      <w:r>
        <w:rPr>
          <w:rFonts w:ascii="黑体" w:hAnsi="黑体" w:eastAsia="黑体" w:cs="黑体"/>
          <w:spacing w:val="2"/>
          <w:sz w:val="27"/>
          <w:szCs w:val="27"/>
        </w:rPr>
        <w:t>引用文件</w:t>
      </w:r>
    </w:p>
    <w:p w14:paraId="26DB9124">
      <w:pPr>
        <w:spacing w:before="75" w:line="221" w:lineRule="auto"/>
        <w:rPr>
          <w:rFonts w:ascii="黑体" w:hAnsi="黑体" w:eastAsia="黑体" w:cs="黑体"/>
          <w:sz w:val="27"/>
          <w:szCs w:val="27"/>
        </w:rPr>
      </w:pPr>
      <w:r>
        <w:rPr>
          <w:rFonts w:ascii="黑体" w:hAnsi="黑体" w:eastAsia="黑体" w:cs="黑体"/>
          <w:spacing w:val="-1"/>
          <w:sz w:val="27"/>
          <w:szCs w:val="27"/>
        </w:rPr>
        <w:t>3  试验、使用和保障人员的培训计划</w:t>
      </w:r>
    </w:p>
    <w:p w14:paraId="35D7D60E">
      <w:pPr>
        <w:pStyle w:val="2"/>
        <w:spacing w:before="119" w:line="262" w:lineRule="auto"/>
        <w:ind w:firstLine="590"/>
      </w:pPr>
      <w:r>
        <w:rPr>
          <w:spacing w:val="-8"/>
        </w:rPr>
        <w:t>制定完整、明确的系统安全培训计划，说明培训所采用的方法、技术、程序、</w:t>
      </w:r>
      <w:r>
        <w:rPr>
          <w:spacing w:val="16"/>
        </w:rPr>
        <w:t xml:space="preserve"> </w:t>
      </w:r>
      <w:r>
        <w:rPr>
          <w:spacing w:val="-8"/>
        </w:rPr>
        <w:t>内容、技术文件和仪器设备。</w:t>
      </w:r>
    </w:p>
    <w:p w14:paraId="74B3B7E0">
      <w:pPr>
        <w:pStyle w:val="2"/>
        <w:spacing w:before="34" w:line="219" w:lineRule="auto"/>
        <w:ind w:left="590"/>
      </w:pPr>
      <w:r>
        <w:rPr>
          <w:spacing w:val="2"/>
        </w:rPr>
        <w:t>应根据需要进行以下方面的培训：</w:t>
      </w:r>
    </w:p>
    <w:p w14:paraId="05B47C99">
      <w:pPr>
        <w:pStyle w:val="2"/>
        <w:spacing w:before="81" w:line="221" w:lineRule="auto"/>
        <w:ind w:left="590"/>
      </w:pPr>
      <w:r>
        <w:rPr>
          <w:rFonts w:ascii="Times New Roman" w:hAnsi="Times New Roman" w:eastAsia="Times New Roman" w:cs="Times New Roman"/>
          <w:spacing w:val="2"/>
        </w:rPr>
        <w:t>a</w:t>
      </w:r>
      <w:r>
        <w:rPr>
          <w:spacing w:val="2"/>
        </w:rPr>
        <w:t>)</w:t>
      </w:r>
      <w:r>
        <w:rPr>
          <w:spacing w:val="-26"/>
        </w:rPr>
        <w:t xml:space="preserve"> </w:t>
      </w:r>
      <w:r>
        <w:rPr>
          <w:spacing w:val="2"/>
        </w:rPr>
        <w:t>系统安全的一般原理与方法；</w:t>
      </w:r>
    </w:p>
    <w:p w14:paraId="791A3AD2">
      <w:pPr>
        <w:pStyle w:val="2"/>
        <w:spacing w:before="65" w:line="212" w:lineRule="auto"/>
        <w:ind w:left="590"/>
      </w:pPr>
      <w:r>
        <w:rPr>
          <w:rFonts w:ascii="Times New Roman" w:hAnsi="Times New Roman" w:eastAsia="Times New Roman" w:cs="Times New Roman"/>
          <w:spacing w:val="-5"/>
        </w:rPr>
        <w:t xml:space="preserve">b)  </w:t>
      </w:r>
      <w:r>
        <w:rPr>
          <w:spacing w:val="-5"/>
        </w:rPr>
        <w:t>系统的基本情况、安全特性、有关的危险和正确的操作顺序；</w:t>
      </w:r>
    </w:p>
    <w:p w14:paraId="517A7F12">
      <w:pPr>
        <w:pStyle w:val="2"/>
        <w:spacing w:before="129" w:line="220" w:lineRule="auto"/>
        <w:ind w:left="590"/>
        <w:rPr>
          <w:sz w:val="24"/>
          <w:szCs w:val="24"/>
        </w:rPr>
      </w:pPr>
      <w:r>
        <w:rPr>
          <w:rFonts w:ascii="Times New Roman" w:hAnsi="Times New Roman" w:eastAsia="Times New Roman" w:cs="Times New Roman"/>
          <w:spacing w:val="24"/>
          <w:sz w:val="24"/>
          <w:szCs w:val="24"/>
        </w:rPr>
        <w:t>c</w:t>
      </w:r>
      <w:r>
        <w:rPr>
          <w:spacing w:val="24"/>
          <w:sz w:val="24"/>
          <w:szCs w:val="24"/>
        </w:rPr>
        <w:t>)</w:t>
      </w:r>
      <w:r>
        <w:rPr>
          <w:spacing w:val="-12"/>
          <w:sz w:val="24"/>
          <w:szCs w:val="24"/>
        </w:rPr>
        <w:t xml:space="preserve"> </w:t>
      </w:r>
      <w:r>
        <w:rPr>
          <w:spacing w:val="24"/>
          <w:sz w:val="24"/>
          <w:szCs w:val="24"/>
        </w:rPr>
        <w:t>已批准的安全规程；</w:t>
      </w:r>
    </w:p>
    <w:p w14:paraId="479ED04A">
      <w:pPr>
        <w:pStyle w:val="2"/>
        <w:spacing w:before="84" w:line="212" w:lineRule="auto"/>
        <w:ind w:left="590"/>
      </w:pPr>
      <w:r>
        <w:rPr>
          <w:rFonts w:ascii="Times New Roman" w:hAnsi="Times New Roman" w:eastAsia="Times New Roman" w:cs="Times New Roman"/>
          <w:spacing w:val="-4"/>
        </w:rPr>
        <w:t xml:space="preserve">d)  </w:t>
      </w:r>
      <w:r>
        <w:rPr>
          <w:spacing w:val="-4"/>
        </w:rPr>
        <w:t>应急措施、步骤和安全装置的使用；</w:t>
      </w:r>
    </w:p>
    <w:p w14:paraId="699DA757">
      <w:pPr>
        <w:spacing w:line="212" w:lineRule="auto"/>
        <w:sectPr>
          <w:footerReference r:id="rId567" w:type="default"/>
          <w:pgSz w:w="11910" w:h="17130"/>
          <w:pgMar w:top="400" w:right="1374" w:bottom="1603" w:left="1019" w:header="0" w:footer="1405" w:gutter="0"/>
          <w:cols w:space="720" w:num="1"/>
        </w:sectPr>
      </w:pPr>
    </w:p>
    <w:p w14:paraId="4C749A61">
      <w:pPr>
        <w:spacing w:line="273" w:lineRule="auto"/>
        <w:rPr>
          <w:rFonts w:ascii="Arial"/>
          <w:sz w:val="21"/>
        </w:rPr>
      </w:pPr>
    </w:p>
    <w:p w14:paraId="50E2BF73">
      <w:pPr>
        <w:spacing w:line="273" w:lineRule="auto"/>
        <w:rPr>
          <w:rFonts w:ascii="Arial"/>
          <w:sz w:val="21"/>
        </w:rPr>
      </w:pPr>
    </w:p>
    <w:p w14:paraId="0D2719BD">
      <w:pPr>
        <w:spacing w:line="273" w:lineRule="auto"/>
        <w:rPr>
          <w:rFonts w:ascii="Arial"/>
          <w:sz w:val="21"/>
        </w:rPr>
      </w:pPr>
    </w:p>
    <w:p w14:paraId="0C61F511">
      <w:pPr>
        <w:spacing w:line="273" w:lineRule="auto"/>
        <w:rPr>
          <w:rFonts w:ascii="Arial"/>
          <w:sz w:val="21"/>
        </w:rPr>
      </w:pPr>
    </w:p>
    <w:p w14:paraId="6E0C9D9D">
      <w:pPr>
        <w:pStyle w:val="2"/>
        <w:spacing w:before="79" w:line="218" w:lineRule="auto"/>
        <w:ind w:left="550"/>
        <w:rPr>
          <w:sz w:val="24"/>
          <w:szCs w:val="24"/>
        </w:rPr>
      </w:pPr>
      <w:r>
        <w:rPr>
          <w:rFonts w:ascii="Times New Roman" w:hAnsi="Times New Roman" w:eastAsia="Times New Roman" w:cs="Times New Roman"/>
          <w:spacing w:val="25"/>
          <w:sz w:val="24"/>
          <w:szCs w:val="24"/>
        </w:rPr>
        <w:t>e</w:t>
      </w:r>
      <w:r>
        <w:rPr>
          <w:rFonts w:ascii="Times New Roman" w:hAnsi="Times New Roman" w:eastAsia="Times New Roman" w:cs="Times New Roman"/>
          <w:spacing w:val="-18"/>
          <w:sz w:val="24"/>
          <w:szCs w:val="24"/>
        </w:rPr>
        <w:t xml:space="preserve"> </w:t>
      </w:r>
      <w:r>
        <w:rPr>
          <w:spacing w:val="25"/>
          <w:sz w:val="24"/>
          <w:szCs w:val="24"/>
        </w:rPr>
        <w:t>)</w:t>
      </w:r>
      <w:r>
        <w:rPr>
          <w:spacing w:val="-30"/>
          <w:sz w:val="24"/>
          <w:szCs w:val="24"/>
        </w:rPr>
        <w:t xml:space="preserve"> </w:t>
      </w:r>
      <w:r>
        <w:rPr>
          <w:spacing w:val="25"/>
          <w:sz w:val="24"/>
          <w:szCs w:val="24"/>
        </w:rPr>
        <w:t>各类告警装置的意义；</w:t>
      </w:r>
    </w:p>
    <w:p w14:paraId="40D0107E">
      <w:pPr>
        <w:pStyle w:val="2"/>
        <w:spacing w:before="59" w:line="212" w:lineRule="auto"/>
        <w:ind w:left="550"/>
      </w:pPr>
      <w:r>
        <w:rPr>
          <w:rFonts w:ascii="Times New Roman" w:hAnsi="Times New Roman" w:eastAsia="Times New Roman" w:cs="Times New Roman"/>
          <w:spacing w:val="-6"/>
        </w:rPr>
        <w:t>f)</w:t>
      </w:r>
      <w:r>
        <w:rPr>
          <w:rFonts w:ascii="Times New Roman" w:hAnsi="Times New Roman" w:eastAsia="Times New Roman" w:cs="Times New Roman"/>
          <w:spacing w:val="73"/>
        </w:rPr>
        <w:t xml:space="preserve"> </w:t>
      </w:r>
      <w:r>
        <w:rPr>
          <w:spacing w:val="-6"/>
        </w:rPr>
        <w:t>实际的装卸、操作和试验技能；</w:t>
      </w:r>
    </w:p>
    <w:p w14:paraId="36A5A2D2">
      <w:pPr>
        <w:pStyle w:val="2"/>
        <w:spacing w:before="141" w:line="212" w:lineRule="auto"/>
        <w:ind w:left="550"/>
        <w:rPr>
          <w:sz w:val="25"/>
          <w:szCs w:val="25"/>
        </w:rPr>
      </w:pPr>
      <w:r>
        <w:rPr>
          <w:rFonts w:ascii="Times New Roman" w:hAnsi="Times New Roman" w:eastAsia="Times New Roman" w:cs="Times New Roman"/>
          <w:spacing w:val="11"/>
          <w:sz w:val="25"/>
          <w:szCs w:val="25"/>
        </w:rPr>
        <w:t xml:space="preserve">g)  </w:t>
      </w:r>
      <w:r>
        <w:rPr>
          <w:spacing w:val="11"/>
          <w:sz w:val="25"/>
          <w:szCs w:val="25"/>
        </w:rPr>
        <w:t>事故的调查、分析和控制方法；</w:t>
      </w:r>
    </w:p>
    <w:p w14:paraId="3B014592">
      <w:pPr>
        <w:pStyle w:val="2"/>
        <w:spacing w:before="94" w:line="212" w:lineRule="auto"/>
        <w:ind w:left="550"/>
        <w:rPr>
          <w:sz w:val="24"/>
          <w:szCs w:val="24"/>
        </w:rPr>
      </w:pPr>
      <w:r>
        <w:rPr>
          <w:rFonts w:ascii="Times New Roman" w:hAnsi="Times New Roman" w:eastAsia="Times New Roman" w:cs="Times New Roman"/>
          <w:spacing w:val="23"/>
          <w:sz w:val="24"/>
          <w:szCs w:val="24"/>
        </w:rPr>
        <w:t xml:space="preserve">h)  </w:t>
      </w:r>
      <w:r>
        <w:rPr>
          <w:spacing w:val="23"/>
          <w:sz w:val="24"/>
          <w:szCs w:val="24"/>
        </w:rPr>
        <w:t>人员急救常识。</w:t>
      </w:r>
    </w:p>
    <w:p w14:paraId="57339318">
      <w:pPr>
        <w:spacing w:before="126" w:line="221" w:lineRule="auto"/>
        <w:rPr>
          <w:rFonts w:ascii="黑体" w:hAnsi="黑体" w:eastAsia="黑体" w:cs="黑体"/>
          <w:sz w:val="27"/>
          <w:szCs w:val="27"/>
        </w:rPr>
      </w:pPr>
      <w:r>
        <w:rPr>
          <w:rFonts w:ascii="黑体" w:hAnsi="黑体" w:eastAsia="黑体" w:cs="黑体"/>
          <w:spacing w:val="-6"/>
          <w:sz w:val="27"/>
          <w:szCs w:val="27"/>
        </w:rPr>
        <w:t xml:space="preserve">4  </w:t>
      </w:r>
      <w:r>
        <w:rPr>
          <w:rFonts w:ascii="黑体" w:hAnsi="黑体" w:eastAsia="黑体" w:cs="黑体"/>
          <w:b/>
          <w:bCs/>
          <w:spacing w:val="-6"/>
          <w:sz w:val="27"/>
          <w:szCs w:val="27"/>
        </w:rPr>
        <w:t>设计、研制和生产人员的培训计划</w:t>
      </w:r>
    </w:p>
    <w:p w14:paraId="0BC60EB5">
      <w:pPr>
        <w:pStyle w:val="2"/>
        <w:spacing w:before="72" w:line="303" w:lineRule="auto"/>
        <w:ind w:left="40" w:firstLine="509"/>
        <w:rPr>
          <w:sz w:val="25"/>
          <w:szCs w:val="25"/>
        </w:rPr>
      </w:pPr>
      <w:r>
        <w:rPr>
          <w:spacing w:val="13"/>
          <w:sz w:val="25"/>
          <w:szCs w:val="25"/>
        </w:rPr>
        <w:t>制定完整、明确的系统安全培训计划，说明培训所采用的</w:t>
      </w:r>
      <w:r>
        <w:rPr>
          <w:spacing w:val="12"/>
          <w:sz w:val="25"/>
          <w:szCs w:val="25"/>
        </w:rPr>
        <w:t>方法、技术、程序、</w:t>
      </w:r>
      <w:r>
        <w:rPr>
          <w:sz w:val="25"/>
          <w:szCs w:val="25"/>
        </w:rPr>
        <w:t xml:space="preserve"> </w:t>
      </w:r>
      <w:r>
        <w:rPr>
          <w:spacing w:val="10"/>
          <w:sz w:val="25"/>
          <w:szCs w:val="25"/>
        </w:rPr>
        <w:t>内容、技术文件和仪器设备。</w:t>
      </w:r>
    </w:p>
    <w:p w14:paraId="05803B0B">
      <w:pPr>
        <w:pStyle w:val="2"/>
        <w:spacing w:line="219" w:lineRule="auto"/>
        <w:ind w:left="550"/>
      </w:pPr>
      <w:r>
        <w:rPr>
          <w:spacing w:val="-2"/>
        </w:rPr>
        <w:t>对设计、研制和生产人员应进行以下方面的培训：</w:t>
      </w:r>
    </w:p>
    <w:p w14:paraId="7DDBBCDD">
      <w:pPr>
        <w:pStyle w:val="2"/>
        <w:spacing w:before="59" w:line="212" w:lineRule="auto"/>
        <w:ind w:left="550"/>
      </w:pPr>
      <w:r>
        <w:rPr>
          <w:rFonts w:ascii="Times New Roman" w:hAnsi="Times New Roman" w:eastAsia="Times New Roman" w:cs="Times New Roman"/>
          <w:spacing w:val="-4"/>
        </w:rPr>
        <w:t xml:space="preserve">a)  </w:t>
      </w:r>
      <w:r>
        <w:rPr>
          <w:spacing w:val="-4"/>
        </w:rPr>
        <w:t>系统安全管理的方针、技术与方法；</w:t>
      </w:r>
    </w:p>
    <w:p w14:paraId="56534519">
      <w:pPr>
        <w:pStyle w:val="2"/>
        <w:spacing w:before="109" w:line="212" w:lineRule="auto"/>
        <w:ind w:left="550"/>
      </w:pPr>
      <w:r>
        <w:rPr>
          <w:rFonts w:ascii="Times New Roman" w:hAnsi="Times New Roman" w:eastAsia="Times New Roman" w:cs="Times New Roman"/>
          <w:spacing w:val="3"/>
        </w:rPr>
        <w:t xml:space="preserve">b)  </w:t>
      </w:r>
      <w:r>
        <w:rPr>
          <w:spacing w:val="3"/>
        </w:rPr>
        <w:t>系统安全分析的技术与方法；</w:t>
      </w:r>
    </w:p>
    <w:p w14:paraId="1B676C62">
      <w:pPr>
        <w:pStyle w:val="2"/>
        <w:spacing w:before="121" w:line="212" w:lineRule="auto"/>
        <w:ind w:left="550"/>
        <w:rPr>
          <w:sz w:val="25"/>
          <w:szCs w:val="25"/>
        </w:rPr>
      </w:pPr>
      <w:r>
        <w:rPr>
          <w:rFonts w:ascii="Times New Roman" w:hAnsi="Times New Roman" w:eastAsia="Times New Roman" w:cs="Times New Roman"/>
          <w:spacing w:val="12"/>
          <w:sz w:val="25"/>
          <w:szCs w:val="25"/>
        </w:rPr>
        <w:t>c)</w:t>
      </w:r>
      <w:r>
        <w:rPr>
          <w:rFonts w:ascii="Times New Roman" w:hAnsi="Times New Roman" w:eastAsia="Times New Roman" w:cs="Times New Roman"/>
          <w:spacing w:val="73"/>
          <w:sz w:val="25"/>
          <w:szCs w:val="25"/>
        </w:rPr>
        <w:t xml:space="preserve"> </w:t>
      </w:r>
      <w:r>
        <w:rPr>
          <w:spacing w:val="12"/>
          <w:sz w:val="25"/>
          <w:szCs w:val="25"/>
        </w:rPr>
        <w:t>安全性设计的准则、技术与方法；</w:t>
      </w:r>
    </w:p>
    <w:p w14:paraId="0AC0C48E">
      <w:pPr>
        <w:pStyle w:val="2"/>
        <w:spacing w:before="92" w:line="212" w:lineRule="auto"/>
        <w:ind w:left="550"/>
      </w:pPr>
      <w:r>
        <w:rPr>
          <w:rFonts w:ascii="Times New Roman" w:hAnsi="Times New Roman" w:eastAsia="Times New Roman" w:cs="Times New Roman"/>
          <w:spacing w:val="2"/>
        </w:rPr>
        <w:t>d)</w:t>
      </w:r>
      <w:r>
        <w:rPr>
          <w:rFonts w:ascii="Times New Roman" w:hAnsi="Times New Roman" w:eastAsia="Times New Roman" w:cs="Times New Roman"/>
          <w:spacing w:val="73"/>
        </w:rPr>
        <w:t xml:space="preserve"> </w:t>
      </w:r>
      <w:r>
        <w:rPr>
          <w:spacing w:val="2"/>
        </w:rPr>
        <w:t>安全性验证的技术与方法；</w:t>
      </w:r>
    </w:p>
    <w:p w14:paraId="49AE5849">
      <w:pPr>
        <w:pStyle w:val="2"/>
        <w:spacing w:before="122" w:line="212" w:lineRule="auto"/>
        <w:ind w:left="550"/>
        <w:rPr>
          <w:sz w:val="24"/>
          <w:szCs w:val="24"/>
        </w:rPr>
      </w:pPr>
      <w:r>
        <w:rPr>
          <w:rFonts w:ascii="Times New Roman" w:hAnsi="Times New Roman" w:eastAsia="Times New Roman" w:cs="Times New Roman"/>
          <w:spacing w:val="27"/>
          <w:sz w:val="24"/>
          <w:szCs w:val="24"/>
        </w:rPr>
        <w:t xml:space="preserve">e)  </w:t>
      </w:r>
      <w:r>
        <w:rPr>
          <w:spacing w:val="27"/>
          <w:sz w:val="24"/>
          <w:szCs w:val="24"/>
        </w:rPr>
        <w:t>安全性评价的技术与方法；</w:t>
      </w:r>
    </w:p>
    <w:p w14:paraId="5C6DC95C">
      <w:pPr>
        <w:pStyle w:val="2"/>
        <w:spacing w:before="144" w:line="212" w:lineRule="auto"/>
        <w:ind w:left="550"/>
        <w:rPr>
          <w:sz w:val="24"/>
          <w:szCs w:val="24"/>
        </w:rPr>
      </w:pPr>
      <w:r>
        <w:rPr>
          <w:rFonts w:ascii="Times New Roman" w:hAnsi="Times New Roman" w:eastAsia="Times New Roman" w:cs="Times New Roman"/>
          <w:spacing w:val="22"/>
          <w:sz w:val="24"/>
          <w:szCs w:val="24"/>
        </w:rPr>
        <w:t xml:space="preserve">f)  </w:t>
      </w:r>
      <w:r>
        <w:rPr>
          <w:spacing w:val="22"/>
          <w:sz w:val="24"/>
          <w:szCs w:val="24"/>
        </w:rPr>
        <w:t>事故的调查、分析与控制的技术与方法；</w:t>
      </w:r>
    </w:p>
    <w:p w14:paraId="515649DE">
      <w:pPr>
        <w:pStyle w:val="2"/>
        <w:spacing w:before="102" w:line="212" w:lineRule="auto"/>
        <w:ind w:left="550"/>
      </w:pPr>
      <w:r>
        <w:rPr>
          <w:rFonts w:ascii="Times New Roman" w:hAnsi="Times New Roman" w:eastAsia="Times New Roman" w:cs="Times New Roman"/>
          <w:spacing w:val="8"/>
        </w:rPr>
        <w:t>g</w:t>
      </w:r>
      <w:r>
        <w:rPr>
          <w:spacing w:val="8"/>
        </w:rPr>
        <w:t>)各类危险的性质及其容限；</w:t>
      </w:r>
    </w:p>
    <w:p w14:paraId="24109C17">
      <w:pPr>
        <w:pStyle w:val="2"/>
        <w:spacing w:before="81" w:line="212" w:lineRule="auto"/>
        <w:ind w:left="550"/>
      </w:pPr>
      <w:r>
        <w:rPr>
          <w:rFonts w:ascii="Times New Roman" w:hAnsi="Times New Roman" w:eastAsia="Times New Roman" w:cs="Times New Roman"/>
          <w:spacing w:val="3"/>
        </w:rPr>
        <w:t>h)</w:t>
      </w:r>
      <w:r>
        <w:rPr>
          <w:rFonts w:ascii="Times New Roman" w:hAnsi="Times New Roman" w:eastAsia="Times New Roman" w:cs="Times New Roman"/>
          <w:spacing w:val="4"/>
        </w:rPr>
        <w:t xml:space="preserve">  </w:t>
      </w:r>
      <w:r>
        <w:rPr>
          <w:spacing w:val="3"/>
        </w:rPr>
        <w:t>职业健康的原理和有关规定；</w:t>
      </w:r>
    </w:p>
    <w:p w14:paraId="35EFD30A">
      <w:pPr>
        <w:pStyle w:val="2"/>
        <w:spacing w:before="90" w:line="212" w:lineRule="auto"/>
        <w:ind w:left="550"/>
      </w:pPr>
      <w:r>
        <w:rPr>
          <w:spacing w:val="-5"/>
        </w:rPr>
        <w:t>.</w:t>
      </w:r>
      <w:r>
        <w:rPr>
          <w:rFonts w:ascii="Times New Roman" w:hAnsi="Times New Roman" w:eastAsia="Times New Roman" w:cs="Times New Roman"/>
          <w:spacing w:val="-5"/>
        </w:rPr>
        <w:t>i)</w:t>
      </w:r>
      <w:r>
        <w:rPr>
          <w:rFonts w:ascii="Times New Roman" w:hAnsi="Times New Roman" w:eastAsia="Times New Roman" w:cs="Times New Roman"/>
          <w:spacing w:val="29"/>
        </w:rPr>
        <w:t xml:space="preserve">  </w:t>
      </w:r>
      <w:r>
        <w:rPr>
          <w:spacing w:val="-5"/>
        </w:rPr>
        <w:t>系统安全与其他设计工程的联系；</w:t>
      </w:r>
    </w:p>
    <w:p w14:paraId="59296F64">
      <w:pPr>
        <w:pStyle w:val="2"/>
        <w:spacing w:before="109" w:line="212" w:lineRule="auto"/>
        <w:ind w:left="550"/>
      </w:pPr>
      <w:r>
        <w:rPr>
          <w:rFonts w:ascii="Times New Roman" w:hAnsi="Times New Roman" w:eastAsia="Times New Roman" w:cs="Times New Roman"/>
          <w:spacing w:val="4"/>
        </w:rPr>
        <w:t>j)</w:t>
      </w:r>
      <w:r>
        <w:rPr>
          <w:rFonts w:ascii="Times New Roman" w:hAnsi="Times New Roman" w:eastAsia="Times New Roman" w:cs="Times New Roman"/>
          <w:spacing w:val="63"/>
        </w:rPr>
        <w:t xml:space="preserve"> </w:t>
      </w:r>
      <w:r>
        <w:rPr>
          <w:spacing w:val="4"/>
        </w:rPr>
        <w:t>有关系统安全方面的法规和标准；</w:t>
      </w:r>
    </w:p>
    <w:p w14:paraId="117D5B43">
      <w:pPr>
        <w:pStyle w:val="2"/>
        <w:spacing w:before="113" w:line="212" w:lineRule="auto"/>
        <w:ind w:left="550"/>
        <w:rPr>
          <w:sz w:val="24"/>
          <w:szCs w:val="24"/>
        </w:rPr>
      </w:pPr>
      <w:r>
        <w:rPr>
          <w:rFonts w:ascii="Times New Roman" w:hAnsi="Times New Roman" w:eastAsia="Times New Roman" w:cs="Times New Roman"/>
          <w:spacing w:val="26"/>
          <w:sz w:val="24"/>
          <w:szCs w:val="24"/>
        </w:rPr>
        <w:t>k)</w:t>
      </w:r>
      <w:r>
        <w:rPr>
          <w:rFonts w:ascii="Times New Roman" w:hAnsi="Times New Roman" w:eastAsia="Times New Roman" w:cs="Times New Roman"/>
          <w:spacing w:val="28"/>
          <w:sz w:val="24"/>
          <w:szCs w:val="24"/>
        </w:rPr>
        <w:t xml:space="preserve">  </w:t>
      </w:r>
      <w:r>
        <w:rPr>
          <w:spacing w:val="26"/>
          <w:sz w:val="24"/>
          <w:szCs w:val="24"/>
        </w:rPr>
        <w:t>系统的系统安全大纲。</w:t>
      </w:r>
    </w:p>
    <w:p w14:paraId="40D74C33">
      <w:pPr>
        <w:spacing w:before="136" w:line="221" w:lineRule="auto"/>
        <w:ind w:left="40"/>
        <w:rPr>
          <w:rFonts w:ascii="黑体" w:hAnsi="黑体" w:eastAsia="黑体" w:cs="黑体"/>
          <w:sz w:val="27"/>
          <w:szCs w:val="27"/>
        </w:rPr>
      </w:pPr>
      <w:r>
        <w:rPr>
          <w:rFonts w:ascii="黑体" w:hAnsi="黑体" w:eastAsia="黑体" w:cs="黑体"/>
          <w:spacing w:val="4"/>
          <w:sz w:val="27"/>
          <w:szCs w:val="27"/>
        </w:rPr>
        <w:t xml:space="preserve">5  </w:t>
      </w:r>
      <w:r>
        <w:rPr>
          <w:rFonts w:ascii="黑体" w:hAnsi="黑体" w:eastAsia="黑体" w:cs="黑体"/>
          <w:b/>
          <w:bCs/>
          <w:spacing w:val="4"/>
          <w:sz w:val="27"/>
          <w:szCs w:val="27"/>
        </w:rPr>
        <w:t>订购方管理人员的培训计划</w:t>
      </w:r>
    </w:p>
    <w:p w14:paraId="3FE7F3D1">
      <w:pPr>
        <w:pStyle w:val="2"/>
        <w:spacing w:before="103" w:line="275" w:lineRule="auto"/>
        <w:ind w:left="40" w:right="110" w:firstLine="509"/>
      </w:pPr>
      <w:r>
        <w:rPr>
          <w:spacing w:val="6"/>
        </w:rPr>
        <w:t>订购方管理人员主要是指订购方工程项目负责人，以</w:t>
      </w:r>
      <w:r>
        <w:rPr>
          <w:spacing w:val="5"/>
        </w:rPr>
        <w:t>及驻承制方的军事代</w:t>
      </w:r>
      <w:r>
        <w:t xml:space="preserve"> </w:t>
      </w:r>
      <w:r>
        <w:rPr>
          <w:spacing w:val="-5"/>
        </w:rPr>
        <w:t>表，他们可参加前面两类人员的培训，不必再举办另外的培训。</w:t>
      </w:r>
    </w:p>
    <w:p w14:paraId="2479BC5E">
      <w:pPr>
        <w:pStyle w:val="2"/>
        <w:spacing w:before="345" w:line="219" w:lineRule="auto"/>
        <w:ind w:left="2649"/>
        <w:rPr>
          <w:sz w:val="36"/>
          <w:szCs w:val="36"/>
        </w:rPr>
      </w:pPr>
      <w:r>
        <w:rPr>
          <w:spacing w:val="-5"/>
          <w:sz w:val="36"/>
          <w:szCs w:val="36"/>
        </w:rPr>
        <w:t>11.</w:t>
      </w:r>
      <w:r>
        <w:rPr>
          <w:b/>
          <w:bCs/>
          <w:spacing w:val="-5"/>
          <w:sz w:val="36"/>
          <w:szCs w:val="36"/>
        </w:rPr>
        <w:t>15</w:t>
      </w:r>
      <w:r>
        <w:rPr>
          <w:spacing w:val="38"/>
          <w:sz w:val="36"/>
          <w:szCs w:val="36"/>
        </w:rPr>
        <w:t xml:space="preserve">  </w:t>
      </w:r>
      <w:r>
        <w:rPr>
          <w:b/>
          <w:bCs/>
          <w:spacing w:val="-5"/>
          <w:sz w:val="36"/>
          <w:szCs w:val="36"/>
        </w:rPr>
        <w:t>软件需求危险分析</w:t>
      </w:r>
    </w:p>
    <w:p w14:paraId="4DED1BF5">
      <w:pPr>
        <w:spacing w:line="373" w:lineRule="auto"/>
        <w:rPr>
          <w:rFonts w:ascii="Arial"/>
          <w:sz w:val="21"/>
        </w:rPr>
      </w:pPr>
    </w:p>
    <w:p w14:paraId="3DB60489">
      <w:pPr>
        <w:pStyle w:val="2"/>
        <w:spacing w:before="78" w:line="223" w:lineRule="auto"/>
        <w:ind w:left="55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21"/>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900—1990</w:t>
      </w:r>
      <w:r>
        <w:rPr>
          <w:spacing w:val="9"/>
          <w:sz w:val="24"/>
          <w:szCs w:val="24"/>
        </w:rPr>
        <w:t>《</w:t>
      </w:r>
      <w:r>
        <w:rPr>
          <w:rFonts w:ascii="楷体" w:hAnsi="楷体" w:eastAsia="楷体" w:cs="楷体"/>
          <w:b/>
          <w:bCs/>
          <w:spacing w:val="9"/>
          <w:sz w:val="24"/>
          <w:szCs w:val="24"/>
        </w:rPr>
        <w:t>系统安全性通用</w:t>
      </w:r>
      <w:r>
        <w:rPr>
          <w:rFonts w:ascii="楷体" w:hAnsi="楷体" w:eastAsia="楷体" w:cs="楷体"/>
          <w:b/>
          <w:bCs/>
          <w:spacing w:val="8"/>
          <w:sz w:val="24"/>
          <w:szCs w:val="24"/>
        </w:rPr>
        <w:t>大纲》编写。</w:t>
      </w:r>
    </w:p>
    <w:p w14:paraId="4E21CC0D">
      <w:pPr>
        <w:spacing w:before="107" w:line="223" w:lineRule="auto"/>
        <w:ind w:left="40"/>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26"/>
          <w:sz w:val="27"/>
          <w:szCs w:val="27"/>
        </w:rPr>
        <w:t xml:space="preserve">  </w:t>
      </w:r>
      <w:r>
        <w:rPr>
          <w:rFonts w:ascii="黑体" w:hAnsi="黑体" w:eastAsia="黑体" w:cs="黑体"/>
          <w:b/>
          <w:bCs/>
          <w:spacing w:val="-4"/>
          <w:sz w:val="27"/>
          <w:szCs w:val="27"/>
        </w:rPr>
        <w:t>范围</w:t>
      </w:r>
    </w:p>
    <w:p w14:paraId="637633F8">
      <w:pPr>
        <w:pStyle w:val="2"/>
        <w:spacing w:before="88" w:line="219" w:lineRule="auto"/>
        <w:ind w:left="650"/>
      </w:pPr>
      <w:r>
        <w:rPr>
          <w:spacing w:val="4"/>
        </w:rPr>
        <w:t>说明软件需求危险分析的主题内容和适用范围。</w:t>
      </w:r>
    </w:p>
    <w:p w14:paraId="26D91DB9">
      <w:pPr>
        <w:spacing w:before="74" w:line="222" w:lineRule="auto"/>
        <w:ind w:left="40"/>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38"/>
          <w:sz w:val="27"/>
          <w:szCs w:val="27"/>
        </w:rPr>
        <w:t xml:space="preserve">  </w:t>
      </w:r>
      <w:r>
        <w:rPr>
          <w:rFonts w:ascii="黑体" w:hAnsi="黑体" w:eastAsia="黑体" w:cs="黑体"/>
          <w:b/>
          <w:bCs/>
          <w:spacing w:val="-1"/>
          <w:sz w:val="27"/>
          <w:szCs w:val="27"/>
        </w:rPr>
        <w:t>引用文件</w:t>
      </w:r>
    </w:p>
    <w:p w14:paraId="5CC505EA">
      <w:pPr>
        <w:pStyle w:val="2"/>
        <w:spacing w:before="99" w:line="219" w:lineRule="auto"/>
        <w:ind w:left="550"/>
      </w:pPr>
      <w:r>
        <w:rPr>
          <w:spacing w:val="4"/>
        </w:rPr>
        <w:t>列出编制软件需求危险分析的依据文件以及引用的所有文件。</w:t>
      </w:r>
    </w:p>
    <w:p w14:paraId="6157B21B">
      <w:pPr>
        <w:spacing w:before="107" w:line="223" w:lineRule="auto"/>
        <w:ind w:left="40"/>
        <w:rPr>
          <w:rFonts w:ascii="黑体" w:hAnsi="黑体" w:eastAsia="黑体" w:cs="黑体"/>
          <w:sz w:val="24"/>
          <w:szCs w:val="24"/>
        </w:rPr>
      </w:pPr>
      <w:r>
        <w:rPr>
          <w:rFonts w:ascii="黑体" w:hAnsi="黑体" w:eastAsia="黑体" w:cs="黑体"/>
          <w:spacing w:val="13"/>
          <w:sz w:val="24"/>
          <w:szCs w:val="24"/>
        </w:rPr>
        <w:t>3</w:t>
      </w:r>
      <w:r>
        <w:rPr>
          <w:rFonts w:ascii="黑体" w:hAnsi="黑体" w:eastAsia="黑体" w:cs="黑体"/>
          <w:spacing w:val="109"/>
          <w:sz w:val="24"/>
          <w:szCs w:val="24"/>
        </w:rPr>
        <w:t xml:space="preserve"> </w:t>
      </w:r>
      <w:r>
        <w:rPr>
          <w:rFonts w:ascii="黑体" w:hAnsi="黑体" w:eastAsia="黑体" w:cs="黑体"/>
          <w:spacing w:val="13"/>
          <w:sz w:val="24"/>
          <w:szCs w:val="24"/>
        </w:rPr>
        <w:t>“</w:t>
      </w:r>
      <w:r>
        <w:rPr>
          <w:rFonts w:ascii="黑体" w:hAnsi="黑体" w:eastAsia="黑体" w:cs="黑体"/>
          <w:spacing w:val="-81"/>
          <w:sz w:val="24"/>
          <w:szCs w:val="24"/>
        </w:rPr>
        <w:t xml:space="preserve"> </w:t>
      </w:r>
      <w:r>
        <w:rPr>
          <w:rFonts w:ascii="黑体" w:hAnsi="黑体" w:eastAsia="黑体" w:cs="黑体"/>
          <w:b/>
          <w:bCs/>
          <w:spacing w:val="13"/>
          <w:sz w:val="24"/>
          <w:szCs w:val="24"/>
        </w:rPr>
        <w:t>安全性关键的”的定义</w:t>
      </w:r>
    </w:p>
    <w:p w14:paraId="1A349255">
      <w:pPr>
        <w:pStyle w:val="2"/>
        <w:spacing w:before="113" w:line="219" w:lineRule="auto"/>
        <w:ind w:left="550"/>
        <w:rPr>
          <w:sz w:val="24"/>
          <w:szCs w:val="24"/>
        </w:rPr>
      </w:pPr>
      <w:r>
        <w:rPr>
          <w:spacing w:val="19"/>
          <w:sz w:val="24"/>
          <w:szCs w:val="24"/>
        </w:rPr>
        <w:t>在所分析的系统、分系统或部件范围内“安全性关键的”的定义。</w:t>
      </w:r>
    </w:p>
    <w:p w14:paraId="69F5C8A9">
      <w:pPr>
        <w:spacing w:before="91" w:line="222" w:lineRule="auto"/>
        <w:ind w:left="40"/>
        <w:outlineLvl w:val="3"/>
        <w:rPr>
          <w:rFonts w:ascii="黑体" w:hAnsi="黑体" w:eastAsia="黑体" w:cs="黑体"/>
          <w:sz w:val="27"/>
          <w:szCs w:val="27"/>
        </w:rPr>
      </w:pPr>
      <w:r>
        <w:rPr>
          <w:rFonts w:ascii="Arial" w:hAnsi="Arial" w:eastAsia="Arial" w:cs="Arial"/>
          <w:b/>
          <w:bCs/>
          <w:spacing w:val="-1"/>
          <w:sz w:val="27"/>
          <w:szCs w:val="27"/>
        </w:rPr>
        <w:t>4</w:t>
      </w:r>
      <w:r>
        <w:rPr>
          <w:rFonts w:ascii="Arial" w:hAnsi="Arial" w:eastAsia="Arial" w:cs="Arial"/>
          <w:b/>
          <w:bCs/>
          <w:spacing w:val="7"/>
          <w:sz w:val="27"/>
          <w:szCs w:val="27"/>
        </w:rPr>
        <w:t xml:space="preserve">    </w:t>
      </w:r>
      <w:r>
        <w:rPr>
          <w:rFonts w:ascii="黑体" w:hAnsi="黑体" w:eastAsia="黑体" w:cs="黑体"/>
          <w:b/>
          <w:bCs/>
          <w:spacing w:val="-1"/>
          <w:sz w:val="27"/>
          <w:szCs w:val="27"/>
        </w:rPr>
        <w:t>软件需求文件分析</w:t>
      </w:r>
    </w:p>
    <w:p w14:paraId="39266A65">
      <w:pPr>
        <w:pStyle w:val="2"/>
        <w:spacing w:before="89" w:line="219" w:lineRule="auto"/>
        <w:ind w:left="660"/>
      </w:pPr>
      <w:r>
        <w:rPr>
          <w:spacing w:val="4"/>
        </w:rPr>
        <w:t>应分析系统或部分系统说明书和软件需求规格说明：</w:t>
      </w:r>
    </w:p>
    <w:p w14:paraId="0A15A63F">
      <w:pPr>
        <w:spacing w:line="219" w:lineRule="auto"/>
        <w:sectPr>
          <w:footerReference r:id="rId568" w:type="default"/>
          <w:pgSz w:w="11910" w:h="17130"/>
          <w:pgMar w:top="400" w:right="855" w:bottom="1659" w:left="1569" w:header="0" w:footer="1479" w:gutter="0"/>
          <w:cols w:space="720" w:num="1"/>
        </w:sectPr>
      </w:pPr>
    </w:p>
    <w:p w14:paraId="40A67C76">
      <w:pPr>
        <w:spacing w:line="276" w:lineRule="auto"/>
        <w:rPr>
          <w:rFonts w:ascii="Arial"/>
          <w:sz w:val="21"/>
        </w:rPr>
      </w:pPr>
    </w:p>
    <w:p w14:paraId="6F718ECD">
      <w:pPr>
        <w:spacing w:line="276" w:lineRule="auto"/>
        <w:rPr>
          <w:rFonts w:ascii="Arial"/>
          <w:sz w:val="21"/>
        </w:rPr>
      </w:pPr>
    </w:p>
    <w:p w14:paraId="6633AE03">
      <w:pPr>
        <w:spacing w:line="276" w:lineRule="auto"/>
        <w:rPr>
          <w:rFonts w:ascii="Arial"/>
          <w:sz w:val="21"/>
        </w:rPr>
      </w:pPr>
    </w:p>
    <w:p w14:paraId="52BF23E5">
      <w:pPr>
        <w:spacing w:line="276" w:lineRule="auto"/>
        <w:rPr>
          <w:rFonts w:ascii="Arial"/>
          <w:sz w:val="21"/>
        </w:rPr>
      </w:pPr>
    </w:p>
    <w:p w14:paraId="01FB2536">
      <w:pPr>
        <w:pStyle w:val="2"/>
        <w:spacing w:before="88" w:line="284" w:lineRule="auto"/>
        <w:ind w:firstLine="559"/>
        <w:jc w:val="both"/>
      </w:pPr>
      <w:r>
        <w:rPr>
          <w:rFonts w:ascii="Times New Roman" w:hAnsi="Times New Roman" w:eastAsia="Times New Roman" w:cs="Times New Roman"/>
          <w:spacing w:val="3"/>
        </w:rPr>
        <w:t>a)</w:t>
      </w:r>
      <w:r>
        <w:rPr>
          <w:rFonts w:ascii="Times New Roman" w:hAnsi="Times New Roman" w:eastAsia="Times New Roman" w:cs="Times New Roman"/>
          <w:spacing w:val="74"/>
        </w:rPr>
        <w:t xml:space="preserve"> </w:t>
      </w:r>
      <w:r>
        <w:rPr>
          <w:spacing w:val="3"/>
        </w:rPr>
        <w:t>保证已经正确和完整地规定了系统安全性要求，并已恰当地转化为软件</w:t>
      </w:r>
      <w:r>
        <w:t xml:space="preserve"> </w:t>
      </w:r>
      <w:r>
        <w:rPr>
          <w:spacing w:val="-2"/>
        </w:rPr>
        <w:t>需求，并确保软件安全性需求能恰当地影响软件的设计，以及操作员</w:t>
      </w:r>
      <w:r>
        <w:rPr>
          <w:spacing w:val="-3"/>
        </w:rPr>
        <w:t>手册、用户</w:t>
      </w:r>
      <w:r>
        <w:t xml:space="preserve"> </w:t>
      </w:r>
      <w:r>
        <w:rPr>
          <w:spacing w:val="5"/>
        </w:rPr>
        <w:t>手册和诊断手册的制定。承制方至少应考察以下文件：1)系统或部分系统说明</w:t>
      </w:r>
      <w:r>
        <w:rPr>
          <w:spacing w:val="13"/>
        </w:rPr>
        <w:t xml:space="preserve"> </w:t>
      </w:r>
      <w:r>
        <w:rPr>
          <w:spacing w:val="1"/>
        </w:rPr>
        <w:t>书和分系统说明书；2)软件需求规格说明；3)接口</w:t>
      </w:r>
      <w:r>
        <w:t>要求说明书和其他接口文件；</w:t>
      </w:r>
    </w:p>
    <w:p w14:paraId="62EB6E8E">
      <w:pPr>
        <w:pStyle w:val="2"/>
        <w:spacing w:line="260" w:lineRule="auto"/>
      </w:pPr>
      <w:r>
        <w:rPr>
          <w:spacing w:val="1"/>
        </w:rPr>
        <w:t>4)功能流程图和有关资料；5)存储分配和程序结</w:t>
      </w:r>
      <w:r>
        <w:t xml:space="preserve">构文件；6)与涉及计划的测试、 </w:t>
      </w:r>
      <w:r>
        <w:rPr>
          <w:spacing w:val="-3"/>
        </w:rPr>
        <w:t>生产、贮存、修理、使用和最终处置的安全性要求有关的基本信息；7)与系统能</w:t>
      </w:r>
      <w:r>
        <w:rPr>
          <w:spacing w:val="5"/>
        </w:rPr>
        <w:t xml:space="preserve">  </w:t>
      </w:r>
      <w:r>
        <w:rPr>
          <w:spacing w:val="1"/>
        </w:rPr>
        <w:t>源、有毒物质和其他危险事件源(特别是由软件直接</w:t>
      </w:r>
      <w:r>
        <w:t>或间接控制的)有关的信息；</w:t>
      </w:r>
    </w:p>
    <w:p w14:paraId="2C6338A4">
      <w:pPr>
        <w:pStyle w:val="2"/>
        <w:spacing w:before="87" w:line="218" w:lineRule="auto"/>
      </w:pPr>
      <w:r>
        <w:rPr>
          <w:spacing w:val="-3"/>
        </w:rPr>
        <w:t>8)软件开发计划、软件质量评估计划和软件配置管理计划；9)有关的历史资料。</w:t>
      </w:r>
    </w:p>
    <w:p w14:paraId="234FDCA7">
      <w:pPr>
        <w:pStyle w:val="2"/>
        <w:spacing w:before="63" w:line="212" w:lineRule="auto"/>
        <w:ind w:left="559"/>
      </w:pPr>
      <w:r>
        <w:rPr>
          <w:rFonts w:ascii="Times New Roman" w:hAnsi="Times New Roman" w:eastAsia="Times New Roman" w:cs="Times New Roman"/>
          <w:spacing w:val="4"/>
        </w:rPr>
        <w:t>b)</w:t>
      </w:r>
      <w:r>
        <w:rPr>
          <w:rFonts w:ascii="Times New Roman" w:hAnsi="Times New Roman" w:eastAsia="Times New Roman" w:cs="Times New Roman"/>
          <w:spacing w:val="75"/>
        </w:rPr>
        <w:t xml:space="preserve"> </w:t>
      </w:r>
      <w:r>
        <w:rPr>
          <w:spacing w:val="4"/>
        </w:rPr>
        <w:t>确定与上述说明书和文件有关的危险。</w:t>
      </w:r>
    </w:p>
    <w:p w14:paraId="4AE536EC">
      <w:pPr>
        <w:spacing w:before="124" w:line="221"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与安全性有关的文件更改建议、设计要求和测试要求</w:t>
      </w:r>
    </w:p>
    <w:p w14:paraId="21C23974">
      <w:pPr>
        <w:spacing w:before="96" w:line="222" w:lineRule="auto"/>
        <w:rPr>
          <w:rFonts w:ascii="黑体" w:hAnsi="黑体" w:eastAsia="黑体" w:cs="黑体"/>
          <w:sz w:val="24"/>
          <w:szCs w:val="24"/>
        </w:rPr>
      </w:pPr>
      <w:r>
        <w:rPr>
          <w:rFonts w:ascii="黑体" w:hAnsi="黑体" w:eastAsia="黑体" w:cs="黑体"/>
          <w:spacing w:val="26"/>
          <w:sz w:val="24"/>
          <w:szCs w:val="24"/>
        </w:rPr>
        <w:t>5.1</w:t>
      </w:r>
      <w:r>
        <w:rPr>
          <w:rFonts w:ascii="黑体" w:hAnsi="黑体" w:eastAsia="黑体" w:cs="黑体"/>
          <w:spacing w:val="2"/>
          <w:sz w:val="24"/>
          <w:szCs w:val="24"/>
        </w:rPr>
        <w:t xml:space="preserve">   </w:t>
      </w:r>
      <w:r>
        <w:rPr>
          <w:rFonts w:ascii="黑体" w:hAnsi="黑体" w:eastAsia="黑体" w:cs="黑体"/>
          <w:b/>
          <w:bCs/>
          <w:spacing w:val="26"/>
          <w:sz w:val="24"/>
          <w:szCs w:val="24"/>
        </w:rPr>
        <w:t>与安全性有关的文件更改建议</w:t>
      </w:r>
    </w:p>
    <w:p w14:paraId="5E0666DA">
      <w:pPr>
        <w:pStyle w:val="2"/>
        <w:spacing w:before="95" w:line="219" w:lineRule="auto"/>
        <w:ind w:left="559"/>
      </w:pPr>
      <w:r>
        <w:rPr>
          <w:spacing w:val="10"/>
        </w:rPr>
        <w:t>应提出与安全性有关的对上述文件(第4章)的更改建议。</w:t>
      </w:r>
    </w:p>
    <w:p w14:paraId="220C5AFA">
      <w:pPr>
        <w:spacing w:before="116" w:line="222" w:lineRule="auto"/>
        <w:rPr>
          <w:rFonts w:ascii="黑体" w:hAnsi="黑体" w:eastAsia="黑体" w:cs="黑体"/>
          <w:sz w:val="24"/>
          <w:szCs w:val="24"/>
        </w:rPr>
      </w:pPr>
      <w:r>
        <w:rPr>
          <w:rFonts w:ascii="黑体" w:hAnsi="黑体" w:eastAsia="黑体" w:cs="黑体"/>
          <w:spacing w:val="25"/>
          <w:sz w:val="24"/>
          <w:szCs w:val="24"/>
        </w:rPr>
        <w:t>5.2</w:t>
      </w:r>
      <w:r>
        <w:rPr>
          <w:rFonts w:ascii="黑体" w:hAnsi="黑体" w:eastAsia="黑体" w:cs="黑体"/>
          <w:spacing w:val="50"/>
          <w:sz w:val="24"/>
          <w:szCs w:val="24"/>
        </w:rPr>
        <w:t xml:space="preserve">  </w:t>
      </w:r>
      <w:r>
        <w:rPr>
          <w:rFonts w:ascii="黑体" w:hAnsi="黑体" w:eastAsia="黑体" w:cs="黑体"/>
          <w:b/>
          <w:bCs/>
          <w:spacing w:val="25"/>
          <w:sz w:val="24"/>
          <w:szCs w:val="24"/>
        </w:rPr>
        <w:t>与安全性有关的设计要求</w:t>
      </w:r>
    </w:p>
    <w:p w14:paraId="2A125177">
      <w:pPr>
        <w:pStyle w:val="2"/>
        <w:spacing w:before="98" w:line="220" w:lineRule="auto"/>
        <w:ind w:left="559"/>
      </w:pPr>
      <w:r>
        <w:rPr>
          <w:spacing w:val="3"/>
        </w:rPr>
        <w:t>应提出与安全性有关的设计要求。</w:t>
      </w:r>
    </w:p>
    <w:p w14:paraId="2F5DD257">
      <w:pPr>
        <w:spacing w:before="91" w:line="221" w:lineRule="auto"/>
        <w:rPr>
          <w:rFonts w:ascii="黑体" w:hAnsi="黑体" w:eastAsia="黑体" w:cs="黑体"/>
          <w:sz w:val="24"/>
          <w:szCs w:val="24"/>
        </w:rPr>
      </w:pPr>
      <w:r>
        <w:rPr>
          <w:rFonts w:ascii="黑体" w:hAnsi="黑体" w:eastAsia="黑体" w:cs="黑体"/>
          <w:spacing w:val="23"/>
          <w:sz w:val="24"/>
          <w:szCs w:val="24"/>
        </w:rPr>
        <w:t>5.3</w:t>
      </w:r>
      <w:r>
        <w:rPr>
          <w:rFonts w:ascii="黑体" w:hAnsi="黑体" w:eastAsia="黑体" w:cs="黑体"/>
          <w:spacing w:val="2"/>
          <w:sz w:val="24"/>
          <w:szCs w:val="24"/>
        </w:rPr>
        <w:t xml:space="preserve">   </w:t>
      </w:r>
      <w:r>
        <w:rPr>
          <w:rFonts w:ascii="黑体" w:hAnsi="黑体" w:eastAsia="黑体" w:cs="黑体"/>
          <w:b/>
          <w:bCs/>
          <w:spacing w:val="23"/>
          <w:sz w:val="24"/>
          <w:szCs w:val="24"/>
        </w:rPr>
        <w:t>与安全性有关的测试要求</w:t>
      </w:r>
    </w:p>
    <w:p w14:paraId="643CBCB5">
      <w:pPr>
        <w:pStyle w:val="2"/>
        <w:spacing w:before="120" w:line="220" w:lineRule="auto"/>
        <w:ind w:left="559"/>
      </w:pPr>
      <w:r>
        <w:rPr>
          <w:spacing w:val="3"/>
        </w:rPr>
        <w:t>应提出与安全性有关的测试要求。</w:t>
      </w:r>
    </w:p>
    <w:p w14:paraId="1D6E82E2">
      <w:pPr>
        <w:spacing w:before="81" w:line="221" w:lineRule="auto"/>
        <w:rPr>
          <w:rFonts w:ascii="黑体" w:hAnsi="黑体" w:eastAsia="黑体" w:cs="黑体"/>
          <w:sz w:val="27"/>
          <w:szCs w:val="27"/>
        </w:rPr>
      </w:pPr>
      <w:r>
        <w:rPr>
          <w:rFonts w:ascii="黑体" w:hAnsi="黑体" w:eastAsia="黑体" w:cs="黑体"/>
          <w:spacing w:val="2"/>
          <w:sz w:val="27"/>
          <w:szCs w:val="27"/>
        </w:rPr>
        <w:t xml:space="preserve">6  </w:t>
      </w:r>
      <w:r>
        <w:rPr>
          <w:rFonts w:ascii="黑体" w:hAnsi="黑体" w:eastAsia="黑体" w:cs="黑体"/>
          <w:b/>
          <w:bCs/>
          <w:spacing w:val="2"/>
          <w:sz w:val="27"/>
          <w:szCs w:val="27"/>
        </w:rPr>
        <w:t>方案设计评审和软件需求评审中的软件安全性保障</w:t>
      </w:r>
    </w:p>
    <w:p w14:paraId="09A63CAF">
      <w:pPr>
        <w:spacing w:before="76" w:line="221" w:lineRule="auto"/>
        <w:rPr>
          <w:rFonts w:ascii="黑体" w:hAnsi="黑体" w:eastAsia="黑体" w:cs="黑体"/>
          <w:sz w:val="25"/>
          <w:szCs w:val="25"/>
        </w:rPr>
      </w:pPr>
      <w:r>
        <w:rPr>
          <w:rFonts w:ascii="黑体" w:hAnsi="黑体" w:eastAsia="黑体" w:cs="黑体"/>
          <w:spacing w:val="14"/>
          <w:sz w:val="25"/>
          <w:szCs w:val="25"/>
        </w:rPr>
        <w:t>6.1</w:t>
      </w:r>
      <w:r>
        <w:rPr>
          <w:rFonts w:ascii="黑体" w:hAnsi="黑体" w:eastAsia="黑体" w:cs="黑体"/>
          <w:spacing w:val="53"/>
          <w:sz w:val="25"/>
          <w:szCs w:val="25"/>
        </w:rPr>
        <w:t xml:space="preserve">  </w:t>
      </w:r>
      <w:r>
        <w:rPr>
          <w:rFonts w:ascii="黑体" w:hAnsi="黑体" w:eastAsia="黑体" w:cs="黑体"/>
          <w:b/>
          <w:bCs/>
          <w:spacing w:val="14"/>
          <w:sz w:val="25"/>
          <w:szCs w:val="25"/>
        </w:rPr>
        <w:t>方案设计评审</w:t>
      </w:r>
    </w:p>
    <w:p w14:paraId="23D6E1F3">
      <w:pPr>
        <w:pStyle w:val="2"/>
        <w:spacing w:before="108" w:line="271" w:lineRule="auto"/>
        <w:ind w:right="92" w:firstLine="559"/>
      </w:pPr>
      <w:r>
        <w:rPr>
          <w:spacing w:val="6"/>
        </w:rPr>
        <w:t>在进行方案设计评审时，应同时从软件安全性的</w:t>
      </w:r>
      <w:r>
        <w:rPr>
          <w:spacing w:val="5"/>
        </w:rPr>
        <w:t>角度审查，确保软件安全</w:t>
      </w:r>
      <w:r>
        <w:t xml:space="preserve"> </w:t>
      </w:r>
      <w:r>
        <w:rPr>
          <w:spacing w:val="-4"/>
        </w:rPr>
        <w:t>可靠。</w:t>
      </w:r>
    </w:p>
    <w:p w14:paraId="228E9256">
      <w:pPr>
        <w:spacing w:before="11" w:line="222" w:lineRule="auto"/>
        <w:rPr>
          <w:rFonts w:ascii="黑体" w:hAnsi="黑体" w:eastAsia="黑体" w:cs="黑体"/>
          <w:sz w:val="27"/>
          <w:szCs w:val="27"/>
        </w:rPr>
      </w:pPr>
      <w:r>
        <w:rPr>
          <w:rFonts w:ascii="黑体" w:hAnsi="黑体" w:eastAsia="黑体" w:cs="黑体"/>
          <w:sz w:val="27"/>
          <w:szCs w:val="27"/>
        </w:rPr>
        <w:t>6.2</w:t>
      </w:r>
      <w:r>
        <w:rPr>
          <w:rFonts w:ascii="黑体" w:hAnsi="黑体" w:eastAsia="黑体" w:cs="黑体"/>
          <w:spacing w:val="31"/>
          <w:sz w:val="27"/>
          <w:szCs w:val="27"/>
        </w:rPr>
        <w:t xml:space="preserve">  </w:t>
      </w:r>
      <w:r>
        <w:rPr>
          <w:rFonts w:ascii="黑体" w:hAnsi="黑体" w:eastAsia="黑体" w:cs="黑体"/>
          <w:b/>
          <w:bCs/>
          <w:sz w:val="27"/>
          <w:szCs w:val="27"/>
        </w:rPr>
        <w:t>软件需求评审</w:t>
      </w:r>
    </w:p>
    <w:p w14:paraId="56869209">
      <w:pPr>
        <w:pStyle w:val="2"/>
        <w:spacing w:before="110" w:line="269" w:lineRule="auto"/>
        <w:ind w:right="92" w:firstLine="559"/>
      </w:pPr>
      <w:r>
        <w:rPr>
          <w:spacing w:val="6"/>
        </w:rPr>
        <w:t>在进行软件需求评审时，应同时从软件安全性的</w:t>
      </w:r>
      <w:r>
        <w:rPr>
          <w:spacing w:val="5"/>
        </w:rPr>
        <w:t>角度审查，确保软件安全</w:t>
      </w:r>
      <w:r>
        <w:t xml:space="preserve"> </w:t>
      </w:r>
      <w:r>
        <w:rPr>
          <w:spacing w:val="-4"/>
        </w:rPr>
        <w:t>可靠。</w:t>
      </w:r>
    </w:p>
    <w:p w14:paraId="49708C12">
      <w:pPr>
        <w:spacing w:before="1" w:line="222" w:lineRule="auto"/>
        <w:outlineLvl w:val="3"/>
        <w:rPr>
          <w:rFonts w:ascii="黑体" w:hAnsi="黑体" w:eastAsia="黑体" w:cs="黑体"/>
          <w:sz w:val="27"/>
          <w:szCs w:val="27"/>
        </w:rPr>
      </w:pPr>
      <w:r>
        <w:rPr>
          <w:rFonts w:ascii="Arial" w:hAnsi="Arial" w:eastAsia="Arial" w:cs="Arial"/>
          <w:b/>
          <w:bCs/>
          <w:spacing w:val="-3"/>
          <w:sz w:val="27"/>
          <w:szCs w:val="27"/>
        </w:rPr>
        <w:t>7</w:t>
      </w:r>
      <w:r>
        <w:rPr>
          <w:rFonts w:ascii="Arial" w:hAnsi="Arial" w:eastAsia="Arial" w:cs="Arial"/>
          <w:b/>
          <w:bCs/>
          <w:spacing w:val="20"/>
          <w:w w:val="101"/>
          <w:sz w:val="27"/>
          <w:szCs w:val="27"/>
        </w:rPr>
        <w:t xml:space="preserve">   </w:t>
      </w:r>
      <w:r>
        <w:rPr>
          <w:rFonts w:ascii="黑体" w:hAnsi="黑体" w:eastAsia="黑体" w:cs="黑体"/>
          <w:b/>
          <w:bCs/>
          <w:spacing w:val="-3"/>
          <w:sz w:val="27"/>
          <w:szCs w:val="27"/>
        </w:rPr>
        <w:t>分析结论</w:t>
      </w:r>
    </w:p>
    <w:p w14:paraId="27FE573A">
      <w:pPr>
        <w:pStyle w:val="2"/>
        <w:spacing w:before="127" w:line="218" w:lineRule="auto"/>
        <w:ind w:left="559"/>
      </w:pPr>
      <w:r>
        <w:rPr>
          <w:spacing w:val="-2"/>
        </w:rPr>
        <w:t>对软件系统进行初始的安全性评价，给出评价结</w:t>
      </w:r>
      <w:r>
        <w:rPr>
          <w:spacing w:val="-3"/>
        </w:rPr>
        <w:t>论。</w:t>
      </w:r>
    </w:p>
    <w:p w14:paraId="49E8BA3F">
      <w:pPr>
        <w:spacing w:line="333" w:lineRule="auto"/>
        <w:rPr>
          <w:rFonts w:ascii="Arial"/>
          <w:sz w:val="21"/>
        </w:rPr>
      </w:pPr>
    </w:p>
    <w:p w14:paraId="54D28318">
      <w:pPr>
        <w:pStyle w:val="2"/>
        <w:spacing w:before="117" w:line="219" w:lineRule="auto"/>
        <w:ind w:left="2609"/>
        <w:rPr>
          <w:sz w:val="36"/>
          <w:szCs w:val="36"/>
        </w:rPr>
      </w:pPr>
      <w:r>
        <w:rPr>
          <w:spacing w:val="-4"/>
          <w:sz w:val="36"/>
          <w:szCs w:val="36"/>
        </w:rPr>
        <w:t>11.</w:t>
      </w:r>
      <w:r>
        <w:rPr>
          <w:b/>
          <w:bCs/>
          <w:spacing w:val="-4"/>
          <w:sz w:val="36"/>
          <w:szCs w:val="36"/>
        </w:rPr>
        <w:t>16</w:t>
      </w:r>
      <w:r>
        <w:rPr>
          <w:spacing w:val="41"/>
          <w:sz w:val="36"/>
          <w:szCs w:val="36"/>
        </w:rPr>
        <w:t xml:space="preserve">  </w:t>
      </w:r>
      <w:r>
        <w:rPr>
          <w:b/>
          <w:bCs/>
          <w:spacing w:val="-4"/>
          <w:sz w:val="36"/>
          <w:szCs w:val="36"/>
        </w:rPr>
        <w:t>概要设计危险分析</w:t>
      </w:r>
    </w:p>
    <w:p w14:paraId="40840052">
      <w:pPr>
        <w:spacing w:line="366" w:lineRule="auto"/>
        <w:rPr>
          <w:rFonts w:ascii="Arial"/>
          <w:sz w:val="21"/>
        </w:rPr>
      </w:pPr>
    </w:p>
    <w:p w14:paraId="4CA595CA">
      <w:pPr>
        <w:pStyle w:val="2"/>
        <w:spacing w:before="79" w:line="223" w:lineRule="auto"/>
        <w:ind w:left="559"/>
        <w:rPr>
          <w:rFonts w:ascii="楷体" w:hAnsi="楷体" w:eastAsia="楷体" w:cs="楷体"/>
          <w:sz w:val="24"/>
          <w:szCs w:val="24"/>
        </w:rPr>
      </w:pPr>
      <w:r>
        <w:rPr>
          <w:rFonts w:ascii="楷体" w:hAnsi="楷体" w:eastAsia="楷体" w:cs="楷体"/>
          <w:spacing w:val="10"/>
          <w:sz w:val="24"/>
          <w:szCs w:val="24"/>
        </w:rPr>
        <w:t>按</w:t>
      </w:r>
      <w:r>
        <w:rPr>
          <w:rFonts w:ascii="楷体" w:hAnsi="楷体" w:eastAsia="楷体" w:cs="楷体"/>
          <w:spacing w:val="-18"/>
          <w:sz w:val="24"/>
          <w:szCs w:val="24"/>
        </w:rPr>
        <w:t xml:space="preserve"> </w:t>
      </w:r>
      <w:r>
        <w:rPr>
          <w:rFonts w:ascii="楷体" w:hAnsi="楷体" w:eastAsia="楷体" w:cs="楷体"/>
          <w:spacing w:val="10"/>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0"/>
          <w:sz w:val="24"/>
          <w:szCs w:val="24"/>
        </w:rPr>
        <w:t xml:space="preserve">    900—1990</w:t>
      </w:r>
      <w:r>
        <w:rPr>
          <w:spacing w:val="10"/>
          <w:sz w:val="24"/>
          <w:szCs w:val="24"/>
        </w:rPr>
        <w:t>《</w:t>
      </w:r>
      <w:r>
        <w:rPr>
          <w:rFonts w:ascii="楷体" w:hAnsi="楷体" w:eastAsia="楷体" w:cs="楷体"/>
          <w:spacing w:val="10"/>
          <w:sz w:val="24"/>
          <w:szCs w:val="24"/>
        </w:rPr>
        <w:t>系统安全性通用大纲》编写。</w:t>
      </w:r>
    </w:p>
    <w:p w14:paraId="5F54B808">
      <w:pPr>
        <w:spacing w:before="83"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35"/>
          <w:sz w:val="25"/>
          <w:szCs w:val="25"/>
        </w:rPr>
        <w:t xml:space="preserve">  </w:t>
      </w:r>
      <w:r>
        <w:rPr>
          <w:rFonts w:ascii="黑体" w:hAnsi="黑体" w:eastAsia="黑体" w:cs="黑体"/>
          <w:b/>
          <w:bCs/>
          <w:spacing w:val="3"/>
          <w:sz w:val="25"/>
          <w:szCs w:val="25"/>
        </w:rPr>
        <w:t>范围</w:t>
      </w:r>
    </w:p>
    <w:p w14:paraId="6CFBCB03">
      <w:pPr>
        <w:spacing w:before="106" w:line="222" w:lineRule="auto"/>
        <w:rPr>
          <w:rFonts w:ascii="黑体" w:hAnsi="黑体" w:eastAsia="黑体" w:cs="黑体"/>
          <w:sz w:val="25"/>
          <w:szCs w:val="25"/>
        </w:rPr>
      </w:pPr>
      <w:r>
        <w:rPr>
          <w:rFonts w:ascii="Arial" w:hAnsi="Arial" w:eastAsia="Arial" w:cs="Arial"/>
          <w:b/>
          <w:bCs/>
          <w:spacing w:val="15"/>
          <w:sz w:val="25"/>
          <w:szCs w:val="25"/>
        </w:rPr>
        <w:t>2</w:t>
      </w:r>
      <w:r>
        <w:rPr>
          <w:rFonts w:ascii="Arial" w:hAnsi="Arial" w:eastAsia="Arial" w:cs="Arial"/>
          <w:b/>
          <w:bCs/>
          <w:spacing w:val="3"/>
          <w:sz w:val="25"/>
          <w:szCs w:val="25"/>
        </w:rPr>
        <w:t xml:space="preserve">    </w:t>
      </w:r>
      <w:r>
        <w:rPr>
          <w:rFonts w:ascii="黑体" w:hAnsi="黑体" w:eastAsia="黑体" w:cs="黑体"/>
          <w:b/>
          <w:bCs/>
          <w:spacing w:val="15"/>
          <w:sz w:val="25"/>
          <w:szCs w:val="25"/>
        </w:rPr>
        <w:t>引用文件</w:t>
      </w:r>
    </w:p>
    <w:p w14:paraId="4008D3EC">
      <w:pPr>
        <w:spacing w:before="102" w:line="223" w:lineRule="auto"/>
        <w:rPr>
          <w:rFonts w:ascii="黑体" w:hAnsi="黑体" w:eastAsia="黑体" w:cs="黑体"/>
          <w:sz w:val="25"/>
          <w:szCs w:val="25"/>
        </w:rPr>
      </w:pPr>
      <w:r>
        <w:rPr>
          <w:rFonts w:ascii="黑体" w:hAnsi="黑体" w:eastAsia="黑体" w:cs="黑体"/>
          <w:spacing w:val="5"/>
          <w:sz w:val="25"/>
          <w:szCs w:val="25"/>
        </w:rPr>
        <w:t>3</w:t>
      </w:r>
      <w:r>
        <w:rPr>
          <w:rFonts w:ascii="黑体" w:hAnsi="黑体" w:eastAsia="黑体" w:cs="黑体"/>
          <w:spacing w:val="39"/>
          <w:sz w:val="25"/>
          <w:szCs w:val="25"/>
        </w:rPr>
        <w:t xml:space="preserve"> </w:t>
      </w:r>
      <w:r>
        <w:rPr>
          <w:rFonts w:ascii="黑体" w:hAnsi="黑体" w:eastAsia="黑体" w:cs="黑体"/>
          <w:spacing w:val="5"/>
          <w:sz w:val="25"/>
          <w:szCs w:val="25"/>
        </w:rPr>
        <w:t>“</w:t>
      </w:r>
      <w:r>
        <w:rPr>
          <w:rFonts w:ascii="黑体" w:hAnsi="黑体" w:eastAsia="黑体" w:cs="黑体"/>
          <w:spacing w:val="-91"/>
          <w:sz w:val="25"/>
          <w:szCs w:val="25"/>
        </w:rPr>
        <w:t xml:space="preserve"> </w:t>
      </w:r>
      <w:r>
        <w:rPr>
          <w:rFonts w:ascii="黑体" w:hAnsi="黑体" w:eastAsia="黑体" w:cs="黑体"/>
          <w:b/>
          <w:bCs/>
          <w:spacing w:val="5"/>
          <w:sz w:val="25"/>
          <w:szCs w:val="25"/>
        </w:rPr>
        <w:t>安全性关键的”的定义</w:t>
      </w:r>
    </w:p>
    <w:p w14:paraId="0E81117B">
      <w:pPr>
        <w:pStyle w:val="2"/>
        <w:spacing w:before="130" w:line="282" w:lineRule="auto"/>
        <w:ind w:right="92" w:firstLine="559"/>
      </w:pPr>
      <w:r>
        <w:rPr>
          <w:spacing w:val="-3"/>
        </w:rPr>
        <w:t>在所分析的系统、分系统或部件范围内“安全性关键的”的定义。将控制或</w:t>
      </w:r>
      <w:r>
        <w:rPr>
          <w:spacing w:val="10"/>
        </w:rPr>
        <w:t xml:space="preserve"> </w:t>
      </w:r>
      <w:r>
        <w:rPr>
          <w:spacing w:val="4"/>
        </w:rPr>
        <w:t>影响危险的计算机软件成分确定为安全性关键的计算机软件成分。</w:t>
      </w:r>
    </w:p>
    <w:p w14:paraId="029737B5">
      <w:pPr>
        <w:spacing w:line="282" w:lineRule="auto"/>
        <w:sectPr>
          <w:footerReference r:id="rId569" w:type="default"/>
          <w:pgSz w:w="11910" w:h="17130"/>
          <w:pgMar w:top="400" w:right="1494" w:bottom="1580" w:left="940" w:header="0" w:footer="1373" w:gutter="0"/>
          <w:cols w:space="720" w:num="1"/>
        </w:sectPr>
      </w:pPr>
    </w:p>
    <w:p w14:paraId="6A2EA78F">
      <w:pPr>
        <w:spacing w:line="242" w:lineRule="auto"/>
        <w:rPr>
          <w:rFonts w:ascii="Arial"/>
          <w:sz w:val="21"/>
        </w:rPr>
      </w:pPr>
    </w:p>
    <w:p w14:paraId="28FDE425">
      <w:pPr>
        <w:spacing w:line="243" w:lineRule="auto"/>
        <w:rPr>
          <w:rFonts w:ascii="Arial"/>
          <w:sz w:val="21"/>
        </w:rPr>
      </w:pPr>
    </w:p>
    <w:p w14:paraId="7177EA61">
      <w:pPr>
        <w:spacing w:line="243" w:lineRule="auto"/>
        <w:rPr>
          <w:rFonts w:ascii="Arial"/>
          <w:sz w:val="21"/>
        </w:rPr>
      </w:pPr>
    </w:p>
    <w:p w14:paraId="3E5F3EF0">
      <w:pPr>
        <w:spacing w:line="243" w:lineRule="auto"/>
        <w:rPr>
          <w:rFonts w:ascii="Arial"/>
          <w:sz w:val="21"/>
        </w:rPr>
      </w:pPr>
    </w:p>
    <w:p w14:paraId="32E0FA79">
      <w:pPr>
        <w:spacing w:before="88" w:line="222"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危险的风险评价</w:t>
      </w:r>
    </w:p>
    <w:p w14:paraId="3F07A51B">
      <w:pPr>
        <w:pStyle w:val="2"/>
        <w:spacing w:before="77" w:line="271" w:lineRule="auto"/>
        <w:ind w:right="119" w:firstLine="560"/>
      </w:pPr>
      <w:r>
        <w:rPr>
          <w:spacing w:val="5"/>
        </w:rPr>
        <w:t>承制方应进行危险的风险评价，以确定在概要设计后需作进一步分析的安</w:t>
      </w:r>
      <w:r>
        <w:rPr>
          <w:spacing w:val="15"/>
        </w:rPr>
        <w:t xml:space="preserve"> </w:t>
      </w:r>
      <w:r>
        <w:rPr>
          <w:spacing w:val="3"/>
        </w:rPr>
        <w:t>全性关键的计算机软件成分。</w:t>
      </w:r>
    </w:p>
    <w:p w14:paraId="7FF6B1FE">
      <w:pPr>
        <w:pStyle w:val="2"/>
        <w:spacing w:before="2" w:line="275" w:lineRule="auto"/>
        <w:ind w:firstLine="560"/>
      </w:pPr>
      <w:r>
        <w:rPr>
          <w:rFonts w:ascii="Times New Roman" w:hAnsi="Times New Roman" w:eastAsia="Times New Roman" w:cs="Times New Roman"/>
          <w:spacing w:val="4"/>
        </w:rPr>
        <w:t>a)</w:t>
      </w:r>
      <w:r>
        <w:rPr>
          <w:rFonts w:ascii="Times New Roman" w:hAnsi="Times New Roman" w:eastAsia="Times New Roman" w:cs="Times New Roman"/>
          <w:spacing w:val="63"/>
        </w:rPr>
        <w:t xml:space="preserve"> </w:t>
      </w:r>
      <w:r>
        <w:rPr>
          <w:spacing w:val="4"/>
        </w:rPr>
        <w:t>承制方应确定由初步危险分析、分系统</w:t>
      </w:r>
      <w:r>
        <w:rPr>
          <w:spacing w:val="3"/>
        </w:rPr>
        <w:t>危险分析和软件需求危险分析所</w:t>
      </w:r>
      <w:r>
        <w:t xml:space="preserve"> </w:t>
      </w:r>
      <w:r>
        <w:rPr>
          <w:spacing w:val="6"/>
        </w:rPr>
        <w:t>判定的危险与可能影响或控制这些危险的计算机软件成分和低层次软</w:t>
      </w:r>
      <w:r>
        <w:rPr>
          <w:spacing w:val="5"/>
        </w:rPr>
        <w:t>件单元的</w:t>
      </w:r>
      <w:r>
        <w:t xml:space="preserve"> </w:t>
      </w:r>
      <w:r>
        <w:rPr>
          <w:spacing w:val="1"/>
        </w:rPr>
        <w:t>关系，这些软件成分和所有指定的其他成分均为安全性关键的计算机软件成分。</w:t>
      </w:r>
    </w:p>
    <w:p w14:paraId="384E4334">
      <w:pPr>
        <w:pStyle w:val="2"/>
        <w:spacing w:before="62" w:line="273" w:lineRule="auto"/>
        <w:ind w:right="20" w:firstLine="560"/>
      </w:pPr>
      <w:r>
        <w:rPr>
          <w:rFonts w:ascii="Times New Roman" w:hAnsi="Times New Roman" w:eastAsia="Times New Roman" w:cs="Times New Roman"/>
          <w:spacing w:val="3"/>
        </w:rPr>
        <w:t>b)</w:t>
      </w:r>
      <w:r>
        <w:rPr>
          <w:rFonts w:ascii="Times New Roman" w:hAnsi="Times New Roman" w:eastAsia="Times New Roman" w:cs="Times New Roman"/>
          <w:spacing w:val="67"/>
          <w:w w:val="101"/>
        </w:rPr>
        <w:t xml:space="preserve"> </w:t>
      </w:r>
      <w:r>
        <w:rPr>
          <w:spacing w:val="3"/>
        </w:rPr>
        <w:t>承制方应评价现有的设计文档，以确定安全性关键的</w:t>
      </w:r>
      <w:r>
        <w:rPr>
          <w:spacing w:val="2"/>
        </w:rPr>
        <w:t>计算机软件成分与</w:t>
      </w:r>
      <w:r>
        <w:t xml:space="preserve"> </w:t>
      </w:r>
      <w:r>
        <w:rPr>
          <w:spacing w:val="9"/>
        </w:rPr>
        <w:t>其他安全性关键的和非安全性关键的计算机软件成</w:t>
      </w:r>
      <w:r>
        <w:rPr>
          <w:spacing w:val="8"/>
        </w:rPr>
        <w:t>分是否相关和相关的程度，</w:t>
      </w:r>
      <w:r>
        <w:t xml:space="preserve"> </w:t>
      </w:r>
      <w:r>
        <w:rPr>
          <w:spacing w:val="6"/>
        </w:rPr>
        <w:t>那些影响安全性关键的计算机软件成分的输出的</w:t>
      </w:r>
      <w:r>
        <w:rPr>
          <w:spacing w:val="5"/>
        </w:rPr>
        <w:t>计算机软件成分也为安全性关</w:t>
      </w:r>
      <w:r>
        <w:t xml:space="preserve"> </w:t>
      </w:r>
      <w:r>
        <w:rPr>
          <w:spacing w:val="2"/>
        </w:rPr>
        <w:t>键的计算机软件成分。</w:t>
      </w:r>
    </w:p>
    <w:p w14:paraId="6709E9D2">
      <w:pPr>
        <w:spacing w:before="85" w:line="221"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0"/>
          <w:sz w:val="27"/>
          <w:szCs w:val="27"/>
        </w:rPr>
        <w:t xml:space="preserve">   </w:t>
      </w:r>
      <w:r>
        <w:rPr>
          <w:rFonts w:ascii="黑体" w:hAnsi="黑体" w:eastAsia="黑体" w:cs="黑体"/>
          <w:b/>
          <w:bCs/>
          <w:spacing w:val="-1"/>
          <w:sz w:val="27"/>
          <w:szCs w:val="27"/>
        </w:rPr>
        <w:t>概要设计分析</w:t>
      </w:r>
    </w:p>
    <w:p w14:paraId="4F7C390B">
      <w:pPr>
        <w:pStyle w:val="2"/>
        <w:spacing w:before="104" w:line="285" w:lineRule="auto"/>
        <w:ind w:right="122" w:firstLine="560"/>
        <w:jc w:val="both"/>
      </w:pPr>
      <w:r>
        <w:rPr>
          <w:spacing w:val="9"/>
        </w:rPr>
        <w:t>承制方分析第4章确定的安全性关键的计算机软件成分的概要设计以确保</w:t>
      </w:r>
      <w:r>
        <w:rPr>
          <w:spacing w:val="15"/>
        </w:rPr>
        <w:t xml:space="preserve"> </w:t>
      </w:r>
      <w:r>
        <w:rPr>
          <w:spacing w:val="6"/>
        </w:rPr>
        <w:t>概要设计中正确地和完整地规定了所有的安全性</w:t>
      </w:r>
      <w:r>
        <w:rPr>
          <w:spacing w:val="5"/>
        </w:rPr>
        <w:t>要求。承制方应确定在概要设</w:t>
      </w:r>
      <w:r>
        <w:t xml:space="preserve"> </w:t>
      </w:r>
      <w:r>
        <w:rPr>
          <w:spacing w:val="6"/>
        </w:rPr>
        <w:t>计的何处，以及在什么条件下可能出现不可</w:t>
      </w:r>
      <w:r>
        <w:rPr>
          <w:spacing w:val="5"/>
        </w:rPr>
        <w:t>接受的危险。分析中应包括输入输</w:t>
      </w:r>
      <w:r>
        <w:t xml:space="preserve"> </w:t>
      </w:r>
      <w:r>
        <w:rPr>
          <w:spacing w:val="-24"/>
        </w:rPr>
        <w:t>出时序、多重事件、失序、事件、事件失败、错误事件、不恰当的数值、不利环境、锁</w:t>
      </w:r>
      <w:r>
        <w:rPr>
          <w:spacing w:val="3"/>
        </w:rPr>
        <w:t xml:space="preserve"> </w:t>
      </w:r>
      <w:r>
        <w:rPr>
          <w:spacing w:val="-9"/>
        </w:rPr>
        <w:t>死、硬件故障敏感性等。</w:t>
      </w:r>
    </w:p>
    <w:p w14:paraId="5EC78516">
      <w:pPr>
        <w:spacing w:before="1" w:line="221" w:lineRule="auto"/>
        <w:outlineLvl w:val="3"/>
        <w:rPr>
          <w:rFonts w:ascii="黑体" w:hAnsi="黑体" w:eastAsia="黑体" w:cs="黑体"/>
          <w:sz w:val="27"/>
          <w:szCs w:val="27"/>
        </w:rPr>
      </w:pPr>
      <w:r>
        <w:rPr>
          <w:rFonts w:ascii="Arial" w:hAnsi="Arial" w:eastAsia="Arial" w:cs="Arial"/>
          <w:b/>
          <w:bCs/>
          <w:sz w:val="27"/>
          <w:szCs w:val="27"/>
        </w:rPr>
        <w:t>6</w:t>
      </w:r>
      <w:r>
        <w:rPr>
          <w:rFonts w:ascii="Arial" w:hAnsi="Arial" w:eastAsia="Arial" w:cs="Arial"/>
          <w:b/>
          <w:bCs/>
          <w:spacing w:val="7"/>
          <w:sz w:val="27"/>
          <w:szCs w:val="27"/>
        </w:rPr>
        <w:t xml:space="preserve">    </w:t>
      </w:r>
      <w:r>
        <w:rPr>
          <w:rFonts w:ascii="黑体" w:hAnsi="黑体" w:eastAsia="黑体" w:cs="黑体"/>
          <w:b/>
          <w:bCs/>
          <w:sz w:val="27"/>
          <w:szCs w:val="27"/>
        </w:rPr>
        <w:t>设计更改建议</w:t>
      </w:r>
    </w:p>
    <w:p w14:paraId="7DDE20C7">
      <w:pPr>
        <w:pStyle w:val="2"/>
        <w:spacing w:before="89" w:line="289" w:lineRule="auto"/>
        <w:ind w:right="123" w:firstLine="560"/>
        <w:jc w:val="both"/>
      </w:pPr>
      <w:r>
        <w:rPr>
          <w:spacing w:val="-3"/>
        </w:rPr>
        <w:t>根据初步危险分析、分系统危险分析、软件需求危险分析和概要设计危险分</w:t>
      </w:r>
      <w:r>
        <w:t xml:space="preserve"> </w:t>
      </w:r>
      <w:r>
        <w:rPr>
          <w:spacing w:val="6"/>
        </w:rPr>
        <w:t>析的结果，承制方应更改软件概要设计文档</w:t>
      </w:r>
      <w:r>
        <w:rPr>
          <w:spacing w:val="5"/>
        </w:rPr>
        <w:t>以消除危险或将其风险降低到可接</w:t>
      </w:r>
      <w:r>
        <w:t xml:space="preserve"> </w:t>
      </w:r>
      <w:r>
        <w:rPr>
          <w:spacing w:val="1"/>
        </w:rPr>
        <w:t>受水平。</w:t>
      </w:r>
    </w:p>
    <w:p w14:paraId="5EBA15C7">
      <w:pPr>
        <w:spacing w:before="8" w:line="221" w:lineRule="auto"/>
        <w:outlineLvl w:val="3"/>
        <w:rPr>
          <w:rFonts w:ascii="黑体" w:hAnsi="黑体" w:eastAsia="黑体" w:cs="黑体"/>
          <w:sz w:val="27"/>
          <w:szCs w:val="27"/>
        </w:rPr>
      </w:pPr>
      <w:r>
        <w:rPr>
          <w:rFonts w:ascii="Arial" w:hAnsi="Arial" w:eastAsia="Arial" w:cs="Arial"/>
          <w:b/>
          <w:bCs/>
          <w:spacing w:val="2"/>
          <w:sz w:val="27"/>
          <w:szCs w:val="27"/>
        </w:rPr>
        <w:t xml:space="preserve">7    </w:t>
      </w:r>
      <w:r>
        <w:rPr>
          <w:rFonts w:ascii="黑体" w:hAnsi="黑体" w:eastAsia="黑体" w:cs="黑体"/>
          <w:b/>
          <w:bCs/>
          <w:spacing w:val="2"/>
          <w:sz w:val="27"/>
          <w:szCs w:val="27"/>
        </w:rPr>
        <w:t>将安全性需求纳入测试计划</w:t>
      </w:r>
    </w:p>
    <w:p w14:paraId="4F3DEA36">
      <w:pPr>
        <w:pStyle w:val="2"/>
        <w:spacing w:before="89" w:line="287" w:lineRule="auto"/>
        <w:ind w:right="123" w:firstLine="560"/>
        <w:jc w:val="both"/>
      </w:pPr>
      <w:r>
        <w:rPr>
          <w:spacing w:val="5"/>
        </w:rPr>
        <w:t>承制方应将安全性需求以及对安全性关键的计算机软件成分和安全性关键</w:t>
      </w:r>
      <w:r>
        <w:rPr>
          <w:spacing w:val="9"/>
        </w:rPr>
        <w:t xml:space="preserve"> </w:t>
      </w:r>
      <w:r>
        <w:rPr>
          <w:spacing w:val="6"/>
        </w:rPr>
        <w:t>的条件的测试纳入软件测试计划。承制方应</w:t>
      </w:r>
      <w:r>
        <w:rPr>
          <w:spacing w:val="5"/>
        </w:rPr>
        <w:t>将安全性专用的测试纳入软件测试</w:t>
      </w:r>
      <w:r>
        <w:t xml:space="preserve"> </w:t>
      </w:r>
      <w:r>
        <w:rPr>
          <w:spacing w:val="-2"/>
        </w:rPr>
        <w:t>计划、系统测试计划和整个系统测试大纲，这些测试计划</w:t>
      </w:r>
      <w:r>
        <w:rPr>
          <w:spacing w:val="-3"/>
        </w:rPr>
        <w:t>应包括在模拟和使用状</w:t>
      </w:r>
      <w:r>
        <w:t xml:space="preserve"> 态下的测试规定。</w:t>
      </w:r>
    </w:p>
    <w:p w14:paraId="1F18AC1A">
      <w:pPr>
        <w:spacing w:before="9" w:line="221" w:lineRule="auto"/>
        <w:rPr>
          <w:rFonts w:ascii="黑体" w:hAnsi="黑体" w:eastAsia="黑体" w:cs="黑体"/>
          <w:sz w:val="27"/>
          <w:szCs w:val="27"/>
        </w:rPr>
      </w:pPr>
      <w:r>
        <w:rPr>
          <w:rFonts w:ascii="黑体" w:hAnsi="黑体" w:eastAsia="黑体" w:cs="黑体"/>
          <w:spacing w:val="-1"/>
          <w:sz w:val="27"/>
          <w:szCs w:val="27"/>
        </w:rPr>
        <w:t>7.1</w:t>
      </w:r>
      <w:r>
        <w:rPr>
          <w:rFonts w:ascii="黑体" w:hAnsi="黑体" w:eastAsia="黑体" w:cs="黑体"/>
          <w:spacing w:val="56"/>
          <w:sz w:val="27"/>
          <w:szCs w:val="27"/>
        </w:rPr>
        <w:t xml:space="preserve">  </w:t>
      </w:r>
      <w:r>
        <w:rPr>
          <w:rFonts w:ascii="黑体" w:hAnsi="黑体" w:eastAsia="黑体" w:cs="黑体"/>
          <w:b/>
          <w:bCs/>
          <w:spacing w:val="-1"/>
          <w:sz w:val="27"/>
          <w:szCs w:val="27"/>
        </w:rPr>
        <w:t>软件测试计划中的描述建议</w:t>
      </w:r>
    </w:p>
    <w:p w14:paraId="55616E63">
      <w:pPr>
        <w:pStyle w:val="2"/>
        <w:spacing w:before="93" w:line="219" w:lineRule="auto"/>
        <w:ind w:left="560"/>
      </w:pPr>
      <w:r>
        <w:rPr>
          <w:spacing w:val="-3"/>
        </w:rPr>
        <w:t>在软件测试计划中，应明确安全性测试需求。</w:t>
      </w:r>
    </w:p>
    <w:p w14:paraId="061F5244">
      <w:pPr>
        <w:spacing w:before="133" w:line="221" w:lineRule="auto"/>
        <w:rPr>
          <w:rFonts w:ascii="黑体" w:hAnsi="黑体" w:eastAsia="黑体" w:cs="黑体"/>
          <w:sz w:val="27"/>
          <w:szCs w:val="27"/>
        </w:rPr>
      </w:pPr>
      <w:r>
        <w:rPr>
          <w:rFonts w:ascii="黑体" w:hAnsi="黑体" w:eastAsia="黑体" w:cs="黑体"/>
          <w:sz w:val="27"/>
          <w:szCs w:val="27"/>
        </w:rPr>
        <w:t>7.2</w:t>
      </w:r>
      <w:r>
        <w:rPr>
          <w:rFonts w:ascii="黑体" w:hAnsi="黑体" w:eastAsia="黑体" w:cs="黑体"/>
          <w:spacing w:val="28"/>
          <w:sz w:val="27"/>
          <w:szCs w:val="27"/>
        </w:rPr>
        <w:t xml:space="preserve">  </w:t>
      </w:r>
      <w:r>
        <w:rPr>
          <w:rFonts w:ascii="黑体" w:hAnsi="黑体" w:eastAsia="黑体" w:cs="黑体"/>
          <w:b/>
          <w:bCs/>
          <w:sz w:val="27"/>
          <w:szCs w:val="27"/>
        </w:rPr>
        <w:t>系统测试计划中的描述建议</w:t>
      </w:r>
    </w:p>
    <w:p w14:paraId="7A77283E">
      <w:pPr>
        <w:pStyle w:val="2"/>
        <w:spacing w:before="83" w:line="219" w:lineRule="auto"/>
        <w:ind w:left="560"/>
      </w:pPr>
      <w:r>
        <w:rPr>
          <w:spacing w:val="-3"/>
        </w:rPr>
        <w:t>在系统测试计划中，应明确安全性测试需求。</w:t>
      </w:r>
    </w:p>
    <w:p w14:paraId="57CB2720">
      <w:pPr>
        <w:spacing w:before="114" w:line="221" w:lineRule="auto"/>
        <w:rPr>
          <w:rFonts w:ascii="黑体" w:hAnsi="黑体" w:eastAsia="黑体" w:cs="黑体"/>
          <w:sz w:val="27"/>
          <w:szCs w:val="27"/>
        </w:rPr>
      </w:pPr>
      <w:r>
        <w:rPr>
          <w:rFonts w:ascii="黑体" w:hAnsi="黑体" w:eastAsia="黑体" w:cs="黑体"/>
          <w:spacing w:val="-1"/>
          <w:sz w:val="27"/>
          <w:szCs w:val="27"/>
        </w:rPr>
        <w:t>7.3</w:t>
      </w:r>
      <w:r>
        <w:rPr>
          <w:rFonts w:ascii="黑体" w:hAnsi="黑体" w:eastAsia="黑体" w:cs="黑体"/>
          <w:spacing w:val="66"/>
          <w:sz w:val="27"/>
          <w:szCs w:val="27"/>
        </w:rPr>
        <w:t xml:space="preserve">  </w:t>
      </w:r>
      <w:r>
        <w:rPr>
          <w:rFonts w:ascii="黑体" w:hAnsi="黑体" w:eastAsia="黑体" w:cs="黑体"/>
          <w:b/>
          <w:bCs/>
          <w:spacing w:val="-1"/>
          <w:sz w:val="27"/>
          <w:szCs w:val="27"/>
        </w:rPr>
        <w:t>系统测试大纲中的描述建议</w:t>
      </w:r>
    </w:p>
    <w:p w14:paraId="11356D05">
      <w:pPr>
        <w:pStyle w:val="2"/>
        <w:spacing w:before="103" w:line="219" w:lineRule="auto"/>
        <w:ind w:left="560"/>
      </w:pPr>
      <w:r>
        <w:rPr>
          <w:spacing w:val="-3"/>
        </w:rPr>
        <w:t>在系统测试大纲中，应明确安全性测试需求。</w:t>
      </w:r>
    </w:p>
    <w:p w14:paraId="04F97257">
      <w:pPr>
        <w:spacing w:before="133" w:line="221" w:lineRule="auto"/>
        <w:outlineLvl w:val="3"/>
        <w:rPr>
          <w:rFonts w:ascii="黑体" w:hAnsi="黑体" w:eastAsia="黑体" w:cs="黑体"/>
          <w:sz w:val="27"/>
          <w:szCs w:val="27"/>
        </w:rPr>
      </w:pPr>
      <w:r>
        <w:rPr>
          <w:rFonts w:ascii="Arial" w:hAnsi="Arial" w:eastAsia="Arial" w:cs="Arial"/>
          <w:b/>
          <w:bCs/>
          <w:spacing w:val="2"/>
          <w:sz w:val="27"/>
          <w:szCs w:val="27"/>
        </w:rPr>
        <w:t xml:space="preserve">8    </w:t>
      </w:r>
      <w:r>
        <w:rPr>
          <w:rFonts w:ascii="黑体" w:hAnsi="黑体" w:eastAsia="黑体" w:cs="黑体"/>
          <w:b/>
          <w:bCs/>
          <w:spacing w:val="2"/>
          <w:sz w:val="27"/>
          <w:szCs w:val="27"/>
        </w:rPr>
        <w:t>概要设计评审中的软件安全性保障</w:t>
      </w:r>
    </w:p>
    <w:p w14:paraId="79CC27EA">
      <w:pPr>
        <w:pStyle w:val="2"/>
        <w:spacing w:before="92" w:line="219" w:lineRule="auto"/>
        <w:ind w:left="560"/>
      </w:pPr>
      <w:r>
        <w:rPr>
          <w:spacing w:val="-4"/>
        </w:rPr>
        <w:t>在概要设计评审中，应从软件安全性的角度进行审查，确保软件安全可靠。</w:t>
      </w:r>
    </w:p>
    <w:p w14:paraId="4EEFEB89">
      <w:pPr>
        <w:spacing w:line="219" w:lineRule="auto"/>
        <w:sectPr>
          <w:footerReference r:id="rId570" w:type="default"/>
          <w:pgSz w:w="11910" w:h="17130"/>
          <w:pgMar w:top="400" w:right="824" w:bottom="1703" w:left="1589" w:header="0" w:footer="1504" w:gutter="0"/>
          <w:cols w:space="720" w:num="1"/>
        </w:sectPr>
      </w:pPr>
    </w:p>
    <w:p w14:paraId="4F0BD698">
      <w:pPr>
        <w:spacing w:line="260" w:lineRule="auto"/>
        <w:rPr>
          <w:rFonts w:ascii="Arial"/>
          <w:sz w:val="21"/>
        </w:rPr>
      </w:pPr>
    </w:p>
    <w:p w14:paraId="75F7E664">
      <w:pPr>
        <w:spacing w:line="261" w:lineRule="auto"/>
        <w:rPr>
          <w:rFonts w:ascii="Arial"/>
          <w:sz w:val="21"/>
        </w:rPr>
      </w:pPr>
    </w:p>
    <w:p w14:paraId="03219449">
      <w:pPr>
        <w:spacing w:line="261" w:lineRule="auto"/>
        <w:rPr>
          <w:rFonts w:ascii="Arial"/>
          <w:sz w:val="21"/>
        </w:rPr>
      </w:pPr>
    </w:p>
    <w:p w14:paraId="441F0291">
      <w:pPr>
        <w:spacing w:line="261" w:lineRule="auto"/>
        <w:rPr>
          <w:rFonts w:ascii="Arial"/>
          <w:sz w:val="21"/>
        </w:rPr>
      </w:pPr>
    </w:p>
    <w:p w14:paraId="415677DF">
      <w:pPr>
        <w:spacing w:before="87" w:line="222" w:lineRule="auto"/>
        <w:outlineLvl w:val="3"/>
        <w:rPr>
          <w:rFonts w:ascii="黑体" w:hAnsi="黑体" w:eastAsia="黑体" w:cs="黑体"/>
          <w:sz w:val="27"/>
          <w:szCs w:val="27"/>
        </w:rPr>
      </w:pPr>
      <w:r>
        <w:rPr>
          <w:rFonts w:ascii="Arial" w:hAnsi="Arial" w:eastAsia="Arial" w:cs="Arial"/>
          <w:b/>
          <w:bCs/>
          <w:spacing w:val="-7"/>
          <w:sz w:val="27"/>
          <w:szCs w:val="27"/>
        </w:rPr>
        <w:t>9</w:t>
      </w:r>
      <w:r>
        <w:rPr>
          <w:rFonts w:ascii="Arial" w:hAnsi="Arial" w:eastAsia="Arial" w:cs="Arial"/>
          <w:b/>
          <w:bCs/>
          <w:spacing w:val="19"/>
          <w:sz w:val="27"/>
          <w:szCs w:val="27"/>
        </w:rPr>
        <w:t xml:space="preserve">   </w:t>
      </w:r>
      <w:r>
        <w:rPr>
          <w:rFonts w:ascii="黑体" w:hAnsi="黑体" w:eastAsia="黑体" w:cs="黑体"/>
          <w:b/>
          <w:bCs/>
          <w:spacing w:val="-7"/>
          <w:sz w:val="27"/>
          <w:szCs w:val="27"/>
        </w:rPr>
        <w:t>分析结论</w:t>
      </w:r>
    </w:p>
    <w:p w14:paraId="064B78F3">
      <w:pPr>
        <w:pStyle w:val="2"/>
        <w:spacing w:before="57" w:line="219" w:lineRule="auto"/>
        <w:ind w:left="560"/>
      </w:pPr>
      <w:r>
        <w:rPr>
          <w:spacing w:val="4"/>
        </w:rPr>
        <w:t>分析安全性关键的计算机软件成分的概要设计是否符合安全性需求。</w:t>
      </w:r>
    </w:p>
    <w:p w14:paraId="35CEA0D9">
      <w:pPr>
        <w:spacing w:line="351" w:lineRule="auto"/>
        <w:rPr>
          <w:rFonts w:ascii="Arial"/>
          <w:sz w:val="21"/>
        </w:rPr>
      </w:pPr>
    </w:p>
    <w:p w14:paraId="6C89DF2C">
      <w:pPr>
        <w:pStyle w:val="2"/>
        <w:spacing w:before="117" w:line="220" w:lineRule="auto"/>
        <w:ind w:left="2589"/>
        <w:rPr>
          <w:sz w:val="36"/>
          <w:szCs w:val="36"/>
        </w:rPr>
      </w:pPr>
      <w:r>
        <w:rPr>
          <w:spacing w:val="-4"/>
          <w:sz w:val="36"/>
          <w:szCs w:val="36"/>
        </w:rPr>
        <w:t>11.</w:t>
      </w:r>
      <w:r>
        <w:rPr>
          <w:b/>
          <w:bCs/>
          <w:spacing w:val="-4"/>
          <w:sz w:val="36"/>
          <w:szCs w:val="36"/>
        </w:rPr>
        <w:t>17</w:t>
      </w:r>
      <w:r>
        <w:rPr>
          <w:spacing w:val="41"/>
          <w:sz w:val="36"/>
          <w:szCs w:val="36"/>
        </w:rPr>
        <w:t xml:space="preserve">  </w:t>
      </w:r>
      <w:r>
        <w:rPr>
          <w:b/>
          <w:bCs/>
          <w:spacing w:val="-4"/>
          <w:sz w:val="36"/>
          <w:szCs w:val="36"/>
        </w:rPr>
        <w:t>详细设计危险分析</w:t>
      </w:r>
    </w:p>
    <w:p w14:paraId="081E13D9">
      <w:pPr>
        <w:spacing w:line="360" w:lineRule="auto"/>
        <w:rPr>
          <w:rFonts w:ascii="Arial"/>
          <w:sz w:val="21"/>
        </w:rPr>
      </w:pPr>
    </w:p>
    <w:p w14:paraId="63CC8052">
      <w:pPr>
        <w:pStyle w:val="2"/>
        <w:spacing w:before="78" w:line="223" w:lineRule="auto"/>
        <w:ind w:left="56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21"/>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900—1990</w:t>
      </w:r>
      <w:r>
        <w:rPr>
          <w:spacing w:val="9"/>
          <w:sz w:val="24"/>
          <w:szCs w:val="24"/>
        </w:rPr>
        <w:t>《</w:t>
      </w:r>
      <w:r>
        <w:rPr>
          <w:rFonts w:ascii="楷体" w:hAnsi="楷体" w:eastAsia="楷体" w:cs="楷体"/>
          <w:b/>
          <w:bCs/>
          <w:spacing w:val="9"/>
          <w:sz w:val="24"/>
          <w:szCs w:val="24"/>
        </w:rPr>
        <w:t>系统安全性通用</w:t>
      </w:r>
      <w:r>
        <w:rPr>
          <w:rFonts w:ascii="楷体" w:hAnsi="楷体" w:eastAsia="楷体" w:cs="楷体"/>
          <w:b/>
          <w:bCs/>
          <w:spacing w:val="8"/>
          <w:sz w:val="24"/>
          <w:szCs w:val="24"/>
        </w:rPr>
        <w:t>大纲》编写。</w:t>
      </w:r>
    </w:p>
    <w:p w14:paraId="5853AD12">
      <w:pPr>
        <w:spacing w:before="98"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45157B45">
      <w:pPr>
        <w:spacing w:before="8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6C279871">
      <w:pPr>
        <w:spacing w:before="97" w:line="223" w:lineRule="auto"/>
        <w:rPr>
          <w:rFonts w:ascii="黑体" w:hAnsi="黑体" w:eastAsia="黑体" w:cs="黑体"/>
          <w:sz w:val="25"/>
          <w:szCs w:val="25"/>
        </w:rPr>
      </w:pPr>
      <w:r>
        <w:rPr>
          <w:rFonts w:ascii="黑体" w:hAnsi="黑体" w:eastAsia="黑体" w:cs="黑体"/>
          <w:spacing w:val="7"/>
          <w:sz w:val="25"/>
          <w:szCs w:val="25"/>
        </w:rPr>
        <w:t>3</w:t>
      </w:r>
      <w:r>
        <w:rPr>
          <w:rFonts w:ascii="黑体" w:hAnsi="黑体" w:eastAsia="黑体" w:cs="黑体"/>
          <w:spacing w:val="49"/>
          <w:sz w:val="25"/>
          <w:szCs w:val="25"/>
        </w:rPr>
        <w:t xml:space="preserve"> </w:t>
      </w:r>
      <w:r>
        <w:rPr>
          <w:rFonts w:ascii="黑体" w:hAnsi="黑体" w:eastAsia="黑体" w:cs="黑体"/>
          <w:spacing w:val="7"/>
          <w:sz w:val="25"/>
          <w:szCs w:val="25"/>
        </w:rPr>
        <w:t>“</w:t>
      </w:r>
      <w:r>
        <w:rPr>
          <w:rFonts w:ascii="黑体" w:hAnsi="黑体" w:eastAsia="黑体" w:cs="黑体"/>
          <w:b/>
          <w:bCs/>
          <w:spacing w:val="7"/>
          <w:sz w:val="25"/>
          <w:szCs w:val="25"/>
        </w:rPr>
        <w:t>安全性关键的”的定义</w:t>
      </w:r>
    </w:p>
    <w:p w14:paraId="5EA1DC4C">
      <w:pPr>
        <w:pStyle w:val="2"/>
        <w:spacing w:before="122" w:line="219" w:lineRule="auto"/>
        <w:ind w:left="560"/>
        <w:rPr>
          <w:sz w:val="25"/>
          <w:szCs w:val="25"/>
        </w:rPr>
      </w:pPr>
      <w:r>
        <w:rPr>
          <w:spacing w:val="10"/>
          <w:sz w:val="25"/>
          <w:szCs w:val="25"/>
        </w:rPr>
        <w:t>在所分析的系统、分系统或部件范围内“安全性关</w:t>
      </w:r>
      <w:r>
        <w:rPr>
          <w:spacing w:val="9"/>
          <w:sz w:val="25"/>
          <w:szCs w:val="25"/>
        </w:rPr>
        <w:t>键的”的定义。</w:t>
      </w:r>
    </w:p>
    <w:p w14:paraId="63E2DC91">
      <w:pPr>
        <w:spacing w:before="78" w:line="222" w:lineRule="auto"/>
        <w:rPr>
          <w:rFonts w:ascii="黑体" w:hAnsi="黑体" w:eastAsia="黑体" w:cs="黑体"/>
          <w:sz w:val="27"/>
          <w:szCs w:val="27"/>
        </w:rPr>
      </w:pPr>
      <w:r>
        <w:rPr>
          <w:rFonts w:ascii="黑体" w:hAnsi="黑体" w:eastAsia="黑体" w:cs="黑体"/>
          <w:spacing w:val="3"/>
          <w:sz w:val="27"/>
          <w:szCs w:val="27"/>
        </w:rPr>
        <w:t xml:space="preserve">4  </w:t>
      </w:r>
      <w:r>
        <w:rPr>
          <w:rFonts w:ascii="黑体" w:hAnsi="黑体" w:eastAsia="黑体" w:cs="黑体"/>
          <w:b/>
          <w:bCs/>
          <w:spacing w:val="3"/>
          <w:sz w:val="27"/>
          <w:szCs w:val="27"/>
        </w:rPr>
        <w:t>危险的风险评价</w:t>
      </w:r>
    </w:p>
    <w:p w14:paraId="69AF961E">
      <w:pPr>
        <w:pStyle w:val="2"/>
        <w:spacing w:before="88" w:line="218" w:lineRule="auto"/>
        <w:ind w:left="560"/>
      </w:pPr>
      <w:r>
        <w:rPr>
          <w:spacing w:val="4"/>
        </w:rPr>
        <w:t>承制方应进行危险的风险评价以确定需作进一步分析的软件成分。</w:t>
      </w:r>
    </w:p>
    <w:p w14:paraId="2E26B2C9">
      <w:pPr>
        <w:pStyle w:val="2"/>
        <w:spacing w:before="64" w:line="265" w:lineRule="auto"/>
        <w:ind w:right="10" w:firstLine="560"/>
      </w:pPr>
      <w:r>
        <w:rPr>
          <w:rFonts w:ascii="Times New Roman" w:hAnsi="Times New Roman" w:eastAsia="Times New Roman" w:cs="Times New Roman"/>
          <w:spacing w:val="3"/>
        </w:rPr>
        <w:t xml:space="preserve">a)  </w:t>
      </w:r>
      <w:r>
        <w:rPr>
          <w:spacing w:val="3"/>
        </w:rPr>
        <w:t>承制方应确定由初步危险分析、软件需求危险分析</w:t>
      </w:r>
      <w:r>
        <w:rPr>
          <w:spacing w:val="2"/>
        </w:rPr>
        <w:t>、分系统危险分析和</w:t>
      </w:r>
      <w:r>
        <w:t xml:space="preserve"> </w:t>
      </w:r>
      <w:r>
        <w:rPr>
          <w:spacing w:val="14"/>
        </w:rPr>
        <w:t>概要设计危险分析判定的危险与软件详细设计中规</w:t>
      </w:r>
      <w:r>
        <w:rPr>
          <w:spacing w:val="13"/>
        </w:rPr>
        <w:t>定的低层次软件成分的关</w:t>
      </w:r>
      <w:r>
        <w:t xml:space="preserve"> </w:t>
      </w:r>
      <w:r>
        <w:rPr>
          <w:spacing w:val="5"/>
        </w:rPr>
        <w:t>系，这些成分为安全性关键的计算机软件成分。安全性关键的计算机软件成分</w:t>
      </w:r>
      <w:r>
        <w:rPr>
          <w:spacing w:val="10"/>
        </w:rPr>
        <w:t xml:space="preserve"> </w:t>
      </w:r>
      <w:r>
        <w:rPr>
          <w:spacing w:val="4"/>
        </w:rPr>
        <w:t>的确定应随详细设计危险分析一直进行到实际可行的最低层次。</w:t>
      </w:r>
    </w:p>
    <w:p w14:paraId="21342912">
      <w:pPr>
        <w:pStyle w:val="2"/>
        <w:spacing w:before="77" w:line="261" w:lineRule="auto"/>
        <w:ind w:right="1" w:firstLine="560"/>
      </w:pPr>
      <w:r>
        <w:rPr>
          <w:rFonts w:ascii="Times New Roman" w:hAnsi="Times New Roman" w:eastAsia="Times New Roman" w:cs="Times New Roman"/>
          <w:spacing w:val="3"/>
        </w:rPr>
        <w:t xml:space="preserve">b)  </w:t>
      </w:r>
      <w:r>
        <w:rPr>
          <w:spacing w:val="3"/>
        </w:rPr>
        <w:t>承制方应评价软件详细设计文档和其</w:t>
      </w:r>
      <w:r>
        <w:rPr>
          <w:spacing w:val="2"/>
        </w:rPr>
        <w:t>他详细设计文件，在计算机软件配</w:t>
      </w:r>
      <w:r>
        <w:t xml:space="preserve"> </w:t>
      </w:r>
      <w:r>
        <w:rPr>
          <w:spacing w:val="5"/>
        </w:rPr>
        <w:t>置项目及计算机软件成分各层次上确定安全性关键的软件与指定的其他软件是</w:t>
      </w:r>
      <w:r>
        <w:rPr>
          <w:spacing w:val="12"/>
        </w:rPr>
        <w:t xml:space="preserve"> </w:t>
      </w:r>
      <w:r>
        <w:rPr>
          <w:spacing w:val="1"/>
        </w:rPr>
        <w:t>否相关和相关的程度。</w:t>
      </w:r>
    </w:p>
    <w:p w14:paraId="0C5A5754">
      <w:pPr>
        <w:spacing w:before="92" w:line="222" w:lineRule="auto"/>
        <w:outlineLvl w:val="3"/>
        <w:rPr>
          <w:rFonts w:ascii="黑体" w:hAnsi="黑体" w:eastAsia="黑体" w:cs="黑体"/>
          <w:sz w:val="27"/>
          <w:szCs w:val="27"/>
        </w:rPr>
      </w:pPr>
      <w:r>
        <w:rPr>
          <w:rFonts w:ascii="Arial" w:hAnsi="Arial" w:eastAsia="Arial" w:cs="Arial"/>
          <w:b/>
          <w:bCs/>
          <w:spacing w:val="-3"/>
          <w:sz w:val="27"/>
          <w:szCs w:val="27"/>
        </w:rPr>
        <w:t>5</w:t>
      </w:r>
      <w:r>
        <w:rPr>
          <w:rFonts w:ascii="Arial" w:hAnsi="Arial" w:eastAsia="Arial" w:cs="Arial"/>
          <w:b/>
          <w:bCs/>
          <w:spacing w:val="21"/>
          <w:sz w:val="27"/>
          <w:szCs w:val="27"/>
        </w:rPr>
        <w:t xml:space="preserve">   </w:t>
      </w:r>
      <w:r>
        <w:rPr>
          <w:rFonts w:ascii="黑体" w:hAnsi="黑体" w:eastAsia="黑体" w:cs="黑体"/>
          <w:b/>
          <w:bCs/>
          <w:spacing w:val="-3"/>
          <w:sz w:val="27"/>
          <w:szCs w:val="27"/>
        </w:rPr>
        <w:t>详细设计分析</w:t>
      </w:r>
    </w:p>
    <w:p w14:paraId="1E05225D">
      <w:pPr>
        <w:pStyle w:val="2"/>
        <w:spacing w:before="99" w:line="280" w:lineRule="auto"/>
        <w:ind w:firstLine="560"/>
        <w:jc w:val="both"/>
      </w:pPr>
      <w:r>
        <w:rPr>
          <w:spacing w:val="6"/>
        </w:rPr>
        <w:t>承制方应对由危险的风险评价确定为安全性关键</w:t>
      </w:r>
      <w:r>
        <w:rPr>
          <w:spacing w:val="5"/>
        </w:rPr>
        <w:t>的软件成分的软件详细设</w:t>
      </w:r>
      <w:r>
        <w:t xml:space="preserve"> </w:t>
      </w:r>
      <w:r>
        <w:rPr>
          <w:spacing w:val="5"/>
        </w:rPr>
        <w:t>计进行安全性分析，以确保在设计中正确地和完整地规定和体现所有的安全性</w:t>
      </w:r>
      <w:r>
        <w:rPr>
          <w:spacing w:val="9"/>
        </w:rPr>
        <w:t xml:space="preserve"> </w:t>
      </w:r>
      <w:r>
        <w:rPr>
          <w:spacing w:val="5"/>
        </w:rPr>
        <w:t>需求。承制方应确定在详细设计的何处以及在什么条件下，将出现或可能出现</w:t>
      </w:r>
      <w:r>
        <w:rPr>
          <w:spacing w:val="9"/>
        </w:rPr>
        <w:t xml:space="preserve"> </w:t>
      </w:r>
      <w:r>
        <w:rPr>
          <w:spacing w:val="3"/>
        </w:rPr>
        <w:t>不可接受的危险。</w:t>
      </w:r>
    </w:p>
    <w:p w14:paraId="26A509EB">
      <w:pPr>
        <w:spacing w:before="18" w:line="222" w:lineRule="auto"/>
        <w:rPr>
          <w:rFonts w:ascii="黑体" w:hAnsi="黑体" w:eastAsia="黑体" w:cs="黑体"/>
          <w:sz w:val="24"/>
          <w:szCs w:val="24"/>
        </w:rPr>
      </w:pPr>
      <w:r>
        <w:rPr>
          <w:rFonts w:ascii="黑体" w:hAnsi="黑体" w:eastAsia="黑体" w:cs="黑体"/>
          <w:spacing w:val="24"/>
          <w:sz w:val="24"/>
          <w:szCs w:val="24"/>
        </w:rPr>
        <w:t>6</w:t>
      </w:r>
      <w:r>
        <w:rPr>
          <w:rFonts w:ascii="黑体" w:hAnsi="黑体" w:eastAsia="黑体" w:cs="黑体"/>
          <w:spacing w:val="36"/>
          <w:sz w:val="24"/>
          <w:szCs w:val="24"/>
        </w:rPr>
        <w:t xml:space="preserve">  </w:t>
      </w:r>
      <w:r>
        <w:rPr>
          <w:rFonts w:ascii="黑体" w:hAnsi="黑体" w:eastAsia="黑体" w:cs="黑体"/>
          <w:b/>
          <w:bCs/>
          <w:spacing w:val="24"/>
          <w:sz w:val="24"/>
          <w:szCs w:val="24"/>
        </w:rPr>
        <w:t>设计更改建议</w:t>
      </w:r>
    </w:p>
    <w:p w14:paraId="3099042F">
      <w:pPr>
        <w:pStyle w:val="2"/>
        <w:spacing w:before="96" w:line="282" w:lineRule="auto"/>
        <w:ind w:right="6" w:firstLine="560"/>
      </w:pPr>
      <w:r>
        <w:rPr>
          <w:spacing w:val="-3"/>
        </w:rPr>
        <w:t>根据详细设计安全性分析的结果，承制方应对详细设计提出更改建议，以消</w:t>
      </w:r>
      <w:r>
        <w:rPr>
          <w:spacing w:val="4"/>
        </w:rPr>
        <w:t xml:space="preserve"> 除危险或将危险的严重性降低到订购方可接受水平。</w:t>
      </w:r>
    </w:p>
    <w:p w14:paraId="429999B3">
      <w:pPr>
        <w:spacing w:before="1" w:line="220" w:lineRule="auto"/>
        <w:rPr>
          <w:rFonts w:ascii="黑体" w:hAnsi="黑体" w:eastAsia="黑体" w:cs="黑体"/>
          <w:sz w:val="24"/>
          <w:szCs w:val="24"/>
        </w:rPr>
      </w:pPr>
      <w:r>
        <w:rPr>
          <w:rFonts w:ascii="黑体" w:hAnsi="黑体" w:eastAsia="黑体" w:cs="黑体"/>
          <w:spacing w:val="24"/>
          <w:sz w:val="24"/>
          <w:szCs w:val="24"/>
        </w:rPr>
        <w:t>7</w:t>
      </w:r>
      <w:r>
        <w:rPr>
          <w:rFonts w:ascii="黑体" w:hAnsi="黑体" w:eastAsia="黑体" w:cs="黑体"/>
          <w:spacing w:val="37"/>
          <w:sz w:val="24"/>
          <w:szCs w:val="24"/>
        </w:rPr>
        <w:t xml:space="preserve">  </w:t>
      </w:r>
      <w:r>
        <w:rPr>
          <w:rFonts w:ascii="黑体" w:hAnsi="黑体" w:eastAsia="黑体" w:cs="黑体"/>
          <w:b/>
          <w:bCs/>
          <w:spacing w:val="24"/>
          <w:sz w:val="24"/>
          <w:szCs w:val="24"/>
        </w:rPr>
        <w:t>测试要求制定</w:t>
      </w:r>
    </w:p>
    <w:p w14:paraId="4C8227B7">
      <w:pPr>
        <w:pStyle w:val="2"/>
        <w:spacing w:before="109" w:line="279" w:lineRule="auto"/>
        <w:ind w:firstLine="560"/>
      </w:pPr>
      <w:r>
        <w:rPr>
          <w:spacing w:val="6"/>
        </w:rPr>
        <w:t>承制方应参与制定测试计划、说明和规程的要求</w:t>
      </w:r>
      <w:r>
        <w:rPr>
          <w:spacing w:val="5"/>
        </w:rPr>
        <w:t>及其更改的历次过程。承</w:t>
      </w:r>
      <w:r>
        <w:t xml:space="preserve"> </w:t>
      </w:r>
      <w:r>
        <w:rPr>
          <w:spacing w:val="4"/>
        </w:rPr>
        <w:t>制方应制定安全性关键的计算机软件成分的测试说</w:t>
      </w:r>
      <w:r>
        <w:rPr>
          <w:spacing w:val="3"/>
        </w:rPr>
        <w:t>明和规程。</w:t>
      </w:r>
    </w:p>
    <w:p w14:paraId="1FA65E84">
      <w:pPr>
        <w:spacing w:before="1" w:line="222" w:lineRule="auto"/>
        <w:outlineLvl w:val="3"/>
        <w:rPr>
          <w:rFonts w:ascii="黑体" w:hAnsi="黑体" w:eastAsia="黑体" w:cs="黑体"/>
          <w:sz w:val="27"/>
          <w:szCs w:val="27"/>
        </w:rPr>
      </w:pPr>
      <w:r>
        <w:rPr>
          <w:rFonts w:ascii="Arial" w:hAnsi="Arial" w:eastAsia="Arial" w:cs="Arial"/>
          <w:b/>
          <w:bCs/>
          <w:spacing w:val="-1"/>
          <w:sz w:val="27"/>
          <w:szCs w:val="27"/>
        </w:rPr>
        <w:t>8</w:t>
      </w:r>
      <w:r>
        <w:rPr>
          <w:rFonts w:ascii="Arial" w:hAnsi="Arial" w:eastAsia="Arial" w:cs="Arial"/>
          <w:b/>
          <w:bCs/>
          <w:spacing w:val="21"/>
          <w:w w:val="101"/>
          <w:sz w:val="27"/>
          <w:szCs w:val="27"/>
        </w:rPr>
        <w:t xml:space="preserve">   </w:t>
      </w:r>
      <w:r>
        <w:rPr>
          <w:rFonts w:ascii="黑体" w:hAnsi="黑体" w:eastAsia="黑体" w:cs="黑体"/>
          <w:b/>
          <w:bCs/>
          <w:spacing w:val="-1"/>
          <w:sz w:val="27"/>
          <w:szCs w:val="27"/>
        </w:rPr>
        <w:t>手册中的安全性信息</w:t>
      </w:r>
    </w:p>
    <w:p w14:paraId="4A5FC1DB">
      <w:pPr>
        <w:pStyle w:val="2"/>
        <w:spacing w:before="85" w:line="270" w:lineRule="auto"/>
        <w:ind w:right="7" w:firstLine="560"/>
        <w:jc w:val="both"/>
      </w:pPr>
      <w:r>
        <w:rPr>
          <w:spacing w:val="9"/>
        </w:rPr>
        <w:t>承制方应确定安全性有关的信息(如注意和警告事项),以体现在计算机系</w:t>
      </w:r>
      <w:r>
        <w:rPr>
          <w:spacing w:val="12"/>
        </w:rPr>
        <w:t xml:space="preserve"> </w:t>
      </w:r>
      <w:r>
        <w:rPr>
          <w:spacing w:val="-3"/>
        </w:rPr>
        <w:t>统诊断手册、计算机系统操作员手册、固件保障手册和软件用户等手册及其他手</w:t>
      </w:r>
      <w:r>
        <w:rPr>
          <w:spacing w:val="15"/>
        </w:rPr>
        <w:t xml:space="preserve"> </w:t>
      </w:r>
      <w:r>
        <w:rPr>
          <w:spacing w:val="-4"/>
        </w:rPr>
        <w:t>册中。</w:t>
      </w:r>
    </w:p>
    <w:p w14:paraId="68457053">
      <w:pPr>
        <w:spacing w:line="270" w:lineRule="auto"/>
        <w:sectPr>
          <w:footerReference r:id="rId571" w:type="default"/>
          <w:pgSz w:w="11910" w:h="17130"/>
          <w:pgMar w:top="400" w:right="1627" w:bottom="1730" w:left="900" w:header="0" w:footer="1444" w:gutter="0"/>
          <w:cols w:space="720" w:num="1"/>
        </w:sectPr>
      </w:pPr>
    </w:p>
    <w:p w14:paraId="798DC58D">
      <w:pPr>
        <w:spacing w:line="252" w:lineRule="auto"/>
        <w:rPr>
          <w:rFonts w:ascii="Arial"/>
          <w:sz w:val="21"/>
        </w:rPr>
      </w:pPr>
    </w:p>
    <w:p w14:paraId="34E97CE2">
      <w:pPr>
        <w:spacing w:line="252" w:lineRule="auto"/>
        <w:rPr>
          <w:rFonts w:ascii="Arial"/>
          <w:sz w:val="21"/>
        </w:rPr>
      </w:pPr>
    </w:p>
    <w:p w14:paraId="402AEF65">
      <w:pPr>
        <w:spacing w:line="253" w:lineRule="auto"/>
        <w:rPr>
          <w:rFonts w:ascii="Arial"/>
          <w:sz w:val="21"/>
        </w:rPr>
      </w:pPr>
    </w:p>
    <w:p w14:paraId="517C215E">
      <w:pPr>
        <w:spacing w:line="253" w:lineRule="auto"/>
        <w:rPr>
          <w:rFonts w:ascii="Arial"/>
          <w:sz w:val="21"/>
        </w:rPr>
      </w:pPr>
    </w:p>
    <w:p w14:paraId="7FE34343">
      <w:pPr>
        <w:spacing w:before="88" w:line="221" w:lineRule="auto"/>
        <w:outlineLvl w:val="3"/>
        <w:rPr>
          <w:rFonts w:ascii="黑体" w:hAnsi="黑体" w:eastAsia="黑体" w:cs="黑体"/>
          <w:sz w:val="27"/>
          <w:szCs w:val="27"/>
        </w:rPr>
      </w:pPr>
      <w:r>
        <w:rPr>
          <w:rFonts w:ascii="Arial" w:hAnsi="Arial" w:eastAsia="Arial" w:cs="Arial"/>
          <w:b/>
          <w:bCs/>
          <w:spacing w:val="2"/>
          <w:sz w:val="27"/>
          <w:szCs w:val="27"/>
        </w:rPr>
        <w:t xml:space="preserve">8.1    </w:t>
      </w:r>
      <w:r>
        <w:rPr>
          <w:rFonts w:ascii="黑体" w:hAnsi="黑体" w:eastAsia="黑体" w:cs="黑体"/>
          <w:b/>
          <w:bCs/>
          <w:spacing w:val="2"/>
          <w:sz w:val="27"/>
          <w:szCs w:val="27"/>
        </w:rPr>
        <w:t>使用维护说明书中的描述建议</w:t>
      </w:r>
    </w:p>
    <w:p w14:paraId="5F76429F">
      <w:pPr>
        <w:pStyle w:val="2"/>
        <w:spacing w:before="62" w:line="282" w:lineRule="auto"/>
        <w:ind w:right="10" w:firstLine="550"/>
      </w:pPr>
      <w:r>
        <w:rPr>
          <w:spacing w:val="5"/>
        </w:rPr>
        <w:t>说明在使用维护说明书(或计算机系统诊断手册)中对与安全性有关的信息</w:t>
      </w:r>
      <w:r>
        <w:rPr>
          <w:spacing w:val="14"/>
        </w:rPr>
        <w:t xml:space="preserve"> </w:t>
      </w:r>
      <w:r>
        <w:rPr>
          <w:spacing w:val="2"/>
        </w:rPr>
        <w:t>(如注意和警告事项)的描述建议。</w:t>
      </w:r>
    </w:p>
    <w:p w14:paraId="19B1933F">
      <w:pPr>
        <w:spacing w:before="1" w:line="220" w:lineRule="auto"/>
        <w:rPr>
          <w:rFonts w:ascii="黑体" w:hAnsi="黑体" w:eastAsia="黑体" w:cs="黑体"/>
          <w:sz w:val="27"/>
          <w:szCs w:val="27"/>
        </w:rPr>
      </w:pPr>
      <w:r>
        <w:rPr>
          <w:rFonts w:ascii="黑体" w:hAnsi="黑体" w:eastAsia="黑体" w:cs="黑体"/>
          <w:spacing w:val="3"/>
          <w:sz w:val="27"/>
          <w:szCs w:val="27"/>
        </w:rPr>
        <w:t xml:space="preserve">8.2  </w:t>
      </w:r>
      <w:r>
        <w:rPr>
          <w:rFonts w:ascii="黑体" w:hAnsi="黑体" w:eastAsia="黑体" w:cs="黑体"/>
          <w:b/>
          <w:bCs/>
          <w:spacing w:val="3"/>
          <w:sz w:val="27"/>
          <w:szCs w:val="27"/>
        </w:rPr>
        <w:t>计算机系统操作员手册中的描述建议</w:t>
      </w:r>
    </w:p>
    <w:p w14:paraId="2C5E3EA9">
      <w:pPr>
        <w:pStyle w:val="2"/>
        <w:spacing w:before="41" w:line="293" w:lineRule="auto"/>
        <w:ind w:right="18" w:firstLine="550"/>
      </w:pPr>
      <w:r>
        <w:rPr>
          <w:spacing w:val="9"/>
        </w:rPr>
        <w:t>说明在计算机系统操作员手册中对与安全性有关的信息(如注意和警告事</w:t>
      </w:r>
      <w:r>
        <w:rPr>
          <w:spacing w:val="18"/>
        </w:rPr>
        <w:t xml:space="preserve"> </w:t>
      </w:r>
      <w:r>
        <w:rPr>
          <w:spacing w:val="2"/>
        </w:rPr>
        <w:t>项)的描述建议。</w:t>
      </w:r>
    </w:p>
    <w:p w14:paraId="2551F5A3">
      <w:pPr>
        <w:spacing w:line="221" w:lineRule="auto"/>
        <w:rPr>
          <w:rFonts w:ascii="黑体" w:hAnsi="黑体" w:eastAsia="黑体" w:cs="黑体"/>
          <w:sz w:val="27"/>
          <w:szCs w:val="27"/>
        </w:rPr>
      </w:pPr>
      <w:r>
        <w:rPr>
          <w:rFonts w:ascii="黑体" w:hAnsi="黑体" w:eastAsia="黑体" w:cs="黑体"/>
          <w:spacing w:val="3"/>
          <w:sz w:val="27"/>
          <w:szCs w:val="27"/>
        </w:rPr>
        <w:t xml:space="preserve">8.3  </w:t>
      </w:r>
      <w:r>
        <w:rPr>
          <w:rFonts w:ascii="黑体" w:hAnsi="黑体" w:eastAsia="黑体" w:cs="黑体"/>
          <w:b/>
          <w:bCs/>
          <w:spacing w:val="3"/>
          <w:sz w:val="27"/>
          <w:szCs w:val="27"/>
        </w:rPr>
        <w:t>固件保障手册中的描述建议</w:t>
      </w:r>
    </w:p>
    <w:p w14:paraId="1363EE9C">
      <w:pPr>
        <w:pStyle w:val="2"/>
        <w:spacing w:before="49" w:line="286" w:lineRule="auto"/>
        <w:ind w:right="19" w:firstLine="550"/>
      </w:pPr>
      <w:r>
        <w:rPr>
          <w:spacing w:val="5"/>
        </w:rPr>
        <w:t>说明在固件保障手册中对与安全性有关的信息(如注意和警告事项)的描述</w:t>
      </w:r>
      <w:r>
        <w:rPr>
          <w:spacing w:val="4"/>
        </w:rPr>
        <w:t xml:space="preserve"> </w:t>
      </w:r>
      <w:r>
        <w:rPr>
          <w:spacing w:val="-4"/>
        </w:rPr>
        <w:t>建议。</w:t>
      </w:r>
    </w:p>
    <w:p w14:paraId="2F9D2D34">
      <w:pPr>
        <w:spacing w:before="1" w:line="221" w:lineRule="auto"/>
        <w:rPr>
          <w:rFonts w:ascii="黑体" w:hAnsi="黑体" w:eastAsia="黑体" w:cs="黑体"/>
          <w:sz w:val="27"/>
          <w:szCs w:val="27"/>
        </w:rPr>
      </w:pPr>
      <w:r>
        <w:rPr>
          <w:rFonts w:ascii="黑体" w:hAnsi="黑体" w:eastAsia="黑体" w:cs="黑体"/>
          <w:spacing w:val="3"/>
          <w:sz w:val="27"/>
          <w:szCs w:val="27"/>
        </w:rPr>
        <w:t xml:space="preserve">8.4  </w:t>
      </w:r>
      <w:r>
        <w:rPr>
          <w:rFonts w:ascii="黑体" w:hAnsi="黑体" w:eastAsia="黑体" w:cs="黑体"/>
          <w:b/>
          <w:bCs/>
          <w:spacing w:val="3"/>
          <w:sz w:val="27"/>
          <w:szCs w:val="27"/>
        </w:rPr>
        <w:t>软件用户手册中的描述建议</w:t>
      </w:r>
    </w:p>
    <w:p w14:paraId="30ECDC13">
      <w:pPr>
        <w:pStyle w:val="2"/>
        <w:spacing w:before="98" w:line="276" w:lineRule="auto"/>
        <w:ind w:right="19" w:firstLine="550"/>
      </w:pPr>
      <w:r>
        <w:rPr>
          <w:spacing w:val="5"/>
        </w:rPr>
        <w:t>说明在软件用户手册中对与安全性有关的信息(如注意和警告事项)的描述</w:t>
      </w:r>
      <w:r>
        <w:rPr>
          <w:spacing w:val="4"/>
        </w:rPr>
        <w:t xml:space="preserve"> </w:t>
      </w:r>
      <w:r>
        <w:rPr>
          <w:spacing w:val="-4"/>
        </w:rPr>
        <w:t>建议。</w:t>
      </w:r>
    </w:p>
    <w:p w14:paraId="28676FFE">
      <w:pPr>
        <w:spacing w:before="1" w:line="221" w:lineRule="auto"/>
        <w:rPr>
          <w:rFonts w:ascii="黑体" w:hAnsi="黑体" w:eastAsia="黑体" w:cs="黑体"/>
          <w:sz w:val="27"/>
          <w:szCs w:val="27"/>
        </w:rPr>
      </w:pPr>
      <w:r>
        <w:rPr>
          <w:rFonts w:ascii="黑体" w:hAnsi="黑体" w:eastAsia="黑体" w:cs="黑体"/>
          <w:spacing w:val="2"/>
          <w:sz w:val="27"/>
          <w:szCs w:val="27"/>
        </w:rPr>
        <w:t xml:space="preserve">8.5  </w:t>
      </w:r>
      <w:r>
        <w:rPr>
          <w:rFonts w:ascii="黑体" w:hAnsi="黑体" w:eastAsia="黑体" w:cs="黑体"/>
          <w:b/>
          <w:bCs/>
          <w:spacing w:val="2"/>
          <w:sz w:val="27"/>
          <w:szCs w:val="27"/>
        </w:rPr>
        <w:t>其他手册中的描述建议</w:t>
      </w:r>
    </w:p>
    <w:p w14:paraId="74B76059">
      <w:pPr>
        <w:pStyle w:val="2"/>
        <w:spacing w:before="70" w:line="286" w:lineRule="auto"/>
        <w:ind w:right="20" w:firstLine="550"/>
      </w:pPr>
      <w:r>
        <w:rPr>
          <w:spacing w:val="23"/>
        </w:rPr>
        <w:t>说明在其他手册中对与安全性有关的信息(如注意和警告事项</w:t>
      </w:r>
      <w:r>
        <w:rPr>
          <w:spacing w:val="22"/>
        </w:rPr>
        <w:t>)的描述</w:t>
      </w:r>
      <w:r>
        <w:t xml:space="preserve"> </w:t>
      </w:r>
      <w:r>
        <w:rPr>
          <w:spacing w:val="-4"/>
        </w:rPr>
        <w:t>建议。</w:t>
      </w:r>
    </w:p>
    <w:p w14:paraId="6F85F10E">
      <w:pPr>
        <w:spacing w:line="221" w:lineRule="auto"/>
        <w:rPr>
          <w:rFonts w:ascii="黑体" w:hAnsi="黑体" w:eastAsia="黑体" w:cs="黑体"/>
          <w:sz w:val="27"/>
          <w:szCs w:val="27"/>
        </w:rPr>
      </w:pPr>
      <w:r>
        <w:rPr>
          <w:rFonts w:ascii="黑体" w:hAnsi="黑体" w:eastAsia="黑体" w:cs="黑体"/>
          <w:spacing w:val="4"/>
          <w:sz w:val="27"/>
          <w:szCs w:val="27"/>
        </w:rPr>
        <w:t xml:space="preserve">9  </w:t>
      </w:r>
      <w:r>
        <w:rPr>
          <w:rFonts w:ascii="黑体" w:hAnsi="黑体" w:eastAsia="黑体" w:cs="黑体"/>
          <w:b/>
          <w:bCs/>
          <w:spacing w:val="4"/>
          <w:sz w:val="27"/>
          <w:szCs w:val="27"/>
        </w:rPr>
        <w:t>详细设计评审中的软件安全性保障</w:t>
      </w:r>
    </w:p>
    <w:p w14:paraId="3F0DCDEF">
      <w:pPr>
        <w:pStyle w:val="2"/>
        <w:spacing w:before="91" w:line="275" w:lineRule="auto"/>
        <w:ind w:right="18" w:firstLine="550"/>
        <w:jc w:val="both"/>
      </w:pPr>
      <w:r>
        <w:rPr>
          <w:spacing w:val="5"/>
        </w:rPr>
        <w:t>承制方应从软件安全性的角度保障详细设计评审，应在详细设计评审时报</w:t>
      </w:r>
      <w:r>
        <w:rPr>
          <w:spacing w:val="11"/>
        </w:rPr>
        <w:t xml:space="preserve"> </w:t>
      </w:r>
      <w:r>
        <w:rPr>
          <w:spacing w:val="-3"/>
        </w:rPr>
        <w:t>告软件安全性分析的结果，报告中应包括概要设计安全性需求和实现、保障分析</w:t>
      </w:r>
      <w:r>
        <w:rPr>
          <w:spacing w:val="15"/>
        </w:rPr>
        <w:t xml:space="preserve"> </w:t>
      </w:r>
      <w:r>
        <w:rPr>
          <w:spacing w:val="3"/>
        </w:rPr>
        <w:t>及所应用的方法和任何未解决的风险问题。</w:t>
      </w:r>
    </w:p>
    <w:p w14:paraId="18634617">
      <w:pPr>
        <w:spacing w:line="222" w:lineRule="auto"/>
        <w:rPr>
          <w:rFonts w:ascii="黑体" w:hAnsi="黑体" w:eastAsia="黑体" w:cs="黑体"/>
          <w:sz w:val="27"/>
          <w:szCs w:val="27"/>
        </w:rPr>
      </w:pPr>
      <w:r>
        <w:rPr>
          <w:rFonts w:ascii="黑体" w:hAnsi="黑体" w:eastAsia="黑体" w:cs="黑体"/>
          <w:spacing w:val="-1"/>
          <w:sz w:val="27"/>
          <w:szCs w:val="27"/>
        </w:rPr>
        <w:t>10</w:t>
      </w:r>
      <w:r>
        <w:rPr>
          <w:rFonts w:ascii="黑体" w:hAnsi="黑体" w:eastAsia="黑体" w:cs="黑体"/>
          <w:spacing w:val="19"/>
          <w:sz w:val="27"/>
          <w:szCs w:val="27"/>
        </w:rPr>
        <w:t xml:space="preserve">  </w:t>
      </w:r>
      <w:r>
        <w:rPr>
          <w:rFonts w:ascii="黑体" w:hAnsi="黑体" w:eastAsia="黑体" w:cs="黑体"/>
          <w:b/>
          <w:bCs/>
          <w:spacing w:val="-1"/>
          <w:sz w:val="27"/>
          <w:szCs w:val="27"/>
        </w:rPr>
        <w:t>分析结论</w:t>
      </w:r>
    </w:p>
    <w:p w14:paraId="0B004B8A">
      <w:pPr>
        <w:pStyle w:val="2"/>
        <w:spacing w:before="108" w:line="284" w:lineRule="auto"/>
        <w:ind w:firstLine="550"/>
      </w:pPr>
      <w:r>
        <w:rPr>
          <w:spacing w:val="15"/>
        </w:rPr>
        <w:t>根据以上详细设计危险分析，验证软件设计是否已正确地</w:t>
      </w:r>
      <w:r>
        <w:rPr>
          <w:spacing w:val="14"/>
        </w:rPr>
        <w:t>体现了安全性</w:t>
      </w:r>
      <w:r>
        <w:t xml:space="preserve"> </w:t>
      </w:r>
      <w:r>
        <w:rPr>
          <w:spacing w:val="-4"/>
        </w:rPr>
        <w:t>需求。</w:t>
      </w:r>
    </w:p>
    <w:p w14:paraId="4BDDC343">
      <w:pPr>
        <w:pStyle w:val="2"/>
        <w:spacing w:before="339" w:line="219" w:lineRule="auto"/>
        <w:ind w:left="2639"/>
        <w:rPr>
          <w:sz w:val="36"/>
          <w:szCs w:val="36"/>
        </w:rPr>
      </w:pPr>
      <w:r>
        <w:rPr>
          <w:spacing w:val="-5"/>
          <w:sz w:val="36"/>
          <w:szCs w:val="36"/>
        </w:rPr>
        <w:t>11.</w:t>
      </w:r>
      <w:r>
        <w:rPr>
          <w:b/>
          <w:bCs/>
          <w:spacing w:val="-5"/>
          <w:sz w:val="36"/>
          <w:szCs w:val="36"/>
        </w:rPr>
        <w:t>18</w:t>
      </w:r>
      <w:r>
        <w:rPr>
          <w:spacing w:val="43"/>
          <w:sz w:val="36"/>
          <w:szCs w:val="36"/>
        </w:rPr>
        <w:t xml:space="preserve">  </w:t>
      </w:r>
      <w:r>
        <w:rPr>
          <w:b/>
          <w:bCs/>
          <w:spacing w:val="-5"/>
          <w:sz w:val="36"/>
          <w:szCs w:val="36"/>
        </w:rPr>
        <w:t>软件编程危险分析</w:t>
      </w:r>
    </w:p>
    <w:p w14:paraId="64CA30CB">
      <w:pPr>
        <w:spacing w:line="363" w:lineRule="auto"/>
        <w:rPr>
          <w:rFonts w:ascii="Arial"/>
          <w:sz w:val="21"/>
        </w:rPr>
      </w:pPr>
    </w:p>
    <w:p w14:paraId="5E371A0F">
      <w:pPr>
        <w:pStyle w:val="2"/>
        <w:spacing w:before="78" w:line="223" w:lineRule="auto"/>
        <w:ind w:left="55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17"/>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900—1990</w:t>
      </w:r>
      <w:r>
        <w:rPr>
          <w:spacing w:val="9"/>
          <w:sz w:val="24"/>
          <w:szCs w:val="24"/>
        </w:rPr>
        <w:t>《</w:t>
      </w:r>
      <w:r>
        <w:rPr>
          <w:rFonts w:ascii="楷体" w:hAnsi="楷体" w:eastAsia="楷体" w:cs="楷体"/>
          <w:b/>
          <w:bCs/>
          <w:spacing w:val="9"/>
          <w:sz w:val="24"/>
          <w:szCs w:val="24"/>
        </w:rPr>
        <w:t>系统安全性通用大纲》编写。</w:t>
      </w:r>
    </w:p>
    <w:p w14:paraId="6E9B23CA">
      <w:pPr>
        <w:spacing w:before="108"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32"/>
          <w:sz w:val="27"/>
          <w:szCs w:val="27"/>
        </w:rPr>
        <w:t xml:space="preserve">  </w:t>
      </w:r>
      <w:r>
        <w:rPr>
          <w:rFonts w:ascii="黑体" w:hAnsi="黑体" w:eastAsia="黑体" w:cs="黑体"/>
          <w:b/>
          <w:bCs/>
          <w:spacing w:val="-8"/>
          <w:sz w:val="27"/>
          <w:szCs w:val="27"/>
        </w:rPr>
        <w:t>范围</w:t>
      </w:r>
    </w:p>
    <w:p w14:paraId="5831EE2C">
      <w:pPr>
        <w:spacing w:before="81" w:line="222" w:lineRule="auto"/>
        <w:rPr>
          <w:rFonts w:ascii="黑体" w:hAnsi="黑体" w:eastAsia="黑体" w:cs="黑体"/>
          <w:sz w:val="27"/>
          <w:szCs w:val="27"/>
        </w:rPr>
      </w:pPr>
      <w:r>
        <w:rPr>
          <w:rFonts w:ascii="Arial" w:hAnsi="Arial" w:eastAsia="Arial" w:cs="Arial"/>
          <w:b/>
          <w:bCs/>
          <w:spacing w:val="-3"/>
          <w:sz w:val="27"/>
          <w:szCs w:val="27"/>
        </w:rPr>
        <w:t>2</w:t>
      </w:r>
      <w:r>
        <w:rPr>
          <w:rFonts w:ascii="Arial" w:hAnsi="Arial" w:eastAsia="Arial" w:cs="Arial"/>
          <w:b/>
          <w:bCs/>
          <w:spacing w:val="22"/>
          <w:sz w:val="27"/>
          <w:szCs w:val="27"/>
        </w:rPr>
        <w:t xml:space="preserve">   </w:t>
      </w:r>
      <w:r>
        <w:rPr>
          <w:rFonts w:ascii="黑体" w:hAnsi="黑体" w:eastAsia="黑体" w:cs="黑体"/>
          <w:b/>
          <w:bCs/>
          <w:spacing w:val="-3"/>
          <w:sz w:val="27"/>
          <w:szCs w:val="27"/>
        </w:rPr>
        <w:t>引用文件</w:t>
      </w:r>
    </w:p>
    <w:p w14:paraId="4DE5E7BE">
      <w:pPr>
        <w:spacing w:before="88" w:line="223" w:lineRule="auto"/>
        <w:rPr>
          <w:rFonts w:ascii="黑体" w:hAnsi="黑体" w:eastAsia="黑体" w:cs="黑体"/>
          <w:sz w:val="27"/>
          <w:szCs w:val="27"/>
        </w:rPr>
      </w:pPr>
      <w:r>
        <w:rPr>
          <w:rFonts w:ascii="黑体" w:hAnsi="黑体" w:eastAsia="黑体" w:cs="黑体"/>
          <w:spacing w:val="-9"/>
          <w:sz w:val="27"/>
          <w:szCs w:val="27"/>
        </w:rPr>
        <w:t>3</w:t>
      </w:r>
      <w:r>
        <w:rPr>
          <w:rFonts w:ascii="黑体" w:hAnsi="黑体" w:eastAsia="黑体" w:cs="黑体"/>
          <w:spacing w:val="30"/>
          <w:sz w:val="27"/>
          <w:szCs w:val="27"/>
        </w:rPr>
        <w:t xml:space="preserve"> </w:t>
      </w:r>
      <w:r>
        <w:rPr>
          <w:rFonts w:ascii="黑体" w:hAnsi="黑体" w:eastAsia="黑体" w:cs="黑体"/>
          <w:spacing w:val="-9"/>
          <w:sz w:val="27"/>
          <w:szCs w:val="27"/>
        </w:rPr>
        <w:t>“</w:t>
      </w:r>
      <w:r>
        <w:rPr>
          <w:rFonts w:ascii="黑体" w:hAnsi="黑体" w:eastAsia="黑体" w:cs="黑体"/>
          <w:b/>
          <w:bCs/>
          <w:spacing w:val="-9"/>
          <w:sz w:val="27"/>
          <w:szCs w:val="27"/>
        </w:rPr>
        <w:t>安全性关键的”的定义</w:t>
      </w:r>
    </w:p>
    <w:p w14:paraId="7A3211CA">
      <w:pPr>
        <w:pStyle w:val="2"/>
        <w:spacing w:before="87" w:line="219" w:lineRule="auto"/>
        <w:ind w:left="550"/>
      </w:pPr>
      <w:r>
        <w:rPr>
          <w:spacing w:val="-10"/>
        </w:rPr>
        <w:t>在所分析的系统、分系统或部件范围内“安全性关键的”的定义。</w:t>
      </w:r>
    </w:p>
    <w:p w14:paraId="7375CFDF">
      <w:pPr>
        <w:spacing w:before="76" w:line="222" w:lineRule="auto"/>
        <w:outlineLvl w:val="3"/>
        <w:rPr>
          <w:rFonts w:ascii="黑体" w:hAnsi="黑体" w:eastAsia="黑体" w:cs="黑体"/>
          <w:sz w:val="27"/>
          <w:szCs w:val="27"/>
        </w:rPr>
      </w:pPr>
      <w:r>
        <w:rPr>
          <w:rFonts w:ascii="Arial" w:hAnsi="Arial" w:eastAsia="Arial" w:cs="Arial"/>
          <w:b/>
          <w:bCs/>
          <w:spacing w:val="-1"/>
          <w:sz w:val="27"/>
          <w:szCs w:val="27"/>
        </w:rPr>
        <w:t>4</w:t>
      </w:r>
      <w:r>
        <w:rPr>
          <w:rFonts w:ascii="Arial" w:hAnsi="Arial" w:eastAsia="Arial" w:cs="Arial"/>
          <w:b/>
          <w:bCs/>
          <w:spacing w:val="24"/>
          <w:sz w:val="27"/>
          <w:szCs w:val="27"/>
        </w:rPr>
        <w:t xml:space="preserve">   </w:t>
      </w:r>
      <w:r>
        <w:rPr>
          <w:rFonts w:ascii="黑体" w:hAnsi="黑体" w:eastAsia="黑体" w:cs="黑体"/>
          <w:b/>
          <w:bCs/>
          <w:spacing w:val="-1"/>
          <w:sz w:val="27"/>
          <w:szCs w:val="27"/>
        </w:rPr>
        <w:t>软件分析</w:t>
      </w:r>
    </w:p>
    <w:p w14:paraId="4E40E8D3">
      <w:pPr>
        <w:pStyle w:val="2"/>
        <w:spacing w:before="99" w:line="270" w:lineRule="auto"/>
        <w:ind w:right="12" w:firstLine="550"/>
      </w:pPr>
      <w:r>
        <w:rPr>
          <w:spacing w:val="14"/>
        </w:rPr>
        <w:t>承制方应对所有安全性关键的计算机软件成分进行危险分析，包括以下</w:t>
      </w:r>
      <w:r>
        <w:rPr>
          <w:spacing w:val="12"/>
        </w:rPr>
        <w:t xml:space="preserve"> </w:t>
      </w:r>
      <w:r>
        <w:rPr>
          <w:spacing w:val="-4"/>
        </w:rPr>
        <w:t>工作：</w:t>
      </w:r>
    </w:p>
    <w:p w14:paraId="444C9945">
      <w:pPr>
        <w:pStyle w:val="2"/>
        <w:spacing w:line="212" w:lineRule="auto"/>
        <w:ind w:right="17"/>
        <w:jc w:val="right"/>
      </w:pPr>
      <w:r>
        <w:rPr>
          <w:rFonts w:ascii="Times New Roman" w:hAnsi="Times New Roman" w:eastAsia="Times New Roman" w:cs="Times New Roman"/>
          <w:spacing w:val="3"/>
        </w:rPr>
        <w:t>a)</w:t>
      </w:r>
      <w:r>
        <w:rPr>
          <w:rFonts w:ascii="Times New Roman" w:hAnsi="Times New Roman" w:eastAsia="Times New Roman" w:cs="Times New Roman"/>
          <w:spacing w:val="65"/>
        </w:rPr>
        <w:t xml:space="preserve"> </w:t>
      </w:r>
      <w:r>
        <w:rPr>
          <w:spacing w:val="3"/>
        </w:rPr>
        <w:t>分析安全性关键的计算机软件成分的正确性和完整性，及其输入或输出</w:t>
      </w:r>
    </w:p>
    <w:p w14:paraId="3DC343D0">
      <w:pPr>
        <w:spacing w:line="212" w:lineRule="auto"/>
        <w:sectPr>
          <w:footerReference r:id="rId572" w:type="default"/>
          <w:pgSz w:w="11910" w:h="17130"/>
          <w:pgMar w:top="400" w:right="1049" w:bottom="1730" w:left="1480" w:header="0" w:footer="1444" w:gutter="0"/>
          <w:cols w:space="720" w:num="1"/>
        </w:sectPr>
      </w:pPr>
    </w:p>
    <w:p w14:paraId="38A71FB4">
      <w:pPr>
        <w:spacing w:line="276" w:lineRule="auto"/>
        <w:rPr>
          <w:rFonts w:ascii="Arial"/>
          <w:sz w:val="21"/>
        </w:rPr>
      </w:pPr>
    </w:p>
    <w:p w14:paraId="1D1D229C">
      <w:pPr>
        <w:spacing w:line="276" w:lineRule="auto"/>
        <w:rPr>
          <w:rFonts w:ascii="Arial"/>
          <w:sz w:val="21"/>
        </w:rPr>
      </w:pPr>
    </w:p>
    <w:p w14:paraId="6BC909EC">
      <w:pPr>
        <w:spacing w:line="276" w:lineRule="auto"/>
        <w:rPr>
          <w:rFonts w:ascii="Arial"/>
          <w:sz w:val="21"/>
        </w:rPr>
      </w:pPr>
    </w:p>
    <w:p w14:paraId="63B5C8B3">
      <w:pPr>
        <w:spacing w:line="276" w:lineRule="auto"/>
        <w:rPr>
          <w:rFonts w:ascii="Arial"/>
          <w:sz w:val="21"/>
        </w:rPr>
      </w:pPr>
    </w:p>
    <w:p w14:paraId="09941D50">
      <w:pPr>
        <w:pStyle w:val="2"/>
        <w:spacing w:before="88" w:line="273" w:lineRule="auto"/>
        <w:ind w:right="20"/>
        <w:jc w:val="both"/>
      </w:pPr>
      <w:r>
        <w:rPr>
          <w:spacing w:val="-21"/>
        </w:rPr>
        <w:t>时序、多重事件、失序事件、事件失败、错误事件、不恰当的数值、不利环境、死锁、</w:t>
      </w:r>
      <w:r>
        <w:rPr>
          <w:spacing w:val="2"/>
        </w:rPr>
        <w:t xml:space="preserve"> </w:t>
      </w:r>
      <w:r>
        <w:rPr>
          <w:spacing w:val="5"/>
        </w:rPr>
        <w:t>硬件故障敏感性等方面的问题；分析系统说明书和要求文件中提出的安全性准</w:t>
      </w:r>
      <w:r>
        <w:rPr>
          <w:spacing w:val="11"/>
        </w:rPr>
        <w:t xml:space="preserve"> </w:t>
      </w:r>
      <w:r>
        <w:rPr>
          <w:spacing w:val="-3"/>
        </w:rPr>
        <w:t>则在软件中的实现情况；分析可能使系统处在危险状况下工作的硬件故障、软件</w:t>
      </w:r>
      <w:r>
        <w:rPr>
          <w:spacing w:val="15"/>
        </w:rPr>
        <w:t xml:space="preserve"> </w:t>
      </w:r>
      <w:r>
        <w:rPr>
          <w:spacing w:val="-2"/>
        </w:rPr>
        <w:t>故障、瞬时错误和其他事件的可能组合；分析对输入数</w:t>
      </w:r>
      <w:r>
        <w:rPr>
          <w:spacing w:val="-3"/>
        </w:rPr>
        <w:t>据流中特殊字符或不正确</w:t>
      </w:r>
      <w:r>
        <w:t xml:space="preserve"> </w:t>
      </w:r>
      <w:r>
        <w:rPr>
          <w:spacing w:val="-3"/>
        </w:rPr>
        <w:t>数据的不执行处理的正确性；分析故障安全保护和故障可用的模式；分析输入过</w:t>
      </w:r>
      <w:r>
        <w:rPr>
          <w:spacing w:val="14"/>
        </w:rPr>
        <w:t xml:space="preserve"> </w:t>
      </w:r>
      <w:r>
        <w:rPr>
          <w:spacing w:val="2"/>
        </w:rPr>
        <w:t>载或过界状态。</w:t>
      </w:r>
    </w:p>
    <w:p w14:paraId="382CD82C">
      <w:pPr>
        <w:pStyle w:val="2"/>
        <w:spacing w:before="15" w:line="212" w:lineRule="auto"/>
        <w:ind w:left="550"/>
      </w:pPr>
      <w:r>
        <w:rPr>
          <w:rFonts w:ascii="Times New Roman" w:hAnsi="Times New Roman" w:eastAsia="Times New Roman" w:cs="Times New Roman"/>
          <w:spacing w:val="5"/>
        </w:rPr>
        <w:t>b)</w:t>
      </w:r>
      <w:r>
        <w:rPr>
          <w:rFonts w:ascii="Times New Roman" w:hAnsi="Times New Roman" w:eastAsia="Times New Roman" w:cs="Times New Roman"/>
          <w:spacing w:val="71"/>
        </w:rPr>
        <w:t xml:space="preserve"> </w:t>
      </w:r>
      <w:r>
        <w:rPr>
          <w:spacing w:val="5"/>
        </w:rPr>
        <w:t>进行安全性关键的计算机软件成分的内部路径和控制处理流程分析。</w:t>
      </w:r>
    </w:p>
    <w:p w14:paraId="73B670CB">
      <w:pPr>
        <w:pStyle w:val="2"/>
        <w:spacing w:before="109" w:line="250" w:lineRule="auto"/>
        <w:ind w:right="102" w:firstLine="550"/>
      </w:pPr>
      <w:r>
        <w:rPr>
          <w:rFonts w:ascii="Times New Roman" w:hAnsi="Times New Roman" w:eastAsia="Times New Roman" w:cs="Times New Roman"/>
          <w:spacing w:val="5"/>
        </w:rPr>
        <w:t>c</w:t>
      </w:r>
      <w:r>
        <w:rPr>
          <w:rFonts w:ascii="Times New Roman" w:hAnsi="Times New Roman" w:eastAsia="Times New Roman" w:cs="Times New Roman"/>
          <w:spacing w:val="-26"/>
        </w:rPr>
        <w:t xml:space="preserve"> </w:t>
      </w:r>
      <w:r>
        <w:rPr>
          <w:spacing w:val="5"/>
        </w:rPr>
        <w:t>)向订购方提出对规格说明、设计和测试文档中的设计、编程和测试的更</w:t>
      </w:r>
      <w:r>
        <w:t xml:space="preserve"> </w:t>
      </w:r>
      <w:r>
        <w:rPr>
          <w:spacing w:val="1"/>
        </w:rPr>
        <w:t>改建议。</w:t>
      </w:r>
    </w:p>
    <w:p w14:paraId="29DCA84F">
      <w:pPr>
        <w:pStyle w:val="2"/>
        <w:spacing w:before="69" w:line="212" w:lineRule="auto"/>
        <w:ind w:left="550"/>
      </w:pPr>
      <w:r>
        <w:rPr>
          <w:rFonts w:ascii="Times New Roman" w:hAnsi="Times New Roman" w:eastAsia="Times New Roman" w:cs="Times New Roman"/>
          <w:spacing w:val="5"/>
        </w:rPr>
        <w:t xml:space="preserve">d)  </w:t>
      </w:r>
      <w:r>
        <w:rPr>
          <w:spacing w:val="5"/>
        </w:rPr>
        <w:t>保障所有安全性关键的计算机软件成分的</w:t>
      </w:r>
      <w:r>
        <w:rPr>
          <w:spacing w:val="4"/>
        </w:rPr>
        <w:t>非正式评审。</w:t>
      </w:r>
    </w:p>
    <w:p w14:paraId="59A0A7C9">
      <w:pPr>
        <w:spacing w:before="146" w:line="221" w:lineRule="auto"/>
        <w:rPr>
          <w:rFonts w:ascii="黑体" w:hAnsi="黑体" w:eastAsia="黑体" w:cs="黑体"/>
          <w:sz w:val="24"/>
          <w:szCs w:val="24"/>
        </w:rPr>
      </w:pPr>
      <w:r>
        <w:rPr>
          <w:rFonts w:ascii="黑体" w:hAnsi="黑体" w:eastAsia="黑体" w:cs="黑体"/>
          <w:spacing w:val="29"/>
          <w:sz w:val="24"/>
          <w:szCs w:val="24"/>
        </w:rPr>
        <w:t>5</w:t>
      </w:r>
      <w:r>
        <w:rPr>
          <w:rFonts w:ascii="黑体" w:hAnsi="黑体" w:eastAsia="黑体" w:cs="黑体"/>
          <w:spacing w:val="31"/>
          <w:sz w:val="24"/>
          <w:szCs w:val="24"/>
        </w:rPr>
        <w:t xml:space="preserve">  </w:t>
      </w:r>
      <w:r>
        <w:rPr>
          <w:rFonts w:ascii="黑体" w:hAnsi="黑体" w:eastAsia="黑体" w:cs="黑体"/>
          <w:spacing w:val="29"/>
          <w:sz w:val="24"/>
          <w:szCs w:val="24"/>
        </w:rPr>
        <w:t>编程文档评审</w:t>
      </w:r>
    </w:p>
    <w:p w14:paraId="47BEFA7C">
      <w:pPr>
        <w:pStyle w:val="2"/>
        <w:spacing w:before="86" w:line="269" w:lineRule="auto"/>
        <w:ind w:right="97" w:firstLine="550"/>
        <w:jc w:val="both"/>
      </w:pPr>
      <w:r>
        <w:rPr>
          <w:spacing w:val="5"/>
        </w:rPr>
        <w:t>承制方应确保所有安全性关键的计算机软件成分和所有源程序完整地、准</w:t>
      </w:r>
      <w:r>
        <w:rPr>
          <w:spacing w:val="11"/>
        </w:rPr>
        <w:t xml:space="preserve"> </w:t>
      </w:r>
      <w:r>
        <w:rPr>
          <w:spacing w:val="6"/>
        </w:rPr>
        <w:t>确地记录和注释，所用的记录和注释方式应使得将来不熟悉原有程序的程序员</w:t>
      </w:r>
      <w:r>
        <w:rPr>
          <w:spacing w:val="2"/>
        </w:rPr>
        <w:t xml:space="preserve"> </w:t>
      </w:r>
      <w:r>
        <w:rPr>
          <w:spacing w:val="-3"/>
        </w:rPr>
        <w:t>在更改程序时，减少引入新的危险的可能性。</w:t>
      </w:r>
    </w:p>
    <w:p w14:paraId="23CFE18A">
      <w:pPr>
        <w:spacing w:line="368" w:lineRule="exact"/>
        <w:rPr>
          <w:rFonts w:ascii="黑体" w:hAnsi="黑体" w:eastAsia="黑体" w:cs="黑体"/>
          <w:sz w:val="27"/>
          <w:szCs w:val="27"/>
        </w:rPr>
      </w:pPr>
      <w:r>
        <w:rPr>
          <w:rFonts w:ascii="Arial" w:hAnsi="Arial" w:eastAsia="Arial" w:cs="Arial"/>
          <w:spacing w:val="4"/>
          <w:position w:val="1"/>
          <w:sz w:val="27"/>
          <w:szCs w:val="27"/>
        </w:rPr>
        <w:t>6</w:t>
      </w:r>
      <w:r>
        <w:rPr>
          <w:rFonts w:ascii="Arial" w:hAnsi="Arial" w:eastAsia="Arial" w:cs="Arial"/>
          <w:spacing w:val="23"/>
          <w:position w:val="1"/>
          <w:sz w:val="27"/>
          <w:szCs w:val="27"/>
        </w:rPr>
        <w:t xml:space="preserve">   </w:t>
      </w:r>
      <w:r>
        <w:rPr>
          <w:rFonts w:ascii="黑体" w:hAnsi="黑体" w:eastAsia="黑体" w:cs="黑体"/>
          <w:spacing w:val="4"/>
          <w:position w:val="1"/>
          <w:sz w:val="27"/>
          <w:szCs w:val="27"/>
        </w:rPr>
        <w:t>测试准备状态评审中的安全性保障</w:t>
      </w:r>
    </w:p>
    <w:p w14:paraId="6339DD5C">
      <w:pPr>
        <w:pStyle w:val="2"/>
        <w:spacing w:before="82" w:line="278" w:lineRule="auto"/>
        <w:ind w:right="111" w:firstLine="550"/>
        <w:jc w:val="both"/>
      </w:pPr>
      <w:r>
        <w:rPr>
          <w:spacing w:val="6"/>
        </w:rPr>
        <w:t>承制方应从软件安全性的角度保障测试准备状态评</w:t>
      </w:r>
      <w:r>
        <w:rPr>
          <w:spacing w:val="5"/>
        </w:rPr>
        <w:t>审。测试准备状态评审</w:t>
      </w:r>
      <w:r>
        <w:t xml:space="preserve"> </w:t>
      </w:r>
      <w:r>
        <w:rPr>
          <w:spacing w:val="-3"/>
        </w:rPr>
        <w:t>是评审软件测试规程是否符合软件测试方案，能否完成测试的要求，其目的是保</w:t>
      </w:r>
      <w:r>
        <w:rPr>
          <w:spacing w:val="13"/>
        </w:rPr>
        <w:t xml:space="preserve"> </w:t>
      </w:r>
      <w:r>
        <w:rPr>
          <w:spacing w:val="3"/>
        </w:rPr>
        <w:t>证承制方做好了正式软件测试的准备。</w:t>
      </w:r>
    </w:p>
    <w:p w14:paraId="55696F6A">
      <w:pPr>
        <w:spacing w:before="1" w:line="222"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4"/>
          <w:sz w:val="27"/>
          <w:szCs w:val="27"/>
        </w:rPr>
        <w:t xml:space="preserve">  </w:t>
      </w:r>
      <w:r>
        <w:rPr>
          <w:rFonts w:ascii="黑体" w:hAnsi="黑体" w:eastAsia="黑体" w:cs="黑体"/>
          <w:spacing w:val="1"/>
          <w:sz w:val="27"/>
          <w:szCs w:val="27"/>
        </w:rPr>
        <w:t>分析结论</w:t>
      </w:r>
    </w:p>
    <w:p w14:paraId="6C972A0A">
      <w:pPr>
        <w:pStyle w:val="2"/>
        <w:spacing w:before="86" w:line="288" w:lineRule="auto"/>
        <w:ind w:right="104" w:firstLine="550"/>
      </w:pPr>
      <w:r>
        <w:rPr>
          <w:spacing w:val="-3"/>
        </w:rPr>
        <w:t>进行软件编程危险分析，分析程序的编制和系统的接口，确定其中可能导致</w:t>
      </w:r>
      <w:r>
        <w:rPr>
          <w:spacing w:val="18"/>
        </w:rPr>
        <w:t xml:space="preserve"> </w:t>
      </w:r>
      <w:r>
        <w:rPr>
          <w:spacing w:val="-4"/>
        </w:rPr>
        <w:t>或促成影响安全性的事件、故障和条件。</w:t>
      </w:r>
    </w:p>
    <w:p w14:paraId="033DAA09">
      <w:pPr>
        <w:pStyle w:val="2"/>
        <w:spacing w:before="355" w:line="219" w:lineRule="auto"/>
        <w:ind w:left="2790"/>
        <w:rPr>
          <w:sz w:val="36"/>
          <w:szCs w:val="36"/>
        </w:rPr>
      </w:pPr>
      <w:r>
        <w:rPr>
          <w:spacing w:val="-3"/>
          <w:sz w:val="36"/>
          <w:szCs w:val="36"/>
        </w:rPr>
        <w:t>11.</w:t>
      </w:r>
      <w:r>
        <w:rPr>
          <w:b/>
          <w:bCs/>
          <w:spacing w:val="-3"/>
          <w:sz w:val="36"/>
          <w:szCs w:val="36"/>
        </w:rPr>
        <w:t>19</w:t>
      </w:r>
      <w:r>
        <w:rPr>
          <w:spacing w:val="39"/>
          <w:sz w:val="36"/>
          <w:szCs w:val="36"/>
        </w:rPr>
        <w:t xml:space="preserve">  </w:t>
      </w:r>
      <w:r>
        <w:rPr>
          <w:b/>
          <w:bCs/>
          <w:spacing w:val="-3"/>
          <w:sz w:val="36"/>
          <w:szCs w:val="36"/>
        </w:rPr>
        <w:t>软件安全性测试</w:t>
      </w:r>
    </w:p>
    <w:p w14:paraId="7E0FE58C">
      <w:pPr>
        <w:spacing w:line="363" w:lineRule="auto"/>
        <w:rPr>
          <w:rFonts w:ascii="Arial"/>
          <w:sz w:val="21"/>
        </w:rPr>
      </w:pPr>
    </w:p>
    <w:p w14:paraId="358CF282">
      <w:pPr>
        <w:pStyle w:val="2"/>
        <w:spacing w:before="79" w:line="223" w:lineRule="auto"/>
        <w:ind w:left="553"/>
        <w:rPr>
          <w:rFonts w:ascii="楷体" w:hAnsi="楷体" w:eastAsia="楷体" w:cs="楷体"/>
          <w:sz w:val="24"/>
          <w:szCs w:val="24"/>
        </w:rPr>
      </w:pPr>
      <w:r>
        <w:rPr>
          <w:rFonts w:ascii="楷体" w:hAnsi="楷体" w:eastAsia="楷体" w:cs="楷体"/>
          <w:b/>
          <w:bCs/>
          <w:spacing w:val="12"/>
          <w:sz w:val="24"/>
          <w:szCs w:val="24"/>
        </w:rPr>
        <w:t>按照</w:t>
      </w:r>
      <w:r>
        <w:rPr>
          <w:rFonts w:ascii="楷体" w:hAnsi="楷体" w:eastAsia="楷体" w:cs="楷体"/>
          <w:spacing w:val="-47"/>
          <w:sz w:val="24"/>
          <w:szCs w:val="24"/>
        </w:rPr>
        <w:t xml:space="preserve"> </w:t>
      </w:r>
      <w:r>
        <w:rPr>
          <w:rFonts w:ascii="Times New Roman" w:hAnsi="Times New Roman" w:eastAsia="Times New Roman" w:cs="Times New Roman"/>
          <w:sz w:val="24"/>
          <w:szCs w:val="24"/>
        </w:rPr>
        <w:t>GJB</w:t>
      </w:r>
      <w:r>
        <w:rPr>
          <w:rFonts w:ascii="Times New Roman" w:hAnsi="Times New Roman" w:eastAsia="Times New Roman" w:cs="Times New Roman"/>
          <w:spacing w:val="12"/>
          <w:sz w:val="24"/>
          <w:szCs w:val="24"/>
        </w:rPr>
        <w:t xml:space="preserve">   900—1990</w:t>
      </w:r>
      <w:r>
        <w:rPr>
          <w:spacing w:val="12"/>
          <w:sz w:val="24"/>
          <w:szCs w:val="24"/>
        </w:rPr>
        <w:t>《</w:t>
      </w:r>
      <w:r>
        <w:rPr>
          <w:rFonts w:ascii="楷体" w:hAnsi="楷体" w:eastAsia="楷体" w:cs="楷体"/>
          <w:b/>
          <w:bCs/>
          <w:spacing w:val="12"/>
          <w:sz w:val="24"/>
          <w:szCs w:val="24"/>
        </w:rPr>
        <w:t>系统安全性通用大纲》编写。</w:t>
      </w:r>
    </w:p>
    <w:p w14:paraId="2FD17DE2">
      <w:pPr>
        <w:spacing w:before="111"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19"/>
          <w:sz w:val="27"/>
          <w:szCs w:val="27"/>
        </w:rPr>
        <w:t xml:space="preserve">  </w:t>
      </w:r>
      <w:r>
        <w:rPr>
          <w:rFonts w:ascii="黑体" w:hAnsi="黑体" w:eastAsia="黑体" w:cs="黑体"/>
          <w:spacing w:val="-3"/>
          <w:sz w:val="27"/>
          <w:szCs w:val="27"/>
        </w:rPr>
        <w:t>范围</w:t>
      </w:r>
    </w:p>
    <w:p w14:paraId="5C4BADDC">
      <w:pPr>
        <w:spacing w:before="81" w:line="222" w:lineRule="auto"/>
        <w:rPr>
          <w:rFonts w:ascii="黑体" w:hAnsi="黑体" w:eastAsia="黑体" w:cs="黑体"/>
          <w:sz w:val="27"/>
          <w:szCs w:val="27"/>
        </w:rPr>
      </w:pPr>
      <w:r>
        <w:rPr>
          <w:rFonts w:ascii="Arial" w:hAnsi="Arial" w:eastAsia="Arial" w:cs="Arial"/>
          <w:spacing w:val="2"/>
          <w:sz w:val="27"/>
          <w:szCs w:val="27"/>
        </w:rPr>
        <w:t>2</w:t>
      </w:r>
      <w:r>
        <w:rPr>
          <w:rFonts w:ascii="Arial" w:hAnsi="Arial" w:eastAsia="Arial" w:cs="Arial"/>
          <w:spacing w:val="18"/>
          <w:w w:val="101"/>
          <w:sz w:val="27"/>
          <w:szCs w:val="27"/>
        </w:rPr>
        <w:t xml:space="preserve">   </w:t>
      </w:r>
      <w:r>
        <w:rPr>
          <w:rFonts w:ascii="黑体" w:hAnsi="黑体" w:eastAsia="黑体" w:cs="黑体"/>
          <w:spacing w:val="2"/>
          <w:sz w:val="27"/>
          <w:szCs w:val="27"/>
        </w:rPr>
        <w:t>引用文件</w:t>
      </w:r>
    </w:p>
    <w:p w14:paraId="3185ED36">
      <w:pPr>
        <w:spacing w:before="78" w:line="223" w:lineRule="auto"/>
        <w:rPr>
          <w:rFonts w:ascii="黑体" w:hAnsi="黑体" w:eastAsia="黑体" w:cs="黑体"/>
          <w:sz w:val="27"/>
          <w:szCs w:val="27"/>
        </w:rPr>
      </w:pPr>
      <w:r>
        <w:rPr>
          <w:rFonts w:ascii="黑体" w:hAnsi="黑体" w:eastAsia="黑体" w:cs="黑体"/>
          <w:spacing w:val="-5"/>
          <w:sz w:val="27"/>
          <w:szCs w:val="27"/>
        </w:rPr>
        <w:t>3 “安全性关键的”的定义</w:t>
      </w:r>
    </w:p>
    <w:p w14:paraId="208403E0">
      <w:pPr>
        <w:pStyle w:val="2"/>
        <w:spacing w:before="84" w:line="219" w:lineRule="auto"/>
        <w:ind w:left="550"/>
      </w:pPr>
      <w:r>
        <w:rPr>
          <w:spacing w:val="-10"/>
        </w:rPr>
        <w:t>在所分析的系统、分系统或部件范围内“安全性关键的”的定义。</w:t>
      </w:r>
    </w:p>
    <w:p w14:paraId="7AFBF413">
      <w:pPr>
        <w:spacing w:before="77" w:line="221" w:lineRule="auto"/>
        <w:rPr>
          <w:rFonts w:ascii="黑体" w:hAnsi="黑体" w:eastAsia="黑体" w:cs="黑体"/>
          <w:sz w:val="27"/>
          <w:szCs w:val="27"/>
        </w:rPr>
      </w:pPr>
      <w:r>
        <w:rPr>
          <w:rFonts w:ascii="黑体" w:hAnsi="黑体" w:eastAsia="黑体" w:cs="黑体"/>
          <w:spacing w:val="3"/>
          <w:sz w:val="27"/>
          <w:szCs w:val="27"/>
        </w:rPr>
        <w:t>4</w:t>
      </w:r>
      <w:r>
        <w:rPr>
          <w:rFonts w:ascii="黑体" w:hAnsi="黑体" w:eastAsia="黑体" w:cs="黑体"/>
          <w:spacing w:val="10"/>
          <w:sz w:val="27"/>
          <w:szCs w:val="27"/>
        </w:rPr>
        <w:t xml:space="preserve">  </w:t>
      </w:r>
      <w:r>
        <w:rPr>
          <w:rFonts w:ascii="黑体" w:hAnsi="黑体" w:eastAsia="黑体" w:cs="黑体"/>
          <w:spacing w:val="3"/>
          <w:sz w:val="27"/>
          <w:szCs w:val="27"/>
        </w:rPr>
        <w:t>软件测试</w:t>
      </w:r>
    </w:p>
    <w:p w14:paraId="2FE64063">
      <w:pPr>
        <w:pStyle w:val="2"/>
        <w:spacing w:before="107" w:line="267" w:lineRule="auto"/>
        <w:ind w:right="123" w:firstLine="550"/>
      </w:pPr>
      <w:r>
        <w:rPr>
          <w:spacing w:val="5"/>
        </w:rPr>
        <w:t>承制方应参与安全性关键的计算机软件成分的所有层次的测试，包括单元</w:t>
      </w:r>
      <w:r>
        <w:rPr>
          <w:spacing w:val="10"/>
        </w:rPr>
        <w:t xml:space="preserve"> </w:t>
      </w:r>
      <w:r>
        <w:rPr>
          <w:spacing w:val="-11"/>
        </w:rPr>
        <w:t>测试、综合测试、验收测试和系统测试。</w:t>
      </w:r>
    </w:p>
    <w:p w14:paraId="49ACAD09">
      <w:pPr>
        <w:pStyle w:val="2"/>
        <w:spacing w:before="3" w:line="280" w:lineRule="auto"/>
        <w:ind w:firstLine="550"/>
      </w:pPr>
      <w:r>
        <w:rPr>
          <w:rFonts w:ascii="Times New Roman" w:hAnsi="Times New Roman" w:eastAsia="Times New Roman" w:cs="Times New Roman"/>
          <w:spacing w:val="6"/>
        </w:rPr>
        <w:t xml:space="preserve">a)  </w:t>
      </w:r>
      <w:r>
        <w:rPr>
          <w:spacing w:val="6"/>
        </w:rPr>
        <w:t>承制方软件安全性工作人员应确保严格地按照批准的测试计划、说明、</w:t>
      </w:r>
      <w:r>
        <w:rPr>
          <w:spacing w:val="9"/>
        </w:rPr>
        <w:t xml:space="preserve"> </w:t>
      </w:r>
      <w:r>
        <w:rPr>
          <w:spacing w:val="-3"/>
        </w:rPr>
        <w:t>规程和用例进行安全性关键的计算机软件成分的测试，并准确地记录成文、分析</w:t>
      </w:r>
    </w:p>
    <w:p w14:paraId="1AD3BFB6">
      <w:pPr>
        <w:spacing w:line="280" w:lineRule="auto"/>
        <w:sectPr>
          <w:footerReference r:id="rId573" w:type="default"/>
          <w:pgSz w:w="11910" w:h="17130"/>
          <w:pgMar w:top="400" w:right="1444" w:bottom="1593" w:left="979" w:header="0" w:footer="1394" w:gutter="0"/>
          <w:cols w:space="720" w:num="1"/>
        </w:sectPr>
      </w:pPr>
    </w:p>
    <w:p w14:paraId="4072A1B1">
      <w:pPr>
        <w:spacing w:line="283" w:lineRule="auto"/>
        <w:rPr>
          <w:rFonts w:ascii="Arial"/>
          <w:sz w:val="21"/>
        </w:rPr>
      </w:pPr>
    </w:p>
    <w:p w14:paraId="2AC4CB53">
      <w:pPr>
        <w:spacing w:line="283" w:lineRule="auto"/>
        <w:rPr>
          <w:rFonts w:ascii="Arial"/>
          <w:sz w:val="21"/>
        </w:rPr>
      </w:pPr>
    </w:p>
    <w:p w14:paraId="4D31361E">
      <w:pPr>
        <w:spacing w:line="283" w:lineRule="auto"/>
        <w:rPr>
          <w:rFonts w:ascii="Arial"/>
          <w:sz w:val="21"/>
        </w:rPr>
      </w:pPr>
    </w:p>
    <w:p w14:paraId="7517D3B8">
      <w:pPr>
        <w:spacing w:line="283" w:lineRule="auto"/>
        <w:rPr>
          <w:rFonts w:ascii="Arial"/>
          <w:sz w:val="21"/>
        </w:rPr>
      </w:pPr>
    </w:p>
    <w:p w14:paraId="539EE09D">
      <w:pPr>
        <w:pStyle w:val="2"/>
        <w:spacing w:before="78" w:line="218" w:lineRule="auto"/>
        <w:rPr>
          <w:sz w:val="24"/>
          <w:szCs w:val="24"/>
        </w:rPr>
      </w:pPr>
      <w:r>
        <w:rPr>
          <w:spacing w:val="33"/>
          <w:sz w:val="24"/>
          <w:szCs w:val="24"/>
        </w:rPr>
        <w:t>和报告结果。承制方应确保纠正软件中的缺陷并重新测试。</w:t>
      </w:r>
    </w:p>
    <w:p w14:paraId="37797BF3">
      <w:pPr>
        <w:pStyle w:val="2"/>
        <w:spacing w:before="59" w:line="260" w:lineRule="auto"/>
        <w:ind w:right="42" w:firstLine="570"/>
      </w:pPr>
      <w:r>
        <w:rPr>
          <w:rFonts w:ascii="Times New Roman" w:hAnsi="Times New Roman" w:eastAsia="Times New Roman" w:cs="Times New Roman"/>
          <w:spacing w:val="2"/>
        </w:rPr>
        <w:t>b)</w:t>
      </w:r>
      <w:r>
        <w:rPr>
          <w:rFonts w:ascii="Times New Roman" w:hAnsi="Times New Roman" w:eastAsia="Times New Roman" w:cs="Times New Roman"/>
          <w:spacing w:val="83"/>
        </w:rPr>
        <w:t xml:space="preserve"> </w:t>
      </w:r>
      <w:r>
        <w:rPr>
          <w:spacing w:val="2"/>
        </w:rPr>
        <w:t>除在正常条件下测试外，应测试软件，以表明软件不会因可能的单个或</w:t>
      </w:r>
      <w:r>
        <w:t xml:space="preserve"> </w:t>
      </w:r>
      <w:r>
        <w:rPr>
          <w:spacing w:val="2"/>
        </w:rPr>
        <w:t>多个输入错误而导致不安全状态。</w:t>
      </w:r>
    </w:p>
    <w:p w14:paraId="1B054A7C">
      <w:pPr>
        <w:pStyle w:val="2"/>
        <w:spacing w:before="39" w:line="267" w:lineRule="auto"/>
        <w:ind w:right="38" w:firstLine="570"/>
      </w:pPr>
      <w:r>
        <w:rPr>
          <w:rFonts w:ascii="Times New Roman" w:hAnsi="Times New Roman" w:eastAsia="Times New Roman" w:cs="Times New Roman"/>
          <w:spacing w:val="12"/>
        </w:rPr>
        <w:t>c)</w:t>
      </w:r>
      <w:r>
        <w:rPr>
          <w:rFonts w:ascii="Times New Roman" w:hAnsi="Times New Roman" w:eastAsia="Times New Roman" w:cs="Times New Roman"/>
          <w:spacing w:val="62"/>
          <w:w w:val="101"/>
        </w:rPr>
        <w:t xml:space="preserve"> </w:t>
      </w:r>
      <w:r>
        <w:rPr>
          <w:spacing w:val="12"/>
        </w:rPr>
        <w:t>承制方应确保在系统综合应力测试和系统验收测</w:t>
      </w:r>
      <w:r>
        <w:rPr>
          <w:spacing w:val="11"/>
        </w:rPr>
        <w:t>试时软件正确地和安</w:t>
      </w:r>
      <w:r>
        <w:t xml:space="preserve"> </w:t>
      </w:r>
      <w:r>
        <w:rPr>
          <w:spacing w:val="4"/>
        </w:rPr>
        <w:t>全地运行。系统验收测试应在实际的使用条件下进</w:t>
      </w:r>
      <w:r>
        <w:rPr>
          <w:spacing w:val="3"/>
        </w:rPr>
        <w:t>行。</w:t>
      </w:r>
    </w:p>
    <w:p w14:paraId="0936588F">
      <w:pPr>
        <w:spacing w:before="73" w:line="221"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3"/>
          <w:w w:val="101"/>
          <w:sz w:val="27"/>
          <w:szCs w:val="27"/>
        </w:rPr>
        <w:t xml:space="preserve">   </w:t>
      </w:r>
      <w:r>
        <w:rPr>
          <w:rFonts w:ascii="黑体" w:hAnsi="黑体" w:eastAsia="黑体" w:cs="黑体"/>
          <w:b/>
          <w:bCs/>
          <w:spacing w:val="1"/>
          <w:sz w:val="27"/>
          <w:szCs w:val="27"/>
        </w:rPr>
        <w:t>外购软件的安全性分析和测试</w:t>
      </w:r>
    </w:p>
    <w:p w14:paraId="41262A3B">
      <w:pPr>
        <w:pStyle w:val="2"/>
        <w:spacing w:before="90" w:line="275" w:lineRule="auto"/>
        <w:ind w:right="38" w:firstLine="570"/>
        <w:jc w:val="both"/>
      </w:pPr>
      <w:r>
        <w:rPr>
          <w:spacing w:val="5"/>
        </w:rPr>
        <w:t>除订购方明确提出可不必考虑外，应分析和测试系统中的外购软件。外购</w:t>
      </w:r>
      <w:r>
        <w:rPr>
          <w:spacing w:val="12"/>
        </w:rPr>
        <w:t xml:space="preserve"> </w:t>
      </w:r>
      <w:r>
        <w:rPr>
          <w:spacing w:val="6"/>
        </w:rPr>
        <w:t>软件包括市场采购的、有专利的和不是为本系统专门开发的其他软件。无论外</w:t>
      </w:r>
      <w:r>
        <w:rPr>
          <w:spacing w:val="1"/>
        </w:rPr>
        <w:t xml:space="preserve"> </w:t>
      </w:r>
      <w:r>
        <w:rPr>
          <w:spacing w:val="-3"/>
        </w:rPr>
        <w:t>购软件是否修改，都应进行分析和测试。</w:t>
      </w:r>
    </w:p>
    <w:p w14:paraId="7F454034">
      <w:pPr>
        <w:spacing w:before="1" w:line="220" w:lineRule="auto"/>
        <w:rPr>
          <w:rFonts w:ascii="黑体" w:hAnsi="黑体" w:eastAsia="黑体" w:cs="黑体"/>
          <w:sz w:val="27"/>
          <w:szCs w:val="27"/>
        </w:rPr>
      </w:pPr>
      <w:r>
        <w:rPr>
          <w:rFonts w:ascii="黑体" w:hAnsi="黑体" w:eastAsia="黑体" w:cs="黑体"/>
          <w:spacing w:val="3"/>
          <w:sz w:val="27"/>
          <w:szCs w:val="27"/>
        </w:rPr>
        <w:t xml:space="preserve">6  </w:t>
      </w:r>
      <w:r>
        <w:rPr>
          <w:rFonts w:ascii="黑体" w:hAnsi="黑体" w:eastAsia="黑体" w:cs="黑体"/>
          <w:b/>
          <w:bCs/>
          <w:spacing w:val="3"/>
          <w:sz w:val="27"/>
          <w:szCs w:val="27"/>
        </w:rPr>
        <w:t>订购方提供软件的安全性分析和测试</w:t>
      </w:r>
    </w:p>
    <w:p w14:paraId="38A27A44">
      <w:pPr>
        <w:pStyle w:val="2"/>
        <w:spacing w:before="102" w:line="276" w:lineRule="auto"/>
        <w:ind w:right="41" w:firstLine="570"/>
      </w:pPr>
      <w:r>
        <w:rPr>
          <w:spacing w:val="-3"/>
        </w:rPr>
        <w:t>除订购方明确提出可不必考虑外，无论承制方对其软件是否修改，都应对订</w:t>
      </w:r>
      <w:r>
        <w:rPr>
          <w:spacing w:val="1"/>
        </w:rPr>
        <w:t xml:space="preserve"> </w:t>
      </w:r>
      <w:r>
        <w:rPr>
          <w:spacing w:val="5"/>
        </w:rPr>
        <w:t>购方提供的软件按在执行合同时开发的软件进行软件安全性</w:t>
      </w:r>
      <w:r>
        <w:rPr>
          <w:spacing w:val="4"/>
        </w:rPr>
        <w:t>分析和测试。</w:t>
      </w:r>
    </w:p>
    <w:p w14:paraId="73C5C1D4">
      <w:pPr>
        <w:spacing w:line="222" w:lineRule="auto"/>
        <w:rPr>
          <w:rFonts w:ascii="黑体" w:hAnsi="黑体" w:eastAsia="黑体" w:cs="黑体"/>
          <w:sz w:val="27"/>
          <w:szCs w:val="27"/>
        </w:rPr>
      </w:pPr>
      <w:r>
        <w:rPr>
          <w:rFonts w:ascii="黑体" w:hAnsi="黑体" w:eastAsia="黑体" w:cs="黑体"/>
          <w:spacing w:val="-3"/>
          <w:sz w:val="27"/>
          <w:szCs w:val="27"/>
        </w:rPr>
        <w:t>7</w:t>
      </w:r>
      <w:r>
        <w:rPr>
          <w:rFonts w:ascii="黑体" w:hAnsi="黑体" w:eastAsia="黑体" w:cs="黑体"/>
          <w:spacing w:val="17"/>
          <w:sz w:val="27"/>
          <w:szCs w:val="27"/>
        </w:rPr>
        <w:t xml:space="preserve">  </w:t>
      </w:r>
      <w:r>
        <w:rPr>
          <w:rFonts w:ascii="黑体" w:hAnsi="黑体" w:eastAsia="黑体" w:cs="黑体"/>
          <w:b/>
          <w:bCs/>
          <w:spacing w:val="-3"/>
          <w:sz w:val="27"/>
          <w:szCs w:val="27"/>
        </w:rPr>
        <w:t>危险的处理</w:t>
      </w:r>
    </w:p>
    <w:p w14:paraId="2AD7B965">
      <w:pPr>
        <w:pStyle w:val="2"/>
        <w:spacing w:before="108" w:line="277" w:lineRule="auto"/>
        <w:ind w:right="33" w:firstLine="570"/>
        <w:jc w:val="both"/>
      </w:pPr>
      <w:r>
        <w:rPr>
          <w:spacing w:val="6"/>
        </w:rPr>
        <w:t>承制方应纠正软件的缺陷以消除在系统综合测</w:t>
      </w:r>
      <w:r>
        <w:rPr>
          <w:spacing w:val="5"/>
        </w:rPr>
        <w:t>试和系统验收测试中发现的</w:t>
      </w:r>
      <w:r>
        <w:t xml:space="preserve"> </w:t>
      </w:r>
      <w:r>
        <w:rPr>
          <w:spacing w:val="6"/>
        </w:rPr>
        <w:t>所有危险或将其风险降低到可接受水平。纠正后的软件应在同样的条</w:t>
      </w:r>
      <w:r>
        <w:rPr>
          <w:spacing w:val="5"/>
        </w:rPr>
        <w:t>件下重新</w:t>
      </w:r>
      <w:r>
        <w:t xml:space="preserve"> </w:t>
      </w:r>
      <w:r>
        <w:rPr>
          <w:spacing w:val="-3"/>
        </w:rPr>
        <w:t>测试，以确保已消除危险和不会出现其他危险。</w:t>
      </w:r>
    </w:p>
    <w:p w14:paraId="422F8F4C">
      <w:pPr>
        <w:spacing w:before="1" w:line="220" w:lineRule="auto"/>
        <w:rPr>
          <w:rFonts w:ascii="黑体" w:hAnsi="黑体" w:eastAsia="黑体" w:cs="黑体"/>
          <w:sz w:val="27"/>
          <w:szCs w:val="27"/>
        </w:rPr>
      </w:pPr>
      <w:r>
        <w:rPr>
          <w:rFonts w:ascii="黑体" w:hAnsi="黑体" w:eastAsia="黑体" w:cs="黑体"/>
          <w:spacing w:val="3"/>
          <w:sz w:val="27"/>
          <w:szCs w:val="27"/>
        </w:rPr>
        <w:t xml:space="preserve">8  </w:t>
      </w:r>
      <w:r>
        <w:rPr>
          <w:rFonts w:ascii="黑体" w:hAnsi="黑体" w:eastAsia="黑体" w:cs="黑体"/>
          <w:b/>
          <w:bCs/>
          <w:spacing w:val="3"/>
          <w:sz w:val="27"/>
          <w:szCs w:val="27"/>
        </w:rPr>
        <w:t>软件安全性测试结论</w:t>
      </w:r>
    </w:p>
    <w:p w14:paraId="6F262E5B">
      <w:pPr>
        <w:pStyle w:val="2"/>
        <w:spacing w:before="103" w:line="219" w:lineRule="auto"/>
        <w:ind w:left="570"/>
      </w:pPr>
      <w:r>
        <w:rPr>
          <w:spacing w:val="-5"/>
        </w:rPr>
        <w:t>通过进行软件安全性测试，验证安全性需求的实现情况，并作出结论。</w:t>
      </w:r>
    </w:p>
    <w:p w14:paraId="38D831C2">
      <w:pPr>
        <w:spacing w:line="309" w:lineRule="auto"/>
        <w:rPr>
          <w:rFonts w:ascii="Arial"/>
          <w:sz w:val="21"/>
        </w:rPr>
      </w:pPr>
    </w:p>
    <w:p w14:paraId="3BB4C018">
      <w:pPr>
        <w:pStyle w:val="2"/>
        <w:spacing w:before="118" w:line="219" w:lineRule="auto"/>
        <w:ind w:left="2080"/>
        <w:outlineLvl w:val="1"/>
        <w:rPr>
          <w:sz w:val="36"/>
          <w:szCs w:val="36"/>
        </w:rPr>
      </w:pPr>
      <w:r>
        <w:rPr>
          <w:rFonts w:ascii="Times New Roman" w:hAnsi="Times New Roman" w:eastAsia="Times New Roman" w:cs="Times New Roman"/>
          <w:b/>
          <w:bCs/>
          <w:spacing w:val="2"/>
          <w:sz w:val="36"/>
          <w:szCs w:val="36"/>
        </w:rPr>
        <w:t xml:space="preserve">11.20     </w:t>
      </w:r>
      <w:r>
        <w:rPr>
          <w:b/>
          <w:bCs/>
          <w:spacing w:val="2"/>
          <w:sz w:val="36"/>
          <w:szCs w:val="36"/>
        </w:rPr>
        <w:t>软件与用户接口危险分析</w:t>
      </w:r>
    </w:p>
    <w:p w14:paraId="44717E7C">
      <w:pPr>
        <w:spacing w:line="383" w:lineRule="auto"/>
        <w:rPr>
          <w:rFonts w:ascii="Arial"/>
          <w:sz w:val="21"/>
        </w:rPr>
      </w:pPr>
    </w:p>
    <w:p w14:paraId="7EA6C655">
      <w:pPr>
        <w:pStyle w:val="2"/>
        <w:spacing w:before="78" w:line="223" w:lineRule="auto"/>
        <w:ind w:left="570"/>
        <w:rPr>
          <w:rFonts w:ascii="楷体" w:hAnsi="楷体" w:eastAsia="楷体" w:cs="楷体"/>
          <w:sz w:val="24"/>
          <w:szCs w:val="24"/>
        </w:rPr>
      </w:pPr>
      <w:r>
        <w:rPr>
          <w:rFonts w:ascii="楷体" w:hAnsi="楷体" w:eastAsia="楷体" w:cs="楷体"/>
          <w:spacing w:val="3"/>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3"/>
          <w:sz w:val="24"/>
          <w:szCs w:val="24"/>
        </w:rPr>
        <w:t xml:space="preserve">      900—1990</w:t>
      </w:r>
      <w:r>
        <w:rPr>
          <w:b/>
          <w:bCs/>
          <w:spacing w:val="3"/>
          <w:sz w:val="24"/>
          <w:szCs w:val="24"/>
        </w:rPr>
        <w:t>《</w:t>
      </w:r>
      <w:r>
        <w:rPr>
          <w:rFonts w:ascii="楷体" w:hAnsi="楷体" w:eastAsia="楷体" w:cs="楷体"/>
          <w:b/>
          <w:bCs/>
          <w:spacing w:val="3"/>
          <w:sz w:val="24"/>
          <w:szCs w:val="24"/>
        </w:rPr>
        <w:t>系统安全性通用大纲》编写。</w:t>
      </w:r>
    </w:p>
    <w:p w14:paraId="195DF04E">
      <w:pPr>
        <w:spacing w:before="78"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07C3330D">
      <w:pPr>
        <w:spacing w:before="91" w:line="222" w:lineRule="auto"/>
        <w:rPr>
          <w:rFonts w:ascii="黑体" w:hAnsi="黑体" w:eastAsia="黑体" w:cs="黑体"/>
          <w:sz w:val="27"/>
          <w:szCs w:val="27"/>
        </w:rPr>
      </w:pPr>
      <w:r>
        <w:rPr>
          <w:rFonts w:ascii="Arial" w:hAnsi="Arial" w:eastAsia="Arial" w:cs="Arial"/>
          <w:b/>
          <w:bCs/>
          <w:spacing w:val="-3"/>
          <w:sz w:val="27"/>
          <w:szCs w:val="27"/>
        </w:rPr>
        <w:t>2</w:t>
      </w:r>
      <w:r>
        <w:rPr>
          <w:rFonts w:ascii="Arial" w:hAnsi="Arial" w:eastAsia="Arial" w:cs="Arial"/>
          <w:b/>
          <w:bCs/>
          <w:spacing w:val="18"/>
          <w:w w:val="101"/>
          <w:sz w:val="27"/>
          <w:szCs w:val="27"/>
        </w:rPr>
        <w:t xml:space="preserve">   </w:t>
      </w:r>
      <w:r>
        <w:rPr>
          <w:rFonts w:ascii="黑体" w:hAnsi="黑体" w:eastAsia="黑体" w:cs="黑体"/>
          <w:b/>
          <w:bCs/>
          <w:spacing w:val="-3"/>
          <w:sz w:val="27"/>
          <w:szCs w:val="27"/>
        </w:rPr>
        <w:t>引用文件</w:t>
      </w:r>
    </w:p>
    <w:p w14:paraId="00D13ADF">
      <w:pPr>
        <w:spacing w:before="98" w:line="223" w:lineRule="auto"/>
        <w:rPr>
          <w:rFonts w:ascii="黑体" w:hAnsi="黑体" w:eastAsia="黑体" w:cs="黑体"/>
          <w:sz w:val="27"/>
          <w:szCs w:val="27"/>
        </w:rPr>
      </w:pPr>
      <w:r>
        <w:rPr>
          <w:rFonts w:ascii="Arial" w:hAnsi="Arial" w:eastAsia="Arial" w:cs="Arial"/>
          <w:b/>
          <w:bCs/>
          <w:spacing w:val="-9"/>
          <w:sz w:val="27"/>
          <w:szCs w:val="27"/>
        </w:rPr>
        <w:t>3</w:t>
      </w:r>
      <w:r>
        <w:rPr>
          <w:rFonts w:ascii="Arial" w:hAnsi="Arial" w:eastAsia="Arial" w:cs="Arial"/>
          <w:b/>
          <w:bCs/>
          <w:spacing w:val="58"/>
          <w:w w:val="101"/>
          <w:sz w:val="27"/>
          <w:szCs w:val="27"/>
        </w:rPr>
        <w:t xml:space="preserve"> </w:t>
      </w:r>
      <w:r>
        <w:rPr>
          <w:rFonts w:ascii="黑体" w:hAnsi="黑体" w:eastAsia="黑体" w:cs="黑体"/>
          <w:b/>
          <w:bCs/>
          <w:spacing w:val="-9"/>
          <w:sz w:val="27"/>
          <w:szCs w:val="27"/>
        </w:rPr>
        <w:t>“安全性关键的”的定义</w:t>
      </w:r>
    </w:p>
    <w:p w14:paraId="46E4091C">
      <w:pPr>
        <w:pStyle w:val="2"/>
        <w:spacing w:before="87" w:line="219" w:lineRule="auto"/>
        <w:ind w:left="570"/>
      </w:pPr>
      <w:r>
        <w:rPr>
          <w:spacing w:val="-9"/>
        </w:rPr>
        <w:t>在所分析的系统、分系统或部件范围内“安全性关键</w:t>
      </w:r>
      <w:r>
        <w:rPr>
          <w:spacing w:val="-10"/>
        </w:rPr>
        <w:t>的”的定义。</w:t>
      </w:r>
    </w:p>
    <w:p w14:paraId="4637357C">
      <w:pPr>
        <w:spacing w:before="73" w:line="221" w:lineRule="auto"/>
        <w:outlineLvl w:val="3"/>
        <w:rPr>
          <w:rFonts w:ascii="黑体" w:hAnsi="黑体" w:eastAsia="黑体" w:cs="黑体"/>
          <w:sz w:val="27"/>
          <w:szCs w:val="27"/>
        </w:rPr>
      </w:pPr>
      <w:r>
        <w:rPr>
          <w:rFonts w:ascii="Arial" w:hAnsi="Arial" w:eastAsia="Arial" w:cs="Arial"/>
          <w:b/>
          <w:bCs/>
          <w:spacing w:val="4"/>
          <w:sz w:val="27"/>
          <w:szCs w:val="27"/>
        </w:rPr>
        <w:t xml:space="preserve">4   </w:t>
      </w:r>
      <w:r>
        <w:rPr>
          <w:rFonts w:ascii="黑体" w:hAnsi="黑体" w:eastAsia="黑体" w:cs="黑体"/>
          <w:b/>
          <w:bCs/>
          <w:spacing w:val="4"/>
          <w:sz w:val="27"/>
          <w:szCs w:val="27"/>
        </w:rPr>
        <w:t>不能由系统设计或其他措施消除或控制的危险</w:t>
      </w:r>
    </w:p>
    <w:p w14:paraId="5C252CCC">
      <w:pPr>
        <w:pStyle w:val="2"/>
        <w:spacing w:before="73" w:line="219" w:lineRule="auto"/>
        <w:ind w:left="570"/>
      </w:pPr>
      <w:r>
        <w:rPr>
          <w:spacing w:val="4"/>
        </w:rPr>
        <w:t>分析不能由系统设计或其他措施消除或控制的危险。</w:t>
      </w:r>
    </w:p>
    <w:p w14:paraId="78391D65">
      <w:pPr>
        <w:spacing w:before="74" w:line="222"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1"/>
          <w:sz w:val="27"/>
          <w:szCs w:val="27"/>
        </w:rPr>
        <w:t xml:space="preserve">   </w:t>
      </w:r>
      <w:r>
        <w:rPr>
          <w:rFonts w:ascii="黑体" w:hAnsi="黑体" w:eastAsia="黑体" w:cs="黑体"/>
          <w:b/>
          <w:bCs/>
          <w:sz w:val="27"/>
          <w:szCs w:val="27"/>
        </w:rPr>
        <w:t>设计更改建议</w:t>
      </w:r>
    </w:p>
    <w:p w14:paraId="3ACCE77B">
      <w:pPr>
        <w:pStyle w:val="2"/>
        <w:spacing w:before="121" w:line="219" w:lineRule="auto"/>
        <w:ind w:left="570"/>
      </w:pPr>
      <w:r>
        <w:rPr>
          <w:spacing w:val="1"/>
        </w:rPr>
        <w:t>提出以下设计更改建议：</w:t>
      </w:r>
    </w:p>
    <w:p w14:paraId="68CFC354">
      <w:pPr>
        <w:pStyle w:val="2"/>
        <w:spacing w:before="98" w:line="219" w:lineRule="auto"/>
        <w:ind w:left="570"/>
      </w:pPr>
      <w:r>
        <w:rPr>
          <w:rFonts w:ascii="Times New Roman" w:hAnsi="Times New Roman" w:eastAsia="Times New Roman" w:cs="Times New Roman"/>
          <w:spacing w:val="9"/>
        </w:rPr>
        <w:t>a</w:t>
      </w:r>
      <w:r>
        <w:rPr>
          <w:spacing w:val="9"/>
        </w:rPr>
        <w:t>)对每个危险状态提供探测方法；</w:t>
      </w:r>
    </w:p>
    <w:p w14:paraId="1F60BD5D">
      <w:pPr>
        <w:pStyle w:val="2"/>
        <w:spacing w:before="51" w:line="212" w:lineRule="auto"/>
        <w:ind w:left="570"/>
      </w:pPr>
      <w:r>
        <w:rPr>
          <w:rFonts w:ascii="Times New Roman" w:hAnsi="Times New Roman" w:eastAsia="Times New Roman" w:cs="Times New Roman"/>
          <w:spacing w:val="4"/>
        </w:rPr>
        <w:t>b)</w:t>
      </w:r>
      <w:r>
        <w:rPr>
          <w:rFonts w:ascii="Times New Roman" w:hAnsi="Times New Roman" w:eastAsia="Times New Roman" w:cs="Times New Roman"/>
          <w:spacing w:val="79"/>
        </w:rPr>
        <w:t xml:space="preserve"> </w:t>
      </w:r>
      <w:r>
        <w:rPr>
          <w:spacing w:val="4"/>
        </w:rPr>
        <w:t>对每个探测到的Ⅱ级危险状态提供安全生存和恢复的方法；</w:t>
      </w:r>
    </w:p>
    <w:p w14:paraId="292E79CA">
      <w:pPr>
        <w:pStyle w:val="2"/>
        <w:spacing w:before="130" w:line="212" w:lineRule="auto"/>
        <w:jc w:val="right"/>
      </w:pPr>
      <w:r>
        <w:rPr>
          <w:rFonts w:ascii="Times New Roman" w:hAnsi="Times New Roman" w:eastAsia="Times New Roman" w:cs="Times New Roman"/>
          <w:spacing w:val="4"/>
        </w:rPr>
        <w:t>c)</w:t>
      </w:r>
      <w:r>
        <w:rPr>
          <w:rFonts w:ascii="Times New Roman" w:hAnsi="Times New Roman" w:eastAsia="Times New Roman" w:cs="Times New Roman"/>
          <w:spacing w:val="74"/>
          <w:w w:val="101"/>
        </w:rPr>
        <w:t xml:space="preserve"> </w:t>
      </w:r>
      <w:r>
        <w:rPr>
          <w:spacing w:val="4"/>
        </w:rPr>
        <w:t>增设报警特性以警告操作员或驾驶员注意会导致设备故障的软件错误；</w:t>
      </w:r>
    </w:p>
    <w:p w14:paraId="7011DA72">
      <w:pPr>
        <w:pStyle w:val="2"/>
        <w:spacing w:before="80" w:line="212" w:lineRule="auto"/>
        <w:ind w:left="570"/>
      </w:pPr>
      <w:r>
        <w:rPr>
          <w:rFonts w:ascii="Times New Roman" w:hAnsi="Times New Roman" w:eastAsia="Times New Roman" w:cs="Times New Roman"/>
          <w:spacing w:val="3"/>
        </w:rPr>
        <w:t>d)</w:t>
      </w:r>
      <w:r>
        <w:rPr>
          <w:rFonts w:ascii="Times New Roman" w:hAnsi="Times New Roman" w:eastAsia="Times New Roman" w:cs="Times New Roman"/>
          <w:spacing w:val="77"/>
        </w:rPr>
        <w:t xml:space="preserve"> </w:t>
      </w:r>
      <w:r>
        <w:rPr>
          <w:spacing w:val="3"/>
        </w:rPr>
        <w:t>对过程或事件提供安全的清除方法；</w:t>
      </w:r>
    </w:p>
    <w:p w14:paraId="52CF4275">
      <w:pPr>
        <w:spacing w:line="212" w:lineRule="auto"/>
        <w:sectPr>
          <w:footerReference r:id="rId574" w:type="default"/>
          <w:pgSz w:w="11910" w:h="17130"/>
          <w:pgMar w:top="400" w:right="944" w:bottom="1600" w:left="1539" w:header="0" w:footer="1314" w:gutter="0"/>
          <w:cols w:space="720" w:num="1"/>
        </w:sectPr>
      </w:pPr>
    </w:p>
    <w:p w14:paraId="252CF1AA">
      <w:pPr>
        <w:spacing w:line="241" w:lineRule="auto"/>
        <w:rPr>
          <w:rFonts w:ascii="Arial"/>
          <w:sz w:val="21"/>
        </w:rPr>
      </w:pPr>
    </w:p>
    <w:p w14:paraId="0D56F9C9">
      <w:pPr>
        <w:spacing w:line="242" w:lineRule="auto"/>
        <w:rPr>
          <w:rFonts w:ascii="Arial"/>
          <w:sz w:val="21"/>
        </w:rPr>
      </w:pPr>
    </w:p>
    <w:p w14:paraId="7741386B">
      <w:pPr>
        <w:spacing w:line="242" w:lineRule="auto"/>
        <w:rPr>
          <w:rFonts w:ascii="Arial"/>
          <w:sz w:val="21"/>
        </w:rPr>
      </w:pPr>
    </w:p>
    <w:p w14:paraId="4A3FD631">
      <w:pPr>
        <w:spacing w:line="242" w:lineRule="auto"/>
        <w:rPr>
          <w:rFonts w:ascii="Arial"/>
          <w:sz w:val="21"/>
        </w:rPr>
      </w:pPr>
    </w:p>
    <w:p w14:paraId="7072E527">
      <w:pPr>
        <w:pStyle w:val="2"/>
        <w:spacing w:before="88" w:line="286" w:lineRule="auto"/>
        <w:ind w:right="87" w:firstLine="560"/>
        <w:jc w:val="both"/>
      </w:pPr>
      <w:r>
        <w:rPr>
          <w:rFonts w:ascii="Times New Roman" w:hAnsi="Times New Roman" w:eastAsia="Times New Roman" w:cs="Times New Roman"/>
          <w:spacing w:val="12"/>
        </w:rPr>
        <w:t>e)</w:t>
      </w:r>
      <w:r>
        <w:rPr>
          <w:rFonts w:ascii="Times New Roman" w:hAnsi="Times New Roman" w:eastAsia="Times New Roman" w:cs="Times New Roman"/>
          <w:spacing w:val="65"/>
        </w:rPr>
        <w:t xml:space="preserve"> </w:t>
      </w:r>
      <w:r>
        <w:rPr>
          <w:spacing w:val="12"/>
        </w:rPr>
        <w:t>对安全性关键的系统或成分的状态提供明确和完整的显示方式，在显</w:t>
      </w:r>
      <w:r>
        <w:t xml:space="preserve"> </w:t>
      </w:r>
      <w:r>
        <w:rPr>
          <w:spacing w:val="13"/>
        </w:rPr>
        <w:t>示完所有数据后，才可越过容许超越的潜在安全性关键的故障，或清除状态</w:t>
      </w:r>
      <w:r>
        <w:rPr>
          <w:spacing w:val="14"/>
        </w:rPr>
        <w:t xml:space="preserve"> </w:t>
      </w:r>
      <w:r>
        <w:rPr>
          <w:spacing w:val="1"/>
        </w:rPr>
        <w:t>数据。</w:t>
      </w:r>
    </w:p>
    <w:p w14:paraId="508FC822">
      <w:pPr>
        <w:spacing w:line="221"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21"/>
          <w:sz w:val="27"/>
          <w:szCs w:val="27"/>
        </w:rPr>
        <w:t xml:space="preserve">  </w:t>
      </w:r>
      <w:r>
        <w:rPr>
          <w:rFonts w:ascii="黑体" w:hAnsi="黑体" w:eastAsia="黑体" w:cs="黑体"/>
          <w:b/>
          <w:bCs/>
          <w:spacing w:val="-3"/>
          <w:sz w:val="27"/>
          <w:szCs w:val="27"/>
        </w:rPr>
        <w:t>安全操作规程</w:t>
      </w:r>
    </w:p>
    <w:p w14:paraId="3D6C770A">
      <w:pPr>
        <w:pStyle w:val="2"/>
        <w:spacing w:before="59" w:line="276" w:lineRule="auto"/>
        <w:ind w:firstLine="560"/>
        <w:jc w:val="both"/>
      </w:pPr>
      <w:r>
        <w:rPr>
          <w:spacing w:val="6"/>
        </w:rPr>
        <w:t>应确定用户与程序的接口以确保系统安全地工作</w:t>
      </w:r>
      <w:r>
        <w:rPr>
          <w:spacing w:val="5"/>
        </w:rPr>
        <w:t>。甚至在做完所有的安全</w:t>
      </w:r>
      <w:r>
        <w:t xml:space="preserve"> </w:t>
      </w:r>
      <w:r>
        <w:rPr>
          <w:spacing w:val="1"/>
        </w:rPr>
        <w:t>性分析和设计更改后，系统中仍可能存在不能通过设计</w:t>
      </w:r>
      <w:r>
        <w:t xml:space="preserve">消除或严格控制的危险， </w:t>
      </w:r>
      <w:r>
        <w:rPr>
          <w:spacing w:val="-9"/>
        </w:rPr>
        <w:t>因此，必须制定下列工作规程：</w:t>
      </w:r>
    </w:p>
    <w:p w14:paraId="272B3A89">
      <w:pPr>
        <w:pStyle w:val="2"/>
        <w:spacing w:line="212" w:lineRule="auto"/>
        <w:ind w:left="560"/>
      </w:pPr>
      <w:r>
        <w:rPr>
          <w:rFonts w:ascii="Times New Roman" w:hAnsi="Times New Roman" w:eastAsia="Times New Roman" w:cs="Times New Roman"/>
          <w:spacing w:val="4"/>
        </w:rPr>
        <w:t xml:space="preserve">a)  </w:t>
      </w:r>
      <w:r>
        <w:rPr>
          <w:spacing w:val="4"/>
        </w:rPr>
        <w:t>提供检测危险征兆或潜在危险状态的方法以预防危险的发生；</w:t>
      </w:r>
    </w:p>
    <w:p w14:paraId="3EA5B805">
      <w:pPr>
        <w:pStyle w:val="2"/>
        <w:spacing w:before="109" w:line="212" w:lineRule="auto"/>
        <w:ind w:left="560"/>
      </w:pPr>
      <w:r>
        <w:rPr>
          <w:rFonts w:ascii="Times New Roman" w:hAnsi="Times New Roman" w:eastAsia="Times New Roman" w:cs="Times New Roman"/>
          <w:spacing w:val="5"/>
        </w:rPr>
        <w:t>b)</w:t>
      </w:r>
      <w:r>
        <w:rPr>
          <w:rFonts w:ascii="Times New Roman" w:hAnsi="Times New Roman" w:eastAsia="Times New Roman" w:cs="Times New Roman"/>
          <w:spacing w:val="67"/>
          <w:w w:val="101"/>
        </w:rPr>
        <w:t xml:space="preserve"> </w:t>
      </w:r>
      <w:r>
        <w:rPr>
          <w:spacing w:val="5"/>
        </w:rPr>
        <w:t>控制危险使得只有在特殊的情况下和操作</w:t>
      </w:r>
      <w:r>
        <w:rPr>
          <w:spacing w:val="4"/>
        </w:rPr>
        <w:t>员特定的命令下才发生；</w:t>
      </w:r>
    </w:p>
    <w:p w14:paraId="68047173">
      <w:pPr>
        <w:pStyle w:val="2"/>
        <w:spacing w:before="111" w:line="268" w:lineRule="auto"/>
        <w:ind w:right="91" w:firstLine="560"/>
        <w:rPr>
          <w:sz w:val="25"/>
          <w:szCs w:val="25"/>
        </w:rPr>
      </w:pPr>
      <w:r>
        <w:rPr>
          <w:rFonts w:ascii="Times New Roman" w:hAnsi="Times New Roman" w:eastAsia="Times New Roman" w:cs="Times New Roman"/>
          <w:spacing w:val="21"/>
          <w:sz w:val="25"/>
          <w:szCs w:val="25"/>
        </w:rPr>
        <w:t xml:space="preserve">c)  </w:t>
      </w:r>
      <w:r>
        <w:rPr>
          <w:spacing w:val="21"/>
          <w:sz w:val="25"/>
          <w:szCs w:val="25"/>
        </w:rPr>
        <w:t>向操作员、用户和其他人员提供报警的功能，指示可能即将出现或正在</w:t>
      </w:r>
      <w:r>
        <w:rPr>
          <w:spacing w:val="18"/>
          <w:sz w:val="25"/>
          <w:szCs w:val="25"/>
        </w:rPr>
        <w:t xml:space="preserve"> </w:t>
      </w:r>
      <w:r>
        <w:rPr>
          <w:spacing w:val="19"/>
          <w:sz w:val="25"/>
          <w:szCs w:val="25"/>
        </w:rPr>
        <w:t>出现的潜在危险状态；</w:t>
      </w:r>
    </w:p>
    <w:p w14:paraId="0A3FC50B">
      <w:pPr>
        <w:pStyle w:val="2"/>
        <w:spacing w:before="73" w:line="212" w:lineRule="auto"/>
        <w:ind w:left="560"/>
      </w:pPr>
      <w:r>
        <w:rPr>
          <w:rFonts w:ascii="Times New Roman" w:hAnsi="Times New Roman" w:eastAsia="Times New Roman" w:cs="Times New Roman"/>
          <w:spacing w:val="3"/>
        </w:rPr>
        <w:t xml:space="preserve">d)  </w:t>
      </w:r>
      <w:r>
        <w:rPr>
          <w:spacing w:val="3"/>
        </w:rPr>
        <w:t>确保发生危险后系统能够生存；</w:t>
      </w:r>
    </w:p>
    <w:p w14:paraId="46C7DFC8">
      <w:pPr>
        <w:pStyle w:val="2"/>
        <w:spacing w:before="132" w:line="212" w:lineRule="auto"/>
        <w:ind w:left="560"/>
        <w:rPr>
          <w:sz w:val="24"/>
          <w:szCs w:val="24"/>
        </w:rPr>
      </w:pPr>
      <w:r>
        <w:rPr>
          <w:rFonts w:ascii="Times New Roman" w:hAnsi="Times New Roman" w:eastAsia="Times New Roman" w:cs="Times New Roman"/>
          <w:spacing w:val="23"/>
          <w:sz w:val="24"/>
          <w:szCs w:val="24"/>
        </w:rPr>
        <w:t xml:space="preserve">e)  </w:t>
      </w:r>
      <w:r>
        <w:rPr>
          <w:spacing w:val="23"/>
          <w:sz w:val="24"/>
          <w:szCs w:val="24"/>
        </w:rPr>
        <w:t>若预防和控制规程失败，或危险已发生，提供损坏控制和恢复规程；</w:t>
      </w:r>
    </w:p>
    <w:p w14:paraId="10DE2BD1">
      <w:pPr>
        <w:pStyle w:val="2"/>
        <w:spacing w:before="103" w:line="212" w:lineRule="auto"/>
        <w:ind w:left="560"/>
      </w:pPr>
      <w:r>
        <w:rPr>
          <w:rFonts w:ascii="Times New Roman" w:hAnsi="Times New Roman" w:eastAsia="Times New Roman" w:cs="Times New Roman"/>
          <w:spacing w:val="3"/>
        </w:rPr>
        <w:t xml:space="preserve">f)  </w:t>
      </w:r>
      <w:r>
        <w:rPr>
          <w:spacing w:val="3"/>
        </w:rPr>
        <w:t>提供在Ⅱ级危险状态下生存和恢复的规程；</w:t>
      </w:r>
    </w:p>
    <w:p w14:paraId="6382A75B">
      <w:pPr>
        <w:pStyle w:val="2"/>
        <w:spacing w:before="89" w:line="212" w:lineRule="auto"/>
        <w:ind w:left="560"/>
      </w:pPr>
      <w:r>
        <w:rPr>
          <w:rFonts w:ascii="Times New Roman" w:hAnsi="Times New Roman" w:eastAsia="Times New Roman" w:cs="Times New Roman"/>
          <w:spacing w:val="-4"/>
        </w:rPr>
        <w:t xml:space="preserve">g)  </w:t>
      </w:r>
      <w:r>
        <w:rPr>
          <w:spacing w:val="-4"/>
        </w:rPr>
        <w:t>根据需要，提供安全地中止或取消一个事件、过程或程序的能力；</w:t>
      </w:r>
    </w:p>
    <w:p w14:paraId="761EA6B0">
      <w:pPr>
        <w:pStyle w:val="2"/>
        <w:spacing w:before="111" w:line="256" w:lineRule="auto"/>
        <w:ind w:right="89" w:firstLine="560"/>
      </w:pPr>
      <w:r>
        <w:rPr>
          <w:rFonts w:ascii="Times New Roman" w:hAnsi="Times New Roman" w:eastAsia="Times New Roman" w:cs="Times New Roman"/>
          <w:spacing w:val="4"/>
        </w:rPr>
        <w:t>h)</w:t>
      </w:r>
      <w:r>
        <w:rPr>
          <w:rFonts w:ascii="Times New Roman" w:hAnsi="Times New Roman" w:eastAsia="Times New Roman" w:cs="Times New Roman"/>
          <w:spacing w:val="39"/>
        </w:rPr>
        <w:t xml:space="preserve"> </w:t>
      </w:r>
      <w:r>
        <w:rPr>
          <w:spacing w:val="4"/>
        </w:rPr>
        <w:t>向操作员提供系统或软件故障报警的功能，并确保</w:t>
      </w:r>
      <w:r>
        <w:rPr>
          <w:spacing w:val="3"/>
        </w:rPr>
        <w:t>操作员了解所有同时</w:t>
      </w:r>
      <w:r>
        <w:t xml:space="preserve"> </w:t>
      </w:r>
      <w:r>
        <w:rPr>
          <w:spacing w:val="-3"/>
        </w:rPr>
        <w:t>存在的故障，这可能会改变消除或超越故障的方</w:t>
      </w:r>
      <w:r>
        <w:rPr>
          <w:spacing w:val="-4"/>
        </w:rPr>
        <w:t>式；</w:t>
      </w:r>
    </w:p>
    <w:p w14:paraId="13D5B906">
      <w:pPr>
        <w:pStyle w:val="2"/>
        <w:spacing w:before="51" w:line="260" w:lineRule="auto"/>
        <w:ind w:right="95" w:firstLine="560"/>
      </w:pPr>
      <w:r>
        <w:rPr>
          <w:rFonts w:ascii="Times New Roman" w:hAnsi="Times New Roman" w:eastAsia="Times New Roman" w:cs="Times New Roman"/>
          <w:spacing w:val="5"/>
        </w:rPr>
        <w:t>i)</w:t>
      </w:r>
      <w:r>
        <w:rPr>
          <w:rFonts w:ascii="Times New Roman" w:hAnsi="Times New Roman" w:eastAsia="Times New Roman" w:cs="Times New Roman"/>
          <w:spacing w:val="56"/>
        </w:rPr>
        <w:t xml:space="preserve"> </w:t>
      </w:r>
      <w:r>
        <w:rPr>
          <w:spacing w:val="5"/>
        </w:rPr>
        <w:t>确保危险数据显示明确，并向操作员提供作出安全性关键决</w:t>
      </w:r>
      <w:r>
        <w:rPr>
          <w:spacing w:val="4"/>
        </w:rPr>
        <w:t>策所需的所</w:t>
      </w:r>
      <w:r>
        <w:t xml:space="preserve"> </w:t>
      </w:r>
      <w:r>
        <w:rPr>
          <w:spacing w:val="-1"/>
        </w:rPr>
        <w:t>有数据。</w:t>
      </w:r>
    </w:p>
    <w:p w14:paraId="731C0871">
      <w:pPr>
        <w:spacing w:line="339" w:lineRule="auto"/>
        <w:rPr>
          <w:rFonts w:ascii="Arial"/>
          <w:sz w:val="21"/>
        </w:rPr>
      </w:pPr>
    </w:p>
    <w:p w14:paraId="50538C6A">
      <w:pPr>
        <w:pStyle w:val="2"/>
        <w:spacing w:before="117" w:line="219" w:lineRule="auto"/>
        <w:ind w:left="2600"/>
        <w:rPr>
          <w:sz w:val="36"/>
          <w:szCs w:val="36"/>
        </w:rPr>
      </w:pPr>
      <w:r>
        <w:rPr>
          <w:spacing w:val="2"/>
          <w:sz w:val="36"/>
          <w:szCs w:val="36"/>
        </w:rPr>
        <w:t>11.</w:t>
      </w:r>
      <w:r>
        <w:rPr>
          <w:b/>
          <w:bCs/>
          <w:spacing w:val="2"/>
          <w:sz w:val="36"/>
          <w:szCs w:val="36"/>
        </w:rPr>
        <w:t>21</w:t>
      </w:r>
      <w:r>
        <w:rPr>
          <w:spacing w:val="2"/>
          <w:sz w:val="36"/>
          <w:szCs w:val="36"/>
        </w:rPr>
        <w:t xml:space="preserve">  </w:t>
      </w:r>
      <w:r>
        <w:rPr>
          <w:b/>
          <w:bCs/>
          <w:spacing w:val="2"/>
          <w:sz w:val="36"/>
          <w:szCs w:val="36"/>
        </w:rPr>
        <w:t>软件更改危险分析</w:t>
      </w:r>
    </w:p>
    <w:p w14:paraId="69C0CF59">
      <w:pPr>
        <w:spacing w:line="373" w:lineRule="auto"/>
        <w:rPr>
          <w:rFonts w:ascii="Arial"/>
          <w:sz w:val="21"/>
        </w:rPr>
      </w:pPr>
    </w:p>
    <w:p w14:paraId="78E0D203">
      <w:pPr>
        <w:pStyle w:val="2"/>
        <w:spacing w:before="79" w:line="223" w:lineRule="auto"/>
        <w:ind w:left="56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21"/>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 xml:space="preserve">    900—1990</w:t>
      </w:r>
      <w:r>
        <w:rPr>
          <w:spacing w:val="9"/>
          <w:sz w:val="24"/>
          <w:szCs w:val="24"/>
        </w:rPr>
        <w:t>《</w:t>
      </w:r>
      <w:r>
        <w:rPr>
          <w:rFonts w:ascii="楷体" w:hAnsi="楷体" w:eastAsia="楷体" w:cs="楷体"/>
          <w:b/>
          <w:bCs/>
          <w:spacing w:val="9"/>
          <w:sz w:val="24"/>
          <w:szCs w:val="24"/>
        </w:rPr>
        <w:t>系统安全性通用</w:t>
      </w:r>
      <w:r>
        <w:rPr>
          <w:rFonts w:ascii="楷体" w:hAnsi="楷体" w:eastAsia="楷体" w:cs="楷体"/>
          <w:b/>
          <w:bCs/>
          <w:spacing w:val="8"/>
          <w:sz w:val="24"/>
          <w:szCs w:val="24"/>
        </w:rPr>
        <w:t>大纲》编写。</w:t>
      </w:r>
    </w:p>
    <w:p w14:paraId="6EC11964">
      <w:pPr>
        <w:spacing w:before="87"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6"/>
          <w:sz w:val="27"/>
          <w:szCs w:val="27"/>
        </w:rPr>
        <w:t xml:space="preserve">  </w:t>
      </w:r>
      <w:r>
        <w:rPr>
          <w:rFonts w:ascii="黑体" w:hAnsi="黑体" w:eastAsia="黑体" w:cs="黑体"/>
          <w:b/>
          <w:bCs/>
          <w:spacing w:val="-13"/>
          <w:sz w:val="27"/>
          <w:szCs w:val="27"/>
        </w:rPr>
        <w:t>范围</w:t>
      </w:r>
    </w:p>
    <w:p w14:paraId="57BD70B3">
      <w:pPr>
        <w:spacing w:before="72"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12E1BE3D">
      <w:pPr>
        <w:spacing w:before="127" w:line="223" w:lineRule="auto"/>
        <w:rPr>
          <w:rFonts w:ascii="黑体" w:hAnsi="黑体" w:eastAsia="黑体" w:cs="黑体"/>
          <w:sz w:val="25"/>
          <w:szCs w:val="25"/>
        </w:rPr>
      </w:pPr>
      <w:r>
        <w:rPr>
          <w:rFonts w:ascii="黑体" w:hAnsi="黑体" w:eastAsia="黑体" w:cs="黑体"/>
          <w:spacing w:val="4"/>
          <w:sz w:val="25"/>
          <w:szCs w:val="25"/>
        </w:rPr>
        <w:t>3</w:t>
      </w:r>
      <w:r>
        <w:rPr>
          <w:rFonts w:ascii="黑体" w:hAnsi="黑体" w:eastAsia="黑体" w:cs="黑体"/>
          <w:spacing w:val="96"/>
          <w:sz w:val="25"/>
          <w:szCs w:val="25"/>
        </w:rPr>
        <w:t xml:space="preserve"> </w:t>
      </w:r>
      <w:r>
        <w:rPr>
          <w:rFonts w:ascii="黑体" w:hAnsi="黑体" w:eastAsia="黑体" w:cs="黑体"/>
          <w:spacing w:val="4"/>
          <w:sz w:val="25"/>
          <w:szCs w:val="25"/>
        </w:rPr>
        <w:t>“</w:t>
      </w:r>
      <w:r>
        <w:rPr>
          <w:rFonts w:ascii="黑体" w:hAnsi="黑体" w:eastAsia="黑体" w:cs="黑体"/>
          <w:b/>
          <w:bCs/>
          <w:spacing w:val="4"/>
          <w:sz w:val="25"/>
          <w:szCs w:val="25"/>
        </w:rPr>
        <w:t>安全性关键的”的定义</w:t>
      </w:r>
    </w:p>
    <w:p w14:paraId="2B812794">
      <w:pPr>
        <w:pStyle w:val="2"/>
        <w:spacing w:before="111" w:line="219" w:lineRule="auto"/>
        <w:ind w:left="560"/>
        <w:rPr>
          <w:sz w:val="25"/>
          <w:szCs w:val="25"/>
        </w:rPr>
      </w:pPr>
      <w:r>
        <w:rPr>
          <w:spacing w:val="10"/>
          <w:sz w:val="25"/>
          <w:szCs w:val="25"/>
        </w:rPr>
        <w:t>在所分析的系统、分系统或部件范围内“安全性关键的”的定义。</w:t>
      </w:r>
    </w:p>
    <w:p w14:paraId="5CE02A81">
      <w:pPr>
        <w:spacing w:before="58" w:line="222"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18"/>
          <w:sz w:val="27"/>
          <w:szCs w:val="27"/>
        </w:rPr>
        <w:t xml:space="preserve">  </w:t>
      </w:r>
      <w:r>
        <w:rPr>
          <w:rFonts w:ascii="黑体" w:hAnsi="黑体" w:eastAsia="黑体" w:cs="黑体"/>
          <w:b/>
          <w:bCs/>
          <w:spacing w:val="-2"/>
          <w:sz w:val="27"/>
          <w:szCs w:val="27"/>
        </w:rPr>
        <w:t>软件更改描述</w:t>
      </w:r>
    </w:p>
    <w:p w14:paraId="7ABC6C51">
      <w:pPr>
        <w:pStyle w:val="2"/>
        <w:spacing w:before="102" w:line="219" w:lineRule="auto"/>
        <w:ind w:left="560"/>
      </w:pPr>
      <w:r>
        <w:rPr>
          <w:spacing w:val="2"/>
        </w:rPr>
        <w:t>描述进行的软件更改内容。</w:t>
      </w:r>
    </w:p>
    <w:p w14:paraId="2D9A8497">
      <w:pPr>
        <w:spacing w:before="73" w:line="222" w:lineRule="auto"/>
        <w:outlineLvl w:val="3"/>
        <w:rPr>
          <w:rFonts w:ascii="黑体" w:hAnsi="黑体" w:eastAsia="黑体" w:cs="黑体"/>
          <w:sz w:val="27"/>
          <w:szCs w:val="27"/>
        </w:rPr>
      </w:pPr>
      <w:r>
        <w:rPr>
          <w:rFonts w:ascii="Arial" w:hAnsi="Arial" w:eastAsia="Arial" w:cs="Arial"/>
          <w:b/>
          <w:bCs/>
          <w:spacing w:val="-2"/>
          <w:sz w:val="27"/>
          <w:szCs w:val="27"/>
        </w:rPr>
        <w:t>5</w:t>
      </w:r>
      <w:r>
        <w:rPr>
          <w:rFonts w:ascii="Arial" w:hAnsi="Arial" w:eastAsia="Arial" w:cs="Arial"/>
          <w:b/>
          <w:bCs/>
          <w:spacing w:val="25"/>
          <w:sz w:val="27"/>
          <w:szCs w:val="27"/>
        </w:rPr>
        <w:t xml:space="preserve">   </w:t>
      </w:r>
      <w:r>
        <w:rPr>
          <w:rFonts w:ascii="黑体" w:hAnsi="黑体" w:eastAsia="黑体" w:cs="黑体"/>
          <w:b/>
          <w:bCs/>
          <w:spacing w:val="-2"/>
          <w:sz w:val="27"/>
          <w:szCs w:val="27"/>
        </w:rPr>
        <w:t>软件更改的影响分析</w:t>
      </w:r>
    </w:p>
    <w:p w14:paraId="309D8107">
      <w:pPr>
        <w:pStyle w:val="2"/>
        <w:spacing w:before="132" w:line="273" w:lineRule="auto"/>
        <w:ind w:right="92" w:firstLine="560"/>
        <w:jc w:val="both"/>
      </w:pPr>
      <w:r>
        <w:rPr>
          <w:spacing w:val="-3"/>
        </w:rPr>
        <w:t>除非更改的性质能说明不必要进行更改分析外，否则对规格说明、需求、设</w:t>
      </w:r>
      <w:r>
        <w:rPr>
          <w:spacing w:val="10"/>
        </w:rPr>
        <w:t xml:space="preserve"> </w:t>
      </w:r>
      <w:r>
        <w:rPr>
          <w:spacing w:val="-16"/>
        </w:rPr>
        <w:t>计、编程、系统、设备和测试计划、说明、</w:t>
      </w:r>
      <w:r>
        <w:rPr>
          <w:spacing w:val="-17"/>
        </w:rPr>
        <w:t>规程、用例或准则的任何更改都应进行软</w:t>
      </w:r>
      <w:r>
        <w:t xml:space="preserve"> </w:t>
      </w:r>
      <w:r>
        <w:rPr>
          <w:spacing w:val="23"/>
        </w:rPr>
        <w:t>件危险分析。更改危险分析应从更改建议所影响的文档或系统的最高层次</w:t>
      </w:r>
      <w:r>
        <w:rPr>
          <w:spacing w:val="3"/>
        </w:rPr>
        <w:t xml:space="preserve"> </w:t>
      </w:r>
      <w:r>
        <w:rPr>
          <w:spacing w:val="-4"/>
        </w:rPr>
        <w:t>开始。</w:t>
      </w:r>
    </w:p>
    <w:p w14:paraId="650AB671">
      <w:pPr>
        <w:spacing w:line="273" w:lineRule="auto"/>
        <w:sectPr>
          <w:footerReference r:id="rId575" w:type="default"/>
          <w:pgSz w:w="11910" w:h="17130"/>
          <w:pgMar w:top="400" w:right="1414" w:bottom="1693" w:left="1019" w:header="0" w:footer="1494" w:gutter="0"/>
          <w:cols w:space="720" w:num="1"/>
        </w:sectPr>
      </w:pPr>
    </w:p>
    <w:p w14:paraId="484F31E8">
      <w:pPr>
        <w:spacing w:line="267" w:lineRule="auto"/>
        <w:rPr>
          <w:rFonts w:ascii="Arial"/>
          <w:sz w:val="21"/>
        </w:rPr>
      </w:pPr>
    </w:p>
    <w:p w14:paraId="3E859BA4">
      <w:pPr>
        <w:spacing w:line="267" w:lineRule="auto"/>
        <w:rPr>
          <w:rFonts w:ascii="Arial"/>
          <w:sz w:val="21"/>
        </w:rPr>
      </w:pPr>
    </w:p>
    <w:p w14:paraId="10E124A3">
      <w:pPr>
        <w:spacing w:line="268" w:lineRule="auto"/>
        <w:rPr>
          <w:rFonts w:ascii="Arial"/>
          <w:sz w:val="21"/>
        </w:rPr>
      </w:pPr>
    </w:p>
    <w:p w14:paraId="2DD4AE49">
      <w:pPr>
        <w:spacing w:line="268" w:lineRule="auto"/>
        <w:rPr>
          <w:rFonts w:ascii="Arial"/>
          <w:sz w:val="21"/>
        </w:rPr>
      </w:pPr>
    </w:p>
    <w:p w14:paraId="0659CB9B">
      <w:pPr>
        <w:spacing w:before="88" w:line="221" w:lineRule="auto"/>
        <w:rPr>
          <w:rFonts w:ascii="黑体" w:hAnsi="黑体" w:eastAsia="黑体" w:cs="黑体"/>
          <w:sz w:val="27"/>
          <w:szCs w:val="27"/>
        </w:rPr>
      </w:pPr>
      <w:r>
        <w:rPr>
          <w:rFonts w:ascii="黑体" w:hAnsi="黑体" w:eastAsia="黑体" w:cs="黑体"/>
          <w:spacing w:val="1"/>
          <w:sz w:val="27"/>
          <w:szCs w:val="27"/>
        </w:rPr>
        <w:t xml:space="preserve">6  </w:t>
      </w:r>
      <w:r>
        <w:rPr>
          <w:rFonts w:ascii="黑体" w:hAnsi="黑体" w:eastAsia="黑体" w:cs="黑体"/>
          <w:b/>
          <w:bCs/>
          <w:spacing w:val="1"/>
          <w:sz w:val="27"/>
          <w:szCs w:val="27"/>
        </w:rPr>
        <w:t>软件更改的安全性测试</w:t>
      </w:r>
    </w:p>
    <w:p w14:paraId="51F816C2">
      <w:pPr>
        <w:pStyle w:val="2"/>
        <w:spacing w:before="84" w:line="278" w:lineRule="auto"/>
        <w:ind w:firstLine="570"/>
        <w:jc w:val="both"/>
      </w:pPr>
      <w:r>
        <w:rPr>
          <w:spacing w:val="6"/>
        </w:rPr>
        <w:t>除非更改的性质能说明不必要进行更改后的安全性测试外，否则对规</w:t>
      </w:r>
      <w:r>
        <w:rPr>
          <w:spacing w:val="5"/>
        </w:rPr>
        <w:t>格说</w:t>
      </w:r>
      <w:r>
        <w:t xml:space="preserve"> </w:t>
      </w:r>
      <w:r>
        <w:rPr>
          <w:spacing w:val="-24"/>
        </w:rPr>
        <w:t>明、需求、设计、编程、系统、设备和测试计划、说明、规程、用例或准则的任何更改</w:t>
      </w:r>
      <w:r>
        <w:rPr>
          <w:spacing w:val="1"/>
        </w:rPr>
        <w:t xml:space="preserve"> </w:t>
      </w:r>
      <w:r>
        <w:rPr>
          <w:spacing w:val="-3"/>
        </w:rPr>
        <w:t>都应进行软件测试，以确保新的软件中不包含危险。</w:t>
      </w:r>
    </w:p>
    <w:p w14:paraId="0149F584">
      <w:pPr>
        <w:spacing w:before="2" w:line="222" w:lineRule="auto"/>
        <w:rPr>
          <w:rFonts w:ascii="黑体" w:hAnsi="黑体" w:eastAsia="黑体" w:cs="黑体"/>
          <w:sz w:val="24"/>
          <w:szCs w:val="24"/>
        </w:rPr>
      </w:pPr>
      <w:r>
        <w:rPr>
          <w:rFonts w:ascii="黑体" w:hAnsi="黑体" w:eastAsia="黑体" w:cs="黑体"/>
          <w:spacing w:val="30"/>
          <w:sz w:val="24"/>
          <w:szCs w:val="24"/>
        </w:rPr>
        <w:t xml:space="preserve">7  </w:t>
      </w:r>
      <w:r>
        <w:rPr>
          <w:rFonts w:ascii="黑体" w:hAnsi="黑体" w:eastAsia="黑体" w:cs="黑体"/>
          <w:b/>
          <w:bCs/>
          <w:spacing w:val="30"/>
          <w:sz w:val="24"/>
          <w:szCs w:val="24"/>
        </w:rPr>
        <w:t>受软件更改影响的文档评审和修改</w:t>
      </w:r>
    </w:p>
    <w:p w14:paraId="141A8286">
      <w:pPr>
        <w:pStyle w:val="2"/>
        <w:spacing w:before="98" w:line="275" w:lineRule="auto"/>
        <w:ind w:right="18" w:firstLine="570"/>
      </w:pPr>
      <w:r>
        <w:rPr>
          <w:spacing w:val="5"/>
        </w:rPr>
        <w:t>应评审和修改受更改影响的文档，以保证文档中正确地反映了软件中所有</w:t>
      </w:r>
      <w:r>
        <w:rPr>
          <w:spacing w:val="12"/>
        </w:rPr>
        <w:t xml:space="preserve"> </w:t>
      </w:r>
      <w:r>
        <w:rPr>
          <w:spacing w:val="1"/>
        </w:rPr>
        <w:t>已做的与安全性有关的更改。</w:t>
      </w:r>
    </w:p>
    <w:p w14:paraId="28A6BAFB">
      <w:pPr>
        <w:spacing w:line="221" w:lineRule="auto"/>
        <w:rPr>
          <w:rFonts w:ascii="黑体" w:hAnsi="黑体" w:eastAsia="黑体" w:cs="黑体"/>
          <w:sz w:val="27"/>
          <w:szCs w:val="27"/>
        </w:rPr>
      </w:pPr>
      <w:r>
        <w:rPr>
          <w:rFonts w:ascii="黑体" w:hAnsi="黑体" w:eastAsia="黑体" w:cs="黑体"/>
          <w:spacing w:val="2"/>
          <w:sz w:val="27"/>
          <w:szCs w:val="27"/>
        </w:rPr>
        <w:t xml:space="preserve">8  </w:t>
      </w:r>
      <w:r>
        <w:rPr>
          <w:rFonts w:ascii="黑体" w:hAnsi="黑体" w:eastAsia="黑体" w:cs="黑体"/>
          <w:b/>
          <w:bCs/>
          <w:spacing w:val="2"/>
          <w:sz w:val="27"/>
          <w:szCs w:val="27"/>
        </w:rPr>
        <w:t>软件配置管理计划对软件更改危险分析的描述</w:t>
      </w:r>
    </w:p>
    <w:p w14:paraId="4DBB488F">
      <w:pPr>
        <w:pStyle w:val="2"/>
        <w:spacing w:before="109" w:line="219" w:lineRule="auto"/>
        <w:ind w:left="570"/>
      </w:pPr>
      <w:r>
        <w:t>应将执行本工作项目的方法、过程和其他信息纳入软件配置管理计划中。</w:t>
      </w:r>
    </w:p>
    <w:p w14:paraId="0C9E544C">
      <w:pPr>
        <w:spacing w:line="219" w:lineRule="auto"/>
        <w:sectPr>
          <w:footerReference r:id="rId576" w:type="default"/>
          <w:pgSz w:w="11910" w:h="17130"/>
          <w:pgMar w:top="400" w:right="938" w:bottom="1629" w:left="1569" w:header="0" w:footer="1370" w:gutter="0"/>
          <w:cols w:space="720" w:num="1"/>
        </w:sectPr>
      </w:pPr>
    </w:p>
    <w:p w14:paraId="6564B45A">
      <w:pPr>
        <w:spacing w:line="259" w:lineRule="auto"/>
        <w:rPr>
          <w:rFonts w:ascii="Arial"/>
          <w:sz w:val="21"/>
        </w:rPr>
      </w:pPr>
    </w:p>
    <w:p w14:paraId="2D62BEF3">
      <w:pPr>
        <w:spacing w:line="259" w:lineRule="auto"/>
        <w:rPr>
          <w:rFonts w:ascii="Arial"/>
          <w:sz w:val="21"/>
        </w:rPr>
      </w:pPr>
    </w:p>
    <w:p w14:paraId="6358A03D">
      <w:pPr>
        <w:spacing w:line="259" w:lineRule="auto"/>
        <w:rPr>
          <w:rFonts w:ascii="Arial"/>
          <w:sz w:val="21"/>
        </w:rPr>
      </w:pPr>
    </w:p>
    <w:p w14:paraId="7187530A">
      <w:pPr>
        <w:spacing w:line="259" w:lineRule="auto"/>
        <w:rPr>
          <w:rFonts w:ascii="Arial"/>
          <w:sz w:val="21"/>
        </w:rPr>
      </w:pPr>
    </w:p>
    <w:p w14:paraId="73FE4698">
      <w:pPr>
        <w:spacing w:line="259" w:lineRule="auto"/>
        <w:rPr>
          <w:rFonts w:ascii="Arial"/>
          <w:sz w:val="21"/>
        </w:rPr>
      </w:pPr>
    </w:p>
    <w:p w14:paraId="2D011184">
      <w:pPr>
        <w:spacing w:line="259" w:lineRule="auto"/>
        <w:rPr>
          <w:rFonts w:ascii="Arial"/>
          <w:sz w:val="21"/>
        </w:rPr>
      </w:pPr>
    </w:p>
    <w:p w14:paraId="09760486">
      <w:pPr>
        <w:spacing w:line="259" w:lineRule="auto"/>
        <w:rPr>
          <w:rFonts w:ascii="Arial"/>
          <w:sz w:val="21"/>
        </w:rPr>
      </w:pPr>
    </w:p>
    <w:p w14:paraId="73827A0A">
      <w:pPr>
        <w:spacing w:line="260" w:lineRule="auto"/>
        <w:rPr>
          <w:rFonts w:ascii="Arial"/>
          <w:sz w:val="21"/>
        </w:rPr>
      </w:pPr>
    </w:p>
    <w:p w14:paraId="08B3DE53">
      <w:pPr>
        <w:spacing w:before="143" w:line="222" w:lineRule="auto"/>
        <w:ind w:left="1976"/>
        <w:outlineLvl w:val="0"/>
        <w:rPr>
          <w:rFonts w:ascii="黑体" w:hAnsi="黑体" w:eastAsia="黑体" w:cs="黑体"/>
          <w:sz w:val="44"/>
          <w:szCs w:val="44"/>
        </w:rPr>
      </w:pPr>
      <w:r>
        <w:rPr>
          <w:rFonts w:ascii="黑体" w:hAnsi="黑体" w:eastAsia="黑体" w:cs="黑体"/>
          <w:b/>
          <w:bCs/>
          <w:spacing w:val="39"/>
          <w:sz w:val="44"/>
          <w:szCs w:val="44"/>
        </w:rPr>
        <w:t>第12章</w:t>
      </w:r>
      <w:r>
        <w:rPr>
          <w:rFonts w:ascii="黑体" w:hAnsi="黑体" w:eastAsia="黑体" w:cs="黑体"/>
          <w:spacing w:val="39"/>
          <w:sz w:val="44"/>
          <w:szCs w:val="44"/>
        </w:rPr>
        <w:t xml:space="preserve">  </w:t>
      </w:r>
      <w:r>
        <w:rPr>
          <w:rFonts w:ascii="黑体" w:hAnsi="黑体" w:eastAsia="黑体" w:cs="黑体"/>
          <w:b/>
          <w:bCs/>
          <w:spacing w:val="39"/>
          <w:sz w:val="44"/>
          <w:szCs w:val="44"/>
        </w:rPr>
        <w:t>环境适应性文件</w:t>
      </w:r>
    </w:p>
    <w:p w14:paraId="3FCAF2A7">
      <w:pPr>
        <w:spacing w:line="243" w:lineRule="auto"/>
        <w:rPr>
          <w:rFonts w:ascii="Arial"/>
          <w:sz w:val="21"/>
        </w:rPr>
      </w:pPr>
    </w:p>
    <w:p w14:paraId="21D22305">
      <w:pPr>
        <w:spacing w:line="244" w:lineRule="auto"/>
        <w:rPr>
          <w:rFonts w:ascii="Arial"/>
          <w:sz w:val="21"/>
        </w:rPr>
      </w:pPr>
    </w:p>
    <w:p w14:paraId="55EF7BDD">
      <w:pPr>
        <w:spacing w:line="244" w:lineRule="auto"/>
        <w:rPr>
          <w:rFonts w:ascii="Arial"/>
          <w:sz w:val="21"/>
        </w:rPr>
      </w:pPr>
    </w:p>
    <w:p w14:paraId="7B78443E">
      <w:pPr>
        <w:pStyle w:val="2"/>
        <w:spacing w:before="117" w:line="220" w:lineRule="auto"/>
        <w:ind w:left="2659"/>
        <w:rPr>
          <w:sz w:val="36"/>
          <w:szCs w:val="36"/>
        </w:rPr>
      </w:pPr>
      <w:r>
        <w:rPr>
          <w:spacing w:val="-5"/>
          <w:sz w:val="36"/>
          <w:szCs w:val="36"/>
        </w:rPr>
        <w:t>12.1</w:t>
      </w:r>
      <w:r>
        <w:rPr>
          <w:spacing w:val="45"/>
          <w:sz w:val="36"/>
          <w:szCs w:val="36"/>
        </w:rPr>
        <w:t xml:space="preserve">  </w:t>
      </w:r>
      <w:r>
        <w:rPr>
          <w:b/>
          <w:bCs/>
          <w:spacing w:val="-5"/>
          <w:sz w:val="36"/>
          <w:szCs w:val="36"/>
        </w:rPr>
        <w:t>环境工程工作计划</w:t>
      </w:r>
    </w:p>
    <w:p w14:paraId="0D5AB8C5">
      <w:pPr>
        <w:spacing w:line="336" w:lineRule="auto"/>
        <w:rPr>
          <w:rFonts w:ascii="Arial"/>
          <w:sz w:val="21"/>
        </w:rPr>
      </w:pPr>
    </w:p>
    <w:p w14:paraId="22889A8E">
      <w:pPr>
        <w:pStyle w:val="2"/>
        <w:spacing w:before="91" w:line="226" w:lineRule="auto"/>
        <w:ind w:left="55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4239—2001</w:t>
      </w:r>
      <w:r>
        <w:rPr>
          <w:spacing w:val="-10"/>
          <w:sz w:val="28"/>
          <w:szCs w:val="28"/>
        </w:rPr>
        <w:t>《</w:t>
      </w:r>
      <w:r>
        <w:rPr>
          <w:rFonts w:ascii="楷体" w:hAnsi="楷体" w:eastAsia="楷体" w:cs="楷体"/>
          <w:spacing w:val="-10"/>
          <w:sz w:val="28"/>
          <w:szCs w:val="28"/>
        </w:rPr>
        <w:t>装备环境工程通用要求》编写。</w:t>
      </w:r>
    </w:p>
    <w:p w14:paraId="079FC135">
      <w:pPr>
        <w:spacing w:before="56" w:line="223" w:lineRule="auto"/>
        <w:rPr>
          <w:rFonts w:ascii="黑体" w:hAnsi="黑体" w:eastAsia="黑体" w:cs="黑体"/>
          <w:sz w:val="27"/>
          <w:szCs w:val="27"/>
        </w:rPr>
      </w:pPr>
      <w:r>
        <w:rPr>
          <w:rFonts w:ascii="黑体" w:hAnsi="黑体" w:eastAsia="黑体" w:cs="黑体"/>
          <w:spacing w:val="-9"/>
          <w:sz w:val="27"/>
          <w:szCs w:val="27"/>
        </w:rPr>
        <w:t>1</w:t>
      </w:r>
      <w:r>
        <w:rPr>
          <w:rFonts w:ascii="黑体" w:hAnsi="黑体" w:eastAsia="黑体" w:cs="黑体"/>
          <w:spacing w:val="26"/>
          <w:sz w:val="27"/>
          <w:szCs w:val="27"/>
        </w:rPr>
        <w:t xml:space="preserve">  </w:t>
      </w:r>
      <w:r>
        <w:rPr>
          <w:rFonts w:ascii="黑体" w:hAnsi="黑体" w:eastAsia="黑体" w:cs="黑体"/>
          <w:b/>
          <w:bCs/>
          <w:spacing w:val="-9"/>
          <w:sz w:val="27"/>
          <w:szCs w:val="27"/>
        </w:rPr>
        <w:t>目的和用途</w:t>
      </w:r>
    </w:p>
    <w:p w14:paraId="13806B77">
      <w:pPr>
        <w:pStyle w:val="2"/>
        <w:spacing w:before="87" w:line="219" w:lineRule="auto"/>
        <w:ind w:left="550"/>
      </w:pPr>
      <w:r>
        <w:rPr>
          <w:spacing w:val="3"/>
        </w:rPr>
        <w:t>说明编制环境工程工作计划的目的和用途。</w:t>
      </w:r>
    </w:p>
    <w:p w14:paraId="1D2EF2C2">
      <w:pPr>
        <w:pStyle w:val="2"/>
        <w:spacing w:before="71" w:line="274" w:lineRule="auto"/>
        <w:ind w:firstLine="550"/>
      </w:pPr>
      <w:r>
        <w:rPr>
          <w:spacing w:val="6"/>
        </w:rPr>
        <w:t>一般来说，制定环境工程工作计划的目的是列出装备寿命期各个阶段</w:t>
      </w:r>
      <w:r>
        <w:rPr>
          <w:spacing w:val="5"/>
        </w:rPr>
        <w:t>要开</w:t>
      </w:r>
      <w:r>
        <w:t xml:space="preserve"> </w:t>
      </w:r>
      <w:r>
        <w:rPr>
          <w:spacing w:val="5"/>
        </w:rPr>
        <w:t>展的环境工程工作项目、计划进度和接口关系，并将其纳入装备研制计划网络</w:t>
      </w:r>
      <w:r>
        <w:rPr>
          <w:spacing w:val="11"/>
        </w:rPr>
        <w:t xml:space="preserve"> </w:t>
      </w:r>
      <w:r>
        <w:rPr>
          <w:spacing w:val="-1"/>
        </w:rPr>
        <w:t>图，以确保环境工程工作纳入装备寿命期各阶段的工作中。</w:t>
      </w:r>
    </w:p>
    <w:p w14:paraId="3A3AE251">
      <w:pPr>
        <w:spacing w:before="1" w:line="220" w:lineRule="auto"/>
        <w:rPr>
          <w:rFonts w:ascii="黑体" w:hAnsi="黑体" w:eastAsia="黑体" w:cs="黑体"/>
          <w:sz w:val="27"/>
          <w:szCs w:val="27"/>
        </w:rPr>
      </w:pPr>
      <w:r>
        <w:rPr>
          <w:rFonts w:ascii="黑体" w:hAnsi="黑体" w:eastAsia="黑体" w:cs="黑体"/>
          <w:spacing w:val="-6"/>
          <w:sz w:val="27"/>
          <w:szCs w:val="27"/>
        </w:rPr>
        <w:t>2</w:t>
      </w:r>
      <w:r>
        <w:rPr>
          <w:rFonts w:ascii="黑体" w:hAnsi="黑体" w:eastAsia="黑体" w:cs="黑体"/>
          <w:spacing w:val="15"/>
          <w:sz w:val="27"/>
          <w:szCs w:val="27"/>
        </w:rPr>
        <w:t xml:space="preserve">  </w:t>
      </w:r>
      <w:r>
        <w:rPr>
          <w:rFonts w:ascii="黑体" w:hAnsi="黑体" w:eastAsia="黑体" w:cs="黑体"/>
          <w:b/>
          <w:bCs/>
          <w:spacing w:val="-6"/>
          <w:sz w:val="27"/>
          <w:szCs w:val="27"/>
        </w:rPr>
        <w:t>编制依据</w:t>
      </w:r>
    </w:p>
    <w:p w14:paraId="002C6AA5">
      <w:pPr>
        <w:pStyle w:val="2"/>
        <w:spacing w:before="81" w:line="272" w:lineRule="auto"/>
        <w:ind w:right="8" w:firstLine="550"/>
      </w:pPr>
      <w:r>
        <w:rPr>
          <w:spacing w:val="6"/>
        </w:rPr>
        <w:t>说明编制该文件所依据的各种文件和标准。依据的</w:t>
      </w:r>
      <w:r>
        <w:rPr>
          <w:spacing w:val="5"/>
        </w:rPr>
        <w:t>文件一般应包括研制总</w:t>
      </w:r>
      <w:r>
        <w:t xml:space="preserve"> </w:t>
      </w:r>
      <w:r>
        <w:rPr>
          <w:spacing w:val="-7"/>
        </w:rPr>
        <w:t>要求、研制任务书或研制合同。</w:t>
      </w:r>
    </w:p>
    <w:p w14:paraId="73727FD1">
      <w:pPr>
        <w:spacing w:before="1" w:line="220" w:lineRule="auto"/>
        <w:rPr>
          <w:rFonts w:ascii="黑体" w:hAnsi="黑体" w:eastAsia="黑体" w:cs="黑体"/>
          <w:sz w:val="27"/>
          <w:szCs w:val="27"/>
        </w:rPr>
      </w:pPr>
      <w:r>
        <w:rPr>
          <w:rFonts w:ascii="黑体" w:hAnsi="黑体" w:eastAsia="黑体" w:cs="黑体"/>
          <w:sz w:val="27"/>
          <w:szCs w:val="27"/>
        </w:rPr>
        <w:t xml:space="preserve">3  </w:t>
      </w:r>
      <w:r>
        <w:rPr>
          <w:rFonts w:ascii="黑体" w:hAnsi="黑体" w:eastAsia="黑体" w:cs="黑体"/>
          <w:b/>
          <w:bCs/>
          <w:sz w:val="27"/>
          <w:szCs w:val="27"/>
        </w:rPr>
        <w:t>装备使用环境概述</w:t>
      </w:r>
    </w:p>
    <w:p w14:paraId="72727670">
      <w:pPr>
        <w:pStyle w:val="2"/>
        <w:spacing w:before="90" w:line="276" w:lineRule="auto"/>
        <w:ind w:right="17" w:firstLine="550"/>
      </w:pPr>
      <w:r>
        <w:rPr>
          <w:spacing w:val="-3"/>
        </w:rPr>
        <w:t>概要描述装备的使用环境，简要说明其环境特点，并列出订购方对装备的使</w:t>
      </w:r>
      <w:r>
        <w:rPr>
          <w:spacing w:val="1"/>
        </w:rPr>
        <w:t xml:space="preserve"> </w:t>
      </w:r>
      <w:r>
        <w:t>用环境要求。</w:t>
      </w:r>
    </w:p>
    <w:p w14:paraId="26F9C765">
      <w:pPr>
        <w:spacing w:before="1" w:line="221" w:lineRule="auto"/>
        <w:rPr>
          <w:rFonts w:ascii="黑体" w:hAnsi="黑体" w:eastAsia="黑体" w:cs="黑体"/>
          <w:sz w:val="27"/>
          <w:szCs w:val="27"/>
        </w:rPr>
      </w:pPr>
      <w:r>
        <w:rPr>
          <w:rFonts w:ascii="黑体" w:hAnsi="黑体" w:eastAsia="黑体" w:cs="黑体"/>
          <w:spacing w:val="3"/>
          <w:sz w:val="27"/>
          <w:szCs w:val="27"/>
        </w:rPr>
        <w:t xml:space="preserve">4  </w:t>
      </w:r>
      <w:r>
        <w:rPr>
          <w:rFonts w:ascii="黑体" w:hAnsi="黑体" w:eastAsia="黑体" w:cs="黑体"/>
          <w:b/>
          <w:bCs/>
          <w:spacing w:val="3"/>
          <w:sz w:val="27"/>
          <w:szCs w:val="27"/>
        </w:rPr>
        <w:t>环境工程工作项目</w:t>
      </w:r>
    </w:p>
    <w:p w14:paraId="274D4CAC">
      <w:pPr>
        <w:pStyle w:val="2"/>
        <w:spacing w:before="88" w:line="273" w:lineRule="auto"/>
        <w:ind w:right="16" w:firstLine="550"/>
        <w:jc w:val="both"/>
      </w:pPr>
      <w:r>
        <w:rPr>
          <w:spacing w:val="1"/>
        </w:rPr>
        <w:t>应依据研制总要求、研制特点和现有条件，对</w:t>
      </w:r>
      <w:r>
        <w:rPr>
          <w:rFonts w:ascii="Times New Roman" w:hAnsi="Times New Roman" w:eastAsia="Times New Roman" w:cs="Times New Roman"/>
        </w:rPr>
        <w:t>GJB</w:t>
      </w:r>
      <w:r>
        <w:rPr>
          <w:rFonts w:ascii="Times New Roman" w:hAnsi="Times New Roman" w:eastAsia="Times New Roman" w:cs="Times New Roman"/>
          <w:spacing w:val="1"/>
        </w:rPr>
        <w:t xml:space="preserve">  4239</w:t>
      </w:r>
      <w:r>
        <w:rPr>
          <w:rFonts w:ascii="Times New Roman" w:hAnsi="Times New Roman" w:eastAsia="Times New Roman" w:cs="Times New Roman"/>
        </w:rPr>
        <w:t xml:space="preserve"> </w:t>
      </w:r>
      <w:r>
        <w:t xml:space="preserve">规定的工作项目进 </w:t>
      </w:r>
      <w:r>
        <w:rPr>
          <w:spacing w:val="5"/>
        </w:rPr>
        <w:t>行裁剪，确定装备寿命期各个阶段要求开展的环境工程工作项目及其具体的工</w:t>
      </w:r>
      <w:r>
        <w:rPr>
          <w:spacing w:val="14"/>
        </w:rPr>
        <w:t xml:space="preserve"> </w:t>
      </w:r>
      <w:r>
        <w:rPr>
          <w:spacing w:val="-1"/>
        </w:rPr>
        <w:t>作内容。</w:t>
      </w:r>
    </w:p>
    <w:p w14:paraId="6CB4D390">
      <w:pPr>
        <w:spacing w:before="1" w:line="221"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17"/>
          <w:sz w:val="27"/>
          <w:szCs w:val="27"/>
        </w:rPr>
        <w:t xml:space="preserve">   </w:t>
      </w:r>
      <w:r>
        <w:rPr>
          <w:rFonts w:ascii="黑体" w:hAnsi="黑体" w:eastAsia="黑体" w:cs="黑体"/>
          <w:b/>
          <w:bCs/>
          <w:sz w:val="27"/>
          <w:szCs w:val="27"/>
        </w:rPr>
        <w:t>计划进度</w:t>
      </w:r>
    </w:p>
    <w:p w14:paraId="6D45CB5F">
      <w:pPr>
        <w:pStyle w:val="2"/>
        <w:spacing w:before="92" w:line="272" w:lineRule="auto"/>
        <w:ind w:right="10" w:firstLine="550"/>
        <w:jc w:val="both"/>
      </w:pPr>
      <w:r>
        <w:rPr>
          <w:spacing w:val="5"/>
        </w:rPr>
        <w:t>详细列出已确定的各环境工程工作项目的起始和结束的时间点，并绘出装</w:t>
      </w:r>
      <w:r>
        <w:rPr>
          <w:spacing w:val="11"/>
        </w:rPr>
        <w:t xml:space="preserve"> </w:t>
      </w:r>
      <w:r>
        <w:rPr>
          <w:spacing w:val="6"/>
        </w:rPr>
        <w:t>备环境工程工作网络图。环境工程工作的时</w:t>
      </w:r>
      <w:r>
        <w:rPr>
          <w:spacing w:val="5"/>
        </w:rPr>
        <w:t>间安排应与装备寿命期同一阶段的</w:t>
      </w:r>
      <w:r>
        <w:t xml:space="preserve"> </w:t>
      </w:r>
      <w:r>
        <w:rPr>
          <w:spacing w:val="-3"/>
        </w:rPr>
        <w:t>其他工作相协调，并将其纳入装备研制网络图，确保环境工程工作能得到统一组</w:t>
      </w:r>
      <w:r>
        <w:rPr>
          <w:spacing w:val="13"/>
        </w:rPr>
        <w:t xml:space="preserve"> </w:t>
      </w:r>
      <w:r>
        <w:rPr>
          <w:spacing w:val="1"/>
        </w:rPr>
        <w:t>织和实施进度管理。</w:t>
      </w:r>
    </w:p>
    <w:p w14:paraId="23FED5D3">
      <w:pPr>
        <w:spacing w:before="12" w:line="222"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9"/>
          <w:sz w:val="27"/>
          <w:szCs w:val="27"/>
        </w:rPr>
        <w:t xml:space="preserve">  </w:t>
      </w:r>
      <w:r>
        <w:rPr>
          <w:rFonts w:ascii="黑体" w:hAnsi="黑体" w:eastAsia="黑体" w:cs="黑体"/>
          <w:b/>
          <w:bCs/>
          <w:spacing w:val="-2"/>
          <w:sz w:val="27"/>
          <w:szCs w:val="27"/>
        </w:rPr>
        <w:t>审查或评审</w:t>
      </w:r>
    </w:p>
    <w:p w14:paraId="2364609D">
      <w:pPr>
        <w:pStyle w:val="2"/>
        <w:spacing w:before="80" w:line="268" w:lineRule="auto"/>
        <w:ind w:right="19" w:firstLine="550"/>
      </w:pPr>
      <w:r>
        <w:rPr>
          <w:spacing w:val="-3"/>
        </w:rPr>
        <w:t>列出要进行审查或评审的工作项目，审查或评审的内容和要求，组织审查或</w:t>
      </w:r>
      <w:r>
        <w:t xml:space="preserve"> 评审的机构。</w:t>
      </w:r>
    </w:p>
    <w:p w14:paraId="5DC5C971">
      <w:pPr>
        <w:spacing w:before="43" w:line="222" w:lineRule="auto"/>
        <w:rPr>
          <w:rFonts w:ascii="黑体" w:hAnsi="黑体" w:eastAsia="黑体" w:cs="黑体"/>
          <w:sz w:val="24"/>
          <w:szCs w:val="24"/>
        </w:rPr>
      </w:pPr>
      <w:r>
        <w:rPr>
          <w:rFonts w:ascii="黑体" w:hAnsi="黑体" w:eastAsia="黑体" w:cs="黑体"/>
          <w:spacing w:val="20"/>
          <w:sz w:val="24"/>
          <w:szCs w:val="24"/>
        </w:rPr>
        <w:t>7</w:t>
      </w:r>
      <w:r>
        <w:rPr>
          <w:rFonts w:ascii="黑体" w:hAnsi="黑体" w:eastAsia="黑体" w:cs="黑体"/>
          <w:spacing w:val="33"/>
          <w:sz w:val="24"/>
          <w:szCs w:val="24"/>
        </w:rPr>
        <w:t xml:space="preserve">  </w:t>
      </w:r>
      <w:r>
        <w:rPr>
          <w:rFonts w:ascii="黑体" w:hAnsi="黑体" w:eastAsia="黑体" w:cs="黑体"/>
          <w:b/>
          <w:bCs/>
          <w:spacing w:val="20"/>
          <w:sz w:val="24"/>
          <w:szCs w:val="24"/>
        </w:rPr>
        <w:t>接口关系</w:t>
      </w:r>
    </w:p>
    <w:p w14:paraId="02A9C0E4">
      <w:pPr>
        <w:pStyle w:val="2"/>
        <w:spacing w:before="104" w:line="219" w:lineRule="auto"/>
        <w:ind w:right="13"/>
        <w:jc w:val="right"/>
      </w:pPr>
      <w:r>
        <w:rPr>
          <w:spacing w:val="-3"/>
        </w:rPr>
        <w:t>阐明订购方、承制方(包括转承制方和供应商)之间的分工、职责和各自内部</w:t>
      </w:r>
    </w:p>
    <w:p w14:paraId="605BFD83">
      <w:pPr>
        <w:spacing w:line="219" w:lineRule="auto"/>
        <w:sectPr>
          <w:footerReference r:id="rId577" w:type="default"/>
          <w:pgSz w:w="11910" w:h="17130"/>
          <w:pgMar w:top="400" w:right="1478" w:bottom="1693" w:left="1049" w:header="0" w:footer="1494" w:gutter="0"/>
          <w:cols w:space="720" w:num="1"/>
        </w:sectPr>
      </w:pPr>
    </w:p>
    <w:p w14:paraId="20B47275">
      <w:pPr>
        <w:spacing w:line="248" w:lineRule="auto"/>
        <w:rPr>
          <w:rFonts w:ascii="Arial"/>
          <w:sz w:val="21"/>
        </w:rPr>
      </w:pPr>
    </w:p>
    <w:p w14:paraId="2DE13ED3">
      <w:pPr>
        <w:spacing w:line="249" w:lineRule="auto"/>
        <w:rPr>
          <w:rFonts w:ascii="Arial"/>
          <w:sz w:val="21"/>
        </w:rPr>
      </w:pPr>
    </w:p>
    <w:p w14:paraId="6A2A7445">
      <w:pPr>
        <w:spacing w:line="249" w:lineRule="auto"/>
        <w:rPr>
          <w:rFonts w:ascii="Arial"/>
          <w:sz w:val="21"/>
        </w:rPr>
      </w:pPr>
    </w:p>
    <w:p w14:paraId="04988368">
      <w:pPr>
        <w:spacing w:line="249" w:lineRule="auto"/>
        <w:rPr>
          <w:rFonts w:ascii="Arial"/>
          <w:sz w:val="21"/>
        </w:rPr>
      </w:pPr>
    </w:p>
    <w:p w14:paraId="1BF5012E">
      <w:pPr>
        <w:pStyle w:val="2"/>
        <w:spacing w:before="88" w:line="289" w:lineRule="auto"/>
        <w:ind w:right="17"/>
      </w:pPr>
      <w:r>
        <w:rPr>
          <w:spacing w:val="-10"/>
        </w:rPr>
        <w:t>的分工、职责，及其相互之间(包括各层次的)接口关系，以便彼此沟通和协调，及</w:t>
      </w:r>
      <w:r>
        <w:rPr>
          <w:spacing w:val="13"/>
        </w:rPr>
        <w:t xml:space="preserve"> </w:t>
      </w:r>
      <w:r>
        <w:rPr>
          <w:spacing w:val="3"/>
        </w:rPr>
        <w:t>时解决与环境工程有关的问题。</w:t>
      </w:r>
    </w:p>
    <w:p w14:paraId="6BD27AC0">
      <w:pPr>
        <w:spacing w:before="1" w:line="220" w:lineRule="auto"/>
        <w:rPr>
          <w:rFonts w:ascii="黑体" w:hAnsi="黑体" w:eastAsia="黑体" w:cs="黑体"/>
          <w:sz w:val="27"/>
          <w:szCs w:val="27"/>
        </w:rPr>
      </w:pPr>
      <w:r>
        <w:rPr>
          <w:rFonts w:ascii="黑体" w:hAnsi="黑体" w:eastAsia="黑体" w:cs="黑体"/>
          <w:sz w:val="27"/>
          <w:szCs w:val="27"/>
        </w:rPr>
        <w:t>8</w:t>
      </w:r>
      <w:r>
        <w:rPr>
          <w:rFonts w:ascii="黑体" w:hAnsi="黑体" w:eastAsia="黑体" w:cs="黑体"/>
          <w:spacing w:val="14"/>
          <w:sz w:val="27"/>
          <w:szCs w:val="27"/>
        </w:rPr>
        <w:t xml:space="preserve">  </w:t>
      </w:r>
      <w:r>
        <w:rPr>
          <w:rFonts w:ascii="黑体" w:hAnsi="黑体" w:eastAsia="黑体" w:cs="黑体"/>
          <w:b/>
          <w:bCs/>
          <w:sz w:val="27"/>
          <w:szCs w:val="27"/>
        </w:rPr>
        <w:t>保障资源</w:t>
      </w:r>
    </w:p>
    <w:p w14:paraId="0B8EE41B">
      <w:pPr>
        <w:pStyle w:val="2"/>
        <w:spacing w:before="42" w:line="299" w:lineRule="auto"/>
        <w:ind w:firstLine="560"/>
      </w:pPr>
      <w:r>
        <w:rPr>
          <w:spacing w:val="-3"/>
        </w:rPr>
        <w:t>列出执行计划所需的保障资源，包括所需的人员、设备(或设施)、经费及其</w:t>
      </w:r>
      <w:r>
        <w:rPr>
          <w:spacing w:val="12"/>
        </w:rPr>
        <w:t xml:space="preserve"> </w:t>
      </w:r>
      <w:r>
        <w:t>他保障条件。</w:t>
      </w:r>
    </w:p>
    <w:p w14:paraId="59A8D21B">
      <w:pPr>
        <w:spacing w:line="221" w:lineRule="auto"/>
        <w:rPr>
          <w:rFonts w:ascii="黑体" w:hAnsi="黑体" w:eastAsia="黑体" w:cs="黑体"/>
          <w:sz w:val="24"/>
          <w:szCs w:val="24"/>
        </w:rPr>
      </w:pPr>
      <w:r>
        <w:rPr>
          <w:rFonts w:ascii="黑体" w:hAnsi="黑体" w:eastAsia="黑体" w:cs="黑体"/>
          <w:spacing w:val="28"/>
          <w:sz w:val="24"/>
          <w:szCs w:val="24"/>
        </w:rPr>
        <w:t>9</w:t>
      </w:r>
      <w:r>
        <w:rPr>
          <w:rFonts w:ascii="黑体" w:hAnsi="黑体" w:eastAsia="黑体" w:cs="黑体"/>
          <w:spacing w:val="33"/>
          <w:sz w:val="24"/>
          <w:szCs w:val="24"/>
        </w:rPr>
        <w:t xml:space="preserve">  </w:t>
      </w:r>
      <w:r>
        <w:rPr>
          <w:rFonts w:ascii="黑体" w:hAnsi="黑体" w:eastAsia="黑体" w:cs="黑体"/>
          <w:b/>
          <w:bCs/>
          <w:spacing w:val="28"/>
          <w:sz w:val="24"/>
          <w:szCs w:val="24"/>
        </w:rPr>
        <w:t>环境工程工作机构</w:t>
      </w:r>
    </w:p>
    <w:p w14:paraId="7BF6E136">
      <w:pPr>
        <w:spacing w:before="121" w:line="221" w:lineRule="auto"/>
        <w:rPr>
          <w:rFonts w:ascii="黑体" w:hAnsi="黑体" w:eastAsia="黑体" w:cs="黑体"/>
          <w:sz w:val="24"/>
          <w:szCs w:val="24"/>
        </w:rPr>
      </w:pPr>
      <w:r>
        <w:rPr>
          <w:rFonts w:ascii="黑体" w:hAnsi="黑体" w:eastAsia="黑体" w:cs="黑体"/>
          <w:spacing w:val="23"/>
          <w:sz w:val="24"/>
          <w:szCs w:val="24"/>
        </w:rPr>
        <w:t>9.1</w:t>
      </w:r>
      <w:r>
        <w:rPr>
          <w:rFonts w:ascii="黑体" w:hAnsi="黑体" w:eastAsia="黑体" w:cs="黑体"/>
          <w:spacing w:val="50"/>
          <w:sz w:val="24"/>
          <w:szCs w:val="24"/>
        </w:rPr>
        <w:t xml:space="preserve">  </w:t>
      </w:r>
      <w:r>
        <w:rPr>
          <w:rFonts w:ascii="黑体" w:hAnsi="黑体" w:eastAsia="黑体" w:cs="黑体"/>
          <w:b/>
          <w:bCs/>
          <w:spacing w:val="23"/>
          <w:sz w:val="24"/>
          <w:szCs w:val="24"/>
        </w:rPr>
        <w:t>环境工程工作系统</w:t>
      </w:r>
    </w:p>
    <w:p w14:paraId="4361A7C5">
      <w:pPr>
        <w:pStyle w:val="2"/>
        <w:spacing w:before="77" w:line="276" w:lineRule="auto"/>
        <w:ind w:right="19" w:firstLine="560"/>
      </w:pPr>
      <w:r>
        <w:rPr>
          <w:spacing w:val="5"/>
        </w:rPr>
        <w:t>说明已经建立的环境工程工作系统的组织机构、组成单位、人员要求及其</w:t>
      </w:r>
      <w:r>
        <w:t xml:space="preserve"> </w:t>
      </w:r>
      <w:r>
        <w:rPr>
          <w:spacing w:val="-4"/>
        </w:rPr>
        <w:t>职责。</w:t>
      </w:r>
    </w:p>
    <w:p w14:paraId="64B047A9">
      <w:pPr>
        <w:spacing w:before="1" w:line="221" w:lineRule="auto"/>
        <w:rPr>
          <w:rFonts w:ascii="黑体" w:hAnsi="黑体" w:eastAsia="黑体" w:cs="黑体"/>
          <w:sz w:val="27"/>
          <w:szCs w:val="27"/>
        </w:rPr>
      </w:pPr>
      <w:r>
        <w:rPr>
          <w:rFonts w:ascii="黑体" w:hAnsi="黑体" w:eastAsia="黑体" w:cs="黑体"/>
          <w:sz w:val="27"/>
          <w:szCs w:val="27"/>
        </w:rPr>
        <w:t>9.2</w:t>
      </w:r>
      <w:r>
        <w:rPr>
          <w:rFonts w:ascii="黑体" w:hAnsi="黑体" w:eastAsia="黑体" w:cs="黑体"/>
          <w:spacing w:val="15"/>
          <w:sz w:val="27"/>
          <w:szCs w:val="27"/>
        </w:rPr>
        <w:t xml:space="preserve">  </w:t>
      </w:r>
      <w:r>
        <w:rPr>
          <w:rFonts w:ascii="黑体" w:hAnsi="黑体" w:eastAsia="黑体" w:cs="黑体"/>
          <w:b/>
          <w:bCs/>
          <w:sz w:val="27"/>
          <w:szCs w:val="27"/>
        </w:rPr>
        <w:t>环境工程专家组</w:t>
      </w:r>
    </w:p>
    <w:p w14:paraId="10AD128C">
      <w:pPr>
        <w:pStyle w:val="2"/>
        <w:spacing w:before="101" w:line="279" w:lineRule="auto"/>
        <w:ind w:right="21" w:firstLine="560"/>
        <w:jc w:val="both"/>
      </w:pPr>
      <w:r>
        <w:rPr>
          <w:spacing w:val="-3"/>
        </w:rPr>
        <w:t>列出已经确定的在环境数据采集与测量、环境适</w:t>
      </w:r>
      <w:r>
        <w:rPr>
          <w:spacing w:val="-4"/>
        </w:rPr>
        <w:t>应性要求确定、环境适应性</w:t>
      </w:r>
      <w:r>
        <w:t xml:space="preserve"> </w:t>
      </w:r>
      <w:r>
        <w:rPr>
          <w:spacing w:val="5"/>
        </w:rPr>
        <w:t>设计以及环境试验与评价等诸多技术领域有特长，能够协助开展装备环境工程</w:t>
      </w:r>
      <w:r>
        <w:rPr>
          <w:spacing w:val="8"/>
        </w:rPr>
        <w:t xml:space="preserve"> </w:t>
      </w:r>
      <w:r>
        <w:rPr>
          <w:spacing w:val="4"/>
        </w:rPr>
        <w:t>工作的环境工程专家组成员的名单。</w:t>
      </w:r>
    </w:p>
    <w:p w14:paraId="6E48DCBD">
      <w:pPr>
        <w:spacing w:before="1" w:line="220" w:lineRule="auto"/>
        <w:outlineLvl w:val="3"/>
        <w:rPr>
          <w:rFonts w:ascii="黑体" w:hAnsi="黑体" w:eastAsia="黑体" w:cs="黑体"/>
          <w:sz w:val="27"/>
          <w:szCs w:val="27"/>
        </w:rPr>
      </w:pPr>
      <w:r>
        <w:rPr>
          <w:rFonts w:ascii="Arial" w:hAnsi="Arial" w:eastAsia="Arial" w:cs="Arial"/>
          <w:b/>
          <w:bCs/>
          <w:spacing w:val="2"/>
          <w:sz w:val="27"/>
          <w:szCs w:val="27"/>
        </w:rPr>
        <w:t xml:space="preserve">9.3    </w:t>
      </w:r>
      <w:r>
        <w:rPr>
          <w:rFonts w:ascii="黑体" w:hAnsi="黑体" w:eastAsia="黑体" w:cs="黑体"/>
          <w:b/>
          <w:bCs/>
          <w:spacing w:val="2"/>
          <w:sz w:val="27"/>
          <w:szCs w:val="27"/>
        </w:rPr>
        <w:t>环境工程工作评审委员会</w:t>
      </w:r>
    </w:p>
    <w:p w14:paraId="634B8559">
      <w:pPr>
        <w:pStyle w:val="2"/>
        <w:spacing w:before="101" w:line="219" w:lineRule="auto"/>
        <w:ind w:left="560"/>
      </w:pPr>
      <w:r>
        <w:rPr>
          <w:spacing w:val="4"/>
        </w:rPr>
        <w:t>列出已经确定的环境工程工作评审委员会成员名单及其职责。</w:t>
      </w:r>
    </w:p>
    <w:p w14:paraId="5527C3BD">
      <w:pPr>
        <w:pStyle w:val="2"/>
        <w:spacing w:before="79" w:line="280" w:lineRule="auto"/>
        <w:ind w:right="10" w:firstLine="560"/>
      </w:pPr>
      <w:r>
        <w:rPr>
          <w:spacing w:val="5"/>
        </w:rPr>
        <w:t>环境工程工作评审委员会成员应由订购方、承制方以及这两方以外的环境</w:t>
      </w:r>
      <w:r>
        <w:t xml:space="preserve"> </w:t>
      </w:r>
      <w:r>
        <w:rPr>
          <w:spacing w:val="5"/>
        </w:rPr>
        <w:t>工程专家组成。根据评审和审查内容的不同及委员会专家的专业范畴，确定参</w:t>
      </w:r>
      <w:r>
        <w:rPr>
          <w:spacing w:val="11"/>
        </w:rPr>
        <w:t xml:space="preserve"> </w:t>
      </w:r>
      <w:r>
        <w:rPr>
          <w:spacing w:val="14"/>
        </w:rPr>
        <w:t>与不同阶段项目审查或评审工作的专家，参与相应阶段环境工程工作</w:t>
      </w:r>
      <w:r>
        <w:rPr>
          <w:spacing w:val="13"/>
        </w:rPr>
        <w:t>结果的</w:t>
      </w:r>
      <w:r>
        <w:t xml:space="preserve"> </w:t>
      </w:r>
      <w:r>
        <w:rPr>
          <w:spacing w:val="-4"/>
        </w:rPr>
        <w:t>评审。</w:t>
      </w:r>
    </w:p>
    <w:p w14:paraId="2A14A27F">
      <w:pPr>
        <w:spacing w:line="245" w:lineRule="auto"/>
        <w:rPr>
          <w:rFonts w:ascii="Arial"/>
          <w:sz w:val="21"/>
        </w:rPr>
      </w:pPr>
    </w:p>
    <w:p w14:paraId="242E7078">
      <w:pPr>
        <w:pStyle w:val="2"/>
        <w:spacing w:before="118" w:line="220" w:lineRule="auto"/>
        <w:ind w:left="2870"/>
        <w:outlineLvl w:val="1"/>
        <w:rPr>
          <w:sz w:val="36"/>
          <w:szCs w:val="36"/>
        </w:rPr>
      </w:pPr>
      <w:r>
        <w:rPr>
          <w:rFonts w:ascii="Times New Roman" w:hAnsi="Times New Roman" w:eastAsia="Times New Roman" w:cs="Times New Roman"/>
          <w:b/>
          <w:bCs/>
          <w:spacing w:val="1"/>
          <w:sz w:val="36"/>
          <w:szCs w:val="36"/>
        </w:rPr>
        <w:t xml:space="preserve">12.2     </w:t>
      </w:r>
      <w:r>
        <w:rPr>
          <w:b/>
          <w:bCs/>
          <w:spacing w:val="1"/>
          <w:sz w:val="36"/>
          <w:szCs w:val="36"/>
        </w:rPr>
        <w:t>寿命期环境剖面</w:t>
      </w:r>
    </w:p>
    <w:p w14:paraId="3C9B7D7E">
      <w:pPr>
        <w:spacing w:line="326" w:lineRule="auto"/>
        <w:rPr>
          <w:rFonts w:ascii="Arial"/>
          <w:sz w:val="21"/>
        </w:rPr>
      </w:pPr>
    </w:p>
    <w:p w14:paraId="76538244">
      <w:pPr>
        <w:pStyle w:val="2"/>
        <w:spacing w:before="91" w:line="226" w:lineRule="auto"/>
        <w:ind w:left="56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4239—2001</w:t>
      </w:r>
      <w:r>
        <w:rPr>
          <w:spacing w:val="-11"/>
          <w:sz w:val="28"/>
          <w:szCs w:val="28"/>
        </w:rPr>
        <w:t>《</w:t>
      </w:r>
      <w:r>
        <w:rPr>
          <w:rFonts w:ascii="楷体" w:hAnsi="楷体" w:eastAsia="楷体" w:cs="楷体"/>
          <w:spacing w:val="-11"/>
          <w:sz w:val="28"/>
          <w:szCs w:val="28"/>
        </w:rPr>
        <w:t>装备环境工程通用要求》编写。</w:t>
      </w:r>
    </w:p>
    <w:p w14:paraId="38634FB6">
      <w:pPr>
        <w:spacing w:before="76"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目的和用途</w:t>
      </w:r>
    </w:p>
    <w:p w14:paraId="0712E0C1">
      <w:pPr>
        <w:pStyle w:val="2"/>
        <w:spacing w:before="97" w:line="219" w:lineRule="auto"/>
        <w:ind w:left="560"/>
      </w:pPr>
      <w:r>
        <w:rPr>
          <w:spacing w:val="3"/>
        </w:rPr>
        <w:t>说明编制寿命期环境剖面的目的和用途。</w:t>
      </w:r>
    </w:p>
    <w:p w14:paraId="5F12324E">
      <w:pPr>
        <w:pStyle w:val="2"/>
        <w:spacing w:before="90" w:line="268" w:lineRule="auto"/>
        <w:ind w:right="16" w:firstLine="560"/>
      </w:pPr>
      <w:r>
        <w:rPr>
          <w:spacing w:val="5"/>
        </w:rPr>
        <w:t>制定产品寿命期环境剖面文件的目的是为确定产品设计和试验要考虑的环</w:t>
      </w:r>
      <w:r>
        <w:rPr>
          <w:spacing w:val="2"/>
        </w:rPr>
        <w:t xml:space="preserve"> </w:t>
      </w:r>
      <w:r>
        <w:rPr>
          <w:spacing w:val="5"/>
        </w:rPr>
        <w:t>境因素类型及其具体量值或具体量值的确定原则提供规范化的基本数据支持。</w:t>
      </w:r>
    </w:p>
    <w:p w14:paraId="1D20F9BA">
      <w:pPr>
        <w:spacing w:before="1" w:line="220"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8"/>
          <w:sz w:val="27"/>
          <w:szCs w:val="27"/>
        </w:rPr>
        <w:t xml:space="preserve">  </w:t>
      </w:r>
      <w:r>
        <w:rPr>
          <w:rFonts w:ascii="黑体" w:hAnsi="黑体" w:eastAsia="黑体" w:cs="黑体"/>
          <w:b/>
          <w:bCs/>
          <w:spacing w:val="-1"/>
          <w:sz w:val="27"/>
          <w:szCs w:val="27"/>
        </w:rPr>
        <w:t>编制依据</w:t>
      </w:r>
    </w:p>
    <w:p w14:paraId="4FE3E180">
      <w:pPr>
        <w:pStyle w:val="2"/>
        <w:spacing w:before="123" w:line="275" w:lineRule="auto"/>
        <w:ind w:right="13" w:firstLine="560"/>
        <w:jc w:val="both"/>
      </w:pPr>
      <w:r>
        <w:rPr>
          <w:spacing w:val="-3"/>
        </w:rPr>
        <w:t>说明编制该文件所依据的各种文件和标准。一般包括：产品寿</w:t>
      </w:r>
      <w:r>
        <w:rPr>
          <w:spacing w:val="-4"/>
        </w:rPr>
        <w:t>命期剖面；产</w:t>
      </w:r>
      <w:r>
        <w:t xml:space="preserve"> </w:t>
      </w:r>
      <w:r>
        <w:rPr>
          <w:spacing w:val="-2"/>
        </w:rPr>
        <w:t>品有关的战术技术指标和任务剖面；产品使用的</w:t>
      </w:r>
      <w:r>
        <w:rPr>
          <w:spacing w:val="-3"/>
        </w:rPr>
        <w:t>地域、海域和空域；产品的工作</w:t>
      </w:r>
      <w:r>
        <w:t xml:space="preserve"> </w:t>
      </w:r>
      <w:r>
        <w:rPr>
          <w:spacing w:val="-3"/>
        </w:rPr>
        <w:t>特性和在平台上的位置；其他有关文件和标准。</w:t>
      </w:r>
    </w:p>
    <w:p w14:paraId="68A941EF">
      <w:pPr>
        <w:spacing w:before="17"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8"/>
          <w:sz w:val="27"/>
          <w:szCs w:val="27"/>
        </w:rPr>
        <w:t xml:space="preserve">  </w:t>
      </w:r>
      <w:r>
        <w:rPr>
          <w:rFonts w:ascii="黑体" w:hAnsi="黑体" w:eastAsia="黑体" w:cs="黑体"/>
          <w:b/>
          <w:bCs/>
          <w:sz w:val="27"/>
          <w:szCs w:val="27"/>
        </w:rPr>
        <w:t>预期发生的各种事件</w:t>
      </w:r>
    </w:p>
    <w:p w14:paraId="1950B9BE">
      <w:pPr>
        <w:pStyle w:val="2"/>
        <w:spacing w:before="92" w:line="283" w:lineRule="auto"/>
        <w:ind w:right="9" w:firstLine="560"/>
      </w:pPr>
      <w:r>
        <w:rPr>
          <w:spacing w:val="5"/>
        </w:rPr>
        <w:t>说明产品从验收出厂到最终退役过程中预期发生的各种事件，包括后勤和</w:t>
      </w:r>
      <w:r>
        <w:rPr>
          <w:spacing w:val="11"/>
        </w:rPr>
        <w:t xml:space="preserve"> </w:t>
      </w:r>
      <w:r>
        <w:rPr>
          <w:spacing w:val="-3"/>
        </w:rPr>
        <w:t>使用方面的各种事件。如各种形式或级别的装卸、运输、贮存、返修和使用。这</w:t>
      </w:r>
    </w:p>
    <w:p w14:paraId="502BD9FF">
      <w:pPr>
        <w:spacing w:line="283" w:lineRule="auto"/>
        <w:sectPr>
          <w:footerReference r:id="rId578" w:type="default"/>
          <w:pgSz w:w="11910" w:h="17130"/>
          <w:pgMar w:top="400" w:right="1008" w:bottom="1606" w:left="1519" w:header="0" w:footer="1417" w:gutter="0"/>
          <w:cols w:space="720" w:num="1"/>
        </w:sectPr>
      </w:pPr>
    </w:p>
    <w:p w14:paraId="6F8DF26F">
      <w:pPr>
        <w:spacing w:line="318" w:lineRule="auto"/>
        <w:rPr>
          <w:rFonts w:ascii="Arial"/>
          <w:sz w:val="21"/>
        </w:rPr>
      </w:pPr>
    </w:p>
    <w:p w14:paraId="59B458FD">
      <w:pPr>
        <w:spacing w:line="319" w:lineRule="auto"/>
        <w:rPr>
          <w:rFonts w:ascii="Arial"/>
          <w:sz w:val="21"/>
        </w:rPr>
      </w:pPr>
    </w:p>
    <w:p w14:paraId="0A963832">
      <w:pPr>
        <w:spacing w:line="319" w:lineRule="auto"/>
        <w:rPr>
          <w:rFonts w:ascii="Arial"/>
          <w:sz w:val="21"/>
        </w:rPr>
      </w:pPr>
    </w:p>
    <w:p w14:paraId="5383CE63">
      <w:pPr>
        <w:pStyle w:val="2"/>
        <w:spacing w:before="87" w:line="289" w:lineRule="auto"/>
        <w:ind w:right="120"/>
      </w:pPr>
      <w:r>
        <w:rPr>
          <w:spacing w:val="5"/>
        </w:rPr>
        <w:t>些事件将导致产品经受各种各样的环境作用。这些事件有可能反复出现，通常</w:t>
      </w:r>
      <w:r>
        <w:rPr>
          <w:spacing w:val="13"/>
        </w:rPr>
        <w:t xml:space="preserve"> </w:t>
      </w:r>
      <w:r>
        <w:rPr>
          <w:spacing w:val="1"/>
        </w:rPr>
        <w:t>可从其寿命期剖面中获取。</w:t>
      </w:r>
    </w:p>
    <w:p w14:paraId="12C681CB">
      <w:pPr>
        <w:spacing w:before="1" w:line="220" w:lineRule="auto"/>
        <w:outlineLvl w:val="3"/>
        <w:rPr>
          <w:rFonts w:ascii="黑体" w:hAnsi="黑体" w:eastAsia="黑体" w:cs="黑体"/>
          <w:sz w:val="27"/>
          <w:szCs w:val="27"/>
        </w:rPr>
      </w:pPr>
      <w:r>
        <w:rPr>
          <w:rFonts w:ascii="Arial" w:hAnsi="Arial" w:eastAsia="Arial" w:cs="Arial"/>
          <w:b/>
          <w:bCs/>
          <w:sz w:val="27"/>
          <w:szCs w:val="27"/>
        </w:rPr>
        <w:t>4</w:t>
      </w:r>
      <w:r>
        <w:rPr>
          <w:rFonts w:ascii="Arial" w:hAnsi="Arial" w:eastAsia="Arial" w:cs="Arial"/>
          <w:b/>
          <w:bCs/>
          <w:spacing w:val="19"/>
          <w:sz w:val="27"/>
          <w:szCs w:val="27"/>
        </w:rPr>
        <w:t xml:space="preserve">   </w:t>
      </w:r>
      <w:r>
        <w:rPr>
          <w:rFonts w:ascii="黑体" w:hAnsi="黑体" w:eastAsia="黑体" w:cs="黑体"/>
          <w:b/>
          <w:bCs/>
          <w:sz w:val="27"/>
          <w:szCs w:val="27"/>
        </w:rPr>
        <w:t>预期的自然环境和诱发环境或其组合</w:t>
      </w:r>
    </w:p>
    <w:p w14:paraId="6B92C764">
      <w:pPr>
        <w:pStyle w:val="2"/>
        <w:spacing w:before="85" w:line="278" w:lineRule="auto"/>
        <w:ind w:right="107" w:firstLine="560"/>
        <w:jc w:val="both"/>
      </w:pPr>
      <w:r>
        <w:rPr>
          <w:spacing w:val="5"/>
        </w:rPr>
        <w:t>说明产品寿命期各事件相关的自然环境和诱发环境及其组合或综合。自然</w:t>
      </w:r>
      <w:r>
        <w:rPr>
          <w:spacing w:val="2"/>
        </w:rPr>
        <w:t xml:space="preserve"> </w:t>
      </w:r>
      <w:r>
        <w:rPr>
          <w:spacing w:val="-2"/>
        </w:rPr>
        <w:t>环境与事件发生所处的或经历的地理、空间位置及时间相关；诱发环境</w:t>
      </w:r>
      <w:r>
        <w:rPr>
          <w:spacing w:val="-3"/>
        </w:rPr>
        <w:t>则与产品</w:t>
      </w:r>
      <w:r>
        <w:t xml:space="preserve"> </w:t>
      </w:r>
      <w:r>
        <w:rPr>
          <w:spacing w:val="-3"/>
        </w:rPr>
        <w:t>所遇的自然环境、在平台上的位置、平台特征和平台运动或工作模式等相关。对</w:t>
      </w:r>
      <w:r>
        <w:rPr>
          <w:spacing w:val="15"/>
        </w:rPr>
        <w:t xml:space="preserve"> </w:t>
      </w:r>
      <w:r>
        <w:rPr>
          <w:spacing w:val="1"/>
        </w:rPr>
        <w:t>于装备内部的产品来说，更重要的是要考虑平台对自然环境的隔离和/或转换作</w:t>
      </w:r>
      <w:r>
        <w:rPr>
          <w:spacing w:val="16"/>
        </w:rPr>
        <w:t xml:space="preserve"> </w:t>
      </w:r>
      <w:r>
        <w:rPr>
          <w:spacing w:val="4"/>
        </w:rPr>
        <w:t>用及平台本身及相邻设备的运动或工作对其的影响。</w:t>
      </w:r>
    </w:p>
    <w:p w14:paraId="5E920A29">
      <w:pPr>
        <w:spacing w:line="221"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3"/>
          <w:sz w:val="27"/>
          <w:szCs w:val="27"/>
        </w:rPr>
        <w:t xml:space="preserve">   </w:t>
      </w:r>
      <w:r>
        <w:rPr>
          <w:rFonts w:ascii="黑体" w:hAnsi="黑体" w:eastAsia="黑体" w:cs="黑体"/>
          <w:b/>
          <w:bCs/>
          <w:spacing w:val="-1"/>
          <w:sz w:val="27"/>
          <w:szCs w:val="27"/>
        </w:rPr>
        <w:t>预期出现的期限和/或次数与频度</w:t>
      </w:r>
    </w:p>
    <w:p w14:paraId="3A344199">
      <w:pPr>
        <w:pStyle w:val="2"/>
        <w:spacing w:before="67" w:line="280" w:lineRule="auto"/>
        <w:ind w:right="102" w:firstLine="560"/>
        <w:jc w:val="both"/>
      </w:pPr>
      <w:r>
        <w:rPr>
          <w:spacing w:val="10"/>
        </w:rPr>
        <w:t>说明装备寿命期各类事件出现的绝对或相对</w:t>
      </w:r>
      <w:r>
        <w:rPr>
          <w:spacing w:val="9"/>
        </w:rPr>
        <w:t>期限(时间),各类事件预计出</w:t>
      </w:r>
      <w:r>
        <w:t xml:space="preserve"> </w:t>
      </w:r>
      <w:r>
        <w:rPr>
          <w:spacing w:val="1"/>
        </w:rPr>
        <w:t>现的次数或频度，以及各类事件对应的环境因素或其极值出现的期限和/或次数</w:t>
      </w:r>
      <w:r>
        <w:rPr>
          <w:spacing w:val="10"/>
        </w:rPr>
        <w:t xml:space="preserve"> </w:t>
      </w:r>
      <w:r>
        <w:rPr>
          <w:spacing w:val="-3"/>
        </w:rPr>
        <w:t>与频度。</w:t>
      </w:r>
    </w:p>
    <w:p w14:paraId="019C45CE">
      <w:pPr>
        <w:spacing w:before="1" w:line="221"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7"/>
          <w:sz w:val="27"/>
          <w:szCs w:val="27"/>
        </w:rPr>
        <w:t xml:space="preserve">  </w:t>
      </w:r>
      <w:r>
        <w:rPr>
          <w:rFonts w:ascii="黑体" w:hAnsi="黑体" w:eastAsia="黑体" w:cs="黑体"/>
          <w:b/>
          <w:bCs/>
          <w:spacing w:val="-2"/>
          <w:sz w:val="27"/>
          <w:szCs w:val="27"/>
        </w:rPr>
        <w:t>寿命期环境剖面表</w:t>
      </w:r>
    </w:p>
    <w:p w14:paraId="356E0D5D">
      <w:pPr>
        <w:pStyle w:val="2"/>
        <w:spacing w:before="91" w:line="277" w:lineRule="auto"/>
        <w:ind w:firstLine="560"/>
        <w:jc w:val="both"/>
      </w:pPr>
      <w:r>
        <w:rPr>
          <w:spacing w:val="5"/>
        </w:rPr>
        <w:t>一般使用寿命期环境剖面表来表征装备的寿命期环境剖面。常用的寿命期</w:t>
      </w:r>
      <w:r>
        <w:rPr>
          <w:spacing w:val="3"/>
        </w:rPr>
        <w:t xml:space="preserve">  </w:t>
      </w:r>
      <w:r>
        <w:rPr>
          <w:spacing w:val="12"/>
        </w:rPr>
        <w:t>环境剖面表格式见表12.1。表12.1提供的可能遇到的环境因素类型作为进一</w:t>
      </w:r>
      <w:r>
        <w:rPr>
          <w:spacing w:val="4"/>
        </w:rPr>
        <w:t xml:space="preserve">  </w:t>
      </w:r>
      <w:r>
        <w:rPr>
          <w:spacing w:val="1"/>
        </w:rPr>
        <w:t>步裁剪出要考虑的环境因素的起始点和基础，确保不会漏掉任何要考虑的环</w:t>
      </w:r>
      <w:r>
        <w:t>境。</w:t>
      </w:r>
    </w:p>
    <w:p w14:paraId="2E3A74D7">
      <w:pPr>
        <w:spacing w:before="1" w:line="220" w:lineRule="auto"/>
        <w:ind w:left="2760"/>
        <w:rPr>
          <w:rFonts w:ascii="仿宋" w:hAnsi="仿宋" w:eastAsia="仿宋" w:cs="仿宋"/>
          <w:sz w:val="27"/>
          <w:szCs w:val="27"/>
        </w:rPr>
      </w:pPr>
      <w:r>
        <w:rPr>
          <w:rFonts w:ascii="仿宋" w:hAnsi="仿宋" w:eastAsia="仿宋" w:cs="仿宋"/>
          <w:spacing w:val="5"/>
          <w:sz w:val="27"/>
          <w:szCs w:val="27"/>
        </w:rPr>
        <w:t>表12.</w:t>
      </w:r>
      <w:r>
        <w:rPr>
          <w:rFonts w:ascii="仿宋" w:hAnsi="仿宋" w:eastAsia="仿宋" w:cs="仿宋"/>
          <w:spacing w:val="-71"/>
          <w:sz w:val="27"/>
          <w:szCs w:val="27"/>
        </w:rPr>
        <w:t xml:space="preserve"> </w:t>
      </w:r>
      <w:r>
        <w:rPr>
          <w:rFonts w:ascii="仿宋" w:hAnsi="仿宋" w:eastAsia="仿宋" w:cs="仿宋"/>
          <w:spacing w:val="5"/>
          <w:sz w:val="27"/>
          <w:szCs w:val="27"/>
        </w:rPr>
        <w:t>1</w:t>
      </w:r>
      <w:r>
        <w:rPr>
          <w:rFonts w:ascii="仿宋" w:hAnsi="仿宋" w:eastAsia="仿宋" w:cs="仿宋"/>
          <w:spacing w:val="127"/>
          <w:sz w:val="27"/>
          <w:szCs w:val="27"/>
        </w:rPr>
        <w:t xml:space="preserve"> </w:t>
      </w:r>
      <w:r>
        <w:rPr>
          <w:rFonts w:ascii="仿宋" w:hAnsi="仿宋" w:eastAsia="仿宋" w:cs="仿宋"/>
          <w:spacing w:val="5"/>
          <w:sz w:val="27"/>
          <w:szCs w:val="27"/>
        </w:rPr>
        <w:t>寿命期环境剖面数据表</w:t>
      </w:r>
    </w:p>
    <w:p w14:paraId="14B7A385">
      <w:pPr>
        <w:spacing w:line="106" w:lineRule="exact"/>
      </w:pPr>
    </w:p>
    <w:tbl>
      <w:tblPr>
        <w:tblStyle w:val="5"/>
        <w:tblW w:w="935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3"/>
        <w:gridCol w:w="3126"/>
        <w:gridCol w:w="1259"/>
        <w:gridCol w:w="1258"/>
        <w:gridCol w:w="1633"/>
      </w:tblGrid>
      <w:tr w14:paraId="2596A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5209" w:type="dxa"/>
            <w:gridSpan w:val="2"/>
            <w:vMerge w:val="restart"/>
            <w:tcBorders>
              <w:bottom w:val="nil"/>
            </w:tcBorders>
            <w:vAlign w:val="top"/>
          </w:tcPr>
          <w:p w14:paraId="2C6A7F3B">
            <w:pPr>
              <w:pStyle w:val="6"/>
              <w:spacing w:line="247" w:lineRule="auto"/>
            </w:pPr>
          </w:p>
          <w:p w14:paraId="5DFCFCE1">
            <w:pPr>
              <w:spacing w:before="65" w:line="220" w:lineRule="auto"/>
              <w:ind w:left="2074"/>
              <w:rPr>
                <w:rFonts w:ascii="宋体" w:hAnsi="宋体" w:eastAsia="宋体" w:cs="宋体"/>
                <w:sz w:val="20"/>
                <w:szCs w:val="20"/>
              </w:rPr>
            </w:pPr>
            <w:r>
              <w:rPr>
                <w:rFonts w:ascii="宋体" w:hAnsi="宋体" w:eastAsia="宋体" w:cs="宋体"/>
                <w:spacing w:val="-2"/>
                <w:sz w:val="20"/>
                <w:szCs w:val="20"/>
              </w:rPr>
              <w:t>寿命期阶段</w:t>
            </w:r>
          </w:p>
        </w:tc>
        <w:tc>
          <w:tcPr>
            <w:tcW w:w="2517" w:type="dxa"/>
            <w:gridSpan w:val="2"/>
            <w:vAlign w:val="top"/>
          </w:tcPr>
          <w:p w14:paraId="26BFF7E8">
            <w:pPr>
              <w:spacing w:before="103" w:line="219" w:lineRule="auto"/>
              <w:ind w:left="525"/>
              <w:rPr>
                <w:rFonts w:ascii="宋体" w:hAnsi="宋体" w:eastAsia="宋体" w:cs="宋体"/>
                <w:sz w:val="20"/>
                <w:szCs w:val="20"/>
              </w:rPr>
            </w:pPr>
            <w:r>
              <w:rPr>
                <w:rFonts w:ascii="宋体" w:hAnsi="宋体" w:eastAsia="宋体" w:cs="宋体"/>
                <w:spacing w:val="-1"/>
                <w:sz w:val="20"/>
                <w:szCs w:val="20"/>
              </w:rPr>
              <w:t>遇到的环境因素</w:t>
            </w:r>
          </w:p>
        </w:tc>
        <w:tc>
          <w:tcPr>
            <w:tcW w:w="1633" w:type="dxa"/>
            <w:vMerge w:val="restart"/>
            <w:tcBorders>
              <w:bottom w:val="nil"/>
            </w:tcBorders>
            <w:vAlign w:val="top"/>
          </w:tcPr>
          <w:p w14:paraId="50F5D153">
            <w:pPr>
              <w:spacing w:before="145" w:line="295" w:lineRule="auto"/>
              <w:ind w:left="308" w:right="302"/>
              <w:rPr>
                <w:rFonts w:ascii="宋体" w:hAnsi="宋体" w:eastAsia="宋体" w:cs="宋体"/>
                <w:sz w:val="20"/>
                <w:szCs w:val="20"/>
              </w:rPr>
            </w:pPr>
            <w:r>
              <w:rPr>
                <w:rFonts w:ascii="宋体" w:hAnsi="宋体" w:eastAsia="宋体" w:cs="宋体"/>
                <w:spacing w:val="-2"/>
                <w:sz w:val="20"/>
                <w:szCs w:val="20"/>
              </w:rPr>
              <w:t>经受时间或</w:t>
            </w:r>
            <w:r>
              <w:rPr>
                <w:rFonts w:ascii="宋体" w:hAnsi="宋体" w:eastAsia="宋体" w:cs="宋体"/>
                <w:sz w:val="20"/>
                <w:szCs w:val="20"/>
              </w:rPr>
              <w:t xml:space="preserve"> </w:t>
            </w:r>
            <w:r>
              <w:rPr>
                <w:rFonts w:ascii="宋体" w:hAnsi="宋体" w:eastAsia="宋体" w:cs="宋体"/>
                <w:spacing w:val="2"/>
                <w:sz w:val="20"/>
                <w:szCs w:val="20"/>
              </w:rPr>
              <w:t>次数、频度</w:t>
            </w:r>
          </w:p>
        </w:tc>
      </w:tr>
      <w:tr w14:paraId="42F84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5209" w:type="dxa"/>
            <w:gridSpan w:val="2"/>
            <w:vMerge w:val="continue"/>
            <w:tcBorders>
              <w:top w:val="nil"/>
            </w:tcBorders>
            <w:vAlign w:val="top"/>
          </w:tcPr>
          <w:p w14:paraId="498A5B34">
            <w:pPr>
              <w:pStyle w:val="6"/>
            </w:pPr>
          </w:p>
        </w:tc>
        <w:tc>
          <w:tcPr>
            <w:tcW w:w="1259" w:type="dxa"/>
            <w:vAlign w:val="top"/>
          </w:tcPr>
          <w:p w14:paraId="31A03537">
            <w:pPr>
              <w:spacing w:before="99" w:line="220" w:lineRule="auto"/>
              <w:ind w:left="225"/>
              <w:rPr>
                <w:rFonts w:ascii="宋体" w:hAnsi="宋体" w:eastAsia="宋体" w:cs="宋体"/>
                <w:sz w:val="20"/>
                <w:szCs w:val="20"/>
              </w:rPr>
            </w:pPr>
            <w:r>
              <w:rPr>
                <w:rFonts w:ascii="宋体" w:hAnsi="宋体" w:eastAsia="宋体" w:cs="宋体"/>
                <w:spacing w:val="2"/>
                <w:sz w:val="20"/>
                <w:szCs w:val="20"/>
              </w:rPr>
              <w:t>自然环境</w:t>
            </w:r>
          </w:p>
        </w:tc>
        <w:tc>
          <w:tcPr>
            <w:tcW w:w="1258" w:type="dxa"/>
            <w:vAlign w:val="top"/>
          </w:tcPr>
          <w:p w14:paraId="41517BDD">
            <w:pPr>
              <w:spacing w:before="99" w:line="220" w:lineRule="auto"/>
              <w:ind w:left="206"/>
              <w:rPr>
                <w:rFonts w:ascii="宋体" w:hAnsi="宋体" w:eastAsia="宋体" w:cs="宋体"/>
                <w:sz w:val="20"/>
                <w:szCs w:val="20"/>
              </w:rPr>
            </w:pPr>
            <w:r>
              <w:rPr>
                <w:rFonts w:ascii="宋体" w:hAnsi="宋体" w:eastAsia="宋体" w:cs="宋体"/>
                <w:spacing w:val="-2"/>
                <w:sz w:val="20"/>
                <w:szCs w:val="20"/>
              </w:rPr>
              <w:t>诱发环境</w:t>
            </w:r>
          </w:p>
        </w:tc>
        <w:tc>
          <w:tcPr>
            <w:tcW w:w="1633" w:type="dxa"/>
            <w:vMerge w:val="continue"/>
            <w:tcBorders>
              <w:top w:val="nil"/>
            </w:tcBorders>
            <w:vAlign w:val="top"/>
          </w:tcPr>
          <w:p w14:paraId="5F06921D">
            <w:pPr>
              <w:pStyle w:val="6"/>
            </w:pPr>
          </w:p>
        </w:tc>
      </w:tr>
      <w:tr w14:paraId="0ACD4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083" w:type="dxa"/>
            <w:vMerge w:val="restart"/>
            <w:tcBorders>
              <w:bottom w:val="nil"/>
            </w:tcBorders>
            <w:vAlign w:val="top"/>
          </w:tcPr>
          <w:p w14:paraId="37E698C4">
            <w:pPr>
              <w:pStyle w:val="6"/>
              <w:spacing w:line="373" w:lineRule="auto"/>
            </w:pPr>
          </w:p>
          <w:p w14:paraId="7EE65A85">
            <w:pPr>
              <w:spacing w:before="65" w:line="219" w:lineRule="auto"/>
              <w:ind w:left="634"/>
              <w:rPr>
                <w:rFonts w:ascii="宋体" w:hAnsi="宋体" w:eastAsia="宋体" w:cs="宋体"/>
                <w:sz w:val="20"/>
                <w:szCs w:val="20"/>
              </w:rPr>
            </w:pPr>
            <w:r>
              <w:rPr>
                <w:rFonts w:ascii="宋体" w:hAnsi="宋体" w:eastAsia="宋体" w:cs="宋体"/>
                <w:spacing w:val="-2"/>
                <w:sz w:val="20"/>
                <w:szCs w:val="20"/>
              </w:rPr>
              <w:t>贮存阶段</w:t>
            </w:r>
          </w:p>
        </w:tc>
        <w:tc>
          <w:tcPr>
            <w:tcW w:w="3126" w:type="dxa"/>
            <w:vAlign w:val="top"/>
          </w:tcPr>
          <w:p w14:paraId="295E3B8D">
            <w:pPr>
              <w:spacing w:before="80" w:line="219" w:lineRule="auto"/>
              <w:ind w:left="121"/>
              <w:rPr>
                <w:rFonts w:ascii="宋体" w:hAnsi="宋体" w:eastAsia="宋体" w:cs="宋体"/>
                <w:sz w:val="20"/>
                <w:szCs w:val="20"/>
              </w:rPr>
            </w:pPr>
            <w:r>
              <w:rPr>
                <w:rFonts w:ascii="宋体" w:hAnsi="宋体" w:eastAsia="宋体" w:cs="宋体"/>
                <w:spacing w:val="-2"/>
                <w:sz w:val="20"/>
                <w:szCs w:val="20"/>
              </w:rPr>
              <w:t>仓库贮存</w:t>
            </w:r>
          </w:p>
        </w:tc>
        <w:tc>
          <w:tcPr>
            <w:tcW w:w="1259" w:type="dxa"/>
            <w:vAlign w:val="top"/>
          </w:tcPr>
          <w:p w14:paraId="457DE233">
            <w:pPr>
              <w:pStyle w:val="6"/>
            </w:pPr>
          </w:p>
        </w:tc>
        <w:tc>
          <w:tcPr>
            <w:tcW w:w="1258" w:type="dxa"/>
            <w:vAlign w:val="top"/>
          </w:tcPr>
          <w:p w14:paraId="40AD3653">
            <w:pPr>
              <w:pStyle w:val="6"/>
            </w:pPr>
          </w:p>
        </w:tc>
        <w:tc>
          <w:tcPr>
            <w:tcW w:w="1633" w:type="dxa"/>
            <w:vAlign w:val="top"/>
          </w:tcPr>
          <w:p w14:paraId="06C8DBA2">
            <w:pPr>
              <w:pStyle w:val="6"/>
            </w:pPr>
          </w:p>
        </w:tc>
      </w:tr>
      <w:tr w14:paraId="59DD5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083" w:type="dxa"/>
            <w:vMerge w:val="continue"/>
            <w:tcBorders>
              <w:top w:val="nil"/>
              <w:bottom w:val="nil"/>
            </w:tcBorders>
            <w:vAlign w:val="top"/>
          </w:tcPr>
          <w:p w14:paraId="7B0D179E">
            <w:pPr>
              <w:pStyle w:val="6"/>
            </w:pPr>
          </w:p>
        </w:tc>
        <w:tc>
          <w:tcPr>
            <w:tcW w:w="3126" w:type="dxa"/>
            <w:vAlign w:val="top"/>
          </w:tcPr>
          <w:p w14:paraId="0DCCFFC4">
            <w:pPr>
              <w:spacing w:before="80" w:line="219" w:lineRule="auto"/>
              <w:ind w:left="121"/>
              <w:rPr>
                <w:rFonts w:ascii="宋体" w:hAnsi="宋体" w:eastAsia="宋体" w:cs="宋体"/>
                <w:sz w:val="20"/>
                <w:szCs w:val="20"/>
              </w:rPr>
            </w:pPr>
            <w:r>
              <w:rPr>
                <w:rFonts w:ascii="宋体" w:hAnsi="宋体" w:eastAsia="宋体" w:cs="宋体"/>
                <w:spacing w:val="-2"/>
                <w:sz w:val="20"/>
                <w:szCs w:val="20"/>
              </w:rPr>
              <w:t>有遮蔽贮存</w:t>
            </w:r>
          </w:p>
        </w:tc>
        <w:tc>
          <w:tcPr>
            <w:tcW w:w="1259" w:type="dxa"/>
            <w:vAlign w:val="top"/>
          </w:tcPr>
          <w:p w14:paraId="579D73E9">
            <w:pPr>
              <w:pStyle w:val="6"/>
            </w:pPr>
          </w:p>
        </w:tc>
        <w:tc>
          <w:tcPr>
            <w:tcW w:w="1258" w:type="dxa"/>
            <w:vAlign w:val="top"/>
          </w:tcPr>
          <w:p w14:paraId="13D6C439">
            <w:pPr>
              <w:pStyle w:val="6"/>
            </w:pPr>
          </w:p>
        </w:tc>
        <w:tc>
          <w:tcPr>
            <w:tcW w:w="1633" w:type="dxa"/>
            <w:vAlign w:val="top"/>
          </w:tcPr>
          <w:p w14:paraId="50F2A812">
            <w:pPr>
              <w:pStyle w:val="6"/>
            </w:pPr>
          </w:p>
        </w:tc>
      </w:tr>
      <w:tr w14:paraId="32B6E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083" w:type="dxa"/>
            <w:vMerge w:val="continue"/>
            <w:tcBorders>
              <w:top w:val="nil"/>
            </w:tcBorders>
            <w:vAlign w:val="top"/>
          </w:tcPr>
          <w:p w14:paraId="52E2DB96">
            <w:pPr>
              <w:pStyle w:val="6"/>
            </w:pPr>
          </w:p>
        </w:tc>
        <w:tc>
          <w:tcPr>
            <w:tcW w:w="3126" w:type="dxa"/>
            <w:vAlign w:val="top"/>
          </w:tcPr>
          <w:p w14:paraId="24284C30">
            <w:pPr>
              <w:spacing w:before="80" w:line="219" w:lineRule="auto"/>
              <w:ind w:left="121"/>
              <w:rPr>
                <w:rFonts w:ascii="宋体" w:hAnsi="宋体" w:eastAsia="宋体" w:cs="宋体"/>
                <w:sz w:val="20"/>
                <w:szCs w:val="20"/>
              </w:rPr>
            </w:pPr>
            <w:r>
              <w:rPr>
                <w:rFonts w:ascii="宋体" w:hAnsi="宋体" w:eastAsia="宋体" w:cs="宋体"/>
                <w:spacing w:val="1"/>
                <w:sz w:val="20"/>
                <w:szCs w:val="20"/>
              </w:rPr>
              <w:t>敞开式贮存</w:t>
            </w:r>
          </w:p>
        </w:tc>
        <w:tc>
          <w:tcPr>
            <w:tcW w:w="1259" w:type="dxa"/>
            <w:vAlign w:val="top"/>
          </w:tcPr>
          <w:p w14:paraId="1E0E602E">
            <w:pPr>
              <w:pStyle w:val="6"/>
            </w:pPr>
          </w:p>
        </w:tc>
        <w:tc>
          <w:tcPr>
            <w:tcW w:w="1258" w:type="dxa"/>
            <w:vAlign w:val="top"/>
          </w:tcPr>
          <w:p w14:paraId="006EFD11">
            <w:pPr>
              <w:pStyle w:val="6"/>
            </w:pPr>
          </w:p>
        </w:tc>
        <w:tc>
          <w:tcPr>
            <w:tcW w:w="1633" w:type="dxa"/>
            <w:vAlign w:val="top"/>
          </w:tcPr>
          <w:p w14:paraId="43C277FE">
            <w:pPr>
              <w:pStyle w:val="6"/>
            </w:pPr>
          </w:p>
        </w:tc>
      </w:tr>
      <w:tr w14:paraId="7765F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083" w:type="dxa"/>
            <w:vMerge w:val="restart"/>
            <w:tcBorders>
              <w:bottom w:val="nil"/>
            </w:tcBorders>
            <w:vAlign w:val="top"/>
          </w:tcPr>
          <w:p w14:paraId="09D451DA">
            <w:pPr>
              <w:pStyle w:val="6"/>
              <w:spacing w:line="331" w:lineRule="auto"/>
            </w:pPr>
          </w:p>
          <w:p w14:paraId="1DB058FB">
            <w:pPr>
              <w:pStyle w:val="6"/>
              <w:spacing w:line="331" w:lineRule="auto"/>
            </w:pPr>
          </w:p>
          <w:p w14:paraId="4D649C01">
            <w:pPr>
              <w:spacing w:before="65" w:line="219" w:lineRule="auto"/>
              <w:ind w:left="634"/>
              <w:rPr>
                <w:rFonts w:ascii="宋体" w:hAnsi="宋体" w:eastAsia="宋体" w:cs="宋体"/>
                <w:sz w:val="20"/>
                <w:szCs w:val="20"/>
              </w:rPr>
            </w:pPr>
            <w:r>
              <w:rPr>
                <w:rFonts w:ascii="宋体" w:hAnsi="宋体" w:eastAsia="宋体" w:cs="宋体"/>
                <w:spacing w:val="-2"/>
                <w:sz w:val="20"/>
                <w:szCs w:val="20"/>
              </w:rPr>
              <w:t>运输阶段</w:t>
            </w:r>
          </w:p>
        </w:tc>
        <w:tc>
          <w:tcPr>
            <w:tcW w:w="3126" w:type="dxa"/>
            <w:vAlign w:val="top"/>
          </w:tcPr>
          <w:p w14:paraId="0E80C9DD">
            <w:pPr>
              <w:spacing w:before="111" w:line="219" w:lineRule="auto"/>
              <w:ind w:left="121"/>
              <w:rPr>
                <w:rFonts w:ascii="宋体" w:hAnsi="宋体" w:eastAsia="宋体" w:cs="宋体"/>
                <w:sz w:val="20"/>
                <w:szCs w:val="20"/>
              </w:rPr>
            </w:pPr>
            <w:r>
              <w:rPr>
                <w:rFonts w:ascii="宋体" w:hAnsi="宋体" w:eastAsia="宋体" w:cs="宋体"/>
                <w:spacing w:val="1"/>
                <w:sz w:val="20"/>
                <w:szCs w:val="20"/>
              </w:rPr>
              <w:t>公路运输</w:t>
            </w:r>
          </w:p>
        </w:tc>
        <w:tc>
          <w:tcPr>
            <w:tcW w:w="1259" w:type="dxa"/>
            <w:vAlign w:val="top"/>
          </w:tcPr>
          <w:p w14:paraId="7A86F1A6">
            <w:pPr>
              <w:pStyle w:val="6"/>
            </w:pPr>
          </w:p>
        </w:tc>
        <w:tc>
          <w:tcPr>
            <w:tcW w:w="1258" w:type="dxa"/>
            <w:vAlign w:val="top"/>
          </w:tcPr>
          <w:p w14:paraId="556D5AFF">
            <w:pPr>
              <w:pStyle w:val="6"/>
            </w:pPr>
          </w:p>
        </w:tc>
        <w:tc>
          <w:tcPr>
            <w:tcW w:w="1633" w:type="dxa"/>
            <w:vAlign w:val="top"/>
          </w:tcPr>
          <w:p w14:paraId="72D5E3FF">
            <w:pPr>
              <w:pStyle w:val="6"/>
            </w:pPr>
          </w:p>
        </w:tc>
      </w:tr>
      <w:tr w14:paraId="05107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083" w:type="dxa"/>
            <w:vMerge w:val="continue"/>
            <w:tcBorders>
              <w:top w:val="nil"/>
              <w:bottom w:val="nil"/>
            </w:tcBorders>
            <w:vAlign w:val="top"/>
          </w:tcPr>
          <w:p w14:paraId="72F585B2">
            <w:pPr>
              <w:pStyle w:val="6"/>
            </w:pPr>
          </w:p>
        </w:tc>
        <w:tc>
          <w:tcPr>
            <w:tcW w:w="3126" w:type="dxa"/>
            <w:vAlign w:val="top"/>
          </w:tcPr>
          <w:p w14:paraId="43C4C23D">
            <w:pPr>
              <w:spacing w:before="102" w:line="219" w:lineRule="auto"/>
              <w:ind w:left="121"/>
              <w:rPr>
                <w:rFonts w:ascii="宋体" w:hAnsi="宋体" w:eastAsia="宋体" w:cs="宋体"/>
                <w:sz w:val="20"/>
                <w:szCs w:val="20"/>
              </w:rPr>
            </w:pPr>
            <w:r>
              <w:rPr>
                <w:rFonts w:ascii="宋体" w:hAnsi="宋体" w:eastAsia="宋体" w:cs="宋体"/>
                <w:spacing w:val="-2"/>
                <w:sz w:val="20"/>
                <w:szCs w:val="20"/>
              </w:rPr>
              <w:t>铁路运输</w:t>
            </w:r>
          </w:p>
        </w:tc>
        <w:tc>
          <w:tcPr>
            <w:tcW w:w="1259" w:type="dxa"/>
            <w:vAlign w:val="top"/>
          </w:tcPr>
          <w:p w14:paraId="1B6403E0">
            <w:pPr>
              <w:pStyle w:val="6"/>
            </w:pPr>
          </w:p>
        </w:tc>
        <w:tc>
          <w:tcPr>
            <w:tcW w:w="1258" w:type="dxa"/>
            <w:vAlign w:val="top"/>
          </w:tcPr>
          <w:p w14:paraId="3F8AD0AA">
            <w:pPr>
              <w:pStyle w:val="6"/>
            </w:pPr>
          </w:p>
        </w:tc>
        <w:tc>
          <w:tcPr>
            <w:tcW w:w="1633" w:type="dxa"/>
            <w:vAlign w:val="top"/>
          </w:tcPr>
          <w:p w14:paraId="52C70E63">
            <w:pPr>
              <w:pStyle w:val="6"/>
            </w:pPr>
          </w:p>
        </w:tc>
      </w:tr>
      <w:tr w14:paraId="09D97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083" w:type="dxa"/>
            <w:vMerge w:val="continue"/>
            <w:tcBorders>
              <w:top w:val="nil"/>
              <w:bottom w:val="nil"/>
            </w:tcBorders>
            <w:vAlign w:val="top"/>
          </w:tcPr>
          <w:p w14:paraId="724A46BC">
            <w:pPr>
              <w:pStyle w:val="6"/>
            </w:pPr>
          </w:p>
        </w:tc>
        <w:tc>
          <w:tcPr>
            <w:tcW w:w="3126" w:type="dxa"/>
            <w:vAlign w:val="top"/>
          </w:tcPr>
          <w:p w14:paraId="4122E946">
            <w:pPr>
              <w:spacing w:before="113" w:line="219" w:lineRule="auto"/>
              <w:ind w:left="121"/>
              <w:rPr>
                <w:rFonts w:ascii="宋体" w:hAnsi="宋体" w:eastAsia="宋体" w:cs="宋体"/>
                <w:sz w:val="20"/>
                <w:szCs w:val="20"/>
              </w:rPr>
            </w:pPr>
            <w:r>
              <w:rPr>
                <w:rFonts w:ascii="宋体" w:hAnsi="宋体" w:eastAsia="宋体" w:cs="宋体"/>
                <w:spacing w:val="1"/>
                <w:sz w:val="20"/>
                <w:szCs w:val="20"/>
              </w:rPr>
              <w:t>空中运输</w:t>
            </w:r>
          </w:p>
        </w:tc>
        <w:tc>
          <w:tcPr>
            <w:tcW w:w="1259" w:type="dxa"/>
            <w:vAlign w:val="top"/>
          </w:tcPr>
          <w:p w14:paraId="2908B30A">
            <w:pPr>
              <w:pStyle w:val="6"/>
            </w:pPr>
          </w:p>
        </w:tc>
        <w:tc>
          <w:tcPr>
            <w:tcW w:w="1258" w:type="dxa"/>
            <w:vAlign w:val="top"/>
          </w:tcPr>
          <w:p w14:paraId="112730AE">
            <w:pPr>
              <w:pStyle w:val="6"/>
            </w:pPr>
          </w:p>
        </w:tc>
        <w:tc>
          <w:tcPr>
            <w:tcW w:w="1633" w:type="dxa"/>
            <w:vAlign w:val="top"/>
          </w:tcPr>
          <w:p w14:paraId="6968AF63">
            <w:pPr>
              <w:pStyle w:val="6"/>
            </w:pPr>
          </w:p>
        </w:tc>
      </w:tr>
      <w:tr w14:paraId="561E2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083" w:type="dxa"/>
            <w:vMerge w:val="continue"/>
            <w:tcBorders>
              <w:top w:val="nil"/>
            </w:tcBorders>
            <w:vAlign w:val="top"/>
          </w:tcPr>
          <w:p w14:paraId="048CAFBF">
            <w:pPr>
              <w:pStyle w:val="6"/>
            </w:pPr>
          </w:p>
        </w:tc>
        <w:tc>
          <w:tcPr>
            <w:tcW w:w="3126" w:type="dxa"/>
            <w:vAlign w:val="top"/>
          </w:tcPr>
          <w:p w14:paraId="4C37702E">
            <w:pPr>
              <w:spacing w:before="114" w:line="219" w:lineRule="auto"/>
              <w:ind w:left="121"/>
              <w:rPr>
                <w:rFonts w:ascii="宋体" w:hAnsi="宋体" w:eastAsia="宋体" w:cs="宋体"/>
                <w:sz w:val="20"/>
                <w:szCs w:val="20"/>
              </w:rPr>
            </w:pPr>
            <w:r>
              <w:rPr>
                <w:rFonts w:ascii="宋体" w:hAnsi="宋体" w:eastAsia="宋体" w:cs="宋体"/>
                <w:spacing w:val="-2"/>
                <w:sz w:val="20"/>
                <w:szCs w:val="20"/>
              </w:rPr>
              <w:t>水路运输</w:t>
            </w:r>
          </w:p>
        </w:tc>
        <w:tc>
          <w:tcPr>
            <w:tcW w:w="1259" w:type="dxa"/>
            <w:vAlign w:val="top"/>
          </w:tcPr>
          <w:p w14:paraId="77F06B1A">
            <w:pPr>
              <w:pStyle w:val="6"/>
            </w:pPr>
          </w:p>
        </w:tc>
        <w:tc>
          <w:tcPr>
            <w:tcW w:w="1258" w:type="dxa"/>
            <w:vAlign w:val="top"/>
          </w:tcPr>
          <w:p w14:paraId="1797925F">
            <w:pPr>
              <w:pStyle w:val="6"/>
            </w:pPr>
          </w:p>
        </w:tc>
        <w:tc>
          <w:tcPr>
            <w:tcW w:w="1633" w:type="dxa"/>
            <w:vAlign w:val="top"/>
          </w:tcPr>
          <w:p w14:paraId="3A67E433">
            <w:pPr>
              <w:pStyle w:val="6"/>
            </w:pPr>
          </w:p>
        </w:tc>
      </w:tr>
      <w:tr w14:paraId="26CD6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083" w:type="dxa"/>
            <w:vMerge w:val="restart"/>
            <w:tcBorders>
              <w:bottom w:val="nil"/>
            </w:tcBorders>
            <w:vAlign w:val="top"/>
          </w:tcPr>
          <w:p w14:paraId="3F121578">
            <w:pPr>
              <w:pStyle w:val="6"/>
              <w:spacing w:line="241" w:lineRule="auto"/>
            </w:pPr>
          </w:p>
          <w:p w14:paraId="39BDBC85">
            <w:pPr>
              <w:pStyle w:val="6"/>
              <w:spacing w:line="242" w:lineRule="auto"/>
            </w:pPr>
          </w:p>
          <w:p w14:paraId="1264CA69">
            <w:pPr>
              <w:pStyle w:val="6"/>
              <w:spacing w:line="242" w:lineRule="auto"/>
            </w:pPr>
          </w:p>
          <w:p w14:paraId="0DCD3280">
            <w:pPr>
              <w:pStyle w:val="6"/>
              <w:spacing w:line="242" w:lineRule="auto"/>
            </w:pPr>
          </w:p>
          <w:p w14:paraId="1A3E9D9E">
            <w:pPr>
              <w:pStyle w:val="6"/>
              <w:spacing w:line="242" w:lineRule="auto"/>
            </w:pPr>
          </w:p>
          <w:p w14:paraId="3EE85D5A">
            <w:pPr>
              <w:pStyle w:val="6"/>
              <w:spacing w:line="242" w:lineRule="auto"/>
            </w:pPr>
          </w:p>
          <w:p w14:paraId="10D7B29B">
            <w:pPr>
              <w:spacing w:before="65" w:line="219" w:lineRule="auto"/>
              <w:ind w:left="334"/>
              <w:rPr>
                <w:rFonts w:ascii="宋体" w:hAnsi="宋体" w:eastAsia="宋体" w:cs="宋体"/>
                <w:sz w:val="20"/>
                <w:szCs w:val="20"/>
              </w:rPr>
            </w:pPr>
            <w:r>
              <w:rPr>
                <w:rFonts w:ascii="宋体" w:hAnsi="宋体" w:eastAsia="宋体" w:cs="宋体"/>
                <w:spacing w:val="-2"/>
                <w:sz w:val="20"/>
                <w:szCs w:val="20"/>
              </w:rPr>
              <w:t>部署和使用阶段</w:t>
            </w:r>
          </w:p>
        </w:tc>
        <w:tc>
          <w:tcPr>
            <w:tcW w:w="3126" w:type="dxa"/>
            <w:vAlign w:val="top"/>
          </w:tcPr>
          <w:p w14:paraId="63CBB2DC">
            <w:pPr>
              <w:spacing w:before="75" w:line="219" w:lineRule="auto"/>
              <w:ind w:left="121"/>
              <w:rPr>
                <w:rFonts w:ascii="宋体" w:hAnsi="宋体" w:eastAsia="宋体" w:cs="宋体"/>
                <w:sz w:val="20"/>
                <w:szCs w:val="20"/>
              </w:rPr>
            </w:pPr>
            <w:r>
              <w:rPr>
                <w:rFonts w:ascii="宋体" w:hAnsi="宋体" w:eastAsia="宋体" w:cs="宋体"/>
                <w:spacing w:val="3"/>
                <w:sz w:val="20"/>
                <w:szCs w:val="20"/>
              </w:rPr>
              <w:t>人力运送和使用</w:t>
            </w:r>
          </w:p>
        </w:tc>
        <w:tc>
          <w:tcPr>
            <w:tcW w:w="1259" w:type="dxa"/>
            <w:vAlign w:val="top"/>
          </w:tcPr>
          <w:p w14:paraId="3E51CEF4">
            <w:pPr>
              <w:pStyle w:val="6"/>
            </w:pPr>
          </w:p>
        </w:tc>
        <w:tc>
          <w:tcPr>
            <w:tcW w:w="1258" w:type="dxa"/>
            <w:vAlign w:val="top"/>
          </w:tcPr>
          <w:p w14:paraId="03B38594">
            <w:pPr>
              <w:pStyle w:val="6"/>
            </w:pPr>
          </w:p>
        </w:tc>
        <w:tc>
          <w:tcPr>
            <w:tcW w:w="1633" w:type="dxa"/>
            <w:vAlign w:val="top"/>
          </w:tcPr>
          <w:p w14:paraId="0D7F5F3E">
            <w:pPr>
              <w:pStyle w:val="6"/>
            </w:pPr>
          </w:p>
        </w:tc>
      </w:tr>
      <w:tr w14:paraId="20504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083" w:type="dxa"/>
            <w:vMerge w:val="continue"/>
            <w:tcBorders>
              <w:top w:val="nil"/>
              <w:bottom w:val="nil"/>
            </w:tcBorders>
            <w:vAlign w:val="top"/>
          </w:tcPr>
          <w:p w14:paraId="2E62CA15">
            <w:pPr>
              <w:pStyle w:val="6"/>
            </w:pPr>
          </w:p>
        </w:tc>
        <w:tc>
          <w:tcPr>
            <w:tcW w:w="3126" w:type="dxa"/>
            <w:vAlign w:val="top"/>
          </w:tcPr>
          <w:p w14:paraId="458C01CE">
            <w:pPr>
              <w:spacing w:before="86" w:line="219" w:lineRule="auto"/>
              <w:ind w:left="121"/>
              <w:rPr>
                <w:rFonts w:ascii="宋体" w:hAnsi="宋体" w:eastAsia="宋体" w:cs="宋体"/>
                <w:sz w:val="20"/>
                <w:szCs w:val="20"/>
              </w:rPr>
            </w:pPr>
            <w:r>
              <w:rPr>
                <w:rFonts w:ascii="宋体" w:hAnsi="宋体" w:eastAsia="宋体" w:cs="宋体"/>
                <w:spacing w:val="-2"/>
                <w:sz w:val="20"/>
                <w:szCs w:val="20"/>
              </w:rPr>
              <w:t>各式车辆</w:t>
            </w:r>
          </w:p>
        </w:tc>
        <w:tc>
          <w:tcPr>
            <w:tcW w:w="1259" w:type="dxa"/>
            <w:vAlign w:val="top"/>
          </w:tcPr>
          <w:p w14:paraId="48682866">
            <w:pPr>
              <w:pStyle w:val="6"/>
            </w:pPr>
          </w:p>
        </w:tc>
        <w:tc>
          <w:tcPr>
            <w:tcW w:w="1258" w:type="dxa"/>
            <w:vAlign w:val="top"/>
          </w:tcPr>
          <w:p w14:paraId="02AC1099">
            <w:pPr>
              <w:pStyle w:val="6"/>
            </w:pPr>
          </w:p>
        </w:tc>
        <w:tc>
          <w:tcPr>
            <w:tcW w:w="1633" w:type="dxa"/>
            <w:vAlign w:val="top"/>
          </w:tcPr>
          <w:p w14:paraId="0D888850">
            <w:pPr>
              <w:pStyle w:val="6"/>
            </w:pPr>
          </w:p>
        </w:tc>
      </w:tr>
      <w:tr w14:paraId="3AAF6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083" w:type="dxa"/>
            <w:vMerge w:val="continue"/>
            <w:tcBorders>
              <w:top w:val="nil"/>
              <w:bottom w:val="nil"/>
            </w:tcBorders>
            <w:vAlign w:val="top"/>
          </w:tcPr>
          <w:p w14:paraId="4EE433DF">
            <w:pPr>
              <w:pStyle w:val="6"/>
            </w:pPr>
          </w:p>
        </w:tc>
        <w:tc>
          <w:tcPr>
            <w:tcW w:w="3126" w:type="dxa"/>
            <w:vAlign w:val="top"/>
          </w:tcPr>
          <w:p w14:paraId="440C12AF">
            <w:pPr>
              <w:spacing w:before="84" w:line="219" w:lineRule="auto"/>
              <w:ind w:left="121"/>
              <w:rPr>
                <w:rFonts w:ascii="宋体" w:hAnsi="宋体" w:eastAsia="宋体" w:cs="宋体"/>
                <w:sz w:val="20"/>
                <w:szCs w:val="20"/>
              </w:rPr>
            </w:pPr>
            <w:r>
              <w:rPr>
                <w:rFonts w:ascii="宋体" w:hAnsi="宋体" w:eastAsia="宋体" w:cs="宋体"/>
                <w:sz w:val="20"/>
                <w:szCs w:val="20"/>
              </w:rPr>
              <w:t>固定翼飞机和直升机</w:t>
            </w:r>
          </w:p>
        </w:tc>
        <w:tc>
          <w:tcPr>
            <w:tcW w:w="1259" w:type="dxa"/>
            <w:vAlign w:val="top"/>
          </w:tcPr>
          <w:p w14:paraId="52044E60">
            <w:pPr>
              <w:pStyle w:val="6"/>
            </w:pPr>
          </w:p>
        </w:tc>
        <w:tc>
          <w:tcPr>
            <w:tcW w:w="1258" w:type="dxa"/>
            <w:vAlign w:val="top"/>
          </w:tcPr>
          <w:p w14:paraId="75A464EB">
            <w:pPr>
              <w:pStyle w:val="6"/>
            </w:pPr>
          </w:p>
        </w:tc>
        <w:tc>
          <w:tcPr>
            <w:tcW w:w="1633" w:type="dxa"/>
            <w:vAlign w:val="top"/>
          </w:tcPr>
          <w:p w14:paraId="3CA11B0B">
            <w:pPr>
              <w:pStyle w:val="6"/>
            </w:pPr>
          </w:p>
        </w:tc>
      </w:tr>
      <w:tr w14:paraId="64EA6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083" w:type="dxa"/>
            <w:vMerge w:val="continue"/>
            <w:tcBorders>
              <w:top w:val="nil"/>
              <w:bottom w:val="nil"/>
            </w:tcBorders>
            <w:vAlign w:val="top"/>
          </w:tcPr>
          <w:p w14:paraId="76E0B098">
            <w:pPr>
              <w:pStyle w:val="6"/>
            </w:pPr>
          </w:p>
        </w:tc>
        <w:tc>
          <w:tcPr>
            <w:tcW w:w="3126" w:type="dxa"/>
            <w:vAlign w:val="top"/>
          </w:tcPr>
          <w:p w14:paraId="49B00181">
            <w:pPr>
              <w:spacing w:before="86" w:line="219" w:lineRule="auto"/>
              <w:ind w:left="121"/>
              <w:rPr>
                <w:rFonts w:ascii="宋体" w:hAnsi="宋体" w:eastAsia="宋体" w:cs="宋体"/>
                <w:sz w:val="20"/>
                <w:szCs w:val="20"/>
              </w:rPr>
            </w:pPr>
            <w:r>
              <w:rPr>
                <w:rFonts w:ascii="宋体" w:hAnsi="宋体" w:eastAsia="宋体" w:cs="宋体"/>
                <w:spacing w:val="-1"/>
                <w:sz w:val="20"/>
                <w:szCs w:val="20"/>
              </w:rPr>
              <w:t>舰船和潜艇</w:t>
            </w:r>
          </w:p>
        </w:tc>
        <w:tc>
          <w:tcPr>
            <w:tcW w:w="1259" w:type="dxa"/>
            <w:vAlign w:val="top"/>
          </w:tcPr>
          <w:p w14:paraId="162DC080">
            <w:pPr>
              <w:pStyle w:val="6"/>
            </w:pPr>
          </w:p>
        </w:tc>
        <w:tc>
          <w:tcPr>
            <w:tcW w:w="1258" w:type="dxa"/>
            <w:vAlign w:val="top"/>
          </w:tcPr>
          <w:p w14:paraId="68C1C723">
            <w:pPr>
              <w:pStyle w:val="6"/>
            </w:pPr>
          </w:p>
        </w:tc>
        <w:tc>
          <w:tcPr>
            <w:tcW w:w="1633" w:type="dxa"/>
            <w:vAlign w:val="top"/>
          </w:tcPr>
          <w:p w14:paraId="4148D5FD">
            <w:pPr>
              <w:pStyle w:val="6"/>
            </w:pPr>
          </w:p>
        </w:tc>
      </w:tr>
      <w:tr w14:paraId="20C20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083" w:type="dxa"/>
            <w:vMerge w:val="continue"/>
            <w:tcBorders>
              <w:top w:val="nil"/>
              <w:bottom w:val="nil"/>
            </w:tcBorders>
            <w:vAlign w:val="top"/>
          </w:tcPr>
          <w:p w14:paraId="3B73A301">
            <w:pPr>
              <w:pStyle w:val="6"/>
            </w:pPr>
          </w:p>
        </w:tc>
        <w:tc>
          <w:tcPr>
            <w:tcW w:w="3126" w:type="dxa"/>
            <w:vAlign w:val="top"/>
          </w:tcPr>
          <w:p w14:paraId="46506224">
            <w:pPr>
              <w:spacing w:before="87" w:line="220" w:lineRule="auto"/>
              <w:ind w:left="121"/>
              <w:rPr>
                <w:rFonts w:ascii="宋体" w:hAnsi="宋体" w:eastAsia="宋体" w:cs="宋体"/>
                <w:sz w:val="20"/>
                <w:szCs w:val="20"/>
              </w:rPr>
            </w:pPr>
            <w:r>
              <w:rPr>
                <w:rFonts w:ascii="宋体" w:hAnsi="宋体" w:eastAsia="宋体" w:cs="宋体"/>
                <w:spacing w:val="1"/>
                <w:sz w:val="20"/>
                <w:szCs w:val="20"/>
              </w:rPr>
              <w:t>固定式装备</w:t>
            </w:r>
          </w:p>
        </w:tc>
        <w:tc>
          <w:tcPr>
            <w:tcW w:w="1259" w:type="dxa"/>
            <w:vAlign w:val="top"/>
          </w:tcPr>
          <w:p w14:paraId="7348A949">
            <w:pPr>
              <w:pStyle w:val="6"/>
            </w:pPr>
          </w:p>
        </w:tc>
        <w:tc>
          <w:tcPr>
            <w:tcW w:w="1258" w:type="dxa"/>
            <w:vAlign w:val="top"/>
          </w:tcPr>
          <w:p w14:paraId="2334D13A">
            <w:pPr>
              <w:pStyle w:val="6"/>
            </w:pPr>
          </w:p>
        </w:tc>
        <w:tc>
          <w:tcPr>
            <w:tcW w:w="1633" w:type="dxa"/>
            <w:vAlign w:val="top"/>
          </w:tcPr>
          <w:p w14:paraId="4EDFB968">
            <w:pPr>
              <w:pStyle w:val="6"/>
            </w:pPr>
          </w:p>
        </w:tc>
      </w:tr>
      <w:tr w14:paraId="608B0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083" w:type="dxa"/>
            <w:vMerge w:val="continue"/>
            <w:tcBorders>
              <w:top w:val="nil"/>
              <w:bottom w:val="nil"/>
            </w:tcBorders>
            <w:vAlign w:val="top"/>
          </w:tcPr>
          <w:p w14:paraId="24C85019">
            <w:pPr>
              <w:pStyle w:val="6"/>
            </w:pPr>
          </w:p>
        </w:tc>
        <w:tc>
          <w:tcPr>
            <w:tcW w:w="3126" w:type="dxa"/>
            <w:vAlign w:val="top"/>
          </w:tcPr>
          <w:p w14:paraId="1D12B60A">
            <w:pPr>
              <w:spacing w:before="85" w:line="219" w:lineRule="auto"/>
              <w:ind w:left="121"/>
              <w:rPr>
                <w:rFonts w:ascii="宋体" w:hAnsi="宋体" w:eastAsia="宋体" w:cs="宋体"/>
                <w:sz w:val="20"/>
                <w:szCs w:val="20"/>
              </w:rPr>
            </w:pPr>
            <w:r>
              <w:rPr>
                <w:rFonts w:ascii="宋体" w:hAnsi="宋体" w:eastAsia="宋体" w:cs="宋体"/>
                <w:spacing w:val="2"/>
                <w:sz w:val="20"/>
                <w:szCs w:val="20"/>
              </w:rPr>
              <w:t>导弹火箭</w:t>
            </w:r>
          </w:p>
        </w:tc>
        <w:tc>
          <w:tcPr>
            <w:tcW w:w="1259" w:type="dxa"/>
            <w:vAlign w:val="top"/>
          </w:tcPr>
          <w:p w14:paraId="4AF4328C">
            <w:pPr>
              <w:pStyle w:val="6"/>
            </w:pPr>
          </w:p>
        </w:tc>
        <w:tc>
          <w:tcPr>
            <w:tcW w:w="1258" w:type="dxa"/>
            <w:vAlign w:val="top"/>
          </w:tcPr>
          <w:p w14:paraId="6690959E">
            <w:pPr>
              <w:pStyle w:val="6"/>
            </w:pPr>
          </w:p>
        </w:tc>
        <w:tc>
          <w:tcPr>
            <w:tcW w:w="1633" w:type="dxa"/>
            <w:vAlign w:val="top"/>
          </w:tcPr>
          <w:p w14:paraId="34BC476D">
            <w:pPr>
              <w:pStyle w:val="6"/>
            </w:pPr>
          </w:p>
        </w:tc>
      </w:tr>
      <w:tr w14:paraId="4A432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083" w:type="dxa"/>
            <w:vMerge w:val="continue"/>
            <w:tcBorders>
              <w:top w:val="nil"/>
              <w:bottom w:val="nil"/>
            </w:tcBorders>
            <w:vAlign w:val="top"/>
          </w:tcPr>
          <w:p w14:paraId="283E75AC">
            <w:pPr>
              <w:pStyle w:val="6"/>
            </w:pPr>
          </w:p>
        </w:tc>
        <w:tc>
          <w:tcPr>
            <w:tcW w:w="3126" w:type="dxa"/>
            <w:vAlign w:val="top"/>
          </w:tcPr>
          <w:p w14:paraId="4404FFC3">
            <w:pPr>
              <w:spacing w:before="85" w:line="219" w:lineRule="auto"/>
              <w:ind w:left="121"/>
              <w:rPr>
                <w:rFonts w:ascii="宋体" w:hAnsi="宋体" w:eastAsia="宋体" w:cs="宋体"/>
                <w:sz w:val="20"/>
                <w:szCs w:val="20"/>
              </w:rPr>
            </w:pPr>
            <w:r>
              <w:rPr>
                <w:rFonts w:ascii="宋体" w:hAnsi="宋体" w:eastAsia="宋体" w:cs="宋体"/>
                <w:spacing w:val="-2"/>
                <w:sz w:val="20"/>
                <w:szCs w:val="20"/>
              </w:rPr>
              <w:t>鱼雷、水下发射导弹</w:t>
            </w:r>
          </w:p>
        </w:tc>
        <w:tc>
          <w:tcPr>
            <w:tcW w:w="1259" w:type="dxa"/>
            <w:vAlign w:val="top"/>
          </w:tcPr>
          <w:p w14:paraId="74B88392">
            <w:pPr>
              <w:pStyle w:val="6"/>
            </w:pPr>
          </w:p>
        </w:tc>
        <w:tc>
          <w:tcPr>
            <w:tcW w:w="1258" w:type="dxa"/>
            <w:vAlign w:val="top"/>
          </w:tcPr>
          <w:p w14:paraId="595B2F00">
            <w:pPr>
              <w:pStyle w:val="6"/>
            </w:pPr>
          </w:p>
        </w:tc>
        <w:tc>
          <w:tcPr>
            <w:tcW w:w="1633" w:type="dxa"/>
            <w:vAlign w:val="top"/>
          </w:tcPr>
          <w:p w14:paraId="55DAE2A8">
            <w:pPr>
              <w:pStyle w:val="6"/>
            </w:pPr>
          </w:p>
        </w:tc>
      </w:tr>
      <w:tr w14:paraId="42169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083" w:type="dxa"/>
            <w:vMerge w:val="continue"/>
            <w:tcBorders>
              <w:top w:val="nil"/>
              <w:bottom w:val="nil"/>
            </w:tcBorders>
            <w:vAlign w:val="top"/>
          </w:tcPr>
          <w:p w14:paraId="40AC67B4">
            <w:pPr>
              <w:pStyle w:val="6"/>
            </w:pPr>
          </w:p>
        </w:tc>
        <w:tc>
          <w:tcPr>
            <w:tcW w:w="3126" w:type="dxa"/>
            <w:vAlign w:val="top"/>
          </w:tcPr>
          <w:p w14:paraId="5C85D490">
            <w:pPr>
              <w:spacing w:before="86" w:line="219" w:lineRule="auto"/>
              <w:ind w:left="121"/>
              <w:rPr>
                <w:rFonts w:ascii="宋体" w:hAnsi="宋体" w:eastAsia="宋体" w:cs="宋体"/>
                <w:sz w:val="20"/>
                <w:szCs w:val="20"/>
              </w:rPr>
            </w:pPr>
            <w:r>
              <w:rPr>
                <w:rFonts w:ascii="宋体" w:hAnsi="宋体" w:eastAsia="宋体" w:cs="宋体"/>
                <w:spacing w:val="-3"/>
                <w:sz w:val="20"/>
                <w:szCs w:val="20"/>
              </w:rPr>
              <w:t>炮弹</w:t>
            </w:r>
          </w:p>
        </w:tc>
        <w:tc>
          <w:tcPr>
            <w:tcW w:w="1259" w:type="dxa"/>
            <w:vAlign w:val="top"/>
          </w:tcPr>
          <w:p w14:paraId="6D1925AE">
            <w:pPr>
              <w:pStyle w:val="6"/>
            </w:pPr>
          </w:p>
        </w:tc>
        <w:tc>
          <w:tcPr>
            <w:tcW w:w="1258" w:type="dxa"/>
            <w:vAlign w:val="top"/>
          </w:tcPr>
          <w:p w14:paraId="3842D447">
            <w:pPr>
              <w:pStyle w:val="6"/>
            </w:pPr>
          </w:p>
        </w:tc>
        <w:tc>
          <w:tcPr>
            <w:tcW w:w="1633" w:type="dxa"/>
            <w:vAlign w:val="top"/>
          </w:tcPr>
          <w:p w14:paraId="0D41DD56">
            <w:pPr>
              <w:pStyle w:val="6"/>
            </w:pPr>
          </w:p>
        </w:tc>
      </w:tr>
      <w:tr w14:paraId="60D6D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083" w:type="dxa"/>
            <w:vMerge w:val="continue"/>
            <w:tcBorders>
              <w:top w:val="nil"/>
            </w:tcBorders>
            <w:vAlign w:val="top"/>
          </w:tcPr>
          <w:p w14:paraId="4D1902E0">
            <w:pPr>
              <w:pStyle w:val="6"/>
            </w:pPr>
          </w:p>
        </w:tc>
        <w:tc>
          <w:tcPr>
            <w:tcW w:w="3126" w:type="dxa"/>
            <w:vAlign w:val="top"/>
          </w:tcPr>
          <w:p w14:paraId="1694A6CE">
            <w:pPr>
              <w:spacing w:before="88" w:line="220" w:lineRule="auto"/>
              <w:ind w:left="121"/>
              <w:rPr>
                <w:rFonts w:ascii="宋体" w:hAnsi="宋体" w:eastAsia="宋体" w:cs="宋体"/>
                <w:sz w:val="20"/>
                <w:szCs w:val="20"/>
              </w:rPr>
            </w:pPr>
            <w:r>
              <w:rPr>
                <w:rFonts w:ascii="宋体" w:hAnsi="宋体" w:eastAsia="宋体" w:cs="宋体"/>
                <w:spacing w:val="-2"/>
                <w:sz w:val="20"/>
                <w:szCs w:val="20"/>
              </w:rPr>
              <w:t>其他装备</w:t>
            </w:r>
          </w:p>
        </w:tc>
        <w:tc>
          <w:tcPr>
            <w:tcW w:w="1259" w:type="dxa"/>
            <w:vAlign w:val="top"/>
          </w:tcPr>
          <w:p w14:paraId="3F7EA3F7">
            <w:pPr>
              <w:pStyle w:val="6"/>
            </w:pPr>
          </w:p>
        </w:tc>
        <w:tc>
          <w:tcPr>
            <w:tcW w:w="1258" w:type="dxa"/>
            <w:vAlign w:val="top"/>
          </w:tcPr>
          <w:p w14:paraId="243854EC">
            <w:pPr>
              <w:pStyle w:val="6"/>
            </w:pPr>
          </w:p>
        </w:tc>
        <w:tc>
          <w:tcPr>
            <w:tcW w:w="1633" w:type="dxa"/>
            <w:vAlign w:val="top"/>
          </w:tcPr>
          <w:p w14:paraId="41E55D80">
            <w:pPr>
              <w:pStyle w:val="6"/>
            </w:pPr>
          </w:p>
        </w:tc>
      </w:tr>
    </w:tbl>
    <w:p w14:paraId="1F694287">
      <w:pPr>
        <w:spacing w:line="198" w:lineRule="exact"/>
        <w:rPr>
          <w:rFonts w:ascii="Arial"/>
          <w:sz w:val="17"/>
        </w:rPr>
      </w:pPr>
    </w:p>
    <w:p w14:paraId="44DD4DEE">
      <w:pPr>
        <w:spacing w:line="198" w:lineRule="exact"/>
        <w:rPr>
          <w:rFonts w:ascii="Arial" w:hAnsi="Arial" w:eastAsia="Arial" w:cs="Arial"/>
          <w:sz w:val="17"/>
          <w:szCs w:val="17"/>
        </w:rPr>
        <w:sectPr>
          <w:footerReference r:id="rId579" w:type="default"/>
          <w:pgSz w:w="11910" w:h="17130"/>
          <w:pgMar w:top="400" w:right="1265" w:bottom="1686" w:left="1160" w:header="0" w:footer="1497" w:gutter="0"/>
          <w:cols w:space="720" w:num="1"/>
        </w:sectPr>
      </w:pPr>
    </w:p>
    <w:p w14:paraId="23CDAF0B">
      <w:pPr>
        <w:spacing w:line="280" w:lineRule="auto"/>
        <w:rPr>
          <w:rFonts w:ascii="Arial"/>
          <w:sz w:val="21"/>
        </w:rPr>
      </w:pPr>
    </w:p>
    <w:p w14:paraId="51453F58">
      <w:pPr>
        <w:spacing w:line="281" w:lineRule="auto"/>
        <w:rPr>
          <w:rFonts w:ascii="Arial"/>
          <w:sz w:val="21"/>
        </w:rPr>
      </w:pPr>
    </w:p>
    <w:p w14:paraId="0E43D0BE">
      <w:pPr>
        <w:spacing w:line="281" w:lineRule="auto"/>
        <w:rPr>
          <w:rFonts w:ascii="Arial"/>
          <w:sz w:val="21"/>
        </w:rPr>
      </w:pPr>
    </w:p>
    <w:p w14:paraId="6DD12610">
      <w:pPr>
        <w:spacing w:line="281" w:lineRule="auto"/>
        <w:rPr>
          <w:rFonts w:ascii="Arial"/>
          <w:sz w:val="21"/>
        </w:rPr>
      </w:pPr>
    </w:p>
    <w:p w14:paraId="276DA0EE">
      <w:pPr>
        <w:spacing w:line="281" w:lineRule="auto"/>
        <w:rPr>
          <w:rFonts w:ascii="Arial"/>
          <w:sz w:val="21"/>
        </w:rPr>
      </w:pPr>
    </w:p>
    <w:p w14:paraId="4C24B4A5">
      <w:pPr>
        <w:pStyle w:val="2"/>
        <w:spacing w:before="117" w:line="219" w:lineRule="auto"/>
        <w:ind w:left="3050"/>
        <w:rPr>
          <w:sz w:val="36"/>
          <w:szCs w:val="36"/>
        </w:rPr>
      </w:pPr>
      <w:r>
        <w:rPr>
          <w:sz w:val="36"/>
          <w:szCs w:val="36"/>
        </w:rPr>
        <w:t>12.3</w:t>
      </w:r>
      <w:r>
        <w:rPr>
          <w:spacing w:val="18"/>
          <w:sz w:val="36"/>
          <w:szCs w:val="36"/>
        </w:rPr>
        <w:t xml:space="preserve">  </w:t>
      </w:r>
      <w:r>
        <w:rPr>
          <w:b/>
          <w:bCs/>
          <w:sz w:val="36"/>
          <w:szCs w:val="36"/>
        </w:rPr>
        <w:t>使用环境文件</w:t>
      </w:r>
    </w:p>
    <w:p w14:paraId="4CEFF2B9">
      <w:pPr>
        <w:spacing w:line="348" w:lineRule="auto"/>
        <w:rPr>
          <w:rFonts w:ascii="Arial"/>
          <w:sz w:val="21"/>
        </w:rPr>
      </w:pPr>
    </w:p>
    <w:p w14:paraId="491F0EF7">
      <w:pPr>
        <w:pStyle w:val="2"/>
        <w:spacing w:before="91" w:line="226" w:lineRule="auto"/>
        <w:ind w:left="57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4239—2001</w:t>
      </w:r>
      <w:r>
        <w:rPr>
          <w:spacing w:val="-11"/>
          <w:sz w:val="28"/>
          <w:szCs w:val="28"/>
        </w:rPr>
        <w:t>《</w:t>
      </w:r>
      <w:r>
        <w:rPr>
          <w:rFonts w:ascii="楷体" w:hAnsi="楷体" w:eastAsia="楷体" w:cs="楷体"/>
          <w:spacing w:val="-11"/>
          <w:sz w:val="28"/>
          <w:szCs w:val="28"/>
        </w:rPr>
        <w:t>装备环境工程通用要求》编写。</w:t>
      </w:r>
    </w:p>
    <w:p w14:paraId="36B46D2B">
      <w:pPr>
        <w:spacing w:before="90" w:line="223" w:lineRule="auto"/>
        <w:rPr>
          <w:rFonts w:ascii="黑体" w:hAnsi="黑体" w:eastAsia="黑体" w:cs="黑体"/>
          <w:sz w:val="27"/>
          <w:szCs w:val="27"/>
        </w:rPr>
      </w:pPr>
      <w:r>
        <w:rPr>
          <w:rFonts w:ascii="黑体" w:hAnsi="黑体" w:eastAsia="黑体" w:cs="黑体"/>
          <w:sz w:val="27"/>
          <w:szCs w:val="27"/>
        </w:rPr>
        <w:t>1</w:t>
      </w:r>
      <w:r>
        <w:rPr>
          <w:rFonts w:ascii="黑体" w:hAnsi="黑体" w:eastAsia="黑体" w:cs="黑体"/>
          <w:spacing w:val="21"/>
          <w:sz w:val="27"/>
          <w:szCs w:val="27"/>
        </w:rPr>
        <w:t xml:space="preserve">  </w:t>
      </w:r>
      <w:r>
        <w:rPr>
          <w:rFonts w:ascii="黑体" w:hAnsi="黑体" w:eastAsia="黑体" w:cs="黑体"/>
          <w:sz w:val="27"/>
          <w:szCs w:val="27"/>
        </w:rPr>
        <w:t>目的和用途</w:t>
      </w:r>
    </w:p>
    <w:p w14:paraId="396134AD">
      <w:pPr>
        <w:pStyle w:val="2"/>
        <w:spacing w:before="73" w:line="219" w:lineRule="auto"/>
        <w:ind w:left="570"/>
      </w:pPr>
      <w:r>
        <w:rPr>
          <w:spacing w:val="3"/>
        </w:rPr>
        <w:t>说明编制使用环境文件的目的和用途。</w:t>
      </w:r>
    </w:p>
    <w:p w14:paraId="2F64E100">
      <w:pPr>
        <w:pStyle w:val="2"/>
        <w:spacing w:before="90" w:line="282" w:lineRule="auto"/>
        <w:ind w:right="23" w:firstLine="570"/>
      </w:pPr>
      <w:r>
        <w:rPr>
          <w:spacing w:val="6"/>
        </w:rPr>
        <w:t>编写使用环境文件的目的是提供一套完整而规范的寿命期遇到各种环</w:t>
      </w:r>
      <w:r>
        <w:rPr>
          <w:spacing w:val="5"/>
        </w:rPr>
        <w:t>境的</w:t>
      </w:r>
      <w:r>
        <w:t xml:space="preserve"> </w:t>
      </w:r>
      <w:r>
        <w:rPr>
          <w:spacing w:val="-3"/>
        </w:rPr>
        <w:t>数据，以便在此基础上，分析环境对产品的影响，并根据其对产品影响的严重程</w:t>
      </w:r>
      <w:r>
        <w:rPr>
          <w:spacing w:val="13"/>
        </w:rPr>
        <w:t xml:space="preserve"> </w:t>
      </w:r>
      <w:r>
        <w:rPr>
          <w:spacing w:val="-3"/>
        </w:rPr>
        <w:t>度、环境量值的严酷度和出现频度，进一步确定要考虑的环境类型及其量值。</w:t>
      </w:r>
    </w:p>
    <w:p w14:paraId="76729150">
      <w:pPr>
        <w:spacing w:before="1" w:line="220" w:lineRule="auto"/>
        <w:rPr>
          <w:rFonts w:ascii="黑体" w:hAnsi="黑体" w:eastAsia="黑体" w:cs="黑体"/>
          <w:sz w:val="27"/>
          <w:szCs w:val="27"/>
        </w:rPr>
      </w:pPr>
      <w:r>
        <w:rPr>
          <w:rFonts w:ascii="黑体" w:hAnsi="黑体" w:eastAsia="黑体" w:cs="黑体"/>
          <w:spacing w:val="4"/>
          <w:sz w:val="27"/>
          <w:szCs w:val="27"/>
        </w:rPr>
        <w:t>2</w:t>
      </w:r>
      <w:r>
        <w:rPr>
          <w:rFonts w:ascii="黑体" w:hAnsi="黑体" w:eastAsia="黑体" w:cs="黑体"/>
          <w:spacing w:val="13"/>
          <w:sz w:val="27"/>
          <w:szCs w:val="27"/>
        </w:rPr>
        <w:t xml:space="preserve">  </w:t>
      </w:r>
      <w:r>
        <w:rPr>
          <w:rFonts w:ascii="黑体" w:hAnsi="黑体" w:eastAsia="黑体" w:cs="黑体"/>
          <w:spacing w:val="4"/>
          <w:sz w:val="27"/>
          <w:szCs w:val="27"/>
        </w:rPr>
        <w:t>编制依据</w:t>
      </w:r>
    </w:p>
    <w:p w14:paraId="33ECB653">
      <w:pPr>
        <w:pStyle w:val="2"/>
        <w:spacing w:before="118" w:line="305" w:lineRule="auto"/>
        <w:ind w:right="58" w:firstLine="570"/>
        <w:rPr>
          <w:sz w:val="25"/>
          <w:szCs w:val="25"/>
        </w:rPr>
      </w:pPr>
      <w:r>
        <w:rPr>
          <w:spacing w:val="25"/>
          <w:sz w:val="25"/>
          <w:szCs w:val="25"/>
        </w:rPr>
        <w:t>说明编制该文件所依据的各种文件和标准。依据的文件一般应</w:t>
      </w:r>
      <w:r>
        <w:rPr>
          <w:spacing w:val="24"/>
          <w:sz w:val="25"/>
          <w:szCs w:val="25"/>
        </w:rPr>
        <w:t>包括寿命期</w:t>
      </w:r>
      <w:r>
        <w:rPr>
          <w:sz w:val="25"/>
          <w:szCs w:val="25"/>
        </w:rPr>
        <w:t xml:space="preserve"> </w:t>
      </w:r>
      <w:r>
        <w:rPr>
          <w:spacing w:val="23"/>
          <w:sz w:val="25"/>
          <w:szCs w:val="25"/>
        </w:rPr>
        <w:t>环境剖面和通用的自然环境极值数据标准。</w:t>
      </w:r>
    </w:p>
    <w:p w14:paraId="0D02D5A4">
      <w:pPr>
        <w:spacing w:before="12" w:line="222" w:lineRule="auto"/>
        <w:rPr>
          <w:rFonts w:ascii="黑体" w:hAnsi="黑体" w:eastAsia="黑体" w:cs="黑体"/>
          <w:sz w:val="24"/>
          <w:szCs w:val="24"/>
        </w:rPr>
      </w:pPr>
      <w:r>
        <w:rPr>
          <w:rFonts w:ascii="黑体" w:hAnsi="黑体" w:eastAsia="黑体" w:cs="黑体"/>
          <w:spacing w:val="31"/>
          <w:sz w:val="24"/>
          <w:szCs w:val="24"/>
        </w:rPr>
        <w:t>3</w:t>
      </w:r>
      <w:r>
        <w:rPr>
          <w:rFonts w:ascii="黑体" w:hAnsi="黑体" w:eastAsia="黑体" w:cs="黑体"/>
          <w:spacing w:val="35"/>
          <w:sz w:val="24"/>
          <w:szCs w:val="24"/>
        </w:rPr>
        <w:t xml:space="preserve">  </w:t>
      </w:r>
      <w:r>
        <w:rPr>
          <w:rFonts w:ascii="黑体" w:hAnsi="黑体" w:eastAsia="黑体" w:cs="黑体"/>
          <w:spacing w:val="31"/>
          <w:sz w:val="24"/>
          <w:szCs w:val="24"/>
        </w:rPr>
        <w:t>使用环境数据表</w:t>
      </w:r>
    </w:p>
    <w:p w14:paraId="08E22594">
      <w:pPr>
        <w:pStyle w:val="2"/>
        <w:spacing w:before="91" w:line="280" w:lineRule="auto"/>
        <w:ind w:right="16" w:firstLine="570"/>
        <w:jc w:val="both"/>
      </w:pPr>
      <w:r>
        <w:rPr>
          <w:spacing w:val="6"/>
        </w:rPr>
        <w:t>应通过环境数据收集和测量工作来获取各种使</w:t>
      </w:r>
      <w:r>
        <w:rPr>
          <w:spacing w:val="5"/>
        </w:rPr>
        <w:t>用环境数据，并纳入环境数</w:t>
      </w:r>
      <w:r>
        <w:t xml:space="preserve"> </w:t>
      </w:r>
      <w:r>
        <w:rPr>
          <w:spacing w:val="-3"/>
        </w:rPr>
        <w:t>据库，其内容包括使用地域、空域、海域在不同时间范围内可能遇到的自然环境</w:t>
      </w:r>
      <w:r>
        <w:rPr>
          <w:spacing w:val="15"/>
        </w:rPr>
        <w:t xml:space="preserve"> </w:t>
      </w:r>
      <w:r>
        <w:rPr>
          <w:spacing w:val="-1"/>
        </w:rPr>
        <w:t>数据和使用过程中装备外部和内部各区域(舱、段、区等)可能出现的诱</w:t>
      </w:r>
      <w:r>
        <w:rPr>
          <w:spacing w:val="-2"/>
        </w:rPr>
        <w:t>发(平台)</w:t>
      </w:r>
      <w:r>
        <w:t xml:space="preserve"> </w:t>
      </w:r>
      <w:r>
        <w:rPr>
          <w:spacing w:val="5"/>
        </w:rPr>
        <w:t>环境数据。应对每一组环境数据进行标识，并将每一数据标识和数据对应状态</w:t>
      </w:r>
      <w:r>
        <w:rPr>
          <w:spacing w:val="12"/>
        </w:rPr>
        <w:t xml:space="preserve"> </w:t>
      </w:r>
      <w:r>
        <w:rPr>
          <w:spacing w:val="-2"/>
        </w:rPr>
        <w:t>(包括所收集数据的时间、地点、对象及其对</w:t>
      </w:r>
      <w:r>
        <w:rPr>
          <w:spacing w:val="-3"/>
        </w:rPr>
        <w:t>应事件等)填入使用环境数据表。使</w:t>
      </w:r>
      <w:r>
        <w:t xml:space="preserve"> </w:t>
      </w:r>
      <w:r>
        <w:rPr>
          <w:spacing w:val="9"/>
        </w:rPr>
        <w:t>用环境数据表格式见表12.2。</w:t>
      </w:r>
    </w:p>
    <w:p w14:paraId="549B836F">
      <w:pPr>
        <w:spacing w:before="24" w:line="222" w:lineRule="auto"/>
        <w:ind w:left="2910"/>
        <w:rPr>
          <w:rFonts w:ascii="仿宋" w:hAnsi="仿宋" w:eastAsia="仿宋" w:cs="仿宋"/>
          <w:sz w:val="27"/>
          <w:szCs w:val="27"/>
        </w:rPr>
      </w:pPr>
      <w:r>
        <w:rPr>
          <w:rFonts w:ascii="仿宋" w:hAnsi="仿宋" w:eastAsia="仿宋" w:cs="仿宋"/>
          <w:spacing w:val="8"/>
          <w:sz w:val="27"/>
          <w:szCs w:val="27"/>
        </w:rPr>
        <w:t>表12.2</w:t>
      </w:r>
      <w:r>
        <w:rPr>
          <w:rFonts w:ascii="仿宋" w:hAnsi="仿宋" w:eastAsia="仿宋" w:cs="仿宋"/>
          <w:spacing w:val="7"/>
          <w:sz w:val="27"/>
          <w:szCs w:val="27"/>
        </w:rPr>
        <w:t xml:space="preserve">  </w:t>
      </w:r>
      <w:r>
        <w:rPr>
          <w:rFonts w:ascii="仿宋" w:hAnsi="仿宋" w:eastAsia="仿宋" w:cs="仿宋"/>
          <w:spacing w:val="8"/>
          <w:sz w:val="27"/>
          <w:szCs w:val="27"/>
        </w:rPr>
        <w:t>使用环境数据表格式</w:t>
      </w:r>
    </w:p>
    <w:p w14:paraId="2FF6AC97">
      <w:pPr>
        <w:spacing w:line="111" w:lineRule="exact"/>
      </w:pPr>
    </w:p>
    <w:tbl>
      <w:tblPr>
        <w:tblStyle w:val="5"/>
        <w:tblW w:w="9370"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4"/>
        <w:gridCol w:w="1039"/>
        <w:gridCol w:w="1678"/>
        <w:gridCol w:w="2088"/>
        <w:gridCol w:w="2088"/>
        <w:gridCol w:w="1843"/>
      </w:tblGrid>
      <w:tr w14:paraId="4D912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673" w:type="dxa"/>
            <w:gridSpan w:val="2"/>
            <w:vAlign w:val="top"/>
          </w:tcPr>
          <w:p w14:paraId="42D472A5">
            <w:pPr>
              <w:spacing w:before="103" w:line="220" w:lineRule="auto"/>
              <w:ind w:left="425"/>
              <w:rPr>
                <w:rFonts w:ascii="宋体" w:hAnsi="宋体" w:eastAsia="宋体" w:cs="宋体"/>
                <w:sz w:val="20"/>
                <w:szCs w:val="20"/>
              </w:rPr>
            </w:pPr>
            <w:r>
              <w:rPr>
                <w:rFonts w:ascii="宋体" w:hAnsi="宋体" w:eastAsia="宋体" w:cs="宋体"/>
                <w:spacing w:val="-2"/>
                <w:sz w:val="20"/>
                <w:szCs w:val="20"/>
              </w:rPr>
              <w:t>装备位置</w:t>
            </w:r>
          </w:p>
        </w:tc>
        <w:tc>
          <w:tcPr>
            <w:tcW w:w="1678" w:type="dxa"/>
            <w:vAlign w:val="top"/>
          </w:tcPr>
          <w:p w14:paraId="2FE0809C">
            <w:pPr>
              <w:spacing w:before="103" w:line="219" w:lineRule="auto"/>
              <w:ind w:left="431"/>
              <w:rPr>
                <w:rFonts w:ascii="宋体" w:hAnsi="宋体" w:eastAsia="宋体" w:cs="宋体"/>
                <w:sz w:val="20"/>
                <w:szCs w:val="20"/>
              </w:rPr>
            </w:pPr>
            <w:r>
              <w:rPr>
                <w:rFonts w:ascii="宋体" w:hAnsi="宋体" w:eastAsia="宋体" w:cs="宋体"/>
                <w:spacing w:val="3"/>
                <w:sz w:val="20"/>
                <w:szCs w:val="20"/>
              </w:rPr>
              <w:t>环境类型</w:t>
            </w:r>
          </w:p>
        </w:tc>
        <w:tc>
          <w:tcPr>
            <w:tcW w:w="2088" w:type="dxa"/>
            <w:vAlign w:val="top"/>
          </w:tcPr>
          <w:p w14:paraId="48B85F14">
            <w:pPr>
              <w:spacing w:before="103" w:line="219" w:lineRule="auto"/>
              <w:ind w:left="204"/>
              <w:rPr>
                <w:rFonts w:ascii="宋体" w:hAnsi="宋体" w:eastAsia="宋体" w:cs="宋体"/>
                <w:sz w:val="20"/>
                <w:szCs w:val="20"/>
              </w:rPr>
            </w:pPr>
            <w:r>
              <w:rPr>
                <w:rFonts w:ascii="宋体" w:hAnsi="宋体" w:eastAsia="宋体" w:cs="宋体"/>
                <w:spacing w:val="1"/>
                <w:sz w:val="20"/>
                <w:szCs w:val="20"/>
              </w:rPr>
              <w:t>使用环境数据标识</w:t>
            </w:r>
          </w:p>
        </w:tc>
        <w:tc>
          <w:tcPr>
            <w:tcW w:w="2088" w:type="dxa"/>
            <w:vAlign w:val="top"/>
          </w:tcPr>
          <w:p w14:paraId="3681D42E">
            <w:pPr>
              <w:spacing w:before="103" w:line="219" w:lineRule="auto"/>
              <w:ind w:left="215"/>
              <w:rPr>
                <w:rFonts w:ascii="宋体" w:hAnsi="宋体" w:eastAsia="宋体" w:cs="宋体"/>
                <w:sz w:val="20"/>
                <w:szCs w:val="20"/>
              </w:rPr>
            </w:pPr>
            <w:r>
              <w:rPr>
                <w:rFonts w:ascii="宋体" w:hAnsi="宋体" w:eastAsia="宋体" w:cs="宋体"/>
                <w:spacing w:val="-1"/>
                <w:sz w:val="20"/>
                <w:szCs w:val="20"/>
              </w:rPr>
              <w:t>使用环境数据状态</w:t>
            </w:r>
          </w:p>
        </w:tc>
        <w:tc>
          <w:tcPr>
            <w:tcW w:w="1843" w:type="dxa"/>
            <w:vAlign w:val="top"/>
          </w:tcPr>
          <w:p w14:paraId="2A842744">
            <w:pPr>
              <w:spacing w:before="104" w:line="221" w:lineRule="auto"/>
              <w:ind w:left="718"/>
              <w:rPr>
                <w:rFonts w:ascii="宋体" w:hAnsi="宋体" w:eastAsia="宋体" w:cs="宋体"/>
                <w:sz w:val="20"/>
                <w:szCs w:val="20"/>
              </w:rPr>
            </w:pPr>
            <w:r>
              <w:rPr>
                <w:rFonts w:ascii="宋体" w:hAnsi="宋体" w:eastAsia="宋体" w:cs="宋体"/>
                <w:spacing w:val="5"/>
                <w:sz w:val="20"/>
                <w:szCs w:val="20"/>
              </w:rPr>
              <w:t>备注</w:t>
            </w:r>
          </w:p>
        </w:tc>
      </w:tr>
      <w:tr w14:paraId="32BAA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673" w:type="dxa"/>
            <w:gridSpan w:val="2"/>
            <w:vMerge w:val="restart"/>
            <w:tcBorders>
              <w:bottom w:val="nil"/>
            </w:tcBorders>
            <w:vAlign w:val="top"/>
          </w:tcPr>
          <w:p w14:paraId="0BC4905F">
            <w:pPr>
              <w:pStyle w:val="6"/>
              <w:spacing w:line="243" w:lineRule="auto"/>
            </w:pPr>
          </w:p>
          <w:p w14:paraId="730FF088">
            <w:pPr>
              <w:spacing w:before="65" w:line="219" w:lineRule="auto"/>
              <w:ind w:left="425"/>
              <w:rPr>
                <w:rFonts w:ascii="宋体" w:hAnsi="宋体" w:eastAsia="宋体" w:cs="宋体"/>
                <w:sz w:val="20"/>
                <w:szCs w:val="20"/>
              </w:rPr>
            </w:pPr>
            <w:r>
              <w:rPr>
                <w:rFonts w:ascii="宋体" w:hAnsi="宋体" w:eastAsia="宋体" w:cs="宋体"/>
                <w:spacing w:val="2"/>
                <w:sz w:val="20"/>
                <w:szCs w:val="20"/>
              </w:rPr>
              <w:t>外部环境</w:t>
            </w:r>
          </w:p>
        </w:tc>
        <w:tc>
          <w:tcPr>
            <w:tcW w:w="1678" w:type="dxa"/>
            <w:vAlign w:val="top"/>
          </w:tcPr>
          <w:p w14:paraId="7A34460C">
            <w:pPr>
              <w:spacing w:before="100" w:line="220" w:lineRule="auto"/>
              <w:ind w:left="431"/>
              <w:rPr>
                <w:rFonts w:ascii="宋体" w:hAnsi="宋体" w:eastAsia="宋体" w:cs="宋体"/>
                <w:sz w:val="20"/>
                <w:szCs w:val="20"/>
              </w:rPr>
            </w:pPr>
            <w:r>
              <w:rPr>
                <w:rFonts w:ascii="宋体" w:hAnsi="宋体" w:eastAsia="宋体" w:cs="宋体"/>
                <w:spacing w:val="2"/>
                <w:sz w:val="20"/>
                <w:szCs w:val="20"/>
              </w:rPr>
              <w:t>自然环境</w:t>
            </w:r>
          </w:p>
        </w:tc>
        <w:tc>
          <w:tcPr>
            <w:tcW w:w="2088" w:type="dxa"/>
            <w:vAlign w:val="top"/>
          </w:tcPr>
          <w:p w14:paraId="1E4E0940">
            <w:pPr>
              <w:pStyle w:val="6"/>
            </w:pPr>
          </w:p>
        </w:tc>
        <w:tc>
          <w:tcPr>
            <w:tcW w:w="2088" w:type="dxa"/>
            <w:vAlign w:val="top"/>
          </w:tcPr>
          <w:p w14:paraId="67806DCC">
            <w:pPr>
              <w:pStyle w:val="6"/>
            </w:pPr>
          </w:p>
        </w:tc>
        <w:tc>
          <w:tcPr>
            <w:tcW w:w="1843" w:type="dxa"/>
            <w:vMerge w:val="restart"/>
            <w:tcBorders>
              <w:bottom w:val="nil"/>
            </w:tcBorders>
            <w:vAlign w:val="top"/>
          </w:tcPr>
          <w:p w14:paraId="7C20472F">
            <w:pPr>
              <w:spacing w:before="129" w:line="313" w:lineRule="auto"/>
              <w:ind w:left="217" w:right="124" w:hanging="99"/>
              <w:rPr>
                <w:rFonts w:ascii="宋体" w:hAnsi="宋体" w:eastAsia="宋体" w:cs="宋体"/>
                <w:sz w:val="20"/>
                <w:szCs w:val="20"/>
              </w:rPr>
            </w:pPr>
            <w:r>
              <w:rPr>
                <w:rFonts w:ascii="宋体" w:hAnsi="宋体" w:eastAsia="宋体" w:cs="宋体"/>
                <w:spacing w:val="-2"/>
                <w:sz w:val="20"/>
                <w:szCs w:val="20"/>
              </w:rPr>
              <w:t>用于确定整个装备</w:t>
            </w:r>
            <w:r>
              <w:rPr>
                <w:rFonts w:ascii="宋体" w:hAnsi="宋体" w:eastAsia="宋体" w:cs="宋体"/>
                <w:spacing w:val="5"/>
                <w:sz w:val="20"/>
                <w:szCs w:val="20"/>
              </w:rPr>
              <w:t xml:space="preserve"> </w:t>
            </w:r>
            <w:r>
              <w:rPr>
                <w:rFonts w:ascii="宋体" w:hAnsi="宋体" w:eastAsia="宋体" w:cs="宋体"/>
                <w:spacing w:val="-1"/>
                <w:sz w:val="20"/>
                <w:szCs w:val="20"/>
              </w:rPr>
              <w:t>环境适应性要求</w:t>
            </w:r>
          </w:p>
        </w:tc>
      </w:tr>
      <w:tr w14:paraId="5F39F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73" w:type="dxa"/>
            <w:gridSpan w:val="2"/>
            <w:vMerge w:val="continue"/>
            <w:tcBorders>
              <w:top w:val="nil"/>
            </w:tcBorders>
            <w:vAlign w:val="top"/>
          </w:tcPr>
          <w:p w14:paraId="18C596EB">
            <w:pPr>
              <w:pStyle w:val="6"/>
            </w:pPr>
          </w:p>
        </w:tc>
        <w:tc>
          <w:tcPr>
            <w:tcW w:w="1678" w:type="dxa"/>
            <w:vAlign w:val="top"/>
          </w:tcPr>
          <w:p w14:paraId="0859114F">
            <w:pPr>
              <w:spacing w:before="111" w:line="220" w:lineRule="auto"/>
              <w:ind w:left="431"/>
              <w:rPr>
                <w:rFonts w:ascii="宋体" w:hAnsi="宋体" w:eastAsia="宋体" w:cs="宋体"/>
                <w:sz w:val="20"/>
                <w:szCs w:val="20"/>
              </w:rPr>
            </w:pPr>
            <w:r>
              <w:rPr>
                <w:rFonts w:ascii="宋体" w:hAnsi="宋体" w:eastAsia="宋体" w:cs="宋体"/>
                <w:spacing w:val="-2"/>
                <w:sz w:val="20"/>
                <w:szCs w:val="20"/>
              </w:rPr>
              <w:t>诱发环境</w:t>
            </w:r>
          </w:p>
        </w:tc>
        <w:tc>
          <w:tcPr>
            <w:tcW w:w="2088" w:type="dxa"/>
            <w:vAlign w:val="top"/>
          </w:tcPr>
          <w:p w14:paraId="617770A5">
            <w:pPr>
              <w:pStyle w:val="6"/>
            </w:pPr>
          </w:p>
        </w:tc>
        <w:tc>
          <w:tcPr>
            <w:tcW w:w="2088" w:type="dxa"/>
            <w:vAlign w:val="top"/>
          </w:tcPr>
          <w:p w14:paraId="446E7559">
            <w:pPr>
              <w:pStyle w:val="6"/>
            </w:pPr>
          </w:p>
        </w:tc>
        <w:tc>
          <w:tcPr>
            <w:tcW w:w="1843" w:type="dxa"/>
            <w:vMerge w:val="continue"/>
            <w:tcBorders>
              <w:top w:val="nil"/>
            </w:tcBorders>
            <w:vAlign w:val="top"/>
          </w:tcPr>
          <w:p w14:paraId="46D80323">
            <w:pPr>
              <w:pStyle w:val="6"/>
            </w:pPr>
          </w:p>
        </w:tc>
      </w:tr>
      <w:tr w14:paraId="2DB4E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634" w:type="dxa"/>
            <w:vMerge w:val="restart"/>
            <w:tcBorders>
              <w:bottom w:val="nil"/>
            </w:tcBorders>
            <w:textDirection w:val="tbRlV"/>
            <w:vAlign w:val="top"/>
          </w:tcPr>
          <w:p w14:paraId="34A8D9FB">
            <w:pPr>
              <w:spacing w:before="236" w:line="202" w:lineRule="auto"/>
              <w:ind w:left="124"/>
              <w:rPr>
                <w:rFonts w:ascii="宋体" w:hAnsi="宋体" w:eastAsia="宋体" w:cs="宋体"/>
                <w:sz w:val="20"/>
                <w:szCs w:val="20"/>
              </w:rPr>
            </w:pPr>
            <w:r>
              <w:rPr>
                <w:rFonts w:ascii="宋体" w:hAnsi="宋体" w:eastAsia="宋体" w:cs="宋体"/>
                <w:spacing w:val="22"/>
                <w:sz w:val="20"/>
                <w:szCs w:val="20"/>
              </w:rPr>
              <w:t>内部舱(段、区)平台环境)</w:t>
            </w:r>
          </w:p>
        </w:tc>
        <w:tc>
          <w:tcPr>
            <w:tcW w:w="1039" w:type="dxa"/>
            <w:vMerge w:val="restart"/>
            <w:tcBorders>
              <w:bottom w:val="nil"/>
            </w:tcBorders>
            <w:vAlign w:val="top"/>
          </w:tcPr>
          <w:p w14:paraId="785DA5DC">
            <w:pPr>
              <w:spacing w:before="303" w:line="221" w:lineRule="auto"/>
              <w:ind w:left="261"/>
              <w:rPr>
                <w:rFonts w:ascii="宋体" w:hAnsi="宋体" w:eastAsia="宋体" w:cs="宋体"/>
                <w:sz w:val="20"/>
                <w:szCs w:val="20"/>
              </w:rPr>
            </w:pPr>
            <w:r>
              <w:rPr>
                <w:rFonts w:ascii="宋体" w:hAnsi="宋体" w:eastAsia="宋体" w:cs="宋体"/>
                <w:spacing w:val="6"/>
                <w:sz w:val="20"/>
                <w:szCs w:val="20"/>
              </w:rPr>
              <w:t>舱段1</w:t>
            </w:r>
          </w:p>
        </w:tc>
        <w:tc>
          <w:tcPr>
            <w:tcW w:w="1678" w:type="dxa"/>
            <w:vAlign w:val="top"/>
          </w:tcPr>
          <w:p w14:paraId="554B8DB6">
            <w:pPr>
              <w:spacing w:before="102" w:line="220" w:lineRule="auto"/>
              <w:ind w:left="431"/>
              <w:rPr>
                <w:rFonts w:ascii="宋体" w:hAnsi="宋体" w:eastAsia="宋体" w:cs="宋体"/>
                <w:sz w:val="20"/>
                <w:szCs w:val="20"/>
              </w:rPr>
            </w:pPr>
            <w:r>
              <w:rPr>
                <w:rFonts w:ascii="宋体" w:hAnsi="宋体" w:eastAsia="宋体" w:cs="宋体"/>
                <w:spacing w:val="2"/>
                <w:sz w:val="20"/>
                <w:szCs w:val="20"/>
              </w:rPr>
              <w:t>自然环境</w:t>
            </w:r>
          </w:p>
        </w:tc>
        <w:tc>
          <w:tcPr>
            <w:tcW w:w="2088" w:type="dxa"/>
            <w:vAlign w:val="top"/>
          </w:tcPr>
          <w:p w14:paraId="38EEA7DE">
            <w:pPr>
              <w:pStyle w:val="6"/>
            </w:pPr>
          </w:p>
        </w:tc>
        <w:tc>
          <w:tcPr>
            <w:tcW w:w="2088" w:type="dxa"/>
            <w:vAlign w:val="top"/>
          </w:tcPr>
          <w:p w14:paraId="6CD6D26B">
            <w:pPr>
              <w:pStyle w:val="6"/>
            </w:pPr>
          </w:p>
        </w:tc>
        <w:tc>
          <w:tcPr>
            <w:tcW w:w="1843" w:type="dxa"/>
            <w:vMerge w:val="restart"/>
            <w:tcBorders>
              <w:bottom w:val="nil"/>
            </w:tcBorders>
            <w:vAlign w:val="top"/>
          </w:tcPr>
          <w:p w14:paraId="244BC385">
            <w:pPr>
              <w:pStyle w:val="6"/>
              <w:spacing w:line="307" w:lineRule="auto"/>
            </w:pPr>
          </w:p>
          <w:p w14:paraId="3E4ADC6A">
            <w:pPr>
              <w:pStyle w:val="6"/>
              <w:spacing w:line="307" w:lineRule="auto"/>
            </w:pPr>
          </w:p>
          <w:p w14:paraId="519F0157">
            <w:pPr>
              <w:pStyle w:val="6"/>
              <w:spacing w:line="307" w:lineRule="auto"/>
            </w:pPr>
          </w:p>
          <w:p w14:paraId="7AF0B5CC">
            <w:pPr>
              <w:spacing w:before="65" w:line="219" w:lineRule="auto"/>
              <w:ind w:left="118"/>
              <w:rPr>
                <w:rFonts w:ascii="宋体" w:hAnsi="宋体" w:eastAsia="宋体" w:cs="宋体"/>
                <w:sz w:val="20"/>
                <w:szCs w:val="20"/>
              </w:rPr>
            </w:pPr>
            <w:r>
              <w:rPr>
                <w:rFonts w:ascii="宋体" w:hAnsi="宋体" w:eastAsia="宋体" w:cs="宋体"/>
                <w:spacing w:val="1"/>
                <w:sz w:val="20"/>
                <w:szCs w:val="20"/>
              </w:rPr>
              <w:t>用于确定装备内部</w:t>
            </w:r>
          </w:p>
          <w:p w14:paraId="09ADF27A">
            <w:pPr>
              <w:spacing w:before="103" w:line="220" w:lineRule="auto"/>
              <w:ind w:left="168"/>
              <w:rPr>
                <w:rFonts w:ascii="宋体" w:hAnsi="宋体" w:eastAsia="宋体" w:cs="宋体"/>
                <w:sz w:val="20"/>
                <w:szCs w:val="20"/>
              </w:rPr>
            </w:pPr>
            <w:r>
              <w:rPr>
                <w:rFonts w:ascii="宋体" w:hAnsi="宋体" w:eastAsia="宋体" w:cs="宋体"/>
                <w:spacing w:val="1"/>
                <w:sz w:val="20"/>
                <w:szCs w:val="20"/>
              </w:rPr>
              <w:t>系统/设备的环境</w:t>
            </w:r>
          </w:p>
          <w:p w14:paraId="1C5A7092">
            <w:pPr>
              <w:spacing w:before="102" w:line="221" w:lineRule="auto"/>
              <w:ind w:left="418"/>
              <w:rPr>
                <w:rFonts w:ascii="宋体" w:hAnsi="宋体" w:eastAsia="宋体" w:cs="宋体"/>
                <w:sz w:val="20"/>
                <w:szCs w:val="20"/>
              </w:rPr>
            </w:pPr>
            <w:r>
              <w:rPr>
                <w:rFonts w:ascii="宋体" w:hAnsi="宋体" w:eastAsia="宋体" w:cs="宋体"/>
                <w:spacing w:val="-2"/>
                <w:sz w:val="20"/>
                <w:szCs w:val="20"/>
              </w:rPr>
              <w:t>适应性要求</w:t>
            </w:r>
          </w:p>
        </w:tc>
      </w:tr>
      <w:tr w14:paraId="47BD8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634" w:type="dxa"/>
            <w:vMerge w:val="continue"/>
            <w:tcBorders>
              <w:top w:val="nil"/>
              <w:bottom w:val="nil"/>
            </w:tcBorders>
            <w:textDirection w:val="tbRlV"/>
            <w:vAlign w:val="top"/>
          </w:tcPr>
          <w:p w14:paraId="523FB9F0">
            <w:pPr>
              <w:pStyle w:val="6"/>
            </w:pPr>
          </w:p>
        </w:tc>
        <w:tc>
          <w:tcPr>
            <w:tcW w:w="1039" w:type="dxa"/>
            <w:vMerge w:val="continue"/>
            <w:tcBorders>
              <w:top w:val="nil"/>
            </w:tcBorders>
            <w:vAlign w:val="top"/>
          </w:tcPr>
          <w:p w14:paraId="4BD172D2">
            <w:pPr>
              <w:pStyle w:val="6"/>
            </w:pPr>
          </w:p>
        </w:tc>
        <w:tc>
          <w:tcPr>
            <w:tcW w:w="1678" w:type="dxa"/>
            <w:vAlign w:val="top"/>
          </w:tcPr>
          <w:p w14:paraId="383945EB">
            <w:pPr>
              <w:spacing w:before="103" w:line="220" w:lineRule="auto"/>
              <w:ind w:left="431"/>
              <w:rPr>
                <w:rFonts w:ascii="宋体" w:hAnsi="宋体" w:eastAsia="宋体" w:cs="宋体"/>
                <w:sz w:val="20"/>
                <w:szCs w:val="20"/>
              </w:rPr>
            </w:pPr>
            <w:r>
              <w:rPr>
                <w:rFonts w:ascii="宋体" w:hAnsi="宋体" w:eastAsia="宋体" w:cs="宋体"/>
                <w:spacing w:val="-2"/>
                <w:sz w:val="20"/>
                <w:szCs w:val="20"/>
              </w:rPr>
              <w:t>诱发环境</w:t>
            </w:r>
          </w:p>
        </w:tc>
        <w:tc>
          <w:tcPr>
            <w:tcW w:w="2088" w:type="dxa"/>
            <w:vAlign w:val="top"/>
          </w:tcPr>
          <w:p w14:paraId="1449873B">
            <w:pPr>
              <w:pStyle w:val="6"/>
            </w:pPr>
          </w:p>
        </w:tc>
        <w:tc>
          <w:tcPr>
            <w:tcW w:w="2088" w:type="dxa"/>
            <w:vAlign w:val="top"/>
          </w:tcPr>
          <w:p w14:paraId="6D76F837">
            <w:pPr>
              <w:pStyle w:val="6"/>
            </w:pPr>
          </w:p>
        </w:tc>
        <w:tc>
          <w:tcPr>
            <w:tcW w:w="1843" w:type="dxa"/>
            <w:vMerge w:val="continue"/>
            <w:tcBorders>
              <w:top w:val="nil"/>
              <w:bottom w:val="nil"/>
            </w:tcBorders>
            <w:vAlign w:val="top"/>
          </w:tcPr>
          <w:p w14:paraId="492EDEDB">
            <w:pPr>
              <w:pStyle w:val="6"/>
            </w:pPr>
          </w:p>
        </w:tc>
      </w:tr>
      <w:tr w14:paraId="530BD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634" w:type="dxa"/>
            <w:vMerge w:val="continue"/>
            <w:tcBorders>
              <w:top w:val="nil"/>
              <w:bottom w:val="nil"/>
            </w:tcBorders>
            <w:textDirection w:val="tbRlV"/>
            <w:vAlign w:val="top"/>
          </w:tcPr>
          <w:p w14:paraId="748AF02B">
            <w:pPr>
              <w:pStyle w:val="6"/>
            </w:pPr>
          </w:p>
        </w:tc>
        <w:tc>
          <w:tcPr>
            <w:tcW w:w="1039" w:type="dxa"/>
            <w:vAlign w:val="top"/>
          </w:tcPr>
          <w:p w14:paraId="6C7D797A">
            <w:pPr>
              <w:spacing w:before="115" w:line="221" w:lineRule="auto"/>
              <w:ind w:left="261"/>
              <w:rPr>
                <w:rFonts w:ascii="宋体" w:hAnsi="宋体" w:eastAsia="宋体" w:cs="宋体"/>
                <w:sz w:val="20"/>
                <w:szCs w:val="20"/>
              </w:rPr>
            </w:pPr>
            <w:r>
              <w:rPr>
                <w:rFonts w:ascii="宋体" w:hAnsi="宋体" w:eastAsia="宋体" w:cs="宋体"/>
                <w:spacing w:val="4"/>
                <w:sz w:val="20"/>
                <w:szCs w:val="20"/>
              </w:rPr>
              <w:t>舱段2</w:t>
            </w:r>
          </w:p>
        </w:tc>
        <w:tc>
          <w:tcPr>
            <w:tcW w:w="1678" w:type="dxa"/>
            <w:vAlign w:val="top"/>
          </w:tcPr>
          <w:p w14:paraId="5678A71E">
            <w:pPr>
              <w:spacing w:before="114" w:line="220" w:lineRule="auto"/>
              <w:ind w:left="431"/>
              <w:rPr>
                <w:rFonts w:ascii="宋体" w:hAnsi="宋体" w:eastAsia="宋体" w:cs="宋体"/>
                <w:sz w:val="20"/>
                <w:szCs w:val="20"/>
              </w:rPr>
            </w:pPr>
            <w:r>
              <w:rPr>
                <w:rFonts w:ascii="宋体" w:hAnsi="宋体" w:eastAsia="宋体" w:cs="宋体"/>
                <w:spacing w:val="2"/>
                <w:sz w:val="20"/>
                <w:szCs w:val="20"/>
              </w:rPr>
              <w:t>自然环境</w:t>
            </w:r>
          </w:p>
        </w:tc>
        <w:tc>
          <w:tcPr>
            <w:tcW w:w="2088" w:type="dxa"/>
            <w:vAlign w:val="top"/>
          </w:tcPr>
          <w:p w14:paraId="0B2ABA73">
            <w:pPr>
              <w:pStyle w:val="6"/>
            </w:pPr>
          </w:p>
        </w:tc>
        <w:tc>
          <w:tcPr>
            <w:tcW w:w="2088" w:type="dxa"/>
            <w:vAlign w:val="top"/>
          </w:tcPr>
          <w:p w14:paraId="2523B518">
            <w:pPr>
              <w:pStyle w:val="6"/>
            </w:pPr>
          </w:p>
        </w:tc>
        <w:tc>
          <w:tcPr>
            <w:tcW w:w="1843" w:type="dxa"/>
            <w:vMerge w:val="continue"/>
            <w:tcBorders>
              <w:top w:val="nil"/>
              <w:bottom w:val="nil"/>
            </w:tcBorders>
            <w:vAlign w:val="top"/>
          </w:tcPr>
          <w:p w14:paraId="1D909B0D">
            <w:pPr>
              <w:pStyle w:val="6"/>
            </w:pPr>
          </w:p>
        </w:tc>
      </w:tr>
      <w:tr w14:paraId="6B5DF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634" w:type="dxa"/>
            <w:vMerge w:val="continue"/>
            <w:tcBorders>
              <w:top w:val="nil"/>
              <w:bottom w:val="nil"/>
            </w:tcBorders>
            <w:textDirection w:val="tbRlV"/>
            <w:vAlign w:val="top"/>
          </w:tcPr>
          <w:p w14:paraId="7595C597">
            <w:pPr>
              <w:pStyle w:val="6"/>
            </w:pPr>
          </w:p>
        </w:tc>
        <w:tc>
          <w:tcPr>
            <w:tcW w:w="1039" w:type="dxa"/>
            <w:vMerge w:val="restart"/>
            <w:tcBorders>
              <w:bottom w:val="nil"/>
            </w:tcBorders>
            <w:vAlign w:val="top"/>
          </w:tcPr>
          <w:p w14:paraId="3C7BF99F">
            <w:pPr>
              <w:pStyle w:val="6"/>
              <w:spacing w:line="268" w:lineRule="auto"/>
            </w:pPr>
          </w:p>
          <w:p w14:paraId="39C1C90D">
            <w:pPr>
              <w:spacing w:before="65" w:line="315" w:lineRule="exact"/>
              <w:ind w:left="410"/>
              <w:rPr>
                <w:rFonts w:ascii="宋体" w:hAnsi="宋体" w:eastAsia="宋体" w:cs="宋体"/>
                <w:sz w:val="20"/>
                <w:szCs w:val="20"/>
              </w:rPr>
            </w:pPr>
            <w:r>
              <w:rPr>
                <w:rFonts w:ascii="宋体" w:hAnsi="宋体" w:eastAsia="宋体" w:cs="宋体"/>
                <w:position w:val="2"/>
                <w:sz w:val="20"/>
                <w:szCs w:val="20"/>
              </w:rPr>
              <w:t>…</w:t>
            </w:r>
          </w:p>
        </w:tc>
        <w:tc>
          <w:tcPr>
            <w:tcW w:w="1678" w:type="dxa"/>
            <w:vAlign w:val="top"/>
          </w:tcPr>
          <w:p w14:paraId="4119A73A">
            <w:pPr>
              <w:spacing w:before="105" w:line="220" w:lineRule="auto"/>
              <w:ind w:left="431"/>
              <w:rPr>
                <w:rFonts w:ascii="宋体" w:hAnsi="宋体" w:eastAsia="宋体" w:cs="宋体"/>
                <w:sz w:val="20"/>
                <w:szCs w:val="20"/>
              </w:rPr>
            </w:pPr>
            <w:r>
              <w:rPr>
                <w:rFonts w:ascii="宋体" w:hAnsi="宋体" w:eastAsia="宋体" w:cs="宋体"/>
                <w:spacing w:val="-2"/>
                <w:sz w:val="20"/>
                <w:szCs w:val="20"/>
              </w:rPr>
              <w:t>诱发环境</w:t>
            </w:r>
          </w:p>
        </w:tc>
        <w:tc>
          <w:tcPr>
            <w:tcW w:w="2088" w:type="dxa"/>
            <w:vAlign w:val="top"/>
          </w:tcPr>
          <w:p w14:paraId="42EFF612">
            <w:pPr>
              <w:pStyle w:val="6"/>
            </w:pPr>
          </w:p>
        </w:tc>
        <w:tc>
          <w:tcPr>
            <w:tcW w:w="2088" w:type="dxa"/>
            <w:vAlign w:val="top"/>
          </w:tcPr>
          <w:p w14:paraId="4139F46C">
            <w:pPr>
              <w:pStyle w:val="6"/>
            </w:pPr>
          </w:p>
        </w:tc>
        <w:tc>
          <w:tcPr>
            <w:tcW w:w="1843" w:type="dxa"/>
            <w:vMerge w:val="continue"/>
            <w:tcBorders>
              <w:top w:val="nil"/>
              <w:bottom w:val="nil"/>
            </w:tcBorders>
            <w:vAlign w:val="top"/>
          </w:tcPr>
          <w:p w14:paraId="3E026779">
            <w:pPr>
              <w:pStyle w:val="6"/>
            </w:pPr>
          </w:p>
        </w:tc>
      </w:tr>
      <w:tr w14:paraId="71F42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634" w:type="dxa"/>
            <w:vMerge w:val="continue"/>
            <w:tcBorders>
              <w:top w:val="nil"/>
              <w:bottom w:val="nil"/>
            </w:tcBorders>
            <w:textDirection w:val="tbRlV"/>
            <w:vAlign w:val="top"/>
          </w:tcPr>
          <w:p w14:paraId="5BCD1375">
            <w:pPr>
              <w:pStyle w:val="6"/>
            </w:pPr>
          </w:p>
        </w:tc>
        <w:tc>
          <w:tcPr>
            <w:tcW w:w="1039" w:type="dxa"/>
            <w:vMerge w:val="continue"/>
            <w:tcBorders>
              <w:top w:val="nil"/>
            </w:tcBorders>
            <w:vAlign w:val="top"/>
          </w:tcPr>
          <w:p w14:paraId="107AACCE">
            <w:pPr>
              <w:pStyle w:val="6"/>
            </w:pPr>
          </w:p>
        </w:tc>
        <w:tc>
          <w:tcPr>
            <w:tcW w:w="1678" w:type="dxa"/>
            <w:vAlign w:val="top"/>
          </w:tcPr>
          <w:p w14:paraId="292D5C09">
            <w:pPr>
              <w:pStyle w:val="6"/>
            </w:pPr>
          </w:p>
        </w:tc>
        <w:tc>
          <w:tcPr>
            <w:tcW w:w="2088" w:type="dxa"/>
            <w:vAlign w:val="top"/>
          </w:tcPr>
          <w:p w14:paraId="79E4F4C7">
            <w:pPr>
              <w:pStyle w:val="6"/>
            </w:pPr>
          </w:p>
        </w:tc>
        <w:tc>
          <w:tcPr>
            <w:tcW w:w="2088" w:type="dxa"/>
            <w:vAlign w:val="top"/>
          </w:tcPr>
          <w:p w14:paraId="0E007819">
            <w:pPr>
              <w:pStyle w:val="6"/>
            </w:pPr>
          </w:p>
        </w:tc>
        <w:tc>
          <w:tcPr>
            <w:tcW w:w="1843" w:type="dxa"/>
            <w:vMerge w:val="continue"/>
            <w:tcBorders>
              <w:top w:val="nil"/>
              <w:bottom w:val="nil"/>
            </w:tcBorders>
            <w:vAlign w:val="top"/>
          </w:tcPr>
          <w:p w14:paraId="6DD68133">
            <w:pPr>
              <w:pStyle w:val="6"/>
            </w:pPr>
          </w:p>
        </w:tc>
      </w:tr>
      <w:tr w14:paraId="6F345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634" w:type="dxa"/>
            <w:vMerge w:val="continue"/>
            <w:tcBorders>
              <w:top w:val="nil"/>
              <w:bottom w:val="nil"/>
            </w:tcBorders>
            <w:textDirection w:val="tbRlV"/>
            <w:vAlign w:val="top"/>
          </w:tcPr>
          <w:p w14:paraId="0CC6C45A">
            <w:pPr>
              <w:pStyle w:val="6"/>
            </w:pPr>
          </w:p>
        </w:tc>
        <w:tc>
          <w:tcPr>
            <w:tcW w:w="1039" w:type="dxa"/>
            <w:vMerge w:val="restart"/>
            <w:tcBorders>
              <w:bottom w:val="nil"/>
            </w:tcBorders>
            <w:vAlign w:val="top"/>
          </w:tcPr>
          <w:p w14:paraId="009720A7">
            <w:pPr>
              <w:pStyle w:val="6"/>
              <w:spacing w:line="251" w:lineRule="auto"/>
            </w:pPr>
          </w:p>
          <w:p w14:paraId="7D7E7E90">
            <w:pPr>
              <w:spacing w:before="65" w:line="221" w:lineRule="auto"/>
              <w:ind w:left="261"/>
              <w:rPr>
                <w:rFonts w:ascii="宋体" w:hAnsi="宋体" w:eastAsia="宋体" w:cs="宋体"/>
                <w:sz w:val="20"/>
                <w:szCs w:val="20"/>
              </w:rPr>
            </w:pPr>
            <w:r>
              <w:rPr>
                <w:rFonts w:ascii="宋体" w:hAnsi="宋体" w:eastAsia="宋体" w:cs="宋体"/>
                <w:spacing w:val="-3"/>
                <w:sz w:val="20"/>
                <w:szCs w:val="20"/>
              </w:rPr>
              <w:t>舱段n</w:t>
            </w:r>
          </w:p>
        </w:tc>
        <w:tc>
          <w:tcPr>
            <w:tcW w:w="1678" w:type="dxa"/>
            <w:vAlign w:val="top"/>
          </w:tcPr>
          <w:p w14:paraId="62B8B4CA">
            <w:pPr>
              <w:spacing w:before="117" w:line="220" w:lineRule="auto"/>
              <w:ind w:left="431"/>
              <w:rPr>
                <w:rFonts w:ascii="宋体" w:hAnsi="宋体" w:eastAsia="宋体" w:cs="宋体"/>
                <w:sz w:val="20"/>
                <w:szCs w:val="20"/>
              </w:rPr>
            </w:pPr>
            <w:r>
              <w:rPr>
                <w:rFonts w:ascii="宋体" w:hAnsi="宋体" w:eastAsia="宋体" w:cs="宋体"/>
                <w:spacing w:val="2"/>
                <w:sz w:val="20"/>
                <w:szCs w:val="20"/>
              </w:rPr>
              <w:t>自然环境</w:t>
            </w:r>
          </w:p>
        </w:tc>
        <w:tc>
          <w:tcPr>
            <w:tcW w:w="2088" w:type="dxa"/>
            <w:vAlign w:val="top"/>
          </w:tcPr>
          <w:p w14:paraId="01E15939">
            <w:pPr>
              <w:pStyle w:val="6"/>
            </w:pPr>
          </w:p>
        </w:tc>
        <w:tc>
          <w:tcPr>
            <w:tcW w:w="2088" w:type="dxa"/>
            <w:vAlign w:val="top"/>
          </w:tcPr>
          <w:p w14:paraId="3D3D7A5B">
            <w:pPr>
              <w:pStyle w:val="6"/>
            </w:pPr>
          </w:p>
        </w:tc>
        <w:tc>
          <w:tcPr>
            <w:tcW w:w="1843" w:type="dxa"/>
            <w:vMerge w:val="continue"/>
            <w:tcBorders>
              <w:top w:val="nil"/>
              <w:bottom w:val="nil"/>
            </w:tcBorders>
            <w:vAlign w:val="top"/>
          </w:tcPr>
          <w:p w14:paraId="1D115A76">
            <w:pPr>
              <w:pStyle w:val="6"/>
            </w:pPr>
          </w:p>
        </w:tc>
      </w:tr>
      <w:tr w14:paraId="64C60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634" w:type="dxa"/>
            <w:vMerge w:val="continue"/>
            <w:tcBorders>
              <w:top w:val="nil"/>
            </w:tcBorders>
            <w:textDirection w:val="tbRlV"/>
            <w:vAlign w:val="top"/>
          </w:tcPr>
          <w:p w14:paraId="60B7712A">
            <w:pPr>
              <w:pStyle w:val="6"/>
            </w:pPr>
          </w:p>
        </w:tc>
        <w:tc>
          <w:tcPr>
            <w:tcW w:w="1039" w:type="dxa"/>
            <w:vMerge w:val="continue"/>
            <w:tcBorders>
              <w:top w:val="nil"/>
            </w:tcBorders>
            <w:vAlign w:val="top"/>
          </w:tcPr>
          <w:p w14:paraId="45F81DF2">
            <w:pPr>
              <w:pStyle w:val="6"/>
            </w:pPr>
          </w:p>
        </w:tc>
        <w:tc>
          <w:tcPr>
            <w:tcW w:w="1678" w:type="dxa"/>
            <w:vAlign w:val="top"/>
          </w:tcPr>
          <w:p w14:paraId="7B9F84BD">
            <w:pPr>
              <w:spacing w:before="108" w:line="220" w:lineRule="auto"/>
              <w:ind w:left="431"/>
              <w:rPr>
                <w:rFonts w:ascii="宋体" w:hAnsi="宋体" w:eastAsia="宋体" w:cs="宋体"/>
                <w:sz w:val="20"/>
                <w:szCs w:val="20"/>
              </w:rPr>
            </w:pPr>
            <w:r>
              <w:rPr>
                <w:rFonts w:ascii="宋体" w:hAnsi="宋体" w:eastAsia="宋体" w:cs="宋体"/>
                <w:spacing w:val="-2"/>
                <w:sz w:val="20"/>
                <w:szCs w:val="20"/>
              </w:rPr>
              <w:t>诱发环境</w:t>
            </w:r>
          </w:p>
        </w:tc>
        <w:tc>
          <w:tcPr>
            <w:tcW w:w="2088" w:type="dxa"/>
            <w:vAlign w:val="top"/>
          </w:tcPr>
          <w:p w14:paraId="46B8E728">
            <w:pPr>
              <w:pStyle w:val="6"/>
            </w:pPr>
          </w:p>
        </w:tc>
        <w:tc>
          <w:tcPr>
            <w:tcW w:w="2088" w:type="dxa"/>
            <w:vAlign w:val="top"/>
          </w:tcPr>
          <w:p w14:paraId="5E52CBF7">
            <w:pPr>
              <w:pStyle w:val="6"/>
            </w:pPr>
          </w:p>
        </w:tc>
        <w:tc>
          <w:tcPr>
            <w:tcW w:w="1843" w:type="dxa"/>
            <w:vMerge w:val="continue"/>
            <w:tcBorders>
              <w:top w:val="nil"/>
            </w:tcBorders>
            <w:vAlign w:val="top"/>
          </w:tcPr>
          <w:p w14:paraId="43F05DAF">
            <w:pPr>
              <w:pStyle w:val="6"/>
            </w:pPr>
          </w:p>
        </w:tc>
      </w:tr>
    </w:tbl>
    <w:p w14:paraId="0A0EBDF1">
      <w:pPr>
        <w:spacing w:before="214" w:line="222" w:lineRule="auto"/>
        <w:rPr>
          <w:rFonts w:ascii="黑体" w:hAnsi="黑体" w:eastAsia="黑体" w:cs="黑体"/>
          <w:sz w:val="27"/>
          <w:szCs w:val="27"/>
        </w:rPr>
      </w:pPr>
      <w:r>
        <w:rPr>
          <w:rFonts w:ascii="Arial" w:hAnsi="Arial" w:eastAsia="Arial" w:cs="Arial"/>
          <w:spacing w:val="4"/>
          <w:sz w:val="27"/>
          <w:szCs w:val="27"/>
        </w:rPr>
        <w:t>4</w:t>
      </w:r>
      <w:r>
        <w:rPr>
          <w:rFonts w:ascii="Arial" w:hAnsi="Arial" w:eastAsia="Arial" w:cs="Arial"/>
          <w:spacing w:val="17"/>
          <w:sz w:val="27"/>
          <w:szCs w:val="27"/>
        </w:rPr>
        <w:t xml:space="preserve">   </w:t>
      </w:r>
      <w:r>
        <w:rPr>
          <w:rFonts w:ascii="黑体" w:hAnsi="黑体" w:eastAsia="黑体" w:cs="黑体"/>
          <w:spacing w:val="4"/>
          <w:sz w:val="27"/>
          <w:szCs w:val="27"/>
        </w:rPr>
        <w:t>环境数据收集计划</w:t>
      </w:r>
    </w:p>
    <w:p w14:paraId="6CAE4EC8">
      <w:pPr>
        <w:pStyle w:val="2"/>
        <w:spacing w:before="108" w:line="219" w:lineRule="auto"/>
        <w:ind w:left="570"/>
      </w:pPr>
      <w:r>
        <w:rPr>
          <w:spacing w:val="-5"/>
        </w:rPr>
        <w:t>制定环境数据收集计划，内容一般应包括：</w:t>
      </w:r>
    </w:p>
    <w:p w14:paraId="6CABB7C9">
      <w:pPr>
        <w:pStyle w:val="2"/>
        <w:spacing w:before="69" w:line="212" w:lineRule="auto"/>
        <w:ind w:left="570"/>
      </w:pPr>
      <w:r>
        <w:rPr>
          <w:rFonts w:ascii="Times New Roman" w:hAnsi="Times New Roman" w:eastAsia="Times New Roman" w:cs="Times New Roman"/>
          <w:spacing w:val="-2"/>
        </w:rPr>
        <w:t xml:space="preserve">a)  </w:t>
      </w:r>
      <w:r>
        <w:rPr>
          <w:spacing w:val="-2"/>
        </w:rPr>
        <w:t>收集的数据种类，包括自然环境和诱发环境数据；</w:t>
      </w:r>
    </w:p>
    <w:p w14:paraId="052EEA49">
      <w:pPr>
        <w:spacing w:line="212" w:lineRule="auto"/>
        <w:sectPr>
          <w:footerReference r:id="rId580" w:type="default"/>
          <w:pgSz w:w="11910" w:h="17130"/>
          <w:pgMar w:top="400" w:right="944" w:bottom="1573" w:left="1539" w:header="0" w:footer="1375" w:gutter="0"/>
          <w:cols w:space="720" w:num="1"/>
        </w:sectPr>
      </w:pPr>
    </w:p>
    <w:p w14:paraId="2A8BC510">
      <w:pPr>
        <w:spacing w:line="244" w:lineRule="auto"/>
        <w:rPr>
          <w:rFonts w:ascii="Arial"/>
          <w:sz w:val="21"/>
        </w:rPr>
      </w:pPr>
    </w:p>
    <w:p w14:paraId="08558698">
      <w:pPr>
        <w:spacing w:line="244" w:lineRule="auto"/>
        <w:rPr>
          <w:rFonts w:ascii="Arial"/>
          <w:sz w:val="21"/>
        </w:rPr>
      </w:pPr>
    </w:p>
    <w:p w14:paraId="5B9EF2E6">
      <w:pPr>
        <w:spacing w:line="244" w:lineRule="auto"/>
        <w:rPr>
          <w:rFonts w:ascii="Arial"/>
          <w:sz w:val="21"/>
        </w:rPr>
      </w:pPr>
    </w:p>
    <w:p w14:paraId="0C8C6DA2">
      <w:pPr>
        <w:spacing w:line="244" w:lineRule="auto"/>
        <w:rPr>
          <w:rFonts w:ascii="Arial"/>
          <w:sz w:val="21"/>
        </w:rPr>
      </w:pPr>
    </w:p>
    <w:p w14:paraId="1CB5FC99">
      <w:pPr>
        <w:pStyle w:val="2"/>
        <w:spacing w:before="88"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67"/>
        </w:rPr>
        <w:t xml:space="preserve"> </w:t>
      </w:r>
      <w:r>
        <w:rPr>
          <w:spacing w:val="3"/>
        </w:rPr>
        <w:t>收集数据的质量和数量要求；</w:t>
      </w:r>
    </w:p>
    <w:p w14:paraId="4C32198C">
      <w:pPr>
        <w:pStyle w:val="2"/>
        <w:spacing w:before="122" w:line="212" w:lineRule="auto"/>
        <w:ind w:left="560"/>
        <w:rPr>
          <w:sz w:val="24"/>
          <w:szCs w:val="24"/>
        </w:rPr>
      </w:pPr>
      <w:r>
        <w:rPr>
          <w:rFonts w:ascii="Times New Roman" w:hAnsi="Times New Roman" w:eastAsia="Times New Roman" w:cs="Times New Roman"/>
          <w:spacing w:val="29"/>
          <w:sz w:val="24"/>
          <w:szCs w:val="24"/>
        </w:rPr>
        <w:t xml:space="preserve">c)  </w:t>
      </w:r>
      <w:r>
        <w:rPr>
          <w:spacing w:val="29"/>
          <w:sz w:val="24"/>
          <w:szCs w:val="24"/>
        </w:rPr>
        <w:t>要收集数据参照的相似装备和装备舱段情况说明；</w:t>
      </w:r>
    </w:p>
    <w:p w14:paraId="2EA99B9D">
      <w:pPr>
        <w:pStyle w:val="2"/>
        <w:spacing w:before="82" w:line="212" w:lineRule="auto"/>
        <w:ind w:left="560"/>
      </w:pPr>
      <w:r>
        <w:rPr>
          <w:rFonts w:ascii="Times New Roman" w:hAnsi="Times New Roman" w:eastAsia="Times New Roman" w:cs="Times New Roman"/>
          <w:spacing w:val="4"/>
        </w:rPr>
        <w:t>d)</w:t>
      </w:r>
      <w:r>
        <w:rPr>
          <w:rFonts w:ascii="Times New Roman" w:hAnsi="Times New Roman" w:eastAsia="Times New Roman" w:cs="Times New Roman"/>
          <w:spacing w:val="71"/>
          <w:w w:val="101"/>
        </w:rPr>
        <w:t xml:space="preserve"> </w:t>
      </w:r>
      <w:r>
        <w:rPr>
          <w:spacing w:val="4"/>
        </w:rPr>
        <w:t>要收集的自然环境数据相关标准和资料；</w:t>
      </w:r>
    </w:p>
    <w:p w14:paraId="10216F96">
      <w:pPr>
        <w:pStyle w:val="2"/>
        <w:spacing w:before="100"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60"/>
        </w:rPr>
        <w:t xml:space="preserve"> </w:t>
      </w:r>
      <w:r>
        <w:rPr>
          <w:spacing w:val="4"/>
        </w:rPr>
        <w:t>要收集的相似装备和装备舱段上的环境数据和(或)数据库；</w:t>
      </w:r>
    </w:p>
    <w:p w14:paraId="2A72ADF5">
      <w:pPr>
        <w:pStyle w:val="2"/>
        <w:spacing w:before="109" w:line="212" w:lineRule="auto"/>
        <w:ind w:left="560"/>
      </w:pPr>
      <w:r>
        <w:rPr>
          <w:rFonts w:ascii="Times New Roman" w:hAnsi="Times New Roman" w:eastAsia="Times New Roman" w:cs="Times New Roman"/>
          <w:spacing w:val="3"/>
        </w:rPr>
        <w:t>f)</w:t>
      </w:r>
      <w:r>
        <w:rPr>
          <w:rFonts w:ascii="Times New Roman" w:hAnsi="Times New Roman" w:eastAsia="Times New Roman" w:cs="Times New Roman"/>
          <w:spacing w:val="54"/>
          <w:w w:val="101"/>
        </w:rPr>
        <w:t xml:space="preserve"> </w:t>
      </w:r>
      <w:r>
        <w:rPr>
          <w:spacing w:val="3"/>
        </w:rPr>
        <w:t>数据收集机构和职责分工；</w:t>
      </w:r>
    </w:p>
    <w:p w14:paraId="0ABA9288">
      <w:pPr>
        <w:pStyle w:val="2"/>
        <w:spacing w:before="109" w:line="212" w:lineRule="auto"/>
        <w:ind w:left="560"/>
      </w:pPr>
      <w:r>
        <w:rPr>
          <w:rFonts w:ascii="Times New Roman" w:hAnsi="Times New Roman" w:eastAsia="Times New Roman" w:cs="Times New Roman"/>
          <w:spacing w:val="3"/>
        </w:rPr>
        <w:t xml:space="preserve">g)  </w:t>
      </w:r>
      <w:r>
        <w:rPr>
          <w:spacing w:val="3"/>
        </w:rPr>
        <w:t>收集数据的分析评估与筛选处理机构及其职责分工；</w:t>
      </w:r>
    </w:p>
    <w:p w14:paraId="45BB8FBF">
      <w:pPr>
        <w:pStyle w:val="2"/>
        <w:spacing w:before="70" w:line="212" w:lineRule="auto"/>
        <w:ind w:left="560"/>
      </w:pPr>
      <w:r>
        <w:rPr>
          <w:rFonts w:ascii="Times New Roman" w:hAnsi="Times New Roman" w:eastAsia="Times New Roman" w:cs="Times New Roman"/>
          <w:spacing w:val="3"/>
        </w:rPr>
        <w:t>h)</w:t>
      </w:r>
      <w:r>
        <w:rPr>
          <w:rFonts w:ascii="Times New Roman" w:hAnsi="Times New Roman" w:eastAsia="Times New Roman" w:cs="Times New Roman"/>
          <w:spacing w:val="1"/>
        </w:rPr>
        <w:t xml:space="preserve">  </w:t>
      </w:r>
      <w:r>
        <w:rPr>
          <w:spacing w:val="3"/>
        </w:rPr>
        <w:t>数据收集所需的经费估计；</w:t>
      </w:r>
    </w:p>
    <w:p w14:paraId="0BE98C39">
      <w:pPr>
        <w:pStyle w:val="2"/>
        <w:spacing w:before="90" w:line="212" w:lineRule="auto"/>
        <w:ind w:left="560"/>
      </w:pPr>
      <w:r>
        <w:rPr>
          <w:rFonts w:ascii="Times New Roman" w:hAnsi="Times New Roman" w:eastAsia="Times New Roman" w:cs="Times New Roman"/>
          <w:spacing w:val="3"/>
        </w:rPr>
        <w:t>i)</w:t>
      </w:r>
      <w:r>
        <w:rPr>
          <w:rFonts w:ascii="Times New Roman" w:hAnsi="Times New Roman" w:eastAsia="Times New Roman" w:cs="Times New Roman"/>
          <w:spacing w:val="65"/>
        </w:rPr>
        <w:t xml:space="preserve"> </w:t>
      </w:r>
      <w:r>
        <w:rPr>
          <w:spacing w:val="3"/>
        </w:rPr>
        <w:t>数据收集的进度安排。</w:t>
      </w:r>
    </w:p>
    <w:p w14:paraId="4D1BFE56">
      <w:pPr>
        <w:spacing w:before="125" w:line="222" w:lineRule="auto"/>
        <w:rPr>
          <w:rFonts w:ascii="黑体" w:hAnsi="黑体" w:eastAsia="黑体" w:cs="黑体"/>
          <w:sz w:val="27"/>
          <w:szCs w:val="27"/>
        </w:rPr>
      </w:pPr>
      <w:r>
        <w:rPr>
          <w:rFonts w:ascii="黑体" w:hAnsi="黑体" w:eastAsia="黑体" w:cs="黑体"/>
          <w:sz w:val="27"/>
          <w:szCs w:val="27"/>
        </w:rPr>
        <w:t>5</w:t>
      </w:r>
      <w:r>
        <w:rPr>
          <w:rFonts w:ascii="黑体" w:hAnsi="黑体" w:eastAsia="黑体" w:cs="黑体"/>
          <w:spacing w:val="16"/>
          <w:sz w:val="27"/>
          <w:szCs w:val="27"/>
        </w:rPr>
        <w:t xml:space="preserve">  </w:t>
      </w:r>
      <w:r>
        <w:rPr>
          <w:rFonts w:ascii="黑体" w:hAnsi="黑体" w:eastAsia="黑体" w:cs="黑体"/>
          <w:b/>
          <w:bCs/>
          <w:sz w:val="27"/>
          <w:szCs w:val="27"/>
        </w:rPr>
        <w:t>使用环境测量计划</w:t>
      </w:r>
    </w:p>
    <w:p w14:paraId="67FBFC60">
      <w:pPr>
        <w:pStyle w:val="2"/>
        <w:spacing w:before="90" w:line="278" w:lineRule="auto"/>
        <w:ind w:firstLine="560"/>
        <w:jc w:val="both"/>
      </w:pPr>
      <w:r>
        <w:rPr>
          <w:spacing w:val="5"/>
        </w:rPr>
        <w:t>使用环境测量计划包括自然环境测量计划(必要时)和相似装备平台诱发环</w:t>
      </w:r>
      <w:r>
        <w:rPr>
          <w:spacing w:val="17"/>
        </w:rPr>
        <w:t xml:space="preserve"> </w:t>
      </w:r>
      <w:r>
        <w:rPr>
          <w:spacing w:val="5"/>
        </w:rPr>
        <w:t>境测量计划，只针对使用环境数据表中缺少的环境数据或有怀疑或把握不大的</w:t>
      </w:r>
      <w:r>
        <w:rPr>
          <w:spacing w:val="10"/>
        </w:rPr>
        <w:t xml:space="preserve"> </w:t>
      </w:r>
      <w:r>
        <w:rPr>
          <w:spacing w:val="4"/>
        </w:rPr>
        <w:t>环境数据进行补充的测量。使用环境测量计划一般应包</w:t>
      </w:r>
      <w:r>
        <w:rPr>
          <w:spacing w:val="3"/>
        </w:rPr>
        <w:t>括以下内容：</w:t>
      </w:r>
    </w:p>
    <w:p w14:paraId="3A30FD36">
      <w:pPr>
        <w:pStyle w:val="2"/>
        <w:spacing w:before="1" w:line="218" w:lineRule="auto"/>
        <w:ind w:left="560"/>
      </w:pPr>
      <w:r>
        <w:rPr>
          <w:rFonts w:ascii="Times New Roman" w:hAnsi="Times New Roman" w:eastAsia="Times New Roman" w:cs="Times New Roman"/>
          <w:spacing w:val="10"/>
        </w:rPr>
        <w:t>a</w:t>
      </w:r>
      <w:r>
        <w:rPr>
          <w:spacing w:val="10"/>
        </w:rPr>
        <w:t>)要测量的数据类型和精度；</w:t>
      </w:r>
    </w:p>
    <w:p w14:paraId="0550A818">
      <w:pPr>
        <w:pStyle w:val="2"/>
        <w:spacing w:before="61" w:line="212" w:lineRule="auto"/>
        <w:ind w:left="560"/>
      </w:pPr>
      <w:r>
        <w:rPr>
          <w:rFonts w:ascii="Times New Roman" w:hAnsi="Times New Roman" w:eastAsia="Times New Roman" w:cs="Times New Roman"/>
          <w:spacing w:val="2"/>
        </w:rPr>
        <w:t>b)</w:t>
      </w:r>
      <w:r>
        <w:rPr>
          <w:rFonts w:ascii="Times New Roman" w:hAnsi="Times New Roman" w:eastAsia="Times New Roman" w:cs="Times New Roman"/>
          <w:spacing w:val="67"/>
        </w:rPr>
        <w:t xml:space="preserve"> </w:t>
      </w:r>
      <w:r>
        <w:rPr>
          <w:spacing w:val="2"/>
        </w:rPr>
        <w:t>要测量的数据样本量；</w:t>
      </w:r>
    </w:p>
    <w:p w14:paraId="7DBB83E3">
      <w:pPr>
        <w:pStyle w:val="2"/>
        <w:spacing w:before="10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62"/>
          <w:w w:val="101"/>
        </w:rPr>
        <w:t xml:space="preserve"> </w:t>
      </w:r>
      <w:r>
        <w:rPr>
          <w:spacing w:val="4"/>
        </w:rPr>
        <w:t>测量的自然环境地区和/或相似装备及其</w:t>
      </w:r>
      <w:r>
        <w:rPr>
          <w:spacing w:val="3"/>
        </w:rPr>
        <w:t>说明；</w:t>
      </w:r>
    </w:p>
    <w:p w14:paraId="50353207">
      <w:pPr>
        <w:pStyle w:val="2"/>
        <w:spacing w:before="100" w:line="212" w:lineRule="auto"/>
        <w:ind w:left="560"/>
      </w:pPr>
      <w:r>
        <w:rPr>
          <w:rFonts w:ascii="Times New Roman" w:hAnsi="Times New Roman" w:eastAsia="Times New Roman" w:cs="Times New Roman"/>
          <w:spacing w:val="2"/>
        </w:rPr>
        <w:t xml:space="preserve">d)  </w:t>
      </w:r>
      <w:r>
        <w:rPr>
          <w:spacing w:val="2"/>
        </w:rPr>
        <w:t>在装备或平台上的测试部位；</w:t>
      </w:r>
    </w:p>
    <w:p w14:paraId="1D54B1F6">
      <w:pPr>
        <w:pStyle w:val="2"/>
        <w:spacing w:before="110" w:line="212" w:lineRule="auto"/>
        <w:ind w:left="560"/>
      </w:pPr>
      <w:r>
        <w:rPr>
          <w:rFonts w:ascii="Times New Roman" w:hAnsi="Times New Roman" w:eastAsia="Times New Roman" w:cs="Times New Roman"/>
          <w:spacing w:val="-5"/>
        </w:rPr>
        <w:t>e)</w:t>
      </w:r>
      <w:r>
        <w:rPr>
          <w:rFonts w:ascii="Times New Roman" w:hAnsi="Times New Roman" w:eastAsia="Times New Roman" w:cs="Times New Roman"/>
          <w:spacing w:val="63"/>
        </w:rPr>
        <w:t xml:space="preserve"> </w:t>
      </w:r>
      <w:r>
        <w:rPr>
          <w:spacing w:val="-5"/>
        </w:rPr>
        <w:t>测量系统仪器、传感器、数据采集和处理设备及</w:t>
      </w:r>
      <w:r>
        <w:rPr>
          <w:spacing w:val="-6"/>
        </w:rPr>
        <w:t>其检定要求；</w:t>
      </w:r>
    </w:p>
    <w:p w14:paraId="6CADF539">
      <w:pPr>
        <w:pStyle w:val="2"/>
        <w:spacing w:before="90" w:line="212" w:lineRule="auto"/>
        <w:ind w:left="560"/>
      </w:pPr>
      <w:r>
        <w:rPr>
          <w:rFonts w:ascii="Times New Roman" w:hAnsi="Times New Roman" w:eastAsia="Times New Roman" w:cs="Times New Roman"/>
          <w:spacing w:val="3"/>
        </w:rPr>
        <w:t xml:space="preserve">f)  </w:t>
      </w:r>
      <w:r>
        <w:rPr>
          <w:spacing w:val="3"/>
        </w:rPr>
        <w:t>测量环境时装备运行的任务剖面和测量次数；</w:t>
      </w:r>
    </w:p>
    <w:p w14:paraId="1A5DAAAE">
      <w:pPr>
        <w:pStyle w:val="2"/>
        <w:spacing w:before="151" w:line="212" w:lineRule="auto"/>
        <w:ind w:left="560"/>
        <w:rPr>
          <w:sz w:val="24"/>
          <w:szCs w:val="24"/>
        </w:rPr>
      </w:pPr>
      <w:r>
        <w:rPr>
          <w:rFonts w:ascii="Times New Roman" w:hAnsi="Times New Roman" w:eastAsia="Times New Roman" w:cs="Times New Roman"/>
          <w:spacing w:val="27"/>
          <w:sz w:val="24"/>
          <w:szCs w:val="24"/>
        </w:rPr>
        <w:t>g)</w:t>
      </w:r>
      <w:r>
        <w:rPr>
          <w:rFonts w:ascii="Times New Roman" w:hAnsi="Times New Roman" w:eastAsia="Times New Roman" w:cs="Times New Roman"/>
          <w:spacing w:val="26"/>
          <w:w w:val="101"/>
          <w:sz w:val="24"/>
          <w:szCs w:val="24"/>
        </w:rPr>
        <w:t xml:space="preserve">  </w:t>
      </w:r>
      <w:r>
        <w:rPr>
          <w:spacing w:val="27"/>
          <w:sz w:val="24"/>
          <w:szCs w:val="24"/>
        </w:rPr>
        <w:t>负责测量的实施机构和职能；</w:t>
      </w:r>
    </w:p>
    <w:p w14:paraId="578F935D">
      <w:pPr>
        <w:pStyle w:val="2"/>
        <w:spacing w:before="93" w:line="212" w:lineRule="auto"/>
        <w:ind w:left="560"/>
      </w:pPr>
      <w:r>
        <w:rPr>
          <w:rFonts w:ascii="Times New Roman" w:hAnsi="Times New Roman" w:eastAsia="Times New Roman" w:cs="Times New Roman"/>
          <w:spacing w:val="-4"/>
        </w:rPr>
        <w:t xml:space="preserve">h)  </w:t>
      </w:r>
      <w:r>
        <w:rPr>
          <w:spacing w:val="-4"/>
        </w:rPr>
        <w:t>测量工作所需要的器材、人员及设施；</w:t>
      </w:r>
    </w:p>
    <w:p w14:paraId="38FF0977">
      <w:pPr>
        <w:pStyle w:val="2"/>
        <w:spacing w:before="100" w:line="212" w:lineRule="auto"/>
        <w:ind w:left="560"/>
      </w:pPr>
      <w:r>
        <w:rPr>
          <w:rFonts w:ascii="Times New Roman" w:hAnsi="Times New Roman" w:eastAsia="Times New Roman" w:cs="Times New Roman"/>
          <w:spacing w:val="2"/>
        </w:rPr>
        <w:t>i)</w:t>
      </w:r>
      <w:r>
        <w:rPr>
          <w:rFonts w:ascii="Times New Roman" w:hAnsi="Times New Roman" w:eastAsia="Times New Roman" w:cs="Times New Roman"/>
          <w:spacing w:val="59"/>
        </w:rPr>
        <w:t xml:space="preserve"> </w:t>
      </w:r>
      <w:r>
        <w:rPr>
          <w:spacing w:val="2"/>
        </w:rPr>
        <w:t>测量工作进度安排；</w:t>
      </w:r>
    </w:p>
    <w:p w14:paraId="5D59B7BA">
      <w:pPr>
        <w:pStyle w:val="2"/>
        <w:spacing w:before="110" w:line="212" w:lineRule="auto"/>
        <w:ind w:left="560"/>
      </w:pPr>
      <w:r>
        <w:rPr>
          <w:rFonts w:ascii="Times New Roman" w:hAnsi="Times New Roman" w:eastAsia="Times New Roman" w:cs="Times New Roman"/>
          <w:spacing w:val="4"/>
        </w:rPr>
        <w:t>j)</w:t>
      </w:r>
      <w:r>
        <w:rPr>
          <w:rFonts w:ascii="Times New Roman" w:hAnsi="Times New Roman" w:eastAsia="Times New Roman" w:cs="Times New Roman"/>
          <w:spacing w:val="37"/>
        </w:rPr>
        <w:t xml:space="preserve"> </w:t>
      </w:r>
      <w:r>
        <w:rPr>
          <w:spacing w:val="4"/>
        </w:rPr>
        <w:t>测量工作经费估计。</w:t>
      </w:r>
    </w:p>
    <w:p w14:paraId="646D997A">
      <w:pPr>
        <w:spacing w:line="351" w:lineRule="auto"/>
        <w:rPr>
          <w:rFonts w:ascii="Arial"/>
          <w:sz w:val="21"/>
        </w:rPr>
      </w:pPr>
    </w:p>
    <w:p w14:paraId="236FEE38">
      <w:pPr>
        <w:pStyle w:val="2"/>
        <w:spacing w:before="117" w:line="220" w:lineRule="auto"/>
        <w:ind w:left="2889"/>
        <w:rPr>
          <w:sz w:val="36"/>
          <w:szCs w:val="36"/>
        </w:rPr>
      </w:pPr>
      <w:r>
        <w:rPr>
          <w:sz w:val="36"/>
          <w:szCs w:val="36"/>
        </w:rPr>
        <w:t>12.</w:t>
      </w:r>
      <w:r>
        <w:rPr>
          <w:b/>
          <w:bCs/>
          <w:sz w:val="36"/>
          <w:szCs w:val="36"/>
        </w:rPr>
        <w:t>4</w:t>
      </w:r>
      <w:r>
        <w:rPr>
          <w:sz w:val="36"/>
          <w:szCs w:val="36"/>
        </w:rPr>
        <w:t xml:space="preserve">  </w:t>
      </w:r>
      <w:r>
        <w:rPr>
          <w:b/>
          <w:bCs/>
          <w:sz w:val="36"/>
          <w:szCs w:val="36"/>
        </w:rPr>
        <w:t>环境适应性要求</w:t>
      </w:r>
    </w:p>
    <w:p w14:paraId="47232863">
      <w:pPr>
        <w:spacing w:line="336" w:lineRule="auto"/>
        <w:rPr>
          <w:rFonts w:ascii="Arial"/>
          <w:sz w:val="21"/>
        </w:rPr>
      </w:pPr>
    </w:p>
    <w:p w14:paraId="5CB7EC2E">
      <w:pPr>
        <w:pStyle w:val="2"/>
        <w:spacing w:before="91" w:line="226" w:lineRule="auto"/>
        <w:ind w:left="564"/>
        <w:rPr>
          <w:rFonts w:ascii="楷体" w:hAnsi="楷体" w:eastAsia="楷体" w:cs="楷体"/>
          <w:sz w:val="28"/>
          <w:szCs w:val="28"/>
        </w:rPr>
      </w:pPr>
      <w:r>
        <w:rPr>
          <w:rFonts w:ascii="楷体" w:hAnsi="楷体" w:eastAsia="楷体" w:cs="楷体"/>
          <w:b/>
          <w:bCs/>
          <w:spacing w:val="-11"/>
          <w:sz w:val="28"/>
          <w:szCs w:val="28"/>
        </w:rPr>
        <w:t>按照</w:t>
      </w:r>
      <w:r>
        <w:rPr>
          <w:rFonts w:ascii="Times New Roman" w:hAnsi="Times New Roman" w:eastAsia="Times New Roman" w:cs="Times New Roman"/>
          <w:spacing w:val="-11"/>
          <w:sz w:val="28"/>
          <w:szCs w:val="28"/>
        </w:rPr>
        <w:t>GJB 4239—2001</w:t>
      </w:r>
      <w:r>
        <w:rPr>
          <w:spacing w:val="-11"/>
          <w:sz w:val="28"/>
          <w:szCs w:val="28"/>
        </w:rPr>
        <w:t>《</w:t>
      </w:r>
      <w:r>
        <w:rPr>
          <w:rFonts w:ascii="楷体" w:hAnsi="楷体" w:eastAsia="楷体" w:cs="楷体"/>
          <w:spacing w:val="-11"/>
          <w:sz w:val="28"/>
          <w:szCs w:val="28"/>
        </w:rPr>
        <w:t>装备环境工程通用要求》编写。</w:t>
      </w:r>
    </w:p>
    <w:p w14:paraId="14B67C36">
      <w:pPr>
        <w:spacing w:before="66" w:line="223" w:lineRule="auto"/>
        <w:rPr>
          <w:rFonts w:ascii="黑体" w:hAnsi="黑体" w:eastAsia="黑体" w:cs="黑体"/>
          <w:sz w:val="27"/>
          <w:szCs w:val="27"/>
        </w:rPr>
      </w:pPr>
      <w:r>
        <w:rPr>
          <w:rFonts w:ascii="黑体" w:hAnsi="黑体" w:eastAsia="黑体" w:cs="黑体"/>
          <w:spacing w:val="-7"/>
          <w:sz w:val="27"/>
          <w:szCs w:val="27"/>
        </w:rPr>
        <w:t>1</w:t>
      </w:r>
      <w:r>
        <w:rPr>
          <w:rFonts w:ascii="黑体" w:hAnsi="黑体" w:eastAsia="黑体" w:cs="黑体"/>
          <w:spacing w:val="28"/>
          <w:sz w:val="27"/>
          <w:szCs w:val="27"/>
        </w:rPr>
        <w:t xml:space="preserve">  </w:t>
      </w:r>
      <w:r>
        <w:rPr>
          <w:rFonts w:ascii="黑体" w:hAnsi="黑体" w:eastAsia="黑体" w:cs="黑体"/>
          <w:b/>
          <w:bCs/>
          <w:spacing w:val="-7"/>
          <w:sz w:val="27"/>
          <w:szCs w:val="27"/>
        </w:rPr>
        <w:t>目的和用途</w:t>
      </w:r>
    </w:p>
    <w:p w14:paraId="2C18759A">
      <w:pPr>
        <w:pStyle w:val="2"/>
        <w:spacing w:before="85" w:line="279" w:lineRule="auto"/>
        <w:ind w:right="20" w:firstLine="560"/>
        <w:jc w:val="both"/>
      </w:pPr>
      <w:r>
        <w:rPr>
          <w:spacing w:val="13"/>
        </w:rPr>
        <w:t>说明编制环境适应性要求文件的目的和用途。编制环境适应性要求文件</w:t>
      </w:r>
      <w:r>
        <w:rPr>
          <w:spacing w:val="17"/>
        </w:rPr>
        <w:t xml:space="preserve"> </w:t>
      </w:r>
      <w:r>
        <w:rPr>
          <w:spacing w:val="14"/>
        </w:rPr>
        <w:t>的目的是为装备及其下层产品提供一套完整的环境适</w:t>
      </w:r>
      <w:r>
        <w:rPr>
          <w:spacing w:val="13"/>
        </w:rPr>
        <w:t>应性要求，作为研制总</w:t>
      </w:r>
      <w:r>
        <w:t xml:space="preserve"> </w:t>
      </w:r>
      <w:r>
        <w:rPr>
          <w:spacing w:val="13"/>
        </w:rPr>
        <w:t>要求或合同(协议)中提出相应环境适应性要求和规定环境适应性验证要求的</w:t>
      </w:r>
      <w:r>
        <w:rPr>
          <w:spacing w:val="8"/>
        </w:rPr>
        <w:t xml:space="preserve"> </w:t>
      </w:r>
      <w:r>
        <w:rPr>
          <w:spacing w:val="1"/>
        </w:rPr>
        <w:t>依据。</w:t>
      </w:r>
    </w:p>
    <w:p w14:paraId="26BDA808">
      <w:pPr>
        <w:spacing w:before="33" w:line="221" w:lineRule="auto"/>
        <w:outlineLvl w:val="3"/>
        <w:rPr>
          <w:rFonts w:ascii="黑体" w:hAnsi="黑体" w:eastAsia="黑体" w:cs="黑体"/>
          <w:sz w:val="24"/>
          <w:szCs w:val="24"/>
        </w:rPr>
      </w:pPr>
      <w:r>
        <w:rPr>
          <w:rFonts w:ascii="Arial" w:hAnsi="Arial" w:eastAsia="Arial" w:cs="Arial"/>
          <w:b/>
          <w:bCs/>
          <w:spacing w:val="16"/>
          <w:sz w:val="24"/>
          <w:szCs w:val="24"/>
        </w:rPr>
        <w:t xml:space="preserve">2    </w:t>
      </w:r>
      <w:r>
        <w:rPr>
          <w:rFonts w:ascii="黑体" w:hAnsi="黑体" w:eastAsia="黑体" w:cs="黑体"/>
          <w:b/>
          <w:bCs/>
          <w:spacing w:val="16"/>
          <w:sz w:val="24"/>
          <w:szCs w:val="24"/>
        </w:rPr>
        <w:t>编写依据</w:t>
      </w:r>
    </w:p>
    <w:p w14:paraId="10E5871E">
      <w:pPr>
        <w:pStyle w:val="2"/>
        <w:spacing w:before="99" w:line="287" w:lineRule="auto"/>
        <w:ind w:firstLine="560"/>
      </w:pPr>
      <w:r>
        <w:rPr>
          <w:spacing w:val="1"/>
        </w:rPr>
        <w:t>说明编制环境适应性要求所依据的各种文件和标准。 一般包括：寿命期环</w:t>
      </w:r>
      <w:r>
        <w:rPr>
          <w:spacing w:val="15"/>
        </w:rPr>
        <w:t xml:space="preserve"> </w:t>
      </w:r>
      <w:r>
        <w:rPr>
          <w:spacing w:val="-9"/>
        </w:rPr>
        <w:t>境剖面；使用环境文件；其他相关文件和标准。</w:t>
      </w:r>
    </w:p>
    <w:p w14:paraId="3629D784">
      <w:pPr>
        <w:spacing w:line="287" w:lineRule="auto"/>
        <w:sectPr>
          <w:footerReference r:id="rId581" w:type="default"/>
          <w:pgSz w:w="11910" w:h="17130"/>
          <w:pgMar w:top="400" w:right="1395" w:bottom="1730" w:left="1130" w:header="0" w:footer="1444" w:gutter="0"/>
          <w:cols w:space="720" w:num="1"/>
        </w:sectPr>
      </w:pPr>
    </w:p>
    <w:p w14:paraId="1C787536">
      <w:pPr>
        <w:spacing w:line="251" w:lineRule="auto"/>
        <w:rPr>
          <w:rFonts w:ascii="Arial"/>
          <w:sz w:val="21"/>
        </w:rPr>
      </w:pPr>
    </w:p>
    <w:p w14:paraId="7D2C000C">
      <w:pPr>
        <w:spacing w:line="252" w:lineRule="auto"/>
        <w:rPr>
          <w:rFonts w:ascii="Arial"/>
          <w:sz w:val="21"/>
        </w:rPr>
      </w:pPr>
    </w:p>
    <w:p w14:paraId="745865AB">
      <w:pPr>
        <w:spacing w:line="252" w:lineRule="auto"/>
        <w:rPr>
          <w:rFonts w:ascii="Arial"/>
          <w:sz w:val="21"/>
        </w:rPr>
      </w:pPr>
    </w:p>
    <w:p w14:paraId="7B7162AF">
      <w:pPr>
        <w:spacing w:line="252" w:lineRule="auto"/>
        <w:rPr>
          <w:rFonts w:ascii="Arial"/>
          <w:sz w:val="21"/>
        </w:rPr>
      </w:pPr>
    </w:p>
    <w:p w14:paraId="60B3BB9B">
      <w:pPr>
        <w:spacing w:before="88" w:line="368" w:lineRule="exact"/>
        <w:rPr>
          <w:rFonts w:ascii="黑体" w:hAnsi="黑体" w:eastAsia="黑体" w:cs="黑体"/>
          <w:sz w:val="27"/>
          <w:szCs w:val="27"/>
        </w:rPr>
      </w:pPr>
      <w:r>
        <w:rPr>
          <w:rFonts w:ascii="Arial" w:hAnsi="Arial" w:eastAsia="Arial" w:cs="Arial"/>
          <w:spacing w:val="4"/>
          <w:position w:val="1"/>
          <w:sz w:val="27"/>
          <w:szCs w:val="27"/>
        </w:rPr>
        <w:t>3</w:t>
      </w:r>
      <w:r>
        <w:rPr>
          <w:rFonts w:ascii="Arial" w:hAnsi="Arial" w:eastAsia="Arial" w:cs="Arial"/>
          <w:spacing w:val="15"/>
          <w:position w:val="1"/>
          <w:sz w:val="27"/>
          <w:szCs w:val="27"/>
        </w:rPr>
        <w:t xml:space="preserve">   </w:t>
      </w:r>
      <w:r>
        <w:rPr>
          <w:rFonts w:ascii="黑体" w:hAnsi="黑体" w:eastAsia="黑体" w:cs="黑体"/>
          <w:spacing w:val="4"/>
          <w:position w:val="1"/>
          <w:sz w:val="27"/>
          <w:szCs w:val="27"/>
        </w:rPr>
        <w:t>环境适应性要求</w:t>
      </w:r>
    </w:p>
    <w:p w14:paraId="593BA289">
      <w:pPr>
        <w:pStyle w:val="2"/>
        <w:spacing w:before="30" w:line="291" w:lineRule="auto"/>
        <w:ind w:right="92" w:firstLine="560"/>
      </w:pPr>
      <w:r>
        <w:rPr>
          <w:spacing w:val="6"/>
        </w:rPr>
        <w:t>包括装备及其下层产品应耐受的单一环境因素、综合环境因素及其定性与</w:t>
      </w:r>
      <w:r>
        <w:t xml:space="preserve"> </w:t>
      </w:r>
      <w:r>
        <w:rPr>
          <w:spacing w:val="-1"/>
        </w:rPr>
        <w:t>定量描述。</w:t>
      </w:r>
    </w:p>
    <w:p w14:paraId="19949679">
      <w:pPr>
        <w:pStyle w:val="2"/>
        <w:spacing w:before="14" w:line="278" w:lineRule="auto"/>
        <w:ind w:right="103" w:firstLine="570"/>
        <w:jc w:val="both"/>
      </w:pPr>
      <w:r>
        <w:rPr>
          <w:spacing w:val="5"/>
        </w:rPr>
        <w:t>装备环境适应性要求包括整个装备对其寿命期预期遇到的自然和诱发环境</w:t>
      </w:r>
      <w:r>
        <w:rPr>
          <w:spacing w:val="10"/>
        </w:rPr>
        <w:t xml:space="preserve"> </w:t>
      </w:r>
      <w:r>
        <w:rPr>
          <w:spacing w:val="5"/>
        </w:rPr>
        <w:t>的环境适应性要求和装备下层产品对其所处的微环境或平台环境的环境适应性</w:t>
      </w:r>
      <w:r>
        <w:rPr>
          <w:spacing w:val="9"/>
        </w:rPr>
        <w:t xml:space="preserve"> </w:t>
      </w:r>
      <w:r>
        <w:rPr>
          <w:spacing w:val="5"/>
        </w:rPr>
        <w:t>要求。装备的微环境或平台环境往往不同于整个装备遇到的环境，这种微环境</w:t>
      </w:r>
      <w:r>
        <w:rPr>
          <w:spacing w:val="10"/>
        </w:rPr>
        <w:t xml:space="preserve"> </w:t>
      </w:r>
      <w:r>
        <w:rPr>
          <w:spacing w:val="-3"/>
        </w:rPr>
        <w:t>或平台环境取决于装备本身对自然环境和诱发环境的遮护、封闭或转换作用，微</w:t>
      </w:r>
      <w:r>
        <w:rPr>
          <w:spacing w:val="14"/>
        </w:rPr>
        <w:t xml:space="preserve"> </w:t>
      </w:r>
      <w:r>
        <w:rPr>
          <w:spacing w:val="5"/>
        </w:rPr>
        <w:t>环境或平台环境内设备(包括其自身)的工作产生热或振动等环境的影响，以及</w:t>
      </w:r>
      <w:r>
        <w:rPr>
          <w:spacing w:val="8"/>
        </w:rPr>
        <w:t xml:space="preserve"> </w:t>
      </w:r>
      <w:r>
        <w:rPr>
          <w:spacing w:val="5"/>
        </w:rPr>
        <w:t>设备自身的环控系统等。因此，整个装备和装备各部位需要考虑的环境因素种</w:t>
      </w:r>
      <w:r>
        <w:rPr>
          <w:spacing w:val="18"/>
        </w:rPr>
        <w:t xml:space="preserve"> </w:t>
      </w:r>
      <w:r>
        <w:rPr>
          <w:spacing w:val="-3"/>
        </w:rPr>
        <w:t>类往往是不同的，即使考虑的环境因素相同，其量值也可能是不同的，应当按整</w:t>
      </w:r>
      <w:r>
        <w:rPr>
          <w:spacing w:val="17"/>
        </w:rPr>
        <w:t xml:space="preserve"> </w:t>
      </w:r>
      <w:r>
        <w:rPr>
          <w:spacing w:val="1"/>
        </w:rPr>
        <w:t>个装备和装备各个区、舱、段分别给出其环境适应性要求(要考虑的环境因素及</w:t>
      </w:r>
      <w:r>
        <w:rPr>
          <w:spacing w:val="13"/>
        </w:rPr>
        <w:t xml:space="preserve"> </w:t>
      </w:r>
      <w:r>
        <w:rPr>
          <w:spacing w:val="-1"/>
        </w:rPr>
        <w:t>其应力量值)。各舱、</w:t>
      </w:r>
      <w:r>
        <w:rPr>
          <w:rFonts w:ascii="仿宋" w:hAnsi="仿宋" w:eastAsia="仿宋" w:cs="仿宋"/>
          <w:spacing w:val="-1"/>
        </w:rPr>
        <w:t>段</w:t>
      </w:r>
      <w:r>
        <w:rPr>
          <w:rFonts w:ascii="仿宋" w:hAnsi="仿宋" w:eastAsia="仿宋" w:cs="仿宋"/>
          <w:spacing w:val="-56"/>
        </w:rPr>
        <w:t xml:space="preserve"> </w:t>
      </w:r>
      <w:r>
        <w:rPr>
          <w:rFonts w:ascii="仿宋" w:hAnsi="仿宋" w:eastAsia="仿宋" w:cs="仿宋"/>
          <w:spacing w:val="-1"/>
        </w:rPr>
        <w:t>、</w:t>
      </w:r>
      <w:r>
        <w:rPr>
          <w:spacing w:val="-1"/>
        </w:rPr>
        <w:t>区的环境适应性要求作为其内安装设备的环境适应性</w:t>
      </w:r>
      <w:r>
        <w:t xml:space="preserve"> </w:t>
      </w:r>
      <w:r>
        <w:rPr>
          <w:spacing w:val="-4"/>
        </w:rPr>
        <w:t>要求。</w:t>
      </w:r>
    </w:p>
    <w:p w14:paraId="656684B4">
      <w:pPr>
        <w:pStyle w:val="2"/>
        <w:spacing w:before="7" w:line="279" w:lineRule="auto"/>
        <w:ind w:firstLine="600"/>
        <w:jc w:val="both"/>
      </w:pPr>
      <w:r>
        <w:rPr>
          <w:spacing w:val="14"/>
        </w:rPr>
        <w:t>装备的环境适应性要求一般应包括其结构件的环境适应性要求和功能件</w:t>
      </w:r>
      <w:r>
        <w:rPr>
          <w:spacing w:val="6"/>
        </w:rPr>
        <w:t xml:space="preserve"> </w:t>
      </w:r>
      <w:r>
        <w:rPr>
          <w:spacing w:val="14"/>
        </w:rPr>
        <w:t>的环境适应性要求。结构件不像设备和系统这</w:t>
      </w:r>
      <w:r>
        <w:rPr>
          <w:spacing w:val="13"/>
        </w:rPr>
        <w:t>种功能件那样具有可直接测量</w:t>
      </w:r>
      <w:r>
        <w:t xml:space="preserve">  </w:t>
      </w:r>
      <w:r>
        <w:rPr>
          <w:spacing w:val="5"/>
        </w:rPr>
        <w:t xml:space="preserve">到的运行功能和工作性能，其在环境作用下的破坏主要表现为在贮存、运输等  </w:t>
      </w:r>
      <w:r>
        <w:rPr>
          <w:spacing w:val="1"/>
        </w:rPr>
        <w:t>非工作状态下在各种力学、气候、化学、生物环境综合作用下形貌和表面特性、</w:t>
      </w:r>
      <w:r>
        <w:t xml:space="preserve"> </w:t>
      </w:r>
      <w:r>
        <w:rPr>
          <w:spacing w:val="7"/>
        </w:rPr>
        <w:t>力学性能的变化和损坏，从而失去其对装备的支撑和保护作用。</w:t>
      </w:r>
      <w:r>
        <w:rPr>
          <w:spacing w:val="83"/>
        </w:rPr>
        <w:t xml:space="preserve"> </w:t>
      </w:r>
      <w:r>
        <w:rPr>
          <w:spacing w:val="7"/>
        </w:rPr>
        <w:t>一般通过选</w:t>
      </w:r>
      <w:r>
        <w:t xml:space="preserve">  </w:t>
      </w:r>
      <w:r>
        <w:rPr>
          <w:spacing w:val="5"/>
        </w:rPr>
        <w:t>用耐自然环境影响(如腐蚀、老化)能力强的材料与工艺、在外形和尺寸上进行</w:t>
      </w:r>
      <w:r>
        <w:rPr>
          <w:spacing w:val="3"/>
        </w:rPr>
        <w:t xml:space="preserve">  </w:t>
      </w:r>
      <w:r>
        <w:rPr>
          <w:spacing w:val="14"/>
        </w:rPr>
        <w:t>优化设计、进行力学性能裕度设计和损伤容限设计等来保</w:t>
      </w:r>
      <w:r>
        <w:rPr>
          <w:spacing w:val="13"/>
        </w:rPr>
        <w:t>证其适应未来的自</w:t>
      </w:r>
      <w:r>
        <w:t xml:space="preserve">  </w:t>
      </w:r>
      <w:r>
        <w:rPr>
          <w:spacing w:val="14"/>
        </w:rPr>
        <w:t>然和诱发环境的长期综合影响，不单独规定其环</w:t>
      </w:r>
      <w:r>
        <w:rPr>
          <w:spacing w:val="13"/>
        </w:rPr>
        <w:t>境适应性指标。对于一些可</w:t>
      </w:r>
      <w:r>
        <w:t xml:space="preserve">  </w:t>
      </w:r>
      <w:r>
        <w:rPr>
          <w:spacing w:val="5"/>
        </w:rPr>
        <w:t>更换或便于维修的结构件，则可以通过规定应力作用下，产生腐蚀或其他破坏</w:t>
      </w:r>
      <w:r>
        <w:rPr>
          <w:spacing w:val="6"/>
        </w:rPr>
        <w:t xml:space="preserve">  </w:t>
      </w:r>
      <w:r>
        <w:rPr>
          <w:spacing w:val="14"/>
        </w:rPr>
        <w:t>形式的程度进行定性或定量表征，也可规定某一结构件</w:t>
      </w:r>
      <w:r>
        <w:rPr>
          <w:spacing w:val="13"/>
        </w:rPr>
        <w:t>的翻修期或更换期限</w:t>
      </w:r>
      <w:r>
        <w:t xml:space="preserve">  </w:t>
      </w:r>
      <w:r>
        <w:rPr>
          <w:spacing w:val="7"/>
        </w:rPr>
        <w:t>作为指标要求。</w:t>
      </w:r>
    </w:p>
    <w:p w14:paraId="03CC47A8">
      <w:pPr>
        <w:pStyle w:val="2"/>
        <w:spacing w:before="7" w:line="278" w:lineRule="auto"/>
        <w:ind w:firstLine="600"/>
        <w:jc w:val="both"/>
      </w:pPr>
      <w:r>
        <w:rPr>
          <w:spacing w:val="4"/>
        </w:rPr>
        <w:t>目前工程中更为关注的是有功能的产品整机、系统和设备的环境适应性要</w:t>
      </w:r>
      <w:r>
        <w:rPr>
          <w:spacing w:val="14"/>
        </w:rPr>
        <w:t xml:space="preserve"> </w:t>
      </w:r>
      <w:r>
        <w:rPr>
          <w:spacing w:val="6"/>
        </w:rPr>
        <w:t>求。这种环境适应性要求对应的环境是装备运输和使用状态，特别是作战工作</w:t>
      </w:r>
      <w:r>
        <w:rPr>
          <w:spacing w:val="2"/>
        </w:rPr>
        <w:t xml:space="preserve"> </w:t>
      </w:r>
      <w:r>
        <w:rPr>
          <w:spacing w:val="5"/>
        </w:rPr>
        <w:t>状态遇到的各种气候和动力学及其综合构成的环境，这类产品在各种自然和诱  发的环境应力作用下，很快引起破坏(如结构件断裂)</w:t>
      </w:r>
      <w:r>
        <w:rPr>
          <w:spacing w:val="4"/>
        </w:rPr>
        <w:t>,失去功能或性能超差等。</w:t>
      </w:r>
      <w:r>
        <w:t xml:space="preserve"> </w:t>
      </w:r>
      <w:r>
        <w:rPr>
          <w:spacing w:val="5"/>
        </w:rPr>
        <w:t xml:space="preserve">这种环境适应性要求一般可用环境应力强度大小来表征。应当指出产品性能参  </w:t>
      </w:r>
      <w:r>
        <w:rPr>
          <w:spacing w:val="-2"/>
        </w:rPr>
        <w:t>数容差范围的不同会影响耐环境设计，如容差范</w:t>
      </w:r>
      <w:r>
        <w:rPr>
          <w:spacing w:val="-3"/>
        </w:rPr>
        <w:t>围小，则要求在环境应力作用下</w:t>
      </w:r>
      <w:r>
        <w:t xml:space="preserve">  </w:t>
      </w:r>
      <w:r>
        <w:rPr>
          <w:spacing w:val="-2"/>
        </w:rPr>
        <w:t>性能参数偏离指标值要小，从而提高耐环境设</w:t>
      </w:r>
      <w:r>
        <w:rPr>
          <w:spacing w:val="-3"/>
        </w:rPr>
        <w:t>计要求。</w:t>
      </w:r>
    </w:p>
    <w:p w14:paraId="4EFC214F">
      <w:pPr>
        <w:pStyle w:val="2"/>
        <w:spacing w:before="1" w:line="281" w:lineRule="auto"/>
        <w:ind w:firstLine="600"/>
        <w:jc w:val="both"/>
      </w:pPr>
      <w:r>
        <w:rPr>
          <w:spacing w:val="13"/>
        </w:rPr>
        <w:t>表12.3列出了各环境因素的环境适应性要求示例。具体产品的环境适应</w:t>
      </w:r>
      <w:r>
        <w:rPr>
          <w:spacing w:val="11"/>
        </w:rPr>
        <w:t xml:space="preserve"> </w:t>
      </w:r>
      <w:r>
        <w:rPr>
          <w:spacing w:val="1"/>
        </w:rPr>
        <w:t>性要求，应根据装备寿命期环境剖面和使用环境文件，结合收集到的环境数</w:t>
      </w:r>
      <w:r>
        <w:t xml:space="preserve">据， </w:t>
      </w:r>
      <w:r>
        <w:rPr>
          <w:spacing w:val="2"/>
        </w:rPr>
        <w:t>考虑各环境因素对装备的影响后剪裁确定。</w:t>
      </w:r>
    </w:p>
    <w:p w14:paraId="745B56E2">
      <w:pPr>
        <w:spacing w:line="281" w:lineRule="auto"/>
        <w:sectPr>
          <w:footerReference r:id="rId582" w:type="default"/>
          <w:pgSz w:w="11910" w:h="17130"/>
          <w:pgMar w:top="400" w:right="834" w:bottom="1680" w:left="1589" w:header="0" w:footer="1394" w:gutter="0"/>
          <w:cols w:space="720" w:num="1"/>
        </w:sectPr>
      </w:pPr>
    </w:p>
    <w:p w14:paraId="513BDB71">
      <w:pPr>
        <w:spacing w:line="275" w:lineRule="auto"/>
        <w:rPr>
          <w:rFonts w:ascii="Arial"/>
          <w:sz w:val="21"/>
        </w:rPr>
      </w:pPr>
    </w:p>
    <w:p w14:paraId="2D59EC5F">
      <w:pPr>
        <w:spacing w:line="275" w:lineRule="auto"/>
        <w:rPr>
          <w:rFonts w:ascii="Arial"/>
          <w:sz w:val="21"/>
        </w:rPr>
      </w:pPr>
    </w:p>
    <w:p w14:paraId="375815D4">
      <w:pPr>
        <w:spacing w:line="275" w:lineRule="auto"/>
        <w:rPr>
          <w:rFonts w:ascii="Arial"/>
          <w:sz w:val="21"/>
        </w:rPr>
      </w:pPr>
    </w:p>
    <w:p w14:paraId="29BF6AA7">
      <w:pPr>
        <w:spacing w:line="275" w:lineRule="auto"/>
        <w:rPr>
          <w:rFonts w:ascii="Arial"/>
          <w:sz w:val="21"/>
        </w:rPr>
      </w:pPr>
    </w:p>
    <w:p w14:paraId="708805DD">
      <w:pPr>
        <w:spacing w:before="78" w:line="220" w:lineRule="auto"/>
        <w:ind w:left="2460"/>
        <w:rPr>
          <w:rFonts w:ascii="仿宋" w:hAnsi="仿宋" w:eastAsia="仿宋" w:cs="仿宋"/>
          <w:sz w:val="24"/>
          <w:szCs w:val="24"/>
        </w:rPr>
      </w:pPr>
      <w:r>
        <w:rPr>
          <w:rFonts w:ascii="仿宋" w:hAnsi="仿宋" w:eastAsia="仿宋" w:cs="仿宋"/>
          <w:spacing w:val="19"/>
          <w:sz w:val="24"/>
          <w:szCs w:val="24"/>
        </w:rPr>
        <w:t>表12</w:t>
      </w:r>
      <w:r>
        <w:rPr>
          <w:rFonts w:ascii="仿宋" w:hAnsi="仿宋" w:eastAsia="仿宋" w:cs="仿宋"/>
          <w:spacing w:val="-53"/>
          <w:sz w:val="24"/>
          <w:szCs w:val="24"/>
        </w:rPr>
        <w:t xml:space="preserve"> </w:t>
      </w:r>
      <w:r>
        <w:rPr>
          <w:rFonts w:ascii="仿宋" w:hAnsi="仿宋" w:eastAsia="仿宋" w:cs="仿宋"/>
          <w:spacing w:val="19"/>
          <w:sz w:val="24"/>
          <w:szCs w:val="24"/>
        </w:rPr>
        <w:t>.</w:t>
      </w:r>
      <w:r>
        <w:rPr>
          <w:rFonts w:ascii="仿宋" w:hAnsi="仿宋" w:eastAsia="仿宋" w:cs="仿宋"/>
          <w:spacing w:val="-64"/>
          <w:sz w:val="24"/>
          <w:szCs w:val="24"/>
        </w:rPr>
        <w:t xml:space="preserve"> </w:t>
      </w:r>
      <w:r>
        <w:rPr>
          <w:rFonts w:ascii="仿宋" w:hAnsi="仿宋" w:eastAsia="仿宋" w:cs="仿宋"/>
          <w:spacing w:val="19"/>
          <w:sz w:val="24"/>
          <w:szCs w:val="24"/>
        </w:rPr>
        <w:t>3  装备环境适应性要求</w:t>
      </w:r>
      <w:r>
        <w:rPr>
          <w:rFonts w:ascii="仿宋" w:hAnsi="仿宋" w:eastAsia="仿宋" w:cs="仿宋"/>
          <w:spacing w:val="-59"/>
          <w:sz w:val="24"/>
          <w:szCs w:val="24"/>
        </w:rPr>
        <w:t xml:space="preserve"> </w:t>
      </w:r>
      <w:r>
        <w:rPr>
          <w:rFonts w:ascii="仿宋" w:hAnsi="仿宋" w:eastAsia="仿宋" w:cs="仿宋"/>
          <w:spacing w:val="19"/>
          <w:sz w:val="24"/>
          <w:szCs w:val="24"/>
        </w:rPr>
        <w:t>一</w:t>
      </w:r>
      <w:r>
        <w:rPr>
          <w:rFonts w:ascii="仿宋" w:hAnsi="仿宋" w:eastAsia="仿宋" w:cs="仿宋"/>
          <w:spacing w:val="-57"/>
          <w:sz w:val="24"/>
          <w:szCs w:val="24"/>
        </w:rPr>
        <w:t xml:space="preserve"> </w:t>
      </w:r>
      <w:r>
        <w:rPr>
          <w:rFonts w:ascii="仿宋" w:hAnsi="仿宋" w:eastAsia="仿宋" w:cs="仿宋"/>
          <w:spacing w:val="19"/>
          <w:sz w:val="24"/>
          <w:szCs w:val="24"/>
        </w:rPr>
        <w:t>览表</w:t>
      </w:r>
    </w:p>
    <w:p w14:paraId="29F16A91">
      <w:pPr>
        <w:spacing w:line="113" w:lineRule="exact"/>
      </w:pPr>
    </w:p>
    <w:tbl>
      <w:tblPr>
        <w:tblStyle w:val="5"/>
        <w:tblW w:w="935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4"/>
        <w:gridCol w:w="1039"/>
        <w:gridCol w:w="3136"/>
        <w:gridCol w:w="1258"/>
        <w:gridCol w:w="1249"/>
        <w:gridCol w:w="2053"/>
      </w:tblGrid>
      <w:tr w14:paraId="328FA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663" w:type="dxa"/>
            <w:gridSpan w:val="2"/>
            <w:vMerge w:val="restart"/>
            <w:tcBorders>
              <w:bottom w:val="nil"/>
            </w:tcBorders>
            <w:vAlign w:val="top"/>
          </w:tcPr>
          <w:p w14:paraId="7A08DA11">
            <w:pPr>
              <w:spacing w:before="304" w:line="220" w:lineRule="auto"/>
              <w:ind w:left="344"/>
              <w:rPr>
                <w:rFonts w:ascii="宋体" w:hAnsi="宋体" w:eastAsia="宋体" w:cs="宋体"/>
                <w:sz w:val="21"/>
                <w:szCs w:val="21"/>
              </w:rPr>
            </w:pPr>
            <w:r>
              <w:rPr>
                <w:rFonts w:ascii="宋体" w:hAnsi="宋体" w:eastAsia="宋体" w:cs="宋体"/>
                <w:spacing w:val="2"/>
                <w:sz w:val="21"/>
                <w:szCs w:val="21"/>
              </w:rPr>
              <w:t>装备/位置</w:t>
            </w:r>
          </w:p>
        </w:tc>
        <w:tc>
          <w:tcPr>
            <w:tcW w:w="3136" w:type="dxa"/>
            <w:vMerge w:val="restart"/>
            <w:tcBorders>
              <w:bottom w:val="nil"/>
            </w:tcBorders>
            <w:vAlign w:val="top"/>
          </w:tcPr>
          <w:p w14:paraId="7955D2B0">
            <w:pPr>
              <w:spacing w:before="303" w:line="219" w:lineRule="auto"/>
              <w:ind w:left="1131"/>
              <w:rPr>
                <w:rFonts w:ascii="宋体" w:hAnsi="宋体" w:eastAsia="宋体" w:cs="宋体"/>
                <w:sz w:val="21"/>
                <w:szCs w:val="21"/>
              </w:rPr>
            </w:pPr>
            <w:r>
              <w:rPr>
                <w:rFonts w:ascii="宋体" w:hAnsi="宋体" w:eastAsia="宋体" w:cs="宋体"/>
                <w:spacing w:val="-2"/>
                <w:sz w:val="21"/>
                <w:szCs w:val="21"/>
              </w:rPr>
              <w:t>环境因素</w:t>
            </w:r>
          </w:p>
        </w:tc>
        <w:tc>
          <w:tcPr>
            <w:tcW w:w="2507" w:type="dxa"/>
            <w:gridSpan w:val="2"/>
            <w:vAlign w:val="top"/>
          </w:tcPr>
          <w:p w14:paraId="4442B9AF">
            <w:pPr>
              <w:spacing w:before="94" w:line="220" w:lineRule="auto"/>
              <w:ind w:left="525"/>
              <w:rPr>
                <w:rFonts w:ascii="宋体" w:hAnsi="宋体" w:eastAsia="宋体" w:cs="宋体"/>
                <w:sz w:val="21"/>
                <w:szCs w:val="21"/>
              </w:rPr>
            </w:pPr>
            <w:r>
              <w:rPr>
                <w:rFonts w:ascii="宋体" w:hAnsi="宋体" w:eastAsia="宋体" w:cs="宋体"/>
                <w:spacing w:val="-2"/>
                <w:sz w:val="21"/>
                <w:szCs w:val="21"/>
              </w:rPr>
              <w:t>环境适应性要求</w:t>
            </w:r>
          </w:p>
        </w:tc>
        <w:tc>
          <w:tcPr>
            <w:tcW w:w="2053" w:type="dxa"/>
            <w:vMerge w:val="restart"/>
            <w:tcBorders>
              <w:bottom w:val="nil"/>
            </w:tcBorders>
            <w:vAlign w:val="top"/>
          </w:tcPr>
          <w:p w14:paraId="6D68AC71">
            <w:pPr>
              <w:spacing w:before="304" w:line="220" w:lineRule="auto"/>
              <w:ind w:left="78"/>
              <w:rPr>
                <w:rFonts w:ascii="宋体" w:hAnsi="宋体" w:eastAsia="宋体" w:cs="宋体"/>
                <w:sz w:val="21"/>
                <w:szCs w:val="21"/>
              </w:rPr>
            </w:pPr>
            <w:r>
              <w:rPr>
                <w:rFonts w:ascii="宋体" w:hAnsi="宋体" w:eastAsia="宋体" w:cs="宋体"/>
                <w:spacing w:val="-1"/>
                <w:sz w:val="21"/>
                <w:szCs w:val="21"/>
              </w:rPr>
              <w:t>环境适应性验证要求</w:t>
            </w:r>
          </w:p>
        </w:tc>
      </w:tr>
      <w:tr w14:paraId="7C520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663" w:type="dxa"/>
            <w:gridSpan w:val="2"/>
            <w:vMerge w:val="continue"/>
            <w:tcBorders>
              <w:top w:val="nil"/>
            </w:tcBorders>
            <w:vAlign w:val="top"/>
          </w:tcPr>
          <w:p w14:paraId="6EB8EE29">
            <w:pPr>
              <w:pStyle w:val="6"/>
            </w:pPr>
          </w:p>
        </w:tc>
        <w:tc>
          <w:tcPr>
            <w:tcW w:w="3136" w:type="dxa"/>
            <w:vMerge w:val="continue"/>
            <w:tcBorders>
              <w:top w:val="nil"/>
            </w:tcBorders>
            <w:vAlign w:val="top"/>
          </w:tcPr>
          <w:p w14:paraId="3D115656">
            <w:pPr>
              <w:pStyle w:val="6"/>
            </w:pPr>
          </w:p>
        </w:tc>
        <w:tc>
          <w:tcPr>
            <w:tcW w:w="1258" w:type="dxa"/>
            <w:vAlign w:val="top"/>
          </w:tcPr>
          <w:p w14:paraId="11330561">
            <w:pPr>
              <w:spacing w:before="100" w:line="220" w:lineRule="auto"/>
              <w:ind w:left="195"/>
              <w:rPr>
                <w:rFonts w:ascii="宋体" w:hAnsi="宋体" w:eastAsia="宋体" w:cs="宋体"/>
                <w:sz w:val="21"/>
                <w:szCs w:val="21"/>
              </w:rPr>
            </w:pPr>
            <w:r>
              <w:rPr>
                <w:rFonts w:ascii="宋体" w:hAnsi="宋体" w:eastAsia="宋体" w:cs="宋体"/>
                <w:spacing w:val="2"/>
                <w:sz w:val="21"/>
                <w:szCs w:val="21"/>
              </w:rPr>
              <w:t>定性要求</w:t>
            </w:r>
          </w:p>
        </w:tc>
        <w:tc>
          <w:tcPr>
            <w:tcW w:w="1249" w:type="dxa"/>
            <w:vAlign w:val="top"/>
          </w:tcPr>
          <w:p w14:paraId="05F2C85E">
            <w:pPr>
              <w:spacing w:before="100" w:line="220" w:lineRule="auto"/>
              <w:ind w:left="208"/>
              <w:rPr>
                <w:rFonts w:ascii="宋体" w:hAnsi="宋体" w:eastAsia="宋体" w:cs="宋体"/>
                <w:sz w:val="21"/>
                <w:szCs w:val="21"/>
              </w:rPr>
            </w:pPr>
            <w:r>
              <w:rPr>
                <w:rFonts w:ascii="宋体" w:hAnsi="宋体" w:eastAsia="宋体" w:cs="宋体"/>
                <w:spacing w:val="2"/>
                <w:sz w:val="21"/>
                <w:szCs w:val="21"/>
              </w:rPr>
              <w:t>定量要求</w:t>
            </w:r>
          </w:p>
        </w:tc>
        <w:tc>
          <w:tcPr>
            <w:tcW w:w="2053" w:type="dxa"/>
            <w:vMerge w:val="continue"/>
            <w:tcBorders>
              <w:top w:val="nil"/>
            </w:tcBorders>
            <w:vAlign w:val="top"/>
          </w:tcPr>
          <w:p w14:paraId="7C731E11">
            <w:pPr>
              <w:pStyle w:val="6"/>
            </w:pPr>
          </w:p>
        </w:tc>
      </w:tr>
      <w:tr w14:paraId="0CC82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663" w:type="dxa"/>
            <w:gridSpan w:val="2"/>
            <w:vAlign w:val="top"/>
          </w:tcPr>
          <w:p w14:paraId="2AF273C8">
            <w:pPr>
              <w:spacing w:before="100" w:line="219" w:lineRule="auto"/>
              <w:ind w:left="404"/>
              <w:rPr>
                <w:rFonts w:ascii="宋体" w:hAnsi="宋体" w:eastAsia="宋体" w:cs="宋体"/>
                <w:sz w:val="21"/>
                <w:szCs w:val="21"/>
              </w:rPr>
            </w:pPr>
            <w:r>
              <w:rPr>
                <w:rFonts w:ascii="宋体" w:hAnsi="宋体" w:eastAsia="宋体" w:cs="宋体"/>
                <w:spacing w:val="-2"/>
                <w:sz w:val="21"/>
                <w:szCs w:val="21"/>
              </w:rPr>
              <w:t>整个装备</w:t>
            </w:r>
          </w:p>
        </w:tc>
        <w:tc>
          <w:tcPr>
            <w:tcW w:w="3136" w:type="dxa"/>
            <w:vAlign w:val="top"/>
          </w:tcPr>
          <w:p w14:paraId="4D0D2558">
            <w:pPr>
              <w:spacing w:before="99" w:line="219" w:lineRule="auto"/>
              <w:ind w:left="141"/>
              <w:rPr>
                <w:rFonts w:ascii="宋体" w:hAnsi="宋体" w:eastAsia="宋体" w:cs="宋体"/>
                <w:sz w:val="21"/>
                <w:szCs w:val="21"/>
              </w:rPr>
            </w:pPr>
            <w:r>
              <w:rPr>
                <w:rFonts w:ascii="宋体" w:hAnsi="宋体" w:eastAsia="宋体" w:cs="宋体"/>
                <w:spacing w:val="11"/>
                <w:sz w:val="21"/>
                <w:szCs w:val="21"/>
              </w:rPr>
              <w:t>已确定考虑的环境因素(n</w:t>
            </w:r>
            <w:r>
              <w:rPr>
                <w:rFonts w:ascii="Calibri" w:hAnsi="Calibri" w:eastAsia="Calibri" w:cs="Calibri"/>
                <w:spacing w:val="11"/>
                <w:sz w:val="21"/>
                <w:szCs w:val="21"/>
              </w:rPr>
              <w:t>₁</w:t>
            </w:r>
            <w:r>
              <w:rPr>
                <w:rFonts w:ascii="宋体" w:hAnsi="宋体" w:eastAsia="宋体" w:cs="宋体"/>
                <w:spacing w:val="11"/>
                <w:sz w:val="21"/>
                <w:szCs w:val="21"/>
              </w:rPr>
              <w:t>)</w:t>
            </w:r>
          </w:p>
        </w:tc>
        <w:tc>
          <w:tcPr>
            <w:tcW w:w="1258" w:type="dxa"/>
            <w:vAlign w:val="top"/>
          </w:tcPr>
          <w:p w14:paraId="714C7716">
            <w:pPr>
              <w:pStyle w:val="6"/>
            </w:pPr>
          </w:p>
        </w:tc>
        <w:tc>
          <w:tcPr>
            <w:tcW w:w="1249" w:type="dxa"/>
            <w:vAlign w:val="top"/>
          </w:tcPr>
          <w:p w14:paraId="5EB8A84F">
            <w:pPr>
              <w:pStyle w:val="6"/>
            </w:pPr>
          </w:p>
        </w:tc>
        <w:tc>
          <w:tcPr>
            <w:tcW w:w="2053" w:type="dxa"/>
            <w:vAlign w:val="top"/>
          </w:tcPr>
          <w:p w14:paraId="05A3D639">
            <w:pPr>
              <w:pStyle w:val="6"/>
            </w:pPr>
          </w:p>
        </w:tc>
      </w:tr>
      <w:tr w14:paraId="7AA44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624" w:type="dxa"/>
            <w:vMerge w:val="restart"/>
            <w:tcBorders>
              <w:bottom w:val="nil"/>
            </w:tcBorders>
            <w:textDirection w:val="tbRlV"/>
            <w:vAlign w:val="top"/>
          </w:tcPr>
          <w:p w14:paraId="11DFC24A">
            <w:pPr>
              <w:spacing w:before="209" w:line="199" w:lineRule="auto"/>
              <w:ind w:left="394"/>
              <w:rPr>
                <w:rFonts w:ascii="宋体" w:hAnsi="宋体" w:eastAsia="宋体" w:cs="宋体"/>
                <w:sz w:val="21"/>
                <w:szCs w:val="21"/>
              </w:rPr>
            </w:pPr>
            <w:r>
              <w:rPr>
                <w:rFonts w:ascii="宋体" w:hAnsi="宋体" w:eastAsia="宋体" w:cs="宋体"/>
                <w:sz w:val="21"/>
                <w:szCs w:val="21"/>
              </w:rPr>
              <w:t>装</w:t>
            </w:r>
            <w:r>
              <w:rPr>
                <w:rFonts w:ascii="宋体" w:hAnsi="宋体" w:eastAsia="宋体" w:cs="宋体"/>
                <w:spacing w:val="32"/>
                <w:sz w:val="21"/>
                <w:szCs w:val="21"/>
              </w:rPr>
              <w:t xml:space="preserve"> </w:t>
            </w:r>
            <w:r>
              <w:rPr>
                <w:rFonts w:ascii="宋体" w:hAnsi="宋体" w:eastAsia="宋体" w:cs="宋体"/>
                <w:sz w:val="21"/>
                <w:szCs w:val="21"/>
              </w:rPr>
              <w:t>备</w:t>
            </w:r>
            <w:r>
              <w:rPr>
                <w:rFonts w:ascii="宋体" w:hAnsi="宋体" w:eastAsia="宋体" w:cs="宋体"/>
                <w:spacing w:val="32"/>
                <w:sz w:val="21"/>
                <w:szCs w:val="21"/>
              </w:rPr>
              <w:t xml:space="preserve"> </w:t>
            </w:r>
            <w:r>
              <w:rPr>
                <w:rFonts w:ascii="宋体" w:hAnsi="宋体" w:eastAsia="宋体" w:cs="宋体"/>
                <w:sz w:val="21"/>
                <w:szCs w:val="21"/>
              </w:rPr>
              <w:t>内</w:t>
            </w:r>
            <w:r>
              <w:rPr>
                <w:rFonts w:ascii="宋体" w:hAnsi="宋体" w:eastAsia="宋体" w:cs="宋体"/>
                <w:spacing w:val="33"/>
                <w:sz w:val="21"/>
                <w:szCs w:val="21"/>
              </w:rPr>
              <w:t xml:space="preserve"> </w:t>
            </w:r>
            <w:r>
              <w:rPr>
                <w:rFonts w:ascii="宋体" w:hAnsi="宋体" w:eastAsia="宋体" w:cs="宋体"/>
                <w:sz w:val="21"/>
                <w:szCs w:val="21"/>
              </w:rPr>
              <w:t>部</w:t>
            </w:r>
          </w:p>
        </w:tc>
        <w:tc>
          <w:tcPr>
            <w:tcW w:w="1039" w:type="dxa"/>
            <w:vAlign w:val="top"/>
          </w:tcPr>
          <w:p w14:paraId="6CC52C22">
            <w:pPr>
              <w:spacing w:before="108" w:line="224" w:lineRule="auto"/>
              <w:ind w:left="350"/>
              <w:rPr>
                <w:rFonts w:ascii="宋体" w:hAnsi="宋体" w:eastAsia="宋体" w:cs="宋体"/>
                <w:sz w:val="21"/>
                <w:szCs w:val="21"/>
              </w:rPr>
            </w:pPr>
            <w:r>
              <w:rPr>
                <w:rFonts w:ascii="宋体" w:hAnsi="宋体" w:eastAsia="宋体" w:cs="宋体"/>
                <w:spacing w:val="-1"/>
                <w:sz w:val="21"/>
                <w:szCs w:val="21"/>
              </w:rPr>
              <w:t>A区</w:t>
            </w:r>
          </w:p>
        </w:tc>
        <w:tc>
          <w:tcPr>
            <w:tcW w:w="3136" w:type="dxa"/>
            <w:vAlign w:val="top"/>
          </w:tcPr>
          <w:p w14:paraId="3AAB2A79">
            <w:pPr>
              <w:spacing w:before="101" w:line="219" w:lineRule="auto"/>
              <w:ind w:left="141"/>
              <w:rPr>
                <w:rFonts w:ascii="宋体" w:hAnsi="宋体" w:eastAsia="宋体" w:cs="宋体"/>
                <w:sz w:val="21"/>
                <w:szCs w:val="21"/>
              </w:rPr>
            </w:pPr>
            <w:r>
              <w:rPr>
                <w:rFonts w:ascii="宋体" w:hAnsi="宋体" w:eastAsia="宋体" w:cs="宋体"/>
                <w:sz w:val="21"/>
                <w:szCs w:val="21"/>
              </w:rPr>
              <w:t>已确定考虑的n2个环境因素</w:t>
            </w:r>
          </w:p>
        </w:tc>
        <w:tc>
          <w:tcPr>
            <w:tcW w:w="1258" w:type="dxa"/>
            <w:vAlign w:val="top"/>
          </w:tcPr>
          <w:p w14:paraId="3B1C02F9">
            <w:pPr>
              <w:pStyle w:val="6"/>
            </w:pPr>
          </w:p>
        </w:tc>
        <w:tc>
          <w:tcPr>
            <w:tcW w:w="1249" w:type="dxa"/>
            <w:vAlign w:val="top"/>
          </w:tcPr>
          <w:p w14:paraId="2F721BDD">
            <w:pPr>
              <w:pStyle w:val="6"/>
            </w:pPr>
          </w:p>
        </w:tc>
        <w:tc>
          <w:tcPr>
            <w:tcW w:w="2053" w:type="dxa"/>
            <w:vAlign w:val="top"/>
          </w:tcPr>
          <w:p w14:paraId="1D8B1D20">
            <w:pPr>
              <w:pStyle w:val="6"/>
            </w:pPr>
          </w:p>
        </w:tc>
      </w:tr>
      <w:tr w14:paraId="1DF2D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624" w:type="dxa"/>
            <w:vMerge w:val="continue"/>
            <w:tcBorders>
              <w:top w:val="nil"/>
              <w:bottom w:val="nil"/>
            </w:tcBorders>
            <w:textDirection w:val="tbRlV"/>
            <w:vAlign w:val="top"/>
          </w:tcPr>
          <w:p w14:paraId="363BBADE">
            <w:pPr>
              <w:pStyle w:val="6"/>
            </w:pPr>
          </w:p>
        </w:tc>
        <w:tc>
          <w:tcPr>
            <w:tcW w:w="1039" w:type="dxa"/>
            <w:vAlign w:val="top"/>
          </w:tcPr>
          <w:p w14:paraId="509E5A04">
            <w:pPr>
              <w:spacing w:before="109" w:line="224" w:lineRule="auto"/>
              <w:ind w:left="350"/>
              <w:rPr>
                <w:rFonts w:ascii="宋体" w:hAnsi="宋体" w:eastAsia="宋体" w:cs="宋体"/>
                <w:sz w:val="21"/>
                <w:szCs w:val="21"/>
              </w:rPr>
            </w:pPr>
            <w:r>
              <w:rPr>
                <w:rFonts w:ascii="宋体" w:hAnsi="宋体" w:eastAsia="宋体" w:cs="宋体"/>
                <w:spacing w:val="-1"/>
                <w:sz w:val="21"/>
                <w:szCs w:val="21"/>
              </w:rPr>
              <w:t>B区</w:t>
            </w:r>
          </w:p>
        </w:tc>
        <w:tc>
          <w:tcPr>
            <w:tcW w:w="3136" w:type="dxa"/>
            <w:vAlign w:val="top"/>
          </w:tcPr>
          <w:p w14:paraId="520AAAF1">
            <w:pPr>
              <w:spacing w:before="102" w:line="219" w:lineRule="auto"/>
              <w:ind w:left="141"/>
              <w:rPr>
                <w:rFonts w:ascii="宋体" w:hAnsi="宋体" w:eastAsia="宋体" w:cs="宋体"/>
                <w:sz w:val="21"/>
                <w:szCs w:val="21"/>
              </w:rPr>
            </w:pPr>
            <w:r>
              <w:rPr>
                <w:rFonts w:ascii="宋体" w:hAnsi="宋体" w:eastAsia="宋体" w:cs="宋体"/>
                <w:spacing w:val="8"/>
                <w:sz w:val="21"/>
                <w:szCs w:val="21"/>
              </w:rPr>
              <w:t>已确定考虑的n</w:t>
            </w:r>
            <w:r>
              <w:rPr>
                <w:rFonts w:ascii="Calibri" w:hAnsi="Calibri" w:eastAsia="Calibri" w:cs="Calibri"/>
                <w:spacing w:val="8"/>
                <w:sz w:val="21"/>
                <w:szCs w:val="21"/>
              </w:rPr>
              <w:t>₃</w:t>
            </w:r>
            <w:r>
              <w:rPr>
                <w:rFonts w:ascii="宋体" w:hAnsi="宋体" w:eastAsia="宋体" w:cs="宋体"/>
                <w:spacing w:val="8"/>
                <w:sz w:val="21"/>
                <w:szCs w:val="21"/>
              </w:rPr>
              <w:t>个环境因素</w:t>
            </w:r>
          </w:p>
        </w:tc>
        <w:tc>
          <w:tcPr>
            <w:tcW w:w="1258" w:type="dxa"/>
            <w:vAlign w:val="top"/>
          </w:tcPr>
          <w:p w14:paraId="50F7A107">
            <w:pPr>
              <w:pStyle w:val="6"/>
            </w:pPr>
          </w:p>
        </w:tc>
        <w:tc>
          <w:tcPr>
            <w:tcW w:w="1249" w:type="dxa"/>
            <w:vAlign w:val="top"/>
          </w:tcPr>
          <w:p w14:paraId="47912C11">
            <w:pPr>
              <w:pStyle w:val="6"/>
            </w:pPr>
          </w:p>
        </w:tc>
        <w:tc>
          <w:tcPr>
            <w:tcW w:w="2053" w:type="dxa"/>
            <w:vAlign w:val="top"/>
          </w:tcPr>
          <w:p w14:paraId="7993CBB5">
            <w:pPr>
              <w:pStyle w:val="6"/>
            </w:pPr>
          </w:p>
        </w:tc>
      </w:tr>
      <w:tr w14:paraId="55763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624" w:type="dxa"/>
            <w:vMerge w:val="continue"/>
            <w:tcBorders>
              <w:top w:val="nil"/>
              <w:bottom w:val="nil"/>
            </w:tcBorders>
            <w:textDirection w:val="tbRlV"/>
            <w:vAlign w:val="top"/>
          </w:tcPr>
          <w:p w14:paraId="6EDED4E5">
            <w:pPr>
              <w:pStyle w:val="6"/>
            </w:pPr>
          </w:p>
        </w:tc>
        <w:tc>
          <w:tcPr>
            <w:tcW w:w="1039" w:type="dxa"/>
            <w:vAlign w:val="top"/>
          </w:tcPr>
          <w:p w14:paraId="51A4DA28">
            <w:pPr>
              <w:spacing w:before="111" w:line="224" w:lineRule="auto"/>
              <w:ind w:left="290"/>
              <w:rPr>
                <w:rFonts w:ascii="宋体" w:hAnsi="宋体" w:eastAsia="宋体" w:cs="宋体"/>
                <w:sz w:val="21"/>
                <w:szCs w:val="21"/>
              </w:rPr>
            </w:pPr>
            <w:r>
              <w:rPr>
                <w:rFonts w:ascii="宋体" w:hAnsi="宋体" w:eastAsia="宋体" w:cs="宋体"/>
                <w:spacing w:val="-4"/>
                <w:sz w:val="21"/>
                <w:szCs w:val="21"/>
              </w:rPr>
              <w:t>C</w:t>
            </w:r>
            <w:r>
              <w:rPr>
                <w:rFonts w:ascii="宋体" w:hAnsi="宋体" w:eastAsia="宋体" w:cs="宋体"/>
                <w:spacing w:val="68"/>
                <w:sz w:val="21"/>
                <w:szCs w:val="21"/>
              </w:rPr>
              <w:t xml:space="preserve"> </w:t>
            </w:r>
            <w:r>
              <w:rPr>
                <w:rFonts w:ascii="宋体" w:hAnsi="宋体" w:eastAsia="宋体" w:cs="宋体"/>
                <w:spacing w:val="-4"/>
                <w:sz w:val="21"/>
                <w:szCs w:val="21"/>
              </w:rPr>
              <w:t>区</w:t>
            </w:r>
          </w:p>
        </w:tc>
        <w:tc>
          <w:tcPr>
            <w:tcW w:w="3136" w:type="dxa"/>
            <w:vAlign w:val="top"/>
          </w:tcPr>
          <w:p w14:paraId="6531507B">
            <w:pPr>
              <w:spacing w:before="104" w:line="219" w:lineRule="auto"/>
              <w:ind w:left="141"/>
              <w:rPr>
                <w:rFonts w:ascii="宋体" w:hAnsi="宋体" w:eastAsia="宋体" w:cs="宋体"/>
                <w:sz w:val="21"/>
                <w:szCs w:val="21"/>
              </w:rPr>
            </w:pPr>
            <w:r>
              <w:rPr>
                <w:rFonts w:ascii="宋体" w:hAnsi="宋体" w:eastAsia="宋体" w:cs="宋体"/>
                <w:sz w:val="21"/>
                <w:szCs w:val="21"/>
              </w:rPr>
              <w:t>已确定考虑的n4个环境因素</w:t>
            </w:r>
          </w:p>
        </w:tc>
        <w:tc>
          <w:tcPr>
            <w:tcW w:w="1258" w:type="dxa"/>
            <w:vAlign w:val="top"/>
          </w:tcPr>
          <w:p w14:paraId="75BE59C2">
            <w:pPr>
              <w:pStyle w:val="6"/>
            </w:pPr>
          </w:p>
        </w:tc>
        <w:tc>
          <w:tcPr>
            <w:tcW w:w="1249" w:type="dxa"/>
            <w:vAlign w:val="top"/>
          </w:tcPr>
          <w:p w14:paraId="35435681">
            <w:pPr>
              <w:pStyle w:val="6"/>
            </w:pPr>
          </w:p>
        </w:tc>
        <w:tc>
          <w:tcPr>
            <w:tcW w:w="2053" w:type="dxa"/>
            <w:vAlign w:val="top"/>
          </w:tcPr>
          <w:p w14:paraId="40861CD0">
            <w:pPr>
              <w:pStyle w:val="6"/>
            </w:pPr>
          </w:p>
        </w:tc>
      </w:tr>
      <w:tr w14:paraId="042A2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624" w:type="dxa"/>
            <w:vMerge w:val="continue"/>
            <w:tcBorders>
              <w:top w:val="nil"/>
              <w:bottom w:val="nil"/>
            </w:tcBorders>
            <w:textDirection w:val="tbRlV"/>
            <w:vAlign w:val="top"/>
          </w:tcPr>
          <w:p w14:paraId="4E81867B">
            <w:pPr>
              <w:pStyle w:val="6"/>
            </w:pPr>
          </w:p>
        </w:tc>
        <w:tc>
          <w:tcPr>
            <w:tcW w:w="1039" w:type="dxa"/>
            <w:vAlign w:val="top"/>
          </w:tcPr>
          <w:p w14:paraId="5FAC90CC">
            <w:pPr>
              <w:spacing w:before="127" w:line="239" w:lineRule="auto"/>
              <w:ind w:left="300"/>
              <w:rPr>
                <w:rFonts w:ascii="宋体" w:hAnsi="宋体" w:eastAsia="宋体" w:cs="宋体"/>
                <w:sz w:val="21"/>
                <w:szCs w:val="21"/>
              </w:rPr>
            </w:pPr>
            <w:r>
              <w:rPr>
                <w:rFonts w:ascii="宋体" w:hAnsi="宋体" w:eastAsia="宋体" w:cs="宋体"/>
                <w:spacing w:val="-11"/>
                <w:sz w:val="21"/>
                <w:szCs w:val="21"/>
              </w:rPr>
              <w:t>…</w:t>
            </w:r>
            <w:r>
              <w:rPr>
                <w:rFonts w:ascii="宋体" w:hAnsi="宋体" w:eastAsia="宋体" w:cs="宋体"/>
                <w:spacing w:val="-25"/>
                <w:sz w:val="21"/>
                <w:szCs w:val="21"/>
              </w:rPr>
              <w:t xml:space="preserve"> </w:t>
            </w:r>
            <w:r>
              <w:rPr>
                <w:rFonts w:ascii="宋体" w:hAnsi="宋体" w:eastAsia="宋体" w:cs="宋体"/>
                <w:spacing w:val="-11"/>
                <w:sz w:val="21"/>
                <w:szCs w:val="21"/>
              </w:rPr>
              <w:t>·</w:t>
            </w:r>
          </w:p>
        </w:tc>
        <w:tc>
          <w:tcPr>
            <w:tcW w:w="3136" w:type="dxa"/>
            <w:vAlign w:val="top"/>
          </w:tcPr>
          <w:p w14:paraId="240FF36B">
            <w:pPr>
              <w:spacing w:before="127" w:line="239" w:lineRule="auto"/>
              <w:ind w:left="141"/>
              <w:rPr>
                <w:rFonts w:ascii="宋体" w:hAnsi="宋体" w:eastAsia="宋体" w:cs="宋体"/>
                <w:sz w:val="21"/>
                <w:szCs w:val="21"/>
              </w:rPr>
            </w:pPr>
            <w:r>
              <w:rPr>
                <w:rFonts w:ascii="宋体" w:hAnsi="宋体" w:eastAsia="宋体" w:cs="宋体"/>
                <w:sz w:val="21"/>
                <w:szCs w:val="21"/>
              </w:rPr>
              <w:t>…</w:t>
            </w:r>
          </w:p>
        </w:tc>
        <w:tc>
          <w:tcPr>
            <w:tcW w:w="1258" w:type="dxa"/>
            <w:vAlign w:val="top"/>
          </w:tcPr>
          <w:p w14:paraId="32D7B57B">
            <w:pPr>
              <w:pStyle w:val="6"/>
            </w:pPr>
          </w:p>
        </w:tc>
        <w:tc>
          <w:tcPr>
            <w:tcW w:w="1249" w:type="dxa"/>
            <w:vAlign w:val="top"/>
          </w:tcPr>
          <w:p w14:paraId="3DDD08C6">
            <w:pPr>
              <w:pStyle w:val="6"/>
            </w:pPr>
          </w:p>
        </w:tc>
        <w:tc>
          <w:tcPr>
            <w:tcW w:w="2053" w:type="dxa"/>
            <w:vAlign w:val="top"/>
          </w:tcPr>
          <w:p w14:paraId="0B33D787">
            <w:pPr>
              <w:pStyle w:val="6"/>
            </w:pPr>
          </w:p>
        </w:tc>
      </w:tr>
      <w:tr w14:paraId="21AC5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624" w:type="dxa"/>
            <w:vMerge w:val="continue"/>
            <w:tcBorders>
              <w:top w:val="nil"/>
            </w:tcBorders>
            <w:textDirection w:val="tbRlV"/>
            <w:vAlign w:val="top"/>
          </w:tcPr>
          <w:p w14:paraId="6A0F9D53">
            <w:pPr>
              <w:pStyle w:val="6"/>
            </w:pPr>
          </w:p>
        </w:tc>
        <w:tc>
          <w:tcPr>
            <w:tcW w:w="1039" w:type="dxa"/>
            <w:vAlign w:val="top"/>
          </w:tcPr>
          <w:p w14:paraId="3B806C9D">
            <w:pPr>
              <w:spacing w:before="103" w:line="224" w:lineRule="auto"/>
              <w:ind w:left="350"/>
              <w:rPr>
                <w:rFonts w:ascii="宋体" w:hAnsi="宋体" w:eastAsia="宋体" w:cs="宋体"/>
                <w:sz w:val="21"/>
                <w:szCs w:val="21"/>
              </w:rPr>
            </w:pPr>
            <w:r>
              <w:rPr>
                <w:rFonts w:ascii="宋体" w:hAnsi="宋体" w:eastAsia="宋体" w:cs="宋体"/>
                <w:spacing w:val="6"/>
                <w:sz w:val="21"/>
                <w:szCs w:val="21"/>
              </w:rPr>
              <w:t>Z区</w:t>
            </w:r>
          </w:p>
        </w:tc>
        <w:tc>
          <w:tcPr>
            <w:tcW w:w="3136" w:type="dxa"/>
            <w:vAlign w:val="top"/>
          </w:tcPr>
          <w:p w14:paraId="7E27A7A8">
            <w:pPr>
              <w:spacing w:before="96" w:line="219" w:lineRule="auto"/>
              <w:ind w:left="141"/>
              <w:rPr>
                <w:rFonts w:ascii="宋体" w:hAnsi="宋体" w:eastAsia="宋体" w:cs="宋体"/>
                <w:sz w:val="21"/>
                <w:szCs w:val="21"/>
              </w:rPr>
            </w:pPr>
            <w:r>
              <w:rPr>
                <w:rFonts w:ascii="宋体" w:hAnsi="宋体" w:eastAsia="宋体" w:cs="宋体"/>
                <w:sz w:val="21"/>
                <w:szCs w:val="21"/>
              </w:rPr>
              <w:t>已确定考虑的n;个环境因素</w:t>
            </w:r>
          </w:p>
        </w:tc>
        <w:tc>
          <w:tcPr>
            <w:tcW w:w="1258" w:type="dxa"/>
            <w:vAlign w:val="top"/>
          </w:tcPr>
          <w:p w14:paraId="515AD550">
            <w:pPr>
              <w:pStyle w:val="6"/>
            </w:pPr>
          </w:p>
        </w:tc>
        <w:tc>
          <w:tcPr>
            <w:tcW w:w="1249" w:type="dxa"/>
            <w:vAlign w:val="top"/>
          </w:tcPr>
          <w:p w14:paraId="2684C78D">
            <w:pPr>
              <w:pStyle w:val="6"/>
            </w:pPr>
          </w:p>
        </w:tc>
        <w:tc>
          <w:tcPr>
            <w:tcW w:w="2053" w:type="dxa"/>
            <w:vAlign w:val="top"/>
          </w:tcPr>
          <w:p w14:paraId="4AD1FDB5">
            <w:pPr>
              <w:pStyle w:val="6"/>
            </w:pPr>
          </w:p>
        </w:tc>
      </w:tr>
    </w:tbl>
    <w:p w14:paraId="698F038B">
      <w:pPr>
        <w:pStyle w:val="2"/>
        <w:spacing w:before="224" w:line="219" w:lineRule="auto"/>
        <w:ind w:left="529"/>
      </w:pPr>
      <w:r>
        <w:rPr>
          <w:spacing w:val="4"/>
        </w:rPr>
        <w:t>下面列出环境适应性要求文件中一般应考虑的环境因素。</w:t>
      </w:r>
    </w:p>
    <w:p w14:paraId="6C47F2B9">
      <w:pPr>
        <w:pStyle w:val="2"/>
        <w:spacing w:before="61" w:line="260" w:lineRule="auto"/>
        <w:ind w:right="125" w:firstLine="529"/>
      </w:pPr>
      <w:r>
        <w:rPr>
          <w:rFonts w:ascii="Times New Roman" w:hAnsi="Times New Roman" w:eastAsia="Times New Roman" w:cs="Times New Roman"/>
          <w:spacing w:val="-12"/>
        </w:rPr>
        <w:t xml:space="preserve">a)  </w:t>
      </w:r>
      <w:r>
        <w:rPr>
          <w:spacing w:val="-12"/>
        </w:rPr>
        <w:t>温度环境，一般分为：高温贮存环境；低温贮存环境；高温工作环境；低温</w:t>
      </w:r>
      <w:r>
        <w:rPr>
          <w:spacing w:val="7"/>
        </w:rPr>
        <w:t xml:space="preserve"> </w:t>
      </w:r>
      <w:r>
        <w:rPr>
          <w:spacing w:val="-11"/>
        </w:rPr>
        <w:t>工作环境；高温短时工作环境；温度冲击环境；温度变化环境。</w:t>
      </w:r>
    </w:p>
    <w:p w14:paraId="1452714C">
      <w:pPr>
        <w:pStyle w:val="2"/>
        <w:spacing w:before="69" w:line="262" w:lineRule="auto"/>
        <w:ind w:right="124" w:firstLine="529"/>
      </w:pPr>
      <w:r>
        <w:rPr>
          <w:rFonts w:ascii="Times New Roman" w:hAnsi="Times New Roman" w:eastAsia="Times New Roman" w:cs="Times New Roman"/>
          <w:spacing w:val="-5"/>
        </w:rPr>
        <w:t xml:space="preserve">b)  </w:t>
      </w:r>
      <w:r>
        <w:rPr>
          <w:spacing w:val="-5"/>
        </w:rPr>
        <w:t>压力环境，一般分为：高原或高空贮存环境；高原或高空工作环境；快速</w:t>
      </w:r>
      <w:r>
        <w:t xml:space="preserve"> </w:t>
      </w:r>
      <w:r>
        <w:rPr>
          <w:spacing w:val="-15"/>
        </w:rPr>
        <w:t>减压环境；爆炸减压环境；水压环境；其他环境。</w:t>
      </w:r>
    </w:p>
    <w:p w14:paraId="12333760">
      <w:pPr>
        <w:pStyle w:val="2"/>
        <w:spacing w:before="85" w:line="220" w:lineRule="auto"/>
        <w:ind w:left="529"/>
      </w:pPr>
      <w:r>
        <w:rPr>
          <w:rFonts w:ascii="Times New Roman" w:hAnsi="Times New Roman" w:eastAsia="Times New Roman" w:cs="Times New Roman"/>
          <w:spacing w:val="12"/>
        </w:rPr>
        <w:t>c</w:t>
      </w:r>
      <w:r>
        <w:rPr>
          <w:spacing w:val="12"/>
        </w:rPr>
        <w:t>)盐雾环境。</w:t>
      </w:r>
    </w:p>
    <w:p w14:paraId="36FE6813">
      <w:pPr>
        <w:pStyle w:val="2"/>
        <w:spacing w:before="66" w:line="212" w:lineRule="auto"/>
        <w:ind w:left="529"/>
      </w:pPr>
      <w:r>
        <w:rPr>
          <w:rFonts w:ascii="Times New Roman" w:hAnsi="Times New Roman" w:eastAsia="Times New Roman" w:cs="Times New Roman"/>
          <w:spacing w:val="-12"/>
        </w:rPr>
        <w:t xml:space="preserve">d) </w:t>
      </w:r>
      <w:r>
        <w:rPr>
          <w:spacing w:val="-12"/>
        </w:rPr>
        <w:t>湿热环境，一般分为：恒定湿热环境；交变湿热环境。</w:t>
      </w:r>
    </w:p>
    <w:p w14:paraId="106EFA17">
      <w:pPr>
        <w:pStyle w:val="2"/>
        <w:spacing w:before="132" w:line="212" w:lineRule="auto"/>
        <w:ind w:left="529"/>
        <w:rPr>
          <w:sz w:val="25"/>
          <w:szCs w:val="25"/>
        </w:rPr>
      </w:pPr>
      <w:r>
        <w:rPr>
          <w:rFonts w:ascii="Times New Roman" w:hAnsi="Times New Roman" w:eastAsia="Times New Roman" w:cs="Times New Roman"/>
          <w:spacing w:val="5"/>
          <w:sz w:val="25"/>
          <w:szCs w:val="25"/>
        </w:rPr>
        <w:t xml:space="preserve">e)  </w:t>
      </w:r>
      <w:r>
        <w:rPr>
          <w:spacing w:val="5"/>
          <w:sz w:val="25"/>
          <w:szCs w:val="25"/>
        </w:rPr>
        <w:t>生物环境，一般分为：霉菌环境；生物污损环境；其他生物环境。</w:t>
      </w:r>
    </w:p>
    <w:p w14:paraId="753BEB7F">
      <w:pPr>
        <w:pStyle w:val="2"/>
        <w:spacing w:before="111" w:line="252" w:lineRule="auto"/>
        <w:ind w:firstLine="529"/>
      </w:pPr>
      <w:r>
        <w:rPr>
          <w:rFonts w:ascii="Times New Roman" w:hAnsi="Times New Roman" w:eastAsia="Times New Roman" w:cs="Times New Roman"/>
          <w:spacing w:val="-8"/>
        </w:rPr>
        <w:t>f)</w:t>
      </w:r>
      <w:r>
        <w:rPr>
          <w:rFonts w:ascii="Times New Roman" w:hAnsi="Times New Roman" w:eastAsia="Times New Roman" w:cs="Times New Roman"/>
          <w:spacing w:val="66"/>
        </w:rPr>
        <w:t xml:space="preserve"> </w:t>
      </w:r>
      <w:r>
        <w:rPr>
          <w:spacing w:val="-8"/>
        </w:rPr>
        <w:t>水环境，一般分为：有风源淋雨环境；滴雨环境；防水性环境；浸渍环境；</w:t>
      </w:r>
      <w:r>
        <w:t xml:space="preserve"> </w:t>
      </w:r>
      <w:r>
        <w:rPr>
          <w:spacing w:val="-12"/>
        </w:rPr>
        <w:t>潮差环境；飞溅环境。</w:t>
      </w:r>
    </w:p>
    <w:p w14:paraId="0EC7FAA5">
      <w:pPr>
        <w:pStyle w:val="2"/>
        <w:spacing w:before="92" w:line="247" w:lineRule="auto"/>
        <w:ind w:right="114" w:firstLine="529"/>
      </w:pPr>
      <w:r>
        <w:rPr>
          <w:rFonts w:ascii="Times New Roman" w:hAnsi="Times New Roman" w:eastAsia="Times New Roman" w:cs="Times New Roman"/>
          <w:spacing w:val="-2"/>
        </w:rPr>
        <w:t>g</w:t>
      </w:r>
      <w:r>
        <w:rPr>
          <w:spacing w:val="-2"/>
        </w:rPr>
        <w:t>)太阳辐射环境，一般分为：太阳辐射引起的</w:t>
      </w:r>
      <w:r>
        <w:rPr>
          <w:spacing w:val="-3"/>
        </w:rPr>
        <w:t>热环境；长期太阳辐射引起的</w:t>
      </w:r>
      <w:r>
        <w:t xml:space="preserve"> 光老化环境。</w:t>
      </w:r>
    </w:p>
    <w:p w14:paraId="6FFA86B5">
      <w:pPr>
        <w:pStyle w:val="2"/>
        <w:spacing w:before="110" w:line="212" w:lineRule="auto"/>
        <w:ind w:left="529"/>
        <w:rPr>
          <w:sz w:val="25"/>
          <w:szCs w:val="25"/>
        </w:rPr>
      </w:pPr>
      <w:r>
        <w:rPr>
          <w:rFonts w:ascii="Times New Roman" w:hAnsi="Times New Roman" w:eastAsia="Times New Roman" w:cs="Times New Roman"/>
          <w:spacing w:val="3"/>
          <w:sz w:val="25"/>
          <w:szCs w:val="25"/>
        </w:rPr>
        <w:t xml:space="preserve">h)  </w:t>
      </w:r>
      <w:r>
        <w:rPr>
          <w:spacing w:val="3"/>
          <w:sz w:val="25"/>
          <w:szCs w:val="25"/>
        </w:rPr>
        <w:t>砂尘环境，一般分为：吹砂环境；吹尘环境；降尘环境。</w:t>
      </w:r>
    </w:p>
    <w:p w14:paraId="395EBC45">
      <w:pPr>
        <w:pStyle w:val="2"/>
        <w:spacing w:before="103" w:line="255" w:lineRule="auto"/>
        <w:ind w:right="76" w:firstLine="529"/>
      </w:pPr>
      <w:r>
        <w:rPr>
          <w:rFonts w:ascii="Times New Roman" w:hAnsi="Times New Roman" w:eastAsia="Times New Roman" w:cs="Times New Roman"/>
          <w:spacing w:val="-2"/>
        </w:rPr>
        <w:t>i)</w:t>
      </w:r>
      <w:r>
        <w:rPr>
          <w:rFonts w:ascii="Times New Roman" w:hAnsi="Times New Roman" w:eastAsia="Times New Roman" w:cs="Times New Roman"/>
          <w:spacing w:val="65"/>
        </w:rPr>
        <w:t xml:space="preserve"> </w:t>
      </w:r>
      <w:r>
        <w:rPr>
          <w:spacing w:val="-2"/>
        </w:rPr>
        <w:t>爆炸大气环境，一般分为：直接暴露于爆炸大气环境；间接(有外壳隔离)</w:t>
      </w:r>
      <w:r>
        <w:t xml:space="preserve"> </w:t>
      </w:r>
      <w:r>
        <w:rPr>
          <w:spacing w:val="1"/>
        </w:rPr>
        <w:t>暴露于爆炸大气环境。</w:t>
      </w:r>
    </w:p>
    <w:p w14:paraId="503A95A0">
      <w:pPr>
        <w:pStyle w:val="2"/>
        <w:spacing w:before="72" w:line="212" w:lineRule="auto"/>
        <w:ind w:left="529"/>
      </w:pPr>
      <w:r>
        <w:rPr>
          <w:rFonts w:ascii="Times New Roman" w:hAnsi="Times New Roman" w:eastAsia="Times New Roman" w:cs="Times New Roman"/>
          <w:spacing w:val="4"/>
        </w:rPr>
        <w:t>j)</w:t>
      </w:r>
      <w:r>
        <w:rPr>
          <w:rFonts w:ascii="Times New Roman" w:hAnsi="Times New Roman" w:eastAsia="Times New Roman" w:cs="Times New Roman"/>
          <w:spacing w:val="-31"/>
        </w:rPr>
        <w:t xml:space="preserve"> </w:t>
      </w:r>
      <w:r>
        <w:rPr>
          <w:spacing w:val="4"/>
        </w:rPr>
        <w:t>加速度环境。</w:t>
      </w:r>
    </w:p>
    <w:p w14:paraId="1FDB1A54">
      <w:pPr>
        <w:pStyle w:val="2"/>
        <w:spacing w:before="110" w:line="261" w:lineRule="auto"/>
        <w:ind w:right="124" w:firstLine="529"/>
      </w:pPr>
      <w:r>
        <w:rPr>
          <w:rFonts w:ascii="Times New Roman" w:hAnsi="Times New Roman" w:eastAsia="Times New Roman" w:cs="Times New Roman"/>
          <w:spacing w:val="-5"/>
        </w:rPr>
        <w:t xml:space="preserve">k)  </w:t>
      </w:r>
      <w:r>
        <w:rPr>
          <w:spacing w:val="-5"/>
        </w:rPr>
        <w:t>冲击环境，一般分为：一般机械冲击环境；弹道冲击环境；爆炸分离冲击</w:t>
      </w:r>
      <w:r>
        <w:t xml:space="preserve"> </w:t>
      </w:r>
      <w:r>
        <w:rPr>
          <w:spacing w:val="-12"/>
        </w:rPr>
        <w:t>环境；舰船冲击环境。</w:t>
      </w:r>
    </w:p>
    <w:p w14:paraId="3D24DE05">
      <w:pPr>
        <w:pStyle w:val="2"/>
        <w:spacing w:before="147" w:line="219" w:lineRule="auto"/>
        <w:ind w:left="529"/>
        <w:rPr>
          <w:sz w:val="25"/>
          <w:szCs w:val="25"/>
        </w:rPr>
      </w:pPr>
      <w:r>
        <w:rPr>
          <w:spacing w:val="6"/>
          <w:sz w:val="25"/>
          <w:szCs w:val="25"/>
        </w:rPr>
        <w:t>1)振动环境，</w:t>
      </w:r>
      <w:r>
        <w:rPr>
          <w:spacing w:val="-59"/>
          <w:sz w:val="25"/>
          <w:szCs w:val="25"/>
        </w:rPr>
        <w:t xml:space="preserve"> </w:t>
      </w:r>
      <w:r>
        <w:rPr>
          <w:spacing w:val="6"/>
          <w:sz w:val="25"/>
          <w:szCs w:val="25"/>
        </w:rPr>
        <w:t>一般分为：运输振动环境；使用振动环境；其他振动环境。</w:t>
      </w:r>
    </w:p>
    <w:p w14:paraId="437222EE">
      <w:pPr>
        <w:pStyle w:val="2"/>
        <w:spacing w:before="55" w:line="220" w:lineRule="auto"/>
        <w:ind w:left="529"/>
      </w:pPr>
      <w:r>
        <w:rPr>
          <w:rFonts w:ascii="Times New Roman" w:hAnsi="Times New Roman" w:eastAsia="Times New Roman" w:cs="Times New Roman"/>
          <w:spacing w:val="2"/>
        </w:rPr>
        <w:t>m</w:t>
      </w:r>
      <w:r>
        <w:rPr>
          <w:spacing w:val="2"/>
        </w:rPr>
        <w:t>)</w:t>
      </w:r>
      <w:r>
        <w:rPr>
          <w:spacing w:val="-44"/>
        </w:rPr>
        <w:t xml:space="preserve"> </w:t>
      </w:r>
      <w:r>
        <w:rPr>
          <w:spacing w:val="2"/>
        </w:rPr>
        <w:t>炮击振动环境。</w:t>
      </w:r>
    </w:p>
    <w:p w14:paraId="12DA5DC1">
      <w:pPr>
        <w:pStyle w:val="2"/>
        <w:spacing w:before="47" w:line="212" w:lineRule="auto"/>
        <w:ind w:left="529"/>
      </w:pPr>
      <w:r>
        <w:rPr>
          <w:rFonts w:ascii="Times New Roman" w:hAnsi="Times New Roman" w:eastAsia="Times New Roman" w:cs="Times New Roman"/>
          <w:spacing w:val="2"/>
        </w:rPr>
        <w:t xml:space="preserve">n)  </w:t>
      </w:r>
      <w:r>
        <w:rPr>
          <w:spacing w:val="2"/>
        </w:rPr>
        <w:t>噪声环境。</w:t>
      </w:r>
    </w:p>
    <w:p w14:paraId="3195E35F">
      <w:pPr>
        <w:pStyle w:val="2"/>
        <w:spacing w:before="100" w:line="212" w:lineRule="auto"/>
        <w:ind w:left="529"/>
      </w:pPr>
      <w:r>
        <w:rPr>
          <w:rFonts w:ascii="Times New Roman" w:hAnsi="Times New Roman" w:eastAsia="Times New Roman" w:cs="Times New Roman"/>
          <w:spacing w:val="-9"/>
        </w:rPr>
        <w:t xml:space="preserve">o)  </w:t>
      </w:r>
      <w:r>
        <w:rPr>
          <w:spacing w:val="-9"/>
        </w:rPr>
        <w:t>温度一低气压综合环境，一般分为：高温低气压；低温低气压。</w:t>
      </w:r>
    </w:p>
    <w:p w14:paraId="5B593385">
      <w:pPr>
        <w:pStyle w:val="2"/>
        <w:spacing w:before="120" w:line="212" w:lineRule="auto"/>
        <w:ind w:left="529"/>
      </w:pPr>
      <w:r>
        <w:rPr>
          <w:rFonts w:ascii="Times New Roman" w:hAnsi="Times New Roman" w:eastAsia="Times New Roman" w:cs="Times New Roman"/>
          <w:spacing w:val="4"/>
        </w:rPr>
        <w:t>p)</w:t>
      </w:r>
      <w:r>
        <w:rPr>
          <w:rFonts w:ascii="Times New Roman" w:hAnsi="Times New Roman" w:eastAsia="Times New Roman" w:cs="Times New Roman"/>
          <w:spacing w:val="67"/>
        </w:rPr>
        <w:t xml:space="preserve"> </w:t>
      </w:r>
      <w:r>
        <w:rPr>
          <w:spacing w:val="4"/>
        </w:rPr>
        <w:t>温度一湿度一低气压综合环境。</w:t>
      </w:r>
    </w:p>
    <w:p w14:paraId="4A71FD54">
      <w:pPr>
        <w:pStyle w:val="2"/>
        <w:spacing w:before="120" w:line="212" w:lineRule="auto"/>
        <w:ind w:left="529"/>
      </w:pPr>
      <w:r>
        <w:rPr>
          <w:rFonts w:ascii="Times New Roman" w:hAnsi="Times New Roman" w:eastAsia="Times New Roman" w:cs="Times New Roman"/>
          <w:spacing w:val="2"/>
        </w:rPr>
        <w:t xml:space="preserve">q)  </w:t>
      </w:r>
      <w:r>
        <w:rPr>
          <w:spacing w:val="2"/>
        </w:rPr>
        <w:t>温度一振动一噪声环境。</w:t>
      </w:r>
    </w:p>
    <w:p w14:paraId="57F0EACB">
      <w:pPr>
        <w:spacing w:line="212" w:lineRule="auto"/>
        <w:sectPr>
          <w:footerReference r:id="rId583" w:type="default"/>
          <w:pgSz w:w="11910" w:h="17130"/>
          <w:pgMar w:top="400" w:right="1295" w:bottom="1636" w:left="1140" w:header="0" w:footer="1447" w:gutter="0"/>
          <w:cols w:space="720" w:num="1"/>
        </w:sectPr>
      </w:pPr>
    </w:p>
    <w:p w14:paraId="51CABC89">
      <w:pPr>
        <w:spacing w:line="286" w:lineRule="auto"/>
        <w:rPr>
          <w:rFonts w:ascii="Arial"/>
          <w:sz w:val="21"/>
        </w:rPr>
      </w:pPr>
    </w:p>
    <w:p w14:paraId="0649CE66">
      <w:pPr>
        <w:spacing w:line="286" w:lineRule="auto"/>
        <w:rPr>
          <w:rFonts w:ascii="Arial"/>
          <w:sz w:val="21"/>
        </w:rPr>
      </w:pPr>
    </w:p>
    <w:p w14:paraId="14C256A2">
      <w:pPr>
        <w:spacing w:line="286" w:lineRule="auto"/>
        <w:rPr>
          <w:rFonts w:ascii="Arial"/>
          <w:sz w:val="21"/>
        </w:rPr>
      </w:pPr>
    </w:p>
    <w:p w14:paraId="37E289D1">
      <w:pPr>
        <w:spacing w:line="287" w:lineRule="auto"/>
        <w:rPr>
          <w:rFonts w:ascii="Arial"/>
          <w:sz w:val="21"/>
        </w:rPr>
      </w:pPr>
    </w:p>
    <w:p w14:paraId="030BF985">
      <w:pPr>
        <w:pStyle w:val="2"/>
        <w:spacing w:before="88" w:line="212" w:lineRule="auto"/>
        <w:ind w:left="560"/>
      </w:pPr>
      <w:r>
        <w:rPr>
          <w:rFonts w:ascii="Times New Roman" w:hAnsi="Times New Roman" w:eastAsia="Times New Roman" w:cs="Times New Roman"/>
          <w:spacing w:val="4"/>
        </w:rPr>
        <w:t xml:space="preserve">r)  </w:t>
      </w:r>
      <w:r>
        <w:rPr>
          <w:spacing w:val="4"/>
        </w:rPr>
        <w:t>温度一振动一低气压环境。</w:t>
      </w:r>
    </w:p>
    <w:p w14:paraId="45EF9512">
      <w:pPr>
        <w:pStyle w:val="2"/>
        <w:spacing w:before="99" w:line="212" w:lineRule="auto"/>
        <w:ind w:left="560"/>
      </w:pPr>
      <w:r>
        <w:rPr>
          <w:rFonts w:ascii="Times New Roman" w:hAnsi="Times New Roman" w:eastAsia="Times New Roman" w:cs="Times New Roman"/>
          <w:spacing w:val="3"/>
        </w:rPr>
        <w:t xml:space="preserve">s)  </w:t>
      </w:r>
      <w:r>
        <w:rPr>
          <w:spacing w:val="3"/>
        </w:rPr>
        <w:t>温度一湿度一振动一低气压环境。</w:t>
      </w:r>
    </w:p>
    <w:p w14:paraId="007251FC">
      <w:pPr>
        <w:pStyle w:val="2"/>
        <w:spacing w:before="100" w:line="212" w:lineRule="auto"/>
        <w:ind w:left="560"/>
      </w:pPr>
      <w:r>
        <w:rPr>
          <w:rFonts w:ascii="Times New Roman" w:hAnsi="Times New Roman" w:eastAsia="Times New Roman" w:cs="Times New Roman"/>
          <w:spacing w:val="2"/>
        </w:rPr>
        <w:t>t)</w:t>
      </w:r>
      <w:r>
        <w:rPr>
          <w:rFonts w:ascii="Times New Roman" w:hAnsi="Times New Roman" w:eastAsia="Times New Roman" w:cs="Times New Roman"/>
          <w:spacing w:val="14"/>
        </w:rPr>
        <w:t xml:space="preserve">  </w:t>
      </w:r>
      <w:r>
        <w:rPr>
          <w:spacing w:val="2"/>
        </w:rPr>
        <w:t>积冰/冻雨环境。</w:t>
      </w:r>
    </w:p>
    <w:p w14:paraId="1C69E0E9">
      <w:pPr>
        <w:pStyle w:val="2"/>
        <w:spacing w:before="99" w:line="212" w:lineRule="auto"/>
        <w:ind w:left="560"/>
      </w:pPr>
      <w:r>
        <w:rPr>
          <w:rFonts w:ascii="Times New Roman" w:hAnsi="Times New Roman" w:eastAsia="Times New Roman" w:cs="Times New Roman"/>
        </w:rPr>
        <w:t xml:space="preserve">u)  </w:t>
      </w:r>
      <w:r>
        <w:t>风环境。</w:t>
      </w:r>
    </w:p>
    <w:p w14:paraId="107C3E28">
      <w:pPr>
        <w:pStyle w:val="2"/>
        <w:spacing w:before="120" w:line="212" w:lineRule="auto"/>
        <w:ind w:left="560"/>
      </w:pPr>
      <w:r>
        <w:rPr>
          <w:rFonts w:ascii="Times New Roman" w:hAnsi="Times New Roman" w:eastAsia="Times New Roman" w:cs="Times New Roman"/>
          <w:spacing w:val="2"/>
        </w:rPr>
        <w:t xml:space="preserve">v)  </w:t>
      </w:r>
      <w:r>
        <w:rPr>
          <w:spacing w:val="2"/>
        </w:rPr>
        <w:t>倾斜/摇摆环境。</w:t>
      </w:r>
    </w:p>
    <w:p w14:paraId="213D1F99">
      <w:pPr>
        <w:pStyle w:val="2"/>
        <w:spacing w:before="121" w:line="220" w:lineRule="auto"/>
        <w:ind w:left="560"/>
      </w:pPr>
      <w:r>
        <w:rPr>
          <w:rFonts w:ascii="Times New Roman" w:hAnsi="Times New Roman" w:eastAsia="Times New Roman" w:cs="Times New Roman"/>
          <w:spacing w:val="4"/>
        </w:rPr>
        <w:t>w</w:t>
      </w:r>
      <w:r>
        <w:rPr>
          <w:spacing w:val="4"/>
        </w:rPr>
        <w:t>)</w:t>
      </w:r>
      <w:r>
        <w:rPr>
          <w:spacing w:val="-58"/>
        </w:rPr>
        <w:t xml:space="preserve"> </w:t>
      </w:r>
      <w:r>
        <w:rPr>
          <w:spacing w:val="4"/>
        </w:rPr>
        <w:t>流体污染环境。</w:t>
      </w:r>
    </w:p>
    <w:p w14:paraId="545C5004">
      <w:pPr>
        <w:pStyle w:val="2"/>
        <w:spacing w:before="78" w:line="220" w:lineRule="auto"/>
        <w:ind w:left="560"/>
      </w:pPr>
      <w:r>
        <w:rPr>
          <w:rFonts w:ascii="Times New Roman" w:hAnsi="Times New Roman" w:eastAsia="Times New Roman" w:cs="Times New Roman"/>
          <w:spacing w:val="3"/>
        </w:rPr>
        <w:t>x</w:t>
      </w:r>
      <w:r>
        <w:rPr>
          <w:spacing w:val="3"/>
        </w:rPr>
        <w:t>)</w:t>
      </w:r>
      <w:r>
        <w:rPr>
          <w:spacing w:val="-48"/>
        </w:rPr>
        <w:t xml:space="preserve"> </w:t>
      </w:r>
      <w:r>
        <w:rPr>
          <w:spacing w:val="3"/>
        </w:rPr>
        <w:t>酸性大气环境。</w:t>
      </w:r>
    </w:p>
    <w:p w14:paraId="0EEB5FC4">
      <w:pPr>
        <w:pStyle w:val="2"/>
        <w:spacing w:before="47" w:line="212" w:lineRule="auto"/>
        <w:ind w:left="560"/>
      </w:pPr>
      <w:r>
        <w:rPr>
          <w:rFonts w:ascii="Times New Roman" w:hAnsi="Times New Roman" w:eastAsia="Times New Roman" w:cs="Times New Roman"/>
          <w:spacing w:val="13"/>
        </w:rPr>
        <w:t>y</w:t>
      </w:r>
      <w:r>
        <w:rPr>
          <w:spacing w:val="13"/>
        </w:rPr>
        <w:t>)其他环境。</w:t>
      </w:r>
    </w:p>
    <w:p w14:paraId="4D17B55F">
      <w:pPr>
        <w:spacing w:before="138" w:line="221" w:lineRule="auto"/>
        <w:rPr>
          <w:rFonts w:ascii="黑体" w:hAnsi="黑体" w:eastAsia="黑体" w:cs="黑体"/>
          <w:sz w:val="27"/>
          <w:szCs w:val="27"/>
        </w:rPr>
      </w:pPr>
      <w:r>
        <w:rPr>
          <w:rFonts w:ascii="Arial" w:hAnsi="Arial" w:eastAsia="Arial" w:cs="Arial"/>
          <w:spacing w:val="5"/>
          <w:sz w:val="27"/>
          <w:szCs w:val="27"/>
        </w:rPr>
        <w:t>4</w:t>
      </w:r>
      <w:r>
        <w:rPr>
          <w:rFonts w:ascii="Arial" w:hAnsi="Arial" w:eastAsia="Arial" w:cs="Arial"/>
          <w:spacing w:val="17"/>
          <w:sz w:val="27"/>
          <w:szCs w:val="27"/>
        </w:rPr>
        <w:t xml:space="preserve">   </w:t>
      </w:r>
      <w:r>
        <w:rPr>
          <w:rFonts w:ascii="黑体" w:hAnsi="黑体" w:eastAsia="黑体" w:cs="黑体"/>
          <w:spacing w:val="5"/>
          <w:sz w:val="27"/>
          <w:szCs w:val="27"/>
        </w:rPr>
        <w:t>环境适应性验证要求和验证方法</w:t>
      </w:r>
    </w:p>
    <w:p w14:paraId="71D185EA">
      <w:pPr>
        <w:pStyle w:val="2"/>
        <w:spacing w:before="87" w:line="275" w:lineRule="auto"/>
        <w:ind w:right="4" w:firstLine="560"/>
        <w:jc w:val="both"/>
      </w:pPr>
      <w:r>
        <w:rPr>
          <w:spacing w:val="-3"/>
        </w:rPr>
        <w:t>环境适应性验证一般采用实验室试验方法，也可采用分析法，包括相似产品</w:t>
      </w:r>
      <w:r>
        <w:rPr>
          <w:spacing w:val="15"/>
        </w:rPr>
        <w:t xml:space="preserve"> </w:t>
      </w:r>
      <w:r>
        <w:rPr>
          <w:spacing w:val="-3"/>
        </w:rPr>
        <w:t>比较分析和仿真方法，还可以通过现场使用验证。环境适应性验证要求，一般就</w:t>
      </w:r>
      <w:r>
        <w:rPr>
          <w:spacing w:val="6"/>
        </w:rPr>
        <w:t xml:space="preserve"> </w:t>
      </w:r>
      <w:r>
        <w:rPr>
          <w:spacing w:val="4"/>
        </w:rPr>
        <w:t>是验证研制总要求或合同(协议书)中规定的环境适应性定量要求。</w:t>
      </w:r>
    </w:p>
    <w:p w14:paraId="1880F0B4">
      <w:pPr>
        <w:pStyle w:val="2"/>
        <w:spacing w:before="7" w:line="220" w:lineRule="auto"/>
        <w:ind w:left="560"/>
      </w:pPr>
      <w:r>
        <w:rPr>
          <w:spacing w:val="2"/>
        </w:rPr>
        <w:t>环境适应性验证方法有：</w:t>
      </w:r>
    </w:p>
    <w:p w14:paraId="31DCC22E">
      <w:pPr>
        <w:pStyle w:val="2"/>
        <w:spacing w:before="56" w:line="267" w:lineRule="auto"/>
        <w:ind w:firstLine="560"/>
      </w:pPr>
      <w:r>
        <w:rPr>
          <w:rFonts w:ascii="Times New Roman" w:hAnsi="Times New Roman" w:eastAsia="Times New Roman" w:cs="Times New Roman"/>
          <w:spacing w:val="11"/>
        </w:rPr>
        <w:t>a)</w:t>
      </w:r>
      <w:r>
        <w:rPr>
          <w:rFonts w:ascii="Times New Roman" w:hAnsi="Times New Roman" w:eastAsia="Times New Roman" w:cs="Times New Roman"/>
          <w:spacing w:val="3"/>
        </w:rPr>
        <w:t xml:space="preserve">  </w:t>
      </w:r>
      <w:r>
        <w:rPr>
          <w:spacing w:val="11"/>
        </w:rPr>
        <w:t>试验方法。可以直接采用</w:t>
      </w:r>
      <w:r>
        <w:rPr>
          <w:rFonts w:ascii="Times New Roman" w:hAnsi="Times New Roman" w:eastAsia="Times New Roman" w:cs="Times New Roman"/>
        </w:rPr>
        <w:t>GJB</w:t>
      </w:r>
      <w:r>
        <w:rPr>
          <w:rFonts w:ascii="Times New Roman" w:hAnsi="Times New Roman" w:eastAsia="Times New Roman" w:cs="Times New Roman"/>
          <w:spacing w:val="11"/>
        </w:rPr>
        <w:t xml:space="preserve">150   </w:t>
      </w:r>
      <w:r>
        <w:rPr>
          <w:spacing w:val="11"/>
        </w:rPr>
        <w:t>或其他有关标准中规定的相应</w:t>
      </w:r>
      <w:r>
        <w:rPr>
          <w:spacing w:val="10"/>
        </w:rPr>
        <w:t>试验</w:t>
      </w:r>
      <w:r>
        <w:t xml:space="preserve"> </w:t>
      </w:r>
      <w:r>
        <w:rPr>
          <w:spacing w:val="2"/>
        </w:rPr>
        <w:t>程序进行，也可根据产品的具体情况对</w:t>
      </w:r>
      <w:r>
        <w:rPr>
          <w:spacing w:val="-74"/>
        </w:rPr>
        <w:t xml:space="preserve"> </w:t>
      </w:r>
      <w:r>
        <w:rPr>
          <w:rFonts w:ascii="Times New Roman" w:hAnsi="Times New Roman" w:eastAsia="Times New Roman" w:cs="Times New Roman"/>
        </w:rPr>
        <w:t>GJB</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2"/>
        </w:rPr>
        <w:t xml:space="preserve">150 </w:t>
      </w:r>
      <w:r>
        <w:rPr>
          <w:spacing w:val="2"/>
        </w:rPr>
        <w:t>或其他有关标准规定的试验程</w:t>
      </w:r>
      <w:r>
        <w:t xml:space="preserve"> </w:t>
      </w:r>
      <w:r>
        <w:rPr>
          <w:spacing w:val="1"/>
        </w:rPr>
        <w:t>序适当剪裁后进行。</w:t>
      </w:r>
    </w:p>
    <w:p w14:paraId="77417089">
      <w:pPr>
        <w:pStyle w:val="2"/>
        <w:spacing w:before="58" w:line="268" w:lineRule="auto"/>
        <w:ind w:firstLine="560"/>
      </w:pPr>
      <w:r>
        <w:rPr>
          <w:rFonts w:ascii="Times New Roman" w:hAnsi="Times New Roman" w:eastAsia="Times New Roman" w:cs="Times New Roman"/>
          <w:spacing w:val="12"/>
        </w:rPr>
        <w:t>b)</w:t>
      </w:r>
      <w:r>
        <w:rPr>
          <w:rFonts w:ascii="Times New Roman" w:hAnsi="Times New Roman" w:eastAsia="Times New Roman" w:cs="Times New Roman"/>
          <w:spacing w:val="67"/>
        </w:rPr>
        <w:t xml:space="preserve"> </w:t>
      </w:r>
      <w:r>
        <w:rPr>
          <w:spacing w:val="12"/>
        </w:rPr>
        <w:t>分析方法。可以通过分析的方法来确定</w:t>
      </w:r>
      <w:r>
        <w:rPr>
          <w:spacing w:val="11"/>
        </w:rPr>
        <w:t>产品环境适应性是否已满足研</w:t>
      </w:r>
      <w:r>
        <w:t xml:space="preserve"> </w:t>
      </w:r>
      <w:r>
        <w:rPr>
          <w:spacing w:val="6"/>
        </w:rPr>
        <w:t>制总要求或合同中规定的要求。例如在环境适</w:t>
      </w:r>
      <w:r>
        <w:rPr>
          <w:spacing w:val="5"/>
        </w:rPr>
        <w:t>应性要求相同的条件下，如果分</w:t>
      </w:r>
      <w:r>
        <w:t xml:space="preserve"> </w:t>
      </w:r>
      <w:r>
        <w:rPr>
          <w:spacing w:val="-10"/>
        </w:rPr>
        <w:t>析表明，材料、结构、工艺和使用模式均相似或相同的产品通过了相应的试验，则</w:t>
      </w:r>
      <w:r>
        <w:rPr>
          <w:spacing w:val="2"/>
        </w:rPr>
        <w:t xml:space="preserve"> </w:t>
      </w:r>
      <w:r>
        <w:t>该产品可不进行该试验，但应提供详细的分析报告和出具相应的试验报告。</w:t>
      </w:r>
    </w:p>
    <w:p w14:paraId="03E44908">
      <w:pPr>
        <w:spacing w:line="334" w:lineRule="auto"/>
        <w:rPr>
          <w:rFonts w:ascii="Arial"/>
          <w:sz w:val="21"/>
        </w:rPr>
      </w:pPr>
    </w:p>
    <w:p w14:paraId="5BA1E64C">
      <w:pPr>
        <w:pStyle w:val="2"/>
        <w:spacing w:before="118" w:line="220" w:lineRule="auto"/>
        <w:ind w:left="2539"/>
        <w:rPr>
          <w:sz w:val="36"/>
          <w:szCs w:val="36"/>
        </w:rPr>
      </w:pPr>
      <w:r>
        <w:rPr>
          <w:spacing w:val="2"/>
          <w:sz w:val="36"/>
          <w:szCs w:val="36"/>
        </w:rPr>
        <w:t xml:space="preserve">12.5  </w:t>
      </w:r>
      <w:r>
        <w:rPr>
          <w:b/>
          <w:bCs/>
          <w:spacing w:val="2"/>
          <w:sz w:val="36"/>
          <w:szCs w:val="36"/>
        </w:rPr>
        <w:t>环境适应性设计准则</w:t>
      </w:r>
    </w:p>
    <w:p w14:paraId="6EC24481">
      <w:pPr>
        <w:spacing w:line="336" w:lineRule="auto"/>
        <w:rPr>
          <w:rFonts w:ascii="Arial"/>
          <w:sz w:val="21"/>
        </w:rPr>
      </w:pPr>
    </w:p>
    <w:p w14:paraId="6651127E">
      <w:pPr>
        <w:pStyle w:val="2"/>
        <w:spacing w:before="91" w:line="226" w:lineRule="auto"/>
        <w:ind w:left="560"/>
        <w:rPr>
          <w:rFonts w:ascii="楷体" w:hAnsi="楷体" w:eastAsia="楷体" w:cs="楷体"/>
          <w:sz w:val="28"/>
          <w:szCs w:val="28"/>
        </w:rPr>
      </w:pPr>
      <w:r>
        <w:rPr>
          <w:rFonts w:ascii="楷体" w:hAnsi="楷体" w:eastAsia="楷体" w:cs="楷体"/>
          <w:spacing w:val="-12"/>
          <w:sz w:val="28"/>
          <w:szCs w:val="28"/>
        </w:rPr>
        <w:t>按照</w:t>
      </w:r>
      <w:r>
        <w:rPr>
          <w:rFonts w:ascii="楷体" w:hAnsi="楷体" w:eastAsia="楷体" w:cs="楷体"/>
          <w:spacing w:val="-65"/>
          <w:sz w:val="28"/>
          <w:szCs w:val="28"/>
        </w:rPr>
        <w:t xml:space="preserve"> </w:t>
      </w:r>
      <w:r>
        <w:rPr>
          <w:rFonts w:ascii="Times New Roman" w:hAnsi="Times New Roman" w:eastAsia="Times New Roman" w:cs="Times New Roman"/>
          <w:spacing w:val="-12"/>
          <w:sz w:val="28"/>
          <w:szCs w:val="28"/>
        </w:rPr>
        <w:t>GJB 4239—</w:t>
      </w:r>
      <w:r>
        <w:rPr>
          <w:rFonts w:ascii="Times New Roman" w:hAnsi="Times New Roman" w:eastAsia="Times New Roman" w:cs="Times New Roman"/>
          <w:strike/>
          <w:spacing w:val="-12"/>
          <w:sz w:val="28"/>
          <w:szCs w:val="28"/>
        </w:rPr>
        <w:t>2</w:t>
      </w:r>
      <w:r>
        <w:rPr>
          <w:rFonts w:ascii="Times New Roman" w:hAnsi="Times New Roman" w:eastAsia="Times New Roman" w:cs="Times New Roman"/>
          <w:spacing w:val="-12"/>
          <w:sz w:val="28"/>
          <w:szCs w:val="28"/>
        </w:rPr>
        <w:t>001</w:t>
      </w:r>
      <w:r>
        <w:rPr>
          <w:spacing w:val="-12"/>
          <w:sz w:val="28"/>
          <w:szCs w:val="28"/>
        </w:rPr>
        <w:t>《</w:t>
      </w:r>
      <w:r>
        <w:rPr>
          <w:rFonts w:ascii="楷体" w:hAnsi="楷体" w:eastAsia="楷体" w:cs="楷体"/>
          <w:spacing w:val="-12"/>
          <w:sz w:val="28"/>
          <w:szCs w:val="28"/>
        </w:rPr>
        <w:t>装备环境工程通用要求》编写。</w:t>
      </w:r>
    </w:p>
    <w:p w14:paraId="14EA66EE">
      <w:pPr>
        <w:spacing w:before="70"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30"/>
          <w:sz w:val="27"/>
          <w:szCs w:val="27"/>
        </w:rPr>
        <w:t xml:space="preserve">  </w:t>
      </w:r>
      <w:r>
        <w:rPr>
          <w:rFonts w:ascii="黑体" w:hAnsi="黑体" w:eastAsia="黑体" w:cs="黑体"/>
          <w:spacing w:val="-6"/>
          <w:sz w:val="27"/>
          <w:szCs w:val="27"/>
        </w:rPr>
        <w:t>目的和用途</w:t>
      </w:r>
    </w:p>
    <w:p w14:paraId="4E897623">
      <w:pPr>
        <w:pStyle w:val="2"/>
        <w:spacing w:before="102" w:line="269" w:lineRule="auto"/>
        <w:ind w:right="14" w:firstLine="560"/>
      </w:pPr>
      <w:r>
        <w:rPr>
          <w:spacing w:val="5"/>
        </w:rPr>
        <w:t>说明编制环境适应性设计准则的目的和用途。环境适应性设计准则用于指</w:t>
      </w:r>
      <w:r>
        <w:rPr>
          <w:spacing w:val="16"/>
        </w:rPr>
        <w:t xml:space="preserve"> </w:t>
      </w:r>
      <w:r>
        <w:rPr>
          <w:spacing w:val="4"/>
        </w:rPr>
        <w:t>导产品设计人员进行环境适应性设计。</w:t>
      </w:r>
    </w:p>
    <w:p w14:paraId="40CC0D51">
      <w:pPr>
        <w:spacing w:before="12" w:line="221" w:lineRule="auto"/>
        <w:rPr>
          <w:rFonts w:ascii="黑体" w:hAnsi="黑体" w:eastAsia="黑体" w:cs="黑体"/>
          <w:sz w:val="27"/>
          <w:szCs w:val="27"/>
        </w:rPr>
      </w:pPr>
      <w:r>
        <w:rPr>
          <w:rFonts w:ascii="黑体" w:hAnsi="黑体" w:eastAsia="黑体" w:cs="黑体"/>
          <w:spacing w:val="4"/>
          <w:sz w:val="27"/>
          <w:szCs w:val="27"/>
        </w:rPr>
        <w:t>2</w:t>
      </w:r>
      <w:r>
        <w:rPr>
          <w:rFonts w:ascii="黑体" w:hAnsi="黑体" w:eastAsia="黑体" w:cs="黑体"/>
          <w:spacing w:val="13"/>
          <w:sz w:val="27"/>
          <w:szCs w:val="27"/>
        </w:rPr>
        <w:t xml:space="preserve">  </w:t>
      </w:r>
      <w:r>
        <w:rPr>
          <w:rFonts w:ascii="黑体" w:hAnsi="黑体" w:eastAsia="黑体" w:cs="黑体"/>
          <w:spacing w:val="4"/>
          <w:sz w:val="27"/>
          <w:szCs w:val="27"/>
        </w:rPr>
        <w:t>编制依据</w:t>
      </w:r>
    </w:p>
    <w:p w14:paraId="1B3B3236">
      <w:pPr>
        <w:pStyle w:val="2"/>
        <w:spacing w:before="87" w:line="257" w:lineRule="auto"/>
        <w:ind w:right="19" w:firstLine="560"/>
      </w:pPr>
      <w:r>
        <w:rPr>
          <w:spacing w:val="14"/>
        </w:rPr>
        <w:t>说明编制环境适应性设计准则依据的各种文件和标准。编制依据一般包</w:t>
      </w:r>
      <w:r>
        <w:rPr>
          <w:spacing w:val="7"/>
        </w:rPr>
        <w:t xml:space="preserve"> </w:t>
      </w:r>
      <w:r>
        <w:rPr>
          <w:spacing w:val="-7"/>
        </w:rPr>
        <w:t>括：环境适应性要求文件；研制总要求和合同或协议书；其他有关文件和标准。</w:t>
      </w:r>
    </w:p>
    <w:p w14:paraId="1279709A">
      <w:pPr>
        <w:spacing w:line="368" w:lineRule="exact"/>
        <w:rPr>
          <w:rFonts w:ascii="黑体" w:hAnsi="黑体" w:eastAsia="黑体" w:cs="黑体"/>
          <w:sz w:val="27"/>
          <w:szCs w:val="27"/>
        </w:rPr>
      </w:pPr>
      <w:r>
        <w:rPr>
          <w:rFonts w:ascii="Arial" w:hAnsi="Arial" w:eastAsia="Arial" w:cs="Arial"/>
          <w:spacing w:val="3"/>
          <w:position w:val="1"/>
          <w:sz w:val="27"/>
          <w:szCs w:val="27"/>
        </w:rPr>
        <w:t>3</w:t>
      </w:r>
      <w:r>
        <w:rPr>
          <w:rFonts w:ascii="Arial" w:hAnsi="Arial" w:eastAsia="Arial" w:cs="Arial"/>
          <w:spacing w:val="20"/>
          <w:position w:val="1"/>
          <w:sz w:val="27"/>
          <w:szCs w:val="27"/>
        </w:rPr>
        <w:t xml:space="preserve">   </w:t>
      </w:r>
      <w:r>
        <w:rPr>
          <w:rFonts w:ascii="黑体" w:hAnsi="黑体" w:eastAsia="黑体" w:cs="黑体"/>
          <w:spacing w:val="3"/>
          <w:position w:val="1"/>
          <w:sz w:val="27"/>
          <w:szCs w:val="27"/>
        </w:rPr>
        <w:t>环境适应性设计准则</w:t>
      </w:r>
    </w:p>
    <w:p w14:paraId="6A6DDE45">
      <w:pPr>
        <w:pStyle w:val="2"/>
        <w:spacing w:before="103" w:line="278" w:lineRule="auto"/>
        <w:ind w:right="8" w:firstLine="560"/>
        <w:jc w:val="both"/>
      </w:pPr>
      <w:r>
        <w:rPr>
          <w:spacing w:val="6"/>
        </w:rPr>
        <w:t>针对环境适应性要求文件中规定的各项环境适应</w:t>
      </w:r>
      <w:r>
        <w:rPr>
          <w:spacing w:val="5"/>
        </w:rPr>
        <w:t>性指标，分别列出开展相</w:t>
      </w:r>
      <w:r>
        <w:t xml:space="preserve"> </w:t>
      </w:r>
      <w:r>
        <w:rPr>
          <w:spacing w:val="-2"/>
        </w:rPr>
        <w:t>应环境适应性设计应遵循的准则，如耐环境应力裕度、降额设计、降低环境应力</w:t>
      </w:r>
      <w:r>
        <w:rPr>
          <w:spacing w:val="2"/>
        </w:rPr>
        <w:t xml:space="preserve"> </w:t>
      </w:r>
      <w:r>
        <w:rPr>
          <w:spacing w:val="-2"/>
        </w:rPr>
        <w:t>强度或环境影响、控制其工作时产生对周围环境影响等等。</w:t>
      </w:r>
    </w:p>
    <w:p w14:paraId="1E065987">
      <w:pPr>
        <w:spacing w:line="278" w:lineRule="auto"/>
        <w:sectPr>
          <w:footerReference r:id="rId584" w:type="default"/>
          <w:pgSz w:w="11910" w:h="17130"/>
          <w:pgMar w:top="400" w:right="1058" w:bottom="1466" w:left="1460" w:header="0" w:footer="1277" w:gutter="0"/>
          <w:cols w:space="720" w:num="1"/>
        </w:sectPr>
      </w:pPr>
    </w:p>
    <w:p w14:paraId="1C6753BF">
      <w:pPr>
        <w:spacing w:line="282" w:lineRule="auto"/>
        <w:rPr>
          <w:rFonts w:ascii="Arial"/>
          <w:sz w:val="21"/>
        </w:rPr>
      </w:pPr>
    </w:p>
    <w:p w14:paraId="2F2685C3">
      <w:pPr>
        <w:spacing w:line="282" w:lineRule="auto"/>
        <w:rPr>
          <w:rFonts w:ascii="Arial"/>
          <w:sz w:val="21"/>
        </w:rPr>
      </w:pPr>
    </w:p>
    <w:p w14:paraId="17227C1D">
      <w:pPr>
        <w:spacing w:line="283" w:lineRule="auto"/>
        <w:rPr>
          <w:rFonts w:ascii="Arial"/>
          <w:sz w:val="21"/>
        </w:rPr>
      </w:pPr>
    </w:p>
    <w:p w14:paraId="396F8323">
      <w:pPr>
        <w:spacing w:line="283" w:lineRule="auto"/>
        <w:rPr>
          <w:rFonts w:ascii="Arial"/>
          <w:sz w:val="21"/>
        </w:rPr>
      </w:pPr>
    </w:p>
    <w:p w14:paraId="309295D9">
      <w:pPr>
        <w:spacing w:before="88" w:line="222" w:lineRule="auto"/>
        <w:rPr>
          <w:rFonts w:ascii="黑体" w:hAnsi="黑体" w:eastAsia="黑体" w:cs="黑体"/>
          <w:sz w:val="27"/>
          <w:szCs w:val="27"/>
        </w:rPr>
      </w:pPr>
      <w:r>
        <w:rPr>
          <w:rFonts w:ascii="黑体" w:hAnsi="黑体" w:eastAsia="黑体" w:cs="黑体"/>
          <w:spacing w:val="-4"/>
          <w:sz w:val="27"/>
          <w:szCs w:val="27"/>
        </w:rPr>
        <w:t>3.1</w:t>
      </w:r>
      <w:r>
        <w:rPr>
          <w:rFonts w:ascii="黑体" w:hAnsi="黑体" w:eastAsia="黑体" w:cs="黑体"/>
          <w:spacing w:val="31"/>
          <w:sz w:val="27"/>
          <w:szCs w:val="27"/>
        </w:rPr>
        <w:t xml:space="preserve">  </w:t>
      </w:r>
      <w:r>
        <w:rPr>
          <w:rFonts w:ascii="黑体" w:hAnsi="黑体" w:eastAsia="黑体" w:cs="黑体"/>
          <w:b/>
          <w:bCs/>
          <w:spacing w:val="-4"/>
          <w:sz w:val="27"/>
          <w:szCs w:val="27"/>
        </w:rPr>
        <w:t>耐环境应力裕度</w:t>
      </w:r>
    </w:p>
    <w:p w14:paraId="099E966F">
      <w:pPr>
        <w:pStyle w:val="2"/>
        <w:spacing w:before="111" w:line="219" w:lineRule="auto"/>
        <w:ind w:left="550"/>
      </w:pPr>
      <w:r>
        <w:rPr>
          <w:spacing w:val="4"/>
        </w:rPr>
        <w:t>说明耐环境应力裕度的设计准则。</w:t>
      </w:r>
    </w:p>
    <w:p w14:paraId="1FA1D37D">
      <w:pPr>
        <w:pStyle w:val="2"/>
        <w:spacing w:before="77" w:line="273" w:lineRule="auto"/>
        <w:ind w:right="11" w:firstLine="550"/>
      </w:pPr>
      <w:r>
        <w:rPr>
          <w:spacing w:val="-2"/>
        </w:rPr>
        <w:t>应当根据应力特点、资源(时间、经费)和技</w:t>
      </w:r>
      <w:r>
        <w:rPr>
          <w:spacing w:val="-3"/>
        </w:rPr>
        <w:t>术可能性等因素确定一个耐各种</w:t>
      </w:r>
      <w:r>
        <w:t xml:space="preserve"> </w:t>
      </w:r>
      <w:r>
        <w:rPr>
          <w:spacing w:val="5"/>
        </w:rPr>
        <w:t>环境应力能力的裕度。裕度越大，设计和制造的产品耐环境能力的正态分布的</w:t>
      </w:r>
      <w:r>
        <w:rPr>
          <w:spacing w:val="9"/>
        </w:rPr>
        <w:t xml:space="preserve"> </w:t>
      </w:r>
      <w:r>
        <w:rPr>
          <w:spacing w:val="6"/>
        </w:rPr>
        <w:t>均值离环境适应性要求的应力量值越远，产品的环境适应性</w:t>
      </w:r>
      <w:r>
        <w:rPr>
          <w:spacing w:val="5"/>
        </w:rPr>
        <w:t>水平越高。应当指</w:t>
      </w:r>
      <w:r>
        <w:t xml:space="preserve"> </w:t>
      </w:r>
      <w:r>
        <w:rPr>
          <w:spacing w:val="-10"/>
        </w:rPr>
        <w:t>出，裕度选得越大，设计难度越大，需要的时间和费用越多</w:t>
      </w:r>
      <w:r>
        <w:rPr>
          <w:spacing w:val="-11"/>
        </w:rPr>
        <w:t>，因此，确定裕度时应</w:t>
      </w:r>
      <w:r>
        <w:t xml:space="preserve"> </w:t>
      </w:r>
      <w:r>
        <w:rPr>
          <w:spacing w:val="-2"/>
        </w:rPr>
        <w:t>进行权衡，一般可由装备或系统的总师单位统一规定一个</w:t>
      </w:r>
      <w:r>
        <w:rPr>
          <w:spacing w:val="-3"/>
        </w:rPr>
        <w:t>范围或最小裕度，或由</w:t>
      </w:r>
      <w:r>
        <w:t xml:space="preserve"> </w:t>
      </w:r>
      <w:r>
        <w:rPr>
          <w:spacing w:val="2"/>
        </w:rPr>
        <w:t>设计单位根据实际情况确定裕度。</w:t>
      </w:r>
    </w:p>
    <w:p w14:paraId="68290F4D">
      <w:pPr>
        <w:spacing w:before="40" w:line="222" w:lineRule="auto"/>
        <w:rPr>
          <w:rFonts w:ascii="黑体" w:hAnsi="黑体" w:eastAsia="黑体" w:cs="黑体"/>
          <w:sz w:val="25"/>
          <w:szCs w:val="25"/>
        </w:rPr>
      </w:pPr>
      <w:r>
        <w:rPr>
          <w:rFonts w:ascii="黑体" w:hAnsi="黑体" w:eastAsia="黑体" w:cs="黑体"/>
          <w:spacing w:val="10"/>
          <w:sz w:val="25"/>
          <w:szCs w:val="25"/>
        </w:rPr>
        <w:t>3.2</w:t>
      </w:r>
      <w:r>
        <w:rPr>
          <w:rFonts w:ascii="黑体" w:hAnsi="黑体" w:eastAsia="黑体" w:cs="黑体"/>
          <w:spacing w:val="46"/>
          <w:sz w:val="25"/>
          <w:szCs w:val="25"/>
        </w:rPr>
        <w:t xml:space="preserve">  </w:t>
      </w:r>
      <w:r>
        <w:rPr>
          <w:rFonts w:ascii="黑体" w:hAnsi="黑体" w:eastAsia="黑体" w:cs="黑体"/>
          <w:b/>
          <w:bCs/>
          <w:spacing w:val="10"/>
          <w:sz w:val="25"/>
          <w:szCs w:val="25"/>
        </w:rPr>
        <w:t>降额设计</w:t>
      </w:r>
    </w:p>
    <w:p w14:paraId="6F7F91C4">
      <w:pPr>
        <w:pStyle w:val="2"/>
        <w:spacing w:before="105" w:line="219" w:lineRule="auto"/>
        <w:ind w:left="550"/>
      </w:pPr>
      <w:r>
        <w:rPr>
          <w:spacing w:val="2"/>
        </w:rPr>
        <w:t>说明降额设计准则。</w:t>
      </w:r>
    </w:p>
    <w:p w14:paraId="4EB60D40">
      <w:pPr>
        <w:spacing w:before="74" w:line="222" w:lineRule="auto"/>
        <w:rPr>
          <w:rFonts w:ascii="黑体" w:hAnsi="黑体" w:eastAsia="黑体" w:cs="黑体"/>
          <w:sz w:val="27"/>
          <w:szCs w:val="27"/>
        </w:rPr>
      </w:pPr>
      <w:r>
        <w:rPr>
          <w:rFonts w:ascii="黑体" w:hAnsi="黑体" w:eastAsia="黑体" w:cs="黑体"/>
          <w:spacing w:val="2"/>
          <w:sz w:val="27"/>
          <w:szCs w:val="27"/>
        </w:rPr>
        <w:t xml:space="preserve">3.3  </w:t>
      </w:r>
      <w:r>
        <w:rPr>
          <w:rFonts w:ascii="黑体" w:hAnsi="黑体" w:eastAsia="黑体" w:cs="黑体"/>
          <w:b/>
          <w:bCs/>
          <w:spacing w:val="2"/>
          <w:sz w:val="27"/>
          <w:szCs w:val="27"/>
        </w:rPr>
        <w:t>降低环境应力强度或环境影响</w:t>
      </w:r>
    </w:p>
    <w:p w14:paraId="21B14D96">
      <w:pPr>
        <w:pStyle w:val="2"/>
        <w:spacing w:before="91" w:line="219" w:lineRule="auto"/>
        <w:ind w:left="550"/>
      </w:pPr>
      <w:r>
        <w:rPr>
          <w:spacing w:val="5"/>
        </w:rPr>
        <w:t>说明降低环境应力强度或环境影响的设计准则。</w:t>
      </w:r>
    </w:p>
    <w:p w14:paraId="600D9A33">
      <w:pPr>
        <w:spacing w:before="84" w:line="222" w:lineRule="auto"/>
        <w:rPr>
          <w:rFonts w:ascii="黑体" w:hAnsi="黑体" w:eastAsia="黑体" w:cs="黑体"/>
          <w:sz w:val="27"/>
          <w:szCs w:val="27"/>
        </w:rPr>
      </w:pPr>
      <w:r>
        <w:rPr>
          <w:rFonts w:ascii="黑体" w:hAnsi="黑体" w:eastAsia="黑体" w:cs="黑体"/>
          <w:spacing w:val="4"/>
          <w:sz w:val="27"/>
          <w:szCs w:val="27"/>
        </w:rPr>
        <w:t xml:space="preserve">3.4  </w:t>
      </w:r>
      <w:r>
        <w:rPr>
          <w:rFonts w:ascii="黑体" w:hAnsi="黑体" w:eastAsia="黑体" w:cs="黑体"/>
          <w:b/>
          <w:bCs/>
          <w:spacing w:val="4"/>
          <w:sz w:val="27"/>
          <w:szCs w:val="27"/>
        </w:rPr>
        <w:t>控制工作时对周围环境影响</w:t>
      </w:r>
    </w:p>
    <w:p w14:paraId="35560CCC">
      <w:pPr>
        <w:pStyle w:val="2"/>
        <w:spacing w:before="81" w:line="219" w:lineRule="auto"/>
        <w:ind w:left="550"/>
      </w:pPr>
      <w:r>
        <w:rPr>
          <w:spacing w:val="4"/>
        </w:rPr>
        <w:t>说明控制工作时对周围环境影响的设计准则。</w:t>
      </w:r>
    </w:p>
    <w:p w14:paraId="39BD5B7D">
      <w:pPr>
        <w:spacing w:before="84" w:line="222" w:lineRule="auto"/>
        <w:rPr>
          <w:rFonts w:ascii="黑体" w:hAnsi="黑体" w:eastAsia="黑体" w:cs="黑体"/>
          <w:sz w:val="27"/>
          <w:szCs w:val="27"/>
        </w:rPr>
      </w:pPr>
      <w:r>
        <w:rPr>
          <w:rFonts w:ascii="黑体" w:hAnsi="黑体" w:eastAsia="黑体" w:cs="黑体"/>
          <w:spacing w:val="3"/>
          <w:sz w:val="27"/>
          <w:szCs w:val="27"/>
        </w:rPr>
        <w:t>3.5</w:t>
      </w:r>
      <w:r>
        <w:rPr>
          <w:rFonts w:ascii="黑体" w:hAnsi="黑体" w:eastAsia="黑体" w:cs="黑体"/>
          <w:spacing w:val="19"/>
          <w:sz w:val="27"/>
          <w:szCs w:val="27"/>
        </w:rPr>
        <w:t xml:space="preserve">  </w:t>
      </w:r>
      <w:r>
        <w:rPr>
          <w:rFonts w:ascii="黑体" w:hAnsi="黑体" w:eastAsia="黑体" w:cs="黑体"/>
          <w:b/>
          <w:bCs/>
          <w:spacing w:val="3"/>
          <w:sz w:val="27"/>
          <w:szCs w:val="27"/>
        </w:rPr>
        <w:t>(其他设计准则)</w:t>
      </w:r>
    </w:p>
    <w:p w14:paraId="475028CB">
      <w:pPr>
        <w:pStyle w:val="2"/>
        <w:spacing w:before="91" w:line="219" w:lineRule="auto"/>
        <w:ind w:left="550"/>
      </w:pPr>
      <w:r>
        <w:rPr>
          <w:spacing w:val="3"/>
        </w:rPr>
        <w:t>说明开展环境适应性设计应遵循的其他准则。</w:t>
      </w:r>
    </w:p>
    <w:p w14:paraId="701EFEC3">
      <w:pPr>
        <w:spacing w:line="340" w:lineRule="auto"/>
        <w:rPr>
          <w:rFonts w:ascii="Arial"/>
          <w:sz w:val="21"/>
        </w:rPr>
      </w:pPr>
    </w:p>
    <w:p w14:paraId="2705D980">
      <w:pPr>
        <w:pStyle w:val="2"/>
        <w:spacing w:before="117" w:line="220" w:lineRule="auto"/>
        <w:ind w:left="2540"/>
        <w:rPr>
          <w:sz w:val="36"/>
          <w:szCs w:val="36"/>
        </w:rPr>
      </w:pPr>
      <w:r>
        <w:rPr>
          <w:spacing w:val="1"/>
          <w:sz w:val="36"/>
          <w:szCs w:val="36"/>
        </w:rPr>
        <w:t xml:space="preserve">12.6  </w:t>
      </w:r>
      <w:r>
        <w:rPr>
          <w:b/>
          <w:bCs/>
          <w:spacing w:val="1"/>
          <w:sz w:val="36"/>
          <w:szCs w:val="36"/>
        </w:rPr>
        <w:t>环境适应性设计指南</w:t>
      </w:r>
    </w:p>
    <w:p w14:paraId="00657446">
      <w:pPr>
        <w:spacing w:line="326" w:lineRule="auto"/>
        <w:rPr>
          <w:rFonts w:ascii="Arial"/>
          <w:sz w:val="21"/>
        </w:rPr>
      </w:pPr>
    </w:p>
    <w:p w14:paraId="62DA2AED">
      <w:pPr>
        <w:pStyle w:val="2"/>
        <w:spacing w:before="91" w:line="226" w:lineRule="auto"/>
        <w:ind w:left="55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4239—</w:t>
      </w:r>
      <w:r>
        <w:rPr>
          <w:rFonts w:ascii="Times New Roman" w:hAnsi="Times New Roman" w:eastAsia="Times New Roman" w:cs="Times New Roman"/>
          <w:strike/>
          <w:spacing w:val="-10"/>
          <w:sz w:val="28"/>
          <w:szCs w:val="28"/>
        </w:rPr>
        <w:t>2</w:t>
      </w:r>
      <w:r>
        <w:rPr>
          <w:rFonts w:ascii="Times New Roman" w:hAnsi="Times New Roman" w:eastAsia="Times New Roman" w:cs="Times New Roman"/>
          <w:spacing w:val="-10"/>
          <w:sz w:val="28"/>
          <w:szCs w:val="28"/>
        </w:rPr>
        <w:t>001</w:t>
      </w:r>
      <w:r>
        <w:rPr>
          <w:spacing w:val="-10"/>
          <w:sz w:val="28"/>
          <w:szCs w:val="28"/>
        </w:rPr>
        <w:t>《</w:t>
      </w:r>
      <w:r>
        <w:rPr>
          <w:rFonts w:ascii="楷体" w:hAnsi="楷体" w:eastAsia="楷体" w:cs="楷体"/>
          <w:spacing w:val="-10"/>
          <w:sz w:val="28"/>
          <w:szCs w:val="28"/>
        </w:rPr>
        <w:t>装备环境工程通用要求》编写。</w:t>
      </w:r>
    </w:p>
    <w:p w14:paraId="13CF4B84">
      <w:pPr>
        <w:spacing w:before="76" w:line="223" w:lineRule="auto"/>
        <w:outlineLvl w:val="3"/>
        <w:rPr>
          <w:rFonts w:ascii="黑体" w:hAnsi="黑体" w:eastAsia="黑体" w:cs="黑体"/>
          <w:sz w:val="27"/>
          <w:szCs w:val="27"/>
        </w:rPr>
      </w:pPr>
      <w:r>
        <w:rPr>
          <w:rFonts w:ascii="Arial" w:hAnsi="Arial" w:eastAsia="Arial" w:cs="Arial"/>
          <w:b/>
          <w:bCs/>
          <w:spacing w:val="-5"/>
          <w:sz w:val="27"/>
          <w:szCs w:val="27"/>
        </w:rPr>
        <w:t xml:space="preserve">1    </w:t>
      </w:r>
      <w:r>
        <w:rPr>
          <w:rFonts w:ascii="黑体" w:hAnsi="黑体" w:eastAsia="黑体" w:cs="黑体"/>
          <w:b/>
          <w:bCs/>
          <w:spacing w:val="-5"/>
          <w:sz w:val="27"/>
          <w:szCs w:val="27"/>
        </w:rPr>
        <w:t>目的和用途</w:t>
      </w:r>
    </w:p>
    <w:p w14:paraId="21036BE2">
      <w:pPr>
        <w:pStyle w:val="2"/>
        <w:spacing w:before="87" w:line="275" w:lineRule="auto"/>
        <w:ind w:right="33" w:firstLine="550"/>
      </w:pPr>
      <w:r>
        <w:rPr>
          <w:spacing w:val="5"/>
        </w:rPr>
        <w:t>说明编制环境适应性设计指南的目的和用途。环境适应性设计指南用于指</w:t>
      </w:r>
      <w:r>
        <w:rPr>
          <w:spacing w:val="6"/>
        </w:rPr>
        <w:t xml:space="preserve"> </w:t>
      </w:r>
      <w:r>
        <w:rPr>
          <w:spacing w:val="2"/>
        </w:rPr>
        <w:t>导产品设计人员进行环境适应性设计。</w:t>
      </w:r>
    </w:p>
    <w:p w14:paraId="62BEBB19">
      <w:pPr>
        <w:spacing w:before="1" w:line="220"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38"/>
          <w:sz w:val="27"/>
          <w:szCs w:val="27"/>
        </w:rPr>
        <w:t xml:space="preserve">  </w:t>
      </w:r>
      <w:r>
        <w:rPr>
          <w:rFonts w:ascii="黑体" w:hAnsi="黑体" w:eastAsia="黑体" w:cs="黑体"/>
          <w:b/>
          <w:bCs/>
          <w:spacing w:val="-1"/>
          <w:sz w:val="27"/>
          <w:szCs w:val="27"/>
        </w:rPr>
        <w:t>编制依据</w:t>
      </w:r>
    </w:p>
    <w:p w14:paraId="041F833F">
      <w:pPr>
        <w:pStyle w:val="2"/>
        <w:spacing w:before="110" w:line="291" w:lineRule="auto"/>
        <w:ind w:right="19" w:firstLine="550"/>
        <w:rPr>
          <w:sz w:val="25"/>
          <w:szCs w:val="25"/>
        </w:rPr>
      </w:pPr>
      <w:r>
        <w:rPr>
          <w:spacing w:val="34"/>
          <w:sz w:val="25"/>
          <w:szCs w:val="25"/>
        </w:rPr>
        <w:t>说明编制环境适应性设计指南依据的各种文件和标准。编制依据一般包</w:t>
      </w:r>
      <w:r>
        <w:rPr>
          <w:spacing w:val="16"/>
          <w:sz w:val="25"/>
          <w:szCs w:val="25"/>
        </w:rPr>
        <w:t xml:space="preserve"> </w:t>
      </w:r>
      <w:r>
        <w:rPr>
          <w:spacing w:val="13"/>
          <w:sz w:val="25"/>
          <w:szCs w:val="25"/>
        </w:rPr>
        <w:t>括：环境适应性要求文件；研制总要求和合同或协议书；其他有关文件和标准。</w:t>
      </w:r>
    </w:p>
    <w:p w14:paraId="6C09DD32">
      <w:pPr>
        <w:spacing w:before="1" w:line="221" w:lineRule="auto"/>
        <w:rPr>
          <w:rFonts w:ascii="黑体" w:hAnsi="黑体" w:eastAsia="黑体" w:cs="黑体"/>
          <w:sz w:val="27"/>
          <w:szCs w:val="27"/>
        </w:rPr>
      </w:pPr>
      <w:r>
        <w:rPr>
          <w:rFonts w:ascii="黑体" w:hAnsi="黑体" w:eastAsia="黑体" w:cs="黑体"/>
          <w:spacing w:val="3"/>
          <w:sz w:val="27"/>
          <w:szCs w:val="27"/>
        </w:rPr>
        <w:t>3</w:t>
      </w:r>
      <w:r>
        <w:rPr>
          <w:rFonts w:ascii="黑体" w:hAnsi="黑体" w:eastAsia="黑体" w:cs="黑体"/>
          <w:spacing w:val="19"/>
          <w:sz w:val="27"/>
          <w:szCs w:val="27"/>
        </w:rPr>
        <w:t xml:space="preserve">  </w:t>
      </w:r>
      <w:r>
        <w:rPr>
          <w:rFonts w:ascii="黑体" w:hAnsi="黑体" w:eastAsia="黑体" w:cs="黑体"/>
          <w:b/>
          <w:bCs/>
          <w:spacing w:val="3"/>
          <w:sz w:val="27"/>
          <w:szCs w:val="27"/>
        </w:rPr>
        <w:t>产品环境适应性设计指南</w:t>
      </w:r>
    </w:p>
    <w:p w14:paraId="50688757">
      <w:pPr>
        <w:pStyle w:val="2"/>
        <w:spacing w:before="112" w:line="278" w:lineRule="auto"/>
        <w:ind w:firstLine="550"/>
        <w:jc w:val="both"/>
      </w:pPr>
      <w:r>
        <w:rPr>
          <w:spacing w:val="6"/>
        </w:rPr>
        <w:t>应针对产品环境适应性要求文件中规定的各项环</w:t>
      </w:r>
      <w:r>
        <w:rPr>
          <w:spacing w:val="5"/>
        </w:rPr>
        <w:t>境适应性指标，分别列出</w:t>
      </w:r>
      <w:r>
        <w:t xml:space="preserve"> </w:t>
      </w:r>
      <w:r>
        <w:rPr>
          <w:spacing w:val="-2"/>
        </w:rPr>
        <w:t>相应环境因素的环境适应性设计指南，内容包括材料、元器件和防护工艺优选目</w:t>
      </w:r>
      <w:r>
        <w:rPr>
          <w:spacing w:val="10"/>
        </w:rPr>
        <w:t xml:space="preserve"> </w:t>
      </w:r>
      <w:r>
        <w:rPr>
          <w:spacing w:val="5"/>
        </w:rPr>
        <w:t xml:space="preserve">录，通用耐环境设计方法标准或设计技术规范清单。产品设计人员设计具体产 </w:t>
      </w:r>
      <w:r>
        <w:rPr>
          <w:spacing w:val="1"/>
        </w:rPr>
        <w:t xml:space="preserve">品时，应根据已确定的裕度和设计指南推荐的环境适应性设计技术(例如三防设 </w:t>
      </w:r>
      <w:r>
        <w:rPr>
          <w:spacing w:val="-1"/>
        </w:rPr>
        <w:t>计技术、耐振动设计技术和热设计技术等)开展环境适应性设计。</w:t>
      </w:r>
    </w:p>
    <w:p w14:paraId="38004790">
      <w:pPr>
        <w:spacing w:before="1" w:line="220" w:lineRule="auto"/>
        <w:rPr>
          <w:rFonts w:ascii="黑体" w:hAnsi="黑体" w:eastAsia="黑体" w:cs="黑体"/>
          <w:sz w:val="27"/>
          <w:szCs w:val="27"/>
        </w:rPr>
      </w:pPr>
      <w:r>
        <w:rPr>
          <w:rFonts w:ascii="黑体" w:hAnsi="黑体" w:eastAsia="黑体" w:cs="黑体"/>
          <w:spacing w:val="-3"/>
          <w:sz w:val="27"/>
          <w:szCs w:val="27"/>
        </w:rPr>
        <w:t xml:space="preserve">3.1  </w:t>
      </w:r>
      <w:r>
        <w:rPr>
          <w:rFonts w:ascii="黑体" w:hAnsi="黑体" w:eastAsia="黑体" w:cs="黑体"/>
          <w:b/>
          <w:bCs/>
          <w:spacing w:val="-3"/>
          <w:sz w:val="27"/>
          <w:szCs w:val="27"/>
        </w:rPr>
        <w:t>材料、元器件和防护工艺优选目录</w:t>
      </w:r>
    </w:p>
    <w:p w14:paraId="256CE9BD">
      <w:pPr>
        <w:pStyle w:val="2"/>
        <w:spacing w:before="102" w:line="219" w:lineRule="auto"/>
        <w:ind w:left="550"/>
      </w:pPr>
      <w:r>
        <w:rPr>
          <w:spacing w:val="-6"/>
        </w:rPr>
        <w:t>说明材料、元器件和防护工艺优选原则，列表给出优选目录。</w:t>
      </w:r>
    </w:p>
    <w:p w14:paraId="4556EC04">
      <w:pPr>
        <w:spacing w:line="219" w:lineRule="auto"/>
        <w:sectPr>
          <w:footerReference r:id="rId585" w:type="default"/>
          <w:pgSz w:w="11910" w:h="17130"/>
          <w:pgMar w:top="400" w:right="1408" w:bottom="1543" w:left="1110" w:header="0" w:footer="1344" w:gutter="0"/>
          <w:cols w:space="720" w:num="1"/>
        </w:sectPr>
      </w:pPr>
    </w:p>
    <w:p w14:paraId="3C45837C">
      <w:pPr>
        <w:spacing w:line="241" w:lineRule="auto"/>
        <w:rPr>
          <w:rFonts w:ascii="Arial"/>
          <w:sz w:val="21"/>
        </w:rPr>
      </w:pPr>
    </w:p>
    <w:p w14:paraId="302C86F8">
      <w:pPr>
        <w:spacing w:line="241" w:lineRule="auto"/>
        <w:rPr>
          <w:rFonts w:ascii="Arial"/>
          <w:sz w:val="21"/>
        </w:rPr>
      </w:pPr>
    </w:p>
    <w:p w14:paraId="1666311B">
      <w:pPr>
        <w:spacing w:line="241" w:lineRule="auto"/>
        <w:rPr>
          <w:rFonts w:ascii="Arial"/>
          <w:sz w:val="21"/>
        </w:rPr>
      </w:pPr>
    </w:p>
    <w:p w14:paraId="55B5DB0E">
      <w:pPr>
        <w:spacing w:line="242" w:lineRule="auto"/>
        <w:rPr>
          <w:rFonts w:ascii="Arial"/>
          <w:sz w:val="21"/>
        </w:rPr>
      </w:pPr>
    </w:p>
    <w:p w14:paraId="552CD4B4">
      <w:pPr>
        <w:spacing w:before="87" w:line="221" w:lineRule="auto"/>
        <w:rPr>
          <w:rFonts w:ascii="黑体" w:hAnsi="黑体" w:eastAsia="黑体" w:cs="黑体"/>
          <w:sz w:val="27"/>
          <w:szCs w:val="27"/>
        </w:rPr>
      </w:pPr>
      <w:r>
        <w:rPr>
          <w:rFonts w:ascii="黑体" w:hAnsi="黑体" w:eastAsia="黑体" w:cs="黑体"/>
          <w:spacing w:val="5"/>
          <w:sz w:val="27"/>
          <w:szCs w:val="27"/>
        </w:rPr>
        <w:t>3.2  通用耐环境设计方法标准或设计技术规范清单</w:t>
      </w:r>
    </w:p>
    <w:p w14:paraId="1EEE4B7C">
      <w:pPr>
        <w:pStyle w:val="2"/>
        <w:spacing w:before="88" w:line="267" w:lineRule="auto"/>
        <w:ind w:firstLine="560"/>
      </w:pPr>
      <w:r>
        <w:rPr>
          <w:spacing w:val="9"/>
        </w:rPr>
        <w:t>列出产品设计时应遵循的通用耐环境设计方法标准或设计技术规范清单，</w:t>
      </w:r>
      <w:r>
        <w:rPr>
          <w:spacing w:val="6"/>
        </w:rPr>
        <w:t xml:space="preserve"> </w:t>
      </w:r>
      <w:r>
        <w:rPr>
          <w:spacing w:val="2"/>
        </w:rPr>
        <w:t>注意标准和规范的有效性。</w:t>
      </w:r>
    </w:p>
    <w:p w14:paraId="515323EF">
      <w:pPr>
        <w:spacing w:line="368" w:lineRule="exact"/>
        <w:rPr>
          <w:rFonts w:ascii="黑体" w:hAnsi="黑体" w:eastAsia="黑体" w:cs="黑体"/>
          <w:sz w:val="27"/>
          <w:szCs w:val="27"/>
        </w:rPr>
      </w:pPr>
      <w:r>
        <w:rPr>
          <w:rFonts w:ascii="Arial" w:hAnsi="Arial" w:eastAsia="Arial" w:cs="Arial"/>
          <w:spacing w:val="4"/>
          <w:position w:val="1"/>
          <w:sz w:val="27"/>
          <w:szCs w:val="27"/>
        </w:rPr>
        <w:t xml:space="preserve">3.3    </w:t>
      </w:r>
      <w:r>
        <w:rPr>
          <w:rFonts w:ascii="黑体" w:hAnsi="黑体" w:eastAsia="黑体" w:cs="黑体"/>
          <w:spacing w:val="4"/>
          <w:position w:val="1"/>
          <w:sz w:val="27"/>
          <w:szCs w:val="27"/>
        </w:rPr>
        <w:t>推荐的环境适应性设计技术</w:t>
      </w:r>
    </w:p>
    <w:p w14:paraId="3F499685">
      <w:pPr>
        <w:spacing w:before="79" w:line="221" w:lineRule="auto"/>
        <w:rPr>
          <w:rFonts w:ascii="黑体" w:hAnsi="黑体" w:eastAsia="黑体" w:cs="黑体"/>
          <w:sz w:val="27"/>
          <w:szCs w:val="27"/>
        </w:rPr>
      </w:pPr>
      <w:r>
        <w:rPr>
          <w:rFonts w:ascii="黑体" w:hAnsi="黑体" w:eastAsia="黑体" w:cs="黑体"/>
          <w:spacing w:val="-1"/>
          <w:sz w:val="27"/>
          <w:szCs w:val="27"/>
        </w:rPr>
        <w:t>3.3.1</w:t>
      </w:r>
      <w:r>
        <w:rPr>
          <w:rFonts w:ascii="黑体" w:hAnsi="黑体" w:eastAsia="黑体" w:cs="黑体"/>
          <w:spacing w:val="38"/>
          <w:sz w:val="27"/>
          <w:szCs w:val="27"/>
        </w:rPr>
        <w:t xml:space="preserve">  </w:t>
      </w:r>
      <w:r>
        <w:rPr>
          <w:rFonts w:ascii="黑体" w:hAnsi="黑体" w:eastAsia="黑体" w:cs="黑体"/>
          <w:spacing w:val="-1"/>
          <w:sz w:val="27"/>
          <w:szCs w:val="27"/>
        </w:rPr>
        <w:t>三防设计技术</w:t>
      </w:r>
    </w:p>
    <w:p w14:paraId="11257213">
      <w:pPr>
        <w:pStyle w:val="2"/>
        <w:spacing w:before="97" w:line="219" w:lineRule="auto"/>
        <w:ind w:left="560"/>
      </w:pPr>
      <w:r>
        <w:t>说明产品设计中应采取的三防设计技术，并给出典</w:t>
      </w:r>
      <w:r>
        <w:rPr>
          <w:spacing w:val="-1"/>
        </w:rPr>
        <w:t>型设计指南。</w:t>
      </w:r>
    </w:p>
    <w:p w14:paraId="41A48DA2">
      <w:pPr>
        <w:spacing w:before="99" w:line="222" w:lineRule="auto"/>
        <w:rPr>
          <w:rFonts w:ascii="黑体" w:hAnsi="黑体" w:eastAsia="黑体" w:cs="黑体"/>
          <w:sz w:val="25"/>
          <w:szCs w:val="25"/>
        </w:rPr>
      </w:pPr>
      <w:r>
        <w:rPr>
          <w:rFonts w:ascii="黑体" w:hAnsi="黑体" w:eastAsia="黑体" w:cs="黑体"/>
          <w:spacing w:val="14"/>
          <w:sz w:val="25"/>
          <w:szCs w:val="25"/>
        </w:rPr>
        <w:t>3.3.2</w:t>
      </w:r>
      <w:r>
        <w:rPr>
          <w:rFonts w:ascii="黑体" w:hAnsi="黑体" w:eastAsia="黑体" w:cs="黑体"/>
          <w:spacing w:val="58"/>
          <w:sz w:val="25"/>
          <w:szCs w:val="25"/>
        </w:rPr>
        <w:t xml:space="preserve">  </w:t>
      </w:r>
      <w:r>
        <w:rPr>
          <w:rFonts w:ascii="黑体" w:hAnsi="黑体" w:eastAsia="黑体" w:cs="黑体"/>
          <w:spacing w:val="14"/>
          <w:sz w:val="25"/>
          <w:szCs w:val="25"/>
        </w:rPr>
        <w:t>耐振动设计技术</w:t>
      </w:r>
    </w:p>
    <w:p w14:paraId="5E348F34">
      <w:pPr>
        <w:pStyle w:val="2"/>
        <w:spacing w:before="90" w:line="219" w:lineRule="auto"/>
        <w:ind w:left="560"/>
      </w:pPr>
      <w:r>
        <w:t>说明产品设计中应采取的耐振动设计技术，并给出典型设计指南。</w:t>
      </w:r>
    </w:p>
    <w:p w14:paraId="6F8FD3DE">
      <w:pPr>
        <w:spacing w:before="69" w:line="222" w:lineRule="auto"/>
        <w:rPr>
          <w:rFonts w:ascii="黑体" w:hAnsi="黑体" w:eastAsia="黑体" w:cs="黑体"/>
          <w:sz w:val="27"/>
          <w:szCs w:val="27"/>
        </w:rPr>
      </w:pPr>
      <w:r>
        <w:rPr>
          <w:rFonts w:ascii="黑体" w:hAnsi="黑体" w:eastAsia="黑体" w:cs="黑体"/>
          <w:spacing w:val="2"/>
          <w:sz w:val="27"/>
          <w:szCs w:val="27"/>
        </w:rPr>
        <w:t>3.3.3</w:t>
      </w:r>
      <w:r>
        <w:rPr>
          <w:rFonts w:ascii="黑体" w:hAnsi="黑体" w:eastAsia="黑体" w:cs="黑体"/>
          <w:spacing w:val="22"/>
          <w:sz w:val="27"/>
          <w:szCs w:val="27"/>
        </w:rPr>
        <w:t xml:space="preserve">  </w:t>
      </w:r>
      <w:r>
        <w:rPr>
          <w:rFonts w:ascii="黑体" w:hAnsi="黑体" w:eastAsia="黑体" w:cs="黑体"/>
          <w:spacing w:val="2"/>
          <w:sz w:val="27"/>
          <w:szCs w:val="27"/>
        </w:rPr>
        <w:t>热设计技术</w:t>
      </w:r>
    </w:p>
    <w:p w14:paraId="3D6BCC54">
      <w:pPr>
        <w:pStyle w:val="2"/>
        <w:spacing w:before="86" w:line="219" w:lineRule="auto"/>
        <w:ind w:left="560"/>
      </w:pPr>
      <w:r>
        <w:t>说明产品设计中应采取的热设计技术，并给出典</w:t>
      </w:r>
      <w:r>
        <w:rPr>
          <w:spacing w:val="-1"/>
        </w:rPr>
        <w:t>型设计指南。</w:t>
      </w:r>
    </w:p>
    <w:p w14:paraId="226A3B6F">
      <w:pPr>
        <w:spacing w:before="99" w:line="222" w:lineRule="auto"/>
        <w:rPr>
          <w:rFonts w:ascii="黑体" w:hAnsi="黑体" w:eastAsia="黑体" w:cs="黑体"/>
          <w:sz w:val="27"/>
          <w:szCs w:val="27"/>
        </w:rPr>
      </w:pPr>
      <w:r>
        <w:rPr>
          <w:rFonts w:ascii="黑体" w:hAnsi="黑体" w:eastAsia="黑体" w:cs="黑体"/>
          <w:spacing w:val="4"/>
          <w:sz w:val="27"/>
          <w:szCs w:val="27"/>
        </w:rPr>
        <w:t>3.3.4</w:t>
      </w:r>
      <w:r>
        <w:rPr>
          <w:rFonts w:ascii="黑体" w:hAnsi="黑体" w:eastAsia="黑体" w:cs="黑体"/>
          <w:spacing w:val="28"/>
          <w:sz w:val="27"/>
          <w:szCs w:val="27"/>
        </w:rPr>
        <w:t xml:space="preserve">  </w:t>
      </w:r>
      <w:r>
        <w:rPr>
          <w:rFonts w:ascii="黑体" w:hAnsi="黑体" w:eastAsia="黑体" w:cs="黑体"/>
          <w:spacing w:val="4"/>
          <w:sz w:val="27"/>
          <w:szCs w:val="27"/>
        </w:rPr>
        <w:t>(其他环境适应性设计技术)</w:t>
      </w:r>
    </w:p>
    <w:p w14:paraId="66FA829B">
      <w:pPr>
        <w:pStyle w:val="2"/>
        <w:spacing w:before="66" w:line="292" w:lineRule="auto"/>
        <w:ind w:right="123" w:firstLine="560"/>
      </w:pPr>
      <w:r>
        <w:rPr>
          <w:spacing w:val="24"/>
        </w:rPr>
        <w:t>说明产品设计中应采取的其他环境适应性设计</w:t>
      </w:r>
      <w:r>
        <w:rPr>
          <w:spacing w:val="23"/>
        </w:rPr>
        <w:t>技术，并给出典型设计</w:t>
      </w:r>
      <w:r>
        <w:t xml:space="preserve"> </w:t>
      </w:r>
      <w:r>
        <w:rPr>
          <w:spacing w:val="-4"/>
        </w:rPr>
        <w:t>指南。</w:t>
      </w:r>
    </w:p>
    <w:p w14:paraId="4D5A60CF">
      <w:pPr>
        <w:pStyle w:val="2"/>
        <w:spacing w:before="323" w:line="218" w:lineRule="auto"/>
        <w:ind w:left="2519"/>
        <w:rPr>
          <w:sz w:val="36"/>
          <w:szCs w:val="36"/>
        </w:rPr>
      </w:pPr>
      <w:r>
        <w:rPr>
          <w:spacing w:val="-1"/>
          <w:sz w:val="36"/>
          <w:szCs w:val="36"/>
        </w:rPr>
        <w:t>12.</w:t>
      </w:r>
      <w:r>
        <w:rPr>
          <w:b/>
          <w:bCs/>
          <w:spacing w:val="-1"/>
          <w:sz w:val="36"/>
          <w:szCs w:val="36"/>
        </w:rPr>
        <w:t>7</w:t>
      </w:r>
      <w:r>
        <w:rPr>
          <w:spacing w:val="22"/>
          <w:sz w:val="36"/>
          <w:szCs w:val="36"/>
        </w:rPr>
        <w:t xml:space="preserve">  </w:t>
      </w:r>
      <w:r>
        <w:rPr>
          <w:b/>
          <w:bCs/>
          <w:spacing w:val="-1"/>
          <w:sz w:val="36"/>
          <w:szCs w:val="36"/>
        </w:rPr>
        <w:t>环境适应性设计报告</w:t>
      </w:r>
    </w:p>
    <w:p w14:paraId="751AAF00">
      <w:pPr>
        <w:spacing w:line="344" w:lineRule="auto"/>
        <w:rPr>
          <w:rFonts w:ascii="Arial"/>
          <w:sz w:val="21"/>
        </w:rPr>
      </w:pPr>
    </w:p>
    <w:p w14:paraId="083A8488">
      <w:pPr>
        <w:pStyle w:val="2"/>
        <w:spacing w:before="91" w:line="226"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4239—2001</w:t>
      </w:r>
      <w:r>
        <w:rPr>
          <w:spacing w:val="-10"/>
          <w:sz w:val="28"/>
          <w:szCs w:val="28"/>
        </w:rPr>
        <w:t>《</w:t>
      </w:r>
      <w:r>
        <w:rPr>
          <w:rFonts w:ascii="楷体" w:hAnsi="楷体" w:eastAsia="楷体" w:cs="楷体"/>
          <w:spacing w:val="-10"/>
          <w:sz w:val="28"/>
          <w:szCs w:val="28"/>
        </w:rPr>
        <w:t>装备环境工程通用要求》编写。</w:t>
      </w:r>
    </w:p>
    <w:p w14:paraId="4D70D2F8">
      <w:pPr>
        <w:spacing w:before="80"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35"/>
          <w:sz w:val="27"/>
          <w:szCs w:val="27"/>
        </w:rPr>
        <w:t xml:space="preserve">  </w:t>
      </w:r>
      <w:r>
        <w:rPr>
          <w:rFonts w:ascii="黑体" w:hAnsi="黑体" w:eastAsia="黑体" w:cs="黑体"/>
          <w:spacing w:val="-3"/>
          <w:sz w:val="27"/>
          <w:szCs w:val="27"/>
        </w:rPr>
        <w:t>目的和用途</w:t>
      </w:r>
    </w:p>
    <w:p w14:paraId="6ACE8054">
      <w:pPr>
        <w:pStyle w:val="2"/>
        <w:spacing w:before="72" w:line="280" w:lineRule="auto"/>
        <w:ind w:right="107" w:firstLine="560"/>
      </w:pPr>
      <w:r>
        <w:rPr>
          <w:spacing w:val="6"/>
        </w:rPr>
        <w:t>说明编制环境适应性设计报告的目的和用途。环境适应性设</w:t>
      </w:r>
      <w:r>
        <w:rPr>
          <w:spacing w:val="5"/>
        </w:rPr>
        <w:t>计报告是产品</w:t>
      </w:r>
      <w:r>
        <w:t xml:space="preserve"> </w:t>
      </w:r>
      <w:r>
        <w:rPr>
          <w:spacing w:val="4"/>
        </w:rPr>
        <w:t>设计人员对开展的环境适应性设计进行的全面总结。</w:t>
      </w:r>
    </w:p>
    <w:p w14:paraId="097C453F">
      <w:pPr>
        <w:spacing w:before="1" w:line="220"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sz w:val="27"/>
          <w:szCs w:val="27"/>
        </w:rPr>
        <w:t>编制依据</w:t>
      </w:r>
    </w:p>
    <w:p w14:paraId="31EBD18B">
      <w:pPr>
        <w:pStyle w:val="2"/>
        <w:spacing w:before="98" w:line="261" w:lineRule="auto"/>
        <w:ind w:right="124" w:firstLine="560"/>
      </w:pPr>
      <w:r>
        <w:rPr>
          <w:spacing w:val="5"/>
        </w:rPr>
        <w:t>说明编制该文件依据的各种文件和标准。编制依据一般包括：环境适应性</w:t>
      </w:r>
      <w:r>
        <w:rPr>
          <w:spacing w:val="9"/>
        </w:rPr>
        <w:t xml:space="preserve"> </w:t>
      </w:r>
      <w:r>
        <w:rPr>
          <w:spacing w:val="-6"/>
        </w:rPr>
        <w:t>要求文件；研制总要求和合同或协议书；其他有关文件和标准。</w:t>
      </w:r>
    </w:p>
    <w:p w14:paraId="72F4E349">
      <w:pPr>
        <w:spacing w:line="368" w:lineRule="exact"/>
        <w:rPr>
          <w:rFonts w:ascii="黑体" w:hAnsi="黑体" w:eastAsia="黑体" w:cs="黑体"/>
          <w:sz w:val="27"/>
          <w:szCs w:val="27"/>
        </w:rPr>
      </w:pPr>
      <w:r>
        <w:rPr>
          <w:rFonts w:ascii="Arial" w:hAnsi="Arial" w:eastAsia="Arial" w:cs="Arial"/>
          <w:spacing w:val="-13"/>
          <w:position w:val="1"/>
          <w:sz w:val="27"/>
          <w:szCs w:val="27"/>
        </w:rPr>
        <w:t>3</w:t>
      </w:r>
      <w:r>
        <w:rPr>
          <w:rFonts w:ascii="Arial" w:hAnsi="Arial" w:eastAsia="Arial" w:cs="Arial"/>
          <w:spacing w:val="3"/>
          <w:position w:val="1"/>
          <w:sz w:val="27"/>
          <w:szCs w:val="27"/>
        </w:rPr>
        <w:t xml:space="preserve">    </w:t>
      </w:r>
      <w:r>
        <w:rPr>
          <w:rFonts w:ascii="黑体" w:hAnsi="黑体" w:eastAsia="黑体" w:cs="黑体"/>
          <w:spacing w:val="-13"/>
          <w:position w:val="1"/>
          <w:sz w:val="27"/>
          <w:szCs w:val="27"/>
        </w:rPr>
        <w:t>定量、定性指标</w:t>
      </w:r>
    </w:p>
    <w:p w14:paraId="563EDD75">
      <w:pPr>
        <w:pStyle w:val="2"/>
        <w:spacing w:before="100" w:line="219" w:lineRule="auto"/>
        <w:ind w:left="560"/>
      </w:pPr>
      <w:r>
        <w:rPr>
          <w:spacing w:val="-1"/>
        </w:rPr>
        <w:t>描述各环境因素对应的环境适应性定量、定性指</w:t>
      </w:r>
      <w:r>
        <w:rPr>
          <w:spacing w:val="-2"/>
        </w:rPr>
        <w:t>标。</w:t>
      </w:r>
    </w:p>
    <w:p w14:paraId="2B1970C1">
      <w:pPr>
        <w:spacing w:before="77" w:line="222" w:lineRule="auto"/>
        <w:rPr>
          <w:rFonts w:ascii="黑体" w:hAnsi="黑体" w:eastAsia="黑体" w:cs="黑体"/>
          <w:sz w:val="25"/>
          <w:szCs w:val="25"/>
        </w:rPr>
      </w:pPr>
      <w:r>
        <w:rPr>
          <w:rFonts w:ascii="黑体" w:hAnsi="黑体" w:eastAsia="黑体" w:cs="黑体"/>
          <w:spacing w:val="17"/>
          <w:sz w:val="25"/>
          <w:szCs w:val="25"/>
        </w:rPr>
        <w:t>4</w:t>
      </w:r>
      <w:r>
        <w:rPr>
          <w:rFonts w:ascii="黑体" w:hAnsi="黑体" w:eastAsia="黑体" w:cs="黑体"/>
          <w:spacing w:val="40"/>
          <w:sz w:val="25"/>
          <w:szCs w:val="25"/>
        </w:rPr>
        <w:t xml:space="preserve">  </w:t>
      </w:r>
      <w:r>
        <w:rPr>
          <w:rFonts w:ascii="黑体" w:hAnsi="黑体" w:eastAsia="黑体" w:cs="黑体"/>
          <w:spacing w:val="17"/>
          <w:sz w:val="25"/>
          <w:szCs w:val="25"/>
        </w:rPr>
        <w:t>设计裕度</w:t>
      </w:r>
    </w:p>
    <w:p w14:paraId="4B7399A0">
      <w:pPr>
        <w:pStyle w:val="2"/>
        <w:spacing w:before="112" w:line="219" w:lineRule="auto"/>
        <w:ind w:left="560"/>
      </w:pPr>
      <w:r>
        <w:rPr>
          <w:spacing w:val="3"/>
        </w:rPr>
        <w:t>说明各环境因素适应性指标对应的设计裕度。</w:t>
      </w:r>
    </w:p>
    <w:p w14:paraId="7CE3F7F2">
      <w:pPr>
        <w:spacing w:before="29" w:line="368" w:lineRule="exact"/>
        <w:rPr>
          <w:rFonts w:ascii="黑体" w:hAnsi="黑体" w:eastAsia="黑体" w:cs="黑体"/>
          <w:sz w:val="27"/>
          <w:szCs w:val="27"/>
        </w:rPr>
      </w:pPr>
      <w:r>
        <w:rPr>
          <w:rFonts w:ascii="Arial" w:hAnsi="Arial" w:eastAsia="Arial" w:cs="Arial"/>
          <w:spacing w:val="4"/>
          <w:position w:val="1"/>
          <w:sz w:val="27"/>
          <w:szCs w:val="27"/>
        </w:rPr>
        <w:t xml:space="preserve">5    </w:t>
      </w:r>
      <w:r>
        <w:rPr>
          <w:rFonts w:ascii="黑体" w:hAnsi="黑体" w:eastAsia="黑体" w:cs="黑体"/>
          <w:spacing w:val="4"/>
          <w:position w:val="1"/>
          <w:sz w:val="27"/>
          <w:szCs w:val="27"/>
        </w:rPr>
        <w:t>采取的环境适应性设计技术和措施</w:t>
      </w:r>
    </w:p>
    <w:p w14:paraId="4E48411D">
      <w:pPr>
        <w:pStyle w:val="2"/>
        <w:spacing w:before="101" w:line="278" w:lineRule="auto"/>
        <w:ind w:right="118" w:firstLine="560"/>
        <w:jc w:val="both"/>
      </w:pPr>
      <w:r>
        <w:rPr>
          <w:spacing w:val="4"/>
        </w:rPr>
        <w:t>阐述采用的各种环境适应性设计技术和措施，包括选用耐环境能力高的材</w:t>
      </w:r>
      <w:r>
        <w:rPr>
          <w:spacing w:val="10"/>
        </w:rPr>
        <w:t xml:space="preserve"> </w:t>
      </w:r>
      <w:r>
        <w:rPr>
          <w:spacing w:val="6"/>
        </w:rPr>
        <w:t>料、工艺、元器件、部件和货架设备，采取减缓或隔离环</w:t>
      </w:r>
      <w:r>
        <w:rPr>
          <w:spacing w:val="5"/>
        </w:rPr>
        <w:t>境的各种设计和工艺</w:t>
      </w:r>
      <w:r>
        <w:t xml:space="preserve"> </w:t>
      </w:r>
      <w:r>
        <w:rPr>
          <w:spacing w:val="-4"/>
        </w:rPr>
        <w:t>措施。</w:t>
      </w:r>
    </w:p>
    <w:p w14:paraId="5E7090AB">
      <w:pPr>
        <w:spacing w:before="1" w:line="220"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29"/>
          <w:sz w:val="27"/>
          <w:szCs w:val="27"/>
        </w:rPr>
        <w:t xml:space="preserve">  </w:t>
      </w:r>
      <w:r>
        <w:rPr>
          <w:rFonts w:ascii="黑体" w:hAnsi="黑体" w:eastAsia="黑体" w:cs="黑体"/>
          <w:spacing w:val="2"/>
          <w:sz w:val="27"/>
          <w:szCs w:val="27"/>
        </w:rPr>
        <w:t>环境适应性研制试验过程</w:t>
      </w:r>
    </w:p>
    <w:p w14:paraId="4CE92CB6">
      <w:pPr>
        <w:pStyle w:val="2"/>
        <w:spacing w:before="80" w:line="290" w:lineRule="auto"/>
        <w:ind w:right="124" w:firstLine="560"/>
      </w:pPr>
      <w:r>
        <w:rPr>
          <w:spacing w:val="-3"/>
        </w:rPr>
        <w:t>描述已完成的环境适应性研制试验情况，包括应力施加情况、故障及其</w:t>
      </w:r>
      <w:r>
        <w:rPr>
          <w:spacing w:val="-4"/>
        </w:rPr>
        <w:t>改进</w:t>
      </w:r>
      <w:r>
        <w:t xml:space="preserve"> 措施情况。</w:t>
      </w:r>
    </w:p>
    <w:p w14:paraId="18E3AD8C">
      <w:pPr>
        <w:spacing w:line="290" w:lineRule="auto"/>
        <w:sectPr>
          <w:footerReference r:id="rId586" w:type="default"/>
          <w:pgSz w:w="11910" w:h="17130"/>
          <w:pgMar w:top="400" w:right="694" w:bottom="1683" w:left="1720" w:header="0" w:footer="1485" w:gutter="0"/>
          <w:cols w:space="720" w:num="1"/>
        </w:sectPr>
      </w:pPr>
    </w:p>
    <w:p w14:paraId="06EAE3E1">
      <w:pPr>
        <w:spacing w:line="247" w:lineRule="auto"/>
        <w:rPr>
          <w:rFonts w:ascii="Arial"/>
          <w:sz w:val="21"/>
        </w:rPr>
      </w:pPr>
    </w:p>
    <w:p w14:paraId="62A4E6AA">
      <w:pPr>
        <w:spacing w:line="247" w:lineRule="auto"/>
        <w:rPr>
          <w:rFonts w:ascii="Arial"/>
          <w:sz w:val="21"/>
        </w:rPr>
      </w:pPr>
    </w:p>
    <w:p w14:paraId="78568B0D">
      <w:pPr>
        <w:spacing w:line="248" w:lineRule="auto"/>
        <w:rPr>
          <w:rFonts w:ascii="Arial"/>
          <w:sz w:val="21"/>
        </w:rPr>
      </w:pPr>
    </w:p>
    <w:p w14:paraId="784EB3F1">
      <w:pPr>
        <w:spacing w:line="248" w:lineRule="auto"/>
        <w:rPr>
          <w:rFonts w:ascii="Arial"/>
          <w:sz w:val="21"/>
        </w:rPr>
      </w:pPr>
    </w:p>
    <w:p w14:paraId="12F09D4F">
      <w:pPr>
        <w:spacing w:before="88" w:line="221"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25"/>
          <w:sz w:val="27"/>
          <w:szCs w:val="27"/>
        </w:rPr>
        <w:t xml:space="preserve">  </w:t>
      </w:r>
      <w:r>
        <w:rPr>
          <w:rFonts w:ascii="黑体" w:hAnsi="黑体" w:eastAsia="黑体" w:cs="黑体"/>
          <w:b/>
          <w:bCs/>
          <w:spacing w:val="1"/>
          <w:sz w:val="27"/>
          <w:szCs w:val="27"/>
        </w:rPr>
        <w:t>环境适应性研制试验数据</w:t>
      </w:r>
    </w:p>
    <w:p w14:paraId="0F653D75">
      <w:pPr>
        <w:spacing w:before="105" w:line="213" w:lineRule="auto"/>
        <w:rPr>
          <w:rFonts w:ascii="黑体" w:hAnsi="黑体" w:eastAsia="黑体" w:cs="黑体"/>
          <w:sz w:val="24"/>
          <w:szCs w:val="24"/>
        </w:rPr>
      </w:pPr>
      <w:r>
        <w:rPr>
          <w:rFonts w:ascii="黑体" w:hAnsi="黑体" w:eastAsia="黑体" w:cs="黑体"/>
          <w:spacing w:val="23"/>
          <w:sz w:val="24"/>
          <w:szCs w:val="24"/>
        </w:rPr>
        <w:t xml:space="preserve">7.1  </w:t>
      </w:r>
      <w:r>
        <w:rPr>
          <w:rFonts w:ascii="黑体" w:hAnsi="黑体" w:eastAsia="黑体" w:cs="黑体"/>
          <w:b/>
          <w:bCs/>
          <w:spacing w:val="23"/>
          <w:sz w:val="24"/>
          <w:szCs w:val="24"/>
        </w:rPr>
        <w:t>产品耐环境应力裕度，及其工作极限与破坏极限</w:t>
      </w:r>
    </w:p>
    <w:p w14:paraId="010FF00D">
      <w:pPr>
        <w:pStyle w:val="2"/>
        <w:spacing w:before="90" w:line="301" w:lineRule="auto"/>
        <w:ind w:right="104" w:firstLine="570"/>
        <w:rPr>
          <w:sz w:val="25"/>
          <w:szCs w:val="25"/>
        </w:rPr>
      </w:pPr>
      <w:r>
        <w:rPr>
          <w:spacing w:val="29"/>
          <w:sz w:val="25"/>
          <w:szCs w:val="25"/>
        </w:rPr>
        <w:t>给出通过环境适应性研制试验后得到的产品耐环境应力(主要为温度和振</w:t>
      </w:r>
      <w:r>
        <w:rPr>
          <w:spacing w:val="16"/>
          <w:sz w:val="25"/>
          <w:szCs w:val="25"/>
        </w:rPr>
        <w:t xml:space="preserve"> </w:t>
      </w:r>
      <w:r>
        <w:rPr>
          <w:spacing w:val="15"/>
          <w:sz w:val="25"/>
          <w:szCs w:val="25"/>
        </w:rPr>
        <w:t>动应力)裕度，及其工作极限与破坏极限。</w:t>
      </w:r>
    </w:p>
    <w:p w14:paraId="657814BE">
      <w:pPr>
        <w:spacing w:line="221" w:lineRule="auto"/>
        <w:rPr>
          <w:rFonts w:ascii="黑体" w:hAnsi="黑体" w:eastAsia="黑体" w:cs="黑体"/>
          <w:sz w:val="27"/>
          <w:szCs w:val="27"/>
        </w:rPr>
      </w:pPr>
      <w:r>
        <w:rPr>
          <w:rFonts w:ascii="黑体" w:hAnsi="黑体" w:eastAsia="黑体" w:cs="黑体"/>
          <w:sz w:val="27"/>
          <w:szCs w:val="27"/>
        </w:rPr>
        <w:t>7.2</w:t>
      </w:r>
      <w:r>
        <w:rPr>
          <w:rFonts w:ascii="黑体" w:hAnsi="黑体" w:eastAsia="黑体" w:cs="黑体"/>
          <w:spacing w:val="5"/>
          <w:sz w:val="27"/>
          <w:szCs w:val="27"/>
        </w:rPr>
        <w:t xml:space="preserve">  </w:t>
      </w:r>
      <w:r>
        <w:rPr>
          <w:rFonts w:ascii="黑体" w:hAnsi="黑体" w:eastAsia="黑体" w:cs="黑体"/>
          <w:b/>
          <w:bCs/>
          <w:sz w:val="27"/>
          <w:szCs w:val="27"/>
        </w:rPr>
        <w:t>产品环境的响应特性数据</w:t>
      </w:r>
    </w:p>
    <w:p w14:paraId="6D3A55A1">
      <w:pPr>
        <w:pStyle w:val="2"/>
        <w:spacing w:before="101" w:line="271" w:lineRule="auto"/>
        <w:ind w:right="103" w:firstLine="570"/>
      </w:pPr>
      <w:r>
        <w:rPr>
          <w:spacing w:val="5"/>
        </w:rPr>
        <w:t>给出通过环境适应性研制试验掌握的产品环境(主要是温度和振动)的响应</w:t>
      </w:r>
      <w:r>
        <w:rPr>
          <w:spacing w:val="15"/>
        </w:rPr>
        <w:t xml:space="preserve"> </w:t>
      </w:r>
      <w:r>
        <w:rPr>
          <w:spacing w:val="-13"/>
        </w:rPr>
        <w:t>特性数据(热点、温度分布、温度稳定时间、共振频率、振动模态、频响函数等</w:t>
      </w:r>
      <w:r>
        <w:rPr>
          <w:spacing w:val="-14"/>
        </w:rPr>
        <w:t>)。</w:t>
      </w:r>
    </w:p>
    <w:p w14:paraId="19072041">
      <w:pPr>
        <w:spacing w:before="1" w:line="212" w:lineRule="auto"/>
        <w:rPr>
          <w:rFonts w:ascii="黑体" w:hAnsi="黑体" w:eastAsia="黑体" w:cs="黑体"/>
          <w:sz w:val="27"/>
          <w:szCs w:val="27"/>
        </w:rPr>
      </w:pPr>
      <w:r>
        <w:rPr>
          <w:rFonts w:ascii="黑体" w:hAnsi="黑体" w:eastAsia="黑体" w:cs="黑体"/>
          <w:spacing w:val="-3"/>
          <w:sz w:val="27"/>
          <w:szCs w:val="27"/>
        </w:rPr>
        <w:t xml:space="preserve">8  </w:t>
      </w:r>
      <w:r>
        <w:rPr>
          <w:rFonts w:ascii="黑体" w:hAnsi="黑体" w:eastAsia="黑体" w:cs="黑体"/>
          <w:b/>
          <w:bCs/>
          <w:spacing w:val="-3"/>
          <w:sz w:val="27"/>
          <w:szCs w:val="27"/>
        </w:rPr>
        <w:t>存在的主要薄弱环节，未来改进设计的方向</w:t>
      </w:r>
    </w:p>
    <w:p w14:paraId="6453259C">
      <w:pPr>
        <w:pStyle w:val="2"/>
        <w:spacing w:before="86" w:line="296" w:lineRule="auto"/>
        <w:ind w:right="103" w:firstLine="570"/>
      </w:pPr>
      <w:r>
        <w:rPr>
          <w:spacing w:val="-3"/>
        </w:rPr>
        <w:t>对环境适应性研制试验数据进行分析，指出存在的主要薄弱环节，提出未来</w:t>
      </w:r>
      <w:r>
        <w:rPr>
          <w:spacing w:val="9"/>
        </w:rPr>
        <w:t xml:space="preserve"> </w:t>
      </w:r>
      <w:r>
        <w:t>改进设计的方向。</w:t>
      </w:r>
    </w:p>
    <w:p w14:paraId="0E1FD36A">
      <w:pPr>
        <w:pStyle w:val="2"/>
        <w:spacing w:before="320" w:line="218" w:lineRule="auto"/>
        <w:ind w:left="2339"/>
        <w:rPr>
          <w:sz w:val="36"/>
          <w:szCs w:val="36"/>
        </w:rPr>
      </w:pPr>
      <w:r>
        <w:rPr>
          <w:spacing w:val="2"/>
          <w:sz w:val="36"/>
          <w:szCs w:val="36"/>
        </w:rPr>
        <w:t xml:space="preserve">12.8  </w:t>
      </w:r>
      <w:r>
        <w:rPr>
          <w:b/>
          <w:bCs/>
          <w:spacing w:val="2"/>
          <w:sz w:val="36"/>
          <w:szCs w:val="36"/>
        </w:rPr>
        <w:t>环境试验与评价总计划</w:t>
      </w:r>
    </w:p>
    <w:p w14:paraId="3E5CB368">
      <w:pPr>
        <w:spacing w:line="344" w:lineRule="auto"/>
        <w:rPr>
          <w:rFonts w:ascii="Arial"/>
          <w:sz w:val="21"/>
        </w:rPr>
      </w:pPr>
    </w:p>
    <w:p w14:paraId="5ADBC342">
      <w:pPr>
        <w:pStyle w:val="2"/>
        <w:spacing w:before="91" w:line="226" w:lineRule="auto"/>
        <w:ind w:left="57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4239—2001</w:t>
      </w:r>
      <w:r>
        <w:rPr>
          <w:spacing w:val="-11"/>
          <w:sz w:val="28"/>
          <w:szCs w:val="28"/>
        </w:rPr>
        <w:t>《</w:t>
      </w:r>
      <w:r>
        <w:rPr>
          <w:rFonts w:ascii="楷体" w:hAnsi="楷体" w:eastAsia="楷体" w:cs="楷体"/>
          <w:spacing w:val="-11"/>
          <w:sz w:val="28"/>
          <w:szCs w:val="28"/>
        </w:rPr>
        <w:t>装备环境工程通用要求》编写。</w:t>
      </w:r>
    </w:p>
    <w:p w14:paraId="1E5EF5EC">
      <w:pPr>
        <w:spacing w:before="66" w:line="223" w:lineRule="auto"/>
        <w:rPr>
          <w:rFonts w:ascii="黑体" w:hAnsi="黑体" w:eastAsia="黑体" w:cs="黑体"/>
          <w:sz w:val="27"/>
          <w:szCs w:val="27"/>
        </w:rPr>
      </w:pPr>
      <w:r>
        <w:rPr>
          <w:rFonts w:ascii="黑体" w:hAnsi="黑体" w:eastAsia="黑体" w:cs="黑体"/>
          <w:spacing w:val="-5"/>
          <w:sz w:val="27"/>
          <w:szCs w:val="27"/>
        </w:rPr>
        <w:t>1</w:t>
      </w:r>
      <w:r>
        <w:rPr>
          <w:rFonts w:ascii="黑体" w:hAnsi="黑体" w:eastAsia="黑体" w:cs="黑体"/>
          <w:spacing w:val="32"/>
          <w:sz w:val="27"/>
          <w:szCs w:val="27"/>
        </w:rPr>
        <w:t xml:space="preserve">  </w:t>
      </w:r>
      <w:r>
        <w:rPr>
          <w:rFonts w:ascii="黑体" w:hAnsi="黑体" w:eastAsia="黑体" w:cs="黑体"/>
          <w:b/>
          <w:bCs/>
          <w:spacing w:val="-5"/>
          <w:sz w:val="27"/>
          <w:szCs w:val="27"/>
        </w:rPr>
        <w:t>目的和用途</w:t>
      </w:r>
    </w:p>
    <w:p w14:paraId="58995FE0">
      <w:pPr>
        <w:spacing w:before="104" w:line="223" w:lineRule="auto"/>
        <w:rPr>
          <w:rFonts w:ascii="黑体" w:hAnsi="黑体" w:eastAsia="黑体" w:cs="黑体"/>
          <w:sz w:val="25"/>
          <w:szCs w:val="25"/>
        </w:rPr>
      </w:pPr>
      <w:r>
        <w:rPr>
          <w:rFonts w:ascii="黑体" w:hAnsi="黑体" w:eastAsia="黑体" w:cs="黑体"/>
          <w:spacing w:val="-3"/>
          <w:sz w:val="25"/>
          <w:szCs w:val="25"/>
        </w:rPr>
        <w:t>1.1</w:t>
      </w:r>
      <w:r>
        <w:rPr>
          <w:rFonts w:ascii="黑体" w:hAnsi="黑体" w:eastAsia="黑体" w:cs="黑体"/>
          <w:spacing w:val="55"/>
          <w:sz w:val="25"/>
          <w:szCs w:val="25"/>
        </w:rPr>
        <w:t xml:space="preserve">  </w:t>
      </w:r>
      <w:r>
        <w:rPr>
          <w:rFonts w:ascii="黑体" w:hAnsi="黑体" w:eastAsia="黑体" w:cs="黑体"/>
          <w:b/>
          <w:bCs/>
          <w:spacing w:val="-3"/>
          <w:sz w:val="25"/>
          <w:szCs w:val="25"/>
        </w:rPr>
        <w:t>目的</w:t>
      </w:r>
    </w:p>
    <w:p w14:paraId="5A0A87CB">
      <w:pPr>
        <w:pStyle w:val="2"/>
        <w:spacing w:before="101" w:line="282" w:lineRule="auto"/>
        <w:ind w:right="100" w:firstLine="570"/>
        <w:jc w:val="both"/>
      </w:pPr>
      <w:r>
        <w:rPr>
          <w:spacing w:val="6"/>
        </w:rPr>
        <w:t>说明编制环境试验与评价总计划的目的。目的是提出</w:t>
      </w:r>
      <w:r>
        <w:rPr>
          <w:spacing w:val="5"/>
        </w:rPr>
        <w:t>装备寿命期内特别是</w:t>
      </w:r>
      <w:r>
        <w:t xml:space="preserve"> </w:t>
      </w:r>
      <w:r>
        <w:rPr>
          <w:spacing w:val="-2"/>
        </w:rPr>
        <w:t>研制生产阶段应开展的各种试验与评价任务，包括自然</w:t>
      </w:r>
      <w:r>
        <w:rPr>
          <w:spacing w:val="-3"/>
        </w:rPr>
        <w:t>环境试验、实验室环境试</w:t>
      </w:r>
      <w:r>
        <w:t xml:space="preserve"> </w:t>
      </w:r>
      <w:r>
        <w:rPr>
          <w:spacing w:val="4"/>
        </w:rPr>
        <w:t>验和使用环境试验三个方面的任务及这些任务的安</w:t>
      </w:r>
      <w:r>
        <w:rPr>
          <w:spacing w:val="3"/>
        </w:rPr>
        <w:t>排和顺序。</w:t>
      </w:r>
    </w:p>
    <w:p w14:paraId="609013A7">
      <w:pPr>
        <w:spacing w:before="2" w:line="225" w:lineRule="auto"/>
        <w:rPr>
          <w:rFonts w:ascii="黑体" w:hAnsi="黑体" w:eastAsia="黑体" w:cs="黑体"/>
          <w:sz w:val="24"/>
          <w:szCs w:val="24"/>
        </w:rPr>
      </w:pPr>
      <w:r>
        <w:rPr>
          <w:rFonts w:ascii="黑体" w:hAnsi="黑体" w:eastAsia="黑体" w:cs="黑体"/>
          <w:spacing w:val="-8"/>
          <w:sz w:val="24"/>
          <w:szCs w:val="24"/>
        </w:rPr>
        <w:t>1.2</w:t>
      </w:r>
      <w:r>
        <w:rPr>
          <w:rFonts w:ascii="黑体" w:hAnsi="黑体" w:eastAsia="黑体" w:cs="黑体"/>
          <w:spacing w:val="42"/>
          <w:sz w:val="24"/>
          <w:szCs w:val="24"/>
        </w:rPr>
        <w:t xml:space="preserve">  </w:t>
      </w:r>
      <w:r>
        <w:rPr>
          <w:rFonts w:ascii="黑体" w:hAnsi="黑体" w:eastAsia="黑体" w:cs="黑体"/>
          <w:b/>
          <w:bCs/>
          <w:spacing w:val="-8"/>
          <w:sz w:val="24"/>
          <w:szCs w:val="24"/>
        </w:rPr>
        <w:t>用</w:t>
      </w:r>
      <w:r>
        <w:rPr>
          <w:rFonts w:ascii="黑体" w:hAnsi="黑体" w:eastAsia="黑体" w:cs="黑体"/>
          <w:spacing w:val="32"/>
          <w:sz w:val="24"/>
          <w:szCs w:val="24"/>
        </w:rPr>
        <w:t xml:space="preserve"> </w:t>
      </w:r>
      <w:r>
        <w:rPr>
          <w:rFonts w:ascii="黑体" w:hAnsi="黑体" w:eastAsia="黑体" w:cs="黑体"/>
          <w:b/>
          <w:bCs/>
          <w:spacing w:val="-8"/>
          <w:sz w:val="24"/>
          <w:szCs w:val="24"/>
        </w:rPr>
        <w:t>途</w:t>
      </w:r>
    </w:p>
    <w:p w14:paraId="685DB44A">
      <w:pPr>
        <w:pStyle w:val="2"/>
        <w:spacing w:before="96" w:line="218" w:lineRule="auto"/>
        <w:ind w:left="570"/>
      </w:pPr>
      <w:r>
        <w:rPr>
          <w:spacing w:val="-2"/>
        </w:rPr>
        <w:t>说明编制环境试验与评价总计划的用途。 一般包括：</w:t>
      </w:r>
    </w:p>
    <w:p w14:paraId="1F53F461">
      <w:pPr>
        <w:pStyle w:val="2"/>
        <w:spacing w:before="53" w:line="270" w:lineRule="auto"/>
        <w:ind w:firstLine="570"/>
      </w:pPr>
      <w:r>
        <w:rPr>
          <w:rFonts w:ascii="Times New Roman" w:hAnsi="Times New Roman" w:eastAsia="Times New Roman" w:cs="Times New Roman"/>
          <w:spacing w:val="3"/>
        </w:rPr>
        <w:t xml:space="preserve">a)  </w:t>
      </w:r>
      <w:r>
        <w:rPr>
          <w:spacing w:val="3"/>
        </w:rPr>
        <w:t>该计划在装备研制阶段初期着手制定，可为及早对开展环境试验及其他</w:t>
      </w:r>
      <w:r>
        <w:t xml:space="preserve"> </w:t>
      </w:r>
      <w:r>
        <w:rPr>
          <w:spacing w:val="-6"/>
        </w:rPr>
        <w:t>相应的试验(如可靠性试验，安全性试验和寿命试验)所需要的设备、时</w:t>
      </w:r>
      <w:r>
        <w:rPr>
          <w:spacing w:val="-7"/>
        </w:rPr>
        <w:t>间、费用、</w:t>
      </w:r>
      <w:r>
        <w:t xml:space="preserve"> </w:t>
      </w:r>
      <w:r>
        <w:rPr>
          <w:spacing w:val="5"/>
        </w:rPr>
        <w:t>人力等资源作出相应估计并提供信息，为更好地协调环境试验工作与其他研制</w:t>
      </w:r>
      <w:r>
        <w:rPr>
          <w:spacing w:val="6"/>
        </w:rPr>
        <w:t xml:space="preserve">  </w:t>
      </w:r>
      <w:r>
        <w:rPr>
          <w:spacing w:val="-2"/>
        </w:rPr>
        <w:t>工作，以最佳的效费比安排和实施这些试验提</w:t>
      </w:r>
      <w:r>
        <w:rPr>
          <w:spacing w:val="-3"/>
        </w:rPr>
        <w:t>供依据。</w:t>
      </w:r>
    </w:p>
    <w:p w14:paraId="3900278D">
      <w:pPr>
        <w:pStyle w:val="2"/>
        <w:spacing w:before="83" w:line="263" w:lineRule="auto"/>
        <w:ind w:right="103" w:firstLine="570"/>
      </w:pPr>
      <w:r>
        <w:rPr>
          <w:rFonts w:ascii="Times New Roman" w:hAnsi="Times New Roman" w:eastAsia="Times New Roman" w:cs="Times New Roman"/>
          <w:spacing w:val="3"/>
        </w:rPr>
        <w:t>b)</w:t>
      </w:r>
      <w:r>
        <w:rPr>
          <w:rFonts w:ascii="Times New Roman" w:hAnsi="Times New Roman" w:eastAsia="Times New Roman" w:cs="Times New Roman"/>
          <w:spacing w:val="67"/>
          <w:w w:val="101"/>
        </w:rPr>
        <w:t xml:space="preserve"> </w:t>
      </w:r>
      <w:r>
        <w:rPr>
          <w:spacing w:val="3"/>
        </w:rPr>
        <w:t>该计划可作为环境工程技术人员、型号管理人员、</w:t>
      </w:r>
      <w:r>
        <w:rPr>
          <w:spacing w:val="2"/>
        </w:rPr>
        <w:t>产品设计人员和试验</w:t>
      </w:r>
      <w:r>
        <w:t xml:space="preserve"> </w:t>
      </w:r>
      <w:r>
        <w:rPr>
          <w:spacing w:val="5"/>
        </w:rPr>
        <w:t>技术人员开展相应试验工作的依据。环境工程技术人员据此安排各项试验的顺</w:t>
      </w:r>
      <w:r>
        <w:t xml:space="preserve"> </w:t>
      </w:r>
      <w:r>
        <w:rPr>
          <w:spacing w:val="-3"/>
        </w:rPr>
        <w:t>序，设计人员据此确定要提供的试验件数量，试验技术人员据此考虑相关的试验</w:t>
      </w:r>
      <w:r>
        <w:rPr>
          <w:spacing w:val="5"/>
        </w:rPr>
        <w:t xml:space="preserve"> </w:t>
      </w:r>
      <w:r>
        <w:rPr>
          <w:spacing w:val="-6"/>
        </w:rPr>
        <w:t>设备和功能、性能测试设备，管理人员据此优化整个试验计划。</w:t>
      </w:r>
    </w:p>
    <w:p w14:paraId="370590F3">
      <w:pPr>
        <w:pStyle w:val="2"/>
        <w:spacing w:before="69" w:line="212" w:lineRule="auto"/>
        <w:ind w:left="570"/>
      </w:pPr>
      <w:r>
        <w:rPr>
          <w:rFonts w:ascii="Times New Roman" w:hAnsi="Times New Roman" w:eastAsia="Times New Roman" w:cs="Times New Roman"/>
          <w:spacing w:val="4"/>
        </w:rPr>
        <w:t>c)</w:t>
      </w:r>
      <w:r>
        <w:rPr>
          <w:rFonts w:ascii="Times New Roman" w:hAnsi="Times New Roman" w:eastAsia="Times New Roman" w:cs="Times New Roman"/>
          <w:spacing w:val="64"/>
        </w:rPr>
        <w:t xml:space="preserve"> </w:t>
      </w:r>
      <w:r>
        <w:rPr>
          <w:spacing w:val="4"/>
        </w:rPr>
        <w:t>该计划是制定环境试验大纲的依据。</w:t>
      </w:r>
    </w:p>
    <w:p w14:paraId="6DB7853A">
      <w:pPr>
        <w:pStyle w:val="2"/>
        <w:spacing w:before="146" w:line="275" w:lineRule="auto"/>
        <w:ind w:right="103" w:firstLine="570"/>
        <w:jc w:val="both"/>
      </w:pPr>
      <w:r>
        <w:rPr>
          <w:spacing w:val="14"/>
        </w:rPr>
        <w:t>环境试验与评价总计划是动态变化的。型号研制阶段早期制定的这一计</w:t>
      </w:r>
      <w:r>
        <w:rPr>
          <w:spacing w:val="16"/>
        </w:rPr>
        <w:t xml:space="preserve"> </w:t>
      </w:r>
      <w:r>
        <w:rPr>
          <w:spacing w:val="-3"/>
        </w:rPr>
        <w:t>划，应随着型号研制工作的进展、相关信息的充实和细化、各方面工作的协调和</w:t>
      </w:r>
      <w:r>
        <w:rPr>
          <w:spacing w:val="15"/>
        </w:rPr>
        <w:t xml:space="preserve"> </w:t>
      </w:r>
      <w:r>
        <w:rPr>
          <w:spacing w:val="-2"/>
        </w:rPr>
        <w:t>计划优化而不断修改完善，并定期重新公布，以反映型号进展情况并更</w:t>
      </w:r>
      <w:r>
        <w:rPr>
          <w:spacing w:val="-3"/>
        </w:rPr>
        <w:t>具可操作</w:t>
      </w:r>
      <w:r>
        <w:t xml:space="preserve"> </w:t>
      </w:r>
      <w:r>
        <w:rPr>
          <w:spacing w:val="-5"/>
        </w:rPr>
        <w:t>性，但是该计划的基本思路不能改变。</w:t>
      </w:r>
    </w:p>
    <w:p w14:paraId="4CD0093B">
      <w:pPr>
        <w:spacing w:line="275" w:lineRule="auto"/>
        <w:sectPr>
          <w:footerReference r:id="rId587" w:type="default"/>
          <w:pgSz w:w="11910" w:h="17130"/>
          <w:pgMar w:top="400" w:right="1595" w:bottom="1723" w:left="820" w:header="0" w:footer="1524" w:gutter="0"/>
          <w:cols w:space="720" w:num="1"/>
        </w:sectPr>
      </w:pPr>
    </w:p>
    <w:p w14:paraId="1B4B572B">
      <w:pPr>
        <w:spacing w:line="262" w:lineRule="auto"/>
        <w:rPr>
          <w:rFonts w:ascii="Arial"/>
          <w:sz w:val="21"/>
        </w:rPr>
      </w:pPr>
    </w:p>
    <w:p w14:paraId="1F41A31A">
      <w:pPr>
        <w:spacing w:line="262" w:lineRule="auto"/>
        <w:rPr>
          <w:rFonts w:ascii="Arial"/>
          <w:sz w:val="21"/>
        </w:rPr>
      </w:pPr>
    </w:p>
    <w:p w14:paraId="12A4CC06">
      <w:pPr>
        <w:spacing w:line="262" w:lineRule="auto"/>
        <w:rPr>
          <w:rFonts w:ascii="Arial"/>
          <w:sz w:val="21"/>
        </w:rPr>
      </w:pPr>
    </w:p>
    <w:p w14:paraId="6337A4CB">
      <w:pPr>
        <w:spacing w:line="263" w:lineRule="auto"/>
        <w:rPr>
          <w:rFonts w:ascii="Arial"/>
          <w:sz w:val="21"/>
        </w:rPr>
      </w:pPr>
    </w:p>
    <w:p w14:paraId="06D3BFA8">
      <w:pPr>
        <w:spacing w:before="78" w:line="221" w:lineRule="auto"/>
        <w:rPr>
          <w:rFonts w:ascii="黑体" w:hAnsi="黑体" w:eastAsia="黑体" w:cs="黑体"/>
          <w:sz w:val="24"/>
          <w:szCs w:val="24"/>
        </w:rPr>
      </w:pPr>
      <w:r>
        <w:rPr>
          <w:rFonts w:ascii="黑体" w:hAnsi="黑体" w:eastAsia="黑体" w:cs="黑体"/>
          <w:spacing w:val="23"/>
          <w:sz w:val="24"/>
          <w:szCs w:val="24"/>
        </w:rPr>
        <w:t>2</w:t>
      </w:r>
      <w:r>
        <w:rPr>
          <w:rFonts w:ascii="黑体" w:hAnsi="黑体" w:eastAsia="黑体" w:cs="黑体"/>
          <w:spacing w:val="35"/>
          <w:sz w:val="24"/>
          <w:szCs w:val="24"/>
        </w:rPr>
        <w:t xml:space="preserve">  </w:t>
      </w:r>
      <w:r>
        <w:rPr>
          <w:rFonts w:ascii="黑体" w:hAnsi="黑体" w:eastAsia="黑体" w:cs="黑体"/>
          <w:b/>
          <w:bCs/>
          <w:spacing w:val="23"/>
          <w:sz w:val="24"/>
          <w:szCs w:val="24"/>
        </w:rPr>
        <w:t>编制依据</w:t>
      </w:r>
    </w:p>
    <w:p w14:paraId="232ABFC7">
      <w:pPr>
        <w:pStyle w:val="2"/>
        <w:spacing w:before="57" w:line="283" w:lineRule="auto"/>
        <w:ind w:right="21" w:firstLine="570"/>
        <w:jc w:val="both"/>
      </w:pPr>
      <w:r>
        <w:rPr>
          <w:spacing w:val="13"/>
        </w:rPr>
        <w:t>说明编制环境试验与评价总计划依据的各种文件和标准。编制依据一般</w:t>
      </w:r>
      <w:r>
        <w:rPr>
          <w:spacing w:val="17"/>
        </w:rPr>
        <w:t xml:space="preserve"> </w:t>
      </w:r>
      <w:r>
        <w:rPr>
          <w:spacing w:val="5"/>
        </w:rPr>
        <w:t>包括：研制立项综合论证报告，研制总要求，研制计划</w:t>
      </w:r>
      <w:r>
        <w:rPr>
          <w:spacing w:val="4"/>
        </w:rPr>
        <w:t>，研制任务书或研制合</w:t>
      </w:r>
      <w:r>
        <w:t xml:space="preserve"> </w:t>
      </w:r>
      <w:r>
        <w:rPr>
          <w:spacing w:val="3"/>
        </w:rPr>
        <w:t>同，研制方案，产品规范，通用规范，</w:t>
      </w:r>
      <w:r>
        <w:rPr>
          <w:rFonts w:ascii="Times New Roman" w:hAnsi="Times New Roman" w:eastAsia="Times New Roman" w:cs="Times New Roman"/>
        </w:rPr>
        <w:t>GJB</w:t>
      </w:r>
      <w:r>
        <w:rPr>
          <w:rFonts w:ascii="Times New Roman" w:hAnsi="Times New Roman" w:eastAsia="Times New Roman" w:cs="Times New Roman"/>
          <w:spacing w:val="3"/>
        </w:rPr>
        <w:t xml:space="preserve">  4239—2001</w:t>
      </w:r>
      <w:r>
        <w:rPr>
          <w:spacing w:val="3"/>
        </w:rPr>
        <w:t>《装备</w:t>
      </w:r>
      <w:r>
        <w:rPr>
          <w:spacing w:val="2"/>
        </w:rPr>
        <w:t>环境工程通用要</w:t>
      </w:r>
      <w:r>
        <w:t xml:space="preserve"> </w:t>
      </w:r>
      <w:r>
        <w:rPr>
          <w:spacing w:val="-22"/>
        </w:rPr>
        <w:t>求》等。</w:t>
      </w:r>
    </w:p>
    <w:p w14:paraId="510B7745">
      <w:pPr>
        <w:spacing w:before="1" w:line="220"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6"/>
          <w:sz w:val="27"/>
          <w:szCs w:val="27"/>
        </w:rPr>
        <w:t xml:space="preserve">  </w:t>
      </w:r>
      <w:r>
        <w:rPr>
          <w:rFonts w:ascii="黑体" w:hAnsi="黑体" w:eastAsia="黑体" w:cs="黑体"/>
          <w:b/>
          <w:bCs/>
          <w:sz w:val="27"/>
          <w:szCs w:val="27"/>
        </w:rPr>
        <w:t>自然环境试验计划</w:t>
      </w:r>
    </w:p>
    <w:p w14:paraId="08DB07E1">
      <w:pPr>
        <w:pStyle w:val="2"/>
        <w:spacing w:before="81" w:line="277" w:lineRule="auto"/>
        <w:ind w:right="3" w:firstLine="570"/>
        <w:jc w:val="both"/>
      </w:pPr>
      <w:r>
        <w:rPr>
          <w:spacing w:val="-11"/>
        </w:rPr>
        <w:t>基本内容包括：需进行自然环境试验的材料、工艺、结构件、元器件和零部件</w:t>
      </w:r>
      <w:r>
        <w:rPr>
          <w:spacing w:val="4"/>
        </w:rPr>
        <w:t xml:space="preserve"> </w:t>
      </w:r>
      <w:r>
        <w:rPr>
          <w:spacing w:val="-2"/>
        </w:rPr>
        <w:t>清单，各试验样件的样本数量，各样本涉及的自然环境</w:t>
      </w:r>
      <w:r>
        <w:rPr>
          <w:spacing w:val="-3"/>
        </w:rPr>
        <w:t>类型和试验项目，相应的</w:t>
      </w:r>
      <w:r>
        <w:t xml:space="preserve"> </w:t>
      </w:r>
      <w:r>
        <w:rPr>
          <w:spacing w:val="-4"/>
        </w:rPr>
        <w:t>试验时间周期和时间节点，试验经费估计等。</w:t>
      </w:r>
    </w:p>
    <w:p w14:paraId="0855B52E">
      <w:pPr>
        <w:spacing w:before="1" w:line="220" w:lineRule="auto"/>
        <w:outlineLvl w:val="3"/>
        <w:rPr>
          <w:rFonts w:ascii="黑体" w:hAnsi="黑体" w:eastAsia="黑体" w:cs="黑体"/>
          <w:sz w:val="27"/>
          <w:szCs w:val="27"/>
        </w:rPr>
      </w:pPr>
      <w:r>
        <w:rPr>
          <w:rFonts w:ascii="Arial" w:hAnsi="Arial" w:eastAsia="Arial" w:cs="Arial"/>
          <w:b/>
          <w:bCs/>
          <w:sz w:val="27"/>
          <w:szCs w:val="27"/>
        </w:rPr>
        <w:t>4</w:t>
      </w:r>
      <w:r>
        <w:rPr>
          <w:rFonts w:ascii="Arial" w:hAnsi="Arial" w:eastAsia="Arial" w:cs="Arial"/>
          <w:b/>
          <w:bCs/>
          <w:spacing w:val="19"/>
          <w:w w:val="101"/>
          <w:sz w:val="27"/>
          <w:szCs w:val="27"/>
        </w:rPr>
        <w:t xml:space="preserve">   </w:t>
      </w:r>
      <w:r>
        <w:rPr>
          <w:rFonts w:ascii="黑体" w:hAnsi="黑体" w:eastAsia="黑体" w:cs="黑体"/>
          <w:b/>
          <w:bCs/>
          <w:sz w:val="27"/>
          <w:szCs w:val="27"/>
        </w:rPr>
        <w:t>实验室环境试验计划</w:t>
      </w:r>
    </w:p>
    <w:p w14:paraId="146B75F5">
      <w:pPr>
        <w:pStyle w:val="2"/>
        <w:spacing w:before="84" w:line="279" w:lineRule="auto"/>
        <w:ind w:right="19" w:firstLine="570"/>
        <w:jc w:val="both"/>
      </w:pPr>
      <w:r>
        <w:rPr>
          <w:spacing w:val="-4"/>
        </w:rPr>
        <w:t>包括整个装备和各个系统</w:t>
      </w:r>
      <w:r>
        <w:rPr>
          <w:rFonts w:ascii="仿宋" w:hAnsi="仿宋" w:eastAsia="仿宋" w:cs="仿宋"/>
          <w:spacing w:val="-4"/>
        </w:rPr>
        <w:t>、分系统、</w:t>
      </w:r>
      <w:r>
        <w:rPr>
          <w:spacing w:val="-4"/>
        </w:rPr>
        <w:t>设备的环境试验计划。根据装备研制阶</w:t>
      </w:r>
      <w:r>
        <w:rPr>
          <w:spacing w:val="12"/>
        </w:rPr>
        <w:t xml:space="preserve"> </w:t>
      </w:r>
      <w:r>
        <w:rPr>
          <w:spacing w:val="-2"/>
        </w:rPr>
        <w:t>段不同，实验室环境试验计划一般分为若干</w:t>
      </w:r>
      <w:r>
        <w:rPr>
          <w:spacing w:val="-3"/>
        </w:rPr>
        <w:t>个阶段，如飞行器可分为首飞前的安</w:t>
      </w:r>
      <w:r>
        <w:t xml:space="preserve"> </w:t>
      </w:r>
      <w:r>
        <w:rPr>
          <w:spacing w:val="5"/>
        </w:rPr>
        <w:t>全性环境试验计划、定型阶段的设计(生产)定型环境鉴定试验计划和生产阶段</w:t>
      </w:r>
      <w:r>
        <w:rPr>
          <w:spacing w:val="4"/>
        </w:rPr>
        <w:t xml:space="preserve"> </w:t>
      </w:r>
      <w:r>
        <w:rPr>
          <w:spacing w:val="5"/>
        </w:rPr>
        <w:t>的批生产环境试验(环境验收试验和环境例行试验)计划三大部分，每一阶段实</w:t>
      </w:r>
      <w:r>
        <w:rPr>
          <w:spacing w:val="7"/>
        </w:rPr>
        <w:t xml:space="preserve"> </w:t>
      </w:r>
      <w:r>
        <w:rPr>
          <w:spacing w:val="-2"/>
        </w:rPr>
        <w:t>验室环境试验对应的受试产品清单、试验项</w:t>
      </w:r>
      <w:r>
        <w:rPr>
          <w:spacing w:val="-3"/>
        </w:rPr>
        <w:t>目、试验条件均有所不同，其内容也</w:t>
      </w:r>
      <w:r>
        <w:t xml:space="preserve"> 是各不相同的。</w:t>
      </w:r>
    </w:p>
    <w:p w14:paraId="0B513AAF">
      <w:pPr>
        <w:pStyle w:val="2"/>
        <w:spacing w:before="6" w:line="274" w:lineRule="auto"/>
        <w:ind w:right="21" w:firstLine="570"/>
        <w:jc w:val="both"/>
      </w:pPr>
      <w:r>
        <w:rPr>
          <w:spacing w:val="13"/>
        </w:rPr>
        <w:t>每一阶段的实验室环境试验计划基本内容包括：该阶段要进行环境试验</w:t>
      </w:r>
      <w:r>
        <w:rPr>
          <w:spacing w:val="17"/>
        </w:rPr>
        <w:t xml:space="preserve"> </w:t>
      </w:r>
      <w:r>
        <w:rPr>
          <w:spacing w:val="5"/>
        </w:rPr>
        <w:t>的受试产品清单，每个受试产品应进行的试验项目，进行试验所需的时间及完</w:t>
      </w:r>
      <w:r>
        <w:rPr>
          <w:spacing w:val="12"/>
        </w:rPr>
        <w:t xml:space="preserve"> </w:t>
      </w:r>
      <w:r>
        <w:rPr>
          <w:spacing w:val="5"/>
        </w:rPr>
        <w:t>成节点，进行试验的实验室资质要求，试验的组织管理部门及其职责，试验所</w:t>
      </w:r>
      <w:r>
        <w:rPr>
          <w:spacing w:val="8"/>
        </w:rPr>
        <w:t xml:space="preserve"> </w:t>
      </w:r>
      <w:r>
        <w:rPr>
          <w:spacing w:val="22"/>
        </w:rPr>
        <w:t>需的试验场所、试验设备和测试设备要求，试验所需的费用和人力等资源</w:t>
      </w:r>
      <w:r>
        <w:rPr>
          <w:spacing w:val="16"/>
        </w:rPr>
        <w:t xml:space="preserve"> </w:t>
      </w:r>
      <w:r>
        <w:rPr>
          <w:spacing w:val="-2"/>
        </w:rPr>
        <w:t>需求。</w:t>
      </w:r>
    </w:p>
    <w:p w14:paraId="79DB1598">
      <w:pPr>
        <w:spacing w:before="15" w:line="221"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36"/>
          <w:sz w:val="27"/>
          <w:szCs w:val="27"/>
        </w:rPr>
        <w:t xml:space="preserve">  </w:t>
      </w:r>
      <w:r>
        <w:rPr>
          <w:rFonts w:ascii="黑体" w:hAnsi="黑体" w:eastAsia="黑体" w:cs="黑体"/>
          <w:b/>
          <w:bCs/>
          <w:spacing w:val="1"/>
          <w:sz w:val="27"/>
          <w:szCs w:val="27"/>
        </w:rPr>
        <w:t>使用环境试验计划</w:t>
      </w:r>
    </w:p>
    <w:p w14:paraId="6CD2E479">
      <w:pPr>
        <w:pStyle w:val="2"/>
        <w:spacing w:before="83" w:line="285" w:lineRule="auto"/>
        <w:ind w:firstLine="570"/>
        <w:jc w:val="both"/>
      </w:pPr>
      <w:r>
        <w:rPr>
          <w:spacing w:val="14"/>
        </w:rPr>
        <w:t>包括研制阶段的使用环境试验计划和使用阶段的使用环境试验计划两部</w:t>
      </w:r>
      <w:r>
        <w:rPr>
          <w:spacing w:val="9"/>
        </w:rPr>
        <w:t xml:space="preserve"> </w:t>
      </w:r>
      <w:r>
        <w:rPr>
          <w:spacing w:val="5"/>
        </w:rPr>
        <w:t>分。使用环境试验计划中应包括环境测量计划，应充分利用使用环境试验获取</w:t>
      </w:r>
      <w:r>
        <w:rPr>
          <w:spacing w:val="11"/>
        </w:rPr>
        <w:t xml:space="preserve"> </w:t>
      </w:r>
      <w:r>
        <w:rPr>
          <w:spacing w:val="4"/>
        </w:rPr>
        <w:t>装备更多的信息。</w:t>
      </w:r>
    </w:p>
    <w:p w14:paraId="18B4C13D">
      <w:pPr>
        <w:pStyle w:val="2"/>
        <w:spacing w:line="272" w:lineRule="auto"/>
        <w:ind w:right="3" w:firstLine="570"/>
        <w:jc w:val="both"/>
      </w:pPr>
      <w:r>
        <w:rPr>
          <w:spacing w:val="5"/>
        </w:rPr>
        <w:t>使用环境试验计划具体内容包括：开展使用环境试验的试验负责单位及其</w:t>
      </w:r>
      <w:r>
        <w:rPr>
          <w:spacing w:val="10"/>
        </w:rPr>
        <w:t xml:space="preserve"> </w:t>
      </w:r>
      <w:r>
        <w:rPr>
          <w:spacing w:val="-10"/>
        </w:rPr>
        <w:t>职责，试验所用的装备数量，试验要考虑的装备的系统、分系统、设备及其所在的</w:t>
      </w:r>
      <w:r>
        <w:rPr>
          <w:spacing w:val="9"/>
        </w:rPr>
        <w:t xml:space="preserve"> </w:t>
      </w:r>
      <w:r>
        <w:rPr>
          <w:spacing w:val="1"/>
        </w:rPr>
        <w:t>区/舱/段，试验实施的单位/部队及试验场，试验涉及的装备任务剖面数量及特</w:t>
      </w:r>
      <w:r>
        <w:rPr>
          <w:spacing w:val="7"/>
        </w:rPr>
        <w:t xml:space="preserve"> </w:t>
      </w:r>
      <w:r>
        <w:rPr>
          <w:spacing w:val="-2"/>
        </w:rPr>
        <w:t>点，试验中要测量环境的区/舱/段及测量环境的类</w:t>
      </w:r>
      <w:r>
        <w:rPr>
          <w:spacing w:val="-3"/>
        </w:rPr>
        <w:t>型，试验进度安排，试验所需</w:t>
      </w:r>
      <w:r>
        <w:t xml:space="preserve"> </w:t>
      </w:r>
      <w:r>
        <w:rPr>
          <w:spacing w:val="-4"/>
        </w:rPr>
        <w:t>的费用估计，试验实施的配合单位及其任务。</w:t>
      </w:r>
    </w:p>
    <w:p w14:paraId="5FD8178C">
      <w:pPr>
        <w:spacing w:line="272" w:lineRule="auto"/>
        <w:rPr>
          <w:rFonts w:ascii="Arial"/>
          <w:sz w:val="21"/>
        </w:rPr>
      </w:pPr>
    </w:p>
    <w:p w14:paraId="6C67535E">
      <w:pPr>
        <w:pStyle w:val="2"/>
        <w:spacing w:before="117" w:line="220" w:lineRule="auto"/>
        <w:ind w:left="3099"/>
        <w:rPr>
          <w:sz w:val="36"/>
          <w:szCs w:val="36"/>
        </w:rPr>
      </w:pPr>
      <w:r>
        <w:rPr>
          <w:spacing w:val="-2"/>
          <w:sz w:val="36"/>
          <w:szCs w:val="36"/>
        </w:rPr>
        <w:t>12.9</w:t>
      </w:r>
      <w:r>
        <w:rPr>
          <w:spacing w:val="27"/>
          <w:sz w:val="36"/>
          <w:szCs w:val="36"/>
        </w:rPr>
        <w:t xml:space="preserve">  </w:t>
      </w:r>
      <w:r>
        <w:rPr>
          <w:b/>
          <w:bCs/>
          <w:spacing w:val="-2"/>
          <w:sz w:val="36"/>
          <w:szCs w:val="36"/>
        </w:rPr>
        <w:t>环境试验大纲</w:t>
      </w:r>
    </w:p>
    <w:p w14:paraId="044C75D1">
      <w:pPr>
        <w:spacing w:line="326" w:lineRule="auto"/>
        <w:rPr>
          <w:rFonts w:ascii="Arial"/>
          <w:sz w:val="21"/>
        </w:rPr>
      </w:pPr>
    </w:p>
    <w:p w14:paraId="010E6B90">
      <w:pPr>
        <w:pStyle w:val="2"/>
        <w:spacing w:before="91" w:line="226" w:lineRule="auto"/>
        <w:ind w:left="570"/>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4239—2001</w:t>
      </w:r>
      <w:r>
        <w:rPr>
          <w:spacing w:val="-11"/>
          <w:sz w:val="28"/>
          <w:szCs w:val="28"/>
        </w:rPr>
        <w:t>《</w:t>
      </w:r>
      <w:r>
        <w:rPr>
          <w:rFonts w:ascii="楷体" w:hAnsi="楷体" w:eastAsia="楷体" w:cs="楷体"/>
          <w:spacing w:val="-11"/>
          <w:sz w:val="28"/>
          <w:szCs w:val="28"/>
        </w:rPr>
        <w:t>装备环境工程通用要求》编写。</w:t>
      </w:r>
    </w:p>
    <w:p w14:paraId="208DF329">
      <w:pPr>
        <w:spacing w:line="226" w:lineRule="auto"/>
        <w:rPr>
          <w:rFonts w:ascii="楷体" w:hAnsi="楷体" w:eastAsia="楷体" w:cs="楷体"/>
          <w:sz w:val="28"/>
          <w:szCs w:val="28"/>
        </w:rPr>
        <w:sectPr>
          <w:footerReference r:id="rId588" w:type="default"/>
          <w:pgSz w:w="11910" w:h="17130"/>
          <w:pgMar w:top="400" w:right="815" w:bottom="1697" w:left="1710" w:header="0" w:footer="1481" w:gutter="0"/>
          <w:cols w:space="720" w:num="1"/>
        </w:sectPr>
      </w:pPr>
    </w:p>
    <w:p w14:paraId="437B8D96">
      <w:pPr>
        <w:spacing w:line="263" w:lineRule="auto"/>
        <w:rPr>
          <w:rFonts w:ascii="Arial"/>
          <w:sz w:val="21"/>
        </w:rPr>
      </w:pPr>
    </w:p>
    <w:p w14:paraId="2249B19F">
      <w:pPr>
        <w:spacing w:line="263" w:lineRule="auto"/>
        <w:rPr>
          <w:rFonts w:ascii="Arial"/>
          <w:sz w:val="21"/>
        </w:rPr>
      </w:pPr>
    </w:p>
    <w:p w14:paraId="1C3819D5">
      <w:pPr>
        <w:spacing w:line="263" w:lineRule="auto"/>
        <w:rPr>
          <w:rFonts w:ascii="Arial"/>
          <w:sz w:val="21"/>
        </w:rPr>
      </w:pPr>
    </w:p>
    <w:p w14:paraId="6ED470D4">
      <w:pPr>
        <w:spacing w:line="263" w:lineRule="auto"/>
        <w:rPr>
          <w:rFonts w:ascii="Arial"/>
          <w:sz w:val="21"/>
        </w:rPr>
      </w:pPr>
    </w:p>
    <w:p w14:paraId="7BD9E73D">
      <w:pPr>
        <w:spacing w:before="78" w:line="222" w:lineRule="auto"/>
        <w:rPr>
          <w:rFonts w:ascii="黑体" w:hAnsi="黑体" w:eastAsia="黑体" w:cs="黑体"/>
          <w:sz w:val="24"/>
          <w:szCs w:val="24"/>
        </w:rPr>
      </w:pPr>
      <w:r>
        <w:rPr>
          <w:rFonts w:ascii="黑体" w:hAnsi="黑体" w:eastAsia="黑体" w:cs="黑体"/>
          <w:spacing w:val="26"/>
          <w:sz w:val="24"/>
          <w:szCs w:val="24"/>
        </w:rPr>
        <w:t>1</w:t>
      </w:r>
      <w:r>
        <w:rPr>
          <w:rFonts w:ascii="黑体" w:hAnsi="黑体" w:eastAsia="黑体" w:cs="黑体"/>
          <w:spacing w:val="48"/>
          <w:sz w:val="24"/>
          <w:szCs w:val="24"/>
        </w:rPr>
        <w:t xml:space="preserve">  </w:t>
      </w:r>
      <w:r>
        <w:rPr>
          <w:rFonts w:ascii="黑体" w:hAnsi="黑体" w:eastAsia="黑体" w:cs="黑体"/>
          <w:b/>
          <w:bCs/>
          <w:spacing w:val="26"/>
          <w:sz w:val="24"/>
          <w:szCs w:val="24"/>
        </w:rPr>
        <w:t>主题内容和适用范围</w:t>
      </w:r>
    </w:p>
    <w:p w14:paraId="6AB5BABC">
      <w:pPr>
        <w:spacing w:before="102" w:line="222" w:lineRule="auto"/>
        <w:rPr>
          <w:rFonts w:ascii="黑体" w:hAnsi="黑体" w:eastAsia="黑体" w:cs="黑体"/>
          <w:sz w:val="27"/>
          <w:szCs w:val="27"/>
        </w:rPr>
      </w:pPr>
      <w:r>
        <w:rPr>
          <w:rFonts w:ascii="黑体" w:hAnsi="黑体" w:eastAsia="黑体" w:cs="黑体"/>
          <w:spacing w:val="-7"/>
          <w:sz w:val="27"/>
          <w:szCs w:val="27"/>
        </w:rPr>
        <w:t>1.1</w:t>
      </w:r>
      <w:r>
        <w:rPr>
          <w:rFonts w:ascii="黑体" w:hAnsi="黑体" w:eastAsia="黑体" w:cs="黑体"/>
          <w:spacing w:val="27"/>
          <w:sz w:val="27"/>
          <w:szCs w:val="27"/>
        </w:rPr>
        <w:t xml:space="preserve">  </w:t>
      </w:r>
      <w:r>
        <w:rPr>
          <w:rFonts w:ascii="黑体" w:hAnsi="黑体" w:eastAsia="黑体" w:cs="黑体"/>
          <w:b/>
          <w:bCs/>
          <w:spacing w:val="-7"/>
          <w:sz w:val="27"/>
          <w:szCs w:val="27"/>
        </w:rPr>
        <w:t>主题内容</w:t>
      </w:r>
    </w:p>
    <w:p w14:paraId="0F0348B5">
      <w:pPr>
        <w:pStyle w:val="2"/>
        <w:spacing w:before="89" w:line="219" w:lineRule="auto"/>
        <w:ind w:left="560"/>
      </w:pPr>
      <w:r>
        <w:rPr>
          <w:spacing w:val="4"/>
        </w:rPr>
        <w:t>概括表述对环境鉴定试验提出的一系列规定和/或要求。</w:t>
      </w:r>
    </w:p>
    <w:p w14:paraId="1407ACB7">
      <w:pPr>
        <w:spacing w:before="105" w:line="223" w:lineRule="auto"/>
        <w:rPr>
          <w:rFonts w:ascii="黑体" w:hAnsi="黑体" w:eastAsia="黑体" w:cs="黑体"/>
          <w:sz w:val="24"/>
          <w:szCs w:val="24"/>
        </w:rPr>
      </w:pPr>
      <w:r>
        <w:rPr>
          <w:rFonts w:ascii="黑体" w:hAnsi="黑体" w:eastAsia="黑体" w:cs="黑体"/>
          <w:spacing w:val="14"/>
          <w:sz w:val="24"/>
          <w:szCs w:val="24"/>
        </w:rPr>
        <w:t>1.2</w:t>
      </w:r>
      <w:r>
        <w:rPr>
          <w:rFonts w:ascii="黑体" w:hAnsi="黑体" w:eastAsia="黑体" w:cs="黑体"/>
          <w:spacing w:val="3"/>
          <w:sz w:val="24"/>
          <w:szCs w:val="24"/>
        </w:rPr>
        <w:t xml:space="preserve">   </w:t>
      </w:r>
      <w:r>
        <w:rPr>
          <w:rFonts w:ascii="黑体" w:hAnsi="黑体" w:eastAsia="黑体" w:cs="黑体"/>
          <w:b/>
          <w:bCs/>
          <w:spacing w:val="14"/>
          <w:sz w:val="24"/>
          <w:szCs w:val="24"/>
        </w:rPr>
        <w:t>适用范围</w:t>
      </w:r>
    </w:p>
    <w:p w14:paraId="0724D403">
      <w:pPr>
        <w:pStyle w:val="2"/>
        <w:spacing w:before="43" w:line="292" w:lineRule="auto"/>
        <w:ind w:right="137" w:firstLine="560"/>
      </w:pPr>
      <w:r>
        <w:rPr>
          <w:spacing w:val="5"/>
        </w:rPr>
        <w:t>表述该试验大纲仅适用于某产品的环境鉴定试验，是进一步编写环境鉴定</w:t>
      </w:r>
      <w:r>
        <w:rPr>
          <w:spacing w:val="6"/>
        </w:rPr>
        <w:t xml:space="preserve"> </w:t>
      </w:r>
      <w:r>
        <w:rPr>
          <w:spacing w:val="1"/>
        </w:rPr>
        <w:t>试验程序的依据。</w:t>
      </w:r>
    </w:p>
    <w:p w14:paraId="4EAEC18E">
      <w:pPr>
        <w:spacing w:before="1" w:line="220"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8"/>
          <w:sz w:val="27"/>
          <w:szCs w:val="27"/>
        </w:rPr>
        <w:t xml:space="preserve">  </w:t>
      </w:r>
      <w:r>
        <w:rPr>
          <w:rFonts w:ascii="黑体" w:hAnsi="黑体" w:eastAsia="黑体" w:cs="黑体"/>
          <w:b/>
          <w:bCs/>
          <w:spacing w:val="-1"/>
          <w:sz w:val="27"/>
          <w:szCs w:val="27"/>
        </w:rPr>
        <w:t>编制依据</w:t>
      </w:r>
    </w:p>
    <w:p w14:paraId="2AB3C2A9">
      <w:pPr>
        <w:spacing w:before="106" w:line="221" w:lineRule="auto"/>
        <w:rPr>
          <w:rFonts w:ascii="黑体" w:hAnsi="黑体" w:eastAsia="黑体" w:cs="黑体"/>
          <w:sz w:val="24"/>
          <w:szCs w:val="24"/>
        </w:rPr>
      </w:pPr>
      <w:r>
        <w:rPr>
          <w:rFonts w:ascii="黑体" w:hAnsi="黑体" w:eastAsia="黑体" w:cs="黑体"/>
          <w:spacing w:val="20"/>
          <w:sz w:val="24"/>
          <w:szCs w:val="24"/>
        </w:rPr>
        <w:t>2.1</w:t>
      </w:r>
      <w:r>
        <w:rPr>
          <w:rFonts w:ascii="黑体" w:hAnsi="黑体" w:eastAsia="黑体" w:cs="黑体"/>
          <w:spacing w:val="55"/>
          <w:sz w:val="24"/>
          <w:szCs w:val="24"/>
        </w:rPr>
        <w:t xml:space="preserve">  </w:t>
      </w:r>
      <w:r>
        <w:rPr>
          <w:rFonts w:ascii="黑体" w:hAnsi="黑体" w:eastAsia="黑体" w:cs="黑体"/>
          <w:b/>
          <w:bCs/>
          <w:spacing w:val="20"/>
          <w:sz w:val="24"/>
          <w:szCs w:val="24"/>
        </w:rPr>
        <w:t>编制依据文件</w:t>
      </w:r>
    </w:p>
    <w:p w14:paraId="40231B16">
      <w:pPr>
        <w:pStyle w:val="2"/>
        <w:spacing w:before="77" w:line="280" w:lineRule="auto"/>
        <w:ind w:right="119" w:firstLine="560"/>
        <w:jc w:val="both"/>
      </w:pPr>
      <w:r>
        <w:rPr>
          <w:spacing w:val="-3"/>
        </w:rPr>
        <w:t>汇总列出环境鉴定试验大纲的编制依据文件。一般应包括文件依据、合同依</w:t>
      </w:r>
      <w:r>
        <w:rPr>
          <w:spacing w:val="13"/>
        </w:rPr>
        <w:t xml:space="preserve"> </w:t>
      </w:r>
      <w:r>
        <w:rPr>
          <w:spacing w:val="1"/>
        </w:rPr>
        <w:t>据和标准规范依据三部分。依据的文件通常是定型机构和/或总师单位颁发的有</w:t>
      </w:r>
      <w:r>
        <w:rPr>
          <w:spacing w:val="13"/>
        </w:rPr>
        <w:t xml:space="preserve"> </w:t>
      </w:r>
      <w:r>
        <w:rPr>
          <w:spacing w:val="-2"/>
        </w:rPr>
        <w:t>关定型工作和定型试验规定方面的文件；依据的合同通常是研制合同或协议及其</w:t>
      </w:r>
      <w:r>
        <w:t xml:space="preserve"> </w:t>
      </w:r>
      <w:r>
        <w:rPr>
          <w:spacing w:val="-7"/>
        </w:rPr>
        <w:t>依据的型号研制任务书；依据的标准通常是产品技术文件和通用试验标准。</w:t>
      </w:r>
    </w:p>
    <w:p w14:paraId="17B96160">
      <w:pPr>
        <w:spacing w:line="221" w:lineRule="auto"/>
        <w:outlineLvl w:val="3"/>
        <w:rPr>
          <w:rFonts w:ascii="黑体" w:hAnsi="黑体" w:eastAsia="黑体" w:cs="黑体"/>
          <w:sz w:val="27"/>
          <w:szCs w:val="27"/>
        </w:rPr>
      </w:pPr>
      <w:r>
        <w:rPr>
          <w:rFonts w:ascii="Arial" w:hAnsi="Arial" w:eastAsia="Arial" w:cs="Arial"/>
          <w:b/>
          <w:bCs/>
          <w:spacing w:val="-1"/>
          <w:sz w:val="27"/>
          <w:szCs w:val="27"/>
        </w:rPr>
        <w:t>2.2</w:t>
      </w:r>
      <w:r>
        <w:rPr>
          <w:rFonts w:ascii="Arial" w:hAnsi="Arial" w:eastAsia="Arial" w:cs="Arial"/>
          <w:b/>
          <w:bCs/>
          <w:spacing w:val="10"/>
          <w:sz w:val="27"/>
          <w:szCs w:val="27"/>
        </w:rPr>
        <w:t xml:space="preserve">    </w:t>
      </w:r>
      <w:r>
        <w:rPr>
          <w:rFonts w:ascii="黑体" w:hAnsi="黑体" w:eastAsia="黑体" w:cs="黑体"/>
          <w:b/>
          <w:bCs/>
          <w:spacing w:val="-1"/>
          <w:sz w:val="27"/>
          <w:szCs w:val="27"/>
        </w:rPr>
        <w:t>引用的标准和文件</w:t>
      </w:r>
    </w:p>
    <w:p w14:paraId="7DB06EBF">
      <w:pPr>
        <w:pStyle w:val="2"/>
        <w:spacing w:before="100" w:line="219" w:lineRule="auto"/>
        <w:ind w:left="560"/>
      </w:pPr>
      <w:r>
        <w:rPr>
          <w:spacing w:val="5"/>
        </w:rPr>
        <w:t>列出不属于编制依据文件而本大纲需要引用</w:t>
      </w:r>
      <w:r>
        <w:rPr>
          <w:spacing w:val="4"/>
        </w:rPr>
        <w:t>的标准和文件。</w:t>
      </w:r>
    </w:p>
    <w:p w14:paraId="140CB0E9">
      <w:pPr>
        <w:spacing w:before="85" w:line="221"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22"/>
          <w:sz w:val="27"/>
          <w:szCs w:val="27"/>
        </w:rPr>
        <w:t xml:space="preserve">  </w:t>
      </w:r>
      <w:r>
        <w:rPr>
          <w:rFonts w:ascii="黑体" w:hAnsi="黑体" w:eastAsia="黑体" w:cs="黑体"/>
          <w:b/>
          <w:bCs/>
          <w:spacing w:val="-2"/>
          <w:sz w:val="27"/>
          <w:szCs w:val="27"/>
        </w:rPr>
        <w:t>试验样品的描述</w:t>
      </w:r>
    </w:p>
    <w:p w14:paraId="0B595402">
      <w:pPr>
        <w:pStyle w:val="2"/>
        <w:spacing w:before="105" w:line="274" w:lineRule="auto"/>
        <w:ind w:firstLine="560"/>
        <w:jc w:val="both"/>
      </w:pPr>
      <w:r>
        <w:rPr>
          <w:spacing w:val="-7"/>
        </w:rPr>
        <w:t>试验样品描述内容一般应包括：试验样品名称与型号，编号；试验样品结构、</w:t>
      </w:r>
      <w:r>
        <w:rPr>
          <w:spacing w:val="1"/>
        </w:rPr>
        <w:t xml:space="preserve"> </w:t>
      </w:r>
      <w:r>
        <w:rPr>
          <w:spacing w:val="-3"/>
        </w:rPr>
        <w:t>组成、物理特性及其主要功能；试验样品的技术状态；试验样品在载体(平台)上</w:t>
      </w:r>
      <w:r>
        <w:rPr>
          <w:spacing w:val="9"/>
        </w:rPr>
        <w:t xml:space="preserve">  </w:t>
      </w:r>
      <w:r>
        <w:rPr>
          <w:spacing w:val="-2"/>
        </w:rPr>
        <w:t>的位置及相邻产品情况；提供的试验样品数</w:t>
      </w:r>
      <w:r>
        <w:rPr>
          <w:spacing w:val="-3"/>
        </w:rPr>
        <w:t>量。</w:t>
      </w:r>
    </w:p>
    <w:p w14:paraId="40DFA6CB">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4</w:t>
      </w:r>
      <w:r>
        <w:rPr>
          <w:rFonts w:ascii="Arial" w:hAnsi="Arial" w:eastAsia="Arial" w:cs="Arial"/>
          <w:b/>
          <w:bCs/>
          <w:spacing w:val="23"/>
          <w:sz w:val="27"/>
          <w:szCs w:val="27"/>
        </w:rPr>
        <w:t xml:space="preserve">   </w:t>
      </w:r>
      <w:r>
        <w:rPr>
          <w:rFonts w:ascii="黑体" w:hAnsi="黑体" w:eastAsia="黑体" w:cs="黑体"/>
          <w:b/>
          <w:bCs/>
          <w:spacing w:val="-1"/>
          <w:sz w:val="27"/>
          <w:szCs w:val="27"/>
        </w:rPr>
        <w:t>试验项目和试验顺序</w:t>
      </w:r>
    </w:p>
    <w:p w14:paraId="25935077">
      <w:pPr>
        <w:spacing w:before="67" w:line="221" w:lineRule="auto"/>
        <w:rPr>
          <w:rFonts w:ascii="黑体" w:hAnsi="黑体" w:eastAsia="黑体" w:cs="黑体"/>
          <w:sz w:val="27"/>
          <w:szCs w:val="27"/>
        </w:rPr>
      </w:pPr>
      <w:r>
        <w:rPr>
          <w:rFonts w:ascii="黑体" w:hAnsi="黑体" w:eastAsia="黑体" w:cs="黑体"/>
          <w:spacing w:val="2"/>
          <w:sz w:val="27"/>
          <w:szCs w:val="27"/>
        </w:rPr>
        <w:t>4.1</w:t>
      </w:r>
      <w:r>
        <w:rPr>
          <w:rFonts w:ascii="黑体" w:hAnsi="黑体" w:eastAsia="黑体" w:cs="黑体"/>
          <w:spacing w:val="19"/>
          <w:sz w:val="27"/>
          <w:szCs w:val="27"/>
        </w:rPr>
        <w:t xml:space="preserve">  </w:t>
      </w:r>
      <w:r>
        <w:rPr>
          <w:rFonts w:ascii="黑体" w:hAnsi="黑体" w:eastAsia="黑体" w:cs="黑体"/>
          <w:b/>
          <w:bCs/>
          <w:spacing w:val="2"/>
          <w:sz w:val="27"/>
          <w:szCs w:val="27"/>
        </w:rPr>
        <w:t>应进行的试验项目</w:t>
      </w:r>
    </w:p>
    <w:p w14:paraId="0147E833">
      <w:pPr>
        <w:pStyle w:val="2"/>
        <w:spacing w:before="103" w:line="220" w:lineRule="auto"/>
        <w:ind w:left="560"/>
      </w:pPr>
      <w:r>
        <w:rPr>
          <w:spacing w:val="3"/>
        </w:rPr>
        <w:t>描述应进行的试验项目。</w:t>
      </w:r>
    </w:p>
    <w:p w14:paraId="5E18E17F">
      <w:pPr>
        <w:spacing w:before="72" w:line="221" w:lineRule="auto"/>
        <w:rPr>
          <w:rFonts w:ascii="黑体" w:hAnsi="黑体" w:eastAsia="黑体" w:cs="黑体"/>
          <w:sz w:val="27"/>
          <w:szCs w:val="27"/>
        </w:rPr>
      </w:pPr>
      <w:r>
        <w:rPr>
          <w:rFonts w:ascii="黑体" w:hAnsi="黑体" w:eastAsia="黑体" w:cs="黑体"/>
          <w:sz w:val="27"/>
          <w:szCs w:val="27"/>
        </w:rPr>
        <w:t>4.2</w:t>
      </w:r>
      <w:r>
        <w:rPr>
          <w:rFonts w:ascii="黑体" w:hAnsi="黑体" w:eastAsia="黑体" w:cs="黑体"/>
          <w:spacing w:val="23"/>
          <w:sz w:val="27"/>
          <w:szCs w:val="27"/>
        </w:rPr>
        <w:t xml:space="preserve">  </w:t>
      </w:r>
      <w:r>
        <w:rPr>
          <w:rFonts w:ascii="黑体" w:hAnsi="黑体" w:eastAsia="黑体" w:cs="黑体"/>
          <w:b/>
          <w:bCs/>
          <w:sz w:val="27"/>
          <w:szCs w:val="27"/>
        </w:rPr>
        <w:t>试验项目所用的样品</w:t>
      </w:r>
    </w:p>
    <w:p w14:paraId="189284DF">
      <w:pPr>
        <w:pStyle w:val="2"/>
        <w:spacing w:before="95" w:line="275" w:lineRule="auto"/>
        <w:ind w:right="117" w:firstLine="560"/>
        <w:jc w:val="both"/>
      </w:pPr>
      <w:r>
        <w:rPr>
          <w:spacing w:val="6"/>
        </w:rPr>
        <w:t>描述试验项目所用的样品。原则上每个试验项目都应当使用</w:t>
      </w:r>
      <w:r>
        <w:rPr>
          <w:spacing w:val="5"/>
        </w:rPr>
        <w:t>真实的产品作</w:t>
      </w:r>
      <w:r>
        <w:t xml:space="preserve"> </w:t>
      </w:r>
      <w:r>
        <w:rPr>
          <w:spacing w:val="-3"/>
        </w:rPr>
        <w:t>为试验样品，但在工程应用中，可以采用一些简化或替代的方法来节省成本或便</w:t>
      </w:r>
      <w:r>
        <w:rPr>
          <w:spacing w:val="16"/>
        </w:rPr>
        <w:t xml:space="preserve"> </w:t>
      </w:r>
      <w:r>
        <w:rPr>
          <w:spacing w:val="-1"/>
        </w:rPr>
        <w:t>于试验的实施。</w:t>
      </w:r>
    </w:p>
    <w:p w14:paraId="5537EF71">
      <w:pPr>
        <w:spacing w:before="15" w:line="221" w:lineRule="auto"/>
        <w:rPr>
          <w:rFonts w:ascii="黑体" w:hAnsi="黑体" w:eastAsia="黑体" w:cs="黑体"/>
          <w:sz w:val="27"/>
          <w:szCs w:val="27"/>
        </w:rPr>
      </w:pPr>
      <w:r>
        <w:rPr>
          <w:rFonts w:ascii="黑体" w:hAnsi="黑体" w:eastAsia="黑体" w:cs="黑体"/>
          <w:spacing w:val="3"/>
          <w:sz w:val="27"/>
          <w:szCs w:val="27"/>
        </w:rPr>
        <w:t xml:space="preserve">4.3  </w:t>
      </w:r>
      <w:r>
        <w:rPr>
          <w:rFonts w:ascii="黑体" w:hAnsi="黑体" w:eastAsia="黑体" w:cs="黑体"/>
          <w:b/>
          <w:bCs/>
          <w:spacing w:val="3"/>
          <w:sz w:val="27"/>
          <w:szCs w:val="27"/>
        </w:rPr>
        <w:t>试验项目分组和各组试验项目顺序</w:t>
      </w:r>
    </w:p>
    <w:p w14:paraId="21CD32A1">
      <w:pPr>
        <w:pStyle w:val="2"/>
        <w:spacing w:before="84" w:line="220" w:lineRule="auto"/>
        <w:ind w:left="560"/>
      </w:pPr>
      <w:r>
        <w:rPr>
          <w:spacing w:val="3"/>
        </w:rPr>
        <w:t>描述试验项目分组和各组试验项目顺序。</w:t>
      </w:r>
    </w:p>
    <w:p w14:paraId="55E0A539">
      <w:pPr>
        <w:pStyle w:val="2"/>
        <w:spacing w:before="85" w:line="278" w:lineRule="auto"/>
        <w:ind w:right="20" w:firstLine="560"/>
        <w:jc w:val="both"/>
      </w:pPr>
      <w:r>
        <w:rPr>
          <w:spacing w:val="9"/>
        </w:rPr>
        <w:t>用一个试验样品进行多个环境试验项目时，需要根据各试验项</w:t>
      </w:r>
      <w:r>
        <w:rPr>
          <w:spacing w:val="8"/>
        </w:rPr>
        <w:t>目的特点、</w:t>
      </w:r>
      <w:r>
        <w:t xml:space="preserve"> </w:t>
      </w:r>
      <w:r>
        <w:rPr>
          <w:spacing w:val="14"/>
        </w:rPr>
        <w:t>各试验项目对受试产品的影响和试验项目之间的</w:t>
      </w:r>
      <w:r>
        <w:rPr>
          <w:spacing w:val="13"/>
        </w:rPr>
        <w:t>影响，正确安排试验项目顺</w:t>
      </w:r>
      <w:r>
        <w:t xml:space="preserve">  </w:t>
      </w:r>
      <w:r>
        <w:rPr>
          <w:spacing w:val="14"/>
        </w:rPr>
        <w:t>序。当使用多个试验样品时，还应分组列出各试验样品</w:t>
      </w:r>
      <w:r>
        <w:rPr>
          <w:spacing w:val="13"/>
        </w:rPr>
        <w:t>应进行的试验项目及</w:t>
      </w:r>
      <w:r>
        <w:t xml:space="preserve">  </w:t>
      </w:r>
      <w:r>
        <w:rPr>
          <w:spacing w:val="6"/>
        </w:rPr>
        <w:t>其顺序。</w:t>
      </w:r>
    </w:p>
    <w:p w14:paraId="00CEF6F1">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4"/>
          <w:sz w:val="27"/>
          <w:szCs w:val="27"/>
        </w:rPr>
        <w:t xml:space="preserve">   </w:t>
      </w:r>
      <w:r>
        <w:rPr>
          <w:rFonts w:ascii="黑体" w:hAnsi="黑体" w:eastAsia="黑体" w:cs="黑体"/>
          <w:b/>
          <w:bCs/>
          <w:spacing w:val="-1"/>
          <w:sz w:val="27"/>
          <w:szCs w:val="27"/>
        </w:rPr>
        <w:t>试验条件及其容差</w:t>
      </w:r>
    </w:p>
    <w:p w14:paraId="67B73917">
      <w:pPr>
        <w:pStyle w:val="2"/>
        <w:spacing w:before="113" w:line="219" w:lineRule="auto"/>
        <w:ind w:left="560"/>
      </w:pPr>
      <w:r>
        <w:rPr>
          <w:spacing w:val="4"/>
        </w:rPr>
        <w:t>应列出各试验项目的试验条件及各试验条件的容差。</w:t>
      </w:r>
    </w:p>
    <w:p w14:paraId="1500C368">
      <w:pPr>
        <w:pStyle w:val="2"/>
        <w:spacing w:before="119" w:line="219" w:lineRule="auto"/>
        <w:ind w:left="560"/>
        <w:rPr>
          <w:sz w:val="25"/>
          <w:szCs w:val="25"/>
        </w:rPr>
      </w:pPr>
      <w:r>
        <w:rPr>
          <w:spacing w:val="25"/>
          <w:sz w:val="25"/>
          <w:szCs w:val="25"/>
        </w:rPr>
        <w:t>试验条件包括试验环境条件和负载条件等。试验环境条件一般是根据研制</w:t>
      </w:r>
    </w:p>
    <w:p w14:paraId="10B99501">
      <w:pPr>
        <w:spacing w:line="219" w:lineRule="auto"/>
        <w:rPr>
          <w:sz w:val="25"/>
          <w:szCs w:val="25"/>
        </w:rPr>
        <w:sectPr>
          <w:footerReference r:id="rId589" w:type="default"/>
          <w:pgSz w:w="11910" w:h="17130"/>
          <w:pgMar w:top="400" w:right="1505" w:bottom="1772" w:left="900" w:header="0" w:footer="1431" w:gutter="0"/>
          <w:cols w:space="720" w:num="1"/>
        </w:sectPr>
      </w:pPr>
    </w:p>
    <w:p w14:paraId="5D81C899">
      <w:pPr>
        <w:spacing w:line="259" w:lineRule="auto"/>
        <w:rPr>
          <w:rFonts w:ascii="Arial"/>
          <w:sz w:val="21"/>
        </w:rPr>
      </w:pPr>
    </w:p>
    <w:p w14:paraId="63F0EC2B">
      <w:pPr>
        <w:spacing w:line="259" w:lineRule="auto"/>
        <w:rPr>
          <w:rFonts w:ascii="Arial"/>
          <w:sz w:val="21"/>
        </w:rPr>
      </w:pPr>
    </w:p>
    <w:p w14:paraId="5ABB0707">
      <w:pPr>
        <w:spacing w:line="259" w:lineRule="auto"/>
        <w:rPr>
          <w:rFonts w:ascii="Arial"/>
          <w:sz w:val="21"/>
        </w:rPr>
      </w:pPr>
    </w:p>
    <w:p w14:paraId="67D69682">
      <w:pPr>
        <w:spacing w:line="259" w:lineRule="auto"/>
        <w:rPr>
          <w:rFonts w:ascii="Arial"/>
          <w:sz w:val="21"/>
        </w:rPr>
      </w:pPr>
    </w:p>
    <w:p w14:paraId="2F6B2723">
      <w:pPr>
        <w:pStyle w:val="2"/>
        <w:spacing w:before="88" w:line="279" w:lineRule="auto"/>
        <w:ind w:right="155"/>
      </w:pPr>
      <w:r>
        <w:rPr>
          <w:spacing w:val="5"/>
        </w:rPr>
        <w:t>任务书或研制合同中的规定的环境适应性要求、验证试验要求和环境试验方法</w:t>
      </w:r>
      <w:r>
        <w:rPr>
          <w:spacing w:val="8"/>
        </w:rPr>
        <w:t xml:space="preserve"> </w:t>
      </w:r>
      <w:r>
        <w:rPr>
          <w:spacing w:val="3"/>
        </w:rPr>
        <w:t>通用标准(如</w:t>
      </w:r>
      <w:r>
        <w:rPr>
          <w:rFonts w:ascii="Times New Roman" w:hAnsi="Times New Roman" w:eastAsia="Times New Roman" w:cs="Times New Roman"/>
        </w:rPr>
        <w:t>GJB</w:t>
      </w:r>
      <w:r>
        <w:rPr>
          <w:rFonts w:ascii="Times New Roman" w:hAnsi="Times New Roman" w:eastAsia="Times New Roman" w:cs="Times New Roman"/>
          <w:spacing w:val="3"/>
        </w:rPr>
        <w:t xml:space="preserve">   150)</w:t>
      </w:r>
      <w:r>
        <w:rPr>
          <w:spacing w:val="3"/>
        </w:rPr>
        <w:t>的有关规定确定的。</w:t>
      </w:r>
    </w:p>
    <w:p w14:paraId="4899142F">
      <w:pPr>
        <w:pStyle w:val="2"/>
        <w:spacing w:before="37" w:line="279" w:lineRule="auto"/>
        <w:ind w:right="50" w:firstLine="580"/>
        <w:jc w:val="both"/>
      </w:pPr>
      <w:r>
        <w:rPr>
          <w:spacing w:val="13"/>
        </w:rPr>
        <w:t>试验环境条件一般应包括试验应力强度、试验应力作用时间或次数，复</w:t>
      </w:r>
      <w:r>
        <w:rPr>
          <w:spacing w:val="8"/>
        </w:rPr>
        <w:t xml:space="preserve"> </w:t>
      </w:r>
      <w:r>
        <w:rPr>
          <w:spacing w:val="22"/>
        </w:rPr>
        <w:t>杂的试验环境条件还应包括试验剖面。对于力学环境试验来说，还</w:t>
      </w:r>
      <w:r>
        <w:rPr>
          <w:spacing w:val="21"/>
        </w:rPr>
        <w:t>应给出</w:t>
      </w:r>
      <w:r>
        <w:t xml:space="preserve">  </w:t>
      </w:r>
      <w:r>
        <w:rPr>
          <w:spacing w:val="21"/>
        </w:rPr>
        <w:t>试验应力作用的轴向和/或方向，试验应力强度往往取决于其谱型</w:t>
      </w:r>
      <w:r>
        <w:rPr>
          <w:spacing w:val="20"/>
        </w:rPr>
        <w:t>或波形，</w:t>
      </w:r>
      <w:r>
        <w:t xml:space="preserve"> </w:t>
      </w:r>
      <w:r>
        <w:rPr>
          <w:spacing w:val="31"/>
        </w:rPr>
        <w:t>因此，应同时给出相应的谱型或波形，以全面反映其应力学环境的强度</w:t>
      </w:r>
      <w:r>
        <w:rPr>
          <w:spacing w:val="6"/>
        </w:rPr>
        <w:t xml:space="preserve">  </w:t>
      </w:r>
      <w:r>
        <w:rPr>
          <w:spacing w:val="8"/>
        </w:rPr>
        <w:t>特征。</w:t>
      </w:r>
    </w:p>
    <w:p w14:paraId="6B8BEA2D">
      <w:pPr>
        <w:spacing w:before="10" w:line="221" w:lineRule="auto"/>
        <w:rPr>
          <w:rFonts w:ascii="黑体" w:hAnsi="黑体" w:eastAsia="黑体" w:cs="黑体"/>
          <w:sz w:val="27"/>
          <w:szCs w:val="27"/>
        </w:rPr>
      </w:pPr>
      <w:r>
        <w:rPr>
          <w:rFonts w:ascii="黑体" w:hAnsi="黑体" w:eastAsia="黑体" w:cs="黑体"/>
          <w:spacing w:val="3"/>
          <w:sz w:val="27"/>
          <w:szCs w:val="27"/>
        </w:rPr>
        <w:t xml:space="preserve">6  </w:t>
      </w:r>
      <w:r>
        <w:rPr>
          <w:rFonts w:ascii="黑体" w:hAnsi="黑体" w:eastAsia="黑体" w:cs="黑体"/>
          <w:b/>
          <w:bCs/>
          <w:spacing w:val="3"/>
          <w:sz w:val="27"/>
          <w:szCs w:val="27"/>
        </w:rPr>
        <w:t>试验设备和检测仪表要求</w:t>
      </w:r>
    </w:p>
    <w:p w14:paraId="5EE09053">
      <w:pPr>
        <w:pStyle w:val="2"/>
        <w:spacing w:before="81" w:line="219" w:lineRule="auto"/>
        <w:ind w:left="580"/>
      </w:pPr>
      <w:r>
        <w:rPr>
          <w:spacing w:val="5"/>
        </w:rPr>
        <w:t>试验大纲中应给出试验实施时采用到的试验设备和测试仪器要求。</w:t>
      </w:r>
    </w:p>
    <w:p w14:paraId="7AC3E6B6">
      <w:pPr>
        <w:pStyle w:val="2"/>
        <w:spacing w:before="110" w:line="282" w:lineRule="auto"/>
        <w:ind w:right="101" w:firstLine="580"/>
      </w:pPr>
      <w:r>
        <w:rPr>
          <w:spacing w:val="6"/>
        </w:rPr>
        <w:t>试验设备要求主要包括试验设备的计量检定要求和应力施加精度要求。环</w:t>
      </w:r>
      <w:r>
        <w:rPr>
          <w:spacing w:val="1"/>
        </w:rPr>
        <w:t xml:space="preserve"> </w:t>
      </w:r>
      <w:r>
        <w:rPr>
          <w:spacing w:val="5"/>
        </w:rPr>
        <w:t>境鉴定试验采用的试验设备一般应经过国家级计量单位检定，并在其检定合格</w:t>
      </w:r>
      <w:r>
        <w:rPr>
          <w:spacing w:val="10"/>
        </w:rPr>
        <w:t xml:space="preserve"> </w:t>
      </w:r>
      <w:r>
        <w:rPr>
          <w:spacing w:val="-1"/>
        </w:rPr>
        <w:t>有效期内。</w:t>
      </w:r>
    </w:p>
    <w:p w14:paraId="69B65CDD">
      <w:pPr>
        <w:pStyle w:val="2"/>
        <w:spacing w:before="2" w:line="281" w:lineRule="auto"/>
        <w:ind w:right="138" w:firstLine="580"/>
        <w:jc w:val="both"/>
      </w:pPr>
      <w:r>
        <w:rPr>
          <w:spacing w:val="23"/>
        </w:rPr>
        <w:t>检测仪表要求主要包括计量检定要求和精度要求。环境鉴定试验期间</w:t>
      </w:r>
      <w:r>
        <w:rPr>
          <w:spacing w:val="5"/>
        </w:rPr>
        <w:t xml:space="preserve"> </w:t>
      </w:r>
      <w:r>
        <w:rPr>
          <w:spacing w:val="22"/>
        </w:rPr>
        <w:t>采用的通用监测仪表，要求应按国家有关计量检定规程或有关标准进行检</w:t>
      </w:r>
      <w:r>
        <w:rPr>
          <w:spacing w:val="16"/>
        </w:rPr>
        <w:t xml:space="preserve"> </w:t>
      </w:r>
      <w:r>
        <w:rPr>
          <w:spacing w:val="22"/>
        </w:rPr>
        <w:t>定，并具有计量合格证明。通用监测仪表的测试精度不应小于被测参数容</w:t>
      </w:r>
      <w:r>
        <w:rPr>
          <w:spacing w:val="18"/>
        </w:rPr>
        <w:t xml:space="preserve"> </w:t>
      </w:r>
      <w:r>
        <w:rPr>
          <w:spacing w:val="21"/>
        </w:rPr>
        <w:t>差的1/3。</w:t>
      </w:r>
    </w:p>
    <w:p w14:paraId="04BE52DD">
      <w:pPr>
        <w:spacing w:before="61" w:line="221" w:lineRule="auto"/>
        <w:rPr>
          <w:rFonts w:ascii="黑体" w:hAnsi="黑体" w:eastAsia="黑体" w:cs="黑体"/>
          <w:sz w:val="27"/>
          <w:szCs w:val="27"/>
        </w:rPr>
      </w:pPr>
      <w:r>
        <w:rPr>
          <w:rFonts w:ascii="黑体" w:hAnsi="黑体" w:eastAsia="黑体" w:cs="黑体"/>
          <w:sz w:val="27"/>
          <w:szCs w:val="27"/>
        </w:rPr>
        <w:t>7</w:t>
      </w:r>
      <w:r>
        <w:rPr>
          <w:rFonts w:ascii="黑体" w:hAnsi="黑体" w:eastAsia="黑体" w:cs="黑体"/>
          <w:spacing w:val="26"/>
          <w:sz w:val="27"/>
          <w:szCs w:val="27"/>
        </w:rPr>
        <w:t xml:space="preserve">  </w:t>
      </w:r>
      <w:r>
        <w:rPr>
          <w:rFonts w:ascii="黑体" w:hAnsi="黑体" w:eastAsia="黑体" w:cs="黑体"/>
          <w:b/>
          <w:bCs/>
          <w:sz w:val="27"/>
          <w:szCs w:val="27"/>
        </w:rPr>
        <w:t>试验样品</w:t>
      </w:r>
    </w:p>
    <w:p w14:paraId="25E022D9">
      <w:pPr>
        <w:spacing w:before="197" w:line="221" w:lineRule="auto"/>
        <w:rPr>
          <w:rFonts w:ascii="黑体" w:hAnsi="黑体" w:eastAsia="黑体" w:cs="黑体"/>
          <w:sz w:val="27"/>
          <w:szCs w:val="27"/>
        </w:rPr>
      </w:pPr>
      <w:r>
        <w:rPr>
          <w:rFonts w:ascii="黑体" w:hAnsi="黑体" w:eastAsia="黑体" w:cs="黑体"/>
          <w:spacing w:val="1"/>
          <w:sz w:val="27"/>
          <w:szCs w:val="27"/>
        </w:rPr>
        <w:t>7.1</w:t>
      </w:r>
      <w:r>
        <w:rPr>
          <w:rFonts w:ascii="黑体" w:hAnsi="黑体" w:eastAsia="黑体" w:cs="黑体"/>
          <w:spacing w:val="20"/>
          <w:sz w:val="27"/>
          <w:szCs w:val="27"/>
        </w:rPr>
        <w:t xml:space="preserve">  </w:t>
      </w:r>
      <w:r>
        <w:rPr>
          <w:rFonts w:ascii="黑体" w:hAnsi="黑体" w:eastAsia="黑体" w:cs="黑体"/>
          <w:b/>
          <w:bCs/>
          <w:spacing w:val="1"/>
          <w:sz w:val="27"/>
          <w:szCs w:val="27"/>
        </w:rPr>
        <w:t>试验样品检测要求</w:t>
      </w:r>
    </w:p>
    <w:p w14:paraId="5A2D3CEB">
      <w:pPr>
        <w:pStyle w:val="2"/>
        <w:spacing w:before="144" w:line="280" w:lineRule="auto"/>
        <w:ind w:firstLine="580"/>
      </w:pPr>
      <w:r>
        <w:rPr>
          <w:spacing w:val="1"/>
        </w:rPr>
        <w:t>应给出各试验项目对试验样品的检测要求，一般包括外</w:t>
      </w:r>
      <w:r>
        <w:t xml:space="preserve">观与结构检查项目、 </w:t>
      </w:r>
      <w:r>
        <w:rPr>
          <w:spacing w:val="10"/>
        </w:rPr>
        <w:t>功能检查项目和性能检测项目3个部分。</w:t>
      </w:r>
    </w:p>
    <w:p w14:paraId="7B99FAC6">
      <w:pPr>
        <w:pStyle w:val="2"/>
        <w:spacing w:before="1" w:line="279" w:lineRule="auto"/>
        <w:ind w:right="123" w:firstLine="580"/>
        <w:jc w:val="both"/>
      </w:pPr>
      <w:r>
        <w:rPr>
          <w:spacing w:val="5"/>
        </w:rPr>
        <w:t>试验前后应进行全面的外观与结构检查、功能检查和性能测试。由于试验</w:t>
      </w:r>
      <w:r>
        <w:rPr>
          <w:spacing w:val="10"/>
        </w:rPr>
        <w:t xml:space="preserve"> </w:t>
      </w:r>
      <w:r>
        <w:rPr>
          <w:spacing w:val="-3"/>
        </w:rPr>
        <w:t>设备和测试仪表等条件的限制，试验过程的中间检测往往不能全面实施，只能挑</w:t>
      </w:r>
      <w:r>
        <w:rPr>
          <w:spacing w:val="16"/>
        </w:rPr>
        <w:t xml:space="preserve"> </w:t>
      </w:r>
      <w:r>
        <w:rPr>
          <w:spacing w:val="-3"/>
        </w:rPr>
        <w:t>选一部分功能检查和性能测试项目进行。因此，制定试验大纲时，应合理确定试</w:t>
      </w:r>
      <w:r>
        <w:rPr>
          <w:spacing w:val="14"/>
        </w:rPr>
        <w:t xml:space="preserve"> </w:t>
      </w:r>
      <w:r>
        <w:rPr>
          <w:spacing w:val="-2"/>
        </w:rPr>
        <w:t>验中间检测项目。在许可条件下，中间检测项目应尽量完整，并明确试验过</w:t>
      </w:r>
      <w:r>
        <w:rPr>
          <w:spacing w:val="-3"/>
        </w:rPr>
        <w:t>程中</w:t>
      </w:r>
      <w:r>
        <w:t xml:space="preserve"> </w:t>
      </w:r>
      <w:r>
        <w:rPr>
          <w:spacing w:val="-4"/>
        </w:rPr>
        <w:t>间检测的最佳时机，以防止漏掉一些故障。</w:t>
      </w:r>
    </w:p>
    <w:p w14:paraId="38CEAC46">
      <w:pPr>
        <w:pStyle w:val="2"/>
        <w:spacing w:before="59" w:line="280" w:lineRule="auto"/>
        <w:ind w:right="147" w:firstLine="580"/>
        <w:jc w:val="both"/>
      </w:pPr>
      <w:r>
        <w:rPr>
          <w:spacing w:val="20"/>
        </w:rPr>
        <w:t>建议功能检查和性能检测项目分两张表列出，见表12.4和表12.5。功</w:t>
      </w:r>
      <w:r>
        <w:rPr>
          <w:spacing w:val="6"/>
        </w:rPr>
        <w:t xml:space="preserve"> </w:t>
      </w:r>
      <w:r>
        <w:rPr>
          <w:spacing w:val="14"/>
        </w:rPr>
        <w:t>能检查通常只是定性地判断产品是能否具备应有的功</w:t>
      </w:r>
      <w:r>
        <w:rPr>
          <w:spacing w:val="13"/>
        </w:rPr>
        <w:t>能，有功能只能说明能</w:t>
      </w:r>
      <w:r>
        <w:t xml:space="preserve"> </w:t>
      </w:r>
      <w:r>
        <w:rPr>
          <w:spacing w:val="5"/>
        </w:rPr>
        <w:t>工作，但不能代表其性能指标满足要求，因此，应对产品的各项性能进行详细</w:t>
      </w:r>
      <w:r>
        <w:rPr>
          <w:spacing w:val="15"/>
        </w:rPr>
        <w:t xml:space="preserve"> </w:t>
      </w:r>
      <w:r>
        <w:rPr>
          <w:spacing w:val="2"/>
        </w:rPr>
        <w:t>测量，以最终判断其是否能正常工作。</w:t>
      </w:r>
      <w:r>
        <w:rPr>
          <w:spacing w:val="-21"/>
        </w:rPr>
        <w:t xml:space="preserve"> </w:t>
      </w:r>
      <w:r>
        <w:rPr>
          <w:spacing w:val="2"/>
        </w:rPr>
        <w:t>一般说来，试验前和试验后的功能检查</w:t>
      </w:r>
      <w:r>
        <w:t xml:space="preserve"> </w:t>
      </w:r>
      <w:r>
        <w:rPr>
          <w:spacing w:val="14"/>
        </w:rPr>
        <w:t>和性能测量可以用相同的表，试验中间测量因</w:t>
      </w:r>
      <w:r>
        <w:rPr>
          <w:spacing w:val="13"/>
        </w:rPr>
        <w:t>功能检查和性能测量项目经过</w:t>
      </w:r>
      <w:r>
        <w:t xml:space="preserve"> </w:t>
      </w:r>
      <w:r>
        <w:rPr>
          <w:spacing w:val="9"/>
        </w:rPr>
        <w:t xml:space="preserve">裁剪而减小，最好另外单独列表，供试验中检测记录用。使用这2个表记录检 </w:t>
      </w:r>
      <w:r>
        <w:rPr>
          <w:spacing w:val="5"/>
        </w:rPr>
        <w:t>测到的功能情况和性能数据时，应在表的名称下注明检测时机是试验前、试验</w:t>
      </w:r>
      <w:r>
        <w:rPr>
          <w:spacing w:val="10"/>
        </w:rPr>
        <w:t xml:space="preserve"> </w:t>
      </w:r>
      <w:r>
        <w:rPr>
          <w:spacing w:val="-6"/>
        </w:rPr>
        <w:t>后，还是试验中。</w:t>
      </w:r>
    </w:p>
    <w:p w14:paraId="757F77E7">
      <w:pPr>
        <w:spacing w:line="280" w:lineRule="auto"/>
        <w:sectPr>
          <w:footerReference r:id="rId590" w:type="default"/>
          <w:pgSz w:w="11910" w:h="17130"/>
          <w:pgMar w:top="400" w:right="854" w:bottom="1613" w:left="1539" w:header="0" w:footer="1415" w:gutter="0"/>
          <w:cols w:space="720" w:num="1"/>
        </w:sectPr>
      </w:pPr>
    </w:p>
    <w:p w14:paraId="34817C79">
      <w:pPr>
        <w:rPr>
          <w:rFonts w:ascii="Arial"/>
          <w:sz w:val="21"/>
        </w:rPr>
      </w:pPr>
    </w:p>
    <w:p w14:paraId="530C68E7">
      <w:pPr>
        <w:rPr>
          <w:rFonts w:ascii="Arial"/>
          <w:sz w:val="21"/>
        </w:rPr>
      </w:pPr>
    </w:p>
    <w:p w14:paraId="68B4E26B">
      <w:pPr>
        <w:rPr>
          <w:rFonts w:ascii="Arial"/>
          <w:sz w:val="21"/>
        </w:rPr>
      </w:pPr>
    </w:p>
    <w:p w14:paraId="27BEC316">
      <w:pPr>
        <w:spacing w:line="241" w:lineRule="auto"/>
        <w:rPr>
          <w:rFonts w:ascii="Arial"/>
          <w:sz w:val="21"/>
        </w:rPr>
      </w:pPr>
    </w:p>
    <w:p w14:paraId="6BBE16A7">
      <w:pPr>
        <w:spacing w:before="78" w:line="220" w:lineRule="auto"/>
        <w:ind w:left="2879"/>
        <w:rPr>
          <w:rFonts w:ascii="仿宋" w:hAnsi="仿宋" w:eastAsia="仿宋" w:cs="仿宋"/>
          <w:sz w:val="24"/>
          <w:szCs w:val="24"/>
        </w:rPr>
      </w:pPr>
      <w:r>
        <w:rPr>
          <w:rFonts w:ascii="仿宋" w:hAnsi="仿宋" w:eastAsia="仿宋" w:cs="仿宋"/>
          <w:spacing w:val="26"/>
          <w:sz w:val="24"/>
          <w:szCs w:val="24"/>
        </w:rPr>
        <w:t>表12</w:t>
      </w:r>
      <w:r>
        <w:rPr>
          <w:rFonts w:ascii="仿宋" w:hAnsi="仿宋" w:eastAsia="仿宋" w:cs="仿宋"/>
          <w:spacing w:val="-51"/>
          <w:sz w:val="24"/>
          <w:szCs w:val="24"/>
        </w:rPr>
        <w:t xml:space="preserve"> </w:t>
      </w:r>
      <w:r>
        <w:rPr>
          <w:rFonts w:ascii="仿宋" w:hAnsi="仿宋" w:eastAsia="仿宋" w:cs="仿宋"/>
          <w:spacing w:val="26"/>
          <w:sz w:val="24"/>
          <w:szCs w:val="24"/>
        </w:rPr>
        <w:t>.</w:t>
      </w:r>
      <w:r>
        <w:rPr>
          <w:rFonts w:ascii="仿宋" w:hAnsi="仿宋" w:eastAsia="仿宋" w:cs="仿宋"/>
          <w:spacing w:val="-65"/>
          <w:sz w:val="24"/>
          <w:szCs w:val="24"/>
        </w:rPr>
        <w:t xml:space="preserve"> </w:t>
      </w:r>
      <w:r>
        <w:rPr>
          <w:rFonts w:ascii="仿宋" w:hAnsi="仿宋" w:eastAsia="仿宋" w:cs="仿宋"/>
          <w:spacing w:val="26"/>
          <w:sz w:val="24"/>
          <w:szCs w:val="24"/>
        </w:rPr>
        <w:t>4</w:t>
      </w:r>
      <w:r>
        <w:rPr>
          <w:rFonts w:ascii="仿宋" w:hAnsi="仿宋" w:eastAsia="仿宋" w:cs="仿宋"/>
          <w:spacing w:val="10"/>
          <w:sz w:val="24"/>
          <w:szCs w:val="24"/>
        </w:rPr>
        <w:t xml:space="preserve">  </w:t>
      </w:r>
      <w:r>
        <w:rPr>
          <w:rFonts w:ascii="仿宋" w:hAnsi="仿宋" w:eastAsia="仿宋" w:cs="仿宋"/>
          <w:spacing w:val="26"/>
          <w:sz w:val="24"/>
          <w:szCs w:val="24"/>
        </w:rPr>
        <w:t>产品功能检查记录表</w:t>
      </w:r>
    </w:p>
    <w:p w14:paraId="20383094">
      <w:pPr>
        <w:pStyle w:val="2"/>
        <w:spacing w:before="117" w:line="228" w:lineRule="auto"/>
        <w:ind w:left="300"/>
        <w:rPr>
          <w:sz w:val="22"/>
          <w:szCs w:val="22"/>
        </w:rPr>
      </w:pPr>
      <w:r>
        <w:rPr>
          <w:spacing w:val="2"/>
          <w:position w:val="-1"/>
          <w:sz w:val="22"/>
          <w:szCs w:val="22"/>
        </w:rPr>
        <w:t>试品编号：</w:t>
      </w:r>
      <w:r>
        <w:rPr>
          <w:spacing w:val="6"/>
          <w:position w:val="-1"/>
          <w:sz w:val="22"/>
          <w:szCs w:val="22"/>
        </w:rPr>
        <w:t xml:space="preserve">               </w:t>
      </w:r>
      <w:r>
        <w:rPr>
          <w:spacing w:val="2"/>
          <w:position w:val="-1"/>
          <w:sz w:val="22"/>
          <w:szCs w:val="22"/>
        </w:rPr>
        <w:t>试验项目：</w:t>
      </w:r>
      <w:r>
        <w:rPr>
          <w:position w:val="-1"/>
          <w:sz w:val="22"/>
          <w:szCs w:val="22"/>
        </w:rPr>
        <w:t xml:space="preserve">                                   </w:t>
      </w:r>
      <w:r>
        <w:rPr>
          <w:spacing w:val="2"/>
          <w:position w:val="3"/>
          <w:sz w:val="22"/>
          <w:szCs w:val="22"/>
        </w:rPr>
        <w:t>测试时机：</w:t>
      </w:r>
    </w:p>
    <w:p w14:paraId="50F2851F">
      <w:pPr>
        <w:spacing w:line="114" w:lineRule="exact"/>
      </w:pPr>
    </w:p>
    <w:tbl>
      <w:tblPr>
        <w:tblStyle w:val="5"/>
        <w:tblW w:w="936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2297"/>
        <w:gridCol w:w="2297"/>
        <w:gridCol w:w="829"/>
        <w:gridCol w:w="849"/>
        <w:gridCol w:w="2253"/>
      </w:tblGrid>
      <w:tr w14:paraId="31921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844" w:type="dxa"/>
            <w:vAlign w:val="top"/>
          </w:tcPr>
          <w:p w14:paraId="4D4BBA3B">
            <w:pPr>
              <w:spacing w:before="124" w:line="221" w:lineRule="auto"/>
              <w:ind w:left="204"/>
              <w:rPr>
                <w:rFonts w:ascii="宋体" w:hAnsi="宋体" w:eastAsia="宋体" w:cs="宋体"/>
                <w:sz w:val="21"/>
                <w:szCs w:val="21"/>
              </w:rPr>
            </w:pPr>
            <w:r>
              <w:rPr>
                <w:rFonts w:ascii="宋体" w:hAnsi="宋体" w:eastAsia="宋体" w:cs="宋体"/>
                <w:spacing w:val="6"/>
                <w:sz w:val="21"/>
                <w:szCs w:val="21"/>
              </w:rPr>
              <w:t>序号</w:t>
            </w:r>
          </w:p>
        </w:tc>
        <w:tc>
          <w:tcPr>
            <w:tcW w:w="2297" w:type="dxa"/>
            <w:vAlign w:val="top"/>
          </w:tcPr>
          <w:p w14:paraId="5B011593">
            <w:pPr>
              <w:spacing w:before="123" w:line="219" w:lineRule="auto"/>
              <w:ind w:left="531"/>
              <w:rPr>
                <w:rFonts w:ascii="宋体" w:hAnsi="宋体" w:eastAsia="宋体" w:cs="宋体"/>
                <w:sz w:val="21"/>
                <w:szCs w:val="21"/>
              </w:rPr>
            </w:pPr>
            <w:r>
              <w:rPr>
                <w:rFonts w:ascii="宋体" w:hAnsi="宋体" w:eastAsia="宋体" w:cs="宋体"/>
                <w:spacing w:val="6"/>
                <w:sz w:val="21"/>
                <w:szCs w:val="21"/>
              </w:rPr>
              <w:t>功能检查项目</w:t>
            </w:r>
          </w:p>
        </w:tc>
        <w:tc>
          <w:tcPr>
            <w:tcW w:w="2297" w:type="dxa"/>
            <w:vAlign w:val="top"/>
          </w:tcPr>
          <w:p w14:paraId="44CC250D">
            <w:pPr>
              <w:spacing w:before="124" w:line="220" w:lineRule="auto"/>
              <w:ind w:left="213"/>
              <w:rPr>
                <w:rFonts w:ascii="宋体" w:hAnsi="宋体" w:eastAsia="宋体" w:cs="宋体"/>
                <w:sz w:val="21"/>
                <w:szCs w:val="21"/>
              </w:rPr>
            </w:pPr>
            <w:r>
              <w:rPr>
                <w:rFonts w:ascii="宋体" w:hAnsi="宋体" w:eastAsia="宋体" w:cs="宋体"/>
                <w:spacing w:val="1"/>
                <w:sz w:val="21"/>
                <w:szCs w:val="21"/>
              </w:rPr>
              <w:t>功能正常的定性要求</w:t>
            </w:r>
          </w:p>
        </w:tc>
        <w:tc>
          <w:tcPr>
            <w:tcW w:w="1678" w:type="dxa"/>
            <w:gridSpan w:val="2"/>
            <w:vAlign w:val="top"/>
          </w:tcPr>
          <w:p w14:paraId="7C1DFB2B">
            <w:pPr>
              <w:spacing w:before="123" w:line="219" w:lineRule="auto"/>
              <w:ind w:left="416"/>
              <w:rPr>
                <w:rFonts w:ascii="宋体" w:hAnsi="宋体" w:eastAsia="宋体" w:cs="宋体"/>
                <w:sz w:val="21"/>
                <w:szCs w:val="21"/>
              </w:rPr>
            </w:pPr>
            <w:r>
              <w:rPr>
                <w:rFonts w:ascii="宋体" w:hAnsi="宋体" w:eastAsia="宋体" w:cs="宋体"/>
                <w:spacing w:val="-2"/>
                <w:sz w:val="21"/>
                <w:szCs w:val="21"/>
              </w:rPr>
              <w:t>检查情况</w:t>
            </w:r>
          </w:p>
        </w:tc>
        <w:tc>
          <w:tcPr>
            <w:tcW w:w="2253" w:type="dxa"/>
            <w:vAlign w:val="top"/>
          </w:tcPr>
          <w:p w14:paraId="784CF474">
            <w:pPr>
              <w:spacing w:before="123" w:line="219" w:lineRule="auto"/>
              <w:ind w:left="708"/>
              <w:rPr>
                <w:rFonts w:ascii="宋体" w:hAnsi="宋体" w:eastAsia="宋体" w:cs="宋体"/>
                <w:sz w:val="21"/>
                <w:szCs w:val="21"/>
              </w:rPr>
            </w:pPr>
            <w:r>
              <w:rPr>
                <w:rFonts w:ascii="宋体" w:hAnsi="宋体" w:eastAsia="宋体" w:cs="宋体"/>
                <w:spacing w:val="2"/>
                <w:sz w:val="21"/>
                <w:szCs w:val="21"/>
              </w:rPr>
              <w:t>结果判断</w:t>
            </w:r>
          </w:p>
        </w:tc>
      </w:tr>
      <w:tr w14:paraId="41CC0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44" w:type="dxa"/>
            <w:vAlign w:val="top"/>
          </w:tcPr>
          <w:p w14:paraId="518AC449">
            <w:pPr>
              <w:spacing w:before="151" w:line="241" w:lineRule="auto"/>
              <w:ind w:left="354"/>
              <w:rPr>
                <w:rFonts w:ascii="宋体" w:hAnsi="宋体" w:eastAsia="宋体" w:cs="宋体"/>
                <w:sz w:val="21"/>
                <w:szCs w:val="21"/>
              </w:rPr>
            </w:pPr>
            <w:r>
              <w:rPr>
                <w:rFonts w:ascii="宋体" w:hAnsi="宋体" w:eastAsia="宋体" w:cs="宋体"/>
                <w:sz w:val="21"/>
                <w:szCs w:val="21"/>
              </w:rPr>
              <w:t>1</w:t>
            </w:r>
          </w:p>
        </w:tc>
        <w:tc>
          <w:tcPr>
            <w:tcW w:w="2297" w:type="dxa"/>
            <w:vAlign w:val="top"/>
          </w:tcPr>
          <w:p w14:paraId="6B115DB8">
            <w:pPr>
              <w:pStyle w:val="6"/>
            </w:pPr>
          </w:p>
        </w:tc>
        <w:tc>
          <w:tcPr>
            <w:tcW w:w="2297" w:type="dxa"/>
            <w:vAlign w:val="top"/>
          </w:tcPr>
          <w:p w14:paraId="3B3B742C">
            <w:pPr>
              <w:pStyle w:val="6"/>
            </w:pPr>
          </w:p>
        </w:tc>
        <w:tc>
          <w:tcPr>
            <w:tcW w:w="1678" w:type="dxa"/>
            <w:gridSpan w:val="2"/>
            <w:vAlign w:val="top"/>
          </w:tcPr>
          <w:p w14:paraId="64348A9F">
            <w:pPr>
              <w:pStyle w:val="6"/>
            </w:pPr>
          </w:p>
        </w:tc>
        <w:tc>
          <w:tcPr>
            <w:tcW w:w="2253" w:type="dxa"/>
            <w:vAlign w:val="top"/>
          </w:tcPr>
          <w:p w14:paraId="5C16E18A">
            <w:pPr>
              <w:pStyle w:val="6"/>
            </w:pPr>
          </w:p>
        </w:tc>
      </w:tr>
      <w:tr w14:paraId="78EFD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844" w:type="dxa"/>
            <w:vAlign w:val="top"/>
          </w:tcPr>
          <w:p w14:paraId="6D23AFE8">
            <w:pPr>
              <w:spacing w:before="142" w:line="241" w:lineRule="auto"/>
              <w:ind w:left="354"/>
              <w:rPr>
                <w:rFonts w:ascii="宋体" w:hAnsi="宋体" w:eastAsia="宋体" w:cs="宋体"/>
                <w:sz w:val="21"/>
                <w:szCs w:val="21"/>
              </w:rPr>
            </w:pPr>
            <w:r>
              <w:rPr>
                <w:rFonts w:ascii="宋体" w:hAnsi="宋体" w:eastAsia="宋体" w:cs="宋体"/>
                <w:sz w:val="21"/>
                <w:szCs w:val="21"/>
              </w:rPr>
              <w:t>2</w:t>
            </w:r>
          </w:p>
        </w:tc>
        <w:tc>
          <w:tcPr>
            <w:tcW w:w="2297" w:type="dxa"/>
            <w:vAlign w:val="top"/>
          </w:tcPr>
          <w:p w14:paraId="21B0EA53">
            <w:pPr>
              <w:pStyle w:val="6"/>
            </w:pPr>
          </w:p>
        </w:tc>
        <w:tc>
          <w:tcPr>
            <w:tcW w:w="2297" w:type="dxa"/>
            <w:vAlign w:val="top"/>
          </w:tcPr>
          <w:p w14:paraId="3AC92066">
            <w:pPr>
              <w:pStyle w:val="6"/>
            </w:pPr>
          </w:p>
        </w:tc>
        <w:tc>
          <w:tcPr>
            <w:tcW w:w="1678" w:type="dxa"/>
            <w:gridSpan w:val="2"/>
            <w:vAlign w:val="top"/>
          </w:tcPr>
          <w:p w14:paraId="00F9AF3E">
            <w:pPr>
              <w:pStyle w:val="6"/>
            </w:pPr>
          </w:p>
        </w:tc>
        <w:tc>
          <w:tcPr>
            <w:tcW w:w="2253" w:type="dxa"/>
            <w:vAlign w:val="top"/>
          </w:tcPr>
          <w:p w14:paraId="43CF683A">
            <w:pPr>
              <w:pStyle w:val="6"/>
            </w:pPr>
          </w:p>
        </w:tc>
      </w:tr>
      <w:tr w14:paraId="52B0D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44" w:type="dxa"/>
            <w:vAlign w:val="top"/>
          </w:tcPr>
          <w:p w14:paraId="207EE425">
            <w:pPr>
              <w:spacing w:before="144" w:line="295" w:lineRule="exact"/>
              <w:ind w:left="305"/>
              <w:rPr>
                <w:rFonts w:ascii="宋体" w:hAnsi="宋体" w:eastAsia="宋体" w:cs="宋体"/>
                <w:sz w:val="21"/>
                <w:szCs w:val="21"/>
              </w:rPr>
            </w:pPr>
            <w:r>
              <w:rPr>
                <w:rFonts w:ascii="宋体" w:hAnsi="宋体" w:eastAsia="宋体" w:cs="宋体"/>
                <w:position w:val="1"/>
                <w:sz w:val="21"/>
                <w:szCs w:val="21"/>
              </w:rPr>
              <w:t>…</w:t>
            </w:r>
          </w:p>
        </w:tc>
        <w:tc>
          <w:tcPr>
            <w:tcW w:w="2297" w:type="dxa"/>
            <w:vAlign w:val="top"/>
          </w:tcPr>
          <w:p w14:paraId="0005F049">
            <w:pPr>
              <w:pStyle w:val="6"/>
            </w:pPr>
          </w:p>
        </w:tc>
        <w:tc>
          <w:tcPr>
            <w:tcW w:w="2297" w:type="dxa"/>
            <w:vAlign w:val="top"/>
          </w:tcPr>
          <w:p w14:paraId="23741B2C">
            <w:pPr>
              <w:pStyle w:val="6"/>
            </w:pPr>
          </w:p>
        </w:tc>
        <w:tc>
          <w:tcPr>
            <w:tcW w:w="1678" w:type="dxa"/>
            <w:gridSpan w:val="2"/>
            <w:vAlign w:val="top"/>
          </w:tcPr>
          <w:p w14:paraId="746D1FBD">
            <w:pPr>
              <w:pStyle w:val="6"/>
            </w:pPr>
          </w:p>
        </w:tc>
        <w:tc>
          <w:tcPr>
            <w:tcW w:w="2253" w:type="dxa"/>
            <w:vAlign w:val="top"/>
          </w:tcPr>
          <w:p w14:paraId="4C86B0EB">
            <w:pPr>
              <w:pStyle w:val="6"/>
            </w:pPr>
          </w:p>
        </w:tc>
      </w:tr>
      <w:tr w14:paraId="5B04C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844" w:type="dxa"/>
            <w:vAlign w:val="top"/>
          </w:tcPr>
          <w:p w14:paraId="285D9192">
            <w:pPr>
              <w:spacing w:before="225" w:line="161" w:lineRule="exact"/>
              <w:ind w:left="354"/>
              <w:rPr>
                <w:rFonts w:ascii="宋体" w:hAnsi="宋体" w:eastAsia="宋体" w:cs="宋体"/>
                <w:sz w:val="21"/>
                <w:szCs w:val="21"/>
              </w:rPr>
            </w:pPr>
            <w:r>
              <w:rPr>
                <w:rFonts w:ascii="宋体" w:hAnsi="宋体" w:eastAsia="宋体" w:cs="宋体"/>
                <w:sz w:val="21"/>
                <w:szCs w:val="21"/>
              </w:rPr>
              <w:t>n</w:t>
            </w:r>
          </w:p>
        </w:tc>
        <w:tc>
          <w:tcPr>
            <w:tcW w:w="2297" w:type="dxa"/>
            <w:vAlign w:val="top"/>
          </w:tcPr>
          <w:p w14:paraId="2DE1F14A">
            <w:pPr>
              <w:pStyle w:val="6"/>
            </w:pPr>
          </w:p>
        </w:tc>
        <w:tc>
          <w:tcPr>
            <w:tcW w:w="2297" w:type="dxa"/>
            <w:vAlign w:val="top"/>
          </w:tcPr>
          <w:p w14:paraId="2AD40BBA">
            <w:pPr>
              <w:pStyle w:val="6"/>
            </w:pPr>
          </w:p>
        </w:tc>
        <w:tc>
          <w:tcPr>
            <w:tcW w:w="1678" w:type="dxa"/>
            <w:gridSpan w:val="2"/>
            <w:vAlign w:val="top"/>
          </w:tcPr>
          <w:p w14:paraId="65AF11CC">
            <w:pPr>
              <w:pStyle w:val="6"/>
            </w:pPr>
          </w:p>
        </w:tc>
        <w:tc>
          <w:tcPr>
            <w:tcW w:w="2253" w:type="dxa"/>
            <w:vAlign w:val="top"/>
          </w:tcPr>
          <w:p w14:paraId="6B1D57B4">
            <w:pPr>
              <w:pStyle w:val="6"/>
            </w:pPr>
          </w:p>
        </w:tc>
      </w:tr>
      <w:tr w14:paraId="5CB3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3141" w:type="dxa"/>
            <w:gridSpan w:val="2"/>
            <w:vAlign w:val="top"/>
          </w:tcPr>
          <w:p w14:paraId="3129711E">
            <w:pPr>
              <w:spacing w:before="136" w:line="219" w:lineRule="auto"/>
              <w:ind w:left="1054"/>
              <w:rPr>
                <w:rFonts w:ascii="宋体" w:hAnsi="宋体" w:eastAsia="宋体" w:cs="宋体"/>
                <w:sz w:val="21"/>
                <w:szCs w:val="21"/>
              </w:rPr>
            </w:pPr>
            <w:r>
              <w:rPr>
                <w:rFonts w:ascii="宋体" w:hAnsi="宋体" w:eastAsia="宋体" w:cs="宋体"/>
                <w:spacing w:val="-2"/>
                <w:sz w:val="21"/>
                <w:szCs w:val="21"/>
              </w:rPr>
              <w:t>试验方签字</w:t>
            </w:r>
          </w:p>
        </w:tc>
        <w:tc>
          <w:tcPr>
            <w:tcW w:w="3126" w:type="dxa"/>
            <w:gridSpan w:val="2"/>
            <w:vAlign w:val="top"/>
          </w:tcPr>
          <w:p w14:paraId="6F97697A">
            <w:pPr>
              <w:spacing w:before="136" w:line="219" w:lineRule="auto"/>
              <w:ind w:left="1053"/>
              <w:rPr>
                <w:rFonts w:ascii="宋体" w:hAnsi="宋体" w:eastAsia="宋体" w:cs="宋体"/>
                <w:sz w:val="21"/>
                <w:szCs w:val="21"/>
              </w:rPr>
            </w:pPr>
            <w:r>
              <w:rPr>
                <w:rFonts w:ascii="宋体" w:hAnsi="宋体" w:eastAsia="宋体" w:cs="宋体"/>
                <w:spacing w:val="-2"/>
                <w:sz w:val="21"/>
                <w:szCs w:val="21"/>
              </w:rPr>
              <w:t>送试方签字</w:t>
            </w:r>
          </w:p>
        </w:tc>
        <w:tc>
          <w:tcPr>
            <w:tcW w:w="3102" w:type="dxa"/>
            <w:gridSpan w:val="2"/>
            <w:vAlign w:val="top"/>
          </w:tcPr>
          <w:p w14:paraId="238B0008">
            <w:pPr>
              <w:spacing w:before="135" w:line="219" w:lineRule="auto"/>
              <w:ind w:left="927"/>
              <w:rPr>
                <w:rFonts w:ascii="宋体" w:hAnsi="宋体" w:eastAsia="宋体" w:cs="宋体"/>
                <w:sz w:val="21"/>
                <w:szCs w:val="21"/>
              </w:rPr>
            </w:pPr>
            <w:r>
              <w:rPr>
                <w:rFonts w:ascii="宋体" w:hAnsi="宋体" w:eastAsia="宋体" w:cs="宋体"/>
                <w:spacing w:val="1"/>
                <w:sz w:val="21"/>
                <w:szCs w:val="21"/>
              </w:rPr>
              <w:t>军事代表签字</w:t>
            </w:r>
          </w:p>
        </w:tc>
      </w:tr>
      <w:tr w14:paraId="7ABB5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3141" w:type="dxa"/>
            <w:gridSpan w:val="2"/>
            <w:vAlign w:val="top"/>
          </w:tcPr>
          <w:p w14:paraId="0A2457E0">
            <w:pPr>
              <w:pStyle w:val="6"/>
            </w:pPr>
          </w:p>
        </w:tc>
        <w:tc>
          <w:tcPr>
            <w:tcW w:w="3126" w:type="dxa"/>
            <w:gridSpan w:val="2"/>
            <w:vAlign w:val="top"/>
          </w:tcPr>
          <w:p w14:paraId="4688DF10">
            <w:pPr>
              <w:pStyle w:val="6"/>
            </w:pPr>
          </w:p>
        </w:tc>
        <w:tc>
          <w:tcPr>
            <w:tcW w:w="3102" w:type="dxa"/>
            <w:gridSpan w:val="2"/>
            <w:vAlign w:val="top"/>
          </w:tcPr>
          <w:p w14:paraId="375E5DAC">
            <w:pPr>
              <w:pStyle w:val="6"/>
            </w:pPr>
          </w:p>
        </w:tc>
      </w:tr>
    </w:tbl>
    <w:p w14:paraId="2B535A60">
      <w:pPr>
        <w:spacing w:before="220" w:line="220" w:lineRule="auto"/>
        <w:ind w:left="2470"/>
        <w:rPr>
          <w:rFonts w:ascii="仿宋" w:hAnsi="仿宋" w:eastAsia="仿宋" w:cs="仿宋"/>
          <w:sz w:val="27"/>
          <w:szCs w:val="27"/>
        </w:rPr>
      </w:pPr>
      <w:r>
        <w:rPr>
          <w:rFonts w:ascii="仿宋" w:hAnsi="仿宋" w:eastAsia="仿宋" w:cs="仿宋"/>
          <w:spacing w:val="8"/>
          <w:sz w:val="27"/>
          <w:szCs w:val="27"/>
        </w:rPr>
        <w:t>表12.5</w:t>
      </w:r>
      <w:r>
        <w:rPr>
          <w:rFonts w:ascii="仿宋" w:hAnsi="仿宋" w:eastAsia="仿宋" w:cs="仿宋"/>
          <w:spacing w:val="139"/>
          <w:sz w:val="27"/>
          <w:szCs w:val="27"/>
        </w:rPr>
        <w:t xml:space="preserve"> </w:t>
      </w:r>
      <w:r>
        <w:rPr>
          <w:rFonts w:ascii="仿宋" w:hAnsi="仿宋" w:eastAsia="仿宋" w:cs="仿宋"/>
          <w:spacing w:val="8"/>
          <w:sz w:val="27"/>
          <w:szCs w:val="27"/>
        </w:rPr>
        <w:t>产品性能测量和记录格式表</w:t>
      </w:r>
    </w:p>
    <w:p w14:paraId="152E6565">
      <w:pPr>
        <w:pStyle w:val="2"/>
        <w:spacing w:before="100" w:line="220" w:lineRule="auto"/>
        <w:ind w:left="259"/>
        <w:rPr>
          <w:sz w:val="22"/>
          <w:szCs w:val="22"/>
        </w:rPr>
      </w:pPr>
      <w:r>
        <w:rPr>
          <w:spacing w:val="2"/>
          <w:sz w:val="22"/>
          <w:szCs w:val="22"/>
        </w:rPr>
        <w:t>试品编号：</w:t>
      </w:r>
      <w:r>
        <w:rPr>
          <w:spacing w:val="6"/>
          <w:sz w:val="22"/>
          <w:szCs w:val="22"/>
        </w:rPr>
        <w:t xml:space="preserve">             </w:t>
      </w:r>
      <w:r>
        <w:rPr>
          <w:spacing w:val="2"/>
          <w:sz w:val="22"/>
          <w:szCs w:val="22"/>
        </w:rPr>
        <w:t xml:space="preserve">试验项目：                                    </w:t>
      </w:r>
      <w:r>
        <w:rPr>
          <w:spacing w:val="1"/>
          <w:sz w:val="22"/>
          <w:szCs w:val="22"/>
        </w:rPr>
        <w:t xml:space="preserve"> 测试时机：</w:t>
      </w:r>
    </w:p>
    <w:p w14:paraId="12B318DA">
      <w:pPr>
        <w:spacing w:line="135" w:lineRule="exact"/>
      </w:pPr>
    </w:p>
    <w:tbl>
      <w:tblPr>
        <w:tblStyle w:val="5"/>
        <w:tblW w:w="936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1658"/>
        <w:gridCol w:w="639"/>
        <w:gridCol w:w="1039"/>
        <w:gridCol w:w="1668"/>
        <w:gridCol w:w="420"/>
        <w:gridCol w:w="1258"/>
        <w:gridCol w:w="1843"/>
      </w:tblGrid>
      <w:tr w14:paraId="48A3C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844" w:type="dxa"/>
            <w:vAlign w:val="top"/>
          </w:tcPr>
          <w:p w14:paraId="279123F9">
            <w:pPr>
              <w:spacing w:before="124" w:line="221" w:lineRule="auto"/>
              <w:ind w:left="204"/>
              <w:rPr>
                <w:rFonts w:ascii="宋体" w:hAnsi="宋体" w:eastAsia="宋体" w:cs="宋体"/>
                <w:sz w:val="21"/>
                <w:szCs w:val="21"/>
              </w:rPr>
            </w:pPr>
            <w:r>
              <w:rPr>
                <w:rFonts w:ascii="宋体" w:hAnsi="宋体" w:eastAsia="宋体" w:cs="宋体"/>
                <w:spacing w:val="6"/>
                <w:sz w:val="21"/>
                <w:szCs w:val="21"/>
              </w:rPr>
              <w:t>序号</w:t>
            </w:r>
          </w:p>
        </w:tc>
        <w:tc>
          <w:tcPr>
            <w:tcW w:w="1658" w:type="dxa"/>
            <w:vAlign w:val="top"/>
          </w:tcPr>
          <w:p w14:paraId="563F47DC">
            <w:pPr>
              <w:spacing w:before="123" w:line="219" w:lineRule="auto"/>
              <w:ind w:left="210"/>
              <w:rPr>
                <w:rFonts w:ascii="宋体" w:hAnsi="宋体" w:eastAsia="宋体" w:cs="宋体"/>
                <w:sz w:val="21"/>
                <w:szCs w:val="21"/>
              </w:rPr>
            </w:pPr>
            <w:r>
              <w:rPr>
                <w:rFonts w:ascii="宋体" w:hAnsi="宋体" w:eastAsia="宋体" w:cs="宋体"/>
                <w:spacing w:val="6"/>
                <w:sz w:val="21"/>
                <w:szCs w:val="21"/>
              </w:rPr>
              <w:t>性能检测项目</w:t>
            </w:r>
          </w:p>
        </w:tc>
        <w:tc>
          <w:tcPr>
            <w:tcW w:w="1678" w:type="dxa"/>
            <w:gridSpan w:val="2"/>
            <w:vAlign w:val="top"/>
          </w:tcPr>
          <w:p w14:paraId="3655007A">
            <w:pPr>
              <w:spacing w:before="123" w:line="219" w:lineRule="auto"/>
              <w:ind w:left="422"/>
              <w:rPr>
                <w:rFonts w:ascii="宋体" w:hAnsi="宋体" w:eastAsia="宋体" w:cs="宋体"/>
                <w:sz w:val="21"/>
                <w:szCs w:val="21"/>
              </w:rPr>
            </w:pPr>
            <w:r>
              <w:rPr>
                <w:rFonts w:ascii="宋体" w:hAnsi="宋体" w:eastAsia="宋体" w:cs="宋体"/>
                <w:spacing w:val="-2"/>
                <w:sz w:val="21"/>
                <w:szCs w:val="21"/>
              </w:rPr>
              <w:t>测试内容</w:t>
            </w:r>
          </w:p>
        </w:tc>
        <w:tc>
          <w:tcPr>
            <w:tcW w:w="1668" w:type="dxa"/>
            <w:vAlign w:val="top"/>
          </w:tcPr>
          <w:p w14:paraId="46D7AEC4">
            <w:pPr>
              <w:spacing w:before="123" w:line="219" w:lineRule="auto"/>
              <w:ind w:left="415"/>
              <w:rPr>
                <w:rFonts w:ascii="宋体" w:hAnsi="宋体" w:eastAsia="宋体" w:cs="宋体"/>
                <w:sz w:val="21"/>
                <w:szCs w:val="21"/>
              </w:rPr>
            </w:pPr>
            <w:r>
              <w:rPr>
                <w:rFonts w:ascii="宋体" w:hAnsi="宋体" w:eastAsia="宋体" w:cs="宋体"/>
                <w:spacing w:val="4"/>
                <w:sz w:val="21"/>
                <w:szCs w:val="21"/>
              </w:rPr>
              <w:t>合格范围</w:t>
            </w:r>
          </w:p>
        </w:tc>
        <w:tc>
          <w:tcPr>
            <w:tcW w:w="1678" w:type="dxa"/>
            <w:gridSpan w:val="2"/>
            <w:vAlign w:val="top"/>
          </w:tcPr>
          <w:p w14:paraId="331EC100">
            <w:pPr>
              <w:spacing w:before="123" w:line="219" w:lineRule="auto"/>
              <w:ind w:left="526"/>
              <w:rPr>
                <w:rFonts w:ascii="宋体" w:hAnsi="宋体" w:eastAsia="宋体" w:cs="宋体"/>
                <w:sz w:val="21"/>
                <w:szCs w:val="21"/>
              </w:rPr>
            </w:pPr>
            <w:r>
              <w:rPr>
                <w:rFonts w:ascii="宋体" w:hAnsi="宋体" w:eastAsia="宋体" w:cs="宋体"/>
                <w:spacing w:val="-3"/>
                <w:sz w:val="21"/>
                <w:szCs w:val="21"/>
              </w:rPr>
              <w:t>测量值</w:t>
            </w:r>
          </w:p>
        </w:tc>
        <w:tc>
          <w:tcPr>
            <w:tcW w:w="1843" w:type="dxa"/>
            <w:vAlign w:val="top"/>
          </w:tcPr>
          <w:p w14:paraId="65200E3E">
            <w:pPr>
              <w:spacing w:before="123" w:line="219" w:lineRule="auto"/>
              <w:ind w:left="498"/>
              <w:rPr>
                <w:rFonts w:ascii="宋体" w:hAnsi="宋体" w:eastAsia="宋体" w:cs="宋体"/>
                <w:sz w:val="21"/>
                <w:szCs w:val="21"/>
              </w:rPr>
            </w:pPr>
            <w:r>
              <w:rPr>
                <w:rFonts w:ascii="宋体" w:hAnsi="宋体" w:eastAsia="宋体" w:cs="宋体"/>
                <w:spacing w:val="2"/>
                <w:sz w:val="21"/>
                <w:szCs w:val="21"/>
              </w:rPr>
              <w:t>结果判断</w:t>
            </w:r>
          </w:p>
        </w:tc>
      </w:tr>
      <w:tr w14:paraId="69D4B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844" w:type="dxa"/>
            <w:vAlign w:val="top"/>
          </w:tcPr>
          <w:p w14:paraId="7FB8F146">
            <w:pPr>
              <w:spacing w:before="140" w:line="241" w:lineRule="auto"/>
              <w:ind w:left="354"/>
              <w:rPr>
                <w:rFonts w:ascii="宋体" w:hAnsi="宋体" w:eastAsia="宋体" w:cs="宋体"/>
                <w:sz w:val="21"/>
                <w:szCs w:val="21"/>
              </w:rPr>
            </w:pPr>
            <w:r>
              <w:rPr>
                <w:rFonts w:ascii="宋体" w:hAnsi="宋体" w:eastAsia="宋体" w:cs="宋体"/>
                <w:sz w:val="21"/>
                <w:szCs w:val="21"/>
              </w:rPr>
              <w:t>1</w:t>
            </w:r>
          </w:p>
        </w:tc>
        <w:tc>
          <w:tcPr>
            <w:tcW w:w="1658" w:type="dxa"/>
            <w:vAlign w:val="top"/>
          </w:tcPr>
          <w:p w14:paraId="14D3D434">
            <w:pPr>
              <w:pStyle w:val="6"/>
            </w:pPr>
          </w:p>
        </w:tc>
        <w:tc>
          <w:tcPr>
            <w:tcW w:w="1678" w:type="dxa"/>
            <w:gridSpan w:val="2"/>
            <w:vAlign w:val="top"/>
          </w:tcPr>
          <w:p w14:paraId="77C42568">
            <w:pPr>
              <w:pStyle w:val="6"/>
            </w:pPr>
          </w:p>
        </w:tc>
        <w:tc>
          <w:tcPr>
            <w:tcW w:w="1668" w:type="dxa"/>
            <w:vAlign w:val="top"/>
          </w:tcPr>
          <w:p w14:paraId="2C00AB48">
            <w:pPr>
              <w:pStyle w:val="6"/>
            </w:pPr>
          </w:p>
        </w:tc>
        <w:tc>
          <w:tcPr>
            <w:tcW w:w="1678" w:type="dxa"/>
            <w:gridSpan w:val="2"/>
            <w:vAlign w:val="top"/>
          </w:tcPr>
          <w:p w14:paraId="4C8EB227">
            <w:pPr>
              <w:pStyle w:val="6"/>
            </w:pPr>
          </w:p>
        </w:tc>
        <w:tc>
          <w:tcPr>
            <w:tcW w:w="1843" w:type="dxa"/>
            <w:vAlign w:val="top"/>
          </w:tcPr>
          <w:p w14:paraId="44EB3C2D">
            <w:pPr>
              <w:pStyle w:val="6"/>
            </w:pPr>
          </w:p>
        </w:tc>
      </w:tr>
      <w:tr w14:paraId="1969D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844" w:type="dxa"/>
            <w:vAlign w:val="top"/>
          </w:tcPr>
          <w:p w14:paraId="6D2FBD1E">
            <w:pPr>
              <w:spacing w:before="142" w:line="241" w:lineRule="auto"/>
              <w:ind w:left="354"/>
              <w:rPr>
                <w:rFonts w:ascii="宋体" w:hAnsi="宋体" w:eastAsia="宋体" w:cs="宋体"/>
                <w:sz w:val="21"/>
                <w:szCs w:val="21"/>
              </w:rPr>
            </w:pPr>
            <w:r>
              <w:rPr>
                <w:rFonts w:ascii="宋体" w:hAnsi="宋体" w:eastAsia="宋体" w:cs="宋体"/>
                <w:sz w:val="21"/>
                <w:szCs w:val="21"/>
              </w:rPr>
              <w:t>2</w:t>
            </w:r>
          </w:p>
        </w:tc>
        <w:tc>
          <w:tcPr>
            <w:tcW w:w="1658" w:type="dxa"/>
            <w:vAlign w:val="top"/>
          </w:tcPr>
          <w:p w14:paraId="3A1578B1">
            <w:pPr>
              <w:pStyle w:val="6"/>
            </w:pPr>
          </w:p>
        </w:tc>
        <w:tc>
          <w:tcPr>
            <w:tcW w:w="1678" w:type="dxa"/>
            <w:gridSpan w:val="2"/>
            <w:vAlign w:val="top"/>
          </w:tcPr>
          <w:p w14:paraId="64C0C63E">
            <w:pPr>
              <w:pStyle w:val="6"/>
            </w:pPr>
          </w:p>
        </w:tc>
        <w:tc>
          <w:tcPr>
            <w:tcW w:w="1668" w:type="dxa"/>
            <w:vAlign w:val="top"/>
          </w:tcPr>
          <w:p w14:paraId="2DFA9809">
            <w:pPr>
              <w:pStyle w:val="6"/>
            </w:pPr>
          </w:p>
        </w:tc>
        <w:tc>
          <w:tcPr>
            <w:tcW w:w="1678" w:type="dxa"/>
            <w:gridSpan w:val="2"/>
            <w:vAlign w:val="top"/>
          </w:tcPr>
          <w:p w14:paraId="75BD7CC7">
            <w:pPr>
              <w:pStyle w:val="6"/>
            </w:pPr>
          </w:p>
        </w:tc>
        <w:tc>
          <w:tcPr>
            <w:tcW w:w="1843" w:type="dxa"/>
            <w:vAlign w:val="top"/>
          </w:tcPr>
          <w:p w14:paraId="574AE2C4">
            <w:pPr>
              <w:pStyle w:val="6"/>
            </w:pPr>
          </w:p>
        </w:tc>
      </w:tr>
      <w:tr w14:paraId="54866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844" w:type="dxa"/>
            <w:vAlign w:val="top"/>
          </w:tcPr>
          <w:p w14:paraId="0B033B2D">
            <w:pPr>
              <w:spacing w:before="154" w:line="293" w:lineRule="exact"/>
              <w:ind w:left="305"/>
              <w:rPr>
                <w:rFonts w:ascii="宋体" w:hAnsi="宋体" w:eastAsia="宋体" w:cs="宋体"/>
                <w:sz w:val="21"/>
                <w:szCs w:val="21"/>
              </w:rPr>
            </w:pPr>
            <w:r>
              <w:rPr>
                <w:rFonts w:ascii="宋体" w:hAnsi="宋体" w:eastAsia="宋体" w:cs="宋体"/>
                <w:position w:val="1"/>
                <w:sz w:val="21"/>
                <w:szCs w:val="21"/>
              </w:rPr>
              <w:t>…</w:t>
            </w:r>
          </w:p>
        </w:tc>
        <w:tc>
          <w:tcPr>
            <w:tcW w:w="1658" w:type="dxa"/>
            <w:vAlign w:val="top"/>
          </w:tcPr>
          <w:p w14:paraId="402A0CC1">
            <w:pPr>
              <w:pStyle w:val="6"/>
            </w:pPr>
          </w:p>
        </w:tc>
        <w:tc>
          <w:tcPr>
            <w:tcW w:w="1678" w:type="dxa"/>
            <w:gridSpan w:val="2"/>
            <w:vAlign w:val="top"/>
          </w:tcPr>
          <w:p w14:paraId="02273056">
            <w:pPr>
              <w:pStyle w:val="6"/>
            </w:pPr>
          </w:p>
        </w:tc>
        <w:tc>
          <w:tcPr>
            <w:tcW w:w="1668" w:type="dxa"/>
            <w:vAlign w:val="top"/>
          </w:tcPr>
          <w:p w14:paraId="0EBAD556">
            <w:pPr>
              <w:pStyle w:val="6"/>
            </w:pPr>
          </w:p>
        </w:tc>
        <w:tc>
          <w:tcPr>
            <w:tcW w:w="1678" w:type="dxa"/>
            <w:gridSpan w:val="2"/>
            <w:vAlign w:val="top"/>
          </w:tcPr>
          <w:p w14:paraId="5C064A9E">
            <w:pPr>
              <w:pStyle w:val="6"/>
            </w:pPr>
          </w:p>
        </w:tc>
        <w:tc>
          <w:tcPr>
            <w:tcW w:w="1843" w:type="dxa"/>
            <w:vAlign w:val="top"/>
          </w:tcPr>
          <w:p w14:paraId="2887ED6F">
            <w:pPr>
              <w:pStyle w:val="6"/>
            </w:pPr>
          </w:p>
        </w:tc>
      </w:tr>
      <w:tr w14:paraId="2C5BB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44" w:type="dxa"/>
            <w:vAlign w:val="top"/>
          </w:tcPr>
          <w:p w14:paraId="1F45C090">
            <w:pPr>
              <w:spacing w:before="226" w:line="161" w:lineRule="exact"/>
              <w:ind w:left="354"/>
              <w:rPr>
                <w:rFonts w:ascii="宋体" w:hAnsi="宋体" w:eastAsia="宋体" w:cs="宋体"/>
                <w:sz w:val="21"/>
                <w:szCs w:val="21"/>
              </w:rPr>
            </w:pPr>
            <w:r>
              <w:rPr>
                <w:rFonts w:ascii="宋体" w:hAnsi="宋体" w:eastAsia="宋体" w:cs="宋体"/>
                <w:sz w:val="21"/>
                <w:szCs w:val="21"/>
              </w:rPr>
              <w:t>n</w:t>
            </w:r>
          </w:p>
        </w:tc>
        <w:tc>
          <w:tcPr>
            <w:tcW w:w="1658" w:type="dxa"/>
            <w:vAlign w:val="top"/>
          </w:tcPr>
          <w:p w14:paraId="124AFE37">
            <w:pPr>
              <w:pStyle w:val="6"/>
            </w:pPr>
          </w:p>
        </w:tc>
        <w:tc>
          <w:tcPr>
            <w:tcW w:w="1678" w:type="dxa"/>
            <w:gridSpan w:val="2"/>
            <w:vAlign w:val="top"/>
          </w:tcPr>
          <w:p w14:paraId="65200638">
            <w:pPr>
              <w:pStyle w:val="6"/>
            </w:pPr>
          </w:p>
        </w:tc>
        <w:tc>
          <w:tcPr>
            <w:tcW w:w="1668" w:type="dxa"/>
            <w:vAlign w:val="top"/>
          </w:tcPr>
          <w:p w14:paraId="571A274D">
            <w:pPr>
              <w:pStyle w:val="6"/>
            </w:pPr>
          </w:p>
        </w:tc>
        <w:tc>
          <w:tcPr>
            <w:tcW w:w="1678" w:type="dxa"/>
            <w:gridSpan w:val="2"/>
            <w:vAlign w:val="top"/>
          </w:tcPr>
          <w:p w14:paraId="1F9EBBBF">
            <w:pPr>
              <w:pStyle w:val="6"/>
            </w:pPr>
          </w:p>
        </w:tc>
        <w:tc>
          <w:tcPr>
            <w:tcW w:w="1843" w:type="dxa"/>
            <w:vAlign w:val="top"/>
          </w:tcPr>
          <w:p w14:paraId="74A52AA1">
            <w:pPr>
              <w:pStyle w:val="6"/>
            </w:pPr>
          </w:p>
        </w:tc>
      </w:tr>
      <w:tr w14:paraId="50216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3141" w:type="dxa"/>
            <w:gridSpan w:val="3"/>
            <w:vAlign w:val="top"/>
          </w:tcPr>
          <w:p w14:paraId="7890C805">
            <w:pPr>
              <w:spacing w:before="106" w:line="219" w:lineRule="auto"/>
              <w:ind w:left="1054"/>
              <w:rPr>
                <w:rFonts w:ascii="宋体" w:hAnsi="宋体" w:eastAsia="宋体" w:cs="宋体"/>
                <w:sz w:val="21"/>
                <w:szCs w:val="21"/>
              </w:rPr>
            </w:pPr>
            <w:r>
              <w:rPr>
                <w:rFonts w:ascii="宋体" w:hAnsi="宋体" w:eastAsia="宋体" w:cs="宋体"/>
                <w:spacing w:val="-2"/>
                <w:sz w:val="21"/>
                <w:szCs w:val="21"/>
              </w:rPr>
              <w:t>试验方签字</w:t>
            </w:r>
          </w:p>
        </w:tc>
        <w:tc>
          <w:tcPr>
            <w:tcW w:w="3127" w:type="dxa"/>
            <w:gridSpan w:val="3"/>
            <w:vAlign w:val="top"/>
          </w:tcPr>
          <w:p w14:paraId="1103113D">
            <w:pPr>
              <w:spacing w:before="106" w:line="219" w:lineRule="auto"/>
              <w:ind w:left="1053"/>
              <w:rPr>
                <w:rFonts w:ascii="宋体" w:hAnsi="宋体" w:eastAsia="宋体" w:cs="宋体"/>
                <w:sz w:val="21"/>
                <w:szCs w:val="21"/>
              </w:rPr>
            </w:pPr>
            <w:r>
              <w:rPr>
                <w:rFonts w:ascii="宋体" w:hAnsi="宋体" w:eastAsia="宋体" w:cs="宋体"/>
                <w:spacing w:val="-2"/>
                <w:sz w:val="21"/>
                <w:szCs w:val="21"/>
              </w:rPr>
              <w:t>送试方签字</w:t>
            </w:r>
          </w:p>
        </w:tc>
        <w:tc>
          <w:tcPr>
            <w:tcW w:w="3101" w:type="dxa"/>
            <w:gridSpan w:val="2"/>
            <w:vAlign w:val="top"/>
          </w:tcPr>
          <w:p w14:paraId="1780AA06">
            <w:pPr>
              <w:spacing w:before="105" w:line="219" w:lineRule="auto"/>
              <w:ind w:left="936"/>
              <w:rPr>
                <w:rFonts w:ascii="宋体" w:hAnsi="宋体" w:eastAsia="宋体" w:cs="宋体"/>
                <w:sz w:val="21"/>
                <w:szCs w:val="21"/>
              </w:rPr>
            </w:pPr>
            <w:r>
              <w:rPr>
                <w:rFonts w:ascii="宋体" w:hAnsi="宋体" w:eastAsia="宋体" w:cs="宋体"/>
                <w:spacing w:val="1"/>
                <w:sz w:val="21"/>
                <w:szCs w:val="21"/>
              </w:rPr>
              <w:t>军事代表签字</w:t>
            </w:r>
          </w:p>
        </w:tc>
      </w:tr>
      <w:tr w14:paraId="76F1B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141" w:type="dxa"/>
            <w:gridSpan w:val="3"/>
            <w:vAlign w:val="top"/>
          </w:tcPr>
          <w:p w14:paraId="3DE34DD1">
            <w:pPr>
              <w:pStyle w:val="6"/>
            </w:pPr>
          </w:p>
        </w:tc>
        <w:tc>
          <w:tcPr>
            <w:tcW w:w="3127" w:type="dxa"/>
            <w:gridSpan w:val="3"/>
            <w:vAlign w:val="top"/>
          </w:tcPr>
          <w:p w14:paraId="3D555E9D">
            <w:pPr>
              <w:pStyle w:val="6"/>
            </w:pPr>
          </w:p>
        </w:tc>
        <w:tc>
          <w:tcPr>
            <w:tcW w:w="3101" w:type="dxa"/>
            <w:gridSpan w:val="2"/>
            <w:vAlign w:val="top"/>
          </w:tcPr>
          <w:p w14:paraId="1B0C6D78">
            <w:pPr>
              <w:pStyle w:val="6"/>
            </w:pPr>
          </w:p>
        </w:tc>
      </w:tr>
    </w:tbl>
    <w:p w14:paraId="02C14CED">
      <w:pPr>
        <w:spacing w:before="210" w:line="221" w:lineRule="auto"/>
        <w:rPr>
          <w:rFonts w:ascii="黑体" w:hAnsi="黑体" w:eastAsia="黑体" w:cs="黑体"/>
          <w:sz w:val="27"/>
          <w:szCs w:val="27"/>
        </w:rPr>
      </w:pPr>
      <w:r>
        <w:rPr>
          <w:rFonts w:ascii="黑体" w:hAnsi="黑体" w:eastAsia="黑体" w:cs="黑体"/>
          <w:spacing w:val="1"/>
          <w:sz w:val="27"/>
          <w:szCs w:val="27"/>
        </w:rPr>
        <w:t xml:space="preserve">7.2  </w:t>
      </w:r>
      <w:r>
        <w:rPr>
          <w:rFonts w:ascii="黑体" w:hAnsi="黑体" w:eastAsia="黑体" w:cs="黑体"/>
          <w:b/>
          <w:bCs/>
          <w:spacing w:val="1"/>
          <w:sz w:val="27"/>
          <w:szCs w:val="27"/>
        </w:rPr>
        <w:t>试验样品处理要求</w:t>
      </w:r>
    </w:p>
    <w:p w14:paraId="765BCE0F">
      <w:pPr>
        <w:pStyle w:val="2"/>
        <w:spacing w:before="103" w:line="280" w:lineRule="auto"/>
        <w:ind w:right="31" w:firstLine="550"/>
      </w:pPr>
      <w:r>
        <w:rPr>
          <w:spacing w:val="5"/>
        </w:rPr>
        <w:t>明确试验样品处理要求，包括不同试验项目试验前与试验结束后对试验样</w:t>
      </w:r>
      <w:r>
        <w:rPr>
          <w:spacing w:val="12"/>
        </w:rPr>
        <w:t xml:space="preserve"> </w:t>
      </w:r>
      <w:r>
        <w:rPr>
          <w:spacing w:val="-5"/>
        </w:rPr>
        <w:t>品的处理。</w:t>
      </w:r>
    </w:p>
    <w:p w14:paraId="540931B2">
      <w:pPr>
        <w:pStyle w:val="2"/>
        <w:spacing w:before="32" w:line="278" w:lineRule="auto"/>
        <w:ind w:right="20" w:firstLine="550"/>
        <w:jc w:val="both"/>
      </w:pPr>
      <w:r>
        <w:rPr>
          <w:spacing w:val="-3"/>
        </w:rPr>
        <w:t>有些环境试验项目，在试验前为了消除或部分消除过去所受的影响，需要对</w:t>
      </w:r>
      <w:r>
        <w:t xml:space="preserve"> </w:t>
      </w:r>
      <w:r>
        <w:rPr>
          <w:spacing w:val="-3"/>
        </w:rPr>
        <w:t>试验样品进行预处理，如干燥处理。另外，在试验结束后，为了进行外观检查或</w:t>
      </w:r>
      <w:r>
        <w:rPr>
          <w:spacing w:val="16"/>
        </w:rPr>
        <w:t xml:space="preserve"> </w:t>
      </w:r>
      <w:r>
        <w:rPr>
          <w:spacing w:val="1"/>
        </w:rPr>
        <w:t>性能/功能检测，需要对试验样品进行必要的处理，例如砂尘试验后为进行外观</w:t>
      </w:r>
      <w:r>
        <w:rPr>
          <w:spacing w:val="12"/>
        </w:rPr>
        <w:t xml:space="preserve"> </w:t>
      </w:r>
      <w:r>
        <w:rPr>
          <w:spacing w:val="6"/>
        </w:rPr>
        <w:t>检查需要擦拭掉试验样品表面上的尘土，低温试验结</w:t>
      </w:r>
      <w:r>
        <w:rPr>
          <w:spacing w:val="5"/>
        </w:rPr>
        <w:t>束后需要进行烘箱处理以</w:t>
      </w:r>
      <w:r>
        <w:t xml:space="preserve"> </w:t>
      </w:r>
      <w:r>
        <w:rPr>
          <w:spacing w:val="4"/>
        </w:rPr>
        <w:t>及气候环境试验后试验样品需进行恢复处理等。</w:t>
      </w:r>
    </w:p>
    <w:p w14:paraId="6E097688">
      <w:pPr>
        <w:spacing w:before="1" w:line="220" w:lineRule="auto"/>
        <w:rPr>
          <w:rFonts w:ascii="黑体" w:hAnsi="黑体" w:eastAsia="黑体" w:cs="黑体"/>
          <w:sz w:val="27"/>
          <w:szCs w:val="27"/>
        </w:rPr>
      </w:pPr>
      <w:r>
        <w:rPr>
          <w:rFonts w:ascii="黑体" w:hAnsi="黑体" w:eastAsia="黑体" w:cs="黑体"/>
          <w:spacing w:val="1"/>
          <w:sz w:val="27"/>
          <w:szCs w:val="27"/>
        </w:rPr>
        <w:t xml:space="preserve">7.3  </w:t>
      </w:r>
      <w:r>
        <w:rPr>
          <w:rFonts w:ascii="黑体" w:hAnsi="黑体" w:eastAsia="黑体" w:cs="黑体"/>
          <w:b/>
          <w:bCs/>
          <w:spacing w:val="1"/>
          <w:sz w:val="27"/>
          <w:szCs w:val="27"/>
        </w:rPr>
        <w:t>试验样品安装要求</w:t>
      </w:r>
    </w:p>
    <w:p w14:paraId="520E2B75">
      <w:pPr>
        <w:pStyle w:val="2"/>
        <w:spacing w:before="114" w:line="219" w:lineRule="auto"/>
        <w:ind w:left="550"/>
      </w:pPr>
      <w:r>
        <w:rPr>
          <w:spacing w:val="3"/>
        </w:rPr>
        <w:t>描述试验样品在试验设备中的安装要求。</w:t>
      </w:r>
    </w:p>
    <w:p w14:paraId="670D84E3">
      <w:pPr>
        <w:pStyle w:val="2"/>
        <w:spacing w:before="68" w:line="282" w:lineRule="auto"/>
        <w:ind w:right="29" w:firstLine="550"/>
      </w:pPr>
      <w:r>
        <w:rPr>
          <w:spacing w:val="5"/>
        </w:rPr>
        <w:t>若无其他规定，试验样品在试验设备中应模拟实际使用状态安装。试验样</w:t>
      </w:r>
      <w:r>
        <w:rPr>
          <w:spacing w:val="12"/>
        </w:rPr>
        <w:t xml:space="preserve"> </w:t>
      </w:r>
      <w:r>
        <w:rPr>
          <w:spacing w:val="5"/>
        </w:rPr>
        <w:t>品的安装要求参见</w:t>
      </w:r>
      <w:r>
        <w:rPr>
          <w:rFonts w:ascii="Times New Roman" w:hAnsi="Times New Roman" w:eastAsia="Times New Roman" w:cs="Times New Roman"/>
        </w:rPr>
        <w:t>GJB</w:t>
      </w:r>
      <w:r>
        <w:rPr>
          <w:rFonts w:ascii="Times New Roman" w:hAnsi="Times New Roman" w:eastAsia="Times New Roman" w:cs="Times New Roman"/>
          <w:spacing w:val="5"/>
        </w:rPr>
        <w:t xml:space="preserve">150.1    </w:t>
      </w:r>
      <w:r>
        <w:rPr>
          <w:spacing w:val="5"/>
        </w:rPr>
        <w:t>总则相应条款，具</w:t>
      </w:r>
      <w:r>
        <w:rPr>
          <w:spacing w:val="4"/>
        </w:rPr>
        <w:t>体试验项目关于试验样品的安</w:t>
      </w:r>
      <w:r>
        <w:t xml:space="preserve"> </w:t>
      </w:r>
      <w:r>
        <w:rPr>
          <w:spacing w:val="2"/>
        </w:rPr>
        <w:t>装要求参见</w:t>
      </w:r>
      <w:r>
        <w:rPr>
          <w:rFonts w:ascii="Times New Roman" w:hAnsi="Times New Roman" w:eastAsia="Times New Roman" w:cs="Times New Roman"/>
        </w:rPr>
        <w:t>GJB</w:t>
      </w:r>
      <w:r>
        <w:rPr>
          <w:rFonts w:ascii="Times New Roman" w:hAnsi="Times New Roman" w:eastAsia="Times New Roman" w:cs="Times New Roman"/>
          <w:spacing w:val="32"/>
          <w:w w:val="101"/>
        </w:rPr>
        <w:t xml:space="preserve">  </w:t>
      </w:r>
      <w:r>
        <w:rPr>
          <w:rFonts w:ascii="Times New Roman" w:hAnsi="Times New Roman" w:eastAsia="Times New Roman" w:cs="Times New Roman"/>
          <w:spacing w:val="2"/>
        </w:rPr>
        <w:t>150</w:t>
      </w:r>
      <w:r>
        <w:rPr>
          <w:rFonts w:ascii="Times New Roman" w:hAnsi="Times New Roman" w:eastAsia="Times New Roman" w:cs="Times New Roman"/>
          <w:spacing w:val="-17"/>
        </w:rPr>
        <w:t xml:space="preserve"> </w:t>
      </w:r>
      <w:r>
        <w:rPr>
          <w:spacing w:val="2"/>
        </w:rPr>
        <w:t>对应试验方法有关规定。</w:t>
      </w:r>
    </w:p>
    <w:p w14:paraId="7708AD5A">
      <w:pPr>
        <w:spacing w:line="282" w:lineRule="auto"/>
        <w:sectPr>
          <w:footerReference r:id="rId591" w:type="default"/>
          <w:pgSz w:w="11910" w:h="17130"/>
          <w:pgMar w:top="400" w:right="1365" w:bottom="1766" w:left="1150" w:header="0" w:footer="1577" w:gutter="0"/>
          <w:cols w:space="720" w:num="1"/>
        </w:sectPr>
      </w:pPr>
    </w:p>
    <w:p w14:paraId="3FFB9FEB">
      <w:pPr>
        <w:spacing w:line="247" w:lineRule="auto"/>
        <w:rPr>
          <w:rFonts w:ascii="Arial"/>
          <w:sz w:val="21"/>
        </w:rPr>
      </w:pPr>
    </w:p>
    <w:p w14:paraId="098F73B4">
      <w:pPr>
        <w:spacing w:line="247" w:lineRule="auto"/>
        <w:rPr>
          <w:rFonts w:ascii="Arial"/>
          <w:sz w:val="21"/>
        </w:rPr>
      </w:pPr>
    </w:p>
    <w:p w14:paraId="74A82478">
      <w:pPr>
        <w:spacing w:line="248" w:lineRule="auto"/>
        <w:rPr>
          <w:rFonts w:ascii="Arial"/>
          <w:sz w:val="21"/>
        </w:rPr>
      </w:pPr>
    </w:p>
    <w:p w14:paraId="28C88A9F">
      <w:pPr>
        <w:spacing w:line="248" w:lineRule="auto"/>
        <w:rPr>
          <w:rFonts w:ascii="Arial"/>
          <w:sz w:val="21"/>
        </w:rPr>
      </w:pPr>
    </w:p>
    <w:p w14:paraId="77C982FD">
      <w:pPr>
        <w:spacing w:before="88" w:line="221" w:lineRule="auto"/>
        <w:outlineLvl w:val="3"/>
        <w:rPr>
          <w:rFonts w:ascii="黑体" w:hAnsi="黑体" w:eastAsia="黑体" w:cs="黑体"/>
          <w:sz w:val="27"/>
          <w:szCs w:val="27"/>
        </w:rPr>
      </w:pPr>
      <w:r>
        <w:rPr>
          <w:rFonts w:ascii="Arial" w:hAnsi="Arial" w:eastAsia="Arial" w:cs="Arial"/>
          <w:b/>
          <w:bCs/>
          <w:sz w:val="27"/>
          <w:szCs w:val="27"/>
        </w:rPr>
        <w:t>8</w:t>
      </w:r>
      <w:r>
        <w:rPr>
          <w:rFonts w:ascii="Arial" w:hAnsi="Arial" w:eastAsia="Arial" w:cs="Arial"/>
          <w:b/>
          <w:bCs/>
          <w:spacing w:val="24"/>
          <w:sz w:val="27"/>
          <w:szCs w:val="27"/>
        </w:rPr>
        <w:t xml:space="preserve">   </w:t>
      </w:r>
      <w:r>
        <w:rPr>
          <w:rFonts w:ascii="黑体" w:hAnsi="黑体" w:eastAsia="黑体" w:cs="黑体"/>
          <w:b/>
          <w:bCs/>
          <w:sz w:val="27"/>
          <w:szCs w:val="27"/>
        </w:rPr>
        <w:t>试验数据记录要求</w:t>
      </w:r>
    </w:p>
    <w:p w14:paraId="630DB41B">
      <w:pPr>
        <w:spacing w:before="97" w:line="222" w:lineRule="auto"/>
        <w:rPr>
          <w:rFonts w:ascii="黑体" w:hAnsi="黑体" w:eastAsia="黑体" w:cs="黑体"/>
          <w:sz w:val="27"/>
          <w:szCs w:val="27"/>
        </w:rPr>
      </w:pPr>
      <w:r>
        <w:rPr>
          <w:rFonts w:ascii="黑体" w:hAnsi="黑体" w:eastAsia="黑体" w:cs="黑体"/>
          <w:spacing w:val="2"/>
          <w:sz w:val="27"/>
          <w:szCs w:val="27"/>
        </w:rPr>
        <w:t xml:space="preserve">8.1  </w:t>
      </w:r>
      <w:r>
        <w:rPr>
          <w:rFonts w:ascii="黑体" w:hAnsi="黑体" w:eastAsia="黑体" w:cs="黑体"/>
          <w:b/>
          <w:bCs/>
          <w:spacing w:val="2"/>
          <w:sz w:val="27"/>
          <w:szCs w:val="27"/>
        </w:rPr>
        <w:t>原则要求</w:t>
      </w:r>
    </w:p>
    <w:p w14:paraId="6A2E38D8">
      <w:pPr>
        <w:pStyle w:val="2"/>
        <w:spacing w:before="91" w:line="219" w:lineRule="auto"/>
        <w:ind w:left="560"/>
      </w:pPr>
      <w:r>
        <w:rPr>
          <w:spacing w:val="4"/>
        </w:rPr>
        <w:t>描述试验数据记录的目的和原则要求。</w:t>
      </w:r>
    </w:p>
    <w:p w14:paraId="10CD2C57">
      <w:pPr>
        <w:pStyle w:val="2"/>
        <w:spacing w:before="35" w:line="280" w:lineRule="auto"/>
        <w:ind w:firstLine="560"/>
      </w:pPr>
      <w:r>
        <w:rPr>
          <w:spacing w:val="6"/>
        </w:rPr>
        <w:t>环境试验数据一般包括实验室环境数据，试验设备提供的施加于产</w:t>
      </w:r>
      <w:r>
        <w:rPr>
          <w:spacing w:val="5"/>
        </w:rPr>
        <w:t>品上的</w:t>
      </w:r>
      <w:r>
        <w:t xml:space="preserve"> </w:t>
      </w:r>
      <w:r>
        <w:rPr>
          <w:spacing w:val="-3"/>
        </w:rPr>
        <w:t>环境应力数据，受试产品应力响应数据，环境试验中产品外观、功能检查和性能</w:t>
      </w:r>
      <w:r>
        <w:rPr>
          <w:spacing w:val="17"/>
        </w:rPr>
        <w:t xml:space="preserve"> </w:t>
      </w:r>
      <w:r>
        <w:rPr>
          <w:spacing w:val="-2"/>
        </w:rPr>
        <w:t>检测数据，以及产品出现的故障数据。这些数</w:t>
      </w:r>
      <w:r>
        <w:rPr>
          <w:spacing w:val="-3"/>
        </w:rPr>
        <w:t>据对于确定试验是否有效，判定产</w:t>
      </w:r>
      <w:r>
        <w:t xml:space="preserve"> </w:t>
      </w:r>
      <w:r>
        <w:rPr>
          <w:spacing w:val="5"/>
        </w:rPr>
        <w:t>品是否合格，分析产品出现故障的原因或正确定位故障和采取纠正措施是必不</w:t>
      </w:r>
      <w:r>
        <w:rPr>
          <w:spacing w:val="13"/>
        </w:rPr>
        <w:t xml:space="preserve"> </w:t>
      </w:r>
      <w:r>
        <w:rPr>
          <w:spacing w:val="-7"/>
        </w:rPr>
        <w:t>可少的，应加以详细记录和保存。</w:t>
      </w:r>
    </w:p>
    <w:p w14:paraId="44F0D578">
      <w:pPr>
        <w:spacing w:before="11" w:line="222" w:lineRule="auto"/>
        <w:rPr>
          <w:rFonts w:ascii="黑体" w:hAnsi="黑体" w:eastAsia="黑体" w:cs="黑体"/>
          <w:sz w:val="27"/>
          <w:szCs w:val="27"/>
        </w:rPr>
      </w:pPr>
      <w:r>
        <w:rPr>
          <w:rFonts w:ascii="黑体" w:hAnsi="黑体" w:eastAsia="黑体" w:cs="黑体"/>
          <w:spacing w:val="-2"/>
          <w:sz w:val="27"/>
          <w:szCs w:val="27"/>
        </w:rPr>
        <w:t>8.2</w:t>
      </w:r>
      <w:r>
        <w:rPr>
          <w:rFonts w:ascii="黑体" w:hAnsi="黑体" w:eastAsia="黑体" w:cs="黑体"/>
          <w:spacing w:val="31"/>
          <w:sz w:val="27"/>
          <w:szCs w:val="27"/>
        </w:rPr>
        <w:t xml:space="preserve">  </w:t>
      </w:r>
      <w:r>
        <w:rPr>
          <w:rFonts w:ascii="黑体" w:hAnsi="黑体" w:eastAsia="黑体" w:cs="黑体"/>
          <w:b/>
          <w:bCs/>
          <w:spacing w:val="-2"/>
          <w:sz w:val="27"/>
          <w:szCs w:val="27"/>
        </w:rPr>
        <w:t>实验室环境数据</w:t>
      </w:r>
    </w:p>
    <w:p w14:paraId="258816D6">
      <w:pPr>
        <w:pStyle w:val="2"/>
        <w:spacing w:before="91" w:line="219" w:lineRule="auto"/>
        <w:ind w:left="560"/>
      </w:pPr>
      <w:r>
        <w:rPr>
          <w:spacing w:val="1"/>
        </w:rPr>
        <w:t>阐述实验室环境数据记录要求。</w:t>
      </w:r>
    </w:p>
    <w:p w14:paraId="274B03A9">
      <w:pPr>
        <w:pStyle w:val="2"/>
        <w:spacing w:before="100" w:line="278" w:lineRule="auto"/>
        <w:ind w:right="9" w:firstLine="560"/>
      </w:pPr>
      <w:r>
        <w:rPr>
          <w:spacing w:val="6"/>
        </w:rPr>
        <w:t>实验室环境数据是指试验前和试验后进行功能</w:t>
      </w:r>
      <w:r>
        <w:rPr>
          <w:spacing w:val="5"/>
        </w:rPr>
        <w:t>检查和性能测量时的环境条</w:t>
      </w:r>
      <w:r>
        <w:t xml:space="preserve"> </w:t>
      </w:r>
      <w:r>
        <w:rPr>
          <w:spacing w:val="-2"/>
        </w:rPr>
        <w:t>件，通常是指当时的温度、湿度和压力。这</w:t>
      </w:r>
      <w:r>
        <w:rPr>
          <w:spacing w:val="-3"/>
        </w:rPr>
        <w:t>些环境因素的变化可能会对检测结果</w:t>
      </w:r>
      <w:r>
        <w:t xml:space="preserve"> </w:t>
      </w:r>
      <w:r>
        <w:rPr>
          <w:spacing w:val="-3"/>
        </w:rPr>
        <w:t>产生影响。一旦试验前、后测得数据有较大差别甚至超出容差范围时，检测时实</w:t>
      </w:r>
      <w:r>
        <w:rPr>
          <w:spacing w:val="17"/>
        </w:rPr>
        <w:t xml:space="preserve"> </w:t>
      </w:r>
      <w:r>
        <w:rPr>
          <w:spacing w:val="5"/>
        </w:rPr>
        <w:t>验室环境条件是一个分析其原因的因素。因此，这一数据应记录在试验前和试</w:t>
      </w:r>
      <w:r>
        <w:rPr>
          <w:spacing w:val="9"/>
        </w:rPr>
        <w:t xml:space="preserve"> </w:t>
      </w:r>
      <w:r>
        <w:rPr>
          <w:spacing w:val="4"/>
        </w:rPr>
        <w:t>验后功能检查和性能测量记录表上。</w:t>
      </w:r>
    </w:p>
    <w:p w14:paraId="602960F4">
      <w:pPr>
        <w:spacing w:before="1" w:line="220" w:lineRule="auto"/>
        <w:rPr>
          <w:rFonts w:ascii="黑体" w:hAnsi="黑体" w:eastAsia="黑体" w:cs="黑体"/>
          <w:sz w:val="27"/>
          <w:szCs w:val="27"/>
        </w:rPr>
      </w:pPr>
      <w:r>
        <w:rPr>
          <w:rFonts w:ascii="黑体" w:hAnsi="黑体" w:eastAsia="黑体" w:cs="黑体"/>
          <w:spacing w:val="2"/>
          <w:sz w:val="27"/>
          <w:szCs w:val="27"/>
        </w:rPr>
        <w:t>8.3</w:t>
      </w:r>
      <w:r>
        <w:rPr>
          <w:rFonts w:ascii="黑体" w:hAnsi="黑体" w:eastAsia="黑体" w:cs="黑体"/>
          <w:spacing w:val="26"/>
          <w:sz w:val="27"/>
          <w:szCs w:val="27"/>
        </w:rPr>
        <w:t xml:space="preserve">  </w:t>
      </w:r>
      <w:r>
        <w:rPr>
          <w:rFonts w:ascii="黑体" w:hAnsi="黑体" w:eastAsia="黑体" w:cs="黑体"/>
          <w:b/>
          <w:bCs/>
          <w:spacing w:val="2"/>
          <w:sz w:val="27"/>
          <w:szCs w:val="27"/>
        </w:rPr>
        <w:t>试验设备提供的环境应力数据</w:t>
      </w:r>
    </w:p>
    <w:p w14:paraId="7867AC3E">
      <w:pPr>
        <w:pStyle w:val="2"/>
        <w:spacing w:before="71" w:line="219" w:lineRule="auto"/>
        <w:ind w:left="560"/>
      </w:pPr>
      <w:r>
        <w:rPr>
          <w:spacing w:val="3"/>
        </w:rPr>
        <w:t>阐述试验设备提供的环境应力数据记录要求。</w:t>
      </w:r>
    </w:p>
    <w:p w14:paraId="209E341E">
      <w:pPr>
        <w:pStyle w:val="2"/>
        <w:spacing w:before="88" w:line="280" w:lineRule="auto"/>
        <w:ind w:right="22" w:firstLine="560"/>
      </w:pPr>
      <w:r>
        <w:rPr>
          <w:spacing w:val="4"/>
        </w:rPr>
        <w:t>目前的环境试验设备一般都能实时记录和保存其提供的环境应力条件，从</w:t>
      </w:r>
      <w:r>
        <w:rPr>
          <w:spacing w:val="11"/>
        </w:rPr>
        <w:t xml:space="preserve"> </w:t>
      </w:r>
      <w:r>
        <w:rPr>
          <w:spacing w:val="5"/>
        </w:rPr>
        <w:t>而为判断试验是否有效、进行故障分析或编写试验报告时提取任何时间的环境</w:t>
      </w:r>
      <w:r>
        <w:rPr>
          <w:spacing w:val="10"/>
        </w:rPr>
        <w:t xml:space="preserve"> </w:t>
      </w:r>
      <w:r>
        <w:rPr>
          <w:spacing w:val="5"/>
        </w:rPr>
        <w:t>应力数据提供了便利。由于不同的试验设备有不同的应力记录格式，且能自动</w:t>
      </w:r>
      <w:r>
        <w:rPr>
          <w:spacing w:val="17"/>
        </w:rPr>
        <w:t xml:space="preserve"> </w:t>
      </w:r>
      <w:r>
        <w:rPr>
          <w:spacing w:val="-3"/>
        </w:rPr>
        <w:t>合理记录，试验大纲中对其格式不必作出规定。</w:t>
      </w:r>
    </w:p>
    <w:p w14:paraId="5FE70BE8">
      <w:pPr>
        <w:spacing w:before="1" w:line="220" w:lineRule="auto"/>
        <w:rPr>
          <w:rFonts w:ascii="黑体" w:hAnsi="黑体" w:eastAsia="黑体" w:cs="黑体"/>
          <w:sz w:val="27"/>
          <w:szCs w:val="27"/>
        </w:rPr>
      </w:pPr>
      <w:r>
        <w:rPr>
          <w:rFonts w:ascii="黑体" w:hAnsi="黑体" w:eastAsia="黑体" w:cs="黑体"/>
          <w:spacing w:val="1"/>
          <w:sz w:val="27"/>
          <w:szCs w:val="27"/>
        </w:rPr>
        <w:t>8.4</w:t>
      </w:r>
      <w:r>
        <w:rPr>
          <w:rFonts w:ascii="黑体" w:hAnsi="黑体" w:eastAsia="黑体" w:cs="黑体"/>
          <w:spacing w:val="25"/>
          <w:sz w:val="27"/>
          <w:szCs w:val="27"/>
        </w:rPr>
        <w:t xml:space="preserve">  </w:t>
      </w:r>
      <w:r>
        <w:rPr>
          <w:rFonts w:ascii="黑体" w:hAnsi="黑体" w:eastAsia="黑体" w:cs="黑体"/>
          <w:b/>
          <w:bCs/>
          <w:spacing w:val="1"/>
          <w:sz w:val="27"/>
          <w:szCs w:val="27"/>
        </w:rPr>
        <w:t>受试设备响应特性数据</w:t>
      </w:r>
    </w:p>
    <w:p w14:paraId="5FF5BD40">
      <w:pPr>
        <w:pStyle w:val="2"/>
        <w:spacing w:before="93" w:line="219" w:lineRule="auto"/>
        <w:ind w:left="560"/>
      </w:pPr>
      <w:r>
        <w:rPr>
          <w:spacing w:val="2"/>
        </w:rPr>
        <w:t>阐述受试设备响应特性数据记录要求。</w:t>
      </w:r>
    </w:p>
    <w:p w14:paraId="40E14186">
      <w:pPr>
        <w:pStyle w:val="2"/>
        <w:spacing w:before="110" w:line="264" w:lineRule="auto"/>
        <w:ind w:right="9" w:firstLine="560"/>
      </w:pPr>
      <w:r>
        <w:rPr>
          <w:spacing w:val="6"/>
        </w:rPr>
        <w:t>如果试验中对受试设备多个部位的环境响应进</w:t>
      </w:r>
      <w:r>
        <w:rPr>
          <w:spacing w:val="5"/>
        </w:rPr>
        <w:t>行了测量，则应记录和保存</w:t>
      </w:r>
      <w:r>
        <w:t xml:space="preserve"> </w:t>
      </w:r>
      <w:r>
        <w:rPr>
          <w:spacing w:val="-3"/>
        </w:rPr>
        <w:t>各个测量点测得的应力响应数据，一般只测量温度和振动响应，这些响应数据为</w:t>
      </w:r>
      <w:r>
        <w:rPr>
          <w:spacing w:val="17"/>
        </w:rPr>
        <w:t xml:space="preserve"> </w:t>
      </w:r>
      <w:r>
        <w:rPr>
          <w:spacing w:val="2"/>
        </w:rPr>
        <w:t>了解产品特性和进行故障分析提供支持。</w:t>
      </w:r>
    </w:p>
    <w:p w14:paraId="553EF4BF">
      <w:pPr>
        <w:spacing w:before="47" w:line="222" w:lineRule="auto"/>
        <w:outlineLvl w:val="3"/>
        <w:rPr>
          <w:rFonts w:ascii="黑体" w:hAnsi="黑体" w:eastAsia="黑体" w:cs="黑体"/>
          <w:sz w:val="25"/>
          <w:szCs w:val="25"/>
        </w:rPr>
      </w:pPr>
      <w:r>
        <w:rPr>
          <w:rFonts w:ascii="Arial" w:hAnsi="Arial" w:eastAsia="Arial" w:cs="Arial"/>
          <w:b/>
          <w:bCs/>
          <w:spacing w:val="10"/>
          <w:sz w:val="25"/>
          <w:szCs w:val="25"/>
        </w:rPr>
        <w:t xml:space="preserve">8.5     </w:t>
      </w:r>
      <w:r>
        <w:rPr>
          <w:rFonts w:ascii="黑体" w:hAnsi="黑体" w:eastAsia="黑体" w:cs="黑体"/>
          <w:b/>
          <w:bCs/>
          <w:spacing w:val="10"/>
          <w:sz w:val="25"/>
          <w:szCs w:val="25"/>
        </w:rPr>
        <w:t>外观检查、功能检查和性能测量数据</w:t>
      </w:r>
    </w:p>
    <w:p w14:paraId="12D86AD9">
      <w:pPr>
        <w:pStyle w:val="2"/>
        <w:spacing w:before="114" w:line="219" w:lineRule="auto"/>
        <w:ind w:left="560"/>
      </w:pPr>
      <w:r>
        <w:rPr>
          <w:spacing w:val="-3"/>
        </w:rPr>
        <w:t>阐述外观检查、功能检查和性能测量数据记录要求。</w:t>
      </w:r>
    </w:p>
    <w:p w14:paraId="60B18104">
      <w:pPr>
        <w:pStyle w:val="2"/>
        <w:spacing w:before="88" w:line="275" w:lineRule="auto"/>
        <w:ind w:right="8" w:firstLine="560"/>
      </w:pPr>
      <w:r>
        <w:rPr>
          <w:spacing w:val="6"/>
        </w:rPr>
        <w:t>这些数据都要规定相应的记录表格，试验过程只</w:t>
      </w:r>
      <w:r>
        <w:rPr>
          <w:spacing w:val="5"/>
        </w:rPr>
        <w:t>要认真测量和填写这些表</w:t>
      </w:r>
      <w:r>
        <w:t xml:space="preserve"> </w:t>
      </w:r>
      <w:r>
        <w:rPr>
          <w:spacing w:val="4"/>
        </w:rPr>
        <w:t>就可以了。这些数据是判别产品是否合格的主要</w:t>
      </w:r>
      <w:r>
        <w:rPr>
          <w:spacing w:val="3"/>
        </w:rPr>
        <w:t>依据。</w:t>
      </w:r>
    </w:p>
    <w:p w14:paraId="7469AAF2">
      <w:pPr>
        <w:spacing w:before="23" w:line="222" w:lineRule="auto"/>
        <w:rPr>
          <w:rFonts w:ascii="黑体" w:hAnsi="黑体" w:eastAsia="黑体" w:cs="黑体"/>
          <w:sz w:val="24"/>
          <w:szCs w:val="24"/>
        </w:rPr>
      </w:pPr>
      <w:r>
        <w:rPr>
          <w:rFonts w:ascii="黑体" w:hAnsi="黑体" w:eastAsia="黑体" w:cs="黑体"/>
          <w:spacing w:val="22"/>
          <w:sz w:val="24"/>
          <w:szCs w:val="24"/>
        </w:rPr>
        <w:t>8.6</w:t>
      </w:r>
      <w:r>
        <w:rPr>
          <w:rFonts w:ascii="黑体" w:hAnsi="黑体" w:eastAsia="黑体" w:cs="黑体"/>
          <w:spacing w:val="61"/>
          <w:sz w:val="24"/>
          <w:szCs w:val="24"/>
        </w:rPr>
        <w:t xml:space="preserve">  </w:t>
      </w:r>
      <w:r>
        <w:rPr>
          <w:rFonts w:ascii="黑体" w:hAnsi="黑体" w:eastAsia="黑体" w:cs="黑体"/>
          <w:b/>
          <w:bCs/>
          <w:spacing w:val="22"/>
          <w:sz w:val="24"/>
          <w:szCs w:val="24"/>
        </w:rPr>
        <w:t>产品故障数据</w:t>
      </w:r>
    </w:p>
    <w:p w14:paraId="4FADA648">
      <w:pPr>
        <w:pStyle w:val="2"/>
        <w:spacing w:before="96" w:line="219" w:lineRule="auto"/>
        <w:ind w:left="560"/>
      </w:pPr>
      <w:r>
        <w:rPr>
          <w:spacing w:val="1"/>
        </w:rPr>
        <w:t>阐述产品故障数据记录要求。</w:t>
      </w:r>
    </w:p>
    <w:p w14:paraId="2C55D606">
      <w:pPr>
        <w:pStyle w:val="2"/>
        <w:spacing w:before="89" w:line="290" w:lineRule="auto"/>
        <w:ind w:right="8" w:firstLine="560"/>
      </w:pPr>
      <w:r>
        <w:rPr>
          <w:spacing w:val="5"/>
        </w:rPr>
        <w:t>这些数据应按表12.6的格式填写，以便对产品出现故障时的应力条件，出</w:t>
      </w:r>
      <w:r>
        <w:rPr>
          <w:spacing w:val="11"/>
        </w:rPr>
        <w:t xml:space="preserve"> </w:t>
      </w:r>
      <w:r>
        <w:rPr>
          <w:spacing w:val="-2"/>
        </w:rPr>
        <w:t>现故障时的行为，故障定位情况、故障机理，</w:t>
      </w:r>
      <w:r>
        <w:rPr>
          <w:spacing w:val="-3"/>
        </w:rPr>
        <w:t>纠正措施和验证情况有一个全面描</w:t>
      </w:r>
    </w:p>
    <w:p w14:paraId="320F6D10">
      <w:pPr>
        <w:spacing w:line="290" w:lineRule="auto"/>
        <w:sectPr>
          <w:footerReference r:id="rId592" w:type="default"/>
          <w:pgSz w:w="11910" w:h="17130"/>
          <w:pgMar w:top="400" w:right="859" w:bottom="1730" w:left="1660" w:header="0" w:footer="1444" w:gutter="0"/>
          <w:cols w:space="720" w:num="1"/>
        </w:sectPr>
      </w:pPr>
    </w:p>
    <w:p w14:paraId="1FB828B7">
      <w:pPr>
        <w:spacing w:line="246" w:lineRule="auto"/>
        <w:rPr>
          <w:rFonts w:ascii="Arial"/>
          <w:sz w:val="21"/>
        </w:rPr>
      </w:pPr>
    </w:p>
    <w:p w14:paraId="5575876A">
      <w:pPr>
        <w:spacing w:line="247" w:lineRule="auto"/>
        <w:rPr>
          <w:rFonts w:ascii="Arial"/>
          <w:sz w:val="21"/>
        </w:rPr>
      </w:pPr>
    </w:p>
    <w:p w14:paraId="6DD7E9A6">
      <w:pPr>
        <w:spacing w:line="247" w:lineRule="auto"/>
        <w:rPr>
          <w:rFonts w:ascii="Arial"/>
          <w:sz w:val="21"/>
        </w:rPr>
      </w:pPr>
    </w:p>
    <w:p w14:paraId="4ADA29D3">
      <w:pPr>
        <w:spacing w:line="247" w:lineRule="auto"/>
        <w:rPr>
          <w:rFonts w:ascii="Arial"/>
          <w:sz w:val="21"/>
        </w:rPr>
      </w:pPr>
    </w:p>
    <w:p w14:paraId="2D1A9069">
      <w:pPr>
        <w:pStyle w:val="2"/>
        <w:spacing w:before="88" w:line="273" w:lineRule="auto"/>
        <w:ind w:right="107"/>
        <w:jc w:val="both"/>
      </w:pPr>
      <w:r>
        <w:rPr>
          <w:spacing w:val="-2"/>
        </w:rPr>
        <w:t>述。需要指出的是，环境鉴定试验仅是一个通过或通不过的试验，只要</w:t>
      </w:r>
      <w:r>
        <w:rPr>
          <w:spacing w:val="-3"/>
        </w:rPr>
        <w:t>确定产品</w:t>
      </w:r>
      <w:r>
        <w:t xml:space="preserve"> </w:t>
      </w:r>
      <w:r>
        <w:rPr>
          <w:spacing w:val="-2"/>
        </w:rPr>
        <w:t>是否合格就行，不必进一步分析故障和采取纠正</w:t>
      </w:r>
      <w:r>
        <w:rPr>
          <w:spacing w:val="-3"/>
        </w:rPr>
        <w:t>措施。但实际上，毕竟总是要作</w:t>
      </w:r>
      <w:r>
        <w:t xml:space="preserve"> </w:t>
      </w:r>
      <w:r>
        <w:rPr>
          <w:spacing w:val="-3"/>
        </w:rPr>
        <w:t>设计或工艺改进，再次进行这一试验验证改进措施，直到通过为止。因此，这一</w:t>
      </w:r>
      <w:r>
        <w:rPr>
          <w:spacing w:val="18"/>
        </w:rPr>
        <w:t xml:space="preserve"> </w:t>
      </w:r>
      <w:r>
        <w:rPr>
          <w:spacing w:val="-2"/>
        </w:rPr>
        <w:t>记录尤为重要，此外作为一个负责任的设计人员</w:t>
      </w:r>
      <w:r>
        <w:rPr>
          <w:spacing w:val="-3"/>
        </w:rPr>
        <w:t>，产品通不过试验，不可能工作</w:t>
      </w:r>
      <w:r>
        <w:t xml:space="preserve"> </w:t>
      </w:r>
      <w:r>
        <w:rPr>
          <w:spacing w:val="-3"/>
        </w:rPr>
        <w:t>就结束，必然要进一步开展故障分析和采取纠正措施，因此，认真填写这种表是</w:t>
      </w:r>
      <w:r>
        <w:rPr>
          <w:spacing w:val="17"/>
        </w:rPr>
        <w:t xml:space="preserve"> </w:t>
      </w:r>
      <w:r>
        <w:rPr>
          <w:spacing w:val="-3"/>
        </w:rPr>
        <w:t>有必要的。</w:t>
      </w:r>
    </w:p>
    <w:p w14:paraId="509D7474">
      <w:pPr>
        <w:spacing w:before="29" w:line="222" w:lineRule="auto"/>
        <w:ind w:left="2879"/>
        <w:rPr>
          <w:rFonts w:ascii="仿宋" w:hAnsi="仿宋" w:eastAsia="仿宋" w:cs="仿宋"/>
          <w:sz w:val="24"/>
          <w:szCs w:val="24"/>
        </w:rPr>
      </w:pPr>
      <w:r>
        <w:rPr>
          <w:rFonts w:ascii="仿宋" w:hAnsi="仿宋" w:eastAsia="仿宋" w:cs="仿宋"/>
          <w:spacing w:val="25"/>
          <w:sz w:val="24"/>
          <w:szCs w:val="24"/>
        </w:rPr>
        <w:t>表12</w:t>
      </w:r>
      <w:r>
        <w:rPr>
          <w:rFonts w:ascii="仿宋" w:hAnsi="仿宋" w:eastAsia="仿宋" w:cs="仿宋"/>
          <w:spacing w:val="-47"/>
          <w:sz w:val="24"/>
          <w:szCs w:val="24"/>
        </w:rPr>
        <w:t xml:space="preserve"> </w:t>
      </w:r>
      <w:r>
        <w:rPr>
          <w:rFonts w:ascii="仿宋" w:hAnsi="仿宋" w:eastAsia="仿宋" w:cs="仿宋"/>
          <w:spacing w:val="25"/>
          <w:sz w:val="24"/>
          <w:szCs w:val="24"/>
        </w:rPr>
        <w:t>.</w:t>
      </w:r>
      <w:r>
        <w:rPr>
          <w:rFonts w:ascii="仿宋" w:hAnsi="仿宋" w:eastAsia="仿宋" w:cs="仿宋"/>
          <w:spacing w:val="-62"/>
          <w:sz w:val="24"/>
          <w:szCs w:val="24"/>
        </w:rPr>
        <w:t xml:space="preserve"> </w:t>
      </w:r>
      <w:r>
        <w:rPr>
          <w:rFonts w:ascii="仿宋" w:hAnsi="仿宋" w:eastAsia="仿宋" w:cs="仿宋"/>
          <w:spacing w:val="25"/>
          <w:sz w:val="24"/>
          <w:szCs w:val="24"/>
        </w:rPr>
        <w:t>6</w:t>
      </w:r>
      <w:r>
        <w:rPr>
          <w:rFonts w:ascii="仿宋" w:hAnsi="仿宋" w:eastAsia="仿宋" w:cs="仿宋"/>
          <w:spacing w:val="8"/>
          <w:sz w:val="24"/>
          <w:szCs w:val="24"/>
        </w:rPr>
        <w:t xml:space="preserve">  </w:t>
      </w:r>
      <w:r>
        <w:rPr>
          <w:rFonts w:ascii="仿宋" w:hAnsi="仿宋" w:eastAsia="仿宋" w:cs="仿宋"/>
          <w:spacing w:val="25"/>
          <w:sz w:val="24"/>
          <w:szCs w:val="24"/>
        </w:rPr>
        <w:t>产品故障情况汇总表</w:t>
      </w:r>
    </w:p>
    <w:p w14:paraId="69A5361A">
      <w:pPr>
        <w:spacing w:line="119" w:lineRule="exact"/>
      </w:pPr>
    </w:p>
    <w:tbl>
      <w:tblPr>
        <w:tblStyle w:val="5"/>
        <w:tblW w:w="936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3"/>
        <w:gridCol w:w="1458"/>
        <w:gridCol w:w="2298"/>
        <w:gridCol w:w="849"/>
        <w:gridCol w:w="829"/>
        <w:gridCol w:w="829"/>
        <w:gridCol w:w="849"/>
        <w:gridCol w:w="794"/>
      </w:tblGrid>
      <w:tr w14:paraId="1C8A1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1463" w:type="dxa"/>
            <w:vAlign w:val="top"/>
          </w:tcPr>
          <w:p w14:paraId="787C522D">
            <w:pPr>
              <w:spacing w:before="303" w:line="219" w:lineRule="auto"/>
              <w:ind w:left="404"/>
              <w:rPr>
                <w:rFonts w:ascii="宋体" w:hAnsi="宋体" w:eastAsia="宋体" w:cs="宋体"/>
                <w:sz w:val="21"/>
                <w:szCs w:val="21"/>
              </w:rPr>
            </w:pPr>
            <w:r>
              <w:rPr>
                <w:rFonts w:ascii="宋体" w:hAnsi="宋体" w:eastAsia="宋体" w:cs="宋体"/>
                <w:spacing w:val="4"/>
                <w:sz w:val="21"/>
                <w:szCs w:val="21"/>
              </w:rPr>
              <w:t>故障号</w:t>
            </w:r>
          </w:p>
        </w:tc>
        <w:tc>
          <w:tcPr>
            <w:tcW w:w="1458" w:type="dxa"/>
            <w:vAlign w:val="top"/>
          </w:tcPr>
          <w:p w14:paraId="0A929E7F">
            <w:pPr>
              <w:spacing w:before="124" w:line="297" w:lineRule="auto"/>
              <w:ind w:left="301" w:right="265"/>
              <w:rPr>
                <w:rFonts w:ascii="宋体" w:hAnsi="宋体" w:eastAsia="宋体" w:cs="宋体"/>
                <w:sz w:val="21"/>
                <w:szCs w:val="21"/>
              </w:rPr>
            </w:pPr>
            <w:r>
              <w:rPr>
                <w:rFonts w:ascii="宋体" w:hAnsi="宋体" w:eastAsia="宋体" w:cs="宋体"/>
                <w:spacing w:val="2"/>
                <w:sz w:val="21"/>
                <w:szCs w:val="21"/>
              </w:rPr>
              <w:t>发生故障</w:t>
            </w:r>
            <w:r>
              <w:rPr>
                <w:rFonts w:ascii="宋体" w:hAnsi="宋体" w:eastAsia="宋体" w:cs="宋体"/>
                <w:sz w:val="21"/>
                <w:szCs w:val="21"/>
              </w:rPr>
              <w:t xml:space="preserve"> </w:t>
            </w:r>
            <w:r>
              <w:rPr>
                <w:rFonts w:ascii="宋体" w:hAnsi="宋体" w:eastAsia="宋体" w:cs="宋体"/>
                <w:spacing w:val="10"/>
                <w:sz w:val="21"/>
                <w:szCs w:val="21"/>
              </w:rPr>
              <w:t>试验项目</w:t>
            </w:r>
          </w:p>
        </w:tc>
        <w:tc>
          <w:tcPr>
            <w:tcW w:w="2298" w:type="dxa"/>
            <w:vAlign w:val="top"/>
          </w:tcPr>
          <w:p w14:paraId="0414441A">
            <w:pPr>
              <w:spacing w:before="133" w:line="293" w:lineRule="auto"/>
              <w:ind w:left="513" w:right="497"/>
              <w:rPr>
                <w:rFonts w:ascii="宋体" w:hAnsi="宋体" w:eastAsia="宋体" w:cs="宋体"/>
                <w:sz w:val="21"/>
                <w:szCs w:val="21"/>
              </w:rPr>
            </w:pPr>
            <w:r>
              <w:rPr>
                <w:rFonts w:ascii="宋体" w:hAnsi="宋体" w:eastAsia="宋体" w:cs="宋体"/>
                <w:spacing w:val="2"/>
                <w:sz w:val="21"/>
                <w:szCs w:val="21"/>
              </w:rPr>
              <w:t>发生故障时的</w:t>
            </w:r>
            <w:r>
              <w:rPr>
                <w:rFonts w:ascii="宋体" w:hAnsi="宋体" w:eastAsia="宋体" w:cs="宋体"/>
                <w:spacing w:val="3"/>
                <w:sz w:val="21"/>
                <w:szCs w:val="21"/>
              </w:rPr>
              <w:t xml:space="preserve"> </w:t>
            </w:r>
            <w:r>
              <w:rPr>
                <w:rFonts w:ascii="宋体" w:hAnsi="宋体" w:eastAsia="宋体" w:cs="宋体"/>
                <w:spacing w:val="-2"/>
                <w:sz w:val="21"/>
                <w:szCs w:val="21"/>
              </w:rPr>
              <w:t>环境应力条件</w:t>
            </w:r>
          </w:p>
        </w:tc>
        <w:tc>
          <w:tcPr>
            <w:tcW w:w="849" w:type="dxa"/>
            <w:vAlign w:val="top"/>
          </w:tcPr>
          <w:p w14:paraId="50343D86">
            <w:pPr>
              <w:spacing w:before="123" w:line="219" w:lineRule="auto"/>
              <w:ind w:left="206"/>
              <w:rPr>
                <w:rFonts w:ascii="宋体" w:hAnsi="宋体" w:eastAsia="宋体" w:cs="宋体"/>
                <w:sz w:val="21"/>
                <w:szCs w:val="21"/>
              </w:rPr>
            </w:pPr>
            <w:r>
              <w:rPr>
                <w:rFonts w:ascii="宋体" w:hAnsi="宋体" w:eastAsia="宋体" w:cs="宋体"/>
                <w:spacing w:val="4"/>
                <w:sz w:val="21"/>
                <w:szCs w:val="21"/>
              </w:rPr>
              <w:t>故障</w:t>
            </w:r>
          </w:p>
          <w:p w14:paraId="1E245769">
            <w:pPr>
              <w:spacing w:before="110" w:line="219" w:lineRule="auto"/>
              <w:ind w:left="206"/>
              <w:rPr>
                <w:rFonts w:ascii="宋体" w:hAnsi="宋体" w:eastAsia="宋体" w:cs="宋体"/>
                <w:sz w:val="21"/>
                <w:szCs w:val="21"/>
              </w:rPr>
            </w:pPr>
            <w:r>
              <w:rPr>
                <w:rFonts w:ascii="宋体" w:hAnsi="宋体" w:eastAsia="宋体" w:cs="宋体"/>
                <w:spacing w:val="-3"/>
                <w:sz w:val="21"/>
                <w:szCs w:val="21"/>
              </w:rPr>
              <w:t>现象</w:t>
            </w:r>
          </w:p>
        </w:tc>
        <w:tc>
          <w:tcPr>
            <w:tcW w:w="829" w:type="dxa"/>
            <w:vAlign w:val="top"/>
          </w:tcPr>
          <w:p w14:paraId="20B4D262">
            <w:pPr>
              <w:spacing w:before="123" w:line="219" w:lineRule="auto"/>
              <w:ind w:left="197"/>
              <w:rPr>
                <w:rFonts w:ascii="宋体" w:hAnsi="宋体" w:eastAsia="宋体" w:cs="宋体"/>
                <w:sz w:val="21"/>
                <w:szCs w:val="21"/>
              </w:rPr>
            </w:pPr>
            <w:r>
              <w:rPr>
                <w:rFonts w:ascii="宋体" w:hAnsi="宋体" w:eastAsia="宋体" w:cs="宋体"/>
                <w:spacing w:val="4"/>
                <w:sz w:val="21"/>
                <w:szCs w:val="21"/>
              </w:rPr>
              <w:t>故障</w:t>
            </w:r>
          </w:p>
          <w:p w14:paraId="635F781F">
            <w:pPr>
              <w:spacing w:before="114" w:line="222" w:lineRule="auto"/>
              <w:ind w:left="197"/>
              <w:rPr>
                <w:rFonts w:ascii="宋体" w:hAnsi="宋体" w:eastAsia="宋体" w:cs="宋体"/>
                <w:sz w:val="21"/>
                <w:szCs w:val="21"/>
              </w:rPr>
            </w:pPr>
            <w:r>
              <w:rPr>
                <w:rFonts w:ascii="宋体" w:hAnsi="宋体" w:eastAsia="宋体" w:cs="宋体"/>
                <w:spacing w:val="10"/>
                <w:sz w:val="21"/>
                <w:szCs w:val="21"/>
              </w:rPr>
              <w:t>原因</w:t>
            </w:r>
          </w:p>
        </w:tc>
        <w:tc>
          <w:tcPr>
            <w:tcW w:w="829" w:type="dxa"/>
            <w:vAlign w:val="top"/>
          </w:tcPr>
          <w:p w14:paraId="6DC55702">
            <w:pPr>
              <w:spacing w:before="133" w:line="219" w:lineRule="auto"/>
              <w:ind w:left="198"/>
              <w:rPr>
                <w:rFonts w:ascii="宋体" w:hAnsi="宋体" w:eastAsia="宋体" w:cs="宋体"/>
                <w:sz w:val="21"/>
                <w:szCs w:val="21"/>
              </w:rPr>
            </w:pPr>
            <w:r>
              <w:rPr>
                <w:rFonts w:ascii="宋体" w:hAnsi="宋体" w:eastAsia="宋体" w:cs="宋体"/>
                <w:spacing w:val="4"/>
                <w:sz w:val="21"/>
                <w:szCs w:val="21"/>
              </w:rPr>
              <w:t>故障</w:t>
            </w:r>
          </w:p>
          <w:p w14:paraId="091F9072">
            <w:pPr>
              <w:spacing w:before="109" w:line="219" w:lineRule="auto"/>
              <w:ind w:left="198"/>
              <w:rPr>
                <w:rFonts w:ascii="宋体" w:hAnsi="宋体" w:eastAsia="宋体" w:cs="宋体"/>
                <w:sz w:val="21"/>
                <w:szCs w:val="21"/>
              </w:rPr>
            </w:pPr>
            <w:r>
              <w:rPr>
                <w:rFonts w:ascii="宋体" w:hAnsi="宋体" w:eastAsia="宋体" w:cs="宋体"/>
                <w:spacing w:val="-2"/>
                <w:sz w:val="21"/>
                <w:szCs w:val="21"/>
              </w:rPr>
              <w:t>机理</w:t>
            </w:r>
          </w:p>
        </w:tc>
        <w:tc>
          <w:tcPr>
            <w:tcW w:w="849" w:type="dxa"/>
            <w:vAlign w:val="top"/>
          </w:tcPr>
          <w:p w14:paraId="706661F4">
            <w:pPr>
              <w:spacing w:before="144" w:line="288" w:lineRule="auto"/>
              <w:ind w:left="208" w:right="197"/>
              <w:rPr>
                <w:rFonts w:ascii="宋体" w:hAnsi="宋体" w:eastAsia="宋体" w:cs="宋体"/>
                <w:sz w:val="21"/>
                <w:szCs w:val="21"/>
              </w:rPr>
            </w:pPr>
            <w:r>
              <w:rPr>
                <w:rFonts w:ascii="宋体" w:hAnsi="宋体" w:eastAsia="宋体" w:cs="宋体"/>
                <w:spacing w:val="6"/>
                <w:sz w:val="21"/>
                <w:szCs w:val="21"/>
              </w:rPr>
              <w:t>纠正</w:t>
            </w:r>
            <w:r>
              <w:rPr>
                <w:rFonts w:ascii="宋体" w:hAnsi="宋体" w:eastAsia="宋体" w:cs="宋体"/>
                <w:sz w:val="21"/>
                <w:szCs w:val="21"/>
              </w:rPr>
              <w:t xml:space="preserve"> </w:t>
            </w:r>
            <w:r>
              <w:rPr>
                <w:rFonts w:ascii="宋体" w:hAnsi="宋体" w:eastAsia="宋体" w:cs="宋体"/>
                <w:spacing w:val="-3"/>
                <w:sz w:val="21"/>
                <w:szCs w:val="21"/>
              </w:rPr>
              <w:t>措施</w:t>
            </w:r>
          </w:p>
        </w:tc>
        <w:tc>
          <w:tcPr>
            <w:tcW w:w="794" w:type="dxa"/>
            <w:vAlign w:val="top"/>
          </w:tcPr>
          <w:p w14:paraId="6BB33EE7">
            <w:pPr>
              <w:spacing w:before="149" w:line="224" w:lineRule="auto"/>
              <w:ind w:left="179"/>
              <w:rPr>
                <w:rFonts w:ascii="宋体" w:hAnsi="宋体" w:eastAsia="宋体" w:cs="宋体"/>
                <w:sz w:val="21"/>
                <w:szCs w:val="21"/>
              </w:rPr>
            </w:pPr>
            <w:r>
              <w:rPr>
                <w:rFonts w:ascii="宋体" w:hAnsi="宋体" w:eastAsia="宋体" w:cs="宋体"/>
                <w:spacing w:val="-2"/>
                <w:sz w:val="21"/>
                <w:szCs w:val="21"/>
              </w:rPr>
              <w:t>验证</w:t>
            </w:r>
          </w:p>
          <w:p w14:paraId="349DC195">
            <w:pPr>
              <w:spacing w:before="79" w:line="220" w:lineRule="auto"/>
              <w:ind w:left="179"/>
              <w:rPr>
                <w:rFonts w:ascii="宋体" w:hAnsi="宋体" w:eastAsia="宋体" w:cs="宋体"/>
                <w:sz w:val="21"/>
                <w:szCs w:val="21"/>
              </w:rPr>
            </w:pPr>
            <w:r>
              <w:rPr>
                <w:rFonts w:ascii="宋体" w:hAnsi="宋体" w:eastAsia="宋体" w:cs="宋体"/>
                <w:spacing w:val="-3"/>
                <w:sz w:val="21"/>
                <w:szCs w:val="21"/>
              </w:rPr>
              <w:t>情况</w:t>
            </w:r>
          </w:p>
        </w:tc>
      </w:tr>
      <w:tr w14:paraId="75E49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463" w:type="dxa"/>
            <w:vAlign w:val="top"/>
          </w:tcPr>
          <w:p w14:paraId="0ACC5371">
            <w:pPr>
              <w:pStyle w:val="6"/>
            </w:pPr>
          </w:p>
        </w:tc>
        <w:tc>
          <w:tcPr>
            <w:tcW w:w="1458" w:type="dxa"/>
            <w:vAlign w:val="top"/>
          </w:tcPr>
          <w:p w14:paraId="54B8C41D">
            <w:pPr>
              <w:pStyle w:val="6"/>
            </w:pPr>
          </w:p>
        </w:tc>
        <w:tc>
          <w:tcPr>
            <w:tcW w:w="2298" w:type="dxa"/>
            <w:vAlign w:val="top"/>
          </w:tcPr>
          <w:p w14:paraId="0C247541">
            <w:pPr>
              <w:pStyle w:val="6"/>
            </w:pPr>
          </w:p>
        </w:tc>
        <w:tc>
          <w:tcPr>
            <w:tcW w:w="849" w:type="dxa"/>
            <w:vAlign w:val="top"/>
          </w:tcPr>
          <w:p w14:paraId="2C6EEC47">
            <w:pPr>
              <w:pStyle w:val="6"/>
            </w:pPr>
          </w:p>
        </w:tc>
        <w:tc>
          <w:tcPr>
            <w:tcW w:w="829" w:type="dxa"/>
            <w:vAlign w:val="top"/>
          </w:tcPr>
          <w:p w14:paraId="62D302D2">
            <w:pPr>
              <w:pStyle w:val="6"/>
            </w:pPr>
          </w:p>
        </w:tc>
        <w:tc>
          <w:tcPr>
            <w:tcW w:w="829" w:type="dxa"/>
            <w:vAlign w:val="top"/>
          </w:tcPr>
          <w:p w14:paraId="0EF65CE8">
            <w:pPr>
              <w:pStyle w:val="6"/>
            </w:pPr>
          </w:p>
        </w:tc>
        <w:tc>
          <w:tcPr>
            <w:tcW w:w="849" w:type="dxa"/>
            <w:vAlign w:val="top"/>
          </w:tcPr>
          <w:p w14:paraId="573880C0">
            <w:pPr>
              <w:pStyle w:val="6"/>
            </w:pPr>
          </w:p>
        </w:tc>
        <w:tc>
          <w:tcPr>
            <w:tcW w:w="794" w:type="dxa"/>
            <w:vAlign w:val="top"/>
          </w:tcPr>
          <w:p w14:paraId="5664C8AF">
            <w:pPr>
              <w:pStyle w:val="6"/>
            </w:pPr>
          </w:p>
        </w:tc>
      </w:tr>
      <w:tr w14:paraId="79AEB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463" w:type="dxa"/>
            <w:vAlign w:val="top"/>
          </w:tcPr>
          <w:p w14:paraId="08E45C6F">
            <w:pPr>
              <w:pStyle w:val="6"/>
            </w:pPr>
          </w:p>
        </w:tc>
        <w:tc>
          <w:tcPr>
            <w:tcW w:w="1458" w:type="dxa"/>
            <w:vAlign w:val="top"/>
          </w:tcPr>
          <w:p w14:paraId="6986FE39">
            <w:pPr>
              <w:pStyle w:val="6"/>
            </w:pPr>
          </w:p>
        </w:tc>
        <w:tc>
          <w:tcPr>
            <w:tcW w:w="2298" w:type="dxa"/>
            <w:vAlign w:val="top"/>
          </w:tcPr>
          <w:p w14:paraId="537158C9">
            <w:pPr>
              <w:pStyle w:val="6"/>
            </w:pPr>
          </w:p>
        </w:tc>
        <w:tc>
          <w:tcPr>
            <w:tcW w:w="849" w:type="dxa"/>
            <w:vAlign w:val="top"/>
          </w:tcPr>
          <w:p w14:paraId="31A86421">
            <w:pPr>
              <w:pStyle w:val="6"/>
            </w:pPr>
          </w:p>
        </w:tc>
        <w:tc>
          <w:tcPr>
            <w:tcW w:w="829" w:type="dxa"/>
            <w:vAlign w:val="top"/>
          </w:tcPr>
          <w:p w14:paraId="51762892">
            <w:pPr>
              <w:pStyle w:val="6"/>
            </w:pPr>
          </w:p>
        </w:tc>
        <w:tc>
          <w:tcPr>
            <w:tcW w:w="829" w:type="dxa"/>
            <w:vAlign w:val="top"/>
          </w:tcPr>
          <w:p w14:paraId="504EF03A">
            <w:pPr>
              <w:pStyle w:val="6"/>
            </w:pPr>
          </w:p>
        </w:tc>
        <w:tc>
          <w:tcPr>
            <w:tcW w:w="849" w:type="dxa"/>
            <w:vAlign w:val="top"/>
          </w:tcPr>
          <w:p w14:paraId="28CD8572">
            <w:pPr>
              <w:pStyle w:val="6"/>
            </w:pPr>
          </w:p>
        </w:tc>
        <w:tc>
          <w:tcPr>
            <w:tcW w:w="794" w:type="dxa"/>
            <w:vAlign w:val="top"/>
          </w:tcPr>
          <w:p w14:paraId="27C7D809">
            <w:pPr>
              <w:pStyle w:val="6"/>
            </w:pPr>
          </w:p>
        </w:tc>
      </w:tr>
    </w:tbl>
    <w:p w14:paraId="2DF5D685">
      <w:pPr>
        <w:spacing w:before="186" w:line="223" w:lineRule="auto"/>
        <w:rPr>
          <w:rFonts w:ascii="黑体" w:hAnsi="黑体" w:eastAsia="黑体" w:cs="黑体"/>
          <w:sz w:val="27"/>
          <w:szCs w:val="27"/>
        </w:rPr>
      </w:pPr>
      <w:r>
        <w:rPr>
          <w:rFonts w:ascii="黑体" w:hAnsi="黑体" w:eastAsia="黑体" w:cs="黑体"/>
          <w:spacing w:val="8"/>
          <w:sz w:val="27"/>
          <w:szCs w:val="27"/>
        </w:rPr>
        <w:t>9  合格判据</w:t>
      </w:r>
    </w:p>
    <w:p w14:paraId="1EF1751F">
      <w:pPr>
        <w:pStyle w:val="2"/>
        <w:spacing w:before="93" w:line="219" w:lineRule="auto"/>
        <w:ind w:left="560"/>
      </w:pPr>
      <w:r>
        <w:rPr>
          <w:spacing w:val="1"/>
        </w:rPr>
        <w:t>列表说明试验合格判据，具体格式见表12.7。</w:t>
      </w:r>
    </w:p>
    <w:p w14:paraId="157F3FAF">
      <w:pPr>
        <w:spacing w:before="88" w:line="222" w:lineRule="auto"/>
        <w:ind w:left="3159"/>
        <w:rPr>
          <w:rFonts w:ascii="仿宋" w:hAnsi="仿宋" w:eastAsia="仿宋" w:cs="仿宋"/>
          <w:sz w:val="27"/>
          <w:szCs w:val="27"/>
        </w:rPr>
      </w:pPr>
      <w:r>
        <w:rPr>
          <w:rFonts w:ascii="仿宋" w:hAnsi="仿宋" w:eastAsia="仿宋" w:cs="仿宋"/>
          <w:spacing w:val="9"/>
          <w:sz w:val="27"/>
          <w:szCs w:val="27"/>
        </w:rPr>
        <w:t>表12.7</w:t>
      </w:r>
      <w:r>
        <w:rPr>
          <w:rFonts w:ascii="仿宋" w:hAnsi="仿宋" w:eastAsia="仿宋" w:cs="仿宋"/>
          <w:spacing w:val="1"/>
          <w:sz w:val="27"/>
          <w:szCs w:val="27"/>
        </w:rPr>
        <w:t xml:space="preserve">  </w:t>
      </w:r>
      <w:r>
        <w:rPr>
          <w:rFonts w:ascii="仿宋" w:hAnsi="仿宋" w:eastAsia="仿宋" w:cs="仿宋"/>
          <w:spacing w:val="9"/>
          <w:sz w:val="27"/>
          <w:szCs w:val="27"/>
        </w:rPr>
        <w:t>产品合格判据表</w:t>
      </w:r>
    </w:p>
    <w:p w14:paraId="51C4F0D7">
      <w:pPr>
        <w:spacing w:line="81" w:lineRule="exact"/>
      </w:pPr>
    </w:p>
    <w:tbl>
      <w:tblPr>
        <w:tblStyle w:val="5"/>
        <w:tblW w:w="935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1039"/>
        <w:gridCol w:w="3126"/>
        <w:gridCol w:w="4360"/>
      </w:tblGrid>
      <w:tr w14:paraId="3BCC4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834" w:type="dxa"/>
            <w:vAlign w:val="top"/>
          </w:tcPr>
          <w:p w14:paraId="390E47E9">
            <w:pPr>
              <w:spacing w:before="104" w:line="221" w:lineRule="auto"/>
              <w:ind w:left="194"/>
              <w:rPr>
                <w:rFonts w:ascii="宋体" w:hAnsi="宋体" w:eastAsia="宋体" w:cs="宋体"/>
                <w:sz w:val="21"/>
                <w:szCs w:val="21"/>
              </w:rPr>
            </w:pPr>
            <w:r>
              <w:rPr>
                <w:rFonts w:ascii="宋体" w:hAnsi="宋体" w:eastAsia="宋体" w:cs="宋体"/>
                <w:spacing w:val="6"/>
                <w:sz w:val="21"/>
                <w:szCs w:val="21"/>
              </w:rPr>
              <w:t>序号</w:t>
            </w:r>
          </w:p>
        </w:tc>
        <w:tc>
          <w:tcPr>
            <w:tcW w:w="4165" w:type="dxa"/>
            <w:gridSpan w:val="2"/>
            <w:vAlign w:val="top"/>
          </w:tcPr>
          <w:p w14:paraId="3AA09273">
            <w:pPr>
              <w:spacing w:before="103" w:line="219" w:lineRule="auto"/>
              <w:ind w:left="1651"/>
              <w:rPr>
                <w:rFonts w:ascii="宋体" w:hAnsi="宋体" w:eastAsia="宋体" w:cs="宋体"/>
                <w:sz w:val="21"/>
                <w:szCs w:val="21"/>
              </w:rPr>
            </w:pPr>
            <w:r>
              <w:rPr>
                <w:rFonts w:ascii="宋体" w:hAnsi="宋体" w:eastAsia="宋体" w:cs="宋体"/>
                <w:spacing w:val="3"/>
                <w:sz w:val="21"/>
                <w:szCs w:val="21"/>
              </w:rPr>
              <w:t>判据类型</w:t>
            </w:r>
          </w:p>
        </w:tc>
        <w:tc>
          <w:tcPr>
            <w:tcW w:w="4360" w:type="dxa"/>
            <w:vAlign w:val="top"/>
          </w:tcPr>
          <w:p w14:paraId="3DC1EF58">
            <w:pPr>
              <w:spacing w:before="103" w:line="219" w:lineRule="auto"/>
              <w:ind w:left="1536"/>
              <w:rPr>
                <w:rFonts w:ascii="宋体" w:hAnsi="宋体" w:eastAsia="宋体" w:cs="宋体"/>
                <w:sz w:val="21"/>
                <w:szCs w:val="21"/>
              </w:rPr>
            </w:pPr>
            <w:r>
              <w:rPr>
                <w:rFonts w:ascii="宋体" w:hAnsi="宋体" w:eastAsia="宋体" w:cs="宋体"/>
                <w:spacing w:val="-2"/>
                <w:sz w:val="21"/>
                <w:szCs w:val="21"/>
              </w:rPr>
              <w:t>判别准则内容</w:t>
            </w:r>
          </w:p>
        </w:tc>
      </w:tr>
      <w:tr w14:paraId="457F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834" w:type="dxa"/>
            <w:vAlign w:val="top"/>
          </w:tcPr>
          <w:p w14:paraId="36C24669">
            <w:pPr>
              <w:spacing w:before="121" w:line="241" w:lineRule="auto"/>
              <w:ind w:left="354"/>
              <w:rPr>
                <w:rFonts w:ascii="宋体" w:hAnsi="宋体" w:eastAsia="宋体" w:cs="宋体"/>
                <w:sz w:val="21"/>
                <w:szCs w:val="21"/>
              </w:rPr>
            </w:pPr>
            <w:r>
              <w:rPr>
                <w:rFonts w:ascii="宋体" w:hAnsi="宋体" w:eastAsia="宋体" w:cs="宋体"/>
                <w:sz w:val="21"/>
                <w:szCs w:val="21"/>
              </w:rPr>
              <w:t>1</w:t>
            </w:r>
          </w:p>
        </w:tc>
        <w:tc>
          <w:tcPr>
            <w:tcW w:w="4165" w:type="dxa"/>
            <w:gridSpan w:val="2"/>
            <w:vAlign w:val="top"/>
          </w:tcPr>
          <w:p w14:paraId="054647A9">
            <w:pPr>
              <w:spacing w:before="100" w:line="219" w:lineRule="auto"/>
              <w:ind w:left="1440"/>
              <w:rPr>
                <w:rFonts w:ascii="宋体" w:hAnsi="宋体" w:eastAsia="宋体" w:cs="宋体"/>
                <w:sz w:val="21"/>
                <w:szCs w:val="21"/>
              </w:rPr>
            </w:pPr>
            <w:r>
              <w:rPr>
                <w:rFonts w:ascii="宋体" w:hAnsi="宋体" w:eastAsia="宋体" w:cs="宋体"/>
                <w:spacing w:val="2"/>
                <w:sz w:val="21"/>
                <w:szCs w:val="21"/>
              </w:rPr>
              <w:t>通用合格判据</w:t>
            </w:r>
          </w:p>
        </w:tc>
        <w:tc>
          <w:tcPr>
            <w:tcW w:w="4360" w:type="dxa"/>
            <w:vAlign w:val="top"/>
          </w:tcPr>
          <w:p w14:paraId="32CFC5F9">
            <w:pPr>
              <w:pStyle w:val="6"/>
            </w:pPr>
          </w:p>
        </w:tc>
      </w:tr>
      <w:tr w14:paraId="34062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834" w:type="dxa"/>
            <w:vMerge w:val="restart"/>
            <w:tcBorders>
              <w:bottom w:val="nil"/>
            </w:tcBorders>
            <w:vAlign w:val="top"/>
          </w:tcPr>
          <w:p w14:paraId="0F554B01">
            <w:pPr>
              <w:pStyle w:val="6"/>
              <w:spacing w:line="335" w:lineRule="auto"/>
            </w:pPr>
          </w:p>
          <w:p w14:paraId="35CB1D7D">
            <w:pPr>
              <w:pStyle w:val="6"/>
              <w:spacing w:line="336" w:lineRule="auto"/>
            </w:pPr>
          </w:p>
          <w:p w14:paraId="23BC36D5">
            <w:pPr>
              <w:spacing w:before="68" w:line="241" w:lineRule="auto"/>
              <w:ind w:left="354"/>
              <w:rPr>
                <w:rFonts w:ascii="宋体" w:hAnsi="宋体" w:eastAsia="宋体" w:cs="宋体"/>
                <w:sz w:val="21"/>
                <w:szCs w:val="21"/>
              </w:rPr>
            </w:pPr>
            <w:r>
              <w:rPr>
                <w:rFonts w:ascii="宋体" w:hAnsi="宋体" w:eastAsia="宋体" w:cs="宋体"/>
                <w:sz w:val="21"/>
                <w:szCs w:val="21"/>
              </w:rPr>
              <w:t>2</w:t>
            </w:r>
          </w:p>
        </w:tc>
        <w:tc>
          <w:tcPr>
            <w:tcW w:w="1039" w:type="dxa"/>
            <w:vMerge w:val="restart"/>
            <w:tcBorders>
              <w:bottom w:val="nil"/>
            </w:tcBorders>
            <w:vAlign w:val="top"/>
          </w:tcPr>
          <w:p w14:paraId="52927D04">
            <w:pPr>
              <w:pStyle w:val="6"/>
              <w:spacing w:line="313" w:lineRule="auto"/>
            </w:pPr>
          </w:p>
          <w:p w14:paraId="49E8FC45">
            <w:pPr>
              <w:spacing w:before="68" w:line="300" w:lineRule="auto"/>
              <w:ind w:left="301" w:right="295"/>
              <w:jc w:val="both"/>
              <w:rPr>
                <w:rFonts w:ascii="宋体" w:hAnsi="宋体" w:eastAsia="宋体" w:cs="宋体"/>
                <w:sz w:val="21"/>
                <w:szCs w:val="21"/>
              </w:rPr>
            </w:pPr>
            <w:r>
              <w:rPr>
                <w:rFonts w:ascii="宋体" w:hAnsi="宋体" w:eastAsia="宋体" w:cs="宋体"/>
                <w:spacing w:val="-5"/>
                <w:sz w:val="21"/>
                <w:szCs w:val="21"/>
              </w:rPr>
              <w:t>特有</w:t>
            </w:r>
            <w:r>
              <w:rPr>
                <w:rFonts w:ascii="宋体" w:hAnsi="宋体" w:eastAsia="宋体" w:cs="宋体"/>
                <w:sz w:val="21"/>
                <w:szCs w:val="21"/>
              </w:rPr>
              <w:t xml:space="preserve"> </w:t>
            </w:r>
            <w:r>
              <w:rPr>
                <w:rFonts w:ascii="宋体" w:hAnsi="宋体" w:eastAsia="宋体" w:cs="宋体"/>
                <w:spacing w:val="-5"/>
                <w:sz w:val="21"/>
                <w:szCs w:val="21"/>
              </w:rPr>
              <w:t>合格</w:t>
            </w:r>
            <w:r>
              <w:rPr>
                <w:rFonts w:ascii="宋体" w:hAnsi="宋体" w:eastAsia="宋体" w:cs="宋体"/>
                <w:sz w:val="21"/>
                <w:szCs w:val="21"/>
              </w:rPr>
              <w:t xml:space="preserve"> </w:t>
            </w:r>
            <w:r>
              <w:rPr>
                <w:rFonts w:ascii="宋体" w:hAnsi="宋体" w:eastAsia="宋体" w:cs="宋体"/>
                <w:spacing w:val="6"/>
                <w:sz w:val="21"/>
                <w:szCs w:val="21"/>
              </w:rPr>
              <w:t>判据</w:t>
            </w:r>
          </w:p>
        </w:tc>
        <w:tc>
          <w:tcPr>
            <w:tcW w:w="3126" w:type="dxa"/>
            <w:vAlign w:val="top"/>
          </w:tcPr>
          <w:p w14:paraId="0BC8C502">
            <w:pPr>
              <w:spacing w:before="102" w:line="219" w:lineRule="auto"/>
              <w:ind w:left="921"/>
              <w:rPr>
                <w:rFonts w:ascii="宋体" w:hAnsi="宋体" w:eastAsia="宋体" w:cs="宋体"/>
                <w:sz w:val="21"/>
                <w:szCs w:val="21"/>
              </w:rPr>
            </w:pPr>
            <w:r>
              <w:rPr>
                <w:rFonts w:ascii="宋体" w:hAnsi="宋体" w:eastAsia="宋体" w:cs="宋体"/>
                <w:spacing w:val="6"/>
                <w:sz w:val="21"/>
                <w:szCs w:val="21"/>
              </w:rPr>
              <w:t>霉菌试验项目</w:t>
            </w:r>
          </w:p>
        </w:tc>
        <w:tc>
          <w:tcPr>
            <w:tcW w:w="4360" w:type="dxa"/>
            <w:vAlign w:val="top"/>
          </w:tcPr>
          <w:p w14:paraId="711110CB">
            <w:pPr>
              <w:pStyle w:val="6"/>
            </w:pPr>
          </w:p>
        </w:tc>
      </w:tr>
      <w:tr w14:paraId="583B0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834" w:type="dxa"/>
            <w:vMerge w:val="continue"/>
            <w:tcBorders>
              <w:top w:val="nil"/>
              <w:bottom w:val="nil"/>
            </w:tcBorders>
            <w:vAlign w:val="top"/>
          </w:tcPr>
          <w:p w14:paraId="43F065F4">
            <w:pPr>
              <w:pStyle w:val="6"/>
            </w:pPr>
          </w:p>
        </w:tc>
        <w:tc>
          <w:tcPr>
            <w:tcW w:w="1039" w:type="dxa"/>
            <w:vMerge w:val="continue"/>
            <w:tcBorders>
              <w:top w:val="nil"/>
              <w:bottom w:val="nil"/>
            </w:tcBorders>
            <w:vAlign w:val="top"/>
          </w:tcPr>
          <w:p w14:paraId="5032D731">
            <w:pPr>
              <w:pStyle w:val="6"/>
            </w:pPr>
          </w:p>
        </w:tc>
        <w:tc>
          <w:tcPr>
            <w:tcW w:w="3126" w:type="dxa"/>
            <w:vAlign w:val="top"/>
          </w:tcPr>
          <w:p w14:paraId="271FA46E">
            <w:pPr>
              <w:spacing w:before="95" w:line="220" w:lineRule="auto"/>
              <w:ind w:left="921"/>
              <w:rPr>
                <w:rFonts w:ascii="宋体" w:hAnsi="宋体" w:eastAsia="宋体" w:cs="宋体"/>
                <w:sz w:val="21"/>
                <w:szCs w:val="21"/>
              </w:rPr>
            </w:pPr>
            <w:r>
              <w:rPr>
                <w:rFonts w:ascii="宋体" w:hAnsi="宋体" w:eastAsia="宋体" w:cs="宋体"/>
                <w:spacing w:val="6"/>
                <w:sz w:val="21"/>
                <w:szCs w:val="21"/>
              </w:rPr>
              <w:t>盐雾试验项目</w:t>
            </w:r>
          </w:p>
        </w:tc>
        <w:tc>
          <w:tcPr>
            <w:tcW w:w="4360" w:type="dxa"/>
            <w:vAlign w:val="top"/>
          </w:tcPr>
          <w:p w14:paraId="26384675">
            <w:pPr>
              <w:pStyle w:val="6"/>
            </w:pPr>
          </w:p>
        </w:tc>
      </w:tr>
      <w:tr w14:paraId="21E5B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834" w:type="dxa"/>
            <w:vMerge w:val="continue"/>
            <w:tcBorders>
              <w:top w:val="nil"/>
              <w:bottom w:val="nil"/>
            </w:tcBorders>
            <w:vAlign w:val="top"/>
          </w:tcPr>
          <w:p w14:paraId="69C9C18D">
            <w:pPr>
              <w:pStyle w:val="6"/>
            </w:pPr>
          </w:p>
        </w:tc>
        <w:tc>
          <w:tcPr>
            <w:tcW w:w="1039" w:type="dxa"/>
            <w:vMerge w:val="continue"/>
            <w:tcBorders>
              <w:top w:val="nil"/>
              <w:bottom w:val="nil"/>
            </w:tcBorders>
            <w:vAlign w:val="top"/>
          </w:tcPr>
          <w:p w14:paraId="2A26D5A2">
            <w:pPr>
              <w:pStyle w:val="6"/>
            </w:pPr>
          </w:p>
        </w:tc>
        <w:tc>
          <w:tcPr>
            <w:tcW w:w="3126" w:type="dxa"/>
            <w:vAlign w:val="top"/>
          </w:tcPr>
          <w:p w14:paraId="7E1AC38A">
            <w:pPr>
              <w:spacing w:before="106" w:line="220" w:lineRule="auto"/>
              <w:ind w:left="921"/>
              <w:rPr>
                <w:rFonts w:ascii="宋体" w:hAnsi="宋体" w:eastAsia="宋体" w:cs="宋体"/>
                <w:sz w:val="21"/>
                <w:szCs w:val="21"/>
              </w:rPr>
            </w:pPr>
            <w:r>
              <w:rPr>
                <w:rFonts w:ascii="宋体" w:hAnsi="宋体" w:eastAsia="宋体" w:cs="宋体"/>
                <w:spacing w:val="6"/>
                <w:sz w:val="21"/>
                <w:szCs w:val="21"/>
              </w:rPr>
              <w:t>湿热试验项目</w:t>
            </w:r>
          </w:p>
        </w:tc>
        <w:tc>
          <w:tcPr>
            <w:tcW w:w="4360" w:type="dxa"/>
            <w:vAlign w:val="top"/>
          </w:tcPr>
          <w:p w14:paraId="5FA4F0C6">
            <w:pPr>
              <w:pStyle w:val="6"/>
            </w:pPr>
          </w:p>
        </w:tc>
      </w:tr>
      <w:tr w14:paraId="4E115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834" w:type="dxa"/>
            <w:vMerge w:val="continue"/>
            <w:tcBorders>
              <w:top w:val="nil"/>
            </w:tcBorders>
            <w:vAlign w:val="top"/>
          </w:tcPr>
          <w:p w14:paraId="5FBB50AE">
            <w:pPr>
              <w:pStyle w:val="6"/>
            </w:pPr>
          </w:p>
        </w:tc>
        <w:tc>
          <w:tcPr>
            <w:tcW w:w="1039" w:type="dxa"/>
            <w:vMerge w:val="continue"/>
            <w:tcBorders>
              <w:top w:val="nil"/>
            </w:tcBorders>
            <w:vAlign w:val="top"/>
          </w:tcPr>
          <w:p w14:paraId="1250E735">
            <w:pPr>
              <w:pStyle w:val="6"/>
            </w:pPr>
          </w:p>
        </w:tc>
        <w:tc>
          <w:tcPr>
            <w:tcW w:w="3126" w:type="dxa"/>
            <w:vAlign w:val="top"/>
          </w:tcPr>
          <w:p w14:paraId="02433FF9">
            <w:pPr>
              <w:spacing w:before="127" w:line="233" w:lineRule="auto"/>
              <w:ind w:left="1451"/>
              <w:rPr>
                <w:rFonts w:ascii="宋体" w:hAnsi="宋体" w:eastAsia="宋体" w:cs="宋体"/>
                <w:sz w:val="21"/>
                <w:szCs w:val="21"/>
              </w:rPr>
            </w:pPr>
            <w:r>
              <w:rPr>
                <w:rFonts w:ascii="宋体" w:hAnsi="宋体" w:eastAsia="宋体" w:cs="宋体"/>
                <w:sz w:val="21"/>
                <w:szCs w:val="21"/>
              </w:rPr>
              <w:t>…</w:t>
            </w:r>
          </w:p>
        </w:tc>
        <w:tc>
          <w:tcPr>
            <w:tcW w:w="4360" w:type="dxa"/>
            <w:vAlign w:val="top"/>
          </w:tcPr>
          <w:p w14:paraId="18E958C1">
            <w:pPr>
              <w:pStyle w:val="6"/>
            </w:pPr>
          </w:p>
        </w:tc>
      </w:tr>
    </w:tbl>
    <w:p w14:paraId="5DC5DD8F">
      <w:pPr>
        <w:pStyle w:val="2"/>
        <w:spacing w:before="215" w:line="290" w:lineRule="auto"/>
        <w:ind w:right="126" w:firstLine="560"/>
        <w:rPr>
          <w:sz w:val="25"/>
          <w:szCs w:val="25"/>
        </w:rPr>
      </w:pPr>
      <w:r>
        <w:rPr>
          <w:spacing w:val="25"/>
          <w:sz w:val="25"/>
          <w:szCs w:val="25"/>
        </w:rPr>
        <w:t>试验合格判据一般由各试验项目通用的合格或失效判据和每一试验</w:t>
      </w:r>
      <w:r>
        <w:rPr>
          <w:spacing w:val="24"/>
          <w:sz w:val="25"/>
          <w:szCs w:val="25"/>
        </w:rPr>
        <w:t>项目特</w:t>
      </w:r>
      <w:r>
        <w:rPr>
          <w:sz w:val="25"/>
          <w:szCs w:val="25"/>
        </w:rPr>
        <w:t xml:space="preserve"> </w:t>
      </w:r>
      <w:r>
        <w:rPr>
          <w:spacing w:val="21"/>
          <w:sz w:val="25"/>
          <w:szCs w:val="25"/>
        </w:rPr>
        <w:t>有的合格或失效判据组成。</w:t>
      </w:r>
    </w:p>
    <w:p w14:paraId="461D22A2">
      <w:pPr>
        <w:pStyle w:val="2"/>
        <w:spacing w:before="16" w:line="219" w:lineRule="auto"/>
        <w:ind w:left="560"/>
      </w:pPr>
      <w:r>
        <w:rPr>
          <w:spacing w:val="1"/>
        </w:rPr>
        <w:t>通用的合格或失效判据是</w:t>
      </w:r>
      <w:r>
        <w:rPr>
          <w:rFonts w:ascii="Times New Roman" w:hAnsi="Times New Roman" w:eastAsia="Times New Roman" w:cs="Times New Roman"/>
        </w:rPr>
        <w:t>GJB</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150</w:t>
      </w:r>
      <w:r>
        <w:rPr>
          <w:spacing w:val="1"/>
        </w:rPr>
        <w:t>等标准通用要求中规定的条目，如：</w:t>
      </w:r>
    </w:p>
    <w:p w14:paraId="3189DA30">
      <w:pPr>
        <w:pStyle w:val="2"/>
        <w:spacing w:before="49" w:line="212" w:lineRule="auto"/>
        <w:ind w:left="560"/>
      </w:pPr>
      <w:r>
        <w:rPr>
          <w:rFonts w:ascii="Times New Roman" w:hAnsi="Times New Roman" w:eastAsia="Times New Roman" w:cs="Times New Roman"/>
          <w:spacing w:val="4"/>
        </w:rPr>
        <w:t>a)</w:t>
      </w:r>
      <w:r>
        <w:rPr>
          <w:rFonts w:ascii="Times New Roman" w:hAnsi="Times New Roman" w:eastAsia="Times New Roman" w:cs="Times New Roman"/>
          <w:spacing w:val="70"/>
          <w:w w:val="101"/>
        </w:rPr>
        <w:t xml:space="preserve"> </w:t>
      </w:r>
      <w:r>
        <w:rPr>
          <w:spacing w:val="4"/>
        </w:rPr>
        <w:t>性能参数的测量值偏离并超出了规定的容差范围；</w:t>
      </w:r>
    </w:p>
    <w:p w14:paraId="1F2266E1">
      <w:pPr>
        <w:pStyle w:val="2"/>
        <w:spacing w:before="90"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59"/>
        </w:rPr>
        <w:t xml:space="preserve"> </w:t>
      </w:r>
      <w:r>
        <w:rPr>
          <w:spacing w:val="4"/>
        </w:rPr>
        <w:t>结构损坏并影响了试验样品的功能；</w:t>
      </w:r>
    </w:p>
    <w:p w14:paraId="2385BD24">
      <w:pPr>
        <w:pStyle w:val="2"/>
        <w:spacing w:before="12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52"/>
          <w:w w:val="101"/>
        </w:rPr>
        <w:t xml:space="preserve"> </w:t>
      </w:r>
      <w:r>
        <w:rPr>
          <w:spacing w:val="4"/>
        </w:rPr>
        <w:t>不能满足安全要求或出现危及安全的故障；</w:t>
      </w:r>
    </w:p>
    <w:p w14:paraId="1FB844FF">
      <w:pPr>
        <w:pStyle w:val="2"/>
        <w:spacing w:before="90" w:line="212" w:lineRule="auto"/>
        <w:ind w:left="560"/>
      </w:pPr>
      <w:r>
        <w:rPr>
          <w:rFonts w:ascii="Times New Roman" w:hAnsi="Times New Roman" w:eastAsia="Times New Roman" w:cs="Times New Roman"/>
          <w:spacing w:val="6"/>
        </w:rPr>
        <w:t xml:space="preserve">d)  </w:t>
      </w:r>
      <w:r>
        <w:rPr>
          <w:spacing w:val="6"/>
        </w:rPr>
        <w:t>试验样品出现了某些使其不能满足维修要求的变化(如腐蚀损坏);</w:t>
      </w:r>
    </w:p>
    <w:p w14:paraId="3B1F0BB8">
      <w:pPr>
        <w:pStyle w:val="2"/>
        <w:spacing w:before="90" w:line="212" w:lineRule="auto"/>
        <w:ind w:left="560"/>
      </w:pPr>
      <w:r>
        <w:rPr>
          <w:rFonts w:ascii="Times New Roman" w:hAnsi="Times New Roman" w:eastAsia="Times New Roman" w:cs="Times New Roman"/>
          <w:spacing w:val="3"/>
        </w:rPr>
        <w:t>e)</w:t>
      </w:r>
      <w:r>
        <w:rPr>
          <w:rFonts w:ascii="Times New Roman" w:hAnsi="Times New Roman" w:eastAsia="Times New Roman" w:cs="Times New Roman"/>
          <w:spacing w:val="73"/>
          <w:w w:val="101"/>
        </w:rPr>
        <w:t xml:space="preserve"> </w:t>
      </w:r>
      <w:r>
        <w:rPr>
          <w:spacing w:val="3"/>
        </w:rPr>
        <w:t>设备有关标准和技术文件规定的其他判据。</w:t>
      </w:r>
    </w:p>
    <w:p w14:paraId="0C1FC5F4">
      <w:pPr>
        <w:pStyle w:val="2"/>
        <w:spacing w:before="150" w:line="266" w:lineRule="auto"/>
        <w:ind w:right="103" w:firstLine="560"/>
      </w:pPr>
      <w:r>
        <w:rPr>
          <w:spacing w:val="6"/>
        </w:rPr>
        <w:t>试验项目特有的判据应结合试验项目、产品特</w:t>
      </w:r>
      <w:r>
        <w:rPr>
          <w:spacing w:val="5"/>
        </w:rPr>
        <w:t>点和使用要求确定。例如霉</w:t>
      </w:r>
      <w:r>
        <w:t xml:space="preserve"> </w:t>
      </w:r>
      <w:r>
        <w:rPr>
          <w:spacing w:val="-1"/>
        </w:rPr>
        <w:t>菌试验长霉合格判据，盐雾试验的合格判据需专门作出规定。</w:t>
      </w:r>
    </w:p>
    <w:p w14:paraId="153C8E25">
      <w:pPr>
        <w:spacing w:before="1" w:line="220" w:lineRule="auto"/>
        <w:rPr>
          <w:rFonts w:ascii="黑体" w:hAnsi="黑体" w:eastAsia="黑体" w:cs="黑体"/>
          <w:sz w:val="27"/>
          <w:szCs w:val="27"/>
        </w:rPr>
      </w:pPr>
      <w:r>
        <w:rPr>
          <w:rFonts w:ascii="黑体" w:hAnsi="黑体" w:eastAsia="黑体" w:cs="黑体"/>
          <w:spacing w:val="2"/>
          <w:sz w:val="27"/>
          <w:szCs w:val="27"/>
        </w:rPr>
        <w:t>10</w:t>
      </w:r>
      <w:r>
        <w:rPr>
          <w:rFonts w:ascii="黑体" w:hAnsi="黑体" w:eastAsia="黑体" w:cs="黑体"/>
          <w:spacing w:val="25"/>
          <w:sz w:val="27"/>
          <w:szCs w:val="27"/>
        </w:rPr>
        <w:t xml:space="preserve">  </w:t>
      </w:r>
      <w:r>
        <w:rPr>
          <w:rFonts w:ascii="黑体" w:hAnsi="黑体" w:eastAsia="黑体" w:cs="黑体"/>
          <w:spacing w:val="2"/>
          <w:sz w:val="27"/>
          <w:szCs w:val="27"/>
        </w:rPr>
        <w:t>失效或故障处理要求</w:t>
      </w:r>
    </w:p>
    <w:p w14:paraId="47A6F5EE">
      <w:pPr>
        <w:pStyle w:val="2"/>
        <w:spacing w:before="100" w:line="219" w:lineRule="auto"/>
        <w:ind w:left="560"/>
      </w:pPr>
      <w:r>
        <w:rPr>
          <w:spacing w:val="2"/>
        </w:rPr>
        <w:t>描述对失效或故障的处理要求。</w:t>
      </w:r>
    </w:p>
    <w:p w14:paraId="2285D6A2">
      <w:pPr>
        <w:pStyle w:val="2"/>
        <w:spacing w:before="109" w:line="219" w:lineRule="auto"/>
        <w:jc w:val="right"/>
      </w:pPr>
      <w:r>
        <w:rPr>
          <w:spacing w:val="9"/>
        </w:rPr>
        <w:t>试验故障处理是指如果某一项环境试验出现故障而不能通过此项</w:t>
      </w:r>
      <w:r>
        <w:rPr>
          <w:spacing w:val="8"/>
        </w:rPr>
        <w:t>试验时，</w:t>
      </w:r>
    </w:p>
    <w:p w14:paraId="5C76C276">
      <w:pPr>
        <w:spacing w:line="219" w:lineRule="auto"/>
        <w:sectPr>
          <w:footerReference r:id="rId593" w:type="default"/>
          <w:pgSz w:w="11910" w:h="17130"/>
          <w:pgMar w:top="400" w:right="1324" w:bottom="1676" w:left="1100" w:header="0" w:footer="1487" w:gutter="0"/>
          <w:cols w:space="720" w:num="1"/>
        </w:sectPr>
      </w:pPr>
    </w:p>
    <w:p w14:paraId="5D64AAD5">
      <w:pPr>
        <w:spacing w:line="253" w:lineRule="auto"/>
        <w:rPr>
          <w:rFonts w:ascii="Arial"/>
          <w:sz w:val="21"/>
        </w:rPr>
      </w:pPr>
    </w:p>
    <w:p w14:paraId="505EF583">
      <w:pPr>
        <w:spacing w:line="254" w:lineRule="auto"/>
        <w:rPr>
          <w:rFonts w:ascii="Arial"/>
          <w:sz w:val="21"/>
        </w:rPr>
      </w:pPr>
    </w:p>
    <w:p w14:paraId="0643B1F9">
      <w:pPr>
        <w:spacing w:line="254" w:lineRule="auto"/>
        <w:rPr>
          <w:rFonts w:ascii="Arial"/>
          <w:sz w:val="21"/>
        </w:rPr>
      </w:pPr>
    </w:p>
    <w:p w14:paraId="548E1709">
      <w:pPr>
        <w:spacing w:line="254" w:lineRule="auto"/>
        <w:rPr>
          <w:rFonts w:ascii="Arial"/>
          <w:sz w:val="21"/>
        </w:rPr>
      </w:pPr>
    </w:p>
    <w:p w14:paraId="1F81AD39">
      <w:pPr>
        <w:pStyle w:val="2"/>
        <w:spacing w:before="88" w:line="273" w:lineRule="auto"/>
        <w:ind w:right="111"/>
        <w:jc w:val="both"/>
      </w:pPr>
      <w:r>
        <w:rPr>
          <w:spacing w:val="5"/>
        </w:rPr>
        <w:t>对这项试验和以前进行过的试验采取的处置措施。如这项试验是用修复的试验</w:t>
      </w:r>
      <w:r>
        <w:rPr>
          <w:spacing w:val="10"/>
        </w:rPr>
        <w:t xml:space="preserve"> </w:t>
      </w:r>
      <w:r>
        <w:rPr>
          <w:spacing w:val="-3"/>
        </w:rPr>
        <w:t>样本重做，还是用新的样本；整个试验重做或者其他措施等。故障处理还包括进</w:t>
      </w:r>
      <w:r>
        <w:rPr>
          <w:spacing w:val="14"/>
        </w:rPr>
        <w:t xml:space="preserve"> </w:t>
      </w:r>
      <w:r>
        <w:rPr>
          <w:spacing w:val="-3"/>
        </w:rPr>
        <w:t>一步研究该故障或损坏能否修复，若样本能修复，要判断若用此修复的样本进行</w:t>
      </w:r>
      <w:r>
        <w:rPr>
          <w:spacing w:val="17"/>
        </w:rPr>
        <w:t xml:space="preserve"> </w:t>
      </w:r>
      <w:r>
        <w:rPr>
          <w:spacing w:val="-3"/>
        </w:rPr>
        <w:t>以前做过的试验，其结果是否会与以前一样；若不一样则使应用此修复产品重新</w:t>
      </w:r>
      <w:r>
        <w:rPr>
          <w:spacing w:val="15"/>
        </w:rPr>
        <w:t xml:space="preserve"> </w:t>
      </w:r>
      <w:r>
        <w:rPr>
          <w:spacing w:val="-10"/>
        </w:rPr>
        <w:t>进行全部试验；若一样，则可继续未进行的试验，若以后试验又出故障，则试验全</w:t>
      </w:r>
      <w:r>
        <w:rPr>
          <w:spacing w:val="1"/>
        </w:rPr>
        <w:t xml:space="preserve"> </w:t>
      </w:r>
      <w:r>
        <w:rPr>
          <w:spacing w:val="-7"/>
        </w:rPr>
        <w:t>部重做；若不能修复，则应换一个样品重新进行试验。</w:t>
      </w:r>
    </w:p>
    <w:p w14:paraId="4F36D9EE">
      <w:pPr>
        <w:spacing w:before="49" w:line="221" w:lineRule="auto"/>
        <w:rPr>
          <w:rFonts w:ascii="黑体" w:hAnsi="黑体" w:eastAsia="黑体" w:cs="黑体"/>
          <w:sz w:val="27"/>
          <w:szCs w:val="27"/>
        </w:rPr>
      </w:pPr>
      <w:r>
        <w:rPr>
          <w:rFonts w:ascii="黑体" w:hAnsi="黑体" w:eastAsia="黑体" w:cs="黑体"/>
          <w:sz w:val="27"/>
          <w:szCs w:val="27"/>
        </w:rPr>
        <w:t>11</w:t>
      </w:r>
      <w:r>
        <w:rPr>
          <w:rFonts w:ascii="黑体" w:hAnsi="黑体" w:eastAsia="黑体" w:cs="黑体"/>
          <w:spacing w:val="14"/>
          <w:sz w:val="27"/>
          <w:szCs w:val="27"/>
        </w:rPr>
        <w:t xml:space="preserve">  </w:t>
      </w:r>
      <w:r>
        <w:rPr>
          <w:rFonts w:ascii="黑体" w:hAnsi="黑体" w:eastAsia="黑体" w:cs="黑体"/>
          <w:b/>
          <w:bCs/>
          <w:sz w:val="27"/>
          <w:szCs w:val="27"/>
        </w:rPr>
        <w:t>试验中断处理要求</w:t>
      </w:r>
    </w:p>
    <w:p w14:paraId="5A6948A5">
      <w:pPr>
        <w:pStyle w:val="2"/>
        <w:spacing w:before="83" w:line="219" w:lineRule="auto"/>
        <w:ind w:left="539"/>
      </w:pPr>
      <w:r>
        <w:rPr>
          <w:spacing w:val="3"/>
        </w:rPr>
        <w:t>描述试验中断处理要求。</w:t>
      </w:r>
    </w:p>
    <w:p w14:paraId="37A6DADE">
      <w:pPr>
        <w:pStyle w:val="2"/>
        <w:spacing w:before="118" w:line="219" w:lineRule="auto"/>
        <w:jc w:val="right"/>
        <w:rPr>
          <w:sz w:val="25"/>
          <w:szCs w:val="25"/>
        </w:rPr>
      </w:pPr>
      <w:r>
        <w:rPr>
          <w:spacing w:val="21"/>
          <w:sz w:val="25"/>
          <w:szCs w:val="25"/>
        </w:rPr>
        <w:t>试验中断处理的通用部分按通用标准的一些环境，结</w:t>
      </w:r>
      <w:r>
        <w:rPr>
          <w:spacing w:val="20"/>
          <w:sz w:val="25"/>
          <w:szCs w:val="25"/>
        </w:rPr>
        <w:t>合受试产品特点确定。</w:t>
      </w:r>
    </w:p>
    <w:p w14:paraId="74A9751E">
      <w:pPr>
        <w:spacing w:before="87" w:line="221" w:lineRule="auto"/>
        <w:outlineLvl w:val="3"/>
        <w:rPr>
          <w:rFonts w:ascii="黑体" w:hAnsi="黑体" w:eastAsia="黑体" w:cs="黑体"/>
          <w:sz w:val="25"/>
          <w:szCs w:val="25"/>
        </w:rPr>
      </w:pPr>
      <w:r>
        <w:rPr>
          <w:rFonts w:ascii="Arial" w:hAnsi="Arial" w:eastAsia="Arial" w:cs="Arial"/>
          <w:b/>
          <w:bCs/>
          <w:spacing w:val="9"/>
          <w:sz w:val="25"/>
          <w:szCs w:val="25"/>
        </w:rPr>
        <w:t>12</w:t>
      </w:r>
      <w:r>
        <w:rPr>
          <w:rFonts w:ascii="Arial" w:hAnsi="Arial" w:eastAsia="Arial" w:cs="Arial"/>
          <w:b/>
          <w:bCs/>
          <w:spacing w:val="3"/>
          <w:sz w:val="25"/>
          <w:szCs w:val="25"/>
        </w:rPr>
        <w:t xml:space="preserve">    </w:t>
      </w:r>
      <w:r>
        <w:rPr>
          <w:rFonts w:ascii="黑体" w:hAnsi="黑体" w:eastAsia="黑体" w:cs="黑体"/>
          <w:b/>
          <w:bCs/>
          <w:spacing w:val="9"/>
          <w:sz w:val="25"/>
          <w:szCs w:val="25"/>
        </w:rPr>
        <w:t>试验组织、管理和质量保证要求</w:t>
      </w:r>
    </w:p>
    <w:p w14:paraId="21E5CC6F">
      <w:pPr>
        <w:pStyle w:val="2"/>
        <w:spacing w:before="98" w:line="219" w:lineRule="auto"/>
        <w:ind w:left="539"/>
      </w:pPr>
      <w:r>
        <w:rPr>
          <w:spacing w:val="-5"/>
        </w:rPr>
        <w:t>描述试验组织、管理和质量保证要求。</w:t>
      </w:r>
    </w:p>
    <w:p w14:paraId="3597086B">
      <w:pPr>
        <w:pStyle w:val="2"/>
        <w:spacing w:before="110" w:line="272" w:lineRule="auto"/>
        <w:ind w:right="110" w:firstLine="539"/>
      </w:pPr>
      <w:r>
        <w:rPr>
          <w:spacing w:val="-3"/>
        </w:rPr>
        <w:t>试验组织是指要成立一个试验工作组，工作组应由使用方、承制方和试验实</w:t>
      </w:r>
      <w:r>
        <w:rPr>
          <w:spacing w:val="11"/>
        </w:rPr>
        <w:t xml:space="preserve"> </w:t>
      </w:r>
      <w:r>
        <w:rPr>
          <w:spacing w:val="5"/>
        </w:rPr>
        <w:t>施单位三方面代表组成。试验实施单位任组长，使用方代表任副组长。试验工</w:t>
      </w:r>
      <w:r>
        <w:rPr>
          <w:spacing w:val="13"/>
        </w:rPr>
        <w:t xml:space="preserve"> </w:t>
      </w:r>
      <w:r>
        <w:rPr>
          <w:spacing w:val="5"/>
        </w:rPr>
        <w:t>作组负责试验实施和处理试验中出现的各种问题，确保试验大纲和试验程序得</w:t>
      </w:r>
      <w:r>
        <w:rPr>
          <w:spacing w:val="9"/>
        </w:rPr>
        <w:t xml:space="preserve"> </w:t>
      </w:r>
      <w:r>
        <w:rPr>
          <w:spacing w:val="-1"/>
        </w:rPr>
        <w:t>到全面贯彻。</w:t>
      </w:r>
    </w:p>
    <w:p w14:paraId="070F5628">
      <w:pPr>
        <w:pStyle w:val="2"/>
        <w:spacing w:before="50" w:line="271" w:lineRule="auto"/>
        <w:ind w:right="9" w:firstLine="539"/>
        <w:jc w:val="both"/>
      </w:pPr>
      <w:r>
        <w:t>试验质量保证要求是指对试验过程的各个阶段的工作，包括试验准备工作，</w:t>
      </w:r>
      <w:r>
        <w:rPr>
          <w:spacing w:val="14"/>
        </w:rPr>
        <w:t xml:space="preserve"> </w:t>
      </w:r>
      <w:r>
        <w:rPr>
          <w:spacing w:val="-3"/>
        </w:rPr>
        <w:t>试验过程施加环境应力，各阶段功能检查和性能测量和记录、试验故障和处理及</w:t>
      </w:r>
      <w:r>
        <w:rPr>
          <w:spacing w:val="18"/>
        </w:rPr>
        <w:t xml:space="preserve"> </w:t>
      </w:r>
      <w:r>
        <w:rPr>
          <w:spacing w:val="5"/>
        </w:rPr>
        <w:t>试验结论等进行监督和控制。必要时对试验准备工作、试验故障分析和处理措</w:t>
      </w:r>
      <w:r>
        <w:rPr>
          <w:spacing w:val="13"/>
        </w:rPr>
        <w:t xml:space="preserve"> </w:t>
      </w:r>
      <w:r>
        <w:rPr>
          <w:spacing w:val="2"/>
        </w:rPr>
        <w:t>施及试验报告及结论进行评审。</w:t>
      </w:r>
    </w:p>
    <w:p w14:paraId="704014D1">
      <w:pPr>
        <w:pStyle w:val="2"/>
        <w:spacing w:before="42" w:line="270" w:lineRule="auto"/>
        <w:ind w:right="113" w:firstLine="539"/>
        <w:jc w:val="both"/>
      </w:pPr>
      <w:r>
        <w:rPr>
          <w:spacing w:val="-3"/>
        </w:rPr>
        <w:t>应列出试验工作小组成员表，表中明确试验工作组组长和副组长，明确试验</w:t>
      </w:r>
      <w:r>
        <w:rPr>
          <w:spacing w:val="9"/>
        </w:rPr>
        <w:t xml:space="preserve"> </w:t>
      </w:r>
      <w:r>
        <w:rPr>
          <w:spacing w:val="5"/>
        </w:rPr>
        <w:t>工作组组长及其各成员的职责。建议制定试验质量保证措施文件，明确对试验</w:t>
      </w:r>
      <w:r>
        <w:rPr>
          <w:spacing w:val="10"/>
        </w:rPr>
        <w:t xml:space="preserve"> </w:t>
      </w:r>
      <w:r>
        <w:t>实施各个阶段工作进行监督和控制的内容、责任者和试</w:t>
      </w:r>
      <w:r>
        <w:rPr>
          <w:spacing w:val="-1"/>
        </w:rPr>
        <w:t>验评审要求。</w:t>
      </w:r>
    </w:p>
    <w:p w14:paraId="7D415C4C">
      <w:pPr>
        <w:spacing w:before="1" w:line="220" w:lineRule="auto"/>
        <w:rPr>
          <w:rFonts w:ascii="黑体" w:hAnsi="黑体" w:eastAsia="黑体" w:cs="黑体"/>
          <w:sz w:val="27"/>
          <w:szCs w:val="27"/>
        </w:rPr>
      </w:pPr>
      <w:r>
        <w:rPr>
          <w:rFonts w:ascii="黑体" w:hAnsi="黑体" w:eastAsia="黑体" w:cs="黑体"/>
          <w:spacing w:val="-2"/>
          <w:sz w:val="27"/>
          <w:szCs w:val="27"/>
        </w:rPr>
        <w:t>13</w:t>
      </w:r>
      <w:r>
        <w:rPr>
          <w:rFonts w:ascii="黑体" w:hAnsi="黑体" w:eastAsia="黑体" w:cs="黑体"/>
          <w:spacing w:val="14"/>
          <w:sz w:val="27"/>
          <w:szCs w:val="27"/>
        </w:rPr>
        <w:t xml:space="preserve">  </w:t>
      </w:r>
      <w:r>
        <w:rPr>
          <w:rFonts w:ascii="黑体" w:hAnsi="黑体" w:eastAsia="黑体" w:cs="黑体"/>
          <w:b/>
          <w:bCs/>
          <w:spacing w:val="-2"/>
          <w:sz w:val="27"/>
          <w:szCs w:val="27"/>
        </w:rPr>
        <w:t>试验报告要求</w:t>
      </w:r>
    </w:p>
    <w:p w14:paraId="67C0F191">
      <w:pPr>
        <w:pStyle w:val="2"/>
        <w:spacing w:before="111" w:line="218" w:lineRule="auto"/>
        <w:ind w:left="539"/>
      </w:pPr>
      <w:r>
        <w:rPr>
          <w:spacing w:val="4"/>
        </w:rPr>
        <w:t>说明有关环境鉴定试验报告和环境鉴定试验总报告的内容和格式要求。</w:t>
      </w:r>
    </w:p>
    <w:p w14:paraId="425CFE3F">
      <w:pPr>
        <w:spacing w:line="339" w:lineRule="auto"/>
        <w:rPr>
          <w:rFonts w:ascii="Arial"/>
          <w:sz w:val="21"/>
        </w:rPr>
      </w:pPr>
    </w:p>
    <w:p w14:paraId="099703A6">
      <w:pPr>
        <w:pStyle w:val="2"/>
        <w:spacing w:before="118" w:line="218" w:lineRule="auto"/>
        <w:ind w:left="2589"/>
        <w:rPr>
          <w:sz w:val="36"/>
          <w:szCs w:val="36"/>
        </w:rPr>
      </w:pPr>
      <w:r>
        <w:rPr>
          <w:spacing w:val="-3"/>
          <w:sz w:val="36"/>
          <w:szCs w:val="36"/>
        </w:rPr>
        <w:t>12.10</w:t>
      </w:r>
      <w:r>
        <w:rPr>
          <w:spacing w:val="38"/>
          <w:sz w:val="36"/>
          <w:szCs w:val="36"/>
        </w:rPr>
        <w:t xml:space="preserve">  </w:t>
      </w:r>
      <w:r>
        <w:rPr>
          <w:b/>
          <w:bCs/>
          <w:spacing w:val="-3"/>
          <w:sz w:val="36"/>
          <w:szCs w:val="36"/>
        </w:rPr>
        <w:t>环境鉴定试验报告</w:t>
      </w:r>
    </w:p>
    <w:p w14:paraId="68457646">
      <w:pPr>
        <w:spacing w:line="324" w:lineRule="auto"/>
        <w:rPr>
          <w:rFonts w:ascii="Arial"/>
          <w:sz w:val="21"/>
        </w:rPr>
      </w:pPr>
    </w:p>
    <w:p w14:paraId="00030E98">
      <w:pPr>
        <w:pStyle w:val="2"/>
        <w:spacing w:before="91" w:line="226" w:lineRule="auto"/>
        <w:ind w:left="539"/>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4239—2001</w:t>
      </w:r>
      <w:r>
        <w:rPr>
          <w:spacing w:val="-10"/>
          <w:sz w:val="28"/>
          <w:szCs w:val="28"/>
        </w:rPr>
        <w:t>《</w:t>
      </w:r>
      <w:r>
        <w:rPr>
          <w:rFonts w:ascii="楷体" w:hAnsi="楷体" w:eastAsia="楷体" w:cs="楷体"/>
          <w:spacing w:val="-10"/>
          <w:sz w:val="28"/>
          <w:szCs w:val="28"/>
        </w:rPr>
        <w:t>装备环境工程通用要求</w:t>
      </w:r>
      <w:r>
        <w:rPr>
          <w:rFonts w:ascii="楷体" w:hAnsi="楷体" w:eastAsia="楷体" w:cs="楷体"/>
          <w:spacing w:val="-11"/>
          <w:sz w:val="28"/>
          <w:szCs w:val="28"/>
        </w:rPr>
        <w:t>》编写。</w:t>
      </w:r>
    </w:p>
    <w:p w14:paraId="58E5D9FA">
      <w:pPr>
        <w:spacing w:before="73" w:line="221"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spacing w:val="28"/>
          <w:sz w:val="27"/>
          <w:szCs w:val="27"/>
        </w:rPr>
        <w:t xml:space="preserve">  </w:t>
      </w:r>
      <w:r>
        <w:rPr>
          <w:rFonts w:ascii="黑体" w:hAnsi="黑体" w:eastAsia="黑体" w:cs="黑体"/>
          <w:b/>
          <w:bCs/>
          <w:spacing w:val="-1"/>
          <w:sz w:val="27"/>
          <w:szCs w:val="27"/>
        </w:rPr>
        <w:t>试验目的</w:t>
      </w:r>
    </w:p>
    <w:p w14:paraId="018993FB">
      <w:pPr>
        <w:pStyle w:val="2"/>
        <w:spacing w:before="100" w:line="276" w:lineRule="auto"/>
        <w:ind w:right="110" w:firstLine="539"/>
      </w:pPr>
      <w:r>
        <w:rPr>
          <w:spacing w:val="6"/>
        </w:rPr>
        <w:t>说明环境鉴定试验的试验目的。试验目的一般为评价</w:t>
      </w:r>
      <w:r>
        <w:rPr>
          <w:spacing w:val="5"/>
        </w:rPr>
        <w:t>受试产品对相应的环</w:t>
      </w:r>
      <w:r>
        <w:t xml:space="preserve"> </w:t>
      </w:r>
      <w:r>
        <w:rPr>
          <w:spacing w:val="-2"/>
        </w:rPr>
        <w:t>境适应性指标的符合性，以作为该产品定型</w:t>
      </w:r>
      <w:r>
        <w:rPr>
          <w:spacing w:val="-3"/>
        </w:rPr>
        <w:t>的依据。</w:t>
      </w:r>
    </w:p>
    <w:p w14:paraId="77FD75AD">
      <w:pPr>
        <w:spacing w:before="1" w:line="220" w:lineRule="auto"/>
        <w:rPr>
          <w:rFonts w:ascii="黑体" w:hAnsi="黑体" w:eastAsia="黑体" w:cs="黑体"/>
          <w:sz w:val="27"/>
          <w:szCs w:val="27"/>
        </w:rPr>
      </w:pPr>
      <w:r>
        <w:rPr>
          <w:rFonts w:ascii="黑体" w:hAnsi="黑体" w:eastAsia="黑体" w:cs="黑体"/>
          <w:spacing w:val="6"/>
          <w:sz w:val="27"/>
          <w:szCs w:val="27"/>
        </w:rPr>
        <w:t xml:space="preserve">2  </w:t>
      </w:r>
      <w:r>
        <w:rPr>
          <w:rFonts w:ascii="黑体" w:hAnsi="黑体" w:eastAsia="黑体" w:cs="黑体"/>
          <w:b/>
          <w:bCs/>
          <w:spacing w:val="6"/>
          <w:sz w:val="27"/>
          <w:szCs w:val="27"/>
        </w:rPr>
        <w:t>试验依据</w:t>
      </w:r>
    </w:p>
    <w:p w14:paraId="4AB0ABA8">
      <w:pPr>
        <w:pStyle w:val="2"/>
        <w:spacing w:before="112" w:line="283" w:lineRule="auto"/>
        <w:ind w:right="102" w:firstLine="539"/>
      </w:pPr>
      <w:r>
        <w:rPr>
          <w:spacing w:val="6"/>
        </w:rPr>
        <w:t>说明开展该环境鉴定试验的试验依据。试验依据通常包括事先制定、经相</w:t>
      </w:r>
      <w:r>
        <w:t xml:space="preserve"> </w:t>
      </w:r>
      <w:r>
        <w:rPr>
          <w:spacing w:val="5"/>
        </w:rPr>
        <w:t>应上级管理部门批准的试验大纲、根据试验大纲编写的试验程序和试验中用到</w:t>
      </w:r>
    </w:p>
    <w:p w14:paraId="4C79E63E">
      <w:pPr>
        <w:spacing w:line="283" w:lineRule="auto"/>
        <w:sectPr>
          <w:footerReference r:id="rId594" w:type="default"/>
          <w:pgSz w:w="11910" w:h="17130"/>
          <w:pgMar w:top="400" w:right="785" w:bottom="1690" w:left="1650" w:header="0" w:footer="1404" w:gutter="0"/>
          <w:cols w:space="720" w:num="1"/>
        </w:sectPr>
      </w:pPr>
    </w:p>
    <w:p w14:paraId="308750F3">
      <w:pPr>
        <w:spacing w:line="264" w:lineRule="auto"/>
        <w:rPr>
          <w:rFonts w:ascii="Arial"/>
          <w:sz w:val="21"/>
        </w:rPr>
      </w:pPr>
    </w:p>
    <w:p w14:paraId="048BAA77">
      <w:pPr>
        <w:spacing w:line="264" w:lineRule="auto"/>
        <w:rPr>
          <w:rFonts w:ascii="Arial"/>
          <w:sz w:val="21"/>
        </w:rPr>
      </w:pPr>
    </w:p>
    <w:p w14:paraId="7E33F976">
      <w:pPr>
        <w:spacing w:line="264" w:lineRule="auto"/>
        <w:rPr>
          <w:rFonts w:ascii="Arial"/>
          <w:sz w:val="21"/>
        </w:rPr>
      </w:pPr>
    </w:p>
    <w:p w14:paraId="12E78A4F">
      <w:pPr>
        <w:spacing w:line="265" w:lineRule="auto"/>
        <w:rPr>
          <w:rFonts w:ascii="Arial"/>
          <w:sz w:val="21"/>
        </w:rPr>
      </w:pPr>
    </w:p>
    <w:p w14:paraId="468C84AD">
      <w:pPr>
        <w:pStyle w:val="2"/>
        <w:spacing w:before="88" w:line="220" w:lineRule="auto"/>
      </w:pPr>
      <w:r>
        <w:t>的相应的试验方法标准。</w:t>
      </w:r>
    </w:p>
    <w:p w14:paraId="6C2C9C20">
      <w:pPr>
        <w:spacing w:before="61" w:line="221" w:lineRule="auto"/>
        <w:outlineLvl w:val="3"/>
        <w:rPr>
          <w:rFonts w:ascii="黑体" w:hAnsi="黑体" w:eastAsia="黑体" w:cs="黑体"/>
          <w:sz w:val="27"/>
          <w:szCs w:val="27"/>
        </w:rPr>
      </w:pPr>
      <w:r>
        <w:rPr>
          <w:rFonts w:ascii="Arial" w:hAnsi="Arial" w:eastAsia="Arial" w:cs="Arial"/>
          <w:b/>
          <w:bCs/>
          <w:spacing w:val="-9"/>
          <w:sz w:val="27"/>
          <w:szCs w:val="27"/>
        </w:rPr>
        <w:t>3</w:t>
      </w:r>
      <w:r>
        <w:rPr>
          <w:rFonts w:ascii="Arial" w:hAnsi="Arial" w:eastAsia="Arial" w:cs="Arial"/>
          <w:b/>
          <w:bCs/>
          <w:spacing w:val="21"/>
          <w:sz w:val="27"/>
          <w:szCs w:val="27"/>
        </w:rPr>
        <w:t xml:space="preserve">   </w:t>
      </w:r>
      <w:r>
        <w:rPr>
          <w:rFonts w:ascii="黑体" w:hAnsi="黑体" w:eastAsia="黑体" w:cs="黑体"/>
          <w:b/>
          <w:bCs/>
          <w:spacing w:val="-9"/>
          <w:sz w:val="27"/>
          <w:szCs w:val="27"/>
        </w:rPr>
        <w:t>试验地点、日期和参试人员</w:t>
      </w:r>
    </w:p>
    <w:p w14:paraId="5CFECB7E">
      <w:pPr>
        <w:pStyle w:val="2"/>
        <w:spacing w:before="63" w:line="285" w:lineRule="auto"/>
        <w:ind w:right="144" w:firstLine="570"/>
      </w:pPr>
      <w:r>
        <w:rPr>
          <w:spacing w:val="4"/>
        </w:rPr>
        <w:t>阐述开展该环境鉴定试验的试验地点、日期和参试人员。应对试验单位的</w:t>
      </w:r>
      <w:r>
        <w:rPr>
          <w:spacing w:val="11"/>
        </w:rPr>
        <w:t xml:space="preserve"> </w:t>
      </w:r>
      <w:r>
        <w:t>资质作出说明。</w:t>
      </w:r>
    </w:p>
    <w:p w14:paraId="162BC7D8">
      <w:pPr>
        <w:spacing w:before="1" w:line="220"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13"/>
          <w:sz w:val="27"/>
          <w:szCs w:val="27"/>
        </w:rPr>
        <w:t xml:space="preserve">  </w:t>
      </w:r>
      <w:r>
        <w:rPr>
          <w:rFonts w:ascii="黑体" w:hAnsi="黑体" w:eastAsia="黑体" w:cs="黑体"/>
          <w:b/>
          <w:bCs/>
          <w:spacing w:val="-1"/>
          <w:sz w:val="27"/>
          <w:szCs w:val="27"/>
        </w:rPr>
        <w:t>受试产品说明</w:t>
      </w:r>
    </w:p>
    <w:p w14:paraId="5FFD54D1">
      <w:pPr>
        <w:pStyle w:val="2"/>
        <w:spacing w:before="83" w:line="219" w:lineRule="auto"/>
        <w:ind w:left="570"/>
      </w:pPr>
      <w:r>
        <w:rPr>
          <w:spacing w:val="3"/>
        </w:rPr>
        <w:t>阐述受试产品相关信息。受试产品说明内容一般至少包括：</w:t>
      </w:r>
    </w:p>
    <w:p w14:paraId="69AF7C5B">
      <w:pPr>
        <w:pStyle w:val="2"/>
        <w:spacing w:before="118" w:line="219" w:lineRule="auto"/>
        <w:ind w:left="570"/>
        <w:rPr>
          <w:sz w:val="25"/>
          <w:szCs w:val="25"/>
        </w:rPr>
      </w:pPr>
      <w:r>
        <w:rPr>
          <w:rFonts w:ascii="Times New Roman" w:hAnsi="Times New Roman" w:eastAsia="Times New Roman" w:cs="Times New Roman"/>
          <w:spacing w:val="11"/>
          <w:sz w:val="25"/>
          <w:szCs w:val="25"/>
        </w:rPr>
        <w:t>a</w:t>
      </w:r>
      <w:r>
        <w:rPr>
          <w:rFonts w:ascii="Times New Roman" w:hAnsi="Times New Roman" w:eastAsia="Times New Roman" w:cs="Times New Roman"/>
          <w:spacing w:val="-25"/>
          <w:sz w:val="25"/>
          <w:szCs w:val="25"/>
        </w:rPr>
        <w:t xml:space="preserve"> </w:t>
      </w:r>
      <w:r>
        <w:rPr>
          <w:spacing w:val="11"/>
          <w:sz w:val="25"/>
          <w:szCs w:val="25"/>
        </w:rPr>
        <w:t>)</w:t>
      </w:r>
      <w:r>
        <w:rPr>
          <w:spacing w:val="-50"/>
          <w:sz w:val="25"/>
          <w:szCs w:val="25"/>
        </w:rPr>
        <w:t xml:space="preserve"> </w:t>
      </w:r>
      <w:r>
        <w:rPr>
          <w:spacing w:val="11"/>
          <w:sz w:val="25"/>
          <w:szCs w:val="25"/>
        </w:rPr>
        <w:t>受试产品名称、型号和编号；</w:t>
      </w:r>
    </w:p>
    <w:p w14:paraId="37E7F28C">
      <w:pPr>
        <w:pStyle w:val="2"/>
        <w:spacing w:before="44" w:line="212" w:lineRule="auto"/>
        <w:ind w:left="570"/>
      </w:pPr>
      <w:r>
        <w:rPr>
          <w:rFonts w:ascii="Times New Roman" w:hAnsi="Times New Roman" w:eastAsia="Times New Roman" w:cs="Times New Roman"/>
          <w:spacing w:val="4"/>
        </w:rPr>
        <w:t xml:space="preserve">b)  </w:t>
      </w:r>
      <w:r>
        <w:rPr>
          <w:spacing w:val="4"/>
        </w:rPr>
        <w:t>受试产品已进行过的试验项目及情况；</w:t>
      </w:r>
    </w:p>
    <w:p w14:paraId="19381A78">
      <w:pPr>
        <w:pStyle w:val="2"/>
        <w:spacing w:before="140" w:line="219" w:lineRule="auto"/>
        <w:ind w:left="570"/>
      </w:pPr>
      <w:r>
        <w:rPr>
          <w:rFonts w:ascii="Times New Roman" w:hAnsi="Times New Roman" w:eastAsia="Times New Roman" w:cs="Times New Roman"/>
          <w:spacing w:val="9"/>
        </w:rPr>
        <w:t>c</w:t>
      </w:r>
      <w:r>
        <w:rPr>
          <w:spacing w:val="9"/>
        </w:rPr>
        <w:t>)受试产品技术状态；</w:t>
      </w:r>
    </w:p>
    <w:p w14:paraId="54835A16">
      <w:pPr>
        <w:pStyle w:val="2"/>
        <w:spacing w:before="49" w:line="212" w:lineRule="auto"/>
        <w:ind w:left="570"/>
      </w:pPr>
      <w:r>
        <w:rPr>
          <w:rFonts w:ascii="Times New Roman" w:hAnsi="Times New Roman" w:eastAsia="Times New Roman" w:cs="Times New Roman"/>
        </w:rPr>
        <w:t xml:space="preserve">d)  </w:t>
      </w:r>
      <w:r>
        <w:t>受试产品的结构组成及其功能、性能和物理特性简要说明；</w:t>
      </w:r>
    </w:p>
    <w:p w14:paraId="3ABCC507">
      <w:pPr>
        <w:pStyle w:val="2"/>
        <w:spacing w:before="100" w:line="261" w:lineRule="auto"/>
        <w:ind w:right="92" w:firstLine="570"/>
      </w:pPr>
      <w:r>
        <w:rPr>
          <w:rFonts w:ascii="Times New Roman" w:hAnsi="Times New Roman" w:eastAsia="Times New Roman" w:cs="Times New Roman"/>
          <w:spacing w:val="4"/>
        </w:rPr>
        <w:t>e)</w:t>
      </w:r>
      <w:r>
        <w:rPr>
          <w:rFonts w:ascii="Times New Roman" w:hAnsi="Times New Roman" w:eastAsia="Times New Roman" w:cs="Times New Roman"/>
          <w:spacing w:val="63"/>
        </w:rPr>
        <w:t xml:space="preserve"> </w:t>
      </w:r>
      <w:r>
        <w:rPr>
          <w:spacing w:val="4"/>
        </w:rPr>
        <w:t>试验样本的数量和各试验项目用的样本</w:t>
      </w:r>
      <w:r>
        <w:rPr>
          <w:spacing w:val="3"/>
        </w:rPr>
        <w:t>(真实产品、模拟件或试件)的情</w:t>
      </w:r>
      <w:r>
        <w:t xml:space="preserve"> </w:t>
      </w:r>
      <w:r>
        <w:rPr>
          <w:spacing w:val="3"/>
        </w:rPr>
        <w:t>况描述。</w:t>
      </w:r>
    </w:p>
    <w:p w14:paraId="225CE1C2">
      <w:pPr>
        <w:spacing w:before="71" w:line="221" w:lineRule="auto"/>
        <w:rPr>
          <w:rFonts w:ascii="黑体" w:hAnsi="黑体" w:eastAsia="黑体" w:cs="黑体"/>
          <w:sz w:val="27"/>
          <w:szCs w:val="27"/>
        </w:rPr>
      </w:pPr>
      <w:r>
        <w:rPr>
          <w:rFonts w:ascii="黑体" w:hAnsi="黑体" w:eastAsia="黑体" w:cs="黑体"/>
          <w:spacing w:val="3"/>
          <w:sz w:val="27"/>
          <w:szCs w:val="27"/>
        </w:rPr>
        <w:t xml:space="preserve">5  </w:t>
      </w:r>
      <w:r>
        <w:rPr>
          <w:rFonts w:ascii="黑体" w:hAnsi="黑体" w:eastAsia="黑体" w:cs="黑体"/>
          <w:b/>
          <w:bCs/>
          <w:spacing w:val="3"/>
          <w:sz w:val="27"/>
          <w:szCs w:val="27"/>
        </w:rPr>
        <w:t>试验项目和顺序</w:t>
      </w:r>
    </w:p>
    <w:p w14:paraId="44B0EA98">
      <w:pPr>
        <w:pStyle w:val="2"/>
        <w:spacing w:before="82" w:line="275" w:lineRule="auto"/>
        <w:ind w:right="107" w:firstLine="570"/>
        <w:jc w:val="both"/>
      </w:pPr>
      <w:r>
        <w:rPr>
          <w:spacing w:val="5"/>
        </w:rPr>
        <w:t>阐述该环境试验包括的试验项目及其试验顺序。环境试验一般将试验样品</w:t>
      </w:r>
      <w:r>
        <w:rPr>
          <w:spacing w:val="16"/>
        </w:rPr>
        <w:t xml:space="preserve"> </w:t>
      </w:r>
      <w:r>
        <w:rPr>
          <w:spacing w:val="-2"/>
        </w:rPr>
        <w:t>分成几组分别进行，每组进行的若干个试验项目按一定次</w:t>
      </w:r>
      <w:r>
        <w:rPr>
          <w:spacing w:val="-3"/>
        </w:rPr>
        <w:t>序排列，要说明该试验</w:t>
      </w:r>
      <w:r>
        <w:t xml:space="preserve"> </w:t>
      </w:r>
      <w:r>
        <w:rPr>
          <w:spacing w:val="-1"/>
        </w:rPr>
        <w:t>项目属于哪一组，在组中的次序以及是否按此次序进行了试验。</w:t>
      </w:r>
    </w:p>
    <w:p w14:paraId="3DD0B6D8">
      <w:pPr>
        <w:spacing w:before="8" w:line="221"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6"/>
          <w:sz w:val="27"/>
          <w:szCs w:val="27"/>
        </w:rPr>
        <w:t xml:space="preserve">  </w:t>
      </w:r>
      <w:r>
        <w:rPr>
          <w:rFonts w:ascii="黑体" w:hAnsi="黑体" w:eastAsia="黑体" w:cs="黑体"/>
          <w:b/>
          <w:bCs/>
          <w:spacing w:val="-1"/>
          <w:sz w:val="27"/>
          <w:szCs w:val="27"/>
        </w:rPr>
        <w:t>试验条件及其容差</w:t>
      </w:r>
    </w:p>
    <w:p w14:paraId="125887FE">
      <w:pPr>
        <w:pStyle w:val="2"/>
        <w:spacing w:before="103" w:line="275" w:lineRule="auto"/>
        <w:ind w:right="92" w:firstLine="570"/>
      </w:pPr>
      <w:r>
        <w:rPr>
          <w:spacing w:val="6"/>
        </w:rPr>
        <w:t>应按试验项目列出试验条件及其容差。应说明实际试验条件是否与试验大</w:t>
      </w:r>
      <w:r>
        <w:t xml:space="preserve"> </w:t>
      </w:r>
      <w:r>
        <w:rPr>
          <w:spacing w:val="-6"/>
        </w:rPr>
        <w:t>纲中的规定一致，若有所偏离，应说明偏离情况及偏离原因。</w:t>
      </w:r>
    </w:p>
    <w:p w14:paraId="7DBA8E15">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7</w:t>
      </w:r>
      <w:r>
        <w:rPr>
          <w:rFonts w:ascii="Arial" w:hAnsi="Arial" w:eastAsia="Arial" w:cs="Arial"/>
          <w:b/>
          <w:bCs/>
          <w:spacing w:val="21"/>
          <w:sz w:val="27"/>
          <w:szCs w:val="27"/>
        </w:rPr>
        <w:t xml:space="preserve">   </w:t>
      </w:r>
      <w:r>
        <w:rPr>
          <w:rFonts w:ascii="黑体" w:hAnsi="黑体" w:eastAsia="黑体" w:cs="黑体"/>
          <w:b/>
          <w:bCs/>
          <w:spacing w:val="1"/>
          <w:sz w:val="27"/>
          <w:szCs w:val="27"/>
        </w:rPr>
        <w:t>试验设备和测试仪器说明</w:t>
      </w:r>
    </w:p>
    <w:p w14:paraId="74CD93E6">
      <w:pPr>
        <w:pStyle w:val="2"/>
        <w:spacing w:before="93" w:line="275" w:lineRule="auto"/>
        <w:ind w:right="124" w:firstLine="570"/>
      </w:pPr>
      <w:r>
        <w:rPr>
          <w:spacing w:val="-3"/>
        </w:rPr>
        <w:t>应列出该试验所使用的试验设备和测试仪器的型</w:t>
      </w:r>
      <w:r>
        <w:rPr>
          <w:spacing w:val="-4"/>
        </w:rPr>
        <w:t>号、名称和检定有效期，给</w:t>
      </w:r>
      <w:r>
        <w:t xml:space="preserve"> </w:t>
      </w:r>
      <w:r>
        <w:rPr>
          <w:spacing w:val="2"/>
        </w:rPr>
        <w:t>出试验设备的主要性能技术参数。</w:t>
      </w:r>
    </w:p>
    <w:p w14:paraId="6A1E17DE">
      <w:pPr>
        <w:spacing w:before="1" w:line="220" w:lineRule="auto"/>
        <w:outlineLvl w:val="3"/>
        <w:rPr>
          <w:rFonts w:ascii="黑体" w:hAnsi="黑体" w:eastAsia="黑体" w:cs="黑体"/>
          <w:sz w:val="27"/>
          <w:szCs w:val="27"/>
        </w:rPr>
      </w:pPr>
      <w:r>
        <w:rPr>
          <w:rFonts w:ascii="Arial" w:hAnsi="Arial" w:eastAsia="Arial" w:cs="Arial"/>
          <w:b/>
          <w:bCs/>
          <w:spacing w:val="-1"/>
          <w:sz w:val="27"/>
          <w:szCs w:val="27"/>
        </w:rPr>
        <w:t>8</w:t>
      </w:r>
      <w:r>
        <w:rPr>
          <w:rFonts w:ascii="Arial" w:hAnsi="Arial" w:eastAsia="Arial" w:cs="Arial"/>
          <w:b/>
          <w:bCs/>
          <w:spacing w:val="20"/>
          <w:w w:val="101"/>
          <w:sz w:val="27"/>
          <w:szCs w:val="27"/>
        </w:rPr>
        <w:t xml:space="preserve">   </w:t>
      </w:r>
      <w:r>
        <w:rPr>
          <w:rFonts w:ascii="黑体" w:hAnsi="黑体" w:eastAsia="黑体" w:cs="黑体"/>
          <w:b/>
          <w:bCs/>
          <w:spacing w:val="-1"/>
          <w:sz w:val="27"/>
          <w:szCs w:val="27"/>
        </w:rPr>
        <w:t>试验合格判据</w:t>
      </w:r>
    </w:p>
    <w:p w14:paraId="616C0380">
      <w:pPr>
        <w:pStyle w:val="2"/>
        <w:spacing w:before="101" w:line="219" w:lineRule="auto"/>
        <w:jc w:val="right"/>
      </w:pPr>
      <w:r>
        <w:t>应按试验项目列出试验合格判据，作为判断产品是否通过该项试验的依据。</w:t>
      </w:r>
    </w:p>
    <w:p w14:paraId="663C1842">
      <w:pPr>
        <w:spacing w:before="65" w:line="221" w:lineRule="auto"/>
        <w:rPr>
          <w:rFonts w:ascii="黑体" w:hAnsi="黑体" w:eastAsia="黑体" w:cs="黑体"/>
          <w:sz w:val="27"/>
          <w:szCs w:val="27"/>
        </w:rPr>
      </w:pPr>
      <w:r>
        <w:rPr>
          <w:rFonts w:ascii="黑体" w:hAnsi="黑体" w:eastAsia="黑体" w:cs="黑体"/>
          <w:spacing w:val="4"/>
          <w:sz w:val="27"/>
          <w:szCs w:val="27"/>
        </w:rPr>
        <w:t xml:space="preserve">9  </w:t>
      </w:r>
      <w:r>
        <w:rPr>
          <w:rFonts w:ascii="黑体" w:hAnsi="黑体" w:eastAsia="黑体" w:cs="黑体"/>
          <w:b/>
          <w:bCs/>
          <w:spacing w:val="4"/>
          <w:sz w:val="27"/>
          <w:szCs w:val="27"/>
        </w:rPr>
        <w:t>试验实施过程</w:t>
      </w:r>
    </w:p>
    <w:p w14:paraId="475EEEBF">
      <w:pPr>
        <w:spacing w:before="117" w:line="221" w:lineRule="auto"/>
        <w:rPr>
          <w:rFonts w:ascii="黑体" w:hAnsi="黑体" w:eastAsia="黑体" w:cs="黑体"/>
          <w:sz w:val="24"/>
          <w:szCs w:val="24"/>
        </w:rPr>
      </w:pPr>
      <w:r>
        <w:rPr>
          <w:rFonts w:ascii="黑体" w:hAnsi="黑体" w:eastAsia="黑体" w:cs="黑体"/>
          <w:spacing w:val="-2"/>
          <w:sz w:val="24"/>
          <w:szCs w:val="24"/>
        </w:rPr>
        <w:t xml:space="preserve">9.1   </w:t>
      </w:r>
      <w:r>
        <w:rPr>
          <w:rFonts w:ascii="黑体" w:hAnsi="黑体" w:eastAsia="黑体" w:cs="黑体"/>
          <w:b/>
          <w:bCs/>
          <w:spacing w:val="-2"/>
          <w:sz w:val="24"/>
          <w:szCs w:val="24"/>
        </w:rPr>
        <w:t>概</w:t>
      </w:r>
      <w:r>
        <w:rPr>
          <w:rFonts w:ascii="黑体" w:hAnsi="黑体" w:eastAsia="黑体" w:cs="黑体"/>
          <w:spacing w:val="-38"/>
          <w:sz w:val="24"/>
          <w:szCs w:val="24"/>
        </w:rPr>
        <w:t xml:space="preserve"> </w:t>
      </w:r>
      <w:r>
        <w:rPr>
          <w:rFonts w:ascii="黑体" w:hAnsi="黑体" w:eastAsia="黑体" w:cs="黑体"/>
          <w:b/>
          <w:bCs/>
          <w:spacing w:val="-2"/>
          <w:sz w:val="24"/>
          <w:szCs w:val="24"/>
        </w:rPr>
        <w:t>述</w:t>
      </w:r>
    </w:p>
    <w:p w14:paraId="4BE209F4">
      <w:pPr>
        <w:pStyle w:val="2"/>
        <w:spacing w:before="100" w:line="276" w:lineRule="auto"/>
        <w:ind w:right="95" w:firstLine="570"/>
        <w:jc w:val="both"/>
      </w:pPr>
      <w:r>
        <w:rPr>
          <w:spacing w:val="6"/>
        </w:rPr>
        <w:t>应按试验项目次序详细阐述试验实施过程。每一试验项目的试验</w:t>
      </w:r>
      <w:r>
        <w:rPr>
          <w:spacing w:val="5"/>
        </w:rPr>
        <w:t>实施过程</w:t>
      </w:r>
      <w:r>
        <w:t xml:space="preserve"> </w:t>
      </w:r>
      <w:r>
        <w:rPr>
          <w:spacing w:val="-2"/>
        </w:rPr>
        <w:t>一般包括初始检测、受试产品预处理(必要时)、受试产品安装</w:t>
      </w:r>
      <w:r>
        <w:rPr>
          <w:spacing w:val="-3"/>
        </w:rPr>
        <w:t>和检测、试验参数</w:t>
      </w:r>
      <w:r>
        <w:t xml:space="preserve"> </w:t>
      </w:r>
      <w:r>
        <w:rPr>
          <w:spacing w:val="-9"/>
        </w:rPr>
        <w:t>设置、试验设备和受试产品相容性运行(必要时</w:t>
      </w:r>
      <w:r>
        <w:rPr>
          <w:spacing w:val="-10"/>
        </w:rPr>
        <w:t>)、试验应力施加、中间检测、恢复</w:t>
      </w:r>
      <w:r>
        <w:t xml:space="preserve"> </w:t>
      </w:r>
      <w:r>
        <w:rPr>
          <w:spacing w:val="2"/>
        </w:rPr>
        <w:t>和最终检测以及试验中断处理等。</w:t>
      </w:r>
    </w:p>
    <w:p w14:paraId="6FE3916A">
      <w:pPr>
        <w:spacing w:line="221" w:lineRule="auto"/>
        <w:rPr>
          <w:rFonts w:ascii="黑体" w:hAnsi="黑体" w:eastAsia="黑体" w:cs="黑体"/>
          <w:sz w:val="27"/>
          <w:szCs w:val="27"/>
        </w:rPr>
      </w:pPr>
      <w:r>
        <w:rPr>
          <w:rFonts w:ascii="黑体" w:hAnsi="黑体" w:eastAsia="黑体" w:cs="黑体"/>
          <w:spacing w:val="2"/>
          <w:sz w:val="27"/>
          <w:szCs w:val="27"/>
        </w:rPr>
        <w:t>9.2</w:t>
      </w:r>
      <w:r>
        <w:rPr>
          <w:rFonts w:ascii="黑体" w:hAnsi="黑体" w:eastAsia="黑体" w:cs="黑体"/>
          <w:spacing w:val="27"/>
          <w:sz w:val="27"/>
          <w:szCs w:val="27"/>
        </w:rPr>
        <w:t xml:space="preserve">  </w:t>
      </w:r>
      <w:r>
        <w:rPr>
          <w:rFonts w:ascii="黑体" w:hAnsi="黑体" w:eastAsia="黑体" w:cs="黑体"/>
          <w:b/>
          <w:bCs/>
          <w:spacing w:val="2"/>
          <w:sz w:val="27"/>
          <w:szCs w:val="27"/>
        </w:rPr>
        <w:t>初始检测</w:t>
      </w:r>
    </w:p>
    <w:p w14:paraId="2A4A570C">
      <w:pPr>
        <w:pStyle w:val="2"/>
        <w:spacing w:before="113" w:line="275" w:lineRule="auto"/>
        <w:ind w:right="88" w:firstLine="570"/>
        <w:jc w:val="both"/>
      </w:pPr>
      <w:r>
        <w:rPr>
          <w:spacing w:val="-2"/>
        </w:rPr>
        <w:t>说明试验前初始检测情况，包括初始检测时的实验室大</w:t>
      </w:r>
      <w:r>
        <w:rPr>
          <w:spacing w:val="-3"/>
        </w:rPr>
        <w:t>气条件，试验样品外</w:t>
      </w:r>
      <w:r>
        <w:t xml:space="preserve"> </w:t>
      </w:r>
      <w:r>
        <w:rPr>
          <w:spacing w:val="-2"/>
        </w:rPr>
        <w:t>观检查、功能检查和性能检测情况，提供初始检测结果</w:t>
      </w:r>
      <w:r>
        <w:rPr>
          <w:spacing w:val="-3"/>
        </w:rPr>
        <w:t>记录表。检测记录表格式</w:t>
      </w:r>
      <w:r>
        <w:t xml:space="preserve"> </w:t>
      </w:r>
      <w:r>
        <w:rPr>
          <w:spacing w:val="2"/>
        </w:rPr>
        <w:t>在试验大纲中规定。</w:t>
      </w:r>
    </w:p>
    <w:p w14:paraId="6DEE7E23">
      <w:pPr>
        <w:spacing w:line="275" w:lineRule="auto"/>
        <w:sectPr>
          <w:footerReference r:id="rId595" w:type="default"/>
          <w:pgSz w:w="11910" w:h="17130"/>
          <w:pgMar w:top="400" w:right="1274" w:bottom="1720" w:left="1140" w:header="0" w:footer="1447" w:gutter="0"/>
          <w:cols w:space="720" w:num="1"/>
        </w:sectPr>
      </w:pPr>
    </w:p>
    <w:p w14:paraId="1CC11E03">
      <w:pPr>
        <w:spacing w:line="248" w:lineRule="auto"/>
        <w:rPr>
          <w:rFonts w:ascii="Arial"/>
          <w:sz w:val="21"/>
        </w:rPr>
      </w:pPr>
    </w:p>
    <w:p w14:paraId="4E08F069">
      <w:pPr>
        <w:spacing w:line="249" w:lineRule="auto"/>
        <w:rPr>
          <w:rFonts w:ascii="Arial"/>
          <w:sz w:val="21"/>
        </w:rPr>
      </w:pPr>
    </w:p>
    <w:p w14:paraId="57F8D16F">
      <w:pPr>
        <w:spacing w:line="249" w:lineRule="auto"/>
        <w:rPr>
          <w:rFonts w:ascii="Arial"/>
          <w:sz w:val="21"/>
        </w:rPr>
      </w:pPr>
    </w:p>
    <w:p w14:paraId="0207E516">
      <w:pPr>
        <w:spacing w:line="249" w:lineRule="auto"/>
        <w:rPr>
          <w:rFonts w:ascii="Arial"/>
          <w:sz w:val="21"/>
        </w:rPr>
      </w:pPr>
    </w:p>
    <w:p w14:paraId="7BFEC544">
      <w:pPr>
        <w:spacing w:before="88" w:line="222" w:lineRule="auto"/>
        <w:rPr>
          <w:rFonts w:ascii="黑体" w:hAnsi="黑体" w:eastAsia="黑体" w:cs="黑体"/>
          <w:sz w:val="27"/>
          <w:szCs w:val="27"/>
        </w:rPr>
      </w:pPr>
      <w:r>
        <w:rPr>
          <w:rFonts w:ascii="黑体" w:hAnsi="黑体" w:eastAsia="黑体" w:cs="黑体"/>
          <w:spacing w:val="7"/>
          <w:sz w:val="27"/>
          <w:szCs w:val="27"/>
        </w:rPr>
        <w:t>9.3  预处理(选择项)</w:t>
      </w:r>
    </w:p>
    <w:p w14:paraId="33E1C446">
      <w:pPr>
        <w:pStyle w:val="2"/>
        <w:spacing w:before="76" w:line="276" w:lineRule="auto"/>
        <w:ind w:right="118" w:firstLine="570"/>
      </w:pPr>
      <w:r>
        <w:rPr>
          <w:spacing w:val="-4"/>
        </w:rPr>
        <w:t>说明产品采取的预处理措施，如干燥处理，表面清洁和加温措施等。是否需</w:t>
      </w:r>
      <w:r>
        <w:rPr>
          <w:spacing w:val="17"/>
        </w:rPr>
        <w:t xml:space="preserve"> </w:t>
      </w:r>
      <w:r>
        <w:rPr>
          <w:spacing w:val="4"/>
        </w:rPr>
        <w:t>要预处理取决产品提交试验前的状态和未来试验项目的性质。</w:t>
      </w:r>
    </w:p>
    <w:p w14:paraId="3DD044C0">
      <w:pPr>
        <w:spacing w:before="40" w:line="221" w:lineRule="auto"/>
        <w:rPr>
          <w:rFonts w:ascii="黑体" w:hAnsi="黑体" w:eastAsia="黑体" w:cs="黑体"/>
          <w:sz w:val="24"/>
          <w:szCs w:val="24"/>
        </w:rPr>
      </w:pPr>
      <w:r>
        <w:rPr>
          <w:rFonts w:ascii="黑体" w:hAnsi="黑体" w:eastAsia="黑体" w:cs="黑体"/>
          <w:spacing w:val="29"/>
          <w:sz w:val="24"/>
          <w:szCs w:val="24"/>
        </w:rPr>
        <w:t>9.4</w:t>
      </w:r>
      <w:r>
        <w:rPr>
          <w:rFonts w:ascii="黑体" w:hAnsi="黑体" w:eastAsia="黑体" w:cs="黑体"/>
          <w:spacing w:val="57"/>
          <w:sz w:val="24"/>
          <w:szCs w:val="24"/>
        </w:rPr>
        <w:t xml:space="preserve">  </w:t>
      </w:r>
      <w:r>
        <w:rPr>
          <w:rFonts w:ascii="黑体" w:hAnsi="黑体" w:eastAsia="黑体" w:cs="黑体"/>
          <w:spacing w:val="29"/>
          <w:sz w:val="24"/>
          <w:szCs w:val="24"/>
        </w:rPr>
        <w:t>夹具特性调查(仅适用于振动试验)</w:t>
      </w:r>
    </w:p>
    <w:p w14:paraId="42B9E046">
      <w:pPr>
        <w:pStyle w:val="2"/>
        <w:spacing w:before="76" w:line="263" w:lineRule="auto"/>
        <w:ind w:right="88" w:firstLine="570"/>
      </w:pPr>
      <w:r>
        <w:rPr>
          <w:spacing w:val="-3"/>
        </w:rPr>
        <w:t>对于振动试验来说，应说明对试验夹具进行的振动传递特性调查情况，对于</w:t>
      </w:r>
      <w:r>
        <w:rPr>
          <w:spacing w:val="13"/>
        </w:rPr>
        <w:t xml:space="preserve"> </w:t>
      </w:r>
      <w:r>
        <w:rPr>
          <w:spacing w:val="-4"/>
        </w:rPr>
        <w:t>大型夹具，应编写夹具特性调查报告，并将此报告纳</w:t>
      </w:r>
      <w:r>
        <w:rPr>
          <w:spacing w:val="-5"/>
        </w:rPr>
        <w:t>入试验报告附件。</w:t>
      </w:r>
    </w:p>
    <w:p w14:paraId="5EEAE8B5">
      <w:pPr>
        <w:spacing w:line="368" w:lineRule="exact"/>
        <w:rPr>
          <w:rFonts w:ascii="黑体" w:hAnsi="黑体" w:eastAsia="黑体" w:cs="黑体"/>
          <w:sz w:val="27"/>
          <w:szCs w:val="27"/>
        </w:rPr>
      </w:pPr>
      <w:r>
        <w:rPr>
          <w:rFonts w:ascii="Arial" w:hAnsi="Arial" w:eastAsia="Arial" w:cs="Arial"/>
          <w:spacing w:val="-4"/>
          <w:position w:val="1"/>
          <w:sz w:val="27"/>
          <w:szCs w:val="27"/>
        </w:rPr>
        <w:t>9.5</w:t>
      </w:r>
      <w:r>
        <w:rPr>
          <w:rFonts w:ascii="Arial" w:hAnsi="Arial" w:eastAsia="Arial" w:cs="Arial"/>
          <w:spacing w:val="11"/>
          <w:position w:val="1"/>
          <w:sz w:val="27"/>
          <w:szCs w:val="27"/>
        </w:rPr>
        <w:t xml:space="preserve">    </w:t>
      </w:r>
      <w:r>
        <w:rPr>
          <w:rFonts w:ascii="黑体" w:hAnsi="黑体" w:eastAsia="黑体" w:cs="黑体"/>
          <w:spacing w:val="-4"/>
          <w:position w:val="1"/>
          <w:sz w:val="27"/>
          <w:szCs w:val="27"/>
        </w:rPr>
        <w:t>试验样品安装和功能、性能检测</w:t>
      </w:r>
    </w:p>
    <w:p w14:paraId="141CCEA5">
      <w:pPr>
        <w:pStyle w:val="2"/>
        <w:spacing w:before="71" w:line="280" w:lineRule="auto"/>
        <w:ind w:firstLine="570"/>
        <w:jc w:val="both"/>
      </w:pPr>
      <w:r>
        <w:t>说明试验样品安装情况。对于气候试验，应说明试验样品在试验箱中位置，</w:t>
      </w:r>
      <w:r>
        <w:rPr>
          <w:spacing w:val="3"/>
        </w:rPr>
        <w:t xml:space="preserve"> </w:t>
      </w:r>
      <w:r>
        <w:rPr>
          <w:spacing w:val="5"/>
        </w:rPr>
        <w:t>各试验样品之间及试验样品与试验箱壁距离，试验样品是否在试验箱有效容积</w:t>
      </w:r>
      <w:r>
        <w:rPr>
          <w:spacing w:val="8"/>
        </w:rPr>
        <w:t xml:space="preserve">  </w:t>
      </w:r>
      <w:r>
        <w:rPr>
          <w:spacing w:val="-3"/>
        </w:rPr>
        <w:t>范围内，试验样品放置方向与试验箱循环风方向关系，如果试验箱中加装了试验</w:t>
      </w:r>
      <w:r>
        <w:rPr>
          <w:spacing w:val="7"/>
        </w:rPr>
        <w:t xml:space="preserve">  </w:t>
      </w:r>
      <w:r>
        <w:rPr>
          <w:spacing w:val="5"/>
        </w:rPr>
        <w:t>条件监视传感器和试验样品上安装了响应传感器，也要作出详细说明。对于力</w:t>
      </w:r>
      <w:r>
        <w:rPr>
          <w:spacing w:val="1"/>
        </w:rPr>
        <w:t xml:space="preserve">  </w:t>
      </w:r>
      <w:r>
        <w:rPr>
          <w:spacing w:val="-3"/>
        </w:rPr>
        <w:t>学试验来说，应说明试验夹具和试验样品安装情况，包括控制传感器和响应传感</w:t>
      </w:r>
      <w:r>
        <w:rPr>
          <w:spacing w:val="8"/>
        </w:rPr>
        <w:t xml:space="preserve">  </w:t>
      </w:r>
      <w:r>
        <w:rPr>
          <w:spacing w:val="2"/>
        </w:rPr>
        <w:t>器位置选择与安装情况。</w:t>
      </w:r>
    </w:p>
    <w:p w14:paraId="367E96E4">
      <w:pPr>
        <w:pStyle w:val="2"/>
        <w:spacing w:before="4" w:line="276" w:lineRule="auto"/>
        <w:ind w:right="91" w:firstLine="570"/>
        <w:jc w:val="both"/>
      </w:pPr>
      <w:r>
        <w:rPr>
          <w:spacing w:val="5"/>
        </w:rPr>
        <w:t>应当有照片显示试验样品在试验设备中(包括振动台)安装情况，各种传感</w:t>
      </w:r>
      <w:r>
        <w:rPr>
          <w:spacing w:val="16"/>
        </w:rPr>
        <w:t xml:space="preserve"> </w:t>
      </w:r>
      <w:r>
        <w:rPr>
          <w:spacing w:val="5"/>
        </w:rPr>
        <w:t>器安装和电源线及测试线路连接情况，并提供安装完毕后再次检查产品和测量</w:t>
      </w:r>
      <w:r>
        <w:rPr>
          <w:spacing w:val="9"/>
        </w:rPr>
        <w:t xml:space="preserve"> </w:t>
      </w:r>
      <w:r>
        <w:rPr>
          <w:spacing w:val="2"/>
        </w:rPr>
        <w:t>其功能和性能的记录表。</w:t>
      </w:r>
    </w:p>
    <w:p w14:paraId="64279D83">
      <w:pPr>
        <w:spacing w:before="16" w:line="221" w:lineRule="auto"/>
        <w:rPr>
          <w:rFonts w:ascii="黑体" w:hAnsi="黑体" w:eastAsia="黑体" w:cs="黑体"/>
          <w:sz w:val="27"/>
          <w:szCs w:val="27"/>
        </w:rPr>
      </w:pPr>
      <w:r>
        <w:rPr>
          <w:rFonts w:ascii="黑体" w:hAnsi="黑体" w:eastAsia="黑体" w:cs="黑体"/>
          <w:spacing w:val="7"/>
          <w:sz w:val="27"/>
          <w:szCs w:val="27"/>
        </w:rPr>
        <w:t>9.6  试验参数设置和相容性运行(选择项)</w:t>
      </w:r>
    </w:p>
    <w:p w14:paraId="2496A1C8">
      <w:pPr>
        <w:pStyle w:val="2"/>
        <w:spacing w:before="87" w:line="278" w:lineRule="auto"/>
        <w:ind w:right="91" w:firstLine="570"/>
        <w:jc w:val="both"/>
      </w:pPr>
      <w:r>
        <w:rPr>
          <w:spacing w:val="6"/>
        </w:rPr>
        <w:t>一些复杂的试验在进行完试验参数设置并检查安装</w:t>
      </w:r>
      <w:r>
        <w:rPr>
          <w:spacing w:val="5"/>
        </w:rPr>
        <w:t>和布置无误后，有必要</w:t>
      </w:r>
      <w:r>
        <w:t xml:space="preserve"> </w:t>
      </w:r>
      <w:r>
        <w:rPr>
          <w:spacing w:val="5"/>
        </w:rPr>
        <w:t>进行试验箱或试验台和试验样品的相容性运行，确认设备能够提供规定的试验</w:t>
      </w:r>
      <w:r>
        <w:rPr>
          <w:spacing w:val="10"/>
        </w:rPr>
        <w:t xml:space="preserve"> </w:t>
      </w:r>
      <w:r>
        <w:t>条件和试验能正常进行，试验报告中应有说明此情况的相关文字和曲线。</w:t>
      </w:r>
    </w:p>
    <w:p w14:paraId="75F8A770">
      <w:pPr>
        <w:spacing w:before="1" w:line="220" w:lineRule="auto"/>
        <w:rPr>
          <w:rFonts w:ascii="黑体" w:hAnsi="黑体" w:eastAsia="黑体" w:cs="黑体"/>
          <w:sz w:val="27"/>
          <w:szCs w:val="27"/>
        </w:rPr>
      </w:pPr>
      <w:r>
        <w:rPr>
          <w:rFonts w:ascii="黑体" w:hAnsi="黑体" w:eastAsia="黑体" w:cs="黑体"/>
          <w:spacing w:val="6"/>
          <w:sz w:val="27"/>
          <w:szCs w:val="27"/>
        </w:rPr>
        <w:t>9.7  试验应力施加和中间检测</w:t>
      </w:r>
    </w:p>
    <w:p w14:paraId="13A04B45">
      <w:pPr>
        <w:pStyle w:val="2"/>
        <w:spacing w:before="89" w:line="275" w:lineRule="auto"/>
        <w:ind w:right="112" w:firstLine="570"/>
        <w:jc w:val="both"/>
      </w:pPr>
      <w:r>
        <w:rPr>
          <w:spacing w:val="-4"/>
        </w:rPr>
        <w:t>说明试验应力和负载的施加时机及施加步骤，若有中间检测，说明对试验样</w:t>
      </w:r>
      <w:r>
        <w:rPr>
          <w:spacing w:val="14"/>
        </w:rPr>
        <w:t xml:space="preserve"> </w:t>
      </w:r>
      <w:r>
        <w:rPr>
          <w:spacing w:val="-2"/>
        </w:rPr>
        <w:t>品进行中间检测的具体步骤、时机，提供试验施加应力的典</w:t>
      </w:r>
      <w:r>
        <w:rPr>
          <w:spacing w:val="-3"/>
        </w:rPr>
        <w:t>型运行曲线、图谱和</w:t>
      </w:r>
      <w:r>
        <w:t xml:space="preserve"> 中间检测记录表。</w:t>
      </w:r>
    </w:p>
    <w:p w14:paraId="489556AA">
      <w:pPr>
        <w:spacing w:before="11" w:line="221" w:lineRule="auto"/>
        <w:rPr>
          <w:rFonts w:ascii="黑体" w:hAnsi="黑体" w:eastAsia="黑体" w:cs="黑体"/>
          <w:sz w:val="27"/>
          <w:szCs w:val="27"/>
        </w:rPr>
      </w:pPr>
      <w:r>
        <w:rPr>
          <w:rFonts w:ascii="黑体" w:hAnsi="黑体" w:eastAsia="黑体" w:cs="黑体"/>
          <w:spacing w:val="3"/>
          <w:sz w:val="27"/>
          <w:szCs w:val="27"/>
        </w:rPr>
        <w:t>9.8</w:t>
      </w:r>
      <w:r>
        <w:rPr>
          <w:rFonts w:ascii="黑体" w:hAnsi="黑体" w:eastAsia="黑体" w:cs="黑体"/>
          <w:spacing w:val="14"/>
          <w:sz w:val="27"/>
          <w:szCs w:val="27"/>
        </w:rPr>
        <w:t xml:space="preserve">  </w:t>
      </w:r>
      <w:r>
        <w:rPr>
          <w:rFonts w:ascii="黑体" w:hAnsi="黑体" w:eastAsia="黑体" w:cs="黑体"/>
          <w:spacing w:val="3"/>
          <w:sz w:val="27"/>
          <w:szCs w:val="27"/>
        </w:rPr>
        <w:t>试验中断处理</w:t>
      </w:r>
    </w:p>
    <w:p w14:paraId="57AD1FE7">
      <w:pPr>
        <w:pStyle w:val="2"/>
        <w:spacing w:before="80" w:line="219" w:lineRule="auto"/>
        <w:ind w:left="570"/>
      </w:pPr>
      <w:r>
        <w:t>如试验过程出现过试验中断事件，应说明试验中断原因</w:t>
      </w:r>
      <w:r>
        <w:rPr>
          <w:spacing w:val="-1"/>
        </w:rPr>
        <w:t>和处理情况。</w:t>
      </w:r>
    </w:p>
    <w:p w14:paraId="355494A3">
      <w:pPr>
        <w:spacing w:before="97" w:line="221" w:lineRule="auto"/>
        <w:rPr>
          <w:rFonts w:ascii="黑体" w:hAnsi="黑体" w:eastAsia="黑体" w:cs="黑体"/>
          <w:sz w:val="27"/>
          <w:szCs w:val="27"/>
        </w:rPr>
      </w:pPr>
      <w:r>
        <w:rPr>
          <w:rFonts w:ascii="黑体" w:hAnsi="黑体" w:eastAsia="黑体" w:cs="黑体"/>
          <w:spacing w:val="8"/>
          <w:sz w:val="27"/>
          <w:szCs w:val="27"/>
        </w:rPr>
        <w:t>9.9  试验恢复(选择项)</w:t>
      </w:r>
    </w:p>
    <w:p w14:paraId="41AA3568">
      <w:pPr>
        <w:pStyle w:val="2"/>
        <w:spacing w:before="78" w:line="284" w:lineRule="auto"/>
        <w:ind w:right="92" w:firstLine="570"/>
      </w:pPr>
      <w:r>
        <w:rPr>
          <w:spacing w:val="-3"/>
        </w:rPr>
        <w:t>说明试验过程应力条件施加结束后，对试验样品进行恢复处理的情况，如恢</w:t>
      </w:r>
      <w:r>
        <w:rPr>
          <w:spacing w:val="10"/>
        </w:rPr>
        <w:t xml:space="preserve"> </w:t>
      </w:r>
      <w:r>
        <w:rPr>
          <w:spacing w:val="-4"/>
        </w:rPr>
        <w:t>复温度、恢复时间等。</w:t>
      </w:r>
      <w:r>
        <w:rPr>
          <w:color w:val="505050"/>
          <w:spacing w:val="-4"/>
        </w:rPr>
        <w:t>应注意，</w:t>
      </w:r>
      <w:r>
        <w:rPr>
          <w:spacing w:val="-4"/>
        </w:rPr>
        <w:t>不是所有试</w:t>
      </w:r>
      <w:r>
        <w:rPr>
          <w:spacing w:val="-5"/>
        </w:rPr>
        <w:t>验项目均需进行恢复处理。</w:t>
      </w:r>
    </w:p>
    <w:p w14:paraId="4469CD06">
      <w:pPr>
        <w:spacing w:line="223" w:lineRule="auto"/>
        <w:rPr>
          <w:rFonts w:ascii="黑体" w:hAnsi="黑体" w:eastAsia="黑体" w:cs="黑体"/>
          <w:sz w:val="25"/>
          <w:szCs w:val="25"/>
        </w:rPr>
      </w:pPr>
      <w:r>
        <w:rPr>
          <w:rFonts w:ascii="黑体" w:hAnsi="黑体" w:eastAsia="黑体" w:cs="黑体"/>
          <w:spacing w:val="12"/>
          <w:sz w:val="25"/>
          <w:szCs w:val="25"/>
        </w:rPr>
        <w:t>9.10</w:t>
      </w:r>
      <w:r>
        <w:rPr>
          <w:rFonts w:ascii="黑体" w:hAnsi="黑体" w:eastAsia="黑体" w:cs="黑体"/>
          <w:spacing w:val="56"/>
          <w:sz w:val="25"/>
          <w:szCs w:val="25"/>
        </w:rPr>
        <w:t xml:space="preserve">  </w:t>
      </w:r>
      <w:r>
        <w:rPr>
          <w:rFonts w:ascii="黑体" w:hAnsi="黑体" w:eastAsia="黑体" w:cs="黑体"/>
          <w:spacing w:val="12"/>
          <w:sz w:val="25"/>
          <w:szCs w:val="25"/>
        </w:rPr>
        <w:t>最终检测</w:t>
      </w:r>
    </w:p>
    <w:p w14:paraId="73411C79">
      <w:pPr>
        <w:pStyle w:val="2"/>
        <w:spacing w:before="98" w:line="273" w:lineRule="auto"/>
        <w:ind w:right="93" w:firstLine="570"/>
      </w:pPr>
      <w:r>
        <w:rPr>
          <w:spacing w:val="6"/>
        </w:rPr>
        <w:t>描述最终检测情况，包括最终检测时的实验室</w:t>
      </w:r>
      <w:r>
        <w:rPr>
          <w:spacing w:val="5"/>
        </w:rPr>
        <w:t>大气条件和试验样品外观检</w:t>
      </w:r>
      <w:r>
        <w:t xml:space="preserve"> </w:t>
      </w:r>
      <w:r>
        <w:rPr>
          <w:spacing w:val="-6"/>
        </w:rPr>
        <w:t>查、功能检查和性能检测情况，提供最终检测结果记录表。</w:t>
      </w:r>
    </w:p>
    <w:p w14:paraId="6DB1B5AD">
      <w:pPr>
        <w:spacing w:before="1" w:line="220" w:lineRule="auto"/>
        <w:rPr>
          <w:rFonts w:ascii="黑体" w:hAnsi="黑体" w:eastAsia="黑体" w:cs="黑体"/>
          <w:sz w:val="27"/>
          <w:szCs w:val="27"/>
        </w:rPr>
      </w:pPr>
      <w:r>
        <w:rPr>
          <w:rFonts w:ascii="黑体" w:hAnsi="黑体" w:eastAsia="黑体" w:cs="黑体"/>
          <w:spacing w:val="-1"/>
          <w:sz w:val="27"/>
          <w:szCs w:val="27"/>
        </w:rPr>
        <w:t>10</w:t>
      </w:r>
      <w:r>
        <w:rPr>
          <w:rFonts w:ascii="黑体" w:hAnsi="黑体" w:eastAsia="黑体" w:cs="黑体"/>
          <w:spacing w:val="29"/>
          <w:sz w:val="27"/>
          <w:szCs w:val="27"/>
        </w:rPr>
        <w:t xml:space="preserve">  </w:t>
      </w:r>
      <w:r>
        <w:rPr>
          <w:rFonts w:ascii="黑体" w:hAnsi="黑体" w:eastAsia="黑体" w:cs="黑体"/>
          <w:spacing w:val="-1"/>
          <w:sz w:val="27"/>
          <w:szCs w:val="27"/>
        </w:rPr>
        <w:t>试验数据及分析</w:t>
      </w:r>
    </w:p>
    <w:p w14:paraId="7A3FBCE2">
      <w:pPr>
        <w:pStyle w:val="2"/>
        <w:spacing w:before="99" w:line="219" w:lineRule="auto"/>
        <w:ind w:left="570"/>
      </w:pPr>
      <w:r>
        <w:rPr>
          <w:spacing w:val="2"/>
        </w:rPr>
        <w:t>汇总试验数据并进行有效性分析。</w:t>
      </w:r>
    </w:p>
    <w:p w14:paraId="50149C5E">
      <w:pPr>
        <w:spacing w:line="219" w:lineRule="auto"/>
        <w:sectPr>
          <w:footerReference r:id="rId596" w:type="default"/>
          <w:pgSz w:w="11910" w:h="17130"/>
          <w:pgMar w:top="400" w:right="895" w:bottom="1729" w:left="1529" w:header="0" w:footer="1470" w:gutter="0"/>
          <w:cols w:space="720" w:num="1"/>
        </w:sectPr>
      </w:pPr>
    </w:p>
    <w:p w14:paraId="34B73EFE">
      <w:pPr>
        <w:spacing w:line="268" w:lineRule="auto"/>
        <w:rPr>
          <w:rFonts w:ascii="Arial"/>
          <w:sz w:val="21"/>
        </w:rPr>
      </w:pPr>
    </w:p>
    <w:p w14:paraId="15B54296">
      <w:pPr>
        <w:spacing w:line="268" w:lineRule="auto"/>
        <w:rPr>
          <w:rFonts w:ascii="Arial"/>
          <w:sz w:val="21"/>
        </w:rPr>
      </w:pPr>
    </w:p>
    <w:p w14:paraId="7F562DB3">
      <w:pPr>
        <w:spacing w:line="268" w:lineRule="auto"/>
        <w:rPr>
          <w:rFonts w:ascii="Arial"/>
          <w:sz w:val="21"/>
        </w:rPr>
      </w:pPr>
    </w:p>
    <w:p w14:paraId="21E4DC69">
      <w:pPr>
        <w:spacing w:line="268" w:lineRule="auto"/>
        <w:rPr>
          <w:rFonts w:ascii="Arial"/>
          <w:sz w:val="21"/>
        </w:rPr>
      </w:pPr>
    </w:p>
    <w:p w14:paraId="33FC66DF">
      <w:pPr>
        <w:spacing w:before="88" w:line="222" w:lineRule="auto"/>
        <w:outlineLvl w:val="3"/>
        <w:rPr>
          <w:rFonts w:ascii="黑体" w:hAnsi="黑体" w:eastAsia="黑体" w:cs="黑体"/>
          <w:sz w:val="27"/>
          <w:szCs w:val="27"/>
        </w:rPr>
      </w:pPr>
      <w:r>
        <w:rPr>
          <w:rFonts w:ascii="Arial" w:hAnsi="Arial" w:eastAsia="Arial" w:cs="Arial"/>
          <w:b/>
          <w:bCs/>
          <w:sz w:val="27"/>
          <w:szCs w:val="27"/>
        </w:rPr>
        <w:t>11</w:t>
      </w:r>
      <w:r>
        <w:rPr>
          <w:rFonts w:ascii="Arial" w:hAnsi="Arial" w:eastAsia="Arial" w:cs="Arial"/>
          <w:b/>
          <w:bCs/>
          <w:spacing w:val="13"/>
          <w:sz w:val="27"/>
          <w:szCs w:val="27"/>
        </w:rPr>
        <w:t xml:space="preserve">   </w:t>
      </w:r>
      <w:r>
        <w:rPr>
          <w:rFonts w:ascii="黑体" w:hAnsi="黑体" w:eastAsia="黑体" w:cs="黑体"/>
          <w:b/>
          <w:bCs/>
          <w:sz w:val="27"/>
          <w:szCs w:val="27"/>
        </w:rPr>
        <w:t>产品故障和问题处理情况</w:t>
      </w:r>
    </w:p>
    <w:p w14:paraId="573613E5">
      <w:pPr>
        <w:pStyle w:val="2"/>
        <w:spacing w:before="47" w:line="274" w:lineRule="auto"/>
        <w:ind w:right="21" w:firstLine="539"/>
      </w:pPr>
      <w:r>
        <w:rPr>
          <w:spacing w:val="6"/>
        </w:rPr>
        <w:t>若试验中出现故障，应提供故障记录表，说明</w:t>
      </w:r>
      <w:r>
        <w:rPr>
          <w:spacing w:val="5"/>
        </w:rPr>
        <w:t>故障时的环境应力和负载条</w:t>
      </w:r>
      <w:r>
        <w:t xml:space="preserve"> </w:t>
      </w:r>
      <w:r>
        <w:rPr>
          <w:spacing w:val="-4"/>
        </w:rPr>
        <w:t>件，及故障原因分析和纠正情况等，见表12.6。</w:t>
      </w:r>
    </w:p>
    <w:p w14:paraId="0F53A970">
      <w:pPr>
        <w:pStyle w:val="2"/>
        <w:spacing w:before="2" w:line="283" w:lineRule="auto"/>
        <w:ind w:right="21" w:firstLine="539"/>
        <w:jc w:val="both"/>
      </w:pPr>
      <w:r>
        <w:rPr>
          <w:spacing w:val="6"/>
        </w:rPr>
        <w:t>应说明试验是用修理后试验样品进行，还是用</w:t>
      </w:r>
      <w:r>
        <w:rPr>
          <w:spacing w:val="5"/>
        </w:rPr>
        <w:t>新的试验样品重新从第一个</w:t>
      </w:r>
      <w:r>
        <w:t xml:space="preserve"> </w:t>
      </w:r>
      <w:r>
        <w:rPr>
          <w:spacing w:val="-3"/>
        </w:rPr>
        <w:t>试验项目开始依次进行，若用修理后的试验样品继续进行，进一步说明后续试验</w:t>
      </w:r>
      <w:r>
        <w:rPr>
          <w:spacing w:val="15"/>
        </w:rPr>
        <w:t xml:space="preserve"> </w:t>
      </w:r>
      <w:r>
        <w:rPr>
          <w:spacing w:val="4"/>
        </w:rPr>
        <w:t>该样品有否出故障及出故障后的试验样品处理情况。</w:t>
      </w:r>
    </w:p>
    <w:p w14:paraId="2B788E6C">
      <w:pPr>
        <w:spacing w:before="1" w:line="220" w:lineRule="auto"/>
        <w:rPr>
          <w:rFonts w:ascii="黑体" w:hAnsi="黑体" w:eastAsia="黑体" w:cs="黑体"/>
          <w:sz w:val="27"/>
          <w:szCs w:val="27"/>
        </w:rPr>
      </w:pPr>
      <w:r>
        <w:rPr>
          <w:rFonts w:ascii="黑体" w:hAnsi="黑体" w:eastAsia="黑体" w:cs="黑体"/>
          <w:sz w:val="27"/>
          <w:szCs w:val="27"/>
        </w:rPr>
        <w:t>12</w:t>
      </w:r>
      <w:r>
        <w:rPr>
          <w:rFonts w:ascii="黑体" w:hAnsi="黑体" w:eastAsia="黑体" w:cs="黑体"/>
          <w:spacing w:val="17"/>
          <w:sz w:val="27"/>
          <w:szCs w:val="27"/>
        </w:rPr>
        <w:t xml:space="preserve">  </w:t>
      </w:r>
      <w:r>
        <w:rPr>
          <w:rFonts w:ascii="黑体" w:hAnsi="黑体" w:eastAsia="黑体" w:cs="黑体"/>
          <w:b/>
          <w:bCs/>
          <w:sz w:val="27"/>
          <w:szCs w:val="27"/>
        </w:rPr>
        <w:t>试验结果与结论</w:t>
      </w:r>
    </w:p>
    <w:p w14:paraId="6F5C2061">
      <w:pPr>
        <w:pStyle w:val="2"/>
        <w:spacing w:before="80" w:line="218" w:lineRule="auto"/>
        <w:ind w:left="539"/>
      </w:pPr>
      <w:r>
        <w:rPr>
          <w:spacing w:val="-7"/>
        </w:rPr>
        <w:t>在试验报告最后，应给出试验结果与结论，主要包括：</w:t>
      </w:r>
    </w:p>
    <w:p w14:paraId="2E948262">
      <w:pPr>
        <w:pStyle w:val="2"/>
        <w:spacing w:before="83" w:line="212" w:lineRule="auto"/>
        <w:ind w:left="539"/>
      </w:pPr>
      <w:r>
        <w:rPr>
          <w:rFonts w:ascii="Times New Roman" w:hAnsi="Times New Roman" w:eastAsia="Times New Roman" w:cs="Times New Roman"/>
          <w:spacing w:val="4"/>
        </w:rPr>
        <w:t xml:space="preserve">a)  </w:t>
      </w:r>
      <w:r>
        <w:rPr>
          <w:spacing w:val="4"/>
        </w:rPr>
        <w:t>根据试验检测数据和合格判据作出试验通过或不通</w:t>
      </w:r>
      <w:r>
        <w:rPr>
          <w:spacing w:val="3"/>
        </w:rPr>
        <w:t>过的结论；</w:t>
      </w:r>
    </w:p>
    <w:p w14:paraId="1CDE13D5">
      <w:pPr>
        <w:pStyle w:val="2"/>
        <w:spacing w:before="101" w:line="257" w:lineRule="auto"/>
        <w:ind w:right="19" w:firstLine="539"/>
      </w:pPr>
      <w:r>
        <w:rPr>
          <w:rFonts w:ascii="Times New Roman" w:hAnsi="Times New Roman" w:eastAsia="Times New Roman" w:cs="Times New Roman"/>
          <w:spacing w:val="3"/>
        </w:rPr>
        <w:t>b)</w:t>
      </w:r>
      <w:r>
        <w:rPr>
          <w:rFonts w:ascii="Times New Roman" w:hAnsi="Times New Roman" w:eastAsia="Times New Roman" w:cs="Times New Roman"/>
          <w:spacing w:val="68"/>
        </w:rPr>
        <w:t xml:space="preserve"> </w:t>
      </w:r>
      <w:r>
        <w:rPr>
          <w:spacing w:val="3"/>
        </w:rPr>
        <w:t>描述试验中出现的故障，已采取的或将采取的处理措施</w:t>
      </w:r>
      <w:r>
        <w:rPr>
          <w:spacing w:val="2"/>
        </w:rPr>
        <w:t>、处理情况和最</w:t>
      </w:r>
      <w:r>
        <w:t xml:space="preserve"> </w:t>
      </w:r>
      <w:r>
        <w:rPr>
          <w:spacing w:val="-3"/>
        </w:rPr>
        <w:t>终结果；</w:t>
      </w:r>
    </w:p>
    <w:p w14:paraId="57D708DC">
      <w:pPr>
        <w:pStyle w:val="2"/>
        <w:spacing w:before="57" w:line="255" w:lineRule="auto"/>
        <w:ind w:right="12" w:firstLine="539"/>
      </w:pPr>
      <w:r>
        <w:rPr>
          <w:rFonts w:ascii="Times New Roman" w:hAnsi="Times New Roman" w:eastAsia="Times New Roman" w:cs="Times New Roman"/>
          <w:spacing w:val="21"/>
        </w:rPr>
        <w:t>c)</w:t>
      </w:r>
      <w:r>
        <w:rPr>
          <w:rFonts w:ascii="Times New Roman" w:hAnsi="Times New Roman" w:eastAsia="Times New Roman" w:cs="Times New Roman"/>
          <w:spacing w:val="71"/>
          <w:w w:val="101"/>
        </w:rPr>
        <w:t xml:space="preserve"> </w:t>
      </w:r>
      <w:r>
        <w:rPr>
          <w:spacing w:val="21"/>
        </w:rPr>
        <w:t>根据试验环境应力数据给出试验应力施加是否符合试验容差要求的</w:t>
      </w:r>
      <w:r>
        <w:t xml:space="preserve"> </w:t>
      </w:r>
      <w:r>
        <w:rPr>
          <w:spacing w:val="-4"/>
        </w:rPr>
        <w:t>结论。</w:t>
      </w:r>
    </w:p>
    <w:p w14:paraId="3AA96394">
      <w:pPr>
        <w:spacing w:line="331" w:lineRule="auto"/>
        <w:rPr>
          <w:rFonts w:ascii="Arial"/>
          <w:sz w:val="21"/>
        </w:rPr>
      </w:pPr>
    </w:p>
    <w:p w14:paraId="0EBD4C0B">
      <w:pPr>
        <w:pStyle w:val="2"/>
        <w:spacing w:before="117" w:line="218" w:lineRule="auto"/>
        <w:ind w:left="2419"/>
        <w:rPr>
          <w:sz w:val="36"/>
          <w:szCs w:val="36"/>
        </w:rPr>
      </w:pPr>
      <w:r>
        <w:rPr>
          <w:sz w:val="36"/>
          <w:szCs w:val="36"/>
        </w:rPr>
        <w:t>12.11</w:t>
      </w:r>
      <w:r>
        <w:rPr>
          <w:spacing w:val="22"/>
          <w:sz w:val="36"/>
          <w:szCs w:val="36"/>
        </w:rPr>
        <w:t xml:space="preserve">  </w:t>
      </w:r>
      <w:r>
        <w:rPr>
          <w:b/>
          <w:bCs/>
          <w:sz w:val="36"/>
          <w:szCs w:val="36"/>
        </w:rPr>
        <w:t>环境鉴定试验总报告</w:t>
      </w:r>
    </w:p>
    <w:p w14:paraId="66609D45">
      <w:pPr>
        <w:spacing w:line="324" w:lineRule="auto"/>
        <w:rPr>
          <w:rFonts w:ascii="Arial"/>
          <w:sz w:val="21"/>
        </w:rPr>
      </w:pPr>
    </w:p>
    <w:p w14:paraId="524C5E6E">
      <w:pPr>
        <w:pStyle w:val="2"/>
        <w:spacing w:before="92" w:line="226" w:lineRule="auto"/>
        <w:ind w:left="539"/>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4239—2001</w:t>
      </w:r>
      <w:r>
        <w:rPr>
          <w:spacing w:val="-10"/>
          <w:sz w:val="28"/>
          <w:szCs w:val="28"/>
        </w:rPr>
        <w:t>《</w:t>
      </w:r>
      <w:r>
        <w:rPr>
          <w:rFonts w:ascii="楷体" w:hAnsi="楷体" w:eastAsia="楷体" w:cs="楷体"/>
          <w:spacing w:val="-10"/>
          <w:sz w:val="28"/>
          <w:szCs w:val="28"/>
        </w:rPr>
        <w:t>装备环境工程通用要求》编写。</w:t>
      </w:r>
    </w:p>
    <w:p w14:paraId="2AF86EED">
      <w:pPr>
        <w:spacing w:before="92" w:line="221" w:lineRule="auto"/>
        <w:rPr>
          <w:rFonts w:ascii="黑体" w:hAnsi="黑体" w:eastAsia="黑体" w:cs="黑体"/>
          <w:sz w:val="25"/>
          <w:szCs w:val="25"/>
        </w:rPr>
      </w:pPr>
      <w:r>
        <w:rPr>
          <w:rFonts w:ascii="黑体" w:hAnsi="黑体" w:eastAsia="黑体" w:cs="黑体"/>
          <w:spacing w:val="12"/>
          <w:sz w:val="25"/>
          <w:szCs w:val="25"/>
        </w:rPr>
        <w:t>1</w:t>
      </w:r>
      <w:r>
        <w:rPr>
          <w:rFonts w:ascii="黑体" w:hAnsi="黑体" w:eastAsia="黑体" w:cs="黑体"/>
          <w:spacing w:val="35"/>
          <w:sz w:val="25"/>
          <w:szCs w:val="25"/>
        </w:rPr>
        <w:t xml:space="preserve">  </w:t>
      </w:r>
      <w:r>
        <w:rPr>
          <w:rFonts w:ascii="黑体" w:hAnsi="黑体" w:eastAsia="黑体" w:cs="黑体"/>
          <w:b/>
          <w:bCs/>
          <w:spacing w:val="12"/>
          <w:sz w:val="25"/>
          <w:szCs w:val="25"/>
        </w:rPr>
        <w:t>试验目的</w:t>
      </w:r>
    </w:p>
    <w:p w14:paraId="2F7982D8">
      <w:pPr>
        <w:pStyle w:val="2"/>
        <w:spacing w:before="124" w:line="291" w:lineRule="auto"/>
        <w:ind w:right="20" w:firstLine="539"/>
        <w:rPr>
          <w:sz w:val="25"/>
          <w:szCs w:val="25"/>
        </w:rPr>
      </w:pPr>
      <w:r>
        <w:rPr>
          <w:spacing w:val="26"/>
          <w:sz w:val="25"/>
          <w:szCs w:val="25"/>
        </w:rPr>
        <w:t>说明环境鉴定试验的试验目的。试验目的一般为评</w:t>
      </w:r>
      <w:r>
        <w:rPr>
          <w:spacing w:val="25"/>
          <w:sz w:val="25"/>
          <w:szCs w:val="25"/>
        </w:rPr>
        <w:t>价受试产品对相应的环</w:t>
      </w:r>
      <w:r>
        <w:rPr>
          <w:sz w:val="25"/>
          <w:szCs w:val="25"/>
        </w:rPr>
        <w:t xml:space="preserve"> </w:t>
      </w:r>
      <w:r>
        <w:rPr>
          <w:spacing w:val="17"/>
          <w:sz w:val="25"/>
          <w:szCs w:val="25"/>
        </w:rPr>
        <w:t>境适应性指标的符合性，以作为该产品定型的依据。</w:t>
      </w:r>
    </w:p>
    <w:p w14:paraId="69343FC8">
      <w:pPr>
        <w:spacing w:before="1" w:line="220"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试验依据</w:t>
      </w:r>
    </w:p>
    <w:p w14:paraId="608F3564">
      <w:pPr>
        <w:pStyle w:val="2"/>
        <w:spacing w:before="110" w:line="275" w:lineRule="auto"/>
        <w:ind w:right="12" w:firstLine="539"/>
        <w:jc w:val="both"/>
      </w:pPr>
      <w:r>
        <w:rPr>
          <w:spacing w:val="6"/>
        </w:rPr>
        <w:t>说明开展环境鉴定试验的试验依据。试验依据</w:t>
      </w:r>
      <w:r>
        <w:rPr>
          <w:spacing w:val="5"/>
        </w:rPr>
        <w:t>通常包括事先制定、经相应</w:t>
      </w:r>
      <w:r>
        <w:t xml:space="preserve"> </w:t>
      </w:r>
      <w:r>
        <w:rPr>
          <w:spacing w:val="6"/>
        </w:rPr>
        <w:t>上级管理部门批准的试验大纲、根据试验大纲</w:t>
      </w:r>
      <w:r>
        <w:rPr>
          <w:spacing w:val="5"/>
        </w:rPr>
        <w:t>编写的试验程序和试验中用到的</w:t>
      </w:r>
      <w:r>
        <w:t xml:space="preserve"> </w:t>
      </w:r>
      <w:r>
        <w:rPr>
          <w:spacing w:val="1"/>
        </w:rPr>
        <w:t>相应的试验方法标准。</w:t>
      </w:r>
    </w:p>
    <w:p w14:paraId="20DFABDF">
      <w:pPr>
        <w:spacing w:before="1" w:line="220" w:lineRule="auto"/>
        <w:rPr>
          <w:rFonts w:ascii="黑体" w:hAnsi="黑体" w:eastAsia="黑体" w:cs="黑体"/>
          <w:sz w:val="27"/>
          <w:szCs w:val="27"/>
        </w:rPr>
      </w:pPr>
      <w:r>
        <w:rPr>
          <w:rFonts w:ascii="黑体" w:hAnsi="黑体" w:eastAsia="黑体" w:cs="黑体"/>
          <w:spacing w:val="-9"/>
          <w:sz w:val="27"/>
          <w:szCs w:val="27"/>
        </w:rPr>
        <w:t>3</w:t>
      </w:r>
      <w:r>
        <w:rPr>
          <w:rFonts w:ascii="黑体" w:hAnsi="黑体" w:eastAsia="黑体" w:cs="黑体"/>
          <w:spacing w:val="16"/>
          <w:sz w:val="27"/>
          <w:szCs w:val="27"/>
        </w:rPr>
        <w:t xml:space="preserve">  </w:t>
      </w:r>
      <w:r>
        <w:rPr>
          <w:rFonts w:ascii="黑体" w:hAnsi="黑体" w:eastAsia="黑体" w:cs="黑体"/>
          <w:b/>
          <w:bCs/>
          <w:spacing w:val="-9"/>
          <w:sz w:val="27"/>
          <w:szCs w:val="27"/>
        </w:rPr>
        <w:t>试验地点、日期和参试人员</w:t>
      </w:r>
    </w:p>
    <w:p w14:paraId="5FF53B3F">
      <w:pPr>
        <w:pStyle w:val="2"/>
        <w:spacing w:before="94" w:line="220" w:lineRule="auto"/>
        <w:ind w:left="539"/>
      </w:pPr>
      <w:r>
        <w:t>列出开展各单项环境鉴定试验的试验地点、试验日期</w:t>
      </w:r>
      <w:r>
        <w:rPr>
          <w:spacing w:val="-1"/>
        </w:rPr>
        <w:t>和参试人员。</w:t>
      </w:r>
    </w:p>
    <w:p w14:paraId="64D3DBC7">
      <w:pPr>
        <w:pStyle w:val="2"/>
        <w:spacing w:before="107" w:line="297" w:lineRule="auto"/>
        <w:ind w:right="21" w:firstLine="539"/>
        <w:rPr>
          <w:sz w:val="25"/>
          <w:szCs w:val="25"/>
        </w:rPr>
      </w:pPr>
      <w:r>
        <w:rPr>
          <w:spacing w:val="17"/>
          <w:sz w:val="25"/>
          <w:szCs w:val="25"/>
        </w:rPr>
        <w:t>一般以一张表的形式将各项环境试验进行的地点、日期、参试人员以及实施</w:t>
      </w:r>
      <w:r>
        <w:rPr>
          <w:spacing w:val="9"/>
          <w:sz w:val="25"/>
          <w:szCs w:val="25"/>
        </w:rPr>
        <w:t xml:space="preserve"> </w:t>
      </w:r>
      <w:r>
        <w:rPr>
          <w:spacing w:val="23"/>
          <w:sz w:val="25"/>
          <w:szCs w:val="25"/>
        </w:rPr>
        <w:t>试验的实(试)验室及其认证认可情况一一列</w:t>
      </w:r>
      <w:r>
        <w:rPr>
          <w:spacing w:val="22"/>
          <w:sz w:val="25"/>
          <w:szCs w:val="25"/>
        </w:rPr>
        <w:t>出。</w:t>
      </w:r>
    </w:p>
    <w:p w14:paraId="12943E7B">
      <w:pPr>
        <w:spacing w:before="1" w:line="220" w:lineRule="auto"/>
        <w:rPr>
          <w:rFonts w:ascii="黑体" w:hAnsi="黑体" w:eastAsia="黑体" w:cs="黑体"/>
          <w:sz w:val="24"/>
          <w:szCs w:val="24"/>
        </w:rPr>
      </w:pPr>
      <w:r>
        <w:rPr>
          <w:rFonts w:ascii="黑体" w:hAnsi="黑体" w:eastAsia="黑体" w:cs="黑体"/>
          <w:spacing w:val="26"/>
          <w:sz w:val="24"/>
          <w:szCs w:val="24"/>
        </w:rPr>
        <w:t>4</w:t>
      </w:r>
      <w:r>
        <w:rPr>
          <w:rFonts w:ascii="黑体" w:hAnsi="黑体" w:eastAsia="黑体" w:cs="黑体"/>
          <w:spacing w:val="36"/>
          <w:sz w:val="24"/>
          <w:szCs w:val="24"/>
        </w:rPr>
        <w:t xml:space="preserve">  </w:t>
      </w:r>
      <w:r>
        <w:rPr>
          <w:rFonts w:ascii="黑体" w:hAnsi="黑体" w:eastAsia="黑体" w:cs="黑体"/>
          <w:b/>
          <w:bCs/>
          <w:spacing w:val="26"/>
          <w:sz w:val="24"/>
          <w:szCs w:val="24"/>
        </w:rPr>
        <w:t>受试产品说明</w:t>
      </w:r>
    </w:p>
    <w:p w14:paraId="2D027BCC">
      <w:pPr>
        <w:pStyle w:val="2"/>
        <w:spacing w:before="130" w:line="219" w:lineRule="auto"/>
        <w:ind w:left="539"/>
      </w:pPr>
      <w:r>
        <w:rPr>
          <w:spacing w:val="-1"/>
        </w:rPr>
        <w:t>阐述实施各项环境鉴定试验的所用受试产品信息。 一般包括：</w:t>
      </w:r>
    </w:p>
    <w:p w14:paraId="1D0D93DE">
      <w:pPr>
        <w:pStyle w:val="2"/>
        <w:spacing w:before="60" w:line="253" w:lineRule="auto"/>
        <w:ind w:right="13" w:firstLine="539"/>
      </w:pPr>
      <w:r>
        <w:rPr>
          <w:rFonts w:ascii="Times New Roman" w:hAnsi="Times New Roman" w:eastAsia="Times New Roman" w:cs="Times New Roman"/>
          <w:spacing w:val="-4"/>
        </w:rPr>
        <w:t xml:space="preserve">a)  </w:t>
      </w:r>
      <w:r>
        <w:rPr>
          <w:spacing w:val="-4"/>
        </w:rPr>
        <w:t>受试产品分组情况，包括每组中各试验项目</w:t>
      </w:r>
      <w:r>
        <w:rPr>
          <w:spacing w:val="-5"/>
        </w:rPr>
        <w:t>所用受试产品名称、型号、编</w:t>
      </w:r>
      <w:r>
        <w:t xml:space="preserve"> </w:t>
      </w:r>
      <w:r>
        <w:rPr>
          <w:spacing w:val="-17"/>
        </w:rPr>
        <w:t>号、技术状态、组成、数量，一般以表格形式进行说</w:t>
      </w:r>
      <w:r>
        <w:rPr>
          <w:spacing w:val="-18"/>
        </w:rPr>
        <w:t>明；</w:t>
      </w:r>
    </w:p>
    <w:p w14:paraId="649D4171">
      <w:pPr>
        <w:pStyle w:val="2"/>
        <w:spacing w:before="68" w:line="257" w:lineRule="auto"/>
        <w:ind w:firstLine="539"/>
      </w:pPr>
      <w:r>
        <w:rPr>
          <w:rFonts w:ascii="Times New Roman" w:hAnsi="Times New Roman" w:eastAsia="Times New Roman" w:cs="Times New Roman"/>
        </w:rPr>
        <w:t>b)</w:t>
      </w:r>
      <w:r>
        <w:rPr>
          <w:rFonts w:ascii="Times New Roman" w:hAnsi="Times New Roman" w:eastAsia="Times New Roman" w:cs="Times New Roman"/>
          <w:spacing w:val="58"/>
        </w:rPr>
        <w:t xml:space="preserve"> </w:t>
      </w:r>
      <w:r>
        <w:t>若受试产品不是真实产品而是试片、试样、</w:t>
      </w:r>
      <w:r>
        <w:rPr>
          <w:spacing w:val="-1"/>
        </w:rPr>
        <w:t>模拟件或功能/性能不合格的</w:t>
      </w:r>
      <w:r>
        <w:t xml:space="preserve"> </w:t>
      </w:r>
      <w:r>
        <w:rPr>
          <w:spacing w:val="-2"/>
        </w:rPr>
        <w:t>产品，则应在其相应的试验项目技术状态一栏中说明。</w:t>
      </w:r>
    </w:p>
    <w:p w14:paraId="3F490CBF">
      <w:pPr>
        <w:spacing w:line="257" w:lineRule="auto"/>
        <w:sectPr>
          <w:footerReference r:id="rId597" w:type="default"/>
          <w:pgSz w:w="11910" w:h="17130"/>
          <w:pgMar w:top="400" w:right="1266" w:bottom="1633" w:left="1259" w:header="0" w:footer="1435" w:gutter="0"/>
          <w:cols w:space="720" w:num="1"/>
        </w:sectPr>
      </w:pPr>
    </w:p>
    <w:p w14:paraId="7065B568">
      <w:pPr>
        <w:spacing w:line="266" w:lineRule="auto"/>
        <w:rPr>
          <w:rFonts w:ascii="Arial"/>
          <w:sz w:val="21"/>
        </w:rPr>
      </w:pPr>
    </w:p>
    <w:p w14:paraId="48773E60">
      <w:pPr>
        <w:spacing w:line="266" w:lineRule="auto"/>
        <w:rPr>
          <w:rFonts w:ascii="Arial"/>
          <w:sz w:val="21"/>
        </w:rPr>
      </w:pPr>
    </w:p>
    <w:p w14:paraId="338F7098">
      <w:pPr>
        <w:spacing w:line="267" w:lineRule="auto"/>
        <w:rPr>
          <w:rFonts w:ascii="Arial"/>
          <w:sz w:val="21"/>
        </w:rPr>
      </w:pPr>
    </w:p>
    <w:p w14:paraId="1C27081E">
      <w:pPr>
        <w:spacing w:line="267" w:lineRule="auto"/>
        <w:rPr>
          <w:rFonts w:ascii="Arial"/>
          <w:sz w:val="21"/>
        </w:rPr>
      </w:pPr>
    </w:p>
    <w:p w14:paraId="212081BF">
      <w:pPr>
        <w:spacing w:before="87" w:line="368" w:lineRule="exact"/>
        <w:rPr>
          <w:rFonts w:ascii="黑体" w:hAnsi="黑体" w:eastAsia="黑体" w:cs="黑体"/>
          <w:sz w:val="27"/>
          <w:szCs w:val="27"/>
        </w:rPr>
      </w:pPr>
      <w:r>
        <w:rPr>
          <w:rFonts w:ascii="Arial" w:hAnsi="Arial" w:eastAsia="Arial" w:cs="Arial"/>
          <w:spacing w:val="5"/>
          <w:position w:val="1"/>
          <w:sz w:val="27"/>
          <w:szCs w:val="27"/>
        </w:rPr>
        <w:t>5</w:t>
      </w:r>
      <w:r>
        <w:rPr>
          <w:rFonts w:ascii="Arial" w:hAnsi="Arial" w:eastAsia="Arial" w:cs="Arial"/>
          <w:spacing w:val="13"/>
          <w:position w:val="1"/>
          <w:sz w:val="27"/>
          <w:szCs w:val="27"/>
        </w:rPr>
        <w:t xml:space="preserve">   </w:t>
      </w:r>
      <w:r>
        <w:rPr>
          <w:rFonts w:ascii="黑体" w:hAnsi="黑体" w:eastAsia="黑体" w:cs="黑体"/>
          <w:spacing w:val="5"/>
          <w:position w:val="1"/>
          <w:sz w:val="27"/>
          <w:szCs w:val="27"/>
        </w:rPr>
        <w:t>试验项目和顺序</w:t>
      </w:r>
    </w:p>
    <w:p w14:paraId="52426E8C">
      <w:pPr>
        <w:pStyle w:val="2"/>
        <w:spacing w:before="82" w:line="219" w:lineRule="auto"/>
        <w:ind w:left="550"/>
      </w:pPr>
      <w:r>
        <w:rPr>
          <w:spacing w:val="-2"/>
        </w:rPr>
        <w:t>阐述对试验样品所实施的环境鉴定试验项目和试验顺序。</w:t>
      </w:r>
      <w:r>
        <w:rPr>
          <w:spacing w:val="61"/>
        </w:rPr>
        <w:t xml:space="preserve"> </w:t>
      </w:r>
      <w:r>
        <w:rPr>
          <w:spacing w:val="-3"/>
        </w:rPr>
        <w:t>一般包括：</w:t>
      </w:r>
    </w:p>
    <w:p w14:paraId="6798586D">
      <w:pPr>
        <w:pStyle w:val="2"/>
        <w:spacing w:before="71" w:line="279" w:lineRule="auto"/>
        <w:ind w:right="106" w:firstLine="550"/>
        <w:rPr>
          <w:sz w:val="25"/>
          <w:szCs w:val="25"/>
        </w:rPr>
      </w:pPr>
      <w:r>
        <w:rPr>
          <w:rFonts w:ascii="Times New Roman" w:hAnsi="Times New Roman" w:eastAsia="Times New Roman" w:cs="Times New Roman"/>
          <w:spacing w:val="30"/>
          <w:sz w:val="25"/>
          <w:szCs w:val="25"/>
        </w:rPr>
        <w:t xml:space="preserve">a)  </w:t>
      </w:r>
      <w:r>
        <w:rPr>
          <w:spacing w:val="30"/>
          <w:sz w:val="25"/>
          <w:szCs w:val="25"/>
        </w:rPr>
        <w:t>按试验样品分组列出实际进行的各试验</w:t>
      </w:r>
      <w:r>
        <w:rPr>
          <w:spacing w:val="29"/>
          <w:sz w:val="25"/>
          <w:szCs w:val="25"/>
        </w:rPr>
        <w:t>项目及各组中试验项目的先后</w:t>
      </w:r>
      <w:r>
        <w:rPr>
          <w:sz w:val="25"/>
          <w:szCs w:val="25"/>
        </w:rPr>
        <w:t xml:space="preserve"> </w:t>
      </w:r>
      <w:r>
        <w:rPr>
          <w:spacing w:val="25"/>
          <w:sz w:val="25"/>
          <w:szCs w:val="25"/>
        </w:rPr>
        <w:t>次序(一般以表格形式列出)。若实施过程的试验分组和试验项</w:t>
      </w:r>
      <w:r>
        <w:rPr>
          <w:spacing w:val="24"/>
          <w:sz w:val="25"/>
          <w:szCs w:val="25"/>
        </w:rPr>
        <w:t>目次序不同于试</w:t>
      </w:r>
      <w:r>
        <w:rPr>
          <w:sz w:val="25"/>
          <w:szCs w:val="25"/>
        </w:rPr>
        <w:t xml:space="preserve"> </w:t>
      </w:r>
      <w:r>
        <w:rPr>
          <w:spacing w:val="17"/>
          <w:sz w:val="25"/>
          <w:szCs w:val="25"/>
        </w:rPr>
        <w:t>验大纲中的规定，应列出实际顺序并加以说明；</w:t>
      </w:r>
    </w:p>
    <w:p w14:paraId="25C042AC">
      <w:pPr>
        <w:pStyle w:val="2"/>
        <w:spacing w:before="74" w:line="212" w:lineRule="auto"/>
        <w:ind w:left="550"/>
      </w:pPr>
      <w:r>
        <w:rPr>
          <w:rFonts w:ascii="Times New Roman" w:hAnsi="Times New Roman" w:eastAsia="Times New Roman" w:cs="Times New Roman"/>
        </w:rPr>
        <w:t xml:space="preserve">b)  </w:t>
      </w:r>
      <w:r>
        <w:t>单独使用试片或试样进行的试验项目不参与排序，</w:t>
      </w:r>
      <w:r>
        <w:rPr>
          <w:spacing w:val="-1"/>
        </w:rPr>
        <w:t>应另行说明；</w:t>
      </w:r>
    </w:p>
    <w:p w14:paraId="51043264">
      <w:pPr>
        <w:pStyle w:val="2"/>
        <w:spacing w:before="90" w:line="212" w:lineRule="auto"/>
        <w:ind w:left="550"/>
      </w:pPr>
      <w:r>
        <w:rPr>
          <w:rFonts w:ascii="Times New Roman" w:hAnsi="Times New Roman" w:eastAsia="Times New Roman" w:cs="Times New Roman"/>
          <w:spacing w:val="5"/>
        </w:rPr>
        <w:t>c)</w:t>
      </w:r>
      <w:r>
        <w:rPr>
          <w:rFonts w:ascii="Times New Roman" w:hAnsi="Times New Roman" w:eastAsia="Times New Roman" w:cs="Times New Roman"/>
          <w:spacing w:val="62"/>
        </w:rPr>
        <w:t xml:space="preserve"> </w:t>
      </w:r>
      <w:r>
        <w:rPr>
          <w:spacing w:val="5"/>
        </w:rPr>
        <w:t>如果实施过程中因故将某些试验项目取消或简化则应说明情况及理由。</w:t>
      </w:r>
    </w:p>
    <w:p w14:paraId="2931355A">
      <w:pPr>
        <w:spacing w:before="138" w:line="221" w:lineRule="auto"/>
        <w:rPr>
          <w:rFonts w:ascii="黑体" w:hAnsi="黑体" w:eastAsia="黑体" w:cs="黑体"/>
          <w:sz w:val="27"/>
          <w:szCs w:val="27"/>
        </w:rPr>
      </w:pPr>
      <w:r>
        <w:rPr>
          <w:rFonts w:ascii="黑体" w:hAnsi="黑体" w:eastAsia="黑体" w:cs="黑体"/>
          <w:spacing w:val="2"/>
          <w:sz w:val="27"/>
          <w:szCs w:val="27"/>
        </w:rPr>
        <w:t>6  试验条件及其容差</w:t>
      </w:r>
    </w:p>
    <w:p w14:paraId="1263B525">
      <w:pPr>
        <w:pStyle w:val="2"/>
        <w:spacing w:before="98" w:line="219" w:lineRule="auto"/>
        <w:ind w:left="550"/>
        <w:rPr>
          <w:sz w:val="24"/>
          <w:szCs w:val="24"/>
        </w:rPr>
      </w:pPr>
      <w:r>
        <w:rPr>
          <w:spacing w:val="27"/>
          <w:sz w:val="24"/>
          <w:szCs w:val="24"/>
        </w:rPr>
        <w:t>应列出试验样品实施各项环境鉴定试验的试验条件和容差。</w:t>
      </w:r>
      <w:r>
        <w:rPr>
          <w:spacing w:val="92"/>
          <w:sz w:val="24"/>
          <w:szCs w:val="24"/>
        </w:rPr>
        <w:t xml:space="preserve"> </w:t>
      </w:r>
      <w:r>
        <w:rPr>
          <w:spacing w:val="27"/>
          <w:sz w:val="24"/>
          <w:szCs w:val="24"/>
        </w:rPr>
        <w:t>一般包括：</w:t>
      </w:r>
    </w:p>
    <w:p w14:paraId="5E5B6C98">
      <w:pPr>
        <w:pStyle w:val="2"/>
        <w:spacing w:before="78" w:line="277" w:lineRule="auto"/>
        <w:ind w:firstLine="550"/>
        <w:rPr>
          <w:sz w:val="25"/>
          <w:szCs w:val="25"/>
        </w:rPr>
      </w:pPr>
      <w:r>
        <w:rPr>
          <w:rFonts w:ascii="Times New Roman" w:hAnsi="Times New Roman" w:eastAsia="Times New Roman" w:cs="Times New Roman"/>
          <w:spacing w:val="25"/>
          <w:sz w:val="25"/>
          <w:szCs w:val="25"/>
        </w:rPr>
        <w:t xml:space="preserve">a)  </w:t>
      </w:r>
      <w:r>
        <w:rPr>
          <w:spacing w:val="25"/>
          <w:sz w:val="25"/>
          <w:szCs w:val="25"/>
        </w:rPr>
        <w:t>各试验项目的试验条件及容差在试验大纲中以</w:t>
      </w:r>
      <w:r>
        <w:rPr>
          <w:spacing w:val="24"/>
          <w:sz w:val="25"/>
          <w:szCs w:val="25"/>
        </w:rPr>
        <w:t>表的形式作了明确规定，</w:t>
      </w:r>
      <w:r>
        <w:rPr>
          <w:sz w:val="25"/>
          <w:szCs w:val="25"/>
        </w:rPr>
        <w:t xml:space="preserve"> </w:t>
      </w:r>
      <w:r>
        <w:rPr>
          <w:spacing w:val="6"/>
          <w:sz w:val="25"/>
          <w:szCs w:val="25"/>
        </w:rPr>
        <w:t>为使报告信息完整，</w:t>
      </w:r>
      <w:r>
        <w:rPr>
          <w:spacing w:val="97"/>
          <w:sz w:val="25"/>
          <w:szCs w:val="25"/>
        </w:rPr>
        <w:t xml:space="preserve"> </w:t>
      </w:r>
      <w:r>
        <w:rPr>
          <w:spacing w:val="6"/>
          <w:sz w:val="25"/>
          <w:szCs w:val="25"/>
        </w:rPr>
        <w:t>一般应再次列出此部分内容；</w:t>
      </w:r>
    </w:p>
    <w:p w14:paraId="5E11351E">
      <w:pPr>
        <w:pStyle w:val="2"/>
        <w:spacing w:before="58" w:line="212" w:lineRule="auto"/>
        <w:ind w:left="550"/>
      </w:pPr>
      <w:r>
        <w:rPr>
          <w:rFonts w:ascii="Times New Roman" w:hAnsi="Times New Roman" w:eastAsia="Times New Roman" w:cs="Times New Roman"/>
        </w:rPr>
        <w:t>b)</w:t>
      </w:r>
      <w:r>
        <w:rPr>
          <w:rFonts w:ascii="Times New Roman" w:hAnsi="Times New Roman" w:eastAsia="Times New Roman" w:cs="Times New Roman"/>
          <w:spacing w:val="67"/>
        </w:rPr>
        <w:t xml:space="preserve"> </w:t>
      </w:r>
      <w:r>
        <w:t>若试验过程中施加应力有偏离并超出容差，</w:t>
      </w:r>
      <w:r>
        <w:rPr>
          <w:spacing w:val="-1"/>
        </w:rPr>
        <w:t>应加以说明。</w:t>
      </w:r>
    </w:p>
    <w:p w14:paraId="3EF17AB0">
      <w:pPr>
        <w:spacing w:before="98" w:line="221" w:lineRule="auto"/>
        <w:rPr>
          <w:rFonts w:ascii="黑体" w:hAnsi="黑体" w:eastAsia="黑体" w:cs="黑体"/>
          <w:sz w:val="27"/>
          <w:szCs w:val="27"/>
        </w:rPr>
      </w:pPr>
      <w:r>
        <w:rPr>
          <w:rFonts w:ascii="Arial" w:hAnsi="Arial" w:eastAsia="Arial" w:cs="Arial"/>
          <w:spacing w:val="5"/>
          <w:sz w:val="27"/>
          <w:szCs w:val="27"/>
        </w:rPr>
        <w:t>7</w:t>
      </w:r>
      <w:r>
        <w:rPr>
          <w:rFonts w:ascii="Arial" w:hAnsi="Arial" w:eastAsia="Arial" w:cs="Arial"/>
          <w:spacing w:val="13"/>
          <w:sz w:val="27"/>
          <w:szCs w:val="27"/>
        </w:rPr>
        <w:t xml:space="preserve">   </w:t>
      </w:r>
      <w:r>
        <w:rPr>
          <w:rFonts w:ascii="黑体" w:hAnsi="黑体" w:eastAsia="黑体" w:cs="黑体"/>
          <w:spacing w:val="5"/>
          <w:sz w:val="27"/>
          <w:szCs w:val="27"/>
        </w:rPr>
        <w:t>试验设备和测试仪器说明</w:t>
      </w:r>
    </w:p>
    <w:p w14:paraId="3B4305FC">
      <w:pPr>
        <w:pStyle w:val="2"/>
        <w:spacing w:before="117" w:line="267" w:lineRule="auto"/>
        <w:ind w:right="113" w:firstLine="550"/>
        <w:jc w:val="both"/>
      </w:pPr>
      <w:r>
        <w:rPr>
          <w:spacing w:val="1"/>
        </w:rPr>
        <w:t>应将各试验项目实施过程所用的试验设备和测试仪器信息(型号、名称、检</w:t>
      </w:r>
      <w:r>
        <w:rPr>
          <w:spacing w:val="12"/>
        </w:rPr>
        <w:t xml:space="preserve"> </w:t>
      </w:r>
      <w:r>
        <w:rPr>
          <w:spacing w:val="2"/>
        </w:rPr>
        <w:t>定单位和检定有效期)按试验项目逐个对应</w:t>
      </w:r>
      <w:r>
        <w:rPr>
          <w:spacing w:val="1"/>
        </w:rPr>
        <w:t>列出，并汇总成表，以全面反映各试</w:t>
      </w:r>
      <w:r>
        <w:t xml:space="preserve"> </w:t>
      </w:r>
      <w:r>
        <w:rPr>
          <w:spacing w:val="4"/>
        </w:rPr>
        <w:t>验项目所用的设备和测试仪器状况。</w:t>
      </w:r>
    </w:p>
    <w:p w14:paraId="752C0487">
      <w:pPr>
        <w:spacing w:line="368" w:lineRule="exact"/>
        <w:rPr>
          <w:rFonts w:ascii="黑体" w:hAnsi="黑体" w:eastAsia="黑体" w:cs="黑体"/>
          <w:sz w:val="27"/>
          <w:szCs w:val="27"/>
        </w:rPr>
      </w:pPr>
      <w:r>
        <w:rPr>
          <w:rFonts w:ascii="Arial" w:hAnsi="Arial" w:eastAsia="Arial" w:cs="Arial"/>
          <w:spacing w:val="4"/>
          <w:position w:val="1"/>
          <w:sz w:val="27"/>
          <w:szCs w:val="27"/>
        </w:rPr>
        <w:t>8</w:t>
      </w:r>
      <w:r>
        <w:rPr>
          <w:rFonts w:ascii="Arial" w:hAnsi="Arial" w:eastAsia="Arial" w:cs="Arial"/>
          <w:spacing w:val="12"/>
          <w:position w:val="1"/>
          <w:sz w:val="27"/>
          <w:szCs w:val="27"/>
        </w:rPr>
        <w:t xml:space="preserve">   </w:t>
      </w:r>
      <w:r>
        <w:rPr>
          <w:rFonts w:ascii="黑体" w:hAnsi="黑体" w:eastAsia="黑体" w:cs="黑体"/>
          <w:spacing w:val="4"/>
          <w:position w:val="1"/>
          <w:sz w:val="27"/>
          <w:szCs w:val="27"/>
        </w:rPr>
        <w:t>试验合格判据</w:t>
      </w:r>
    </w:p>
    <w:p w14:paraId="5214A690">
      <w:pPr>
        <w:pStyle w:val="2"/>
        <w:spacing w:before="103" w:line="219" w:lineRule="auto"/>
        <w:ind w:left="550"/>
      </w:pPr>
      <w:r>
        <w:rPr>
          <w:spacing w:val="4"/>
        </w:rPr>
        <w:t>概要说明各项环境鉴定试验的合格判据。</w:t>
      </w:r>
    </w:p>
    <w:p w14:paraId="127CF838">
      <w:pPr>
        <w:spacing w:before="18" w:line="368" w:lineRule="exact"/>
        <w:rPr>
          <w:rFonts w:ascii="黑体" w:hAnsi="黑体" w:eastAsia="黑体" w:cs="黑体"/>
          <w:sz w:val="27"/>
          <w:szCs w:val="27"/>
        </w:rPr>
      </w:pPr>
      <w:r>
        <w:rPr>
          <w:rFonts w:ascii="Arial" w:hAnsi="Arial" w:eastAsia="Arial" w:cs="Arial"/>
          <w:spacing w:val="4"/>
          <w:position w:val="1"/>
          <w:sz w:val="27"/>
          <w:szCs w:val="27"/>
        </w:rPr>
        <w:t>9</w:t>
      </w:r>
      <w:r>
        <w:rPr>
          <w:rFonts w:ascii="Arial" w:hAnsi="Arial" w:eastAsia="Arial" w:cs="Arial"/>
          <w:spacing w:val="12"/>
          <w:position w:val="1"/>
          <w:sz w:val="27"/>
          <w:szCs w:val="27"/>
        </w:rPr>
        <w:t xml:space="preserve">   </w:t>
      </w:r>
      <w:r>
        <w:rPr>
          <w:rFonts w:ascii="黑体" w:hAnsi="黑体" w:eastAsia="黑体" w:cs="黑体"/>
          <w:spacing w:val="4"/>
          <w:position w:val="1"/>
          <w:sz w:val="27"/>
          <w:szCs w:val="27"/>
        </w:rPr>
        <w:t>试验实施过程</w:t>
      </w:r>
    </w:p>
    <w:p w14:paraId="003341D6">
      <w:pPr>
        <w:pStyle w:val="2"/>
        <w:spacing w:before="103" w:line="219" w:lineRule="auto"/>
        <w:ind w:left="550"/>
      </w:pPr>
      <w:r>
        <w:rPr>
          <w:spacing w:val="3"/>
        </w:rPr>
        <w:t>概要说明试验实施过程。</w:t>
      </w:r>
    </w:p>
    <w:p w14:paraId="0FD8FBD3">
      <w:pPr>
        <w:pStyle w:val="2"/>
        <w:spacing w:before="89" w:line="273" w:lineRule="auto"/>
        <w:ind w:right="111" w:firstLine="550"/>
      </w:pPr>
      <w:r>
        <w:rPr>
          <w:spacing w:val="6"/>
        </w:rPr>
        <w:t>只需要作一个大致情况说明，而不必像单项试验报</w:t>
      </w:r>
      <w:r>
        <w:rPr>
          <w:spacing w:val="5"/>
        </w:rPr>
        <w:t>告那样详细描述。若某</w:t>
      </w:r>
      <w:r>
        <w:t xml:space="preserve"> </w:t>
      </w:r>
      <w:r>
        <w:rPr>
          <w:spacing w:val="4"/>
        </w:rPr>
        <w:t>些试验项目的实施过程中某些环节存在问题则加以说明。</w:t>
      </w:r>
    </w:p>
    <w:p w14:paraId="498522AD">
      <w:pPr>
        <w:spacing w:before="1" w:line="220" w:lineRule="auto"/>
        <w:rPr>
          <w:rFonts w:ascii="黑体" w:hAnsi="黑体" w:eastAsia="黑体" w:cs="黑体"/>
          <w:sz w:val="27"/>
          <w:szCs w:val="27"/>
        </w:rPr>
      </w:pPr>
      <w:r>
        <w:rPr>
          <w:rFonts w:ascii="黑体" w:hAnsi="黑体" w:eastAsia="黑体" w:cs="黑体"/>
          <w:spacing w:val="4"/>
          <w:sz w:val="27"/>
          <w:szCs w:val="27"/>
        </w:rPr>
        <w:t>10</w:t>
      </w:r>
      <w:r>
        <w:rPr>
          <w:rFonts w:ascii="黑体" w:hAnsi="黑体" w:eastAsia="黑体" w:cs="黑体"/>
          <w:spacing w:val="17"/>
          <w:sz w:val="27"/>
          <w:szCs w:val="27"/>
        </w:rPr>
        <w:t xml:space="preserve">  </w:t>
      </w:r>
      <w:r>
        <w:rPr>
          <w:rFonts w:ascii="黑体" w:hAnsi="黑体" w:eastAsia="黑体" w:cs="黑体"/>
          <w:spacing w:val="4"/>
          <w:sz w:val="27"/>
          <w:szCs w:val="27"/>
        </w:rPr>
        <w:t>试验数据及分析</w:t>
      </w:r>
    </w:p>
    <w:p w14:paraId="20FF4DF1">
      <w:pPr>
        <w:pStyle w:val="2"/>
        <w:spacing w:before="90" w:line="219" w:lineRule="auto"/>
        <w:ind w:left="550"/>
      </w:pPr>
      <w:r>
        <w:rPr>
          <w:spacing w:val="3"/>
        </w:rPr>
        <w:t>汇总试验数据并进行分析和确认。</w:t>
      </w:r>
    </w:p>
    <w:p w14:paraId="38C3B6F7">
      <w:pPr>
        <w:spacing w:before="89" w:line="222" w:lineRule="auto"/>
        <w:rPr>
          <w:rFonts w:ascii="黑体" w:hAnsi="黑体" w:eastAsia="黑体" w:cs="黑体"/>
          <w:sz w:val="27"/>
          <w:szCs w:val="27"/>
        </w:rPr>
      </w:pPr>
      <w:r>
        <w:rPr>
          <w:rFonts w:ascii="黑体" w:hAnsi="黑体" w:eastAsia="黑体" w:cs="黑体"/>
          <w:spacing w:val="6"/>
          <w:sz w:val="27"/>
          <w:szCs w:val="27"/>
        </w:rPr>
        <w:t>11  产品故障和问题处理情况</w:t>
      </w:r>
    </w:p>
    <w:p w14:paraId="7ADDD57C">
      <w:pPr>
        <w:pStyle w:val="2"/>
        <w:spacing w:before="84" w:line="274" w:lineRule="auto"/>
        <w:ind w:right="109" w:firstLine="550"/>
      </w:pPr>
      <w:r>
        <w:rPr>
          <w:spacing w:val="-1"/>
        </w:rPr>
        <w:t>应列出并确认各项环境鉴定试验暴露的产品故障和问题及其处理情况，</w:t>
      </w:r>
      <w:r>
        <w:rPr>
          <w:spacing w:val="81"/>
        </w:rPr>
        <w:t xml:space="preserve"> </w:t>
      </w:r>
      <w:r>
        <w:rPr>
          <w:spacing w:val="-1"/>
        </w:rPr>
        <w:t>一</w:t>
      </w:r>
      <w:r>
        <w:t xml:space="preserve"> </w:t>
      </w:r>
      <w:r>
        <w:rPr>
          <w:spacing w:val="-3"/>
        </w:rPr>
        <w:t>般包括：</w:t>
      </w:r>
    </w:p>
    <w:p w14:paraId="528D82B8">
      <w:pPr>
        <w:pStyle w:val="2"/>
        <w:spacing w:line="212" w:lineRule="auto"/>
        <w:ind w:left="550"/>
      </w:pPr>
      <w:r>
        <w:rPr>
          <w:rFonts w:ascii="Times New Roman" w:hAnsi="Times New Roman" w:eastAsia="Times New Roman" w:cs="Times New Roman"/>
        </w:rPr>
        <w:t xml:space="preserve">a)  </w:t>
      </w:r>
      <w:r>
        <w:t>列出各项试验过程中出现的故障、问题及</w:t>
      </w:r>
      <w:r>
        <w:rPr>
          <w:spacing w:val="-1"/>
        </w:rPr>
        <w:t>处理情况表，其格式见表12.6;</w:t>
      </w:r>
    </w:p>
    <w:p w14:paraId="652AC504">
      <w:pPr>
        <w:pStyle w:val="2"/>
        <w:spacing w:before="59" w:line="268" w:lineRule="auto"/>
        <w:ind w:right="110" w:firstLine="550"/>
      </w:pPr>
      <w:r>
        <w:rPr>
          <w:rFonts w:ascii="Times New Roman" w:hAnsi="Times New Roman" w:eastAsia="Times New Roman" w:cs="Times New Roman"/>
          <w:spacing w:val="15"/>
        </w:rPr>
        <w:t>b)</w:t>
      </w:r>
      <w:r>
        <w:rPr>
          <w:rFonts w:ascii="Times New Roman" w:hAnsi="Times New Roman" w:eastAsia="Times New Roman" w:cs="Times New Roman"/>
          <w:spacing w:val="85"/>
        </w:rPr>
        <w:t xml:space="preserve"> </w:t>
      </w:r>
      <w:r>
        <w:rPr>
          <w:spacing w:val="15"/>
        </w:rPr>
        <w:t>说明出现故障后试验样本处理情况和/或已进行试验项目有效性确认</w:t>
      </w:r>
      <w:r>
        <w:t xml:space="preserve"> </w:t>
      </w:r>
      <w:r>
        <w:rPr>
          <w:spacing w:val="-2"/>
        </w:rPr>
        <w:t>情况。</w:t>
      </w:r>
    </w:p>
    <w:p w14:paraId="78AD38E3">
      <w:pPr>
        <w:spacing w:before="85" w:line="221" w:lineRule="auto"/>
        <w:rPr>
          <w:rFonts w:ascii="黑体" w:hAnsi="黑体" w:eastAsia="黑体" w:cs="黑体"/>
          <w:sz w:val="27"/>
          <w:szCs w:val="27"/>
        </w:rPr>
      </w:pPr>
      <w:r>
        <w:rPr>
          <w:rFonts w:ascii="黑体" w:hAnsi="黑体" w:eastAsia="黑体" w:cs="黑体"/>
          <w:spacing w:val="3"/>
          <w:sz w:val="27"/>
          <w:szCs w:val="27"/>
        </w:rPr>
        <w:t>12</w:t>
      </w:r>
      <w:r>
        <w:rPr>
          <w:rFonts w:ascii="黑体" w:hAnsi="黑体" w:eastAsia="黑体" w:cs="黑体"/>
          <w:spacing w:val="20"/>
          <w:sz w:val="27"/>
          <w:szCs w:val="27"/>
        </w:rPr>
        <w:t xml:space="preserve">  </w:t>
      </w:r>
      <w:r>
        <w:rPr>
          <w:rFonts w:ascii="黑体" w:hAnsi="黑体" w:eastAsia="黑体" w:cs="黑体"/>
          <w:spacing w:val="3"/>
          <w:sz w:val="27"/>
          <w:szCs w:val="27"/>
        </w:rPr>
        <w:t>试验结果与结论</w:t>
      </w:r>
    </w:p>
    <w:p w14:paraId="2C76ADDB">
      <w:pPr>
        <w:pStyle w:val="2"/>
        <w:spacing w:before="99" w:line="263" w:lineRule="auto"/>
        <w:ind w:right="9" w:firstLine="550"/>
      </w:pPr>
      <w:r>
        <w:t>应根据产品各项环境试验情况，给出产品对环境适应性要求的符合性结果，</w:t>
      </w:r>
      <w:r>
        <w:rPr>
          <w:spacing w:val="14"/>
        </w:rPr>
        <w:t xml:space="preserve"> </w:t>
      </w:r>
      <w:r>
        <w:rPr>
          <w:spacing w:val="-2"/>
        </w:rPr>
        <w:t>主要内容包括：</w:t>
      </w:r>
    </w:p>
    <w:p w14:paraId="7B1D27FE">
      <w:pPr>
        <w:pStyle w:val="2"/>
        <w:spacing w:line="212" w:lineRule="auto"/>
        <w:ind w:left="550"/>
      </w:pPr>
      <w:r>
        <w:rPr>
          <w:rFonts w:ascii="Times New Roman" w:hAnsi="Times New Roman" w:eastAsia="Times New Roman" w:cs="Times New Roman"/>
          <w:spacing w:val="4"/>
        </w:rPr>
        <w:t xml:space="preserve">a)  </w:t>
      </w:r>
      <w:r>
        <w:rPr>
          <w:spacing w:val="4"/>
        </w:rPr>
        <w:t>各单个试验项目结果及有效性分析；</w:t>
      </w:r>
    </w:p>
    <w:p w14:paraId="1397CA83">
      <w:pPr>
        <w:spacing w:line="212" w:lineRule="auto"/>
        <w:sectPr>
          <w:footerReference r:id="rId598" w:type="default"/>
          <w:pgSz w:w="11910" w:h="17130"/>
          <w:pgMar w:top="400" w:right="1015" w:bottom="1620" w:left="1410" w:header="0" w:footer="1334" w:gutter="0"/>
          <w:cols w:space="720" w:num="1"/>
        </w:sectPr>
      </w:pPr>
    </w:p>
    <w:p w14:paraId="2DCD9AE3">
      <w:pPr>
        <w:spacing w:line="256" w:lineRule="auto"/>
        <w:rPr>
          <w:rFonts w:ascii="Arial"/>
          <w:sz w:val="21"/>
        </w:rPr>
      </w:pPr>
    </w:p>
    <w:p w14:paraId="32AB9C32">
      <w:pPr>
        <w:spacing w:line="256" w:lineRule="auto"/>
        <w:rPr>
          <w:rFonts w:ascii="Arial"/>
          <w:sz w:val="21"/>
        </w:rPr>
      </w:pPr>
    </w:p>
    <w:p w14:paraId="30630C4D">
      <w:pPr>
        <w:spacing w:line="257" w:lineRule="auto"/>
        <w:rPr>
          <w:rFonts w:ascii="Arial"/>
          <w:sz w:val="21"/>
        </w:rPr>
      </w:pPr>
    </w:p>
    <w:p w14:paraId="123EC844">
      <w:pPr>
        <w:spacing w:line="257" w:lineRule="auto"/>
        <w:rPr>
          <w:rFonts w:ascii="Arial"/>
          <w:sz w:val="21"/>
        </w:rPr>
      </w:pPr>
    </w:p>
    <w:p w14:paraId="0ADA6257">
      <w:pPr>
        <w:pStyle w:val="2"/>
        <w:spacing w:before="88" w:line="212" w:lineRule="auto"/>
        <w:ind w:left="539"/>
      </w:pPr>
      <w:r>
        <w:rPr>
          <w:rFonts w:ascii="Times New Roman" w:hAnsi="Times New Roman" w:eastAsia="Times New Roman" w:cs="Times New Roman"/>
          <w:spacing w:val="3"/>
        </w:rPr>
        <w:t>b)</w:t>
      </w:r>
      <w:r>
        <w:rPr>
          <w:rFonts w:ascii="Times New Roman" w:hAnsi="Times New Roman" w:eastAsia="Times New Roman" w:cs="Times New Roman"/>
          <w:spacing w:val="66"/>
        </w:rPr>
        <w:t xml:space="preserve"> </w:t>
      </w:r>
      <w:r>
        <w:rPr>
          <w:spacing w:val="3"/>
        </w:rPr>
        <w:t>分组系列试验的有效性分析；</w:t>
      </w:r>
    </w:p>
    <w:p w14:paraId="4A154BD1">
      <w:pPr>
        <w:pStyle w:val="2"/>
        <w:spacing w:before="109" w:line="212" w:lineRule="auto"/>
        <w:ind w:left="539"/>
      </w:pPr>
      <w:r>
        <w:rPr>
          <w:rFonts w:ascii="Times New Roman" w:hAnsi="Times New Roman" w:eastAsia="Times New Roman" w:cs="Times New Roman"/>
          <w:spacing w:val="-1"/>
        </w:rPr>
        <w:t>c)</w:t>
      </w:r>
      <w:r>
        <w:rPr>
          <w:rFonts w:ascii="Times New Roman" w:hAnsi="Times New Roman" w:eastAsia="Times New Roman" w:cs="Times New Roman"/>
          <w:spacing w:val="62"/>
        </w:rPr>
        <w:t xml:space="preserve"> </w:t>
      </w:r>
      <w:r>
        <w:rPr>
          <w:spacing w:val="-1"/>
        </w:rPr>
        <w:t>结论。</w:t>
      </w:r>
    </w:p>
    <w:p w14:paraId="4E6358C5">
      <w:pPr>
        <w:spacing w:line="336" w:lineRule="auto"/>
        <w:rPr>
          <w:rFonts w:ascii="Arial"/>
          <w:sz w:val="21"/>
        </w:rPr>
      </w:pPr>
    </w:p>
    <w:p w14:paraId="3A3D5960">
      <w:pPr>
        <w:pStyle w:val="2"/>
        <w:spacing w:before="117" w:line="218" w:lineRule="auto"/>
        <w:ind w:left="2770"/>
        <w:outlineLvl w:val="1"/>
        <w:rPr>
          <w:sz w:val="36"/>
          <w:szCs w:val="36"/>
        </w:rPr>
      </w:pPr>
      <w:r>
        <w:rPr>
          <w:rFonts w:ascii="Times New Roman" w:hAnsi="Times New Roman" w:eastAsia="Times New Roman" w:cs="Times New Roman"/>
          <w:b/>
          <w:bCs/>
          <w:spacing w:val="1"/>
          <w:sz w:val="36"/>
          <w:szCs w:val="36"/>
        </w:rPr>
        <w:t xml:space="preserve">12.12     </w:t>
      </w:r>
      <w:r>
        <w:rPr>
          <w:b/>
          <w:bCs/>
          <w:spacing w:val="1"/>
          <w:sz w:val="36"/>
          <w:szCs w:val="36"/>
        </w:rPr>
        <w:t>环境适应性报告</w:t>
      </w:r>
    </w:p>
    <w:p w14:paraId="7016FBB0">
      <w:pPr>
        <w:spacing w:line="334" w:lineRule="auto"/>
        <w:rPr>
          <w:rFonts w:ascii="Arial"/>
          <w:sz w:val="21"/>
        </w:rPr>
      </w:pPr>
    </w:p>
    <w:p w14:paraId="67C66014">
      <w:pPr>
        <w:pStyle w:val="2"/>
        <w:spacing w:before="91" w:line="226" w:lineRule="auto"/>
        <w:ind w:left="539"/>
        <w:rPr>
          <w:rFonts w:ascii="楷体" w:hAnsi="楷体" w:eastAsia="楷体" w:cs="楷体"/>
          <w:sz w:val="28"/>
          <w:szCs w:val="28"/>
        </w:rPr>
      </w:pPr>
      <w:r>
        <w:rPr>
          <w:rFonts w:ascii="楷体" w:hAnsi="楷体" w:eastAsia="楷体" w:cs="楷体"/>
          <w:spacing w:val="-11"/>
          <w:sz w:val="28"/>
          <w:szCs w:val="28"/>
        </w:rPr>
        <w:t>按照</w:t>
      </w:r>
      <w:r>
        <w:rPr>
          <w:rFonts w:ascii="Times New Roman" w:hAnsi="Times New Roman" w:eastAsia="Times New Roman" w:cs="Times New Roman"/>
          <w:spacing w:val="-11"/>
          <w:sz w:val="28"/>
          <w:szCs w:val="28"/>
        </w:rPr>
        <w:t>GJB 4239—2001</w:t>
      </w:r>
      <w:r>
        <w:rPr>
          <w:spacing w:val="-11"/>
          <w:sz w:val="28"/>
          <w:szCs w:val="28"/>
        </w:rPr>
        <w:t>《</w:t>
      </w:r>
      <w:r>
        <w:rPr>
          <w:rFonts w:ascii="楷体" w:hAnsi="楷体" w:eastAsia="楷体" w:cs="楷体"/>
          <w:spacing w:val="-11"/>
          <w:sz w:val="28"/>
          <w:szCs w:val="28"/>
        </w:rPr>
        <w:t>装备环境工程通用要求》编写。</w:t>
      </w:r>
    </w:p>
    <w:p w14:paraId="2CF54078">
      <w:pPr>
        <w:spacing w:before="80" w:line="223" w:lineRule="auto"/>
        <w:rPr>
          <w:rFonts w:ascii="黑体" w:hAnsi="黑体" w:eastAsia="黑体" w:cs="黑体"/>
          <w:sz w:val="27"/>
          <w:szCs w:val="27"/>
        </w:rPr>
      </w:pPr>
      <w:r>
        <w:rPr>
          <w:rFonts w:ascii="黑体" w:hAnsi="黑体" w:eastAsia="黑体" w:cs="黑体"/>
          <w:spacing w:val="-1"/>
          <w:sz w:val="27"/>
          <w:szCs w:val="27"/>
        </w:rPr>
        <w:t>1</w:t>
      </w:r>
      <w:r>
        <w:rPr>
          <w:rFonts w:ascii="黑体" w:hAnsi="黑体" w:eastAsia="黑体" w:cs="黑体"/>
          <w:spacing w:val="14"/>
          <w:sz w:val="27"/>
          <w:szCs w:val="27"/>
        </w:rPr>
        <w:t xml:space="preserve">  </w:t>
      </w:r>
      <w:r>
        <w:rPr>
          <w:rFonts w:ascii="黑体" w:hAnsi="黑体" w:eastAsia="黑体" w:cs="黑体"/>
          <w:spacing w:val="-1"/>
          <w:sz w:val="27"/>
          <w:szCs w:val="27"/>
        </w:rPr>
        <w:t>目的和用途</w:t>
      </w:r>
    </w:p>
    <w:p w14:paraId="5CA9B73C">
      <w:pPr>
        <w:pStyle w:val="2"/>
        <w:spacing w:before="91" w:line="275" w:lineRule="auto"/>
        <w:ind w:right="122" w:firstLine="539"/>
        <w:jc w:val="both"/>
      </w:pPr>
      <w:r>
        <w:rPr>
          <w:spacing w:val="6"/>
        </w:rPr>
        <w:t>说明编制环境适应性报告的目的和用途。目的是</w:t>
      </w:r>
      <w:r>
        <w:rPr>
          <w:spacing w:val="5"/>
        </w:rPr>
        <w:t>全面描述工程研制阶段装</w:t>
      </w:r>
      <w:r>
        <w:t xml:space="preserve"> </w:t>
      </w:r>
      <w:r>
        <w:rPr>
          <w:spacing w:val="5"/>
        </w:rPr>
        <w:t>备环境工程工作开展情况，说明研制装备的环境适应性水平与研制总要求或合</w:t>
      </w:r>
      <w:r>
        <w:rPr>
          <w:spacing w:val="10"/>
        </w:rPr>
        <w:t xml:space="preserve"> </w:t>
      </w:r>
      <w:r>
        <w:t>同(协议)中规定的指标要求的符合性，为产品设计定型决</w:t>
      </w:r>
      <w:r>
        <w:rPr>
          <w:spacing w:val="-1"/>
        </w:rPr>
        <w:t>策提供依据。</w:t>
      </w:r>
    </w:p>
    <w:p w14:paraId="7D246BD0">
      <w:pPr>
        <w:spacing w:before="22" w:line="221" w:lineRule="auto"/>
        <w:rPr>
          <w:rFonts w:ascii="黑体" w:hAnsi="黑体" w:eastAsia="黑体" w:cs="黑体"/>
          <w:sz w:val="24"/>
          <w:szCs w:val="24"/>
        </w:rPr>
      </w:pPr>
      <w:r>
        <w:rPr>
          <w:rFonts w:ascii="黑体" w:hAnsi="黑体" w:eastAsia="黑体" w:cs="黑体"/>
          <w:spacing w:val="26"/>
          <w:sz w:val="24"/>
          <w:szCs w:val="24"/>
        </w:rPr>
        <w:t>2</w:t>
      </w:r>
      <w:r>
        <w:rPr>
          <w:rFonts w:ascii="黑体" w:hAnsi="黑体" w:eastAsia="黑体" w:cs="黑体"/>
          <w:spacing w:val="30"/>
          <w:sz w:val="24"/>
          <w:szCs w:val="24"/>
        </w:rPr>
        <w:t xml:space="preserve">  </w:t>
      </w:r>
      <w:r>
        <w:rPr>
          <w:rFonts w:ascii="黑体" w:hAnsi="黑体" w:eastAsia="黑体" w:cs="黑体"/>
          <w:spacing w:val="26"/>
          <w:sz w:val="24"/>
          <w:szCs w:val="24"/>
        </w:rPr>
        <w:t>编制依据</w:t>
      </w:r>
    </w:p>
    <w:p w14:paraId="2B43E6FA">
      <w:pPr>
        <w:pStyle w:val="2"/>
        <w:spacing w:before="114" w:line="274" w:lineRule="auto"/>
        <w:ind w:right="121" w:firstLine="539"/>
        <w:rPr>
          <w:sz w:val="25"/>
          <w:szCs w:val="25"/>
        </w:rPr>
      </w:pPr>
      <w:r>
        <w:rPr>
          <w:spacing w:val="26"/>
          <w:sz w:val="25"/>
          <w:szCs w:val="25"/>
        </w:rPr>
        <w:t>说明编制该文件的依据。编制依据一般包括：产品</w:t>
      </w:r>
      <w:r>
        <w:rPr>
          <w:spacing w:val="25"/>
          <w:sz w:val="25"/>
          <w:szCs w:val="25"/>
        </w:rPr>
        <w:t>研制总要求、合同或协</w:t>
      </w:r>
      <w:r>
        <w:rPr>
          <w:sz w:val="25"/>
          <w:szCs w:val="25"/>
        </w:rPr>
        <w:t xml:space="preserve"> </w:t>
      </w:r>
      <w:r>
        <w:rPr>
          <w:spacing w:val="8"/>
          <w:sz w:val="25"/>
          <w:szCs w:val="25"/>
        </w:rPr>
        <w:t>议；型号系统相关文件；环境试验报告；外场试用情况报告；其他相关标准。</w:t>
      </w:r>
    </w:p>
    <w:p w14:paraId="4AAE494D">
      <w:pPr>
        <w:spacing w:line="368" w:lineRule="exact"/>
        <w:rPr>
          <w:rFonts w:ascii="黑体" w:hAnsi="黑体" w:eastAsia="黑体" w:cs="黑体"/>
          <w:sz w:val="27"/>
          <w:szCs w:val="27"/>
        </w:rPr>
      </w:pPr>
      <w:r>
        <w:rPr>
          <w:rFonts w:ascii="Arial" w:hAnsi="Arial" w:eastAsia="Arial" w:cs="Arial"/>
          <w:spacing w:val="4"/>
          <w:position w:val="1"/>
          <w:sz w:val="27"/>
          <w:szCs w:val="27"/>
        </w:rPr>
        <w:t>3</w:t>
      </w:r>
      <w:r>
        <w:rPr>
          <w:rFonts w:ascii="Arial" w:hAnsi="Arial" w:eastAsia="Arial" w:cs="Arial"/>
          <w:spacing w:val="15"/>
          <w:position w:val="1"/>
          <w:sz w:val="27"/>
          <w:szCs w:val="27"/>
        </w:rPr>
        <w:t xml:space="preserve">   </w:t>
      </w:r>
      <w:r>
        <w:rPr>
          <w:rFonts w:ascii="黑体" w:hAnsi="黑体" w:eastAsia="黑体" w:cs="黑体"/>
          <w:spacing w:val="4"/>
          <w:position w:val="1"/>
          <w:sz w:val="27"/>
          <w:szCs w:val="27"/>
        </w:rPr>
        <w:t>环境适应性要求</w:t>
      </w:r>
    </w:p>
    <w:p w14:paraId="6310F155">
      <w:pPr>
        <w:pStyle w:val="2"/>
        <w:spacing w:before="91" w:line="277" w:lineRule="auto"/>
        <w:ind w:right="121" w:firstLine="539"/>
        <w:jc w:val="both"/>
      </w:pPr>
      <w:r>
        <w:rPr>
          <w:spacing w:val="5"/>
        </w:rPr>
        <w:t>首先应将研制总要求或合同(协议书)中对产品的环境适应性要求按环境因</w:t>
      </w:r>
      <w:r>
        <w:rPr>
          <w:spacing w:val="11"/>
        </w:rPr>
        <w:t xml:space="preserve"> </w:t>
      </w:r>
      <w:r>
        <w:rPr>
          <w:spacing w:val="-3"/>
        </w:rPr>
        <w:t>素类型一一列出，并列出相应的试验验证要求，这些要求包括定量要求和定性要</w:t>
      </w:r>
      <w:r>
        <w:rPr>
          <w:spacing w:val="17"/>
        </w:rPr>
        <w:t xml:space="preserve"> </w:t>
      </w:r>
      <w:r>
        <w:rPr>
          <w:spacing w:val="5"/>
        </w:rPr>
        <w:t>求。一般应以表格形式列出。这些要求是判断产品环境适应性水平是否达到规</w:t>
      </w:r>
      <w:r>
        <w:rPr>
          <w:spacing w:val="10"/>
        </w:rPr>
        <w:t xml:space="preserve"> </w:t>
      </w:r>
      <w:r>
        <w:rPr>
          <w:spacing w:val="-1"/>
        </w:rPr>
        <w:t>定目标的依据。</w:t>
      </w:r>
    </w:p>
    <w:p w14:paraId="1F85AD01">
      <w:pPr>
        <w:spacing w:line="221" w:lineRule="auto"/>
        <w:rPr>
          <w:rFonts w:ascii="黑体" w:hAnsi="黑体" w:eastAsia="黑体" w:cs="黑体"/>
          <w:sz w:val="27"/>
          <w:szCs w:val="27"/>
        </w:rPr>
      </w:pPr>
      <w:r>
        <w:rPr>
          <w:rFonts w:ascii="Arial" w:hAnsi="Arial" w:eastAsia="Arial" w:cs="Arial"/>
          <w:spacing w:val="6"/>
          <w:sz w:val="27"/>
          <w:szCs w:val="27"/>
        </w:rPr>
        <w:t>4</w:t>
      </w:r>
      <w:r>
        <w:rPr>
          <w:rFonts w:ascii="Arial" w:hAnsi="Arial" w:eastAsia="Arial" w:cs="Arial"/>
          <w:spacing w:val="12"/>
          <w:sz w:val="27"/>
          <w:szCs w:val="27"/>
        </w:rPr>
        <w:t xml:space="preserve">   </w:t>
      </w:r>
      <w:r>
        <w:rPr>
          <w:rFonts w:ascii="黑体" w:hAnsi="黑体" w:eastAsia="黑体" w:cs="黑体"/>
          <w:spacing w:val="6"/>
          <w:sz w:val="27"/>
          <w:szCs w:val="27"/>
        </w:rPr>
        <w:t>环境适应性设计工作</w:t>
      </w:r>
    </w:p>
    <w:p w14:paraId="7134F174">
      <w:pPr>
        <w:pStyle w:val="2"/>
        <w:spacing w:before="96" w:line="260" w:lineRule="auto"/>
        <w:ind w:right="123" w:firstLine="539"/>
      </w:pPr>
      <w:r>
        <w:rPr>
          <w:spacing w:val="6"/>
        </w:rPr>
        <w:t>包括产品环境适应性设计文件中规定或设计人</w:t>
      </w:r>
      <w:r>
        <w:rPr>
          <w:spacing w:val="5"/>
        </w:rPr>
        <w:t>员自己确定的应力裕度、采</w:t>
      </w:r>
      <w:r>
        <w:t xml:space="preserve"> </w:t>
      </w:r>
      <w:r>
        <w:rPr>
          <w:spacing w:val="-4"/>
        </w:rPr>
        <w:t>用的一些环境适应性设计原则和主要措施，包括设计、工艺等方面的措施。</w:t>
      </w:r>
    </w:p>
    <w:p w14:paraId="084CDBC1">
      <w:pPr>
        <w:spacing w:line="368" w:lineRule="exact"/>
        <w:rPr>
          <w:rFonts w:ascii="黑体" w:hAnsi="黑体" w:eastAsia="黑体" w:cs="黑体"/>
          <w:sz w:val="27"/>
          <w:szCs w:val="27"/>
        </w:rPr>
      </w:pPr>
      <w:r>
        <w:rPr>
          <w:rFonts w:ascii="Arial" w:hAnsi="Arial" w:eastAsia="Arial" w:cs="Arial"/>
          <w:spacing w:val="3"/>
          <w:position w:val="1"/>
          <w:sz w:val="27"/>
          <w:szCs w:val="27"/>
        </w:rPr>
        <w:t>5</w:t>
      </w:r>
      <w:r>
        <w:rPr>
          <w:rFonts w:ascii="Arial" w:hAnsi="Arial" w:eastAsia="Arial" w:cs="Arial"/>
          <w:spacing w:val="17"/>
          <w:position w:val="1"/>
          <w:sz w:val="27"/>
          <w:szCs w:val="27"/>
        </w:rPr>
        <w:t xml:space="preserve">   </w:t>
      </w:r>
      <w:r>
        <w:rPr>
          <w:rFonts w:ascii="黑体" w:hAnsi="黑体" w:eastAsia="黑体" w:cs="黑体"/>
          <w:spacing w:val="3"/>
          <w:position w:val="1"/>
          <w:sz w:val="27"/>
          <w:szCs w:val="27"/>
        </w:rPr>
        <w:t>环境试验及其结果</w:t>
      </w:r>
    </w:p>
    <w:p w14:paraId="59C147EF">
      <w:pPr>
        <w:pStyle w:val="2"/>
        <w:spacing w:before="109" w:line="273" w:lineRule="auto"/>
        <w:ind w:firstLine="539"/>
        <w:jc w:val="both"/>
      </w:pPr>
      <w:r>
        <w:rPr>
          <w:spacing w:val="6"/>
        </w:rPr>
        <w:t>应说明研制过程进行过的自然环境试验、实验</w:t>
      </w:r>
      <w:r>
        <w:rPr>
          <w:spacing w:val="5"/>
        </w:rPr>
        <w:t>室环境试验和使用环境试验</w:t>
      </w:r>
      <w:r>
        <w:t xml:space="preserve">  </w:t>
      </w:r>
      <w:r>
        <w:rPr>
          <w:spacing w:val="-2"/>
        </w:rPr>
        <w:t>情况，包括试验结论或结果评价。自然环境</w:t>
      </w:r>
      <w:r>
        <w:rPr>
          <w:spacing w:val="-3"/>
        </w:rPr>
        <w:t>试验一般在材料、工艺试片和某些结</w:t>
      </w:r>
      <w:r>
        <w:t xml:space="preserve">  </w:t>
      </w:r>
      <w:r>
        <w:rPr>
          <w:spacing w:val="1"/>
        </w:rPr>
        <w:t>构件上进行，只能给出材料、构件对自然环境适应性方面的意见和采取的措施；</w:t>
      </w:r>
      <w:r>
        <w:t xml:space="preserve"> </w:t>
      </w:r>
      <w:r>
        <w:rPr>
          <w:spacing w:val="-3"/>
        </w:rPr>
        <w:t>使用环境试验一般难以严格按规定进行，只能由试用、试飞过程中出现的环境故</w:t>
      </w:r>
      <w:r>
        <w:rPr>
          <w:spacing w:val="7"/>
        </w:rPr>
        <w:t xml:space="preserve">  </w:t>
      </w:r>
      <w:r>
        <w:rPr>
          <w:spacing w:val="5"/>
        </w:rPr>
        <w:t>障作出粗略的评价。产品定型前实验室环境试验包括环境适应性研制试验、环</w:t>
      </w:r>
      <w:r>
        <w:rPr>
          <w:spacing w:val="6"/>
        </w:rPr>
        <w:t xml:space="preserve">  </w:t>
      </w:r>
      <w:r>
        <w:rPr>
          <w:spacing w:val="-3"/>
        </w:rPr>
        <w:t>境响应特性调查试验、飞行器安全性环境试验和环境鉴定试验，应分别描述进行</w:t>
      </w:r>
      <w:r>
        <w:rPr>
          <w:spacing w:val="8"/>
        </w:rPr>
        <w:t xml:space="preserve">  </w:t>
      </w:r>
      <w:r>
        <w:rPr>
          <w:spacing w:val="5"/>
        </w:rPr>
        <w:t>过的这些试验基本情况和试验结果。有关产品定型或设计鉴定前进行的环境鉴</w:t>
      </w:r>
      <w:r>
        <w:rPr>
          <w:spacing w:val="6"/>
        </w:rPr>
        <w:t xml:space="preserve">  </w:t>
      </w:r>
      <w:r>
        <w:rPr>
          <w:spacing w:val="-2"/>
        </w:rPr>
        <w:t>定试验，可以直接引用环境试验总报告内容或作适当简化。</w:t>
      </w:r>
    </w:p>
    <w:p w14:paraId="2082E454">
      <w:pPr>
        <w:spacing w:before="57" w:line="222" w:lineRule="auto"/>
        <w:rPr>
          <w:rFonts w:ascii="黑体" w:hAnsi="黑体" w:eastAsia="黑体" w:cs="黑体"/>
          <w:sz w:val="24"/>
          <w:szCs w:val="24"/>
        </w:rPr>
      </w:pPr>
      <w:r>
        <w:rPr>
          <w:rFonts w:ascii="黑体" w:hAnsi="黑体" w:eastAsia="黑体" w:cs="黑体"/>
          <w:spacing w:val="31"/>
          <w:sz w:val="24"/>
          <w:szCs w:val="24"/>
        </w:rPr>
        <w:t>6  环境故障及其问题解决情况</w:t>
      </w:r>
    </w:p>
    <w:p w14:paraId="087E59D2">
      <w:pPr>
        <w:pStyle w:val="2"/>
        <w:spacing w:before="153" w:line="305" w:lineRule="auto"/>
        <w:ind w:right="123" w:firstLine="539"/>
        <w:jc w:val="both"/>
        <w:rPr>
          <w:sz w:val="22"/>
          <w:szCs w:val="22"/>
        </w:rPr>
      </w:pPr>
      <w:r>
        <w:rPr>
          <w:spacing w:val="34"/>
          <w:sz w:val="25"/>
          <w:szCs w:val="25"/>
        </w:rPr>
        <w:t>应描述研制过程各阶段出现过的环境故障及其解决情况，特别是详细地</w:t>
      </w:r>
      <w:r>
        <w:rPr>
          <w:spacing w:val="14"/>
          <w:sz w:val="25"/>
          <w:szCs w:val="25"/>
        </w:rPr>
        <w:t xml:space="preserve"> </w:t>
      </w:r>
      <w:r>
        <w:rPr>
          <w:spacing w:val="42"/>
          <w:sz w:val="25"/>
          <w:szCs w:val="25"/>
        </w:rPr>
        <w:t>描述环境关键问题的解决情况。应以表格的形式列出各种环境故障，见表</w:t>
      </w:r>
      <w:r>
        <w:rPr>
          <w:spacing w:val="16"/>
          <w:sz w:val="25"/>
          <w:szCs w:val="25"/>
        </w:rPr>
        <w:t xml:space="preserve"> </w:t>
      </w:r>
      <w:r>
        <w:rPr>
          <w:rFonts w:ascii="Times New Roman" w:hAnsi="Times New Roman" w:eastAsia="Times New Roman" w:cs="Times New Roman"/>
          <w:spacing w:val="-6"/>
          <w:sz w:val="22"/>
          <w:szCs w:val="22"/>
        </w:rPr>
        <w:t>12.8</w:t>
      </w:r>
      <w:r>
        <w:rPr>
          <w:spacing w:val="-6"/>
          <w:sz w:val="22"/>
          <w:szCs w:val="22"/>
        </w:rPr>
        <w:t>。</w:t>
      </w:r>
    </w:p>
    <w:p w14:paraId="042A0851">
      <w:pPr>
        <w:spacing w:line="305" w:lineRule="auto"/>
        <w:rPr>
          <w:sz w:val="22"/>
          <w:szCs w:val="22"/>
        </w:rPr>
        <w:sectPr>
          <w:footerReference r:id="rId599" w:type="default"/>
          <w:pgSz w:w="11910" w:h="17130"/>
          <w:pgMar w:top="400" w:right="1294" w:bottom="1677" w:left="1130" w:header="0" w:footer="1460" w:gutter="0"/>
          <w:cols w:space="720" w:num="1"/>
        </w:sectPr>
      </w:pPr>
    </w:p>
    <w:p w14:paraId="088676C2">
      <w:pPr>
        <w:spacing w:line="267" w:lineRule="auto"/>
        <w:rPr>
          <w:rFonts w:ascii="Arial"/>
          <w:sz w:val="21"/>
        </w:rPr>
      </w:pPr>
    </w:p>
    <w:p w14:paraId="530EBB1B">
      <w:pPr>
        <w:spacing w:line="268" w:lineRule="auto"/>
        <w:rPr>
          <w:rFonts w:ascii="Arial"/>
          <w:sz w:val="21"/>
        </w:rPr>
      </w:pPr>
    </w:p>
    <w:p w14:paraId="4DE5A091">
      <w:pPr>
        <w:spacing w:line="268" w:lineRule="auto"/>
        <w:rPr>
          <w:rFonts w:ascii="Arial"/>
          <w:sz w:val="21"/>
        </w:rPr>
      </w:pPr>
    </w:p>
    <w:p w14:paraId="0F045C22">
      <w:pPr>
        <w:spacing w:line="268" w:lineRule="auto"/>
        <w:rPr>
          <w:rFonts w:ascii="Arial"/>
          <w:sz w:val="21"/>
        </w:rPr>
      </w:pPr>
    </w:p>
    <w:p w14:paraId="74DFFE38">
      <w:pPr>
        <w:spacing w:before="78" w:line="222" w:lineRule="auto"/>
        <w:ind w:left="1939"/>
        <w:rPr>
          <w:rFonts w:ascii="仿宋" w:hAnsi="仿宋" w:eastAsia="仿宋" w:cs="仿宋"/>
          <w:sz w:val="24"/>
          <w:szCs w:val="24"/>
        </w:rPr>
      </w:pPr>
      <w:r>
        <w:rPr>
          <w:rFonts w:ascii="仿宋" w:hAnsi="仿宋" w:eastAsia="仿宋" w:cs="仿宋"/>
          <w:spacing w:val="23"/>
          <w:sz w:val="24"/>
          <w:szCs w:val="24"/>
        </w:rPr>
        <w:t>表12</w:t>
      </w:r>
      <w:r>
        <w:rPr>
          <w:rFonts w:ascii="仿宋" w:hAnsi="仿宋" w:eastAsia="仿宋" w:cs="仿宋"/>
          <w:spacing w:val="-38"/>
          <w:sz w:val="24"/>
          <w:szCs w:val="24"/>
        </w:rPr>
        <w:t xml:space="preserve"> </w:t>
      </w:r>
      <w:r>
        <w:rPr>
          <w:rFonts w:ascii="仿宋" w:hAnsi="仿宋" w:eastAsia="仿宋" w:cs="仿宋"/>
          <w:spacing w:val="23"/>
          <w:sz w:val="24"/>
          <w:szCs w:val="24"/>
        </w:rPr>
        <w:t>.</w:t>
      </w:r>
      <w:r>
        <w:rPr>
          <w:rFonts w:ascii="仿宋" w:hAnsi="仿宋" w:eastAsia="仿宋" w:cs="仿宋"/>
          <w:spacing w:val="-63"/>
          <w:sz w:val="24"/>
          <w:szCs w:val="24"/>
        </w:rPr>
        <w:t xml:space="preserve"> </w:t>
      </w:r>
      <w:r>
        <w:rPr>
          <w:rFonts w:ascii="仿宋" w:hAnsi="仿宋" w:eastAsia="仿宋" w:cs="仿宋"/>
          <w:spacing w:val="23"/>
          <w:sz w:val="24"/>
          <w:szCs w:val="24"/>
        </w:rPr>
        <w:t>8</w:t>
      </w:r>
      <w:r>
        <w:rPr>
          <w:rFonts w:ascii="仿宋" w:hAnsi="仿宋" w:eastAsia="仿宋" w:cs="仿宋"/>
          <w:spacing w:val="8"/>
          <w:sz w:val="24"/>
          <w:szCs w:val="24"/>
        </w:rPr>
        <w:t xml:space="preserve">  </w:t>
      </w:r>
      <w:r>
        <w:rPr>
          <w:rFonts w:ascii="仿宋" w:hAnsi="仿宋" w:eastAsia="仿宋" w:cs="仿宋"/>
          <w:spacing w:val="23"/>
          <w:sz w:val="24"/>
          <w:szCs w:val="24"/>
        </w:rPr>
        <w:t>产品故障及其分析和纠正情况</w:t>
      </w:r>
      <w:r>
        <w:rPr>
          <w:rFonts w:ascii="仿宋" w:hAnsi="仿宋" w:eastAsia="仿宋" w:cs="仿宋"/>
          <w:spacing w:val="-62"/>
          <w:sz w:val="24"/>
          <w:szCs w:val="24"/>
        </w:rPr>
        <w:t xml:space="preserve"> </w:t>
      </w:r>
      <w:r>
        <w:rPr>
          <w:rFonts w:ascii="仿宋" w:hAnsi="仿宋" w:eastAsia="仿宋" w:cs="仿宋"/>
          <w:spacing w:val="23"/>
          <w:sz w:val="24"/>
          <w:szCs w:val="24"/>
        </w:rPr>
        <w:t>一</w:t>
      </w:r>
      <w:r>
        <w:rPr>
          <w:rFonts w:ascii="仿宋" w:hAnsi="仿宋" w:eastAsia="仿宋" w:cs="仿宋"/>
          <w:spacing w:val="-58"/>
          <w:sz w:val="24"/>
          <w:szCs w:val="24"/>
        </w:rPr>
        <w:t xml:space="preserve"> </w:t>
      </w:r>
      <w:r>
        <w:rPr>
          <w:rFonts w:ascii="仿宋" w:hAnsi="仿宋" w:eastAsia="仿宋" w:cs="仿宋"/>
          <w:spacing w:val="23"/>
          <w:sz w:val="24"/>
          <w:szCs w:val="24"/>
        </w:rPr>
        <w:t>览表</w:t>
      </w:r>
    </w:p>
    <w:p w14:paraId="7DEF1133">
      <w:pPr>
        <w:spacing w:line="109" w:lineRule="exact"/>
      </w:pPr>
    </w:p>
    <w:tbl>
      <w:tblPr>
        <w:tblStyle w:val="5"/>
        <w:tblW w:w="938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1039"/>
        <w:gridCol w:w="1668"/>
        <w:gridCol w:w="630"/>
        <w:gridCol w:w="639"/>
        <w:gridCol w:w="619"/>
        <w:gridCol w:w="849"/>
        <w:gridCol w:w="829"/>
        <w:gridCol w:w="1259"/>
        <w:gridCol w:w="1004"/>
      </w:tblGrid>
      <w:tr w14:paraId="24FDF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844" w:type="dxa"/>
            <w:vAlign w:val="top"/>
          </w:tcPr>
          <w:p w14:paraId="16A67912">
            <w:pPr>
              <w:spacing w:before="304" w:line="220" w:lineRule="auto"/>
              <w:ind w:left="235"/>
              <w:rPr>
                <w:rFonts w:ascii="宋体" w:hAnsi="宋体" w:eastAsia="宋体" w:cs="宋体"/>
                <w:sz w:val="21"/>
                <w:szCs w:val="21"/>
              </w:rPr>
            </w:pPr>
            <w:r>
              <w:rPr>
                <w:rFonts w:ascii="宋体" w:hAnsi="宋体" w:eastAsia="宋体" w:cs="宋体"/>
                <w:spacing w:val="12"/>
                <w:sz w:val="21"/>
                <w:szCs w:val="21"/>
              </w:rPr>
              <w:t>日期</w:t>
            </w:r>
          </w:p>
        </w:tc>
        <w:tc>
          <w:tcPr>
            <w:tcW w:w="1039" w:type="dxa"/>
            <w:vAlign w:val="top"/>
          </w:tcPr>
          <w:p w14:paraId="65221B39">
            <w:pPr>
              <w:spacing w:before="124" w:line="297" w:lineRule="auto"/>
              <w:ind w:left="191" w:right="182"/>
              <w:rPr>
                <w:rFonts w:ascii="宋体" w:hAnsi="宋体" w:eastAsia="宋体" w:cs="宋体"/>
                <w:sz w:val="21"/>
                <w:szCs w:val="21"/>
              </w:rPr>
            </w:pPr>
            <w:r>
              <w:rPr>
                <w:rFonts w:ascii="宋体" w:hAnsi="宋体" w:eastAsia="宋体" w:cs="宋体"/>
                <w:spacing w:val="8"/>
                <w:sz w:val="21"/>
                <w:szCs w:val="21"/>
              </w:rPr>
              <w:t>故障出</w:t>
            </w:r>
            <w:r>
              <w:rPr>
                <w:rFonts w:ascii="宋体" w:hAnsi="宋体" w:eastAsia="宋体" w:cs="宋体"/>
                <w:sz w:val="21"/>
                <w:szCs w:val="21"/>
              </w:rPr>
              <w:t xml:space="preserve"> </w:t>
            </w:r>
            <w:r>
              <w:rPr>
                <w:rFonts w:ascii="宋体" w:hAnsi="宋体" w:eastAsia="宋体" w:cs="宋体"/>
                <w:spacing w:val="-3"/>
                <w:sz w:val="21"/>
                <w:szCs w:val="21"/>
              </w:rPr>
              <w:t>现场合</w:t>
            </w:r>
          </w:p>
        </w:tc>
        <w:tc>
          <w:tcPr>
            <w:tcW w:w="1668" w:type="dxa"/>
            <w:vAlign w:val="top"/>
          </w:tcPr>
          <w:p w14:paraId="7B5F9B32">
            <w:pPr>
              <w:spacing w:before="113" w:line="219" w:lineRule="auto"/>
              <w:ind w:left="402"/>
              <w:rPr>
                <w:rFonts w:ascii="宋体" w:hAnsi="宋体" w:eastAsia="宋体" w:cs="宋体"/>
                <w:sz w:val="21"/>
                <w:szCs w:val="21"/>
              </w:rPr>
            </w:pPr>
            <w:r>
              <w:rPr>
                <w:rFonts w:ascii="宋体" w:hAnsi="宋体" w:eastAsia="宋体" w:cs="宋体"/>
                <w:spacing w:val="2"/>
                <w:sz w:val="21"/>
                <w:szCs w:val="21"/>
              </w:rPr>
              <w:t>发生故障</w:t>
            </w:r>
          </w:p>
          <w:p w14:paraId="487D7628">
            <w:pPr>
              <w:spacing w:before="100" w:line="219" w:lineRule="auto"/>
              <w:ind w:left="192"/>
              <w:rPr>
                <w:rFonts w:ascii="宋体" w:hAnsi="宋体" w:eastAsia="宋体" w:cs="宋体"/>
                <w:sz w:val="21"/>
                <w:szCs w:val="21"/>
              </w:rPr>
            </w:pPr>
            <w:r>
              <w:rPr>
                <w:rFonts w:ascii="宋体" w:hAnsi="宋体" w:eastAsia="宋体" w:cs="宋体"/>
                <w:spacing w:val="1"/>
                <w:sz w:val="21"/>
                <w:szCs w:val="21"/>
              </w:rPr>
              <w:t>时的环境条件</w:t>
            </w:r>
          </w:p>
        </w:tc>
        <w:tc>
          <w:tcPr>
            <w:tcW w:w="630" w:type="dxa"/>
            <w:vAlign w:val="top"/>
          </w:tcPr>
          <w:p w14:paraId="0106C241">
            <w:pPr>
              <w:spacing w:before="103" w:line="219" w:lineRule="auto"/>
              <w:ind w:left="94"/>
              <w:rPr>
                <w:rFonts w:ascii="宋体" w:hAnsi="宋体" w:eastAsia="宋体" w:cs="宋体"/>
                <w:sz w:val="21"/>
                <w:szCs w:val="21"/>
              </w:rPr>
            </w:pPr>
            <w:r>
              <w:rPr>
                <w:rFonts w:ascii="宋体" w:hAnsi="宋体" w:eastAsia="宋体" w:cs="宋体"/>
                <w:spacing w:val="4"/>
                <w:sz w:val="21"/>
                <w:szCs w:val="21"/>
              </w:rPr>
              <w:t>故障</w:t>
            </w:r>
          </w:p>
          <w:p w14:paraId="47C93501">
            <w:pPr>
              <w:spacing w:before="120" w:line="219" w:lineRule="auto"/>
              <w:ind w:left="94"/>
              <w:rPr>
                <w:rFonts w:ascii="宋体" w:hAnsi="宋体" w:eastAsia="宋体" w:cs="宋体"/>
                <w:sz w:val="21"/>
                <w:szCs w:val="21"/>
              </w:rPr>
            </w:pPr>
            <w:r>
              <w:rPr>
                <w:rFonts w:ascii="宋体" w:hAnsi="宋体" w:eastAsia="宋体" w:cs="宋体"/>
                <w:spacing w:val="-3"/>
                <w:sz w:val="21"/>
                <w:szCs w:val="21"/>
              </w:rPr>
              <w:t>现象</w:t>
            </w:r>
          </w:p>
        </w:tc>
        <w:tc>
          <w:tcPr>
            <w:tcW w:w="639" w:type="dxa"/>
            <w:vAlign w:val="top"/>
          </w:tcPr>
          <w:p w14:paraId="5DF50B77">
            <w:pPr>
              <w:spacing w:before="113" w:line="219" w:lineRule="auto"/>
              <w:ind w:left="104"/>
              <w:rPr>
                <w:rFonts w:ascii="宋体" w:hAnsi="宋体" w:eastAsia="宋体" w:cs="宋体"/>
                <w:sz w:val="21"/>
                <w:szCs w:val="21"/>
              </w:rPr>
            </w:pPr>
            <w:r>
              <w:rPr>
                <w:rFonts w:ascii="宋体" w:hAnsi="宋体" w:eastAsia="宋体" w:cs="宋体"/>
                <w:spacing w:val="4"/>
                <w:sz w:val="21"/>
                <w:szCs w:val="21"/>
              </w:rPr>
              <w:t>故障</w:t>
            </w:r>
          </w:p>
          <w:p w14:paraId="665765C4">
            <w:pPr>
              <w:spacing w:before="124" w:line="222" w:lineRule="auto"/>
              <w:ind w:left="104"/>
              <w:rPr>
                <w:rFonts w:ascii="宋体" w:hAnsi="宋体" w:eastAsia="宋体" w:cs="宋体"/>
                <w:sz w:val="21"/>
                <w:szCs w:val="21"/>
              </w:rPr>
            </w:pPr>
            <w:r>
              <w:rPr>
                <w:rFonts w:ascii="宋体" w:hAnsi="宋体" w:eastAsia="宋体" w:cs="宋体"/>
                <w:spacing w:val="10"/>
                <w:sz w:val="21"/>
                <w:szCs w:val="21"/>
              </w:rPr>
              <w:t>原因</w:t>
            </w:r>
          </w:p>
        </w:tc>
        <w:tc>
          <w:tcPr>
            <w:tcW w:w="619" w:type="dxa"/>
            <w:vAlign w:val="top"/>
          </w:tcPr>
          <w:p w14:paraId="506EE81C">
            <w:pPr>
              <w:spacing w:before="123" w:line="219" w:lineRule="auto"/>
              <w:ind w:left="95"/>
              <w:rPr>
                <w:rFonts w:ascii="宋体" w:hAnsi="宋体" w:eastAsia="宋体" w:cs="宋体"/>
                <w:sz w:val="21"/>
                <w:szCs w:val="21"/>
              </w:rPr>
            </w:pPr>
            <w:r>
              <w:rPr>
                <w:rFonts w:ascii="宋体" w:hAnsi="宋体" w:eastAsia="宋体" w:cs="宋体"/>
                <w:spacing w:val="4"/>
                <w:sz w:val="21"/>
                <w:szCs w:val="21"/>
              </w:rPr>
              <w:t>故障</w:t>
            </w:r>
          </w:p>
          <w:p w14:paraId="359ECD17">
            <w:pPr>
              <w:spacing w:before="119" w:line="219" w:lineRule="auto"/>
              <w:ind w:left="95"/>
              <w:rPr>
                <w:rFonts w:ascii="宋体" w:hAnsi="宋体" w:eastAsia="宋体" w:cs="宋体"/>
                <w:sz w:val="21"/>
                <w:szCs w:val="21"/>
              </w:rPr>
            </w:pPr>
            <w:r>
              <w:rPr>
                <w:rFonts w:ascii="宋体" w:hAnsi="宋体" w:eastAsia="宋体" w:cs="宋体"/>
                <w:spacing w:val="-2"/>
                <w:sz w:val="21"/>
                <w:szCs w:val="21"/>
              </w:rPr>
              <w:t>机理</w:t>
            </w:r>
          </w:p>
        </w:tc>
        <w:tc>
          <w:tcPr>
            <w:tcW w:w="849" w:type="dxa"/>
            <w:vAlign w:val="top"/>
          </w:tcPr>
          <w:p w14:paraId="2A793ECA">
            <w:pPr>
              <w:spacing w:before="122" w:line="219" w:lineRule="auto"/>
              <w:ind w:left="106"/>
              <w:rPr>
                <w:rFonts w:ascii="宋体" w:hAnsi="宋体" w:eastAsia="宋体" w:cs="宋体"/>
                <w:sz w:val="21"/>
                <w:szCs w:val="21"/>
              </w:rPr>
            </w:pPr>
            <w:r>
              <w:rPr>
                <w:rFonts w:ascii="宋体" w:hAnsi="宋体" w:eastAsia="宋体" w:cs="宋体"/>
                <w:spacing w:val="3"/>
                <w:sz w:val="21"/>
                <w:szCs w:val="21"/>
              </w:rPr>
              <w:t>当时采</w:t>
            </w:r>
          </w:p>
          <w:p w14:paraId="4A945CF6">
            <w:pPr>
              <w:spacing w:before="112" w:line="220" w:lineRule="auto"/>
              <w:ind w:left="106"/>
              <w:rPr>
                <w:rFonts w:ascii="宋体" w:hAnsi="宋体" w:eastAsia="宋体" w:cs="宋体"/>
                <w:sz w:val="21"/>
                <w:szCs w:val="21"/>
              </w:rPr>
            </w:pPr>
            <w:r>
              <w:rPr>
                <w:rFonts w:ascii="宋体" w:hAnsi="宋体" w:eastAsia="宋体" w:cs="宋体"/>
                <w:spacing w:val="3"/>
                <w:sz w:val="21"/>
                <w:szCs w:val="21"/>
              </w:rPr>
              <w:t>取措施</w:t>
            </w:r>
          </w:p>
        </w:tc>
        <w:tc>
          <w:tcPr>
            <w:tcW w:w="829" w:type="dxa"/>
            <w:vAlign w:val="top"/>
          </w:tcPr>
          <w:p w14:paraId="2594F4B2">
            <w:pPr>
              <w:spacing w:before="122" w:line="298" w:lineRule="auto"/>
              <w:ind w:left="97" w:right="82"/>
              <w:rPr>
                <w:rFonts w:ascii="宋体" w:hAnsi="宋体" w:eastAsia="宋体" w:cs="宋体"/>
                <w:sz w:val="21"/>
                <w:szCs w:val="21"/>
              </w:rPr>
            </w:pPr>
            <w:r>
              <w:rPr>
                <w:rFonts w:ascii="宋体" w:hAnsi="宋体" w:eastAsia="宋体" w:cs="宋体"/>
                <w:spacing w:val="-4"/>
                <w:sz w:val="21"/>
                <w:szCs w:val="21"/>
              </w:rPr>
              <w:t>最终采</w:t>
            </w:r>
            <w:r>
              <w:rPr>
                <w:rFonts w:ascii="宋体" w:hAnsi="宋体" w:eastAsia="宋体" w:cs="宋体"/>
                <w:sz w:val="21"/>
                <w:szCs w:val="21"/>
              </w:rPr>
              <w:t xml:space="preserve"> </w:t>
            </w:r>
            <w:r>
              <w:rPr>
                <w:rFonts w:ascii="宋体" w:hAnsi="宋体" w:eastAsia="宋体" w:cs="宋体"/>
                <w:spacing w:val="3"/>
                <w:sz w:val="21"/>
                <w:szCs w:val="21"/>
              </w:rPr>
              <w:t>取措施</w:t>
            </w:r>
          </w:p>
        </w:tc>
        <w:tc>
          <w:tcPr>
            <w:tcW w:w="1259" w:type="dxa"/>
            <w:vAlign w:val="top"/>
          </w:tcPr>
          <w:p w14:paraId="71C53A25">
            <w:pPr>
              <w:spacing w:before="123" w:line="219" w:lineRule="auto"/>
              <w:ind w:left="208"/>
              <w:rPr>
                <w:rFonts w:ascii="宋体" w:hAnsi="宋体" w:eastAsia="宋体" w:cs="宋体"/>
                <w:sz w:val="21"/>
                <w:szCs w:val="21"/>
              </w:rPr>
            </w:pPr>
            <w:r>
              <w:rPr>
                <w:rFonts w:ascii="宋体" w:hAnsi="宋体" w:eastAsia="宋体" w:cs="宋体"/>
                <w:spacing w:val="2"/>
                <w:sz w:val="21"/>
                <w:szCs w:val="21"/>
              </w:rPr>
              <w:t>改进措施</w:t>
            </w:r>
          </w:p>
          <w:p w14:paraId="4838F852">
            <w:pPr>
              <w:spacing w:before="101" w:line="220" w:lineRule="auto"/>
              <w:ind w:left="208"/>
              <w:rPr>
                <w:rFonts w:ascii="宋体" w:hAnsi="宋体" w:eastAsia="宋体" w:cs="宋体"/>
                <w:sz w:val="21"/>
                <w:szCs w:val="21"/>
              </w:rPr>
            </w:pPr>
            <w:r>
              <w:rPr>
                <w:rFonts w:ascii="宋体" w:hAnsi="宋体" w:eastAsia="宋体" w:cs="宋体"/>
                <w:spacing w:val="-2"/>
                <w:sz w:val="21"/>
                <w:szCs w:val="21"/>
              </w:rPr>
              <w:t>验证情况</w:t>
            </w:r>
          </w:p>
        </w:tc>
        <w:tc>
          <w:tcPr>
            <w:tcW w:w="1004" w:type="dxa"/>
            <w:vAlign w:val="top"/>
          </w:tcPr>
          <w:p w14:paraId="234D0FC7">
            <w:pPr>
              <w:spacing w:before="123" w:line="219" w:lineRule="auto"/>
              <w:ind w:left="179"/>
              <w:rPr>
                <w:rFonts w:ascii="宋体" w:hAnsi="宋体" w:eastAsia="宋体" w:cs="宋体"/>
                <w:sz w:val="21"/>
                <w:szCs w:val="21"/>
              </w:rPr>
            </w:pPr>
            <w:r>
              <w:rPr>
                <w:rFonts w:ascii="宋体" w:hAnsi="宋体" w:eastAsia="宋体" w:cs="宋体"/>
                <w:spacing w:val="3"/>
                <w:sz w:val="21"/>
                <w:szCs w:val="21"/>
              </w:rPr>
              <w:t>故障是</w:t>
            </w:r>
          </w:p>
          <w:p w14:paraId="255142C8">
            <w:pPr>
              <w:spacing w:before="90" w:line="219" w:lineRule="auto"/>
              <w:ind w:left="179"/>
              <w:rPr>
                <w:rFonts w:ascii="宋体" w:hAnsi="宋体" w:eastAsia="宋体" w:cs="宋体"/>
                <w:sz w:val="21"/>
                <w:szCs w:val="21"/>
              </w:rPr>
            </w:pPr>
            <w:r>
              <w:rPr>
                <w:rFonts w:ascii="宋体" w:hAnsi="宋体" w:eastAsia="宋体" w:cs="宋体"/>
                <w:spacing w:val="2"/>
                <w:sz w:val="21"/>
                <w:szCs w:val="21"/>
              </w:rPr>
              <w:t>否归零</w:t>
            </w:r>
          </w:p>
        </w:tc>
      </w:tr>
      <w:tr w14:paraId="06D1A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44" w:type="dxa"/>
            <w:vAlign w:val="top"/>
          </w:tcPr>
          <w:p w14:paraId="2D7BAE5C">
            <w:pPr>
              <w:pStyle w:val="6"/>
            </w:pPr>
          </w:p>
        </w:tc>
        <w:tc>
          <w:tcPr>
            <w:tcW w:w="1039" w:type="dxa"/>
            <w:vAlign w:val="top"/>
          </w:tcPr>
          <w:p w14:paraId="72D66223">
            <w:pPr>
              <w:pStyle w:val="6"/>
            </w:pPr>
          </w:p>
        </w:tc>
        <w:tc>
          <w:tcPr>
            <w:tcW w:w="1668" w:type="dxa"/>
            <w:vAlign w:val="top"/>
          </w:tcPr>
          <w:p w14:paraId="754C0870">
            <w:pPr>
              <w:pStyle w:val="6"/>
            </w:pPr>
          </w:p>
        </w:tc>
        <w:tc>
          <w:tcPr>
            <w:tcW w:w="630" w:type="dxa"/>
            <w:vAlign w:val="top"/>
          </w:tcPr>
          <w:p w14:paraId="5B17A9FB">
            <w:pPr>
              <w:pStyle w:val="6"/>
            </w:pPr>
          </w:p>
        </w:tc>
        <w:tc>
          <w:tcPr>
            <w:tcW w:w="639" w:type="dxa"/>
            <w:vAlign w:val="top"/>
          </w:tcPr>
          <w:p w14:paraId="3D231831">
            <w:pPr>
              <w:pStyle w:val="6"/>
            </w:pPr>
          </w:p>
        </w:tc>
        <w:tc>
          <w:tcPr>
            <w:tcW w:w="619" w:type="dxa"/>
            <w:vAlign w:val="top"/>
          </w:tcPr>
          <w:p w14:paraId="2A3919F4">
            <w:pPr>
              <w:pStyle w:val="6"/>
            </w:pPr>
          </w:p>
        </w:tc>
        <w:tc>
          <w:tcPr>
            <w:tcW w:w="849" w:type="dxa"/>
            <w:vAlign w:val="top"/>
          </w:tcPr>
          <w:p w14:paraId="2ABEF269">
            <w:pPr>
              <w:pStyle w:val="6"/>
            </w:pPr>
          </w:p>
        </w:tc>
        <w:tc>
          <w:tcPr>
            <w:tcW w:w="829" w:type="dxa"/>
            <w:vAlign w:val="top"/>
          </w:tcPr>
          <w:p w14:paraId="5588579E">
            <w:pPr>
              <w:pStyle w:val="6"/>
            </w:pPr>
          </w:p>
        </w:tc>
        <w:tc>
          <w:tcPr>
            <w:tcW w:w="1259" w:type="dxa"/>
            <w:vAlign w:val="top"/>
          </w:tcPr>
          <w:p w14:paraId="79693FBD">
            <w:pPr>
              <w:pStyle w:val="6"/>
            </w:pPr>
          </w:p>
        </w:tc>
        <w:tc>
          <w:tcPr>
            <w:tcW w:w="1004" w:type="dxa"/>
            <w:vAlign w:val="top"/>
          </w:tcPr>
          <w:p w14:paraId="4C776221">
            <w:pPr>
              <w:pStyle w:val="6"/>
            </w:pPr>
          </w:p>
        </w:tc>
      </w:tr>
      <w:tr w14:paraId="0A3EA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844" w:type="dxa"/>
            <w:vAlign w:val="top"/>
          </w:tcPr>
          <w:p w14:paraId="1FB08FF6">
            <w:pPr>
              <w:pStyle w:val="6"/>
            </w:pPr>
          </w:p>
        </w:tc>
        <w:tc>
          <w:tcPr>
            <w:tcW w:w="1039" w:type="dxa"/>
            <w:vAlign w:val="top"/>
          </w:tcPr>
          <w:p w14:paraId="1C268758">
            <w:pPr>
              <w:pStyle w:val="6"/>
            </w:pPr>
          </w:p>
        </w:tc>
        <w:tc>
          <w:tcPr>
            <w:tcW w:w="1668" w:type="dxa"/>
            <w:vAlign w:val="top"/>
          </w:tcPr>
          <w:p w14:paraId="44B24EF9">
            <w:pPr>
              <w:pStyle w:val="6"/>
            </w:pPr>
          </w:p>
        </w:tc>
        <w:tc>
          <w:tcPr>
            <w:tcW w:w="630" w:type="dxa"/>
            <w:vAlign w:val="top"/>
          </w:tcPr>
          <w:p w14:paraId="056B03ED">
            <w:pPr>
              <w:pStyle w:val="6"/>
            </w:pPr>
          </w:p>
        </w:tc>
        <w:tc>
          <w:tcPr>
            <w:tcW w:w="639" w:type="dxa"/>
            <w:vAlign w:val="top"/>
          </w:tcPr>
          <w:p w14:paraId="6CCBDBE2">
            <w:pPr>
              <w:pStyle w:val="6"/>
            </w:pPr>
          </w:p>
        </w:tc>
        <w:tc>
          <w:tcPr>
            <w:tcW w:w="619" w:type="dxa"/>
            <w:vAlign w:val="top"/>
          </w:tcPr>
          <w:p w14:paraId="362D6D2E">
            <w:pPr>
              <w:pStyle w:val="6"/>
            </w:pPr>
          </w:p>
        </w:tc>
        <w:tc>
          <w:tcPr>
            <w:tcW w:w="849" w:type="dxa"/>
            <w:vAlign w:val="top"/>
          </w:tcPr>
          <w:p w14:paraId="13124A8D">
            <w:pPr>
              <w:pStyle w:val="6"/>
            </w:pPr>
          </w:p>
        </w:tc>
        <w:tc>
          <w:tcPr>
            <w:tcW w:w="829" w:type="dxa"/>
            <w:vAlign w:val="top"/>
          </w:tcPr>
          <w:p w14:paraId="63F02707">
            <w:pPr>
              <w:pStyle w:val="6"/>
            </w:pPr>
          </w:p>
        </w:tc>
        <w:tc>
          <w:tcPr>
            <w:tcW w:w="1259" w:type="dxa"/>
            <w:vAlign w:val="top"/>
          </w:tcPr>
          <w:p w14:paraId="5F54900E">
            <w:pPr>
              <w:pStyle w:val="6"/>
            </w:pPr>
          </w:p>
        </w:tc>
        <w:tc>
          <w:tcPr>
            <w:tcW w:w="1004" w:type="dxa"/>
            <w:vAlign w:val="top"/>
          </w:tcPr>
          <w:p w14:paraId="5F02B9D5">
            <w:pPr>
              <w:pStyle w:val="6"/>
            </w:pPr>
          </w:p>
        </w:tc>
      </w:tr>
    </w:tbl>
    <w:p w14:paraId="288FB720">
      <w:pPr>
        <w:spacing w:before="174" w:line="222" w:lineRule="auto"/>
        <w:rPr>
          <w:rFonts w:ascii="黑体" w:hAnsi="黑体" w:eastAsia="黑体" w:cs="黑体"/>
          <w:sz w:val="27"/>
          <w:szCs w:val="27"/>
        </w:rPr>
      </w:pPr>
      <w:r>
        <w:rPr>
          <w:rFonts w:ascii="Arial" w:hAnsi="Arial" w:eastAsia="Arial" w:cs="Arial"/>
          <w:spacing w:val="2"/>
          <w:sz w:val="27"/>
          <w:szCs w:val="27"/>
        </w:rPr>
        <w:t>7</w:t>
      </w:r>
      <w:r>
        <w:rPr>
          <w:rFonts w:ascii="Arial" w:hAnsi="Arial" w:eastAsia="Arial" w:cs="Arial"/>
          <w:spacing w:val="24"/>
          <w:sz w:val="27"/>
          <w:szCs w:val="27"/>
        </w:rPr>
        <w:t xml:space="preserve">   </w:t>
      </w:r>
      <w:r>
        <w:rPr>
          <w:rFonts w:ascii="黑体" w:hAnsi="黑体" w:eastAsia="黑体" w:cs="黑体"/>
          <w:spacing w:val="2"/>
          <w:sz w:val="27"/>
          <w:szCs w:val="27"/>
        </w:rPr>
        <w:t>环境适应性符合性情况</w:t>
      </w:r>
    </w:p>
    <w:p w14:paraId="1DFF177F">
      <w:pPr>
        <w:pStyle w:val="2"/>
        <w:spacing w:before="76" w:line="283" w:lineRule="auto"/>
        <w:ind w:right="22" w:firstLine="569"/>
        <w:jc w:val="both"/>
      </w:pPr>
      <w:r>
        <w:rPr>
          <w:spacing w:val="-3"/>
        </w:rPr>
        <w:t>应在总结环境适应性设计、分析和各种试验结果的基础上，对照研制总要求</w:t>
      </w:r>
      <w:r>
        <w:rPr>
          <w:spacing w:val="10"/>
        </w:rPr>
        <w:t xml:space="preserve"> </w:t>
      </w:r>
      <w:r>
        <w:rPr>
          <w:spacing w:val="5"/>
        </w:rPr>
        <w:t>和合同(协议书)中规定的环境适应性要求，给出产品环境适应性是否已满足要</w:t>
      </w:r>
      <w:r>
        <w:rPr>
          <w:spacing w:val="7"/>
        </w:rPr>
        <w:t xml:space="preserve"> </w:t>
      </w:r>
      <w:r>
        <w:t>求的结论。</w:t>
      </w:r>
    </w:p>
    <w:p w14:paraId="482FF668">
      <w:pPr>
        <w:spacing w:before="13" w:line="222" w:lineRule="auto"/>
        <w:outlineLvl w:val="3"/>
        <w:rPr>
          <w:rFonts w:ascii="黑体" w:hAnsi="黑体" w:eastAsia="黑体" w:cs="黑体"/>
          <w:sz w:val="24"/>
          <w:szCs w:val="24"/>
        </w:rPr>
      </w:pPr>
      <w:r>
        <w:rPr>
          <w:rFonts w:ascii="Arial" w:hAnsi="Arial" w:eastAsia="Arial" w:cs="Arial"/>
          <w:b/>
          <w:bCs/>
          <w:spacing w:val="22"/>
          <w:sz w:val="24"/>
          <w:szCs w:val="24"/>
        </w:rPr>
        <w:t xml:space="preserve">8    </w:t>
      </w:r>
      <w:r>
        <w:rPr>
          <w:rFonts w:ascii="黑体" w:hAnsi="黑体" w:eastAsia="黑体" w:cs="黑体"/>
          <w:b/>
          <w:bCs/>
          <w:spacing w:val="22"/>
          <w:sz w:val="24"/>
          <w:szCs w:val="24"/>
        </w:rPr>
        <w:t>遗留问题与建议</w:t>
      </w:r>
    </w:p>
    <w:p w14:paraId="4CE15B68">
      <w:pPr>
        <w:pStyle w:val="2"/>
        <w:spacing w:before="118" w:line="219" w:lineRule="auto"/>
        <w:ind w:left="579"/>
      </w:pPr>
      <w:r>
        <w:t>列出产品研制阶段尚遗留的问题，并提出产品今后</w:t>
      </w:r>
      <w:r>
        <w:rPr>
          <w:spacing w:val="-1"/>
        </w:rPr>
        <w:t>改进的建议。</w:t>
      </w:r>
    </w:p>
    <w:p w14:paraId="26650C97">
      <w:pPr>
        <w:spacing w:line="219" w:lineRule="auto"/>
        <w:sectPr>
          <w:footerReference r:id="rId600" w:type="default"/>
          <w:pgSz w:w="11910" w:h="17130"/>
          <w:pgMar w:top="400" w:right="1014" w:bottom="1617" w:left="1480" w:header="0" w:footer="1400" w:gutter="0"/>
          <w:cols w:space="720" w:num="1"/>
        </w:sectPr>
      </w:pPr>
    </w:p>
    <w:p w14:paraId="394E4C28">
      <w:pPr>
        <w:spacing w:line="263" w:lineRule="auto"/>
        <w:rPr>
          <w:rFonts w:ascii="Arial"/>
          <w:sz w:val="21"/>
        </w:rPr>
      </w:pPr>
    </w:p>
    <w:p w14:paraId="74A92BDB">
      <w:pPr>
        <w:spacing w:line="263" w:lineRule="auto"/>
        <w:rPr>
          <w:rFonts w:ascii="Arial"/>
          <w:sz w:val="21"/>
        </w:rPr>
      </w:pPr>
    </w:p>
    <w:p w14:paraId="1DC5BE2A">
      <w:pPr>
        <w:spacing w:line="263" w:lineRule="auto"/>
        <w:rPr>
          <w:rFonts w:ascii="Arial"/>
          <w:sz w:val="21"/>
        </w:rPr>
      </w:pPr>
    </w:p>
    <w:p w14:paraId="2374B2B2">
      <w:pPr>
        <w:spacing w:line="264" w:lineRule="auto"/>
        <w:rPr>
          <w:rFonts w:ascii="Arial"/>
          <w:sz w:val="21"/>
        </w:rPr>
      </w:pPr>
    </w:p>
    <w:p w14:paraId="417CA0EF">
      <w:pPr>
        <w:spacing w:line="264" w:lineRule="auto"/>
        <w:rPr>
          <w:rFonts w:ascii="Arial"/>
          <w:sz w:val="21"/>
        </w:rPr>
      </w:pPr>
    </w:p>
    <w:p w14:paraId="0ACA8166">
      <w:pPr>
        <w:spacing w:line="264" w:lineRule="auto"/>
        <w:rPr>
          <w:rFonts w:ascii="Arial"/>
          <w:sz w:val="21"/>
        </w:rPr>
      </w:pPr>
    </w:p>
    <w:p w14:paraId="22AE9CA7">
      <w:pPr>
        <w:spacing w:line="264" w:lineRule="auto"/>
        <w:rPr>
          <w:rFonts w:ascii="Arial"/>
          <w:sz w:val="21"/>
        </w:rPr>
      </w:pPr>
    </w:p>
    <w:p w14:paraId="73A3D8CA">
      <w:pPr>
        <w:spacing w:line="264" w:lineRule="auto"/>
        <w:rPr>
          <w:rFonts w:ascii="Arial"/>
          <w:sz w:val="21"/>
        </w:rPr>
      </w:pPr>
    </w:p>
    <w:p w14:paraId="080B071C">
      <w:pPr>
        <w:spacing w:before="143" w:line="222" w:lineRule="auto"/>
        <w:ind w:left="1980"/>
        <w:rPr>
          <w:rFonts w:ascii="黑体" w:hAnsi="黑体" w:eastAsia="黑体" w:cs="黑体"/>
          <w:sz w:val="44"/>
          <w:szCs w:val="44"/>
        </w:rPr>
      </w:pPr>
      <w:r>
        <w:rPr>
          <w:rFonts w:ascii="黑体" w:hAnsi="黑体" w:eastAsia="黑体" w:cs="黑体"/>
          <w:spacing w:val="10"/>
          <w:sz w:val="44"/>
          <w:szCs w:val="44"/>
        </w:rPr>
        <w:t>第</w:t>
      </w:r>
      <w:r>
        <w:rPr>
          <w:rFonts w:ascii="黑体" w:hAnsi="黑体" w:eastAsia="黑体" w:cs="黑体"/>
          <w:spacing w:val="-73"/>
          <w:sz w:val="44"/>
          <w:szCs w:val="44"/>
        </w:rPr>
        <w:t xml:space="preserve"> </w:t>
      </w:r>
      <w:r>
        <w:rPr>
          <w:rFonts w:ascii="黑体" w:hAnsi="黑体" w:eastAsia="黑体" w:cs="黑体"/>
          <w:spacing w:val="10"/>
          <w:sz w:val="44"/>
          <w:szCs w:val="44"/>
        </w:rPr>
        <w:t>1</w:t>
      </w:r>
      <w:r>
        <w:rPr>
          <w:rFonts w:ascii="黑体" w:hAnsi="黑体" w:eastAsia="黑体" w:cs="黑体"/>
          <w:spacing w:val="-101"/>
          <w:sz w:val="44"/>
          <w:szCs w:val="44"/>
        </w:rPr>
        <w:t xml:space="preserve"> </w:t>
      </w:r>
      <w:r>
        <w:rPr>
          <w:rFonts w:ascii="黑体" w:hAnsi="黑体" w:eastAsia="黑体" w:cs="黑体"/>
          <w:spacing w:val="10"/>
          <w:sz w:val="44"/>
          <w:szCs w:val="44"/>
        </w:rPr>
        <w:t>3</w:t>
      </w:r>
      <w:r>
        <w:rPr>
          <w:rFonts w:ascii="黑体" w:hAnsi="黑体" w:eastAsia="黑体" w:cs="黑体"/>
          <w:spacing w:val="-100"/>
          <w:sz w:val="44"/>
          <w:szCs w:val="44"/>
        </w:rPr>
        <w:t xml:space="preserve"> </w:t>
      </w:r>
      <w:r>
        <w:rPr>
          <w:rFonts w:ascii="黑体" w:hAnsi="黑体" w:eastAsia="黑体" w:cs="黑体"/>
          <w:spacing w:val="10"/>
          <w:sz w:val="44"/>
          <w:szCs w:val="44"/>
        </w:rPr>
        <w:t>章</w:t>
      </w:r>
      <w:r>
        <w:rPr>
          <w:rFonts w:ascii="黑体" w:hAnsi="黑体" w:eastAsia="黑体" w:cs="黑体"/>
          <w:spacing w:val="41"/>
          <w:sz w:val="44"/>
          <w:szCs w:val="44"/>
        </w:rPr>
        <w:t xml:space="preserve">  </w:t>
      </w:r>
      <w:r>
        <w:rPr>
          <w:rFonts w:ascii="黑体" w:hAnsi="黑体" w:eastAsia="黑体" w:cs="黑体"/>
          <w:spacing w:val="10"/>
          <w:sz w:val="44"/>
          <w:szCs w:val="44"/>
        </w:rPr>
        <w:t>电磁兼容性文件</w:t>
      </w:r>
    </w:p>
    <w:p w14:paraId="5C1D4B07">
      <w:pPr>
        <w:spacing w:line="248" w:lineRule="auto"/>
        <w:rPr>
          <w:rFonts w:ascii="Arial"/>
          <w:sz w:val="21"/>
        </w:rPr>
      </w:pPr>
    </w:p>
    <w:p w14:paraId="4B3CB4CA">
      <w:pPr>
        <w:spacing w:line="248" w:lineRule="auto"/>
        <w:rPr>
          <w:rFonts w:ascii="Arial"/>
          <w:sz w:val="21"/>
        </w:rPr>
      </w:pPr>
    </w:p>
    <w:p w14:paraId="52423222">
      <w:pPr>
        <w:spacing w:line="248" w:lineRule="auto"/>
        <w:rPr>
          <w:rFonts w:ascii="Arial"/>
          <w:sz w:val="21"/>
        </w:rPr>
      </w:pPr>
    </w:p>
    <w:p w14:paraId="0EE24581">
      <w:pPr>
        <w:pStyle w:val="2"/>
        <w:spacing w:before="117" w:line="220" w:lineRule="auto"/>
        <w:ind w:left="3219"/>
        <w:outlineLvl w:val="1"/>
        <w:rPr>
          <w:sz w:val="36"/>
          <w:szCs w:val="36"/>
        </w:rPr>
      </w:pPr>
      <w:r>
        <w:rPr>
          <w:rFonts w:ascii="Times New Roman" w:hAnsi="Times New Roman" w:eastAsia="Times New Roman" w:cs="Times New Roman"/>
          <w:b/>
          <w:bCs/>
          <w:spacing w:val="-16"/>
          <w:sz w:val="36"/>
          <w:szCs w:val="36"/>
        </w:rPr>
        <w:t>13.1</w:t>
      </w:r>
      <w:r>
        <w:rPr>
          <w:rFonts w:ascii="Times New Roman" w:hAnsi="Times New Roman" w:eastAsia="Times New Roman" w:cs="Times New Roman"/>
          <w:b/>
          <w:bCs/>
          <w:spacing w:val="9"/>
          <w:sz w:val="36"/>
          <w:szCs w:val="36"/>
        </w:rPr>
        <w:t xml:space="preserve">     </w:t>
      </w:r>
      <w:r>
        <w:rPr>
          <w:b/>
          <w:bCs/>
          <w:spacing w:val="-16"/>
          <w:sz w:val="36"/>
          <w:szCs w:val="36"/>
        </w:rPr>
        <w:t>电</w:t>
      </w:r>
      <w:r>
        <w:rPr>
          <w:spacing w:val="-16"/>
          <w:sz w:val="36"/>
          <w:szCs w:val="36"/>
        </w:rPr>
        <w:t xml:space="preserve"> </w:t>
      </w:r>
      <w:r>
        <w:rPr>
          <w:b/>
          <w:bCs/>
          <w:spacing w:val="-16"/>
          <w:sz w:val="36"/>
          <w:szCs w:val="36"/>
        </w:rPr>
        <w:t>磁</w:t>
      </w:r>
      <w:r>
        <w:rPr>
          <w:spacing w:val="-14"/>
          <w:sz w:val="36"/>
          <w:szCs w:val="36"/>
        </w:rPr>
        <w:t xml:space="preserve"> </w:t>
      </w:r>
      <w:r>
        <w:rPr>
          <w:b/>
          <w:bCs/>
          <w:spacing w:val="-16"/>
          <w:sz w:val="36"/>
          <w:szCs w:val="36"/>
        </w:rPr>
        <w:t>环</w:t>
      </w:r>
      <w:r>
        <w:rPr>
          <w:spacing w:val="-18"/>
          <w:sz w:val="36"/>
          <w:szCs w:val="36"/>
        </w:rPr>
        <w:t xml:space="preserve"> </w:t>
      </w:r>
      <w:r>
        <w:rPr>
          <w:b/>
          <w:bCs/>
          <w:spacing w:val="-16"/>
          <w:sz w:val="36"/>
          <w:szCs w:val="36"/>
        </w:rPr>
        <w:t>境</w:t>
      </w:r>
    </w:p>
    <w:p w14:paraId="29C3E0FA">
      <w:pPr>
        <w:spacing w:line="321" w:lineRule="auto"/>
        <w:rPr>
          <w:rFonts w:ascii="Arial"/>
          <w:sz w:val="21"/>
        </w:rPr>
      </w:pPr>
    </w:p>
    <w:p w14:paraId="7C75E23C">
      <w:pPr>
        <w:pStyle w:val="2"/>
        <w:spacing w:before="91" w:line="223" w:lineRule="auto"/>
        <w:ind w:left="560"/>
        <w:rPr>
          <w:rFonts w:ascii="楷体" w:hAnsi="楷体" w:eastAsia="楷体" w:cs="楷体"/>
          <w:sz w:val="28"/>
          <w:szCs w:val="28"/>
        </w:rPr>
      </w:pPr>
      <w:r>
        <w:rPr>
          <w:rFonts w:ascii="楷体" w:hAnsi="楷体" w:eastAsia="楷体" w:cs="楷体"/>
          <w:spacing w:val="-6"/>
          <w:sz w:val="28"/>
          <w:szCs w:val="28"/>
        </w:rPr>
        <w:t>按照</w:t>
      </w:r>
      <w:r>
        <w:rPr>
          <w:rFonts w:ascii="Times New Roman" w:hAnsi="Times New Roman" w:eastAsia="Times New Roman" w:cs="Times New Roman"/>
          <w:spacing w:val="-6"/>
          <w:sz w:val="28"/>
          <w:szCs w:val="28"/>
        </w:rPr>
        <w:t>GJB/Z17—1991</w:t>
      </w:r>
      <w:r>
        <w:rPr>
          <w:spacing w:val="-6"/>
          <w:sz w:val="28"/>
          <w:szCs w:val="28"/>
        </w:rPr>
        <w:t>《</w:t>
      </w:r>
      <w:r>
        <w:rPr>
          <w:rFonts w:ascii="楷体" w:hAnsi="楷体" w:eastAsia="楷体" w:cs="楷体"/>
          <w:spacing w:val="-6"/>
          <w:sz w:val="28"/>
          <w:szCs w:val="28"/>
        </w:rPr>
        <w:t>军用装备电磁兼容性管理指南》编写。</w:t>
      </w:r>
    </w:p>
    <w:p w14:paraId="2BBC2F10">
      <w:pPr>
        <w:spacing w:before="78"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19"/>
          <w:sz w:val="27"/>
          <w:szCs w:val="27"/>
        </w:rPr>
        <w:t xml:space="preserve">  </w:t>
      </w:r>
      <w:r>
        <w:rPr>
          <w:rFonts w:ascii="黑体" w:hAnsi="黑体" w:eastAsia="黑体" w:cs="黑体"/>
          <w:spacing w:val="-6"/>
          <w:sz w:val="27"/>
          <w:szCs w:val="27"/>
        </w:rPr>
        <w:t>范围</w:t>
      </w:r>
    </w:p>
    <w:p w14:paraId="7BE247A5">
      <w:pPr>
        <w:pStyle w:val="2"/>
        <w:spacing w:before="84" w:line="219" w:lineRule="auto"/>
        <w:ind w:left="560"/>
      </w:pPr>
      <w:r>
        <w:rPr>
          <w:spacing w:val="3"/>
        </w:rPr>
        <w:t>说明电磁环境文件的主题内容和适用范围。</w:t>
      </w:r>
    </w:p>
    <w:p w14:paraId="2A122FDD">
      <w:pPr>
        <w:spacing w:before="68" w:line="222" w:lineRule="auto"/>
        <w:rPr>
          <w:rFonts w:ascii="黑体" w:hAnsi="黑体" w:eastAsia="黑体" w:cs="黑体"/>
          <w:sz w:val="27"/>
          <w:szCs w:val="27"/>
        </w:rPr>
      </w:pPr>
      <w:r>
        <w:rPr>
          <w:rFonts w:ascii="黑体" w:hAnsi="黑体" w:eastAsia="黑体" w:cs="黑体"/>
          <w:spacing w:val="2"/>
          <w:sz w:val="27"/>
          <w:szCs w:val="27"/>
        </w:rPr>
        <w:t>2</w:t>
      </w:r>
      <w:r>
        <w:rPr>
          <w:rFonts w:ascii="黑体" w:hAnsi="黑体" w:eastAsia="黑体" w:cs="黑体"/>
          <w:spacing w:val="13"/>
          <w:sz w:val="27"/>
          <w:szCs w:val="27"/>
        </w:rPr>
        <w:t xml:space="preserve">  </w:t>
      </w:r>
      <w:r>
        <w:rPr>
          <w:rFonts w:ascii="黑体" w:hAnsi="黑体" w:eastAsia="黑体" w:cs="黑体"/>
          <w:spacing w:val="2"/>
          <w:sz w:val="27"/>
          <w:szCs w:val="27"/>
        </w:rPr>
        <w:t>引用文件</w:t>
      </w:r>
    </w:p>
    <w:p w14:paraId="7A41319F">
      <w:pPr>
        <w:pStyle w:val="2"/>
        <w:spacing w:before="77" w:line="219" w:lineRule="auto"/>
        <w:ind w:left="560"/>
      </w:pPr>
      <w:r>
        <w:rPr>
          <w:spacing w:val="3"/>
        </w:rPr>
        <w:t>说明电磁环境文件的引用文件。</w:t>
      </w:r>
    </w:p>
    <w:p w14:paraId="7B0DE3CC">
      <w:pPr>
        <w:spacing w:before="30" w:line="368" w:lineRule="exact"/>
        <w:rPr>
          <w:rFonts w:ascii="黑体" w:hAnsi="黑体" w:eastAsia="黑体" w:cs="黑体"/>
          <w:sz w:val="27"/>
          <w:szCs w:val="27"/>
        </w:rPr>
      </w:pPr>
      <w:r>
        <w:rPr>
          <w:rFonts w:ascii="Arial" w:hAnsi="Arial" w:eastAsia="Arial" w:cs="Arial"/>
          <w:position w:val="1"/>
          <w:sz w:val="27"/>
          <w:szCs w:val="27"/>
        </w:rPr>
        <w:t xml:space="preserve">3    </w:t>
      </w:r>
      <w:r>
        <w:rPr>
          <w:rFonts w:ascii="黑体" w:hAnsi="黑体" w:eastAsia="黑体" w:cs="黑体"/>
          <w:position w:val="1"/>
          <w:sz w:val="27"/>
          <w:szCs w:val="27"/>
        </w:rPr>
        <w:t>电磁环境构成</w:t>
      </w:r>
    </w:p>
    <w:p w14:paraId="7CFE8D98">
      <w:pPr>
        <w:pStyle w:val="2"/>
        <w:spacing w:before="99" w:line="296" w:lineRule="auto"/>
        <w:ind w:right="20" w:firstLine="560"/>
        <w:jc w:val="both"/>
        <w:rPr>
          <w:sz w:val="25"/>
          <w:szCs w:val="25"/>
        </w:rPr>
      </w:pPr>
      <w:r>
        <w:rPr>
          <w:spacing w:val="17"/>
          <w:sz w:val="25"/>
          <w:szCs w:val="25"/>
        </w:rPr>
        <w:t>电磁环境由各种电磁发射源产生，其主要来源是系统自身的发射机、友</w:t>
      </w:r>
      <w:r>
        <w:rPr>
          <w:spacing w:val="16"/>
          <w:sz w:val="25"/>
          <w:szCs w:val="25"/>
        </w:rPr>
        <w:t>方和</w:t>
      </w:r>
      <w:r>
        <w:rPr>
          <w:sz w:val="25"/>
          <w:szCs w:val="25"/>
        </w:rPr>
        <w:t xml:space="preserve"> </w:t>
      </w:r>
      <w:r>
        <w:rPr>
          <w:spacing w:val="17"/>
          <w:sz w:val="25"/>
          <w:szCs w:val="25"/>
        </w:rPr>
        <w:t>敌方的发射机、设备自身的乱真发射、非线性效应所产生的互调产物以及电磁脉</w:t>
      </w:r>
      <w:r>
        <w:rPr>
          <w:spacing w:val="14"/>
          <w:sz w:val="25"/>
          <w:szCs w:val="25"/>
        </w:rPr>
        <w:t xml:space="preserve"> </w:t>
      </w:r>
      <w:r>
        <w:rPr>
          <w:spacing w:val="16"/>
          <w:sz w:val="25"/>
          <w:szCs w:val="25"/>
        </w:rPr>
        <w:t>冲等。自然界中有雷电、静电和大气噪声等来源。</w:t>
      </w:r>
    </w:p>
    <w:p w14:paraId="78EA535F">
      <w:pPr>
        <w:pStyle w:val="2"/>
        <w:spacing w:before="2" w:line="273" w:lineRule="auto"/>
        <w:ind w:firstLine="560"/>
        <w:jc w:val="both"/>
      </w:pPr>
      <w:r>
        <w:rPr>
          <w:spacing w:val="15"/>
        </w:rPr>
        <w:t>装备电磁环境的来源主要取决于场所和周围环境。如在非实</w:t>
      </w:r>
      <w:r>
        <w:rPr>
          <w:spacing w:val="14"/>
        </w:rPr>
        <w:t>战工作条件</w:t>
      </w:r>
      <w:r>
        <w:t xml:space="preserve"> </w:t>
      </w:r>
      <w:r>
        <w:rPr>
          <w:spacing w:val="-3"/>
        </w:rPr>
        <w:t>下，电磁环境的主要来源是自身和友邻的发射。在实战工作条件下，敌方的发射</w:t>
      </w:r>
      <w:r>
        <w:rPr>
          <w:spacing w:val="14"/>
        </w:rPr>
        <w:t xml:space="preserve"> </w:t>
      </w:r>
      <w:r>
        <w:rPr>
          <w:spacing w:val="6"/>
        </w:rPr>
        <w:t>机将成为外加的主要来源。因此，系统生存和工</w:t>
      </w:r>
      <w:r>
        <w:rPr>
          <w:spacing w:val="5"/>
        </w:rPr>
        <w:t>作的电磁环境是依赖于使用和</w:t>
      </w:r>
      <w:r>
        <w:t xml:space="preserve"> 周围环境的。</w:t>
      </w:r>
    </w:p>
    <w:p w14:paraId="73DCC49E">
      <w:pPr>
        <w:spacing w:line="221" w:lineRule="auto"/>
        <w:rPr>
          <w:rFonts w:ascii="黑体" w:hAnsi="黑体" w:eastAsia="黑体" w:cs="黑体"/>
          <w:sz w:val="27"/>
          <w:szCs w:val="27"/>
        </w:rPr>
      </w:pPr>
      <w:r>
        <w:rPr>
          <w:rFonts w:ascii="Arial" w:hAnsi="Arial" w:eastAsia="Arial" w:cs="Arial"/>
          <w:spacing w:val="1"/>
          <w:sz w:val="27"/>
          <w:szCs w:val="27"/>
        </w:rPr>
        <w:t xml:space="preserve">4    </w:t>
      </w:r>
      <w:r>
        <w:rPr>
          <w:rFonts w:ascii="黑体" w:hAnsi="黑体" w:eastAsia="黑体" w:cs="黑体"/>
          <w:spacing w:val="1"/>
          <w:sz w:val="27"/>
          <w:szCs w:val="27"/>
        </w:rPr>
        <w:t>电磁环境影响</w:t>
      </w:r>
    </w:p>
    <w:p w14:paraId="6ED77B84">
      <w:pPr>
        <w:pStyle w:val="2"/>
        <w:spacing w:before="106" w:line="219" w:lineRule="auto"/>
        <w:ind w:left="560"/>
      </w:pPr>
      <w:r>
        <w:rPr>
          <w:spacing w:val="2"/>
        </w:rPr>
        <w:t>电磁环境所产生的有害影响主要有以下几种：</w:t>
      </w:r>
    </w:p>
    <w:p w14:paraId="2788CC94">
      <w:pPr>
        <w:pStyle w:val="2"/>
        <w:spacing w:before="80" w:line="219" w:lineRule="auto"/>
        <w:ind w:left="560"/>
      </w:pPr>
      <w:r>
        <w:rPr>
          <w:rFonts w:ascii="Times New Roman" w:hAnsi="Times New Roman" w:eastAsia="Times New Roman" w:cs="Times New Roman"/>
        </w:rPr>
        <w:t>a</w:t>
      </w:r>
      <w:r>
        <w:t>)烧坏或击穿元件、天线等；</w:t>
      </w:r>
    </w:p>
    <w:p w14:paraId="6E7B5C21">
      <w:pPr>
        <w:pStyle w:val="2"/>
        <w:spacing w:before="61" w:line="212" w:lineRule="auto"/>
        <w:ind w:left="560"/>
      </w:pPr>
      <w:r>
        <w:rPr>
          <w:rFonts w:ascii="Times New Roman" w:hAnsi="Times New Roman" w:eastAsia="Times New Roman" w:cs="Times New Roman"/>
          <w:spacing w:val="3"/>
        </w:rPr>
        <w:t xml:space="preserve">b)  </w:t>
      </w:r>
      <w:r>
        <w:rPr>
          <w:spacing w:val="3"/>
        </w:rPr>
        <w:t>接收机信号处理电路性能降低；</w:t>
      </w:r>
    </w:p>
    <w:p w14:paraId="38FEC7C1">
      <w:pPr>
        <w:pStyle w:val="2"/>
        <w:spacing w:before="80" w:line="212" w:lineRule="auto"/>
        <w:ind w:left="560"/>
      </w:pPr>
      <w:r>
        <w:rPr>
          <w:rFonts w:ascii="Times New Roman" w:hAnsi="Times New Roman" w:eastAsia="Times New Roman" w:cs="Times New Roman"/>
          <w:spacing w:val="-10"/>
        </w:rPr>
        <w:t xml:space="preserve">c)  </w:t>
      </w:r>
      <w:r>
        <w:rPr>
          <w:spacing w:val="-10"/>
        </w:rPr>
        <w:t>机电设备、电子线路、元件、军械等错误或意外的工作；</w:t>
      </w:r>
    </w:p>
    <w:p w14:paraId="249428D0">
      <w:pPr>
        <w:pStyle w:val="2"/>
        <w:spacing w:before="111" w:line="212" w:lineRule="auto"/>
        <w:ind w:left="560"/>
        <w:rPr>
          <w:sz w:val="25"/>
          <w:szCs w:val="25"/>
        </w:rPr>
      </w:pPr>
      <w:r>
        <w:rPr>
          <w:rFonts w:ascii="Times New Roman" w:hAnsi="Times New Roman" w:eastAsia="Times New Roman" w:cs="Times New Roman"/>
          <w:spacing w:val="14"/>
          <w:sz w:val="25"/>
          <w:szCs w:val="25"/>
        </w:rPr>
        <w:t>d)</w:t>
      </w:r>
      <w:r>
        <w:rPr>
          <w:rFonts w:ascii="Times New Roman" w:hAnsi="Times New Roman" w:eastAsia="Times New Roman" w:cs="Times New Roman"/>
          <w:spacing w:val="23"/>
          <w:sz w:val="25"/>
          <w:szCs w:val="25"/>
        </w:rPr>
        <w:t xml:space="preserve">  </w:t>
      </w:r>
      <w:r>
        <w:rPr>
          <w:spacing w:val="14"/>
          <w:sz w:val="25"/>
          <w:szCs w:val="25"/>
        </w:rPr>
        <w:t>电爆装置、易燃材料等的意外触发或点燃。</w:t>
      </w:r>
    </w:p>
    <w:p w14:paraId="10960A4C">
      <w:pPr>
        <w:pStyle w:val="2"/>
        <w:spacing w:before="130" w:line="273" w:lineRule="auto"/>
        <w:ind w:right="19" w:firstLine="560"/>
        <w:jc w:val="both"/>
      </w:pPr>
      <w:r>
        <w:rPr>
          <w:spacing w:val="2"/>
        </w:rPr>
        <w:t>电磁环境产生的有害影响有两个基本途径，</w:t>
      </w:r>
      <w:r>
        <w:rPr>
          <w:spacing w:val="-32"/>
        </w:rPr>
        <w:t xml:space="preserve"> </w:t>
      </w:r>
      <w:r>
        <w:rPr>
          <w:spacing w:val="2"/>
        </w:rPr>
        <w:t>一个是不希望的能量通过预定</w:t>
      </w:r>
      <w:r>
        <w:t xml:space="preserve"> </w:t>
      </w:r>
      <w:r>
        <w:rPr>
          <w:spacing w:val="-3"/>
        </w:rPr>
        <w:t>的通路(天线、传输线)进入到使用电磁能量的系统、设备或电路中；一个是非预</w:t>
      </w:r>
      <w:r>
        <w:rPr>
          <w:spacing w:val="18"/>
        </w:rPr>
        <w:t xml:space="preserve"> </w:t>
      </w:r>
      <w:r>
        <w:rPr>
          <w:spacing w:val="6"/>
        </w:rPr>
        <w:t>期的能量进入与响应。消除第一种影响主要</w:t>
      </w:r>
      <w:r>
        <w:rPr>
          <w:spacing w:val="5"/>
        </w:rPr>
        <w:t>是接收机的设计问题，消除第二种</w:t>
      </w:r>
      <w:r>
        <w:t xml:space="preserve"> </w:t>
      </w:r>
      <w:r>
        <w:rPr>
          <w:spacing w:val="5"/>
        </w:rPr>
        <w:t>影响不仅和设计有关，还包括频率的使用和对寄生发射的控制。消除电磁环境</w:t>
      </w:r>
      <w:r>
        <w:rPr>
          <w:spacing w:val="10"/>
        </w:rPr>
        <w:t xml:space="preserve"> </w:t>
      </w:r>
      <w:r>
        <w:rPr>
          <w:spacing w:val="-2"/>
        </w:rPr>
        <w:t>的有害影响除从设计上考虑外，还可通过相应的安装和操作</w:t>
      </w:r>
      <w:r>
        <w:rPr>
          <w:spacing w:val="-3"/>
        </w:rPr>
        <w:t>使用限制，对设备和</w:t>
      </w:r>
      <w:r>
        <w:t xml:space="preserve"> </w:t>
      </w:r>
      <w:r>
        <w:rPr>
          <w:spacing w:val="3"/>
        </w:rPr>
        <w:t>人员生存和工作的电磁环境进行控制。</w:t>
      </w:r>
    </w:p>
    <w:p w14:paraId="46B5CECD">
      <w:pPr>
        <w:pStyle w:val="2"/>
        <w:spacing w:before="46" w:line="219" w:lineRule="auto"/>
        <w:ind w:right="31"/>
        <w:jc w:val="right"/>
        <w:rPr>
          <w:spacing w:val="16"/>
          <w:sz w:val="25"/>
          <w:szCs w:val="25"/>
        </w:rPr>
      </w:pPr>
      <w:r>
        <w:rPr>
          <w:spacing w:val="17"/>
          <w:sz w:val="25"/>
          <w:szCs w:val="25"/>
        </w:rPr>
        <w:t>在某一具体电磁环境中，对受害者的影响取决于</w:t>
      </w:r>
      <w:r>
        <w:rPr>
          <w:spacing w:val="16"/>
          <w:sz w:val="25"/>
          <w:szCs w:val="25"/>
        </w:rPr>
        <w:t>该受害者的敏感特性、环境</w:t>
      </w:r>
    </w:p>
    <w:p w14:paraId="70BA740C">
      <w:pPr>
        <w:rPr>
          <w:spacing w:val="16"/>
          <w:sz w:val="25"/>
          <w:szCs w:val="25"/>
        </w:rPr>
      </w:pPr>
      <w:r>
        <w:rPr>
          <w:spacing w:val="16"/>
          <w:sz w:val="25"/>
          <w:szCs w:val="25"/>
        </w:rPr>
        <w:br w:type="page"/>
      </w:r>
    </w:p>
    <w:p w14:paraId="1FDD2029">
      <w:pPr>
        <w:pStyle w:val="2"/>
        <w:spacing w:before="83" w:line="286" w:lineRule="auto"/>
        <w:ind w:right="113"/>
      </w:pPr>
      <w:r>
        <w:rPr>
          <w:spacing w:val="-3"/>
        </w:rPr>
        <w:t>电平、频域和时域特性。为避免有害影响问题，考虑电磁环境对系统、分系统和</w:t>
      </w:r>
      <w:r>
        <w:rPr>
          <w:spacing w:val="16"/>
        </w:rPr>
        <w:t xml:space="preserve"> </w:t>
      </w:r>
      <w:r>
        <w:rPr>
          <w:spacing w:val="1"/>
        </w:rPr>
        <w:t>设备的影响十分必要。</w:t>
      </w:r>
    </w:p>
    <w:p w14:paraId="774E38FC">
      <w:pPr>
        <w:spacing w:line="221" w:lineRule="auto"/>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spacing w:val="13"/>
          <w:sz w:val="27"/>
          <w:szCs w:val="27"/>
        </w:rPr>
        <w:t xml:space="preserve">  </w:t>
      </w:r>
      <w:r>
        <w:rPr>
          <w:rFonts w:ascii="黑体" w:hAnsi="黑体" w:eastAsia="黑体" w:cs="黑体"/>
          <w:b/>
          <w:bCs/>
          <w:spacing w:val="-2"/>
          <w:sz w:val="27"/>
          <w:szCs w:val="27"/>
        </w:rPr>
        <w:t>分析确定过程</w:t>
      </w:r>
    </w:p>
    <w:p w14:paraId="43FA442D">
      <w:pPr>
        <w:pStyle w:val="2"/>
        <w:spacing w:before="82" w:line="305" w:lineRule="auto"/>
        <w:ind w:right="82" w:firstLine="570"/>
      </w:pPr>
      <w:r>
        <w:rPr>
          <w:spacing w:val="6"/>
        </w:rPr>
        <w:t>电磁环境应通过查询资料、预测分析或测试进行</w:t>
      </w:r>
      <w:r>
        <w:rPr>
          <w:spacing w:val="5"/>
        </w:rPr>
        <w:t>分析确定。分析系统和设</w:t>
      </w:r>
      <w:r>
        <w:t xml:space="preserve"> </w:t>
      </w:r>
      <w:r>
        <w:rPr>
          <w:spacing w:val="-4"/>
        </w:rPr>
        <w:t>备未来电磁环境时，应考虑以下几个方面。</w:t>
      </w:r>
    </w:p>
    <w:p w14:paraId="73F16CCA">
      <w:pPr>
        <w:spacing w:before="1" w:line="221" w:lineRule="auto"/>
        <w:rPr>
          <w:rFonts w:ascii="黑体" w:hAnsi="黑体" w:eastAsia="黑体" w:cs="黑体"/>
          <w:sz w:val="24"/>
          <w:szCs w:val="24"/>
        </w:rPr>
      </w:pPr>
      <w:r>
        <w:rPr>
          <w:rFonts w:ascii="黑体" w:hAnsi="黑体" w:eastAsia="黑体" w:cs="黑体"/>
          <w:spacing w:val="17"/>
          <w:sz w:val="24"/>
          <w:szCs w:val="24"/>
        </w:rPr>
        <w:t>5.1</w:t>
      </w:r>
      <w:r>
        <w:rPr>
          <w:rFonts w:ascii="黑体" w:hAnsi="黑体" w:eastAsia="黑体" w:cs="黑体"/>
          <w:spacing w:val="46"/>
          <w:sz w:val="24"/>
          <w:szCs w:val="24"/>
        </w:rPr>
        <w:t xml:space="preserve">  </w:t>
      </w:r>
      <w:r>
        <w:rPr>
          <w:rFonts w:ascii="黑体" w:hAnsi="黑体" w:eastAsia="黑体" w:cs="黑体"/>
          <w:b/>
          <w:bCs/>
          <w:spacing w:val="17"/>
          <w:sz w:val="24"/>
          <w:szCs w:val="24"/>
        </w:rPr>
        <w:t>环境剖面</w:t>
      </w:r>
    </w:p>
    <w:p w14:paraId="3B9EB7CC">
      <w:pPr>
        <w:pStyle w:val="2"/>
        <w:spacing w:before="98" w:line="285" w:lineRule="auto"/>
        <w:ind w:firstLine="570"/>
        <w:jc w:val="both"/>
      </w:pPr>
      <w:r>
        <w:rPr>
          <w:spacing w:val="5"/>
        </w:rPr>
        <w:t>每个设备和系统在其寿命期中都将受到若干不同电磁环境的影响，应了解</w:t>
      </w:r>
      <w:r>
        <w:rPr>
          <w:spacing w:val="18"/>
        </w:rPr>
        <w:t xml:space="preserve"> </w:t>
      </w:r>
      <w:r>
        <w:rPr>
          <w:spacing w:val="1"/>
        </w:rPr>
        <w:t>和确定各电磁环境的环境电平，特别是最恶劣的电磁</w:t>
      </w:r>
      <w:r>
        <w:t xml:space="preserve">环境电平。如导弹在装卸、 </w:t>
      </w:r>
      <w:r>
        <w:rPr>
          <w:spacing w:val="-5"/>
        </w:rPr>
        <w:t>贮存、检查、发射和接近目标的过程中将处于不同的电磁环境中。</w:t>
      </w:r>
    </w:p>
    <w:p w14:paraId="7DD207C7">
      <w:pPr>
        <w:spacing w:before="33" w:line="222" w:lineRule="auto"/>
        <w:rPr>
          <w:rFonts w:ascii="黑体" w:hAnsi="黑体" w:eastAsia="黑体" w:cs="黑体"/>
          <w:sz w:val="25"/>
          <w:szCs w:val="25"/>
        </w:rPr>
      </w:pPr>
      <w:r>
        <w:rPr>
          <w:rFonts w:ascii="黑体" w:hAnsi="黑体" w:eastAsia="黑体" w:cs="黑体"/>
          <w:spacing w:val="11"/>
          <w:sz w:val="25"/>
          <w:szCs w:val="25"/>
        </w:rPr>
        <w:t>5.2</w:t>
      </w:r>
      <w:r>
        <w:rPr>
          <w:rFonts w:ascii="黑体" w:hAnsi="黑体" w:eastAsia="黑体" w:cs="黑体"/>
          <w:spacing w:val="33"/>
          <w:sz w:val="25"/>
          <w:szCs w:val="25"/>
        </w:rPr>
        <w:t xml:space="preserve">  </w:t>
      </w:r>
      <w:r>
        <w:rPr>
          <w:rFonts w:ascii="黑体" w:hAnsi="黑体" w:eastAsia="黑体" w:cs="黑体"/>
          <w:b/>
          <w:bCs/>
          <w:spacing w:val="11"/>
          <w:sz w:val="25"/>
          <w:szCs w:val="25"/>
        </w:rPr>
        <w:t>功能特性</w:t>
      </w:r>
    </w:p>
    <w:p w14:paraId="6E4128C0">
      <w:pPr>
        <w:pStyle w:val="2"/>
        <w:spacing w:before="105" w:line="312" w:lineRule="auto"/>
        <w:ind w:right="84" w:firstLine="570"/>
        <w:rPr>
          <w:sz w:val="25"/>
          <w:szCs w:val="25"/>
        </w:rPr>
      </w:pPr>
      <w:r>
        <w:rPr>
          <w:spacing w:val="26"/>
          <w:sz w:val="25"/>
          <w:szCs w:val="25"/>
        </w:rPr>
        <w:t>设备和系统的功能特性随其配置而变化，从</w:t>
      </w:r>
      <w:r>
        <w:rPr>
          <w:spacing w:val="25"/>
          <w:sz w:val="25"/>
          <w:szCs w:val="25"/>
        </w:rPr>
        <w:t>而引起对电磁环境敏感性的变</w:t>
      </w:r>
      <w:r>
        <w:rPr>
          <w:sz w:val="25"/>
          <w:szCs w:val="25"/>
        </w:rPr>
        <w:t xml:space="preserve"> </w:t>
      </w:r>
      <w:r>
        <w:rPr>
          <w:spacing w:val="15"/>
          <w:sz w:val="25"/>
          <w:szCs w:val="25"/>
        </w:rPr>
        <w:t>化。因此，在制定性能要求的过程中，应明确在各种环境中的功能特性。</w:t>
      </w:r>
    </w:p>
    <w:p w14:paraId="5A040C35">
      <w:pPr>
        <w:spacing w:before="1" w:line="221" w:lineRule="auto"/>
        <w:outlineLvl w:val="3"/>
        <w:rPr>
          <w:rFonts w:ascii="黑体" w:hAnsi="黑体" w:eastAsia="黑体" w:cs="黑体"/>
          <w:sz w:val="27"/>
          <w:szCs w:val="27"/>
        </w:rPr>
      </w:pPr>
      <w:r>
        <w:rPr>
          <w:rFonts w:ascii="Arial" w:hAnsi="Arial" w:eastAsia="Arial" w:cs="Arial"/>
          <w:b/>
          <w:bCs/>
          <w:spacing w:val="1"/>
          <w:sz w:val="27"/>
          <w:szCs w:val="27"/>
        </w:rPr>
        <w:t xml:space="preserve">5.3    </w:t>
      </w:r>
      <w:r>
        <w:rPr>
          <w:rFonts w:ascii="黑体" w:hAnsi="黑体" w:eastAsia="黑体" w:cs="黑体"/>
          <w:b/>
          <w:bCs/>
          <w:spacing w:val="1"/>
          <w:sz w:val="27"/>
          <w:szCs w:val="27"/>
        </w:rPr>
        <w:t>工作和生存</w:t>
      </w:r>
    </w:p>
    <w:p w14:paraId="0627BF52">
      <w:pPr>
        <w:pStyle w:val="2"/>
        <w:spacing w:before="109" w:line="285" w:lineRule="auto"/>
        <w:ind w:firstLine="570"/>
        <w:jc w:val="both"/>
      </w:pPr>
      <w:r>
        <w:rPr>
          <w:spacing w:val="-3"/>
        </w:rPr>
        <w:t>在制定性能要求时，应区分工作条件与生存条件。通常，导致性能降低的环</w:t>
      </w:r>
      <w:r>
        <w:rPr>
          <w:spacing w:val="11"/>
        </w:rPr>
        <w:t xml:space="preserve"> </w:t>
      </w:r>
      <w:r>
        <w:rPr>
          <w:spacing w:val="9"/>
        </w:rPr>
        <w:t>境电平与造成永久性损坏的环境电平之间有明显差</w:t>
      </w:r>
      <w:r>
        <w:rPr>
          <w:spacing w:val="8"/>
        </w:rPr>
        <w:t>别。例如当设备不工作时，</w:t>
      </w:r>
      <w:r>
        <w:t xml:space="preserve"> 能采用许多预防措施防止其受电磁干扰的损害，而在设备工作时却很难做到。</w:t>
      </w:r>
    </w:p>
    <w:p w14:paraId="168DFFCC">
      <w:pPr>
        <w:spacing w:before="17" w:line="222" w:lineRule="auto"/>
        <w:rPr>
          <w:rFonts w:ascii="黑体" w:hAnsi="黑体" w:eastAsia="黑体" w:cs="黑体"/>
          <w:sz w:val="25"/>
          <w:szCs w:val="25"/>
        </w:rPr>
      </w:pPr>
      <w:r>
        <w:rPr>
          <w:rFonts w:ascii="黑体" w:hAnsi="黑体" w:eastAsia="黑体" w:cs="黑体"/>
          <w:spacing w:val="12"/>
          <w:sz w:val="25"/>
          <w:szCs w:val="25"/>
        </w:rPr>
        <w:t>5.4</w:t>
      </w:r>
      <w:r>
        <w:rPr>
          <w:rFonts w:ascii="黑体" w:hAnsi="黑体" w:eastAsia="黑体" w:cs="黑体"/>
          <w:spacing w:val="32"/>
          <w:sz w:val="25"/>
          <w:szCs w:val="25"/>
        </w:rPr>
        <w:t xml:space="preserve">  </w:t>
      </w:r>
      <w:r>
        <w:rPr>
          <w:rFonts w:ascii="黑体" w:hAnsi="黑体" w:eastAsia="黑体" w:cs="黑体"/>
          <w:b/>
          <w:bCs/>
          <w:spacing w:val="12"/>
          <w:sz w:val="25"/>
          <w:szCs w:val="25"/>
        </w:rPr>
        <w:t>敏感性</w:t>
      </w:r>
    </w:p>
    <w:p w14:paraId="0E30BD82">
      <w:pPr>
        <w:pStyle w:val="2"/>
        <w:spacing w:before="114" w:line="286" w:lineRule="auto"/>
        <w:ind w:right="82" w:firstLine="570"/>
        <w:jc w:val="both"/>
      </w:pPr>
      <w:r>
        <w:rPr>
          <w:spacing w:val="6"/>
        </w:rPr>
        <w:t>设备或系统的敏感特性根据其设计特性可能有所</w:t>
      </w:r>
      <w:r>
        <w:rPr>
          <w:spacing w:val="5"/>
        </w:rPr>
        <w:t>不同。它可能是选频的或</w:t>
      </w:r>
      <w:r>
        <w:t xml:space="preserve"> </w:t>
      </w:r>
      <w:r>
        <w:rPr>
          <w:spacing w:val="-3"/>
        </w:rPr>
        <w:t>是在一宽频带范围内响应，响应时间可能是微秒量级，受环境的短时峰值电平影</w:t>
      </w:r>
      <w:r>
        <w:rPr>
          <w:spacing w:val="5"/>
        </w:rPr>
        <w:t xml:space="preserve"> </w:t>
      </w:r>
      <w:r>
        <w:rPr>
          <w:spacing w:val="-3"/>
        </w:rPr>
        <w:t>响，或是受热影响，响应较慢的平均信号电平。在评估电磁环境对设备或系统的</w:t>
      </w:r>
      <w:r>
        <w:rPr>
          <w:spacing w:val="14"/>
        </w:rPr>
        <w:t xml:space="preserve"> </w:t>
      </w:r>
      <w:r>
        <w:rPr>
          <w:spacing w:val="-3"/>
        </w:rPr>
        <w:t>影响时，所有这些特性以及元件和材料的选择、屏蔽和滤波技术的应用均应予以</w:t>
      </w:r>
      <w:r>
        <w:rPr>
          <w:spacing w:val="18"/>
        </w:rPr>
        <w:t xml:space="preserve"> </w:t>
      </w:r>
      <w:r>
        <w:rPr>
          <w:spacing w:val="1"/>
        </w:rPr>
        <w:t>综合考虑。</w:t>
      </w:r>
    </w:p>
    <w:p w14:paraId="293F3020">
      <w:pPr>
        <w:spacing w:before="5" w:line="222" w:lineRule="auto"/>
        <w:rPr>
          <w:rFonts w:ascii="黑体" w:hAnsi="黑体" w:eastAsia="黑体" w:cs="黑体"/>
          <w:sz w:val="27"/>
          <w:szCs w:val="27"/>
        </w:rPr>
      </w:pPr>
      <w:r>
        <w:rPr>
          <w:rFonts w:ascii="黑体" w:hAnsi="黑体" w:eastAsia="黑体" w:cs="黑体"/>
          <w:spacing w:val="1"/>
          <w:sz w:val="27"/>
          <w:szCs w:val="27"/>
        </w:rPr>
        <w:t xml:space="preserve">5.5  </w:t>
      </w:r>
      <w:r>
        <w:rPr>
          <w:rFonts w:ascii="黑体" w:hAnsi="黑体" w:eastAsia="黑体" w:cs="黑体"/>
          <w:b/>
          <w:bCs/>
          <w:spacing w:val="1"/>
          <w:sz w:val="27"/>
          <w:szCs w:val="27"/>
        </w:rPr>
        <w:t>未来考虑</w:t>
      </w:r>
    </w:p>
    <w:p w14:paraId="279EACB0">
      <w:pPr>
        <w:pStyle w:val="2"/>
        <w:spacing w:before="118" w:line="279" w:lineRule="auto"/>
        <w:ind w:right="74" w:firstLine="570"/>
        <w:jc w:val="both"/>
      </w:pPr>
      <w:r>
        <w:rPr>
          <w:spacing w:val="6"/>
        </w:rPr>
        <w:t>确定系统可能遇到的电磁环境时，应同时考虑系统或设备未来任何</w:t>
      </w:r>
      <w:r>
        <w:rPr>
          <w:spacing w:val="5"/>
        </w:rPr>
        <w:t>可能的</w:t>
      </w:r>
      <w:r>
        <w:t xml:space="preserve"> </w:t>
      </w:r>
      <w:r>
        <w:rPr>
          <w:spacing w:val="5"/>
        </w:rPr>
        <w:t>应用和环境变化，如设计在某种环境中工作的设备或系统可能被安装或工作在</w:t>
      </w:r>
      <w:r>
        <w:rPr>
          <w:spacing w:val="3"/>
        </w:rPr>
        <w:t xml:space="preserve"> </w:t>
      </w:r>
      <w:r>
        <w:rPr>
          <w:spacing w:val="-2"/>
        </w:rPr>
        <w:t>其他环境中，或是执行不是最初设计的功能</w:t>
      </w:r>
      <w:r>
        <w:rPr>
          <w:spacing w:val="-3"/>
        </w:rPr>
        <w:t>和任务。因此，尽管预测和分析较多</w:t>
      </w:r>
      <w:r>
        <w:t xml:space="preserve"> </w:t>
      </w:r>
      <w:r>
        <w:rPr>
          <w:spacing w:val="-3"/>
        </w:rPr>
        <w:t>的电磁环境会造成设备或系统的成本增加，但从未来应用的适用性来考虑，这种</w:t>
      </w:r>
      <w:r>
        <w:rPr>
          <w:spacing w:val="13"/>
        </w:rPr>
        <w:t xml:space="preserve"> </w:t>
      </w:r>
      <w:r>
        <w:rPr>
          <w:spacing w:val="2"/>
        </w:rPr>
        <w:t>增加已证明是有价值的。</w:t>
      </w:r>
    </w:p>
    <w:p w14:paraId="74510324">
      <w:pPr>
        <w:spacing w:before="35" w:line="222" w:lineRule="auto"/>
        <w:rPr>
          <w:rFonts w:ascii="黑体" w:hAnsi="黑体" w:eastAsia="黑体" w:cs="黑体"/>
          <w:sz w:val="27"/>
          <w:szCs w:val="27"/>
        </w:rPr>
      </w:pPr>
      <w:r>
        <w:rPr>
          <w:rFonts w:ascii="黑体" w:hAnsi="黑体" w:eastAsia="黑体" w:cs="黑体"/>
          <w:spacing w:val="1"/>
          <w:sz w:val="27"/>
          <w:szCs w:val="27"/>
        </w:rPr>
        <w:t xml:space="preserve">5.6  </w:t>
      </w:r>
      <w:r>
        <w:rPr>
          <w:rFonts w:ascii="黑体" w:hAnsi="黑体" w:eastAsia="黑体" w:cs="黑体"/>
          <w:b/>
          <w:bCs/>
          <w:spacing w:val="1"/>
          <w:sz w:val="27"/>
          <w:szCs w:val="27"/>
        </w:rPr>
        <w:t>环境电平</w:t>
      </w:r>
    </w:p>
    <w:p w14:paraId="41E06F29">
      <w:pPr>
        <w:pStyle w:val="2"/>
        <w:spacing w:before="131" w:line="286" w:lineRule="auto"/>
        <w:ind w:right="83" w:firstLine="570"/>
        <w:jc w:val="both"/>
      </w:pPr>
      <w:r>
        <w:rPr>
          <w:spacing w:val="6"/>
        </w:rPr>
        <w:t>虽然一般仅用场强值或功率密度规定环境电平</w:t>
      </w:r>
      <w:r>
        <w:rPr>
          <w:spacing w:val="5"/>
        </w:rPr>
        <w:t>，但还存在许多能改变电磁</w:t>
      </w:r>
      <w:r>
        <w:t xml:space="preserve"> </w:t>
      </w:r>
      <w:r>
        <w:rPr>
          <w:spacing w:val="-10"/>
        </w:rPr>
        <w:t>环境对系统影响的参数，如：脉冲重复频率和宽度、频谱覆盖范围、天线主瓣和副</w:t>
      </w:r>
      <w:r>
        <w:rPr>
          <w:spacing w:val="1"/>
        </w:rPr>
        <w:t xml:space="preserve"> </w:t>
      </w:r>
      <w:r>
        <w:rPr>
          <w:spacing w:val="-3"/>
        </w:rPr>
        <w:t>瓣方向、天线极性等。确定环境电平时，应考虑到可能消除这些电平影响的任何</w:t>
      </w:r>
      <w:r>
        <w:rPr>
          <w:spacing w:val="4"/>
        </w:rPr>
        <w:t xml:space="preserve"> </w:t>
      </w:r>
      <w:r>
        <w:rPr>
          <w:spacing w:val="-2"/>
        </w:rPr>
        <w:t>操作程序或安装条件，以及系统和环境方面的其他因素。</w:t>
      </w:r>
    </w:p>
    <w:p w14:paraId="5BCB70D8">
      <w:pPr>
        <w:spacing w:line="286" w:lineRule="auto"/>
        <w:sectPr>
          <w:footerReference r:id="rId601" w:type="default"/>
          <w:pgSz w:w="11910" w:h="17130"/>
          <w:pgMar w:top="400" w:right="1384" w:bottom="1587" w:left="1039" w:header="0" w:footer="1370" w:gutter="0"/>
          <w:cols w:space="720" w:num="1"/>
        </w:sectPr>
      </w:pPr>
    </w:p>
    <w:p w14:paraId="7E10FF79">
      <w:pPr>
        <w:spacing w:before="79" w:line="222"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4"/>
          <w:sz w:val="27"/>
          <w:szCs w:val="27"/>
        </w:rPr>
        <w:t xml:space="preserve">  </w:t>
      </w:r>
      <w:r>
        <w:rPr>
          <w:rFonts w:ascii="黑体" w:hAnsi="黑体" w:eastAsia="黑体" w:cs="黑体"/>
          <w:b/>
          <w:bCs/>
          <w:sz w:val="27"/>
          <w:szCs w:val="27"/>
        </w:rPr>
        <w:t>分析确定结果</w:t>
      </w:r>
    </w:p>
    <w:p w14:paraId="4B422187">
      <w:pPr>
        <w:pStyle w:val="2"/>
        <w:spacing w:before="91" w:line="219" w:lineRule="auto"/>
        <w:ind w:left="560"/>
      </w:pPr>
      <w:r>
        <w:rPr>
          <w:spacing w:val="2"/>
        </w:rPr>
        <w:t>阐述电磁环境分析确定的结果。</w:t>
      </w:r>
    </w:p>
    <w:p w14:paraId="690C6455">
      <w:pPr>
        <w:spacing w:line="299" w:lineRule="auto"/>
        <w:rPr>
          <w:rFonts w:ascii="Arial"/>
          <w:sz w:val="21"/>
        </w:rPr>
      </w:pPr>
    </w:p>
    <w:p w14:paraId="41B9FF28">
      <w:pPr>
        <w:pStyle w:val="2"/>
        <w:spacing w:before="117" w:line="219" w:lineRule="auto"/>
        <w:ind w:left="2869"/>
        <w:outlineLvl w:val="1"/>
        <w:rPr>
          <w:sz w:val="36"/>
          <w:szCs w:val="36"/>
        </w:rPr>
      </w:pPr>
      <w:r>
        <w:rPr>
          <w:rFonts w:ascii="Times New Roman" w:hAnsi="Times New Roman" w:eastAsia="Times New Roman" w:cs="Times New Roman"/>
          <w:b/>
          <w:bCs/>
          <w:spacing w:val="-2"/>
          <w:sz w:val="36"/>
          <w:szCs w:val="36"/>
        </w:rPr>
        <w:t>13.2</w:t>
      </w:r>
      <w:r>
        <w:rPr>
          <w:rFonts w:ascii="Times New Roman" w:hAnsi="Times New Roman" w:eastAsia="Times New Roman" w:cs="Times New Roman"/>
          <w:b/>
          <w:bCs/>
          <w:spacing w:val="9"/>
          <w:sz w:val="36"/>
          <w:szCs w:val="36"/>
        </w:rPr>
        <w:t xml:space="preserve">     </w:t>
      </w:r>
      <w:r>
        <w:rPr>
          <w:b/>
          <w:bCs/>
          <w:spacing w:val="-2"/>
          <w:sz w:val="36"/>
          <w:szCs w:val="36"/>
        </w:rPr>
        <w:t>电磁兼容性要求</w:t>
      </w:r>
    </w:p>
    <w:p w14:paraId="1139AFAE">
      <w:pPr>
        <w:spacing w:line="334" w:lineRule="auto"/>
        <w:rPr>
          <w:rFonts w:ascii="Arial"/>
          <w:sz w:val="21"/>
        </w:rPr>
      </w:pPr>
    </w:p>
    <w:p w14:paraId="703970EC">
      <w:pPr>
        <w:pStyle w:val="2"/>
        <w:spacing w:before="91" w:line="223" w:lineRule="auto"/>
        <w:ind w:left="560"/>
        <w:rPr>
          <w:rFonts w:ascii="楷体" w:hAnsi="楷体" w:eastAsia="楷体" w:cs="楷体"/>
          <w:sz w:val="28"/>
          <w:szCs w:val="28"/>
        </w:rPr>
      </w:pPr>
      <w:r>
        <w:rPr>
          <w:rFonts w:ascii="楷体" w:hAnsi="楷体" w:eastAsia="楷体" w:cs="楷体"/>
          <w:spacing w:val="-6"/>
          <w:sz w:val="28"/>
          <w:szCs w:val="28"/>
        </w:rPr>
        <w:t>按照</w:t>
      </w:r>
      <w:r>
        <w:rPr>
          <w:rFonts w:ascii="Times New Roman" w:hAnsi="Times New Roman" w:eastAsia="Times New Roman" w:cs="Times New Roman"/>
          <w:spacing w:val="-6"/>
          <w:sz w:val="28"/>
          <w:szCs w:val="28"/>
        </w:rPr>
        <w:t>GJB/Z17—1991</w:t>
      </w:r>
      <w:r>
        <w:rPr>
          <w:spacing w:val="-6"/>
          <w:sz w:val="28"/>
          <w:szCs w:val="28"/>
        </w:rPr>
        <w:t>《</w:t>
      </w:r>
      <w:r>
        <w:rPr>
          <w:rFonts w:ascii="楷体" w:hAnsi="楷体" w:eastAsia="楷体" w:cs="楷体"/>
          <w:spacing w:val="-6"/>
          <w:sz w:val="28"/>
          <w:szCs w:val="28"/>
        </w:rPr>
        <w:t>军用装备电磁兼容性管理指南》编写。</w:t>
      </w:r>
    </w:p>
    <w:p w14:paraId="05944FD0">
      <w:pPr>
        <w:spacing w:before="95"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0AFF3248">
      <w:pPr>
        <w:spacing w:before="7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341B191B">
      <w:pPr>
        <w:spacing w:before="75" w:line="222" w:lineRule="auto"/>
        <w:rPr>
          <w:rFonts w:ascii="黑体" w:hAnsi="黑体" w:eastAsia="黑体" w:cs="黑体"/>
          <w:sz w:val="27"/>
          <w:szCs w:val="27"/>
        </w:rPr>
      </w:pPr>
      <w:r>
        <w:rPr>
          <w:rFonts w:ascii="黑体" w:hAnsi="黑体" w:eastAsia="黑体" w:cs="黑体"/>
          <w:spacing w:val="-9"/>
          <w:sz w:val="27"/>
          <w:szCs w:val="27"/>
        </w:rPr>
        <w:t>3</w:t>
      </w:r>
      <w:r>
        <w:rPr>
          <w:rFonts w:ascii="黑体" w:hAnsi="黑体" w:eastAsia="黑体" w:cs="黑体"/>
          <w:spacing w:val="30"/>
          <w:sz w:val="27"/>
          <w:szCs w:val="27"/>
        </w:rPr>
        <w:t xml:space="preserve">  </w:t>
      </w:r>
      <w:r>
        <w:rPr>
          <w:rFonts w:ascii="黑体" w:hAnsi="黑体" w:eastAsia="黑体" w:cs="黑体"/>
          <w:b/>
          <w:bCs/>
          <w:spacing w:val="-9"/>
          <w:sz w:val="27"/>
          <w:szCs w:val="27"/>
        </w:rPr>
        <w:t>电磁环境</w:t>
      </w:r>
    </w:p>
    <w:p w14:paraId="748B4A66">
      <w:pPr>
        <w:pStyle w:val="2"/>
        <w:spacing w:before="110" w:line="219" w:lineRule="auto"/>
        <w:ind w:left="560"/>
        <w:rPr>
          <w:sz w:val="25"/>
          <w:szCs w:val="25"/>
        </w:rPr>
      </w:pPr>
      <w:r>
        <w:rPr>
          <w:spacing w:val="16"/>
          <w:sz w:val="25"/>
          <w:szCs w:val="25"/>
        </w:rPr>
        <w:t>描述产品(系统、分系统或设备)所处的电磁环境。</w:t>
      </w:r>
    </w:p>
    <w:p w14:paraId="2D6821F6">
      <w:pPr>
        <w:spacing w:before="89" w:line="222" w:lineRule="auto"/>
        <w:rPr>
          <w:rFonts w:ascii="黑体" w:hAnsi="黑体" w:eastAsia="黑体" w:cs="黑体"/>
          <w:sz w:val="27"/>
          <w:szCs w:val="27"/>
        </w:rPr>
      </w:pPr>
      <w:r>
        <w:rPr>
          <w:rFonts w:ascii="黑体" w:hAnsi="黑体" w:eastAsia="黑体" w:cs="黑体"/>
          <w:spacing w:val="1"/>
          <w:sz w:val="27"/>
          <w:szCs w:val="27"/>
        </w:rPr>
        <w:t xml:space="preserve">4  </w:t>
      </w:r>
      <w:r>
        <w:rPr>
          <w:rFonts w:ascii="黑体" w:hAnsi="黑体" w:eastAsia="黑体" w:cs="黑体"/>
          <w:b/>
          <w:bCs/>
          <w:spacing w:val="1"/>
          <w:sz w:val="27"/>
          <w:szCs w:val="27"/>
        </w:rPr>
        <w:t>电磁兼容性要求</w:t>
      </w:r>
    </w:p>
    <w:p w14:paraId="7AAE1546">
      <w:pPr>
        <w:spacing w:before="104" w:line="221" w:lineRule="auto"/>
        <w:rPr>
          <w:rFonts w:ascii="黑体" w:hAnsi="黑体" w:eastAsia="黑体" w:cs="黑体"/>
          <w:sz w:val="24"/>
          <w:szCs w:val="24"/>
        </w:rPr>
      </w:pPr>
      <w:r>
        <w:rPr>
          <w:rFonts w:ascii="黑体" w:hAnsi="黑体" w:eastAsia="黑体" w:cs="黑体"/>
          <w:spacing w:val="26"/>
          <w:sz w:val="24"/>
          <w:szCs w:val="24"/>
        </w:rPr>
        <w:t>4.1</w:t>
      </w:r>
      <w:r>
        <w:rPr>
          <w:rFonts w:ascii="黑体" w:hAnsi="黑体" w:eastAsia="黑体" w:cs="黑体"/>
          <w:spacing w:val="48"/>
          <w:sz w:val="24"/>
          <w:szCs w:val="24"/>
        </w:rPr>
        <w:t xml:space="preserve">  </w:t>
      </w:r>
      <w:r>
        <w:rPr>
          <w:rFonts w:ascii="黑体" w:hAnsi="黑体" w:eastAsia="黑体" w:cs="黑体"/>
          <w:b/>
          <w:bCs/>
          <w:spacing w:val="26"/>
          <w:sz w:val="24"/>
          <w:szCs w:val="24"/>
        </w:rPr>
        <w:t>分系统或设备的关键类别</w:t>
      </w:r>
    </w:p>
    <w:p w14:paraId="7DB98349">
      <w:pPr>
        <w:pStyle w:val="2"/>
        <w:spacing w:before="90" w:line="280" w:lineRule="auto"/>
        <w:ind w:firstLine="560"/>
      </w:pPr>
      <w:r>
        <w:rPr>
          <w:spacing w:val="6"/>
        </w:rPr>
        <w:t>安装在系统中或与系统有关的各分系统或设备，都应规定电磁兼容性的关</w:t>
      </w:r>
      <w:r>
        <w:t xml:space="preserve"> </w:t>
      </w:r>
      <w:r>
        <w:rPr>
          <w:spacing w:val="5"/>
        </w:rPr>
        <w:t>键类别。应根据电磁兼容性问题对系统可能造成的后果或危害的程度来分类。</w:t>
      </w:r>
    </w:p>
    <w:p w14:paraId="7DD97948">
      <w:pPr>
        <w:pStyle w:val="2"/>
        <w:spacing w:before="3" w:line="276" w:lineRule="auto"/>
        <w:ind w:right="15" w:firstLine="560"/>
      </w:pPr>
      <w:r>
        <w:rPr>
          <w:spacing w:val="-11"/>
        </w:rPr>
        <w:t>一类：造成寿命终止、运载装置丧失、任务失败、发射推迟或使系统效能降低</w:t>
      </w:r>
      <w:r>
        <w:rPr>
          <w:spacing w:val="10"/>
        </w:rPr>
        <w:t xml:space="preserve"> </w:t>
      </w:r>
      <w:r>
        <w:rPr>
          <w:spacing w:val="2"/>
        </w:rPr>
        <w:t>到不可接受的分系统或设备。</w:t>
      </w:r>
    </w:p>
    <w:p w14:paraId="2F83599E">
      <w:pPr>
        <w:pStyle w:val="2"/>
        <w:spacing w:before="1" w:line="280" w:lineRule="auto"/>
        <w:ind w:right="19" w:firstLine="560"/>
      </w:pPr>
      <w:r>
        <w:rPr>
          <w:spacing w:val="5"/>
        </w:rPr>
        <w:t>二类：造成运载装置受损或降低系统效能以及危及完成规定任务的分系统</w:t>
      </w:r>
      <w:r>
        <w:rPr>
          <w:spacing w:val="11"/>
        </w:rPr>
        <w:t xml:space="preserve"> </w:t>
      </w:r>
      <w:r>
        <w:rPr>
          <w:spacing w:val="-1"/>
        </w:rPr>
        <w:t>或设备。</w:t>
      </w:r>
    </w:p>
    <w:p w14:paraId="795AA1F4">
      <w:pPr>
        <w:pStyle w:val="2"/>
        <w:spacing w:before="2" w:line="281" w:lineRule="auto"/>
        <w:ind w:right="20" w:firstLine="560"/>
      </w:pPr>
      <w:r>
        <w:rPr>
          <w:spacing w:val="-3"/>
        </w:rPr>
        <w:t>三类：仅造成噪声增加，使人有轻度不适感，或其性能下降且不影响系统效</w:t>
      </w:r>
      <w:r>
        <w:t xml:space="preserve"> </w:t>
      </w:r>
      <w:r>
        <w:rPr>
          <w:spacing w:val="2"/>
        </w:rPr>
        <w:t>能的分系统或设备。</w:t>
      </w:r>
    </w:p>
    <w:p w14:paraId="59E9B99E">
      <w:pPr>
        <w:spacing w:before="1" w:line="220" w:lineRule="auto"/>
        <w:rPr>
          <w:rFonts w:ascii="黑体" w:hAnsi="黑体" w:eastAsia="黑体" w:cs="黑体"/>
          <w:sz w:val="27"/>
          <w:szCs w:val="27"/>
        </w:rPr>
      </w:pPr>
      <w:r>
        <w:rPr>
          <w:rFonts w:ascii="黑体" w:hAnsi="黑体" w:eastAsia="黑体" w:cs="黑体"/>
          <w:spacing w:val="-1"/>
          <w:sz w:val="27"/>
          <w:szCs w:val="27"/>
        </w:rPr>
        <w:t>4.2</w:t>
      </w:r>
      <w:r>
        <w:rPr>
          <w:rFonts w:ascii="黑体" w:hAnsi="黑体" w:eastAsia="黑体" w:cs="黑体"/>
          <w:spacing w:val="19"/>
          <w:sz w:val="27"/>
          <w:szCs w:val="27"/>
        </w:rPr>
        <w:t xml:space="preserve">  </w:t>
      </w:r>
      <w:r>
        <w:rPr>
          <w:rFonts w:ascii="黑体" w:hAnsi="黑体" w:eastAsia="黑体" w:cs="黑体"/>
          <w:b/>
          <w:bCs/>
          <w:spacing w:val="-1"/>
          <w:sz w:val="27"/>
          <w:szCs w:val="27"/>
        </w:rPr>
        <w:t>性能降级准则</w:t>
      </w:r>
    </w:p>
    <w:p w14:paraId="32EEEFA2">
      <w:pPr>
        <w:pStyle w:val="2"/>
        <w:spacing w:before="91" w:line="275" w:lineRule="auto"/>
        <w:ind w:right="14" w:firstLine="560"/>
        <w:jc w:val="both"/>
      </w:pPr>
      <w:r>
        <w:rPr>
          <w:spacing w:val="-3"/>
        </w:rPr>
        <w:t>供需双方协调提出分系统和设备性能的降级准则，用以规定和评定故障、不</w:t>
      </w:r>
      <w:r>
        <w:rPr>
          <w:spacing w:val="2"/>
        </w:rPr>
        <w:t xml:space="preserve"> </w:t>
      </w:r>
      <w:r>
        <w:rPr>
          <w:spacing w:val="5"/>
        </w:rPr>
        <w:t>允许的响应和不希望有的响应。根据适用情况可用分系统和设备在实验室内的</w:t>
      </w:r>
      <w:r>
        <w:rPr>
          <w:spacing w:val="10"/>
        </w:rPr>
        <w:t xml:space="preserve"> </w:t>
      </w:r>
      <w:r>
        <w:rPr>
          <w:spacing w:val="-2"/>
        </w:rPr>
        <w:t>干扰试验结果来制定降级准则。在预计故障时，应将电磁兼容性引起的</w:t>
      </w:r>
      <w:r>
        <w:rPr>
          <w:spacing w:val="-3"/>
        </w:rPr>
        <w:t>问题，作</w:t>
      </w:r>
      <w:r>
        <w:t xml:space="preserve"> </w:t>
      </w:r>
      <w:r>
        <w:rPr>
          <w:spacing w:val="1"/>
        </w:rPr>
        <w:t>为降级准则的组成部分。</w:t>
      </w:r>
    </w:p>
    <w:p w14:paraId="0580CA71">
      <w:pPr>
        <w:spacing w:before="20" w:line="222" w:lineRule="auto"/>
        <w:rPr>
          <w:rFonts w:ascii="黑体" w:hAnsi="黑体" w:eastAsia="黑体" w:cs="黑体"/>
          <w:sz w:val="27"/>
          <w:szCs w:val="27"/>
        </w:rPr>
      </w:pPr>
      <w:r>
        <w:rPr>
          <w:rFonts w:ascii="黑体" w:hAnsi="黑体" w:eastAsia="黑体" w:cs="黑体"/>
          <w:spacing w:val="1"/>
          <w:sz w:val="27"/>
          <w:szCs w:val="27"/>
        </w:rPr>
        <w:t>4.3</w:t>
      </w:r>
      <w:r>
        <w:rPr>
          <w:rFonts w:ascii="黑体" w:hAnsi="黑体" w:eastAsia="黑体" w:cs="黑体"/>
          <w:spacing w:val="13"/>
          <w:sz w:val="27"/>
          <w:szCs w:val="27"/>
        </w:rPr>
        <w:t xml:space="preserve">  </w:t>
      </w:r>
      <w:r>
        <w:rPr>
          <w:rFonts w:ascii="黑体" w:hAnsi="黑体" w:eastAsia="黑体" w:cs="黑体"/>
          <w:b/>
          <w:bCs/>
          <w:spacing w:val="1"/>
          <w:sz w:val="27"/>
          <w:szCs w:val="27"/>
        </w:rPr>
        <w:t>安全系数</w:t>
      </w:r>
    </w:p>
    <w:p w14:paraId="1D3016D7">
      <w:pPr>
        <w:pStyle w:val="2"/>
        <w:spacing w:before="70" w:line="275" w:lineRule="auto"/>
        <w:ind w:right="6" w:firstLine="560"/>
        <w:jc w:val="both"/>
      </w:pPr>
      <w:r>
        <w:rPr>
          <w:spacing w:val="6"/>
        </w:rPr>
        <w:t>根据实际需要，对划归在一类、二类的分系统和设备必</w:t>
      </w:r>
      <w:r>
        <w:rPr>
          <w:spacing w:val="5"/>
        </w:rPr>
        <w:t>须给出一个安全系</w:t>
      </w:r>
      <w:r>
        <w:t xml:space="preserve"> </w:t>
      </w:r>
      <w:r>
        <w:rPr>
          <w:spacing w:val="-2"/>
        </w:rPr>
        <w:t>数，安全系数需经使用方认可，并在电磁兼容性问题上</w:t>
      </w:r>
      <w:r>
        <w:rPr>
          <w:spacing w:val="-3"/>
        </w:rPr>
        <w:t>证实正确后，才能采用此</w:t>
      </w:r>
      <w:r>
        <w:t xml:space="preserve"> </w:t>
      </w:r>
      <w:r>
        <w:rPr>
          <w:spacing w:val="-10"/>
        </w:rPr>
        <w:t>安全系数。确定安全系数时，应考虑系统的特性要求，预计的故障、误差积累、测</w:t>
      </w:r>
      <w:r>
        <w:t xml:space="preserve"> </w:t>
      </w:r>
      <w:r>
        <w:rPr>
          <w:spacing w:val="5"/>
        </w:rPr>
        <w:t>试的可重现性以及测试仪器的要求等。除非在合同、安全措施或系统控制计划</w:t>
      </w:r>
      <w:r>
        <w:rPr>
          <w:spacing w:val="9"/>
        </w:rPr>
        <w:t xml:space="preserve"> </w:t>
      </w:r>
      <w:r>
        <w:rPr>
          <w:spacing w:val="3"/>
        </w:rPr>
        <w:t>中另有规定外，所使用的安全系数一般应不小于6</w:t>
      </w:r>
      <w:r>
        <w:rPr>
          <w:rFonts w:ascii="Times New Roman" w:hAnsi="Times New Roman" w:eastAsia="Times New Roman" w:cs="Times New Roman"/>
        </w:rPr>
        <w:t>dB</w:t>
      </w:r>
      <w:r>
        <w:rPr>
          <w:rFonts w:ascii="Times New Roman" w:hAnsi="Times New Roman" w:eastAsia="Times New Roman" w:cs="Times New Roman"/>
          <w:spacing w:val="3"/>
        </w:rPr>
        <w:t xml:space="preserve">, </w:t>
      </w:r>
      <w:r>
        <w:rPr>
          <w:spacing w:val="3"/>
        </w:rPr>
        <w:t>对易爆物应不小于20</w:t>
      </w:r>
      <w:r>
        <w:rPr>
          <w:rFonts w:ascii="Times New Roman" w:hAnsi="Times New Roman" w:eastAsia="Times New Roman" w:cs="Times New Roman"/>
        </w:rPr>
        <w:t>dB</w:t>
      </w:r>
      <w:r>
        <w:rPr>
          <w:spacing w:val="3"/>
        </w:rPr>
        <w:t>。</w:t>
      </w:r>
    </w:p>
    <w:p w14:paraId="387B0F6F">
      <w:pPr>
        <w:spacing w:before="32" w:line="222" w:lineRule="auto"/>
        <w:rPr>
          <w:rFonts w:ascii="黑体" w:hAnsi="黑体" w:eastAsia="黑体" w:cs="黑体"/>
          <w:sz w:val="27"/>
          <w:szCs w:val="27"/>
        </w:rPr>
      </w:pPr>
      <w:r>
        <w:rPr>
          <w:rFonts w:ascii="黑体" w:hAnsi="黑体" w:eastAsia="黑体" w:cs="黑体"/>
          <w:spacing w:val="3"/>
          <w:sz w:val="27"/>
          <w:szCs w:val="27"/>
        </w:rPr>
        <w:t xml:space="preserve">4.4  </w:t>
      </w:r>
      <w:r>
        <w:rPr>
          <w:rFonts w:ascii="黑体" w:hAnsi="黑体" w:eastAsia="黑体" w:cs="黑体"/>
          <w:b/>
          <w:bCs/>
          <w:spacing w:val="3"/>
          <w:sz w:val="27"/>
          <w:szCs w:val="27"/>
        </w:rPr>
        <w:t>干扰与敏感度控制</w:t>
      </w:r>
    </w:p>
    <w:p w14:paraId="79F5878D">
      <w:pPr>
        <w:pStyle w:val="2"/>
        <w:spacing w:before="61" w:line="295" w:lineRule="auto"/>
        <w:ind w:right="6" w:firstLine="560"/>
      </w:pPr>
      <w:r>
        <w:rPr>
          <w:rFonts w:ascii="Times New Roman" w:hAnsi="Times New Roman" w:eastAsia="Times New Roman" w:cs="Times New Roman"/>
          <w:spacing w:val="3"/>
        </w:rPr>
        <w:t>a)</w:t>
      </w:r>
      <w:r>
        <w:rPr>
          <w:rFonts w:ascii="Times New Roman" w:hAnsi="Times New Roman" w:eastAsia="Times New Roman" w:cs="Times New Roman"/>
          <w:spacing w:val="78"/>
        </w:rPr>
        <w:t xml:space="preserve"> </w:t>
      </w:r>
      <w:r>
        <w:rPr>
          <w:spacing w:val="3"/>
        </w:rPr>
        <w:t>应在设计中采取适当措施来控制系统内的干扰和敏感度，消除或抑制系</w:t>
      </w:r>
      <w:r>
        <w:t xml:space="preserve"> </w:t>
      </w:r>
      <w:r>
        <w:rPr>
          <w:spacing w:val="6"/>
        </w:rPr>
        <w:t>统内或与系统有关的所有电子、电气分系统或设备产生的不希望有的发</w:t>
      </w:r>
      <w:r>
        <w:rPr>
          <w:spacing w:val="5"/>
        </w:rPr>
        <w:t>射与响</w:t>
      </w:r>
    </w:p>
    <w:p w14:paraId="486C2833">
      <w:pPr>
        <w:spacing w:line="295" w:lineRule="auto"/>
        <w:sectPr>
          <w:footerReference r:id="rId602" w:type="default"/>
          <w:pgSz w:w="11910" w:h="17130"/>
          <w:pgMar w:top="1456" w:right="1347" w:bottom="1646" w:left="1170" w:header="0" w:footer="1457" w:gutter="0"/>
          <w:cols w:space="720" w:num="1"/>
        </w:sectPr>
      </w:pPr>
    </w:p>
    <w:p w14:paraId="196A381B">
      <w:pPr>
        <w:pStyle w:val="2"/>
        <w:spacing w:before="183" w:line="219" w:lineRule="auto"/>
      </w:pPr>
      <w:r>
        <w:rPr>
          <w:spacing w:val="-11"/>
        </w:rPr>
        <w:t>应，而不管其输出形式是电的、声的、视觉的还是机械的。</w:t>
      </w:r>
    </w:p>
    <w:p w14:paraId="1519B4CC">
      <w:pPr>
        <w:pStyle w:val="2"/>
        <w:spacing w:before="35" w:line="272" w:lineRule="auto"/>
        <w:ind w:right="5" w:firstLine="550"/>
      </w:pPr>
      <w:r>
        <w:rPr>
          <w:rFonts w:ascii="Times New Roman" w:hAnsi="Times New Roman" w:eastAsia="Times New Roman" w:cs="Times New Roman"/>
          <w:spacing w:val="11"/>
        </w:rPr>
        <w:t>b)</w:t>
      </w:r>
      <w:r>
        <w:rPr>
          <w:rFonts w:ascii="Times New Roman" w:hAnsi="Times New Roman" w:eastAsia="Times New Roman" w:cs="Times New Roman"/>
          <w:spacing w:val="75"/>
          <w:w w:val="101"/>
        </w:rPr>
        <w:t xml:space="preserve"> </w:t>
      </w:r>
      <w:r>
        <w:rPr>
          <w:spacing w:val="11"/>
        </w:rPr>
        <w:t>本要求也适用于那些装有备份的分系统以及有关地面辅助设备使用的</w:t>
      </w:r>
      <w:r>
        <w:t xml:space="preserve"> </w:t>
      </w:r>
      <w:r>
        <w:rPr>
          <w:spacing w:val="5"/>
        </w:rPr>
        <w:t>整个频率范围(包括产生的谐波、寄生发射和敏感度)。上述要求包括那些带有</w:t>
      </w:r>
      <w:r>
        <w:rPr>
          <w:spacing w:val="7"/>
        </w:rPr>
        <w:t xml:space="preserve"> </w:t>
      </w:r>
      <w:r>
        <w:rPr>
          <w:spacing w:val="6"/>
        </w:rPr>
        <w:t>天线装置和敏感元件以所有工作方式完成预期功能的分</w:t>
      </w:r>
      <w:r>
        <w:rPr>
          <w:spacing w:val="5"/>
        </w:rPr>
        <w:t>系统或设备的工作。当</w:t>
      </w:r>
      <w:r>
        <w:t xml:space="preserve"> </w:t>
      </w:r>
      <w:r>
        <w:rPr>
          <w:spacing w:val="9"/>
        </w:rPr>
        <w:t>按批准的系统试验计划，根据</w:t>
      </w:r>
      <w:r>
        <w:rPr>
          <w:spacing w:val="-72"/>
        </w:rPr>
        <w:t xml:space="preserve"> </w:t>
      </w:r>
      <w:r>
        <w:rPr>
          <w:rFonts w:ascii="Times New Roman" w:hAnsi="Times New Roman" w:eastAsia="Times New Roman" w:cs="Times New Roman"/>
        </w:rPr>
        <w:t>GJB</w:t>
      </w:r>
      <w:r>
        <w:rPr>
          <w:rFonts w:ascii="Times New Roman" w:hAnsi="Times New Roman" w:eastAsia="Times New Roman" w:cs="Times New Roman"/>
          <w:spacing w:val="9"/>
        </w:rPr>
        <w:t xml:space="preserve">   1389—1992</w:t>
      </w:r>
      <w:r>
        <w:rPr>
          <w:rFonts w:ascii="Times New Roman" w:hAnsi="Times New Roman" w:eastAsia="Times New Roman" w:cs="Times New Roman"/>
          <w:spacing w:val="-19"/>
        </w:rPr>
        <w:t xml:space="preserve"> </w:t>
      </w:r>
      <w:r>
        <w:rPr>
          <w:spacing w:val="9"/>
        </w:rPr>
        <w:t>第5</w:t>
      </w:r>
      <w:r>
        <w:rPr>
          <w:spacing w:val="8"/>
        </w:rPr>
        <w:t>条中的试验要求进行试验</w:t>
      </w:r>
      <w:r>
        <w:t xml:space="preserve"> </w:t>
      </w:r>
      <w:r>
        <w:rPr>
          <w:spacing w:val="5"/>
        </w:rPr>
        <w:t>时，不应出现与系统有关的任一分系统或设备产生不希望有和不允许的响应或</w:t>
      </w:r>
      <w:r>
        <w:rPr>
          <w:spacing w:val="11"/>
        </w:rPr>
        <w:t xml:space="preserve"> </w:t>
      </w:r>
      <w:r>
        <w:rPr>
          <w:spacing w:val="-4"/>
        </w:rPr>
        <w:t>故障。</w:t>
      </w:r>
    </w:p>
    <w:p w14:paraId="5B5B77DE">
      <w:pPr>
        <w:pStyle w:val="2"/>
        <w:spacing w:before="46" w:line="269" w:lineRule="auto"/>
        <w:ind w:right="8" w:firstLine="550"/>
      </w:pPr>
      <w:r>
        <w:rPr>
          <w:rFonts w:ascii="Times New Roman" w:hAnsi="Times New Roman" w:eastAsia="Times New Roman" w:cs="Times New Roman"/>
          <w:spacing w:val="7"/>
        </w:rPr>
        <w:t>c)</w:t>
      </w:r>
      <w:r>
        <w:rPr>
          <w:rFonts w:ascii="Times New Roman" w:hAnsi="Times New Roman" w:eastAsia="Times New Roman" w:cs="Times New Roman"/>
          <w:spacing w:val="62"/>
          <w:w w:val="101"/>
        </w:rPr>
        <w:t xml:space="preserve"> </w:t>
      </w:r>
      <w:r>
        <w:rPr>
          <w:spacing w:val="7"/>
        </w:rPr>
        <w:t>分系统或设备除非在合同中另有规定，否则其设计应符合</w:t>
      </w:r>
      <w:r>
        <w:rPr>
          <w:spacing w:val="-77"/>
        </w:rPr>
        <w:t xml:space="preserve"> </w:t>
      </w:r>
      <w:r>
        <w:rPr>
          <w:rFonts w:ascii="Times New Roman" w:hAnsi="Times New Roman" w:eastAsia="Times New Roman" w:cs="Times New Roman"/>
        </w:rPr>
        <w:t>GJB</w:t>
      </w:r>
      <w:r>
        <w:rPr>
          <w:rFonts w:ascii="Times New Roman" w:hAnsi="Times New Roman" w:eastAsia="Times New Roman" w:cs="Times New Roman"/>
          <w:spacing w:val="7"/>
        </w:rPr>
        <w:t xml:space="preserve">   151</w:t>
      </w:r>
      <w:r>
        <w:rPr>
          <w:rFonts w:ascii="Times New Roman" w:hAnsi="Times New Roman" w:eastAsia="Times New Roman" w:cs="Times New Roman"/>
          <w:spacing w:val="-10"/>
        </w:rPr>
        <w:t xml:space="preserve"> </w:t>
      </w:r>
      <w:r>
        <w:rPr>
          <w:rFonts w:ascii="仿宋" w:hAnsi="仿宋" w:eastAsia="仿宋" w:cs="仿宋"/>
          <w:spacing w:val="7"/>
        </w:rPr>
        <w:t>和</w:t>
      </w:r>
      <w:r>
        <w:rPr>
          <w:rFonts w:ascii="仿宋" w:hAnsi="仿宋" w:eastAsia="仿宋" w:cs="仿宋"/>
        </w:rPr>
        <w:t xml:space="preserve"> </w:t>
      </w:r>
      <w:r>
        <w:rPr>
          <w:rFonts w:ascii="Times New Roman" w:hAnsi="Times New Roman" w:eastAsia="Times New Roman" w:cs="Times New Roman"/>
        </w:rPr>
        <w:t>GJB</w:t>
      </w:r>
      <w:r>
        <w:rPr>
          <w:rFonts w:ascii="Times New Roman" w:hAnsi="Times New Roman" w:eastAsia="Times New Roman" w:cs="Times New Roman"/>
          <w:spacing w:val="6"/>
        </w:rPr>
        <w:t xml:space="preserve">  </w:t>
      </w:r>
      <w:r>
        <w:rPr>
          <w:rFonts w:ascii="Times New Roman" w:hAnsi="Times New Roman" w:eastAsia="Times New Roman" w:cs="Times New Roman"/>
          <w:spacing w:val="7"/>
        </w:rPr>
        <w:t>152</w:t>
      </w:r>
      <w:r>
        <w:rPr>
          <w:spacing w:val="7"/>
        </w:rPr>
        <w:t>的要求。由于这些标准中某些限制是很苛刻的，因此必须考虑这些限</w:t>
      </w:r>
      <w:r>
        <w:t xml:space="preserve"> </w:t>
      </w:r>
      <w:r>
        <w:rPr>
          <w:spacing w:val="-2"/>
        </w:rPr>
        <w:t>制对系统效能、成本和质量的影响，对这些限制的修改应包</w:t>
      </w:r>
      <w:r>
        <w:rPr>
          <w:spacing w:val="-3"/>
        </w:rPr>
        <w:t>括在系统、分系统和</w:t>
      </w:r>
      <w:r>
        <w:t xml:space="preserve"> </w:t>
      </w:r>
      <w:r>
        <w:rPr>
          <w:spacing w:val="2"/>
        </w:rPr>
        <w:t>设备的电磁兼容性计划之中。</w:t>
      </w:r>
    </w:p>
    <w:p w14:paraId="41E00153">
      <w:pPr>
        <w:spacing w:before="91" w:line="219" w:lineRule="auto"/>
        <w:rPr>
          <w:rFonts w:ascii="黑体" w:hAnsi="黑体" w:eastAsia="黑体" w:cs="黑体"/>
          <w:sz w:val="27"/>
          <w:szCs w:val="27"/>
        </w:rPr>
      </w:pPr>
      <w:r>
        <w:rPr>
          <w:rFonts w:ascii="黑体" w:hAnsi="黑体" w:eastAsia="黑体" w:cs="黑体"/>
          <w:spacing w:val="-3"/>
          <w:sz w:val="27"/>
          <w:szCs w:val="27"/>
        </w:rPr>
        <w:t>4.</w:t>
      </w:r>
      <w:r>
        <w:rPr>
          <w:rFonts w:ascii="黑体" w:hAnsi="黑体" w:eastAsia="黑体" w:cs="黑体"/>
          <w:b/>
          <w:bCs/>
          <w:spacing w:val="-3"/>
          <w:sz w:val="27"/>
          <w:szCs w:val="27"/>
        </w:rPr>
        <w:t>5</w:t>
      </w:r>
      <w:r>
        <w:rPr>
          <w:rFonts w:ascii="黑体" w:hAnsi="黑体" w:eastAsia="黑体" w:cs="黑体"/>
          <w:spacing w:val="22"/>
          <w:sz w:val="27"/>
          <w:szCs w:val="27"/>
        </w:rPr>
        <w:t xml:space="preserve">  </w:t>
      </w:r>
      <w:r>
        <w:rPr>
          <w:rFonts w:ascii="黑体" w:hAnsi="黑体" w:eastAsia="黑体" w:cs="黑体"/>
          <w:b/>
          <w:bCs/>
          <w:spacing w:val="-3"/>
          <w:sz w:val="27"/>
          <w:szCs w:val="27"/>
        </w:rPr>
        <w:t>电线和电缆布线</w:t>
      </w:r>
    </w:p>
    <w:p w14:paraId="22ABEA2D">
      <w:pPr>
        <w:pStyle w:val="2"/>
        <w:spacing w:before="84" w:line="279" w:lineRule="auto"/>
        <w:ind w:right="11" w:firstLine="550"/>
        <w:jc w:val="both"/>
      </w:pPr>
      <w:r>
        <w:rPr>
          <w:spacing w:val="5"/>
        </w:rPr>
        <w:t>电线电缆布线的设计，必须考虑尽量减少耦合并利用现有的空间获得最佳</w:t>
      </w:r>
      <w:r>
        <w:rPr>
          <w:spacing w:val="9"/>
        </w:rPr>
        <w:t xml:space="preserve"> </w:t>
      </w:r>
      <w:r>
        <w:rPr>
          <w:spacing w:val="5"/>
        </w:rPr>
        <w:t>的间距。电线电缆的布线，必须根据电线或电缆的干扰与敏感特性来制定电线</w:t>
      </w:r>
      <w:r>
        <w:rPr>
          <w:spacing w:val="18"/>
        </w:rPr>
        <w:t xml:space="preserve"> </w:t>
      </w:r>
      <w:r>
        <w:rPr>
          <w:spacing w:val="-1"/>
        </w:rPr>
        <w:t>或电缆的分类方法，电线和电缆应有电磁兼容性分类的标识。</w:t>
      </w:r>
    </w:p>
    <w:p w14:paraId="656ABE3A">
      <w:pPr>
        <w:spacing w:before="12" w:line="221" w:lineRule="auto"/>
        <w:rPr>
          <w:rFonts w:ascii="黑体" w:hAnsi="黑体" w:eastAsia="黑体" w:cs="黑体"/>
          <w:sz w:val="25"/>
          <w:szCs w:val="25"/>
        </w:rPr>
      </w:pPr>
      <w:r>
        <w:rPr>
          <w:rFonts w:ascii="黑体" w:hAnsi="黑体" w:eastAsia="黑体" w:cs="黑体"/>
          <w:spacing w:val="2"/>
          <w:sz w:val="25"/>
          <w:szCs w:val="25"/>
        </w:rPr>
        <w:t>4.6</w:t>
      </w:r>
      <w:r>
        <w:rPr>
          <w:rFonts w:ascii="黑体" w:hAnsi="黑体" w:eastAsia="黑体" w:cs="黑体"/>
          <w:spacing w:val="41"/>
          <w:sz w:val="25"/>
          <w:szCs w:val="25"/>
        </w:rPr>
        <w:t xml:space="preserve">  </w:t>
      </w:r>
      <w:r>
        <w:rPr>
          <w:rFonts w:ascii="黑体" w:hAnsi="黑体" w:eastAsia="黑体" w:cs="黑体"/>
          <w:b/>
          <w:bCs/>
          <w:spacing w:val="2"/>
          <w:sz w:val="25"/>
          <w:szCs w:val="25"/>
        </w:rPr>
        <w:t>电源</w:t>
      </w:r>
    </w:p>
    <w:p w14:paraId="1A25C5B2">
      <w:pPr>
        <w:pStyle w:val="2"/>
        <w:spacing w:before="94" w:line="279" w:lineRule="auto"/>
        <w:ind w:firstLine="550"/>
        <w:jc w:val="both"/>
      </w:pPr>
      <w:r>
        <w:rPr>
          <w:spacing w:val="6"/>
        </w:rPr>
        <w:t>采用符合</w:t>
      </w:r>
      <w:r>
        <w:rPr>
          <w:rFonts w:ascii="Times New Roman" w:hAnsi="Times New Roman" w:eastAsia="Times New Roman" w:cs="Times New Roman"/>
        </w:rPr>
        <w:t>GJB</w:t>
      </w:r>
      <w:r>
        <w:rPr>
          <w:rFonts w:ascii="Times New Roman" w:hAnsi="Times New Roman" w:eastAsia="Times New Roman" w:cs="Times New Roman"/>
          <w:spacing w:val="6"/>
        </w:rPr>
        <w:t>181</w:t>
      </w:r>
      <w:r>
        <w:rPr>
          <w:rFonts w:ascii="Times New Roman" w:hAnsi="Times New Roman" w:eastAsia="Times New Roman" w:cs="Times New Roman"/>
          <w:spacing w:val="1"/>
        </w:rPr>
        <w:t xml:space="preserve">   </w:t>
      </w:r>
      <w:r>
        <w:rPr>
          <w:spacing w:val="6"/>
        </w:rPr>
        <w:t>规定的电源时，安装在飞机上的分系统</w:t>
      </w:r>
      <w:r>
        <w:rPr>
          <w:spacing w:val="5"/>
        </w:rPr>
        <w:t>或设备不应出现</w:t>
      </w:r>
      <w:r>
        <w:t xml:space="preserve"> </w:t>
      </w:r>
      <w:r>
        <w:rPr>
          <w:spacing w:val="-3"/>
        </w:rPr>
        <w:t>故障和不允许的响应，特别是不允许出现可能引起干扰或敏感的浪涌、脉动电压</w:t>
      </w:r>
      <w:r>
        <w:rPr>
          <w:spacing w:val="16"/>
        </w:rPr>
        <w:t xml:space="preserve"> </w:t>
      </w:r>
      <w:r>
        <w:t>以及其他的电状态。</w:t>
      </w:r>
    </w:p>
    <w:p w14:paraId="3803FAE8">
      <w:pPr>
        <w:spacing w:before="25" w:line="222" w:lineRule="auto"/>
        <w:rPr>
          <w:rFonts w:ascii="黑体" w:hAnsi="黑体" w:eastAsia="黑体" w:cs="黑体"/>
          <w:sz w:val="25"/>
          <w:szCs w:val="25"/>
        </w:rPr>
      </w:pPr>
      <w:r>
        <w:rPr>
          <w:rFonts w:ascii="黑体" w:hAnsi="黑体" w:eastAsia="黑体" w:cs="黑体"/>
          <w:spacing w:val="12"/>
          <w:sz w:val="25"/>
          <w:szCs w:val="25"/>
        </w:rPr>
        <w:t>4.7</w:t>
      </w:r>
      <w:r>
        <w:rPr>
          <w:rFonts w:ascii="黑体" w:hAnsi="黑体" w:eastAsia="黑体" w:cs="黑体"/>
          <w:spacing w:val="45"/>
          <w:sz w:val="25"/>
          <w:szCs w:val="25"/>
        </w:rPr>
        <w:t xml:space="preserve">  </w:t>
      </w:r>
      <w:r>
        <w:rPr>
          <w:rFonts w:ascii="黑体" w:hAnsi="黑体" w:eastAsia="黑体" w:cs="黑体"/>
          <w:b/>
          <w:bCs/>
          <w:spacing w:val="12"/>
          <w:sz w:val="25"/>
          <w:szCs w:val="25"/>
        </w:rPr>
        <w:t>尖峰信号</w:t>
      </w:r>
    </w:p>
    <w:p w14:paraId="3AAA72A1">
      <w:pPr>
        <w:pStyle w:val="2"/>
        <w:spacing w:before="121" w:line="273" w:lineRule="auto"/>
        <w:ind w:right="17" w:firstLine="550"/>
        <w:jc w:val="both"/>
      </w:pPr>
      <w:r>
        <w:rPr>
          <w:spacing w:val="-1"/>
        </w:rPr>
        <w:t>飞机系统中，宽度小于50μ</w:t>
      </w:r>
      <w:r>
        <w:rPr>
          <w:rFonts w:ascii="Times New Roman" w:hAnsi="Times New Roman" w:eastAsia="Times New Roman" w:cs="Times New Roman"/>
          <w:spacing w:val="-1"/>
        </w:rPr>
        <w:t>s</w:t>
      </w:r>
      <w:r>
        <w:rPr>
          <w:rFonts w:ascii="Times New Roman" w:hAnsi="Times New Roman" w:eastAsia="Times New Roman" w:cs="Times New Roman"/>
          <w:spacing w:val="34"/>
        </w:rPr>
        <w:t xml:space="preserve"> </w:t>
      </w:r>
      <w:r>
        <w:rPr>
          <w:spacing w:val="-1"/>
        </w:rPr>
        <w:t>的尖峰信号电压(瞬变值)在直流电源线上的幅</w:t>
      </w:r>
      <w:r>
        <w:t xml:space="preserve"> </w:t>
      </w:r>
      <w:r>
        <w:rPr>
          <w:spacing w:val="20"/>
        </w:rPr>
        <w:t>度不应超过额定直流电压的+50%和—150%。在交流电源线上幅度不应超过</w:t>
      </w:r>
      <w:r>
        <w:t xml:space="preserve"> </w:t>
      </w:r>
      <w:r>
        <w:rPr>
          <w:spacing w:val="8"/>
        </w:rPr>
        <w:t>额定交流电压的±50%。宽度大于50μ</w:t>
      </w:r>
      <w:r>
        <w:rPr>
          <w:rFonts w:ascii="Times New Roman" w:hAnsi="Times New Roman" w:eastAsia="Times New Roman" w:cs="Times New Roman"/>
          <w:spacing w:val="8"/>
        </w:rPr>
        <w:t>s</w:t>
      </w:r>
      <w:r>
        <w:rPr>
          <w:rFonts w:ascii="Times New Roman" w:hAnsi="Times New Roman" w:eastAsia="Times New Roman" w:cs="Times New Roman"/>
          <w:spacing w:val="21"/>
        </w:rPr>
        <w:t xml:space="preserve"> </w:t>
      </w:r>
      <w:r>
        <w:rPr>
          <w:spacing w:val="8"/>
        </w:rPr>
        <w:t>的尖峰信号电压则应满足</w:t>
      </w:r>
      <w:r>
        <w:rPr>
          <w:spacing w:val="-77"/>
        </w:rPr>
        <w:t xml:space="preserve"> </w:t>
      </w:r>
      <w:r>
        <w:rPr>
          <w:rFonts w:ascii="Times New Roman" w:hAnsi="Times New Roman" w:eastAsia="Times New Roman" w:cs="Times New Roman"/>
        </w:rPr>
        <w:t>GJB</w:t>
      </w:r>
      <w:r>
        <w:rPr>
          <w:rFonts w:ascii="Times New Roman" w:hAnsi="Times New Roman" w:eastAsia="Times New Roman" w:cs="Times New Roman"/>
          <w:spacing w:val="8"/>
        </w:rPr>
        <w:t>1</w:t>
      </w:r>
      <w:r>
        <w:rPr>
          <w:rFonts w:ascii="Times New Roman" w:hAnsi="Times New Roman" w:eastAsia="Times New Roman" w:cs="Times New Roman"/>
          <w:spacing w:val="7"/>
        </w:rPr>
        <w:t xml:space="preserve">81   </w:t>
      </w:r>
      <w:r>
        <w:rPr>
          <w:spacing w:val="7"/>
        </w:rPr>
        <w:t>中</w:t>
      </w:r>
      <w:r>
        <w:t xml:space="preserve"> </w:t>
      </w:r>
      <w:r>
        <w:rPr>
          <w:spacing w:val="5"/>
        </w:rPr>
        <w:t>相应的电源品质特性过压曲线。对其他系统的要求应该包括在系统规范或电磁</w:t>
      </w:r>
      <w:r>
        <w:rPr>
          <w:spacing w:val="10"/>
        </w:rPr>
        <w:t xml:space="preserve"> </w:t>
      </w:r>
      <w:r>
        <w:t>兼容性计划中。</w:t>
      </w:r>
    </w:p>
    <w:p w14:paraId="23A341D4">
      <w:pPr>
        <w:spacing w:before="22" w:line="222" w:lineRule="auto"/>
        <w:rPr>
          <w:rFonts w:ascii="黑体" w:hAnsi="黑体" w:eastAsia="黑体" w:cs="黑体"/>
          <w:sz w:val="27"/>
          <w:szCs w:val="27"/>
        </w:rPr>
      </w:pPr>
      <w:r>
        <w:rPr>
          <w:rFonts w:ascii="黑体" w:hAnsi="黑体" w:eastAsia="黑体" w:cs="黑体"/>
          <w:spacing w:val="1"/>
          <w:sz w:val="27"/>
          <w:szCs w:val="27"/>
        </w:rPr>
        <w:t>4.8</w:t>
      </w:r>
      <w:r>
        <w:rPr>
          <w:rFonts w:ascii="黑体" w:hAnsi="黑体" w:eastAsia="黑体" w:cs="黑体"/>
          <w:spacing w:val="18"/>
          <w:sz w:val="27"/>
          <w:szCs w:val="27"/>
        </w:rPr>
        <w:t xml:space="preserve">  </w:t>
      </w:r>
      <w:r>
        <w:rPr>
          <w:rFonts w:ascii="黑体" w:hAnsi="黑体" w:eastAsia="黑体" w:cs="黑体"/>
          <w:b/>
          <w:bCs/>
          <w:spacing w:val="1"/>
          <w:sz w:val="27"/>
          <w:szCs w:val="27"/>
        </w:rPr>
        <w:t>搭接和接地</w:t>
      </w:r>
    </w:p>
    <w:p w14:paraId="65D9D3FD">
      <w:pPr>
        <w:pStyle w:val="2"/>
        <w:spacing w:before="90" w:line="219" w:lineRule="auto"/>
        <w:ind w:left="550"/>
      </w:pPr>
      <w:r>
        <w:rPr>
          <w:spacing w:val="4"/>
        </w:rPr>
        <w:t>系统的搭接和接地应符合</w:t>
      </w:r>
      <w:r>
        <w:rPr>
          <w:spacing w:val="-72"/>
        </w:rPr>
        <w:t xml:space="preserve"> </w:t>
      </w:r>
      <w:r>
        <w:rPr>
          <w:rFonts w:ascii="Times New Roman" w:hAnsi="Times New Roman" w:eastAsia="Times New Roman" w:cs="Times New Roman"/>
        </w:rPr>
        <w:t>GJB</w:t>
      </w:r>
      <w:r>
        <w:rPr>
          <w:rFonts w:ascii="Times New Roman" w:hAnsi="Times New Roman" w:eastAsia="Times New Roman" w:cs="Times New Roman"/>
          <w:spacing w:val="4"/>
        </w:rPr>
        <w:t xml:space="preserve">  358</w:t>
      </w:r>
      <w:r>
        <w:rPr>
          <w:spacing w:val="4"/>
        </w:rPr>
        <w:t>的要求。</w:t>
      </w:r>
    </w:p>
    <w:p w14:paraId="76C3949E">
      <w:pPr>
        <w:pStyle w:val="2"/>
        <w:spacing w:before="94" w:line="219" w:lineRule="auto"/>
        <w:ind w:left="553"/>
      </w:pPr>
      <w:r>
        <w:rPr>
          <w:b/>
          <w:bCs/>
          <w:spacing w:val="-1"/>
        </w:rPr>
        <w:t>飞机外部接地</w:t>
      </w:r>
    </w:p>
    <w:p w14:paraId="56704DF8">
      <w:pPr>
        <w:pStyle w:val="2"/>
        <w:spacing w:before="81" w:line="274" w:lineRule="auto"/>
        <w:ind w:right="14" w:firstLine="550"/>
        <w:jc w:val="both"/>
      </w:pPr>
      <w:r>
        <w:rPr>
          <w:spacing w:val="-3"/>
        </w:rPr>
        <w:t>飞机上应安装足够数量的接地插座，以便供加注燃油、装卸武器和其他</w:t>
      </w:r>
      <w:r>
        <w:rPr>
          <w:spacing w:val="-4"/>
        </w:rPr>
        <w:t>维修</w:t>
      </w:r>
      <w:r>
        <w:t xml:space="preserve"> </w:t>
      </w:r>
      <w:r>
        <w:rPr>
          <w:spacing w:val="14"/>
        </w:rPr>
        <w:t>操作时连接接地电缆之用。安装的接地插座与结构之间的</w:t>
      </w:r>
      <w:r>
        <w:rPr>
          <w:spacing w:val="13"/>
        </w:rPr>
        <w:t>直流电阻应不大于</w:t>
      </w:r>
      <w:r>
        <w:t xml:space="preserve"> </w:t>
      </w:r>
      <w:r>
        <w:rPr>
          <w:spacing w:val="4"/>
        </w:rPr>
        <w:t>2.5</w:t>
      </w:r>
      <w:r>
        <w:rPr>
          <w:rFonts w:ascii="Times New Roman" w:hAnsi="Times New Roman" w:eastAsia="Times New Roman" w:cs="Times New Roman"/>
          <w:spacing w:val="4"/>
        </w:rPr>
        <w:t>mΩ</w:t>
      </w:r>
      <w:r>
        <w:rPr>
          <w:rFonts w:ascii="Times New Roman" w:hAnsi="Times New Roman" w:eastAsia="Times New Roman" w:cs="Times New Roman"/>
          <w:spacing w:val="-31"/>
        </w:rPr>
        <w:t xml:space="preserve"> </w:t>
      </w:r>
      <w:r>
        <w:rPr>
          <w:spacing w:val="4"/>
        </w:rPr>
        <w:t>。为防止因飞行前的疏忽未拆除接地电缆时，安装的插头座应</w:t>
      </w:r>
      <w:r>
        <w:rPr>
          <w:spacing w:val="3"/>
        </w:rPr>
        <w:t>能自动脱</w:t>
      </w:r>
      <w:r>
        <w:t xml:space="preserve"> </w:t>
      </w:r>
      <w:r>
        <w:rPr>
          <w:spacing w:val="3"/>
        </w:rPr>
        <w:t>开。飞机外部接地至少需要以下接地插座。</w:t>
      </w:r>
    </w:p>
    <w:p w14:paraId="602C43AD">
      <w:pPr>
        <w:pStyle w:val="2"/>
        <w:spacing w:line="212" w:lineRule="auto"/>
        <w:ind w:left="550"/>
      </w:pPr>
      <w:r>
        <w:rPr>
          <w:rFonts w:ascii="Times New Roman" w:hAnsi="Times New Roman" w:eastAsia="Times New Roman" w:cs="Times New Roman"/>
          <w:spacing w:val="1"/>
        </w:rPr>
        <w:t xml:space="preserve">a)  </w:t>
      </w:r>
      <w:r>
        <w:rPr>
          <w:spacing w:val="1"/>
        </w:rPr>
        <w:t>燃油喷管接地，每个加注燃油的喷口处需</w:t>
      </w:r>
      <w:r>
        <w:t>有一个接地插座。</w:t>
      </w:r>
    </w:p>
    <w:p w14:paraId="20B11A5E">
      <w:pPr>
        <w:pStyle w:val="2"/>
        <w:spacing w:before="121" w:line="212" w:lineRule="auto"/>
        <w:jc w:val="right"/>
      </w:pPr>
      <w:r>
        <w:rPr>
          <w:rFonts w:ascii="Times New Roman" w:hAnsi="Times New Roman" w:eastAsia="Times New Roman" w:cs="Times New Roman"/>
          <w:spacing w:val="3"/>
        </w:rPr>
        <w:t xml:space="preserve">b)  </w:t>
      </w:r>
      <w:r>
        <w:rPr>
          <w:spacing w:val="3"/>
        </w:rPr>
        <w:t>维修接地，在便于维修和保养的位置要安装多个插座。多</w:t>
      </w:r>
      <w:r>
        <w:rPr>
          <w:spacing w:val="2"/>
        </w:rPr>
        <w:t>用途和直升机</w:t>
      </w:r>
    </w:p>
    <w:p w14:paraId="344381B0">
      <w:pPr>
        <w:spacing w:line="212" w:lineRule="auto"/>
        <w:sectPr>
          <w:footerReference r:id="rId603" w:type="default"/>
          <w:pgSz w:w="11910" w:h="17130"/>
          <w:pgMar w:top="1456" w:right="949" w:bottom="1513" w:left="1579" w:header="0" w:footer="1314" w:gutter="0"/>
          <w:cols w:space="720" w:num="1"/>
        </w:sectPr>
      </w:pPr>
    </w:p>
    <w:p w14:paraId="609C0ABA">
      <w:pPr>
        <w:pStyle w:val="2"/>
        <w:spacing w:before="62" w:line="219" w:lineRule="auto"/>
        <w:rPr>
          <w:sz w:val="25"/>
          <w:szCs w:val="25"/>
        </w:rPr>
      </w:pPr>
      <w:r>
        <w:rPr>
          <w:spacing w:val="22"/>
          <w:sz w:val="25"/>
          <w:szCs w:val="25"/>
        </w:rPr>
        <w:t>最少要安装二个，其他类型的飞机至少要安装4个。</w:t>
      </w:r>
    </w:p>
    <w:p w14:paraId="09313B33">
      <w:pPr>
        <w:pStyle w:val="2"/>
        <w:spacing w:before="34" w:line="291" w:lineRule="auto"/>
        <w:ind w:right="133" w:firstLine="550"/>
        <w:jc w:val="both"/>
      </w:pPr>
      <w:r>
        <w:rPr>
          <w:rFonts w:ascii="Times New Roman" w:hAnsi="Times New Roman" w:eastAsia="Times New Roman" w:cs="Times New Roman"/>
          <w:spacing w:val="-1"/>
        </w:rPr>
        <w:t>c)</w:t>
      </w:r>
      <w:r>
        <w:rPr>
          <w:rFonts w:ascii="Times New Roman" w:hAnsi="Times New Roman" w:eastAsia="Times New Roman" w:cs="Times New Roman"/>
          <w:spacing w:val="55"/>
        </w:rPr>
        <w:t xml:space="preserve"> </w:t>
      </w:r>
      <w:r>
        <w:rPr>
          <w:spacing w:val="-1"/>
        </w:rPr>
        <w:t>武器接地，在便于装卸武器或其他爆炸装置的位置上安装多个插座， 一</w:t>
      </w:r>
      <w:r>
        <w:t xml:space="preserve"> </w:t>
      </w:r>
      <w:r>
        <w:rPr>
          <w:spacing w:val="5"/>
        </w:rPr>
        <w:t>般在每个挂架或其他附件、装弹位置附近均须有一个接地插座。其中不包括加</w:t>
      </w:r>
      <w:r>
        <w:rPr>
          <w:spacing w:val="10"/>
        </w:rPr>
        <w:t xml:space="preserve"> </w:t>
      </w:r>
      <w:r>
        <w:rPr>
          <w:spacing w:val="1"/>
        </w:rPr>
        <w:t>注燃料和维修要求的数量。</w:t>
      </w:r>
    </w:p>
    <w:p w14:paraId="143FED40">
      <w:pPr>
        <w:pStyle w:val="2"/>
        <w:spacing w:line="219" w:lineRule="auto"/>
        <w:ind w:left="553"/>
      </w:pPr>
      <w:r>
        <w:rPr>
          <w:b/>
          <w:bCs/>
        </w:rPr>
        <w:t>辅助设备的外部接地</w:t>
      </w:r>
    </w:p>
    <w:p w14:paraId="41882A13">
      <w:pPr>
        <w:pStyle w:val="2"/>
        <w:spacing w:before="62" w:line="279" w:lineRule="auto"/>
        <w:ind w:right="141" w:firstLine="550"/>
        <w:jc w:val="both"/>
      </w:pPr>
      <w:r>
        <w:rPr>
          <w:spacing w:val="5"/>
        </w:rPr>
        <w:t>应在易爆或易燃区域内能引起电冲击或电火花的辅助或维修设备上，装上</w:t>
      </w:r>
      <w:r>
        <w:t xml:space="preserve"> </w:t>
      </w:r>
      <w:r>
        <w:rPr>
          <w:spacing w:val="-3"/>
        </w:rPr>
        <w:t>永久性的接地电线，该电线应与接地棒连接。机动式的电源车例外，一定不能装</w:t>
      </w:r>
      <w:r>
        <w:rPr>
          <w:spacing w:val="6"/>
        </w:rPr>
        <w:t xml:space="preserve"> </w:t>
      </w:r>
      <w:r>
        <w:rPr>
          <w:spacing w:val="-3"/>
        </w:rPr>
        <w:t>接地电线或将其接地。此外，所有控制或处理可燃性燃油、液体或危险材料的辅</w:t>
      </w:r>
      <w:r>
        <w:rPr>
          <w:spacing w:val="7"/>
        </w:rPr>
        <w:t xml:space="preserve"> </w:t>
      </w:r>
      <w:r>
        <w:rPr>
          <w:spacing w:val="-3"/>
        </w:rPr>
        <w:t>助设备，均应具有永久性的连接线与飞机连接。</w:t>
      </w:r>
    </w:p>
    <w:p w14:paraId="389DB630">
      <w:pPr>
        <w:pStyle w:val="2"/>
        <w:spacing w:before="3" w:line="219" w:lineRule="auto"/>
        <w:ind w:left="553"/>
      </w:pPr>
      <w:r>
        <w:rPr>
          <w:b/>
          <w:bCs/>
          <w:spacing w:val="1"/>
        </w:rPr>
        <w:t>导弹和航天器的外部接地</w:t>
      </w:r>
    </w:p>
    <w:p w14:paraId="3C8E39BB">
      <w:pPr>
        <w:pStyle w:val="2"/>
        <w:spacing w:before="83" w:line="307" w:lineRule="auto"/>
        <w:ind w:left="553" w:right="159" w:hanging="3"/>
        <w:rPr>
          <w:sz w:val="25"/>
          <w:szCs w:val="25"/>
        </w:rPr>
      </w:pPr>
      <w:r>
        <w:rPr>
          <w:spacing w:val="24"/>
          <w:sz w:val="25"/>
          <w:szCs w:val="25"/>
        </w:rPr>
        <w:t>在系统规范或电磁兼容性计划中应规定出导弹和航天器外部接地的位置。</w:t>
      </w:r>
      <w:r>
        <w:rPr>
          <w:spacing w:val="16"/>
          <w:sz w:val="25"/>
          <w:szCs w:val="25"/>
        </w:rPr>
        <w:t xml:space="preserve"> </w:t>
      </w:r>
      <w:r>
        <w:rPr>
          <w:b/>
          <w:bCs/>
          <w:spacing w:val="21"/>
          <w:sz w:val="25"/>
          <w:szCs w:val="25"/>
        </w:rPr>
        <w:t>基地和固定场所接地</w:t>
      </w:r>
    </w:p>
    <w:p w14:paraId="27C475B4">
      <w:pPr>
        <w:pStyle w:val="2"/>
        <w:spacing w:before="3" w:line="275" w:lineRule="auto"/>
        <w:ind w:right="118" w:firstLine="550"/>
        <w:jc w:val="both"/>
      </w:pPr>
      <w:r>
        <w:rPr>
          <w:spacing w:val="-3"/>
        </w:rPr>
        <w:t>空军基地滑行台、加油和放油、武器装卸和其他危险的维修区域以及导弹场</w:t>
      </w:r>
      <w:r>
        <w:rPr>
          <w:spacing w:val="14"/>
        </w:rPr>
        <w:t xml:space="preserve"> </w:t>
      </w:r>
      <w:r>
        <w:rPr>
          <w:spacing w:val="2"/>
        </w:rPr>
        <w:t>地和基地分系统等一些固定的场所，接地的措施至少应符合</w:t>
      </w:r>
      <w:r>
        <w:rPr>
          <w:spacing w:val="-67"/>
        </w:rPr>
        <w:t xml:space="preserve"> </w:t>
      </w:r>
      <w:r>
        <w:rPr>
          <w:rFonts w:ascii="Times New Roman" w:hAnsi="Times New Roman" w:eastAsia="Times New Roman" w:cs="Times New Roman"/>
        </w:rPr>
        <w:t>GJB</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2"/>
        </w:rPr>
        <w:t xml:space="preserve">358 </w:t>
      </w:r>
      <w:r>
        <w:rPr>
          <w:spacing w:val="2"/>
        </w:rPr>
        <w:t>的规定和</w:t>
      </w:r>
      <w:r>
        <w:t xml:space="preserve"> </w:t>
      </w:r>
      <w:r>
        <w:rPr>
          <w:spacing w:val="1"/>
        </w:rPr>
        <w:t>国家有关电气法规的要求。</w:t>
      </w:r>
    </w:p>
    <w:p w14:paraId="190FECA8">
      <w:pPr>
        <w:spacing w:before="15" w:line="221" w:lineRule="auto"/>
        <w:rPr>
          <w:rFonts w:ascii="黑体" w:hAnsi="黑体" w:eastAsia="黑体" w:cs="黑体"/>
          <w:sz w:val="27"/>
          <w:szCs w:val="27"/>
        </w:rPr>
      </w:pPr>
      <w:r>
        <w:rPr>
          <w:rFonts w:ascii="黑体" w:hAnsi="黑体" w:eastAsia="黑体" w:cs="黑体"/>
          <w:spacing w:val="1"/>
          <w:sz w:val="27"/>
          <w:szCs w:val="27"/>
        </w:rPr>
        <w:t>4.9</w:t>
      </w:r>
      <w:r>
        <w:rPr>
          <w:rFonts w:ascii="黑体" w:hAnsi="黑体" w:eastAsia="黑体" w:cs="黑体"/>
          <w:spacing w:val="21"/>
          <w:sz w:val="27"/>
          <w:szCs w:val="27"/>
        </w:rPr>
        <w:t xml:space="preserve">  </w:t>
      </w:r>
      <w:r>
        <w:rPr>
          <w:rFonts w:ascii="黑体" w:hAnsi="黑体" w:eastAsia="黑体" w:cs="黑体"/>
          <w:b/>
          <w:bCs/>
          <w:spacing w:val="1"/>
          <w:sz w:val="27"/>
          <w:szCs w:val="27"/>
        </w:rPr>
        <w:t>雷电防护</w:t>
      </w:r>
    </w:p>
    <w:p w14:paraId="0673FCED">
      <w:pPr>
        <w:pStyle w:val="2"/>
        <w:spacing w:before="82" w:line="219" w:lineRule="auto"/>
        <w:ind w:left="550"/>
      </w:pPr>
      <w:r>
        <w:rPr>
          <w:spacing w:val="4"/>
        </w:rPr>
        <w:t>系统的雷电防护设计应满足国军标</w:t>
      </w:r>
      <w:r>
        <w:rPr>
          <w:rFonts w:ascii="Times New Roman" w:hAnsi="Times New Roman" w:eastAsia="Times New Roman" w:cs="Times New Roman"/>
        </w:rPr>
        <w:t>GJB</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4"/>
        </w:rPr>
        <w:t>358</w:t>
      </w:r>
      <w:r>
        <w:rPr>
          <w:rFonts w:ascii="Times New Roman" w:hAnsi="Times New Roman" w:eastAsia="Times New Roman" w:cs="Times New Roman"/>
          <w:spacing w:val="-34"/>
        </w:rPr>
        <w:t xml:space="preserve"> </w:t>
      </w:r>
      <w:r>
        <w:rPr>
          <w:spacing w:val="4"/>
        </w:rPr>
        <w:t>和其他相关标准的要求。</w:t>
      </w:r>
    </w:p>
    <w:p w14:paraId="1576C039">
      <w:pPr>
        <w:pStyle w:val="2"/>
        <w:spacing w:before="68" w:line="283" w:lineRule="auto"/>
        <w:ind w:firstLine="550"/>
      </w:pPr>
      <w:r>
        <w:rPr>
          <w:spacing w:val="1"/>
        </w:rPr>
        <w:t xml:space="preserve">要特别注意对人员、燃料、武器和军械分系统的防护，并要求作试验验证。 </w:t>
      </w:r>
      <w:r>
        <w:rPr>
          <w:spacing w:val="-3"/>
        </w:rPr>
        <w:t>系统的各组成部分，如航空与航天飞行器、发射场地、地面通信电子设备场地或</w:t>
      </w:r>
      <w:r>
        <w:rPr>
          <w:spacing w:val="3"/>
        </w:rPr>
        <w:t xml:space="preserve">  </w:t>
      </w:r>
      <w:r>
        <w:rPr>
          <w:spacing w:val="-3"/>
        </w:rPr>
        <w:t>其他地面设施，均应有适当的雷电防护措施。</w:t>
      </w:r>
    </w:p>
    <w:p w14:paraId="6DDFE1A1">
      <w:pPr>
        <w:spacing w:before="15" w:line="221" w:lineRule="auto"/>
        <w:rPr>
          <w:rFonts w:ascii="黑体" w:hAnsi="黑体" w:eastAsia="黑体" w:cs="黑体"/>
          <w:sz w:val="25"/>
          <w:szCs w:val="25"/>
        </w:rPr>
      </w:pPr>
      <w:r>
        <w:rPr>
          <w:rFonts w:ascii="黑体" w:hAnsi="黑体" w:eastAsia="黑体" w:cs="黑体"/>
          <w:spacing w:val="9"/>
          <w:sz w:val="25"/>
          <w:szCs w:val="25"/>
        </w:rPr>
        <w:t>4.10</w:t>
      </w:r>
      <w:r>
        <w:rPr>
          <w:rFonts w:ascii="黑体" w:hAnsi="黑体" w:eastAsia="黑体" w:cs="黑体"/>
          <w:spacing w:val="2"/>
          <w:sz w:val="25"/>
          <w:szCs w:val="25"/>
        </w:rPr>
        <w:t xml:space="preserve">   </w:t>
      </w:r>
      <w:r>
        <w:rPr>
          <w:rFonts w:ascii="黑体" w:hAnsi="黑体" w:eastAsia="黑体" w:cs="黑体"/>
          <w:b/>
          <w:bCs/>
          <w:spacing w:val="9"/>
          <w:sz w:val="25"/>
          <w:szCs w:val="25"/>
        </w:rPr>
        <w:t>静电防护</w:t>
      </w:r>
    </w:p>
    <w:p w14:paraId="2AC92A95">
      <w:pPr>
        <w:pStyle w:val="2"/>
        <w:spacing w:before="105" w:line="271" w:lineRule="auto"/>
        <w:ind w:right="142" w:firstLine="550"/>
      </w:pPr>
      <w:r>
        <w:rPr>
          <w:spacing w:val="-3"/>
        </w:rPr>
        <w:t>系统设计应考虑防止静电降低系统的功能，系统的各</w:t>
      </w:r>
      <w:r>
        <w:rPr>
          <w:spacing w:val="-4"/>
        </w:rPr>
        <w:t>组成部分，如航空航天</w:t>
      </w:r>
      <w:r>
        <w:t xml:space="preserve"> </w:t>
      </w:r>
      <w:r>
        <w:rPr>
          <w:spacing w:val="-15"/>
        </w:rPr>
        <w:t>器、发射场地、地面站、燃料和维修区均应防护。</w:t>
      </w:r>
    </w:p>
    <w:p w14:paraId="09D158CE">
      <w:pPr>
        <w:pStyle w:val="2"/>
        <w:spacing w:before="2" w:line="275" w:lineRule="auto"/>
        <w:ind w:right="124" w:firstLine="550"/>
        <w:rPr>
          <w:sz w:val="25"/>
          <w:szCs w:val="25"/>
        </w:rPr>
      </w:pPr>
      <w:r>
        <w:rPr>
          <w:rFonts w:ascii="Times New Roman" w:hAnsi="Times New Roman" w:eastAsia="Times New Roman" w:cs="Times New Roman"/>
          <w:spacing w:val="21"/>
          <w:sz w:val="25"/>
          <w:szCs w:val="25"/>
        </w:rPr>
        <w:t xml:space="preserve">a)  </w:t>
      </w:r>
      <w:r>
        <w:rPr>
          <w:spacing w:val="21"/>
          <w:sz w:val="25"/>
          <w:szCs w:val="25"/>
        </w:rPr>
        <w:t>飞机上必须装有静电放电器，放电器的安装应满足静电的泄放和使用维</w:t>
      </w:r>
      <w:r>
        <w:rPr>
          <w:spacing w:val="15"/>
          <w:sz w:val="25"/>
          <w:szCs w:val="25"/>
        </w:rPr>
        <w:t xml:space="preserve"> </w:t>
      </w:r>
      <w:r>
        <w:rPr>
          <w:spacing w:val="14"/>
          <w:sz w:val="25"/>
          <w:szCs w:val="25"/>
        </w:rPr>
        <w:t>护的要求；</w:t>
      </w:r>
    </w:p>
    <w:p w14:paraId="751D1548">
      <w:pPr>
        <w:pStyle w:val="2"/>
        <w:spacing w:before="51" w:line="264" w:lineRule="auto"/>
        <w:ind w:right="140" w:firstLine="550"/>
      </w:pPr>
      <w:r>
        <w:rPr>
          <w:rFonts w:ascii="Times New Roman" w:hAnsi="Times New Roman" w:eastAsia="Times New Roman" w:cs="Times New Roman"/>
          <w:spacing w:val="11"/>
        </w:rPr>
        <w:t>b)</w:t>
      </w:r>
      <w:r>
        <w:rPr>
          <w:rFonts w:ascii="Times New Roman" w:hAnsi="Times New Roman" w:eastAsia="Times New Roman" w:cs="Times New Roman"/>
          <w:spacing w:val="67"/>
        </w:rPr>
        <w:t xml:space="preserve"> </w:t>
      </w:r>
      <w:r>
        <w:rPr>
          <w:spacing w:val="11"/>
        </w:rPr>
        <w:t>暴露在空气中的航空器表面所有的非金属材料都应</w:t>
      </w:r>
      <w:r>
        <w:rPr>
          <w:spacing w:val="10"/>
        </w:rPr>
        <w:t>使用导电涂层。涂</w:t>
      </w:r>
      <w:r>
        <w:t xml:space="preserve"> </w:t>
      </w:r>
      <w:r>
        <w:rPr>
          <w:spacing w:val="5"/>
        </w:rPr>
        <w:t>敷后，任意给定点上测得的单位面积涂层电阻应在10</w:t>
      </w:r>
      <w:r>
        <w:rPr>
          <w:rFonts w:ascii="Times New Roman" w:hAnsi="Times New Roman" w:eastAsia="Times New Roman" w:cs="Times New Roman"/>
          <w:spacing w:val="5"/>
        </w:rPr>
        <w:t>mΩ</w:t>
      </w:r>
      <w:r>
        <w:rPr>
          <w:spacing w:val="5"/>
        </w:rPr>
        <w:t>~</w:t>
      </w:r>
      <w:r>
        <w:rPr>
          <w:rFonts w:ascii="Times New Roman" w:hAnsi="Times New Roman" w:eastAsia="Times New Roman" w:cs="Times New Roman"/>
          <w:spacing w:val="5"/>
        </w:rPr>
        <w:t>50mΩ</w:t>
      </w:r>
      <w:r>
        <w:rPr>
          <w:rFonts w:ascii="Times New Roman" w:hAnsi="Times New Roman" w:eastAsia="Times New Roman" w:cs="Times New Roman"/>
          <w:spacing w:val="50"/>
        </w:rPr>
        <w:t xml:space="preserve"> </w:t>
      </w:r>
      <w:r>
        <w:rPr>
          <w:spacing w:val="5"/>
        </w:rPr>
        <w:t>之间。</w:t>
      </w:r>
    </w:p>
    <w:p w14:paraId="44E97CC0">
      <w:pPr>
        <w:spacing w:before="83" w:line="222" w:lineRule="auto"/>
        <w:rPr>
          <w:rFonts w:ascii="黑体" w:hAnsi="黑体" w:eastAsia="黑体" w:cs="黑体"/>
          <w:sz w:val="25"/>
          <w:szCs w:val="25"/>
        </w:rPr>
      </w:pPr>
      <w:r>
        <w:rPr>
          <w:rFonts w:ascii="黑体" w:hAnsi="黑体" w:eastAsia="黑体" w:cs="黑体"/>
          <w:spacing w:val="9"/>
          <w:sz w:val="25"/>
          <w:szCs w:val="25"/>
        </w:rPr>
        <w:t>4.11</w:t>
      </w:r>
      <w:r>
        <w:rPr>
          <w:rFonts w:ascii="黑体" w:hAnsi="黑体" w:eastAsia="黑体" w:cs="黑体"/>
          <w:spacing w:val="2"/>
          <w:sz w:val="25"/>
          <w:szCs w:val="25"/>
        </w:rPr>
        <w:t xml:space="preserve">   </w:t>
      </w:r>
      <w:r>
        <w:rPr>
          <w:rFonts w:ascii="黑体" w:hAnsi="黑体" w:eastAsia="黑体" w:cs="黑体"/>
          <w:b/>
          <w:bCs/>
          <w:spacing w:val="9"/>
          <w:sz w:val="25"/>
          <w:szCs w:val="25"/>
        </w:rPr>
        <w:t>人体保护</w:t>
      </w:r>
    </w:p>
    <w:p w14:paraId="2762692D">
      <w:pPr>
        <w:pStyle w:val="2"/>
        <w:spacing w:before="93" w:line="277" w:lineRule="auto"/>
        <w:ind w:right="105" w:firstLine="550"/>
        <w:jc w:val="both"/>
      </w:pPr>
      <w:r>
        <w:rPr>
          <w:spacing w:val="-3"/>
        </w:rPr>
        <w:t>系统设计中，应包括人员不受射频、电磁、静电和</w:t>
      </w:r>
      <w:r>
        <w:rPr>
          <w:spacing w:val="-4"/>
        </w:rPr>
        <w:t>电击危害的防护措施。这</w:t>
      </w:r>
      <w:r>
        <w:t xml:space="preserve"> </w:t>
      </w:r>
      <w:r>
        <w:rPr>
          <w:spacing w:val="6"/>
        </w:rPr>
        <w:t>些要求应尽可能在分系统或设备的设计中得到满足。当工艺上无法实现设计中</w:t>
      </w:r>
      <w:r>
        <w:rPr>
          <w:spacing w:val="4"/>
        </w:rPr>
        <w:t xml:space="preserve"> </w:t>
      </w:r>
      <w:r>
        <w:t>考虑的预防措施时，应在使用维护手册中给出相应的安</w:t>
      </w:r>
      <w:r>
        <w:rPr>
          <w:spacing w:val="-1"/>
        </w:rPr>
        <w:t>全预防措施。</w:t>
      </w:r>
    </w:p>
    <w:p w14:paraId="3F692E60">
      <w:pPr>
        <w:spacing w:line="220" w:lineRule="auto"/>
        <w:rPr>
          <w:rFonts w:ascii="黑体" w:hAnsi="黑体" w:eastAsia="黑体" w:cs="黑体"/>
          <w:sz w:val="27"/>
          <w:szCs w:val="27"/>
        </w:rPr>
      </w:pPr>
      <w:r>
        <w:rPr>
          <w:rFonts w:ascii="黑体" w:hAnsi="黑体" w:eastAsia="黑体" w:cs="黑体"/>
          <w:spacing w:val="1"/>
          <w:sz w:val="27"/>
          <w:szCs w:val="27"/>
        </w:rPr>
        <w:t>4.12</w:t>
      </w:r>
      <w:r>
        <w:rPr>
          <w:rFonts w:ascii="黑体" w:hAnsi="黑体" w:eastAsia="黑体" w:cs="黑体"/>
          <w:spacing w:val="34"/>
          <w:sz w:val="27"/>
          <w:szCs w:val="27"/>
        </w:rPr>
        <w:t xml:space="preserve">  </w:t>
      </w:r>
      <w:r>
        <w:rPr>
          <w:rFonts w:ascii="黑体" w:hAnsi="黑体" w:eastAsia="黑体" w:cs="黑体"/>
          <w:b/>
          <w:bCs/>
          <w:spacing w:val="1"/>
          <w:sz w:val="27"/>
          <w:szCs w:val="27"/>
        </w:rPr>
        <w:t>电磁对易燃易爆物和军械的危害</w:t>
      </w:r>
    </w:p>
    <w:p w14:paraId="5E766431">
      <w:pPr>
        <w:pStyle w:val="2"/>
        <w:spacing w:before="105" w:line="282" w:lineRule="auto"/>
        <w:ind w:right="143" w:firstLine="550"/>
      </w:pPr>
      <w:r>
        <w:rPr>
          <w:spacing w:val="5"/>
        </w:rPr>
        <w:t>系统设计应包括军械分系统的防护措施，以避免由于任何形式的电磁</w:t>
      </w:r>
      <w:r>
        <w:rPr>
          <w:spacing w:val="4"/>
        </w:rPr>
        <w:t>或静</w:t>
      </w:r>
      <w:r>
        <w:t xml:space="preserve"> </w:t>
      </w:r>
      <w:r>
        <w:rPr>
          <w:spacing w:val="-3"/>
        </w:rPr>
        <w:t>电能量引起意外点火或点火失效，所有与军械分系统有关的布线、敷设电缆和金</w:t>
      </w:r>
    </w:p>
    <w:p w14:paraId="388FE138">
      <w:pPr>
        <w:spacing w:line="282" w:lineRule="auto"/>
        <w:sectPr>
          <w:footerReference r:id="rId604" w:type="default"/>
          <w:pgSz w:w="11910" w:h="17130"/>
          <w:pgMar w:top="1456" w:right="1284" w:bottom="1687" w:left="1130" w:header="0" w:footer="1470" w:gutter="0"/>
          <w:cols w:space="720" w:num="1"/>
        </w:sectPr>
      </w:pPr>
    </w:p>
    <w:p w14:paraId="33D3F999">
      <w:pPr>
        <w:pStyle w:val="2"/>
        <w:spacing w:before="54" w:line="273" w:lineRule="auto"/>
        <w:ind w:right="143" w:firstLine="135"/>
        <w:jc w:val="both"/>
      </w:pPr>
      <w:r>
        <w:rPr>
          <w:spacing w:val="-2"/>
        </w:rPr>
        <w:t>属构件，均应周密地设计，以防止杂散干扰并消除不期</w:t>
      </w:r>
      <w:r>
        <w:rPr>
          <w:spacing w:val="-3"/>
        </w:rPr>
        <w:t>望的能量。军械分系统的</w:t>
      </w:r>
      <w:r>
        <w:t xml:space="preserve"> </w:t>
      </w:r>
      <w:r>
        <w:rPr>
          <w:spacing w:val="-6"/>
        </w:rPr>
        <w:t>设计，应考虑工作期间的一切工作方式，包括加载、空载、测试</w:t>
      </w:r>
      <w:r>
        <w:rPr>
          <w:spacing w:val="-7"/>
        </w:rPr>
        <w:t>、预发射等。这里</w:t>
      </w:r>
      <w:r>
        <w:t xml:space="preserve"> </w:t>
      </w:r>
      <w:r>
        <w:rPr>
          <w:spacing w:val="-20"/>
        </w:rPr>
        <w:t>“军械分系统”系指武器、火箭、炸药、电爆装置、电导火管、照明弹、点火器</w:t>
      </w:r>
      <w:r>
        <w:rPr>
          <w:spacing w:val="-21"/>
        </w:rPr>
        <w:t>、爆炸</w:t>
      </w:r>
      <w:r>
        <w:t xml:space="preserve"> </w:t>
      </w:r>
      <w:r>
        <w:rPr>
          <w:spacing w:val="-1"/>
        </w:rPr>
        <w:t>螺栓、自毁装置、火箭助推器等。军械分系统的设计应符合</w:t>
      </w:r>
      <w:r>
        <w:rPr>
          <w:spacing w:val="-58"/>
        </w:rPr>
        <w:t xml:space="preserve"> </w:t>
      </w:r>
      <w:r>
        <w:rPr>
          <w:rFonts w:ascii="Times New Roman" w:hAnsi="Times New Roman" w:eastAsia="Times New Roman" w:cs="Times New Roman"/>
          <w:spacing w:val="-1"/>
        </w:rPr>
        <w:t xml:space="preserve">GJB786   </w:t>
      </w:r>
      <w:r>
        <w:rPr>
          <w:spacing w:val="-1"/>
        </w:rPr>
        <w:t>的要求，采</w:t>
      </w:r>
      <w:r>
        <w:t xml:space="preserve"> </w:t>
      </w:r>
      <w:r>
        <w:rPr>
          <w:spacing w:val="2"/>
        </w:rPr>
        <w:t>购时，需方可以自行规定适当的要求。</w:t>
      </w:r>
    </w:p>
    <w:p w14:paraId="5F6200EB">
      <w:pPr>
        <w:spacing w:before="57" w:line="221" w:lineRule="auto"/>
        <w:ind w:left="135"/>
        <w:rPr>
          <w:rFonts w:ascii="黑体" w:hAnsi="黑体" w:eastAsia="黑体" w:cs="黑体"/>
          <w:sz w:val="25"/>
          <w:szCs w:val="25"/>
        </w:rPr>
      </w:pPr>
      <w:r>
        <w:rPr>
          <w:rFonts w:ascii="黑体" w:hAnsi="黑体" w:eastAsia="黑体" w:cs="黑体"/>
          <w:spacing w:val="9"/>
          <w:sz w:val="25"/>
          <w:szCs w:val="25"/>
        </w:rPr>
        <w:t>4.13</w:t>
      </w:r>
      <w:r>
        <w:rPr>
          <w:rFonts w:ascii="黑体" w:hAnsi="黑体" w:eastAsia="黑体" w:cs="黑体"/>
          <w:spacing w:val="46"/>
          <w:sz w:val="25"/>
          <w:szCs w:val="25"/>
        </w:rPr>
        <w:t xml:space="preserve">  </w:t>
      </w:r>
      <w:r>
        <w:rPr>
          <w:rFonts w:ascii="黑体" w:hAnsi="黑体" w:eastAsia="黑体" w:cs="黑体"/>
          <w:b/>
          <w:bCs/>
          <w:spacing w:val="9"/>
          <w:sz w:val="25"/>
          <w:szCs w:val="25"/>
        </w:rPr>
        <w:t>外界环境</w:t>
      </w:r>
    </w:p>
    <w:p w14:paraId="7480030B">
      <w:pPr>
        <w:pStyle w:val="2"/>
        <w:spacing w:before="97" w:line="279" w:lineRule="auto"/>
        <w:ind w:left="135" w:right="122" w:firstLine="570"/>
        <w:jc w:val="both"/>
      </w:pPr>
      <w:r>
        <w:rPr>
          <w:spacing w:val="-3"/>
        </w:rPr>
        <w:t>按合同规定，系统设计应考虑到系统外部产生的电磁环境，以及预计的任务</w:t>
      </w:r>
      <w:r>
        <w:rPr>
          <w:spacing w:val="10"/>
        </w:rPr>
        <w:t xml:space="preserve"> </w:t>
      </w:r>
      <w:r>
        <w:rPr>
          <w:spacing w:val="-3"/>
        </w:rPr>
        <w:t>范围、可用的电磁环境数据、外界环境可能降低系统效能要求的程度、系统设计</w:t>
      </w:r>
      <w:r>
        <w:rPr>
          <w:spacing w:val="15"/>
        </w:rPr>
        <w:t xml:space="preserve"> </w:t>
      </w:r>
      <w:r>
        <w:rPr>
          <w:spacing w:val="2"/>
        </w:rPr>
        <w:t>要与外界环境规定一致。</w:t>
      </w:r>
    </w:p>
    <w:p w14:paraId="59CE244D">
      <w:pPr>
        <w:spacing w:before="12" w:line="223" w:lineRule="auto"/>
        <w:ind w:left="135"/>
        <w:rPr>
          <w:rFonts w:ascii="黑体" w:hAnsi="黑体" w:eastAsia="黑体" w:cs="黑体"/>
          <w:sz w:val="25"/>
          <w:szCs w:val="25"/>
        </w:rPr>
      </w:pPr>
      <w:r>
        <w:rPr>
          <w:rFonts w:ascii="黑体" w:hAnsi="黑体" w:eastAsia="黑体" w:cs="黑体"/>
          <w:spacing w:val="10"/>
          <w:sz w:val="25"/>
          <w:szCs w:val="25"/>
        </w:rPr>
        <w:t>4.14</w:t>
      </w:r>
      <w:r>
        <w:rPr>
          <w:rFonts w:ascii="黑体" w:hAnsi="黑体" w:eastAsia="黑体" w:cs="黑体"/>
          <w:spacing w:val="43"/>
          <w:sz w:val="25"/>
          <w:szCs w:val="25"/>
        </w:rPr>
        <w:t xml:space="preserve">  </w:t>
      </w:r>
      <w:r>
        <w:rPr>
          <w:rFonts w:ascii="黑体" w:hAnsi="黑体" w:eastAsia="黑体" w:cs="黑体"/>
          <w:b/>
          <w:bCs/>
          <w:spacing w:val="10"/>
          <w:sz w:val="25"/>
          <w:szCs w:val="25"/>
        </w:rPr>
        <w:t>抑制元件</w:t>
      </w:r>
    </w:p>
    <w:p w14:paraId="09716319">
      <w:pPr>
        <w:pStyle w:val="2"/>
        <w:spacing w:before="93" w:line="271" w:lineRule="auto"/>
        <w:ind w:left="134" w:firstLine="570"/>
        <w:jc w:val="both"/>
      </w:pPr>
      <w:r>
        <w:rPr>
          <w:spacing w:val="1"/>
        </w:rPr>
        <w:t>应使用体积小质量小的抑制元件，当不要求使用滤波器时，应使用电容器。</w:t>
      </w:r>
      <w:r>
        <w:t xml:space="preserve"> </w:t>
      </w:r>
      <w:r>
        <w:rPr>
          <w:spacing w:val="-2"/>
        </w:rPr>
        <w:t>如果必须用大型元件时，则应事先通知使用方，</w:t>
      </w:r>
      <w:r>
        <w:rPr>
          <w:spacing w:val="-3"/>
        </w:rPr>
        <w:t>经使用方同意后，可在合格鉴定</w:t>
      </w:r>
      <w:r>
        <w:t xml:space="preserve">  </w:t>
      </w:r>
      <w:r>
        <w:rPr>
          <w:spacing w:val="1"/>
        </w:rPr>
        <w:t>试验期间对这些元件进行考核。</w:t>
      </w:r>
    </w:p>
    <w:p w14:paraId="1BEFF325">
      <w:pPr>
        <w:spacing w:line="269" w:lineRule="auto"/>
        <w:rPr>
          <w:rFonts w:ascii="Arial"/>
          <w:sz w:val="21"/>
        </w:rPr>
      </w:pPr>
    </w:p>
    <w:p w14:paraId="1EDF2B30">
      <w:pPr>
        <w:pStyle w:val="2"/>
        <w:spacing w:before="117" w:line="219" w:lineRule="auto"/>
        <w:ind w:left="3004"/>
        <w:outlineLvl w:val="1"/>
        <w:rPr>
          <w:sz w:val="36"/>
          <w:szCs w:val="36"/>
        </w:rPr>
      </w:pPr>
      <w:r>
        <w:rPr>
          <w:rFonts w:ascii="Times New Roman" w:hAnsi="Times New Roman" w:eastAsia="Times New Roman" w:cs="Times New Roman"/>
          <w:b/>
          <w:bCs/>
          <w:spacing w:val="-2"/>
          <w:sz w:val="36"/>
          <w:szCs w:val="36"/>
        </w:rPr>
        <w:t>13.3</w:t>
      </w:r>
      <w:r>
        <w:rPr>
          <w:rFonts w:ascii="Times New Roman" w:hAnsi="Times New Roman" w:eastAsia="Times New Roman" w:cs="Times New Roman"/>
          <w:b/>
          <w:bCs/>
          <w:spacing w:val="10"/>
          <w:sz w:val="36"/>
          <w:szCs w:val="36"/>
        </w:rPr>
        <w:t xml:space="preserve">     </w:t>
      </w:r>
      <w:r>
        <w:rPr>
          <w:b/>
          <w:bCs/>
          <w:spacing w:val="-2"/>
          <w:sz w:val="36"/>
          <w:szCs w:val="36"/>
        </w:rPr>
        <w:t>电磁兼容性大纲</w:t>
      </w:r>
    </w:p>
    <w:p w14:paraId="15DA1A0D">
      <w:pPr>
        <w:spacing w:line="314" w:lineRule="auto"/>
        <w:rPr>
          <w:rFonts w:ascii="Arial"/>
          <w:sz w:val="21"/>
        </w:rPr>
      </w:pPr>
    </w:p>
    <w:p w14:paraId="7AE65AED">
      <w:pPr>
        <w:pStyle w:val="2"/>
        <w:spacing w:before="92" w:line="223" w:lineRule="auto"/>
        <w:ind w:left="705"/>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GJB/Z</w:t>
      </w:r>
      <w:r>
        <w:rPr>
          <w:rFonts w:ascii="Times New Roman" w:hAnsi="Times New Roman" w:eastAsia="Times New Roman" w:cs="Times New Roman"/>
          <w:spacing w:val="32"/>
          <w:sz w:val="28"/>
          <w:szCs w:val="28"/>
        </w:rPr>
        <w:t xml:space="preserve"> </w:t>
      </w:r>
      <w:r>
        <w:rPr>
          <w:rFonts w:ascii="Times New Roman" w:hAnsi="Times New Roman" w:eastAsia="Times New Roman" w:cs="Times New Roman"/>
          <w:spacing w:val="-9"/>
          <w:sz w:val="28"/>
          <w:szCs w:val="28"/>
        </w:rPr>
        <w:t>17—1991</w:t>
      </w:r>
      <w:r>
        <w:rPr>
          <w:spacing w:val="-9"/>
          <w:sz w:val="28"/>
          <w:szCs w:val="28"/>
        </w:rPr>
        <w:t>《</w:t>
      </w:r>
      <w:r>
        <w:rPr>
          <w:rFonts w:ascii="楷体" w:hAnsi="楷体" w:eastAsia="楷体" w:cs="楷体"/>
          <w:spacing w:val="-9"/>
          <w:sz w:val="28"/>
          <w:szCs w:val="28"/>
        </w:rPr>
        <w:t>军用装备电磁兼容性管理指南》编写。</w:t>
      </w:r>
    </w:p>
    <w:p w14:paraId="1AAA8FF7">
      <w:pPr>
        <w:spacing w:before="65" w:line="223" w:lineRule="auto"/>
        <w:ind w:left="135"/>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6"/>
          <w:sz w:val="27"/>
          <w:szCs w:val="27"/>
        </w:rPr>
        <w:t xml:space="preserve">  </w:t>
      </w:r>
      <w:r>
        <w:rPr>
          <w:rFonts w:ascii="黑体" w:hAnsi="黑体" w:eastAsia="黑体" w:cs="黑体"/>
          <w:b/>
          <w:bCs/>
          <w:spacing w:val="-13"/>
          <w:sz w:val="27"/>
          <w:szCs w:val="27"/>
        </w:rPr>
        <w:t>范围</w:t>
      </w:r>
    </w:p>
    <w:p w14:paraId="5F5BC4F3">
      <w:pPr>
        <w:spacing w:before="91" w:line="222" w:lineRule="auto"/>
        <w:ind w:left="135"/>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8"/>
          <w:sz w:val="27"/>
          <w:szCs w:val="27"/>
        </w:rPr>
        <w:t xml:space="preserve">  </w:t>
      </w:r>
      <w:r>
        <w:rPr>
          <w:rFonts w:ascii="黑体" w:hAnsi="黑体" w:eastAsia="黑体" w:cs="黑体"/>
          <w:b/>
          <w:bCs/>
          <w:spacing w:val="-1"/>
          <w:sz w:val="27"/>
          <w:szCs w:val="27"/>
        </w:rPr>
        <w:t>引用文件</w:t>
      </w:r>
    </w:p>
    <w:p w14:paraId="2966F4B8">
      <w:pPr>
        <w:spacing w:before="95" w:line="221" w:lineRule="auto"/>
        <w:ind w:left="135"/>
        <w:rPr>
          <w:rFonts w:ascii="黑体" w:hAnsi="黑体" w:eastAsia="黑体" w:cs="黑体"/>
          <w:sz w:val="27"/>
          <w:szCs w:val="27"/>
        </w:rPr>
      </w:pPr>
      <w:r>
        <w:rPr>
          <w:rFonts w:ascii="黑体" w:hAnsi="黑体" w:eastAsia="黑体" w:cs="黑体"/>
          <w:spacing w:val="-10"/>
          <w:sz w:val="27"/>
          <w:szCs w:val="27"/>
        </w:rPr>
        <w:t xml:space="preserve">3  </w:t>
      </w:r>
      <w:r>
        <w:rPr>
          <w:rFonts w:ascii="黑体" w:hAnsi="黑体" w:eastAsia="黑体" w:cs="黑体"/>
          <w:b/>
          <w:bCs/>
          <w:spacing w:val="-10"/>
          <w:sz w:val="27"/>
          <w:szCs w:val="27"/>
        </w:rPr>
        <w:t>电磁兼容性管理的目标、内容、要求和方法</w:t>
      </w:r>
    </w:p>
    <w:p w14:paraId="6D180BF2">
      <w:pPr>
        <w:spacing w:before="97" w:line="222" w:lineRule="auto"/>
        <w:ind w:left="135"/>
        <w:rPr>
          <w:rFonts w:ascii="黑体" w:hAnsi="黑体" w:eastAsia="黑体" w:cs="黑体"/>
          <w:sz w:val="27"/>
          <w:szCs w:val="27"/>
        </w:rPr>
      </w:pPr>
      <w:r>
        <w:rPr>
          <w:rFonts w:ascii="黑体" w:hAnsi="黑体" w:eastAsia="黑体" w:cs="黑体"/>
          <w:spacing w:val="-2"/>
          <w:sz w:val="27"/>
          <w:szCs w:val="27"/>
        </w:rPr>
        <w:t>3.1</w:t>
      </w:r>
      <w:r>
        <w:rPr>
          <w:rFonts w:ascii="黑体" w:hAnsi="黑体" w:eastAsia="黑体" w:cs="黑体"/>
          <w:spacing w:val="28"/>
          <w:sz w:val="27"/>
          <w:szCs w:val="27"/>
        </w:rPr>
        <w:t xml:space="preserve">  </w:t>
      </w:r>
      <w:r>
        <w:rPr>
          <w:rFonts w:ascii="黑体" w:hAnsi="黑体" w:eastAsia="黑体" w:cs="黑体"/>
          <w:b/>
          <w:bCs/>
          <w:spacing w:val="-2"/>
          <w:sz w:val="27"/>
          <w:szCs w:val="27"/>
        </w:rPr>
        <w:t>电磁兼容性管理目标</w:t>
      </w:r>
    </w:p>
    <w:p w14:paraId="1A61B766">
      <w:pPr>
        <w:pStyle w:val="2"/>
        <w:spacing w:before="82" w:line="219" w:lineRule="auto"/>
        <w:ind w:left="705"/>
      </w:pPr>
      <w:r>
        <w:rPr>
          <w:spacing w:val="2"/>
        </w:rPr>
        <w:t>规定电磁兼容性管理的目标。</w:t>
      </w:r>
    </w:p>
    <w:p w14:paraId="3FB6BAAE">
      <w:pPr>
        <w:pStyle w:val="2"/>
        <w:spacing w:before="88" w:line="279" w:lineRule="auto"/>
        <w:ind w:left="135" w:right="123" w:firstLine="570"/>
      </w:pPr>
      <w:r>
        <w:rPr>
          <w:spacing w:val="6"/>
        </w:rPr>
        <w:t>通过电磁兼容性管理，将电磁兼容性作为装备</w:t>
      </w:r>
      <w:r>
        <w:rPr>
          <w:spacing w:val="5"/>
        </w:rPr>
        <w:t>研制的基本设计性能贯穿研</w:t>
      </w:r>
      <w:r>
        <w:t xml:space="preserve"> 制的全过程，确保使用方最终获得一个满足电磁兼容性要求的装备。</w:t>
      </w:r>
    </w:p>
    <w:p w14:paraId="5C646454">
      <w:pPr>
        <w:spacing w:before="1" w:line="221" w:lineRule="auto"/>
        <w:ind w:left="135"/>
        <w:rPr>
          <w:rFonts w:ascii="黑体" w:hAnsi="黑体" w:eastAsia="黑体" w:cs="黑体"/>
          <w:sz w:val="27"/>
          <w:szCs w:val="27"/>
        </w:rPr>
      </w:pPr>
      <w:r>
        <w:rPr>
          <w:rFonts w:ascii="黑体" w:hAnsi="黑体" w:eastAsia="黑体" w:cs="黑体"/>
          <w:spacing w:val="-1"/>
          <w:sz w:val="27"/>
          <w:szCs w:val="27"/>
        </w:rPr>
        <w:t>3.2</w:t>
      </w:r>
      <w:r>
        <w:rPr>
          <w:rFonts w:ascii="黑体" w:hAnsi="黑体" w:eastAsia="黑体" w:cs="黑体"/>
          <w:spacing w:val="24"/>
          <w:sz w:val="27"/>
          <w:szCs w:val="27"/>
        </w:rPr>
        <w:t xml:space="preserve">  </w:t>
      </w:r>
      <w:r>
        <w:rPr>
          <w:rFonts w:ascii="黑体" w:hAnsi="黑体" w:eastAsia="黑体" w:cs="黑体"/>
          <w:b/>
          <w:bCs/>
          <w:spacing w:val="-1"/>
          <w:sz w:val="27"/>
          <w:szCs w:val="27"/>
        </w:rPr>
        <w:t>电磁兼容性管理内容</w:t>
      </w:r>
    </w:p>
    <w:p w14:paraId="2C94258B">
      <w:pPr>
        <w:pStyle w:val="2"/>
        <w:spacing w:before="81" w:line="219" w:lineRule="auto"/>
        <w:ind w:left="705"/>
      </w:pPr>
      <w:r>
        <w:rPr>
          <w:spacing w:val="2"/>
        </w:rPr>
        <w:t>规定电磁兼容性管理的内容。</w:t>
      </w:r>
    </w:p>
    <w:p w14:paraId="05B8E3C0">
      <w:pPr>
        <w:pStyle w:val="2"/>
        <w:spacing w:before="98" w:line="276" w:lineRule="auto"/>
        <w:ind w:left="135" w:right="29" w:firstLine="570"/>
      </w:pPr>
      <w:r>
        <w:t>电磁兼容性是军用装备的基本性能之一，为使装备具备良好的电磁兼容性，</w:t>
      </w:r>
      <w:r>
        <w:rPr>
          <w:spacing w:val="4"/>
        </w:rPr>
        <w:t xml:space="preserve"> </w:t>
      </w:r>
      <w:r>
        <w:rPr>
          <w:spacing w:val="-1"/>
        </w:rPr>
        <w:t>应对全寿命期中各个阶段实施电磁兼容性管理，一般应包括：</w:t>
      </w:r>
    </w:p>
    <w:p w14:paraId="25D54579">
      <w:pPr>
        <w:pStyle w:val="2"/>
        <w:spacing w:before="1" w:line="219" w:lineRule="auto"/>
        <w:ind w:left="705"/>
      </w:pPr>
      <w:r>
        <w:rPr>
          <w:rFonts w:ascii="Times New Roman" w:hAnsi="Times New Roman" w:eastAsia="Times New Roman" w:cs="Times New Roman"/>
          <w:spacing w:val="7"/>
        </w:rPr>
        <w:t>a</w:t>
      </w:r>
      <w:r>
        <w:rPr>
          <w:b/>
          <w:bCs/>
          <w:spacing w:val="7"/>
        </w:rPr>
        <w:t>)尽早提出电磁兼容性要求；</w:t>
      </w:r>
    </w:p>
    <w:p w14:paraId="262AFBB3">
      <w:pPr>
        <w:pStyle w:val="2"/>
        <w:spacing w:before="72" w:line="254" w:lineRule="auto"/>
        <w:ind w:left="135" w:right="124" w:firstLine="570"/>
      </w:pPr>
      <w:r>
        <w:rPr>
          <w:rFonts w:ascii="Times New Roman" w:hAnsi="Times New Roman" w:eastAsia="Times New Roman" w:cs="Times New Roman"/>
          <w:spacing w:val="3"/>
        </w:rPr>
        <w:t xml:space="preserve">b)  </w:t>
      </w:r>
      <w:r>
        <w:rPr>
          <w:spacing w:val="3"/>
        </w:rPr>
        <w:t>制定和实施电磁兼容性大纲和电磁</w:t>
      </w:r>
      <w:r>
        <w:rPr>
          <w:spacing w:val="2"/>
        </w:rPr>
        <w:t>兼容性控制计划，明确各阶段电磁兼</w:t>
      </w:r>
      <w:r>
        <w:t xml:space="preserve"> </w:t>
      </w:r>
      <w:r>
        <w:rPr>
          <w:spacing w:val="1"/>
        </w:rPr>
        <w:t>容性的各项工作和进度；</w:t>
      </w:r>
    </w:p>
    <w:p w14:paraId="7D84D119">
      <w:pPr>
        <w:pStyle w:val="2"/>
        <w:spacing w:before="77" w:line="212" w:lineRule="auto"/>
        <w:ind w:left="705"/>
      </w:pPr>
      <w:r>
        <w:rPr>
          <w:rFonts w:ascii="Times New Roman" w:hAnsi="Times New Roman" w:eastAsia="Times New Roman" w:cs="Times New Roman"/>
          <w:spacing w:val="4"/>
        </w:rPr>
        <w:t>c)</w:t>
      </w:r>
      <w:r>
        <w:rPr>
          <w:rFonts w:ascii="Times New Roman" w:hAnsi="Times New Roman" w:eastAsia="Times New Roman" w:cs="Times New Roman"/>
          <w:spacing w:val="58"/>
          <w:w w:val="101"/>
        </w:rPr>
        <w:t xml:space="preserve"> </w:t>
      </w:r>
      <w:r>
        <w:rPr>
          <w:spacing w:val="4"/>
        </w:rPr>
        <w:t>建立电磁兼容性管理和协调网络及工作程序；</w:t>
      </w:r>
    </w:p>
    <w:p w14:paraId="7A394AF4">
      <w:pPr>
        <w:pStyle w:val="2"/>
        <w:spacing w:before="100" w:line="212" w:lineRule="auto"/>
        <w:ind w:left="705"/>
      </w:pPr>
      <w:r>
        <w:rPr>
          <w:rFonts w:ascii="Times New Roman" w:hAnsi="Times New Roman" w:eastAsia="Times New Roman" w:cs="Times New Roman"/>
          <w:spacing w:val="3"/>
        </w:rPr>
        <w:t xml:space="preserve">d)  </w:t>
      </w:r>
      <w:r>
        <w:rPr>
          <w:spacing w:val="3"/>
        </w:rPr>
        <w:t>在研制过程中应进行电磁兼容性预测与分析；</w:t>
      </w:r>
    </w:p>
    <w:p w14:paraId="3F0F5FB4">
      <w:pPr>
        <w:pStyle w:val="2"/>
        <w:spacing w:before="100" w:line="212" w:lineRule="auto"/>
        <w:ind w:left="705"/>
      </w:pPr>
      <w:r>
        <w:rPr>
          <w:rFonts w:ascii="Times New Roman" w:hAnsi="Times New Roman" w:eastAsia="Times New Roman" w:cs="Times New Roman"/>
          <w:spacing w:val="3"/>
        </w:rPr>
        <w:t xml:space="preserve">e)  </w:t>
      </w:r>
      <w:r>
        <w:rPr>
          <w:spacing w:val="3"/>
        </w:rPr>
        <w:t>电磁兼容性设计纳入到系统和设备的功能设计中，不要依靠事后的补救</w:t>
      </w:r>
    </w:p>
    <w:p w14:paraId="540E140D">
      <w:pPr>
        <w:spacing w:line="212" w:lineRule="auto"/>
        <w:sectPr>
          <w:footerReference r:id="rId605" w:type="default"/>
          <w:pgSz w:w="11910" w:h="17130"/>
          <w:pgMar w:top="1406" w:right="715" w:bottom="1707" w:left="1545" w:header="0" w:footer="1491" w:gutter="0"/>
          <w:cols w:space="720" w:num="1"/>
        </w:sectPr>
      </w:pPr>
    </w:p>
    <w:p w14:paraId="4E2BAB79">
      <w:pPr>
        <w:pStyle w:val="2"/>
        <w:spacing w:before="85" w:line="220" w:lineRule="auto"/>
      </w:pPr>
      <w:r>
        <w:rPr>
          <w:spacing w:val="-6"/>
        </w:rPr>
        <w:t>措施；</w:t>
      </w:r>
    </w:p>
    <w:p w14:paraId="2D360B29">
      <w:pPr>
        <w:pStyle w:val="2"/>
        <w:spacing w:before="46" w:line="212" w:lineRule="auto"/>
        <w:ind w:left="550"/>
      </w:pPr>
      <w:r>
        <w:rPr>
          <w:rFonts w:ascii="Times New Roman" w:hAnsi="Times New Roman" w:eastAsia="Times New Roman" w:cs="Times New Roman"/>
          <w:spacing w:val="4"/>
        </w:rPr>
        <w:t>f)</w:t>
      </w:r>
      <w:r>
        <w:rPr>
          <w:rFonts w:ascii="Times New Roman" w:hAnsi="Times New Roman" w:eastAsia="Times New Roman" w:cs="Times New Roman"/>
          <w:spacing w:val="66"/>
        </w:rPr>
        <w:t xml:space="preserve"> </w:t>
      </w:r>
      <w:r>
        <w:rPr>
          <w:spacing w:val="4"/>
        </w:rPr>
        <w:t>全寿命期各阶段应进行电磁兼容性评审；</w:t>
      </w:r>
    </w:p>
    <w:p w14:paraId="0476B4DD">
      <w:pPr>
        <w:pStyle w:val="2"/>
        <w:spacing w:before="81" w:line="286" w:lineRule="auto"/>
        <w:ind w:right="11" w:firstLine="550"/>
        <w:rPr>
          <w:sz w:val="25"/>
          <w:szCs w:val="25"/>
        </w:rPr>
      </w:pPr>
      <w:r>
        <w:rPr>
          <w:rFonts w:ascii="Times New Roman" w:hAnsi="Times New Roman" w:eastAsia="Times New Roman" w:cs="Times New Roman"/>
          <w:spacing w:val="13"/>
          <w:sz w:val="25"/>
          <w:szCs w:val="25"/>
        </w:rPr>
        <w:t>g)</w:t>
      </w:r>
      <w:r>
        <w:rPr>
          <w:rFonts w:ascii="Times New Roman" w:hAnsi="Times New Roman" w:eastAsia="Times New Roman" w:cs="Times New Roman"/>
          <w:spacing w:val="22"/>
          <w:sz w:val="25"/>
          <w:szCs w:val="25"/>
        </w:rPr>
        <w:t xml:space="preserve">  </w:t>
      </w:r>
      <w:r>
        <w:rPr>
          <w:spacing w:val="13"/>
          <w:sz w:val="25"/>
          <w:szCs w:val="25"/>
        </w:rPr>
        <w:t>确认装备能否实际达到电磁兼容性要求，如不</w:t>
      </w:r>
      <w:r>
        <w:rPr>
          <w:spacing w:val="12"/>
          <w:sz w:val="25"/>
          <w:szCs w:val="25"/>
        </w:rPr>
        <w:t>能，应及时采取措施，以保</w:t>
      </w:r>
      <w:r>
        <w:rPr>
          <w:sz w:val="25"/>
          <w:szCs w:val="25"/>
        </w:rPr>
        <w:t xml:space="preserve"> </w:t>
      </w:r>
      <w:r>
        <w:rPr>
          <w:spacing w:val="21"/>
          <w:sz w:val="25"/>
          <w:szCs w:val="25"/>
        </w:rPr>
        <w:t>证满足装备的主要功能要求；</w:t>
      </w:r>
    </w:p>
    <w:p w14:paraId="6FF972E8">
      <w:pPr>
        <w:pStyle w:val="2"/>
        <w:spacing w:before="25" w:line="290" w:lineRule="auto"/>
        <w:ind w:firstLine="550"/>
        <w:rPr>
          <w:sz w:val="25"/>
          <w:szCs w:val="25"/>
        </w:rPr>
      </w:pPr>
      <w:r>
        <w:rPr>
          <w:rFonts w:ascii="Times New Roman" w:hAnsi="Times New Roman" w:eastAsia="Times New Roman" w:cs="Times New Roman"/>
          <w:spacing w:val="21"/>
          <w:sz w:val="25"/>
          <w:szCs w:val="25"/>
        </w:rPr>
        <w:t xml:space="preserve">h)  </w:t>
      </w:r>
      <w:r>
        <w:rPr>
          <w:spacing w:val="21"/>
          <w:sz w:val="25"/>
          <w:szCs w:val="25"/>
        </w:rPr>
        <w:t>装备使用的频段和频率应及时申报批准，以便进行频率的配置、使用和</w:t>
      </w:r>
      <w:r>
        <w:rPr>
          <w:spacing w:val="1"/>
          <w:sz w:val="25"/>
          <w:szCs w:val="25"/>
        </w:rPr>
        <w:t xml:space="preserve"> </w:t>
      </w:r>
      <w:r>
        <w:rPr>
          <w:spacing w:val="8"/>
          <w:sz w:val="25"/>
          <w:szCs w:val="25"/>
        </w:rPr>
        <w:t>管理；</w:t>
      </w:r>
    </w:p>
    <w:p w14:paraId="3243D74B">
      <w:pPr>
        <w:pStyle w:val="2"/>
        <w:spacing w:before="53" w:line="212" w:lineRule="auto"/>
        <w:ind w:left="550"/>
      </w:pPr>
      <w:r>
        <w:rPr>
          <w:rFonts w:ascii="Times New Roman" w:hAnsi="Times New Roman" w:eastAsia="Times New Roman" w:cs="Times New Roman"/>
          <w:spacing w:val="4"/>
        </w:rPr>
        <w:t>i)</w:t>
      </w:r>
      <w:r>
        <w:rPr>
          <w:rFonts w:ascii="Times New Roman" w:hAnsi="Times New Roman" w:eastAsia="Times New Roman" w:cs="Times New Roman"/>
          <w:spacing w:val="63"/>
        </w:rPr>
        <w:t xml:space="preserve"> </w:t>
      </w:r>
      <w:r>
        <w:rPr>
          <w:spacing w:val="4"/>
        </w:rPr>
        <w:t>对有关人员进行电磁兼容性培训。</w:t>
      </w:r>
    </w:p>
    <w:p w14:paraId="2AC5429B">
      <w:pPr>
        <w:spacing w:before="105" w:line="222" w:lineRule="auto"/>
        <w:rPr>
          <w:rFonts w:ascii="黑体" w:hAnsi="黑体" w:eastAsia="黑体" w:cs="黑体"/>
          <w:sz w:val="27"/>
          <w:szCs w:val="27"/>
        </w:rPr>
      </w:pPr>
      <w:r>
        <w:rPr>
          <w:rFonts w:ascii="黑体" w:hAnsi="黑体" w:eastAsia="黑体" w:cs="黑体"/>
          <w:spacing w:val="-2"/>
          <w:sz w:val="27"/>
          <w:szCs w:val="27"/>
        </w:rPr>
        <w:t>3.3</w:t>
      </w:r>
      <w:r>
        <w:rPr>
          <w:rFonts w:ascii="黑体" w:hAnsi="黑体" w:eastAsia="黑体" w:cs="黑体"/>
          <w:spacing w:val="31"/>
          <w:sz w:val="27"/>
          <w:szCs w:val="27"/>
        </w:rPr>
        <w:t xml:space="preserve">  </w:t>
      </w:r>
      <w:r>
        <w:rPr>
          <w:rFonts w:ascii="黑体" w:hAnsi="黑体" w:eastAsia="黑体" w:cs="黑体"/>
          <w:b/>
          <w:bCs/>
          <w:spacing w:val="-2"/>
          <w:sz w:val="27"/>
          <w:szCs w:val="27"/>
        </w:rPr>
        <w:t>电磁兼容性管理要求</w:t>
      </w:r>
    </w:p>
    <w:p w14:paraId="6D834BBD">
      <w:pPr>
        <w:pStyle w:val="2"/>
        <w:spacing w:before="91" w:line="219" w:lineRule="auto"/>
        <w:ind w:left="550"/>
      </w:pPr>
      <w:r>
        <w:rPr>
          <w:spacing w:val="3"/>
        </w:rPr>
        <w:t>规定电磁兼容性管理的要求。</w:t>
      </w:r>
    </w:p>
    <w:p w14:paraId="5AC46B89">
      <w:pPr>
        <w:spacing w:before="94" w:line="221" w:lineRule="auto"/>
        <w:rPr>
          <w:rFonts w:ascii="黑体" w:hAnsi="黑体" w:eastAsia="黑体" w:cs="黑体"/>
          <w:sz w:val="27"/>
          <w:szCs w:val="27"/>
        </w:rPr>
      </w:pPr>
      <w:r>
        <w:rPr>
          <w:rFonts w:ascii="黑体" w:hAnsi="黑体" w:eastAsia="黑体" w:cs="黑体"/>
          <w:spacing w:val="-1"/>
          <w:sz w:val="27"/>
          <w:szCs w:val="27"/>
        </w:rPr>
        <w:t>3.4</w:t>
      </w:r>
      <w:r>
        <w:rPr>
          <w:rFonts w:ascii="黑体" w:hAnsi="黑体" w:eastAsia="黑体" w:cs="黑体"/>
          <w:spacing w:val="25"/>
          <w:sz w:val="27"/>
          <w:szCs w:val="27"/>
        </w:rPr>
        <w:t xml:space="preserve">  </w:t>
      </w:r>
      <w:r>
        <w:rPr>
          <w:rFonts w:ascii="黑体" w:hAnsi="黑体" w:eastAsia="黑体" w:cs="黑体"/>
          <w:b/>
          <w:bCs/>
          <w:spacing w:val="-1"/>
          <w:sz w:val="27"/>
          <w:szCs w:val="27"/>
        </w:rPr>
        <w:t>电磁兼容性管理方法</w:t>
      </w:r>
    </w:p>
    <w:p w14:paraId="56E1EF08">
      <w:pPr>
        <w:pStyle w:val="2"/>
        <w:spacing w:before="83" w:line="219" w:lineRule="auto"/>
        <w:ind w:left="550"/>
      </w:pPr>
      <w:r>
        <w:rPr>
          <w:spacing w:val="3"/>
        </w:rPr>
        <w:t>说明电磁兼容性管理的方法。</w:t>
      </w:r>
    </w:p>
    <w:p w14:paraId="6A8FFEF1">
      <w:pPr>
        <w:spacing w:before="81" w:line="213" w:lineRule="auto"/>
        <w:rPr>
          <w:rFonts w:ascii="黑体" w:hAnsi="黑体" w:eastAsia="黑体" w:cs="黑体"/>
          <w:sz w:val="27"/>
          <w:szCs w:val="27"/>
        </w:rPr>
      </w:pPr>
      <w:r>
        <w:rPr>
          <w:rFonts w:ascii="Arial" w:hAnsi="Arial" w:eastAsia="Arial" w:cs="Arial"/>
          <w:b/>
          <w:bCs/>
          <w:spacing w:val="-8"/>
          <w:sz w:val="27"/>
          <w:szCs w:val="27"/>
        </w:rPr>
        <w:t>4</w:t>
      </w:r>
      <w:r>
        <w:rPr>
          <w:rFonts w:ascii="Arial" w:hAnsi="Arial" w:eastAsia="Arial" w:cs="Arial"/>
          <w:b/>
          <w:bCs/>
          <w:spacing w:val="22"/>
          <w:sz w:val="27"/>
          <w:szCs w:val="27"/>
        </w:rPr>
        <w:t xml:space="preserve">   </w:t>
      </w:r>
      <w:r>
        <w:rPr>
          <w:rFonts w:ascii="黑体" w:hAnsi="黑体" w:eastAsia="黑体" w:cs="黑体"/>
          <w:b/>
          <w:bCs/>
          <w:spacing w:val="-8"/>
          <w:sz w:val="27"/>
          <w:szCs w:val="27"/>
        </w:rPr>
        <w:t>各部门的职责，权限和工作范围，以及与有关单位之间的联系</w:t>
      </w:r>
    </w:p>
    <w:p w14:paraId="5D85A6B6">
      <w:pPr>
        <w:spacing w:before="87" w:line="212" w:lineRule="auto"/>
        <w:ind w:left="3"/>
        <w:rPr>
          <w:rFonts w:ascii="Arial" w:hAnsi="Arial" w:eastAsia="Arial" w:cs="Arial"/>
          <w:sz w:val="27"/>
          <w:szCs w:val="27"/>
        </w:rPr>
      </w:pPr>
      <w:r>
        <w:rPr>
          <w:rFonts w:ascii="黑体" w:hAnsi="黑体" w:eastAsia="黑体" w:cs="黑体"/>
          <w:b/>
          <w:bCs/>
          <w:spacing w:val="4"/>
          <w:sz w:val="27"/>
          <w:szCs w:val="27"/>
        </w:rPr>
        <w:t>4.</w:t>
      </w:r>
      <w:r>
        <w:rPr>
          <w:rFonts w:ascii="Times New Roman" w:hAnsi="Times New Roman" w:eastAsia="Times New Roman" w:cs="Times New Roman"/>
          <w:b/>
          <w:bCs/>
          <w:spacing w:val="4"/>
          <w:sz w:val="27"/>
          <w:szCs w:val="27"/>
        </w:rPr>
        <w:t>X</w:t>
      </w:r>
      <w:r>
        <w:rPr>
          <w:rFonts w:ascii="Times New Roman" w:hAnsi="Times New Roman" w:eastAsia="Times New Roman" w:cs="Times New Roman"/>
          <w:b/>
          <w:bCs/>
          <w:spacing w:val="19"/>
          <w:sz w:val="27"/>
          <w:szCs w:val="27"/>
        </w:rPr>
        <w:t xml:space="preserve">   </w:t>
      </w:r>
      <w:r>
        <w:rPr>
          <w:rFonts w:ascii="Times New Roman" w:hAnsi="Times New Roman" w:eastAsia="Times New Roman" w:cs="Times New Roman"/>
          <w:b/>
          <w:bCs/>
          <w:spacing w:val="4"/>
          <w:sz w:val="27"/>
          <w:szCs w:val="27"/>
        </w:rPr>
        <w:t>(</w:t>
      </w:r>
      <w:r>
        <w:rPr>
          <w:rFonts w:ascii="Times New Roman" w:hAnsi="Times New Roman" w:eastAsia="Times New Roman" w:cs="Times New Roman"/>
          <w:b/>
          <w:bCs/>
          <w:spacing w:val="-12"/>
          <w:sz w:val="27"/>
          <w:szCs w:val="27"/>
        </w:rPr>
        <w:t xml:space="preserve"> </w:t>
      </w:r>
      <w:r>
        <w:rPr>
          <w:rFonts w:ascii="黑体" w:hAnsi="黑体" w:eastAsia="黑体" w:cs="黑体"/>
          <w:b/>
          <w:bCs/>
          <w:spacing w:val="4"/>
          <w:sz w:val="27"/>
          <w:szCs w:val="27"/>
        </w:rPr>
        <w:t>部门</w:t>
      </w:r>
      <w:r>
        <w:rPr>
          <w:rFonts w:ascii="Arial" w:hAnsi="Arial" w:eastAsia="Arial" w:cs="Arial"/>
          <w:spacing w:val="4"/>
          <w:sz w:val="27"/>
          <w:szCs w:val="27"/>
        </w:rPr>
        <w:t>X)</w:t>
      </w:r>
    </w:p>
    <w:p w14:paraId="7EF4280F">
      <w:pPr>
        <w:pStyle w:val="2"/>
        <w:spacing w:before="79" w:line="212" w:lineRule="auto"/>
        <w:ind w:left="550"/>
      </w:pPr>
      <w:r>
        <w:rPr>
          <w:spacing w:val="-2"/>
        </w:rPr>
        <w:t>规定(部门</w:t>
      </w:r>
      <w:r>
        <w:rPr>
          <w:rFonts w:ascii="Times New Roman" w:hAnsi="Times New Roman" w:eastAsia="Times New Roman" w:cs="Times New Roman"/>
          <w:spacing w:val="-2"/>
        </w:rPr>
        <w:t xml:space="preserve">X) </w:t>
      </w:r>
      <w:r>
        <w:rPr>
          <w:spacing w:val="-2"/>
        </w:rPr>
        <w:t>的职责，权限和工作范围，以</w:t>
      </w:r>
      <w:r>
        <w:rPr>
          <w:spacing w:val="-3"/>
        </w:rPr>
        <w:t>及与有关单位之间的联系。</w:t>
      </w:r>
    </w:p>
    <w:p w14:paraId="059D5AC7">
      <w:pPr>
        <w:spacing w:before="124" w:line="221"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7"/>
          <w:sz w:val="27"/>
          <w:szCs w:val="27"/>
        </w:rPr>
        <w:t xml:space="preserve">   </w:t>
      </w:r>
      <w:r>
        <w:rPr>
          <w:rFonts w:ascii="黑体" w:hAnsi="黑体" w:eastAsia="黑体" w:cs="黑体"/>
          <w:b/>
          <w:bCs/>
          <w:spacing w:val="1"/>
          <w:sz w:val="27"/>
          <w:szCs w:val="27"/>
        </w:rPr>
        <w:t>电磁兼容性预测与分析的计划和方法</w:t>
      </w:r>
    </w:p>
    <w:p w14:paraId="539F9011">
      <w:pPr>
        <w:spacing w:before="78" w:line="222"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b/>
          <w:bCs/>
          <w:spacing w:val="-1"/>
          <w:sz w:val="27"/>
          <w:szCs w:val="27"/>
        </w:rPr>
        <w:t>.1</w:t>
      </w:r>
      <w:r>
        <w:rPr>
          <w:rFonts w:ascii="黑体" w:hAnsi="黑体" w:eastAsia="黑体" w:cs="黑体"/>
          <w:spacing w:val="29"/>
          <w:sz w:val="27"/>
          <w:szCs w:val="27"/>
        </w:rPr>
        <w:t xml:space="preserve">  </w:t>
      </w:r>
      <w:r>
        <w:rPr>
          <w:rFonts w:ascii="黑体" w:hAnsi="黑体" w:eastAsia="黑体" w:cs="黑体"/>
          <w:b/>
          <w:bCs/>
          <w:spacing w:val="-1"/>
          <w:sz w:val="27"/>
          <w:szCs w:val="27"/>
        </w:rPr>
        <w:t>电磁兼容性预测与分析的计划</w:t>
      </w:r>
    </w:p>
    <w:p w14:paraId="3067811C">
      <w:pPr>
        <w:pStyle w:val="2"/>
        <w:spacing w:before="91" w:line="219" w:lineRule="auto"/>
        <w:ind w:left="550"/>
      </w:pPr>
      <w:r>
        <w:rPr>
          <w:spacing w:val="3"/>
        </w:rPr>
        <w:t>说明电磁兼容性预测与分析工作的计划。</w:t>
      </w:r>
    </w:p>
    <w:p w14:paraId="7D13851A">
      <w:pPr>
        <w:pStyle w:val="2"/>
        <w:spacing w:before="90" w:line="219" w:lineRule="auto"/>
        <w:ind w:left="550"/>
      </w:pPr>
      <w:r>
        <w:rPr>
          <w:spacing w:val="2"/>
        </w:rPr>
        <w:t>电磁兼容性预测与分析主要用于：</w:t>
      </w:r>
    </w:p>
    <w:p w14:paraId="632F3117">
      <w:pPr>
        <w:pStyle w:val="2"/>
        <w:spacing w:before="69" w:line="212" w:lineRule="auto"/>
        <w:ind w:left="550"/>
      </w:pPr>
      <w:r>
        <w:rPr>
          <w:rFonts w:ascii="Times New Roman" w:hAnsi="Times New Roman" w:eastAsia="Times New Roman" w:cs="Times New Roman"/>
          <w:spacing w:val="4"/>
        </w:rPr>
        <w:t>a)</w:t>
      </w:r>
      <w:r>
        <w:rPr>
          <w:rFonts w:ascii="Times New Roman" w:hAnsi="Times New Roman" w:eastAsia="Times New Roman" w:cs="Times New Roman"/>
          <w:spacing w:val="66"/>
          <w:w w:val="101"/>
        </w:rPr>
        <w:t xml:space="preserve"> </w:t>
      </w:r>
      <w:r>
        <w:rPr>
          <w:spacing w:val="4"/>
        </w:rPr>
        <w:t>分析和确定设备和系统工作的电磁环境；</w:t>
      </w:r>
    </w:p>
    <w:p w14:paraId="4923A0BE">
      <w:pPr>
        <w:pStyle w:val="2"/>
        <w:spacing w:before="132" w:line="212" w:lineRule="auto"/>
        <w:ind w:left="550"/>
        <w:rPr>
          <w:sz w:val="24"/>
          <w:szCs w:val="24"/>
        </w:rPr>
      </w:pPr>
      <w:r>
        <w:rPr>
          <w:rFonts w:ascii="Times New Roman" w:hAnsi="Times New Roman" w:eastAsia="Times New Roman" w:cs="Times New Roman"/>
          <w:spacing w:val="30"/>
          <w:sz w:val="24"/>
          <w:szCs w:val="24"/>
        </w:rPr>
        <w:t xml:space="preserve">b)  </w:t>
      </w:r>
      <w:r>
        <w:rPr>
          <w:spacing w:val="30"/>
          <w:sz w:val="24"/>
          <w:szCs w:val="24"/>
        </w:rPr>
        <w:t>分析确定设备和分系统的电磁特性和电磁兼容性要求；</w:t>
      </w:r>
    </w:p>
    <w:p w14:paraId="427C05AC">
      <w:pPr>
        <w:pStyle w:val="2"/>
        <w:spacing w:before="92" w:line="212" w:lineRule="auto"/>
        <w:ind w:left="550"/>
      </w:pPr>
      <w:r>
        <w:rPr>
          <w:rFonts w:ascii="Times New Roman" w:hAnsi="Times New Roman" w:eastAsia="Times New Roman" w:cs="Times New Roman"/>
          <w:spacing w:val="3"/>
        </w:rPr>
        <w:t>c)</w:t>
      </w:r>
      <w:r>
        <w:rPr>
          <w:rFonts w:ascii="Times New Roman" w:hAnsi="Times New Roman" w:eastAsia="Times New Roman" w:cs="Times New Roman"/>
          <w:spacing w:val="69"/>
          <w:w w:val="101"/>
        </w:rPr>
        <w:t xml:space="preserve"> </w:t>
      </w:r>
      <w:r>
        <w:rPr>
          <w:spacing w:val="3"/>
        </w:rPr>
        <w:t>为标准和规范的选用与剪裁提供依据；</w:t>
      </w:r>
    </w:p>
    <w:p w14:paraId="007181C6">
      <w:pPr>
        <w:pStyle w:val="2"/>
        <w:spacing w:before="100" w:line="212" w:lineRule="auto"/>
        <w:ind w:left="550"/>
      </w:pPr>
      <w:r>
        <w:rPr>
          <w:rFonts w:ascii="Times New Roman" w:hAnsi="Times New Roman" w:eastAsia="Times New Roman" w:cs="Times New Roman"/>
          <w:spacing w:val="1"/>
        </w:rPr>
        <w:t xml:space="preserve">d)  </w:t>
      </w:r>
      <w:r>
        <w:rPr>
          <w:spacing w:val="1"/>
        </w:rPr>
        <w:t>为频率配置提供依据；</w:t>
      </w:r>
    </w:p>
    <w:p w14:paraId="1480E66D">
      <w:pPr>
        <w:pStyle w:val="2"/>
        <w:spacing w:before="90" w:line="212" w:lineRule="auto"/>
        <w:ind w:left="550"/>
      </w:pPr>
      <w:r>
        <w:rPr>
          <w:rFonts w:ascii="Times New Roman" w:hAnsi="Times New Roman" w:eastAsia="Times New Roman" w:cs="Times New Roman"/>
          <w:spacing w:val="3"/>
        </w:rPr>
        <w:t>e)</w:t>
      </w:r>
      <w:r>
        <w:rPr>
          <w:rFonts w:ascii="Times New Roman" w:hAnsi="Times New Roman" w:eastAsia="Times New Roman" w:cs="Times New Roman"/>
          <w:spacing w:val="58"/>
          <w:w w:val="101"/>
        </w:rPr>
        <w:t xml:space="preserve"> </w:t>
      </w:r>
      <w:r>
        <w:rPr>
          <w:spacing w:val="3"/>
        </w:rPr>
        <w:t>评定系统电磁兼容性设计方案；</w:t>
      </w:r>
    </w:p>
    <w:p w14:paraId="35C0FAB9">
      <w:pPr>
        <w:pStyle w:val="2"/>
        <w:spacing w:before="110" w:line="212" w:lineRule="auto"/>
        <w:ind w:left="550"/>
      </w:pPr>
      <w:r>
        <w:rPr>
          <w:rFonts w:ascii="Times New Roman" w:hAnsi="Times New Roman" w:eastAsia="Times New Roman" w:cs="Times New Roman"/>
          <w:spacing w:val="4"/>
        </w:rPr>
        <w:t>f)</w:t>
      </w:r>
      <w:r>
        <w:rPr>
          <w:rFonts w:ascii="Times New Roman" w:hAnsi="Times New Roman" w:eastAsia="Times New Roman" w:cs="Times New Roman"/>
          <w:spacing w:val="64"/>
          <w:w w:val="101"/>
        </w:rPr>
        <w:t xml:space="preserve"> </w:t>
      </w:r>
      <w:r>
        <w:rPr>
          <w:spacing w:val="4"/>
        </w:rPr>
        <w:t>分析天线布局以及电缆和导线分类与敷设方案；</w:t>
      </w:r>
    </w:p>
    <w:p w14:paraId="3B660695">
      <w:pPr>
        <w:pStyle w:val="2"/>
        <w:spacing w:before="99" w:line="212" w:lineRule="auto"/>
        <w:ind w:left="550"/>
      </w:pPr>
      <w:r>
        <w:rPr>
          <w:rFonts w:ascii="Times New Roman" w:hAnsi="Times New Roman" w:eastAsia="Times New Roman" w:cs="Times New Roman"/>
          <w:spacing w:val="4"/>
        </w:rPr>
        <w:t xml:space="preserve">g)  </w:t>
      </w:r>
      <w:r>
        <w:rPr>
          <w:spacing w:val="4"/>
        </w:rPr>
        <w:t>具体分析和解决装备可能存在的电</w:t>
      </w:r>
      <w:r>
        <w:rPr>
          <w:spacing w:val="3"/>
        </w:rPr>
        <w:t>磁干扰问题；</w:t>
      </w:r>
    </w:p>
    <w:p w14:paraId="7DE9CD86">
      <w:pPr>
        <w:pStyle w:val="2"/>
        <w:spacing w:before="91" w:line="212" w:lineRule="auto"/>
        <w:ind w:left="550"/>
      </w:pPr>
      <w:r>
        <w:rPr>
          <w:rFonts w:ascii="Times New Roman" w:hAnsi="Times New Roman" w:eastAsia="Times New Roman" w:cs="Times New Roman"/>
          <w:spacing w:val="4"/>
        </w:rPr>
        <w:t>h)</w:t>
      </w:r>
      <w:r>
        <w:rPr>
          <w:rFonts w:ascii="Times New Roman" w:hAnsi="Times New Roman" w:eastAsia="Times New Roman" w:cs="Times New Roman"/>
          <w:spacing w:val="5"/>
        </w:rPr>
        <w:t xml:space="preserve">  </w:t>
      </w:r>
      <w:r>
        <w:rPr>
          <w:spacing w:val="4"/>
        </w:rPr>
        <w:t>评定装备的总体电磁兼容性能。</w:t>
      </w:r>
    </w:p>
    <w:p w14:paraId="54758D93">
      <w:pPr>
        <w:spacing w:before="114" w:line="221" w:lineRule="auto"/>
        <w:outlineLvl w:val="3"/>
        <w:rPr>
          <w:rFonts w:ascii="黑体" w:hAnsi="黑体" w:eastAsia="黑体" w:cs="黑体"/>
          <w:sz w:val="27"/>
          <w:szCs w:val="27"/>
        </w:rPr>
      </w:pPr>
      <w:r>
        <w:rPr>
          <w:rFonts w:ascii="Arial" w:hAnsi="Arial" w:eastAsia="Arial" w:cs="Arial"/>
          <w:b/>
          <w:bCs/>
          <w:spacing w:val="-1"/>
          <w:sz w:val="27"/>
          <w:szCs w:val="27"/>
        </w:rPr>
        <w:t>5.2</w:t>
      </w:r>
      <w:r>
        <w:rPr>
          <w:rFonts w:ascii="Arial" w:hAnsi="Arial" w:eastAsia="Arial" w:cs="Arial"/>
          <w:b/>
          <w:bCs/>
          <w:spacing w:val="18"/>
          <w:sz w:val="27"/>
          <w:szCs w:val="27"/>
        </w:rPr>
        <w:t xml:space="preserve">    </w:t>
      </w:r>
      <w:r>
        <w:rPr>
          <w:rFonts w:ascii="黑体" w:hAnsi="黑体" w:eastAsia="黑体" w:cs="黑体"/>
          <w:b/>
          <w:bCs/>
          <w:spacing w:val="-1"/>
          <w:sz w:val="27"/>
          <w:szCs w:val="27"/>
        </w:rPr>
        <w:t>电磁兼容性预测与分析的方法</w:t>
      </w:r>
    </w:p>
    <w:p w14:paraId="70C847D3">
      <w:pPr>
        <w:pStyle w:val="2"/>
        <w:spacing w:before="103" w:line="219" w:lineRule="auto"/>
        <w:ind w:left="550"/>
      </w:pPr>
      <w:r>
        <w:rPr>
          <w:spacing w:val="2"/>
        </w:rPr>
        <w:t>阐述电磁兼容性预测与分析的方法。</w:t>
      </w:r>
    </w:p>
    <w:p w14:paraId="599C950D">
      <w:pPr>
        <w:spacing w:before="103" w:line="213" w:lineRule="auto"/>
        <w:outlineLvl w:val="3"/>
        <w:rPr>
          <w:rFonts w:ascii="黑体" w:hAnsi="黑体" w:eastAsia="黑体" w:cs="黑体"/>
          <w:sz w:val="24"/>
          <w:szCs w:val="24"/>
        </w:rPr>
      </w:pPr>
      <w:r>
        <w:rPr>
          <w:rFonts w:ascii="Arial" w:hAnsi="Arial" w:eastAsia="Arial" w:cs="Arial"/>
          <w:b/>
          <w:bCs/>
          <w:spacing w:val="20"/>
          <w:sz w:val="24"/>
          <w:szCs w:val="24"/>
        </w:rPr>
        <w:t xml:space="preserve">6    </w:t>
      </w:r>
      <w:r>
        <w:rPr>
          <w:rFonts w:ascii="黑体" w:hAnsi="黑体" w:eastAsia="黑体" w:cs="黑体"/>
          <w:b/>
          <w:bCs/>
          <w:spacing w:val="20"/>
          <w:sz w:val="24"/>
          <w:szCs w:val="24"/>
        </w:rPr>
        <w:t>各研制阶段应达到的工作目标，要求和进</w:t>
      </w:r>
      <w:r>
        <w:rPr>
          <w:rFonts w:ascii="黑体" w:hAnsi="黑体" w:eastAsia="黑体" w:cs="黑体"/>
          <w:b/>
          <w:bCs/>
          <w:spacing w:val="19"/>
          <w:sz w:val="24"/>
          <w:szCs w:val="24"/>
        </w:rPr>
        <w:t>度，以及评审时间</w:t>
      </w:r>
    </w:p>
    <w:p w14:paraId="4332FDC1">
      <w:pPr>
        <w:spacing w:before="106" w:line="222" w:lineRule="auto"/>
        <w:rPr>
          <w:rFonts w:ascii="黑体" w:hAnsi="黑体" w:eastAsia="黑体" w:cs="黑体"/>
          <w:sz w:val="27"/>
          <w:szCs w:val="27"/>
        </w:rPr>
      </w:pPr>
      <w:r>
        <w:rPr>
          <w:rFonts w:ascii="黑体" w:hAnsi="黑体" w:eastAsia="黑体" w:cs="黑体"/>
          <w:spacing w:val="-1"/>
          <w:sz w:val="27"/>
          <w:szCs w:val="27"/>
        </w:rPr>
        <w:t>6.1</w:t>
      </w:r>
      <w:r>
        <w:rPr>
          <w:rFonts w:ascii="黑体" w:hAnsi="黑体" w:eastAsia="黑体" w:cs="黑体"/>
          <w:spacing w:val="29"/>
          <w:sz w:val="27"/>
          <w:szCs w:val="27"/>
        </w:rPr>
        <w:t xml:space="preserve">  </w:t>
      </w:r>
      <w:r>
        <w:rPr>
          <w:rFonts w:ascii="黑体" w:hAnsi="黑体" w:eastAsia="黑体" w:cs="黑体"/>
          <w:b/>
          <w:bCs/>
          <w:spacing w:val="-1"/>
          <w:sz w:val="27"/>
          <w:szCs w:val="27"/>
        </w:rPr>
        <w:t>论证阶段</w:t>
      </w:r>
    </w:p>
    <w:p w14:paraId="649199FB">
      <w:pPr>
        <w:pStyle w:val="2"/>
        <w:spacing w:before="120" w:line="220" w:lineRule="auto"/>
        <w:ind w:left="550"/>
      </w:pPr>
      <w:r>
        <w:rPr>
          <w:spacing w:val="-6"/>
        </w:rPr>
        <w:t>规定论证阶段应达到的工作目标，要求和进度，以及评审时间。</w:t>
      </w:r>
    </w:p>
    <w:p w14:paraId="088B1521">
      <w:pPr>
        <w:pStyle w:val="2"/>
        <w:spacing w:before="68" w:line="219" w:lineRule="auto"/>
        <w:ind w:left="550"/>
      </w:pPr>
      <w:r>
        <w:rPr>
          <w:spacing w:val="2"/>
        </w:rPr>
        <w:t>论证阶段电磁兼容性工作一般应包括：</w:t>
      </w:r>
    </w:p>
    <w:p w14:paraId="75A0C2A3">
      <w:pPr>
        <w:pStyle w:val="2"/>
        <w:spacing w:before="87" w:line="219" w:lineRule="auto"/>
        <w:ind w:left="550"/>
      </w:pPr>
      <w:r>
        <w:rPr>
          <w:rFonts w:ascii="Times New Roman" w:hAnsi="Times New Roman" w:eastAsia="Times New Roman" w:cs="Times New Roman"/>
          <w:spacing w:val="8"/>
        </w:rPr>
        <w:t>a</w:t>
      </w:r>
      <w:r>
        <w:rPr>
          <w:spacing w:val="8"/>
        </w:rPr>
        <w:t>)分析军用装备预期的电磁环境；</w:t>
      </w:r>
    </w:p>
    <w:p w14:paraId="352502C7">
      <w:pPr>
        <w:pStyle w:val="2"/>
        <w:spacing w:before="51" w:line="212" w:lineRule="auto"/>
        <w:ind w:left="550"/>
      </w:pPr>
      <w:r>
        <w:rPr>
          <w:rFonts w:ascii="Times New Roman" w:hAnsi="Times New Roman" w:eastAsia="Times New Roman" w:cs="Times New Roman"/>
          <w:spacing w:val="4"/>
        </w:rPr>
        <w:t>b)</w:t>
      </w:r>
      <w:r>
        <w:rPr>
          <w:rFonts w:ascii="Times New Roman" w:hAnsi="Times New Roman" w:eastAsia="Times New Roman" w:cs="Times New Roman"/>
          <w:spacing w:val="69"/>
          <w:w w:val="101"/>
        </w:rPr>
        <w:t xml:space="preserve"> </w:t>
      </w:r>
      <w:r>
        <w:rPr>
          <w:spacing w:val="4"/>
        </w:rPr>
        <w:t>提出军用装备在电磁环境中的一般兼容性要求；</w:t>
      </w:r>
    </w:p>
    <w:p w14:paraId="07CA8DB8">
      <w:pPr>
        <w:spacing w:line="212" w:lineRule="auto"/>
        <w:sectPr>
          <w:footerReference r:id="rId606" w:type="default"/>
          <w:pgSz w:w="11910" w:h="17130"/>
          <w:pgMar w:top="1456" w:right="1429" w:bottom="1646" w:left="1110" w:header="0" w:footer="1457" w:gutter="0"/>
          <w:cols w:space="720" w:num="1"/>
        </w:sectPr>
      </w:pPr>
    </w:p>
    <w:p w14:paraId="2656F281">
      <w:pPr>
        <w:pStyle w:val="2"/>
        <w:spacing w:before="58" w:line="212" w:lineRule="auto"/>
        <w:ind w:left="550"/>
      </w:pPr>
      <w:r>
        <w:rPr>
          <w:rFonts w:ascii="Times New Roman" w:hAnsi="Times New Roman" w:eastAsia="Times New Roman" w:cs="Times New Roman"/>
          <w:spacing w:val="5"/>
        </w:rPr>
        <w:t>c)</w:t>
      </w:r>
      <w:r>
        <w:rPr>
          <w:rFonts w:ascii="Times New Roman" w:hAnsi="Times New Roman" w:eastAsia="Times New Roman" w:cs="Times New Roman"/>
          <w:spacing w:val="56"/>
        </w:rPr>
        <w:t xml:space="preserve"> </w:t>
      </w:r>
      <w:r>
        <w:rPr>
          <w:spacing w:val="5"/>
        </w:rPr>
        <w:t>分析可供选用方案的电磁环境效应；</w:t>
      </w:r>
    </w:p>
    <w:p w14:paraId="3154BCED">
      <w:pPr>
        <w:pStyle w:val="2"/>
        <w:spacing w:before="49" w:line="276" w:lineRule="auto"/>
        <w:ind w:firstLine="550"/>
      </w:pPr>
      <w:r>
        <w:rPr>
          <w:rFonts w:ascii="Times New Roman" w:hAnsi="Times New Roman" w:eastAsia="Times New Roman" w:cs="Times New Roman"/>
          <w:spacing w:val="12"/>
        </w:rPr>
        <w:t>d)</w:t>
      </w:r>
      <w:r>
        <w:rPr>
          <w:rFonts w:ascii="Times New Roman" w:hAnsi="Times New Roman" w:eastAsia="Times New Roman" w:cs="Times New Roman"/>
          <w:spacing w:val="56"/>
          <w:w w:val="101"/>
        </w:rPr>
        <w:t xml:space="preserve"> </w:t>
      </w:r>
      <w:r>
        <w:rPr>
          <w:spacing w:val="12"/>
        </w:rPr>
        <w:t>分析可供选用方案有关电磁兼容性的费用、风险和对任务完成</w:t>
      </w:r>
      <w:r>
        <w:rPr>
          <w:spacing w:val="11"/>
        </w:rPr>
        <w:t>能力的</w:t>
      </w:r>
      <w:r>
        <w:t xml:space="preserve"> </w:t>
      </w:r>
      <w:r>
        <w:rPr>
          <w:spacing w:val="-6"/>
        </w:rPr>
        <w:t>影响；</w:t>
      </w:r>
    </w:p>
    <w:p w14:paraId="5D614606">
      <w:pPr>
        <w:pStyle w:val="2"/>
        <w:spacing w:before="64" w:line="212" w:lineRule="auto"/>
        <w:ind w:left="550"/>
        <w:rPr>
          <w:sz w:val="24"/>
          <w:szCs w:val="24"/>
        </w:rPr>
      </w:pPr>
      <w:r>
        <w:rPr>
          <w:rFonts w:ascii="Times New Roman" w:hAnsi="Times New Roman" w:eastAsia="Times New Roman" w:cs="Times New Roman"/>
          <w:spacing w:val="24"/>
          <w:sz w:val="24"/>
          <w:szCs w:val="24"/>
        </w:rPr>
        <w:t xml:space="preserve">e)  </w:t>
      </w:r>
      <w:r>
        <w:rPr>
          <w:spacing w:val="24"/>
          <w:sz w:val="24"/>
          <w:szCs w:val="24"/>
        </w:rPr>
        <w:t>研究频谱利用问题。</w:t>
      </w:r>
    </w:p>
    <w:p w14:paraId="1C844170">
      <w:pPr>
        <w:spacing w:before="145" w:line="221" w:lineRule="auto"/>
        <w:rPr>
          <w:rFonts w:ascii="黑体" w:hAnsi="黑体" w:eastAsia="黑体" w:cs="黑体"/>
          <w:sz w:val="25"/>
          <w:szCs w:val="25"/>
        </w:rPr>
      </w:pPr>
      <w:r>
        <w:rPr>
          <w:rFonts w:ascii="黑体" w:hAnsi="黑体" w:eastAsia="黑体" w:cs="黑体"/>
          <w:spacing w:val="10"/>
          <w:sz w:val="25"/>
          <w:szCs w:val="25"/>
        </w:rPr>
        <w:t>6.2</w:t>
      </w:r>
      <w:r>
        <w:rPr>
          <w:rFonts w:ascii="黑体" w:hAnsi="黑体" w:eastAsia="黑体" w:cs="黑体"/>
          <w:spacing w:val="40"/>
          <w:sz w:val="25"/>
          <w:szCs w:val="25"/>
        </w:rPr>
        <w:t xml:space="preserve">  </w:t>
      </w:r>
      <w:r>
        <w:rPr>
          <w:rFonts w:ascii="黑体" w:hAnsi="黑体" w:eastAsia="黑体" w:cs="黑体"/>
          <w:b/>
          <w:bCs/>
          <w:spacing w:val="10"/>
          <w:sz w:val="25"/>
          <w:szCs w:val="25"/>
        </w:rPr>
        <w:t>方案阶段</w:t>
      </w:r>
    </w:p>
    <w:p w14:paraId="2CAE2CEF">
      <w:pPr>
        <w:pStyle w:val="2"/>
        <w:spacing w:before="99" w:line="220" w:lineRule="auto"/>
        <w:ind w:left="550"/>
      </w:pPr>
      <w:r>
        <w:rPr>
          <w:spacing w:val="-6"/>
        </w:rPr>
        <w:t>规定方案阶段应达到的工作目标，要求和进度，以及评审时间。</w:t>
      </w:r>
    </w:p>
    <w:p w14:paraId="3A2B46FE">
      <w:pPr>
        <w:pStyle w:val="2"/>
        <w:spacing w:before="87" w:line="219" w:lineRule="auto"/>
        <w:ind w:left="550"/>
      </w:pPr>
      <w:r>
        <w:rPr>
          <w:spacing w:val="3"/>
        </w:rPr>
        <w:t>方案阶段电磁兼容性工作一般应包括：</w:t>
      </w:r>
    </w:p>
    <w:p w14:paraId="60C73DA3">
      <w:pPr>
        <w:pStyle w:val="2"/>
        <w:spacing w:before="59" w:line="212" w:lineRule="auto"/>
        <w:ind w:left="550"/>
      </w:pPr>
      <w:r>
        <w:rPr>
          <w:rFonts w:ascii="Times New Roman" w:hAnsi="Times New Roman" w:eastAsia="Times New Roman" w:cs="Times New Roman"/>
          <w:spacing w:val="3"/>
        </w:rPr>
        <w:t>a)</w:t>
      </w:r>
      <w:r>
        <w:rPr>
          <w:rFonts w:ascii="Times New Roman" w:hAnsi="Times New Roman" w:eastAsia="Times New Roman" w:cs="Times New Roman"/>
          <w:spacing w:val="67"/>
          <w:w w:val="101"/>
        </w:rPr>
        <w:t xml:space="preserve"> </w:t>
      </w:r>
      <w:r>
        <w:rPr>
          <w:spacing w:val="3"/>
        </w:rPr>
        <w:t>成立电磁兼容性技术组；</w:t>
      </w:r>
    </w:p>
    <w:p w14:paraId="6AC77D82">
      <w:pPr>
        <w:pStyle w:val="2"/>
        <w:spacing w:before="122" w:line="212" w:lineRule="auto"/>
        <w:ind w:left="550"/>
        <w:rPr>
          <w:sz w:val="24"/>
          <w:szCs w:val="24"/>
        </w:rPr>
      </w:pPr>
      <w:r>
        <w:rPr>
          <w:rFonts w:ascii="Times New Roman" w:hAnsi="Times New Roman" w:eastAsia="Times New Roman" w:cs="Times New Roman"/>
          <w:spacing w:val="25"/>
          <w:sz w:val="24"/>
          <w:szCs w:val="24"/>
        </w:rPr>
        <w:t>b)</w:t>
      </w:r>
      <w:r>
        <w:rPr>
          <w:rFonts w:ascii="Times New Roman" w:hAnsi="Times New Roman" w:eastAsia="Times New Roman" w:cs="Times New Roman"/>
          <w:spacing w:val="24"/>
          <w:sz w:val="24"/>
          <w:szCs w:val="24"/>
        </w:rPr>
        <w:t xml:space="preserve">  </w:t>
      </w:r>
      <w:r>
        <w:rPr>
          <w:spacing w:val="25"/>
          <w:sz w:val="24"/>
          <w:szCs w:val="24"/>
        </w:rPr>
        <w:t>制定电磁兼容性大纲；</w:t>
      </w:r>
    </w:p>
    <w:p w14:paraId="29CD3CB8">
      <w:pPr>
        <w:pStyle w:val="2"/>
        <w:spacing w:before="145" w:line="212" w:lineRule="auto"/>
        <w:ind w:left="550"/>
        <w:rPr>
          <w:sz w:val="24"/>
          <w:szCs w:val="24"/>
        </w:rPr>
      </w:pPr>
      <w:r>
        <w:rPr>
          <w:rFonts w:ascii="Times New Roman" w:hAnsi="Times New Roman" w:eastAsia="Times New Roman" w:cs="Times New Roman"/>
          <w:spacing w:val="27"/>
          <w:sz w:val="24"/>
          <w:szCs w:val="24"/>
        </w:rPr>
        <w:t>c)</w:t>
      </w:r>
      <w:r>
        <w:rPr>
          <w:rFonts w:ascii="Times New Roman" w:hAnsi="Times New Roman" w:eastAsia="Times New Roman" w:cs="Times New Roman"/>
          <w:spacing w:val="10"/>
          <w:sz w:val="24"/>
          <w:szCs w:val="24"/>
        </w:rPr>
        <w:t xml:space="preserve">  </w:t>
      </w:r>
      <w:r>
        <w:rPr>
          <w:spacing w:val="27"/>
          <w:sz w:val="24"/>
          <w:szCs w:val="24"/>
        </w:rPr>
        <w:t>选用和剪裁适用的标准；</w:t>
      </w:r>
    </w:p>
    <w:p w14:paraId="4E16BC0D">
      <w:pPr>
        <w:pStyle w:val="2"/>
        <w:spacing w:before="103" w:line="212" w:lineRule="auto"/>
        <w:ind w:left="550"/>
        <w:rPr>
          <w:sz w:val="25"/>
          <w:szCs w:val="25"/>
        </w:rPr>
      </w:pPr>
      <w:r>
        <w:rPr>
          <w:rFonts w:ascii="Times New Roman" w:hAnsi="Times New Roman" w:eastAsia="Times New Roman" w:cs="Times New Roman"/>
          <w:spacing w:val="15"/>
          <w:sz w:val="25"/>
          <w:szCs w:val="25"/>
        </w:rPr>
        <w:t xml:space="preserve">d)  </w:t>
      </w:r>
      <w:r>
        <w:rPr>
          <w:spacing w:val="15"/>
          <w:sz w:val="25"/>
          <w:szCs w:val="25"/>
        </w:rPr>
        <w:t>确定系统、分系统和设备的电磁兼容性要求；</w:t>
      </w:r>
    </w:p>
    <w:p w14:paraId="5B1A22E3">
      <w:pPr>
        <w:pStyle w:val="2"/>
        <w:spacing w:before="102" w:line="212" w:lineRule="auto"/>
        <w:ind w:left="550"/>
      </w:pPr>
      <w:r>
        <w:rPr>
          <w:rFonts w:ascii="Times New Roman" w:hAnsi="Times New Roman" w:eastAsia="Times New Roman" w:cs="Times New Roman"/>
          <w:spacing w:val="-3"/>
        </w:rPr>
        <w:t>e)</w:t>
      </w:r>
      <w:r>
        <w:rPr>
          <w:rFonts w:ascii="Times New Roman" w:hAnsi="Times New Roman" w:eastAsia="Times New Roman" w:cs="Times New Roman"/>
          <w:spacing w:val="75"/>
        </w:rPr>
        <w:t xml:space="preserve"> </w:t>
      </w:r>
      <w:r>
        <w:rPr>
          <w:spacing w:val="-3"/>
        </w:rPr>
        <w:t>拟定各分系统、设备及天线的最佳布置方案；</w:t>
      </w:r>
    </w:p>
    <w:p w14:paraId="254760A5">
      <w:pPr>
        <w:pStyle w:val="2"/>
        <w:spacing w:before="100" w:line="212" w:lineRule="auto"/>
        <w:ind w:left="550"/>
      </w:pPr>
      <w:r>
        <w:rPr>
          <w:rFonts w:ascii="Times New Roman" w:hAnsi="Times New Roman" w:eastAsia="Times New Roman" w:cs="Times New Roman"/>
          <w:spacing w:val="-4"/>
        </w:rPr>
        <w:t xml:space="preserve">f)  </w:t>
      </w:r>
      <w:r>
        <w:rPr>
          <w:spacing w:val="-4"/>
        </w:rPr>
        <w:t>确定频谱要求，提交频率分配申请；</w:t>
      </w:r>
    </w:p>
    <w:p w14:paraId="2496A181">
      <w:pPr>
        <w:pStyle w:val="2"/>
        <w:spacing w:before="119" w:line="212" w:lineRule="auto"/>
        <w:ind w:left="550"/>
      </w:pPr>
      <w:r>
        <w:rPr>
          <w:rFonts w:ascii="Times New Roman" w:hAnsi="Times New Roman" w:eastAsia="Times New Roman" w:cs="Times New Roman"/>
          <w:spacing w:val="9"/>
        </w:rPr>
        <w:t>g</w:t>
      </w:r>
      <w:r>
        <w:rPr>
          <w:spacing w:val="9"/>
        </w:rPr>
        <w:t>)制定电磁兼容性控制计划；</w:t>
      </w:r>
    </w:p>
    <w:p w14:paraId="3AC8153F">
      <w:pPr>
        <w:pStyle w:val="2"/>
        <w:spacing w:before="81" w:line="212" w:lineRule="auto"/>
        <w:ind w:left="550"/>
      </w:pPr>
      <w:r>
        <w:rPr>
          <w:rFonts w:ascii="Times New Roman" w:hAnsi="Times New Roman" w:eastAsia="Times New Roman" w:cs="Times New Roman"/>
          <w:spacing w:val="-4"/>
        </w:rPr>
        <w:t xml:space="preserve">h)  </w:t>
      </w:r>
      <w:r>
        <w:rPr>
          <w:spacing w:val="-4"/>
        </w:rPr>
        <w:t>确定验证要求，制定试验计划；</w:t>
      </w:r>
    </w:p>
    <w:p w14:paraId="4199E510">
      <w:pPr>
        <w:pStyle w:val="2"/>
        <w:spacing w:before="132" w:line="212" w:lineRule="auto"/>
        <w:ind w:left="550"/>
        <w:rPr>
          <w:sz w:val="24"/>
          <w:szCs w:val="24"/>
        </w:rPr>
      </w:pPr>
      <w:r>
        <w:rPr>
          <w:rFonts w:ascii="Times New Roman" w:hAnsi="Times New Roman" w:eastAsia="Times New Roman" w:cs="Times New Roman"/>
          <w:spacing w:val="26"/>
          <w:sz w:val="24"/>
          <w:szCs w:val="24"/>
        </w:rPr>
        <w:t xml:space="preserve">i)  </w:t>
      </w:r>
      <w:r>
        <w:rPr>
          <w:spacing w:val="26"/>
          <w:sz w:val="24"/>
          <w:szCs w:val="24"/>
        </w:rPr>
        <w:t>调整计划进度和经费预算；</w:t>
      </w:r>
    </w:p>
    <w:p w14:paraId="70A4E69F">
      <w:pPr>
        <w:pStyle w:val="2"/>
        <w:spacing w:before="101" w:line="212" w:lineRule="auto"/>
        <w:ind w:left="550"/>
      </w:pPr>
      <w:r>
        <w:rPr>
          <w:rFonts w:ascii="Times New Roman" w:hAnsi="Times New Roman" w:eastAsia="Times New Roman" w:cs="Times New Roman"/>
          <w:spacing w:val="5"/>
        </w:rPr>
        <w:t>j)</w:t>
      </w:r>
      <w:r>
        <w:rPr>
          <w:rFonts w:ascii="Times New Roman" w:hAnsi="Times New Roman" w:eastAsia="Times New Roman" w:cs="Times New Roman"/>
          <w:spacing w:val="61"/>
        </w:rPr>
        <w:t xml:space="preserve"> </w:t>
      </w:r>
      <w:r>
        <w:rPr>
          <w:spacing w:val="5"/>
        </w:rPr>
        <w:t>进行电磁兼容性工作评审。</w:t>
      </w:r>
    </w:p>
    <w:p w14:paraId="24D7A371">
      <w:pPr>
        <w:spacing w:before="106" w:line="222" w:lineRule="auto"/>
        <w:rPr>
          <w:rFonts w:ascii="黑体" w:hAnsi="黑体" w:eastAsia="黑体" w:cs="黑体"/>
          <w:sz w:val="27"/>
          <w:szCs w:val="27"/>
        </w:rPr>
      </w:pPr>
      <w:r>
        <w:rPr>
          <w:rFonts w:ascii="黑体" w:hAnsi="黑体" w:eastAsia="黑体" w:cs="黑体"/>
          <w:spacing w:val="-2"/>
          <w:sz w:val="27"/>
          <w:szCs w:val="27"/>
        </w:rPr>
        <w:t>6.3</w:t>
      </w:r>
      <w:r>
        <w:rPr>
          <w:rFonts w:ascii="黑体" w:hAnsi="黑体" w:eastAsia="黑体" w:cs="黑体"/>
          <w:spacing w:val="16"/>
          <w:sz w:val="27"/>
          <w:szCs w:val="27"/>
        </w:rPr>
        <w:t xml:space="preserve">  </w:t>
      </w:r>
      <w:r>
        <w:rPr>
          <w:rFonts w:ascii="黑体" w:hAnsi="黑体" w:eastAsia="黑体" w:cs="黑体"/>
          <w:b/>
          <w:bCs/>
          <w:spacing w:val="-2"/>
          <w:sz w:val="27"/>
          <w:szCs w:val="27"/>
        </w:rPr>
        <w:t>工程研制阶段</w:t>
      </w:r>
    </w:p>
    <w:p w14:paraId="0F079F4C">
      <w:pPr>
        <w:pStyle w:val="2"/>
        <w:spacing w:before="102" w:line="220" w:lineRule="auto"/>
        <w:ind w:left="550"/>
      </w:pPr>
      <w:r>
        <w:rPr>
          <w:spacing w:val="-5"/>
        </w:rPr>
        <w:t>规定工程研制阶段应达到的工作目标，要求和进度，以及评审时间。</w:t>
      </w:r>
    </w:p>
    <w:p w14:paraId="1E10EE2A">
      <w:pPr>
        <w:pStyle w:val="2"/>
        <w:spacing w:before="87" w:line="219" w:lineRule="auto"/>
        <w:ind w:left="550"/>
      </w:pPr>
      <w:r>
        <w:rPr>
          <w:spacing w:val="4"/>
        </w:rPr>
        <w:t>工程研制阶段电磁兼容性工作一般应包括：</w:t>
      </w:r>
    </w:p>
    <w:p w14:paraId="0B552F2B">
      <w:pPr>
        <w:pStyle w:val="2"/>
        <w:spacing w:before="59" w:line="212" w:lineRule="auto"/>
        <w:ind w:left="550"/>
      </w:pPr>
      <w:r>
        <w:rPr>
          <w:rFonts w:ascii="Times New Roman" w:hAnsi="Times New Roman" w:eastAsia="Times New Roman" w:cs="Times New Roman"/>
        </w:rPr>
        <w:t>a)</w:t>
      </w:r>
      <w:r>
        <w:rPr>
          <w:rFonts w:ascii="Times New Roman" w:hAnsi="Times New Roman" w:eastAsia="Times New Roman" w:cs="Times New Roman"/>
          <w:spacing w:val="76"/>
        </w:rPr>
        <w:t xml:space="preserve"> </w:t>
      </w:r>
      <w:r>
        <w:t>实施电磁兼容性控制计划，在功能设计的同时进行电磁兼容性设计；</w:t>
      </w:r>
    </w:p>
    <w:p w14:paraId="3834E027">
      <w:pPr>
        <w:pStyle w:val="2"/>
        <w:spacing w:before="90" w:line="212" w:lineRule="auto"/>
        <w:ind w:left="550"/>
      </w:pPr>
      <w:r>
        <w:rPr>
          <w:rFonts w:ascii="Times New Roman" w:hAnsi="Times New Roman" w:eastAsia="Times New Roman" w:cs="Times New Roman"/>
          <w:spacing w:val="-12"/>
        </w:rPr>
        <w:t>b)</w:t>
      </w:r>
      <w:r>
        <w:rPr>
          <w:rFonts w:ascii="Times New Roman" w:hAnsi="Times New Roman" w:eastAsia="Times New Roman" w:cs="Times New Roman"/>
          <w:spacing w:val="71"/>
        </w:rPr>
        <w:t xml:space="preserve"> </w:t>
      </w:r>
      <w:r>
        <w:rPr>
          <w:spacing w:val="-12"/>
        </w:rPr>
        <w:t>进行模拟、试验，改进和完善设计；</w:t>
      </w:r>
    </w:p>
    <w:p w14:paraId="19379806">
      <w:pPr>
        <w:pStyle w:val="2"/>
        <w:spacing w:before="91" w:line="262" w:lineRule="auto"/>
        <w:ind w:right="9" w:firstLine="550"/>
      </w:pPr>
      <w:r>
        <w:rPr>
          <w:rFonts w:ascii="Times New Roman" w:hAnsi="Times New Roman" w:eastAsia="Times New Roman" w:cs="Times New Roman"/>
          <w:spacing w:val="3"/>
        </w:rPr>
        <w:t>c)</w:t>
      </w:r>
      <w:r>
        <w:rPr>
          <w:rFonts w:ascii="Times New Roman" w:hAnsi="Times New Roman" w:eastAsia="Times New Roman" w:cs="Times New Roman"/>
          <w:spacing w:val="74"/>
        </w:rPr>
        <w:t xml:space="preserve"> </w:t>
      </w:r>
      <w:r>
        <w:rPr>
          <w:spacing w:val="3"/>
        </w:rPr>
        <w:t>对设备、分系统和分系统间进行电磁兼容性考核试验，验证是否符合合</w:t>
      </w:r>
      <w:r>
        <w:t xml:space="preserve"> </w:t>
      </w:r>
      <w:r>
        <w:rPr>
          <w:spacing w:val="-7"/>
        </w:rPr>
        <w:t>同中的有关要求，提交试验报告；</w:t>
      </w:r>
    </w:p>
    <w:p w14:paraId="1AA8DE36">
      <w:pPr>
        <w:pStyle w:val="2"/>
        <w:spacing w:before="83" w:line="212" w:lineRule="auto"/>
        <w:ind w:left="550"/>
      </w:pPr>
      <w:r>
        <w:rPr>
          <w:rFonts w:ascii="Times New Roman" w:hAnsi="Times New Roman" w:eastAsia="Times New Roman" w:cs="Times New Roman"/>
        </w:rPr>
        <w:t>d)</w:t>
      </w:r>
      <w:r>
        <w:rPr>
          <w:rFonts w:ascii="Times New Roman" w:hAnsi="Times New Roman" w:eastAsia="Times New Roman" w:cs="Times New Roman"/>
          <w:spacing w:val="71"/>
        </w:rPr>
        <w:t xml:space="preserve"> </w:t>
      </w:r>
      <w:r>
        <w:t>评审电磁兼容性超差申请，分析工程更改对电磁兼容性能的影响；</w:t>
      </w:r>
    </w:p>
    <w:p w14:paraId="01F82F72">
      <w:pPr>
        <w:pStyle w:val="2"/>
        <w:spacing w:before="70" w:line="212" w:lineRule="auto"/>
        <w:ind w:left="550"/>
      </w:pPr>
      <w:r>
        <w:rPr>
          <w:rFonts w:ascii="Times New Roman" w:hAnsi="Times New Roman" w:eastAsia="Times New Roman" w:cs="Times New Roman"/>
          <w:spacing w:val="3"/>
        </w:rPr>
        <w:t>e)</w:t>
      </w:r>
      <w:r>
        <w:rPr>
          <w:rFonts w:ascii="Times New Roman" w:hAnsi="Times New Roman" w:eastAsia="Times New Roman" w:cs="Times New Roman"/>
          <w:spacing w:val="75"/>
          <w:w w:val="101"/>
        </w:rPr>
        <w:t xml:space="preserve"> </w:t>
      </w:r>
      <w:r>
        <w:rPr>
          <w:spacing w:val="3"/>
        </w:rPr>
        <w:t>综合分析装备整体电磁兼容性能；</w:t>
      </w:r>
    </w:p>
    <w:p w14:paraId="39B1121F">
      <w:pPr>
        <w:pStyle w:val="2"/>
        <w:spacing w:before="120" w:line="212" w:lineRule="auto"/>
        <w:ind w:left="550"/>
      </w:pPr>
      <w:r>
        <w:rPr>
          <w:rFonts w:ascii="Times New Roman" w:hAnsi="Times New Roman" w:eastAsia="Times New Roman" w:cs="Times New Roman"/>
          <w:spacing w:val="4"/>
        </w:rPr>
        <w:t xml:space="preserve">f)  </w:t>
      </w:r>
      <w:r>
        <w:rPr>
          <w:spacing w:val="4"/>
        </w:rPr>
        <w:t>确定生产工艺和安装要求时考虑电磁兼容性；</w:t>
      </w:r>
    </w:p>
    <w:p w14:paraId="50BFA33B">
      <w:pPr>
        <w:pStyle w:val="2"/>
        <w:spacing w:before="121" w:line="212" w:lineRule="auto"/>
        <w:ind w:left="550"/>
        <w:rPr>
          <w:sz w:val="24"/>
          <w:szCs w:val="24"/>
        </w:rPr>
      </w:pPr>
      <w:r>
        <w:rPr>
          <w:rFonts w:ascii="Times New Roman" w:hAnsi="Times New Roman" w:eastAsia="Times New Roman" w:cs="Times New Roman"/>
          <w:spacing w:val="28"/>
          <w:sz w:val="24"/>
          <w:szCs w:val="24"/>
        </w:rPr>
        <w:t>g</w:t>
      </w:r>
      <w:r>
        <w:rPr>
          <w:rFonts w:ascii="Times New Roman" w:hAnsi="Times New Roman" w:eastAsia="Times New Roman" w:cs="Times New Roman"/>
          <w:spacing w:val="-12"/>
          <w:sz w:val="24"/>
          <w:szCs w:val="24"/>
        </w:rPr>
        <w:t xml:space="preserve"> </w:t>
      </w:r>
      <w:r>
        <w:rPr>
          <w:spacing w:val="28"/>
          <w:sz w:val="24"/>
          <w:szCs w:val="24"/>
        </w:rPr>
        <w:t>)</w:t>
      </w:r>
      <w:r>
        <w:rPr>
          <w:spacing w:val="-30"/>
          <w:sz w:val="24"/>
          <w:szCs w:val="24"/>
        </w:rPr>
        <w:t xml:space="preserve"> </w:t>
      </w:r>
      <w:r>
        <w:rPr>
          <w:spacing w:val="28"/>
          <w:sz w:val="24"/>
          <w:szCs w:val="24"/>
        </w:rPr>
        <w:t>编制装备频率使用管理文件；</w:t>
      </w:r>
    </w:p>
    <w:p w14:paraId="2A87B5B8">
      <w:pPr>
        <w:pStyle w:val="2"/>
        <w:spacing w:before="103" w:line="212" w:lineRule="auto"/>
        <w:ind w:left="550"/>
      </w:pPr>
      <w:r>
        <w:rPr>
          <w:rFonts w:ascii="Times New Roman" w:hAnsi="Times New Roman" w:eastAsia="Times New Roman" w:cs="Times New Roman"/>
          <w:spacing w:val="-2"/>
        </w:rPr>
        <w:t xml:space="preserve">h)  </w:t>
      </w:r>
      <w:r>
        <w:rPr>
          <w:spacing w:val="-2"/>
        </w:rPr>
        <w:t>使用、维修文件中应有电磁兼容性方面的内容；</w:t>
      </w:r>
    </w:p>
    <w:p w14:paraId="24A92B68">
      <w:pPr>
        <w:pStyle w:val="2"/>
        <w:spacing w:before="100" w:line="212" w:lineRule="auto"/>
        <w:ind w:left="550"/>
      </w:pPr>
      <w:r>
        <w:rPr>
          <w:rFonts w:ascii="Times New Roman" w:hAnsi="Times New Roman" w:eastAsia="Times New Roman" w:cs="Times New Roman"/>
          <w:spacing w:val="4"/>
        </w:rPr>
        <w:t>i)</w:t>
      </w:r>
      <w:r>
        <w:rPr>
          <w:rFonts w:ascii="Times New Roman" w:hAnsi="Times New Roman" w:eastAsia="Times New Roman" w:cs="Times New Roman"/>
          <w:spacing w:val="55"/>
        </w:rPr>
        <w:t xml:space="preserve"> </w:t>
      </w:r>
      <w:r>
        <w:rPr>
          <w:spacing w:val="4"/>
        </w:rPr>
        <w:t>进行电磁兼容性工作评审。</w:t>
      </w:r>
    </w:p>
    <w:p w14:paraId="65F5D0D9">
      <w:pPr>
        <w:spacing w:before="136" w:line="222" w:lineRule="auto"/>
        <w:rPr>
          <w:rFonts w:ascii="黑体" w:hAnsi="黑体" w:eastAsia="黑体" w:cs="黑体"/>
          <w:sz w:val="25"/>
          <w:szCs w:val="25"/>
        </w:rPr>
      </w:pPr>
      <w:r>
        <w:rPr>
          <w:rFonts w:ascii="黑体" w:hAnsi="黑体" w:eastAsia="黑体" w:cs="黑体"/>
          <w:spacing w:val="13"/>
          <w:sz w:val="25"/>
          <w:szCs w:val="25"/>
        </w:rPr>
        <w:t>6.4</w:t>
      </w:r>
      <w:r>
        <w:rPr>
          <w:rFonts w:ascii="黑体" w:hAnsi="黑体" w:eastAsia="黑体" w:cs="黑体"/>
          <w:spacing w:val="39"/>
          <w:sz w:val="25"/>
          <w:szCs w:val="25"/>
        </w:rPr>
        <w:t xml:space="preserve">  </w:t>
      </w:r>
      <w:r>
        <w:rPr>
          <w:rFonts w:ascii="黑体" w:hAnsi="黑体" w:eastAsia="黑体" w:cs="黑体"/>
          <w:b/>
          <w:bCs/>
          <w:spacing w:val="13"/>
          <w:sz w:val="25"/>
          <w:szCs w:val="25"/>
        </w:rPr>
        <w:t>定型阶段</w:t>
      </w:r>
    </w:p>
    <w:p w14:paraId="3629C452">
      <w:pPr>
        <w:pStyle w:val="2"/>
        <w:spacing w:before="105" w:line="220" w:lineRule="auto"/>
        <w:ind w:left="550"/>
      </w:pPr>
      <w:r>
        <w:rPr>
          <w:spacing w:val="-6"/>
        </w:rPr>
        <w:t>规定定型阶段应达到的工作目标，要求和进度，以及评审时间。</w:t>
      </w:r>
    </w:p>
    <w:p w14:paraId="7460E131">
      <w:pPr>
        <w:pStyle w:val="2"/>
        <w:spacing w:before="67" w:line="219" w:lineRule="auto"/>
        <w:ind w:left="550"/>
      </w:pPr>
      <w:r>
        <w:rPr>
          <w:spacing w:val="3"/>
        </w:rPr>
        <w:t>定型阶段电磁兼容性工作一般应包括：</w:t>
      </w:r>
    </w:p>
    <w:p w14:paraId="60DFE74B">
      <w:pPr>
        <w:pStyle w:val="2"/>
        <w:spacing w:before="120" w:line="219" w:lineRule="auto"/>
        <w:ind w:right="8"/>
        <w:jc w:val="right"/>
      </w:pPr>
      <w:r>
        <w:rPr>
          <w:rFonts w:ascii="Times New Roman" w:hAnsi="Times New Roman" w:eastAsia="Times New Roman" w:cs="Times New Roman"/>
          <w:spacing w:val="6"/>
        </w:rPr>
        <w:t>a</w:t>
      </w:r>
      <w:r>
        <w:rPr>
          <w:spacing w:val="6"/>
        </w:rPr>
        <w:t>)按照批准的定型试验计划，进行电磁兼容性定型鉴定试验，确认是</w:t>
      </w:r>
      <w:r>
        <w:rPr>
          <w:spacing w:val="5"/>
        </w:rPr>
        <w:t>否满</w:t>
      </w:r>
    </w:p>
    <w:p w14:paraId="5CD3B8AC">
      <w:pPr>
        <w:spacing w:line="219" w:lineRule="auto"/>
        <w:sectPr>
          <w:footerReference r:id="rId607" w:type="default"/>
          <w:pgSz w:w="11910" w:h="17130"/>
          <w:pgMar w:top="1392" w:right="918" w:bottom="1693" w:left="1609" w:header="0" w:footer="1495" w:gutter="0"/>
          <w:cols w:space="720" w:num="1"/>
        </w:sectPr>
      </w:pPr>
    </w:p>
    <w:p w14:paraId="4021A4B2">
      <w:pPr>
        <w:pStyle w:val="2"/>
        <w:spacing w:before="53" w:line="219" w:lineRule="auto"/>
      </w:pPr>
      <w:r>
        <w:rPr>
          <w:spacing w:val="-8"/>
        </w:rPr>
        <w:t>足《研制任务书》和合同中有关电磁兼容性方面的要求；</w:t>
      </w:r>
    </w:p>
    <w:p w14:paraId="3F281814">
      <w:pPr>
        <w:pStyle w:val="2"/>
        <w:spacing w:before="61" w:line="212" w:lineRule="auto"/>
        <w:ind w:left="550"/>
      </w:pPr>
      <w:r>
        <w:rPr>
          <w:rFonts w:ascii="Times New Roman" w:hAnsi="Times New Roman" w:eastAsia="Times New Roman" w:cs="Times New Roman"/>
          <w:spacing w:val="4"/>
        </w:rPr>
        <w:t>b)</w:t>
      </w:r>
      <w:r>
        <w:rPr>
          <w:rFonts w:ascii="Times New Roman" w:hAnsi="Times New Roman" w:eastAsia="Times New Roman" w:cs="Times New Roman"/>
          <w:spacing w:val="69"/>
        </w:rPr>
        <w:t xml:space="preserve"> </w:t>
      </w:r>
      <w:r>
        <w:rPr>
          <w:spacing w:val="4"/>
        </w:rPr>
        <w:t>审查电磁兼容性有关文件的完备性；</w:t>
      </w:r>
    </w:p>
    <w:p w14:paraId="12119977">
      <w:pPr>
        <w:pStyle w:val="2"/>
        <w:spacing w:before="89" w:line="212" w:lineRule="auto"/>
        <w:ind w:left="550"/>
      </w:pPr>
      <w:r>
        <w:rPr>
          <w:rFonts w:ascii="Times New Roman" w:hAnsi="Times New Roman" w:eastAsia="Times New Roman" w:cs="Times New Roman"/>
          <w:spacing w:val="1"/>
        </w:rPr>
        <w:t>c)</w:t>
      </w:r>
      <w:r>
        <w:rPr>
          <w:rFonts w:ascii="Times New Roman" w:hAnsi="Times New Roman" w:eastAsia="Times New Roman" w:cs="Times New Roman"/>
          <w:spacing w:val="63"/>
          <w:w w:val="101"/>
        </w:rPr>
        <w:t xml:space="preserve"> </w:t>
      </w:r>
      <w:r>
        <w:rPr>
          <w:spacing w:val="1"/>
        </w:rPr>
        <w:t>提交电磁兼容性综合评价报告，作为批准装备定型的依据之一。</w:t>
      </w:r>
    </w:p>
    <w:p w14:paraId="2122D2B1">
      <w:pPr>
        <w:spacing w:before="154" w:line="222" w:lineRule="auto"/>
        <w:rPr>
          <w:rFonts w:ascii="黑体" w:hAnsi="黑体" w:eastAsia="黑体" w:cs="黑体"/>
          <w:sz w:val="24"/>
          <w:szCs w:val="24"/>
        </w:rPr>
      </w:pPr>
      <w:r>
        <w:rPr>
          <w:rFonts w:ascii="黑体" w:hAnsi="黑体" w:eastAsia="黑体" w:cs="黑体"/>
          <w:spacing w:val="21"/>
          <w:sz w:val="24"/>
          <w:szCs w:val="24"/>
        </w:rPr>
        <w:t>6.5</w:t>
      </w:r>
      <w:r>
        <w:rPr>
          <w:rFonts w:ascii="黑体" w:hAnsi="黑体" w:eastAsia="黑体" w:cs="黑体"/>
          <w:spacing w:val="54"/>
          <w:sz w:val="24"/>
          <w:szCs w:val="24"/>
        </w:rPr>
        <w:t xml:space="preserve">  </w:t>
      </w:r>
      <w:r>
        <w:rPr>
          <w:rFonts w:ascii="黑体" w:hAnsi="黑体" w:eastAsia="黑体" w:cs="黑体"/>
          <w:b/>
          <w:bCs/>
          <w:spacing w:val="21"/>
          <w:sz w:val="24"/>
          <w:szCs w:val="24"/>
        </w:rPr>
        <w:t>生产和使用阶段</w:t>
      </w:r>
    </w:p>
    <w:p w14:paraId="5565D6E4">
      <w:pPr>
        <w:pStyle w:val="2"/>
        <w:spacing w:before="77" w:line="219" w:lineRule="auto"/>
        <w:ind w:left="550"/>
      </w:pPr>
      <w:r>
        <w:rPr>
          <w:spacing w:val="-4"/>
        </w:rPr>
        <w:t>规定生产和使用阶段应达到的工作目标，要求和进度</w:t>
      </w:r>
      <w:r>
        <w:rPr>
          <w:spacing w:val="-5"/>
        </w:rPr>
        <w:t>，以及评审时间。</w:t>
      </w:r>
    </w:p>
    <w:p w14:paraId="67B67AF4">
      <w:pPr>
        <w:pStyle w:val="2"/>
        <w:spacing w:before="100" w:line="219" w:lineRule="auto"/>
        <w:ind w:left="550"/>
      </w:pPr>
      <w:r>
        <w:rPr>
          <w:spacing w:val="4"/>
        </w:rPr>
        <w:t>生产和使用阶段的电磁兼容性工作一般应包括：</w:t>
      </w:r>
    </w:p>
    <w:p w14:paraId="2645E6A7">
      <w:pPr>
        <w:pStyle w:val="2"/>
        <w:spacing w:before="28" w:line="267" w:lineRule="auto"/>
        <w:ind w:firstLine="550"/>
      </w:pPr>
      <w:r>
        <w:rPr>
          <w:rFonts w:ascii="Times New Roman" w:hAnsi="Times New Roman" w:eastAsia="Times New Roman" w:cs="Times New Roman"/>
          <w:spacing w:val="4"/>
        </w:rPr>
        <w:t>a)</w:t>
      </w:r>
      <w:r>
        <w:rPr>
          <w:rFonts w:ascii="Times New Roman" w:hAnsi="Times New Roman" w:eastAsia="Times New Roman" w:cs="Times New Roman"/>
          <w:spacing w:val="62"/>
          <w:w w:val="101"/>
        </w:rPr>
        <w:t xml:space="preserve"> </w:t>
      </w:r>
      <w:r>
        <w:rPr>
          <w:spacing w:val="4"/>
        </w:rPr>
        <w:t>严格按照工艺文件和安装要求中保证电磁兼</w:t>
      </w:r>
      <w:r>
        <w:rPr>
          <w:spacing w:val="3"/>
        </w:rPr>
        <w:t>容性的要求进行生产，并加</w:t>
      </w:r>
      <w:r>
        <w:t xml:space="preserve"> </w:t>
      </w:r>
      <w:r>
        <w:rPr>
          <w:spacing w:val="-1"/>
        </w:rPr>
        <w:t>强检验；</w:t>
      </w:r>
    </w:p>
    <w:p w14:paraId="1605FF9B">
      <w:pPr>
        <w:pStyle w:val="2"/>
        <w:spacing w:before="60" w:line="212" w:lineRule="auto"/>
        <w:ind w:left="550"/>
      </w:pPr>
      <w:r>
        <w:rPr>
          <w:rFonts w:ascii="Times New Roman" w:hAnsi="Times New Roman" w:eastAsia="Times New Roman" w:cs="Times New Roman"/>
          <w:spacing w:val="3"/>
        </w:rPr>
        <w:t>b)</w:t>
      </w:r>
      <w:r>
        <w:rPr>
          <w:rFonts w:ascii="Times New Roman" w:hAnsi="Times New Roman" w:eastAsia="Times New Roman" w:cs="Times New Roman"/>
          <w:spacing w:val="74"/>
        </w:rPr>
        <w:t xml:space="preserve"> </w:t>
      </w:r>
      <w:r>
        <w:rPr>
          <w:spacing w:val="3"/>
        </w:rPr>
        <w:t>制定与实施使用和维修人员培训计划；</w:t>
      </w:r>
    </w:p>
    <w:p w14:paraId="5BB7328D">
      <w:pPr>
        <w:pStyle w:val="2"/>
        <w:spacing w:before="130" w:line="219" w:lineRule="auto"/>
        <w:ind w:left="550"/>
      </w:pPr>
      <w:r>
        <w:rPr>
          <w:rFonts w:ascii="Times New Roman" w:hAnsi="Times New Roman" w:eastAsia="Times New Roman" w:cs="Times New Roman"/>
          <w:spacing w:val="8"/>
        </w:rPr>
        <w:t>c</w:t>
      </w:r>
      <w:r>
        <w:rPr>
          <w:spacing w:val="8"/>
        </w:rPr>
        <w:t>)实施频率管理和使用计划；</w:t>
      </w:r>
    </w:p>
    <w:p w14:paraId="513D580E">
      <w:pPr>
        <w:pStyle w:val="2"/>
        <w:spacing w:before="59" w:line="212" w:lineRule="auto"/>
        <w:ind w:left="550"/>
      </w:pPr>
      <w:r>
        <w:rPr>
          <w:rFonts w:ascii="Times New Roman" w:hAnsi="Times New Roman" w:eastAsia="Times New Roman" w:cs="Times New Roman"/>
          <w:spacing w:val="3"/>
        </w:rPr>
        <w:t xml:space="preserve">d)  </w:t>
      </w:r>
      <w:r>
        <w:rPr>
          <w:spacing w:val="3"/>
        </w:rPr>
        <w:t>维修中保持装备的电磁兼容性能；</w:t>
      </w:r>
    </w:p>
    <w:p w14:paraId="5A0FCC62">
      <w:pPr>
        <w:pStyle w:val="2"/>
        <w:spacing w:before="101" w:line="260" w:lineRule="auto"/>
        <w:ind w:right="10" w:firstLine="550"/>
      </w:pPr>
      <w:r>
        <w:rPr>
          <w:rFonts w:ascii="Times New Roman" w:hAnsi="Times New Roman" w:eastAsia="Times New Roman" w:cs="Times New Roman"/>
          <w:spacing w:val="3"/>
        </w:rPr>
        <w:t>e)</w:t>
      </w:r>
      <w:r>
        <w:rPr>
          <w:rFonts w:ascii="Times New Roman" w:hAnsi="Times New Roman" w:eastAsia="Times New Roman" w:cs="Times New Roman"/>
          <w:spacing w:val="73"/>
        </w:rPr>
        <w:t xml:space="preserve"> </w:t>
      </w:r>
      <w:r>
        <w:rPr>
          <w:spacing w:val="3"/>
        </w:rPr>
        <w:t>建立装备电磁兼容性的检测、使用及维修的信息反馈系统，报告和解决</w:t>
      </w:r>
      <w:r>
        <w:t xml:space="preserve"> </w:t>
      </w:r>
      <w:r>
        <w:rPr>
          <w:spacing w:val="2"/>
        </w:rPr>
        <w:t>使用和维修中的电磁兼容性问题；</w:t>
      </w:r>
    </w:p>
    <w:p w14:paraId="7E4D894D">
      <w:pPr>
        <w:pStyle w:val="2"/>
        <w:spacing w:before="39" w:line="212" w:lineRule="auto"/>
        <w:ind w:left="550"/>
      </w:pPr>
      <w:r>
        <w:rPr>
          <w:rFonts w:ascii="Times New Roman" w:hAnsi="Times New Roman" w:eastAsia="Times New Roman" w:cs="Times New Roman"/>
          <w:spacing w:val="-2"/>
        </w:rPr>
        <w:t xml:space="preserve">f)  </w:t>
      </w:r>
      <w:r>
        <w:rPr>
          <w:spacing w:val="-2"/>
        </w:rPr>
        <w:t>装备加改装时，应分析对电磁兼容性的影响；</w:t>
      </w:r>
    </w:p>
    <w:p w14:paraId="2D59DF71">
      <w:pPr>
        <w:pStyle w:val="2"/>
        <w:spacing w:before="109" w:line="257" w:lineRule="auto"/>
        <w:ind w:firstLine="550"/>
      </w:pPr>
      <w:r>
        <w:rPr>
          <w:rFonts w:ascii="Times New Roman" w:hAnsi="Times New Roman" w:eastAsia="Times New Roman" w:cs="Times New Roman"/>
          <w:spacing w:val="3"/>
        </w:rPr>
        <w:t>g)</w:t>
      </w:r>
      <w:r>
        <w:rPr>
          <w:rFonts w:ascii="Times New Roman" w:hAnsi="Times New Roman" w:eastAsia="Times New Roman" w:cs="Times New Roman"/>
          <w:spacing w:val="68"/>
          <w:w w:val="101"/>
        </w:rPr>
        <w:t xml:space="preserve"> </w:t>
      </w:r>
      <w:r>
        <w:rPr>
          <w:spacing w:val="3"/>
        </w:rPr>
        <w:t>装备退役前，由使用部门全面总结使用、维修中有关电磁兼容性方面的</w:t>
      </w:r>
      <w:r>
        <w:t xml:space="preserve"> </w:t>
      </w:r>
      <w:r>
        <w:rPr>
          <w:spacing w:val="-21"/>
        </w:rPr>
        <w:t>资料、数据、经验、费用等，存档或存入数据库。</w:t>
      </w:r>
    </w:p>
    <w:p w14:paraId="0D2DDFB3">
      <w:pPr>
        <w:spacing w:before="74" w:line="222" w:lineRule="auto"/>
        <w:outlineLvl w:val="3"/>
        <w:rPr>
          <w:rFonts w:ascii="黑体" w:hAnsi="黑体" w:eastAsia="黑体" w:cs="黑体"/>
          <w:sz w:val="27"/>
          <w:szCs w:val="27"/>
        </w:rPr>
      </w:pPr>
      <w:r>
        <w:rPr>
          <w:rFonts w:ascii="Arial" w:hAnsi="Arial" w:eastAsia="Arial" w:cs="Arial"/>
          <w:b/>
          <w:bCs/>
          <w:spacing w:val="1"/>
          <w:sz w:val="27"/>
          <w:szCs w:val="27"/>
        </w:rPr>
        <w:t xml:space="preserve">7    </w:t>
      </w:r>
      <w:r>
        <w:rPr>
          <w:rFonts w:ascii="黑体" w:hAnsi="黑体" w:eastAsia="黑体" w:cs="黑体"/>
          <w:b/>
          <w:bCs/>
          <w:spacing w:val="1"/>
          <w:sz w:val="27"/>
          <w:szCs w:val="27"/>
        </w:rPr>
        <w:t>电磁兼容性大纲的修改要求和措施</w:t>
      </w:r>
    </w:p>
    <w:p w14:paraId="392DBB01">
      <w:pPr>
        <w:pStyle w:val="2"/>
        <w:spacing w:before="91" w:line="219" w:lineRule="auto"/>
        <w:ind w:left="550"/>
      </w:pPr>
      <w:r>
        <w:t>规定电磁兼容性大纲的修改要求和措施，说明具体</w:t>
      </w:r>
      <w:r>
        <w:rPr>
          <w:spacing w:val="-1"/>
        </w:rPr>
        <w:t>程序和方法。</w:t>
      </w:r>
    </w:p>
    <w:p w14:paraId="5F8DB7B7">
      <w:pPr>
        <w:spacing w:line="329" w:lineRule="auto"/>
        <w:rPr>
          <w:rFonts w:ascii="Arial"/>
          <w:sz w:val="21"/>
        </w:rPr>
      </w:pPr>
    </w:p>
    <w:p w14:paraId="3192CBFF">
      <w:pPr>
        <w:pStyle w:val="2"/>
        <w:spacing w:before="117" w:line="219" w:lineRule="auto"/>
        <w:ind w:left="2710"/>
        <w:outlineLvl w:val="1"/>
        <w:rPr>
          <w:sz w:val="36"/>
          <w:szCs w:val="36"/>
        </w:rPr>
      </w:pPr>
      <w:r>
        <w:rPr>
          <w:rFonts w:ascii="Times New Roman" w:hAnsi="Times New Roman" w:eastAsia="Times New Roman" w:cs="Times New Roman"/>
          <w:b/>
          <w:bCs/>
          <w:spacing w:val="-2"/>
          <w:sz w:val="36"/>
          <w:szCs w:val="36"/>
        </w:rPr>
        <w:t>13.4</w:t>
      </w:r>
      <w:r>
        <w:rPr>
          <w:rFonts w:ascii="Times New Roman" w:hAnsi="Times New Roman" w:eastAsia="Times New Roman" w:cs="Times New Roman"/>
          <w:b/>
          <w:bCs/>
          <w:spacing w:val="10"/>
          <w:sz w:val="36"/>
          <w:szCs w:val="36"/>
        </w:rPr>
        <w:t xml:space="preserve">     </w:t>
      </w:r>
      <w:r>
        <w:rPr>
          <w:b/>
          <w:bCs/>
          <w:spacing w:val="-2"/>
          <w:sz w:val="36"/>
          <w:szCs w:val="36"/>
        </w:rPr>
        <w:t>电磁兼容性技术组</w:t>
      </w:r>
    </w:p>
    <w:p w14:paraId="274745CC">
      <w:pPr>
        <w:spacing w:line="334" w:lineRule="auto"/>
        <w:rPr>
          <w:rFonts w:ascii="Arial"/>
          <w:sz w:val="21"/>
        </w:rPr>
      </w:pPr>
    </w:p>
    <w:p w14:paraId="5B26A23E">
      <w:pPr>
        <w:pStyle w:val="2"/>
        <w:spacing w:before="92" w:line="223" w:lineRule="auto"/>
        <w:ind w:left="55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GJB/Z</w:t>
      </w:r>
      <w:r>
        <w:rPr>
          <w:rFonts w:ascii="Times New Roman" w:hAnsi="Times New Roman" w:eastAsia="Times New Roman" w:cs="Times New Roman"/>
          <w:spacing w:val="42"/>
          <w:sz w:val="28"/>
          <w:szCs w:val="28"/>
        </w:rPr>
        <w:t xml:space="preserve"> </w:t>
      </w:r>
      <w:r>
        <w:rPr>
          <w:rFonts w:ascii="Times New Roman" w:hAnsi="Times New Roman" w:eastAsia="Times New Roman" w:cs="Times New Roman"/>
          <w:spacing w:val="-9"/>
          <w:sz w:val="28"/>
          <w:szCs w:val="28"/>
        </w:rPr>
        <w:t>17—1991</w:t>
      </w:r>
      <w:r>
        <w:rPr>
          <w:spacing w:val="-9"/>
          <w:sz w:val="28"/>
          <w:szCs w:val="28"/>
        </w:rPr>
        <w:t>《</w:t>
      </w:r>
      <w:r>
        <w:rPr>
          <w:rFonts w:ascii="楷体" w:hAnsi="楷体" w:eastAsia="楷体" w:cs="楷体"/>
          <w:spacing w:val="-9"/>
          <w:sz w:val="28"/>
          <w:szCs w:val="28"/>
        </w:rPr>
        <w:t>军用装备电磁兼容性管理指南》编写。</w:t>
      </w:r>
    </w:p>
    <w:p w14:paraId="0BB4F0A8">
      <w:pPr>
        <w:spacing w:before="5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32"/>
          <w:sz w:val="27"/>
          <w:szCs w:val="27"/>
        </w:rPr>
        <w:t xml:space="preserve">  </w:t>
      </w:r>
      <w:r>
        <w:rPr>
          <w:rFonts w:ascii="黑体" w:hAnsi="黑体" w:eastAsia="黑体" w:cs="黑体"/>
          <w:b/>
          <w:bCs/>
          <w:spacing w:val="-8"/>
          <w:sz w:val="27"/>
          <w:szCs w:val="27"/>
        </w:rPr>
        <w:t>范围</w:t>
      </w:r>
    </w:p>
    <w:p w14:paraId="0E38A9E6">
      <w:pPr>
        <w:spacing w:before="8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62BA7859">
      <w:pPr>
        <w:spacing w:before="86"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30"/>
          <w:sz w:val="27"/>
          <w:szCs w:val="27"/>
        </w:rPr>
        <w:t xml:space="preserve">  </w:t>
      </w:r>
      <w:r>
        <w:rPr>
          <w:rFonts w:ascii="黑体" w:hAnsi="黑体" w:eastAsia="黑体" w:cs="黑体"/>
          <w:b/>
          <w:bCs/>
          <w:spacing w:val="-2"/>
          <w:sz w:val="27"/>
          <w:szCs w:val="27"/>
        </w:rPr>
        <w:t>电磁兼容性技术组的作用</w:t>
      </w:r>
    </w:p>
    <w:p w14:paraId="1F42C241">
      <w:pPr>
        <w:pStyle w:val="2"/>
        <w:spacing w:before="110" w:line="285" w:lineRule="auto"/>
        <w:ind w:right="12" w:firstLine="550"/>
        <w:jc w:val="both"/>
      </w:pPr>
      <w:r>
        <w:rPr>
          <w:spacing w:val="5"/>
        </w:rPr>
        <w:t>成立电磁兼容性技术组是加强电磁兼容性工程管理的有效措施之一。它是</w:t>
      </w:r>
      <w:r>
        <w:rPr>
          <w:spacing w:val="9"/>
        </w:rPr>
        <w:t xml:space="preserve"> </w:t>
      </w:r>
      <w:r>
        <w:rPr>
          <w:spacing w:val="-10"/>
        </w:rPr>
        <w:t>一个由各方代表组成的专家咨询小组，为工程管理的决策、评审、分析、研究提供</w:t>
      </w:r>
      <w:r>
        <w:rPr>
          <w:spacing w:val="8"/>
        </w:rPr>
        <w:t xml:space="preserve"> </w:t>
      </w:r>
      <w:r>
        <w:rPr>
          <w:spacing w:val="-1"/>
        </w:rPr>
        <w:t>技术咨询。</w:t>
      </w:r>
    </w:p>
    <w:p w14:paraId="0D9BF042">
      <w:pPr>
        <w:pStyle w:val="2"/>
        <w:spacing w:before="4" w:line="279" w:lineRule="auto"/>
        <w:ind w:right="8" w:firstLine="550"/>
        <w:jc w:val="both"/>
      </w:pPr>
      <w:r>
        <w:rPr>
          <w:spacing w:val="-3"/>
        </w:rPr>
        <w:t>电磁兼容性涉及工程项目研制的众多领域，与其相关的设计、试验、安装和</w:t>
      </w:r>
      <w:r>
        <w:t xml:space="preserve"> </w:t>
      </w:r>
      <w:r>
        <w:rPr>
          <w:spacing w:val="5"/>
        </w:rPr>
        <w:t>培训应在研制主管部门的主管电磁兼容性工作人员的指导下综合计划安排。电</w:t>
      </w:r>
      <w:r>
        <w:rPr>
          <w:spacing w:val="4"/>
        </w:rPr>
        <w:t xml:space="preserve"> </w:t>
      </w:r>
      <w:r>
        <w:rPr>
          <w:spacing w:val="6"/>
        </w:rPr>
        <w:t>磁兼容性技术组提供了连贯和协调的信息来</w:t>
      </w:r>
      <w:r>
        <w:rPr>
          <w:spacing w:val="5"/>
        </w:rPr>
        <w:t>源与交换，使各单位能作为电磁兼</w:t>
      </w:r>
      <w:r>
        <w:t xml:space="preserve"> </w:t>
      </w:r>
      <w:r>
        <w:rPr>
          <w:spacing w:val="5"/>
        </w:rPr>
        <w:t>容性工程的合作者，而不是相互隔绝的机构进行工作。各单位能从电磁兼容性</w:t>
      </w:r>
      <w:r>
        <w:t xml:space="preserve"> </w:t>
      </w:r>
      <w:r>
        <w:rPr>
          <w:spacing w:val="-2"/>
        </w:rPr>
        <w:t>技术组得到有关的最新信息，能够及时地发现问题和采取措</w:t>
      </w:r>
      <w:r>
        <w:rPr>
          <w:spacing w:val="-3"/>
        </w:rPr>
        <w:t>施，提高了工作效率</w:t>
      </w:r>
      <w:r>
        <w:t xml:space="preserve"> </w:t>
      </w:r>
      <w:r>
        <w:rPr>
          <w:spacing w:val="-3"/>
        </w:rPr>
        <w:t>和质量。技术组的信息来源广，考虑的问题全面，同时也提高了其建议被采纳的</w:t>
      </w:r>
    </w:p>
    <w:p w14:paraId="633C6F3F">
      <w:pPr>
        <w:spacing w:line="279" w:lineRule="auto"/>
        <w:sectPr>
          <w:footerReference r:id="rId608" w:type="default"/>
          <w:pgSz w:w="11910" w:h="17130"/>
          <w:pgMar w:top="1445" w:right="1388" w:bottom="1697" w:left="1140" w:header="0" w:footer="1481" w:gutter="0"/>
          <w:cols w:space="720" w:num="1"/>
        </w:sectPr>
      </w:pPr>
    </w:p>
    <w:p w14:paraId="52020906">
      <w:pPr>
        <w:pStyle w:val="2"/>
        <w:spacing w:before="166" w:line="221" w:lineRule="auto"/>
      </w:pPr>
      <w:r>
        <w:rPr>
          <w:spacing w:val="-3"/>
        </w:rPr>
        <w:t>可能性。</w:t>
      </w:r>
    </w:p>
    <w:p w14:paraId="52249458">
      <w:pPr>
        <w:spacing w:before="69" w:line="222" w:lineRule="auto"/>
        <w:rPr>
          <w:rFonts w:ascii="黑体" w:hAnsi="黑体" w:eastAsia="黑体" w:cs="黑体"/>
          <w:sz w:val="27"/>
          <w:szCs w:val="27"/>
        </w:rPr>
      </w:pPr>
      <w:r>
        <w:rPr>
          <w:rFonts w:ascii="黑体" w:hAnsi="黑体" w:eastAsia="黑体" w:cs="黑体"/>
          <w:spacing w:val="1"/>
          <w:sz w:val="27"/>
          <w:szCs w:val="27"/>
        </w:rPr>
        <w:t>4</w:t>
      </w:r>
      <w:r>
        <w:rPr>
          <w:rFonts w:ascii="黑体" w:hAnsi="黑体" w:eastAsia="黑体" w:cs="黑体"/>
          <w:spacing w:val="23"/>
          <w:sz w:val="27"/>
          <w:szCs w:val="27"/>
        </w:rPr>
        <w:t xml:space="preserve">  </w:t>
      </w:r>
      <w:r>
        <w:rPr>
          <w:rFonts w:ascii="黑体" w:hAnsi="黑体" w:eastAsia="黑体" w:cs="黑体"/>
          <w:b/>
          <w:bCs/>
          <w:spacing w:val="1"/>
          <w:sz w:val="27"/>
          <w:szCs w:val="27"/>
        </w:rPr>
        <w:t>电磁兼容性技术组的组成</w:t>
      </w:r>
    </w:p>
    <w:p w14:paraId="1A585C4D">
      <w:pPr>
        <w:pStyle w:val="2"/>
        <w:spacing w:before="60" w:line="212" w:lineRule="auto"/>
        <w:ind w:left="560"/>
      </w:pPr>
      <w:r>
        <w:rPr>
          <w:rFonts w:ascii="Times New Roman" w:hAnsi="Times New Roman" w:eastAsia="Times New Roman" w:cs="Times New Roman"/>
          <w:spacing w:val="4"/>
        </w:rPr>
        <w:t xml:space="preserve">a)  </w:t>
      </w:r>
      <w:r>
        <w:rPr>
          <w:spacing w:val="4"/>
        </w:rPr>
        <w:t>电磁兼容性技术组应在方案阶段初期</w:t>
      </w:r>
      <w:r>
        <w:rPr>
          <w:spacing w:val="3"/>
        </w:rPr>
        <w:t>组建；</w:t>
      </w:r>
    </w:p>
    <w:p w14:paraId="354081B7">
      <w:pPr>
        <w:pStyle w:val="2"/>
        <w:spacing w:before="90" w:line="212" w:lineRule="auto"/>
        <w:ind w:left="560"/>
      </w:pPr>
      <w:r>
        <w:rPr>
          <w:rFonts w:ascii="Times New Roman" w:hAnsi="Times New Roman" w:eastAsia="Times New Roman" w:cs="Times New Roman"/>
          <w:spacing w:val="7"/>
        </w:rPr>
        <w:t xml:space="preserve">b) </w:t>
      </w:r>
      <w:r>
        <w:rPr>
          <w:spacing w:val="7"/>
        </w:rPr>
        <w:t>由主研制单位负责组织；</w:t>
      </w:r>
    </w:p>
    <w:p w14:paraId="196FAFE6">
      <w:pPr>
        <w:pStyle w:val="2"/>
        <w:spacing w:before="89" w:line="212" w:lineRule="auto"/>
        <w:ind w:left="560"/>
      </w:pPr>
      <w:r>
        <w:rPr>
          <w:rFonts w:ascii="Times New Roman" w:hAnsi="Times New Roman" w:eastAsia="Times New Roman" w:cs="Times New Roman"/>
          <w:spacing w:val="-6"/>
        </w:rPr>
        <w:t xml:space="preserve">c)  </w:t>
      </w:r>
      <w:r>
        <w:rPr>
          <w:spacing w:val="-6"/>
        </w:rPr>
        <w:t>应包括工程管理、设计、制造和其他有关单位的代表；</w:t>
      </w:r>
    </w:p>
    <w:p w14:paraId="1C0274E4">
      <w:pPr>
        <w:pStyle w:val="2"/>
        <w:spacing w:before="79" w:line="268" w:lineRule="auto"/>
        <w:ind w:right="15" w:firstLine="560"/>
      </w:pPr>
      <w:r>
        <w:rPr>
          <w:rFonts w:ascii="Times New Roman" w:hAnsi="Times New Roman" w:eastAsia="Times New Roman" w:cs="Times New Roman"/>
          <w:spacing w:val="3"/>
        </w:rPr>
        <w:t>d)</w:t>
      </w:r>
      <w:r>
        <w:rPr>
          <w:rFonts w:ascii="Times New Roman" w:hAnsi="Times New Roman" w:eastAsia="Times New Roman" w:cs="Times New Roman"/>
          <w:spacing w:val="66"/>
          <w:w w:val="101"/>
        </w:rPr>
        <w:t xml:space="preserve"> </w:t>
      </w:r>
      <w:r>
        <w:rPr>
          <w:spacing w:val="3"/>
        </w:rPr>
        <w:t>代表应具备电磁兼容性方面的基本知识或</w:t>
      </w:r>
      <w:r>
        <w:rPr>
          <w:spacing w:val="2"/>
        </w:rPr>
        <w:t>经过培训。如有可能，应为电</w:t>
      </w:r>
      <w:r>
        <w:t xml:space="preserve"> 磁效应方面的专家；</w:t>
      </w:r>
    </w:p>
    <w:p w14:paraId="3CBDB7FE">
      <w:pPr>
        <w:pStyle w:val="2"/>
        <w:spacing w:before="47" w:line="212" w:lineRule="auto"/>
        <w:ind w:left="560"/>
      </w:pPr>
      <w:r>
        <w:rPr>
          <w:rFonts w:ascii="Times New Roman" w:hAnsi="Times New Roman" w:eastAsia="Times New Roman" w:cs="Times New Roman"/>
          <w:spacing w:val="-1"/>
        </w:rPr>
        <w:t>e)</w:t>
      </w:r>
      <w:r>
        <w:rPr>
          <w:rFonts w:ascii="Times New Roman" w:hAnsi="Times New Roman" w:eastAsia="Times New Roman" w:cs="Times New Roman"/>
          <w:spacing w:val="62"/>
          <w:w w:val="101"/>
        </w:rPr>
        <w:t xml:space="preserve"> </w:t>
      </w:r>
      <w:r>
        <w:rPr>
          <w:spacing w:val="-1"/>
        </w:rPr>
        <w:t>技术组应在满足需要的前提下，由最少的人数组成。</w:t>
      </w:r>
    </w:p>
    <w:p w14:paraId="4720DBD7">
      <w:pPr>
        <w:spacing w:before="125" w:line="222" w:lineRule="auto"/>
        <w:outlineLvl w:val="3"/>
        <w:rPr>
          <w:rFonts w:ascii="黑体" w:hAnsi="黑体" w:eastAsia="黑体" w:cs="黑体"/>
          <w:sz w:val="27"/>
          <w:szCs w:val="27"/>
        </w:rPr>
      </w:pPr>
      <w:r>
        <w:rPr>
          <w:rFonts w:ascii="Arial" w:hAnsi="Arial" w:eastAsia="Arial" w:cs="Arial"/>
          <w:b/>
          <w:bCs/>
          <w:spacing w:val="-1"/>
          <w:sz w:val="27"/>
          <w:szCs w:val="27"/>
        </w:rPr>
        <w:t xml:space="preserve">5    </w:t>
      </w:r>
      <w:r>
        <w:rPr>
          <w:rFonts w:ascii="黑体" w:hAnsi="黑体" w:eastAsia="黑体" w:cs="黑体"/>
          <w:b/>
          <w:bCs/>
          <w:spacing w:val="-1"/>
          <w:sz w:val="27"/>
          <w:szCs w:val="27"/>
        </w:rPr>
        <w:t>电磁兼容性技术组工作内容</w:t>
      </w:r>
    </w:p>
    <w:p w14:paraId="4BD15C87">
      <w:pPr>
        <w:pStyle w:val="2"/>
        <w:spacing w:before="91" w:line="219" w:lineRule="auto"/>
        <w:ind w:left="560"/>
      </w:pPr>
      <w:r>
        <w:rPr>
          <w:rFonts w:ascii="Times New Roman" w:hAnsi="Times New Roman" w:eastAsia="Times New Roman" w:cs="Times New Roman"/>
          <w:spacing w:val="3"/>
        </w:rPr>
        <w:t>a</w:t>
      </w:r>
      <w:r>
        <w:rPr>
          <w:spacing w:val="3"/>
        </w:rPr>
        <w:t>)</w:t>
      </w:r>
      <w:r>
        <w:rPr>
          <w:spacing w:val="-38"/>
        </w:rPr>
        <w:t xml:space="preserve"> </w:t>
      </w:r>
      <w:r>
        <w:rPr>
          <w:spacing w:val="3"/>
        </w:rPr>
        <w:t>协助制定电磁兼容性大纲；</w:t>
      </w:r>
    </w:p>
    <w:p w14:paraId="2D60E91B">
      <w:pPr>
        <w:pStyle w:val="2"/>
        <w:spacing w:before="49"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84"/>
        </w:rPr>
        <w:t xml:space="preserve"> </w:t>
      </w:r>
      <w:r>
        <w:rPr>
          <w:spacing w:val="3"/>
        </w:rPr>
        <w:t>协助拟定合同中有关电磁兼容性内容；</w:t>
      </w:r>
    </w:p>
    <w:p w14:paraId="087B2BA0">
      <w:pPr>
        <w:pStyle w:val="2"/>
        <w:spacing w:before="122" w:line="255" w:lineRule="auto"/>
        <w:ind w:firstLine="560"/>
      </w:pPr>
      <w:r>
        <w:rPr>
          <w:rFonts w:ascii="Times New Roman" w:hAnsi="Times New Roman" w:eastAsia="Times New Roman" w:cs="Times New Roman"/>
          <w:spacing w:val="4"/>
        </w:rPr>
        <w:t>c</w:t>
      </w:r>
      <w:r>
        <w:rPr>
          <w:spacing w:val="4"/>
        </w:rPr>
        <w:t>)</w:t>
      </w:r>
      <w:r>
        <w:rPr>
          <w:spacing w:val="-49"/>
        </w:rPr>
        <w:t xml:space="preserve"> </w:t>
      </w:r>
      <w:r>
        <w:rPr>
          <w:spacing w:val="4"/>
        </w:rPr>
        <w:t>协助识别和解决在设计、研制和定型阶段</w:t>
      </w:r>
      <w:r>
        <w:rPr>
          <w:spacing w:val="3"/>
        </w:rPr>
        <w:t>中可能存在的电磁兼容性方面</w:t>
      </w:r>
      <w:r>
        <w:t xml:space="preserve"> </w:t>
      </w:r>
      <w:r>
        <w:rPr>
          <w:spacing w:val="-3"/>
        </w:rPr>
        <w:t>的问题；</w:t>
      </w:r>
    </w:p>
    <w:p w14:paraId="7C8CAA67">
      <w:pPr>
        <w:pStyle w:val="2"/>
        <w:spacing w:before="52" w:line="212" w:lineRule="auto"/>
        <w:ind w:left="560"/>
      </w:pPr>
      <w:r>
        <w:rPr>
          <w:rFonts w:ascii="Times New Roman" w:hAnsi="Times New Roman" w:eastAsia="Times New Roman" w:cs="Times New Roman"/>
          <w:spacing w:val="-1"/>
        </w:rPr>
        <w:t xml:space="preserve">d)  </w:t>
      </w:r>
      <w:r>
        <w:rPr>
          <w:spacing w:val="-1"/>
        </w:rPr>
        <w:t>协助审查设计文件、工艺文件中有关电磁兼容性的内容；</w:t>
      </w:r>
    </w:p>
    <w:p w14:paraId="71788349">
      <w:pPr>
        <w:pStyle w:val="2"/>
        <w:spacing w:before="79" w:line="259" w:lineRule="auto"/>
        <w:ind w:right="15" w:firstLine="560"/>
      </w:pPr>
      <w:r>
        <w:rPr>
          <w:rFonts w:ascii="Times New Roman" w:hAnsi="Times New Roman" w:eastAsia="Times New Roman" w:cs="Times New Roman"/>
          <w:spacing w:val="-5"/>
        </w:rPr>
        <w:t xml:space="preserve">e)  </w:t>
      </w:r>
      <w:r>
        <w:rPr>
          <w:spacing w:val="-5"/>
        </w:rPr>
        <w:t>收集、整理和研究电磁兼容性工程中可能出现的各种问题，必要时，协助</w:t>
      </w:r>
      <w:r>
        <w:rPr>
          <w:spacing w:val="10"/>
        </w:rPr>
        <w:t xml:space="preserve"> </w:t>
      </w:r>
      <w:r>
        <w:rPr>
          <w:spacing w:val="-1"/>
        </w:rPr>
        <w:t>进行电磁兼容性的分析预测研究，评估可能的电磁效应影响；</w:t>
      </w:r>
    </w:p>
    <w:p w14:paraId="2294AF09">
      <w:pPr>
        <w:pStyle w:val="2"/>
        <w:spacing w:before="64" w:line="212" w:lineRule="auto"/>
        <w:ind w:left="560"/>
      </w:pPr>
      <w:r>
        <w:rPr>
          <w:rFonts w:ascii="Times New Roman" w:hAnsi="Times New Roman" w:eastAsia="Times New Roman" w:cs="Times New Roman"/>
          <w:spacing w:val="3"/>
        </w:rPr>
        <w:t>f)</w:t>
      </w:r>
      <w:r>
        <w:rPr>
          <w:rFonts w:ascii="Times New Roman" w:hAnsi="Times New Roman" w:eastAsia="Times New Roman" w:cs="Times New Roman"/>
          <w:spacing w:val="74"/>
        </w:rPr>
        <w:t xml:space="preserve"> </w:t>
      </w:r>
      <w:r>
        <w:rPr>
          <w:spacing w:val="3"/>
        </w:rPr>
        <w:t>参与设计评审和定型评审；</w:t>
      </w:r>
    </w:p>
    <w:p w14:paraId="0105BB62">
      <w:pPr>
        <w:pStyle w:val="2"/>
        <w:spacing w:before="119" w:line="212" w:lineRule="auto"/>
        <w:ind w:left="560"/>
      </w:pPr>
      <w:r>
        <w:rPr>
          <w:rFonts w:ascii="Times New Roman" w:hAnsi="Times New Roman" w:eastAsia="Times New Roman" w:cs="Times New Roman"/>
          <w:spacing w:val="3"/>
        </w:rPr>
        <w:t>g</w:t>
      </w:r>
      <w:r>
        <w:rPr>
          <w:spacing w:val="3"/>
        </w:rPr>
        <w:t>)</w:t>
      </w:r>
      <w:r>
        <w:rPr>
          <w:spacing w:val="-48"/>
        </w:rPr>
        <w:t xml:space="preserve"> </w:t>
      </w:r>
      <w:r>
        <w:rPr>
          <w:spacing w:val="3"/>
        </w:rPr>
        <w:t>协助申报成果。</w:t>
      </w:r>
    </w:p>
    <w:p w14:paraId="4625651E">
      <w:pPr>
        <w:spacing w:before="95" w:line="221"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24"/>
          <w:sz w:val="27"/>
          <w:szCs w:val="27"/>
        </w:rPr>
        <w:t xml:space="preserve">  </w:t>
      </w:r>
      <w:r>
        <w:rPr>
          <w:rFonts w:ascii="黑体" w:hAnsi="黑体" w:eastAsia="黑体" w:cs="黑体"/>
          <w:b/>
          <w:bCs/>
          <w:spacing w:val="-1"/>
          <w:sz w:val="27"/>
          <w:szCs w:val="27"/>
        </w:rPr>
        <w:t>电磁兼容性技术组工作方式</w:t>
      </w:r>
    </w:p>
    <w:p w14:paraId="6B076C9C">
      <w:pPr>
        <w:pStyle w:val="2"/>
        <w:spacing w:before="52" w:line="212" w:lineRule="auto"/>
        <w:ind w:left="560"/>
      </w:pPr>
      <w:r>
        <w:rPr>
          <w:rFonts w:ascii="Times New Roman" w:hAnsi="Times New Roman" w:eastAsia="Times New Roman" w:cs="Times New Roman"/>
          <w:spacing w:val="3"/>
        </w:rPr>
        <w:t xml:space="preserve">a)  </w:t>
      </w:r>
      <w:r>
        <w:rPr>
          <w:spacing w:val="3"/>
        </w:rPr>
        <w:t>通常通过协调会来处理日常工作；</w:t>
      </w:r>
    </w:p>
    <w:p w14:paraId="40714D16">
      <w:pPr>
        <w:pStyle w:val="2"/>
        <w:spacing w:before="100" w:line="212" w:lineRule="auto"/>
        <w:ind w:left="560"/>
      </w:pPr>
      <w:r>
        <w:rPr>
          <w:rFonts w:ascii="Times New Roman" w:hAnsi="Times New Roman" w:eastAsia="Times New Roman" w:cs="Times New Roman"/>
          <w:spacing w:val="-3"/>
        </w:rPr>
        <w:t xml:space="preserve">b)  </w:t>
      </w:r>
      <w:r>
        <w:rPr>
          <w:spacing w:val="-3"/>
        </w:rPr>
        <w:t>指派技术组成员任务，工作完毕后写出总结报</w:t>
      </w:r>
      <w:r>
        <w:rPr>
          <w:spacing w:val="-4"/>
        </w:rPr>
        <w:t>告，并分发有关单位；</w:t>
      </w:r>
    </w:p>
    <w:p w14:paraId="7F26978E">
      <w:pPr>
        <w:pStyle w:val="2"/>
        <w:spacing w:before="91" w:line="260" w:lineRule="auto"/>
        <w:ind w:right="10" w:firstLine="560"/>
      </w:pPr>
      <w:r>
        <w:rPr>
          <w:rFonts w:ascii="Times New Roman" w:hAnsi="Times New Roman" w:eastAsia="Times New Roman" w:cs="Times New Roman"/>
          <w:spacing w:val="3"/>
        </w:rPr>
        <w:t xml:space="preserve">c)  </w:t>
      </w:r>
      <w:r>
        <w:rPr>
          <w:spacing w:val="3"/>
        </w:rPr>
        <w:t>对重大问题，指派专人进行全过程跟踪，写出最终报告。报告中应明确</w:t>
      </w:r>
      <w:r>
        <w:t xml:space="preserve"> </w:t>
      </w:r>
      <w:r>
        <w:rPr>
          <w:spacing w:val="-10"/>
        </w:rPr>
        <w:t>结论，并分发有关单位。</w:t>
      </w:r>
    </w:p>
    <w:p w14:paraId="1EE56986">
      <w:pPr>
        <w:pStyle w:val="2"/>
        <w:spacing w:before="69" w:line="212" w:lineRule="auto"/>
        <w:ind w:left="560"/>
      </w:pPr>
      <w:r>
        <w:rPr>
          <w:rFonts w:ascii="Times New Roman" w:hAnsi="Times New Roman" w:eastAsia="Times New Roman" w:cs="Times New Roman"/>
          <w:spacing w:val="-1"/>
        </w:rPr>
        <w:t xml:space="preserve">d)  </w:t>
      </w:r>
      <w:r>
        <w:rPr>
          <w:spacing w:val="-1"/>
        </w:rPr>
        <w:t>应有专人负责记录技术组的活动，以保存有关文件。</w:t>
      </w:r>
    </w:p>
    <w:p w14:paraId="24B40B70">
      <w:pPr>
        <w:spacing w:line="369" w:lineRule="auto"/>
        <w:rPr>
          <w:rFonts w:ascii="Arial"/>
          <w:sz w:val="21"/>
        </w:rPr>
      </w:pPr>
    </w:p>
    <w:p w14:paraId="62A3007F">
      <w:pPr>
        <w:pStyle w:val="2"/>
        <w:spacing w:before="118" w:line="219" w:lineRule="auto"/>
        <w:ind w:left="2530"/>
        <w:outlineLvl w:val="1"/>
        <w:rPr>
          <w:sz w:val="36"/>
          <w:szCs w:val="36"/>
        </w:rPr>
      </w:pPr>
      <w:r>
        <w:rPr>
          <w:rFonts w:ascii="Times New Roman" w:hAnsi="Times New Roman" w:eastAsia="Times New Roman" w:cs="Times New Roman"/>
          <w:b/>
          <w:bCs/>
          <w:spacing w:val="-3"/>
          <w:sz w:val="36"/>
          <w:szCs w:val="36"/>
        </w:rPr>
        <w:t>13.5</w:t>
      </w:r>
      <w:r>
        <w:rPr>
          <w:rFonts w:ascii="Times New Roman" w:hAnsi="Times New Roman" w:eastAsia="Times New Roman" w:cs="Times New Roman"/>
          <w:b/>
          <w:bCs/>
          <w:spacing w:val="11"/>
          <w:sz w:val="36"/>
          <w:szCs w:val="36"/>
        </w:rPr>
        <w:t xml:space="preserve">     </w:t>
      </w:r>
      <w:r>
        <w:rPr>
          <w:b/>
          <w:bCs/>
          <w:spacing w:val="-3"/>
          <w:sz w:val="36"/>
          <w:szCs w:val="36"/>
        </w:rPr>
        <w:t>电磁兼容性控制计划</w:t>
      </w:r>
    </w:p>
    <w:p w14:paraId="3173CB22">
      <w:pPr>
        <w:spacing w:line="356" w:lineRule="auto"/>
        <w:rPr>
          <w:rFonts w:ascii="Arial"/>
          <w:sz w:val="21"/>
        </w:rPr>
      </w:pPr>
    </w:p>
    <w:p w14:paraId="2FC57694">
      <w:pPr>
        <w:pStyle w:val="2"/>
        <w:spacing w:before="79" w:line="223" w:lineRule="auto"/>
        <w:ind w:left="560"/>
        <w:rPr>
          <w:rFonts w:ascii="楷体" w:hAnsi="楷体" w:eastAsia="楷体" w:cs="楷体"/>
          <w:sz w:val="24"/>
          <w:szCs w:val="24"/>
        </w:rPr>
      </w:pPr>
      <w:r>
        <w:rPr>
          <w:rFonts w:ascii="楷体" w:hAnsi="楷体" w:eastAsia="楷体" w:cs="楷体"/>
          <w:spacing w:val="13"/>
          <w:sz w:val="24"/>
          <w:szCs w:val="24"/>
        </w:rPr>
        <w:t>按</w:t>
      </w:r>
      <w:r>
        <w:rPr>
          <w:rFonts w:ascii="楷体" w:hAnsi="楷体" w:eastAsia="楷体" w:cs="楷体"/>
          <w:spacing w:val="-21"/>
          <w:sz w:val="24"/>
          <w:szCs w:val="24"/>
        </w:rPr>
        <w:t xml:space="preserve"> </w:t>
      </w:r>
      <w:r>
        <w:rPr>
          <w:rFonts w:ascii="楷体" w:hAnsi="楷体" w:eastAsia="楷体" w:cs="楷体"/>
          <w:spacing w:val="13"/>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3"/>
          <w:sz w:val="24"/>
          <w:szCs w:val="24"/>
        </w:rPr>
        <w:t>/Z     17—1991</w:t>
      </w:r>
      <w:r>
        <w:rPr>
          <w:spacing w:val="13"/>
          <w:sz w:val="24"/>
          <w:szCs w:val="24"/>
        </w:rPr>
        <w:t>《</w:t>
      </w:r>
      <w:r>
        <w:rPr>
          <w:rFonts w:ascii="楷体" w:hAnsi="楷体" w:eastAsia="楷体" w:cs="楷体"/>
          <w:spacing w:val="13"/>
          <w:sz w:val="24"/>
          <w:szCs w:val="24"/>
        </w:rPr>
        <w:t>军用装备</w:t>
      </w:r>
      <w:r>
        <w:rPr>
          <w:rFonts w:ascii="楷体" w:hAnsi="楷体" w:eastAsia="楷体" w:cs="楷体"/>
          <w:spacing w:val="12"/>
          <w:sz w:val="24"/>
          <w:szCs w:val="24"/>
        </w:rPr>
        <w:t>电磁兼容性管理指南》编写。</w:t>
      </w:r>
    </w:p>
    <w:p w14:paraId="32809814">
      <w:pPr>
        <w:spacing w:before="94"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31"/>
          <w:sz w:val="27"/>
          <w:szCs w:val="27"/>
        </w:rPr>
        <w:t xml:space="preserve">  </w:t>
      </w:r>
      <w:r>
        <w:rPr>
          <w:rFonts w:ascii="黑体" w:hAnsi="黑体" w:eastAsia="黑体" w:cs="黑体"/>
          <w:b/>
          <w:bCs/>
          <w:spacing w:val="-13"/>
          <w:sz w:val="27"/>
          <w:szCs w:val="27"/>
        </w:rPr>
        <w:t>范围</w:t>
      </w:r>
    </w:p>
    <w:p w14:paraId="0EB01A78">
      <w:pPr>
        <w:spacing w:before="7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23"/>
          <w:sz w:val="27"/>
          <w:szCs w:val="27"/>
        </w:rPr>
        <w:t xml:space="preserve">  </w:t>
      </w:r>
      <w:r>
        <w:rPr>
          <w:rFonts w:ascii="黑体" w:hAnsi="黑体" w:eastAsia="黑体" w:cs="黑体"/>
          <w:b/>
          <w:bCs/>
          <w:spacing w:val="-1"/>
          <w:sz w:val="27"/>
          <w:szCs w:val="27"/>
        </w:rPr>
        <w:t>引用文件</w:t>
      </w:r>
    </w:p>
    <w:p w14:paraId="14DA4136">
      <w:pPr>
        <w:spacing w:before="88" w:line="223" w:lineRule="auto"/>
        <w:rPr>
          <w:rFonts w:ascii="黑体" w:hAnsi="黑体" w:eastAsia="黑体" w:cs="黑体"/>
          <w:sz w:val="27"/>
          <w:szCs w:val="27"/>
        </w:rPr>
      </w:pPr>
      <w:r>
        <w:rPr>
          <w:rFonts w:ascii="黑体" w:hAnsi="黑体" w:eastAsia="黑体" w:cs="黑体"/>
          <w:spacing w:val="-8"/>
          <w:sz w:val="27"/>
          <w:szCs w:val="27"/>
        </w:rPr>
        <w:t>3</w:t>
      </w:r>
      <w:r>
        <w:rPr>
          <w:rFonts w:ascii="黑体" w:hAnsi="黑体" w:eastAsia="黑体" w:cs="黑体"/>
          <w:spacing w:val="29"/>
          <w:sz w:val="27"/>
          <w:szCs w:val="27"/>
        </w:rPr>
        <w:t xml:space="preserve">  </w:t>
      </w:r>
      <w:r>
        <w:rPr>
          <w:rFonts w:ascii="黑体" w:hAnsi="黑体" w:eastAsia="黑体" w:cs="黑体"/>
          <w:b/>
          <w:bCs/>
          <w:spacing w:val="-8"/>
          <w:sz w:val="27"/>
          <w:szCs w:val="27"/>
        </w:rPr>
        <w:t>目的</w:t>
      </w:r>
    </w:p>
    <w:p w14:paraId="4E46258D">
      <w:pPr>
        <w:pStyle w:val="2"/>
        <w:spacing w:before="96" w:line="275" w:lineRule="auto"/>
        <w:ind w:right="14" w:firstLine="560"/>
        <w:jc w:val="both"/>
      </w:pPr>
      <w:r>
        <w:rPr>
          <w:spacing w:val="5"/>
        </w:rPr>
        <w:t>制定电磁兼容性控制计划是为全面说明有关电磁兼容性的计划安排和技术</w:t>
      </w:r>
      <w:r>
        <w:rPr>
          <w:spacing w:val="11"/>
        </w:rPr>
        <w:t xml:space="preserve"> </w:t>
      </w:r>
      <w:r>
        <w:rPr>
          <w:spacing w:val="-2"/>
        </w:rPr>
        <w:t>措施，建立研制过程中电磁兼容性工作的依据，以保证实现合同中所</w:t>
      </w:r>
      <w:r>
        <w:rPr>
          <w:spacing w:val="-3"/>
        </w:rPr>
        <w:t>规定的各项</w:t>
      </w:r>
      <w:r>
        <w:t xml:space="preserve"> 电磁兼容性要求。</w:t>
      </w:r>
    </w:p>
    <w:p w14:paraId="7A762456">
      <w:pPr>
        <w:spacing w:line="275" w:lineRule="auto"/>
        <w:sectPr>
          <w:footerReference r:id="rId609" w:type="default"/>
          <w:pgSz w:w="11910" w:h="17130"/>
          <w:pgMar w:top="1456" w:right="1218" w:bottom="1680" w:left="1299" w:header="0" w:footer="1394" w:gutter="0"/>
          <w:cols w:space="720" w:num="1"/>
        </w:sectPr>
      </w:pPr>
    </w:p>
    <w:p w14:paraId="4C0A1BFF">
      <w:pPr>
        <w:spacing w:before="181" w:line="222" w:lineRule="auto"/>
        <w:outlineLvl w:val="3"/>
        <w:rPr>
          <w:rFonts w:ascii="黑体" w:hAnsi="黑体" w:eastAsia="黑体" w:cs="黑体"/>
          <w:sz w:val="27"/>
          <w:szCs w:val="27"/>
        </w:rPr>
      </w:pPr>
      <w:r>
        <w:rPr>
          <w:rFonts w:ascii="Arial" w:hAnsi="Arial" w:eastAsia="Arial" w:cs="Arial"/>
          <w:b/>
          <w:bCs/>
          <w:spacing w:val="3"/>
          <w:sz w:val="27"/>
          <w:szCs w:val="27"/>
        </w:rPr>
        <w:t>4</w:t>
      </w:r>
      <w:r>
        <w:rPr>
          <w:rFonts w:ascii="Arial" w:hAnsi="Arial" w:eastAsia="Arial" w:cs="Arial"/>
          <w:b/>
          <w:bCs/>
          <w:spacing w:val="15"/>
          <w:sz w:val="27"/>
          <w:szCs w:val="27"/>
        </w:rPr>
        <w:t xml:space="preserve">   </w:t>
      </w:r>
      <w:r>
        <w:rPr>
          <w:rFonts w:ascii="黑体" w:hAnsi="黑体" w:eastAsia="黑体" w:cs="黑体"/>
          <w:b/>
          <w:bCs/>
          <w:spacing w:val="3"/>
          <w:sz w:val="27"/>
          <w:szCs w:val="27"/>
        </w:rPr>
        <w:t>计划安排与技术措施</w:t>
      </w:r>
    </w:p>
    <w:p w14:paraId="3C65BB77">
      <w:pPr>
        <w:pStyle w:val="2"/>
        <w:spacing w:before="49" w:line="285" w:lineRule="auto"/>
        <w:ind w:right="2" w:firstLine="560"/>
        <w:jc w:val="both"/>
      </w:pPr>
      <w:r>
        <w:rPr>
          <w:spacing w:val="1"/>
        </w:rPr>
        <w:t>电磁兼容性控制计划是比电磁兼容性大纲更为具体的技术</w:t>
      </w:r>
      <w:r>
        <w:t xml:space="preserve">文件， 一般应由 </w:t>
      </w:r>
      <w:r>
        <w:rPr>
          <w:spacing w:val="6"/>
        </w:rPr>
        <w:t>研制单位负责电子总体或电磁兼容性的部门制定，经电磁兼容性技术组审查后</w:t>
      </w:r>
      <w:r>
        <w:rPr>
          <w:spacing w:val="4"/>
        </w:rPr>
        <w:t xml:space="preserve"> </w:t>
      </w:r>
      <w:r>
        <w:t>提交主管部门批准。</w:t>
      </w:r>
    </w:p>
    <w:p w14:paraId="47C5B6FB">
      <w:pPr>
        <w:spacing w:before="44" w:line="223" w:lineRule="auto"/>
        <w:rPr>
          <w:rFonts w:ascii="黑体" w:hAnsi="黑体" w:eastAsia="黑体" w:cs="黑体"/>
          <w:sz w:val="22"/>
          <w:szCs w:val="22"/>
        </w:rPr>
      </w:pPr>
      <w:r>
        <w:rPr>
          <w:rFonts w:ascii="黑体" w:hAnsi="黑体" w:eastAsia="黑体" w:cs="黑体"/>
          <w:spacing w:val="-4"/>
          <w:sz w:val="22"/>
          <w:szCs w:val="22"/>
        </w:rPr>
        <w:t>4.1</w:t>
      </w:r>
      <w:r>
        <w:rPr>
          <w:rFonts w:ascii="黑体" w:hAnsi="黑体" w:eastAsia="黑体" w:cs="黑体"/>
          <w:spacing w:val="9"/>
          <w:sz w:val="22"/>
          <w:szCs w:val="22"/>
        </w:rPr>
        <w:t xml:space="preserve">   </w:t>
      </w:r>
      <w:r>
        <w:rPr>
          <w:rFonts w:ascii="黑体" w:hAnsi="黑体" w:eastAsia="黑体" w:cs="黑体"/>
          <w:b/>
          <w:bCs/>
          <w:spacing w:val="-4"/>
          <w:sz w:val="22"/>
          <w:szCs w:val="22"/>
        </w:rPr>
        <w:t>管</w:t>
      </w:r>
      <w:r>
        <w:rPr>
          <w:rFonts w:ascii="黑体" w:hAnsi="黑体" w:eastAsia="黑体" w:cs="黑体"/>
          <w:spacing w:val="20"/>
          <w:sz w:val="22"/>
          <w:szCs w:val="22"/>
        </w:rPr>
        <w:t xml:space="preserve"> </w:t>
      </w:r>
      <w:r>
        <w:rPr>
          <w:rFonts w:ascii="黑体" w:hAnsi="黑体" w:eastAsia="黑体" w:cs="黑体"/>
          <w:b/>
          <w:bCs/>
          <w:spacing w:val="-4"/>
          <w:sz w:val="22"/>
          <w:szCs w:val="22"/>
        </w:rPr>
        <w:t>理</w:t>
      </w:r>
    </w:p>
    <w:p w14:paraId="27B8E93E">
      <w:pPr>
        <w:pStyle w:val="2"/>
        <w:spacing w:before="87" w:line="219" w:lineRule="auto"/>
        <w:ind w:left="560"/>
      </w:pPr>
      <w:r>
        <w:rPr>
          <w:spacing w:val="4"/>
        </w:rPr>
        <w:t>电磁兼容性控制计划中管理方面的内容一般应包括以下几个方面：</w:t>
      </w:r>
    </w:p>
    <w:p w14:paraId="52421809">
      <w:pPr>
        <w:pStyle w:val="2"/>
        <w:spacing w:before="60" w:line="212" w:lineRule="auto"/>
        <w:ind w:left="560"/>
      </w:pPr>
      <w:r>
        <w:rPr>
          <w:rFonts w:ascii="Times New Roman" w:hAnsi="Times New Roman" w:eastAsia="Times New Roman" w:cs="Times New Roman"/>
          <w:spacing w:val="-3"/>
        </w:rPr>
        <w:t xml:space="preserve">a)  </w:t>
      </w:r>
      <w:r>
        <w:rPr>
          <w:spacing w:val="-3"/>
        </w:rPr>
        <w:t>负责电磁兼容性部门或人员的职责、权限；</w:t>
      </w:r>
    </w:p>
    <w:p w14:paraId="5C3AA954">
      <w:pPr>
        <w:pStyle w:val="2"/>
        <w:spacing w:before="90" w:line="212" w:lineRule="auto"/>
        <w:ind w:left="560"/>
      </w:pPr>
      <w:r>
        <w:rPr>
          <w:rFonts w:ascii="Times New Roman" w:hAnsi="Times New Roman" w:eastAsia="Times New Roman" w:cs="Times New Roman"/>
          <w:spacing w:val="-1"/>
        </w:rPr>
        <w:t xml:space="preserve">b)  </w:t>
      </w:r>
      <w:r>
        <w:rPr>
          <w:spacing w:val="-1"/>
        </w:rPr>
        <w:t>研制中各阶段的工作目标和进度，以及评审要求；</w:t>
      </w:r>
    </w:p>
    <w:p w14:paraId="7060214A">
      <w:pPr>
        <w:pStyle w:val="2"/>
        <w:spacing w:before="69" w:line="272" w:lineRule="auto"/>
        <w:ind w:right="11" w:firstLine="560"/>
      </w:pPr>
      <w:r>
        <w:rPr>
          <w:rFonts w:ascii="Times New Roman" w:hAnsi="Times New Roman" w:eastAsia="Times New Roman" w:cs="Times New Roman"/>
          <w:spacing w:val="19"/>
        </w:rPr>
        <w:t xml:space="preserve">c)  </w:t>
      </w:r>
      <w:r>
        <w:rPr>
          <w:spacing w:val="19"/>
        </w:rPr>
        <w:t>向设备和部件研制生产单位及成品供货方提出的详细的电磁兼容性</w:t>
      </w:r>
      <w:r>
        <w:rPr>
          <w:spacing w:val="17"/>
        </w:rPr>
        <w:t xml:space="preserve"> </w:t>
      </w:r>
      <w:r>
        <w:rPr>
          <w:spacing w:val="-6"/>
        </w:rPr>
        <w:t>要求；</w:t>
      </w:r>
    </w:p>
    <w:p w14:paraId="72DE57C7">
      <w:pPr>
        <w:pStyle w:val="2"/>
        <w:spacing w:before="77" w:line="212" w:lineRule="auto"/>
        <w:ind w:left="560"/>
        <w:rPr>
          <w:sz w:val="24"/>
          <w:szCs w:val="24"/>
        </w:rPr>
      </w:pPr>
      <w:r>
        <w:rPr>
          <w:rFonts w:ascii="Times New Roman" w:hAnsi="Times New Roman" w:eastAsia="Times New Roman" w:cs="Times New Roman"/>
          <w:spacing w:val="27"/>
          <w:sz w:val="24"/>
          <w:szCs w:val="24"/>
        </w:rPr>
        <w:t>d)</w:t>
      </w:r>
      <w:r>
        <w:rPr>
          <w:rFonts w:ascii="Times New Roman" w:hAnsi="Times New Roman" w:eastAsia="Times New Roman" w:cs="Times New Roman"/>
          <w:spacing w:val="4"/>
          <w:sz w:val="24"/>
          <w:szCs w:val="24"/>
        </w:rPr>
        <w:t xml:space="preserve">   </w:t>
      </w:r>
      <w:r>
        <w:rPr>
          <w:spacing w:val="27"/>
          <w:sz w:val="24"/>
          <w:szCs w:val="24"/>
        </w:rPr>
        <w:t>向试验单位提出的试验要求。</w:t>
      </w:r>
    </w:p>
    <w:p w14:paraId="42715FD3">
      <w:pPr>
        <w:spacing w:before="146" w:line="221" w:lineRule="auto"/>
        <w:rPr>
          <w:rFonts w:ascii="黑体" w:hAnsi="黑体" w:eastAsia="黑体" w:cs="黑体"/>
          <w:sz w:val="25"/>
          <w:szCs w:val="25"/>
        </w:rPr>
      </w:pPr>
      <w:r>
        <w:rPr>
          <w:rFonts w:ascii="黑体" w:hAnsi="黑体" w:eastAsia="黑体" w:cs="黑体"/>
          <w:spacing w:val="14"/>
          <w:sz w:val="25"/>
          <w:szCs w:val="25"/>
        </w:rPr>
        <w:t>4.2</w:t>
      </w:r>
      <w:r>
        <w:rPr>
          <w:rFonts w:ascii="黑体" w:hAnsi="黑体" w:eastAsia="黑体" w:cs="黑体"/>
          <w:spacing w:val="35"/>
          <w:sz w:val="25"/>
          <w:szCs w:val="25"/>
        </w:rPr>
        <w:t xml:space="preserve">  </w:t>
      </w:r>
      <w:r>
        <w:rPr>
          <w:rFonts w:ascii="黑体" w:hAnsi="黑体" w:eastAsia="黑体" w:cs="黑体"/>
          <w:b/>
          <w:bCs/>
          <w:spacing w:val="14"/>
          <w:sz w:val="25"/>
          <w:szCs w:val="25"/>
        </w:rPr>
        <w:t>频谱保障</w:t>
      </w:r>
    </w:p>
    <w:p w14:paraId="433B2446">
      <w:pPr>
        <w:pStyle w:val="2"/>
        <w:spacing w:before="100" w:line="271" w:lineRule="auto"/>
        <w:ind w:firstLine="560"/>
        <w:jc w:val="both"/>
      </w:pPr>
      <w:r>
        <w:rPr>
          <w:spacing w:val="6"/>
        </w:rPr>
        <w:t>根据性能和电磁兼容性要求，对各分系统工作频段或频率进行统一选取和</w:t>
      </w:r>
      <w:r>
        <w:t xml:space="preserve"> </w:t>
      </w:r>
      <w:r>
        <w:rPr>
          <w:spacing w:val="-2"/>
        </w:rPr>
        <w:t>分配，避免各频率间的相互干扰，并尽量少占用频谱。如</w:t>
      </w:r>
      <w:r>
        <w:rPr>
          <w:spacing w:val="-3"/>
        </w:rPr>
        <w:t>需要，可有一份完整的</w:t>
      </w:r>
      <w:r>
        <w:t xml:space="preserve"> </w:t>
      </w:r>
      <w:r>
        <w:rPr>
          <w:spacing w:val="3"/>
        </w:rPr>
        <w:t>装备系统频谱应用说明。</w:t>
      </w:r>
    </w:p>
    <w:p w14:paraId="4F2DE0EA">
      <w:pPr>
        <w:spacing w:before="22" w:line="221" w:lineRule="auto"/>
        <w:rPr>
          <w:rFonts w:ascii="黑体" w:hAnsi="黑体" w:eastAsia="黑体" w:cs="黑体"/>
          <w:sz w:val="27"/>
          <w:szCs w:val="27"/>
        </w:rPr>
      </w:pPr>
      <w:r>
        <w:rPr>
          <w:rFonts w:ascii="黑体" w:hAnsi="黑体" w:eastAsia="黑体" w:cs="黑体"/>
          <w:spacing w:val="-4"/>
          <w:sz w:val="27"/>
          <w:szCs w:val="27"/>
        </w:rPr>
        <w:t>4.3</w:t>
      </w:r>
      <w:r>
        <w:rPr>
          <w:rFonts w:ascii="黑体" w:hAnsi="黑体" w:eastAsia="黑体" w:cs="黑体"/>
          <w:spacing w:val="48"/>
          <w:sz w:val="27"/>
          <w:szCs w:val="27"/>
        </w:rPr>
        <w:t xml:space="preserve">  </w:t>
      </w:r>
      <w:r>
        <w:rPr>
          <w:rFonts w:ascii="黑体" w:hAnsi="黑体" w:eastAsia="黑体" w:cs="黑体"/>
          <w:b/>
          <w:bCs/>
          <w:spacing w:val="-4"/>
          <w:sz w:val="27"/>
          <w:szCs w:val="27"/>
        </w:rPr>
        <w:t>防电磁干扰结构设计</w:t>
      </w:r>
    </w:p>
    <w:p w14:paraId="69800155">
      <w:pPr>
        <w:pStyle w:val="2"/>
        <w:spacing w:before="103" w:line="277" w:lineRule="auto"/>
        <w:ind w:right="11" w:firstLine="560"/>
        <w:rPr>
          <w:sz w:val="25"/>
          <w:szCs w:val="25"/>
        </w:rPr>
      </w:pPr>
      <w:r>
        <w:rPr>
          <w:spacing w:val="26"/>
          <w:sz w:val="25"/>
          <w:szCs w:val="25"/>
        </w:rPr>
        <w:t>装备使用的材料及其结构除符合合同中技术规</w:t>
      </w:r>
      <w:r>
        <w:rPr>
          <w:spacing w:val="25"/>
          <w:sz w:val="25"/>
          <w:szCs w:val="25"/>
        </w:rPr>
        <w:t>范要求之外，还应在控制计</w:t>
      </w:r>
      <w:r>
        <w:rPr>
          <w:sz w:val="25"/>
          <w:szCs w:val="25"/>
        </w:rPr>
        <w:t xml:space="preserve"> </w:t>
      </w:r>
      <w:r>
        <w:rPr>
          <w:spacing w:val="24"/>
          <w:sz w:val="25"/>
          <w:szCs w:val="25"/>
        </w:rPr>
        <w:t>划中说明其衰减电磁发射和降低敏感度的程度。应包括(但不限</w:t>
      </w:r>
      <w:r>
        <w:rPr>
          <w:spacing w:val="23"/>
          <w:sz w:val="25"/>
          <w:szCs w:val="25"/>
        </w:rPr>
        <w:t>于)下述内容：</w:t>
      </w:r>
    </w:p>
    <w:p w14:paraId="6757A7A9">
      <w:pPr>
        <w:pStyle w:val="2"/>
        <w:spacing w:line="212" w:lineRule="auto"/>
        <w:ind w:left="560"/>
      </w:pPr>
      <w:r>
        <w:rPr>
          <w:rFonts w:ascii="Times New Roman" w:hAnsi="Times New Roman" w:eastAsia="Times New Roman" w:cs="Times New Roman"/>
          <w:spacing w:val="-6"/>
        </w:rPr>
        <w:t xml:space="preserve">a)  </w:t>
      </w:r>
      <w:r>
        <w:rPr>
          <w:spacing w:val="-6"/>
        </w:rPr>
        <w:t>设计使用的金属、铸件、表面涂层和附件的型别；</w:t>
      </w:r>
    </w:p>
    <w:p w14:paraId="4F7763CF">
      <w:pPr>
        <w:pStyle w:val="2"/>
        <w:spacing w:before="82" w:line="271" w:lineRule="auto"/>
        <w:ind w:right="10" w:firstLine="560"/>
      </w:pPr>
      <w:r>
        <w:rPr>
          <w:rFonts w:ascii="Times New Roman" w:hAnsi="Times New Roman" w:eastAsia="Times New Roman" w:cs="Times New Roman"/>
          <w:spacing w:val="-9"/>
        </w:rPr>
        <w:t xml:space="preserve">b)  </w:t>
      </w:r>
      <w:r>
        <w:rPr>
          <w:spacing w:val="-9"/>
        </w:rPr>
        <w:t>结构形式，如隔舱化结构，滤波器和与其他部件的隔离，开口(通风口、检</w:t>
      </w:r>
      <w:r>
        <w:rPr>
          <w:spacing w:val="18"/>
        </w:rPr>
        <w:t xml:space="preserve"> </w:t>
      </w:r>
      <w:r>
        <w:rPr>
          <w:spacing w:val="-13"/>
        </w:rPr>
        <w:t>查口、窗口、舱口、仪表面板、控制轴)所用的滤波型式和特性，所有内外接合表面</w:t>
      </w:r>
      <w:r>
        <w:rPr>
          <w:spacing w:val="6"/>
        </w:rPr>
        <w:t xml:space="preserve"> </w:t>
      </w:r>
      <w:r>
        <w:rPr>
          <w:spacing w:val="2"/>
        </w:rPr>
        <w:t>上所用射频密封垫的典型衰减特性；</w:t>
      </w:r>
    </w:p>
    <w:p w14:paraId="381AA1C9">
      <w:pPr>
        <w:pStyle w:val="2"/>
        <w:spacing w:before="100" w:line="219" w:lineRule="auto"/>
        <w:ind w:left="560"/>
      </w:pPr>
      <w:r>
        <w:rPr>
          <w:rFonts w:ascii="Times New Roman" w:hAnsi="Times New Roman" w:eastAsia="Times New Roman" w:cs="Times New Roman"/>
          <w:spacing w:val="1"/>
        </w:rPr>
        <w:t>c</w:t>
      </w:r>
      <w:r>
        <w:rPr>
          <w:spacing w:val="1"/>
        </w:rPr>
        <w:t>)</w:t>
      </w:r>
      <w:r>
        <w:rPr>
          <w:spacing w:val="-47"/>
        </w:rPr>
        <w:t xml:space="preserve"> </w:t>
      </w:r>
      <w:r>
        <w:rPr>
          <w:spacing w:val="1"/>
        </w:rPr>
        <w:t>屏蔽及其设计方法；</w:t>
      </w:r>
    </w:p>
    <w:p w14:paraId="3EB2EA56">
      <w:pPr>
        <w:pStyle w:val="2"/>
        <w:spacing w:before="81" w:line="212" w:lineRule="auto"/>
        <w:ind w:left="560"/>
        <w:rPr>
          <w:sz w:val="24"/>
          <w:szCs w:val="24"/>
        </w:rPr>
      </w:pPr>
      <w:r>
        <w:rPr>
          <w:rFonts w:ascii="Times New Roman" w:hAnsi="Times New Roman" w:eastAsia="Times New Roman" w:cs="Times New Roman"/>
          <w:spacing w:val="24"/>
          <w:sz w:val="24"/>
          <w:szCs w:val="24"/>
        </w:rPr>
        <w:t>d)</w:t>
      </w:r>
      <w:r>
        <w:rPr>
          <w:rFonts w:ascii="Times New Roman" w:hAnsi="Times New Roman" w:eastAsia="Times New Roman" w:cs="Times New Roman"/>
          <w:spacing w:val="26"/>
          <w:sz w:val="24"/>
          <w:szCs w:val="24"/>
        </w:rPr>
        <w:t xml:space="preserve">  </w:t>
      </w:r>
      <w:r>
        <w:rPr>
          <w:spacing w:val="24"/>
          <w:sz w:val="24"/>
          <w:szCs w:val="24"/>
        </w:rPr>
        <w:t>腐蚀控制措施。</w:t>
      </w:r>
    </w:p>
    <w:p w14:paraId="07CE7E09">
      <w:pPr>
        <w:spacing w:before="158" w:line="219" w:lineRule="auto"/>
        <w:rPr>
          <w:rFonts w:ascii="黑体" w:hAnsi="黑体" w:eastAsia="黑体" w:cs="黑体"/>
          <w:sz w:val="24"/>
          <w:szCs w:val="24"/>
        </w:rPr>
      </w:pPr>
      <w:r>
        <w:rPr>
          <w:rFonts w:ascii="黑体" w:hAnsi="黑体" w:eastAsia="黑体" w:cs="黑体"/>
          <w:spacing w:val="14"/>
          <w:sz w:val="24"/>
          <w:szCs w:val="24"/>
        </w:rPr>
        <w:t>4.4</w:t>
      </w:r>
      <w:r>
        <w:rPr>
          <w:rFonts w:ascii="黑体" w:hAnsi="黑体" w:eastAsia="黑体" w:cs="黑体"/>
          <w:spacing w:val="4"/>
          <w:sz w:val="24"/>
          <w:szCs w:val="24"/>
        </w:rPr>
        <w:t xml:space="preserve">   </w:t>
      </w:r>
      <w:r>
        <w:rPr>
          <w:rFonts w:ascii="黑体" w:hAnsi="黑体" w:eastAsia="黑体" w:cs="黑体"/>
          <w:spacing w:val="14"/>
          <w:sz w:val="24"/>
          <w:szCs w:val="24"/>
        </w:rPr>
        <w:t>电子、电气布线设计</w:t>
      </w:r>
    </w:p>
    <w:p w14:paraId="4032D940">
      <w:pPr>
        <w:pStyle w:val="2"/>
        <w:spacing w:before="100" w:line="273" w:lineRule="auto"/>
        <w:ind w:right="10" w:firstLine="560"/>
      </w:pPr>
      <w:r>
        <w:rPr>
          <w:spacing w:val="-3"/>
        </w:rPr>
        <w:t>说明为减少发射和降低敏感度而提出的电子、电气线路的布线设计，电缆分</w:t>
      </w:r>
      <w:r>
        <w:rPr>
          <w:spacing w:val="9"/>
        </w:rPr>
        <w:t xml:space="preserve"> </w:t>
      </w:r>
      <w:r>
        <w:rPr>
          <w:spacing w:val="-1"/>
        </w:rPr>
        <w:t>隔和敷设。详细说明接地原则，列举电缆屏蔽和敷设方法。</w:t>
      </w:r>
    </w:p>
    <w:p w14:paraId="1D8698FE">
      <w:pPr>
        <w:spacing w:before="1" w:line="221" w:lineRule="auto"/>
        <w:rPr>
          <w:rFonts w:ascii="黑体" w:hAnsi="黑体" w:eastAsia="黑体" w:cs="黑体"/>
          <w:sz w:val="27"/>
          <w:szCs w:val="27"/>
        </w:rPr>
      </w:pPr>
      <w:r>
        <w:rPr>
          <w:rFonts w:ascii="黑体" w:hAnsi="黑体" w:eastAsia="黑体" w:cs="黑体"/>
          <w:spacing w:val="2"/>
          <w:sz w:val="27"/>
          <w:szCs w:val="27"/>
        </w:rPr>
        <w:t>4.5</w:t>
      </w:r>
      <w:r>
        <w:rPr>
          <w:rFonts w:ascii="黑体" w:hAnsi="黑体" w:eastAsia="黑体" w:cs="黑体"/>
          <w:spacing w:val="26"/>
          <w:sz w:val="27"/>
          <w:szCs w:val="27"/>
        </w:rPr>
        <w:t xml:space="preserve">  </w:t>
      </w:r>
      <w:r>
        <w:rPr>
          <w:rFonts w:ascii="黑体" w:hAnsi="黑体" w:eastAsia="黑体" w:cs="黑体"/>
          <w:spacing w:val="2"/>
          <w:sz w:val="27"/>
          <w:szCs w:val="27"/>
        </w:rPr>
        <w:t>电磁兼容性电路设计</w:t>
      </w:r>
    </w:p>
    <w:p w14:paraId="15FC9160">
      <w:pPr>
        <w:pStyle w:val="2"/>
        <w:spacing w:before="76" w:line="277" w:lineRule="auto"/>
        <w:ind w:right="7" w:firstLine="560"/>
      </w:pPr>
      <w:r>
        <w:rPr>
          <w:spacing w:val="1"/>
        </w:rPr>
        <w:t>全面说明控制有害发射或抗干扰敏感的电路设计技术、方法。应包括(但不</w:t>
      </w:r>
      <w:r>
        <w:rPr>
          <w:spacing w:val="15"/>
        </w:rPr>
        <w:t xml:space="preserve"> </w:t>
      </w:r>
      <w:r>
        <w:t>限于)下列各项内容：</w:t>
      </w:r>
    </w:p>
    <w:p w14:paraId="28A52D85">
      <w:pPr>
        <w:pStyle w:val="2"/>
        <w:spacing w:line="212" w:lineRule="auto"/>
        <w:ind w:left="560"/>
      </w:pPr>
      <w:r>
        <w:rPr>
          <w:rFonts w:ascii="Times New Roman" w:hAnsi="Times New Roman" w:eastAsia="Times New Roman" w:cs="Times New Roman"/>
          <w:spacing w:val="-1"/>
        </w:rPr>
        <w:t xml:space="preserve">a)  </w:t>
      </w:r>
      <w:r>
        <w:rPr>
          <w:spacing w:val="-1"/>
        </w:rPr>
        <w:t>元器件和电路的选择，标准元器件和电路的使用准则；</w:t>
      </w:r>
    </w:p>
    <w:p w14:paraId="12037991">
      <w:pPr>
        <w:pStyle w:val="2"/>
        <w:spacing w:before="70"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71"/>
        </w:rPr>
        <w:t xml:space="preserve"> </w:t>
      </w:r>
      <w:r>
        <w:rPr>
          <w:spacing w:val="3"/>
        </w:rPr>
        <w:t>搭接和接地技术；</w:t>
      </w:r>
    </w:p>
    <w:p w14:paraId="3958E168">
      <w:pPr>
        <w:pStyle w:val="2"/>
        <w:spacing w:before="110"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64"/>
          <w:w w:val="101"/>
        </w:rPr>
        <w:t xml:space="preserve"> </w:t>
      </w:r>
      <w:r>
        <w:rPr>
          <w:spacing w:val="4"/>
        </w:rPr>
        <w:t>选择滤波器的技术依据及在电路上的具体应用；</w:t>
      </w:r>
    </w:p>
    <w:p w14:paraId="3300BE95">
      <w:pPr>
        <w:pStyle w:val="2"/>
        <w:spacing w:before="100" w:line="212" w:lineRule="auto"/>
        <w:ind w:left="560"/>
      </w:pPr>
      <w:r>
        <w:rPr>
          <w:rFonts w:ascii="Times New Roman" w:hAnsi="Times New Roman" w:eastAsia="Times New Roman" w:cs="Times New Roman"/>
          <w:spacing w:val="3"/>
        </w:rPr>
        <w:t xml:space="preserve">d)  </w:t>
      </w:r>
      <w:r>
        <w:rPr>
          <w:spacing w:val="3"/>
        </w:rPr>
        <w:t>根据电磁场方向所确定的元器件位置和隔离措施；</w:t>
      </w:r>
    </w:p>
    <w:p w14:paraId="51EFB492">
      <w:pPr>
        <w:spacing w:line="212" w:lineRule="auto"/>
        <w:sectPr>
          <w:footerReference r:id="rId610" w:type="default"/>
          <w:pgSz w:w="11910" w:h="17130"/>
          <w:pgMar w:top="1456" w:right="1227" w:bottom="1596" w:left="1289" w:header="0" w:footer="1407" w:gutter="0"/>
          <w:cols w:space="720" w:num="1"/>
        </w:sectPr>
      </w:pPr>
    </w:p>
    <w:p w14:paraId="5089568A">
      <w:pPr>
        <w:pStyle w:val="2"/>
        <w:spacing w:before="75" w:line="220" w:lineRule="auto"/>
        <w:ind w:left="550"/>
      </w:pPr>
      <w:r>
        <w:rPr>
          <w:rFonts w:ascii="Times New Roman" w:hAnsi="Times New Roman" w:eastAsia="Times New Roman" w:cs="Times New Roman"/>
        </w:rPr>
        <w:t>e</w:t>
      </w:r>
      <w:r>
        <w:rPr>
          <w:rFonts w:ascii="Times New Roman" w:hAnsi="Times New Roman" w:eastAsia="Times New Roman" w:cs="Times New Roman"/>
          <w:spacing w:val="-25"/>
        </w:rPr>
        <w:t xml:space="preserve"> </w:t>
      </w:r>
      <w:r>
        <w:t>)</w:t>
      </w:r>
      <w:r>
        <w:rPr>
          <w:spacing w:val="-49"/>
        </w:rPr>
        <w:t xml:space="preserve"> </w:t>
      </w:r>
      <w:r>
        <w:t>脉冲波形的选择；</w:t>
      </w:r>
    </w:p>
    <w:p w14:paraId="68262317">
      <w:pPr>
        <w:pStyle w:val="2"/>
        <w:spacing w:before="66" w:line="212" w:lineRule="auto"/>
        <w:ind w:left="550"/>
      </w:pPr>
      <w:r>
        <w:rPr>
          <w:rFonts w:ascii="Times New Roman" w:hAnsi="Times New Roman" w:eastAsia="Times New Roman" w:cs="Times New Roman"/>
          <w:spacing w:val="4"/>
        </w:rPr>
        <w:t xml:space="preserve">f)  </w:t>
      </w:r>
      <w:r>
        <w:rPr>
          <w:spacing w:val="4"/>
        </w:rPr>
        <w:t>关键电路的位置和各电路所用的去耦技术；</w:t>
      </w:r>
    </w:p>
    <w:p w14:paraId="5780CC61">
      <w:pPr>
        <w:pStyle w:val="2"/>
        <w:spacing w:before="121" w:line="212" w:lineRule="auto"/>
        <w:ind w:left="550"/>
        <w:rPr>
          <w:sz w:val="24"/>
          <w:szCs w:val="24"/>
        </w:rPr>
      </w:pPr>
      <w:r>
        <w:rPr>
          <w:rFonts w:ascii="Times New Roman" w:hAnsi="Times New Roman" w:eastAsia="Times New Roman" w:cs="Times New Roman"/>
          <w:spacing w:val="25"/>
          <w:sz w:val="24"/>
          <w:szCs w:val="24"/>
        </w:rPr>
        <w:t xml:space="preserve">g </w:t>
      </w:r>
      <w:r>
        <w:rPr>
          <w:spacing w:val="25"/>
          <w:sz w:val="24"/>
          <w:szCs w:val="24"/>
        </w:rPr>
        <w:t>)</w:t>
      </w:r>
      <w:r>
        <w:rPr>
          <w:spacing w:val="-32"/>
          <w:sz w:val="24"/>
          <w:szCs w:val="24"/>
        </w:rPr>
        <w:t xml:space="preserve"> </w:t>
      </w:r>
      <w:r>
        <w:rPr>
          <w:spacing w:val="25"/>
          <w:sz w:val="24"/>
          <w:szCs w:val="24"/>
        </w:rPr>
        <w:t>关键电路的屏蔽和隔离。</w:t>
      </w:r>
    </w:p>
    <w:p w14:paraId="03C5A45B">
      <w:pPr>
        <w:spacing w:before="137" w:line="222" w:lineRule="auto"/>
        <w:rPr>
          <w:rFonts w:ascii="黑体" w:hAnsi="黑体" w:eastAsia="黑体" w:cs="黑体"/>
          <w:sz w:val="24"/>
          <w:szCs w:val="24"/>
        </w:rPr>
      </w:pPr>
      <w:r>
        <w:rPr>
          <w:rFonts w:ascii="黑体" w:hAnsi="黑体" w:eastAsia="黑体" w:cs="黑体"/>
          <w:spacing w:val="15"/>
          <w:sz w:val="24"/>
          <w:szCs w:val="24"/>
        </w:rPr>
        <w:t>4.6</w:t>
      </w:r>
      <w:r>
        <w:rPr>
          <w:rFonts w:ascii="黑体" w:hAnsi="黑体" w:eastAsia="黑体" w:cs="黑体"/>
          <w:spacing w:val="44"/>
          <w:sz w:val="24"/>
          <w:szCs w:val="24"/>
        </w:rPr>
        <w:t xml:space="preserve">  </w:t>
      </w:r>
      <w:r>
        <w:rPr>
          <w:rFonts w:ascii="黑体" w:hAnsi="黑体" w:eastAsia="黑体" w:cs="黑体"/>
          <w:b/>
          <w:bCs/>
          <w:spacing w:val="15"/>
          <w:sz w:val="24"/>
          <w:szCs w:val="24"/>
        </w:rPr>
        <w:t>标准、规范及验证要求</w:t>
      </w:r>
    </w:p>
    <w:p w14:paraId="4A9A7E71">
      <w:pPr>
        <w:pStyle w:val="2"/>
        <w:spacing w:before="67" w:line="212" w:lineRule="auto"/>
        <w:ind w:left="550"/>
      </w:pPr>
      <w:r>
        <w:rPr>
          <w:rFonts w:ascii="Times New Roman" w:hAnsi="Times New Roman" w:eastAsia="Times New Roman" w:cs="Times New Roman"/>
          <w:spacing w:val="4"/>
        </w:rPr>
        <w:t>a)</w:t>
      </w:r>
      <w:r>
        <w:rPr>
          <w:rFonts w:ascii="Times New Roman" w:hAnsi="Times New Roman" w:eastAsia="Times New Roman" w:cs="Times New Roman"/>
          <w:spacing w:val="80"/>
          <w:w w:val="101"/>
        </w:rPr>
        <w:t xml:space="preserve"> </w:t>
      </w:r>
      <w:r>
        <w:rPr>
          <w:spacing w:val="4"/>
        </w:rPr>
        <w:t>说明系统和设备所选用的电磁兼容性标准和规范；</w:t>
      </w:r>
    </w:p>
    <w:p w14:paraId="17CC63DB">
      <w:pPr>
        <w:pStyle w:val="2"/>
        <w:spacing w:before="90" w:line="212" w:lineRule="auto"/>
        <w:ind w:left="550"/>
      </w:pPr>
      <w:r>
        <w:rPr>
          <w:rFonts w:ascii="Times New Roman" w:hAnsi="Times New Roman" w:eastAsia="Times New Roman" w:cs="Times New Roman"/>
          <w:spacing w:val="4"/>
        </w:rPr>
        <w:t>b)</w:t>
      </w:r>
      <w:r>
        <w:rPr>
          <w:rFonts w:ascii="Times New Roman" w:hAnsi="Times New Roman" w:eastAsia="Times New Roman" w:cs="Times New Roman"/>
          <w:spacing w:val="73"/>
        </w:rPr>
        <w:t xml:space="preserve"> </w:t>
      </w:r>
      <w:r>
        <w:rPr>
          <w:spacing w:val="4"/>
        </w:rPr>
        <w:t>说明对选用标准所进行的剪裁及其技术依据；</w:t>
      </w:r>
    </w:p>
    <w:p w14:paraId="33BD6AF9">
      <w:pPr>
        <w:pStyle w:val="2"/>
        <w:spacing w:before="100" w:line="212" w:lineRule="auto"/>
        <w:ind w:left="550"/>
      </w:pPr>
      <w:r>
        <w:rPr>
          <w:rFonts w:ascii="Times New Roman" w:hAnsi="Times New Roman" w:eastAsia="Times New Roman" w:cs="Times New Roman"/>
          <w:spacing w:val="4"/>
        </w:rPr>
        <w:t>c)</w:t>
      </w:r>
      <w:r>
        <w:rPr>
          <w:rFonts w:ascii="Times New Roman" w:hAnsi="Times New Roman" w:eastAsia="Times New Roman" w:cs="Times New Roman"/>
          <w:spacing w:val="66"/>
          <w:w w:val="101"/>
        </w:rPr>
        <w:t xml:space="preserve"> </w:t>
      </w:r>
      <w:r>
        <w:rPr>
          <w:spacing w:val="4"/>
        </w:rPr>
        <w:t>设备或系统电磁兼容性要求的验证计划；</w:t>
      </w:r>
    </w:p>
    <w:p w14:paraId="6197C827">
      <w:pPr>
        <w:pStyle w:val="2"/>
        <w:spacing w:before="110" w:line="212" w:lineRule="auto"/>
        <w:ind w:left="550"/>
      </w:pPr>
      <w:r>
        <w:rPr>
          <w:rFonts w:ascii="Times New Roman" w:hAnsi="Times New Roman" w:eastAsia="Times New Roman" w:cs="Times New Roman"/>
          <w:spacing w:val="-1"/>
        </w:rPr>
        <w:t xml:space="preserve">d)  </w:t>
      </w:r>
      <w:r>
        <w:rPr>
          <w:spacing w:val="-1"/>
        </w:rPr>
        <w:t>若某项内容不进行验证，说明其原因和风险。</w:t>
      </w:r>
    </w:p>
    <w:p w14:paraId="5E8E4D9B">
      <w:pPr>
        <w:spacing w:before="117" w:line="222" w:lineRule="auto"/>
        <w:rPr>
          <w:rFonts w:ascii="黑体" w:hAnsi="黑体" w:eastAsia="黑体" w:cs="黑体"/>
          <w:sz w:val="27"/>
          <w:szCs w:val="27"/>
        </w:rPr>
      </w:pPr>
      <w:r>
        <w:rPr>
          <w:rFonts w:ascii="黑体" w:hAnsi="黑体" w:eastAsia="黑体" w:cs="黑体"/>
          <w:sz w:val="27"/>
          <w:szCs w:val="27"/>
        </w:rPr>
        <w:t>4.7</w:t>
      </w:r>
      <w:r>
        <w:rPr>
          <w:rFonts w:ascii="黑体" w:hAnsi="黑体" w:eastAsia="黑体" w:cs="黑体"/>
          <w:spacing w:val="17"/>
          <w:sz w:val="27"/>
          <w:szCs w:val="27"/>
        </w:rPr>
        <w:t xml:space="preserve">  </w:t>
      </w:r>
      <w:r>
        <w:rPr>
          <w:rFonts w:ascii="黑体" w:hAnsi="黑体" w:eastAsia="黑体" w:cs="黑体"/>
          <w:b/>
          <w:bCs/>
          <w:sz w:val="27"/>
          <w:szCs w:val="27"/>
        </w:rPr>
        <w:t>分析</w:t>
      </w:r>
    </w:p>
    <w:p w14:paraId="765CB228">
      <w:pPr>
        <w:pStyle w:val="2"/>
        <w:spacing w:before="78" w:line="282" w:lineRule="auto"/>
        <w:ind w:right="114" w:firstLine="550"/>
      </w:pPr>
      <w:r>
        <w:rPr>
          <w:spacing w:val="6"/>
        </w:rPr>
        <w:t>说明为满足电磁兼容性要求所做的预测和分</w:t>
      </w:r>
      <w:r>
        <w:rPr>
          <w:spacing w:val="5"/>
        </w:rPr>
        <w:t>析。分析装备满足电磁兼容性</w:t>
      </w:r>
      <w:r>
        <w:t xml:space="preserve"> </w:t>
      </w:r>
      <w:r>
        <w:rPr>
          <w:spacing w:val="-3"/>
        </w:rPr>
        <w:t>要求的能力，可能出现的最恶劣情况和风险。</w:t>
      </w:r>
    </w:p>
    <w:p w14:paraId="264ABD79">
      <w:pPr>
        <w:spacing w:before="1" w:line="221" w:lineRule="auto"/>
        <w:rPr>
          <w:rFonts w:ascii="黑体" w:hAnsi="黑体" w:eastAsia="黑体" w:cs="黑体"/>
          <w:sz w:val="25"/>
          <w:szCs w:val="25"/>
        </w:rPr>
      </w:pPr>
      <w:r>
        <w:rPr>
          <w:rFonts w:ascii="黑体" w:hAnsi="黑体" w:eastAsia="黑体" w:cs="黑体"/>
          <w:spacing w:val="-4"/>
          <w:sz w:val="25"/>
          <w:szCs w:val="25"/>
        </w:rPr>
        <w:t>4.8</w:t>
      </w:r>
      <w:r>
        <w:rPr>
          <w:rFonts w:ascii="黑体" w:hAnsi="黑体" w:eastAsia="黑体" w:cs="黑体"/>
          <w:spacing w:val="41"/>
          <w:sz w:val="25"/>
          <w:szCs w:val="25"/>
        </w:rPr>
        <w:t xml:space="preserve">  </w:t>
      </w:r>
      <w:r>
        <w:rPr>
          <w:rFonts w:ascii="黑体" w:hAnsi="黑体" w:eastAsia="黑体" w:cs="黑体"/>
          <w:b/>
          <w:bCs/>
          <w:spacing w:val="-4"/>
          <w:sz w:val="25"/>
          <w:szCs w:val="25"/>
        </w:rPr>
        <w:t>修</w:t>
      </w:r>
      <w:r>
        <w:rPr>
          <w:rFonts w:ascii="黑体" w:hAnsi="黑体" w:eastAsia="黑体" w:cs="黑体"/>
          <w:spacing w:val="-47"/>
          <w:sz w:val="25"/>
          <w:szCs w:val="25"/>
        </w:rPr>
        <w:t xml:space="preserve"> </w:t>
      </w:r>
      <w:r>
        <w:rPr>
          <w:rFonts w:ascii="黑体" w:hAnsi="黑体" w:eastAsia="黑体" w:cs="黑体"/>
          <w:b/>
          <w:bCs/>
          <w:spacing w:val="-4"/>
          <w:sz w:val="25"/>
          <w:szCs w:val="25"/>
        </w:rPr>
        <w:t>改</w:t>
      </w:r>
    </w:p>
    <w:p w14:paraId="3D513C3A">
      <w:pPr>
        <w:pStyle w:val="2"/>
        <w:spacing w:before="96" w:line="219" w:lineRule="auto"/>
        <w:ind w:left="550"/>
      </w:pPr>
      <w:r>
        <w:rPr>
          <w:spacing w:val="3"/>
        </w:rPr>
        <w:t>提出修改控制计划的程序和方法。</w:t>
      </w:r>
    </w:p>
    <w:p w14:paraId="51232A61">
      <w:pPr>
        <w:spacing w:line="329" w:lineRule="auto"/>
        <w:rPr>
          <w:rFonts w:ascii="Arial"/>
          <w:sz w:val="21"/>
        </w:rPr>
      </w:pPr>
    </w:p>
    <w:p w14:paraId="7A0719A5">
      <w:pPr>
        <w:pStyle w:val="2"/>
        <w:spacing w:before="117" w:line="219" w:lineRule="auto"/>
        <w:ind w:left="2499"/>
        <w:outlineLvl w:val="1"/>
        <w:rPr>
          <w:sz w:val="36"/>
          <w:szCs w:val="36"/>
        </w:rPr>
      </w:pPr>
      <w:r>
        <w:rPr>
          <w:rFonts w:ascii="Times New Roman" w:hAnsi="Times New Roman" w:eastAsia="Times New Roman" w:cs="Times New Roman"/>
          <w:b/>
          <w:bCs/>
          <w:spacing w:val="-1"/>
          <w:sz w:val="36"/>
          <w:szCs w:val="36"/>
        </w:rPr>
        <w:t>13.6</w:t>
      </w:r>
      <w:r>
        <w:rPr>
          <w:rFonts w:ascii="Times New Roman" w:hAnsi="Times New Roman" w:eastAsia="Times New Roman" w:cs="Times New Roman"/>
          <w:b/>
          <w:bCs/>
          <w:spacing w:val="10"/>
          <w:sz w:val="36"/>
          <w:szCs w:val="36"/>
        </w:rPr>
        <w:t xml:space="preserve">     </w:t>
      </w:r>
      <w:r>
        <w:rPr>
          <w:b/>
          <w:bCs/>
          <w:spacing w:val="-1"/>
          <w:sz w:val="36"/>
          <w:szCs w:val="36"/>
        </w:rPr>
        <w:t>电磁兼容性设计方案</w:t>
      </w:r>
    </w:p>
    <w:p w14:paraId="4FB7B5CE">
      <w:pPr>
        <w:spacing w:line="314" w:lineRule="auto"/>
        <w:rPr>
          <w:rFonts w:ascii="Arial"/>
          <w:sz w:val="21"/>
        </w:rPr>
      </w:pPr>
    </w:p>
    <w:p w14:paraId="5029219E">
      <w:pPr>
        <w:pStyle w:val="2"/>
        <w:spacing w:before="92" w:line="223" w:lineRule="auto"/>
        <w:ind w:left="550"/>
        <w:rPr>
          <w:rFonts w:ascii="楷体" w:hAnsi="楷体" w:eastAsia="楷体" w:cs="楷体"/>
          <w:sz w:val="28"/>
          <w:szCs w:val="28"/>
        </w:rPr>
      </w:pPr>
      <w:r>
        <w:rPr>
          <w:rFonts w:ascii="楷体" w:hAnsi="楷体" w:eastAsia="楷体" w:cs="楷体"/>
          <w:spacing w:val="-13"/>
          <w:sz w:val="28"/>
          <w:szCs w:val="28"/>
        </w:rPr>
        <w:t>按照</w:t>
      </w:r>
      <w:r>
        <w:rPr>
          <w:rFonts w:ascii="楷体" w:hAnsi="楷体" w:eastAsia="楷体" w:cs="楷体"/>
          <w:spacing w:val="-83"/>
          <w:sz w:val="28"/>
          <w:szCs w:val="28"/>
        </w:rPr>
        <w:t xml:space="preserve"> </w:t>
      </w:r>
      <w:r>
        <w:rPr>
          <w:rFonts w:ascii="Times New Roman" w:hAnsi="Times New Roman" w:eastAsia="Times New Roman" w:cs="Times New Roman"/>
          <w:spacing w:val="-13"/>
          <w:sz w:val="28"/>
          <w:szCs w:val="28"/>
        </w:rPr>
        <w:t>GJB</w:t>
      </w:r>
      <w:r>
        <w:rPr>
          <w:rFonts w:ascii="Times New Roman" w:hAnsi="Times New Roman" w:eastAsia="Times New Roman" w:cs="Times New Roman"/>
          <w:spacing w:val="28"/>
          <w:sz w:val="28"/>
          <w:szCs w:val="28"/>
        </w:rPr>
        <w:t xml:space="preserve"> </w:t>
      </w:r>
      <w:r>
        <w:rPr>
          <w:rFonts w:ascii="Times New Roman" w:hAnsi="Times New Roman" w:eastAsia="Times New Roman" w:cs="Times New Roman"/>
          <w:spacing w:val="-13"/>
          <w:sz w:val="28"/>
          <w:szCs w:val="28"/>
        </w:rPr>
        <w:t>1389—1992</w:t>
      </w:r>
      <w:r>
        <w:rPr>
          <w:spacing w:val="-13"/>
          <w:sz w:val="28"/>
          <w:szCs w:val="28"/>
        </w:rPr>
        <w:t>《</w:t>
      </w:r>
      <w:r>
        <w:rPr>
          <w:rFonts w:ascii="楷体" w:hAnsi="楷体" w:eastAsia="楷体" w:cs="楷体"/>
          <w:spacing w:val="-13"/>
          <w:sz w:val="28"/>
          <w:szCs w:val="28"/>
        </w:rPr>
        <w:t>系统电磁兼容性要</w:t>
      </w:r>
      <w:r>
        <w:rPr>
          <w:rFonts w:ascii="楷体" w:hAnsi="楷体" w:eastAsia="楷体" w:cs="楷体"/>
          <w:spacing w:val="-14"/>
          <w:sz w:val="28"/>
          <w:szCs w:val="28"/>
        </w:rPr>
        <w:t>求》编写。</w:t>
      </w:r>
    </w:p>
    <w:p w14:paraId="45E11EAA">
      <w:pPr>
        <w:spacing w:before="75" w:line="223" w:lineRule="auto"/>
        <w:rPr>
          <w:rFonts w:ascii="黑体" w:hAnsi="黑体" w:eastAsia="黑体" w:cs="黑体"/>
          <w:sz w:val="27"/>
          <w:szCs w:val="27"/>
        </w:rPr>
      </w:pPr>
      <w:r>
        <w:rPr>
          <w:rFonts w:ascii="黑体" w:hAnsi="黑体" w:eastAsia="黑体" w:cs="黑体"/>
          <w:spacing w:val="-4"/>
          <w:sz w:val="27"/>
          <w:szCs w:val="27"/>
        </w:rPr>
        <w:t>1</w:t>
      </w:r>
      <w:r>
        <w:rPr>
          <w:rFonts w:ascii="黑体" w:hAnsi="黑体" w:eastAsia="黑体" w:cs="黑体"/>
          <w:spacing w:val="31"/>
          <w:sz w:val="27"/>
          <w:szCs w:val="27"/>
        </w:rPr>
        <w:t xml:space="preserve">  </w:t>
      </w:r>
      <w:r>
        <w:rPr>
          <w:rFonts w:ascii="黑体" w:hAnsi="黑体" w:eastAsia="黑体" w:cs="黑体"/>
          <w:b/>
          <w:bCs/>
          <w:spacing w:val="-4"/>
          <w:sz w:val="27"/>
          <w:szCs w:val="27"/>
        </w:rPr>
        <w:t>范围</w:t>
      </w:r>
    </w:p>
    <w:p w14:paraId="0322431E">
      <w:pPr>
        <w:spacing w:before="81"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23"/>
          <w:sz w:val="27"/>
          <w:szCs w:val="27"/>
        </w:rPr>
        <w:t xml:space="preserve">  </w:t>
      </w:r>
      <w:r>
        <w:rPr>
          <w:rFonts w:ascii="黑体" w:hAnsi="黑体" w:eastAsia="黑体" w:cs="黑体"/>
          <w:b/>
          <w:bCs/>
          <w:spacing w:val="-1"/>
          <w:sz w:val="27"/>
          <w:szCs w:val="27"/>
        </w:rPr>
        <w:t>引用文件</w:t>
      </w:r>
    </w:p>
    <w:p w14:paraId="59B97375">
      <w:pPr>
        <w:spacing w:before="86"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24"/>
          <w:sz w:val="27"/>
          <w:szCs w:val="27"/>
        </w:rPr>
        <w:t xml:space="preserve">  </w:t>
      </w:r>
      <w:r>
        <w:rPr>
          <w:rFonts w:ascii="黑体" w:hAnsi="黑体" w:eastAsia="黑体" w:cs="黑体"/>
          <w:b/>
          <w:bCs/>
          <w:spacing w:val="-2"/>
          <w:sz w:val="27"/>
          <w:szCs w:val="27"/>
        </w:rPr>
        <w:t>电磁环境条件</w:t>
      </w:r>
    </w:p>
    <w:p w14:paraId="7026F3E7">
      <w:pPr>
        <w:pStyle w:val="2"/>
        <w:spacing w:before="109" w:line="219" w:lineRule="auto"/>
        <w:ind w:left="550"/>
      </w:pPr>
      <w:r>
        <w:rPr>
          <w:spacing w:val="-4"/>
        </w:rPr>
        <w:t>根据13.1编写的《电磁环境》技术文件，简要描述电磁环境条件。</w:t>
      </w:r>
    </w:p>
    <w:p w14:paraId="31200A71">
      <w:pPr>
        <w:spacing w:before="56" w:line="222"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21"/>
          <w:sz w:val="27"/>
          <w:szCs w:val="27"/>
        </w:rPr>
        <w:t xml:space="preserve">  </w:t>
      </w:r>
      <w:r>
        <w:rPr>
          <w:rFonts w:ascii="黑体" w:hAnsi="黑体" w:eastAsia="黑体" w:cs="黑体"/>
          <w:b/>
          <w:bCs/>
          <w:spacing w:val="-2"/>
          <w:sz w:val="27"/>
          <w:szCs w:val="27"/>
        </w:rPr>
        <w:t>电磁兼容性要求</w:t>
      </w:r>
    </w:p>
    <w:p w14:paraId="6324B85B">
      <w:pPr>
        <w:pStyle w:val="2"/>
        <w:spacing w:before="98" w:line="298" w:lineRule="auto"/>
        <w:ind w:firstLine="550"/>
        <w:rPr>
          <w:sz w:val="25"/>
          <w:szCs w:val="25"/>
        </w:rPr>
      </w:pPr>
      <w:r>
        <w:rPr>
          <w:spacing w:val="20"/>
          <w:sz w:val="25"/>
          <w:szCs w:val="25"/>
        </w:rPr>
        <w:t>依据产品研制总要求或根据本书13.2《</w:t>
      </w:r>
      <w:r>
        <w:rPr>
          <w:spacing w:val="19"/>
          <w:sz w:val="25"/>
          <w:szCs w:val="25"/>
        </w:rPr>
        <w:t>电磁兼容性要求》编写的技术文件，</w:t>
      </w:r>
      <w:r>
        <w:rPr>
          <w:sz w:val="25"/>
          <w:szCs w:val="25"/>
        </w:rPr>
        <w:t xml:space="preserve"> </w:t>
      </w:r>
      <w:r>
        <w:rPr>
          <w:spacing w:val="21"/>
          <w:sz w:val="25"/>
          <w:szCs w:val="25"/>
        </w:rPr>
        <w:t>简要描述电磁兼容性要求。</w:t>
      </w:r>
    </w:p>
    <w:p w14:paraId="3F903651">
      <w:pPr>
        <w:spacing w:before="1" w:line="221" w:lineRule="auto"/>
        <w:rPr>
          <w:rFonts w:ascii="黑体" w:hAnsi="黑体" w:eastAsia="黑体" w:cs="黑体"/>
          <w:sz w:val="27"/>
          <w:szCs w:val="27"/>
        </w:rPr>
      </w:pPr>
      <w:r>
        <w:rPr>
          <w:rFonts w:ascii="黑体" w:hAnsi="黑体" w:eastAsia="黑体" w:cs="黑体"/>
          <w:sz w:val="27"/>
          <w:szCs w:val="27"/>
        </w:rPr>
        <w:t>5</w:t>
      </w:r>
      <w:r>
        <w:rPr>
          <w:rFonts w:ascii="黑体" w:hAnsi="黑体" w:eastAsia="黑体" w:cs="黑体"/>
          <w:spacing w:val="25"/>
          <w:sz w:val="27"/>
          <w:szCs w:val="27"/>
        </w:rPr>
        <w:t xml:space="preserve">  </w:t>
      </w:r>
      <w:r>
        <w:rPr>
          <w:rFonts w:ascii="黑体" w:hAnsi="黑体" w:eastAsia="黑体" w:cs="黑体"/>
          <w:b/>
          <w:bCs/>
          <w:sz w:val="27"/>
          <w:szCs w:val="27"/>
        </w:rPr>
        <w:t>电磁兼容性设计准则</w:t>
      </w:r>
    </w:p>
    <w:p w14:paraId="66AA5BE8">
      <w:pPr>
        <w:pStyle w:val="2"/>
        <w:spacing w:before="111" w:line="269" w:lineRule="auto"/>
        <w:ind w:right="114" w:firstLine="550"/>
      </w:pPr>
      <w:r>
        <w:rPr>
          <w:spacing w:val="6"/>
        </w:rPr>
        <w:t>根据产品所处的电磁环境和产品实际情况，</w:t>
      </w:r>
      <w:r>
        <w:rPr>
          <w:spacing w:val="5"/>
        </w:rPr>
        <w:t>依据电磁兼容性要求和电磁兼</w:t>
      </w:r>
      <w:r>
        <w:t xml:space="preserve"> </w:t>
      </w:r>
      <w:r>
        <w:rPr>
          <w:spacing w:val="-3"/>
        </w:rPr>
        <w:t>容性设计手册，制定电磁兼容性设计准则。</w:t>
      </w:r>
    </w:p>
    <w:p w14:paraId="37BCC558">
      <w:pPr>
        <w:spacing w:before="37" w:line="221" w:lineRule="auto"/>
        <w:rPr>
          <w:rFonts w:ascii="黑体" w:hAnsi="黑体" w:eastAsia="黑体" w:cs="黑体"/>
          <w:sz w:val="24"/>
          <w:szCs w:val="24"/>
        </w:rPr>
      </w:pPr>
      <w:r>
        <w:rPr>
          <w:rFonts w:ascii="黑体" w:hAnsi="黑体" w:eastAsia="黑体" w:cs="黑体"/>
          <w:spacing w:val="26"/>
          <w:sz w:val="24"/>
          <w:szCs w:val="24"/>
        </w:rPr>
        <w:t>6</w:t>
      </w:r>
      <w:r>
        <w:rPr>
          <w:rFonts w:ascii="黑体" w:hAnsi="黑体" w:eastAsia="黑体" w:cs="黑体"/>
          <w:spacing w:val="46"/>
          <w:sz w:val="24"/>
          <w:szCs w:val="24"/>
        </w:rPr>
        <w:t xml:space="preserve">  </w:t>
      </w:r>
      <w:r>
        <w:rPr>
          <w:rFonts w:ascii="黑体" w:hAnsi="黑体" w:eastAsia="黑体" w:cs="黑体"/>
          <w:b/>
          <w:bCs/>
          <w:spacing w:val="26"/>
          <w:sz w:val="24"/>
          <w:szCs w:val="24"/>
        </w:rPr>
        <w:t>电磁兼容性设计方案</w:t>
      </w:r>
    </w:p>
    <w:p w14:paraId="1E41E277">
      <w:pPr>
        <w:spacing w:before="112" w:line="221" w:lineRule="auto"/>
        <w:rPr>
          <w:rFonts w:ascii="黑体" w:hAnsi="黑体" w:eastAsia="黑体" w:cs="黑体"/>
          <w:sz w:val="24"/>
          <w:szCs w:val="24"/>
        </w:rPr>
      </w:pPr>
      <w:r>
        <w:rPr>
          <w:rFonts w:ascii="黑体" w:hAnsi="黑体" w:eastAsia="黑体" w:cs="黑体"/>
          <w:spacing w:val="26"/>
          <w:sz w:val="24"/>
          <w:szCs w:val="24"/>
        </w:rPr>
        <w:t>6.1</w:t>
      </w:r>
      <w:r>
        <w:rPr>
          <w:rFonts w:ascii="黑体" w:hAnsi="黑体" w:eastAsia="黑体" w:cs="黑体"/>
          <w:spacing w:val="58"/>
          <w:sz w:val="24"/>
          <w:szCs w:val="24"/>
        </w:rPr>
        <w:t xml:space="preserve">  </w:t>
      </w:r>
      <w:r>
        <w:rPr>
          <w:rFonts w:ascii="黑体" w:hAnsi="黑体" w:eastAsia="黑体" w:cs="黑体"/>
          <w:b/>
          <w:bCs/>
          <w:spacing w:val="26"/>
          <w:sz w:val="24"/>
          <w:szCs w:val="24"/>
        </w:rPr>
        <w:t>分系统或设备的关键类别</w:t>
      </w:r>
    </w:p>
    <w:p w14:paraId="38BE0F24">
      <w:pPr>
        <w:pStyle w:val="2"/>
        <w:spacing w:before="108" w:line="272" w:lineRule="auto"/>
        <w:ind w:right="113" w:firstLine="550"/>
      </w:pPr>
      <w:r>
        <w:rPr>
          <w:spacing w:val="-3"/>
        </w:rPr>
        <w:t>说明分系统或设备在工作分解结构中所处的位置，按照研制总要求或《电磁</w:t>
      </w:r>
      <w:r>
        <w:rPr>
          <w:spacing w:val="9"/>
        </w:rPr>
        <w:t xml:space="preserve"> </w:t>
      </w:r>
      <w:r>
        <w:rPr>
          <w:spacing w:val="-3"/>
        </w:rPr>
        <w:t>兼容性要求》,说明分系统或设备的关键类别。</w:t>
      </w:r>
    </w:p>
    <w:p w14:paraId="23438420">
      <w:pPr>
        <w:spacing w:before="2" w:line="220"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b/>
          <w:bCs/>
          <w:spacing w:val="-1"/>
          <w:sz w:val="27"/>
          <w:szCs w:val="27"/>
        </w:rPr>
        <w:t>2</w:t>
      </w:r>
      <w:r>
        <w:rPr>
          <w:rFonts w:ascii="黑体" w:hAnsi="黑体" w:eastAsia="黑体" w:cs="黑体"/>
          <w:spacing w:val="22"/>
          <w:sz w:val="27"/>
          <w:szCs w:val="27"/>
        </w:rPr>
        <w:t xml:space="preserve">  </w:t>
      </w:r>
      <w:r>
        <w:rPr>
          <w:rFonts w:ascii="黑体" w:hAnsi="黑体" w:eastAsia="黑体" w:cs="黑体"/>
          <w:b/>
          <w:bCs/>
          <w:spacing w:val="-1"/>
          <w:sz w:val="27"/>
          <w:szCs w:val="27"/>
        </w:rPr>
        <w:t>性能降级准则</w:t>
      </w:r>
    </w:p>
    <w:p w14:paraId="04933CC1">
      <w:pPr>
        <w:pStyle w:val="2"/>
        <w:spacing w:before="109" w:line="278" w:lineRule="auto"/>
        <w:ind w:right="103" w:firstLine="550"/>
      </w:pPr>
      <w:r>
        <w:rPr>
          <w:spacing w:val="2"/>
        </w:rPr>
        <w:t>按照研制总要求或《电磁兼容性要求》,说明供需双</w:t>
      </w:r>
      <w:r>
        <w:rPr>
          <w:spacing w:val="1"/>
        </w:rPr>
        <w:t>方协调提出的分系统和</w:t>
      </w:r>
      <w:r>
        <w:t xml:space="preserve"> </w:t>
      </w:r>
      <w:r>
        <w:rPr>
          <w:spacing w:val="-3"/>
        </w:rPr>
        <w:t>设备性能的降级准则，用以规定和评定故障、不允许的响应和不希望有的响应。</w:t>
      </w:r>
    </w:p>
    <w:p w14:paraId="1E9ACC2E">
      <w:pPr>
        <w:spacing w:line="278" w:lineRule="auto"/>
        <w:sectPr>
          <w:footerReference r:id="rId611" w:type="default"/>
          <w:pgSz w:w="11910" w:h="17130"/>
          <w:pgMar w:top="1456" w:right="954" w:bottom="1730" w:left="1470" w:header="0" w:footer="1444" w:gutter="0"/>
          <w:cols w:space="720" w:num="1"/>
        </w:sectPr>
      </w:pPr>
    </w:p>
    <w:p w14:paraId="0722C1C7">
      <w:pPr>
        <w:spacing w:before="131" w:line="222" w:lineRule="auto"/>
        <w:rPr>
          <w:rFonts w:ascii="黑体" w:hAnsi="黑体" w:eastAsia="黑体" w:cs="黑体"/>
          <w:sz w:val="27"/>
          <w:szCs w:val="27"/>
        </w:rPr>
      </w:pPr>
      <w:r>
        <w:rPr>
          <w:rFonts w:ascii="黑体" w:hAnsi="黑体" w:eastAsia="黑体" w:cs="黑体"/>
          <w:spacing w:val="-1"/>
          <w:sz w:val="27"/>
          <w:szCs w:val="27"/>
        </w:rPr>
        <w:t>6.3</w:t>
      </w:r>
      <w:r>
        <w:rPr>
          <w:rFonts w:ascii="黑体" w:hAnsi="黑体" w:eastAsia="黑体" w:cs="黑体"/>
          <w:spacing w:val="20"/>
          <w:sz w:val="27"/>
          <w:szCs w:val="27"/>
        </w:rPr>
        <w:t xml:space="preserve">  </w:t>
      </w:r>
      <w:r>
        <w:rPr>
          <w:rFonts w:ascii="黑体" w:hAnsi="黑体" w:eastAsia="黑体" w:cs="黑体"/>
          <w:b/>
          <w:bCs/>
          <w:spacing w:val="-1"/>
          <w:sz w:val="27"/>
          <w:szCs w:val="27"/>
        </w:rPr>
        <w:t>安全系数</w:t>
      </w:r>
    </w:p>
    <w:p w14:paraId="6D5CA24B">
      <w:pPr>
        <w:pStyle w:val="2"/>
        <w:spacing w:before="47" w:line="284" w:lineRule="auto"/>
        <w:ind w:right="143" w:firstLine="560"/>
      </w:pPr>
      <w:r>
        <w:rPr>
          <w:spacing w:val="-3"/>
        </w:rPr>
        <w:t>根据实际需要，对划归在一、二类的分系统和设备</w:t>
      </w:r>
      <w:r>
        <w:rPr>
          <w:spacing w:val="-4"/>
        </w:rPr>
        <w:t>给出一个经过使用方认可</w:t>
      </w:r>
      <w:r>
        <w:t xml:space="preserve"> </w:t>
      </w:r>
      <w:r>
        <w:rPr>
          <w:spacing w:val="-1"/>
        </w:rPr>
        <w:t>的安全系数。</w:t>
      </w:r>
    </w:p>
    <w:p w14:paraId="1E03A90F">
      <w:pPr>
        <w:pStyle w:val="2"/>
        <w:spacing w:before="2" w:line="270" w:lineRule="auto"/>
        <w:ind w:firstLine="560"/>
        <w:jc w:val="both"/>
      </w:pPr>
      <w:r>
        <w:rPr>
          <w:rFonts w:ascii="楷体" w:hAnsi="楷体" w:eastAsia="楷体" w:cs="楷体"/>
          <w:spacing w:val="1"/>
        </w:rPr>
        <w:t>说明：确定安全系数时，应考虑系统的特性要求，预计的故障、误差积累、</w:t>
      </w:r>
      <w:r>
        <w:rPr>
          <w:rFonts w:ascii="楷体" w:hAnsi="楷体" w:eastAsia="楷体" w:cs="楷体"/>
        </w:rPr>
        <w:t xml:space="preserve"> </w:t>
      </w:r>
      <w:r>
        <w:rPr>
          <w:rFonts w:ascii="楷体" w:hAnsi="楷体" w:eastAsia="楷体" w:cs="楷体"/>
          <w:spacing w:val="14"/>
        </w:rPr>
        <w:t>测试的可重现性以及测试仪器的要求等。除非在合同、</w:t>
      </w:r>
      <w:r>
        <w:rPr>
          <w:rFonts w:ascii="楷体" w:hAnsi="楷体" w:eastAsia="楷体" w:cs="楷体"/>
          <w:spacing w:val="13"/>
        </w:rPr>
        <w:t>安全措施或系统控制</w:t>
      </w:r>
      <w:r>
        <w:rPr>
          <w:rFonts w:ascii="楷体" w:hAnsi="楷体" w:eastAsia="楷体" w:cs="楷体"/>
        </w:rPr>
        <w:t xml:space="preserve">  </w:t>
      </w:r>
      <w:r>
        <w:rPr>
          <w:rFonts w:ascii="楷体" w:hAnsi="楷体" w:eastAsia="楷体" w:cs="楷体"/>
          <w:spacing w:val="21"/>
        </w:rPr>
        <w:t>计划中另有规定外，所使用的安全系数一般应不小</w:t>
      </w:r>
      <w:r>
        <w:rPr>
          <w:rFonts w:ascii="楷体" w:hAnsi="楷体" w:eastAsia="楷体" w:cs="楷体"/>
          <w:spacing w:val="20"/>
        </w:rPr>
        <w:t>于6</w:t>
      </w:r>
      <w:r>
        <w:rPr>
          <w:rFonts w:ascii="Times New Roman" w:hAnsi="Times New Roman" w:eastAsia="Times New Roman" w:cs="Times New Roman"/>
        </w:rPr>
        <w:t>dB</w:t>
      </w:r>
      <w:r>
        <w:rPr>
          <w:rFonts w:ascii="Times New Roman" w:hAnsi="Times New Roman" w:eastAsia="Times New Roman" w:cs="Times New Roman"/>
          <w:spacing w:val="20"/>
        </w:rPr>
        <w:t>,</w:t>
      </w:r>
      <w:r>
        <w:rPr>
          <w:rFonts w:ascii="Times New Roman" w:hAnsi="Times New Roman" w:eastAsia="Times New Roman" w:cs="Times New Roman"/>
          <w:spacing w:val="29"/>
        </w:rPr>
        <w:t xml:space="preserve"> </w:t>
      </w:r>
      <w:r>
        <w:rPr>
          <w:rFonts w:ascii="楷体" w:hAnsi="楷体" w:eastAsia="楷体" w:cs="楷体"/>
          <w:spacing w:val="20"/>
        </w:rPr>
        <w:t>对易爆物应不小</w:t>
      </w:r>
      <w:r>
        <w:rPr>
          <w:rFonts w:ascii="楷体" w:hAnsi="楷体" w:eastAsia="楷体" w:cs="楷体"/>
        </w:rPr>
        <w:t xml:space="preserve">  </w:t>
      </w:r>
      <w:r>
        <w:rPr>
          <w:rFonts w:ascii="华文行楷" w:hAnsi="华文行楷" w:eastAsia="华文行楷" w:cs="华文行楷"/>
          <w:spacing w:val="-5"/>
        </w:rPr>
        <w:t>于 2</w:t>
      </w:r>
      <w:r>
        <w:rPr>
          <w:rFonts w:ascii="华文行楷" w:hAnsi="华文行楷" w:eastAsia="华文行楷" w:cs="华文行楷"/>
          <w:spacing w:val="-14"/>
        </w:rPr>
        <w:t xml:space="preserve"> </w:t>
      </w:r>
      <w:r>
        <w:rPr>
          <w:rFonts w:ascii="华文行楷" w:hAnsi="华文行楷" w:eastAsia="华文行楷" w:cs="华文行楷"/>
          <w:spacing w:val="-5"/>
        </w:rPr>
        <w:t>0</w:t>
      </w:r>
      <w:r>
        <w:rPr>
          <w:rFonts w:ascii="Times New Roman" w:hAnsi="Times New Roman" w:eastAsia="Times New Roman" w:cs="Times New Roman"/>
          <w:spacing w:val="-5"/>
        </w:rPr>
        <w:t>dB</w:t>
      </w:r>
      <w:r>
        <w:rPr>
          <w:spacing w:val="-5"/>
        </w:rPr>
        <w:t>。</w:t>
      </w:r>
    </w:p>
    <w:p w14:paraId="6DCEEF11">
      <w:pPr>
        <w:spacing w:line="221" w:lineRule="auto"/>
        <w:rPr>
          <w:rFonts w:ascii="黑体" w:hAnsi="黑体" w:eastAsia="黑体" w:cs="黑体"/>
          <w:sz w:val="27"/>
          <w:szCs w:val="27"/>
        </w:rPr>
      </w:pPr>
      <w:r>
        <w:rPr>
          <w:rFonts w:ascii="黑体" w:hAnsi="黑体" w:eastAsia="黑体" w:cs="黑体"/>
          <w:sz w:val="27"/>
          <w:szCs w:val="27"/>
        </w:rPr>
        <w:t>6.4</w:t>
      </w:r>
      <w:r>
        <w:rPr>
          <w:rFonts w:ascii="黑体" w:hAnsi="黑体" w:eastAsia="黑体" w:cs="黑体"/>
          <w:spacing w:val="19"/>
          <w:sz w:val="27"/>
          <w:szCs w:val="27"/>
        </w:rPr>
        <w:t xml:space="preserve">  </w:t>
      </w:r>
      <w:r>
        <w:rPr>
          <w:rFonts w:ascii="黑体" w:hAnsi="黑体" w:eastAsia="黑体" w:cs="黑体"/>
          <w:b/>
          <w:bCs/>
          <w:sz w:val="27"/>
          <w:szCs w:val="27"/>
        </w:rPr>
        <w:t>干扰与敏感度控制</w:t>
      </w:r>
    </w:p>
    <w:p w14:paraId="418FC280">
      <w:pPr>
        <w:pStyle w:val="2"/>
        <w:spacing w:before="91" w:line="274" w:lineRule="auto"/>
        <w:ind w:right="122" w:firstLine="560"/>
        <w:jc w:val="both"/>
      </w:pPr>
      <w:r>
        <w:rPr>
          <w:spacing w:val="-3"/>
        </w:rPr>
        <w:t>按照研制总要求或《电磁兼容性要求》中对干扰与敏感度控制的要求，采取</w:t>
      </w:r>
      <w:r>
        <w:rPr>
          <w:spacing w:val="10"/>
        </w:rPr>
        <w:t xml:space="preserve"> </w:t>
      </w:r>
      <w:r>
        <w:rPr>
          <w:spacing w:val="6"/>
        </w:rPr>
        <w:t>适当的干扰与敏感度控制措施进行设计，消除或抑制系统内或与</w:t>
      </w:r>
      <w:r>
        <w:rPr>
          <w:spacing w:val="5"/>
        </w:rPr>
        <w:t>系统有关的所</w:t>
      </w:r>
      <w:r>
        <w:t xml:space="preserve"> </w:t>
      </w:r>
      <w:r>
        <w:rPr>
          <w:spacing w:val="-2"/>
        </w:rPr>
        <w:t>有电子、电气分系统或设备产生的不希望有的发射与响应，并进行分析预计。本</w:t>
      </w:r>
      <w:r>
        <w:rPr>
          <w:spacing w:val="1"/>
        </w:rPr>
        <w:t xml:space="preserve"> </w:t>
      </w:r>
      <w:r>
        <w:rPr>
          <w:spacing w:val="3"/>
        </w:rPr>
        <w:t>节详细描述采取的设计措施及其分析预计结果。</w:t>
      </w:r>
    </w:p>
    <w:p w14:paraId="797FC9BC">
      <w:pPr>
        <w:spacing w:before="3" w:line="219" w:lineRule="auto"/>
        <w:rPr>
          <w:rFonts w:ascii="黑体" w:hAnsi="黑体" w:eastAsia="黑体" w:cs="黑体"/>
          <w:sz w:val="27"/>
          <w:szCs w:val="27"/>
        </w:rPr>
      </w:pPr>
      <w:r>
        <w:rPr>
          <w:rFonts w:ascii="黑体" w:hAnsi="黑体" w:eastAsia="黑体" w:cs="黑体"/>
          <w:spacing w:val="-2"/>
          <w:sz w:val="27"/>
          <w:szCs w:val="27"/>
        </w:rPr>
        <w:t>6.5</w:t>
      </w:r>
      <w:r>
        <w:rPr>
          <w:rFonts w:ascii="黑体" w:hAnsi="黑体" w:eastAsia="黑体" w:cs="黑体"/>
          <w:spacing w:val="31"/>
          <w:sz w:val="27"/>
          <w:szCs w:val="27"/>
        </w:rPr>
        <w:t xml:space="preserve">  </w:t>
      </w:r>
      <w:r>
        <w:rPr>
          <w:rFonts w:ascii="黑体" w:hAnsi="黑体" w:eastAsia="黑体" w:cs="黑体"/>
          <w:spacing w:val="-2"/>
          <w:sz w:val="27"/>
          <w:szCs w:val="27"/>
        </w:rPr>
        <w:t>电线和电缆布线</w:t>
      </w:r>
    </w:p>
    <w:p w14:paraId="3953C109">
      <w:pPr>
        <w:pStyle w:val="2"/>
        <w:spacing w:before="74" w:line="281" w:lineRule="auto"/>
        <w:ind w:right="116" w:firstLine="560"/>
        <w:jc w:val="both"/>
      </w:pPr>
      <w:r>
        <w:rPr>
          <w:spacing w:val="-3"/>
        </w:rPr>
        <w:t>按照研制总要求或《电磁兼容性要求》中对电线和电缆布线的要求进行电线</w:t>
      </w:r>
      <w:r>
        <w:rPr>
          <w:spacing w:val="16"/>
        </w:rPr>
        <w:t xml:space="preserve"> </w:t>
      </w:r>
      <w:r>
        <w:rPr>
          <w:spacing w:val="6"/>
        </w:rPr>
        <w:t>和电缆布线的设计，并进行分析预计。本节描述拟采取的电线和电缆</w:t>
      </w:r>
      <w:r>
        <w:rPr>
          <w:spacing w:val="5"/>
        </w:rPr>
        <w:t>布线设计</w:t>
      </w:r>
      <w:r>
        <w:t xml:space="preserve"> </w:t>
      </w:r>
      <w:r>
        <w:rPr>
          <w:spacing w:val="2"/>
        </w:rPr>
        <w:t>措施及其分析预计结果。</w:t>
      </w:r>
    </w:p>
    <w:p w14:paraId="2D71AE11">
      <w:pPr>
        <w:spacing w:before="1" w:line="220" w:lineRule="auto"/>
        <w:rPr>
          <w:rFonts w:ascii="黑体" w:hAnsi="黑体" w:eastAsia="黑体" w:cs="黑体"/>
          <w:sz w:val="25"/>
          <w:szCs w:val="25"/>
        </w:rPr>
      </w:pPr>
      <w:r>
        <w:rPr>
          <w:rFonts w:ascii="黑体" w:hAnsi="黑体" w:eastAsia="黑体" w:cs="黑体"/>
          <w:spacing w:val="1"/>
          <w:sz w:val="25"/>
          <w:szCs w:val="25"/>
        </w:rPr>
        <w:t>6.6</w:t>
      </w:r>
      <w:r>
        <w:rPr>
          <w:rFonts w:ascii="黑体" w:hAnsi="黑体" w:eastAsia="黑体" w:cs="黑体"/>
          <w:spacing w:val="54"/>
          <w:sz w:val="25"/>
          <w:szCs w:val="25"/>
        </w:rPr>
        <w:t xml:space="preserve">  </w:t>
      </w:r>
      <w:r>
        <w:rPr>
          <w:rFonts w:ascii="黑体" w:hAnsi="黑体" w:eastAsia="黑体" w:cs="黑体"/>
          <w:b/>
          <w:bCs/>
          <w:spacing w:val="1"/>
          <w:sz w:val="25"/>
          <w:szCs w:val="25"/>
        </w:rPr>
        <w:t>电源</w:t>
      </w:r>
    </w:p>
    <w:p w14:paraId="61CCC146">
      <w:pPr>
        <w:pStyle w:val="2"/>
        <w:spacing w:before="98" w:line="277" w:lineRule="auto"/>
        <w:ind w:right="120" w:firstLine="560"/>
        <w:jc w:val="both"/>
      </w:pPr>
      <w:r>
        <w:rPr>
          <w:spacing w:val="-3"/>
        </w:rPr>
        <w:t>按照研制总要求或《电磁兼容性要求》中对供电电源的要求进行供电电源及</w:t>
      </w:r>
      <w:r>
        <w:rPr>
          <w:spacing w:val="12"/>
        </w:rPr>
        <w:t xml:space="preserve"> </w:t>
      </w:r>
      <w:r>
        <w:rPr>
          <w:spacing w:val="6"/>
        </w:rPr>
        <w:t>其分配的设计，并进行分析预计。本节描述拟采取的电源设计措施及</w:t>
      </w:r>
      <w:r>
        <w:rPr>
          <w:spacing w:val="5"/>
        </w:rPr>
        <w:t>其分析预</w:t>
      </w:r>
      <w:r>
        <w:t xml:space="preserve"> </w:t>
      </w:r>
      <w:r>
        <w:rPr>
          <w:spacing w:val="-1"/>
        </w:rPr>
        <w:t>计结果。</w:t>
      </w:r>
    </w:p>
    <w:p w14:paraId="70658527">
      <w:pPr>
        <w:spacing w:line="222" w:lineRule="auto"/>
        <w:rPr>
          <w:rFonts w:ascii="黑体" w:hAnsi="黑体" w:eastAsia="黑体" w:cs="黑体"/>
          <w:sz w:val="27"/>
          <w:szCs w:val="27"/>
        </w:rPr>
      </w:pPr>
      <w:r>
        <w:rPr>
          <w:rFonts w:ascii="黑体" w:hAnsi="黑体" w:eastAsia="黑体" w:cs="黑体"/>
          <w:spacing w:val="-1"/>
          <w:sz w:val="27"/>
          <w:szCs w:val="27"/>
        </w:rPr>
        <w:t>6.7</w:t>
      </w:r>
      <w:r>
        <w:rPr>
          <w:rFonts w:ascii="黑体" w:hAnsi="黑体" w:eastAsia="黑体" w:cs="黑体"/>
          <w:spacing w:val="20"/>
          <w:sz w:val="27"/>
          <w:szCs w:val="27"/>
        </w:rPr>
        <w:t xml:space="preserve">  </w:t>
      </w:r>
      <w:r>
        <w:rPr>
          <w:rFonts w:ascii="黑体" w:hAnsi="黑体" w:eastAsia="黑体" w:cs="黑体"/>
          <w:b/>
          <w:bCs/>
          <w:spacing w:val="-1"/>
          <w:sz w:val="27"/>
          <w:szCs w:val="27"/>
        </w:rPr>
        <w:t>尖峰信号</w:t>
      </w:r>
    </w:p>
    <w:p w14:paraId="0607F78C">
      <w:pPr>
        <w:pStyle w:val="2"/>
        <w:spacing w:before="98" w:line="275" w:lineRule="auto"/>
        <w:ind w:firstLine="560"/>
      </w:pPr>
      <w:r>
        <w:rPr>
          <w:spacing w:val="1"/>
        </w:rPr>
        <w:t xml:space="preserve">按照研制总要求或《电磁兼容性要求》中对尖峰信号的控制要求进行设计， </w:t>
      </w:r>
      <w:r>
        <w:rPr>
          <w:spacing w:val="4"/>
        </w:rPr>
        <w:t>并进行分析预计。本节描述拟采取的设计措施及其分析预计结果。</w:t>
      </w:r>
    </w:p>
    <w:p w14:paraId="456882F0">
      <w:pPr>
        <w:spacing w:before="13" w:line="222" w:lineRule="auto"/>
        <w:rPr>
          <w:rFonts w:ascii="黑体" w:hAnsi="黑体" w:eastAsia="黑体" w:cs="黑体"/>
          <w:sz w:val="27"/>
          <w:szCs w:val="27"/>
        </w:rPr>
      </w:pPr>
      <w:r>
        <w:rPr>
          <w:rFonts w:ascii="黑体" w:hAnsi="黑体" w:eastAsia="黑体" w:cs="黑体"/>
          <w:spacing w:val="-2"/>
          <w:sz w:val="27"/>
          <w:szCs w:val="27"/>
        </w:rPr>
        <w:t>6.8</w:t>
      </w:r>
      <w:r>
        <w:rPr>
          <w:rFonts w:ascii="黑体" w:hAnsi="黑体" w:eastAsia="黑体" w:cs="黑体"/>
          <w:spacing w:val="20"/>
          <w:sz w:val="27"/>
          <w:szCs w:val="27"/>
        </w:rPr>
        <w:t xml:space="preserve">  </w:t>
      </w:r>
      <w:r>
        <w:rPr>
          <w:rFonts w:ascii="黑体" w:hAnsi="黑体" w:eastAsia="黑体" w:cs="黑体"/>
          <w:b/>
          <w:bCs/>
          <w:spacing w:val="-2"/>
          <w:sz w:val="27"/>
          <w:szCs w:val="27"/>
        </w:rPr>
        <w:t>搭接和接地</w:t>
      </w:r>
    </w:p>
    <w:p w14:paraId="518ED531">
      <w:pPr>
        <w:pStyle w:val="2"/>
        <w:spacing w:before="78" w:line="279" w:lineRule="auto"/>
        <w:ind w:right="123" w:firstLine="560"/>
        <w:jc w:val="both"/>
      </w:pPr>
      <w:r>
        <w:rPr>
          <w:spacing w:val="-2"/>
        </w:rPr>
        <w:t>按照研制总要求、《电磁兼容性要求》或</w:t>
      </w:r>
      <w:r>
        <w:rPr>
          <w:rFonts w:ascii="Times New Roman" w:hAnsi="Times New Roman" w:eastAsia="Times New Roman" w:cs="Times New Roman"/>
          <w:spacing w:val="-2"/>
        </w:rPr>
        <w:t>GJB</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2"/>
        </w:rPr>
        <w:t>358</w:t>
      </w:r>
      <w:r>
        <w:rPr>
          <w:spacing w:val="-2"/>
        </w:rPr>
        <w:t>中对搭接和接地的要求进</w:t>
      </w:r>
      <w:r>
        <w:t xml:space="preserve"> </w:t>
      </w:r>
      <w:r>
        <w:rPr>
          <w:spacing w:val="6"/>
        </w:rPr>
        <w:t>行系统搭接和接地设计。本节描述拟采取的系统搭接和接地设计措施</w:t>
      </w:r>
      <w:r>
        <w:rPr>
          <w:spacing w:val="5"/>
        </w:rPr>
        <w:t>及其分析</w:t>
      </w:r>
      <w:r>
        <w:t xml:space="preserve"> 预计结果。</w:t>
      </w:r>
    </w:p>
    <w:p w14:paraId="76D1F7AE">
      <w:pPr>
        <w:spacing w:before="10" w:line="221" w:lineRule="auto"/>
        <w:rPr>
          <w:rFonts w:ascii="黑体" w:hAnsi="黑体" w:eastAsia="黑体" w:cs="黑体"/>
          <w:sz w:val="25"/>
          <w:szCs w:val="25"/>
        </w:rPr>
      </w:pPr>
      <w:r>
        <w:rPr>
          <w:rFonts w:ascii="黑体" w:hAnsi="黑体" w:eastAsia="黑体" w:cs="黑体"/>
          <w:spacing w:val="11"/>
          <w:sz w:val="25"/>
          <w:szCs w:val="25"/>
        </w:rPr>
        <w:t>6.9</w:t>
      </w:r>
      <w:r>
        <w:rPr>
          <w:rFonts w:ascii="黑体" w:hAnsi="黑体" w:eastAsia="黑体" w:cs="黑体"/>
          <w:spacing w:val="45"/>
          <w:sz w:val="25"/>
          <w:szCs w:val="25"/>
        </w:rPr>
        <w:t xml:space="preserve">  </w:t>
      </w:r>
      <w:r>
        <w:rPr>
          <w:rFonts w:ascii="黑体" w:hAnsi="黑体" w:eastAsia="黑体" w:cs="黑体"/>
          <w:b/>
          <w:bCs/>
          <w:spacing w:val="11"/>
          <w:sz w:val="25"/>
          <w:szCs w:val="25"/>
        </w:rPr>
        <w:t>雷电防护</w:t>
      </w:r>
    </w:p>
    <w:p w14:paraId="23AAFAA7">
      <w:pPr>
        <w:pStyle w:val="2"/>
        <w:spacing w:before="97" w:line="271" w:lineRule="auto"/>
        <w:ind w:right="121" w:firstLine="560"/>
        <w:jc w:val="both"/>
      </w:pPr>
      <w:r>
        <w:rPr>
          <w:spacing w:val="-2"/>
        </w:rPr>
        <w:t>按照研制总要求、《电磁兼容性要求》或</w:t>
      </w:r>
      <w:r>
        <w:rPr>
          <w:rFonts w:ascii="Times New Roman" w:hAnsi="Times New Roman" w:eastAsia="Times New Roman" w:cs="Times New Roman"/>
          <w:spacing w:val="-2"/>
        </w:rPr>
        <w:t>GJB</w:t>
      </w:r>
      <w:r>
        <w:rPr>
          <w:rFonts w:ascii="Times New Roman" w:hAnsi="Times New Roman" w:eastAsia="Times New Roman" w:cs="Times New Roman"/>
          <w:spacing w:val="21"/>
        </w:rPr>
        <w:t xml:space="preserve">  </w:t>
      </w:r>
      <w:r>
        <w:rPr>
          <w:rFonts w:ascii="Times New Roman" w:hAnsi="Times New Roman" w:eastAsia="Times New Roman" w:cs="Times New Roman"/>
          <w:spacing w:val="-2"/>
        </w:rPr>
        <w:t>358</w:t>
      </w:r>
      <w:r>
        <w:rPr>
          <w:spacing w:val="-2"/>
        </w:rPr>
        <w:t>中对雷电防护的要求进行</w:t>
      </w:r>
      <w:r>
        <w:t xml:space="preserve"> </w:t>
      </w:r>
      <w:r>
        <w:rPr>
          <w:spacing w:val="-3"/>
        </w:rPr>
        <w:t>雷电防护设计。要特别注意对人员、燃料、武器和军械分系统的防护，并要求进</w:t>
      </w:r>
      <w:r>
        <w:rPr>
          <w:spacing w:val="14"/>
        </w:rPr>
        <w:t xml:space="preserve"> </w:t>
      </w:r>
      <w:r>
        <w:rPr>
          <w:spacing w:val="5"/>
        </w:rPr>
        <w:t>行试验验证。本节描述拟采取的雷电防护设计</w:t>
      </w:r>
      <w:r>
        <w:rPr>
          <w:spacing w:val="4"/>
        </w:rPr>
        <w:t>措施及其分析预计结果。</w:t>
      </w:r>
    </w:p>
    <w:p w14:paraId="5430C0A3">
      <w:pPr>
        <w:spacing w:before="25" w:line="221" w:lineRule="auto"/>
        <w:rPr>
          <w:rFonts w:ascii="黑体" w:hAnsi="黑体" w:eastAsia="黑体" w:cs="黑体"/>
          <w:sz w:val="25"/>
          <w:szCs w:val="25"/>
        </w:rPr>
      </w:pPr>
      <w:r>
        <w:rPr>
          <w:rFonts w:ascii="黑体" w:hAnsi="黑体" w:eastAsia="黑体" w:cs="黑体"/>
          <w:spacing w:val="10"/>
          <w:sz w:val="25"/>
          <w:szCs w:val="25"/>
        </w:rPr>
        <w:t>6.10</w:t>
      </w:r>
      <w:r>
        <w:rPr>
          <w:rFonts w:ascii="黑体" w:hAnsi="黑体" w:eastAsia="黑体" w:cs="黑体"/>
          <w:spacing w:val="2"/>
          <w:sz w:val="25"/>
          <w:szCs w:val="25"/>
        </w:rPr>
        <w:t xml:space="preserve">   </w:t>
      </w:r>
      <w:r>
        <w:rPr>
          <w:rFonts w:ascii="黑体" w:hAnsi="黑体" w:eastAsia="黑体" w:cs="黑体"/>
          <w:b/>
          <w:bCs/>
          <w:spacing w:val="10"/>
          <w:sz w:val="25"/>
          <w:szCs w:val="25"/>
        </w:rPr>
        <w:t>静电防护</w:t>
      </w:r>
    </w:p>
    <w:p w14:paraId="3CEEAEEA">
      <w:pPr>
        <w:pStyle w:val="2"/>
        <w:spacing w:before="95" w:line="284" w:lineRule="auto"/>
        <w:ind w:right="124" w:firstLine="560"/>
      </w:pPr>
      <w:r>
        <w:rPr>
          <w:spacing w:val="-3"/>
        </w:rPr>
        <w:t>按照研制总要求或《电磁兼容性要求》中对静电防护的要求进行设计，并进</w:t>
      </w:r>
      <w:r>
        <w:rPr>
          <w:spacing w:val="8"/>
        </w:rPr>
        <w:t xml:space="preserve"> </w:t>
      </w:r>
      <w:r>
        <w:rPr>
          <w:spacing w:val="5"/>
        </w:rPr>
        <w:t>行分析预计。本节描述拟采取的静电防护设计</w:t>
      </w:r>
      <w:r>
        <w:rPr>
          <w:spacing w:val="4"/>
        </w:rPr>
        <w:t>措施及其分析预计结果。</w:t>
      </w:r>
    </w:p>
    <w:p w14:paraId="165359E1">
      <w:pPr>
        <w:spacing w:line="284" w:lineRule="auto"/>
        <w:sectPr>
          <w:footerReference r:id="rId612" w:type="default"/>
          <w:pgSz w:w="11910" w:h="17130"/>
          <w:pgMar w:top="1456" w:right="1004" w:bottom="1730" w:left="1400" w:header="0" w:footer="1444" w:gutter="0"/>
          <w:cols w:space="720" w:num="1"/>
        </w:sectPr>
      </w:pPr>
    </w:p>
    <w:p w14:paraId="3A23C2C8">
      <w:pPr>
        <w:spacing w:before="199" w:line="222" w:lineRule="auto"/>
        <w:rPr>
          <w:rFonts w:ascii="黑体" w:hAnsi="黑体" w:eastAsia="黑体" w:cs="黑体"/>
          <w:sz w:val="25"/>
          <w:szCs w:val="25"/>
        </w:rPr>
      </w:pPr>
      <w:r>
        <w:rPr>
          <w:rFonts w:ascii="黑体" w:hAnsi="黑体" w:eastAsia="黑体" w:cs="黑体"/>
          <w:spacing w:val="10"/>
          <w:sz w:val="25"/>
          <w:szCs w:val="25"/>
        </w:rPr>
        <w:t>6.11</w:t>
      </w:r>
      <w:r>
        <w:rPr>
          <w:rFonts w:ascii="黑体" w:hAnsi="黑体" w:eastAsia="黑体" w:cs="黑体"/>
          <w:spacing w:val="46"/>
          <w:sz w:val="25"/>
          <w:szCs w:val="25"/>
        </w:rPr>
        <w:t xml:space="preserve">  </w:t>
      </w:r>
      <w:r>
        <w:rPr>
          <w:rFonts w:ascii="黑体" w:hAnsi="黑体" w:eastAsia="黑体" w:cs="黑体"/>
          <w:b/>
          <w:bCs/>
          <w:spacing w:val="10"/>
          <w:sz w:val="25"/>
          <w:szCs w:val="25"/>
        </w:rPr>
        <w:t>人体保护</w:t>
      </w:r>
    </w:p>
    <w:p w14:paraId="4FABFDE1">
      <w:pPr>
        <w:pStyle w:val="2"/>
        <w:spacing w:before="84" w:line="279" w:lineRule="auto"/>
        <w:ind w:right="123" w:firstLine="560"/>
        <w:jc w:val="both"/>
      </w:pPr>
      <w:r>
        <w:rPr>
          <w:spacing w:val="-3"/>
        </w:rPr>
        <w:t>按照研制总要求或《电磁兼容性要求》中对人体保护的要求进行设计，并进</w:t>
      </w:r>
      <w:r>
        <w:rPr>
          <w:spacing w:val="8"/>
        </w:rPr>
        <w:t xml:space="preserve"> </w:t>
      </w:r>
      <w:r>
        <w:rPr>
          <w:spacing w:val="-2"/>
        </w:rPr>
        <w:t>行分析预计。本节描述拟采取的确保人员不受射频、电磁、静电和电击危害的人</w:t>
      </w:r>
      <w:r>
        <w:t xml:space="preserve"> </w:t>
      </w:r>
      <w:r>
        <w:rPr>
          <w:spacing w:val="3"/>
        </w:rPr>
        <w:t>体保护设计措施及其分析预计结果。</w:t>
      </w:r>
    </w:p>
    <w:p w14:paraId="234C66F7">
      <w:pPr>
        <w:spacing w:line="220" w:lineRule="auto"/>
        <w:rPr>
          <w:rFonts w:ascii="黑体" w:hAnsi="黑体" w:eastAsia="黑体" w:cs="黑体"/>
          <w:sz w:val="27"/>
          <w:szCs w:val="27"/>
        </w:rPr>
      </w:pPr>
      <w:r>
        <w:rPr>
          <w:rFonts w:ascii="黑体" w:hAnsi="黑体" w:eastAsia="黑体" w:cs="黑体"/>
          <w:spacing w:val="2"/>
          <w:sz w:val="27"/>
          <w:szCs w:val="27"/>
        </w:rPr>
        <w:t xml:space="preserve">6.12  </w:t>
      </w:r>
      <w:r>
        <w:rPr>
          <w:rFonts w:ascii="黑体" w:hAnsi="黑体" w:eastAsia="黑体" w:cs="黑体"/>
          <w:b/>
          <w:bCs/>
          <w:spacing w:val="2"/>
          <w:sz w:val="27"/>
          <w:szCs w:val="27"/>
        </w:rPr>
        <w:t>电磁对易燃易爆物和军械的危害</w:t>
      </w:r>
    </w:p>
    <w:p w14:paraId="11FDA694">
      <w:pPr>
        <w:pStyle w:val="2"/>
        <w:spacing w:before="82" w:line="280" w:lineRule="auto"/>
        <w:ind w:right="121" w:firstLine="560"/>
        <w:jc w:val="both"/>
      </w:pPr>
      <w:r>
        <w:rPr>
          <w:spacing w:val="-3"/>
        </w:rPr>
        <w:t>按照研制总要求或《电磁兼容性要求》中关于电磁对易燃易爆物和军械的危</w:t>
      </w:r>
      <w:r>
        <w:rPr>
          <w:spacing w:val="11"/>
        </w:rPr>
        <w:t xml:space="preserve"> </w:t>
      </w:r>
      <w:r>
        <w:rPr>
          <w:spacing w:val="5"/>
        </w:rPr>
        <w:t>害进行控制的要求进行设计，以避免由于任何形式的电磁或静电能量引起意外 点火或点火失效，并进行分析预计。本节描述拟采取的对军械分系统的防护措</w:t>
      </w:r>
      <w:r>
        <w:rPr>
          <w:spacing w:val="4"/>
        </w:rPr>
        <w:t xml:space="preserve"> </w:t>
      </w:r>
      <w:r>
        <w:rPr>
          <w:spacing w:val="2"/>
        </w:rPr>
        <w:t>施及其分析预计结果。</w:t>
      </w:r>
    </w:p>
    <w:p w14:paraId="057A9D4A">
      <w:pPr>
        <w:spacing w:before="7" w:line="221" w:lineRule="auto"/>
        <w:rPr>
          <w:rFonts w:ascii="黑体" w:hAnsi="黑体" w:eastAsia="黑体" w:cs="黑体"/>
          <w:sz w:val="24"/>
          <w:szCs w:val="24"/>
        </w:rPr>
      </w:pPr>
      <w:r>
        <w:rPr>
          <w:rFonts w:ascii="黑体" w:hAnsi="黑体" w:eastAsia="黑体" w:cs="黑体"/>
          <w:spacing w:val="14"/>
          <w:sz w:val="24"/>
          <w:szCs w:val="24"/>
        </w:rPr>
        <w:t>6.13</w:t>
      </w:r>
      <w:r>
        <w:rPr>
          <w:rFonts w:ascii="黑体" w:hAnsi="黑体" w:eastAsia="黑体" w:cs="黑体"/>
          <w:sz w:val="24"/>
          <w:szCs w:val="24"/>
        </w:rPr>
        <w:t xml:space="preserve">   </w:t>
      </w:r>
      <w:r>
        <w:rPr>
          <w:rFonts w:ascii="黑体" w:hAnsi="黑体" w:eastAsia="黑体" w:cs="黑体"/>
          <w:b/>
          <w:bCs/>
          <w:spacing w:val="14"/>
          <w:sz w:val="24"/>
          <w:szCs w:val="24"/>
        </w:rPr>
        <w:t>外界环境</w:t>
      </w:r>
    </w:p>
    <w:p w14:paraId="68A57BDE">
      <w:pPr>
        <w:pStyle w:val="2"/>
        <w:spacing w:before="90" w:line="282" w:lineRule="auto"/>
        <w:ind w:right="123" w:firstLine="560"/>
        <w:jc w:val="both"/>
      </w:pPr>
      <w:r>
        <w:rPr>
          <w:spacing w:val="-3"/>
        </w:rPr>
        <w:t>按照研制总要求或《电磁兼容性要求》中对产品使用环境的要求进行适应性</w:t>
      </w:r>
      <w:r>
        <w:rPr>
          <w:spacing w:val="8"/>
        </w:rPr>
        <w:t xml:space="preserve"> </w:t>
      </w:r>
      <w:r>
        <w:rPr>
          <w:spacing w:val="6"/>
        </w:rPr>
        <w:t>设计，并进行分析预计。本节描述拟采取的外界环境适应性设计措施</w:t>
      </w:r>
      <w:r>
        <w:rPr>
          <w:spacing w:val="5"/>
        </w:rPr>
        <w:t>及其分析</w:t>
      </w:r>
      <w:r>
        <w:t xml:space="preserve"> </w:t>
      </w:r>
      <w:r>
        <w:rPr>
          <w:spacing w:val="-1"/>
        </w:rPr>
        <w:t>预计结果。</w:t>
      </w:r>
    </w:p>
    <w:p w14:paraId="30FC5EF7">
      <w:pPr>
        <w:spacing w:before="8" w:line="223" w:lineRule="auto"/>
        <w:rPr>
          <w:rFonts w:ascii="黑体" w:hAnsi="黑体" w:eastAsia="黑体" w:cs="黑体"/>
          <w:sz w:val="25"/>
          <w:szCs w:val="25"/>
        </w:rPr>
      </w:pPr>
      <w:r>
        <w:rPr>
          <w:rFonts w:ascii="黑体" w:hAnsi="黑体" w:eastAsia="黑体" w:cs="黑体"/>
          <w:spacing w:val="9"/>
          <w:sz w:val="25"/>
          <w:szCs w:val="25"/>
        </w:rPr>
        <w:t>6.14</w:t>
      </w:r>
      <w:r>
        <w:rPr>
          <w:rFonts w:ascii="黑体" w:hAnsi="黑体" w:eastAsia="黑体" w:cs="黑体"/>
          <w:spacing w:val="47"/>
          <w:sz w:val="25"/>
          <w:szCs w:val="25"/>
        </w:rPr>
        <w:t xml:space="preserve">  </w:t>
      </w:r>
      <w:r>
        <w:rPr>
          <w:rFonts w:ascii="黑体" w:hAnsi="黑体" w:eastAsia="黑体" w:cs="黑体"/>
          <w:b/>
          <w:bCs/>
          <w:spacing w:val="9"/>
          <w:sz w:val="25"/>
          <w:szCs w:val="25"/>
        </w:rPr>
        <w:t>抑制元件</w:t>
      </w:r>
    </w:p>
    <w:p w14:paraId="424E3D1B">
      <w:pPr>
        <w:pStyle w:val="2"/>
        <w:spacing w:before="90" w:line="279" w:lineRule="auto"/>
        <w:ind w:firstLine="560"/>
      </w:pPr>
      <w:r>
        <w:rPr>
          <w:spacing w:val="1"/>
        </w:rPr>
        <w:t xml:space="preserve">按照《电磁兼容性要求》中对抑制元件的要求进行设计，并进行分析预计。 </w:t>
      </w:r>
      <w:r>
        <w:rPr>
          <w:spacing w:val="4"/>
        </w:rPr>
        <w:t>本节描述拟选用的抑制元件及其分析预计结果。</w:t>
      </w:r>
    </w:p>
    <w:p w14:paraId="0CF7A4A2">
      <w:pPr>
        <w:spacing w:before="1" w:line="221" w:lineRule="auto"/>
        <w:outlineLvl w:val="3"/>
        <w:rPr>
          <w:rFonts w:ascii="黑体" w:hAnsi="黑体" w:eastAsia="黑体" w:cs="黑体"/>
          <w:sz w:val="27"/>
          <w:szCs w:val="27"/>
        </w:rPr>
      </w:pPr>
      <w:r>
        <w:rPr>
          <w:rFonts w:ascii="Arial" w:hAnsi="Arial" w:eastAsia="Arial" w:cs="Arial"/>
          <w:b/>
          <w:bCs/>
          <w:spacing w:val="-2"/>
          <w:sz w:val="27"/>
          <w:szCs w:val="27"/>
        </w:rPr>
        <w:t>7</w:t>
      </w:r>
      <w:r>
        <w:rPr>
          <w:rFonts w:ascii="Arial" w:hAnsi="Arial" w:eastAsia="Arial" w:cs="Arial"/>
          <w:b/>
          <w:bCs/>
          <w:spacing w:val="24"/>
          <w:sz w:val="27"/>
          <w:szCs w:val="27"/>
        </w:rPr>
        <w:t xml:space="preserve">   </w:t>
      </w:r>
      <w:r>
        <w:rPr>
          <w:rFonts w:ascii="黑体" w:hAnsi="黑体" w:eastAsia="黑体" w:cs="黑体"/>
          <w:b/>
          <w:bCs/>
          <w:spacing w:val="-2"/>
          <w:sz w:val="27"/>
          <w:szCs w:val="27"/>
        </w:rPr>
        <w:t>电磁兼容性预测与分析</w:t>
      </w:r>
    </w:p>
    <w:p w14:paraId="4C2F43A7">
      <w:pPr>
        <w:pStyle w:val="2"/>
        <w:spacing w:before="101" w:line="219" w:lineRule="auto"/>
        <w:ind w:left="560"/>
      </w:pPr>
      <w:r>
        <w:rPr>
          <w:spacing w:val="4"/>
        </w:rPr>
        <w:t>给出电磁兼容性预测与分析的结果。</w:t>
      </w:r>
    </w:p>
    <w:p w14:paraId="5350CE89">
      <w:pPr>
        <w:pStyle w:val="2"/>
        <w:spacing w:before="60" w:line="219" w:lineRule="auto"/>
        <w:ind w:left="560"/>
      </w:pPr>
      <w:r>
        <w:rPr>
          <w:spacing w:val="-8"/>
        </w:rPr>
        <w:t>说明：在方案阶段，需预测和分析的内容一般有：</w:t>
      </w:r>
    </w:p>
    <w:p w14:paraId="1D668193">
      <w:pPr>
        <w:pStyle w:val="2"/>
        <w:spacing w:before="81" w:line="212" w:lineRule="auto"/>
        <w:ind w:left="560"/>
        <w:rPr>
          <w:sz w:val="24"/>
          <w:szCs w:val="24"/>
        </w:rPr>
      </w:pPr>
      <w:r>
        <w:rPr>
          <w:rFonts w:ascii="Times New Roman" w:hAnsi="Times New Roman" w:eastAsia="Times New Roman" w:cs="Times New Roman"/>
          <w:spacing w:val="21"/>
          <w:sz w:val="24"/>
          <w:szCs w:val="24"/>
        </w:rPr>
        <w:t>a)</w:t>
      </w:r>
      <w:r>
        <w:rPr>
          <w:rFonts w:ascii="Times New Roman" w:hAnsi="Times New Roman" w:eastAsia="Times New Roman" w:cs="Times New Roman"/>
          <w:spacing w:val="1"/>
          <w:sz w:val="24"/>
          <w:szCs w:val="24"/>
        </w:rPr>
        <w:t xml:space="preserve">   </w:t>
      </w:r>
      <w:r>
        <w:rPr>
          <w:spacing w:val="21"/>
          <w:sz w:val="24"/>
          <w:szCs w:val="24"/>
        </w:rPr>
        <w:t>系统内部设备、部件之间的电磁问题；</w:t>
      </w:r>
    </w:p>
    <w:p w14:paraId="60FAB678">
      <w:pPr>
        <w:pStyle w:val="2"/>
        <w:spacing w:before="113" w:line="212" w:lineRule="auto"/>
        <w:ind w:left="560"/>
      </w:pPr>
      <w:r>
        <w:rPr>
          <w:rFonts w:ascii="Times New Roman" w:hAnsi="Times New Roman" w:eastAsia="Times New Roman" w:cs="Times New Roman"/>
          <w:spacing w:val="-3"/>
        </w:rPr>
        <w:t xml:space="preserve">b)  </w:t>
      </w:r>
      <w:r>
        <w:rPr>
          <w:spacing w:val="-3"/>
        </w:rPr>
        <w:t>系统之间、分系统之间的电磁问题；</w:t>
      </w:r>
    </w:p>
    <w:p w14:paraId="26D16190">
      <w:pPr>
        <w:pStyle w:val="2"/>
        <w:spacing w:before="90" w:line="212" w:lineRule="auto"/>
        <w:ind w:left="560"/>
      </w:pPr>
      <w:r>
        <w:rPr>
          <w:rFonts w:ascii="Times New Roman" w:hAnsi="Times New Roman" w:eastAsia="Times New Roman" w:cs="Times New Roman"/>
          <w:spacing w:val="-2"/>
        </w:rPr>
        <w:t xml:space="preserve">c)  </w:t>
      </w:r>
      <w:r>
        <w:rPr>
          <w:spacing w:val="-2"/>
        </w:rPr>
        <w:t>系统或设备、部件与所处电磁环境</w:t>
      </w:r>
      <w:r>
        <w:rPr>
          <w:spacing w:val="-3"/>
        </w:rPr>
        <w:t>之间的电磁问题；</w:t>
      </w:r>
    </w:p>
    <w:p w14:paraId="3F7AEBB2">
      <w:pPr>
        <w:pStyle w:val="2"/>
        <w:spacing w:before="109" w:line="212" w:lineRule="auto"/>
        <w:ind w:left="560"/>
      </w:pPr>
      <w:r>
        <w:rPr>
          <w:rFonts w:ascii="Times New Roman" w:hAnsi="Times New Roman" w:eastAsia="Times New Roman" w:cs="Times New Roman"/>
          <w:spacing w:val="-5"/>
        </w:rPr>
        <w:t xml:space="preserve">d)  </w:t>
      </w:r>
      <w:r>
        <w:rPr>
          <w:spacing w:val="-5"/>
        </w:rPr>
        <w:t>频谱利用、频率配置问题。</w:t>
      </w:r>
    </w:p>
    <w:p w14:paraId="0A8FB3FC">
      <w:pPr>
        <w:spacing w:before="105" w:line="221" w:lineRule="auto"/>
        <w:outlineLvl w:val="3"/>
        <w:rPr>
          <w:rFonts w:ascii="黑体" w:hAnsi="黑体" w:eastAsia="黑体" w:cs="黑体"/>
          <w:sz w:val="27"/>
          <w:szCs w:val="27"/>
        </w:rPr>
      </w:pPr>
      <w:r>
        <w:rPr>
          <w:rFonts w:ascii="Arial" w:hAnsi="Arial" w:eastAsia="Arial" w:cs="Arial"/>
          <w:b/>
          <w:bCs/>
          <w:spacing w:val="-1"/>
          <w:sz w:val="27"/>
          <w:szCs w:val="27"/>
        </w:rPr>
        <w:t>8</w:t>
      </w:r>
      <w:r>
        <w:rPr>
          <w:rFonts w:ascii="Arial" w:hAnsi="Arial" w:eastAsia="Arial" w:cs="Arial"/>
          <w:b/>
          <w:bCs/>
          <w:spacing w:val="24"/>
          <w:sz w:val="27"/>
          <w:szCs w:val="27"/>
        </w:rPr>
        <w:t xml:space="preserve">   </w:t>
      </w:r>
      <w:r>
        <w:rPr>
          <w:rFonts w:ascii="黑体" w:hAnsi="黑体" w:eastAsia="黑体" w:cs="黑体"/>
          <w:b/>
          <w:bCs/>
          <w:spacing w:val="-1"/>
          <w:sz w:val="27"/>
          <w:szCs w:val="27"/>
        </w:rPr>
        <w:t>电磁兼容性试验验证</w:t>
      </w:r>
    </w:p>
    <w:p w14:paraId="324ABF06">
      <w:pPr>
        <w:pStyle w:val="2"/>
        <w:spacing w:before="113" w:line="276" w:lineRule="auto"/>
        <w:ind w:right="113" w:firstLine="560"/>
        <w:jc w:val="both"/>
      </w:pPr>
      <w:r>
        <w:rPr>
          <w:spacing w:val="6"/>
        </w:rPr>
        <w:t>描述前期已经完成的电磁兼容性工作，特别是预期的电磁环境分析工</w:t>
      </w:r>
      <w:r>
        <w:rPr>
          <w:spacing w:val="5"/>
        </w:rPr>
        <w:t>作和</w:t>
      </w:r>
      <w:r>
        <w:t xml:space="preserve"> </w:t>
      </w:r>
      <w:r>
        <w:rPr>
          <w:spacing w:val="13"/>
        </w:rPr>
        <w:t>电磁兼容性预测与分析工作，确定电磁兼容性试验验证要求，提出试验验证</w:t>
      </w:r>
      <w:r>
        <w:rPr>
          <w:spacing w:val="11"/>
        </w:rPr>
        <w:t xml:space="preserve"> </w:t>
      </w:r>
      <w:r>
        <w:rPr>
          <w:spacing w:val="-4"/>
        </w:rPr>
        <w:t>计划。</w:t>
      </w:r>
    </w:p>
    <w:p w14:paraId="23BC4AE0">
      <w:pPr>
        <w:spacing w:line="249" w:lineRule="auto"/>
        <w:rPr>
          <w:rFonts w:ascii="Arial"/>
          <w:sz w:val="21"/>
        </w:rPr>
      </w:pPr>
    </w:p>
    <w:p w14:paraId="7E36DCD2">
      <w:pPr>
        <w:pStyle w:val="2"/>
        <w:spacing w:before="117" w:line="219" w:lineRule="auto"/>
        <w:ind w:left="2329"/>
        <w:outlineLvl w:val="1"/>
        <w:rPr>
          <w:sz w:val="36"/>
          <w:szCs w:val="36"/>
        </w:rPr>
      </w:pPr>
      <w:r>
        <w:rPr>
          <w:rFonts w:ascii="Times New Roman" w:hAnsi="Times New Roman" w:eastAsia="Times New Roman" w:cs="Times New Roman"/>
          <w:b/>
          <w:bCs/>
          <w:sz w:val="36"/>
          <w:szCs w:val="36"/>
        </w:rPr>
        <w:t>13.7</w:t>
      </w:r>
      <w:r>
        <w:rPr>
          <w:rFonts w:ascii="Times New Roman" w:hAnsi="Times New Roman" w:eastAsia="Times New Roman" w:cs="Times New Roman"/>
          <w:b/>
          <w:bCs/>
          <w:spacing w:val="10"/>
          <w:sz w:val="36"/>
          <w:szCs w:val="36"/>
        </w:rPr>
        <w:t xml:space="preserve">     </w:t>
      </w:r>
      <w:r>
        <w:rPr>
          <w:b/>
          <w:bCs/>
          <w:sz w:val="36"/>
          <w:szCs w:val="36"/>
        </w:rPr>
        <w:t>电磁兼容性预测与分析</w:t>
      </w:r>
    </w:p>
    <w:p w14:paraId="2040850B">
      <w:pPr>
        <w:spacing w:line="324" w:lineRule="auto"/>
        <w:rPr>
          <w:rFonts w:ascii="Arial"/>
          <w:sz w:val="21"/>
        </w:rPr>
      </w:pPr>
    </w:p>
    <w:p w14:paraId="14558CB7">
      <w:pPr>
        <w:pStyle w:val="2"/>
        <w:spacing w:before="92" w:line="223"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GJB/Z</w:t>
      </w:r>
      <w:r>
        <w:rPr>
          <w:rFonts w:ascii="Times New Roman" w:hAnsi="Times New Roman" w:eastAsia="Times New Roman" w:cs="Times New Roman"/>
          <w:spacing w:val="44"/>
          <w:sz w:val="28"/>
          <w:szCs w:val="28"/>
        </w:rPr>
        <w:t xml:space="preserve"> </w:t>
      </w:r>
      <w:r>
        <w:rPr>
          <w:rFonts w:ascii="Times New Roman" w:hAnsi="Times New Roman" w:eastAsia="Times New Roman" w:cs="Times New Roman"/>
          <w:spacing w:val="-10"/>
          <w:sz w:val="28"/>
          <w:szCs w:val="28"/>
        </w:rPr>
        <w:t>17—1991</w:t>
      </w:r>
      <w:r>
        <w:rPr>
          <w:spacing w:val="-10"/>
          <w:sz w:val="28"/>
          <w:szCs w:val="28"/>
        </w:rPr>
        <w:t>《</w:t>
      </w:r>
      <w:r>
        <w:rPr>
          <w:rFonts w:ascii="楷体" w:hAnsi="楷体" w:eastAsia="楷体" w:cs="楷体"/>
          <w:spacing w:val="-10"/>
          <w:sz w:val="28"/>
          <w:szCs w:val="28"/>
        </w:rPr>
        <w:t>军用装备电磁兼容性管理指南》编写。</w:t>
      </w:r>
    </w:p>
    <w:p w14:paraId="380D375B">
      <w:pPr>
        <w:spacing w:before="5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09D3B394">
      <w:pPr>
        <w:pStyle w:val="2"/>
        <w:spacing w:before="97" w:line="219" w:lineRule="auto"/>
        <w:ind w:left="560"/>
      </w:pPr>
      <w:r>
        <w:rPr>
          <w:spacing w:val="2"/>
        </w:rPr>
        <w:t>描述电磁兼容性预测与分析的适用范围。</w:t>
      </w:r>
    </w:p>
    <w:p w14:paraId="49F59406">
      <w:pPr>
        <w:pStyle w:val="2"/>
        <w:spacing w:before="90" w:line="219" w:lineRule="auto"/>
        <w:ind w:left="560"/>
      </w:pPr>
      <w:r>
        <w:rPr>
          <w:spacing w:val="1"/>
        </w:rPr>
        <w:t>电磁兼容性预测与分析主要用于：</w:t>
      </w:r>
    </w:p>
    <w:p w14:paraId="230D12A4">
      <w:pPr>
        <w:spacing w:line="219" w:lineRule="auto"/>
        <w:sectPr>
          <w:footerReference r:id="rId613" w:type="default"/>
          <w:pgSz w:w="11910" w:h="17130"/>
          <w:pgMar w:top="1456" w:right="664" w:bottom="1610" w:left="1740" w:header="0" w:footer="1324" w:gutter="0"/>
          <w:cols w:space="720" w:num="1"/>
        </w:sectPr>
      </w:pPr>
    </w:p>
    <w:p w14:paraId="14B83DF6">
      <w:pPr>
        <w:pStyle w:val="2"/>
        <w:spacing w:before="114" w:line="212" w:lineRule="auto"/>
        <w:ind w:left="550"/>
      </w:pPr>
      <w:r>
        <w:rPr>
          <w:rFonts w:ascii="Times New Roman" w:hAnsi="Times New Roman" w:eastAsia="Times New Roman" w:cs="Times New Roman"/>
          <w:spacing w:val="4"/>
        </w:rPr>
        <w:t>a)</w:t>
      </w:r>
      <w:r>
        <w:rPr>
          <w:rFonts w:ascii="Times New Roman" w:hAnsi="Times New Roman" w:eastAsia="Times New Roman" w:cs="Times New Roman"/>
          <w:spacing w:val="56"/>
          <w:w w:val="101"/>
        </w:rPr>
        <w:t xml:space="preserve"> </w:t>
      </w:r>
      <w:r>
        <w:rPr>
          <w:spacing w:val="4"/>
        </w:rPr>
        <w:t>分析和确定设备和系统工作的电磁环境；</w:t>
      </w:r>
    </w:p>
    <w:p w14:paraId="24075C2D">
      <w:pPr>
        <w:pStyle w:val="2"/>
        <w:spacing w:before="122" w:line="212" w:lineRule="auto"/>
        <w:ind w:left="550"/>
        <w:rPr>
          <w:sz w:val="24"/>
          <w:szCs w:val="24"/>
        </w:rPr>
      </w:pPr>
      <w:r>
        <w:rPr>
          <w:rFonts w:ascii="Times New Roman" w:hAnsi="Times New Roman" w:eastAsia="Times New Roman" w:cs="Times New Roman"/>
          <w:spacing w:val="31"/>
          <w:sz w:val="24"/>
          <w:szCs w:val="24"/>
        </w:rPr>
        <w:t xml:space="preserve">b)  </w:t>
      </w:r>
      <w:r>
        <w:rPr>
          <w:spacing w:val="31"/>
          <w:sz w:val="24"/>
          <w:szCs w:val="24"/>
        </w:rPr>
        <w:t>分析确定设备和分系统的电磁特性和电磁兼容性要求；</w:t>
      </w:r>
    </w:p>
    <w:p w14:paraId="38CADF1A">
      <w:pPr>
        <w:pStyle w:val="2"/>
        <w:spacing w:before="92" w:line="212" w:lineRule="auto"/>
        <w:ind w:left="550"/>
      </w:pPr>
      <w:r>
        <w:rPr>
          <w:rFonts w:ascii="Times New Roman" w:hAnsi="Times New Roman" w:eastAsia="Times New Roman" w:cs="Times New Roman"/>
          <w:spacing w:val="3"/>
        </w:rPr>
        <w:t>c)</w:t>
      </w:r>
      <w:r>
        <w:rPr>
          <w:rFonts w:ascii="Times New Roman" w:hAnsi="Times New Roman" w:eastAsia="Times New Roman" w:cs="Times New Roman"/>
          <w:spacing w:val="59"/>
          <w:w w:val="101"/>
        </w:rPr>
        <w:t xml:space="preserve"> </w:t>
      </w:r>
      <w:r>
        <w:rPr>
          <w:spacing w:val="3"/>
        </w:rPr>
        <w:t>为标准和规范的选用与剪裁提供依据；</w:t>
      </w:r>
    </w:p>
    <w:p w14:paraId="10EAFA9C">
      <w:pPr>
        <w:pStyle w:val="2"/>
        <w:spacing w:before="132" w:line="212" w:lineRule="auto"/>
        <w:ind w:left="550"/>
        <w:rPr>
          <w:sz w:val="24"/>
          <w:szCs w:val="24"/>
        </w:rPr>
      </w:pPr>
      <w:r>
        <w:rPr>
          <w:rFonts w:ascii="Times New Roman" w:hAnsi="Times New Roman" w:eastAsia="Times New Roman" w:cs="Times New Roman"/>
          <w:spacing w:val="25"/>
          <w:sz w:val="24"/>
          <w:szCs w:val="24"/>
        </w:rPr>
        <w:t xml:space="preserve">d)  </w:t>
      </w:r>
      <w:r>
        <w:rPr>
          <w:spacing w:val="25"/>
          <w:sz w:val="24"/>
          <w:szCs w:val="24"/>
        </w:rPr>
        <w:t>为频率配置提供依据；</w:t>
      </w:r>
    </w:p>
    <w:p w14:paraId="5B896A2F">
      <w:pPr>
        <w:pStyle w:val="2"/>
        <w:spacing w:before="92" w:line="212" w:lineRule="auto"/>
        <w:ind w:left="550"/>
      </w:pPr>
      <w:r>
        <w:rPr>
          <w:rFonts w:ascii="Times New Roman" w:hAnsi="Times New Roman" w:eastAsia="Times New Roman" w:cs="Times New Roman"/>
          <w:spacing w:val="3"/>
        </w:rPr>
        <w:t>e)</w:t>
      </w:r>
      <w:r>
        <w:rPr>
          <w:rFonts w:ascii="Times New Roman" w:hAnsi="Times New Roman" w:eastAsia="Times New Roman" w:cs="Times New Roman"/>
          <w:spacing w:val="68"/>
          <w:w w:val="101"/>
        </w:rPr>
        <w:t xml:space="preserve"> </w:t>
      </w:r>
      <w:r>
        <w:rPr>
          <w:spacing w:val="3"/>
        </w:rPr>
        <w:t>评定系统电磁兼容性设计方案；</w:t>
      </w:r>
    </w:p>
    <w:p w14:paraId="7D19271B">
      <w:pPr>
        <w:pStyle w:val="2"/>
        <w:spacing w:before="109" w:line="212" w:lineRule="auto"/>
        <w:ind w:left="550"/>
      </w:pPr>
      <w:r>
        <w:rPr>
          <w:rFonts w:ascii="Times New Roman" w:hAnsi="Times New Roman" w:eastAsia="Times New Roman" w:cs="Times New Roman"/>
          <w:spacing w:val="5"/>
        </w:rPr>
        <w:t>f)</w:t>
      </w:r>
      <w:r>
        <w:rPr>
          <w:rFonts w:ascii="Times New Roman" w:hAnsi="Times New Roman" w:eastAsia="Times New Roman" w:cs="Times New Roman"/>
          <w:spacing w:val="43"/>
          <w:w w:val="101"/>
        </w:rPr>
        <w:t xml:space="preserve"> </w:t>
      </w:r>
      <w:r>
        <w:rPr>
          <w:spacing w:val="5"/>
        </w:rPr>
        <w:t>分析天线布局以及电缆和导线分类与敷设方</w:t>
      </w:r>
      <w:r>
        <w:rPr>
          <w:spacing w:val="4"/>
        </w:rPr>
        <w:t>案；</w:t>
      </w:r>
    </w:p>
    <w:p w14:paraId="3CFFAB2B">
      <w:pPr>
        <w:pStyle w:val="2"/>
        <w:spacing w:before="99" w:line="212" w:lineRule="auto"/>
        <w:ind w:left="550"/>
      </w:pPr>
      <w:r>
        <w:rPr>
          <w:rFonts w:ascii="Times New Roman" w:hAnsi="Times New Roman" w:eastAsia="Times New Roman" w:cs="Times New Roman"/>
          <w:spacing w:val="4"/>
        </w:rPr>
        <w:t>g)</w:t>
      </w:r>
      <w:r>
        <w:rPr>
          <w:rFonts w:ascii="Times New Roman" w:hAnsi="Times New Roman" w:eastAsia="Times New Roman" w:cs="Times New Roman"/>
          <w:spacing w:val="69"/>
        </w:rPr>
        <w:t xml:space="preserve"> </w:t>
      </w:r>
      <w:r>
        <w:rPr>
          <w:spacing w:val="4"/>
        </w:rPr>
        <w:t>具体分析和解决装备可能存在的电磁干扰问题；</w:t>
      </w:r>
    </w:p>
    <w:p w14:paraId="0B3732B2">
      <w:pPr>
        <w:pStyle w:val="2"/>
        <w:spacing w:before="113" w:line="212" w:lineRule="auto"/>
        <w:ind w:left="550"/>
        <w:rPr>
          <w:sz w:val="24"/>
          <w:szCs w:val="24"/>
        </w:rPr>
      </w:pPr>
      <w:r>
        <w:rPr>
          <w:rFonts w:ascii="Times New Roman" w:hAnsi="Times New Roman" w:eastAsia="Times New Roman" w:cs="Times New Roman"/>
          <w:spacing w:val="28"/>
          <w:sz w:val="24"/>
          <w:szCs w:val="24"/>
        </w:rPr>
        <w:t xml:space="preserve">h)  </w:t>
      </w:r>
      <w:r>
        <w:rPr>
          <w:spacing w:val="28"/>
          <w:sz w:val="24"/>
          <w:szCs w:val="24"/>
        </w:rPr>
        <w:t>评定装备的总体电磁兼容性能。</w:t>
      </w:r>
    </w:p>
    <w:p w14:paraId="5C624733">
      <w:pPr>
        <w:spacing w:before="150" w:line="222" w:lineRule="auto"/>
        <w:rPr>
          <w:rFonts w:ascii="黑体" w:hAnsi="黑体" w:eastAsia="黑体" w:cs="黑体"/>
          <w:sz w:val="24"/>
          <w:szCs w:val="24"/>
        </w:rPr>
      </w:pPr>
      <w:r>
        <w:rPr>
          <w:rFonts w:ascii="Arial" w:hAnsi="Arial" w:eastAsia="Arial" w:cs="Arial"/>
          <w:spacing w:val="24"/>
          <w:sz w:val="24"/>
          <w:szCs w:val="24"/>
        </w:rPr>
        <w:t>2</w:t>
      </w:r>
      <w:r>
        <w:rPr>
          <w:rFonts w:ascii="Arial" w:hAnsi="Arial" w:eastAsia="Arial" w:cs="Arial"/>
          <w:spacing w:val="7"/>
          <w:sz w:val="24"/>
          <w:szCs w:val="24"/>
        </w:rPr>
        <w:t xml:space="preserve">    </w:t>
      </w:r>
      <w:r>
        <w:rPr>
          <w:rFonts w:ascii="黑体" w:hAnsi="黑体" w:eastAsia="黑体" w:cs="黑体"/>
          <w:spacing w:val="24"/>
          <w:sz w:val="24"/>
          <w:szCs w:val="24"/>
        </w:rPr>
        <w:t>引用文件</w:t>
      </w:r>
    </w:p>
    <w:p w14:paraId="7A96DE76">
      <w:pPr>
        <w:spacing w:before="68" w:line="327" w:lineRule="exact"/>
        <w:rPr>
          <w:rFonts w:ascii="黑体" w:hAnsi="黑体" w:eastAsia="黑体" w:cs="黑体"/>
          <w:sz w:val="24"/>
          <w:szCs w:val="24"/>
        </w:rPr>
      </w:pPr>
      <w:r>
        <w:rPr>
          <w:rFonts w:ascii="Arial" w:hAnsi="Arial" w:eastAsia="Arial" w:cs="Arial"/>
          <w:spacing w:val="31"/>
          <w:position w:val="1"/>
          <w:sz w:val="24"/>
          <w:szCs w:val="24"/>
        </w:rPr>
        <w:t>3</w:t>
      </w:r>
      <w:r>
        <w:rPr>
          <w:rFonts w:ascii="Arial" w:hAnsi="Arial" w:eastAsia="Arial" w:cs="Arial"/>
          <w:spacing w:val="7"/>
          <w:position w:val="1"/>
          <w:sz w:val="24"/>
          <w:szCs w:val="24"/>
        </w:rPr>
        <w:t xml:space="preserve">    </w:t>
      </w:r>
      <w:r>
        <w:rPr>
          <w:rFonts w:ascii="黑体" w:hAnsi="黑体" w:eastAsia="黑体" w:cs="黑体"/>
          <w:spacing w:val="31"/>
          <w:position w:val="1"/>
          <w:sz w:val="24"/>
          <w:szCs w:val="24"/>
        </w:rPr>
        <w:t>预测与分析类型</w:t>
      </w:r>
    </w:p>
    <w:p w14:paraId="6C77B3A5">
      <w:pPr>
        <w:pStyle w:val="2"/>
        <w:spacing w:before="100" w:line="280" w:lineRule="auto"/>
        <w:ind w:right="6" w:firstLine="550"/>
      </w:pPr>
      <w:r>
        <w:rPr>
          <w:spacing w:val="-3"/>
        </w:rPr>
        <w:t>选择预测与分析的类型要与工程系统电磁兼容性要求，可用信息量、预测范</w:t>
      </w:r>
      <w:r>
        <w:rPr>
          <w:spacing w:val="13"/>
        </w:rPr>
        <w:t xml:space="preserve"> </w:t>
      </w:r>
      <w:r>
        <w:rPr>
          <w:spacing w:val="-1"/>
        </w:rPr>
        <w:t>围和深度、输出结果要求和经费综合考虑。其典型的预测类型有：</w:t>
      </w:r>
    </w:p>
    <w:p w14:paraId="7B1E0DFE">
      <w:pPr>
        <w:pStyle w:val="2"/>
        <w:spacing w:before="2" w:line="249" w:lineRule="auto"/>
        <w:ind w:right="12" w:firstLine="550"/>
      </w:pPr>
      <w:r>
        <w:rPr>
          <w:rFonts w:ascii="Times New Roman" w:hAnsi="Times New Roman" w:eastAsia="Times New Roman" w:cs="Times New Roman"/>
          <w:spacing w:val="5"/>
        </w:rPr>
        <w:t>a</w:t>
      </w:r>
      <w:r>
        <w:rPr>
          <w:rFonts w:ascii="Times New Roman" w:hAnsi="Times New Roman" w:eastAsia="Times New Roman" w:cs="Times New Roman"/>
          <w:spacing w:val="-28"/>
        </w:rPr>
        <w:t xml:space="preserve"> </w:t>
      </w:r>
      <w:r>
        <w:rPr>
          <w:spacing w:val="5"/>
        </w:rPr>
        <w:t>)系统设计初期有初步预测，用以确定工程系</w:t>
      </w:r>
      <w:r>
        <w:rPr>
          <w:spacing w:val="4"/>
        </w:rPr>
        <w:t>统潜在的电磁问题范围和程</w:t>
      </w:r>
      <w:r>
        <w:t xml:space="preserve"> </w:t>
      </w:r>
      <w:r>
        <w:rPr>
          <w:spacing w:val="-10"/>
        </w:rPr>
        <w:t>度、电磁兼容性要求，以及适用的标准和规范；</w:t>
      </w:r>
    </w:p>
    <w:p w14:paraId="10625B5D">
      <w:pPr>
        <w:pStyle w:val="2"/>
        <w:spacing w:before="62" w:line="271" w:lineRule="auto"/>
        <w:ind w:right="12" w:firstLine="550"/>
        <w:rPr>
          <w:sz w:val="25"/>
          <w:szCs w:val="25"/>
        </w:rPr>
      </w:pPr>
      <w:r>
        <w:rPr>
          <w:rFonts w:ascii="Times New Roman" w:hAnsi="Times New Roman" w:eastAsia="Times New Roman" w:cs="Times New Roman"/>
          <w:spacing w:val="21"/>
          <w:sz w:val="25"/>
          <w:szCs w:val="25"/>
        </w:rPr>
        <w:t xml:space="preserve">b)  </w:t>
      </w:r>
      <w:r>
        <w:rPr>
          <w:spacing w:val="21"/>
          <w:sz w:val="25"/>
          <w:szCs w:val="25"/>
        </w:rPr>
        <w:t>在近期研制同类型系统的电磁兼容性资料基础上的预测分析，用以发现</w:t>
      </w:r>
      <w:r>
        <w:rPr>
          <w:sz w:val="25"/>
          <w:szCs w:val="25"/>
        </w:rPr>
        <w:t xml:space="preserve"> </w:t>
      </w:r>
      <w:r>
        <w:rPr>
          <w:spacing w:val="22"/>
          <w:sz w:val="25"/>
          <w:szCs w:val="25"/>
        </w:rPr>
        <w:t>分系统和设备中可能存在的电磁问题；</w:t>
      </w:r>
    </w:p>
    <w:p w14:paraId="1AEB56F9">
      <w:pPr>
        <w:pStyle w:val="2"/>
        <w:spacing w:before="73" w:line="255" w:lineRule="auto"/>
        <w:ind w:right="10" w:firstLine="550"/>
      </w:pPr>
      <w:r>
        <w:rPr>
          <w:rFonts w:ascii="Times New Roman" w:hAnsi="Times New Roman" w:eastAsia="Times New Roman" w:cs="Times New Roman"/>
          <w:spacing w:val="12"/>
        </w:rPr>
        <w:t>c)</w:t>
      </w:r>
      <w:r>
        <w:rPr>
          <w:rFonts w:ascii="Times New Roman" w:hAnsi="Times New Roman" w:eastAsia="Times New Roman" w:cs="Times New Roman"/>
          <w:spacing w:val="59"/>
          <w:w w:val="101"/>
        </w:rPr>
        <w:t xml:space="preserve"> </w:t>
      </w:r>
      <w:r>
        <w:rPr>
          <w:spacing w:val="12"/>
        </w:rPr>
        <w:t>技术条件限制下的预测与分析，用以确定功能性参数和技术指标的恰</w:t>
      </w:r>
      <w:r>
        <w:t xml:space="preserve"> </w:t>
      </w:r>
      <w:r>
        <w:rPr>
          <w:spacing w:val="-10"/>
        </w:rPr>
        <w:t>当性；</w:t>
      </w:r>
    </w:p>
    <w:p w14:paraId="39AC0199">
      <w:pPr>
        <w:pStyle w:val="2"/>
        <w:spacing w:before="64" w:line="212" w:lineRule="auto"/>
        <w:ind w:left="550"/>
      </w:pPr>
      <w:r>
        <w:rPr>
          <w:rFonts w:ascii="Times New Roman" w:hAnsi="Times New Roman" w:eastAsia="Times New Roman" w:cs="Times New Roman"/>
          <w:spacing w:val="1"/>
        </w:rPr>
        <w:t xml:space="preserve">d)  </w:t>
      </w:r>
      <w:r>
        <w:rPr>
          <w:spacing w:val="1"/>
        </w:rPr>
        <w:t>系统工作有效性预测，用以分析装备实现电磁</w:t>
      </w:r>
      <w:r>
        <w:t>兼容性目标的综合能力。</w:t>
      </w:r>
    </w:p>
    <w:p w14:paraId="1529A077">
      <w:pPr>
        <w:spacing w:before="109" w:line="222" w:lineRule="auto"/>
        <w:rPr>
          <w:rFonts w:ascii="黑体" w:hAnsi="黑体" w:eastAsia="黑体" w:cs="黑体"/>
          <w:sz w:val="27"/>
          <w:szCs w:val="27"/>
        </w:rPr>
      </w:pPr>
      <w:r>
        <w:rPr>
          <w:rFonts w:ascii="Arial" w:hAnsi="Arial" w:eastAsia="Arial" w:cs="Arial"/>
          <w:spacing w:val="4"/>
          <w:sz w:val="27"/>
          <w:szCs w:val="27"/>
        </w:rPr>
        <w:t>4</w:t>
      </w:r>
      <w:r>
        <w:rPr>
          <w:rFonts w:ascii="Arial" w:hAnsi="Arial" w:eastAsia="Arial" w:cs="Arial"/>
          <w:spacing w:val="2"/>
          <w:sz w:val="27"/>
          <w:szCs w:val="27"/>
        </w:rPr>
        <w:t xml:space="preserve">    </w:t>
      </w:r>
      <w:r>
        <w:rPr>
          <w:rFonts w:ascii="黑体" w:hAnsi="黑体" w:eastAsia="黑体" w:cs="黑体"/>
          <w:spacing w:val="4"/>
          <w:sz w:val="27"/>
          <w:szCs w:val="27"/>
        </w:rPr>
        <w:t>预测与分析内容</w:t>
      </w:r>
    </w:p>
    <w:p w14:paraId="385B9C2B">
      <w:pPr>
        <w:pStyle w:val="2"/>
        <w:spacing w:before="97" w:line="271" w:lineRule="auto"/>
        <w:ind w:firstLine="550"/>
        <w:jc w:val="both"/>
      </w:pPr>
      <w:r>
        <w:rPr>
          <w:spacing w:val="-2"/>
        </w:rPr>
        <w:t>在方案论证和初步设计阶段，为协助确定系统</w:t>
      </w:r>
      <w:r>
        <w:rPr>
          <w:spacing w:val="-3"/>
        </w:rPr>
        <w:t>的主要特性和技术条件，如调</w:t>
      </w:r>
      <w:r>
        <w:t xml:space="preserve"> </w:t>
      </w:r>
      <w:r>
        <w:rPr>
          <w:spacing w:val="-10"/>
        </w:rPr>
        <w:t>制类型、数据速率、信息带宽、传输功率、接收灵敏度、天线</w:t>
      </w:r>
      <w:r>
        <w:rPr>
          <w:spacing w:val="-11"/>
        </w:rPr>
        <w:t>增益、寄生信号抑制</w:t>
      </w:r>
      <w:r>
        <w:t xml:space="preserve"> </w:t>
      </w:r>
      <w:r>
        <w:rPr>
          <w:spacing w:val="-6"/>
        </w:rPr>
        <w:t>等，需预测和分析的内容一般有：</w:t>
      </w:r>
    </w:p>
    <w:p w14:paraId="4A69BA93">
      <w:pPr>
        <w:pStyle w:val="2"/>
        <w:spacing w:before="1" w:line="212" w:lineRule="auto"/>
        <w:ind w:left="550"/>
      </w:pPr>
      <w:r>
        <w:rPr>
          <w:rFonts w:ascii="Times New Roman" w:hAnsi="Times New Roman" w:eastAsia="Times New Roman" w:cs="Times New Roman"/>
          <w:spacing w:val="-4"/>
        </w:rPr>
        <w:t xml:space="preserve">a)  </w:t>
      </w:r>
      <w:r>
        <w:rPr>
          <w:spacing w:val="-4"/>
        </w:rPr>
        <w:t>系统内部设备、部件之间的电磁问题；</w:t>
      </w:r>
    </w:p>
    <w:p w14:paraId="0F06435D">
      <w:pPr>
        <w:pStyle w:val="2"/>
        <w:spacing w:before="90" w:line="212" w:lineRule="auto"/>
        <w:ind w:left="550"/>
      </w:pPr>
      <w:r>
        <w:rPr>
          <w:rFonts w:ascii="Times New Roman" w:hAnsi="Times New Roman" w:eastAsia="Times New Roman" w:cs="Times New Roman"/>
          <w:spacing w:val="-4"/>
        </w:rPr>
        <w:t xml:space="preserve">b)  </w:t>
      </w:r>
      <w:r>
        <w:rPr>
          <w:spacing w:val="-4"/>
        </w:rPr>
        <w:t>系统之间、分系统之间的电磁问题；</w:t>
      </w:r>
    </w:p>
    <w:p w14:paraId="3048EB7D">
      <w:pPr>
        <w:pStyle w:val="2"/>
        <w:spacing w:before="109" w:line="212" w:lineRule="auto"/>
        <w:ind w:left="550"/>
      </w:pPr>
      <w:r>
        <w:rPr>
          <w:rFonts w:ascii="Times New Roman" w:hAnsi="Times New Roman" w:eastAsia="Times New Roman" w:cs="Times New Roman"/>
          <w:spacing w:val="-2"/>
        </w:rPr>
        <w:t>c)</w:t>
      </w:r>
      <w:r>
        <w:rPr>
          <w:rFonts w:ascii="Times New Roman" w:hAnsi="Times New Roman" w:eastAsia="Times New Roman" w:cs="Times New Roman"/>
          <w:spacing w:val="77"/>
          <w:w w:val="101"/>
        </w:rPr>
        <w:t xml:space="preserve"> </w:t>
      </w:r>
      <w:r>
        <w:rPr>
          <w:spacing w:val="-2"/>
        </w:rPr>
        <w:t>系统或设备、部件与所处电磁环境之间的电磁问题；</w:t>
      </w:r>
    </w:p>
    <w:p w14:paraId="79B46B4D">
      <w:pPr>
        <w:pStyle w:val="2"/>
        <w:spacing w:before="90" w:line="212" w:lineRule="auto"/>
        <w:ind w:left="550"/>
      </w:pPr>
      <w:r>
        <w:rPr>
          <w:rFonts w:ascii="Times New Roman" w:hAnsi="Times New Roman" w:eastAsia="Times New Roman" w:cs="Times New Roman"/>
          <w:spacing w:val="-5"/>
        </w:rPr>
        <w:t xml:space="preserve">d)  </w:t>
      </w:r>
      <w:r>
        <w:rPr>
          <w:spacing w:val="-5"/>
        </w:rPr>
        <w:t>频谱利用、频率配置问题。</w:t>
      </w:r>
    </w:p>
    <w:p w14:paraId="25D41963">
      <w:pPr>
        <w:pStyle w:val="2"/>
        <w:spacing w:before="160" w:line="288" w:lineRule="auto"/>
        <w:ind w:right="9" w:firstLine="550"/>
        <w:jc w:val="both"/>
        <w:rPr>
          <w:sz w:val="25"/>
          <w:szCs w:val="25"/>
        </w:rPr>
      </w:pPr>
      <w:r>
        <w:rPr>
          <w:spacing w:val="26"/>
          <w:sz w:val="25"/>
          <w:szCs w:val="25"/>
        </w:rPr>
        <w:t>在研制和试制阶段，需确定设备的具体性能参数</w:t>
      </w:r>
      <w:r>
        <w:rPr>
          <w:spacing w:val="25"/>
          <w:sz w:val="25"/>
          <w:szCs w:val="25"/>
        </w:rPr>
        <w:t>和功能级的组成，如放大</w:t>
      </w:r>
      <w:r>
        <w:rPr>
          <w:sz w:val="25"/>
          <w:szCs w:val="25"/>
        </w:rPr>
        <w:t xml:space="preserve"> </w:t>
      </w:r>
      <w:r>
        <w:rPr>
          <w:spacing w:val="3"/>
          <w:sz w:val="25"/>
          <w:szCs w:val="25"/>
        </w:rPr>
        <w:t>器、混频器、滤波器、调制器、检波器、显示或读出装置、电源等。预测和分析的内</w:t>
      </w:r>
      <w:r>
        <w:rPr>
          <w:spacing w:val="2"/>
          <w:sz w:val="25"/>
          <w:szCs w:val="25"/>
        </w:rPr>
        <w:t xml:space="preserve"> </w:t>
      </w:r>
      <w:r>
        <w:rPr>
          <w:spacing w:val="4"/>
          <w:sz w:val="25"/>
          <w:szCs w:val="25"/>
        </w:rPr>
        <w:t>容</w:t>
      </w:r>
      <w:r>
        <w:rPr>
          <w:spacing w:val="-71"/>
          <w:sz w:val="25"/>
          <w:szCs w:val="25"/>
        </w:rPr>
        <w:t xml:space="preserve"> </w:t>
      </w:r>
      <w:r>
        <w:rPr>
          <w:spacing w:val="4"/>
          <w:sz w:val="25"/>
          <w:szCs w:val="25"/>
        </w:rPr>
        <w:t>一般有：</w:t>
      </w:r>
    </w:p>
    <w:p w14:paraId="7B9C4FB4">
      <w:pPr>
        <w:pStyle w:val="2"/>
        <w:spacing w:line="212" w:lineRule="auto"/>
        <w:ind w:left="550"/>
      </w:pPr>
      <w:r>
        <w:rPr>
          <w:rFonts w:ascii="Times New Roman" w:hAnsi="Times New Roman" w:eastAsia="Times New Roman" w:cs="Times New Roman"/>
          <w:spacing w:val="4"/>
        </w:rPr>
        <w:t>a)</w:t>
      </w:r>
      <w:r>
        <w:rPr>
          <w:rFonts w:ascii="Times New Roman" w:hAnsi="Times New Roman" w:eastAsia="Times New Roman" w:cs="Times New Roman"/>
          <w:spacing w:val="70"/>
          <w:w w:val="101"/>
        </w:rPr>
        <w:t xml:space="preserve"> </w:t>
      </w:r>
      <w:r>
        <w:rPr>
          <w:spacing w:val="4"/>
        </w:rPr>
        <w:t>外部的电磁信号耦合到系统内的不同设备和部件的电磁问题；</w:t>
      </w:r>
    </w:p>
    <w:p w14:paraId="04B05334">
      <w:pPr>
        <w:pStyle w:val="2"/>
        <w:spacing w:before="70" w:line="212" w:lineRule="auto"/>
        <w:ind w:left="550"/>
      </w:pPr>
      <w:r>
        <w:rPr>
          <w:rFonts w:ascii="Times New Roman" w:hAnsi="Times New Roman" w:eastAsia="Times New Roman" w:cs="Times New Roman"/>
        </w:rPr>
        <w:t xml:space="preserve">b)  </w:t>
      </w:r>
      <w:r>
        <w:t>电缆耦合；</w:t>
      </w:r>
    </w:p>
    <w:p w14:paraId="671A4D8F">
      <w:pPr>
        <w:pStyle w:val="2"/>
        <w:spacing w:before="100" w:line="212" w:lineRule="auto"/>
        <w:ind w:left="550"/>
      </w:pPr>
      <w:r>
        <w:rPr>
          <w:rFonts w:ascii="Times New Roman" w:hAnsi="Times New Roman" w:eastAsia="Times New Roman" w:cs="Times New Roman"/>
        </w:rPr>
        <w:t>c)</w:t>
      </w:r>
      <w:r>
        <w:rPr>
          <w:rFonts w:ascii="Times New Roman" w:hAnsi="Times New Roman" w:eastAsia="Times New Roman" w:cs="Times New Roman"/>
          <w:spacing w:val="56"/>
          <w:w w:val="101"/>
        </w:rPr>
        <w:t xml:space="preserve"> </w:t>
      </w:r>
      <w:r>
        <w:t>箱体耦合；</w:t>
      </w:r>
    </w:p>
    <w:p w14:paraId="5F2543AF">
      <w:pPr>
        <w:pStyle w:val="2"/>
        <w:spacing w:before="100" w:line="212" w:lineRule="auto"/>
        <w:ind w:left="550"/>
      </w:pPr>
      <w:r>
        <w:rPr>
          <w:rFonts w:ascii="Times New Roman" w:hAnsi="Times New Roman" w:eastAsia="Times New Roman" w:cs="Times New Roman"/>
          <w:spacing w:val="1"/>
        </w:rPr>
        <w:t>d)</w:t>
      </w:r>
      <w:r>
        <w:rPr>
          <w:rFonts w:ascii="Times New Roman" w:hAnsi="Times New Roman" w:eastAsia="Times New Roman" w:cs="Times New Roman"/>
          <w:spacing w:val="72"/>
        </w:rPr>
        <w:t xml:space="preserve"> </w:t>
      </w:r>
      <w:r>
        <w:rPr>
          <w:spacing w:val="1"/>
        </w:rPr>
        <w:t>箱体屏蔽效能。</w:t>
      </w:r>
    </w:p>
    <w:p w14:paraId="62204409">
      <w:pPr>
        <w:spacing w:line="212" w:lineRule="auto"/>
        <w:sectPr>
          <w:footerReference r:id="rId614" w:type="default"/>
          <w:pgSz w:w="11910" w:h="17130"/>
          <w:pgMar w:top="1456" w:right="1487" w:bottom="1657" w:left="1039" w:header="0" w:footer="1441" w:gutter="0"/>
          <w:cols w:space="720" w:num="1"/>
        </w:sectPr>
      </w:pPr>
    </w:p>
    <w:p w14:paraId="725E15F3">
      <w:pPr>
        <w:pStyle w:val="2"/>
        <w:spacing w:before="113" w:line="267" w:lineRule="auto"/>
        <w:ind w:right="6" w:firstLine="560"/>
      </w:pPr>
      <w:r>
        <w:rPr>
          <w:spacing w:val="-3"/>
        </w:rPr>
        <w:t>在定型和使用阶段，主要通过频率管理和在使用中</w:t>
      </w:r>
      <w:r>
        <w:rPr>
          <w:spacing w:val="-4"/>
        </w:rPr>
        <w:t>进行时域、空域上的电磁</w:t>
      </w:r>
      <w:r>
        <w:t xml:space="preserve"> </w:t>
      </w:r>
      <w:r>
        <w:rPr>
          <w:spacing w:val="-2"/>
        </w:rPr>
        <w:t>控制分析和解决电磁问题，预测和分析内容一般包括：</w:t>
      </w:r>
    </w:p>
    <w:p w14:paraId="21145263">
      <w:pPr>
        <w:pStyle w:val="2"/>
        <w:spacing w:line="212" w:lineRule="auto"/>
        <w:ind w:left="560"/>
      </w:pPr>
      <w:r>
        <w:rPr>
          <w:rFonts w:ascii="Times New Roman" w:hAnsi="Times New Roman" w:eastAsia="Times New Roman" w:cs="Times New Roman"/>
          <w:spacing w:val="-1"/>
        </w:rPr>
        <w:t>a)</w:t>
      </w:r>
      <w:r>
        <w:rPr>
          <w:rFonts w:ascii="Times New Roman" w:hAnsi="Times New Roman" w:eastAsia="Times New Roman" w:cs="Times New Roman"/>
          <w:spacing w:val="63"/>
          <w:w w:val="101"/>
        </w:rPr>
        <w:t xml:space="preserve"> </w:t>
      </w:r>
      <w:r>
        <w:rPr>
          <w:spacing w:val="-1"/>
        </w:rPr>
        <w:t>场地效应；</w:t>
      </w:r>
    </w:p>
    <w:p w14:paraId="37856D10">
      <w:pPr>
        <w:pStyle w:val="2"/>
        <w:spacing w:before="141" w:line="212" w:lineRule="auto"/>
        <w:ind w:left="560"/>
        <w:rPr>
          <w:sz w:val="24"/>
          <w:szCs w:val="24"/>
        </w:rPr>
      </w:pPr>
      <w:r>
        <w:rPr>
          <w:rFonts w:ascii="Times New Roman" w:hAnsi="Times New Roman" w:eastAsia="Times New Roman" w:cs="Times New Roman"/>
          <w:spacing w:val="20"/>
          <w:sz w:val="24"/>
          <w:szCs w:val="24"/>
        </w:rPr>
        <w:t>b)</w:t>
      </w:r>
      <w:r>
        <w:rPr>
          <w:rFonts w:ascii="Times New Roman" w:hAnsi="Times New Roman" w:eastAsia="Times New Roman" w:cs="Times New Roman"/>
          <w:spacing w:val="14"/>
          <w:sz w:val="24"/>
          <w:szCs w:val="24"/>
        </w:rPr>
        <w:t xml:space="preserve">  </w:t>
      </w:r>
      <w:r>
        <w:rPr>
          <w:spacing w:val="20"/>
          <w:sz w:val="24"/>
          <w:szCs w:val="24"/>
        </w:rPr>
        <w:t>频率管理；</w:t>
      </w:r>
    </w:p>
    <w:p w14:paraId="27EE33E2">
      <w:pPr>
        <w:pStyle w:val="2"/>
        <w:spacing w:before="82" w:line="212" w:lineRule="auto"/>
        <w:ind w:left="560"/>
      </w:pPr>
      <w:r>
        <w:rPr>
          <w:rFonts w:ascii="Times New Roman" w:hAnsi="Times New Roman" w:eastAsia="Times New Roman" w:cs="Times New Roman"/>
          <w:spacing w:val="2"/>
        </w:rPr>
        <w:t>c)</w:t>
      </w:r>
      <w:r>
        <w:rPr>
          <w:rFonts w:ascii="Times New Roman" w:hAnsi="Times New Roman" w:eastAsia="Times New Roman" w:cs="Times New Roman"/>
          <w:spacing w:val="64"/>
          <w:w w:val="101"/>
        </w:rPr>
        <w:t xml:space="preserve"> </w:t>
      </w:r>
      <w:r>
        <w:rPr>
          <w:spacing w:val="2"/>
        </w:rPr>
        <w:t>有效辐射功率限制；</w:t>
      </w:r>
    </w:p>
    <w:p w14:paraId="1734CE71">
      <w:pPr>
        <w:pStyle w:val="2"/>
        <w:spacing w:before="100" w:line="212" w:lineRule="auto"/>
        <w:ind w:left="560"/>
      </w:pPr>
      <w:r>
        <w:rPr>
          <w:rFonts w:ascii="Times New Roman" w:hAnsi="Times New Roman" w:eastAsia="Times New Roman" w:cs="Times New Roman"/>
        </w:rPr>
        <w:t>d)</w:t>
      </w:r>
      <w:r>
        <w:rPr>
          <w:rFonts w:ascii="Times New Roman" w:hAnsi="Times New Roman" w:eastAsia="Times New Roman" w:cs="Times New Roman"/>
          <w:spacing w:val="71"/>
        </w:rPr>
        <w:t xml:space="preserve"> </w:t>
      </w:r>
      <w:r>
        <w:t>天线波束覆盖范围；</w:t>
      </w:r>
    </w:p>
    <w:p w14:paraId="7EEB7203">
      <w:pPr>
        <w:pStyle w:val="2"/>
        <w:spacing w:before="130" w:line="219" w:lineRule="auto"/>
        <w:ind w:left="560"/>
      </w:pPr>
      <w:r>
        <w:rPr>
          <w:rFonts w:ascii="Times New Roman" w:hAnsi="Times New Roman" w:eastAsia="Times New Roman" w:cs="Times New Roman"/>
          <w:spacing w:val="10"/>
        </w:rPr>
        <w:t>e</w:t>
      </w:r>
      <w:r>
        <w:rPr>
          <w:spacing w:val="10"/>
        </w:rPr>
        <w:t>)装备电磁兼容性综合分析。</w:t>
      </w:r>
    </w:p>
    <w:p w14:paraId="0DE94453">
      <w:pPr>
        <w:pStyle w:val="2"/>
        <w:spacing w:before="87" w:line="218" w:lineRule="auto"/>
        <w:ind w:left="560"/>
      </w:pPr>
      <w:r>
        <w:rPr>
          <w:spacing w:val="-1"/>
        </w:rPr>
        <w:t>在不同的研制阶段，分别撰写电磁兼容性预测与分析报告。</w:t>
      </w:r>
    </w:p>
    <w:p w14:paraId="664BE38E">
      <w:pPr>
        <w:spacing w:before="76" w:line="212" w:lineRule="auto"/>
        <w:rPr>
          <w:rFonts w:ascii="Arial" w:hAnsi="Arial" w:eastAsia="Arial" w:cs="Arial"/>
          <w:sz w:val="25"/>
          <w:szCs w:val="25"/>
        </w:rPr>
      </w:pPr>
      <w:r>
        <w:rPr>
          <w:rFonts w:ascii="Arial" w:hAnsi="Arial" w:eastAsia="Arial" w:cs="Arial"/>
          <w:spacing w:val="14"/>
          <w:sz w:val="25"/>
          <w:szCs w:val="25"/>
        </w:rPr>
        <w:t>4.X</w:t>
      </w:r>
      <w:r>
        <w:rPr>
          <w:rFonts w:ascii="Arial" w:hAnsi="Arial" w:eastAsia="Arial" w:cs="Arial"/>
          <w:spacing w:val="5"/>
          <w:sz w:val="25"/>
          <w:szCs w:val="25"/>
        </w:rPr>
        <w:t xml:space="preserve">     </w:t>
      </w:r>
      <w:r>
        <w:rPr>
          <w:rFonts w:ascii="黑体" w:hAnsi="黑体" w:eastAsia="黑体" w:cs="黑体"/>
          <w:b/>
          <w:bCs/>
          <w:spacing w:val="14"/>
          <w:sz w:val="25"/>
          <w:szCs w:val="25"/>
        </w:rPr>
        <w:t>(预测与分析内容</w:t>
      </w:r>
      <w:r>
        <w:rPr>
          <w:rFonts w:ascii="黑体" w:hAnsi="黑体" w:eastAsia="黑体" w:cs="黑体"/>
          <w:spacing w:val="-72"/>
          <w:sz w:val="25"/>
          <w:szCs w:val="25"/>
        </w:rPr>
        <w:t xml:space="preserve"> </w:t>
      </w:r>
      <w:r>
        <w:rPr>
          <w:rFonts w:ascii="Arial" w:hAnsi="Arial" w:eastAsia="Arial" w:cs="Arial"/>
          <w:b/>
          <w:bCs/>
          <w:spacing w:val="14"/>
          <w:sz w:val="25"/>
          <w:szCs w:val="25"/>
        </w:rPr>
        <w:t>X)</w:t>
      </w:r>
    </w:p>
    <w:p w14:paraId="03148AA7">
      <w:pPr>
        <w:spacing w:before="124" w:line="221" w:lineRule="auto"/>
        <w:rPr>
          <w:rFonts w:ascii="黑体" w:hAnsi="黑体" w:eastAsia="黑体" w:cs="黑体"/>
          <w:sz w:val="27"/>
          <w:szCs w:val="27"/>
        </w:rPr>
      </w:pPr>
      <w:r>
        <w:rPr>
          <w:rFonts w:ascii="Times New Roman" w:hAnsi="Times New Roman" w:eastAsia="Times New Roman" w:cs="Times New Roman"/>
          <w:spacing w:val="-3"/>
          <w:sz w:val="27"/>
          <w:szCs w:val="27"/>
        </w:rPr>
        <w:t>4.X.</w:t>
      </w:r>
      <w:r>
        <w:rPr>
          <w:rFonts w:ascii="Times New Roman" w:hAnsi="Times New Roman" w:eastAsia="Times New Roman" w:cs="Times New Roman"/>
          <w:spacing w:val="64"/>
          <w:sz w:val="27"/>
          <w:szCs w:val="27"/>
        </w:rPr>
        <w:t xml:space="preserve"> </w:t>
      </w:r>
      <w:r>
        <w:rPr>
          <w:rFonts w:ascii="黑体" w:hAnsi="黑体" w:eastAsia="黑体" w:cs="黑体"/>
          <w:spacing w:val="-3"/>
          <w:sz w:val="27"/>
          <w:szCs w:val="27"/>
        </w:rPr>
        <w:t>1</w:t>
      </w:r>
      <w:r>
        <w:rPr>
          <w:rFonts w:ascii="黑体" w:hAnsi="黑体" w:eastAsia="黑体" w:cs="黑体"/>
          <w:spacing w:val="26"/>
          <w:sz w:val="27"/>
          <w:szCs w:val="27"/>
        </w:rPr>
        <w:t xml:space="preserve">  </w:t>
      </w:r>
      <w:r>
        <w:rPr>
          <w:rFonts w:ascii="黑体" w:hAnsi="黑体" w:eastAsia="黑体" w:cs="黑体"/>
          <w:b/>
          <w:bCs/>
          <w:spacing w:val="-3"/>
          <w:sz w:val="27"/>
          <w:szCs w:val="27"/>
        </w:rPr>
        <w:t>预测与分析方法</w:t>
      </w:r>
    </w:p>
    <w:p w14:paraId="053D6FDF">
      <w:pPr>
        <w:pStyle w:val="2"/>
        <w:spacing w:before="94" w:line="219" w:lineRule="auto"/>
        <w:ind w:left="560"/>
      </w:pPr>
      <w:r>
        <w:rPr>
          <w:spacing w:val="3"/>
        </w:rPr>
        <w:t>说明进行该项预测与分析内容的预测与分析方法。</w:t>
      </w:r>
    </w:p>
    <w:p w14:paraId="192735A9">
      <w:pPr>
        <w:spacing w:before="63" w:line="222" w:lineRule="auto"/>
        <w:rPr>
          <w:rFonts w:ascii="黑体" w:hAnsi="黑体" w:eastAsia="黑体" w:cs="黑体"/>
          <w:sz w:val="27"/>
          <w:szCs w:val="27"/>
        </w:rPr>
      </w:pPr>
      <w:r>
        <w:rPr>
          <w:rFonts w:ascii="Times New Roman" w:hAnsi="Times New Roman" w:eastAsia="Times New Roman" w:cs="Times New Roman"/>
          <w:sz w:val="27"/>
          <w:szCs w:val="27"/>
        </w:rPr>
        <w:t xml:space="preserve">4.X.2      </w:t>
      </w:r>
      <w:r>
        <w:rPr>
          <w:rFonts w:ascii="黑体" w:hAnsi="黑体" w:eastAsia="黑体" w:cs="黑体"/>
          <w:b/>
          <w:bCs/>
          <w:sz w:val="27"/>
          <w:szCs w:val="27"/>
        </w:rPr>
        <w:t>预测与分析过程</w:t>
      </w:r>
    </w:p>
    <w:p w14:paraId="6B0B0764">
      <w:pPr>
        <w:pStyle w:val="2"/>
        <w:spacing w:before="112" w:line="219" w:lineRule="auto"/>
        <w:ind w:left="560"/>
      </w:pPr>
      <w:r>
        <w:rPr>
          <w:spacing w:val="3"/>
        </w:rPr>
        <w:t>说明进行该项预测与分析内容的预测与分析过程。</w:t>
      </w:r>
    </w:p>
    <w:p w14:paraId="5C99F093">
      <w:pPr>
        <w:spacing w:before="83" w:line="222" w:lineRule="auto"/>
        <w:rPr>
          <w:rFonts w:ascii="黑体" w:hAnsi="黑体" w:eastAsia="黑体" w:cs="黑体"/>
          <w:sz w:val="25"/>
          <w:szCs w:val="25"/>
        </w:rPr>
      </w:pPr>
      <w:r>
        <w:rPr>
          <w:rFonts w:ascii="Times New Roman" w:hAnsi="Times New Roman" w:eastAsia="Times New Roman" w:cs="Times New Roman"/>
          <w:spacing w:val="8"/>
          <w:sz w:val="25"/>
          <w:szCs w:val="25"/>
        </w:rPr>
        <w:t xml:space="preserve">4.X.3       </w:t>
      </w:r>
      <w:r>
        <w:rPr>
          <w:rFonts w:ascii="黑体" w:hAnsi="黑体" w:eastAsia="黑体" w:cs="黑体"/>
          <w:b/>
          <w:bCs/>
          <w:spacing w:val="8"/>
          <w:sz w:val="25"/>
          <w:szCs w:val="25"/>
        </w:rPr>
        <w:t>预测与分析结果</w:t>
      </w:r>
    </w:p>
    <w:p w14:paraId="23778AE3">
      <w:pPr>
        <w:pStyle w:val="2"/>
        <w:spacing w:before="106" w:line="219" w:lineRule="auto"/>
        <w:ind w:left="560"/>
      </w:pPr>
      <w:r>
        <w:rPr>
          <w:spacing w:val="3"/>
        </w:rPr>
        <w:t>给出进行该项预测与分析内容的预测与分析结果。</w:t>
      </w:r>
    </w:p>
    <w:p w14:paraId="13CAAB7C">
      <w:pPr>
        <w:spacing w:before="54" w:line="222" w:lineRule="auto"/>
        <w:outlineLvl w:val="3"/>
        <w:rPr>
          <w:rFonts w:ascii="黑体" w:hAnsi="黑体" w:eastAsia="黑体" w:cs="黑体"/>
          <w:sz w:val="27"/>
          <w:szCs w:val="27"/>
        </w:rPr>
      </w:pPr>
      <w:r>
        <w:rPr>
          <w:rFonts w:ascii="Arial" w:hAnsi="Arial" w:eastAsia="Arial" w:cs="Arial"/>
          <w:b/>
          <w:bCs/>
          <w:spacing w:val="-2"/>
          <w:sz w:val="27"/>
          <w:szCs w:val="27"/>
        </w:rPr>
        <w:t>5</w:t>
      </w:r>
      <w:r>
        <w:rPr>
          <w:rFonts w:ascii="Arial" w:hAnsi="Arial" w:eastAsia="Arial" w:cs="Arial"/>
          <w:b/>
          <w:bCs/>
          <w:spacing w:val="21"/>
          <w:w w:val="101"/>
          <w:sz w:val="27"/>
          <w:szCs w:val="27"/>
        </w:rPr>
        <w:t xml:space="preserve">   </w:t>
      </w:r>
      <w:r>
        <w:rPr>
          <w:rFonts w:ascii="黑体" w:hAnsi="黑体" w:eastAsia="黑体" w:cs="黑体"/>
          <w:b/>
          <w:bCs/>
          <w:spacing w:val="-2"/>
          <w:sz w:val="27"/>
          <w:szCs w:val="27"/>
        </w:rPr>
        <w:t>预测与分析结论</w:t>
      </w:r>
    </w:p>
    <w:p w14:paraId="5ADB4541">
      <w:pPr>
        <w:pStyle w:val="2"/>
        <w:spacing w:before="121" w:line="219" w:lineRule="auto"/>
        <w:ind w:left="560"/>
      </w:pPr>
      <w:r>
        <w:rPr>
          <w:spacing w:val="-4"/>
        </w:rPr>
        <w:t>在不同的研制阶段，根据预测与分析内容，综合给出</w:t>
      </w:r>
      <w:r>
        <w:rPr>
          <w:spacing w:val="-5"/>
        </w:rPr>
        <w:t>预测与分析结论。</w:t>
      </w:r>
    </w:p>
    <w:p w14:paraId="63177D93">
      <w:pPr>
        <w:spacing w:line="319" w:lineRule="auto"/>
        <w:rPr>
          <w:rFonts w:ascii="Arial"/>
          <w:sz w:val="21"/>
        </w:rPr>
      </w:pPr>
    </w:p>
    <w:p w14:paraId="12E1D5B2">
      <w:pPr>
        <w:pStyle w:val="2"/>
        <w:spacing w:before="117" w:line="219" w:lineRule="auto"/>
        <w:ind w:left="2520"/>
        <w:outlineLvl w:val="1"/>
        <w:rPr>
          <w:sz w:val="36"/>
          <w:szCs w:val="36"/>
        </w:rPr>
      </w:pPr>
      <w:r>
        <w:rPr>
          <w:rFonts w:ascii="Times New Roman" w:hAnsi="Times New Roman" w:eastAsia="Times New Roman" w:cs="Times New Roman"/>
          <w:b/>
          <w:bCs/>
          <w:spacing w:val="-3"/>
          <w:sz w:val="36"/>
          <w:szCs w:val="36"/>
        </w:rPr>
        <w:t>13.8</w:t>
      </w:r>
      <w:r>
        <w:rPr>
          <w:rFonts w:ascii="Times New Roman" w:hAnsi="Times New Roman" w:eastAsia="Times New Roman" w:cs="Times New Roman"/>
          <w:b/>
          <w:bCs/>
          <w:spacing w:val="11"/>
          <w:sz w:val="36"/>
          <w:szCs w:val="36"/>
        </w:rPr>
        <w:t xml:space="preserve">     </w:t>
      </w:r>
      <w:r>
        <w:rPr>
          <w:b/>
          <w:bCs/>
          <w:spacing w:val="-3"/>
          <w:sz w:val="36"/>
          <w:szCs w:val="36"/>
        </w:rPr>
        <w:t>电磁兼容性试验计划</w:t>
      </w:r>
    </w:p>
    <w:p w14:paraId="5E6D5023">
      <w:pPr>
        <w:spacing w:line="314" w:lineRule="auto"/>
        <w:rPr>
          <w:rFonts w:ascii="Arial"/>
          <w:sz w:val="21"/>
        </w:rPr>
      </w:pPr>
    </w:p>
    <w:p w14:paraId="2C6715C2">
      <w:pPr>
        <w:pStyle w:val="2"/>
        <w:spacing w:before="92" w:line="223" w:lineRule="auto"/>
        <w:ind w:left="56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GJB/Z</w:t>
      </w:r>
      <w:r>
        <w:rPr>
          <w:rFonts w:ascii="Times New Roman" w:hAnsi="Times New Roman" w:eastAsia="Times New Roman" w:cs="Times New Roman"/>
          <w:spacing w:val="31"/>
          <w:sz w:val="28"/>
          <w:szCs w:val="28"/>
        </w:rPr>
        <w:t xml:space="preserve"> </w:t>
      </w:r>
      <w:r>
        <w:rPr>
          <w:rFonts w:ascii="Times New Roman" w:hAnsi="Times New Roman" w:eastAsia="Times New Roman" w:cs="Times New Roman"/>
          <w:spacing w:val="-9"/>
          <w:sz w:val="28"/>
          <w:szCs w:val="28"/>
        </w:rPr>
        <w:t>17—1991</w:t>
      </w:r>
      <w:r>
        <w:rPr>
          <w:spacing w:val="-9"/>
          <w:sz w:val="28"/>
          <w:szCs w:val="28"/>
        </w:rPr>
        <w:t>《</w:t>
      </w:r>
      <w:r>
        <w:rPr>
          <w:rFonts w:ascii="楷体" w:hAnsi="楷体" w:eastAsia="楷体" w:cs="楷体"/>
          <w:spacing w:val="-9"/>
          <w:sz w:val="28"/>
          <w:szCs w:val="28"/>
        </w:rPr>
        <w:t>军用装备电磁兼容性</w:t>
      </w:r>
      <w:r>
        <w:rPr>
          <w:rFonts w:ascii="楷体" w:hAnsi="楷体" w:eastAsia="楷体" w:cs="楷体"/>
          <w:spacing w:val="-10"/>
          <w:sz w:val="28"/>
          <w:szCs w:val="28"/>
        </w:rPr>
        <w:t>管理指南》编写。</w:t>
      </w:r>
    </w:p>
    <w:p w14:paraId="05BE4862">
      <w:pPr>
        <w:spacing w:before="84"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28"/>
          <w:sz w:val="25"/>
          <w:szCs w:val="25"/>
        </w:rPr>
        <w:t xml:space="preserve"> </w:t>
      </w:r>
      <w:r>
        <w:rPr>
          <w:rFonts w:ascii="黑体" w:hAnsi="黑体" w:eastAsia="黑体" w:cs="黑体"/>
          <w:b/>
          <w:bCs/>
          <w:spacing w:val="-14"/>
          <w:sz w:val="25"/>
          <w:szCs w:val="25"/>
        </w:rPr>
        <w:t>围</w:t>
      </w:r>
    </w:p>
    <w:p w14:paraId="3EF781D7">
      <w:pPr>
        <w:pStyle w:val="2"/>
        <w:spacing w:before="102" w:line="219" w:lineRule="auto"/>
        <w:ind w:left="560"/>
      </w:pPr>
      <w:r>
        <w:rPr>
          <w:spacing w:val="2"/>
        </w:rPr>
        <w:t>描述电磁兼容性试验计划的适用范围。</w:t>
      </w:r>
    </w:p>
    <w:p w14:paraId="66997318">
      <w:pPr>
        <w:pStyle w:val="2"/>
        <w:spacing w:before="98" w:line="278" w:lineRule="auto"/>
        <w:ind w:right="2" w:firstLine="560"/>
      </w:pPr>
      <w:r>
        <w:rPr>
          <w:spacing w:val="-3"/>
        </w:rPr>
        <w:t>说明：为保证军用装备具备良好的电磁兼容性能，在研制</w:t>
      </w:r>
      <w:r>
        <w:rPr>
          <w:spacing w:val="-4"/>
        </w:rPr>
        <w:t>过程中需要进行一</w:t>
      </w:r>
      <w:r>
        <w:t xml:space="preserve"> </w:t>
      </w:r>
      <w:r>
        <w:rPr>
          <w:spacing w:val="5"/>
        </w:rPr>
        <w:t>系列的电磁兼容性试验，为统筹安排和协调工程研制中的电磁兼容性与其他方</w:t>
      </w:r>
      <w:r>
        <w:rPr>
          <w:spacing w:val="9"/>
        </w:rPr>
        <w:t xml:space="preserve"> </w:t>
      </w:r>
      <w:r>
        <w:rPr>
          <w:spacing w:val="-10"/>
        </w:rPr>
        <w:t>面的工作，确定电磁兼容性试验的内容、类型、方案和进度，需要制定专门的电磁</w:t>
      </w:r>
      <w:r>
        <w:t xml:space="preserve"> </w:t>
      </w:r>
      <w:r>
        <w:rPr>
          <w:spacing w:val="-3"/>
        </w:rPr>
        <w:t>兼容性试验计划，并及时提交主管部门批准。</w:t>
      </w:r>
    </w:p>
    <w:p w14:paraId="11727C15">
      <w:pPr>
        <w:spacing w:before="1" w:line="221" w:lineRule="auto"/>
        <w:rPr>
          <w:rFonts w:ascii="黑体" w:hAnsi="黑体" w:eastAsia="黑体" w:cs="黑体"/>
          <w:sz w:val="25"/>
          <w:szCs w:val="25"/>
        </w:rPr>
      </w:pPr>
      <w:r>
        <w:rPr>
          <w:rFonts w:ascii="黑体" w:hAnsi="黑体" w:eastAsia="黑体" w:cs="黑体"/>
          <w:spacing w:val="13"/>
          <w:sz w:val="25"/>
          <w:szCs w:val="25"/>
        </w:rPr>
        <w:t>2</w:t>
      </w:r>
      <w:r>
        <w:rPr>
          <w:rFonts w:ascii="黑体" w:hAnsi="黑体" w:eastAsia="黑体" w:cs="黑体"/>
          <w:spacing w:val="28"/>
          <w:sz w:val="25"/>
          <w:szCs w:val="25"/>
        </w:rPr>
        <w:t xml:space="preserve">  </w:t>
      </w:r>
      <w:r>
        <w:rPr>
          <w:rFonts w:ascii="黑体" w:hAnsi="黑体" w:eastAsia="黑体" w:cs="黑体"/>
          <w:b/>
          <w:bCs/>
          <w:spacing w:val="13"/>
          <w:sz w:val="25"/>
          <w:szCs w:val="25"/>
        </w:rPr>
        <w:t>引用文件</w:t>
      </w:r>
    </w:p>
    <w:p w14:paraId="57550AF7">
      <w:pPr>
        <w:spacing w:before="89"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6"/>
          <w:sz w:val="27"/>
          <w:szCs w:val="27"/>
        </w:rPr>
        <w:t xml:space="preserve">  </w:t>
      </w:r>
      <w:r>
        <w:rPr>
          <w:rFonts w:ascii="黑体" w:hAnsi="黑体" w:eastAsia="黑体" w:cs="黑体"/>
          <w:b/>
          <w:bCs/>
          <w:sz w:val="27"/>
          <w:szCs w:val="27"/>
        </w:rPr>
        <w:t>产品技术状态说明</w:t>
      </w:r>
    </w:p>
    <w:p w14:paraId="4683F6D4">
      <w:pPr>
        <w:pStyle w:val="2"/>
        <w:spacing w:before="93" w:line="219" w:lineRule="auto"/>
        <w:ind w:left="560"/>
      </w:pPr>
      <w:r>
        <w:rPr>
          <w:spacing w:val="1"/>
        </w:rPr>
        <w:t>对产品的技术状态进行间要说明。</w:t>
      </w:r>
    </w:p>
    <w:p w14:paraId="1EE13728">
      <w:pPr>
        <w:spacing w:before="83" w:line="221"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试验内容和要求</w:t>
      </w:r>
    </w:p>
    <w:p w14:paraId="55533C54">
      <w:pPr>
        <w:spacing w:before="106" w:line="212" w:lineRule="auto"/>
        <w:rPr>
          <w:rFonts w:ascii="黑体" w:hAnsi="黑体" w:eastAsia="黑体" w:cs="黑体"/>
          <w:sz w:val="24"/>
          <w:szCs w:val="24"/>
        </w:rPr>
      </w:pPr>
      <w:r>
        <w:rPr>
          <w:rFonts w:ascii="Times New Roman" w:hAnsi="Times New Roman" w:eastAsia="Times New Roman" w:cs="Times New Roman"/>
          <w:b/>
          <w:bCs/>
          <w:sz w:val="24"/>
          <w:szCs w:val="24"/>
        </w:rPr>
        <w:t>4.X</w:t>
      </w:r>
      <w:r>
        <w:rPr>
          <w:rFonts w:ascii="Times New Roman" w:hAnsi="Times New Roman" w:eastAsia="Times New Roman" w:cs="Times New Roman"/>
          <w:b/>
          <w:bCs/>
          <w:spacing w:val="9"/>
          <w:sz w:val="24"/>
          <w:szCs w:val="24"/>
        </w:rPr>
        <w:t xml:space="preserve">      </w:t>
      </w:r>
      <w:r>
        <w:rPr>
          <w:rFonts w:ascii="黑体" w:hAnsi="黑体" w:eastAsia="黑体" w:cs="黑体"/>
          <w:b/>
          <w:bCs/>
          <w:sz w:val="24"/>
          <w:szCs w:val="24"/>
        </w:rPr>
        <w:t>(</w:t>
      </w:r>
      <w:r>
        <w:rPr>
          <w:rFonts w:ascii="黑体" w:hAnsi="黑体" w:eastAsia="黑体" w:cs="黑体"/>
          <w:spacing w:val="-48"/>
          <w:sz w:val="24"/>
          <w:szCs w:val="24"/>
        </w:rPr>
        <w:t xml:space="preserve"> </w:t>
      </w:r>
      <w:r>
        <w:rPr>
          <w:rFonts w:ascii="黑体" w:hAnsi="黑体" w:eastAsia="黑体" w:cs="黑体"/>
          <w:b/>
          <w:bCs/>
          <w:sz w:val="24"/>
          <w:szCs w:val="24"/>
        </w:rPr>
        <w:t>试</w:t>
      </w:r>
      <w:r>
        <w:rPr>
          <w:rFonts w:ascii="黑体" w:hAnsi="黑体" w:eastAsia="黑体" w:cs="黑体"/>
          <w:spacing w:val="-55"/>
          <w:sz w:val="24"/>
          <w:szCs w:val="24"/>
        </w:rPr>
        <w:t xml:space="preserve"> </w:t>
      </w:r>
      <w:r>
        <w:rPr>
          <w:rFonts w:ascii="黑体" w:hAnsi="黑体" w:eastAsia="黑体" w:cs="黑体"/>
          <w:b/>
          <w:bCs/>
          <w:sz w:val="24"/>
          <w:szCs w:val="24"/>
        </w:rPr>
        <w:t>验</w:t>
      </w:r>
      <w:r>
        <w:rPr>
          <w:rFonts w:ascii="黑体" w:hAnsi="黑体" w:eastAsia="黑体" w:cs="黑体"/>
          <w:spacing w:val="-39"/>
          <w:sz w:val="24"/>
          <w:szCs w:val="24"/>
        </w:rPr>
        <w:t xml:space="preserve"> </w:t>
      </w:r>
      <w:r>
        <w:rPr>
          <w:rFonts w:ascii="黑体" w:hAnsi="黑体" w:eastAsia="黑体" w:cs="黑体"/>
          <w:b/>
          <w:bCs/>
          <w:sz w:val="24"/>
          <w:szCs w:val="24"/>
        </w:rPr>
        <w:t>内</w:t>
      </w:r>
      <w:r>
        <w:rPr>
          <w:rFonts w:ascii="黑体" w:hAnsi="黑体" w:eastAsia="黑体" w:cs="黑体"/>
          <w:spacing w:val="-54"/>
          <w:sz w:val="24"/>
          <w:szCs w:val="24"/>
        </w:rPr>
        <w:t xml:space="preserve"> </w:t>
      </w:r>
      <w:r>
        <w:rPr>
          <w:rFonts w:ascii="黑体" w:hAnsi="黑体" w:eastAsia="黑体" w:cs="黑体"/>
          <w:b/>
          <w:bCs/>
          <w:sz w:val="24"/>
          <w:szCs w:val="24"/>
        </w:rPr>
        <w:t>容</w:t>
      </w:r>
      <w:r>
        <w:rPr>
          <w:rFonts w:ascii="Arial" w:hAnsi="Arial" w:eastAsia="Arial" w:cs="Arial"/>
          <w:b/>
          <w:bCs/>
          <w:sz w:val="24"/>
          <w:szCs w:val="24"/>
        </w:rPr>
        <w:t xml:space="preserve">X) </w:t>
      </w:r>
      <w:r>
        <w:rPr>
          <w:rFonts w:ascii="黑体" w:hAnsi="黑体" w:eastAsia="黑体" w:cs="黑体"/>
          <w:b/>
          <w:bCs/>
          <w:sz w:val="24"/>
          <w:szCs w:val="24"/>
        </w:rPr>
        <w:t>和要求</w:t>
      </w:r>
    </w:p>
    <w:p w14:paraId="1D957771">
      <w:pPr>
        <w:pStyle w:val="2"/>
        <w:spacing w:before="132" w:line="219" w:lineRule="auto"/>
        <w:ind w:left="560"/>
      </w:pPr>
      <w:r>
        <w:rPr>
          <w:spacing w:val="2"/>
        </w:rPr>
        <w:t>规定第</w:t>
      </w:r>
      <w:r>
        <w:rPr>
          <w:spacing w:val="-74"/>
        </w:rPr>
        <w:t xml:space="preserve"> </w:t>
      </w:r>
      <w:r>
        <w:rPr>
          <w:rFonts w:ascii="Times New Roman" w:hAnsi="Times New Roman" w:eastAsia="Times New Roman" w:cs="Times New Roman"/>
          <w:spacing w:val="2"/>
        </w:rPr>
        <w:t xml:space="preserve">X </w:t>
      </w:r>
      <w:r>
        <w:rPr>
          <w:spacing w:val="2"/>
        </w:rPr>
        <w:t>项试验内容及其要求。</w:t>
      </w:r>
    </w:p>
    <w:p w14:paraId="20AE5166">
      <w:pPr>
        <w:pStyle w:val="2"/>
        <w:spacing w:before="110" w:line="219" w:lineRule="auto"/>
        <w:jc w:val="right"/>
      </w:pPr>
      <w:r>
        <w:rPr>
          <w:spacing w:val="-3"/>
        </w:rPr>
        <w:t>针对不同的研制阶段，不同的试验对象，有不同的试验类型。各</w:t>
      </w:r>
      <w:r>
        <w:rPr>
          <w:spacing w:val="-4"/>
        </w:rPr>
        <w:t>种试验类型</w:t>
      </w:r>
    </w:p>
    <w:p w14:paraId="1052FD52">
      <w:pPr>
        <w:spacing w:line="219" w:lineRule="auto"/>
        <w:sectPr>
          <w:footerReference r:id="rId615" w:type="default"/>
          <w:pgSz w:w="11910" w:h="17130"/>
          <w:pgMar w:top="1456" w:right="872" w:bottom="1603" w:left="1670" w:header="0" w:footer="1405" w:gutter="0"/>
          <w:cols w:space="720" w:num="1"/>
        </w:sectPr>
      </w:pPr>
    </w:p>
    <w:p w14:paraId="5BC114BF">
      <w:pPr>
        <w:pStyle w:val="2"/>
        <w:spacing w:before="145" w:line="219" w:lineRule="auto"/>
      </w:pPr>
      <w:r>
        <w:rPr>
          <w:spacing w:val="1"/>
        </w:rPr>
        <w:t>的内容说明如下。</w:t>
      </w:r>
    </w:p>
    <w:p w14:paraId="5AB33A7B">
      <w:pPr>
        <w:pStyle w:val="2"/>
        <w:spacing w:before="80" w:line="269" w:lineRule="auto"/>
        <w:ind w:right="141" w:firstLine="560"/>
      </w:pPr>
      <w:r>
        <w:rPr>
          <w:rFonts w:ascii="Times New Roman" w:hAnsi="Times New Roman" w:eastAsia="Times New Roman" w:cs="Times New Roman"/>
          <w:spacing w:val="20"/>
        </w:rPr>
        <w:t>a)</w:t>
      </w:r>
      <w:r>
        <w:rPr>
          <w:rFonts w:ascii="Times New Roman" w:hAnsi="Times New Roman" w:eastAsia="Times New Roman" w:cs="Times New Roman"/>
          <w:spacing w:val="73"/>
        </w:rPr>
        <w:t xml:space="preserve"> </w:t>
      </w:r>
      <w:r>
        <w:rPr>
          <w:spacing w:val="20"/>
        </w:rPr>
        <w:t>工程总体设计电磁兼容性试验。为确定电磁兼容性要求，提供电磁</w:t>
      </w:r>
      <w:r>
        <w:t xml:space="preserve"> </w:t>
      </w:r>
      <w:r>
        <w:rPr>
          <w:spacing w:val="7"/>
        </w:rPr>
        <w:t>兼容性设计依据，需要进行总体设计电磁兼容性试验。</w:t>
      </w:r>
      <w:r>
        <w:rPr>
          <w:spacing w:val="79"/>
        </w:rPr>
        <w:t xml:space="preserve"> </w:t>
      </w:r>
      <w:r>
        <w:rPr>
          <w:spacing w:val="7"/>
        </w:rPr>
        <w:t>一般包括：1)电磁环</w:t>
      </w:r>
      <w:r>
        <w:t xml:space="preserve"> </w:t>
      </w:r>
      <w:r>
        <w:rPr>
          <w:spacing w:val="5"/>
        </w:rPr>
        <w:t>境分析试验；2)设备、</w:t>
      </w:r>
      <w:r>
        <w:rPr>
          <w:rFonts w:ascii="仿宋" w:hAnsi="仿宋" w:eastAsia="仿宋" w:cs="仿宋"/>
          <w:spacing w:val="5"/>
        </w:rPr>
        <w:t>分系统、</w:t>
      </w:r>
      <w:r>
        <w:rPr>
          <w:spacing w:val="5"/>
        </w:rPr>
        <w:t>天线最佳布置模拟试验；3)总体控制干扰措施</w:t>
      </w:r>
      <w:r>
        <w:rPr>
          <w:spacing w:val="1"/>
        </w:rPr>
        <w:t xml:space="preserve"> 试验。</w:t>
      </w:r>
    </w:p>
    <w:p w14:paraId="40A404D9">
      <w:pPr>
        <w:pStyle w:val="2"/>
        <w:spacing w:before="107" w:line="268" w:lineRule="auto"/>
        <w:ind w:right="124" w:firstLine="560"/>
        <w:rPr>
          <w:sz w:val="25"/>
          <w:szCs w:val="25"/>
        </w:rPr>
      </w:pPr>
      <w:r>
        <w:rPr>
          <w:rFonts w:ascii="Times New Roman" w:hAnsi="Times New Roman" w:eastAsia="Times New Roman" w:cs="Times New Roman"/>
          <w:spacing w:val="9"/>
          <w:sz w:val="25"/>
          <w:szCs w:val="25"/>
        </w:rPr>
        <w:t xml:space="preserve">b)  </w:t>
      </w:r>
      <w:r>
        <w:rPr>
          <w:rFonts w:ascii="仿宋" w:hAnsi="仿宋" w:eastAsia="仿宋" w:cs="仿宋"/>
          <w:spacing w:val="9"/>
          <w:sz w:val="25"/>
          <w:szCs w:val="25"/>
        </w:rPr>
        <w:t>设</w:t>
      </w:r>
      <w:r>
        <w:rPr>
          <w:rFonts w:ascii="仿宋" w:hAnsi="仿宋" w:eastAsia="仿宋" w:cs="仿宋"/>
          <w:spacing w:val="-32"/>
          <w:sz w:val="25"/>
          <w:szCs w:val="25"/>
        </w:rPr>
        <w:t xml:space="preserve"> </w:t>
      </w:r>
      <w:r>
        <w:rPr>
          <w:rFonts w:ascii="仿宋" w:hAnsi="仿宋" w:eastAsia="仿宋" w:cs="仿宋"/>
          <w:spacing w:val="9"/>
          <w:sz w:val="25"/>
          <w:szCs w:val="25"/>
        </w:rPr>
        <w:t>备</w:t>
      </w:r>
      <w:r>
        <w:rPr>
          <w:rFonts w:ascii="仿宋" w:hAnsi="仿宋" w:eastAsia="仿宋" w:cs="仿宋"/>
          <w:spacing w:val="-59"/>
          <w:sz w:val="25"/>
          <w:szCs w:val="25"/>
        </w:rPr>
        <w:t xml:space="preserve"> </w:t>
      </w:r>
      <w:r>
        <w:rPr>
          <w:rFonts w:ascii="仿宋" w:hAnsi="仿宋" w:eastAsia="仿宋" w:cs="仿宋"/>
          <w:spacing w:val="9"/>
          <w:sz w:val="25"/>
          <w:szCs w:val="25"/>
        </w:rPr>
        <w:t>、</w:t>
      </w:r>
      <w:r>
        <w:rPr>
          <w:spacing w:val="9"/>
          <w:sz w:val="25"/>
          <w:szCs w:val="25"/>
        </w:rPr>
        <w:t>分系统电磁发射和敏感度试验。主要是依照</w:t>
      </w:r>
      <w:r>
        <w:rPr>
          <w:rFonts w:ascii="Times New Roman" w:hAnsi="Times New Roman" w:eastAsia="Times New Roman" w:cs="Times New Roman"/>
          <w:sz w:val="25"/>
          <w:szCs w:val="25"/>
        </w:rPr>
        <w:t>GJB</w:t>
      </w:r>
      <w:r>
        <w:rPr>
          <w:rFonts w:ascii="Times New Roman" w:hAnsi="Times New Roman" w:eastAsia="Times New Roman" w:cs="Times New Roman"/>
          <w:spacing w:val="9"/>
          <w:sz w:val="25"/>
          <w:szCs w:val="25"/>
        </w:rPr>
        <w:t xml:space="preserve">    151</w:t>
      </w:r>
      <w:r>
        <w:rPr>
          <w:rFonts w:ascii="Times New Roman" w:hAnsi="Times New Roman" w:eastAsia="Times New Roman" w:cs="Times New Roman"/>
          <w:spacing w:val="-23"/>
          <w:sz w:val="25"/>
          <w:szCs w:val="25"/>
        </w:rPr>
        <w:t xml:space="preserve"> </w:t>
      </w:r>
      <w:r>
        <w:rPr>
          <w:spacing w:val="9"/>
          <w:sz w:val="25"/>
          <w:szCs w:val="25"/>
        </w:rPr>
        <w:t>和</w:t>
      </w:r>
      <w:r>
        <w:rPr>
          <w:spacing w:val="-24"/>
          <w:sz w:val="25"/>
          <w:szCs w:val="25"/>
        </w:rPr>
        <w:t xml:space="preserve"> </w:t>
      </w:r>
      <w:r>
        <w:rPr>
          <w:rFonts w:ascii="Times New Roman" w:hAnsi="Times New Roman" w:eastAsia="Times New Roman" w:cs="Times New Roman"/>
          <w:sz w:val="25"/>
          <w:szCs w:val="25"/>
        </w:rPr>
        <w:t>GJB</w:t>
      </w:r>
      <w:r>
        <w:rPr>
          <w:rFonts w:ascii="Times New Roman" w:hAnsi="Times New Roman" w:eastAsia="Times New Roman" w:cs="Times New Roman"/>
          <w:spacing w:val="9"/>
          <w:sz w:val="25"/>
          <w:szCs w:val="25"/>
        </w:rPr>
        <w:t xml:space="preserve">   152</w:t>
      </w:r>
      <w:r>
        <w:rPr>
          <w:rFonts w:ascii="Times New Roman" w:hAnsi="Times New Roman" w:eastAsia="Times New Roman" w:cs="Times New Roman"/>
          <w:sz w:val="25"/>
          <w:szCs w:val="25"/>
        </w:rPr>
        <w:t xml:space="preserve"> </w:t>
      </w:r>
      <w:r>
        <w:rPr>
          <w:spacing w:val="20"/>
          <w:sz w:val="25"/>
          <w:szCs w:val="25"/>
        </w:rPr>
        <w:t>中规定的要求和方法进行的试验。</w:t>
      </w:r>
    </w:p>
    <w:p w14:paraId="3F35786B">
      <w:pPr>
        <w:pStyle w:val="2"/>
        <w:spacing w:before="80" w:line="264" w:lineRule="auto"/>
        <w:ind w:right="20" w:firstLine="560"/>
      </w:pPr>
      <w:r>
        <w:rPr>
          <w:rFonts w:ascii="Times New Roman" w:hAnsi="Times New Roman" w:eastAsia="Times New Roman" w:cs="Times New Roman"/>
          <w:spacing w:val="4"/>
        </w:rPr>
        <w:t>c)</w:t>
      </w:r>
      <w:r>
        <w:rPr>
          <w:rFonts w:ascii="Times New Roman" w:hAnsi="Times New Roman" w:eastAsia="Times New Roman" w:cs="Times New Roman"/>
          <w:spacing w:val="52"/>
        </w:rPr>
        <w:t xml:space="preserve"> </w:t>
      </w:r>
      <w:r>
        <w:rPr>
          <w:spacing w:val="4"/>
        </w:rPr>
        <w:t>安装检测试验。为进一步验证电磁兼容性设计效果，在</w:t>
      </w:r>
      <w:r>
        <w:rPr>
          <w:spacing w:val="3"/>
        </w:rPr>
        <w:t>设备和分系统安</w:t>
      </w:r>
      <w:r>
        <w:t xml:space="preserve"> </w:t>
      </w:r>
      <w:r>
        <w:rPr>
          <w:spacing w:val="-2"/>
        </w:rPr>
        <w:t>装后，应对有关电磁兼容性的控制效果和工艺质量进行验证和检验。</w:t>
      </w:r>
      <w:r>
        <w:rPr>
          <w:spacing w:val="-32"/>
        </w:rPr>
        <w:t xml:space="preserve"> </w:t>
      </w:r>
      <w:r>
        <w:rPr>
          <w:spacing w:val="-2"/>
        </w:rPr>
        <w:t>一般包括：</w:t>
      </w:r>
    </w:p>
    <w:p w14:paraId="76C3E8C3">
      <w:pPr>
        <w:pStyle w:val="2"/>
        <w:spacing w:before="90" w:line="275" w:lineRule="auto"/>
        <w:ind w:right="132"/>
        <w:jc w:val="both"/>
      </w:pPr>
      <w:r>
        <w:rPr>
          <w:spacing w:val="-17"/>
        </w:rPr>
        <w:t>1)设备安装、电缆敷设、接地、搭接、绝缘、屏蔽效能、滤波器安装、天线安装等工</w:t>
      </w:r>
      <w:r>
        <w:rPr>
          <w:spacing w:val="18"/>
        </w:rPr>
        <w:t xml:space="preserve"> </w:t>
      </w:r>
      <w:r>
        <w:rPr>
          <w:spacing w:val="-2"/>
        </w:rPr>
        <w:t>艺质量是否符合要求；2)电源系统干扰是否超过规定值；3)干扰源</w:t>
      </w:r>
      <w:r>
        <w:rPr>
          <w:spacing w:val="-3"/>
        </w:rPr>
        <w:t>、敏感设备和</w:t>
      </w:r>
      <w:r>
        <w:t xml:space="preserve"> </w:t>
      </w:r>
      <w:r>
        <w:rPr>
          <w:spacing w:val="-2"/>
        </w:rPr>
        <w:t>电爆装置周围，以及人员活动区域的环境电</w:t>
      </w:r>
      <w:r>
        <w:rPr>
          <w:spacing w:val="-3"/>
        </w:rPr>
        <w:t>平是否满足要求；4)各分系统或设备</w:t>
      </w:r>
      <w:r>
        <w:t xml:space="preserve"> </w:t>
      </w:r>
      <w:r>
        <w:rPr>
          <w:spacing w:val="1"/>
        </w:rPr>
        <w:t>之间的相互干扰试验。</w:t>
      </w:r>
    </w:p>
    <w:p w14:paraId="0C8C3DC4">
      <w:pPr>
        <w:pStyle w:val="2"/>
        <w:spacing w:before="2" w:line="270" w:lineRule="auto"/>
        <w:ind w:firstLine="560"/>
      </w:pPr>
      <w:r>
        <w:rPr>
          <w:rFonts w:ascii="Times New Roman" w:hAnsi="Times New Roman" w:eastAsia="Times New Roman" w:cs="Times New Roman"/>
          <w:spacing w:val="6"/>
        </w:rPr>
        <w:t xml:space="preserve">d)  </w:t>
      </w:r>
      <w:r>
        <w:rPr>
          <w:spacing w:val="6"/>
        </w:rPr>
        <w:t>总体电磁兼容性鉴定试验。为验证军用装备在各种工作状态下，设备、</w:t>
      </w:r>
      <w:r>
        <w:rPr>
          <w:spacing w:val="3"/>
        </w:rPr>
        <w:t xml:space="preserve"> </w:t>
      </w:r>
      <w:r>
        <w:rPr>
          <w:spacing w:val="-3"/>
        </w:rPr>
        <w:t>分系统之间，系统与环境之间的电磁兼容性，考核与合同要求的一致性，对装备</w:t>
      </w:r>
      <w:r>
        <w:rPr>
          <w:spacing w:val="8"/>
        </w:rPr>
        <w:t xml:space="preserve">  </w:t>
      </w:r>
      <w:r>
        <w:rPr>
          <w:spacing w:val="2"/>
        </w:rPr>
        <w:t>进行的总体电磁兼容性评价试验。</w:t>
      </w:r>
    </w:p>
    <w:p w14:paraId="113AB922">
      <w:pPr>
        <w:pStyle w:val="2"/>
        <w:spacing w:before="73" w:line="264" w:lineRule="auto"/>
        <w:ind w:right="132" w:firstLine="560"/>
      </w:pPr>
      <w:r>
        <w:rPr>
          <w:rFonts w:ascii="Times New Roman" w:hAnsi="Times New Roman" w:eastAsia="Times New Roman" w:cs="Times New Roman"/>
          <w:spacing w:val="12"/>
        </w:rPr>
        <w:t>e)</w:t>
      </w:r>
      <w:r>
        <w:rPr>
          <w:rFonts w:ascii="Times New Roman" w:hAnsi="Times New Roman" w:eastAsia="Times New Roman" w:cs="Times New Roman"/>
          <w:spacing w:val="49"/>
          <w:w w:val="101"/>
        </w:rPr>
        <w:t xml:space="preserve"> </w:t>
      </w:r>
      <w:r>
        <w:rPr>
          <w:spacing w:val="12"/>
        </w:rPr>
        <w:t>已定型产品的试验。对于已经定型而直接应用于系统中的电子设备和</w:t>
      </w:r>
      <w:r>
        <w:t xml:space="preserve"> </w:t>
      </w:r>
      <w:r>
        <w:rPr>
          <w:spacing w:val="5"/>
        </w:rPr>
        <w:t>分系统，为确定其在新系统中是否满足电磁兼容性要求而进行的试验也应在试</w:t>
      </w:r>
      <w:r>
        <w:rPr>
          <w:spacing w:val="9"/>
        </w:rPr>
        <w:t xml:space="preserve"> </w:t>
      </w:r>
      <w:r>
        <w:rPr>
          <w:spacing w:val="1"/>
        </w:rPr>
        <w:t>验计划中予以考虑。</w:t>
      </w:r>
    </w:p>
    <w:p w14:paraId="5404DBCC">
      <w:pPr>
        <w:spacing w:before="116" w:line="221" w:lineRule="auto"/>
        <w:outlineLvl w:val="3"/>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21"/>
          <w:sz w:val="27"/>
          <w:szCs w:val="27"/>
        </w:rPr>
        <w:t xml:space="preserve">   </w:t>
      </w:r>
      <w:r>
        <w:rPr>
          <w:rFonts w:ascii="黑体" w:hAnsi="黑体" w:eastAsia="黑体" w:cs="黑体"/>
          <w:b/>
          <w:bCs/>
          <w:sz w:val="27"/>
          <w:szCs w:val="27"/>
        </w:rPr>
        <w:t>试验进度安排</w:t>
      </w:r>
    </w:p>
    <w:p w14:paraId="130E28E1">
      <w:pPr>
        <w:pStyle w:val="2"/>
        <w:spacing w:before="114" w:line="220" w:lineRule="auto"/>
        <w:ind w:left="560"/>
      </w:pPr>
      <w:r>
        <w:rPr>
          <w:spacing w:val="-3"/>
        </w:rPr>
        <w:t>对试验进度进行协调，确定各项试验的进度。</w:t>
      </w:r>
    </w:p>
    <w:p w14:paraId="217DCCE6">
      <w:pPr>
        <w:spacing w:before="91" w:line="221"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4"/>
          <w:sz w:val="27"/>
          <w:szCs w:val="27"/>
        </w:rPr>
        <w:t xml:space="preserve">  </w:t>
      </w:r>
      <w:r>
        <w:rPr>
          <w:rFonts w:ascii="黑体" w:hAnsi="黑体" w:eastAsia="黑体" w:cs="黑体"/>
          <w:b/>
          <w:bCs/>
          <w:sz w:val="27"/>
          <w:szCs w:val="27"/>
        </w:rPr>
        <w:t>试验设施与设备</w:t>
      </w:r>
    </w:p>
    <w:p w14:paraId="3D89050A">
      <w:pPr>
        <w:spacing w:before="87" w:line="221" w:lineRule="auto"/>
        <w:rPr>
          <w:rFonts w:ascii="黑体" w:hAnsi="黑体" w:eastAsia="黑体" w:cs="黑体"/>
          <w:sz w:val="27"/>
          <w:szCs w:val="27"/>
        </w:rPr>
      </w:pPr>
      <w:r>
        <w:rPr>
          <w:rFonts w:ascii="黑体" w:hAnsi="黑体" w:eastAsia="黑体" w:cs="黑体"/>
          <w:sz w:val="27"/>
          <w:szCs w:val="27"/>
        </w:rPr>
        <w:t>6.1</w:t>
      </w:r>
      <w:r>
        <w:rPr>
          <w:rFonts w:ascii="黑体" w:hAnsi="黑体" w:eastAsia="黑体" w:cs="黑体"/>
          <w:spacing w:val="20"/>
          <w:sz w:val="27"/>
          <w:szCs w:val="27"/>
        </w:rPr>
        <w:t xml:space="preserve">  </w:t>
      </w:r>
      <w:r>
        <w:rPr>
          <w:rFonts w:ascii="黑体" w:hAnsi="黑体" w:eastAsia="黑体" w:cs="黑体"/>
          <w:b/>
          <w:bCs/>
          <w:sz w:val="27"/>
          <w:szCs w:val="27"/>
        </w:rPr>
        <w:t>试验设施</w:t>
      </w:r>
    </w:p>
    <w:p w14:paraId="57FA6A2A">
      <w:pPr>
        <w:pStyle w:val="2"/>
        <w:spacing w:before="151" w:line="219" w:lineRule="auto"/>
        <w:ind w:left="560"/>
        <w:rPr>
          <w:sz w:val="24"/>
          <w:szCs w:val="24"/>
        </w:rPr>
      </w:pPr>
      <w:r>
        <w:rPr>
          <w:spacing w:val="32"/>
          <w:sz w:val="24"/>
          <w:szCs w:val="24"/>
        </w:rPr>
        <w:t>说明为完成电磁兼容性试验所需的试验设施。</w:t>
      </w:r>
    </w:p>
    <w:p w14:paraId="77204D55">
      <w:pPr>
        <w:spacing w:before="120" w:line="221" w:lineRule="auto"/>
        <w:rPr>
          <w:rFonts w:ascii="黑体" w:hAnsi="黑体" w:eastAsia="黑体" w:cs="黑体"/>
          <w:sz w:val="25"/>
          <w:szCs w:val="25"/>
        </w:rPr>
      </w:pPr>
      <w:r>
        <w:rPr>
          <w:rFonts w:ascii="黑体" w:hAnsi="黑体" w:eastAsia="黑体" w:cs="黑体"/>
          <w:spacing w:val="11"/>
          <w:sz w:val="25"/>
          <w:szCs w:val="25"/>
        </w:rPr>
        <w:t>6.2</w:t>
      </w:r>
      <w:r>
        <w:rPr>
          <w:rFonts w:ascii="黑体" w:hAnsi="黑体" w:eastAsia="黑体" w:cs="黑体"/>
          <w:spacing w:val="45"/>
          <w:sz w:val="25"/>
          <w:szCs w:val="25"/>
        </w:rPr>
        <w:t xml:space="preserve">  </w:t>
      </w:r>
      <w:r>
        <w:rPr>
          <w:rFonts w:ascii="黑体" w:hAnsi="黑体" w:eastAsia="黑体" w:cs="黑体"/>
          <w:b/>
          <w:bCs/>
          <w:spacing w:val="11"/>
          <w:sz w:val="25"/>
          <w:szCs w:val="25"/>
        </w:rPr>
        <w:t>试验设备</w:t>
      </w:r>
    </w:p>
    <w:p w14:paraId="7CBE72BE">
      <w:pPr>
        <w:pStyle w:val="2"/>
        <w:spacing w:before="128" w:line="219" w:lineRule="auto"/>
        <w:ind w:left="560"/>
      </w:pPr>
      <w:r>
        <w:rPr>
          <w:spacing w:val="2"/>
        </w:rPr>
        <w:t>说明为完成电磁兼容性试验所需的试验设备。</w:t>
      </w:r>
    </w:p>
    <w:p w14:paraId="54A9BAA6">
      <w:pPr>
        <w:spacing w:before="104" w:line="222" w:lineRule="auto"/>
        <w:outlineLvl w:val="3"/>
        <w:rPr>
          <w:rFonts w:ascii="黑体" w:hAnsi="黑体" w:eastAsia="黑体" w:cs="黑体"/>
          <w:sz w:val="27"/>
          <w:szCs w:val="27"/>
        </w:rPr>
      </w:pPr>
      <w:r>
        <w:rPr>
          <w:rFonts w:ascii="Arial" w:hAnsi="Arial" w:eastAsia="Arial" w:cs="Arial"/>
          <w:b/>
          <w:bCs/>
          <w:sz w:val="27"/>
          <w:szCs w:val="27"/>
        </w:rPr>
        <w:t>7</w:t>
      </w:r>
      <w:r>
        <w:rPr>
          <w:rFonts w:ascii="Arial" w:hAnsi="Arial" w:eastAsia="Arial" w:cs="Arial"/>
          <w:b/>
          <w:bCs/>
          <w:spacing w:val="19"/>
          <w:w w:val="101"/>
          <w:sz w:val="27"/>
          <w:szCs w:val="27"/>
        </w:rPr>
        <w:t xml:space="preserve">   </w:t>
      </w:r>
      <w:r>
        <w:rPr>
          <w:rFonts w:ascii="黑体" w:hAnsi="黑体" w:eastAsia="黑体" w:cs="黑体"/>
          <w:b/>
          <w:bCs/>
          <w:sz w:val="27"/>
          <w:szCs w:val="27"/>
        </w:rPr>
        <w:t>经费预算</w:t>
      </w:r>
    </w:p>
    <w:p w14:paraId="5E1B0AE1">
      <w:pPr>
        <w:pStyle w:val="2"/>
        <w:spacing w:before="111" w:line="219" w:lineRule="auto"/>
        <w:ind w:left="560"/>
      </w:pPr>
      <w:r>
        <w:rPr>
          <w:spacing w:val="-2"/>
        </w:rPr>
        <w:t>说明为完成电磁兼容性试验所需的试验经费，列出细</w:t>
      </w:r>
      <w:r>
        <w:rPr>
          <w:spacing w:val="-3"/>
        </w:rPr>
        <w:t>目。</w:t>
      </w:r>
    </w:p>
    <w:p w14:paraId="01825043">
      <w:pPr>
        <w:spacing w:before="93" w:line="221" w:lineRule="auto"/>
        <w:rPr>
          <w:rFonts w:ascii="黑体" w:hAnsi="黑体" w:eastAsia="黑体" w:cs="黑体"/>
          <w:sz w:val="27"/>
          <w:szCs w:val="27"/>
        </w:rPr>
      </w:pPr>
      <w:r>
        <w:rPr>
          <w:rFonts w:ascii="黑体" w:hAnsi="黑体" w:eastAsia="黑体" w:cs="黑体"/>
          <w:spacing w:val="1"/>
          <w:sz w:val="27"/>
          <w:szCs w:val="27"/>
        </w:rPr>
        <w:t xml:space="preserve">8  </w:t>
      </w:r>
      <w:r>
        <w:rPr>
          <w:rFonts w:ascii="黑体" w:hAnsi="黑体" w:eastAsia="黑体" w:cs="黑体"/>
          <w:b/>
          <w:bCs/>
          <w:spacing w:val="1"/>
          <w:sz w:val="27"/>
          <w:szCs w:val="27"/>
        </w:rPr>
        <w:t>可能存在的问题及解决方案</w:t>
      </w:r>
    </w:p>
    <w:p w14:paraId="6447887D">
      <w:pPr>
        <w:spacing w:before="35" w:line="368" w:lineRule="exact"/>
        <w:rPr>
          <w:rFonts w:ascii="黑体" w:hAnsi="黑体" w:eastAsia="黑体" w:cs="黑体"/>
          <w:sz w:val="27"/>
          <w:szCs w:val="27"/>
        </w:rPr>
      </w:pPr>
      <w:r>
        <w:rPr>
          <w:rFonts w:ascii="Arial" w:hAnsi="Arial" w:eastAsia="Arial" w:cs="Arial"/>
          <w:spacing w:val="3"/>
          <w:position w:val="3"/>
          <w:sz w:val="27"/>
          <w:szCs w:val="27"/>
        </w:rPr>
        <w:t>8.</w:t>
      </w:r>
      <w:r>
        <w:rPr>
          <w:rFonts w:ascii="Arial" w:hAnsi="Arial" w:eastAsia="Arial" w:cs="Arial"/>
          <w:spacing w:val="-19"/>
          <w:position w:val="3"/>
          <w:sz w:val="27"/>
          <w:szCs w:val="27"/>
        </w:rPr>
        <w:t xml:space="preserve"> </w:t>
      </w:r>
      <w:r>
        <w:rPr>
          <w:rFonts w:ascii="Arial" w:hAnsi="Arial" w:eastAsia="Arial" w:cs="Arial"/>
          <w:spacing w:val="3"/>
          <w:position w:val="3"/>
          <w:sz w:val="27"/>
          <w:szCs w:val="27"/>
        </w:rPr>
        <w:t xml:space="preserve">X   ( </w:t>
      </w:r>
      <w:r>
        <w:rPr>
          <w:rFonts w:ascii="黑体" w:hAnsi="黑体" w:eastAsia="黑体" w:cs="黑体"/>
          <w:b/>
          <w:bCs/>
          <w:spacing w:val="3"/>
          <w:position w:val="3"/>
          <w:sz w:val="27"/>
          <w:szCs w:val="27"/>
        </w:rPr>
        <w:t>可能存在的问题</w:t>
      </w:r>
      <w:r>
        <w:rPr>
          <w:rFonts w:ascii="Arial" w:hAnsi="Arial" w:eastAsia="Arial" w:cs="Arial"/>
          <w:b/>
          <w:bCs/>
          <w:spacing w:val="3"/>
          <w:position w:val="3"/>
          <w:sz w:val="27"/>
          <w:szCs w:val="27"/>
        </w:rPr>
        <w:t xml:space="preserve">X) </w:t>
      </w:r>
      <w:r>
        <w:rPr>
          <w:rFonts w:ascii="黑体" w:hAnsi="黑体" w:eastAsia="黑体" w:cs="黑体"/>
          <w:b/>
          <w:bCs/>
          <w:spacing w:val="3"/>
          <w:position w:val="3"/>
          <w:sz w:val="27"/>
          <w:szCs w:val="27"/>
        </w:rPr>
        <w:t>及解</w:t>
      </w:r>
      <w:r>
        <w:rPr>
          <w:rFonts w:ascii="黑体" w:hAnsi="黑体" w:eastAsia="黑体" w:cs="黑体"/>
          <w:b/>
          <w:bCs/>
          <w:spacing w:val="2"/>
          <w:position w:val="3"/>
          <w:sz w:val="27"/>
          <w:szCs w:val="27"/>
        </w:rPr>
        <w:t>决方案</w:t>
      </w:r>
    </w:p>
    <w:p w14:paraId="3A3CA27E">
      <w:pPr>
        <w:pStyle w:val="2"/>
        <w:spacing w:before="150" w:line="219" w:lineRule="auto"/>
        <w:ind w:left="560"/>
      </w:pPr>
      <w:r>
        <w:rPr>
          <w:spacing w:val="-1"/>
        </w:rPr>
        <w:t>对试验过程中可能出现的问题进行预计和分析，并提出解决方案。</w:t>
      </w:r>
    </w:p>
    <w:p w14:paraId="00817811">
      <w:pPr>
        <w:spacing w:before="74" w:line="221" w:lineRule="auto"/>
        <w:rPr>
          <w:rFonts w:ascii="黑体" w:hAnsi="黑体" w:eastAsia="黑体" w:cs="黑体"/>
          <w:sz w:val="27"/>
          <w:szCs w:val="27"/>
        </w:rPr>
      </w:pPr>
      <w:r>
        <w:rPr>
          <w:rFonts w:ascii="黑体" w:hAnsi="黑体" w:eastAsia="黑体" w:cs="黑体"/>
          <w:spacing w:val="3"/>
          <w:sz w:val="27"/>
          <w:szCs w:val="27"/>
        </w:rPr>
        <w:t xml:space="preserve">9  </w:t>
      </w:r>
      <w:r>
        <w:rPr>
          <w:rFonts w:ascii="黑体" w:hAnsi="黑体" w:eastAsia="黑体" w:cs="黑体"/>
          <w:b/>
          <w:bCs/>
          <w:spacing w:val="3"/>
          <w:sz w:val="27"/>
          <w:szCs w:val="27"/>
        </w:rPr>
        <w:t>试验计划修改措施</w:t>
      </w:r>
    </w:p>
    <w:p w14:paraId="21EEFDF7">
      <w:pPr>
        <w:pStyle w:val="2"/>
        <w:spacing w:before="101" w:line="219" w:lineRule="auto"/>
        <w:ind w:left="560"/>
      </w:pPr>
      <w:r>
        <w:rPr>
          <w:spacing w:val="3"/>
        </w:rPr>
        <w:t>规定对试验计划进行必要的修改所需采取的措施。</w:t>
      </w:r>
    </w:p>
    <w:p w14:paraId="5E140C12">
      <w:pPr>
        <w:spacing w:line="219" w:lineRule="auto"/>
        <w:sectPr>
          <w:footerReference r:id="rId616" w:type="default"/>
          <w:pgSz w:w="11910" w:h="17130"/>
          <w:pgMar w:top="1456" w:right="1315" w:bottom="1633" w:left="1090" w:header="0" w:footer="1435" w:gutter="0"/>
          <w:cols w:space="720" w:num="1"/>
        </w:sectPr>
      </w:pPr>
    </w:p>
    <w:p w14:paraId="3F0E3C42">
      <w:pPr>
        <w:spacing w:line="394" w:lineRule="auto"/>
        <w:rPr>
          <w:rFonts w:ascii="Arial"/>
          <w:sz w:val="21"/>
        </w:rPr>
      </w:pPr>
    </w:p>
    <w:p w14:paraId="745C4239">
      <w:pPr>
        <w:pStyle w:val="2"/>
        <w:spacing w:before="117" w:line="219" w:lineRule="auto"/>
        <w:ind w:left="2470"/>
        <w:outlineLvl w:val="1"/>
        <w:rPr>
          <w:sz w:val="36"/>
          <w:szCs w:val="36"/>
        </w:rPr>
      </w:pPr>
      <w:r>
        <w:rPr>
          <w:rFonts w:ascii="Times New Roman" w:hAnsi="Times New Roman" w:eastAsia="Times New Roman" w:cs="Times New Roman"/>
          <w:b/>
          <w:bCs/>
          <w:spacing w:val="3"/>
          <w:sz w:val="36"/>
          <w:szCs w:val="36"/>
        </w:rPr>
        <w:t xml:space="preserve">13.9     </w:t>
      </w:r>
      <w:r>
        <w:rPr>
          <w:b/>
          <w:bCs/>
          <w:spacing w:val="3"/>
          <w:sz w:val="36"/>
          <w:szCs w:val="36"/>
        </w:rPr>
        <w:t>电磁兼容性试验大纲</w:t>
      </w:r>
    </w:p>
    <w:p w14:paraId="5AB1AFFC">
      <w:pPr>
        <w:spacing w:line="324" w:lineRule="auto"/>
        <w:rPr>
          <w:rFonts w:ascii="Arial"/>
          <w:sz w:val="21"/>
        </w:rPr>
      </w:pPr>
    </w:p>
    <w:p w14:paraId="4CC5CC78">
      <w:pPr>
        <w:pStyle w:val="2"/>
        <w:spacing w:before="87" w:line="298" w:lineRule="auto"/>
        <w:ind w:firstLine="550"/>
        <w:rPr>
          <w:rFonts w:ascii="楷体" w:hAnsi="楷体" w:eastAsia="楷体" w:cs="楷体"/>
        </w:rPr>
      </w:pPr>
      <w:r>
        <w:rPr>
          <w:rFonts w:ascii="楷体" w:hAnsi="楷体" w:eastAsia="楷体" w:cs="楷体"/>
          <w:spacing w:val="-2"/>
        </w:rPr>
        <w:t>按照</w:t>
      </w:r>
      <w:r>
        <w:rPr>
          <w:rFonts w:ascii="Times New Roman" w:hAnsi="Times New Roman" w:eastAsia="Times New Roman" w:cs="Times New Roman"/>
          <w:spacing w:val="-2"/>
        </w:rPr>
        <w:t>GJB</w:t>
      </w:r>
      <w:r>
        <w:rPr>
          <w:rFonts w:ascii="Times New Roman" w:hAnsi="Times New Roman" w:eastAsia="Times New Roman" w:cs="Times New Roman"/>
          <w:spacing w:val="31"/>
        </w:rPr>
        <w:t xml:space="preserve"> </w:t>
      </w:r>
      <w:r>
        <w:rPr>
          <w:rFonts w:ascii="Times New Roman" w:hAnsi="Times New Roman" w:eastAsia="Times New Roman" w:cs="Times New Roman"/>
          <w:spacing w:val="-2"/>
        </w:rPr>
        <w:t>1362A—2007</w:t>
      </w:r>
      <w:r>
        <w:rPr>
          <w:spacing w:val="-2"/>
        </w:rPr>
        <w:t>《</w:t>
      </w:r>
      <w:r>
        <w:rPr>
          <w:rFonts w:ascii="楷体" w:hAnsi="楷体" w:eastAsia="楷体" w:cs="楷体"/>
          <w:spacing w:val="-2"/>
        </w:rPr>
        <w:t>军工产品定型程序和要求》编写，目次格式和编写</w:t>
      </w:r>
      <w:r>
        <w:rPr>
          <w:rFonts w:ascii="楷体" w:hAnsi="楷体" w:eastAsia="楷体" w:cs="楷体"/>
        </w:rPr>
        <w:t xml:space="preserve"> </w:t>
      </w:r>
      <w:r>
        <w:rPr>
          <w:rFonts w:ascii="楷体" w:hAnsi="楷体" w:eastAsia="楷体" w:cs="楷体"/>
          <w:spacing w:val="-10"/>
        </w:rPr>
        <w:t>说明与本书1.34《设计定型试验大纲》相同，参见1.34《设计定型试验大纲》。</w:t>
      </w:r>
    </w:p>
    <w:p w14:paraId="4D2325DE">
      <w:pPr>
        <w:spacing w:line="229" w:lineRule="auto"/>
        <w:ind w:left="550"/>
        <w:rPr>
          <w:rFonts w:ascii="楷体" w:hAnsi="楷体" w:eastAsia="楷体" w:cs="楷体"/>
          <w:sz w:val="24"/>
          <w:szCs w:val="24"/>
        </w:rPr>
      </w:pPr>
      <w:r>
        <w:rPr>
          <w:rFonts w:ascii="Times New Roman" w:hAnsi="Times New Roman" w:eastAsia="Times New Roman" w:cs="Times New Roman"/>
          <w:spacing w:val="24"/>
          <w:sz w:val="24"/>
          <w:szCs w:val="24"/>
        </w:rPr>
        <w:t>1</w:t>
      </w:r>
      <w:r>
        <w:rPr>
          <w:rFonts w:ascii="Times New Roman" w:hAnsi="Times New Roman" w:eastAsia="Times New Roman" w:cs="Times New Roman"/>
          <w:spacing w:val="31"/>
          <w:sz w:val="24"/>
          <w:szCs w:val="24"/>
        </w:rPr>
        <w:t xml:space="preserve">  </w:t>
      </w:r>
      <w:r>
        <w:rPr>
          <w:rFonts w:ascii="楷体" w:hAnsi="楷体" w:eastAsia="楷体" w:cs="楷体"/>
          <w:spacing w:val="24"/>
          <w:sz w:val="24"/>
          <w:szCs w:val="24"/>
        </w:rPr>
        <w:t>编制大纲的依据</w:t>
      </w:r>
    </w:p>
    <w:p w14:paraId="2C9B5A46">
      <w:pPr>
        <w:spacing w:before="99" w:line="227" w:lineRule="auto"/>
        <w:ind w:left="550"/>
        <w:rPr>
          <w:rFonts w:ascii="楷体" w:hAnsi="楷体" w:eastAsia="楷体" w:cs="楷体"/>
          <w:sz w:val="24"/>
          <w:szCs w:val="24"/>
        </w:rPr>
      </w:pPr>
      <w:r>
        <w:rPr>
          <w:rFonts w:ascii="Times New Roman" w:hAnsi="Times New Roman" w:eastAsia="Times New Roman" w:cs="Times New Roman"/>
          <w:spacing w:val="30"/>
          <w:sz w:val="24"/>
          <w:szCs w:val="24"/>
        </w:rPr>
        <w:t>2</w:t>
      </w:r>
      <w:r>
        <w:rPr>
          <w:rFonts w:ascii="Times New Roman" w:hAnsi="Times New Roman" w:eastAsia="Times New Roman" w:cs="Times New Roman"/>
          <w:spacing w:val="19"/>
          <w:sz w:val="24"/>
          <w:szCs w:val="24"/>
        </w:rPr>
        <w:t xml:space="preserve">  </w:t>
      </w:r>
      <w:r>
        <w:rPr>
          <w:rFonts w:ascii="楷体" w:hAnsi="楷体" w:eastAsia="楷体" w:cs="楷体"/>
          <w:spacing w:val="30"/>
          <w:sz w:val="24"/>
          <w:szCs w:val="24"/>
        </w:rPr>
        <w:t>试验目的和性质</w:t>
      </w:r>
    </w:p>
    <w:p w14:paraId="0BF0D9D1">
      <w:pPr>
        <w:spacing w:before="103" w:line="227" w:lineRule="auto"/>
        <w:ind w:left="550"/>
        <w:rPr>
          <w:rFonts w:ascii="楷体" w:hAnsi="楷体" w:eastAsia="楷体" w:cs="楷体"/>
          <w:sz w:val="24"/>
          <w:szCs w:val="24"/>
        </w:rPr>
      </w:pPr>
      <w:r>
        <w:rPr>
          <w:rFonts w:ascii="Times New Roman" w:hAnsi="Times New Roman" w:eastAsia="Times New Roman" w:cs="Times New Roman"/>
          <w:spacing w:val="19"/>
          <w:sz w:val="24"/>
          <w:szCs w:val="24"/>
        </w:rPr>
        <w:t xml:space="preserve">3  </w:t>
      </w:r>
      <w:r>
        <w:rPr>
          <w:rFonts w:ascii="楷体" w:hAnsi="楷体" w:eastAsia="楷体" w:cs="楷体"/>
          <w:spacing w:val="19"/>
          <w:sz w:val="24"/>
          <w:szCs w:val="24"/>
        </w:rPr>
        <w:t>被试品、陪试品、配套设备的数量和技术状态</w:t>
      </w:r>
    </w:p>
    <w:p w14:paraId="705BEE57">
      <w:pPr>
        <w:spacing w:before="120" w:line="230" w:lineRule="auto"/>
        <w:ind w:left="550"/>
        <w:rPr>
          <w:rFonts w:ascii="楷体" w:hAnsi="楷体" w:eastAsia="楷体" w:cs="楷体"/>
          <w:sz w:val="24"/>
          <w:szCs w:val="24"/>
        </w:rPr>
      </w:pPr>
      <w:r>
        <w:rPr>
          <w:rFonts w:ascii="Times New Roman" w:hAnsi="Times New Roman" w:eastAsia="Times New Roman" w:cs="Times New Roman"/>
          <w:spacing w:val="28"/>
          <w:sz w:val="24"/>
          <w:szCs w:val="24"/>
        </w:rPr>
        <w:t>3.1</w:t>
      </w:r>
      <w:r>
        <w:rPr>
          <w:rFonts w:ascii="Times New Roman" w:hAnsi="Times New Roman" w:eastAsia="Times New Roman" w:cs="Times New Roman"/>
          <w:spacing w:val="21"/>
          <w:sz w:val="24"/>
          <w:szCs w:val="24"/>
        </w:rPr>
        <w:t xml:space="preserve">   </w:t>
      </w:r>
      <w:r>
        <w:rPr>
          <w:rFonts w:ascii="楷体" w:hAnsi="楷体" w:eastAsia="楷体" w:cs="楷体"/>
          <w:spacing w:val="28"/>
          <w:sz w:val="24"/>
          <w:szCs w:val="24"/>
        </w:rPr>
        <w:t>被试品的数量和技术状态</w:t>
      </w:r>
    </w:p>
    <w:p w14:paraId="7D9BCCE5">
      <w:pPr>
        <w:spacing w:before="101" w:line="230" w:lineRule="auto"/>
        <w:ind w:left="550"/>
        <w:rPr>
          <w:rFonts w:ascii="楷体" w:hAnsi="楷体" w:eastAsia="楷体" w:cs="楷体"/>
          <w:sz w:val="24"/>
          <w:szCs w:val="24"/>
        </w:rPr>
      </w:pPr>
      <w:r>
        <w:rPr>
          <w:rFonts w:ascii="Times New Roman" w:hAnsi="Times New Roman" w:eastAsia="Times New Roman" w:cs="Times New Roman"/>
          <w:spacing w:val="26"/>
          <w:sz w:val="24"/>
          <w:szCs w:val="24"/>
        </w:rPr>
        <w:t>3.2</w:t>
      </w:r>
      <w:r>
        <w:rPr>
          <w:rFonts w:ascii="Times New Roman" w:hAnsi="Times New Roman" w:eastAsia="Times New Roman" w:cs="Times New Roman"/>
          <w:spacing w:val="8"/>
          <w:sz w:val="24"/>
          <w:szCs w:val="24"/>
        </w:rPr>
        <w:t xml:space="preserve">    </w:t>
      </w:r>
      <w:r>
        <w:rPr>
          <w:rFonts w:ascii="楷体" w:hAnsi="楷体" w:eastAsia="楷体" w:cs="楷体"/>
          <w:spacing w:val="26"/>
          <w:sz w:val="24"/>
          <w:szCs w:val="24"/>
        </w:rPr>
        <w:t>陪试品的数量和技术状态</w:t>
      </w:r>
    </w:p>
    <w:p w14:paraId="4B89EB8A">
      <w:pPr>
        <w:spacing w:before="97" w:line="227" w:lineRule="auto"/>
        <w:ind w:left="550"/>
        <w:rPr>
          <w:rFonts w:ascii="楷体" w:hAnsi="楷体" w:eastAsia="楷体" w:cs="楷体"/>
          <w:sz w:val="27"/>
          <w:szCs w:val="27"/>
        </w:rPr>
      </w:pPr>
      <w:r>
        <w:rPr>
          <w:rFonts w:ascii="Times New Roman" w:hAnsi="Times New Roman" w:eastAsia="Times New Roman" w:cs="Times New Roman"/>
          <w:spacing w:val="4"/>
          <w:sz w:val="27"/>
          <w:szCs w:val="27"/>
        </w:rPr>
        <w:t xml:space="preserve">3.3   </w:t>
      </w:r>
      <w:r>
        <w:rPr>
          <w:rFonts w:ascii="楷体" w:hAnsi="楷体" w:eastAsia="楷体" w:cs="楷体"/>
          <w:spacing w:val="4"/>
          <w:sz w:val="27"/>
          <w:szCs w:val="27"/>
        </w:rPr>
        <w:t>配套设备的数量和技术状态</w:t>
      </w:r>
    </w:p>
    <w:p w14:paraId="3B9CD0CF">
      <w:pPr>
        <w:spacing w:before="66" w:line="225" w:lineRule="auto"/>
        <w:ind w:left="550"/>
        <w:rPr>
          <w:rFonts w:ascii="楷体" w:hAnsi="楷体" w:eastAsia="楷体" w:cs="楷体"/>
          <w:sz w:val="27"/>
          <w:szCs w:val="27"/>
        </w:rPr>
      </w:pPr>
      <w:r>
        <w:rPr>
          <w:rFonts w:ascii="楷体" w:hAnsi="楷体" w:eastAsia="楷体" w:cs="楷体"/>
          <w:spacing w:val="-7"/>
          <w:sz w:val="27"/>
          <w:szCs w:val="27"/>
        </w:rPr>
        <w:t>4 试验项目、内容和方法</w:t>
      </w:r>
    </w:p>
    <w:p w14:paraId="1552B0AB">
      <w:pPr>
        <w:pStyle w:val="2"/>
        <w:spacing w:before="59" w:line="224" w:lineRule="auto"/>
        <w:ind w:left="550"/>
        <w:rPr>
          <w:rFonts w:ascii="楷体" w:hAnsi="楷体" w:eastAsia="楷体" w:cs="楷体"/>
          <w:sz w:val="28"/>
          <w:szCs w:val="28"/>
        </w:rPr>
      </w:pPr>
      <w:r>
        <w:rPr>
          <w:rFonts w:ascii="楷体" w:hAnsi="楷体" w:eastAsia="楷体" w:cs="楷体"/>
          <w:spacing w:val="-3"/>
          <w:sz w:val="28"/>
          <w:szCs w:val="28"/>
        </w:rPr>
        <w:t xml:space="preserve">4.1 </w:t>
      </w:r>
      <w:r>
        <w:rPr>
          <w:rFonts w:ascii="Times New Roman" w:hAnsi="Times New Roman" w:eastAsia="Times New Roman" w:cs="Times New Roman"/>
          <w:spacing w:val="-3"/>
          <w:sz w:val="28"/>
          <w:szCs w:val="28"/>
        </w:rPr>
        <w:t>CE10125Hz</w:t>
      </w:r>
      <w:r>
        <w:rPr>
          <w:spacing w:val="-3"/>
          <w:sz w:val="28"/>
          <w:szCs w:val="28"/>
        </w:rPr>
        <w:t>～</w:t>
      </w:r>
      <w:r>
        <w:rPr>
          <w:rFonts w:ascii="Times New Roman" w:hAnsi="Times New Roman" w:eastAsia="Times New Roman" w:cs="Times New Roman"/>
          <w:spacing w:val="-3"/>
          <w:sz w:val="28"/>
          <w:szCs w:val="28"/>
        </w:rPr>
        <w:t xml:space="preserve">10kHz    </w:t>
      </w:r>
      <w:r>
        <w:rPr>
          <w:rFonts w:ascii="楷体" w:hAnsi="楷体" w:eastAsia="楷体" w:cs="楷体"/>
          <w:spacing w:val="-3"/>
          <w:sz w:val="28"/>
          <w:szCs w:val="28"/>
        </w:rPr>
        <w:t>电源线传导发射</w:t>
      </w:r>
    </w:p>
    <w:p w14:paraId="74AFC668">
      <w:pPr>
        <w:pStyle w:val="2"/>
        <w:spacing w:before="60" w:line="224" w:lineRule="auto"/>
        <w:ind w:left="550"/>
        <w:rPr>
          <w:rFonts w:ascii="楷体" w:hAnsi="楷体" w:eastAsia="楷体" w:cs="楷体"/>
          <w:sz w:val="28"/>
          <w:szCs w:val="28"/>
        </w:rPr>
      </w:pPr>
      <w:r>
        <w:rPr>
          <w:rFonts w:ascii="Times New Roman" w:hAnsi="Times New Roman" w:eastAsia="Times New Roman" w:cs="Times New Roman"/>
          <w:spacing w:val="-1"/>
          <w:sz w:val="28"/>
          <w:szCs w:val="28"/>
        </w:rPr>
        <w:t>4.2</w:t>
      </w:r>
      <w:r>
        <w:rPr>
          <w:rFonts w:ascii="Times New Roman" w:hAnsi="Times New Roman" w:eastAsia="Times New Roman" w:cs="Times New Roman"/>
          <w:spacing w:val="12"/>
          <w:sz w:val="28"/>
          <w:szCs w:val="28"/>
        </w:rPr>
        <w:t xml:space="preserve">     </w:t>
      </w:r>
      <w:r>
        <w:rPr>
          <w:rFonts w:ascii="Times New Roman" w:hAnsi="Times New Roman" w:eastAsia="Times New Roman" w:cs="Times New Roman"/>
          <w:spacing w:val="-1"/>
          <w:sz w:val="28"/>
          <w:szCs w:val="28"/>
        </w:rPr>
        <w:t>CE10210kHz</w:t>
      </w:r>
      <w:r>
        <w:rPr>
          <w:spacing w:val="-1"/>
          <w:sz w:val="28"/>
          <w:szCs w:val="28"/>
        </w:rPr>
        <w:t>～</w:t>
      </w:r>
      <w:r>
        <w:rPr>
          <w:rFonts w:ascii="Times New Roman" w:hAnsi="Times New Roman" w:eastAsia="Times New Roman" w:cs="Times New Roman"/>
          <w:spacing w:val="-1"/>
          <w:sz w:val="28"/>
          <w:szCs w:val="28"/>
        </w:rPr>
        <w:t>10MHz</w:t>
      </w:r>
      <w:r>
        <w:rPr>
          <w:rFonts w:ascii="楷体" w:hAnsi="楷体" w:eastAsia="楷体" w:cs="楷体"/>
          <w:spacing w:val="-1"/>
          <w:sz w:val="28"/>
          <w:szCs w:val="28"/>
        </w:rPr>
        <w:t>电源线传导发射</w:t>
      </w:r>
    </w:p>
    <w:p w14:paraId="07B61981">
      <w:pPr>
        <w:pStyle w:val="2"/>
        <w:spacing w:before="70" w:line="224" w:lineRule="auto"/>
        <w:ind w:left="550"/>
        <w:rPr>
          <w:rFonts w:ascii="楷体" w:hAnsi="楷体" w:eastAsia="楷体" w:cs="楷体"/>
          <w:sz w:val="28"/>
          <w:szCs w:val="28"/>
        </w:rPr>
      </w:pPr>
      <w:r>
        <w:rPr>
          <w:rFonts w:ascii="Times New Roman" w:hAnsi="Times New Roman" w:eastAsia="Times New Roman" w:cs="Times New Roman"/>
          <w:spacing w:val="-2"/>
          <w:sz w:val="28"/>
          <w:szCs w:val="28"/>
        </w:rPr>
        <w:t>4.3</w:t>
      </w:r>
      <w:r>
        <w:rPr>
          <w:rFonts w:ascii="Times New Roman" w:hAnsi="Times New Roman" w:eastAsia="Times New Roman" w:cs="Times New Roman"/>
          <w:spacing w:val="11"/>
          <w:sz w:val="28"/>
          <w:szCs w:val="28"/>
        </w:rPr>
        <w:t xml:space="preserve">     </w:t>
      </w:r>
      <w:r>
        <w:rPr>
          <w:rFonts w:ascii="Times New Roman" w:hAnsi="Times New Roman" w:eastAsia="Times New Roman" w:cs="Times New Roman"/>
          <w:spacing w:val="-2"/>
          <w:sz w:val="28"/>
          <w:szCs w:val="28"/>
        </w:rPr>
        <w:t>CE10610kHz</w:t>
      </w:r>
      <w:r>
        <w:rPr>
          <w:spacing w:val="-2"/>
          <w:sz w:val="28"/>
          <w:szCs w:val="28"/>
        </w:rPr>
        <w:t>～</w:t>
      </w:r>
      <w:r>
        <w:rPr>
          <w:rFonts w:ascii="Times New Roman" w:hAnsi="Times New Roman" w:eastAsia="Times New Roman" w:cs="Times New Roman"/>
          <w:spacing w:val="-2"/>
          <w:sz w:val="28"/>
          <w:szCs w:val="28"/>
        </w:rPr>
        <w:t>40GHz</w:t>
      </w:r>
      <w:r>
        <w:rPr>
          <w:rFonts w:ascii="Times New Roman" w:hAnsi="Times New Roman" w:eastAsia="Times New Roman" w:cs="Times New Roman"/>
          <w:spacing w:val="-14"/>
          <w:sz w:val="28"/>
          <w:szCs w:val="28"/>
        </w:rPr>
        <w:t xml:space="preserve"> </w:t>
      </w:r>
      <w:r>
        <w:rPr>
          <w:rFonts w:ascii="楷体" w:hAnsi="楷体" w:eastAsia="楷体" w:cs="楷体"/>
          <w:spacing w:val="-2"/>
          <w:sz w:val="28"/>
          <w:szCs w:val="28"/>
        </w:rPr>
        <w:t>天线端子传导发射</w:t>
      </w:r>
    </w:p>
    <w:p w14:paraId="035D3511">
      <w:pPr>
        <w:spacing w:before="71" w:line="224" w:lineRule="auto"/>
        <w:ind w:left="550"/>
        <w:rPr>
          <w:rFonts w:ascii="楷体" w:hAnsi="楷体" w:eastAsia="楷体" w:cs="楷体"/>
          <w:sz w:val="28"/>
          <w:szCs w:val="28"/>
        </w:rPr>
      </w:pPr>
      <w:r>
        <w:rPr>
          <w:rFonts w:ascii="楷体" w:hAnsi="楷体" w:eastAsia="楷体" w:cs="楷体"/>
          <w:spacing w:val="-3"/>
          <w:sz w:val="28"/>
          <w:szCs w:val="28"/>
        </w:rPr>
        <w:t xml:space="preserve">4.4 </w:t>
      </w:r>
      <w:r>
        <w:rPr>
          <w:rFonts w:ascii="Times New Roman" w:hAnsi="Times New Roman" w:eastAsia="Times New Roman" w:cs="Times New Roman"/>
          <w:spacing w:val="-3"/>
          <w:sz w:val="28"/>
          <w:szCs w:val="28"/>
        </w:rPr>
        <w:t xml:space="preserve">CE107  </w:t>
      </w:r>
      <w:r>
        <w:rPr>
          <w:rFonts w:ascii="楷体" w:hAnsi="楷体" w:eastAsia="楷体" w:cs="楷体"/>
          <w:spacing w:val="-3"/>
          <w:sz w:val="28"/>
          <w:szCs w:val="28"/>
        </w:rPr>
        <w:t>电源线尖峰信号(时域)传导发射</w:t>
      </w:r>
    </w:p>
    <w:p w14:paraId="228D3719">
      <w:pPr>
        <w:pStyle w:val="2"/>
        <w:spacing w:before="60" w:line="224" w:lineRule="auto"/>
        <w:ind w:left="550"/>
        <w:rPr>
          <w:rFonts w:ascii="楷体" w:hAnsi="楷体" w:eastAsia="楷体" w:cs="楷体"/>
          <w:sz w:val="28"/>
          <w:szCs w:val="28"/>
        </w:rPr>
      </w:pPr>
      <w:r>
        <w:rPr>
          <w:rFonts w:ascii="楷体" w:hAnsi="楷体" w:eastAsia="楷体" w:cs="楷体"/>
          <w:spacing w:val="-2"/>
          <w:sz w:val="28"/>
          <w:szCs w:val="28"/>
        </w:rPr>
        <w:t xml:space="preserve">4.5 </w:t>
      </w:r>
      <w:r>
        <w:rPr>
          <w:rFonts w:ascii="Times New Roman" w:hAnsi="Times New Roman" w:eastAsia="Times New Roman" w:cs="Times New Roman"/>
          <w:spacing w:val="-2"/>
          <w:sz w:val="28"/>
          <w:szCs w:val="28"/>
        </w:rPr>
        <w:t>CS10125Hz</w:t>
      </w:r>
      <w:r>
        <w:rPr>
          <w:spacing w:val="-2"/>
          <w:sz w:val="28"/>
          <w:szCs w:val="28"/>
        </w:rPr>
        <w:t>～</w:t>
      </w:r>
      <w:r>
        <w:rPr>
          <w:rFonts w:ascii="Times New Roman" w:hAnsi="Times New Roman" w:eastAsia="Times New Roman" w:cs="Times New Roman"/>
          <w:spacing w:val="-2"/>
          <w:sz w:val="28"/>
          <w:szCs w:val="28"/>
        </w:rPr>
        <w:t xml:space="preserve">50kHz   </w:t>
      </w:r>
      <w:r>
        <w:rPr>
          <w:rFonts w:ascii="楷体" w:hAnsi="楷体" w:eastAsia="楷体" w:cs="楷体"/>
          <w:spacing w:val="-2"/>
          <w:sz w:val="28"/>
          <w:szCs w:val="28"/>
        </w:rPr>
        <w:t>电源线传导敏感度</w:t>
      </w:r>
    </w:p>
    <w:p w14:paraId="31514E95">
      <w:pPr>
        <w:pStyle w:val="2"/>
        <w:spacing w:before="70" w:line="224" w:lineRule="auto"/>
        <w:ind w:left="550"/>
        <w:rPr>
          <w:rFonts w:ascii="楷体" w:hAnsi="楷体" w:eastAsia="楷体" w:cs="楷体"/>
          <w:sz w:val="28"/>
          <w:szCs w:val="28"/>
        </w:rPr>
      </w:pPr>
      <w:r>
        <w:rPr>
          <w:rFonts w:ascii="楷体" w:hAnsi="楷体" w:eastAsia="楷体" w:cs="楷体"/>
          <w:spacing w:val="-3"/>
          <w:sz w:val="28"/>
          <w:szCs w:val="28"/>
        </w:rPr>
        <w:t xml:space="preserve">4.6 </w:t>
      </w:r>
      <w:r>
        <w:rPr>
          <w:rFonts w:ascii="Times New Roman" w:hAnsi="Times New Roman" w:eastAsia="Times New Roman" w:cs="Times New Roman"/>
          <w:spacing w:val="-3"/>
          <w:sz w:val="28"/>
          <w:szCs w:val="28"/>
        </w:rPr>
        <w:t>CS10315kHz</w:t>
      </w:r>
      <w:r>
        <w:rPr>
          <w:spacing w:val="-3"/>
          <w:sz w:val="28"/>
          <w:szCs w:val="28"/>
        </w:rPr>
        <w:t>～</w:t>
      </w:r>
      <w:r>
        <w:rPr>
          <w:rFonts w:ascii="Times New Roman" w:hAnsi="Times New Roman" w:eastAsia="Times New Roman" w:cs="Times New Roman"/>
          <w:spacing w:val="-3"/>
          <w:sz w:val="28"/>
          <w:szCs w:val="28"/>
        </w:rPr>
        <w:t xml:space="preserve">10GHz    </w:t>
      </w:r>
      <w:r>
        <w:rPr>
          <w:rFonts w:ascii="楷体" w:hAnsi="楷体" w:eastAsia="楷体" w:cs="楷体"/>
          <w:spacing w:val="-3"/>
          <w:sz w:val="28"/>
          <w:szCs w:val="28"/>
        </w:rPr>
        <w:t>天线端</w:t>
      </w:r>
      <w:r>
        <w:rPr>
          <w:rFonts w:ascii="楷体" w:hAnsi="楷体" w:eastAsia="楷体" w:cs="楷体"/>
          <w:spacing w:val="-4"/>
          <w:sz w:val="28"/>
          <w:szCs w:val="28"/>
        </w:rPr>
        <w:t>子互调传导敏感度</w:t>
      </w:r>
    </w:p>
    <w:p w14:paraId="6FA4C675">
      <w:pPr>
        <w:pStyle w:val="2"/>
        <w:spacing w:before="65" w:line="220" w:lineRule="auto"/>
        <w:ind w:left="550"/>
        <w:rPr>
          <w:rFonts w:ascii="楷体" w:hAnsi="楷体" w:eastAsia="楷体" w:cs="楷体"/>
          <w:sz w:val="28"/>
          <w:szCs w:val="28"/>
        </w:rPr>
      </w:pPr>
      <w:r>
        <w:rPr>
          <w:rFonts w:ascii="楷体" w:hAnsi="楷体" w:eastAsia="楷体" w:cs="楷体"/>
          <w:spacing w:val="-3"/>
          <w:sz w:val="28"/>
          <w:szCs w:val="28"/>
        </w:rPr>
        <w:t xml:space="preserve">4.7 </w:t>
      </w:r>
      <w:r>
        <w:rPr>
          <w:rFonts w:ascii="Times New Roman" w:hAnsi="Times New Roman" w:eastAsia="Times New Roman" w:cs="Times New Roman"/>
          <w:spacing w:val="-3"/>
          <w:sz w:val="28"/>
          <w:szCs w:val="28"/>
        </w:rPr>
        <w:t>CS10425kHz</w:t>
      </w:r>
      <w:r>
        <w:rPr>
          <w:spacing w:val="-3"/>
          <w:sz w:val="28"/>
          <w:szCs w:val="28"/>
        </w:rPr>
        <w:t>～</w:t>
      </w:r>
      <w:r>
        <w:rPr>
          <w:rFonts w:ascii="Times New Roman" w:hAnsi="Times New Roman" w:eastAsia="Times New Roman" w:cs="Times New Roman"/>
          <w:spacing w:val="-3"/>
          <w:sz w:val="28"/>
          <w:szCs w:val="28"/>
        </w:rPr>
        <w:t xml:space="preserve">20GHz   </w:t>
      </w:r>
      <w:r>
        <w:rPr>
          <w:rFonts w:ascii="Times New Roman" w:hAnsi="Times New Roman" w:eastAsia="Times New Roman" w:cs="Times New Roman"/>
          <w:spacing w:val="-4"/>
          <w:sz w:val="28"/>
          <w:szCs w:val="28"/>
        </w:rPr>
        <w:t xml:space="preserve"> </w:t>
      </w:r>
      <w:r>
        <w:rPr>
          <w:rFonts w:ascii="楷体" w:hAnsi="楷体" w:eastAsia="楷体" w:cs="楷体"/>
          <w:spacing w:val="-4"/>
          <w:sz w:val="28"/>
          <w:szCs w:val="28"/>
        </w:rPr>
        <w:t>天线端子无用信号抑制传导敏感度</w:t>
      </w:r>
    </w:p>
    <w:p w14:paraId="705A305B">
      <w:pPr>
        <w:pStyle w:val="2"/>
        <w:spacing w:before="72" w:line="224" w:lineRule="auto"/>
        <w:ind w:left="550"/>
        <w:rPr>
          <w:rFonts w:ascii="楷体" w:hAnsi="楷体" w:eastAsia="楷体" w:cs="楷体"/>
          <w:sz w:val="28"/>
          <w:szCs w:val="28"/>
        </w:rPr>
      </w:pPr>
      <w:r>
        <w:rPr>
          <w:rFonts w:ascii="Times New Roman" w:hAnsi="Times New Roman" w:eastAsia="Times New Roman" w:cs="Times New Roman"/>
          <w:spacing w:val="-2"/>
          <w:sz w:val="28"/>
          <w:szCs w:val="28"/>
        </w:rPr>
        <w:t>4.8     CS10525kHz</w:t>
      </w:r>
      <w:r>
        <w:rPr>
          <w:spacing w:val="-2"/>
          <w:sz w:val="28"/>
          <w:szCs w:val="28"/>
        </w:rPr>
        <w:t>～</w:t>
      </w:r>
      <w:r>
        <w:rPr>
          <w:rFonts w:ascii="Times New Roman" w:hAnsi="Times New Roman" w:eastAsia="Times New Roman" w:cs="Times New Roman"/>
          <w:spacing w:val="-2"/>
          <w:sz w:val="28"/>
          <w:szCs w:val="28"/>
        </w:rPr>
        <w:t>20GHz</w:t>
      </w:r>
      <w:r>
        <w:rPr>
          <w:rFonts w:ascii="Times New Roman" w:hAnsi="Times New Roman" w:eastAsia="Times New Roman" w:cs="Times New Roman"/>
          <w:spacing w:val="27"/>
          <w:w w:val="101"/>
          <w:sz w:val="28"/>
          <w:szCs w:val="28"/>
        </w:rPr>
        <w:t xml:space="preserve"> </w:t>
      </w:r>
      <w:r>
        <w:rPr>
          <w:rFonts w:ascii="楷体" w:hAnsi="楷体" w:eastAsia="楷体" w:cs="楷体"/>
          <w:spacing w:val="-2"/>
          <w:sz w:val="28"/>
          <w:szCs w:val="28"/>
        </w:rPr>
        <w:t>天线端子交调传导敏感度</w:t>
      </w:r>
    </w:p>
    <w:p w14:paraId="15323B7F">
      <w:pPr>
        <w:spacing w:before="119" w:line="224" w:lineRule="auto"/>
        <w:ind w:left="550"/>
        <w:rPr>
          <w:rFonts w:ascii="楷体" w:hAnsi="楷体" w:eastAsia="楷体" w:cs="楷体"/>
          <w:sz w:val="24"/>
          <w:szCs w:val="24"/>
        </w:rPr>
      </w:pPr>
      <w:r>
        <w:rPr>
          <w:rFonts w:ascii="Times New Roman" w:hAnsi="Times New Roman" w:eastAsia="Times New Roman" w:cs="Times New Roman"/>
          <w:spacing w:val="22"/>
          <w:sz w:val="24"/>
          <w:szCs w:val="24"/>
        </w:rPr>
        <w:t>4.9</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CS</w:t>
      </w:r>
      <w:r>
        <w:rPr>
          <w:rFonts w:ascii="楷体" w:hAnsi="楷体" w:eastAsia="楷体" w:cs="楷体"/>
          <w:spacing w:val="22"/>
          <w:sz w:val="24"/>
          <w:szCs w:val="24"/>
        </w:rPr>
        <w:t>106</w:t>
      </w:r>
      <w:r>
        <w:rPr>
          <w:rFonts w:ascii="楷体" w:hAnsi="楷体" w:eastAsia="楷体" w:cs="楷体"/>
          <w:spacing w:val="55"/>
          <w:sz w:val="24"/>
          <w:szCs w:val="24"/>
        </w:rPr>
        <w:t xml:space="preserve"> </w:t>
      </w:r>
      <w:r>
        <w:rPr>
          <w:rFonts w:ascii="楷体" w:hAnsi="楷体" w:eastAsia="楷体" w:cs="楷体"/>
          <w:spacing w:val="22"/>
          <w:sz w:val="24"/>
          <w:szCs w:val="24"/>
        </w:rPr>
        <w:t>电源线尖峰信号传导敏感度</w:t>
      </w:r>
    </w:p>
    <w:p w14:paraId="58AF6D3B">
      <w:pPr>
        <w:pStyle w:val="2"/>
        <w:spacing w:before="70" w:line="224" w:lineRule="auto"/>
        <w:ind w:left="550"/>
        <w:rPr>
          <w:rFonts w:ascii="楷体" w:hAnsi="楷体" w:eastAsia="楷体" w:cs="楷体"/>
          <w:sz w:val="28"/>
          <w:szCs w:val="28"/>
        </w:rPr>
      </w:pPr>
      <w:r>
        <w:rPr>
          <w:rFonts w:ascii="楷体" w:hAnsi="楷体" w:eastAsia="楷体" w:cs="楷体"/>
          <w:spacing w:val="-3"/>
          <w:sz w:val="28"/>
          <w:szCs w:val="28"/>
        </w:rPr>
        <w:t xml:space="preserve">4.10 </w:t>
      </w:r>
      <w:r>
        <w:rPr>
          <w:rFonts w:ascii="Times New Roman" w:hAnsi="Times New Roman" w:eastAsia="Times New Roman" w:cs="Times New Roman"/>
          <w:spacing w:val="-3"/>
          <w:sz w:val="28"/>
          <w:szCs w:val="28"/>
        </w:rPr>
        <w:t>CS10950Hz</w:t>
      </w:r>
      <w:r>
        <w:rPr>
          <w:spacing w:val="-3"/>
          <w:sz w:val="28"/>
          <w:szCs w:val="28"/>
        </w:rPr>
        <w:t>～</w:t>
      </w:r>
      <w:r>
        <w:rPr>
          <w:rFonts w:ascii="Times New Roman" w:hAnsi="Times New Roman" w:eastAsia="Times New Roman" w:cs="Times New Roman"/>
          <w:spacing w:val="-3"/>
          <w:sz w:val="28"/>
          <w:szCs w:val="28"/>
        </w:rPr>
        <w:t>100kHz</w:t>
      </w:r>
      <w:r>
        <w:rPr>
          <w:rFonts w:ascii="Times New Roman" w:hAnsi="Times New Roman" w:eastAsia="Times New Roman" w:cs="Times New Roman"/>
          <w:spacing w:val="18"/>
          <w:w w:val="101"/>
          <w:sz w:val="28"/>
          <w:szCs w:val="28"/>
        </w:rPr>
        <w:t xml:space="preserve">   </w:t>
      </w:r>
      <w:r>
        <w:rPr>
          <w:rFonts w:ascii="楷体" w:hAnsi="楷体" w:eastAsia="楷体" w:cs="楷体"/>
          <w:spacing w:val="-3"/>
          <w:sz w:val="28"/>
          <w:szCs w:val="28"/>
        </w:rPr>
        <w:t>壳体电流传</w:t>
      </w:r>
      <w:r>
        <w:rPr>
          <w:rFonts w:ascii="楷体" w:hAnsi="楷体" w:eastAsia="楷体" w:cs="楷体"/>
          <w:spacing w:val="-4"/>
          <w:sz w:val="28"/>
          <w:szCs w:val="28"/>
        </w:rPr>
        <w:t>导敏感度</w:t>
      </w:r>
    </w:p>
    <w:p w14:paraId="207A282C">
      <w:pPr>
        <w:pStyle w:val="2"/>
        <w:spacing w:before="79" w:line="223" w:lineRule="auto"/>
        <w:ind w:left="550"/>
        <w:rPr>
          <w:rFonts w:ascii="楷体" w:hAnsi="楷体" w:eastAsia="楷体" w:cs="楷体"/>
          <w:sz w:val="28"/>
          <w:szCs w:val="28"/>
        </w:rPr>
      </w:pPr>
      <w:r>
        <w:rPr>
          <w:rFonts w:ascii="楷体" w:hAnsi="楷体" w:eastAsia="楷体" w:cs="楷体"/>
          <w:spacing w:val="-1"/>
          <w:sz w:val="28"/>
          <w:szCs w:val="28"/>
        </w:rPr>
        <w:t xml:space="preserve">4.11 </w:t>
      </w:r>
      <w:r>
        <w:rPr>
          <w:rFonts w:ascii="Times New Roman" w:hAnsi="Times New Roman" w:eastAsia="Times New Roman" w:cs="Times New Roman"/>
          <w:spacing w:val="-1"/>
          <w:sz w:val="28"/>
          <w:szCs w:val="28"/>
        </w:rPr>
        <w:t>CS11410kHz</w:t>
      </w:r>
      <w:r>
        <w:rPr>
          <w:spacing w:val="-1"/>
          <w:sz w:val="28"/>
          <w:szCs w:val="28"/>
        </w:rPr>
        <w:t>～</w:t>
      </w:r>
      <w:r>
        <w:rPr>
          <w:rFonts w:ascii="Times New Roman" w:hAnsi="Times New Roman" w:eastAsia="Times New Roman" w:cs="Times New Roman"/>
          <w:spacing w:val="-1"/>
          <w:sz w:val="28"/>
          <w:szCs w:val="28"/>
        </w:rPr>
        <w:t>400MH</w:t>
      </w:r>
      <w:r>
        <w:rPr>
          <w:rFonts w:ascii="Times New Roman" w:hAnsi="Times New Roman" w:eastAsia="Times New Roman" w:cs="Times New Roman"/>
          <w:spacing w:val="-2"/>
          <w:sz w:val="28"/>
          <w:szCs w:val="28"/>
        </w:rPr>
        <w:t xml:space="preserve">z   </w:t>
      </w:r>
      <w:r>
        <w:rPr>
          <w:rFonts w:ascii="楷体" w:hAnsi="楷体" w:eastAsia="楷体" w:cs="楷体"/>
          <w:spacing w:val="-2"/>
          <w:sz w:val="28"/>
          <w:szCs w:val="28"/>
        </w:rPr>
        <w:t>电缆束注入传导敏感度</w:t>
      </w:r>
    </w:p>
    <w:p w14:paraId="59F93DA7">
      <w:pPr>
        <w:spacing w:before="62" w:line="223" w:lineRule="auto"/>
        <w:ind w:left="550"/>
        <w:rPr>
          <w:rFonts w:ascii="楷体" w:hAnsi="楷体" w:eastAsia="楷体" w:cs="楷体"/>
          <w:sz w:val="28"/>
          <w:szCs w:val="28"/>
        </w:rPr>
      </w:pPr>
      <w:r>
        <w:rPr>
          <w:rFonts w:ascii="楷体" w:hAnsi="楷体" w:eastAsia="楷体" w:cs="楷体"/>
          <w:spacing w:val="-5"/>
          <w:sz w:val="28"/>
          <w:szCs w:val="28"/>
        </w:rPr>
        <w:t xml:space="preserve">4.12 </w:t>
      </w:r>
      <w:r>
        <w:rPr>
          <w:rFonts w:ascii="Times New Roman" w:hAnsi="Times New Roman" w:eastAsia="Times New Roman" w:cs="Times New Roman"/>
          <w:spacing w:val="-5"/>
          <w:sz w:val="28"/>
          <w:szCs w:val="28"/>
        </w:rPr>
        <w:t xml:space="preserve">CS115  </w:t>
      </w:r>
      <w:r>
        <w:rPr>
          <w:rFonts w:ascii="楷体" w:hAnsi="楷体" w:eastAsia="楷体" w:cs="楷体"/>
          <w:spacing w:val="-5"/>
          <w:sz w:val="28"/>
          <w:szCs w:val="28"/>
        </w:rPr>
        <w:t>电缆束注入脉冲激励传导敏感度</w:t>
      </w:r>
    </w:p>
    <w:p w14:paraId="7ACC9FD6">
      <w:pPr>
        <w:pStyle w:val="2"/>
        <w:spacing w:before="73" w:line="224" w:lineRule="auto"/>
        <w:ind w:left="550"/>
        <w:rPr>
          <w:rFonts w:ascii="楷体" w:hAnsi="楷体" w:eastAsia="楷体" w:cs="楷体"/>
          <w:sz w:val="28"/>
          <w:szCs w:val="28"/>
        </w:rPr>
      </w:pPr>
      <w:r>
        <w:rPr>
          <w:rFonts w:ascii="Times New Roman" w:hAnsi="Times New Roman" w:eastAsia="Times New Roman" w:cs="Times New Roman"/>
          <w:spacing w:val="-3"/>
          <w:sz w:val="28"/>
          <w:szCs w:val="28"/>
        </w:rPr>
        <w:t>4.13   CS11610kHz</w:t>
      </w:r>
      <w:r>
        <w:rPr>
          <w:spacing w:val="-3"/>
          <w:sz w:val="28"/>
          <w:szCs w:val="28"/>
        </w:rPr>
        <w:t>～</w:t>
      </w:r>
      <w:r>
        <w:rPr>
          <w:rFonts w:ascii="Times New Roman" w:hAnsi="Times New Roman" w:eastAsia="Times New Roman" w:cs="Times New Roman"/>
          <w:spacing w:val="-3"/>
          <w:sz w:val="28"/>
          <w:szCs w:val="28"/>
        </w:rPr>
        <w:t>100M</w:t>
      </w:r>
      <w:r>
        <w:rPr>
          <w:rFonts w:ascii="Times New Roman" w:hAnsi="Times New Roman" w:eastAsia="Times New Roman" w:cs="Times New Roman"/>
          <w:spacing w:val="-4"/>
          <w:sz w:val="28"/>
          <w:szCs w:val="28"/>
        </w:rPr>
        <w:t>Hz</w:t>
      </w:r>
      <w:r>
        <w:rPr>
          <w:rFonts w:ascii="Times New Roman" w:hAnsi="Times New Roman" w:eastAsia="Times New Roman" w:cs="Times New Roman"/>
          <w:spacing w:val="20"/>
          <w:sz w:val="28"/>
          <w:szCs w:val="28"/>
        </w:rPr>
        <w:t xml:space="preserve">   </w:t>
      </w:r>
      <w:r>
        <w:rPr>
          <w:rFonts w:ascii="楷体" w:hAnsi="楷体" w:eastAsia="楷体" w:cs="楷体"/>
          <w:spacing w:val="-4"/>
          <w:sz w:val="28"/>
          <w:szCs w:val="28"/>
        </w:rPr>
        <w:t>电缆和电源线阻尼正弦瞬变传导敏感度</w:t>
      </w:r>
    </w:p>
    <w:p w14:paraId="25B3C350">
      <w:pPr>
        <w:pStyle w:val="2"/>
        <w:spacing w:before="70" w:line="230" w:lineRule="auto"/>
        <w:ind w:left="550"/>
        <w:rPr>
          <w:rFonts w:ascii="楷体" w:hAnsi="楷体" w:eastAsia="楷体" w:cs="楷体"/>
          <w:sz w:val="28"/>
          <w:szCs w:val="28"/>
        </w:rPr>
      </w:pPr>
      <w:r>
        <w:rPr>
          <w:rFonts w:ascii="楷体" w:hAnsi="楷体" w:eastAsia="楷体" w:cs="楷体"/>
          <w:spacing w:val="-2"/>
          <w:sz w:val="28"/>
          <w:szCs w:val="28"/>
        </w:rPr>
        <w:t xml:space="preserve">4.14 </w:t>
      </w:r>
      <w:r>
        <w:rPr>
          <w:rFonts w:ascii="Times New Roman" w:hAnsi="Times New Roman" w:eastAsia="Times New Roman" w:cs="Times New Roman"/>
          <w:spacing w:val="-2"/>
          <w:sz w:val="28"/>
          <w:szCs w:val="28"/>
        </w:rPr>
        <w:t>RE10125Hz</w:t>
      </w:r>
      <w:r>
        <w:rPr>
          <w:spacing w:val="-2"/>
          <w:sz w:val="28"/>
          <w:szCs w:val="28"/>
        </w:rPr>
        <w:t>～</w:t>
      </w:r>
      <w:r>
        <w:rPr>
          <w:rFonts w:ascii="Times New Roman" w:hAnsi="Times New Roman" w:eastAsia="Times New Roman" w:cs="Times New Roman"/>
          <w:spacing w:val="-2"/>
          <w:sz w:val="28"/>
          <w:szCs w:val="28"/>
        </w:rPr>
        <w:t>100kHz</w:t>
      </w:r>
      <w:r>
        <w:rPr>
          <w:rFonts w:ascii="Times New Roman" w:hAnsi="Times New Roman" w:eastAsia="Times New Roman" w:cs="Times New Roman"/>
          <w:spacing w:val="22"/>
          <w:sz w:val="28"/>
          <w:szCs w:val="28"/>
        </w:rPr>
        <w:t xml:space="preserve">   </w:t>
      </w:r>
      <w:r>
        <w:rPr>
          <w:rFonts w:ascii="楷体" w:hAnsi="楷体" w:eastAsia="楷体" w:cs="楷体"/>
          <w:spacing w:val="-2"/>
          <w:sz w:val="28"/>
          <w:szCs w:val="28"/>
        </w:rPr>
        <w:t>磁场辐射发射</w:t>
      </w:r>
    </w:p>
    <w:p w14:paraId="3D853968">
      <w:pPr>
        <w:pStyle w:val="2"/>
        <w:spacing w:before="42" w:line="230" w:lineRule="auto"/>
        <w:ind w:left="550"/>
        <w:rPr>
          <w:rFonts w:ascii="楷体" w:hAnsi="楷体" w:eastAsia="楷体" w:cs="楷体"/>
          <w:sz w:val="28"/>
          <w:szCs w:val="28"/>
        </w:rPr>
      </w:pPr>
      <w:r>
        <w:rPr>
          <w:rFonts w:ascii="楷体" w:hAnsi="楷体" w:eastAsia="楷体" w:cs="楷体"/>
          <w:spacing w:val="-2"/>
          <w:sz w:val="28"/>
          <w:szCs w:val="28"/>
        </w:rPr>
        <w:t xml:space="preserve">4.15 </w:t>
      </w:r>
      <w:r>
        <w:rPr>
          <w:rFonts w:ascii="Times New Roman" w:hAnsi="Times New Roman" w:eastAsia="Times New Roman" w:cs="Times New Roman"/>
          <w:spacing w:val="-2"/>
          <w:sz w:val="28"/>
          <w:szCs w:val="28"/>
        </w:rPr>
        <w:t>RE10210kHz</w:t>
      </w:r>
      <w:r>
        <w:rPr>
          <w:spacing w:val="-2"/>
          <w:sz w:val="28"/>
          <w:szCs w:val="28"/>
        </w:rPr>
        <w:t>～</w:t>
      </w:r>
      <w:r>
        <w:rPr>
          <w:rFonts w:ascii="Times New Roman" w:hAnsi="Times New Roman" w:eastAsia="Times New Roman" w:cs="Times New Roman"/>
          <w:spacing w:val="-2"/>
          <w:sz w:val="28"/>
          <w:szCs w:val="28"/>
        </w:rPr>
        <w:t xml:space="preserve">18GHz    </w:t>
      </w:r>
      <w:r>
        <w:rPr>
          <w:rFonts w:ascii="楷体" w:hAnsi="楷体" w:eastAsia="楷体" w:cs="楷体"/>
          <w:spacing w:val="-2"/>
          <w:sz w:val="28"/>
          <w:szCs w:val="28"/>
        </w:rPr>
        <w:t>电场辐射发射</w:t>
      </w:r>
    </w:p>
    <w:p w14:paraId="01B077D8">
      <w:pPr>
        <w:pStyle w:val="2"/>
        <w:spacing w:before="65" w:line="227" w:lineRule="auto"/>
        <w:ind w:left="550"/>
        <w:rPr>
          <w:rFonts w:ascii="楷体" w:hAnsi="楷体" w:eastAsia="楷体" w:cs="楷体"/>
          <w:sz w:val="28"/>
          <w:szCs w:val="28"/>
        </w:rPr>
      </w:pPr>
      <w:r>
        <w:rPr>
          <w:rFonts w:ascii="Times New Roman" w:hAnsi="Times New Roman" w:eastAsia="Times New Roman" w:cs="Times New Roman"/>
          <w:spacing w:val="-2"/>
          <w:sz w:val="28"/>
          <w:szCs w:val="28"/>
        </w:rPr>
        <w:t>4.16   RE10310kHz</w:t>
      </w:r>
      <w:r>
        <w:rPr>
          <w:spacing w:val="-2"/>
          <w:sz w:val="28"/>
          <w:szCs w:val="28"/>
        </w:rPr>
        <w:t>～</w:t>
      </w:r>
      <w:r>
        <w:rPr>
          <w:rFonts w:ascii="Times New Roman" w:hAnsi="Times New Roman" w:eastAsia="Times New Roman" w:cs="Times New Roman"/>
          <w:spacing w:val="-2"/>
          <w:sz w:val="28"/>
          <w:szCs w:val="28"/>
        </w:rPr>
        <w:t>40GHz</w:t>
      </w:r>
      <w:r>
        <w:rPr>
          <w:rFonts w:ascii="Times New Roman" w:hAnsi="Times New Roman" w:eastAsia="Times New Roman" w:cs="Times New Roman"/>
          <w:spacing w:val="20"/>
          <w:sz w:val="28"/>
          <w:szCs w:val="28"/>
        </w:rPr>
        <w:t xml:space="preserve">   </w:t>
      </w:r>
      <w:r>
        <w:rPr>
          <w:rFonts w:ascii="楷体" w:hAnsi="楷体" w:eastAsia="楷体" w:cs="楷体"/>
          <w:spacing w:val="-2"/>
          <w:sz w:val="28"/>
          <w:szCs w:val="28"/>
        </w:rPr>
        <w:t>天线</w:t>
      </w:r>
      <w:r>
        <w:rPr>
          <w:rFonts w:ascii="楷体" w:hAnsi="楷体" w:eastAsia="楷体" w:cs="楷体"/>
          <w:spacing w:val="-3"/>
          <w:sz w:val="28"/>
          <w:szCs w:val="28"/>
        </w:rPr>
        <w:t>谐波和乱真输出辐射发射</w:t>
      </w:r>
    </w:p>
    <w:p w14:paraId="4D2EB590">
      <w:pPr>
        <w:pStyle w:val="2"/>
        <w:spacing w:before="61" w:line="230" w:lineRule="auto"/>
        <w:ind w:left="550"/>
        <w:rPr>
          <w:rFonts w:ascii="楷体" w:hAnsi="楷体" w:eastAsia="楷体" w:cs="楷体"/>
          <w:sz w:val="28"/>
          <w:szCs w:val="28"/>
        </w:rPr>
      </w:pPr>
      <w:r>
        <w:rPr>
          <w:rFonts w:ascii="楷体" w:hAnsi="楷体" w:eastAsia="楷体" w:cs="楷体"/>
          <w:spacing w:val="-2"/>
          <w:sz w:val="28"/>
          <w:szCs w:val="28"/>
        </w:rPr>
        <w:t xml:space="preserve">4.17 </w:t>
      </w:r>
      <w:r>
        <w:rPr>
          <w:rFonts w:ascii="Times New Roman" w:hAnsi="Times New Roman" w:eastAsia="Times New Roman" w:cs="Times New Roman"/>
          <w:spacing w:val="-2"/>
          <w:sz w:val="28"/>
          <w:szCs w:val="28"/>
        </w:rPr>
        <w:t>RS10125Hz</w:t>
      </w:r>
      <w:r>
        <w:rPr>
          <w:spacing w:val="-2"/>
          <w:sz w:val="28"/>
          <w:szCs w:val="28"/>
        </w:rPr>
        <w:t>～</w:t>
      </w:r>
      <w:r>
        <w:rPr>
          <w:rFonts w:ascii="Times New Roman" w:hAnsi="Times New Roman" w:eastAsia="Times New Roman" w:cs="Times New Roman"/>
          <w:spacing w:val="-2"/>
          <w:sz w:val="28"/>
          <w:szCs w:val="28"/>
        </w:rPr>
        <w:t>100kHz</w:t>
      </w:r>
      <w:r>
        <w:rPr>
          <w:rFonts w:ascii="Times New Roman" w:hAnsi="Times New Roman" w:eastAsia="Times New Roman" w:cs="Times New Roman"/>
          <w:spacing w:val="13"/>
          <w:sz w:val="28"/>
          <w:szCs w:val="28"/>
        </w:rPr>
        <w:t xml:space="preserve">   </w:t>
      </w:r>
      <w:r>
        <w:rPr>
          <w:rFonts w:ascii="楷体" w:hAnsi="楷体" w:eastAsia="楷体" w:cs="楷体"/>
          <w:spacing w:val="-2"/>
          <w:sz w:val="28"/>
          <w:szCs w:val="28"/>
        </w:rPr>
        <w:t>磁场</w:t>
      </w:r>
      <w:r>
        <w:rPr>
          <w:rFonts w:ascii="楷体" w:hAnsi="楷体" w:eastAsia="楷体" w:cs="楷体"/>
          <w:spacing w:val="-3"/>
          <w:sz w:val="28"/>
          <w:szCs w:val="28"/>
        </w:rPr>
        <w:t>辐射敏感度</w:t>
      </w:r>
    </w:p>
    <w:p w14:paraId="0C4F1F48">
      <w:pPr>
        <w:pStyle w:val="2"/>
        <w:spacing w:before="62" w:line="230" w:lineRule="auto"/>
        <w:ind w:left="550"/>
        <w:rPr>
          <w:rFonts w:ascii="楷体" w:hAnsi="楷体" w:eastAsia="楷体" w:cs="楷体"/>
          <w:sz w:val="28"/>
          <w:szCs w:val="28"/>
        </w:rPr>
      </w:pPr>
      <w:r>
        <w:rPr>
          <w:rFonts w:ascii="Times New Roman" w:hAnsi="Times New Roman" w:eastAsia="Times New Roman" w:cs="Times New Roman"/>
          <w:spacing w:val="1"/>
          <w:sz w:val="28"/>
          <w:szCs w:val="28"/>
        </w:rPr>
        <w:t xml:space="preserve">4.18     </w:t>
      </w:r>
      <w:r>
        <w:rPr>
          <w:rFonts w:ascii="Times New Roman" w:hAnsi="Times New Roman" w:eastAsia="Times New Roman" w:cs="Times New Roman"/>
          <w:sz w:val="28"/>
          <w:szCs w:val="28"/>
        </w:rPr>
        <w:t>RS</w:t>
      </w:r>
      <w:r>
        <w:rPr>
          <w:rFonts w:ascii="Times New Roman" w:hAnsi="Times New Roman" w:eastAsia="Times New Roman" w:cs="Times New Roman"/>
          <w:spacing w:val="1"/>
          <w:sz w:val="28"/>
          <w:szCs w:val="28"/>
        </w:rPr>
        <w:t>10310</w:t>
      </w:r>
      <w:r>
        <w:rPr>
          <w:rFonts w:ascii="Times New Roman" w:hAnsi="Times New Roman" w:eastAsia="Times New Roman" w:cs="Times New Roman"/>
          <w:sz w:val="28"/>
          <w:szCs w:val="28"/>
        </w:rPr>
        <w:t>kHz</w:t>
      </w:r>
      <w:r>
        <w:rPr>
          <w:spacing w:val="1"/>
          <w:sz w:val="28"/>
          <w:szCs w:val="28"/>
        </w:rPr>
        <w:t>～</w:t>
      </w:r>
      <w:r>
        <w:rPr>
          <w:rFonts w:ascii="Times New Roman" w:hAnsi="Times New Roman" w:eastAsia="Times New Roman" w:cs="Times New Roman"/>
          <w:spacing w:val="1"/>
          <w:sz w:val="28"/>
          <w:szCs w:val="28"/>
        </w:rPr>
        <w:t>40</w:t>
      </w:r>
      <w:r>
        <w:rPr>
          <w:rFonts w:ascii="Times New Roman" w:hAnsi="Times New Roman" w:eastAsia="Times New Roman" w:cs="Times New Roman"/>
          <w:sz w:val="28"/>
          <w:szCs w:val="28"/>
        </w:rPr>
        <w:t>GHz</w:t>
      </w:r>
      <w:r>
        <w:rPr>
          <w:rFonts w:ascii="楷体" w:hAnsi="楷体" w:eastAsia="楷体" w:cs="楷体"/>
          <w:spacing w:val="1"/>
          <w:sz w:val="28"/>
          <w:szCs w:val="28"/>
        </w:rPr>
        <w:t>电场辐射敏感度</w:t>
      </w:r>
    </w:p>
    <w:p w14:paraId="3F4703A6">
      <w:pPr>
        <w:spacing w:before="102" w:line="225" w:lineRule="auto"/>
        <w:ind w:left="550"/>
        <w:rPr>
          <w:rFonts w:ascii="楷体" w:hAnsi="楷体" w:eastAsia="楷体" w:cs="楷体"/>
          <w:sz w:val="24"/>
          <w:szCs w:val="24"/>
        </w:rPr>
      </w:pPr>
      <w:r>
        <w:rPr>
          <w:rFonts w:ascii="楷体" w:hAnsi="楷体" w:eastAsia="楷体" w:cs="楷体"/>
          <w:spacing w:val="15"/>
          <w:sz w:val="24"/>
          <w:szCs w:val="24"/>
        </w:rPr>
        <w:t>4.19</w:t>
      </w:r>
      <w:r>
        <w:rPr>
          <w:rFonts w:ascii="楷体" w:hAnsi="楷体" w:eastAsia="楷体" w:cs="楷体"/>
          <w:spacing w:val="101"/>
          <w:sz w:val="24"/>
          <w:szCs w:val="24"/>
        </w:rPr>
        <w:t xml:space="preserve"> </w:t>
      </w:r>
      <w:r>
        <w:rPr>
          <w:rFonts w:ascii="Times New Roman" w:hAnsi="Times New Roman" w:eastAsia="Times New Roman" w:cs="Times New Roman"/>
          <w:sz w:val="24"/>
          <w:szCs w:val="24"/>
        </w:rPr>
        <w:t>RS</w:t>
      </w:r>
      <w:r>
        <w:rPr>
          <w:rFonts w:ascii="Times New Roman" w:hAnsi="Times New Roman" w:eastAsia="Times New Roman" w:cs="Times New Roman"/>
          <w:spacing w:val="15"/>
          <w:sz w:val="24"/>
          <w:szCs w:val="24"/>
        </w:rPr>
        <w:t xml:space="preserve">105    </w:t>
      </w:r>
      <w:r>
        <w:rPr>
          <w:rFonts w:ascii="楷体" w:hAnsi="楷体" w:eastAsia="楷体" w:cs="楷体"/>
          <w:spacing w:val="15"/>
          <w:sz w:val="24"/>
          <w:szCs w:val="24"/>
        </w:rPr>
        <w:t>瞬变电磁场辐射敏感度</w:t>
      </w:r>
    </w:p>
    <w:p w14:paraId="643B33F3">
      <w:pPr>
        <w:spacing w:before="107" w:line="225" w:lineRule="auto"/>
        <w:ind w:left="550"/>
        <w:rPr>
          <w:rFonts w:ascii="楷体" w:hAnsi="楷体" w:eastAsia="楷体" w:cs="楷体"/>
          <w:sz w:val="24"/>
          <w:szCs w:val="24"/>
        </w:rPr>
      </w:pPr>
      <w:r>
        <w:rPr>
          <w:rFonts w:ascii="Times New Roman" w:hAnsi="Times New Roman" w:eastAsia="Times New Roman" w:cs="Times New Roman"/>
          <w:spacing w:val="10"/>
          <w:sz w:val="24"/>
          <w:szCs w:val="24"/>
        </w:rPr>
        <w:t>5</w:t>
      </w:r>
      <w:r>
        <w:rPr>
          <w:rFonts w:ascii="Times New Roman" w:hAnsi="Times New Roman" w:eastAsia="Times New Roman" w:cs="Times New Roman"/>
          <w:spacing w:val="27"/>
          <w:w w:val="101"/>
          <w:sz w:val="24"/>
          <w:szCs w:val="24"/>
        </w:rPr>
        <w:t xml:space="preserve">  </w:t>
      </w:r>
      <w:r>
        <w:rPr>
          <w:rFonts w:ascii="楷体" w:hAnsi="楷体" w:eastAsia="楷体" w:cs="楷体"/>
          <w:spacing w:val="10"/>
          <w:sz w:val="24"/>
          <w:szCs w:val="24"/>
        </w:rPr>
        <w:t>主要测试、测量设备的名称、精度、数量</w:t>
      </w:r>
    </w:p>
    <w:p w14:paraId="68F8C419">
      <w:pPr>
        <w:spacing w:before="119" w:line="226" w:lineRule="auto"/>
        <w:ind w:left="550"/>
        <w:rPr>
          <w:rFonts w:ascii="楷体" w:hAnsi="楷体" w:eastAsia="楷体" w:cs="楷体"/>
          <w:sz w:val="24"/>
          <w:szCs w:val="24"/>
        </w:rPr>
      </w:pPr>
      <w:r>
        <w:rPr>
          <w:rFonts w:ascii="Times New Roman" w:hAnsi="Times New Roman" w:eastAsia="Times New Roman" w:cs="Times New Roman"/>
          <w:spacing w:val="25"/>
          <w:sz w:val="24"/>
          <w:szCs w:val="24"/>
        </w:rPr>
        <w:t xml:space="preserve">6  </w:t>
      </w:r>
      <w:r>
        <w:rPr>
          <w:rFonts w:ascii="楷体" w:hAnsi="楷体" w:eastAsia="楷体" w:cs="楷体"/>
          <w:spacing w:val="25"/>
          <w:sz w:val="24"/>
          <w:szCs w:val="24"/>
        </w:rPr>
        <w:t>试验数据处理原则、方法和合格判定准则</w:t>
      </w:r>
    </w:p>
    <w:p w14:paraId="652E7CB7">
      <w:pPr>
        <w:spacing w:before="106" w:line="226" w:lineRule="auto"/>
        <w:ind w:left="550"/>
        <w:rPr>
          <w:rFonts w:ascii="楷体" w:hAnsi="楷体" w:eastAsia="楷体" w:cs="楷体"/>
          <w:sz w:val="24"/>
          <w:szCs w:val="24"/>
        </w:rPr>
      </w:pPr>
      <w:r>
        <w:rPr>
          <w:rFonts w:ascii="楷体" w:hAnsi="楷体" w:eastAsia="楷体" w:cs="楷体"/>
          <w:spacing w:val="30"/>
          <w:sz w:val="24"/>
          <w:szCs w:val="24"/>
        </w:rPr>
        <w:t>6</w:t>
      </w:r>
      <w:r>
        <w:rPr>
          <w:rFonts w:ascii="楷体" w:hAnsi="楷体" w:eastAsia="楷体" w:cs="楷体"/>
          <w:spacing w:val="-54"/>
          <w:sz w:val="24"/>
          <w:szCs w:val="24"/>
        </w:rPr>
        <w:t xml:space="preserve"> </w:t>
      </w:r>
      <w:r>
        <w:rPr>
          <w:rFonts w:ascii="楷体" w:hAnsi="楷体" w:eastAsia="楷体" w:cs="楷体"/>
          <w:spacing w:val="30"/>
          <w:sz w:val="24"/>
          <w:szCs w:val="24"/>
        </w:rPr>
        <w:t>.</w:t>
      </w:r>
      <w:r>
        <w:rPr>
          <w:rFonts w:ascii="楷体" w:hAnsi="楷体" w:eastAsia="楷体" w:cs="楷体"/>
          <w:spacing w:val="-51"/>
          <w:sz w:val="24"/>
          <w:szCs w:val="24"/>
        </w:rPr>
        <w:t xml:space="preserve"> </w:t>
      </w:r>
      <w:r>
        <w:rPr>
          <w:rFonts w:ascii="楷体" w:hAnsi="楷体" w:eastAsia="楷体" w:cs="楷体"/>
          <w:spacing w:val="30"/>
          <w:sz w:val="24"/>
          <w:szCs w:val="24"/>
        </w:rPr>
        <w:t>1试验数据处理原则</w:t>
      </w:r>
    </w:p>
    <w:p w14:paraId="0627D9D2">
      <w:pPr>
        <w:spacing w:line="226" w:lineRule="auto"/>
        <w:rPr>
          <w:rFonts w:ascii="楷体" w:hAnsi="楷体" w:eastAsia="楷体" w:cs="楷体"/>
          <w:sz w:val="24"/>
          <w:szCs w:val="24"/>
        </w:rPr>
        <w:sectPr>
          <w:footerReference r:id="rId617" w:type="default"/>
          <w:pgSz w:w="11910" w:h="17130"/>
          <w:pgMar w:top="1456" w:right="940" w:bottom="1583" w:left="1619" w:header="0" w:footer="1385" w:gutter="0"/>
          <w:cols w:space="720" w:num="1"/>
        </w:sectPr>
      </w:pPr>
    </w:p>
    <w:p w14:paraId="37A442DA">
      <w:pPr>
        <w:spacing w:before="170" w:line="232" w:lineRule="auto"/>
        <w:ind w:left="529"/>
        <w:rPr>
          <w:rFonts w:ascii="楷体" w:hAnsi="楷体" w:eastAsia="楷体" w:cs="楷体"/>
          <w:sz w:val="24"/>
          <w:szCs w:val="24"/>
        </w:rPr>
      </w:pPr>
      <w:r>
        <w:rPr>
          <w:rFonts w:ascii="楷体" w:hAnsi="楷体" w:eastAsia="楷体" w:cs="楷体"/>
          <w:spacing w:val="31"/>
          <w:sz w:val="24"/>
          <w:szCs w:val="24"/>
        </w:rPr>
        <w:t>6</w:t>
      </w:r>
      <w:r>
        <w:rPr>
          <w:rFonts w:ascii="楷体" w:hAnsi="楷体" w:eastAsia="楷体" w:cs="楷体"/>
          <w:spacing w:val="-48"/>
          <w:sz w:val="24"/>
          <w:szCs w:val="24"/>
        </w:rPr>
        <w:t xml:space="preserve"> </w:t>
      </w:r>
      <w:r>
        <w:rPr>
          <w:rFonts w:ascii="楷体" w:hAnsi="楷体" w:eastAsia="楷体" w:cs="楷体"/>
          <w:spacing w:val="31"/>
          <w:sz w:val="24"/>
          <w:szCs w:val="24"/>
        </w:rPr>
        <w:t>.</w:t>
      </w:r>
      <w:r>
        <w:rPr>
          <w:rFonts w:ascii="楷体" w:hAnsi="楷体" w:eastAsia="楷体" w:cs="楷体"/>
          <w:spacing w:val="-65"/>
          <w:sz w:val="24"/>
          <w:szCs w:val="24"/>
        </w:rPr>
        <w:t xml:space="preserve"> </w:t>
      </w:r>
      <w:r>
        <w:rPr>
          <w:rFonts w:ascii="楷体" w:hAnsi="楷体" w:eastAsia="楷体" w:cs="楷体"/>
          <w:spacing w:val="31"/>
          <w:sz w:val="24"/>
          <w:szCs w:val="24"/>
        </w:rPr>
        <w:t>2试验数据处理方法</w:t>
      </w:r>
    </w:p>
    <w:p w14:paraId="439B6359">
      <w:pPr>
        <w:spacing w:before="99" w:line="226" w:lineRule="auto"/>
        <w:ind w:left="529"/>
        <w:rPr>
          <w:rFonts w:ascii="楷体" w:hAnsi="楷体" w:eastAsia="楷体" w:cs="楷体"/>
          <w:sz w:val="24"/>
          <w:szCs w:val="24"/>
        </w:rPr>
      </w:pPr>
      <w:r>
        <w:rPr>
          <w:rFonts w:ascii="楷体" w:hAnsi="楷体" w:eastAsia="楷体" w:cs="楷体"/>
          <w:spacing w:val="32"/>
          <w:sz w:val="24"/>
          <w:szCs w:val="24"/>
        </w:rPr>
        <w:t>6</w:t>
      </w:r>
      <w:r>
        <w:rPr>
          <w:rFonts w:ascii="楷体" w:hAnsi="楷体" w:eastAsia="楷体" w:cs="楷体"/>
          <w:spacing w:val="-56"/>
          <w:sz w:val="24"/>
          <w:szCs w:val="24"/>
        </w:rPr>
        <w:t xml:space="preserve"> </w:t>
      </w:r>
      <w:r>
        <w:rPr>
          <w:rFonts w:ascii="楷体" w:hAnsi="楷体" w:eastAsia="楷体" w:cs="楷体"/>
          <w:spacing w:val="32"/>
          <w:sz w:val="24"/>
          <w:szCs w:val="24"/>
        </w:rPr>
        <w:t>.</w:t>
      </w:r>
      <w:r>
        <w:rPr>
          <w:rFonts w:ascii="楷体" w:hAnsi="楷体" w:eastAsia="楷体" w:cs="楷体"/>
          <w:spacing w:val="-65"/>
          <w:sz w:val="24"/>
          <w:szCs w:val="24"/>
        </w:rPr>
        <w:t xml:space="preserve"> </w:t>
      </w:r>
      <w:r>
        <w:rPr>
          <w:rFonts w:ascii="楷体" w:hAnsi="楷体" w:eastAsia="楷体" w:cs="楷体"/>
          <w:spacing w:val="32"/>
          <w:sz w:val="24"/>
          <w:szCs w:val="24"/>
        </w:rPr>
        <w:t>3试验数据合格判定准则</w:t>
      </w:r>
    </w:p>
    <w:p w14:paraId="4A82D66F">
      <w:pPr>
        <w:spacing w:before="95" w:line="225" w:lineRule="auto"/>
        <w:ind w:left="529"/>
        <w:rPr>
          <w:rFonts w:ascii="楷体" w:hAnsi="楷体" w:eastAsia="楷体" w:cs="楷体"/>
          <w:sz w:val="24"/>
          <w:szCs w:val="24"/>
        </w:rPr>
      </w:pPr>
      <w:r>
        <w:rPr>
          <w:rFonts w:ascii="Times New Roman" w:hAnsi="Times New Roman" w:eastAsia="Times New Roman" w:cs="Times New Roman"/>
          <w:spacing w:val="24"/>
          <w:sz w:val="24"/>
          <w:szCs w:val="24"/>
        </w:rPr>
        <w:t>7</w:t>
      </w:r>
      <w:r>
        <w:rPr>
          <w:rFonts w:ascii="Times New Roman" w:hAnsi="Times New Roman" w:eastAsia="Times New Roman" w:cs="Times New Roman"/>
          <w:spacing w:val="26"/>
          <w:w w:val="101"/>
          <w:sz w:val="24"/>
          <w:szCs w:val="24"/>
        </w:rPr>
        <w:t xml:space="preserve">  </w:t>
      </w:r>
      <w:r>
        <w:rPr>
          <w:rFonts w:ascii="楷体" w:hAnsi="楷体" w:eastAsia="楷体" w:cs="楷体"/>
          <w:spacing w:val="24"/>
          <w:sz w:val="24"/>
          <w:szCs w:val="24"/>
        </w:rPr>
        <w:t>试验组织、参试单位及试验任务分工</w:t>
      </w:r>
    </w:p>
    <w:p w14:paraId="365B1ABF">
      <w:pPr>
        <w:spacing w:before="118" w:line="227" w:lineRule="auto"/>
        <w:ind w:left="529"/>
        <w:rPr>
          <w:rFonts w:ascii="楷体" w:hAnsi="楷体" w:eastAsia="楷体" w:cs="楷体"/>
          <w:sz w:val="24"/>
          <w:szCs w:val="24"/>
        </w:rPr>
      </w:pPr>
      <w:r>
        <w:rPr>
          <w:rFonts w:ascii="Times New Roman" w:hAnsi="Times New Roman" w:eastAsia="Times New Roman" w:cs="Times New Roman"/>
          <w:spacing w:val="31"/>
          <w:sz w:val="24"/>
          <w:szCs w:val="24"/>
        </w:rPr>
        <w:t>8</w:t>
      </w:r>
      <w:r>
        <w:rPr>
          <w:rFonts w:ascii="Times New Roman" w:hAnsi="Times New Roman" w:eastAsia="Times New Roman" w:cs="Times New Roman"/>
          <w:spacing w:val="33"/>
          <w:w w:val="101"/>
          <w:sz w:val="24"/>
          <w:szCs w:val="24"/>
        </w:rPr>
        <w:t xml:space="preserve">  </w:t>
      </w:r>
      <w:r>
        <w:rPr>
          <w:rFonts w:ascii="楷体" w:hAnsi="楷体" w:eastAsia="楷体" w:cs="楷体"/>
          <w:spacing w:val="31"/>
          <w:sz w:val="24"/>
          <w:szCs w:val="24"/>
        </w:rPr>
        <w:t>试验网络图和试验的保障措施及要求</w:t>
      </w:r>
    </w:p>
    <w:p w14:paraId="079DE03A">
      <w:pPr>
        <w:spacing w:before="127" w:line="228" w:lineRule="auto"/>
        <w:ind w:left="529"/>
        <w:rPr>
          <w:rFonts w:ascii="楷体" w:hAnsi="楷体" w:eastAsia="楷体" w:cs="楷体"/>
          <w:sz w:val="24"/>
          <w:szCs w:val="24"/>
        </w:rPr>
      </w:pPr>
      <w:r>
        <w:rPr>
          <w:rFonts w:ascii="Times New Roman" w:hAnsi="Times New Roman" w:eastAsia="Times New Roman" w:cs="Times New Roman"/>
          <w:spacing w:val="30"/>
          <w:sz w:val="24"/>
          <w:szCs w:val="24"/>
        </w:rPr>
        <w:t>9</w:t>
      </w:r>
      <w:r>
        <w:rPr>
          <w:rFonts w:ascii="Times New Roman" w:hAnsi="Times New Roman" w:eastAsia="Times New Roman" w:cs="Times New Roman"/>
          <w:spacing w:val="22"/>
          <w:sz w:val="24"/>
          <w:szCs w:val="24"/>
        </w:rPr>
        <w:t xml:space="preserve">  </w:t>
      </w:r>
      <w:r>
        <w:rPr>
          <w:rFonts w:ascii="楷体" w:hAnsi="楷体" w:eastAsia="楷体" w:cs="楷体"/>
          <w:spacing w:val="30"/>
          <w:sz w:val="24"/>
          <w:szCs w:val="24"/>
        </w:rPr>
        <w:t>试验安全保证要求</w:t>
      </w:r>
    </w:p>
    <w:p w14:paraId="5BF30CD9">
      <w:pPr>
        <w:spacing w:line="300" w:lineRule="auto"/>
        <w:rPr>
          <w:rFonts w:ascii="Arial"/>
          <w:sz w:val="21"/>
        </w:rPr>
      </w:pPr>
    </w:p>
    <w:p w14:paraId="606C15D2">
      <w:pPr>
        <w:pStyle w:val="2"/>
        <w:spacing w:before="118" w:line="218" w:lineRule="auto"/>
        <w:ind w:left="2379"/>
        <w:outlineLvl w:val="1"/>
        <w:rPr>
          <w:sz w:val="36"/>
          <w:szCs w:val="36"/>
        </w:rPr>
      </w:pPr>
      <w:r>
        <w:rPr>
          <w:rFonts w:ascii="Times New Roman" w:hAnsi="Times New Roman" w:eastAsia="Times New Roman" w:cs="Times New Roman"/>
          <w:b/>
          <w:bCs/>
          <w:sz w:val="36"/>
          <w:szCs w:val="36"/>
        </w:rPr>
        <w:t>13.10</w:t>
      </w:r>
      <w:r>
        <w:rPr>
          <w:rFonts w:ascii="Times New Roman" w:hAnsi="Times New Roman" w:eastAsia="Times New Roman" w:cs="Times New Roman"/>
          <w:b/>
          <w:bCs/>
          <w:spacing w:val="15"/>
          <w:sz w:val="36"/>
          <w:szCs w:val="36"/>
        </w:rPr>
        <w:t xml:space="preserve">     </w:t>
      </w:r>
      <w:r>
        <w:rPr>
          <w:b/>
          <w:bCs/>
          <w:sz w:val="36"/>
          <w:szCs w:val="36"/>
        </w:rPr>
        <w:t>电磁兼容性试验报告</w:t>
      </w:r>
    </w:p>
    <w:p w14:paraId="75A1F6EB">
      <w:pPr>
        <w:spacing w:line="359" w:lineRule="auto"/>
        <w:rPr>
          <w:rFonts w:ascii="Arial"/>
          <w:sz w:val="21"/>
        </w:rPr>
      </w:pPr>
    </w:p>
    <w:p w14:paraId="386CDB75">
      <w:pPr>
        <w:pStyle w:val="2"/>
        <w:spacing w:before="88" w:line="271" w:lineRule="auto"/>
        <w:ind w:firstLine="529"/>
        <w:rPr>
          <w:rFonts w:ascii="楷体" w:hAnsi="楷体" w:eastAsia="楷体" w:cs="楷体"/>
        </w:rPr>
      </w:pPr>
      <w:r>
        <w:rPr>
          <w:rFonts w:ascii="楷体" w:hAnsi="楷体" w:eastAsia="楷体" w:cs="楷体"/>
        </w:rPr>
        <w:t>按照</w:t>
      </w:r>
      <w:r>
        <w:rPr>
          <w:rFonts w:ascii="Times New Roman" w:hAnsi="Times New Roman" w:eastAsia="Times New Roman" w:cs="Times New Roman"/>
        </w:rPr>
        <w:t>GJB</w:t>
      </w:r>
      <w:r>
        <w:rPr>
          <w:rFonts w:ascii="Times New Roman" w:hAnsi="Times New Roman" w:eastAsia="Times New Roman" w:cs="Times New Roman"/>
          <w:spacing w:val="32"/>
        </w:rPr>
        <w:t xml:space="preserve"> </w:t>
      </w:r>
      <w:r>
        <w:rPr>
          <w:rFonts w:ascii="Times New Roman" w:hAnsi="Times New Roman" w:eastAsia="Times New Roman" w:cs="Times New Roman"/>
        </w:rPr>
        <w:t>1362A—2007</w:t>
      </w:r>
      <w:r>
        <w:t>《</w:t>
      </w:r>
      <w:r>
        <w:rPr>
          <w:rFonts w:ascii="楷体" w:hAnsi="楷体" w:eastAsia="楷体" w:cs="楷体"/>
        </w:rPr>
        <w:t>军工产品定型程序和要求》编写</w:t>
      </w:r>
      <w:r>
        <w:rPr>
          <w:rFonts w:ascii="楷体" w:hAnsi="楷体" w:eastAsia="楷体" w:cs="楷体"/>
          <w:spacing w:val="-1"/>
        </w:rPr>
        <w:t>，目次格式和编写</w:t>
      </w:r>
      <w:r>
        <w:rPr>
          <w:rFonts w:ascii="楷体" w:hAnsi="楷体" w:eastAsia="楷体" w:cs="楷体"/>
        </w:rPr>
        <w:t xml:space="preserve"> </w:t>
      </w:r>
      <w:r>
        <w:rPr>
          <w:rFonts w:ascii="楷体" w:hAnsi="楷体" w:eastAsia="楷体" w:cs="楷体"/>
          <w:spacing w:val="-9"/>
        </w:rPr>
        <w:t>说明与本书1.37《设计定型试验报告》相同，参见1.</w:t>
      </w:r>
      <w:r>
        <w:rPr>
          <w:rFonts w:ascii="楷体" w:hAnsi="楷体" w:eastAsia="楷体" w:cs="楷体"/>
          <w:spacing w:val="-10"/>
        </w:rPr>
        <w:t>37《设计定型试验报告》。</w:t>
      </w:r>
    </w:p>
    <w:p w14:paraId="7530284F">
      <w:pPr>
        <w:spacing w:before="51" w:line="232" w:lineRule="auto"/>
        <w:ind w:left="529"/>
        <w:rPr>
          <w:rFonts w:ascii="楷体" w:hAnsi="楷体" w:eastAsia="楷体" w:cs="楷体"/>
          <w:sz w:val="24"/>
          <w:szCs w:val="24"/>
        </w:rPr>
      </w:pPr>
      <w:r>
        <w:rPr>
          <w:rFonts w:ascii="Times New Roman" w:hAnsi="Times New Roman" w:eastAsia="Times New Roman" w:cs="Times New Roman"/>
          <w:spacing w:val="21"/>
          <w:sz w:val="24"/>
          <w:szCs w:val="24"/>
        </w:rPr>
        <w:t>1</w:t>
      </w:r>
      <w:r>
        <w:rPr>
          <w:rFonts w:ascii="Times New Roman" w:hAnsi="Times New Roman" w:eastAsia="Times New Roman" w:cs="Times New Roman"/>
          <w:spacing w:val="29"/>
          <w:sz w:val="24"/>
          <w:szCs w:val="24"/>
        </w:rPr>
        <w:t xml:space="preserve">  </w:t>
      </w:r>
      <w:r>
        <w:rPr>
          <w:rFonts w:ascii="楷体" w:hAnsi="楷体" w:eastAsia="楷体" w:cs="楷体"/>
          <w:spacing w:val="21"/>
          <w:sz w:val="24"/>
          <w:szCs w:val="24"/>
        </w:rPr>
        <w:t>试验概况</w:t>
      </w:r>
    </w:p>
    <w:p w14:paraId="5C90FF60">
      <w:pPr>
        <w:spacing w:before="46" w:line="228" w:lineRule="auto"/>
        <w:ind w:left="529"/>
        <w:rPr>
          <w:rFonts w:ascii="楷体" w:hAnsi="楷体" w:eastAsia="楷体" w:cs="楷体"/>
          <w:sz w:val="28"/>
          <w:szCs w:val="28"/>
        </w:rPr>
      </w:pPr>
      <w:r>
        <w:rPr>
          <w:rFonts w:ascii="Times New Roman" w:hAnsi="Times New Roman" w:eastAsia="Times New Roman" w:cs="Times New Roman"/>
          <w:spacing w:val="-14"/>
          <w:sz w:val="28"/>
          <w:szCs w:val="28"/>
        </w:rPr>
        <w:t xml:space="preserve">2  </w:t>
      </w:r>
      <w:r>
        <w:rPr>
          <w:rFonts w:ascii="楷体" w:hAnsi="楷体" w:eastAsia="楷体" w:cs="楷体"/>
          <w:spacing w:val="-14"/>
          <w:sz w:val="28"/>
          <w:szCs w:val="28"/>
        </w:rPr>
        <w:t>试验项目、步骤和方法</w:t>
      </w:r>
    </w:p>
    <w:p w14:paraId="51657D8A">
      <w:pPr>
        <w:spacing w:before="81" w:line="232" w:lineRule="auto"/>
        <w:ind w:left="529"/>
        <w:rPr>
          <w:rFonts w:ascii="楷体" w:hAnsi="楷体" w:eastAsia="楷体" w:cs="楷体"/>
          <w:sz w:val="28"/>
          <w:szCs w:val="28"/>
        </w:rPr>
      </w:pPr>
      <w:r>
        <w:rPr>
          <w:rFonts w:ascii="Times New Roman" w:hAnsi="Times New Roman" w:eastAsia="Times New Roman" w:cs="Times New Roman"/>
          <w:spacing w:val="-4"/>
          <w:sz w:val="28"/>
          <w:szCs w:val="28"/>
        </w:rPr>
        <w:t>3</w:t>
      </w:r>
      <w:r>
        <w:rPr>
          <w:rFonts w:ascii="Times New Roman" w:hAnsi="Times New Roman" w:eastAsia="Times New Roman" w:cs="Times New Roman"/>
          <w:spacing w:val="61"/>
          <w:sz w:val="28"/>
          <w:szCs w:val="28"/>
        </w:rPr>
        <w:t xml:space="preserve"> </w:t>
      </w:r>
      <w:r>
        <w:rPr>
          <w:rFonts w:ascii="楷体" w:hAnsi="楷体" w:eastAsia="楷体" w:cs="楷体"/>
          <w:spacing w:val="-4"/>
          <w:sz w:val="28"/>
          <w:szCs w:val="28"/>
        </w:rPr>
        <w:t>试验数据</w:t>
      </w:r>
    </w:p>
    <w:p w14:paraId="6917FBF4">
      <w:pPr>
        <w:pStyle w:val="2"/>
        <w:spacing w:before="44" w:line="224" w:lineRule="auto"/>
        <w:ind w:left="529"/>
        <w:rPr>
          <w:rFonts w:ascii="楷体" w:hAnsi="楷体" w:eastAsia="楷体" w:cs="楷体"/>
          <w:sz w:val="28"/>
          <w:szCs w:val="28"/>
        </w:rPr>
      </w:pPr>
      <w:r>
        <w:rPr>
          <w:rFonts w:ascii="楷体" w:hAnsi="楷体" w:eastAsia="楷体" w:cs="楷体"/>
          <w:spacing w:val="-2"/>
          <w:sz w:val="28"/>
          <w:szCs w:val="28"/>
        </w:rPr>
        <w:t xml:space="preserve">3.1 </w:t>
      </w:r>
      <w:r>
        <w:rPr>
          <w:rFonts w:ascii="Times New Roman" w:hAnsi="Times New Roman" w:eastAsia="Times New Roman" w:cs="Times New Roman"/>
          <w:spacing w:val="-2"/>
          <w:sz w:val="28"/>
          <w:szCs w:val="28"/>
        </w:rPr>
        <w:t>CE10125Hz</w:t>
      </w:r>
      <w:r>
        <w:rPr>
          <w:spacing w:val="-2"/>
          <w:sz w:val="28"/>
          <w:szCs w:val="28"/>
        </w:rPr>
        <w:t>～</w:t>
      </w:r>
      <w:r>
        <w:rPr>
          <w:rFonts w:ascii="Times New Roman" w:hAnsi="Times New Roman" w:eastAsia="Times New Roman" w:cs="Times New Roman"/>
          <w:spacing w:val="-2"/>
          <w:sz w:val="28"/>
          <w:szCs w:val="28"/>
        </w:rPr>
        <w:t xml:space="preserve">10kHz    </w:t>
      </w:r>
      <w:r>
        <w:rPr>
          <w:rFonts w:ascii="楷体" w:hAnsi="楷体" w:eastAsia="楷体" w:cs="楷体"/>
          <w:spacing w:val="-2"/>
          <w:sz w:val="28"/>
          <w:szCs w:val="28"/>
        </w:rPr>
        <w:t>电源线</w:t>
      </w:r>
      <w:r>
        <w:rPr>
          <w:rFonts w:ascii="楷体" w:hAnsi="楷体" w:eastAsia="楷体" w:cs="楷体"/>
          <w:spacing w:val="-3"/>
          <w:sz w:val="28"/>
          <w:szCs w:val="28"/>
        </w:rPr>
        <w:t>传导发射</w:t>
      </w:r>
    </w:p>
    <w:p w14:paraId="01ECCF7F">
      <w:pPr>
        <w:pStyle w:val="2"/>
        <w:spacing w:before="51" w:line="224" w:lineRule="auto"/>
        <w:ind w:left="529"/>
        <w:rPr>
          <w:rFonts w:ascii="楷体" w:hAnsi="楷体" w:eastAsia="楷体" w:cs="楷体"/>
          <w:sz w:val="28"/>
          <w:szCs w:val="28"/>
        </w:rPr>
      </w:pPr>
      <w:r>
        <w:rPr>
          <w:rFonts w:ascii="Times New Roman" w:hAnsi="Times New Roman" w:eastAsia="Times New Roman" w:cs="Times New Roman"/>
          <w:spacing w:val="-2"/>
          <w:sz w:val="28"/>
          <w:szCs w:val="28"/>
        </w:rPr>
        <w:t>3.2</w:t>
      </w:r>
      <w:r>
        <w:rPr>
          <w:rFonts w:ascii="Times New Roman" w:hAnsi="Times New Roman" w:eastAsia="Times New Roman" w:cs="Times New Roman"/>
          <w:spacing w:val="30"/>
          <w:w w:val="101"/>
          <w:sz w:val="28"/>
          <w:szCs w:val="28"/>
        </w:rPr>
        <w:t xml:space="preserve">  </w:t>
      </w:r>
      <w:r>
        <w:rPr>
          <w:rFonts w:ascii="Times New Roman" w:hAnsi="Times New Roman" w:eastAsia="Times New Roman" w:cs="Times New Roman"/>
          <w:spacing w:val="-2"/>
          <w:sz w:val="28"/>
          <w:szCs w:val="28"/>
        </w:rPr>
        <w:t>CE10210kHz</w:t>
      </w:r>
      <w:r>
        <w:rPr>
          <w:spacing w:val="-2"/>
          <w:sz w:val="28"/>
          <w:szCs w:val="28"/>
        </w:rPr>
        <w:t>～</w:t>
      </w:r>
      <w:r>
        <w:rPr>
          <w:rFonts w:ascii="Times New Roman" w:hAnsi="Times New Roman" w:eastAsia="Times New Roman" w:cs="Times New Roman"/>
          <w:spacing w:val="-2"/>
          <w:sz w:val="28"/>
          <w:szCs w:val="28"/>
        </w:rPr>
        <w:t>10MHz</w:t>
      </w:r>
      <w:r>
        <w:rPr>
          <w:rFonts w:ascii="Times New Roman" w:hAnsi="Times New Roman" w:eastAsia="Times New Roman" w:cs="Times New Roman"/>
          <w:spacing w:val="17"/>
          <w:sz w:val="28"/>
          <w:szCs w:val="28"/>
        </w:rPr>
        <w:t xml:space="preserve">   </w:t>
      </w:r>
      <w:r>
        <w:rPr>
          <w:rFonts w:ascii="楷体" w:hAnsi="楷体" w:eastAsia="楷体" w:cs="楷体"/>
          <w:spacing w:val="-2"/>
          <w:sz w:val="28"/>
          <w:szCs w:val="28"/>
        </w:rPr>
        <w:t>电源线</w:t>
      </w:r>
      <w:r>
        <w:rPr>
          <w:rFonts w:ascii="楷体" w:hAnsi="楷体" w:eastAsia="楷体" w:cs="楷体"/>
          <w:spacing w:val="-3"/>
          <w:sz w:val="28"/>
          <w:szCs w:val="28"/>
        </w:rPr>
        <w:t>传导发射</w:t>
      </w:r>
    </w:p>
    <w:p w14:paraId="0C096587">
      <w:pPr>
        <w:pStyle w:val="2"/>
        <w:spacing w:before="80" w:line="224" w:lineRule="auto"/>
        <w:ind w:left="529"/>
        <w:rPr>
          <w:rFonts w:ascii="楷体" w:hAnsi="楷体" w:eastAsia="楷体" w:cs="楷体"/>
        </w:rPr>
      </w:pPr>
      <w:r>
        <w:rPr>
          <w:rFonts w:ascii="Times New Roman" w:hAnsi="Times New Roman" w:eastAsia="Times New Roman" w:cs="Times New Roman"/>
          <w:spacing w:val="1"/>
        </w:rPr>
        <w:t>3.3</w:t>
      </w:r>
      <w:r>
        <w:rPr>
          <w:rFonts w:ascii="Times New Roman" w:hAnsi="Times New Roman" w:eastAsia="Times New Roman" w:cs="Times New Roman"/>
          <w:spacing w:val="32"/>
          <w:w w:val="101"/>
        </w:rPr>
        <w:t xml:space="preserve">  </w:t>
      </w:r>
      <w:r>
        <w:rPr>
          <w:rFonts w:ascii="Times New Roman" w:hAnsi="Times New Roman" w:eastAsia="Times New Roman" w:cs="Times New Roman"/>
        </w:rPr>
        <w:t>CE</w:t>
      </w:r>
      <w:r>
        <w:rPr>
          <w:rFonts w:ascii="Times New Roman" w:hAnsi="Times New Roman" w:eastAsia="Times New Roman" w:cs="Times New Roman"/>
          <w:spacing w:val="1"/>
        </w:rPr>
        <w:t>1061</w:t>
      </w:r>
      <w:r>
        <w:rPr>
          <w:rFonts w:ascii="Times New Roman" w:hAnsi="Times New Roman" w:eastAsia="Times New Roman" w:cs="Times New Roman"/>
          <w:spacing w:val="30"/>
        </w:rPr>
        <w:t xml:space="preserve">  </w:t>
      </w:r>
      <w:r>
        <w:rPr>
          <w:rFonts w:ascii="楷体" w:hAnsi="楷体" w:eastAsia="楷体" w:cs="楷体"/>
          <w:spacing w:val="1"/>
        </w:rPr>
        <w:t>0</w:t>
      </w:r>
      <w:r>
        <w:rPr>
          <w:rFonts w:ascii="Times New Roman" w:hAnsi="Times New Roman" w:eastAsia="Times New Roman" w:cs="Times New Roman"/>
        </w:rPr>
        <w:t>kHz</w:t>
      </w:r>
      <w:r>
        <w:rPr>
          <w:spacing w:val="1"/>
        </w:rPr>
        <w:t>～</w:t>
      </w:r>
      <w:r>
        <w:rPr>
          <w:rFonts w:ascii="Times New Roman" w:hAnsi="Times New Roman" w:eastAsia="Times New Roman" w:cs="Times New Roman"/>
          <w:spacing w:val="1"/>
        </w:rPr>
        <w:t>40</w:t>
      </w:r>
      <w:r>
        <w:rPr>
          <w:rFonts w:ascii="Times New Roman" w:hAnsi="Times New Roman" w:eastAsia="Times New Roman" w:cs="Times New Roman"/>
        </w:rPr>
        <w:t>GHz</w:t>
      </w:r>
      <w:r>
        <w:rPr>
          <w:rFonts w:ascii="Times New Roman" w:hAnsi="Times New Roman" w:eastAsia="Times New Roman" w:cs="Times New Roman"/>
          <w:spacing w:val="24"/>
        </w:rPr>
        <w:t xml:space="preserve">  </w:t>
      </w:r>
      <w:r>
        <w:rPr>
          <w:rFonts w:ascii="楷体" w:hAnsi="楷体" w:eastAsia="楷体" w:cs="楷体"/>
          <w:spacing w:val="1"/>
        </w:rPr>
        <w:t>天线端子传导发射</w:t>
      </w:r>
    </w:p>
    <w:p w14:paraId="699D03DF">
      <w:pPr>
        <w:spacing w:before="72" w:line="224" w:lineRule="auto"/>
        <w:ind w:left="529"/>
        <w:rPr>
          <w:rFonts w:ascii="楷体" w:hAnsi="楷体" w:eastAsia="楷体" w:cs="楷体"/>
          <w:sz w:val="28"/>
          <w:szCs w:val="28"/>
        </w:rPr>
      </w:pPr>
      <w:r>
        <w:rPr>
          <w:rFonts w:ascii="楷体" w:hAnsi="楷体" w:eastAsia="楷体" w:cs="楷体"/>
          <w:spacing w:val="-6"/>
          <w:sz w:val="28"/>
          <w:szCs w:val="28"/>
        </w:rPr>
        <w:t xml:space="preserve">3.4 </w:t>
      </w:r>
      <w:r>
        <w:rPr>
          <w:rFonts w:ascii="Times New Roman" w:hAnsi="Times New Roman" w:eastAsia="Times New Roman" w:cs="Times New Roman"/>
          <w:spacing w:val="-6"/>
          <w:sz w:val="28"/>
          <w:szCs w:val="28"/>
        </w:rPr>
        <w:t>CE107</w:t>
      </w:r>
      <w:r>
        <w:rPr>
          <w:rFonts w:ascii="Times New Roman" w:hAnsi="Times New Roman" w:eastAsia="Times New Roman" w:cs="Times New Roman"/>
          <w:spacing w:val="29"/>
          <w:w w:val="101"/>
          <w:sz w:val="28"/>
          <w:szCs w:val="28"/>
        </w:rPr>
        <w:t xml:space="preserve">  </w:t>
      </w:r>
      <w:r>
        <w:rPr>
          <w:rFonts w:ascii="楷体" w:hAnsi="楷体" w:eastAsia="楷体" w:cs="楷体"/>
          <w:spacing w:val="-6"/>
          <w:sz w:val="28"/>
          <w:szCs w:val="28"/>
        </w:rPr>
        <w:t>电源线尖峰信号(时域)传导发射</w:t>
      </w:r>
    </w:p>
    <w:p w14:paraId="13206B1A">
      <w:pPr>
        <w:pStyle w:val="2"/>
        <w:spacing w:before="71" w:line="224" w:lineRule="auto"/>
        <w:ind w:left="529"/>
        <w:rPr>
          <w:rFonts w:ascii="楷体" w:hAnsi="楷体" w:eastAsia="楷体" w:cs="楷体"/>
          <w:sz w:val="28"/>
          <w:szCs w:val="28"/>
        </w:rPr>
      </w:pPr>
      <w:r>
        <w:rPr>
          <w:rFonts w:ascii="楷体" w:hAnsi="楷体" w:eastAsia="楷体" w:cs="楷体"/>
          <w:spacing w:val="-1"/>
          <w:sz w:val="28"/>
          <w:szCs w:val="28"/>
        </w:rPr>
        <w:t xml:space="preserve">3.5 </w:t>
      </w:r>
      <w:r>
        <w:rPr>
          <w:rFonts w:ascii="Times New Roman" w:hAnsi="Times New Roman" w:eastAsia="Times New Roman" w:cs="Times New Roman"/>
          <w:spacing w:val="-1"/>
          <w:sz w:val="28"/>
          <w:szCs w:val="28"/>
        </w:rPr>
        <w:t>CS10125Hz</w:t>
      </w:r>
      <w:r>
        <w:rPr>
          <w:spacing w:val="-1"/>
          <w:sz w:val="28"/>
          <w:szCs w:val="28"/>
        </w:rPr>
        <w:t>～</w:t>
      </w:r>
      <w:r>
        <w:rPr>
          <w:rFonts w:ascii="Times New Roman" w:hAnsi="Times New Roman" w:eastAsia="Times New Roman" w:cs="Times New Roman"/>
          <w:spacing w:val="-1"/>
          <w:sz w:val="28"/>
          <w:szCs w:val="28"/>
        </w:rPr>
        <w:t>50kHz</w:t>
      </w:r>
      <w:r>
        <w:rPr>
          <w:rFonts w:ascii="Times New Roman" w:hAnsi="Times New Roman" w:eastAsia="Times New Roman" w:cs="Times New Roman"/>
          <w:spacing w:val="35"/>
          <w:w w:val="101"/>
          <w:sz w:val="28"/>
          <w:szCs w:val="28"/>
        </w:rPr>
        <w:t xml:space="preserve">  </w:t>
      </w:r>
      <w:r>
        <w:rPr>
          <w:rFonts w:ascii="楷体" w:hAnsi="楷体" w:eastAsia="楷体" w:cs="楷体"/>
          <w:spacing w:val="-1"/>
          <w:sz w:val="28"/>
          <w:szCs w:val="28"/>
        </w:rPr>
        <w:t>电源线传导敏感度</w:t>
      </w:r>
    </w:p>
    <w:p w14:paraId="7BD907B1">
      <w:pPr>
        <w:pStyle w:val="2"/>
        <w:spacing w:before="70" w:line="224" w:lineRule="auto"/>
        <w:ind w:left="529"/>
        <w:rPr>
          <w:rFonts w:ascii="楷体" w:hAnsi="楷体" w:eastAsia="楷体" w:cs="楷体"/>
          <w:sz w:val="28"/>
          <w:szCs w:val="28"/>
        </w:rPr>
      </w:pPr>
      <w:r>
        <w:rPr>
          <w:rFonts w:ascii="楷体" w:hAnsi="楷体" w:eastAsia="楷体" w:cs="楷体"/>
          <w:spacing w:val="-1"/>
          <w:sz w:val="28"/>
          <w:szCs w:val="28"/>
        </w:rPr>
        <w:t xml:space="preserve">3.6 </w:t>
      </w:r>
      <w:r>
        <w:rPr>
          <w:rFonts w:ascii="Times New Roman" w:hAnsi="Times New Roman" w:eastAsia="Times New Roman" w:cs="Times New Roman"/>
          <w:spacing w:val="-1"/>
          <w:sz w:val="28"/>
          <w:szCs w:val="28"/>
        </w:rPr>
        <w:t>CS10315kHz</w:t>
      </w:r>
      <w:r>
        <w:rPr>
          <w:spacing w:val="-1"/>
          <w:sz w:val="28"/>
          <w:szCs w:val="28"/>
        </w:rPr>
        <w:t>～</w:t>
      </w:r>
      <w:r>
        <w:rPr>
          <w:rFonts w:ascii="Times New Roman" w:hAnsi="Times New Roman" w:eastAsia="Times New Roman" w:cs="Times New Roman"/>
          <w:spacing w:val="-1"/>
          <w:sz w:val="28"/>
          <w:szCs w:val="28"/>
        </w:rPr>
        <w:t xml:space="preserve">10GHz   </w:t>
      </w:r>
      <w:r>
        <w:rPr>
          <w:rFonts w:ascii="楷体" w:hAnsi="楷体" w:eastAsia="楷体" w:cs="楷体"/>
          <w:spacing w:val="-1"/>
          <w:sz w:val="28"/>
          <w:szCs w:val="28"/>
        </w:rPr>
        <w:t>天</w:t>
      </w:r>
      <w:r>
        <w:rPr>
          <w:rFonts w:ascii="楷体" w:hAnsi="楷体" w:eastAsia="楷体" w:cs="楷体"/>
          <w:spacing w:val="-2"/>
          <w:sz w:val="28"/>
          <w:szCs w:val="28"/>
        </w:rPr>
        <w:t>线端子互调传导敏感度</w:t>
      </w:r>
    </w:p>
    <w:p w14:paraId="6D1C828C">
      <w:pPr>
        <w:pStyle w:val="2"/>
        <w:spacing w:before="65" w:line="220" w:lineRule="auto"/>
        <w:ind w:left="529"/>
        <w:rPr>
          <w:rFonts w:ascii="楷体" w:hAnsi="楷体" w:eastAsia="楷体" w:cs="楷体"/>
          <w:sz w:val="28"/>
          <w:szCs w:val="28"/>
        </w:rPr>
      </w:pPr>
      <w:r>
        <w:rPr>
          <w:rFonts w:ascii="楷体" w:hAnsi="楷体" w:eastAsia="楷体" w:cs="楷体"/>
          <w:spacing w:val="-3"/>
          <w:sz w:val="28"/>
          <w:szCs w:val="28"/>
        </w:rPr>
        <w:t xml:space="preserve">3.7 </w:t>
      </w:r>
      <w:r>
        <w:rPr>
          <w:rFonts w:ascii="Times New Roman" w:hAnsi="Times New Roman" w:eastAsia="Times New Roman" w:cs="Times New Roman"/>
          <w:spacing w:val="-3"/>
          <w:sz w:val="28"/>
          <w:szCs w:val="28"/>
        </w:rPr>
        <w:t>CS10425kHz</w:t>
      </w:r>
      <w:r>
        <w:rPr>
          <w:spacing w:val="-3"/>
          <w:sz w:val="28"/>
          <w:szCs w:val="28"/>
        </w:rPr>
        <w:t>～</w:t>
      </w:r>
      <w:r>
        <w:rPr>
          <w:rFonts w:ascii="Times New Roman" w:hAnsi="Times New Roman" w:eastAsia="Times New Roman" w:cs="Times New Roman"/>
          <w:spacing w:val="-3"/>
          <w:sz w:val="28"/>
          <w:szCs w:val="28"/>
        </w:rPr>
        <w:t>20GHz</w:t>
      </w:r>
      <w:r>
        <w:rPr>
          <w:rFonts w:ascii="Times New Roman" w:hAnsi="Times New Roman" w:eastAsia="Times New Roman" w:cs="Times New Roman"/>
          <w:spacing w:val="18"/>
          <w:sz w:val="28"/>
          <w:szCs w:val="28"/>
        </w:rPr>
        <w:t xml:space="preserve">   </w:t>
      </w:r>
      <w:r>
        <w:rPr>
          <w:rFonts w:ascii="楷体" w:hAnsi="楷体" w:eastAsia="楷体" w:cs="楷体"/>
          <w:spacing w:val="-3"/>
          <w:sz w:val="28"/>
          <w:szCs w:val="28"/>
        </w:rPr>
        <w:t>天线端子无用信号抑制传导敏</w:t>
      </w:r>
      <w:r>
        <w:rPr>
          <w:rFonts w:ascii="楷体" w:hAnsi="楷体" w:eastAsia="楷体" w:cs="楷体"/>
          <w:spacing w:val="-4"/>
          <w:sz w:val="28"/>
          <w:szCs w:val="28"/>
        </w:rPr>
        <w:t>感度</w:t>
      </w:r>
    </w:p>
    <w:p w14:paraId="7227800F">
      <w:pPr>
        <w:pStyle w:val="2"/>
        <w:spacing w:before="61" w:line="224" w:lineRule="auto"/>
        <w:ind w:left="529"/>
        <w:rPr>
          <w:rFonts w:ascii="楷体" w:hAnsi="楷体" w:eastAsia="楷体" w:cs="楷体"/>
          <w:sz w:val="28"/>
          <w:szCs w:val="28"/>
        </w:rPr>
      </w:pPr>
      <w:r>
        <w:rPr>
          <w:rFonts w:ascii="Times New Roman" w:hAnsi="Times New Roman" w:eastAsia="Times New Roman" w:cs="Times New Roman"/>
          <w:spacing w:val="-3"/>
          <w:sz w:val="28"/>
          <w:szCs w:val="28"/>
        </w:rPr>
        <w:t>3.8     CS1052</w:t>
      </w:r>
      <w:r>
        <w:rPr>
          <w:rFonts w:ascii="楷体" w:hAnsi="楷体" w:eastAsia="楷体" w:cs="楷体"/>
          <w:spacing w:val="-3"/>
          <w:sz w:val="28"/>
          <w:szCs w:val="28"/>
        </w:rPr>
        <w:t>5</w:t>
      </w:r>
      <w:r>
        <w:rPr>
          <w:rFonts w:ascii="Times New Roman" w:hAnsi="Times New Roman" w:eastAsia="Times New Roman" w:cs="Times New Roman"/>
          <w:spacing w:val="-3"/>
          <w:sz w:val="28"/>
          <w:szCs w:val="28"/>
        </w:rPr>
        <w:t>kHz</w:t>
      </w:r>
      <w:r>
        <w:rPr>
          <w:spacing w:val="-3"/>
          <w:sz w:val="28"/>
          <w:szCs w:val="28"/>
        </w:rPr>
        <w:t>～</w:t>
      </w:r>
      <w:r>
        <w:rPr>
          <w:rFonts w:ascii="Times New Roman" w:hAnsi="Times New Roman" w:eastAsia="Times New Roman" w:cs="Times New Roman"/>
          <w:spacing w:val="-3"/>
          <w:sz w:val="28"/>
          <w:szCs w:val="28"/>
        </w:rPr>
        <w:t>20GHz</w:t>
      </w:r>
      <w:r>
        <w:rPr>
          <w:rFonts w:ascii="Times New Roman" w:hAnsi="Times New Roman" w:eastAsia="Times New Roman" w:cs="Times New Roman"/>
          <w:spacing w:val="63"/>
          <w:sz w:val="28"/>
          <w:szCs w:val="28"/>
        </w:rPr>
        <w:t xml:space="preserve"> </w:t>
      </w:r>
      <w:r>
        <w:rPr>
          <w:rFonts w:ascii="楷体" w:hAnsi="楷体" w:eastAsia="楷体" w:cs="楷体"/>
          <w:spacing w:val="-3"/>
          <w:sz w:val="28"/>
          <w:szCs w:val="28"/>
        </w:rPr>
        <w:t>天线端子交调传导敏感度</w:t>
      </w:r>
    </w:p>
    <w:p w14:paraId="51F3A07C">
      <w:pPr>
        <w:spacing w:before="71" w:line="224" w:lineRule="auto"/>
        <w:ind w:left="529"/>
        <w:rPr>
          <w:rFonts w:ascii="楷体" w:hAnsi="楷体" w:eastAsia="楷体" w:cs="楷体"/>
          <w:sz w:val="28"/>
          <w:szCs w:val="28"/>
        </w:rPr>
      </w:pPr>
      <w:r>
        <w:rPr>
          <w:rFonts w:ascii="楷体" w:hAnsi="楷体" w:eastAsia="楷体" w:cs="楷体"/>
          <w:spacing w:val="-4"/>
          <w:sz w:val="28"/>
          <w:szCs w:val="28"/>
        </w:rPr>
        <w:t xml:space="preserve">3.9 </w:t>
      </w:r>
      <w:r>
        <w:rPr>
          <w:rFonts w:ascii="Times New Roman" w:hAnsi="Times New Roman" w:eastAsia="Times New Roman" w:cs="Times New Roman"/>
          <w:spacing w:val="-4"/>
          <w:sz w:val="28"/>
          <w:szCs w:val="28"/>
        </w:rPr>
        <w:t xml:space="preserve">CS106  </w:t>
      </w:r>
      <w:r>
        <w:rPr>
          <w:rFonts w:ascii="楷体" w:hAnsi="楷体" w:eastAsia="楷体" w:cs="楷体"/>
          <w:spacing w:val="-4"/>
          <w:sz w:val="28"/>
          <w:szCs w:val="28"/>
        </w:rPr>
        <w:t>电源线尖峰信号传导敏感度</w:t>
      </w:r>
    </w:p>
    <w:p w14:paraId="623898C8">
      <w:pPr>
        <w:pStyle w:val="2"/>
        <w:spacing w:before="70" w:line="224" w:lineRule="auto"/>
        <w:ind w:left="529"/>
        <w:rPr>
          <w:rFonts w:ascii="楷体" w:hAnsi="楷体" w:eastAsia="楷体" w:cs="楷体"/>
          <w:sz w:val="28"/>
          <w:szCs w:val="28"/>
        </w:rPr>
      </w:pPr>
      <w:r>
        <w:rPr>
          <w:rFonts w:ascii="楷体" w:hAnsi="楷体" w:eastAsia="楷体" w:cs="楷体"/>
          <w:spacing w:val="-3"/>
          <w:sz w:val="28"/>
          <w:szCs w:val="28"/>
        </w:rPr>
        <w:t xml:space="preserve">3.10 </w:t>
      </w:r>
      <w:r>
        <w:rPr>
          <w:rFonts w:ascii="Times New Roman" w:hAnsi="Times New Roman" w:eastAsia="Times New Roman" w:cs="Times New Roman"/>
          <w:spacing w:val="-3"/>
          <w:sz w:val="28"/>
          <w:szCs w:val="28"/>
        </w:rPr>
        <w:t>CS10950Hz</w:t>
      </w:r>
      <w:r>
        <w:rPr>
          <w:spacing w:val="-3"/>
          <w:sz w:val="28"/>
          <w:szCs w:val="28"/>
        </w:rPr>
        <w:t>～</w:t>
      </w:r>
      <w:r>
        <w:rPr>
          <w:rFonts w:ascii="Times New Roman" w:hAnsi="Times New Roman" w:eastAsia="Times New Roman" w:cs="Times New Roman"/>
          <w:spacing w:val="-3"/>
          <w:sz w:val="28"/>
          <w:szCs w:val="28"/>
        </w:rPr>
        <w:t xml:space="preserve">100kHz    </w:t>
      </w:r>
      <w:r>
        <w:rPr>
          <w:rFonts w:ascii="楷体" w:hAnsi="楷体" w:eastAsia="楷体" w:cs="楷体"/>
          <w:spacing w:val="-3"/>
          <w:sz w:val="28"/>
          <w:szCs w:val="28"/>
        </w:rPr>
        <w:t>壳体电流传导敏感度</w:t>
      </w:r>
    </w:p>
    <w:p w14:paraId="7AF18946">
      <w:pPr>
        <w:pStyle w:val="2"/>
        <w:spacing w:before="50" w:line="223" w:lineRule="auto"/>
        <w:ind w:left="529"/>
        <w:rPr>
          <w:rFonts w:ascii="楷体" w:hAnsi="楷体" w:eastAsia="楷体" w:cs="楷体"/>
          <w:sz w:val="30"/>
          <w:szCs w:val="30"/>
        </w:rPr>
      </w:pPr>
      <w:r>
        <w:rPr>
          <w:rFonts w:ascii="楷体" w:hAnsi="楷体" w:eastAsia="楷体" w:cs="楷体"/>
          <w:spacing w:val="-9"/>
          <w:sz w:val="30"/>
          <w:szCs w:val="30"/>
        </w:rPr>
        <w:t xml:space="preserve">3.11 </w:t>
      </w:r>
      <w:r>
        <w:rPr>
          <w:rFonts w:ascii="Times New Roman" w:hAnsi="Times New Roman" w:eastAsia="Times New Roman" w:cs="Times New Roman"/>
          <w:spacing w:val="-9"/>
          <w:sz w:val="30"/>
          <w:szCs w:val="30"/>
        </w:rPr>
        <w:t>CS11410kHz</w:t>
      </w:r>
      <w:r>
        <w:rPr>
          <w:spacing w:val="-9"/>
          <w:sz w:val="30"/>
          <w:szCs w:val="30"/>
        </w:rPr>
        <w:t>～</w:t>
      </w:r>
      <w:r>
        <w:rPr>
          <w:rFonts w:ascii="Times New Roman" w:hAnsi="Times New Roman" w:eastAsia="Times New Roman" w:cs="Times New Roman"/>
          <w:spacing w:val="-9"/>
          <w:sz w:val="30"/>
          <w:szCs w:val="30"/>
        </w:rPr>
        <w:t>400MHz</w:t>
      </w:r>
      <w:r>
        <w:rPr>
          <w:rFonts w:ascii="楷体" w:hAnsi="楷体" w:eastAsia="楷体" w:cs="楷体"/>
          <w:spacing w:val="-9"/>
          <w:sz w:val="30"/>
          <w:szCs w:val="30"/>
        </w:rPr>
        <w:t>电缆束注入传导敏感度</w:t>
      </w:r>
    </w:p>
    <w:p w14:paraId="7CD41E17">
      <w:pPr>
        <w:spacing w:before="77" w:line="223" w:lineRule="auto"/>
        <w:ind w:left="529"/>
        <w:rPr>
          <w:rFonts w:ascii="楷体" w:hAnsi="楷体" w:eastAsia="楷体" w:cs="楷体"/>
          <w:sz w:val="28"/>
          <w:szCs w:val="28"/>
        </w:rPr>
      </w:pPr>
      <w:r>
        <w:rPr>
          <w:rFonts w:ascii="楷体" w:hAnsi="楷体" w:eastAsia="楷体" w:cs="楷体"/>
          <w:spacing w:val="-4"/>
          <w:sz w:val="28"/>
          <w:szCs w:val="28"/>
        </w:rPr>
        <w:t xml:space="preserve">3.12 </w:t>
      </w:r>
      <w:r>
        <w:rPr>
          <w:rFonts w:ascii="Times New Roman" w:hAnsi="Times New Roman" w:eastAsia="Times New Roman" w:cs="Times New Roman"/>
          <w:spacing w:val="-4"/>
          <w:sz w:val="28"/>
          <w:szCs w:val="28"/>
        </w:rPr>
        <w:t xml:space="preserve">CS115  </w:t>
      </w:r>
      <w:r>
        <w:rPr>
          <w:rFonts w:ascii="楷体" w:hAnsi="楷体" w:eastAsia="楷体" w:cs="楷体"/>
          <w:spacing w:val="-4"/>
          <w:sz w:val="28"/>
          <w:szCs w:val="28"/>
        </w:rPr>
        <w:t>电缆束注入脉冲激励传导敏感度</w:t>
      </w:r>
    </w:p>
    <w:p w14:paraId="1268C490">
      <w:pPr>
        <w:pStyle w:val="2"/>
        <w:spacing w:before="39" w:line="224" w:lineRule="auto"/>
        <w:ind w:left="529"/>
        <w:rPr>
          <w:rFonts w:ascii="楷体" w:hAnsi="楷体" w:eastAsia="楷体" w:cs="楷体"/>
          <w:sz w:val="29"/>
          <w:szCs w:val="29"/>
        </w:rPr>
      </w:pPr>
      <w:r>
        <w:rPr>
          <w:rFonts w:ascii="Times New Roman" w:hAnsi="Times New Roman" w:eastAsia="Times New Roman" w:cs="Times New Roman"/>
          <w:spacing w:val="-6"/>
          <w:sz w:val="29"/>
          <w:szCs w:val="29"/>
        </w:rPr>
        <w:t>3.13    CS11610kHz</w:t>
      </w:r>
      <w:r>
        <w:rPr>
          <w:spacing w:val="-6"/>
          <w:sz w:val="29"/>
          <w:szCs w:val="29"/>
        </w:rPr>
        <w:t>～</w:t>
      </w:r>
      <w:r>
        <w:rPr>
          <w:rFonts w:ascii="Times New Roman" w:hAnsi="Times New Roman" w:eastAsia="Times New Roman" w:cs="Times New Roman"/>
          <w:spacing w:val="-7"/>
          <w:sz w:val="29"/>
          <w:szCs w:val="29"/>
        </w:rPr>
        <w:t>100MHz</w:t>
      </w:r>
      <w:r>
        <w:rPr>
          <w:rFonts w:ascii="楷体" w:hAnsi="楷体" w:eastAsia="楷体" w:cs="楷体"/>
          <w:b/>
          <w:bCs/>
          <w:spacing w:val="-7"/>
          <w:sz w:val="29"/>
          <w:szCs w:val="29"/>
        </w:rPr>
        <w:t>电缆和电源线阻尼正弦瞬变传导敏感度</w:t>
      </w:r>
    </w:p>
    <w:p w14:paraId="5ECA8BD5">
      <w:pPr>
        <w:pStyle w:val="2"/>
        <w:spacing w:before="82" w:line="230" w:lineRule="auto"/>
        <w:ind w:left="529"/>
        <w:rPr>
          <w:rFonts w:ascii="楷体" w:hAnsi="楷体" w:eastAsia="楷体" w:cs="楷体"/>
        </w:rPr>
      </w:pPr>
      <w:r>
        <w:rPr>
          <w:rFonts w:ascii="Times New Roman" w:hAnsi="Times New Roman" w:eastAsia="Times New Roman" w:cs="Times New Roman"/>
          <w:spacing w:val="1"/>
        </w:rPr>
        <w:t xml:space="preserve">3.14   </w:t>
      </w:r>
      <w:r>
        <w:rPr>
          <w:rFonts w:ascii="Times New Roman" w:hAnsi="Times New Roman" w:eastAsia="Times New Roman" w:cs="Times New Roman"/>
        </w:rPr>
        <w:t>RE</w:t>
      </w:r>
      <w:r>
        <w:rPr>
          <w:rFonts w:ascii="Times New Roman" w:hAnsi="Times New Roman" w:eastAsia="Times New Roman" w:cs="Times New Roman"/>
          <w:spacing w:val="1"/>
        </w:rPr>
        <w:t>10125</w:t>
      </w:r>
      <w:r>
        <w:rPr>
          <w:rFonts w:ascii="Times New Roman" w:hAnsi="Times New Roman" w:eastAsia="Times New Roman" w:cs="Times New Roman"/>
        </w:rPr>
        <w:t>Hz</w:t>
      </w:r>
      <w:r>
        <w:rPr>
          <w:spacing w:val="1"/>
        </w:rPr>
        <w:t>～</w:t>
      </w:r>
      <w:r>
        <w:rPr>
          <w:rFonts w:ascii="Times New Roman" w:hAnsi="Times New Roman" w:eastAsia="Times New Roman" w:cs="Times New Roman"/>
          <w:spacing w:val="1"/>
        </w:rPr>
        <w:t>100</w:t>
      </w:r>
      <w:r>
        <w:rPr>
          <w:rFonts w:ascii="Times New Roman" w:hAnsi="Times New Roman" w:eastAsia="Times New Roman" w:cs="Times New Roman"/>
        </w:rPr>
        <w:t>kHz</w:t>
      </w:r>
      <w:r>
        <w:rPr>
          <w:rFonts w:ascii="Times New Roman" w:hAnsi="Times New Roman" w:eastAsia="Times New Roman" w:cs="Times New Roman"/>
          <w:spacing w:val="1"/>
        </w:rPr>
        <w:t xml:space="preserve">     </w:t>
      </w:r>
      <w:r>
        <w:rPr>
          <w:rFonts w:ascii="楷体" w:hAnsi="楷体" w:eastAsia="楷体" w:cs="楷体"/>
          <w:spacing w:val="1"/>
        </w:rPr>
        <w:t>磁场辐射发射</w:t>
      </w:r>
    </w:p>
    <w:p w14:paraId="6C37E9F7">
      <w:pPr>
        <w:pStyle w:val="2"/>
        <w:spacing w:before="74" w:line="230" w:lineRule="auto"/>
        <w:ind w:left="529"/>
        <w:rPr>
          <w:rFonts w:ascii="楷体" w:hAnsi="楷体" w:eastAsia="楷体" w:cs="楷体"/>
          <w:sz w:val="28"/>
          <w:szCs w:val="28"/>
        </w:rPr>
      </w:pPr>
      <w:r>
        <w:rPr>
          <w:rFonts w:ascii="楷体" w:hAnsi="楷体" w:eastAsia="楷体" w:cs="楷体"/>
          <w:spacing w:val="-2"/>
          <w:sz w:val="28"/>
          <w:szCs w:val="28"/>
        </w:rPr>
        <w:t xml:space="preserve">3.15 </w:t>
      </w:r>
      <w:r>
        <w:rPr>
          <w:rFonts w:ascii="Times New Roman" w:hAnsi="Times New Roman" w:eastAsia="Times New Roman" w:cs="Times New Roman"/>
          <w:spacing w:val="-2"/>
          <w:sz w:val="28"/>
          <w:szCs w:val="28"/>
        </w:rPr>
        <w:t>RE10210kHz</w:t>
      </w:r>
      <w:r>
        <w:rPr>
          <w:spacing w:val="-2"/>
          <w:sz w:val="28"/>
          <w:szCs w:val="28"/>
        </w:rPr>
        <w:t>～</w:t>
      </w:r>
      <w:r>
        <w:rPr>
          <w:rFonts w:ascii="Times New Roman" w:hAnsi="Times New Roman" w:eastAsia="Times New Roman" w:cs="Times New Roman"/>
          <w:spacing w:val="-2"/>
          <w:sz w:val="28"/>
          <w:szCs w:val="28"/>
        </w:rPr>
        <w:t xml:space="preserve">18GHz    </w:t>
      </w:r>
      <w:r>
        <w:rPr>
          <w:rFonts w:ascii="楷体" w:hAnsi="楷体" w:eastAsia="楷体" w:cs="楷体"/>
          <w:spacing w:val="-2"/>
          <w:sz w:val="28"/>
          <w:szCs w:val="28"/>
        </w:rPr>
        <w:t>电场</w:t>
      </w:r>
      <w:r>
        <w:rPr>
          <w:rFonts w:ascii="楷体" w:hAnsi="楷体" w:eastAsia="楷体" w:cs="楷体"/>
          <w:spacing w:val="-3"/>
          <w:sz w:val="28"/>
          <w:szCs w:val="28"/>
        </w:rPr>
        <w:t>辐射发射</w:t>
      </w:r>
    </w:p>
    <w:p w14:paraId="18A24FEE">
      <w:pPr>
        <w:pStyle w:val="2"/>
        <w:spacing w:before="55" w:line="227" w:lineRule="auto"/>
        <w:ind w:left="529"/>
        <w:rPr>
          <w:rFonts w:ascii="楷体" w:hAnsi="楷体" w:eastAsia="楷体" w:cs="楷体"/>
          <w:sz w:val="28"/>
          <w:szCs w:val="28"/>
        </w:rPr>
      </w:pPr>
      <w:r>
        <w:rPr>
          <w:rFonts w:ascii="Times New Roman" w:hAnsi="Times New Roman" w:eastAsia="Times New Roman" w:cs="Times New Roman"/>
          <w:spacing w:val="-2"/>
          <w:sz w:val="28"/>
          <w:szCs w:val="28"/>
        </w:rPr>
        <w:t>3.16</w:t>
      </w:r>
      <w:r>
        <w:rPr>
          <w:rFonts w:ascii="Times New Roman" w:hAnsi="Times New Roman" w:eastAsia="Times New Roman" w:cs="Times New Roman"/>
          <w:spacing w:val="30"/>
          <w:sz w:val="28"/>
          <w:szCs w:val="28"/>
        </w:rPr>
        <w:t xml:space="preserve">  </w:t>
      </w:r>
      <w:r>
        <w:rPr>
          <w:rFonts w:ascii="Times New Roman" w:hAnsi="Times New Roman" w:eastAsia="Times New Roman" w:cs="Times New Roman"/>
          <w:spacing w:val="-2"/>
          <w:sz w:val="28"/>
          <w:szCs w:val="28"/>
        </w:rPr>
        <w:t>RE10310kHz</w:t>
      </w:r>
      <w:r>
        <w:rPr>
          <w:spacing w:val="-2"/>
          <w:sz w:val="28"/>
          <w:szCs w:val="28"/>
        </w:rPr>
        <w:t>～</w:t>
      </w:r>
      <w:r>
        <w:rPr>
          <w:rFonts w:ascii="Times New Roman" w:hAnsi="Times New Roman" w:eastAsia="Times New Roman" w:cs="Times New Roman"/>
          <w:spacing w:val="-2"/>
          <w:sz w:val="28"/>
          <w:szCs w:val="28"/>
        </w:rPr>
        <w:t xml:space="preserve">40GHz    </w:t>
      </w:r>
      <w:r>
        <w:rPr>
          <w:rFonts w:ascii="楷体" w:hAnsi="楷体" w:eastAsia="楷体" w:cs="楷体"/>
          <w:spacing w:val="-2"/>
          <w:sz w:val="28"/>
          <w:szCs w:val="28"/>
        </w:rPr>
        <w:t>天线谐波和乱真输出辐射发射</w:t>
      </w:r>
    </w:p>
    <w:p w14:paraId="6B7B409F">
      <w:pPr>
        <w:pStyle w:val="2"/>
        <w:spacing w:before="72" w:line="230" w:lineRule="auto"/>
        <w:ind w:left="529"/>
        <w:rPr>
          <w:rFonts w:ascii="楷体" w:hAnsi="楷体" w:eastAsia="楷体" w:cs="楷体"/>
          <w:sz w:val="28"/>
          <w:szCs w:val="28"/>
        </w:rPr>
      </w:pPr>
      <w:r>
        <w:rPr>
          <w:rFonts w:ascii="Times New Roman" w:hAnsi="Times New Roman" w:eastAsia="Times New Roman" w:cs="Times New Roman"/>
          <w:spacing w:val="-2"/>
          <w:sz w:val="28"/>
          <w:szCs w:val="28"/>
        </w:rPr>
        <w:t>3.17</w:t>
      </w:r>
      <w:r>
        <w:rPr>
          <w:rFonts w:ascii="Times New Roman" w:hAnsi="Times New Roman" w:eastAsia="Times New Roman" w:cs="Times New Roman"/>
          <w:spacing w:val="9"/>
          <w:sz w:val="28"/>
          <w:szCs w:val="28"/>
        </w:rPr>
        <w:t xml:space="preserve">     </w:t>
      </w:r>
      <w:r>
        <w:rPr>
          <w:rFonts w:ascii="Times New Roman" w:hAnsi="Times New Roman" w:eastAsia="Times New Roman" w:cs="Times New Roman"/>
          <w:spacing w:val="-2"/>
          <w:sz w:val="28"/>
          <w:szCs w:val="28"/>
        </w:rPr>
        <w:t>RS10125Hz</w:t>
      </w:r>
      <w:r>
        <w:rPr>
          <w:spacing w:val="-2"/>
          <w:sz w:val="28"/>
          <w:szCs w:val="28"/>
        </w:rPr>
        <w:t>～</w:t>
      </w:r>
      <w:r>
        <w:rPr>
          <w:rFonts w:ascii="Times New Roman" w:hAnsi="Times New Roman" w:eastAsia="Times New Roman" w:cs="Times New Roman"/>
          <w:spacing w:val="-2"/>
          <w:sz w:val="28"/>
          <w:szCs w:val="28"/>
        </w:rPr>
        <w:t>100kH</w:t>
      </w:r>
      <w:r>
        <w:rPr>
          <w:rFonts w:ascii="Times New Roman" w:hAnsi="Times New Roman" w:eastAsia="Times New Roman" w:cs="Times New Roman"/>
          <w:spacing w:val="-3"/>
          <w:sz w:val="28"/>
          <w:szCs w:val="28"/>
        </w:rPr>
        <w:t xml:space="preserve">z </w:t>
      </w:r>
      <w:r>
        <w:rPr>
          <w:rFonts w:ascii="楷体" w:hAnsi="楷体" w:eastAsia="楷体" w:cs="楷体"/>
          <w:spacing w:val="-3"/>
          <w:sz w:val="28"/>
          <w:szCs w:val="28"/>
        </w:rPr>
        <w:t>磁场辐射敏感度</w:t>
      </w:r>
    </w:p>
    <w:p w14:paraId="5F6BDC3B">
      <w:pPr>
        <w:pStyle w:val="2"/>
        <w:spacing w:before="61" w:line="230" w:lineRule="auto"/>
        <w:ind w:left="529"/>
        <w:rPr>
          <w:rFonts w:ascii="楷体" w:hAnsi="楷体" w:eastAsia="楷体" w:cs="楷体"/>
          <w:sz w:val="28"/>
          <w:szCs w:val="28"/>
        </w:rPr>
      </w:pPr>
      <w:r>
        <w:rPr>
          <w:rFonts w:ascii="楷体" w:hAnsi="楷体" w:eastAsia="楷体" w:cs="楷体"/>
          <w:spacing w:val="-1"/>
          <w:sz w:val="28"/>
          <w:szCs w:val="28"/>
        </w:rPr>
        <w:t xml:space="preserve">3.18 </w:t>
      </w:r>
      <w:r>
        <w:rPr>
          <w:rFonts w:ascii="Times New Roman" w:hAnsi="Times New Roman" w:eastAsia="Times New Roman" w:cs="Times New Roman"/>
          <w:spacing w:val="-1"/>
          <w:sz w:val="28"/>
          <w:szCs w:val="28"/>
        </w:rPr>
        <w:t>RS10310kHz</w:t>
      </w:r>
      <w:r>
        <w:rPr>
          <w:spacing w:val="-1"/>
          <w:sz w:val="28"/>
          <w:szCs w:val="28"/>
        </w:rPr>
        <w:t>～</w:t>
      </w:r>
      <w:r>
        <w:rPr>
          <w:rFonts w:ascii="Times New Roman" w:hAnsi="Times New Roman" w:eastAsia="Times New Roman" w:cs="Times New Roman"/>
          <w:spacing w:val="-1"/>
          <w:sz w:val="28"/>
          <w:szCs w:val="28"/>
        </w:rPr>
        <w:t xml:space="preserve">40GHz   </w:t>
      </w:r>
      <w:r>
        <w:rPr>
          <w:rFonts w:ascii="楷体" w:hAnsi="楷体" w:eastAsia="楷体" w:cs="楷体"/>
          <w:spacing w:val="-1"/>
          <w:sz w:val="28"/>
          <w:szCs w:val="28"/>
        </w:rPr>
        <w:t>电场辐射敏感度</w:t>
      </w:r>
    </w:p>
    <w:p w14:paraId="66D2AC76">
      <w:pPr>
        <w:spacing w:before="92" w:line="225" w:lineRule="auto"/>
        <w:ind w:left="529"/>
        <w:rPr>
          <w:rFonts w:ascii="楷体" w:hAnsi="楷体" w:eastAsia="楷体" w:cs="楷体"/>
          <w:sz w:val="24"/>
          <w:szCs w:val="24"/>
        </w:rPr>
      </w:pPr>
      <w:r>
        <w:rPr>
          <w:rFonts w:ascii="楷体" w:hAnsi="楷体" w:eastAsia="楷体" w:cs="楷体"/>
          <w:spacing w:val="16"/>
          <w:sz w:val="24"/>
          <w:szCs w:val="24"/>
        </w:rPr>
        <w:t>3.19</w:t>
      </w:r>
      <w:r>
        <w:rPr>
          <w:rFonts w:ascii="楷体" w:hAnsi="楷体" w:eastAsia="楷体" w:cs="楷体"/>
          <w:spacing w:val="100"/>
          <w:sz w:val="24"/>
          <w:szCs w:val="24"/>
        </w:rPr>
        <w:t xml:space="preserve"> </w:t>
      </w:r>
      <w:r>
        <w:rPr>
          <w:rFonts w:ascii="Times New Roman" w:hAnsi="Times New Roman" w:eastAsia="Times New Roman" w:cs="Times New Roman"/>
          <w:sz w:val="24"/>
          <w:szCs w:val="24"/>
        </w:rPr>
        <w:t>RS</w:t>
      </w:r>
      <w:r>
        <w:rPr>
          <w:rFonts w:ascii="Times New Roman" w:hAnsi="Times New Roman" w:eastAsia="Times New Roman" w:cs="Times New Roman"/>
          <w:spacing w:val="16"/>
          <w:sz w:val="24"/>
          <w:szCs w:val="24"/>
        </w:rPr>
        <w:t xml:space="preserve">105    </w:t>
      </w:r>
      <w:r>
        <w:rPr>
          <w:rFonts w:ascii="楷体" w:hAnsi="楷体" w:eastAsia="楷体" w:cs="楷体"/>
          <w:spacing w:val="16"/>
          <w:sz w:val="24"/>
          <w:szCs w:val="24"/>
        </w:rPr>
        <w:t>瞬变电磁场辐射敏感度</w:t>
      </w:r>
    </w:p>
    <w:p w14:paraId="537D3E2A">
      <w:pPr>
        <w:spacing w:before="108" w:line="225" w:lineRule="auto"/>
        <w:ind w:left="529"/>
        <w:rPr>
          <w:rFonts w:ascii="楷体" w:hAnsi="楷体" w:eastAsia="楷体" w:cs="楷体"/>
          <w:sz w:val="24"/>
          <w:szCs w:val="24"/>
        </w:rPr>
      </w:pPr>
      <w:r>
        <w:rPr>
          <w:rFonts w:ascii="Times New Roman" w:hAnsi="Times New Roman" w:eastAsia="Times New Roman" w:cs="Times New Roman"/>
          <w:spacing w:val="32"/>
          <w:sz w:val="24"/>
          <w:szCs w:val="24"/>
        </w:rPr>
        <w:t xml:space="preserve">4  </w:t>
      </w:r>
      <w:r>
        <w:rPr>
          <w:rFonts w:ascii="楷体" w:hAnsi="楷体" w:eastAsia="楷体" w:cs="楷体"/>
          <w:spacing w:val="32"/>
          <w:sz w:val="24"/>
          <w:szCs w:val="24"/>
        </w:rPr>
        <w:t>试验中出现的主要技术问题及处理情况</w:t>
      </w:r>
    </w:p>
    <w:p w14:paraId="2F0DD123">
      <w:pPr>
        <w:spacing w:before="93" w:line="212" w:lineRule="auto"/>
        <w:ind w:left="529"/>
        <w:rPr>
          <w:rFonts w:ascii="楷体" w:hAnsi="楷体" w:eastAsia="楷体" w:cs="楷体"/>
          <w:sz w:val="24"/>
          <w:szCs w:val="24"/>
        </w:rPr>
      </w:pPr>
      <w:r>
        <w:rPr>
          <w:rFonts w:ascii="楷体" w:hAnsi="楷体" w:eastAsia="楷体" w:cs="楷体"/>
          <w:spacing w:val="24"/>
          <w:sz w:val="24"/>
          <w:szCs w:val="24"/>
        </w:rPr>
        <w:t>4.</w:t>
      </w:r>
      <w:r>
        <w:rPr>
          <w:rFonts w:ascii="Times New Roman" w:hAnsi="Times New Roman" w:eastAsia="Times New Roman" w:cs="Times New Roman"/>
          <w:spacing w:val="24"/>
          <w:sz w:val="24"/>
          <w:szCs w:val="24"/>
        </w:rPr>
        <w:t xml:space="preserve">X  ( </w:t>
      </w:r>
      <w:r>
        <w:rPr>
          <w:rFonts w:ascii="楷体" w:hAnsi="楷体" w:eastAsia="楷体" w:cs="楷体"/>
          <w:spacing w:val="24"/>
          <w:sz w:val="24"/>
          <w:szCs w:val="24"/>
        </w:rPr>
        <w:t>出现的主要技术问题</w:t>
      </w:r>
      <w:r>
        <w:rPr>
          <w:rFonts w:ascii="楷体" w:hAnsi="楷体" w:eastAsia="楷体" w:cs="楷体"/>
          <w:spacing w:val="-44"/>
          <w:sz w:val="24"/>
          <w:szCs w:val="24"/>
        </w:rPr>
        <w:t xml:space="preserve"> </w:t>
      </w:r>
      <w:r>
        <w:rPr>
          <w:rFonts w:ascii="Times New Roman" w:hAnsi="Times New Roman" w:eastAsia="Times New Roman" w:cs="Times New Roman"/>
          <w:spacing w:val="24"/>
          <w:sz w:val="24"/>
          <w:szCs w:val="24"/>
        </w:rPr>
        <w:t>X)</w:t>
      </w:r>
      <w:r>
        <w:rPr>
          <w:rFonts w:ascii="Times New Roman" w:hAnsi="Times New Roman" w:eastAsia="Times New Roman" w:cs="Times New Roman"/>
          <w:spacing w:val="29"/>
          <w:sz w:val="24"/>
          <w:szCs w:val="24"/>
        </w:rPr>
        <w:t xml:space="preserve"> </w:t>
      </w:r>
      <w:r>
        <w:rPr>
          <w:rFonts w:ascii="楷体" w:hAnsi="楷体" w:eastAsia="楷体" w:cs="楷体"/>
          <w:spacing w:val="24"/>
          <w:sz w:val="24"/>
          <w:szCs w:val="24"/>
        </w:rPr>
        <w:t>及处理情况</w:t>
      </w:r>
    </w:p>
    <w:p w14:paraId="4883A10D">
      <w:pPr>
        <w:spacing w:line="212" w:lineRule="auto"/>
        <w:rPr>
          <w:rFonts w:ascii="楷体" w:hAnsi="楷体" w:eastAsia="楷体" w:cs="楷体"/>
          <w:sz w:val="24"/>
          <w:szCs w:val="24"/>
        </w:rPr>
        <w:sectPr>
          <w:footerReference r:id="rId618" w:type="default"/>
          <w:pgSz w:w="11910" w:h="17130"/>
          <w:pgMar w:top="1456" w:right="1312" w:bottom="1630" w:left="1200" w:header="0" w:footer="1422" w:gutter="0"/>
          <w:cols w:space="720" w:num="1"/>
        </w:sectPr>
      </w:pPr>
    </w:p>
    <w:p w14:paraId="54361F27">
      <w:pPr>
        <w:spacing w:before="60" w:line="224" w:lineRule="auto"/>
        <w:ind w:left="530"/>
        <w:rPr>
          <w:rFonts w:ascii="楷体" w:hAnsi="楷体" w:eastAsia="楷体" w:cs="楷体"/>
          <w:sz w:val="24"/>
          <w:szCs w:val="24"/>
        </w:rPr>
      </w:pPr>
      <w:r>
        <w:rPr>
          <w:rFonts w:ascii="Times New Roman" w:hAnsi="Times New Roman" w:eastAsia="Times New Roman" w:cs="Times New Roman"/>
          <w:spacing w:val="11"/>
          <w:sz w:val="24"/>
          <w:szCs w:val="24"/>
        </w:rPr>
        <w:t>5</w:t>
      </w:r>
      <w:r>
        <w:rPr>
          <w:rFonts w:ascii="Times New Roman" w:hAnsi="Times New Roman" w:eastAsia="Times New Roman" w:cs="Times New Roman"/>
          <w:spacing w:val="27"/>
          <w:sz w:val="24"/>
          <w:szCs w:val="24"/>
        </w:rPr>
        <w:t xml:space="preserve">  </w:t>
      </w:r>
      <w:r>
        <w:rPr>
          <w:rFonts w:ascii="楷体" w:hAnsi="楷体" w:eastAsia="楷体" w:cs="楷体"/>
          <w:spacing w:val="11"/>
          <w:sz w:val="24"/>
          <w:szCs w:val="24"/>
        </w:rPr>
        <w:t>试验结果、结论</w:t>
      </w:r>
    </w:p>
    <w:p w14:paraId="27AE74D8">
      <w:pPr>
        <w:spacing w:before="128" w:line="224" w:lineRule="auto"/>
        <w:ind w:left="530"/>
        <w:rPr>
          <w:rFonts w:ascii="楷体" w:hAnsi="楷体" w:eastAsia="楷体" w:cs="楷体"/>
          <w:sz w:val="24"/>
          <w:szCs w:val="24"/>
        </w:rPr>
      </w:pPr>
      <w:r>
        <w:rPr>
          <w:rFonts w:ascii="楷体" w:hAnsi="楷体" w:eastAsia="楷体" w:cs="楷体"/>
          <w:spacing w:val="24"/>
          <w:sz w:val="24"/>
          <w:szCs w:val="24"/>
        </w:rPr>
        <w:t>5</w:t>
      </w:r>
      <w:r>
        <w:rPr>
          <w:rFonts w:ascii="楷体" w:hAnsi="楷体" w:eastAsia="楷体" w:cs="楷体"/>
          <w:spacing w:val="-48"/>
          <w:sz w:val="24"/>
          <w:szCs w:val="24"/>
        </w:rPr>
        <w:t xml:space="preserve"> </w:t>
      </w:r>
      <w:r>
        <w:rPr>
          <w:rFonts w:ascii="楷体" w:hAnsi="楷体" w:eastAsia="楷体" w:cs="楷体"/>
          <w:spacing w:val="24"/>
          <w:sz w:val="24"/>
          <w:szCs w:val="24"/>
        </w:rPr>
        <w:t>.</w:t>
      </w:r>
      <w:r>
        <w:rPr>
          <w:rFonts w:ascii="楷体" w:hAnsi="楷体" w:eastAsia="楷体" w:cs="楷体"/>
          <w:spacing w:val="-45"/>
          <w:sz w:val="24"/>
          <w:szCs w:val="24"/>
        </w:rPr>
        <w:t xml:space="preserve"> </w:t>
      </w:r>
      <w:r>
        <w:rPr>
          <w:rFonts w:ascii="楷体" w:hAnsi="楷体" w:eastAsia="楷体" w:cs="楷体"/>
          <w:spacing w:val="24"/>
          <w:sz w:val="24"/>
          <w:szCs w:val="24"/>
        </w:rPr>
        <w:t>1试验结果</w:t>
      </w:r>
    </w:p>
    <w:p w14:paraId="41A64F2D">
      <w:pPr>
        <w:spacing w:before="128" w:line="232" w:lineRule="auto"/>
        <w:ind w:left="530"/>
        <w:rPr>
          <w:rFonts w:ascii="楷体" w:hAnsi="楷体" w:eastAsia="楷体" w:cs="楷体"/>
          <w:sz w:val="24"/>
          <w:szCs w:val="24"/>
        </w:rPr>
      </w:pPr>
      <w:r>
        <w:rPr>
          <w:rFonts w:ascii="楷体" w:hAnsi="楷体" w:eastAsia="楷体" w:cs="楷体"/>
          <w:spacing w:val="26"/>
          <w:sz w:val="24"/>
          <w:szCs w:val="24"/>
        </w:rPr>
        <w:t>5</w:t>
      </w:r>
      <w:r>
        <w:rPr>
          <w:rFonts w:ascii="楷体" w:hAnsi="楷体" w:eastAsia="楷体" w:cs="楷体"/>
          <w:spacing w:val="-50"/>
          <w:sz w:val="24"/>
          <w:szCs w:val="24"/>
        </w:rPr>
        <w:t xml:space="preserve"> </w:t>
      </w:r>
      <w:r>
        <w:rPr>
          <w:rFonts w:ascii="楷体" w:hAnsi="楷体" w:eastAsia="楷体" w:cs="楷体"/>
          <w:spacing w:val="26"/>
          <w:sz w:val="24"/>
          <w:szCs w:val="24"/>
        </w:rPr>
        <w:t>.</w:t>
      </w:r>
      <w:r>
        <w:rPr>
          <w:rFonts w:ascii="楷体" w:hAnsi="楷体" w:eastAsia="楷体" w:cs="楷体"/>
          <w:spacing w:val="-60"/>
          <w:sz w:val="24"/>
          <w:szCs w:val="24"/>
        </w:rPr>
        <w:t xml:space="preserve"> </w:t>
      </w:r>
      <w:r>
        <w:rPr>
          <w:rFonts w:ascii="楷体" w:hAnsi="楷体" w:eastAsia="楷体" w:cs="楷体"/>
          <w:spacing w:val="26"/>
          <w:sz w:val="24"/>
          <w:szCs w:val="24"/>
        </w:rPr>
        <w:t>2试验结论</w:t>
      </w:r>
    </w:p>
    <w:p w14:paraId="282139E1">
      <w:pPr>
        <w:spacing w:before="120" w:line="227" w:lineRule="auto"/>
        <w:ind w:left="530"/>
        <w:rPr>
          <w:rFonts w:ascii="楷体" w:hAnsi="楷体" w:eastAsia="楷体" w:cs="楷体"/>
          <w:sz w:val="24"/>
          <w:szCs w:val="24"/>
        </w:rPr>
      </w:pPr>
      <w:r>
        <w:rPr>
          <w:rFonts w:ascii="Times New Roman" w:hAnsi="Times New Roman" w:eastAsia="Times New Roman" w:cs="Times New Roman"/>
          <w:spacing w:val="31"/>
          <w:sz w:val="24"/>
          <w:szCs w:val="24"/>
        </w:rPr>
        <w:t>6</w:t>
      </w:r>
      <w:r>
        <w:rPr>
          <w:rFonts w:ascii="Times New Roman" w:hAnsi="Times New Roman" w:eastAsia="Times New Roman" w:cs="Times New Roman"/>
          <w:spacing w:val="28"/>
          <w:w w:val="101"/>
          <w:sz w:val="24"/>
          <w:szCs w:val="24"/>
        </w:rPr>
        <w:t xml:space="preserve">  </w:t>
      </w:r>
      <w:r>
        <w:rPr>
          <w:rFonts w:ascii="楷体" w:hAnsi="楷体" w:eastAsia="楷体" w:cs="楷体"/>
          <w:spacing w:val="31"/>
          <w:sz w:val="24"/>
          <w:szCs w:val="24"/>
        </w:rPr>
        <w:t>存在的问题和改进建议</w:t>
      </w:r>
    </w:p>
    <w:p w14:paraId="76314499">
      <w:pPr>
        <w:spacing w:before="79" w:line="212" w:lineRule="auto"/>
        <w:ind w:left="530"/>
        <w:rPr>
          <w:rFonts w:ascii="楷体" w:hAnsi="楷体" w:eastAsia="楷体" w:cs="楷体"/>
          <w:sz w:val="24"/>
          <w:szCs w:val="24"/>
        </w:rPr>
      </w:pPr>
      <w:r>
        <w:rPr>
          <w:rFonts w:ascii="楷体" w:hAnsi="楷体" w:eastAsia="楷体" w:cs="楷体"/>
          <w:spacing w:val="20"/>
          <w:sz w:val="24"/>
          <w:szCs w:val="24"/>
        </w:rPr>
        <w:t>6.</w:t>
      </w:r>
      <w:r>
        <w:rPr>
          <w:rFonts w:ascii="Times New Roman" w:hAnsi="Times New Roman" w:eastAsia="Times New Roman" w:cs="Times New Roman"/>
          <w:spacing w:val="20"/>
          <w:sz w:val="24"/>
          <w:szCs w:val="24"/>
        </w:rPr>
        <w:t>X  (</w:t>
      </w:r>
      <w:r>
        <w:rPr>
          <w:rFonts w:ascii="Times New Roman" w:hAnsi="Times New Roman" w:eastAsia="Times New Roman" w:cs="Times New Roman"/>
          <w:spacing w:val="32"/>
          <w:sz w:val="24"/>
          <w:szCs w:val="24"/>
        </w:rPr>
        <w:t xml:space="preserve"> </w:t>
      </w:r>
      <w:r>
        <w:rPr>
          <w:rFonts w:ascii="楷体" w:hAnsi="楷体" w:eastAsia="楷体" w:cs="楷体"/>
          <w:spacing w:val="20"/>
          <w:sz w:val="24"/>
          <w:szCs w:val="24"/>
        </w:rPr>
        <w:t>存在的问题</w:t>
      </w:r>
      <w:r>
        <w:rPr>
          <w:rFonts w:ascii="楷体" w:hAnsi="楷体" w:eastAsia="楷体" w:cs="楷体"/>
          <w:spacing w:val="-59"/>
          <w:sz w:val="24"/>
          <w:szCs w:val="24"/>
        </w:rPr>
        <w:t xml:space="preserve"> </w:t>
      </w:r>
      <w:r>
        <w:rPr>
          <w:rFonts w:ascii="Times New Roman" w:hAnsi="Times New Roman" w:eastAsia="Times New Roman" w:cs="Times New Roman"/>
          <w:spacing w:val="20"/>
          <w:sz w:val="24"/>
          <w:szCs w:val="24"/>
        </w:rPr>
        <w:t>X)</w:t>
      </w:r>
      <w:r>
        <w:rPr>
          <w:rFonts w:ascii="Times New Roman" w:hAnsi="Times New Roman" w:eastAsia="Times New Roman" w:cs="Times New Roman"/>
          <w:spacing w:val="39"/>
          <w:sz w:val="24"/>
          <w:szCs w:val="24"/>
        </w:rPr>
        <w:t xml:space="preserve"> </w:t>
      </w:r>
      <w:r>
        <w:rPr>
          <w:rFonts w:ascii="楷体" w:hAnsi="楷体" w:eastAsia="楷体" w:cs="楷体"/>
          <w:spacing w:val="20"/>
          <w:sz w:val="24"/>
          <w:szCs w:val="24"/>
        </w:rPr>
        <w:t>改进建议</w:t>
      </w:r>
    </w:p>
    <w:p w14:paraId="48628F82">
      <w:pPr>
        <w:spacing w:before="148" w:line="224" w:lineRule="auto"/>
        <w:ind w:left="530"/>
        <w:rPr>
          <w:rFonts w:ascii="楷体" w:hAnsi="楷体" w:eastAsia="楷体" w:cs="楷体"/>
          <w:sz w:val="24"/>
          <w:szCs w:val="24"/>
        </w:rPr>
      </w:pPr>
      <w:r>
        <w:rPr>
          <w:rFonts w:ascii="Times New Roman" w:hAnsi="Times New Roman" w:eastAsia="Times New Roman" w:cs="Times New Roman"/>
          <w:spacing w:val="28"/>
          <w:sz w:val="24"/>
          <w:szCs w:val="24"/>
        </w:rPr>
        <w:t>7</w:t>
      </w:r>
      <w:r>
        <w:rPr>
          <w:rFonts w:ascii="Times New Roman" w:hAnsi="Times New Roman" w:eastAsia="Times New Roman" w:cs="Times New Roman"/>
          <w:spacing w:val="14"/>
          <w:sz w:val="24"/>
          <w:szCs w:val="24"/>
        </w:rPr>
        <w:t xml:space="preserve">  </w:t>
      </w:r>
      <w:r>
        <w:rPr>
          <w:rFonts w:ascii="楷体" w:hAnsi="楷体" w:eastAsia="楷体" w:cs="楷体"/>
          <w:spacing w:val="28"/>
          <w:sz w:val="24"/>
          <w:szCs w:val="24"/>
        </w:rPr>
        <w:t>试验照片</w:t>
      </w:r>
    </w:p>
    <w:p w14:paraId="7121C8C6">
      <w:pPr>
        <w:spacing w:before="127" w:line="223" w:lineRule="auto"/>
        <w:ind w:left="530"/>
        <w:rPr>
          <w:rFonts w:ascii="楷体" w:hAnsi="楷体" w:eastAsia="楷体" w:cs="楷体"/>
          <w:sz w:val="24"/>
          <w:szCs w:val="24"/>
        </w:rPr>
      </w:pPr>
      <w:r>
        <w:rPr>
          <w:rFonts w:ascii="Times New Roman" w:hAnsi="Times New Roman" w:eastAsia="Times New Roman" w:cs="Times New Roman"/>
          <w:spacing w:val="21"/>
          <w:sz w:val="24"/>
          <w:szCs w:val="24"/>
        </w:rPr>
        <w:t>7.1</w:t>
      </w:r>
      <w:r>
        <w:rPr>
          <w:rFonts w:ascii="Times New Roman" w:hAnsi="Times New Roman" w:eastAsia="Times New Roman" w:cs="Times New Roman"/>
          <w:spacing w:val="5"/>
          <w:sz w:val="24"/>
          <w:szCs w:val="24"/>
        </w:rPr>
        <w:t xml:space="preserve">    </w:t>
      </w:r>
      <w:r>
        <w:rPr>
          <w:rFonts w:ascii="楷体" w:hAnsi="楷体" w:eastAsia="楷体" w:cs="楷体"/>
          <w:spacing w:val="21"/>
          <w:sz w:val="24"/>
          <w:szCs w:val="24"/>
        </w:rPr>
        <w:t>试验样品的全貌、主要侧面照片</w:t>
      </w:r>
    </w:p>
    <w:p w14:paraId="34AE5377">
      <w:pPr>
        <w:spacing w:before="83" w:line="224" w:lineRule="auto"/>
        <w:ind w:left="530"/>
        <w:rPr>
          <w:rFonts w:ascii="楷体" w:hAnsi="楷体" w:eastAsia="楷体" w:cs="楷体"/>
          <w:sz w:val="28"/>
          <w:szCs w:val="28"/>
        </w:rPr>
      </w:pPr>
      <w:r>
        <w:rPr>
          <w:rFonts w:ascii="Times New Roman" w:hAnsi="Times New Roman" w:eastAsia="Times New Roman" w:cs="Times New Roman"/>
          <w:spacing w:val="-2"/>
          <w:sz w:val="28"/>
          <w:szCs w:val="28"/>
        </w:rPr>
        <w:t xml:space="preserve">7.2   </w:t>
      </w:r>
      <w:r>
        <w:rPr>
          <w:rFonts w:ascii="楷体" w:hAnsi="楷体" w:eastAsia="楷体" w:cs="楷体"/>
          <w:spacing w:val="-2"/>
          <w:sz w:val="28"/>
          <w:szCs w:val="28"/>
        </w:rPr>
        <w:t>主要试验项目照片</w:t>
      </w:r>
    </w:p>
    <w:p w14:paraId="64D9401E">
      <w:pPr>
        <w:spacing w:before="139" w:line="224" w:lineRule="auto"/>
        <w:ind w:left="530"/>
        <w:rPr>
          <w:rFonts w:ascii="楷体" w:hAnsi="楷体" w:eastAsia="楷体" w:cs="楷体"/>
          <w:sz w:val="24"/>
          <w:szCs w:val="24"/>
        </w:rPr>
      </w:pPr>
      <w:r>
        <w:rPr>
          <w:rFonts w:ascii="Times New Roman" w:hAnsi="Times New Roman" w:eastAsia="Times New Roman" w:cs="Times New Roman"/>
          <w:spacing w:val="30"/>
          <w:sz w:val="24"/>
          <w:szCs w:val="24"/>
        </w:rPr>
        <w:t>7.3</w:t>
      </w:r>
      <w:r>
        <w:rPr>
          <w:rFonts w:ascii="Times New Roman" w:hAnsi="Times New Roman" w:eastAsia="Times New Roman" w:cs="Times New Roman"/>
          <w:spacing w:val="7"/>
          <w:sz w:val="24"/>
          <w:szCs w:val="24"/>
        </w:rPr>
        <w:t xml:space="preserve">    </w:t>
      </w:r>
      <w:r>
        <w:rPr>
          <w:rFonts w:ascii="楷体" w:hAnsi="楷体" w:eastAsia="楷体" w:cs="楷体"/>
          <w:spacing w:val="30"/>
          <w:sz w:val="24"/>
          <w:szCs w:val="24"/>
        </w:rPr>
        <w:t>试验中发生的重大技术问题的特写照片</w:t>
      </w:r>
    </w:p>
    <w:p w14:paraId="3BF89786">
      <w:pPr>
        <w:spacing w:before="110" w:line="226" w:lineRule="auto"/>
        <w:ind w:left="530"/>
        <w:rPr>
          <w:rFonts w:ascii="楷体" w:hAnsi="楷体" w:eastAsia="楷体" w:cs="楷体"/>
          <w:sz w:val="24"/>
          <w:szCs w:val="24"/>
        </w:rPr>
      </w:pPr>
      <w:r>
        <w:rPr>
          <w:rFonts w:ascii="Times New Roman" w:hAnsi="Times New Roman" w:eastAsia="Times New Roman" w:cs="Times New Roman"/>
          <w:spacing w:val="31"/>
          <w:sz w:val="24"/>
          <w:szCs w:val="24"/>
        </w:rPr>
        <w:t>8</w:t>
      </w:r>
      <w:r>
        <w:rPr>
          <w:rFonts w:ascii="Times New Roman" w:hAnsi="Times New Roman" w:eastAsia="Times New Roman" w:cs="Times New Roman"/>
          <w:spacing w:val="29"/>
          <w:w w:val="101"/>
          <w:sz w:val="24"/>
          <w:szCs w:val="24"/>
        </w:rPr>
        <w:t xml:space="preserve">  </w:t>
      </w:r>
      <w:r>
        <w:rPr>
          <w:rFonts w:ascii="楷体" w:hAnsi="楷体" w:eastAsia="楷体" w:cs="楷体"/>
          <w:spacing w:val="31"/>
          <w:sz w:val="24"/>
          <w:szCs w:val="24"/>
        </w:rPr>
        <w:t>主要试验项目的实时音像资料</w:t>
      </w:r>
    </w:p>
    <w:p w14:paraId="4E552596">
      <w:pPr>
        <w:spacing w:line="345" w:lineRule="auto"/>
        <w:rPr>
          <w:rFonts w:ascii="Arial"/>
          <w:sz w:val="21"/>
        </w:rPr>
      </w:pPr>
    </w:p>
    <w:p w14:paraId="49DEF2A3">
      <w:pPr>
        <w:pStyle w:val="2"/>
        <w:spacing w:before="118" w:line="218" w:lineRule="auto"/>
        <w:ind w:left="2030"/>
        <w:outlineLvl w:val="1"/>
        <w:rPr>
          <w:sz w:val="36"/>
          <w:szCs w:val="36"/>
        </w:rPr>
      </w:pPr>
      <w:r>
        <w:rPr>
          <w:rFonts w:ascii="Times New Roman" w:hAnsi="Times New Roman" w:eastAsia="Times New Roman" w:cs="Times New Roman"/>
          <w:b/>
          <w:bCs/>
          <w:spacing w:val="7"/>
          <w:sz w:val="36"/>
          <w:szCs w:val="36"/>
        </w:rPr>
        <w:t xml:space="preserve">13.11    </w:t>
      </w:r>
      <w:r>
        <w:rPr>
          <w:b/>
          <w:bCs/>
          <w:spacing w:val="7"/>
          <w:sz w:val="36"/>
          <w:szCs w:val="36"/>
        </w:rPr>
        <w:t>电磁兼容性综合评价报告</w:t>
      </w:r>
    </w:p>
    <w:p w14:paraId="6C4D4CAD">
      <w:pPr>
        <w:spacing w:line="330" w:lineRule="auto"/>
        <w:rPr>
          <w:rFonts w:ascii="Arial"/>
          <w:sz w:val="21"/>
        </w:rPr>
      </w:pPr>
    </w:p>
    <w:p w14:paraId="764ED67A">
      <w:pPr>
        <w:pStyle w:val="2"/>
        <w:spacing w:before="91" w:line="223" w:lineRule="auto"/>
        <w:ind w:left="53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GJB/Z</w:t>
      </w:r>
      <w:r>
        <w:rPr>
          <w:rFonts w:ascii="Times New Roman" w:hAnsi="Times New Roman" w:eastAsia="Times New Roman" w:cs="Times New Roman"/>
          <w:spacing w:val="32"/>
          <w:sz w:val="28"/>
          <w:szCs w:val="28"/>
        </w:rPr>
        <w:t xml:space="preserve"> </w:t>
      </w:r>
      <w:r>
        <w:rPr>
          <w:rFonts w:ascii="Times New Roman" w:hAnsi="Times New Roman" w:eastAsia="Times New Roman" w:cs="Times New Roman"/>
          <w:spacing w:val="-9"/>
          <w:sz w:val="28"/>
          <w:szCs w:val="28"/>
        </w:rPr>
        <w:t>17—1991</w:t>
      </w:r>
      <w:r>
        <w:rPr>
          <w:spacing w:val="-9"/>
          <w:sz w:val="28"/>
          <w:szCs w:val="28"/>
        </w:rPr>
        <w:t>《</w:t>
      </w:r>
      <w:r>
        <w:rPr>
          <w:rFonts w:ascii="楷体" w:hAnsi="楷体" w:eastAsia="楷体" w:cs="楷体"/>
          <w:spacing w:val="-9"/>
          <w:sz w:val="28"/>
          <w:szCs w:val="28"/>
        </w:rPr>
        <w:t>军用装备电磁兼容性管理指南》编写。</w:t>
      </w:r>
    </w:p>
    <w:p w14:paraId="7A54C56F">
      <w:pPr>
        <w:spacing w:before="105"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0EDA67F1">
      <w:pPr>
        <w:spacing w:before="92"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8"/>
          <w:sz w:val="27"/>
          <w:szCs w:val="27"/>
        </w:rPr>
        <w:t xml:space="preserve">  </w:t>
      </w:r>
      <w:r>
        <w:rPr>
          <w:rFonts w:ascii="黑体" w:hAnsi="黑体" w:eastAsia="黑体" w:cs="黑体"/>
          <w:b/>
          <w:bCs/>
          <w:spacing w:val="-3"/>
          <w:sz w:val="27"/>
          <w:szCs w:val="27"/>
        </w:rPr>
        <w:t>引用文件</w:t>
      </w:r>
    </w:p>
    <w:p w14:paraId="78E6464F">
      <w:pPr>
        <w:spacing w:before="95" w:line="222" w:lineRule="auto"/>
        <w:rPr>
          <w:rFonts w:ascii="黑体" w:hAnsi="黑体" w:eastAsia="黑体" w:cs="黑体"/>
          <w:sz w:val="27"/>
          <w:szCs w:val="27"/>
        </w:rPr>
      </w:pPr>
      <w:r>
        <w:rPr>
          <w:rFonts w:ascii="黑体" w:hAnsi="黑体" w:eastAsia="黑体" w:cs="黑体"/>
          <w:spacing w:val="-2"/>
          <w:sz w:val="27"/>
          <w:szCs w:val="27"/>
        </w:rPr>
        <w:t>3</w:t>
      </w:r>
      <w:r>
        <w:rPr>
          <w:rFonts w:ascii="黑体" w:hAnsi="黑体" w:eastAsia="黑体" w:cs="黑体"/>
          <w:spacing w:val="24"/>
          <w:sz w:val="27"/>
          <w:szCs w:val="27"/>
        </w:rPr>
        <w:t xml:space="preserve">  </w:t>
      </w:r>
      <w:r>
        <w:rPr>
          <w:rFonts w:ascii="黑体" w:hAnsi="黑体" w:eastAsia="黑体" w:cs="黑体"/>
          <w:b/>
          <w:bCs/>
          <w:spacing w:val="-2"/>
          <w:sz w:val="27"/>
          <w:szCs w:val="27"/>
        </w:rPr>
        <w:t>电磁环境条件</w:t>
      </w:r>
    </w:p>
    <w:p w14:paraId="7CE97D6F">
      <w:pPr>
        <w:pStyle w:val="2"/>
        <w:spacing w:before="89" w:line="219" w:lineRule="auto"/>
        <w:ind w:left="530"/>
      </w:pPr>
      <w:r>
        <w:rPr>
          <w:spacing w:val="-2"/>
        </w:rPr>
        <w:t>简要描述产品(系统、分系统或设备)所处的电</w:t>
      </w:r>
      <w:r>
        <w:rPr>
          <w:spacing w:val="-3"/>
        </w:rPr>
        <w:t>磁环境。</w:t>
      </w:r>
    </w:p>
    <w:p w14:paraId="1EECE104">
      <w:pPr>
        <w:spacing w:before="126" w:line="222" w:lineRule="auto"/>
        <w:rPr>
          <w:rFonts w:ascii="黑体" w:hAnsi="黑体" w:eastAsia="黑体" w:cs="黑体"/>
          <w:sz w:val="27"/>
          <w:szCs w:val="27"/>
        </w:rPr>
      </w:pPr>
      <w:r>
        <w:rPr>
          <w:rFonts w:ascii="黑体" w:hAnsi="黑体" w:eastAsia="黑体" w:cs="黑体"/>
          <w:spacing w:val="-4"/>
          <w:sz w:val="27"/>
          <w:szCs w:val="27"/>
        </w:rPr>
        <w:t>4</w:t>
      </w:r>
      <w:r>
        <w:rPr>
          <w:rFonts w:ascii="黑体" w:hAnsi="黑体" w:eastAsia="黑体" w:cs="黑体"/>
          <w:spacing w:val="23"/>
          <w:sz w:val="27"/>
          <w:szCs w:val="27"/>
        </w:rPr>
        <w:t xml:space="preserve">  </w:t>
      </w:r>
      <w:r>
        <w:rPr>
          <w:rFonts w:ascii="黑体" w:hAnsi="黑体" w:eastAsia="黑体" w:cs="黑体"/>
          <w:b/>
          <w:bCs/>
          <w:spacing w:val="-4"/>
          <w:sz w:val="27"/>
          <w:szCs w:val="27"/>
        </w:rPr>
        <w:t>电磁兼容性要求</w:t>
      </w:r>
    </w:p>
    <w:p w14:paraId="45B8C6A8">
      <w:pPr>
        <w:pStyle w:val="2"/>
        <w:spacing w:before="97" w:line="216" w:lineRule="auto"/>
        <w:ind w:left="530"/>
      </w:pPr>
      <w:r>
        <w:rPr>
          <w:spacing w:val="-12"/>
        </w:rPr>
        <w:t>依据《研制总要求》或《电磁兼容性要求》,简要描述电磁兼</w:t>
      </w:r>
      <w:r>
        <w:rPr>
          <w:spacing w:val="-13"/>
        </w:rPr>
        <w:t>容性要求。</w:t>
      </w:r>
    </w:p>
    <w:p w14:paraId="65F6DBD4">
      <w:pPr>
        <w:spacing w:before="113" w:line="222" w:lineRule="auto"/>
        <w:rPr>
          <w:rFonts w:ascii="黑体" w:hAnsi="黑体" w:eastAsia="黑体" w:cs="黑体"/>
          <w:sz w:val="27"/>
          <w:szCs w:val="27"/>
        </w:rPr>
      </w:pPr>
      <w:r>
        <w:rPr>
          <w:rFonts w:ascii="黑体" w:hAnsi="黑体" w:eastAsia="黑体" w:cs="黑体"/>
          <w:spacing w:val="-2"/>
          <w:sz w:val="27"/>
          <w:szCs w:val="27"/>
        </w:rPr>
        <w:t>5</w:t>
      </w:r>
      <w:r>
        <w:rPr>
          <w:rFonts w:ascii="黑体" w:hAnsi="黑体" w:eastAsia="黑体" w:cs="黑体"/>
          <w:spacing w:val="25"/>
          <w:sz w:val="27"/>
          <w:szCs w:val="27"/>
        </w:rPr>
        <w:t xml:space="preserve">  </w:t>
      </w:r>
      <w:r>
        <w:rPr>
          <w:rFonts w:ascii="黑体" w:hAnsi="黑体" w:eastAsia="黑体" w:cs="黑体"/>
          <w:b/>
          <w:bCs/>
          <w:spacing w:val="-2"/>
          <w:sz w:val="27"/>
          <w:szCs w:val="27"/>
        </w:rPr>
        <w:t>电磁兼容性设计准则</w:t>
      </w:r>
    </w:p>
    <w:p w14:paraId="2B7A736A">
      <w:pPr>
        <w:pStyle w:val="2"/>
        <w:spacing w:before="79" w:line="219" w:lineRule="auto"/>
        <w:ind w:left="530"/>
      </w:pPr>
      <w:r>
        <w:rPr>
          <w:spacing w:val="3"/>
        </w:rPr>
        <w:t>简要描述研制过程中制定的电磁兼容性设计准则。</w:t>
      </w:r>
    </w:p>
    <w:p w14:paraId="3D6606A9">
      <w:pPr>
        <w:spacing w:before="105" w:line="221" w:lineRule="auto"/>
        <w:rPr>
          <w:rFonts w:ascii="黑体" w:hAnsi="黑体" w:eastAsia="黑体" w:cs="黑体"/>
          <w:sz w:val="27"/>
          <w:szCs w:val="27"/>
        </w:rPr>
      </w:pPr>
      <w:r>
        <w:rPr>
          <w:rFonts w:ascii="黑体" w:hAnsi="黑体" w:eastAsia="黑体" w:cs="黑体"/>
          <w:spacing w:val="-3"/>
          <w:sz w:val="27"/>
          <w:szCs w:val="27"/>
        </w:rPr>
        <w:t>6</w:t>
      </w:r>
      <w:r>
        <w:rPr>
          <w:rFonts w:ascii="黑体" w:hAnsi="黑体" w:eastAsia="黑体" w:cs="黑体"/>
          <w:spacing w:val="33"/>
          <w:sz w:val="27"/>
          <w:szCs w:val="27"/>
        </w:rPr>
        <w:t xml:space="preserve">  </w:t>
      </w:r>
      <w:r>
        <w:rPr>
          <w:rFonts w:ascii="黑体" w:hAnsi="黑体" w:eastAsia="黑体" w:cs="黑体"/>
          <w:b/>
          <w:bCs/>
          <w:spacing w:val="-3"/>
          <w:sz w:val="27"/>
          <w:szCs w:val="27"/>
        </w:rPr>
        <w:t>电磁兼容性设计方案</w:t>
      </w:r>
    </w:p>
    <w:p w14:paraId="4B355E7F">
      <w:pPr>
        <w:spacing w:before="136" w:line="221" w:lineRule="auto"/>
        <w:rPr>
          <w:rFonts w:ascii="黑体" w:hAnsi="黑体" w:eastAsia="黑体" w:cs="黑体"/>
          <w:sz w:val="24"/>
          <w:szCs w:val="24"/>
        </w:rPr>
      </w:pPr>
      <w:r>
        <w:rPr>
          <w:rFonts w:ascii="黑体" w:hAnsi="黑体" w:eastAsia="黑体" w:cs="黑体"/>
          <w:spacing w:val="27"/>
          <w:sz w:val="24"/>
          <w:szCs w:val="24"/>
        </w:rPr>
        <w:t>6</w:t>
      </w:r>
      <w:r>
        <w:rPr>
          <w:rFonts w:ascii="黑体" w:hAnsi="黑体" w:eastAsia="黑体" w:cs="黑体"/>
          <w:b/>
          <w:bCs/>
          <w:spacing w:val="27"/>
          <w:sz w:val="24"/>
          <w:szCs w:val="24"/>
        </w:rPr>
        <w:t>.1</w:t>
      </w:r>
      <w:r>
        <w:rPr>
          <w:rFonts w:ascii="黑体" w:hAnsi="黑体" w:eastAsia="黑体" w:cs="黑体"/>
          <w:spacing w:val="43"/>
          <w:sz w:val="24"/>
          <w:szCs w:val="24"/>
        </w:rPr>
        <w:t xml:space="preserve">  </w:t>
      </w:r>
      <w:r>
        <w:rPr>
          <w:rFonts w:ascii="黑体" w:hAnsi="黑体" w:eastAsia="黑体" w:cs="黑体"/>
          <w:b/>
          <w:bCs/>
          <w:spacing w:val="27"/>
          <w:sz w:val="24"/>
          <w:szCs w:val="24"/>
        </w:rPr>
        <w:t>分系统或设备的关键类别</w:t>
      </w:r>
    </w:p>
    <w:p w14:paraId="7144E064">
      <w:pPr>
        <w:pStyle w:val="2"/>
        <w:spacing w:before="110" w:line="278" w:lineRule="auto"/>
        <w:ind w:firstLine="530"/>
      </w:pPr>
      <w:r>
        <w:rPr>
          <w:spacing w:val="-2"/>
        </w:rPr>
        <w:t>说明分系统或设备在工作分解结构中所处的</w:t>
      </w:r>
      <w:r>
        <w:rPr>
          <w:spacing w:val="-3"/>
        </w:rPr>
        <w:t>位置，按照研制总要求或《电磁</w:t>
      </w:r>
      <w:r>
        <w:t xml:space="preserve"> </w:t>
      </w:r>
      <w:r>
        <w:rPr>
          <w:spacing w:val="-3"/>
        </w:rPr>
        <w:t>兼容性要求》,说明分系统或设备的关键类别。</w:t>
      </w:r>
    </w:p>
    <w:p w14:paraId="7A9AFB39">
      <w:pPr>
        <w:spacing w:before="30" w:line="221" w:lineRule="auto"/>
        <w:rPr>
          <w:rFonts w:ascii="黑体" w:hAnsi="黑体" w:eastAsia="黑体" w:cs="黑体"/>
          <w:sz w:val="27"/>
          <w:szCs w:val="27"/>
        </w:rPr>
      </w:pPr>
      <w:r>
        <w:rPr>
          <w:rFonts w:ascii="黑体" w:hAnsi="黑体" w:eastAsia="黑体" w:cs="黑体"/>
          <w:sz w:val="27"/>
          <w:szCs w:val="27"/>
        </w:rPr>
        <w:t>6.2</w:t>
      </w:r>
      <w:r>
        <w:rPr>
          <w:rFonts w:ascii="黑体" w:hAnsi="黑体" w:eastAsia="黑体" w:cs="黑体"/>
          <w:spacing w:val="14"/>
          <w:sz w:val="27"/>
          <w:szCs w:val="27"/>
        </w:rPr>
        <w:t xml:space="preserve">  </w:t>
      </w:r>
      <w:r>
        <w:rPr>
          <w:rFonts w:ascii="黑体" w:hAnsi="黑体" w:eastAsia="黑体" w:cs="黑体"/>
          <w:b/>
          <w:bCs/>
          <w:sz w:val="27"/>
          <w:szCs w:val="27"/>
        </w:rPr>
        <w:t>性能降级准则</w:t>
      </w:r>
    </w:p>
    <w:p w14:paraId="5CEE58ED">
      <w:pPr>
        <w:pStyle w:val="2"/>
        <w:spacing w:before="100" w:line="290" w:lineRule="auto"/>
        <w:ind w:right="9" w:firstLine="530"/>
      </w:pPr>
      <w:r>
        <w:rPr>
          <w:spacing w:val="1"/>
        </w:rPr>
        <w:t>按照研制总要求或《电磁兼容性要求》,说明供需双方协调提出的分系统和</w:t>
      </w:r>
      <w:r>
        <w:rPr>
          <w:spacing w:val="12"/>
        </w:rPr>
        <w:t xml:space="preserve"> </w:t>
      </w:r>
      <w:r>
        <w:rPr>
          <w:spacing w:val="-3"/>
        </w:rPr>
        <w:t>设备性能的降级准则，用以规定和评定故障、不允许的响应和不希望有的响应。</w:t>
      </w:r>
    </w:p>
    <w:p w14:paraId="26C6C869">
      <w:pPr>
        <w:spacing w:before="1" w:line="222" w:lineRule="auto"/>
        <w:rPr>
          <w:rFonts w:ascii="黑体" w:hAnsi="黑体" w:eastAsia="黑体" w:cs="黑体"/>
          <w:sz w:val="25"/>
          <w:szCs w:val="25"/>
        </w:rPr>
      </w:pPr>
      <w:r>
        <w:rPr>
          <w:rFonts w:ascii="黑体" w:hAnsi="黑体" w:eastAsia="黑体" w:cs="黑体"/>
          <w:spacing w:val="12"/>
          <w:sz w:val="25"/>
          <w:szCs w:val="25"/>
        </w:rPr>
        <w:t>6.3</w:t>
      </w:r>
      <w:r>
        <w:rPr>
          <w:rFonts w:ascii="黑体" w:hAnsi="黑体" w:eastAsia="黑体" w:cs="黑体"/>
          <w:spacing w:val="40"/>
          <w:sz w:val="25"/>
          <w:szCs w:val="25"/>
        </w:rPr>
        <w:t xml:space="preserve">  </w:t>
      </w:r>
      <w:r>
        <w:rPr>
          <w:rFonts w:ascii="黑体" w:hAnsi="黑体" w:eastAsia="黑体" w:cs="黑体"/>
          <w:b/>
          <w:bCs/>
          <w:spacing w:val="12"/>
          <w:sz w:val="25"/>
          <w:szCs w:val="25"/>
        </w:rPr>
        <w:t>安全系数</w:t>
      </w:r>
    </w:p>
    <w:p w14:paraId="14AAB732">
      <w:pPr>
        <w:pStyle w:val="2"/>
        <w:spacing w:before="104" w:line="219" w:lineRule="auto"/>
        <w:ind w:left="530"/>
      </w:pPr>
      <w:r>
        <w:rPr>
          <w:spacing w:val="3"/>
        </w:rPr>
        <w:t>说明经过使用方认可和试验验证的安全系数。</w:t>
      </w:r>
    </w:p>
    <w:p w14:paraId="4DD5C7CE">
      <w:pPr>
        <w:spacing w:before="104" w:line="222" w:lineRule="auto"/>
        <w:rPr>
          <w:rFonts w:ascii="黑体" w:hAnsi="黑体" w:eastAsia="黑体" w:cs="黑体"/>
          <w:sz w:val="27"/>
          <w:szCs w:val="27"/>
        </w:rPr>
      </w:pPr>
      <w:r>
        <w:rPr>
          <w:rFonts w:ascii="黑体" w:hAnsi="黑体" w:eastAsia="黑体" w:cs="黑体"/>
          <w:sz w:val="27"/>
          <w:szCs w:val="27"/>
        </w:rPr>
        <w:t>6.4</w:t>
      </w:r>
      <w:r>
        <w:rPr>
          <w:rFonts w:ascii="黑体" w:hAnsi="黑体" w:eastAsia="黑体" w:cs="黑体"/>
          <w:spacing w:val="14"/>
          <w:sz w:val="27"/>
          <w:szCs w:val="27"/>
        </w:rPr>
        <w:t xml:space="preserve">  </w:t>
      </w:r>
      <w:r>
        <w:rPr>
          <w:rFonts w:ascii="黑体" w:hAnsi="黑体" w:eastAsia="黑体" w:cs="黑体"/>
          <w:b/>
          <w:bCs/>
          <w:sz w:val="27"/>
          <w:szCs w:val="27"/>
        </w:rPr>
        <w:t>干扰与敏感度控制</w:t>
      </w:r>
    </w:p>
    <w:p w14:paraId="4E815C51">
      <w:pPr>
        <w:pStyle w:val="2"/>
        <w:spacing w:before="99" w:line="219" w:lineRule="auto"/>
        <w:ind w:left="530"/>
      </w:pPr>
      <w:r>
        <w:rPr>
          <w:spacing w:val="3"/>
        </w:rPr>
        <w:t>描述采取的干扰与敏感度控制措施及其效果。</w:t>
      </w:r>
    </w:p>
    <w:p w14:paraId="1988FDA4">
      <w:pPr>
        <w:spacing w:line="219" w:lineRule="auto"/>
        <w:sectPr>
          <w:footerReference r:id="rId619" w:type="default"/>
          <w:pgSz w:w="11910" w:h="17130"/>
          <w:pgMar w:top="1456" w:right="778" w:bottom="1703" w:left="1769" w:header="0" w:footer="1504" w:gutter="0"/>
          <w:cols w:space="720" w:num="1"/>
        </w:sectPr>
      </w:pPr>
    </w:p>
    <w:p w14:paraId="02475180">
      <w:pPr>
        <w:spacing w:before="55" w:line="219" w:lineRule="auto"/>
        <w:rPr>
          <w:rFonts w:ascii="黑体" w:hAnsi="黑体" w:eastAsia="黑体" w:cs="黑体"/>
          <w:sz w:val="27"/>
          <w:szCs w:val="27"/>
        </w:rPr>
      </w:pPr>
      <w:r>
        <w:rPr>
          <w:rFonts w:ascii="黑体" w:hAnsi="黑体" w:eastAsia="黑体" w:cs="黑体"/>
          <w:sz w:val="27"/>
          <w:szCs w:val="27"/>
        </w:rPr>
        <w:t>6.5</w:t>
      </w:r>
      <w:r>
        <w:rPr>
          <w:rFonts w:ascii="黑体" w:hAnsi="黑体" w:eastAsia="黑体" w:cs="黑体"/>
          <w:spacing w:val="16"/>
          <w:sz w:val="27"/>
          <w:szCs w:val="27"/>
        </w:rPr>
        <w:t xml:space="preserve">  </w:t>
      </w:r>
      <w:r>
        <w:rPr>
          <w:rFonts w:ascii="黑体" w:hAnsi="黑体" w:eastAsia="黑体" w:cs="黑体"/>
          <w:sz w:val="27"/>
          <w:szCs w:val="27"/>
        </w:rPr>
        <w:t>电线和电缆布线</w:t>
      </w:r>
    </w:p>
    <w:p w14:paraId="69E660E6">
      <w:pPr>
        <w:pStyle w:val="2"/>
        <w:spacing w:before="81" w:line="219" w:lineRule="auto"/>
        <w:ind w:left="550"/>
      </w:pPr>
      <w:r>
        <w:rPr>
          <w:spacing w:val="4"/>
        </w:rPr>
        <w:t>描述采取的电线和电缆布线设计措施及其效果。</w:t>
      </w:r>
    </w:p>
    <w:p w14:paraId="4E308FE6">
      <w:pPr>
        <w:spacing w:before="117" w:line="221" w:lineRule="auto"/>
        <w:rPr>
          <w:rFonts w:ascii="黑体" w:hAnsi="黑体" w:eastAsia="黑体" w:cs="黑体"/>
          <w:sz w:val="24"/>
          <w:szCs w:val="24"/>
        </w:rPr>
      </w:pPr>
      <w:r>
        <w:rPr>
          <w:rFonts w:ascii="黑体" w:hAnsi="黑体" w:eastAsia="黑体" w:cs="黑体"/>
          <w:spacing w:val="-6"/>
          <w:sz w:val="24"/>
          <w:szCs w:val="24"/>
        </w:rPr>
        <w:t>6.6   电</w:t>
      </w:r>
      <w:r>
        <w:rPr>
          <w:rFonts w:ascii="黑体" w:hAnsi="黑体" w:eastAsia="黑体" w:cs="黑体"/>
          <w:spacing w:val="-36"/>
          <w:sz w:val="24"/>
          <w:szCs w:val="24"/>
        </w:rPr>
        <w:t xml:space="preserve"> </w:t>
      </w:r>
      <w:r>
        <w:rPr>
          <w:rFonts w:ascii="黑体" w:hAnsi="黑体" w:eastAsia="黑体" w:cs="黑体"/>
          <w:spacing w:val="-6"/>
          <w:sz w:val="24"/>
          <w:szCs w:val="24"/>
        </w:rPr>
        <w:t>源</w:t>
      </w:r>
    </w:p>
    <w:p w14:paraId="6F987048">
      <w:pPr>
        <w:pStyle w:val="2"/>
        <w:spacing w:before="113" w:line="219" w:lineRule="auto"/>
        <w:ind w:left="550"/>
        <w:rPr>
          <w:sz w:val="24"/>
          <w:szCs w:val="24"/>
        </w:rPr>
      </w:pPr>
      <w:r>
        <w:rPr>
          <w:spacing w:val="33"/>
          <w:sz w:val="24"/>
          <w:szCs w:val="24"/>
        </w:rPr>
        <w:t>描述采取的电源设计措施及其效果。</w:t>
      </w:r>
    </w:p>
    <w:p w14:paraId="1137CD70">
      <w:pPr>
        <w:spacing w:before="78" w:line="222" w:lineRule="auto"/>
        <w:rPr>
          <w:rFonts w:ascii="黑体" w:hAnsi="黑体" w:eastAsia="黑体" w:cs="黑体"/>
          <w:sz w:val="27"/>
          <w:szCs w:val="27"/>
        </w:rPr>
      </w:pPr>
      <w:r>
        <w:rPr>
          <w:rFonts w:ascii="黑体" w:hAnsi="黑体" w:eastAsia="黑体" w:cs="黑体"/>
          <w:sz w:val="27"/>
          <w:szCs w:val="27"/>
        </w:rPr>
        <w:t>6.7</w:t>
      </w:r>
      <w:r>
        <w:rPr>
          <w:rFonts w:ascii="黑体" w:hAnsi="黑体" w:eastAsia="黑体" w:cs="黑体"/>
          <w:spacing w:val="19"/>
          <w:sz w:val="27"/>
          <w:szCs w:val="27"/>
        </w:rPr>
        <w:t xml:space="preserve">  </w:t>
      </w:r>
      <w:r>
        <w:rPr>
          <w:rFonts w:ascii="黑体" w:hAnsi="黑体" w:eastAsia="黑体" w:cs="黑体"/>
          <w:sz w:val="27"/>
          <w:szCs w:val="27"/>
        </w:rPr>
        <w:t>尖峰信号</w:t>
      </w:r>
    </w:p>
    <w:p w14:paraId="3F2949D6">
      <w:pPr>
        <w:pStyle w:val="2"/>
        <w:spacing w:before="94" w:line="219" w:lineRule="auto"/>
        <w:ind w:left="550"/>
      </w:pPr>
      <w:r>
        <w:rPr>
          <w:spacing w:val="4"/>
        </w:rPr>
        <w:t>描述采取的尖峰信号控制措施及其效果。</w:t>
      </w:r>
    </w:p>
    <w:p w14:paraId="122CCE95">
      <w:pPr>
        <w:spacing w:before="81" w:line="222" w:lineRule="auto"/>
        <w:rPr>
          <w:rFonts w:ascii="黑体" w:hAnsi="黑体" w:eastAsia="黑体" w:cs="黑体"/>
          <w:sz w:val="27"/>
          <w:szCs w:val="27"/>
        </w:rPr>
      </w:pPr>
      <w:r>
        <w:rPr>
          <w:rFonts w:ascii="黑体" w:hAnsi="黑体" w:eastAsia="黑体" w:cs="黑体"/>
          <w:spacing w:val="2"/>
          <w:sz w:val="27"/>
          <w:szCs w:val="27"/>
        </w:rPr>
        <w:t>6.8</w:t>
      </w:r>
      <w:r>
        <w:rPr>
          <w:rFonts w:ascii="黑体" w:hAnsi="黑体" w:eastAsia="黑体" w:cs="黑体"/>
          <w:spacing w:val="18"/>
          <w:sz w:val="27"/>
          <w:szCs w:val="27"/>
        </w:rPr>
        <w:t xml:space="preserve">  </w:t>
      </w:r>
      <w:r>
        <w:rPr>
          <w:rFonts w:ascii="黑体" w:hAnsi="黑体" w:eastAsia="黑体" w:cs="黑体"/>
          <w:spacing w:val="2"/>
          <w:sz w:val="27"/>
          <w:szCs w:val="27"/>
        </w:rPr>
        <w:t>搭接和接地</w:t>
      </w:r>
    </w:p>
    <w:p w14:paraId="0016BB28">
      <w:pPr>
        <w:pStyle w:val="2"/>
        <w:spacing w:before="84" w:line="219" w:lineRule="auto"/>
        <w:ind w:left="550"/>
      </w:pPr>
      <w:r>
        <w:rPr>
          <w:spacing w:val="4"/>
        </w:rPr>
        <w:t>描述采取的系统搭接和接地设计措施及其效果。</w:t>
      </w:r>
    </w:p>
    <w:p w14:paraId="43DD4210">
      <w:pPr>
        <w:spacing w:before="108" w:line="221" w:lineRule="auto"/>
        <w:rPr>
          <w:rFonts w:ascii="黑体" w:hAnsi="黑体" w:eastAsia="黑体" w:cs="黑体"/>
          <w:sz w:val="24"/>
          <w:szCs w:val="24"/>
        </w:rPr>
      </w:pPr>
      <w:r>
        <w:rPr>
          <w:rFonts w:ascii="黑体" w:hAnsi="黑体" w:eastAsia="黑体" w:cs="黑体"/>
          <w:spacing w:val="19"/>
          <w:sz w:val="24"/>
          <w:szCs w:val="24"/>
        </w:rPr>
        <w:t>6.9</w:t>
      </w:r>
      <w:r>
        <w:rPr>
          <w:rFonts w:ascii="黑体" w:hAnsi="黑体" w:eastAsia="黑体" w:cs="黑体"/>
          <w:spacing w:val="51"/>
          <w:sz w:val="24"/>
          <w:szCs w:val="24"/>
        </w:rPr>
        <w:t xml:space="preserve">  </w:t>
      </w:r>
      <w:r>
        <w:rPr>
          <w:rFonts w:ascii="黑体" w:hAnsi="黑体" w:eastAsia="黑体" w:cs="黑体"/>
          <w:spacing w:val="19"/>
          <w:sz w:val="24"/>
          <w:szCs w:val="24"/>
        </w:rPr>
        <w:t>雷电防护</w:t>
      </w:r>
    </w:p>
    <w:p w14:paraId="5874B336">
      <w:pPr>
        <w:pStyle w:val="2"/>
        <w:spacing w:before="104" w:line="219" w:lineRule="auto"/>
        <w:ind w:left="550"/>
      </w:pPr>
      <w:r>
        <w:rPr>
          <w:spacing w:val="3"/>
        </w:rPr>
        <w:t>描述采取的雷电防护设计措施及其效果。</w:t>
      </w:r>
    </w:p>
    <w:p w14:paraId="59160C08">
      <w:pPr>
        <w:spacing w:before="98" w:line="221" w:lineRule="auto"/>
        <w:rPr>
          <w:rFonts w:ascii="黑体" w:hAnsi="黑体" w:eastAsia="黑体" w:cs="黑体"/>
          <w:sz w:val="25"/>
          <w:szCs w:val="25"/>
        </w:rPr>
      </w:pPr>
      <w:r>
        <w:rPr>
          <w:rFonts w:ascii="黑体" w:hAnsi="黑体" w:eastAsia="黑体" w:cs="黑体"/>
          <w:spacing w:val="11"/>
          <w:sz w:val="25"/>
          <w:szCs w:val="25"/>
        </w:rPr>
        <w:t>6.10</w:t>
      </w:r>
      <w:r>
        <w:rPr>
          <w:rFonts w:ascii="黑体" w:hAnsi="黑体" w:eastAsia="黑体" w:cs="黑体"/>
          <w:spacing w:val="49"/>
          <w:sz w:val="25"/>
          <w:szCs w:val="25"/>
        </w:rPr>
        <w:t xml:space="preserve">  </w:t>
      </w:r>
      <w:r>
        <w:rPr>
          <w:rFonts w:ascii="黑体" w:hAnsi="黑体" w:eastAsia="黑体" w:cs="黑体"/>
          <w:spacing w:val="11"/>
          <w:sz w:val="25"/>
          <w:szCs w:val="25"/>
        </w:rPr>
        <w:t>静电防护</w:t>
      </w:r>
    </w:p>
    <w:p w14:paraId="2CD95553">
      <w:pPr>
        <w:pStyle w:val="2"/>
        <w:spacing w:before="112" w:line="219" w:lineRule="auto"/>
        <w:ind w:left="550"/>
        <w:rPr>
          <w:sz w:val="24"/>
          <w:szCs w:val="24"/>
        </w:rPr>
      </w:pPr>
      <w:r>
        <w:rPr>
          <w:spacing w:val="32"/>
          <w:sz w:val="24"/>
          <w:szCs w:val="24"/>
        </w:rPr>
        <w:t>描述采取的静电防护设计措施及其效果。</w:t>
      </w:r>
    </w:p>
    <w:p w14:paraId="317BB9A1">
      <w:pPr>
        <w:spacing w:before="105" w:line="222" w:lineRule="auto"/>
        <w:rPr>
          <w:rFonts w:ascii="黑体" w:hAnsi="黑体" w:eastAsia="黑体" w:cs="黑体"/>
          <w:sz w:val="25"/>
          <w:szCs w:val="25"/>
        </w:rPr>
      </w:pPr>
      <w:r>
        <w:rPr>
          <w:rFonts w:ascii="黑体" w:hAnsi="黑体" w:eastAsia="黑体" w:cs="黑体"/>
          <w:spacing w:val="11"/>
          <w:sz w:val="25"/>
          <w:szCs w:val="25"/>
        </w:rPr>
        <w:t>6.11</w:t>
      </w:r>
      <w:r>
        <w:rPr>
          <w:rFonts w:ascii="黑体" w:hAnsi="黑体" w:eastAsia="黑体" w:cs="黑体"/>
          <w:spacing w:val="49"/>
          <w:sz w:val="25"/>
          <w:szCs w:val="25"/>
        </w:rPr>
        <w:t xml:space="preserve">  </w:t>
      </w:r>
      <w:r>
        <w:rPr>
          <w:rFonts w:ascii="黑体" w:hAnsi="黑体" w:eastAsia="黑体" w:cs="黑体"/>
          <w:spacing w:val="11"/>
          <w:sz w:val="25"/>
          <w:szCs w:val="25"/>
        </w:rPr>
        <w:t>人体保护</w:t>
      </w:r>
    </w:p>
    <w:p w14:paraId="74AA486C">
      <w:pPr>
        <w:pStyle w:val="2"/>
        <w:spacing w:before="100" w:line="219" w:lineRule="auto"/>
        <w:ind w:left="550"/>
      </w:pPr>
      <w:r>
        <w:rPr>
          <w:spacing w:val="3"/>
        </w:rPr>
        <w:t>描述采取的人体保护措施及其效果。</w:t>
      </w:r>
    </w:p>
    <w:p w14:paraId="289779DB">
      <w:pPr>
        <w:spacing w:before="69" w:line="220" w:lineRule="auto"/>
        <w:rPr>
          <w:rFonts w:ascii="黑体" w:hAnsi="黑体" w:eastAsia="黑体" w:cs="黑体"/>
          <w:sz w:val="27"/>
          <w:szCs w:val="27"/>
        </w:rPr>
      </w:pPr>
      <w:r>
        <w:rPr>
          <w:rFonts w:ascii="黑体" w:hAnsi="黑体" w:eastAsia="黑体" w:cs="黑体"/>
          <w:spacing w:val="2"/>
          <w:sz w:val="27"/>
          <w:szCs w:val="27"/>
        </w:rPr>
        <w:t>6.12</w:t>
      </w:r>
      <w:r>
        <w:rPr>
          <w:rFonts w:ascii="黑体" w:hAnsi="黑体" w:eastAsia="黑体" w:cs="黑体"/>
          <w:spacing w:val="37"/>
          <w:sz w:val="27"/>
          <w:szCs w:val="27"/>
        </w:rPr>
        <w:t xml:space="preserve">  </w:t>
      </w:r>
      <w:r>
        <w:rPr>
          <w:rFonts w:ascii="黑体" w:hAnsi="黑体" w:eastAsia="黑体" w:cs="黑体"/>
          <w:spacing w:val="2"/>
          <w:sz w:val="27"/>
          <w:szCs w:val="27"/>
        </w:rPr>
        <w:t>电磁对易燃易爆物和军械的危害</w:t>
      </w:r>
    </w:p>
    <w:p w14:paraId="287AC362">
      <w:pPr>
        <w:pStyle w:val="2"/>
        <w:spacing w:before="118" w:line="219" w:lineRule="auto"/>
        <w:ind w:left="550"/>
        <w:rPr>
          <w:sz w:val="24"/>
          <w:szCs w:val="24"/>
        </w:rPr>
      </w:pPr>
      <w:r>
        <w:rPr>
          <w:spacing w:val="33"/>
          <w:sz w:val="24"/>
          <w:szCs w:val="24"/>
        </w:rPr>
        <w:t>描述采取的对军械分系统的防护措施及其效果。</w:t>
      </w:r>
    </w:p>
    <w:p w14:paraId="32E2D99E">
      <w:pPr>
        <w:spacing w:before="96" w:line="221" w:lineRule="auto"/>
        <w:rPr>
          <w:rFonts w:ascii="黑体" w:hAnsi="黑体" w:eastAsia="黑体" w:cs="黑体"/>
          <w:sz w:val="27"/>
          <w:szCs w:val="27"/>
        </w:rPr>
      </w:pPr>
      <w:r>
        <w:rPr>
          <w:rFonts w:ascii="黑体" w:hAnsi="黑体" w:eastAsia="黑体" w:cs="黑体"/>
          <w:spacing w:val="-2"/>
          <w:sz w:val="27"/>
          <w:szCs w:val="27"/>
        </w:rPr>
        <w:t>6.13</w:t>
      </w:r>
      <w:r>
        <w:rPr>
          <w:rFonts w:ascii="黑体" w:hAnsi="黑体" w:eastAsia="黑体" w:cs="黑体"/>
          <w:spacing w:val="19"/>
          <w:sz w:val="27"/>
          <w:szCs w:val="27"/>
        </w:rPr>
        <w:t xml:space="preserve">  </w:t>
      </w:r>
      <w:r>
        <w:rPr>
          <w:rFonts w:ascii="黑体" w:hAnsi="黑体" w:eastAsia="黑体" w:cs="黑体"/>
          <w:spacing w:val="-2"/>
          <w:sz w:val="27"/>
          <w:szCs w:val="27"/>
        </w:rPr>
        <w:t>外界环境</w:t>
      </w:r>
    </w:p>
    <w:p w14:paraId="4E842A49">
      <w:pPr>
        <w:pStyle w:val="2"/>
        <w:spacing w:before="77" w:line="219" w:lineRule="auto"/>
        <w:ind w:left="550"/>
      </w:pPr>
      <w:r>
        <w:rPr>
          <w:spacing w:val="4"/>
        </w:rPr>
        <w:t>描述采取的外界环境适应性设计措施及其效果。</w:t>
      </w:r>
    </w:p>
    <w:p w14:paraId="5CAAFAFD">
      <w:pPr>
        <w:spacing w:before="82" w:line="223" w:lineRule="auto"/>
        <w:rPr>
          <w:rFonts w:ascii="黑体" w:hAnsi="黑体" w:eastAsia="黑体" w:cs="黑体"/>
          <w:sz w:val="27"/>
          <w:szCs w:val="27"/>
        </w:rPr>
      </w:pPr>
      <w:r>
        <w:rPr>
          <w:rFonts w:ascii="黑体" w:hAnsi="黑体" w:eastAsia="黑体" w:cs="黑体"/>
          <w:sz w:val="27"/>
          <w:szCs w:val="27"/>
        </w:rPr>
        <w:t>6.14</w:t>
      </w:r>
      <w:r>
        <w:rPr>
          <w:rFonts w:ascii="黑体" w:hAnsi="黑体" w:eastAsia="黑体" w:cs="黑体"/>
          <w:spacing w:val="20"/>
          <w:sz w:val="27"/>
          <w:szCs w:val="27"/>
        </w:rPr>
        <w:t xml:space="preserve">  </w:t>
      </w:r>
      <w:r>
        <w:rPr>
          <w:rFonts w:ascii="黑体" w:hAnsi="黑体" w:eastAsia="黑体" w:cs="黑体"/>
          <w:sz w:val="27"/>
          <w:szCs w:val="27"/>
        </w:rPr>
        <w:t>抑制元件</w:t>
      </w:r>
    </w:p>
    <w:p w14:paraId="4CA30489">
      <w:pPr>
        <w:pStyle w:val="2"/>
        <w:spacing w:before="94" w:line="219" w:lineRule="auto"/>
        <w:ind w:left="550"/>
      </w:pPr>
      <w:r>
        <w:rPr>
          <w:spacing w:val="3"/>
        </w:rPr>
        <w:t>描述选用的抑制元件及其效果。</w:t>
      </w:r>
    </w:p>
    <w:p w14:paraId="51FBA3B6">
      <w:pPr>
        <w:spacing w:before="77" w:line="221" w:lineRule="auto"/>
        <w:rPr>
          <w:rFonts w:ascii="黑体" w:hAnsi="黑体" w:eastAsia="黑体" w:cs="黑体"/>
          <w:sz w:val="27"/>
          <w:szCs w:val="27"/>
        </w:rPr>
      </w:pPr>
      <w:r>
        <w:rPr>
          <w:rFonts w:ascii="黑体" w:hAnsi="黑体" w:eastAsia="黑体" w:cs="黑体"/>
          <w:spacing w:val="2"/>
          <w:sz w:val="27"/>
          <w:szCs w:val="27"/>
        </w:rPr>
        <w:t>7</w:t>
      </w:r>
      <w:r>
        <w:rPr>
          <w:rFonts w:ascii="黑体" w:hAnsi="黑体" w:eastAsia="黑体" w:cs="黑体"/>
          <w:spacing w:val="31"/>
          <w:sz w:val="27"/>
          <w:szCs w:val="27"/>
        </w:rPr>
        <w:t xml:space="preserve">  </w:t>
      </w:r>
      <w:r>
        <w:rPr>
          <w:rFonts w:ascii="黑体" w:hAnsi="黑体" w:eastAsia="黑体" w:cs="黑体"/>
          <w:spacing w:val="2"/>
          <w:sz w:val="27"/>
          <w:szCs w:val="27"/>
        </w:rPr>
        <w:t>电磁兼容性试验内容和结果</w:t>
      </w:r>
    </w:p>
    <w:p w14:paraId="26B6DB4C">
      <w:pPr>
        <w:spacing w:before="102" w:line="212" w:lineRule="auto"/>
        <w:rPr>
          <w:rFonts w:ascii="黑体" w:hAnsi="黑体" w:eastAsia="黑体" w:cs="黑体"/>
          <w:sz w:val="24"/>
          <w:szCs w:val="24"/>
        </w:rPr>
      </w:pPr>
      <w:r>
        <w:rPr>
          <w:rFonts w:ascii="Times New Roman" w:hAnsi="Times New Roman" w:eastAsia="Times New Roman" w:cs="Times New Roman"/>
          <w:spacing w:val="1"/>
          <w:sz w:val="24"/>
          <w:szCs w:val="24"/>
        </w:rPr>
        <w:t>7.X</w:t>
      </w:r>
      <w:r>
        <w:rPr>
          <w:rFonts w:ascii="Times New Roman" w:hAnsi="Times New Roman" w:eastAsia="Times New Roman" w:cs="Times New Roman"/>
          <w:spacing w:val="11"/>
          <w:sz w:val="24"/>
          <w:szCs w:val="24"/>
        </w:rPr>
        <w:t xml:space="preserve">     </w:t>
      </w:r>
      <w:r>
        <w:rPr>
          <w:rFonts w:ascii="黑体" w:hAnsi="黑体" w:eastAsia="黑体" w:cs="黑体"/>
          <w:spacing w:val="1"/>
          <w:sz w:val="24"/>
          <w:szCs w:val="24"/>
        </w:rPr>
        <w:t>(</w:t>
      </w:r>
      <w:r>
        <w:rPr>
          <w:rFonts w:ascii="黑体" w:hAnsi="黑体" w:eastAsia="黑体" w:cs="黑体"/>
          <w:spacing w:val="-48"/>
          <w:sz w:val="24"/>
          <w:szCs w:val="24"/>
        </w:rPr>
        <w:t xml:space="preserve"> </w:t>
      </w:r>
      <w:r>
        <w:rPr>
          <w:rFonts w:ascii="黑体" w:hAnsi="黑体" w:eastAsia="黑体" w:cs="黑体"/>
          <w:spacing w:val="1"/>
          <w:sz w:val="24"/>
          <w:szCs w:val="24"/>
        </w:rPr>
        <w:t>试</w:t>
      </w:r>
      <w:r>
        <w:rPr>
          <w:rFonts w:ascii="黑体" w:hAnsi="黑体" w:eastAsia="黑体" w:cs="黑体"/>
          <w:spacing w:val="-53"/>
          <w:sz w:val="24"/>
          <w:szCs w:val="24"/>
        </w:rPr>
        <w:t xml:space="preserve"> </w:t>
      </w:r>
      <w:r>
        <w:rPr>
          <w:rFonts w:ascii="黑体" w:hAnsi="黑体" w:eastAsia="黑体" w:cs="黑体"/>
          <w:spacing w:val="1"/>
          <w:sz w:val="24"/>
          <w:szCs w:val="24"/>
        </w:rPr>
        <w:t>验</w:t>
      </w:r>
      <w:r>
        <w:rPr>
          <w:rFonts w:ascii="黑体" w:hAnsi="黑体" w:eastAsia="黑体" w:cs="黑体"/>
          <w:spacing w:val="-37"/>
          <w:sz w:val="24"/>
          <w:szCs w:val="24"/>
        </w:rPr>
        <w:t xml:space="preserve"> </w:t>
      </w:r>
      <w:r>
        <w:rPr>
          <w:rFonts w:ascii="黑体" w:hAnsi="黑体" w:eastAsia="黑体" w:cs="黑体"/>
          <w:spacing w:val="1"/>
          <w:sz w:val="24"/>
          <w:szCs w:val="24"/>
        </w:rPr>
        <w:t>内</w:t>
      </w:r>
      <w:r>
        <w:rPr>
          <w:rFonts w:ascii="黑体" w:hAnsi="黑体" w:eastAsia="黑体" w:cs="黑体"/>
          <w:spacing w:val="-53"/>
          <w:sz w:val="24"/>
          <w:szCs w:val="24"/>
        </w:rPr>
        <w:t xml:space="preserve"> </w:t>
      </w:r>
      <w:r>
        <w:rPr>
          <w:rFonts w:ascii="黑体" w:hAnsi="黑体" w:eastAsia="黑体" w:cs="黑体"/>
          <w:spacing w:val="1"/>
          <w:sz w:val="24"/>
          <w:szCs w:val="24"/>
        </w:rPr>
        <w:t>容</w:t>
      </w:r>
      <w:r>
        <w:rPr>
          <w:rFonts w:ascii="Arial" w:hAnsi="Arial" w:eastAsia="Arial" w:cs="Arial"/>
          <w:spacing w:val="1"/>
          <w:sz w:val="24"/>
          <w:szCs w:val="24"/>
        </w:rPr>
        <w:t>X)</w:t>
      </w:r>
      <w:r>
        <w:rPr>
          <w:rFonts w:ascii="Arial" w:hAnsi="Arial" w:eastAsia="Arial" w:cs="Arial"/>
          <w:spacing w:val="45"/>
          <w:sz w:val="24"/>
          <w:szCs w:val="24"/>
        </w:rPr>
        <w:t xml:space="preserve"> </w:t>
      </w:r>
      <w:r>
        <w:rPr>
          <w:rFonts w:ascii="黑体" w:hAnsi="黑体" w:eastAsia="黑体" w:cs="黑体"/>
          <w:spacing w:val="1"/>
          <w:sz w:val="24"/>
          <w:szCs w:val="24"/>
        </w:rPr>
        <w:t>和结果</w:t>
      </w:r>
    </w:p>
    <w:p w14:paraId="4A2C27B7">
      <w:pPr>
        <w:pStyle w:val="2"/>
        <w:spacing w:before="91" w:line="212" w:lineRule="auto"/>
        <w:ind w:left="550"/>
      </w:pPr>
      <w:r>
        <w:t>描述(试验内容</w:t>
      </w:r>
      <w:r>
        <w:rPr>
          <w:rFonts w:ascii="Times New Roman" w:hAnsi="Times New Roman" w:eastAsia="Times New Roman" w:cs="Times New Roman"/>
        </w:rPr>
        <w:t xml:space="preserve">X) </w:t>
      </w:r>
      <w:r>
        <w:t>及其结果，给出详细试验数据。</w:t>
      </w:r>
    </w:p>
    <w:p w14:paraId="56569A9A">
      <w:pPr>
        <w:spacing w:before="158" w:line="222" w:lineRule="auto"/>
        <w:rPr>
          <w:rFonts w:ascii="黑体" w:hAnsi="黑体" w:eastAsia="黑体" w:cs="黑体"/>
          <w:sz w:val="24"/>
          <w:szCs w:val="24"/>
        </w:rPr>
      </w:pPr>
      <w:r>
        <w:rPr>
          <w:rFonts w:ascii="黑体" w:hAnsi="黑体" w:eastAsia="黑体" w:cs="黑体"/>
          <w:spacing w:val="31"/>
          <w:sz w:val="24"/>
          <w:szCs w:val="24"/>
        </w:rPr>
        <w:t>8</w:t>
      </w:r>
      <w:r>
        <w:rPr>
          <w:rFonts w:ascii="黑体" w:hAnsi="黑体" w:eastAsia="黑体" w:cs="黑体"/>
          <w:spacing w:val="53"/>
          <w:sz w:val="24"/>
          <w:szCs w:val="24"/>
        </w:rPr>
        <w:t xml:space="preserve">  </w:t>
      </w:r>
      <w:r>
        <w:rPr>
          <w:rFonts w:ascii="黑体" w:hAnsi="黑体" w:eastAsia="黑体" w:cs="黑体"/>
          <w:spacing w:val="31"/>
          <w:sz w:val="24"/>
          <w:szCs w:val="24"/>
        </w:rPr>
        <w:t>电磁兼容问题及解决情况</w:t>
      </w:r>
    </w:p>
    <w:p w14:paraId="721505C1">
      <w:pPr>
        <w:spacing w:before="53" w:line="327" w:lineRule="exact"/>
        <w:rPr>
          <w:rFonts w:ascii="黑体" w:hAnsi="黑体" w:eastAsia="黑体" w:cs="黑体"/>
          <w:sz w:val="24"/>
          <w:szCs w:val="24"/>
        </w:rPr>
      </w:pPr>
      <w:r>
        <w:rPr>
          <w:rFonts w:ascii="Arial" w:hAnsi="Arial" w:eastAsia="Arial" w:cs="Arial"/>
          <w:spacing w:val="23"/>
          <w:position w:val="2"/>
          <w:sz w:val="24"/>
          <w:szCs w:val="24"/>
        </w:rPr>
        <w:t>8. X</w:t>
      </w:r>
      <w:r>
        <w:rPr>
          <w:rFonts w:ascii="Arial" w:hAnsi="Arial" w:eastAsia="Arial" w:cs="Arial"/>
          <w:spacing w:val="25"/>
          <w:position w:val="2"/>
          <w:sz w:val="24"/>
          <w:szCs w:val="24"/>
        </w:rPr>
        <w:t xml:space="preserve">   </w:t>
      </w:r>
      <w:r>
        <w:rPr>
          <w:rFonts w:ascii="Arial" w:hAnsi="Arial" w:eastAsia="Arial" w:cs="Arial"/>
          <w:spacing w:val="23"/>
          <w:position w:val="2"/>
          <w:sz w:val="24"/>
          <w:szCs w:val="24"/>
        </w:rPr>
        <w:t xml:space="preserve">( </w:t>
      </w:r>
      <w:r>
        <w:rPr>
          <w:rFonts w:ascii="黑体" w:hAnsi="黑体" w:eastAsia="黑体" w:cs="黑体"/>
          <w:spacing w:val="23"/>
          <w:position w:val="2"/>
          <w:sz w:val="24"/>
          <w:szCs w:val="24"/>
        </w:rPr>
        <w:t>电磁兼容问题</w:t>
      </w:r>
      <w:r>
        <w:rPr>
          <w:rFonts w:ascii="Arial" w:hAnsi="Arial" w:eastAsia="Arial" w:cs="Arial"/>
          <w:spacing w:val="23"/>
          <w:position w:val="2"/>
          <w:sz w:val="24"/>
          <w:szCs w:val="24"/>
        </w:rPr>
        <w:t>X)</w:t>
      </w:r>
      <w:r>
        <w:rPr>
          <w:rFonts w:ascii="Arial" w:hAnsi="Arial" w:eastAsia="Arial" w:cs="Arial"/>
          <w:spacing w:val="26"/>
          <w:position w:val="2"/>
          <w:sz w:val="24"/>
          <w:szCs w:val="24"/>
        </w:rPr>
        <w:t xml:space="preserve"> </w:t>
      </w:r>
      <w:r>
        <w:rPr>
          <w:rFonts w:ascii="黑体" w:hAnsi="黑体" w:eastAsia="黑体" w:cs="黑体"/>
          <w:spacing w:val="23"/>
          <w:position w:val="2"/>
          <w:sz w:val="24"/>
          <w:szCs w:val="24"/>
        </w:rPr>
        <w:t>及解决情况</w:t>
      </w:r>
    </w:p>
    <w:p w14:paraId="67544DB6">
      <w:pPr>
        <w:spacing w:before="121" w:line="222" w:lineRule="auto"/>
        <w:rPr>
          <w:rFonts w:ascii="黑体" w:hAnsi="黑体" w:eastAsia="黑体" w:cs="黑体"/>
          <w:sz w:val="25"/>
          <w:szCs w:val="25"/>
        </w:rPr>
      </w:pPr>
      <w:r>
        <w:rPr>
          <w:rFonts w:ascii="Times New Roman" w:hAnsi="Times New Roman" w:eastAsia="Times New Roman" w:cs="Times New Roman"/>
          <w:spacing w:val="3"/>
          <w:sz w:val="25"/>
          <w:szCs w:val="25"/>
        </w:rPr>
        <w:t>8.X.</w:t>
      </w:r>
      <w:r>
        <w:rPr>
          <w:rFonts w:ascii="Times New Roman" w:hAnsi="Times New Roman" w:eastAsia="Times New Roman" w:cs="Times New Roman"/>
          <w:spacing w:val="26"/>
          <w:w w:val="101"/>
          <w:sz w:val="25"/>
          <w:szCs w:val="25"/>
        </w:rPr>
        <w:t xml:space="preserve">  </w:t>
      </w:r>
      <w:r>
        <w:rPr>
          <w:rFonts w:ascii="黑体" w:hAnsi="黑体" w:eastAsia="黑体" w:cs="黑体"/>
          <w:spacing w:val="3"/>
          <w:sz w:val="25"/>
          <w:szCs w:val="25"/>
        </w:rPr>
        <w:t>1</w:t>
      </w:r>
      <w:r>
        <w:rPr>
          <w:rFonts w:ascii="黑体" w:hAnsi="黑体" w:eastAsia="黑体" w:cs="黑体"/>
          <w:spacing w:val="44"/>
          <w:sz w:val="25"/>
          <w:szCs w:val="25"/>
        </w:rPr>
        <w:t xml:space="preserve">  </w:t>
      </w:r>
      <w:r>
        <w:rPr>
          <w:rFonts w:ascii="黑体" w:hAnsi="黑体" w:eastAsia="黑体" w:cs="黑体"/>
          <w:spacing w:val="3"/>
          <w:sz w:val="25"/>
          <w:szCs w:val="25"/>
        </w:rPr>
        <w:t>问题现象</w:t>
      </w:r>
    </w:p>
    <w:p w14:paraId="62E96AEB">
      <w:pPr>
        <w:pStyle w:val="2"/>
        <w:spacing w:before="43" w:line="307" w:lineRule="auto"/>
        <w:ind w:firstLine="550"/>
      </w:pPr>
      <w:r>
        <w:rPr>
          <w:spacing w:val="-1"/>
        </w:rPr>
        <w:t>描述(电磁兼容问题</w:t>
      </w:r>
      <w:r>
        <w:rPr>
          <w:rFonts w:ascii="Times New Roman" w:hAnsi="Times New Roman" w:eastAsia="Times New Roman" w:cs="Times New Roman"/>
          <w:spacing w:val="-1"/>
        </w:rPr>
        <w:t xml:space="preserve">X) </w:t>
      </w:r>
      <w:r>
        <w:rPr>
          <w:spacing w:val="-1"/>
        </w:rPr>
        <w:t>的现象，包括试验时间、试验</w:t>
      </w:r>
      <w:r>
        <w:rPr>
          <w:spacing w:val="-2"/>
        </w:rPr>
        <w:t>地点、试验项目和问题</w:t>
      </w:r>
      <w:r>
        <w:t xml:space="preserve"> </w:t>
      </w:r>
      <w:r>
        <w:rPr>
          <w:spacing w:val="-6"/>
        </w:rPr>
        <w:t>现象。</w:t>
      </w:r>
    </w:p>
    <w:p w14:paraId="2C535578">
      <w:pPr>
        <w:spacing w:line="222" w:lineRule="auto"/>
        <w:rPr>
          <w:rFonts w:ascii="黑体" w:hAnsi="黑体" w:eastAsia="黑体" w:cs="黑体"/>
          <w:sz w:val="24"/>
          <w:szCs w:val="24"/>
        </w:rPr>
      </w:pPr>
      <w:r>
        <w:rPr>
          <w:rFonts w:ascii="Times New Roman" w:hAnsi="Times New Roman" w:eastAsia="Times New Roman" w:cs="Times New Roman"/>
          <w:spacing w:val="12"/>
          <w:sz w:val="24"/>
          <w:szCs w:val="24"/>
        </w:rPr>
        <w:t>8.X.2</w:t>
      </w:r>
      <w:r>
        <w:rPr>
          <w:rFonts w:ascii="Times New Roman" w:hAnsi="Times New Roman" w:eastAsia="Times New Roman" w:cs="Times New Roman"/>
          <w:spacing w:val="3"/>
          <w:sz w:val="24"/>
          <w:szCs w:val="24"/>
        </w:rPr>
        <w:t xml:space="preserve">        </w:t>
      </w:r>
      <w:r>
        <w:rPr>
          <w:rFonts w:ascii="黑体" w:hAnsi="黑体" w:eastAsia="黑体" w:cs="黑体"/>
          <w:spacing w:val="12"/>
          <w:sz w:val="24"/>
          <w:szCs w:val="24"/>
        </w:rPr>
        <w:t>问题原因</w:t>
      </w:r>
    </w:p>
    <w:p w14:paraId="00B58C3D">
      <w:pPr>
        <w:pStyle w:val="2"/>
        <w:spacing w:before="62" w:line="212" w:lineRule="auto"/>
        <w:ind w:left="550"/>
      </w:pPr>
      <w:r>
        <w:rPr>
          <w:spacing w:val="8"/>
        </w:rPr>
        <w:t>描述(电磁兼容问题</w:t>
      </w:r>
      <w:r>
        <w:rPr>
          <w:rFonts w:ascii="Times New Roman" w:hAnsi="Times New Roman" w:eastAsia="Times New Roman" w:cs="Times New Roman"/>
          <w:spacing w:val="8"/>
        </w:rPr>
        <w:t>X)</w:t>
      </w:r>
      <w:r>
        <w:rPr>
          <w:spacing w:val="8"/>
        </w:rPr>
        <w:t>的原因分析过程和分析结果。</w:t>
      </w:r>
    </w:p>
    <w:p w14:paraId="14999968">
      <w:pPr>
        <w:spacing w:before="140" w:line="222" w:lineRule="auto"/>
        <w:rPr>
          <w:rFonts w:ascii="黑体" w:hAnsi="黑体" w:eastAsia="黑体" w:cs="黑体"/>
          <w:sz w:val="25"/>
          <w:szCs w:val="25"/>
        </w:rPr>
      </w:pPr>
      <w:r>
        <w:rPr>
          <w:rFonts w:ascii="Times New Roman" w:hAnsi="Times New Roman" w:eastAsia="Times New Roman" w:cs="Times New Roman"/>
          <w:spacing w:val="9"/>
          <w:sz w:val="25"/>
          <w:szCs w:val="25"/>
        </w:rPr>
        <w:t>8.X.3</w:t>
      </w:r>
      <w:r>
        <w:rPr>
          <w:rFonts w:ascii="Times New Roman" w:hAnsi="Times New Roman" w:eastAsia="Times New Roman" w:cs="Times New Roman"/>
          <w:spacing w:val="1"/>
          <w:sz w:val="25"/>
          <w:szCs w:val="25"/>
        </w:rPr>
        <w:t xml:space="preserve">        </w:t>
      </w:r>
      <w:r>
        <w:rPr>
          <w:rFonts w:ascii="黑体" w:hAnsi="黑体" w:eastAsia="黑体" w:cs="黑体"/>
          <w:spacing w:val="9"/>
          <w:sz w:val="25"/>
          <w:szCs w:val="25"/>
        </w:rPr>
        <w:t>解决措施</w:t>
      </w:r>
    </w:p>
    <w:p w14:paraId="6DF0C1B3">
      <w:pPr>
        <w:pStyle w:val="2"/>
        <w:spacing w:before="80" w:line="212" w:lineRule="auto"/>
        <w:ind w:left="550"/>
      </w:pPr>
      <w:r>
        <w:rPr>
          <w:spacing w:val="6"/>
        </w:rPr>
        <w:t>描述针对(电磁兼容问题</w:t>
      </w:r>
      <w:r>
        <w:rPr>
          <w:rFonts w:ascii="Times New Roman" w:hAnsi="Times New Roman" w:eastAsia="Times New Roman" w:cs="Times New Roman"/>
          <w:spacing w:val="6"/>
        </w:rPr>
        <w:t>X)</w:t>
      </w:r>
      <w:r>
        <w:rPr>
          <w:rFonts w:ascii="Times New Roman" w:hAnsi="Times New Roman" w:eastAsia="Times New Roman" w:cs="Times New Roman"/>
          <w:spacing w:val="-10"/>
        </w:rPr>
        <w:t xml:space="preserve"> </w:t>
      </w:r>
      <w:r>
        <w:rPr>
          <w:spacing w:val="6"/>
        </w:rPr>
        <w:t>采取的解决措施。</w:t>
      </w:r>
    </w:p>
    <w:p w14:paraId="12DD7AAA">
      <w:pPr>
        <w:spacing w:before="128" w:line="222" w:lineRule="auto"/>
        <w:rPr>
          <w:rFonts w:ascii="黑体" w:hAnsi="黑体" w:eastAsia="黑体" w:cs="黑体"/>
          <w:sz w:val="25"/>
          <w:szCs w:val="25"/>
        </w:rPr>
      </w:pPr>
      <w:r>
        <w:rPr>
          <w:rFonts w:ascii="Times New Roman" w:hAnsi="Times New Roman" w:eastAsia="Times New Roman" w:cs="Times New Roman"/>
          <w:spacing w:val="10"/>
          <w:sz w:val="25"/>
          <w:szCs w:val="25"/>
        </w:rPr>
        <w:t>8.X.</w:t>
      </w:r>
      <w:r>
        <w:rPr>
          <w:rFonts w:ascii="Times New Roman" w:hAnsi="Times New Roman" w:eastAsia="Times New Roman" w:cs="Times New Roman"/>
          <w:spacing w:val="20"/>
          <w:sz w:val="25"/>
          <w:szCs w:val="25"/>
        </w:rPr>
        <w:t xml:space="preserve">  </w:t>
      </w:r>
      <w:r>
        <w:rPr>
          <w:rFonts w:ascii="黑体" w:hAnsi="黑体" w:eastAsia="黑体" w:cs="黑体"/>
          <w:spacing w:val="10"/>
          <w:sz w:val="25"/>
          <w:szCs w:val="25"/>
        </w:rPr>
        <w:t>4</w:t>
      </w:r>
      <w:r>
        <w:rPr>
          <w:rFonts w:ascii="黑体" w:hAnsi="黑体" w:eastAsia="黑体" w:cs="黑体"/>
          <w:spacing w:val="44"/>
          <w:sz w:val="25"/>
          <w:szCs w:val="25"/>
        </w:rPr>
        <w:t xml:space="preserve">  </w:t>
      </w:r>
      <w:r>
        <w:rPr>
          <w:rFonts w:ascii="黑体" w:hAnsi="黑体" w:eastAsia="黑体" w:cs="黑体"/>
          <w:spacing w:val="10"/>
          <w:sz w:val="25"/>
          <w:szCs w:val="25"/>
        </w:rPr>
        <w:t>验证情况</w:t>
      </w:r>
    </w:p>
    <w:p w14:paraId="4F1032A7">
      <w:pPr>
        <w:pStyle w:val="2"/>
        <w:spacing w:before="102" w:line="212" w:lineRule="auto"/>
        <w:ind w:right="2"/>
        <w:jc w:val="right"/>
        <w:rPr>
          <w:sz w:val="25"/>
          <w:szCs w:val="25"/>
        </w:rPr>
      </w:pPr>
      <w:r>
        <w:rPr>
          <w:spacing w:val="17"/>
          <w:sz w:val="25"/>
          <w:szCs w:val="25"/>
        </w:rPr>
        <w:t>描述针对(电磁兼容问题</w:t>
      </w:r>
      <w:r>
        <w:rPr>
          <w:rFonts w:ascii="Times New Roman" w:hAnsi="Times New Roman" w:eastAsia="Times New Roman" w:cs="Times New Roman"/>
          <w:spacing w:val="17"/>
          <w:sz w:val="25"/>
          <w:szCs w:val="25"/>
        </w:rPr>
        <w:t>X)</w:t>
      </w:r>
      <w:r>
        <w:rPr>
          <w:rFonts w:ascii="Times New Roman" w:hAnsi="Times New Roman" w:eastAsia="Times New Roman" w:cs="Times New Roman"/>
          <w:spacing w:val="30"/>
          <w:sz w:val="25"/>
          <w:szCs w:val="25"/>
        </w:rPr>
        <w:t xml:space="preserve"> </w:t>
      </w:r>
      <w:r>
        <w:rPr>
          <w:spacing w:val="17"/>
          <w:sz w:val="25"/>
          <w:szCs w:val="25"/>
        </w:rPr>
        <w:t>采取的解决措施的验证情况，包括验证时间、验</w:t>
      </w:r>
    </w:p>
    <w:p w14:paraId="651BEFC2">
      <w:pPr>
        <w:spacing w:line="212" w:lineRule="auto"/>
        <w:rPr>
          <w:sz w:val="25"/>
          <w:szCs w:val="25"/>
        </w:rPr>
        <w:sectPr>
          <w:footerReference r:id="rId620" w:type="default"/>
          <w:pgSz w:w="11910" w:h="17130"/>
          <w:pgMar w:top="1371" w:right="1566" w:bottom="1824" w:left="979" w:header="0" w:footer="1598" w:gutter="0"/>
          <w:cols w:space="720" w:num="1"/>
        </w:sectPr>
      </w:pPr>
    </w:p>
    <w:p w14:paraId="3FE34861">
      <w:pPr>
        <w:pStyle w:val="2"/>
        <w:spacing w:before="50" w:line="220" w:lineRule="auto"/>
        <w:rPr>
          <w:sz w:val="25"/>
          <w:szCs w:val="25"/>
        </w:rPr>
      </w:pPr>
      <w:r>
        <w:rPr>
          <w:spacing w:val="3"/>
          <w:sz w:val="25"/>
          <w:szCs w:val="25"/>
        </w:rPr>
        <w:t>证地点、验证项目、验证结果。</w:t>
      </w:r>
    </w:p>
    <w:p w14:paraId="24846D5A">
      <w:pPr>
        <w:spacing w:before="106" w:line="222" w:lineRule="auto"/>
        <w:rPr>
          <w:rFonts w:ascii="黑体" w:hAnsi="黑体" w:eastAsia="黑体" w:cs="黑体"/>
          <w:sz w:val="25"/>
          <w:szCs w:val="25"/>
        </w:rPr>
      </w:pPr>
      <w:r>
        <w:rPr>
          <w:rFonts w:ascii="黑体" w:hAnsi="黑体" w:eastAsia="黑体" w:cs="黑体"/>
          <w:spacing w:val="22"/>
          <w:sz w:val="25"/>
          <w:szCs w:val="25"/>
        </w:rPr>
        <w:t xml:space="preserve">9  </w:t>
      </w:r>
      <w:r>
        <w:rPr>
          <w:rFonts w:ascii="黑体" w:hAnsi="黑体" w:eastAsia="黑体" w:cs="黑体"/>
          <w:b/>
          <w:bCs/>
          <w:spacing w:val="22"/>
          <w:sz w:val="25"/>
          <w:szCs w:val="25"/>
        </w:rPr>
        <w:t>遗留问题及解决措施建议</w:t>
      </w:r>
    </w:p>
    <w:p w14:paraId="79DF348F">
      <w:pPr>
        <w:spacing w:before="54" w:line="327" w:lineRule="exact"/>
        <w:rPr>
          <w:rFonts w:ascii="黑体" w:hAnsi="黑体" w:eastAsia="黑体" w:cs="黑体"/>
          <w:sz w:val="24"/>
          <w:szCs w:val="24"/>
        </w:rPr>
      </w:pPr>
      <w:r>
        <w:rPr>
          <w:rFonts w:ascii="Arial" w:hAnsi="Arial" w:eastAsia="Arial" w:cs="Arial"/>
          <w:spacing w:val="5"/>
          <w:position w:val="2"/>
          <w:sz w:val="24"/>
          <w:szCs w:val="24"/>
        </w:rPr>
        <w:t>9.X</w:t>
      </w:r>
      <w:r>
        <w:rPr>
          <w:rFonts w:ascii="Arial" w:hAnsi="Arial" w:eastAsia="Arial" w:cs="Arial"/>
          <w:spacing w:val="3"/>
          <w:position w:val="2"/>
          <w:sz w:val="24"/>
          <w:szCs w:val="24"/>
        </w:rPr>
        <w:t xml:space="preserve">      </w:t>
      </w:r>
      <w:r>
        <w:rPr>
          <w:rFonts w:ascii="黑体" w:hAnsi="黑体" w:eastAsia="黑体" w:cs="黑体"/>
          <w:b/>
          <w:bCs/>
          <w:spacing w:val="5"/>
          <w:position w:val="2"/>
          <w:sz w:val="24"/>
          <w:szCs w:val="24"/>
        </w:rPr>
        <w:t>(</w:t>
      </w:r>
      <w:r>
        <w:rPr>
          <w:rFonts w:ascii="黑体" w:hAnsi="黑体" w:eastAsia="黑体" w:cs="黑体"/>
          <w:spacing w:val="-54"/>
          <w:position w:val="2"/>
          <w:sz w:val="24"/>
          <w:szCs w:val="24"/>
        </w:rPr>
        <w:t xml:space="preserve"> </w:t>
      </w:r>
      <w:r>
        <w:rPr>
          <w:rFonts w:ascii="黑体" w:hAnsi="黑体" w:eastAsia="黑体" w:cs="黑体"/>
          <w:b/>
          <w:bCs/>
          <w:spacing w:val="5"/>
          <w:position w:val="2"/>
          <w:sz w:val="24"/>
          <w:szCs w:val="24"/>
        </w:rPr>
        <w:t>遗</w:t>
      </w:r>
      <w:r>
        <w:rPr>
          <w:rFonts w:ascii="黑体" w:hAnsi="黑体" w:eastAsia="黑体" w:cs="黑体"/>
          <w:spacing w:val="-44"/>
          <w:position w:val="2"/>
          <w:sz w:val="24"/>
          <w:szCs w:val="24"/>
        </w:rPr>
        <w:t xml:space="preserve"> </w:t>
      </w:r>
      <w:r>
        <w:rPr>
          <w:rFonts w:ascii="黑体" w:hAnsi="黑体" w:eastAsia="黑体" w:cs="黑体"/>
          <w:b/>
          <w:bCs/>
          <w:spacing w:val="5"/>
          <w:position w:val="2"/>
          <w:sz w:val="24"/>
          <w:szCs w:val="24"/>
        </w:rPr>
        <w:t>留</w:t>
      </w:r>
      <w:r>
        <w:rPr>
          <w:rFonts w:ascii="黑体" w:hAnsi="黑体" w:eastAsia="黑体" w:cs="黑体"/>
          <w:spacing w:val="-41"/>
          <w:position w:val="2"/>
          <w:sz w:val="24"/>
          <w:szCs w:val="24"/>
        </w:rPr>
        <w:t xml:space="preserve"> </w:t>
      </w:r>
      <w:r>
        <w:rPr>
          <w:rFonts w:ascii="黑体" w:hAnsi="黑体" w:eastAsia="黑体" w:cs="黑体"/>
          <w:b/>
          <w:bCs/>
          <w:spacing w:val="5"/>
          <w:position w:val="2"/>
          <w:sz w:val="24"/>
          <w:szCs w:val="24"/>
        </w:rPr>
        <w:t>问</w:t>
      </w:r>
      <w:r>
        <w:rPr>
          <w:rFonts w:ascii="黑体" w:hAnsi="黑体" w:eastAsia="黑体" w:cs="黑体"/>
          <w:spacing w:val="-55"/>
          <w:position w:val="2"/>
          <w:sz w:val="24"/>
          <w:szCs w:val="24"/>
        </w:rPr>
        <w:t xml:space="preserve"> </w:t>
      </w:r>
      <w:r>
        <w:rPr>
          <w:rFonts w:ascii="黑体" w:hAnsi="黑体" w:eastAsia="黑体" w:cs="黑体"/>
          <w:b/>
          <w:bCs/>
          <w:spacing w:val="5"/>
          <w:position w:val="2"/>
          <w:sz w:val="24"/>
          <w:szCs w:val="24"/>
        </w:rPr>
        <w:t>题</w:t>
      </w:r>
      <w:r>
        <w:rPr>
          <w:rFonts w:ascii="黑体" w:hAnsi="黑体" w:eastAsia="黑体" w:cs="黑体"/>
          <w:spacing w:val="-68"/>
          <w:position w:val="2"/>
          <w:sz w:val="24"/>
          <w:szCs w:val="24"/>
        </w:rPr>
        <w:t xml:space="preserve"> </w:t>
      </w:r>
      <w:r>
        <w:rPr>
          <w:rFonts w:ascii="Arial" w:hAnsi="Arial" w:eastAsia="Arial" w:cs="Arial"/>
          <w:b/>
          <w:bCs/>
          <w:spacing w:val="5"/>
          <w:position w:val="2"/>
          <w:sz w:val="24"/>
          <w:szCs w:val="24"/>
        </w:rPr>
        <w:t>X)</w:t>
      </w:r>
      <w:r>
        <w:rPr>
          <w:rFonts w:ascii="Arial" w:hAnsi="Arial" w:eastAsia="Arial" w:cs="Arial"/>
          <w:b/>
          <w:bCs/>
          <w:spacing w:val="27"/>
          <w:position w:val="2"/>
          <w:sz w:val="24"/>
          <w:szCs w:val="24"/>
        </w:rPr>
        <w:t xml:space="preserve"> </w:t>
      </w:r>
      <w:r>
        <w:rPr>
          <w:rFonts w:ascii="黑体" w:hAnsi="黑体" w:eastAsia="黑体" w:cs="黑体"/>
          <w:b/>
          <w:bCs/>
          <w:spacing w:val="5"/>
          <w:position w:val="2"/>
          <w:sz w:val="24"/>
          <w:szCs w:val="24"/>
        </w:rPr>
        <w:t>及解决措施建议</w:t>
      </w:r>
    </w:p>
    <w:p w14:paraId="76C74989">
      <w:pPr>
        <w:pStyle w:val="2"/>
        <w:spacing w:before="52" w:line="299" w:lineRule="auto"/>
        <w:ind w:right="113" w:firstLine="570"/>
      </w:pPr>
      <w:r>
        <w:rPr>
          <w:spacing w:val="13"/>
        </w:rPr>
        <w:t>说明指标未达到或试验未完成的(遗留问题</w:t>
      </w:r>
      <w:r>
        <w:rPr>
          <w:spacing w:val="-79"/>
        </w:rPr>
        <w:t xml:space="preserve"> </w:t>
      </w:r>
      <w:r>
        <w:rPr>
          <w:rFonts w:ascii="Times New Roman" w:hAnsi="Times New Roman" w:eastAsia="Times New Roman" w:cs="Times New Roman"/>
          <w:spacing w:val="13"/>
        </w:rPr>
        <w:t xml:space="preserve">X) </w:t>
      </w:r>
      <w:r>
        <w:rPr>
          <w:spacing w:val="13"/>
        </w:rPr>
        <w:t>存在原因及其对使用</w:t>
      </w:r>
      <w:r>
        <w:rPr>
          <w:spacing w:val="12"/>
        </w:rPr>
        <w:t>的影</w:t>
      </w:r>
      <w:r>
        <w:t xml:space="preserve"> </w:t>
      </w:r>
      <w:r>
        <w:rPr>
          <w:spacing w:val="-6"/>
        </w:rPr>
        <w:t>响，提出解决措施的建议，包括责任单位和解决时限等。</w:t>
      </w:r>
    </w:p>
    <w:p w14:paraId="3AADFA61">
      <w:pPr>
        <w:spacing w:before="1" w:line="220" w:lineRule="auto"/>
        <w:rPr>
          <w:rFonts w:ascii="黑体" w:hAnsi="黑体" w:eastAsia="黑体" w:cs="黑体"/>
          <w:sz w:val="27"/>
          <w:szCs w:val="27"/>
        </w:rPr>
      </w:pPr>
      <w:r>
        <w:rPr>
          <w:rFonts w:ascii="黑体" w:hAnsi="黑体" w:eastAsia="黑体" w:cs="黑体"/>
          <w:spacing w:val="-3"/>
          <w:sz w:val="27"/>
          <w:szCs w:val="27"/>
        </w:rPr>
        <w:t>10</w:t>
      </w:r>
      <w:r>
        <w:rPr>
          <w:rFonts w:ascii="黑体" w:hAnsi="黑体" w:eastAsia="黑体" w:cs="黑体"/>
          <w:spacing w:val="30"/>
          <w:sz w:val="27"/>
          <w:szCs w:val="27"/>
        </w:rPr>
        <w:t xml:space="preserve">  </w:t>
      </w:r>
      <w:r>
        <w:rPr>
          <w:rFonts w:ascii="黑体" w:hAnsi="黑体" w:eastAsia="黑体" w:cs="黑体"/>
          <w:b/>
          <w:bCs/>
          <w:spacing w:val="-3"/>
          <w:sz w:val="27"/>
          <w:szCs w:val="27"/>
        </w:rPr>
        <w:t>结论性评价意见</w:t>
      </w:r>
    </w:p>
    <w:p w14:paraId="6B4D1F1D">
      <w:pPr>
        <w:pStyle w:val="2"/>
        <w:spacing w:before="101" w:line="303" w:lineRule="auto"/>
        <w:ind w:right="95" w:firstLine="570"/>
        <w:rPr>
          <w:sz w:val="25"/>
          <w:szCs w:val="25"/>
        </w:rPr>
      </w:pPr>
      <w:r>
        <w:rPr>
          <w:spacing w:val="9"/>
          <w:sz w:val="25"/>
          <w:szCs w:val="25"/>
        </w:rPr>
        <w:t>按照《研制总要求》或《电磁兼容性要求》中对电磁兼容性的要求，明确给出</w:t>
      </w:r>
      <w:r>
        <w:rPr>
          <w:spacing w:val="13"/>
          <w:sz w:val="25"/>
          <w:szCs w:val="25"/>
        </w:rPr>
        <w:t xml:space="preserve"> </w:t>
      </w:r>
      <w:r>
        <w:rPr>
          <w:spacing w:val="19"/>
          <w:sz w:val="25"/>
          <w:szCs w:val="25"/>
        </w:rPr>
        <w:t>符合性评价意见。</w:t>
      </w:r>
    </w:p>
    <w:p w14:paraId="47355E6A">
      <w:pPr>
        <w:pStyle w:val="2"/>
        <w:spacing w:before="310" w:line="219" w:lineRule="auto"/>
        <w:ind w:left="2440"/>
        <w:outlineLvl w:val="1"/>
        <w:rPr>
          <w:sz w:val="36"/>
          <w:szCs w:val="36"/>
        </w:rPr>
      </w:pPr>
      <w:r>
        <w:rPr>
          <w:rFonts w:ascii="Times New Roman" w:hAnsi="Times New Roman" w:eastAsia="Times New Roman" w:cs="Times New Roman"/>
          <w:b/>
          <w:bCs/>
          <w:spacing w:val="-1"/>
          <w:sz w:val="36"/>
          <w:szCs w:val="36"/>
        </w:rPr>
        <w:t>13.12</w:t>
      </w:r>
      <w:r>
        <w:rPr>
          <w:rFonts w:ascii="Times New Roman" w:hAnsi="Times New Roman" w:eastAsia="Times New Roman" w:cs="Times New Roman"/>
          <w:b/>
          <w:bCs/>
          <w:spacing w:val="12"/>
          <w:sz w:val="36"/>
          <w:szCs w:val="36"/>
        </w:rPr>
        <w:t xml:space="preserve">     </w:t>
      </w:r>
      <w:r>
        <w:rPr>
          <w:b/>
          <w:bCs/>
          <w:spacing w:val="-1"/>
          <w:sz w:val="36"/>
          <w:szCs w:val="36"/>
        </w:rPr>
        <w:t>电磁兼容性培训计划</w:t>
      </w:r>
    </w:p>
    <w:p w14:paraId="1D330A27">
      <w:pPr>
        <w:spacing w:line="324" w:lineRule="auto"/>
        <w:rPr>
          <w:rFonts w:ascii="Arial"/>
          <w:sz w:val="21"/>
        </w:rPr>
      </w:pPr>
    </w:p>
    <w:p w14:paraId="416466DA">
      <w:pPr>
        <w:pStyle w:val="2"/>
        <w:spacing w:before="92" w:line="223" w:lineRule="auto"/>
        <w:ind w:left="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GJB/Z</w:t>
      </w:r>
      <w:r>
        <w:rPr>
          <w:rFonts w:ascii="Times New Roman" w:hAnsi="Times New Roman" w:eastAsia="Times New Roman" w:cs="Times New Roman"/>
          <w:spacing w:val="45"/>
          <w:w w:val="101"/>
          <w:sz w:val="28"/>
          <w:szCs w:val="28"/>
        </w:rPr>
        <w:t xml:space="preserve"> </w:t>
      </w:r>
      <w:r>
        <w:rPr>
          <w:rFonts w:ascii="Times New Roman" w:hAnsi="Times New Roman" w:eastAsia="Times New Roman" w:cs="Times New Roman"/>
          <w:spacing w:val="-10"/>
          <w:sz w:val="28"/>
          <w:szCs w:val="28"/>
        </w:rPr>
        <w:t>17—1991</w:t>
      </w:r>
      <w:r>
        <w:rPr>
          <w:spacing w:val="-10"/>
          <w:sz w:val="28"/>
          <w:szCs w:val="28"/>
        </w:rPr>
        <w:t>《</w:t>
      </w:r>
      <w:r>
        <w:rPr>
          <w:rFonts w:ascii="楷体" w:hAnsi="楷体" w:eastAsia="楷体" w:cs="楷体"/>
          <w:spacing w:val="-10"/>
          <w:sz w:val="28"/>
          <w:szCs w:val="28"/>
        </w:rPr>
        <w:t>军用装备电磁兼容性管理指南》编写。</w:t>
      </w:r>
    </w:p>
    <w:p w14:paraId="6A458C0A">
      <w:pPr>
        <w:spacing w:before="104" w:line="223" w:lineRule="auto"/>
        <w:rPr>
          <w:rFonts w:ascii="黑体" w:hAnsi="黑体" w:eastAsia="黑体" w:cs="黑体"/>
          <w:sz w:val="25"/>
          <w:szCs w:val="25"/>
        </w:rPr>
      </w:pPr>
      <w:r>
        <w:rPr>
          <w:rFonts w:ascii="黑体" w:hAnsi="黑体" w:eastAsia="黑体" w:cs="黑体"/>
          <w:spacing w:val="-14"/>
          <w:sz w:val="25"/>
          <w:szCs w:val="25"/>
        </w:rPr>
        <w:t>1</w:t>
      </w:r>
      <w:r>
        <w:rPr>
          <w:rFonts w:ascii="黑体" w:hAnsi="黑体" w:eastAsia="黑体" w:cs="黑体"/>
          <w:spacing w:val="35"/>
          <w:sz w:val="25"/>
          <w:szCs w:val="25"/>
        </w:rPr>
        <w:t xml:space="preserve">  </w:t>
      </w:r>
      <w:r>
        <w:rPr>
          <w:rFonts w:ascii="黑体" w:hAnsi="黑体" w:eastAsia="黑体" w:cs="黑体"/>
          <w:b/>
          <w:bCs/>
          <w:spacing w:val="-14"/>
          <w:sz w:val="25"/>
          <w:szCs w:val="25"/>
        </w:rPr>
        <w:t>范</w:t>
      </w:r>
      <w:r>
        <w:rPr>
          <w:rFonts w:ascii="黑体" w:hAnsi="黑体" w:eastAsia="黑体" w:cs="黑体"/>
          <w:spacing w:val="-38"/>
          <w:sz w:val="25"/>
          <w:szCs w:val="25"/>
        </w:rPr>
        <w:t xml:space="preserve"> </w:t>
      </w:r>
      <w:r>
        <w:rPr>
          <w:rFonts w:ascii="黑体" w:hAnsi="黑体" w:eastAsia="黑体" w:cs="黑体"/>
          <w:b/>
          <w:bCs/>
          <w:spacing w:val="-14"/>
          <w:sz w:val="25"/>
          <w:szCs w:val="25"/>
        </w:rPr>
        <w:t>围</w:t>
      </w:r>
    </w:p>
    <w:p w14:paraId="3FB42080">
      <w:pPr>
        <w:spacing w:before="106" w:line="222" w:lineRule="auto"/>
        <w:rPr>
          <w:rFonts w:ascii="黑体" w:hAnsi="黑体" w:eastAsia="黑体" w:cs="黑体"/>
          <w:sz w:val="25"/>
          <w:szCs w:val="25"/>
        </w:rPr>
      </w:pPr>
      <w:r>
        <w:rPr>
          <w:rFonts w:ascii="黑体" w:hAnsi="黑体" w:eastAsia="黑体" w:cs="黑体"/>
          <w:spacing w:val="15"/>
          <w:sz w:val="25"/>
          <w:szCs w:val="25"/>
        </w:rPr>
        <w:t>2</w:t>
      </w:r>
      <w:r>
        <w:rPr>
          <w:rFonts w:ascii="黑体" w:hAnsi="黑体" w:eastAsia="黑体" w:cs="黑体"/>
          <w:spacing w:val="28"/>
          <w:sz w:val="25"/>
          <w:szCs w:val="25"/>
        </w:rPr>
        <w:t xml:space="preserve">  </w:t>
      </w:r>
      <w:r>
        <w:rPr>
          <w:rFonts w:ascii="黑体" w:hAnsi="黑体" w:eastAsia="黑体" w:cs="黑体"/>
          <w:b/>
          <w:bCs/>
          <w:spacing w:val="15"/>
          <w:sz w:val="25"/>
          <w:szCs w:val="25"/>
        </w:rPr>
        <w:t>引用文件</w:t>
      </w:r>
    </w:p>
    <w:p w14:paraId="0300219C">
      <w:pPr>
        <w:spacing w:before="92" w:line="223"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6"/>
          <w:sz w:val="27"/>
          <w:szCs w:val="27"/>
        </w:rPr>
        <w:t xml:space="preserve">  </w:t>
      </w:r>
      <w:r>
        <w:rPr>
          <w:rFonts w:ascii="黑体" w:hAnsi="黑体" w:eastAsia="黑体" w:cs="黑体"/>
          <w:b/>
          <w:bCs/>
          <w:sz w:val="27"/>
          <w:szCs w:val="27"/>
        </w:rPr>
        <w:t>培训目的</w:t>
      </w:r>
    </w:p>
    <w:p w14:paraId="1AD57A9E">
      <w:pPr>
        <w:pStyle w:val="2"/>
        <w:spacing w:before="106" w:line="297" w:lineRule="auto"/>
        <w:ind w:firstLine="570"/>
        <w:jc w:val="both"/>
        <w:rPr>
          <w:sz w:val="25"/>
          <w:szCs w:val="25"/>
        </w:rPr>
      </w:pPr>
      <w:r>
        <w:rPr>
          <w:spacing w:val="28"/>
          <w:sz w:val="25"/>
          <w:szCs w:val="25"/>
        </w:rPr>
        <w:t>通过培训提高各级工程管理人员对电磁兼容性重要性的认识和管理水平，</w:t>
      </w:r>
      <w:r>
        <w:rPr>
          <w:spacing w:val="18"/>
          <w:sz w:val="25"/>
          <w:szCs w:val="25"/>
        </w:rPr>
        <w:t xml:space="preserve"> </w:t>
      </w:r>
      <w:r>
        <w:rPr>
          <w:spacing w:val="25"/>
          <w:sz w:val="25"/>
          <w:szCs w:val="25"/>
        </w:rPr>
        <w:t>提高工程技术人员的电磁兼容性技术水平。培训是解决电磁兼容性问题的重要</w:t>
      </w:r>
      <w:r>
        <w:rPr>
          <w:sz w:val="25"/>
          <w:szCs w:val="25"/>
        </w:rPr>
        <w:t xml:space="preserve">  </w:t>
      </w:r>
      <w:r>
        <w:rPr>
          <w:spacing w:val="17"/>
          <w:sz w:val="25"/>
          <w:szCs w:val="25"/>
        </w:rPr>
        <w:t>方法之一</w:t>
      </w:r>
      <w:r>
        <w:rPr>
          <w:spacing w:val="-73"/>
          <w:sz w:val="25"/>
          <w:szCs w:val="25"/>
        </w:rPr>
        <w:t xml:space="preserve"> </w:t>
      </w:r>
      <w:r>
        <w:rPr>
          <w:spacing w:val="17"/>
          <w:sz w:val="25"/>
          <w:szCs w:val="25"/>
        </w:rPr>
        <w:t>，是使装备具备良好电磁兼容性水平的先决条件。</w:t>
      </w:r>
    </w:p>
    <w:p w14:paraId="7A4AEABD">
      <w:pPr>
        <w:spacing w:line="222" w:lineRule="auto"/>
        <w:rPr>
          <w:rFonts w:ascii="黑体" w:hAnsi="黑体" w:eastAsia="黑体" w:cs="黑体"/>
          <w:sz w:val="25"/>
          <w:szCs w:val="25"/>
        </w:rPr>
      </w:pPr>
      <w:r>
        <w:rPr>
          <w:rFonts w:ascii="黑体" w:hAnsi="黑体" w:eastAsia="黑体" w:cs="黑体"/>
          <w:spacing w:val="15"/>
          <w:sz w:val="25"/>
          <w:szCs w:val="25"/>
        </w:rPr>
        <w:t>4</w:t>
      </w:r>
      <w:r>
        <w:rPr>
          <w:rFonts w:ascii="黑体" w:hAnsi="黑体" w:eastAsia="黑体" w:cs="黑体"/>
          <w:spacing w:val="27"/>
          <w:sz w:val="25"/>
          <w:szCs w:val="25"/>
        </w:rPr>
        <w:t xml:space="preserve">  </w:t>
      </w:r>
      <w:r>
        <w:rPr>
          <w:rFonts w:ascii="黑体" w:hAnsi="黑体" w:eastAsia="黑体" w:cs="黑体"/>
          <w:b/>
          <w:bCs/>
          <w:spacing w:val="15"/>
          <w:sz w:val="25"/>
          <w:szCs w:val="25"/>
        </w:rPr>
        <w:t>培训对象</w:t>
      </w:r>
    </w:p>
    <w:p w14:paraId="6E8D4284">
      <w:pPr>
        <w:pStyle w:val="2"/>
        <w:spacing w:before="104" w:line="219" w:lineRule="auto"/>
        <w:ind w:left="570"/>
      </w:pPr>
      <w:r>
        <w:rPr>
          <w:spacing w:val="-5"/>
        </w:rPr>
        <w:t>装备管理人员、设计人员和生产人员；</w:t>
      </w:r>
    </w:p>
    <w:p w14:paraId="16430B40">
      <w:pPr>
        <w:pStyle w:val="2"/>
        <w:spacing w:before="90" w:line="219" w:lineRule="auto"/>
        <w:ind w:left="570"/>
      </w:pPr>
      <w:r>
        <w:rPr>
          <w:spacing w:val="3"/>
        </w:rPr>
        <w:t>装备操作和维修人员。</w:t>
      </w:r>
    </w:p>
    <w:p w14:paraId="799ED6A4">
      <w:pPr>
        <w:spacing w:before="76" w:line="222" w:lineRule="auto"/>
        <w:rPr>
          <w:rFonts w:ascii="黑体" w:hAnsi="黑体" w:eastAsia="黑体" w:cs="黑体"/>
          <w:sz w:val="27"/>
          <w:szCs w:val="27"/>
        </w:rPr>
      </w:pPr>
      <w:r>
        <w:rPr>
          <w:rFonts w:ascii="黑体" w:hAnsi="黑体" w:eastAsia="黑体" w:cs="黑体"/>
          <w:spacing w:val="-1"/>
          <w:sz w:val="27"/>
          <w:szCs w:val="27"/>
        </w:rPr>
        <w:t>5</w:t>
      </w:r>
      <w:r>
        <w:rPr>
          <w:rFonts w:ascii="黑体" w:hAnsi="黑体" w:eastAsia="黑体" w:cs="黑体"/>
          <w:spacing w:val="13"/>
          <w:sz w:val="27"/>
          <w:szCs w:val="27"/>
        </w:rPr>
        <w:t xml:space="preserve">  </w:t>
      </w:r>
      <w:r>
        <w:rPr>
          <w:rFonts w:ascii="黑体" w:hAnsi="黑体" w:eastAsia="黑体" w:cs="黑体"/>
          <w:b/>
          <w:bCs/>
          <w:spacing w:val="-1"/>
          <w:sz w:val="27"/>
          <w:szCs w:val="27"/>
        </w:rPr>
        <w:t>培训内容</w:t>
      </w:r>
    </w:p>
    <w:p w14:paraId="56594C46">
      <w:pPr>
        <w:pStyle w:val="2"/>
        <w:spacing w:before="78" w:line="287" w:lineRule="auto"/>
        <w:ind w:right="114" w:firstLine="570"/>
      </w:pPr>
      <w:r>
        <w:rPr>
          <w:spacing w:val="-3"/>
        </w:rPr>
        <w:t>为装备的管理人员、设计人员和生产人员提供分</w:t>
      </w:r>
      <w:r>
        <w:rPr>
          <w:spacing w:val="-4"/>
        </w:rPr>
        <w:t>析设计、生产技术和管理方</w:t>
      </w:r>
      <w:r>
        <w:t xml:space="preserve"> </w:t>
      </w:r>
      <w:r>
        <w:rPr>
          <w:spacing w:val="3"/>
        </w:rPr>
        <w:t>法等方面的电磁兼容性专业技术培训；</w:t>
      </w:r>
    </w:p>
    <w:p w14:paraId="01493F2D">
      <w:pPr>
        <w:pStyle w:val="2"/>
        <w:spacing w:before="1" w:line="269" w:lineRule="auto"/>
        <w:ind w:right="129" w:firstLine="570"/>
      </w:pPr>
      <w:r>
        <w:rPr>
          <w:spacing w:val="4"/>
        </w:rPr>
        <w:t>为操作和维修人员提供识别电磁能量造成的性能降低、达到并保持最佳电</w:t>
      </w:r>
      <w:r>
        <w:rPr>
          <w:spacing w:val="17"/>
        </w:rPr>
        <w:t xml:space="preserve"> </w:t>
      </w:r>
      <w:r>
        <w:rPr>
          <w:spacing w:val="4"/>
        </w:rPr>
        <w:t>磁兼容性水平方面的电磁兼容性专业技术培训。</w:t>
      </w:r>
    </w:p>
    <w:p w14:paraId="0B16436F">
      <w:pPr>
        <w:pStyle w:val="2"/>
        <w:spacing w:before="4" w:line="220" w:lineRule="auto"/>
        <w:ind w:left="570"/>
      </w:pPr>
      <w:r>
        <w:rPr>
          <w:spacing w:val="-4"/>
        </w:rPr>
        <w:t>培训目标是：</w:t>
      </w:r>
    </w:p>
    <w:p w14:paraId="74EC3851">
      <w:pPr>
        <w:pStyle w:val="2"/>
        <w:spacing w:before="59" w:line="267" w:lineRule="auto"/>
        <w:ind w:right="112" w:firstLine="570"/>
      </w:pPr>
      <w:r>
        <w:rPr>
          <w:rFonts w:ascii="Times New Roman" w:hAnsi="Times New Roman" w:eastAsia="Times New Roman" w:cs="Times New Roman"/>
          <w:spacing w:val="3"/>
        </w:rPr>
        <w:t>a)</w:t>
      </w:r>
      <w:r>
        <w:rPr>
          <w:rFonts w:ascii="Times New Roman" w:hAnsi="Times New Roman" w:eastAsia="Times New Roman" w:cs="Times New Roman"/>
          <w:spacing w:val="63"/>
        </w:rPr>
        <w:t xml:space="preserve"> </w:t>
      </w:r>
      <w:r>
        <w:rPr>
          <w:spacing w:val="3"/>
        </w:rPr>
        <w:t>应使工程项目各级管理人员了解电磁兼容性的重要性</w:t>
      </w:r>
      <w:r>
        <w:rPr>
          <w:spacing w:val="2"/>
        </w:rPr>
        <w:t>、电磁兼容性基本</w:t>
      </w:r>
      <w:r>
        <w:t xml:space="preserve"> </w:t>
      </w:r>
      <w:r>
        <w:rPr>
          <w:spacing w:val="-2"/>
        </w:rPr>
        <w:t>原理和技术特性，使之能在全寿命期中合理地计划、安</w:t>
      </w:r>
      <w:r>
        <w:rPr>
          <w:spacing w:val="-3"/>
        </w:rPr>
        <w:t>排和管理有关电磁兼容性</w:t>
      </w:r>
      <w:r>
        <w:t xml:space="preserve"> 的各项工程活动；</w:t>
      </w:r>
    </w:p>
    <w:p w14:paraId="1341B984">
      <w:pPr>
        <w:pStyle w:val="2"/>
        <w:spacing w:before="48" w:line="257" w:lineRule="auto"/>
        <w:ind w:right="109" w:firstLine="570"/>
      </w:pPr>
      <w:r>
        <w:rPr>
          <w:rFonts w:ascii="Times New Roman" w:hAnsi="Times New Roman" w:eastAsia="Times New Roman" w:cs="Times New Roman"/>
          <w:spacing w:val="3"/>
        </w:rPr>
        <w:t>b)</w:t>
      </w:r>
      <w:r>
        <w:rPr>
          <w:rFonts w:ascii="Times New Roman" w:hAnsi="Times New Roman" w:eastAsia="Times New Roman" w:cs="Times New Roman"/>
          <w:spacing w:val="57"/>
          <w:w w:val="101"/>
        </w:rPr>
        <w:t xml:space="preserve"> </w:t>
      </w:r>
      <w:r>
        <w:rPr>
          <w:spacing w:val="3"/>
        </w:rPr>
        <w:t>应使装备设计人员熟悉电磁兼容性的原</w:t>
      </w:r>
      <w:r>
        <w:rPr>
          <w:spacing w:val="2"/>
        </w:rPr>
        <w:t>理和技术，并能在工程设计中正</w:t>
      </w:r>
      <w:r>
        <w:t xml:space="preserve"> 确地加以应用；</w:t>
      </w:r>
    </w:p>
    <w:p w14:paraId="461BFF58">
      <w:pPr>
        <w:pStyle w:val="2"/>
        <w:spacing w:before="78" w:line="253" w:lineRule="auto"/>
        <w:ind w:right="108" w:firstLine="570"/>
      </w:pPr>
      <w:r>
        <w:rPr>
          <w:rFonts w:ascii="Times New Roman" w:hAnsi="Times New Roman" w:eastAsia="Times New Roman" w:cs="Times New Roman"/>
          <w:spacing w:val="3"/>
        </w:rPr>
        <w:t>c)</w:t>
      </w:r>
      <w:r>
        <w:rPr>
          <w:rFonts w:ascii="Times New Roman" w:hAnsi="Times New Roman" w:eastAsia="Times New Roman" w:cs="Times New Roman"/>
          <w:spacing w:val="59"/>
        </w:rPr>
        <w:t xml:space="preserve"> </w:t>
      </w:r>
      <w:r>
        <w:rPr>
          <w:spacing w:val="3"/>
        </w:rPr>
        <w:t>应使生产和质量监测人员了解装备电磁兼容性的设计要求，并能在生产</w:t>
      </w:r>
      <w:r>
        <w:t xml:space="preserve"> </w:t>
      </w:r>
      <w:r>
        <w:rPr>
          <w:spacing w:val="1"/>
        </w:rPr>
        <w:t>活动中良好地加以实现；</w:t>
      </w:r>
    </w:p>
    <w:p w14:paraId="2FFE2ADB">
      <w:pPr>
        <w:spacing w:line="253" w:lineRule="auto"/>
        <w:sectPr>
          <w:footerReference r:id="rId621" w:type="default"/>
          <w:pgSz w:w="11910" w:h="17130"/>
          <w:pgMar w:top="1431" w:right="904" w:bottom="1753" w:left="1519" w:header="0" w:footer="1554" w:gutter="0"/>
          <w:cols w:space="720" w:num="1"/>
        </w:sectPr>
      </w:pPr>
    </w:p>
    <w:p w14:paraId="256BA0B8">
      <w:pPr>
        <w:pStyle w:val="2"/>
        <w:spacing w:before="58" w:line="267" w:lineRule="auto"/>
        <w:ind w:right="8" w:firstLine="580"/>
      </w:pPr>
      <w:r>
        <w:rPr>
          <w:rFonts w:ascii="Times New Roman" w:hAnsi="Times New Roman" w:eastAsia="Times New Roman" w:cs="Times New Roman"/>
          <w:spacing w:val="3"/>
        </w:rPr>
        <w:t>d)</w:t>
      </w:r>
      <w:r>
        <w:rPr>
          <w:rFonts w:ascii="Times New Roman" w:hAnsi="Times New Roman" w:eastAsia="Times New Roman" w:cs="Times New Roman"/>
          <w:spacing w:val="58"/>
          <w:w w:val="101"/>
        </w:rPr>
        <w:t xml:space="preserve"> </w:t>
      </w:r>
      <w:r>
        <w:rPr>
          <w:spacing w:val="3"/>
        </w:rPr>
        <w:t>应使使用和操作人员充分了解敏感性机理，使之能识别系统性能降低的</w:t>
      </w:r>
      <w:r>
        <w:t xml:space="preserve"> </w:t>
      </w:r>
      <w:r>
        <w:rPr>
          <w:spacing w:val="-5"/>
        </w:rPr>
        <w:t>来源，并通过正确的操作，或请求维修人员帮助消除性能降低的现象；</w:t>
      </w:r>
    </w:p>
    <w:p w14:paraId="353425A9">
      <w:pPr>
        <w:pStyle w:val="2"/>
        <w:spacing w:before="27" w:line="264" w:lineRule="auto"/>
        <w:ind w:firstLine="580"/>
      </w:pPr>
      <w:r>
        <w:rPr>
          <w:rFonts w:ascii="Times New Roman" w:hAnsi="Times New Roman" w:eastAsia="Times New Roman" w:cs="Times New Roman"/>
          <w:spacing w:val="4"/>
        </w:rPr>
        <w:t>e)</w:t>
      </w:r>
      <w:r>
        <w:rPr>
          <w:rFonts w:ascii="Times New Roman" w:hAnsi="Times New Roman" w:eastAsia="Times New Roman" w:cs="Times New Roman"/>
          <w:spacing w:val="63"/>
        </w:rPr>
        <w:t xml:space="preserve"> </w:t>
      </w:r>
      <w:r>
        <w:rPr>
          <w:spacing w:val="4"/>
        </w:rPr>
        <w:t>应使维修人员了解装备的电磁兼容性设</w:t>
      </w:r>
      <w:r>
        <w:rPr>
          <w:spacing w:val="3"/>
        </w:rPr>
        <w:t>计特性，以及他们在维修活动中</w:t>
      </w:r>
      <w:r>
        <w:t xml:space="preserve"> </w:t>
      </w:r>
      <w:r>
        <w:rPr>
          <w:spacing w:val="-1"/>
        </w:rPr>
        <w:t>的责任，保证这些设计特性在使用中有持续</w:t>
      </w:r>
      <w:r>
        <w:rPr>
          <w:spacing w:val="-2"/>
        </w:rPr>
        <w:t>和最大的有效性。</w:t>
      </w:r>
    </w:p>
    <w:p w14:paraId="7559E61C">
      <w:pPr>
        <w:spacing w:before="83" w:line="221" w:lineRule="auto"/>
        <w:rPr>
          <w:rFonts w:ascii="黑体" w:hAnsi="黑体" w:eastAsia="黑体" w:cs="黑体"/>
          <w:sz w:val="27"/>
          <w:szCs w:val="27"/>
        </w:rPr>
      </w:pPr>
      <w:r>
        <w:rPr>
          <w:rFonts w:ascii="黑体" w:hAnsi="黑体" w:eastAsia="黑体" w:cs="黑体"/>
          <w:spacing w:val="-2"/>
          <w:sz w:val="27"/>
          <w:szCs w:val="27"/>
        </w:rPr>
        <w:t>6</w:t>
      </w:r>
      <w:r>
        <w:rPr>
          <w:rFonts w:ascii="黑体" w:hAnsi="黑体" w:eastAsia="黑体" w:cs="黑体"/>
          <w:spacing w:val="14"/>
          <w:sz w:val="27"/>
          <w:szCs w:val="27"/>
        </w:rPr>
        <w:t xml:space="preserve">  </w:t>
      </w:r>
      <w:r>
        <w:rPr>
          <w:rFonts w:ascii="黑体" w:hAnsi="黑体" w:eastAsia="黑体" w:cs="黑体"/>
          <w:b/>
          <w:bCs/>
          <w:spacing w:val="-2"/>
          <w:sz w:val="27"/>
          <w:szCs w:val="27"/>
        </w:rPr>
        <w:t>培训方式</w:t>
      </w:r>
    </w:p>
    <w:p w14:paraId="01933511">
      <w:pPr>
        <w:pStyle w:val="2"/>
        <w:spacing w:before="93" w:line="219" w:lineRule="auto"/>
        <w:ind w:left="580"/>
      </w:pPr>
      <w:r>
        <w:rPr>
          <w:spacing w:val="2"/>
        </w:rPr>
        <w:t>说明开展电磁兼容性培训的方式。</w:t>
      </w:r>
    </w:p>
    <w:p w14:paraId="45910E6A">
      <w:pPr>
        <w:pStyle w:val="2"/>
        <w:spacing w:before="70" w:line="279" w:lineRule="auto"/>
        <w:ind w:right="16" w:firstLine="580"/>
      </w:pPr>
      <w:r>
        <w:rPr>
          <w:spacing w:val="-3"/>
        </w:rPr>
        <w:t>应管理、规划和协调电磁兼容性培训各方面的信息，以便充分利用资源和各</w:t>
      </w:r>
      <w:r>
        <w:t xml:space="preserve"> </w:t>
      </w:r>
      <w:r>
        <w:rPr>
          <w:spacing w:val="2"/>
        </w:rPr>
        <w:t>种培训方式取得最大的培训效果。</w:t>
      </w:r>
    </w:p>
    <w:p w14:paraId="239A2C67">
      <w:pPr>
        <w:spacing w:line="223"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15"/>
          <w:sz w:val="27"/>
          <w:szCs w:val="27"/>
        </w:rPr>
        <w:t xml:space="preserve">  </w:t>
      </w:r>
      <w:r>
        <w:rPr>
          <w:rFonts w:ascii="黑体" w:hAnsi="黑体" w:eastAsia="黑体" w:cs="黑体"/>
          <w:b/>
          <w:bCs/>
          <w:spacing w:val="-1"/>
          <w:sz w:val="27"/>
          <w:szCs w:val="27"/>
        </w:rPr>
        <w:t>培训经费</w:t>
      </w:r>
    </w:p>
    <w:p w14:paraId="76C0B2B4">
      <w:pPr>
        <w:pStyle w:val="2"/>
        <w:spacing w:before="87" w:line="219" w:lineRule="auto"/>
        <w:ind w:left="580"/>
      </w:pPr>
      <w:r>
        <w:rPr>
          <w:spacing w:val="3"/>
        </w:rPr>
        <w:t>说明实施电磁兼容性培训计划所需的经费要求。</w:t>
      </w:r>
    </w:p>
    <w:p w14:paraId="3B9EDB5C">
      <w:pPr>
        <w:spacing w:before="93" w:line="222" w:lineRule="auto"/>
        <w:outlineLvl w:val="3"/>
        <w:rPr>
          <w:rFonts w:ascii="黑体" w:hAnsi="黑体" w:eastAsia="黑体" w:cs="黑体"/>
          <w:sz w:val="24"/>
          <w:szCs w:val="24"/>
        </w:rPr>
      </w:pPr>
      <w:r>
        <w:rPr>
          <w:rFonts w:ascii="Arial" w:hAnsi="Arial" w:eastAsia="Arial" w:cs="Arial"/>
          <w:b/>
          <w:bCs/>
          <w:spacing w:val="28"/>
          <w:sz w:val="24"/>
          <w:szCs w:val="24"/>
        </w:rPr>
        <w:t>8</w:t>
      </w:r>
      <w:r>
        <w:rPr>
          <w:rFonts w:ascii="Arial" w:hAnsi="Arial" w:eastAsia="Arial" w:cs="Arial"/>
          <w:b/>
          <w:bCs/>
          <w:spacing w:val="8"/>
          <w:sz w:val="24"/>
          <w:szCs w:val="24"/>
        </w:rPr>
        <w:t xml:space="preserve">    </w:t>
      </w:r>
      <w:r>
        <w:rPr>
          <w:rFonts w:ascii="黑体" w:hAnsi="黑体" w:eastAsia="黑体" w:cs="黑体"/>
          <w:b/>
          <w:bCs/>
          <w:spacing w:val="28"/>
          <w:sz w:val="24"/>
          <w:szCs w:val="24"/>
        </w:rPr>
        <w:t>培训计划定期修改要求</w:t>
      </w:r>
    </w:p>
    <w:p w14:paraId="03858661">
      <w:pPr>
        <w:pStyle w:val="2"/>
        <w:spacing w:before="106" w:line="277" w:lineRule="auto"/>
        <w:ind w:right="18" w:firstLine="580"/>
      </w:pPr>
      <w:r>
        <w:rPr>
          <w:spacing w:val="-3"/>
        </w:rPr>
        <w:t>规定定期修改培训计划要求的措施，以适应电磁兼容性技术的发展、研</w:t>
      </w:r>
      <w:r>
        <w:rPr>
          <w:spacing w:val="-4"/>
        </w:rPr>
        <w:t>制进</w:t>
      </w:r>
      <w:r>
        <w:t xml:space="preserve"> </w:t>
      </w:r>
      <w:r>
        <w:rPr>
          <w:spacing w:val="1"/>
        </w:rPr>
        <w:t>度或其他方面的变化。</w:t>
      </w:r>
    </w:p>
    <w:p w14:paraId="585C4228">
      <w:pPr>
        <w:spacing w:line="251" w:lineRule="auto"/>
        <w:rPr>
          <w:rFonts w:ascii="Arial"/>
          <w:sz w:val="21"/>
        </w:rPr>
      </w:pPr>
    </w:p>
    <w:p w14:paraId="7E923178">
      <w:pPr>
        <w:pStyle w:val="2"/>
        <w:spacing w:before="117" w:line="219" w:lineRule="auto"/>
        <w:ind w:left="2609"/>
        <w:outlineLvl w:val="1"/>
        <w:rPr>
          <w:sz w:val="36"/>
          <w:szCs w:val="36"/>
        </w:rPr>
      </w:pPr>
      <w:r>
        <w:rPr>
          <w:rFonts w:ascii="Times New Roman" w:hAnsi="Times New Roman" w:eastAsia="Times New Roman" w:cs="Times New Roman"/>
          <w:b/>
          <w:bCs/>
          <w:spacing w:val="2"/>
          <w:sz w:val="36"/>
          <w:szCs w:val="36"/>
        </w:rPr>
        <w:t xml:space="preserve">13.13     </w:t>
      </w:r>
      <w:r>
        <w:rPr>
          <w:b/>
          <w:bCs/>
          <w:spacing w:val="2"/>
          <w:sz w:val="36"/>
          <w:szCs w:val="36"/>
        </w:rPr>
        <w:t>频率使用管理文件</w:t>
      </w:r>
    </w:p>
    <w:p w14:paraId="18AFF46C">
      <w:pPr>
        <w:spacing w:line="310" w:lineRule="auto"/>
        <w:rPr>
          <w:rFonts w:ascii="Arial"/>
          <w:sz w:val="21"/>
        </w:rPr>
      </w:pPr>
    </w:p>
    <w:p w14:paraId="03A324A4">
      <w:pPr>
        <w:pStyle w:val="2"/>
        <w:spacing w:before="92" w:line="223" w:lineRule="auto"/>
        <w:ind w:left="584"/>
        <w:rPr>
          <w:rFonts w:ascii="楷体" w:hAnsi="楷体" w:eastAsia="楷体" w:cs="楷体"/>
          <w:sz w:val="28"/>
          <w:szCs w:val="28"/>
        </w:rPr>
      </w:pPr>
      <w:r>
        <w:rPr>
          <w:rFonts w:ascii="楷体" w:hAnsi="楷体" w:eastAsia="楷体" w:cs="楷体"/>
          <w:b/>
          <w:bCs/>
          <w:spacing w:val="-13"/>
          <w:sz w:val="28"/>
          <w:szCs w:val="28"/>
        </w:rPr>
        <w:t>按照</w:t>
      </w:r>
      <w:r>
        <w:rPr>
          <w:rFonts w:ascii="Times New Roman" w:hAnsi="Times New Roman" w:eastAsia="Times New Roman" w:cs="Times New Roman"/>
          <w:b/>
          <w:bCs/>
          <w:spacing w:val="-13"/>
          <w:sz w:val="28"/>
          <w:szCs w:val="28"/>
        </w:rPr>
        <w:t>GJB/Z</w:t>
      </w:r>
      <w:r>
        <w:rPr>
          <w:rFonts w:ascii="Times New Roman" w:hAnsi="Times New Roman" w:eastAsia="Times New Roman" w:cs="Times New Roman"/>
          <w:b/>
          <w:bCs/>
          <w:spacing w:val="14"/>
          <w:sz w:val="28"/>
          <w:szCs w:val="28"/>
        </w:rPr>
        <w:t xml:space="preserve"> </w:t>
      </w:r>
      <w:r>
        <w:rPr>
          <w:rFonts w:ascii="Times New Roman" w:hAnsi="Times New Roman" w:eastAsia="Times New Roman" w:cs="Times New Roman"/>
          <w:b/>
          <w:bCs/>
          <w:spacing w:val="-13"/>
          <w:sz w:val="28"/>
          <w:szCs w:val="28"/>
        </w:rPr>
        <w:t>17—1991</w:t>
      </w:r>
      <w:r>
        <w:rPr>
          <w:b/>
          <w:bCs/>
          <w:spacing w:val="-13"/>
          <w:sz w:val="28"/>
          <w:szCs w:val="28"/>
        </w:rPr>
        <w:t>《</w:t>
      </w:r>
      <w:r>
        <w:rPr>
          <w:rFonts w:ascii="楷体" w:hAnsi="楷体" w:eastAsia="楷体" w:cs="楷体"/>
          <w:b/>
          <w:bCs/>
          <w:spacing w:val="-13"/>
          <w:sz w:val="28"/>
          <w:szCs w:val="28"/>
        </w:rPr>
        <w:t>军用装备电</w:t>
      </w:r>
      <w:r>
        <w:rPr>
          <w:rFonts w:ascii="楷体" w:hAnsi="楷体" w:eastAsia="楷体" w:cs="楷体"/>
          <w:b/>
          <w:bCs/>
          <w:spacing w:val="-14"/>
          <w:sz w:val="28"/>
          <w:szCs w:val="28"/>
        </w:rPr>
        <w:t>磁兼容性管理指南》编写。</w:t>
      </w:r>
    </w:p>
    <w:p w14:paraId="4AF626FB">
      <w:pPr>
        <w:spacing w:before="69"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21"/>
          <w:sz w:val="27"/>
          <w:szCs w:val="27"/>
        </w:rPr>
        <w:t xml:space="preserve">  </w:t>
      </w:r>
      <w:r>
        <w:rPr>
          <w:rFonts w:ascii="黑体" w:hAnsi="黑体" w:eastAsia="黑体" w:cs="黑体"/>
          <w:b/>
          <w:bCs/>
          <w:spacing w:val="-13"/>
          <w:sz w:val="27"/>
          <w:szCs w:val="27"/>
        </w:rPr>
        <w:t>范围</w:t>
      </w:r>
    </w:p>
    <w:p w14:paraId="3F97CF0F">
      <w:pPr>
        <w:spacing w:before="82"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6F619BFD">
      <w:pPr>
        <w:spacing w:before="84"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4"/>
          <w:sz w:val="27"/>
          <w:szCs w:val="27"/>
        </w:rPr>
        <w:t xml:space="preserve">  </w:t>
      </w:r>
      <w:r>
        <w:rPr>
          <w:rFonts w:ascii="黑体" w:hAnsi="黑体" w:eastAsia="黑体" w:cs="黑体"/>
          <w:b/>
          <w:bCs/>
          <w:sz w:val="27"/>
          <w:szCs w:val="27"/>
        </w:rPr>
        <w:t>频率管理职责分工</w:t>
      </w:r>
    </w:p>
    <w:p w14:paraId="1E432A4B">
      <w:pPr>
        <w:pStyle w:val="2"/>
        <w:spacing w:before="103" w:line="219" w:lineRule="auto"/>
        <w:ind w:left="580"/>
      </w:pPr>
      <w:r>
        <w:rPr>
          <w:spacing w:val="4"/>
        </w:rPr>
        <w:t>规定涉及频率使用管理工作的各个部门的职责分工。</w:t>
      </w:r>
    </w:p>
    <w:p w14:paraId="45B8C7E8">
      <w:pPr>
        <w:spacing w:before="74" w:line="221" w:lineRule="auto"/>
        <w:rPr>
          <w:rFonts w:ascii="黑体" w:hAnsi="黑体" w:eastAsia="黑体" w:cs="黑体"/>
          <w:sz w:val="27"/>
          <w:szCs w:val="27"/>
        </w:rPr>
      </w:pPr>
      <w:r>
        <w:rPr>
          <w:rFonts w:ascii="黑体" w:hAnsi="黑体" w:eastAsia="黑体" w:cs="黑体"/>
          <w:spacing w:val="2"/>
          <w:sz w:val="27"/>
          <w:szCs w:val="27"/>
        </w:rPr>
        <w:t xml:space="preserve">4  </w:t>
      </w:r>
      <w:r>
        <w:rPr>
          <w:rFonts w:ascii="黑体" w:hAnsi="黑体" w:eastAsia="黑体" w:cs="黑体"/>
          <w:b/>
          <w:bCs/>
          <w:spacing w:val="2"/>
          <w:sz w:val="27"/>
          <w:szCs w:val="27"/>
        </w:rPr>
        <w:t>频率使用计划流程</w:t>
      </w:r>
    </w:p>
    <w:p w14:paraId="3C55FE65">
      <w:pPr>
        <w:pStyle w:val="2"/>
        <w:spacing w:before="93" w:line="219" w:lineRule="auto"/>
        <w:ind w:left="580"/>
      </w:pPr>
      <w:r>
        <w:t>规定频率使用计划的流程。</w:t>
      </w:r>
    </w:p>
    <w:p w14:paraId="3C3B504F">
      <w:pPr>
        <w:spacing w:before="83" w:line="221"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21"/>
          <w:sz w:val="27"/>
          <w:szCs w:val="27"/>
        </w:rPr>
        <w:t xml:space="preserve">   </w:t>
      </w:r>
      <w:r>
        <w:rPr>
          <w:rFonts w:ascii="黑体" w:hAnsi="黑体" w:eastAsia="黑体" w:cs="黑体"/>
          <w:b/>
          <w:bCs/>
          <w:spacing w:val="-1"/>
          <w:sz w:val="27"/>
          <w:szCs w:val="27"/>
        </w:rPr>
        <w:t>频率使用方法</w:t>
      </w:r>
    </w:p>
    <w:p w14:paraId="73B55FDC">
      <w:pPr>
        <w:pStyle w:val="2"/>
        <w:spacing w:before="93" w:line="219" w:lineRule="auto"/>
        <w:ind w:left="580"/>
      </w:pPr>
      <w:r>
        <w:rPr>
          <w:spacing w:val="3"/>
        </w:rPr>
        <w:t>规定频率使用的方法。</w:t>
      </w:r>
    </w:p>
    <w:p w14:paraId="32A0ABC8">
      <w:pPr>
        <w:spacing w:before="84" w:line="222" w:lineRule="auto"/>
        <w:rPr>
          <w:rFonts w:ascii="黑体" w:hAnsi="黑体" w:eastAsia="黑体" w:cs="黑体"/>
          <w:sz w:val="24"/>
          <w:szCs w:val="24"/>
        </w:rPr>
      </w:pPr>
      <w:r>
        <w:rPr>
          <w:rFonts w:ascii="黑体" w:hAnsi="黑体" w:eastAsia="黑体" w:cs="黑体"/>
          <w:spacing w:val="27"/>
          <w:sz w:val="24"/>
          <w:szCs w:val="24"/>
        </w:rPr>
        <w:t>6</w:t>
      </w:r>
      <w:r>
        <w:rPr>
          <w:rFonts w:ascii="黑体" w:hAnsi="黑体" w:eastAsia="黑体" w:cs="黑体"/>
          <w:spacing w:val="35"/>
          <w:sz w:val="24"/>
          <w:szCs w:val="24"/>
        </w:rPr>
        <w:t xml:space="preserve">  </w:t>
      </w:r>
      <w:r>
        <w:rPr>
          <w:rFonts w:ascii="黑体" w:hAnsi="黑体" w:eastAsia="黑体" w:cs="黑体"/>
          <w:b/>
          <w:bCs/>
          <w:spacing w:val="27"/>
          <w:sz w:val="24"/>
          <w:szCs w:val="24"/>
        </w:rPr>
        <w:t>频率使用限制</w:t>
      </w:r>
    </w:p>
    <w:p w14:paraId="74DA5454">
      <w:pPr>
        <w:pStyle w:val="2"/>
        <w:spacing w:before="128" w:line="219" w:lineRule="auto"/>
        <w:ind w:left="580"/>
      </w:pPr>
      <w:r>
        <w:t>规定频率使用方面的限制。</w:t>
      </w:r>
    </w:p>
    <w:p w14:paraId="4C25EEB2">
      <w:pPr>
        <w:spacing w:line="219" w:lineRule="auto"/>
        <w:sectPr>
          <w:footerReference r:id="rId622" w:type="default"/>
          <w:pgSz w:w="11910" w:h="17130"/>
          <w:pgMar w:top="1412" w:right="1380" w:bottom="1719" w:left="1120" w:header="0" w:footer="1539" w:gutter="0"/>
          <w:cols w:space="720" w:num="1"/>
        </w:sectPr>
      </w:pPr>
    </w:p>
    <w:p w14:paraId="4F87FF53">
      <w:pPr>
        <w:spacing w:line="286" w:lineRule="auto"/>
        <w:rPr>
          <w:rFonts w:ascii="Arial"/>
          <w:sz w:val="21"/>
        </w:rPr>
      </w:pPr>
    </w:p>
    <w:p w14:paraId="0B69F9D0">
      <w:pPr>
        <w:spacing w:line="287" w:lineRule="auto"/>
        <w:rPr>
          <w:rFonts w:ascii="Arial"/>
          <w:sz w:val="21"/>
        </w:rPr>
      </w:pPr>
    </w:p>
    <w:p w14:paraId="6365D1DD">
      <w:pPr>
        <w:spacing w:line="287" w:lineRule="auto"/>
        <w:rPr>
          <w:rFonts w:ascii="Arial"/>
          <w:sz w:val="21"/>
        </w:rPr>
      </w:pPr>
    </w:p>
    <w:p w14:paraId="063720C8">
      <w:pPr>
        <w:spacing w:before="143" w:line="222" w:lineRule="auto"/>
        <w:ind w:left="2220"/>
        <w:rPr>
          <w:rFonts w:ascii="黑体" w:hAnsi="黑体" w:eastAsia="黑体" w:cs="黑体"/>
          <w:sz w:val="44"/>
          <w:szCs w:val="44"/>
        </w:rPr>
      </w:pPr>
      <w:r>
        <w:rPr>
          <w:rFonts w:ascii="黑体" w:hAnsi="黑体" w:eastAsia="黑体" w:cs="黑体"/>
          <w:spacing w:val="11"/>
          <w:sz w:val="44"/>
          <w:szCs w:val="44"/>
        </w:rPr>
        <w:t>第</w:t>
      </w:r>
      <w:r>
        <w:rPr>
          <w:rFonts w:ascii="黑体" w:hAnsi="黑体" w:eastAsia="黑体" w:cs="黑体"/>
          <w:spacing w:val="-71"/>
          <w:sz w:val="44"/>
          <w:szCs w:val="44"/>
        </w:rPr>
        <w:t xml:space="preserve"> </w:t>
      </w:r>
      <w:r>
        <w:rPr>
          <w:rFonts w:ascii="黑体" w:hAnsi="黑体" w:eastAsia="黑体" w:cs="黑体"/>
          <w:spacing w:val="11"/>
          <w:sz w:val="44"/>
          <w:szCs w:val="44"/>
        </w:rPr>
        <w:t>1</w:t>
      </w:r>
      <w:r>
        <w:rPr>
          <w:rFonts w:ascii="黑体" w:hAnsi="黑体" w:eastAsia="黑体" w:cs="黑体"/>
          <w:spacing w:val="-113"/>
          <w:sz w:val="44"/>
          <w:szCs w:val="44"/>
        </w:rPr>
        <w:t xml:space="preserve"> </w:t>
      </w:r>
      <w:r>
        <w:rPr>
          <w:rFonts w:ascii="黑体" w:hAnsi="黑体" w:eastAsia="黑体" w:cs="黑体"/>
          <w:spacing w:val="11"/>
          <w:sz w:val="44"/>
          <w:szCs w:val="44"/>
        </w:rPr>
        <w:t>4</w:t>
      </w:r>
      <w:r>
        <w:rPr>
          <w:rFonts w:ascii="黑体" w:hAnsi="黑体" w:eastAsia="黑体" w:cs="黑体"/>
          <w:spacing w:val="-100"/>
          <w:sz w:val="44"/>
          <w:szCs w:val="44"/>
        </w:rPr>
        <w:t xml:space="preserve"> </w:t>
      </w:r>
      <w:r>
        <w:rPr>
          <w:rFonts w:ascii="黑体" w:hAnsi="黑体" w:eastAsia="黑体" w:cs="黑体"/>
          <w:spacing w:val="11"/>
          <w:sz w:val="44"/>
          <w:szCs w:val="44"/>
        </w:rPr>
        <w:t>章</w:t>
      </w:r>
      <w:r>
        <w:rPr>
          <w:rFonts w:ascii="黑体" w:hAnsi="黑体" w:eastAsia="黑体" w:cs="黑体"/>
          <w:spacing w:val="31"/>
          <w:sz w:val="44"/>
          <w:szCs w:val="44"/>
        </w:rPr>
        <w:t xml:space="preserve">  </w:t>
      </w:r>
      <w:r>
        <w:rPr>
          <w:rFonts w:ascii="黑体" w:hAnsi="黑体" w:eastAsia="黑体" w:cs="黑体"/>
          <w:spacing w:val="11"/>
          <w:sz w:val="44"/>
          <w:szCs w:val="44"/>
        </w:rPr>
        <w:t>人机工程文件</w:t>
      </w:r>
    </w:p>
    <w:p w14:paraId="055B5971">
      <w:pPr>
        <w:rPr>
          <w:rFonts w:ascii="Arial"/>
          <w:sz w:val="21"/>
        </w:rPr>
      </w:pPr>
    </w:p>
    <w:p w14:paraId="152CE6EE">
      <w:pPr>
        <w:rPr>
          <w:rFonts w:ascii="Arial"/>
          <w:sz w:val="21"/>
        </w:rPr>
      </w:pPr>
    </w:p>
    <w:p w14:paraId="06FB898F">
      <w:pPr>
        <w:spacing w:line="241" w:lineRule="auto"/>
        <w:rPr>
          <w:rFonts w:ascii="Arial"/>
          <w:sz w:val="21"/>
        </w:rPr>
      </w:pPr>
    </w:p>
    <w:p w14:paraId="08BC4967">
      <w:pPr>
        <w:pStyle w:val="2"/>
        <w:spacing w:before="117" w:line="219" w:lineRule="auto"/>
        <w:ind w:left="3060"/>
        <w:rPr>
          <w:sz w:val="36"/>
          <w:szCs w:val="36"/>
        </w:rPr>
      </w:pPr>
      <w:r>
        <w:rPr>
          <w:spacing w:val="-4"/>
          <w:sz w:val="36"/>
          <w:szCs w:val="36"/>
        </w:rPr>
        <w:t>14.</w:t>
      </w:r>
      <w:r>
        <w:rPr>
          <w:b/>
          <w:bCs/>
          <w:spacing w:val="-4"/>
          <w:sz w:val="36"/>
          <w:szCs w:val="36"/>
        </w:rPr>
        <w:t>1</w:t>
      </w:r>
      <w:r>
        <w:rPr>
          <w:spacing w:val="32"/>
          <w:sz w:val="36"/>
          <w:szCs w:val="36"/>
        </w:rPr>
        <w:t xml:space="preserve">  </w:t>
      </w:r>
      <w:r>
        <w:rPr>
          <w:b/>
          <w:bCs/>
          <w:spacing w:val="-4"/>
          <w:sz w:val="36"/>
          <w:szCs w:val="36"/>
        </w:rPr>
        <w:t>人机工程要求</w:t>
      </w:r>
    </w:p>
    <w:p w14:paraId="6A4DE378">
      <w:pPr>
        <w:spacing w:line="339" w:lineRule="auto"/>
        <w:rPr>
          <w:rFonts w:ascii="Arial"/>
          <w:sz w:val="21"/>
        </w:rPr>
      </w:pPr>
    </w:p>
    <w:p w14:paraId="2C31074F">
      <w:pPr>
        <w:pStyle w:val="2"/>
        <w:spacing w:before="91" w:line="224" w:lineRule="auto"/>
        <w:ind w:left="570"/>
        <w:rPr>
          <w:rFonts w:ascii="楷体" w:hAnsi="楷体" w:eastAsia="楷体" w:cs="楷体"/>
          <w:sz w:val="28"/>
          <w:szCs w:val="28"/>
        </w:rPr>
      </w:pPr>
      <w:r>
        <w:rPr>
          <w:rFonts w:ascii="楷体" w:hAnsi="楷体" w:eastAsia="楷体" w:cs="楷体"/>
          <w:spacing w:val="-9"/>
          <w:sz w:val="28"/>
          <w:szCs w:val="28"/>
        </w:rPr>
        <w:t>按照</w:t>
      </w:r>
      <w:r>
        <w:rPr>
          <w:rFonts w:ascii="Times New Roman" w:hAnsi="Times New Roman" w:eastAsia="Times New Roman" w:cs="Times New Roman"/>
          <w:spacing w:val="-9"/>
          <w:sz w:val="28"/>
          <w:szCs w:val="28"/>
        </w:rPr>
        <w:t>GJB 3207—1998</w:t>
      </w:r>
      <w:r>
        <w:rPr>
          <w:spacing w:val="-9"/>
          <w:sz w:val="28"/>
          <w:szCs w:val="28"/>
        </w:rPr>
        <w:t>《</w:t>
      </w:r>
      <w:r>
        <w:rPr>
          <w:rFonts w:ascii="楷体" w:hAnsi="楷体" w:eastAsia="楷体" w:cs="楷体"/>
          <w:spacing w:val="-9"/>
          <w:sz w:val="28"/>
          <w:szCs w:val="28"/>
        </w:rPr>
        <w:t>军事装备和设施</w:t>
      </w:r>
      <w:r>
        <w:rPr>
          <w:rFonts w:ascii="楷体" w:hAnsi="楷体" w:eastAsia="楷体" w:cs="楷体"/>
          <w:spacing w:val="-10"/>
          <w:sz w:val="28"/>
          <w:szCs w:val="28"/>
        </w:rPr>
        <w:t>的人机工程要求》编写。</w:t>
      </w:r>
    </w:p>
    <w:p w14:paraId="34DB489C">
      <w:pPr>
        <w:spacing w:before="61"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7"/>
          <w:sz w:val="27"/>
          <w:szCs w:val="27"/>
        </w:rPr>
        <w:t xml:space="preserve">  </w:t>
      </w:r>
      <w:r>
        <w:rPr>
          <w:rFonts w:ascii="黑体" w:hAnsi="黑体" w:eastAsia="黑体" w:cs="黑体"/>
          <w:b/>
          <w:bCs/>
          <w:spacing w:val="-8"/>
          <w:sz w:val="27"/>
          <w:szCs w:val="27"/>
        </w:rPr>
        <w:t>范围</w:t>
      </w:r>
    </w:p>
    <w:p w14:paraId="7BE3240D">
      <w:pPr>
        <w:pStyle w:val="2"/>
        <w:spacing w:before="105" w:line="219" w:lineRule="auto"/>
        <w:ind w:left="570"/>
      </w:pPr>
      <w:r>
        <w:rPr>
          <w:spacing w:val="5"/>
        </w:rPr>
        <w:t>说明人机工程要求的主题内容和适用范围。</w:t>
      </w:r>
    </w:p>
    <w:p w14:paraId="18EB22C2">
      <w:pPr>
        <w:spacing w:before="56" w:line="222" w:lineRule="auto"/>
        <w:rPr>
          <w:rFonts w:ascii="黑体" w:hAnsi="黑体" w:eastAsia="黑体" w:cs="黑体"/>
          <w:sz w:val="27"/>
          <w:szCs w:val="27"/>
        </w:rPr>
      </w:pPr>
      <w:r>
        <w:rPr>
          <w:rFonts w:ascii="Arial" w:hAnsi="Arial" w:eastAsia="Arial" w:cs="Arial"/>
          <w:b/>
          <w:bCs/>
          <w:spacing w:val="-3"/>
          <w:sz w:val="27"/>
          <w:szCs w:val="27"/>
        </w:rPr>
        <w:t>2</w:t>
      </w:r>
      <w:r>
        <w:rPr>
          <w:rFonts w:ascii="Arial" w:hAnsi="Arial" w:eastAsia="Arial" w:cs="Arial"/>
          <w:b/>
          <w:bCs/>
          <w:spacing w:val="22"/>
          <w:sz w:val="27"/>
          <w:szCs w:val="27"/>
        </w:rPr>
        <w:t xml:space="preserve">   </w:t>
      </w:r>
      <w:r>
        <w:rPr>
          <w:rFonts w:ascii="黑体" w:hAnsi="黑体" w:eastAsia="黑体" w:cs="黑体"/>
          <w:b/>
          <w:bCs/>
          <w:spacing w:val="-3"/>
          <w:sz w:val="27"/>
          <w:szCs w:val="27"/>
        </w:rPr>
        <w:t>引用文件</w:t>
      </w:r>
    </w:p>
    <w:p w14:paraId="0BE552D8">
      <w:pPr>
        <w:spacing w:before="106" w:line="223" w:lineRule="auto"/>
        <w:rPr>
          <w:rFonts w:ascii="黑体" w:hAnsi="黑体" w:eastAsia="黑体" w:cs="黑体"/>
          <w:sz w:val="23"/>
          <w:szCs w:val="23"/>
        </w:rPr>
      </w:pPr>
      <w:r>
        <w:rPr>
          <w:rFonts w:ascii="黑体" w:hAnsi="黑体" w:eastAsia="黑体" w:cs="黑体"/>
          <w:spacing w:val="-7"/>
          <w:sz w:val="23"/>
          <w:szCs w:val="23"/>
        </w:rPr>
        <w:t>3</w:t>
      </w:r>
      <w:r>
        <w:rPr>
          <w:rFonts w:ascii="黑体" w:hAnsi="黑体" w:eastAsia="黑体" w:cs="黑体"/>
          <w:spacing w:val="48"/>
          <w:sz w:val="23"/>
          <w:szCs w:val="23"/>
        </w:rPr>
        <w:t xml:space="preserve">  </w:t>
      </w:r>
      <w:r>
        <w:rPr>
          <w:rFonts w:ascii="黑体" w:hAnsi="黑体" w:eastAsia="黑体" w:cs="黑体"/>
          <w:b/>
          <w:bCs/>
          <w:spacing w:val="-7"/>
          <w:sz w:val="23"/>
          <w:szCs w:val="23"/>
        </w:rPr>
        <w:t>定</w:t>
      </w:r>
      <w:r>
        <w:rPr>
          <w:rFonts w:ascii="黑体" w:hAnsi="黑体" w:eastAsia="黑体" w:cs="黑体"/>
          <w:spacing w:val="-18"/>
          <w:sz w:val="23"/>
          <w:szCs w:val="23"/>
        </w:rPr>
        <w:t xml:space="preserve"> </w:t>
      </w:r>
      <w:r>
        <w:rPr>
          <w:rFonts w:ascii="黑体" w:hAnsi="黑体" w:eastAsia="黑体" w:cs="黑体"/>
          <w:b/>
          <w:bCs/>
          <w:spacing w:val="-7"/>
          <w:sz w:val="23"/>
          <w:szCs w:val="23"/>
        </w:rPr>
        <w:t>义</w:t>
      </w:r>
    </w:p>
    <w:p w14:paraId="12E5FF3B">
      <w:pPr>
        <w:spacing w:before="101" w:line="221"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16"/>
          <w:sz w:val="27"/>
          <w:szCs w:val="27"/>
        </w:rPr>
        <w:t xml:space="preserve">  </w:t>
      </w:r>
      <w:r>
        <w:rPr>
          <w:rFonts w:ascii="黑体" w:hAnsi="黑体" w:eastAsia="黑体" w:cs="黑体"/>
          <w:b/>
          <w:bCs/>
          <w:spacing w:val="-2"/>
          <w:sz w:val="27"/>
          <w:szCs w:val="27"/>
        </w:rPr>
        <w:t>一般要求</w:t>
      </w:r>
    </w:p>
    <w:p w14:paraId="4E92BE30">
      <w:pPr>
        <w:spacing w:before="57" w:line="222" w:lineRule="auto"/>
        <w:rPr>
          <w:rFonts w:ascii="黑体" w:hAnsi="黑体" w:eastAsia="黑体" w:cs="黑体"/>
          <w:sz w:val="27"/>
          <w:szCs w:val="27"/>
        </w:rPr>
      </w:pPr>
      <w:r>
        <w:rPr>
          <w:rFonts w:ascii="黑体" w:hAnsi="黑体" w:eastAsia="黑体" w:cs="黑体"/>
          <w:spacing w:val="1"/>
          <w:sz w:val="27"/>
          <w:szCs w:val="27"/>
        </w:rPr>
        <w:t>4.1</w:t>
      </w:r>
      <w:r>
        <w:rPr>
          <w:rFonts w:ascii="黑体" w:hAnsi="黑体" w:eastAsia="黑体" w:cs="黑体"/>
          <w:spacing w:val="24"/>
          <w:sz w:val="27"/>
          <w:szCs w:val="27"/>
        </w:rPr>
        <w:t xml:space="preserve">  </w:t>
      </w:r>
      <w:r>
        <w:rPr>
          <w:rFonts w:ascii="黑体" w:hAnsi="黑体" w:eastAsia="黑体" w:cs="黑体"/>
          <w:b/>
          <w:bCs/>
          <w:spacing w:val="1"/>
          <w:sz w:val="27"/>
          <w:szCs w:val="27"/>
        </w:rPr>
        <w:t>工作目的和工作范围</w:t>
      </w:r>
    </w:p>
    <w:p w14:paraId="1F6EBCD2">
      <w:pPr>
        <w:pStyle w:val="2"/>
        <w:spacing w:before="81" w:line="270" w:lineRule="auto"/>
        <w:ind w:right="123" w:firstLine="570"/>
      </w:pPr>
      <w:r>
        <w:rPr>
          <w:spacing w:val="-3"/>
        </w:rPr>
        <w:t>为使操作者与系统设计有效地结合，在研制和订购军事装备和设施时，应提</w:t>
      </w:r>
      <w:r>
        <w:rPr>
          <w:spacing w:val="9"/>
        </w:rPr>
        <w:t xml:space="preserve"> </w:t>
      </w:r>
      <w:r>
        <w:rPr>
          <w:spacing w:val="2"/>
        </w:rPr>
        <w:t>出人机工程要求。人机工程项目应包括：</w:t>
      </w:r>
    </w:p>
    <w:p w14:paraId="2EC379AC">
      <w:pPr>
        <w:pStyle w:val="2"/>
        <w:spacing w:line="212" w:lineRule="auto"/>
        <w:ind w:left="570"/>
      </w:pPr>
      <w:r>
        <w:rPr>
          <w:rFonts w:ascii="Times New Roman" w:hAnsi="Times New Roman" w:eastAsia="Times New Roman" w:cs="Times New Roman"/>
          <w:spacing w:val="3"/>
        </w:rPr>
        <w:t>a)</w:t>
      </w:r>
      <w:r>
        <w:rPr>
          <w:rFonts w:ascii="Times New Roman" w:hAnsi="Times New Roman" w:eastAsia="Times New Roman" w:cs="Times New Roman"/>
          <w:spacing w:val="75"/>
          <w:w w:val="101"/>
        </w:rPr>
        <w:t xml:space="preserve"> </w:t>
      </w:r>
      <w:r>
        <w:rPr>
          <w:spacing w:val="3"/>
        </w:rPr>
        <w:t>研制或改进操作者与系统的接口；</w:t>
      </w:r>
    </w:p>
    <w:p w14:paraId="6B072C51">
      <w:pPr>
        <w:pStyle w:val="2"/>
        <w:spacing w:before="89" w:line="261" w:lineRule="auto"/>
        <w:ind w:right="123" w:firstLine="570"/>
      </w:pPr>
      <w:r>
        <w:rPr>
          <w:rFonts w:ascii="Times New Roman" w:hAnsi="Times New Roman" w:eastAsia="Times New Roman" w:cs="Times New Roman"/>
          <w:spacing w:val="-5"/>
        </w:rPr>
        <w:t xml:space="preserve">b)  </w:t>
      </w:r>
      <w:r>
        <w:rPr>
          <w:spacing w:val="-5"/>
        </w:rPr>
        <w:t>在系统运行、维修、保障、控制和运输过程中，使操作者效能达到有效发</w:t>
      </w:r>
      <w:r>
        <w:t xml:space="preserve"> </w:t>
      </w:r>
      <w:r>
        <w:rPr>
          <w:spacing w:val="1"/>
        </w:rPr>
        <w:t>挥的设计与措施；</w:t>
      </w:r>
    </w:p>
    <w:p w14:paraId="3504974A">
      <w:pPr>
        <w:pStyle w:val="2"/>
        <w:spacing w:before="57" w:line="212" w:lineRule="auto"/>
        <w:ind w:left="570"/>
      </w:pPr>
      <w:r>
        <w:rPr>
          <w:rFonts w:ascii="Times New Roman" w:hAnsi="Times New Roman" w:eastAsia="Times New Roman" w:cs="Times New Roman"/>
          <w:spacing w:val="-7"/>
        </w:rPr>
        <w:t>c)</w:t>
      </w:r>
      <w:r>
        <w:rPr>
          <w:rFonts w:ascii="Times New Roman" w:hAnsi="Times New Roman" w:eastAsia="Times New Roman" w:cs="Times New Roman"/>
          <w:spacing w:val="58"/>
          <w:w w:val="101"/>
        </w:rPr>
        <w:t xml:space="preserve"> </w:t>
      </w:r>
      <w:r>
        <w:rPr>
          <w:spacing w:val="-7"/>
        </w:rPr>
        <w:t>在人力资源、技巧、训练和费用上制定经济的需求。</w:t>
      </w:r>
    </w:p>
    <w:p w14:paraId="0487092A">
      <w:pPr>
        <w:pStyle w:val="2"/>
        <w:spacing w:before="109" w:line="276" w:lineRule="auto"/>
        <w:ind w:firstLine="570"/>
      </w:pPr>
      <w:r>
        <w:rPr>
          <w:spacing w:val="9"/>
        </w:rPr>
        <w:t>人机工程项目应包括(但不必只限于此)系统研制过程中相互关联的分析、</w:t>
      </w:r>
      <w:r>
        <w:rPr>
          <w:spacing w:val="6"/>
        </w:rPr>
        <w:t xml:space="preserve"> </w:t>
      </w:r>
      <w:r>
        <w:rPr>
          <w:spacing w:val="4"/>
        </w:rPr>
        <w:t>设计与研制和测试与评价三个重要方面。</w:t>
      </w:r>
    </w:p>
    <w:p w14:paraId="01E0DDEE">
      <w:pPr>
        <w:spacing w:line="222" w:lineRule="auto"/>
        <w:rPr>
          <w:rFonts w:ascii="黑体" w:hAnsi="黑体" w:eastAsia="黑体" w:cs="黑体"/>
          <w:sz w:val="25"/>
          <w:szCs w:val="25"/>
        </w:rPr>
      </w:pPr>
      <w:r>
        <w:rPr>
          <w:rFonts w:ascii="黑体" w:hAnsi="黑体" w:eastAsia="黑体" w:cs="黑体"/>
          <w:spacing w:val="-2"/>
          <w:sz w:val="25"/>
          <w:szCs w:val="25"/>
        </w:rPr>
        <w:t xml:space="preserve">4.1.1   </w:t>
      </w:r>
      <w:r>
        <w:rPr>
          <w:rFonts w:ascii="黑体" w:hAnsi="黑体" w:eastAsia="黑体" w:cs="黑体"/>
          <w:b/>
          <w:bCs/>
          <w:spacing w:val="-2"/>
          <w:sz w:val="25"/>
          <w:szCs w:val="25"/>
        </w:rPr>
        <w:t>分</w:t>
      </w:r>
      <w:r>
        <w:rPr>
          <w:rFonts w:ascii="黑体" w:hAnsi="黑体" w:eastAsia="黑体" w:cs="黑体"/>
          <w:spacing w:val="-48"/>
          <w:sz w:val="25"/>
          <w:szCs w:val="25"/>
        </w:rPr>
        <w:t xml:space="preserve"> </w:t>
      </w:r>
      <w:r>
        <w:rPr>
          <w:rFonts w:ascii="黑体" w:hAnsi="黑体" w:eastAsia="黑体" w:cs="黑体"/>
          <w:b/>
          <w:bCs/>
          <w:spacing w:val="-2"/>
          <w:sz w:val="25"/>
          <w:szCs w:val="25"/>
        </w:rPr>
        <w:t>析</w:t>
      </w:r>
    </w:p>
    <w:p w14:paraId="27D73794">
      <w:pPr>
        <w:pStyle w:val="2"/>
        <w:spacing w:before="104" w:line="273" w:lineRule="auto"/>
        <w:ind w:right="39" w:firstLine="570"/>
        <w:jc w:val="both"/>
      </w:pPr>
      <w:r>
        <w:rPr>
          <w:spacing w:val="6"/>
        </w:rPr>
        <w:t>首先根据初始方案进行工作任务分析研究，明</w:t>
      </w:r>
      <w:r>
        <w:rPr>
          <w:spacing w:val="5"/>
        </w:rPr>
        <w:t>确描述依靠系统达到任务目</w:t>
      </w:r>
      <w:r>
        <w:t xml:space="preserve"> </w:t>
      </w:r>
      <w:r>
        <w:rPr>
          <w:spacing w:val="-3"/>
        </w:rPr>
        <w:t>标所应完成的功能。对这些功能进行分析，以便确定操作者、设备、软件或他们</w:t>
      </w:r>
      <w:r>
        <w:rPr>
          <w:spacing w:val="6"/>
        </w:rPr>
        <w:t xml:space="preserve">  </w:t>
      </w:r>
      <w:r>
        <w:rPr>
          <w:spacing w:val="5"/>
        </w:rPr>
        <w:t>之间组合的最佳配置。对已分配了的功能还应进一步剖析，以便明确为达到这</w:t>
      </w:r>
      <w:r>
        <w:t xml:space="preserve">  </w:t>
      </w:r>
      <w:r>
        <w:rPr>
          <w:spacing w:val="5"/>
        </w:rPr>
        <w:t>些功能所必须完成的具体任务。对每项具体任务应进行分析，确定操作者的作</w:t>
      </w:r>
      <w:r>
        <w:rPr>
          <w:spacing w:val="3"/>
        </w:rPr>
        <w:t xml:space="preserve">  </w:t>
      </w:r>
      <w:r>
        <w:rPr>
          <w:spacing w:val="1"/>
        </w:rPr>
        <w:t>业参数和系统或设备乃至软件的能力，以及完成这些</w:t>
      </w:r>
      <w:r>
        <w:t xml:space="preserve">任务时的战术和环境条件。 </w:t>
      </w:r>
      <w:r>
        <w:rPr>
          <w:spacing w:val="-3"/>
        </w:rPr>
        <w:t>任务参数应尽可能地量化，并且采用许可的方式，对整个与系统运行相关联的操</w:t>
      </w:r>
      <w:r>
        <w:rPr>
          <w:spacing w:val="3"/>
        </w:rPr>
        <w:t xml:space="preserve">  </w:t>
      </w:r>
      <w:r>
        <w:rPr>
          <w:spacing w:val="5"/>
        </w:rPr>
        <w:t>作者与系统的接口进行有效性研究。作为分析的一部分，应首先标明人机</w:t>
      </w:r>
      <w:r>
        <w:rPr>
          <w:spacing w:val="4"/>
        </w:rPr>
        <w:t>工程</w:t>
      </w:r>
      <w:r>
        <w:t xml:space="preserve">  </w:t>
      </w:r>
      <w:r>
        <w:rPr>
          <w:spacing w:val="-1"/>
        </w:rPr>
        <w:t>高风险区，并按需要不断地加以修正使其与设计工作保持同步。</w:t>
      </w:r>
    </w:p>
    <w:p w14:paraId="2D5BBD2B">
      <w:pPr>
        <w:spacing w:before="10" w:line="222" w:lineRule="auto"/>
        <w:rPr>
          <w:rFonts w:ascii="黑体" w:hAnsi="黑体" w:eastAsia="黑体" w:cs="黑体"/>
          <w:sz w:val="25"/>
          <w:szCs w:val="25"/>
        </w:rPr>
      </w:pPr>
      <w:r>
        <w:rPr>
          <w:rFonts w:ascii="黑体" w:hAnsi="黑体" w:eastAsia="黑体" w:cs="黑体"/>
          <w:spacing w:val="8"/>
          <w:sz w:val="25"/>
          <w:szCs w:val="25"/>
        </w:rPr>
        <w:t xml:space="preserve">4.1.2   </w:t>
      </w:r>
      <w:r>
        <w:rPr>
          <w:rFonts w:ascii="黑体" w:hAnsi="黑体" w:eastAsia="黑体" w:cs="黑体"/>
          <w:b/>
          <w:bCs/>
          <w:spacing w:val="8"/>
          <w:sz w:val="25"/>
          <w:szCs w:val="25"/>
        </w:rPr>
        <w:t>设计与研制</w:t>
      </w:r>
    </w:p>
    <w:p w14:paraId="5D43E8A4">
      <w:pPr>
        <w:pStyle w:val="2"/>
        <w:spacing w:before="115" w:line="219" w:lineRule="auto"/>
        <w:ind w:left="570"/>
      </w:pPr>
      <w:r>
        <w:rPr>
          <w:spacing w:val="14"/>
        </w:rPr>
        <w:t>按系统功能要求设计和研制那些将与人发生相互关系的系统、设</w:t>
      </w:r>
      <w:r>
        <w:rPr>
          <w:spacing w:val="13"/>
        </w:rPr>
        <w:t>备、软</w:t>
      </w:r>
    </w:p>
    <w:p w14:paraId="44E5E642">
      <w:pPr>
        <w:spacing w:line="219" w:lineRule="auto"/>
        <w:sectPr>
          <w:footerReference r:id="rId623" w:type="default"/>
          <w:pgSz w:w="11910" w:h="17130"/>
          <w:pgMar w:top="1456" w:right="745" w:bottom="1950" w:left="1650" w:header="0" w:footer="1664" w:gutter="0"/>
          <w:cols w:space="720" w:num="1"/>
        </w:sectPr>
      </w:pPr>
    </w:p>
    <w:p w14:paraId="4B42171C">
      <w:pPr>
        <w:pStyle w:val="2"/>
        <w:spacing w:before="52" w:line="280" w:lineRule="auto"/>
        <w:jc w:val="both"/>
      </w:pPr>
      <w:r>
        <w:rPr>
          <w:spacing w:val="-3"/>
        </w:rPr>
        <w:t>件、程序、工作环境和设施时，应考虑人机工程工作，这种工作应将任务、系统</w:t>
      </w:r>
      <w:r>
        <w:rPr>
          <w:spacing w:val="6"/>
        </w:rPr>
        <w:t xml:space="preserve"> </w:t>
      </w:r>
      <w:r>
        <w:rPr>
          <w:spacing w:val="8"/>
        </w:rPr>
        <w:t>和任务分析资料转化成详细的设计和研制计划，以建立操作者与系统的接口，</w:t>
      </w:r>
      <w:r>
        <w:rPr>
          <w:spacing w:val="2"/>
        </w:rPr>
        <w:t xml:space="preserve"> </w:t>
      </w:r>
      <w:r>
        <w:rPr>
          <w:spacing w:val="13"/>
        </w:rPr>
        <w:t>这种接口将在操作者作业能力范围内运行，以满足系统功能要求和达到任务</w:t>
      </w:r>
      <w:r>
        <w:rPr>
          <w:spacing w:val="12"/>
        </w:rPr>
        <w:t xml:space="preserve"> </w:t>
      </w:r>
      <w:r>
        <w:rPr>
          <w:spacing w:val="-10"/>
        </w:rPr>
        <w:t>目标。</w:t>
      </w:r>
    </w:p>
    <w:p w14:paraId="60B1CDEF">
      <w:pPr>
        <w:pStyle w:val="2"/>
        <w:spacing w:before="4" w:line="219" w:lineRule="auto"/>
        <w:ind w:left="529"/>
      </w:pPr>
      <w:r>
        <w:rPr>
          <w:spacing w:val="-1"/>
        </w:rPr>
        <w:t>系统工程包括下列内容：</w:t>
      </w:r>
    </w:p>
    <w:p w14:paraId="1BE13CDA">
      <w:pPr>
        <w:pStyle w:val="2"/>
        <w:spacing w:before="41" w:line="282" w:lineRule="auto"/>
        <w:ind w:right="92" w:firstLine="529"/>
        <w:rPr>
          <w:sz w:val="25"/>
          <w:szCs w:val="25"/>
        </w:rPr>
      </w:pPr>
      <w:r>
        <w:rPr>
          <w:rFonts w:ascii="Times New Roman" w:hAnsi="Times New Roman" w:eastAsia="Times New Roman" w:cs="Times New Roman"/>
          <w:spacing w:val="6"/>
          <w:sz w:val="25"/>
          <w:szCs w:val="25"/>
        </w:rPr>
        <w:t>a)</w:t>
      </w:r>
      <w:r>
        <w:rPr>
          <w:rFonts w:ascii="Times New Roman" w:hAnsi="Times New Roman" w:eastAsia="Times New Roman" w:cs="Times New Roman"/>
          <w:spacing w:val="23"/>
          <w:sz w:val="25"/>
          <w:szCs w:val="25"/>
        </w:rPr>
        <w:t xml:space="preserve">  </w:t>
      </w:r>
      <w:r>
        <w:rPr>
          <w:spacing w:val="6"/>
          <w:sz w:val="25"/>
          <w:szCs w:val="25"/>
        </w:rPr>
        <w:t>与工程项目(包括系统工程)相关的研究、制造、检验、使用、维修、保障以</w:t>
      </w:r>
      <w:r>
        <w:rPr>
          <w:sz w:val="25"/>
          <w:szCs w:val="25"/>
        </w:rPr>
        <w:t xml:space="preserve"> </w:t>
      </w:r>
      <w:r>
        <w:rPr>
          <w:spacing w:val="20"/>
          <w:sz w:val="25"/>
          <w:szCs w:val="25"/>
        </w:rPr>
        <w:t>及系统产品的配置和工艺；</w:t>
      </w:r>
    </w:p>
    <w:p w14:paraId="01BB835F">
      <w:pPr>
        <w:pStyle w:val="2"/>
        <w:spacing w:before="85" w:line="212" w:lineRule="auto"/>
        <w:ind w:left="529"/>
        <w:rPr>
          <w:sz w:val="25"/>
          <w:szCs w:val="25"/>
        </w:rPr>
      </w:pPr>
      <w:r>
        <w:rPr>
          <w:rFonts w:ascii="Times New Roman" w:hAnsi="Times New Roman" w:eastAsia="Times New Roman" w:cs="Times New Roman"/>
          <w:spacing w:val="14"/>
          <w:sz w:val="25"/>
          <w:szCs w:val="25"/>
        </w:rPr>
        <w:t xml:space="preserve">b)  </w:t>
      </w:r>
      <w:r>
        <w:rPr>
          <w:spacing w:val="14"/>
          <w:sz w:val="25"/>
          <w:szCs w:val="25"/>
        </w:rPr>
        <w:t>研究使用方需要的训练设备、步骤和资料；</w:t>
      </w:r>
    </w:p>
    <w:p w14:paraId="6FF1C390">
      <w:pPr>
        <w:pStyle w:val="2"/>
        <w:spacing w:before="133" w:line="212" w:lineRule="auto"/>
        <w:ind w:left="529"/>
        <w:rPr>
          <w:sz w:val="24"/>
          <w:szCs w:val="24"/>
        </w:rPr>
      </w:pPr>
      <w:r>
        <w:rPr>
          <w:rFonts w:ascii="Times New Roman" w:hAnsi="Times New Roman" w:eastAsia="Times New Roman" w:cs="Times New Roman"/>
          <w:spacing w:val="25"/>
          <w:sz w:val="24"/>
          <w:szCs w:val="24"/>
        </w:rPr>
        <w:t xml:space="preserve">c)  </w:t>
      </w:r>
      <w:r>
        <w:rPr>
          <w:spacing w:val="25"/>
          <w:sz w:val="24"/>
          <w:szCs w:val="24"/>
        </w:rPr>
        <w:t>确定系统的维修项目管理；</w:t>
      </w:r>
    </w:p>
    <w:p w14:paraId="3DE631A2">
      <w:pPr>
        <w:pStyle w:val="2"/>
        <w:spacing w:before="82" w:line="212" w:lineRule="auto"/>
        <w:ind w:left="529"/>
      </w:pPr>
      <w:r>
        <w:rPr>
          <w:rFonts w:ascii="Times New Roman" w:hAnsi="Times New Roman" w:eastAsia="Times New Roman" w:cs="Times New Roman"/>
          <w:spacing w:val="3"/>
        </w:rPr>
        <w:t xml:space="preserve">d)  </w:t>
      </w:r>
      <w:r>
        <w:rPr>
          <w:spacing w:val="3"/>
        </w:rPr>
        <w:t>研究工作故障的构成和工作说明；</w:t>
      </w:r>
    </w:p>
    <w:p w14:paraId="3D9E136C">
      <w:pPr>
        <w:pStyle w:val="2"/>
        <w:spacing w:before="100" w:line="212" w:lineRule="auto"/>
        <w:ind w:left="529"/>
      </w:pPr>
      <w:r>
        <w:rPr>
          <w:rFonts w:ascii="Times New Roman" w:hAnsi="Times New Roman" w:eastAsia="Times New Roman" w:cs="Times New Roman"/>
          <w:spacing w:val="3"/>
        </w:rPr>
        <w:t xml:space="preserve">e)  </w:t>
      </w:r>
      <w:r>
        <w:rPr>
          <w:spacing w:val="3"/>
        </w:rPr>
        <w:t>为管理决策提供补充信息。</w:t>
      </w:r>
    </w:p>
    <w:p w14:paraId="2396DC90">
      <w:pPr>
        <w:pStyle w:val="2"/>
        <w:spacing w:before="139" w:line="219" w:lineRule="auto"/>
        <w:ind w:left="529"/>
      </w:pPr>
      <w:r>
        <w:rPr>
          <w:spacing w:val="3"/>
        </w:rPr>
        <w:t>上述内容均应包含人机工程要求。</w:t>
      </w:r>
    </w:p>
    <w:p w14:paraId="5FF3E117">
      <w:pPr>
        <w:spacing w:before="95" w:line="221" w:lineRule="auto"/>
        <w:rPr>
          <w:rFonts w:ascii="黑体" w:hAnsi="黑体" w:eastAsia="黑体" w:cs="黑体"/>
          <w:sz w:val="24"/>
          <w:szCs w:val="24"/>
        </w:rPr>
      </w:pPr>
      <w:r>
        <w:rPr>
          <w:rFonts w:ascii="黑体" w:hAnsi="黑体" w:eastAsia="黑体" w:cs="黑体"/>
          <w:spacing w:val="15"/>
          <w:sz w:val="24"/>
          <w:szCs w:val="24"/>
        </w:rPr>
        <w:t>4.1.3</w:t>
      </w:r>
      <w:r>
        <w:rPr>
          <w:rFonts w:ascii="黑体" w:hAnsi="黑体" w:eastAsia="黑体" w:cs="黑体"/>
          <w:spacing w:val="10"/>
          <w:sz w:val="24"/>
          <w:szCs w:val="24"/>
        </w:rPr>
        <w:t xml:space="preserve">   </w:t>
      </w:r>
      <w:r>
        <w:rPr>
          <w:rFonts w:ascii="黑体" w:hAnsi="黑体" w:eastAsia="黑体" w:cs="黑体"/>
          <w:b/>
          <w:bCs/>
          <w:spacing w:val="15"/>
          <w:sz w:val="24"/>
          <w:szCs w:val="24"/>
        </w:rPr>
        <w:t>测试与评价</w:t>
      </w:r>
    </w:p>
    <w:p w14:paraId="1D57133B">
      <w:pPr>
        <w:pStyle w:val="2"/>
        <w:spacing w:before="88" w:line="281" w:lineRule="auto"/>
        <w:ind w:right="103" w:firstLine="529"/>
      </w:pPr>
      <w:r>
        <w:rPr>
          <w:spacing w:val="-3"/>
        </w:rPr>
        <w:t>为核实军事装备和设施满足人机工程准则、可操作性、维修性以及在预定应</w:t>
      </w:r>
      <w:r>
        <w:rPr>
          <w:spacing w:val="9"/>
        </w:rPr>
        <w:t xml:space="preserve"> </w:t>
      </w:r>
      <w:r>
        <w:rPr>
          <w:spacing w:val="-1"/>
        </w:rPr>
        <w:t>用性能内与总的系统要求的一致性，应对他们进行测试和评价。</w:t>
      </w:r>
    </w:p>
    <w:p w14:paraId="6A8FF953">
      <w:pPr>
        <w:spacing w:before="16" w:line="221" w:lineRule="auto"/>
        <w:rPr>
          <w:rFonts w:ascii="黑体" w:hAnsi="黑体" w:eastAsia="黑体" w:cs="黑体"/>
          <w:sz w:val="24"/>
          <w:szCs w:val="24"/>
        </w:rPr>
      </w:pPr>
      <w:r>
        <w:rPr>
          <w:rFonts w:ascii="黑体" w:hAnsi="黑体" w:eastAsia="黑体" w:cs="黑体"/>
          <w:spacing w:val="27"/>
          <w:sz w:val="24"/>
          <w:szCs w:val="24"/>
        </w:rPr>
        <w:t>4.2</w:t>
      </w:r>
      <w:r>
        <w:rPr>
          <w:rFonts w:ascii="黑体" w:hAnsi="黑体" w:eastAsia="黑体" w:cs="黑体"/>
          <w:spacing w:val="46"/>
          <w:sz w:val="24"/>
          <w:szCs w:val="24"/>
        </w:rPr>
        <w:t xml:space="preserve">  </w:t>
      </w:r>
      <w:r>
        <w:rPr>
          <w:rFonts w:ascii="黑体" w:hAnsi="黑体" w:eastAsia="黑体" w:cs="黑体"/>
          <w:spacing w:val="27"/>
          <w:sz w:val="24"/>
          <w:szCs w:val="24"/>
        </w:rPr>
        <w:t>人机工程大纲方案</w:t>
      </w:r>
    </w:p>
    <w:p w14:paraId="617D5B08">
      <w:pPr>
        <w:pStyle w:val="2"/>
        <w:spacing w:before="85" w:line="276" w:lineRule="auto"/>
        <w:ind w:right="103" w:firstLine="529"/>
        <w:jc w:val="both"/>
      </w:pPr>
      <w:r>
        <w:t>人机工程大纲方案应符合</w:t>
      </w:r>
      <w:r>
        <w:rPr>
          <w:rFonts w:ascii="Times New Roman" w:hAnsi="Times New Roman" w:eastAsia="Times New Roman" w:cs="Times New Roman"/>
        </w:rPr>
        <w:t>GJB</w:t>
      </w:r>
      <w:r>
        <w:rPr>
          <w:rFonts w:ascii="Times New Roman" w:hAnsi="Times New Roman" w:eastAsia="Times New Roman" w:cs="Times New Roman"/>
          <w:spacing w:val="21"/>
        </w:rPr>
        <w:t xml:space="preserve">  </w:t>
      </w:r>
      <w:r>
        <w:rPr>
          <w:rFonts w:ascii="Times New Roman" w:hAnsi="Times New Roman" w:eastAsia="Times New Roman" w:cs="Times New Roman"/>
        </w:rPr>
        <w:t>3207—1998</w:t>
      </w:r>
      <w:r>
        <w:rPr>
          <w:rFonts w:ascii="Times New Roman" w:hAnsi="Times New Roman" w:eastAsia="Times New Roman" w:cs="Times New Roman"/>
          <w:spacing w:val="-14"/>
        </w:rPr>
        <w:t xml:space="preserve"> </w:t>
      </w:r>
      <w:r>
        <w:t>和设备</w:t>
      </w:r>
      <w:r>
        <w:rPr>
          <w:spacing w:val="-1"/>
        </w:rPr>
        <w:t>规范的要求，应包含总体</w:t>
      </w:r>
      <w:r>
        <w:t xml:space="preserve"> </w:t>
      </w:r>
      <w:r>
        <w:rPr>
          <w:spacing w:val="-10"/>
        </w:rPr>
        <w:t>方案中将要完成的任务、人机工程的重要阶段、工作水平、使</w:t>
      </w:r>
      <w:r>
        <w:rPr>
          <w:spacing w:val="-11"/>
        </w:rPr>
        <w:t>用的方法、采用的设</w:t>
      </w:r>
      <w:r>
        <w:t xml:space="preserve"> </w:t>
      </w:r>
      <w:r>
        <w:rPr>
          <w:spacing w:val="4"/>
        </w:rPr>
        <w:t>计原理以及测试和评价大纲等综合性工作。通常包括下列内容：</w:t>
      </w:r>
    </w:p>
    <w:p w14:paraId="3971F55B">
      <w:pPr>
        <w:pStyle w:val="2"/>
        <w:spacing w:line="212" w:lineRule="auto"/>
        <w:ind w:left="529"/>
      </w:pPr>
      <w:r>
        <w:rPr>
          <w:rFonts w:ascii="Times New Roman" w:hAnsi="Times New Roman" w:eastAsia="Times New Roman" w:cs="Times New Roman"/>
          <w:spacing w:val="3"/>
        </w:rPr>
        <w:t xml:space="preserve">a)  </w:t>
      </w:r>
      <w:r>
        <w:rPr>
          <w:spacing w:val="3"/>
        </w:rPr>
        <w:t>制定可操作的逼真的任务剖面和任务概要；</w:t>
      </w:r>
    </w:p>
    <w:p w14:paraId="752B3C04">
      <w:pPr>
        <w:pStyle w:val="2"/>
        <w:spacing w:before="122" w:line="212" w:lineRule="auto"/>
        <w:ind w:left="529"/>
        <w:rPr>
          <w:sz w:val="24"/>
          <w:szCs w:val="24"/>
        </w:rPr>
      </w:pPr>
      <w:r>
        <w:rPr>
          <w:rFonts w:ascii="Times New Roman" w:hAnsi="Times New Roman" w:eastAsia="Times New Roman" w:cs="Times New Roman"/>
          <w:spacing w:val="25"/>
          <w:sz w:val="24"/>
          <w:szCs w:val="24"/>
        </w:rPr>
        <w:t>b)</w:t>
      </w:r>
      <w:r>
        <w:rPr>
          <w:rFonts w:ascii="Times New Roman" w:hAnsi="Times New Roman" w:eastAsia="Times New Roman" w:cs="Times New Roman"/>
          <w:spacing w:val="29"/>
          <w:sz w:val="24"/>
          <w:szCs w:val="24"/>
        </w:rPr>
        <w:t xml:space="preserve">  </w:t>
      </w:r>
      <w:r>
        <w:rPr>
          <w:spacing w:val="25"/>
          <w:sz w:val="24"/>
          <w:szCs w:val="24"/>
        </w:rPr>
        <w:t>制定系统功能流程图；</w:t>
      </w:r>
    </w:p>
    <w:p w14:paraId="6AE4D147">
      <w:pPr>
        <w:pStyle w:val="2"/>
        <w:spacing w:before="92" w:line="212" w:lineRule="auto"/>
        <w:ind w:left="529"/>
      </w:pPr>
      <w:r>
        <w:rPr>
          <w:rFonts w:ascii="Times New Roman" w:hAnsi="Times New Roman" w:eastAsia="Times New Roman" w:cs="Times New Roman"/>
          <w:spacing w:val="4"/>
        </w:rPr>
        <w:t xml:space="preserve">c)  </w:t>
      </w:r>
      <w:r>
        <w:rPr>
          <w:spacing w:val="4"/>
        </w:rPr>
        <w:t>制定每一个流程的功能分析和明确操作及保障设备和设施的</w:t>
      </w:r>
      <w:r>
        <w:rPr>
          <w:spacing w:val="3"/>
        </w:rPr>
        <w:t>要求；</w:t>
      </w:r>
    </w:p>
    <w:p w14:paraId="6DB6D673">
      <w:pPr>
        <w:pStyle w:val="2"/>
        <w:spacing w:before="110" w:line="212" w:lineRule="auto"/>
        <w:ind w:left="529"/>
      </w:pPr>
      <w:r>
        <w:rPr>
          <w:rFonts w:ascii="Times New Roman" w:hAnsi="Times New Roman" w:eastAsia="Times New Roman" w:cs="Times New Roman"/>
          <w:spacing w:val="-4"/>
        </w:rPr>
        <w:t xml:space="preserve">d)  </w:t>
      </w:r>
      <w:r>
        <w:rPr>
          <w:spacing w:val="-4"/>
        </w:rPr>
        <w:t>制定系统、分系统设计方案程序图表；</w:t>
      </w:r>
    </w:p>
    <w:p w14:paraId="6648EC6F">
      <w:pPr>
        <w:pStyle w:val="2"/>
        <w:spacing w:before="91" w:line="264" w:lineRule="auto"/>
        <w:ind w:right="103" w:firstLine="529"/>
      </w:pPr>
      <w:r>
        <w:rPr>
          <w:rFonts w:ascii="Times New Roman" w:hAnsi="Times New Roman" w:eastAsia="Times New Roman" w:cs="Times New Roman"/>
          <w:spacing w:val="-5"/>
        </w:rPr>
        <w:t>e)</w:t>
      </w:r>
      <w:r>
        <w:rPr>
          <w:rFonts w:ascii="Times New Roman" w:hAnsi="Times New Roman" w:eastAsia="Times New Roman" w:cs="Times New Roman"/>
          <w:spacing w:val="73"/>
        </w:rPr>
        <w:t xml:space="preserve"> </w:t>
      </w:r>
      <w:r>
        <w:rPr>
          <w:spacing w:val="-5"/>
        </w:rPr>
        <w:t>研究详细功能、环境和设计技术要求，将任务分配给操作者、设备、软件</w:t>
      </w:r>
      <w:r>
        <w:t xml:space="preserve"> </w:t>
      </w:r>
      <w:r>
        <w:rPr>
          <w:spacing w:val="-1"/>
        </w:rPr>
        <w:t>或他们的组合；</w:t>
      </w:r>
    </w:p>
    <w:p w14:paraId="342F5CE5">
      <w:pPr>
        <w:pStyle w:val="2"/>
        <w:spacing w:before="47" w:line="212" w:lineRule="auto"/>
        <w:ind w:left="529"/>
      </w:pPr>
      <w:r>
        <w:rPr>
          <w:rFonts w:ascii="Times New Roman" w:hAnsi="Times New Roman" w:eastAsia="Times New Roman" w:cs="Times New Roman"/>
          <w:spacing w:val="4"/>
        </w:rPr>
        <w:t xml:space="preserve">f)  </w:t>
      </w:r>
      <w:r>
        <w:rPr>
          <w:spacing w:val="4"/>
        </w:rPr>
        <w:t>制定操作和维修时间性分析及确定系统</w:t>
      </w:r>
      <w:r>
        <w:rPr>
          <w:spacing w:val="3"/>
        </w:rPr>
        <w:t>反应时间；</w:t>
      </w:r>
    </w:p>
    <w:p w14:paraId="15AC862D">
      <w:pPr>
        <w:pStyle w:val="2"/>
        <w:spacing w:before="112" w:line="283" w:lineRule="auto"/>
        <w:ind w:right="104" w:firstLine="529"/>
        <w:rPr>
          <w:sz w:val="25"/>
          <w:szCs w:val="25"/>
        </w:rPr>
      </w:pPr>
      <w:r>
        <w:rPr>
          <w:rFonts w:ascii="Times New Roman" w:hAnsi="Times New Roman" w:eastAsia="Times New Roman" w:cs="Times New Roman"/>
          <w:spacing w:val="29"/>
          <w:sz w:val="25"/>
          <w:szCs w:val="25"/>
        </w:rPr>
        <w:t xml:space="preserve">g)  </w:t>
      </w:r>
      <w:r>
        <w:rPr>
          <w:spacing w:val="29"/>
          <w:sz w:val="25"/>
          <w:szCs w:val="25"/>
        </w:rPr>
        <w:t>制定和分析操作及维修工作载荷和任务资料标准对于设备和程序设计</w:t>
      </w:r>
      <w:r>
        <w:rPr>
          <w:sz w:val="25"/>
          <w:szCs w:val="25"/>
        </w:rPr>
        <w:t xml:space="preserve"> </w:t>
      </w:r>
      <w:r>
        <w:rPr>
          <w:spacing w:val="17"/>
          <w:sz w:val="25"/>
          <w:szCs w:val="25"/>
        </w:rPr>
        <w:t>及确定设备数量的影响、人员数量和技能要求、预计和未预计维修时的系统停机</w:t>
      </w:r>
      <w:r>
        <w:rPr>
          <w:spacing w:val="3"/>
          <w:sz w:val="25"/>
          <w:szCs w:val="25"/>
        </w:rPr>
        <w:t xml:space="preserve"> </w:t>
      </w:r>
      <w:r>
        <w:rPr>
          <w:spacing w:val="8"/>
          <w:sz w:val="25"/>
          <w:szCs w:val="25"/>
        </w:rPr>
        <w:t>时间；</w:t>
      </w:r>
    </w:p>
    <w:p w14:paraId="64A0BCCA">
      <w:pPr>
        <w:pStyle w:val="2"/>
        <w:spacing w:before="48" w:line="212" w:lineRule="auto"/>
        <w:ind w:left="529"/>
      </w:pPr>
      <w:r>
        <w:rPr>
          <w:rFonts w:ascii="Times New Roman" w:hAnsi="Times New Roman" w:eastAsia="Times New Roman" w:cs="Times New Roman"/>
          <w:spacing w:val="2"/>
        </w:rPr>
        <w:t xml:space="preserve">h)  </w:t>
      </w:r>
      <w:r>
        <w:rPr>
          <w:spacing w:val="2"/>
        </w:rPr>
        <w:t>对演示结果作出评估；</w:t>
      </w:r>
    </w:p>
    <w:p w14:paraId="4346C571">
      <w:pPr>
        <w:pStyle w:val="2"/>
        <w:spacing w:before="100" w:line="212" w:lineRule="auto"/>
        <w:ind w:left="529"/>
      </w:pPr>
      <w:r>
        <w:rPr>
          <w:rFonts w:ascii="Times New Roman" w:hAnsi="Times New Roman" w:eastAsia="Times New Roman" w:cs="Times New Roman"/>
          <w:spacing w:val="2"/>
        </w:rPr>
        <w:t>i)</w:t>
      </w:r>
      <w:r>
        <w:rPr>
          <w:rFonts w:ascii="Times New Roman" w:hAnsi="Times New Roman" w:eastAsia="Times New Roman" w:cs="Times New Roman"/>
          <w:spacing w:val="69"/>
        </w:rPr>
        <w:t xml:space="preserve"> </w:t>
      </w:r>
      <w:r>
        <w:rPr>
          <w:spacing w:val="2"/>
        </w:rPr>
        <w:t>进行职业要求研究；</w:t>
      </w:r>
    </w:p>
    <w:p w14:paraId="11263C18">
      <w:pPr>
        <w:pStyle w:val="2"/>
        <w:spacing w:before="119" w:line="212" w:lineRule="auto"/>
        <w:ind w:left="529"/>
      </w:pPr>
      <w:r>
        <w:rPr>
          <w:rFonts w:ascii="Times New Roman" w:hAnsi="Times New Roman" w:eastAsia="Times New Roman" w:cs="Times New Roman"/>
          <w:spacing w:val="4"/>
        </w:rPr>
        <w:t>j)</w:t>
      </w:r>
      <w:r>
        <w:rPr>
          <w:rFonts w:ascii="Times New Roman" w:hAnsi="Times New Roman" w:eastAsia="Times New Roman" w:cs="Times New Roman"/>
          <w:spacing w:val="55"/>
          <w:w w:val="101"/>
        </w:rPr>
        <w:t xml:space="preserve"> </w:t>
      </w:r>
      <w:r>
        <w:rPr>
          <w:spacing w:val="4"/>
        </w:rPr>
        <w:t>参与系统有关规范的制定；</w:t>
      </w:r>
    </w:p>
    <w:p w14:paraId="0947601A">
      <w:pPr>
        <w:pStyle w:val="2"/>
        <w:spacing w:before="81" w:line="212" w:lineRule="auto"/>
        <w:ind w:left="529"/>
      </w:pPr>
      <w:r>
        <w:rPr>
          <w:rFonts w:ascii="Times New Roman" w:hAnsi="Times New Roman" w:eastAsia="Times New Roman" w:cs="Times New Roman"/>
          <w:spacing w:val="-3"/>
        </w:rPr>
        <w:t xml:space="preserve">k)  </w:t>
      </w:r>
      <w:r>
        <w:rPr>
          <w:spacing w:val="-3"/>
        </w:rPr>
        <w:t>参与设计审查、验证和试验/评审活动；</w:t>
      </w:r>
    </w:p>
    <w:p w14:paraId="0008D4B4">
      <w:pPr>
        <w:pStyle w:val="2"/>
        <w:spacing w:before="110" w:line="219" w:lineRule="auto"/>
        <w:ind w:left="529"/>
      </w:pPr>
      <w:r>
        <w:rPr>
          <w:spacing w:val="5"/>
        </w:rPr>
        <w:t>1)软件和硬件用户接口以及应用程序和步骤的设计效果。</w:t>
      </w:r>
    </w:p>
    <w:p w14:paraId="1D294C79">
      <w:pPr>
        <w:spacing w:line="219" w:lineRule="auto"/>
        <w:sectPr>
          <w:footerReference r:id="rId624" w:type="default"/>
          <w:pgSz w:w="11910" w:h="17130"/>
          <w:pgMar w:top="1285" w:right="1444" w:bottom="1880" w:left="1009" w:header="0" w:footer="1672" w:gutter="0"/>
          <w:cols w:space="720" w:num="1"/>
        </w:sectPr>
      </w:pPr>
    </w:p>
    <w:p w14:paraId="3263C4CB">
      <w:pPr>
        <w:spacing w:before="48" w:line="222" w:lineRule="auto"/>
        <w:rPr>
          <w:rFonts w:ascii="黑体" w:hAnsi="黑体" w:eastAsia="黑体" w:cs="黑体"/>
          <w:sz w:val="24"/>
          <w:szCs w:val="24"/>
        </w:rPr>
      </w:pPr>
      <w:r>
        <w:rPr>
          <w:rFonts w:ascii="黑体" w:hAnsi="黑体" w:eastAsia="黑体" w:cs="黑体"/>
          <w:spacing w:val="17"/>
          <w:sz w:val="24"/>
          <w:szCs w:val="24"/>
        </w:rPr>
        <w:t>4.3</w:t>
      </w:r>
      <w:r>
        <w:rPr>
          <w:rFonts w:ascii="黑体" w:hAnsi="黑体" w:eastAsia="黑体" w:cs="黑体"/>
          <w:spacing w:val="53"/>
          <w:sz w:val="24"/>
          <w:szCs w:val="24"/>
        </w:rPr>
        <w:t xml:space="preserve">  </w:t>
      </w:r>
      <w:r>
        <w:rPr>
          <w:rFonts w:ascii="黑体" w:hAnsi="黑体" w:eastAsia="黑体" w:cs="黑体"/>
          <w:b/>
          <w:bCs/>
          <w:spacing w:val="17"/>
          <w:sz w:val="24"/>
          <w:szCs w:val="24"/>
        </w:rPr>
        <w:t>风险管理</w:t>
      </w:r>
    </w:p>
    <w:p w14:paraId="0E1C13CC">
      <w:pPr>
        <w:pStyle w:val="2"/>
        <w:spacing w:before="80" w:line="273" w:lineRule="auto"/>
        <w:ind w:right="92" w:firstLine="570"/>
        <w:jc w:val="both"/>
      </w:pPr>
      <w:r>
        <w:rPr>
          <w:spacing w:val="5"/>
        </w:rPr>
        <w:t>在系统的全寿命期内，应制定和实施风险管理程序。</w:t>
      </w:r>
      <w:r>
        <w:rPr>
          <w:spacing w:val="4"/>
        </w:rPr>
        <w:t>风险管理要求见</w:t>
      </w:r>
      <w:r>
        <w:rPr>
          <w:spacing w:val="-79"/>
        </w:rPr>
        <w:t xml:space="preserve"> </w:t>
      </w:r>
      <w:r>
        <w:rPr>
          <w:rFonts w:ascii="Times New Roman" w:hAnsi="Times New Roman" w:eastAsia="Times New Roman" w:cs="Times New Roman"/>
        </w:rPr>
        <w:t xml:space="preserve">GJB </w:t>
      </w:r>
      <w:r>
        <w:rPr>
          <w:spacing w:val="6"/>
        </w:rPr>
        <w:t>2993—1997中的附录</w:t>
      </w:r>
      <w:r>
        <w:rPr>
          <w:rFonts w:ascii="Times New Roman" w:hAnsi="Times New Roman" w:eastAsia="Times New Roman" w:cs="Times New Roman"/>
          <w:spacing w:val="6"/>
        </w:rPr>
        <w:t>A</w:t>
      </w:r>
      <w:r>
        <w:rPr>
          <w:rFonts w:ascii="Times New Roman" w:hAnsi="Times New Roman" w:eastAsia="Times New Roman" w:cs="Times New Roman"/>
          <w:spacing w:val="-31"/>
        </w:rPr>
        <w:t xml:space="preserve"> </w:t>
      </w:r>
      <w:r>
        <w:rPr>
          <w:spacing w:val="6"/>
        </w:rPr>
        <w:t>。应明确涉及技术可行性、成本或预定风险的操作者的</w:t>
      </w:r>
      <w:r>
        <w:t xml:space="preserve"> </w:t>
      </w:r>
      <w:r>
        <w:rPr>
          <w:spacing w:val="5"/>
        </w:rPr>
        <w:t>作业和人机工程设计准则问题，分析和尽可能早地优先确定消除或减少有关风</w:t>
      </w:r>
      <w:r>
        <w:rPr>
          <w:spacing w:val="11"/>
        </w:rPr>
        <w:t xml:space="preserve"> </w:t>
      </w:r>
      <w:r>
        <w:rPr>
          <w:spacing w:val="6"/>
        </w:rPr>
        <w:t>险的措施，以便达到可接受的水平。这些措施应</w:t>
      </w:r>
      <w:r>
        <w:rPr>
          <w:spacing w:val="5"/>
        </w:rPr>
        <w:t>在人机工程方案中得到实施和</w:t>
      </w:r>
      <w:r>
        <w:t xml:space="preserve"> </w:t>
      </w:r>
      <w:r>
        <w:rPr>
          <w:spacing w:val="3"/>
        </w:rPr>
        <w:t>监控。风险管理应包括下列内容：</w:t>
      </w:r>
    </w:p>
    <w:p w14:paraId="7904AD77">
      <w:pPr>
        <w:pStyle w:val="2"/>
        <w:spacing w:before="2" w:line="260" w:lineRule="auto"/>
        <w:ind w:right="84" w:firstLine="570"/>
      </w:pPr>
      <w:r>
        <w:rPr>
          <w:rFonts w:ascii="Times New Roman" w:hAnsi="Times New Roman" w:eastAsia="Times New Roman" w:cs="Times New Roman"/>
          <w:spacing w:val="3"/>
        </w:rPr>
        <w:t>a)</w:t>
      </w:r>
      <w:r>
        <w:rPr>
          <w:rFonts w:ascii="Times New Roman" w:hAnsi="Times New Roman" w:eastAsia="Times New Roman" w:cs="Times New Roman"/>
          <w:spacing w:val="63"/>
        </w:rPr>
        <w:t xml:space="preserve"> </w:t>
      </w:r>
      <w:r>
        <w:rPr>
          <w:spacing w:val="3"/>
        </w:rPr>
        <w:t>确定由于操作者与系统结合的设计状况可能引起成本、进度、设计和性</w:t>
      </w:r>
      <w:r>
        <w:t xml:space="preserve"> </w:t>
      </w:r>
      <w:r>
        <w:rPr>
          <w:spacing w:val="-1"/>
        </w:rPr>
        <w:t>能的风险；</w:t>
      </w:r>
    </w:p>
    <w:p w14:paraId="4CEB881F">
      <w:pPr>
        <w:pStyle w:val="2"/>
        <w:spacing w:before="46" w:line="212" w:lineRule="auto"/>
        <w:ind w:left="570"/>
      </w:pPr>
      <w:r>
        <w:rPr>
          <w:rFonts w:ascii="Times New Roman" w:hAnsi="Times New Roman" w:eastAsia="Times New Roman" w:cs="Times New Roman"/>
          <w:spacing w:val="-1"/>
        </w:rPr>
        <w:t>b)</w:t>
      </w:r>
      <w:r>
        <w:rPr>
          <w:rFonts w:ascii="Times New Roman" w:hAnsi="Times New Roman" w:eastAsia="Times New Roman" w:cs="Times New Roman"/>
          <w:spacing w:val="69"/>
        </w:rPr>
        <w:t xml:space="preserve"> </w:t>
      </w:r>
      <w:r>
        <w:rPr>
          <w:spacing w:val="-1"/>
        </w:rPr>
        <w:t>对风险量及风险与成本、进度及性能上的影响进行量化；</w:t>
      </w:r>
    </w:p>
    <w:p w14:paraId="0C91F9E0">
      <w:pPr>
        <w:pStyle w:val="2"/>
        <w:spacing w:before="110" w:line="212" w:lineRule="auto"/>
        <w:ind w:left="570"/>
      </w:pPr>
      <w:r>
        <w:rPr>
          <w:rFonts w:ascii="Times New Roman" w:hAnsi="Times New Roman" w:eastAsia="Times New Roman" w:cs="Times New Roman"/>
          <w:spacing w:val="4"/>
        </w:rPr>
        <w:t>c)</w:t>
      </w:r>
      <w:r>
        <w:rPr>
          <w:rFonts w:ascii="Times New Roman" w:hAnsi="Times New Roman" w:eastAsia="Times New Roman" w:cs="Times New Roman"/>
          <w:spacing w:val="44"/>
          <w:w w:val="101"/>
        </w:rPr>
        <w:t xml:space="preserve"> </w:t>
      </w:r>
      <w:r>
        <w:rPr>
          <w:spacing w:val="4"/>
        </w:rPr>
        <w:t>评价和规定与人机工程设计相关的风险敏感度；</w:t>
      </w:r>
    </w:p>
    <w:p w14:paraId="06F0B696">
      <w:pPr>
        <w:pStyle w:val="2"/>
        <w:spacing w:before="121" w:line="261" w:lineRule="auto"/>
        <w:ind w:right="85" w:firstLine="570"/>
        <w:rPr>
          <w:sz w:val="25"/>
          <w:szCs w:val="25"/>
        </w:rPr>
      </w:pPr>
      <w:r>
        <w:rPr>
          <w:rFonts w:ascii="Times New Roman" w:hAnsi="Times New Roman" w:eastAsia="Times New Roman" w:cs="Times New Roman"/>
          <w:spacing w:val="21"/>
          <w:sz w:val="25"/>
          <w:szCs w:val="25"/>
        </w:rPr>
        <w:t xml:space="preserve">d)  </w:t>
      </w:r>
      <w:r>
        <w:rPr>
          <w:spacing w:val="21"/>
          <w:sz w:val="25"/>
          <w:szCs w:val="25"/>
        </w:rPr>
        <w:t>对于中等和高风险的人机工程问题，确定可供选</w:t>
      </w:r>
      <w:r>
        <w:rPr>
          <w:spacing w:val="20"/>
          <w:sz w:val="25"/>
          <w:szCs w:val="25"/>
        </w:rPr>
        <w:t>择的解决办法并确定他</w:t>
      </w:r>
      <w:r>
        <w:rPr>
          <w:sz w:val="25"/>
          <w:szCs w:val="25"/>
        </w:rPr>
        <w:t xml:space="preserve"> </w:t>
      </w:r>
      <w:r>
        <w:rPr>
          <w:spacing w:val="17"/>
          <w:sz w:val="25"/>
          <w:szCs w:val="25"/>
        </w:rPr>
        <w:t>们的风险；</w:t>
      </w:r>
    </w:p>
    <w:p w14:paraId="13E34F5F">
      <w:pPr>
        <w:pStyle w:val="2"/>
        <w:spacing w:before="94" w:line="212" w:lineRule="auto"/>
        <w:ind w:left="570"/>
        <w:rPr>
          <w:sz w:val="24"/>
          <w:szCs w:val="24"/>
        </w:rPr>
      </w:pPr>
      <w:r>
        <w:rPr>
          <w:rFonts w:ascii="Times New Roman" w:hAnsi="Times New Roman" w:eastAsia="Times New Roman" w:cs="Times New Roman"/>
          <w:spacing w:val="21"/>
          <w:sz w:val="24"/>
          <w:szCs w:val="24"/>
        </w:rPr>
        <w:t xml:space="preserve">e)  </w:t>
      </w:r>
      <w:r>
        <w:rPr>
          <w:spacing w:val="21"/>
          <w:sz w:val="24"/>
          <w:szCs w:val="24"/>
        </w:rPr>
        <w:t>为避免、减少、控制或接受任一人机工程风险开展工作；</w:t>
      </w:r>
    </w:p>
    <w:p w14:paraId="46093DF7">
      <w:pPr>
        <w:pStyle w:val="2"/>
        <w:spacing w:before="113" w:line="212" w:lineRule="auto"/>
        <w:ind w:left="570"/>
      </w:pPr>
      <w:r>
        <w:rPr>
          <w:rFonts w:ascii="Times New Roman" w:hAnsi="Times New Roman" w:eastAsia="Times New Roman" w:cs="Times New Roman"/>
          <w:spacing w:val="3"/>
        </w:rPr>
        <w:t>f)</w:t>
      </w:r>
      <w:r>
        <w:rPr>
          <w:rFonts w:ascii="Times New Roman" w:hAnsi="Times New Roman" w:eastAsia="Times New Roman" w:cs="Times New Roman"/>
          <w:spacing w:val="80"/>
          <w:w w:val="101"/>
        </w:rPr>
        <w:t xml:space="preserve"> </w:t>
      </w:r>
      <w:r>
        <w:rPr>
          <w:spacing w:val="3"/>
        </w:rPr>
        <w:t>确保人员特性及设计风险是规范要求的要素。</w:t>
      </w:r>
    </w:p>
    <w:p w14:paraId="0FDC1B40">
      <w:pPr>
        <w:spacing w:before="134" w:line="222" w:lineRule="auto"/>
        <w:rPr>
          <w:rFonts w:ascii="黑体" w:hAnsi="黑体" w:eastAsia="黑体" w:cs="黑体"/>
          <w:sz w:val="24"/>
          <w:szCs w:val="24"/>
        </w:rPr>
      </w:pPr>
      <w:r>
        <w:rPr>
          <w:rFonts w:ascii="黑体" w:hAnsi="黑体" w:eastAsia="黑体" w:cs="黑体"/>
          <w:spacing w:val="-4"/>
          <w:sz w:val="24"/>
          <w:szCs w:val="24"/>
        </w:rPr>
        <w:t>4.4</w:t>
      </w:r>
      <w:r>
        <w:rPr>
          <w:rFonts w:ascii="黑体" w:hAnsi="黑体" w:eastAsia="黑体" w:cs="黑体"/>
          <w:spacing w:val="54"/>
          <w:sz w:val="24"/>
          <w:szCs w:val="24"/>
        </w:rPr>
        <w:t xml:space="preserve">  </w:t>
      </w:r>
      <w:r>
        <w:rPr>
          <w:rFonts w:ascii="黑体" w:hAnsi="黑体" w:eastAsia="黑体" w:cs="黑体"/>
          <w:b/>
          <w:bCs/>
          <w:spacing w:val="-4"/>
          <w:sz w:val="24"/>
          <w:szCs w:val="24"/>
        </w:rPr>
        <w:t>评</w:t>
      </w:r>
      <w:r>
        <w:rPr>
          <w:rFonts w:ascii="黑体" w:hAnsi="黑体" w:eastAsia="黑体" w:cs="黑体"/>
          <w:spacing w:val="-34"/>
          <w:sz w:val="24"/>
          <w:szCs w:val="24"/>
        </w:rPr>
        <w:t xml:space="preserve"> </w:t>
      </w:r>
      <w:r>
        <w:rPr>
          <w:rFonts w:ascii="黑体" w:hAnsi="黑体" w:eastAsia="黑体" w:cs="黑体"/>
          <w:b/>
          <w:bCs/>
          <w:spacing w:val="-4"/>
          <w:sz w:val="24"/>
          <w:szCs w:val="24"/>
        </w:rPr>
        <w:t>审</w:t>
      </w:r>
    </w:p>
    <w:p w14:paraId="24BF3F6C">
      <w:pPr>
        <w:spacing w:before="72" w:line="222" w:lineRule="auto"/>
        <w:rPr>
          <w:rFonts w:ascii="黑体" w:hAnsi="黑体" w:eastAsia="黑体" w:cs="黑体"/>
          <w:sz w:val="27"/>
          <w:szCs w:val="27"/>
        </w:rPr>
      </w:pPr>
      <w:r>
        <w:rPr>
          <w:rFonts w:ascii="黑体" w:hAnsi="黑体" w:eastAsia="黑体" w:cs="黑体"/>
          <w:sz w:val="27"/>
          <w:szCs w:val="27"/>
        </w:rPr>
        <w:t>4.4.1</w:t>
      </w:r>
      <w:r>
        <w:rPr>
          <w:rFonts w:ascii="黑体" w:hAnsi="黑体" w:eastAsia="黑体" w:cs="黑体"/>
          <w:spacing w:val="21"/>
          <w:sz w:val="27"/>
          <w:szCs w:val="27"/>
        </w:rPr>
        <w:t xml:space="preserve">  </w:t>
      </w:r>
      <w:r>
        <w:rPr>
          <w:rFonts w:ascii="黑体" w:hAnsi="黑体" w:eastAsia="黑体" w:cs="黑体"/>
          <w:b/>
          <w:bCs/>
          <w:sz w:val="27"/>
          <w:szCs w:val="27"/>
        </w:rPr>
        <w:t>主要技术评审</w:t>
      </w:r>
    </w:p>
    <w:p w14:paraId="20A9213D">
      <w:pPr>
        <w:pStyle w:val="2"/>
        <w:spacing w:before="110" w:line="266" w:lineRule="auto"/>
        <w:ind w:firstLine="570"/>
        <w:jc w:val="both"/>
        <w:rPr>
          <w:rFonts w:ascii="Times New Roman" w:hAnsi="Times New Roman" w:eastAsia="Times New Roman" w:cs="Times New Roman"/>
        </w:rPr>
      </w:pPr>
      <w:r>
        <w:rPr>
          <w:spacing w:val="3"/>
        </w:rPr>
        <w:t>按</w:t>
      </w:r>
      <w:r>
        <w:rPr>
          <w:rFonts w:ascii="Times New Roman" w:hAnsi="Times New Roman" w:eastAsia="Times New Roman" w:cs="Times New Roman"/>
        </w:rPr>
        <w:t>GJB</w:t>
      </w:r>
      <w:r>
        <w:rPr>
          <w:rFonts w:ascii="Times New Roman" w:hAnsi="Times New Roman" w:eastAsia="Times New Roman" w:cs="Times New Roman"/>
          <w:spacing w:val="35"/>
        </w:rPr>
        <w:t xml:space="preserve">  </w:t>
      </w:r>
      <w:r>
        <w:rPr>
          <w:rFonts w:ascii="Times New Roman" w:hAnsi="Times New Roman" w:eastAsia="Times New Roman" w:cs="Times New Roman"/>
          <w:spacing w:val="3"/>
        </w:rPr>
        <w:t>2993</w:t>
      </w:r>
      <w:r>
        <w:rPr>
          <w:spacing w:val="3"/>
        </w:rPr>
        <w:t>中5.2条的阶段划分(</w:t>
      </w:r>
      <w:r>
        <w:rPr>
          <w:spacing w:val="-32"/>
        </w:rPr>
        <w:t xml:space="preserve"> </w:t>
      </w:r>
      <w:r>
        <w:rPr>
          <w:rFonts w:ascii="Times New Roman" w:hAnsi="Times New Roman" w:eastAsia="Times New Roman" w:cs="Times New Roman"/>
          <w:spacing w:val="3"/>
        </w:rPr>
        <w:t>I.</w:t>
      </w:r>
      <w:r>
        <w:rPr>
          <w:rFonts w:ascii="Times New Roman" w:hAnsi="Times New Roman" w:eastAsia="Times New Roman" w:cs="Times New Roman"/>
          <w:spacing w:val="32"/>
        </w:rPr>
        <w:t xml:space="preserve">  </w:t>
      </w:r>
      <w:r>
        <w:rPr>
          <w:spacing w:val="3"/>
        </w:rPr>
        <w:t>论证阶段；Ⅱ.方案阶段；Ⅲ.工程研</w:t>
      </w:r>
      <w:r>
        <w:t xml:space="preserve"> </w:t>
      </w:r>
      <w:r>
        <w:rPr>
          <w:spacing w:val="2"/>
        </w:rPr>
        <w:t>制阶段；</w:t>
      </w:r>
      <w:r>
        <w:rPr>
          <w:rFonts w:ascii="Times New Roman" w:hAnsi="Times New Roman" w:eastAsia="Times New Roman" w:cs="Times New Roman"/>
        </w:rPr>
        <w:t>IV</w:t>
      </w:r>
      <w:r>
        <w:rPr>
          <w:rFonts w:ascii="Times New Roman" w:hAnsi="Times New Roman" w:eastAsia="Times New Roman" w:cs="Times New Roman"/>
          <w:spacing w:val="2"/>
        </w:rPr>
        <w:t>.</w:t>
      </w:r>
      <w:r>
        <w:rPr>
          <w:spacing w:val="2"/>
        </w:rPr>
        <w:t>设计定型阶段；</w:t>
      </w:r>
      <w:r>
        <w:rPr>
          <w:rFonts w:ascii="Times New Roman" w:hAnsi="Times New Roman" w:eastAsia="Times New Roman" w:cs="Times New Roman"/>
          <w:spacing w:val="2"/>
        </w:rPr>
        <w:t>V.</w:t>
      </w:r>
      <w:r>
        <w:rPr>
          <w:rFonts w:ascii="Times New Roman" w:hAnsi="Times New Roman" w:eastAsia="Times New Roman" w:cs="Times New Roman"/>
          <w:spacing w:val="54"/>
        </w:rPr>
        <w:t xml:space="preserve"> </w:t>
      </w:r>
      <w:r>
        <w:rPr>
          <w:spacing w:val="2"/>
        </w:rPr>
        <w:t>生产定型阶段)和</w:t>
      </w:r>
      <w:r>
        <w:rPr>
          <w:rFonts w:ascii="Times New Roman" w:hAnsi="Times New Roman" w:eastAsia="Times New Roman" w:cs="Times New Roman"/>
        </w:rPr>
        <w:t>GJB</w:t>
      </w:r>
      <w:r>
        <w:rPr>
          <w:rFonts w:ascii="Times New Roman" w:hAnsi="Times New Roman" w:eastAsia="Times New Roman" w:cs="Times New Roman"/>
          <w:spacing w:val="2"/>
        </w:rPr>
        <w:t xml:space="preserve">   3207—1998</w:t>
      </w:r>
      <w:r>
        <w:rPr>
          <w:spacing w:val="2"/>
        </w:rPr>
        <w:t>规定的要求，</w:t>
      </w:r>
      <w:r>
        <w:t xml:space="preserve"> </w:t>
      </w:r>
      <w:r>
        <w:rPr>
          <w:spacing w:val="6"/>
        </w:rPr>
        <w:t>凡列在技术评审中的人机工程项目都应进行评审(见</w:t>
      </w:r>
      <w:r>
        <w:rPr>
          <w:spacing w:val="-67"/>
        </w:rPr>
        <w:t xml:space="preserve"> </w:t>
      </w:r>
      <w:r>
        <w:rPr>
          <w:rFonts w:ascii="Times New Roman" w:hAnsi="Times New Roman" w:eastAsia="Times New Roman" w:cs="Times New Roman"/>
        </w:rPr>
        <w:t>GJB</w:t>
      </w:r>
      <w:r>
        <w:rPr>
          <w:rFonts w:ascii="Times New Roman" w:hAnsi="Times New Roman" w:eastAsia="Times New Roman" w:cs="Times New Roman"/>
          <w:spacing w:val="1"/>
        </w:rPr>
        <w:t xml:space="preserve">   </w:t>
      </w:r>
      <w:r>
        <w:rPr>
          <w:rFonts w:ascii="Times New Roman" w:hAnsi="Times New Roman" w:eastAsia="Times New Roman" w:cs="Times New Roman"/>
          <w:spacing w:val="6"/>
        </w:rPr>
        <w:t xml:space="preserve">3207—1998 </w:t>
      </w:r>
      <w:r>
        <w:rPr>
          <w:spacing w:val="6"/>
        </w:rPr>
        <w:t>附</w:t>
      </w:r>
      <w:r>
        <w:rPr>
          <w:spacing w:val="-58"/>
        </w:rPr>
        <w:t xml:space="preserve"> </w:t>
      </w:r>
      <w:r>
        <w:rPr>
          <w:spacing w:val="6"/>
        </w:rPr>
        <w:t>录</w:t>
      </w:r>
      <w:r>
        <w:rPr>
          <w:spacing w:val="-78"/>
        </w:rPr>
        <w:t xml:space="preserve"> </w:t>
      </w:r>
      <w:r>
        <w:rPr>
          <w:rFonts w:ascii="Times New Roman" w:hAnsi="Times New Roman" w:eastAsia="Times New Roman" w:cs="Times New Roman"/>
          <w:spacing w:val="6"/>
        </w:rPr>
        <w:t>A</w:t>
      </w:r>
      <w:r>
        <w:rPr>
          <w:rFonts w:ascii="Times New Roman" w:hAnsi="Times New Roman" w:eastAsia="Times New Roman" w:cs="Times New Roman"/>
        </w:rPr>
        <w:t xml:space="preserve">   </w:t>
      </w:r>
      <w:r>
        <w:rPr>
          <w:spacing w:val="-3"/>
        </w:rPr>
        <w:t>表</w:t>
      </w:r>
      <w:r>
        <w:rPr>
          <w:spacing w:val="-64"/>
        </w:rPr>
        <w:t xml:space="preserve"> </w:t>
      </w:r>
      <w:r>
        <w:rPr>
          <w:rFonts w:ascii="Times New Roman" w:hAnsi="Times New Roman" w:eastAsia="Times New Roman" w:cs="Times New Roman"/>
          <w:spacing w:val="-3"/>
        </w:rPr>
        <w:t>A1):</w:t>
      </w:r>
    </w:p>
    <w:p w14:paraId="1A17CAC4">
      <w:pPr>
        <w:pStyle w:val="2"/>
        <w:spacing w:before="34" w:line="212" w:lineRule="auto"/>
        <w:ind w:left="570"/>
        <w:rPr>
          <w:rFonts w:ascii="Times New Roman" w:hAnsi="Times New Roman" w:eastAsia="Times New Roman" w:cs="Times New Roman"/>
        </w:rPr>
      </w:pPr>
      <w:r>
        <w:rPr>
          <w:rFonts w:ascii="Times New Roman" w:hAnsi="Times New Roman" w:eastAsia="Times New Roman" w:cs="Times New Roman"/>
          <w:spacing w:val="5"/>
        </w:rPr>
        <w:t>a</w:t>
      </w:r>
      <w:r>
        <w:rPr>
          <w:spacing w:val="5"/>
        </w:rPr>
        <w:t>)</w:t>
      </w:r>
      <w:r>
        <w:rPr>
          <w:spacing w:val="-28"/>
        </w:rPr>
        <w:t xml:space="preserve"> </w:t>
      </w:r>
      <w:r>
        <w:rPr>
          <w:spacing w:val="5"/>
        </w:rPr>
        <w:t>系统方案的评审(阶段</w:t>
      </w:r>
      <w:r>
        <w:rPr>
          <w:rFonts w:ascii="Times New Roman" w:hAnsi="Times New Roman" w:eastAsia="Times New Roman" w:cs="Times New Roman"/>
          <w:spacing w:val="5"/>
        </w:rPr>
        <w:t>I);</w:t>
      </w:r>
    </w:p>
    <w:p w14:paraId="1543DB23">
      <w:pPr>
        <w:pStyle w:val="2"/>
        <w:spacing w:before="132" w:line="212" w:lineRule="auto"/>
        <w:ind w:left="570"/>
        <w:rPr>
          <w:sz w:val="24"/>
          <w:szCs w:val="24"/>
        </w:rPr>
      </w:pPr>
      <w:r>
        <w:rPr>
          <w:rFonts w:ascii="Times New Roman" w:hAnsi="Times New Roman" w:eastAsia="Times New Roman" w:cs="Times New Roman"/>
          <w:spacing w:val="28"/>
          <w:sz w:val="24"/>
          <w:szCs w:val="24"/>
        </w:rPr>
        <w:t>b)</w:t>
      </w:r>
      <w:r>
        <w:rPr>
          <w:rFonts w:ascii="Times New Roman" w:hAnsi="Times New Roman" w:eastAsia="Times New Roman" w:cs="Times New Roman"/>
          <w:spacing w:val="29"/>
          <w:w w:val="101"/>
          <w:sz w:val="24"/>
          <w:szCs w:val="24"/>
        </w:rPr>
        <w:t xml:space="preserve">  </w:t>
      </w:r>
      <w:r>
        <w:rPr>
          <w:spacing w:val="28"/>
          <w:sz w:val="24"/>
          <w:szCs w:val="24"/>
        </w:rPr>
        <w:t>系统要求的评审(阶段Ⅱ);</w:t>
      </w:r>
    </w:p>
    <w:p w14:paraId="2D0F9D48">
      <w:pPr>
        <w:pStyle w:val="2"/>
        <w:spacing w:before="124" w:line="212" w:lineRule="auto"/>
        <w:ind w:left="570"/>
        <w:rPr>
          <w:sz w:val="25"/>
          <w:szCs w:val="25"/>
        </w:rPr>
      </w:pPr>
      <w:r>
        <w:rPr>
          <w:rFonts w:ascii="Times New Roman" w:hAnsi="Times New Roman" w:eastAsia="Times New Roman" w:cs="Times New Roman"/>
          <w:spacing w:val="14"/>
          <w:sz w:val="25"/>
          <w:szCs w:val="25"/>
        </w:rPr>
        <w:t xml:space="preserve">c)  </w:t>
      </w:r>
      <w:r>
        <w:rPr>
          <w:spacing w:val="14"/>
          <w:sz w:val="25"/>
          <w:szCs w:val="25"/>
        </w:rPr>
        <w:t>系统功能评审(阶段Ⅱ、Ⅲ或</w:t>
      </w:r>
      <w:r>
        <w:rPr>
          <w:rFonts w:ascii="Times New Roman" w:hAnsi="Times New Roman" w:eastAsia="Times New Roman" w:cs="Times New Roman"/>
          <w:sz w:val="25"/>
          <w:szCs w:val="25"/>
        </w:rPr>
        <w:t>IV</w:t>
      </w:r>
      <w:r>
        <w:rPr>
          <w:rFonts w:ascii="Times New Roman" w:hAnsi="Times New Roman" w:eastAsia="Times New Roman" w:cs="Times New Roman"/>
          <w:spacing w:val="14"/>
          <w:sz w:val="25"/>
          <w:szCs w:val="25"/>
        </w:rPr>
        <w:t xml:space="preserve">, </w:t>
      </w:r>
      <w:r>
        <w:rPr>
          <w:spacing w:val="14"/>
          <w:sz w:val="25"/>
          <w:szCs w:val="25"/>
        </w:rPr>
        <w:t>按经费定);</w:t>
      </w:r>
    </w:p>
    <w:p w14:paraId="7D3BA3C9">
      <w:pPr>
        <w:pStyle w:val="2"/>
        <w:spacing w:before="101" w:line="212" w:lineRule="auto"/>
        <w:ind w:left="570"/>
      </w:pPr>
      <w:r>
        <w:rPr>
          <w:rFonts w:ascii="Times New Roman" w:hAnsi="Times New Roman" w:eastAsia="Times New Roman" w:cs="Times New Roman"/>
          <w:spacing w:val="-5"/>
        </w:rPr>
        <w:t xml:space="preserve">d)  </w:t>
      </w:r>
      <w:r>
        <w:rPr>
          <w:spacing w:val="-5"/>
        </w:rPr>
        <w:t>样机初步设计评审(阶段Ⅱ、Ⅲ、</w:t>
      </w:r>
      <w:r>
        <w:rPr>
          <w:rFonts w:ascii="Times New Roman" w:hAnsi="Times New Roman" w:eastAsia="Times New Roman" w:cs="Times New Roman"/>
          <w:spacing w:val="-6"/>
        </w:rPr>
        <w:t>IV</w:t>
      </w:r>
      <w:r>
        <w:rPr>
          <w:spacing w:val="-6"/>
        </w:rPr>
        <w:t>或</w:t>
      </w:r>
      <w:r>
        <w:rPr>
          <w:spacing w:val="-51"/>
        </w:rPr>
        <w:t xml:space="preserve"> </w:t>
      </w:r>
      <w:r>
        <w:rPr>
          <w:rFonts w:ascii="Times New Roman" w:hAnsi="Times New Roman" w:eastAsia="Times New Roman" w:cs="Times New Roman"/>
          <w:spacing w:val="-6"/>
        </w:rPr>
        <w:t>V,</w:t>
      </w:r>
      <w:r>
        <w:rPr>
          <w:rFonts w:ascii="Times New Roman" w:hAnsi="Times New Roman" w:eastAsia="Times New Roman" w:cs="Times New Roman"/>
          <w:spacing w:val="23"/>
        </w:rPr>
        <w:t xml:space="preserve"> </w:t>
      </w:r>
      <w:r>
        <w:rPr>
          <w:spacing w:val="-6"/>
        </w:rPr>
        <w:t>按经费定);</w:t>
      </w:r>
    </w:p>
    <w:p w14:paraId="65FE6FAA">
      <w:pPr>
        <w:pStyle w:val="2"/>
        <w:spacing w:before="100" w:line="212" w:lineRule="auto"/>
        <w:ind w:left="570"/>
      </w:pPr>
      <w:r>
        <w:rPr>
          <w:rFonts w:ascii="Times New Roman" w:hAnsi="Times New Roman" w:eastAsia="Times New Roman" w:cs="Times New Roman"/>
          <w:spacing w:val="-6"/>
        </w:rPr>
        <w:t>e)</w:t>
      </w:r>
      <w:r>
        <w:rPr>
          <w:rFonts w:ascii="Times New Roman" w:hAnsi="Times New Roman" w:eastAsia="Times New Roman" w:cs="Times New Roman"/>
          <w:spacing w:val="57"/>
        </w:rPr>
        <w:t xml:space="preserve"> </w:t>
      </w:r>
      <w:r>
        <w:rPr>
          <w:spacing w:val="-6"/>
        </w:rPr>
        <w:t>关键设计评审(阶段Ⅱ、Ⅲ、</w:t>
      </w:r>
      <w:r>
        <w:rPr>
          <w:rFonts w:ascii="Times New Roman" w:hAnsi="Times New Roman" w:eastAsia="Times New Roman" w:cs="Times New Roman"/>
          <w:spacing w:val="-6"/>
        </w:rPr>
        <w:t>IV</w:t>
      </w:r>
      <w:r>
        <w:rPr>
          <w:spacing w:val="-6"/>
        </w:rPr>
        <w:t>或</w:t>
      </w:r>
      <w:r>
        <w:rPr>
          <w:spacing w:val="-32"/>
        </w:rPr>
        <w:t xml:space="preserve"> </w:t>
      </w:r>
      <w:r>
        <w:rPr>
          <w:rFonts w:ascii="Times New Roman" w:hAnsi="Times New Roman" w:eastAsia="Times New Roman" w:cs="Times New Roman"/>
          <w:spacing w:val="-6"/>
        </w:rPr>
        <w:t xml:space="preserve">V, </w:t>
      </w:r>
      <w:r>
        <w:rPr>
          <w:spacing w:val="-6"/>
        </w:rPr>
        <w:t>按经费定);</w:t>
      </w:r>
    </w:p>
    <w:p w14:paraId="604D661F">
      <w:pPr>
        <w:pStyle w:val="2"/>
        <w:spacing w:before="100" w:line="212" w:lineRule="auto"/>
        <w:ind w:left="570"/>
      </w:pPr>
      <w:r>
        <w:rPr>
          <w:rFonts w:ascii="Times New Roman" w:hAnsi="Times New Roman" w:eastAsia="Times New Roman" w:cs="Times New Roman"/>
          <w:spacing w:val="-4"/>
        </w:rPr>
        <w:t xml:space="preserve">f)  </w:t>
      </w:r>
      <w:r>
        <w:rPr>
          <w:spacing w:val="-4"/>
        </w:rPr>
        <w:t>系统检验评审(阶段Ⅲ、</w:t>
      </w:r>
      <w:r>
        <w:rPr>
          <w:rFonts w:ascii="Times New Roman" w:hAnsi="Times New Roman" w:eastAsia="Times New Roman" w:cs="Times New Roman"/>
          <w:spacing w:val="-4"/>
        </w:rPr>
        <w:t>IV</w:t>
      </w:r>
      <w:r>
        <w:rPr>
          <w:spacing w:val="-4"/>
        </w:rPr>
        <w:t>或</w:t>
      </w:r>
      <w:r>
        <w:rPr>
          <w:spacing w:val="-40"/>
        </w:rPr>
        <w:t xml:space="preserve"> </w:t>
      </w:r>
      <w:r>
        <w:rPr>
          <w:rFonts w:ascii="Times New Roman" w:hAnsi="Times New Roman" w:eastAsia="Times New Roman" w:cs="Times New Roman"/>
          <w:spacing w:val="-4"/>
        </w:rPr>
        <w:t>V,</w:t>
      </w:r>
      <w:r>
        <w:rPr>
          <w:rFonts w:ascii="Times New Roman" w:hAnsi="Times New Roman" w:eastAsia="Times New Roman" w:cs="Times New Roman"/>
          <w:spacing w:val="23"/>
        </w:rPr>
        <w:t xml:space="preserve"> </w:t>
      </w:r>
      <w:r>
        <w:rPr>
          <w:spacing w:val="-4"/>
        </w:rPr>
        <w:t>按经费定)。</w:t>
      </w:r>
    </w:p>
    <w:p w14:paraId="7FBE7E64">
      <w:pPr>
        <w:spacing w:before="144" w:line="221" w:lineRule="auto"/>
        <w:rPr>
          <w:rFonts w:ascii="黑体" w:hAnsi="黑体" w:eastAsia="黑体" w:cs="黑体"/>
          <w:sz w:val="24"/>
          <w:szCs w:val="24"/>
        </w:rPr>
      </w:pPr>
      <w:r>
        <w:rPr>
          <w:rFonts w:ascii="黑体" w:hAnsi="黑体" w:eastAsia="黑体" w:cs="黑体"/>
          <w:spacing w:val="19"/>
          <w:sz w:val="24"/>
          <w:szCs w:val="24"/>
        </w:rPr>
        <w:t>4.4.2</w:t>
      </w:r>
      <w:r>
        <w:rPr>
          <w:rFonts w:ascii="黑体" w:hAnsi="黑体" w:eastAsia="黑体" w:cs="黑体"/>
          <w:spacing w:val="3"/>
          <w:sz w:val="24"/>
          <w:szCs w:val="24"/>
        </w:rPr>
        <w:t xml:space="preserve">   </w:t>
      </w:r>
      <w:r>
        <w:rPr>
          <w:rFonts w:ascii="黑体" w:hAnsi="黑体" w:eastAsia="黑体" w:cs="黑体"/>
          <w:b/>
          <w:bCs/>
          <w:spacing w:val="19"/>
          <w:sz w:val="24"/>
          <w:szCs w:val="24"/>
        </w:rPr>
        <w:t>分系统评审</w:t>
      </w:r>
    </w:p>
    <w:p w14:paraId="1A3F21B9">
      <w:pPr>
        <w:pStyle w:val="2"/>
        <w:spacing w:before="119" w:line="269" w:lineRule="auto"/>
        <w:ind w:right="83" w:firstLine="570"/>
      </w:pPr>
      <w:r>
        <w:rPr>
          <w:spacing w:val="5"/>
        </w:rPr>
        <w:t>分系统也应进行人机工程项目评审，这些项目包括适用的软件规范和试验</w:t>
      </w:r>
      <w:r>
        <w:rPr>
          <w:spacing w:val="10"/>
        </w:rPr>
        <w:t xml:space="preserve"> </w:t>
      </w:r>
      <w:r>
        <w:rPr>
          <w:spacing w:val="-11"/>
        </w:rPr>
        <w:t>准备的功能评审(即保障、训练、系统工程、试验和制造)。</w:t>
      </w:r>
    </w:p>
    <w:p w14:paraId="4918D09D">
      <w:pPr>
        <w:spacing w:before="27" w:line="222" w:lineRule="auto"/>
        <w:rPr>
          <w:rFonts w:ascii="黑体" w:hAnsi="黑体" w:eastAsia="黑体" w:cs="黑体"/>
          <w:sz w:val="24"/>
          <w:szCs w:val="24"/>
        </w:rPr>
      </w:pPr>
      <w:r>
        <w:rPr>
          <w:rFonts w:ascii="黑体" w:hAnsi="黑体" w:eastAsia="黑体" w:cs="黑体"/>
          <w:spacing w:val="23"/>
          <w:sz w:val="24"/>
          <w:szCs w:val="24"/>
        </w:rPr>
        <w:t>4.5</w:t>
      </w:r>
      <w:r>
        <w:rPr>
          <w:rFonts w:ascii="黑体" w:hAnsi="黑体" w:eastAsia="黑体" w:cs="黑体"/>
          <w:spacing w:val="46"/>
          <w:sz w:val="24"/>
          <w:szCs w:val="24"/>
        </w:rPr>
        <w:t xml:space="preserve">  </w:t>
      </w:r>
      <w:r>
        <w:rPr>
          <w:rFonts w:ascii="黑体" w:hAnsi="黑体" w:eastAsia="黑体" w:cs="黑体"/>
          <w:b/>
          <w:bCs/>
          <w:spacing w:val="23"/>
          <w:sz w:val="24"/>
          <w:szCs w:val="24"/>
        </w:rPr>
        <w:t>协调与观察</w:t>
      </w:r>
    </w:p>
    <w:p w14:paraId="5DD3009F">
      <w:pPr>
        <w:pStyle w:val="2"/>
        <w:spacing w:before="108" w:line="281" w:lineRule="auto"/>
        <w:ind w:firstLine="570"/>
        <w:jc w:val="both"/>
      </w:pPr>
      <w:r>
        <w:rPr>
          <w:spacing w:val="-19"/>
        </w:rPr>
        <w:t>人机工程大纲应与可靠性、有效性、维修性、系统安全、生存力、设施工程、综</w:t>
      </w:r>
      <w:r>
        <w:rPr>
          <w:spacing w:val="4"/>
        </w:rPr>
        <w:t xml:space="preserve"> </w:t>
      </w:r>
      <w:r>
        <w:t>合保障以及生物医学、生命保障、操作和训练等与人的因素有关的功能相协调，</w:t>
      </w:r>
      <w:r>
        <w:rPr>
          <w:spacing w:val="14"/>
        </w:rPr>
        <w:t xml:space="preserve"> </w:t>
      </w:r>
      <w:r>
        <w:rPr>
          <w:spacing w:val="6"/>
        </w:rPr>
        <w:t>并且应将这些功能综合到整个系统大纲中去</w:t>
      </w:r>
      <w:r>
        <w:rPr>
          <w:spacing w:val="5"/>
        </w:rPr>
        <w:t>。为便于使用，人机工程资料应编</w:t>
      </w:r>
      <w:r>
        <w:t xml:space="preserve"> </w:t>
      </w:r>
      <w:r>
        <w:rPr>
          <w:spacing w:val="5"/>
        </w:rPr>
        <w:t>入装备保障性分析记录。人机工程项目应尽可能采用装备保障性分析记录作为</w:t>
      </w:r>
    </w:p>
    <w:p w14:paraId="3B1BA311">
      <w:pPr>
        <w:spacing w:line="281" w:lineRule="auto"/>
        <w:sectPr>
          <w:footerReference r:id="rId625" w:type="default"/>
          <w:pgSz w:w="11910" w:h="17130"/>
          <w:pgMar w:top="1426" w:right="924" w:bottom="1753" w:left="1519" w:header="0" w:footer="1555" w:gutter="0"/>
          <w:cols w:space="720" w:num="1"/>
        </w:sectPr>
      </w:pPr>
    </w:p>
    <w:p w14:paraId="23087EEC">
      <w:pPr>
        <w:pStyle w:val="2"/>
        <w:spacing w:before="55" w:line="289" w:lineRule="auto"/>
        <w:ind w:right="147"/>
      </w:pPr>
      <w:r>
        <w:rPr>
          <w:spacing w:val="-2"/>
        </w:rPr>
        <w:t>资料来源。人机工程分析、设计或试验与评估大</w:t>
      </w:r>
      <w:r>
        <w:rPr>
          <w:spacing w:val="-3"/>
        </w:rPr>
        <w:t>纲的任一部分，应在承制方负责</w:t>
      </w:r>
      <w:r>
        <w:t xml:space="preserve"> </w:t>
      </w:r>
      <w:r>
        <w:rPr>
          <w:spacing w:val="4"/>
        </w:rPr>
        <w:t>人机工程工作的人员直接观察下进行。</w:t>
      </w:r>
    </w:p>
    <w:p w14:paraId="24BC6D37">
      <w:pPr>
        <w:spacing w:line="221" w:lineRule="auto"/>
        <w:rPr>
          <w:rFonts w:ascii="黑体" w:hAnsi="黑体" w:eastAsia="黑体" w:cs="黑体"/>
          <w:sz w:val="25"/>
          <w:szCs w:val="25"/>
        </w:rPr>
      </w:pPr>
      <w:r>
        <w:rPr>
          <w:rFonts w:ascii="黑体" w:hAnsi="黑体" w:eastAsia="黑体" w:cs="黑体"/>
          <w:spacing w:val="-6"/>
          <w:sz w:val="25"/>
          <w:szCs w:val="25"/>
        </w:rPr>
        <w:t>4.6</w:t>
      </w:r>
      <w:r>
        <w:rPr>
          <w:rFonts w:ascii="黑体" w:hAnsi="黑体" w:eastAsia="黑体" w:cs="黑体"/>
          <w:spacing w:val="36"/>
          <w:sz w:val="25"/>
          <w:szCs w:val="25"/>
        </w:rPr>
        <w:t xml:space="preserve">  </w:t>
      </w:r>
      <w:r>
        <w:rPr>
          <w:rFonts w:ascii="黑体" w:hAnsi="黑体" w:eastAsia="黑体" w:cs="黑体"/>
          <w:b/>
          <w:bCs/>
          <w:spacing w:val="-6"/>
          <w:sz w:val="25"/>
          <w:szCs w:val="25"/>
        </w:rPr>
        <w:t>资</w:t>
      </w:r>
      <w:r>
        <w:rPr>
          <w:rFonts w:ascii="黑体" w:hAnsi="黑体" w:eastAsia="黑体" w:cs="黑体"/>
          <w:spacing w:val="-44"/>
          <w:sz w:val="25"/>
          <w:szCs w:val="25"/>
        </w:rPr>
        <w:t xml:space="preserve"> </w:t>
      </w:r>
      <w:r>
        <w:rPr>
          <w:rFonts w:ascii="黑体" w:hAnsi="黑体" w:eastAsia="黑体" w:cs="黑体"/>
          <w:b/>
          <w:bCs/>
          <w:spacing w:val="-6"/>
          <w:sz w:val="25"/>
          <w:szCs w:val="25"/>
        </w:rPr>
        <w:t>料</w:t>
      </w:r>
    </w:p>
    <w:p w14:paraId="4F2C9B76">
      <w:pPr>
        <w:spacing w:before="119" w:line="222" w:lineRule="auto"/>
        <w:rPr>
          <w:rFonts w:ascii="黑体" w:hAnsi="黑体" w:eastAsia="黑体" w:cs="黑体"/>
          <w:sz w:val="24"/>
          <w:szCs w:val="24"/>
        </w:rPr>
      </w:pPr>
      <w:r>
        <w:rPr>
          <w:rFonts w:ascii="黑体" w:hAnsi="黑体" w:eastAsia="黑体" w:cs="黑体"/>
          <w:spacing w:val="13"/>
          <w:sz w:val="24"/>
          <w:szCs w:val="24"/>
        </w:rPr>
        <w:t>4.6.1</w:t>
      </w:r>
      <w:r>
        <w:rPr>
          <w:rFonts w:ascii="黑体" w:hAnsi="黑体" w:eastAsia="黑体" w:cs="黑体"/>
          <w:spacing w:val="7"/>
          <w:sz w:val="24"/>
          <w:szCs w:val="24"/>
        </w:rPr>
        <w:t xml:space="preserve">   </w:t>
      </w:r>
      <w:r>
        <w:rPr>
          <w:rFonts w:ascii="黑体" w:hAnsi="黑体" w:eastAsia="黑体" w:cs="黑体"/>
          <w:b/>
          <w:bCs/>
          <w:spacing w:val="13"/>
          <w:sz w:val="24"/>
          <w:szCs w:val="24"/>
        </w:rPr>
        <w:t>可追溯性</w:t>
      </w:r>
    </w:p>
    <w:p w14:paraId="0BD2AC99">
      <w:pPr>
        <w:pStyle w:val="2"/>
        <w:spacing w:before="86" w:line="277" w:lineRule="auto"/>
        <w:ind w:right="121" w:firstLine="570"/>
        <w:jc w:val="both"/>
      </w:pPr>
      <w:r>
        <w:rPr>
          <w:spacing w:val="-3"/>
        </w:rPr>
        <w:t>从分析和给出人机工程要求开始，到通过设计和研制过程实现这些要求，为</w:t>
      </w:r>
      <w:r>
        <w:rPr>
          <w:spacing w:val="11"/>
        </w:rPr>
        <w:t xml:space="preserve"> </w:t>
      </w:r>
      <w:r>
        <w:rPr>
          <w:spacing w:val="-3"/>
        </w:rPr>
        <w:t>表明被审批的设计、软件及工艺程序在试验和评审中这些要求已被满足，承制方</w:t>
      </w:r>
      <w:r>
        <w:rPr>
          <w:spacing w:val="14"/>
        </w:rPr>
        <w:t xml:space="preserve"> </w:t>
      </w:r>
      <w:r>
        <w:rPr>
          <w:spacing w:val="2"/>
        </w:rPr>
        <w:t>的文件资料都应具有可追溯性。</w:t>
      </w:r>
    </w:p>
    <w:p w14:paraId="2A9A12FB">
      <w:pPr>
        <w:spacing w:before="1" w:line="220" w:lineRule="auto"/>
        <w:rPr>
          <w:rFonts w:ascii="黑体" w:hAnsi="黑体" w:eastAsia="黑体" w:cs="黑体"/>
          <w:sz w:val="27"/>
          <w:szCs w:val="27"/>
        </w:rPr>
      </w:pPr>
      <w:r>
        <w:rPr>
          <w:rFonts w:ascii="黑体" w:hAnsi="黑体" w:eastAsia="黑体" w:cs="黑体"/>
          <w:sz w:val="27"/>
          <w:szCs w:val="27"/>
        </w:rPr>
        <w:t>4.6.2</w:t>
      </w:r>
      <w:r>
        <w:rPr>
          <w:rFonts w:ascii="黑体" w:hAnsi="黑体" w:eastAsia="黑体" w:cs="黑体"/>
          <w:spacing w:val="16"/>
          <w:sz w:val="27"/>
          <w:szCs w:val="27"/>
        </w:rPr>
        <w:t xml:space="preserve">  </w:t>
      </w:r>
      <w:r>
        <w:rPr>
          <w:rFonts w:ascii="黑体" w:hAnsi="黑体" w:eastAsia="黑体" w:cs="黑体"/>
          <w:b/>
          <w:bCs/>
          <w:sz w:val="27"/>
          <w:szCs w:val="27"/>
        </w:rPr>
        <w:t>存取</w:t>
      </w:r>
    </w:p>
    <w:p w14:paraId="36C9D77C">
      <w:pPr>
        <w:pStyle w:val="2"/>
        <w:spacing w:before="102" w:line="275" w:lineRule="auto"/>
        <w:ind w:right="115" w:firstLine="570"/>
        <w:jc w:val="both"/>
      </w:pPr>
      <w:r>
        <w:rPr>
          <w:spacing w:val="-10"/>
        </w:rPr>
        <w:t>在承制方的订购、审查、数据检查、验证、试验与</w:t>
      </w:r>
      <w:r>
        <w:rPr>
          <w:spacing w:val="-11"/>
        </w:rPr>
        <w:t>评审及相关活动中的所有资</w:t>
      </w:r>
      <w:r>
        <w:t xml:space="preserve"> </w:t>
      </w:r>
      <w:r>
        <w:rPr>
          <w:spacing w:val="-17"/>
        </w:rPr>
        <w:t>料，如计划、分析、设计审查结果、图样、文件、试验报告，以及其他反映出人机工</w:t>
      </w:r>
      <w:r>
        <w:rPr>
          <w:spacing w:val="2"/>
        </w:rPr>
        <w:t xml:space="preserve"> </w:t>
      </w:r>
      <w:r>
        <w:t>程作用和决定的支持性背景资料都应归档，以</w:t>
      </w:r>
      <w:r>
        <w:rPr>
          <w:spacing w:val="-1"/>
        </w:rPr>
        <w:t>便随时存取。</w:t>
      </w:r>
    </w:p>
    <w:p w14:paraId="6BD26786">
      <w:pPr>
        <w:spacing w:before="7" w:line="221" w:lineRule="auto"/>
        <w:rPr>
          <w:rFonts w:ascii="黑体" w:hAnsi="黑体" w:eastAsia="黑体" w:cs="黑体"/>
          <w:sz w:val="24"/>
          <w:szCs w:val="24"/>
        </w:rPr>
      </w:pPr>
      <w:r>
        <w:rPr>
          <w:rFonts w:ascii="黑体" w:hAnsi="黑体" w:eastAsia="黑体" w:cs="黑体"/>
          <w:spacing w:val="25"/>
          <w:sz w:val="24"/>
          <w:szCs w:val="24"/>
        </w:rPr>
        <w:t>4.</w:t>
      </w:r>
      <w:r>
        <w:rPr>
          <w:rFonts w:ascii="黑体" w:hAnsi="黑体" w:eastAsia="黑体" w:cs="黑体"/>
          <w:b/>
          <w:bCs/>
          <w:spacing w:val="25"/>
          <w:sz w:val="24"/>
          <w:szCs w:val="24"/>
        </w:rPr>
        <w:t>7</w:t>
      </w:r>
      <w:r>
        <w:rPr>
          <w:rFonts w:ascii="黑体" w:hAnsi="黑体" w:eastAsia="黑体" w:cs="黑体"/>
          <w:spacing w:val="41"/>
          <w:sz w:val="24"/>
          <w:szCs w:val="24"/>
        </w:rPr>
        <w:t xml:space="preserve">  </w:t>
      </w:r>
      <w:r>
        <w:rPr>
          <w:rFonts w:ascii="黑体" w:hAnsi="黑体" w:eastAsia="黑体" w:cs="黑体"/>
          <w:b/>
          <w:bCs/>
          <w:spacing w:val="25"/>
          <w:sz w:val="24"/>
          <w:szCs w:val="24"/>
        </w:rPr>
        <w:t>分承制方和供应方</w:t>
      </w:r>
    </w:p>
    <w:p w14:paraId="7921BD75">
      <w:pPr>
        <w:pStyle w:val="2"/>
        <w:spacing w:before="98" w:line="279" w:lineRule="auto"/>
        <w:ind w:right="134" w:firstLine="570"/>
      </w:pPr>
      <w:r>
        <w:rPr>
          <w:spacing w:val="8"/>
        </w:rPr>
        <w:t>主承制方从分承制方和供应方获得的要求和产品，应保证与</w:t>
      </w:r>
      <w:r>
        <w:rPr>
          <w:spacing w:val="-63"/>
        </w:rPr>
        <w:t xml:space="preserve"> </w:t>
      </w:r>
      <w:r>
        <w:rPr>
          <w:rFonts w:ascii="Times New Roman" w:hAnsi="Times New Roman" w:eastAsia="Times New Roman" w:cs="Times New Roman"/>
        </w:rPr>
        <w:t>GJB</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8"/>
        </w:rPr>
        <w:t>3207—</w:t>
      </w:r>
      <w:r>
        <w:rPr>
          <w:rFonts w:ascii="Times New Roman" w:hAnsi="Times New Roman" w:eastAsia="Times New Roman" w:cs="Times New Roman"/>
        </w:rPr>
        <w:t xml:space="preserve"> </w:t>
      </w:r>
      <w:r>
        <w:rPr>
          <w:spacing w:val="7"/>
        </w:rPr>
        <w:t>1998相关的人机工程要求一致。</w:t>
      </w:r>
    </w:p>
    <w:p w14:paraId="1BDBAF2E">
      <w:pPr>
        <w:spacing w:before="1" w:line="221" w:lineRule="auto"/>
        <w:rPr>
          <w:rFonts w:ascii="黑体" w:hAnsi="黑体" w:eastAsia="黑体" w:cs="黑体"/>
          <w:sz w:val="27"/>
          <w:szCs w:val="27"/>
        </w:rPr>
      </w:pPr>
      <w:r>
        <w:rPr>
          <w:rFonts w:ascii="黑体" w:hAnsi="黑体" w:eastAsia="黑体" w:cs="黑体"/>
          <w:spacing w:val="1"/>
          <w:sz w:val="27"/>
          <w:szCs w:val="27"/>
        </w:rPr>
        <w:t>4.8</w:t>
      </w:r>
      <w:r>
        <w:rPr>
          <w:rFonts w:ascii="黑体" w:hAnsi="黑体" w:eastAsia="黑体" w:cs="黑体"/>
          <w:spacing w:val="13"/>
          <w:sz w:val="27"/>
          <w:szCs w:val="27"/>
        </w:rPr>
        <w:t xml:space="preserve">  </w:t>
      </w:r>
      <w:r>
        <w:rPr>
          <w:rFonts w:ascii="黑体" w:hAnsi="黑体" w:eastAsia="黑体" w:cs="黑体"/>
          <w:b/>
          <w:bCs/>
          <w:spacing w:val="1"/>
          <w:sz w:val="27"/>
          <w:szCs w:val="27"/>
        </w:rPr>
        <w:t>非重复性</w:t>
      </w:r>
    </w:p>
    <w:p w14:paraId="1E6C69A8">
      <w:pPr>
        <w:pStyle w:val="2"/>
        <w:spacing w:before="99" w:line="273" w:lineRule="auto"/>
        <w:ind w:right="147" w:firstLine="570"/>
        <w:jc w:val="both"/>
      </w:pPr>
      <w:r>
        <w:rPr>
          <w:spacing w:val="1"/>
        </w:rPr>
        <w:t>为满足</w:t>
      </w:r>
      <w:r>
        <w:rPr>
          <w:rFonts w:ascii="Times New Roman" w:hAnsi="Times New Roman" w:eastAsia="Times New Roman" w:cs="Times New Roman"/>
        </w:rPr>
        <w:t>GJB</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3207—1998</w:t>
      </w:r>
      <w:r>
        <w:rPr>
          <w:spacing w:val="1"/>
        </w:rPr>
        <w:t>规定的人机工程各</w:t>
      </w:r>
      <w:r>
        <w:t xml:space="preserve">项要求，所进行的各种工作应与 </w:t>
      </w:r>
      <w:r>
        <w:rPr>
          <w:spacing w:val="5"/>
        </w:rPr>
        <w:t>合同其他的要求相符，但不应重复。在人机工程大纲中所应用到的其他工作项</w:t>
      </w:r>
      <w:r>
        <w:rPr>
          <w:spacing w:val="16"/>
        </w:rPr>
        <w:t xml:space="preserve"> </w:t>
      </w:r>
      <w:r>
        <w:rPr>
          <w:spacing w:val="-3"/>
        </w:rPr>
        <w:t>目结果的必要的延伸或转换，不应视为重复。对于重复或相抵触的情况，应提请</w:t>
      </w:r>
      <w:r>
        <w:rPr>
          <w:spacing w:val="16"/>
        </w:rPr>
        <w:t xml:space="preserve"> </w:t>
      </w:r>
      <w:r>
        <w:rPr>
          <w:spacing w:val="1"/>
        </w:rPr>
        <w:t>合同签订者注意。</w:t>
      </w:r>
    </w:p>
    <w:p w14:paraId="674D1C30">
      <w:pPr>
        <w:spacing w:before="2" w:line="297" w:lineRule="auto"/>
        <w:ind w:right="7990"/>
        <w:rPr>
          <w:rFonts w:ascii="黑体" w:hAnsi="黑体" w:eastAsia="黑体" w:cs="黑体"/>
          <w:sz w:val="25"/>
          <w:szCs w:val="25"/>
        </w:rPr>
      </w:pPr>
      <w:r>
        <w:rPr>
          <w:rFonts w:ascii="Arial" w:hAnsi="Arial" w:eastAsia="Arial" w:cs="Arial"/>
          <w:b/>
          <w:bCs/>
          <w:spacing w:val="-7"/>
          <w:sz w:val="27"/>
          <w:szCs w:val="27"/>
        </w:rPr>
        <w:t>5</w:t>
      </w:r>
      <w:r>
        <w:rPr>
          <w:rFonts w:ascii="Arial" w:hAnsi="Arial" w:eastAsia="Arial" w:cs="Arial"/>
          <w:b/>
          <w:bCs/>
          <w:spacing w:val="4"/>
          <w:sz w:val="27"/>
          <w:szCs w:val="27"/>
        </w:rPr>
        <w:t xml:space="preserve">    </w:t>
      </w:r>
      <w:r>
        <w:rPr>
          <w:rFonts w:ascii="黑体" w:hAnsi="黑体" w:eastAsia="黑体" w:cs="黑体"/>
          <w:b/>
          <w:bCs/>
          <w:spacing w:val="-7"/>
          <w:sz w:val="27"/>
          <w:szCs w:val="27"/>
        </w:rPr>
        <w:t>详细要求</w:t>
      </w:r>
      <w:r>
        <w:rPr>
          <w:rFonts w:ascii="黑体" w:hAnsi="黑体" w:eastAsia="黑体" w:cs="黑体"/>
          <w:sz w:val="27"/>
          <w:szCs w:val="27"/>
        </w:rPr>
        <w:t xml:space="preserve"> </w:t>
      </w:r>
      <w:r>
        <w:rPr>
          <w:rFonts w:ascii="黑体" w:hAnsi="黑体" w:eastAsia="黑体" w:cs="黑体"/>
          <w:spacing w:val="-6"/>
          <w:sz w:val="25"/>
          <w:szCs w:val="25"/>
        </w:rPr>
        <w:t>5.1</w:t>
      </w:r>
      <w:r>
        <w:rPr>
          <w:rFonts w:ascii="黑体" w:hAnsi="黑体" w:eastAsia="黑体" w:cs="黑体"/>
          <w:spacing w:val="38"/>
          <w:sz w:val="25"/>
          <w:szCs w:val="25"/>
        </w:rPr>
        <w:t xml:space="preserve">  </w:t>
      </w:r>
      <w:r>
        <w:rPr>
          <w:rFonts w:ascii="黑体" w:hAnsi="黑体" w:eastAsia="黑体" w:cs="黑体"/>
          <w:b/>
          <w:bCs/>
          <w:spacing w:val="-6"/>
          <w:sz w:val="25"/>
          <w:szCs w:val="25"/>
        </w:rPr>
        <w:t>分</w:t>
      </w:r>
      <w:r>
        <w:rPr>
          <w:rFonts w:ascii="黑体" w:hAnsi="黑体" w:eastAsia="黑体" w:cs="黑体"/>
          <w:spacing w:val="-49"/>
          <w:sz w:val="25"/>
          <w:szCs w:val="25"/>
        </w:rPr>
        <w:t xml:space="preserve"> </w:t>
      </w:r>
      <w:r>
        <w:rPr>
          <w:rFonts w:ascii="黑体" w:hAnsi="黑体" w:eastAsia="黑体" w:cs="黑体"/>
          <w:b/>
          <w:bCs/>
          <w:spacing w:val="-6"/>
          <w:sz w:val="25"/>
          <w:szCs w:val="25"/>
        </w:rPr>
        <w:t>析</w:t>
      </w:r>
    </w:p>
    <w:p w14:paraId="1FE0BEAB">
      <w:pPr>
        <w:spacing w:before="1" w:line="220" w:lineRule="auto"/>
        <w:rPr>
          <w:rFonts w:ascii="黑体" w:hAnsi="黑体" w:eastAsia="黑体" w:cs="黑体"/>
          <w:sz w:val="25"/>
          <w:szCs w:val="25"/>
        </w:rPr>
      </w:pPr>
      <w:r>
        <w:rPr>
          <w:rFonts w:ascii="黑体" w:hAnsi="黑体" w:eastAsia="黑体" w:cs="黑体"/>
          <w:spacing w:val="15"/>
          <w:sz w:val="25"/>
          <w:szCs w:val="25"/>
        </w:rPr>
        <w:t>5.1.1</w:t>
      </w:r>
      <w:r>
        <w:rPr>
          <w:rFonts w:ascii="黑体" w:hAnsi="黑体" w:eastAsia="黑体" w:cs="黑体"/>
          <w:spacing w:val="45"/>
          <w:sz w:val="25"/>
          <w:szCs w:val="25"/>
        </w:rPr>
        <w:t xml:space="preserve">  </w:t>
      </w:r>
      <w:r>
        <w:rPr>
          <w:rFonts w:ascii="黑体" w:hAnsi="黑体" w:eastAsia="黑体" w:cs="黑体"/>
          <w:b/>
          <w:bCs/>
          <w:spacing w:val="15"/>
          <w:sz w:val="25"/>
          <w:szCs w:val="25"/>
        </w:rPr>
        <w:t>规定和分配系统功能</w:t>
      </w:r>
    </w:p>
    <w:p w14:paraId="0998CE16">
      <w:pPr>
        <w:pStyle w:val="2"/>
        <w:spacing w:before="127" w:line="273" w:lineRule="auto"/>
        <w:ind w:firstLine="570"/>
        <w:jc w:val="both"/>
      </w:pPr>
      <w:r>
        <w:rPr>
          <w:spacing w:val="9"/>
        </w:rPr>
        <w:t>应对系统在特定的任务环境内为实现其目标所必须完成的功能进行分析。</w:t>
      </w:r>
      <w:r>
        <w:rPr>
          <w:spacing w:val="15"/>
        </w:rPr>
        <w:t xml:space="preserve"> </w:t>
      </w:r>
      <w:r>
        <w:rPr>
          <w:spacing w:val="-3"/>
        </w:rPr>
        <w:t>应采用人机工程的原理和准则，对系统运行、维修和控制功能提出操作者和系统</w:t>
      </w:r>
      <w:r>
        <w:rPr>
          <w:spacing w:val="8"/>
        </w:rPr>
        <w:t xml:space="preserve">  </w:t>
      </w:r>
      <w:r>
        <w:rPr>
          <w:spacing w:val="-9"/>
        </w:rPr>
        <w:t>作业的要求，并给系统分配功能：1)自动运行/维修；2)人工操作/维修；3)某些人</w:t>
      </w:r>
      <w:r>
        <w:t xml:space="preserve">  </w:t>
      </w:r>
      <w:r>
        <w:rPr>
          <w:spacing w:val="1"/>
        </w:rPr>
        <w:t>工/自动的组合方式。功能分配是一个反复的过程，其要达到的详细程度应适应</w:t>
      </w:r>
      <w:r>
        <w:rPr>
          <w:spacing w:val="5"/>
        </w:rPr>
        <w:t xml:space="preserve">  </w:t>
      </w:r>
      <w:r>
        <w:t>于系统限定的程度。</w:t>
      </w:r>
    </w:p>
    <w:p w14:paraId="09916DD9">
      <w:pPr>
        <w:spacing w:before="38" w:line="221" w:lineRule="auto"/>
        <w:rPr>
          <w:rFonts w:ascii="黑体" w:hAnsi="黑体" w:eastAsia="黑体" w:cs="黑体"/>
          <w:sz w:val="25"/>
          <w:szCs w:val="25"/>
        </w:rPr>
      </w:pPr>
      <w:r>
        <w:rPr>
          <w:rFonts w:ascii="黑体" w:hAnsi="黑体" w:eastAsia="黑体" w:cs="黑体"/>
          <w:spacing w:val="12"/>
          <w:sz w:val="25"/>
          <w:szCs w:val="25"/>
        </w:rPr>
        <w:t>5.1.1.</w:t>
      </w:r>
      <w:r>
        <w:rPr>
          <w:rFonts w:ascii="黑体" w:hAnsi="黑体" w:eastAsia="黑体" w:cs="黑体"/>
          <w:spacing w:val="-37"/>
          <w:sz w:val="25"/>
          <w:szCs w:val="25"/>
        </w:rPr>
        <w:t xml:space="preserve"> </w:t>
      </w:r>
      <w:r>
        <w:rPr>
          <w:rFonts w:ascii="黑体" w:hAnsi="黑体" w:eastAsia="黑体" w:cs="黑体"/>
          <w:spacing w:val="12"/>
          <w:sz w:val="25"/>
          <w:szCs w:val="25"/>
        </w:rPr>
        <w:t>1</w:t>
      </w:r>
      <w:r>
        <w:rPr>
          <w:rFonts w:ascii="黑体" w:hAnsi="黑体" w:eastAsia="黑体" w:cs="黑体"/>
          <w:spacing w:val="45"/>
          <w:sz w:val="25"/>
          <w:szCs w:val="25"/>
        </w:rPr>
        <w:t xml:space="preserve">  </w:t>
      </w:r>
      <w:r>
        <w:rPr>
          <w:rFonts w:ascii="黑体" w:hAnsi="黑体" w:eastAsia="黑体" w:cs="黑体"/>
          <w:b/>
          <w:bCs/>
          <w:spacing w:val="12"/>
          <w:sz w:val="25"/>
          <w:szCs w:val="25"/>
        </w:rPr>
        <w:t>信息流和处理过程分析</w:t>
      </w:r>
    </w:p>
    <w:p w14:paraId="2B6A7E3C">
      <w:pPr>
        <w:pStyle w:val="2"/>
        <w:spacing w:before="125" w:line="287" w:lineRule="auto"/>
        <w:ind w:right="152" w:firstLine="570"/>
        <w:rPr>
          <w:sz w:val="25"/>
          <w:szCs w:val="25"/>
        </w:rPr>
      </w:pPr>
      <w:r>
        <w:rPr>
          <w:spacing w:val="25"/>
          <w:sz w:val="25"/>
          <w:szCs w:val="25"/>
        </w:rPr>
        <w:t>应通过分析确定为实现系统目标所需的基本信息流和</w:t>
      </w:r>
      <w:r>
        <w:rPr>
          <w:spacing w:val="24"/>
          <w:sz w:val="25"/>
          <w:szCs w:val="25"/>
        </w:rPr>
        <w:t>处理过程，决策和实</w:t>
      </w:r>
      <w:r>
        <w:rPr>
          <w:sz w:val="25"/>
          <w:szCs w:val="25"/>
        </w:rPr>
        <w:t xml:space="preserve"> </w:t>
      </w:r>
      <w:r>
        <w:rPr>
          <w:spacing w:val="23"/>
          <w:sz w:val="25"/>
          <w:szCs w:val="25"/>
        </w:rPr>
        <w:t>施不考虑任何特定的设备或人员。</w:t>
      </w:r>
    </w:p>
    <w:p w14:paraId="552FB08B">
      <w:pPr>
        <w:spacing w:before="1" w:line="221" w:lineRule="auto"/>
        <w:rPr>
          <w:rFonts w:ascii="黑体" w:hAnsi="黑体" w:eastAsia="黑体" w:cs="黑体"/>
          <w:sz w:val="27"/>
          <w:szCs w:val="27"/>
        </w:rPr>
      </w:pPr>
      <w:r>
        <w:rPr>
          <w:rFonts w:ascii="黑体" w:hAnsi="黑体" w:eastAsia="黑体" w:cs="黑体"/>
          <w:spacing w:val="3"/>
          <w:sz w:val="27"/>
          <w:szCs w:val="27"/>
        </w:rPr>
        <w:t xml:space="preserve">5.1.1.2  </w:t>
      </w:r>
      <w:r>
        <w:rPr>
          <w:rFonts w:ascii="黑体" w:hAnsi="黑体" w:eastAsia="黑体" w:cs="黑体"/>
          <w:b/>
          <w:bCs/>
          <w:spacing w:val="3"/>
          <w:sz w:val="27"/>
          <w:szCs w:val="27"/>
        </w:rPr>
        <w:t>对可能的操作者和维修者处理能力的估计</w:t>
      </w:r>
    </w:p>
    <w:p w14:paraId="0DDBB7A3">
      <w:pPr>
        <w:pStyle w:val="2"/>
        <w:spacing w:before="120" w:line="264" w:lineRule="auto"/>
        <w:ind w:right="29" w:firstLine="570"/>
        <w:jc w:val="both"/>
      </w:pPr>
      <w:r>
        <w:rPr>
          <w:spacing w:val="-11"/>
        </w:rPr>
        <w:t>对系统中可能的操作者(如操作、维修、编程、决策、通信和监视等人员)的作</w:t>
      </w:r>
      <w:r>
        <w:t xml:space="preserve">  </w:t>
      </w:r>
      <w:r>
        <w:rPr>
          <w:spacing w:val="9"/>
        </w:rPr>
        <w:t>用应尽可能合理地予以确定。对每个可能的操作者或维修者的信息处理能</w:t>
      </w:r>
      <w:r>
        <w:rPr>
          <w:spacing w:val="8"/>
        </w:rPr>
        <w:t>力，</w:t>
      </w:r>
      <w:r>
        <w:t xml:space="preserve"> </w:t>
      </w:r>
      <w:r>
        <w:rPr>
          <w:spacing w:val="-2"/>
        </w:rPr>
        <w:t>应依据工作负荷、准确性、反应速率和延迟时间估计其处理能力，同时还要作出</w:t>
      </w:r>
    </w:p>
    <w:p w14:paraId="18723F52">
      <w:pPr>
        <w:spacing w:line="264" w:lineRule="auto"/>
        <w:sectPr>
          <w:footerReference r:id="rId626" w:type="default"/>
          <w:pgSz w:w="11910" w:h="17130"/>
          <w:pgMar w:top="1324" w:right="1375" w:bottom="1921" w:left="1019" w:header="0" w:footer="1607" w:gutter="0"/>
          <w:cols w:space="720" w:num="1"/>
        </w:sectPr>
      </w:pPr>
    </w:p>
    <w:p w14:paraId="19DDC98F">
      <w:pPr>
        <w:pStyle w:val="2"/>
        <w:spacing w:before="65" w:line="272" w:lineRule="auto"/>
        <w:ind w:right="113"/>
        <w:jc w:val="both"/>
      </w:pPr>
      <w:r>
        <w:rPr>
          <w:spacing w:val="6"/>
        </w:rPr>
        <w:t>可比较的设备处理能力的估计。这些估计先用</w:t>
      </w:r>
      <w:r>
        <w:rPr>
          <w:spacing w:val="5"/>
        </w:rPr>
        <w:t>于确定功能分配，然后在适当的</w:t>
      </w:r>
      <w:r>
        <w:t xml:space="preserve"> </w:t>
      </w:r>
      <w:r>
        <w:rPr>
          <w:spacing w:val="-2"/>
        </w:rPr>
        <w:t>时候对这些估计进行修正，用来决定操作者或维</w:t>
      </w:r>
      <w:r>
        <w:rPr>
          <w:spacing w:val="-3"/>
        </w:rPr>
        <w:t>修者的各种信息要求和控制、显</w:t>
      </w:r>
      <w:r>
        <w:t xml:space="preserve"> </w:t>
      </w:r>
      <w:r>
        <w:rPr>
          <w:spacing w:val="-3"/>
        </w:rPr>
        <w:t>示及通信方面的要求等。此外，对于贯彻或不贯彻人机工程设计建议，很可能对</w:t>
      </w:r>
      <w:r>
        <w:rPr>
          <w:spacing w:val="15"/>
        </w:rPr>
        <w:t xml:space="preserve"> </w:t>
      </w:r>
      <w:r>
        <w:rPr>
          <w:spacing w:val="1"/>
        </w:rPr>
        <w:t>上述处理能力造成的影响也要作出估计。符合5.2.1条“试验和研究”而得出的</w:t>
      </w:r>
      <w:r>
        <w:rPr>
          <w:spacing w:val="18"/>
        </w:rPr>
        <w:t xml:space="preserve"> </w:t>
      </w:r>
      <w:r>
        <w:rPr>
          <w:spacing w:val="-3"/>
        </w:rPr>
        <w:t>结果，可以作为支持上述估计的有用的资料。</w:t>
      </w:r>
    </w:p>
    <w:p w14:paraId="69BC9590">
      <w:pPr>
        <w:spacing w:before="36" w:line="222" w:lineRule="auto"/>
        <w:rPr>
          <w:rFonts w:ascii="黑体" w:hAnsi="黑体" w:eastAsia="黑体" w:cs="黑体"/>
          <w:sz w:val="25"/>
          <w:szCs w:val="25"/>
        </w:rPr>
      </w:pPr>
      <w:r>
        <w:rPr>
          <w:rFonts w:ascii="黑体" w:hAnsi="黑体" w:eastAsia="黑体" w:cs="黑体"/>
          <w:spacing w:val="6"/>
          <w:sz w:val="25"/>
          <w:szCs w:val="25"/>
        </w:rPr>
        <w:t>5.1.1.</w:t>
      </w:r>
      <w:r>
        <w:rPr>
          <w:rFonts w:ascii="黑体" w:hAnsi="黑体" w:eastAsia="黑体" w:cs="黑体"/>
          <w:spacing w:val="-60"/>
          <w:sz w:val="25"/>
          <w:szCs w:val="25"/>
        </w:rPr>
        <w:t xml:space="preserve"> </w:t>
      </w:r>
      <w:r>
        <w:rPr>
          <w:rFonts w:ascii="黑体" w:hAnsi="黑体" w:eastAsia="黑体" w:cs="黑体"/>
          <w:b/>
          <w:bCs/>
          <w:spacing w:val="6"/>
          <w:sz w:val="25"/>
          <w:szCs w:val="25"/>
        </w:rPr>
        <w:t>3</w:t>
      </w:r>
      <w:r>
        <w:rPr>
          <w:rFonts w:ascii="黑体" w:hAnsi="黑体" w:eastAsia="黑体" w:cs="黑体"/>
          <w:spacing w:val="42"/>
          <w:sz w:val="25"/>
          <w:szCs w:val="25"/>
        </w:rPr>
        <w:t xml:space="preserve">  </w:t>
      </w:r>
      <w:r>
        <w:rPr>
          <w:rFonts w:ascii="黑体" w:hAnsi="黑体" w:eastAsia="黑体" w:cs="黑体"/>
          <w:b/>
          <w:bCs/>
          <w:spacing w:val="6"/>
          <w:sz w:val="25"/>
          <w:szCs w:val="25"/>
        </w:rPr>
        <w:t>功能分配</w:t>
      </w:r>
    </w:p>
    <w:p w14:paraId="5DA280D9">
      <w:pPr>
        <w:pStyle w:val="2"/>
        <w:spacing w:before="82" w:line="272" w:lineRule="auto"/>
        <w:ind w:right="91" w:firstLine="570"/>
        <w:jc w:val="both"/>
      </w:pPr>
      <w:r>
        <w:rPr>
          <w:spacing w:val="14"/>
        </w:rPr>
        <w:t>按照预定的操作者或维修者的特性资料、估算的成本数据和已知的限制</w:t>
      </w:r>
      <w:r>
        <w:rPr>
          <w:spacing w:val="18"/>
        </w:rPr>
        <w:t xml:space="preserve"> </w:t>
      </w:r>
      <w:r>
        <w:rPr>
          <w:spacing w:val="5"/>
        </w:rPr>
        <w:t>条件，应从多方面进行分析和权衡研究，以便确定系统的各种功能是由机器执</w:t>
      </w:r>
      <w:r>
        <w:rPr>
          <w:spacing w:val="10"/>
        </w:rPr>
        <w:t xml:space="preserve"> </w:t>
      </w:r>
      <w:r>
        <w:rPr>
          <w:spacing w:val="5"/>
        </w:rPr>
        <w:t>行，还是由软件控制，以及何种功能应留给操作者或维修者来完成。功能分配</w:t>
      </w:r>
      <w:r>
        <w:rPr>
          <w:spacing w:val="10"/>
        </w:rPr>
        <w:t xml:space="preserve"> </w:t>
      </w:r>
      <w:r>
        <w:rPr>
          <w:spacing w:val="5"/>
        </w:rPr>
        <w:t>时，对于各种可能采用的方法，应考虑作出不恰当决定将会造成的风险，以便</w:t>
      </w:r>
      <w:r>
        <w:rPr>
          <w:spacing w:val="11"/>
        </w:rPr>
        <w:t xml:space="preserve"> </w:t>
      </w:r>
      <w:r>
        <w:rPr>
          <w:spacing w:val="6"/>
        </w:rPr>
        <w:t>简化或加强设计，避免或减少在条件不明确、</w:t>
      </w:r>
      <w:r>
        <w:rPr>
          <w:spacing w:val="5"/>
        </w:rPr>
        <w:t>时间紧、工作负荷大的情况下的</w:t>
      </w:r>
      <w:r>
        <w:t xml:space="preserve"> </w:t>
      </w:r>
      <w:r>
        <w:rPr>
          <w:spacing w:val="5"/>
        </w:rPr>
        <w:t>人为决定。虽然通过挑选和培训操作者，又经过设备和程序设计，对操作者或</w:t>
      </w:r>
      <w:r>
        <w:rPr>
          <w:spacing w:val="11"/>
        </w:rPr>
        <w:t xml:space="preserve"> </w:t>
      </w:r>
      <w:r>
        <w:rPr>
          <w:spacing w:val="5"/>
        </w:rPr>
        <w:t>设备能力可能有较好影响，但在权衡对比和经济效益研究中，还应考虑到所采</w:t>
      </w:r>
      <w:r>
        <w:rPr>
          <w:spacing w:val="10"/>
        </w:rPr>
        <w:t xml:space="preserve"> </w:t>
      </w:r>
      <w:r>
        <w:rPr>
          <w:spacing w:val="7"/>
        </w:rPr>
        <w:t>取措施的成本。</w:t>
      </w:r>
    </w:p>
    <w:p w14:paraId="6D6CC909">
      <w:pPr>
        <w:spacing w:before="72" w:line="222" w:lineRule="auto"/>
        <w:rPr>
          <w:rFonts w:ascii="黑体" w:hAnsi="黑体" w:eastAsia="黑体" w:cs="黑体"/>
          <w:sz w:val="25"/>
          <w:szCs w:val="25"/>
        </w:rPr>
      </w:pPr>
      <w:r>
        <w:rPr>
          <w:rFonts w:ascii="黑体" w:hAnsi="黑体" w:eastAsia="黑体" w:cs="黑体"/>
          <w:spacing w:val="9"/>
          <w:sz w:val="25"/>
          <w:szCs w:val="25"/>
        </w:rPr>
        <w:t>5.1.2</w:t>
      </w:r>
      <w:r>
        <w:rPr>
          <w:rFonts w:ascii="黑体" w:hAnsi="黑体" w:eastAsia="黑体" w:cs="黑体"/>
          <w:spacing w:val="59"/>
          <w:sz w:val="25"/>
          <w:szCs w:val="25"/>
        </w:rPr>
        <w:t xml:space="preserve">  </w:t>
      </w:r>
      <w:r>
        <w:rPr>
          <w:rFonts w:ascii="黑体" w:hAnsi="黑体" w:eastAsia="黑体" w:cs="黑体"/>
          <w:b/>
          <w:bCs/>
          <w:spacing w:val="9"/>
          <w:sz w:val="25"/>
          <w:szCs w:val="25"/>
        </w:rPr>
        <w:t>设备选择</w:t>
      </w:r>
    </w:p>
    <w:p w14:paraId="2369A9EF">
      <w:pPr>
        <w:pStyle w:val="2"/>
        <w:spacing w:before="124" w:line="272" w:lineRule="auto"/>
        <w:ind w:right="101" w:firstLine="570"/>
        <w:jc w:val="both"/>
      </w:pPr>
      <w:r>
        <w:rPr>
          <w:spacing w:val="5"/>
        </w:rPr>
        <w:t>人机工程原理和准则应与所有其他设计要求一起应用，以鉴别和选择由操</w:t>
      </w:r>
      <w:r>
        <w:rPr>
          <w:spacing w:val="12"/>
        </w:rPr>
        <w:t xml:space="preserve"> </w:t>
      </w:r>
      <w:r>
        <w:rPr>
          <w:spacing w:val="-3"/>
        </w:rPr>
        <w:t>作者操作、维修、控制的特定设备。所选定的设计结构应符合人机工程原始资料</w:t>
      </w:r>
      <w:r>
        <w:rPr>
          <w:spacing w:val="13"/>
        </w:rPr>
        <w:t xml:space="preserve"> </w:t>
      </w:r>
      <w:r>
        <w:rPr>
          <w:spacing w:val="-3"/>
        </w:rPr>
        <w:t>中最优估计所表示的设备条件，以满足功能和技术设计要求，同时应保证设备符</w:t>
      </w:r>
      <w:r>
        <w:rPr>
          <w:spacing w:val="14"/>
        </w:rPr>
        <w:t xml:space="preserve"> </w:t>
      </w:r>
      <w:r>
        <w:rPr>
          <w:spacing w:val="5"/>
        </w:rPr>
        <w:t>合</w:t>
      </w:r>
      <w:r>
        <w:rPr>
          <w:rFonts w:ascii="Times New Roman" w:hAnsi="Times New Roman" w:eastAsia="Times New Roman" w:cs="Times New Roman"/>
        </w:rPr>
        <w:t>GJB</w:t>
      </w:r>
      <w:r>
        <w:rPr>
          <w:rFonts w:ascii="Times New Roman" w:hAnsi="Times New Roman" w:eastAsia="Times New Roman" w:cs="Times New Roman"/>
          <w:spacing w:val="29"/>
        </w:rPr>
        <w:t xml:space="preserve">  </w:t>
      </w:r>
      <w:r>
        <w:rPr>
          <w:rFonts w:ascii="Times New Roman" w:hAnsi="Times New Roman" w:eastAsia="Times New Roman" w:cs="Times New Roman"/>
          <w:spacing w:val="5"/>
        </w:rPr>
        <w:t>2873</w:t>
      </w:r>
      <w:r>
        <w:rPr>
          <w:spacing w:val="5"/>
        </w:rPr>
        <w:t>及合同规定的其他人机工程准则。</w:t>
      </w:r>
    </w:p>
    <w:p w14:paraId="631F8B87">
      <w:pPr>
        <w:spacing w:before="14" w:line="221" w:lineRule="auto"/>
        <w:rPr>
          <w:rFonts w:ascii="黑体" w:hAnsi="黑体" w:eastAsia="黑体" w:cs="黑体"/>
          <w:sz w:val="27"/>
          <w:szCs w:val="27"/>
        </w:rPr>
      </w:pPr>
      <w:r>
        <w:rPr>
          <w:rFonts w:ascii="黑体" w:hAnsi="黑体" w:eastAsia="黑体" w:cs="黑体"/>
          <w:spacing w:val="3"/>
          <w:sz w:val="27"/>
          <w:szCs w:val="27"/>
        </w:rPr>
        <w:t xml:space="preserve">5.1.3  </w:t>
      </w:r>
      <w:r>
        <w:rPr>
          <w:rFonts w:ascii="黑体" w:hAnsi="黑体" w:eastAsia="黑体" w:cs="黑体"/>
          <w:b/>
          <w:bCs/>
          <w:spacing w:val="3"/>
          <w:sz w:val="27"/>
          <w:szCs w:val="27"/>
        </w:rPr>
        <w:t>任务和工作负荷分析</w:t>
      </w:r>
    </w:p>
    <w:p w14:paraId="1BCEC1FB">
      <w:pPr>
        <w:pStyle w:val="2"/>
        <w:spacing w:before="81" w:line="279" w:lineRule="auto"/>
        <w:ind w:right="82" w:firstLine="570"/>
        <w:jc w:val="both"/>
      </w:pPr>
      <w:r>
        <w:rPr>
          <w:spacing w:val="6"/>
        </w:rPr>
        <w:t>在任务和工作负荷分析中应采用人机工程原理和准则。如有可能，应采用</w:t>
      </w:r>
      <w:r>
        <w:t xml:space="preserve"> </w:t>
      </w:r>
      <w:r>
        <w:rPr>
          <w:rFonts w:ascii="Times New Roman" w:hAnsi="Times New Roman" w:eastAsia="Times New Roman" w:cs="Times New Roman"/>
        </w:rPr>
        <w:t>GJB</w:t>
      </w:r>
      <w:r>
        <w:rPr>
          <w:rFonts w:ascii="Times New Roman" w:hAnsi="Times New Roman" w:eastAsia="Times New Roman" w:cs="Times New Roman"/>
          <w:spacing w:val="7"/>
        </w:rPr>
        <w:t xml:space="preserve">  1371</w:t>
      </w:r>
      <w:r>
        <w:rPr>
          <w:spacing w:val="7"/>
        </w:rPr>
        <w:t>中工作项目301拟定的任务，</w:t>
      </w:r>
      <w:r>
        <w:rPr>
          <w:spacing w:val="6"/>
        </w:rPr>
        <w:t>作为任务分析基础。这些分析还将作为</w:t>
      </w:r>
      <w:r>
        <w:t xml:space="preserve"> </w:t>
      </w:r>
      <w:r>
        <w:rPr>
          <w:spacing w:val="-10"/>
        </w:rPr>
        <w:t>基本信息，用于研究操作者或维修者的初始水平、设备操作规程、技能、训练和通</w:t>
      </w:r>
      <w:r>
        <w:t xml:space="preserve"> </w:t>
      </w:r>
      <w:r>
        <w:rPr>
          <w:spacing w:val="-2"/>
        </w:rPr>
        <w:t>信等要求，并可作为装备保障性分析用的基本</w:t>
      </w:r>
      <w:r>
        <w:rPr>
          <w:spacing w:val="-3"/>
        </w:rPr>
        <w:t>资料。</w:t>
      </w:r>
    </w:p>
    <w:p w14:paraId="1E1BBB61">
      <w:pPr>
        <w:spacing w:before="3" w:line="221" w:lineRule="auto"/>
        <w:rPr>
          <w:rFonts w:ascii="黑体" w:hAnsi="黑体" w:eastAsia="黑体" w:cs="黑体"/>
          <w:sz w:val="25"/>
          <w:szCs w:val="25"/>
        </w:rPr>
      </w:pPr>
      <w:r>
        <w:rPr>
          <w:rFonts w:ascii="黑体" w:hAnsi="黑体" w:eastAsia="黑体" w:cs="黑体"/>
          <w:spacing w:val="7"/>
          <w:sz w:val="25"/>
          <w:szCs w:val="25"/>
        </w:rPr>
        <w:t>5.1.3.1</w:t>
      </w:r>
      <w:r>
        <w:rPr>
          <w:rFonts w:ascii="黑体" w:hAnsi="黑体" w:eastAsia="黑体" w:cs="黑体"/>
          <w:spacing w:val="5"/>
          <w:sz w:val="25"/>
          <w:szCs w:val="25"/>
        </w:rPr>
        <w:t xml:space="preserve">   </w:t>
      </w:r>
      <w:r>
        <w:rPr>
          <w:rFonts w:ascii="黑体" w:hAnsi="黑体" w:eastAsia="黑体" w:cs="黑体"/>
          <w:b/>
          <w:bCs/>
          <w:spacing w:val="7"/>
          <w:sz w:val="25"/>
          <w:szCs w:val="25"/>
        </w:rPr>
        <w:t>任务分析</w:t>
      </w:r>
    </w:p>
    <w:p w14:paraId="32CC7C59">
      <w:pPr>
        <w:pStyle w:val="2"/>
        <w:spacing w:before="129" w:line="273" w:lineRule="auto"/>
        <w:ind w:firstLine="570"/>
        <w:jc w:val="both"/>
      </w:pPr>
      <w:r>
        <w:rPr>
          <w:spacing w:val="5"/>
        </w:rPr>
        <w:t>所实施的每一项任务分析，均应作为拟定初步设计方案的依据之一。在硬</w:t>
      </w:r>
      <w:r>
        <w:t xml:space="preserve">  </w:t>
      </w:r>
      <w:r>
        <w:rPr>
          <w:spacing w:val="-2"/>
        </w:rPr>
        <w:t>件研制之前，就要在可行限度内确定系统的作业与维修是否</w:t>
      </w:r>
      <w:r>
        <w:rPr>
          <w:spacing w:val="-3"/>
        </w:rPr>
        <w:t>可通过设备、软件和</w:t>
      </w:r>
      <w:r>
        <w:t xml:space="preserve"> </w:t>
      </w:r>
      <w:r>
        <w:rPr>
          <w:spacing w:val="5"/>
        </w:rPr>
        <w:t xml:space="preserve">操作者的组合来满足，并保证作业要求不超过操作者的能力。任务时间要求应  </w:t>
      </w:r>
      <w:r>
        <w:rPr>
          <w:spacing w:val="9"/>
        </w:rPr>
        <w:t>按相对可利用时间的任务完成期、任务规程和同时并举的任务情况进行评</w:t>
      </w:r>
      <w:r>
        <w:rPr>
          <w:spacing w:val="8"/>
        </w:rPr>
        <w:t>估。</w:t>
      </w:r>
      <w:r>
        <w:t xml:space="preserve"> </w:t>
      </w:r>
      <w:r>
        <w:rPr>
          <w:spacing w:val="-10"/>
        </w:rPr>
        <w:t>任务要求应按实际应用，对有关的准确性、精确性、完整性和任务反馈、判读误差</w:t>
      </w:r>
      <w:r>
        <w:rPr>
          <w:spacing w:val="1"/>
        </w:rPr>
        <w:t xml:space="preserve">  </w:t>
      </w:r>
      <w:r>
        <w:rPr>
          <w:spacing w:val="5"/>
        </w:rPr>
        <w:t>对性能的影响而评定。这些分析还考虑到持续或长时间操作对操作者能力的影  响。在人机工程分析过程中已认识到的那些需要关键操作者的特性、实际工作</w:t>
      </w:r>
      <w:r>
        <w:rPr>
          <w:spacing w:val="8"/>
        </w:rPr>
        <w:t xml:space="preserve">  </w:t>
      </w:r>
      <w:r>
        <w:rPr>
          <w:spacing w:val="5"/>
        </w:rPr>
        <w:t>中可能出现的不安全因素或在操作效率上有改善潜力的课题，</w:t>
      </w:r>
      <w:r>
        <w:rPr>
          <w:spacing w:val="4"/>
        </w:rPr>
        <w:t>还应进一步予以</w:t>
      </w:r>
      <w:r>
        <w:t xml:space="preserve">  </w:t>
      </w:r>
      <w:r>
        <w:rPr>
          <w:spacing w:val="-4"/>
        </w:rPr>
        <w:t>分析。</w:t>
      </w:r>
    </w:p>
    <w:p w14:paraId="592BA2CB">
      <w:pPr>
        <w:spacing w:line="273" w:lineRule="auto"/>
        <w:sectPr>
          <w:footerReference r:id="rId627" w:type="default"/>
          <w:pgSz w:w="11910" w:h="17130"/>
          <w:pgMar w:top="1456" w:right="864" w:bottom="1696" w:left="1559" w:header="0" w:footer="1507" w:gutter="0"/>
          <w:cols w:space="720" w:num="1"/>
        </w:sectPr>
      </w:pPr>
    </w:p>
    <w:p w14:paraId="09C59777">
      <w:pPr>
        <w:spacing w:before="50" w:line="221" w:lineRule="auto"/>
        <w:rPr>
          <w:rFonts w:ascii="黑体" w:hAnsi="黑体" w:eastAsia="黑体" w:cs="黑体"/>
          <w:sz w:val="25"/>
          <w:szCs w:val="25"/>
        </w:rPr>
      </w:pPr>
      <w:r>
        <w:rPr>
          <w:rFonts w:ascii="黑体" w:hAnsi="黑体" w:eastAsia="黑体" w:cs="黑体"/>
          <w:spacing w:val="9"/>
          <w:sz w:val="25"/>
          <w:szCs w:val="25"/>
        </w:rPr>
        <w:t>5.1.3.2</w:t>
      </w:r>
      <w:r>
        <w:rPr>
          <w:rFonts w:ascii="黑体" w:hAnsi="黑体" w:eastAsia="黑体" w:cs="黑体"/>
          <w:spacing w:val="7"/>
          <w:sz w:val="25"/>
          <w:szCs w:val="25"/>
        </w:rPr>
        <w:t xml:space="preserve">   </w:t>
      </w:r>
      <w:r>
        <w:rPr>
          <w:rFonts w:ascii="黑体" w:hAnsi="黑体" w:eastAsia="黑体" w:cs="黑体"/>
          <w:b/>
          <w:bCs/>
          <w:spacing w:val="9"/>
          <w:sz w:val="25"/>
          <w:szCs w:val="25"/>
        </w:rPr>
        <w:t>关键任务分析</w:t>
      </w:r>
    </w:p>
    <w:p w14:paraId="67D63631">
      <w:pPr>
        <w:pStyle w:val="2"/>
        <w:spacing w:before="97" w:line="219" w:lineRule="auto"/>
        <w:ind w:left="560"/>
      </w:pPr>
      <w:r>
        <w:rPr>
          <w:spacing w:val="3"/>
        </w:rPr>
        <w:t>关键任务的进一步分析应确定以下各点：</w:t>
      </w:r>
    </w:p>
    <w:p w14:paraId="708CE6EC">
      <w:pPr>
        <w:pStyle w:val="2"/>
        <w:spacing w:before="49" w:line="212" w:lineRule="auto"/>
        <w:ind w:left="560"/>
      </w:pPr>
      <w:r>
        <w:rPr>
          <w:rFonts w:ascii="Times New Roman" w:hAnsi="Times New Roman" w:eastAsia="Times New Roman" w:cs="Times New Roman"/>
          <w:spacing w:val="4"/>
        </w:rPr>
        <w:t xml:space="preserve">a)  </w:t>
      </w:r>
      <w:r>
        <w:rPr>
          <w:spacing w:val="4"/>
        </w:rPr>
        <w:t>包括任务开始时启动指令在内的操作者或维修者所需的信息；</w:t>
      </w:r>
    </w:p>
    <w:p w14:paraId="52633C20">
      <w:pPr>
        <w:pStyle w:val="2"/>
        <w:spacing w:before="99" w:line="212" w:lineRule="auto"/>
        <w:ind w:left="560"/>
      </w:pPr>
      <w:r>
        <w:rPr>
          <w:rFonts w:ascii="Times New Roman" w:hAnsi="Times New Roman" w:eastAsia="Times New Roman" w:cs="Times New Roman"/>
          <w:spacing w:val="3"/>
        </w:rPr>
        <w:t>b)</w:t>
      </w:r>
      <w:r>
        <w:rPr>
          <w:rFonts w:ascii="Times New Roman" w:hAnsi="Times New Roman" w:eastAsia="Times New Roman" w:cs="Times New Roman"/>
          <w:spacing w:val="76"/>
          <w:w w:val="101"/>
        </w:rPr>
        <w:t xml:space="preserve"> </w:t>
      </w:r>
      <w:r>
        <w:rPr>
          <w:spacing w:val="3"/>
        </w:rPr>
        <w:t>操作者或维修者可用的信息；</w:t>
      </w:r>
    </w:p>
    <w:p w14:paraId="6C16FF34">
      <w:pPr>
        <w:pStyle w:val="2"/>
        <w:spacing w:before="128" w:line="218" w:lineRule="auto"/>
        <w:ind w:left="560"/>
      </w:pPr>
      <w:r>
        <w:rPr>
          <w:rFonts w:ascii="Times New Roman" w:hAnsi="Times New Roman" w:eastAsia="Times New Roman" w:cs="Times New Roman"/>
          <w:spacing w:val="11"/>
        </w:rPr>
        <w:t>c</w:t>
      </w:r>
      <w:r>
        <w:rPr>
          <w:spacing w:val="11"/>
        </w:rPr>
        <w:t>)评价程序；</w:t>
      </w:r>
    </w:p>
    <w:p w14:paraId="7D2BF722">
      <w:pPr>
        <w:pStyle w:val="2"/>
        <w:spacing w:before="53" w:line="212" w:lineRule="auto"/>
        <w:ind w:left="560"/>
      </w:pPr>
      <w:r>
        <w:rPr>
          <w:rFonts w:ascii="Times New Roman" w:hAnsi="Times New Roman" w:eastAsia="Times New Roman" w:cs="Times New Roman"/>
          <w:spacing w:val="3"/>
        </w:rPr>
        <w:t>d)</w:t>
      </w:r>
      <w:r>
        <w:rPr>
          <w:rFonts w:ascii="Times New Roman" w:hAnsi="Times New Roman" w:eastAsia="Times New Roman" w:cs="Times New Roman"/>
          <w:spacing w:val="58"/>
        </w:rPr>
        <w:t xml:space="preserve"> </w:t>
      </w:r>
      <w:r>
        <w:rPr>
          <w:spacing w:val="3"/>
        </w:rPr>
        <w:t>评价后所作的决定；</w:t>
      </w:r>
    </w:p>
    <w:p w14:paraId="6B58C61A">
      <w:pPr>
        <w:pStyle w:val="2"/>
        <w:spacing w:before="90" w:line="212" w:lineRule="auto"/>
        <w:ind w:left="560"/>
      </w:pPr>
      <w:r>
        <w:rPr>
          <w:rFonts w:ascii="Times New Roman" w:hAnsi="Times New Roman" w:eastAsia="Times New Roman" w:cs="Times New Roman"/>
          <w:spacing w:val="1"/>
        </w:rPr>
        <w:t xml:space="preserve">e)  </w:t>
      </w:r>
      <w:r>
        <w:rPr>
          <w:spacing w:val="1"/>
        </w:rPr>
        <w:t>应采取的动作；</w:t>
      </w:r>
    </w:p>
    <w:p w14:paraId="1296988B">
      <w:pPr>
        <w:pStyle w:val="2"/>
        <w:spacing w:before="90" w:line="212" w:lineRule="auto"/>
        <w:ind w:left="560"/>
      </w:pPr>
      <w:r>
        <w:rPr>
          <w:rFonts w:ascii="Times New Roman" w:hAnsi="Times New Roman" w:eastAsia="Times New Roman" w:cs="Times New Roman"/>
          <w:spacing w:val="4"/>
        </w:rPr>
        <w:t xml:space="preserve">f)  </w:t>
      </w:r>
      <w:r>
        <w:rPr>
          <w:spacing w:val="4"/>
        </w:rPr>
        <w:t>采取动作需要身体做的各种运动；</w:t>
      </w:r>
    </w:p>
    <w:p w14:paraId="7AAC5E02">
      <w:pPr>
        <w:pStyle w:val="2"/>
        <w:spacing w:before="119" w:line="212" w:lineRule="auto"/>
        <w:ind w:left="560"/>
      </w:pPr>
      <w:r>
        <w:rPr>
          <w:rFonts w:ascii="Times New Roman" w:hAnsi="Times New Roman" w:eastAsia="Times New Roman" w:cs="Times New Roman"/>
          <w:spacing w:val="3"/>
        </w:rPr>
        <w:t xml:space="preserve">g)  </w:t>
      </w:r>
      <w:r>
        <w:rPr>
          <w:spacing w:val="3"/>
        </w:rPr>
        <w:t>运动需要的工作空间；</w:t>
      </w:r>
    </w:p>
    <w:p w14:paraId="6E654B7C">
      <w:pPr>
        <w:pStyle w:val="2"/>
        <w:spacing w:before="61" w:line="212" w:lineRule="auto"/>
        <w:ind w:left="560"/>
      </w:pPr>
      <w:r>
        <w:rPr>
          <w:rFonts w:ascii="Times New Roman" w:hAnsi="Times New Roman" w:eastAsia="Times New Roman" w:cs="Times New Roman"/>
          <w:spacing w:val="2"/>
        </w:rPr>
        <w:t xml:space="preserve">h)  </w:t>
      </w:r>
      <w:r>
        <w:rPr>
          <w:spacing w:val="2"/>
        </w:rPr>
        <w:t>可用的工作空间；</w:t>
      </w:r>
    </w:p>
    <w:p w14:paraId="5B96B95E">
      <w:pPr>
        <w:pStyle w:val="2"/>
        <w:spacing w:before="110" w:line="212" w:lineRule="auto"/>
        <w:ind w:left="560"/>
      </w:pPr>
      <w:r>
        <w:rPr>
          <w:rFonts w:ascii="Times New Roman" w:hAnsi="Times New Roman" w:eastAsia="Times New Roman" w:cs="Times New Roman"/>
          <w:spacing w:val="3"/>
        </w:rPr>
        <w:t>i)</w:t>
      </w:r>
      <w:r>
        <w:rPr>
          <w:rFonts w:ascii="Times New Roman" w:hAnsi="Times New Roman" w:eastAsia="Times New Roman" w:cs="Times New Roman"/>
          <w:spacing w:val="75"/>
          <w:w w:val="101"/>
        </w:rPr>
        <w:t xml:space="preserve"> </w:t>
      </w:r>
      <w:r>
        <w:rPr>
          <w:spacing w:val="3"/>
        </w:rPr>
        <w:t>工作位置和环境条件；</w:t>
      </w:r>
    </w:p>
    <w:p w14:paraId="65A8EFD7">
      <w:pPr>
        <w:pStyle w:val="2"/>
        <w:spacing w:before="109" w:line="212" w:lineRule="auto"/>
        <w:ind w:left="560"/>
      </w:pPr>
      <w:r>
        <w:rPr>
          <w:rFonts w:ascii="Times New Roman" w:hAnsi="Times New Roman" w:eastAsia="Times New Roman" w:cs="Times New Roman"/>
          <w:spacing w:val="5"/>
        </w:rPr>
        <w:t>j)</w:t>
      </w:r>
      <w:r>
        <w:rPr>
          <w:rFonts w:ascii="Times New Roman" w:hAnsi="Times New Roman" w:eastAsia="Times New Roman" w:cs="Times New Roman"/>
          <w:spacing w:val="56"/>
        </w:rPr>
        <w:t xml:space="preserve"> </w:t>
      </w:r>
      <w:r>
        <w:rPr>
          <w:spacing w:val="5"/>
        </w:rPr>
        <w:t>动作的频率和耐力；</w:t>
      </w:r>
    </w:p>
    <w:p w14:paraId="36AFAAE6">
      <w:pPr>
        <w:pStyle w:val="2"/>
        <w:spacing w:before="113" w:line="212" w:lineRule="auto"/>
        <w:ind w:left="560"/>
        <w:rPr>
          <w:sz w:val="24"/>
          <w:szCs w:val="24"/>
        </w:rPr>
      </w:pPr>
      <w:r>
        <w:rPr>
          <w:rFonts w:ascii="Times New Roman" w:hAnsi="Times New Roman" w:eastAsia="Times New Roman" w:cs="Times New Roman"/>
          <w:spacing w:val="18"/>
          <w:sz w:val="24"/>
          <w:szCs w:val="24"/>
        </w:rPr>
        <w:t>k)</w:t>
      </w:r>
      <w:r>
        <w:rPr>
          <w:rFonts w:ascii="Times New Roman" w:hAnsi="Times New Roman" w:eastAsia="Times New Roman" w:cs="Times New Roman"/>
          <w:spacing w:val="4"/>
          <w:sz w:val="24"/>
          <w:szCs w:val="24"/>
        </w:rPr>
        <w:t xml:space="preserve">   </w:t>
      </w:r>
      <w:r>
        <w:rPr>
          <w:spacing w:val="18"/>
          <w:sz w:val="24"/>
          <w:szCs w:val="24"/>
        </w:rPr>
        <w:t>时间基准；</w:t>
      </w:r>
    </w:p>
    <w:p w14:paraId="360886F4">
      <w:pPr>
        <w:pStyle w:val="2"/>
        <w:spacing w:before="131" w:line="219" w:lineRule="auto"/>
        <w:ind w:left="560"/>
      </w:pPr>
      <w:r>
        <w:rPr>
          <w:spacing w:val="6"/>
        </w:rPr>
        <w:t>1)通知操作者或维修者采取适当行动的反</w:t>
      </w:r>
      <w:r>
        <w:rPr>
          <w:spacing w:val="5"/>
        </w:rPr>
        <w:t>馈信息；</w:t>
      </w:r>
    </w:p>
    <w:p w14:paraId="10B1210F">
      <w:pPr>
        <w:pStyle w:val="2"/>
        <w:spacing w:before="51" w:line="212" w:lineRule="auto"/>
        <w:ind w:left="560"/>
      </w:pPr>
      <w:r>
        <w:rPr>
          <w:rFonts w:ascii="Times New Roman" w:hAnsi="Times New Roman" w:eastAsia="Times New Roman" w:cs="Times New Roman"/>
          <w:spacing w:val="3"/>
        </w:rPr>
        <w:t xml:space="preserve">m)  </w:t>
      </w:r>
      <w:r>
        <w:rPr>
          <w:spacing w:val="3"/>
        </w:rPr>
        <w:t>所需的工具和设备；</w:t>
      </w:r>
    </w:p>
    <w:p w14:paraId="2659DA3F">
      <w:pPr>
        <w:pStyle w:val="2"/>
        <w:spacing w:before="80" w:line="212" w:lineRule="auto"/>
        <w:ind w:left="560"/>
      </w:pPr>
      <w:r>
        <w:rPr>
          <w:rFonts w:ascii="Times New Roman" w:hAnsi="Times New Roman" w:eastAsia="Times New Roman" w:cs="Times New Roman"/>
          <w:spacing w:val="4"/>
        </w:rPr>
        <w:t xml:space="preserve">n)  </w:t>
      </w:r>
      <w:r>
        <w:rPr>
          <w:spacing w:val="4"/>
        </w:rPr>
        <w:t>需要配备的操作者数量及他们的专长和经验；</w:t>
      </w:r>
    </w:p>
    <w:p w14:paraId="5EED59B1">
      <w:pPr>
        <w:pStyle w:val="2"/>
        <w:spacing w:before="99" w:line="212" w:lineRule="auto"/>
        <w:ind w:left="560"/>
      </w:pPr>
      <w:r>
        <w:rPr>
          <w:rFonts w:ascii="Times New Roman" w:hAnsi="Times New Roman" w:eastAsia="Times New Roman" w:cs="Times New Roman"/>
          <w:spacing w:val="-3"/>
        </w:rPr>
        <w:t xml:space="preserve">o)  </w:t>
      </w:r>
      <w:r>
        <w:rPr>
          <w:spacing w:val="-3"/>
        </w:rPr>
        <w:t>需要的辅助用品、训练器材和参考资料；</w:t>
      </w:r>
    </w:p>
    <w:p w14:paraId="1F985A2F">
      <w:pPr>
        <w:pStyle w:val="2"/>
        <w:spacing w:before="100" w:line="212" w:lineRule="auto"/>
        <w:ind w:left="560"/>
      </w:pPr>
      <w:r>
        <w:rPr>
          <w:rFonts w:ascii="Times New Roman" w:hAnsi="Times New Roman" w:eastAsia="Times New Roman" w:cs="Times New Roman"/>
          <w:spacing w:val="8"/>
        </w:rPr>
        <w:t>p</w:t>
      </w:r>
      <w:r>
        <w:rPr>
          <w:rFonts w:ascii="Times New Roman" w:hAnsi="Times New Roman" w:eastAsia="Times New Roman" w:cs="Times New Roman"/>
          <w:spacing w:val="-28"/>
        </w:rPr>
        <w:t xml:space="preserve"> </w:t>
      </w:r>
      <w:r>
        <w:rPr>
          <w:spacing w:val="8"/>
        </w:rPr>
        <w:t>)需要的通信手段及类型；</w:t>
      </w:r>
    </w:p>
    <w:p w14:paraId="39849FFB">
      <w:pPr>
        <w:pStyle w:val="2"/>
        <w:spacing w:before="100" w:line="212" w:lineRule="auto"/>
        <w:ind w:left="560"/>
      </w:pPr>
      <w:r>
        <w:rPr>
          <w:rFonts w:ascii="Times New Roman" w:hAnsi="Times New Roman" w:eastAsia="Times New Roman" w:cs="Times New Roman"/>
          <w:spacing w:val="7"/>
        </w:rPr>
        <w:t>q</w:t>
      </w:r>
      <w:r>
        <w:rPr>
          <w:rFonts w:ascii="Times New Roman" w:hAnsi="Times New Roman" w:eastAsia="Times New Roman" w:cs="Times New Roman"/>
          <w:spacing w:val="-31"/>
        </w:rPr>
        <w:t xml:space="preserve"> </w:t>
      </w:r>
      <w:r>
        <w:rPr>
          <w:spacing w:val="7"/>
        </w:rPr>
        <w:t>)所涉及的特殊危害；</w:t>
      </w:r>
    </w:p>
    <w:p w14:paraId="11239339">
      <w:pPr>
        <w:pStyle w:val="2"/>
        <w:spacing w:before="122" w:line="212" w:lineRule="auto"/>
        <w:ind w:left="560"/>
        <w:rPr>
          <w:sz w:val="25"/>
          <w:szCs w:val="25"/>
        </w:rPr>
      </w:pPr>
      <w:r>
        <w:rPr>
          <w:rFonts w:ascii="Times New Roman" w:hAnsi="Times New Roman" w:eastAsia="Times New Roman" w:cs="Times New Roman"/>
          <w:spacing w:val="16"/>
          <w:sz w:val="25"/>
          <w:szCs w:val="25"/>
        </w:rPr>
        <w:t>r)</w:t>
      </w:r>
      <w:r>
        <w:rPr>
          <w:rFonts w:ascii="Times New Roman" w:hAnsi="Times New Roman" w:eastAsia="Times New Roman" w:cs="Times New Roman"/>
          <w:spacing w:val="29"/>
          <w:sz w:val="25"/>
          <w:szCs w:val="25"/>
        </w:rPr>
        <w:t xml:space="preserve">  </w:t>
      </w:r>
      <w:r>
        <w:rPr>
          <w:spacing w:val="16"/>
          <w:sz w:val="25"/>
          <w:szCs w:val="25"/>
        </w:rPr>
        <w:t>当操作者不只一人时，各操作者之间的相互影响；</w:t>
      </w:r>
    </w:p>
    <w:p w14:paraId="45A9E9FD">
      <w:pPr>
        <w:pStyle w:val="2"/>
        <w:spacing w:before="141" w:line="219" w:lineRule="auto"/>
        <w:ind w:left="560"/>
        <w:rPr>
          <w:sz w:val="25"/>
          <w:szCs w:val="25"/>
        </w:rPr>
      </w:pPr>
      <w:r>
        <w:rPr>
          <w:rFonts w:ascii="Times New Roman" w:hAnsi="Times New Roman" w:eastAsia="Times New Roman" w:cs="Times New Roman"/>
          <w:spacing w:val="16"/>
          <w:sz w:val="25"/>
          <w:szCs w:val="25"/>
        </w:rPr>
        <w:t>s</w:t>
      </w:r>
      <w:r>
        <w:rPr>
          <w:rFonts w:ascii="Times New Roman" w:hAnsi="Times New Roman" w:eastAsia="Times New Roman" w:cs="Times New Roman"/>
          <w:spacing w:val="-3"/>
          <w:sz w:val="25"/>
          <w:szCs w:val="25"/>
        </w:rPr>
        <w:t xml:space="preserve"> </w:t>
      </w:r>
      <w:r>
        <w:rPr>
          <w:spacing w:val="16"/>
          <w:sz w:val="25"/>
          <w:szCs w:val="25"/>
        </w:rPr>
        <w:t>)</w:t>
      </w:r>
      <w:r>
        <w:rPr>
          <w:spacing w:val="-49"/>
          <w:sz w:val="25"/>
          <w:szCs w:val="25"/>
        </w:rPr>
        <w:t xml:space="preserve"> </w:t>
      </w:r>
      <w:r>
        <w:rPr>
          <w:spacing w:val="16"/>
          <w:sz w:val="25"/>
          <w:szCs w:val="25"/>
        </w:rPr>
        <w:t>操作者的作业极限；</w:t>
      </w:r>
    </w:p>
    <w:p w14:paraId="6E7B8B6C">
      <w:pPr>
        <w:pStyle w:val="2"/>
        <w:spacing w:before="113" w:line="219" w:lineRule="auto"/>
        <w:ind w:left="560"/>
        <w:rPr>
          <w:sz w:val="25"/>
          <w:szCs w:val="25"/>
        </w:rPr>
      </w:pPr>
      <w:r>
        <w:rPr>
          <w:rFonts w:ascii="Times New Roman" w:hAnsi="Times New Roman" w:eastAsia="Times New Roman" w:cs="Times New Roman"/>
          <w:spacing w:val="18"/>
          <w:sz w:val="25"/>
          <w:szCs w:val="25"/>
        </w:rPr>
        <w:t xml:space="preserve">t </w:t>
      </w:r>
      <w:r>
        <w:rPr>
          <w:spacing w:val="18"/>
          <w:sz w:val="25"/>
          <w:szCs w:val="25"/>
        </w:rPr>
        <w:t>)</w:t>
      </w:r>
      <w:r>
        <w:rPr>
          <w:spacing w:val="-50"/>
          <w:sz w:val="25"/>
          <w:szCs w:val="25"/>
        </w:rPr>
        <w:t xml:space="preserve"> </w:t>
      </w:r>
      <w:r>
        <w:rPr>
          <w:spacing w:val="18"/>
          <w:sz w:val="25"/>
          <w:szCs w:val="25"/>
        </w:rPr>
        <w:t>硬件和软件的运行极限。</w:t>
      </w:r>
    </w:p>
    <w:p w14:paraId="3E132322">
      <w:pPr>
        <w:pStyle w:val="2"/>
        <w:spacing w:before="106" w:line="274" w:lineRule="auto"/>
        <w:ind w:left="60" w:right="6" w:firstLine="499"/>
        <w:jc w:val="both"/>
      </w:pPr>
      <w:r>
        <w:rPr>
          <w:spacing w:val="-2"/>
        </w:rPr>
        <w:t>所有涉及到上述各点的项目任务和阶段，包括降级的操作模式，都</w:t>
      </w:r>
      <w:r>
        <w:rPr>
          <w:spacing w:val="-3"/>
        </w:rPr>
        <w:t>应进行分</w:t>
      </w:r>
      <w:r>
        <w:t xml:space="preserve"> </w:t>
      </w:r>
      <w:r>
        <w:rPr>
          <w:spacing w:val="13"/>
        </w:rPr>
        <w:t>析。各项关键任务的分析应足以指明操作者和维修者影响任务完成的问题所</w:t>
      </w:r>
      <w:r>
        <w:t xml:space="preserve"> </w:t>
      </w:r>
      <w:r>
        <w:rPr>
          <w:spacing w:val="-13"/>
        </w:rPr>
        <w:t>在，并应加以判断，提出补偿措施。</w:t>
      </w:r>
    </w:p>
    <w:p w14:paraId="1D0EA132">
      <w:pPr>
        <w:spacing w:line="327" w:lineRule="exact"/>
        <w:ind w:left="60"/>
        <w:rPr>
          <w:rFonts w:ascii="黑体" w:hAnsi="黑体" w:eastAsia="黑体" w:cs="黑体"/>
          <w:sz w:val="24"/>
          <w:szCs w:val="24"/>
        </w:rPr>
      </w:pPr>
      <w:r>
        <w:rPr>
          <w:rFonts w:ascii="Arial" w:hAnsi="Arial" w:eastAsia="Arial" w:cs="Arial"/>
          <w:spacing w:val="12"/>
          <w:position w:val="1"/>
          <w:sz w:val="24"/>
          <w:szCs w:val="24"/>
        </w:rPr>
        <w:t xml:space="preserve">5.1.3.3       </w:t>
      </w:r>
      <w:r>
        <w:rPr>
          <w:rFonts w:ascii="黑体" w:hAnsi="黑体" w:eastAsia="黑体" w:cs="黑体"/>
          <w:spacing w:val="12"/>
          <w:position w:val="1"/>
          <w:sz w:val="24"/>
          <w:szCs w:val="24"/>
        </w:rPr>
        <w:t>工作负荷分析</w:t>
      </w:r>
    </w:p>
    <w:p w14:paraId="32E1168E">
      <w:pPr>
        <w:pStyle w:val="2"/>
        <w:spacing w:before="92" w:line="272" w:lineRule="auto"/>
        <w:ind w:left="60" w:firstLine="499"/>
        <w:jc w:val="both"/>
      </w:pPr>
      <w:r>
        <w:rPr>
          <w:spacing w:val="5"/>
        </w:rPr>
        <w:t>应对操作者和维修者的工作负荷进行分析，并与作业准则进行比较。为避</w:t>
      </w:r>
      <w:r>
        <w:t xml:space="preserve"> </w:t>
      </w:r>
      <w:r>
        <w:rPr>
          <w:spacing w:val="-3"/>
        </w:rPr>
        <w:t>免工作负荷过重或过轻，对给操作者在注意力、能力和系统性能方面造</w:t>
      </w:r>
      <w:r>
        <w:rPr>
          <w:spacing w:val="-4"/>
        </w:rPr>
        <w:t>成负担且</w:t>
      </w:r>
      <w:r>
        <w:t xml:space="preserve"> </w:t>
      </w:r>
      <w:r>
        <w:rPr>
          <w:spacing w:val="5"/>
        </w:rPr>
        <w:t>对作业产生影响的任何单项或一组任务的需求程度都</w:t>
      </w:r>
      <w:r>
        <w:rPr>
          <w:spacing w:val="4"/>
        </w:rPr>
        <w:t>要进行评定。同时还应适</w:t>
      </w:r>
      <w:r>
        <w:t xml:space="preserve"> </w:t>
      </w:r>
      <w:r>
        <w:rPr>
          <w:spacing w:val="5"/>
        </w:rPr>
        <w:t>当地考虑操作者的灵敏性、辨别力和心理承受能力。工作负荷分析应</w:t>
      </w:r>
      <w:r>
        <w:rPr>
          <w:spacing w:val="4"/>
        </w:rPr>
        <w:t>规定操作</w:t>
      </w:r>
      <w:r>
        <w:t xml:space="preserve"> </w:t>
      </w:r>
      <w:r>
        <w:rPr>
          <w:spacing w:val="-3"/>
        </w:rPr>
        <w:t>顺序和任务次数。对每一项工作任务的组成部分所涉及到的时间、工作</w:t>
      </w:r>
      <w:r>
        <w:rPr>
          <w:spacing w:val="-4"/>
        </w:rPr>
        <w:t>负荷、脑</w:t>
      </w:r>
      <w:r>
        <w:t xml:space="preserve"> </w:t>
      </w:r>
      <w:r>
        <w:rPr>
          <w:spacing w:val="-3"/>
        </w:rPr>
        <w:t>力工作及心理压力，应与机组任务相关的使命阶段相结合，进行初</w:t>
      </w:r>
      <w:r>
        <w:rPr>
          <w:spacing w:val="-4"/>
        </w:rPr>
        <w:t>步工作负荷评</w:t>
      </w:r>
      <w:r>
        <w:t xml:space="preserve"> </w:t>
      </w:r>
      <w:r>
        <w:rPr>
          <w:spacing w:val="5"/>
        </w:rPr>
        <w:t>价，而对每一机组成员的集体工作负荷评价应按允许把</w:t>
      </w:r>
      <w:r>
        <w:rPr>
          <w:spacing w:val="4"/>
        </w:rPr>
        <w:t>机组工作负荷与任务阶</w:t>
      </w:r>
      <w:r>
        <w:t xml:space="preserve"> 段结合的方法确定。</w:t>
      </w:r>
    </w:p>
    <w:p w14:paraId="142B0B4C">
      <w:pPr>
        <w:spacing w:line="272" w:lineRule="auto"/>
        <w:sectPr>
          <w:footerReference r:id="rId628" w:type="default"/>
          <w:pgSz w:w="11910" w:h="17130"/>
          <w:pgMar w:top="1403" w:right="1522" w:bottom="1800" w:left="979" w:header="0" w:footer="1592" w:gutter="0"/>
          <w:cols w:space="720" w:num="1"/>
        </w:sectPr>
      </w:pPr>
    </w:p>
    <w:p w14:paraId="5D9F71D4">
      <w:pPr>
        <w:spacing w:before="53" w:line="222" w:lineRule="auto"/>
        <w:rPr>
          <w:rFonts w:ascii="黑体" w:hAnsi="黑体" w:eastAsia="黑体" w:cs="黑体"/>
          <w:sz w:val="24"/>
          <w:szCs w:val="24"/>
        </w:rPr>
      </w:pPr>
      <w:r>
        <w:rPr>
          <w:rFonts w:ascii="黑体" w:hAnsi="黑体" w:eastAsia="黑体" w:cs="黑体"/>
          <w:spacing w:val="13"/>
          <w:sz w:val="24"/>
          <w:szCs w:val="24"/>
        </w:rPr>
        <w:t>5.1.3.4</w:t>
      </w:r>
      <w:r>
        <w:rPr>
          <w:rFonts w:ascii="黑体" w:hAnsi="黑体" w:eastAsia="黑体" w:cs="黑体"/>
          <w:spacing w:val="19"/>
          <w:sz w:val="24"/>
          <w:szCs w:val="24"/>
        </w:rPr>
        <w:t xml:space="preserve">   </w:t>
      </w:r>
      <w:r>
        <w:rPr>
          <w:rFonts w:ascii="黑体" w:hAnsi="黑体" w:eastAsia="黑体" w:cs="黑体"/>
          <w:spacing w:val="13"/>
          <w:sz w:val="24"/>
          <w:szCs w:val="24"/>
        </w:rPr>
        <w:t>补偿措施</w:t>
      </w:r>
    </w:p>
    <w:p w14:paraId="66C8249D">
      <w:pPr>
        <w:pStyle w:val="2"/>
        <w:spacing w:before="93" w:line="273" w:lineRule="auto"/>
        <w:ind w:right="84" w:firstLine="570"/>
        <w:jc w:val="both"/>
      </w:pPr>
      <w:r>
        <w:rPr>
          <w:spacing w:val="-3"/>
        </w:rPr>
        <w:t>通过任务分析、关键任务分析和工作负荷分析后，对不相容的人机接口和过</w:t>
      </w:r>
      <w:r>
        <w:rPr>
          <w:spacing w:val="18"/>
        </w:rPr>
        <w:t xml:space="preserve"> </w:t>
      </w:r>
      <w:r>
        <w:rPr>
          <w:spacing w:val="-3"/>
        </w:rPr>
        <w:t>高的技能或体能要求，应通过变更设计或调整工作任务的方法来补偿，以排除工</w:t>
      </w:r>
      <w:r>
        <w:rPr>
          <w:spacing w:val="18"/>
        </w:rPr>
        <w:t xml:space="preserve"> </w:t>
      </w:r>
      <w:r>
        <w:rPr>
          <w:spacing w:val="4"/>
        </w:rPr>
        <w:t>作任务或工作负荷因素导致的操作者作业能力的降低。</w:t>
      </w:r>
    </w:p>
    <w:p w14:paraId="7ADD907B">
      <w:pPr>
        <w:spacing w:line="221" w:lineRule="auto"/>
        <w:rPr>
          <w:rFonts w:ascii="黑体" w:hAnsi="黑体" w:eastAsia="黑体" w:cs="黑体"/>
          <w:sz w:val="27"/>
          <w:szCs w:val="27"/>
        </w:rPr>
      </w:pPr>
      <w:r>
        <w:rPr>
          <w:rFonts w:ascii="黑体" w:hAnsi="黑体" w:eastAsia="黑体" w:cs="黑体"/>
          <w:spacing w:val="2"/>
          <w:sz w:val="27"/>
          <w:szCs w:val="27"/>
        </w:rPr>
        <w:t>5.1.3.5</w:t>
      </w:r>
      <w:r>
        <w:rPr>
          <w:rFonts w:ascii="黑体" w:hAnsi="黑体" w:eastAsia="黑体" w:cs="黑体"/>
          <w:spacing w:val="30"/>
          <w:sz w:val="27"/>
          <w:szCs w:val="27"/>
        </w:rPr>
        <w:t xml:space="preserve">  </w:t>
      </w:r>
      <w:r>
        <w:rPr>
          <w:rFonts w:ascii="黑体" w:hAnsi="黑体" w:eastAsia="黑体" w:cs="黑体"/>
          <w:spacing w:val="2"/>
          <w:sz w:val="27"/>
          <w:szCs w:val="27"/>
        </w:rPr>
        <w:t>及时性和可用性</w:t>
      </w:r>
    </w:p>
    <w:p w14:paraId="6337457E">
      <w:pPr>
        <w:pStyle w:val="2"/>
        <w:spacing w:before="67" w:line="293" w:lineRule="auto"/>
        <w:ind w:right="84" w:firstLine="570"/>
      </w:pPr>
      <w:r>
        <w:rPr>
          <w:spacing w:val="-3"/>
        </w:rPr>
        <w:t>任务分析应与设计工作保持同步，按需求随时进行改进，这一要求对订购方</w:t>
      </w:r>
      <w:r>
        <w:rPr>
          <w:spacing w:val="18"/>
        </w:rPr>
        <w:t xml:space="preserve"> </w:t>
      </w:r>
      <w:r>
        <w:rPr>
          <w:spacing w:val="-3"/>
        </w:rPr>
        <w:t>同样适用。</w:t>
      </w:r>
    </w:p>
    <w:p w14:paraId="0C40E4D3">
      <w:pPr>
        <w:spacing w:before="1" w:line="220" w:lineRule="auto"/>
        <w:rPr>
          <w:rFonts w:ascii="黑体" w:hAnsi="黑体" w:eastAsia="黑体" w:cs="黑体"/>
          <w:sz w:val="24"/>
          <w:szCs w:val="24"/>
        </w:rPr>
      </w:pPr>
      <w:r>
        <w:rPr>
          <w:rFonts w:ascii="黑体" w:hAnsi="黑体" w:eastAsia="黑体" w:cs="黑体"/>
          <w:spacing w:val="23"/>
          <w:sz w:val="24"/>
          <w:szCs w:val="24"/>
        </w:rPr>
        <w:t>5.1</w:t>
      </w:r>
      <w:r>
        <w:rPr>
          <w:rFonts w:ascii="黑体" w:hAnsi="黑体" w:eastAsia="黑体" w:cs="黑体"/>
          <w:spacing w:val="-56"/>
          <w:sz w:val="24"/>
          <w:szCs w:val="24"/>
        </w:rPr>
        <w:t xml:space="preserve"> </w:t>
      </w:r>
      <w:r>
        <w:rPr>
          <w:rFonts w:ascii="黑体" w:hAnsi="黑体" w:eastAsia="黑体" w:cs="黑体"/>
          <w:spacing w:val="23"/>
          <w:sz w:val="24"/>
          <w:szCs w:val="24"/>
        </w:rPr>
        <w:t>.4</w:t>
      </w:r>
      <w:r>
        <w:rPr>
          <w:rFonts w:ascii="黑体" w:hAnsi="黑体" w:eastAsia="黑体" w:cs="黑体"/>
          <w:spacing w:val="3"/>
          <w:sz w:val="24"/>
          <w:szCs w:val="24"/>
        </w:rPr>
        <w:t xml:space="preserve">   </w:t>
      </w:r>
      <w:r>
        <w:rPr>
          <w:rFonts w:ascii="黑体" w:hAnsi="黑体" w:eastAsia="黑体" w:cs="黑体"/>
          <w:spacing w:val="23"/>
          <w:sz w:val="24"/>
          <w:szCs w:val="24"/>
        </w:rPr>
        <w:t>系统和分系统的初步设计</w:t>
      </w:r>
    </w:p>
    <w:p w14:paraId="045F3274">
      <w:pPr>
        <w:pStyle w:val="2"/>
        <w:spacing w:before="85" w:line="279" w:lineRule="auto"/>
        <w:ind w:firstLine="570"/>
        <w:jc w:val="both"/>
      </w:pPr>
      <w:r>
        <w:rPr>
          <w:spacing w:val="-3"/>
        </w:rPr>
        <w:t>人机工程原理和准则应运用到以设计准则文件、规范、图样和资料来表述的</w:t>
      </w:r>
      <w:r>
        <w:rPr>
          <w:spacing w:val="8"/>
        </w:rPr>
        <w:t xml:space="preserve"> </w:t>
      </w:r>
      <w:r>
        <w:rPr>
          <w:spacing w:val="-7"/>
        </w:rPr>
        <w:t>系统和分系统设计中去，例如功能流程图、系统和分系统原理框图、接口控制图、</w:t>
      </w:r>
      <w:r>
        <w:rPr>
          <w:spacing w:val="15"/>
        </w:rPr>
        <w:t xml:space="preserve"> </w:t>
      </w:r>
      <w:r>
        <w:rPr>
          <w:spacing w:val="5"/>
        </w:rPr>
        <w:t xml:space="preserve">总体方案草图以及按合同要求提供的相应适用图样，系统和分系统的初步构形  </w:t>
      </w:r>
      <w:r>
        <w:rPr>
          <w:spacing w:val="3"/>
        </w:rPr>
        <w:t>和布置应满足人机作业要求，并符合</w:t>
      </w:r>
      <w:r>
        <w:rPr>
          <w:rFonts w:ascii="Times New Roman" w:hAnsi="Times New Roman" w:eastAsia="Times New Roman" w:cs="Times New Roman"/>
        </w:rPr>
        <w:t>GJB</w:t>
      </w:r>
      <w:r>
        <w:rPr>
          <w:rFonts w:ascii="Times New Roman" w:hAnsi="Times New Roman" w:eastAsia="Times New Roman" w:cs="Times New Roman"/>
          <w:spacing w:val="3"/>
        </w:rPr>
        <w:t xml:space="preserve">  2873</w:t>
      </w:r>
      <w:r>
        <w:rPr>
          <w:spacing w:val="3"/>
        </w:rPr>
        <w:t>有关适用准则及合同所规定的其</w:t>
      </w:r>
      <w:r>
        <w:rPr>
          <w:spacing w:val="17"/>
        </w:rPr>
        <w:t xml:space="preserve"> </w:t>
      </w:r>
      <w:r>
        <w:rPr>
          <w:spacing w:val="1"/>
        </w:rPr>
        <w:t>他人机工程准则。</w:t>
      </w:r>
    </w:p>
    <w:p w14:paraId="7D0DA6B9">
      <w:pPr>
        <w:spacing w:line="221" w:lineRule="auto"/>
        <w:rPr>
          <w:rFonts w:ascii="黑体" w:hAnsi="黑体" w:eastAsia="黑体" w:cs="黑体"/>
          <w:sz w:val="27"/>
          <w:szCs w:val="27"/>
        </w:rPr>
      </w:pPr>
      <w:r>
        <w:rPr>
          <w:rFonts w:ascii="黑体" w:hAnsi="黑体" w:eastAsia="黑体" w:cs="黑体"/>
          <w:spacing w:val="4"/>
          <w:sz w:val="27"/>
          <w:szCs w:val="27"/>
        </w:rPr>
        <w:t>5.2</w:t>
      </w:r>
      <w:r>
        <w:rPr>
          <w:rFonts w:ascii="黑体" w:hAnsi="黑体" w:eastAsia="黑体" w:cs="黑体"/>
          <w:spacing w:val="30"/>
          <w:sz w:val="27"/>
          <w:szCs w:val="27"/>
        </w:rPr>
        <w:t xml:space="preserve">  </w:t>
      </w:r>
      <w:r>
        <w:rPr>
          <w:rFonts w:ascii="黑体" w:hAnsi="黑体" w:eastAsia="黑体" w:cs="黑体"/>
          <w:spacing w:val="4"/>
          <w:sz w:val="27"/>
          <w:szCs w:val="27"/>
        </w:rPr>
        <w:t>详细设计中的人机工程</w:t>
      </w:r>
    </w:p>
    <w:p w14:paraId="41903171">
      <w:pPr>
        <w:pStyle w:val="2"/>
        <w:spacing w:before="84" w:line="272" w:lineRule="auto"/>
        <w:ind w:right="83" w:firstLine="570"/>
        <w:jc w:val="both"/>
      </w:pPr>
      <w:r>
        <w:rPr>
          <w:spacing w:val="10"/>
        </w:rPr>
        <w:t>详细设计中，应将按5.1条分析得出的人机工程原始资料同其</w:t>
      </w:r>
      <w:r>
        <w:rPr>
          <w:spacing w:val="9"/>
        </w:rPr>
        <w:t>他相关的人</w:t>
      </w:r>
      <w:r>
        <w:t xml:space="preserve"> </w:t>
      </w:r>
      <w:r>
        <w:rPr>
          <w:spacing w:val="5"/>
        </w:rPr>
        <w:t>机工程原始资料一起，作为详细设计工作的项目要点。设备设计应满足人机作</w:t>
      </w:r>
      <w:r>
        <w:rPr>
          <w:spacing w:val="16"/>
        </w:rPr>
        <w:t xml:space="preserve"> </w:t>
      </w:r>
      <w:r>
        <w:rPr>
          <w:spacing w:val="3"/>
        </w:rPr>
        <w:t>业要求、</w:t>
      </w:r>
      <w:r>
        <w:rPr>
          <w:rFonts w:ascii="Times New Roman" w:hAnsi="Times New Roman" w:eastAsia="Times New Roman" w:cs="Times New Roman"/>
        </w:rPr>
        <w:t>GJB</w:t>
      </w:r>
      <w:r>
        <w:rPr>
          <w:rFonts w:ascii="Times New Roman" w:hAnsi="Times New Roman" w:eastAsia="Times New Roman" w:cs="Times New Roman"/>
          <w:spacing w:val="3"/>
        </w:rPr>
        <w:t xml:space="preserve">  2873</w:t>
      </w:r>
      <w:r>
        <w:rPr>
          <w:spacing w:val="3"/>
        </w:rPr>
        <w:t>的适用准则及合同规定的其他人机工程准则。应慎重考虑在</w:t>
      </w:r>
      <w:r>
        <w:t xml:space="preserve"> </w:t>
      </w:r>
      <w:r>
        <w:rPr>
          <w:spacing w:val="-2"/>
        </w:rPr>
        <w:t>系统或设备测试情况下的人机工程要求，它应</w:t>
      </w:r>
      <w:r>
        <w:rPr>
          <w:spacing w:val="-3"/>
        </w:rPr>
        <w:t>包括检验正确的操作、确定维修需</w:t>
      </w:r>
      <w:r>
        <w:t xml:space="preserve"> </w:t>
      </w:r>
      <w:r>
        <w:rPr>
          <w:spacing w:val="5"/>
        </w:rPr>
        <w:t>求以及留出测试者执行他们的任务时所需的足够空间。在设计复审期间，应对</w:t>
      </w:r>
      <w:r>
        <w:rPr>
          <w:spacing w:val="10"/>
        </w:rPr>
        <w:t xml:space="preserve"> </w:t>
      </w:r>
      <w:r>
        <w:rPr>
          <w:spacing w:val="6"/>
        </w:rPr>
        <w:t>装备中的人机工程措施进行充分的评估。承制方的人机工程责任者应</w:t>
      </w:r>
      <w:r>
        <w:rPr>
          <w:spacing w:val="5"/>
        </w:rPr>
        <w:t>参与设计</w:t>
      </w:r>
      <w:r>
        <w:t xml:space="preserve"> 复审、装备的工程变更建议复审和最后一次的人机接</w:t>
      </w:r>
      <w:r>
        <w:rPr>
          <w:spacing w:val="-1"/>
        </w:rPr>
        <w:t>口复审。</w:t>
      </w:r>
    </w:p>
    <w:p w14:paraId="648977AD">
      <w:pPr>
        <w:spacing w:before="47" w:line="221" w:lineRule="auto"/>
        <w:rPr>
          <w:rFonts w:ascii="黑体" w:hAnsi="黑体" w:eastAsia="黑体" w:cs="黑体"/>
          <w:sz w:val="27"/>
          <w:szCs w:val="27"/>
        </w:rPr>
      </w:pPr>
      <w:r>
        <w:rPr>
          <w:rFonts w:ascii="黑体" w:hAnsi="黑体" w:eastAsia="黑体" w:cs="黑体"/>
          <w:spacing w:val="2"/>
          <w:sz w:val="27"/>
          <w:szCs w:val="27"/>
        </w:rPr>
        <w:t>5.2.1</w:t>
      </w:r>
      <w:r>
        <w:rPr>
          <w:rFonts w:ascii="黑体" w:hAnsi="黑体" w:eastAsia="黑体" w:cs="黑体"/>
          <w:spacing w:val="46"/>
          <w:sz w:val="27"/>
          <w:szCs w:val="27"/>
        </w:rPr>
        <w:t xml:space="preserve">  </w:t>
      </w:r>
      <w:r>
        <w:rPr>
          <w:rFonts w:ascii="黑体" w:hAnsi="黑体" w:eastAsia="黑体" w:cs="黑体"/>
          <w:spacing w:val="2"/>
          <w:sz w:val="27"/>
          <w:szCs w:val="27"/>
        </w:rPr>
        <w:t>试验和研究</w:t>
      </w:r>
    </w:p>
    <w:p w14:paraId="384D1D97">
      <w:pPr>
        <w:pStyle w:val="2"/>
        <w:spacing w:before="90" w:line="279" w:lineRule="auto"/>
        <w:ind w:right="23" w:firstLine="630"/>
        <w:jc w:val="both"/>
      </w:pPr>
      <w:r>
        <w:rPr>
          <w:spacing w:val="6"/>
        </w:rPr>
        <w:t>对需要解决的人机工程及系统特定的生命保障等问题，承制方应进行</w:t>
      </w:r>
      <w:r>
        <w:rPr>
          <w:spacing w:val="5"/>
        </w:rPr>
        <w:t>试验</w:t>
      </w:r>
      <w:r>
        <w:t xml:space="preserve"> </w:t>
      </w:r>
      <w:r>
        <w:rPr>
          <w:spacing w:val="5"/>
        </w:rPr>
        <w:t>(含动态模拟)和研究。为检验设计目标和系统性能；上述试验和研究应及时完</w:t>
      </w:r>
      <w:r>
        <w:rPr>
          <w:spacing w:val="8"/>
        </w:rPr>
        <w:t xml:space="preserve"> </w:t>
      </w:r>
      <w:r>
        <w:rPr>
          <w:spacing w:val="-3"/>
        </w:rPr>
        <w:t>成，使它们的结果能在设备设计中得以体现，必要时，还可用来修改最初的功能</w:t>
      </w:r>
      <w:r>
        <w:rPr>
          <w:spacing w:val="17"/>
        </w:rPr>
        <w:t xml:space="preserve"> </w:t>
      </w:r>
      <w:r>
        <w:rPr>
          <w:spacing w:val="5"/>
        </w:rPr>
        <w:t>分配。凡认为只有通过重要的试验和研究项目才可以解决的人机工程和生命保</w:t>
      </w:r>
      <w:r>
        <w:rPr>
          <w:spacing w:val="8"/>
        </w:rPr>
        <w:t xml:space="preserve"> </w:t>
      </w:r>
      <w:r>
        <w:rPr>
          <w:spacing w:val="-3"/>
        </w:rPr>
        <w:t>障方面的问题，应提请订购方购买时注意，并说明若问题不能得到解决时，将对</w:t>
      </w:r>
      <w:r>
        <w:rPr>
          <w:spacing w:val="15"/>
        </w:rPr>
        <w:t xml:space="preserve"> </w:t>
      </w:r>
      <w:r>
        <w:rPr>
          <w:spacing w:val="5"/>
        </w:rPr>
        <w:t>系统造成的影响。任何重要研究项目的进行，均应得到订购方的批准。为避免</w:t>
      </w:r>
      <w:r>
        <w:rPr>
          <w:spacing w:val="10"/>
        </w:rPr>
        <w:t xml:space="preserve"> </w:t>
      </w:r>
      <w:r>
        <w:rPr>
          <w:spacing w:val="5"/>
        </w:rPr>
        <w:t>试验和研究与正在进行或已完成的项目发生重复，要对人机工程问题适当地分</w:t>
      </w:r>
      <w:r>
        <w:rPr>
          <w:spacing w:val="10"/>
        </w:rPr>
        <w:t xml:space="preserve"> </w:t>
      </w:r>
      <w:r>
        <w:rPr>
          <w:spacing w:val="5"/>
        </w:rPr>
        <w:t>解，在重要项目开始之前，对已使用的人机工程资料和其他相关资料的适用范</w:t>
      </w:r>
      <w:r>
        <w:rPr>
          <w:spacing w:val="14"/>
        </w:rPr>
        <w:t xml:space="preserve"> </w:t>
      </w:r>
      <w:r>
        <w:rPr>
          <w:spacing w:val="-11"/>
        </w:rPr>
        <w:t>围，要作出明确的规定。</w:t>
      </w:r>
    </w:p>
    <w:p w14:paraId="252126C9">
      <w:pPr>
        <w:spacing w:before="16" w:line="223" w:lineRule="auto"/>
        <w:rPr>
          <w:rFonts w:ascii="黑体" w:hAnsi="黑体" w:eastAsia="黑体" w:cs="黑体"/>
          <w:sz w:val="24"/>
          <w:szCs w:val="24"/>
        </w:rPr>
      </w:pPr>
      <w:r>
        <w:rPr>
          <w:rFonts w:ascii="黑体" w:hAnsi="黑体" w:eastAsia="黑体" w:cs="黑体"/>
          <w:spacing w:val="-2"/>
          <w:sz w:val="24"/>
          <w:szCs w:val="24"/>
        </w:rPr>
        <w:t>5.2.1.1</w:t>
      </w:r>
      <w:r>
        <w:rPr>
          <w:rFonts w:ascii="黑体" w:hAnsi="黑体" w:eastAsia="黑体" w:cs="黑体"/>
          <w:spacing w:val="4"/>
          <w:sz w:val="24"/>
          <w:szCs w:val="24"/>
        </w:rPr>
        <w:t xml:space="preserve">    </w:t>
      </w:r>
      <w:r>
        <w:rPr>
          <w:rFonts w:ascii="黑体" w:hAnsi="黑体" w:eastAsia="黑体" w:cs="黑体"/>
          <w:spacing w:val="-2"/>
          <w:sz w:val="24"/>
          <w:szCs w:val="24"/>
        </w:rPr>
        <w:t>模</w:t>
      </w:r>
      <w:r>
        <w:rPr>
          <w:rFonts w:ascii="黑体" w:hAnsi="黑体" w:eastAsia="黑体" w:cs="黑体"/>
          <w:spacing w:val="-14"/>
          <w:sz w:val="24"/>
          <w:szCs w:val="24"/>
        </w:rPr>
        <w:t xml:space="preserve"> </w:t>
      </w:r>
      <w:r>
        <w:rPr>
          <w:rFonts w:ascii="黑体" w:hAnsi="黑体" w:eastAsia="黑体" w:cs="黑体"/>
          <w:spacing w:val="-2"/>
          <w:sz w:val="24"/>
          <w:szCs w:val="24"/>
        </w:rPr>
        <w:t>型</w:t>
      </w:r>
    </w:p>
    <w:p w14:paraId="1A481D08">
      <w:pPr>
        <w:spacing w:before="118" w:line="222" w:lineRule="auto"/>
        <w:rPr>
          <w:rFonts w:ascii="黑体" w:hAnsi="黑体" w:eastAsia="黑体" w:cs="黑体"/>
          <w:sz w:val="24"/>
          <w:szCs w:val="24"/>
        </w:rPr>
      </w:pPr>
      <w:r>
        <w:rPr>
          <w:rFonts w:ascii="黑体" w:hAnsi="黑体" w:eastAsia="黑体" w:cs="黑体"/>
          <w:spacing w:val="10"/>
          <w:sz w:val="24"/>
          <w:szCs w:val="24"/>
        </w:rPr>
        <w:t>5.2.1.1. 1</w:t>
      </w:r>
      <w:r>
        <w:rPr>
          <w:rFonts w:ascii="黑体" w:hAnsi="黑体" w:eastAsia="黑体" w:cs="黑体"/>
          <w:spacing w:val="26"/>
          <w:sz w:val="24"/>
          <w:szCs w:val="24"/>
        </w:rPr>
        <w:t xml:space="preserve">   </w:t>
      </w:r>
      <w:r>
        <w:rPr>
          <w:rFonts w:ascii="黑体" w:hAnsi="黑体" w:eastAsia="黑体" w:cs="黑体"/>
          <w:spacing w:val="10"/>
          <w:sz w:val="24"/>
          <w:szCs w:val="24"/>
        </w:rPr>
        <w:t>计算机模型</w:t>
      </w:r>
    </w:p>
    <w:p w14:paraId="2FAB800E">
      <w:pPr>
        <w:pStyle w:val="2"/>
        <w:spacing w:before="104" w:line="219" w:lineRule="auto"/>
        <w:jc w:val="right"/>
      </w:pPr>
      <w:r>
        <w:rPr>
          <w:spacing w:val="-3"/>
        </w:rPr>
        <w:t>在操作者的操作能力和维修效率起决定性作用的场合，当订购方需要时，设</w:t>
      </w:r>
    </w:p>
    <w:p w14:paraId="28B56268">
      <w:pPr>
        <w:spacing w:line="219" w:lineRule="auto"/>
        <w:sectPr>
          <w:footerReference r:id="rId629" w:type="default"/>
          <w:pgSz w:w="11910" w:h="17130"/>
          <w:pgMar w:top="1456" w:right="1065" w:bottom="1768" w:left="1360" w:header="0" w:footer="1524" w:gutter="0"/>
          <w:cols w:space="720" w:num="1"/>
        </w:sectPr>
      </w:pPr>
    </w:p>
    <w:p w14:paraId="03D52517">
      <w:pPr>
        <w:pStyle w:val="2"/>
        <w:spacing w:before="111" w:line="272" w:lineRule="auto"/>
        <w:jc w:val="both"/>
      </w:pPr>
      <w:r>
        <w:rPr>
          <w:spacing w:val="5"/>
        </w:rPr>
        <w:t>备的研制和设计就可采用三维设计计算机模型、快速制作样机模型和计算机辅</w:t>
      </w:r>
      <w:r>
        <w:rPr>
          <w:spacing w:val="6"/>
        </w:rPr>
        <w:t xml:space="preserve">  </w:t>
      </w:r>
      <w:r>
        <w:rPr>
          <w:spacing w:val="8"/>
        </w:rPr>
        <w:t>助设计/计算机辅助制造(</w:t>
      </w:r>
      <w:r>
        <w:rPr>
          <w:spacing w:val="-72"/>
        </w:rPr>
        <w:t xml:space="preserve"> </w:t>
      </w:r>
      <w:r>
        <w:rPr>
          <w:rFonts w:ascii="Times New Roman" w:hAnsi="Times New Roman" w:eastAsia="Times New Roman" w:cs="Times New Roman"/>
        </w:rPr>
        <w:t>CAD</w:t>
      </w:r>
      <w:r>
        <w:rPr>
          <w:rFonts w:ascii="Times New Roman" w:hAnsi="Times New Roman" w:eastAsia="Times New Roman" w:cs="Times New Roman"/>
          <w:spacing w:val="8"/>
        </w:rPr>
        <w:t>/</w:t>
      </w:r>
      <w:r>
        <w:rPr>
          <w:rFonts w:ascii="Times New Roman" w:hAnsi="Times New Roman" w:eastAsia="Times New Roman" w:cs="Times New Roman"/>
        </w:rPr>
        <w:t>CAM</w:t>
      </w:r>
      <w:r>
        <w:rPr>
          <w:rFonts w:ascii="Times New Roman" w:hAnsi="Times New Roman" w:eastAsia="Times New Roman" w:cs="Times New Roman"/>
          <w:spacing w:val="8"/>
        </w:rPr>
        <w:t xml:space="preserve">)  </w:t>
      </w:r>
      <w:r>
        <w:rPr>
          <w:spacing w:val="8"/>
        </w:rPr>
        <w:t>技术。计算</w:t>
      </w:r>
      <w:r>
        <w:rPr>
          <w:spacing w:val="7"/>
        </w:rPr>
        <w:t>机模型应能提供适当的身体</w:t>
      </w:r>
      <w:r>
        <w:t xml:space="preserve">  </w:t>
      </w:r>
      <w:r>
        <w:rPr>
          <w:spacing w:val="-17"/>
        </w:rPr>
        <w:t>尺寸范围、着装和姿态，以评估依据与整个身体适应和可达、手指、手、臂、脚</w:t>
      </w:r>
      <w:r>
        <w:rPr>
          <w:spacing w:val="-18"/>
        </w:rPr>
        <w:t>、腿</w:t>
      </w:r>
      <w:r>
        <w:t xml:space="preserve">  </w:t>
      </w:r>
      <w:r>
        <w:rPr>
          <w:spacing w:val="5"/>
        </w:rPr>
        <w:t xml:space="preserve">及其他的可达和伸展、视野和体力等相容性所提出的设计建议和设计修正。计  </w:t>
      </w:r>
      <w:r>
        <w:rPr>
          <w:spacing w:val="6"/>
        </w:rPr>
        <w:t>算机模型不能用于操作者作业和人机工程设计</w:t>
      </w:r>
      <w:r>
        <w:rPr>
          <w:spacing w:val="5"/>
        </w:rPr>
        <w:t>的符合性测试。当用于预研目的</w:t>
      </w:r>
      <w:r>
        <w:t xml:space="preserve"> </w:t>
      </w:r>
      <w:r>
        <w:rPr>
          <w:spacing w:val="-3"/>
        </w:rPr>
        <w:t>时，应制做准确的可反复实践的和符合实际输出的计算机模型。计算机模型、快</w:t>
      </w:r>
      <w:r>
        <w:rPr>
          <w:spacing w:val="6"/>
        </w:rPr>
        <w:t xml:space="preserve">  速制作的样机模型和采用</w:t>
      </w:r>
      <w:r>
        <w:rPr>
          <w:rFonts w:ascii="Times New Roman" w:hAnsi="Times New Roman" w:eastAsia="Times New Roman" w:cs="Times New Roman"/>
        </w:rPr>
        <w:t>CAD</w:t>
      </w:r>
      <w:r>
        <w:rPr>
          <w:rFonts w:ascii="Times New Roman" w:hAnsi="Times New Roman" w:eastAsia="Times New Roman" w:cs="Times New Roman"/>
          <w:spacing w:val="6"/>
        </w:rPr>
        <w:t>/</w:t>
      </w:r>
      <w:r>
        <w:rPr>
          <w:rFonts w:ascii="Times New Roman" w:hAnsi="Times New Roman" w:eastAsia="Times New Roman" w:cs="Times New Roman"/>
        </w:rPr>
        <w:t>CAM</w:t>
      </w:r>
      <w:r>
        <w:rPr>
          <w:rFonts w:ascii="Times New Roman" w:hAnsi="Times New Roman" w:eastAsia="Times New Roman" w:cs="Times New Roman"/>
          <w:spacing w:val="6"/>
        </w:rPr>
        <w:t xml:space="preserve">   </w:t>
      </w:r>
      <w:r>
        <w:rPr>
          <w:spacing w:val="6"/>
        </w:rPr>
        <w:t>制作的模型应提供给订购</w:t>
      </w:r>
      <w:r>
        <w:rPr>
          <w:spacing w:val="5"/>
        </w:rPr>
        <w:t>方，如果适用，</w:t>
      </w:r>
      <w:r>
        <w:t xml:space="preserve"> </w:t>
      </w:r>
      <w:r>
        <w:rPr>
          <w:spacing w:val="2"/>
        </w:rPr>
        <w:t>应在设计评审期间使用。</w:t>
      </w:r>
    </w:p>
    <w:p w14:paraId="0FA4003C">
      <w:pPr>
        <w:spacing w:before="44" w:line="221" w:lineRule="auto"/>
        <w:rPr>
          <w:rFonts w:ascii="黑体" w:hAnsi="黑体" w:eastAsia="黑体" w:cs="黑体"/>
          <w:sz w:val="25"/>
          <w:szCs w:val="25"/>
        </w:rPr>
      </w:pPr>
      <w:r>
        <w:rPr>
          <w:rFonts w:ascii="黑体" w:hAnsi="黑体" w:eastAsia="黑体" w:cs="黑体"/>
          <w:spacing w:val="12"/>
          <w:sz w:val="25"/>
          <w:szCs w:val="25"/>
        </w:rPr>
        <w:t>5.2.1.1.</w:t>
      </w:r>
      <w:r>
        <w:rPr>
          <w:rFonts w:ascii="黑体" w:hAnsi="黑体" w:eastAsia="黑体" w:cs="黑体"/>
          <w:spacing w:val="-70"/>
          <w:sz w:val="25"/>
          <w:szCs w:val="25"/>
        </w:rPr>
        <w:t xml:space="preserve"> </w:t>
      </w:r>
      <w:r>
        <w:rPr>
          <w:rFonts w:ascii="黑体" w:hAnsi="黑体" w:eastAsia="黑体" w:cs="黑体"/>
          <w:spacing w:val="12"/>
          <w:sz w:val="25"/>
          <w:szCs w:val="25"/>
        </w:rPr>
        <w:t>2</w:t>
      </w:r>
      <w:r>
        <w:rPr>
          <w:rFonts w:ascii="黑体" w:hAnsi="黑体" w:eastAsia="黑体" w:cs="黑体"/>
          <w:spacing w:val="38"/>
          <w:sz w:val="25"/>
          <w:szCs w:val="25"/>
        </w:rPr>
        <w:t xml:space="preserve">  </w:t>
      </w:r>
      <w:r>
        <w:rPr>
          <w:rFonts w:ascii="黑体" w:hAnsi="黑体" w:eastAsia="黑体" w:cs="黑体"/>
          <w:b/>
          <w:bCs/>
          <w:spacing w:val="12"/>
          <w:sz w:val="25"/>
          <w:szCs w:val="25"/>
        </w:rPr>
        <w:t>全尺寸实体模型</w:t>
      </w:r>
    </w:p>
    <w:p w14:paraId="24FE918D">
      <w:pPr>
        <w:pStyle w:val="2"/>
        <w:spacing w:before="71" w:line="279" w:lineRule="auto"/>
        <w:ind w:firstLine="580"/>
        <w:jc w:val="both"/>
      </w:pPr>
      <w:r>
        <w:rPr>
          <w:spacing w:val="6"/>
        </w:rPr>
        <w:t>在研制项目最早的阶段决策点和系统样机制</w:t>
      </w:r>
      <w:r>
        <w:rPr>
          <w:spacing w:val="5"/>
        </w:rPr>
        <w:t>造之前，应制作出含有关键性</w:t>
      </w:r>
      <w:r>
        <w:t xml:space="preserve"> </w:t>
      </w:r>
      <w:r>
        <w:rPr>
          <w:spacing w:val="5"/>
        </w:rPr>
        <w:t xml:space="preserve">操作者作业的设备的全尺寸实体模型。尽早地制作出这种模型的目的是，保证  </w:t>
      </w:r>
      <w:r>
        <w:rPr>
          <w:spacing w:val="9"/>
        </w:rPr>
        <w:t>人机工程评估的结果在设计中起到一定的作用。这种实体模型毋须特别</w:t>
      </w:r>
      <w:r>
        <w:rPr>
          <w:spacing w:val="8"/>
        </w:rPr>
        <w:t>精细，</w:t>
      </w:r>
      <w:r>
        <w:t xml:space="preserve"> </w:t>
      </w:r>
      <w:r>
        <w:rPr>
          <w:spacing w:val="5"/>
        </w:rPr>
        <w:t>只要在评估时能表示出人机接口的那些状况即可。这些实体模型应为解决操作</w:t>
      </w:r>
      <w:r>
        <w:rPr>
          <w:spacing w:val="8"/>
        </w:rPr>
        <w:t xml:space="preserve">  </w:t>
      </w:r>
      <w:r>
        <w:rPr>
          <w:spacing w:val="-3"/>
        </w:rPr>
        <w:t>者或维修者的可达性、工作空间以及有关的人机工程问题提供基本依据，应将此</w:t>
      </w:r>
      <w:r>
        <w:rPr>
          <w:spacing w:val="7"/>
        </w:rPr>
        <w:t xml:space="preserve">  </w:t>
      </w:r>
      <w:r>
        <w:rPr>
          <w:spacing w:val="5"/>
        </w:rPr>
        <w:t>纳入到系统设计中去。在覆盖关键性操作者作业的那些设计范围内和需要测量</w:t>
      </w:r>
      <w:r>
        <w:rPr>
          <w:spacing w:val="4"/>
        </w:rPr>
        <w:t xml:space="preserve">  </w:t>
      </w:r>
      <w:r>
        <w:rPr>
          <w:spacing w:val="-3"/>
        </w:rPr>
        <w:t>操作者作业的场合，只有得到订购方批准，才可研制功能模型。这些模型应允许</w:t>
      </w:r>
      <w:r>
        <w:rPr>
          <w:spacing w:val="7"/>
        </w:rPr>
        <w:t xml:space="preserve">  </w:t>
      </w:r>
      <w:r>
        <w:rPr>
          <w:spacing w:val="6"/>
        </w:rPr>
        <w:t>按订购方确定的方案进行检验。在完成合同规</w:t>
      </w:r>
      <w:r>
        <w:rPr>
          <w:spacing w:val="5"/>
        </w:rPr>
        <w:t>定的应用目的后，应按订购方的</w:t>
      </w:r>
      <w:r>
        <w:t xml:space="preserve"> </w:t>
      </w:r>
      <w:r>
        <w:rPr>
          <w:spacing w:val="2"/>
        </w:rPr>
        <w:t>要求处理这些模型。</w:t>
      </w:r>
    </w:p>
    <w:p w14:paraId="4AB1BC0D">
      <w:pPr>
        <w:spacing w:line="223" w:lineRule="auto"/>
        <w:rPr>
          <w:rFonts w:ascii="黑体" w:hAnsi="黑体" w:eastAsia="黑体" w:cs="黑体"/>
          <w:sz w:val="27"/>
          <w:szCs w:val="27"/>
        </w:rPr>
      </w:pPr>
      <w:r>
        <w:rPr>
          <w:rFonts w:ascii="黑体" w:hAnsi="黑体" w:eastAsia="黑体" w:cs="黑体"/>
          <w:spacing w:val="-3"/>
          <w:sz w:val="27"/>
          <w:szCs w:val="27"/>
        </w:rPr>
        <w:t>5.2.1.1.3</w:t>
      </w:r>
      <w:r>
        <w:rPr>
          <w:rFonts w:ascii="黑体" w:hAnsi="黑体" w:eastAsia="黑体" w:cs="黑体"/>
          <w:spacing w:val="38"/>
          <w:sz w:val="27"/>
          <w:szCs w:val="27"/>
        </w:rPr>
        <w:t xml:space="preserve">  </w:t>
      </w:r>
      <w:r>
        <w:rPr>
          <w:rFonts w:ascii="黑体" w:hAnsi="黑体" w:eastAsia="黑体" w:cs="黑体"/>
          <w:b/>
          <w:bCs/>
          <w:spacing w:val="-3"/>
          <w:sz w:val="27"/>
          <w:szCs w:val="27"/>
        </w:rPr>
        <w:t>比例模型</w:t>
      </w:r>
    </w:p>
    <w:p w14:paraId="1E597A18">
      <w:pPr>
        <w:pStyle w:val="2"/>
        <w:spacing w:before="79" w:line="280" w:lineRule="auto"/>
        <w:ind w:right="108" w:firstLine="580"/>
        <w:jc w:val="both"/>
      </w:pPr>
      <w:r>
        <w:rPr>
          <w:spacing w:val="4"/>
        </w:rPr>
        <w:t>比例模型可以作为计算机模型、</w:t>
      </w:r>
      <w:r>
        <w:rPr>
          <w:rFonts w:ascii="仿宋" w:hAnsi="仿宋" w:eastAsia="仿宋" w:cs="仿宋"/>
          <w:spacing w:val="4"/>
        </w:rPr>
        <w:t>快速制作的样</w:t>
      </w:r>
      <w:r>
        <w:rPr>
          <w:rFonts w:ascii="仿宋" w:hAnsi="仿宋" w:eastAsia="仿宋" w:cs="仿宋"/>
          <w:spacing w:val="3"/>
        </w:rPr>
        <w:t>机模型、</w:t>
      </w:r>
      <w:r>
        <w:rPr>
          <w:rFonts w:ascii="Times New Roman" w:hAnsi="Times New Roman" w:eastAsia="Times New Roman" w:cs="Times New Roman"/>
        </w:rPr>
        <w:t>CAD</w:t>
      </w:r>
      <w:r>
        <w:rPr>
          <w:rFonts w:ascii="Times New Roman" w:hAnsi="Times New Roman" w:eastAsia="Times New Roman" w:cs="Times New Roman"/>
          <w:spacing w:val="3"/>
        </w:rPr>
        <w:t>/</w:t>
      </w:r>
      <w:r>
        <w:rPr>
          <w:rFonts w:ascii="Times New Roman" w:hAnsi="Times New Roman" w:eastAsia="Times New Roman" w:cs="Times New Roman"/>
        </w:rPr>
        <w:t>CAM</w:t>
      </w:r>
      <w:r>
        <w:rPr>
          <w:rFonts w:ascii="Times New Roman" w:hAnsi="Times New Roman" w:eastAsia="Times New Roman" w:cs="Times New Roman"/>
          <w:spacing w:val="3"/>
        </w:rPr>
        <w:t xml:space="preserve">  </w:t>
      </w:r>
      <w:r>
        <w:rPr>
          <w:rFonts w:ascii="仿宋" w:hAnsi="仿宋" w:eastAsia="仿宋" w:cs="仿宋"/>
          <w:spacing w:val="3"/>
        </w:rPr>
        <w:t>制作的</w:t>
      </w:r>
      <w:r>
        <w:rPr>
          <w:rFonts w:ascii="仿宋" w:hAnsi="仿宋" w:eastAsia="仿宋" w:cs="仿宋"/>
        </w:rPr>
        <w:t xml:space="preserve"> </w:t>
      </w:r>
      <w:r>
        <w:rPr>
          <w:spacing w:val="-3"/>
        </w:rPr>
        <w:t>模型、或全尺寸实体模型的补充。但未经订购方批准，比例模型不能替代全尺寸</w:t>
      </w:r>
      <w:r>
        <w:rPr>
          <w:spacing w:val="18"/>
        </w:rPr>
        <w:t xml:space="preserve"> </w:t>
      </w:r>
      <w:r>
        <w:rPr>
          <w:spacing w:val="-3"/>
        </w:rPr>
        <w:t>实体模型。</w:t>
      </w:r>
    </w:p>
    <w:p w14:paraId="5D5BB306">
      <w:pPr>
        <w:spacing w:before="15" w:line="222" w:lineRule="auto"/>
        <w:rPr>
          <w:rFonts w:ascii="黑体" w:hAnsi="黑体" w:eastAsia="黑体" w:cs="黑体"/>
          <w:sz w:val="25"/>
          <w:szCs w:val="25"/>
        </w:rPr>
      </w:pPr>
      <w:r>
        <w:rPr>
          <w:rFonts w:ascii="黑体" w:hAnsi="黑体" w:eastAsia="黑体" w:cs="黑体"/>
          <w:spacing w:val="6"/>
          <w:sz w:val="25"/>
          <w:szCs w:val="25"/>
        </w:rPr>
        <w:t xml:space="preserve">5.2.1.2   </w:t>
      </w:r>
      <w:r>
        <w:rPr>
          <w:rFonts w:ascii="黑体" w:hAnsi="黑体" w:eastAsia="黑体" w:cs="黑体"/>
          <w:b/>
          <w:bCs/>
          <w:spacing w:val="6"/>
          <w:sz w:val="25"/>
          <w:szCs w:val="25"/>
        </w:rPr>
        <w:t>模拟器</w:t>
      </w:r>
    </w:p>
    <w:p w14:paraId="1B8A35D5">
      <w:pPr>
        <w:pStyle w:val="2"/>
        <w:spacing w:before="91" w:line="274" w:lineRule="auto"/>
        <w:ind w:right="78" w:firstLine="580"/>
      </w:pPr>
      <w:r>
        <w:rPr>
          <w:spacing w:val="6"/>
        </w:rPr>
        <w:t>在复杂的系统设计中，当静态的实体模型不能达到对操</w:t>
      </w:r>
      <w:r>
        <w:rPr>
          <w:spacing w:val="5"/>
        </w:rPr>
        <w:t>作者进行作业审核</w:t>
      </w:r>
      <w:r>
        <w:t xml:space="preserve"> </w:t>
      </w:r>
      <w:r>
        <w:rPr>
          <w:spacing w:val="-1"/>
        </w:rPr>
        <w:t>的目的时，允许使用工程模拟器。这种模拟器可在下述范围内使用：</w:t>
      </w:r>
    </w:p>
    <w:p w14:paraId="32126DF7">
      <w:pPr>
        <w:pStyle w:val="2"/>
        <w:spacing w:before="1" w:line="253" w:lineRule="auto"/>
        <w:ind w:right="80" w:firstLine="580"/>
      </w:pPr>
      <w:r>
        <w:rPr>
          <w:rFonts w:ascii="Times New Roman" w:hAnsi="Times New Roman" w:eastAsia="Times New Roman" w:cs="Times New Roman"/>
          <w:spacing w:val="3"/>
        </w:rPr>
        <w:t xml:space="preserve">a)  </w:t>
      </w:r>
      <w:r>
        <w:rPr>
          <w:spacing w:val="3"/>
        </w:rPr>
        <w:t>评估操作者的操作程序、设备与操作者之间的接口、指出任一潜在的不</w:t>
      </w:r>
      <w:r>
        <w:rPr>
          <w:spacing w:val="4"/>
        </w:rPr>
        <w:t xml:space="preserve"> </w:t>
      </w:r>
      <w:r>
        <w:rPr>
          <w:spacing w:val="3"/>
        </w:rPr>
        <w:t>安全操作程序和不可接受的工作负荷要求；</w:t>
      </w:r>
    </w:p>
    <w:p w14:paraId="7F2F958A">
      <w:pPr>
        <w:pStyle w:val="2"/>
        <w:spacing w:before="70" w:line="253" w:lineRule="auto"/>
        <w:ind w:right="77" w:firstLine="580"/>
      </w:pPr>
      <w:r>
        <w:rPr>
          <w:rFonts w:ascii="Times New Roman" w:hAnsi="Times New Roman" w:eastAsia="Times New Roman" w:cs="Times New Roman"/>
          <w:spacing w:val="-5"/>
        </w:rPr>
        <w:t xml:space="preserve">b)  </w:t>
      </w:r>
      <w:r>
        <w:rPr>
          <w:spacing w:val="-5"/>
        </w:rPr>
        <w:t>评估设计中非机械方面的特性，如动态控制、通信、信息、电子显示和显</w:t>
      </w:r>
      <w:r>
        <w:rPr>
          <w:spacing w:val="6"/>
        </w:rPr>
        <w:t xml:space="preserve"> </w:t>
      </w:r>
      <w:r>
        <w:rPr>
          <w:spacing w:val="-3"/>
        </w:rPr>
        <w:t>示格式；</w:t>
      </w:r>
    </w:p>
    <w:p w14:paraId="3083A882">
      <w:pPr>
        <w:pStyle w:val="2"/>
        <w:spacing w:before="80" w:line="255" w:lineRule="auto"/>
        <w:ind w:right="73" w:firstLine="580"/>
      </w:pPr>
      <w:r>
        <w:rPr>
          <w:rFonts w:ascii="Times New Roman" w:hAnsi="Times New Roman" w:eastAsia="Times New Roman" w:cs="Times New Roman"/>
          <w:spacing w:val="4"/>
        </w:rPr>
        <w:t>c)</w:t>
      </w:r>
      <w:r>
        <w:rPr>
          <w:rFonts w:ascii="Times New Roman" w:hAnsi="Times New Roman" w:eastAsia="Times New Roman" w:cs="Times New Roman"/>
          <w:spacing w:val="62"/>
          <w:w w:val="101"/>
        </w:rPr>
        <w:t xml:space="preserve"> </w:t>
      </w:r>
      <w:r>
        <w:rPr>
          <w:spacing w:val="4"/>
        </w:rPr>
        <w:t>通过对操作者与系统作业的仿真，从而得出</w:t>
      </w:r>
      <w:r>
        <w:rPr>
          <w:spacing w:val="3"/>
        </w:rPr>
        <w:t>与设计阶段技术状态比较的</w:t>
      </w:r>
      <w:r>
        <w:t xml:space="preserve"> </w:t>
      </w:r>
      <w:r>
        <w:rPr>
          <w:spacing w:val="-6"/>
        </w:rPr>
        <w:t>性能估计、以及不同的人力、操作者和训练参数的费效比评估。</w:t>
      </w:r>
    </w:p>
    <w:p w14:paraId="327EA5A8">
      <w:pPr>
        <w:pStyle w:val="2"/>
        <w:spacing w:before="82" w:line="297" w:lineRule="auto"/>
        <w:ind w:right="67" w:firstLine="580"/>
        <w:rPr>
          <w:sz w:val="25"/>
          <w:szCs w:val="25"/>
        </w:rPr>
      </w:pPr>
      <w:r>
        <w:rPr>
          <w:spacing w:val="26"/>
          <w:sz w:val="25"/>
          <w:szCs w:val="25"/>
        </w:rPr>
        <w:t>虽然模拟器是一种预期使用的设计工具，但它的设计也应考虑到以后向训</w:t>
      </w:r>
      <w:r>
        <w:rPr>
          <w:spacing w:val="4"/>
          <w:sz w:val="25"/>
          <w:szCs w:val="25"/>
        </w:rPr>
        <w:t xml:space="preserve"> </w:t>
      </w:r>
      <w:r>
        <w:rPr>
          <w:spacing w:val="21"/>
          <w:sz w:val="25"/>
          <w:szCs w:val="25"/>
        </w:rPr>
        <w:t>练模拟器过渡的技术可能性。</w:t>
      </w:r>
    </w:p>
    <w:p w14:paraId="770F93B5">
      <w:pPr>
        <w:spacing w:line="297" w:lineRule="auto"/>
        <w:rPr>
          <w:sz w:val="25"/>
          <w:szCs w:val="25"/>
        </w:rPr>
        <w:sectPr>
          <w:footerReference r:id="rId630" w:type="default"/>
          <w:pgSz w:w="11910" w:h="17130"/>
          <w:pgMar w:top="1456" w:right="1065" w:bottom="1717" w:left="1360" w:header="0" w:footer="1500" w:gutter="0"/>
          <w:cols w:space="720" w:num="1"/>
        </w:sectPr>
      </w:pPr>
    </w:p>
    <w:p w14:paraId="3F217029">
      <w:pPr>
        <w:spacing w:before="98" w:line="222" w:lineRule="auto"/>
        <w:rPr>
          <w:rFonts w:ascii="黑体" w:hAnsi="黑体" w:eastAsia="黑体" w:cs="黑体"/>
          <w:sz w:val="24"/>
          <w:szCs w:val="24"/>
        </w:rPr>
      </w:pPr>
      <w:r>
        <w:rPr>
          <w:rFonts w:ascii="黑体" w:hAnsi="黑体" w:eastAsia="黑体" w:cs="黑体"/>
          <w:spacing w:val="13"/>
          <w:sz w:val="24"/>
          <w:szCs w:val="24"/>
        </w:rPr>
        <w:t>5.2.2</w:t>
      </w:r>
      <w:r>
        <w:rPr>
          <w:rFonts w:ascii="黑体" w:hAnsi="黑体" w:eastAsia="黑体" w:cs="黑体"/>
          <w:spacing w:val="6"/>
          <w:sz w:val="24"/>
          <w:szCs w:val="24"/>
        </w:rPr>
        <w:t xml:space="preserve">   </w:t>
      </w:r>
      <w:r>
        <w:rPr>
          <w:rFonts w:ascii="黑体" w:hAnsi="黑体" w:eastAsia="黑体" w:cs="黑体"/>
          <w:b/>
          <w:bCs/>
          <w:spacing w:val="13"/>
          <w:sz w:val="24"/>
          <w:szCs w:val="24"/>
        </w:rPr>
        <w:t>工程图样</w:t>
      </w:r>
    </w:p>
    <w:p w14:paraId="2BDBE31E">
      <w:pPr>
        <w:pStyle w:val="2"/>
        <w:spacing w:before="73" w:line="279" w:lineRule="auto"/>
        <w:ind w:right="92" w:firstLine="560"/>
        <w:jc w:val="both"/>
      </w:pPr>
      <w:r>
        <w:rPr>
          <w:spacing w:val="6"/>
        </w:rPr>
        <w:t>工程图样和计算机辅助设计图样应反映出人机</w:t>
      </w:r>
      <w:r>
        <w:rPr>
          <w:spacing w:val="5"/>
        </w:rPr>
        <w:t>工程原理和准则，确保最终</w:t>
      </w:r>
      <w:r>
        <w:t xml:space="preserve"> </w:t>
      </w:r>
      <w:r>
        <w:rPr>
          <w:spacing w:val="-3"/>
        </w:rPr>
        <w:t>产品实用、有效、可靠和安全地使用与维修。相应的图样包括系统总体、面板布</w:t>
      </w:r>
      <w:r>
        <w:rPr>
          <w:spacing w:val="17"/>
        </w:rPr>
        <w:t xml:space="preserve"> </w:t>
      </w:r>
      <w:r>
        <w:rPr>
          <w:spacing w:val="-3"/>
        </w:rPr>
        <w:t>置、控制、通信系统、单体设备设计以及其他依靠操作者的操作对系统操作和维</w:t>
      </w:r>
      <w:r>
        <w:rPr>
          <w:spacing w:val="15"/>
        </w:rPr>
        <w:t xml:space="preserve"> </w:t>
      </w:r>
      <w:r>
        <w:rPr>
          <w:spacing w:val="3"/>
        </w:rPr>
        <w:t>修十分重要的设备所描绘的图样。反映在这些图样上的设</w:t>
      </w:r>
      <w:r>
        <w:rPr>
          <w:spacing w:val="2"/>
        </w:rPr>
        <w:t>计，应符合</w:t>
      </w:r>
      <w:r>
        <w:rPr>
          <w:rFonts w:ascii="Times New Roman" w:hAnsi="Times New Roman" w:eastAsia="Times New Roman" w:cs="Times New Roman"/>
        </w:rPr>
        <w:t>GJB</w:t>
      </w:r>
      <w:r>
        <w:rPr>
          <w:rFonts w:ascii="Times New Roman" w:hAnsi="Times New Roman" w:eastAsia="Times New Roman" w:cs="Times New Roman"/>
          <w:spacing w:val="21"/>
        </w:rPr>
        <w:t xml:space="preserve">  </w:t>
      </w:r>
      <w:r>
        <w:rPr>
          <w:rFonts w:ascii="Times New Roman" w:hAnsi="Times New Roman" w:eastAsia="Times New Roman" w:cs="Times New Roman"/>
          <w:spacing w:val="2"/>
        </w:rPr>
        <w:t>2873</w:t>
      </w:r>
      <w:r>
        <w:rPr>
          <w:rFonts w:ascii="Times New Roman" w:hAnsi="Times New Roman" w:eastAsia="Times New Roman" w:cs="Times New Roman"/>
          <w:spacing w:val="1"/>
        </w:rPr>
        <w:t xml:space="preserve"> </w:t>
      </w:r>
      <w:r>
        <w:rPr>
          <w:spacing w:val="5"/>
        </w:rPr>
        <w:t>有关的准则及合同规定的其他人机工程准则。承制方的人机工程负责人应审查</w:t>
      </w:r>
      <w:r>
        <w:rPr>
          <w:spacing w:val="12"/>
        </w:rPr>
        <w:t xml:space="preserve"> </w:t>
      </w:r>
      <w:r>
        <w:rPr>
          <w:spacing w:val="6"/>
        </w:rPr>
        <w:t>对操作者作业或接口方面可能有影响的所有布局和图样，并针对可能诱发</w:t>
      </w:r>
      <w:r>
        <w:rPr>
          <w:spacing w:val="5"/>
        </w:rPr>
        <w:t>人为</w:t>
      </w:r>
      <w:r>
        <w:t xml:space="preserve"> </w:t>
      </w:r>
      <w:r>
        <w:rPr>
          <w:spacing w:val="3"/>
        </w:rPr>
        <w:t>误差或不安全因素的那些设计提出弥补措施。</w:t>
      </w:r>
    </w:p>
    <w:p w14:paraId="42A5BAB3">
      <w:pPr>
        <w:spacing w:before="11" w:line="222" w:lineRule="auto"/>
        <w:rPr>
          <w:rFonts w:ascii="黑体" w:hAnsi="黑体" w:eastAsia="黑体" w:cs="黑体"/>
          <w:sz w:val="24"/>
          <w:szCs w:val="24"/>
        </w:rPr>
      </w:pPr>
      <w:r>
        <w:rPr>
          <w:rFonts w:ascii="黑体" w:hAnsi="黑体" w:eastAsia="黑体" w:cs="黑体"/>
          <w:spacing w:val="16"/>
          <w:sz w:val="24"/>
          <w:szCs w:val="24"/>
        </w:rPr>
        <w:t>5.2.3</w:t>
      </w:r>
      <w:r>
        <w:rPr>
          <w:rFonts w:ascii="黑体" w:hAnsi="黑体" w:eastAsia="黑体" w:cs="黑体"/>
          <w:spacing w:val="5"/>
          <w:sz w:val="24"/>
          <w:szCs w:val="24"/>
        </w:rPr>
        <w:t xml:space="preserve">   </w:t>
      </w:r>
      <w:r>
        <w:rPr>
          <w:rFonts w:ascii="黑体" w:hAnsi="黑体" w:eastAsia="黑体" w:cs="黑体"/>
          <w:b/>
          <w:bCs/>
          <w:spacing w:val="16"/>
          <w:sz w:val="24"/>
          <w:szCs w:val="24"/>
        </w:rPr>
        <w:t>工作环境、工作站和设施设计</w:t>
      </w:r>
    </w:p>
    <w:p w14:paraId="1A2669F5">
      <w:pPr>
        <w:pStyle w:val="2"/>
        <w:spacing w:before="119" w:line="272" w:lineRule="auto"/>
        <w:ind w:firstLine="560"/>
        <w:jc w:val="both"/>
      </w:pPr>
      <w:r>
        <w:rPr>
          <w:spacing w:val="-3"/>
        </w:rPr>
        <w:t>供系统工作操作者使用的工作环境、工作站和设施的详细设计，均应采用人</w:t>
      </w:r>
      <w:r>
        <w:rPr>
          <w:spacing w:val="9"/>
        </w:rPr>
        <w:t xml:space="preserve"> </w:t>
      </w:r>
      <w:r>
        <w:rPr>
          <w:spacing w:val="-2"/>
        </w:rPr>
        <w:t>机工程原理和准则。工作环境、工作站和设施图样、规范及其他文件，都应体现</w:t>
      </w:r>
      <w:r>
        <w:t xml:space="preserve"> </w:t>
      </w:r>
      <w:r>
        <w:rPr>
          <w:spacing w:val="6"/>
        </w:rPr>
        <w:t>出人机工程要求并符合</w:t>
      </w:r>
      <w:r>
        <w:rPr>
          <w:rFonts w:ascii="Times New Roman" w:hAnsi="Times New Roman" w:eastAsia="Times New Roman" w:cs="Times New Roman"/>
        </w:rPr>
        <w:t>GJB</w:t>
      </w:r>
      <w:r>
        <w:rPr>
          <w:rFonts w:ascii="Times New Roman" w:hAnsi="Times New Roman" w:eastAsia="Times New Roman" w:cs="Times New Roman"/>
          <w:spacing w:val="6"/>
        </w:rPr>
        <w:t xml:space="preserve">  2873</w:t>
      </w:r>
      <w:r>
        <w:rPr>
          <w:spacing w:val="6"/>
        </w:rPr>
        <w:t>的有关准则及合同规定的其他人机工程准则。</w:t>
      </w:r>
      <w:r>
        <w:rPr>
          <w:spacing w:val="12"/>
        </w:rPr>
        <w:t xml:space="preserve"> </w:t>
      </w:r>
      <w:r>
        <w:rPr>
          <w:spacing w:val="-2"/>
        </w:rPr>
        <w:t>工作环境、工作站和设施在正常、意外和应急条件下，都会对操作者作业有一定</w:t>
      </w:r>
      <w:r>
        <w:rPr>
          <w:spacing w:val="6"/>
        </w:rPr>
        <w:t xml:space="preserve"> </w:t>
      </w:r>
      <w:r>
        <w:rPr>
          <w:spacing w:val="-5"/>
        </w:rPr>
        <w:t>的影响，所以设计时至少应考虑下列因素：</w:t>
      </w:r>
    </w:p>
    <w:p w14:paraId="399475BD">
      <w:pPr>
        <w:pStyle w:val="2"/>
        <w:spacing w:before="9" w:line="212" w:lineRule="auto"/>
        <w:ind w:left="560"/>
      </w:pPr>
      <w:r>
        <w:rPr>
          <w:rFonts w:ascii="Times New Roman" w:hAnsi="Times New Roman" w:eastAsia="Times New Roman" w:cs="Times New Roman"/>
          <w:spacing w:val="-16"/>
        </w:rPr>
        <w:t xml:space="preserve">a)  </w:t>
      </w:r>
      <w:r>
        <w:rPr>
          <w:spacing w:val="-16"/>
        </w:rPr>
        <w:t>大气条件，如成分、容量、气压和减压控制、温度、湿度和气流；</w:t>
      </w:r>
    </w:p>
    <w:p w14:paraId="3666B326">
      <w:pPr>
        <w:pStyle w:val="2"/>
        <w:spacing w:before="90" w:line="212" w:lineRule="auto"/>
        <w:ind w:left="560"/>
      </w:pPr>
      <w:r>
        <w:rPr>
          <w:rFonts w:ascii="Times New Roman" w:hAnsi="Times New Roman" w:eastAsia="Times New Roman" w:cs="Times New Roman"/>
          <w:spacing w:val="-23"/>
        </w:rPr>
        <w:t xml:space="preserve">b)  </w:t>
      </w:r>
      <w:r>
        <w:rPr>
          <w:spacing w:val="-23"/>
        </w:rPr>
        <w:t>气象条件，如雨、冰雹、雪、泥泞、严寒、沙尘和酷</w:t>
      </w:r>
      <w:r>
        <w:rPr>
          <w:spacing w:val="-24"/>
        </w:rPr>
        <w:t>热；</w:t>
      </w:r>
    </w:p>
    <w:p w14:paraId="0EAE23B3">
      <w:pPr>
        <w:pStyle w:val="2"/>
        <w:spacing w:before="90" w:line="212" w:lineRule="auto"/>
        <w:ind w:left="560"/>
      </w:pPr>
      <w:r>
        <w:rPr>
          <w:rFonts w:ascii="Times New Roman" w:hAnsi="Times New Roman" w:eastAsia="Times New Roman" w:cs="Times New Roman"/>
          <w:spacing w:val="-6"/>
        </w:rPr>
        <w:t>c)</w:t>
      </w:r>
      <w:r>
        <w:rPr>
          <w:rFonts w:ascii="Times New Roman" w:hAnsi="Times New Roman" w:eastAsia="Times New Roman" w:cs="Times New Roman"/>
          <w:spacing w:val="58"/>
          <w:w w:val="101"/>
        </w:rPr>
        <w:t xml:space="preserve"> </w:t>
      </w:r>
      <w:r>
        <w:rPr>
          <w:spacing w:val="-6"/>
        </w:rPr>
        <w:t>加速度范围，包括线加速度，角加速度和径向加速度；</w:t>
      </w:r>
    </w:p>
    <w:p w14:paraId="7BED7315">
      <w:pPr>
        <w:pStyle w:val="2"/>
        <w:spacing w:before="109" w:line="212" w:lineRule="auto"/>
        <w:ind w:left="560"/>
      </w:pPr>
      <w:r>
        <w:rPr>
          <w:rFonts w:ascii="Times New Roman" w:hAnsi="Times New Roman" w:eastAsia="Times New Roman" w:cs="Times New Roman"/>
          <w:spacing w:val="-6"/>
        </w:rPr>
        <w:t xml:space="preserve">d)  </w:t>
      </w:r>
      <w:r>
        <w:rPr>
          <w:spacing w:val="-6"/>
        </w:rPr>
        <w:t>噪声、振动和冲击力；</w:t>
      </w:r>
    </w:p>
    <w:p w14:paraId="20CD2567">
      <w:pPr>
        <w:pStyle w:val="2"/>
        <w:spacing w:before="90" w:line="212" w:lineRule="auto"/>
        <w:ind w:left="560"/>
      </w:pPr>
      <w:r>
        <w:rPr>
          <w:rFonts w:ascii="Times New Roman" w:hAnsi="Times New Roman" w:eastAsia="Times New Roman" w:cs="Times New Roman"/>
          <w:spacing w:val="2"/>
        </w:rPr>
        <w:t>e)</w:t>
      </w:r>
      <w:r>
        <w:rPr>
          <w:rFonts w:ascii="Times New Roman" w:hAnsi="Times New Roman" w:eastAsia="Times New Roman" w:cs="Times New Roman"/>
          <w:spacing w:val="76"/>
          <w:w w:val="101"/>
        </w:rPr>
        <w:t xml:space="preserve"> </w:t>
      </w:r>
      <w:r>
        <w:rPr>
          <w:spacing w:val="2"/>
        </w:rPr>
        <w:t>失重期间操作者的作业规定；</w:t>
      </w:r>
    </w:p>
    <w:p w14:paraId="73089E62">
      <w:pPr>
        <w:pStyle w:val="2"/>
        <w:spacing w:before="100" w:line="212" w:lineRule="auto"/>
        <w:ind w:left="560"/>
      </w:pPr>
      <w:r>
        <w:rPr>
          <w:rFonts w:ascii="Times New Roman" w:hAnsi="Times New Roman" w:eastAsia="Times New Roman" w:cs="Times New Roman"/>
          <w:spacing w:val="2"/>
        </w:rPr>
        <w:t xml:space="preserve">f)  </w:t>
      </w:r>
      <w:r>
        <w:rPr>
          <w:spacing w:val="2"/>
        </w:rPr>
        <w:t>尽量减少迷航的措施；</w:t>
      </w:r>
    </w:p>
    <w:p w14:paraId="564CEEEC">
      <w:pPr>
        <w:pStyle w:val="2"/>
        <w:spacing w:before="110" w:line="212" w:lineRule="auto"/>
        <w:ind w:left="560"/>
      </w:pPr>
      <w:r>
        <w:rPr>
          <w:rFonts w:ascii="Times New Roman" w:hAnsi="Times New Roman" w:eastAsia="Times New Roman" w:cs="Times New Roman"/>
          <w:spacing w:val="4"/>
        </w:rPr>
        <w:t xml:space="preserve">g)  </w:t>
      </w:r>
      <w:r>
        <w:rPr>
          <w:spacing w:val="4"/>
        </w:rPr>
        <w:t>操作者以及他们的活动和设备所需的足够空间；</w:t>
      </w:r>
    </w:p>
    <w:p w14:paraId="13B6B6E1">
      <w:pPr>
        <w:pStyle w:val="2"/>
        <w:spacing w:before="79" w:line="257" w:lineRule="auto"/>
        <w:ind w:right="97" w:firstLine="560"/>
      </w:pPr>
      <w:r>
        <w:rPr>
          <w:rFonts w:ascii="Times New Roman" w:hAnsi="Times New Roman" w:eastAsia="Times New Roman" w:cs="Times New Roman"/>
          <w:spacing w:val="3"/>
        </w:rPr>
        <w:t>h)</w:t>
      </w:r>
      <w:r>
        <w:rPr>
          <w:rFonts w:ascii="Times New Roman" w:hAnsi="Times New Roman" w:eastAsia="Times New Roman" w:cs="Times New Roman"/>
          <w:spacing w:val="65"/>
        </w:rPr>
        <w:t xml:space="preserve"> </w:t>
      </w:r>
      <w:r>
        <w:rPr>
          <w:rFonts w:ascii="仿宋" w:hAnsi="仿宋" w:eastAsia="仿宋" w:cs="仿宋"/>
          <w:spacing w:val="3"/>
        </w:rPr>
        <w:t>在</w:t>
      </w:r>
      <w:r>
        <w:rPr>
          <w:spacing w:val="3"/>
        </w:rPr>
        <w:t>操作者相互之间以及操作者与设备之间，要有合适的体觉、视觉、听</w:t>
      </w:r>
      <w:r>
        <w:t xml:space="preserve"> </w:t>
      </w:r>
      <w:r>
        <w:rPr>
          <w:spacing w:val="-8"/>
        </w:rPr>
        <w:t>觉、触觉等接口关系，包括显示器、控制器及外部视野与眼位的相对位置；</w:t>
      </w:r>
    </w:p>
    <w:p w14:paraId="4FC831F9">
      <w:pPr>
        <w:pStyle w:val="2"/>
        <w:spacing w:before="60" w:line="212" w:lineRule="auto"/>
        <w:ind w:left="560"/>
      </w:pPr>
      <w:r>
        <w:rPr>
          <w:rFonts w:ascii="Times New Roman" w:hAnsi="Times New Roman" w:eastAsia="Times New Roman" w:cs="Times New Roman"/>
          <w:spacing w:val="-10"/>
        </w:rPr>
        <w:t>i)</w:t>
      </w:r>
      <w:r>
        <w:rPr>
          <w:rFonts w:ascii="Times New Roman" w:hAnsi="Times New Roman" w:eastAsia="Times New Roman" w:cs="Times New Roman"/>
          <w:spacing w:val="62"/>
        </w:rPr>
        <w:t xml:space="preserve"> </w:t>
      </w:r>
      <w:r>
        <w:rPr>
          <w:spacing w:val="-10"/>
        </w:rPr>
        <w:t>安全有效的通道、阶梯、平台和斜坡；</w:t>
      </w:r>
    </w:p>
    <w:p w14:paraId="6C31E74E">
      <w:pPr>
        <w:pStyle w:val="2"/>
        <w:spacing w:before="119" w:line="212" w:lineRule="auto"/>
        <w:ind w:left="560"/>
      </w:pPr>
      <w:r>
        <w:rPr>
          <w:rFonts w:ascii="Times New Roman" w:hAnsi="Times New Roman" w:eastAsia="Times New Roman" w:cs="Times New Roman"/>
          <w:spacing w:val="4"/>
        </w:rPr>
        <w:t>j)</w:t>
      </w:r>
      <w:r>
        <w:rPr>
          <w:rFonts w:ascii="Times New Roman" w:hAnsi="Times New Roman" w:eastAsia="Times New Roman" w:cs="Times New Roman"/>
          <w:spacing w:val="65"/>
        </w:rPr>
        <w:t xml:space="preserve"> </w:t>
      </w:r>
      <w:r>
        <w:rPr>
          <w:spacing w:val="4"/>
        </w:rPr>
        <w:t>尽量减少心理负担的措施；</w:t>
      </w:r>
    </w:p>
    <w:p w14:paraId="44B5B2FD">
      <w:pPr>
        <w:pStyle w:val="2"/>
        <w:spacing w:before="81" w:line="212" w:lineRule="auto"/>
        <w:ind w:left="560"/>
      </w:pPr>
      <w:r>
        <w:rPr>
          <w:rFonts w:ascii="Times New Roman" w:hAnsi="Times New Roman" w:eastAsia="Times New Roman" w:cs="Times New Roman"/>
          <w:spacing w:val="3"/>
        </w:rPr>
        <w:t>k)</w:t>
      </w:r>
      <w:r>
        <w:rPr>
          <w:rFonts w:ascii="Times New Roman" w:hAnsi="Times New Roman" w:eastAsia="Times New Roman" w:cs="Times New Roman"/>
          <w:spacing w:val="69"/>
        </w:rPr>
        <w:t xml:space="preserve"> </w:t>
      </w:r>
      <w:r>
        <w:rPr>
          <w:spacing w:val="3"/>
        </w:rPr>
        <w:t>尽量减少身体疲劳的措施；</w:t>
      </w:r>
    </w:p>
    <w:p w14:paraId="09400151">
      <w:pPr>
        <w:pStyle w:val="2"/>
        <w:spacing w:before="119" w:line="274" w:lineRule="auto"/>
        <w:ind w:right="100" w:firstLine="560"/>
      </w:pPr>
      <w:r>
        <w:rPr>
          <w:spacing w:val="-3"/>
        </w:rPr>
        <w:t>1)服装和个人装备的影响，如全部或局部加压服、燃料供给人员工作服、防</w:t>
      </w:r>
      <w:r>
        <w:rPr>
          <w:spacing w:val="15"/>
        </w:rPr>
        <w:t xml:space="preserve"> </w:t>
      </w:r>
      <w:r>
        <w:rPr>
          <w:spacing w:val="-10"/>
        </w:rPr>
        <w:t>弹衣、防化学/生物服和装备、防寒服和调温服；</w:t>
      </w:r>
    </w:p>
    <w:p w14:paraId="1879F135">
      <w:pPr>
        <w:pStyle w:val="2"/>
        <w:spacing w:line="212" w:lineRule="auto"/>
        <w:ind w:left="560"/>
        <w:rPr>
          <w:sz w:val="25"/>
          <w:szCs w:val="25"/>
        </w:rPr>
      </w:pPr>
      <w:r>
        <w:rPr>
          <w:rFonts w:ascii="Times New Roman" w:hAnsi="Times New Roman" w:eastAsia="Times New Roman" w:cs="Times New Roman"/>
          <w:spacing w:val="18"/>
          <w:sz w:val="25"/>
          <w:szCs w:val="25"/>
        </w:rPr>
        <w:t xml:space="preserve">m)  </w:t>
      </w:r>
      <w:r>
        <w:rPr>
          <w:spacing w:val="18"/>
          <w:sz w:val="25"/>
          <w:szCs w:val="25"/>
        </w:rPr>
        <w:t>装备搬运的规定，包括装备及环境需要时的远程搬运措施和工具；</w:t>
      </w:r>
    </w:p>
    <w:p w14:paraId="03AB9980">
      <w:pPr>
        <w:pStyle w:val="2"/>
        <w:spacing w:before="102" w:line="212" w:lineRule="auto"/>
        <w:ind w:left="560"/>
      </w:pPr>
      <w:r>
        <w:rPr>
          <w:rFonts w:ascii="Times New Roman" w:hAnsi="Times New Roman" w:eastAsia="Times New Roman" w:cs="Times New Roman"/>
          <w:spacing w:val="3"/>
        </w:rPr>
        <w:t>n)</w:t>
      </w:r>
      <w:r>
        <w:rPr>
          <w:rFonts w:ascii="Times New Roman" w:hAnsi="Times New Roman" w:eastAsia="Times New Roman" w:cs="Times New Roman"/>
          <w:spacing w:val="69"/>
        </w:rPr>
        <w:t xml:space="preserve"> </w:t>
      </w:r>
      <w:r>
        <w:rPr>
          <w:spacing w:val="3"/>
        </w:rPr>
        <w:t>安全和防差错设备的安装；</w:t>
      </w:r>
    </w:p>
    <w:p w14:paraId="444CFF25">
      <w:pPr>
        <w:pStyle w:val="2"/>
        <w:spacing w:before="110" w:line="212" w:lineRule="auto"/>
        <w:ind w:left="560"/>
      </w:pPr>
      <w:r>
        <w:rPr>
          <w:rFonts w:ascii="Times New Roman" w:hAnsi="Times New Roman" w:eastAsia="Times New Roman" w:cs="Times New Roman"/>
          <w:spacing w:val="-20"/>
        </w:rPr>
        <w:t xml:space="preserve">o)  </w:t>
      </w:r>
      <w:r>
        <w:rPr>
          <w:spacing w:val="-20"/>
        </w:rPr>
        <w:t>对化学、生物、毒剂、放射性、热、</w:t>
      </w:r>
      <w:r>
        <w:rPr>
          <w:spacing w:val="-21"/>
        </w:rPr>
        <w:t>机械、电和电磁危害的防护；</w:t>
      </w:r>
    </w:p>
    <w:p w14:paraId="5B829894">
      <w:pPr>
        <w:pStyle w:val="2"/>
        <w:spacing w:before="100" w:line="212" w:lineRule="auto"/>
        <w:ind w:left="560"/>
      </w:pPr>
      <w:r>
        <w:rPr>
          <w:rFonts w:ascii="Times New Roman" w:hAnsi="Times New Roman" w:eastAsia="Times New Roman" w:cs="Times New Roman"/>
          <w:spacing w:val="3"/>
        </w:rPr>
        <w:t>p)</w:t>
      </w:r>
      <w:r>
        <w:rPr>
          <w:rFonts w:ascii="Times New Roman" w:hAnsi="Times New Roman" w:eastAsia="Times New Roman" w:cs="Times New Roman"/>
          <w:spacing w:val="74"/>
        </w:rPr>
        <w:t xml:space="preserve"> </w:t>
      </w:r>
      <w:r>
        <w:rPr>
          <w:spacing w:val="3"/>
        </w:rPr>
        <w:t>与预期的视觉任务相适应的最佳照明；</w:t>
      </w:r>
    </w:p>
    <w:p w14:paraId="31F7B92F">
      <w:pPr>
        <w:pStyle w:val="2"/>
        <w:spacing w:before="100" w:line="254" w:lineRule="auto"/>
        <w:ind w:right="93" w:firstLine="560"/>
      </w:pPr>
      <w:r>
        <w:rPr>
          <w:rFonts w:ascii="Times New Roman" w:hAnsi="Times New Roman" w:eastAsia="Times New Roman" w:cs="Times New Roman"/>
          <w:spacing w:val="20"/>
        </w:rPr>
        <w:t>q)</w:t>
      </w:r>
      <w:r>
        <w:rPr>
          <w:rFonts w:ascii="Times New Roman" w:hAnsi="Times New Roman" w:eastAsia="Times New Roman" w:cs="Times New Roman"/>
          <w:spacing w:val="67"/>
          <w:w w:val="101"/>
        </w:rPr>
        <w:t xml:space="preserve"> </w:t>
      </w:r>
      <w:r>
        <w:rPr>
          <w:spacing w:val="20"/>
        </w:rPr>
        <w:t>对生活必需品和其贮存设备(即氧气、水和食物等)以及垃圾处理的</w:t>
      </w:r>
      <w:r>
        <w:t xml:space="preserve"> </w:t>
      </w:r>
      <w:r>
        <w:rPr>
          <w:spacing w:val="-6"/>
        </w:rPr>
        <w:t>规定；</w:t>
      </w:r>
    </w:p>
    <w:p w14:paraId="143B6A5A">
      <w:pPr>
        <w:spacing w:line="254" w:lineRule="auto"/>
        <w:sectPr>
          <w:footerReference r:id="rId631" w:type="default"/>
          <w:pgSz w:w="11910" w:h="17130"/>
          <w:pgMar w:top="1456" w:right="824" w:bottom="1663" w:left="1599" w:header="0" w:footer="1464" w:gutter="0"/>
          <w:cols w:space="720" w:num="1"/>
        </w:sectPr>
      </w:pPr>
    </w:p>
    <w:p w14:paraId="75AA5D0F">
      <w:pPr>
        <w:pStyle w:val="2"/>
        <w:spacing w:before="76" w:line="259" w:lineRule="auto"/>
        <w:ind w:right="115" w:firstLine="560"/>
      </w:pPr>
      <w:r>
        <w:rPr>
          <w:rFonts w:ascii="Times New Roman" w:hAnsi="Times New Roman" w:eastAsia="Times New Roman" w:cs="Times New Roman"/>
          <w:spacing w:val="10"/>
        </w:rPr>
        <w:t>r</w:t>
      </w:r>
      <w:r>
        <w:rPr>
          <w:spacing w:val="10"/>
        </w:rPr>
        <w:t>)与任务阶段及显示器、控制器使用相关的操作者防护用的约束装置(如</w:t>
      </w:r>
      <w:r>
        <w:rPr>
          <w:spacing w:val="18"/>
        </w:rPr>
        <w:t xml:space="preserve"> </w:t>
      </w:r>
      <w:r>
        <w:rPr>
          <w:spacing w:val="-8"/>
        </w:rPr>
        <w:t>肩、膝和腿的约束系统、惯性滚筒和类似装置);</w:t>
      </w:r>
    </w:p>
    <w:p w14:paraId="7AFF4AC4">
      <w:pPr>
        <w:pStyle w:val="2"/>
        <w:spacing w:before="52" w:line="281" w:lineRule="auto"/>
        <w:ind w:right="125" w:firstLine="560"/>
        <w:rPr>
          <w:sz w:val="25"/>
          <w:szCs w:val="25"/>
        </w:rPr>
      </w:pPr>
      <w:r>
        <w:rPr>
          <w:rFonts w:ascii="Times New Roman" w:hAnsi="Times New Roman" w:eastAsia="Times New Roman" w:cs="Times New Roman"/>
          <w:spacing w:val="21"/>
          <w:sz w:val="25"/>
          <w:szCs w:val="25"/>
        </w:rPr>
        <w:t xml:space="preserve">s)  </w:t>
      </w:r>
      <w:r>
        <w:rPr>
          <w:spacing w:val="21"/>
          <w:sz w:val="25"/>
          <w:szCs w:val="25"/>
        </w:rPr>
        <w:t>为工作站和乘员舱的操作者留有足够的空间、间隔以及正常情况下的进</w:t>
      </w:r>
      <w:r>
        <w:rPr>
          <w:spacing w:val="8"/>
          <w:sz w:val="25"/>
          <w:szCs w:val="25"/>
        </w:rPr>
        <w:t xml:space="preserve"> </w:t>
      </w:r>
      <w:r>
        <w:rPr>
          <w:spacing w:val="19"/>
          <w:sz w:val="25"/>
          <w:szCs w:val="25"/>
        </w:rPr>
        <w:t>出口及应急逃逸出口。</w:t>
      </w:r>
    </w:p>
    <w:p w14:paraId="11395114">
      <w:pPr>
        <w:spacing w:before="56" w:line="222" w:lineRule="auto"/>
        <w:rPr>
          <w:rFonts w:ascii="黑体" w:hAnsi="黑体" w:eastAsia="黑体" w:cs="黑体"/>
          <w:sz w:val="27"/>
          <w:szCs w:val="27"/>
        </w:rPr>
      </w:pPr>
      <w:r>
        <w:rPr>
          <w:rFonts w:ascii="黑体" w:hAnsi="黑体" w:eastAsia="黑体" w:cs="黑体"/>
          <w:spacing w:val="5"/>
          <w:sz w:val="27"/>
          <w:szCs w:val="27"/>
        </w:rPr>
        <w:t>5.2.4  性能和设计规范中的人机工程要求</w:t>
      </w:r>
    </w:p>
    <w:p w14:paraId="735EFEC7">
      <w:pPr>
        <w:pStyle w:val="2"/>
        <w:spacing w:before="75" w:line="289" w:lineRule="auto"/>
        <w:ind w:right="123" w:firstLine="560"/>
      </w:pPr>
      <w:r>
        <w:rPr>
          <w:spacing w:val="2"/>
        </w:rPr>
        <w:t>制定性能和设计规范时，应引用</w:t>
      </w:r>
      <w:r>
        <w:rPr>
          <w:rFonts w:ascii="Times New Roman" w:hAnsi="Times New Roman" w:eastAsia="Times New Roman" w:cs="Times New Roman"/>
        </w:rPr>
        <w:t>GJB</w:t>
      </w:r>
      <w:r>
        <w:rPr>
          <w:rFonts w:ascii="Times New Roman" w:hAnsi="Times New Roman" w:eastAsia="Times New Roman" w:cs="Times New Roman"/>
          <w:spacing w:val="2"/>
        </w:rPr>
        <w:t xml:space="preserve">  2873</w:t>
      </w:r>
      <w:r>
        <w:rPr>
          <w:spacing w:val="2"/>
        </w:rPr>
        <w:t>的有关人机工程设计准则和由合</w:t>
      </w:r>
      <w:r>
        <w:rPr>
          <w:spacing w:val="17"/>
        </w:rPr>
        <w:t xml:space="preserve"> </w:t>
      </w:r>
      <w:r>
        <w:rPr>
          <w:spacing w:val="1"/>
        </w:rPr>
        <w:t>同规定的其他人机工程准则。</w:t>
      </w:r>
    </w:p>
    <w:p w14:paraId="61CBE3E1">
      <w:pPr>
        <w:spacing w:before="2" w:line="221" w:lineRule="auto"/>
        <w:rPr>
          <w:rFonts w:ascii="黑体" w:hAnsi="黑体" w:eastAsia="黑体" w:cs="黑体"/>
          <w:sz w:val="24"/>
          <w:szCs w:val="24"/>
        </w:rPr>
      </w:pPr>
      <w:r>
        <w:rPr>
          <w:rFonts w:ascii="黑体" w:hAnsi="黑体" w:eastAsia="黑体" w:cs="黑体"/>
          <w:spacing w:val="13"/>
          <w:sz w:val="24"/>
          <w:szCs w:val="24"/>
        </w:rPr>
        <w:t>5.2.5</w:t>
      </w:r>
      <w:r>
        <w:rPr>
          <w:rFonts w:ascii="黑体" w:hAnsi="黑体" w:eastAsia="黑体" w:cs="黑体"/>
          <w:spacing w:val="10"/>
          <w:sz w:val="24"/>
          <w:szCs w:val="24"/>
        </w:rPr>
        <w:t xml:space="preserve">   </w:t>
      </w:r>
      <w:r>
        <w:rPr>
          <w:rFonts w:ascii="黑体" w:hAnsi="黑体" w:eastAsia="黑体" w:cs="黑体"/>
          <w:spacing w:val="13"/>
          <w:sz w:val="24"/>
          <w:szCs w:val="24"/>
        </w:rPr>
        <w:t>规程编制</w:t>
      </w:r>
    </w:p>
    <w:p w14:paraId="4F6D005E">
      <w:pPr>
        <w:pStyle w:val="2"/>
        <w:spacing w:before="83" w:line="273" w:lineRule="auto"/>
        <w:ind w:right="121" w:firstLine="560"/>
        <w:jc w:val="both"/>
      </w:pPr>
      <w:r>
        <w:rPr>
          <w:spacing w:val="9"/>
        </w:rPr>
        <w:t>承制方应以人机工程分析(5.1条)所确定的操作者作业</w:t>
      </w:r>
      <w:r>
        <w:rPr>
          <w:spacing w:val="8"/>
        </w:rPr>
        <w:t>功能和各项任务为</w:t>
      </w:r>
      <w:r>
        <w:t xml:space="preserve"> </w:t>
      </w:r>
      <w:r>
        <w:rPr>
          <w:spacing w:val="-3"/>
        </w:rPr>
        <w:t>基础，运用人机工程原理和准则，编制操作规程、维修规程或系统设备其他方面</w:t>
      </w:r>
      <w:r>
        <w:rPr>
          <w:spacing w:val="15"/>
        </w:rPr>
        <w:t xml:space="preserve"> </w:t>
      </w:r>
      <w:r>
        <w:rPr>
          <w:spacing w:val="5"/>
        </w:rPr>
        <w:t>的使用规程，以确保通过人机工程分析所确定的操作者作业功能和各项任务得</w:t>
      </w:r>
      <w:r>
        <w:rPr>
          <w:spacing w:val="9"/>
        </w:rPr>
        <w:t xml:space="preserve"> </w:t>
      </w:r>
      <w:r>
        <w:rPr>
          <w:spacing w:val="-3"/>
        </w:rPr>
        <w:t>以按照有效性、安全性和可靠性进行组织和排序，并确定这些工作成果在编写操</w:t>
      </w:r>
      <w:r>
        <w:rPr>
          <w:spacing w:val="17"/>
        </w:rPr>
        <w:t xml:space="preserve"> </w:t>
      </w:r>
      <w:r>
        <w:rPr>
          <w:spacing w:val="-4"/>
        </w:rPr>
        <w:t>作、训练和技术的多种出版物中得到应用。</w:t>
      </w:r>
    </w:p>
    <w:p w14:paraId="6F16E4E9">
      <w:pPr>
        <w:spacing w:before="44" w:line="221" w:lineRule="auto"/>
        <w:rPr>
          <w:rFonts w:ascii="黑体" w:hAnsi="黑体" w:eastAsia="黑体" w:cs="黑体"/>
          <w:sz w:val="27"/>
          <w:szCs w:val="27"/>
        </w:rPr>
      </w:pPr>
      <w:r>
        <w:rPr>
          <w:rFonts w:ascii="黑体" w:hAnsi="黑体" w:eastAsia="黑体" w:cs="黑体"/>
          <w:sz w:val="27"/>
          <w:szCs w:val="27"/>
        </w:rPr>
        <w:t>5.2.6</w:t>
      </w:r>
      <w:r>
        <w:rPr>
          <w:rFonts w:ascii="黑体" w:hAnsi="黑体" w:eastAsia="黑体" w:cs="黑体"/>
          <w:spacing w:val="23"/>
          <w:sz w:val="27"/>
          <w:szCs w:val="27"/>
        </w:rPr>
        <w:t xml:space="preserve">  </w:t>
      </w:r>
      <w:r>
        <w:rPr>
          <w:rFonts w:ascii="黑体" w:hAnsi="黑体" w:eastAsia="黑体" w:cs="黑体"/>
          <w:sz w:val="27"/>
          <w:szCs w:val="27"/>
        </w:rPr>
        <w:t>软件编制</w:t>
      </w:r>
    </w:p>
    <w:p w14:paraId="1042A588">
      <w:pPr>
        <w:pStyle w:val="2"/>
        <w:spacing w:before="82" w:line="272" w:lineRule="auto"/>
        <w:ind w:firstLine="560"/>
        <w:jc w:val="both"/>
      </w:pPr>
      <w:r>
        <w:rPr>
          <w:spacing w:val="6"/>
        </w:rPr>
        <w:t>在人机接口部分由软件确定的那些系统中，承</w:t>
      </w:r>
      <w:r>
        <w:rPr>
          <w:spacing w:val="5"/>
        </w:rPr>
        <w:t>制方应在软件设计中采用人</w:t>
      </w:r>
      <w:r>
        <w:t xml:space="preserve"> </w:t>
      </w:r>
      <w:r>
        <w:rPr>
          <w:spacing w:val="5"/>
        </w:rPr>
        <w:t>机工程原理。应对影响控制器和显示器的软件，在人机接口方面的效果进行评</w:t>
      </w:r>
      <w:r>
        <w:rPr>
          <w:spacing w:val="4"/>
        </w:rPr>
        <w:t xml:space="preserve">  </w:t>
      </w:r>
      <w:r>
        <w:rPr>
          <w:spacing w:val="1"/>
        </w:rPr>
        <w:t>估。需要操作者监视或干预的自动系统的功能，应作为人机接口的一部分考</w:t>
      </w:r>
      <w:r>
        <w:t xml:space="preserve">虑。 </w:t>
      </w:r>
      <w:r>
        <w:rPr>
          <w:spacing w:val="5"/>
        </w:rPr>
        <w:t>在功能方面取决于系统软件的多功能控制器和显示器，也应作为人机接口的一</w:t>
      </w:r>
      <w:r>
        <w:rPr>
          <w:spacing w:val="6"/>
        </w:rPr>
        <w:t xml:space="preserve">  </w:t>
      </w:r>
      <w:r>
        <w:rPr>
          <w:spacing w:val="-1"/>
        </w:rPr>
        <w:t>部分进行考虑。</w:t>
      </w:r>
    </w:p>
    <w:p w14:paraId="2E201F48">
      <w:pPr>
        <w:spacing w:before="55" w:line="221" w:lineRule="auto"/>
        <w:rPr>
          <w:rFonts w:ascii="黑体" w:hAnsi="黑体" w:eastAsia="黑体" w:cs="黑体"/>
          <w:sz w:val="24"/>
          <w:szCs w:val="24"/>
        </w:rPr>
      </w:pPr>
      <w:r>
        <w:rPr>
          <w:rFonts w:ascii="黑体" w:hAnsi="黑体" w:eastAsia="黑体" w:cs="黑体"/>
          <w:spacing w:val="13"/>
          <w:sz w:val="24"/>
          <w:szCs w:val="24"/>
        </w:rPr>
        <w:t>5.2.7</w:t>
      </w:r>
      <w:r>
        <w:rPr>
          <w:rFonts w:ascii="黑体" w:hAnsi="黑体" w:eastAsia="黑体" w:cs="黑体"/>
          <w:spacing w:val="10"/>
          <w:sz w:val="24"/>
          <w:szCs w:val="24"/>
        </w:rPr>
        <w:t xml:space="preserve">   </w:t>
      </w:r>
      <w:r>
        <w:rPr>
          <w:rFonts w:ascii="黑体" w:hAnsi="黑体" w:eastAsia="黑体" w:cs="黑体"/>
          <w:spacing w:val="13"/>
          <w:sz w:val="24"/>
          <w:szCs w:val="24"/>
        </w:rPr>
        <w:t>手册编制</w:t>
      </w:r>
    </w:p>
    <w:p w14:paraId="48B02AFE">
      <w:pPr>
        <w:pStyle w:val="2"/>
        <w:spacing w:before="114" w:line="272" w:lineRule="auto"/>
        <w:ind w:firstLine="560"/>
        <w:jc w:val="both"/>
      </w:pPr>
      <w:r>
        <w:t>维修手册和培训教材的编制，应采用人机工程原理和准则，以确保完整性、</w:t>
      </w:r>
      <w:r>
        <w:rPr>
          <w:spacing w:val="14"/>
        </w:rPr>
        <w:t xml:space="preserve"> </w:t>
      </w:r>
      <w:r>
        <w:rPr>
          <w:spacing w:val="-3"/>
        </w:rPr>
        <w:t>技术准确性、合适的信息图像显示格式、适宜的阅读水平、需要的成熟技术和包</w:t>
      </w:r>
      <w:r>
        <w:rPr>
          <w:spacing w:val="8"/>
        </w:rPr>
        <w:t xml:space="preserve">  </w:t>
      </w:r>
      <w:r>
        <w:rPr>
          <w:spacing w:val="3"/>
        </w:rPr>
        <w:t>括插图质量在内的清晰度。</w:t>
      </w:r>
    </w:p>
    <w:p w14:paraId="2C9454DF">
      <w:pPr>
        <w:spacing w:before="26" w:line="221" w:lineRule="auto"/>
        <w:rPr>
          <w:rFonts w:ascii="黑体" w:hAnsi="黑体" w:eastAsia="黑体" w:cs="黑体"/>
          <w:sz w:val="27"/>
          <w:szCs w:val="27"/>
        </w:rPr>
      </w:pPr>
      <w:r>
        <w:rPr>
          <w:rFonts w:ascii="黑体" w:hAnsi="黑体" w:eastAsia="黑体" w:cs="黑体"/>
          <w:spacing w:val="4"/>
          <w:sz w:val="27"/>
          <w:szCs w:val="27"/>
        </w:rPr>
        <w:t>5.3</w:t>
      </w:r>
      <w:r>
        <w:rPr>
          <w:rFonts w:ascii="黑体" w:hAnsi="黑体" w:eastAsia="黑体" w:cs="黑体"/>
          <w:spacing w:val="23"/>
          <w:sz w:val="27"/>
          <w:szCs w:val="27"/>
        </w:rPr>
        <w:t xml:space="preserve">  </w:t>
      </w:r>
      <w:r>
        <w:rPr>
          <w:rFonts w:ascii="黑体" w:hAnsi="黑体" w:eastAsia="黑体" w:cs="黑体"/>
          <w:spacing w:val="4"/>
          <w:sz w:val="27"/>
          <w:szCs w:val="27"/>
        </w:rPr>
        <w:t>试验和评价中的人机工程</w:t>
      </w:r>
    </w:p>
    <w:p w14:paraId="23AC4973">
      <w:pPr>
        <w:pStyle w:val="2"/>
        <w:spacing w:before="87" w:line="218" w:lineRule="auto"/>
        <w:ind w:left="560"/>
      </w:pPr>
      <w:r>
        <w:rPr>
          <w:spacing w:val="-4"/>
        </w:rPr>
        <w:t>承制方应制定和执行试验和评价计划，以达到：</w:t>
      </w:r>
    </w:p>
    <w:p w14:paraId="01D9685D">
      <w:pPr>
        <w:pStyle w:val="2"/>
        <w:spacing w:before="63" w:line="212" w:lineRule="auto"/>
        <w:ind w:left="560"/>
      </w:pPr>
      <w:r>
        <w:rPr>
          <w:rFonts w:ascii="Times New Roman" w:hAnsi="Times New Roman" w:eastAsia="Times New Roman" w:cs="Times New Roman"/>
          <w:spacing w:val="5"/>
        </w:rPr>
        <w:t>a)</w:t>
      </w:r>
      <w:r>
        <w:rPr>
          <w:rFonts w:ascii="Times New Roman" w:hAnsi="Times New Roman" w:eastAsia="Times New Roman" w:cs="Times New Roman"/>
          <w:spacing w:val="75"/>
        </w:rPr>
        <w:t xml:space="preserve"> </w:t>
      </w:r>
      <w:r>
        <w:rPr>
          <w:spacing w:val="5"/>
        </w:rPr>
        <w:t>保证达到</w:t>
      </w:r>
      <w:r>
        <w:rPr>
          <w:rFonts w:ascii="Times New Roman" w:hAnsi="Times New Roman" w:eastAsia="Times New Roman" w:cs="Times New Roman"/>
        </w:rPr>
        <w:t>GJB</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5"/>
        </w:rPr>
        <w:t>3207—1998</w:t>
      </w:r>
      <w:r>
        <w:rPr>
          <w:spacing w:val="5"/>
        </w:rPr>
        <w:t>的有关要求；</w:t>
      </w:r>
    </w:p>
    <w:p w14:paraId="36532966">
      <w:pPr>
        <w:pStyle w:val="2"/>
        <w:spacing w:before="90" w:line="212" w:lineRule="auto"/>
        <w:ind w:left="560"/>
      </w:pPr>
      <w:r>
        <w:rPr>
          <w:rFonts w:ascii="Times New Roman" w:hAnsi="Times New Roman" w:eastAsia="Times New Roman" w:cs="Times New Roman"/>
          <w:spacing w:val="4"/>
        </w:rPr>
        <w:t xml:space="preserve">b)  </w:t>
      </w:r>
      <w:r>
        <w:rPr>
          <w:spacing w:val="4"/>
        </w:rPr>
        <w:t>验证装备和设施的设计与人机工程设计准则的符合程度；</w:t>
      </w:r>
    </w:p>
    <w:p w14:paraId="33AF5516">
      <w:pPr>
        <w:pStyle w:val="2"/>
        <w:spacing w:before="70" w:line="265" w:lineRule="auto"/>
        <w:ind w:right="105" w:firstLine="560"/>
      </w:pPr>
      <w:r>
        <w:rPr>
          <w:rFonts w:ascii="Times New Roman" w:hAnsi="Times New Roman" w:eastAsia="Times New Roman" w:cs="Times New Roman"/>
          <w:spacing w:val="21"/>
        </w:rPr>
        <w:t>c)</w:t>
      </w:r>
      <w:r>
        <w:rPr>
          <w:rFonts w:ascii="Times New Roman" w:hAnsi="Times New Roman" w:eastAsia="Times New Roman" w:cs="Times New Roman"/>
          <w:spacing w:val="62"/>
          <w:w w:val="101"/>
        </w:rPr>
        <w:t xml:space="preserve"> </w:t>
      </w:r>
      <w:r>
        <w:rPr>
          <w:spacing w:val="21"/>
        </w:rPr>
        <w:t>确保当操作者作业成为系统作业的决定要素时，仍能符合系</w:t>
      </w:r>
      <w:r>
        <w:rPr>
          <w:spacing w:val="20"/>
        </w:rPr>
        <w:t>统作业</w:t>
      </w:r>
      <w:r>
        <w:t xml:space="preserve"> </w:t>
      </w:r>
      <w:r>
        <w:rPr>
          <w:spacing w:val="-6"/>
        </w:rPr>
        <w:t>要求；</w:t>
      </w:r>
    </w:p>
    <w:p w14:paraId="71DD704E">
      <w:pPr>
        <w:pStyle w:val="2"/>
        <w:spacing w:before="75" w:line="212" w:lineRule="auto"/>
        <w:ind w:left="560"/>
      </w:pPr>
      <w:r>
        <w:rPr>
          <w:rFonts w:ascii="Times New Roman" w:hAnsi="Times New Roman" w:eastAsia="Times New Roman" w:cs="Times New Roman"/>
          <w:spacing w:val="-1"/>
        </w:rPr>
        <w:t xml:space="preserve">d)  </w:t>
      </w:r>
      <w:r>
        <w:rPr>
          <w:spacing w:val="-1"/>
        </w:rPr>
        <w:t>操作者与设备相互影响的系统作业时，数值测量的可靠；</w:t>
      </w:r>
    </w:p>
    <w:p w14:paraId="025CDB6E">
      <w:pPr>
        <w:pStyle w:val="2"/>
        <w:spacing w:before="80" w:line="212" w:lineRule="auto"/>
        <w:ind w:left="560"/>
      </w:pPr>
      <w:r>
        <w:rPr>
          <w:rFonts w:ascii="Times New Roman" w:hAnsi="Times New Roman" w:eastAsia="Times New Roman" w:cs="Times New Roman"/>
          <w:spacing w:val="4"/>
        </w:rPr>
        <w:t>e)</w:t>
      </w:r>
      <w:r>
        <w:rPr>
          <w:rFonts w:ascii="Times New Roman" w:hAnsi="Times New Roman" w:eastAsia="Times New Roman" w:cs="Times New Roman"/>
          <w:spacing w:val="66"/>
        </w:rPr>
        <w:t xml:space="preserve"> </w:t>
      </w:r>
      <w:r>
        <w:rPr>
          <w:spacing w:val="4"/>
        </w:rPr>
        <w:t>判定不合适的设计或程序出在什么地方。</w:t>
      </w:r>
    </w:p>
    <w:p w14:paraId="027FED5E">
      <w:pPr>
        <w:pStyle w:val="2"/>
        <w:spacing w:before="147" w:line="275" w:lineRule="auto"/>
        <w:ind w:right="120" w:firstLine="560"/>
        <w:jc w:val="both"/>
      </w:pPr>
      <w:r>
        <w:rPr>
          <w:spacing w:val="12"/>
        </w:rPr>
        <w:t>应最大限度地使用试验和研究(见5.2.1条)所到得的数据资料。(这些工</w:t>
      </w:r>
      <w:r>
        <w:rPr>
          <w:spacing w:val="13"/>
        </w:rPr>
        <w:t xml:space="preserve"> </w:t>
      </w:r>
      <w:r>
        <w:rPr>
          <w:spacing w:val="-3"/>
        </w:rPr>
        <w:t>作可能在系统、分系统或设备研制的各个不同阶段已经进行，但不能排除对整个</w:t>
      </w:r>
      <w:r>
        <w:rPr>
          <w:spacing w:val="15"/>
        </w:rPr>
        <w:t xml:space="preserve"> </w:t>
      </w:r>
      <w:r>
        <w:rPr>
          <w:spacing w:val="5"/>
        </w:rPr>
        <w:t>系统进行人机工程方面的最后考核。操作和维修都应按照系统最后试验时经过</w:t>
      </w:r>
    </w:p>
    <w:p w14:paraId="38AA8879">
      <w:pPr>
        <w:spacing w:line="275" w:lineRule="auto"/>
        <w:sectPr>
          <w:footerReference r:id="rId632" w:type="default"/>
          <w:pgSz w:w="11910" w:h="17130"/>
          <w:pgMar w:top="1456" w:right="1264" w:bottom="1676" w:left="1160" w:header="0" w:footer="1487" w:gutter="0"/>
          <w:cols w:space="720" w:num="1"/>
        </w:sectPr>
      </w:pPr>
    </w:p>
    <w:p w14:paraId="52BFAA83">
      <w:pPr>
        <w:pStyle w:val="2"/>
        <w:spacing w:before="95" w:line="220" w:lineRule="auto"/>
      </w:pPr>
      <w:r>
        <w:rPr>
          <w:spacing w:val="-1"/>
        </w:rPr>
        <w:t>批准的试验计划具体实施。)</w:t>
      </w:r>
    </w:p>
    <w:p w14:paraId="65A4857C">
      <w:pPr>
        <w:spacing w:before="96" w:line="224" w:lineRule="auto"/>
        <w:rPr>
          <w:rFonts w:ascii="黑体" w:hAnsi="黑体" w:eastAsia="黑体" w:cs="黑体"/>
          <w:sz w:val="25"/>
          <w:szCs w:val="25"/>
        </w:rPr>
      </w:pPr>
      <w:r>
        <w:rPr>
          <w:rFonts w:ascii="黑体" w:hAnsi="黑体" w:eastAsia="黑体" w:cs="黑体"/>
          <w:spacing w:val="10"/>
          <w:sz w:val="25"/>
          <w:szCs w:val="25"/>
        </w:rPr>
        <w:t>5.3.1</w:t>
      </w:r>
      <w:r>
        <w:rPr>
          <w:rFonts w:ascii="黑体" w:hAnsi="黑体" w:eastAsia="黑体" w:cs="黑体"/>
          <w:spacing w:val="51"/>
          <w:sz w:val="25"/>
          <w:szCs w:val="25"/>
        </w:rPr>
        <w:t xml:space="preserve">  </w:t>
      </w:r>
      <w:r>
        <w:rPr>
          <w:rFonts w:ascii="黑体" w:hAnsi="黑体" w:eastAsia="黑体" w:cs="黑体"/>
          <w:b/>
          <w:bCs/>
          <w:spacing w:val="10"/>
          <w:sz w:val="25"/>
          <w:szCs w:val="25"/>
        </w:rPr>
        <w:t>计划制定</w:t>
      </w:r>
    </w:p>
    <w:p w14:paraId="3475D512">
      <w:pPr>
        <w:pStyle w:val="2"/>
        <w:spacing w:before="42" w:line="280" w:lineRule="auto"/>
        <w:ind w:right="10" w:firstLine="570"/>
        <w:jc w:val="both"/>
      </w:pPr>
      <w:r>
        <w:rPr>
          <w:spacing w:val="6"/>
        </w:rPr>
        <w:t>应将人机工程试验纳入系统试验和评审方案，并综合到工程设计和</w:t>
      </w:r>
      <w:r>
        <w:rPr>
          <w:spacing w:val="5"/>
        </w:rPr>
        <w:t>研制试</w:t>
      </w:r>
      <w:r>
        <w:t xml:space="preserve"> </w:t>
      </w:r>
      <w:r>
        <w:rPr>
          <w:spacing w:val="-3"/>
        </w:rPr>
        <w:t>验、承制方演示、飞行试验、验收试验以及其他的研制试验中去。应尽可能早地</w:t>
      </w:r>
      <w:r>
        <w:rPr>
          <w:spacing w:val="14"/>
        </w:rPr>
        <w:t xml:space="preserve"> </w:t>
      </w:r>
      <w:r>
        <w:rPr>
          <w:spacing w:val="-2"/>
        </w:rPr>
        <w:t>完成试验，以确定人机工程要求的符合性。</w:t>
      </w:r>
      <w:r>
        <w:rPr>
          <w:spacing w:val="-3"/>
        </w:rPr>
        <w:t>通过设计审查、全尺寸模型检验、演</w:t>
      </w:r>
      <w:r>
        <w:t xml:space="preserve"> </w:t>
      </w:r>
      <w:r>
        <w:rPr>
          <w:spacing w:val="6"/>
        </w:rPr>
        <w:t>示以及其他早期试验所得出的结论，应在制定计</w:t>
      </w:r>
      <w:r>
        <w:rPr>
          <w:spacing w:val="5"/>
        </w:rPr>
        <w:t>划和以后进行试验时使用。制</w:t>
      </w:r>
      <w:r>
        <w:t xml:space="preserve"> </w:t>
      </w:r>
      <w:r>
        <w:rPr>
          <w:spacing w:val="6"/>
        </w:rPr>
        <w:t>定人机工程试验计划的目的，是为了直接验证操作者在</w:t>
      </w:r>
      <w:r>
        <w:rPr>
          <w:spacing w:val="5"/>
        </w:rPr>
        <w:t>预定的操作环境内对系</w:t>
      </w:r>
      <w:r>
        <w:t xml:space="preserve"> </w:t>
      </w:r>
      <w:r>
        <w:rPr>
          <w:spacing w:val="-2"/>
        </w:rPr>
        <w:t>统操作、维修、保障和控制的正确性。制定人机工程试验</w:t>
      </w:r>
      <w:r>
        <w:rPr>
          <w:spacing w:val="-3"/>
        </w:rPr>
        <w:t>计划时，应考虑需要的</w:t>
      </w:r>
      <w:r>
        <w:t xml:space="preserve"> </w:t>
      </w:r>
      <w:r>
        <w:rPr>
          <w:spacing w:val="9"/>
        </w:rPr>
        <w:t xml:space="preserve">数据或由操作试验和评审提供的资料。试验计划应包括试验方法(如审核清单 </w:t>
      </w:r>
      <w:r>
        <w:rPr>
          <w:spacing w:val="-20"/>
        </w:rPr>
        <w:t>的使用、数据表、测试者登记表、测试项目表、操作程序、试验程序)、</w:t>
      </w:r>
      <w:r>
        <w:rPr>
          <w:spacing w:val="-21"/>
        </w:rPr>
        <w:t>进度安排、数</w:t>
      </w:r>
      <w:r>
        <w:t xml:space="preserve"> </w:t>
      </w:r>
      <w:r>
        <w:rPr>
          <w:spacing w:val="-5"/>
        </w:rPr>
        <w:t>值测量、试验准则及报告程序编写等。</w:t>
      </w:r>
    </w:p>
    <w:p w14:paraId="1E312804">
      <w:pPr>
        <w:spacing w:before="3" w:line="222" w:lineRule="auto"/>
        <w:outlineLvl w:val="3"/>
        <w:rPr>
          <w:rFonts w:ascii="黑体" w:hAnsi="黑体" w:eastAsia="黑体" w:cs="黑体"/>
          <w:sz w:val="24"/>
          <w:szCs w:val="24"/>
        </w:rPr>
      </w:pPr>
      <w:r>
        <w:rPr>
          <w:rFonts w:ascii="Arial" w:hAnsi="Arial" w:eastAsia="Arial" w:cs="Arial"/>
          <w:b/>
          <w:bCs/>
          <w:spacing w:val="-5"/>
          <w:sz w:val="24"/>
          <w:szCs w:val="24"/>
        </w:rPr>
        <w:t>5.3.2</w:t>
      </w:r>
      <w:r>
        <w:rPr>
          <w:rFonts w:ascii="Arial" w:hAnsi="Arial" w:eastAsia="Arial" w:cs="Arial"/>
          <w:b/>
          <w:bCs/>
          <w:spacing w:val="8"/>
          <w:sz w:val="24"/>
          <w:szCs w:val="24"/>
        </w:rPr>
        <w:t xml:space="preserve">      </w:t>
      </w:r>
      <w:r>
        <w:rPr>
          <w:rFonts w:ascii="黑体" w:hAnsi="黑体" w:eastAsia="黑体" w:cs="黑体"/>
          <w:b/>
          <w:bCs/>
          <w:spacing w:val="-5"/>
          <w:sz w:val="24"/>
          <w:szCs w:val="24"/>
        </w:rPr>
        <w:t>实</w:t>
      </w:r>
      <w:r>
        <w:rPr>
          <w:rFonts w:ascii="黑体" w:hAnsi="黑体" w:eastAsia="黑体" w:cs="黑体"/>
          <w:spacing w:val="-18"/>
          <w:sz w:val="24"/>
          <w:szCs w:val="24"/>
        </w:rPr>
        <w:t xml:space="preserve"> </w:t>
      </w:r>
      <w:r>
        <w:rPr>
          <w:rFonts w:ascii="黑体" w:hAnsi="黑体" w:eastAsia="黑体" w:cs="黑体"/>
          <w:b/>
          <w:bCs/>
          <w:spacing w:val="-5"/>
          <w:sz w:val="24"/>
          <w:szCs w:val="24"/>
        </w:rPr>
        <w:t>施</w:t>
      </w:r>
    </w:p>
    <w:p w14:paraId="69EA2B15">
      <w:pPr>
        <w:pStyle w:val="2"/>
        <w:spacing w:before="118" w:line="271" w:lineRule="auto"/>
        <w:ind w:right="46" w:firstLine="570"/>
        <w:jc w:val="both"/>
      </w:pPr>
      <w:r>
        <w:rPr>
          <w:spacing w:val="5"/>
        </w:rPr>
        <w:t>人机工程试验和评审计划应在订购方批准后方可实施，在</w:t>
      </w:r>
      <w:r>
        <w:rPr>
          <w:spacing w:val="4"/>
        </w:rPr>
        <w:t>试验现场应备有</w:t>
      </w:r>
      <w:r>
        <w:t xml:space="preserve"> </w:t>
      </w:r>
      <w:r>
        <w:rPr>
          <w:spacing w:val="-6"/>
        </w:rPr>
        <w:t>所需的资料(即审核清单、数据表、测试者登记表、测试项目</w:t>
      </w:r>
      <w:r>
        <w:rPr>
          <w:spacing w:val="-7"/>
        </w:rPr>
        <w:t>表、操作程序及试验</w:t>
      </w:r>
      <w:r>
        <w:t xml:space="preserve"> </w:t>
      </w:r>
      <w:r>
        <w:rPr>
          <w:spacing w:val="4"/>
        </w:rPr>
        <w:t>步骤)。所有测试中的人机工程部分应包含下列项目：</w:t>
      </w:r>
    </w:p>
    <w:p w14:paraId="3265F73F">
      <w:pPr>
        <w:pStyle w:val="2"/>
        <w:spacing w:line="212" w:lineRule="auto"/>
        <w:ind w:left="570"/>
      </w:pPr>
      <w:r>
        <w:rPr>
          <w:rFonts w:ascii="Times New Roman" w:hAnsi="Times New Roman" w:eastAsia="Times New Roman" w:cs="Times New Roman"/>
          <w:spacing w:val="-6"/>
        </w:rPr>
        <w:t>a)</w:t>
      </w:r>
      <w:r>
        <w:rPr>
          <w:rFonts w:ascii="Times New Roman" w:hAnsi="Times New Roman" w:eastAsia="Times New Roman" w:cs="Times New Roman"/>
          <w:spacing w:val="64"/>
        </w:rPr>
        <w:t xml:space="preserve"> </w:t>
      </w:r>
      <w:r>
        <w:rPr>
          <w:spacing w:val="-6"/>
        </w:rPr>
        <w:t>任务或工作的执行，如不能实际操作，可进行模拟实施；</w:t>
      </w:r>
    </w:p>
    <w:p w14:paraId="3FDC183B">
      <w:pPr>
        <w:pStyle w:val="2"/>
        <w:spacing w:before="90" w:line="256" w:lineRule="auto"/>
        <w:ind w:firstLine="570"/>
      </w:pPr>
      <w:r>
        <w:rPr>
          <w:rFonts w:ascii="Times New Roman" w:hAnsi="Times New Roman" w:eastAsia="Times New Roman" w:cs="Times New Roman"/>
          <w:spacing w:val="3"/>
        </w:rPr>
        <w:t>b)</w:t>
      </w:r>
      <w:r>
        <w:rPr>
          <w:rFonts w:ascii="Times New Roman" w:hAnsi="Times New Roman" w:eastAsia="Times New Roman" w:cs="Times New Roman"/>
          <w:spacing w:val="78"/>
        </w:rPr>
        <w:t xml:space="preserve"> </w:t>
      </w:r>
      <w:r>
        <w:rPr>
          <w:spacing w:val="3"/>
        </w:rPr>
        <w:t>按计划规定的关键任务；任务或工作的执行，如不能实际操作可进行的</w:t>
      </w:r>
      <w:r>
        <w:t xml:space="preserve"> </w:t>
      </w:r>
      <w:r>
        <w:rPr>
          <w:spacing w:val="-1"/>
        </w:rPr>
        <w:t>模拟实施；</w:t>
      </w:r>
    </w:p>
    <w:p w14:paraId="16320807">
      <w:pPr>
        <w:pStyle w:val="2"/>
        <w:spacing w:before="70" w:line="257" w:lineRule="auto"/>
        <w:ind w:right="6" w:firstLine="570"/>
      </w:pPr>
      <w:r>
        <w:rPr>
          <w:rFonts w:ascii="Times New Roman" w:hAnsi="Times New Roman" w:eastAsia="Times New Roman" w:cs="Times New Roman"/>
          <w:spacing w:val="4"/>
        </w:rPr>
        <w:t>c)</w:t>
      </w:r>
      <w:r>
        <w:rPr>
          <w:rFonts w:ascii="Times New Roman" w:hAnsi="Times New Roman" w:eastAsia="Times New Roman" w:cs="Times New Roman"/>
          <w:spacing w:val="54"/>
        </w:rPr>
        <w:t xml:space="preserve"> </w:t>
      </w:r>
      <w:r>
        <w:rPr>
          <w:spacing w:val="4"/>
        </w:rPr>
        <w:t>非关键性的、计划中或非计划中的维修任务的典型抽样，但此项任务不</w:t>
      </w:r>
      <w:r>
        <w:t xml:space="preserve"> </w:t>
      </w:r>
      <w:r>
        <w:rPr>
          <w:spacing w:val="4"/>
        </w:rPr>
        <w:t>得与维修性演示所选定的任务重复；</w:t>
      </w:r>
    </w:p>
    <w:p w14:paraId="3F1B63E2">
      <w:pPr>
        <w:pStyle w:val="2"/>
        <w:spacing w:before="79" w:line="212" w:lineRule="auto"/>
        <w:ind w:left="570"/>
      </w:pPr>
      <w:r>
        <w:rPr>
          <w:rFonts w:ascii="Times New Roman" w:hAnsi="Times New Roman" w:eastAsia="Times New Roman" w:cs="Times New Roman"/>
          <w:spacing w:val="-4"/>
        </w:rPr>
        <w:t xml:space="preserve">d)  </w:t>
      </w:r>
      <w:r>
        <w:rPr>
          <w:spacing w:val="-4"/>
        </w:rPr>
        <w:t>作业辅助设备、新设备训练计划、训练设备和特定的保障设备；</w:t>
      </w:r>
    </w:p>
    <w:p w14:paraId="6D507129">
      <w:pPr>
        <w:pStyle w:val="2"/>
        <w:spacing w:before="89" w:line="253" w:lineRule="auto"/>
        <w:ind w:right="50" w:firstLine="570"/>
      </w:pPr>
      <w:r>
        <w:rPr>
          <w:rFonts w:ascii="Times New Roman" w:hAnsi="Times New Roman" w:eastAsia="Times New Roman" w:cs="Times New Roman"/>
          <w:spacing w:val="3"/>
        </w:rPr>
        <w:t>e)</w:t>
      </w:r>
      <w:r>
        <w:rPr>
          <w:rFonts w:ascii="Times New Roman" w:hAnsi="Times New Roman" w:eastAsia="Times New Roman" w:cs="Times New Roman"/>
          <w:spacing w:val="53"/>
        </w:rPr>
        <w:t xml:space="preserve"> </w:t>
      </w:r>
      <w:r>
        <w:rPr>
          <w:spacing w:val="3"/>
        </w:rPr>
        <w:t>在实际操作环境下的任务性能数据的采集，实际</w:t>
      </w:r>
      <w:r>
        <w:rPr>
          <w:spacing w:val="2"/>
        </w:rPr>
        <w:t>操作环境下不可能采集</w:t>
      </w:r>
      <w:r>
        <w:t xml:space="preserve"> </w:t>
      </w:r>
      <w:r>
        <w:rPr>
          <w:spacing w:val="-4"/>
        </w:rPr>
        <w:t>时，则在模拟环境下采集任务性能数据；</w:t>
      </w:r>
    </w:p>
    <w:p w14:paraId="387B8A74">
      <w:pPr>
        <w:pStyle w:val="2"/>
        <w:spacing w:before="93" w:line="212" w:lineRule="auto"/>
        <w:ind w:left="570"/>
        <w:rPr>
          <w:sz w:val="24"/>
          <w:szCs w:val="24"/>
        </w:rPr>
      </w:pPr>
      <w:r>
        <w:rPr>
          <w:rFonts w:ascii="Times New Roman" w:hAnsi="Times New Roman" w:eastAsia="Times New Roman" w:cs="Times New Roman"/>
          <w:spacing w:val="31"/>
          <w:sz w:val="24"/>
          <w:szCs w:val="24"/>
        </w:rPr>
        <w:t xml:space="preserve">f)  </w:t>
      </w:r>
      <w:r>
        <w:rPr>
          <w:spacing w:val="31"/>
          <w:sz w:val="24"/>
          <w:szCs w:val="24"/>
        </w:rPr>
        <w:t>核定所要求的任务性能与实测达到</w:t>
      </w:r>
      <w:r>
        <w:rPr>
          <w:spacing w:val="30"/>
          <w:sz w:val="24"/>
          <w:szCs w:val="24"/>
        </w:rPr>
        <w:t>的任务性能之间的差异；</w:t>
      </w:r>
    </w:p>
    <w:p w14:paraId="2D283593">
      <w:pPr>
        <w:pStyle w:val="2"/>
        <w:spacing w:before="134" w:line="212" w:lineRule="auto"/>
        <w:ind w:left="570"/>
        <w:rPr>
          <w:sz w:val="24"/>
          <w:szCs w:val="24"/>
        </w:rPr>
      </w:pPr>
      <w:r>
        <w:rPr>
          <w:rFonts w:ascii="Times New Roman" w:hAnsi="Times New Roman" w:eastAsia="Times New Roman" w:cs="Times New Roman"/>
          <w:spacing w:val="26"/>
          <w:sz w:val="24"/>
          <w:szCs w:val="24"/>
        </w:rPr>
        <w:t>g</w:t>
      </w:r>
      <w:r>
        <w:rPr>
          <w:rFonts w:ascii="Times New Roman" w:hAnsi="Times New Roman" w:eastAsia="Times New Roman" w:cs="Times New Roman"/>
          <w:spacing w:val="-10"/>
          <w:sz w:val="24"/>
          <w:szCs w:val="24"/>
        </w:rPr>
        <w:t xml:space="preserve"> </w:t>
      </w:r>
      <w:r>
        <w:rPr>
          <w:spacing w:val="26"/>
          <w:sz w:val="24"/>
          <w:szCs w:val="24"/>
        </w:rPr>
        <w:t>)</w:t>
      </w:r>
      <w:r>
        <w:rPr>
          <w:spacing w:val="-30"/>
          <w:sz w:val="24"/>
          <w:szCs w:val="24"/>
        </w:rPr>
        <w:t xml:space="preserve"> </w:t>
      </w:r>
      <w:r>
        <w:rPr>
          <w:spacing w:val="26"/>
          <w:sz w:val="24"/>
          <w:szCs w:val="24"/>
        </w:rPr>
        <w:t>试验可接受性能的准则；</w:t>
      </w:r>
    </w:p>
    <w:p w14:paraId="10F13F73">
      <w:pPr>
        <w:pStyle w:val="2"/>
        <w:spacing w:before="93" w:line="212" w:lineRule="auto"/>
        <w:ind w:left="570"/>
      </w:pPr>
      <w:r>
        <w:rPr>
          <w:rFonts w:ascii="Times New Roman" w:hAnsi="Times New Roman" w:eastAsia="Times New Roman" w:cs="Times New Roman"/>
          <w:spacing w:val="3"/>
        </w:rPr>
        <w:t>h)</w:t>
      </w:r>
      <w:r>
        <w:rPr>
          <w:rFonts w:ascii="Times New Roman" w:hAnsi="Times New Roman" w:eastAsia="Times New Roman" w:cs="Times New Roman"/>
          <w:spacing w:val="65"/>
        </w:rPr>
        <w:t xml:space="preserve"> </w:t>
      </w:r>
      <w:r>
        <w:rPr>
          <w:spacing w:val="3"/>
        </w:rPr>
        <w:t>参试者的条件和要求：</w:t>
      </w:r>
    </w:p>
    <w:p w14:paraId="146A3175">
      <w:pPr>
        <w:pStyle w:val="2"/>
        <w:spacing w:before="127" w:line="217" w:lineRule="auto"/>
        <w:ind w:left="570"/>
      </w:pPr>
      <w:r>
        <w:rPr>
          <w:spacing w:val="2"/>
        </w:rPr>
        <w:t>①在技能、体型和体力等方面可以代表操作者的人员；</w:t>
      </w:r>
    </w:p>
    <w:p w14:paraId="04B0A54F">
      <w:pPr>
        <w:pStyle w:val="2"/>
        <w:spacing w:before="103" w:line="217" w:lineRule="auto"/>
        <w:ind w:left="570"/>
      </w:pPr>
      <w:r>
        <w:rPr>
          <w:spacing w:val="8"/>
        </w:rPr>
        <w:t>②按操作要求着装和佩带必要的装具；</w:t>
      </w:r>
    </w:p>
    <w:p w14:paraId="09D32B6A">
      <w:pPr>
        <w:pStyle w:val="2"/>
        <w:spacing w:before="83" w:line="217" w:lineRule="auto"/>
        <w:ind w:left="570"/>
      </w:pPr>
      <w:r>
        <w:rPr>
          <w:spacing w:val="12"/>
        </w:rPr>
        <w:t>③需经订购方批准。</w:t>
      </w:r>
    </w:p>
    <w:p w14:paraId="0CDC79E7">
      <w:pPr>
        <w:spacing w:before="99" w:line="222" w:lineRule="auto"/>
        <w:rPr>
          <w:rFonts w:ascii="黑体" w:hAnsi="黑体" w:eastAsia="黑体" w:cs="黑体"/>
          <w:sz w:val="25"/>
          <w:szCs w:val="25"/>
        </w:rPr>
      </w:pPr>
      <w:r>
        <w:rPr>
          <w:rFonts w:ascii="黑体" w:hAnsi="黑体" w:eastAsia="黑体" w:cs="黑体"/>
          <w:spacing w:val="12"/>
          <w:sz w:val="25"/>
          <w:szCs w:val="25"/>
        </w:rPr>
        <w:t>5.3.3</w:t>
      </w:r>
      <w:r>
        <w:rPr>
          <w:rFonts w:ascii="黑体" w:hAnsi="黑体" w:eastAsia="黑体" w:cs="黑体"/>
          <w:spacing w:val="53"/>
          <w:sz w:val="25"/>
          <w:szCs w:val="25"/>
        </w:rPr>
        <w:t xml:space="preserve">  </w:t>
      </w:r>
      <w:r>
        <w:rPr>
          <w:rFonts w:ascii="黑体" w:hAnsi="黑体" w:eastAsia="黑体" w:cs="黑体"/>
          <w:b/>
          <w:bCs/>
          <w:spacing w:val="12"/>
          <w:sz w:val="25"/>
          <w:szCs w:val="25"/>
        </w:rPr>
        <w:t>故障和失误分析</w:t>
      </w:r>
    </w:p>
    <w:p w14:paraId="1B2F3974">
      <w:pPr>
        <w:pStyle w:val="2"/>
        <w:spacing w:before="104" w:line="271" w:lineRule="auto"/>
        <w:ind w:right="3" w:firstLine="570"/>
      </w:pPr>
      <w:r>
        <w:rPr>
          <w:spacing w:val="-2"/>
        </w:rPr>
        <w:t>试验和评价中出现的所有故障，都应进行人机工程评审，</w:t>
      </w:r>
      <w:r>
        <w:rPr>
          <w:spacing w:val="-3"/>
        </w:rPr>
        <w:t>以鉴别故障属于下</w:t>
      </w:r>
      <w:r>
        <w:t xml:space="preserve"> 列哪种原因：</w:t>
      </w:r>
    </w:p>
    <w:p w14:paraId="261966D8">
      <w:pPr>
        <w:pStyle w:val="2"/>
        <w:spacing w:before="48" w:line="219" w:lineRule="auto"/>
        <w:ind w:left="570"/>
        <w:rPr>
          <w:sz w:val="24"/>
          <w:szCs w:val="24"/>
        </w:rPr>
      </w:pPr>
      <w:r>
        <w:rPr>
          <w:rFonts w:ascii="Times New Roman" w:hAnsi="Times New Roman" w:eastAsia="Times New Roman" w:cs="Times New Roman"/>
          <w:spacing w:val="18"/>
          <w:sz w:val="24"/>
          <w:szCs w:val="24"/>
        </w:rPr>
        <w:t>a</w:t>
      </w:r>
      <w:r>
        <w:rPr>
          <w:rFonts w:ascii="Times New Roman" w:hAnsi="Times New Roman" w:eastAsia="Times New Roman" w:cs="Times New Roman"/>
          <w:spacing w:val="-14"/>
          <w:sz w:val="24"/>
          <w:szCs w:val="24"/>
        </w:rPr>
        <w:t xml:space="preserve"> </w:t>
      </w:r>
      <w:r>
        <w:rPr>
          <w:spacing w:val="18"/>
          <w:sz w:val="24"/>
          <w:szCs w:val="24"/>
        </w:rPr>
        <w:t>)</w:t>
      </w:r>
      <w:r>
        <w:rPr>
          <w:spacing w:val="-40"/>
          <w:sz w:val="24"/>
          <w:szCs w:val="24"/>
        </w:rPr>
        <w:t xml:space="preserve"> </w:t>
      </w:r>
      <w:r>
        <w:rPr>
          <w:spacing w:val="18"/>
          <w:sz w:val="24"/>
          <w:szCs w:val="24"/>
        </w:rPr>
        <w:t>设备自身；</w:t>
      </w:r>
    </w:p>
    <w:p w14:paraId="5FC130A3">
      <w:pPr>
        <w:pStyle w:val="2"/>
        <w:spacing w:before="66" w:line="212" w:lineRule="auto"/>
        <w:ind w:left="570"/>
      </w:pPr>
      <w:r>
        <w:rPr>
          <w:rFonts w:ascii="Times New Roman" w:hAnsi="Times New Roman" w:eastAsia="Times New Roman" w:cs="Times New Roman"/>
          <w:spacing w:val="2"/>
        </w:rPr>
        <w:t>b)</w:t>
      </w:r>
      <w:r>
        <w:rPr>
          <w:rFonts w:ascii="Times New Roman" w:hAnsi="Times New Roman" w:eastAsia="Times New Roman" w:cs="Times New Roman"/>
          <w:spacing w:val="73"/>
        </w:rPr>
        <w:t xml:space="preserve"> </w:t>
      </w:r>
      <w:r>
        <w:rPr>
          <w:spacing w:val="2"/>
        </w:rPr>
        <w:t>操作者与系统之间不相容；</w:t>
      </w:r>
    </w:p>
    <w:p w14:paraId="1FCC5BC8">
      <w:pPr>
        <w:spacing w:line="212" w:lineRule="auto"/>
        <w:sectPr>
          <w:footerReference r:id="rId633" w:type="default"/>
          <w:pgSz w:w="11910" w:h="17130"/>
          <w:pgMar w:top="1456" w:right="959" w:bottom="1720" w:left="1539" w:header="0" w:footer="1434" w:gutter="0"/>
          <w:cols w:space="720" w:num="1"/>
        </w:sectPr>
      </w:pPr>
    </w:p>
    <w:p w14:paraId="280756DD">
      <w:pPr>
        <w:pStyle w:val="2"/>
        <w:spacing w:before="74" w:line="212" w:lineRule="auto"/>
        <w:ind w:left="560"/>
      </w:pPr>
      <w:r>
        <w:rPr>
          <w:rFonts w:ascii="Times New Roman" w:hAnsi="Times New Roman" w:eastAsia="Times New Roman" w:cs="Times New Roman"/>
          <w:spacing w:val="3"/>
        </w:rPr>
        <w:t xml:space="preserve">c)  </w:t>
      </w:r>
      <w:r>
        <w:rPr>
          <w:spacing w:val="3"/>
        </w:rPr>
        <w:t>操作者失误。</w:t>
      </w:r>
    </w:p>
    <w:p w14:paraId="1905F965">
      <w:pPr>
        <w:pStyle w:val="2"/>
        <w:spacing w:before="128" w:line="279" w:lineRule="auto"/>
        <w:ind w:right="113" w:firstLine="560"/>
      </w:pPr>
      <w:r>
        <w:rPr>
          <w:spacing w:val="5"/>
        </w:rPr>
        <w:t>对试验与评价期间在执行关键任务方面出现的操作者失误应进行分析，确</w:t>
      </w:r>
      <w:r>
        <w:rPr>
          <w:spacing w:val="9"/>
        </w:rPr>
        <w:t xml:space="preserve"> </w:t>
      </w:r>
      <w:r>
        <w:rPr>
          <w:spacing w:val="6"/>
        </w:rPr>
        <w:t>定它们发生的原因。承制方应将可以导致操作者</w:t>
      </w:r>
      <w:r>
        <w:rPr>
          <w:spacing w:val="5"/>
        </w:rPr>
        <w:t>失误的那些实质性设计特性和</w:t>
      </w:r>
      <w:r>
        <w:t xml:space="preserve"> </w:t>
      </w:r>
      <w:r>
        <w:rPr>
          <w:spacing w:val="-5"/>
        </w:rPr>
        <w:t>程序通知订购方，并提出改进措施。</w:t>
      </w:r>
    </w:p>
    <w:p w14:paraId="149863A5">
      <w:pPr>
        <w:pStyle w:val="2"/>
        <w:spacing w:before="334" w:line="219" w:lineRule="auto"/>
        <w:ind w:left="2689"/>
        <w:rPr>
          <w:sz w:val="36"/>
          <w:szCs w:val="36"/>
        </w:rPr>
      </w:pPr>
      <w:r>
        <w:rPr>
          <w:spacing w:val="2"/>
          <w:sz w:val="36"/>
          <w:szCs w:val="36"/>
        </w:rPr>
        <w:t xml:space="preserve">14.2  </w:t>
      </w:r>
      <w:r>
        <w:rPr>
          <w:b/>
          <w:bCs/>
          <w:spacing w:val="2"/>
          <w:sz w:val="36"/>
          <w:szCs w:val="36"/>
        </w:rPr>
        <w:t>人机工程设计准则</w:t>
      </w:r>
    </w:p>
    <w:p w14:paraId="1022AAB1">
      <w:pPr>
        <w:spacing w:line="340" w:lineRule="auto"/>
        <w:rPr>
          <w:rFonts w:ascii="Arial"/>
          <w:sz w:val="21"/>
        </w:rPr>
      </w:pPr>
    </w:p>
    <w:p w14:paraId="10F1760F">
      <w:pPr>
        <w:pStyle w:val="2"/>
        <w:spacing w:before="91" w:line="224" w:lineRule="auto"/>
        <w:ind w:left="56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 3207—1998</w:t>
      </w:r>
      <w:r>
        <w:rPr>
          <w:spacing w:val="-10"/>
          <w:sz w:val="28"/>
          <w:szCs w:val="28"/>
        </w:rPr>
        <w:t>《</w:t>
      </w:r>
      <w:r>
        <w:rPr>
          <w:rFonts w:ascii="楷体" w:hAnsi="楷体" w:eastAsia="楷体" w:cs="楷体"/>
          <w:spacing w:val="-10"/>
          <w:sz w:val="28"/>
          <w:szCs w:val="28"/>
        </w:rPr>
        <w:t>军事装备和设施的人机工程要求》编写。</w:t>
      </w:r>
    </w:p>
    <w:p w14:paraId="5A5AD579">
      <w:pPr>
        <w:spacing w:before="70"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055F5BE9">
      <w:pPr>
        <w:pStyle w:val="2"/>
        <w:spacing w:before="85" w:line="219" w:lineRule="auto"/>
        <w:ind w:left="560"/>
      </w:pPr>
      <w:r>
        <w:rPr>
          <w:spacing w:val="3"/>
        </w:rPr>
        <w:t>说明人机工程设计准则的主题内容和适用范围。</w:t>
      </w:r>
    </w:p>
    <w:p w14:paraId="5BDBDB30">
      <w:pPr>
        <w:spacing w:before="86"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13"/>
          <w:sz w:val="27"/>
          <w:szCs w:val="27"/>
        </w:rPr>
        <w:t xml:space="preserve">  </w:t>
      </w:r>
      <w:r>
        <w:rPr>
          <w:rFonts w:ascii="黑体" w:hAnsi="黑体" w:eastAsia="黑体" w:cs="黑体"/>
          <w:b/>
          <w:bCs/>
          <w:spacing w:val="-1"/>
          <w:sz w:val="27"/>
          <w:szCs w:val="27"/>
        </w:rPr>
        <w:t>引用文件</w:t>
      </w:r>
    </w:p>
    <w:p w14:paraId="6609F5F8">
      <w:pPr>
        <w:spacing w:before="96" w:line="223" w:lineRule="auto"/>
        <w:rPr>
          <w:rFonts w:ascii="黑体" w:hAnsi="黑体" w:eastAsia="黑体" w:cs="黑体"/>
          <w:sz w:val="24"/>
          <w:szCs w:val="24"/>
        </w:rPr>
      </w:pPr>
      <w:r>
        <w:rPr>
          <w:rFonts w:ascii="黑体" w:hAnsi="黑体" w:eastAsia="黑体" w:cs="黑体"/>
          <w:spacing w:val="-7"/>
          <w:sz w:val="24"/>
          <w:szCs w:val="24"/>
        </w:rPr>
        <w:t>3</w:t>
      </w:r>
      <w:r>
        <w:rPr>
          <w:rFonts w:ascii="黑体" w:hAnsi="黑体" w:eastAsia="黑体" w:cs="黑体"/>
          <w:spacing w:val="36"/>
          <w:sz w:val="24"/>
          <w:szCs w:val="24"/>
        </w:rPr>
        <w:t xml:space="preserve">  </w:t>
      </w:r>
      <w:r>
        <w:rPr>
          <w:rFonts w:ascii="黑体" w:hAnsi="黑体" w:eastAsia="黑体" w:cs="黑体"/>
          <w:b/>
          <w:bCs/>
          <w:spacing w:val="-7"/>
          <w:sz w:val="24"/>
          <w:szCs w:val="24"/>
        </w:rPr>
        <w:t>定</w:t>
      </w:r>
      <w:r>
        <w:rPr>
          <w:rFonts w:ascii="黑体" w:hAnsi="黑体" w:eastAsia="黑体" w:cs="黑体"/>
          <w:spacing w:val="-44"/>
          <w:sz w:val="24"/>
          <w:szCs w:val="24"/>
        </w:rPr>
        <w:t xml:space="preserve"> </w:t>
      </w:r>
      <w:r>
        <w:rPr>
          <w:rFonts w:ascii="黑体" w:hAnsi="黑体" w:eastAsia="黑体" w:cs="黑体"/>
          <w:b/>
          <w:bCs/>
          <w:spacing w:val="-7"/>
          <w:sz w:val="24"/>
          <w:szCs w:val="24"/>
        </w:rPr>
        <w:t>义</w:t>
      </w:r>
    </w:p>
    <w:p w14:paraId="74CBC9F2">
      <w:pPr>
        <w:spacing w:before="118" w:line="222" w:lineRule="auto"/>
        <w:rPr>
          <w:rFonts w:ascii="黑体" w:hAnsi="黑体" w:eastAsia="黑体" w:cs="黑体"/>
          <w:sz w:val="24"/>
          <w:szCs w:val="24"/>
        </w:rPr>
      </w:pPr>
      <w:r>
        <w:rPr>
          <w:rFonts w:ascii="黑体" w:hAnsi="黑体" w:eastAsia="黑体" w:cs="黑体"/>
          <w:color w:val="605050"/>
          <w:spacing w:val="26"/>
          <w:sz w:val="24"/>
          <w:szCs w:val="24"/>
        </w:rPr>
        <w:t>4</w:t>
      </w:r>
      <w:r>
        <w:rPr>
          <w:rFonts w:ascii="黑体" w:hAnsi="黑体" w:eastAsia="黑体" w:cs="黑体"/>
          <w:color w:val="605050"/>
          <w:spacing w:val="34"/>
          <w:sz w:val="24"/>
          <w:szCs w:val="24"/>
        </w:rPr>
        <w:t xml:space="preserve">  </w:t>
      </w:r>
      <w:r>
        <w:rPr>
          <w:rFonts w:ascii="黑体" w:hAnsi="黑体" w:eastAsia="黑体" w:cs="黑体"/>
          <w:b/>
          <w:bCs/>
          <w:color w:val="605050"/>
          <w:spacing w:val="26"/>
          <w:sz w:val="24"/>
          <w:szCs w:val="24"/>
        </w:rPr>
        <w:t>设计准则</w:t>
      </w:r>
    </w:p>
    <w:p w14:paraId="3E103C26">
      <w:pPr>
        <w:spacing w:before="107" w:line="224" w:lineRule="auto"/>
        <w:rPr>
          <w:rFonts w:ascii="黑体" w:hAnsi="黑体" w:eastAsia="黑体" w:cs="黑体"/>
          <w:sz w:val="25"/>
          <w:szCs w:val="25"/>
        </w:rPr>
      </w:pPr>
      <w:r>
        <w:rPr>
          <w:rFonts w:ascii="黑体" w:hAnsi="黑体" w:eastAsia="黑体" w:cs="黑体"/>
          <w:spacing w:val="-10"/>
          <w:sz w:val="25"/>
          <w:szCs w:val="25"/>
        </w:rPr>
        <w:t>4.1</w:t>
      </w:r>
      <w:r>
        <w:rPr>
          <w:rFonts w:ascii="黑体" w:hAnsi="黑体" w:eastAsia="黑体" w:cs="黑体"/>
          <w:spacing w:val="15"/>
          <w:sz w:val="25"/>
          <w:szCs w:val="25"/>
        </w:rPr>
        <w:t xml:space="preserve">  </w:t>
      </w:r>
      <w:r>
        <w:rPr>
          <w:rFonts w:ascii="黑体" w:hAnsi="黑体" w:eastAsia="黑体" w:cs="黑体"/>
          <w:b/>
          <w:bCs/>
          <w:spacing w:val="-10"/>
          <w:sz w:val="25"/>
          <w:szCs w:val="25"/>
        </w:rPr>
        <w:t>目</w:t>
      </w:r>
      <w:r>
        <w:rPr>
          <w:rFonts w:ascii="黑体" w:hAnsi="黑体" w:eastAsia="黑体" w:cs="黑体"/>
          <w:spacing w:val="22"/>
          <w:sz w:val="25"/>
          <w:szCs w:val="25"/>
        </w:rPr>
        <w:t xml:space="preserve"> </w:t>
      </w:r>
      <w:r>
        <w:rPr>
          <w:rFonts w:ascii="黑体" w:hAnsi="黑体" w:eastAsia="黑体" w:cs="黑体"/>
          <w:b/>
          <w:bCs/>
          <w:spacing w:val="-10"/>
          <w:sz w:val="25"/>
          <w:szCs w:val="25"/>
        </w:rPr>
        <w:t>标</w:t>
      </w:r>
    </w:p>
    <w:p w14:paraId="6F88B297">
      <w:pPr>
        <w:pStyle w:val="2"/>
        <w:spacing w:before="107" w:line="273" w:lineRule="auto"/>
        <w:ind w:firstLine="560"/>
        <w:jc w:val="both"/>
      </w:pPr>
      <w:r>
        <w:rPr>
          <w:spacing w:val="-3"/>
        </w:rPr>
        <w:t>军用系统、装备和设施所提供的工作环境应能促进有效的作业程序、工作方</w:t>
      </w:r>
      <w:r>
        <w:rPr>
          <w:spacing w:val="8"/>
        </w:rPr>
        <w:t xml:space="preserve"> </w:t>
      </w:r>
      <w:r>
        <w:rPr>
          <w:spacing w:val="1"/>
        </w:rPr>
        <w:t>式及人员的安全与健康，并且尽可能减少导致人的能力降低和错误增加的因素。</w:t>
      </w:r>
      <w:r>
        <w:t xml:space="preserve"> </w:t>
      </w:r>
      <w:r>
        <w:rPr>
          <w:spacing w:val="-3"/>
        </w:rPr>
        <w:t>其设计应使得对操作者在工作负荷、准确性、时间、心理负荷及通信等方面的要</w:t>
      </w:r>
      <w:r>
        <w:rPr>
          <w:spacing w:val="8"/>
        </w:rPr>
        <w:t xml:space="preserve">  </w:t>
      </w:r>
      <w:r>
        <w:rPr>
          <w:spacing w:val="-3"/>
        </w:rPr>
        <w:t>求不超出他的能力范围，同时，在时间、费用与性能的相互权衡中应尽量减少对</w:t>
      </w:r>
      <w:r>
        <w:rPr>
          <w:spacing w:val="7"/>
        </w:rPr>
        <w:t xml:space="preserve">  </w:t>
      </w:r>
      <w:r>
        <w:rPr>
          <w:spacing w:val="1"/>
        </w:rPr>
        <w:t>人员及其训练的要求。</w:t>
      </w:r>
    </w:p>
    <w:p w14:paraId="6C13F48A">
      <w:pPr>
        <w:spacing w:before="12" w:line="224" w:lineRule="auto"/>
        <w:rPr>
          <w:rFonts w:ascii="黑体" w:hAnsi="黑体" w:eastAsia="黑体" w:cs="黑体"/>
          <w:sz w:val="27"/>
          <w:szCs w:val="27"/>
        </w:rPr>
      </w:pPr>
      <w:r>
        <w:rPr>
          <w:rFonts w:ascii="黑体" w:hAnsi="黑体" w:eastAsia="黑体" w:cs="黑体"/>
          <w:spacing w:val="-3"/>
          <w:sz w:val="27"/>
          <w:szCs w:val="27"/>
        </w:rPr>
        <w:t>4.2</w:t>
      </w:r>
      <w:r>
        <w:rPr>
          <w:rFonts w:ascii="黑体" w:hAnsi="黑体" w:eastAsia="黑体" w:cs="黑体"/>
          <w:spacing w:val="11"/>
          <w:sz w:val="27"/>
          <w:szCs w:val="27"/>
        </w:rPr>
        <w:t xml:space="preserve">  </w:t>
      </w:r>
      <w:r>
        <w:rPr>
          <w:rFonts w:ascii="黑体" w:hAnsi="黑体" w:eastAsia="黑体" w:cs="黑体"/>
          <w:b/>
          <w:bCs/>
          <w:spacing w:val="-3"/>
          <w:sz w:val="27"/>
          <w:szCs w:val="27"/>
        </w:rPr>
        <w:t>标准化</w:t>
      </w:r>
    </w:p>
    <w:p w14:paraId="4FE2F433">
      <w:pPr>
        <w:pStyle w:val="2"/>
        <w:spacing w:before="111" w:line="273" w:lineRule="auto"/>
        <w:ind w:right="105" w:firstLine="560"/>
        <w:jc w:val="both"/>
      </w:pPr>
      <w:r>
        <w:rPr>
          <w:spacing w:val="-11"/>
        </w:rPr>
        <w:t>装备上所有执行相同功能的控制器、显示器、标记、编码、标签及其安排形式</w:t>
      </w:r>
      <w:r>
        <w:rPr>
          <w:spacing w:val="13"/>
        </w:rPr>
        <w:t xml:space="preserve"> </w:t>
      </w:r>
      <w:r>
        <w:rPr>
          <w:spacing w:val="5"/>
        </w:rPr>
        <w:t>(设备和仪表板的布局)应保持一致。选择市场出售或订购方提供的准备用于军</w:t>
      </w:r>
      <w:r>
        <w:rPr>
          <w:spacing w:val="10"/>
        </w:rPr>
        <w:t xml:space="preserve"> </w:t>
      </w:r>
      <w:r>
        <w:t>用的设备时，应以它们与</w:t>
      </w:r>
      <w:r>
        <w:rPr>
          <w:spacing w:val="-77"/>
        </w:rPr>
        <w:t xml:space="preserve"> </w:t>
      </w:r>
      <w:r>
        <w:rPr>
          <w:rFonts w:ascii="Times New Roman" w:hAnsi="Times New Roman" w:eastAsia="Times New Roman" w:cs="Times New Roman"/>
        </w:rPr>
        <w:t>GJB  287</w:t>
      </w:r>
      <w:r>
        <w:rPr>
          <w:rFonts w:ascii="Times New Roman" w:hAnsi="Times New Roman" w:eastAsia="Times New Roman" w:cs="Times New Roman"/>
          <w:spacing w:val="-1"/>
        </w:rPr>
        <w:t xml:space="preserve">3—1997 </w:t>
      </w:r>
      <w:r>
        <w:rPr>
          <w:spacing w:val="-1"/>
        </w:rPr>
        <w:t>的符合程度为依据。如为与其他装置</w:t>
      </w:r>
      <w:r>
        <w:t xml:space="preserve"> </w:t>
      </w:r>
      <w:r>
        <w:rPr>
          <w:spacing w:val="4"/>
        </w:rPr>
        <w:t>配合需对这些设备加以改造，应符合</w:t>
      </w:r>
      <w:r>
        <w:rPr>
          <w:spacing w:val="-49"/>
        </w:rPr>
        <w:t xml:space="preserve"> </w:t>
      </w:r>
      <w:r>
        <w:rPr>
          <w:rFonts w:ascii="Times New Roman" w:hAnsi="Times New Roman" w:eastAsia="Times New Roman" w:cs="Times New Roman"/>
        </w:rPr>
        <w:t>GJB</w:t>
      </w:r>
      <w:r>
        <w:rPr>
          <w:rFonts w:ascii="Times New Roman" w:hAnsi="Times New Roman" w:eastAsia="Times New Roman" w:cs="Times New Roman"/>
          <w:spacing w:val="4"/>
        </w:rPr>
        <w:t xml:space="preserve">   2873—1997;</w:t>
      </w:r>
      <w:r>
        <w:rPr>
          <w:spacing w:val="4"/>
        </w:rPr>
        <w:t>准备用于军用的设备的</w:t>
      </w:r>
      <w:r>
        <w:t xml:space="preserve"> </w:t>
      </w:r>
      <w:r>
        <w:rPr>
          <w:spacing w:val="-5"/>
        </w:rPr>
        <w:t>重新设计，必须经过订购方的认可。</w:t>
      </w:r>
    </w:p>
    <w:p w14:paraId="73028A7B">
      <w:pPr>
        <w:spacing w:before="14" w:line="222" w:lineRule="auto"/>
        <w:outlineLvl w:val="3"/>
        <w:rPr>
          <w:rFonts w:ascii="黑体" w:hAnsi="黑体" w:eastAsia="黑体" w:cs="黑体"/>
          <w:sz w:val="27"/>
          <w:szCs w:val="27"/>
        </w:rPr>
      </w:pPr>
      <w:r>
        <w:rPr>
          <w:rFonts w:ascii="Arial" w:hAnsi="Arial" w:eastAsia="Arial" w:cs="Arial"/>
          <w:b/>
          <w:bCs/>
          <w:spacing w:val="2"/>
          <w:sz w:val="27"/>
          <w:szCs w:val="27"/>
        </w:rPr>
        <w:t>4.3</w:t>
      </w:r>
      <w:r>
        <w:rPr>
          <w:rFonts w:ascii="Arial" w:hAnsi="Arial" w:eastAsia="Arial" w:cs="Arial"/>
          <w:b/>
          <w:bCs/>
          <w:spacing w:val="5"/>
          <w:sz w:val="27"/>
          <w:szCs w:val="27"/>
        </w:rPr>
        <w:t xml:space="preserve">    </w:t>
      </w:r>
      <w:r>
        <w:rPr>
          <w:rFonts w:ascii="黑体" w:hAnsi="黑体" w:eastAsia="黑体" w:cs="黑体"/>
          <w:b/>
          <w:bCs/>
          <w:spacing w:val="2"/>
          <w:sz w:val="27"/>
          <w:szCs w:val="27"/>
        </w:rPr>
        <w:t>功能分配</w:t>
      </w:r>
    </w:p>
    <w:p w14:paraId="6185244A">
      <w:pPr>
        <w:pStyle w:val="2"/>
        <w:spacing w:before="101" w:line="281" w:lineRule="auto"/>
        <w:ind w:firstLine="560"/>
        <w:jc w:val="both"/>
      </w:pPr>
      <w:r>
        <w:t>系统设计时应反映出系统功能在人员、装备以及人员一装备整体间的分配，</w:t>
      </w:r>
      <w:r>
        <w:rPr>
          <w:spacing w:val="13"/>
        </w:rPr>
        <w:t xml:space="preserve"> </w:t>
      </w:r>
      <w:r>
        <w:rPr>
          <w:spacing w:val="-9"/>
        </w:rPr>
        <w:t>从而达到：1)对系统的敏感性、精确性、时间及</w:t>
      </w:r>
      <w:r>
        <w:rPr>
          <w:spacing w:val="-10"/>
        </w:rPr>
        <w:t>安全等方面的要求；2)对系统性能</w:t>
      </w:r>
      <w:r>
        <w:t xml:space="preserve">  可靠性的要求；3)对操作和维修该系统的人员的数量及其技能水平的要求最低；</w:t>
      </w:r>
    </w:p>
    <w:p w14:paraId="723D0AFB">
      <w:pPr>
        <w:pStyle w:val="2"/>
        <w:spacing w:before="14" w:line="220" w:lineRule="auto"/>
        <w:rPr>
          <w:sz w:val="24"/>
          <w:szCs w:val="24"/>
        </w:rPr>
      </w:pPr>
      <w:r>
        <w:rPr>
          <w:spacing w:val="27"/>
          <w:sz w:val="24"/>
          <w:szCs w:val="24"/>
        </w:rPr>
        <w:t>4)费效比所要求的性能。</w:t>
      </w:r>
    </w:p>
    <w:p w14:paraId="00C4570B">
      <w:pPr>
        <w:spacing w:before="69" w:line="222" w:lineRule="auto"/>
        <w:rPr>
          <w:rFonts w:ascii="黑体" w:hAnsi="黑体" w:eastAsia="黑体" w:cs="黑体"/>
          <w:sz w:val="27"/>
          <w:szCs w:val="27"/>
        </w:rPr>
      </w:pPr>
      <w:r>
        <w:rPr>
          <w:rFonts w:ascii="黑体" w:hAnsi="黑体" w:eastAsia="黑体" w:cs="黑体"/>
          <w:spacing w:val="-2"/>
          <w:sz w:val="27"/>
          <w:szCs w:val="27"/>
        </w:rPr>
        <w:t>4.4</w:t>
      </w:r>
      <w:r>
        <w:rPr>
          <w:rFonts w:ascii="黑体" w:hAnsi="黑体" w:eastAsia="黑体" w:cs="黑体"/>
          <w:spacing w:val="17"/>
          <w:sz w:val="27"/>
          <w:szCs w:val="27"/>
        </w:rPr>
        <w:t xml:space="preserve">  </w:t>
      </w:r>
      <w:r>
        <w:rPr>
          <w:rFonts w:ascii="黑体" w:hAnsi="黑体" w:eastAsia="黑体" w:cs="黑体"/>
          <w:b/>
          <w:bCs/>
          <w:spacing w:val="-2"/>
          <w:sz w:val="27"/>
          <w:szCs w:val="27"/>
        </w:rPr>
        <w:t>人机工程设计</w:t>
      </w:r>
    </w:p>
    <w:p w14:paraId="17D7ACD0">
      <w:pPr>
        <w:pStyle w:val="2"/>
        <w:spacing w:before="111" w:line="269" w:lineRule="auto"/>
        <w:ind w:right="113" w:firstLine="560"/>
      </w:pPr>
      <w:r>
        <w:rPr>
          <w:spacing w:val="-3"/>
        </w:rPr>
        <w:t>军用系统、装备和设施的设计应体现人机工程、生命保障和生物医学等影响</w:t>
      </w:r>
      <w:r>
        <w:t xml:space="preserve"> 人的能力的各个因素，其中包括(在适用情况下):</w:t>
      </w:r>
    </w:p>
    <w:p w14:paraId="42B14D29">
      <w:pPr>
        <w:pStyle w:val="2"/>
        <w:spacing w:before="13" w:line="212" w:lineRule="auto"/>
        <w:ind w:left="560"/>
      </w:pPr>
      <w:r>
        <w:rPr>
          <w:rFonts w:ascii="Times New Roman" w:hAnsi="Times New Roman" w:eastAsia="Times New Roman" w:cs="Times New Roman"/>
          <w:spacing w:val="-4"/>
        </w:rPr>
        <w:t xml:space="preserve">a)  </w:t>
      </w:r>
      <w:r>
        <w:rPr>
          <w:spacing w:val="-4"/>
        </w:rPr>
        <w:t>适宜的大气环境，包括大气成分、气</w:t>
      </w:r>
      <w:r>
        <w:rPr>
          <w:spacing w:val="-5"/>
        </w:rPr>
        <w:t>压、温度和湿度，以及为防止上述变</w:t>
      </w:r>
    </w:p>
    <w:p w14:paraId="6A2A6619">
      <w:pPr>
        <w:spacing w:line="212" w:lineRule="auto"/>
        <w:sectPr>
          <w:footerReference r:id="rId634" w:type="default"/>
          <w:pgSz w:w="11910" w:h="17130"/>
          <w:pgMar w:top="1456" w:right="1144" w:bottom="1687" w:left="1279" w:header="0" w:footer="1470" w:gutter="0"/>
          <w:cols w:space="720" w:num="1"/>
        </w:sectPr>
      </w:pPr>
    </w:p>
    <w:p w14:paraId="05DBC582">
      <w:pPr>
        <w:pStyle w:val="2"/>
        <w:spacing w:before="83" w:line="219" w:lineRule="auto"/>
      </w:pPr>
      <w:r>
        <w:rPr>
          <w:spacing w:val="4"/>
        </w:rPr>
        <w:t>量的非控制波动超出允许范围而采取的安全装置；</w:t>
      </w:r>
    </w:p>
    <w:p w14:paraId="584A9CD0">
      <w:pPr>
        <w:pStyle w:val="2"/>
        <w:spacing w:before="41" w:line="266" w:lineRule="auto"/>
        <w:ind w:right="122" w:firstLine="550"/>
      </w:pPr>
      <w:r>
        <w:rPr>
          <w:rFonts w:ascii="Times New Roman" w:hAnsi="Times New Roman" w:eastAsia="Times New Roman" w:cs="Times New Roman"/>
          <w:spacing w:val="-5"/>
        </w:rPr>
        <w:t xml:space="preserve">b)  </w:t>
      </w:r>
      <w:r>
        <w:rPr>
          <w:spacing w:val="-5"/>
        </w:rPr>
        <w:t>听觉噪声、振动、加速度、震动、爆炸和冲击力等的变动范围以及为防止</w:t>
      </w:r>
      <w:r>
        <w:rPr>
          <w:spacing w:val="11"/>
        </w:rPr>
        <w:t xml:space="preserve"> </w:t>
      </w:r>
      <w:r>
        <w:rPr>
          <w:spacing w:val="4"/>
        </w:rPr>
        <w:t>上述非控制波动超出安全范围而采取的安全装置；</w:t>
      </w:r>
    </w:p>
    <w:p w14:paraId="00BCE774">
      <w:pPr>
        <w:pStyle w:val="2"/>
        <w:spacing w:before="1" w:line="271" w:lineRule="auto"/>
        <w:ind w:right="123" w:firstLine="550"/>
      </w:pPr>
      <w:r>
        <w:rPr>
          <w:rFonts w:ascii="Times New Roman" w:hAnsi="Times New Roman" w:eastAsia="Times New Roman" w:cs="Times New Roman"/>
          <w:spacing w:val="-18"/>
        </w:rPr>
        <w:t xml:space="preserve">c)  </w:t>
      </w:r>
      <w:r>
        <w:rPr>
          <w:spacing w:val="-18"/>
        </w:rPr>
        <w:t>保护操作者免受热、毒性、放射性、机械、电气、电</w:t>
      </w:r>
      <w:r>
        <w:rPr>
          <w:spacing w:val="-19"/>
        </w:rPr>
        <w:t>磁、烟火、视觉及其他形</w:t>
      </w:r>
      <w:r>
        <w:t xml:space="preserve"> </w:t>
      </w:r>
      <w:r>
        <w:rPr>
          <w:spacing w:val="-3"/>
        </w:rPr>
        <w:t>式的危害；</w:t>
      </w:r>
    </w:p>
    <w:p w14:paraId="38A12579">
      <w:pPr>
        <w:pStyle w:val="2"/>
        <w:spacing w:before="45" w:line="260" w:lineRule="auto"/>
        <w:ind w:right="123" w:firstLine="550"/>
      </w:pPr>
      <w:r>
        <w:rPr>
          <w:rFonts w:ascii="Times New Roman" w:hAnsi="Times New Roman" w:eastAsia="Times New Roman" w:cs="Times New Roman"/>
          <w:spacing w:val="3"/>
        </w:rPr>
        <w:t>d)</w:t>
      </w:r>
      <w:r>
        <w:rPr>
          <w:rFonts w:ascii="Times New Roman" w:hAnsi="Times New Roman" w:eastAsia="Times New Roman" w:cs="Times New Roman"/>
          <w:spacing w:val="69"/>
        </w:rPr>
        <w:t xml:space="preserve"> </w:t>
      </w:r>
      <w:r>
        <w:rPr>
          <w:spacing w:val="3"/>
        </w:rPr>
        <w:t>为操作者及其装备提供足够的空间，并为操作者在正常和紧急状态下执</w:t>
      </w:r>
      <w:r>
        <w:t xml:space="preserve"> </w:t>
      </w:r>
      <w:r>
        <w:rPr>
          <w:spacing w:val="5"/>
        </w:rPr>
        <w:t>行操作和维修任务时必要的身体移动和活动</w:t>
      </w:r>
      <w:r>
        <w:rPr>
          <w:spacing w:val="4"/>
        </w:rPr>
        <w:t>提供自由空间；</w:t>
      </w:r>
    </w:p>
    <w:p w14:paraId="16FA7358">
      <w:pPr>
        <w:pStyle w:val="2"/>
        <w:spacing w:before="61" w:line="260" w:lineRule="auto"/>
        <w:ind w:right="123" w:firstLine="550"/>
      </w:pPr>
      <w:r>
        <w:rPr>
          <w:rFonts w:ascii="Times New Roman" w:hAnsi="Times New Roman" w:eastAsia="Times New Roman" w:cs="Times New Roman"/>
          <w:spacing w:val="12"/>
        </w:rPr>
        <w:t>e)</w:t>
      </w:r>
      <w:r>
        <w:rPr>
          <w:rFonts w:ascii="Times New Roman" w:hAnsi="Times New Roman" w:eastAsia="Times New Roman" w:cs="Times New Roman"/>
          <w:spacing w:val="69"/>
        </w:rPr>
        <w:t xml:space="preserve"> </w:t>
      </w:r>
      <w:r>
        <w:rPr>
          <w:spacing w:val="12"/>
        </w:rPr>
        <w:t>正常和紧急状态下，操作者之间以及操作者与其设备之间有充足的体</w:t>
      </w:r>
      <w:r>
        <w:t xml:space="preserve"> </w:t>
      </w:r>
      <w:r>
        <w:rPr>
          <w:spacing w:val="-11"/>
        </w:rPr>
        <w:t>觉、视觉、听觉及其他形式的通信联系；</w:t>
      </w:r>
    </w:p>
    <w:p w14:paraId="5EAF331D">
      <w:pPr>
        <w:pStyle w:val="2"/>
        <w:spacing w:before="39" w:line="212" w:lineRule="auto"/>
        <w:ind w:left="550"/>
      </w:pPr>
      <w:r>
        <w:rPr>
          <w:rFonts w:ascii="Times New Roman" w:hAnsi="Times New Roman" w:eastAsia="Times New Roman" w:cs="Times New Roman"/>
          <w:spacing w:val="-5"/>
        </w:rPr>
        <w:t>f)</w:t>
      </w:r>
      <w:r>
        <w:rPr>
          <w:rFonts w:ascii="Times New Roman" w:hAnsi="Times New Roman" w:eastAsia="Times New Roman" w:cs="Times New Roman"/>
          <w:spacing w:val="66"/>
        </w:rPr>
        <w:t xml:space="preserve"> </w:t>
      </w:r>
      <w:r>
        <w:rPr>
          <w:spacing w:val="-5"/>
        </w:rPr>
        <w:t>操作与维修时工作空间、设备、控制器及显示器的有效布局；</w:t>
      </w:r>
    </w:p>
    <w:p w14:paraId="3F576488">
      <w:pPr>
        <w:pStyle w:val="2"/>
        <w:spacing w:before="110" w:line="256" w:lineRule="auto"/>
        <w:ind w:firstLine="550"/>
      </w:pPr>
      <w:r>
        <w:rPr>
          <w:rFonts w:ascii="Times New Roman" w:hAnsi="Times New Roman" w:eastAsia="Times New Roman" w:cs="Times New Roman"/>
          <w:spacing w:val="7"/>
        </w:rPr>
        <w:t>g</w:t>
      </w:r>
      <w:r>
        <w:rPr>
          <w:spacing w:val="7"/>
        </w:rPr>
        <w:t>)</w:t>
      </w:r>
      <w:r>
        <w:rPr>
          <w:spacing w:val="-49"/>
        </w:rPr>
        <w:t xml:space="preserve"> </w:t>
      </w:r>
      <w:r>
        <w:rPr>
          <w:spacing w:val="7"/>
        </w:rPr>
        <w:t>确保操作者在失重或超重状态下安全有效地执行任务，防止人</w:t>
      </w:r>
      <w:r>
        <w:rPr>
          <w:spacing w:val="6"/>
        </w:rPr>
        <w:t>员伤害、</w:t>
      </w:r>
      <w:r>
        <w:t xml:space="preserve"> </w:t>
      </w:r>
      <w:r>
        <w:rPr>
          <w:spacing w:val="4"/>
        </w:rPr>
        <w:t>装备损坏和操作者定向力障碍而采用的安全措施；</w:t>
      </w:r>
    </w:p>
    <w:p w14:paraId="79792B7F">
      <w:pPr>
        <w:pStyle w:val="2"/>
        <w:spacing w:before="51" w:line="212" w:lineRule="auto"/>
        <w:ind w:left="550"/>
      </w:pPr>
      <w:r>
        <w:rPr>
          <w:rFonts w:ascii="Times New Roman" w:hAnsi="Times New Roman" w:eastAsia="Times New Roman" w:cs="Times New Roman"/>
          <w:spacing w:val="-4"/>
        </w:rPr>
        <w:t xml:space="preserve">h)  </w:t>
      </w:r>
      <w:r>
        <w:rPr>
          <w:spacing w:val="-4"/>
        </w:rPr>
        <w:t>为执行操作、控制、训练或维修任务提供充足的自然或人工照明；</w:t>
      </w:r>
    </w:p>
    <w:p w14:paraId="668BB3F9">
      <w:pPr>
        <w:pStyle w:val="2"/>
        <w:spacing w:before="121" w:line="253" w:lineRule="auto"/>
        <w:ind w:right="124" w:firstLine="550"/>
      </w:pPr>
      <w:r>
        <w:rPr>
          <w:rFonts w:ascii="Times New Roman" w:hAnsi="Times New Roman" w:eastAsia="Times New Roman" w:cs="Times New Roman"/>
          <w:spacing w:val="5"/>
        </w:rPr>
        <w:t>i)</w:t>
      </w:r>
      <w:r>
        <w:rPr>
          <w:rFonts w:ascii="Times New Roman" w:hAnsi="Times New Roman" w:eastAsia="Times New Roman" w:cs="Times New Roman"/>
          <w:spacing w:val="66"/>
        </w:rPr>
        <w:t xml:space="preserve"> </w:t>
      </w:r>
      <w:r>
        <w:rPr>
          <w:spacing w:val="5"/>
        </w:rPr>
        <w:t>为在正常、危险或紧急情况下人员的进出及通行，提供安全而</w:t>
      </w:r>
      <w:r>
        <w:rPr>
          <w:spacing w:val="4"/>
        </w:rPr>
        <w:t>充足的通</w:t>
      </w:r>
      <w:r>
        <w:t xml:space="preserve"> </w:t>
      </w:r>
      <w:r>
        <w:rPr>
          <w:spacing w:val="-27"/>
        </w:rPr>
        <w:t>道、出口、楼梯、阶梯、平台、斜面及其他设施；</w:t>
      </w:r>
    </w:p>
    <w:p w14:paraId="57867FD8">
      <w:pPr>
        <w:pStyle w:val="2"/>
        <w:spacing w:before="59" w:line="256" w:lineRule="auto"/>
        <w:ind w:right="125" w:firstLine="550"/>
      </w:pPr>
      <w:r>
        <w:rPr>
          <w:rFonts w:ascii="Times New Roman" w:hAnsi="Times New Roman" w:eastAsia="Times New Roman" w:cs="Times New Roman"/>
          <w:spacing w:val="5"/>
        </w:rPr>
        <w:t>j)</w:t>
      </w:r>
      <w:r>
        <w:rPr>
          <w:rFonts w:ascii="Times New Roman" w:hAnsi="Times New Roman" w:eastAsia="Times New Roman" w:cs="Times New Roman"/>
          <w:spacing w:val="68"/>
        </w:rPr>
        <w:t xml:space="preserve"> </w:t>
      </w:r>
      <w:r>
        <w:rPr>
          <w:spacing w:val="5"/>
        </w:rPr>
        <w:t>提供能被操作者接受的个人设施，包括人体支撑和约束</w:t>
      </w:r>
      <w:r>
        <w:rPr>
          <w:spacing w:val="4"/>
        </w:rPr>
        <w:t>装置、座椅、扶</w:t>
      </w:r>
      <w:r>
        <w:t xml:space="preserve"> </w:t>
      </w:r>
      <w:r>
        <w:rPr>
          <w:spacing w:val="-16"/>
        </w:rPr>
        <w:t>手，靠背以及营养供给，即氧气、食物、水及废物处理装置；</w:t>
      </w:r>
    </w:p>
    <w:p w14:paraId="0F6EA9CD">
      <w:pPr>
        <w:pStyle w:val="2"/>
        <w:spacing w:before="71" w:line="212" w:lineRule="auto"/>
        <w:ind w:left="550"/>
      </w:pPr>
      <w:r>
        <w:rPr>
          <w:rFonts w:ascii="Times New Roman" w:hAnsi="Times New Roman" w:eastAsia="Times New Roman" w:cs="Times New Roman"/>
          <w:spacing w:val="4"/>
        </w:rPr>
        <w:t xml:space="preserve">k)  </w:t>
      </w:r>
      <w:r>
        <w:rPr>
          <w:spacing w:val="4"/>
        </w:rPr>
        <w:t>提供非约束性的个人生命保障与保护装置；</w:t>
      </w:r>
    </w:p>
    <w:p w14:paraId="3EF2123D">
      <w:pPr>
        <w:pStyle w:val="2"/>
        <w:spacing w:before="131" w:line="219" w:lineRule="auto"/>
        <w:ind w:left="550"/>
      </w:pPr>
      <w:r>
        <w:rPr>
          <w:spacing w:val="5"/>
        </w:rPr>
        <w:t>1)减少作业持续时间及疲劳产生的心身压力的措施；</w:t>
      </w:r>
    </w:p>
    <w:p w14:paraId="01BC104D">
      <w:pPr>
        <w:pStyle w:val="2"/>
        <w:spacing w:before="58" w:line="253" w:lineRule="auto"/>
        <w:ind w:right="113" w:firstLine="550"/>
      </w:pPr>
      <w:r>
        <w:rPr>
          <w:rFonts w:ascii="Times New Roman" w:hAnsi="Times New Roman" w:eastAsia="Times New Roman" w:cs="Times New Roman"/>
          <w:spacing w:val="9"/>
        </w:rPr>
        <w:t xml:space="preserve">m)  </w:t>
      </w:r>
      <w:r>
        <w:rPr>
          <w:spacing w:val="9"/>
        </w:rPr>
        <w:t>系统的设计应保证在正常、危险或紧急维修情况下操作及维修作业的</w:t>
      </w:r>
      <w:r>
        <w:t xml:space="preserve"> </w:t>
      </w:r>
      <w:r>
        <w:rPr>
          <w:spacing w:val="-18"/>
        </w:rPr>
        <w:t>快速、安全、简便与经济性；</w:t>
      </w:r>
    </w:p>
    <w:p w14:paraId="4C4522EC">
      <w:pPr>
        <w:pStyle w:val="2"/>
        <w:spacing w:before="61" w:line="212" w:lineRule="auto"/>
        <w:ind w:left="550"/>
      </w:pPr>
      <w:r>
        <w:rPr>
          <w:rFonts w:ascii="Times New Roman" w:hAnsi="Times New Roman" w:eastAsia="Times New Roman" w:cs="Times New Roman"/>
          <w:spacing w:val="4"/>
        </w:rPr>
        <w:t>n)</w:t>
      </w:r>
      <w:r>
        <w:rPr>
          <w:rFonts w:ascii="Times New Roman" w:hAnsi="Times New Roman" w:eastAsia="Times New Roman" w:cs="Times New Roman"/>
          <w:spacing w:val="8"/>
        </w:rPr>
        <w:t xml:space="preserve">  </w:t>
      </w:r>
      <w:r>
        <w:rPr>
          <w:spacing w:val="4"/>
        </w:rPr>
        <w:t>适用的遥控操纵用装置及其工具；</w:t>
      </w:r>
    </w:p>
    <w:p w14:paraId="795E6656">
      <w:pPr>
        <w:pStyle w:val="2"/>
        <w:spacing w:before="100" w:line="212" w:lineRule="auto"/>
        <w:ind w:left="550"/>
      </w:pPr>
      <w:r>
        <w:rPr>
          <w:rFonts w:ascii="Times New Roman" w:hAnsi="Times New Roman" w:eastAsia="Times New Roman" w:cs="Times New Roman"/>
        </w:rPr>
        <w:t xml:space="preserve">o)  </w:t>
      </w:r>
      <w:r>
        <w:t>为应付突发事件、逃逸救生及救援活动提供适当</w:t>
      </w:r>
      <w:r>
        <w:rPr>
          <w:spacing w:val="-1"/>
        </w:rPr>
        <w:t>的应急系统；</w:t>
      </w:r>
    </w:p>
    <w:p w14:paraId="6B8D8355">
      <w:pPr>
        <w:pStyle w:val="2"/>
        <w:spacing w:before="99" w:line="267" w:lineRule="auto"/>
        <w:ind w:right="122" w:firstLine="550"/>
      </w:pPr>
      <w:r>
        <w:rPr>
          <w:rFonts w:ascii="Times New Roman" w:hAnsi="Times New Roman" w:eastAsia="Times New Roman" w:cs="Times New Roman"/>
          <w:spacing w:val="-5"/>
        </w:rPr>
        <w:t xml:space="preserve">p)  </w:t>
      </w:r>
      <w:r>
        <w:rPr>
          <w:spacing w:val="-5"/>
        </w:rPr>
        <w:t>控制器、显示器、工作空间及乘员舱的设计、位置与布局，应与操作和维</w:t>
      </w:r>
      <w:r>
        <w:rPr>
          <w:spacing w:val="10"/>
        </w:rPr>
        <w:t xml:space="preserve"> </w:t>
      </w:r>
      <w:r>
        <w:rPr>
          <w:spacing w:val="2"/>
        </w:rPr>
        <w:t>修军用系统、装备或身处其中的操作者的着装/个人装备相兼容；操作</w:t>
      </w:r>
      <w:r>
        <w:rPr>
          <w:spacing w:val="1"/>
        </w:rPr>
        <w:t>者的任务</w:t>
      </w:r>
      <w:r>
        <w:t xml:space="preserve"> </w:t>
      </w:r>
      <w:r>
        <w:rPr>
          <w:spacing w:val="4"/>
        </w:rPr>
        <w:t>分配及控制运动应与着装/个人装备对其作业的限制相兼容。</w:t>
      </w:r>
    </w:p>
    <w:p w14:paraId="1DACF213">
      <w:pPr>
        <w:spacing w:before="44" w:line="328" w:lineRule="exact"/>
        <w:rPr>
          <w:rFonts w:ascii="黑体" w:hAnsi="黑体" w:eastAsia="黑体" w:cs="黑体"/>
          <w:sz w:val="24"/>
          <w:szCs w:val="24"/>
        </w:rPr>
      </w:pPr>
      <w:r>
        <w:rPr>
          <w:rFonts w:ascii="Arial" w:hAnsi="Arial" w:eastAsia="Arial" w:cs="Arial"/>
          <w:spacing w:val="14"/>
          <w:position w:val="1"/>
          <w:sz w:val="24"/>
          <w:szCs w:val="24"/>
        </w:rPr>
        <w:t xml:space="preserve">4.5     </w:t>
      </w:r>
      <w:r>
        <w:rPr>
          <w:rFonts w:ascii="黑体" w:hAnsi="黑体" w:eastAsia="黑体" w:cs="黑体"/>
          <w:spacing w:val="14"/>
          <w:position w:val="1"/>
          <w:sz w:val="24"/>
          <w:szCs w:val="24"/>
        </w:rPr>
        <w:t>故障</w:t>
      </w:r>
      <w:r>
        <w:rPr>
          <w:rFonts w:ascii="黑体" w:hAnsi="黑体" w:eastAsia="黑体" w:cs="黑体"/>
          <w:spacing w:val="-65"/>
          <w:position w:val="1"/>
          <w:sz w:val="24"/>
          <w:szCs w:val="24"/>
        </w:rPr>
        <w:t xml:space="preserve"> </w:t>
      </w:r>
      <w:r>
        <w:rPr>
          <w:rFonts w:ascii="黑体" w:hAnsi="黑体" w:eastAsia="黑体" w:cs="黑体"/>
          <w:spacing w:val="14"/>
          <w:position w:val="1"/>
          <w:sz w:val="24"/>
          <w:szCs w:val="24"/>
        </w:rPr>
        <w:t>一</w:t>
      </w:r>
      <w:r>
        <w:rPr>
          <w:rFonts w:ascii="黑体" w:hAnsi="黑体" w:eastAsia="黑体" w:cs="黑体"/>
          <w:spacing w:val="-59"/>
          <w:position w:val="1"/>
          <w:sz w:val="24"/>
          <w:szCs w:val="24"/>
        </w:rPr>
        <w:t xml:space="preserve"> </w:t>
      </w:r>
      <w:r>
        <w:rPr>
          <w:rFonts w:ascii="黑体" w:hAnsi="黑体" w:eastAsia="黑体" w:cs="黑体"/>
          <w:spacing w:val="14"/>
          <w:position w:val="1"/>
          <w:sz w:val="24"/>
          <w:szCs w:val="24"/>
        </w:rPr>
        <w:t>安全保护设计</w:t>
      </w:r>
    </w:p>
    <w:p w14:paraId="3340A44D">
      <w:pPr>
        <w:pStyle w:val="2"/>
        <w:spacing w:before="116" w:line="299" w:lineRule="auto"/>
        <w:ind w:right="122" w:firstLine="550"/>
        <w:rPr>
          <w:sz w:val="25"/>
          <w:szCs w:val="25"/>
        </w:rPr>
      </w:pPr>
      <w:r>
        <w:rPr>
          <w:spacing w:val="26"/>
          <w:sz w:val="25"/>
          <w:szCs w:val="25"/>
        </w:rPr>
        <w:t>如果某一功能的失效会造成设备损坏、人员伤害或可能发生关键设备的误</w:t>
      </w:r>
      <w:r>
        <w:rPr>
          <w:sz w:val="25"/>
          <w:szCs w:val="25"/>
        </w:rPr>
        <w:t xml:space="preserve"> </w:t>
      </w:r>
      <w:r>
        <w:rPr>
          <w:spacing w:val="15"/>
          <w:sz w:val="25"/>
          <w:szCs w:val="25"/>
        </w:rPr>
        <w:t>操作，应采用故障一安全保护设计。</w:t>
      </w:r>
    </w:p>
    <w:p w14:paraId="10C85D87">
      <w:pPr>
        <w:spacing w:before="1" w:line="221" w:lineRule="auto"/>
        <w:rPr>
          <w:rFonts w:ascii="黑体" w:hAnsi="黑体" w:eastAsia="黑体" w:cs="黑体"/>
          <w:sz w:val="25"/>
          <w:szCs w:val="25"/>
        </w:rPr>
      </w:pPr>
      <w:r>
        <w:rPr>
          <w:rFonts w:ascii="黑体" w:hAnsi="黑体" w:eastAsia="黑体" w:cs="黑体"/>
          <w:spacing w:val="15"/>
          <w:sz w:val="25"/>
          <w:szCs w:val="25"/>
        </w:rPr>
        <w:t>4.6</w:t>
      </w:r>
      <w:r>
        <w:rPr>
          <w:rFonts w:ascii="黑体" w:hAnsi="黑体" w:eastAsia="黑体" w:cs="黑体"/>
          <w:spacing w:val="44"/>
          <w:sz w:val="25"/>
          <w:szCs w:val="25"/>
        </w:rPr>
        <w:t xml:space="preserve">  </w:t>
      </w:r>
      <w:r>
        <w:rPr>
          <w:rFonts w:ascii="黑体" w:hAnsi="黑体" w:eastAsia="黑体" w:cs="黑体"/>
          <w:spacing w:val="15"/>
          <w:sz w:val="25"/>
          <w:szCs w:val="25"/>
        </w:rPr>
        <w:t>设计简化</w:t>
      </w:r>
    </w:p>
    <w:p w14:paraId="0323C081">
      <w:pPr>
        <w:pStyle w:val="2"/>
        <w:spacing w:before="122" w:line="268" w:lineRule="auto"/>
        <w:ind w:right="123" w:firstLine="550"/>
        <w:jc w:val="both"/>
      </w:pPr>
      <w:r>
        <w:rPr>
          <w:spacing w:val="6"/>
        </w:rPr>
        <w:t>在达到系统的功能要求并实现预期工作条件的基础上，装备应设计得</w:t>
      </w:r>
      <w:r>
        <w:rPr>
          <w:spacing w:val="5"/>
        </w:rPr>
        <w:t>尽可</w:t>
      </w:r>
      <w:r>
        <w:t xml:space="preserve"> </w:t>
      </w:r>
      <w:r>
        <w:rPr>
          <w:spacing w:val="14"/>
        </w:rPr>
        <w:t>能简单。在其工作环境中，操作者接受尽可能少</w:t>
      </w:r>
      <w:r>
        <w:rPr>
          <w:spacing w:val="13"/>
        </w:rPr>
        <w:t>的训练就能对它进行操作和</w:t>
      </w:r>
      <w:r>
        <w:t xml:space="preserve"> </w:t>
      </w:r>
      <w:r>
        <w:rPr>
          <w:spacing w:val="-4"/>
        </w:rPr>
        <w:t>维修。</w:t>
      </w:r>
    </w:p>
    <w:p w14:paraId="0C126618">
      <w:pPr>
        <w:spacing w:line="268" w:lineRule="auto"/>
        <w:sectPr>
          <w:footerReference r:id="rId635" w:type="default"/>
          <w:pgSz w:w="11910" w:h="17130"/>
          <w:pgMar w:top="1456" w:right="1075" w:bottom="1656" w:left="1329" w:header="0" w:footer="1467" w:gutter="0"/>
          <w:cols w:space="720" w:num="1"/>
        </w:sectPr>
      </w:pPr>
    </w:p>
    <w:p w14:paraId="602738A6">
      <w:pPr>
        <w:spacing w:before="153" w:line="222" w:lineRule="auto"/>
        <w:rPr>
          <w:rFonts w:ascii="黑体" w:hAnsi="黑体" w:eastAsia="黑体" w:cs="黑体"/>
          <w:sz w:val="27"/>
          <w:szCs w:val="27"/>
        </w:rPr>
      </w:pPr>
      <w:r>
        <w:rPr>
          <w:rFonts w:ascii="黑体" w:hAnsi="黑体" w:eastAsia="黑体" w:cs="黑体"/>
          <w:sz w:val="27"/>
          <w:szCs w:val="27"/>
        </w:rPr>
        <w:t>4.7</w:t>
      </w:r>
      <w:r>
        <w:rPr>
          <w:rFonts w:ascii="黑体" w:hAnsi="黑体" w:eastAsia="黑体" w:cs="黑体"/>
          <w:spacing w:val="21"/>
          <w:sz w:val="27"/>
          <w:szCs w:val="27"/>
        </w:rPr>
        <w:t xml:space="preserve">  </w:t>
      </w:r>
      <w:r>
        <w:rPr>
          <w:rFonts w:ascii="黑体" w:hAnsi="黑体" w:eastAsia="黑体" w:cs="黑体"/>
          <w:sz w:val="27"/>
          <w:szCs w:val="27"/>
        </w:rPr>
        <w:t>交互作用</w:t>
      </w:r>
    </w:p>
    <w:p w14:paraId="0CDE79B7">
      <w:pPr>
        <w:pStyle w:val="2"/>
        <w:spacing w:before="87" w:line="219" w:lineRule="auto"/>
        <w:ind w:left="580"/>
      </w:pPr>
      <w:r>
        <w:rPr>
          <w:spacing w:val="2"/>
        </w:rPr>
        <w:t>系统的设计应反映出操作者和装备的相互作用的要求。</w:t>
      </w:r>
    </w:p>
    <w:p w14:paraId="73CF51D7">
      <w:pPr>
        <w:spacing w:before="70" w:line="223" w:lineRule="auto"/>
        <w:rPr>
          <w:rFonts w:ascii="黑体" w:hAnsi="黑体" w:eastAsia="黑体" w:cs="黑体"/>
          <w:sz w:val="27"/>
          <w:szCs w:val="27"/>
        </w:rPr>
      </w:pPr>
      <w:r>
        <w:rPr>
          <w:rFonts w:ascii="黑体" w:hAnsi="黑体" w:eastAsia="黑体" w:cs="黑体"/>
          <w:spacing w:val="2"/>
          <w:sz w:val="27"/>
          <w:szCs w:val="27"/>
        </w:rPr>
        <w:t>4.8</w:t>
      </w:r>
      <w:r>
        <w:rPr>
          <w:rFonts w:ascii="黑体" w:hAnsi="黑体" w:eastAsia="黑体" w:cs="黑体"/>
          <w:spacing w:val="24"/>
          <w:sz w:val="27"/>
          <w:szCs w:val="27"/>
        </w:rPr>
        <w:t xml:space="preserve">  </w:t>
      </w:r>
      <w:r>
        <w:rPr>
          <w:rFonts w:ascii="黑体" w:hAnsi="黑体" w:eastAsia="黑体" w:cs="黑体"/>
          <w:spacing w:val="2"/>
          <w:sz w:val="27"/>
          <w:szCs w:val="27"/>
        </w:rPr>
        <w:t>安全性</w:t>
      </w:r>
    </w:p>
    <w:p w14:paraId="2E3870C6">
      <w:pPr>
        <w:pStyle w:val="2"/>
        <w:spacing w:before="84" w:line="282" w:lineRule="auto"/>
        <w:ind w:right="83" w:firstLine="580"/>
      </w:pPr>
      <w:r>
        <w:rPr>
          <w:spacing w:val="-3"/>
        </w:rPr>
        <w:t>系统设计应反映出人员安全因素，其中包括操作和维修系统时，尤其是在警</w:t>
      </w:r>
      <w:r>
        <w:rPr>
          <w:spacing w:val="9"/>
        </w:rPr>
        <w:t xml:space="preserve"> </w:t>
      </w:r>
      <w:r>
        <w:t>戒、战备或其他紧急或非常条件下可能发生的人为误差减至最低限度。</w:t>
      </w:r>
    </w:p>
    <w:p w14:paraId="4DBC2925">
      <w:pPr>
        <w:spacing w:before="4" w:line="223" w:lineRule="auto"/>
        <w:rPr>
          <w:rFonts w:ascii="黑体" w:hAnsi="黑体" w:eastAsia="黑体" w:cs="黑体"/>
          <w:sz w:val="25"/>
          <w:szCs w:val="25"/>
        </w:rPr>
      </w:pPr>
      <w:r>
        <w:rPr>
          <w:rFonts w:ascii="黑体" w:hAnsi="黑体" w:eastAsia="黑体" w:cs="黑体"/>
          <w:spacing w:val="13"/>
          <w:sz w:val="25"/>
          <w:szCs w:val="25"/>
        </w:rPr>
        <w:t>4.9</w:t>
      </w:r>
      <w:r>
        <w:rPr>
          <w:rFonts w:ascii="黑体" w:hAnsi="黑体" w:eastAsia="黑体" w:cs="黑体"/>
          <w:spacing w:val="45"/>
          <w:sz w:val="25"/>
          <w:szCs w:val="25"/>
        </w:rPr>
        <w:t xml:space="preserve">  </w:t>
      </w:r>
      <w:r>
        <w:rPr>
          <w:rFonts w:ascii="黑体" w:hAnsi="黑体" w:eastAsia="黑体" w:cs="黑体"/>
          <w:spacing w:val="13"/>
          <w:sz w:val="25"/>
          <w:szCs w:val="25"/>
        </w:rPr>
        <w:t>坚固性</w:t>
      </w:r>
    </w:p>
    <w:p w14:paraId="563B94D7">
      <w:pPr>
        <w:pStyle w:val="2"/>
        <w:spacing w:before="86" w:line="302" w:lineRule="auto"/>
        <w:ind w:right="78" w:firstLine="580"/>
        <w:rPr>
          <w:rFonts w:ascii="仿宋" w:hAnsi="仿宋" w:eastAsia="仿宋" w:cs="仿宋"/>
          <w:sz w:val="25"/>
          <w:szCs w:val="25"/>
        </w:rPr>
      </w:pPr>
      <w:r>
        <w:rPr>
          <w:spacing w:val="26"/>
          <w:sz w:val="25"/>
          <w:szCs w:val="25"/>
        </w:rPr>
        <w:t>系统与装备应足够的坚固，以便承受实战中在适用硬件或</w:t>
      </w:r>
      <w:r>
        <w:rPr>
          <w:spacing w:val="25"/>
          <w:sz w:val="25"/>
          <w:szCs w:val="25"/>
        </w:rPr>
        <w:t>系统规范中规定</w:t>
      </w:r>
      <w:r>
        <w:rPr>
          <w:sz w:val="25"/>
          <w:szCs w:val="25"/>
        </w:rPr>
        <w:t xml:space="preserve"> </w:t>
      </w:r>
      <w:r>
        <w:rPr>
          <w:spacing w:val="10"/>
          <w:sz w:val="25"/>
          <w:szCs w:val="25"/>
        </w:rPr>
        <w:t>的环境条件下对系统的操作、维修</w:t>
      </w:r>
      <w:r>
        <w:rPr>
          <w:rFonts w:ascii="仿宋" w:hAnsi="仿宋" w:eastAsia="仿宋" w:cs="仿宋"/>
          <w:spacing w:val="10"/>
          <w:sz w:val="25"/>
          <w:szCs w:val="25"/>
        </w:rPr>
        <w:t>、补给及运输。</w:t>
      </w:r>
    </w:p>
    <w:p w14:paraId="2D1F9944">
      <w:pPr>
        <w:spacing w:before="1" w:line="220" w:lineRule="auto"/>
        <w:rPr>
          <w:rFonts w:ascii="黑体" w:hAnsi="黑体" w:eastAsia="黑体" w:cs="黑体"/>
          <w:sz w:val="24"/>
          <w:szCs w:val="24"/>
        </w:rPr>
      </w:pPr>
      <w:r>
        <w:rPr>
          <w:rFonts w:ascii="黑体" w:hAnsi="黑体" w:eastAsia="黑体" w:cs="黑体"/>
          <w:spacing w:val="8"/>
          <w:sz w:val="24"/>
          <w:szCs w:val="24"/>
        </w:rPr>
        <w:t>4.10   核、生物、化学环境耐受性</w:t>
      </w:r>
    </w:p>
    <w:p w14:paraId="0CD49FA5">
      <w:pPr>
        <w:pStyle w:val="2"/>
        <w:spacing w:before="74" w:line="277" w:lineRule="auto"/>
        <w:ind w:right="85" w:firstLine="580"/>
        <w:jc w:val="both"/>
      </w:pPr>
      <w:r>
        <w:rPr>
          <w:spacing w:val="-11"/>
        </w:rPr>
        <w:t>在适用情况下，装备的设计应与核、生物、化学的防护措施相兼容，允许合理</w:t>
      </w:r>
      <w:r>
        <w:rPr>
          <w:spacing w:val="12"/>
        </w:rPr>
        <w:t xml:space="preserve"> </w:t>
      </w:r>
      <w:r>
        <w:rPr>
          <w:spacing w:val="-3"/>
        </w:rPr>
        <w:t>着装，受过良好训练并适应此类工作条件的人员在系统要求的核、生物、化学污</w:t>
      </w:r>
      <w:r>
        <w:rPr>
          <w:spacing w:val="17"/>
        </w:rPr>
        <w:t xml:space="preserve"> </w:t>
      </w:r>
      <w:r>
        <w:rPr>
          <w:spacing w:val="-10"/>
        </w:rPr>
        <w:t>染的环境中执行关键的操作、通信、</w:t>
      </w:r>
      <w:r>
        <w:rPr>
          <w:rFonts w:ascii="仿宋" w:hAnsi="仿宋" w:eastAsia="仿宋" w:cs="仿宋"/>
          <w:spacing w:val="-10"/>
        </w:rPr>
        <w:t>维修、</w:t>
      </w:r>
      <w:r>
        <w:rPr>
          <w:spacing w:val="-10"/>
        </w:rPr>
        <w:t>再补给和清除污染等项任务。同时，设</w:t>
      </w:r>
      <w:r>
        <w:rPr>
          <w:spacing w:val="1"/>
        </w:rPr>
        <w:t xml:space="preserve"> </w:t>
      </w:r>
      <w:r>
        <w:rPr>
          <w:spacing w:val="-3"/>
        </w:rPr>
        <w:t>备的设计应便于对系统防核、生物、化学污染能力的监测，并把由于维修作业或</w:t>
      </w:r>
      <w:r>
        <w:rPr>
          <w:spacing w:val="16"/>
        </w:rPr>
        <w:t xml:space="preserve"> </w:t>
      </w:r>
      <w:r>
        <w:rPr>
          <w:spacing w:val="5"/>
        </w:rPr>
        <w:t>操作者的失误或损害引起系统防核、生物、化学能力下降的可能性减至最低限</w:t>
      </w:r>
      <w:r>
        <w:rPr>
          <w:spacing w:val="13"/>
        </w:rPr>
        <w:t xml:space="preserve"> </w:t>
      </w:r>
      <w:r>
        <w:rPr>
          <w:spacing w:val="-28"/>
        </w:rPr>
        <w:t>度，即：</w:t>
      </w:r>
    </w:p>
    <w:p w14:paraId="365786A7">
      <w:pPr>
        <w:pStyle w:val="2"/>
        <w:spacing w:before="1" w:line="260" w:lineRule="auto"/>
        <w:ind w:right="74" w:firstLine="580"/>
      </w:pPr>
      <w:r>
        <w:rPr>
          <w:rFonts w:ascii="Times New Roman" w:hAnsi="Times New Roman" w:eastAsia="Times New Roman" w:cs="Times New Roman"/>
          <w:spacing w:val="3"/>
        </w:rPr>
        <w:t xml:space="preserve">a)  </w:t>
      </w:r>
      <w:r>
        <w:rPr>
          <w:spacing w:val="3"/>
        </w:rPr>
        <w:t>维修者在维修作业前后，应能方便地测定系统的核、生物、化学的防护</w:t>
      </w:r>
      <w:r>
        <w:rPr>
          <w:spacing w:val="9"/>
        </w:rPr>
        <w:t xml:space="preserve"> </w:t>
      </w:r>
      <w:r>
        <w:rPr>
          <w:spacing w:val="-6"/>
        </w:rPr>
        <w:t>能力；</w:t>
      </w:r>
    </w:p>
    <w:p w14:paraId="5DAB42F3">
      <w:pPr>
        <w:pStyle w:val="2"/>
        <w:spacing w:before="70" w:line="268" w:lineRule="auto"/>
        <w:ind w:right="81" w:firstLine="580"/>
        <w:rPr>
          <w:sz w:val="25"/>
          <w:szCs w:val="25"/>
        </w:rPr>
      </w:pPr>
      <w:r>
        <w:rPr>
          <w:rFonts w:ascii="Times New Roman" w:hAnsi="Times New Roman" w:eastAsia="Times New Roman" w:cs="Times New Roman"/>
          <w:spacing w:val="11"/>
          <w:sz w:val="25"/>
          <w:szCs w:val="25"/>
        </w:rPr>
        <w:t xml:space="preserve">b)   </w:t>
      </w:r>
      <w:r>
        <w:rPr>
          <w:spacing w:val="11"/>
          <w:sz w:val="25"/>
          <w:szCs w:val="25"/>
        </w:rPr>
        <w:t>日常性(常规的)或修正性(非常规的)维修作业，不应引起核、生物、</w:t>
      </w:r>
      <w:r>
        <w:rPr>
          <w:spacing w:val="10"/>
          <w:sz w:val="25"/>
          <w:szCs w:val="25"/>
        </w:rPr>
        <w:t>化学</w:t>
      </w:r>
      <w:r>
        <w:rPr>
          <w:sz w:val="25"/>
          <w:szCs w:val="25"/>
        </w:rPr>
        <w:t xml:space="preserve"> </w:t>
      </w:r>
      <w:r>
        <w:rPr>
          <w:spacing w:val="19"/>
          <w:sz w:val="25"/>
          <w:szCs w:val="25"/>
        </w:rPr>
        <w:t>的防护能力的下降；</w:t>
      </w:r>
    </w:p>
    <w:p w14:paraId="71FB5BCA">
      <w:pPr>
        <w:pStyle w:val="2"/>
        <w:spacing w:before="74" w:line="260" w:lineRule="auto"/>
        <w:ind w:right="82" w:firstLine="580"/>
      </w:pPr>
      <w:r>
        <w:rPr>
          <w:rFonts w:ascii="Times New Roman" w:hAnsi="Times New Roman" w:eastAsia="Times New Roman" w:cs="Times New Roman"/>
          <w:spacing w:val="-5"/>
        </w:rPr>
        <w:t xml:space="preserve">c)  </w:t>
      </w:r>
      <w:r>
        <w:rPr>
          <w:spacing w:val="-5"/>
        </w:rPr>
        <w:t>设备原有核、生物、化学的防护能力的保持，不应依赖于维修者的技术水</w:t>
      </w:r>
      <w:r>
        <w:rPr>
          <w:spacing w:val="16"/>
        </w:rPr>
        <w:t xml:space="preserve"> </w:t>
      </w:r>
      <w:r>
        <w:rPr>
          <w:spacing w:val="2"/>
        </w:rPr>
        <w:t>平及关键性的调整与维修操作。</w:t>
      </w:r>
    </w:p>
    <w:p w14:paraId="0648FE72">
      <w:pPr>
        <w:spacing w:before="57" w:line="221" w:lineRule="auto"/>
        <w:rPr>
          <w:rFonts w:ascii="黑体" w:hAnsi="黑体" w:eastAsia="黑体" w:cs="黑体"/>
          <w:sz w:val="27"/>
          <w:szCs w:val="27"/>
        </w:rPr>
      </w:pPr>
      <w:r>
        <w:rPr>
          <w:rFonts w:ascii="黑体" w:hAnsi="黑体" w:eastAsia="黑体" w:cs="黑体"/>
          <w:spacing w:val="1"/>
          <w:sz w:val="27"/>
          <w:szCs w:val="27"/>
        </w:rPr>
        <w:t>4.11</w:t>
      </w:r>
      <w:r>
        <w:rPr>
          <w:rFonts w:ascii="黑体" w:hAnsi="黑体" w:eastAsia="黑体" w:cs="黑体"/>
          <w:spacing w:val="39"/>
          <w:sz w:val="27"/>
          <w:szCs w:val="27"/>
        </w:rPr>
        <w:t xml:space="preserve">  </w:t>
      </w:r>
      <w:r>
        <w:rPr>
          <w:rFonts w:ascii="黑体" w:hAnsi="黑体" w:eastAsia="黑体" w:cs="黑体"/>
          <w:spacing w:val="1"/>
          <w:sz w:val="27"/>
          <w:szCs w:val="27"/>
        </w:rPr>
        <w:t>核电磁脉冲防护设计</w:t>
      </w:r>
    </w:p>
    <w:p w14:paraId="4E563021">
      <w:pPr>
        <w:pStyle w:val="2"/>
        <w:spacing w:before="116" w:line="273" w:lineRule="auto"/>
        <w:ind w:firstLine="580"/>
        <w:jc w:val="both"/>
      </w:pPr>
      <w:r>
        <w:rPr>
          <w:spacing w:val="-3"/>
        </w:rPr>
        <w:t>在适用情况下，设备的设计应与核电磁脉冲的防护要求相兼容，包括对核电</w:t>
      </w:r>
      <w:r>
        <w:rPr>
          <w:spacing w:val="13"/>
        </w:rPr>
        <w:t xml:space="preserve"> </w:t>
      </w:r>
      <w:r>
        <w:rPr>
          <w:spacing w:val="5"/>
        </w:rPr>
        <w:t>磁脉冲防护的设施或空间中的个人设施(如电源引出线和天线引入线)也要进行</w:t>
      </w:r>
      <w:r>
        <w:rPr>
          <w:spacing w:val="3"/>
        </w:rPr>
        <w:t xml:space="preserve">  </w:t>
      </w:r>
      <w:r>
        <w:rPr>
          <w:spacing w:val="1"/>
        </w:rPr>
        <w:t>核电磁脉冲防护。如果门或舱盖构成电磁屏障的一部分，则应提供一部分通</w:t>
      </w:r>
      <w:r>
        <w:t xml:space="preserve">道， </w:t>
      </w:r>
      <w:r>
        <w:rPr>
          <w:spacing w:val="5"/>
        </w:rPr>
        <w:t xml:space="preserve">使得进出时不必打开门或舱盖。像电涌放电器、终端保护装置和滤波器等构成  </w:t>
      </w:r>
      <w:r>
        <w:rPr>
          <w:spacing w:val="-6"/>
        </w:rPr>
        <w:t>电磁屏障的设备，应是可达的。</w:t>
      </w:r>
    </w:p>
    <w:p w14:paraId="0EC94351">
      <w:pPr>
        <w:spacing w:before="11" w:line="222" w:lineRule="auto"/>
        <w:rPr>
          <w:rFonts w:ascii="黑体" w:hAnsi="黑体" w:eastAsia="黑体" w:cs="黑体"/>
          <w:sz w:val="27"/>
          <w:szCs w:val="27"/>
        </w:rPr>
      </w:pPr>
      <w:r>
        <w:rPr>
          <w:rFonts w:ascii="Arial" w:hAnsi="Arial" w:eastAsia="Arial" w:cs="Arial"/>
          <w:b/>
          <w:bCs/>
          <w:spacing w:val="-2"/>
          <w:sz w:val="27"/>
          <w:szCs w:val="27"/>
        </w:rPr>
        <w:t>5</w:t>
      </w:r>
      <w:r>
        <w:rPr>
          <w:rFonts w:ascii="Arial" w:hAnsi="Arial" w:eastAsia="Arial" w:cs="Arial"/>
          <w:b/>
          <w:bCs/>
          <w:spacing w:val="6"/>
          <w:sz w:val="27"/>
          <w:szCs w:val="27"/>
        </w:rPr>
        <w:t xml:space="preserve">    </w:t>
      </w:r>
      <w:r>
        <w:rPr>
          <w:rFonts w:ascii="黑体" w:hAnsi="黑体" w:eastAsia="黑体" w:cs="黑体"/>
          <w:b/>
          <w:bCs/>
          <w:spacing w:val="-2"/>
          <w:sz w:val="27"/>
          <w:szCs w:val="27"/>
        </w:rPr>
        <w:t>详细设计要求</w:t>
      </w:r>
    </w:p>
    <w:p w14:paraId="198DD5D3">
      <w:pPr>
        <w:spacing w:before="76" w:line="327" w:lineRule="exact"/>
        <w:rPr>
          <w:rFonts w:ascii="黑体" w:hAnsi="黑体" w:eastAsia="黑体" w:cs="黑体"/>
          <w:sz w:val="24"/>
          <w:szCs w:val="24"/>
        </w:rPr>
      </w:pPr>
      <w:r>
        <w:rPr>
          <w:rFonts w:ascii="Arial" w:hAnsi="Arial" w:eastAsia="Arial" w:cs="Arial"/>
          <w:spacing w:val="18"/>
          <w:position w:val="1"/>
          <w:sz w:val="24"/>
          <w:szCs w:val="24"/>
        </w:rPr>
        <w:t>5.X</w:t>
      </w:r>
      <w:r>
        <w:rPr>
          <w:rFonts w:ascii="Arial" w:hAnsi="Arial" w:eastAsia="Arial" w:cs="Arial"/>
          <w:spacing w:val="3"/>
          <w:position w:val="1"/>
          <w:sz w:val="24"/>
          <w:szCs w:val="24"/>
        </w:rPr>
        <w:t xml:space="preserve">      </w:t>
      </w:r>
      <w:r>
        <w:rPr>
          <w:rFonts w:ascii="黑体" w:hAnsi="黑体" w:eastAsia="黑体" w:cs="黑体"/>
          <w:spacing w:val="18"/>
          <w:position w:val="1"/>
          <w:sz w:val="24"/>
          <w:szCs w:val="24"/>
        </w:rPr>
        <w:t>( 第</w:t>
      </w:r>
      <w:r>
        <w:rPr>
          <w:rFonts w:ascii="Arial" w:hAnsi="Arial" w:eastAsia="Arial" w:cs="Arial"/>
          <w:spacing w:val="18"/>
          <w:position w:val="1"/>
          <w:sz w:val="24"/>
          <w:szCs w:val="24"/>
        </w:rPr>
        <w:t>X</w:t>
      </w:r>
      <w:r>
        <w:rPr>
          <w:rFonts w:ascii="Arial" w:hAnsi="Arial" w:eastAsia="Arial" w:cs="Arial"/>
          <w:spacing w:val="39"/>
          <w:position w:val="1"/>
          <w:sz w:val="24"/>
          <w:szCs w:val="24"/>
        </w:rPr>
        <w:t xml:space="preserve"> </w:t>
      </w:r>
      <w:r>
        <w:rPr>
          <w:rFonts w:ascii="黑体" w:hAnsi="黑体" w:eastAsia="黑体" w:cs="黑体"/>
          <w:spacing w:val="18"/>
          <w:position w:val="1"/>
          <w:sz w:val="24"/>
          <w:szCs w:val="24"/>
        </w:rPr>
        <w:t>部分)详细设计要求</w:t>
      </w:r>
    </w:p>
    <w:p w14:paraId="7642D8D6">
      <w:pPr>
        <w:pStyle w:val="2"/>
        <w:spacing w:before="119" w:line="279" w:lineRule="auto"/>
        <w:ind w:firstLine="580"/>
        <w:jc w:val="both"/>
      </w:pPr>
      <w:r>
        <w:rPr>
          <w:spacing w:val="9"/>
        </w:rPr>
        <w:t>按照</w:t>
      </w:r>
      <w:r>
        <w:rPr>
          <w:rFonts w:ascii="Times New Roman" w:hAnsi="Times New Roman" w:eastAsia="Times New Roman" w:cs="Times New Roman"/>
        </w:rPr>
        <w:t>GJB</w:t>
      </w:r>
      <w:r>
        <w:rPr>
          <w:rFonts w:ascii="Times New Roman" w:hAnsi="Times New Roman" w:eastAsia="Times New Roman" w:cs="Times New Roman"/>
          <w:spacing w:val="9"/>
        </w:rPr>
        <w:t xml:space="preserve"> 2873—1997</w:t>
      </w:r>
      <w:r>
        <w:rPr>
          <w:spacing w:val="9"/>
        </w:rPr>
        <w:t>《军事装备和设施的人机工程设计准则》第5章</w:t>
      </w:r>
      <w:r>
        <w:rPr>
          <w:spacing w:val="8"/>
        </w:rPr>
        <w:t>详细</w:t>
      </w:r>
      <w:r>
        <w:t xml:space="preserve"> </w:t>
      </w:r>
      <w:r>
        <w:rPr>
          <w:spacing w:val="4"/>
        </w:rPr>
        <w:t>要求，</w:t>
      </w:r>
      <w:r>
        <w:rPr>
          <w:rFonts w:ascii="Times New Roman" w:hAnsi="Times New Roman" w:eastAsia="Times New Roman" w:cs="Times New Roman"/>
        </w:rPr>
        <w:t>GJB</w:t>
      </w:r>
      <w:r>
        <w:rPr>
          <w:rFonts w:ascii="Times New Roman" w:hAnsi="Times New Roman" w:eastAsia="Times New Roman" w:cs="Times New Roman"/>
          <w:spacing w:val="4"/>
        </w:rPr>
        <w:t>/Z</w:t>
      </w:r>
      <w:r>
        <w:rPr>
          <w:rFonts w:ascii="Times New Roman" w:hAnsi="Times New Roman" w:eastAsia="Times New Roman" w:cs="Times New Roman"/>
          <w:spacing w:val="66"/>
        </w:rPr>
        <w:t xml:space="preserve"> </w:t>
      </w:r>
      <w:r>
        <w:rPr>
          <w:rFonts w:ascii="Times New Roman" w:hAnsi="Times New Roman" w:eastAsia="Times New Roman" w:cs="Times New Roman"/>
          <w:spacing w:val="4"/>
        </w:rPr>
        <w:t>131—2002</w:t>
      </w:r>
      <w:r>
        <w:rPr>
          <w:spacing w:val="4"/>
        </w:rPr>
        <w:t>《军事装备和设施的人机工程设计</w:t>
      </w:r>
      <w:r>
        <w:rPr>
          <w:spacing w:val="3"/>
        </w:rPr>
        <w:t>手册》第5章详细要</w:t>
      </w:r>
      <w:r>
        <w:t xml:space="preserve">  </w:t>
      </w:r>
      <w:r>
        <w:rPr>
          <w:spacing w:val="-10"/>
        </w:rPr>
        <w:t>求，对军事装备和设施的控制器/显示器综合、视觉显示器、听觉显示器、控制器、</w:t>
      </w:r>
      <w:r>
        <w:t xml:space="preserve"> </w:t>
      </w:r>
      <w:r>
        <w:rPr>
          <w:spacing w:val="-17"/>
        </w:rPr>
        <w:t>标记、人体测量、工作空间设计、环境、为维修者的设计、遥控操作设备设计、小系</w:t>
      </w:r>
      <w:r>
        <w:rPr>
          <w:spacing w:val="11"/>
        </w:rPr>
        <w:t xml:space="preserve"> </w:t>
      </w:r>
      <w:r>
        <w:rPr>
          <w:spacing w:val="-7"/>
        </w:rPr>
        <w:t>统和设备、地面与水上车辆、危险与安全、航空航天器座舱、用户一计算机界面、</w:t>
      </w:r>
    </w:p>
    <w:p w14:paraId="7DD8F0CE">
      <w:pPr>
        <w:spacing w:line="279" w:lineRule="auto"/>
        <w:sectPr>
          <w:footerReference r:id="rId636" w:type="default"/>
          <w:pgSz w:w="11910" w:h="17130"/>
          <w:pgMar w:top="1456" w:right="1184" w:bottom="1650" w:left="1239" w:header="0" w:footer="1442" w:gutter="0"/>
          <w:cols w:space="720" w:num="1"/>
        </w:sectPr>
      </w:pPr>
    </w:p>
    <w:p w14:paraId="7ABF7216">
      <w:pPr>
        <w:pStyle w:val="2"/>
        <w:spacing w:before="142" w:line="219" w:lineRule="auto"/>
        <w:rPr>
          <w:sz w:val="25"/>
          <w:szCs w:val="25"/>
        </w:rPr>
      </w:pPr>
      <w:r>
        <w:rPr>
          <w:spacing w:val="13"/>
          <w:sz w:val="25"/>
          <w:szCs w:val="25"/>
        </w:rPr>
        <w:t>视觉显示终端、武器系统，编写人机工程详细设计要求。</w:t>
      </w:r>
    </w:p>
    <w:p w14:paraId="04264219">
      <w:pPr>
        <w:spacing w:line="293" w:lineRule="auto"/>
        <w:rPr>
          <w:rFonts w:ascii="Arial"/>
          <w:sz w:val="21"/>
        </w:rPr>
      </w:pPr>
    </w:p>
    <w:p w14:paraId="1E01ADDF">
      <w:pPr>
        <w:pStyle w:val="2"/>
        <w:spacing w:before="117" w:line="219" w:lineRule="auto"/>
        <w:ind w:left="2679"/>
        <w:rPr>
          <w:sz w:val="36"/>
          <w:szCs w:val="36"/>
        </w:rPr>
      </w:pPr>
      <w:r>
        <w:rPr>
          <w:sz w:val="36"/>
          <w:szCs w:val="36"/>
        </w:rPr>
        <w:t>14.</w:t>
      </w:r>
      <w:r>
        <w:rPr>
          <w:b/>
          <w:bCs/>
          <w:sz w:val="36"/>
          <w:szCs w:val="36"/>
        </w:rPr>
        <w:t>3</w:t>
      </w:r>
      <w:r>
        <w:rPr>
          <w:spacing w:val="23"/>
          <w:sz w:val="36"/>
          <w:szCs w:val="36"/>
        </w:rPr>
        <w:t xml:space="preserve">  </w:t>
      </w:r>
      <w:r>
        <w:rPr>
          <w:b/>
          <w:bCs/>
          <w:sz w:val="36"/>
          <w:szCs w:val="36"/>
        </w:rPr>
        <w:t>人机工程方案计划</w:t>
      </w:r>
    </w:p>
    <w:p w14:paraId="5784F19B">
      <w:pPr>
        <w:spacing w:line="350" w:lineRule="auto"/>
        <w:rPr>
          <w:rFonts w:ascii="Arial"/>
          <w:sz w:val="21"/>
        </w:rPr>
      </w:pPr>
    </w:p>
    <w:p w14:paraId="30EF838C">
      <w:pPr>
        <w:pStyle w:val="2"/>
        <w:spacing w:before="91" w:line="225" w:lineRule="auto"/>
        <w:ind w:left="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GJB/Z</w:t>
      </w:r>
      <w:r>
        <w:rPr>
          <w:rFonts w:ascii="Times New Roman" w:hAnsi="Times New Roman" w:eastAsia="Times New Roman" w:cs="Times New Roman"/>
          <w:spacing w:val="30"/>
          <w:sz w:val="28"/>
          <w:szCs w:val="28"/>
        </w:rPr>
        <w:t xml:space="preserve"> </w:t>
      </w:r>
      <w:r>
        <w:rPr>
          <w:rFonts w:ascii="Times New Roman" w:hAnsi="Times New Roman" w:eastAsia="Times New Roman" w:cs="Times New Roman"/>
          <w:spacing w:val="-10"/>
          <w:sz w:val="28"/>
          <w:szCs w:val="28"/>
        </w:rPr>
        <w:t>134—2002</w:t>
      </w:r>
      <w:r>
        <w:rPr>
          <w:spacing w:val="-10"/>
          <w:sz w:val="28"/>
          <w:szCs w:val="28"/>
        </w:rPr>
        <w:t>《</w:t>
      </w:r>
      <w:r>
        <w:rPr>
          <w:rFonts w:ascii="楷体" w:hAnsi="楷体" w:eastAsia="楷体" w:cs="楷体"/>
          <w:spacing w:val="-10"/>
          <w:sz w:val="28"/>
          <w:szCs w:val="28"/>
        </w:rPr>
        <w:t>人机工程实施程序指南》附录</w:t>
      </w:r>
      <w:r>
        <w:rPr>
          <w:rFonts w:ascii="楷体" w:hAnsi="楷体" w:eastAsia="楷体" w:cs="楷体"/>
          <w:spacing w:val="-78"/>
          <w:sz w:val="28"/>
          <w:szCs w:val="28"/>
        </w:rPr>
        <w:t xml:space="preserve"> </w:t>
      </w:r>
      <w:r>
        <w:rPr>
          <w:rFonts w:ascii="Times New Roman" w:hAnsi="Times New Roman" w:eastAsia="Times New Roman" w:cs="Times New Roman"/>
          <w:spacing w:val="-10"/>
          <w:sz w:val="28"/>
          <w:szCs w:val="28"/>
        </w:rPr>
        <w:t>B</w:t>
      </w:r>
      <w:r>
        <w:rPr>
          <w:rFonts w:ascii="Times New Roman" w:hAnsi="Times New Roman" w:eastAsia="Times New Roman" w:cs="Times New Roman"/>
          <w:spacing w:val="39"/>
          <w:sz w:val="28"/>
          <w:szCs w:val="28"/>
        </w:rPr>
        <w:t xml:space="preserve"> </w:t>
      </w:r>
      <w:r>
        <w:rPr>
          <w:rFonts w:ascii="楷体" w:hAnsi="楷体" w:eastAsia="楷体" w:cs="楷体"/>
          <w:spacing w:val="-10"/>
          <w:sz w:val="28"/>
          <w:szCs w:val="28"/>
        </w:rPr>
        <w:t>编写。</w:t>
      </w:r>
    </w:p>
    <w:p w14:paraId="62B4338D">
      <w:pPr>
        <w:spacing w:before="97"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40"/>
          <w:sz w:val="25"/>
          <w:szCs w:val="25"/>
        </w:rPr>
        <w:t xml:space="preserve">  </w:t>
      </w:r>
      <w:r>
        <w:rPr>
          <w:rFonts w:ascii="黑体" w:hAnsi="黑体" w:eastAsia="黑体" w:cs="黑体"/>
          <w:b/>
          <w:bCs/>
          <w:spacing w:val="3"/>
          <w:sz w:val="25"/>
          <w:szCs w:val="25"/>
        </w:rPr>
        <w:t>范围</w:t>
      </w:r>
    </w:p>
    <w:p w14:paraId="2087189C">
      <w:pPr>
        <w:pStyle w:val="2"/>
        <w:spacing w:before="71" w:line="277" w:lineRule="auto"/>
        <w:ind w:right="101" w:firstLine="570"/>
        <w:jc w:val="both"/>
      </w:pPr>
      <w:r>
        <w:rPr>
          <w:spacing w:val="6"/>
        </w:rPr>
        <w:t>说明人机工程方案计划的主题内容和适用范围。明确承制方应承担或应完</w:t>
      </w:r>
      <w:r>
        <w:t xml:space="preserve"> </w:t>
      </w:r>
      <w:r>
        <w:rPr>
          <w:spacing w:val="6"/>
        </w:rPr>
        <w:t>成的人机工程项目范围，包括相关人机工程标准中规定的任务及合同</w:t>
      </w:r>
      <w:r>
        <w:rPr>
          <w:spacing w:val="5"/>
        </w:rPr>
        <w:t>规定要交</w:t>
      </w:r>
      <w:r>
        <w:t xml:space="preserve"> </w:t>
      </w:r>
      <w:r>
        <w:rPr>
          <w:spacing w:val="-1"/>
        </w:rPr>
        <w:t>付的项目等。</w:t>
      </w:r>
    </w:p>
    <w:p w14:paraId="183AA874">
      <w:pPr>
        <w:spacing w:before="1" w:line="221" w:lineRule="auto"/>
        <w:outlineLvl w:val="3"/>
        <w:rPr>
          <w:rFonts w:ascii="黑体" w:hAnsi="黑体" w:eastAsia="黑体" w:cs="黑体"/>
          <w:sz w:val="27"/>
          <w:szCs w:val="27"/>
        </w:rPr>
      </w:pPr>
      <w:r>
        <w:rPr>
          <w:rFonts w:ascii="Arial" w:hAnsi="Arial" w:eastAsia="Arial" w:cs="Arial"/>
          <w:b/>
          <w:bCs/>
          <w:spacing w:val="-1"/>
          <w:sz w:val="27"/>
          <w:szCs w:val="27"/>
        </w:rPr>
        <w:t>2</w:t>
      </w:r>
      <w:r>
        <w:rPr>
          <w:rFonts w:ascii="Arial" w:hAnsi="Arial" w:eastAsia="Arial" w:cs="Arial"/>
          <w:b/>
          <w:bCs/>
          <w:spacing w:val="22"/>
          <w:sz w:val="27"/>
          <w:szCs w:val="27"/>
        </w:rPr>
        <w:t xml:space="preserve">   </w:t>
      </w:r>
      <w:r>
        <w:rPr>
          <w:rFonts w:ascii="黑体" w:hAnsi="黑体" w:eastAsia="黑体" w:cs="黑体"/>
          <w:b/>
          <w:bCs/>
          <w:spacing w:val="-1"/>
          <w:sz w:val="27"/>
          <w:szCs w:val="27"/>
        </w:rPr>
        <w:t>引用文件</w:t>
      </w:r>
    </w:p>
    <w:p w14:paraId="69BAE233">
      <w:pPr>
        <w:pStyle w:val="2"/>
        <w:spacing w:before="79" w:line="219" w:lineRule="auto"/>
        <w:ind w:left="570"/>
      </w:pPr>
      <w:r>
        <w:rPr>
          <w:spacing w:val="3"/>
        </w:rPr>
        <w:t>列出人机工程方案计划引用的文件。</w:t>
      </w:r>
    </w:p>
    <w:p w14:paraId="4CDD0DE1">
      <w:pPr>
        <w:spacing w:before="125" w:line="221" w:lineRule="auto"/>
        <w:rPr>
          <w:rFonts w:ascii="黑体" w:hAnsi="黑体" w:eastAsia="黑体" w:cs="黑体"/>
          <w:sz w:val="24"/>
          <w:szCs w:val="24"/>
        </w:rPr>
      </w:pPr>
      <w:r>
        <w:rPr>
          <w:rFonts w:ascii="黑体" w:hAnsi="黑体" w:eastAsia="黑体" w:cs="黑体"/>
          <w:spacing w:val="26"/>
          <w:sz w:val="24"/>
          <w:szCs w:val="24"/>
        </w:rPr>
        <w:t>3</w:t>
      </w:r>
      <w:r>
        <w:rPr>
          <w:rFonts w:ascii="黑体" w:hAnsi="黑体" w:eastAsia="黑体" w:cs="黑体"/>
          <w:spacing w:val="43"/>
          <w:sz w:val="24"/>
          <w:szCs w:val="24"/>
        </w:rPr>
        <w:t xml:space="preserve">  </w:t>
      </w:r>
      <w:r>
        <w:rPr>
          <w:rFonts w:ascii="黑体" w:hAnsi="黑体" w:eastAsia="黑体" w:cs="黑体"/>
          <w:b/>
          <w:bCs/>
          <w:spacing w:val="26"/>
          <w:sz w:val="24"/>
          <w:szCs w:val="24"/>
        </w:rPr>
        <w:t>人机工程任务</w:t>
      </w:r>
    </w:p>
    <w:p w14:paraId="695594FE">
      <w:pPr>
        <w:spacing w:before="103" w:line="221" w:lineRule="auto"/>
        <w:rPr>
          <w:rFonts w:ascii="黑体" w:hAnsi="黑体" w:eastAsia="黑体" w:cs="黑体"/>
          <w:sz w:val="25"/>
          <w:szCs w:val="25"/>
        </w:rPr>
      </w:pPr>
      <w:r>
        <w:rPr>
          <w:rFonts w:ascii="黑体" w:hAnsi="黑体" w:eastAsia="黑体" w:cs="黑体"/>
          <w:spacing w:val="8"/>
          <w:sz w:val="25"/>
          <w:szCs w:val="25"/>
        </w:rPr>
        <w:t>3.1</w:t>
      </w:r>
      <w:r>
        <w:rPr>
          <w:rFonts w:ascii="黑体" w:hAnsi="黑体" w:eastAsia="黑体" w:cs="黑体"/>
          <w:spacing w:val="56"/>
          <w:sz w:val="25"/>
          <w:szCs w:val="25"/>
        </w:rPr>
        <w:t xml:space="preserve">  </w:t>
      </w:r>
      <w:r>
        <w:rPr>
          <w:rFonts w:ascii="黑体" w:hAnsi="黑体" w:eastAsia="黑体" w:cs="黑体"/>
          <w:b/>
          <w:bCs/>
          <w:spacing w:val="8"/>
          <w:sz w:val="25"/>
          <w:szCs w:val="25"/>
        </w:rPr>
        <w:t>系统分析</w:t>
      </w:r>
    </w:p>
    <w:p w14:paraId="45C9F2A6">
      <w:pPr>
        <w:pStyle w:val="2"/>
        <w:spacing w:before="84" w:line="282" w:lineRule="auto"/>
        <w:ind w:right="123" w:firstLine="570"/>
      </w:pPr>
      <w:r>
        <w:rPr>
          <w:spacing w:val="5"/>
        </w:rPr>
        <w:t>系统分析报告通常应在方案设计时或初步设计前拟定完成，但在特殊情况</w:t>
      </w:r>
      <w:r>
        <w:rPr>
          <w:spacing w:val="10"/>
        </w:rPr>
        <w:t xml:space="preserve"> </w:t>
      </w:r>
      <w:r>
        <w:rPr>
          <w:spacing w:val="4"/>
        </w:rPr>
        <w:t>下也可以推迟到详细技术设计时完成系统分析报告。</w:t>
      </w:r>
    </w:p>
    <w:p w14:paraId="6BE3E16F">
      <w:pPr>
        <w:pStyle w:val="2"/>
        <w:spacing w:before="10" w:line="273" w:lineRule="auto"/>
        <w:ind w:firstLine="570"/>
        <w:jc w:val="both"/>
      </w:pPr>
      <w:r>
        <w:rPr>
          <w:spacing w:val="9"/>
        </w:rPr>
        <w:t>系统分析应包含对满足系统目标所必须完成的系统基本任务的实施鉴别，</w:t>
      </w:r>
      <w:r>
        <w:rPr>
          <w:spacing w:val="6"/>
        </w:rPr>
        <w:t xml:space="preserve"> </w:t>
      </w:r>
      <w:r>
        <w:rPr>
          <w:spacing w:val="5"/>
        </w:rPr>
        <w:t xml:space="preserve">首先应确定执行相关任务所必须的条件，明确每项任务或作业功能出现的频率  </w:t>
      </w:r>
      <w:r>
        <w:rPr>
          <w:spacing w:val="-8"/>
        </w:rPr>
        <w:t>及要求的精度，然后决策哪些任务或功能最好是由人、设备、软件来完成。</w:t>
      </w:r>
    </w:p>
    <w:p w14:paraId="2AF114F0">
      <w:pPr>
        <w:pStyle w:val="2"/>
        <w:spacing w:line="278" w:lineRule="auto"/>
        <w:ind w:right="107" w:firstLine="570"/>
        <w:jc w:val="both"/>
      </w:pPr>
      <w:r>
        <w:rPr>
          <w:spacing w:val="6"/>
        </w:rPr>
        <w:t>如果系统分析工作的深度不够，可能会降低人机工程设计的</w:t>
      </w:r>
      <w:r>
        <w:rPr>
          <w:spacing w:val="5"/>
        </w:rPr>
        <w:t>实际效益。因</w:t>
      </w:r>
      <w:r>
        <w:t xml:space="preserve"> </w:t>
      </w:r>
      <w:r>
        <w:rPr>
          <w:spacing w:val="-2"/>
        </w:rPr>
        <w:t>而，系统分析报告应详细到一定程度，以保证能对促进或优化系统、设备或设施</w:t>
      </w:r>
      <w:r>
        <w:rPr>
          <w:spacing w:val="1"/>
        </w:rPr>
        <w:t xml:space="preserve"> </w:t>
      </w:r>
      <w:r>
        <w:rPr>
          <w:spacing w:val="2"/>
        </w:rPr>
        <w:t>的设计直接发挥作用。</w:t>
      </w:r>
    </w:p>
    <w:p w14:paraId="6710717D">
      <w:pPr>
        <w:pStyle w:val="2"/>
        <w:spacing w:before="1" w:line="270" w:lineRule="auto"/>
        <w:ind w:right="124" w:firstLine="570"/>
      </w:pPr>
      <w:r>
        <w:rPr>
          <w:spacing w:val="14"/>
        </w:rPr>
        <w:t>通常在发生下列情况之一时，应将系统分析研究工作或项目列入设计方</w:t>
      </w:r>
      <w:r>
        <w:rPr>
          <w:spacing w:val="5"/>
        </w:rPr>
        <w:t xml:space="preserve"> </w:t>
      </w:r>
      <w:r>
        <w:rPr>
          <w:spacing w:val="-6"/>
        </w:rPr>
        <w:t>案中：</w:t>
      </w:r>
    </w:p>
    <w:p w14:paraId="66605BEC">
      <w:pPr>
        <w:pStyle w:val="2"/>
        <w:spacing w:line="212" w:lineRule="auto"/>
        <w:ind w:left="570"/>
      </w:pPr>
      <w:r>
        <w:rPr>
          <w:rFonts w:ascii="Times New Roman" w:hAnsi="Times New Roman" w:eastAsia="Times New Roman" w:cs="Times New Roman"/>
          <w:spacing w:val="4"/>
        </w:rPr>
        <w:t>a)</w:t>
      </w:r>
      <w:r>
        <w:rPr>
          <w:rFonts w:ascii="Times New Roman" w:hAnsi="Times New Roman" w:eastAsia="Times New Roman" w:cs="Times New Roman"/>
          <w:spacing w:val="76"/>
          <w:w w:val="101"/>
        </w:rPr>
        <w:t xml:space="preserve"> </w:t>
      </w:r>
      <w:r>
        <w:rPr>
          <w:spacing w:val="4"/>
        </w:rPr>
        <w:t>合同规定或相关标准规范中有特别要求；</w:t>
      </w:r>
    </w:p>
    <w:p w14:paraId="7593FFFC">
      <w:pPr>
        <w:pStyle w:val="2"/>
        <w:spacing w:before="100" w:line="212" w:lineRule="auto"/>
        <w:ind w:left="570"/>
      </w:pPr>
      <w:r>
        <w:rPr>
          <w:rFonts w:ascii="Times New Roman" w:hAnsi="Times New Roman" w:eastAsia="Times New Roman" w:cs="Times New Roman"/>
          <w:spacing w:val="3"/>
        </w:rPr>
        <w:t>b)</w:t>
      </w:r>
      <w:r>
        <w:rPr>
          <w:rFonts w:ascii="Times New Roman" w:hAnsi="Times New Roman" w:eastAsia="Times New Roman" w:cs="Times New Roman"/>
          <w:spacing w:val="69"/>
        </w:rPr>
        <w:t xml:space="preserve"> </w:t>
      </w:r>
      <w:r>
        <w:rPr>
          <w:spacing w:val="3"/>
        </w:rPr>
        <w:t>引进了新型的复杂的装备；</w:t>
      </w:r>
    </w:p>
    <w:p w14:paraId="0FC07F48">
      <w:pPr>
        <w:pStyle w:val="2"/>
        <w:spacing w:before="100" w:line="253" w:lineRule="auto"/>
        <w:ind w:left="570" w:right="2400"/>
      </w:pPr>
      <w:r>
        <w:rPr>
          <w:rFonts w:ascii="Times New Roman" w:hAnsi="Times New Roman" w:eastAsia="Times New Roman" w:cs="Times New Roman"/>
          <w:spacing w:val="-1"/>
        </w:rPr>
        <w:t>c)</w:t>
      </w:r>
      <w:r>
        <w:rPr>
          <w:rFonts w:ascii="Times New Roman" w:hAnsi="Times New Roman" w:eastAsia="Times New Roman" w:cs="Times New Roman"/>
          <w:spacing w:val="71"/>
        </w:rPr>
        <w:t xml:space="preserve"> </w:t>
      </w:r>
      <w:r>
        <w:rPr>
          <w:spacing w:val="-1"/>
        </w:rPr>
        <w:t>现行装备的重大更新，显著改变了目前的人机关系。</w:t>
      </w:r>
      <w:r>
        <w:t xml:space="preserve"> </w:t>
      </w:r>
      <w:r>
        <w:rPr>
          <w:spacing w:val="2"/>
        </w:rPr>
        <w:t>一般应对下述三个方面进行说明：</w:t>
      </w:r>
    </w:p>
    <w:p w14:paraId="3EF3DA1D">
      <w:pPr>
        <w:pStyle w:val="2"/>
        <w:spacing w:before="60" w:line="212" w:lineRule="auto"/>
        <w:ind w:left="570"/>
      </w:pPr>
      <w:r>
        <w:rPr>
          <w:rFonts w:ascii="Times New Roman" w:hAnsi="Times New Roman" w:eastAsia="Times New Roman" w:cs="Times New Roman"/>
          <w:spacing w:val="4"/>
        </w:rPr>
        <w:t>a)</w:t>
      </w:r>
      <w:r>
        <w:rPr>
          <w:rFonts w:ascii="Times New Roman" w:hAnsi="Times New Roman" w:eastAsia="Times New Roman" w:cs="Times New Roman"/>
          <w:spacing w:val="74"/>
        </w:rPr>
        <w:t xml:space="preserve"> </w:t>
      </w:r>
      <w:r>
        <w:rPr>
          <w:spacing w:val="4"/>
        </w:rPr>
        <w:t>列出要进行系统分析的特殊装备及其要做系统分析的理由；</w:t>
      </w:r>
    </w:p>
    <w:p w14:paraId="34C2B21D">
      <w:pPr>
        <w:pStyle w:val="2"/>
        <w:spacing w:before="100" w:line="212" w:lineRule="auto"/>
        <w:ind w:left="570"/>
      </w:pPr>
      <w:r>
        <w:rPr>
          <w:rFonts w:ascii="Times New Roman" w:hAnsi="Times New Roman" w:eastAsia="Times New Roman" w:cs="Times New Roman"/>
          <w:spacing w:val="4"/>
        </w:rPr>
        <w:t xml:space="preserve">b)  </w:t>
      </w:r>
      <w:r>
        <w:rPr>
          <w:spacing w:val="4"/>
        </w:rPr>
        <w:t>系统分析应完成的详细层次与框架；</w:t>
      </w:r>
    </w:p>
    <w:p w14:paraId="6BC65209">
      <w:pPr>
        <w:pStyle w:val="2"/>
        <w:spacing w:before="100" w:line="212" w:lineRule="auto"/>
        <w:ind w:left="570"/>
      </w:pPr>
      <w:r>
        <w:rPr>
          <w:rFonts w:ascii="Times New Roman" w:hAnsi="Times New Roman" w:eastAsia="Times New Roman" w:cs="Times New Roman"/>
        </w:rPr>
        <w:t>c)</w:t>
      </w:r>
      <w:r>
        <w:rPr>
          <w:rFonts w:ascii="Times New Roman" w:hAnsi="Times New Roman" w:eastAsia="Times New Roman" w:cs="Times New Roman"/>
          <w:spacing w:val="76"/>
        </w:rPr>
        <w:t xml:space="preserve"> </w:t>
      </w:r>
      <w:r>
        <w:t>实施系统分析的方法学，包括进行系统分析所涉及的资料来源。</w:t>
      </w:r>
    </w:p>
    <w:p w14:paraId="087AF888">
      <w:pPr>
        <w:spacing w:before="114" w:line="221" w:lineRule="auto"/>
        <w:rPr>
          <w:rFonts w:ascii="黑体" w:hAnsi="黑体" w:eastAsia="黑体" w:cs="黑体"/>
          <w:sz w:val="27"/>
          <w:szCs w:val="27"/>
        </w:rPr>
      </w:pPr>
      <w:r>
        <w:rPr>
          <w:rFonts w:ascii="黑体" w:hAnsi="黑体" w:eastAsia="黑体" w:cs="黑体"/>
          <w:sz w:val="27"/>
          <w:szCs w:val="27"/>
        </w:rPr>
        <w:t>3.2</w:t>
      </w:r>
      <w:r>
        <w:rPr>
          <w:rFonts w:ascii="黑体" w:hAnsi="黑体" w:eastAsia="黑体" w:cs="黑体"/>
          <w:spacing w:val="34"/>
          <w:sz w:val="27"/>
          <w:szCs w:val="27"/>
        </w:rPr>
        <w:t xml:space="preserve">  </w:t>
      </w:r>
      <w:r>
        <w:rPr>
          <w:rFonts w:ascii="黑体" w:hAnsi="黑体" w:eastAsia="黑体" w:cs="黑体"/>
          <w:b/>
          <w:bCs/>
          <w:sz w:val="27"/>
          <w:szCs w:val="27"/>
        </w:rPr>
        <w:t>任务分析</w:t>
      </w:r>
    </w:p>
    <w:p w14:paraId="19515292">
      <w:pPr>
        <w:spacing w:before="86" w:line="221" w:lineRule="auto"/>
        <w:rPr>
          <w:rFonts w:ascii="黑体" w:hAnsi="黑体" w:eastAsia="黑体" w:cs="黑体"/>
          <w:sz w:val="27"/>
          <w:szCs w:val="27"/>
        </w:rPr>
      </w:pPr>
      <w:r>
        <w:rPr>
          <w:rFonts w:ascii="黑体" w:hAnsi="黑体" w:eastAsia="黑体" w:cs="黑体"/>
          <w:spacing w:val="-6"/>
          <w:sz w:val="27"/>
          <w:szCs w:val="27"/>
        </w:rPr>
        <w:t>3.2.1</w:t>
      </w:r>
      <w:r>
        <w:rPr>
          <w:rFonts w:ascii="黑体" w:hAnsi="黑体" w:eastAsia="黑体" w:cs="黑体"/>
          <w:spacing w:val="60"/>
          <w:sz w:val="27"/>
          <w:szCs w:val="27"/>
        </w:rPr>
        <w:t xml:space="preserve">  </w:t>
      </w:r>
      <w:r>
        <w:rPr>
          <w:rFonts w:ascii="黑体" w:hAnsi="黑体" w:eastAsia="黑体" w:cs="黑体"/>
          <w:b/>
          <w:bCs/>
          <w:spacing w:val="-6"/>
          <w:sz w:val="27"/>
          <w:szCs w:val="27"/>
        </w:rPr>
        <w:t>总任务分析</w:t>
      </w:r>
    </w:p>
    <w:p w14:paraId="3CC1D493">
      <w:pPr>
        <w:pStyle w:val="2"/>
        <w:spacing w:before="103" w:line="280" w:lineRule="auto"/>
        <w:ind w:right="121" w:firstLine="570"/>
      </w:pPr>
      <w:r>
        <w:rPr>
          <w:spacing w:val="-3"/>
        </w:rPr>
        <w:t>总任务分析一般应包括下列内容：评审要求人员参与的特殊任务，分析履行</w:t>
      </w:r>
      <w:r>
        <w:rPr>
          <w:spacing w:val="1"/>
        </w:rPr>
        <w:t xml:space="preserve"> </w:t>
      </w:r>
      <w:r>
        <w:rPr>
          <w:spacing w:val="-2"/>
        </w:rPr>
        <w:t>该任务所要求的一般程序，并说明其信息流程</w:t>
      </w:r>
      <w:r>
        <w:rPr>
          <w:spacing w:val="-3"/>
        </w:rPr>
        <w:t>、所要求的肢体动作、有效工作空</w:t>
      </w:r>
    </w:p>
    <w:p w14:paraId="789F30E3">
      <w:pPr>
        <w:spacing w:line="280" w:lineRule="auto"/>
        <w:sectPr>
          <w:footerReference r:id="rId637" w:type="default"/>
          <w:pgSz w:w="11910" w:h="17130"/>
          <w:pgMar w:top="1456" w:right="794" w:bottom="1730" w:left="1609" w:header="0" w:footer="1444" w:gutter="0"/>
          <w:cols w:space="720" w:num="1"/>
        </w:sectPr>
      </w:pPr>
    </w:p>
    <w:p w14:paraId="635168F0">
      <w:pPr>
        <w:pStyle w:val="2"/>
        <w:spacing w:before="83" w:line="219" w:lineRule="auto"/>
      </w:pPr>
      <w:r>
        <w:rPr>
          <w:spacing w:val="-2"/>
        </w:rPr>
        <w:t>间、环境条件及其他可能影响任务有效完成的应考虑因素。</w:t>
      </w:r>
    </w:p>
    <w:p w14:paraId="0568D5AF">
      <w:pPr>
        <w:pStyle w:val="2"/>
        <w:spacing w:before="69" w:line="296" w:lineRule="auto"/>
        <w:ind w:right="125" w:firstLine="560"/>
        <w:rPr>
          <w:sz w:val="25"/>
          <w:szCs w:val="25"/>
        </w:rPr>
      </w:pPr>
      <w:r>
        <w:rPr>
          <w:spacing w:val="25"/>
          <w:sz w:val="25"/>
          <w:szCs w:val="25"/>
        </w:rPr>
        <w:t>对承制方应进行任务分析的全部工作岗位及涉及的操控台或操纵装置等进</w:t>
      </w:r>
      <w:r>
        <w:rPr>
          <w:spacing w:val="8"/>
          <w:sz w:val="25"/>
          <w:szCs w:val="25"/>
        </w:rPr>
        <w:t xml:space="preserve"> </w:t>
      </w:r>
      <w:r>
        <w:rPr>
          <w:spacing w:val="20"/>
          <w:sz w:val="25"/>
          <w:szCs w:val="25"/>
        </w:rPr>
        <w:t>行鉴别并逐项列出。</w:t>
      </w:r>
    </w:p>
    <w:p w14:paraId="5EC0886D">
      <w:pPr>
        <w:pStyle w:val="2"/>
        <w:spacing w:before="4" w:line="273" w:lineRule="auto"/>
        <w:ind w:right="119" w:firstLine="560"/>
        <w:jc w:val="both"/>
      </w:pPr>
      <w:r>
        <w:rPr>
          <w:spacing w:val="5"/>
        </w:rPr>
        <w:t>总任务分析应在系统详细技术设计之前完成，以保证其分析结果在最终设</w:t>
      </w:r>
      <w:r>
        <w:rPr>
          <w:spacing w:val="11"/>
        </w:rPr>
        <w:t xml:space="preserve"> </w:t>
      </w:r>
      <w:r>
        <w:rPr>
          <w:spacing w:val="-2"/>
        </w:rPr>
        <w:t>计方案中的采纳应用。因此，应阐明何时进行总任务分析，以及如</w:t>
      </w:r>
      <w:r>
        <w:rPr>
          <w:spacing w:val="-3"/>
        </w:rPr>
        <w:t>何应用与何时</w:t>
      </w:r>
      <w:r>
        <w:t xml:space="preserve"> </w:t>
      </w:r>
      <w:r>
        <w:rPr>
          <w:spacing w:val="-2"/>
        </w:rPr>
        <w:t>应用这些分析结果，另外，对总任务分析的原理、如何进行分</w:t>
      </w:r>
      <w:r>
        <w:rPr>
          <w:spacing w:val="-3"/>
        </w:rPr>
        <w:t>析和记录以及对有</w:t>
      </w:r>
      <w:r>
        <w:t xml:space="preserve"> </w:t>
      </w:r>
      <w:r>
        <w:rPr>
          <w:spacing w:val="3"/>
        </w:rPr>
        <w:t>关分析结果的评价等也应作必要的说明。</w:t>
      </w:r>
    </w:p>
    <w:p w14:paraId="301805F2">
      <w:pPr>
        <w:spacing w:before="12" w:line="221" w:lineRule="auto"/>
        <w:outlineLvl w:val="3"/>
        <w:rPr>
          <w:rFonts w:ascii="黑体" w:hAnsi="黑体" w:eastAsia="黑体" w:cs="黑体"/>
          <w:sz w:val="27"/>
          <w:szCs w:val="27"/>
        </w:rPr>
      </w:pPr>
      <w:r>
        <w:rPr>
          <w:rFonts w:ascii="Arial" w:hAnsi="Arial" w:eastAsia="Arial" w:cs="Arial"/>
          <w:b/>
          <w:bCs/>
          <w:sz w:val="27"/>
          <w:szCs w:val="27"/>
        </w:rPr>
        <w:t xml:space="preserve">3.2.2     </w:t>
      </w:r>
      <w:r>
        <w:rPr>
          <w:rFonts w:ascii="黑体" w:hAnsi="黑体" w:eastAsia="黑体" w:cs="黑体"/>
          <w:b/>
          <w:bCs/>
          <w:sz w:val="27"/>
          <w:szCs w:val="27"/>
        </w:rPr>
        <w:t>关键任务分析</w:t>
      </w:r>
    </w:p>
    <w:p w14:paraId="2DE33AFF">
      <w:pPr>
        <w:pStyle w:val="2"/>
        <w:spacing w:before="89" w:line="274" w:lineRule="auto"/>
        <w:ind w:right="103" w:firstLine="560"/>
        <w:jc w:val="both"/>
      </w:pPr>
      <w:r>
        <w:rPr>
          <w:spacing w:val="6"/>
        </w:rPr>
        <w:t>关键任务分析与总任务分析有些差别。相对于总任务分析，关键任务</w:t>
      </w:r>
      <w:r>
        <w:rPr>
          <w:spacing w:val="5"/>
        </w:rPr>
        <w:t>分析</w:t>
      </w:r>
      <w:r>
        <w:t xml:space="preserve"> </w:t>
      </w:r>
      <w:r>
        <w:rPr>
          <w:spacing w:val="6"/>
        </w:rPr>
        <w:t>针对某一系统的功能分析方面要详细得多，</w:t>
      </w:r>
      <w:r>
        <w:rPr>
          <w:spacing w:val="5"/>
        </w:rPr>
        <w:t>通常集中于对装备或系统功能特殊</w:t>
      </w:r>
      <w:r>
        <w:t xml:space="preserve"> </w:t>
      </w:r>
      <w:r>
        <w:rPr>
          <w:spacing w:val="6"/>
        </w:rPr>
        <w:t>环节或部件进行分析。关键任务分析通常是针对那些考虑对完</w:t>
      </w:r>
      <w:r>
        <w:rPr>
          <w:spacing w:val="5"/>
        </w:rPr>
        <w:t>成任务起关键作</w:t>
      </w:r>
      <w:r>
        <w:t xml:space="preserve"> </w:t>
      </w:r>
      <w:r>
        <w:rPr>
          <w:spacing w:val="-2"/>
        </w:rPr>
        <w:t>用的系统要素进行分析，即是说，如果这些关键要素处理</w:t>
      </w:r>
      <w:r>
        <w:rPr>
          <w:spacing w:val="-3"/>
        </w:rPr>
        <w:t>不当，将有可能导致严</w:t>
      </w:r>
      <w:r>
        <w:t xml:space="preserve"> </w:t>
      </w:r>
      <w:r>
        <w:rPr>
          <w:spacing w:val="14"/>
        </w:rPr>
        <w:t>重后果。在此条中，对关键任务分析必要性的描述与前面所述的总任务</w:t>
      </w:r>
      <w:r>
        <w:rPr>
          <w:spacing w:val="13"/>
        </w:rPr>
        <w:t>分析</w:t>
      </w:r>
      <w:r>
        <w:t xml:space="preserve"> </w:t>
      </w:r>
      <w:r>
        <w:rPr>
          <w:spacing w:val="-4"/>
        </w:rPr>
        <w:t>相同。</w:t>
      </w:r>
    </w:p>
    <w:p w14:paraId="72AF2158">
      <w:pPr>
        <w:spacing w:before="13" w:line="221" w:lineRule="auto"/>
        <w:rPr>
          <w:rFonts w:ascii="黑体" w:hAnsi="黑体" w:eastAsia="黑体" w:cs="黑体"/>
          <w:sz w:val="27"/>
          <w:szCs w:val="27"/>
        </w:rPr>
      </w:pPr>
      <w:r>
        <w:rPr>
          <w:rFonts w:ascii="黑体" w:hAnsi="黑体" w:eastAsia="黑体" w:cs="黑体"/>
          <w:spacing w:val="3"/>
          <w:sz w:val="27"/>
          <w:szCs w:val="27"/>
        </w:rPr>
        <w:t xml:space="preserve">3.3  </w:t>
      </w:r>
      <w:r>
        <w:rPr>
          <w:rFonts w:ascii="黑体" w:hAnsi="黑体" w:eastAsia="黑体" w:cs="黑体"/>
          <w:b/>
          <w:bCs/>
          <w:spacing w:val="3"/>
          <w:sz w:val="27"/>
          <w:szCs w:val="27"/>
        </w:rPr>
        <w:t>对分承制方的人机工程要求</w:t>
      </w:r>
    </w:p>
    <w:p w14:paraId="2BF2FDC8">
      <w:pPr>
        <w:pStyle w:val="2"/>
        <w:spacing w:before="135" w:line="272" w:lineRule="auto"/>
        <w:ind w:right="55" w:firstLine="560"/>
        <w:jc w:val="both"/>
      </w:pPr>
      <w:r>
        <w:rPr>
          <w:spacing w:val="6"/>
        </w:rPr>
        <w:t>凡相关系统或设备规范中要求符合有关人机工程标准(例如</w:t>
      </w:r>
      <w:r>
        <w:rPr>
          <w:spacing w:val="-73"/>
        </w:rPr>
        <w:t xml:space="preserve"> </w:t>
      </w:r>
      <w:r>
        <w:rPr>
          <w:rFonts w:ascii="Times New Roman" w:hAnsi="Times New Roman" w:eastAsia="Times New Roman" w:cs="Times New Roman"/>
        </w:rPr>
        <w:t>GJB</w:t>
      </w:r>
      <w:r>
        <w:rPr>
          <w:rFonts w:ascii="Times New Roman" w:hAnsi="Times New Roman" w:eastAsia="Times New Roman" w:cs="Times New Roman"/>
          <w:spacing w:val="21"/>
        </w:rPr>
        <w:t xml:space="preserve">  </w:t>
      </w:r>
      <w:r>
        <w:rPr>
          <w:rFonts w:ascii="Times New Roman" w:hAnsi="Times New Roman" w:eastAsia="Times New Roman" w:cs="Times New Roman"/>
          <w:spacing w:val="6"/>
        </w:rPr>
        <w:t>2873</w:t>
      </w:r>
      <w:r>
        <w:rPr>
          <w:rFonts w:ascii="Times New Roman" w:hAnsi="Times New Roman" w:eastAsia="Times New Roman" w:cs="Times New Roman"/>
          <w:spacing w:val="-19"/>
        </w:rPr>
        <w:t xml:space="preserve"> </w:t>
      </w:r>
      <w:r>
        <w:rPr>
          <w:spacing w:val="6"/>
        </w:rPr>
        <w:t>等</w:t>
      </w:r>
      <w:r>
        <w:rPr>
          <w:spacing w:val="-47"/>
        </w:rPr>
        <w:t xml:space="preserve"> </w:t>
      </w:r>
      <w:r>
        <w:rPr>
          <w:spacing w:val="6"/>
        </w:rPr>
        <w:t>)</w:t>
      </w:r>
      <w:r>
        <w:t xml:space="preserve"> </w:t>
      </w:r>
      <w:r>
        <w:rPr>
          <w:spacing w:val="5"/>
        </w:rPr>
        <w:t>的，在采办合同(含合同附件)中应明确指出相关系统或设备承制方应承担或遵</w:t>
      </w:r>
      <w:r>
        <w:rPr>
          <w:spacing w:val="15"/>
        </w:rPr>
        <w:t xml:space="preserve"> </w:t>
      </w:r>
      <w:r>
        <w:rPr>
          <w:spacing w:val="6"/>
        </w:rPr>
        <w:t>守的人机工程任务或要求。因此，应对承制方</w:t>
      </w:r>
      <w:r>
        <w:rPr>
          <w:spacing w:val="5"/>
        </w:rPr>
        <w:t>如何满足这项要求给予说明。应</w:t>
      </w:r>
      <w:r>
        <w:t xml:space="preserve"> </w:t>
      </w:r>
      <w:r>
        <w:rPr>
          <w:spacing w:val="6"/>
        </w:rPr>
        <w:t>包含有建议承制方实施人机工程设计的硬件项目</w:t>
      </w:r>
      <w:r>
        <w:rPr>
          <w:spacing w:val="5"/>
        </w:rPr>
        <w:t>清单，或有相关描述用于要求</w:t>
      </w:r>
      <w:r>
        <w:t xml:space="preserve"> </w:t>
      </w:r>
      <w:r>
        <w:rPr>
          <w:spacing w:val="4"/>
        </w:rPr>
        <w:t>分承制方在签订设计合同后提交相关的人机工程项目清单。</w:t>
      </w:r>
    </w:p>
    <w:p w14:paraId="04BA8C46">
      <w:pPr>
        <w:spacing w:before="12" w:line="221" w:lineRule="auto"/>
        <w:rPr>
          <w:rFonts w:ascii="黑体" w:hAnsi="黑体" w:eastAsia="黑体" w:cs="黑体"/>
          <w:sz w:val="27"/>
          <w:szCs w:val="27"/>
        </w:rPr>
      </w:pPr>
      <w:r>
        <w:rPr>
          <w:rFonts w:ascii="黑体" w:hAnsi="黑体" w:eastAsia="黑体" w:cs="黑体"/>
          <w:spacing w:val="2"/>
          <w:sz w:val="27"/>
          <w:szCs w:val="27"/>
        </w:rPr>
        <w:t xml:space="preserve">3.4  </w:t>
      </w:r>
      <w:r>
        <w:rPr>
          <w:rFonts w:ascii="黑体" w:hAnsi="黑体" w:eastAsia="黑体" w:cs="黑体"/>
          <w:b/>
          <w:bCs/>
          <w:spacing w:val="2"/>
          <w:sz w:val="27"/>
          <w:szCs w:val="27"/>
        </w:rPr>
        <w:t>对分承制方工程人员的通用人机工程保障</w:t>
      </w:r>
    </w:p>
    <w:p w14:paraId="6949D359">
      <w:pPr>
        <w:pStyle w:val="2"/>
        <w:spacing w:before="97" w:line="272" w:lineRule="auto"/>
        <w:ind w:firstLine="560"/>
        <w:jc w:val="both"/>
      </w:pPr>
      <w:r>
        <w:rPr>
          <w:spacing w:val="6"/>
        </w:rPr>
        <w:t>应尽可能详尽地将分承制方需承担的人机工程任务列出。为确保分</w:t>
      </w:r>
      <w:r>
        <w:rPr>
          <w:spacing w:val="5"/>
        </w:rPr>
        <w:t>承制方</w:t>
      </w:r>
      <w:r>
        <w:t xml:space="preserve"> </w:t>
      </w:r>
      <w:r>
        <w:rPr>
          <w:spacing w:val="3"/>
        </w:rPr>
        <w:t>能正确恰当地完成其所承担的人机工程任</w:t>
      </w:r>
      <w:r>
        <w:rPr>
          <w:rFonts w:ascii="仿宋" w:hAnsi="仿宋" w:eastAsia="仿宋" w:cs="仿宋"/>
          <w:spacing w:val="3"/>
        </w:rPr>
        <w:t>务</w:t>
      </w:r>
      <w:r>
        <w:rPr>
          <w:rFonts w:ascii="仿宋" w:hAnsi="仿宋" w:eastAsia="仿宋" w:cs="仿宋"/>
          <w:spacing w:val="-48"/>
        </w:rPr>
        <w:t xml:space="preserve"> </w:t>
      </w:r>
      <w:r>
        <w:rPr>
          <w:rFonts w:ascii="仿宋" w:hAnsi="仿宋" w:eastAsia="仿宋" w:cs="仿宋"/>
          <w:spacing w:val="3"/>
        </w:rPr>
        <w:t>，</w:t>
      </w:r>
      <w:r>
        <w:rPr>
          <w:spacing w:val="3"/>
        </w:rPr>
        <w:t>应提出对分承制方工程人员的通</w:t>
      </w:r>
      <w:r>
        <w:t xml:space="preserve">  </w:t>
      </w:r>
      <w:r>
        <w:rPr>
          <w:spacing w:val="6"/>
        </w:rPr>
        <w:t>用人机工程保障的建议措施，例如对相关工程技</w:t>
      </w:r>
      <w:r>
        <w:rPr>
          <w:spacing w:val="5"/>
        </w:rPr>
        <w:t>术人员进行人机工程方面的培</w:t>
      </w:r>
      <w:r>
        <w:t xml:space="preserve">  </w:t>
      </w:r>
      <w:r>
        <w:rPr>
          <w:spacing w:val="1"/>
        </w:rPr>
        <w:t>训，或将人机工程专家纳入相关的工程技术组织中，或将相关的人机工程准则、</w:t>
      </w:r>
      <w:r>
        <w:rPr>
          <w:spacing w:val="9"/>
        </w:rPr>
        <w:t xml:space="preserve"> </w:t>
      </w:r>
      <w:r>
        <w:rPr>
          <w:spacing w:val="-2"/>
        </w:rPr>
        <w:t>要求进行分散提炼后编入相应的产品标准、规范或设计</w:t>
      </w:r>
      <w:r>
        <w:rPr>
          <w:spacing w:val="-3"/>
        </w:rPr>
        <w:t>手册中等，并对分承制方</w:t>
      </w:r>
      <w:r>
        <w:t xml:space="preserve">  </w:t>
      </w:r>
      <w:r>
        <w:rPr>
          <w:spacing w:val="4"/>
        </w:rPr>
        <w:t>如何贯彻实施相关的人机工程保障措施作出指导性说明。</w:t>
      </w:r>
    </w:p>
    <w:p w14:paraId="4FEBDE23">
      <w:pPr>
        <w:spacing w:before="54" w:line="222" w:lineRule="auto"/>
        <w:rPr>
          <w:rFonts w:ascii="黑体" w:hAnsi="黑体" w:eastAsia="黑体" w:cs="黑体"/>
          <w:sz w:val="24"/>
          <w:szCs w:val="24"/>
        </w:rPr>
      </w:pPr>
      <w:r>
        <w:rPr>
          <w:rFonts w:ascii="黑体" w:hAnsi="黑体" w:eastAsia="黑体" w:cs="黑体"/>
          <w:spacing w:val="18"/>
          <w:sz w:val="24"/>
          <w:szCs w:val="24"/>
        </w:rPr>
        <w:t>3.5</w:t>
      </w:r>
      <w:r>
        <w:rPr>
          <w:rFonts w:ascii="黑体" w:hAnsi="黑体" w:eastAsia="黑体" w:cs="黑体"/>
          <w:spacing w:val="51"/>
          <w:sz w:val="24"/>
          <w:szCs w:val="24"/>
        </w:rPr>
        <w:t xml:space="preserve">  </w:t>
      </w:r>
      <w:r>
        <w:rPr>
          <w:rFonts w:ascii="黑体" w:hAnsi="黑体" w:eastAsia="黑体" w:cs="黑体"/>
          <w:b/>
          <w:bCs/>
          <w:spacing w:val="18"/>
          <w:sz w:val="24"/>
          <w:szCs w:val="24"/>
        </w:rPr>
        <w:t>设计审图</w:t>
      </w:r>
    </w:p>
    <w:p w14:paraId="56105069">
      <w:pPr>
        <w:pStyle w:val="2"/>
        <w:spacing w:before="135" w:line="267" w:lineRule="auto"/>
        <w:ind w:firstLine="560"/>
        <w:jc w:val="both"/>
      </w:pPr>
      <w:r>
        <w:rPr>
          <w:spacing w:val="9"/>
        </w:rPr>
        <w:t>对设计部门或制造部门提交的详细工程设计图样进行人机工程专项评审，</w:t>
      </w:r>
      <w:r>
        <w:rPr>
          <w:spacing w:val="5"/>
        </w:rPr>
        <w:t xml:space="preserve"> </w:t>
      </w:r>
      <w:r>
        <w:rPr>
          <w:spacing w:val="-3"/>
        </w:rPr>
        <w:t>是将人机工程要求同新型装备设计相结合的最好方式之一，因而，人机工程专项</w:t>
      </w:r>
      <w:r>
        <w:rPr>
          <w:spacing w:val="6"/>
        </w:rPr>
        <w:t xml:space="preserve">  </w:t>
      </w:r>
      <w:r>
        <w:rPr>
          <w:spacing w:val="-1"/>
        </w:rPr>
        <w:t>审图工作应纳入计划中。在此条中，应包含</w:t>
      </w:r>
      <w:r>
        <w:rPr>
          <w:spacing w:val="-2"/>
        </w:rPr>
        <w:t>如下资料或说明：</w:t>
      </w:r>
    </w:p>
    <w:p w14:paraId="34AF7810">
      <w:pPr>
        <w:pStyle w:val="2"/>
        <w:spacing w:line="212" w:lineRule="auto"/>
        <w:ind w:left="560"/>
      </w:pPr>
      <w:r>
        <w:rPr>
          <w:rFonts w:ascii="Times New Roman" w:hAnsi="Times New Roman" w:eastAsia="Times New Roman" w:cs="Times New Roman"/>
          <w:spacing w:val="3"/>
        </w:rPr>
        <w:t xml:space="preserve">a)  </w:t>
      </w:r>
      <w:r>
        <w:rPr>
          <w:spacing w:val="3"/>
        </w:rPr>
        <w:t>需接受人机工程评审的图样清单；</w:t>
      </w:r>
    </w:p>
    <w:p w14:paraId="3BA82863">
      <w:pPr>
        <w:pStyle w:val="2"/>
        <w:spacing w:before="100"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71"/>
        </w:rPr>
        <w:t xml:space="preserve"> </w:t>
      </w:r>
      <w:r>
        <w:rPr>
          <w:spacing w:val="4"/>
        </w:rPr>
        <w:t>关于人机工程评审合格判定的简要说明；</w:t>
      </w:r>
    </w:p>
    <w:p w14:paraId="66D290F4">
      <w:pPr>
        <w:pStyle w:val="2"/>
        <w:spacing w:before="100" w:line="212" w:lineRule="auto"/>
        <w:ind w:left="560"/>
      </w:pPr>
      <w:r>
        <w:rPr>
          <w:rFonts w:ascii="Times New Roman" w:hAnsi="Times New Roman" w:eastAsia="Times New Roman" w:cs="Times New Roman"/>
          <w:spacing w:val="5"/>
        </w:rPr>
        <w:t>c)</w:t>
      </w:r>
      <w:r>
        <w:rPr>
          <w:rFonts w:ascii="Times New Roman" w:hAnsi="Times New Roman" w:eastAsia="Times New Roman" w:cs="Times New Roman"/>
          <w:spacing w:val="52"/>
          <w:w w:val="101"/>
        </w:rPr>
        <w:t xml:space="preserve"> </w:t>
      </w:r>
      <w:r>
        <w:rPr>
          <w:spacing w:val="5"/>
        </w:rPr>
        <w:t>关于如何在分承制方的设计审图程序中实</w:t>
      </w:r>
      <w:r>
        <w:rPr>
          <w:spacing w:val="4"/>
        </w:rPr>
        <w:t>施人机工程评审的说明；</w:t>
      </w:r>
    </w:p>
    <w:p w14:paraId="49AA9C09">
      <w:pPr>
        <w:spacing w:line="212" w:lineRule="auto"/>
        <w:sectPr>
          <w:footerReference r:id="rId638" w:type="default"/>
          <w:pgSz w:w="11910" w:h="17130"/>
          <w:pgMar w:top="1456" w:right="1345" w:bottom="1726" w:left="1069" w:header="0" w:footer="1537" w:gutter="0"/>
          <w:cols w:space="720" w:num="1"/>
        </w:sectPr>
      </w:pPr>
    </w:p>
    <w:p w14:paraId="124A86B6">
      <w:pPr>
        <w:pStyle w:val="2"/>
        <w:spacing w:before="74" w:line="212" w:lineRule="auto"/>
        <w:ind w:left="560"/>
      </w:pPr>
      <w:r>
        <w:rPr>
          <w:rFonts w:ascii="Times New Roman" w:hAnsi="Times New Roman" w:eastAsia="Times New Roman" w:cs="Times New Roman"/>
          <w:spacing w:val="5"/>
        </w:rPr>
        <w:t>d)</w:t>
      </w:r>
      <w:r>
        <w:rPr>
          <w:rFonts w:ascii="Times New Roman" w:hAnsi="Times New Roman" w:eastAsia="Times New Roman" w:cs="Times New Roman"/>
          <w:spacing w:val="56"/>
          <w:w w:val="101"/>
        </w:rPr>
        <w:t xml:space="preserve"> </w:t>
      </w:r>
      <w:r>
        <w:rPr>
          <w:spacing w:val="5"/>
        </w:rPr>
        <w:t>关于如何处理人机工程评审中的建议或意见的说明。</w:t>
      </w:r>
    </w:p>
    <w:p w14:paraId="2C05B484">
      <w:pPr>
        <w:spacing w:before="134" w:line="222" w:lineRule="auto"/>
        <w:rPr>
          <w:rFonts w:ascii="黑体" w:hAnsi="黑体" w:eastAsia="黑体" w:cs="黑体"/>
          <w:sz w:val="25"/>
          <w:szCs w:val="25"/>
        </w:rPr>
      </w:pPr>
      <w:r>
        <w:rPr>
          <w:rFonts w:ascii="黑体" w:hAnsi="黑体" w:eastAsia="黑体" w:cs="黑体"/>
          <w:spacing w:val="12"/>
          <w:sz w:val="25"/>
          <w:szCs w:val="25"/>
        </w:rPr>
        <w:t>3.6</w:t>
      </w:r>
      <w:r>
        <w:rPr>
          <w:rFonts w:ascii="黑体" w:hAnsi="黑体" w:eastAsia="黑体" w:cs="黑体"/>
          <w:spacing w:val="45"/>
          <w:sz w:val="25"/>
          <w:szCs w:val="25"/>
        </w:rPr>
        <w:t xml:space="preserve">  </w:t>
      </w:r>
      <w:r>
        <w:rPr>
          <w:rFonts w:ascii="黑体" w:hAnsi="黑体" w:eastAsia="黑体" w:cs="黑体"/>
          <w:b/>
          <w:bCs/>
          <w:spacing w:val="12"/>
          <w:sz w:val="25"/>
          <w:szCs w:val="25"/>
        </w:rPr>
        <w:t>设计评审会</w:t>
      </w:r>
    </w:p>
    <w:p w14:paraId="2F7417C6">
      <w:pPr>
        <w:pStyle w:val="2"/>
        <w:spacing w:before="93" w:line="219" w:lineRule="auto"/>
        <w:ind w:left="560"/>
      </w:pPr>
      <w:r>
        <w:rPr>
          <w:spacing w:val="5"/>
        </w:rPr>
        <w:t>应明确指出相关人机工程人员应出席的设计评审会类别。</w:t>
      </w:r>
    </w:p>
    <w:p w14:paraId="775F023B">
      <w:pPr>
        <w:spacing w:before="78" w:line="223" w:lineRule="auto"/>
        <w:rPr>
          <w:rFonts w:ascii="黑体" w:hAnsi="黑体" w:eastAsia="黑体" w:cs="黑体"/>
          <w:sz w:val="27"/>
          <w:szCs w:val="27"/>
        </w:rPr>
      </w:pPr>
      <w:r>
        <w:rPr>
          <w:rFonts w:ascii="黑体" w:hAnsi="黑体" w:eastAsia="黑体" w:cs="黑体"/>
          <w:spacing w:val="-1"/>
          <w:sz w:val="27"/>
          <w:szCs w:val="27"/>
        </w:rPr>
        <w:t>3.7</w:t>
      </w:r>
      <w:r>
        <w:rPr>
          <w:rFonts w:ascii="黑体" w:hAnsi="黑体" w:eastAsia="黑体" w:cs="黑体"/>
          <w:spacing w:val="21"/>
          <w:sz w:val="27"/>
          <w:szCs w:val="27"/>
        </w:rPr>
        <w:t xml:space="preserve">  </w:t>
      </w:r>
      <w:r>
        <w:rPr>
          <w:rFonts w:ascii="黑体" w:hAnsi="黑体" w:eastAsia="黑体" w:cs="黑体"/>
          <w:b/>
          <w:bCs/>
          <w:spacing w:val="-1"/>
          <w:sz w:val="27"/>
          <w:szCs w:val="27"/>
        </w:rPr>
        <w:t>模型与样机</w:t>
      </w:r>
    </w:p>
    <w:p w14:paraId="47B3DC3D">
      <w:pPr>
        <w:pStyle w:val="2"/>
        <w:spacing w:before="34" w:line="291" w:lineRule="auto"/>
        <w:ind w:right="101" w:firstLine="560"/>
      </w:pPr>
      <w:r>
        <w:rPr>
          <w:spacing w:val="6"/>
        </w:rPr>
        <w:t>应列出用于人机工程评审吕的的模型或样机的类目</w:t>
      </w:r>
      <w:r>
        <w:rPr>
          <w:spacing w:val="5"/>
        </w:rPr>
        <w:t>，并对具体的模型或样</w:t>
      </w:r>
      <w:r>
        <w:t xml:space="preserve"> </w:t>
      </w:r>
      <w:r>
        <w:rPr>
          <w:spacing w:val="-5"/>
        </w:rPr>
        <w:t>机的评审目的、评审办法等进行说明。</w:t>
      </w:r>
    </w:p>
    <w:p w14:paraId="4C2C7483">
      <w:pPr>
        <w:pStyle w:val="2"/>
        <w:spacing w:before="1" w:line="218" w:lineRule="auto"/>
        <w:ind w:left="560"/>
      </w:pPr>
      <w:r>
        <w:rPr>
          <w:spacing w:val="1"/>
        </w:rPr>
        <w:t>如果需要承制方提供专门用于人机工程审查的样机，应给出下列信息：</w:t>
      </w:r>
    </w:p>
    <w:p w14:paraId="2DD03749">
      <w:pPr>
        <w:pStyle w:val="2"/>
        <w:spacing w:before="83" w:line="212" w:lineRule="auto"/>
        <w:ind w:left="560"/>
        <w:rPr>
          <w:sz w:val="24"/>
          <w:szCs w:val="24"/>
        </w:rPr>
      </w:pPr>
      <w:r>
        <w:rPr>
          <w:rFonts w:ascii="Times New Roman" w:hAnsi="Times New Roman" w:eastAsia="Times New Roman" w:cs="Times New Roman"/>
          <w:spacing w:val="25"/>
          <w:sz w:val="24"/>
          <w:szCs w:val="24"/>
        </w:rPr>
        <w:t xml:space="preserve">a)  </w:t>
      </w:r>
      <w:r>
        <w:rPr>
          <w:spacing w:val="25"/>
          <w:sz w:val="24"/>
          <w:szCs w:val="24"/>
        </w:rPr>
        <w:t>需鉴定的特殊控制台、仪表板或其他装置</w:t>
      </w:r>
      <w:r>
        <w:rPr>
          <w:spacing w:val="24"/>
          <w:sz w:val="24"/>
          <w:szCs w:val="24"/>
        </w:rPr>
        <w:t>项目；</w:t>
      </w:r>
    </w:p>
    <w:p w14:paraId="4049CB6C">
      <w:pPr>
        <w:pStyle w:val="2"/>
        <w:spacing w:before="112" w:line="212" w:lineRule="auto"/>
        <w:ind w:left="560"/>
      </w:pPr>
      <w:r>
        <w:rPr>
          <w:rFonts w:ascii="Times New Roman" w:hAnsi="Times New Roman" w:eastAsia="Times New Roman" w:cs="Times New Roman"/>
          <w:spacing w:val="7"/>
        </w:rPr>
        <w:t>b)</w:t>
      </w:r>
      <w:r>
        <w:rPr>
          <w:rFonts w:ascii="Times New Roman" w:hAnsi="Times New Roman" w:eastAsia="Times New Roman" w:cs="Times New Roman"/>
          <w:spacing w:val="67"/>
        </w:rPr>
        <w:t xml:space="preserve"> </w:t>
      </w:r>
      <w:r>
        <w:rPr>
          <w:spacing w:val="7"/>
        </w:rPr>
        <w:t>建议的结构样式(有关材料与部件明细</w:t>
      </w:r>
      <w:r>
        <w:rPr>
          <w:spacing w:val="6"/>
        </w:rPr>
        <w:t>表);</w:t>
      </w:r>
    </w:p>
    <w:p w14:paraId="37753B47">
      <w:pPr>
        <w:pStyle w:val="2"/>
        <w:spacing w:before="90" w:line="212" w:lineRule="auto"/>
        <w:ind w:left="560"/>
      </w:pPr>
      <w:r>
        <w:rPr>
          <w:rFonts w:ascii="Times New Roman" w:hAnsi="Times New Roman" w:eastAsia="Times New Roman" w:cs="Times New Roman"/>
        </w:rPr>
        <w:t>c)</w:t>
      </w:r>
      <w:r>
        <w:rPr>
          <w:rFonts w:ascii="Times New Roman" w:hAnsi="Times New Roman" w:eastAsia="Times New Roman" w:cs="Times New Roman"/>
          <w:spacing w:val="66"/>
          <w:w w:val="101"/>
        </w:rPr>
        <w:t xml:space="preserve"> </w:t>
      </w:r>
      <w:r>
        <w:t>建议保持样机通用性的解决方案，以及设计周期长短；</w:t>
      </w:r>
    </w:p>
    <w:p w14:paraId="7E4BD95A">
      <w:pPr>
        <w:pStyle w:val="2"/>
        <w:spacing w:before="90" w:line="212" w:lineRule="auto"/>
        <w:ind w:left="560"/>
      </w:pPr>
      <w:r>
        <w:rPr>
          <w:rFonts w:ascii="Times New Roman" w:hAnsi="Times New Roman" w:eastAsia="Times New Roman" w:cs="Times New Roman"/>
          <w:spacing w:val="-2"/>
        </w:rPr>
        <w:t>d)</w:t>
      </w:r>
      <w:r>
        <w:rPr>
          <w:rFonts w:ascii="Times New Roman" w:hAnsi="Times New Roman" w:eastAsia="Times New Roman" w:cs="Times New Roman"/>
          <w:spacing w:val="71"/>
          <w:w w:val="101"/>
        </w:rPr>
        <w:t xml:space="preserve"> </w:t>
      </w:r>
      <w:r>
        <w:rPr>
          <w:spacing w:val="-2"/>
        </w:rPr>
        <w:t>其他用途，如样机可能作为一种训练设备；</w:t>
      </w:r>
    </w:p>
    <w:p w14:paraId="765930E0">
      <w:pPr>
        <w:pStyle w:val="2"/>
        <w:spacing w:before="110" w:line="212" w:lineRule="auto"/>
        <w:ind w:left="560"/>
      </w:pPr>
      <w:r>
        <w:rPr>
          <w:rFonts w:ascii="Times New Roman" w:hAnsi="Times New Roman" w:eastAsia="Times New Roman" w:cs="Times New Roman"/>
          <w:spacing w:val="-6"/>
        </w:rPr>
        <w:t>e)</w:t>
      </w:r>
      <w:r>
        <w:rPr>
          <w:rFonts w:ascii="Times New Roman" w:hAnsi="Times New Roman" w:eastAsia="Times New Roman" w:cs="Times New Roman"/>
          <w:spacing w:val="72"/>
        </w:rPr>
        <w:t xml:space="preserve"> </w:t>
      </w:r>
      <w:r>
        <w:rPr>
          <w:spacing w:val="-6"/>
        </w:rPr>
        <w:t>样机的管理、使用或所有者。</w:t>
      </w:r>
    </w:p>
    <w:p w14:paraId="6C31FE21">
      <w:pPr>
        <w:spacing w:before="115" w:line="222" w:lineRule="auto"/>
        <w:rPr>
          <w:rFonts w:ascii="黑体" w:hAnsi="黑体" w:eastAsia="黑体" w:cs="黑体"/>
          <w:sz w:val="27"/>
          <w:szCs w:val="27"/>
        </w:rPr>
      </w:pPr>
      <w:r>
        <w:rPr>
          <w:rFonts w:ascii="黑体" w:hAnsi="黑体" w:eastAsia="黑体" w:cs="黑体"/>
          <w:spacing w:val="1"/>
          <w:sz w:val="27"/>
          <w:szCs w:val="27"/>
        </w:rPr>
        <w:t>3.8</w:t>
      </w:r>
      <w:r>
        <w:rPr>
          <w:rFonts w:ascii="黑体" w:hAnsi="黑体" w:eastAsia="黑体" w:cs="黑体"/>
          <w:spacing w:val="20"/>
          <w:sz w:val="27"/>
          <w:szCs w:val="27"/>
        </w:rPr>
        <w:t xml:space="preserve">  </w:t>
      </w:r>
      <w:r>
        <w:rPr>
          <w:rFonts w:ascii="黑体" w:hAnsi="黑体" w:eastAsia="黑体" w:cs="黑体"/>
          <w:b/>
          <w:bCs/>
          <w:spacing w:val="1"/>
          <w:sz w:val="27"/>
          <w:szCs w:val="27"/>
        </w:rPr>
        <w:t>技术文件的评审</w:t>
      </w:r>
    </w:p>
    <w:p w14:paraId="1061D137">
      <w:pPr>
        <w:pStyle w:val="2"/>
        <w:spacing w:before="79" w:line="278" w:lineRule="auto"/>
        <w:ind w:right="103" w:firstLine="560"/>
        <w:jc w:val="both"/>
      </w:pPr>
      <w:r>
        <w:rPr>
          <w:spacing w:val="6"/>
        </w:rPr>
        <w:t>为确保研制技术文件能充分体现人机工程的要</w:t>
      </w:r>
      <w:r>
        <w:rPr>
          <w:spacing w:val="5"/>
        </w:rPr>
        <w:t>求，有必要对相关技术文件</w:t>
      </w:r>
      <w:r>
        <w:t xml:space="preserve"> </w:t>
      </w:r>
      <w:r>
        <w:rPr>
          <w:spacing w:val="6"/>
        </w:rPr>
        <w:t>进行人机工程评审口由于研制涉及的技术文件数目庞大，不可能一</w:t>
      </w:r>
      <w:r>
        <w:rPr>
          <w:spacing w:val="5"/>
        </w:rPr>
        <w:t>一接受人机</w:t>
      </w:r>
      <w:r>
        <w:t xml:space="preserve"> </w:t>
      </w:r>
      <w:r>
        <w:rPr>
          <w:spacing w:val="-2"/>
        </w:rPr>
        <w:t>工程评审，为此有必要列出将要接受人机工程评审的文件清单</w:t>
      </w:r>
      <w:r>
        <w:rPr>
          <w:spacing w:val="-3"/>
        </w:rPr>
        <w:t>，且应对如何评审</w:t>
      </w:r>
      <w:r>
        <w:t xml:space="preserve"> </w:t>
      </w:r>
      <w:r>
        <w:rPr>
          <w:spacing w:val="5"/>
        </w:rPr>
        <w:t>这些文件及如何处理相关的评审意见等给予必要的说</w:t>
      </w:r>
      <w:r>
        <w:rPr>
          <w:spacing w:val="4"/>
        </w:rPr>
        <w:t>明。</w:t>
      </w:r>
    </w:p>
    <w:p w14:paraId="6D7697B9">
      <w:pPr>
        <w:spacing w:before="1" w:line="220" w:lineRule="auto"/>
        <w:rPr>
          <w:rFonts w:ascii="黑体" w:hAnsi="黑体" w:eastAsia="黑体" w:cs="黑体"/>
          <w:sz w:val="27"/>
          <w:szCs w:val="27"/>
        </w:rPr>
      </w:pPr>
      <w:r>
        <w:rPr>
          <w:rFonts w:ascii="黑体" w:hAnsi="黑体" w:eastAsia="黑体" w:cs="黑体"/>
          <w:spacing w:val="1"/>
          <w:sz w:val="27"/>
          <w:szCs w:val="27"/>
        </w:rPr>
        <w:t>3.9</w:t>
      </w:r>
      <w:r>
        <w:rPr>
          <w:rFonts w:ascii="黑体" w:hAnsi="黑体" w:eastAsia="黑体" w:cs="黑体"/>
          <w:spacing w:val="20"/>
          <w:sz w:val="27"/>
          <w:szCs w:val="27"/>
        </w:rPr>
        <w:t xml:space="preserve">  </w:t>
      </w:r>
      <w:r>
        <w:rPr>
          <w:rFonts w:ascii="黑体" w:hAnsi="黑体" w:eastAsia="黑体" w:cs="黑体"/>
          <w:b/>
          <w:bCs/>
          <w:spacing w:val="1"/>
          <w:sz w:val="27"/>
          <w:szCs w:val="27"/>
        </w:rPr>
        <w:t>人机工程设计方法文件</w:t>
      </w:r>
    </w:p>
    <w:p w14:paraId="05B9713E">
      <w:pPr>
        <w:pStyle w:val="2"/>
        <w:spacing w:before="82" w:line="285" w:lineRule="auto"/>
        <w:ind w:right="93" w:firstLine="560"/>
        <w:jc w:val="both"/>
      </w:pPr>
      <w:r>
        <w:rPr>
          <w:spacing w:val="6"/>
        </w:rPr>
        <w:t>人机工程设计方法文件用于论证或说明相关系统或设备的设计满足的</w:t>
      </w:r>
      <w:r>
        <w:rPr>
          <w:spacing w:val="5"/>
        </w:rPr>
        <w:t>人的</w:t>
      </w:r>
      <w:r>
        <w:t xml:space="preserve"> </w:t>
      </w:r>
      <w:r>
        <w:rPr>
          <w:spacing w:val="6"/>
        </w:rPr>
        <w:t>特性要求及符合有关的人机工程标准，并表明该系统或设备的操作</w:t>
      </w:r>
      <w:r>
        <w:rPr>
          <w:spacing w:val="5"/>
        </w:rPr>
        <w:t>性或维修性</w:t>
      </w:r>
      <w:r>
        <w:t xml:space="preserve"> </w:t>
      </w:r>
      <w:r>
        <w:rPr>
          <w:spacing w:val="-13"/>
        </w:rPr>
        <w:t>良好。</w:t>
      </w:r>
    </w:p>
    <w:p w14:paraId="76EFCF90">
      <w:pPr>
        <w:pStyle w:val="2"/>
        <w:spacing w:before="1" w:line="219" w:lineRule="auto"/>
        <w:ind w:left="560"/>
      </w:pPr>
      <w:r>
        <w:rPr>
          <w:spacing w:val="2"/>
        </w:rPr>
        <w:t>通常应包含下列内容：</w:t>
      </w:r>
    </w:p>
    <w:p w14:paraId="02F236C2">
      <w:pPr>
        <w:pStyle w:val="2"/>
        <w:spacing w:before="59" w:line="212" w:lineRule="auto"/>
        <w:ind w:left="560"/>
      </w:pPr>
      <w:r>
        <w:rPr>
          <w:rFonts w:ascii="Times New Roman" w:hAnsi="Times New Roman" w:eastAsia="Times New Roman" w:cs="Times New Roman"/>
          <w:spacing w:val="5"/>
        </w:rPr>
        <w:t>a)</w:t>
      </w:r>
      <w:r>
        <w:rPr>
          <w:rFonts w:ascii="Times New Roman" w:hAnsi="Times New Roman" w:eastAsia="Times New Roman" w:cs="Times New Roman"/>
          <w:spacing w:val="62"/>
          <w:w w:val="101"/>
        </w:rPr>
        <w:t xml:space="preserve"> </w:t>
      </w:r>
      <w:r>
        <w:rPr>
          <w:spacing w:val="5"/>
        </w:rPr>
        <w:t>需编制人机工程设计方法文件的系统或设</w:t>
      </w:r>
      <w:r>
        <w:rPr>
          <w:spacing w:val="4"/>
        </w:rPr>
        <w:t>备项目清单；</w:t>
      </w:r>
    </w:p>
    <w:p w14:paraId="4B591869">
      <w:pPr>
        <w:pStyle w:val="2"/>
        <w:spacing w:before="100" w:line="212" w:lineRule="auto"/>
        <w:ind w:left="560"/>
      </w:pPr>
      <w:r>
        <w:rPr>
          <w:rFonts w:ascii="Times New Roman" w:hAnsi="Times New Roman" w:eastAsia="Times New Roman" w:cs="Times New Roman"/>
          <w:spacing w:val="6"/>
        </w:rPr>
        <w:t>b)</w:t>
      </w:r>
      <w:r>
        <w:rPr>
          <w:rFonts w:ascii="Times New Roman" w:hAnsi="Times New Roman" w:eastAsia="Times New Roman" w:cs="Times New Roman"/>
          <w:spacing w:val="62"/>
        </w:rPr>
        <w:t xml:space="preserve"> </w:t>
      </w:r>
      <w:r>
        <w:rPr>
          <w:spacing w:val="6"/>
        </w:rPr>
        <w:t>相关系统或设备列人</w:t>
      </w:r>
      <w:r>
        <w:rPr>
          <w:rFonts w:ascii="Times New Roman" w:hAnsi="Times New Roman" w:eastAsia="Times New Roman" w:cs="Times New Roman"/>
          <w:spacing w:val="6"/>
        </w:rPr>
        <w:t xml:space="preserve">a) </w:t>
      </w:r>
      <w:r>
        <w:rPr>
          <w:spacing w:val="6"/>
        </w:rPr>
        <w:t>条所述项目清单的理由陈述；</w:t>
      </w:r>
    </w:p>
    <w:p w14:paraId="052964FD">
      <w:pPr>
        <w:pStyle w:val="2"/>
        <w:spacing w:before="89" w:line="257" w:lineRule="auto"/>
        <w:ind w:right="94" w:firstLine="560"/>
      </w:pPr>
      <w:r>
        <w:rPr>
          <w:rFonts w:ascii="Times New Roman" w:hAnsi="Times New Roman" w:eastAsia="Times New Roman" w:cs="Times New Roman"/>
          <w:spacing w:val="21"/>
        </w:rPr>
        <w:t>c)</w:t>
      </w:r>
      <w:r>
        <w:rPr>
          <w:rFonts w:ascii="Times New Roman" w:hAnsi="Times New Roman" w:eastAsia="Times New Roman" w:cs="Times New Roman"/>
          <w:spacing w:val="70"/>
          <w:w w:val="101"/>
        </w:rPr>
        <w:t xml:space="preserve"> </w:t>
      </w:r>
      <w:r>
        <w:rPr>
          <w:spacing w:val="21"/>
        </w:rPr>
        <w:t>简要论述如何编制人机工程设计方法文件及这些文件中应提供何种</w:t>
      </w:r>
      <w:r>
        <w:t xml:space="preserve"> </w:t>
      </w:r>
      <w:r>
        <w:rPr>
          <w:spacing w:val="-4"/>
        </w:rPr>
        <w:t>信息。</w:t>
      </w:r>
    </w:p>
    <w:p w14:paraId="0C769BD2">
      <w:pPr>
        <w:spacing w:before="84" w:line="222" w:lineRule="auto"/>
        <w:rPr>
          <w:rFonts w:ascii="黑体" w:hAnsi="黑体" w:eastAsia="黑体" w:cs="黑体"/>
          <w:sz w:val="27"/>
          <w:szCs w:val="27"/>
        </w:rPr>
      </w:pPr>
      <w:r>
        <w:rPr>
          <w:rFonts w:ascii="黑体" w:hAnsi="黑体" w:eastAsia="黑体" w:cs="黑体"/>
          <w:sz w:val="27"/>
          <w:szCs w:val="27"/>
        </w:rPr>
        <w:t>3.10</w:t>
      </w:r>
      <w:r>
        <w:rPr>
          <w:rFonts w:ascii="黑体" w:hAnsi="黑体" w:eastAsia="黑体" w:cs="黑体"/>
          <w:spacing w:val="42"/>
          <w:sz w:val="27"/>
          <w:szCs w:val="27"/>
        </w:rPr>
        <w:t xml:space="preserve">  </w:t>
      </w:r>
      <w:r>
        <w:rPr>
          <w:rFonts w:ascii="黑体" w:hAnsi="黑体" w:eastAsia="黑体" w:cs="黑体"/>
          <w:b/>
          <w:bCs/>
          <w:sz w:val="27"/>
          <w:szCs w:val="27"/>
        </w:rPr>
        <w:t>研制过程中的检查</w:t>
      </w:r>
    </w:p>
    <w:p w14:paraId="26944FE8">
      <w:pPr>
        <w:pStyle w:val="2"/>
        <w:spacing w:before="68" w:line="276" w:lineRule="auto"/>
        <w:ind w:firstLine="560"/>
        <w:jc w:val="both"/>
      </w:pPr>
      <w:r>
        <w:rPr>
          <w:spacing w:val="6"/>
        </w:rPr>
        <w:t>相关人机工程人员应从研制初始起对产品实</w:t>
      </w:r>
      <w:r>
        <w:rPr>
          <w:spacing w:val="5"/>
        </w:rPr>
        <w:t>施定期的检查，以确保研制过</w:t>
      </w:r>
      <w:r>
        <w:t xml:space="preserve"> </w:t>
      </w:r>
      <w:r>
        <w:rPr>
          <w:spacing w:val="6"/>
        </w:rPr>
        <w:t>程中不会发生没按规定程序变更设计规划中所制定的人机工程项目的情况。在</w:t>
      </w:r>
      <w:r>
        <w:t xml:space="preserve"> </w:t>
      </w:r>
      <w:r>
        <w:rPr>
          <w:spacing w:val="-2"/>
        </w:rPr>
        <w:t>实际研制过程中，出于种种理由对有些人机工程项目有时</w:t>
      </w:r>
      <w:r>
        <w:rPr>
          <w:spacing w:val="-3"/>
        </w:rPr>
        <w:t>进行改变在所难免，例</w:t>
      </w:r>
      <w:r>
        <w:t xml:space="preserve"> </w:t>
      </w:r>
      <w:r>
        <w:rPr>
          <w:spacing w:val="-3"/>
        </w:rPr>
        <w:t>如受安装操作者的个人判断力或操作技能方面的限制，管道、电缆或其他硬件材</w:t>
      </w:r>
      <w:r>
        <w:rPr>
          <w:spacing w:val="6"/>
        </w:rPr>
        <w:t xml:space="preserve">  </w:t>
      </w:r>
      <w:r>
        <w:rPr>
          <w:spacing w:val="1"/>
        </w:rPr>
        <w:t>料的现场布设安装很可能与图样规定发生变化。所以，指定检查任务是必要</w:t>
      </w:r>
      <w:r>
        <w:t xml:space="preserve">的。 </w:t>
      </w:r>
      <w:r>
        <w:rPr>
          <w:spacing w:val="-5"/>
        </w:rPr>
        <w:t>在此条中，建议包含下列内容：</w:t>
      </w:r>
    </w:p>
    <w:p w14:paraId="673DCE6D">
      <w:pPr>
        <w:pStyle w:val="2"/>
        <w:spacing w:line="212" w:lineRule="auto"/>
        <w:ind w:left="560"/>
      </w:pPr>
      <w:r>
        <w:rPr>
          <w:rFonts w:ascii="Times New Roman" w:hAnsi="Times New Roman" w:eastAsia="Times New Roman" w:cs="Times New Roman"/>
          <w:spacing w:val="1"/>
        </w:rPr>
        <w:t>a)</w:t>
      </w:r>
      <w:r>
        <w:rPr>
          <w:rFonts w:ascii="Times New Roman" w:hAnsi="Times New Roman" w:eastAsia="Times New Roman" w:cs="Times New Roman"/>
          <w:spacing w:val="67"/>
          <w:w w:val="101"/>
        </w:rPr>
        <w:t xml:space="preserve"> </w:t>
      </w:r>
      <w:r>
        <w:rPr>
          <w:spacing w:val="1"/>
        </w:rPr>
        <w:t>建议检查次数；</w:t>
      </w:r>
    </w:p>
    <w:p w14:paraId="321ABA7B">
      <w:pPr>
        <w:spacing w:line="212" w:lineRule="auto"/>
        <w:sectPr>
          <w:footerReference r:id="rId639" w:type="default"/>
          <w:pgSz w:w="11910" w:h="17130"/>
          <w:pgMar w:top="1456" w:right="785" w:bottom="1657" w:left="1640" w:header="0" w:footer="1440" w:gutter="0"/>
          <w:cols w:space="720" w:num="1"/>
        </w:sectPr>
      </w:pPr>
    </w:p>
    <w:p w14:paraId="3BFA1C3B">
      <w:pPr>
        <w:pStyle w:val="2"/>
        <w:spacing w:before="57" w:line="281" w:lineRule="auto"/>
        <w:ind w:right="25" w:firstLine="560"/>
        <w:rPr>
          <w:sz w:val="25"/>
          <w:szCs w:val="25"/>
        </w:rPr>
      </w:pPr>
      <w:r>
        <w:rPr>
          <w:rFonts w:ascii="Times New Roman" w:hAnsi="Times New Roman" w:eastAsia="Times New Roman" w:cs="Times New Roman"/>
          <w:spacing w:val="13"/>
          <w:sz w:val="25"/>
          <w:szCs w:val="25"/>
        </w:rPr>
        <w:t xml:space="preserve">b)  </w:t>
      </w:r>
      <w:r>
        <w:rPr>
          <w:spacing w:val="13"/>
          <w:sz w:val="25"/>
          <w:szCs w:val="25"/>
        </w:rPr>
        <w:t>进行检查的方法，例如对舰船装备，是否要对甲板、工作台面、操作间或</w:t>
      </w:r>
      <w:r>
        <w:rPr>
          <w:spacing w:val="9"/>
          <w:sz w:val="25"/>
          <w:szCs w:val="25"/>
        </w:rPr>
        <w:t xml:space="preserve"> </w:t>
      </w:r>
      <w:r>
        <w:rPr>
          <w:spacing w:val="17"/>
          <w:sz w:val="25"/>
          <w:szCs w:val="25"/>
        </w:rPr>
        <w:t>通道等进行检查，是否要对上述这些地方对照图样进行核查，或者对现场人机工</w:t>
      </w:r>
      <w:r>
        <w:rPr>
          <w:spacing w:val="7"/>
          <w:sz w:val="25"/>
          <w:szCs w:val="25"/>
        </w:rPr>
        <w:t xml:space="preserve"> </w:t>
      </w:r>
      <w:r>
        <w:rPr>
          <w:spacing w:val="21"/>
          <w:sz w:val="25"/>
          <w:szCs w:val="25"/>
        </w:rPr>
        <w:t>程违规情况等进行简单检查等；</w:t>
      </w:r>
    </w:p>
    <w:p w14:paraId="6A37DB98">
      <w:pPr>
        <w:pStyle w:val="2"/>
        <w:spacing w:before="65" w:line="212" w:lineRule="auto"/>
        <w:ind w:left="560"/>
      </w:pPr>
      <w:r>
        <w:rPr>
          <w:rFonts w:ascii="Times New Roman" w:hAnsi="Times New Roman" w:eastAsia="Times New Roman" w:cs="Times New Roman"/>
          <w:spacing w:val="4"/>
        </w:rPr>
        <w:t>c)</w:t>
      </w:r>
      <w:r>
        <w:rPr>
          <w:rFonts w:ascii="Times New Roman" w:hAnsi="Times New Roman" w:eastAsia="Times New Roman" w:cs="Times New Roman"/>
          <w:spacing w:val="58"/>
          <w:w w:val="101"/>
        </w:rPr>
        <w:t xml:space="preserve"> </w:t>
      </w:r>
      <w:r>
        <w:rPr>
          <w:spacing w:val="4"/>
        </w:rPr>
        <w:t>采用什么方法纠正已检查出的人机工程问题；</w:t>
      </w:r>
    </w:p>
    <w:p w14:paraId="15FBF9DB">
      <w:pPr>
        <w:pStyle w:val="2"/>
        <w:spacing w:before="58" w:line="275" w:lineRule="auto"/>
        <w:ind w:right="1" w:firstLine="560"/>
      </w:pPr>
      <w:r>
        <w:rPr>
          <w:rFonts w:ascii="Times New Roman" w:hAnsi="Times New Roman" w:eastAsia="Times New Roman" w:cs="Times New Roman"/>
          <w:spacing w:val="3"/>
        </w:rPr>
        <w:t>d)</w:t>
      </w:r>
      <w:r>
        <w:rPr>
          <w:rFonts w:ascii="Times New Roman" w:hAnsi="Times New Roman" w:eastAsia="Times New Roman" w:cs="Times New Roman"/>
          <w:spacing w:val="73"/>
        </w:rPr>
        <w:t xml:space="preserve"> </w:t>
      </w:r>
      <w:r>
        <w:rPr>
          <w:spacing w:val="3"/>
        </w:rPr>
        <w:t>如何对所检查出的人机工程设计缺陷予以纠正，以及如何实施这一纠正</w:t>
      </w:r>
      <w:r>
        <w:t xml:space="preserve"> </w:t>
      </w:r>
      <w:r>
        <w:rPr>
          <w:spacing w:val="-8"/>
        </w:rPr>
        <w:t>过程；</w:t>
      </w:r>
    </w:p>
    <w:p w14:paraId="50C371D1">
      <w:pPr>
        <w:pStyle w:val="2"/>
        <w:spacing w:before="37" w:line="260" w:lineRule="auto"/>
        <w:ind w:right="25" w:firstLine="560"/>
      </w:pPr>
      <w:r>
        <w:rPr>
          <w:rFonts w:ascii="Times New Roman" w:hAnsi="Times New Roman" w:eastAsia="Times New Roman" w:cs="Times New Roman"/>
          <w:spacing w:val="3"/>
        </w:rPr>
        <w:t>e)</w:t>
      </w:r>
      <w:r>
        <w:rPr>
          <w:rFonts w:ascii="Times New Roman" w:hAnsi="Times New Roman" w:eastAsia="Times New Roman" w:cs="Times New Roman"/>
          <w:spacing w:val="64"/>
        </w:rPr>
        <w:t xml:space="preserve"> </w:t>
      </w:r>
      <w:r>
        <w:rPr>
          <w:spacing w:val="3"/>
        </w:rPr>
        <w:t>如何对检查中提出需进行改变的人机工程项目实施跟踪检查，以确保这</w:t>
      </w:r>
      <w:r>
        <w:t xml:space="preserve"> </w:t>
      </w:r>
      <w:r>
        <w:rPr>
          <w:spacing w:val="4"/>
        </w:rPr>
        <w:t>些改动均被实施。</w:t>
      </w:r>
    </w:p>
    <w:p w14:paraId="46CAB6A2">
      <w:pPr>
        <w:spacing w:before="92" w:line="221" w:lineRule="auto"/>
        <w:rPr>
          <w:rFonts w:ascii="黑体" w:hAnsi="黑体" w:eastAsia="黑体" w:cs="黑体"/>
          <w:sz w:val="25"/>
          <w:szCs w:val="25"/>
        </w:rPr>
      </w:pPr>
      <w:r>
        <w:rPr>
          <w:rFonts w:ascii="黑体" w:hAnsi="黑体" w:eastAsia="黑体" w:cs="黑体"/>
          <w:spacing w:val="15"/>
          <w:sz w:val="25"/>
          <w:szCs w:val="25"/>
        </w:rPr>
        <w:t>3.11</w:t>
      </w:r>
      <w:r>
        <w:rPr>
          <w:rFonts w:ascii="黑体" w:hAnsi="黑体" w:eastAsia="黑体" w:cs="黑体"/>
          <w:spacing w:val="47"/>
          <w:sz w:val="25"/>
          <w:szCs w:val="25"/>
        </w:rPr>
        <w:t xml:space="preserve">  </w:t>
      </w:r>
      <w:r>
        <w:rPr>
          <w:rFonts w:ascii="黑体" w:hAnsi="黑体" w:eastAsia="黑体" w:cs="黑体"/>
          <w:b/>
          <w:bCs/>
          <w:spacing w:val="15"/>
          <w:sz w:val="25"/>
          <w:szCs w:val="25"/>
        </w:rPr>
        <w:t>人机工程试验项目</w:t>
      </w:r>
    </w:p>
    <w:p w14:paraId="599EEB15">
      <w:pPr>
        <w:pStyle w:val="2"/>
        <w:spacing w:before="98" w:line="280" w:lineRule="auto"/>
        <w:ind w:right="21" w:firstLine="560"/>
      </w:pPr>
      <w:r>
        <w:rPr>
          <w:spacing w:val="5"/>
        </w:rPr>
        <w:t>人机工程试验的目的，是要验证被测试系统是否能为其所有的潜在用户安</w:t>
      </w:r>
      <w:r>
        <w:rPr>
          <w:spacing w:val="14"/>
        </w:rPr>
        <w:t xml:space="preserve"> </w:t>
      </w:r>
      <w:r>
        <w:rPr>
          <w:spacing w:val="2"/>
        </w:rPr>
        <w:t>全有效地操作或维修。</w:t>
      </w:r>
    </w:p>
    <w:p w14:paraId="4BED64D0">
      <w:pPr>
        <w:pStyle w:val="2"/>
        <w:spacing w:before="1" w:line="218" w:lineRule="auto"/>
        <w:ind w:left="560"/>
      </w:pPr>
      <w:r>
        <w:rPr>
          <w:spacing w:val="1"/>
        </w:rPr>
        <w:t>人机工程试验通常有两种类型：</w:t>
      </w:r>
    </w:p>
    <w:p w14:paraId="76FBBD84">
      <w:pPr>
        <w:pStyle w:val="2"/>
        <w:spacing w:before="51" w:line="212" w:lineRule="auto"/>
        <w:ind w:left="560"/>
      </w:pPr>
      <w:r>
        <w:rPr>
          <w:rFonts w:ascii="Times New Roman" w:hAnsi="Times New Roman" w:eastAsia="Times New Roman" w:cs="Times New Roman"/>
          <w:spacing w:val="-1"/>
        </w:rPr>
        <w:t>a)</w:t>
      </w:r>
      <w:r>
        <w:rPr>
          <w:rFonts w:ascii="Times New Roman" w:hAnsi="Times New Roman" w:eastAsia="Times New Roman" w:cs="Times New Roman"/>
          <w:spacing w:val="17"/>
          <w:w w:val="101"/>
        </w:rPr>
        <w:t xml:space="preserve">  </w:t>
      </w:r>
      <w:r>
        <w:rPr>
          <w:spacing w:val="-1"/>
        </w:rPr>
        <w:t>由人机工程专家为人机工程目的而计划、实施与</w:t>
      </w:r>
      <w:r>
        <w:rPr>
          <w:spacing w:val="-2"/>
        </w:rPr>
        <w:t>评估的试验；</w:t>
      </w:r>
    </w:p>
    <w:p w14:paraId="6968642F">
      <w:pPr>
        <w:pStyle w:val="2"/>
        <w:spacing w:before="98" w:line="260" w:lineRule="auto"/>
        <w:ind w:firstLine="560"/>
      </w:pPr>
      <w:r>
        <w:rPr>
          <w:rFonts w:ascii="Times New Roman" w:hAnsi="Times New Roman" w:eastAsia="Times New Roman" w:cs="Times New Roman"/>
          <w:spacing w:val="3"/>
        </w:rPr>
        <w:t xml:space="preserve">b)  </w:t>
      </w:r>
      <w:r>
        <w:rPr>
          <w:spacing w:val="3"/>
        </w:rPr>
        <w:t>由人机工程专业之外的其他专业人员设计与实施的试验，人机工程人员</w:t>
      </w:r>
      <w:r>
        <w:rPr>
          <w:spacing w:val="1"/>
        </w:rPr>
        <w:t xml:space="preserve"> </w:t>
      </w:r>
      <w:r>
        <w:rPr>
          <w:spacing w:val="5"/>
        </w:rPr>
        <w:t>作为参加者或监视人参与该类试验的人机工程相关部</w:t>
      </w:r>
      <w:r>
        <w:rPr>
          <w:spacing w:val="4"/>
        </w:rPr>
        <w:t>分。</w:t>
      </w:r>
    </w:p>
    <w:p w14:paraId="7A50C617">
      <w:pPr>
        <w:pStyle w:val="2"/>
        <w:spacing w:before="81" w:line="279" w:lineRule="auto"/>
        <w:ind w:right="13" w:firstLine="560"/>
        <w:jc w:val="both"/>
      </w:pPr>
      <w:r>
        <w:rPr>
          <w:spacing w:val="-3"/>
        </w:rPr>
        <w:t>不同的装备或不同的系统、设备，依据其研制工程的特殊性，可以选择不同</w:t>
      </w:r>
      <w:r>
        <w:rPr>
          <w:spacing w:val="12"/>
        </w:rPr>
        <w:t xml:space="preserve"> </w:t>
      </w:r>
      <w:r>
        <w:rPr>
          <w:spacing w:val="22"/>
        </w:rPr>
        <w:t>的人机工程试验类型。但不管选择哪一种人机工程试验项目，均应按</w:t>
      </w:r>
      <w:r>
        <w:rPr>
          <w:spacing w:val="-56"/>
        </w:rPr>
        <w:t xml:space="preserve"> </w:t>
      </w:r>
      <w:r>
        <w:rPr>
          <w:rFonts w:ascii="Times New Roman" w:hAnsi="Times New Roman" w:eastAsia="Times New Roman" w:cs="Times New Roman"/>
        </w:rPr>
        <w:t xml:space="preserve">GJB  </w:t>
      </w:r>
      <w:r>
        <w:rPr>
          <w:spacing w:val="6"/>
        </w:rPr>
        <w:t>3207—1998中的有关规定进行。</w:t>
      </w:r>
    </w:p>
    <w:p w14:paraId="49FC89A4">
      <w:pPr>
        <w:pStyle w:val="2"/>
        <w:spacing w:before="6" w:line="274" w:lineRule="auto"/>
        <w:ind w:right="27" w:firstLine="560"/>
      </w:pPr>
      <w:r>
        <w:rPr>
          <w:spacing w:val="5"/>
        </w:rPr>
        <w:t>应提出人机工程试验项目的两个构成要素；人机工程试验计划与人机工程</w:t>
      </w:r>
      <w:r>
        <w:rPr>
          <w:spacing w:val="8"/>
        </w:rPr>
        <w:t xml:space="preserve"> </w:t>
      </w:r>
      <w:r>
        <w:t>试验报告。</w:t>
      </w:r>
    </w:p>
    <w:p w14:paraId="1B2337AB">
      <w:pPr>
        <w:spacing w:before="22" w:line="221" w:lineRule="auto"/>
        <w:rPr>
          <w:rFonts w:ascii="黑体" w:hAnsi="黑体" w:eastAsia="黑体" w:cs="黑体"/>
          <w:sz w:val="25"/>
          <w:szCs w:val="25"/>
        </w:rPr>
      </w:pPr>
      <w:r>
        <w:rPr>
          <w:rFonts w:ascii="黑体" w:hAnsi="黑体" w:eastAsia="黑体" w:cs="黑体"/>
          <w:spacing w:val="12"/>
          <w:sz w:val="25"/>
          <w:szCs w:val="25"/>
        </w:rPr>
        <w:t>3.11.1</w:t>
      </w:r>
      <w:r>
        <w:rPr>
          <w:rFonts w:ascii="黑体" w:hAnsi="黑体" w:eastAsia="黑体" w:cs="黑体"/>
          <w:spacing w:val="4"/>
          <w:sz w:val="25"/>
          <w:szCs w:val="25"/>
        </w:rPr>
        <w:t xml:space="preserve">   </w:t>
      </w:r>
      <w:r>
        <w:rPr>
          <w:rFonts w:ascii="黑体" w:hAnsi="黑体" w:eastAsia="黑体" w:cs="黑体"/>
          <w:b/>
          <w:bCs/>
          <w:spacing w:val="12"/>
          <w:sz w:val="25"/>
          <w:szCs w:val="25"/>
        </w:rPr>
        <w:t>人机工程试验计划</w:t>
      </w:r>
    </w:p>
    <w:p w14:paraId="7D6AB050">
      <w:pPr>
        <w:pStyle w:val="2"/>
        <w:spacing w:before="95" w:line="273" w:lineRule="auto"/>
        <w:ind w:right="13" w:firstLine="560"/>
        <w:jc w:val="both"/>
      </w:pPr>
      <w:r>
        <w:rPr>
          <w:spacing w:val="6"/>
        </w:rPr>
        <w:t>人机工程试验计划用以说明人机工程试验项目如何</w:t>
      </w:r>
      <w:r>
        <w:rPr>
          <w:spacing w:val="5"/>
        </w:rPr>
        <w:t>进行及何时完成，承制</w:t>
      </w:r>
      <w:r>
        <w:t xml:space="preserve"> </w:t>
      </w:r>
      <w:r>
        <w:rPr>
          <w:spacing w:val="13"/>
        </w:rPr>
        <w:t>方一般应在人机工程试验方案实施前90天将试验计划提交给订购方批准。提</w:t>
      </w:r>
      <w:r>
        <w:rPr>
          <w:spacing w:val="18"/>
        </w:rPr>
        <w:t xml:space="preserve"> </w:t>
      </w:r>
      <w:r>
        <w:rPr>
          <w:spacing w:val="6"/>
        </w:rPr>
        <w:t>交的人机工程试验计划至少应包含计划要进行</w:t>
      </w:r>
      <w:r>
        <w:rPr>
          <w:spacing w:val="5"/>
        </w:rPr>
        <w:t>试验的类型和建议的数据收集分</w:t>
      </w:r>
      <w:r>
        <w:t xml:space="preserve"> </w:t>
      </w:r>
      <w:r>
        <w:rPr>
          <w:spacing w:val="-3"/>
        </w:rPr>
        <w:t>析方法。其中计划要进行的试验类型应说明：是否需进行人机工程特殊试验，如</w:t>
      </w:r>
      <w:r>
        <w:rPr>
          <w:spacing w:val="13"/>
        </w:rPr>
        <w:t xml:space="preserve"> </w:t>
      </w:r>
      <w:r>
        <w:rPr>
          <w:spacing w:val="1"/>
        </w:rPr>
        <w:t>果要进行，如何实施?是使用样机或训练模拟器做试验，还是用系统或设备实物</w:t>
      </w:r>
      <w:r>
        <w:rPr>
          <w:spacing w:val="2"/>
        </w:rPr>
        <w:t xml:space="preserve"> </w:t>
      </w:r>
      <w:r>
        <w:rPr>
          <w:spacing w:val="9"/>
        </w:rPr>
        <w:t>做试验?如果相关的人机工程试验程序依赖于有关工程验收试验的联合参与或</w:t>
      </w:r>
      <w:r>
        <w:t xml:space="preserve"> </w:t>
      </w:r>
      <w:r>
        <w:rPr>
          <w:spacing w:val="-2"/>
        </w:rPr>
        <w:t>简单性监视，则在人机工程试验计划中应包含以</w:t>
      </w:r>
      <w:r>
        <w:rPr>
          <w:spacing w:val="-3"/>
        </w:rPr>
        <w:t>下内容：</w:t>
      </w:r>
    </w:p>
    <w:p w14:paraId="0F40590F">
      <w:pPr>
        <w:pStyle w:val="2"/>
        <w:spacing w:before="17" w:line="212" w:lineRule="auto"/>
        <w:ind w:left="560"/>
      </w:pPr>
      <w:r>
        <w:rPr>
          <w:rFonts w:ascii="Times New Roman" w:hAnsi="Times New Roman" w:eastAsia="Times New Roman" w:cs="Times New Roman"/>
          <w:spacing w:val="4"/>
        </w:rPr>
        <w:t xml:space="preserve">a)  </w:t>
      </w:r>
      <w:r>
        <w:rPr>
          <w:spacing w:val="4"/>
        </w:rPr>
        <w:t>列出需参与或监视的工程验收试验清单；</w:t>
      </w:r>
    </w:p>
    <w:p w14:paraId="60089B7D">
      <w:pPr>
        <w:pStyle w:val="2"/>
        <w:spacing w:before="100" w:line="212" w:lineRule="auto"/>
        <w:ind w:left="560"/>
      </w:pPr>
      <w:r>
        <w:rPr>
          <w:rFonts w:ascii="Times New Roman" w:hAnsi="Times New Roman" w:eastAsia="Times New Roman" w:cs="Times New Roman"/>
          <w:spacing w:val="4"/>
        </w:rPr>
        <w:t>b)</w:t>
      </w:r>
      <w:r>
        <w:rPr>
          <w:rFonts w:ascii="Times New Roman" w:hAnsi="Times New Roman" w:eastAsia="Times New Roman" w:cs="Times New Roman"/>
          <w:spacing w:val="81"/>
        </w:rPr>
        <w:t xml:space="preserve"> </w:t>
      </w:r>
      <w:r>
        <w:rPr>
          <w:spacing w:val="4"/>
        </w:rPr>
        <w:t>对需参与或监视的工程试验的选择原则；</w:t>
      </w:r>
    </w:p>
    <w:p w14:paraId="0F88678F">
      <w:pPr>
        <w:pStyle w:val="2"/>
        <w:spacing w:before="100" w:line="212" w:lineRule="auto"/>
        <w:ind w:left="560"/>
      </w:pPr>
      <w:r>
        <w:rPr>
          <w:rFonts w:ascii="Times New Roman" w:hAnsi="Times New Roman" w:eastAsia="Times New Roman" w:cs="Times New Roman"/>
        </w:rPr>
        <w:t>c)</w:t>
      </w:r>
      <w:r>
        <w:rPr>
          <w:rFonts w:ascii="Times New Roman" w:hAnsi="Times New Roman" w:eastAsia="Times New Roman" w:cs="Times New Roman"/>
          <w:spacing w:val="66"/>
        </w:rPr>
        <w:t xml:space="preserve"> </w:t>
      </w:r>
      <w:r>
        <w:t>预计的被试，以及他们同设计中限定的实施用户人群的对比关系；</w:t>
      </w:r>
    </w:p>
    <w:p w14:paraId="010C7EEF">
      <w:pPr>
        <w:pStyle w:val="2"/>
        <w:spacing w:before="100" w:line="212" w:lineRule="auto"/>
        <w:ind w:left="560"/>
      </w:pPr>
      <w:r>
        <w:rPr>
          <w:rFonts w:ascii="Times New Roman" w:hAnsi="Times New Roman" w:eastAsia="Times New Roman" w:cs="Times New Roman"/>
        </w:rPr>
        <w:t xml:space="preserve">d)  </w:t>
      </w:r>
      <w:r>
        <w:t>预期的试验环境，以及这种环境与用户的实际操作环境的比较关系；</w:t>
      </w:r>
    </w:p>
    <w:p w14:paraId="5C26F620">
      <w:pPr>
        <w:pStyle w:val="2"/>
        <w:spacing w:before="122" w:line="212" w:lineRule="auto"/>
        <w:ind w:left="560"/>
        <w:rPr>
          <w:sz w:val="25"/>
          <w:szCs w:val="25"/>
        </w:rPr>
      </w:pPr>
      <w:r>
        <w:rPr>
          <w:rFonts w:ascii="Times New Roman" w:hAnsi="Times New Roman" w:eastAsia="Times New Roman" w:cs="Times New Roman"/>
          <w:spacing w:val="14"/>
          <w:sz w:val="25"/>
          <w:szCs w:val="25"/>
        </w:rPr>
        <w:t xml:space="preserve">e)  </w:t>
      </w:r>
      <w:r>
        <w:rPr>
          <w:spacing w:val="14"/>
          <w:sz w:val="25"/>
          <w:szCs w:val="25"/>
        </w:rPr>
        <w:t>控制，如果需要，人机工程人员将对试验程序实施监督或提供指导；</w:t>
      </w:r>
    </w:p>
    <w:p w14:paraId="00E13B8D">
      <w:pPr>
        <w:pStyle w:val="2"/>
        <w:spacing w:before="101" w:line="212" w:lineRule="auto"/>
        <w:ind w:right="17"/>
        <w:jc w:val="right"/>
      </w:pPr>
      <w:r>
        <w:rPr>
          <w:rFonts w:ascii="Times New Roman" w:hAnsi="Times New Roman" w:eastAsia="Times New Roman" w:cs="Times New Roman"/>
          <w:spacing w:val="4"/>
        </w:rPr>
        <w:t xml:space="preserve">f)  </w:t>
      </w:r>
      <w:r>
        <w:rPr>
          <w:spacing w:val="4"/>
        </w:rPr>
        <w:t>在实施工程验收试验过程中各分承包商的责任，以及说明</w:t>
      </w:r>
      <w:r>
        <w:rPr>
          <w:spacing w:val="3"/>
        </w:rPr>
        <w:t>如何协调它们</w:t>
      </w:r>
    </w:p>
    <w:p w14:paraId="39B287DA">
      <w:pPr>
        <w:spacing w:line="212" w:lineRule="auto"/>
        <w:sectPr>
          <w:footerReference r:id="rId640" w:type="default"/>
          <w:pgSz w:w="11910" w:h="17130"/>
          <w:pgMar w:top="1456" w:right="1342" w:bottom="1703" w:left="1170" w:header="0" w:footer="1504" w:gutter="0"/>
          <w:cols w:space="720" w:num="1"/>
        </w:sectPr>
      </w:pPr>
    </w:p>
    <w:p w14:paraId="17EBCFD6">
      <w:pPr>
        <w:pStyle w:val="2"/>
        <w:spacing w:before="53" w:line="219" w:lineRule="auto"/>
      </w:pPr>
      <w:r>
        <w:rPr>
          <w:spacing w:val="2"/>
        </w:rPr>
        <w:t>之间的人机工程要求关系。</w:t>
      </w:r>
    </w:p>
    <w:p w14:paraId="34DAEF4A">
      <w:pPr>
        <w:spacing w:before="94" w:line="221" w:lineRule="auto"/>
        <w:rPr>
          <w:rFonts w:ascii="黑体" w:hAnsi="黑体" w:eastAsia="黑体" w:cs="黑体"/>
          <w:sz w:val="25"/>
          <w:szCs w:val="25"/>
        </w:rPr>
      </w:pPr>
      <w:r>
        <w:rPr>
          <w:rFonts w:ascii="黑体" w:hAnsi="黑体" w:eastAsia="黑体" w:cs="黑体"/>
          <w:spacing w:val="13"/>
          <w:sz w:val="25"/>
          <w:szCs w:val="25"/>
        </w:rPr>
        <w:t>3.11.2</w:t>
      </w:r>
      <w:r>
        <w:rPr>
          <w:rFonts w:ascii="黑体" w:hAnsi="黑体" w:eastAsia="黑体" w:cs="黑体"/>
          <w:spacing w:val="63"/>
          <w:sz w:val="25"/>
          <w:szCs w:val="25"/>
        </w:rPr>
        <w:t xml:space="preserve">  </w:t>
      </w:r>
      <w:r>
        <w:rPr>
          <w:rFonts w:ascii="黑体" w:hAnsi="黑体" w:eastAsia="黑体" w:cs="黑体"/>
          <w:b/>
          <w:bCs/>
          <w:spacing w:val="13"/>
          <w:sz w:val="25"/>
          <w:szCs w:val="25"/>
        </w:rPr>
        <w:t>人机工程试验报告</w:t>
      </w:r>
    </w:p>
    <w:p w14:paraId="6C605426">
      <w:pPr>
        <w:pStyle w:val="2"/>
        <w:spacing w:before="85" w:line="277" w:lineRule="auto"/>
        <w:ind w:right="99" w:firstLine="560"/>
      </w:pPr>
      <w:r>
        <w:rPr>
          <w:spacing w:val="5"/>
        </w:rPr>
        <w:t>应对人机工程试验报告的一般格式及内容做简要说明，而在以后的人机工</w:t>
      </w:r>
      <w:r>
        <w:rPr>
          <w:spacing w:val="3"/>
        </w:rPr>
        <w:t xml:space="preserve"> </w:t>
      </w:r>
      <w:r>
        <w:rPr>
          <w:spacing w:val="4"/>
        </w:rPr>
        <w:t>程试验计划中再对此作出更详细的说明。</w:t>
      </w:r>
    </w:p>
    <w:p w14:paraId="0749563B">
      <w:pPr>
        <w:pStyle w:val="2"/>
        <w:spacing w:before="3" w:line="279" w:lineRule="auto"/>
        <w:ind w:right="102" w:firstLine="560"/>
        <w:jc w:val="both"/>
      </w:pPr>
      <w:r>
        <w:rPr>
          <w:spacing w:val="5"/>
        </w:rPr>
        <w:t>人机工程试验报告应该按每个人机工程试验的内容不同，分别编制成简短</w:t>
      </w:r>
      <w:r>
        <w:t xml:space="preserve"> </w:t>
      </w:r>
      <w:r>
        <w:rPr>
          <w:spacing w:val="-3"/>
        </w:rPr>
        <w:t>报告并提交，也可以作为人机工程季度进展报告的一部分提交，或在承制方完成</w:t>
      </w:r>
      <w:r>
        <w:rPr>
          <w:spacing w:val="16"/>
        </w:rPr>
        <w:t xml:space="preserve"> </w:t>
      </w:r>
      <w:r>
        <w:rPr>
          <w:spacing w:val="4"/>
        </w:rPr>
        <w:t>全部人机工程试验报告时一并提交。</w:t>
      </w:r>
    </w:p>
    <w:p w14:paraId="423EB179">
      <w:pPr>
        <w:spacing w:line="221" w:lineRule="auto"/>
        <w:rPr>
          <w:rFonts w:ascii="黑体" w:hAnsi="黑体" w:eastAsia="黑体" w:cs="黑体"/>
          <w:sz w:val="27"/>
          <w:szCs w:val="27"/>
        </w:rPr>
      </w:pPr>
      <w:r>
        <w:rPr>
          <w:rFonts w:ascii="黑体" w:hAnsi="黑体" w:eastAsia="黑体" w:cs="黑体"/>
          <w:sz w:val="27"/>
          <w:szCs w:val="27"/>
        </w:rPr>
        <w:t>3.12</w:t>
      </w:r>
      <w:r>
        <w:rPr>
          <w:rFonts w:ascii="黑体" w:hAnsi="黑体" w:eastAsia="黑体" w:cs="黑体"/>
          <w:spacing w:val="28"/>
          <w:sz w:val="27"/>
          <w:szCs w:val="27"/>
        </w:rPr>
        <w:t xml:space="preserve">  </w:t>
      </w:r>
      <w:r>
        <w:rPr>
          <w:rFonts w:ascii="黑体" w:hAnsi="黑体" w:eastAsia="黑体" w:cs="黑体"/>
          <w:b/>
          <w:bCs/>
          <w:sz w:val="27"/>
          <w:szCs w:val="27"/>
        </w:rPr>
        <w:t>人机工程进展报告</w:t>
      </w:r>
    </w:p>
    <w:p w14:paraId="5108EE4D">
      <w:pPr>
        <w:pStyle w:val="2"/>
        <w:spacing w:before="98" w:line="282" w:lineRule="auto"/>
        <w:ind w:firstLine="560"/>
        <w:jc w:val="both"/>
        <w:rPr>
          <w:rFonts w:ascii="黑体" w:hAnsi="黑体" w:eastAsia="黑体" w:cs="黑体"/>
          <w:sz w:val="25"/>
          <w:szCs w:val="25"/>
        </w:rPr>
      </w:pPr>
      <w:r>
        <w:rPr>
          <w:spacing w:val="6"/>
        </w:rPr>
        <w:t>根据具体工程的实际需要，订购方可要求承制方提交</w:t>
      </w:r>
      <w:r>
        <w:rPr>
          <w:spacing w:val="5"/>
        </w:rPr>
        <w:t>相关的人机工程进展</w:t>
      </w:r>
      <w:r>
        <w:t xml:space="preserve"> </w:t>
      </w:r>
      <w:r>
        <w:rPr>
          <w:spacing w:val="-2"/>
        </w:rPr>
        <w:t>报告。如要求提交该类报告，则应对进展报告的</w:t>
      </w:r>
      <w:r>
        <w:rPr>
          <w:spacing w:val="-3"/>
        </w:rPr>
        <w:t>内容、格式要求及提交日期等作</w:t>
      </w:r>
      <w:r>
        <w:t xml:space="preserve"> 出规定，另外要求提交的这些人机工程进展报告资料应在相关合同中予以明确。</w:t>
      </w:r>
      <w:r>
        <w:rPr>
          <w:spacing w:val="13"/>
        </w:rPr>
        <w:t xml:space="preserve"> </w:t>
      </w:r>
      <w:r>
        <w:rPr>
          <w:rFonts w:ascii="黑体" w:hAnsi="黑体" w:eastAsia="黑体" w:cs="黑体"/>
          <w:spacing w:val="14"/>
          <w:sz w:val="25"/>
          <w:szCs w:val="25"/>
        </w:rPr>
        <w:t>4</w:t>
      </w:r>
      <w:r>
        <w:rPr>
          <w:rFonts w:ascii="黑体" w:hAnsi="黑体" w:eastAsia="黑体" w:cs="黑体"/>
          <w:spacing w:val="33"/>
          <w:sz w:val="25"/>
          <w:szCs w:val="25"/>
        </w:rPr>
        <w:t xml:space="preserve">  </w:t>
      </w:r>
      <w:r>
        <w:rPr>
          <w:rFonts w:ascii="黑体" w:hAnsi="黑体" w:eastAsia="黑体" w:cs="黑体"/>
          <w:b/>
          <w:bCs/>
          <w:spacing w:val="14"/>
          <w:sz w:val="25"/>
          <w:szCs w:val="25"/>
        </w:rPr>
        <w:t>人机工程管理</w:t>
      </w:r>
    </w:p>
    <w:p w14:paraId="6073F35E">
      <w:pPr>
        <w:spacing w:before="42" w:line="224" w:lineRule="auto"/>
        <w:rPr>
          <w:rFonts w:ascii="黑体" w:hAnsi="黑体" w:eastAsia="黑体" w:cs="黑体"/>
          <w:sz w:val="24"/>
          <w:szCs w:val="24"/>
        </w:rPr>
      </w:pPr>
      <w:r>
        <w:rPr>
          <w:rFonts w:ascii="黑体" w:hAnsi="黑体" w:eastAsia="黑体" w:cs="黑体"/>
          <w:spacing w:val="-3"/>
          <w:sz w:val="24"/>
          <w:szCs w:val="24"/>
        </w:rPr>
        <w:t>4.</w:t>
      </w:r>
      <w:r>
        <w:rPr>
          <w:rFonts w:ascii="黑体" w:hAnsi="黑体" w:eastAsia="黑体" w:cs="黑体"/>
          <w:b/>
          <w:bCs/>
          <w:spacing w:val="-3"/>
          <w:sz w:val="24"/>
          <w:szCs w:val="24"/>
        </w:rPr>
        <w:t>1</w:t>
      </w:r>
      <w:r>
        <w:rPr>
          <w:rFonts w:ascii="黑体" w:hAnsi="黑体" w:eastAsia="黑体" w:cs="黑体"/>
          <w:spacing w:val="51"/>
          <w:sz w:val="24"/>
          <w:szCs w:val="24"/>
        </w:rPr>
        <w:t xml:space="preserve">  </w:t>
      </w:r>
      <w:r>
        <w:rPr>
          <w:rFonts w:ascii="黑体" w:hAnsi="黑体" w:eastAsia="黑体" w:cs="黑体"/>
          <w:b/>
          <w:bCs/>
          <w:spacing w:val="-3"/>
          <w:sz w:val="24"/>
          <w:szCs w:val="24"/>
        </w:rPr>
        <w:t>机</w:t>
      </w:r>
      <w:r>
        <w:rPr>
          <w:rFonts w:ascii="黑体" w:hAnsi="黑体" w:eastAsia="黑体" w:cs="黑体"/>
          <w:spacing w:val="-39"/>
          <w:sz w:val="24"/>
          <w:szCs w:val="24"/>
        </w:rPr>
        <w:t xml:space="preserve"> </w:t>
      </w:r>
      <w:r>
        <w:rPr>
          <w:rFonts w:ascii="黑体" w:hAnsi="黑体" w:eastAsia="黑体" w:cs="黑体"/>
          <w:b/>
          <w:bCs/>
          <w:spacing w:val="-3"/>
          <w:sz w:val="24"/>
          <w:szCs w:val="24"/>
        </w:rPr>
        <w:t>构</w:t>
      </w:r>
    </w:p>
    <w:p w14:paraId="40E05E00">
      <w:pPr>
        <w:pStyle w:val="2"/>
        <w:spacing w:before="77" w:line="273" w:lineRule="auto"/>
        <w:ind w:right="78" w:firstLine="560"/>
        <w:jc w:val="both"/>
      </w:pPr>
      <w:r>
        <w:rPr>
          <w:spacing w:val="10"/>
        </w:rPr>
        <w:t>应含有一个人机工程管理组织机构(图或表),且应</w:t>
      </w:r>
      <w:r>
        <w:rPr>
          <w:spacing w:val="9"/>
        </w:rPr>
        <w:t>对相应的人机工程人员</w:t>
      </w:r>
      <w:r>
        <w:t xml:space="preserve"> </w:t>
      </w:r>
      <w:r>
        <w:rPr>
          <w:spacing w:val="5"/>
        </w:rPr>
        <w:t>的职责及其工作关系作出规定，并应对当人机工程的设计要求与其他方面的要</w:t>
      </w:r>
      <w:r>
        <w:rPr>
          <w:spacing w:val="12"/>
        </w:rPr>
        <w:t xml:space="preserve"> </w:t>
      </w:r>
      <w:r>
        <w:rPr>
          <w:spacing w:val="-2"/>
        </w:rPr>
        <w:t>求发生矛盾时如何处理，由谁作最终决策，决策</w:t>
      </w:r>
      <w:r>
        <w:rPr>
          <w:spacing w:val="-3"/>
        </w:rPr>
        <w:t>是否必须符合人机工程要求等作</w:t>
      </w:r>
      <w:r>
        <w:t xml:space="preserve"> </w:t>
      </w:r>
      <w:r>
        <w:rPr>
          <w:spacing w:val="-5"/>
        </w:rPr>
        <w:t>出说明。</w:t>
      </w:r>
    </w:p>
    <w:p w14:paraId="2EDAEB71">
      <w:pPr>
        <w:spacing w:before="21" w:line="222" w:lineRule="auto"/>
        <w:rPr>
          <w:rFonts w:ascii="黑体" w:hAnsi="黑体" w:eastAsia="黑体" w:cs="黑体"/>
          <w:sz w:val="27"/>
          <w:szCs w:val="27"/>
        </w:rPr>
      </w:pPr>
      <w:r>
        <w:rPr>
          <w:rFonts w:ascii="黑体" w:hAnsi="黑体" w:eastAsia="黑体" w:cs="黑体"/>
          <w:spacing w:val="-4"/>
          <w:sz w:val="27"/>
          <w:szCs w:val="27"/>
        </w:rPr>
        <w:t xml:space="preserve">4.2  </w:t>
      </w:r>
      <w:r>
        <w:rPr>
          <w:rFonts w:ascii="黑体" w:hAnsi="黑体" w:eastAsia="黑体" w:cs="黑体"/>
          <w:b/>
          <w:bCs/>
          <w:spacing w:val="-4"/>
          <w:sz w:val="27"/>
          <w:szCs w:val="27"/>
        </w:rPr>
        <w:t>综合保障、安全工程与人机工程的结合</w:t>
      </w:r>
    </w:p>
    <w:p w14:paraId="1ED4F66A">
      <w:pPr>
        <w:pStyle w:val="2"/>
        <w:spacing w:before="97" w:line="280" w:lineRule="auto"/>
        <w:ind w:right="78" w:firstLine="560"/>
        <w:jc w:val="both"/>
      </w:pPr>
      <w:r>
        <w:rPr>
          <w:spacing w:val="5"/>
        </w:rPr>
        <w:t>如果承制方分别由不同的人员或部门来负责这三方面的工作，有些工作可</w:t>
      </w:r>
      <w:r>
        <w:t xml:space="preserve"> </w:t>
      </w:r>
      <w:r>
        <w:rPr>
          <w:spacing w:val="-4"/>
        </w:rPr>
        <w:t>能会发生重叠。</w:t>
      </w:r>
      <w:r>
        <w:rPr>
          <w:b/>
          <w:bCs/>
          <w:spacing w:val="-4"/>
        </w:rPr>
        <w:t>因此，</w:t>
      </w:r>
      <w:r>
        <w:rPr>
          <w:b/>
          <w:bCs/>
          <w:color w:val="504050"/>
          <w:spacing w:val="-4"/>
        </w:rPr>
        <w:t>应将这个问题提出来，</w:t>
      </w:r>
      <w:r>
        <w:rPr>
          <w:spacing w:val="-4"/>
        </w:rPr>
        <w:t>并说明承制方将如何避免这三方面</w:t>
      </w:r>
      <w:r>
        <w:rPr>
          <w:spacing w:val="13"/>
        </w:rPr>
        <w:t xml:space="preserve"> </w:t>
      </w:r>
      <w:r>
        <w:rPr>
          <w:spacing w:val="6"/>
        </w:rPr>
        <w:t>工作的重复。为安全工程而准备的事故评估报告，同时也应交由人机工程人员</w:t>
      </w:r>
      <w:r>
        <w:rPr>
          <w:spacing w:val="1"/>
        </w:rPr>
        <w:t xml:space="preserve"> </w:t>
      </w:r>
      <w:r>
        <w:rPr>
          <w:spacing w:val="-2"/>
        </w:rPr>
        <w:t>进行评审；而人机工程人员在审图、试验或</w:t>
      </w:r>
      <w:r>
        <w:rPr>
          <w:spacing w:val="-3"/>
        </w:rPr>
        <w:t>其他工作过程中发现的安全问题，也</w:t>
      </w:r>
      <w:r>
        <w:t xml:space="preserve"> </w:t>
      </w:r>
      <w:r>
        <w:rPr>
          <w:spacing w:val="5"/>
        </w:rPr>
        <w:t>应及时向安全工程管理部门报告。应对承制方如何保证这三方面工作的密切合</w:t>
      </w:r>
      <w:r>
        <w:rPr>
          <w:spacing w:val="10"/>
        </w:rPr>
        <w:t xml:space="preserve"> </w:t>
      </w:r>
      <w:r>
        <w:rPr>
          <w:spacing w:val="3"/>
        </w:rPr>
        <w:t>作作出必要的说明。</w:t>
      </w:r>
    </w:p>
    <w:p w14:paraId="5A90FE9A">
      <w:pPr>
        <w:spacing w:before="20" w:line="222" w:lineRule="auto"/>
        <w:rPr>
          <w:rFonts w:ascii="黑体" w:hAnsi="黑体" w:eastAsia="黑体" w:cs="黑体"/>
          <w:sz w:val="24"/>
          <w:szCs w:val="24"/>
        </w:rPr>
      </w:pPr>
      <w:r>
        <w:rPr>
          <w:rFonts w:ascii="黑体" w:hAnsi="黑体" w:eastAsia="黑体" w:cs="黑体"/>
          <w:spacing w:val="25"/>
          <w:sz w:val="24"/>
          <w:szCs w:val="24"/>
        </w:rPr>
        <w:t>4.3</w:t>
      </w:r>
      <w:r>
        <w:rPr>
          <w:rFonts w:ascii="黑体" w:hAnsi="黑体" w:eastAsia="黑体" w:cs="黑体"/>
          <w:spacing w:val="54"/>
          <w:sz w:val="24"/>
          <w:szCs w:val="24"/>
        </w:rPr>
        <w:t xml:space="preserve">  </w:t>
      </w:r>
      <w:r>
        <w:rPr>
          <w:rFonts w:ascii="黑体" w:hAnsi="黑体" w:eastAsia="黑体" w:cs="黑体"/>
          <w:b/>
          <w:bCs/>
          <w:spacing w:val="25"/>
          <w:sz w:val="24"/>
          <w:szCs w:val="24"/>
        </w:rPr>
        <w:t>人机工程项目实施情况跟踪</w:t>
      </w:r>
    </w:p>
    <w:p w14:paraId="379883EE">
      <w:pPr>
        <w:pStyle w:val="2"/>
        <w:spacing w:before="117" w:line="272" w:lineRule="auto"/>
        <w:ind w:right="83" w:firstLine="560"/>
        <w:jc w:val="both"/>
      </w:pPr>
      <w:r>
        <w:rPr>
          <w:spacing w:val="14"/>
        </w:rPr>
        <w:t>应建立一个对人机工程项目实施情况进行跟踪的工作系统，目的是使人</w:t>
      </w:r>
      <w:r>
        <w:rPr>
          <w:spacing w:val="16"/>
        </w:rPr>
        <w:t xml:space="preserve"> </w:t>
      </w:r>
      <w:r>
        <w:rPr>
          <w:spacing w:val="5"/>
        </w:rPr>
        <w:t>机工程项目不致在设计期间被遗漏；提供一个人机工程的工作记录，以供订购</w:t>
      </w:r>
      <w:r>
        <w:rPr>
          <w:spacing w:val="12"/>
        </w:rPr>
        <w:t xml:space="preserve"> </w:t>
      </w:r>
      <w:r>
        <w:rPr>
          <w:spacing w:val="14"/>
        </w:rPr>
        <w:t>方和承制方评估入机工程工作的实际价值；为在</w:t>
      </w:r>
      <w:r>
        <w:rPr>
          <w:spacing w:val="13"/>
        </w:rPr>
        <w:t>研或后续装备的研制改善提</w:t>
      </w:r>
      <w:r>
        <w:t xml:space="preserve"> </w:t>
      </w:r>
      <w:r>
        <w:rPr>
          <w:spacing w:val="3"/>
        </w:rPr>
        <w:t>供参考。</w:t>
      </w:r>
    </w:p>
    <w:p w14:paraId="6E333BDF">
      <w:pPr>
        <w:pStyle w:val="2"/>
        <w:spacing w:before="20" w:line="219" w:lineRule="auto"/>
        <w:ind w:left="560"/>
      </w:pPr>
      <w:r>
        <w:rPr>
          <w:spacing w:val="-4"/>
        </w:rPr>
        <w:t>在建立跟踪系统时，一般应遵循下列原则：</w:t>
      </w:r>
    </w:p>
    <w:p w14:paraId="3D0826C1">
      <w:pPr>
        <w:pStyle w:val="2"/>
        <w:spacing w:before="49" w:line="260" w:lineRule="auto"/>
        <w:ind w:right="85" w:firstLine="560"/>
      </w:pPr>
      <w:r>
        <w:rPr>
          <w:rFonts w:ascii="Times New Roman" w:hAnsi="Times New Roman" w:eastAsia="Times New Roman" w:cs="Times New Roman"/>
          <w:spacing w:val="3"/>
        </w:rPr>
        <w:t xml:space="preserve">a)  </w:t>
      </w:r>
      <w:r>
        <w:rPr>
          <w:spacing w:val="3"/>
        </w:rPr>
        <w:t>应尽量与现有的数据系统或数据结构相结合，而不宜只为满足人机</w:t>
      </w:r>
      <w:r>
        <w:rPr>
          <w:spacing w:val="2"/>
        </w:rPr>
        <w:t>工程</w:t>
      </w:r>
      <w:r>
        <w:t xml:space="preserve"> </w:t>
      </w:r>
      <w:r>
        <w:rPr>
          <w:spacing w:val="3"/>
        </w:rPr>
        <w:t>要求另建一个数据记录系统；</w:t>
      </w:r>
    </w:p>
    <w:p w14:paraId="14F84DF6">
      <w:pPr>
        <w:pStyle w:val="2"/>
        <w:spacing w:before="59" w:line="212" w:lineRule="auto"/>
        <w:ind w:left="560"/>
      </w:pPr>
      <w:r>
        <w:rPr>
          <w:rFonts w:ascii="Times New Roman" w:hAnsi="Times New Roman" w:eastAsia="Times New Roman" w:cs="Times New Roman"/>
          <w:spacing w:val="3"/>
        </w:rPr>
        <w:t xml:space="preserve">b)  </w:t>
      </w:r>
      <w:r>
        <w:rPr>
          <w:spacing w:val="3"/>
        </w:rPr>
        <w:t>所涉及的文书工作应最小化；</w:t>
      </w:r>
    </w:p>
    <w:p w14:paraId="4C585BDD">
      <w:pPr>
        <w:pStyle w:val="2"/>
        <w:spacing w:before="142" w:line="212" w:lineRule="auto"/>
        <w:ind w:left="560"/>
        <w:rPr>
          <w:sz w:val="25"/>
          <w:szCs w:val="25"/>
        </w:rPr>
      </w:pPr>
      <w:r>
        <w:rPr>
          <w:rFonts w:ascii="Times New Roman" w:hAnsi="Times New Roman" w:eastAsia="Times New Roman" w:cs="Times New Roman"/>
          <w:spacing w:val="21"/>
          <w:sz w:val="25"/>
          <w:szCs w:val="25"/>
        </w:rPr>
        <w:t xml:space="preserve">c)  </w:t>
      </w:r>
      <w:r>
        <w:rPr>
          <w:spacing w:val="21"/>
          <w:sz w:val="25"/>
          <w:szCs w:val="25"/>
        </w:rPr>
        <w:t>应对每一项人机工程设计输入予以记录，记录应表明输入项目是否被采</w:t>
      </w:r>
    </w:p>
    <w:p w14:paraId="1BAF0901">
      <w:pPr>
        <w:spacing w:line="212" w:lineRule="auto"/>
        <w:rPr>
          <w:sz w:val="25"/>
          <w:szCs w:val="25"/>
        </w:rPr>
        <w:sectPr>
          <w:footerReference r:id="rId641" w:type="default"/>
          <w:pgSz w:w="11910" w:h="17130"/>
          <w:pgMar w:top="1416" w:right="985" w:bottom="1689" w:left="1460" w:header="0" w:footer="1509" w:gutter="0"/>
          <w:cols w:space="720" w:num="1"/>
        </w:sectPr>
      </w:pPr>
    </w:p>
    <w:p w14:paraId="6C502E04">
      <w:pPr>
        <w:pStyle w:val="2"/>
        <w:spacing w:before="54" w:line="219" w:lineRule="auto"/>
      </w:pPr>
      <w:r>
        <w:rPr>
          <w:spacing w:val="-7"/>
        </w:rPr>
        <w:t>纳如被否定，是谁同意的，被否决的理由是什么;</w:t>
      </w:r>
    </w:p>
    <w:p w14:paraId="3F9803B3">
      <w:pPr>
        <w:pStyle w:val="2"/>
        <w:spacing w:before="49" w:line="294" w:lineRule="auto"/>
        <w:ind w:right="10" w:firstLine="550"/>
      </w:pPr>
      <w:r>
        <w:rPr>
          <w:rFonts w:ascii="Times New Roman" w:hAnsi="Times New Roman" w:eastAsia="Times New Roman" w:cs="Times New Roman"/>
          <w:spacing w:val="3"/>
        </w:rPr>
        <w:t>d)</w:t>
      </w:r>
      <w:r>
        <w:rPr>
          <w:rFonts w:ascii="Times New Roman" w:hAnsi="Times New Roman" w:eastAsia="Times New Roman" w:cs="Times New Roman"/>
          <w:spacing w:val="62"/>
          <w:w w:val="101"/>
        </w:rPr>
        <w:t xml:space="preserve"> </w:t>
      </w:r>
      <w:r>
        <w:rPr>
          <w:spacing w:val="3"/>
        </w:rPr>
        <w:t>只要有利于记录的长久保存及方便使用，记录的保存方法，可以包含多</w:t>
      </w:r>
      <w:r>
        <w:t xml:space="preserve"> </w:t>
      </w:r>
      <w:r>
        <w:rPr>
          <w:spacing w:val="-1"/>
        </w:rPr>
        <w:t>种技术手段。承制方应说明，如何考虑上述原则及实现跟踪要求。</w:t>
      </w:r>
    </w:p>
    <w:p w14:paraId="0B78E330">
      <w:pPr>
        <w:spacing w:before="4" w:line="222" w:lineRule="auto"/>
        <w:outlineLvl w:val="3"/>
        <w:rPr>
          <w:rFonts w:ascii="黑体" w:hAnsi="黑体" w:eastAsia="黑体" w:cs="黑体"/>
          <w:sz w:val="27"/>
          <w:szCs w:val="27"/>
        </w:rPr>
      </w:pPr>
      <w:r>
        <w:rPr>
          <w:rFonts w:ascii="Arial" w:hAnsi="Arial" w:eastAsia="Arial" w:cs="Arial"/>
          <w:b/>
          <w:bCs/>
          <w:spacing w:val="-1"/>
          <w:sz w:val="27"/>
          <w:szCs w:val="27"/>
        </w:rPr>
        <w:t>5</w:t>
      </w:r>
      <w:r>
        <w:rPr>
          <w:rFonts w:ascii="Arial" w:hAnsi="Arial" w:eastAsia="Arial" w:cs="Arial"/>
          <w:b/>
          <w:bCs/>
          <w:spacing w:val="18"/>
          <w:sz w:val="27"/>
          <w:szCs w:val="27"/>
        </w:rPr>
        <w:t xml:space="preserve">   </w:t>
      </w:r>
      <w:r>
        <w:rPr>
          <w:rFonts w:ascii="黑体" w:hAnsi="黑体" w:eastAsia="黑体" w:cs="黑体"/>
          <w:b/>
          <w:bCs/>
          <w:spacing w:val="-1"/>
          <w:sz w:val="27"/>
          <w:szCs w:val="27"/>
        </w:rPr>
        <w:t>进度安排</w:t>
      </w:r>
    </w:p>
    <w:p w14:paraId="6A23AE4E">
      <w:pPr>
        <w:pStyle w:val="2"/>
        <w:spacing w:before="79" w:line="280" w:lineRule="auto"/>
        <w:ind w:right="15" w:firstLine="550"/>
        <w:jc w:val="both"/>
      </w:pPr>
      <w:r>
        <w:rPr>
          <w:spacing w:val="5"/>
        </w:rPr>
        <w:t>为每项人机工程任务制定一个精确的时间表是十分困难的。因此，通常只</w:t>
      </w:r>
      <w:r>
        <w:rPr>
          <w:spacing w:val="18"/>
        </w:rPr>
        <w:t xml:space="preserve"> </w:t>
      </w:r>
      <w:r>
        <w:rPr>
          <w:spacing w:val="5"/>
        </w:rPr>
        <w:t>能标明一些重大事件时间进度。如果工程方案是一个多年期合同，那就应该按</w:t>
      </w:r>
      <w:r>
        <w:rPr>
          <w:spacing w:val="13"/>
        </w:rPr>
        <w:t xml:space="preserve"> </w:t>
      </w:r>
      <w:r>
        <w:rPr>
          <w:spacing w:val="5"/>
        </w:rPr>
        <w:t>年给出重大事件的进度说明。另外，人机工程的重大事件应与研制的主要阶段</w:t>
      </w:r>
      <w:r>
        <w:rPr>
          <w:spacing w:val="9"/>
        </w:rPr>
        <w:t xml:space="preserve"> </w:t>
      </w:r>
      <w:r>
        <w:rPr>
          <w:spacing w:val="6"/>
        </w:rPr>
        <w:t>计划协调一致，以确保人机工程的项目成果</w:t>
      </w:r>
      <w:r>
        <w:rPr>
          <w:spacing w:val="5"/>
        </w:rPr>
        <w:t>能被及时有效地应用于指导相关的</w:t>
      </w:r>
      <w:r>
        <w:t xml:space="preserve"> </w:t>
      </w:r>
      <w:r>
        <w:rPr>
          <w:spacing w:val="2"/>
        </w:rPr>
        <w:t>研制工程实践。</w:t>
      </w:r>
    </w:p>
    <w:p w14:paraId="37037D71">
      <w:pPr>
        <w:spacing w:before="28" w:line="222" w:lineRule="auto"/>
        <w:rPr>
          <w:rFonts w:ascii="黑体" w:hAnsi="黑体" w:eastAsia="黑体" w:cs="黑体"/>
          <w:sz w:val="25"/>
          <w:szCs w:val="25"/>
        </w:rPr>
      </w:pPr>
      <w:r>
        <w:rPr>
          <w:rFonts w:ascii="黑体" w:hAnsi="黑体" w:eastAsia="黑体" w:cs="黑体"/>
          <w:spacing w:val="3"/>
          <w:sz w:val="25"/>
          <w:szCs w:val="25"/>
        </w:rPr>
        <w:t>6</w:t>
      </w:r>
      <w:r>
        <w:rPr>
          <w:rFonts w:ascii="黑体" w:hAnsi="黑体" w:eastAsia="黑体" w:cs="黑体"/>
          <w:spacing w:val="24"/>
          <w:sz w:val="25"/>
          <w:szCs w:val="25"/>
        </w:rPr>
        <w:t xml:space="preserve">  </w:t>
      </w:r>
      <w:r>
        <w:rPr>
          <w:rFonts w:ascii="黑体" w:hAnsi="黑体" w:eastAsia="黑体" w:cs="黑体"/>
          <w:b/>
          <w:bCs/>
          <w:spacing w:val="3"/>
          <w:sz w:val="25"/>
          <w:szCs w:val="25"/>
        </w:rPr>
        <w:t>附录</w:t>
      </w:r>
    </w:p>
    <w:p w14:paraId="6516E528">
      <w:pPr>
        <w:pStyle w:val="2"/>
        <w:spacing w:before="124" w:line="276" w:lineRule="auto"/>
        <w:ind w:right="20" w:firstLine="550"/>
      </w:pPr>
      <w:r>
        <w:rPr>
          <w:spacing w:val="5"/>
        </w:rPr>
        <w:t>应列出包含那些在计划正文中已作说明的或推荐为附录内容的项目，以及</w:t>
      </w:r>
      <w:r>
        <w:rPr>
          <w:spacing w:val="13"/>
        </w:rPr>
        <w:t xml:space="preserve"> </w:t>
      </w:r>
      <w:r>
        <w:rPr>
          <w:spacing w:val="2"/>
        </w:rPr>
        <w:t>承制方认为有必要添加的其他项目。</w:t>
      </w:r>
    </w:p>
    <w:p w14:paraId="4EE72C59">
      <w:pPr>
        <w:spacing w:line="261" w:lineRule="auto"/>
        <w:rPr>
          <w:rFonts w:ascii="Arial"/>
          <w:sz w:val="21"/>
        </w:rPr>
      </w:pPr>
    </w:p>
    <w:p w14:paraId="4FA95382">
      <w:pPr>
        <w:pStyle w:val="2"/>
        <w:spacing w:before="117" w:line="219" w:lineRule="auto"/>
        <w:ind w:left="2309"/>
        <w:outlineLvl w:val="1"/>
        <w:rPr>
          <w:sz w:val="36"/>
          <w:szCs w:val="36"/>
        </w:rPr>
      </w:pPr>
      <w:r>
        <w:rPr>
          <w:rFonts w:ascii="Times New Roman" w:hAnsi="Times New Roman" w:eastAsia="Times New Roman" w:cs="Times New Roman"/>
          <w:b/>
          <w:bCs/>
          <w:spacing w:val="1"/>
          <w:sz w:val="36"/>
          <w:szCs w:val="36"/>
        </w:rPr>
        <w:t xml:space="preserve">13.4     </w:t>
      </w:r>
      <w:r>
        <w:rPr>
          <w:b/>
          <w:bCs/>
          <w:spacing w:val="1"/>
          <w:sz w:val="36"/>
          <w:szCs w:val="36"/>
        </w:rPr>
        <w:t>人机工程动态仿真计划</w:t>
      </w:r>
    </w:p>
    <w:p w14:paraId="03DA6E14">
      <w:pPr>
        <w:spacing w:line="330" w:lineRule="auto"/>
        <w:rPr>
          <w:rFonts w:ascii="Arial"/>
          <w:sz w:val="21"/>
        </w:rPr>
      </w:pPr>
    </w:p>
    <w:p w14:paraId="2C6B96DE">
      <w:pPr>
        <w:pStyle w:val="2"/>
        <w:spacing w:before="92" w:line="225" w:lineRule="auto"/>
        <w:ind w:left="554"/>
        <w:rPr>
          <w:rFonts w:ascii="楷体" w:hAnsi="楷体" w:eastAsia="楷体" w:cs="楷体"/>
          <w:sz w:val="28"/>
          <w:szCs w:val="28"/>
        </w:rPr>
      </w:pPr>
      <w:r>
        <w:rPr>
          <w:rFonts w:ascii="楷体" w:hAnsi="楷体" w:eastAsia="楷体" w:cs="楷体"/>
          <w:b/>
          <w:bCs/>
          <w:spacing w:val="-7"/>
          <w:sz w:val="28"/>
          <w:szCs w:val="28"/>
        </w:rPr>
        <w:t>按照</w:t>
      </w:r>
      <w:r>
        <w:rPr>
          <w:rFonts w:ascii="Times New Roman" w:hAnsi="Times New Roman" w:eastAsia="Times New Roman" w:cs="Times New Roman"/>
          <w:spacing w:val="-7"/>
          <w:sz w:val="28"/>
          <w:szCs w:val="28"/>
        </w:rPr>
        <w:t>GJB/Z134—2002</w:t>
      </w:r>
      <w:r>
        <w:rPr>
          <w:spacing w:val="-7"/>
          <w:sz w:val="28"/>
          <w:szCs w:val="28"/>
        </w:rPr>
        <w:t>《</w:t>
      </w:r>
      <w:r>
        <w:rPr>
          <w:rFonts w:ascii="楷体" w:hAnsi="楷体" w:eastAsia="楷体" w:cs="楷体"/>
          <w:spacing w:val="-7"/>
          <w:sz w:val="28"/>
          <w:szCs w:val="28"/>
        </w:rPr>
        <w:t>人机工程实施程序指南》编写。</w:t>
      </w:r>
    </w:p>
    <w:p w14:paraId="10919FBF">
      <w:pPr>
        <w:spacing w:before="138"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30"/>
          <w:sz w:val="25"/>
          <w:szCs w:val="25"/>
        </w:rPr>
        <w:t xml:space="preserve">  </w:t>
      </w:r>
      <w:r>
        <w:rPr>
          <w:rFonts w:ascii="黑体" w:hAnsi="黑体" w:eastAsia="黑体" w:cs="黑体"/>
          <w:b/>
          <w:bCs/>
          <w:spacing w:val="3"/>
          <w:sz w:val="25"/>
          <w:szCs w:val="25"/>
        </w:rPr>
        <w:t>范围</w:t>
      </w:r>
    </w:p>
    <w:p w14:paraId="6F4003E6">
      <w:pPr>
        <w:pStyle w:val="2"/>
        <w:spacing w:before="151" w:line="275" w:lineRule="auto"/>
        <w:ind w:right="22" w:firstLine="550"/>
        <w:jc w:val="both"/>
      </w:pPr>
      <w:r>
        <w:rPr>
          <w:spacing w:val="5"/>
        </w:rPr>
        <w:t>说明人机工程动态仿真计划的主题内容和适用范围。明确承制方应承担或</w:t>
      </w:r>
      <w:r>
        <w:rPr>
          <w:spacing w:val="11"/>
        </w:rPr>
        <w:t xml:space="preserve"> </w:t>
      </w:r>
      <w:r>
        <w:rPr>
          <w:spacing w:val="14"/>
        </w:rPr>
        <w:t>应完成的人机工程动态仿真工作，包括相关人机</w:t>
      </w:r>
      <w:r>
        <w:rPr>
          <w:spacing w:val="13"/>
        </w:rPr>
        <w:t>工程标准及合同中规定的任</w:t>
      </w:r>
      <w:r>
        <w:t xml:space="preserve"> </w:t>
      </w:r>
      <w:r>
        <w:rPr>
          <w:spacing w:val="-4"/>
        </w:rPr>
        <w:t>务等。</w:t>
      </w:r>
    </w:p>
    <w:p w14:paraId="37F74A50">
      <w:pPr>
        <w:spacing w:before="38"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引用文件</w:t>
      </w:r>
    </w:p>
    <w:p w14:paraId="7B2ED898">
      <w:pPr>
        <w:pStyle w:val="2"/>
        <w:spacing w:before="150" w:line="219" w:lineRule="auto"/>
        <w:ind w:left="550"/>
      </w:pPr>
      <w:r>
        <w:rPr>
          <w:spacing w:val="2"/>
        </w:rPr>
        <w:t>列出人机工程动态仿真计划中引用的文件。</w:t>
      </w:r>
    </w:p>
    <w:p w14:paraId="72B08F8D">
      <w:pPr>
        <w:spacing w:before="135" w:line="221" w:lineRule="auto"/>
        <w:rPr>
          <w:rFonts w:ascii="黑体" w:hAnsi="黑体" w:eastAsia="黑体" w:cs="黑体"/>
          <w:sz w:val="27"/>
          <w:szCs w:val="27"/>
        </w:rPr>
      </w:pPr>
      <w:r>
        <w:rPr>
          <w:rFonts w:ascii="黑体" w:hAnsi="黑体" w:eastAsia="黑体" w:cs="黑体"/>
          <w:spacing w:val="1"/>
          <w:sz w:val="27"/>
          <w:szCs w:val="27"/>
        </w:rPr>
        <w:t xml:space="preserve">3  </w:t>
      </w:r>
      <w:r>
        <w:rPr>
          <w:rFonts w:ascii="黑体" w:hAnsi="黑体" w:eastAsia="黑体" w:cs="黑体"/>
          <w:b/>
          <w:bCs/>
          <w:spacing w:val="1"/>
          <w:sz w:val="27"/>
          <w:szCs w:val="27"/>
        </w:rPr>
        <w:t>人机工程动态仿真任务</w:t>
      </w:r>
    </w:p>
    <w:p w14:paraId="1C15729D">
      <w:pPr>
        <w:pStyle w:val="2"/>
        <w:spacing w:before="141" w:line="219" w:lineRule="auto"/>
        <w:ind w:left="550"/>
      </w:pPr>
      <w:r>
        <w:rPr>
          <w:spacing w:val="4"/>
        </w:rPr>
        <w:t>说明计划开展的人机工程动态仿真的工作任务。</w:t>
      </w:r>
    </w:p>
    <w:p w14:paraId="6F170159">
      <w:pPr>
        <w:pStyle w:val="2"/>
        <w:spacing w:before="101" w:line="275" w:lineRule="auto"/>
        <w:ind w:firstLine="550"/>
      </w:pPr>
      <w:r>
        <w:rPr>
          <w:spacing w:val="6"/>
        </w:rPr>
        <w:t>在复杂的系统设计中，当静态的实体模型不能达到对操作者进行作业审核</w:t>
      </w:r>
      <w:r>
        <w:rPr>
          <w:spacing w:val="2"/>
        </w:rPr>
        <w:t xml:space="preserve"> </w:t>
      </w:r>
      <w:r>
        <w:rPr>
          <w:spacing w:val="-4"/>
        </w:rPr>
        <w:t>的目的时，允许使用工程模拟器进行动态仿真。</w:t>
      </w:r>
    </w:p>
    <w:p w14:paraId="3CC53263">
      <w:pPr>
        <w:pStyle w:val="2"/>
        <w:spacing w:before="15" w:line="219" w:lineRule="auto"/>
        <w:ind w:left="550"/>
      </w:pPr>
      <w:r>
        <w:rPr>
          <w:spacing w:val="1"/>
        </w:rPr>
        <w:t>人机工程动态仿真的主要作用是：</w:t>
      </w:r>
    </w:p>
    <w:p w14:paraId="5CD6049C">
      <w:pPr>
        <w:pStyle w:val="2"/>
        <w:spacing w:before="109" w:line="247" w:lineRule="auto"/>
        <w:ind w:right="20" w:firstLine="550"/>
      </w:pPr>
      <w:r>
        <w:rPr>
          <w:rFonts w:ascii="Times New Roman" w:hAnsi="Times New Roman" w:eastAsia="Times New Roman" w:cs="Times New Roman"/>
          <w:spacing w:val="6"/>
        </w:rPr>
        <w:t>a</w:t>
      </w:r>
      <w:r>
        <w:rPr>
          <w:spacing w:val="6"/>
        </w:rPr>
        <w:t>)评估操作者的操作程序、设备与操作者之间的接口</w:t>
      </w:r>
      <w:r>
        <w:rPr>
          <w:spacing w:val="5"/>
        </w:rPr>
        <w:t>、指出任一潜在的不</w:t>
      </w:r>
      <w:r>
        <w:t xml:space="preserve"> </w:t>
      </w:r>
      <w:r>
        <w:rPr>
          <w:spacing w:val="3"/>
        </w:rPr>
        <w:t>安全操作程序和不可接受的工作负荷要求；</w:t>
      </w:r>
    </w:p>
    <w:p w14:paraId="1BAC4B44">
      <w:pPr>
        <w:pStyle w:val="2"/>
        <w:spacing w:before="28" w:line="264" w:lineRule="auto"/>
        <w:ind w:right="18" w:firstLine="550"/>
      </w:pPr>
      <w:r>
        <w:rPr>
          <w:rFonts w:ascii="Times New Roman" w:hAnsi="Times New Roman" w:eastAsia="Times New Roman" w:cs="Times New Roman"/>
          <w:spacing w:val="-5"/>
        </w:rPr>
        <w:t xml:space="preserve">b)  </w:t>
      </w:r>
      <w:r>
        <w:rPr>
          <w:spacing w:val="-5"/>
        </w:rPr>
        <w:t>评估设计中非机械方面的特性，如动态控制、通信、信息、电子</w:t>
      </w:r>
      <w:r>
        <w:rPr>
          <w:spacing w:val="-6"/>
        </w:rPr>
        <w:t>显示和显</w:t>
      </w:r>
      <w:r>
        <w:t xml:space="preserve"> </w:t>
      </w:r>
      <w:r>
        <w:rPr>
          <w:spacing w:val="-3"/>
        </w:rPr>
        <w:t>示格式；</w:t>
      </w:r>
    </w:p>
    <w:p w14:paraId="608B960D">
      <w:pPr>
        <w:pStyle w:val="2"/>
        <w:spacing w:before="88" w:line="259" w:lineRule="auto"/>
        <w:ind w:right="14" w:firstLine="550"/>
      </w:pPr>
      <w:r>
        <w:rPr>
          <w:rFonts w:ascii="Times New Roman" w:hAnsi="Times New Roman" w:eastAsia="Times New Roman" w:cs="Times New Roman"/>
          <w:spacing w:val="4"/>
        </w:rPr>
        <w:t>c)</w:t>
      </w:r>
      <w:r>
        <w:rPr>
          <w:rFonts w:ascii="Times New Roman" w:hAnsi="Times New Roman" w:eastAsia="Times New Roman" w:cs="Times New Roman"/>
          <w:spacing w:val="52"/>
          <w:w w:val="101"/>
        </w:rPr>
        <w:t xml:space="preserve"> </w:t>
      </w:r>
      <w:r>
        <w:rPr>
          <w:spacing w:val="4"/>
        </w:rPr>
        <w:t>通过对操作者与系统作业的仿真，从而得出</w:t>
      </w:r>
      <w:r>
        <w:rPr>
          <w:spacing w:val="3"/>
        </w:rPr>
        <w:t>与设计阶段技术状态比较的</w:t>
      </w:r>
      <w:r>
        <w:t xml:space="preserve"> </w:t>
      </w:r>
      <w:r>
        <w:rPr>
          <w:spacing w:val="-6"/>
        </w:rPr>
        <w:t>性能估计、以及不同的人力、操作者和训练参数的费效比评估。</w:t>
      </w:r>
    </w:p>
    <w:p w14:paraId="10C275CA">
      <w:pPr>
        <w:spacing w:line="259" w:lineRule="auto"/>
        <w:sectPr>
          <w:footerReference r:id="rId642" w:type="default"/>
          <w:pgSz w:w="11910" w:h="17130"/>
          <w:pgMar w:top="1386" w:right="1424" w:bottom="1736" w:left="1100" w:header="0" w:footer="1547" w:gutter="0"/>
          <w:cols w:space="720" w:num="1"/>
        </w:sectPr>
      </w:pPr>
    </w:p>
    <w:p w14:paraId="293193E7">
      <w:pPr>
        <w:spacing w:before="278" w:line="222" w:lineRule="auto"/>
        <w:rPr>
          <w:rFonts w:ascii="黑体" w:hAnsi="黑体" w:eastAsia="黑体" w:cs="黑体"/>
          <w:sz w:val="24"/>
          <w:szCs w:val="24"/>
        </w:rPr>
      </w:pPr>
      <w:r>
        <w:rPr>
          <w:rFonts w:ascii="黑体" w:hAnsi="黑体" w:eastAsia="黑体" w:cs="黑体"/>
          <w:spacing w:val="25"/>
          <w:sz w:val="24"/>
          <w:szCs w:val="24"/>
        </w:rPr>
        <w:t>4</w:t>
      </w:r>
      <w:r>
        <w:rPr>
          <w:rFonts w:ascii="黑体" w:hAnsi="黑体" w:eastAsia="黑体" w:cs="黑体"/>
          <w:spacing w:val="47"/>
          <w:sz w:val="24"/>
          <w:szCs w:val="24"/>
        </w:rPr>
        <w:t xml:space="preserve">  </w:t>
      </w:r>
      <w:r>
        <w:rPr>
          <w:rFonts w:ascii="黑体" w:hAnsi="黑体" w:eastAsia="黑体" w:cs="黑体"/>
          <w:b/>
          <w:bCs/>
          <w:spacing w:val="25"/>
          <w:sz w:val="24"/>
          <w:szCs w:val="24"/>
        </w:rPr>
        <w:t>人机工程动态仿真管理</w:t>
      </w:r>
    </w:p>
    <w:p w14:paraId="2643CA4D">
      <w:pPr>
        <w:spacing w:before="135" w:line="224" w:lineRule="auto"/>
        <w:rPr>
          <w:rFonts w:ascii="黑体" w:hAnsi="黑体" w:eastAsia="黑体" w:cs="黑体"/>
          <w:sz w:val="23"/>
          <w:szCs w:val="23"/>
        </w:rPr>
      </w:pPr>
      <w:r>
        <w:rPr>
          <w:rFonts w:ascii="黑体" w:hAnsi="黑体" w:eastAsia="黑体" w:cs="黑体"/>
          <w:spacing w:val="-3"/>
          <w:sz w:val="23"/>
          <w:szCs w:val="23"/>
        </w:rPr>
        <w:t xml:space="preserve">4.1   </w:t>
      </w:r>
      <w:r>
        <w:rPr>
          <w:rFonts w:ascii="黑体" w:hAnsi="黑体" w:eastAsia="黑体" w:cs="黑体"/>
          <w:b/>
          <w:bCs/>
          <w:spacing w:val="-3"/>
          <w:sz w:val="23"/>
          <w:szCs w:val="23"/>
        </w:rPr>
        <w:t>机</w:t>
      </w:r>
      <w:r>
        <w:rPr>
          <w:rFonts w:ascii="黑体" w:hAnsi="黑体" w:eastAsia="黑体" w:cs="黑体"/>
          <w:spacing w:val="-3"/>
          <w:sz w:val="23"/>
          <w:szCs w:val="23"/>
        </w:rPr>
        <w:t xml:space="preserve"> </w:t>
      </w:r>
      <w:r>
        <w:rPr>
          <w:rFonts w:ascii="黑体" w:hAnsi="黑体" w:eastAsia="黑体" w:cs="黑体"/>
          <w:b/>
          <w:bCs/>
          <w:spacing w:val="-3"/>
          <w:sz w:val="23"/>
          <w:szCs w:val="23"/>
        </w:rPr>
        <w:t>构</w:t>
      </w:r>
    </w:p>
    <w:p w14:paraId="259AD267">
      <w:pPr>
        <w:pStyle w:val="2"/>
        <w:spacing w:before="67" w:line="301" w:lineRule="auto"/>
        <w:ind w:right="1" w:firstLine="560"/>
      </w:pPr>
      <w:r>
        <w:rPr>
          <w:spacing w:val="9"/>
        </w:rPr>
        <w:t>说明人机工程管理组织机构(图或表),对相应的人机工程动态仿真人员的</w:t>
      </w:r>
      <w:r>
        <w:rPr>
          <w:spacing w:val="17"/>
        </w:rPr>
        <w:t xml:space="preserve"> </w:t>
      </w:r>
      <w:r>
        <w:rPr>
          <w:spacing w:val="1"/>
        </w:rPr>
        <w:t>职责及其工作关系作出规定。</w:t>
      </w:r>
    </w:p>
    <w:p w14:paraId="7A1D3146">
      <w:pPr>
        <w:spacing w:line="221" w:lineRule="auto"/>
        <w:rPr>
          <w:rFonts w:ascii="黑体" w:hAnsi="黑体" w:eastAsia="黑体" w:cs="黑体"/>
          <w:sz w:val="27"/>
          <w:szCs w:val="27"/>
        </w:rPr>
      </w:pPr>
      <w:r>
        <w:rPr>
          <w:rFonts w:ascii="黑体" w:hAnsi="黑体" w:eastAsia="黑体" w:cs="黑体"/>
          <w:spacing w:val="-4"/>
          <w:sz w:val="27"/>
          <w:szCs w:val="27"/>
        </w:rPr>
        <w:t xml:space="preserve">4.2  </w:t>
      </w:r>
      <w:r>
        <w:rPr>
          <w:rFonts w:ascii="黑体" w:hAnsi="黑体" w:eastAsia="黑体" w:cs="黑体"/>
          <w:b/>
          <w:bCs/>
          <w:spacing w:val="-4"/>
          <w:sz w:val="27"/>
          <w:szCs w:val="27"/>
        </w:rPr>
        <w:t>综合保障、安全工程与人机工程的结合</w:t>
      </w:r>
    </w:p>
    <w:p w14:paraId="5FE85DCC">
      <w:pPr>
        <w:pStyle w:val="2"/>
        <w:spacing w:before="80" w:line="219" w:lineRule="auto"/>
        <w:ind w:left="560"/>
      </w:pPr>
      <w:r>
        <w:t>本节主要说明人机工程动态仿真工作与综合保障、安全</w:t>
      </w:r>
      <w:r>
        <w:rPr>
          <w:spacing w:val="-1"/>
        </w:rPr>
        <w:t>工程的关系。</w:t>
      </w:r>
    </w:p>
    <w:p w14:paraId="0592686C">
      <w:pPr>
        <w:pStyle w:val="2"/>
        <w:spacing w:before="120" w:line="278" w:lineRule="auto"/>
        <w:ind w:right="3" w:firstLine="560"/>
      </w:pPr>
      <w:r>
        <w:rPr>
          <w:spacing w:val="5"/>
        </w:rPr>
        <w:t>说明人机工程动态仿真工作本身所需的保障条件；并说明通过人机工程动</w:t>
      </w:r>
      <w:r>
        <w:rPr>
          <w:spacing w:val="18"/>
        </w:rPr>
        <w:t xml:space="preserve"> </w:t>
      </w:r>
      <w:r>
        <w:rPr>
          <w:spacing w:val="5"/>
        </w:rPr>
        <w:t>态仿真得到的与综合保障有关的结果应及时向综合保障管理部门通报，提出综</w:t>
      </w:r>
      <w:r>
        <w:t xml:space="preserve"> </w:t>
      </w:r>
      <w:r>
        <w:rPr>
          <w:spacing w:val="2"/>
        </w:rPr>
        <w:t>合保障方面的建议。</w:t>
      </w:r>
    </w:p>
    <w:p w14:paraId="227884D3">
      <w:pPr>
        <w:pStyle w:val="2"/>
        <w:spacing w:before="4" w:line="292" w:lineRule="auto"/>
        <w:ind w:right="3" w:firstLine="560"/>
        <w:jc w:val="both"/>
      </w:pPr>
      <w:r>
        <w:rPr>
          <w:spacing w:val="5"/>
        </w:rPr>
        <w:t>说明人机工程动态仿真工作本身所需的安全措施；并说明通过人机工程动</w:t>
      </w:r>
      <w:r>
        <w:rPr>
          <w:spacing w:val="18"/>
        </w:rPr>
        <w:t xml:space="preserve"> </w:t>
      </w:r>
      <w:r>
        <w:rPr>
          <w:spacing w:val="5"/>
        </w:rPr>
        <w:t>态仿真得到的与安全工程有关的结果应及时向安全工程管理部门通报，提出安</w:t>
      </w:r>
      <w:r>
        <w:rPr>
          <w:spacing w:val="4"/>
        </w:rPr>
        <w:t xml:space="preserve"> </w:t>
      </w:r>
      <w:r>
        <w:rPr>
          <w:spacing w:val="2"/>
        </w:rPr>
        <w:t>全工程方面的建议。</w:t>
      </w:r>
    </w:p>
    <w:p w14:paraId="0641BEB6">
      <w:pPr>
        <w:spacing w:before="10" w:line="222" w:lineRule="auto"/>
        <w:rPr>
          <w:rFonts w:ascii="黑体" w:hAnsi="黑体" w:eastAsia="黑体" w:cs="黑体"/>
          <w:sz w:val="24"/>
          <w:szCs w:val="24"/>
        </w:rPr>
      </w:pPr>
      <w:r>
        <w:rPr>
          <w:rFonts w:ascii="黑体" w:hAnsi="黑体" w:eastAsia="黑体" w:cs="黑体"/>
          <w:spacing w:val="26"/>
          <w:sz w:val="24"/>
          <w:szCs w:val="24"/>
        </w:rPr>
        <w:t>4.3</w:t>
      </w:r>
      <w:r>
        <w:rPr>
          <w:rFonts w:ascii="黑体" w:hAnsi="黑体" w:eastAsia="黑体" w:cs="黑体"/>
          <w:spacing w:val="48"/>
          <w:sz w:val="24"/>
          <w:szCs w:val="24"/>
        </w:rPr>
        <w:t xml:space="preserve">  </w:t>
      </w:r>
      <w:r>
        <w:rPr>
          <w:rFonts w:ascii="黑体" w:hAnsi="黑体" w:eastAsia="黑体" w:cs="黑体"/>
          <w:b/>
          <w:bCs/>
          <w:spacing w:val="26"/>
          <w:sz w:val="24"/>
          <w:szCs w:val="24"/>
        </w:rPr>
        <w:t>人机工程动态仿真实施情况跟踪</w:t>
      </w:r>
    </w:p>
    <w:p w14:paraId="402DF8F1">
      <w:pPr>
        <w:pStyle w:val="2"/>
        <w:spacing w:before="97" w:line="296" w:lineRule="auto"/>
        <w:ind w:right="10" w:firstLine="560"/>
      </w:pPr>
      <w:r>
        <w:rPr>
          <w:spacing w:val="5"/>
        </w:rPr>
        <w:t>按照人机工程项目实施情况跟踪工作系统，对人机工程动态仿真实施情况</w:t>
      </w:r>
      <w:r>
        <w:rPr>
          <w:spacing w:val="10"/>
        </w:rPr>
        <w:t xml:space="preserve"> </w:t>
      </w:r>
      <w:r>
        <w:rPr>
          <w:spacing w:val="-3"/>
        </w:rPr>
        <w:t>进行跟踪，对动态仿真过程中得到的数据和出现的问题进行记</w:t>
      </w:r>
      <w:r>
        <w:rPr>
          <w:spacing w:val="-4"/>
        </w:rPr>
        <w:t>录、处理和归档。</w:t>
      </w:r>
    </w:p>
    <w:p w14:paraId="1650C7EC">
      <w:pPr>
        <w:spacing w:line="221" w:lineRule="auto"/>
        <w:outlineLvl w:val="3"/>
        <w:rPr>
          <w:rFonts w:ascii="黑体" w:hAnsi="黑体" w:eastAsia="黑体" w:cs="黑体"/>
          <w:sz w:val="27"/>
          <w:szCs w:val="27"/>
        </w:rPr>
      </w:pPr>
      <w:r>
        <w:rPr>
          <w:rFonts w:ascii="Arial" w:hAnsi="Arial" w:eastAsia="Arial" w:cs="Arial"/>
          <w:b/>
          <w:bCs/>
          <w:spacing w:val="-3"/>
          <w:sz w:val="27"/>
          <w:szCs w:val="27"/>
        </w:rPr>
        <w:t xml:space="preserve">5    </w:t>
      </w:r>
      <w:r>
        <w:rPr>
          <w:rFonts w:ascii="黑体" w:hAnsi="黑体" w:eastAsia="黑体" w:cs="黑体"/>
          <w:b/>
          <w:bCs/>
          <w:spacing w:val="-3"/>
          <w:sz w:val="27"/>
          <w:szCs w:val="27"/>
        </w:rPr>
        <w:t>进度安排</w:t>
      </w:r>
    </w:p>
    <w:p w14:paraId="3E166C2A">
      <w:pPr>
        <w:pStyle w:val="2"/>
        <w:spacing w:before="92" w:line="289" w:lineRule="auto"/>
        <w:ind w:firstLine="560"/>
        <w:jc w:val="both"/>
      </w:pPr>
      <w:r>
        <w:rPr>
          <w:spacing w:val="6"/>
        </w:rPr>
        <w:t>说明人机工程动态仿真工作的时间进度安排。人</w:t>
      </w:r>
      <w:r>
        <w:rPr>
          <w:spacing w:val="5"/>
        </w:rPr>
        <w:t>机工程动态仿真计划应与</w:t>
      </w:r>
      <w:r>
        <w:t xml:space="preserve"> </w:t>
      </w:r>
      <w:r>
        <w:rPr>
          <w:spacing w:val="6"/>
        </w:rPr>
        <w:t>研制的主要阶段计划协调一致，以确保人机工</w:t>
      </w:r>
      <w:r>
        <w:rPr>
          <w:spacing w:val="5"/>
        </w:rPr>
        <w:t>程动态仿真的成果能被及时有效</w:t>
      </w:r>
      <w:r>
        <w:t xml:space="preserve"> </w:t>
      </w:r>
      <w:r>
        <w:rPr>
          <w:spacing w:val="2"/>
        </w:rPr>
        <w:t>地应用于指导相关的研制工程实践。</w:t>
      </w:r>
    </w:p>
    <w:p w14:paraId="4881274F">
      <w:pPr>
        <w:spacing w:before="15" w:line="222" w:lineRule="auto"/>
        <w:rPr>
          <w:rFonts w:ascii="黑体" w:hAnsi="黑体" w:eastAsia="黑体" w:cs="黑体"/>
          <w:sz w:val="25"/>
          <w:szCs w:val="25"/>
        </w:rPr>
      </w:pPr>
      <w:r>
        <w:rPr>
          <w:rFonts w:ascii="黑体" w:hAnsi="黑体" w:eastAsia="黑体" w:cs="黑体"/>
          <w:spacing w:val="1"/>
          <w:sz w:val="25"/>
          <w:szCs w:val="25"/>
        </w:rPr>
        <w:t>6</w:t>
      </w:r>
      <w:r>
        <w:rPr>
          <w:rFonts w:ascii="黑体" w:hAnsi="黑体" w:eastAsia="黑体" w:cs="黑体"/>
          <w:spacing w:val="34"/>
          <w:sz w:val="25"/>
          <w:szCs w:val="25"/>
        </w:rPr>
        <w:t xml:space="preserve">  </w:t>
      </w:r>
      <w:r>
        <w:rPr>
          <w:rFonts w:ascii="黑体" w:hAnsi="黑体" w:eastAsia="黑体" w:cs="黑体"/>
          <w:b/>
          <w:bCs/>
          <w:spacing w:val="1"/>
          <w:sz w:val="25"/>
          <w:szCs w:val="25"/>
        </w:rPr>
        <w:t>附录</w:t>
      </w:r>
    </w:p>
    <w:p w14:paraId="12D00383">
      <w:pPr>
        <w:pStyle w:val="2"/>
        <w:spacing w:before="83" w:line="304" w:lineRule="auto"/>
        <w:ind w:right="7" w:firstLine="560"/>
      </w:pPr>
      <w:r>
        <w:rPr>
          <w:spacing w:val="5"/>
        </w:rPr>
        <w:t>应列出包含那些在计划正文中已作说明的或推荐为附录内容的项目，以及</w:t>
      </w:r>
      <w:r>
        <w:rPr>
          <w:spacing w:val="13"/>
        </w:rPr>
        <w:t xml:space="preserve"> </w:t>
      </w:r>
      <w:r>
        <w:rPr>
          <w:spacing w:val="2"/>
        </w:rPr>
        <w:t>承制方认为有必要添加的其他项目。</w:t>
      </w:r>
    </w:p>
    <w:p w14:paraId="5BF5FD33">
      <w:pPr>
        <w:pStyle w:val="2"/>
        <w:spacing w:before="350" w:line="219" w:lineRule="auto"/>
        <w:ind w:left="2689"/>
        <w:rPr>
          <w:sz w:val="36"/>
          <w:szCs w:val="36"/>
        </w:rPr>
      </w:pPr>
      <w:r>
        <w:rPr>
          <w:spacing w:val="2"/>
          <w:sz w:val="36"/>
          <w:szCs w:val="36"/>
        </w:rPr>
        <w:t>14.</w:t>
      </w:r>
      <w:r>
        <w:rPr>
          <w:b/>
          <w:bCs/>
          <w:spacing w:val="2"/>
          <w:sz w:val="36"/>
          <w:szCs w:val="36"/>
        </w:rPr>
        <w:t>5</w:t>
      </w:r>
      <w:r>
        <w:rPr>
          <w:spacing w:val="2"/>
          <w:sz w:val="36"/>
          <w:szCs w:val="36"/>
        </w:rPr>
        <w:t xml:space="preserve">  </w:t>
      </w:r>
      <w:r>
        <w:rPr>
          <w:b/>
          <w:bCs/>
          <w:spacing w:val="2"/>
          <w:sz w:val="36"/>
          <w:szCs w:val="36"/>
        </w:rPr>
        <w:t>人机工程试验计划</w:t>
      </w:r>
    </w:p>
    <w:p w14:paraId="4341F6FD">
      <w:pPr>
        <w:spacing w:line="320" w:lineRule="auto"/>
        <w:rPr>
          <w:rFonts w:ascii="Arial"/>
          <w:sz w:val="21"/>
        </w:rPr>
      </w:pPr>
    </w:p>
    <w:p w14:paraId="08FDABDE">
      <w:pPr>
        <w:pStyle w:val="2"/>
        <w:spacing w:before="92" w:line="225" w:lineRule="auto"/>
        <w:ind w:left="564"/>
        <w:rPr>
          <w:rFonts w:ascii="楷体" w:hAnsi="楷体" w:eastAsia="楷体" w:cs="楷体"/>
          <w:sz w:val="28"/>
          <w:szCs w:val="28"/>
        </w:rPr>
      </w:pPr>
      <w:r>
        <w:rPr>
          <w:rFonts w:ascii="楷体" w:hAnsi="楷体" w:eastAsia="楷体" w:cs="楷体"/>
          <w:b/>
          <w:bCs/>
          <w:spacing w:val="-10"/>
          <w:sz w:val="28"/>
          <w:szCs w:val="28"/>
        </w:rPr>
        <w:t>按照</w:t>
      </w:r>
      <w:r>
        <w:rPr>
          <w:rFonts w:ascii="Times New Roman" w:hAnsi="Times New Roman" w:eastAsia="Times New Roman" w:cs="Times New Roman"/>
          <w:spacing w:val="-10"/>
          <w:sz w:val="28"/>
          <w:szCs w:val="28"/>
        </w:rPr>
        <w:t>GJB/Z</w:t>
      </w:r>
      <w:r>
        <w:rPr>
          <w:rFonts w:ascii="Times New Roman" w:hAnsi="Times New Roman" w:eastAsia="Times New Roman" w:cs="Times New Roman"/>
          <w:spacing w:val="47"/>
          <w:sz w:val="28"/>
          <w:szCs w:val="28"/>
        </w:rPr>
        <w:t xml:space="preserve"> </w:t>
      </w:r>
      <w:r>
        <w:rPr>
          <w:rFonts w:ascii="Times New Roman" w:hAnsi="Times New Roman" w:eastAsia="Times New Roman" w:cs="Times New Roman"/>
          <w:spacing w:val="-10"/>
          <w:sz w:val="28"/>
          <w:szCs w:val="28"/>
        </w:rPr>
        <w:t>134—2002</w:t>
      </w:r>
      <w:r>
        <w:rPr>
          <w:spacing w:val="-10"/>
          <w:sz w:val="28"/>
          <w:szCs w:val="28"/>
        </w:rPr>
        <w:t>《</w:t>
      </w:r>
      <w:r>
        <w:rPr>
          <w:rFonts w:ascii="楷体" w:hAnsi="楷体" w:eastAsia="楷体" w:cs="楷体"/>
          <w:spacing w:val="-10"/>
          <w:sz w:val="28"/>
          <w:szCs w:val="28"/>
        </w:rPr>
        <w:t>人机工程实施程序指南》编写。</w:t>
      </w:r>
    </w:p>
    <w:p w14:paraId="2DA550FA">
      <w:pPr>
        <w:spacing w:before="118" w:line="223" w:lineRule="auto"/>
        <w:rPr>
          <w:rFonts w:ascii="黑体" w:hAnsi="黑体" w:eastAsia="黑体" w:cs="黑体"/>
          <w:sz w:val="27"/>
          <w:szCs w:val="27"/>
        </w:rPr>
      </w:pPr>
      <w:r>
        <w:rPr>
          <w:rFonts w:ascii="黑体" w:hAnsi="黑体" w:eastAsia="黑体" w:cs="黑体"/>
          <w:spacing w:val="-13"/>
          <w:sz w:val="27"/>
          <w:szCs w:val="27"/>
        </w:rPr>
        <w:t>1</w:t>
      </w:r>
      <w:r>
        <w:rPr>
          <w:rFonts w:ascii="黑体" w:hAnsi="黑体" w:eastAsia="黑体" w:cs="黑体"/>
          <w:spacing w:val="31"/>
          <w:sz w:val="27"/>
          <w:szCs w:val="27"/>
        </w:rPr>
        <w:t xml:space="preserve">  </w:t>
      </w:r>
      <w:r>
        <w:rPr>
          <w:rFonts w:ascii="黑体" w:hAnsi="黑体" w:eastAsia="黑体" w:cs="黑体"/>
          <w:b/>
          <w:bCs/>
          <w:spacing w:val="-13"/>
          <w:sz w:val="27"/>
          <w:szCs w:val="27"/>
        </w:rPr>
        <w:t>范围</w:t>
      </w:r>
    </w:p>
    <w:p w14:paraId="6429EAE3">
      <w:pPr>
        <w:pStyle w:val="2"/>
        <w:spacing w:before="95" w:line="291" w:lineRule="auto"/>
        <w:ind w:right="8" w:firstLine="560"/>
      </w:pPr>
      <w:r>
        <w:rPr>
          <w:spacing w:val="5"/>
        </w:rPr>
        <w:t>说明人机工程试验计划的主题内容和适用范围。明确承制方应承担或应完</w:t>
      </w:r>
      <w:r>
        <w:rPr>
          <w:spacing w:val="12"/>
        </w:rPr>
        <w:t xml:space="preserve"> </w:t>
      </w:r>
      <w:r>
        <w:t>成的人机工程试验工作，包括相关人机工程标准及合同中规定的任务等。</w:t>
      </w:r>
    </w:p>
    <w:p w14:paraId="6FED4326">
      <w:pPr>
        <w:pStyle w:val="2"/>
        <w:spacing w:before="2" w:line="285" w:lineRule="auto"/>
        <w:ind w:right="10" w:firstLine="560"/>
      </w:pPr>
      <w:r>
        <w:rPr>
          <w:spacing w:val="5"/>
        </w:rPr>
        <w:t>制定人机工程试验计划的目的，是为了直接验证操作者在预定的操作环境</w:t>
      </w:r>
      <w:r>
        <w:rPr>
          <w:spacing w:val="10"/>
        </w:rPr>
        <w:t xml:space="preserve"> </w:t>
      </w:r>
      <w:r>
        <w:rPr>
          <w:spacing w:val="-12"/>
        </w:rPr>
        <w:t>内对系统操作、维修、保障和控制的正确性。</w:t>
      </w:r>
    </w:p>
    <w:p w14:paraId="25B12EB5">
      <w:pPr>
        <w:spacing w:before="1" w:line="221"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23"/>
          <w:sz w:val="27"/>
          <w:szCs w:val="27"/>
        </w:rPr>
        <w:t xml:space="preserve">  </w:t>
      </w:r>
      <w:r>
        <w:rPr>
          <w:rFonts w:ascii="黑体" w:hAnsi="黑体" w:eastAsia="黑体" w:cs="黑体"/>
          <w:b/>
          <w:bCs/>
          <w:spacing w:val="-3"/>
          <w:sz w:val="27"/>
          <w:szCs w:val="27"/>
        </w:rPr>
        <w:t>引用文件</w:t>
      </w:r>
    </w:p>
    <w:p w14:paraId="04714B93">
      <w:pPr>
        <w:pStyle w:val="2"/>
        <w:spacing w:before="100" w:line="219" w:lineRule="auto"/>
        <w:ind w:left="560"/>
      </w:pPr>
      <w:r>
        <w:rPr>
          <w:spacing w:val="3"/>
        </w:rPr>
        <w:t>列出人机工程试验计划中引用的文件。</w:t>
      </w:r>
    </w:p>
    <w:p w14:paraId="6CFF25F5">
      <w:pPr>
        <w:spacing w:line="219" w:lineRule="auto"/>
        <w:sectPr>
          <w:footerReference r:id="rId643" w:type="default"/>
          <w:pgSz w:w="11910" w:h="17130"/>
          <w:pgMar w:top="1456" w:right="1087" w:bottom="1466" w:left="1440" w:header="0" w:footer="1277" w:gutter="0"/>
          <w:cols w:space="720" w:num="1"/>
        </w:sectPr>
      </w:pPr>
    </w:p>
    <w:p w14:paraId="05BB7D5E">
      <w:pPr>
        <w:spacing w:before="298" w:line="221" w:lineRule="auto"/>
        <w:rPr>
          <w:rFonts w:ascii="黑体" w:hAnsi="黑体" w:eastAsia="黑体" w:cs="黑体"/>
          <w:sz w:val="24"/>
          <w:szCs w:val="24"/>
        </w:rPr>
      </w:pPr>
      <w:r>
        <w:rPr>
          <w:rFonts w:ascii="黑体" w:hAnsi="黑体" w:eastAsia="黑体" w:cs="黑体"/>
          <w:spacing w:val="24"/>
          <w:sz w:val="24"/>
          <w:szCs w:val="24"/>
        </w:rPr>
        <w:t>3</w:t>
      </w:r>
      <w:r>
        <w:rPr>
          <w:rFonts w:ascii="黑体" w:hAnsi="黑体" w:eastAsia="黑体" w:cs="黑体"/>
          <w:spacing w:val="39"/>
          <w:sz w:val="24"/>
          <w:szCs w:val="24"/>
        </w:rPr>
        <w:t xml:space="preserve">  </w:t>
      </w:r>
      <w:r>
        <w:rPr>
          <w:rFonts w:ascii="黑体" w:hAnsi="黑体" w:eastAsia="黑体" w:cs="黑体"/>
          <w:b/>
          <w:bCs/>
          <w:spacing w:val="24"/>
          <w:sz w:val="24"/>
          <w:szCs w:val="24"/>
        </w:rPr>
        <w:t>人机工程试验任务</w:t>
      </w:r>
    </w:p>
    <w:p w14:paraId="384E6002">
      <w:pPr>
        <w:pStyle w:val="2"/>
        <w:spacing w:before="67" w:line="288" w:lineRule="auto"/>
        <w:ind w:firstLine="559"/>
        <w:jc w:val="both"/>
      </w:pPr>
      <w:r>
        <w:rPr>
          <w:spacing w:val="14"/>
        </w:rPr>
        <w:t>说明计划开展的人机工程试验的工作任务。针对每一项人机工</w:t>
      </w:r>
      <w:r>
        <w:rPr>
          <w:spacing w:val="13"/>
        </w:rPr>
        <w:t>程试验任</w:t>
      </w:r>
      <w:r>
        <w:t xml:space="preserve">  </w:t>
      </w:r>
      <w:r>
        <w:rPr>
          <w:spacing w:val="-10"/>
        </w:rPr>
        <w:t>务，分别规定试验方法(如审核清单的使用、数据表、测试者登记表、测试项目</w:t>
      </w:r>
      <w:r>
        <w:rPr>
          <w:spacing w:val="-11"/>
        </w:rPr>
        <w:t>表、</w:t>
      </w:r>
      <w:r>
        <w:t xml:space="preserve"> </w:t>
      </w:r>
      <w:r>
        <w:rPr>
          <w:spacing w:val="-10"/>
        </w:rPr>
        <w:t>操作程序、试验程序)、数值测量、试验准则及报告程序编写等。</w:t>
      </w:r>
    </w:p>
    <w:p w14:paraId="012ED2ED">
      <w:pPr>
        <w:pStyle w:val="2"/>
        <w:spacing w:before="7" w:line="219" w:lineRule="auto"/>
        <w:ind w:left="559"/>
      </w:pPr>
      <w:r>
        <w:rPr>
          <w:spacing w:val="-4"/>
        </w:rPr>
        <w:t>承制方应制定和执行人机工程试验计划，以达到：</w:t>
      </w:r>
    </w:p>
    <w:p w14:paraId="16183392">
      <w:pPr>
        <w:pStyle w:val="2"/>
        <w:spacing w:before="50" w:line="212" w:lineRule="auto"/>
        <w:ind w:left="559"/>
      </w:pPr>
      <w:r>
        <w:rPr>
          <w:rFonts w:ascii="Times New Roman" w:hAnsi="Times New Roman" w:eastAsia="Times New Roman" w:cs="Times New Roman"/>
          <w:spacing w:val="4"/>
        </w:rPr>
        <w:t xml:space="preserve">a)  </w:t>
      </w:r>
      <w:r>
        <w:rPr>
          <w:spacing w:val="4"/>
        </w:rPr>
        <w:t>保证达到</w:t>
      </w:r>
      <w:r>
        <w:rPr>
          <w:rFonts w:ascii="Times New Roman" w:hAnsi="Times New Roman" w:eastAsia="Times New Roman" w:cs="Times New Roman"/>
        </w:rPr>
        <w:t>GJB</w:t>
      </w:r>
      <w:r>
        <w:rPr>
          <w:rFonts w:ascii="Times New Roman" w:hAnsi="Times New Roman" w:eastAsia="Times New Roman" w:cs="Times New Roman"/>
          <w:spacing w:val="4"/>
        </w:rPr>
        <w:t xml:space="preserve">   3207—1998</w:t>
      </w:r>
      <w:r>
        <w:rPr>
          <w:spacing w:val="4"/>
        </w:rPr>
        <w:t>的有关要求；</w:t>
      </w:r>
    </w:p>
    <w:p w14:paraId="0BA6A512">
      <w:pPr>
        <w:pStyle w:val="2"/>
        <w:spacing w:before="100" w:line="212" w:lineRule="auto"/>
        <w:ind w:left="559"/>
      </w:pPr>
      <w:r>
        <w:rPr>
          <w:rFonts w:ascii="Times New Roman" w:hAnsi="Times New Roman" w:eastAsia="Times New Roman" w:cs="Times New Roman"/>
          <w:spacing w:val="4"/>
        </w:rPr>
        <w:t xml:space="preserve">b)  </w:t>
      </w:r>
      <w:r>
        <w:rPr>
          <w:spacing w:val="4"/>
        </w:rPr>
        <w:t>验证装备和设施的设计与人机工程设计准则的符合程度；</w:t>
      </w:r>
    </w:p>
    <w:p w14:paraId="76456161">
      <w:pPr>
        <w:pStyle w:val="2"/>
        <w:spacing w:before="59" w:line="272" w:lineRule="auto"/>
        <w:ind w:right="105" w:firstLine="559"/>
      </w:pPr>
      <w:r>
        <w:rPr>
          <w:rFonts w:ascii="Times New Roman" w:hAnsi="Times New Roman" w:eastAsia="Times New Roman" w:cs="Times New Roman"/>
          <w:spacing w:val="21"/>
        </w:rPr>
        <w:t>c)</w:t>
      </w:r>
      <w:r>
        <w:rPr>
          <w:rFonts w:ascii="Times New Roman" w:hAnsi="Times New Roman" w:eastAsia="Times New Roman" w:cs="Times New Roman"/>
          <w:spacing w:val="63"/>
        </w:rPr>
        <w:t xml:space="preserve"> </w:t>
      </w:r>
      <w:r>
        <w:rPr>
          <w:spacing w:val="21"/>
        </w:rPr>
        <w:t>确保当操作者作业成为系统作业的决定要素时，仍能符合系</w:t>
      </w:r>
      <w:r>
        <w:rPr>
          <w:spacing w:val="20"/>
        </w:rPr>
        <w:t>统作业</w:t>
      </w:r>
      <w:r>
        <w:t xml:space="preserve"> </w:t>
      </w:r>
      <w:r>
        <w:rPr>
          <w:spacing w:val="-6"/>
        </w:rPr>
        <w:t>要求；</w:t>
      </w:r>
    </w:p>
    <w:p w14:paraId="3D0DD8A0">
      <w:pPr>
        <w:pStyle w:val="2"/>
        <w:spacing w:before="44" w:line="212" w:lineRule="auto"/>
        <w:ind w:left="559"/>
      </w:pPr>
      <w:r>
        <w:rPr>
          <w:rFonts w:ascii="Times New Roman" w:hAnsi="Times New Roman" w:eastAsia="Times New Roman" w:cs="Times New Roman"/>
          <w:spacing w:val="-1"/>
        </w:rPr>
        <w:t xml:space="preserve">d)  </w:t>
      </w:r>
      <w:r>
        <w:rPr>
          <w:spacing w:val="-1"/>
        </w:rPr>
        <w:t>操作者与设备相互影响的系统作业时，数值</w:t>
      </w:r>
      <w:r>
        <w:rPr>
          <w:spacing w:val="-2"/>
        </w:rPr>
        <w:t>测量的可靠；</w:t>
      </w:r>
    </w:p>
    <w:p w14:paraId="76CE0EE9">
      <w:pPr>
        <w:pStyle w:val="2"/>
        <w:spacing w:before="90" w:line="212" w:lineRule="auto"/>
        <w:ind w:left="559"/>
      </w:pPr>
      <w:r>
        <w:rPr>
          <w:rFonts w:ascii="Times New Roman" w:hAnsi="Times New Roman" w:eastAsia="Times New Roman" w:cs="Times New Roman"/>
          <w:spacing w:val="5"/>
        </w:rPr>
        <w:t>e)</w:t>
      </w:r>
      <w:r>
        <w:rPr>
          <w:rFonts w:ascii="Times New Roman" w:hAnsi="Times New Roman" w:eastAsia="Times New Roman" w:cs="Times New Roman"/>
          <w:spacing w:val="56"/>
        </w:rPr>
        <w:t xml:space="preserve"> </w:t>
      </w:r>
      <w:r>
        <w:rPr>
          <w:spacing w:val="5"/>
        </w:rPr>
        <w:t>判定不合适的设计或程序出在什么地方。</w:t>
      </w:r>
    </w:p>
    <w:p w14:paraId="7EF71A37">
      <w:pPr>
        <w:pStyle w:val="2"/>
        <w:spacing w:before="132" w:line="279" w:lineRule="auto"/>
        <w:ind w:right="104" w:firstLine="559"/>
      </w:pPr>
      <w:r>
        <w:rPr>
          <w:spacing w:val="6"/>
        </w:rPr>
        <w:t>应将人机工程试验纳入系统试验和评审方案</w:t>
      </w:r>
      <w:r>
        <w:rPr>
          <w:spacing w:val="5"/>
        </w:rPr>
        <w:t>，并综合到工程设计和研制试</w:t>
      </w:r>
      <w:r>
        <w:t xml:space="preserve"> </w:t>
      </w:r>
      <w:r>
        <w:rPr>
          <w:spacing w:val="-3"/>
        </w:rPr>
        <w:t>验、承制方演示、飞行试验、验收试验以及其他的研制试验中去。应尽可能早地</w:t>
      </w:r>
      <w:r>
        <w:rPr>
          <w:spacing w:val="14"/>
        </w:rPr>
        <w:t xml:space="preserve"> </w:t>
      </w:r>
      <w:r>
        <w:rPr>
          <w:spacing w:val="-2"/>
        </w:rPr>
        <w:t>完成试验，以确定人机工程要求的符合性。</w:t>
      </w:r>
      <w:r>
        <w:rPr>
          <w:spacing w:val="-3"/>
        </w:rPr>
        <w:t>通过设计审查、全尺寸模型检验、演</w:t>
      </w:r>
      <w:r>
        <w:t xml:space="preserve"> </w:t>
      </w:r>
      <w:r>
        <w:rPr>
          <w:spacing w:val="6"/>
        </w:rPr>
        <w:t>示以及其他早期试验所得出的结论，应在制定计</w:t>
      </w:r>
      <w:r>
        <w:rPr>
          <w:spacing w:val="5"/>
        </w:rPr>
        <w:t>划和以后进行试验时使用。制</w:t>
      </w:r>
      <w:r>
        <w:t xml:space="preserve"> 定人机工程试验计划时，应考虑需要的数据或由操作试验和评审提供的资料。</w:t>
      </w:r>
    </w:p>
    <w:p w14:paraId="515236D7">
      <w:pPr>
        <w:spacing w:before="32" w:line="221" w:lineRule="auto"/>
        <w:rPr>
          <w:rFonts w:ascii="黑体" w:hAnsi="黑体" w:eastAsia="黑体" w:cs="黑体"/>
          <w:sz w:val="24"/>
          <w:szCs w:val="24"/>
        </w:rPr>
      </w:pPr>
      <w:r>
        <w:rPr>
          <w:rFonts w:ascii="黑体" w:hAnsi="黑体" w:eastAsia="黑体" w:cs="黑体"/>
          <w:spacing w:val="25"/>
          <w:sz w:val="24"/>
          <w:szCs w:val="24"/>
        </w:rPr>
        <w:t>4</w:t>
      </w:r>
      <w:r>
        <w:rPr>
          <w:rFonts w:ascii="黑体" w:hAnsi="黑体" w:eastAsia="黑体" w:cs="黑体"/>
          <w:spacing w:val="34"/>
          <w:sz w:val="24"/>
          <w:szCs w:val="24"/>
        </w:rPr>
        <w:t xml:space="preserve">  </w:t>
      </w:r>
      <w:r>
        <w:rPr>
          <w:rFonts w:ascii="黑体" w:hAnsi="黑体" w:eastAsia="黑体" w:cs="黑体"/>
          <w:b/>
          <w:bCs/>
          <w:spacing w:val="25"/>
          <w:sz w:val="24"/>
          <w:szCs w:val="24"/>
        </w:rPr>
        <w:t>人机工程试验管理</w:t>
      </w:r>
    </w:p>
    <w:p w14:paraId="3A7FB66B">
      <w:pPr>
        <w:spacing w:before="128" w:line="224" w:lineRule="auto"/>
        <w:rPr>
          <w:rFonts w:ascii="黑体" w:hAnsi="黑体" w:eastAsia="黑体" w:cs="黑体"/>
          <w:sz w:val="24"/>
          <w:szCs w:val="24"/>
        </w:rPr>
      </w:pPr>
      <w:r>
        <w:rPr>
          <w:rFonts w:ascii="黑体" w:hAnsi="黑体" w:eastAsia="黑体" w:cs="黑体"/>
          <w:spacing w:val="-4"/>
          <w:sz w:val="24"/>
          <w:szCs w:val="24"/>
        </w:rPr>
        <w:t>4.1</w:t>
      </w:r>
      <w:r>
        <w:rPr>
          <w:rFonts w:ascii="黑体" w:hAnsi="黑体" w:eastAsia="黑体" w:cs="黑体"/>
          <w:spacing w:val="49"/>
          <w:sz w:val="24"/>
          <w:szCs w:val="24"/>
        </w:rPr>
        <w:t xml:space="preserve">  </w:t>
      </w:r>
      <w:r>
        <w:rPr>
          <w:rFonts w:ascii="黑体" w:hAnsi="黑体" w:eastAsia="黑体" w:cs="黑体"/>
          <w:b/>
          <w:bCs/>
          <w:spacing w:val="-4"/>
          <w:sz w:val="24"/>
          <w:szCs w:val="24"/>
        </w:rPr>
        <w:t>机</w:t>
      </w:r>
      <w:r>
        <w:rPr>
          <w:rFonts w:ascii="黑体" w:hAnsi="黑体" w:eastAsia="黑体" w:cs="黑体"/>
          <w:spacing w:val="-27"/>
          <w:sz w:val="24"/>
          <w:szCs w:val="24"/>
        </w:rPr>
        <w:t xml:space="preserve"> </w:t>
      </w:r>
      <w:r>
        <w:rPr>
          <w:rFonts w:ascii="黑体" w:hAnsi="黑体" w:eastAsia="黑体" w:cs="黑体"/>
          <w:b/>
          <w:bCs/>
          <w:spacing w:val="-4"/>
          <w:sz w:val="24"/>
          <w:szCs w:val="24"/>
        </w:rPr>
        <w:t>构</w:t>
      </w:r>
    </w:p>
    <w:p w14:paraId="51F5DCCC">
      <w:pPr>
        <w:pStyle w:val="2"/>
        <w:spacing w:before="66" w:line="280" w:lineRule="auto"/>
        <w:ind w:right="117" w:firstLine="559"/>
      </w:pPr>
      <w:r>
        <w:rPr>
          <w:spacing w:val="9"/>
        </w:rPr>
        <w:t>说明人机工程管理组织机构(图或表),对相应的人机工程试验人员的职责</w:t>
      </w:r>
      <w:r>
        <w:rPr>
          <w:spacing w:val="5"/>
        </w:rPr>
        <w:t xml:space="preserve"> </w:t>
      </w:r>
      <w:r>
        <w:rPr>
          <w:spacing w:val="1"/>
        </w:rPr>
        <w:t>及其工作关系作出规定。</w:t>
      </w:r>
    </w:p>
    <w:p w14:paraId="6E390304">
      <w:pPr>
        <w:spacing w:before="1" w:line="221" w:lineRule="auto"/>
        <w:rPr>
          <w:rFonts w:ascii="黑体" w:hAnsi="黑体" w:eastAsia="黑体" w:cs="黑体"/>
          <w:sz w:val="27"/>
          <w:szCs w:val="27"/>
        </w:rPr>
      </w:pPr>
      <w:r>
        <w:rPr>
          <w:rFonts w:ascii="黑体" w:hAnsi="黑体" w:eastAsia="黑体" w:cs="黑体"/>
          <w:spacing w:val="-4"/>
          <w:sz w:val="27"/>
          <w:szCs w:val="27"/>
        </w:rPr>
        <w:t xml:space="preserve">4.2  </w:t>
      </w:r>
      <w:r>
        <w:rPr>
          <w:rFonts w:ascii="黑体" w:hAnsi="黑体" w:eastAsia="黑体" w:cs="黑体"/>
          <w:b/>
          <w:bCs/>
          <w:spacing w:val="-4"/>
          <w:sz w:val="27"/>
          <w:szCs w:val="27"/>
        </w:rPr>
        <w:t>综合保障、安全工程与人机工程的结合</w:t>
      </w:r>
    </w:p>
    <w:p w14:paraId="42DD7F5C">
      <w:pPr>
        <w:pStyle w:val="2"/>
        <w:spacing w:before="99" w:line="219" w:lineRule="auto"/>
        <w:ind w:left="559"/>
      </w:pPr>
      <w:r>
        <w:rPr>
          <w:spacing w:val="-1"/>
        </w:rPr>
        <w:t>本节主要说明人机工程试验工作与综合保障、安全工程的关系。</w:t>
      </w:r>
    </w:p>
    <w:p w14:paraId="20CA774E">
      <w:pPr>
        <w:pStyle w:val="2"/>
        <w:spacing w:before="92" w:line="272" w:lineRule="auto"/>
        <w:ind w:right="104" w:firstLine="559"/>
      </w:pPr>
      <w:r>
        <w:rPr>
          <w:spacing w:val="6"/>
        </w:rPr>
        <w:t>说明人机工程试验工作本身所需的保障条件</w:t>
      </w:r>
      <w:r>
        <w:rPr>
          <w:spacing w:val="5"/>
        </w:rPr>
        <w:t>；并说明通过人机工程试验得</w:t>
      </w:r>
      <w:r>
        <w:t xml:space="preserve"> </w:t>
      </w:r>
      <w:r>
        <w:rPr>
          <w:spacing w:val="5"/>
        </w:rPr>
        <w:t>到的与综合保障有关的结果应及时向综合保障管理部门通报，提出综合保障方</w:t>
      </w:r>
      <w:r>
        <w:rPr>
          <w:spacing w:val="9"/>
        </w:rPr>
        <w:t xml:space="preserve"> </w:t>
      </w:r>
      <w:r>
        <w:rPr>
          <w:spacing w:val="-3"/>
        </w:rPr>
        <w:t>面的建议。</w:t>
      </w:r>
    </w:p>
    <w:p w14:paraId="2E52DF8A">
      <w:pPr>
        <w:pStyle w:val="2"/>
        <w:spacing w:before="24" w:line="276" w:lineRule="auto"/>
        <w:ind w:right="124" w:firstLine="559"/>
        <w:jc w:val="both"/>
      </w:pPr>
      <w:r>
        <w:rPr>
          <w:spacing w:val="5"/>
        </w:rPr>
        <w:t>说明人机工程试验工作本身所需的安全措施；并说明通过人机工程试验得</w:t>
      </w:r>
      <w:r>
        <w:t xml:space="preserve"> </w:t>
      </w:r>
      <w:r>
        <w:rPr>
          <w:spacing w:val="5"/>
        </w:rPr>
        <w:t>到的与安全工程有关的结果应及时向安全工程管理部门通报，提出安全工程方</w:t>
      </w:r>
      <w:r>
        <w:rPr>
          <w:spacing w:val="9"/>
        </w:rPr>
        <w:t xml:space="preserve"> </w:t>
      </w:r>
      <w:r>
        <w:rPr>
          <w:spacing w:val="-3"/>
        </w:rPr>
        <w:t>面的建议。</w:t>
      </w:r>
    </w:p>
    <w:p w14:paraId="704B41C0">
      <w:pPr>
        <w:spacing w:before="24" w:line="221" w:lineRule="auto"/>
        <w:rPr>
          <w:rFonts w:ascii="黑体" w:hAnsi="黑体" w:eastAsia="黑体" w:cs="黑体"/>
          <w:sz w:val="24"/>
          <w:szCs w:val="24"/>
        </w:rPr>
      </w:pPr>
      <w:r>
        <w:rPr>
          <w:rFonts w:ascii="黑体" w:hAnsi="黑体" w:eastAsia="黑体" w:cs="黑体"/>
          <w:spacing w:val="25"/>
          <w:sz w:val="24"/>
          <w:szCs w:val="24"/>
        </w:rPr>
        <w:t>4.3</w:t>
      </w:r>
      <w:r>
        <w:rPr>
          <w:rFonts w:ascii="黑体" w:hAnsi="黑体" w:eastAsia="黑体" w:cs="黑体"/>
          <w:spacing w:val="44"/>
          <w:sz w:val="24"/>
          <w:szCs w:val="24"/>
        </w:rPr>
        <w:t xml:space="preserve">  </w:t>
      </w:r>
      <w:r>
        <w:rPr>
          <w:rFonts w:ascii="黑体" w:hAnsi="黑体" w:eastAsia="黑体" w:cs="黑体"/>
          <w:b/>
          <w:bCs/>
          <w:spacing w:val="25"/>
          <w:sz w:val="24"/>
          <w:szCs w:val="24"/>
        </w:rPr>
        <w:t>人机工程试验实施情况跟踪</w:t>
      </w:r>
    </w:p>
    <w:p w14:paraId="0DB75A83">
      <w:pPr>
        <w:pStyle w:val="2"/>
        <w:spacing w:before="138" w:line="283" w:lineRule="auto"/>
        <w:ind w:right="102" w:firstLine="559"/>
        <w:rPr>
          <w:sz w:val="25"/>
          <w:szCs w:val="25"/>
        </w:rPr>
      </w:pPr>
      <w:r>
        <w:rPr>
          <w:spacing w:val="26"/>
          <w:sz w:val="25"/>
          <w:szCs w:val="25"/>
        </w:rPr>
        <w:t>按照人机工程项目实施情况跟踪工作系统，对人</w:t>
      </w:r>
      <w:r>
        <w:rPr>
          <w:spacing w:val="25"/>
          <w:sz w:val="25"/>
          <w:szCs w:val="25"/>
        </w:rPr>
        <w:t>机工程试验实施情况进行</w:t>
      </w:r>
      <w:r>
        <w:rPr>
          <w:sz w:val="25"/>
          <w:szCs w:val="25"/>
        </w:rPr>
        <w:t xml:space="preserve"> </w:t>
      </w:r>
      <w:r>
        <w:rPr>
          <w:spacing w:val="15"/>
          <w:sz w:val="25"/>
          <w:szCs w:val="25"/>
        </w:rPr>
        <w:t>跟踪，对试验过程中得到的数据和出现的问题进行记录、处理和归档。</w:t>
      </w:r>
    </w:p>
    <w:p w14:paraId="14A3E12C">
      <w:pPr>
        <w:spacing w:before="1" w:line="221" w:lineRule="auto"/>
        <w:outlineLvl w:val="3"/>
        <w:rPr>
          <w:rFonts w:ascii="黑体" w:hAnsi="黑体" w:eastAsia="黑体" w:cs="黑体"/>
          <w:sz w:val="27"/>
          <w:szCs w:val="27"/>
        </w:rPr>
      </w:pPr>
      <w:r>
        <w:rPr>
          <w:rFonts w:ascii="Arial" w:hAnsi="Arial" w:eastAsia="Arial" w:cs="Arial"/>
          <w:b/>
          <w:bCs/>
          <w:spacing w:val="-6"/>
          <w:sz w:val="27"/>
          <w:szCs w:val="27"/>
        </w:rPr>
        <w:t>5</w:t>
      </w:r>
      <w:r>
        <w:rPr>
          <w:rFonts w:ascii="Arial" w:hAnsi="Arial" w:eastAsia="Arial" w:cs="Arial"/>
          <w:b/>
          <w:bCs/>
          <w:spacing w:val="20"/>
          <w:sz w:val="27"/>
          <w:szCs w:val="27"/>
        </w:rPr>
        <w:t xml:space="preserve">   </w:t>
      </w:r>
      <w:r>
        <w:rPr>
          <w:rFonts w:ascii="黑体" w:hAnsi="黑体" w:eastAsia="黑体" w:cs="黑体"/>
          <w:b/>
          <w:bCs/>
          <w:spacing w:val="-6"/>
          <w:sz w:val="27"/>
          <w:szCs w:val="27"/>
        </w:rPr>
        <w:t>进度安排</w:t>
      </w:r>
    </w:p>
    <w:p w14:paraId="2E54EEB6">
      <w:pPr>
        <w:pStyle w:val="2"/>
        <w:spacing w:before="148" w:line="290" w:lineRule="auto"/>
        <w:ind w:right="118" w:firstLine="559"/>
        <w:rPr>
          <w:sz w:val="25"/>
          <w:szCs w:val="25"/>
        </w:rPr>
      </w:pPr>
      <w:r>
        <w:rPr>
          <w:spacing w:val="25"/>
          <w:sz w:val="25"/>
          <w:szCs w:val="25"/>
        </w:rPr>
        <w:t>说明人机工程试验工作的时间进度安排。人机工程试验计划应与研制的主</w:t>
      </w:r>
      <w:r>
        <w:rPr>
          <w:spacing w:val="2"/>
          <w:sz w:val="25"/>
          <w:szCs w:val="25"/>
        </w:rPr>
        <w:t xml:space="preserve"> </w:t>
      </w:r>
      <w:r>
        <w:rPr>
          <w:spacing w:val="25"/>
          <w:sz w:val="25"/>
          <w:szCs w:val="25"/>
        </w:rPr>
        <w:t>要阶段计划协调一致，以确保人机工程试验的成果能被及时有效地应用于指导</w:t>
      </w:r>
    </w:p>
    <w:p w14:paraId="71B76B74">
      <w:pPr>
        <w:spacing w:line="290" w:lineRule="auto"/>
        <w:rPr>
          <w:sz w:val="25"/>
          <w:szCs w:val="25"/>
        </w:rPr>
        <w:sectPr>
          <w:footerReference r:id="rId644" w:type="default"/>
          <w:pgSz w:w="11910" w:h="17130"/>
          <w:pgMar w:top="1456" w:right="1224" w:bottom="1433" w:left="1200" w:header="0" w:footer="1234" w:gutter="0"/>
          <w:cols w:space="720" w:num="1"/>
        </w:sectPr>
      </w:pPr>
    </w:p>
    <w:p w14:paraId="217EBA00">
      <w:pPr>
        <w:spacing w:line="256" w:lineRule="auto"/>
        <w:rPr>
          <w:rFonts w:ascii="Arial"/>
          <w:sz w:val="21"/>
        </w:rPr>
      </w:pPr>
    </w:p>
    <w:p w14:paraId="65D5D6BE">
      <w:pPr>
        <w:pStyle w:val="2"/>
        <w:spacing w:before="88" w:line="220" w:lineRule="auto"/>
      </w:pPr>
      <w:r>
        <w:rPr>
          <w:spacing w:val="1"/>
        </w:rPr>
        <w:t>相关的研制工程实践。</w:t>
      </w:r>
    </w:p>
    <w:p w14:paraId="37D7F994">
      <w:pPr>
        <w:spacing w:before="94" w:line="222" w:lineRule="auto"/>
        <w:rPr>
          <w:rFonts w:ascii="黑体" w:hAnsi="黑体" w:eastAsia="黑体" w:cs="黑体"/>
          <w:sz w:val="25"/>
          <w:szCs w:val="25"/>
        </w:rPr>
      </w:pPr>
      <w:r>
        <w:rPr>
          <w:rFonts w:ascii="黑体" w:hAnsi="黑体" w:eastAsia="黑体" w:cs="黑体"/>
          <w:spacing w:val="-4"/>
          <w:sz w:val="25"/>
          <w:szCs w:val="25"/>
        </w:rPr>
        <w:t>6</w:t>
      </w:r>
      <w:r>
        <w:rPr>
          <w:rFonts w:ascii="黑体" w:hAnsi="黑体" w:eastAsia="黑体" w:cs="黑体"/>
          <w:spacing w:val="32"/>
          <w:sz w:val="25"/>
          <w:szCs w:val="25"/>
        </w:rPr>
        <w:t xml:space="preserve">  </w:t>
      </w:r>
      <w:r>
        <w:rPr>
          <w:rFonts w:ascii="黑体" w:hAnsi="黑体" w:eastAsia="黑体" w:cs="黑体"/>
          <w:spacing w:val="-4"/>
          <w:sz w:val="25"/>
          <w:szCs w:val="25"/>
        </w:rPr>
        <w:t>附录</w:t>
      </w:r>
    </w:p>
    <w:p w14:paraId="5AB0D2F6">
      <w:pPr>
        <w:pStyle w:val="2"/>
        <w:spacing w:before="51" w:line="310" w:lineRule="auto"/>
        <w:ind w:right="90" w:firstLine="570"/>
      </w:pPr>
      <w:r>
        <w:rPr>
          <w:spacing w:val="6"/>
        </w:rPr>
        <w:t>应列出包含那些在计划正文中已作说明的或推荐为附</w:t>
      </w:r>
      <w:r>
        <w:rPr>
          <w:spacing w:val="5"/>
        </w:rPr>
        <w:t>录内容的项目，以及</w:t>
      </w:r>
      <w:r>
        <w:t xml:space="preserve"> </w:t>
      </w:r>
      <w:r>
        <w:rPr>
          <w:spacing w:val="2"/>
        </w:rPr>
        <w:t>承制方认为有必要添加的其他项目。</w:t>
      </w:r>
    </w:p>
    <w:p w14:paraId="0A838CA0">
      <w:pPr>
        <w:pStyle w:val="2"/>
        <w:spacing w:before="268" w:line="218" w:lineRule="auto"/>
        <w:ind w:left="2329"/>
        <w:rPr>
          <w:sz w:val="36"/>
          <w:szCs w:val="36"/>
        </w:rPr>
      </w:pPr>
      <w:r>
        <w:rPr>
          <w:spacing w:val="3"/>
          <w:sz w:val="36"/>
          <w:szCs w:val="36"/>
        </w:rPr>
        <w:t>14.</w:t>
      </w:r>
      <w:r>
        <w:rPr>
          <w:b/>
          <w:bCs/>
          <w:spacing w:val="3"/>
          <w:sz w:val="36"/>
          <w:szCs w:val="36"/>
        </w:rPr>
        <w:t>6</w:t>
      </w:r>
      <w:r>
        <w:rPr>
          <w:spacing w:val="3"/>
          <w:sz w:val="36"/>
          <w:szCs w:val="36"/>
        </w:rPr>
        <w:t xml:space="preserve">  </w:t>
      </w:r>
      <w:r>
        <w:rPr>
          <w:b/>
          <w:bCs/>
          <w:spacing w:val="3"/>
          <w:sz w:val="36"/>
          <w:szCs w:val="36"/>
        </w:rPr>
        <w:t>人机工程系统分析报告</w:t>
      </w:r>
    </w:p>
    <w:p w14:paraId="5F5F6913">
      <w:pPr>
        <w:spacing w:line="353" w:lineRule="auto"/>
        <w:rPr>
          <w:rFonts w:ascii="Arial"/>
          <w:sz w:val="21"/>
        </w:rPr>
      </w:pPr>
    </w:p>
    <w:p w14:paraId="762E36AF">
      <w:pPr>
        <w:pStyle w:val="2"/>
        <w:spacing w:before="92" w:line="225" w:lineRule="auto"/>
        <w:ind w:left="570"/>
        <w:rPr>
          <w:rFonts w:ascii="楷体" w:hAnsi="楷体" w:eastAsia="楷体" w:cs="楷体"/>
          <w:sz w:val="28"/>
          <w:szCs w:val="28"/>
        </w:rPr>
      </w:pPr>
      <w:r>
        <w:rPr>
          <w:rFonts w:ascii="楷体" w:hAnsi="楷体" w:eastAsia="楷体" w:cs="楷体"/>
          <w:spacing w:val="-10"/>
          <w:sz w:val="28"/>
          <w:szCs w:val="28"/>
        </w:rPr>
        <w:t>按照</w:t>
      </w:r>
      <w:r>
        <w:rPr>
          <w:rFonts w:ascii="Times New Roman" w:hAnsi="Times New Roman" w:eastAsia="Times New Roman" w:cs="Times New Roman"/>
          <w:spacing w:val="-10"/>
          <w:sz w:val="28"/>
          <w:szCs w:val="28"/>
        </w:rPr>
        <w:t>GJB/Z</w:t>
      </w:r>
      <w:r>
        <w:rPr>
          <w:rFonts w:ascii="Times New Roman" w:hAnsi="Times New Roman" w:eastAsia="Times New Roman" w:cs="Times New Roman"/>
          <w:spacing w:val="47"/>
          <w:sz w:val="28"/>
          <w:szCs w:val="28"/>
        </w:rPr>
        <w:t xml:space="preserve"> </w:t>
      </w:r>
      <w:r>
        <w:rPr>
          <w:rFonts w:ascii="Times New Roman" w:hAnsi="Times New Roman" w:eastAsia="Times New Roman" w:cs="Times New Roman"/>
          <w:spacing w:val="-10"/>
          <w:sz w:val="28"/>
          <w:szCs w:val="28"/>
        </w:rPr>
        <w:t>134—2002</w:t>
      </w:r>
      <w:r>
        <w:rPr>
          <w:spacing w:val="-10"/>
          <w:sz w:val="28"/>
          <w:szCs w:val="28"/>
        </w:rPr>
        <w:t>《</w:t>
      </w:r>
      <w:r>
        <w:rPr>
          <w:rFonts w:ascii="楷体" w:hAnsi="楷体" w:eastAsia="楷体" w:cs="楷体"/>
          <w:spacing w:val="-10"/>
          <w:sz w:val="28"/>
          <w:szCs w:val="28"/>
        </w:rPr>
        <w:t>人机工程实施程序指南》编写。</w:t>
      </w:r>
    </w:p>
    <w:p w14:paraId="080CE933">
      <w:pPr>
        <w:spacing w:before="72" w:line="223" w:lineRule="auto"/>
        <w:rPr>
          <w:rFonts w:ascii="黑体" w:hAnsi="黑体" w:eastAsia="黑体" w:cs="黑体"/>
          <w:sz w:val="27"/>
          <w:szCs w:val="27"/>
        </w:rPr>
      </w:pPr>
      <w:r>
        <w:rPr>
          <w:rFonts w:ascii="黑体" w:hAnsi="黑体" w:eastAsia="黑体" w:cs="黑体"/>
          <w:spacing w:val="-6"/>
          <w:sz w:val="27"/>
          <w:szCs w:val="27"/>
        </w:rPr>
        <w:t>1</w:t>
      </w:r>
      <w:r>
        <w:rPr>
          <w:rFonts w:ascii="黑体" w:hAnsi="黑体" w:eastAsia="黑体" w:cs="黑体"/>
          <w:spacing w:val="24"/>
          <w:sz w:val="27"/>
          <w:szCs w:val="27"/>
        </w:rPr>
        <w:t xml:space="preserve">  </w:t>
      </w:r>
      <w:r>
        <w:rPr>
          <w:rFonts w:ascii="黑体" w:hAnsi="黑体" w:eastAsia="黑体" w:cs="黑体"/>
          <w:spacing w:val="-6"/>
          <w:sz w:val="27"/>
          <w:szCs w:val="27"/>
        </w:rPr>
        <w:t>范围</w:t>
      </w:r>
    </w:p>
    <w:p w14:paraId="215BAD5A">
      <w:pPr>
        <w:pStyle w:val="2"/>
        <w:spacing w:before="101" w:line="218" w:lineRule="auto"/>
        <w:ind w:left="570"/>
      </w:pPr>
      <w:r>
        <w:rPr>
          <w:spacing w:val="5"/>
        </w:rPr>
        <w:t>说明人机工程系统分析报告的主题内容和适用范围。</w:t>
      </w:r>
    </w:p>
    <w:p w14:paraId="67096933">
      <w:pPr>
        <w:pStyle w:val="2"/>
        <w:spacing w:before="71" w:line="285" w:lineRule="auto"/>
        <w:ind w:firstLine="570"/>
      </w:pPr>
      <w:r>
        <w:rPr>
          <w:spacing w:val="8"/>
        </w:rPr>
        <w:t>人机工程系统分析报告对已完成的人机工程系统分析工作进行全面总结，</w:t>
      </w:r>
      <w:r>
        <w:rPr>
          <w:spacing w:val="17"/>
        </w:rPr>
        <w:t xml:space="preserve"> </w:t>
      </w:r>
      <w:r>
        <w:rPr>
          <w:spacing w:val="-1"/>
        </w:rPr>
        <w:t>给出分析结论。</w:t>
      </w:r>
    </w:p>
    <w:p w14:paraId="1F2D9EDC">
      <w:pPr>
        <w:spacing w:before="16" w:line="222" w:lineRule="auto"/>
        <w:rPr>
          <w:rFonts w:ascii="黑体" w:hAnsi="黑体" w:eastAsia="黑体" w:cs="黑体"/>
          <w:sz w:val="24"/>
          <w:szCs w:val="24"/>
        </w:rPr>
      </w:pPr>
      <w:r>
        <w:rPr>
          <w:rFonts w:ascii="黑体" w:hAnsi="黑体" w:eastAsia="黑体" w:cs="黑体"/>
          <w:spacing w:val="-13"/>
          <w:sz w:val="24"/>
          <w:szCs w:val="24"/>
        </w:rPr>
        <w:t>2</w:t>
      </w:r>
      <w:r>
        <w:rPr>
          <w:rFonts w:ascii="黑体" w:hAnsi="黑体" w:eastAsia="黑体" w:cs="黑体"/>
          <w:spacing w:val="39"/>
          <w:sz w:val="24"/>
          <w:szCs w:val="24"/>
        </w:rPr>
        <w:t xml:space="preserve">  </w:t>
      </w:r>
      <w:r>
        <w:rPr>
          <w:rFonts w:ascii="黑体" w:hAnsi="黑体" w:eastAsia="黑体" w:cs="黑体"/>
          <w:spacing w:val="-13"/>
          <w:sz w:val="24"/>
          <w:szCs w:val="24"/>
        </w:rPr>
        <w:t>引</w:t>
      </w:r>
      <w:r>
        <w:rPr>
          <w:rFonts w:ascii="黑体" w:hAnsi="黑体" w:eastAsia="黑体" w:cs="黑体"/>
          <w:spacing w:val="-50"/>
          <w:sz w:val="24"/>
          <w:szCs w:val="24"/>
        </w:rPr>
        <w:t xml:space="preserve"> </w:t>
      </w:r>
      <w:r>
        <w:rPr>
          <w:rFonts w:ascii="黑体" w:hAnsi="黑体" w:eastAsia="黑体" w:cs="黑体"/>
          <w:spacing w:val="-13"/>
          <w:sz w:val="24"/>
          <w:szCs w:val="24"/>
        </w:rPr>
        <w:t>用</w:t>
      </w:r>
      <w:r>
        <w:rPr>
          <w:rFonts w:ascii="黑体" w:hAnsi="黑体" w:eastAsia="黑体" w:cs="黑体"/>
          <w:spacing w:val="-50"/>
          <w:sz w:val="24"/>
          <w:szCs w:val="24"/>
        </w:rPr>
        <w:t xml:space="preserve"> </w:t>
      </w:r>
      <w:r>
        <w:rPr>
          <w:rFonts w:ascii="黑体" w:hAnsi="黑体" w:eastAsia="黑体" w:cs="黑体"/>
          <w:spacing w:val="-13"/>
          <w:sz w:val="24"/>
          <w:szCs w:val="24"/>
        </w:rPr>
        <w:t>文</w:t>
      </w:r>
      <w:r>
        <w:rPr>
          <w:rFonts w:ascii="黑体" w:hAnsi="黑体" w:eastAsia="黑体" w:cs="黑体"/>
          <w:spacing w:val="-56"/>
          <w:sz w:val="24"/>
          <w:szCs w:val="24"/>
        </w:rPr>
        <w:t xml:space="preserve"> </w:t>
      </w:r>
      <w:r>
        <w:rPr>
          <w:rFonts w:ascii="黑体" w:hAnsi="黑体" w:eastAsia="黑体" w:cs="黑体"/>
          <w:spacing w:val="-13"/>
          <w:sz w:val="24"/>
          <w:szCs w:val="24"/>
        </w:rPr>
        <w:t>件</w:t>
      </w:r>
    </w:p>
    <w:p w14:paraId="6C37A093">
      <w:pPr>
        <w:pStyle w:val="2"/>
        <w:spacing w:before="92" w:line="218" w:lineRule="auto"/>
        <w:ind w:left="570"/>
      </w:pPr>
      <w:r>
        <w:rPr>
          <w:spacing w:val="4"/>
        </w:rPr>
        <w:t>列出人机工程系统分析报告中引用的文件。</w:t>
      </w:r>
    </w:p>
    <w:p w14:paraId="1EA6CF95">
      <w:pPr>
        <w:spacing w:before="57" w:line="327" w:lineRule="exact"/>
        <w:rPr>
          <w:rFonts w:ascii="黑体" w:hAnsi="黑体" w:eastAsia="黑体" w:cs="黑体"/>
          <w:sz w:val="24"/>
          <w:szCs w:val="24"/>
        </w:rPr>
      </w:pPr>
      <w:r>
        <w:rPr>
          <w:rFonts w:ascii="Arial" w:hAnsi="Arial" w:eastAsia="Arial" w:cs="Arial"/>
          <w:spacing w:val="22"/>
          <w:position w:val="1"/>
          <w:sz w:val="24"/>
          <w:szCs w:val="24"/>
        </w:rPr>
        <w:t xml:space="preserve">3    </w:t>
      </w:r>
      <w:r>
        <w:rPr>
          <w:rFonts w:ascii="黑体" w:hAnsi="黑体" w:eastAsia="黑体" w:cs="黑体"/>
          <w:spacing w:val="22"/>
          <w:position w:val="1"/>
          <w:sz w:val="24"/>
          <w:szCs w:val="24"/>
        </w:rPr>
        <w:t>人机工程分析职责</w:t>
      </w:r>
    </w:p>
    <w:p w14:paraId="675A7606">
      <w:pPr>
        <w:pStyle w:val="2"/>
        <w:spacing w:before="98" w:line="219" w:lineRule="auto"/>
        <w:ind w:left="570"/>
      </w:pPr>
      <w:r>
        <w:rPr>
          <w:spacing w:val="3"/>
        </w:rPr>
        <w:t>人机工程系统分析工作的主要职责如下：</w:t>
      </w:r>
    </w:p>
    <w:p w14:paraId="6F86B86B">
      <w:pPr>
        <w:pStyle w:val="2"/>
        <w:spacing w:before="61" w:line="212" w:lineRule="auto"/>
        <w:ind w:left="570"/>
      </w:pPr>
      <w:r>
        <w:rPr>
          <w:rFonts w:ascii="Times New Roman" w:hAnsi="Times New Roman" w:eastAsia="Times New Roman" w:cs="Times New Roman"/>
          <w:spacing w:val="-7"/>
        </w:rPr>
        <w:t>a)</w:t>
      </w:r>
      <w:r>
        <w:rPr>
          <w:rFonts w:ascii="Times New Roman" w:hAnsi="Times New Roman" w:eastAsia="Times New Roman" w:cs="Times New Roman"/>
          <w:spacing w:val="17"/>
          <w:w w:val="101"/>
        </w:rPr>
        <w:t xml:space="preserve">  </w:t>
      </w:r>
      <w:r>
        <w:rPr>
          <w:spacing w:val="-7"/>
        </w:rPr>
        <w:t>主要参与人、机、软件或其组合之间的</w:t>
      </w:r>
      <w:r>
        <w:rPr>
          <w:spacing w:val="-8"/>
        </w:rPr>
        <w:t>系统功能分配；</w:t>
      </w:r>
    </w:p>
    <w:p w14:paraId="55F93D6E">
      <w:pPr>
        <w:pStyle w:val="2"/>
        <w:spacing w:before="121" w:line="272" w:lineRule="auto"/>
        <w:ind w:right="94" w:firstLine="570"/>
        <w:rPr>
          <w:sz w:val="25"/>
          <w:szCs w:val="25"/>
        </w:rPr>
      </w:pPr>
      <w:r>
        <w:rPr>
          <w:rFonts w:ascii="Times New Roman" w:hAnsi="Times New Roman" w:eastAsia="Times New Roman" w:cs="Times New Roman"/>
          <w:spacing w:val="21"/>
          <w:sz w:val="25"/>
          <w:szCs w:val="25"/>
        </w:rPr>
        <w:t xml:space="preserve">b)  </w:t>
      </w:r>
      <w:r>
        <w:rPr>
          <w:spacing w:val="21"/>
          <w:sz w:val="25"/>
          <w:szCs w:val="25"/>
        </w:rPr>
        <w:t>根据人机工程的观点，在各个方面确保选择的每个系统的功能实施是可</w:t>
      </w:r>
      <w:r>
        <w:rPr>
          <w:spacing w:val="1"/>
          <w:sz w:val="25"/>
          <w:szCs w:val="25"/>
        </w:rPr>
        <w:t xml:space="preserve"> </w:t>
      </w:r>
      <w:r>
        <w:rPr>
          <w:spacing w:val="8"/>
          <w:sz w:val="25"/>
          <w:szCs w:val="25"/>
        </w:rPr>
        <w:t>行的；</w:t>
      </w:r>
    </w:p>
    <w:p w14:paraId="03F97B0F">
      <w:pPr>
        <w:pStyle w:val="2"/>
        <w:spacing w:before="52" w:line="212" w:lineRule="auto"/>
        <w:ind w:left="570"/>
      </w:pPr>
      <w:r>
        <w:rPr>
          <w:rFonts w:ascii="Times New Roman" w:hAnsi="Times New Roman" w:eastAsia="Times New Roman" w:cs="Times New Roman"/>
          <w:spacing w:val="3"/>
        </w:rPr>
        <w:t>c)</w:t>
      </w:r>
      <w:r>
        <w:rPr>
          <w:rFonts w:ascii="Times New Roman" w:hAnsi="Times New Roman" w:eastAsia="Times New Roman" w:cs="Times New Roman"/>
          <w:spacing w:val="51"/>
          <w:w w:val="101"/>
        </w:rPr>
        <w:t xml:space="preserve"> </w:t>
      </w:r>
      <w:r>
        <w:rPr>
          <w:spacing w:val="3"/>
        </w:rPr>
        <w:t>关键任务的确认和详细分析；</w:t>
      </w:r>
    </w:p>
    <w:p w14:paraId="5284625E">
      <w:pPr>
        <w:pStyle w:val="2"/>
        <w:spacing w:before="100" w:line="212" w:lineRule="auto"/>
        <w:ind w:left="570"/>
      </w:pPr>
      <w:r>
        <w:rPr>
          <w:rFonts w:ascii="Times New Roman" w:hAnsi="Times New Roman" w:eastAsia="Times New Roman" w:cs="Times New Roman"/>
          <w:spacing w:val="3"/>
        </w:rPr>
        <w:t xml:space="preserve">d)  </w:t>
      </w:r>
      <w:r>
        <w:rPr>
          <w:spacing w:val="3"/>
        </w:rPr>
        <w:t>操作者工作负荷分析；</w:t>
      </w:r>
    </w:p>
    <w:p w14:paraId="4A1B0922">
      <w:pPr>
        <w:pStyle w:val="2"/>
        <w:spacing w:before="110" w:line="212" w:lineRule="auto"/>
        <w:ind w:left="570"/>
      </w:pPr>
      <w:r>
        <w:rPr>
          <w:rFonts w:ascii="Times New Roman" w:hAnsi="Times New Roman" w:eastAsia="Times New Roman" w:cs="Times New Roman"/>
          <w:spacing w:val="4"/>
        </w:rPr>
        <w:t>e)</w:t>
      </w:r>
      <w:r>
        <w:rPr>
          <w:rFonts w:ascii="Times New Roman" w:hAnsi="Times New Roman" w:eastAsia="Times New Roman" w:cs="Times New Roman"/>
          <w:spacing w:val="74"/>
        </w:rPr>
        <w:t xml:space="preserve"> </w:t>
      </w:r>
      <w:r>
        <w:rPr>
          <w:spacing w:val="4"/>
        </w:rPr>
        <w:t>与人机工程要求有关的初始硬件的作业和文件的跟踪研究；</w:t>
      </w:r>
    </w:p>
    <w:p w14:paraId="248ED650">
      <w:pPr>
        <w:pStyle w:val="2"/>
        <w:spacing w:before="100" w:line="212" w:lineRule="auto"/>
        <w:ind w:left="570"/>
      </w:pPr>
      <w:r>
        <w:rPr>
          <w:rFonts w:ascii="Times New Roman" w:hAnsi="Times New Roman" w:eastAsia="Times New Roman" w:cs="Times New Roman"/>
          <w:spacing w:val="4"/>
        </w:rPr>
        <w:t>f)</w:t>
      </w:r>
      <w:r>
        <w:rPr>
          <w:rFonts w:ascii="Times New Roman" w:hAnsi="Times New Roman" w:eastAsia="Times New Roman" w:cs="Times New Roman"/>
          <w:spacing w:val="72"/>
          <w:w w:val="101"/>
        </w:rPr>
        <w:t xml:space="preserve"> </w:t>
      </w:r>
      <w:r>
        <w:rPr>
          <w:spacing w:val="4"/>
        </w:rPr>
        <w:t>需要注意识别潜在的人机工程领域的问题；</w:t>
      </w:r>
    </w:p>
    <w:p w14:paraId="4DF12261">
      <w:pPr>
        <w:pStyle w:val="2"/>
        <w:spacing w:before="109" w:line="212" w:lineRule="auto"/>
        <w:ind w:left="570"/>
      </w:pPr>
      <w:r>
        <w:rPr>
          <w:rFonts w:ascii="Times New Roman" w:hAnsi="Times New Roman" w:eastAsia="Times New Roman" w:cs="Times New Roman"/>
          <w:spacing w:val="3"/>
        </w:rPr>
        <w:t>g</w:t>
      </w:r>
      <w:r>
        <w:rPr>
          <w:spacing w:val="3"/>
        </w:rPr>
        <w:t>)</w:t>
      </w:r>
      <w:r>
        <w:rPr>
          <w:spacing w:val="-30"/>
        </w:rPr>
        <w:t xml:space="preserve"> </w:t>
      </w:r>
      <w:r>
        <w:rPr>
          <w:spacing w:val="3"/>
        </w:rPr>
        <w:t>为分承制方的招标书提供资料。</w:t>
      </w:r>
    </w:p>
    <w:p w14:paraId="4AFB7EFF">
      <w:pPr>
        <w:spacing w:before="99" w:line="221" w:lineRule="auto"/>
        <w:rPr>
          <w:rFonts w:ascii="黑体" w:hAnsi="黑体" w:eastAsia="黑体" w:cs="黑体"/>
          <w:sz w:val="27"/>
          <w:szCs w:val="27"/>
        </w:rPr>
      </w:pPr>
      <w:r>
        <w:rPr>
          <w:rFonts w:ascii="黑体" w:hAnsi="黑体" w:eastAsia="黑体" w:cs="黑体"/>
          <w:spacing w:val="2"/>
          <w:sz w:val="27"/>
          <w:szCs w:val="27"/>
        </w:rPr>
        <w:t>4</w:t>
      </w:r>
      <w:r>
        <w:rPr>
          <w:rFonts w:ascii="黑体" w:hAnsi="黑体" w:eastAsia="黑体" w:cs="黑体"/>
          <w:spacing w:val="14"/>
          <w:sz w:val="27"/>
          <w:szCs w:val="27"/>
        </w:rPr>
        <w:t xml:space="preserve">  </w:t>
      </w:r>
      <w:r>
        <w:rPr>
          <w:rFonts w:ascii="黑体" w:hAnsi="黑体" w:eastAsia="黑体" w:cs="黑体"/>
          <w:spacing w:val="2"/>
          <w:sz w:val="27"/>
          <w:szCs w:val="27"/>
        </w:rPr>
        <w:t>人机工程分析方法</w:t>
      </w:r>
    </w:p>
    <w:p w14:paraId="742D8DE3">
      <w:pPr>
        <w:spacing w:before="69" w:line="212" w:lineRule="auto"/>
        <w:rPr>
          <w:rFonts w:ascii="Arial" w:hAnsi="Arial" w:eastAsia="Arial" w:cs="Arial"/>
          <w:sz w:val="27"/>
          <w:szCs w:val="27"/>
        </w:rPr>
      </w:pPr>
      <w:r>
        <w:rPr>
          <w:rFonts w:ascii="Arial" w:hAnsi="Arial" w:eastAsia="Arial" w:cs="Arial"/>
          <w:spacing w:val="7"/>
          <w:sz w:val="27"/>
          <w:szCs w:val="27"/>
        </w:rPr>
        <w:t>4.X</w:t>
      </w:r>
      <w:r>
        <w:rPr>
          <w:rFonts w:ascii="Arial" w:hAnsi="Arial" w:eastAsia="Arial" w:cs="Arial"/>
          <w:spacing w:val="14"/>
          <w:sz w:val="27"/>
          <w:szCs w:val="27"/>
        </w:rPr>
        <w:t xml:space="preserve">    </w:t>
      </w:r>
      <w:r>
        <w:rPr>
          <w:rFonts w:ascii="黑体" w:hAnsi="黑体" w:eastAsia="黑体" w:cs="黑体"/>
          <w:spacing w:val="7"/>
          <w:sz w:val="27"/>
          <w:szCs w:val="27"/>
        </w:rPr>
        <w:t>(采取的人机工程分析方法</w:t>
      </w:r>
      <w:r>
        <w:rPr>
          <w:rFonts w:ascii="Arial" w:hAnsi="Arial" w:eastAsia="Arial" w:cs="Arial"/>
          <w:spacing w:val="7"/>
          <w:sz w:val="27"/>
          <w:szCs w:val="27"/>
        </w:rPr>
        <w:t>X)</w:t>
      </w:r>
    </w:p>
    <w:p w14:paraId="4DC59281">
      <w:pPr>
        <w:pStyle w:val="2"/>
        <w:spacing w:before="99" w:line="212" w:lineRule="auto"/>
        <w:ind w:left="570"/>
      </w:pPr>
      <w:r>
        <w:rPr>
          <w:spacing w:val="7"/>
        </w:rPr>
        <w:t>说明(采取的人机工程分析方法</w:t>
      </w:r>
      <w:r>
        <w:rPr>
          <w:rFonts w:ascii="Times New Roman" w:hAnsi="Times New Roman" w:eastAsia="Times New Roman" w:cs="Times New Roman"/>
          <w:spacing w:val="7"/>
        </w:rPr>
        <w:t>X)</w:t>
      </w:r>
      <w:r>
        <w:rPr>
          <w:spacing w:val="7"/>
        </w:rPr>
        <w:t>。</w:t>
      </w:r>
    </w:p>
    <w:p w14:paraId="0CE17C8B">
      <w:pPr>
        <w:pStyle w:val="2"/>
        <w:spacing w:before="122" w:line="281" w:lineRule="auto"/>
        <w:ind w:right="114" w:firstLine="570"/>
        <w:jc w:val="both"/>
      </w:pPr>
      <w:r>
        <w:rPr>
          <w:rFonts w:ascii="仿宋" w:hAnsi="仿宋" w:eastAsia="仿宋" w:cs="仿宋"/>
          <w:spacing w:val="1"/>
        </w:rPr>
        <w:t>在</w:t>
      </w:r>
      <w:r>
        <w:rPr>
          <w:rFonts w:ascii="仿宋" w:hAnsi="仿宋" w:eastAsia="仿宋" w:cs="仿宋"/>
          <w:spacing w:val="-60"/>
        </w:rPr>
        <w:t xml:space="preserve"> </w:t>
      </w:r>
      <w:r>
        <w:rPr>
          <w:rFonts w:ascii="Times New Roman" w:hAnsi="Times New Roman" w:eastAsia="Times New Roman" w:cs="Times New Roman"/>
        </w:rPr>
        <w:t>GJB</w:t>
      </w:r>
      <w:r>
        <w:rPr>
          <w:rFonts w:ascii="Times New Roman" w:hAnsi="Times New Roman" w:eastAsia="Times New Roman" w:cs="Times New Roman"/>
          <w:spacing w:val="1"/>
        </w:rPr>
        <w:t>/Z    134—2002</w:t>
      </w:r>
      <w:r>
        <w:rPr>
          <w:rFonts w:ascii="仿宋" w:hAnsi="仿宋" w:eastAsia="仿宋" w:cs="仿宋"/>
          <w:spacing w:val="1"/>
        </w:rPr>
        <w:t>中，提供了23种方法的说明、</w:t>
      </w:r>
      <w:r>
        <w:rPr>
          <w:spacing w:val="1"/>
        </w:rPr>
        <w:t>程序、应用以及与其他</w:t>
      </w:r>
      <w:r>
        <w:t xml:space="preserve"> </w:t>
      </w:r>
      <w:r>
        <w:rPr>
          <w:spacing w:val="2"/>
        </w:rPr>
        <w:t>方法的比较。可以根据项目需要，按照评价</w:t>
      </w:r>
      <w:r>
        <w:rPr>
          <w:spacing w:val="1"/>
        </w:rPr>
        <w:t>特征(最适用的研制阶段、相对复杂</w:t>
      </w:r>
      <w:r>
        <w:t xml:space="preserve"> </w:t>
      </w:r>
      <w:r>
        <w:rPr>
          <w:spacing w:val="-10"/>
        </w:rPr>
        <w:t>性、用途、广度、相对执行时间、相对费用、费效比),选取适当的方法进行人机工</w:t>
      </w:r>
      <w:r>
        <w:rPr>
          <w:spacing w:val="13"/>
        </w:rPr>
        <w:t xml:space="preserve"> </w:t>
      </w:r>
      <w:r>
        <w:rPr>
          <w:spacing w:val="1"/>
        </w:rPr>
        <w:t>程分析。</w:t>
      </w:r>
    </w:p>
    <w:p w14:paraId="777DDB14">
      <w:pPr>
        <w:pStyle w:val="2"/>
        <w:spacing w:before="2" w:line="279" w:lineRule="auto"/>
        <w:ind w:firstLine="570"/>
        <w:jc w:val="both"/>
      </w:pPr>
      <w:r>
        <w:rPr>
          <w:spacing w:val="-8"/>
        </w:rPr>
        <w:t>可采取的人机工程分析方法主要有：任务剖面法；任务概要法；功能流程图；</w:t>
      </w:r>
      <w:r>
        <w:rPr>
          <w:spacing w:val="5"/>
        </w:rPr>
        <w:t xml:space="preserve"> </w:t>
      </w:r>
      <w:r>
        <w:rPr>
          <w:spacing w:val="-10"/>
        </w:rPr>
        <w:t>决策或行动图；动作和信息要求表；功能分配调整；时间线；预定时间标准；</w:t>
      </w:r>
      <w:r>
        <w:rPr>
          <w:spacing w:val="-11"/>
        </w:rPr>
        <w:t>流程</w:t>
      </w:r>
      <w:r>
        <w:t xml:space="preserve">  </w:t>
      </w:r>
      <w:r>
        <w:rPr>
          <w:spacing w:val="-17"/>
        </w:rPr>
        <w:t>图；操作顺序图；任务说明；工作负荷分析；任务关联矩阵分析；操作链分析；任务</w:t>
      </w:r>
    </w:p>
    <w:p w14:paraId="751A6827">
      <w:pPr>
        <w:spacing w:line="279" w:lineRule="auto"/>
        <w:sectPr>
          <w:footerReference r:id="rId645" w:type="default"/>
          <w:pgSz w:w="11910" w:h="17130"/>
          <w:pgMar w:top="1456" w:right="754" w:bottom="1383" w:left="1670" w:header="0" w:footer="1185" w:gutter="0"/>
          <w:cols w:space="720" w:num="1"/>
        </w:sectPr>
      </w:pPr>
    </w:p>
    <w:p w14:paraId="730614CD">
      <w:pPr>
        <w:pStyle w:val="2"/>
        <w:spacing w:before="142" w:line="289" w:lineRule="auto"/>
        <w:ind w:right="26"/>
        <w:jc w:val="both"/>
      </w:pPr>
      <w:r>
        <w:rPr>
          <w:spacing w:val="-2"/>
        </w:rPr>
        <w:t>综合网络系统分析；时间线分析程序模型—1;工作负荷主观评</w:t>
      </w:r>
      <w:r>
        <w:rPr>
          <w:spacing w:val="-3"/>
        </w:rPr>
        <w:t>估方法；微机仿真</w:t>
      </w:r>
      <w:r>
        <w:t xml:space="preserve"> </w:t>
      </w:r>
      <w:r>
        <w:rPr>
          <w:spacing w:val="-2"/>
        </w:rPr>
        <w:t>的交互工作负荷分析与建模；工作站评估；</w:t>
      </w:r>
      <w:r>
        <w:rPr>
          <w:spacing w:val="-3"/>
        </w:rPr>
        <w:t>操作者仿真；操作者工作负荷评估系</w:t>
      </w:r>
      <w:r>
        <w:t xml:space="preserve"> </w:t>
      </w:r>
      <w:r>
        <w:rPr>
          <w:spacing w:val="-11"/>
        </w:rPr>
        <w:t>统；计算机辅助设计与评估方法；数据存储。</w:t>
      </w:r>
    </w:p>
    <w:p w14:paraId="63E93CA8">
      <w:pPr>
        <w:spacing w:line="221" w:lineRule="auto"/>
        <w:outlineLvl w:val="3"/>
        <w:rPr>
          <w:rFonts w:ascii="黑体" w:hAnsi="黑体" w:eastAsia="黑体" w:cs="黑体"/>
          <w:sz w:val="27"/>
          <w:szCs w:val="27"/>
        </w:rPr>
      </w:pPr>
      <w:r>
        <w:rPr>
          <w:rFonts w:ascii="Arial" w:hAnsi="Arial" w:eastAsia="Arial" w:cs="Arial"/>
          <w:b/>
          <w:bCs/>
          <w:spacing w:val="-2"/>
          <w:sz w:val="27"/>
          <w:szCs w:val="27"/>
        </w:rPr>
        <w:t>5</w:t>
      </w:r>
      <w:r>
        <w:rPr>
          <w:rFonts w:ascii="Arial" w:hAnsi="Arial" w:eastAsia="Arial" w:cs="Arial"/>
          <w:b/>
          <w:bCs/>
          <w:spacing w:val="21"/>
          <w:sz w:val="27"/>
          <w:szCs w:val="27"/>
        </w:rPr>
        <w:t xml:space="preserve">   </w:t>
      </w:r>
      <w:r>
        <w:rPr>
          <w:rFonts w:ascii="黑体" w:hAnsi="黑体" w:eastAsia="黑体" w:cs="黑体"/>
          <w:b/>
          <w:bCs/>
          <w:spacing w:val="-2"/>
          <w:sz w:val="27"/>
          <w:szCs w:val="27"/>
        </w:rPr>
        <w:t>人机工程分析结论</w:t>
      </w:r>
    </w:p>
    <w:p w14:paraId="5E5B80A1">
      <w:pPr>
        <w:pStyle w:val="2"/>
        <w:spacing w:before="89" w:line="219" w:lineRule="auto"/>
        <w:ind w:left="570"/>
      </w:pPr>
      <w:r>
        <w:rPr>
          <w:spacing w:val="5"/>
        </w:rPr>
        <w:t>说明按照人机工程分析方法进行人机工程分析</w:t>
      </w:r>
      <w:r>
        <w:rPr>
          <w:spacing w:val="4"/>
        </w:rPr>
        <w:t>的分析过程和分析结果。</w:t>
      </w:r>
    </w:p>
    <w:p w14:paraId="757196E2">
      <w:pPr>
        <w:spacing w:line="347" w:lineRule="auto"/>
        <w:rPr>
          <w:rFonts w:ascii="Arial"/>
          <w:sz w:val="21"/>
        </w:rPr>
      </w:pPr>
    </w:p>
    <w:p w14:paraId="6CDBB78B">
      <w:pPr>
        <w:pStyle w:val="2"/>
        <w:spacing w:before="117" w:line="218" w:lineRule="auto"/>
        <w:ind w:left="2689"/>
        <w:rPr>
          <w:sz w:val="36"/>
          <w:szCs w:val="36"/>
        </w:rPr>
      </w:pPr>
      <w:r>
        <w:rPr>
          <w:spacing w:val="-1"/>
          <w:sz w:val="36"/>
          <w:szCs w:val="36"/>
        </w:rPr>
        <w:t>14.7</w:t>
      </w:r>
      <w:r>
        <w:rPr>
          <w:spacing w:val="25"/>
          <w:sz w:val="36"/>
          <w:szCs w:val="36"/>
        </w:rPr>
        <w:t xml:space="preserve">  </w:t>
      </w:r>
      <w:r>
        <w:rPr>
          <w:b/>
          <w:bCs/>
          <w:spacing w:val="-1"/>
          <w:sz w:val="36"/>
          <w:szCs w:val="36"/>
        </w:rPr>
        <w:t>关键任务分析报告</w:t>
      </w:r>
    </w:p>
    <w:p w14:paraId="562ABCF0">
      <w:pPr>
        <w:spacing w:line="404" w:lineRule="auto"/>
        <w:rPr>
          <w:rFonts w:ascii="Arial"/>
          <w:sz w:val="21"/>
        </w:rPr>
      </w:pPr>
    </w:p>
    <w:p w14:paraId="0CBF4756">
      <w:pPr>
        <w:pStyle w:val="2"/>
        <w:spacing w:before="78" w:line="225" w:lineRule="auto"/>
        <w:ind w:left="570"/>
        <w:rPr>
          <w:rFonts w:ascii="楷体" w:hAnsi="楷体" w:eastAsia="楷体" w:cs="楷体"/>
          <w:sz w:val="24"/>
          <w:szCs w:val="24"/>
        </w:rPr>
      </w:pPr>
      <w:r>
        <w:rPr>
          <w:rFonts w:ascii="楷体" w:hAnsi="楷体" w:eastAsia="楷体" w:cs="楷体"/>
          <w:spacing w:val="10"/>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10"/>
          <w:sz w:val="24"/>
          <w:szCs w:val="24"/>
        </w:rPr>
        <w:t>/Z     134—2002</w:t>
      </w:r>
      <w:r>
        <w:rPr>
          <w:spacing w:val="10"/>
          <w:sz w:val="24"/>
          <w:szCs w:val="24"/>
        </w:rPr>
        <w:t>《</w:t>
      </w:r>
      <w:r>
        <w:rPr>
          <w:rFonts w:ascii="楷体" w:hAnsi="楷体" w:eastAsia="楷体" w:cs="楷体"/>
          <w:spacing w:val="10"/>
          <w:sz w:val="24"/>
          <w:szCs w:val="24"/>
        </w:rPr>
        <w:t>人机工程实施程序指南》编</w:t>
      </w:r>
      <w:r>
        <w:rPr>
          <w:rFonts w:ascii="楷体" w:hAnsi="楷体" w:eastAsia="楷体" w:cs="楷体"/>
          <w:spacing w:val="9"/>
          <w:sz w:val="24"/>
          <w:szCs w:val="24"/>
        </w:rPr>
        <w:t>写。</w:t>
      </w:r>
    </w:p>
    <w:p w14:paraId="75EBD855">
      <w:pPr>
        <w:spacing w:before="99" w:line="223" w:lineRule="auto"/>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22"/>
          <w:sz w:val="27"/>
          <w:szCs w:val="27"/>
        </w:rPr>
        <w:t xml:space="preserve">  </w:t>
      </w:r>
      <w:r>
        <w:rPr>
          <w:rFonts w:ascii="黑体" w:hAnsi="黑体" w:eastAsia="黑体" w:cs="黑体"/>
          <w:b/>
          <w:bCs/>
          <w:spacing w:val="-8"/>
          <w:sz w:val="27"/>
          <w:szCs w:val="27"/>
        </w:rPr>
        <w:t>范围</w:t>
      </w:r>
    </w:p>
    <w:p w14:paraId="57592013">
      <w:pPr>
        <w:spacing w:before="91" w:line="222" w:lineRule="auto"/>
        <w:rPr>
          <w:rFonts w:ascii="黑体" w:hAnsi="黑体" w:eastAsia="黑体" w:cs="黑体"/>
          <w:sz w:val="27"/>
          <w:szCs w:val="27"/>
        </w:rPr>
      </w:pPr>
      <w:r>
        <w:rPr>
          <w:rFonts w:ascii="黑体" w:hAnsi="黑体" w:eastAsia="黑体" w:cs="黑体"/>
          <w:spacing w:val="-3"/>
          <w:sz w:val="27"/>
          <w:szCs w:val="27"/>
        </w:rPr>
        <w:t>2</w:t>
      </w:r>
      <w:r>
        <w:rPr>
          <w:rFonts w:ascii="黑体" w:hAnsi="黑体" w:eastAsia="黑体" w:cs="黑体"/>
          <w:spacing w:val="13"/>
          <w:sz w:val="27"/>
          <w:szCs w:val="27"/>
        </w:rPr>
        <w:t xml:space="preserve">  </w:t>
      </w:r>
      <w:r>
        <w:rPr>
          <w:rFonts w:ascii="黑体" w:hAnsi="黑体" w:eastAsia="黑体" w:cs="黑体"/>
          <w:b/>
          <w:bCs/>
          <w:spacing w:val="-3"/>
          <w:sz w:val="27"/>
          <w:szCs w:val="27"/>
        </w:rPr>
        <w:t>引用文件</w:t>
      </w:r>
    </w:p>
    <w:p w14:paraId="14108247">
      <w:pPr>
        <w:spacing w:before="95" w:line="221" w:lineRule="auto"/>
        <w:rPr>
          <w:rFonts w:ascii="黑体" w:hAnsi="黑体" w:eastAsia="黑体" w:cs="黑体"/>
          <w:sz w:val="27"/>
          <w:szCs w:val="27"/>
        </w:rPr>
      </w:pPr>
      <w:r>
        <w:rPr>
          <w:rFonts w:ascii="黑体" w:hAnsi="黑体" w:eastAsia="黑体" w:cs="黑体"/>
          <w:sz w:val="27"/>
          <w:szCs w:val="27"/>
        </w:rPr>
        <w:t>3</w:t>
      </w:r>
      <w:r>
        <w:rPr>
          <w:rFonts w:ascii="黑体" w:hAnsi="黑体" w:eastAsia="黑体" w:cs="黑体"/>
          <w:spacing w:val="16"/>
          <w:sz w:val="27"/>
          <w:szCs w:val="27"/>
        </w:rPr>
        <w:t xml:space="preserve">  </w:t>
      </w:r>
      <w:r>
        <w:rPr>
          <w:rFonts w:ascii="黑体" w:hAnsi="黑体" w:eastAsia="黑体" w:cs="黑体"/>
          <w:b/>
          <w:bCs/>
          <w:sz w:val="27"/>
          <w:szCs w:val="27"/>
        </w:rPr>
        <w:t>关键任务选择原则</w:t>
      </w:r>
    </w:p>
    <w:p w14:paraId="366FAC70">
      <w:pPr>
        <w:pStyle w:val="2"/>
        <w:spacing w:before="122" w:line="219" w:lineRule="auto"/>
        <w:ind w:left="570"/>
        <w:rPr>
          <w:sz w:val="24"/>
          <w:szCs w:val="24"/>
        </w:rPr>
      </w:pPr>
      <w:r>
        <w:rPr>
          <w:spacing w:val="31"/>
          <w:sz w:val="24"/>
          <w:szCs w:val="24"/>
        </w:rPr>
        <w:t>阐述将任务纳入关键任务的选择原则。</w:t>
      </w:r>
    </w:p>
    <w:p w14:paraId="3728F9DB">
      <w:pPr>
        <w:pStyle w:val="2"/>
        <w:spacing w:before="116" w:line="279" w:lineRule="auto"/>
        <w:ind w:firstLine="570"/>
      </w:pPr>
      <w:r>
        <w:rPr>
          <w:spacing w:val="6"/>
        </w:rPr>
        <w:t>对人机工程分析过程中已认识到的那些需要关键操作者的特</w:t>
      </w:r>
      <w:r>
        <w:rPr>
          <w:spacing w:val="5"/>
        </w:rPr>
        <w:t>性、实际工作</w:t>
      </w:r>
      <w:r>
        <w:t xml:space="preserve"> </w:t>
      </w:r>
      <w:r>
        <w:rPr>
          <w:spacing w:val="5"/>
        </w:rPr>
        <w:t>中可能出现的不安全因素或在操作效率上有改善潜力的课题，应进行关键任务</w:t>
      </w:r>
      <w:r>
        <w:rPr>
          <w:spacing w:val="1"/>
        </w:rPr>
        <w:t xml:space="preserve"> </w:t>
      </w:r>
      <w:r>
        <w:rPr>
          <w:spacing w:val="-12"/>
        </w:rPr>
        <w:t>分析。</w:t>
      </w:r>
    </w:p>
    <w:p w14:paraId="7A94C0BE">
      <w:pPr>
        <w:spacing w:before="39" w:line="221" w:lineRule="auto"/>
        <w:rPr>
          <w:rFonts w:ascii="黑体" w:hAnsi="黑体" w:eastAsia="黑体" w:cs="黑体"/>
          <w:sz w:val="25"/>
          <w:szCs w:val="25"/>
        </w:rPr>
      </w:pPr>
      <w:r>
        <w:rPr>
          <w:rFonts w:ascii="黑体" w:hAnsi="黑体" w:eastAsia="黑体" w:cs="黑体"/>
          <w:spacing w:val="13"/>
          <w:sz w:val="25"/>
          <w:szCs w:val="25"/>
        </w:rPr>
        <w:t>4</w:t>
      </w:r>
      <w:r>
        <w:rPr>
          <w:rFonts w:ascii="黑体" w:hAnsi="黑体" w:eastAsia="黑体" w:cs="黑体"/>
          <w:spacing w:val="27"/>
          <w:sz w:val="25"/>
          <w:szCs w:val="25"/>
        </w:rPr>
        <w:t xml:space="preserve">  </w:t>
      </w:r>
      <w:r>
        <w:rPr>
          <w:rFonts w:ascii="黑体" w:hAnsi="黑体" w:eastAsia="黑体" w:cs="黑体"/>
          <w:b/>
          <w:bCs/>
          <w:spacing w:val="13"/>
          <w:sz w:val="25"/>
          <w:szCs w:val="25"/>
        </w:rPr>
        <w:t>关键任务</w:t>
      </w:r>
    </w:p>
    <w:p w14:paraId="66F1FF35">
      <w:pPr>
        <w:spacing w:before="78" w:line="212" w:lineRule="auto"/>
        <w:rPr>
          <w:rFonts w:ascii="Arial" w:hAnsi="Arial" w:eastAsia="Arial" w:cs="Arial"/>
          <w:sz w:val="27"/>
          <w:szCs w:val="27"/>
        </w:rPr>
      </w:pPr>
      <w:r>
        <w:rPr>
          <w:rFonts w:ascii="Arial" w:hAnsi="Arial" w:eastAsia="Arial" w:cs="Arial"/>
          <w:spacing w:val="5"/>
          <w:sz w:val="27"/>
          <w:szCs w:val="27"/>
        </w:rPr>
        <w:t>4.</w:t>
      </w:r>
      <w:r>
        <w:rPr>
          <w:rFonts w:ascii="Arial" w:hAnsi="Arial" w:eastAsia="Arial" w:cs="Arial"/>
          <w:spacing w:val="-37"/>
          <w:sz w:val="27"/>
          <w:szCs w:val="27"/>
        </w:rPr>
        <w:t xml:space="preserve"> </w:t>
      </w:r>
      <w:r>
        <w:rPr>
          <w:rFonts w:ascii="Arial" w:hAnsi="Arial" w:eastAsia="Arial" w:cs="Arial"/>
          <w:spacing w:val="5"/>
          <w:sz w:val="27"/>
          <w:szCs w:val="27"/>
        </w:rPr>
        <w:t>X</w:t>
      </w:r>
      <w:r>
        <w:rPr>
          <w:rFonts w:ascii="Arial" w:hAnsi="Arial" w:eastAsia="Arial" w:cs="Arial"/>
          <w:spacing w:val="1"/>
          <w:sz w:val="27"/>
          <w:szCs w:val="27"/>
        </w:rPr>
        <w:t xml:space="preserve">    </w:t>
      </w:r>
      <w:r>
        <w:rPr>
          <w:rFonts w:ascii="黑体" w:hAnsi="黑体" w:eastAsia="黑体" w:cs="黑体"/>
          <w:b/>
          <w:bCs/>
          <w:spacing w:val="5"/>
          <w:sz w:val="27"/>
          <w:szCs w:val="27"/>
        </w:rPr>
        <w:t>(关键任务</w:t>
      </w:r>
      <w:r>
        <w:rPr>
          <w:rFonts w:ascii="Arial" w:hAnsi="Arial" w:eastAsia="Arial" w:cs="Arial"/>
          <w:spacing w:val="5"/>
          <w:sz w:val="27"/>
          <w:szCs w:val="27"/>
        </w:rPr>
        <w:t>X)</w:t>
      </w:r>
    </w:p>
    <w:p w14:paraId="3391B111">
      <w:pPr>
        <w:spacing w:before="144" w:line="222" w:lineRule="auto"/>
        <w:rPr>
          <w:rFonts w:ascii="黑体" w:hAnsi="黑体" w:eastAsia="黑体" w:cs="黑体"/>
          <w:sz w:val="27"/>
          <w:szCs w:val="27"/>
        </w:rPr>
      </w:pPr>
      <w:r>
        <w:rPr>
          <w:rFonts w:ascii="Times New Roman" w:hAnsi="Times New Roman" w:eastAsia="Times New Roman" w:cs="Times New Roman"/>
          <w:spacing w:val="-2"/>
          <w:sz w:val="27"/>
          <w:szCs w:val="27"/>
        </w:rPr>
        <w:t>4.X.</w:t>
      </w:r>
      <w:r>
        <w:rPr>
          <w:rFonts w:ascii="Times New Roman" w:hAnsi="Times New Roman" w:eastAsia="Times New Roman" w:cs="Times New Roman"/>
          <w:spacing w:val="66"/>
          <w:sz w:val="27"/>
          <w:szCs w:val="27"/>
        </w:rPr>
        <w:t xml:space="preserve"> </w:t>
      </w:r>
      <w:r>
        <w:rPr>
          <w:rFonts w:ascii="黑体" w:hAnsi="黑体" w:eastAsia="黑体" w:cs="黑体"/>
          <w:spacing w:val="-2"/>
          <w:sz w:val="27"/>
          <w:szCs w:val="27"/>
        </w:rPr>
        <w:t>1</w:t>
      </w:r>
      <w:r>
        <w:rPr>
          <w:rFonts w:ascii="黑体" w:hAnsi="黑体" w:eastAsia="黑体" w:cs="黑体"/>
          <w:spacing w:val="36"/>
          <w:sz w:val="27"/>
          <w:szCs w:val="27"/>
        </w:rPr>
        <w:t xml:space="preserve">  </w:t>
      </w:r>
      <w:r>
        <w:rPr>
          <w:rFonts w:ascii="黑体" w:hAnsi="黑体" w:eastAsia="黑体" w:cs="黑体"/>
          <w:b/>
          <w:bCs/>
          <w:spacing w:val="-2"/>
          <w:sz w:val="27"/>
          <w:szCs w:val="27"/>
        </w:rPr>
        <w:t>操作者或维修者所需的信息</w:t>
      </w:r>
    </w:p>
    <w:p w14:paraId="7E5F2D8E">
      <w:pPr>
        <w:pStyle w:val="2"/>
        <w:spacing w:before="72" w:line="292" w:lineRule="auto"/>
        <w:ind w:right="7" w:firstLine="570"/>
      </w:pPr>
      <w:r>
        <w:rPr>
          <w:spacing w:val="7"/>
        </w:rPr>
        <w:t>说明在执行(关键任务</w:t>
      </w:r>
      <w:r>
        <w:rPr>
          <w:rFonts w:ascii="Times New Roman" w:hAnsi="Times New Roman" w:eastAsia="Times New Roman" w:cs="Times New Roman"/>
          <w:spacing w:val="7"/>
        </w:rPr>
        <w:t>X)</w:t>
      </w:r>
      <w:r>
        <w:rPr>
          <w:rFonts w:ascii="Times New Roman" w:hAnsi="Times New Roman" w:eastAsia="Times New Roman" w:cs="Times New Roman"/>
        </w:rPr>
        <w:t xml:space="preserve"> </w:t>
      </w:r>
      <w:r>
        <w:rPr>
          <w:spacing w:val="7"/>
        </w:rPr>
        <w:t>时包括任务开始时启动指令在内的操作者或维修</w:t>
      </w:r>
      <w:r>
        <w:t xml:space="preserve"> 者所需的信息。</w:t>
      </w:r>
    </w:p>
    <w:p w14:paraId="773FB06A">
      <w:pPr>
        <w:spacing w:before="1" w:line="221" w:lineRule="auto"/>
        <w:rPr>
          <w:rFonts w:ascii="黑体" w:hAnsi="黑体" w:eastAsia="黑体" w:cs="黑体"/>
          <w:sz w:val="27"/>
          <w:szCs w:val="27"/>
        </w:rPr>
      </w:pPr>
      <w:r>
        <w:rPr>
          <w:rFonts w:ascii="Times New Roman" w:hAnsi="Times New Roman" w:eastAsia="Times New Roman" w:cs="Times New Roman"/>
          <w:spacing w:val="1"/>
          <w:sz w:val="27"/>
          <w:szCs w:val="27"/>
        </w:rPr>
        <w:t xml:space="preserve">4. X.2     </w:t>
      </w:r>
      <w:r>
        <w:rPr>
          <w:rFonts w:ascii="黑体" w:hAnsi="黑体" w:eastAsia="黑体" w:cs="黑体"/>
          <w:b/>
          <w:bCs/>
          <w:spacing w:val="1"/>
          <w:sz w:val="27"/>
          <w:szCs w:val="27"/>
        </w:rPr>
        <w:t>操作者或维修者可用的信息</w:t>
      </w:r>
    </w:p>
    <w:p w14:paraId="2C4241C4">
      <w:pPr>
        <w:pStyle w:val="2"/>
        <w:spacing w:before="70" w:line="212" w:lineRule="auto"/>
        <w:ind w:left="570"/>
      </w:pPr>
      <w:r>
        <w:rPr>
          <w:spacing w:val="3"/>
        </w:rPr>
        <w:t>说明在执行(关键任务</w:t>
      </w:r>
      <w:r>
        <w:rPr>
          <w:spacing w:val="-66"/>
        </w:rPr>
        <w:t xml:space="preserve"> </w:t>
      </w:r>
      <w:r>
        <w:rPr>
          <w:rFonts w:ascii="Times New Roman" w:hAnsi="Times New Roman" w:eastAsia="Times New Roman" w:cs="Times New Roman"/>
          <w:spacing w:val="3"/>
        </w:rPr>
        <w:t xml:space="preserve">X) </w:t>
      </w:r>
      <w:r>
        <w:rPr>
          <w:spacing w:val="3"/>
        </w:rPr>
        <w:t>时可供操作者或维修者使用的信息。</w:t>
      </w:r>
    </w:p>
    <w:p w14:paraId="50E03656">
      <w:pPr>
        <w:spacing w:before="155" w:line="222" w:lineRule="auto"/>
        <w:rPr>
          <w:rFonts w:ascii="黑体" w:hAnsi="黑体" w:eastAsia="黑体" w:cs="黑体"/>
          <w:sz w:val="25"/>
          <w:szCs w:val="25"/>
        </w:rPr>
      </w:pPr>
      <w:r>
        <w:rPr>
          <w:rFonts w:ascii="Times New Roman" w:hAnsi="Times New Roman" w:eastAsia="Times New Roman" w:cs="Times New Roman"/>
          <w:spacing w:val="8"/>
          <w:sz w:val="25"/>
          <w:szCs w:val="25"/>
        </w:rPr>
        <w:t>4.X.3</w:t>
      </w:r>
      <w:r>
        <w:rPr>
          <w:rFonts w:ascii="Times New Roman" w:hAnsi="Times New Roman" w:eastAsia="Times New Roman" w:cs="Times New Roman"/>
          <w:spacing w:val="6"/>
          <w:sz w:val="25"/>
          <w:szCs w:val="25"/>
        </w:rPr>
        <w:t xml:space="preserve">       </w:t>
      </w:r>
      <w:r>
        <w:rPr>
          <w:rFonts w:ascii="黑体" w:hAnsi="黑体" w:eastAsia="黑体" w:cs="黑体"/>
          <w:b/>
          <w:bCs/>
          <w:spacing w:val="8"/>
          <w:sz w:val="25"/>
          <w:szCs w:val="25"/>
        </w:rPr>
        <w:t>评价程序</w:t>
      </w:r>
    </w:p>
    <w:p w14:paraId="4A90FEF7">
      <w:pPr>
        <w:pStyle w:val="2"/>
        <w:spacing w:before="95" w:line="212" w:lineRule="auto"/>
        <w:ind w:left="570"/>
      </w:pPr>
      <w:r>
        <w:rPr>
          <w:spacing w:val="4"/>
        </w:rPr>
        <w:t>说明在执行(关键任务</w:t>
      </w:r>
      <w:r>
        <w:rPr>
          <w:spacing w:val="-70"/>
        </w:rPr>
        <w:t xml:space="preserve"> </w:t>
      </w:r>
      <w:r>
        <w:rPr>
          <w:rFonts w:ascii="Times New Roman" w:hAnsi="Times New Roman" w:eastAsia="Times New Roman" w:cs="Times New Roman"/>
          <w:spacing w:val="4"/>
        </w:rPr>
        <w:t>X)</w:t>
      </w:r>
      <w:r>
        <w:rPr>
          <w:rFonts w:ascii="Times New Roman" w:hAnsi="Times New Roman" w:eastAsia="Times New Roman" w:cs="Times New Roman"/>
          <w:spacing w:val="-11"/>
        </w:rPr>
        <w:t xml:space="preserve"> </w:t>
      </w:r>
      <w:r>
        <w:rPr>
          <w:spacing w:val="4"/>
        </w:rPr>
        <w:t>时的人机工程评价程序。</w:t>
      </w:r>
    </w:p>
    <w:p w14:paraId="7139DFF5">
      <w:pPr>
        <w:spacing w:before="134" w:line="222" w:lineRule="auto"/>
        <w:rPr>
          <w:rFonts w:ascii="黑体" w:hAnsi="黑体" w:eastAsia="黑体" w:cs="黑体"/>
          <w:sz w:val="27"/>
          <w:szCs w:val="27"/>
        </w:rPr>
      </w:pPr>
      <w:r>
        <w:rPr>
          <w:rFonts w:ascii="Times New Roman" w:hAnsi="Times New Roman" w:eastAsia="Times New Roman" w:cs="Times New Roman"/>
          <w:sz w:val="27"/>
          <w:szCs w:val="27"/>
        </w:rPr>
        <w:t>4.X.</w:t>
      </w:r>
      <w:r>
        <w:rPr>
          <w:rFonts w:ascii="Times New Roman" w:hAnsi="Times New Roman" w:eastAsia="Times New Roman" w:cs="Times New Roman"/>
          <w:spacing w:val="58"/>
          <w:w w:val="101"/>
          <w:sz w:val="27"/>
          <w:szCs w:val="27"/>
        </w:rPr>
        <w:t xml:space="preserve"> </w:t>
      </w:r>
      <w:r>
        <w:rPr>
          <w:rFonts w:ascii="黑体" w:hAnsi="黑体" w:eastAsia="黑体" w:cs="黑体"/>
          <w:b/>
          <w:bCs/>
          <w:sz w:val="27"/>
          <w:szCs w:val="27"/>
        </w:rPr>
        <w:t>4</w:t>
      </w:r>
      <w:r>
        <w:rPr>
          <w:rFonts w:ascii="黑体" w:hAnsi="黑体" w:eastAsia="黑体" w:cs="黑体"/>
          <w:spacing w:val="24"/>
          <w:sz w:val="27"/>
          <w:szCs w:val="27"/>
        </w:rPr>
        <w:t xml:space="preserve">  </w:t>
      </w:r>
      <w:r>
        <w:rPr>
          <w:rFonts w:ascii="黑体" w:hAnsi="黑体" w:eastAsia="黑体" w:cs="黑体"/>
          <w:b/>
          <w:bCs/>
          <w:sz w:val="27"/>
          <w:szCs w:val="27"/>
        </w:rPr>
        <w:t>评价后所作的决定</w:t>
      </w:r>
    </w:p>
    <w:p w14:paraId="645387B4">
      <w:pPr>
        <w:pStyle w:val="2"/>
        <w:spacing w:before="71" w:line="212" w:lineRule="auto"/>
        <w:ind w:left="570"/>
      </w:pPr>
      <w:r>
        <w:rPr>
          <w:spacing w:val="4"/>
        </w:rPr>
        <w:t>说明对执行(关键任务</w:t>
      </w:r>
      <w:r>
        <w:rPr>
          <w:spacing w:val="-75"/>
        </w:rPr>
        <w:t xml:space="preserve"> </w:t>
      </w:r>
      <w:r>
        <w:rPr>
          <w:rFonts w:ascii="Times New Roman" w:hAnsi="Times New Roman" w:eastAsia="Times New Roman" w:cs="Times New Roman"/>
          <w:spacing w:val="4"/>
        </w:rPr>
        <w:t>X)</w:t>
      </w:r>
      <w:r>
        <w:rPr>
          <w:rFonts w:ascii="Times New Roman" w:hAnsi="Times New Roman" w:eastAsia="Times New Roman" w:cs="Times New Roman"/>
          <w:spacing w:val="-10"/>
        </w:rPr>
        <w:t xml:space="preserve"> </w:t>
      </w:r>
      <w:r>
        <w:rPr>
          <w:spacing w:val="4"/>
        </w:rPr>
        <w:t>时的人机工程进行评价后所做的决定。</w:t>
      </w:r>
    </w:p>
    <w:p w14:paraId="4043C072">
      <w:pPr>
        <w:spacing w:before="144" w:line="221" w:lineRule="auto"/>
        <w:rPr>
          <w:rFonts w:ascii="黑体" w:hAnsi="黑体" w:eastAsia="黑体" w:cs="黑体"/>
          <w:sz w:val="27"/>
          <w:szCs w:val="27"/>
        </w:rPr>
      </w:pPr>
      <w:r>
        <w:rPr>
          <w:rFonts w:ascii="Times New Roman" w:hAnsi="Times New Roman" w:eastAsia="Times New Roman" w:cs="Times New Roman"/>
          <w:spacing w:val="-1"/>
          <w:sz w:val="27"/>
          <w:szCs w:val="27"/>
        </w:rPr>
        <w:t>4.X.</w:t>
      </w:r>
      <w:r>
        <w:rPr>
          <w:rFonts w:ascii="Times New Roman" w:hAnsi="Times New Roman" w:eastAsia="Times New Roman" w:cs="Times New Roman"/>
          <w:spacing w:val="54"/>
          <w:sz w:val="27"/>
          <w:szCs w:val="27"/>
        </w:rPr>
        <w:t xml:space="preserve"> </w:t>
      </w:r>
      <w:r>
        <w:rPr>
          <w:rFonts w:ascii="黑体" w:hAnsi="黑体" w:eastAsia="黑体" w:cs="黑体"/>
          <w:b/>
          <w:bCs/>
          <w:spacing w:val="-1"/>
          <w:sz w:val="27"/>
          <w:szCs w:val="27"/>
        </w:rPr>
        <w:t>5</w:t>
      </w:r>
      <w:r>
        <w:rPr>
          <w:rFonts w:ascii="黑体" w:hAnsi="黑体" w:eastAsia="黑体" w:cs="黑体"/>
          <w:spacing w:val="29"/>
          <w:sz w:val="27"/>
          <w:szCs w:val="27"/>
        </w:rPr>
        <w:t xml:space="preserve">  </w:t>
      </w:r>
      <w:r>
        <w:rPr>
          <w:rFonts w:ascii="黑体" w:hAnsi="黑体" w:eastAsia="黑体" w:cs="黑体"/>
          <w:b/>
          <w:bCs/>
          <w:spacing w:val="-1"/>
          <w:sz w:val="27"/>
          <w:szCs w:val="27"/>
        </w:rPr>
        <w:t>应采取的动作</w:t>
      </w:r>
    </w:p>
    <w:p w14:paraId="4B65BEDE">
      <w:pPr>
        <w:pStyle w:val="2"/>
        <w:spacing w:before="93" w:line="212" w:lineRule="auto"/>
        <w:ind w:left="570"/>
      </w:pPr>
      <w:r>
        <w:rPr>
          <w:spacing w:val="5"/>
        </w:rPr>
        <w:t>说明在执行(关键任务</w:t>
      </w:r>
      <w:r>
        <w:rPr>
          <w:rFonts w:ascii="Times New Roman" w:hAnsi="Times New Roman" w:eastAsia="Times New Roman" w:cs="Times New Roman"/>
          <w:spacing w:val="5"/>
        </w:rPr>
        <w:t xml:space="preserve">X) </w:t>
      </w:r>
      <w:r>
        <w:rPr>
          <w:spacing w:val="5"/>
        </w:rPr>
        <w:t>时应采取的动作。</w:t>
      </w:r>
    </w:p>
    <w:p w14:paraId="3D4DFE99">
      <w:pPr>
        <w:spacing w:before="144" w:line="221" w:lineRule="auto"/>
        <w:rPr>
          <w:rFonts w:ascii="黑体" w:hAnsi="黑体" w:eastAsia="黑体" w:cs="黑体"/>
          <w:sz w:val="27"/>
          <w:szCs w:val="27"/>
        </w:rPr>
      </w:pPr>
      <w:r>
        <w:rPr>
          <w:rFonts w:ascii="Times New Roman" w:hAnsi="Times New Roman" w:eastAsia="Times New Roman" w:cs="Times New Roman"/>
          <w:sz w:val="27"/>
          <w:szCs w:val="27"/>
        </w:rPr>
        <w:t>4.X.</w:t>
      </w:r>
      <w:r>
        <w:rPr>
          <w:rFonts w:ascii="Times New Roman" w:hAnsi="Times New Roman" w:eastAsia="Times New Roman" w:cs="Times New Roman"/>
          <w:spacing w:val="45"/>
          <w:sz w:val="27"/>
          <w:szCs w:val="27"/>
        </w:rPr>
        <w:t xml:space="preserve"> </w:t>
      </w:r>
      <w:r>
        <w:rPr>
          <w:rFonts w:ascii="黑体" w:hAnsi="黑体" w:eastAsia="黑体" w:cs="黑体"/>
          <w:sz w:val="27"/>
          <w:szCs w:val="27"/>
        </w:rPr>
        <w:t>6</w:t>
      </w:r>
      <w:r>
        <w:rPr>
          <w:rFonts w:ascii="黑体" w:hAnsi="黑体" w:eastAsia="黑体" w:cs="黑体"/>
          <w:spacing w:val="34"/>
          <w:sz w:val="27"/>
          <w:szCs w:val="27"/>
        </w:rPr>
        <w:t xml:space="preserve">  </w:t>
      </w:r>
      <w:r>
        <w:rPr>
          <w:rFonts w:ascii="黑体" w:hAnsi="黑体" w:eastAsia="黑体" w:cs="黑体"/>
          <w:b/>
          <w:bCs/>
          <w:sz w:val="27"/>
          <w:szCs w:val="27"/>
        </w:rPr>
        <w:t>采取动作需要身体做的各种运动</w:t>
      </w:r>
    </w:p>
    <w:p w14:paraId="142D12AB">
      <w:pPr>
        <w:pStyle w:val="2"/>
        <w:spacing w:before="82" w:line="212" w:lineRule="auto"/>
        <w:ind w:left="570"/>
        <w:rPr>
          <w:rFonts w:ascii="仿宋" w:hAnsi="仿宋" w:eastAsia="仿宋" w:cs="仿宋"/>
        </w:rPr>
      </w:pPr>
      <w:r>
        <w:rPr>
          <w:spacing w:val="3"/>
        </w:rPr>
        <w:t>说明在执行(关键任务</w:t>
      </w:r>
      <w:r>
        <w:rPr>
          <w:spacing w:val="-61"/>
        </w:rPr>
        <w:t xml:space="preserve"> </w:t>
      </w:r>
      <w:r>
        <w:rPr>
          <w:rFonts w:ascii="Times New Roman" w:hAnsi="Times New Roman" w:eastAsia="Times New Roman" w:cs="Times New Roman"/>
          <w:spacing w:val="3"/>
        </w:rPr>
        <w:t xml:space="preserve">X) </w:t>
      </w:r>
      <w:r>
        <w:rPr>
          <w:spacing w:val="3"/>
        </w:rPr>
        <w:t>时采取动作需要身体做的各</w:t>
      </w:r>
      <w:r>
        <w:rPr>
          <w:rFonts w:ascii="仿宋" w:hAnsi="仿宋" w:eastAsia="仿宋" w:cs="仿宋"/>
          <w:spacing w:val="3"/>
        </w:rPr>
        <w:t>种运动。</w:t>
      </w:r>
    </w:p>
    <w:p w14:paraId="533C9B24">
      <w:pPr>
        <w:spacing w:before="125" w:line="222" w:lineRule="auto"/>
        <w:rPr>
          <w:rFonts w:ascii="黑体" w:hAnsi="黑体" w:eastAsia="黑体" w:cs="黑体"/>
          <w:sz w:val="27"/>
          <w:szCs w:val="27"/>
        </w:rPr>
      </w:pPr>
      <w:r>
        <w:rPr>
          <w:rFonts w:ascii="Times New Roman" w:hAnsi="Times New Roman" w:eastAsia="Times New Roman" w:cs="Times New Roman"/>
          <w:spacing w:val="-1"/>
          <w:sz w:val="27"/>
          <w:szCs w:val="27"/>
        </w:rPr>
        <w:t>4.X.</w:t>
      </w:r>
      <w:r>
        <w:rPr>
          <w:rFonts w:ascii="Times New Roman" w:hAnsi="Times New Roman" w:eastAsia="Times New Roman" w:cs="Times New Roman"/>
          <w:spacing w:val="51"/>
          <w:w w:val="101"/>
          <w:sz w:val="27"/>
          <w:szCs w:val="27"/>
        </w:rPr>
        <w:t xml:space="preserve"> </w:t>
      </w:r>
      <w:r>
        <w:rPr>
          <w:rFonts w:ascii="黑体" w:hAnsi="黑体" w:eastAsia="黑体" w:cs="黑体"/>
          <w:spacing w:val="-1"/>
          <w:sz w:val="27"/>
          <w:szCs w:val="27"/>
        </w:rPr>
        <w:t>7</w:t>
      </w:r>
      <w:r>
        <w:rPr>
          <w:rFonts w:ascii="黑体" w:hAnsi="黑体" w:eastAsia="黑体" w:cs="黑体"/>
          <w:spacing w:val="30"/>
          <w:sz w:val="27"/>
          <w:szCs w:val="27"/>
        </w:rPr>
        <w:t xml:space="preserve">  </w:t>
      </w:r>
      <w:r>
        <w:rPr>
          <w:rFonts w:ascii="黑体" w:hAnsi="黑体" w:eastAsia="黑体" w:cs="黑体"/>
          <w:b/>
          <w:bCs/>
          <w:spacing w:val="-1"/>
          <w:sz w:val="27"/>
          <w:szCs w:val="27"/>
        </w:rPr>
        <w:t>运动需要的工作空间</w:t>
      </w:r>
    </w:p>
    <w:p w14:paraId="1BB54BF9">
      <w:pPr>
        <w:pStyle w:val="2"/>
        <w:spacing w:before="71" w:line="212" w:lineRule="auto"/>
        <w:ind w:left="570"/>
      </w:pPr>
      <w:r>
        <w:rPr>
          <w:spacing w:val="5"/>
        </w:rPr>
        <w:t>说明在执行(关键任务</w:t>
      </w:r>
      <w:r>
        <w:rPr>
          <w:rFonts w:ascii="Times New Roman" w:hAnsi="Times New Roman" w:eastAsia="Times New Roman" w:cs="Times New Roman"/>
          <w:spacing w:val="5"/>
        </w:rPr>
        <w:t xml:space="preserve">X) </w:t>
      </w:r>
      <w:r>
        <w:rPr>
          <w:spacing w:val="5"/>
        </w:rPr>
        <w:t>时运动需要的工作空间。</w:t>
      </w:r>
    </w:p>
    <w:p w14:paraId="6C07AC39">
      <w:pPr>
        <w:spacing w:line="212" w:lineRule="auto"/>
        <w:sectPr>
          <w:footerReference r:id="rId646" w:type="default"/>
          <w:pgSz w:w="11910" w:h="17130"/>
          <w:pgMar w:top="1456" w:right="1462" w:bottom="1563" w:left="1049" w:header="0" w:footer="1364" w:gutter="0"/>
          <w:cols w:space="720" w:num="1"/>
        </w:sectPr>
      </w:pPr>
    </w:p>
    <w:p w14:paraId="7A6DAB4F">
      <w:pPr>
        <w:spacing w:before="99" w:line="222" w:lineRule="auto"/>
        <w:ind w:left="13"/>
        <w:rPr>
          <w:rFonts w:ascii="黑体" w:hAnsi="黑体" w:eastAsia="黑体" w:cs="黑体"/>
          <w:sz w:val="27"/>
          <w:szCs w:val="27"/>
        </w:rPr>
      </w:pPr>
      <w:r>
        <w:rPr>
          <w:rFonts w:ascii="Times New Roman" w:hAnsi="Times New Roman" w:eastAsia="Times New Roman" w:cs="Times New Roman"/>
          <w:sz w:val="27"/>
          <w:szCs w:val="27"/>
        </w:rPr>
        <w:t>4.X.8</w:t>
      </w:r>
      <w:r>
        <w:rPr>
          <w:rFonts w:ascii="Times New Roman" w:hAnsi="Times New Roman" w:eastAsia="Times New Roman" w:cs="Times New Roman"/>
          <w:spacing w:val="5"/>
          <w:sz w:val="27"/>
          <w:szCs w:val="27"/>
        </w:rPr>
        <w:t xml:space="preserve">      </w:t>
      </w:r>
      <w:r>
        <w:rPr>
          <w:rFonts w:ascii="黑体" w:hAnsi="黑体" w:eastAsia="黑体" w:cs="黑体"/>
          <w:b/>
          <w:bCs/>
          <w:sz w:val="27"/>
          <w:szCs w:val="27"/>
        </w:rPr>
        <w:t>可用的工作空间</w:t>
      </w:r>
    </w:p>
    <w:p w14:paraId="2A6C29D5">
      <w:pPr>
        <w:pStyle w:val="2"/>
        <w:spacing w:before="50" w:line="212" w:lineRule="auto"/>
        <w:ind w:left="563"/>
      </w:pPr>
      <w:r>
        <w:rPr>
          <w:spacing w:val="2"/>
        </w:rPr>
        <w:t>说明在执行(关键任务</w:t>
      </w:r>
      <w:r>
        <w:rPr>
          <w:spacing w:val="-63"/>
        </w:rPr>
        <w:t xml:space="preserve"> </w:t>
      </w:r>
      <w:r>
        <w:rPr>
          <w:rFonts w:ascii="Times New Roman" w:hAnsi="Times New Roman" w:eastAsia="Times New Roman" w:cs="Times New Roman"/>
          <w:spacing w:val="2"/>
        </w:rPr>
        <w:t xml:space="preserve">X) </w:t>
      </w:r>
      <w:r>
        <w:rPr>
          <w:spacing w:val="2"/>
        </w:rPr>
        <w:t>时可用的工作空间。</w:t>
      </w:r>
    </w:p>
    <w:p w14:paraId="683DFCCE">
      <w:pPr>
        <w:spacing w:before="134" w:line="222" w:lineRule="auto"/>
        <w:ind w:left="13"/>
        <w:rPr>
          <w:rFonts w:ascii="黑体" w:hAnsi="黑体" w:eastAsia="黑体" w:cs="黑体"/>
          <w:sz w:val="25"/>
          <w:szCs w:val="25"/>
        </w:rPr>
      </w:pPr>
      <w:r>
        <w:rPr>
          <w:rFonts w:ascii="Times New Roman" w:hAnsi="Times New Roman" w:eastAsia="Times New Roman" w:cs="Times New Roman"/>
          <w:spacing w:val="11"/>
          <w:sz w:val="25"/>
          <w:szCs w:val="25"/>
        </w:rPr>
        <w:t xml:space="preserve">4.X.9       </w:t>
      </w:r>
      <w:r>
        <w:rPr>
          <w:rFonts w:ascii="黑体" w:hAnsi="黑体" w:eastAsia="黑体" w:cs="黑体"/>
          <w:b/>
          <w:bCs/>
          <w:spacing w:val="11"/>
          <w:sz w:val="25"/>
          <w:szCs w:val="25"/>
        </w:rPr>
        <w:t>工作位置和环境条件</w:t>
      </w:r>
    </w:p>
    <w:p w14:paraId="347C6C07">
      <w:pPr>
        <w:pStyle w:val="2"/>
        <w:spacing w:before="74" w:line="212" w:lineRule="auto"/>
        <w:ind w:left="563"/>
      </w:pPr>
      <w:r>
        <w:rPr>
          <w:spacing w:val="5"/>
        </w:rPr>
        <w:t>说明在执行(关键任务</w:t>
      </w:r>
      <w:r>
        <w:rPr>
          <w:rFonts w:ascii="Times New Roman" w:hAnsi="Times New Roman" w:eastAsia="Times New Roman" w:cs="Times New Roman"/>
          <w:spacing w:val="5"/>
        </w:rPr>
        <w:t xml:space="preserve">X) </w:t>
      </w:r>
      <w:r>
        <w:rPr>
          <w:spacing w:val="5"/>
        </w:rPr>
        <w:t>时的工作位置和环境条件。</w:t>
      </w:r>
    </w:p>
    <w:p w14:paraId="0A120B49">
      <w:pPr>
        <w:spacing w:before="95" w:line="222" w:lineRule="auto"/>
        <w:ind w:left="17"/>
        <w:outlineLvl w:val="3"/>
        <w:rPr>
          <w:rFonts w:ascii="黑体" w:hAnsi="黑体" w:eastAsia="黑体" w:cs="黑体"/>
          <w:sz w:val="27"/>
          <w:szCs w:val="27"/>
        </w:rPr>
      </w:pPr>
      <w:r>
        <w:rPr>
          <w:rFonts w:ascii="黑体" w:hAnsi="黑体" w:eastAsia="黑体" w:cs="黑体"/>
          <w:b/>
          <w:bCs/>
          <w:sz w:val="27"/>
          <w:szCs w:val="27"/>
        </w:rPr>
        <w:t>4.</w:t>
      </w:r>
      <w:r>
        <w:rPr>
          <w:rFonts w:ascii="Times New Roman" w:hAnsi="Times New Roman" w:eastAsia="Times New Roman" w:cs="Times New Roman"/>
          <w:b/>
          <w:bCs/>
          <w:sz w:val="27"/>
          <w:szCs w:val="27"/>
        </w:rPr>
        <w:t xml:space="preserve">X.10     </w:t>
      </w:r>
      <w:r>
        <w:rPr>
          <w:rFonts w:ascii="黑体" w:hAnsi="黑体" w:eastAsia="黑体" w:cs="黑体"/>
          <w:b/>
          <w:bCs/>
          <w:sz w:val="27"/>
          <w:szCs w:val="27"/>
        </w:rPr>
        <w:t>动作的频率和耐力</w:t>
      </w:r>
    </w:p>
    <w:p w14:paraId="2AD23D7A">
      <w:pPr>
        <w:pStyle w:val="2"/>
        <w:spacing w:before="80" w:line="212" w:lineRule="auto"/>
        <w:ind w:left="563"/>
      </w:pPr>
      <w:r>
        <w:rPr>
          <w:spacing w:val="5"/>
        </w:rPr>
        <w:t>说明在执行(关键任务</w:t>
      </w:r>
      <w:r>
        <w:rPr>
          <w:rFonts w:ascii="Times New Roman" w:hAnsi="Times New Roman" w:eastAsia="Times New Roman" w:cs="Times New Roman"/>
          <w:spacing w:val="5"/>
        </w:rPr>
        <w:t xml:space="preserve">X) </w:t>
      </w:r>
      <w:r>
        <w:rPr>
          <w:spacing w:val="5"/>
        </w:rPr>
        <w:t>时动作的频率和耐力。</w:t>
      </w:r>
    </w:p>
    <w:p w14:paraId="65EA28E8">
      <w:pPr>
        <w:spacing w:before="117" w:line="223" w:lineRule="auto"/>
        <w:ind w:left="13"/>
        <w:rPr>
          <w:rFonts w:ascii="黑体" w:hAnsi="黑体" w:eastAsia="黑体" w:cs="黑体"/>
          <w:sz w:val="27"/>
          <w:szCs w:val="27"/>
        </w:rPr>
      </w:pPr>
      <w:r>
        <w:rPr>
          <w:rFonts w:ascii="Times New Roman" w:hAnsi="Times New Roman" w:eastAsia="Times New Roman" w:cs="Times New Roman"/>
          <w:sz w:val="27"/>
          <w:szCs w:val="27"/>
        </w:rPr>
        <w:t xml:space="preserve">4.X.11      </w:t>
      </w:r>
      <w:r>
        <w:rPr>
          <w:rFonts w:ascii="黑体" w:hAnsi="黑体" w:eastAsia="黑体" w:cs="黑体"/>
          <w:b/>
          <w:bCs/>
          <w:sz w:val="27"/>
          <w:szCs w:val="27"/>
        </w:rPr>
        <w:t>时间基准</w:t>
      </w:r>
    </w:p>
    <w:p w14:paraId="7D4C6462">
      <w:pPr>
        <w:pStyle w:val="2"/>
        <w:spacing w:before="47" w:line="212" w:lineRule="auto"/>
        <w:ind w:left="563"/>
      </w:pPr>
      <w:r>
        <w:rPr>
          <w:spacing w:val="2"/>
        </w:rPr>
        <w:t>说明在执行(关键任务</w:t>
      </w:r>
      <w:r>
        <w:rPr>
          <w:spacing w:val="-78"/>
        </w:rPr>
        <w:t xml:space="preserve"> </w:t>
      </w:r>
      <w:r>
        <w:rPr>
          <w:rFonts w:ascii="Times New Roman" w:hAnsi="Times New Roman" w:eastAsia="Times New Roman" w:cs="Times New Roman"/>
          <w:spacing w:val="2"/>
        </w:rPr>
        <w:t xml:space="preserve">X) </w:t>
      </w:r>
      <w:r>
        <w:rPr>
          <w:spacing w:val="2"/>
        </w:rPr>
        <w:t>时的时间基准。</w:t>
      </w:r>
    </w:p>
    <w:p w14:paraId="142BFE4F">
      <w:pPr>
        <w:spacing w:before="124" w:line="221" w:lineRule="auto"/>
        <w:ind w:left="13"/>
        <w:rPr>
          <w:rFonts w:ascii="黑体" w:hAnsi="黑体" w:eastAsia="黑体" w:cs="黑体"/>
          <w:sz w:val="27"/>
          <w:szCs w:val="27"/>
        </w:rPr>
      </w:pPr>
      <w:r>
        <w:rPr>
          <w:rFonts w:ascii="Times New Roman" w:hAnsi="Times New Roman" w:eastAsia="Times New Roman" w:cs="Times New Roman"/>
          <w:spacing w:val="2"/>
          <w:sz w:val="27"/>
          <w:szCs w:val="27"/>
        </w:rPr>
        <w:t xml:space="preserve">4.X.12      </w:t>
      </w:r>
      <w:r>
        <w:rPr>
          <w:rFonts w:ascii="黑体" w:hAnsi="黑体" w:eastAsia="黑体" w:cs="黑体"/>
          <w:b/>
          <w:bCs/>
          <w:spacing w:val="2"/>
          <w:sz w:val="27"/>
          <w:szCs w:val="27"/>
        </w:rPr>
        <w:t>通知操作者或维修者采取适当行动的反馈信息</w:t>
      </w:r>
    </w:p>
    <w:p w14:paraId="35DB0AB7">
      <w:pPr>
        <w:pStyle w:val="2"/>
        <w:spacing w:before="41" w:line="293" w:lineRule="auto"/>
        <w:ind w:left="13" w:firstLine="550"/>
      </w:pPr>
      <w:r>
        <w:rPr>
          <w:spacing w:val="21"/>
        </w:rPr>
        <w:t>说明在执行(关键任务</w:t>
      </w:r>
      <w:r>
        <w:rPr>
          <w:spacing w:val="-35"/>
        </w:rPr>
        <w:t xml:space="preserve"> </w:t>
      </w:r>
      <w:r>
        <w:rPr>
          <w:rFonts w:ascii="Times New Roman" w:hAnsi="Times New Roman" w:eastAsia="Times New Roman" w:cs="Times New Roman"/>
          <w:spacing w:val="21"/>
        </w:rPr>
        <w:t xml:space="preserve">X) </w:t>
      </w:r>
      <w:r>
        <w:rPr>
          <w:spacing w:val="21"/>
        </w:rPr>
        <w:t>时通知操作者或维修者采取适当行动的反馈</w:t>
      </w:r>
      <w:r>
        <w:t xml:space="preserve"> </w:t>
      </w:r>
      <w:r>
        <w:rPr>
          <w:spacing w:val="-4"/>
        </w:rPr>
        <w:t>信息。</w:t>
      </w:r>
    </w:p>
    <w:p w14:paraId="52B6EFA8">
      <w:pPr>
        <w:spacing w:before="1" w:line="221" w:lineRule="auto"/>
        <w:ind w:left="13"/>
        <w:rPr>
          <w:rFonts w:ascii="黑体" w:hAnsi="黑体" w:eastAsia="黑体" w:cs="黑体"/>
          <w:sz w:val="28"/>
          <w:szCs w:val="28"/>
        </w:rPr>
      </w:pPr>
      <w:r>
        <w:rPr>
          <w:rFonts w:ascii="Times New Roman" w:hAnsi="Times New Roman" w:eastAsia="Times New Roman" w:cs="Times New Roman"/>
          <w:spacing w:val="-6"/>
          <w:sz w:val="28"/>
          <w:szCs w:val="28"/>
        </w:rPr>
        <w:t>4.X.13</w:t>
      </w:r>
      <w:r>
        <w:rPr>
          <w:rFonts w:ascii="Times New Roman" w:hAnsi="Times New Roman" w:eastAsia="Times New Roman" w:cs="Times New Roman"/>
          <w:spacing w:val="11"/>
          <w:sz w:val="28"/>
          <w:szCs w:val="28"/>
        </w:rPr>
        <w:t xml:space="preserve">     </w:t>
      </w:r>
      <w:r>
        <w:rPr>
          <w:rFonts w:ascii="黑体" w:hAnsi="黑体" w:eastAsia="黑体" w:cs="黑体"/>
          <w:b/>
          <w:bCs/>
          <w:spacing w:val="-6"/>
          <w:sz w:val="28"/>
          <w:szCs w:val="28"/>
        </w:rPr>
        <w:t>所需的工具和设备</w:t>
      </w:r>
    </w:p>
    <w:p w14:paraId="17289141">
      <w:pPr>
        <w:pStyle w:val="2"/>
        <w:spacing w:before="48" w:line="212" w:lineRule="auto"/>
        <w:ind w:left="563"/>
      </w:pPr>
      <w:r>
        <w:rPr>
          <w:spacing w:val="2"/>
        </w:rPr>
        <w:t>说明在执行(关键任务</w:t>
      </w:r>
      <w:r>
        <w:rPr>
          <w:spacing w:val="-55"/>
        </w:rPr>
        <w:t xml:space="preserve"> </w:t>
      </w:r>
      <w:r>
        <w:rPr>
          <w:rFonts w:ascii="Times New Roman" w:hAnsi="Times New Roman" w:eastAsia="Times New Roman" w:cs="Times New Roman"/>
          <w:spacing w:val="2"/>
        </w:rPr>
        <w:t xml:space="preserve">X) </w:t>
      </w:r>
      <w:r>
        <w:rPr>
          <w:spacing w:val="2"/>
        </w:rPr>
        <w:t>时所需的工具和设备。</w:t>
      </w:r>
    </w:p>
    <w:p w14:paraId="1FB64133">
      <w:pPr>
        <w:spacing w:before="125" w:line="222" w:lineRule="auto"/>
        <w:ind w:left="13"/>
        <w:rPr>
          <w:rFonts w:ascii="黑体" w:hAnsi="黑体" w:eastAsia="黑体" w:cs="黑体"/>
          <w:sz w:val="27"/>
          <w:szCs w:val="27"/>
        </w:rPr>
      </w:pPr>
      <w:r>
        <w:rPr>
          <w:rFonts w:ascii="Arial" w:hAnsi="Arial" w:eastAsia="Arial" w:cs="Arial"/>
          <w:spacing w:val="1"/>
          <w:sz w:val="27"/>
          <w:szCs w:val="27"/>
        </w:rPr>
        <w:t>4.X.14</w:t>
      </w:r>
      <w:r>
        <w:rPr>
          <w:rFonts w:ascii="Arial" w:hAnsi="Arial" w:eastAsia="Arial" w:cs="Arial"/>
          <w:spacing w:val="4"/>
          <w:sz w:val="27"/>
          <w:szCs w:val="27"/>
        </w:rPr>
        <w:t xml:space="preserve">     </w:t>
      </w:r>
      <w:r>
        <w:rPr>
          <w:rFonts w:ascii="黑体" w:hAnsi="黑体" w:eastAsia="黑体" w:cs="黑体"/>
          <w:b/>
          <w:bCs/>
          <w:spacing w:val="1"/>
          <w:sz w:val="27"/>
          <w:szCs w:val="27"/>
        </w:rPr>
        <w:t>需要配备的操作者数量及他们的专长和经验</w:t>
      </w:r>
    </w:p>
    <w:p w14:paraId="4FFC6398">
      <w:pPr>
        <w:pStyle w:val="2"/>
        <w:spacing w:before="61" w:line="212" w:lineRule="auto"/>
        <w:ind w:right="25"/>
        <w:jc w:val="right"/>
      </w:pPr>
      <w:r>
        <w:rPr>
          <w:spacing w:val="4"/>
        </w:rPr>
        <w:t>说明在执行(关键任务</w:t>
      </w:r>
      <w:r>
        <w:rPr>
          <w:spacing w:val="-51"/>
        </w:rPr>
        <w:t xml:space="preserve"> </w:t>
      </w:r>
      <w:r>
        <w:rPr>
          <w:rFonts w:ascii="Times New Roman" w:hAnsi="Times New Roman" w:eastAsia="Times New Roman" w:cs="Times New Roman"/>
          <w:spacing w:val="4"/>
        </w:rPr>
        <w:t>X)</w:t>
      </w:r>
      <w:r>
        <w:rPr>
          <w:rFonts w:ascii="Times New Roman" w:hAnsi="Times New Roman" w:eastAsia="Times New Roman" w:cs="Times New Roman"/>
          <w:spacing w:val="-10"/>
        </w:rPr>
        <w:t xml:space="preserve"> </w:t>
      </w:r>
      <w:r>
        <w:rPr>
          <w:spacing w:val="4"/>
        </w:rPr>
        <w:t>时需要配备的操作者数量及他们的专长和经验。</w:t>
      </w:r>
    </w:p>
    <w:p w14:paraId="3EB1ABEA">
      <w:pPr>
        <w:spacing w:before="114" w:line="222" w:lineRule="auto"/>
        <w:ind w:left="13"/>
        <w:rPr>
          <w:rFonts w:ascii="黑体" w:hAnsi="黑体" w:eastAsia="黑体" w:cs="黑体"/>
          <w:sz w:val="27"/>
          <w:szCs w:val="27"/>
        </w:rPr>
      </w:pPr>
      <w:r>
        <w:rPr>
          <w:rFonts w:ascii="黑体" w:hAnsi="黑体" w:eastAsia="黑体" w:cs="黑体"/>
          <w:spacing w:val="-2"/>
          <w:sz w:val="27"/>
          <w:szCs w:val="27"/>
        </w:rPr>
        <w:t>4.</w:t>
      </w:r>
      <w:r>
        <w:rPr>
          <w:rFonts w:ascii="Times New Roman" w:hAnsi="Times New Roman" w:eastAsia="Times New Roman" w:cs="Times New Roman"/>
          <w:b/>
          <w:bCs/>
          <w:spacing w:val="-2"/>
          <w:sz w:val="27"/>
          <w:szCs w:val="27"/>
        </w:rPr>
        <w:t xml:space="preserve">X.15     </w:t>
      </w:r>
      <w:r>
        <w:rPr>
          <w:rFonts w:ascii="黑体" w:hAnsi="黑体" w:eastAsia="黑体" w:cs="黑体"/>
          <w:b/>
          <w:bCs/>
          <w:spacing w:val="-2"/>
          <w:sz w:val="27"/>
          <w:szCs w:val="27"/>
        </w:rPr>
        <w:t>需要的辅助用品、训练器材和参考资料</w:t>
      </w:r>
    </w:p>
    <w:p w14:paraId="16689F3E">
      <w:pPr>
        <w:pStyle w:val="2"/>
        <w:spacing w:before="61" w:line="212" w:lineRule="auto"/>
        <w:ind w:left="563"/>
      </w:pPr>
      <w:r>
        <w:rPr>
          <w:spacing w:val="-1"/>
        </w:rPr>
        <w:t>说明在执行(关键任务</w:t>
      </w:r>
      <w:r>
        <w:rPr>
          <w:spacing w:val="-61"/>
        </w:rPr>
        <w:t xml:space="preserve"> </w:t>
      </w:r>
      <w:r>
        <w:rPr>
          <w:rFonts w:ascii="Times New Roman" w:hAnsi="Times New Roman" w:eastAsia="Times New Roman" w:cs="Times New Roman"/>
          <w:spacing w:val="-1"/>
        </w:rPr>
        <w:t xml:space="preserve">X) </w:t>
      </w:r>
      <w:r>
        <w:rPr>
          <w:spacing w:val="-1"/>
        </w:rPr>
        <w:t>时需要的辅助用品、训练器材和参考资料。</w:t>
      </w:r>
    </w:p>
    <w:p w14:paraId="4672C4F4">
      <w:pPr>
        <w:spacing w:before="144" w:line="221" w:lineRule="auto"/>
        <w:ind w:left="13"/>
        <w:rPr>
          <w:rFonts w:ascii="黑体" w:hAnsi="黑体" w:eastAsia="黑体" w:cs="黑体"/>
          <w:sz w:val="25"/>
          <w:szCs w:val="25"/>
        </w:rPr>
      </w:pPr>
      <w:r>
        <w:rPr>
          <w:rFonts w:ascii="Times New Roman" w:hAnsi="Times New Roman" w:eastAsia="Times New Roman" w:cs="Times New Roman"/>
          <w:spacing w:val="11"/>
          <w:sz w:val="25"/>
          <w:szCs w:val="25"/>
        </w:rPr>
        <w:t xml:space="preserve">4.X.16       </w:t>
      </w:r>
      <w:r>
        <w:rPr>
          <w:rFonts w:ascii="黑体" w:hAnsi="黑体" w:eastAsia="黑体" w:cs="黑体"/>
          <w:b/>
          <w:bCs/>
          <w:spacing w:val="11"/>
          <w:sz w:val="25"/>
          <w:szCs w:val="25"/>
        </w:rPr>
        <w:t>需要的通信手段及类型</w:t>
      </w:r>
    </w:p>
    <w:p w14:paraId="37DE4D9C">
      <w:pPr>
        <w:pStyle w:val="2"/>
        <w:spacing w:before="57" w:line="212" w:lineRule="auto"/>
        <w:ind w:left="563"/>
      </w:pPr>
      <w:r>
        <w:rPr>
          <w:spacing w:val="3"/>
        </w:rPr>
        <w:t>说明在执行(关键任务</w:t>
      </w:r>
      <w:r>
        <w:rPr>
          <w:spacing w:val="-68"/>
        </w:rPr>
        <w:t xml:space="preserve"> </w:t>
      </w:r>
      <w:r>
        <w:rPr>
          <w:rFonts w:ascii="Times New Roman" w:hAnsi="Times New Roman" w:eastAsia="Times New Roman" w:cs="Times New Roman"/>
          <w:spacing w:val="3"/>
        </w:rPr>
        <w:t xml:space="preserve">X) </w:t>
      </w:r>
      <w:r>
        <w:rPr>
          <w:spacing w:val="3"/>
        </w:rPr>
        <w:t>时需要的通信</w:t>
      </w:r>
      <w:r>
        <w:rPr>
          <w:spacing w:val="2"/>
        </w:rPr>
        <w:t>手段及类型。</w:t>
      </w:r>
    </w:p>
    <w:p w14:paraId="2C6EF881">
      <w:pPr>
        <w:spacing w:before="153" w:line="221" w:lineRule="auto"/>
        <w:ind w:left="13"/>
        <w:outlineLvl w:val="3"/>
        <w:rPr>
          <w:rFonts w:ascii="黑体" w:hAnsi="黑体" w:eastAsia="黑体" w:cs="黑体"/>
          <w:sz w:val="24"/>
          <w:szCs w:val="24"/>
        </w:rPr>
      </w:pPr>
      <w:r>
        <w:rPr>
          <w:rFonts w:ascii="Times New Roman" w:hAnsi="Times New Roman" w:eastAsia="Times New Roman" w:cs="Times New Roman"/>
          <w:b/>
          <w:bCs/>
          <w:spacing w:val="17"/>
          <w:sz w:val="24"/>
          <w:szCs w:val="24"/>
        </w:rPr>
        <w:t>4.X.1</w:t>
      </w:r>
      <w:r>
        <w:rPr>
          <w:rFonts w:ascii="Times New Roman" w:hAnsi="Times New Roman" w:eastAsia="Times New Roman" w:cs="Times New Roman"/>
          <w:b/>
          <w:bCs/>
          <w:spacing w:val="7"/>
          <w:sz w:val="24"/>
          <w:szCs w:val="24"/>
        </w:rPr>
        <w:t xml:space="preserve">   </w:t>
      </w:r>
      <w:r>
        <w:rPr>
          <w:rFonts w:ascii="黑体" w:hAnsi="黑体" w:eastAsia="黑体" w:cs="黑体"/>
          <w:b/>
          <w:bCs/>
          <w:spacing w:val="17"/>
          <w:sz w:val="24"/>
          <w:szCs w:val="24"/>
        </w:rPr>
        <w:t>7</w:t>
      </w:r>
      <w:r>
        <w:rPr>
          <w:rFonts w:ascii="黑体" w:hAnsi="黑体" w:eastAsia="黑体" w:cs="黑体"/>
          <w:spacing w:val="40"/>
          <w:sz w:val="24"/>
          <w:szCs w:val="24"/>
        </w:rPr>
        <w:t xml:space="preserve">  </w:t>
      </w:r>
      <w:r>
        <w:rPr>
          <w:rFonts w:ascii="黑体" w:hAnsi="黑体" w:eastAsia="黑体" w:cs="黑体"/>
          <w:b/>
          <w:bCs/>
          <w:spacing w:val="17"/>
          <w:sz w:val="24"/>
          <w:szCs w:val="24"/>
        </w:rPr>
        <w:t>所涉及的特殊危害</w:t>
      </w:r>
    </w:p>
    <w:p w14:paraId="42E513F0">
      <w:pPr>
        <w:pStyle w:val="2"/>
        <w:spacing w:before="69" w:line="212" w:lineRule="auto"/>
        <w:ind w:left="563"/>
      </w:pPr>
      <w:r>
        <w:rPr>
          <w:spacing w:val="2"/>
        </w:rPr>
        <w:t>说明在执行(关键任务</w:t>
      </w:r>
      <w:r>
        <w:rPr>
          <w:spacing w:val="-55"/>
        </w:rPr>
        <w:t xml:space="preserve"> </w:t>
      </w:r>
      <w:r>
        <w:rPr>
          <w:rFonts w:ascii="Times New Roman" w:hAnsi="Times New Roman" w:eastAsia="Times New Roman" w:cs="Times New Roman"/>
          <w:spacing w:val="2"/>
        </w:rPr>
        <w:t xml:space="preserve">X) </w:t>
      </w:r>
      <w:r>
        <w:rPr>
          <w:spacing w:val="2"/>
        </w:rPr>
        <w:t>时所涉及的特殊危害。</w:t>
      </w:r>
    </w:p>
    <w:p w14:paraId="689DE7D3">
      <w:pPr>
        <w:spacing w:before="113" w:line="213" w:lineRule="auto"/>
        <w:ind w:left="13"/>
        <w:rPr>
          <w:rFonts w:ascii="黑体" w:hAnsi="黑体" w:eastAsia="黑体" w:cs="黑体"/>
          <w:sz w:val="27"/>
          <w:szCs w:val="27"/>
        </w:rPr>
      </w:pPr>
      <w:r>
        <w:rPr>
          <w:rFonts w:ascii="Times New Roman" w:hAnsi="Times New Roman" w:eastAsia="Times New Roman" w:cs="Times New Roman"/>
          <w:spacing w:val="-3"/>
          <w:sz w:val="27"/>
          <w:szCs w:val="27"/>
        </w:rPr>
        <w:t xml:space="preserve">4.X.18      </w:t>
      </w:r>
      <w:r>
        <w:rPr>
          <w:rFonts w:ascii="黑体" w:hAnsi="黑体" w:eastAsia="黑体" w:cs="黑体"/>
          <w:b/>
          <w:bCs/>
          <w:spacing w:val="-3"/>
          <w:sz w:val="27"/>
          <w:szCs w:val="27"/>
        </w:rPr>
        <w:t>当操作者不只一人时，各操作者之间的相互影响</w:t>
      </w:r>
    </w:p>
    <w:p w14:paraId="632E5348">
      <w:pPr>
        <w:pStyle w:val="2"/>
        <w:spacing w:before="86" w:line="289" w:lineRule="auto"/>
        <w:ind w:left="13" w:firstLine="550"/>
      </w:pPr>
      <w:r>
        <w:rPr>
          <w:spacing w:val="17"/>
        </w:rPr>
        <w:t>说明在执行(关键任务</w:t>
      </w:r>
      <w:r>
        <w:rPr>
          <w:spacing w:val="-67"/>
        </w:rPr>
        <w:t xml:space="preserve"> </w:t>
      </w:r>
      <w:r>
        <w:rPr>
          <w:rFonts w:ascii="Times New Roman" w:hAnsi="Times New Roman" w:eastAsia="Times New Roman" w:cs="Times New Roman"/>
          <w:spacing w:val="17"/>
        </w:rPr>
        <w:t xml:space="preserve">X),  </w:t>
      </w:r>
      <w:r>
        <w:rPr>
          <w:spacing w:val="17"/>
        </w:rPr>
        <w:t>当操作者不只一人时，</w:t>
      </w:r>
      <w:r>
        <w:rPr>
          <w:spacing w:val="16"/>
        </w:rPr>
        <w:t>各操作者之间的相互</w:t>
      </w:r>
      <w:r>
        <w:t xml:space="preserve"> </w:t>
      </w:r>
      <w:r>
        <w:rPr>
          <w:spacing w:val="-4"/>
        </w:rPr>
        <w:t>影响。</w:t>
      </w:r>
    </w:p>
    <w:p w14:paraId="437B521A">
      <w:pPr>
        <w:spacing w:before="1" w:line="221" w:lineRule="auto"/>
        <w:ind w:left="17"/>
        <w:outlineLvl w:val="3"/>
        <w:rPr>
          <w:rFonts w:ascii="黑体" w:hAnsi="黑体" w:eastAsia="黑体" w:cs="黑体"/>
          <w:sz w:val="27"/>
          <w:szCs w:val="27"/>
        </w:rPr>
      </w:pPr>
      <w:r>
        <w:rPr>
          <w:rFonts w:ascii="黑体" w:hAnsi="黑体" w:eastAsia="黑体" w:cs="黑体"/>
          <w:b/>
          <w:bCs/>
          <w:sz w:val="27"/>
          <w:szCs w:val="27"/>
        </w:rPr>
        <w:t>4.</w:t>
      </w:r>
      <w:r>
        <w:rPr>
          <w:rFonts w:ascii="Times New Roman" w:hAnsi="Times New Roman" w:eastAsia="Times New Roman" w:cs="Times New Roman"/>
          <w:b/>
          <w:bCs/>
          <w:sz w:val="27"/>
          <w:szCs w:val="27"/>
        </w:rPr>
        <w:t xml:space="preserve">X.19     </w:t>
      </w:r>
      <w:r>
        <w:rPr>
          <w:rFonts w:ascii="黑体" w:hAnsi="黑体" w:eastAsia="黑体" w:cs="黑体"/>
          <w:b/>
          <w:bCs/>
          <w:sz w:val="27"/>
          <w:szCs w:val="27"/>
        </w:rPr>
        <w:t>操作者的作业极限</w:t>
      </w:r>
    </w:p>
    <w:p w14:paraId="28A0E69B">
      <w:pPr>
        <w:pStyle w:val="2"/>
        <w:spacing w:before="70" w:line="212" w:lineRule="auto"/>
        <w:ind w:left="563"/>
      </w:pPr>
      <w:r>
        <w:rPr>
          <w:spacing w:val="2"/>
        </w:rPr>
        <w:t>说明在执行(关键任务</w:t>
      </w:r>
      <w:r>
        <w:rPr>
          <w:spacing w:val="-55"/>
        </w:rPr>
        <w:t xml:space="preserve"> </w:t>
      </w:r>
      <w:r>
        <w:rPr>
          <w:rFonts w:ascii="Times New Roman" w:hAnsi="Times New Roman" w:eastAsia="Times New Roman" w:cs="Times New Roman"/>
          <w:spacing w:val="2"/>
        </w:rPr>
        <w:t xml:space="preserve">X) </w:t>
      </w:r>
      <w:r>
        <w:rPr>
          <w:spacing w:val="2"/>
        </w:rPr>
        <w:t>时操作者的作业极限。</w:t>
      </w:r>
    </w:p>
    <w:p w14:paraId="47D9DC66">
      <w:pPr>
        <w:spacing w:before="115" w:line="222" w:lineRule="auto"/>
        <w:ind w:left="13"/>
        <w:rPr>
          <w:rFonts w:ascii="黑体" w:hAnsi="黑体" w:eastAsia="黑体" w:cs="黑体"/>
          <w:sz w:val="27"/>
          <w:szCs w:val="27"/>
        </w:rPr>
      </w:pPr>
      <w:r>
        <w:rPr>
          <w:rFonts w:ascii="Times New Roman" w:hAnsi="Times New Roman" w:eastAsia="Times New Roman" w:cs="Times New Roman"/>
          <w:spacing w:val="1"/>
          <w:sz w:val="27"/>
          <w:szCs w:val="27"/>
        </w:rPr>
        <w:t xml:space="preserve">4. X.20     </w:t>
      </w:r>
      <w:r>
        <w:rPr>
          <w:rFonts w:ascii="黑体" w:hAnsi="黑体" w:eastAsia="黑体" w:cs="黑体"/>
          <w:b/>
          <w:bCs/>
          <w:spacing w:val="1"/>
          <w:sz w:val="27"/>
          <w:szCs w:val="27"/>
        </w:rPr>
        <w:t>硬件和软件的运行极限</w:t>
      </w:r>
    </w:p>
    <w:p w14:paraId="48557D52">
      <w:pPr>
        <w:pStyle w:val="2"/>
        <w:spacing w:before="50" w:line="212" w:lineRule="auto"/>
        <w:ind w:left="563"/>
      </w:pPr>
      <w:r>
        <w:rPr>
          <w:spacing w:val="3"/>
        </w:rPr>
        <w:t>说明在执行(关键任务</w:t>
      </w:r>
      <w:r>
        <w:rPr>
          <w:spacing w:val="-74"/>
        </w:rPr>
        <w:t xml:space="preserve"> </w:t>
      </w:r>
      <w:r>
        <w:rPr>
          <w:rFonts w:ascii="Times New Roman" w:hAnsi="Times New Roman" w:eastAsia="Times New Roman" w:cs="Times New Roman"/>
          <w:spacing w:val="3"/>
        </w:rPr>
        <w:t xml:space="preserve">X) </w:t>
      </w:r>
      <w:r>
        <w:rPr>
          <w:spacing w:val="3"/>
        </w:rPr>
        <w:t>时硬件和软件的运行极限。</w:t>
      </w:r>
    </w:p>
    <w:p w14:paraId="4CB89713">
      <w:pPr>
        <w:spacing w:line="379" w:lineRule="auto"/>
        <w:rPr>
          <w:rFonts w:ascii="Arial"/>
          <w:sz w:val="21"/>
        </w:rPr>
      </w:pPr>
    </w:p>
    <w:p w14:paraId="4F861296">
      <w:pPr>
        <w:pStyle w:val="2"/>
        <w:spacing w:before="118" w:line="219" w:lineRule="auto"/>
        <w:ind w:left="2543"/>
        <w:rPr>
          <w:sz w:val="36"/>
          <w:szCs w:val="36"/>
        </w:rPr>
      </w:pPr>
      <w:r>
        <w:rPr>
          <w:spacing w:val="1"/>
          <w:sz w:val="36"/>
          <w:szCs w:val="36"/>
        </w:rPr>
        <w:t xml:space="preserve">14.8  </w:t>
      </w:r>
      <w:r>
        <w:rPr>
          <w:b/>
          <w:bCs/>
          <w:spacing w:val="1"/>
          <w:sz w:val="36"/>
          <w:szCs w:val="36"/>
        </w:rPr>
        <w:t>操作者设计方法文件</w:t>
      </w:r>
    </w:p>
    <w:p w14:paraId="357ADCA5">
      <w:pPr>
        <w:spacing w:line="348" w:lineRule="auto"/>
        <w:rPr>
          <w:rFonts w:ascii="Arial"/>
          <w:sz w:val="21"/>
        </w:rPr>
      </w:pPr>
    </w:p>
    <w:p w14:paraId="0BC4D2A4">
      <w:pPr>
        <w:pStyle w:val="2"/>
        <w:spacing w:before="92" w:line="225" w:lineRule="auto"/>
        <w:ind w:left="563"/>
        <w:rPr>
          <w:rFonts w:ascii="楷体" w:hAnsi="楷体" w:eastAsia="楷体" w:cs="楷体"/>
          <w:sz w:val="28"/>
          <w:szCs w:val="28"/>
        </w:rPr>
      </w:pPr>
      <w:r>
        <w:rPr>
          <w:rFonts w:ascii="楷体" w:hAnsi="楷体" w:eastAsia="楷体" w:cs="楷体"/>
          <w:spacing w:val="-7"/>
          <w:sz w:val="28"/>
          <w:szCs w:val="28"/>
        </w:rPr>
        <w:t>按照</w:t>
      </w:r>
      <w:r>
        <w:rPr>
          <w:rFonts w:ascii="Times New Roman" w:hAnsi="Times New Roman" w:eastAsia="Times New Roman" w:cs="Times New Roman"/>
          <w:spacing w:val="-7"/>
          <w:sz w:val="28"/>
          <w:szCs w:val="28"/>
        </w:rPr>
        <w:t>GJB/Z134—2002</w:t>
      </w:r>
      <w:r>
        <w:rPr>
          <w:spacing w:val="-7"/>
          <w:sz w:val="28"/>
          <w:szCs w:val="28"/>
        </w:rPr>
        <w:t>《</w:t>
      </w:r>
      <w:r>
        <w:rPr>
          <w:rFonts w:ascii="楷体" w:hAnsi="楷体" w:eastAsia="楷体" w:cs="楷体"/>
          <w:spacing w:val="-7"/>
          <w:sz w:val="28"/>
          <w:szCs w:val="28"/>
        </w:rPr>
        <w:t>人机工程实施程序指南》编写。</w:t>
      </w:r>
    </w:p>
    <w:p w14:paraId="74262FB7">
      <w:pPr>
        <w:spacing w:before="48" w:line="223" w:lineRule="auto"/>
        <w:ind w:left="13"/>
        <w:rPr>
          <w:rFonts w:ascii="黑体" w:hAnsi="黑体" w:eastAsia="黑体" w:cs="黑体"/>
          <w:sz w:val="27"/>
          <w:szCs w:val="27"/>
        </w:rPr>
      </w:pPr>
      <w:r>
        <w:rPr>
          <w:rFonts w:ascii="黑体" w:hAnsi="黑体" w:eastAsia="黑体" w:cs="黑体"/>
          <w:spacing w:val="-8"/>
          <w:sz w:val="27"/>
          <w:szCs w:val="27"/>
        </w:rPr>
        <w:t>1</w:t>
      </w:r>
      <w:r>
        <w:rPr>
          <w:rFonts w:ascii="黑体" w:hAnsi="黑体" w:eastAsia="黑体" w:cs="黑体"/>
          <w:spacing w:val="32"/>
          <w:sz w:val="27"/>
          <w:szCs w:val="27"/>
        </w:rPr>
        <w:t xml:space="preserve">  </w:t>
      </w:r>
      <w:r>
        <w:rPr>
          <w:rFonts w:ascii="黑体" w:hAnsi="黑体" w:eastAsia="黑体" w:cs="黑体"/>
          <w:b/>
          <w:bCs/>
          <w:spacing w:val="-8"/>
          <w:sz w:val="27"/>
          <w:szCs w:val="27"/>
        </w:rPr>
        <w:t>范围</w:t>
      </w:r>
    </w:p>
    <w:p w14:paraId="48D4B146">
      <w:pPr>
        <w:pStyle w:val="2"/>
        <w:spacing w:before="107" w:line="219" w:lineRule="auto"/>
        <w:ind w:left="563"/>
      </w:pPr>
      <w:r>
        <w:rPr>
          <w:spacing w:val="4"/>
        </w:rPr>
        <w:t>说明操作者设计方法文件的主题内容和适用范围。</w:t>
      </w:r>
    </w:p>
    <w:p w14:paraId="1280E2F0">
      <w:pPr>
        <w:spacing w:line="219" w:lineRule="auto"/>
        <w:sectPr>
          <w:footerReference r:id="rId647" w:type="default"/>
          <w:pgSz w:w="11910" w:h="17130"/>
          <w:pgMar w:top="1456" w:right="739" w:bottom="1603" w:left="1786" w:header="0" w:footer="1405" w:gutter="0"/>
          <w:cols w:space="720" w:num="1"/>
        </w:sectPr>
      </w:pPr>
    </w:p>
    <w:p w14:paraId="26A6D56B">
      <w:pPr>
        <w:spacing w:before="93"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3"/>
          <w:sz w:val="27"/>
          <w:szCs w:val="27"/>
        </w:rPr>
        <w:t xml:space="preserve">  </w:t>
      </w:r>
      <w:r>
        <w:rPr>
          <w:rFonts w:ascii="黑体" w:hAnsi="黑体" w:eastAsia="黑体" w:cs="黑体"/>
          <w:sz w:val="27"/>
          <w:szCs w:val="27"/>
        </w:rPr>
        <w:t>引用文件</w:t>
      </w:r>
    </w:p>
    <w:p w14:paraId="42A4242B">
      <w:pPr>
        <w:pStyle w:val="2"/>
        <w:spacing w:before="87" w:line="219" w:lineRule="auto"/>
        <w:ind w:left="559"/>
      </w:pPr>
      <w:r>
        <w:rPr>
          <w:spacing w:val="4"/>
        </w:rPr>
        <w:t>列出操作者设计方法文件中引用的文件。</w:t>
      </w:r>
    </w:p>
    <w:p w14:paraId="05952E09">
      <w:pPr>
        <w:spacing w:before="77" w:line="222" w:lineRule="auto"/>
        <w:rPr>
          <w:rFonts w:ascii="黑体" w:hAnsi="黑体" w:eastAsia="黑体" w:cs="黑体"/>
          <w:sz w:val="27"/>
          <w:szCs w:val="27"/>
        </w:rPr>
      </w:pPr>
      <w:r>
        <w:rPr>
          <w:rFonts w:ascii="黑体" w:hAnsi="黑体" w:eastAsia="黑体" w:cs="黑体"/>
          <w:spacing w:val="5"/>
          <w:sz w:val="27"/>
          <w:szCs w:val="27"/>
        </w:rPr>
        <w:t>3  具有操作者接口的设备目录</w:t>
      </w:r>
    </w:p>
    <w:p w14:paraId="326DADF1">
      <w:pPr>
        <w:pStyle w:val="2"/>
        <w:spacing w:before="97" w:line="219" w:lineRule="auto"/>
        <w:ind w:left="559"/>
      </w:pPr>
      <w:r>
        <w:rPr>
          <w:spacing w:val="-1"/>
        </w:rPr>
        <w:t>对系统进行全面梳理，列出具有操作者接口的设备清单。</w:t>
      </w:r>
    </w:p>
    <w:p w14:paraId="1E8D48A0">
      <w:pPr>
        <w:spacing w:before="106" w:line="222" w:lineRule="auto"/>
        <w:rPr>
          <w:rFonts w:ascii="黑体" w:hAnsi="黑体" w:eastAsia="黑体" w:cs="黑体"/>
          <w:sz w:val="24"/>
          <w:szCs w:val="24"/>
        </w:rPr>
      </w:pPr>
      <w:r>
        <w:rPr>
          <w:rFonts w:ascii="黑体" w:hAnsi="黑体" w:eastAsia="黑体" w:cs="黑体"/>
          <w:spacing w:val="30"/>
          <w:sz w:val="24"/>
          <w:szCs w:val="24"/>
        </w:rPr>
        <w:t>4</w:t>
      </w:r>
      <w:r>
        <w:rPr>
          <w:rFonts w:ascii="黑体" w:hAnsi="黑体" w:eastAsia="黑体" w:cs="黑体"/>
          <w:spacing w:val="35"/>
          <w:sz w:val="24"/>
          <w:szCs w:val="24"/>
        </w:rPr>
        <w:t xml:space="preserve">  </w:t>
      </w:r>
      <w:r>
        <w:rPr>
          <w:rFonts w:ascii="黑体" w:hAnsi="黑体" w:eastAsia="黑体" w:cs="黑体"/>
          <w:spacing w:val="30"/>
          <w:sz w:val="24"/>
          <w:szCs w:val="24"/>
        </w:rPr>
        <w:t>人机工程规范和图样目录</w:t>
      </w:r>
    </w:p>
    <w:p w14:paraId="3DFD2F5F">
      <w:pPr>
        <w:pStyle w:val="2"/>
        <w:spacing w:before="82" w:line="219" w:lineRule="auto"/>
        <w:ind w:left="559"/>
      </w:pPr>
      <w:r>
        <w:rPr>
          <w:spacing w:val="4"/>
        </w:rPr>
        <w:t>列出由人机工程批准的规范和图样目录。</w:t>
      </w:r>
    </w:p>
    <w:p w14:paraId="288999A2">
      <w:pPr>
        <w:spacing w:before="31" w:line="368" w:lineRule="exact"/>
        <w:rPr>
          <w:rFonts w:ascii="黑体" w:hAnsi="黑体" w:eastAsia="黑体" w:cs="黑体"/>
          <w:sz w:val="27"/>
          <w:szCs w:val="27"/>
        </w:rPr>
      </w:pPr>
      <w:r>
        <w:rPr>
          <w:rFonts w:ascii="Arial" w:hAnsi="Arial" w:eastAsia="Arial" w:cs="Arial"/>
          <w:spacing w:val="5"/>
          <w:position w:val="1"/>
          <w:sz w:val="27"/>
          <w:szCs w:val="27"/>
        </w:rPr>
        <w:t>5</w:t>
      </w:r>
      <w:r>
        <w:rPr>
          <w:rFonts w:ascii="Arial" w:hAnsi="Arial" w:eastAsia="Arial" w:cs="Arial"/>
          <w:spacing w:val="18"/>
          <w:position w:val="1"/>
          <w:sz w:val="27"/>
          <w:szCs w:val="27"/>
        </w:rPr>
        <w:t xml:space="preserve">   </w:t>
      </w:r>
      <w:r>
        <w:rPr>
          <w:rFonts w:ascii="黑体" w:hAnsi="黑体" w:eastAsia="黑体" w:cs="黑体"/>
          <w:spacing w:val="5"/>
          <w:position w:val="1"/>
          <w:sz w:val="27"/>
          <w:szCs w:val="27"/>
        </w:rPr>
        <w:t>产品人机工程设计特性说明</w:t>
      </w:r>
    </w:p>
    <w:p w14:paraId="3032CC84">
      <w:pPr>
        <w:spacing w:before="90" w:line="221" w:lineRule="auto"/>
        <w:rPr>
          <w:rFonts w:ascii="黑体" w:hAnsi="黑体" w:eastAsia="黑体" w:cs="黑体"/>
          <w:sz w:val="27"/>
          <w:szCs w:val="27"/>
        </w:rPr>
      </w:pPr>
      <w:r>
        <w:rPr>
          <w:rFonts w:ascii="黑体" w:hAnsi="黑体" w:eastAsia="黑体" w:cs="黑体"/>
          <w:spacing w:val="3"/>
          <w:sz w:val="27"/>
          <w:szCs w:val="27"/>
        </w:rPr>
        <w:t>5.1</w:t>
      </w:r>
      <w:r>
        <w:rPr>
          <w:rFonts w:ascii="黑体" w:hAnsi="黑体" w:eastAsia="黑体" w:cs="黑体"/>
          <w:spacing w:val="19"/>
          <w:sz w:val="27"/>
          <w:szCs w:val="27"/>
        </w:rPr>
        <w:t xml:space="preserve">  </w:t>
      </w:r>
      <w:r>
        <w:rPr>
          <w:rFonts w:ascii="黑体" w:hAnsi="黑体" w:eastAsia="黑体" w:cs="黑体"/>
          <w:spacing w:val="3"/>
          <w:sz w:val="27"/>
          <w:szCs w:val="27"/>
        </w:rPr>
        <w:t>座舱和设备</w:t>
      </w:r>
    </w:p>
    <w:p w14:paraId="51E5DB95">
      <w:pPr>
        <w:pStyle w:val="2"/>
        <w:spacing w:before="98" w:line="219" w:lineRule="auto"/>
        <w:ind w:left="559"/>
      </w:pPr>
      <w:r>
        <w:rPr>
          <w:spacing w:val="-1"/>
        </w:rPr>
        <w:t>描述每个座舱和设备的设计特性，并说明其设计考</w:t>
      </w:r>
      <w:r>
        <w:rPr>
          <w:spacing w:val="-2"/>
        </w:rPr>
        <w:t>虑。</w:t>
      </w:r>
    </w:p>
    <w:p w14:paraId="294AD4CA">
      <w:pPr>
        <w:spacing w:before="98" w:line="221" w:lineRule="auto"/>
        <w:rPr>
          <w:rFonts w:ascii="黑体" w:hAnsi="黑体" w:eastAsia="黑体" w:cs="黑体"/>
          <w:sz w:val="24"/>
          <w:szCs w:val="24"/>
        </w:rPr>
      </w:pPr>
      <w:r>
        <w:rPr>
          <w:rFonts w:ascii="黑体" w:hAnsi="黑体" w:eastAsia="黑体" w:cs="黑体"/>
          <w:spacing w:val="3"/>
          <w:sz w:val="24"/>
          <w:szCs w:val="24"/>
        </w:rPr>
        <w:t>5.2</w:t>
      </w:r>
      <w:r>
        <w:rPr>
          <w:rFonts w:ascii="黑体" w:hAnsi="黑体" w:eastAsia="黑体" w:cs="黑体"/>
          <w:spacing w:val="49"/>
          <w:sz w:val="24"/>
          <w:szCs w:val="24"/>
        </w:rPr>
        <w:t xml:space="preserve">  </w:t>
      </w:r>
      <w:r>
        <w:rPr>
          <w:rFonts w:ascii="黑体" w:hAnsi="黑体" w:eastAsia="黑体" w:cs="黑体"/>
          <w:spacing w:val="3"/>
          <w:sz w:val="24"/>
          <w:szCs w:val="24"/>
        </w:rPr>
        <w:t>控制/显</w:t>
      </w:r>
      <w:r>
        <w:rPr>
          <w:rFonts w:ascii="黑体" w:hAnsi="黑体" w:eastAsia="黑体" w:cs="黑体"/>
          <w:spacing w:val="-35"/>
          <w:sz w:val="24"/>
          <w:szCs w:val="24"/>
        </w:rPr>
        <w:t xml:space="preserve"> </w:t>
      </w:r>
      <w:r>
        <w:rPr>
          <w:rFonts w:ascii="黑体" w:hAnsi="黑体" w:eastAsia="黑体" w:cs="黑体"/>
          <w:spacing w:val="3"/>
          <w:sz w:val="24"/>
          <w:szCs w:val="24"/>
        </w:rPr>
        <w:t>示</w:t>
      </w:r>
      <w:r>
        <w:rPr>
          <w:rFonts w:ascii="黑体" w:hAnsi="黑体" w:eastAsia="黑体" w:cs="黑体"/>
          <w:spacing w:val="-39"/>
          <w:sz w:val="24"/>
          <w:szCs w:val="24"/>
        </w:rPr>
        <w:t xml:space="preserve"> </w:t>
      </w:r>
      <w:r>
        <w:rPr>
          <w:rFonts w:ascii="黑体" w:hAnsi="黑体" w:eastAsia="黑体" w:cs="黑体"/>
          <w:spacing w:val="3"/>
          <w:sz w:val="24"/>
          <w:szCs w:val="24"/>
        </w:rPr>
        <w:t>面</w:t>
      </w:r>
      <w:r>
        <w:rPr>
          <w:rFonts w:ascii="黑体" w:hAnsi="黑体" w:eastAsia="黑体" w:cs="黑体"/>
          <w:spacing w:val="-47"/>
          <w:sz w:val="24"/>
          <w:szCs w:val="24"/>
        </w:rPr>
        <w:t xml:space="preserve"> </w:t>
      </w:r>
      <w:r>
        <w:rPr>
          <w:rFonts w:ascii="黑体" w:hAnsi="黑体" w:eastAsia="黑体" w:cs="黑体"/>
          <w:spacing w:val="3"/>
          <w:sz w:val="24"/>
          <w:szCs w:val="24"/>
        </w:rPr>
        <w:t>板</w:t>
      </w:r>
    </w:p>
    <w:p w14:paraId="0B828F54">
      <w:pPr>
        <w:pStyle w:val="2"/>
        <w:spacing w:before="94" w:line="219" w:lineRule="auto"/>
        <w:ind w:left="559"/>
      </w:pPr>
      <w:r>
        <w:rPr>
          <w:spacing w:val="-1"/>
        </w:rPr>
        <w:t>描述每个控制/显示面板的设计特性，并说明其设计考虑。</w:t>
      </w:r>
    </w:p>
    <w:p w14:paraId="23B43A60">
      <w:pPr>
        <w:spacing w:before="79" w:line="221" w:lineRule="auto"/>
        <w:ind w:left="3"/>
        <w:rPr>
          <w:rFonts w:ascii="黑体" w:hAnsi="黑体" w:eastAsia="黑体" w:cs="黑体"/>
          <w:sz w:val="27"/>
          <w:szCs w:val="27"/>
        </w:rPr>
      </w:pPr>
      <w:r>
        <w:rPr>
          <w:rFonts w:ascii="黑体" w:hAnsi="黑体" w:eastAsia="黑体" w:cs="黑体"/>
          <w:b/>
          <w:bCs/>
          <w:spacing w:val="1"/>
          <w:sz w:val="27"/>
          <w:szCs w:val="27"/>
        </w:rPr>
        <w:t>5.3</w:t>
      </w:r>
      <w:r>
        <w:rPr>
          <w:rFonts w:ascii="黑体" w:hAnsi="黑体" w:eastAsia="黑体" w:cs="黑体"/>
          <w:spacing w:val="1"/>
          <w:sz w:val="27"/>
          <w:szCs w:val="27"/>
        </w:rPr>
        <w:t xml:space="preserve">  操作者对座舱设备项目的视觉和操作者的外部视觉、环境因素</w:t>
      </w:r>
    </w:p>
    <w:p w14:paraId="0C933778">
      <w:pPr>
        <w:pStyle w:val="2"/>
        <w:spacing w:before="70" w:line="287" w:lineRule="auto"/>
        <w:ind w:firstLine="559"/>
      </w:pPr>
      <w:r>
        <w:rPr>
          <w:spacing w:val="6"/>
        </w:rPr>
        <w:t>描述操作者对座舱设备项目的视觉和操作者的外部视觉、环境因素等</w:t>
      </w:r>
      <w:r>
        <w:rPr>
          <w:spacing w:val="5"/>
        </w:rPr>
        <w:t>设计</w:t>
      </w:r>
      <w:r>
        <w:t xml:space="preserve"> </w:t>
      </w:r>
      <w:r>
        <w:rPr>
          <w:spacing w:val="-8"/>
        </w:rPr>
        <w:t>特性，并说明其设计考虑。</w:t>
      </w:r>
    </w:p>
    <w:p w14:paraId="50280F2E">
      <w:pPr>
        <w:spacing w:line="222" w:lineRule="auto"/>
        <w:rPr>
          <w:rFonts w:ascii="黑体" w:hAnsi="黑体" w:eastAsia="黑体" w:cs="黑体"/>
          <w:sz w:val="27"/>
          <w:szCs w:val="27"/>
        </w:rPr>
      </w:pPr>
      <w:r>
        <w:rPr>
          <w:rFonts w:ascii="黑体" w:hAnsi="黑体" w:eastAsia="黑体" w:cs="黑体"/>
          <w:spacing w:val="3"/>
          <w:sz w:val="27"/>
          <w:szCs w:val="27"/>
        </w:rPr>
        <w:t>5.4</w:t>
      </w:r>
      <w:r>
        <w:rPr>
          <w:rFonts w:ascii="黑体" w:hAnsi="黑体" w:eastAsia="黑体" w:cs="黑体"/>
          <w:spacing w:val="22"/>
          <w:sz w:val="27"/>
          <w:szCs w:val="27"/>
        </w:rPr>
        <w:t xml:space="preserve">  </w:t>
      </w:r>
      <w:r>
        <w:rPr>
          <w:rFonts w:ascii="黑体" w:hAnsi="黑体" w:eastAsia="黑体" w:cs="黑体"/>
          <w:spacing w:val="3"/>
          <w:sz w:val="27"/>
          <w:szCs w:val="27"/>
        </w:rPr>
        <w:t>正常和应急入口和出口</w:t>
      </w:r>
    </w:p>
    <w:p w14:paraId="7CB14943">
      <w:pPr>
        <w:pStyle w:val="2"/>
        <w:spacing w:before="94" w:line="260" w:lineRule="auto"/>
        <w:ind w:firstLine="559"/>
      </w:pPr>
      <w:r>
        <w:rPr>
          <w:spacing w:val="15"/>
        </w:rPr>
        <w:t>描述正常的入口和出口，应急的入口和出口的设计特性，并</w:t>
      </w:r>
      <w:r>
        <w:rPr>
          <w:spacing w:val="14"/>
        </w:rPr>
        <w:t>说明其设计</w:t>
      </w:r>
      <w:r>
        <w:t xml:space="preserve"> </w:t>
      </w:r>
      <w:r>
        <w:rPr>
          <w:spacing w:val="-2"/>
        </w:rPr>
        <w:t>考虑。</w:t>
      </w:r>
    </w:p>
    <w:p w14:paraId="414909AE">
      <w:pPr>
        <w:spacing w:line="368" w:lineRule="exact"/>
        <w:rPr>
          <w:rFonts w:ascii="黑体" w:hAnsi="黑体" w:eastAsia="黑体" w:cs="黑体"/>
          <w:sz w:val="27"/>
          <w:szCs w:val="27"/>
        </w:rPr>
      </w:pPr>
      <w:r>
        <w:rPr>
          <w:rFonts w:ascii="Arial" w:hAnsi="Arial" w:eastAsia="Arial" w:cs="Arial"/>
          <w:spacing w:val="4"/>
          <w:position w:val="1"/>
          <w:sz w:val="27"/>
          <w:szCs w:val="27"/>
        </w:rPr>
        <w:t>5.5</w:t>
      </w:r>
      <w:r>
        <w:rPr>
          <w:rFonts w:ascii="Arial" w:hAnsi="Arial" w:eastAsia="Arial" w:cs="Arial"/>
          <w:spacing w:val="12"/>
          <w:position w:val="1"/>
          <w:sz w:val="27"/>
          <w:szCs w:val="27"/>
        </w:rPr>
        <w:t xml:space="preserve">    </w:t>
      </w:r>
      <w:r>
        <w:rPr>
          <w:rFonts w:ascii="黑体" w:hAnsi="黑体" w:eastAsia="黑体" w:cs="黑体"/>
          <w:spacing w:val="4"/>
          <w:position w:val="1"/>
          <w:sz w:val="27"/>
          <w:szCs w:val="27"/>
        </w:rPr>
        <w:t>座舱照明特性和照明控制系统</w:t>
      </w:r>
    </w:p>
    <w:p w14:paraId="3EEBA855">
      <w:pPr>
        <w:pStyle w:val="2"/>
        <w:spacing w:before="91" w:line="219" w:lineRule="auto"/>
        <w:ind w:left="559"/>
      </w:pPr>
      <w:r>
        <w:rPr>
          <w:spacing w:val="1"/>
        </w:rPr>
        <w:t>说明座舱照明特性和照明控制系统的设计特性，并说</w:t>
      </w:r>
      <w:r>
        <w:t>明其设计考虑。</w:t>
      </w:r>
    </w:p>
    <w:p w14:paraId="32F656D0">
      <w:pPr>
        <w:spacing w:before="69" w:line="221" w:lineRule="auto"/>
        <w:rPr>
          <w:rFonts w:ascii="黑体" w:hAnsi="黑体" w:eastAsia="黑体" w:cs="黑体"/>
          <w:sz w:val="27"/>
          <w:szCs w:val="27"/>
        </w:rPr>
      </w:pPr>
      <w:r>
        <w:rPr>
          <w:rFonts w:ascii="黑体" w:hAnsi="黑体" w:eastAsia="黑体" w:cs="黑体"/>
          <w:spacing w:val="-4"/>
          <w:sz w:val="27"/>
          <w:szCs w:val="27"/>
        </w:rPr>
        <w:t>5.6</w:t>
      </w:r>
      <w:r>
        <w:rPr>
          <w:rFonts w:ascii="黑体" w:hAnsi="黑体" w:eastAsia="黑体" w:cs="黑体"/>
          <w:spacing w:val="22"/>
          <w:sz w:val="27"/>
          <w:szCs w:val="27"/>
        </w:rPr>
        <w:t xml:space="preserve">  </w:t>
      </w:r>
      <w:r>
        <w:rPr>
          <w:rFonts w:ascii="黑体" w:hAnsi="黑体" w:eastAsia="黑体" w:cs="黑体"/>
          <w:spacing w:val="-4"/>
          <w:sz w:val="27"/>
          <w:szCs w:val="27"/>
        </w:rPr>
        <w:t>座舱警告、注意和提示信号</w:t>
      </w:r>
    </w:p>
    <w:p w14:paraId="16EFAE33">
      <w:pPr>
        <w:pStyle w:val="2"/>
        <w:spacing w:before="97" w:line="218" w:lineRule="auto"/>
        <w:ind w:left="559"/>
      </w:pPr>
      <w:r>
        <w:rPr>
          <w:spacing w:val="-5"/>
        </w:rPr>
        <w:t>描述座舱警告、注意和提示信号的设计特性，并说明其设计考虑。</w:t>
      </w:r>
    </w:p>
    <w:p w14:paraId="69C75A1E">
      <w:pPr>
        <w:spacing w:before="33" w:line="368" w:lineRule="exact"/>
        <w:rPr>
          <w:rFonts w:ascii="黑体" w:hAnsi="黑体" w:eastAsia="黑体" w:cs="黑体"/>
          <w:sz w:val="27"/>
          <w:szCs w:val="27"/>
        </w:rPr>
      </w:pPr>
      <w:r>
        <w:rPr>
          <w:rFonts w:ascii="Arial" w:hAnsi="Arial" w:eastAsia="Arial" w:cs="Arial"/>
          <w:spacing w:val="2"/>
          <w:position w:val="1"/>
          <w:sz w:val="27"/>
          <w:szCs w:val="27"/>
        </w:rPr>
        <w:t>5.7</w:t>
      </w:r>
      <w:r>
        <w:rPr>
          <w:rFonts w:ascii="Arial" w:hAnsi="Arial" w:eastAsia="Arial" w:cs="Arial"/>
          <w:spacing w:val="11"/>
          <w:position w:val="1"/>
          <w:sz w:val="27"/>
          <w:szCs w:val="27"/>
        </w:rPr>
        <w:t xml:space="preserve">    </w:t>
      </w:r>
      <w:r>
        <w:rPr>
          <w:rFonts w:ascii="黑体" w:hAnsi="黑体" w:eastAsia="黑体" w:cs="黑体"/>
          <w:spacing w:val="2"/>
          <w:position w:val="1"/>
          <w:sz w:val="27"/>
          <w:szCs w:val="27"/>
        </w:rPr>
        <w:t>座位约束系统</w:t>
      </w:r>
    </w:p>
    <w:p w14:paraId="633F86C0">
      <w:pPr>
        <w:pStyle w:val="2"/>
        <w:spacing w:before="81" w:line="219" w:lineRule="auto"/>
        <w:ind w:left="559"/>
      </w:pPr>
      <w:r>
        <w:rPr>
          <w:spacing w:val="-3"/>
        </w:rPr>
        <w:t>描述座位约束系统的设计特性，并说明其设计考虑。</w:t>
      </w:r>
    </w:p>
    <w:p w14:paraId="03EE16CE">
      <w:pPr>
        <w:spacing w:before="40" w:line="368" w:lineRule="exact"/>
        <w:rPr>
          <w:rFonts w:ascii="黑体" w:hAnsi="黑体" w:eastAsia="黑体" w:cs="黑体"/>
          <w:sz w:val="27"/>
          <w:szCs w:val="27"/>
        </w:rPr>
      </w:pPr>
      <w:r>
        <w:rPr>
          <w:rFonts w:ascii="Arial" w:hAnsi="Arial" w:eastAsia="Arial" w:cs="Arial"/>
          <w:spacing w:val="2"/>
          <w:position w:val="1"/>
          <w:sz w:val="27"/>
          <w:szCs w:val="27"/>
        </w:rPr>
        <w:t>5.8</w:t>
      </w:r>
      <w:r>
        <w:rPr>
          <w:rFonts w:ascii="Arial" w:hAnsi="Arial" w:eastAsia="Arial" w:cs="Arial"/>
          <w:spacing w:val="14"/>
          <w:position w:val="1"/>
          <w:sz w:val="27"/>
          <w:szCs w:val="27"/>
        </w:rPr>
        <w:t xml:space="preserve">    </w:t>
      </w:r>
      <w:r>
        <w:rPr>
          <w:rFonts w:ascii="黑体" w:hAnsi="黑体" w:eastAsia="黑体" w:cs="黑体"/>
          <w:spacing w:val="2"/>
          <w:position w:val="1"/>
          <w:sz w:val="27"/>
          <w:szCs w:val="27"/>
        </w:rPr>
        <w:t>通信系统和通信系统控制</w:t>
      </w:r>
    </w:p>
    <w:p w14:paraId="614E456C">
      <w:pPr>
        <w:pStyle w:val="2"/>
        <w:spacing w:before="102" w:line="219" w:lineRule="auto"/>
        <w:ind w:left="559"/>
      </w:pPr>
      <w:r>
        <w:t>描述通信系统和通信系统控制的设计特性，并说明</w:t>
      </w:r>
      <w:r>
        <w:rPr>
          <w:spacing w:val="-1"/>
        </w:rPr>
        <w:t>其设计考虑。</w:t>
      </w:r>
    </w:p>
    <w:p w14:paraId="33E22ED2">
      <w:pPr>
        <w:spacing w:before="108" w:line="222" w:lineRule="auto"/>
        <w:rPr>
          <w:rFonts w:ascii="黑体" w:hAnsi="黑体" w:eastAsia="黑体" w:cs="黑体"/>
          <w:sz w:val="25"/>
          <w:szCs w:val="25"/>
        </w:rPr>
      </w:pPr>
      <w:r>
        <w:rPr>
          <w:rFonts w:ascii="黑体" w:hAnsi="黑体" w:eastAsia="黑体" w:cs="黑体"/>
          <w:spacing w:val="2"/>
          <w:sz w:val="25"/>
          <w:szCs w:val="25"/>
        </w:rPr>
        <w:t>5.9</w:t>
      </w:r>
      <w:r>
        <w:rPr>
          <w:rFonts w:ascii="黑体" w:hAnsi="黑体" w:eastAsia="黑体" w:cs="黑体"/>
          <w:spacing w:val="44"/>
          <w:sz w:val="25"/>
          <w:szCs w:val="25"/>
        </w:rPr>
        <w:t xml:space="preserve">  </w:t>
      </w:r>
      <w:r>
        <w:rPr>
          <w:rFonts w:ascii="黑体" w:hAnsi="黑体" w:eastAsia="黑体" w:cs="黑体"/>
          <w:spacing w:val="2"/>
          <w:sz w:val="25"/>
          <w:szCs w:val="25"/>
        </w:rPr>
        <w:t>特殊设计、布局</w:t>
      </w:r>
    </w:p>
    <w:p w14:paraId="3F72F483">
      <w:pPr>
        <w:pStyle w:val="2"/>
        <w:spacing w:before="81" w:line="219" w:lineRule="auto"/>
        <w:ind w:left="559"/>
      </w:pPr>
      <w:r>
        <w:rPr>
          <w:spacing w:val="-7"/>
        </w:rPr>
        <w:t>描述特殊设计、布局的设计特性，并说明其设计考虑。</w:t>
      </w:r>
    </w:p>
    <w:p w14:paraId="42C75749">
      <w:pPr>
        <w:spacing w:before="40" w:line="368" w:lineRule="exact"/>
        <w:rPr>
          <w:rFonts w:ascii="黑体" w:hAnsi="黑体" w:eastAsia="黑体" w:cs="黑体"/>
          <w:sz w:val="27"/>
          <w:szCs w:val="27"/>
        </w:rPr>
      </w:pPr>
      <w:r>
        <w:rPr>
          <w:rFonts w:ascii="Arial" w:hAnsi="Arial" w:eastAsia="Arial" w:cs="Arial"/>
          <w:spacing w:val="1"/>
          <w:position w:val="1"/>
          <w:sz w:val="27"/>
          <w:szCs w:val="27"/>
        </w:rPr>
        <w:t>5.10</w:t>
      </w:r>
      <w:r>
        <w:rPr>
          <w:rFonts w:ascii="Arial" w:hAnsi="Arial" w:eastAsia="Arial" w:cs="Arial"/>
          <w:spacing w:val="15"/>
          <w:position w:val="1"/>
          <w:sz w:val="27"/>
          <w:szCs w:val="27"/>
        </w:rPr>
        <w:t xml:space="preserve">    </w:t>
      </w:r>
      <w:r>
        <w:rPr>
          <w:rFonts w:ascii="黑体" w:hAnsi="黑体" w:eastAsia="黑体" w:cs="黑体"/>
          <w:spacing w:val="1"/>
          <w:position w:val="1"/>
          <w:sz w:val="27"/>
          <w:szCs w:val="27"/>
        </w:rPr>
        <w:t>由任务及系统环境所要求的特性</w:t>
      </w:r>
    </w:p>
    <w:p w14:paraId="2D5C6B47">
      <w:pPr>
        <w:pStyle w:val="2"/>
        <w:spacing w:before="91" w:line="277" w:lineRule="auto"/>
        <w:ind w:right="1276" w:firstLine="559"/>
        <w:rPr>
          <w:rFonts w:ascii="黑体" w:hAnsi="黑体" w:eastAsia="黑体" w:cs="黑体"/>
        </w:rPr>
      </w:pPr>
      <w:r>
        <w:t>描述由任务及系统环境所要求的设计特性，并说明</w:t>
      </w:r>
      <w:r>
        <w:rPr>
          <w:spacing w:val="-1"/>
        </w:rPr>
        <w:t>其设计考虑。</w:t>
      </w:r>
      <w:r>
        <w:t xml:space="preserve"> </w:t>
      </w:r>
      <w:r>
        <w:rPr>
          <w:rFonts w:ascii="黑体" w:hAnsi="黑体" w:eastAsia="黑体" w:cs="黑体"/>
          <w:spacing w:val="2"/>
        </w:rPr>
        <w:t>5.11</w:t>
      </w:r>
      <w:r>
        <w:rPr>
          <w:rFonts w:ascii="黑体" w:hAnsi="黑体" w:eastAsia="黑体" w:cs="黑体"/>
          <w:spacing w:val="53"/>
        </w:rPr>
        <w:t xml:space="preserve">  </w:t>
      </w:r>
      <w:r>
        <w:rPr>
          <w:rFonts w:ascii="黑体" w:hAnsi="黑体" w:eastAsia="黑体" w:cs="黑体"/>
          <w:spacing w:val="2"/>
        </w:rPr>
        <w:t>多操作者工作站设计</w:t>
      </w:r>
    </w:p>
    <w:p w14:paraId="64A6C26D">
      <w:pPr>
        <w:pStyle w:val="2"/>
        <w:spacing w:line="219" w:lineRule="auto"/>
        <w:ind w:left="559"/>
      </w:pPr>
      <w:r>
        <w:rPr>
          <w:spacing w:val="-1"/>
        </w:rPr>
        <w:t>描述多操作者工作站设计的设计特性，并说明其设计考虑。</w:t>
      </w:r>
    </w:p>
    <w:p w14:paraId="7AACE50E">
      <w:pPr>
        <w:spacing w:before="82" w:line="222"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2"/>
          <w:sz w:val="27"/>
          <w:szCs w:val="27"/>
        </w:rPr>
        <w:t xml:space="preserve">  </w:t>
      </w:r>
      <w:r>
        <w:rPr>
          <w:rFonts w:ascii="黑体" w:hAnsi="黑体" w:eastAsia="黑体" w:cs="黑体"/>
          <w:sz w:val="27"/>
          <w:szCs w:val="27"/>
        </w:rPr>
        <w:t>其他信息</w:t>
      </w:r>
    </w:p>
    <w:p w14:paraId="3F6F42B2">
      <w:pPr>
        <w:spacing w:before="102" w:line="221" w:lineRule="auto"/>
        <w:rPr>
          <w:rFonts w:ascii="黑体" w:hAnsi="黑体" w:eastAsia="黑体" w:cs="黑体"/>
          <w:sz w:val="25"/>
          <w:szCs w:val="25"/>
        </w:rPr>
      </w:pPr>
      <w:r>
        <w:rPr>
          <w:rFonts w:ascii="黑体" w:hAnsi="黑体" w:eastAsia="黑体" w:cs="黑体"/>
          <w:spacing w:val="17"/>
          <w:sz w:val="25"/>
          <w:szCs w:val="25"/>
        </w:rPr>
        <w:t>6.1</w:t>
      </w:r>
      <w:r>
        <w:rPr>
          <w:rFonts w:ascii="黑体" w:hAnsi="黑体" w:eastAsia="黑体" w:cs="黑体"/>
          <w:spacing w:val="43"/>
          <w:sz w:val="25"/>
          <w:szCs w:val="25"/>
        </w:rPr>
        <w:t xml:space="preserve">  </w:t>
      </w:r>
      <w:r>
        <w:rPr>
          <w:rFonts w:ascii="黑体" w:hAnsi="黑体" w:eastAsia="黑体" w:cs="黑体"/>
          <w:spacing w:val="17"/>
          <w:sz w:val="25"/>
          <w:szCs w:val="25"/>
        </w:rPr>
        <w:t>座舱几何布局</w:t>
      </w:r>
    </w:p>
    <w:p w14:paraId="003CFE84">
      <w:pPr>
        <w:pStyle w:val="2"/>
        <w:spacing w:before="112" w:line="219" w:lineRule="auto"/>
        <w:ind w:left="559"/>
      </w:pPr>
      <w:r>
        <w:rPr>
          <w:spacing w:val="2"/>
        </w:rPr>
        <w:t>描述座舱的几何布局。</w:t>
      </w:r>
    </w:p>
    <w:p w14:paraId="777B17AB">
      <w:pPr>
        <w:spacing w:line="219" w:lineRule="auto"/>
        <w:sectPr>
          <w:footerReference r:id="rId648" w:type="default"/>
          <w:pgSz w:w="11910" w:h="17130"/>
          <w:pgMar w:top="1456" w:right="1578" w:bottom="1643" w:left="940" w:header="0" w:footer="1444" w:gutter="0"/>
          <w:cols w:space="720" w:num="1"/>
        </w:sectPr>
      </w:pPr>
    </w:p>
    <w:p w14:paraId="76AB4E69">
      <w:pPr>
        <w:spacing w:before="192" w:line="401" w:lineRule="exact"/>
        <w:rPr>
          <w:rFonts w:ascii="黑体" w:hAnsi="黑体" w:eastAsia="黑体" w:cs="黑体"/>
          <w:sz w:val="27"/>
          <w:szCs w:val="27"/>
        </w:rPr>
      </w:pPr>
      <w:r>
        <w:rPr>
          <w:rFonts w:ascii="华文行楷" w:hAnsi="华文行楷" w:eastAsia="华文行楷" w:cs="华文行楷"/>
          <w:position w:val="2"/>
          <w:sz w:val="27"/>
          <w:szCs w:val="27"/>
        </w:rPr>
        <w:t>6.2     人</w:t>
      </w:r>
      <w:r>
        <w:rPr>
          <w:rFonts w:ascii="华文行楷" w:hAnsi="华文行楷" w:eastAsia="华文行楷" w:cs="华文行楷"/>
          <w:spacing w:val="-26"/>
          <w:position w:val="2"/>
          <w:sz w:val="27"/>
          <w:szCs w:val="27"/>
        </w:rPr>
        <w:t xml:space="preserve"> </w:t>
      </w:r>
      <w:r>
        <w:rPr>
          <w:rFonts w:ascii="黑体" w:hAnsi="黑体" w:eastAsia="黑体" w:cs="黑体"/>
          <w:position w:val="2"/>
          <w:sz w:val="27"/>
          <w:szCs w:val="27"/>
        </w:rPr>
        <w:t>机工程设计、布局及具有操作</w:t>
      </w:r>
      <w:r>
        <w:rPr>
          <w:rFonts w:ascii="黑体" w:hAnsi="黑体" w:eastAsia="黑体" w:cs="黑体"/>
          <w:spacing w:val="-1"/>
          <w:position w:val="2"/>
          <w:sz w:val="27"/>
          <w:szCs w:val="27"/>
        </w:rPr>
        <w:t>者接口的座舱布置的原理</w:t>
      </w:r>
    </w:p>
    <w:p w14:paraId="03ABF253">
      <w:pPr>
        <w:pStyle w:val="2"/>
        <w:spacing w:before="19" w:line="219" w:lineRule="auto"/>
        <w:ind w:left="560"/>
      </w:pPr>
      <w:r>
        <w:rPr>
          <w:spacing w:val="-1"/>
        </w:rPr>
        <w:t>说明人机工程设计、布局及具有操作者接口的座舱布置的原理。</w:t>
      </w:r>
    </w:p>
    <w:p w14:paraId="2C3A0701">
      <w:pPr>
        <w:pStyle w:val="2"/>
        <w:spacing w:before="79" w:line="222" w:lineRule="auto"/>
        <w:rPr>
          <w:rFonts w:ascii="黑体" w:hAnsi="黑体" w:eastAsia="黑体" w:cs="黑体"/>
        </w:rPr>
      </w:pPr>
      <w:r>
        <w:t xml:space="preserve">6.3  </w:t>
      </w:r>
      <w:r>
        <w:rPr>
          <w:b/>
          <w:bCs/>
        </w:rPr>
        <w:t>与</w:t>
      </w:r>
      <w:r>
        <w:rPr>
          <w:spacing w:val="-39"/>
        </w:rPr>
        <w:t xml:space="preserve"> </w:t>
      </w:r>
      <w:r>
        <w:rPr>
          <w:rFonts w:ascii="Times New Roman" w:hAnsi="Times New Roman" w:eastAsia="Times New Roman" w:cs="Times New Roman"/>
          <w:b/>
          <w:bCs/>
        </w:rPr>
        <w:t xml:space="preserve">GJB  2873—1997 </w:t>
      </w:r>
      <w:r>
        <w:rPr>
          <w:rFonts w:ascii="黑体" w:hAnsi="黑体" w:eastAsia="黑体" w:cs="黑体"/>
        </w:rPr>
        <w:t>的偏离的理论依据</w:t>
      </w:r>
    </w:p>
    <w:p w14:paraId="346E577F">
      <w:pPr>
        <w:pStyle w:val="2"/>
        <w:spacing w:before="85" w:line="219" w:lineRule="auto"/>
        <w:ind w:left="560"/>
      </w:pPr>
      <w:r>
        <w:rPr>
          <w:spacing w:val="6"/>
        </w:rPr>
        <w:t>对任何需要偏离</w:t>
      </w:r>
      <w:r>
        <w:rPr>
          <w:rFonts w:ascii="Times New Roman" w:hAnsi="Times New Roman" w:eastAsia="Times New Roman" w:cs="Times New Roman"/>
        </w:rPr>
        <w:t>GJB</w:t>
      </w:r>
      <w:r>
        <w:rPr>
          <w:rFonts w:ascii="Times New Roman" w:hAnsi="Times New Roman" w:eastAsia="Times New Roman" w:cs="Times New Roman"/>
          <w:spacing w:val="21"/>
        </w:rPr>
        <w:t xml:space="preserve">  </w:t>
      </w:r>
      <w:r>
        <w:rPr>
          <w:rFonts w:ascii="Times New Roman" w:hAnsi="Times New Roman" w:eastAsia="Times New Roman" w:cs="Times New Roman"/>
          <w:spacing w:val="6"/>
        </w:rPr>
        <w:t>2873—1997</w:t>
      </w:r>
      <w:r>
        <w:rPr>
          <w:spacing w:val="6"/>
        </w:rPr>
        <w:t>的内容提供</w:t>
      </w:r>
      <w:r>
        <w:rPr>
          <w:spacing w:val="5"/>
        </w:rPr>
        <w:t>基本依据的说明。</w:t>
      </w:r>
    </w:p>
    <w:p w14:paraId="47EE53F8">
      <w:pPr>
        <w:spacing w:line="301" w:lineRule="auto"/>
        <w:rPr>
          <w:rFonts w:ascii="Arial"/>
          <w:sz w:val="21"/>
        </w:rPr>
      </w:pPr>
    </w:p>
    <w:p w14:paraId="26459907">
      <w:pPr>
        <w:pStyle w:val="2"/>
        <w:spacing w:before="117" w:line="219" w:lineRule="auto"/>
        <w:ind w:left="2509"/>
        <w:rPr>
          <w:sz w:val="36"/>
          <w:szCs w:val="36"/>
        </w:rPr>
      </w:pPr>
      <w:r>
        <w:rPr>
          <w:spacing w:val="-1"/>
          <w:sz w:val="36"/>
          <w:szCs w:val="36"/>
        </w:rPr>
        <w:t>14.9</w:t>
      </w:r>
      <w:r>
        <w:rPr>
          <w:spacing w:val="34"/>
          <w:sz w:val="36"/>
          <w:szCs w:val="36"/>
        </w:rPr>
        <w:t xml:space="preserve">  </w:t>
      </w:r>
      <w:r>
        <w:rPr>
          <w:b/>
          <w:bCs/>
          <w:spacing w:val="-1"/>
          <w:sz w:val="36"/>
          <w:szCs w:val="36"/>
        </w:rPr>
        <w:t>维修者设计方法文件</w:t>
      </w:r>
    </w:p>
    <w:p w14:paraId="04326155">
      <w:pPr>
        <w:spacing w:line="389" w:lineRule="auto"/>
        <w:rPr>
          <w:rFonts w:ascii="Arial"/>
          <w:sz w:val="21"/>
        </w:rPr>
      </w:pPr>
    </w:p>
    <w:p w14:paraId="2DD0ECD8">
      <w:pPr>
        <w:pStyle w:val="2"/>
        <w:spacing w:before="79" w:line="225" w:lineRule="auto"/>
        <w:ind w:left="560"/>
        <w:rPr>
          <w:rFonts w:ascii="楷体" w:hAnsi="楷体" w:eastAsia="楷体" w:cs="楷体"/>
          <w:sz w:val="24"/>
          <w:szCs w:val="24"/>
        </w:rPr>
      </w:pPr>
      <w:r>
        <w:rPr>
          <w:rFonts w:ascii="楷体" w:hAnsi="楷体" w:eastAsia="楷体" w:cs="楷体"/>
          <w:spacing w:val="8"/>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/Z      134—2002</w:t>
      </w:r>
      <w:r>
        <w:rPr>
          <w:spacing w:val="8"/>
          <w:sz w:val="24"/>
          <w:szCs w:val="24"/>
        </w:rPr>
        <w:t>《</w:t>
      </w:r>
      <w:r>
        <w:rPr>
          <w:rFonts w:ascii="楷体" w:hAnsi="楷体" w:eastAsia="楷体" w:cs="楷体"/>
          <w:spacing w:val="8"/>
          <w:sz w:val="24"/>
          <w:szCs w:val="24"/>
        </w:rPr>
        <w:t>人机工程实施程序指南</w:t>
      </w:r>
      <w:r>
        <w:rPr>
          <w:rFonts w:ascii="楷体" w:hAnsi="楷体" w:eastAsia="楷体" w:cs="楷体"/>
          <w:spacing w:val="7"/>
          <w:sz w:val="24"/>
          <w:szCs w:val="24"/>
        </w:rPr>
        <w:t>》编写。</w:t>
      </w:r>
    </w:p>
    <w:p w14:paraId="05410D03">
      <w:pPr>
        <w:spacing w:before="92" w:line="223" w:lineRule="auto"/>
        <w:rPr>
          <w:rFonts w:ascii="黑体" w:hAnsi="黑体" w:eastAsia="黑体" w:cs="黑体"/>
          <w:sz w:val="27"/>
          <w:szCs w:val="27"/>
        </w:rPr>
      </w:pPr>
      <w:r>
        <w:rPr>
          <w:rFonts w:ascii="黑体" w:hAnsi="黑体" w:eastAsia="黑体" w:cs="黑体"/>
          <w:spacing w:val="-3"/>
          <w:sz w:val="27"/>
          <w:szCs w:val="27"/>
        </w:rPr>
        <w:t>1</w:t>
      </w:r>
      <w:r>
        <w:rPr>
          <w:rFonts w:ascii="黑体" w:hAnsi="黑体" w:eastAsia="黑体" w:cs="黑体"/>
          <w:spacing w:val="24"/>
          <w:sz w:val="27"/>
          <w:szCs w:val="27"/>
        </w:rPr>
        <w:t xml:space="preserve">  </w:t>
      </w:r>
      <w:r>
        <w:rPr>
          <w:rFonts w:ascii="黑体" w:hAnsi="黑体" w:eastAsia="黑体" w:cs="黑体"/>
          <w:spacing w:val="-3"/>
          <w:sz w:val="27"/>
          <w:szCs w:val="27"/>
        </w:rPr>
        <w:t>范围</w:t>
      </w:r>
    </w:p>
    <w:p w14:paraId="14B721FC">
      <w:pPr>
        <w:pStyle w:val="2"/>
        <w:spacing w:before="93" w:line="219" w:lineRule="auto"/>
        <w:ind w:left="560"/>
      </w:pPr>
      <w:r>
        <w:rPr>
          <w:spacing w:val="3"/>
        </w:rPr>
        <w:t>说明维修者设计方法文件的主题内容和适用范围。</w:t>
      </w:r>
    </w:p>
    <w:p w14:paraId="047BBB80">
      <w:pPr>
        <w:spacing w:before="78" w:line="222" w:lineRule="auto"/>
        <w:rPr>
          <w:rFonts w:ascii="黑体" w:hAnsi="黑体" w:eastAsia="黑体" w:cs="黑体"/>
          <w:sz w:val="27"/>
          <w:szCs w:val="27"/>
        </w:rPr>
      </w:pPr>
      <w:r>
        <w:rPr>
          <w:rFonts w:ascii="黑体" w:hAnsi="黑体" w:eastAsia="黑体" w:cs="黑体"/>
          <w:sz w:val="27"/>
          <w:szCs w:val="27"/>
        </w:rPr>
        <w:t>2</w:t>
      </w:r>
      <w:r>
        <w:rPr>
          <w:rFonts w:ascii="黑体" w:hAnsi="黑体" w:eastAsia="黑体" w:cs="黑体"/>
          <w:spacing w:val="18"/>
          <w:sz w:val="27"/>
          <w:szCs w:val="27"/>
        </w:rPr>
        <w:t xml:space="preserve">  </w:t>
      </w:r>
      <w:r>
        <w:rPr>
          <w:rFonts w:ascii="黑体" w:hAnsi="黑体" w:eastAsia="黑体" w:cs="黑体"/>
          <w:sz w:val="27"/>
          <w:szCs w:val="27"/>
        </w:rPr>
        <w:t>引用文件</w:t>
      </w:r>
    </w:p>
    <w:p w14:paraId="797BFC44">
      <w:pPr>
        <w:pStyle w:val="2"/>
        <w:spacing w:before="98" w:line="219" w:lineRule="auto"/>
        <w:ind w:left="560"/>
      </w:pPr>
      <w:r>
        <w:rPr>
          <w:spacing w:val="4"/>
        </w:rPr>
        <w:t>列出维修者设计方法文件中引用的文件。</w:t>
      </w:r>
    </w:p>
    <w:p w14:paraId="537F8991">
      <w:pPr>
        <w:spacing w:before="67" w:line="222" w:lineRule="auto"/>
        <w:rPr>
          <w:rFonts w:ascii="黑体" w:hAnsi="黑体" w:eastAsia="黑体" w:cs="黑体"/>
          <w:sz w:val="27"/>
          <w:szCs w:val="27"/>
        </w:rPr>
      </w:pPr>
      <w:r>
        <w:rPr>
          <w:rFonts w:ascii="黑体" w:hAnsi="黑体" w:eastAsia="黑体" w:cs="黑体"/>
          <w:spacing w:val="5"/>
          <w:sz w:val="27"/>
          <w:szCs w:val="27"/>
        </w:rPr>
        <w:t>3  具有维修者接口的设备目录</w:t>
      </w:r>
    </w:p>
    <w:p w14:paraId="6CF7ABF5">
      <w:pPr>
        <w:pStyle w:val="2"/>
        <w:spacing w:before="98" w:line="269" w:lineRule="auto"/>
        <w:ind w:right="1825" w:firstLine="560"/>
        <w:rPr>
          <w:rFonts w:ascii="黑体" w:hAnsi="黑体" w:eastAsia="黑体" w:cs="黑体"/>
        </w:rPr>
      </w:pPr>
      <w:r>
        <w:rPr>
          <w:spacing w:val="-1"/>
        </w:rPr>
        <w:t>对系统进行全面梳理，列出具有维修者接口的设备清单。</w:t>
      </w:r>
      <w:r>
        <w:rPr>
          <w:spacing w:val="9"/>
        </w:rPr>
        <w:t xml:space="preserve"> </w:t>
      </w:r>
      <w:r>
        <w:rPr>
          <w:rFonts w:ascii="黑体" w:hAnsi="黑体" w:eastAsia="黑体" w:cs="黑体"/>
          <w:spacing w:val="6"/>
        </w:rPr>
        <w:t>4  人机工程规范和图样目录</w:t>
      </w:r>
    </w:p>
    <w:p w14:paraId="60EF19D5">
      <w:pPr>
        <w:pStyle w:val="2"/>
        <w:spacing w:before="31" w:line="219" w:lineRule="auto"/>
        <w:ind w:left="560"/>
      </w:pPr>
      <w:r>
        <w:rPr>
          <w:spacing w:val="3"/>
        </w:rPr>
        <w:t>列出由人机工程批准的规范和图样目录。</w:t>
      </w:r>
    </w:p>
    <w:p w14:paraId="3CFC1E96">
      <w:pPr>
        <w:spacing w:before="40" w:line="368" w:lineRule="exact"/>
        <w:rPr>
          <w:rFonts w:ascii="黑体" w:hAnsi="黑体" w:eastAsia="黑体" w:cs="黑体"/>
          <w:sz w:val="27"/>
          <w:szCs w:val="27"/>
        </w:rPr>
      </w:pPr>
      <w:r>
        <w:rPr>
          <w:rFonts w:ascii="Arial" w:hAnsi="Arial" w:eastAsia="Arial" w:cs="Arial"/>
          <w:spacing w:val="4"/>
          <w:position w:val="1"/>
          <w:sz w:val="27"/>
          <w:szCs w:val="27"/>
        </w:rPr>
        <w:t>5</w:t>
      </w:r>
      <w:r>
        <w:rPr>
          <w:rFonts w:ascii="Arial" w:hAnsi="Arial" w:eastAsia="Arial" w:cs="Arial"/>
          <w:spacing w:val="22"/>
          <w:position w:val="1"/>
          <w:sz w:val="27"/>
          <w:szCs w:val="27"/>
        </w:rPr>
        <w:t xml:space="preserve">   </w:t>
      </w:r>
      <w:r>
        <w:rPr>
          <w:rFonts w:ascii="黑体" w:hAnsi="黑体" w:eastAsia="黑体" w:cs="黑体"/>
          <w:spacing w:val="4"/>
          <w:position w:val="1"/>
          <w:sz w:val="27"/>
          <w:szCs w:val="27"/>
        </w:rPr>
        <w:t>产品人机工程设计特性说明</w:t>
      </w:r>
    </w:p>
    <w:p w14:paraId="648286AC">
      <w:pPr>
        <w:spacing w:before="93" w:line="222" w:lineRule="auto"/>
        <w:rPr>
          <w:rFonts w:ascii="黑体" w:hAnsi="黑体" w:eastAsia="黑体" w:cs="黑体"/>
          <w:sz w:val="27"/>
          <w:szCs w:val="27"/>
        </w:rPr>
      </w:pPr>
      <w:r>
        <w:rPr>
          <w:rFonts w:ascii="黑体" w:hAnsi="黑体" w:eastAsia="黑体" w:cs="黑体"/>
          <w:sz w:val="27"/>
          <w:szCs w:val="27"/>
        </w:rPr>
        <w:t>5.1</w:t>
      </w:r>
      <w:r>
        <w:rPr>
          <w:rFonts w:ascii="黑体" w:hAnsi="黑体" w:eastAsia="黑体" w:cs="黑体"/>
          <w:spacing w:val="30"/>
          <w:sz w:val="27"/>
          <w:szCs w:val="27"/>
        </w:rPr>
        <w:t xml:space="preserve">  </w:t>
      </w:r>
      <w:r>
        <w:rPr>
          <w:rFonts w:ascii="黑体" w:hAnsi="黑体" w:eastAsia="黑体" w:cs="黑体"/>
          <w:sz w:val="27"/>
          <w:szCs w:val="27"/>
        </w:rPr>
        <w:t>位置与布局</w:t>
      </w:r>
    </w:p>
    <w:p w14:paraId="3C45544F">
      <w:pPr>
        <w:pStyle w:val="2"/>
        <w:spacing w:before="85" w:line="293" w:lineRule="auto"/>
        <w:ind w:right="1275" w:firstLine="560"/>
        <w:rPr>
          <w:rFonts w:ascii="黑体" w:hAnsi="黑体" w:eastAsia="黑体" w:cs="黑体"/>
          <w:sz w:val="24"/>
          <w:szCs w:val="24"/>
        </w:rPr>
      </w:pPr>
      <w:r>
        <w:t>描述系统设备的位置与布局等设计特性，并说</w:t>
      </w:r>
      <w:r>
        <w:rPr>
          <w:spacing w:val="-1"/>
        </w:rPr>
        <w:t>明其设计考虑。</w:t>
      </w:r>
      <w:r>
        <w:t xml:space="preserve"> </w:t>
      </w:r>
      <w:r>
        <w:rPr>
          <w:rFonts w:ascii="黑体" w:hAnsi="黑体" w:eastAsia="黑体" w:cs="黑体"/>
          <w:spacing w:val="26"/>
          <w:sz w:val="24"/>
          <w:szCs w:val="24"/>
        </w:rPr>
        <w:t>5.2</w:t>
      </w:r>
      <w:r>
        <w:rPr>
          <w:rFonts w:ascii="黑体" w:hAnsi="黑体" w:eastAsia="黑体" w:cs="黑体"/>
          <w:spacing w:val="43"/>
          <w:sz w:val="24"/>
          <w:szCs w:val="24"/>
        </w:rPr>
        <w:t xml:space="preserve">  </w:t>
      </w:r>
      <w:r>
        <w:rPr>
          <w:rFonts w:ascii="黑体" w:hAnsi="黑体" w:eastAsia="黑体" w:cs="黑体"/>
          <w:spacing w:val="26"/>
          <w:sz w:val="24"/>
          <w:szCs w:val="24"/>
        </w:rPr>
        <w:t>人机工程设计</w:t>
      </w:r>
    </w:p>
    <w:p w14:paraId="6749476D">
      <w:pPr>
        <w:pStyle w:val="2"/>
        <w:spacing w:before="1" w:line="218" w:lineRule="auto"/>
        <w:ind w:left="560"/>
      </w:pPr>
      <w:r>
        <w:rPr>
          <w:spacing w:val="-3"/>
        </w:rPr>
        <w:t>描述设备的人机工程设计，并说明其设计考虑。</w:t>
      </w:r>
    </w:p>
    <w:p w14:paraId="3FBDF62F">
      <w:pPr>
        <w:spacing w:before="92" w:line="223" w:lineRule="auto"/>
        <w:rPr>
          <w:rFonts w:ascii="黑体" w:hAnsi="黑体" w:eastAsia="黑体" w:cs="黑体"/>
          <w:sz w:val="27"/>
          <w:szCs w:val="27"/>
        </w:rPr>
      </w:pPr>
      <w:r>
        <w:rPr>
          <w:rFonts w:ascii="黑体" w:hAnsi="黑体" w:eastAsia="黑体" w:cs="黑体"/>
          <w:spacing w:val="3"/>
          <w:sz w:val="27"/>
          <w:szCs w:val="27"/>
        </w:rPr>
        <w:t>5.3</w:t>
      </w:r>
      <w:r>
        <w:rPr>
          <w:rFonts w:ascii="黑体" w:hAnsi="黑体" w:eastAsia="黑体" w:cs="黑体"/>
          <w:spacing w:val="15"/>
          <w:sz w:val="27"/>
          <w:szCs w:val="27"/>
        </w:rPr>
        <w:t xml:space="preserve">  </w:t>
      </w:r>
      <w:r>
        <w:rPr>
          <w:rFonts w:ascii="黑体" w:hAnsi="黑体" w:eastAsia="黑体" w:cs="黑体"/>
          <w:spacing w:val="3"/>
          <w:sz w:val="27"/>
          <w:szCs w:val="27"/>
        </w:rPr>
        <w:t>产品安装</w:t>
      </w:r>
    </w:p>
    <w:p w14:paraId="13105AA4">
      <w:pPr>
        <w:pStyle w:val="2"/>
        <w:spacing w:before="82" w:line="219" w:lineRule="auto"/>
        <w:ind w:left="560"/>
      </w:pPr>
      <w:r>
        <w:rPr>
          <w:spacing w:val="-2"/>
        </w:rPr>
        <w:t>描述设备的安装方式等设计特性，并说明其设计</w:t>
      </w:r>
      <w:r>
        <w:rPr>
          <w:spacing w:val="-3"/>
        </w:rPr>
        <w:t>考虑。</w:t>
      </w:r>
    </w:p>
    <w:p w14:paraId="254DD567">
      <w:pPr>
        <w:spacing w:before="71" w:line="222" w:lineRule="auto"/>
        <w:rPr>
          <w:rFonts w:ascii="黑体" w:hAnsi="黑体" w:eastAsia="黑体" w:cs="黑体"/>
          <w:sz w:val="27"/>
          <w:szCs w:val="27"/>
        </w:rPr>
      </w:pPr>
      <w:r>
        <w:rPr>
          <w:rFonts w:ascii="黑体" w:hAnsi="黑体" w:eastAsia="黑体" w:cs="黑体"/>
          <w:sz w:val="27"/>
          <w:szCs w:val="27"/>
        </w:rPr>
        <w:t>6</w:t>
      </w:r>
      <w:r>
        <w:rPr>
          <w:rFonts w:ascii="黑体" w:hAnsi="黑体" w:eastAsia="黑体" w:cs="黑体"/>
          <w:spacing w:val="17"/>
          <w:sz w:val="27"/>
          <w:szCs w:val="27"/>
        </w:rPr>
        <w:t xml:space="preserve">  </w:t>
      </w:r>
      <w:r>
        <w:rPr>
          <w:rFonts w:ascii="黑体" w:hAnsi="黑体" w:eastAsia="黑体" w:cs="黑体"/>
          <w:sz w:val="27"/>
          <w:szCs w:val="27"/>
        </w:rPr>
        <w:t>其他信息</w:t>
      </w:r>
    </w:p>
    <w:p w14:paraId="65094A8C">
      <w:pPr>
        <w:spacing w:before="103" w:line="222" w:lineRule="auto"/>
        <w:rPr>
          <w:rFonts w:ascii="黑体" w:hAnsi="黑体" w:eastAsia="黑体" w:cs="黑体"/>
          <w:sz w:val="25"/>
          <w:szCs w:val="25"/>
        </w:rPr>
      </w:pPr>
      <w:r>
        <w:rPr>
          <w:rFonts w:ascii="黑体" w:hAnsi="黑体" w:eastAsia="黑体" w:cs="黑体"/>
          <w:spacing w:val="13"/>
          <w:sz w:val="25"/>
          <w:szCs w:val="25"/>
        </w:rPr>
        <w:t>6.1</w:t>
      </w:r>
      <w:r>
        <w:rPr>
          <w:rFonts w:ascii="黑体" w:hAnsi="黑体" w:eastAsia="黑体" w:cs="黑体"/>
          <w:spacing w:val="43"/>
          <w:sz w:val="25"/>
          <w:szCs w:val="25"/>
        </w:rPr>
        <w:t xml:space="preserve">  </w:t>
      </w:r>
      <w:r>
        <w:rPr>
          <w:rFonts w:ascii="黑体" w:hAnsi="黑体" w:eastAsia="黑体" w:cs="黑体"/>
          <w:spacing w:val="13"/>
          <w:sz w:val="25"/>
          <w:szCs w:val="25"/>
        </w:rPr>
        <w:t>维修要求</w:t>
      </w:r>
    </w:p>
    <w:p w14:paraId="6AA7CCD5">
      <w:pPr>
        <w:pStyle w:val="2"/>
        <w:spacing w:before="102" w:line="219" w:lineRule="auto"/>
        <w:ind w:left="560"/>
      </w:pPr>
      <w:r>
        <w:rPr>
          <w:spacing w:val="3"/>
        </w:rPr>
        <w:t>说明设备的维修要求。</w:t>
      </w:r>
    </w:p>
    <w:p w14:paraId="4D4034D5">
      <w:pPr>
        <w:spacing w:before="68" w:line="222" w:lineRule="auto"/>
        <w:rPr>
          <w:rFonts w:ascii="黑体" w:hAnsi="黑体" w:eastAsia="黑体" w:cs="黑体"/>
          <w:sz w:val="27"/>
          <w:szCs w:val="27"/>
        </w:rPr>
      </w:pPr>
      <w:r>
        <w:rPr>
          <w:rFonts w:ascii="黑体" w:hAnsi="黑体" w:eastAsia="黑体" w:cs="黑体"/>
          <w:spacing w:val="3"/>
          <w:sz w:val="27"/>
          <w:szCs w:val="27"/>
        </w:rPr>
        <w:t>6.2</w:t>
      </w:r>
      <w:r>
        <w:rPr>
          <w:rFonts w:ascii="黑体" w:hAnsi="黑体" w:eastAsia="黑体" w:cs="黑体"/>
          <w:spacing w:val="17"/>
          <w:sz w:val="27"/>
          <w:szCs w:val="27"/>
        </w:rPr>
        <w:t xml:space="preserve">  </w:t>
      </w:r>
      <w:r>
        <w:rPr>
          <w:rFonts w:ascii="黑体" w:hAnsi="黑体" w:eastAsia="黑体" w:cs="黑体"/>
          <w:spacing w:val="3"/>
          <w:sz w:val="27"/>
          <w:szCs w:val="27"/>
        </w:rPr>
        <w:t>维修者要求</w:t>
      </w:r>
    </w:p>
    <w:p w14:paraId="11246F5C">
      <w:pPr>
        <w:pStyle w:val="2"/>
        <w:spacing w:before="97" w:line="219" w:lineRule="auto"/>
        <w:ind w:left="560"/>
      </w:pPr>
      <w:r>
        <w:rPr>
          <w:spacing w:val="3"/>
        </w:rPr>
        <w:t>说明对维修者的要求。</w:t>
      </w:r>
    </w:p>
    <w:p w14:paraId="1D36C74C">
      <w:pPr>
        <w:spacing w:before="87" w:line="221" w:lineRule="auto"/>
        <w:rPr>
          <w:rFonts w:ascii="黑体" w:hAnsi="黑体" w:eastAsia="黑体" w:cs="黑体"/>
          <w:sz w:val="27"/>
          <w:szCs w:val="27"/>
        </w:rPr>
      </w:pPr>
      <w:r>
        <w:rPr>
          <w:rFonts w:ascii="黑体" w:hAnsi="黑体" w:eastAsia="黑体" w:cs="黑体"/>
          <w:spacing w:val="2"/>
          <w:sz w:val="27"/>
          <w:szCs w:val="27"/>
        </w:rPr>
        <w:t>6.3</w:t>
      </w:r>
      <w:r>
        <w:rPr>
          <w:rFonts w:ascii="黑体" w:hAnsi="黑体" w:eastAsia="黑体" w:cs="黑体"/>
          <w:spacing w:val="17"/>
          <w:sz w:val="27"/>
          <w:szCs w:val="27"/>
        </w:rPr>
        <w:t xml:space="preserve">  </w:t>
      </w:r>
      <w:r>
        <w:rPr>
          <w:rFonts w:ascii="黑体" w:hAnsi="黑体" w:eastAsia="黑体" w:cs="黑体"/>
          <w:spacing w:val="2"/>
          <w:sz w:val="27"/>
          <w:szCs w:val="27"/>
        </w:rPr>
        <w:t>任务要求</w:t>
      </w:r>
    </w:p>
    <w:p w14:paraId="51037CD4">
      <w:pPr>
        <w:pStyle w:val="2"/>
        <w:spacing w:before="89" w:line="219" w:lineRule="auto"/>
        <w:ind w:left="560"/>
      </w:pPr>
      <w:r>
        <w:rPr>
          <w:spacing w:val="3"/>
        </w:rPr>
        <w:t>说明设备的任务要求。</w:t>
      </w:r>
    </w:p>
    <w:p w14:paraId="52AD1125">
      <w:pPr>
        <w:spacing w:before="78" w:line="222" w:lineRule="auto"/>
        <w:rPr>
          <w:rFonts w:ascii="黑体" w:hAnsi="黑体" w:eastAsia="黑体" w:cs="黑体"/>
          <w:sz w:val="27"/>
          <w:szCs w:val="27"/>
        </w:rPr>
      </w:pPr>
      <w:r>
        <w:rPr>
          <w:rFonts w:ascii="黑体" w:hAnsi="黑体" w:eastAsia="黑体" w:cs="黑体"/>
          <w:spacing w:val="1"/>
          <w:sz w:val="27"/>
          <w:szCs w:val="27"/>
        </w:rPr>
        <w:t>6.4</w:t>
      </w:r>
      <w:r>
        <w:rPr>
          <w:rFonts w:ascii="黑体" w:hAnsi="黑体" w:eastAsia="黑体" w:cs="黑体"/>
          <w:spacing w:val="19"/>
          <w:sz w:val="27"/>
          <w:szCs w:val="27"/>
        </w:rPr>
        <w:t xml:space="preserve">  </w:t>
      </w:r>
      <w:r>
        <w:rPr>
          <w:rFonts w:ascii="黑体" w:hAnsi="黑体" w:eastAsia="黑体" w:cs="黑体"/>
          <w:spacing w:val="1"/>
          <w:sz w:val="27"/>
          <w:szCs w:val="27"/>
        </w:rPr>
        <w:t>环境考虑</w:t>
      </w:r>
    </w:p>
    <w:p w14:paraId="170E9BC3">
      <w:pPr>
        <w:pStyle w:val="2"/>
        <w:spacing w:before="125" w:line="219" w:lineRule="auto"/>
        <w:ind w:left="560"/>
        <w:rPr>
          <w:sz w:val="24"/>
          <w:szCs w:val="24"/>
        </w:rPr>
      </w:pPr>
      <w:r>
        <w:rPr>
          <w:spacing w:val="31"/>
          <w:sz w:val="24"/>
          <w:szCs w:val="24"/>
        </w:rPr>
        <w:t>说明设备的环境考虑。</w:t>
      </w:r>
    </w:p>
    <w:p w14:paraId="15FDEFC0">
      <w:pPr>
        <w:spacing w:before="88" w:line="223" w:lineRule="auto"/>
        <w:rPr>
          <w:rFonts w:ascii="黑体" w:hAnsi="黑体" w:eastAsia="黑体" w:cs="黑体"/>
          <w:sz w:val="27"/>
          <w:szCs w:val="27"/>
        </w:rPr>
      </w:pPr>
      <w:r>
        <w:rPr>
          <w:rFonts w:ascii="黑体" w:hAnsi="黑体" w:eastAsia="黑体" w:cs="黑体"/>
          <w:spacing w:val="2"/>
          <w:sz w:val="27"/>
          <w:szCs w:val="27"/>
        </w:rPr>
        <w:t>6.5</w:t>
      </w:r>
      <w:r>
        <w:rPr>
          <w:rFonts w:ascii="黑体" w:hAnsi="黑体" w:eastAsia="黑体" w:cs="黑体"/>
          <w:spacing w:val="19"/>
          <w:sz w:val="27"/>
          <w:szCs w:val="27"/>
        </w:rPr>
        <w:t xml:space="preserve">  </w:t>
      </w:r>
      <w:r>
        <w:rPr>
          <w:rFonts w:ascii="黑体" w:hAnsi="黑体" w:eastAsia="黑体" w:cs="黑体"/>
          <w:spacing w:val="2"/>
          <w:sz w:val="27"/>
          <w:szCs w:val="27"/>
        </w:rPr>
        <w:t>安全性和限制</w:t>
      </w:r>
    </w:p>
    <w:p w14:paraId="2472E96B">
      <w:pPr>
        <w:pStyle w:val="2"/>
        <w:spacing w:before="102" w:line="219" w:lineRule="auto"/>
        <w:ind w:left="560"/>
        <w:rPr>
          <w:sz w:val="24"/>
          <w:szCs w:val="24"/>
        </w:rPr>
      </w:pPr>
      <w:r>
        <w:rPr>
          <w:spacing w:val="32"/>
          <w:sz w:val="24"/>
          <w:szCs w:val="24"/>
        </w:rPr>
        <w:t>说明设备的安全性和限制要求。</w:t>
      </w:r>
    </w:p>
    <w:p w14:paraId="59AE3EE9">
      <w:pPr>
        <w:spacing w:line="219" w:lineRule="auto"/>
        <w:rPr>
          <w:sz w:val="24"/>
          <w:szCs w:val="24"/>
        </w:rPr>
        <w:sectPr>
          <w:footerReference r:id="rId649" w:type="default"/>
          <w:pgSz w:w="11910" w:h="17130"/>
          <w:pgMar w:top="1456" w:right="1079" w:bottom="1503" w:left="1710" w:header="0" w:footer="1305" w:gutter="0"/>
          <w:cols w:space="720" w:num="1"/>
        </w:sectPr>
      </w:pPr>
    </w:p>
    <w:p w14:paraId="0E1FE9DF">
      <w:pPr>
        <w:spacing w:before="178" w:line="222" w:lineRule="auto"/>
        <w:rPr>
          <w:rFonts w:ascii="黑体" w:hAnsi="黑体" w:eastAsia="黑体" w:cs="黑体"/>
          <w:sz w:val="24"/>
          <w:szCs w:val="24"/>
        </w:rPr>
      </w:pPr>
      <w:r>
        <w:rPr>
          <w:rFonts w:ascii="黑体" w:hAnsi="黑体" w:eastAsia="黑体" w:cs="黑体"/>
          <w:spacing w:val="22"/>
          <w:sz w:val="24"/>
          <w:szCs w:val="24"/>
        </w:rPr>
        <w:t>6.6</w:t>
      </w:r>
      <w:r>
        <w:rPr>
          <w:rFonts w:ascii="黑体" w:hAnsi="黑体" w:eastAsia="黑体" w:cs="黑体"/>
          <w:sz w:val="24"/>
          <w:szCs w:val="24"/>
        </w:rPr>
        <w:t xml:space="preserve">   </w:t>
      </w:r>
      <w:r>
        <w:rPr>
          <w:rFonts w:ascii="黑体" w:hAnsi="黑体" w:eastAsia="黑体" w:cs="黑体"/>
          <w:b/>
          <w:bCs/>
          <w:spacing w:val="22"/>
          <w:sz w:val="24"/>
          <w:szCs w:val="24"/>
        </w:rPr>
        <w:t>特殊工具和设备目录</w:t>
      </w:r>
    </w:p>
    <w:p w14:paraId="12E7887E">
      <w:pPr>
        <w:pStyle w:val="2"/>
        <w:spacing w:before="107" w:line="219" w:lineRule="auto"/>
        <w:ind w:left="560"/>
      </w:pPr>
      <w:r>
        <w:rPr>
          <w:spacing w:val="4"/>
        </w:rPr>
        <w:t>说明设备维修所需的特殊工具和设备目录。</w:t>
      </w:r>
    </w:p>
    <w:p w14:paraId="362AB89E">
      <w:pPr>
        <w:spacing w:before="83" w:line="221" w:lineRule="auto"/>
        <w:rPr>
          <w:rFonts w:ascii="黑体" w:hAnsi="黑体" w:eastAsia="黑体" w:cs="黑体"/>
          <w:sz w:val="27"/>
          <w:szCs w:val="27"/>
        </w:rPr>
      </w:pPr>
      <w:r>
        <w:rPr>
          <w:rFonts w:ascii="黑体" w:hAnsi="黑体" w:eastAsia="黑体" w:cs="黑体"/>
          <w:spacing w:val="-2"/>
          <w:sz w:val="27"/>
          <w:szCs w:val="27"/>
        </w:rPr>
        <w:t xml:space="preserve">6.7  </w:t>
      </w:r>
      <w:r>
        <w:rPr>
          <w:rFonts w:ascii="黑体" w:hAnsi="黑体" w:eastAsia="黑体" w:cs="黑体"/>
          <w:b/>
          <w:bCs/>
          <w:spacing w:val="-2"/>
          <w:sz w:val="27"/>
          <w:szCs w:val="27"/>
        </w:rPr>
        <w:t>保障设备布局、设计和安装任务的分析结果</w:t>
      </w:r>
    </w:p>
    <w:p w14:paraId="12D6FA83">
      <w:pPr>
        <w:pStyle w:val="2"/>
        <w:spacing w:before="71" w:line="219" w:lineRule="auto"/>
        <w:ind w:left="560"/>
      </w:pPr>
      <w:r>
        <w:rPr>
          <w:spacing w:val="-3"/>
        </w:rPr>
        <w:t>说明对保障设备布局、设计和安装任务的分析结果。</w:t>
      </w:r>
    </w:p>
    <w:p w14:paraId="2E869403">
      <w:pPr>
        <w:pStyle w:val="2"/>
        <w:spacing w:before="95" w:line="222" w:lineRule="auto"/>
        <w:ind w:left="3"/>
        <w:outlineLvl w:val="3"/>
        <w:rPr>
          <w:rFonts w:ascii="黑体" w:hAnsi="黑体" w:eastAsia="黑体" w:cs="黑体"/>
        </w:rPr>
      </w:pPr>
      <w:r>
        <w:rPr>
          <w:b/>
          <w:bCs/>
        </w:rPr>
        <w:t>6.8</w:t>
      </w:r>
      <w:r>
        <w:rPr>
          <w:spacing w:val="23"/>
        </w:rPr>
        <w:t xml:space="preserve">  </w:t>
      </w:r>
      <w:r>
        <w:rPr>
          <w:b/>
          <w:bCs/>
        </w:rPr>
        <w:t>与</w:t>
      </w:r>
      <w:r>
        <w:rPr>
          <w:rFonts w:ascii="Times New Roman" w:hAnsi="Times New Roman" w:eastAsia="Times New Roman" w:cs="Times New Roman"/>
          <w:b/>
          <w:bCs/>
        </w:rPr>
        <w:t>GJB</w:t>
      </w:r>
      <w:r>
        <w:rPr>
          <w:rFonts w:ascii="Times New Roman" w:hAnsi="Times New Roman" w:eastAsia="Times New Roman" w:cs="Times New Roman"/>
          <w:b/>
          <w:bCs/>
          <w:spacing w:val="63"/>
          <w:w w:val="101"/>
        </w:rPr>
        <w:t xml:space="preserve"> </w:t>
      </w:r>
      <w:r>
        <w:rPr>
          <w:rFonts w:ascii="Times New Roman" w:hAnsi="Times New Roman" w:eastAsia="Times New Roman" w:cs="Times New Roman"/>
          <w:b/>
          <w:bCs/>
        </w:rPr>
        <w:t xml:space="preserve">2873—1997 </w:t>
      </w:r>
      <w:r>
        <w:rPr>
          <w:rFonts w:ascii="黑体" w:hAnsi="黑体" w:eastAsia="黑体" w:cs="黑体"/>
          <w:b/>
          <w:bCs/>
        </w:rPr>
        <w:t>的偏离</w:t>
      </w:r>
      <w:r>
        <w:rPr>
          <w:rFonts w:ascii="黑体" w:hAnsi="黑体" w:eastAsia="黑体" w:cs="黑体"/>
          <w:b/>
          <w:bCs/>
          <w:spacing w:val="-1"/>
        </w:rPr>
        <w:t>的理论依据</w:t>
      </w:r>
    </w:p>
    <w:p w14:paraId="175D0EE0">
      <w:pPr>
        <w:pStyle w:val="2"/>
        <w:spacing w:before="90" w:line="219" w:lineRule="auto"/>
        <w:ind w:left="560"/>
      </w:pPr>
      <w:r>
        <w:rPr>
          <w:spacing w:val="4"/>
        </w:rPr>
        <w:t>对任何需要偏离</w:t>
      </w:r>
      <w:r>
        <w:rPr>
          <w:spacing w:val="-75"/>
        </w:rPr>
        <w:t xml:space="preserve"> </w:t>
      </w:r>
      <w:r>
        <w:rPr>
          <w:rFonts w:ascii="Times New Roman" w:hAnsi="Times New Roman" w:eastAsia="Times New Roman" w:cs="Times New Roman"/>
        </w:rPr>
        <w:t>GJB</w:t>
      </w:r>
      <w:r>
        <w:rPr>
          <w:rFonts w:ascii="Times New Roman" w:hAnsi="Times New Roman" w:eastAsia="Times New Roman" w:cs="Times New Roman"/>
          <w:spacing w:val="21"/>
        </w:rPr>
        <w:t xml:space="preserve">  </w:t>
      </w:r>
      <w:r>
        <w:rPr>
          <w:rFonts w:ascii="Times New Roman" w:hAnsi="Times New Roman" w:eastAsia="Times New Roman" w:cs="Times New Roman"/>
          <w:spacing w:val="4"/>
        </w:rPr>
        <w:t>2873—1997</w:t>
      </w:r>
      <w:r>
        <w:rPr>
          <w:spacing w:val="4"/>
        </w:rPr>
        <w:t>的内容提供理论依据的说明。</w:t>
      </w:r>
    </w:p>
    <w:p w14:paraId="2A016719">
      <w:pPr>
        <w:spacing w:before="66" w:line="222" w:lineRule="auto"/>
        <w:outlineLvl w:val="3"/>
        <w:rPr>
          <w:rFonts w:ascii="黑体" w:hAnsi="黑体" w:eastAsia="黑体" w:cs="黑体"/>
          <w:sz w:val="27"/>
          <w:szCs w:val="27"/>
        </w:rPr>
      </w:pPr>
      <w:r>
        <w:rPr>
          <w:rFonts w:ascii="Arial" w:hAnsi="Arial" w:eastAsia="Arial" w:cs="Arial"/>
          <w:b/>
          <w:bCs/>
          <w:spacing w:val="-13"/>
          <w:sz w:val="27"/>
          <w:szCs w:val="27"/>
        </w:rPr>
        <w:t>6.9</w:t>
      </w:r>
      <w:r>
        <w:rPr>
          <w:rFonts w:ascii="Arial" w:hAnsi="Arial" w:eastAsia="Arial" w:cs="Arial"/>
          <w:b/>
          <w:bCs/>
          <w:spacing w:val="14"/>
          <w:sz w:val="27"/>
          <w:szCs w:val="27"/>
        </w:rPr>
        <w:t xml:space="preserve">    </w:t>
      </w:r>
      <w:r>
        <w:rPr>
          <w:rFonts w:ascii="黑体" w:hAnsi="黑体" w:eastAsia="黑体" w:cs="黑体"/>
          <w:b/>
          <w:bCs/>
          <w:spacing w:val="-13"/>
          <w:sz w:val="27"/>
          <w:szCs w:val="27"/>
        </w:rPr>
        <w:t>草图、图样或照片</w:t>
      </w:r>
    </w:p>
    <w:p w14:paraId="2C89FFC5">
      <w:pPr>
        <w:pStyle w:val="2"/>
        <w:spacing w:before="89" w:line="219" w:lineRule="auto"/>
        <w:ind w:left="560"/>
      </w:pPr>
      <w:r>
        <w:rPr>
          <w:spacing w:val="-7"/>
        </w:rPr>
        <w:t>提供设备草图、图样或照片。</w:t>
      </w:r>
    </w:p>
    <w:p w14:paraId="10C754A5">
      <w:pPr>
        <w:spacing w:before="84" w:line="219" w:lineRule="auto"/>
        <w:rPr>
          <w:rFonts w:ascii="黑体" w:hAnsi="黑体" w:eastAsia="黑体" w:cs="黑体"/>
          <w:sz w:val="27"/>
          <w:szCs w:val="27"/>
        </w:rPr>
      </w:pPr>
      <w:r>
        <w:rPr>
          <w:rFonts w:ascii="黑体" w:hAnsi="黑体" w:eastAsia="黑体" w:cs="黑体"/>
          <w:sz w:val="27"/>
          <w:szCs w:val="27"/>
        </w:rPr>
        <w:t>6.10</w:t>
      </w:r>
      <w:r>
        <w:rPr>
          <w:rFonts w:ascii="黑体" w:hAnsi="黑体" w:eastAsia="黑体" w:cs="黑体"/>
          <w:spacing w:val="27"/>
          <w:sz w:val="27"/>
          <w:szCs w:val="27"/>
        </w:rPr>
        <w:t xml:space="preserve">  </w:t>
      </w:r>
      <w:r>
        <w:rPr>
          <w:rFonts w:ascii="黑体" w:hAnsi="黑体" w:eastAsia="黑体" w:cs="黑体"/>
          <w:b/>
          <w:bCs/>
          <w:sz w:val="27"/>
          <w:szCs w:val="27"/>
        </w:rPr>
        <w:t>基线设计选择方案</w:t>
      </w:r>
    </w:p>
    <w:p w14:paraId="33BAA76B">
      <w:pPr>
        <w:pStyle w:val="2"/>
        <w:spacing w:before="97" w:line="219" w:lineRule="auto"/>
        <w:ind w:left="560"/>
      </w:pPr>
      <w:r>
        <w:rPr>
          <w:spacing w:val="2"/>
        </w:rPr>
        <w:t>对基线设计选择方案进行说明。</w:t>
      </w:r>
    </w:p>
    <w:p w14:paraId="48E22D2C">
      <w:pPr>
        <w:spacing w:line="306" w:lineRule="auto"/>
        <w:rPr>
          <w:rFonts w:ascii="Arial"/>
          <w:sz w:val="21"/>
        </w:rPr>
      </w:pPr>
    </w:p>
    <w:p w14:paraId="5F2D6846">
      <w:pPr>
        <w:pStyle w:val="2"/>
        <w:spacing w:before="117" w:line="218" w:lineRule="auto"/>
        <w:ind w:left="2619"/>
        <w:rPr>
          <w:sz w:val="36"/>
          <w:szCs w:val="36"/>
        </w:rPr>
      </w:pPr>
      <w:r>
        <w:rPr>
          <w:spacing w:val="-3"/>
          <w:sz w:val="36"/>
          <w:szCs w:val="36"/>
        </w:rPr>
        <w:t>14.</w:t>
      </w:r>
      <w:r>
        <w:rPr>
          <w:b/>
          <w:bCs/>
          <w:spacing w:val="-3"/>
          <w:sz w:val="36"/>
          <w:szCs w:val="36"/>
        </w:rPr>
        <w:t>10</w:t>
      </w:r>
      <w:r>
        <w:rPr>
          <w:spacing w:val="35"/>
          <w:sz w:val="36"/>
          <w:szCs w:val="36"/>
        </w:rPr>
        <w:t xml:space="preserve">  </w:t>
      </w:r>
      <w:r>
        <w:rPr>
          <w:b/>
          <w:bCs/>
          <w:spacing w:val="-3"/>
          <w:sz w:val="36"/>
          <w:szCs w:val="36"/>
        </w:rPr>
        <w:t>人机工程试验报告</w:t>
      </w:r>
    </w:p>
    <w:p w14:paraId="1FBC293F">
      <w:pPr>
        <w:spacing w:line="394" w:lineRule="auto"/>
        <w:rPr>
          <w:rFonts w:ascii="Arial"/>
          <w:sz w:val="21"/>
        </w:rPr>
      </w:pPr>
    </w:p>
    <w:p w14:paraId="57E6675B">
      <w:pPr>
        <w:pStyle w:val="2"/>
        <w:spacing w:before="79" w:line="225" w:lineRule="auto"/>
        <w:ind w:left="560"/>
        <w:rPr>
          <w:rFonts w:ascii="楷体" w:hAnsi="楷体" w:eastAsia="楷体" w:cs="楷体"/>
          <w:sz w:val="24"/>
          <w:szCs w:val="24"/>
        </w:rPr>
      </w:pPr>
      <w:r>
        <w:rPr>
          <w:rFonts w:ascii="楷体" w:hAnsi="楷体" w:eastAsia="楷体" w:cs="楷体"/>
          <w:spacing w:val="8"/>
          <w:sz w:val="24"/>
          <w:szCs w:val="24"/>
        </w:rPr>
        <w:t>按 照</w:t>
      </w:r>
      <w:r>
        <w:rPr>
          <w:rFonts w:ascii="Times New Roman" w:hAnsi="Times New Roman" w:eastAsia="Times New Roman" w:cs="Times New Roman"/>
          <w:sz w:val="24"/>
          <w:szCs w:val="24"/>
        </w:rPr>
        <w:t>GJB</w:t>
      </w:r>
      <w:r>
        <w:rPr>
          <w:rFonts w:ascii="Times New Roman" w:hAnsi="Times New Roman" w:eastAsia="Times New Roman" w:cs="Times New Roman"/>
          <w:spacing w:val="8"/>
          <w:sz w:val="24"/>
          <w:szCs w:val="24"/>
        </w:rPr>
        <w:t>/Z      134—2002</w:t>
      </w:r>
      <w:r>
        <w:rPr>
          <w:spacing w:val="8"/>
          <w:sz w:val="24"/>
          <w:szCs w:val="24"/>
        </w:rPr>
        <w:t>《</w:t>
      </w:r>
      <w:r>
        <w:rPr>
          <w:rFonts w:ascii="楷体" w:hAnsi="楷体" w:eastAsia="楷体" w:cs="楷体"/>
          <w:spacing w:val="8"/>
          <w:sz w:val="24"/>
          <w:szCs w:val="24"/>
        </w:rPr>
        <w:t>人机工程实施程序指南》编写。</w:t>
      </w:r>
    </w:p>
    <w:p w14:paraId="26C32DCF">
      <w:pPr>
        <w:spacing w:before="115" w:line="221" w:lineRule="auto"/>
        <w:rPr>
          <w:rFonts w:ascii="黑体" w:hAnsi="黑体" w:eastAsia="黑体" w:cs="黑体"/>
          <w:sz w:val="25"/>
          <w:szCs w:val="25"/>
        </w:rPr>
      </w:pPr>
      <w:r>
        <w:rPr>
          <w:rFonts w:ascii="黑体" w:hAnsi="黑体" w:eastAsia="黑体" w:cs="黑体"/>
          <w:spacing w:val="13"/>
          <w:sz w:val="25"/>
          <w:szCs w:val="25"/>
        </w:rPr>
        <w:t>1</w:t>
      </w:r>
      <w:r>
        <w:rPr>
          <w:rFonts w:ascii="黑体" w:hAnsi="黑体" w:eastAsia="黑体" w:cs="黑体"/>
          <w:spacing w:val="52"/>
          <w:sz w:val="25"/>
          <w:szCs w:val="25"/>
        </w:rPr>
        <w:t xml:space="preserve">  </w:t>
      </w:r>
      <w:r>
        <w:rPr>
          <w:rFonts w:ascii="黑体" w:hAnsi="黑体" w:eastAsia="黑体" w:cs="黑体"/>
          <w:b/>
          <w:bCs/>
          <w:spacing w:val="13"/>
          <w:sz w:val="25"/>
          <w:szCs w:val="25"/>
        </w:rPr>
        <w:t>试验概况</w:t>
      </w:r>
    </w:p>
    <w:p w14:paraId="15FBA5A5">
      <w:pPr>
        <w:pStyle w:val="2"/>
        <w:spacing w:before="97" w:line="277" w:lineRule="auto"/>
        <w:ind w:right="104" w:firstLine="560"/>
      </w:pPr>
      <w:r>
        <w:rPr>
          <w:spacing w:val="-11"/>
        </w:rPr>
        <w:t>客观描述人机工程试验概况，包括试验时间、试验地点、试验单位和人员、试</w:t>
      </w:r>
      <w:r>
        <w:rPr>
          <w:spacing w:val="13"/>
        </w:rPr>
        <w:t xml:space="preserve"> </w:t>
      </w:r>
      <w:r>
        <w:rPr>
          <w:spacing w:val="-13"/>
        </w:rPr>
        <w:t>验经过、试验结果。</w:t>
      </w:r>
    </w:p>
    <w:p w14:paraId="47591F87">
      <w:pPr>
        <w:spacing w:before="4" w:line="221" w:lineRule="auto"/>
        <w:rPr>
          <w:rFonts w:ascii="黑体" w:hAnsi="黑体" w:eastAsia="黑体" w:cs="黑体"/>
          <w:sz w:val="27"/>
          <w:szCs w:val="27"/>
        </w:rPr>
      </w:pPr>
      <w:r>
        <w:rPr>
          <w:rFonts w:ascii="Arial" w:hAnsi="Arial" w:eastAsia="Arial" w:cs="Arial"/>
          <w:b/>
          <w:bCs/>
          <w:spacing w:val="-11"/>
          <w:sz w:val="27"/>
          <w:szCs w:val="27"/>
        </w:rPr>
        <w:t>2</w:t>
      </w:r>
      <w:r>
        <w:rPr>
          <w:rFonts w:ascii="Arial" w:hAnsi="Arial" w:eastAsia="Arial" w:cs="Arial"/>
          <w:b/>
          <w:bCs/>
          <w:spacing w:val="24"/>
          <w:w w:val="101"/>
          <w:sz w:val="27"/>
          <w:szCs w:val="27"/>
        </w:rPr>
        <w:t xml:space="preserve">   </w:t>
      </w:r>
      <w:r>
        <w:rPr>
          <w:rFonts w:ascii="黑体" w:hAnsi="黑体" w:eastAsia="黑体" w:cs="黑体"/>
          <w:b/>
          <w:bCs/>
          <w:spacing w:val="-11"/>
          <w:sz w:val="27"/>
          <w:szCs w:val="27"/>
        </w:rPr>
        <w:t>试验项目、步骤和方法</w:t>
      </w:r>
    </w:p>
    <w:p w14:paraId="7049CB5A">
      <w:pPr>
        <w:spacing w:before="64" w:line="212" w:lineRule="auto"/>
        <w:rPr>
          <w:rFonts w:ascii="黑体" w:hAnsi="黑体" w:eastAsia="黑体" w:cs="黑体"/>
          <w:sz w:val="27"/>
          <w:szCs w:val="27"/>
        </w:rPr>
      </w:pPr>
      <w:r>
        <w:rPr>
          <w:rFonts w:ascii="Arial" w:hAnsi="Arial" w:eastAsia="Arial" w:cs="Arial"/>
          <w:spacing w:val="5"/>
          <w:sz w:val="27"/>
          <w:szCs w:val="27"/>
        </w:rPr>
        <w:t>2.</w:t>
      </w:r>
      <w:r>
        <w:rPr>
          <w:rFonts w:ascii="Arial" w:hAnsi="Arial" w:eastAsia="Arial" w:cs="Arial"/>
          <w:spacing w:val="-22"/>
          <w:sz w:val="27"/>
          <w:szCs w:val="27"/>
        </w:rPr>
        <w:t xml:space="preserve"> </w:t>
      </w:r>
      <w:r>
        <w:rPr>
          <w:rFonts w:ascii="Arial" w:hAnsi="Arial" w:eastAsia="Arial" w:cs="Arial"/>
          <w:spacing w:val="5"/>
          <w:sz w:val="27"/>
          <w:szCs w:val="27"/>
        </w:rPr>
        <w:t xml:space="preserve">X    </w:t>
      </w:r>
      <w:r>
        <w:rPr>
          <w:rFonts w:ascii="黑体" w:hAnsi="黑体" w:eastAsia="黑体" w:cs="黑体"/>
          <w:b/>
          <w:bCs/>
          <w:spacing w:val="5"/>
          <w:sz w:val="27"/>
          <w:szCs w:val="27"/>
        </w:rPr>
        <w:t>(试验项目</w:t>
      </w:r>
      <w:r>
        <w:rPr>
          <w:rFonts w:ascii="Arial" w:hAnsi="Arial" w:eastAsia="Arial" w:cs="Arial"/>
          <w:b/>
          <w:bCs/>
          <w:spacing w:val="5"/>
          <w:sz w:val="27"/>
          <w:szCs w:val="27"/>
        </w:rPr>
        <w:t>X)</w:t>
      </w:r>
      <w:r>
        <w:rPr>
          <w:rFonts w:ascii="Arial" w:hAnsi="Arial" w:eastAsia="Arial" w:cs="Arial"/>
          <w:b/>
          <w:bCs/>
          <w:spacing w:val="-11"/>
          <w:sz w:val="27"/>
          <w:szCs w:val="27"/>
        </w:rPr>
        <w:t xml:space="preserve"> </w:t>
      </w:r>
      <w:r>
        <w:rPr>
          <w:rFonts w:ascii="黑体" w:hAnsi="黑体" w:eastAsia="黑体" w:cs="黑体"/>
          <w:b/>
          <w:bCs/>
          <w:spacing w:val="5"/>
          <w:sz w:val="27"/>
          <w:szCs w:val="27"/>
        </w:rPr>
        <w:t>的步骤和方法</w:t>
      </w:r>
    </w:p>
    <w:p w14:paraId="033CCE17">
      <w:pPr>
        <w:pStyle w:val="2"/>
        <w:spacing w:before="78" w:line="212" w:lineRule="auto"/>
        <w:ind w:left="560"/>
      </w:pPr>
      <w:r>
        <w:rPr>
          <w:spacing w:val="5"/>
        </w:rPr>
        <w:t>说明(试验项目</w:t>
      </w:r>
      <w:r>
        <w:rPr>
          <w:rFonts w:ascii="Times New Roman" w:hAnsi="Times New Roman" w:eastAsia="Times New Roman" w:cs="Times New Roman"/>
          <w:spacing w:val="5"/>
        </w:rPr>
        <w:t xml:space="preserve">X) </w:t>
      </w:r>
      <w:r>
        <w:rPr>
          <w:spacing w:val="5"/>
        </w:rPr>
        <w:t>的步骤和方法。</w:t>
      </w:r>
    </w:p>
    <w:p w14:paraId="6CD9B966">
      <w:pPr>
        <w:pStyle w:val="2"/>
        <w:spacing w:before="151" w:line="271" w:lineRule="auto"/>
        <w:ind w:firstLine="560"/>
        <w:jc w:val="both"/>
      </w:pPr>
      <w:r>
        <w:rPr>
          <w:spacing w:val="6"/>
        </w:rPr>
        <w:t>人机工程试验计划应在订购方批准后方可实施，在试验现场应备有所</w:t>
      </w:r>
      <w:r>
        <w:rPr>
          <w:spacing w:val="5"/>
        </w:rPr>
        <w:t>需的</w:t>
      </w:r>
      <w:r>
        <w:t xml:space="preserve"> </w:t>
      </w:r>
      <w:r>
        <w:rPr>
          <w:spacing w:val="-6"/>
        </w:rPr>
        <w:t>资料(即审核清单、数据表、测试者登记表、测试</w:t>
      </w:r>
      <w:r>
        <w:rPr>
          <w:spacing w:val="-7"/>
        </w:rPr>
        <w:t>项目表、操作程序及试验步骤)。</w:t>
      </w:r>
      <w:r>
        <w:t xml:space="preserve"> </w:t>
      </w:r>
      <w:r>
        <w:rPr>
          <w:spacing w:val="3"/>
        </w:rPr>
        <w:t>所有测试中的人机工程部分应包含下列项目：</w:t>
      </w:r>
    </w:p>
    <w:p w14:paraId="2E542CFD">
      <w:pPr>
        <w:pStyle w:val="2"/>
        <w:spacing w:before="1" w:line="212" w:lineRule="auto"/>
        <w:ind w:left="560"/>
      </w:pPr>
      <w:r>
        <w:rPr>
          <w:rFonts w:ascii="Times New Roman" w:hAnsi="Times New Roman" w:eastAsia="Times New Roman" w:cs="Times New Roman"/>
          <w:spacing w:val="-5"/>
        </w:rPr>
        <w:t xml:space="preserve">a)  </w:t>
      </w:r>
      <w:r>
        <w:rPr>
          <w:spacing w:val="-5"/>
        </w:rPr>
        <w:t>任务或工作的执行，如不能实际操</w:t>
      </w:r>
      <w:r>
        <w:rPr>
          <w:spacing w:val="-6"/>
        </w:rPr>
        <w:t>作，可进行模拟实施；</w:t>
      </w:r>
    </w:p>
    <w:p w14:paraId="2716992A">
      <w:pPr>
        <w:pStyle w:val="2"/>
        <w:spacing w:before="110" w:line="271" w:lineRule="auto"/>
        <w:ind w:right="95" w:firstLine="560"/>
        <w:rPr>
          <w:sz w:val="25"/>
          <w:szCs w:val="25"/>
        </w:rPr>
      </w:pPr>
      <w:r>
        <w:rPr>
          <w:rFonts w:ascii="Times New Roman" w:hAnsi="Times New Roman" w:eastAsia="Times New Roman" w:cs="Times New Roman"/>
          <w:spacing w:val="21"/>
          <w:sz w:val="25"/>
          <w:szCs w:val="25"/>
        </w:rPr>
        <w:t xml:space="preserve">b)  </w:t>
      </w:r>
      <w:r>
        <w:rPr>
          <w:spacing w:val="21"/>
          <w:sz w:val="25"/>
          <w:szCs w:val="25"/>
        </w:rPr>
        <w:t>按计划规定的关键任务；任务或工作的执行，如不能实际操作可进行的</w:t>
      </w:r>
      <w:r>
        <w:rPr>
          <w:spacing w:val="10"/>
          <w:sz w:val="25"/>
          <w:szCs w:val="25"/>
        </w:rPr>
        <w:t xml:space="preserve"> </w:t>
      </w:r>
      <w:r>
        <w:rPr>
          <w:spacing w:val="14"/>
          <w:sz w:val="25"/>
          <w:szCs w:val="25"/>
        </w:rPr>
        <w:t>模拟实施；</w:t>
      </w:r>
    </w:p>
    <w:p w14:paraId="7B57FFD6">
      <w:pPr>
        <w:pStyle w:val="2"/>
        <w:spacing w:before="54" w:line="264" w:lineRule="auto"/>
        <w:ind w:right="99" w:firstLine="560"/>
      </w:pPr>
      <w:r>
        <w:rPr>
          <w:rFonts w:ascii="Times New Roman" w:hAnsi="Times New Roman" w:eastAsia="Times New Roman" w:cs="Times New Roman"/>
          <w:spacing w:val="3"/>
        </w:rPr>
        <w:t>c)</w:t>
      </w:r>
      <w:r>
        <w:rPr>
          <w:rFonts w:ascii="Times New Roman" w:hAnsi="Times New Roman" w:eastAsia="Times New Roman" w:cs="Times New Roman"/>
          <w:spacing w:val="77"/>
          <w:w w:val="101"/>
        </w:rPr>
        <w:t xml:space="preserve"> </w:t>
      </w:r>
      <w:r>
        <w:rPr>
          <w:spacing w:val="3"/>
        </w:rPr>
        <w:t>非关键性的、计划中或非计划中的维修任务的典型抽样，但此项任务不</w:t>
      </w:r>
      <w:r>
        <w:t xml:space="preserve"> </w:t>
      </w:r>
      <w:r>
        <w:rPr>
          <w:spacing w:val="3"/>
        </w:rPr>
        <w:t>得与维修性演示所选定的任务重复；</w:t>
      </w:r>
    </w:p>
    <w:p w14:paraId="04E4F1E2">
      <w:pPr>
        <w:pStyle w:val="2"/>
        <w:spacing w:before="59" w:line="212" w:lineRule="auto"/>
        <w:ind w:left="560"/>
      </w:pPr>
      <w:r>
        <w:rPr>
          <w:rFonts w:ascii="Times New Roman" w:hAnsi="Times New Roman" w:eastAsia="Times New Roman" w:cs="Times New Roman"/>
          <w:spacing w:val="-4"/>
        </w:rPr>
        <w:t xml:space="preserve">d)  </w:t>
      </w:r>
      <w:r>
        <w:rPr>
          <w:spacing w:val="-4"/>
        </w:rPr>
        <w:t>作业辅助设备、新设备训练计划、训练设备和特定的保障设备；</w:t>
      </w:r>
    </w:p>
    <w:p w14:paraId="716E7752">
      <w:pPr>
        <w:pStyle w:val="2"/>
        <w:spacing w:before="110" w:line="256" w:lineRule="auto"/>
        <w:ind w:right="104" w:firstLine="560"/>
      </w:pPr>
      <w:r>
        <w:rPr>
          <w:rFonts w:ascii="Times New Roman" w:hAnsi="Times New Roman" w:eastAsia="Times New Roman" w:cs="Times New Roman"/>
          <w:spacing w:val="3"/>
        </w:rPr>
        <w:t xml:space="preserve">e)  </w:t>
      </w:r>
      <w:r>
        <w:rPr>
          <w:spacing w:val="3"/>
        </w:rPr>
        <w:t>在实际操作环境下的任务性能数据的采集，实际操作环境下不可能采集</w:t>
      </w:r>
      <w:r>
        <w:t xml:space="preserve"> </w:t>
      </w:r>
      <w:r>
        <w:rPr>
          <w:spacing w:val="-5"/>
        </w:rPr>
        <w:t>时，则在模拟环境下采集任务性能数据；</w:t>
      </w:r>
    </w:p>
    <w:p w14:paraId="2B22F0EC">
      <w:pPr>
        <w:pStyle w:val="2"/>
        <w:spacing w:before="41" w:line="212" w:lineRule="auto"/>
        <w:ind w:left="560"/>
      </w:pPr>
      <w:r>
        <w:rPr>
          <w:rFonts w:ascii="Times New Roman" w:hAnsi="Times New Roman" w:eastAsia="Times New Roman" w:cs="Times New Roman"/>
          <w:spacing w:val="4"/>
        </w:rPr>
        <w:t xml:space="preserve">f)  </w:t>
      </w:r>
      <w:r>
        <w:rPr>
          <w:spacing w:val="4"/>
        </w:rPr>
        <w:t>核定所要求的任务性能与实测达到</w:t>
      </w:r>
      <w:r>
        <w:rPr>
          <w:spacing w:val="3"/>
        </w:rPr>
        <w:t>的任务性能之间的差异；</w:t>
      </w:r>
    </w:p>
    <w:p w14:paraId="785A30F2">
      <w:pPr>
        <w:pStyle w:val="2"/>
        <w:spacing w:before="152" w:line="212" w:lineRule="auto"/>
        <w:ind w:left="560"/>
        <w:rPr>
          <w:sz w:val="24"/>
          <w:szCs w:val="24"/>
        </w:rPr>
      </w:pPr>
      <w:r>
        <w:rPr>
          <w:rFonts w:ascii="Times New Roman" w:hAnsi="Times New Roman" w:eastAsia="Times New Roman" w:cs="Times New Roman"/>
          <w:spacing w:val="26"/>
          <w:sz w:val="24"/>
          <w:szCs w:val="24"/>
        </w:rPr>
        <w:t>g)</w:t>
      </w:r>
      <w:r>
        <w:rPr>
          <w:rFonts w:ascii="Times New Roman" w:hAnsi="Times New Roman" w:eastAsia="Times New Roman" w:cs="Times New Roman"/>
          <w:spacing w:val="25"/>
          <w:sz w:val="24"/>
          <w:szCs w:val="24"/>
        </w:rPr>
        <w:t xml:space="preserve">  </w:t>
      </w:r>
      <w:r>
        <w:rPr>
          <w:spacing w:val="26"/>
          <w:sz w:val="24"/>
          <w:szCs w:val="24"/>
        </w:rPr>
        <w:t>试验可接受性能的准则；</w:t>
      </w:r>
    </w:p>
    <w:p w14:paraId="2FE4B4B0">
      <w:pPr>
        <w:pStyle w:val="2"/>
        <w:spacing w:before="113" w:line="212" w:lineRule="auto"/>
        <w:ind w:left="560"/>
      </w:pPr>
      <w:r>
        <w:rPr>
          <w:rFonts w:ascii="Times New Roman" w:hAnsi="Times New Roman" w:eastAsia="Times New Roman" w:cs="Times New Roman"/>
          <w:spacing w:val="3"/>
        </w:rPr>
        <w:t xml:space="preserve">h)  </w:t>
      </w:r>
      <w:r>
        <w:rPr>
          <w:spacing w:val="3"/>
        </w:rPr>
        <w:t>参试者的条件和要求：1)在技能、体型和体力等方</w:t>
      </w:r>
      <w:r>
        <w:rPr>
          <w:spacing w:val="2"/>
        </w:rPr>
        <w:t>面可以代表操作者的</w:t>
      </w:r>
    </w:p>
    <w:p w14:paraId="1AAEE4BC">
      <w:pPr>
        <w:spacing w:line="212" w:lineRule="auto"/>
        <w:sectPr>
          <w:footerReference r:id="rId650" w:type="default"/>
          <w:pgSz w:w="11910" w:h="17130"/>
          <w:pgMar w:top="1456" w:right="1565" w:bottom="1556" w:left="860" w:header="0" w:footer="1367" w:gutter="0"/>
          <w:cols w:space="720" w:num="1"/>
        </w:sectPr>
      </w:pPr>
    </w:p>
    <w:p w14:paraId="1F31FBE3">
      <w:pPr>
        <w:pStyle w:val="2"/>
        <w:spacing w:before="54" w:line="219" w:lineRule="auto"/>
      </w:pPr>
      <w:r>
        <w:rPr>
          <w:spacing w:val="-4"/>
        </w:rPr>
        <w:t>人员；2)按操作要求着装和佩带必要的装具；3)</w:t>
      </w:r>
      <w:r>
        <w:rPr>
          <w:spacing w:val="-5"/>
        </w:rPr>
        <w:t>需经订购方批准。</w:t>
      </w:r>
    </w:p>
    <w:p w14:paraId="5C9B6F10">
      <w:pPr>
        <w:spacing w:before="96" w:line="221" w:lineRule="auto"/>
        <w:rPr>
          <w:rFonts w:ascii="黑体" w:hAnsi="黑体" w:eastAsia="黑体" w:cs="黑体"/>
          <w:sz w:val="27"/>
          <w:szCs w:val="27"/>
        </w:rPr>
      </w:pPr>
      <w:r>
        <w:rPr>
          <w:rFonts w:ascii="黑体" w:hAnsi="黑体" w:eastAsia="黑体" w:cs="黑体"/>
          <w:spacing w:val="4"/>
          <w:sz w:val="27"/>
          <w:szCs w:val="27"/>
        </w:rPr>
        <w:t>3</w:t>
      </w:r>
      <w:r>
        <w:rPr>
          <w:rFonts w:ascii="黑体" w:hAnsi="黑体" w:eastAsia="黑体" w:cs="黑体"/>
          <w:spacing w:val="13"/>
          <w:sz w:val="27"/>
          <w:szCs w:val="27"/>
        </w:rPr>
        <w:t xml:space="preserve">  </w:t>
      </w:r>
      <w:r>
        <w:rPr>
          <w:rFonts w:ascii="黑体" w:hAnsi="黑体" w:eastAsia="黑体" w:cs="黑体"/>
          <w:spacing w:val="4"/>
          <w:sz w:val="27"/>
          <w:szCs w:val="27"/>
        </w:rPr>
        <w:t>试验数据</w:t>
      </w:r>
    </w:p>
    <w:p w14:paraId="6B05D78F">
      <w:pPr>
        <w:pStyle w:val="2"/>
        <w:spacing w:before="87" w:line="219" w:lineRule="auto"/>
        <w:ind w:left="560"/>
      </w:pPr>
      <w:r>
        <w:rPr>
          <w:spacing w:val="4"/>
        </w:rPr>
        <w:t>给出人机工程试验中获得的所有试验数据。</w:t>
      </w:r>
    </w:p>
    <w:p w14:paraId="692913B0">
      <w:pPr>
        <w:spacing w:before="119" w:line="221" w:lineRule="auto"/>
        <w:rPr>
          <w:rFonts w:ascii="黑体" w:hAnsi="黑体" w:eastAsia="黑体" w:cs="黑体"/>
          <w:sz w:val="27"/>
          <w:szCs w:val="27"/>
        </w:rPr>
      </w:pPr>
      <w:r>
        <w:rPr>
          <w:rFonts w:ascii="Arial" w:hAnsi="Arial" w:eastAsia="Arial" w:cs="Arial"/>
          <w:spacing w:val="6"/>
          <w:sz w:val="27"/>
          <w:szCs w:val="27"/>
        </w:rPr>
        <w:t xml:space="preserve">4   </w:t>
      </w:r>
      <w:r>
        <w:rPr>
          <w:rFonts w:ascii="黑体" w:hAnsi="黑体" w:eastAsia="黑体" w:cs="黑体"/>
          <w:spacing w:val="6"/>
          <w:sz w:val="27"/>
          <w:szCs w:val="27"/>
        </w:rPr>
        <w:t>试验中出现的主要技术问题及处理情况</w:t>
      </w:r>
    </w:p>
    <w:p w14:paraId="57DCC029">
      <w:pPr>
        <w:pStyle w:val="2"/>
        <w:spacing w:before="67" w:line="219" w:lineRule="auto"/>
        <w:ind w:left="560"/>
      </w:pPr>
      <w:r>
        <w:rPr>
          <w:spacing w:val="5"/>
        </w:rPr>
        <w:t>本章客观描述人机工程试验中出现的主要技术问题及处理情况。</w:t>
      </w:r>
    </w:p>
    <w:p w14:paraId="0380A5B1">
      <w:pPr>
        <w:pStyle w:val="2"/>
        <w:spacing w:before="110" w:line="274" w:lineRule="auto"/>
        <w:ind w:firstLine="560"/>
      </w:pPr>
      <w:r>
        <w:rPr>
          <w:spacing w:val="-3"/>
        </w:rPr>
        <w:t>试验中出现的所有故障，都应进行人机工程评审，以鉴别故障属于下列哪种</w:t>
      </w:r>
      <w:r>
        <w:rPr>
          <w:spacing w:val="17"/>
        </w:rPr>
        <w:t xml:space="preserve"> </w:t>
      </w:r>
      <w:r>
        <w:rPr>
          <w:spacing w:val="-10"/>
        </w:rPr>
        <w:t>原因：设备自身；操作者与系统之间不相容；</w:t>
      </w:r>
      <w:r>
        <w:rPr>
          <w:spacing w:val="-11"/>
        </w:rPr>
        <w:t>操作者失误。</w:t>
      </w:r>
    </w:p>
    <w:p w14:paraId="2F2379B5">
      <w:pPr>
        <w:pStyle w:val="2"/>
        <w:spacing w:before="4" w:line="277" w:lineRule="auto"/>
        <w:ind w:firstLine="560"/>
        <w:jc w:val="both"/>
      </w:pPr>
      <w:r>
        <w:rPr>
          <w:spacing w:val="6"/>
        </w:rPr>
        <w:t>对试验期间在执行关键任务方面出现的操作者失误应进行分析，确</w:t>
      </w:r>
      <w:r>
        <w:rPr>
          <w:spacing w:val="5"/>
        </w:rPr>
        <w:t>定它们</w:t>
      </w:r>
      <w:r>
        <w:t xml:space="preserve"> </w:t>
      </w:r>
      <w:r>
        <w:rPr>
          <w:spacing w:val="5"/>
        </w:rPr>
        <w:t>发生的原因。承制方应将可以导致操作者失误的那些实质性设计特性和程序通</w:t>
      </w:r>
      <w:r>
        <w:rPr>
          <w:spacing w:val="9"/>
        </w:rPr>
        <w:t xml:space="preserve"> </w:t>
      </w:r>
      <w:r>
        <w:rPr>
          <w:spacing w:val="-9"/>
        </w:rPr>
        <w:t>知订购方，并提出改进措施。</w:t>
      </w:r>
    </w:p>
    <w:p w14:paraId="396D7136">
      <w:pPr>
        <w:spacing w:line="368" w:lineRule="exact"/>
        <w:rPr>
          <w:rFonts w:ascii="黑体" w:hAnsi="黑体" w:eastAsia="黑体" w:cs="黑体"/>
          <w:sz w:val="27"/>
          <w:szCs w:val="27"/>
        </w:rPr>
      </w:pPr>
      <w:r>
        <w:rPr>
          <w:rFonts w:ascii="Arial" w:hAnsi="Arial" w:eastAsia="Arial" w:cs="Arial"/>
          <w:spacing w:val="-12"/>
          <w:position w:val="1"/>
          <w:sz w:val="27"/>
          <w:szCs w:val="27"/>
        </w:rPr>
        <w:t>5</w:t>
      </w:r>
      <w:r>
        <w:rPr>
          <w:rFonts w:ascii="Arial" w:hAnsi="Arial" w:eastAsia="Arial" w:cs="Arial"/>
          <w:spacing w:val="20"/>
          <w:position w:val="1"/>
          <w:sz w:val="27"/>
          <w:szCs w:val="27"/>
        </w:rPr>
        <w:t xml:space="preserve">   </w:t>
      </w:r>
      <w:r>
        <w:rPr>
          <w:rFonts w:ascii="黑体" w:hAnsi="黑体" w:eastAsia="黑体" w:cs="黑体"/>
          <w:spacing w:val="-12"/>
          <w:position w:val="1"/>
          <w:sz w:val="27"/>
          <w:szCs w:val="27"/>
        </w:rPr>
        <w:t>试验结果、结论</w:t>
      </w:r>
    </w:p>
    <w:p w14:paraId="06F03A5C">
      <w:pPr>
        <w:spacing w:before="110" w:line="221" w:lineRule="auto"/>
        <w:rPr>
          <w:rFonts w:ascii="黑体" w:hAnsi="黑体" w:eastAsia="黑体" w:cs="黑体"/>
          <w:sz w:val="27"/>
          <w:szCs w:val="27"/>
        </w:rPr>
      </w:pPr>
      <w:r>
        <w:rPr>
          <w:rFonts w:ascii="黑体" w:hAnsi="黑体" w:eastAsia="黑体" w:cs="黑体"/>
          <w:spacing w:val="4"/>
          <w:sz w:val="27"/>
          <w:szCs w:val="27"/>
        </w:rPr>
        <w:t>5.1  试验结果</w:t>
      </w:r>
    </w:p>
    <w:p w14:paraId="0B997E1E">
      <w:pPr>
        <w:pStyle w:val="2"/>
        <w:spacing w:before="78" w:line="219" w:lineRule="auto"/>
        <w:ind w:left="560"/>
      </w:pPr>
      <w:r>
        <w:rPr>
          <w:spacing w:val="2"/>
        </w:rPr>
        <w:t>客观描述人机工程试验的结果。</w:t>
      </w:r>
    </w:p>
    <w:p w14:paraId="2252E04B">
      <w:pPr>
        <w:spacing w:before="139" w:line="221" w:lineRule="auto"/>
        <w:rPr>
          <w:rFonts w:ascii="黑体" w:hAnsi="黑体" w:eastAsia="黑体" w:cs="黑体"/>
          <w:sz w:val="27"/>
          <w:szCs w:val="27"/>
        </w:rPr>
      </w:pPr>
      <w:r>
        <w:rPr>
          <w:rFonts w:ascii="黑体" w:hAnsi="黑体" w:eastAsia="黑体" w:cs="黑体"/>
          <w:spacing w:val="6"/>
          <w:sz w:val="27"/>
          <w:szCs w:val="27"/>
        </w:rPr>
        <w:t>5.2  试验结论</w:t>
      </w:r>
    </w:p>
    <w:p w14:paraId="3D70119D">
      <w:pPr>
        <w:pStyle w:val="2"/>
        <w:spacing w:before="87" w:line="219" w:lineRule="auto"/>
        <w:ind w:left="560"/>
      </w:pPr>
      <w:r>
        <w:rPr>
          <w:spacing w:val="4"/>
        </w:rPr>
        <w:t>给出人机工程试验结果是否符合人机工程要求的结论性意见。</w:t>
      </w:r>
    </w:p>
    <w:p w14:paraId="5548B431">
      <w:pPr>
        <w:spacing w:before="62" w:line="368" w:lineRule="exact"/>
        <w:rPr>
          <w:rFonts w:ascii="黑体" w:hAnsi="黑体" w:eastAsia="黑体" w:cs="黑体"/>
          <w:sz w:val="27"/>
          <w:szCs w:val="27"/>
        </w:rPr>
      </w:pPr>
      <w:r>
        <w:rPr>
          <w:rFonts w:ascii="Arial" w:hAnsi="Arial" w:eastAsia="Arial" w:cs="Arial"/>
          <w:spacing w:val="3"/>
          <w:position w:val="1"/>
          <w:sz w:val="27"/>
          <w:szCs w:val="27"/>
        </w:rPr>
        <w:t>6</w:t>
      </w:r>
      <w:r>
        <w:rPr>
          <w:rFonts w:ascii="Arial" w:hAnsi="Arial" w:eastAsia="Arial" w:cs="Arial"/>
          <w:spacing w:val="20"/>
          <w:w w:val="101"/>
          <w:position w:val="1"/>
          <w:sz w:val="27"/>
          <w:szCs w:val="27"/>
        </w:rPr>
        <w:t xml:space="preserve">   </w:t>
      </w:r>
      <w:r>
        <w:rPr>
          <w:rFonts w:ascii="黑体" w:hAnsi="黑体" w:eastAsia="黑体" w:cs="黑体"/>
          <w:spacing w:val="3"/>
          <w:position w:val="1"/>
          <w:sz w:val="27"/>
          <w:szCs w:val="27"/>
        </w:rPr>
        <w:t>存在的问题和改进建议</w:t>
      </w:r>
    </w:p>
    <w:p w14:paraId="0FA45423">
      <w:pPr>
        <w:spacing w:before="71" w:line="212" w:lineRule="auto"/>
        <w:rPr>
          <w:rFonts w:ascii="黑体" w:hAnsi="黑体" w:eastAsia="黑体" w:cs="黑体"/>
          <w:sz w:val="27"/>
          <w:szCs w:val="27"/>
        </w:rPr>
      </w:pPr>
      <w:r>
        <w:rPr>
          <w:rFonts w:ascii="黑体" w:hAnsi="黑体" w:eastAsia="黑体" w:cs="黑体"/>
          <w:spacing w:val="4"/>
          <w:sz w:val="27"/>
          <w:szCs w:val="27"/>
        </w:rPr>
        <w:t>6.</w:t>
      </w:r>
      <w:r>
        <w:rPr>
          <w:rFonts w:ascii="Times New Roman" w:hAnsi="Times New Roman" w:eastAsia="Times New Roman" w:cs="Times New Roman"/>
          <w:spacing w:val="4"/>
          <w:sz w:val="27"/>
          <w:szCs w:val="27"/>
        </w:rPr>
        <w:t xml:space="preserve">X    ( </w:t>
      </w:r>
      <w:r>
        <w:rPr>
          <w:rFonts w:ascii="黑体" w:hAnsi="黑体" w:eastAsia="黑体" w:cs="黑体"/>
          <w:spacing w:val="4"/>
          <w:sz w:val="27"/>
          <w:szCs w:val="27"/>
        </w:rPr>
        <w:t>存在的问题</w:t>
      </w:r>
      <w:r>
        <w:rPr>
          <w:rFonts w:ascii="Times New Roman" w:hAnsi="Times New Roman" w:eastAsia="Times New Roman" w:cs="Times New Roman"/>
          <w:spacing w:val="4"/>
          <w:sz w:val="27"/>
          <w:szCs w:val="27"/>
        </w:rPr>
        <w:t>X)</w:t>
      </w:r>
      <w:r>
        <w:rPr>
          <w:rFonts w:ascii="Times New Roman" w:hAnsi="Times New Roman" w:eastAsia="Times New Roman" w:cs="Times New Roman"/>
          <w:spacing w:val="-5"/>
          <w:sz w:val="27"/>
          <w:szCs w:val="27"/>
        </w:rPr>
        <w:t xml:space="preserve"> </w:t>
      </w:r>
      <w:r>
        <w:rPr>
          <w:rFonts w:ascii="黑体" w:hAnsi="黑体" w:eastAsia="黑体" w:cs="黑体"/>
          <w:spacing w:val="4"/>
          <w:sz w:val="27"/>
          <w:szCs w:val="27"/>
        </w:rPr>
        <w:t>改进建议</w:t>
      </w:r>
    </w:p>
    <w:p w14:paraId="102ED1CF">
      <w:pPr>
        <w:pStyle w:val="2"/>
        <w:spacing w:before="111" w:line="313" w:lineRule="auto"/>
        <w:ind w:firstLine="560"/>
        <w:rPr>
          <w:sz w:val="25"/>
          <w:szCs w:val="25"/>
        </w:rPr>
      </w:pPr>
      <w:r>
        <w:rPr>
          <w:spacing w:val="18"/>
          <w:sz w:val="25"/>
          <w:szCs w:val="25"/>
        </w:rPr>
        <w:t>描述(存在的问题</w:t>
      </w:r>
      <w:r>
        <w:rPr>
          <w:rFonts w:ascii="Times New Roman" w:hAnsi="Times New Roman" w:eastAsia="Times New Roman" w:cs="Times New Roman"/>
          <w:spacing w:val="18"/>
          <w:sz w:val="25"/>
          <w:szCs w:val="25"/>
        </w:rPr>
        <w:t xml:space="preserve">X) </w:t>
      </w:r>
      <w:r>
        <w:rPr>
          <w:spacing w:val="18"/>
          <w:sz w:val="25"/>
          <w:szCs w:val="25"/>
        </w:rPr>
        <w:t>及其改进建议，包括问题现象、问题原因、可能</w:t>
      </w:r>
      <w:r>
        <w:rPr>
          <w:spacing w:val="17"/>
          <w:sz w:val="25"/>
          <w:szCs w:val="25"/>
        </w:rPr>
        <w:t>采取的</w:t>
      </w:r>
      <w:r>
        <w:rPr>
          <w:sz w:val="25"/>
          <w:szCs w:val="25"/>
        </w:rPr>
        <w:t xml:space="preserve"> </w:t>
      </w:r>
      <w:r>
        <w:rPr>
          <w:spacing w:val="19"/>
          <w:sz w:val="25"/>
          <w:szCs w:val="25"/>
        </w:rPr>
        <w:t>解决措施建议。</w:t>
      </w:r>
    </w:p>
    <w:p w14:paraId="65BB9E1A">
      <w:pPr>
        <w:spacing w:before="1" w:line="220" w:lineRule="auto"/>
        <w:rPr>
          <w:rFonts w:ascii="黑体" w:hAnsi="黑体" w:eastAsia="黑体" w:cs="黑体"/>
          <w:sz w:val="27"/>
          <w:szCs w:val="27"/>
        </w:rPr>
      </w:pPr>
      <w:r>
        <w:rPr>
          <w:rFonts w:ascii="黑体" w:hAnsi="黑体" w:eastAsia="黑体" w:cs="黑体"/>
          <w:spacing w:val="2"/>
          <w:sz w:val="27"/>
          <w:szCs w:val="27"/>
        </w:rPr>
        <w:t>7</w:t>
      </w:r>
      <w:r>
        <w:rPr>
          <w:rFonts w:ascii="黑体" w:hAnsi="黑体" w:eastAsia="黑体" w:cs="黑体"/>
          <w:spacing w:val="13"/>
          <w:sz w:val="27"/>
          <w:szCs w:val="27"/>
        </w:rPr>
        <w:t xml:space="preserve">  </w:t>
      </w:r>
      <w:r>
        <w:rPr>
          <w:rFonts w:ascii="黑体" w:hAnsi="黑体" w:eastAsia="黑体" w:cs="黑体"/>
          <w:spacing w:val="2"/>
          <w:sz w:val="27"/>
          <w:szCs w:val="27"/>
        </w:rPr>
        <w:t>试验照片</w:t>
      </w:r>
    </w:p>
    <w:p w14:paraId="37F63EAA">
      <w:pPr>
        <w:spacing w:before="126" w:line="221" w:lineRule="auto"/>
        <w:rPr>
          <w:rFonts w:ascii="黑体" w:hAnsi="黑体" w:eastAsia="黑体" w:cs="黑体"/>
          <w:sz w:val="25"/>
          <w:szCs w:val="25"/>
        </w:rPr>
      </w:pPr>
      <w:r>
        <w:rPr>
          <w:rFonts w:ascii="黑体" w:hAnsi="黑体" w:eastAsia="黑体" w:cs="黑体"/>
          <w:spacing w:val="12"/>
          <w:sz w:val="25"/>
          <w:szCs w:val="25"/>
        </w:rPr>
        <w:t>7.1</w:t>
      </w:r>
      <w:r>
        <w:rPr>
          <w:rFonts w:ascii="黑体" w:hAnsi="黑体" w:eastAsia="黑体" w:cs="黑体"/>
          <w:spacing w:val="45"/>
          <w:sz w:val="25"/>
          <w:szCs w:val="25"/>
        </w:rPr>
        <w:t xml:space="preserve">  </w:t>
      </w:r>
      <w:r>
        <w:rPr>
          <w:rFonts w:ascii="黑体" w:hAnsi="黑体" w:eastAsia="黑体" w:cs="黑体"/>
          <w:spacing w:val="12"/>
          <w:sz w:val="25"/>
          <w:szCs w:val="25"/>
        </w:rPr>
        <w:t>试验样品的全貌、主要侧面照片</w:t>
      </w:r>
    </w:p>
    <w:p w14:paraId="71DCE0B3">
      <w:pPr>
        <w:pStyle w:val="2"/>
        <w:spacing w:before="102" w:line="219" w:lineRule="auto"/>
        <w:ind w:left="560"/>
      </w:pPr>
      <w:r>
        <w:rPr>
          <w:spacing w:val="-5"/>
        </w:rPr>
        <w:t>提供试验样品的全貌、主要侧面照片。</w:t>
      </w:r>
    </w:p>
    <w:p w14:paraId="5E101065">
      <w:pPr>
        <w:spacing w:before="119" w:line="221" w:lineRule="auto"/>
        <w:rPr>
          <w:rFonts w:ascii="黑体" w:hAnsi="黑体" w:eastAsia="黑体" w:cs="黑体"/>
          <w:sz w:val="27"/>
          <w:szCs w:val="27"/>
        </w:rPr>
      </w:pPr>
      <w:r>
        <w:rPr>
          <w:rFonts w:ascii="黑体" w:hAnsi="黑体" w:eastAsia="黑体" w:cs="黑体"/>
          <w:spacing w:val="4"/>
          <w:sz w:val="27"/>
          <w:szCs w:val="27"/>
        </w:rPr>
        <w:t>7.2  主要试验项目照片</w:t>
      </w:r>
    </w:p>
    <w:p w14:paraId="38007C37">
      <w:pPr>
        <w:pStyle w:val="2"/>
        <w:spacing w:before="88" w:line="219" w:lineRule="auto"/>
        <w:ind w:left="560"/>
      </w:pPr>
      <w:r>
        <w:rPr>
          <w:spacing w:val="4"/>
        </w:rPr>
        <w:t>提供主要试验项目进行过程中的照片。</w:t>
      </w:r>
    </w:p>
    <w:p w14:paraId="0C6155BD">
      <w:pPr>
        <w:spacing w:before="70" w:line="368" w:lineRule="exact"/>
        <w:rPr>
          <w:rFonts w:ascii="黑体" w:hAnsi="黑体" w:eastAsia="黑体" w:cs="黑体"/>
          <w:sz w:val="27"/>
          <w:szCs w:val="27"/>
        </w:rPr>
      </w:pPr>
      <w:r>
        <w:rPr>
          <w:rFonts w:ascii="Arial" w:hAnsi="Arial" w:eastAsia="Arial" w:cs="Arial"/>
          <w:spacing w:val="5"/>
          <w:position w:val="1"/>
          <w:sz w:val="27"/>
          <w:szCs w:val="27"/>
        </w:rPr>
        <w:t xml:space="preserve">7.3    </w:t>
      </w:r>
      <w:r>
        <w:rPr>
          <w:rFonts w:ascii="黑体" w:hAnsi="黑体" w:eastAsia="黑体" w:cs="黑体"/>
          <w:spacing w:val="5"/>
          <w:position w:val="1"/>
          <w:sz w:val="27"/>
          <w:szCs w:val="27"/>
        </w:rPr>
        <w:t>试验中发生的重大技术问题的</w:t>
      </w:r>
      <w:r>
        <w:rPr>
          <w:rFonts w:ascii="黑体" w:hAnsi="黑体" w:eastAsia="黑体" w:cs="黑体"/>
          <w:spacing w:val="4"/>
          <w:position w:val="1"/>
          <w:sz w:val="27"/>
          <w:szCs w:val="27"/>
        </w:rPr>
        <w:t>特写照片</w:t>
      </w:r>
    </w:p>
    <w:p w14:paraId="6591D0E6">
      <w:pPr>
        <w:pStyle w:val="2"/>
        <w:spacing w:before="91" w:line="219" w:lineRule="auto"/>
        <w:ind w:left="560"/>
      </w:pPr>
      <w:r>
        <w:rPr>
          <w:spacing w:val="4"/>
        </w:rPr>
        <w:t>提供试验中发生的所有重大技术问题的特写照片。</w:t>
      </w:r>
    </w:p>
    <w:p w14:paraId="736ACF3D">
      <w:pPr>
        <w:spacing w:before="109" w:line="221" w:lineRule="auto"/>
        <w:rPr>
          <w:rFonts w:ascii="黑体" w:hAnsi="黑体" w:eastAsia="黑体" w:cs="黑体"/>
          <w:sz w:val="27"/>
          <w:szCs w:val="27"/>
        </w:rPr>
      </w:pPr>
      <w:r>
        <w:rPr>
          <w:rFonts w:ascii="黑体" w:hAnsi="黑体" w:eastAsia="黑体" w:cs="黑体"/>
          <w:spacing w:val="5"/>
          <w:sz w:val="27"/>
          <w:szCs w:val="27"/>
        </w:rPr>
        <w:t>8  主要试验项目的实时音像资料</w:t>
      </w:r>
    </w:p>
    <w:p w14:paraId="313B6AE3">
      <w:pPr>
        <w:pStyle w:val="2"/>
        <w:spacing w:before="98" w:line="219" w:lineRule="auto"/>
        <w:ind w:left="560"/>
      </w:pPr>
      <w:r>
        <w:rPr>
          <w:spacing w:val="-2"/>
        </w:rPr>
        <w:t>如果有的话，提供主要试验项目的实时音像</w:t>
      </w:r>
      <w:r>
        <w:rPr>
          <w:spacing w:val="-3"/>
        </w:rPr>
        <w:t>资料目录。</w:t>
      </w:r>
    </w:p>
    <w:p w14:paraId="24507FAB">
      <w:pPr>
        <w:spacing w:before="109" w:line="221" w:lineRule="auto"/>
        <w:rPr>
          <w:rFonts w:ascii="黑体" w:hAnsi="黑体" w:eastAsia="黑体" w:cs="黑体"/>
          <w:sz w:val="27"/>
          <w:szCs w:val="27"/>
        </w:rPr>
      </w:pPr>
      <w:r>
        <w:rPr>
          <w:rFonts w:ascii="黑体" w:hAnsi="黑体" w:eastAsia="黑体" w:cs="黑体"/>
          <w:spacing w:val="-4"/>
          <w:sz w:val="27"/>
          <w:szCs w:val="27"/>
        </w:rPr>
        <w:t>9  关于编制、训练、作战使用和技术保障等方面的意</w:t>
      </w:r>
      <w:r>
        <w:rPr>
          <w:rFonts w:ascii="黑体" w:hAnsi="黑体" w:eastAsia="黑体" w:cs="黑体"/>
          <w:spacing w:val="-5"/>
          <w:sz w:val="27"/>
          <w:szCs w:val="27"/>
        </w:rPr>
        <w:t>见和建议</w:t>
      </w:r>
    </w:p>
    <w:p w14:paraId="17FB72C1">
      <w:pPr>
        <w:spacing w:before="116" w:line="221" w:lineRule="auto"/>
        <w:rPr>
          <w:rFonts w:ascii="黑体" w:hAnsi="黑体" w:eastAsia="黑体" w:cs="黑体"/>
          <w:sz w:val="24"/>
          <w:szCs w:val="24"/>
        </w:rPr>
      </w:pPr>
      <w:r>
        <w:rPr>
          <w:rFonts w:ascii="黑体" w:hAnsi="黑体" w:eastAsia="黑体" w:cs="黑体"/>
          <w:spacing w:val="27"/>
          <w:sz w:val="24"/>
          <w:szCs w:val="24"/>
        </w:rPr>
        <w:t>9.1</w:t>
      </w:r>
      <w:r>
        <w:rPr>
          <w:rFonts w:ascii="黑体" w:hAnsi="黑体" w:eastAsia="黑体" w:cs="黑体"/>
          <w:spacing w:val="49"/>
          <w:sz w:val="24"/>
          <w:szCs w:val="24"/>
        </w:rPr>
        <w:t xml:space="preserve">  </w:t>
      </w:r>
      <w:r>
        <w:rPr>
          <w:rFonts w:ascii="黑体" w:hAnsi="黑体" w:eastAsia="黑体" w:cs="黑体"/>
          <w:spacing w:val="27"/>
          <w:sz w:val="24"/>
          <w:szCs w:val="24"/>
        </w:rPr>
        <w:t>关于编制的意见和建议</w:t>
      </w:r>
    </w:p>
    <w:p w14:paraId="79B333ED">
      <w:pPr>
        <w:spacing w:before="103" w:line="221" w:lineRule="auto"/>
        <w:rPr>
          <w:rFonts w:ascii="黑体" w:hAnsi="黑体" w:eastAsia="黑体" w:cs="黑体"/>
          <w:sz w:val="27"/>
          <w:szCs w:val="27"/>
        </w:rPr>
      </w:pPr>
      <w:r>
        <w:rPr>
          <w:rFonts w:ascii="黑体" w:hAnsi="黑体" w:eastAsia="黑体" w:cs="黑体"/>
          <w:spacing w:val="5"/>
          <w:sz w:val="27"/>
          <w:szCs w:val="27"/>
        </w:rPr>
        <w:t>9.2  关于训练的意见和建议</w:t>
      </w:r>
    </w:p>
    <w:p w14:paraId="2268C63F">
      <w:pPr>
        <w:spacing w:before="97" w:line="221" w:lineRule="auto"/>
        <w:rPr>
          <w:rFonts w:ascii="黑体" w:hAnsi="黑体" w:eastAsia="黑体" w:cs="黑体"/>
          <w:sz w:val="27"/>
          <w:szCs w:val="27"/>
        </w:rPr>
      </w:pPr>
      <w:r>
        <w:rPr>
          <w:rFonts w:ascii="黑体" w:hAnsi="黑体" w:eastAsia="黑体" w:cs="黑体"/>
          <w:spacing w:val="5"/>
          <w:sz w:val="27"/>
          <w:szCs w:val="27"/>
        </w:rPr>
        <w:t>9.3  关于作战使用的意见和建议</w:t>
      </w:r>
    </w:p>
    <w:p w14:paraId="079413EB">
      <w:pPr>
        <w:spacing w:before="107" w:line="221" w:lineRule="auto"/>
        <w:rPr>
          <w:rFonts w:ascii="黑体" w:hAnsi="黑体" w:eastAsia="黑体" w:cs="黑体"/>
          <w:sz w:val="27"/>
          <w:szCs w:val="27"/>
        </w:rPr>
      </w:pPr>
      <w:r>
        <w:rPr>
          <w:rFonts w:ascii="黑体" w:hAnsi="黑体" w:eastAsia="黑体" w:cs="黑体"/>
          <w:spacing w:val="5"/>
          <w:sz w:val="27"/>
          <w:szCs w:val="27"/>
        </w:rPr>
        <w:t>9.4  关于技术保障的意见和建议</w:t>
      </w:r>
    </w:p>
    <w:p w14:paraId="12E5FA4F">
      <w:pPr>
        <w:spacing w:line="221" w:lineRule="auto"/>
        <w:rPr>
          <w:rFonts w:ascii="黑体" w:hAnsi="黑体" w:eastAsia="黑体" w:cs="黑体"/>
          <w:sz w:val="27"/>
          <w:szCs w:val="27"/>
        </w:rPr>
        <w:sectPr>
          <w:footerReference r:id="rId651" w:type="default"/>
          <w:pgSz w:w="11910" w:h="17130"/>
          <w:pgMar w:top="1426" w:right="779" w:bottom="1683" w:left="1740" w:header="0" w:footer="1485" w:gutter="0"/>
          <w:cols w:space="720" w:num="1"/>
        </w:sectPr>
      </w:pPr>
    </w:p>
    <w:p w14:paraId="08D636B7">
      <w:pPr>
        <w:pStyle w:val="2"/>
        <w:spacing w:before="250" w:line="218" w:lineRule="auto"/>
        <w:ind w:left="2579"/>
        <w:rPr>
          <w:sz w:val="36"/>
          <w:szCs w:val="36"/>
        </w:rPr>
      </w:pPr>
      <w:r>
        <w:rPr>
          <w:spacing w:val="-2"/>
          <w:sz w:val="36"/>
          <w:szCs w:val="36"/>
        </w:rPr>
        <w:t>14.</w:t>
      </w:r>
      <w:r>
        <w:rPr>
          <w:b/>
          <w:bCs/>
          <w:spacing w:val="-2"/>
          <w:sz w:val="36"/>
          <w:szCs w:val="36"/>
        </w:rPr>
        <w:t>11</w:t>
      </w:r>
      <w:r>
        <w:rPr>
          <w:spacing w:val="38"/>
          <w:sz w:val="36"/>
          <w:szCs w:val="36"/>
        </w:rPr>
        <w:t xml:space="preserve">  </w:t>
      </w:r>
      <w:r>
        <w:rPr>
          <w:b/>
          <w:bCs/>
          <w:spacing w:val="-2"/>
          <w:sz w:val="36"/>
          <w:szCs w:val="36"/>
        </w:rPr>
        <w:t>人机工程进展报告</w:t>
      </w:r>
    </w:p>
    <w:p w14:paraId="028950C7">
      <w:pPr>
        <w:spacing w:line="404" w:lineRule="auto"/>
        <w:rPr>
          <w:rFonts w:ascii="Arial"/>
          <w:sz w:val="21"/>
        </w:rPr>
      </w:pPr>
    </w:p>
    <w:p w14:paraId="6CEB468A">
      <w:pPr>
        <w:pStyle w:val="2"/>
        <w:spacing w:before="78" w:line="225" w:lineRule="auto"/>
        <w:ind w:left="560"/>
        <w:rPr>
          <w:rFonts w:ascii="楷体" w:hAnsi="楷体" w:eastAsia="楷体" w:cs="楷体"/>
          <w:sz w:val="24"/>
          <w:szCs w:val="24"/>
        </w:rPr>
      </w:pPr>
      <w:r>
        <w:rPr>
          <w:rFonts w:ascii="楷体" w:hAnsi="楷体" w:eastAsia="楷体" w:cs="楷体"/>
          <w:spacing w:val="9"/>
          <w:sz w:val="24"/>
          <w:szCs w:val="24"/>
        </w:rPr>
        <w:t>按</w:t>
      </w:r>
      <w:r>
        <w:rPr>
          <w:rFonts w:ascii="楷体" w:hAnsi="楷体" w:eastAsia="楷体" w:cs="楷体"/>
          <w:spacing w:val="-9"/>
          <w:sz w:val="24"/>
          <w:szCs w:val="24"/>
        </w:rPr>
        <w:t xml:space="preserve"> </w:t>
      </w:r>
      <w:r>
        <w:rPr>
          <w:rFonts w:ascii="楷体" w:hAnsi="楷体" w:eastAsia="楷体" w:cs="楷体"/>
          <w:spacing w:val="9"/>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9"/>
          <w:sz w:val="24"/>
          <w:szCs w:val="24"/>
        </w:rPr>
        <w:t>/Z      134—2002</w:t>
      </w:r>
      <w:r>
        <w:rPr>
          <w:spacing w:val="9"/>
          <w:sz w:val="24"/>
          <w:szCs w:val="24"/>
        </w:rPr>
        <w:t>《</w:t>
      </w:r>
      <w:r>
        <w:rPr>
          <w:rFonts w:ascii="楷体" w:hAnsi="楷体" w:eastAsia="楷体" w:cs="楷体"/>
          <w:spacing w:val="9"/>
          <w:sz w:val="24"/>
          <w:szCs w:val="24"/>
        </w:rPr>
        <w:t>人机工程实施程序指南》编写。</w:t>
      </w:r>
    </w:p>
    <w:p w14:paraId="4ED0566C">
      <w:pPr>
        <w:spacing w:before="107" w:line="223" w:lineRule="auto"/>
        <w:rPr>
          <w:rFonts w:ascii="黑体" w:hAnsi="黑体" w:eastAsia="黑体" w:cs="黑体"/>
          <w:sz w:val="24"/>
          <w:szCs w:val="24"/>
        </w:rPr>
      </w:pPr>
      <w:r>
        <w:rPr>
          <w:rFonts w:ascii="黑体" w:hAnsi="黑体" w:eastAsia="黑体" w:cs="黑体"/>
          <w:spacing w:val="-12"/>
          <w:sz w:val="24"/>
          <w:szCs w:val="24"/>
        </w:rPr>
        <w:t>1</w:t>
      </w:r>
      <w:r>
        <w:rPr>
          <w:rFonts w:ascii="黑体" w:hAnsi="黑体" w:eastAsia="黑体" w:cs="黑体"/>
          <w:spacing w:val="38"/>
          <w:sz w:val="24"/>
          <w:szCs w:val="24"/>
        </w:rPr>
        <w:t xml:space="preserve">  </w:t>
      </w:r>
      <w:r>
        <w:rPr>
          <w:rFonts w:ascii="黑体" w:hAnsi="黑体" w:eastAsia="黑体" w:cs="黑体"/>
          <w:b/>
          <w:bCs/>
          <w:spacing w:val="-12"/>
          <w:sz w:val="24"/>
          <w:szCs w:val="24"/>
        </w:rPr>
        <w:t>范</w:t>
      </w:r>
      <w:r>
        <w:rPr>
          <w:rFonts w:ascii="黑体" w:hAnsi="黑体" w:eastAsia="黑体" w:cs="黑体"/>
          <w:spacing w:val="-12"/>
          <w:sz w:val="24"/>
          <w:szCs w:val="24"/>
        </w:rPr>
        <w:t xml:space="preserve"> </w:t>
      </w:r>
      <w:r>
        <w:rPr>
          <w:rFonts w:ascii="黑体" w:hAnsi="黑体" w:eastAsia="黑体" w:cs="黑体"/>
          <w:b/>
          <w:bCs/>
          <w:spacing w:val="-12"/>
          <w:sz w:val="24"/>
          <w:szCs w:val="24"/>
        </w:rPr>
        <w:t>围</w:t>
      </w:r>
    </w:p>
    <w:p w14:paraId="5A1ED9C0">
      <w:pPr>
        <w:pStyle w:val="2"/>
        <w:spacing w:before="101" w:line="218" w:lineRule="auto"/>
        <w:ind w:left="560"/>
      </w:pPr>
      <w:r>
        <w:rPr>
          <w:spacing w:val="4"/>
        </w:rPr>
        <w:t>说明人机工程进展报告的主题内容和适用范围。</w:t>
      </w:r>
    </w:p>
    <w:p w14:paraId="254E3178">
      <w:pPr>
        <w:spacing w:before="78" w:line="222" w:lineRule="auto"/>
        <w:rPr>
          <w:rFonts w:ascii="黑体" w:hAnsi="黑体" w:eastAsia="黑体" w:cs="黑体"/>
          <w:sz w:val="27"/>
          <w:szCs w:val="27"/>
        </w:rPr>
      </w:pPr>
      <w:r>
        <w:rPr>
          <w:rFonts w:ascii="黑体" w:hAnsi="黑体" w:eastAsia="黑体" w:cs="黑体"/>
          <w:spacing w:val="-1"/>
          <w:sz w:val="27"/>
          <w:szCs w:val="27"/>
        </w:rPr>
        <w:t>2</w:t>
      </w:r>
      <w:r>
        <w:rPr>
          <w:rFonts w:ascii="黑体" w:hAnsi="黑体" w:eastAsia="黑体" w:cs="黑体"/>
          <w:spacing w:val="8"/>
          <w:sz w:val="27"/>
          <w:szCs w:val="27"/>
        </w:rPr>
        <w:t xml:space="preserve">  </w:t>
      </w:r>
      <w:r>
        <w:rPr>
          <w:rFonts w:ascii="黑体" w:hAnsi="黑体" w:eastAsia="黑体" w:cs="黑体"/>
          <w:b/>
          <w:bCs/>
          <w:spacing w:val="-1"/>
          <w:sz w:val="27"/>
          <w:szCs w:val="27"/>
        </w:rPr>
        <w:t>引用文件</w:t>
      </w:r>
    </w:p>
    <w:p w14:paraId="3B5C53A5">
      <w:pPr>
        <w:pStyle w:val="2"/>
        <w:spacing w:before="108" w:line="218" w:lineRule="auto"/>
        <w:ind w:left="560"/>
        <w:rPr>
          <w:sz w:val="24"/>
          <w:szCs w:val="24"/>
        </w:rPr>
      </w:pPr>
      <w:r>
        <w:rPr>
          <w:spacing w:val="33"/>
          <w:sz w:val="24"/>
          <w:szCs w:val="24"/>
        </w:rPr>
        <w:t>列出人机工程进展报告引用的文件。</w:t>
      </w:r>
    </w:p>
    <w:p w14:paraId="53755C8F">
      <w:pPr>
        <w:spacing w:before="123" w:line="222" w:lineRule="auto"/>
        <w:rPr>
          <w:rFonts w:ascii="黑体" w:hAnsi="黑体" w:eastAsia="黑体" w:cs="黑体"/>
          <w:sz w:val="24"/>
          <w:szCs w:val="24"/>
        </w:rPr>
      </w:pPr>
      <w:r>
        <w:rPr>
          <w:rFonts w:ascii="黑体" w:hAnsi="黑体" w:eastAsia="黑体" w:cs="黑体"/>
          <w:spacing w:val="23"/>
          <w:sz w:val="24"/>
          <w:szCs w:val="24"/>
        </w:rPr>
        <w:t>3</w:t>
      </w:r>
      <w:r>
        <w:rPr>
          <w:rFonts w:ascii="黑体" w:hAnsi="黑体" w:eastAsia="黑体" w:cs="黑体"/>
          <w:spacing w:val="34"/>
          <w:sz w:val="24"/>
          <w:szCs w:val="24"/>
        </w:rPr>
        <w:t xml:space="preserve">  </w:t>
      </w:r>
      <w:r>
        <w:rPr>
          <w:rFonts w:ascii="黑体" w:hAnsi="黑体" w:eastAsia="黑体" w:cs="黑体"/>
          <w:b/>
          <w:bCs/>
          <w:spacing w:val="23"/>
          <w:sz w:val="24"/>
          <w:szCs w:val="24"/>
        </w:rPr>
        <w:t>工作进展情况</w:t>
      </w:r>
    </w:p>
    <w:p w14:paraId="62E59F3A">
      <w:pPr>
        <w:spacing w:before="57" w:line="327" w:lineRule="exact"/>
        <w:rPr>
          <w:rFonts w:ascii="黑体" w:hAnsi="黑体" w:eastAsia="黑体" w:cs="黑体"/>
          <w:sz w:val="24"/>
          <w:szCs w:val="24"/>
        </w:rPr>
      </w:pPr>
      <w:r>
        <w:rPr>
          <w:rFonts w:ascii="Arial" w:hAnsi="Arial" w:eastAsia="Arial" w:cs="Arial"/>
          <w:spacing w:val="2"/>
          <w:position w:val="2"/>
          <w:sz w:val="24"/>
          <w:szCs w:val="24"/>
        </w:rPr>
        <w:t>3.</w:t>
      </w:r>
      <w:r>
        <w:rPr>
          <w:rFonts w:ascii="Arial" w:hAnsi="Arial" w:eastAsia="Arial" w:cs="Arial"/>
          <w:spacing w:val="26"/>
          <w:position w:val="2"/>
          <w:sz w:val="24"/>
          <w:szCs w:val="24"/>
        </w:rPr>
        <w:t xml:space="preserve"> </w:t>
      </w:r>
      <w:r>
        <w:rPr>
          <w:rFonts w:ascii="Arial" w:hAnsi="Arial" w:eastAsia="Arial" w:cs="Arial"/>
          <w:spacing w:val="2"/>
          <w:position w:val="2"/>
          <w:sz w:val="24"/>
          <w:szCs w:val="24"/>
        </w:rPr>
        <w:t>X</w:t>
      </w:r>
      <w:r>
        <w:rPr>
          <w:rFonts w:ascii="Arial" w:hAnsi="Arial" w:eastAsia="Arial" w:cs="Arial"/>
          <w:spacing w:val="9"/>
          <w:position w:val="2"/>
          <w:sz w:val="24"/>
          <w:szCs w:val="24"/>
        </w:rPr>
        <w:t xml:space="preserve">    </w:t>
      </w:r>
      <w:r>
        <w:rPr>
          <w:rFonts w:ascii="黑体" w:hAnsi="黑体" w:eastAsia="黑体" w:cs="黑体"/>
          <w:b/>
          <w:bCs/>
          <w:spacing w:val="2"/>
          <w:position w:val="2"/>
          <w:sz w:val="24"/>
          <w:szCs w:val="24"/>
        </w:rPr>
        <w:t>(</w:t>
      </w:r>
      <w:r>
        <w:rPr>
          <w:rFonts w:ascii="黑体" w:hAnsi="黑体" w:eastAsia="黑体" w:cs="黑体"/>
          <w:spacing w:val="-51"/>
          <w:position w:val="2"/>
          <w:sz w:val="24"/>
          <w:szCs w:val="24"/>
        </w:rPr>
        <w:t xml:space="preserve"> </w:t>
      </w:r>
      <w:r>
        <w:rPr>
          <w:rFonts w:ascii="黑体" w:hAnsi="黑体" w:eastAsia="黑体" w:cs="黑体"/>
          <w:b/>
          <w:bCs/>
          <w:spacing w:val="2"/>
          <w:position w:val="2"/>
          <w:sz w:val="24"/>
          <w:szCs w:val="24"/>
        </w:rPr>
        <w:t>工</w:t>
      </w:r>
      <w:r>
        <w:rPr>
          <w:rFonts w:ascii="黑体" w:hAnsi="黑体" w:eastAsia="黑体" w:cs="黑体"/>
          <w:spacing w:val="-56"/>
          <w:position w:val="2"/>
          <w:sz w:val="24"/>
          <w:szCs w:val="24"/>
        </w:rPr>
        <w:t xml:space="preserve"> </w:t>
      </w:r>
      <w:r>
        <w:rPr>
          <w:rFonts w:ascii="黑体" w:hAnsi="黑体" w:eastAsia="黑体" w:cs="黑体"/>
          <w:b/>
          <w:bCs/>
          <w:spacing w:val="2"/>
          <w:position w:val="2"/>
          <w:sz w:val="24"/>
          <w:szCs w:val="24"/>
        </w:rPr>
        <w:t>作</w:t>
      </w:r>
      <w:r>
        <w:rPr>
          <w:rFonts w:ascii="黑体" w:hAnsi="黑体" w:eastAsia="黑体" w:cs="黑体"/>
          <w:spacing w:val="-54"/>
          <w:position w:val="2"/>
          <w:sz w:val="24"/>
          <w:szCs w:val="24"/>
        </w:rPr>
        <w:t xml:space="preserve"> </w:t>
      </w:r>
      <w:r>
        <w:rPr>
          <w:rFonts w:ascii="黑体" w:hAnsi="黑体" w:eastAsia="黑体" w:cs="黑体"/>
          <w:b/>
          <w:bCs/>
          <w:spacing w:val="2"/>
          <w:position w:val="2"/>
          <w:sz w:val="24"/>
          <w:szCs w:val="24"/>
        </w:rPr>
        <w:t>项</w:t>
      </w:r>
      <w:r>
        <w:rPr>
          <w:rFonts w:ascii="黑体" w:hAnsi="黑体" w:eastAsia="黑体" w:cs="黑体"/>
          <w:spacing w:val="-25"/>
          <w:position w:val="2"/>
          <w:sz w:val="24"/>
          <w:szCs w:val="24"/>
        </w:rPr>
        <w:t xml:space="preserve"> </w:t>
      </w:r>
      <w:r>
        <w:rPr>
          <w:rFonts w:ascii="黑体" w:hAnsi="黑体" w:eastAsia="黑体" w:cs="黑体"/>
          <w:b/>
          <w:bCs/>
          <w:spacing w:val="2"/>
          <w:position w:val="2"/>
          <w:sz w:val="24"/>
          <w:szCs w:val="24"/>
        </w:rPr>
        <w:t>目</w:t>
      </w:r>
      <w:r>
        <w:rPr>
          <w:rFonts w:ascii="Arial" w:hAnsi="Arial" w:eastAsia="Arial" w:cs="Arial"/>
          <w:b/>
          <w:bCs/>
          <w:spacing w:val="2"/>
          <w:position w:val="2"/>
          <w:sz w:val="24"/>
          <w:szCs w:val="24"/>
        </w:rPr>
        <w:t>X)</w:t>
      </w:r>
      <w:r>
        <w:rPr>
          <w:rFonts w:ascii="Arial" w:hAnsi="Arial" w:eastAsia="Arial" w:cs="Arial"/>
          <w:b/>
          <w:bCs/>
          <w:spacing w:val="27"/>
          <w:w w:val="101"/>
          <w:position w:val="2"/>
          <w:sz w:val="24"/>
          <w:szCs w:val="24"/>
        </w:rPr>
        <w:t xml:space="preserve"> </w:t>
      </w:r>
      <w:r>
        <w:rPr>
          <w:rFonts w:ascii="黑体" w:hAnsi="黑体" w:eastAsia="黑体" w:cs="黑体"/>
          <w:b/>
          <w:bCs/>
          <w:spacing w:val="2"/>
          <w:position w:val="2"/>
          <w:sz w:val="24"/>
          <w:szCs w:val="24"/>
        </w:rPr>
        <w:t>进展情况</w:t>
      </w:r>
    </w:p>
    <w:p w14:paraId="0BDD6AC1">
      <w:pPr>
        <w:pStyle w:val="2"/>
        <w:spacing w:before="104" w:line="282" w:lineRule="auto"/>
        <w:ind w:right="100" w:firstLine="560"/>
      </w:pPr>
      <w:r>
        <w:rPr>
          <w:spacing w:val="1"/>
        </w:rPr>
        <w:t>客观描述(工作项目</w:t>
      </w:r>
      <w:r>
        <w:rPr>
          <w:rFonts w:ascii="Times New Roman" w:hAnsi="Times New Roman" w:eastAsia="Times New Roman" w:cs="Times New Roman"/>
          <w:spacing w:val="1"/>
        </w:rPr>
        <w:t>X)</w:t>
      </w:r>
      <w:r>
        <w:rPr>
          <w:spacing w:val="1"/>
        </w:rPr>
        <w:t>的进展情况，包括完成时间，已完成工作和未完成工</w:t>
      </w:r>
      <w:r>
        <w:t xml:space="preserve"> </w:t>
      </w:r>
      <w:r>
        <w:rPr>
          <w:spacing w:val="-3"/>
        </w:rPr>
        <w:t>作，工作项目结果与人机工程要求的符合性情况。</w:t>
      </w:r>
    </w:p>
    <w:p w14:paraId="6E98633A">
      <w:pPr>
        <w:spacing w:before="1" w:line="221" w:lineRule="auto"/>
        <w:rPr>
          <w:rFonts w:ascii="黑体" w:hAnsi="黑体" w:eastAsia="黑体" w:cs="黑体"/>
          <w:sz w:val="27"/>
          <w:szCs w:val="27"/>
        </w:rPr>
      </w:pPr>
      <w:r>
        <w:rPr>
          <w:rFonts w:ascii="Arial" w:hAnsi="Arial" w:eastAsia="Arial" w:cs="Arial"/>
          <w:b/>
          <w:bCs/>
          <w:spacing w:val="1"/>
          <w:sz w:val="27"/>
          <w:szCs w:val="27"/>
        </w:rPr>
        <w:t>4</w:t>
      </w:r>
      <w:r>
        <w:rPr>
          <w:rFonts w:ascii="Arial" w:hAnsi="Arial" w:eastAsia="Arial" w:cs="Arial"/>
          <w:b/>
          <w:bCs/>
          <w:spacing w:val="14"/>
          <w:sz w:val="27"/>
          <w:szCs w:val="27"/>
        </w:rPr>
        <w:t xml:space="preserve">   </w:t>
      </w:r>
      <w:r>
        <w:rPr>
          <w:rFonts w:ascii="黑体" w:hAnsi="黑体" w:eastAsia="黑体" w:cs="黑体"/>
          <w:b/>
          <w:bCs/>
          <w:spacing w:val="1"/>
          <w:sz w:val="27"/>
          <w:szCs w:val="27"/>
        </w:rPr>
        <w:t>存在的技术问题</w:t>
      </w:r>
    </w:p>
    <w:p w14:paraId="6D3487FD">
      <w:pPr>
        <w:spacing w:before="71" w:line="212" w:lineRule="auto"/>
        <w:rPr>
          <w:rFonts w:ascii="Arial" w:hAnsi="Arial" w:eastAsia="Arial" w:cs="Arial"/>
          <w:sz w:val="27"/>
          <w:szCs w:val="27"/>
        </w:rPr>
      </w:pPr>
      <w:r>
        <w:rPr>
          <w:rFonts w:ascii="Arial" w:hAnsi="Arial" w:eastAsia="Arial" w:cs="Arial"/>
          <w:spacing w:val="5"/>
          <w:sz w:val="27"/>
          <w:szCs w:val="27"/>
        </w:rPr>
        <w:t>4.X</w:t>
      </w:r>
      <w:r>
        <w:rPr>
          <w:rFonts w:ascii="Arial" w:hAnsi="Arial" w:eastAsia="Arial" w:cs="Arial"/>
          <w:spacing w:val="12"/>
          <w:sz w:val="27"/>
          <w:szCs w:val="27"/>
        </w:rPr>
        <w:t xml:space="preserve">    </w:t>
      </w:r>
      <w:r>
        <w:rPr>
          <w:rFonts w:ascii="黑体" w:hAnsi="黑体" w:eastAsia="黑体" w:cs="黑体"/>
          <w:b/>
          <w:bCs/>
          <w:spacing w:val="5"/>
          <w:sz w:val="27"/>
          <w:szCs w:val="27"/>
        </w:rPr>
        <w:t>(存在的技术问题</w:t>
      </w:r>
      <w:r>
        <w:rPr>
          <w:rFonts w:ascii="Arial" w:hAnsi="Arial" w:eastAsia="Arial" w:cs="Arial"/>
          <w:spacing w:val="5"/>
          <w:sz w:val="27"/>
          <w:szCs w:val="27"/>
        </w:rPr>
        <w:t>X)</w:t>
      </w:r>
    </w:p>
    <w:p w14:paraId="7F8A7258">
      <w:pPr>
        <w:pStyle w:val="2"/>
        <w:spacing w:before="80" w:line="212" w:lineRule="auto"/>
        <w:jc w:val="right"/>
      </w:pPr>
      <w:r>
        <w:rPr>
          <w:spacing w:val="-3"/>
        </w:rPr>
        <w:t>描述(存在的技术问题</w:t>
      </w:r>
      <w:r>
        <w:rPr>
          <w:spacing w:val="-78"/>
        </w:rPr>
        <w:t xml:space="preserve"> </w:t>
      </w:r>
      <w:r>
        <w:rPr>
          <w:rFonts w:ascii="Times New Roman" w:hAnsi="Times New Roman" w:eastAsia="Times New Roman" w:cs="Times New Roman"/>
          <w:spacing w:val="-3"/>
        </w:rPr>
        <w:t>X),</w:t>
      </w:r>
      <w:r>
        <w:rPr>
          <w:rFonts w:ascii="Times New Roman" w:hAnsi="Times New Roman" w:eastAsia="Times New Roman" w:cs="Times New Roman"/>
          <w:spacing w:val="52"/>
        </w:rPr>
        <w:t xml:space="preserve"> </w:t>
      </w:r>
      <w:r>
        <w:rPr>
          <w:spacing w:val="-3"/>
        </w:rPr>
        <w:t>包括问题现象、问题原因、可能采取的</w:t>
      </w:r>
      <w:r>
        <w:rPr>
          <w:spacing w:val="-4"/>
        </w:rPr>
        <w:t>解决措施。</w:t>
      </w:r>
    </w:p>
    <w:p w14:paraId="1D847EE4">
      <w:pPr>
        <w:spacing w:before="124" w:line="222" w:lineRule="auto"/>
        <w:rPr>
          <w:rFonts w:ascii="黑体" w:hAnsi="黑体" w:eastAsia="黑体" w:cs="黑体"/>
          <w:sz w:val="27"/>
          <w:szCs w:val="27"/>
        </w:rPr>
      </w:pPr>
      <w:r>
        <w:rPr>
          <w:rFonts w:ascii="Arial" w:hAnsi="Arial" w:eastAsia="Arial" w:cs="Arial"/>
          <w:b/>
          <w:bCs/>
          <w:sz w:val="27"/>
          <w:szCs w:val="27"/>
        </w:rPr>
        <w:t>5</w:t>
      </w:r>
      <w:r>
        <w:rPr>
          <w:rFonts w:ascii="Arial" w:hAnsi="Arial" w:eastAsia="Arial" w:cs="Arial"/>
          <w:b/>
          <w:bCs/>
          <w:spacing w:val="17"/>
          <w:sz w:val="27"/>
          <w:szCs w:val="27"/>
        </w:rPr>
        <w:t xml:space="preserve">   </w:t>
      </w:r>
      <w:r>
        <w:rPr>
          <w:rFonts w:ascii="黑体" w:hAnsi="黑体" w:eastAsia="黑体" w:cs="黑体"/>
          <w:b/>
          <w:bCs/>
          <w:sz w:val="27"/>
          <w:szCs w:val="27"/>
        </w:rPr>
        <w:t>下一步工作建议</w:t>
      </w:r>
    </w:p>
    <w:p w14:paraId="026969BA">
      <w:pPr>
        <w:spacing w:before="51" w:line="327" w:lineRule="exact"/>
        <w:rPr>
          <w:rFonts w:ascii="Arial" w:hAnsi="Arial" w:eastAsia="Arial" w:cs="Arial"/>
          <w:sz w:val="24"/>
          <w:szCs w:val="24"/>
        </w:rPr>
      </w:pPr>
      <w:r>
        <w:rPr>
          <w:rFonts w:ascii="Arial" w:hAnsi="Arial" w:eastAsia="Arial" w:cs="Arial"/>
          <w:spacing w:val="-9"/>
          <w:position w:val="2"/>
          <w:sz w:val="24"/>
          <w:szCs w:val="24"/>
        </w:rPr>
        <w:t>5.</w:t>
      </w:r>
      <w:r>
        <w:rPr>
          <w:rFonts w:ascii="Arial" w:hAnsi="Arial" w:eastAsia="Arial" w:cs="Arial"/>
          <w:spacing w:val="20"/>
          <w:position w:val="2"/>
          <w:sz w:val="24"/>
          <w:szCs w:val="24"/>
        </w:rPr>
        <w:t xml:space="preserve"> </w:t>
      </w:r>
      <w:r>
        <w:rPr>
          <w:rFonts w:ascii="Arial" w:hAnsi="Arial" w:eastAsia="Arial" w:cs="Arial"/>
          <w:spacing w:val="-9"/>
          <w:position w:val="2"/>
          <w:sz w:val="24"/>
          <w:szCs w:val="24"/>
        </w:rPr>
        <w:t>X</w:t>
      </w:r>
      <w:r>
        <w:rPr>
          <w:rFonts w:ascii="Arial" w:hAnsi="Arial" w:eastAsia="Arial" w:cs="Arial"/>
          <w:spacing w:val="12"/>
          <w:position w:val="2"/>
          <w:sz w:val="24"/>
          <w:szCs w:val="24"/>
        </w:rPr>
        <w:t xml:space="preserve">    </w:t>
      </w:r>
      <w:r>
        <w:rPr>
          <w:rFonts w:ascii="黑体" w:hAnsi="黑体" w:eastAsia="黑体" w:cs="黑体"/>
          <w:b/>
          <w:bCs/>
          <w:spacing w:val="-9"/>
          <w:position w:val="2"/>
          <w:sz w:val="24"/>
          <w:szCs w:val="24"/>
        </w:rPr>
        <w:t>(</w:t>
      </w:r>
      <w:r>
        <w:rPr>
          <w:rFonts w:ascii="黑体" w:hAnsi="黑体" w:eastAsia="黑体" w:cs="黑体"/>
          <w:spacing w:val="-53"/>
          <w:position w:val="2"/>
          <w:sz w:val="24"/>
          <w:szCs w:val="24"/>
        </w:rPr>
        <w:t xml:space="preserve"> </w:t>
      </w:r>
      <w:r>
        <w:rPr>
          <w:rFonts w:ascii="黑体" w:hAnsi="黑体" w:eastAsia="黑体" w:cs="黑体"/>
          <w:b/>
          <w:bCs/>
          <w:spacing w:val="-9"/>
          <w:position w:val="2"/>
          <w:sz w:val="24"/>
          <w:szCs w:val="24"/>
        </w:rPr>
        <w:t>工</w:t>
      </w:r>
      <w:r>
        <w:rPr>
          <w:rFonts w:ascii="黑体" w:hAnsi="黑体" w:eastAsia="黑体" w:cs="黑体"/>
          <w:spacing w:val="-56"/>
          <w:position w:val="2"/>
          <w:sz w:val="24"/>
          <w:szCs w:val="24"/>
        </w:rPr>
        <w:t xml:space="preserve"> </w:t>
      </w:r>
      <w:r>
        <w:rPr>
          <w:rFonts w:ascii="黑体" w:hAnsi="黑体" w:eastAsia="黑体" w:cs="黑体"/>
          <w:b/>
          <w:bCs/>
          <w:spacing w:val="-9"/>
          <w:position w:val="2"/>
          <w:sz w:val="24"/>
          <w:szCs w:val="24"/>
        </w:rPr>
        <w:t>作</w:t>
      </w:r>
      <w:r>
        <w:rPr>
          <w:rFonts w:ascii="黑体" w:hAnsi="黑体" w:eastAsia="黑体" w:cs="黑体"/>
          <w:spacing w:val="-53"/>
          <w:position w:val="2"/>
          <w:sz w:val="24"/>
          <w:szCs w:val="24"/>
        </w:rPr>
        <w:t xml:space="preserve"> </w:t>
      </w:r>
      <w:r>
        <w:rPr>
          <w:rFonts w:ascii="黑体" w:hAnsi="黑体" w:eastAsia="黑体" w:cs="黑体"/>
          <w:b/>
          <w:bCs/>
          <w:spacing w:val="-9"/>
          <w:position w:val="2"/>
          <w:sz w:val="24"/>
          <w:szCs w:val="24"/>
        </w:rPr>
        <w:t>建</w:t>
      </w:r>
      <w:r>
        <w:rPr>
          <w:rFonts w:ascii="黑体" w:hAnsi="黑体" w:eastAsia="黑体" w:cs="黑体"/>
          <w:spacing w:val="-54"/>
          <w:position w:val="2"/>
          <w:sz w:val="24"/>
          <w:szCs w:val="24"/>
        </w:rPr>
        <w:t xml:space="preserve"> </w:t>
      </w:r>
      <w:r>
        <w:rPr>
          <w:rFonts w:ascii="黑体" w:hAnsi="黑体" w:eastAsia="黑体" w:cs="黑体"/>
          <w:b/>
          <w:bCs/>
          <w:spacing w:val="-9"/>
          <w:position w:val="2"/>
          <w:sz w:val="24"/>
          <w:szCs w:val="24"/>
        </w:rPr>
        <w:t>议</w:t>
      </w:r>
      <w:r>
        <w:rPr>
          <w:rFonts w:ascii="Arial" w:hAnsi="Arial" w:eastAsia="Arial" w:cs="Arial"/>
          <w:b/>
          <w:bCs/>
          <w:spacing w:val="-9"/>
          <w:position w:val="2"/>
          <w:sz w:val="24"/>
          <w:szCs w:val="24"/>
        </w:rPr>
        <w:t>X)</w:t>
      </w:r>
    </w:p>
    <w:p w14:paraId="37B36302">
      <w:pPr>
        <w:pStyle w:val="2"/>
        <w:spacing w:before="124" w:line="282" w:lineRule="auto"/>
        <w:ind w:right="100" w:firstLine="560"/>
      </w:pPr>
      <w:r>
        <w:rPr>
          <w:spacing w:val="-3"/>
        </w:rPr>
        <w:t>对下一步工作提出建议，特别是对存在的技术问题明确解决措施、解决时限</w:t>
      </w:r>
      <w:r>
        <w:rPr>
          <w:spacing w:val="12"/>
        </w:rPr>
        <w:t xml:space="preserve"> </w:t>
      </w:r>
      <w:r>
        <w:rPr>
          <w:spacing w:val="-3"/>
        </w:rPr>
        <w:t>和责任人。</w:t>
      </w:r>
    </w:p>
    <w:p w14:paraId="793CA6B6">
      <w:pPr>
        <w:pStyle w:val="2"/>
        <w:spacing w:before="350" w:line="218" w:lineRule="auto"/>
        <w:ind w:left="2629"/>
        <w:outlineLvl w:val="1"/>
        <w:rPr>
          <w:sz w:val="36"/>
          <w:szCs w:val="36"/>
        </w:rPr>
      </w:pPr>
      <w:r>
        <w:rPr>
          <w:rFonts w:ascii="Times New Roman" w:hAnsi="Times New Roman" w:eastAsia="Times New Roman" w:cs="Times New Roman"/>
          <w:b/>
          <w:bCs/>
          <w:spacing w:val="1"/>
          <w:sz w:val="36"/>
          <w:szCs w:val="36"/>
        </w:rPr>
        <w:t xml:space="preserve">14.12     </w:t>
      </w:r>
      <w:r>
        <w:rPr>
          <w:b/>
          <w:bCs/>
          <w:spacing w:val="1"/>
          <w:sz w:val="36"/>
          <w:szCs w:val="36"/>
        </w:rPr>
        <w:t>人机工程评估报告</w:t>
      </w:r>
    </w:p>
    <w:p w14:paraId="773E7E04">
      <w:pPr>
        <w:spacing w:line="395" w:lineRule="auto"/>
        <w:rPr>
          <w:rFonts w:ascii="Arial"/>
          <w:sz w:val="21"/>
        </w:rPr>
      </w:pPr>
    </w:p>
    <w:p w14:paraId="57ED4A78">
      <w:pPr>
        <w:pStyle w:val="2"/>
        <w:spacing w:before="78" w:line="225" w:lineRule="auto"/>
        <w:ind w:left="560"/>
        <w:rPr>
          <w:rFonts w:ascii="楷体" w:hAnsi="楷体" w:eastAsia="楷体" w:cs="楷体"/>
          <w:sz w:val="24"/>
          <w:szCs w:val="24"/>
        </w:rPr>
      </w:pPr>
      <w:r>
        <w:rPr>
          <w:rFonts w:ascii="楷体" w:hAnsi="楷体" w:eastAsia="楷体" w:cs="楷体"/>
          <w:spacing w:val="11"/>
          <w:sz w:val="24"/>
          <w:szCs w:val="24"/>
        </w:rPr>
        <w:t>按</w:t>
      </w:r>
      <w:r>
        <w:rPr>
          <w:rFonts w:ascii="楷体" w:hAnsi="楷体" w:eastAsia="楷体" w:cs="楷体"/>
          <w:spacing w:val="-21"/>
          <w:sz w:val="24"/>
          <w:szCs w:val="24"/>
        </w:rPr>
        <w:t xml:space="preserve"> </w:t>
      </w:r>
      <w:r>
        <w:rPr>
          <w:rFonts w:ascii="楷体" w:hAnsi="楷体" w:eastAsia="楷体" w:cs="楷体"/>
          <w:spacing w:val="11"/>
          <w:sz w:val="24"/>
          <w:szCs w:val="24"/>
        </w:rPr>
        <w:t>照</w:t>
      </w:r>
      <w:r>
        <w:rPr>
          <w:rFonts w:ascii="Times New Roman" w:hAnsi="Times New Roman" w:eastAsia="Times New Roman" w:cs="Times New Roman"/>
          <w:sz w:val="24"/>
          <w:szCs w:val="24"/>
        </w:rPr>
        <w:t>GJB</w:t>
      </w:r>
      <w:r>
        <w:rPr>
          <w:rFonts w:ascii="Times New Roman" w:hAnsi="Times New Roman" w:eastAsia="Times New Roman" w:cs="Times New Roman"/>
          <w:spacing w:val="11"/>
          <w:sz w:val="24"/>
          <w:szCs w:val="24"/>
        </w:rPr>
        <w:t>/Z134—2002</w:t>
      </w:r>
      <w:r>
        <w:rPr>
          <w:spacing w:val="11"/>
          <w:sz w:val="24"/>
          <w:szCs w:val="24"/>
        </w:rPr>
        <w:t>《</w:t>
      </w:r>
      <w:r>
        <w:rPr>
          <w:spacing w:val="56"/>
          <w:sz w:val="24"/>
          <w:szCs w:val="24"/>
        </w:rPr>
        <w:t xml:space="preserve">  </w:t>
      </w:r>
      <w:r>
        <w:rPr>
          <w:rFonts w:ascii="楷体" w:hAnsi="楷体" w:eastAsia="楷体" w:cs="楷体"/>
          <w:spacing w:val="11"/>
          <w:sz w:val="24"/>
          <w:szCs w:val="24"/>
        </w:rPr>
        <w:t>人机工程实施程序指南》编写。</w:t>
      </w:r>
    </w:p>
    <w:p w14:paraId="16678E18">
      <w:pPr>
        <w:spacing w:before="78" w:line="223" w:lineRule="auto"/>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spacing w:val="30"/>
          <w:sz w:val="25"/>
          <w:szCs w:val="25"/>
        </w:rPr>
        <w:t xml:space="preserve">  </w:t>
      </w:r>
      <w:r>
        <w:rPr>
          <w:rFonts w:ascii="黑体" w:hAnsi="黑体" w:eastAsia="黑体" w:cs="黑体"/>
          <w:b/>
          <w:bCs/>
          <w:spacing w:val="3"/>
          <w:sz w:val="25"/>
          <w:szCs w:val="25"/>
        </w:rPr>
        <w:t>范围</w:t>
      </w:r>
    </w:p>
    <w:p w14:paraId="624BC7FB">
      <w:pPr>
        <w:pStyle w:val="2"/>
        <w:spacing w:before="99" w:line="218" w:lineRule="auto"/>
        <w:ind w:left="560"/>
      </w:pPr>
      <w:r>
        <w:rPr>
          <w:spacing w:val="4"/>
        </w:rPr>
        <w:t>说明人机工程评估报告的主题内容和适用范围。</w:t>
      </w:r>
    </w:p>
    <w:p w14:paraId="5BD3531D">
      <w:pPr>
        <w:spacing w:before="98" w:line="222" w:lineRule="auto"/>
        <w:rPr>
          <w:rFonts w:ascii="黑体" w:hAnsi="黑体" w:eastAsia="黑体" w:cs="黑体"/>
          <w:sz w:val="25"/>
          <w:szCs w:val="25"/>
        </w:rPr>
      </w:pPr>
      <w:r>
        <w:rPr>
          <w:rFonts w:ascii="黑体" w:hAnsi="黑体" w:eastAsia="黑体" w:cs="黑体"/>
          <w:spacing w:val="15"/>
          <w:sz w:val="25"/>
          <w:szCs w:val="25"/>
        </w:rPr>
        <w:t>2</w:t>
      </w:r>
      <w:r>
        <w:rPr>
          <w:rFonts w:ascii="黑体" w:hAnsi="黑体" w:eastAsia="黑体" w:cs="黑体"/>
          <w:spacing w:val="23"/>
          <w:sz w:val="25"/>
          <w:szCs w:val="25"/>
        </w:rPr>
        <w:t xml:space="preserve">  </w:t>
      </w:r>
      <w:r>
        <w:rPr>
          <w:rFonts w:ascii="黑体" w:hAnsi="黑体" w:eastAsia="黑体" w:cs="黑体"/>
          <w:b/>
          <w:bCs/>
          <w:spacing w:val="15"/>
          <w:sz w:val="25"/>
          <w:szCs w:val="25"/>
        </w:rPr>
        <w:t>引用文件</w:t>
      </w:r>
    </w:p>
    <w:p w14:paraId="7CA41AB7">
      <w:pPr>
        <w:pStyle w:val="2"/>
        <w:spacing w:before="92" w:line="218" w:lineRule="auto"/>
        <w:ind w:left="560"/>
      </w:pPr>
      <w:r>
        <w:rPr>
          <w:spacing w:val="4"/>
        </w:rPr>
        <w:t>列出人机工程评估报告引用的文件。</w:t>
      </w:r>
    </w:p>
    <w:p w14:paraId="1ED5618F">
      <w:pPr>
        <w:spacing w:before="128" w:line="222" w:lineRule="auto"/>
        <w:rPr>
          <w:rFonts w:ascii="黑体" w:hAnsi="黑体" w:eastAsia="黑体" w:cs="黑体"/>
          <w:sz w:val="24"/>
          <w:szCs w:val="24"/>
        </w:rPr>
      </w:pPr>
      <w:r>
        <w:rPr>
          <w:rFonts w:ascii="黑体" w:hAnsi="黑体" w:eastAsia="黑体" w:cs="黑体"/>
          <w:spacing w:val="26"/>
          <w:sz w:val="24"/>
          <w:szCs w:val="24"/>
        </w:rPr>
        <w:t>3</w:t>
      </w:r>
      <w:r>
        <w:rPr>
          <w:rFonts w:ascii="黑体" w:hAnsi="黑体" w:eastAsia="黑体" w:cs="黑体"/>
          <w:spacing w:val="32"/>
          <w:sz w:val="24"/>
          <w:szCs w:val="24"/>
        </w:rPr>
        <w:t xml:space="preserve">  </w:t>
      </w:r>
      <w:r>
        <w:rPr>
          <w:rFonts w:ascii="黑体" w:hAnsi="黑体" w:eastAsia="黑体" w:cs="黑体"/>
          <w:b/>
          <w:bCs/>
          <w:spacing w:val="26"/>
          <w:sz w:val="24"/>
          <w:szCs w:val="24"/>
        </w:rPr>
        <w:t>人机工程设计准则</w:t>
      </w:r>
    </w:p>
    <w:p w14:paraId="63145D8C">
      <w:pPr>
        <w:pStyle w:val="2"/>
        <w:spacing w:before="97" w:line="293" w:lineRule="auto"/>
        <w:ind w:right="1640" w:firstLine="560"/>
        <w:rPr>
          <w:rFonts w:ascii="黑体" w:hAnsi="黑体" w:eastAsia="黑体" w:cs="黑体"/>
          <w:sz w:val="24"/>
          <w:szCs w:val="24"/>
        </w:rPr>
      </w:pPr>
      <w:r>
        <w:rPr>
          <w:spacing w:val="-10"/>
        </w:rPr>
        <w:t>按照《人机工程设计准则》文件，概要说明人机工程设计准则。</w:t>
      </w:r>
      <w:r>
        <w:rPr>
          <w:spacing w:val="3"/>
        </w:rPr>
        <w:t xml:space="preserve"> </w:t>
      </w:r>
      <w:r>
        <w:rPr>
          <w:rFonts w:ascii="黑体" w:hAnsi="黑体" w:eastAsia="黑体" w:cs="黑体"/>
          <w:spacing w:val="25"/>
          <w:sz w:val="24"/>
          <w:szCs w:val="24"/>
        </w:rPr>
        <w:t>4</w:t>
      </w:r>
      <w:r>
        <w:rPr>
          <w:rFonts w:ascii="黑体" w:hAnsi="黑体" w:eastAsia="黑体" w:cs="黑体"/>
          <w:spacing w:val="30"/>
          <w:sz w:val="24"/>
          <w:szCs w:val="24"/>
        </w:rPr>
        <w:t xml:space="preserve">  </w:t>
      </w:r>
      <w:r>
        <w:rPr>
          <w:rFonts w:ascii="黑体" w:hAnsi="黑体" w:eastAsia="黑体" w:cs="黑体"/>
          <w:b/>
          <w:bCs/>
          <w:spacing w:val="25"/>
          <w:sz w:val="24"/>
          <w:szCs w:val="24"/>
        </w:rPr>
        <w:t>人机工程工作内容</w:t>
      </w:r>
    </w:p>
    <w:p w14:paraId="7B43F96A">
      <w:pPr>
        <w:pStyle w:val="2"/>
        <w:spacing w:before="2" w:line="275" w:lineRule="auto"/>
        <w:ind w:right="78" w:firstLine="560"/>
      </w:pPr>
      <w:r>
        <w:rPr>
          <w:spacing w:val="-2"/>
        </w:rPr>
        <w:t>对完成的所有人机工程工作进行概括性的总结说明，包括完成时间、工作内</w:t>
      </w:r>
      <w:r>
        <w:rPr>
          <w:spacing w:val="1"/>
        </w:rPr>
        <w:t xml:space="preserve"> </w:t>
      </w:r>
      <w:r>
        <w:rPr>
          <w:spacing w:val="-18"/>
        </w:rPr>
        <w:t>容、工作结果。</w:t>
      </w:r>
    </w:p>
    <w:p w14:paraId="79E3B833">
      <w:pPr>
        <w:spacing w:before="1" w:line="221" w:lineRule="auto"/>
        <w:outlineLvl w:val="3"/>
        <w:rPr>
          <w:rFonts w:ascii="黑体" w:hAnsi="黑体" w:eastAsia="黑体" w:cs="黑体"/>
          <w:sz w:val="27"/>
          <w:szCs w:val="27"/>
        </w:rPr>
      </w:pPr>
      <w:r>
        <w:rPr>
          <w:rFonts w:ascii="Arial" w:hAnsi="Arial" w:eastAsia="Arial" w:cs="Arial"/>
          <w:b/>
          <w:bCs/>
          <w:spacing w:val="2"/>
          <w:sz w:val="27"/>
          <w:szCs w:val="27"/>
        </w:rPr>
        <w:t>5</w:t>
      </w:r>
      <w:r>
        <w:rPr>
          <w:rFonts w:ascii="Arial" w:hAnsi="Arial" w:eastAsia="Arial" w:cs="Arial"/>
          <w:b/>
          <w:bCs/>
          <w:spacing w:val="20"/>
          <w:sz w:val="27"/>
          <w:szCs w:val="27"/>
        </w:rPr>
        <w:t xml:space="preserve">   </w:t>
      </w:r>
      <w:r>
        <w:rPr>
          <w:rFonts w:ascii="黑体" w:hAnsi="黑体" w:eastAsia="黑体" w:cs="黑体"/>
          <w:b/>
          <w:bCs/>
          <w:spacing w:val="2"/>
          <w:sz w:val="27"/>
          <w:szCs w:val="27"/>
        </w:rPr>
        <w:t>出现的主要技术问题及处理情况</w:t>
      </w:r>
    </w:p>
    <w:p w14:paraId="1C93AC11">
      <w:pPr>
        <w:pStyle w:val="2"/>
        <w:spacing w:before="119" w:line="219" w:lineRule="auto"/>
        <w:ind w:left="560"/>
      </w:pPr>
      <w:r>
        <w:rPr>
          <w:spacing w:val="6"/>
        </w:rPr>
        <w:t>对人机工程工作中出现的主要技术问题及其处理情</w:t>
      </w:r>
      <w:r>
        <w:rPr>
          <w:spacing w:val="5"/>
        </w:rPr>
        <w:t>况进行说明，包括问题</w:t>
      </w:r>
    </w:p>
    <w:p w14:paraId="591E3179">
      <w:pPr>
        <w:spacing w:line="219" w:lineRule="auto"/>
        <w:sectPr>
          <w:footerReference r:id="rId652" w:type="default"/>
          <w:pgSz w:w="11910" w:h="17130"/>
          <w:pgMar w:top="1456" w:right="1575" w:bottom="1848" w:left="850" w:header="0" w:footer="1604" w:gutter="0"/>
          <w:cols w:space="720" w:num="1"/>
        </w:sectPr>
      </w:pPr>
    </w:p>
    <w:p w14:paraId="5F1E3BDA">
      <w:pPr>
        <w:pStyle w:val="2"/>
        <w:spacing w:before="54" w:line="219" w:lineRule="auto"/>
      </w:pPr>
      <w:r>
        <w:rPr>
          <w:spacing w:val="-15"/>
        </w:rPr>
        <w:t>现象、问题原因、解决措施、验证情况和归零情况。</w:t>
      </w:r>
    </w:p>
    <w:p w14:paraId="2D6D049E">
      <w:pPr>
        <w:spacing w:before="83" w:line="221" w:lineRule="auto"/>
        <w:rPr>
          <w:rFonts w:ascii="黑体" w:hAnsi="黑体" w:eastAsia="黑体" w:cs="黑体"/>
          <w:sz w:val="27"/>
          <w:szCs w:val="27"/>
        </w:rPr>
      </w:pPr>
      <w:r>
        <w:rPr>
          <w:rFonts w:ascii="黑体" w:hAnsi="黑体" w:eastAsia="黑体" w:cs="黑体"/>
          <w:spacing w:val="-1"/>
          <w:sz w:val="27"/>
          <w:szCs w:val="27"/>
        </w:rPr>
        <w:t>6</w:t>
      </w:r>
      <w:r>
        <w:rPr>
          <w:rFonts w:ascii="黑体" w:hAnsi="黑体" w:eastAsia="黑体" w:cs="黑体"/>
          <w:spacing w:val="15"/>
          <w:sz w:val="27"/>
          <w:szCs w:val="27"/>
        </w:rPr>
        <w:t xml:space="preserve">  </w:t>
      </w:r>
      <w:r>
        <w:rPr>
          <w:rFonts w:ascii="黑体" w:hAnsi="黑体" w:eastAsia="黑体" w:cs="黑体"/>
          <w:b/>
          <w:bCs/>
          <w:spacing w:val="-1"/>
          <w:sz w:val="27"/>
          <w:szCs w:val="27"/>
        </w:rPr>
        <w:t>人机工程试验结果</w:t>
      </w:r>
    </w:p>
    <w:p w14:paraId="02A9EBC3">
      <w:pPr>
        <w:pStyle w:val="2"/>
        <w:spacing w:before="89" w:line="216" w:lineRule="auto"/>
        <w:ind w:left="559"/>
      </w:pPr>
      <w:r>
        <w:rPr>
          <w:spacing w:val="-6"/>
        </w:rPr>
        <w:t>依据《人机工程试验报告》,客观描述人机工程试验结果。</w:t>
      </w:r>
    </w:p>
    <w:p w14:paraId="4FC1B89F">
      <w:pPr>
        <w:spacing w:before="72" w:line="222" w:lineRule="auto"/>
        <w:rPr>
          <w:rFonts w:ascii="黑体" w:hAnsi="黑体" w:eastAsia="黑体" w:cs="黑体"/>
          <w:sz w:val="27"/>
          <w:szCs w:val="27"/>
        </w:rPr>
      </w:pPr>
      <w:r>
        <w:rPr>
          <w:rFonts w:ascii="Arial" w:hAnsi="Arial" w:eastAsia="Arial" w:cs="Arial"/>
          <w:b/>
          <w:bCs/>
          <w:sz w:val="27"/>
          <w:szCs w:val="27"/>
        </w:rPr>
        <w:t>7</w:t>
      </w:r>
      <w:r>
        <w:rPr>
          <w:rFonts w:ascii="Arial" w:hAnsi="Arial" w:eastAsia="Arial" w:cs="Arial"/>
          <w:b/>
          <w:bCs/>
          <w:spacing w:val="21"/>
          <w:sz w:val="27"/>
          <w:szCs w:val="27"/>
        </w:rPr>
        <w:t xml:space="preserve">   </w:t>
      </w:r>
      <w:r>
        <w:rPr>
          <w:rFonts w:ascii="黑体" w:hAnsi="黑体" w:eastAsia="黑体" w:cs="黑体"/>
          <w:b/>
          <w:bCs/>
          <w:sz w:val="27"/>
          <w:szCs w:val="27"/>
        </w:rPr>
        <w:t>存在的问题和改进建议</w:t>
      </w:r>
    </w:p>
    <w:p w14:paraId="62F77AD3">
      <w:pPr>
        <w:spacing w:before="71" w:line="212" w:lineRule="auto"/>
        <w:rPr>
          <w:rFonts w:ascii="黑体" w:hAnsi="黑体" w:eastAsia="黑体" w:cs="黑体"/>
          <w:sz w:val="27"/>
          <w:szCs w:val="27"/>
        </w:rPr>
      </w:pPr>
      <w:r>
        <w:rPr>
          <w:rFonts w:ascii="Times New Roman" w:hAnsi="Times New Roman" w:eastAsia="Times New Roman" w:cs="Times New Roman"/>
          <w:spacing w:val="4"/>
          <w:sz w:val="27"/>
          <w:szCs w:val="27"/>
        </w:rPr>
        <w:t xml:space="preserve">7.X     </w:t>
      </w:r>
      <w:r>
        <w:rPr>
          <w:rFonts w:ascii="黑体" w:hAnsi="黑体" w:eastAsia="黑体" w:cs="黑体"/>
          <w:b/>
          <w:bCs/>
          <w:spacing w:val="4"/>
          <w:sz w:val="27"/>
          <w:szCs w:val="27"/>
        </w:rPr>
        <w:t>(存在的问题</w:t>
      </w:r>
      <w:r>
        <w:rPr>
          <w:rFonts w:ascii="Arial" w:hAnsi="Arial" w:eastAsia="Arial" w:cs="Arial"/>
          <w:b/>
          <w:bCs/>
          <w:spacing w:val="4"/>
          <w:sz w:val="27"/>
          <w:szCs w:val="27"/>
        </w:rPr>
        <w:t>X)</w:t>
      </w:r>
      <w:r>
        <w:rPr>
          <w:rFonts w:ascii="Arial" w:hAnsi="Arial" w:eastAsia="Arial" w:cs="Arial"/>
          <w:b/>
          <w:bCs/>
          <w:spacing w:val="-7"/>
          <w:sz w:val="27"/>
          <w:szCs w:val="27"/>
        </w:rPr>
        <w:t xml:space="preserve"> </w:t>
      </w:r>
      <w:r>
        <w:rPr>
          <w:rFonts w:ascii="黑体" w:hAnsi="黑体" w:eastAsia="黑体" w:cs="黑体"/>
          <w:b/>
          <w:bCs/>
          <w:spacing w:val="4"/>
          <w:sz w:val="27"/>
          <w:szCs w:val="27"/>
        </w:rPr>
        <w:t>改进建议</w:t>
      </w:r>
    </w:p>
    <w:p w14:paraId="3A95DEE9">
      <w:pPr>
        <w:pStyle w:val="2"/>
        <w:spacing w:before="89" w:line="285" w:lineRule="auto"/>
        <w:ind w:firstLine="559"/>
      </w:pPr>
      <w:r>
        <w:rPr>
          <w:spacing w:val="-1"/>
        </w:rPr>
        <w:t>客观描述尚未得到解决的(存在的问题</w:t>
      </w:r>
      <w:r>
        <w:rPr>
          <w:rFonts w:ascii="Times New Roman" w:hAnsi="Times New Roman" w:eastAsia="Times New Roman" w:cs="Times New Roman"/>
          <w:spacing w:val="-1"/>
        </w:rPr>
        <w:t xml:space="preserve">X) </w:t>
      </w:r>
      <w:r>
        <w:rPr>
          <w:spacing w:val="-1"/>
        </w:rPr>
        <w:t>及其</w:t>
      </w:r>
      <w:r>
        <w:rPr>
          <w:spacing w:val="-2"/>
        </w:rPr>
        <w:t>改进建议，包括问题现象、问</w:t>
      </w:r>
      <w:r>
        <w:t xml:space="preserve"> </w:t>
      </w:r>
      <w:r>
        <w:rPr>
          <w:spacing w:val="-7"/>
        </w:rPr>
        <w:t>题原因、可能采取的解决措施。</w:t>
      </w:r>
    </w:p>
    <w:p w14:paraId="32582A1F">
      <w:pPr>
        <w:spacing w:before="1" w:line="220" w:lineRule="auto"/>
        <w:rPr>
          <w:rFonts w:ascii="黑体" w:hAnsi="黑体" w:eastAsia="黑体" w:cs="黑体"/>
          <w:sz w:val="27"/>
          <w:szCs w:val="27"/>
        </w:rPr>
      </w:pPr>
      <w:r>
        <w:rPr>
          <w:rFonts w:ascii="黑体" w:hAnsi="黑体" w:eastAsia="黑体" w:cs="黑体"/>
          <w:spacing w:val="-2"/>
          <w:sz w:val="27"/>
          <w:szCs w:val="27"/>
        </w:rPr>
        <w:t>8</w:t>
      </w:r>
      <w:r>
        <w:rPr>
          <w:rFonts w:ascii="黑体" w:hAnsi="黑体" w:eastAsia="黑体" w:cs="黑体"/>
          <w:spacing w:val="13"/>
          <w:sz w:val="27"/>
          <w:szCs w:val="27"/>
        </w:rPr>
        <w:t xml:space="preserve">  </w:t>
      </w:r>
      <w:r>
        <w:rPr>
          <w:rFonts w:ascii="黑体" w:hAnsi="黑体" w:eastAsia="黑体" w:cs="黑体"/>
          <w:b/>
          <w:bCs/>
          <w:spacing w:val="-2"/>
          <w:sz w:val="27"/>
          <w:szCs w:val="27"/>
        </w:rPr>
        <w:t>结论性意见</w:t>
      </w:r>
    </w:p>
    <w:p w14:paraId="5BAA8E5C">
      <w:pPr>
        <w:pStyle w:val="2"/>
        <w:spacing w:before="103" w:line="276" w:lineRule="auto"/>
        <w:ind w:right="19" w:firstLine="559"/>
      </w:pPr>
      <w:r>
        <w:rPr>
          <w:spacing w:val="-4"/>
        </w:rPr>
        <w:t>对人机工程结果是否符合《人机工程要求》和部队使用维护要求给出结论性</w:t>
      </w:r>
      <w:r>
        <w:rPr>
          <w:spacing w:val="11"/>
        </w:rPr>
        <w:t xml:space="preserve"> </w:t>
      </w:r>
      <w:r>
        <w:rPr>
          <w:spacing w:val="-4"/>
        </w:rPr>
        <w:t>意见。</w:t>
      </w:r>
    </w:p>
    <w:p w14:paraId="305B33C8">
      <w:pPr>
        <w:spacing w:line="276" w:lineRule="auto"/>
        <w:sectPr>
          <w:footerReference r:id="rId653" w:type="default"/>
          <w:pgSz w:w="11910" w:h="17130"/>
          <w:pgMar w:top="1336" w:right="1059" w:bottom="1757" w:left="1480" w:header="0" w:footer="1540" w:gutter="0"/>
          <w:cols w:space="720" w:num="1"/>
        </w:sectPr>
      </w:pPr>
    </w:p>
    <w:p w14:paraId="4426119C">
      <w:pPr>
        <w:spacing w:line="303" w:lineRule="auto"/>
        <w:rPr>
          <w:rFonts w:ascii="Arial"/>
          <w:sz w:val="21"/>
        </w:rPr>
      </w:pPr>
    </w:p>
    <w:p w14:paraId="4F8D1A85">
      <w:pPr>
        <w:spacing w:line="303" w:lineRule="auto"/>
        <w:rPr>
          <w:rFonts w:ascii="Arial"/>
          <w:sz w:val="21"/>
        </w:rPr>
      </w:pPr>
    </w:p>
    <w:p w14:paraId="53D8636C">
      <w:pPr>
        <w:spacing w:line="304" w:lineRule="auto"/>
        <w:rPr>
          <w:rFonts w:ascii="Arial"/>
          <w:sz w:val="21"/>
        </w:rPr>
      </w:pPr>
    </w:p>
    <w:p w14:paraId="54B979D0">
      <w:pPr>
        <w:spacing w:before="143" w:line="222" w:lineRule="auto"/>
        <w:ind w:left="2220"/>
        <w:rPr>
          <w:rFonts w:ascii="黑体" w:hAnsi="黑体" w:eastAsia="黑体" w:cs="黑体"/>
          <w:sz w:val="44"/>
          <w:szCs w:val="44"/>
        </w:rPr>
      </w:pPr>
      <w:r>
        <w:rPr>
          <w:rFonts w:ascii="黑体" w:hAnsi="黑体" w:eastAsia="黑体" w:cs="黑体"/>
          <w:spacing w:val="13"/>
          <w:sz w:val="44"/>
          <w:szCs w:val="44"/>
        </w:rPr>
        <w:t>第</w:t>
      </w:r>
      <w:r>
        <w:rPr>
          <w:rFonts w:ascii="黑体" w:hAnsi="黑体" w:eastAsia="黑体" w:cs="黑体"/>
          <w:spacing w:val="-69"/>
          <w:sz w:val="44"/>
          <w:szCs w:val="44"/>
        </w:rPr>
        <w:t xml:space="preserve"> </w:t>
      </w:r>
      <w:r>
        <w:rPr>
          <w:rFonts w:ascii="黑体" w:hAnsi="黑体" w:eastAsia="黑体" w:cs="黑体"/>
          <w:spacing w:val="13"/>
          <w:sz w:val="44"/>
          <w:szCs w:val="44"/>
        </w:rPr>
        <w:t>1</w:t>
      </w:r>
      <w:r>
        <w:rPr>
          <w:rFonts w:ascii="黑体" w:hAnsi="黑体" w:eastAsia="黑体" w:cs="黑体"/>
          <w:spacing w:val="-105"/>
          <w:sz w:val="44"/>
          <w:szCs w:val="44"/>
        </w:rPr>
        <w:t xml:space="preserve"> </w:t>
      </w:r>
      <w:r>
        <w:rPr>
          <w:rFonts w:ascii="黑体" w:hAnsi="黑体" w:eastAsia="黑体" w:cs="黑体"/>
          <w:spacing w:val="13"/>
          <w:sz w:val="44"/>
          <w:szCs w:val="44"/>
        </w:rPr>
        <w:t>5</w:t>
      </w:r>
      <w:r>
        <w:rPr>
          <w:rFonts w:ascii="黑体" w:hAnsi="黑体" w:eastAsia="黑体" w:cs="黑体"/>
          <w:spacing w:val="-93"/>
          <w:sz w:val="44"/>
          <w:szCs w:val="44"/>
        </w:rPr>
        <w:t xml:space="preserve"> </w:t>
      </w:r>
      <w:r>
        <w:rPr>
          <w:rFonts w:ascii="黑体" w:hAnsi="黑体" w:eastAsia="黑体" w:cs="黑体"/>
          <w:spacing w:val="13"/>
          <w:sz w:val="44"/>
          <w:szCs w:val="44"/>
        </w:rPr>
        <w:t>章  项目成果文件</w:t>
      </w:r>
    </w:p>
    <w:p w14:paraId="31FF2111">
      <w:pPr>
        <w:spacing w:line="241" w:lineRule="auto"/>
        <w:rPr>
          <w:rFonts w:ascii="Arial"/>
          <w:sz w:val="21"/>
        </w:rPr>
      </w:pPr>
    </w:p>
    <w:p w14:paraId="17999811">
      <w:pPr>
        <w:spacing w:line="241" w:lineRule="auto"/>
        <w:rPr>
          <w:rFonts w:ascii="Arial"/>
          <w:sz w:val="21"/>
        </w:rPr>
      </w:pPr>
    </w:p>
    <w:p w14:paraId="2044ABCA">
      <w:pPr>
        <w:spacing w:line="242" w:lineRule="auto"/>
        <w:rPr>
          <w:rFonts w:ascii="Arial"/>
          <w:sz w:val="21"/>
        </w:rPr>
      </w:pPr>
    </w:p>
    <w:p w14:paraId="1FFCF9DF">
      <w:pPr>
        <w:pStyle w:val="2"/>
        <w:spacing w:before="117" w:line="220" w:lineRule="auto"/>
        <w:ind w:left="2310"/>
        <w:rPr>
          <w:sz w:val="36"/>
          <w:szCs w:val="36"/>
        </w:rPr>
      </w:pPr>
      <w:r>
        <w:rPr>
          <w:spacing w:val="4"/>
          <w:sz w:val="36"/>
          <w:szCs w:val="36"/>
        </w:rPr>
        <w:t xml:space="preserve">15.1  </w:t>
      </w:r>
      <w:r>
        <w:rPr>
          <w:b/>
          <w:bCs/>
          <w:spacing w:val="4"/>
          <w:sz w:val="36"/>
          <w:szCs w:val="36"/>
        </w:rPr>
        <w:t>研制总结(成果鉴定用)</w:t>
      </w:r>
    </w:p>
    <w:p w14:paraId="10087C2E">
      <w:pPr>
        <w:spacing w:line="377" w:lineRule="auto"/>
        <w:rPr>
          <w:rFonts w:ascii="Arial"/>
          <w:sz w:val="21"/>
        </w:rPr>
      </w:pPr>
    </w:p>
    <w:p w14:paraId="3A514EA5">
      <w:pPr>
        <w:spacing w:before="78" w:line="221" w:lineRule="auto"/>
        <w:rPr>
          <w:rFonts w:ascii="黑体" w:hAnsi="黑体" w:eastAsia="黑体" w:cs="黑体"/>
          <w:sz w:val="24"/>
          <w:szCs w:val="24"/>
        </w:rPr>
      </w:pPr>
      <w:r>
        <w:rPr>
          <w:rFonts w:ascii="黑体" w:hAnsi="黑体" w:eastAsia="黑体" w:cs="黑体"/>
          <w:spacing w:val="28"/>
          <w:sz w:val="24"/>
          <w:szCs w:val="24"/>
        </w:rPr>
        <w:t>1</w:t>
      </w:r>
      <w:r>
        <w:rPr>
          <w:rFonts w:ascii="黑体" w:hAnsi="黑体" w:eastAsia="黑体" w:cs="黑体"/>
          <w:spacing w:val="41"/>
          <w:sz w:val="24"/>
          <w:szCs w:val="24"/>
        </w:rPr>
        <w:t xml:space="preserve">  </w:t>
      </w:r>
      <w:r>
        <w:rPr>
          <w:rFonts w:ascii="黑体" w:hAnsi="黑体" w:eastAsia="黑体" w:cs="黑体"/>
          <w:spacing w:val="28"/>
          <w:sz w:val="24"/>
          <w:szCs w:val="24"/>
        </w:rPr>
        <w:t>任务来源及作用意义</w:t>
      </w:r>
    </w:p>
    <w:p w14:paraId="67981453">
      <w:pPr>
        <w:spacing w:before="112" w:line="221" w:lineRule="auto"/>
        <w:rPr>
          <w:rFonts w:ascii="黑体" w:hAnsi="黑体" w:eastAsia="黑体" w:cs="黑体"/>
          <w:sz w:val="24"/>
          <w:szCs w:val="24"/>
        </w:rPr>
      </w:pPr>
      <w:r>
        <w:rPr>
          <w:rFonts w:ascii="黑体" w:hAnsi="黑体" w:eastAsia="黑体" w:cs="黑体"/>
          <w:spacing w:val="16"/>
          <w:sz w:val="24"/>
          <w:szCs w:val="24"/>
        </w:rPr>
        <w:t>1.1</w:t>
      </w:r>
      <w:r>
        <w:rPr>
          <w:rFonts w:ascii="黑体" w:hAnsi="黑体" w:eastAsia="黑体" w:cs="黑体"/>
          <w:spacing w:val="1"/>
          <w:sz w:val="24"/>
          <w:szCs w:val="24"/>
        </w:rPr>
        <w:t xml:space="preserve">   </w:t>
      </w:r>
      <w:r>
        <w:rPr>
          <w:rFonts w:ascii="黑体" w:hAnsi="黑体" w:eastAsia="黑体" w:cs="黑体"/>
          <w:spacing w:val="16"/>
          <w:sz w:val="24"/>
          <w:szCs w:val="24"/>
        </w:rPr>
        <w:t>任务来源</w:t>
      </w:r>
    </w:p>
    <w:p w14:paraId="7ED21F7A">
      <w:pPr>
        <w:pStyle w:val="2"/>
        <w:spacing w:before="105" w:line="219" w:lineRule="auto"/>
        <w:ind w:left="560"/>
      </w:pPr>
      <w:r>
        <w:rPr>
          <w:spacing w:val="-6"/>
        </w:rPr>
        <w:t>立项背景及下达任务的部门、时间等，注明科研计划号。</w:t>
      </w:r>
    </w:p>
    <w:p w14:paraId="3735E4ED">
      <w:pPr>
        <w:spacing w:before="49" w:line="222" w:lineRule="auto"/>
        <w:rPr>
          <w:rFonts w:ascii="黑体" w:hAnsi="黑体" w:eastAsia="黑体" w:cs="黑体"/>
          <w:sz w:val="27"/>
          <w:szCs w:val="27"/>
        </w:rPr>
      </w:pPr>
      <w:r>
        <w:rPr>
          <w:rFonts w:ascii="黑体" w:hAnsi="黑体" w:eastAsia="黑体" w:cs="黑体"/>
          <w:sz w:val="27"/>
          <w:szCs w:val="27"/>
        </w:rPr>
        <w:t>1.2</w:t>
      </w:r>
      <w:r>
        <w:rPr>
          <w:rFonts w:ascii="黑体" w:hAnsi="黑体" w:eastAsia="黑体" w:cs="黑体"/>
          <w:spacing w:val="25"/>
          <w:sz w:val="27"/>
          <w:szCs w:val="27"/>
        </w:rPr>
        <w:t xml:space="preserve">  </w:t>
      </w:r>
      <w:r>
        <w:rPr>
          <w:rFonts w:ascii="黑体" w:hAnsi="黑体" w:eastAsia="黑体" w:cs="黑体"/>
          <w:sz w:val="27"/>
          <w:szCs w:val="27"/>
        </w:rPr>
        <w:t>作用意义</w:t>
      </w:r>
    </w:p>
    <w:p w14:paraId="7A4B2204">
      <w:pPr>
        <w:pStyle w:val="2"/>
        <w:spacing w:before="108" w:line="219" w:lineRule="auto"/>
        <w:ind w:left="560"/>
      </w:pPr>
      <w:r>
        <w:t>阐述项目的作用意义。</w:t>
      </w:r>
    </w:p>
    <w:p w14:paraId="46CC30A7">
      <w:pPr>
        <w:spacing w:before="87" w:line="222" w:lineRule="auto"/>
        <w:rPr>
          <w:rFonts w:ascii="黑体" w:hAnsi="黑体" w:eastAsia="黑体" w:cs="黑体"/>
          <w:sz w:val="27"/>
          <w:szCs w:val="27"/>
        </w:rPr>
      </w:pPr>
      <w:r>
        <w:rPr>
          <w:rFonts w:ascii="黑体" w:hAnsi="黑体" w:eastAsia="黑体" w:cs="黑体"/>
          <w:spacing w:val="5"/>
          <w:sz w:val="27"/>
          <w:szCs w:val="27"/>
        </w:rPr>
        <w:t>2  研制(研究)工作的主要过程</w:t>
      </w:r>
    </w:p>
    <w:p w14:paraId="38851647">
      <w:pPr>
        <w:spacing w:before="68" w:line="222" w:lineRule="auto"/>
        <w:rPr>
          <w:rFonts w:ascii="黑体" w:hAnsi="黑体" w:eastAsia="黑体" w:cs="黑体"/>
          <w:sz w:val="27"/>
          <w:szCs w:val="27"/>
        </w:rPr>
      </w:pPr>
      <w:r>
        <w:rPr>
          <w:rFonts w:ascii="黑体" w:hAnsi="黑体" w:eastAsia="黑体" w:cs="黑体"/>
          <w:spacing w:val="1"/>
          <w:sz w:val="27"/>
          <w:szCs w:val="27"/>
        </w:rPr>
        <w:t>2.1</w:t>
      </w:r>
      <w:r>
        <w:rPr>
          <w:rFonts w:ascii="黑体" w:hAnsi="黑体" w:eastAsia="黑体" w:cs="黑体"/>
          <w:spacing w:val="19"/>
          <w:sz w:val="27"/>
          <w:szCs w:val="27"/>
        </w:rPr>
        <w:t xml:space="preserve">  </w:t>
      </w:r>
      <w:r>
        <w:rPr>
          <w:rFonts w:ascii="黑体" w:hAnsi="黑体" w:eastAsia="黑体" w:cs="黑体"/>
          <w:spacing w:val="1"/>
          <w:sz w:val="27"/>
          <w:szCs w:val="27"/>
        </w:rPr>
        <w:t>论证阶段</w:t>
      </w:r>
    </w:p>
    <w:p w14:paraId="1C1BB673">
      <w:pPr>
        <w:pStyle w:val="2"/>
        <w:spacing w:before="95" w:line="219" w:lineRule="auto"/>
        <w:ind w:left="560"/>
      </w:pPr>
      <w:r>
        <w:rPr>
          <w:spacing w:val="2"/>
        </w:rPr>
        <w:t>说明时间节点及主要工作内容。</w:t>
      </w:r>
    </w:p>
    <w:p w14:paraId="4DC314EE">
      <w:pPr>
        <w:spacing w:before="67" w:line="221" w:lineRule="auto"/>
        <w:rPr>
          <w:rFonts w:ascii="黑体" w:hAnsi="黑体" w:eastAsia="黑体" w:cs="黑体"/>
          <w:sz w:val="27"/>
          <w:szCs w:val="27"/>
        </w:rPr>
      </w:pPr>
      <w:r>
        <w:rPr>
          <w:rFonts w:ascii="黑体" w:hAnsi="黑体" w:eastAsia="黑体" w:cs="黑体"/>
          <w:spacing w:val="1"/>
          <w:sz w:val="27"/>
          <w:szCs w:val="27"/>
        </w:rPr>
        <w:t>2.2</w:t>
      </w:r>
      <w:r>
        <w:rPr>
          <w:rFonts w:ascii="黑体" w:hAnsi="黑体" w:eastAsia="黑体" w:cs="黑体"/>
          <w:spacing w:val="19"/>
          <w:sz w:val="27"/>
          <w:szCs w:val="27"/>
        </w:rPr>
        <w:t xml:space="preserve">  </w:t>
      </w:r>
      <w:r>
        <w:rPr>
          <w:rFonts w:ascii="黑体" w:hAnsi="黑体" w:eastAsia="黑体" w:cs="黑体"/>
          <w:spacing w:val="1"/>
          <w:sz w:val="27"/>
          <w:szCs w:val="27"/>
        </w:rPr>
        <w:t>方案阶段</w:t>
      </w:r>
    </w:p>
    <w:p w14:paraId="553F7B01">
      <w:pPr>
        <w:pStyle w:val="2"/>
        <w:spacing w:before="80" w:line="219" w:lineRule="auto"/>
        <w:ind w:left="560"/>
      </w:pPr>
      <w:r>
        <w:rPr>
          <w:spacing w:val="2"/>
        </w:rPr>
        <w:t>说明时间节点及主要工作内容。</w:t>
      </w:r>
    </w:p>
    <w:p w14:paraId="0C38574C">
      <w:pPr>
        <w:spacing w:before="87" w:line="222" w:lineRule="auto"/>
        <w:rPr>
          <w:rFonts w:ascii="黑体" w:hAnsi="黑体" w:eastAsia="黑体" w:cs="黑体"/>
          <w:sz w:val="25"/>
          <w:szCs w:val="25"/>
        </w:rPr>
      </w:pPr>
      <w:r>
        <w:rPr>
          <w:rFonts w:ascii="黑体" w:hAnsi="黑体" w:eastAsia="黑体" w:cs="黑体"/>
          <w:spacing w:val="15"/>
          <w:sz w:val="25"/>
          <w:szCs w:val="25"/>
        </w:rPr>
        <w:t>2.3</w:t>
      </w:r>
      <w:r>
        <w:rPr>
          <w:rFonts w:ascii="黑体" w:hAnsi="黑体" w:eastAsia="黑体" w:cs="黑体"/>
          <w:spacing w:val="44"/>
          <w:sz w:val="25"/>
          <w:szCs w:val="25"/>
        </w:rPr>
        <w:t xml:space="preserve">  </w:t>
      </w:r>
      <w:r>
        <w:rPr>
          <w:rFonts w:ascii="黑体" w:hAnsi="黑体" w:eastAsia="黑体" w:cs="黑体"/>
          <w:spacing w:val="15"/>
          <w:sz w:val="25"/>
          <w:szCs w:val="25"/>
        </w:rPr>
        <w:t>工程研制阶段</w:t>
      </w:r>
    </w:p>
    <w:p w14:paraId="66DEEBED">
      <w:pPr>
        <w:pStyle w:val="2"/>
        <w:spacing w:before="92" w:line="219" w:lineRule="auto"/>
        <w:ind w:left="560"/>
      </w:pPr>
      <w:r>
        <w:rPr>
          <w:spacing w:val="2"/>
        </w:rPr>
        <w:t>说明时间节点及主要工作内容。</w:t>
      </w:r>
    </w:p>
    <w:p w14:paraId="6024C64D">
      <w:pPr>
        <w:spacing w:before="77" w:line="222" w:lineRule="auto"/>
        <w:rPr>
          <w:rFonts w:ascii="黑体" w:hAnsi="黑体" w:eastAsia="黑体" w:cs="黑体"/>
          <w:sz w:val="27"/>
          <w:szCs w:val="27"/>
        </w:rPr>
      </w:pPr>
      <w:r>
        <w:rPr>
          <w:rFonts w:ascii="黑体" w:hAnsi="黑体" w:eastAsia="黑体" w:cs="黑体"/>
          <w:spacing w:val="2"/>
          <w:sz w:val="27"/>
          <w:szCs w:val="27"/>
        </w:rPr>
        <w:t>2.4</w:t>
      </w:r>
      <w:r>
        <w:rPr>
          <w:rFonts w:ascii="黑体" w:hAnsi="黑体" w:eastAsia="黑体" w:cs="黑体"/>
          <w:spacing w:val="19"/>
          <w:sz w:val="27"/>
          <w:szCs w:val="27"/>
        </w:rPr>
        <w:t xml:space="preserve">  </w:t>
      </w:r>
      <w:r>
        <w:rPr>
          <w:rFonts w:ascii="黑体" w:hAnsi="黑体" w:eastAsia="黑体" w:cs="黑体"/>
          <w:spacing w:val="2"/>
          <w:sz w:val="27"/>
          <w:szCs w:val="27"/>
        </w:rPr>
        <w:t>设计定型阶段</w:t>
      </w:r>
    </w:p>
    <w:p w14:paraId="79735128">
      <w:pPr>
        <w:pStyle w:val="2"/>
        <w:spacing w:before="78" w:line="219" w:lineRule="auto"/>
        <w:ind w:left="560"/>
      </w:pPr>
      <w:r>
        <w:rPr>
          <w:spacing w:val="2"/>
        </w:rPr>
        <w:t>说明时间节点及主要工作内容。</w:t>
      </w:r>
    </w:p>
    <w:p w14:paraId="17F11457">
      <w:pPr>
        <w:spacing w:before="108" w:line="222" w:lineRule="auto"/>
        <w:rPr>
          <w:rFonts w:ascii="黑体" w:hAnsi="黑体" w:eastAsia="黑体" w:cs="黑体"/>
          <w:sz w:val="24"/>
          <w:szCs w:val="24"/>
        </w:rPr>
      </w:pPr>
      <w:r>
        <w:rPr>
          <w:rFonts w:ascii="黑体" w:hAnsi="黑体" w:eastAsia="黑体" w:cs="黑体"/>
          <w:spacing w:val="18"/>
          <w:sz w:val="24"/>
          <w:szCs w:val="24"/>
        </w:rPr>
        <w:t>3</w:t>
      </w:r>
      <w:r>
        <w:rPr>
          <w:rFonts w:ascii="黑体" w:hAnsi="黑体" w:eastAsia="黑体" w:cs="黑体"/>
          <w:spacing w:val="35"/>
          <w:sz w:val="24"/>
          <w:szCs w:val="24"/>
        </w:rPr>
        <w:t xml:space="preserve">  </w:t>
      </w:r>
      <w:r>
        <w:rPr>
          <w:rFonts w:ascii="黑体" w:hAnsi="黑体" w:eastAsia="黑体" w:cs="黑体"/>
          <w:spacing w:val="18"/>
          <w:sz w:val="24"/>
          <w:szCs w:val="24"/>
        </w:rPr>
        <w:t>采用的主要原理、技术</w:t>
      </w:r>
    </w:p>
    <w:p w14:paraId="34FE3F1D">
      <w:pPr>
        <w:pStyle w:val="2"/>
        <w:spacing w:before="83" w:line="219" w:lineRule="auto"/>
        <w:ind w:left="560"/>
      </w:pPr>
      <w:r>
        <w:rPr>
          <w:spacing w:val="-13"/>
        </w:rPr>
        <w:t>项目完成过程中涉及的理论、方法、工艺、计算等。</w:t>
      </w:r>
    </w:p>
    <w:p w14:paraId="7E01AB97">
      <w:pPr>
        <w:spacing w:before="77" w:line="221" w:lineRule="auto"/>
        <w:rPr>
          <w:rFonts w:ascii="黑体" w:hAnsi="黑体" w:eastAsia="黑体" w:cs="黑体"/>
          <w:sz w:val="27"/>
          <w:szCs w:val="27"/>
        </w:rPr>
      </w:pPr>
      <w:r>
        <w:rPr>
          <w:rFonts w:ascii="Arial" w:hAnsi="Arial" w:eastAsia="Arial" w:cs="Arial"/>
          <w:spacing w:val="3"/>
          <w:sz w:val="27"/>
          <w:szCs w:val="27"/>
        </w:rPr>
        <w:t>4</w:t>
      </w:r>
      <w:r>
        <w:rPr>
          <w:rFonts w:ascii="Arial" w:hAnsi="Arial" w:eastAsia="Arial" w:cs="Arial"/>
          <w:spacing w:val="17"/>
          <w:sz w:val="27"/>
          <w:szCs w:val="27"/>
        </w:rPr>
        <w:t xml:space="preserve">   </w:t>
      </w:r>
      <w:r>
        <w:rPr>
          <w:rFonts w:ascii="黑体" w:hAnsi="黑体" w:eastAsia="黑体" w:cs="黑体"/>
          <w:spacing w:val="3"/>
          <w:sz w:val="27"/>
          <w:szCs w:val="27"/>
        </w:rPr>
        <w:t>发生的重大技术问题及处理结果</w:t>
      </w:r>
    </w:p>
    <w:p w14:paraId="473B5F4E">
      <w:pPr>
        <w:spacing w:before="69" w:line="212" w:lineRule="auto"/>
        <w:rPr>
          <w:rFonts w:ascii="Times New Roman" w:hAnsi="Times New Roman" w:eastAsia="Times New Roman" w:cs="Times New Roman"/>
          <w:sz w:val="27"/>
          <w:szCs w:val="27"/>
        </w:rPr>
      </w:pPr>
      <w:r>
        <w:rPr>
          <w:rFonts w:ascii="Times New Roman" w:hAnsi="Times New Roman" w:eastAsia="Times New Roman" w:cs="Times New Roman"/>
          <w:spacing w:val="6"/>
          <w:sz w:val="27"/>
          <w:szCs w:val="27"/>
        </w:rPr>
        <w:t>4.X</w:t>
      </w:r>
      <w:r>
        <w:rPr>
          <w:rFonts w:ascii="Times New Roman" w:hAnsi="Times New Roman" w:eastAsia="Times New Roman" w:cs="Times New Roman"/>
          <w:spacing w:val="9"/>
          <w:sz w:val="27"/>
          <w:szCs w:val="27"/>
        </w:rPr>
        <w:t xml:space="preserve">     </w:t>
      </w:r>
      <w:r>
        <w:rPr>
          <w:rFonts w:ascii="黑体" w:hAnsi="黑体" w:eastAsia="黑体" w:cs="黑体"/>
          <w:spacing w:val="6"/>
          <w:sz w:val="27"/>
          <w:szCs w:val="27"/>
        </w:rPr>
        <w:t>(重大技术问题</w:t>
      </w:r>
      <w:r>
        <w:rPr>
          <w:rFonts w:ascii="Times New Roman" w:hAnsi="Times New Roman" w:eastAsia="Times New Roman" w:cs="Times New Roman"/>
          <w:spacing w:val="6"/>
          <w:sz w:val="27"/>
          <w:szCs w:val="27"/>
        </w:rPr>
        <w:t>X)</w:t>
      </w:r>
    </w:p>
    <w:p w14:paraId="54FE544C">
      <w:pPr>
        <w:spacing w:before="139" w:line="222" w:lineRule="auto"/>
        <w:rPr>
          <w:rFonts w:ascii="黑体" w:hAnsi="黑体" w:eastAsia="黑体" w:cs="黑体"/>
          <w:sz w:val="24"/>
          <w:szCs w:val="24"/>
        </w:rPr>
      </w:pPr>
      <w:r>
        <w:rPr>
          <w:rFonts w:ascii="Times New Roman" w:hAnsi="Times New Roman" w:eastAsia="Times New Roman" w:cs="Times New Roman"/>
          <w:spacing w:val="11"/>
          <w:sz w:val="24"/>
          <w:szCs w:val="24"/>
        </w:rPr>
        <w:t>4.X.</w:t>
      </w:r>
      <w:r>
        <w:rPr>
          <w:rFonts w:ascii="Times New Roman" w:hAnsi="Times New Roman" w:eastAsia="Times New Roman" w:cs="Times New Roman"/>
          <w:spacing w:val="26"/>
          <w:w w:val="101"/>
          <w:sz w:val="24"/>
          <w:szCs w:val="24"/>
        </w:rPr>
        <w:t xml:space="preserve">  </w:t>
      </w:r>
      <w:r>
        <w:rPr>
          <w:rFonts w:ascii="黑体" w:hAnsi="黑体" w:eastAsia="黑体" w:cs="黑体"/>
          <w:spacing w:val="11"/>
          <w:sz w:val="24"/>
          <w:szCs w:val="24"/>
        </w:rPr>
        <w:t>1</w:t>
      </w:r>
      <w:r>
        <w:rPr>
          <w:rFonts w:ascii="黑体" w:hAnsi="黑体" w:eastAsia="黑体" w:cs="黑体"/>
          <w:spacing w:val="55"/>
          <w:sz w:val="24"/>
          <w:szCs w:val="24"/>
        </w:rPr>
        <w:t xml:space="preserve">  </w:t>
      </w:r>
      <w:r>
        <w:rPr>
          <w:rFonts w:ascii="黑体" w:hAnsi="黑体" w:eastAsia="黑体" w:cs="黑体"/>
          <w:spacing w:val="11"/>
          <w:sz w:val="24"/>
          <w:szCs w:val="24"/>
        </w:rPr>
        <w:t>问题描述</w:t>
      </w:r>
    </w:p>
    <w:p w14:paraId="616246F3">
      <w:pPr>
        <w:pStyle w:val="2"/>
        <w:spacing w:before="62" w:line="212" w:lineRule="auto"/>
        <w:ind w:left="560"/>
      </w:pPr>
      <w:r>
        <w:rPr>
          <w:spacing w:val="7"/>
        </w:rPr>
        <w:t>客观描述发生的(重大技术问题</w:t>
      </w:r>
      <w:r>
        <w:rPr>
          <w:rFonts w:ascii="Times New Roman" w:hAnsi="Times New Roman" w:eastAsia="Times New Roman" w:cs="Times New Roman"/>
          <w:spacing w:val="7"/>
        </w:rPr>
        <w:t>X)</w:t>
      </w:r>
      <w:r>
        <w:rPr>
          <w:spacing w:val="7"/>
        </w:rPr>
        <w:t>。</w:t>
      </w:r>
    </w:p>
    <w:p w14:paraId="1299A980">
      <w:pPr>
        <w:spacing w:before="129" w:line="222" w:lineRule="auto"/>
        <w:rPr>
          <w:rFonts w:ascii="黑体" w:hAnsi="黑体" w:eastAsia="黑体" w:cs="黑体"/>
          <w:sz w:val="24"/>
          <w:szCs w:val="24"/>
        </w:rPr>
      </w:pPr>
      <w:r>
        <w:rPr>
          <w:rFonts w:ascii="Times New Roman" w:hAnsi="Times New Roman" w:eastAsia="Times New Roman" w:cs="Times New Roman"/>
          <w:spacing w:val="13"/>
          <w:sz w:val="24"/>
          <w:szCs w:val="24"/>
        </w:rPr>
        <w:t>4.X.2</w:t>
      </w:r>
      <w:r>
        <w:rPr>
          <w:rFonts w:ascii="Times New Roman" w:hAnsi="Times New Roman" w:eastAsia="Times New Roman" w:cs="Times New Roman"/>
          <w:spacing w:val="3"/>
          <w:sz w:val="24"/>
          <w:szCs w:val="24"/>
        </w:rPr>
        <w:t xml:space="preserve">        </w:t>
      </w:r>
      <w:r>
        <w:rPr>
          <w:rFonts w:ascii="黑体" w:hAnsi="黑体" w:eastAsia="黑体" w:cs="黑体"/>
          <w:spacing w:val="13"/>
          <w:sz w:val="24"/>
          <w:szCs w:val="24"/>
        </w:rPr>
        <w:t>原因分析</w:t>
      </w:r>
    </w:p>
    <w:p w14:paraId="0059C591">
      <w:pPr>
        <w:pStyle w:val="2"/>
        <w:spacing w:before="72" w:line="212" w:lineRule="auto"/>
        <w:ind w:left="560"/>
      </w:pPr>
      <w:r>
        <w:t>详细分析(重大技术问题</w:t>
      </w:r>
      <w:r>
        <w:rPr>
          <w:rFonts w:ascii="Times New Roman" w:hAnsi="Times New Roman" w:eastAsia="Times New Roman" w:cs="Times New Roman"/>
        </w:rPr>
        <w:t xml:space="preserve">X) </w:t>
      </w:r>
      <w:r>
        <w:t>的原因，说明技术难点。</w:t>
      </w:r>
    </w:p>
    <w:p w14:paraId="68533BBC">
      <w:pPr>
        <w:spacing w:before="118" w:line="221" w:lineRule="auto"/>
        <w:rPr>
          <w:rFonts w:ascii="黑体" w:hAnsi="黑体" w:eastAsia="黑体" w:cs="黑体"/>
          <w:sz w:val="27"/>
          <w:szCs w:val="27"/>
        </w:rPr>
      </w:pPr>
      <w:r>
        <w:rPr>
          <w:rFonts w:ascii="Times New Roman" w:hAnsi="Times New Roman" w:eastAsia="Times New Roman" w:cs="Times New Roman"/>
          <w:spacing w:val="1"/>
          <w:sz w:val="27"/>
          <w:szCs w:val="27"/>
        </w:rPr>
        <w:t>4.X.3</w:t>
      </w:r>
      <w:r>
        <w:rPr>
          <w:rFonts w:ascii="Times New Roman" w:hAnsi="Times New Roman" w:eastAsia="Times New Roman" w:cs="Times New Roman"/>
          <w:spacing w:val="4"/>
          <w:sz w:val="27"/>
          <w:szCs w:val="27"/>
        </w:rPr>
        <w:t xml:space="preserve">      </w:t>
      </w:r>
      <w:r>
        <w:rPr>
          <w:rFonts w:ascii="黑体" w:hAnsi="黑体" w:eastAsia="黑体" w:cs="黑体"/>
          <w:spacing w:val="1"/>
          <w:sz w:val="27"/>
          <w:szCs w:val="27"/>
        </w:rPr>
        <w:t>解决方法</w:t>
      </w:r>
    </w:p>
    <w:p w14:paraId="2658B5AD">
      <w:pPr>
        <w:pStyle w:val="2"/>
        <w:spacing w:before="59" w:line="212" w:lineRule="auto"/>
        <w:ind w:left="560"/>
      </w:pPr>
      <w:r>
        <w:rPr>
          <w:spacing w:val="9"/>
        </w:rPr>
        <w:t>客观描述(重大技术问题</w:t>
      </w:r>
      <w:r>
        <w:rPr>
          <w:rFonts w:ascii="Times New Roman" w:hAnsi="Times New Roman" w:eastAsia="Times New Roman" w:cs="Times New Roman"/>
          <w:spacing w:val="9"/>
        </w:rPr>
        <w:t>X)</w:t>
      </w:r>
      <w:r>
        <w:rPr>
          <w:spacing w:val="9"/>
        </w:rPr>
        <w:t>的解决方法。</w:t>
      </w:r>
    </w:p>
    <w:p w14:paraId="66F28BFC">
      <w:pPr>
        <w:spacing w:before="119" w:line="222" w:lineRule="auto"/>
        <w:rPr>
          <w:rFonts w:ascii="黑体" w:hAnsi="黑体" w:eastAsia="黑体" w:cs="黑体"/>
          <w:sz w:val="27"/>
          <w:szCs w:val="27"/>
        </w:rPr>
      </w:pPr>
      <w:r>
        <w:rPr>
          <w:rFonts w:ascii="Times New Roman" w:hAnsi="Times New Roman" w:eastAsia="Times New Roman" w:cs="Times New Roman"/>
          <w:spacing w:val="-2"/>
          <w:sz w:val="27"/>
          <w:szCs w:val="27"/>
        </w:rPr>
        <w:t>4.X.</w:t>
      </w:r>
      <w:r>
        <w:rPr>
          <w:rFonts w:ascii="Times New Roman" w:hAnsi="Times New Roman" w:eastAsia="Times New Roman" w:cs="Times New Roman"/>
          <w:spacing w:val="55"/>
          <w:sz w:val="27"/>
          <w:szCs w:val="27"/>
        </w:rPr>
        <w:t xml:space="preserve"> </w:t>
      </w:r>
      <w:r>
        <w:rPr>
          <w:rFonts w:ascii="黑体" w:hAnsi="黑体" w:eastAsia="黑体" w:cs="黑体"/>
          <w:spacing w:val="-2"/>
          <w:sz w:val="27"/>
          <w:szCs w:val="27"/>
        </w:rPr>
        <w:t>4</w:t>
      </w:r>
      <w:r>
        <w:rPr>
          <w:rFonts w:ascii="黑体" w:hAnsi="黑体" w:eastAsia="黑体" w:cs="黑体"/>
          <w:spacing w:val="24"/>
          <w:sz w:val="27"/>
          <w:szCs w:val="27"/>
        </w:rPr>
        <w:t xml:space="preserve">  </w:t>
      </w:r>
      <w:r>
        <w:rPr>
          <w:rFonts w:ascii="黑体" w:hAnsi="黑体" w:eastAsia="黑体" w:cs="黑体"/>
          <w:spacing w:val="-2"/>
          <w:sz w:val="27"/>
          <w:szCs w:val="27"/>
        </w:rPr>
        <w:t>验证情况</w:t>
      </w:r>
    </w:p>
    <w:p w14:paraId="1410F46F">
      <w:pPr>
        <w:pStyle w:val="2"/>
        <w:spacing w:before="56" w:line="212" w:lineRule="auto"/>
        <w:ind w:left="560"/>
      </w:pPr>
      <w:r>
        <w:rPr>
          <w:spacing w:val="6"/>
        </w:rPr>
        <w:t>说明对(重大技术问题</w:t>
      </w:r>
      <w:r>
        <w:rPr>
          <w:rFonts w:ascii="Times New Roman" w:hAnsi="Times New Roman" w:eastAsia="Times New Roman" w:cs="Times New Roman"/>
          <w:spacing w:val="6"/>
        </w:rPr>
        <w:t>X)</w:t>
      </w:r>
      <w:r>
        <w:rPr>
          <w:rFonts w:ascii="Times New Roman" w:hAnsi="Times New Roman" w:eastAsia="Times New Roman" w:cs="Times New Roman"/>
          <w:spacing w:val="-4"/>
        </w:rPr>
        <w:t xml:space="preserve"> </w:t>
      </w:r>
      <w:r>
        <w:rPr>
          <w:spacing w:val="6"/>
        </w:rPr>
        <w:t>解决方法的验证时间和效果。</w:t>
      </w:r>
    </w:p>
    <w:p w14:paraId="47612998">
      <w:pPr>
        <w:spacing w:line="212" w:lineRule="auto"/>
        <w:sectPr>
          <w:footerReference r:id="rId654" w:type="default"/>
          <w:pgSz w:w="11910" w:h="17130"/>
          <w:pgMar w:top="1456" w:right="1786" w:bottom="1833" w:left="959" w:header="0" w:footer="1634" w:gutter="0"/>
          <w:cols w:space="720" w:num="1"/>
        </w:sectPr>
      </w:pPr>
    </w:p>
    <w:p w14:paraId="3989A092">
      <w:pPr>
        <w:spacing w:before="98" w:line="221" w:lineRule="auto"/>
        <w:rPr>
          <w:rFonts w:ascii="黑体" w:hAnsi="黑体" w:eastAsia="黑体" w:cs="黑体"/>
          <w:sz w:val="27"/>
          <w:szCs w:val="27"/>
        </w:rPr>
      </w:pPr>
      <w:r>
        <w:rPr>
          <w:rFonts w:ascii="黑体" w:hAnsi="黑体" w:eastAsia="黑体" w:cs="黑体"/>
          <w:spacing w:val="-9"/>
          <w:sz w:val="27"/>
          <w:szCs w:val="27"/>
        </w:rPr>
        <w:t>5</w:t>
      </w:r>
      <w:r>
        <w:rPr>
          <w:rFonts w:ascii="黑体" w:hAnsi="黑体" w:eastAsia="黑体" w:cs="黑体"/>
          <w:spacing w:val="17"/>
          <w:sz w:val="27"/>
          <w:szCs w:val="27"/>
        </w:rPr>
        <w:t xml:space="preserve">  </w:t>
      </w:r>
      <w:r>
        <w:rPr>
          <w:rFonts w:ascii="黑体" w:hAnsi="黑体" w:eastAsia="黑体" w:cs="黑体"/>
          <w:b/>
          <w:bCs/>
          <w:spacing w:val="-9"/>
          <w:sz w:val="27"/>
          <w:szCs w:val="27"/>
        </w:rPr>
        <w:t>试验、试用的主要情况及结论</w:t>
      </w:r>
    </w:p>
    <w:p w14:paraId="4619922D">
      <w:pPr>
        <w:pStyle w:val="2"/>
        <w:spacing w:before="82" w:line="279" w:lineRule="auto"/>
        <w:ind w:right="105" w:firstLine="550"/>
        <w:jc w:val="both"/>
      </w:pPr>
      <w:r>
        <w:rPr>
          <w:spacing w:val="5"/>
        </w:rPr>
        <w:t>试验和试飞的项(科)目、结论、发现的主</w:t>
      </w:r>
      <w:r>
        <w:rPr>
          <w:spacing w:val="4"/>
        </w:rPr>
        <w:t>要技术问题及处理意见等综合情</w:t>
      </w:r>
      <w:r>
        <w:t xml:space="preserve"> </w:t>
      </w:r>
      <w:r>
        <w:rPr>
          <w:spacing w:val="-17"/>
        </w:rPr>
        <w:t>况；试用的时间、环境、数量、次数，取得的效果、解决的问题，在试用中发</w:t>
      </w:r>
      <w:r>
        <w:rPr>
          <w:spacing w:val="-18"/>
        </w:rPr>
        <w:t>现的问</w:t>
      </w:r>
      <w:r>
        <w:t xml:space="preserve"> </w:t>
      </w:r>
      <w:r>
        <w:rPr>
          <w:spacing w:val="3"/>
        </w:rPr>
        <w:t>题及改进情况等。</w:t>
      </w:r>
    </w:p>
    <w:p w14:paraId="1ABFD4CD">
      <w:pPr>
        <w:spacing w:before="1" w:line="220" w:lineRule="auto"/>
        <w:rPr>
          <w:rFonts w:ascii="黑体" w:hAnsi="黑体" w:eastAsia="黑体" w:cs="黑体"/>
          <w:sz w:val="27"/>
          <w:szCs w:val="27"/>
        </w:rPr>
      </w:pPr>
      <w:r>
        <w:rPr>
          <w:rFonts w:ascii="黑体" w:hAnsi="黑体" w:eastAsia="黑体" w:cs="黑体"/>
          <w:spacing w:val="3"/>
          <w:sz w:val="27"/>
          <w:szCs w:val="27"/>
        </w:rPr>
        <w:t xml:space="preserve">6  </w:t>
      </w:r>
      <w:r>
        <w:rPr>
          <w:rFonts w:ascii="黑体" w:hAnsi="黑体" w:eastAsia="黑体" w:cs="黑体"/>
          <w:b/>
          <w:bCs/>
          <w:spacing w:val="3"/>
          <w:sz w:val="27"/>
          <w:szCs w:val="27"/>
        </w:rPr>
        <w:t>总体性能指标与国内外同类先进技术的比较</w:t>
      </w:r>
    </w:p>
    <w:p w14:paraId="48484DAE">
      <w:pPr>
        <w:pStyle w:val="2"/>
        <w:spacing w:before="93" w:line="219" w:lineRule="auto"/>
        <w:ind w:left="550"/>
      </w:pPr>
      <w:r>
        <w:rPr>
          <w:spacing w:val="-7"/>
        </w:rPr>
        <w:t>项目与现有同类技术相比的优点、缺点，可配图表说明。</w:t>
      </w:r>
    </w:p>
    <w:p w14:paraId="58B62D6C">
      <w:pPr>
        <w:spacing w:before="73" w:line="221" w:lineRule="auto"/>
        <w:rPr>
          <w:rFonts w:ascii="黑体" w:hAnsi="黑体" w:eastAsia="黑体" w:cs="黑体"/>
          <w:sz w:val="27"/>
          <w:szCs w:val="27"/>
        </w:rPr>
      </w:pPr>
      <w:r>
        <w:rPr>
          <w:rFonts w:ascii="黑体" w:hAnsi="黑体" w:eastAsia="黑体" w:cs="黑体"/>
          <w:spacing w:val="-1"/>
          <w:sz w:val="27"/>
          <w:szCs w:val="27"/>
        </w:rPr>
        <w:t>7</w:t>
      </w:r>
      <w:r>
        <w:rPr>
          <w:rFonts w:ascii="黑体" w:hAnsi="黑体" w:eastAsia="黑体" w:cs="黑体"/>
          <w:spacing w:val="21"/>
          <w:sz w:val="27"/>
          <w:szCs w:val="27"/>
        </w:rPr>
        <w:t xml:space="preserve">  </w:t>
      </w:r>
      <w:r>
        <w:rPr>
          <w:rFonts w:ascii="黑体" w:hAnsi="黑体" w:eastAsia="黑体" w:cs="黑体"/>
          <w:b/>
          <w:bCs/>
          <w:spacing w:val="-1"/>
          <w:sz w:val="27"/>
          <w:szCs w:val="27"/>
        </w:rPr>
        <w:t>技术成熟程度</w:t>
      </w:r>
    </w:p>
    <w:p w14:paraId="137AF959">
      <w:pPr>
        <w:pStyle w:val="2"/>
        <w:spacing w:before="101" w:line="219" w:lineRule="auto"/>
        <w:ind w:left="550"/>
      </w:pPr>
      <w:r>
        <w:rPr>
          <w:spacing w:val="4"/>
        </w:rPr>
        <w:t>项目采用的主要技术从原则性向规模化应用发展的程度。</w:t>
      </w:r>
    </w:p>
    <w:p w14:paraId="5175BAF3">
      <w:pPr>
        <w:spacing w:before="68" w:line="222" w:lineRule="auto"/>
        <w:rPr>
          <w:rFonts w:ascii="黑体" w:hAnsi="黑体" w:eastAsia="黑体" w:cs="黑体"/>
          <w:sz w:val="27"/>
          <w:szCs w:val="27"/>
        </w:rPr>
      </w:pPr>
      <w:r>
        <w:rPr>
          <w:rFonts w:ascii="黑体" w:hAnsi="黑体" w:eastAsia="黑体" w:cs="黑体"/>
          <w:spacing w:val="-2"/>
          <w:sz w:val="27"/>
          <w:szCs w:val="27"/>
        </w:rPr>
        <w:t>8</w:t>
      </w:r>
      <w:r>
        <w:rPr>
          <w:rFonts w:ascii="黑体" w:hAnsi="黑体" w:eastAsia="黑体" w:cs="黑体"/>
          <w:spacing w:val="20"/>
          <w:sz w:val="27"/>
          <w:szCs w:val="27"/>
        </w:rPr>
        <w:t xml:space="preserve">  </w:t>
      </w:r>
      <w:r>
        <w:rPr>
          <w:rFonts w:ascii="黑体" w:hAnsi="黑体" w:eastAsia="黑体" w:cs="黑体"/>
          <w:b/>
          <w:bCs/>
          <w:spacing w:val="-2"/>
          <w:sz w:val="27"/>
          <w:szCs w:val="27"/>
        </w:rPr>
        <w:t>主要技术进步点</w:t>
      </w:r>
    </w:p>
    <w:p w14:paraId="6E308276">
      <w:pPr>
        <w:spacing w:before="82" w:line="212" w:lineRule="auto"/>
        <w:rPr>
          <w:rFonts w:ascii="Times New Roman" w:hAnsi="Times New Roman" w:eastAsia="Times New Roman" w:cs="Times New Roman"/>
          <w:sz w:val="27"/>
          <w:szCs w:val="27"/>
        </w:rPr>
      </w:pPr>
      <w:r>
        <w:rPr>
          <w:rFonts w:ascii="Times New Roman" w:hAnsi="Times New Roman" w:eastAsia="Times New Roman" w:cs="Times New Roman"/>
          <w:b/>
          <w:bCs/>
          <w:spacing w:val="4"/>
          <w:sz w:val="27"/>
          <w:szCs w:val="27"/>
        </w:rPr>
        <w:t xml:space="preserve">8. </w:t>
      </w:r>
      <w:r>
        <w:rPr>
          <w:rFonts w:ascii="Times New Roman" w:hAnsi="Times New Roman" w:eastAsia="Times New Roman" w:cs="Times New Roman"/>
          <w:spacing w:val="4"/>
          <w:sz w:val="27"/>
          <w:szCs w:val="27"/>
        </w:rPr>
        <w:t xml:space="preserve">X    </w:t>
      </w:r>
      <w:r>
        <w:rPr>
          <w:rFonts w:ascii="黑体" w:hAnsi="黑体" w:eastAsia="黑体" w:cs="黑体"/>
          <w:b/>
          <w:bCs/>
          <w:spacing w:val="4"/>
          <w:sz w:val="27"/>
          <w:szCs w:val="27"/>
        </w:rPr>
        <w:t>(技术进步点</w:t>
      </w:r>
      <w:r>
        <w:rPr>
          <w:rFonts w:ascii="Times New Roman" w:hAnsi="Times New Roman" w:eastAsia="Times New Roman" w:cs="Times New Roman"/>
          <w:b/>
          <w:bCs/>
          <w:spacing w:val="4"/>
          <w:sz w:val="27"/>
          <w:szCs w:val="27"/>
        </w:rPr>
        <w:t>X)</w:t>
      </w:r>
    </w:p>
    <w:p w14:paraId="6A79C932">
      <w:pPr>
        <w:pStyle w:val="2"/>
        <w:spacing w:before="77" w:line="212" w:lineRule="auto"/>
        <w:ind w:left="550"/>
      </w:pPr>
      <w:r>
        <w:rPr>
          <w:spacing w:val="6"/>
        </w:rPr>
        <w:t>说明项目的(技术进步点</w:t>
      </w:r>
      <w:r>
        <w:rPr>
          <w:rFonts w:ascii="Times New Roman" w:hAnsi="Times New Roman" w:eastAsia="Times New Roman" w:cs="Times New Roman"/>
          <w:spacing w:val="6"/>
        </w:rPr>
        <w:t>X)</w:t>
      </w:r>
      <w:r>
        <w:rPr>
          <w:rFonts w:ascii="Times New Roman" w:hAnsi="Times New Roman" w:eastAsia="Times New Roman" w:cs="Times New Roman"/>
          <w:spacing w:val="-2"/>
        </w:rPr>
        <w:t xml:space="preserve"> </w:t>
      </w:r>
      <w:r>
        <w:rPr>
          <w:spacing w:val="6"/>
        </w:rPr>
        <w:t>及自主知识产权情况。</w:t>
      </w:r>
    </w:p>
    <w:p w14:paraId="5C4AB976">
      <w:pPr>
        <w:spacing w:before="134" w:line="221" w:lineRule="auto"/>
        <w:rPr>
          <w:rFonts w:ascii="黑体" w:hAnsi="黑体" w:eastAsia="黑体" w:cs="黑体"/>
          <w:sz w:val="27"/>
          <w:szCs w:val="27"/>
        </w:rPr>
      </w:pPr>
      <w:r>
        <w:rPr>
          <w:rFonts w:ascii="黑体" w:hAnsi="黑体" w:eastAsia="黑体" w:cs="黑体"/>
          <w:spacing w:val="-11"/>
          <w:sz w:val="27"/>
          <w:szCs w:val="27"/>
        </w:rPr>
        <w:t xml:space="preserve">9  </w:t>
      </w:r>
      <w:r>
        <w:rPr>
          <w:rFonts w:ascii="黑体" w:hAnsi="黑体" w:eastAsia="黑体" w:cs="黑体"/>
          <w:b/>
          <w:bCs/>
          <w:spacing w:val="-11"/>
          <w:sz w:val="27"/>
          <w:szCs w:val="27"/>
        </w:rPr>
        <w:t>军事、社会、经济效益及推广应用前景</w:t>
      </w:r>
    </w:p>
    <w:p w14:paraId="20D96EE8">
      <w:pPr>
        <w:pStyle w:val="2"/>
        <w:spacing w:before="111" w:line="287" w:lineRule="auto"/>
        <w:ind w:right="82" w:firstLine="550"/>
        <w:rPr>
          <w:sz w:val="25"/>
          <w:szCs w:val="25"/>
        </w:rPr>
      </w:pPr>
      <w:r>
        <w:rPr>
          <w:spacing w:val="18"/>
          <w:sz w:val="25"/>
          <w:szCs w:val="25"/>
        </w:rPr>
        <w:t>项目所取得的军事、经济和社会效益；推广实</w:t>
      </w:r>
      <w:r>
        <w:rPr>
          <w:spacing w:val="17"/>
          <w:sz w:val="25"/>
          <w:szCs w:val="25"/>
        </w:rPr>
        <w:t>施中的难易程度、所需的配套</w:t>
      </w:r>
      <w:r>
        <w:rPr>
          <w:sz w:val="25"/>
          <w:szCs w:val="25"/>
        </w:rPr>
        <w:t xml:space="preserve"> </w:t>
      </w:r>
      <w:r>
        <w:rPr>
          <w:spacing w:val="15"/>
          <w:sz w:val="25"/>
          <w:szCs w:val="25"/>
        </w:rPr>
        <w:t>条件是否具备、推广时机是否成熟、经费能否支持及潜在的应用领域等。</w:t>
      </w:r>
    </w:p>
    <w:p w14:paraId="785B4F0A">
      <w:pPr>
        <w:spacing w:line="221" w:lineRule="auto"/>
        <w:rPr>
          <w:rFonts w:ascii="黑体" w:hAnsi="黑体" w:eastAsia="黑体" w:cs="黑体"/>
          <w:sz w:val="27"/>
          <w:szCs w:val="27"/>
        </w:rPr>
      </w:pPr>
      <w:r>
        <w:rPr>
          <w:rFonts w:ascii="黑体" w:hAnsi="黑体" w:eastAsia="黑体" w:cs="黑体"/>
          <w:spacing w:val="-5"/>
          <w:sz w:val="27"/>
          <w:szCs w:val="27"/>
        </w:rPr>
        <w:t xml:space="preserve">10  </w:t>
      </w:r>
      <w:r>
        <w:rPr>
          <w:rFonts w:ascii="黑体" w:hAnsi="黑体" w:eastAsia="黑体" w:cs="黑体"/>
          <w:b/>
          <w:bCs/>
          <w:spacing w:val="-5"/>
          <w:sz w:val="27"/>
          <w:szCs w:val="27"/>
        </w:rPr>
        <w:t>存在的主要问题及解决措施、时限等</w:t>
      </w:r>
    </w:p>
    <w:p w14:paraId="64D46321">
      <w:pPr>
        <w:spacing w:before="33" w:line="368" w:lineRule="exact"/>
        <w:rPr>
          <w:rFonts w:ascii="Arial" w:hAnsi="Arial" w:eastAsia="Arial" w:cs="Arial"/>
          <w:sz w:val="27"/>
          <w:szCs w:val="27"/>
        </w:rPr>
      </w:pPr>
      <w:r>
        <w:rPr>
          <w:rFonts w:ascii="Arial" w:hAnsi="Arial" w:eastAsia="Arial" w:cs="Arial"/>
          <w:spacing w:val="3"/>
          <w:position w:val="3"/>
          <w:sz w:val="27"/>
          <w:szCs w:val="27"/>
        </w:rPr>
        <w:t>10.X</w:t>
      </w:r>
      <w:r>
        <w:rPr>
          <w:rFonts w:ascii="Arial" w:hAnsi="Arial" w:eastAsia="Arial" w:cs="Arial"/>
          <w:spacing w:val="18"/>
          <w:position w:val="3"/>
          <w:sz w:val="27"/>
          <w:szCs w:val="27"/>
        </w:rPr>
        <w:t xml:space="preserve">    </w:t>
      </w:r>
      <w:r>
        <w:rPr>
          <w:rFonts w:ascii="黑体" w:hAnsi="黑体" w:eastAsia="黑体" w:cs="黑体"/>
          <w:b/>
          <w:bCs/>
          <w:spacing w:val="3"/>
          <w:position w:val="3"/>
          <w:sz w:val="27"/>
          <w:szCs w:val="27"/>
        </w:rPr>
        <w:t>(存在的主要问题</w:t>
      </w:r>
      <w:r>
        <w:rPr>
          <w:rFonts w:ascii="Arial" w:hAnsi="Arial" w:eastAsia="Arial" w:cs="Arial"/>
          <w:b/>
          <w:bCs/>
          <w:spacing w:val="3"/>
          <w:position w:val="3"/>
          <w:sz w:val="27"/>
          <w:szCs w:val="27"/>
        </w:rPr>
        <w:t>X)</w:t>
      </w:r>
    </w:p>
    <w:p w14:paraId="57248CED">
      <w:pPr>
        <w:pStyle w:val="2"/>
        <w:spacing w:before="80" w:line="212" w:lineRule="auto"/>
        <w:ind w:left="550"/>
      </w:pPr>
      <w:r>
        <w:rPr>
          <w:spacing w:val="6"/>
        </w:rPr>
        <w:t>客观描述(存在的主要问题</w:t>
      </w:r>
      <w:r>
        <w:rPr>
          <w:rFonts w:ascii="Times New Roman" w:hAnsi="Times New Roman" w:eastAsia="Times New Roman" w:cs="Times New Roman"/>
          <w:spacing w:val="6"/>
        </w:rPr>
        <w:t>X),</w:t>
      </w:r>
      <w:r>
        <w:rPr>
          <w:rFonts w:ascii="Times New Roman" w:hAnsi="Times New Roman" w:eastAsia="Times New Roman" w:cs="Times New Roman"/>
          <w:spacing w:val="62"/>
          <w:w w:val="101"/>
        </w:rPr>
        <w:t xml:space="preserve"> </w:t>
      </w:r>
      <w:r>
        <w:rPr>
          <w:spacing w:val="6"/>
        </w:rPr>
        <w:t>提出解决的方案及计划完成的时间。</w:t>
      </w:r>
    </w:p>
    <w:p w14:paraId="3755F6F0">
      <w:pPr>
        <w:spacing w:line="377" w:lineRule="auto"/>
        <w:rPr>
          <w:rFonts w:ascii="Arial"/>
          <w:sz w:val="21"/>
        </w:rPr>
      </w:pPr>
    </w:p>
    <w:p w14:paraId="0ACA01D4">
      <w:pPr>
        <w:pStyle w:val="2"/>
        <w:spacing w:before="117" w:line="219" w:lineRule="auto"/>
        <w:ind w:left="2699"/>
        <w:rPr>
          <w:sz w:val="36"/>
          <w:szCs w:val="36"/>
        </w:rPr>
      </w:pPr>
      <w:r>
        <w:rPr>
          <w:spacing w:val="-1"/>
          <w:sz w:val="36"/>
          <w:szCs w:val="36"/>
        </w:rPr>
        <w:t>15.2</w:t>
      </w:r>
      <w:r>
        <w:rPr>
          <w:spacing w:val="24"/>
          <w:sz w:val="36"/>
          <w:szCs w:val="36"/>
        </w:rPr>
        <w:t xml:space="preserve">  </w:t>
      </w:r>
      <w:r>
        <w:rPr>
          <w:b/>
          <w:bCs/>
          <w:spacing w:val="-1"/>
          <w:sz w:val="36"/>
          <w:szCs w:val="36"/>
        </w:rPr>
        <w:t>科技成果鉴定证书</w:t>
      </w:r>
    </w:p>
    <w:p w14:paraId="2E2EC1CB">
      <w:pPr>
        <w:spacing w:line="340" w:lineRule="auto"/>
        <w:rPr>
          <w:rFonts w:ascii="Arial"/>
          <w:sz w:val="21"/>
        </w:rPr>
      </w:pPr>
    </w:p>
    <w:p w14:paraId="1A048406">
      <w:pPr>
        <w:spacing w:before="88" w:line="221" w:lineRule="auto"/>
        <w:ind w:left="553"/>
        <w:outlineLvl w:val="3"/>
        <w:rPr>
          <w:rFonts w:ascii="黑体" w:hAnsi="黑体" w:eastAsia="黑体" w:cs="黑体"/>
          <w:sz w:val="27"/>
          <w:szCs w:val="27"/>
        </w:rPr>
      </w:pPr>
      <w:r>
        <w:rPr>
          <w:rFonts w:ascii="黑体" w:hAnsi="黑体" w:eastAsia="黑体" w:cs="黑体"/>
          <w:b/>
          <w:bCs/>
          <w:spacing w:val="-2"/>
          <w:sz w:val="27"/>
          <w:szCs w:val="27"/>
        </w:rPr>
        <w:t>一、简要技术说明及主要技术性能指标</w:t>
      </w:r>
    </w:p>
    <w:p w14:paraId="09F197F7">
      <w:pPr>
        <w:pStyle w:val="2"/>
        <w:spacing w:before="105" w:line="281" w:lineRule="auto"/>
        <w:ind w:right="102" w:firstLine="550"/>
      </w:pPr>
      <w:r>
        <w:rPr>
          <w:spacing w:val="-3"/>
        </w:rPr>
        <w:t>由申请鉴定单位填写。对任务来源、产品组成及其技术特点、产品试验试用</w:t>
      </w:r>
      <w:r>
        <w:t xml:space="preserve"> </w:t>
      </w:r>
      <w:r>
        <w:rPr>
          <w:spacing w:val="-4"/>
        </w:rPr>
        <w:t>情况、创新性和技术难度进行简要说明，列出上级批复的主要技术性能指标。</w:t>
      </w:r>
    </w:p>
    <w:p w14:paraId="0FD4BC25">
      <w:pPr>
        <w:spacing w:line="221" w:lineRule="auto"/>
        <w:ind w:left="553"/>
        <w:outlineLvl w:val="3"/>
        <w:rPr>
          <w:rFonts w:ascii="黑体" w:hAnsi="黑体" w:eastAsia="黑体" w:cs="黑体"/>
          <w:sz w:val="24"/>
          <w:szCs w:val="24"/>
        </w:rPr>
      </w:pPr>
      <w:r>
        <w:rPr>
          <w:rFonts w:ascii="黑体" w:hAnsi="黑体" w:eastAsia="黑体" w:cs="黑体"/>
          <w:b/>
          <w:bCs/>
          <w:spacing w:val="22"/>
          <w:sz w:val="24"/>
          <w:szCs w:val="24"/>
        </w:rPr>
        <w:t>二</w:t>
      </w:r>
      <w:r>
        <w:rPr>
          <w:rFonts w:ascii="黑体" w:hAnsi="黑体" w:eastAsia="黑体" w:cs="黑体"/>
          <w:spacing w:val="-38"/>
          <w:sz w:val="24"/>
          <w:szCs w:val="24"/>
        </w:rPr>
        <w:t xml:space="preserve"> </w:t>
      </w:r>
      <w:r>
        <w:rPr>
          <w:rFonts w:ascii="黑体" w:hAnsi="黑体" w:eastAsia="黑体" w:cs="黑体"/>
          <w:b/>
          <w:bCs/>
          <w:spacing w:val="22"/>
          <w:sz w:val="24"/>
          <w:szCs w:val="24"/>
        </w:rPr>
        <w:t>、推广应用前景及效益预测</w:t>
      </w:r>
    </w:p>
    <w:p w14:paraId="1CE9A016">
      <w:pPr>
        <w:pStyle w:val="2"/>
        <w:spacing w:before="119" w:line="271" w:lineRule="auto"/>
        <w:ind w:firstLine="550"/>
        <w:jc w:val="both"/>
      </w:pPr>
      <w:r>
        <w:rPr>
          <w:spacing w:val="5"/>
        </w:rPr>
        <w:t>由申请鉴定单位填写。说明已经在部队应用的产品数</w:t>
      </w:r>
      <w:r>
        <w:rPr>
          <w:spacing w:val="4"/>
        </w:rPr>
        <w:t>量，根据装备实际情</w:t>
      </w:r>
      <w:r>
        <w:t xml:space="preserve">  况，说明产品今后可能推广应用的范围，并对军事、经济和社会效益进行预测。</w:t>
      </w:r>
      <w:r>
        <w:rPr>
          <w:spacing w:val="13"/>
        </w:rPr>
        <w:t xml:space="preserve"> </w:t>
      </w:r>
      <w:r>
        <w:rPr>
          <w:spacing w:val="2"/>
        </w:rPr>
        <w:t>对效益的预测应附计算方法和依据。</w:t>
      </w:r>
    </w:p>
    <w:p w14:paraId="11377C3E">
      <w:pPr>
        <w:spacing w:before="44" w:line="221" w:lineRule="auto"/>
        <w:ind w:left="553"/>
        <w:outlineLvl w:val="3"/>
        <w:rPr>
          <w:rFonts w:ascii="黑体" w:hAnsi="黑体" w:eastAsia="黑体" w:cs="黑体"/>
          <w:sz w:val="24"/>
          <w:szCs w:val="24"/>
        </w:rPr>
      </w:pPr>
      <w:r>
        <w:rPr>
          <w:rFonts w:ascii="黑体" w:hAnsi="黑体" w:eastAsia="黑体" w:cs="黑体"/>
          <w:b/>
          <w:bCs/>
          <w:spacing w:val="21"/>
          <w:sz w:val="24"/>
          <w:szCs w:val="24"/>
        </w:rPr>
        <w:t>三</w:t>
      </w:r>
      <w:r>
        <w:rPr>
          <w:rFonts w:ascii="黑体" w:hAnsi="黑体" w:eastAsia="黑体" w:cs="黑体"/>
          <w:spacing w:val="-36"/>
          <w:sz w:val="24"/>
          <w:szCs w:val="24"/>
        </w:rPr>
        <w:t xml:space="preserve"> </w:t>
      </w:r>
      <w:r>
        <w:rPr>
          <w:rFonts w:ascii="黑体" w:hAnsi="黑体" w:eastAsia="黑体" w:cs="黑体"/>
          <w:b/>
          <w:bCs/>
          <w:spacing w:val="21"/>
          <w:sz w:val="24"/>
          <w:szCs w:val="24"/>
        </w:rPr>
        <w:t>、主要技术资料目录及来源</w:t>
      </w:r>
    </w:p>
    <w:p w14:paraId="274EF682">
      <w:pPr>
        <w:pStyle w:val="2"/>
        <w:spacing w:before="110" w:line="219" w:lineRule="auto"/>
        <w:ind w:left="550"/>
      </w:pPr>
      <w:r>
        <w:rPr>
          <w:spacing w:val="4"/>
        </w:rPr>
        <w:t>由申请鉴定单位填写。列出提交成果鉴定的主要技术资料及其</w:t>
      </w:r>
      <w:r>
        <w:rPr>
          <w:spacing w:val="3"/>
        </w:rPr>
        <w:t>编写单位。</w:t>
      </w:r>
    </w:p>
    <w:p w14:paraId="02A2C79F">
      <w:pPr>
        <w:spacing w:before="93" w:line="221" w:lineRule="auto"/>
        <w:ind w:left="553"/>
        <w:outlineLvl w:val="3"/>
        <w:rPr>
          <w:rFonts w:ascii="黑体" w:hAnsi="黑体" w:eastAsia="黑体" w:cs="黑体"/>
          <w:sz w:val="25"/>
          <w:szCs w:val="25"/>
        </w:rPr>
      </w:pPr>
      <w:r>
        <w:rPr>
          <w:rFonts w:ascii="黑体" w:hAnsi="黑体" w:eastAsia="黑体" w:cs="黑体"/>
          <w:b/>
          <w:bCs/>
          <w:spacing w:val="-4"/>
          <w:sz w:val="25"/>
          <w:szCs w:val="25"/>
        </w:rPr>
        <w:t>四</w:t>
      </w:r>
      <w:r>
        <w:rPr>
          <w:rFonts w:ascii="黑体" w:hAnsi="黑体" w:eastAsia="黑体" w:cs="黑体"/>
          <w:spacing w:val="-47"/>
          <w:sz w:val="25"/>
          <w:szCs w:val="25"/>
        </w:rPr>
        <w:t xml:space="preserve"> </w:t>
      </w:r>
      <w:r>
        <w:rPr>
          <w:rFonts w:ascii="黑体" w:hAnsi="黑体" w:eastAsia="黑体" w:cs="黑体"/>
          <w:b/>
          <w:bCs/>
          <w:spacing w:val="-4"/>
          <w:sz w:val="25"/>
          <w:szCs w:val="25"/>
        </w:rPr>
        <w:t>、鉴定意见</w:t>
      </w:r>
    </w:p>
    <w:p w14:paraId="65681CDC">
      <w:pPr>
        <w:pStyle w:val="2"/>
        <w:spacing w:before="117" w:line="268" w:lineRule="auto"/>
        <w:ind w:right="117" w:firstLine="550"/>
      </w:pPr>
      <w:r>
        <w:rPr>
          <w:spacing w:val="5"/>
        </w:rPr>
        <w:t>在科技成果鉴定会议上形成。科技成果鉴定委员会(或</w:t>
      </w:r>
      <w:r>
        <w:rPr>
          <w:spacing w:val="4"/>
        </w:rPr>
        <w:t>鉴定组)形成的鉴定</w:t>
      </w:r>
      <w:r>
        <w:t xml:space="preserve"> </w:t>
      </w:r>
      <w:r>
        <w:rPr>
          <w:spacing w:val="-2"/>
        </w:rPr>
        <w:t>意见，科技成果鉴定委员会主任委员(或鉴定组组长)签</w:t>
      </w:r>
      <w:r>
        <w:rPr>
          <w:spacing w:val="-3"/>
        </w:rPr>
        <w:t>字。</w:t>
      </w:r>
    </w:p>
    <w:p w14:paraId="5B4DB7AC">
      <w:pPr>
        <w:spacing w:before="2" w:line="220" w:lineRule="auto"/>
        <w:ind w:left="553"/>
        <w:outlineLvl w:val="3"/>
        <w:rPr>
          <w:rFonts w:ascii="黑体" w:hAnsi="黑体" w:eastAsia="黑体" w:cs="黑体"/>
          <w:sz w:val="27"/>
          <w:szCs w:val="27"/>
        </w:rPr>
      </w:pPr>
      <w:r>
        <w:rPr>
          <w:rFonts w:ascii="黑体" w:hAnsi="黑体" w:eastAsia="黑体" w:cs="黑体"/>
          <w:b/>
          <w:bCs/>
          <w:spacing w:val="-5"/>
          <w:sz w:val="27"/>
          <w:szCs w:val="27"/>
        </w:rPr>
        <w:t>五、主持鉴定单位意见</w:t>
      </w:r>
    </w:p>
    <w:p w14:paraId="78519E84">
      <w:pPr>
        <w:pStyle w:val="2"/>
        <w:spacing w:before="131" w:line="219" w:lineRule="auto"/>
        <w:ind w:left="550"/>
      </w:pPr>
      <w:r>
        <w:rPr>
          <w:spacing w:val="5"/>
        </w:rPr>
        <w:t>由主持鉴定单位填写。《鉴定证书》连同上报的</w:t>
      </w:r>
      <w:r>
        <w:rPr>
          <w:spacing w:val="4"/>
        </w:rPr>
        <w:t>电子文档送主持鉴定单位</w:t>
      </w:r>
    </w:p>
    <w:p w14:paraId="3613ECC6">
      <w:pPr>
        <w:spacing w:line="219" w:lineRule="auto"/>
        <w:sectPr>
          <w:footerReference r:id="rId655" w:type="default"/>
          <w:pgSz w:w="11910" w:h="17130"/>
          <w:pgMar w:top="1456" w:right="755" w:bottom="1630" w:left="1690" w:header="0" w:footer="1344" w:gutter="0"/>
          <w:cols w:space="720" w:num="1"/>
        </w:sectPr>
      </w:pPr>
    </w:p>
    <w:p w14:paraId="4D0C9E60">
      <w:pPr>
        <w:pStyle w:val="2"/>
        <w:spacing w:before="114" w:line="283" w:lineRule="auto"/>
        <w:ind w:right="38"/>
      </w:pPr>
      <w:r>
        <w:rPr>
          <w:spacing w:val="5"/>
        </w:rPr>
        <w:t>(通常由科技成果管理办公室进行初审和数据接收后统一上报)进行审核，</w:t>
      </w:r>
      <w:r>
        <w:rPr>
          <w:spacing w:val="4"/>
        </w:rPr>
        <w:t>签署</w:t>
      </w:r>
      <w:r>
        <w:t xml:space="preserve"> </w:t>
      </w:r>
      <w:r>
        <w:rPr>
          <w:spacing w:val="-7"/>
        </w:rPr>
        <w:t>意见(通常为“同意鉴定意见”或“同意”),注明日期并加盖主持鉴定单位</w:t>
      </w:r>
      <w:r>
        <w:rPr>
          <w:spacing w:val="-8"/>
        </w:rPr>
        <w:t>印章。</w:t>
      </w:r>
    </w:p>
    <w:p w14:paraId="7B6EA780">
      <w:pPr>
        <w:spacing w:before="1" w:line="220" w:lineRule="auto"/>
        <w:ind w:left="560"/>
        <w:rPr>
          <w:rFonts w:ascii="黑体" w:hAnsi="黑体" w:eastAsia="黑体" w:cs="黑体"/>
          <w:sz w:val="24"/>
          <w:szCs w:val="24"/>
        </w:rPr>
      </w:pPr>
      <w:r>
        <w:rPr>
          <w:rFonts w:ascii="黑体" w:hAnsi="黑体" w:eastAsia="黑体" w:cs="黑体"/>
          <w:spacing w:val="18"/>
          <w:sz w:val="24"/>
          <w:szCs w:val="24"/>
        </w:rPr>
        <w:t>六</w:t>
      </w:r>
      <w:r>
        <w:rPr>
          <w:rFonts w:ascii="黑体" w:hAnsi="黑体" w:eastAsia="黑体" w:cs="黑体"/>
          <w:spacing w:val="-23"/>
          <w:sz w:val="24"/>
          <w:szCs w:val="24"/>
        </w:rPr>
        <w:t xml:space="preserve"> </w:t>
      </w:r>
      <w:r>
        <w:rPr>
          <w:rFonts w:ascii="黑体" w:hAnsi="黑体" w:eastAsia="黑体" w:cs="黑体"/>
          <w:spacing w:val="18"/>
          <w:sz w:val="24"/>
          <w:szCs w:val="24"/>
        </w:rPr>
        <w:t>、组织鉴定单位意见</w:t>
      </w:r>
    </w:p>
    <w:p w14:paraId="0C2E76F7">
      <w:pPr>
        <w:pStyle w:val="2"/>
        <w:spacing w:before="81" w:line="281" w:lineRule="auto"/>
        <w:ind w:right="15" w:firstLine="560"/>
      </w:pPr>
      <w:r>
        <w:rPr>
          <w:spacing w:val="1"/>
        </w:rPr>
        <w:t>由组织鉴定单位填写。组织鉴定单位签署意见(通常为“同意”),注明日期</w:t>
      </w:r>
      <w:r>
        <w:rPr>
          <w:spacing w:val="7"/>
        </w:rPr>
        <w:t xml:space="preserve"> </w:t>
      </w:r>
      <w:r>
        <w:rPr>
          <w:spacing w:val="-13"/>
        </w:rPr>
        <w:t>并加盖组织鉴定单位“科技成果鉴定专用章”,《</w:t>
      </w:r>
      <w:r>
        <w:rPr>
          <w:spacing w:val="-14"/>
        </w:rPr>
        <w:t>鉴定证书》生效。</w:t>
      </w:r>
    </w:p>
    <w:p w14:paraId="62D4D6B9">
      <w:pPr>
        <w:spacing w:before="9" w:line="221" w:lineRule="auto"/>
        <w:ind w:left="560"/>
        <w:rPr>
          <w:rFonts w:ascii="黑体" w:hAnsi="黑体" w:eastAsia="黑体" w:cs="黑体"/>
          <w:sz w:val="27"/>
          <w:szCs w:val="27"/>
        </w:rPr>
      </w:pPr>
      <w:r>
        <w:rPr>
          <w:rFonts w:ascii="黑体" w:hAnsi="黑体" w:eastAsia="黑体" w:cs="黑体"/>
          <w:spacing w:val="-1"/>
          <w:sz w:val="27"/>
          <w:szCs w:val="27"/>
        </w:rPr>
        <w:t>七、主要完成人员名单</w:t>
      </w:r>
    </w:p>
    <w:p w14:paraId="7779950E">
      <w:pPr>
        <w:pStyle w:val="2"/>
        <w:spacing w:before="77" w:line="276" w:lineRule="auto"/>
        <w:ind w:right="18" w:firstLine="560"/>
        <w:jc w:val="both"/>
      </w:pPr>
      <w:r>
        <w:rPr>
          <w:spacing w:val="5"/>
        </w:rPr>
        <w:t>由申请鉴定单位填写。按照表格要求填写主要完成人员相关信息并由主要</w:t>
      </w:r>
      <w:r>
        <w:rPr>
          <w:spacing w:val="12"/>
        </w:rPr>
        <w:t xml:space="preserve"> </w:t>
      </w:r>
      <w:r>
        <w:rPr>
          <w:spacing w:val="6"/>
        </w:rPr>
        <w:t>完成人员本人签名确认。主要完成人员是指在</w:t>
      </w:r>
      <w:r>
        <w:rPr>
          <w:spacing w:val="5"/>
        </w:rPr>
        <w:t>技术上对该项成果做出创造性贡</w:t>
      </w:r>
      <w:r>
        <w:t xml:space="preserve"> </w:t>
      </w:r>
      <w:r>
        <w:rPr>
          <w:spacing w:val="-3"/>
        </w:rPr>
        <w:t>献的人员，必须按照贡献大小顺序排列。</w:t>
      </w:r>
    </w:p>
    <w:p w14:paraId="15C22C18">
      <w:pPr>
        <w:spacing w:line="221" w:lineRule="auto"/>
        <w:ind w:left="560"/>
        <w:rPr>
          <w:rFonts w:ascii="黑体" w:hAnsi="黑体" w:eastAsia="黑体" w:cs="黑体"/>
          <w:sz w:val="27"/>
          <w:szCs w:val="27"/>
        </w:rPr>
      </w:pPr>
      <w:r>
        <w:rPr>
          <w:rFonts w:ascii="黑体" w:hAnsi="黑体" w:eastAsia="黑体" w:cs="黑体"/>
          <w:spacing w:val="-2"/>
          <w:sz w:val="27"/>
          <w:szCs w:val="27"/>
        </w:rPr>
        <w:t>八、鉴定专家名单</w:t>
      </w:r>
    </w:p>
    <w:p w14:paraId="692477B9">
      <w:pPr>
        <w:pStyle w:val="2"/>
        <w:spacing w:before="108" w:line="270" w:lineRule="auto"/>
        <w:ind w:right="19" w:firstLine="560"/>
      </w:pPr>
      <w:r>
        <w:rPr>
          <w:spacing w:val="5"/>
        </w:rPr>
        <w:t>按照表格要求填写鉴定专家相关信息，并在成果鉴定会议上由鉴定专家本</w:t>
      </w:r>
      <w:r>
        <w:rPr>
          <w:spacing w:val="11"/>
        </w:rPr>
        <w:t xml:space="preserve"> </w:t>
      </w:r>
      <w:r>
        <w:rPr>
          <w:spacing w:val="2"/>
        </w:rPr>
        <w:t>人签名确认。</w:t>
      </w:r>
    </w:p>
    <w:p w14:paraId="329FE377">
      <w:pPr>
        <w:pStyle w:val="2"/>
        <w:spacing w:before="29" w:line="275" w:lineRule="auto"/>
        <w:ind w:right="17" w:firstLine="560"/>
        <w:jc w:val="both"/>
      </w:pPr>
      <w:r>
        <w:rPr>
          <w:spacing w:val="1"/>
        </w:rPr>
        <w:t>注意：除不宜公开鉴定的项目外，成果完成单位(包括所有主要完成者所在</w:t>
      </w:r>
      <w:r>
        <w:rPr>
          <w:spacing w:val="6"/>
        </w:rPr>
        <w:t xml:space="preserve"> </w:t>
      </w:r>
      <w:r>
        <w:rPr>
          <w:spacing w:val="1"/>
        </w:rPr>
        <w:t>的单位)的人员不得作为同行专家参加对该成果的鉴定。一项科技成果鉴定，从</w:t>
      </w:r>
      <w:r>
        <w:t xml:space="preserve"> </w:t>
      </w:r>
      <w:r>
        <w:rPr>
          <w:spacing w:val="10"/>
        </w:rPr>
        <w:t>同一单位聘请的专家不得超过2名。</w:t>
      </w:r>
    </w:p>
    <w:p w14:paraId="5CBF04E5">
      <w:pPr>
        <w:spacing w:line="241" w:lineRule="auto"/>
        <w:rPr>
          <w:rFonts w:ascii="Arial"/>
          <w:sz w:val="21"/>
        </w:rPr>
      </w:pPr>
    </w:p>
    <w:p w14:paraId="4F1EA5FF">
      <w:pPr>
        <w:pStyle w:val="2"/>
        <w:spacing w:before="118" w:line="219" w:lineRule="auto"/>
        <w:ind w:left="2319"/>
        <w:rPr>
          <w:sz w:val="36"/>
          <w:szCs w:val="36"/>
        </w:rPr>
      </w:pPr>
      <w:r>
        <w:rPr>
          <w:spacing w:val="2"/>
          <w:sz w:val="36"/>
          <w:szCs w:val="36"/>
        </w:rPr>
        <w:t xml:space="preserve">15.3  </w:t>
      </w:r>
      <w:r>
        <w:rPr>
          <w:b/>
          <w:bCs/>
          <w:spacing w:val="2"/>
          <w:sz w:val="36"/>
          <w:szCs w:val="36"/>
        </w:rPr>
        <w:t>科技成果汇报播放文件</w:t>
      </w:r>
    </w:p>
    <w:p w14:paraId="08A568AA">
      <w:pPr>
        <w:spacing w:line="357" w:lineRule="auto"/>
        <w:rPr>
          <w:rFonts w:ascii="Arial"/>
          <w:sz w:val="21"/>
        </w:rPr>
      </w:pPr>
    </w:p>
    <w:p w14:paraId="5FAFC0A1">
      <w:pPr>
        <w:pStyle w:val="2"/>
        <w:spacing w:before="88" w:line="271" w:lineRule="auto"/>
        <w:ind w:right="21" w:firstLine="560"/>
        <w:jc w:val="both"/>
      </w:pPr>
      <w:r>
        <w:rPr>
          <w:spacing w:val="-3"/>
        </w:rPr>
        <w:t>凡推荐军队一等奖、二等奖项目，均需制作能够反映该成果特色和应用情况</w:t>
      </w:r>
      <w:r>
        <w:t xml:space="preserve"> 的汇报片，格式为</w:t>
      </w:r>
      <w:r>
        <w:rPr>
          <w:rFonts w:ascii="Times New Roman" w:hAnsi="Times New Roman" w:eastAsia="Times New Roman" w:cs="Times New Roman"/>
        </w:rPr>
        <w:t xml:space="preserve">PowerPoint2003   </w:t>
      </w:r>
      <w:r>
        <w:t>版</w:t>
      </w:r>
      <w:r>
        <w:rPr>
          <w:spacing w:val="-59"/>
        </w:rPr>
        <w:t xml:space="preserve"> </w:t>
      </w:r>
      <w:r>
        <w:t>本</w:t>
      </w:r>
      <w:r>
        <w:rPr>
          <w:rFonts w:ascii="Times New Roman" w:hAnsi="Times New Roman" w:eastAsia="Times New Roman" w:cs="Times New Roman"/>
        </w:rPr>
        <w:t>ppt</w:t>
      </w:r>
      <w:r>
        <w:rPr>
          <w:rFonts w:ascii="Times New Roman" w:hAnsi="Times New Roman" w:eastAsia="Times New Roman" w:cs="Times New Roman"/>
          <w:spacing w:val="46"/>
          <w:w w:val="101"/>
        </w:rPr>
        <w:t xml:space="preserve"> </w:t>
      </w:r>
      <w:r>
        <w:t>或</w:t>
      </w:r>
      <w:r>
        <w:rPr>
          <w:spacing w:val="-61"/>
        </w:rPr>
        <w:t xml:space="preserve"> </w:t>
      </w:r>
      <w:r>
        <w:rPr>
          <w:rFonts w:ascii="Times New Roman" w:hAnsi="Times New Roman" w:eastAsia="Times New Roman" w:cs="Times New Roman"/>
        </w:rPr>
        <w:t>pps</w:t>
      </w:r>
      <w:r>
        <w:rPr>
          <w:rFonts w:ascii="Times New Roman" w:hAnsi="Times New Roman" w:eastAsia="Times New Roman" w:cs="Times New Roman"/>
          <w:spacing w:val="57"/>
        </w:rPr>
        <w:t xml:space="preserve"> </w:t>
      </w:r>
      <w:r>
        <w:t>格式播放</w:t>
      </w:r>
      <w:r>
        <w:rPr>
          <w:spacing w:val="-1"/>
        </w:rPr>
        <w:t>文件，时间在6</w:t>
      </w:r>
      <w:r>
        <w:rPr>
          <w:rFonts w:ascii="Times New Roman" w:hAnsi="Times New Roman" w:eastAsia="Times New Roman" w:cs="Times New Roman"/>
          <w:spacing w:val="-1"/>
        </w:rPr>
        <w:t>min</w:t>
      </w:r>
      <w:r>
        <w:rPr>
          <w:rFonts w:ascii="Times New Roman" w:hAnsi="Times New Roman" w:eastAsia="Times New Roman" w:cs="Times New Roman"/>
        </w:rPr>
        <w:t xml:space="preserve"> </w:t>
      </w:r>
      <w:r>
        <w:rPr>
          <w:spacing w:val="5"/>
        </w:rPr>
        <w:t>之内。具体时间分割和内容画面安排如下(供参考):</w:t>
      </w:r>
    </w:p>
    <w:p w14:paraId="5EDE73A0">
      <w:pPr>
        <w:pStyle w:val="2"/>
        <w:spacing w:before="39" w:line="251" w:lineRule="auto"/>
        <w:ind w:firstLine="560"/>
        <w:rPr>
          <w:rFonts w:ascii="Times New Roman" w:hAnsi="Times New Roman" w:eastAsia="Times New Roman" w:cs="Times New Roman"/>
        </w:rPr>
      </w:pPr>
      <w:r>
        <w:rPr>
          <w:spacing w:val="-2"/>
        </w:rPr>
        <w:t>[片头]——项目名称、完成单位，伴解说。如用背</w:t>
      </w:r>
      <w:r>
        <w:rPr>
          <w:spacing w:val="-3"/>
        </w:rPr>
        <w:t>景画面，应是与本项目直</w:t>
      </w:r>
      <w:r>
        <w:t xml:space="preserve"> </w:t>
      </w:r>
      <w:r>
        <w:rPr>
          <w:spacing w:val="1"/>
        </w:rPr>
        <w:t>接有关的内容。(5</w:t>
      </w:r>
      <w:r>
        <w:rPr>
          <w:rFonts w:ascii="Times New Roman" w:hAnsi="Times New Roman" w:eastAsia="Times New Roman" w:cs="Times New Roman"/>
          <w:spacing w:val="1"/>
        </w:rPr>
        <w:t>s</w:t>
      </w:r>
      <w:r>
        <w:rPr>
          <w:spacing w:val="1"/>
        </w:rPr>
        <w:t>～</w:t>
      </w:r>
      <w:r>
        <w:rPr>
          <w:rFonts w:ascii="Times New Roman" w:hAnsi="Times New Roman" w:eastAsia="Times New Roman" w:cs="Times New Roman"/>
          <w:spacing w:val="1"/>
        </w:rPr>
        <w:t>10s)</w:t>
      </w:r>
    </w:p>
    <w:p w14:paraId="7E18AD4F">
      <w:pPr>
        <w:pStyle w:val="2"/>
        <w:spacing w:before="75" w:line="264" w:lineRule="auto"/>
        <w:ind w:right="12" w:firstLine="560"/>
        <w:jc w:val="both"/>
        <w:rPr>
          <w:rFonts w:ascii="Times New Roman" w:hAnsi="Times New Roman" w:eastAsia="Times New Roman" w:cs="Times New Roman"/>
        </w:rPr>
      </w:pPr>
      <w:r>
        <w:rPr>
          <w:spacing w:val="-3"/>
        </w:rPr>
        <w:t>[一、立项背景]——标题，伴解说。说明立项背景，包括任务来源、任务编</w:t>
      </w:r>
      <w:r>
        <w:rPr>
          <w:spacing w:val="10"/>
        </w:rPr>
        <w:t xml:space="preserve"> </w:t>
      </w:r>
      <w:r>
        <w:rPr>
          <w:spacing w:val="-9"/>
        </w:rPr>
        <w:t>号、重要程度、作用意义等，如“该项目是×</w:t>
      </w:r>
      <w:r>
        <w:rPr>
          <w:spacing w:val="-10"/>
        </w:rPr>
        <w:t>×××年(主管机关)下达的重点科研</w:t>
      </w:r>
      <w:r>
        <w:t xml:space="preserve"> </w:t>
      </w:r>
      <w:r>
        <w:rPr>
          <w:spacing w:val="-10"/>
        </w:rPr>
        <w:t>项目，主要是为了加强产品××××能力，提高平台××××作战能力。”配背景</w:t>
      </w:r>
      <w:r>
        <w:rPr>
          <w:spacing w:val="12"/>
        </w:rPr>
        <w:t xml:space="preserve"> </w:t>
      </w:r>
      <w:r>
        <w:rPr>
          <w:spacing w:val="-7"/>
        </w:rPr>
        <w:t>画面，如项目任务书。(30</w:t>
      </w:r>
      <w:r>
        <w:rPr>
          <w:rFonts w:ascii="Times New Roman" w:hAnsi="Times New Roman" w:eastAsia="Times New Roman" w:cs="Times New Roman"/>
          <w:spacing w:val="-7"/>
        </w:rPr>
        <w:t>s)</w:t>
      </w:r>
    </w:p>
    <w:p w14:paraId="5CB8B0AF">
      <w:pPr>
        <w:pStyle w:val="2"/>
        <w:spacing w:before="109" w:line="255" w:lineRule="auto"/>
        <w:ind w:right="21" w:firstLine="560"/>
        <w:jc w:val="both"/>
        <w:rPr>
          <w:rFonts w:ascii="Times New Roman" w:hAnsi="Times New Roman" w:eastAsia="Times New Roman" w:cs="Times New Roman"/>
        </w:rPr>
      </w:pPr>
      <w:r>
        <w:rPr>
          <w:spacing w:val="-11"/>
        </w:rPr>
        <w:t>[二、主要研究内容]——标题，伴解说。项目研究的总体概貌，系统组成，研</w:t>
      </w:r>
      <w:r>
        <w:rPr>
          <w:spacing w:val="15"/>
        </w:rPr>
        <w:t xml:space="preserve"> </w:t>
      </w:r>
      <w:r>
        <w:rPr>
          <w:spacing w:val="-2"/>
        </w:rPr>
        <w:t>究内容及各系统的主要功能。配背景画面，如项目系统</w:t>
      </w:r>
      <w:r>
        <w:rPr>
          <w:spacing w:val="-3"/>
        </w:rPr>
        <w:t>全景、结构框图或功能框</w:t>
      </w:r>
      <w:r>
        <w:t xml:space="preserve"> </w:t>
      </w:r>
      <w:r>
        <w:rPr>
          <w:spacing w:val="-1"/>
        </w:rPr>
        <w:t>图等。(30</w:t>
      </w:r>
      <w:r>
        <w:rPr>
          <w:rFonts w:ascii="Times New Roman" w:hAnsi="Times New Roman" w:eastAsia="Times New Roman" w:cs="Times New Roman"/>
          <w:spacing w:val="-1"/>
        </w:rPr>
        <w:t>s)</w:t>
      </w:r>
    </w:p>
    <w:p w14:paraId="002810B3">
      <w:pPr>
        <w:pStyle w:val="2"/>
        <w:spacing w:before="79" w:line="266" w:lineRule="auto"/>
        <w:ind w:right="17" w:firstLine="560"/>
        <w:jc w:val="both"/>
        <w:rPr>
          <w:rFonts w:ascii="Times New Roman" w:hAnsi="Times New Roman" w:eastAsia="Times New Roman" w:cs="Times New Roman"/>
        </w:rPr>
      </w:pPr>
      <w:r>
        <w:rPr>
          <w:spacing w:val="-3"/>
        </w:rPr>
        <w:t>[三、创新点]——标题，伴解说。创新点配合画面和解说词，逐条介绍。在</w:t>
      </w:r>
      <w:r>
        <w:rPr>
          <w:spacing w:val="5"/>
        </w:rPr>
        <w:t xml:space="preserve"> </w:t>
      </w:r>
      <w:r>
        <w:rPr>
          <w:spacing w:val="-10"/>
        </w:rPr>
        <w:t>介绍每一个创新点时，配上与该创新点相关的研究内容画面</w:t>
      </w:r>
      <w:r>
        <w:rPr>
          <w:spacing w:val="-11"/>
        </w:rPr>
        <w:t>，包括论证、设计、研</w:t>
      </w:r>
      <w:r>
        <w:t xml:space="preserve"> </w:t>
      </w:r>
      <w:r>
        <w:rPr>
          <w:spacing w:val="-10"/>
        </w:rPr>
        <w:t>制、试验、应用等过程和结果。(180</w:t>
      </w:r>
      <w:r>
        <w:rPr>
          <w:rFonts w:ascii="Times New Roman" w:hAnsi="Times New Roman" w:eastAsia="Times New Roman" w:cs="Times New Roman"/>
          <w:spacing w:val="-10"/>
        </w:rPr>
        <w:t>s)</w:t>
      </w:r>
    </w:p>
    <w:p w14:paraId="5ECCD25E">
      <w:pPr>
        <w:pStyle w:val="2"/>
        <w:spacing w:before="82" w:line="218" w:lineRule="auto"/>
        <w:ind w:right="20"/>
        <w:jc w:val="right"/>
      </w:pPr>
      <w:r>
        <w:rPr>
          <w:spacing w:val="-3"/>
        </w:rPr>
        <w:t>[四、评价与应用]——标题，伴解说。主要评价结论用字幕显示；应用情况</w:t>
      </w:r>
    </w:p>
    <w:p w14:paraId="463C54B3">
      <w:pPr>
        <w:spacing w:line="218" w:lineRule="auto"/>
        <w:sectPr>
          <w:footerReference r:id="rId656" w:type="default"/>
          <w:pgSz w:w="11910" w:h="17130"/>
          <w:pgMar w:top="1456" w:right="1417" w:bottom="1623" w:left="1100" w:header="0" w:footer="1424" w:gutter="0"/>
          <w:cols w:space="720" w:num="1"/>
        </w:sectPr>
      </w:pPr>
    </w:p>
    <w:p w14:paraId="7074ED04">
      <w:pPr>
        <w:pStyle w:val="2"/>
        <w:spacing w:before="73" w:line="251" w:lineRule="auto"/>
        <w:ind w:left="134" w:right="118"/>
        <w:rPr>
          <w:rFonts w:ascii="Times New Roman" w:hAnsi="Times New Roman" w:eastAsia="Times New Roman" w:cs="Times New Roman"/>
        </w:rPr>
      </w:pPr>
      <w:r>
        <w:rPr>
          <w:spacing w:val="-10"/>
        </w:rPr>
        <w:t>反映该成果的实际应用和取得的军事、社会效益，以应用现场照片、数字、图表显</w:t>
      </w:r>
      <w:r>
        <w:rPr>
          <w:spacing w:val="6"/>
        </w:rPr>
        <w:t xml:space="preserve"> </w:t>
      </w:r>
      <w:r>
        <w:rPr>
          <w:spacing w:val="4"/>
        </w:rPr>
        <w:t>示。(90</w:t>
      </w:r>
      <w:r>
        <w:rPr>
          <w:rFonts w:ascii="Times New Roman" w:hAnsi="Times New Roman" w:eastAsia="Times New Roman" w:cs="Times New Roman"/>
          <w:spacing w:val="4"/>
        </w:rPr>
        <w:t>s)</w:t>
      </w:r>
    </w:p>
    <w:p w14:paraId="4BD022EB">
      <w:pPr>
        <w:spacing w:line="314" w:lineRule="auto"/>
        <w:rPr>
          <w:rFonts w:ascii="Arial"/>
          <w:sz w:val="21"/>
        </w:rPr>
      </w:pPr>
    </w:p>
    <w:p w14:paraId="7BF4CAF6">
      <w:pPr>
        <w:pStyle w:val="2"/>
        <w:spacing w:before="117" w:line="219" w:lineRule="auto"/>
        <w:ind w:left="2454"/>
        <w:outlineLvl w:val="1"/>
        <w:rPr>
          <w:sz w:val="36"/>
          <w:szCs w:val="36"/>
        </w:rPr>
      </w:pPr>
      <w:r>
        <w:rPr>
          <w:rFonts w:ascii="Times New Roman" w:hAnsi="Times New Roman" w:eastAsia="Times New Roman" w:cs="Times New Roman"/>
          <w:b/>
          <w:bCs/>
          <w:spacing w:val="2"/>
          <w:sz w:val="36"/>
          <w:szCs w:val="36"/>
        </w:rPr>
        <w:t xml:space="preserve">15.4     </w:t>
      </w:r>
      <w:r>
        <w:rPr>
          <w:b/>
          <w:bCs/>
          <w:spacing w:val="2"/>
          <w:sz w:val="36"/>
          <w:szCs w:val="36"/>
        </w:rPr>
        <w:t>军队科学技术奖推荐书</w:t>
      </w:r>
    </w:p>
    <w:p w14:paraId="63249786">
      <w:pPr>
        <w:spacing w:line="337" w:lineRule="auto"/>
        <w:rPr>
          <w:rFonts w:ascii="Arial"/>
          <w:sz w:val="21"/>
        </w:rPr>
      </w:pPr>
    </w:p>
    <w:p w14:paraId="62308AC8">
      <w:pPr>
        <w:pStyle w:val="2"/>
        <w:spacing w:before="88" w:line="279" w:lineRule="auto"/>
        <w:ind w:left="135" w:right="103" w:firstLine="570"/>
        <w:jc w:val="both"/>
      </w:pPr>
      <w:r>
        <w:rPr>
          <w:spacing w:val="-1"/>
        </w:rPr>
        <w:t>军队科学技术奖推荐书必须按规定的格式和栏目如实、全面填写。</w:t>
      </w:r>
      <w:r>
        <w:rPr>
          <w:spacing w:val="67"/>
        </w:rPr>
        <w:t xml:space="preserve"> </w:t>
      </w:r>
      <w:r>
        <w:rPr>
          <w:spacing w:val="-1"/>
        </w:rPr>
        <w:t>一律采</w:t>
      </w:r>
      <w:r>
        <w:t xml:space="preserve"> </w:t>
      </w:r>
      <w:r>
        <w:rPr>
          <w:spacing w:val="-10"/>
        </w:rPr>
        <w:t>用“全军武器装备科技奖录入系统”软件打印，不得在其他系统修改、排版；除软</w:t>
      </w:r>
      <w:r>
        <w:rPr>
          <w:spacing w:val="1"/>
        </w:rPr>
        <w:t xml:space="preserve"> </w:t>
      </w:r>
      <w:r>
        <w:rPr>
          <w:spacing w:val="5"/>
        </w:rPr>
        <w:t>件系统要求填写的栏目外，不得附加其他材料。确保上报的数据文件与推荐书</w:t>
      </w:r>
      <w:r>
        <w:rPr>
          <w:spacing w:val="16"/>
        </w:rPr>
        <w:t xml:space="preserve"> </w:t>
      </w:r>
      <w:r>
        <w:rPr>
          <w:spacing w:val="-6"/>
        </w:rPr>
        <w:t>内容一致。</w:t>
      </w:r>
    </w:p>
    <w:p w14:paraId="1518E92A">
      <w:pPr>
        <w:spacing w:before="1" w:line="222" w:lineRule="auto"/>
        <w:ind w:left="708"/>
        <w:outlineLvl w:val="3"/>
        <w:rPr>
          <w:rFonts w:ascii="黑体" w:hAnsi="黑体" w:eastAsia="黑体" w:cs="黑体"/>
          <w:sz w:val="27"/>
          <w:szCs w:val="27"/>
        </w:rPr>
      </w:pPr>
      <w:r>
        <w:rPr>
          <w:rFonts w:ascii="黑体" w:hAnsi="黑体" w:eastAsia="黑体" w:cs="黑体"/>
          <w:b/>
          <w:bCs/>
          <w:spacing w:val="-7"/>
          <w:sz w:val="27"/>
          <w:szCs w:val="27"/>
        </w:rPr>
        <w:t>一、项目基本情况</w:t>
      </w:r>
    </w:p>
    <w:p w14:paraId="708F48F9">
      <w:pPr>
        <w:pStyle w:val="2"/>
        <w:spacing w:before="90" w:line="247" w:lineRule="auto"/>
        <w:ind w:left="135" w:right="124" w:firstLine="570"/>
      </w:pPr>
      <w:r>
        <w:rPr>
          <w:spacing w:val="11"/>
        </w:rPr>
        <w:t>(一)推荐书的规格为</w:t>
      </w:r>
      <w:r>
        <w:rPr>
          <w:rFonts w:ascii="Times New Roman" w:hAnsi="Times New Roman" w:eastAsia="Times New Roman" w:cs="Times New Roman"/>
          <w:spacing w:val="11"/>
        </w:rPr>
        <w:t>A4</w:t>
      </w:r>
      <w:r>
        <w:rPr>
          <w:rFonts w:ascii="Times New Roman" w:hAnsi="Times New Roman" w:eastAsia="Times New Roman" w:cs="Times New Roman"/>
          <w:spacing w:val="45"/>
          <w:w w:val="101"/>
        </w:rPr>
        <w:t xml:space="preserve"> </w:t>
      </w:r>
      <w:r>
        <w:rPr>
          <w:spacing w:val="11"/>
        </w:rPr>
        <w:t>纸竖装，正文采用宋体四号字(行间距为1</w:t>
      </w:r>
      <w:r>
        <w:rPr>
          <w:spacing w:val="10"/>
        </w:rPr>
        <w:t>.25倍</w:t>
      </w:r>
      <w:r>
        <w:t xml:space="preserve"> </w:t>
      </w:r>
      <w:r>
        <w:rPr>
          <w:spacing w:val="-2"/>
        </w:rPr>
        <w:t>行距),推荐书及其附件应合装成册，装订后不加</w:t>
      </w:r>
      <w:r>
        <w:rPr>
          <w:spacing w:val="-3"/>
        </w:rPr>
        <w:t>封面。</w:t>
      </w:r>
    </w:p>
    <w:p w14:paraId="1E52D953">
      <w:pPr>
        <w:pStyle w:val="2"/>
        <w:spacing w:before="76" w:line="219" w:lineRule="auto"/>
        <w:ind w:left="705"/>
      </w:pPr>
      <w:r>
        <w:rPr>
          <w:spacing w:val="-1"/>
        </w:rPr>
        <w:t>(二)推荐专业组：从专业评审组中选择。</w:t>
      </w:r>
    </w:p>
    <w:p w14:paraId="3332C014">
      <w:pPr>
        <w:pStyle w:val="2"/>
        <w:spacing w:before="101" w:line="260" w:lineRule="auto"/>
        <w:ind w:left="134" w:right="123" w:firstLine="570"/>
      </w:pPr>
      <w:r>
        <w:t>(三)项目名称(中文):应简明、准确地反映出项目的技术内容和特征，不得</w:t>
      </w:r>
      <w:r>
        <w:rPr>
          <w:spacing w:val="14"/>
        </w:rPr>
        <w:t xml:space="preserve"> </w:t>
      </w:r>
      <w:r>
        <w:rPr>
          <w:spacing w:val="5"/>
        </w:rPr>
        <w:t xml:space="preserve">超过26个汉字，该名称一般情况下应与任务书或计划批准的项目名称一致。其 </w:t>
      </w:r>
      <w:r>
        <w:rPr>
          <w:spacing w:val="-5"/>
        </w:rPr>
        <w:t>中涉及装备名称的，应参照有关文件，统一使</w:t>
      </w:r>
      <w:r>
        <w:rPr>
          <w:spacing w:val="-6"/>
        </w:rPr>
        <w:t>用该装备的型号代号。</w:t>
      </w:r>
    </w:p>
    <w:p w14:paraId="51583CDB">
      <w:pPr>
        <w:pStyle w:val="2"/>
        <w:spacing w:before="101" w:line="246" w:lineRule="auto"/>
        <w:ind w:left="135" w:right="120" w:firstLine="570"/>
      </w:pPr>
      <w:r>
        <w:rPr>
          <w:spacing w:val="12"/>
        </w:rPr>
        <w:t>(四)项目名称(英文):系指项目中文名称的英译文，不得超过200个英文</w:t>
      </w:r>
      <w:r>
        <w:rPr>
          <w:spacing w:val="3"/>
        </w:rPr>
        <w:t xml:space="preserve"> </w:t>
      </w:r>
      <w:r>
        <w:rPr>
          <w:spacing w:val="-4"/>
        </w:rPr>
        <w:t>字符。</w:t>
      </w:r>
    </w:p>
    <w:p w14:paraId="78B0F055">
      <w:pPr>
        <w:pStyle w:val="2"/>
        <w:spacing w:before="97" w:line="267" w:lineRule="auto"/>
        <w:ind w:left="134" w:firstLine="570"/>
      </w:pPr>
      <w:r>
        <w:rPr>
          <w:spacing w:val="5"/>
        </w:rPr>
        <w:t>(五)主要完成人：指对推荐的项目有创造性贡献的主要完成</w:t>
      </w:r>
      <w:r>
        <w:rPr>
          <w:spacing w:val="4"/>
        </w:rPr>
        <w:t>人员。仅参加</w:t>
      </w:r>
      <w:r>
        <w:t xml:space="preserve"> </w:t>
      </w:r>
      <w:r>
        <w:rPr>
          <w:spacing w:val="-7"/>
        </w:rPr>
        <w:t>组织、协调、审查、保障等工作的辅助人员和主要从事管理的各级机关管理人员，</w:t>
      </w:r>
      <w:r>
        <w:rPr>
          <w:spacing w:val="15"/>
        </w:rPr>
        <w:t xml:space="preserve"> </w:t>
      </w:r>
      <w:r>
        <w:rPr>
          <w:spacing w:val="5"/>
        </w:rPr>
        <w:t>不得作为主要完成人。主要完成人必须按贡献大小顺序排列，并按规定的数额</w:t>
      </w:r>
      <w:r>
        <w:rPr>
          <w:spacing w:val="4"/>
        </w:rPr>
        <w:t xml:space="preserve">  </w:t>
      </w:r>
      <w:r>
        <w:rPr>
          <w:spacing w:val="5"/>
        </w:rPr>
        <w:t>填写；其中推荐一等奖的不得超过15人，二等奖的不得超过10人，三等奖的不</w:t>
      </w:r>
      <w:r>
        <w:rPr>
          <w:spacing w:val="1"/>
        </w:rPr>
        <w:t xml:space="preserve">  </w:t>
      </w:r>
      <w:r>
        <w:rPr>
          <w:spacing w:val="4"/>
        </w:rPr>
        <w:t>得超过7人。填写人名时若为两个字，须在两字中间加入两个空格。</w:t>
      </w:r>
    </w:p>
    <w:p w14:paraId="1C92E29C">
      <w:pPr>
        <w:pStyle w:val="2"/>
        <w:spacing w:before="103" w:line="267" w:lineRule="auto"/>
        <w:ind w:firstLine="705"/>
      </w:pPr>
      <w:r>
        <w:t>(六)主要完成单位：指项目主要完成人所在的基层单位，并在该项目研制、</w:t>
      </w:r>
      <w:r>
        <w:rPr>
          <w:spacing w:val="4"/>
        </w:rPr>
        <w:t xml:space="preserve"> </w:t>
      </w:r>
      <w:r>
        <w:rPr>
          <w:spacing w:val="1"/>
        </w:rPr>
        <w:t>生产、应用或推广的全过程中提供技术、经费和设备等条件，对该项目完成起重</w:t>
      </w:r>
      <w:r>
        <w:rPr>
          <w:spacing w:val="5"/>
        </w:rPr>
        <w:t xml:space="preserve">  </w:t>
      </w:r>
      <w:r>
        <w:rPr>
          <w:spacing w:val="10"/>
        </w:rPr>
        <w:t>要作用的单位。各级主管部门不作为主要完</w:t>
      </w:r>
      <w:r>
        <w:rPr>
          <w:spacing w:val="9"/>
        </w:rPr>
        <w:t>成单位。主要完成单位要按规定的</w:t>
      </w:r>
      <w:r>
        <w:t xml:space="preserve"> </w:t>
      </w:r>
      <w:r>
        <w:rPr>
          <w:spacing w:val="13"/>
        </w:rPr>
        <w:t>数额填写，其中推荐一等奖、二等奖的不得</w:t>
      </w:r>
      <w:r>
        <w:rPr>
          <w:spacing w:val="12"/>
        </w:rPr>
        <w:t>超过5个，三等奖的不得超过3个。</w:t>
      </w:r>
      <w:r>
        <w:t xml:space="preserve"> </w:t>
      </w:r>
      <w:r>
        <w:rPr>
          <w:spacing w:val="1"/>
        </w:rPr>
        <w:t>主要完成单位的名称要按规范格式填写单位番号，单位名称填写原则：部队、军</w:t>
      </w:r>
      <w:r>
        <w:rPr>
          <w:spacing w:val="7"/>
        </w:rPr>
        <w:t xml:space="preserve">  </w:t>
      </w:r>
      <w:r>
        <w:rPr>
          <w:spacing w:val="-13"/>
        </w:rPr>
        <w:t>队院校、军队科研单位、军事代表系统，省略“中国人民解放军”字</w:t>
      </w:r>
      <w:r>
        <w:rPr>
          <w:spacing w:val="-14"/>
        </w:rPr>
        <w:t>样，如单位公章</w:t>
      </w:r>
      <w:r>
        <w:t xml:space="preserve">  </w:t>
      </w:r>
      <w:r>
        <w:rPr>
          <w:spacing w:val="-2"/>
        </w:rPr>
        <w:t>为：“中国人民解放军空军装备研究院航空装备</w:t>
      </w:r>
      <w:r>
        <w:rPr>
          <w:spacing w:val="-3"/>
        </w:rPr>
        <w:t>研究所”,应填为“空军装备研究</w:t>
      </w:r>
      <w:r>
        <w:t xml:space="preserve">  </w:t>
      </w:r>
      <w:r>
        <w:rPr>
          <w:spacing w:val="-10"/>
        </w:rPr>
        <w:t>院航空装备研究所”;军队工厂省略“中国人民”字样，如单位公章为：“中国人民</w:t>
      </w:r>
      <w:r>
        <w:rPr>
          <w:spacing w:val="6"/>
        </w:rPr>
        <w:t xml:space="preserve">  </w:t>
      </w:r>
      <w:r>
        <w:rPr>
          <w:spacing w:val="1"/>
        </w:rPr>
        <w:t>解放军第五七○二厂”,应填为“解放军第五七○二厂”;国家部(委)级系统省略</w:t>
      </w:r>
      <w:r>
        <w:rPr>
          <w:spacing w:val="4"/>
        </w:rPr>
        <w:t xml:space="preserve">  </w:t>
      </w:r>
      <w:r>
        <w:rPr>
          <w:spacing w:val="-10"/>
        </w:rPr>
        <w:t>“中国”字样，如“中国航天科技集团第一研究院”,应填为“航天科技集团第一研</w:t>
      </w:r>
      <w:r>
        <w:rPr>
          <w:spacing w:val="5"/>
        </w:rPr>
        <w:t xml:space="preserve">  </w:t>
      </w:r>
      <w:r>
        <w:rPr>
          <w:spacing w:val="3"/>
        </w:rPr>
        <w:t>究院”;其余应与单位公章相一致。</w:t>
      </w:r>
    </w:p>
    <w:p w14:paraId="76D04A2C">
      <w:pPr>
        <w:spacing w:line="267" w:lineRule="auto"/>
        <w:sectPr>
          <w:footerReference r:id="rId657" w:type="default"/>
          <w:pgSz w:w="11910" w:h="17130"/>
          <w:pgMar w:top="1456" w:right="794" w:bottom="1596" w:left="1495" w:header="0" w:footer="1407" w:gutter="0"/>
          <w:cols w:space="720" w:num="1"/>
        </w:sectPr>
      </w:pPr>
    </w:p>
    <w:p w14:paraId="6AB75708">
      <w:pPr>
        <w:pStyle w:val="2"/>
        <w:spacing w:before="55" w:line="270" w:lineRule="auto"/>
        <w:ind w:right="118" w:firstLine="559"/>
      </w:pPr>
      <w:r>
        <w:rPr>
          <w:spacing w:val="-10"/>
        </w:rPr>
        <w:t>(七)推荐部门：各军区军兵种装备部，各直</w:t>
      </w:r>
      <w:r>
        <w:rPr>
          <w:spacing w:val="-11"/>
        </w:rPr>
        <w:t>属院校，各直属研究院、所，各军</w:t>
      </w:r>
      <w:r>
        <w:t xml:space="preserve"> </w:t>
      </w:r>
      <w:r>
        <w:rPr>
          <w:spacing w:val="-1"/>
        </w:rPr>
        <w:t>事代表局，军兵种机关二级部(局)以及军兵种直属单位等。</w:t>
      </w:r>
    </w:p>
    <w:p w14:paraId="0304C7F5">
      <w:pPr>
        <w:pStyle w:val="2"/>
        <w:spacing w:before="1" w:line="273" w:lineRule="auto"/>
        <w:ind w:right="125" w:firstLine="559"/>
      </w:pPr>
      <w:r>
        <w:rPr>
          <w:spacing w:val="-31"/>
        </w:rPr>
        <w:t>(八)成果类别：按“技术开发类”、“装备论证类”、“装备试验类”、“</w:t>
      </w:r>
      <w:r>
        <w:rPr>
          <w:spacing w:val="-32"/>
        </w:rPr>
        <w:t>装备维修</w:t>
      </w:r>
      <w:r>
        <w:t xml:space="preserve"> </w:t>
      </w:r>
      <w:r>
        <w:rPr>
          <w:spacing w:val="-30"/>
        </w:rPr>
        <w:t>类”、“技术基础类”等五类填写。</w:t>
      </w:r>
    </w:p>
    <w:p w14:paraId="114A9A37">
      <w:pPr>
        <w:pStyle w:val="2"/>
        <w:spacing w:line="280" w:lineRule="auto"/>
        <w:ind w:right="123" w:firstLine="559"/>
        <w:jc w:val="both"/>
      </w:pPr>
      <w:r>
        <w:rPr>
          <w:spacing w:val="-7"/>
        </w:rPr>
        <w:t>技术开发类：主要是指武器装备(含产品)研制、技术革新、新技术开发(含预</w:t>
      </w:r>
      <w:r>
        <w:rPr>
          <w:spacing w:val="10"/>
        </w:rPr>
        <w:t xml:space="preserve"> </w:t>
      </w:r>
      <w:r>
        <w:rPr>
          <w:spacing w:val="1"/>
        </w:rPr>
        <w:t>研)等科技成果，包括将已有的科学技术推广、移植到武器装备建设中所取得的</w:t>
      </w:r>
      <w:r>
        <w:rPr>
          <w:spacing w:val="9"/>
        </w:rPr>
        <w:t xml:space="preserve"> </w:t>
      </w:r>
      <w:r>
        <w:t>科技成果。</w:t>
      </w:r>
    </w:p>
    <w:p w14:paraId="67EC8A71">
      <w:pPr>
        <w:pStyle w:val="2"/>
        <w:spacing w:line="287" w:lineRule="auto"/>
        <w:ind w:right="123" w:firstLine="559"/>
      </w:pPr>
      <w:r>
        <w:rPr>
          <w:spacing w:val="5"/>
        </w:rPr>
        <w:t>装备论证类：主要是指武器装备型号论证、武器装备系统工程研究等科技</w:t>
      </w:r>
      <w:r>
        <w:rPr>
          <w:spacing w:val="10"/>
        </w:rPr>
        <w:t xml:space="preserve"> </w:t>
      </w:r>
      <w:r>
        <w:rPr>
          <w:spacing w:val="-4"/>
        </w:rPr>
        <w:t>成果。</w:t>
      </w:r>
    </w:p>
    <w:p w14:paraId="27E5C889">
      <w:pPr>
        <w:pStyle w:val="2"/>
        <w:spacing w:before="2" w:line="283" w:lineRule="auto"/>
        <w:ind w:right="122" w:firstLine="559"/>
      </w:pPr>
      <w:r>
        <w:rPr>
          <w:spacing w:val="-3"/>
        </w:rPr>
        <w:t>装备试验类：主要是指武器装备试验方法和试验理论研究，试验设备研制等</w:t>
      </w:r>
      <w:r>
        <w:t xml:space="preserve"> 科技成果。</w:t>
      </w:r>
    </w:p>
    <w:p w14:paraId="05C1FE5F">
      <w:pPr>
        <w:pStyle w:val="2"/>
        <w:spacing w:before="1" w:line="273" w:lineRule="auto"/>
        <w:ind w:right="125" w:firstLine="559"/>
      </w:pPr>
      <w:r>
        <w:rPr>
          <w:spacing w:val="-11"/>
        </w:rPr>
        <w:t>装备维修类：主要是指武器装备的维护、修理、保管、封存和维修设备、器材</w:t>
      </w:r>
      <w:r>
        <w:rPr>
          <w:spacing w:val="2"/>
        </w:rPr>
        <w:t xml:space="preserve"> </w:t>
      </w:r>
      <w:r>
        <w:rPr>
          <w:spacing w:val="4"/>
        </w:rPr>
        <w:t>研制等科技成果。</w:t>
      </w:r>
    </w:p>
    <w:p w14:paraId="6814D9F1">
      <w:pPr>
        <w:pStyle w:val="2"/>
        <w:spacing w:before="2" w:line="283" w:lineRule="auto"/>
        <w:ind w:right="122" w:firstLine="559"/>
      </w:pPr>
      <w:r>
        <w:rPr>
          <w:spacing w:val="-11"/>
        </w:rPr>
        <w:t>技术基础类：主要是指军用标准化、军事计量、装备质量与可靠性、科技情报</w:t>
      </w:r>
      <w:r>
        <w:rPr>
          <w:spacing w:val="5"/>
        </w:rPr>
        <w:t xml:space="preserve"> </w:t>
      </w:r>
      <w:r>
        <w:rPr>
          <w:spacing w:val="3"/>
        </w:rPr>
        <w:t>和科技成果管理等方面产生的科技成果。</w:t>
      </w:r>
    </w:p>
    <w:p w14:paraId="5674AC17">
      <w:pPr>
        <w:pStyle w:val="2"/>
        <w:spacing w:before="2" w:line="258" w:lineRule="auto"/>
        <w:ind w:right="117" w:firstLine="559"/>
      </w:pPr>
      <w:r>
        <w:rPr>
          <w:spacing w:val="14"/>
        </w:rPr>
        <w:t>(九)密级及保密期限：由推荐单位根据上级主管部门下达任务书时</w:t>
      </w:r>
      <w:r>
        <w:rPr>
          <w:spacing w:val="13"/>
        </w:rPr>
        <w:t>确定</w:t>
      </w:r>
      <w:r>
        <w:t xml:space="preserve"> </w:t>
      </w:r>
      <w:r>
        <w:rPr>
          <w:spacing w:val="13"/>
        </w:rPr>
        <w:t>的保密等级填写，保密期限根据全军保密规定填写。绝密项目视为不宜公开</w:t>
      </w:r>
      <w:r>
        <w:rPr>
          <w:spacing w:val="11"/>
        </w:rPr>
        <w:t xml:space="preserve"> </w:t>
      </w:r>
      <w:r>
        <w:rPr>
          <w:spacing w:val="4"/>
        </w:rPr>
        <w:t>项目。</w:t>
      </w:r>
    </w:p>
    <w:p w14:paraId="7DDBBF6D">
      <w:pPr>
        <w:pStyle w:val="2"/>
        <w:spacing w:before="86" w:line="250" w:lineRule="auto"/>
        <w:ind w:right="118" w:firstLine="559"/>
      </w:pPr>
      <w:r>
        <w:rPr>
          <w:spacing w:val="5"/>
        </w:rPr>
        <w:t>(十)应用领域：指该项目应用的技术领域。在软件提供的中图分类号及军</w:t>
      </w:r>
      <w:r>
        <w:rPr>
          <w:spacing w:val="10"/>
        </w:rPr>
        <w:t xml:space="preserve"> </w:t>
      </w:r>
      <w:r>
        <w:rPr>
          <w:spacing w:val="2"/>
        </w:rPr>
        <w:t>用范畴分类号中选择。</w:t>
      </w:r>
    </w:p>
    <w:p w14:paraId="1D177F92">
      <w:pPr>
        <w:pStyle w:val="2"/>
        <w:spacing w:before="109" w:line="258" w:lineRule="auto"/>
        <w:ind w:firstLine="559"/>
      </w:pPr>
      <w:r>
        <w:rPr>
          <w:spacing w:val="-7"/>
        </w:rPr>
        <w:t>(十一)任务来源：根据申报项目的计划，按国家计划、总部计划、军区计划、</w:t>
      </w:r>
      <w:r>
        <w:t xml:space="preserve"> </w:t>
      </w:r>
      <w:r>
        <w:rPr>
          <w:spacing w:val="-6"/>
        </w:rPr>
        <w:t>军兵种计划、委托项目(含合同项目)、自选、其他项目在列表中选取(自选项目必</w:t>
      </w:r>
      <w:r>
        <w:rPr>
          <w:spacing w:val="17"/>
        </w:rPr>
        <w:t xml:space="preserve"> </w:t>
      </w:r>
      <w:r>
        <w:rPr>
          <w:spacing w:val="3"/>
        </w:rPr>
        <w:t>须有上级主管业务部门的批准件)。</w:t>
      </w:r>
    </w:p>
    <w:p w14:paraId="59D8741D">
      <w:pPr>
        <w:pStyle w:val="2"/>
        <w:spacing w:before="87" w:line="219" w:lineRule="auto"/>
        <w:ind w:left="559"/>
      </w:pPr>
      <w:r>
        <w:t>(十二)推荐等级：填写二等奖以上或三。</w:t>
      </w:r>
    </w:p>
    <w:p w14:paraId="3CC06525">
      <w:pPr>
        <w:pStyle w:val="2"/>
        <w:spacing w:before="81" w:line="250" w:lineRule="auto"/>
        <w:ind w:right="114" w:firstLine="559"/>
      </w:pPr>
      <w:r>
        <w:rPr>
          <w:spacing w:val="5"/>
        </w:rPr>
        <w:t>(十三)计划(基金)名称和编号：指推荐项目在科研计划中下达的名称和编</w:t>
      </w:r>
      <w:r>
        <w:rPr>
          <w:spacing w:val="9"/>
        </w:rPr>
        <w:t xml:space="preserve"> </w:t>
      </w:r>
      <w:r>
        <w:rPr>
          <w:spacing w:val="-13"/>
        </w:rPr>
        <w:t>号，如“[20××]××字第×××号文件下达，编号×××××”。</w:t>
      </w:r>
    </w:p>
    <w:p w14:paraId="0D2D653F">
      <w:pPr>
        <w:pStyle w:val="2"/>
        <w:spacing w:before="97" w:line="256" w:lineRule="auto"/>
        <w:ind w:right="104" w:firstLine="559"/>
      </w:pPr>
      <w:r>
        <w:rPr>
          <w:spacing w:val="5"/>
        </w:rPr>
        <w:t>(十四)项目开始时间及项目完成时间：指推荐项目从开始研究到成果通过</w:t>
      </w:r>
      <w:r>
        <w:rPr>
          <w:spacing w:val="4"/>
        </w:rPr>
        <w:t xml:space="preserve"> </w:t>
      </w:r>
      <w:r>
        <w:rPr>
          <w:spacing w:val="-12"/>
        </w:rPr>
        <w:t>鉴定或审查验收的时间，项目开始时间：“20××年×月”,项目完成时间：“20×</w:t>
      </w:r>
      <w:r>
        <w:rPr>
          <w:spacing w:val="2"/>
        </w:rPr>
        <w:t xml:space="preserve"> </w:t>
      </w:r>
      <w:r>
        <w:rPr>
          <w:spacing w:val="-23"/>
        </w:rPr>
        <w:t>×年×月”。</w:t>
      </w:r>
    </w:p>
    <w:p w14:paraId="384C0684">
      <w:pPr>
        <w:spacing w:before="123" w:line="222" w:lineRule="auto"/>
        <w:ind w:left="563"/>
        <w:outlineLvl w:val="3"/>
        <w:rPr>
          <w:rFonts w:ascii="黑体" w:hAnsi="黑体" w:eastAsia="黑体" w:cs="黑体"/>
          <w:sz w:val="25"/>
          <w:szCs w:val="25"/>
        </w:rPr>
      </w:pPr>
      <w:r>
        <w:rPr>
          <w:rFonts w:ascii="黑体" w:hAnsi="黑体" w:eastAsia="黑体" w:cs="黑体"/>
          <w:b/>
          <w:bCs/>
          <w:spacing w:val="-3"/>
          <w:sz w:val="25"/>
          <w:szCs w:val="25"/>
        </w:rPr>
        <w:t>二</w:t>
      </w:r>
      <w:r>
        <w:rPr>
          <w:rFonts w:ascii="黑体" w:hAnsi="黑体" w:eastAsia="黑体" w:cs="黑体"/>
          <w:spacing w:val="-49"/>
          <w:sz w:val="25"/>
          <w:szCs w:val="25"/>
        </w:rPr>
        <w:t xml:space="preserve"> </w:t>
      </w:r>
      <w:r>
        <w:rPr>
          <w:rFonts w:ascii="黑体" w:hAnsi="黑体" w:eastAsia="黑体" w:cs="黑体"/>
          <w:b/>
          <w:bCs/>
          <w:spacing w:val="-3"/>
          <w:sz w:val="25"/>
          <w:szCs w:val="25"/>
        </w:rPr>
        <w:t>、项目简介</w:t>
      </w:r>
    </w:p>
    <w:p w14:paraId="14359932">
      <w:pPr>
        <w:pStyle w:val="2"/>
        <w:spacing w:before="104" w:line="269" w:lineRule="auto"/>
        <w:ind w:right="121" w:firstLine="559"/>
      </w:pPr>
      <w:r>
        <w:rPr>
          <w:spacing w:val="5"/>
        </w:rPr>
        <w:t>要求简要说明该项目在我军装备现代化建设中所属的科学技术领域、主要</w:t>
      </w:r>
      <w:r>
        <w:rPr>
          <w:spacing w:val="12"/>
        </w:rPr>
        <w:t xml:space="preserve"> </w:t>
      </w:r>
      <w:r>
        <w:rPr>
          <w:spacing w:val="-1"/>
        </w:rPr>
        <w:t>内容、特点及推广应用情况。限800字以内，不使用图表与公式。</w:t>
      </w:r>
    </w:p>
    <w:p w14:paraId="50725654">
      <w:pPr>
        <w:spacing w:before="1" w:line="221" w:lineRule="auto"/>
        <w:ind w:left="563"/>
        <w:outlineLvl w:val="3"/>
        <w:rPr>
          <w:rFonts w:ascii="黑体" w:hAnsi="黑体" w:eastAsia="黑体" w:cs="黑体"/>
          <w:sz w:val="27"/>
          <w:szCs w:val="27"/>
        </w:rPr>
      </w:pPr>
      <w:r>
        <w:rPr>
          <w:rFonts w:ascii="黑体" w:hAnsi="黑体" w:eastAsia="黑体" w:cs="黑体"/>
          <w:b/>
          <w:bCs/>
          <w:spacing w:val="-5"/>
          <w:sz w:val="27"/>
          <w:szCs w:val="27"/>
        </w:rPr>
        <w:t>三、项目的详细内容</w:t>
      </w:r>
    </w:p>
    <w:p w14:paraId="0053CB15">
      <w:pPr>
        <w:pStyle w:val="2"/>
        <w:spacing w:before="98" w:line="218" w:lineRule="auto"/>
        <w:ind w:left="559"/>
      </w:pPr>
      <w:r>
        <w:rPr>
          <w:spacing w:val="-3"/>
        </w:rPr>
        <w:t>是评价该项目是否符合授奖条件的主要依据，要求详实、准确、全面地填写</w:t>
      </w:r>
    </w:p>
    <w:p w14:paraId="0464DFC2">
      <w:pPr>
        <w:spacing w:line="218" w:lineRule="auto"/>
        <w:sectPr>
          <w:footerReference r:id="rId658" w:type="default"/>
          <w:pgSz w:w="11910" w:h="17130"/>
          <w:pgMar w:top="1456" w:right="1484" w:bottom="1643" w:left="930" w:header="0" w:footer="1444" w:gutter="0"/>
          <w:cols w:space="720" w:num="1"/>
        </w:sectPr>
      </w:pPr>
    </w:p>
    <w:p w14:paraId="64396007">
      <w:pPr>
        <w:pStyle w:val="2"/>
        <w:spacing w:before="48" w:line="219" w:lineRule="auto"/>
        <w:rPr>
          <w:sz w:val="24"/>
          <w:szCs w:val="24"/>
        </w:rPr>
      </w:pPr>
      <w:r>
        <w:rPr>
          <w:spacing w:val="31"/>
          <w:sz w:val="24"/>
          <w:szCs w:val="24"/>
        </w:rPr>
        <w:t>八个方面的内容。</w:t>
      </w:r>
    </w:p>
    <w:p w14:paraId="060D7873">
      <w:pPr>
        <w:pStyle w:val="2"/>
        <w:spacing w:before="96" w:line="219" w:lineRule="auto"/>
        <w:ind w:left="539"/>
      </w:pPr>
      <w:r>
        <w:rPr>
          <w:rFonts w:ascii="Times New Roman" w:hAnsi="Times New Roman" w:eastAsia="Times New Roman" w:cs="Times New Roman"/>
        </w:rPr>
        <w:t>1.</w:t>
      </w:r>
      <w:r>
        <w:rPr>
          <w:rFonts w:ascii="Times New Roman" w:hAnsi="Times New Roman" w:eastAsia="Times New Roman" w:cs="Times New Roman"/>
          <w:spacing w:val="22"/>
        </w:rPr>
        <w:t xml:space="preserve">  </w:t>
      </w:r>
      <w:r>
        <w:t>立项背景</w:t>
      </w:r>
    </w:p>
    <w:p w14:paraId="5EED6C5D">
      <w:pPr>
        <w:pStyle w:val="2"/>
        <w:spacing w:before="87" w:line="219" w:lineRule="auto"/>
        <w:ind w:left="539"/>
      </w:pPr>
      <w:r>
        <w:rPr>
          <w:spacing w:val="-2"/>
        </w:rPr>
        <w:t>主要阐述相关科学技术目前状况、存在问题以及立项目的。</w:t>
      </w:r>
    </w:p>
    <w:p w14:paraId="0FFE0FC3">
      <w:pPr>
        <w:pStyle w:val="2"/>
        <w:spacing w:before="99" w:line="219" w:lineRule="auto"/>
        <w:ind w:left="539"/>
      </w:pPr>
      <w:r>
        <w:rPr>
          <w:rFonts w:ascii="Times New Roman" w:hAnsi="Times New Roman" w:eastAsia="Times New Roman" w:cs="Times New Roman"/>
          <w:spacing w:val="5"/>
        </w:rPr>
        <w:t>2.</w:t>
      </w:r>
      <w:r>
        <w:rPr>
          <w:rFonts w:ascii="Times New Roman" w:hAnsi="Times New Roman" w:eastAsia="Times New Roman" w:cs="Times New Roman"/>
          <w:spacing w:val="17"/>
        </w:rPr>
        <w:t xml:space="preserve">  </w:t>
      </w:r>
      <w:r>
        <w:rPr>
          <w:spacing w:val="5"/>
        </w:rPr>
        <w:t>详细科学技术内容</w:t>
      </w:r>
    </w:p>
    <w:p w14:paraId="0B75A469">
      <w:pPr>
        <w:pStyle w:val="2"/>
        <w:spacing w:before="81" w:line="278" w:lineRule="auto"/>
        <w:ind w:right="91" w:firstLine="539"/>
      </w:pPr>
      <w:r>
        <w:rPr>
          <w:spacing w:val="-3"/>
        </w:rPr>
        <w:t>应包括研究的总体思路、技术方案、关键技术、技术难点及解决方法。该节</w:t>
      </w:r>
      <w:r>
        <w:rPr>
          <w:spacing w:val="1"/>
        </w:rPr>
        <w:t xml:space="preserve"> 内容不得过于简单，应不少于3页；也不能过于繁琐，不得超过15页。必要的图</w:t>
      </w:r>
      <w:r>
        <w:rPr>
          <w:spacing w:val="11"/>
        </w:rPr>
        <w:t xml:space="preserve"> </w:t>
      </w:r>
      <w:r>
        <w:rPr>
          <w:spacing w:val="4"/>
        </w:rPr>
        <w:t>表和公式应以</w:t>
      </w:r>
      <w:r>
        <w:rPr>
          <w:rFonts w:ascii="Times New Roman" w:hAnsi="Times New Roman" w:eastAsia="Times New Roman" w:cs="Times New Roman"/>
        </w:rPr>
        <w:t>JPG</w:t>
      </w:r>
      <w:r>
        <w:rPr>
          <w:rFonts w:ascii="Times New Roman" w:hAnsi="Times New Roman" w:eastAsia="Times New Roman" w:cs="Times New Roman"/>
          <w:spacing w:val="4"/>
        </w:rPr>
        <w:t xml:space="preserve">  </w:t>
      </w:r>
      <w:r>
        <w:rPr>
          <w:spacing w:val="4"/>
        </w:rPr>
        <w:t>图片格式就近插入相应的正文中。</w:t>
      </w:r>
    </w:p>
    <w:p w14:paraId="137135BE">
      <w:pPr>
        <w:pStyle w:val="2"/>
        <w:spacing w:before="1" w:line="219" w:lineRule="auto"/>
        <w:ind w:left="539"/>
      </w:pPr>
      <w:r>
        <w:rPr>
          <w:rFonts w:ascii="Times New Roman" w:hAnsi="Times New Roman" w:eastAsia="Times New Roman" w:cs="Times New Roman"/>
          <w:spacing w:val="-8"/>
        </w:rPr>
        <w:t>3.</w:t>
      </w:r>
      <w:r>
        <w:rPr>
          <w:rFonts w:ascii="Times New Roman" w:hAnsi="Times New Roman" w:eastAsia="Times New Roman" w:cs="Times New Roman"/>
          <w:spacing w:val="25"/>
          <w:w w:val="101"/>
        </w:rPr>
        <w:t xml:space="preserve">  </w:t>
      </w:r>
      <w:r>
        <w:rPr>
          <w:spacing w:val="-8"/>
        </w:rPr>
        <w:t>发现、发明及创新点</w:t>
      </w:r>
    </w:p>
    <w:p w14:paraId="3D60B72F">
      <w:pPr>
        <w:pStyle w:val="2"/>
        <w:spacing w:before="88" w:line="219" w:lineRule="auto"/>
        <w:ind w:left="539"/>
      </w:pPr>
      <w:r>
        <w:rPr>
          <w:spacing w:val="-8"/>
        </w:rPr>
        <w:t>是项目在技术创新性方面的归纳与提练，应简明</w:t>
      </w:r>
      <w:r>
        <w:rPr>
          <w:spacing w:val="-9"/>
        </w:rPr>
        <w:t>、准确、完整地阐述。</w:t>
      </w:r>
    </w:p>
    <w:p w14:paraId="10010508">
      <w:pPr>
        <w:pStyle w:val="2"/>
        <w:spacing w:before="82" w:line="220" w:lineRule="auto"/>
        <w:ind w:left="539"/>
      </w:pPr>
      <w:r>
        <w:rPr>
          <w:rFonts w:ascii="Times New Roman" w:hAnsi="Times New Roman" w:eastAsia="Times New Roman" w:cs="Times New Roman"/>
          <w:spacing w:val="4"/>
        </w:rPr>
        <w:t>4.</w:t>
      </w:r>
      <w:r>
        <w:rPr>
          <w:rFonts w:ascii="Times New Roman" w:hAnsi="Times New Roman" w:eastAsia="Times New Roman" w:cs="Times New Roman"/>
          <w:spacing w:val="15"/>
        </w:rPr>
        <w:t xml:space="preserve">  </w:t>
      </w:r>
      <w:r>
        <w:rPr>
          <w:spacing w:val="4"/>
        </w:rPr>
        <w:t>保密要点</w:t>
      </w:r>
    </w:p>
    <w:p w14:paraId="78D4FE5D">
      <w:pPr>
        <w:pStyle w:val="2"/>
        <w:spacing w:before="86" w:line="219" w:lineRule="auto"/>
        <w:ind w:left="539"/>
      </w:pPr>
      <w:r>
        <w:rPr>
          <w:spacing w:val="5"/>
        </w:rPr>
        <w:t>是指申报项目的详细科学技术内容中需要保密</w:t>
      </w:r>
      <w:r>
        <w:rPr>
          <w:spacing w:val="4"/>
        </w:rPr>
        <w:t>的技术内容。</w:t>
      </w:r>
    </w:p>
    <w:p w14:paraId="5AA75AE5">
      <w:pPr>
        <w:pStyle w:val="2"/>
        <w:spacing w:before="69" w:line="219" w:lineRule="auto"/>
        <w:ind w:left="539"/>
      </w:pPr>
      <w:r>
        <w:rPr>
          <w:rFonts w:ascii="Times New Roman" w:hAnsi="Times New Roman" w:eastAsia="Times New Roman" w:cs="Times New Roman"/>
          <w:spacing w:val="-2"/>
        </w:rPr>
        <w:t>5.</w:t>
      </w:r>
      <w:r>
        <w:rPr>
          <w:rFonts w:ascii="Times New Roman" w:hAnsi="Times New Roman" w:eastAsia="Times New Roman" w:cs="Times New Roman"/>
          <w:spacing w:val="25"/>
        </w:rPr>
        <w:t xml:space="preserve">  </w:t>
      </w:r>
      <w:r>
        <w:rPr>
          <w:spacing w:val="-2"/>
        </w:rPr>
        <w:t>与当前国内外同类研究、同类技术的综合比较</w:t>
      </w:r>
    </w:p>
    <w:p w14:paraId="4D1F470A">
      <w:pPr>
        <w:pStyle w:val="2"/>
        <w:spacing w:before="92" w:line="219" w:lineRule="auto"/>
        <w:ind w:left="539"/>
      </w:pPr>
      <w:r>
        <w:rPr>
          <w:spacing w:val="-10"/>
        </w:rPr>
        <w:t>应包括优点、缺点、存在问题及改进措施，可配</w:t>
      </w:r>
      <w:r>
        <w:rPr>
          <w:spacing w:val="-11"/>
        </w:rPr>
        <w:t>以图表示意。</w:t>
      </w:r>
    </w:p>
    <w:p w14:paraId="7C1C17C1">
      <w:pPr>
        <w:pStyle w:val="2"/>
        <w:spacing w:before="100" w:line="220" w:lineRule="auto"/>
        <w:ind w:left="539"/>
      </w:pPr>
      <w:r>
        <w:rPr>
          <w:rFonts w:ascii="Times New Roman" w:hAnsi="Times New Roman" w:eastAsia="Times New Roman" w:cs="Times New Roman"/>
          <w:spacing w:val="1"/>
        </w:rPr>
        <w:t>6.</w:t>
      </w:r>
      <w:r>
        <w:rPr>
          <w:rFonts w:ascii="Times New Roman" w:hAnsi="Times New Roman" w:eastAsia="Times New Roman" w:cs="Times New Roman"/>
          <w:spacing w:val="18"/>
        </w:rPr>
        <w:t xml:space="preserve">  </w:t>
      </w:r>
      <w:r>
        <w:rPr>
          <w:spacing w:val="1"/>
        </w:rPr>
        <w:t>应用情况</w:t>
      </w:r>
    </w:p>
    <w:p w14:paraId="1FADB720">
      <w:pPr>
        <w:pStyle w:val="2"/>
        <w:spacing w:before="76" w:line="219" w:lineRule="auto"/>
        <w:ind w:left="539"/>
      </w:pPr>
      <w:r>
        <w:rPr>
          <w:spacing w:val="-8"/>
        </w:rPr>
        <w:t>就推荐项目的应用、推广、订货、效益情况及预</w:t>
      </w:r>
      <w:r>
        <w:rPr>
          <w:spacing w:val="-9"/>
        </w:rPr>
        <w:t>期应用前景进行阐述。</w:t>
      </w:r>
    </w:p>
    <w:p w14:paraId="0EA9C57D">
      <w:pPr>
        <w:pStyle w:val="2"/>
        <w:spacing w:before="102" w:line="220" w:lineRule="auto"/>
        <w:ind w:left="539"/>
      </w:pPr>
      <w:r>
        <w:rPr>
          <w:rFonts w:ascii="Times New Roman" w:hAnsi="Times New Roman" w:eastAsia="Times New Roman" w:cs="Times New Roman"/>
          <w:spacing w:val="5"/>
        </w:rPr>
        <w:t xml:space="preserve">7.  </w:t>
      </w:r>
      <w:r>
        <w:rPr>
          <w:spacing w:val="5"/>
        </w:rPr>
        <w:t>经济效益</w:t>
      </w:r>
    </w:p>
    <w:p w14:paraId="77854FE9">
      <w:pPr>
        <w:pStyle w:val="2"/>
        <w:spacing w:before="97" w:line="219" w:lineRule="auto"/>
        <w:ind w:left="539"/>
        <w:rPr>
          <w:sz w:val="25"/>
          <w:szCs w:val="25"/>
        </w:rPr>
      </w:pPr>
      <w:r>
        <w:rPr>
          <w:spacing w:val="18"/>
          <w:sz w:val="25"/>
          <w:szCs w:val="25"/>
        </w:rPr>
        <w:t>项目总投资额必须填写，其余栏目可视情填写。</w:t>
      </w:r>
    </w:p>
    <w:p w14:paraId="422B79F2">
      <w:pPr>
        <w:pStyle w:val="2"/>
        <w:spacing w:before="121" w:line="219" w:lineRule="auto"/>
        <w:ind w:left="539"/>
        <w:rPr>
          <w:sz w:val="24"/>
          <w:szCs w:val="24"/>
        </w:rPr>
      </w:pPr>
      <w:r>
        <w:rPr>
          <w:rFonts w:ascii="Times New Roman" w:hAnsi="Times New Roman" w:eastAsia="Times New Roman" w:cs="Times New Roman"/>
          <w:spacing w:val="24"/>
          <w:sz w:val="24"/>
          <w:szCs w:val="24"/>
        </w:rPr>
        <w:t>8.</w:t>
      </w:r>
      <w:r>
        <w:rPr>
          <w:rFonts w:ascii="Times New Roman" w:hAnsi="Times New Roman" w:eastAsia="Times New Roman" w:cs="Times New Roman"/>
          <w:spacing w:val="6"/>
          <w:sz w:val="24"/>
          <w:szCs w:val="24"/>
        </w:rPr>
        <w:t xml:space="preserve">   </w:t>
      </w:r>
      <w:r>
        <w:rPr>
          <w:spacing w:val="24"/>
          <w:sz w:val="24"/>
          <w:szCs w:val="24"/>
        </w:rPr>
        <w:t>社会(军事)效益</w:t>
      </w:r>
    </w:p>
    <w:p w14:paraId="31785458">
      <w:pPr>
        <w:pStyle w:val="2"/>
        <w:spacing w:before="97" w:line="219" w:lineRule="auto"/>
        <w:ind w:left="539"/>
      </w:pPr>
      <w:r>
        <w:rPr>
          <w:spacing w:val="3"/>
        </w:rPr>
        <w:t>主要填写项目在军事领域应用上起到的作用。</w:t>
      </w:r>
    </w:p>
    <w:p w14:paraId="52B13071">
      <w:pPr>
        <w:spacing w:before="75" w:line="222" w:lineRule="auto"/>
        <w:ind w:left="543"/>
        <w:outlineLvl w:val="3"/>
        <w:rPr>
          <w:rFonts w:ascii="黑体" w:hAnsi="黑体" w:eastAsia="黑体" w:cs="黑体"/>
          <w:sz w:val="27"/>
          <w:szCs w:val="27"/>
        </w:rPr>
      </w:pPr>
      <w:r>
        <w:rPr>
          <w:rFonts w:ascii="黑体" w:hAnsi="黑体" w:eastAsia="黑体" w:cs="黑体"/>
          <w:b/>
          <w:bCs/>
          <w:spacing w:val="-5"/>
          <w:sz w:val="27"/>
          <w:szCs w:val="27"/>
        </w:rPr>
        <w:t>四、本项目曾获科技奖励情况</w:t>
      </w:r>
    </w:p>
    <w:p w14:paraId="5DE36292">
      <w:pPr>
        <w:pStyle w:val="2"/>
        <w:spacing w:before="110" w:line="283" w:lineRule="auto"/>
        <w:ind w:right="100" w:firstLine="539"/>
      </w:pPr>
      <w:r>
        <w:rPr>
          <w:spacing w:val="1"/>
        </w:rPr>
        <w:t>填写申报项目已经获得的军内外奖励情况(获奖时间、获奖项目名称、奖励</w:t>
      </w:r>
      <w:r>
        <w:rPr>
          <w:spacing w:val="5"/>
        </w:rPr>
        <w:t xml:space="preserve"> </w:t>
      </w:r>
      <w:r>
        <w:rPr>
          <w:spacing w:val="1"/>
        </w:rPr>
        <w:t>等级及授奖部门等)。</w:t>
      </w:r>
    </w:p>
    <w:p w14:paraId="32B58E10">
      <w:pPr>
        <w:spacing w:before="7" w:line="222" w:lineRule="auto"/>
        <w:ind w:left="543"/>
        <w:outlineLvl w:val="3"/>
        <w:rPr>
          <w:rFonts w:ascii="黑体" w:hAnsi="黑体" w:eastAsia="黑体" w:cs="黑体"/>
          <w:sz w:val="24"/>
          <w:szCs w:val="24"/>
        </w:rPr>
      </w:pPr>
      <w:r>
        <w:rPr>
          <w:rFonts w:ascii="黑体" w:hAnsi="黑体" w:eastAsia="黑体" w:cs="黑体"/>
          <w:b/>
          <w:bCs/>
          <w:spacing w:val="5"/>
          <w:sz w:val="24"/>
          <w:szCs w:val="24"/>
        </w:rPr>
        <w:t>五</w:t>
      </w:r>
      <w:r>
        <w:rPr>
          <w:rFonts w:ascii="黑体" w:hAnsi="黑体" w:eastAsia="黑体" w:cs="黑体"/>
          <w:spacing w:val="-32"/>
          <w:sz w:val="24"/>
          <w:szCs w:val="24"/>
        </w:rPr>
        <w:t xml:space="preserve"> </w:t>
      </w:r>
      <w:r>
        <w:rPr>
          <w:rFonts w:ascii="黑体" w:hAnsi="黑体" w:eastAsia="黑体" w:cs="黑体"/>
          <w:b/>
          <w:bCs/>
          <w:spacing w:val="5"/>
          <w:sz w:val="24"/>
          <w:szCs w:val="24"/>
        </w:rPr>
        <w:t>、申请、获得专利情况</w:t>
      </w:r>
    </w:p>
    <w:p w14:paraId="3EFAF40C">
      <w:pPr>
        <w:pStyle w:val="2"/>
        <w:spacing w:before="99" w:line="282" w:lineRule="auto"/>
        <w:ind w:right="104" w:firstLine="539"/>
      </w:pPr>
      <w:r>
        <w:rPr>
          <w:spacing w:val="-7"/>
        </w:rPr>
        <w:t>填写该成果申请、获得国际或国家专利的情况(国别、申请号、专利号及项目</w:t>
      </w:r>
      <w:r>
        <w:rPr>
          <w:spacing w:val="2"/>
        </w:rPr>
        <w:t xml:space="preserve"> </w:t>
      </w:r>
      <w:r>
        <w:rPr>
          <w:spacing w:val="-4"/>
        </w:rPr>
        <w:t>名称等)。</w:t>
      </w:r>
    </w:p>
    <w:p w14:paraId="2102AF47">
      <w:pPr>
        <w:spacing w:before="7" w:line="221" w:lineRule="auto"/>
        <w:ind w:left="543"/>
        <w:outlineLvl w:val="3"/>
        <w:rPr>
          <w:rFonts w:ascii="黑体" w:hAnsi="黑体" w:eastAsia="黑体" w:cs="黑体"/>
          <w:sz w:val="24"/>
          <w:szCs w:val="24"/>
        </w:rPr>
      </w:pPr>
      <w:r>
        <w:rPr>
          <w:rFonts w:ascii="黑体" w:hAnsi="黑体" w:eastAsia="黑体" w:cs="黑体"/>
          <w:b/>
          <w:bCs/>
          <w:spacing w:val="17"/>
          <w:sz w:val="24"/>
          <w:szCs w:val="24"/>
        </w:rPr>
        <w:t>六</w:t>
      </w:r>
      <w:r>
        <w:rPr>
          <w:rFonts w:ascii="黑体" w:hAnsi="黑体" w:eastAsia="黑体" w:cs="黑体"/>
          <w:spacing w:val="-34"/>
          <w:sz w:val="24"/>
          <w:szCs w:val="24"/>
        </w:rPr>
        <w:t xml:space="preserve"> </w:t>
      </w:r>
      <w:r>
        <w:rPr>
          <w:rFonts w:ascii="黑体" w:hAnsi="黑体" w:eastAsia="黑体" w:cs="黑体"/>
          <w:b/>
          <w:bCs/>
          <w:spacing w:val="17"/>
          <w:sz w:val="24"/>
          <w:szCs w:val="24"/>
        </w:rPr>
        <w:t>、主要完成人情况表</w:t>
      </w:r>
    </w:p>
    <w:p w14:paraId="7418F16E">
      <w:pPr>
        <w:pStyle w:val="2"/>
        <w:spacing w:before="98" w:line="279" w:lineRule="auto"/>
        <w:ind w:firstLine="539"/>
        <w:jc w:val="both"/>
      </w:pPr>
      <w:r>
        <w:rPr>
          <w:spacing w:val="8"/>
        </w:rPr>
        <w:t>主要完成人必须分别填写相应的情况表，经本人签名确认后按排序装订。</w:t>
      </w:r>
      <w:r>
        <w:rPr>
          <w:spacing w:val="17"/>
        </w:rPr>
        <w:t xml:space="preserve"> </w:t>
      </w:r>
      <w:r>
        <w:rPr>
          <w:spacing w:val="5"/>
        </w:rPr>
        <w:t>主要贡献栏要写明本人在项目论证、方案(产品)设计(</w:t>
      </w:r>
      <w:r>
        <w:rPr>
          <w:spacing w:val="4"/>
        </w:rPr>
        <w:t>制造)及解决项目研制过</w:t>
      </w:r>
      <w:r>
        <w:t xml:space="preserve"> </w:t>
      </w:r>
      <w:r>
        <w:rPr>
          <w:spacing w:val="-3"/>
        </w:rPr>
        <w:t>程中重大技术问题等方面所做的具体工作，并要与项目的创新点对应，字数不少</w:t>
      </w:r>
      <w:r>
        <w:rPr>
          <w:spacing w:val="16"/>
        </w:rPr>
        <w:t xml:space="preserve"> </w:t>
      </w:r>
      <w:r>
        <w:rPr>
          <w:spacing w:val="4"/>
        </w:rPr>
        <w:t>于20个汉字。申报三等奖项目的人员情况表，可酌情简化填写。</w:t>
      </w:r>
    </w:p>
    <w:p w14:paraId="52D1F41F">
      <w:pPr>
        <w:spacing w:before="23" w:line="221" w:lineRule="auto"/>
        <w:ind w:left="543"/>
        <w:outlineLvl w:val="3"/>
        <w:rPr>
          <w:rFonts w:ascii="黑体" w:hAnsi="黑体" w:eastAsia="黑体" w:cs="黑体"/>
          <w:sz w:val="24"/>
          <w:szCs w:val="24"/>
        </w:rPr>
      </w:pPr>
      <w:r>
        <w:rPr>
          <w:rFonts w:ascii="黑体" w:hAnsi="黑体" w:eastAsia="黑体" w:cs="黑体"/>
          <w:b/>
          <w:bCs/>
          <w:spacing w:val="25"/>
          <w:sz w:val="24"/>
          <w:szCs w:val="24"/>
        </w:rPr>
        <w:t>七、主要完成单位情况表</w:t>
      </w:r>
    </w:p>
    <w:p w14:paraId="1395946E">
      <w:pPr>
        <w:pStyle w:val="2"/>
        <w:spacing w:before="117" w:line="272" w:lineRule="auto"/>
        <w:ind w:right="79" w:firstLine="539"/>
        <w:jc w:val="both"/>
      </w:pPr>
      <w:r>
        <w:rPr>
          <w:spacing w:val="5"/>
        </w:rPr>
        <w:t>主要完成单位要分别填写相应的情况表，单位加盖公章后按排序装订。主</w:t>
      </w:r>
      <w:r>
        <w:rPr>
          <w:spacing w:val="13"/>
        </w:rPr>
        <w:t xml:space="preserve"> </w:t>
      </w:r>
      <w:r>
        <w:rPr>
          <w:spacing w:val="-10"/>
        </w:rPr>
        <w:t>要贡献栏要写明该单位在本项目研究、设计、制造、应用等过程中提供技术、人员</w:t>
      </w:r>
      <w:r>
        <w:rPr>
          <w:spacing w:val="14"/>
        </w:rPr>
        <w:t xml:space="preserve"> </w:t>
      </w:r>
      <w:r>
        <w:rPr>
          <w:spacing w:val="-3"/>
        </w:rPr>
        <w:t>和设备等条件，对完成该项目所起的重要作用。</w:t>
      </w:r>
    </w:p>
    <w:p w14:paraId="2C65C26E">
      <w:pPr>
        <w:spacing w:before="111" w:line="188" w:lineRule="auto"/>
        <w:ind w:left="876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641</w:t>
      </w:r>
    </w:p>
    <w:p w14:paraId="79EF72CE">
      <w:pPr>
        <w:spacing w:line="356" w:lineRule="auto"/>
        <w:rPr>
          <w:rFonts w:ascii="Arial"/>
          <w:sz w:val="21"/>
        </w:rPr>
      </w:pPr>
    </w:p>
    <w:p w14:paraId="2FF27A8D">
      <w:pPr>
        <w:spacing w:before="141" w:line="188" w:lineRule="auto"/>
        <w:ind w:left="2799"/>
        <w:rPr>
          <w:rFonts w:ascii="Times New Roman" w:hAnsi="Times New Roman" w:eastAsia="Times New Roman" w:cs="Times New Roman"/>
          <w:sz w:val="49"/>
          <w:szCs w:val="49"/>
        </w:rPr>
      </w:pPr>
      <w:r>
        <w:rPr>
          <w:rFonts w:ascii="Times New Roman" w:hAnsi="Times New Roman" w:eastAsia="Times New Roman" w:cs="Times New Roman"/>
          <w:spacing w:val="-1"/>
          <w:sz w:val="49"/>
          <w:szCs w:val="49"/>
        </w:rPr>
        <w:t>2013052588</w:t>
      </w:r>
    </w:p>
    <w:p w14:paraId="397C00E0">
      <w:pPr>
        <w:spacing w:line="188" w:lineRule="auto"/>
        <w:rPr>
          <w:rFonts w:ascii="Times New Roman" w:hAnsi="Times New Roman" w:eastAsia="Times New Roman" w:cs="Times New Roman"/>
          <w:sz w:val="49"/>
          <w:szCs w:val="49"/>
        </w:rPr>
        <w:sectPr>
          <w:footerReference r:id="rId659" w:type="default"/>
          <w:pgSz w:w="11910" w:h="17130"/>
          <w:pgMar w:top="1301" w:right="985" w:bottom="400" w:left="1470" w:header="0" w:footer="0" w:gutter="0"/>
          <w:cols w:space="720" w:num="1"/>
        </w:sectPr>
      </w:pPr>
    </w:p>
    <w:p w14:paraId="133969B1">
      <w:pPr>
        <w:spacing w:before="48" w:line="221" w:lineRule="auto"/>
        <w:ind w:left="563"/>
        <w:outlineLvl w:val="3"/>
        <w:rPr>
          <w:rFonts w:ascii="黑体" w:hAnsi="黑体" w:eastAsia="黑体" w:cs="黑体"/>
          <w:sz w:val="24"/>
          <w:szCs w:val="24"/>
        </w:rPr>
      </w:pPr>
      <w:r>
        <w:rPr>
          <w:rFonts w:ascii="黑体" w:hAnsi="黑体" w:eastAsia="黑体" w:cs="黑体"/>
          <w:b/>
          <w:bCs/>
          <w:spacing w:val="13"/>
          <w:sz w:val="24"/>
          <w:szCs w:val="24"/>
        </w:rPr>
        <w:t>八</w:t>
      </w:r>
      <w:r>
        <w:rPr>
          <w:rFonts w:ascii="黑体" w:hAnsi="黑体" w:eastAsia="黑体" w:cs="黑体"/>
          <w:spacing w:val="-44"/>
          <w:sz w:val="24"/>
          <w:szCs w:val="24"/>
        </w:rPr>
        <w:t xml:space="preserve"> </w:t>
      </w:r>
      <w:r>
        <w:rPr>
          <w:rFonts w:ascii="黑体" w:hAnsi="黑体" w:eastAsia="黑体" w:cs="黑体"/>
          <w:b/>
          <w:bCs/>
          <w:spacing w:val="13"/>
          <w:sz w:val="24"/>
          <w:szCs w:val="24"/>
        </w:rPr>
        <w:t>、推荐评审意见</w:t>
      </w:r>
    </w:p>
    <w:p w14:paraId="20BAB94D">
      <w:pPr>
        <w:pStyle w:val="2"/>
        <w:spacing w:before="107" w:line="219" w:lineRule="auto"/>
        <w:ind w:left="560"/>
      </w:pPr>
      <w:r>
        <w:rPr>
          <w:rFonts w:ascii="Times New Roman" w:hAnsi="Times New Roman" w:eastAsia="Times New Roman" w:cs="Times New Roman"/>
          <w:spacing w:val="4"/>
        </w:rPr>
        <w:t>1.</w:t>
      </w:r>
      <w:r>
        <w:rPr>
          <w:rFonts w:ascii="Times New Roman" w:hAnsi="Times New Roman" w:eastAsia="Times New Roman" w:cs="Times New Roman"/>
          <w:spacing w:val="11"/>
        </w:rPr>
        <w:t xml:space="preserve">  </w:t>
      </w:r>
      <w:r>
        <w:rPr>
          <w:spacing w:val="4"/>
        </w:rPr>
        <w:t>推荐单位意见</w:t>
      </w:r>
    </w:p>
    <w:p w14:paraId="7509B62D">
      <w:pPr>
        <w:pStyle w:val="2"/>
        <w:spacing w:before="49" w:line="291" w:lineRule="auto"/>
        <w:ind w:right="123" w:firstLine="560"/>
      </w:pPr>
      <w:r>
        <w:rPr>
          <w:spacing w:val="-4"/>
        </w:rPr>
        <w:t>由各推荐部门负责填写，应写明推荐理由、初审意见和推荐等级，并加盖单</w:t>
      </w:r>
      <w:r>
        <w:rPr>
          <w:spacing w:val="2"/>
        </w:rPr>
        <w:t xml:space="preserve"> </w:t>
      </w:r>
      <w:r>
        <w:rPr>
          <w:spacing w:val="-1"/>
        </w:rPr>
        <w:t>位公章。</w:t>
      </w:r>
    </w:p>
    <w:p w14:paraId="189D4BB9">
      <w:pPr>
        <w:pStyle w:val="2"/>
        <w:spacing w:line="218" w:lineRule="auto"/>
        <w:ind w:left="560"/>
      </w:pPr>
      <w:r>
        <w:rPr>
          <w:rFonts w:ascii="Times New Roman" w:hAnsi="Times New Roman" w:eastAsia="Times New Roman" w:cs="Times New Roman"/>
          <w:spacing w:val="3"/>
        </w:rPr>
        <w:t>2.</w:t>
      </w:r>
      <w:r>
        <w:rPr>
          <w:rFonts w:ascii="Times New Roman" w:hAnsi="Times New Roman" w:eastAsia="Times New Roman" w:cs="Times New Roman"/>
          <w:spacing w:val="15"/>
        </w:rPr>
        <w:t xml:space="preserve">  </w:t>
      </w:r>
      <w:r>
        <w:rPr>
          <w:spacing w:val="3"/>
        </w:rPr>
        <w:t>推荐部门意见</w:t>
      </w:r>
    </w:p>
    <w:p w14:paraId="71B1B14C">
      <w:pPr>
        <w:pStyle w:val="2"/>
        <w:spacing w:before="99" w:line="219" w:lineRule="auto"/>
        <w:ind w:left="560"/>
      </w:pPr>
      <w:r>
        <w:t>由军兵种成果办负责填写。</w:t>
      </w:r>
    </w:p>
    <w:p w14:paraId="472EF3F1">
      <w:pPr>
        <w:pStyle w:val="2"/>
        <w:spacing w:before="72" w:line="219" w:lineRule="auto"/>
        <w:ind w:left="560"/>
      </w:pPr>
      <w:r>
        <w:rPr>
          <w:rFonts w:ascii="Times New Roman" w:hAnsi="Times New Roman" w:eastAsia="Times New Roman" w:cs="Times New Roman"/>
          <w:spacing w:val="2"/>
        </w:rPr>
        <w:t>3.</w:t>
      </w:r>
      <w:r>
        <w:rPr>
          <w:rFonts w:ascii="Times New Roman" w:hAnsi="Times New Roman" w:eastAsia="Times New Roman" w:cs="Times New Roman"/>
          <w:spacing w:val="18"/>
        </w:rPr>
        <w:t xml:space="preserve">  </w:t>
      </w:r>
      <w:r>
        <w:rPr>
          <w:spacing w:val="2"/>
        </w:rPr>
        <w:t>专业评审组意见</w:t>
      </w:r>
    </w:p>
    <w:p w14:paraId="52154D6C">
      <w:pPr>
        <w:pStyle w:val="2"/>
        <w:spacing w:before="88" w:line="219" w:lineRule="auto"/>
        <w:ind w:left="560"/>
      </w:pPr>
      <w:r>
        <w:rPr>
          <w:rFonts w:ascii="Times New Roman" w:hAnsi="Times New Roman" w:eastAsia="Times New Roman" w:cs="Times New Roman"/>
          <w:spacing w:val="3"/>
        </w:rPr>
        <w:t>4.</w:t>
      </w:r>
      <w:r>
        <w:rPr>
          <w:rFonts w:ascii="Times New Roman" w:hAnsi="Times New Roman" w:eastAsia="Times New Roman" w:cs="Times New Roman"/>
          <w:spacing w:val="14"/>
        </w:rPr>
        <w:t xml:space="preserve">  </w:t>
      </w:r>
      <w:r>
        <w:rPr>
          <w:spacing w:val="3"/>
        </w:rPr>
        <w:t>评审委员会意见</w:t>
      </w:r>
    </w:p>
    <w:p w14:paraId="76999CF5">
      <w:pPr>
        <w:spacing w:before="76" w:line="222" w:lineRule="auto"/>
        <w:ind w:left="563"/>
        <w:rPr>
          <w:rFonts w:ascii="黑体" w:hAnsi="黑体" w:eastAsia="黑体" w:cs="黑体"/>
          <w:sz w:val="27"/>
          <w:szCs w:val="27"/>
        </w:rPr>
      </w:pPr>
      <w:r>
        <w:rPr>
          <w:rFonts w:ascii="黑体" w:hAnsi="黑体" w:eastAsia="黑体" w:cs="黑体"/>
          <w:b/>
          <w:bCs/>
          <w:spacing w:val="-8"/>
          <w:sz w:val="27"/>
          <w:szCs w:val="27"/>
        </w:rPr>
        <w:t>附件目录</w:t>
      </w:r>
    </w:p>
    <w:p w14:paraId="785BD261">
      <w:pPr>
        <w:pStyle w:val="2"/>
        <w:spacing w:before="89" w:line="219" w:lineRule="auto"/>
        <w:ind w:left="560"/>
      </w:pPr>
      <w:r>
        <w:rPr>
          <w:spacing w:val="4"/>
        </w:rPr>
        <w:t>将下述附件材料以</w:t>
      </w:r>
      <w:r>
        <w:rPr>
          <w:rFonts w:ascii="Times New Roman" w:hAnsi="Times New Roman" w:eastAsia="Times New Roman" w:cs="Times New Roman"/>
        </w:rPr>
        <w:t>JPG</w:t>
      </w:r>
      <w:r>
        <w:rPr>
          <w:rFonts w:ascii="Times New Roman" w:hAnsi="Times New Roman" w:eastAsia="Times New Roman" w:cs="Times New Roman"/>
          <w:spacing w:val="4"/>
        </w:rPr>
        <w:t xml:space="preserve">  </w:t>
      </w:r>
      <w:r>
        <w:rPr>
          <w:spacing w:val="4"/>
        </w:rPr>
        <w:t>图片格式存入软件相应附件栏中。</w:t>
      </w:r>
    </w:p>
    <w:p w14:paraId="5F5051B2">
      <w:pPr>
        <w:pStyle w:val="2"/>
        <w:spacing w:before="90" w:line="219" w:lineRule="auto"/>
        <w:ind w:left="560"/>
      </w:pPr>
      <w:r>
        <w:rPr>
          <w:rFonts w:ascii="Times New Roman" w:hAnsi="Times New Roman" w:eastAsia="Times New Roman" w:cs="Times New Roman"/>
          <w:spacing w:val="5"/>
        </w:rPr>
        <w:t xml:space="preserve">1.  </w:t>
      </w:r>
      <w:r>
        <w:rPr>
          <w:spacing w:val="5"/>
        </w:rPr>
        <w:t>科学技术成果鉴定证书</w:t>
      </w:r>
    </w:p>
    <w:p w14:paraId="75F14023">
      <w:pPr>
        <w:pStyle w:val="2"/>
        <w:spacing w:before="89" w:line="281" w:lineRule="auto"/>
        <w:ind w:right="93" w:firstLine="560"/>
      </w:pPr>
      <w:r>
        <w:rPr>
          <w:spacing w:val="-3"/>
        </w:rPr>
        <w:t>科学技术成果鉴定证书的首页、鉴定意见、主要完成人员名单及鉴定委员会</w:t>
      </w:r>
      <w:r>
        <w:t xml:space="preserve"> 委员名单复印件。</w:t>
      </w:r>
    </w:p>
    <w:p w14:paraId="76C96CE2">
      <w:pPr>
        <w:pStyle w:val="2"/>
        <w:spacing w:line="219" w:lineRule="auto"/>
        <w:ind w:left="560"/>
      </w:pPr>
      <w:r>
        <w:rPr>
          <w:rFonts w:ascii="Times New Roman" w:hAnsi="Times New Roman" w:eastAsia="Times New Roman" w:cs="Times New Roman"/>
          <w:spacing w:val="3"/>
        </w:rPr>
        <w:t>2.</w:t>
      </w:r>
      <w:r>
        <w:rPr>
          <w:rFonts w:ascii="Times New Roman" w:hAnsi="Times New Roman" w:eastAsia="Times New Roman" w:cs="Times New Roman"/>
          <w:spacing w:val="14"/>
        </w:rPr>
        <w:t xml:space="preserve">  </w:t>
      </w:r>
      <w:r>
        <w:rPr>
          <w:spacing w:val="3"/>
        </w:rPr>
        <w:t>定型批复文件</w:t>
      </w:r>
    </w:p>
    <w:p w14:paraId="6D6AFE93">
      <w:pPr>
        <w:pStyle w:val="2"/>
        <w:spacing w:before="88" w:line="219" w:lineRule="auto"/>
        <w:ind w:left="560"/>
      </w:pPr>
      <w:r>
        <w:rPr>
          <w:spacing w:val="-6"/>
        </w:rPr>
        <w:t>型号产品定型批复文件首页、定型意见、定型委员会名单复印件。</w:t>
      </w:r>
    </w:p>
    <w:p w14:paraId="725FB79E">
      <w:pPr>
        <w:pStyle w:val="2"/>
        <w:spacing w:before="80" w:line="219" w:lineRule="auto"/>
        <w:ind w:left="560"/>
      </w:pPr>
      <w:r>
        <w:rPr>
          <w:rFonts w:ascii="Times New Roman" w:hAnsi="Times New Roman" w:eastAsia="Times New Roman" w:cs="Times New Roman"/>
          <w:spacing w:val="2"/>
        </w:rPr>
        <w:t>3.</w:t>
      </w:r>
      <w:r>
        <w:rPr>
          <w:rFonts w:ascii="Times New Roman" w:hAnsi="Times New Roman" w:eastAsia="Times New Roman" w:cs="Times New Roman"/>
          <w:spacing w:val="20"/>
        </w:rPr>
        <w:t xml:space="preserve">  </w:t>
      </w:r>
      <w:r>
        <w:rPr>
          <w:spacing w:val="2"/>
        </w:rPr>
        <w:t>军用标准的相关文件</w:t>
      </w:r>
    </w:p>
    <w:p w14:paraId="3A9CA6FE">
      <w:pPr>
        <w:pStyle w:val="2"/>
        <w:spacing w:before="90" w:line="219" w:lineRule="auto"/>
        <w:ind w:left="560"/>
      </w:pPr>
      <w:r>
        <w:rPr>
          <w:spacing w:val="-6"/>
        </w:rPr>
        <w:t>军用标准的发布首页、审查意见、审查会委员名单</w:t>
      </w:r>
      <w:r>
        <w:rPr>
          <w:spacing w:val="-7"/>
        </w:rPr>
        <w:t>复印件。</w:t>
      </w:r>
    </w:p>
    <w:p w14:paraId="72C63445">
      <w:pPr>
        <w:pStyle w:val="2"/>
        <w:spacing w:before="89" w:line="219" w:lineRule="auto"/>
        <w:ind w:left="560"/>
      </w:pPr>
      <w:r>
        <w:rPr>
          <w:rFonts w:ascii="Times New Roman" w:hAnsi="Times New Roman" w:eastAsia="Times New Roman" w:cs="Times New Roman"/>
          <w:spacing w:val="2"/>
        </w:rPr>
        <w:t>4.</w:t>
      </w:r>
      <w:r>
        <w:rPr>
          <w:rFonts w:ascii="Times New Roman" w:hAnsi="Times New Roman" w:eastAsia="Times New Roman" w:cs="Times New Roman"/>
          <w:spacing w:val="20"/>
        </w:rPr>
        <w:t xml:space="preserve">  </w:t>
      </w:r>
      <w:r>
        <w:rPr>
          <w:spacing w:val="2"/>
        </w:rPr>
        <w:t>军事计量的相关文件</w:t>
      </w:r>
    </w:p>
    <w:p w14:paraId="222BDC3E">
      <w:pPr>
        <w:pStyle w:val="2"/>
        <w:spacing w:before="89" w:line="218" w:lineRule="auto"/>
        <w:ind w:left="560"/>
      </w:pPr>
      <w:r>
        <w:t>军事计量设备测试报告首页、测试结论及测试成员或机构</w:t>
      </w:r>
      <w:r>
        <w:rPr>
          <w:spacing w:val="-1"/>
        </w:rPr>
        <w:t>名单复印件。</w:t>
      </w:r>
    </w:p>
    <w:p w14:paraId="36C61363">
      <w:pPr>
        <w:pStyle w:val="2"/>
        <w:spacing w:before="84" w:line="219" w:lineRule="auto"/>
        <w:ind w:left="560"/>
      </w:pPr>
      <w:r>
        <w:rPr>
          <w:rFonts w:ascii="Times New Roman" w:hAnsi="Times New Roman" w:eastAsia="Times New Roman" w:cs="Times New Roman"/>
          <w:spacing w:val="1"/>
        </w:rPr>
        <w:t>5.</w:t>
      </w:r>
      <w:r>
        <w:rPr>
          <w:rFonts w:ascii="Times New Roman" w:hAnsi="Times New Roman" w:eastAsia="Times New Roman" w:cs="Times New Roman"/>
          <w:spacing w:val="25"/>
          <w:w w:val="101"/>
        </w:rPr>
        <w:t xml:space="preserve">  </w:t>
      </w:r>
      <w:r>
        <w:rPr>
          <w:spacing w:val="1"/>
        </w:rPr>
        <w:t>发明专利的相关文件</w:t>
      </w:r>
    </w:p>
    <w:p w14:paraId="6BEFB681">
      <w:pPr>
        <w:pStyle w:val="2"/>
        <w:spacing w:before="89" w:line="282" w:lineRule="auto"/>
        <w:ind w:right="93" w:firstLine="560"/>
      </w:pPr>
      <w:r>
        <w:rPr>
          <w:spacing w:val="5"/>
        </w:rPr>
        <w:t>发明专利证书、权利要求书复印件，未授权专利或失效专利不得作为附件</w:t>
      </w:r>
      <w:r>
        <w:rPr>
          <w:spacing w:val="10"/>
        </w:rPr>
        <w:t xml:space="preserve"> </w:t>
      </w:r>
      <w:r>
        <w:rPr>
          <w:spacing w:val="-6"/>
        </w:rPr>
        <w:t>材料。</w:t>
      </w:r>
    </w:p>
    <w:p w14:paraId="545D11FA">
      <w:pPr>
        <w:pStyle w:val="2"/>
        <w:spacing w:before="4" w:line="219" w:lineRule="auto"/>
        <w:ind w:left="560"/>
      </w:pPr>
      <w:r>
        <w:rPr>
          <w:rFonts w:ascii="Times New Roman" w:hAnsi="Times New Roman" w:eastAsia="Times New Roman" w:cs="Times New Roman"/>
          <w:spacing w:val="8"/>
        </w:rPr>
        <w:t>6.</w:t>
      </w:r>
      <w:r>
        <w:rPr>
          <w:rFonts w:ascii="Times New Roman" w:hAnsi="Times New Roman" w:eastAsia="Times New Roman" w:cs="Times New Roman"/>
          <w:spacing w:val="3"/>
        </w:rPr>
        <w:t xml:space="preserve">  </w:t>
      </w:r>
      <w:r>
        <w:rPr>
          <w:spacing w:val="8"/>
        </w:rPr>
        <w:t>机关人员证明</w:t>
      </w:r>
    </w:p>
    <w:p w14:paraId="5F7A28CB">
      <w:pPr>
        <w:pStyle w:val="2"/>
        <w:spacing w:before="111" w:line="271" w:lineRule="auto"/>
        <w:ind w:right="98" w:firstLine="560"/>
      </w:pPr>
      <w:r>
        <w:rPr>
          <w:spacing w:val="-3"/>
        </w:rPr>
        <w:t>机关干部确实做了实质性的技术工作而作为主要完成人时，填</w:t>
      </w:r>
      <w:r>
        <w:rPr>
          <w:spacing w:val="-4"/>
        </w:rPr>
        <w:t>写《机关人员</w:t>
      </w:r>
      <w:r>
        <w:t xml:space="preserve"> </w:t>
      </w:r>
      <w:r>
        <w:rPr>
          <w:spacing w:val="-2"/>
        </w:rPr>
        <w:t>贡献证明》并由所在单位领导和项目完成单位</w:t>
      </w:r>
      <w:r>
        <w:rPr>
          <w:spacing w:val="-3"/>
        </w:rPr>
        <w:t>领导签字并加盖公章，《机关人员</w:t>
      </w:r>
      <w:r>
        <w:t xml:space="preserve"> </w:t>
      </w:r>
      <w:r>
        <w:rPr>
          <w:spacing w:val="-2"/>
        </w:rPr>
        <w:t>贡献证明》原件作为附件材料统一装订到推荐材料</w:t>
      </w:r>
      <w:r>
        <w:rPr>
          <w:spacing w:val="-3"/>
        </w:rPr>
        <w:t>中。</w:t>
      </w:r>
    </w:p>
    <w:p w14:paraId="5158B59E">
      <w:pPr>
        <w:pStyle w:val="2"/>
        <w:spacing w:before="2" w:line="219" w:lineRule="auto"/>
        <w:ind w:left="560"/>
      </w:pPr>
      <w:r>
        <w:rPr>
          <w:rFonts w:ascii="Times New Roman" w:hAnsi="Times New Roman" w:eastAsia="Times New Roman" w:cs="Times New Roman"/>
          <w:spacing w:val="6"/>
        </w:rPr>
        <w:t xml:space="preserve">7.  </w:t>
      </w:r>
      <w:r>
        <w:rPr>
          <w:spacing w:val="6"/>
        </w:rPr>
        <w:t>应用证明</w:t>
      </w:r>
    </w:p>
    <w:p w14:paraId="1A611EA4">
      <w:pPr>
        <w:pStyle w:val="2"/>
        <w:spacing w:before="117" w:line="272" w:lineRule="auto"/>
        <w:ind w:firstLine="560"/>
      </w:pPr>
      <w:r>
        <w:rPr>
          <w:spacing w:val="-3"/>
        </w:rPr>
        <w:t>成果应用是推荐奖励的重要先决条件。根据有关要求，申报一等奖、二等奖</w:t>
      </w:r>
      <w:r>
        <w:t xml:space="preserve"> </w:t>
      </w:r>
      <w:r>
        <w:rPr>
          <w:spacing w:val="8"/>
        </w:rPr>
        <w:t>的项目必须有两个以上非本单位出具的应用证明(至少有一份军队用户出具)。</w:t>
      </w:r>
      <w:r>
        <w:rPr>
          <w:spacing w:val="4"/>
        </w:rPr>
        <w:t xml:space="preserve"> </w:t>
      </w:r>
      <w:r>
        <w:rPr>
          <w:spacing w:val="-3"/>
        </w:rPr>
        <w:t>应用证明必须采用规定的格式，内容应包括该成果应用的时间、环</w:t>
      </w:r>
      <w:r>
        <w:rPr>
          <w:spacing w:val="-4"/>
        </w:rPr>
        <w:t>境、数量、次</w:t>
      </w:r>
      <w:r>
        <w:t xml:space="preserve">  </w:t>
      </w:r>
      <w:r>
        <w:rPr>
          <w:spacing w:val="-3"/>
        </w:rPr>
        <w:t>数，应用取得的效果、解决的问题，在应用中发现该成果存在的问题及</w:t>
      </w:r>
      <w:r>
        <w:rPr>
          <w:spacing w:val="-4"/>
        </w:rPr>
        <w:t>改进建议</w:t>
      </w:r>
      <w:r>
        <w:t xml:space="preserve">  </w:t>
      </w:r>
      <w:r>
        <w:rPr>
          <w:spacing w:val="5"/>
        </w:rPr>
        <w:t>等。应用证明必须能全面、准确地反映该成果的应用范</w:t>
      </w:r>
      <w:r>
        <w:rPr>
          <w:spacing w:val="4"/>
        </w:rPr>
        <w:t>围和应用效果。应用证</w:t>
      </w:r>
      <w:r>
        <w:t xml:space="preserve">  明中的新增产值、新增利税和年增收节支总额等条目，可视情填写，也可不填。</w:t>
      </w:r>
      <w:r>
        <w:rPr>
          <w:spacing w:val="13"/>
        </w:rPr>
        <w:t xml:space="preserve"> </w:t>
      </w:r>
      <w:r>
        <w:rPr>
          <w:spacing w:val="4"/>
        </w:rPr>
        <w:t>坚决杜绝不同应用单位出具的应用证明内容相同(或雷同)的情</w:t>
      </w:r>
      <w:r>
        <w:rPr>
          <w:spacing w:val="3"/>
        </w:rPr>
        <w:t>况发生。</w:t>
      </w:r>
    </w:p>
    <w:p w14:paraId="650666BF">
      <w:pPr>
        <w:spacing w:line="272" w:lineRule="auto"/>
        <w:sectPr>
          <w:footerReference r:id="rId660" w:type="default"/>
          <w:pgSz w:w="11910" w:h="17130"/>
          <w:pgMar w:top="1245" w:right="1284" w:bottom="1876" w:left="1160" w:header="0" w:footer="1686" w:gutter="0"/>
          <w:cols w:space="720" w:num="1"/>
        </w:sectPr>
      </w:pPr>
    </w:p>
    <w:p w14:paraId="27EC60D9">
      <w:pPr>
        <w:pStyle w:val="2"/>
        <w:spacing w:before="54" w:line="219" w:lineRule="auto"/>
        <w:ind w:left="529"/>
      </w:pPr>
      <w:r>
        <w:rPr>
          <w:rFonts w:ascii="Times New Roman" w:hAnsi="Times New Roman" w:eastAsia="Times New Roman" w:cs="Times New Roman"/>
          <w:spacing w:val="5"/>
        </w:rPr>
        <w:t>8.</w:t>
      </w:r>
      <w:r>
        <w:rPr>
          <w:rFonts w:ascii="Times New Roman" w:hAnsi="Times New Roman" w:eastAsia="Times New Roman" w:cs="Times New Roman"/>
          <w:spacing w:val="20"/>
        </w:rPr>
        <w:t xml:space="preserve">  </w:t>
      </w:r>
      <w:r>
        <w:rPr>
          <w:spacing w:val="5"/>
        </w:rPr>
        <w:t>其他证明</w:t>
      </w:r>
    </w:p>
    <w:p w14:paraId="785475A8">
      <w:pPr>
        <w:pStyle w:val="2"/>
        <w:spacing w:before="77" w:line="219" w:lineRule="auto"/>
        <w:ind w:left="529"/>
      </w:pPr>
      <w:r>
        <w:rPr>
          <w:spacing w:val="-3"/>
        </w:rPr>
        <w:t>附可证明完成人贡献的论文、专著等首页。</w:t>
      </w:r>
    </w:p>
    <w:p w14:paraId="2FB7B8E8">
      <w:pPr>
        <w:spacing w:line="318" w:lineRule="auto"/>
        <w:rPr>
          <w:rFonts w:ascii="Arial"/>
          <w:sz w:val="21"/>
        </w:rPr>
      </w:pPr>
    </w:p>
    <w:p w14:paraId="59EA624C">
      <w:pPr>
        <w:pStyle w:val="2"/>
        <w:spacing w:before="117" w:line="219" w:lineRule="auto"/>
        <w:ind w:left="2309"/>
        <w:outlineLvl w:val="1"/>
        <w:rPr>
          <w:sz w:val="36"/>
          <w:szCs w:val="36"/>
        </w:rPr>
      </w:pPr>
      <w:r>
        <w:rPr>
          <w:rFonts w:ascii="Times New Roman" w:hAnsi="Times New Roman" w:eastAsia="Times New Roman" w:cs="Times New Roman"/>
          <w:b/>
          <w:bCs/>
          <w:spacing w:val="1"/>
          <w:sz w:val="36"/>
          <w:szCs w:val="36"/>
        </w:rPr>
        <w:t xml:space="preserve">15.5     </w:t>
      </w:r>
      <w:r>
        <w:rPr>
          <w:b/>
          <w:bCs/>
          <w:spacing w:val="1"/>
          <w:sz w:val="36"/>
          <w:szCs w:val="36"/>
        </w:rPr>
        <w:t>国防科技成果奖推荐书</w:t>
      </w:r>
    </w:p>
    <w:p w14:paraId="672535F0">
      <w:pPr>
        <w:spacing w:line="343" w:lineRule="auto"/>
        <w:rPr>
          <w:rFonts w:ascii="Arial"/>
          <w:sz w:val="21"/>
        </w:rPr>
      </w:pPr>
    </w:p>
    <w:p w14:paraId="3202FAF6">
      <w:pPr>
        <w:pStyle w:val="2"/>
        <w:spacing w:before="88" w:line="277" w:lineRule="auto"/>
        <w:ind w:right="104" w:firstLine="394"/>
        <w:jc w:val="both"/>
      </w:pPr>
      <w:r>
        <w:rPr>
          <w:spacing w:val="-7"/>
        </w:rPr>
        <w:t>《国防科学技术奖申报书》(以下简称《申报书》)是国防科学技术奖评审的基</w:t>
      </w:r>
      <w:r>
        <w:rPr>
          <w:spacing w:val="18"/>
        </w:rPr>
        <w:t xml:space="preserve"> </w:t>
      </w:r>
      <w:r>
        <w:rPr>
          <w:spacing w:val="-3"/>
        </w:rPr>
        <w:t>本技术文件和主要依据，必须严格按规定的格式、栏目及所列标题如实、全面地</w:t>
      </w:r>
      <w:r>
        <w:rPr>
          <w:spacing w:val="14"/>
        </w:rPr>
        <w:t xml:space="preserve"> </w:t>
      </w:r>
      <w:r>
        <w:rPr>
          <w:spacing w:val="-4"/>
        </w:rPr>
        <w:t>填写。</w:t>
      </w:r>
    </w:p>
    <w:p w14:paraId="6FFAA334">
      <w:pPr>
        <w:pStyle w:val="2"/>
        <w:spacing w:before="1" w:line="280" w:lineRule="auto"/>
        <w:ind w:firstLine="394"/>
        <w:jc w:val="both"/>
      </w:pPr>
      <w:r>
        <w:rPr>
          <w:rFonts w:ascii="仿宋" w:hAnsi="仿宋" w:eastAsia="仿宋" w:cs="仿宋"/>
          <w:spacing w:val="21"/>
        </w:rPr>
        <w:t>《申报书》要严格按规定格式打印，尺寸规格为</w:t>
      </w:r>
      <w:r>
        <w:rPr>
          <w:rFonts w:ascii="仿宋" w:hAnsi="仿宋" w:eastAsia="仿宋" w:cs="仿宋"/>
          <w:spacing w:val="-25"/>
        </w:rPr>
        <w:t xml:space="preserve"> </w:t>
      </w:r>
      <w:r>
        <w:rPr>
          <w:rFonts w:ascii="Times New Roman" w:hAnsi="Times New Roman" w:eastAsia="Times New Roman" w:cs="Times New Roman"/>
          <w:spacing w:val="21"/>
        </w:rPr>
        <w:t xml:space="preserve">A4  </w:t>
      </w:r>
      <w:r>
        <w:rPr>
          <w:rFonts w:ascii="仿宋" w:hAnsi="仿宋" w:eastAsia="仿宋" w:cs="仿宋"/>
          <w:spacing w:val="21"/>
        </w:rPr>
        <w:t>纸</w:t>
      </w:r>
      <w:r>
        <w:rPr>
          <w:rFonts w:ascii="仿宋" w:hAnsi="仿宋" w:eastAsia="仿宋" w:cs="仿宋"/>
          <w:spacing w:val="20"/>
        </w:rPr>
        <w:t>(高297</w:t>
      </w:r>
      <w:r>
        <w:rPr>
          <w:rFonts w:ascii="Times New Roman" w:hAnsi="Times New Roman" w:eastAsia="Times New Roman" w:cs="Times New Roman"/>
        </w:rPr>
        <w:t>mm</w:t>
      </w:r>
      <w:r>
        <w:rPr>
          <w:rFonts w:ascii="Times New Roman" w:hAnsi="Times New Roman" w:eastAsia="Times New Roman" w:cs="Times New Roman"/>
          <w:spacing w:val="20"/>
        </w:rPr>
        <w:t>,</w:t>
      </w:r>
      <w:r>
        <w:rPr>
          <w:rFonts w:ascii="Times New Roman" w:hAnsi="Times New Roman" w:eastAsia="Times New Roman" w:cs="Times New Roman"/>
          <w:spacing w:val="47"/>
          <w:w w:val="101"/>
        </w:rPr>
        <w:t xml:space="preserve"> </w:t>
      </w:r>
      <w:r>
        <w:rPr>
          <w:rFonts w:ascii="仿宋" w:hAnsi="仿宋" w:eastAsia="仿宋" w:cs="仿宋"/>
          <w:spacing w:val="20"/>
        </w:rPr>
        <w:t>宽</w:t>
      </w:r>
      <w:r>
        <w:rPr>
          <w:rFonts w:ascii="仿宋" w:hAnsi="仿宋" w:eastAsia="仿宋" w:cs="仿宋"/>
        </w:rPr>
        <w:t xml:space="preserve">  </w:t>
      </w:r>
      <w:r>
        <w:rPr>
          <w:spacing w:val="-2"/>
        </w:rPr>
        <w:t>210</w:t>
      </w:r>
      <w:r>
        <w:rPr>
          <w:rFonts w:ascii="Times New Roman" w:hAnsi="Times New Roman" w:eastAsia="Times New Roman" w:cs="Times New Roman"/>
          <w:spacing w:val="-2"/>
        </w:rPr>
        <w:t xml:space="preserve">mm) </w:t>
      </w:r>
      <w:r>
        <w:rPr>
          <w:spacing w:val="-2"/>
        </w:rPr>
        <w:t>竖装，文字及图表应限定在高257</w:t>
      </w:r>
      <w:r>
        <w:rPr>
          <w:rFonts w:ascii="Times New Roman" w:hAnsi="Times New Roman" w:eastAsia="Times New Roman" w:cs="Times New Roman"/>
          <w:spacing w:val="-2"/>
        </w:rPr>
        <w:t>mm</w:t>
      </w:r>
      <w:r>
        <w:rPr>
          <w:spacing w:val="-2"/>
        </w:rPr>
        <w:t>、宽170</w:t>
      </w:r>
      <w:r>
        <w:rPr>
          <w:rFonts w:ascii="Times New Roman" w:hAnsi="Times New Roman" w:eastAsia="Times New Roman" w:cs="Times New Roman"/>
          <w:spacing w:val="-2"/>
        </w:rPr>
        <w:t xml:space="preserve">mm </w:t>
      </w:r>
      <w:r>
        <w:rPr>
          <w:spacing w:val="-2"/>
        </w:rPr>
        <w:t>的规格内排印，左</w:t>
      </w:r>
      <w:r>
        <w:rPr>
          <w:spacing w:val="-3"/>
        </w:rPr>
        <w:t>边为</w:t>
      </w:r>
      <w:r>
        <w:t xml:space="preserve"> 装订边，宽度不小于25</w:t>
      </w:r>
      <w:r>
        <w:rPr>
          <w:rFonts w:ascii="Times New Roman" w:hAnsi="Times New Roman" w:eastAsia="Times New Roman" w:cs="Times New Roman"/>
        </w:rPr>
        <w:t>mm,</w:t>
      </w:r>
      <w:r>
        <w:rPr>
          <w:rFonts w:ascii="Times New Roman" w:hAnsi="Times New Roman" w:eastAsia="Times New Roman" w:cs="Times New Roman"/>
          <w:spacing w:val="28"/>
        </w:rPr>
        <w:t xml:space="preserve"> </w:t>
      </w:r>
      <w:r>
        <w:t xml:space="preserve">正文内容文字不小于5号字；《申报书》及其附件材 </w:t>
      </w:r>
      <w:r>
        <w:rPr>
          <w:spacing w:val="-7"/>
        </w:rPr>
        <w:t>料应合装成册，附件材料尺寸规格应与申报书一致；装订后勿另附加封</w:t>
      </w:r>
      <w:r>
        <w:rPr>
          <w:spacing w:val="-8"/>
        </w:rPr>
        <w:t>面、封底。</w:t>
      </w:r>
    </w:p>
    <w:p w14:paraId="063014D3">
      <w:pPr>
        <w:spacing w:before="3" w:line="222" w:lineRule="auto"/>
        <w:ind w:left="529"/>
        <w:rPr>
          <w:rFonts w:ascii="黑体" w:hAnsi="黑体" w:eastAsia="黑体" w:cs="黑体"/>
          <w:sz w:val="27"/>
          <w:szCs w:val="27"/>
        </w:rPr>
      </w:pPr>
      <w:r>
        <w:rPr>
          <w:rFonts w:ascii="黑体" w:hAnsi="黑体" w:eastAsia="黑体" w:cs="黑体"/>
          <w:spacing w:val="-14"/>
          <w:sz w:val="27"/>
          <w:szCs w:val="27"/>
        </w:rPr>
        <w:t>一</w:t>
      </w:r>
      <w:r>
        <w:rPr>
          <w:rFonts w:ascii="黑体" w:hAnsi="黑体" w:eastAsia="黑体" w:cs="黑体"/>
          <w:spacing w:val="-75"/>
          <w:sz w:val="27"/>
          <w:szCs w:val="27"/>
        </w:rPr>
        <w:t xml:space="preserve"> </w:t>
      </w:r>
      <w:r>
        <w:rPr>
          <w:rFonts w:ascii="黑体" w:hAnsi="黑体" w:eastAsia="黑体" w:cs="黑体"/>
          <w:spacing w:val="-14"/>
          <w:sz w:val="27"/>
          <w:szCs w:val="27"/>
        </w:rPr>
        <w:t>、</w:t>
      </w:r>
      <w:r>
        <w:rPr>
          <w:rFonts w:ascii="黑体" w:hAnsi="黑体" w:eastAsia="黑体" w:cs="黑体"/>
          <w:b/>
          <w:bCs/>
          <w:spacing w:val="-14"/>
          <w:sz w:val="27"/>
          <w:szCs w:val="27"/>
        </w:rPr>
        <w:t>项目基本情况</w:t>
      </w:r>
    </w:p>
    <w:p w14:paraId="1493B58A">
      <w:pPr>
        <w:pStyle w:val="2"/>
        <w:spacing w:before="91" w:line="219" w:lineRule="auto"/>
        <w:ind w:left="394"/>
      </w:pPr>
      <w:r>
        <w:rPr>
          <w:spacing w:val="-1"/>
        </w:rPr>
        <w:t>“成果登记号”必须与国防成果办备案的成果登记号一致。</w:t>
      </w:r>
    </w:p>
    <w:p w14:paraId="1A29D3C7">
      <w:pPr>
        <w:pStyle w:val="2"/>
        <w:spacing w:before="80" w:line="277" w:lineRule="auto"/>
        <w:ind w:right="101" w:firstLine="394"/>
      </w:pPr>
      <w:r>
        <w:rPr>
          <w:spacing w:val="1"/>
        </w:rPr>
        <w:t>“专业评委会代码”按照《国防科学技术奖各专业评审委员会评审范围及代</w:t>
      </w:r>
      <w:r>
        <w:rPr>
          <w:spacing w:val="4"/>
        </w:rPr>
        <w:t xml:space="preserve"> </w:t>
      </w:r>
      <w:r>
        <w:rPr>
          <w:spacing w:val="-3"/>
        </w:rPr>
        <w:t>码》的规定，选择填写申报项目的专业评委会的代码，各专业评审委员会的代码</w:t>
      </w:r>
      <w:r>
        <w:rPr>
          <w:spacing w:val="17"/>
        </w:rPr>
        <w:t xml:space="preserve"> </w:t>
      </w:r>
      <w:r>
        <w:rPr>
          <w:spacing w:val="-2"/>
        </w:rPr>
        <w:t>如下：01核技术；02航天；03航空；04舰船；05兵器；06军用电子技</w:t>
      </w:r>
      <w:r>
        <w:rPr>
          <w:spacing w:val="-3"/>
        </w:rPr>
        <w:t>术；07材料</w:t>
      </w:r>
    </w:p>
    <w:p w14:paraId="118F15BE">
      <w:pPr>
        <w:pStyle w:val="2"/>
        <w:spacing w:before="1" w:line="219" w:lineRule="auto"/>
        <w:ind w:left="3"/>
      </w:pPr>
      <w:r>
        <w:rPr>
          <w:b/>
          <w:bCs/>
          <w:spacing w:val="-7"/>
        </w:rPr>
        <w:t>与先进制造技术；08技术基础。</w:t>
      </w:r>
    </w:p>
    <w:p w14:paraId="45DCA010">
      <w:pPr>
        <w:pStyle w:val="2"/>
        <w:spacing w:before="103" w:line="280" w:lineRule="auto"/>
        <w:ind w:right="114" w:firstLine="394"/>
      </w:pPr>
      <w:r>
        <w:rPr>
          <w:spacing w:val="-7"/>
        </w:rPr>
        <w:t>“评审组代码”按照《国防科学技术奖各专业评审委员会评审范围及代码》的</w:t>
      </w:r>
      <w:r>
        <w:rPr>
          <w:spacing w:val="12"/>
        </w:rPr>
        <w:t xml:space="preserve"> </w:t>
      </w:r>
      <w:r>
        <w:rPr>
          <w:spacing w:val="-3"/>
        </w:rPr>
        <w:t>规定，选择填写申报项目的评审组代码。</w:t>
      </w:r>
    </w:p>
    <w:p w14:paraId="48BF0E36">
      <w:pPr>
        <w:pStyle w:val="2"/>
        <w:spacing w:before="1" w:line="277" w:lineRule="auto"/>
        <w:ind w:right="19" w:firstLine="394"/>
      </w:pPr>
      <w:r>
        <w:rPr>
          <w:spacing w:val="4"/>
        </w:rPr>
        <w:t>“奖项”是根据项目申报国防技术发明奖或国防科学技术进步奖自动生成，</w:t>
      </w:r>
      <w:r>
        <w:rPr>
          <w:spacing w:val="7"/>
        </w:rPr>
        <w:t xml:space="preserve"> </w:t>
      </w:r>
      <w:r>
        <w:rPr>
          <w:spacing w:val="-1"/>
        </w:rPr>
        <w:t>不需填写。</w:t>
      </w:r>
    </w:p>
    <w:p w14:paraId="0680065E">
      <w:pPr>
        <w:pStyle w:val="2"/>
        <w:spacing w:before="8" w:line="280" w:lineRule="auto"/>
        <w:ind w:right="101" w:firstLine="394"/>
        <w:jc w:val="both"/>
      </w:pPr>
      <w:r>
        <w:rPr>
          <w:spacing w:val="-2"/>
        </w:rPr>
        <w:t>“项目名称”应准确、简明，并能反映出项目的</w:t>
      </w:r>
      <w:r>
        <w:rPr>
          <w:spacing w:val="-3"/>
        </w:rPr>
        <w:t>技术内容和特征，字数(含符</w:t>
      </w:r>
      <w:r>
        <w:t xml:space="preserve"> </w:t>
      </w:r>
      <w:r>
        <w:rPr>
          <w:spacing w:val="1"/>
        </w:rPr>
        <w:t>号)一般不超过30个汉字，并与技术评价证明、研制(研究)技术总结报告等名称</w:t>
      </w:r>
      <w:r>
        <w:rPr>
          <w:spacing w:val="10"/>
        </w:rPr>
        <w:t xml:space="preserve"> </w:t>
      </w:r>
      <w:r>
        <w:rPr>
          <w:spacing w:val="-3"/>
        </w:rPr>
        <w:t>一致；“项目名称(英文)”系指中文名称的英译文，应翻译准确，字符不得超过</w:t>
      </w:r>
      <w:r>
        <w:rPr>
          <w:spacing w:val="17"/>
        </w:rPr>
        <w:t xml:space="preserve"> </w:t>
      </w:r>
      <w:r>
        <w:rPr>
          <w:spacing w:val="1"/>
        </w:rPr>
        <w:t>200个；项目名称中如出现工程型号代码的，应按规定的标准代码填写，标准成</w:t>
      </w:r>
      <w:r>
        <w:rPr>
          <w:spacing w:val="10"/>
        </w:rPr>
        <w:t xml:space="preserve"> </w:t>
      </w:r>
      <w:r>
        <w:rPr>
          <w:spacing w:val="2"/>
        </w:rPr>
        <w:t>果应在项目名称后填写标准号。</w:t>
      </w:r>
    </w:p>
    <w:p w14:paraId="658EA26C">
      <w:pPr>
        <w:pStyle w:val="2"/>
        <w:spacing w:before="36" w:line="272" w:lineRule="auto"/>
        <w:ind w:right="98" w:firstLine="394"/>
        <w:jc w:val="both"/>
      </w:pPr>
      <w:r>
        <w:rPr>
          <w:spacing w:val="-6"/>
        </w:rPr>
        <w:t>“主要完成人”不得超过《国防科学技术奖励办法实施细则》规</w:t>
      </w:r>
      <w:r>
        <w:rPr>
          <w:spacing w:val="-7"/>
        </w:rPr>
        <w:t>定的限额，申</w:t>
      </w:r>
      <w:r>
        <w:t xml:space="preserve"> </w:t>
      </w:r>
      <w:r>
        <w:rPr>
          <w:spacing w:val="1"/>
        </w:rPr>
        <w:t>报国防技术发明奖主要完成人限额为：特等奖10人，一等奖、二等奖和三等奖6</w:t>
      </w:r>
      <w:r>
        <w:rPr>
          <w:spacing w:val="12"/>
        </w:rPr>
        <w:t xml:space="preserve"> </w:t>
      </w:r>
      <w:r>
        <w:rPr>
          <w:spacing w:val="-2"/>
        </w:rPr>
        <w:t>人；申报国防科学技术进步奖主要完成人限额为：特等</w:t>
      </w:r>
      <w:r>
        <w:rPr>
          <w:spacing w:val="-3"/>
        </w:rPr>
        <w:t>奖30人、一等奖15人、二</w:t>
      </w:r>
      <w:r>
        <w:t xml:space="preserve"> </w:t>
      </w:r>
      <w:r>
        <w:rPr>
          <w:spacing w:val="4"/>
        </w:rPr>
        <w:t>等奖10人、三等奖5人。应按贡献大小从左至右、从上到下排列。</w:t>
      </w:r>
    </w:p>
    <w:p w14:paraId="78486FC2">
      <w:pPr>
        <w:pStyle w:val="2"/>
        <w:spacing w:before="33" w:line="297" w:lineRule="auto"/>
        <w:ind w:right="9" w:firstLine="404"/>
        <w:jc w:val="both"/>
        <w:rPr>
          <w:sz w:val="25"/>
          <w:szCs w:val="25"/>
        </w:rPr>
      </w:pPr>
      <w:r>
        <w:rPr>
          <w:spacing w:val="16"/>
          <w:sz w:val="25"/>
          <w:szCs w:val="25"/>
        </w:rPr>
        <w:t>“主要完成单位”不得超过《国防科学技术奖励办法实施细则》规定的限额，</w:t>
      </w:r>
      <w:r>
        <w:rPr>
          <w:spacing w:val="4"/>
          <w:sz w:val="25"/>
          <w:szCs w:val="25"/>
        </w:rPr>
        <w:t xml:space="preserve"> </w:t>
      </w:r>
      <w:r>
        <w:rPr>
          <w:spacing w:val="25"/>
          <w:sz w:val="25"/>
          <w:szCs w:val="25"/>
        </w:rPr>
        <w:t>主要完成单位必须是具有法人资格的单位。申报国防技术发明奖各等级奖的主</w:t>
      </w:r>
      <w:r>
        <w:rPr>
          <w:spacing w:val="12"/>
          <w:sz w:val="25"/>
          <w:szCs w:val="25"/>
        </w:rPr>
        <w:t xml:space="preserve"> </w:t>
      </w:r>
      <w:r>
        <w:rPr>
          <w:spacing w:val="11"/>
          <w:sz w:val="25"/>
          <w:szCs w:val="25"/>
        </w:rPr>
        <w:t>要完成单位限额为：特等奖7个，</w:t>
      </w:r>
      <w:r>
        <w:rPr>
          <w:spacing w:val="88"/>
          <w:sz w:val="25"/>
          <w:szCs w:val="25"/>
        </w:rPr>
        <w:t xml:space="preserve"> </w:t>
      </w:r>
      <w:r>
        <w:rPr>
          <w:spacing w:val="11"/>
          <w:sz w:val="25"/>
          <w:szCs w:val="25"/>
        </w:rPr>
        <w:t>一等奖、二等奖和三等奖5个；申报国防科学技</w:t>
      </w:r>
    </w:p>
    <w:p w14:paraId="3508E3D5">
      <w:pPr>
        <w:spacing w:line="297" w:lineRule="auto"/>
        <w:rPr>
          <w:sz w:val="25"/>
          <w:szCs w:val="25"/>
        </w:rPr>
        <w:sectPr>
          <w:footerReference r:id="rId661" w:type="default"/>
          <w:pgSz w:w="11910" w:h="17130"/>
          <w:pgMar w:top="1326" w:right="995" w:bottom="1763" w:left="1450" w:header="0" w:footer="1565" w:gutter="0"/>
          <w:cols w:space="720" w:num="1"/>
        </w:sectPr>
      </w:pPr>
    </w:p>
    <w:p w14:paraId="7D5DAC06">
      <w:pPr>
        <w:pStyle w:val="2"/>
        <w:spacing w:before="53" w:line="287" w:lineRule="auto"/>
        <w:ind w:right="123"/>
      </w:pPr>
      <w:r>
        <w:rPr>
          <w:spacing w:val="1"/>
        </w:rPr>
        <w:t>术进步奖主要完成单位限额为：特等奖20个、一等奖10个、二等奖7个、三等奖</w:t>
      </w:r>
      <w:r>
        <w:rPr>
          <w:spacing w:val="8"/>
        </w:rPr>
        <w:t xml:space="preserve"> </w:t>
      </w:r>
      <w:r>
        <w:rPr>
          <w:rFonts w:ascii="仿宋" w:hAnsi="仿宋" w:eastAsia="仿宋" w:cs="仿宋"/>
          <w:spacing w:val="-3"/>
        </w:rPr>
        <w:t>5个。</w:t>
      </w:r>
      <w:r>
        <w:rPr>
          <w:rFonts w:ascii="仿宋" w:hAnsi="仿宋" w:eastAsia="仿宋" w:cs="仿宋"/>
          <w:spacing w:val="-65"/>
        </w:rPr>
        <w:t xml:space="preserve"> </w:t>
      </w:r>
      <w:r>
        <w:rPr>
          <w:spacing w:val="-3"/>
        </w:rPr>
        <w:t>应按贡献大小从左至右、从上到下排列。</w:t>
      </w:r>
    </w:p>
    <w:p w14:paraId="4B817F23">
      <w:pPr>
        <w:pStyle w:val="2"/>
        <w:spacing w:line="218" w:lineRule="auto"/>
        <w:ind w:left="550"/>
      </w:pPr>
      <w:r>
        <w:rPr>
          <w:spacing w:val="5"/>
        </w:rPr>
        <w:t>主要完成单位名称应与单位公章名称完全一致。</w:t>
      </w:r>
    </w:p>
    <w:p w14:paraId="29F71287">
      <w:pPr>
        <w:pStyle w:val="2"/>
        <w:spacing w:before="91" w:line="219" w:lineRule="auto"/>
        <w:ind w:left="415"/>
      </w:pPr>
      <w:r>
        <w:rPr>
          <w:spacing w:val="-2"/>
        </w:rPr>
        <w:t>“申报单位”是指项目的第一主要完成单位。</w:t>
      </w:r>
    </w:p>
    <w:p w14:paraId="16A55EE4">
      <w:pPr>
        <w:pStyle w:val="2"/>
        <w:spacing w:before="60" w:line="273" w:lineRule="auto"/>
        <w:ind w:right="123" w:firstLine="415"/>
      </w:pPr>
      <w:r>
        <w:rPr>
          <w:spacing w:val="1"/>
        </w:rPr>
        <w:t>“主管部门(单位)”是指国务院其他部门(单位)、各军工集团公司、委管单</w:t>
      </w:r>
      <w:r>
        <w:t xml:space="preserve"> </w:t>
      </w:r>
      <w:r>
        <w:rPr>
          <w:spacing w:val="1"/>
        </w:rPr>
        <w:t>位、各国防科工办等。主管部门(单位)名称应与</w:t>
      </w:r>
      <w:r>
        <w:t>单位公章名称完全一致。</w:t>
      </w:r>
    </w:p>
    <w:p w14:paraId="5B2933DE">
      <w:pPr>
        <w:pStyle w:val="2"/>
        <w:spacing w:before="2" w:line="283" w:lineRule="auto"/>
        <w:ind w:right="98" w:firstLine="415"/>
      </w:pPr>
      <w:r>
        <w:rPr>
          <w:spacing w:val="-6"/>
        </w:rPr>
        <w:t>“密级”应填写经定密审查机构审定批准的密级，选择填写：机</w:t>
      </w:r>
      <w:r>
        <w:rPr>
          <w:spacing w:val="-7"/>
        </w:rPr>
        <w:t>密、秘密、内</w:t>
      </w:r>
      <w:r>
        <w:t xml:space="preserve"> </w:t>
      </w:r>
      <w:r>
        <w:rPr>
          <w:spacing w:val="-24"/>
        </w:rPr>
        <w:t>部、公开。</w:t>
      </w:r>
    </w:p>
    <w:p w14:paraId="0FFE8229">
      <w:pPr>
        <w:pStyle w:val="2"/>
        <w:spacing w:before="2" w:line="280" w:lineRule="auto"/>
        <w:ind w:right="99" w:firstLine="415"/>
        <w:jc w:val="both"/>
      </w:pPr>
      <w:r>
        <w:rPr>
          <w:spacing w:val="-6"/>
        </w:rPr>
        <w:t>“申报等级”是指申报单位提出项目申报的等级，按照《国防</w:t>
      </w:r>
      <w:r>
        <w:rPr>
          <w:spacing w:val="-7"/>
        </w:rPr>
        <w:t>科学技术奖励办</w:t>
      </w:r>
      <w:r>
        <w:t xml:space="preserve"> </w:t>
      </w:r>
      <w:r>
        <w:rPr>
          <w:spacing w:val="-3"/>
        </w:rPr>
        <w:t>法实施细则》的国防技术发明奖、国防科学技术进步奖各等级的基本标准选择填</w:t>
      </w:r>
      <w:r>
        <w:rPr>
          <w:spacing w:val="16"/>
        </w:rPr>
        <w:t xml:space="preserve"> </w:t>
      </w:r>
      <w:r>
        <w:rPr>
          <w:spacing w:val="-25"/>
        </w:rPr>
        <w:t>写：特等奖、一等奖、二等奖、三等奖。</w:t>
      </w:r>
    </w:p>
    <w:p w14:paraId="3A785652">
      <w:pPr>
        <w:pStyle w:val="2"/>
        <w:spacing w:before="1" w:line="219" w:lineRule="auto"/>
        <w:ind w:left="415"/>
      </w:pPr>
      <w:r>
        <w:rPr>
          <w:spacing w:val="-4"/>
        </w:rPr>
        <w:t>“申报日期”指申报单位正式申报的日期。</w:t>
      </w:r>
    </w:p>
    <w:p w14:paraId="433A6897">
      <w:pPr>
        <w:pStyle w:val="2"/>
        <w:spacing w:before="61" w:line="284" w:lineRule="auto"/>
        <w:ind w:firstLine="415"/>
      </w:pPr>
      <w:r>
        <w:rPr>
          <w:spacing w:val="2"/>
        </w:rPr>
        <w:t>“成果类别”指申报国防科学技术进步奖项目成果</w:t>
      </w:r>
      <w:r>
        <w:rPr>
          <w:spacing w:val="1"/>
        </w:rPr>
        <w:t>类别，应根据本项目具体</w:t>
      </w:r>
      <w:r>
        <w:t xml:space="preserve"> </w:t>
      </w:r>
      <w:r>
        <w:rPr>
          <w:spacing w:val="-6"/>
        </w:rPr>
        <w:t>情况选择填写：</w:t>
      </w:r>
      <w:r>
        <w:rPr>
          <w:rFonts w:ascii="Times New Roman" w:hAnsi="Times New Roman" w:eastAsia="Times New Roman" w:cs="Times New Roman"/>
          <w:spacing w:val="-6"/>
        </w:rPr>
        <w:t>K</w:t>
      </w:r>
      <w:r>
        <w:rPr>
          <w:rFonts w:ascii="Times New Roman" w:hAnsi="Times New Roman" w:eastAsia="Times New Roman" w:cs="Times New Roman"/>
          <w:spacing w:val="29"/>
        </w:rPr>
        <w:t xml:space="preserve"> </w:t>
      </w:r>
      <w:r>
        <w:rPr>
          <w:spacing w:val="-6"/>
        </w:rPr>
        <w:t>型号工程及项目研制成果；</w:t>
      </w:r>
      <w:r>
        <w:rPr>
          <w:rFonts w:ascii="Times New Roman" w:hAnsi="Times New Roman" w:eastAsia="Times New Roman" w:cs="Times New Roman"/>
          <w:spacing w:val="-6"/>
        </w:rPr>
        <w:t xml:space="preserve">Y </w:t>
      </w:r>
      <w:r>
        <w:rPr>
          <w:spacing w:val="-6"/>
        </w:rPr>
        <w:t>预先研究成果；</w:t>
      </w:r>
      <w:r>
        <w:rPr>
          <w:rFonts w:ascii="Times New Roman" w:hAnsi="Times New Roman" w:eastAsia="Times New Roman" w:cs="Times New Roman"/>
          <w:spacing w:val="-6"/>
        </w:rPr>
        <w:t xml:space="preserve">C </w:t>
      </w:r>
      <w:r>
        <w:rPr>
          <w:spacing w:val="-6"/>
        </w:rPr>
        <w:t>基础研究成果；</w:t>
      </w:r>
      <w:r>
        <w:t xml:space="preserve"> </w:t>
      </w:r>
      <w:r>
        <w:rPr>
          <w:rFonts w:ascii="Times New Roman" w:hAnsi="Times New Roman" w:eastAsia="Times New Roman" w:cs="Times New Roman"/>
          <w:spacing w:val="-2"/>
        </w:rPr>
        <w:t>Q</w:t>
      </w:r>
      <w:r>
        <w:rPr>
          <w:rFonts w:ascii="Times New Roman" w:hAnsi="Times New Roman" w:eastAsia="Times New Roman" w:cs="Times New Roman"/>
          <w:spacing w:val="-13"/>
        </w:rPr>
        <w:t xml:space="preserve"> </w:t>
      </w:r>
      <w:r>
        <w:rPr>
          <w:spacing w:val="-2"/>
        </w:rPr>
        <w:t>情报成果；</w:t>
      </w:r>
      <w:r>
        <w:rPr>
          <w:rFonts w:ascii="Times New Roman" w:hAnsi="Times New Roman" w:eastAsia="Times New Roman" w:cs="Times New Roman"/>
          <w:spacing w:val="-2"/>
        </w:rPr>
        <w:t>B</w:t>
      </w:r>
      <w:r>
        <w:rPr>
          <w:rFonts w:ascii="Times New Roman" w:hAnsi="Times New Roman" w:eastAsia="Times New Roman" w:cs="Times New Roman"/>
          <w:spacing w:val="-13"/>
        </w:rPr>
        <w:t xml:space="preserve"> </w:t>
      </w:r>
      <w:r>
        <w:rPr>
          <w:spacing w:val="-2"/>
        </w:rPr>
        <w:t>标准化成果；</w:t>
      </w:r>
      <w:r>
        <w:rPr>
          <w:rFonts w:ascii="Times New Roman" w:hAnsi="Times New Roman" w:eastAsia="Times New Roman" w:cs="Times New Roman"/>
          <w:spacing w:val="-2"/>
        </w:rPr>
        <w:t>J</w:t>
      </w:r>
      <w:r>
        <w:rPr>
          <w:rFonts w:ascii="Times New Roman" w:hAnsi="Times New Roman" w:eastAsia="Times New Roman" w:cs="Times New Roman"/>
          <w:spacing w:val="43"/>
          <w:w w:val="101"/>
        </w:rPr>
        <w:t xml:space="preserve"> </w:t>
      </w:r>
      <w:r>
        <w:rPr>
          <w:spacing w:val="-2"/>
        </w:rPr>
        <w:t>计量成果；</w:t>
      </w:r>
      <w:r>
        <w:rPr>
          <w:rFonts w:ascii="Times New Roman" w:hAnsi="Times New Roman" w:eastAsia="Times New Roman" w:cs="Times New Roman"/>
          <w:spacing w:val="-2"/>
        </w:rPr>
        <w:t>R</w:t>
      </w:r>
      <w:r>
        <w:rPr>
          <w:rFonts w:ascii="Times New Roman" w:hAnsi="Times New Roman" w:eastAsia="Times New Roman" w:cs="Times New Roman"/>
          <w:spacing w:val="44"/>
          <w:w w:val="101"/>
        </w:rPr>
        <w:t xml:space="preserve"> </w:t>
      </w:r>
      <w:r>
        <w:rPr>
          <w:spacing w:val="-2"/>
        </w:rPr>
        <w:t>软科学成果</w:t>
      </w:r>
      <w:r>
        <w:rPr>
          <w:spacing w:val="-3"/>
        </w:rPr>
        <w:t>(含管理成果);</w:t>
      </w:r>
      <w:r>
        <w:rPr>
          <w:rFonts w:ascii="Times New Roman" w:hAnsi="Times New Roman" w:eastAsia="Times New Roman" w:cs="Times New Roman"/>
          <w:spacing w:val="-3"/>
        </w:rPr>
        <w:t xml:space="preserve">Z </w:t>
      </w:r>
      <w:r>
        <w:rPr>
          <w:spacing w:val="-3"/>
        </w:rPr>
        <w:t>质量与</w:t>
      </w:r>
      <w:r>
        <w:t xml:space="preserve"> </w:t>
      </w:r>
      <w:r>
        <w:rPr>
          <w:spacing w:val="12"/>
        </w:rPr>
        <w:t>可靠性成果；</w:t>
      </w:r>
      <w:r>
        <w:rPr>
          <w:rFonts w:ascii="Times New Roman" w:hAnsi="Times New Roman" w:eastAsia="Times New Roman" w:cs="Times New Roman"/>
          <w:spacing w:val="12"/>
        </w:rPr>
        <w:t>H</w:t>
      </w:r>
      <w:r>
        <w:rPr>
          <w:rFonts w:ascii="Times New Roman" w:hAnsi="Times New Roman" w:eastAsia="Times New Roman" w:cs="Times New Roman"/>
          <w:spacing w:val="2"/>
        </w:rPr>
        <w:t xml:space="preserve">  </w:t>
      </w:r>
      <w:r>
        <w:rPr>
          <w:spacing w:val="12"/>
        </w:rPr>
        <w:t>环境试验与检测成果。申报国防技术发明</w:t>
      </w:r>
      <w:r>
        <w:rPr>
          <w:spacing w:val="11"/>
        </w:rPr>
        <w:t>奖的项目不填写该</w:t>
      </w:r>
      <w:r>
        <w:t xml:space="preserve">  </w:t>
      </w:r>
      <w:r>
        <w:rPr>
          <w:spacing w:val="-6"/>
        </w:rPr>
        <w:t>栏目。</w:t>
      </w:r>
    </w:p>
    <w:p w14:paraId="6453E686">
      <w:pPr>
        <w:pStyle w:val="2"/>
        <w:spacing w:before="1" w:line="277" w:lineRule="auto"/>
        <w:ind w:right="124" w:firstLine="415"/>
      </w:pPr>
      <w:r>
        <w:rPr>
          <w:spacing w:val="-14"/>
        </w:rPr>
        <w:t>“专业分类代码”、“专业分类名称”指申报</w:t>
      </w:r>
      <w:r>
        <w:rPr>
          <w:spacing w:val="-15"/>
        </w:rPr>
        <w:t>项目所属专业，应按《国防科学技</w:t>
      </w:r>
      <w:r>
        <w:t xml:space="preserve"> </w:t>
      </w:r>
      <w:r>
        <w:rPr>
          <w:spacing w:val="-2"/>
        </w:rPr>
        <w:t>术奖各专业评审委员会评审范围及代码》的规定选择填写。</w:t>
      </w:r>
    </w:p>
    <w:p w14:paraId="07E434D1">
      <w:pPr>
        <w:pStyle w:val="2"/>
        <w:spacing w:before="3" w:line="279" w:lineRule="auto"/>
        <w:ind w:right="109" w:firstLine="415"/>
        <w:jc w:val="both"/>
      </w:pPr>
      <w:r>
        <w:rPr>
          <w:spacing w:val="1"/>
        </w:rPr>
        <w:t>“任务来源”指申报项目是属于哪一级计划下达的任务，在下列分类相应的</w:t>
      </w:r>
      <w:r>
        <w:rPr>
          <w:spacing w:val="12"/>
        </w:rPr>
        <w:t xml:space="preserve"> </w:t>
      </w:r>
      <w:r>
        <w:rPr>
          <w:spacing w:val="-10"/>
        </w:rPr>
        <w:t>字母上划“</w:t>
      </w:r>
      <w:r>
        <w:rPr>
          <w:spacing w:val="-102"/>
        </w:rPr>
        <w:t xml:space="preserve"> </w:t>
      </w:r>
      <w:r>
        <w:rPr>
          <w:spacing w:val="-10"/>
        </w:rPr>
        <w:t>√”。</w:t>
      </w:r>
      <w:r>
        <w:rPr>
          <w:rFonts w:ascii="Times New Roman" w:hAnsi="Times New Roman" w:eastAsia="Times New Roman" w:cs="Times New Roman"/>
          <w:spacing w:val="-10"/>
        </w:rPr>
        <w:t>A.</w:t>
      </w:r>
      <w:r>
        <w:rPr>
          <w:rFonts w:ascii="Times New Roman" w:hAnsi="Times New Roman" w:eastAsia="Times New Roman" w:cs="Times New Roman"/>
          <w:spacing w:val="-18"/>
        </w:rPr>
        <w:t xml:space="preserve"> </w:t>
      </w:r>
      <w:r>
        <w:rPr>
          <w:spacing w:val="-10"/>
        </w:rPr>
        <w:t>国家计划：指正式列</w:t>
      </w:r>
      <w:r>
        <w:rPr>
          <w:spacing w:val="-11"/>
        </w:rPr>
        <w:t>入国家计划项目；</w:t>
      </w:r>
      <w:r>
        <w:rPr>
          <w:rFonts w:ascii="Times New Roman" w:hAnsi="Times New Roman" w:eastAsia="Times New Roman" w:cs="Times New Roman"/>
          <w:spacing w:val="-11"/>
        </w:rPr>
        <w:t>B.</w:t>
      </w:r>
      <w:r>
        <w:rPr>
          <w:spacing w:val="-11"/>
        </w:rPr>
        <w:t>省部委计划：指正式</w:t>
      </w:r>
      <w:r>
        <w:t xml:space="preserve"> </w:t>
      </w:r>
      <w:r>
        <w:rPr>
          <w:spacing w:val="-11"/>
        </w:rPr>
        <w:t>列入省、市、自治区、国务院各部委计划的项目；</w:t>
      </w:r>
      <w:r>
        <w:rPr>
          <w:rFonts w:ascii="Times New Roman" w:hAnsi="Times New Roman" w:eastAsia="Times New Roman" w:cs="Times New Roman"/>
          <w:spacing w:val="-11"/>
        </w:rPr>
        <w:t>C.</w:t>
      </w:r>
      <w:r>
        <w:rPr>
          <w:rFonts w:ascii="Times New Roman" w:hAnsi="Times New Roman" w:eastAsia="Times New Roman" w:cs="Times New Roman"/>
          <w:spacing w:val="15"/>
        </w:rPr>
        <w:t xml:space="preserve"> </w:t>
      </w:r>
      <w:r>
        <w:rPr>
          <w:spacing w:val="-11"/>
        </w:rPr>
        <w:t>计划外</w:t>
      </w:r>
      <w:r>
        <w:rPr>
          <w:spacing w:val="-12"/>
        </w:rPr>
        <w:t>：指未列入国家和省部</w:t>
      </w:r>
      <w:r>
        <w:t xml:space="preserve"> </w:t>
      </w:r>
      <w:r>
        <w:rPr>
          <w:spacing w:val="-1"/>
        </w:rPr>
        <w:t>委计划的项目。</w:t>
      </w:r>
    </w:p>
    <w:p w14:paraId="7DBF5BC8">
      <w:pPr>
        <w:pStyle w:val="2"/>
        <w:spacing w:before="3" w:line="219" w:lineRule="auto"/>
        <w:ind w:left="415"/>
      </w:pPr>
      <w:r>
        <w:rPr>
          <w:spacing w:val="-1"/>
        </w:rPr>
        <w:t>“计划名称”指上述分类的研究开发项目列入计</w:t>
      </w:r>
      <w:r>
        <w:rPr>
          <w:spacing w:val="-2"/>
        </w:rPr>
        <w:t>划的名称。</w:t>
      </w:r>
    </w:p>
    <w:p w14:paraId="1CED0848">
      <w:pPr>
        <w:pStyle w:val="2"/>
        <w:spacing w:before="90" w:line="219" w:lineRule="auto"/>
        <w:ind w:left="415"/>
      </w:pPr>
      <w:r>
        <w:rPr>
          <w:spacing w:val="-1"/>
        </w:rPr>
        <w:t>“计划编号”指上述分类的研究开发项目列入计</w:t>
      </w:r>
      <w:r>
        <w:rPr>
          <w:spacing w:val="-2"/>
        </w:rPr>
        <w:t>划的编号。</w:t>
      </w:r>
    </w:p>
    <w:p w14:paraId="45CE9E19">
      <w:pPr>
        <w:pStyle w:val="2"/>
        <w:spacing w:before="90" w:line="277" w:lineRule="auto"/>
        <w:ind w:right="114" w:firstLine="415"/>
      </w:pPr>
      <w:r>
        <w:rPr>
          <w:spacing w:val="1"/>
        </w:rPr>
        <w:t>“主题词”按《国家汉语主题词表》填写3个～7个与申报项目技术内容密切</w:t>
      </w:r>
      <w:r>
        <w:rPr>
          <w:spacing w:val="10"/>
        </w:rPr>
        <w:t xml:space="preserve"> </w:t>
      </w:r>
      <w:r>
        <w:rPr>
          <w:spacing w:val="-1"/>
        </w:rPr>
        <w:t>相关的主题词。</w:t>
      </w:r>
    </w:p>
    <w:p w14:paraId="2E87A83E">
      <w:pPr>
        <w:pStyle w:val="2"/>
        <w:spacing w:before="2" w:line="280" w:lineRule="auto"/>
        <w:ind w:right="124" w:firstLine="415"/>
      </w:pPr>
      <w:r>
        <w:rPr>
          <w:spacing w:val="-7"/>
        </w:rPr>
        <w:t>“项目起止时间”的起始时间指立项研究、开始研制日期，完成时间指项目通</w:t>
      </w:r>
      <w:r>
        <w:rPr>
          <w:spacing w:val="2"/>
        </w:rPr>
        <w:t xml:space="preserve"> </w:t>
      </w:r>
      <w:r>
        <w:rPr>
          <w:spacing w:val="-9"/>
        </w:rPr>
        <w:t>过验收、鉴定、投产或主要论著公开发表日期。</w:t>
      </w:r>
    </w:p>
    <w:p w14:paraId="734B6E49">
      <w:pPr>
        <w:pStyle w:val="2"/>
        <w:spacing w:before="3" w:line="277" w:lineRule="auto"/>
        <w:ind w:right="120" w:firstLine="415"/>
        <w:jc w:val="both"/>
      </w:pPr>
      <w:r>
        <w:rPr>
          <w:spacing w:val="1"/>
        </w:rPr>
        <w:t>“应用起始时间”是项目实际投入使用的时间，并与应用证明的起始时间一</w:t>
      </w:r>
      <w:r>
        <w:rPr>
          <w:spacing w:val="5"/>
        </w:rPr>
        <w:t xml:space="preserve"> </w:t>
      </w:r>
      <w:r>
        <w:rPr>
          <w:spacing w:val="-6"/>
        </w:rPr>
        <w:t>致，申报国防科学技术奖的项目，其应用时间应达到一年以上</w:t>
      </w:r>
      <w:r>
        <w:rPr>
          <w:spacing w:val="-7"/>
        </w:rPr>
        <w:t>(预先研究、基础研</w:t>
      </w:r>
      <w:r>
        <w:t xml:space="preserve"> </w:t>
      </w:r>
      <w:r>
        <w:rPr>
          <w:spacing w:val="2"/>
        </w:rPr>
        <w:t>究和一次性应用产品成果除外)。</w:t>
      </w:r>
    </w:p>
    <w:p w14:paraId="75C132CC">
      <w:pPr>
        <w:pStyle w:val="2"/>
        <w:spacing w:before="22" w:line="289" w:lineRule="auto"/>
        <w:ind w:left="90" w:right="118" w:firstLine="324"/>
      </w:pPr>
      <w:r>
        <w:rPr>
          <w:spacing w:val="1"/>
        </w:rPr>
        <w:t>“工程代号”指该项目所属的国防重大工程的代号。不论是总项目还是子项</w:t>
      </w:r>
      <w:r>
        <w:rPr>
          <w:spacing w:val="7"/>
        </w:rPr>
        <w:t xml:space="preserve"> </w:t>
      </w:r>
      <w:r>
        <w:rPr>
          <w:spacing w:val="-4"/>
        </w:rPr>
        <w:t>目，均应填写总项目的工程代号，并且要使用有关主管部门确认</w:t>
      </w:r>
      <w:r>
        <w:rPr>
          <w:spacing w:val="-5"/>
        </w:rPr>
        <w:t>的规范代号。</w:t>
      </w:r>
    </w:p>
    <w:p w14:paraId="7073EF8E">
      <w:pPr>
        <w:spacing w:line="289" w:lineRule="auto"/>
        <w:sectPr>
          <w:footerReference r:id="rId662" w:type="default"/>
          <w:pgSz w:w="11910" w:h="17130"/>
          <w:pgMar w:top="1366" w:right="1184" w:bottom="1737" w:left="1239" w:header="0" w:footer="1520" w:gutter="0"/>
          <w:cols w:space="720" w:num="1"/>
        </w:sectPr>
      </w:pPr>
    </w:p>
    <w:p w14:paraId="243C9196">
      <w:pPr>
        <w:pStyle w:val="2"/>
        <w:spacing w:before="103" w:line="287" w:lineRule="auto"/>
        <w:ind w:right="122" w:firstLine="415"/>
      </w:pPr>
      <w:r>
        <w:rPr>
          <w:spacing w:val="-7"/>
        </w:rPr>
        <w:t>“技术评价方式”指鉴定(发明专利)、验收、定型和标准审查等技术评价，填</w:t>
      </w:r>
      <w:r>
        <w:rPr>
          <w:spacing w:val="11"/>
        </w:rPr>
        <w:t xml:space="preserve"> </w:t>
      </w:r>
      <w:r>
        <w:rPr>
          <w:spacing w:val="-41"/>
        </w:rPr>
        <w:t>写“鉴定(发明专利)”、“验收”、“定型”、“标准审查”等即可。</w:t>
      </w:r>
    </w:p>
    <w:p w14:paraId="7E69B401">
      <w:pPr>
        <w:pStyle w:val="2"/>
        <w:spacing w:before="1" w:line="217" w:lineRule="auto"/>
        <w:ind w:left="415"/>
      </w:pPr>
      <w:r>
        <w:rPr>
          <w:spacing w:val="-2"/>
        </w:rPr>
        <w:t>“技术评价组织单位”指组织技术评价的单位。</w:t>
      </w:r>
    </w:p>
    <w:p w14:paraId="745E157E">
      <w:pPr>
        <w:pStyle w:val="2"/>
        <w:spacing w:before="51" w:line="301" w:lineRule="auto"/>
        <w:ind w:right="122" w:firstLine="415"/>
      </w:pPr>
      <w:r>
        <w:rPr>
          <w:spacing w:val="-7"/>
        </w:rPr>
        <w:t>“技术评价时间”指实际通过鉴定(发明专利)、验收、定型和标准审查等技术</w:t>
      </w:r>
      <w:r>
        <w:rPr>
          <w:spacing w:val="11"/>
        </w:rPr>
        <w:t xml:space="preserve"> </w:t>
      </w:r>
      <w:r>
        <w:t>评价的日期。</w:t>
      </w:r>
    </w:p>
    <w:p w14:paraId="26D7533D">
      <w:pPr>
        <w:spacing w:line="221" w:lineRule="auto"/>
        <w:ind w:left="550"/>
        <w:rPr>
          <w:rFonts w:ascii="黑体" w:hAnsi="黑体" w:eastAsia="黑体" w:cs="黑体"/>
          <w:sz w:val="25"/>
          <w:szCs w:val="25"/>
        </w:rPr>
      </w:pPr>
      <w:r>
        <w:rPr>
          <w:rFonts w:ascii="黑体" w:hAnsi="黑体" w:eastAsia="黑体" w:cs="黑体"/>
          <w:spacing w:val="-1"/>
          <w:sz w:val="25"/>
          <w:szCs w:val="25"/>
        </w:rPr>
        <w:t>二</w:t>
      </w:r>
      <w:r>
        <w:rPr>
          <w:rFonts w:ascii="黑体" w:hAnsi="黑体" w:eastAsia="黑体" w:cs="黑体"/>
          <w:spacing w:val="-49"/>
          <w:sz w:val="25"/>
          <w:szCs w:val="25"/>
        </w:rPr>
        <w:t xml:space="preserve"> </w:t>
      </w:r>
      <w:r>
        <w:rPr>
          <w:rFonts w:ascii="黑体" w:hAnsi="黑体" w:eastAsia="黑体" w:cs="黑体"/>
          <w:spacing w:val="-1"/>
          <w:sz w:val="25"/>
          <w:szCs w:val="25"/>
        </w:rPr>
        <w:t>、项目简介</w:t>
      </w:r>
    </w:p>
    <w:p w14:paraId="686989B1">
      <w:pPr>
        <w:pStyle w:val="2"/>
        <w:spacing w:before="62" w:line="291" w:lineRule="auto"/>
        <w:ind w:right="85" w:firstLine="415"/>
        <w:jc w:val="both"/>
      </w:pPr>
      <w:r>
        <w:rPr>
          <w:spacing w:val="-7"/>
        </w:rPr>
        <w:t>“项目简介”应按项目所属科学技术领域、主要科学技术内容、技(战)术经济</w:t>
      </w:r>
      <w:r>
        <w:rPr>
          <w:spacing w:val="11"/>
        </w:rPr>
        <w:t xml:space="preserve"> </w:t>
      </w:r>
      <w:r>
        <w:rPr>
          <w:spacing w:val="-9"/>
        </w:rPr>
        <w:t>指标、促进科技进步作用意义及应用推广情况；要求简明、扼要，同时不泄露项目</w:t>
      </w:r>
      <w:r>
        <w:rPr>
          <w:spacing w:val="2"/>
        </w:rPr>
        <w:t xml:space="preserve"> 的核心技术，字数不超过600个汉字。</w:t>
      </w:r>
    </w:p>
    <w:p w14:paraId="7F7D6AE9">
      <w:pPr>
        <w:spacing w:before="1" w:line="221" w:lineRule="auto"/>
        <w:ind w:left="550"/>
        <w:rPr>
          <w:rFonts w:ascii="黑体" w:hAnsi="黑体" w:eastAsia="黑体" w:cs="黑体"/>
          <w:sz w:val="24"/>
          <w:szCs w:val="24"/>
        </w:rPr>
      </w:pPr>
      <w:r>
        <w:rPr>
          <w:rFonts w:ascii="黑体" w:hAnsi="黑体" w:eastAsia="黑体" w:cs="黑体"/>
          <w:spacing w:val="16"/>
          <w:sz w:val="24"/>
          <w:szCs w:val="24"/>
        </w:rPr>
        <w:t>三</w:t>
      </w:r>
      <w:r>
        <w:rPr>
          <w:rFonts w:ascii="黑体" w:hAnsi="黑体" w:eastAsia="黑体" w:cs="黑体"/>
          <w:spacing w:val="-28"/>
          <w:sz w:val="24"/>
          <w:szCs w:val="24"/>
        </w:rPr>
        <w:t xml:space="preserve"> </w:t>
      </w:r>
      <w:r>
        <w:rPr>
          <w:rFonts w:ascii="黑体" w:hAnsi="黑体" w:eastAsia="黑体" w:cs="黑体"/>
          <w:spacing w:val="16"/>
          <w:sz w:val="24"/>
          <w:szCs w:val="24"/>
        </w:rPr>
        <w:t>、项目详细内容</w:t>
      </w:r>
    </w:p>
    <w:p w14:paraId="1784F3F2">
      <w:pPr>
        <w:pStyle w:val="2"/>
        <w:spacing w:before="83" w:line="277" w:lineRule="auto"/>
        <w:ind w:firstLine="415"/>
      </w:pPr>
      <w:r>
        <w:rPr>
          <w:spacing w:val="-3"/>
        </w:rPr>
        <w:t>“项目详细内容”应当按照《申报书》规定的栏目内容</w:t>
      </w:r>
      <w:r>
        <w:rPr>
          <w:spacing w:val="-4"/>
        </w:rPr>
        <w:t>及本说明的有关要求，</w:t>
      </w:r>
      <w:r>
        <w:t xml:space="preserve"> </w:t>
      </w:r>
      <w:r>
        <w:rPr>
          <w:spacing w:val="-18"/>
        </w:rPr>
        <w:t>详实、准确、全面地填写。</w:t>
      </w:r>
    </w:p>
    <w:p w14:paraId="53282291">
      <w:pPr>
        <w:pStyle w:val="2"/>
        <w:spacing w:before="1" w:line="218" w:lineRule="auto"/>
        <w:ind w:left="550"/>
      </w:pPr>
      <w:r>
        <w:rPr>
          <w:spacing w:val="5"/>
        </w:rPr>
        <w:t>1.</w:t>
      </w:r>
      <w:r>
        <w:rPr>
          <w:spacing w:val="-23"/>
        </w:rPr>
        <w:t xml:space="preserve"> </w:t>
      </w:r>
      <w:r>
        <w:rPr>
          <w:spacing w:val="5"/>
        </w:rPr>
        <w:t>立项背景(相关科学技术状况及其存在的问题)</w:t>
      </w:r>
    </w:p>
    <w:p w14:paraId="109D0554">
      <w:pPr>
        <w:pStyle w:val="2"/>
        <w:spacing w:before="110" w:line="277" w:lineRule="auto"/>
        <w:ind w:right="117" w:firstLine="550"/>
      </w:pPr>
      <w:r>
        <w:rPr>
          <w:spacing w:val="5"/>
        </w:rPr>
        <w:t>应简明扼要地概述立项时国内外相关科学技术状况、主要战术技术经济指</w:t>
      </w:r>
      <w:r>
        <w:rPr>
          <w:spacing w:val="16"/>
        </w:rPr>
        <w:t xml:space="preserve"> </w:t>
      </w:r>
      <w:r>
        <w:rPr>
          <w:spacing w:val="-1"/>
        </w:rPr>
        <w:t>标、尚待解决的问题及立项目的，字数不超过600个汉字。</w:t>
      </w:r>
    </w:p>
    <w:p w14:paraId="00652EB3">
      <w:pPr>
        <w:pStyle w:val="2"/>
        <w:spacing w:before="1" w:line="218" w:lineRule="auto"/>
        <w:ind w:left="550"/>
      </w:pPr>
      <w:r>
        <w:rPr>
          <w:rFonts w:ascii="Times New Roman" w:hAnsi="Times New Roman" w:eastAsia="Times New Roman" w:cs="Times New Roman"/>
          <w:spacing w:val="4"/>
        </w:rPr>
        <w:t>2.</w:t>
      </w:r>
      <w:r>
        <w:rPr>
          <w:rFonts w:ascii="Times New Roman" w:hAnsi="Times New Roman" w:eastAsia="Times New Roman" w:cs="Times New Roman"/>
          <w:spacing w:val="17"/>
        </w:rPr>
        <w:t xml:space="preserve">  </w:t>
      </w:r>
      <w:r>
        <w:rPr>
          <w:spacing w:val="4"/>
        </w:rPr>
        <w:t>详细科学技术内容</w:t>
      </w:r>
    </w:p>
    <w:p w14:paraId="346C4901">
      <w:pPr>
        <w:pStyle w:val="2"/>
        <w:spacing w:before="90" w:line="279" w:lineRule="auto"/>
        <w:ind w:right="102" w:firstLine="415"/>
      </w:pPr>
      <w:r>
        <w:rPr>
          <w:spacing w:val="-6"/>
        </w:rPr>
        <w:t>“详细科学技术内容”是评价该项目是否符合授奖</w:t>
      </w:r>
      <w:r>
        <w:rPr>
          <w:spacing w:val="-7"/>
        </w:rPr>
        <w:t>条件的主要依据，因此，凡</w:t>
      </w:r>
      <w:r>
        <w:t xml:space="preserve"> </w:t>
      </w:r>
      <w:r>
        <w:rPr>
          <w:spacing w:val="-3"/>
        </w:rPr>
        <w:t>涉及该项目技术实质内容的说明、论证及实验结果等，均应直接叙述，一般不应</w:t>
      </w:r>
      <w:r>
        <w:rPr>
          <w:spacing w:val="15"/>
        </w:rPr>
        <w:t xml:space="preserve"> </w:t>
      </w:r>
      <w:r>
        <w:rPr>
          <w:spacing w:val="14"/>
        </w:rPr>
        <w:t>采取见附件**的表达形式，必要的图示必须就近插入相应的正文</w:t>
      </w:r>
      <w:r>
        <w:rPr>
          <w:spacing w:val="13"/>
        </w:rPr>
        <w:t>中，不宜另</w:t>
      </w:r>
      <w:r>
        <w:t xml:space="preserve"> </w:t>
      </w:r>
      <w:r>
        <w:rPr>
          <w:spacing w:val="-3"/>
        </w:rPr>
        <w:t>附。申报国防科学技术奖项目，应对总体思路、技术方案、实施效果等进行全面</w:t>
      </w:r>
      <w:r>
        <w:rPr>
          <w:spacing w:val="15"/>
        </w:rPr>
        <w:t xml:space="preserve"> </w:t>
      </w:r>
      <w:r>
        <w:rPr>
          <w:spacing w:val="-18"/>
        </w:rPr>
        <w:t>阐述，纸面不敷，可另增页。</w:t>
      </w:r>
    </w:p>
    <w:p w14:paraId="56C8ABDA">
      <w:pPr>
        <w:pStyle w:val="2"/>
        <w:spacing w:before="2" w:line="246" w:lineRule="auto"/>
        <w:ind w:right="124" w:firstLine="550"/>
      </w:pPr>
      <w:r>
        <w:rPr>
          <w:spacing w:val="1"/>
        </w:rPr>
        <w:t>(1)总体思路。应简要阐述针对立项目的，利用什么新思想、新技术、新方</w:t>
      </w:r>
      <w:r>
        <w:t xml:space="preserve"> </w:t>
      </w:r>
      <w:r>
        <w:rPr>
          <w:spacing w:val="-6"/>
        </w:rPr>
        <w:t>法，来解决什么样的技术问题，创造出什么样的新成果。</w:t>
      </w:r>
    </w:p>
    <w:p w14:paraId="39442F11">
      <w:pPr>
        <w:pStyle w:val="2"/>
        <w:spacing w:before="87" w:line="265" w:lineRule="auto"/>
        <w:ind w:right="121" w:firstLine="550"/>
      </w:pPr>
      <w:r>
        <w:rPr>
          <w:spacing w:val="1"/>
        </w:rPr>
        <w:t xml:space="preserve">(2)技术方案。应详细阐述具体技术方案和实施步骤，应用了哪些理论、技 </w:t>
      </w:r>
      <w:r>
        <w:rPr>
          <w:spacing w:val="-10"/>
        </w:rPr>
        <w:t>术和方法，在技术开发、推广及产业化过程中，攻克了哪些关键技术，在技术上有</w:t>
      </w:r>
      <w:r>
        <w:rPr>
          <w:spacing w:val="2"/>
        </w:rPr>
        <w:t xml:space="preserve"> </w:t>
      </w:r>
      <w:r>
        <w:rPr>
          <w:spacing w:val="-6"/>
        </w:rPr>
        <w:t>哪些创新，取得了哪些创新成果。</w:t>
      </w:r>
    </w:p>
    <w:p w14:paraId="0D0499E3">
      <w:pPr>
        <w:pStyle w:val="2"/>
        <w:spacing w:before="88" w:line="283" w:lineRule="auto"/>
        <w:ind w:right="143" w:firstLine="550"/>
      </w:pPr>
      <w:r>
        <w:rPr>
          <w:spacing w:val="5"/>
        </w:rPr>
        <w:t>申报国防技术发明奖项目，应详细写明发明成果的</w:t>
      </w:r>
      <w:r>
        <w:rPr>
          <w:spacing w:val="4"/>
        </w:rPr>
        <w:t>技术核心以及所采取的</w:t>
      </w:r>
      <w:r>
        <w:t xml:space="preserve"> </w:t>
      </w:r>
      <w:r>
        <w:rPr>
          <w:spacing w:val="-2"/>
        </w:rPr>
        <w:t>具体技术措施。按照发明的不同类型，填写相应的内容：</w:t>
      </w:r>
    </w:p>
    <w:p w14:paraId="002B9D2F">
      <w:pPr>
        <w:pStyle w:val="2"/>
        <w:spacing w:before="2" w:line="273" w:lineRule="auto"/>
        <w:ind w:right="120" w:firstLine="550"/>
        <w:jc w:val="both"/>
      </w:pPr>
      <w:r>
        <w:rPr>
          <w:spacing w:val="-3"/>
        </w:rPr>
        <w:t>①产品发明。包括各种仪器、设备、器械、工具和零部件等。其基本写法按</w:t>
      </w:r>
      <w:r>
        <w:rPr>
          <w:spacing w:val="2"/>
        </w:rPr>
        <w:t xml:space="preserve"> </w:t>
      </w:r>
      <w:r>
        <w:rPr>
          <w:spacing w:val="-6"/>
        </w:rPr>
        <w:t>结构描述，一般要写四点：[1]按结构图(装配图、剖面图)从静态到动态作总的描</w:t>
      </w:r>
      <w:r>
        <w:rPr>
          <w:spacing w:val="6"/>
        </w:rPr>
        <w:t xml:space="preserve"> </w:t>
      </w:r>
      <w:r>
        <w:rPr>
          <w:spacing w:val="1"/>
        </w:rPr>
        <w:t>述，静态用以说明构成发明的组成部分，动态用以说明动作程序。[2]画出关键</w:t>
      </w:r>
      <w:r>
        <w:rPr>
          <w:spacing w:val="8"/>
        </w:rPr>
        <w:t xml:space="preserve"> </w:t>
      </w:r>
      <w:r>
        <w:rPr>
          <w:spacing w:val="-6"/>
        </w:rPr>
        <w:t>部件图作深入描述，包括特殊加工工艺、特殊材料、特殊调试技术等。[3</w:t>
      </w:r>
      <w:r>
        <w:rPr>
          <w:spacing w:val="-7"/>
        </w:rPr>
        <w:t>]列出性</w:t>
      </w:r>
      <w:r>
        <w:t xml:space="preserve"> </w:t>
      </w:r>
      <w:r>
        <w:rPr>
          <w:spacing w:val="1"/>
        </w:rPr>
        <w:t>能指标。[4]构成发明的其他内容。所有机械图均不注尺寸，但应按比例绘制并</w:t>
      </w:r>
      <w:r>
        <w:rPr>
          <w:spacing w:val="9"/>
        </w:rPr>
        <w:t xml:space="preserve"> </w:t>
      </w:r>
      <w:r>
        <w:rPr>
          <w:spacing w:val="-6"/>
        </w:rPr>
        <w:t>标出图序，注出零部件的名称。</w:t>
      </w:r>
    </w:p>
    <w:p w14:paraId="11753B1B">
      <w:pPr>
        <w:spacing w:line="273" w:lineRule="auto"/>
        <w:sectPr>
          <w:footerReference r:id="rId663" w:type="default"/>
          <w:pgSz w:w="11910" w:h="17130"/>
          <w:pgMar w:top="1456" w:right="974" w:bottom="1543" w:left="1450" w:header="0" w:footer="1345" w:gutter="0"/>
          <w:cols w:space="720" w:num="1"/>
        </w:sectPr>
      </w:pPr>
    </w:p>
    <w:p w14:paraId="5DB4DD49">
      <w:pPr>
        <w:pStyle w:val="2"/>
        <w:spacing w:before="158" w:line="264" w:lineRule="auto"/>
        <w:ind w:firstLine="560"/>
      </w:pPr>
      <w:r>
        <w:rPr>
          <w:spacing w:val="14"/>
        </w:rPr>
        <w:t>②工艺发明。包括各种技术方法等。其基本写法按相应步骤及实现条件</w:t>
      </w:r>
      <w:r>
        <w:rPr>
          <w:spacing w:val="3"/>
        </w:rPr>
        <w:t xml:space="preserve">  </w:t>
      </w:r>
      <w:r>
        <w:rPr>
          <w:spacing w:val="2"/>
        </w:rPr>
        <w:t>描述其特点，一般要写四点：[1]基本原理。已知的原理只需写明</w:t>
      </w:r>
      <w:r>
        <w:rPr>
          <w:spacing w:val="1"/>
        </w:rPr>
        <w:t>采用了什么原</w:t>
      </w:r>
      <w:r>
        <w:t xml:space="preserve"> </w:t>
      </w:r>
      <w:r>
        <w:rPr>
          <w:spacing w:val="5"/>
        </w:rPr>
        <w:t>理，新的原理要列出结论性公式(不写推导过程)。[2]实施步骤</w:t>
      </w:r>
      <w:r>
        <w:rPr>
          <w:spacing w:val="4"/>
        </w:rPr>
        <w:t>。如工艺流程、</w:t>
      </w:r>
      <w:r>
        <w:t xml:space="preserve"> </w:t>
      </w:r>
      <w:r>
        <w:rPr>
          <w:spacing w:val="5"/>
        </w:rPr>
        <w:t>安装步骤等。[3]实现的条件。如工艺条件、使用的原料等。[4]完成动作所采</w:t>
      </w:r>
      <w:r>
        <w:rPr>
          <w:spacing w:val="2"/>
        </w:rPr>
        <w:t xml:space="preserve">  </w:t>
      </w:r>
      <w:r>
        <w:rPr>
          <w:spacing w:val="-2"/>
        </w:rPr>
        <w:t>用的设备。对于构成发明的特殊装备，还应参照产品发明的写法</w:t>
      </w:r>
      <w:r>
        <w:rPr>
          <w:spacing w:val="-3"/>
        </w:rPr>
        <w:t>，进一步详细描</w:t>
      </w:r>
      <w:r>
        <w:t xml:space="preserve">  </w:t>
      </w:r>
      <w:r>
        <w:rPr>
          <w:spacing w:val="-1"/>
        </w:rPr>
        <w:t>述其特征。</w:t>
      </w:r>
    </w:p>
    <w:p w14:paraId="1987E66E">
      <w:pPr>
        <w:pStyle w:val="2"/>
        <w:spacing w:before="116" w:line="217" w:lineRule="auto"/>
        <w:jc w:val="right"/>
      </w:pPr>
      <w:r>
        <w:rPr>
          <w:spacing w:val="3"/>
        </w:rPr>
        <w:t>③材料发明。材料包括用各种技术方法获得的新物质等。</w:t>
      </w:r>
      <w:r>
        <w:rPr>
          <w:spacing w:val="66"/>
        </w:rPr>
        <w:t xml:space="preserve"> </w:t>
      </w:r>
      <w:r>
        <w:rPr>
          <w:spacing w:val="3"/>
        </w:rPr>
        <w:t>一般要</w:t>
      </w:r>
      <w:r>
        <w:rPr>
          <w:spacing w:val="2"/>
        </w:rPr>
        <w:t>写四点：</w:t>
      </w:r>
    </w:p>
    <w:p w14:paraId="090BA3B9">
      <w:pPr>
        <w:pStyle w:val="2"/>
        <w:spacing w:before="96" w:line="273" w:lineRule="auto"/>
        <w:ind w:right="122"/>
        <w:jc w:val="both"/>
      </w:pPr>
      <w:r>
        <w:rPr>
          <w:spacing w:val="-3"/>
        </w:rPr>
        <w:t>[1]组成成分。包括各物质元素的名称、特性、配比及结构式。[2]合成方法或者</w:t>
      </w:r>
      <w:r>
        <w:rPr>
          <w:spacing w:val="15"/>
        </w:rPr>
        <w:t xml:space="preserve"> </w:t>
      </w:r>
      <w:r>
        <w:rPr>
          <w:spacing w:val="2"/>
        </w:rPr>
        <w:t>制造工艺。包括工艺流程、工艺参数(含最</w:t>
      </w:r>
      <w:r>
        <w:rPr>
          <w:spacing w:val="1"/>
        </w:rPr>
        <w:t>佳参数)。[3]完成工艺所需的特殊设</w:t>
      </w:r>
      <w:r>
        <w:t xml:space="preserve"> </w:t>
      </w:r>
      <w:r>
        <w:rPr>
          <w:spacing w:val="3"/>
        </w:rPr>
        <w:t>备(参照产品发明写)。[4]物理化学性能等。</w:t>
      </w:r>
    </w:p>
    <w:p w14:paraId="2EE8CFF6">
      <w:pPr>
        <w:pStyle w:val="2"/>
        <w:spacing w:line="276" w:lineRule="auto"/>
        <w:ind w:right="141" w:firstLine="560"/>
      </w:pPr>
      <w:r>
        <w:rPr>
          <w:spacing w:val="1"/>
        </w:rPr>
        <w:t>申报国防科学技术进步奖项目，根据项目的特点，</w:t>
      </w:r>
      <w:r>
        <w:rPr>
          <w:spacing w:val="-15"/>
        </w:rPr>
        <w:t xml:space="preserve"> </w:t>
      </w:r>
      <w:r>
        <w:rPr>
          <w:spacing w:val="1"/>
        </w:rPr>
        <w:t>一般可按以下类型进行</w:t>
      </w:r>
      <w:r>
        <w:t xml:space="preserve"> </w:t>
      </w:r>
      <w:r>
        <w:rPr>
          <w:spacing w:val="-10"/>
        </w:rPr>
        <w:t>阐述：</w:t>
      </w:r>
    </w:p>
    <w:p w14:paraId="5D321D3A">
      <w:pPr>
        <w:pStyle w:val="2"/>
        <w:spacing w:line="271" w:lineRule="auto"/>
        <w:ind w:right="104" w:firstLine="560"/>
      </w:pPr>
      <w:r>
        <w:rPr>
          <w:spacing w:val="6"/>
        </w:rPr>
        <w:t>①属于基础研究、应用基础研究类。应写明主要学术观点，着重在</w:t>
      </w:r>
      <w:r>
        <w:rPr>
          <w:spacing w:val="5"/>
        </w:rPr>
        <w:t>自然现</w:t>
      </w:r>
      <w:r>
        <w:t xml:space="preserve"> </w:t>
      </w:r>
      <w:r>
        <w:rPr>
          <w:spacing w:val="-3"/>
        </w:rPr>
        <w:t>象和规律发现，在科学理论上的创见，研究方法的创新以及综合分析上的创造性</w:t>
      </w:r>
      <w:r>
        <w:rPr>
          <w:spacing w:val="4"/>
        </w:rPr>
        <w:t xml:space="preserve"> </w:t>
      </w:r>
      <w:r>
        <w:rPr>
          <w:spacing w:val="2"/>
        </w:rPr>
        <w:t>方面进行阐明。为补充详实内容及证实其客观</w:t>
      </w:r>
      <w:r>
        <w:rPr>
          <w:spacing w:val="1"/>
        </w:rPr>
        <w:t>性，还应列出主要论著目录[不超</w:t>
      </w:r>
      <w:r>
        <w:t xml:space="preserve"> </w:t>
      </w:r>
      <w:r>
        <w:rPr>
          <w:spacing w:val="-16"/>
        </w:rPr>
        <w:t>过20篇；论文包括作者、出版年份、题名、刊名、卷(期)页；专著包括作者、出版年</w:t>
      </w:r>
      <w:r>
        <w:rPr>
          <w:spacing w:val="3"/>
        </w:rPr>
        <w:t xml:space="preserve"> </w:t>
      </w:r>
      <w:r>
        <w:rPr>
          <w:spacing w:val="-20"/>
        </w:rPr>
        <w:t>份、书名、出版者等];</w:t>
      </w:r>
    </w:p>
    <w:p w14:paraId="6624604F">
      <w:pPr>
        <w:pStyle w:val="2"/>
        <w:spacing w:before="68" w:line="251" w:lineRule="auto"/>
        <w:ind w:right="102" w:firstLine="560"/>
      </w:pPr>
      <w:r>
        <w:rPr>
          <w:spacing w:val="6"/>
        </w:rPr>
        <w:t>②属于系统工程类。应着重阐述系统的设计思想、体系结构、组成及其关</w:t>
      </w:r>
      <w:r>
        <w:t xml:space="preserve"> </w:t>
      </w:r>
      <w:r>
        <w:rPr>
          <w:spacing w:val="-14"/>
        </w:rPr>
        <w:t>键设备、接口技术、功能及水平等；</w:t>
      </w:r>
    </w:p>
    <w:p w14:paraId="70722C74">
      <w:pPr>
        <w:pStyle w:val="2"/>
        <w:spacing w:before="98" w:line="247" w:lineRule="auto"/>
        <w:ind w:firstLine="560"/>
      </w:pPr>
      <w:r>
        <w:rPr>
          <w:spacing w:val="1"/>
        </w:rPr>
        <w:t>③属于设备类。要求画出结构图、动态程序图、关键</w:t>
      </w:r>
      <w:r>
        <w:t xml:space="preserve">部件应注明特殊材料、 </w:t>
      </w:r>
      <w:r>
        <w:rPr>
          <w:spacing w:val="1"/>
        </w:rPr>
        <w:t>工艺和调试技术及性能指标等；</w:t>
      </w:r>
    </w:p>
    <w:p w14:paraId="118EAF3A">
      <w:pPr>
        <w:pStyle w:val="2"/>
        <w:spacing w:before="86" w:line="217" w:lineRule="auto"/>
        <w:ind w:left="560"/>
      </w:pPr>
      <w:r>
        <w:rPr>
          <w:spacing w:val="-1"/>
        </w:rPr>
        <w:t>④属于方法类。写明基本原理、动作程序、实现条件和配套的特殊设</w:t>
      </w:r>
      <w:r>
        <w:rPr>
          <w:spacing w:val="-2"/>
        </w:rPr>
        <w:t>备等；</w:t>
      </w:r>
    </w:p>
    <w:p w14:paraId="4A0E96F9">
      <w:pPr>
        <w:pStyle w:val="2"/>
        <w:spacing w:before="93" w:line="250" w:lineRule="auto"/>
        <w:ind w:right="101" w:firstLine="560"/>
      </w:pPr>
      <w:r>
        <w:rPr>
          <w:spacing w:val="-2"/>
        </w:rPr>
        <w:t>⑤属于物质、材料类。一般均应写明组成成分、合成方</w:t>
      </w:r>
      <w:r>
        <w:rPr>
          <w:spacing w:val="-3"/>
        </w:rPr>
        <w:t>法(工艺)、物化性能</w:t>
      </w:r>
      <w:r>
        <w:t xml:space="preserve"> </w:t>
      </w:r>
      <w:r>
        <w:rPr>
          <w:spacing w:val="3"/>
        </w:rPr>
        <w:t>和最佳条件以及完成工艺所需要的特殊设备等；</w:t>
      </w:r>
    </w:p>
    <w:p w14:paraId="7EE5D852">
      <w:pPr>
        <w:pStyle w:val="2"/>
        <w:spacing w:before="79" w:line="254" w:lineRule="auto"/>
        <w:ind w:right="124" w:firstLine="560"/>
      </w:pPr>
      <w:r>
        <w:rPr>
          <w:spacing w:val="5"/>
        </w:rPr>
        <w:t>⑥属于新用途类。写明以往解决同一技术问题所用的方法，已知设备、方</w:t>
      </w:r>
      <w:r>
        <w:rPr>
          <w:spacing w:val="9"/>
        </w:rPr>
        <w:t xml:space="preserve"> </w:t>
      </w:r>
      <w:r>
        <w:rPr>
          <w:spacing w:val="-7"/>
        </w:rPr>
        <w:t>法、物质等原来用途，新用途的使用对象及使用</w:t>
      </w:r>
      <w:r>
        <w:rPr>
          <w:spacing w:val="-8"/>
        </w:rPr>
        <w:t>条件等；</w:t>
      </w:r>
    </w:p>
    <w:p w14:paraId="6ACF65EF">
      <w:pPr>
        <w:pStyle w:val="2"/>
        <w:spacing w:before="78" w:line="247" w:lineRule="auto"/>
        <w:ind w:right="124" w:firstLine="560"/>
      </w:pPr>
      <w:r>
        <w:rPr>
          <w:spacing w:val="14"/>
        </w:rPr>
        <w:t>⑦属于推广应用类。应说明推广者在已取得的重大效益中所采用的创造</w:t>
      </w:r>
      <w:r>
        <w:rPr>
          <w:spacing w:val="5"/>
        </w:rPr>
        <w:t xml:space="preserve"> </w:t>
      </w:r>
      <w:r>
        <w:t>性技术推广措施；</w:t>
      </w:r>
    </w:p>
    <w:p w14:paraId="2DE69004">
      <w:pPr>
        <w:pStyle w:val="2"/>
        <w:spacing w:before="107" w:line="243" w:lineRule="auto"/>
        <w:ind w:right="121" w:firstLine="560"/>
      </w:pPr>
      <w:r>
        <w:rPr>
          <w:spacing w:val="-11"/>
        </w:rPr>
        <w:t>⑧属于软科学、技术基础类，应着重在理论、观点、科学原理、分析方法、实</w:t>
      </w:r>
      <w:r>
        <w:rPr>
          <w:spacing w:val="6"/>
        </w:rPr>
        <w:t xml:space="preserve"> </w:t>
      </w:r>
      <w:r>
        <w:rPr>
          <w:spacing w:val="-2"/>
        </w:rPr>
        <w:t>施方法、实际效果以及为决策科学化服务方面进行阐述。</w:t>
      </w:r>
    </w:p>
    <w:p w14:paraId="07F70064">
      <w:pPr>
        <w:pStyle w:val="2"/>
        <w:spacing w:before="121" w:line="258" w:lineRule="auto"/>
        <w:ind w:right="20" w:firstLine="560"/>
      </w:pPr>
      <w:r>
        <w:rPr>
          <w:spacing w:val="4"/>
        </w:rPr>
        <w:t>(3)实施效果。应详细填写应用的范围及推广情况、规模和已达到的效果，</w:t>
      </w:r>
      <w:r>
        <w:rPr>
          <w:spacing w:val="2"/>
        </w:rPr>
        <w:t xml:space="preserve"> </w:t>
      </w:r>
      <w:r>
        <w:rPr>
          <w:spacing w:val="5"/>
        </w:rPr>
        <w:t>简明阐述预期效果和对专业技术发展所起的作用意义等。突出关键技术或者系</w:t>
      </w:r>
      <w:r>
        <w:rPr>
          <w:spacing w:val="14"/>
        </w:rPr>
        <w:t xml:space="preserve"> </w:t>
      </w:r>
      <w:r>
        <w:rPr>
          <w:spacing w:val="-10"/>
        </w:rPr>
        <w:t>统集成的创新性、市场竞争力、成果转化程度、所取得的经济效益，包括提高专业</w:t>
      </w:r>
      <w:r>
        <w:rPr>
          <w:spacing w:val="8"/>
        </w:rPr>
        <w:t xml:space="preserve"> </w:t>
      </w:r>
      <w:r>
        <w:rPr>
          <w:spacing w:val="-9"/>
        </w:rPr>
        <w:t>技术水平、简化工艺过程、节省能源、降低</w:t>
      </w:r>
      <w:r>
        <w:rPr>
          <w:spacing w:val="-10"/>
        </w:rPr>
        <w:t>原材料消耗、提高经济效益或军事、社</w:t>
      </w:r>
    </w:p>
    <w:p w14:paraId="45E41323">
      <w:pPr>
        <w:spacing w:line="258" w:lineRule="auto"/>
        <w:sectPr>
          <w:footerReference r:id="rId664" w:type="default"/>
          <w:pgSz w:w="11910" w:h="17130"/>
          <w:pgMar w:top="1456" w:right="1305" w:bottom="1573" w:left="1110" w:header="0" w:footer="1375" w:gutter="0"/>
          <w:cols w:space="720" w:num="1"/>
        </w:sectPr>
      </w:pPr>
    </w:p>
    <w:p w14:paraId="5B50C718">
      <w:pPr>
        <w:pStyle w:val="2"/>
        <w:spacing w:before="53" w:line="219" w:lineRule="auto"/>
      </w:pPr>
      <w:r>
        <w:rPr>
          <w:spacing w:val="-1"/>
        </w:rPr>
        <w:t>会效益等。</w:t>
      </w:r>
    </w:p>
    <w:p w14:paraId="36ED679B">
      <w:pPr>
        <w:pStyle w:val="2"/>
        <w:spacing w:before="79" w:line="219" w:lineRule="auto"/>
        <w:ind w:left="539"/>
      </w:pPr>
      <w:r>
        <w:rPr>
          <w:rFonts w:ascii="Times New Roman" w:hAnsi="Times New Roman" w:eastAsia="Times New Roman" w:cs="Times New Roman"/>
          <w:spacing w:val="1"/>
        </w:rPr>
        <w:t xml:space="preserve">3.  </w:t>
      </w:r>
      <w:r>
        <w:rPr>
          <w:spacing w:val="1"/>
        </w:rPr>
        <w:t>该项目与当前国内外同类研究、同类技术(产品)的综合比较</w:t>
      </w:r>
    </w:p>
    <w:p w14:paraId="1A0CF047">
      <w:pPr>
        <w:pStyle w:val="2"/>
        <w:spacing w:before="68" w:line="281" w:lineRule="auto"/>
        <w:ind w:right="77" w:firstLine="539"/>
      </w:pPr>
      <w:r>
        <w:rPr>
          <w:spacing w:val="6"/>
        </w:rPr>
        <w:t>应就申报项目的主要战术技术、经济指标和总体科学技术水平同当前国内</w:t>
      </w:r>
      <w:r>
        <w:rPr>
          <w:spacing w:val="14"/>
        </w:rPr>
        <w:t xml:space="preserve"> </w:t>
      </w:r>
      <w:r>
        <w:rPr>
          <w:spacing w:val="-10"/>
        </w:rPr>
        <w:t>外最先进的水平进行全面比较；从主要性能、指标、水平等方面作定性、定量的比</w:t>
      </w:r>
      <w:r>
        <w:rPr>
          <w:spacing w:val="5"/>
        </w:rPr>
        <w:t xml:space="preserve"> </w:t>
      </w:r>
      <w:r>
        <w:rPr>
          <w:spacing w:val="-10"/>
        </w:rPr>
        <w:t>较，并加以综合叙述，还应指出存在问题及改进措施，必要时，可列表说明，字数</w:t>
      </w:r>
      <w:r>
        <w:t xml:space="preserve"> </w:t>
      </w:r>
      <w:r>
        <w:rPr>
          <w:spacing w:val="14"/>
        </w:rPr>
        <w:t>不超过600个汉字。</w:t>
      </w:r>
    </w:p>
    <w:p w14:paraId="74AD378C">
      <w:pPr>
        <w:pStyle w:val="2"/>
        <w:spacing w:line="220" w:lineRule="auto"/>
        <w:ind w:left="539"/>
      </w:pPr>
      <w:r>
        <w:rPr>
          <w:rFonts w:ascii="Times New Roman" w:hAnsi="Times New Roman" w:eastAsia="Times New Roman" w:cs="Times New Roman"/>
          <w:spacing w:val="5"/>
        </w:rPr>
        <w:t>4.</w:t>
      </w:r>
      <w:r>
        <w:rPr>
          <w:rFonts w:ascii="Times New Roman" w:hAnsi="Times New Roman" w:eastAsia="Times New Roman" w:cs="Times New Roman"/>
          <w:spacing w:val="15"/>
        </w:rPr>
        <w:t xml:space="preserve">  </w:t>
      </w:r>
      <w:r>
        <w:rPr>
          <w:spacing w:val="5"/>
        </w:rPr>
        <w:t>创新点</w:t>
      </w:r>
    </w:p>
    <w:p w14:paraId="30582087">
      <w:pPr>
        <w:pStyle w:val="2"/>
        <w:spacing w:before="95" w:line="296" w:lineRule="auto"/>
        <w:ind w:right="99" w:firstLine="414"/>
        <w:rPr>
          <w:sz w:val="25"/>
          <w:szCs w:val="25"/>
        </w:rPr>
      </w:pPr>
      <w:r>
        <w:rPr>
          <w:spacing w:val="6"/>
          <w:sz w:val="25"/>
          <w:szCs w:val="25"/>
        </w:rPr>
        <w:t>“创新(发明)点”是申报项目和《申报书</w:t>
      </w:r>
      <w:r>
        <w:rPr>
          <w:spacing w:val="5"/>
          <w:sz w:val="25"/>
          <w:szCs w:val="25"/>
        </w:rPr>
        <w:t>》的核心部分，也是审查项目、处理异</w:t>
      </w:r>
      <w:r>
        <w:rPr>
          <w:sz w:val="25"/>
          <w:szCs w:val="25"/>
        </w:rPr>
        <w:t xml:space="preserve"> </w:t>
      </w:r>
      <w:r>
        <w:rPr>
          <w:spacing w:val="21"/>
          <w:sz w:val="25"/>
          <w:szCs w:val="25"/>
        </w:rPr>
        <w:t>议的关键依据，字数不超过600个汉字。</w:t>
      </w:r>
    </w:p>
    <w:p w14:paraId="2AE71840">
      <w:pPr>
        <w:pStyle w:val="2"/>
        <w:spacing w:line="274" w:lineRule="auto"/>
        <w:ind w:right="101" w:firstLine="404"/>
        <w:jc w:val="both"/>
        <w:rPr>
          <w:rFonts w:ascii="仿宋" w:hAnsi="仿宋" w:eastAsia="仿宋" w:cs="仿宋"/>
        </w:rPr>
      </w:pPr>
      <w:r>
        <w:rPr>
          <w:spacing w:val="1"/>
        </w:rPr>
        <w:t>“发明点”是指前人所没有的，具有创造性的关键技术，是在项目详细内容</w:t>
      </w:r>
      <w:r>
        <w:rPr>
          <w:spacing w:val="14"/>
        </w:rPr>
        <w:t xml:space="preserve"> </w:t>
      </w:r>
      <w:r>
        <w:rPr>
          <w:spacing w:val="5"/>
        </w:rPr>
        <w:t>基础上的归纳与提炼，应以发明专利的发明点为依据，发明的效果、意义不要</w:t>
      </w:r>
      <w:r>
        <w:rPr>
          <w:spacing w:val="12"/>
        </w:rPr>
        <w:t xml:space="preserve"> </w:t>
      </w:r>
      <w:r>
        <w:rPr>
          <w:spacing w:val="1"/>
        </w:rPr>
        <w:t>列</w:t>
      </w:r>
      <w:r>
        <w:rPr>
          <w:rFonts w:ascii="仿宋" w:hAnsi="仿宋" w:eastAsia="仿宋" w:cs="仿宋"/>
          <w:spacing w:val="1"/>
        </w:rPr>
        <w:t>入。</w:t>
      </w:r>
    </w:p>
    <w:p w14:paraId="4C2A2E94">
      <w:pPr>
        <w:pStyle w:val="2"/>
        <w:spacing w:before="6" w:line="275" w:lineRule="auto"/>
        <w:ind w:right="102" w:firstLine="404"/>
      </w:pPr>
      <w:r>
        <w:rPr>
          <w:spacing w:val="-7"/>
        </w:rPr>
        <w:t>“创新点”是指在技术思路、关键技术及系统集成上的创新，是项目详细技术</w:t>
      </w:r>
      <w:r>
        <w:rPr>
          <w:spacing w:val="14"/>
        </w:rPr>
        <w:t xml:space="preserve"> </w:t>
      </w:r>
      <w:r>
        <w:rPr>
          <w:spacing w:val="-7"/>
        </w:rPr>
        <w:t>内容在创新性方面的归纳与提炼，应简明、扼要地阐述。</w:t>
      </w:r>
    </w:p>
    <w:p w14:paraId="6CBBFF4D">
      <w:pPr>
        <w:pStyle w:val="2"/>
        <w:spacing w:before="15" w:line="219" w:lineRule="auto"/>
        <w:ind w:left="539"/>
      </w:pPr>
      <w:r>
        <w:rPr>
          <w:spacing w:val="4"/>
        </w:rPr>
        <w:t>申报国防科学技术进步奖项目一般可用三种类型概括所</w:t>
      </w:r>
      <w:r>
        <w:rPr>
          <w:spacing w:val="3"/>
        </w:rPr>
        <w:t>有科技创新：</w:t>
      </w:r>
    </w:p>
    <w:p w14:paraId="7FFEEF75">
      <w:pPr>
        <w:pStyle w:val="2"/>
        <w:spacing w:before="110" w:line="253" w:lineRule="auto"/>
        <w:ind w:right="100" w:firstLine="539"/>
      </w:pPr>
      <w:r>
        <w:rPr>
          <w:spacing w:val="1"/>
        </w:rPr>
        <w:t>(1)基础型创新。是指关于自然现象规律的新认识，关</w:t>
      </w:r>
      <w:r>
        <w:t xml:space="preserve">于科学理论、学说上 </w:t>
      </w:r>
      <w:r>
        <w:rPr>
          <w:spacing w:val="-3"/>
        </w:rPr>
        <w:t>的创见；关于原理、机理的进一步阐明；关于研究方法手段上的创新或通过基础</w:t>
      </w:r>
      <w:r>
        <w:rPr>
          <w:spacing w:val="18"/>
        </w:rPr>
        <w:t xml:space="preserve"> </w:t>
      </w:r>
      <w:r>
        <w:rPr>
          <w:spacing w:val="3"/>
        </w:rPr>
        <w:t>数据的科学积累总结出的规律认识等。</w:t>
      </w:r>
    </w:p>
    <w:p w14:paraId="308B96D4">
      <w:pPr>
        <w:pStyle w:val="2"/>
        <w:spacing w:before="92" w:line="253" w:lineRule="auto"/>
        <w:ind w:right="102" w:firstLine="539"/>
      </w:pPr>
      <w:r>
        <w:rPr>
          <w:spacing w:val="1"/>
        </w:rPr>
        <w:t>(2)复合(集成)型创新。指的是对已有科学技术的新组合、</w:t>
      </w:r>
      <w:r>
        <w:t xml:space="preserve">嫁接、移植以及 </w:t>
      </w:r>
      <w:r>
        <w:rPr>
          <w:spacing w:val="-13"/>
        </w:rPr>
        <w:t>推广(新方法),应写清楚有哪些新组合、新结构、新工艺、新方法、新配方、新用途</w:t>
      </w:r>
      <w:r>
        <w:t xml:space="preserve"> </w:t>
      </w:r>
      <w:r>
        <w:rPr>
          <w:spacing w:val="1"/>
        </w:rPr>
        <w:t>等(毋须再写过程及比较)。</w:t>
      </w:r>
    </w:p>
    <w:p w14:paraId="058514CF">
      <w:pPr>
        <w:pStyle w:val="2"/>
        <w:spacing w:before="99" w:line="250" w:lineRule="auto"/>
        <w:ind w:firstLine="539"/>
      </w:pPr>
      <w:r>
        <w:rPr>
          <w:spacing w:val="4"/>
        </w:rPr>
        <w:t>(3)改进型创新。是指对已有科学技术的改进，包括单一改进和综合改进，</w:t>
      </w:r>
      <w:r>
        <w:rPr>
          <w:spacing w:val="12"/>
        </w:rPr>
        <w:t xml:space="preserve"> </w:t>
      </w:r>
      <w:r>
        <w:rPr>
          <w:spacing w:val="3"/>
        </w:rPr>
        <w:t>只需写明改进的技术内容(毋须再写过程及比较)。</w:t>
      </w:r>
    </w:p>
    <w:p w14:paraId="7A0DF2BF">
      <w:pPr>
        <w:pStyle w:val="2"/>
        <w:spacing w:before="100" w:line="220" w:lineRule="auto"/>
        <w:ind w:left="539"/>
      </w:pPr>
      <w:r>
        <w:rPr>
          <w:rFonts w:ascii="Times New Roman" w:hAnsi="Times New Roman" w:eastAsia="Times New Roman" w:cs="Times New Roman"/>
          <w:spacing w:val="8"/>
        </w:rPr>
        <w:t xml:space="preserve">5.  </w:t>
      </w:r>
      <w:r>
        <w:rPr>
          <w:spacing w:val="8"/>
        </w:rPr>
        <w:t>保密要点</w:t>
      </w:r>
    </w:p>
    <w:p w14:paraId="40441FB5">
      <w:pPr>
        <w:pStyle w:val="2"/>
        <w:spacing w:before="108" w:line="269" w:lineRule="auto"/>
        <w:ind w:right="103" w:firstLine="539"/>
      </w:pPr>
      <w:r>
        <w:rPr>
          <w:spacing w:val="6"/>
        </w:rPr>
        <w:t>应就申报项目的详细科学技术内容中需要保密</w:t>
      </w:r>
      <w:r>
        <w:rPr>
          <w:spacing w:val="5"/>
        </w:rPr>
        <w:t>的技术内容提出要求，字数</w:t>
      </w:r>
      <w:r>
        <w:t xml:space="preserve"> </w:t>
      </w:r>
      <w:r>
        <w:rPr>
          <w:spacing w:val="16"/>
        </w:rPr>
        <w:t>不超过50个汉字。</w:t>
      </w:r>
    </w:p>
    <w:p w14:paraId="052C9F4C">
      <w:pPr>
        <w:pStyle w:val="2"/>
        <w:spacing w:before="13" w:line="219" w:lineRule="auto"/>
        <w:ind w:left="539"/>
      </w:pPr>
      <w:r>
        <w:rPr>
          <w:rFonts w:ascii="Times New Roman" w:hAnsi="Times New Roman" w:eastAsia="Times New Roman" w:cs="Times New Roman"/>
          <w:spacing w:val="3"/>
        </w:rPr>
        <w:t>6.</w:t>
      </w:r>
      <w:r>
        <w:rPr>
          <w:rFonts w:ascii="Times New Roman" w:hAnsi="Times New Roman" w:eastAsia="Times New Roman" w:cs="Times New Roman"/>
          <w:spacing w:val="19"/>
        </w:rPr>
        <w:t xml:space="preserve">  </w:t>
      </w:r>
      <w:r>
        <w:rPr>
          <w:spacing w:val="3"/>
        </w:rPr>
        <w:t>应用情况及前景</w:t>
      </w:r>
    </w:p>
    <w:p w14:paraId="04B55E3A">
      <w:pPr>
        <w:pStyle w:val="2"/>
        <w:spacing w:before="100" w:line="273" w:lineRule="auto"/>
        <w:ind w:right="101" w:firstLine="539"/>
      </w:pPr>
      <w:r>
        <w:rPr>
          <w:spacing w:val="6"/>
        </w:rPr>
        <w:t>应就申报项目的推广应用程度和范围、转化和产业</w:t>
      </w:r>
      <w:r>
        <w:rPr>
          <w:spacing w:val="5"/>
        </w:rPr>
        <w:t>化程度及应用前景进行</w:t>
      </w:r>
      <w:r>
        <w:t xml:space="preserve"> </w:t>
      </w:r>
      <w:r>
        <w:rPr>
          <w:spacing w:val="-4"/>
        </w:rPr>
        <w:t>阐述，特别应对应用前景、应用价值进行说明，字数不超过800个汉字。</w:t>
      </w:r>
    </w:p>
    <w:p w14:paraId="75DDE14B">
      <w:pPr>
        <w:pStyle w:val="2"/>
        <w:spacing w:before="1" w:line="218" w:lineRule="auto"/>
        <w:ind w:left="539"/>
      </w:pPr>
      <w:r>
        <w:rPr>
          <w:rFonts w:ascii="Times New Roman" w:hAnsi="Times New Roman" w:eastAsia="Times New Roman" w:cs="Times New Roman"/>
          <w:spacing w:val="-5"/>
        </w:rPr>
        <w:t>7.</w:t>
      </w:r>
      <w:r>
        <w:rPr>
          <w:rFonts w:ascii="Times New Roman" w:hAnsi="Times New Roman" w:eastAsia="Times New Roman" w:cs="Times New Roman"/>
          <w:spacing w:val="21"/>
          <w:w w:val="101"/>
        </w:rPr>
        <w:t xml:space="preserve">  </w:t>
      </w:r>
      <w:r>
        <w:rPr>
          <w:spacing w:val="-5"/>
        </w:rPr>
        <w:t>经济、军事及社会效益情况表</w:t>
      </w:r>
    </w:p>
    <w:p w14:paraId="10651FFC">
      <w:pPr>
        <w:pStyle w:val="2"/>
        <w:spacing w:before="118" w:line="275" w:lineRule="auto"/>
        <w:ind w:right="98" w:firstLine="539"/>
      </w:pPr>
      <w:r>
        <w:rPr>
          <w:spacing w:val="6"/>
        </w:rPr>
        <w:t>栏中填写的经济效益数额应以主要生产、应用单位</w:t>
      </w:r>
      <w:r>
        <w:rPr>
          <w:spacing w:val="5"/>
        </w:rPr>
        <w:t>财务部门核准的数额为</w:t>
      </w:r>
      <w:r>
        <w:t xml:space="preserve"> </w:t>
      </w:r>
      <w:r>
        <w:rPr>
          <w:spacing w:val="-2"/>
        </w:rPr>
        <w:t>依据，并如实反映由于采用该项目后在申报</w:t>
      </w:r>
      <w:r>
        <w:rPr>
          <w:spacing w:val="-3"/>
        </w:rPr>
        <w:t>前三年所取得的新增直接效益；同时</w:t>
      </w:r>
      <w:r>
        <w:t xml:space="preserve"> </w:t>
      </w:r>
      <w:r>
        <w:rPr>
          <w:spacing w:val="5"/>
        </w:rPr>
        <w:t>具体列出本表所填各项效益额的计算方法和计算依据，无计算方法和计算依据</w:t>
      </w:r>
      <w:r>
        <w:rPr>
          <w:spacing w:val="15"/>
        </w:rPr>
        <w:t xml:space="preserve"> </w:t>
      </w:r>
      <w:r>
        <w:rPr>
          <w:spacing w:val="-5"/>
        </w:rPr>
        <w:t>的为不合格；如该项目没有取得经济效益，必须填写项目的总投资额。</w:t>
      </w:r>
    </w:p>
    <w:p w14:paraId="4A5505BA">
      <w:pPr>
        <w:spacing w:line="275" w:lineRule="auto"/>
        <w:sectPr>
          <w:footerReference r:id="rId665" w:type="default"/>
          <w:pgSz w:w="11910" w:h="17130"/>
          <w:pgMar w:top="1436" w:right="1035" w:bottom="1683" w:left="1410" w:header="0" w:footer="1485" w:gutter="0"/>
          <w:cols w:space="720" w:num="1"/>
        </w:sectPr>
      </w:pPr>
    </w:p>
    <w:p w14:paraId="0B7CBE42">
      <w:pPr>
        <w:pStyle w:val="2"/>
        <w:spacing w:before="50" w:line="280" w:lineRule="auto"/>
        <w:ind w:left="135" w:right="16" w:firstLine="560"/>
        <w:jc w:val="both"/>
      </w:pPr>
      <w:r>
        <w:rPr>
          <w:spacing w:val="-3"/>
        </w:rPr>
        <w:t>军事、社会效益是指申报项目在推动国防科技工业技术进步，提高国防能力</w:t>
      </w:r>
      <w:r>
        <w:rPr>
          <w:spacing w:val="1"/>
        </w:rPr>
        <w:t xml:space="preserve"> </w:t>
      </w:r>
      <w:r>
        <w:rPr>
          <w:spacing w:val="-3"/>
        </w:rPr>
        <w:t>和武器装备现代化水平，保障国家和社会安全；促进经济与社会发展；提高决策</w:t>
      </w:r>
      <w:r>
        <w:rPr>
          <w:spacing w:val="15"/>
        </w:rPr>
        <w:t xml:space="preserve"> </w:t>
      </w:r>
      <w:r>
        <w:rPr>
          <w:spacing w:val="-10"/>
        </w:rPr>
        <w:t>科学化、技术服务及科学管理水平；保护自然资源或生态环境；改善人民物质、文</w:t>
      </w:r>
      <w:r>
        <w:rPr>
          <w:spacing w:val="3"/>
        </w:rPr>
        <w:t xml:space="preserve"> </w:t>
      </w:r>
      <w:r>
        <w:rPr>
          <w:spacing w:val="-3"/>
        </w:rPr>
        <w:t>化、生活及健康水平等方面所起的作用；应实事求是、简明扼要地填写。字数不</w:t>
      </w:r>
      <w:r>
        <w:rPr>
          <w:spacing w:val="18"/>
        </w:rPr>
        <w:t xml:space="preserve"> </w:t>
      </w:r>
      <w:r>
        <w:rPr>
          <w:spacing w:val="15"/>
        </w:rPr>
        <w:t>超过400个汉字。</w:t>
      </w:r>
    </w:p>
    <w:p w14:paraId="1F019587">
      <w:pPr>
        <w:spacing w:before="40" w:line="222" w:lineRule="auto"/>
        <w:ind w:left="698"/>
        <w:outlineLvl w:val="3"/>
        <w:rPr>
          <w:rFonts w:ascii="黑体" w:hAnsi="黑体" w:eastAsia="黑体" w:cs="黑体"/>
          <w:sz w:val="24"/>
          <w:szCs w:val="24"/>
        </w:rPr>
      </w:pPr>
      <w:r>
        <w:rPr>
          <w:rFonts w:ascii="黑体" w:hAnsi="黑体" w:eastAsia="黑体" w:cs="黑体"/>
          <w:b/>
          <w:bCs/>
          <w:spacing w:val="23"/>
          <w:sz w:val="24"/>
          <w:szCs w:val="24"/>
        </w:rPr>
        <w:t>四</w:t>
      </w:r>
      <w:r>
        <w:rPr>
          <w:rFonts w:ascii="黑体" w:hAnsi="黑体" w:eastAsia="黑体" w:cs="黑体"/>
          <w:spacing w:val="-18"/>
          <w:sz w:val="24"/>
          <w:szCs w:val="24"/>
        </w:rPr>
        <w:t xml:space="preserve"> </w:t>
      </w:r>
      <w:r>
        <w:rPr>
          <w:rFonts w:ascii="黑体" w:hAnsi="黑体" w:eastAsia="黑体" w:cs="黑体"/>
          <w:b/>
          <w:bCs/>
          <w:spacing w:val="23"/>
          <w:sz w:val="24"/>
          <w:szCs w:val="24"/>
        </w:rPr>
        <w:t>、本项目及相关项目曾获科技奖励情况</w:t>
      </w:r>
    </w:p>
    <w:p w14:paraId="40D8A17A">
      <w:pPr>
        <w:pStyle w:val="2"/>
        <w:spacing w:before="57" w:line="283" w:lineRule="auto"/>
        <w:ind w:left="135" w:right="6" w:firstLine="560"/>
        <w:jc w:val="both"/>
      </w:pPr>
      <w:r>
        <w:rPr>
          <w:spacing w:val="-3"/>
        </w:rPr>
        <w:t>该栏目应写明申报项目及相关项目曾经获得过何种、何级科技奖励，主要是</w:t>
      </w:r>
      <w:r>
        <w:rPr>
          <w:spacing w:val="11"/>
        </w:rPr>
        <w:t xml:space="preserve"> </w:t>
      </w:r>
      <w:r>
        <w:rPr>
          <w:spacing w:val="9"/>
        </w:rPr>
        <w:t xml:space="preserve">指获得省、自治区、直辖市或国务院有关部门的科技奖励情况(不含集团科技 </w:t>
      </w:r>
      <w:r>
        <w:rPr>
          <w:spacing w:val="-9"/>
        </w:rPr>
        <w:t>奖);如申报项目是获国家级或省、部级奖</w:t>
      </w:r>
      <w:r>
        <w:rPr>
          <w:spacing w:val="-10"/>
        </w:rPr>
        <w:t>励后，进一步开发、应用、推广所取得的</w:t>
      </w:r>
      <w:r>
        <w:t xml:space="preserve"> </w:t>
      </w:r>
      <w:r>
        <w:rPr>
          <w:spacing w:val="-4"/>
        </w:rPr>
        <w:t>新成果，亦应填上次获奖的情况。</w:t>
      </w:r>
    </w:p>
    <w:p w14:paraId="3D6BEB4A">
      <w:pPr>
        <w:spacing w:line="221" w:lineRule="auto"/>
        <w:ind w:left="698"/>
        <w:outlineLvl w:val="3"/>
        <w:rPr>
          <w:rFonts w:ascii="黑体" w:hAnsi="黑体" w:eastAsia="黑体" w:cs="黑体"/>
          <w:sz w:val="27"/>
          <w:szCs w:val="27"/>
        </w:rPr>
      </w:pPr>
      <w:r>
        <w:rPr>
          <w:rFonts w:ascii="黑体" w:hAnsi="黑体" w:eastAsia="黑体" w:cs="黑体"/>
          <w:b/>
          <w:bCs/>
          <w:spacing w:val="-3"/>
          <w:sz w:val="27"/>
          <w:szCs w:val="27"/>
        </w:rPr>
        <w:t>五、本项目知识产权情况</w:t>
      </w:r>
    </w:p>
    <w:p w14:paraId="1173EC46">
      <w:pPr>
        <w:pStyle w:val="2"/>
        <w:spacing w:before="101" w:line="219" w:lineRule="auto"/>
        <w:ind w:left="695"/>
      </w:pPr>
      <w:r>
        <w:rPr>
          <w:spacing w:val="7"/>
        </w:rPr>
        <w:t>(1)申报国防技术发明奖项目只需填写已取得的发明专</w:t>
      </w:r>
      <w:r>
        <w:rPr>
          <w:spacing w:val="6"/>
        </w:rPr>
        <w:t>利情况。</w:t>
      </w:r>
    </w:p>
    <w:p w14:paraId="2CBE7343">
      <w:pPr>
        <w:pStyle w:val="2"/>
        <w:spacing w:before="87" w:line="254" w:lineRule="auto"/>
        <w:ind w:left="135" w:right="15" w:firstLine="560"/>
      </w:pPr>
      <w:r>
        <w:rPr>
          <w:spacing w:val="9"/>
        </w:rPr>
        <w:t>(2)申报国防科学技术进步奖项目应包括申请、授权的国内外专利情况以</w:t>
      </w:r>
      <w:r>
        <w:rPr>
          <w:spacing w:val="11"/>
        </w:rPr>
        <w:t xml:space="preserve"> </w:t>
      </w:r>
      <w:r>
        <w:t>及软件登记情况。</w:t>
      </w:r>
    </w:p>
    <w:p w14:paraId="5A4BD7A3">
      <w:pPr>
        <w:spacing w:before="103" w:line="221" w:lineRule="auto"/>
        <w:ind w:left="698"/>
        <w:outlineLvl w:val="3"/>
        <w:rPr>
          <w:rFonts w:ascii="黑体" w:hAnsi="黑体" w:eastAsia="黑体" w:cs="黑体"/>
          <w:sz w:val="24"/>
          <w:szCs w:val="24"/>
        </w:rPr>
      </w:pPr>
      <w:r>
        <w:rPr>
          <w:rFonts w:ascii="黑体" w:hAnsi="黑体" w:eastAsia="黑体" w:cs="黑体"/>
          <w:b/>
          <w:bCs/>
          <w:spacing w:val="17"/>
          <w:sz w:val="24"/>
          <w:szCs w:val="24"/>
        </w:rPr>
        <w:t>六</w:t>
      </w:r>
      <w:r>
        <w:rPr>
          <w:rFonts w:ascii="黑体" w:hAnsi="黑体" w:eastAsia="黑体" w:cs="黑体"/>
          <w:spacing w:val="-34"/>
          <w:sz w:val="24"/>
          <w:szCs w:val="24"/>
        </w:rPr>
        <w:t xml:space="preserve"> </w:t>
      </w:r>
      <w:r>
        <w:rPr>
          <w:rFonts w:ascii="黑体" w:hAnsi="黑体" w:eastAsia="黑体" w:cs="黑体"/>
          <w:b/>
          <w:bCs/>
          <w:spacing w:val="17"/>
          <w:sz w:val="24"/>
          <w:szCs w:val="24"/>
        </w:rPr>
        <w:t>、主要完成人情况表</w:t>
      </w:r>
    </w:p>
    <w:p w14:paraId="5F711C13">
      <w:pPr>
        <w:pStyle w:val="2"/>
        <w:spacing w:before="88" w:line="276" w:lineRule="auto"/>
        <w:ind w:firstLine="695"/>
        <w:jc w:val="both"/>
      </w:pPr>
      <w:r>
        <w:rPr>
          <w:spacing w:val="6"/>
        </w:rPr>
        <w:t>该表是核实完成人是否具备报奖条件的重要依据，应按表格要求</w:t>
      </w:r>
      <w:r>
        <w:rPr>
          <w:spacing w:val="5"/>
        </w:rPr>
        <w:t>认真填写</w:t>
      </w:r>
      <w:r>
        <w:t xml:space="preserve"> </w:t>
      </w:r>
      <w:r>
        <w:rPr>
          <w:spacing w:val="2"/>
        </w:rPr>
        <w:t>每一栏。“创造性贡献”应如实地写明本人所</w:t>
      </w:r>
      <w:r>
        <w:rPr>
          <w:spacing w:val="1"/>
        </w:rPr>
        <w:t>做的创造性技术(发明)内容，并与</w:t>
      </w:r>
      <w:r>
        <w:t xml:space="preserve"> </w:t>
      </w:r>
      <w:r>
        <w:rPr>
          <w:spacing w:val="-10"/>
        </w:rPr>
        <w:t>“创新(发明)点”对应，同时需本人签字。</w:t>
      </w:r>
    </w:p>
    <w:p w14:paraId="091C0461">
      <w:pPr>
        <w:pStyle w:val="2"/>
        <w:spacing w:line="219" w:lineRule="auto"/>
        <w:ind w:left="695"/>
      </w:pPr>
      <w:r>
        <w:rPr>
          <w:spacing w:val="4"/>
        </w:rPr>
        <w:t>国防技术发明奖的主要完成人必须是发明专利的发明人。</w:t>
      </w:r>
    </w:p>
    <w:p w14:paraId="242FC394">
      <w:pPr>
        <w:pStyle w:val="2"/>
        <w:spacing w:before="97" w:line="281" w:lineRule="auto"/>
        <w:ind w:left="135" w:right="18" w:firstLine="560"/>
      </w:pPr>
      <w:r>
        <w:rPr>
          <w:spacing w:val="5"/>
        </w:rPr>
        <w:t>主要完成人不得作为该项目技术评价专家组成员；同一人员不能以相同的</w:t>
      </w:r>
      <w:r>
        <w:rPr>
          <w:spacing w:val="9"/>
        </w:rPr>
        <w:t xml:space="preserve"> </w:t>
      </w:r>
      <w:r>
        <w:rPr>
          <w:spacing w:val="3"/>
        </w:rPr>
        <w:t>科技进步贡献在不同项目中作为主要完成人报奖。</w:t>
      </w:r>
    </w:p>
    <w:p w14:paraId="019BCDDE">
      <w:pPr>
        <w:pStyle w:val="2"/>
        <w:spacing w:before="5" w:line="278" w:lineRule="auto"/>
        <w:ind w:left="135" w:right="2" w:firstLine="560"/>
        <w:jc w:val="both"/>
      </w:pPr>
      <w:r>
        <w:rPr>
          <w:spacing w:val="-11"/>
        </w:rPr>
        <w:t>政府机关人员、集团公司总部人员、企事业单位的领导、合同甲方人员、军队</w:t>
      </w:r>
      <w:r>
        <w:rPr>
          <w:spacing w:val="17"/>
        </w:rPr>
        <w:t xml:space="preserve"> </w:t>
      </w:r>
      <w:r>
        <w:rPr>
          <w:spacing w:val="-2"/>
        </w:rPr>
        <w:t>机关人员、军队科研单位的领导和军事代表，作为主要完成人报奖的，必须在申</w:t>
      </w:r>
      <w:r>
        <w:rPr>
          <w:spacing w:val="5"/>
        </w:rPr>
        <w:t xml:space="preserve"> </w:t>
      </w:r>
      <w:r>
        <w:rPr>
          <w:spacing w:val="-3"/>
        </w:rPr>
        <w:t>报材料中附申报单位出具的书面证明材料，如实说明其所做的创造性贡献，由本</w:t>
      </w:r>
      <w:r>
        <w:rPr>
          <w:spacing w:val="16"/>
        </w:rPr>
        <w:t xml:space="preserve"> </w:t>
      </w:r>
      <w:r>
        <w:rPr>
          <w:spacing w:val="5"/>
        </w:rPr>
        <w:t>人和其上级主管领导签字，同时提供原始记录材料(由申报单位保存)备查。原</w:t>
      </w:r>
      <w:r>
        <w:rPr>
          <w:spacing w:val="15"/>
        </w:rPr>
        <w:t xml:space="preserve"> </w:t>
      </w:r>
      <w:r>
        <w:rPr>
          <w:spacing w:val="5"/>
        </w:rPr>
        <w:t xml:space="preserve">始记录材料是指能反映本人在技术上有创造性贡献的研制(研究)文件的原始件 </w:t>
      </w:r>
      <w:r>
        <w:rPr>
          <w:spacing w:val="-3"/>
        </w:rPr>
        <w:t>或复印件。</w:t>
      </w:r>
    </w:p>
    <w:p w14:paraId="17DAA89F">
      <w:pPr>
        <w:spacing w:before="2" w:line="220" w:lineRule="auto"/>
        <w:ind w:left="698"/>
        <w:outlineLvl w:val="3"/>
        <w:rPr>
          <w:rFonts w:ascii="黑体" w:hAnsi="黑体" w:eastAsia="黑体" w:cs="黑体"/>
          <w:sz w:val="27"/>
          <w:szCs w:val="27"/>
        </w:rPr>
      </w:pPr>
      <w:r>
        <w:rPr>
          <w:rFonts w:ascii="黑体" w:hAnsi="黑体" w:eastAsia="黑体" w:cs="黑体"/>
          <w:b/>
          <w:bCs/>
          <w:spacing w:val="-4"/>
          <w:sz w:val="27"/>
          <w:szCs w:val="27"/>
        </w:rPr>
        <w:t>七、主要完成单位情况表</w:t>
      </w:r>
    </w:p>
    <w:p w14:paraId="0F171AC7">
      <w:pPr>
        <w:pStyle w:val="2"/>
        <w:spacing w:before="91" w:line="277" w:lineRule="auto"/>
        <w:ind w:left="135" w:right="6" w:firstLine="560"/>
        <w:jc w:val="both"/>
      </w:pPr>
      <w:r>
        <w:rPr>
          <w:spacing w:val="6"/>
        </w:rPr>
        <w:t>该表是核实完成单位是否具备报奖条件的重要依</w:t>
      </w:r>
      <w:r>
        <w:rPr>
          <w:spacing w:val="5"/>
        </w:rPr>
        <w:t>据，应按表格要求认真填</w:t>
      </w:r>
      <w:r>
        <w:t xml:space="preserve"> </w:t>
      </w:r>
      <w:r>
        <w:rPr>
          <w:spacing w:val="-3"/>
        </w:rPr>
        <w:t>写每一栏，单位名称应与单位公章完全一致，并加盖完成单位公章。联系人应为</w:t>
      </w:r>
      <w:r>
        <w:rPr>
          <w:spacing w:val="17"/>
        </w:rPr>
        <w:t xml:space="preserve"> </w:t>
      </w:r>
      <w:r>
        <w:rPr>
          <w:spacing w:val="3"/>
        </w:rPr>
        <w:t>本单位成果管理部门的人员，字数不超过600个汉字。</w:t>
      </w:r>
    </w:p>
    <w:p w14:paraId="1206886B">
      <w:pPr>
        <w:spacing w:before="2" w:line="220" w:lineRule="auto"/>
        <w:ind w:left="698"/>
        <w:outlineLvl w:val="3"/>
        <w:rPr>
          <w:rFonts w:ascii="黑体" w:hAnsi="黑体" w:eastAsia="黑体" w:cs="黑体"/>
          <w:sz w:val="27"/>
          <w:szCs w:val="27"/>
        </w:rPr>
      </w:pPr>
      <w:r>
        <w:rPr>
          <w:rFonts w:ascii="黑体" w:hAnsi="黑体" w:eastAsia="黑体" w:cs="黑体"/>
          <w:b/>
          <w:bCs/>
          <w:spacing w:val="-8"/>
          <w:sz w:val="27"/>
          <w:szCs w:val="27"/>
        </w:rPr>
        <w:t>八、申报单位意见</w:t>
      </w:r>
    </w:p>
    <w:p w14:paraId="575A8CFF">
      <w:pPr>
        <w:pStyle w:val="2"/>
        <w:spacing w:before="114" w:line="281" w:lineRule="auto"/>
        <w:ind w:left="135" w:right="1" w:firstLine="560"/>
      </w:pPr>
      <w:r>
        <w:rPr>
          <w:spacing w:val="6"/>
        </w:rPr>
        <w:t>该栏目由申报单位填写，应根据申报项目技术创新</w:t>
      </w:r>
      <w:r>
        <w:rPr>
          <w:spacing w:val="5"/>
        </w:rPr>
        <w:t>(发明)点、技术经济指</w:t>
      </w:r>
      <w:r>
        <w:t xml:space="preserve"> </w:t>
      </w:r>
      <w:r>
        <w:rPr>
          <w:spacing w:val="-3"/>
        </w:rPr>
        <w:t>标、先进性、促进行业科技进步作用和应用情况，并参照国防科学技术奖授奖条</w:t>
      </w:r>
    </w:p>
    <w:p w14:paraId="5D44D776">
      <w:pPr>
        <w:spacing w:line="281" w:lineRule="auto"/>
        <w:sectPr>
          <w:footerReference r:id="rId666" w:type="default"/>
          <w:pgSz w:w="11910" w:h="17130"/>
          <w:pgMar w:top="1376" w:right="1280" w:bottom="1723" w:left="1104" w:header="0" w:footer="1524" w:gutter="0"/>
          <w:cols w:space="720" w:num="1"/>
        </w:sectPr>
      </w:pPr>
    </w:p>
    <w:p w14:paraId="25D8FABE">
      <w:pPr>
        <w:pStyle w:val="2"/>
        <w:spacing w:before="132" w:line="282" w:lineRule="auto"/>
        <w:ind w:right="122"/>
        <w:jc w:val="both"/>
      </w:pPr>
      <w:r>
        <w:rPr>
          <w:spacing w:val="-3"/>
        </w:rPr>
        <w:t>件，写明申报理由和建议等级。确认申报材料属实，并对主要完成单位、完成人</w:t>
      </w:r>
      <w:r>
        <w:rPr>
          <w:spacing w:val="15"/>
        </w:rPr>
        <w:t xml:space="preserve"> </w:t>
      </w:r>
      <w:r>
        <w:rPr>
          <w:spacing w:val="-3"/>
        </w:rPr>
        <w:t>组成及排序和前述技术内容的真实性负责；在申报单位公章处加盖单位公章，字</w:t>
      </w:r>
      <w:r>
        <w:rPr>
          <w:spacing w:val="16"/>
        </w:rPr>
        <w:t xml:space="preserve"> </w:t>
      </w:r>
      <w:r>
        <w:rPr>
          <w:spacing w:val="14"/>
        </w:rPr>
        <w:t>数不超过600个汉字。</w:t>
      </w:r>
    </w:p>
    <w:p w14:paraId="23936C74">
      <w:pPr>
        <w:spacing w:line="221" w:lineRule="auto"/>
        <w:ind w:left="563"/>
        <w:rPr>
          <w:rFonts w:ascii="黑体" w:hAnsi="黑体" w:eastAsia="黑体" w:cs="黑体"/>
          <w:sz w:val="27"/>
          <w:szCs w:val="27"/>
        </w:rPr>
      </w:pPr>
      <w:r>
        <w:rPr>
          <w:rFonts w:ascii="黑体" w:hAnsi="黑体" w:eastAsia="黑体" w:cs="黑体"/>
          <w:b/>
          <w:bCs/>
          <w:spacing w:val="-7"/>
          <w:sz w:val="27"/>
          <w:szCs w:val="27"/>
        </w:rPr>
        <w:t>实物照片</w:t>
      </w:r>
    </w:p>
    <w:p w14:paraId="46CBB313">
      <w:pPr>
        <w:pStyle w:val="2"/>
        <w:spacing w:before="89" w:line="219" w:lineRule="auto"/>
        <w:ind w:left="560"/>
      </w:pPr>
      <w:r>
        <w:t>提供产品实物照片。要求照片清晰，能够反映产品全貌和产品特点。</w:t>
      </w:r>
    </w:p>
    <w:p w14:paraId="56EAF7AB">
      <w:pPr>
        <w:spacing w:before="116" w:line="222" w:lineRule="auto"/>
        <w:ind w:left="563"/>
        <w:rPr>
          <w:rFonts w:ascii="黑体" w:hAnsi="黑体" w:eastAsia="黑体" w:cs="黑体"/>
          <w:sz w:val="24"/>
          <w:szCs w:val="24"/>
        </w:rPr>
      </w:pPr>
      <w:r>
        <w:rPr>
          <w:rFonts w:ascii="黑体" w:hAnsi="黑体" w:eastAsia="黑体" w:cs="黑体"/>
          <w:b/>
          <w:bCs/>
          <w:spacing w:val="20"/>
          <w:sz w:val="24"/>
          <w:szCs w:val="24"/>
        </w:rPr>
        <w:t>附件材料</w:t>
      </w:r>
    </w:p>
    <w:p w14:paraId="1B1C7CF1">
      <w:pPr>
        <w:pStyle w:val="2"/>
        <w:spacing w:before="95" w:line="269" w:lineRule="auto"/>
        <w:ind w:right="110" w:firstLine="560"/>
        <w:jc w:val="both"/>
      </w:pPr>
      <w:r>
        <w:rPr>
          <w:spacing w:val="14"/>
        </w:rPr>
        <w:t>附件材料是申报项目的证明文件和辅助评审材料，其电子文档主要应以</w:t>
      </w:r>
      <w:r>
        <w:rPr>
          <w:spacing w:val="9"/>
        </w:rPr>
        <w:t xml:space="preserve"> </w:t>
      </w:r>
      <w:r>
        <w:rPr>
          <w:rFonts w:ascii="Times New Roman" w:hAnsi="Times New Roman" w:eastAsia="Times New Roman" w:cs="Times New Roman"/>
        </w:rPr>
        <w:t>WORD</w:t>
      </w:r>
      <w:r>
        <w:rPr>
          <w:rFonts w:ascii="Times New Roman" w:hAnsi="Times New Roman" w:eastAsia="Times New Roman" w:cs="Times New Roman"/>
          <w:spacing w:val="4"/>
        </w:rPr>
        <w:t xml:space="preserve"> </w:t>
      </w:r>
      <w:r>
        <w:rPr>
          <w:spacing w:val="4"/>
        </w:rPr>
        <w:t>录入的方式完成，不得大于8</w:t>
      </w:r>
      <w:r>
        <w:rPr>
          <w:rFonts w:ascii="Times New Roman" w:hAnsi="Times New Roman" w:eastAsia="Times New Roman" w:cs="Times New Roman"/>
          <w:spacing w:val="4"/>
        </w:rPr>
        <w:t xml:space="preserve">M; </w:t>
      </w:r>
      <w:r>
        <w:rPr>
          <w:spacing w:val="4"/>
        </w:rPr>
        <w:t>如个别图片以扫描方式录</w:t>
      </w:r>
      <w:r>
        <w:rPr>
          <w:spacing w:val="3"/>
        </w:rPr>
        <w:t>入，每张图片</w:t>
      </w:r>
      <w:r>
        <w:t xml:space="preserve"> </w:t>
      </w:r>
      <w:r>
        <w:rPr>
          <w:spacing w:val="2"/>
        </w:rPr>
        <w:t>不得大于200</w:t>
      </w:r>
      <w:r>
        <w:rPr>
          <w:rFonts w:ascii="Times New Roman" w:hAnsi="Times New Roman" w:eastAsia="Times New Roman" w:cs="Times New Roman"/>
          <w:spacing w:val="2"/>
        </w:rPr>
        <w:t xml:space="preserve">K; </w:t>
      </w:r>
      <w:r>
        <w:rPr>
          <w:spacing w:val="2"/>
        </w:rPr>
        <w:t>须按以下顺序排列，</w:t>
      </w:r>
      <w:r>
        <w:rPr>
          <w:spacing w:val="1"/>
        </w:rPr>
        <w:t>具体要求如下。</w:t>
      </w:r>
    </w:p>
    <w:p w14:paraId="7E811C6B">
      <w:pPr>
        <w:pStyle w:val="2"/>
        <w:spacing w:before="29" w:line="218" w:lineRule="auto"/>
        <w:ind w:left="560"/>
      </w:pPr>
      <w:r>
        <w:rPr>
          <w:rFonts w:ascii="Times New Roman" w:hAnsi="Times New Roman" w:eastAsia="Times New Roman" w:cs="Times New Roman"/>
          <w:spacing w:val="2"/>
        </w:rPr>
        <w:t>1.</w:t>
      </w:r>
      <w:r>
        <w:rPr>
          <w:rFonts w:ascii="Times New Roman" w:hAnsi="Times New Roman" w:eastAsia="Times New Roman" w:cs="Times New Roman"/>
          <w:spacing w:val="12"/>
        </w:rPr>
        <w:t xml:space="preserve">  </w:t>
      </w:r>
      <w:r>
        <w:rPr>
          <w:spacing w:val="2"/>
        </w:rPr>
        <w:t>技术评价证明</w:t>
      </w:r>
    </w:p>
    <w:p w14:paraId="189330FC">
      <w:pPr>
        <w:pStyle w:val="2"/>
        <w:spacing w:before="90" w:line="278" w:lineRule="auto"/>
        <w:ind w:right="113" w:firstLine="425"/>
      </w:pPr>
      <w:r>
        <w:rPr>
          <w:spacing w:val="1"/>
        </w:rPr>
        <w:t xml:space="preserve">“技术评价证明”是指非该项目完成人及其单位出具的反映申报项目水平的 </w:t>
      </w:r>
      <w:r>
        <w:rPr>
          <w:spacing w:val="-11"/>
        </w:rPr>
        <w:t>客观评价材料，如鉴定证书、验收文件、定型文件、标准审查书等证明文件。</w:t>
      </w:r>
    </w:p>
    <w:p w14:paraId="54BBCEC5">
      <w:pPr>
        <w:pStyle w:val="2"/>
        <w:spacing w:line="219" w:lineRule="auto"/>
        <w:ind w:left="560"/>
      </w:pPr>
      <w:r>
        <w:rPr>
          <w:rFonts w:ascii="Times New Roman" w:hAnsi="Times New Roman" w:eastAsia="Times New Roman" w:cs="Times New Roman"/>
          <w:spacing w:val="7"/>
        </w:rPr>
        <w:t>2.</w:t>
      </w:r>
      <w:r>
        <w:rPr>
          <w:rFonts w:ascii="Times New Roman" w:hAnsi="Times New Roman" w:eastAsia="Times New Roman" w:cs="Times New Roman"/>
          <w:spacing w:val="9"/>
        </w:rPr>
        <w:t xml:space="preserve">  </w:t>
      </w:r>
      <w:r>
        <w:rPr>
          <w:spacing w:val="7"/>
        </w:rPr>
        <w:t>应用证明</w:t>
      </w:r>
    </w:p>
    <w:p w14:paraId="28D9DF07">
      <w:pPr>
        <w:pStyle w:val="2"/>
        <w:spacing w:before="70" w:line="287" w:lineRule="auto"/>
        <w:ind w:right="102" w:firstLine="425"/>
      </w:pPr>
      <w:r>
        <w:rPr>
          <w:spacing w:val="1"/>
        </w:rPr>
        <w:t>“应用证明”必须按规定格式填写，是成果使用单位或生产该项成果单位出</w:t>
      </w:r>
      <w:r>
        <w:rPr>
          <w:spacing w:val="13"/>
        </w:rPr>
        <w:t xml:space="preserve"> </w:t>
      </w:r>
      <w:r>
        <w:t>具的证明材料。</w:t>
      </w:r>
    </w:p>
    <w:p w14:paraId="6F7F79E9">
      <w:pPr>
        <w:pStyle w:val="2"/>
        <w:spacing w:before="1" w:line="277" w:lineRule="auto"/>
        <w:ind w:right="115" w:firstLine="560"/>
        <w:jc w:val="both"/>
      </w:pPr>
      <w:r>
        <w:rPr>
          <w:spacing w:val="5"/>
        </w:rPr>
        <w:t>对于已应用的成果，应用单位需对其应用效果和存在问题作出说明并加盖</w:t>
      </w:r>
      <w:r>
        <w:rPr>
          <w:spacing w:val="1"/>
        </w:rPr>
        <w:t xml:space="preserve"> </w:t>
      </w:r>
      <w:r>
        <w:rPr>
          <w:spacing w:val="13"/>
        </w:rPr>
        <w:t>公章。对于自研自用的成果，由本单位出具证明，上级主管部门(单位)盖章</w:t>
      </w:r>
      <w:r>
        <w:rPr>
          <w:spacing w:val="16"/>
        </w:rPr>
        <w:t xml:space="preserve"> </w:t>
      </w:r>
      <w:r>
        <w:rPr>
          <w:spacing w:val="-4"/>
        </w:rPr>
        <w:t>确认。</w:t>
      </w:r>
    </w:p>
    <w:p w14:paraId="3CB88A50">
      <w:pPr>
        <w:pStyle w:val="2"/>
        <w:spacing w:line="281" w:lineRule="auto"/>
        <w:ind w:right="103" w:firstLine="560"/>
      </w:pPr>
      <w:r>
        <w:rPr>
          <w:spacing w:val="9"/>
        </w:rPr>
        <w:t>对于未应用成果(预先研究和基础研究类),该证明可从应用前景和应用价</w:t>
      </w:r>
      <w:r>
        <w:rPr>
          <w:spacing w:val="18"/>
        </w:rPr>
        <w:t xml:space="preserve"> </w:t>
      </w:r>
      <w:r>
        <w:t>值等方面进行描述，由拟应用单位或主管部门(单位)出具并盖章确认。</w:t>
      </w:r>
    </w:p>
    <w:p w14:paraId="4B4DF151">
      <w:pPr>
        <w:pStyle w:val="2"/>
        <w:spacing w:before="1" w:line="217" w:lineRule="auto"/>
        <w:ind w:left="560"/>
      </w:pPr>
      <w:r>
        <w:rPr>
          <w:rFonts w:ascii="Times New Roman" w:hAnsi="Times New Roman" w:eastAsia="Times New Roman" w:cs="Times New Roman"/>
          <w:spacing w:val="4"/>
        </w:rPr>
        <w:t>3.</w:t>
      </w:r>
      <w:r>
        <w:rPr>
          <w:rFonts w:ascii="Times New Roman" w:hAnsi="Times New Roman" w:eastAsia="Times New Roman" w:cs="Times New Roman"/>
          <w:spacing w:val="20"/>
        </w:rPr>
        <w:t xml:space="preserve">  </w:t>
      </w:r>
      <w:r>
        <w:rPr>
          <w:spacing w:val="4"/>
        </w:rPr>
        <w:t>知识产权状况报告</w:t>
      </w:r>
    </w:p>
    <w:p w14:paraId="427D69AA">
      <w:pPr>
        <w:pStyle w:val="2"/>
        <w:spacing w:before="92" w:line="279" w:lineRule="auto"/>
        <w:ind w:right="102" w:firstLine="560"/>
      </w:pPr>
      <w:r>
        <w:rPr>
          <w:spacing w:val="6"/>
        </w:rPr>
        <w:t>必须按规定格式填写，由成果申报单位出具的</w:t>
      </w:r>
      <w:r>
        <w:rPr>
          <w:spacing w:val="5"/>
        </w:rPr>
        <w:t>拥有自主知识产权情况的证</w:t>
      </w:r>
      <w:r>
        <w:t xml:space="preserve"> </w:t>
      </w:r>
      <w:r>
        <w:rPr>
          <w:spacing w:val="5"/>
        </w:rPr>
        <w:t>明材料，证明中应对自主知识产权的拥有和保护情况进行说明。已授权的应附</w:t>
      </w:r>
      <w:r>
        <w:rPr>
          <w:spacing w:val="10"/>
        </w:rPr>
        <w:t xml:space="preserve"> </w:t>
      </w:r>
      <w:r>
        <w:rPr>
          <w:spacing w:val="5"/>
        </w:rPr>
        <w:t>专利证书和权利要求书，已申请专利但未授权的应附专利申请受理通知书和权</w:t>
      </w:r>
      <w:r>
        <w:rPr>
          <w:spacing w:val="9"/>
        </w:rPr>
        <w:t xml:space="preserve"> </w:t>
      </w:r>
      <w:r>
        <w:rPr>
          <w:spacing w:val="-5"/>
        </w:rPr>
        <w:t>利要求书，已授权的软件登记证书等。</w:t>
      </w:r>
    </w:p>
    <w:p w14:paraId="626D8560">
      <w:pPr>
        <w:pStyle w:val="2"/>
        <w:spacing w:before="7" w:line="218" w:lineRule="auto"/>
        <w:ind w:left="560"/>
      </w:pPr>
      <w:r>
        <w:rPr>
          <w:rFonts w:ascii="Times New Roman" w:hAnsi="Times New Roman" w:eastAsia="Times New Roman" w:cs="Times New Roman"/>
          <w:spacing w:val="5"/>
        </w:rPr>
        <w:t xml:space="preserve">4.  </w:t>
      </w:r>
      <w:r>
        <w:rPr>
          <w:spacing w:val="5"/>
        </w:rPr>
        <w:t>研制(研究)技术总结报告</w:t>
      </w:r>
    </w:p>
    <w:p w14:paraId="5282A870">
      <w:pPr>
        <w:pStyle w:val="2"/>
        <w:spacing w:before="94" w:line="278" w:lineRule="auto"/>
        <w:ind w:firstLine="560"/>
      </w:pPr>
      <w:r>
        <w:rPr>
          <w:spacing w:val="-2"/>
        </w:rPr>
        <w:t>应从成果的主要用途、立项背景、采用的技术原理</w:t>
      </w:r>
      <w:r>
        <w:rPr>
          <w:spacing w:val="-3"/>
        </w:rPr>
        <w:t>和关键技术、技术进步点</w:t>
      </w:r>
      <w:r>
        <w:t xml:space="preserve"> </w:t>
      </w:r>
      <w:r>
        <w:rPr>
          <w:spacing w:val="-2"/>
        </w:rPr>
        <w:t>及理论上的重大突破与创新(发明)点、难度与复杂程度、成熟</w:t>
      </w:r>
      <w:r>
        <w:rPr>
          <w:spacing w:val="-3"/>
        </w:rPr>
        <w:t>与完备性、质量与</w:t>
      </w:r>
      <w:r>
        <w:t xml:space="preserve"> </w:t>
      </w:r>
      <w:r>
        <w:rPr>
          <w:spacing w:val="-10"/>
        </w:rPr>
        <w:t>可靠性、经济效益与军事、社会效益、对推动科技进步的作用意义、科学价值、推</w:t>
      </w:r>
      <w:r>
        <w:t xml:space="preserve">  </w:t>
      </w:r>
      <w:r>
        <w:rPr>
          <w:spacing w:val="1"/>
        </w:rPr>
        <w:t>广应用情况、应用前景和应用价值等方面详细阐述，是申报书有关内容的细</w:t>
      </w:r>
      <w:r>
        <w:t xml:space="preserve">化、 </w:t>
      </w:r>
      <w:r>
        <w:rPr>
          <w:spacing w:val="-3"/>
        </w:rPr>
        <w:t>补充和扩展。研制(研究)技术总结应层次清晰，论理正确，数据翔实；编写、校</w:t>
      </w:r>
      <w:r>
        <w:rPr>
          <w:spacing w:val="8"/>
        </w:rPr>
        <w:t xml:space="preserve">  </w:t>
      </w:r>
      <w:r>
        <w:rPr>
          <w:spacing w:val="-16"/>
        </w:rPr>
        <w:t>对、审核、批准等签署齐全。</w:t>
      </w:r>
    </w:p>
    <w:p w14:paraId="6FA99FD8">
      <w:pPr>
        <w:pStyle w:val="2"/>
        <w:spacing w:line="219" w:lineRule="auto"/>
        <w:ind w:left="560"/>
      </w:pPr>
      <w:r>
        <w:rPr>
          <w:rFonts w:ascii="Times New Roman" w:hAnsi="Times New Roman" w:eastAsia="Times New Roman" w:cs="Times New Roman"/>
          <w:spacing w:val="6"/>
        </w:rPr>
        <w:t>5.</w:t>
      </w:r>
      <w:r>
        <w:rPr>
          <w:rFonts w:ascii="Times New Roman" w:hAnsi="Times New Roman" w:eastAsia="Times New Roman" w:cs="Times New Roman"/>
          <w:spacing w:val="23"/>
        </w:rPr>
        <w:t xml:space="preserve">  </w:t>
      </w:r>
      <w:r>
        <w:rPr>
          <w:spacing w:val="6"/>
        </w:rPr>
        <w:t>主要完成单位和主要完成人协调一致证明(原件)</w:t>
      </w:r>
    </w:p>
    <w:p w14:paraId="51A86365">
      <w:pPr>
        <w:pStyle w:val="2"/>
        <w:spacing w:before="97" w:line="218" w:lineRule="auto"/>
        <w:ind w:left="560"/>
      </w:pPr>
      <w:r>
        <w:rPr>
          <w:spacing w:val="6"/>
        </w:rPr>
        <w:t>必须按规定格式提供原件，主要完成单位和主</w:t>
      </w:r>
      <w:r>
        <w:rPr>
          <w:spacing w:val="5"/>
        </w:rPr>
        <w:t>要完成人名单与技术评价证</w:t>
      </w:r>
    </w:p>
    <w:p w14:paraId="2AF37ADE">
      <w:pPr>
        <w:spacing w:line="218" w:lineRule="auto"/>
        <w:sectPr>
          <w:footerReference r:id="rId667" w:type="default"/>
          <w:pgSz w:w="11910" w:h="17130"/>
          <w:pgMar w:top="1456" w:right="955" w:bottom="1543" w:left="1470" w:header="0" w:footer="1345" w:gutter="0"/>
          <w:cols w:space="720" w:num="1"/>
        </w:sectPr>
      </w:pPr>
    </w:p>
    <w:p w14:paraId="7FF4E41D">
      <w:pPr>
        <w:pStyle w:val="2"/>
        <w:spacing w:before="232" w:line="219" w:lineRule="auto"/>
        <w:rPr>
          <w:sz w:val="25"/>
          <w:szCs w:val="25"/>
        </w:rPr>
      </w:pPr>
      <w:r>
        <w:rPr>
          <w:spacing w:val="13"/>
          <w:sz w:val="25"/>
          <w:szCs w:val="25"/>
        </w:rPr>
        <w:t>明的组成和排序一致的，可不提供，否则必须出具该证明。</w:t>
      </w:r>
    </w:p>
    <w:p w14:paraId="6AAAE3CE">
      <w:pPr>
        <w:pStyle w:val="2"/>
        <w:spacing w:before="85" w:line="219" w:lineRule="auto"/>
        <w:ind w:left="560"/>
      </w:pPr>
      <w:r>
        <w:rPr>
          <w:rFonts w:ascii="Times New Roman" w:hAnsi="Times New Roman" w:eastAsia="Times New Roman" w:cs="Times New Roman"/>
          <w:spacing w:val="5"/>
        </w:rPr>
        <w:t>6.</w:t>
      </w:r>
      <w:r>
        <w:rPr>
          <w:rFonts w:ascii="Times New Roman" w:hAnsi="Times New Roman" w:eastAsia="Times New Roman" w:cs="Times New Roman"/>
          <w:spacing w:val="27"/>
          <w:w w:val="101"/>
        </w:rPr>
        <w:t xml:space="preserve">  </w:t>
      </w:r>
      <w:r>
        <w:rPr>
          <w:spacing w:val="5"/>
        </w:rPr>
        <w:t>型号等系统工程的子项目单独报奖证明(原件)</w:t>
      </w:r>
    </w:p>
    <w:p w14:paraId="19F1C921">
      <w:pPr>
        <w:pStyle w:val="2"/>
        <w:spacing w:before="88" w:line="276" w:lineRule="auto"/>
        <w:ind w:right="117" w:firstLine="560"/>
      </w:pPr>
      <w:r>
        <w:rPr>
          <w:spacing w:val="6"/>
        </w:rPr>
        <w:t>必须按规定格式提供原件，由总项目责任单位出具的同意该</w:t>
      </w:r>
      <w:r>
        <w:rPr>
          <w:spacing w:val="5"/>
        </w:rPr>
        <w:t>子项目单独申</w:t>
      </w:r>
      <w:r>
        <w:t xml:space="preserve"> </w:t>
      </w:r>
      <w:r>
        <w:rPr>
          <w:spacing w:val="14"/>
        </w:rPr>
        <w:t>报奖励的证明材料。证明中应写明该子项目的创新点</w:t>
      </w:r>
      <w:r>
        <w:rPr>
          <w:spacing w:val="13"/>
        </w:rPr>
        <w:t>不与其他子项目重复等</w:t>
      </w:r>
      <w:r>
        <w:t xml:space="preserve"> </w:t>
      </w:r>
      <w:r>
        <w:rPr>
          <w:spacing w:val="-6"/>
        </w:rPr>
        <w:t>内容。</w:t>
      </w:r>
    </w:p>
    <w:p w14:paraId="0A324B6D">
      <w:pPr>
        <w:pStyle w:val="2"/>
        <w:spacing w:line="219" w:lineRule="auto"/>
        <w:ind w:left="560"/>
      </w:pPr>
      <w:r>
        <w:rPr>
          <w:rFonts w:ascii="Times New Roman" w:hAnsi="Times New Roman" w:eastAsia="Times New Roman" w:cs="Times New Roman"/>
          <w:spacing w:val="6"/>
        </w:rPr>
        <w:t>7.</w:t>
      </w:r>
      <w:r>
        <w:rPr>
          <w:rFonts w:ascii="Times New Roman" w:hAnsi="Times New Roman" w:eastAsia="Times New Roman" w:cs="Times New Roman"/>
          <w:spacing w:val="26"/>
        </w:rPr>
        <w:t xml:space="preserve">  </w:t>
      </w:r>
      <w:r>
        <w:rPr>
          <w:spacing w:val="6"/>
        </w:rPr>
        <w:t>主要完成人证明(原件)</w:t>
      </w:r>
    </w:p>
    <w:p w14:paraId="6F5F967A">
      <w:pPr>
        <w:pStyle w:val="2"/>
        <w:spacing w:before="87" w:line="279" w:lineRule="auto"/>
        <w:ind w:right="124" w:firstLine="560"/>
      </w:pPr>
      <w:r>
        <w:rPr>
          <w:spacing w:val="-3"/>
        </w:rPr>
        <w:t>必须按规定格式提供原件，政府机关人员、集团公司总部人员、企事业单位</w:t>
      </w:r>
      <w:r>
        <w:rPr>
          <w:spacing w:val="8"/>
        </w:rPr>
        <w:t xml:space="preserve"> </w:t>
      </w:r>
      <w:r>
        <w:rPr>
          <w:spacing w:val="-3"/>
        </w:rPr>
        <w:t>的领导、合同甲方人员、军队机关人员、军队科研单位的领导和军事代表作为主</w:t>
      </w:r>
      <w:r>
        <w:rPr>
          <w:spacing w:val="18"/>
        </w:rPr>
        <w:t xml:space="preserve"> </w:t>
      </w:r>
      <w:r>
        <w:rPr>
          <w:spacing w:val="6"/>
        </w:rPr>
        <w:t>要完成人均须提供本证明。由申报单位出具的书面证明材料，应</w:t>
      </w:r>
      <w:r>
        <w:rPr>
          <w:spacing w:val="5"/>
        </w:rPr>
        <w:t>如实说明其所</w:t>
      </w:r>
      <w:r>
        <w:t xml:space="preserve"> </w:t>
      </w:r>
      <w:r>
        <w:rPr>
          <w:spacing w:val="-3"/>
        </w:rPr>
        <w:t>做的创造性贡献，本人和其上级主管领导签字；同时提供能反映本人在技术上有</w:t>
      </w:r>
      <w:r>
        <w:rPr>
          <w:spacing w:val="17"/>
        </w:rPr>
        <w:t xml:space="preserve"> </w:t>
      </w:r>
      <w:r>
        <w:rPr>
          <w:spacing w:val="3"/>
        </w:rPr>
        <w:t>创造性贡献的研制(研究)材料的原始件或复印件。</w:t>
      </w:r>
    </w:p>
    <w:p w14:paraId="19BFD099">
      <w:pPr>
        <w:pStyle w:val="2"/>
        <w:spacing w:before="3" w:line="273" w:lineRule="auto"/>
        <w:ind w:firstLine="560"/>
      </w:pPr>
      <w:r>
        <w:rPr>
          <w:rFonts w:ascii="Times New Roman" w:hAnsi="Times New Roman" w:eastAsia="Times New Roman" w:cs="Times New Roman"/>
          <w:spacing w:val="-10"/>
        </w:rPr>
        <w:t>8.</w:t>
      </w:r>
      <w:r>
        <w:rPr>
          <w:rFonts w:ascii="Times New Roman" w:hAnsi="Times New Roman" w:eastAsia="Times New Roman" w:cs="Times New Roman"/>
          <w:spacing w:val="23"/>
        </w:rPr>
        <w:t xml:space="preserve">  </w:t>
      </w:r>
      <w:r>
        <w:rPr>
          <w:spacing w:val="-10"/>
        </w:rPr>
        <w:t>软科学、情报及管理等成果的专题研究报告、论著或出版物；标准、规范、</w:t>
      </w:r>
      <w:r>
        <w:t xml:space="preserve"> </w:t>
      </w:r>
      <w:r>
        <w:rPr>
          <w:spacing w:val="5"/>
        </w:rPr>
        <w:t>技术手册等成果的正式实施出版物</w:t>
      </w:r>
    </w:p>
    <w:p w14:paraId="0FBE99D7">
      <w:pPr>
        <w:pStyle w:val="2"/>
        <w:spacing w:before="1" w:line="218" w:lineRule="auto"/>
        <w:ind w:left="560"/>
      </w:pPr>
      <w:r>
        <w:rPr>
          <w:spacing w:val="2"/>
        </w:rPr>
        <w:t>应符合有关要求。不提供电子文档。</w:t>
      </w:r>
    </w:p>
    <w:p w14:paraId="1480C97C">
      <w:pPr>
        <w:pStyle w:val="2"/>
        <w:spacing w:before="118" w:line="219" w:lineRule="auto"/>
        <w:ind w:left="560"/>
        <w:rPr>
          <w:sz w:val="24"/>
          <w:szCs w:val="24"/>
        </w:rPr>
      </w:pPr>
      <w:r>
        <w:rPr>
          <w:rFonts w:ascii="Times New Roman" w:hAnsi="Times New Roman" w:eastAsia="Times New Roman" w:cs="Times New Roman"/>
          <w:spacing w:val="28"/>
          <w:sz w:val="24"/>
          <w:szCs w:val="24"/>
        </w:rPr>
        <w:t>9.</w:t>
      </w:r>
      <w:r>
        <w:rPr>
          <w:rFonts w:ascii="Times New Roman" w:hAnsi="Times New Roman" w:eastAsia="Times New Roman" w:cs="Times New Roman"/>
          <w:spacing w:val="34"/>
          <w:w w:val="101"/>
          <w:sz w:val="24"/>
          <w:szCs w:val="24"/>
        </w:rPr>
        <w:t xml:space="preserve">  </w:t>
      </w:r>
      <w:r>
        <w:rPr>
          <w:spacing w:val="28"/>
          <w:sz w:val="24"/>
          <w:szCs w:val="24"/>
        </w:rPr>
        <w:t>其他必要的证明材料</w:t>
      </w:r>
    </w:p>
    <w:p w14:paraId="7C6A7E3F">
      <w:pPr>
        <w:pStyle w:val="2"/>
        <w:spacing w:before="96" w:line="219" w:lineRule="auto"/>
        <w:ind w:left="560"/>
      </w:pPr>
      <w:r>
        <w:rPr>
          <w:spacing w:val="-9"/>
        </w:rPr>
        <w:t>应是有效的证明材料，须签署和盖章的，应签署齐全，公章清晰可辨。</w:t>
      </w:r>
    </w:p>
    <w:p w14:paraId="028BC356">
      <w:pPr>
        <w:spacing w:line="328" w:lineRule="auto"/>
        <w:rPr>
          <w:rFonts w:ascii="Arial"/>
          <w:sz w:val="21"/>
        </w:rPr>
      </w:pPr>
    </w:p>
    <w:p w14:paraId="7011B587">
      <w:pPr>
        <w:pStyle w:val="2"/>
        <w:spacing w:before="118" w:line="219" w:lineRule="auto"/>
        <w:ind w:left="2159"/>
        <w:outlineLvl w:val="1"/>
        <w:rPr>
          <w:sz w:val="36"/>
          <w:szCs w:val="36"/>
        </w:rPr>
      </w:pPr>
      <w:r>
        <w:rPr>
          <w:rFonts w:ascii="Times New Roman" w:hAnsi="Times New Roman" w:eastAsia="Times New Roman" w:cs="Times New Roman"/>
          <w:b/>
          <w:bCs/>
          <w:spacing w:val="2"/>
          <w:sz w:val="36"/>
          <w:szCs w:val="36"/>
        </w:rPr>
        <w:t xml:space="preserve">15.6     </w:t>
      </w:r>
      <w:r>
        <w:rPr>
          <w:b/>
          <w:bCs/>
          <w:spacing w:val="2"/>
          <w:sz w:val="36"/>
          <w:szCs w:val="36"/>
        </w:rPr>
        <w:t>国家科学技术奖励推荐书</w:t>
      </w:r>
    </w:p>
    <w:p w14:paraId="7185F440">
      <w:pPr>
        <w:spacing w:line="338" w:lineRule="auto"/>
        <w:rPr>
          <w:rFonts w:ascii="Arial"/>
          <w:sz w:val="21"/>
        </w:rPr>
      </w:pPr>
    </w:p>
    <w:p w14:paraId="2B4140BD">
      <w:pPr>
        <w:pStyle w:val="2"/>
        <w:spacing w:before="88" w:line="277" w:lineRule="auto"/>
        <w:ind w:right="135" w:firstLine="425"/>
        <w:jc w:val="both"/>
      </w:pPr>
      <w:r>
        <w:rPr>
          <w:spacing w:val="-7"/>
        </w:rPr>
        <w:t>《国家科学技术奖励推荐书》适用于《国家科学技术奖励条例》中设置的国家</w:t>
      </w:r>
      <w:r>
        <w:rPr>
          <w:spacing w:val="2"/>
        </w:rPr>
        <w:t xml:space="preserve"> </w:t>
      </w:r>
      <w:r>
        <w:rPr>
          <w:spacing w:val="-3"/>
        </w:rPr>
        <w:t>自然科学奖、国家技术发明奖、国家科学技术进步</w:t>
      </w:r>
      <w:r>
        <w:rPr>
          <w:spacing w:val="-4"/>
        </w:rPr>
        <w:t>奖。《国家科学技术奖励推荐</w:t>
      </w:r>
      <w:r>
        <w:t xml:space="preserve"> </w:t>
      </w:r>
      <w:r>
        <w:rPr>
          <w:spacing w:val="-3"/>
        </w:rPr>
        <w:t>书》是国家科学技术奖励评审的基本技术文件和主要依据，必须严格按规定的格</w:t>
      </w:r>
      <w:r>
        <w:rPr>
          <w:spacing w:val="15"/>
        </w:rPr>
        <w:t xml:space="preserve"> </w:t>
      </w:r>
      <w:r>
        <w:rPr>
          <w:spacing w:val="-13"/>
        </w:rPr>
        <w:t>式、栏目及所列标题如实、全面填写。</w:t>
      </w:r>
    </w:p>
    <w:p w14:paraId="3812114D">
      <w:pPr>
        <w:pStyle w:val="2"/>
        <w:spacing w:before="5" w:line="280" w:lineRule="auto"/>
        <w:ind w:right="121" w:firstLine="425"/>
        <w:jc w:val="both"/>
      </w:pPr>
      <w:r>
        <w:t>《国家科学技术奖励推荐书》要严格按规定格式打印，大小为</w:t>
      </w:r>
      <w:r>
        <w:rPr>
          <w:spacing w:val="-60"/>
        </w:rPr>
        <w:t xml:space="preserve"> </w:t>
      </w:r>
      <w:r>
        <w:rPr>
          <w:rFonts w:ascii="Times New Roman" w:hAnsi="Times New Roman" w:eastAsia="Times New Roman" w:cs="Times New Roman"/>
        </w:rPr>
        <w:t>A4,</w:t>
      </w:r>
      <w:r>
        <w:rPr>
          <w:rFonts w:ascii="Times New Roman" w:hAnsi="Times New Roman" w:eastAsia="Times New Roman" w:cs="Times New Roman"/>
          <w:spacing w:val="47"/>
          <w:w w:val="101"/>
        </w:rPr>
        <w:t xml:space="preserve"> </w:t>
      </w:r>
      <w:r>
        <w:t xml:space="preserve">正文内容 </w:t>
      </w:r>
      <w:r>
        <w:rPr>
          <w:spacing w:val="-3"/>
        </w:rPr>
        <w:t>使用宋体四号，指定附件备齐后应合装成册，其规格大小应与推荐书一致。装订</w:t>
      </w:r>
      <w:r>
        <w:rPr>
          <w:spacing w:val="17"/>
        </w:rPr>
        <w:t xml:space="preserve"> </w:t>
      </w:r>
      <w:r>
        <w:rPr>
          <w:spacing w:val="-8"/>
        </w:rPr>
        <w:t>后《国家科学技术奖励推荐书》不需要另加封</w:t>
      </w:r>
      <w:r>
        <w:rPr>
          <w:spacing w:val="-9"/>
        </w:rPr>
        <w:t>面。</w:t>
      </w:r>
    </w:p>
    <w:p w14:paraId="6E508A7A">
      <w:pPr>
        <w:spacing w:before="1" w:line="221" w:lineRule="auto"/>
        <w:ind w:left="560"/>
        <w:rPr>
          <w:rFonts w:ascii="黑体" w:hAnsi="黑体" w:eastAsia="黑体" w:cs="黑体"/>
          <w:sz w:val="27"/>
          <w:szCs w:val="27"/>
        </w:rPr>
      </w:pPr>
      <w:r>
        <w:rPr>
          <w:rFonts w:ascii="黑体" w:hAnsi="黑体" w:eastAsia="黑体" w:cs="黑体"/>
          <w:spacing w:val="-13"/>
          <w:sz w:val="27"/>
          <w:szCs w:val="27"/>
        </w:rPr>
        <w:t>一</w:t>
      </w:r>
      <w:r>
        <w:rPr>
          <w:rFonts w:ascii="黑体" w:hAnsi="黑体" w:eastAsia="黑体" w:cs="黑体"/>
          <w:spacing w:val="-73"/>
          <w:sz w:val="27"/>
          <w:szCs w:val="27"/>
        </w:rPr>
        <w:t xml:space="preserve"> </w:t>
      </w:r>
      <w:r>
        <w:rPr>
          <w:rFonts w:ascii="黑体" w:hAnsi="黑体" w:eastAsia="黑体" w:cs="黑体"/>
          <w:spacing w:val="-13"/>
          <w:sz w:val="27"/>
          <w:szCs w:val="27"/>
        </w:rPr>
        <w:t>、</w:t>
      </w:r>
      <w:r>
        <w:rPr>
          <w:rFonts w:ascii="黑体" w:hAnsi="黑体" w:eastAsia="黑体" w:cs="黑体"/>
          <w:b/>
          <w:bCs/>
          <w:spacing w:val="-13"/>
          <w:sz w:val="27"/>
          <w:szCs w:val="27"/>
        </w:rPr>
        <w:t>项目基本情况</w:t>
      </w:r>
    </w:p>
    <w:p w14:paraId="4F8B8F43">
      <w:pPr>
        <w:pStyle w:val="2"/>
        <w:spacing w:before="99" w:line="219" w:lineRule="auto"/>
        <w:ind w:left="425"/>
      </w:pPr>
      <w:r>
        <w:rPr>
          <w:spacing w:val="-10"/>
        </w:rPr>
        <w:t>“奖种”选择欲推荐奖种。</w:t>
      </w:r>
    </w:p>
    <w:p w14:paraId="59950D9B">
      <w:pPr>
        <w:pStyle w:val="2"/>
        <w:spacing w:before="90" w:line="307" w:lineRule="auto"/>
        <w:ind w:right="123" w:firstLine="435"/>
        <w:rPr>
          <w:sz w:val="25"/>
          <w:szCs w:val="25"/>
        </w:rPr>
      </w:pPr>
      <w:r>
        <w:rPr>
          <w:spacing w:val="20"/>
          <w:sz w:val="25"/>
          <w:szCs w:val="25"/>
        </w:rPr>
        <w:t>“项目名称”(中文)应当准确、简明地反映出项目的技术内容和特征，字数</w:t>
      </w:r>
      <w:r>
        <w:rPr>
          <w:spacing w:val="15"/>
          <w:sz w:val="25"/>
          <w:szCs w:val="25"/>
        </w:rPr>
        <w:t xml:space="preserve"> </w:t>
      </w:r>
      <w:r>
        <w:rPr>
          <w:spacing w:val="26"/>
          <w:sz w:val="25"/>
          <w:szCs w:val="25"/>
        </w:rPr>
        <w:t>(含符号)不超过26个汉字。</w:t>
      </w:r>
    </w:p>
    <w:p w14:paraId="19323FE3">
      <w:pPr>
        <w:pStyle w:val="2"/>
        <w:spacing w:line="219" w:lineRule="auto"/>
        <w:ind w:left="425"/>
      </w:pPr>
      <w:r>
        <w:rPr>
          <w:spacing w:val="1"/>
        </w:rPr>
        <w:t>“项目名称”(英文)系指项目中文名称的英译文，字</w:t>
      </w:r>
      <w:r>
        <w:t>符不得超过200个。</w:t>
      </w:r>
    </w:p>
    <w:p w14:paraId="798350E5">
      <w:pPr>
        <w:pStyle w:val="2"/>
        <w:spacing w:before="87" w:line="272" w:lineRule="auto"/>
        <w:ind w:right="120" w:firstLine="425"/>
      </w:pPr>
      <w:r>
        <w:rPr>
          <w:spacing w:val="-14"/>
        </w:rPr>
        <w:t>“主要完成人”、“主要完成单位”(只用于国家科学技术进步奖)按《国家科学</w:t>
      </w:r>
      <w:r>
        <w:rPr>
          <w:spacing w:val="12"/>
        </w:rPr>
        <w:t xml:space="preserve"> </w:t>
      </w:r>
      <w:r>
        <w:rPr>
          <w:spacing w:val="-2"/>
        </w:rPr>
        <w:t>技术奖励条例实施细则》的有关规定填写，并按照贡献大小顺序排列。主要完成</w:t>
      </w:r>
      <w:r>
        <w:rPr>
          <w:spacing w:val="1"/>
        </w:rPr>
        <w:t xml:space="preserve"> </w:t>
      </w:r>
      <w:r>
        <w:rPr>
          <w:spacing w:val="2"/>
        </w:rPr>
        <w:t>单位指具有法人资格的单位。</w:t>
      </w:r>
    </w:p>
    <w:p w14:paraId="350989B8">
      <w:pPr>
        <w:spacing w:line="272" w:lineRule="auto"/>
        <w:sectPr>
          <w:footerReference r:id="rId668" w:type="default"/>
          <w:pgSz w:w="11910" w:h="17130"/>
          <w:pgMar w:top="1456" w:right="1164" w:bottom="1533" w:left="1239" w:header="0" w:footer="1334" w:gutter="0"/>
          <w:cols w:space="720" w:num="1"/>
        </w:sectPr>
      </w:pPr>
    </w:p>
    <w:p w14:paraId="464A02BF">
      <w:pPr>
        <w:pStyle w:val="2"/>
        <w:spacing w:before="193" w:line="284" w:lineRule="auto"/>
        <w:ind w:left="404" w:right="207"/>
      </w:pPr>
      <w:r>
        <w:rPr>
          <w:spacing w:val="-4"/>
        </w:rPr>
        <w:t>“推荐单位(或专家)”填写具备资格的推荐单位(</w:t>
      </w:r>
      <w:r>
        <w:rPr>
          <w:spacing w:val="-5"/>
        </w:rPr>
        <w:t>如军兵种、一级学会等)。</w:t>
      </w:r>
      <w:r>
        <w:t xml:space="preserve"> </w:t>
      </w:r>
      <w:r>
        <w:rPr>
          <w:spacing w:val="-26"/>
        </w:rPr>
        <w:t>“项目名称可否公布”在“可”或“否”上选择。</w:t>
      </w:r>
    </w:p>
    <w:p w14:paraId="188BFF5F">
      <w:pPr>
        <w:pStyle w:val="2"/>
        <w:spacing w:line="219" w:lineRule="auto"/>
        <w:ind w:left="404"/>
      </w:pPr>
      <w:r>
        <w:t>“密级及保密期限”应填写经上级主管部门审定批准的密级及保密期限。</w:t>
      </w:r>
    </w:p>
    <w:p w14:paraId="4E63CA6D">
      <w:pPr>
        <w:pStyle w:val="2"/>
        <w:spacing w:before="87" w:line="219" w:lineRule="auto"/>
        <w:ind w:left="404"/>
      </w:pPr>
      <w:r>
        <w:rPr>
          <w:spacing w:val="-13"/>
        </w:rPr>
        <w:t>“学科(专业)分类名称代码”填写“军队武器装备”。</w:t>
      </w:r>
    </w:p>
    <w:p w14:paraId="78EC76CD">
      <w:pPr>
        <w:pStyle w:val="2"/>
        <w:spacing w:before="61" w:line="287" w:lineRule="auto"/>
        <w:ind w:right="12" w:firstLine="404"/>
      </w:pPr>
      <w:r>
        <w:rPr>
          <w:spacing w:val="1"/>
        </w:rPr>
        <w:t>“主题词”按《国家汉语主题词表》填写3个～7个与推荐项目技术内容密切</w:t>
      </w:r>
      <w:r>
        <w:rPr>
          <w:spacing w:val="9"/>
        </w:rPr>
        <w:t xml:space="preserve"> </w:t>
      </w:r>
      <w:r>
        <w:rPr>
          <w:spacing w:val="-17"/>
        </w:rPr>
        <w:t>相关的主题词，每个词语间应加“;”号。</w:t>
      </w:r>
    </w:p>
    <w:p w14:paraId="7E48836F">
      <w:pPr>
        <w:pStyle w:val="2"/>
        <w:spacing w:before="1" w:line="218" w:lineRule="auto"/>
        <w:ind w:left="404"/>
      </w:pPr>
      <w:r>
        <w:rPr>
          <w:spacing w:val="-15"/>
        </w:rPr>
        <w:t>“所属国民经济行业”填“军队武器装备科技”。</w:t>
      </w:r>
    </w:p>
    <w:p w14:paraId="200BB5F9">
      <w:pPr>
        <w:pStyle w:val="2"/>
        <w:spacing w:before="101" w:line="219" w:lineRule="auto"/>
        <w:ind w:left="404"/>
      </w:pPr>
      <w:r>
        <w:rPr>
          <w:spacing w:val="-7"/>
        </w:rPr>
        <w:t>“任务来源”在相应的栏中选择。</w:t>
      </w:r>
    </w:p>
    <w:p w14:paraId="57FE28FB">
      <w:pPr>
        <w:pStyle w:val="2"/>
        <w:spacing w:before="58" w:line="290" w:lineRule="auto"/>
        <w:ind w:right="10" w:firstLine="404"/>
      </w:pPr>
      <w:r>
        <w:rPr>
          <w:spacing w:val="9"/>
        </w:rPr>
        <w:t>“计划(基金)名称和编号”指上述各类的研究开发项目列入计划的名称和</w:t>
      </w:r>
      <w:r>
        <w:rPr>
          <w:spacing w:val="18"/>
        </w:rPr>
        <w:t xml:space="preserve"> </w:t>
      </w:r>
      <w:r>
        <w:rPr>
          <w:spacing w:val="-4"/>
        </w:rPr>
        <w:t>编号。</w:t>
      </w:r>
    </w:p>
    <w:p w14:paraId="26B8130C">
      <w:pPr>
        <w:pStyle w:val="2"/>
        <w:spacing w:before="3" w:line="301" w:lineRule="auto"/>
        <w:ind w:right="22" w:firstLine="414"/>
        <w:rPr>
          <w:sz w:val="25"/>
          <w:szCs w:val="25"/>
        </w:rPr>
      </w:pPr>
      <w:r>
        <w:rPr>
          <w:spacing w:val="13"/>
          <w:sz w:val="25"/>
          <w:szCs w:val="25"/>
        </w:rPr>
        <w:t>“项目起止日期”及”项目完成日期》指立项研究、开始</w:t>
      </w:r>
      <w:r>
        <w:rPr>
          <w:spacing w:val="12"/>
          <w:sz w:val="25"/>
          <w:szCs w:val="25"/>
        </w:rPr>
        <w:t>研制日期及项目通过</w:t>
      </w:r>
      <w:r>
        <w:rPr>
          <w:sz w:val="25"/>
          <w:szCs w:val="25"/>
        </w:rPr>
        <w:t xml:space="preserve"> </w:t>
      </w:r>
      <w:r>
        <w:rPr>
          <w:spacing w:val="7"/>
          <w:sz w:val="25"/>
          <w:szCs w:val="25"/>
        </w:rPr>
        <w:t>验收、鉴定或投产日期。</w:t>
      </w:r>
    </w:p>
    <w:p w14:paraId="1DC86B6C">
      <w:pPr>
        <w:spacing w:before="1" w:line="221" w:lineRule="auto"/>
        <w:ind w:left="543"/>
        <w:outlineLvl w:val="3"/>
        <w:rPr>
          <w:rFonts w:ascii="黑体" w:hAnsi="黑体" w:eastAsia="黑体" w:cs="黑体"/>
          <w:sz w:val="25"/>
          <w:szCs w:val="25"/>
        </w:rPr>
      </w:pPr>
      <w:r>
        <w:rPr>
          <w:rFonts w:ascii="黑体" w:hAnsi="黑体" w:eastAsia="黑体" w:cs="黑体"/>
          <w:b/>
          <w:bCs/>
          <w:spacing w:val="-5"/>
          <w:sz w:val="25"/>
          <w:szCs w:val="25"/>
        </w:rPr>
        <w:t>二</w:t>
      </w:r>
      <w:r>
        <w:rPr>
          <w:rFonts w:ascii="黑体" w:hAnsi="黑体" w:eastAsia="黑体" w:cs="黑体"/>
          <w:spacing w:val="-48"/>
          <w:sz w:val="25"/>
          <w:szCs w:val="25"/>
        </w:rPr>
        <w:t xml:space="preserve"> </w:t>
      </w:r>
      <w:r>
        <w:rPr>
          <w:rFonts w:ascii="黑体" w:hAnsi="黑体" w:eastAsia="黑体" w:cs="黑体"/>
          <w:b/>
          <w:bCs/>
          <w:spacing w:val="-5"/>
          <w:sz w:val="25"/>
          <w:szCs w:val="25"/>
        </w:rPr>
        <w:t>、项目简介</w:t>
      </w:r>
    </w:p>
    <w:p w14:paraId="190571EA">
      <w:pPr>
        <w:pStyle w:val="2"/>
        <w:spacing w:before="66" w:line="288" w:lineRule="auto"/>
        <w:ind w:right="17" w:firstLine="405"/>
        <w:jc w:val="both"/>
      </w:pPr>
      <w:r>
        <w:rPr>
          <w:spacing w:val="-7"/>
        </w:rPr>
        <w:t>“项目简介”是向国内外公开宣传、介绍本项目的资料，要求按栏目内的提要</w:t>
      </w:r>
      <w:r>
        <w:rPr>
          <w:spacing w:val="5"/>
        </w:rPr>
        <w:t xml:space="preserve"> </w:t>
      </w:r>
      <w:r>
        <w:rPr>
          <w:spacing w:val="-10"/>
        </w:rPr>
        <w:t>(所属科学技术领域、主要内容、特点及应用推广情况)简单、扼要地介绍，同时不</w:t>
      </w:r>
      <w:r>
        <w:rPr>
          <w:spacing w:val="3"/>
        </w:rPr>
        <w:t xml:space="preserve"> 泄露项目的核心技术，不超过800汉字。</w:t>
      </w:r>
    </w:p>
    <w:p w14:paraId="75C6EE48">
      <w:pPr>
        <w:spacing w:line="221" w:lineRule="auto"/>
        <w:ind w:left="543"/>
        <w:outlineLvl w:val="3"/>
        <w:rPr>
          <w:rFonts w:ascii="黑体" w:hAnsi="黑体" w:eastAsia="黑体" w:cs="黑体"/>
          <w:sz w:val="24"/>
          <w:szCs w:val="24"/>
        </w:rPr>
      </w:pPr>
      <w:r>
        <w:rPr>
          <w:rFonts w:ascii="黑体" w:hAnsi="黑体" w:eastAsia="黑体" w:cs="黑体"/>
          <w:b/>
          <w:bCs/>
          <w:spacing w:val="13"/>
          <w:sz w:val="24"/>
          <w:szCs w:val="24"/>
        </w:rPr>
        <w:t>三</w:t>
      </w:r>
      <w:r>
        <w:rPr>
          <w:rFonts w:ascii="黑体" w:hAnsi="黑体" w:eastAsia="黑体" w:cs="黑体"/>
          <w:spacing w:val="-30"/>
          <w:sz w:val="24"/>
          <w:szCs w:val="24"/>
        </w:rPr>
        <w:t xml:space="preserve"> </w:t>
      </w:r>
      <w:r>
        <w:rPr>
          <w:rFonts w:ascii="黑体" w:hAnsi="黑体" w:eastAsia="黑体" w:cs="黑体"/>
          <w:b/>
          <w:bCs/>
          <w:spacing w:val="13"/>
          <w:sz w:val="24"/>
          <w:szCs w:val="24"/>
        </w:rPr>
        <w:t>、项目详细内容</w:t>
      </w:r>
    </w:p>
    <w:p w14:paraId="13427DA5">
      <w:pPr>
        <w:pStyle w:val="2"/>
        <w:spacing w:before="87" w:line="278" w:lineRule="auto"/>
        <w:ind w:right="17" w:firstLine="404"/>
        <w:jc w:val="both"/>
      </w:pPr>
      <w:r>
        <w:rPr>
          <w:spacing w:val="-7"/>
        </w:rPr>
        <w:t>“项目详细内容”应当按照《国家科学技术奖励推荐书》规定的栏目内容及本</w:t>
      </w:r>
      <w:r>
        <w:rPr>
          <w:spacing w:val="4"/>
        </w:rPr>
        <w:t xml:space="preserve"> </w:t>
      </w:r>
      <w:r>
        <w:rPr>
          <w:spacing w:val="-3"/>
        </w:rPr>
        <w:t>说明的有关要求，详实、准确、全面地填写，必要的图示须就近插入相应的正文</w:t>
      </w:r>
      <w:r>
        <w:rPr>
          <w:spacing w:val="8"/>
        </w:rPr>
        <w:t xml:space="preserve"> </w:t>
      </w:r>
      <w:r>
        <w:rPr>
          <w:spacing w:val="-18"/>
        </w:rPr>
        <w:t>中，不宜另附。</w:t>
      </w:r>
    </w:p>
    <w:p w14:paraId="1AE01DF8">
      <w:pPr>
        <w:pStyle w:val="2"/>
        <w:spacing w:before="12" w:line="249" w:lineRule="auto"/>
        <w:ind w:right="35" w:firstLine="539"/>
      </w:pPr>
      <w:r>
        <w:rPr>
          <w:spacing w:val="1"/>
        </w:rPr>
        <w:t>(1)“立项背景”应当引用国内外有关科学</w:t>
      </w:r>
      <w:r>
        <w:t xml:space="preserve">技术文献，简明扼要地概述立项 </w:t>
      </w:r>
      <w:r>
        <w:rPr>
          <w:spacing w:val="-4"/>
        </w:rPr>
        <w:t>时相关科学技术状况，主要技术经济指标，尚待解决的问题及立</w:t>
      </w:r>
      <w:r>
        <w:rPr>
          <w:spacing w:val="-5"/>
        </w:rPr>
        <w:t>项目的。</w:t>
      </w:r>
    </w:p>
    <w:p w14:paraId="652D435D">
      <w:pPr>
        <w:pStyle w:val="2"/>
        <w:spacing w:before="81" w:line="255" w:lineRule="auto"/>
        <w:ind w:firstLine="539"/>
      </w:pPr>
      <w:r>
        <w:rPr>
          <w:spacing w:val="1"/>
        </w:rPr>
        <w:t>(2)“详细科学技术内容”是考核、评价该项目是否符合授奖条件的主要依</w:t>
      </w:r>
      <w:r>
        <w:rPr>
          <w:spacing w:val="5"/>
        </w:rPr>
        <w:t xml:space="preserve"> </w:t>
      </w:r>
      <w:r>
        <w:rPr>
          <w:spacing w:val="-10"/>
        </w:rPr>
        <w:t>据，因此，凡涉及该项科学技术实质内容的说明、论据及实验结果等，均应直接叙</w:t>
      </w:r>
      <w:r>
        <w:rPr>
          <w:spacing w:val="11"/>
        </w:rPr>
        <w:t xml:space="preserve"> </w:t>
      </w:r>
      <w:r>
        <w:rPr>
          <w:spacing w:val="-3"/>
        </w:rPr>
        <w:t>述，一般不应采取“见**附件”的表达形式。</w:t>
      </w:r>
    </w:p>
    <w:p w14:paraId="2780512D">
      <w:pPr>
        <w:pStyle w:val="2"/>
        <w:spacing w:before="110" w:line="219" w:lineRule="auto"/>
        <w:ind w:left="539"/>
      </w:pPr>
      <w:r>
        <w:rPr>
          <w:spacing w:val="-2"/>
        </w:rPr>
        <w:t>本栏目根据科学技术项目的特点，按所推荐奖种叙述：</w:t>
      </w:r>
    </w:p>
    <w:p w14:paraId="21DA6A08">
      <w:pPr>
        <w:spacing w:before="89" w:line="222" w:lineRule="auto"/>
        <w:ind w:left="539"/>
        <w:rPr>
          <w:rFonts w:ascii="仿宋" w:hAnsi="仿宋" w:eastAsia="仿宋" w:cs="仿宋"/>
          <w:sz w:val="27"/>
          <w:szCs w:val="27"/>
        </w:rPr>
      </w:pPr>
      <w:r>
        <w:rPr>
          <w:rFonts w:ascii="仿宋" w:hAnsi="仿宋" w:eastAsia="仿宋" w:cs="仿宋"/>
          <w:spacing w:val="-1"/>
          <w:sz w:val="27"/>
          <w:szCs w:val="27"/>
        </w:rPr>
        <w:t>国家自然科学奖</w:t>
      </w:r>
    </w:p>
    <w:p w14:paraId="4202A8D3">
      <w:pPr>
        <w:spacing w:before="75" w:line="222" w:lineRule="auto"/>
        <w:ind w:left="539"/>
        <w:rPr>
          <w:rFonts w:ascii="仿宋" w:hAnsi="仿宋" w:eastAsia="仿宋" w:cs="仿宋"/>
          <w:sz w:val="27"/>
          <w:szCs w:val="27"/>
        </w:rPr>
      </w:pPr>
      <w:r>
        <w:rPr>
          <w:rFonts w:ascii="Times New Roman" w:hAnsi="Times New Roman" w:eastAsia="Times New Roman" w:cs="Times New Roman"/>
          <w:spacing w:val="-4"/>
          <w:sz w:val="27"/>
          <w:szCs w:val="27"/>
        </w:rPr>
        <w:t>1.</w:t>
      </w:r>
      <w:r>
        <w:rPr>
          <w:rFonts w:ascii="Times New Roman" w:hAnsi="Times New Roman" w:eastAsia="Times New Roman" w:cs="Times New Roman"/>
          <w:spacing w:val="22"/>
          <w:sz w:val="27"/>
          <w:szCs w:val="27"/>
        </w:rPr>
        <w:t xml:space="preserve">  </w:t>
      </w:r>
      <w:r>
        <w:rPr>
          <w:rFonts w:ascii="仿宋" w:hAnsi="仿宋" w:eastAsia="仿宋" w:cs="仿宋"/>
          <w:spacing w:val="-4"/>
          <w:sz w:val="27"/>
          <w:szCs w:val="27"/>
        </w:rPr>
        <w:t>总体思路</w:t>
      </w:r>
    </w:p>
    <w:p w14:paraId="4D474203">
      <w:pPr>
        <w:spacing w:before="114" w:line="312" w:lineRule="auto"/>
        <w:ind w:right="56" w:firstLine="539"/>
        <w:rPr>
          <w:rFonts w:ascii="仿宋" w:hAnsi="仿宋" w:eastAsia="仿宋" w:cs="仿宋"/>
          <w:sz w:val="24"/>
          <w:szCs w:val="24"/>
        </w:rPr>
      </w:pPr>
      <w:r>
        <w:rPr>
          <w:rFonts w:ascii="仿宋" w:hAnsi="仿宋" w:eastAsia="仿宋" w:cs="仿宋"/>
          <w:spacing w:val="34"/>
          <w:sz w:val="24"/>
          <w:szCs w:val="24"/>
        </w:rPr>
        <w:t>总体思路是指解决该项科学研究的总体构思，利用什么新思想、新研究方</w:t>
      </w:r>
      <w:r>
        <w:rPr>
          <w:rFonts w:ascii="仿宋" w:hAnsi="仿宋" w:eastAsia="仿宋" w:cs="仿宋"/>
          <w:spacing w:val="7"/>
          <w:sz w:val="24"/>
          <w:szCs w:val="24"/>
        </w:rPr>
        <w:t xml:space="preserve"> </w:t>
      </w:r>
      <w:r>
        <w:rPr>
          <w:rFonts w:ascii="仿宋" w:hAnsi="仿宋" w:eastAsia="仿宋" w:cs="仿宋"/>
          <w:spacing w:val="19"/>
          <w:sz w:val="24"/>
          <w:szCs w:val="24"/>
        </w:rPr>
        <w:t>法，创造出什么样的新成就。</w:t>
      </w:r>
    </w:p>
    <w:p w14:paraId="56AB68A0">
      <w:pPr>
        <w:spacing w:before="10" w:line="222" w:lineRule="auto"/>
        <w:ind w:left="539"/>
        <w:rPr>
          <w:rFonts w:ascii="仿宋" w:hAnsi="仿宋" w:eastAsia="仿宋" w:cs="仿宋"/>
          <w:sz w:val="24"/>
          <w:szCs w:val="24"/>
        </w:rPr>
      </w:pPr>
      <w:r>
        <w:rPr>
          <w:rFonts w:ascii="Times New Roman" w:hAnsi="Times New Roman" w:eastAsia="Times New Roman" w:cs="Times New Roman"/>
          <w:spacing w:val="23"/>
          <w:sz w:val="24"/>
          <w:szCs w:val="24"/>
        </w:rPr>
        <w:t>2.</w:t>
      </w:r>
      <w:r>
        <w:rPr>
          <w:rFonts w:ascii="Times New Roman" w:hAnsi="Times New Roman" w:eastAsia="Times New Roman" w:cs="Times New Roman"/>
          <w:spacing w:val="6"/>
          <w:sz w:val="24"/>
          <w:szCs w:val="24"/>
        </w:rPr>
        <w:t xml:space="preserve">   </w:t>
      </w:r>
      <w:r>
        <w:rPr>
          <w:rFonts w:ascii="仿宋" w:hAnsi="仿宋" w:eastAsia="仿宋" w:cs="仿宋"/>
          <w:spacing w:val="23"/>
          <w:sz w:val="24"/>
          <w:szCs w:val="24"/>
        </w:rPr>
        <w:t>研究成果</w:t>
      </w:r>
    </w:p>
    <w:p w14:paraId="600C8DEB">
      <w:pPr>
        <w:spacing w:before="137" w:line="309" w:lineRule="auto"/>
        <w:ind w:right="14" w:firstLine="539"/>
        <w:rPr>
          <w:rFonts w:ascii="仿宋" w:hAnsi="仿宋" w:eastAsia="仿宋" w:cs="仿宋"/>
          <w:sz w:val="24"/>
          <w:szCs w:val="24"/>
        </w:rPr>
      </w:pPr>
      <w:r>
        <w:rPr>
          <w:rFonts w:ascii="仿宋" w:hAnsi="仿宋" w:eastAsia="仿宋" w:cs="仿宋"/>
          <w:spacing w:val="27"/>
          <w:sz w:val="24"/>
          <w:szCs w:val="24"/>
        </w:rPr>
        <w:t>重要的是写明主要学术观点，着重在自然现象和规律发</w:t>
      </w:r>
      <w:r>
        <w:rPr>
          <w:rFonts w:ascii="仿宋" w:hAnsi="仿宋" w:eastAsia="仿宋" w:cs="仿宋"/>
          <w:spacing w:val="26"/>
          <w:sz w:val="24"/>
          <w:szCs w:val="24"/>
        </w:rPr>
        <w:t>现，在科学理论上的</w:t>
      </w:r>
      <w:r>
        <w:rPr>
          <w:rFonts w:ascii="仿宋" w:hAnsi="仿宋" w:eastAsia="仿宋" w:cs="仿宋"/>
          <w:sz w:val="24"/>
          <w:szCs w:val="24"/>
        </w:rPr>
        <w:t xml:space="preserve"> </w:t>
      </w:r>
      <w:r>
        <w:rPr>
          <w:rFonts w:ascii="仿宋" w:hAnsi="仿宋" w:eastAsia="仿宋" w:cs="仿宋"/>
          <w:spacing w:val="27"/>
          <w:sz w:val="24"/>
          <w:szCs w:val="24"/>
        </w:rPr>
        <w:t>创见。应详细写明利用哪些新理论、提出什么样的新理论，研究及实验论证过程</w:t>
      </w:r>
      <w:r>
        <w:rPr>
          <w:rFonts w:ascii="仿宋" w:hAnsi="仿宋" w:eastAsia="仿宋" w:cs="仿宋"/>
          <w:spacing w:val="12"/>
          <w:sz w:val="24"/>
          <w:szCs w:val="24"/>
        </w:rPr>
        <w:t xml:space="preserve"> </w:t>
      </w:r>
      <w:r>
        <w:rPr>
          <w:rFonts w:ascii="仿宋" w:hAnsi="仿宋" w:eastAsia="仿宋" w:cs="仿宋"/>
          <w:spacing w:val="43"/>
          <w:sz w:val="24"/>
          <w:szCs w:val="24"/>
        </w:rPr>
        <w:t>中的新方法以及所采取的具体措施，研究方法的创新以及综合分析</w:t>
      </w:r>
      <w:r>
        <w:rPr>
          <w:rFonts w:ascii="仿宋" w:hAnsi="仿宋" w:eastAsia="仿宋" w:cs="仿宋"/>
          <w:spacing w:val="42"/>
          <w:sz w:val="24"/>
          <w:szCs w:val="24"/>
        </w:rPr>
        <w:t>上的创造</w:t>
      </w:r>
    </w:p>
    <w:p w14:paraId="10C97B96">
      <w:pPr>
        <w:spacing w:line="309" w:lineRule="auto"/>
        <w:rPr>
          <w:rFonts w:ascii="仿宋" w:hAnsi="仿宋" w:eastAsia="仿宋" w:cs="仿宋"/>
          <w:sz w:val="24"/>
          <w:szCs w:val="24"/>
        </w:rPr>
        <w:sectPr>
          <w:footerReference r:id="rId669" w:type="default"/>
          <w:pgSz w:w="11910" w:h="17130"/>
          <w:pgMar w:top="1456" w:right="847" w:bottom="1570" w:left="1690" w:header="0" w:footer="1284" w:gutter="0"/>
          <w:cols w:space="720" w:num="1"/>
        </w:sectPr>
      </w:pPr>
    </w:p>
    <w:p w14:paraId="527A2C26">
      <w:pPr>
        <w:spacing w:before="154" w:line="223" w:lineRule="auto"/>
        <w:rPr>
          <w:rFonts w:ascii="仿宋" w:hAnsi="仿宋" w:eastAsia="仿宋" w:cs="仿宋"/>
          <w:sz w:val="27"/>
          <w:szCs w:val="27"/>
        </w:rPr>
      </w:pPr>
      <w:r>
        <w:rPr>
          <w:rFonts w:ascii="仿宋" w:hAnsi="仿宋" w:eastAsia="仿宋" w:cs="仿宋"/>
          <w:spacing w:val="-6"/>
          <w:sz w:val="27"/>
          <w:szCs w:val="27"/>
        </w:rPr>
        <w:t>成就。</w:t>
      </w:r>
    </w:p>
    <w:p w14:paraId="51A8F8B5">
      <w:pPr>
        <w:spacing w:before="122" w:line="222" w:lineRule="auto"/>
        <w:ind w:left="539"/>
        <w:rPr>
          <w:rFonts w:ascii="仿宋" w:hAnsi="仿宋" w:eastAsia="仿宋" w:cs="仿宋"/>
          <w:sz w:val="24"/>
          <w:szCs w:val="24"/>
        </w:rPr>
      </w:pPr>
      <w:r>
        <w:rPr>
          <w:rFonts w:ascii="Times New Roman" w:hAnsi="Times New Roman" w:eastAsia="Times New Roman" w:cs="Times New Roman"/>
          <w:spacing w:val="16"/>
          <w:sz w:val="24"/>
          <w:szCs w:val="24"/>
        </w:rPr>
        <w:t xml:space="preserve">3.   </w:t>
      </w:r>
      <w:r>
        <w:rPr>
          <w:rFonts w:ascii="仿宋" w:hAnsi="仿宋" w:eastAsia="仿宋" w:cs="仿宋"/>
          <w:spacing w:val="16"/>
          <w:sz w:val="24"/>
          <w:szCs w:val="24"/>
        </w:rPr>
        <w:t>实施效果</w:t>
      </w:r>
    </w:p>
    <w:p w14:paraId="341C113D">
      <w:pPr>
        <w:spacing w:before="94" w:line="311" w:lineRule="auto"/>
        <w:ind w:right="81" w:firstLine="539"/>
        <w:rPr>
          <w:rFonts w:ascii="仿宋" w:hAnsi="仿宋" w:eastAsia="仿宋" w:cs="仿宋"/>
          <w:sz w:val="24"/>
          <w:szCs w:val="24"/>
        </w:rPr>
      </w:pPr>
      <w:r>
        <w:rPr>
          <w:rFonts w:ascii="仿宋" w:hAnsi="仿宋" w:eastAsia="仿宋" w:cs="仿宋"/>
          <w:spacing w:val="35"/>
          <w:sz w:val="24"/>
          <w:szCs w:val="24"/>
        </w:rPr>
        <w:t>应详细写明在国内外何种学术刊物上发表及被他人正面引用情况</w:t>
      </w:r>
      <w:r>
        <w:rPr>
          <w:rFonts w:ascii="仿宋" w:hAnsi="仿宋" w:eastAsia="仿宋" w:cs="仿宋"/>
          <w:spacing w:val="34"/>
          <w:sz w:val="24"/>
          <w:szCs w:val="24"/>
        </w:rPr>
        <w:t>，以及在</w:t>
      </w:r>
      <w:r>
        <w:rPr>
          <w:rFonts w:ascii="仿宋" w:hAnsi="仿宋" w:eastAsia="仿宋" w:cs="仿宋"/>
          <w:sz w:val="24"/>
          <w:szCs w:val="24"/>
        </w:rPr>
        <w:t xml:space="preserve"> </w:t>
      </w:r>
      <w:r>
        <w:rPr>
          <w:rFonts w:ascii="仿宋" w:hAnsi="仿宋" w:eastAsia="仿宋" w:cs="仿宋"/>
          <w:spacing w:val="37"/>
          <w:sz w:val="24"/>
          <w:szCs w:val="24"/>
        </w:rPr>
        <w:t>学科发展上所起的推动作用和意义等。同时必须列出主要论著目录(不超过20</w:t>
      </w:r>
      <w:r>
        <w:rPr>
          <w:rFonts w:ascii="仿宋" w:hAnsi="仿宋" w:eastAsia="仿宋" w:cs="仿宋"/>
          <w:spacing w:val="17"/>
          <w:sz w:val="24"/>
          <w:szCs w:val="24"/>
        </w:rPr>
        <w:t xml:space="preserve"> </w:t>
      </w:r>
      <w:r>
        <w:rPr>
          <w:rFonts w:ascii="仿宋" w:hAnsi="仿宋" w:eastAsia="仿宋" w:cs="仿宋"/>
          <w:spacing w:val="13"/>
          <w:sz w:val="24"/>
          <w:szCs w:val="24"/>
        </w:rPr>
        <w:t>篇，论文包括作者、出版年份、题名、刊名、卷期页；专著包括作者、出版</w:t>
      </w:r>
      <w:r>
        <w:rPr>
          <w:rFonts w:ascii="仿宋" w:hAnsi="仿宋" w:eastAsia="仿宋" w:cs="仿宋"/>
          <w:spacing w:val="12"/>
          <w:sz w:val="24"/>
          <w:szCs w:val="24"/>
        </w:rPr>
        <w:t>年份、书</w:t>
      </w:r>
      <w:r>
        <w:rPr>
          <w:rFonts w:ascii="仿宋" w:hAnsi="仿宋" w:eastAsia="仿宋" w:cs="仿宋"/>
          <w:sz w:val="24"/>
          <w:szCs w:val="24"/>
        </w:rPr>
        <w:t xml:space="preserve"> 名、出版者、页码)。</w:t>
      </w:r>
    </w:p>
    <w:p w14:paraId="2C20EA8E">
      <w:pPr>
        <w:spacing w:line="222" w:lineRule="auto"/>
        <w:ind w:left="539"/>
        <w:rPr>
          <w:rFonts w:ascii="仿宋" w:hAnsi="仿宋" w:eastAsia="仿宋" w:cs="仿宋"/>
          <w:sz w:val="27"/>
          <w:szCs w:val="27"/>
        </w:rPr>
      </w:pPr>
      <w:r>
        <w:rPr>
          <w:rFonts w:ascii="仿宋" w:hAnsi="仿宋" w:eastAsia="仿宋" w:cs="仿宋"/>
          <w:spacing w:val="-1"/>
          <w:sz w:val="27"/>
          <w:szCs w:val="27"/>
        </w:rPr>
        <w:t>国家技术发明奖</w:t>
      </w:r>
    </w:p>
    <w:p w14:paraId="280D50D7">
      <w:pPr>
        <w:spacing w:before="65" w:line="222" w:lineRule="auto"/>
        <w:ind w:left="539"/>
        <w:rPr>
          <w:rFonts w:ascii="仿宋" w:hAnsi="仿宋" w:eastAsia="仿宋" w:cs="仿宋"/>
          <w:sz w:val="27"/>
          <w:szCs w:val="27"/>
        </w:rPr>
      </w:pPr>
      <w:r>
        <w:rPr>
          <w:rFonts w:ascii="Times New Roman" w:hAnsi="Times New Roman" w:eastAsia="Times New Roman" w:cs="Times New Roman"/>
          <w:spacing w:val="-2"/>
          <w:sz w:val="27"/>
          <w:szCs w:val="27"/>
        </w:rPr>
        <w:t xml:space="preserve">1.   </w:t>
      </w:r>
      <w:r>
        <w:rPr>
          <w:rFonts w:ascii="仿宋" w:hAnsi="仿宋" w:eastAsia="仿宋" w:cs="仿宋"/>
          <w:spacing w:val="-2"/>
          <w:sz w:val="27"/>
          <w:szCs w:val="27"/>
        </w:rPr>
        <w:t>总体思路</w:t>
      </w:r>
    </w:p>
    <w:p w14:paraId="5EFE175F">
      <w:pPr>
        <w:spacing w:before="102" w:line="300" w:lineRule="auto"/>
        <w:ind w:right="102" w:firstLine="539"/>
        <w:rPr>
          <w:rFonts w:ascii="仿宋" w:hAnsi="仿宋" w:eastAsia="仿宋" w:cs="仿宋"/>
          <w:sz w:val="25"/>
          <w:szCs w:val="25"/>
        </w:rPr>
      </w:pPr>
      <w:r>
        <w:rPr>
          <w:rFonts w:ascii="仿宋" w:hAnsi="仿宋" w:eastAsia="仿宋" w:cs="仿宋"/>
          <w:spacing w:val="9"/>
          <w:sz w:val="25"/>
          <w:szCs w:val="25"/>
        </w:rPr>
        <w:t>总体思路是根据立题目的，从总体上利用什么新思想、</w:t>
      </w:r>
      <w:r>
        <w:rPr>
          <w:rFonts w:ascii="仿宋" w:hAnsi="仿宋" w:eastAsia="仿宋" w:cs="仿宋"/>
          <w:spacing w:val="8"/>
          <w:sz w:val="25"/>
          <w:szCs w:val="25"/>
        </w:rPr>
        <w:t>新知识、新方法，继承</w:t>
      </w:r>
      <w:r>
        <w:rPr>
          <w:rFonts w:ascii="仿宋" w:hAnsi="仿宋" w:eastAsia="仿宋" w:cs="仿宋"/>
          <w:sz w:val="25"/>
          <w:szCs w:val="25"/>
        </w:rPr>
        <w:t xml:space="preserve"> </w:t>
      </w:r>
      <w:r>
        <w:rPr>
          <w:rFonts w:ascii="仿宋" w:hAnsi="仿宋" w:eastAsia="仿宋" w:cs="仿宋"/>
          <w:spacing w:val="11"/>
          <w:sz w:val="25"/>
          <w:szCs w:val="25"/>
        </w:rPr>
        <w:t>已有科学技术成果的长处，克服、解决其不足，创造出什么样的新发明成果。</w:t>
      </w:r>
    </w:p>
    <w:p w14:paraId="47553FEA">
      <w:pPr>
        <w:spacing w:line="222" w:lineRule="auto"/>
        <w:ind w:left="539"/>
        <w:rPr>
          <w:rFonts w:ascii="仿宋" w:hAnsi="仿宋" w:eastAsia="仿宋" w:cs="仿宋"/>
          <w:sz w:val="27"/>
          <w:szCs w:val="27"/>
        </w:rPr>
      </w:pPr>
      <w:r>
        <w:rPr>
          <w:rFonts w:ascii="Times New Roman" w:hAnsi="Times New Roman" w:eastAsia="Times New Roman" w:cs="Times New Roman"/>
          <w:spacing w:val="-4"/>
          <w:sz w:val="27"/>
          <w:szCs w:val="27"/>
        </w:rPr>
        <w:t>2.</w:t>
      </w:r>
      <w:r>
        <w:rPr>
          <w:rFonts w:ascii="Times New Roman" w:hAnsi="Times New Roman" w:eastAsia="Times New Roman" w:cs="Times New Roman"/>
          <w:spacing w:val="20"/>
          <w:sz w:val="27"/>
          <w:szCs w:val="27"/>
        </w:rPr>
        <w:t xml:space="preserve">  </w:t>
      </w:r>
      <w:r>
        <w:rPr>
          <w:rFonts w:ascii="仿宋" w:hAnsi="仿宋" w:eastAsia="仿宋" w:cs="仿宋"/>
          <w:spacing w:val="-4"/>
          <w:sz w:val="27"/>
          <w:szCs w:val="27"/>
        </w:rPr>
        <w:t>技术方案</w:t>
      </w:r>
    </w:p>
    <w:p w14:paraId="5C13FA05">
      <w:pPr>
        <w:spacing w:before="102" w:line="221" w:lineRule="auto"/>
        <w:ind w:left="539"/>
        <w:rPr>
          <w:rFonts w:ascii="仿宋" w:hAnsi="仿宋" w:eastAsia="仿宋" w:cs="仿宋"/>
          <w:sz w:val="25"/>
          <w:szCs w:val="25"/>
        </w:rPr>
      </w:pPr>
      <w:r>
        <w:rPr>
          <w:rFonts w:ascii="仿宋" w:hAnsi="仿宋" w:eastAsia="仿宋" w:cs="仿宋"/>
          <w:spacing w:val="23"/>
          <w:sz w:val="25"/>
          <w:szCs w:val="25"/>
        </w:rPr>
        <w:t>应详细写明发明成果的技术核心以及所采取的具体技术措施。</w:t>
      </w:r>
    </w:p>
    <w:p w14:paraId="0016A59F">
      <w:pPr>
        <w:spacing w:before="103" w:line="222" w:lineRule="auto"/>
        <w:ind w:left="539"/>
        <w:rPr>
          <w:rFonts w:ascii="仿宋" w:hAnsi="仿宋" w:eastAsia="仿宋" w:cs="仿宋"/>
          <w:sz w:val="25"/>
          <w:szCs w:val="25"/>
        </w:rPr>
      </w:pPr>
      <w:r>
        <w:rPr>
          <w:rFonts w:ascii="仿宋" w:hAnsi="仿宋" w:eastAsia="仿宋" w:cs="仿宋"/>
          <w:spacing w:val="16"/>
          <w:sz w:val="25"/>
          <w:szCs w:val="25"/>
        </w:rPr>
        <w:t>按照发明的不同类型，对填写该内容的概括要求是：</w:t>
      </w:r>
    </w:p>
    <w:p w14:paraId="48EAB76F">
      <w:pPr>
        <w:spacing w:before="99" w:line="283" w:lineRule="auto"/>
        <w:ind w:firstLine="539"/>
        <w:rPr>
          <w:rFonts w:ascii="仿宋" w:hAnsi="仿宋" w:eastAsia="仿宋" w:cs="仿宋"/>
          <w:sz w:val="24"/>
          <w:szCs w:val="24"/>
        </w:rPr>
      </w:pPr>
      <w:r>
        <w:rPr>
          <w:rFonts w:ascii="仿宋" w:hAnsi="仿宋" w:eastAsia="仿宋" w:cs="仿宋"/>
          <w:spacing w:val="24"/>
          <w:sz w:val="24"/>
          <w:szCs w:val="24"/>
        </w:rPr>
        <w:t>(1)对于产品发明。包括仪器、设备、器械、工具、零部件及生物新品种等。</w:t>
      </w:r>
      <w:r>
        <w:rPr>
          <w:rFonts w:ascii="仿宋" w:hAnsi="仿宋" w:eastAsia="仿宋" w:cs="仿宋"/>
          <w:spacing w:val="18"/>
          <w:sz w:val="24"/>
          <w:szCs w:val="24"/>
        </w:rPr>
        <w:t xml:space="preserve"> </w:t>
      </w:r>
      <w:r>
        <w:rPr>
          <w:rFonts w:ascii="仿宋" w:hAnsi="仿宋" w:eastAsia="仿宋" w:cs="仿宋"/>
          <w:spacing w:val="16"/>
          <w:sz w:val="24"/>
          <w:szCs w:val="24"/>
        </w:rPr>
        <w:t>其基本写法按结构描述，</w:t>
      </w:r>
      <w:r>
        <w:rPr>
          <w:rFonts w:ascii="仿宋" w:hAnsi="仿宋" w:eastAsia="仿宋" w:cs="仿宋"/>
          <w:spacing w:val="102"/>
          <w:sz w:val="24"/>
          <w:szCs w:val="24"/>
        </w:rPr>
        <w:t xml:space="preserve"> </w:t>
      </w:r>
      <w:r>
        <w:rPr>
          <w:rFonts w:ascii="仿宋" w:hAnsi="仿宋" w:eastAsia="仿宋" w:cs="仿宋"/>
          <w:spacing w:val="16"/>
          <w:sz w:val="24"/>
          <w:szCs w:val="24"/>
        </w:rPr>
        <w:t>一般要写四点：[1]按结构图(装配图、剖面图)从静态到</w:t>
      </w:r>
      <w:r>
        <w:rPr>
          <w:rFonts w:ascii="仿宋" w:hAnsi="仿宋" w:eastAsia="仿宋" w:cs="仿宋"/>
          <w:sz w:val="24"/>
          <w:szCs w:val="24"/>
        </w:rPr>
        <w:t xml:space="preserve"> </w:t>
      </w:r>
      <w:r>
        <w:rPr>
          <w:rFonts w:ascii="仿宋" w:hAnsi="仿宋" w:eastAsia="仿宋" w:cs="仿宋"/>
          <w:spacing w:val="30"/>
          <w:sz w:val="24"/>
          <w:szCs w:val="24"/>
        </w:rPr>
        <w:t>动态作总的描述，静态用以说明构成发明的组成部分，</w:t>
      </w:r>
      <w:r>
        <w:rPr>
          <w:rFonts w:ascii="仿宋" w:hAnsi="仿宋" w:eastAsia="仿宋" w:cs="仿宋"/>
          <w:spacing w:val="29"/>
          <w:sz w:val="24"/>
          <w:szCs w:val="24"/>
        </w:rPr>
        <w:t>动态用以说明动作程序。</w:t>
      </w:r>
    </w:p>
    <w:p w14:paraId="18C3938E">
      <w:pPr>
        <w:spacing w:before="124" w:line="281" w:lineRule="auto"/>
        <w:ind w:right="85"/>
        <w:rPr>
          <w:rFonts w:ascii="仿宋" w:hAnsi="仿宋" w:eastAsia="仿宋" w:cs="仿宋"/>
          <w:sz w:val="24"/>
          <w:szCs w:val="24"/>
        </w:rPr>
      </w:pPr>
      <w:r>
        <w:rPr>
          <w:rFonts w:ascii="仿宋" w:hAnsi="仿宋" w:eastAsia="仿宋" w:cs="仿宋"/>
          <w:spacing w:val="30"/>
          <w:sz w:val="24"/>
          <w:szCs w:val="24"/>
        </w:rPr>
        <w:t>[2]画出关键部件图作深入描述，包括特殊加工工艺、特殊材料</w:t>
      </w:r>
      <w:r>
        <w:rPr>
          <w:rFonts w:ascii="仿宋" w:hAnsi="仿宋" w:eastAsia="仿宋" w:cs="仿宋"/>
          <w:spacing w:val="29"/>
          <w:sz w:val="24"/>
          <w:szCs w:val="24"/>
        </w:rPr>
        <w:t>、特殊调试技术</w:t>
      </w:r>
      <w:r>
        <w:rPr>
          <w:rFonts w:ascii="仿宋" w:hAnsi="仿宋" w:eastAsia="仿宋" w:cs="仿宋"/>
          <w:sz w:val="24"/>
          <w:szCs w:val="24"/>
        </w:rPr>
        <w:t xml:space="preserve"> </w:t>
      </w:r>
      <w:r>
        <w:rPr>
          <w:rFonts w:ascii="仿宋" w:hAnsi="仿宋" w:eastAsia="仿宋" w:cs="仿宋"/>
          <w:spacing w:val="32"/>
          <w:sz w:val="24"/>
          <w:szCs w:val="24"/>
        </w:rPr>
        <w:t>等。[3]列出性能指标。[4]构成发明的其他内容。所有机械</w:t>
      </w:r>
      <w:r>
        <w:rPr>
          <w:rFonts w:ascii="仿宋" w:hAnsi="仿宋" w:eastAsia="仿宋" w:cs="仿宋"/>
          <w:spacing w:val="31"/>
          <w:sz w:val="24"/>
          <w:szCs w:val="24"/>
        </w:rPr>
        <w:t>图均不注尺寸，但</w:t>
      </w:r>
      <w:r>
        <w:rPr>
          <w:rFonts w:ascii="仿宋" w:hAnsi="仿宋" w:eastAsia="仿宋" w:cs="仿宋"/>
          <w:sz w:val="24"/>
          <w:szCs w:val="24"/>
        </w:rPr>
        <w:t xml:space="preserve"> </w:t>
      </w:r>
      <w:r>
        <w:rPr>
          <w:rFonts w:ascii="仿宋" w:hAnsi="仿宋" w:eastAsia="仿宋" w:cs="仿宋"/>
          <w:spacing w:val="25"/>
          <w:sz w:val="24"/>
          <w:szCs w:val="24"/>
        </w:rPr>
        <w:t>应按比例绘制并标出图序，注出零部件的名称。</w:t>
      </w:r>
    </w:p>
    <w:p w14:paraId="170DE688">
      <w:pPr>
        <w:spacing w:before="104" w:line="288" w:lineRule="auto"/>
        <w:ind w:right="94" w:firstLine="539"/>
        <w:rPr>
          <w:rFonts w:ascii="仿宋" w:hAnsi="仿宋" w:eastAsia="仿宋" w:cs="仿宋"/>
          <w:sz w:val="25"/>
          <w:szCs w:val="25"/>
        </w:rPr>
      </w:pPr>
      <w:r>
        <w:rPr>
          <w:rFonts w:ascii="仿宋" w:hAnsi="仿宋" w:eastAsia="仿宋" w:cs="仿宋"/>
          <w:spacing w:val="20"/>
          <w:sz w:val="25"/>
          <w:szCs w:val="25"/>
        </w:rPr>
        <w:t>(2)对于工艺发明。包括工业、农业、医疗卫生和</w:t>
      </w:r>
      <w:r>
        <w:rPr>
          <w:rFonts w:ascii="仿宋" w:hAnsi="仿宋" w:eastAsia="仿宋" w:cs="仿宋"/>
          <w:spacing w:val="19"/>
          <w:sz w:val="25"/>
          <w:szCs w:val="25"/>
        </w:rPr>
        <w:t>国家安全领域的各种技术</w:t>
      </w:r>
      <w:r>
        <w:rPr>
          <w:rFonts w:ascii="仿宋" w:hAnsi="仿宋" w:eastAsia="仿宋" w:cs="仿宋"/>
          <w:sz w:val="25"/>
          <w:szCs w:val="25"/>
        </w:rPr>
        <w:t xml:space="preserve"> </w:t>
      </w:r>
      <w:r>
        <w:rPr>
          <w:rFonts w:ascii="仿宋" w:hAnsi="仿宋" w:eastAsia="仿宋" w:cs="仿宋"/>
          <w:spacing w:val="14"/>
          <w:sz w:val="25"/>
          <w:szCs w:val="25"/>
        </w:rPr>
        <w:t>方法。其基本写法按相应步骤及实现条件描述其特点</w:t>
      </w:r>
      <w:r>
        <w:rPr>
          <w:rFonts w:ascii="仿宋" w:hAnsi="仿宋" w:eastAsia="仿宋" w:cs="仿宋"/>
          <w:spacing w:val="13"/>
          <w:sz w:val="25"/>
          <w:szCs w:val="25"/>
        </w:rPr>
        <w:t>，</w:t>
      </w:r>
      <w:r>
        <w:rPr>
          <w:rFonts w:ascii="仿宋" w:hAnsi="仿宋" w:eastAsia="仿宋" w:cs="仿宋"/>
          <w:spacing w:val="93"/>
          <w:sz w:val="25"/>
          <w:szCs w:val="25"/>
        </w:rPr>
        <w:t xml:space="preserve"> </w:t>
      </w:r>
      <w:r>
        <w:rPr>
          <w:rFonts w:ascii="仿宋" w:hAnsi="仿宋" w:eastAsia="仿宋" w:cs="仿宋"/>
          <w:spacing w:val="13"/>
          <w:sz w:val="25"/>
          <w:szCs w:val="25"/>
        </w:rPr>
        <w:t>一般要写四点：[1]基本</w:t>
      </w:r>
      <w:r>
        <w:rPr>
          <w:rFonts w:ascii="仿宋" w:hAnsi="仿宋" w:eastAsia="仿宋" w:cs="仿宋"/>
          <w:sz w:val="25"/>
          <w:szCs w:val="25"/>
        </w:rPr>
        <w:t xml:space="preserve"> </w:t>
      </w:r>
      <w:r>
        <w:rPr>
          <w:rFonts w:ascii="仿宋" w:hAnsi="仿宋" w:eastAsia="仿宋" w:cs="仿宋"/>
          <w:spacing w:val="21"/>
          <w:sz w:val="25"/>
          <w:szCs w:val="25"/>
        </w:rPr>
        <w:t>原理。已知的原理只需写明采用了什么原理</w:t>
      </w:r>
      <w:r>
        <w:rPr>
          <w:rFonts w:ascii="仿宋" w:hAnsi="仿宋" w:eastAsia="仿宋" w:cs="仿宋"/>
          <w:spacing w:val="20"/>
          <w:sz w:val="25"/>
          <w:szCs w:val="25"/>
        </w:rPr>
        <w:t>，新的原理要列出结论性公式(不写</w:t>
      </w:r>
      <w:r>
        <w:rPr>
          <w:rFonts w:ascii="仿宋" w:hAnsi="仿宋" w:eastAsia="仿宋" w:cs="仿宋"/>
          <w:sz w:val="25"/>
          <w:szCs w:val="25"/>
        </w:rPr>
        <w:t xml:space="preserve"> </w:t>
      </w:r>
      <w:r>
        <w:rPr>
          <w:rFonts w:ascii="仿宋" w:hAnsi="仿宋" w:eastAsia="仿宋" w:cs="仿宋"/>
          <w:spacing w:val="19"/>
          <w:sz w:val="25"/>
          <w:szCs w:val="25"/>
        </w:rPr>
        <w:t>推导过程)。[2]说明实施步骤。如工艺流程、安装步骤等。[3]实现</w:t>
      </w:r>
      <w:r>
        <w:rPr>
          <w:rFonts w:ascii="仿宋" w:hAnsi="仿宋" w:eastAsia="仿宋" w:cs="仿宋"/>
          <w:spacing w:val="18"/>
          <w:sz w:val="25"/>
          <w:szCs w:val="25"/>
        </w:rPr>
        <w:t>的条件。如</w:t>
      </w:r>
      <w:r>
        <w:rPr>
          <w:rFonts w:ascii="仿宋" w:hAnsi="仿宋" w:eastAsia="仿宋" w:cs="仿宋"/>
          <w:sz w:val="25"/>
          <w:szCs w:val="25"/>
        </w:rPr>
        <w:t xml:space="preserve"> </w:t>
      </w:r>
      <w:r>
        <w:rPr>
          <w:rFonts w:ascii="仿宋" w:hAnsi="仿宋" w:eastAsia="仿宋" w:cs="仿宋"/>
          <w:spacing w:val="20"/>
          <w:sz w:val="25"/>
          <w:szCs w:val="25"/>
        </w:rPr>
        <w:t>工艺条件、使用的原料等。[4]完成动作所采用的设备。对于构成</w:t>
      </w:r>
      <w:r>
        <w:rPr>
          <w:rFonts w:ascii="仿宋" w:hAnsi="仿宋" w:eastAsia="仿宋" w:cs="仿宋"/>
          <w:spacing w:val="19"/>
          <w:sz w:val="25"/>
          <w:szCs w:val="25"/>
        </w:rPr>
        <w:t>发明的特殊装</w:t>
      </w:r>
      <w:r>
        <w:rPr>
          <w:rFonts w:ascii="仿宋" w:hAnsi="仿宋" w:eastAsia="仿宋" w:cs="仿宋"/>
          <w:sz w:val="25"/>
          <w:szCs w:val="25"/>
        </w:rPr>
        <w:t xml:space="preserve"> </w:t>
      </w:r>
      <w:r>
        <w:rPr>
          <w:rFonts w:ascii="仿宋" w:hAnsi="仿宋" w:eastAsia="仿宋" w:cs="仿宋"/>
          <w:spacing w:val="11"/>
          <w:sz w:val="25"/>
          <w:szCs w:val="25"/>
        </w:rPr>
        <w:t>备，还应参照产品发明的写法，进一步详细描述其特征。</w:t>
      </w:r>
    </w:p>
    <w:p w14:paraId="71141712">
      <w:pPr>
        <w:spacing w:before="138" w:line="290" w:lineRule="auto"/>
        <w:ind w:right="96" w:firstLine="539"/>
        <w:rPr>
          <w:rFonts w:ascii="仿宋" w:hAnsi="仿宋" w:eastAsia="仿宋" w:cs="仿宋"/>
          <w:sz w:val="24"/>
          <w:szCs w:val="24"/>
        </w:rPr>
      </w:pPr>
      <w:r>
        <w:rPr>
          <w:rFonts w:ascii="仿宋" w:hAnsi="仿宋" w:eastAsia="仿宋" w:cs="仿宋"/>
          <w:spacing w:val="29"/>
          <w:sz w:val="24"/>
          <w:szCs w:val="24"/>
        </w:rPr>
        <w:t>(3)对于材料发明。材料包括用各种技术方法获得的新物质等。</w:t>
      </w:r>
      <w:r>
        <w:rPr>
          <w:rFonts w:ascii="仿宋" w:hAnsi="仿宋" w:eastAsia="仿宋" w:cs="仿宋"/>
          <w:spacing w:val="91"/>
          <w:sz w:val="24"/>
          <w:szCs w:val="24"/>
        </w:rPr>
        <w:t xml:space="preserve"> </w:t>
      </w:r>
      <w:r>
        <w:rPr>
          <w:rFonts w:ascii="仿宋" w:hAnsi="仿宋" w:eastAsia="仿宋" w:cs="仿宋"/>
          <w:spacing w:val="29"/>
          <w:sz w:val="24"/>
          <w:szCs w:val="24"/>
        </w:rPr>
        <w:t>一</w:t>
      </w:r>
      <w:r>
        <w:rPr>
          <w:rFonts w:ascii="仿宋" w:hAnsi="仿宋" w:eastAsia="仿宋" w:cs="仿宋"/>
          <w:spacing w:val="-63"/>
          <w:sz w:val="24"/>
          <w:szCs w:val="24"/>
        </w:rPr>
        <w:t xml:space="preserve"> </w:t>
      </w:r>
      <w:r>
        <w:rPr>
          <w:rFonts w:ascii="仿宋" w:hAnsi="仿宋" w:eastAsia="仿宋" w:cs="仿宋"/>
          <w:spacing w:val="29"/>
          <w:sz w:val="24"/>
          <w:szCs w:val="24"/>
        </w:rPr>
        <w:t>般</w:t>
      </w:r>
      <w:r>
        <w:rPr>
          <w:rFonts w:ascii="仿宋" w:hAnsi="仿宋" w:eastAsia="仿宋" w:cs="仿宋"/>
          <w:spacing w:val="28"/>
          <w:sz w:val="24"/>
          <w:szCs w:val="24"/>
        </w:rPr>
        <w:t>要写</w:t>
      </w:r>
      <w:r>
        <w:rPr>
          <w:rFonts w:ascii="仿宋" w:hAnsi="仿宋" w:eastAsia="仿宋" w:cs="仿宋"/>
          <w:sz w:val="24"/>
          <w:szCs w:val="24"/>
        </w:rPr>
        <w:t xml:space="preserve"> </w:t>
      </w:r>
      <w:r>
        <w:rPr>
          <w:rFonts w:ascii="仿宋" w:hAnsi="仿宋" w:eastAsia="仿宋" w:cs="仿宋"/>
          <w:spacing w:val="25"/>
          <w:sz w:val="24"/>
          <w:szCs w:val="24"/>
        </w:rPr>
        <w:t>四点：[1]组成成分。包括各物质元素的名称、</w:t>
      </w:r>
      <w:r>
        <w:rPr>
          <w:rFonts w:ascii="仿宋" w:hAnsi="仿宋" w:eastAsia="仿宋" w:cs="仿宋"/>
          <w:spacing w:val="24"/>
          <w:sz w:val="24"/>
          <w:szCs w:val="24"/>
        </w:rPr>
        <w:t>特性、配比及结构式。[2]合成方</w:t>
      </w:r>
      <w:r>
        <w:rPr>
          <w:rFonts w:ascii="仿宋" w:hAnsi="仿宋" w:eastAsia="仿宋" w:cs="仿宋"/>
          <w:sz w:val="24"/>
          <w:szCs w:val="24"/>
        </w:rPr>
        <w:t xml:space="preserve"> </w:t>
      </w:r>
      <w:r>
        <w:rPr>
          <w:rFonts w:ascii="仿宋" w:hAnsi="仿宋" w:eastAsia="仿宋" w:cs="仿宋"/>
          <w:spacing w:val="29"/>
          <w:sz w:val="24"/>
          <w:szCs w:val="24"/>
        </w:rPr>
        <w:t>法或者制造工艺。包括工艺流程、工艺参数(含最佳参数)</w:t>
      </w:r>
      <w:r>
        <w:rPr>
          <w:rFonts w:ascii="仿宋" w:hAnsi="仿宋" w:eastAsia="仿宋" w:cs="仿宋"/>
          <w:spacing w:val="28"/>
          <w:sz w:val="24"/>
          <w:szCs w:val="24"/>
        </w:rPr>
        <w:t>。[3]完成工艺所需的</w:t>
      </w:r>
      <w:r>
        <w:rPr>
          <w:rFonts w:ascii="仿宋" w:hAnsi="仿宋" w:eastAsia="仿宋" w:cs="仿宋"/>
          <w:sz w:val="24"/>
          <w:szCs w:val="24"/>
        </w:rPr>
        <w:t xml:space="preserve"> </w:t>
      </w:r>
      <w:r>
        <w:rPr>
          <w:rFonts w:ascii="仿宋" w:hAnsi="仿宋" w:eastAsia="仿宋" w:cs="仿宋"/>
          <w:spacing w:val="28"/>
          <w:sz w:val="24"/>
          <w:szCs w:val="24"/>
        </w:rPr>
        <w:t>特殊设备(参照产品发明写)。[4]物理化学性能。</w:t>
      </w:r>
    </w:p>
    <w:p w14:paraId="5FEDDA43">
      <w:pPr>
        <w:spacing w:before="98" w:line="222" w:lineRule="auto"/>
        <w:ind w:left="539"/>
        <w:rPr>
          <w:rFonts w:ascii="仿宋" w:hAnsi="仿宋" w:eastAsia="仿宋" w:cs="仿宋"/>
          <w:sz w:val="27"/>
          <w:szCs w:val="27"/>
        </w:rPr>
      </w:pPr>
      <w:r>
        <w:rPr>
          <w:rFonts w:ascii="Times New Roman" w:hAnsi="Times New Roman" w:eastAsia="Times New Roman" w:cs="Times New Roman"/>
          <w:spacing w:val="-2"/>
          <w:sz w:val="27"/>
          <w:szCs w:val="27"/>
        </w:rPr>
        <w:t>3.</w:t>
      </w:r>
      <w:r>
        <w:rPr>
          <w:rFonts w:ascii="Times New Roman" w:hAnsi="Times New Roman" w:eastAsia="Times New Roman" w:cs="Times New Roman"/>
          <w:spacing w:val="31"/>
          <w:w w:val="101"/>
          <w:sz w:val="27"/>
          <w:szCs w:val="27"/>
        </w:rPr>
        <w:t xml:space="preserve">  </w:t>
      </w:r>
      <w:r>
        <w:rPr>
          <w:rFonts w:ascii="仿宋" w:hAnsi="仿宋" w:eastAsia="仿宋" w:cs="仿宋"/>
          <w:spacing w:val="-2"/>
          <w:sz w:val="27"/>
          <w:szCs w:val="27"/>
        </w:rPr>
        <w:t>实施效果</w:t>
      </w:r>
    </w:p>
    <w:p w14:paraId="3D9B5905">
      <w:pPr>
        <w:spacing w:before="123" w:line="291" w:lineRule="auto"/>
        <w:ind w:right="99" w:firstLine="539"/>
        <w:rPr>
          <w:rFonts w:ascii="仿宋" w:hAnsi="仿宋" w:eastAsia="仿宋" w:cs="仿宋"/>
          <w:sz w:val="25"/>
          <w:szCs w:val="25"/>
        </w:rPr>
      </w:pPr>
      <w:r>
        <w:rPr>
          <w:rFonts w:ascii="仿宋" w:hAnsi="仿宋" w:eastAsia="仿宋" w:cs="仿宋"/>
          <w:spacing w:val="16"/>
          <w:sz w:val="25"/>
          <w:szCs w:val="25"/>
        </w:rPr>
        <w:t>应详细填写实施的范围、规模、已达到的效果，简明阐述预期效果和对专业</w:t>
      </w:r>
      <w:r>
        <w:rPr>
          <w:rFonts w:ascii="仿宋" w:hAnsi="仿宋" w:eastAsia="仿宋" w:cs="仿宋"/>
          <w:spacing w:val="17"/>
          <w:sz w:val="25"/>
          <w:szCs w:val="25"/>
        </w:rPr>
        <w:t xml:space="preserve"> 技术发展起的作用意义等。包括专业水平提高、工艺过程简化、节</w:t>
      </w:r>
      <w:r>
        <w:rPr>
          <w:rFonts w:ascii="仿宋" w:hAnsi="仿宋" w:eastAsia="仿宋" w:cs="仿宋"/>
          <w:spacing w:val="16"/>
          <w:sz w:val="25"/>
          <w:szCs w:val="25"/>
        </w:rPr>
        <w:t>省能源、降低</w:t>
      </w:r>
      <w:r>
        <w:rPr>
          <w:rFonts w:ascii="仿宋" w:hAnsi="仿宋" w:eastAsia="仿宋" w:cs="仿宋"/>
          <w:sz w:val="25"/>
          <w:szCs w:val="25"/>
        </w:rPr>
        <w:t xml:space="preserve"> </w:t>
      </w:r>
      <w:r>
        <w:rPr>
          <w:rFonts w:ascii="仿宋" w:hAnsi="仿宋" w:eastAsia="仿宋" w:cs="仿宋"/>
          <w:spacing w:val="16"/>
          <w:sz w:val="25"/>
          <w:szCs w:val="25"/>
        </w:rPr>
        <w:t>原材料消耗，提高工效和经济效益或社会效益等。</w:t>
      </w:r>
    </w:p>
    <w:p w14:paraId="02CAD07E">
      <w:pPr>
        <w:spacing w:before="19" w:line="222" w:lineRule="auto"/>
        <w:ind w:left="539"/>
        <w:rPr>
          <w:rFonts w:ascii="仿宋" w:hAnsi="仿宋" w:eastAsia="仿宋" w:cs="仿宋"/>
          <w:sz w:val="24"/>
          <w:szCs w:val="24"/>
        </w:rPr>
      </w:pPr>
      <w:r>
        <w:rPr>
          <w:rFonts w:ascii="仿宋" w:hAnsi="仿宋" w:eastAsia="仿宋" w:cs="仿宋"/>
          <w:spacing w:val="28"/>
          <w:sz w:val="24"/>
          <w:szCs w:val="24"/>
        </w:rPr>
        <w:t>国家科技进步奖</w:t>
      </w:r>
    </w:p>
    <w:p w14:paraId="5367F19B">
      <w:pPr>
        <w:spacing w:line="222" w:lineRule="auto"/>
        <w:rPr>
          <w:rFonts w:ascii="仿宋" w:hAnsi="仿宋" w:eastAsia="仿宋" w:cs="仿宋"/>
          <w:sz w:val="24"/>
          <w:szCs w:val="24"/>
        </w:rPr>
        <w:sectPr>
          <w:footerReference r:id="rId670" w:type="default"/>
          <w:pgSz w:w="11910" w:h="17130"/>
          <w:pgMar w:top="1456" w:right="1279" w:bottom="1576" w:left="1190" w:header="0" w:footer="1387" w:gutter="0"/>
          <w:cols w:space="720" w:num="1"/>
        </w:sectPr>
      </w:pPr>
    </w:p>
    <w:p w14:paraId="667261D8">
      <w:pPr>
        <w:spacing w:before="55" w:line="222" w:lineRule="auto"/>
        <w:ind w:left="539"/>
        <w:rPr>
          <w:rFonts w:ascii="仿宋" w:hAnsi="仿宋" w:eastAsia="仿宋" w:cs="仿宋"/>
          <w:sz w:val="27"/>
          <w:szCs w:val="27"/>
        </w:rPr>
      </w:pPr>
      <w:r>
        <w:rPr>
          <w:rFonts w:ascii="Times New Roman" w:hAnsi="Times New Roman" w:eastAsia="Times New Roman" w:cs="Times New Roman"/>
          <w:spacing w:val="-4"/>
          <w:sz w:val="27"/>
          <w:szCs w:val="27"/>
        </w:rPr>
        <w:t>1.</w:t>
      </w:r>
      <w:r>
        <w:rPr>
          <w:rFonts w:ascii="Times New Roman" w:hAnsi="Times New Roman" w:eastAsia="Times New Roman" w:cs="Times New Roman"/>
          <w:spacing w:val="27"/>
          <w:sz w:val="27"/>
          <w:szCs w:val="27"/>
        </w:rPr>
        <w:t xml:space="preserve">  </w:t>
      </w:r>
      <w:r>
        <w:rPr>
          <w:rFonts w:ascii="仿宋" w:hAnsi="仿宋" w:eastAsia="仿宋" w:cs="仿宋"/>
          <w:spacing w:val="-4"/>
          <w:sz w:val="27"/>
          <w:szCs w:val="27"/>
        </w:rPr>
        <w:t>总体思路</w:t>
      </w:r>
    </w:p>
    <w:p w14:paraId="20847C1A">
      <w:pPr>
        <w:spacing w:before="53" w:line="331" w:lineRule="auto"/>
        <w:ind w:right="101" w:firstLine="539"/>
        <w:rPr>
          <w:rFonts w:ascii="仿宋" w:hAnsi="仿宋" w:eastAsia="仿宋" w:cs="仿宋"/>
          <w:sz w:val="24"/>
          <w:szCs w:val="24"/>
        </w:rPr>
      </w:pPr>
      <w:r>
        <w:rPr>
          <w:rFonts w:ascii="仿宋" w:hAnsi="仿宋" w:eastAsia="仿宋" w:cs="仿宋"/>
          <w:spacing w:val="18"/>
          <w:sz w:val="24"/>
          <w:szCs w:val="24"/>
        </w:rPr>
        <w:t>应简要阐述针对立项目的，利用什么新思想、新技术、新立法、新方法，来解</w:t>
      </w:r>
      <w:r>
        <w:rPr>
          <w:rFonts w:ascii="仿宋" w:hAnsi="仿宋" w:eastAsia="仿宋" w:cs="仿宋"/>
          <w:spacing w:val="15"/>
          <w:sz w:val="24"/>
          <w:szCs w:val="24"/>
        </w:rPr>
        <w:t xml:space="preserve"> </w:t>
      </w:r>
      <w:r>
        <w:rPr>
          <w:rFonts w:ascii="仿宋" w:hAnsi="仿宋" w:eastAsia="仿宋" w:cs="仿宋"/>
          <w:spacing w:val="25"/>
          <w:sz w:val="24"/>
          <w:szCs w:val="24"/>
        </w:rPr>
        <w:t>决什么样的技术问题，创造出什么样的新成果。</w:t>
      </w:r>
    </w:p>
    <w:p w14:paraId="1CC5E23D">
      <w:pPr>
        <w:spacing w:line="222" w:lineRule="auto"/>
        <w:ind w:left="539"/>
        <w:rPr>
          <w:rFonts w:ascii="仿宋" w:hAnsi="仿宋" w:eastAsia="仿宋" w:cs="仿宋"/>
          <w:sz w:val="24"/>
          <w:szCs w:val="24"/>
        </w:rPr>
      </w:pPr>
      <w:r>
        <w:rPr>
          <w:rFonts w:ascii="Times New Roman" w:hAnsi="Times New Roman" w:eastAsia="Times New Roman" w:cs="Times New Roman"/>
          <w:spacing w:val="28"/>
          <w:sz w:val="24"/>
          <w:szCs w:val="24"/>
        </w:rPr>
        <w:t>2.</w:t>
      </w:r>
      <w:r>
        <w:rPr>
          <w:rFonts w:ascii="Times New Roman" w:hAnsi="Times New Roman" w:eastAsia="Times New Roman" w:cs="Times New Roman"/>
          <w:spacing w:val="2"/>
          <w:sz w:val="24"/>
          <w:szCs w:val="24"/>
        </w:rPr>
        <w:t xml:space="preserve">   </w:t>
      </w:r>
      <w:r>
        <w:rPr>
          <w:rFonts w:ascii="仿宋" w:hAnsi="仿宋" w:eastAsia="仿宋" w:cs="仿宋"/>
          <w:spacing w:val="28"/>
          <w:sz w:val="24"/>
          <w:szCs w:val="24"/>
        </w:rPr>
        <w:t>技术方案与创新成果</w:t>
      </w:r>
    </w:p>
    <w:p w14:paraId="5AFE26F1">
      <w:pPr>
        <w:spacing w:before="79" w:line="301" w:lineRule="auto"/>
        <w:ind w:right="82" w:firstLine="539"/>
        <w:rPr>
          <w:rFonts w:ascii="仿宋" w:hAnsi="仿宋" w:eastAsia="仿宋" w:cs="仿宋"/>
          <w:sz w:val="25"/>
          <w:szCs w:val="25"/>
        </w:rPr>
      </w:pPr>
      <w:r>
        <w:rPr>
          <w:rFonts w:ascii="仿宋" w:hAnsi="仿宋" w:eastAsia="仿宋" w:cs="仿宋"/>
          <w:spacing w:val="17"/>
          <w:sz w:val="25"/>
          <w:szCs w:val="25"/>
        </w:rPr>
        <w:t>应详细阐述具体技术方案和实施步骤，应用了哪些理论、技术和</w:t>
      </w:r>
      <w:r>
        <w:rPr>
          <w:rFonts w:ascii="仿宋" w:hAnsi="仿宋" w:eastAsia="仿宋" w:cs="仿宋"/>
          <w:spacing w:val="16"/>
          <w:sz w:val="25"/>
          <w:szCs w:val="25"/>
        </w:rPr>
        <w:t>方法，在研</w:t>
      </w:r>
      <w:r>
        <w:rPr>
          <w:rFonts w:ascii="仿宋" w:hAnsi="仿宋" w:eastAsia="仿宋" w:cs="仿宋"/>
          <w:sz w:val="25"/>
          <w:szCs w:val="25"/>
        </w:rPr>
        <w:t xml:space="preserve"> </w:t>
      </w:r>
      <w:r>
        <w:rPr>
          <w:rFonts w:ascii="仿宋" w:hAnsi="仿宋" w:eastAsia="仿宋" w:cs="仿宋"/>
          <w:spacing w:val="10"/>
          <w:sz w:val="25"/>
          <w:szCs w:val="25"/>
        </w:rPr>
        <w:t>究开发、推广及产业化过程中，攻克了哪些关</w:t>
      </w:r>
      <w:r>
        <w:rPr>
          <w:rFonts w:ascii="仿宋" w:hAnsi="仿宋" w:eastAsia="仿宋" w:cs="仿宋"/>
          <w:spacing w:val="9"/>
          <w:sz w:val="25"/>
          <w:szCs w:val="25"/>
        </w:rPr>
        <w:t>键技术，在技术上有哪些创新，取得</w:t>
      </w:r>
      <w:r>
        <w:rPr>
          <w:rFonts w:ascii="仿宋" w:hAnsi="仿宋" w:eastAsia="仿宋" w:cs="仿宋"/>
          <w:sz w:val="25"/>
          <w:szCs w:val="25"/>
        </w:rPr>
        <w:t xml:space="preserve"> </w:t>
      </w:r>
      <w:r>
        <w:rPr>
          <w:rFonts w:ascii="仿宋" w:hAnsi="仿宋" w:eastAsia="仿宋" w:cs="仿宋"/>
          <w:spacing w:val="14"/>
          <w:sz w:val="25"/>
          <w:szCs w:val="25"/>
        </w:rPr>
        <w:t>了哪些创新成果。</w:t>
      </w:r>
    </w:p>
    <w:p w14:paraId="5999E18A">
      <w:pPr>
        <w:spacing w:line="222" w:lineRule="auto"/>
        <w:ind w:left="539"/>
        <w:rPr>
          <w:rFonts w:ascii="仿宋" w:hAnsi="仿宋" w:eastAsia="仿宋" w:cs="仿宋"/>
          <w:sz w:val="27"/>
          <w:szCs w:val="27"/>
        </w:rPr>
      </w:pPr>
      <w:r>
        <w:rPr>
          <w:rFonts w:ascii="Times New Roman" w:hAnsi="Times New Roman" w:eastAsia="Times New Roman" w:cs="Times New Roman"/>
          <w:spacing w:val="3"/>
          <w:sz w:val="27"/>
          <w:szCs w:val="27"/>
        </w:rPr>
        <w:t>3.</w:t>
      </w:r>
      <w:r>
        <w:rPr>
          <w:rFonts w:ascii="Times New Roman" w:hAnsi="Times New Roman" w:eastAsia="Times New Roman" w:cs="Times New Roman"/>
          <w:spacing w:val="16"/>
          <w:sz w:val="27"/>
          <w:szCs w:val="27"/>
        </w:rPr>
        <w:t xml:space="preserve">  </w:t>
      </w:r>
      <w:r>
        <w:rPr>
          <w:rFonts w:ascii="仿宋" w:hAnsi="仿宋" w:eastAsia="仿宋" w:cs="仿宋"/>
          <w:spacing w:val="3"/>
          <w:sz w:val="27"/>
          <w:szCs w:val="27"/>
        </w:rPr>
        <w:t>实施效果</w:t>
      </w:r>
    </w:p>
    <w:p w14:paraId="44D2EA62">
      <w:pPr>
        <w:spacing w:before="67" w:line="307" w:lineRule="auto"/>
        <w:ind w:right="81" w:firstLine="539"/>
        <w:rPr>
          <w:rFonts w:ascii="仿宋" w:hAnsi="仿宋" w:eastAsia="仿宋" w:cs="仿宋"/>
          <w:sz w:val="25"/>
          <w:szCs w:val="25"/>
        </w:rPr>
      </w:pPr>
      <w:r>
        <w:rPr>
          <w:rFonts w:ascii="仿宋" w:hAnsi="仿宋" w:eastAsia="仿宋" w:cs="仿宋"/>
          <w:spacing w:val="25"/>
          <w:sz w:val="25"/>
          <w:szCs w:val="25"/>
        </w:rPr>
        <w:t>应简要阐述该项成果的转化程度，应用范围及推广情况。按照国家科学技</w:t>
      </w:r>
      <w:r>
        <w:rPr>
          <w:rFonts w:ascii="仿宋" w:hAnsi="仿宋" w:eastAsia="仿宋" w:cs="仿宋"/>
          <w:spacing w:val="7"/>
          <w:sz w:val="25"/>
          <w:szCs w:val="25"/>
        </w:rPr>
        <w:t xml:space="preserve"> </w:t>
      </w:r>
      <w:r>
        <w:rPr>
          <w:rFonts w:ascii="仿宋" w:hAnsi="仿宋" w:eastAsia="仿宋" w:cs="仿宋"/>
          <w:spacing w:val="15"/>
          <w:sz w:val="25"/>
          <w:szCs w:val="25"/>
        </w:rPr>
        <w:t>术进步奖分类，各类项目在阐述时应有所侧重。</w:t>
      </w:r>
    </w:p>
    <w:p w14:paraId="61F2EE35">
      <w:pPr>
        <w:spacing w:before="2" w:line="269" w:lineRule="auto"/>
        <w:ind w:right="77" w:firstLine="539"/>
        <w:rPr>
          <w:rFonts w:ascii="仿宋" w:hAnsi="仿宋" w:eastAsia="仿宋" w:cs="仿宋"/>
          <w:sz w:val="25"/>
          <w:szCs w:val="25"/>
        </w:rPr>
      </w:pPr>
      <w:r>
        <w:rPr>
          <w:rFonts w:ascii="仿宋" w:hAnsi="仿宋" w:eastAsia="仿宋" w:cs="仿宋"/>
          <w:spacing w:val="25"/>
          <w:sz w:val="25"/>
          <w:szCs w:val="25"/>
        </w:rPr>
        <w:t>①技术开发类项目应突出技术创新、成果转化，对产业结构优化升级和实</w:t>
      </w:r>
      <w:r>
        <w:rPr>
          <w:rFonts w:ascii="仿宋" w:hAnsi="仿宋" w:eastAsia="仿宋" w:cs="仿宋"/>
          <w:spacing w:val="11"/>
          <w:sz w:val="25"/>
          <w:szCs w:val="25"/>
        </w:rPr>
        <w:t xml:space="preserve"> </w:t>
      </w:r>
      <w:r>
        <w:rPr>
          <w:rFonts w:ascii="仿宋" w:hAnsi="仿宋" w:eastAsia="仿宋" w:cs="仿宋"/>
          <w:spacing w:val="20"/>
          <w:sz w:val="25"/>
          <w:szCs w:val="25"/>
        </w:rPr>
        <w:t>现行业技术跨越的促进作用。</w:t>
      </w:r>
    </w:p>
    <w:p w14:paraId="354AEEF1">
      <w:pPr>
        <w:spacing w:before="80" w:line="267" w:lineRule="auto"/>
        <w:ind w:right="72" w:firstLine="539"/>
        <w:rPr>
          <w:rFonts w:ascii="仿宋" w:hAnsi="仿宋" w:eastAsia="仿宋" w:cs="仿宋"/>
          <w:sz w:val="24"/>
          <w:szCs w:val="24"/>
        </w:rPr>
      </w:pPr>
      <w:r>
        <w:rPr>
          <w:rFonts w:ascii="仿宋" w:hAnsi="仿宋" w:eastAsia="仿宋" w:cs="仿宋"/>
          <w:spacing w:val="5"/>
          <w:sz w:val="27"/>
          <w:szCs w:val="27"/>
        </w:rPr>
        <w:t>②社会公益类项目应突出研究方法和手段上的创新，在本行业中的推广应</w:t>
      </w:r>
      <w:r>
        <w:rPr>
          <w:rFonts w:ascii="仿宋" w:hAnsi="仿宋" w:eastAsia="仿宋" w:cs="仿宋"/>
          <w:spacing w:val="17"/>
          <w:sz w:val="27"/>
          <w:szCs w:val="27"/>
        </w:rPr>
        <w:t xml:space="preserve"> </w:t>
      </w:r>
      <w:r>
        <w:rPr>
          <w:rFonts w:ascii="仿宋" w:hAnsi="仿宋" w:eastAsia="仿宋" w:cs="仿宋"/>
          <w:spacing w:val="32"/>
          <w:sz w:val="24"/>
          <w:szCs w:val="24"/>
        </w:rPr>
        <w:t>用情况以及对促进社会科技进步的作用。</w:t>
      </w:r>
    </w:p>
    <w:p w14:paraId="430C7C27">
      <w:pPr>
        <w:spacing w:before="85" w:line="259" w:lineRule="auto"/>
        <w:ind w:right="69" w:firstLine="539"/>
        <w:rPr>
          <w:rFonts w:ascii="仿宋" w:hAnsi="仿宋" w:eastAsia="仿宋" w:cs="仿宋"/>
          <w:sz w:val="24"/>
          <w:szCs w:val="24"/>
        </w:rPr>
      </w:pPr>
      <w:r>
        <w:rPr>
          <w:rFonts w:ascii="仿宋" w:hAnsi="仿宋" w:eastAsia="仿宋" w:cs="仿宋"/>
          <w:spacing w:val="6"/>
          <w:sz w:val="27"/>
          <w:szCs w:val="27"/>
        </w:rPr>
        <w:t>③国家安全类项目应突出研究开发的难度，技</w:t>
      </w:r>
      <w:r>
        <w:rPr>
          <w:rFonts w:ascii="仿宋" w:hAnsi="仿宋" w:eastAsia="仿宋" w:cs="仿宋"/>
          <w:spacing w:val="5"/>
          <w:sz w:val="27"/>
          <w:szCs w:val="27"/>
        </w:rPr>
        <w:t>术创新程度、战略重要性以</w:t>
      </w:r>
      <w:r>
        <w:rPr>
          <w:rFonts w:ascii="仿宋" w:hAnsi="仿宋" w:eastAsia="仿宋" w:cs="仿宋"/>
          <w:sz w:val="27"/>
          <w:szCs w:val="27"/>
        </w:rPr>
        <w:t xml:space="preserve"> </w:t>
      </w:r>
      <w:r>
        <w:rPr>
          <w:rFonts w:ascii="仿宋" w:hAnsi="仿宋" w:eastAsia="仿宋" w:cs="仿宋"/>
          <w:spacing w:val="32"/>
          <w:sz w:val="24"/>
          <w:szCs w:val="24"/>
        </w:rPr>
        <w:t>及对国防建设和保障国家安全所起到的重大作用。</w:t>
      </w:r>
    </w:p>
    <w:p w14:paraId="046B0A3A">
      <w:pPr>
        <w:spacing w:before="114" w:line="266" w:lineRule="auto"/>
        <w:ind w:right="69" w:firstLine="539"/>
        <w:rPr>
          <w:rFonts w:ascii="仿宋" w:hAnsi="仿宋" w:eastAsia="仿宋" w:cs="仿宋"/>
          <w:sz w:val="24"/>
          <w:szCs w:val="24"/>
        </w:rPr>
      </w:pPr>
      <w:r>
        <w:rPr>
          <w:rFonts w:ascii="仿宋" w:hAnsi="仿宋" w:eastAsia="仿宋" w:cs="仿宋"/>
          <w:spacing w:val="26"/>
          <w:sz w:val="25"/>
          <w:szCs w:val="25"/>
        </w:rPr>
        <w:t>④重大工程类项目应突出团结协作、联合攻关</w:t>
      </w:r>
      <w:r>
        <w:rPr>
          <w:rFonts w:ascii="仿宋" w:hAnsi="仿宋" w:eastAsia="仿宋" w:cs="仿宋"/>
          <w:spacing w:val="25"/>
          <w:sz w:val="25"/>
          <w:szCs w:val="25"/>
        </w:rPr>
        <w:t>在技术和系统管理方面的创</w:t>
      </w:r>
      <w:r>
        <w:rPr>
          <w:rFonts w:ascii="仿宋" w:hAnsi="仿宋" w:eastAsia="仿宋" w:cs="仿宋"/>
          <w:sz w:val="25"/>
          <w:szCs w:val="25"/>
        </w:rPr>
        <w:t xml:space="preserve"> </w:t>
      </w:r>
      <w:r>
        <w:rPr>
          <w:rFonts w:ascii="仿宋" w:hAnsi="仿宋" w:eastAsia="仿宋" w:cs="仿宋"/>
          <w:spacing w:val="25"/>
          <w:sz w:val="24"/>
          <w:szCs w:val="24"/>
        </w:rPr>
        <w:t>新、技术难度和工程复杂程度、总体技术水平和推动行业技术进步的作用。</w:t>
      </w:r>
    </w:p>
    <w:p w14:paraId="73907982">
      <w:pPr>
        <w:pStyle w:val="2"/>
        <w:spacing w:before="86" w:line="264" w:lineRule="auto"/>
        <w:ind w:right="27" w:firstLine="610"/>
      </w:pPr>
      <w:r>
        <w:rPr>
          <w:spacing w:val="-7"/>
        </w:rPr>
        <w:t>(3)“发现、发明及创新点”的填写，是推荐项目和推荐书</w:t>
      </w:r>
      <w:r>
        <w:rPr>
          <w:spacing w:val="-8"/>
        </w:rPr>
        <w:t>的核心部分，也是</w:t>
      </w:r>
      <w:r>
        <w:t xml:space="preserve"> </w:t>
      </w:r>
      <w:r>
        <w:rPr>
          <w:spacing w:val="-11"/>
        </w:rPr>
        <w:t>审查项目，处理争议的关键依据。“发现、发明及创新点”是项目详细内容在创新</w:t>
      </w:r>
      <w:r>
        <w:rPr>
          <w:spacing w:val="16"/>
        </w:rPr>
        <w:t xml:space="preserve"> </w:t>
      </w:r>
      <w:r>
        <w:rPr>
          <w:spacing w:val="-3"/>
        </w:rPr>
        <w:t>性方面的归纳与提练，应简明、准确、完整地阐述，无须用抽象形容词。每个发</w:t>
      </w:r>
      <w:r>
        <w:rPr>
          <w:spacing w:val="15"/>
        </w:rPr>
        <w:t xml:space="preserve"> </w:t>
      </w:r>
      <w:r>
        <w:rPr>
          <w:spacing w:val="-3"/>
        </w:rPr>
        <w:t>现、发明及创新点的提出须是相对独立存在的。</w:t>
      </w:r>
    </w:p>
    <w:p w14:paraId="5DD6C97B">
      <w:pPr>
        <w:pStyle w:val="2"/>
        <w:spacing w:before="90" w:line="279" w:lineRule="auto"/>
        <w:ind w:right="9" w:firstLine="610"/>
        <w:jc w:val="both"/>
      </w:pPr>
      <w:r>
        <w:rPr>
          <w:spacing w:val="-3"/>
        </w:rPr>
        <w:t>国家自然科学奖发现点是指：阐明自然科学研究领域自然的现象、特性或规</w:t>
      </w:r>
      <w:r>
        <w:t xml:space="preserve"> </w:t>
      </w:r>
      <w:r>
        <w:rPr>
          <w:spacing w:val="-10"/>
        </w:rPr>
        <w:t>律方面的发现。即自然现象规律的新认识，科学理论、学说上的创见；原理、</w:t>
      </w:r>
      <w:r>
        <w:rPr>
          <w:spacing w:val="-11"/>
        </w:rPr>
        <w:t>机理</w:t>
      </w:r>
      <w:r>
        <w:t xml:space="preserve"> </w:t>
      </w:r>
      <w:r>
        <w:rPr>
          <w:spacing w:val="5"/>
        </w:rPr>
        <w:t>的进一步阐明；通过基础数据的科学积累总结出的规律性新认识以及研究方法</w:t>
      </w:r>
      <w:r>
        <w:rPr>
          <w:spacing w:val="8"/>
        </w:rPr>
        <w:t xml:space="preserve"> </w:t>
      </w:r>
      <w:r>
        <w:rPr>
          <w:spacing w:val="1"/>
        </w:rPr>
        <w:t>手段上的创新等。</w:t>
      </w:r>
    </w:p>
    <w:p w14:paraId="1E711BD2">
      <w:pPr>
        <w:pStyle w:val="2"/>
        <w:spacing w:before="16" w:line="272" w:lineRule="auto"/>
        <w:ind w:right="11" w:firstLine="610"/>
      </w:pPr>
      <w:r>
        <w:rPr>
          <w:spacing w:val="5"/>
        </w:rPr>
        <w:t>国家技术发明奖发明点是指：前人所没有的具有创造性的关键技术。发明</w:t>
      </w:r>
      <w:r>
        <w:rPr>
          <w:spacing w:val="8"/>
        </w:rPr>
        <w:t xml:space="preserve"> </w:t>
      </w:r>
      <w:r>
        <w:rPr>
          <w:spacing w:val="-8"/>
        </w:rPr>
        <w:t>点应以发明专利和查新报告为依据，发明的原理、效果、意义不要列入。</w:t>
      </w:r>
    </w:p>
    <w:p w14:paraId="5FA1A4A9">
      <w:pPr>
        <w:pStyle w:val="2"/>
        <w:spacing w:before="3" w:line="278" w:lineRule="auto"/>
        <w:ind w:firstLine="613"/>
      </w:pPr>
      <w:r>
        <w:rPr>
          <w:b/>
          <w:bCs/>
          <w:spacing w:val="-4"/>
        </w:rPr>
        <w:t>国家科学技术进步奖创新点是指：</w:t>
      </w:r>
      <w:r>
        <w:rPr>
          <w:spacing w:val="-4"/>
        </w:rPr>
        <w:t>在研究、开发、推广以及产业</w:t>
      </w:r>
      <w:r>
        <w:rPr>
          <w:spacing w:val="-5"/>
        </w:rPr>
        <w:t>化中作出的</w:t>
      </w:r>
      <w:r>
        <w:t xml:space="preserve"> </w:t>
      </w:r>
      <w:r>
        <w:rPr>
          <w:spacing w:val="2"/>
        </w:rPr>
        <w:t>创造性贡献和解决的关键技术。</w:t>
      </w:r>
    </w:p>
    <w:p w14:paraId="5B409CD0">
      <w:pPr>
        <w:pStyle w:val="2"/>
        <w:spacing w:before="8" w:line="250" w:lineRule="auto"/>
        <w:ind w:right="27" w:firstLine="610"/>
      </w:pPr>
      <w:r>
        <w:rPr>
          <w:spacing w:val="17"/>
        </w:rPr>
        <w:t>(4)“保密要点”是指推荐项目的详细科学技术内容中需要保密的技术</w:t>
      </w:r>
      <w:r>
        <w:rPr>
          <w:spacing w:val="12"/>
        </w:rPr>
        <w:t xml:space="preserve"> </w:t>
      </w:r>
      <w:r>
        <w:rPr>
          <w:spacing w:val="-6"/>
        </w:rPr>
        <w:t>内容。</w:t>
      </w:r>
    </w:p>
    <w:p w14:paraId="1276CEBA">
      <w:pPr>
        <w:pStyle w:val="2"/>
        <w:spacing w:before="96" w:line="254" w:lineRule="auto"/>
        <w:ind w:right="17" w:firstLine="610"/>
      </w:pPr>
      <w:r>
        <w:rPr>
          <w:spacing w:val="5"/>
        </w:rPr>
        <w:t>(5)“与当前国内外同类研究、同类技术的综合比较”,</w:t>
      </w:r>
      <w:r>
        <w:rPr>
          <w:spacing w:val="4"/>
        </w:rPr>
        <w:t>应就推荐项目的总</w:t>
      </w:r>
      <w:r>
        <w:t xml:space="preserve"> </w:t>
      </w:r>
      <w:r>
        <w:rPr>
          <w:spacing w:val="13"/>
        </w:rPr>
        <w:t>体科学技术水平、主要技术经济指标同当前国内外先进的同类研究和同类技</w:t>
      </w:r>
    </w:p>
    <w:p w14:paraId="62714A19">
      <w:pPr>
        <w:spacing w:line="254" w:lineRule="auto"/>
        <w:sectPr>
          <w:footerReference r:id="rId671" w:type="default"/>
          <w:pgSz w:w="11910" w:h="17130"/>
          <w:pgMar w:top="1363" w:right="849" w:bottom="1753" w:left="1630" w:header="0" w:footer="1554" w:gutter="0"/>
          <w:cols w:space="720" w:num="1"/>
        </w:sectPr>
      </w:pPr>
    </w:p>
    <w:p w14:paraId="49D18720">
      <w:pPr>
        <w:pStyle w:val="2"/>
        <w:spacing w:before="51" w:line="279" w:lineRule="auto"/>
        <w:ind w:right="165"/>
        <w:rPr>
          <w:sz w:val="25"/>
          <w:szCs w:val="25"/>
        </w:rPr>
      </w:pPr>
      <w:r>
        <w:rPr>
          <w:spacing w:val="25"/>
          <w:sz w:val="25"/>
          <w:szCs w:val="25"/>
        </w:rPr>
        <w:t>术用数据或图表方式进行全面比较，加以综合叙述</w:t>
      </w:r>
      <w:r>
        <w:rPr>
          <w:spacing w:val="24"/>
          <w:sz w:val="25"/>
          <w:szCs w:val="25"/>
        </w:rPr>
        <w:t>，并指出存在的问题及改进</w:t>
      </w:r>
      <w:r>
        <w:rPr>
          <w:sz w:val="25"/>
          <w:szCs w:val="25"/>
        </w:rPr>
        <w:t xml:space="preserve"> </w:t>
      </w:r>
      <w:r>
        <w:rPr>
          <w:spacing w:val="11"/>
          <w:sz w:val="25"/>
          <w:szCs w:val="25"/>
        </w:rPr>
        <w:t>措施。</w:t>
      </w:r>
    </w:p>
    <w:p w14:paraId="7DDCAEC3">
      <w:pPr>
        <w:pStyle w:val="2"/>
        <w:spacing w:line="265" w:lineRule="auto"/>
        <w:ind w:firstLine="539"/>
      </w:pPr>
      <w:r>
        <w:rPr>
          <w:spacing w:val="5"/>
        </w:rPr>
        <w:t>(6)“应用情况”,推荐国家自然科学奖的项目应就该项目的科学结论在国</w:t>
      </w:r>
      <w:r>
        <w:rPr>
          <w:spacing w:val="3"/>
        </w:rPr>
        <w:t xml:space="preserve">  </w:t>
      </w:r>
      <w:r>
        <w:rPr>
          <w:spacing w:val="5"/>
        </w:rPr>
        <w:t>内外公开发行的书刊中的评价及引用情况进行阐述。推荐国家技术发明奖、国.</w:t>
      </w:r>
      <w:r>
        <w:rPr>
          <w:spacing w:val="14"/>
        </w:rPr>
        <w:t xml:space="preserve"> </w:t>
      </w:r>
      <w:r>
        <w:t>家科学技术进步奖应就推荐项目的应用、推广情况及预期应用前景进行阐述。</w:t>
      </w:r>
    </w:p>
    <w:p w14:paraId="41887D86">
      <w:pPr>
        <w:pStyle w:val="2"/>
        <w:spacing w:before="100" w:line="253" w:lineRule="auto"/>
        <w:ind w:right="144" w:firstLine="539"/>
      </w:pPr>
      <w:r>
        <w:rPr>
          <w:spacing w:val="1"/>
        </w:rPr>
        <w:t>(7)“经济效益情况表”栏中填写的数字应以主要生产、应用单位财务部门</w:t>
      </w:r>
      <w:r>
        <w:rPr>
          <w:spacing w:val="10"/>
        </w:rPr>
        <w:t xml:space="preserve"> </w:t>
      </w:r>
      <w:r>
        <w:rPr>
          <w:spacing w:val="5"/>
        </w:rPr>
        <w:t>核准的数额为基本依据，并必须切实反映由于采用该项目</w:t>
      </w:r>
      <w:r>
        <w:rPr>
          <w:spacing w:val="4"/>
        </w:rPr>
        <w:t>后在推荐前三年所取</w:t>
      </w:r>
      <w:r>
        <w:t xml:space="preserve"> </w:t>
      </w:r>
      <w:r>
        <w:rPr>
          <w:spacing w:val="4"/>
        </w:rPr>
        <w:t>得的新增直接效益。推荐国家自然科学奖项目不需要填此栏目。</w:t>
      </w:r>
    </w:p>
    <w:p w14:paraId="28BE7893">
      <w:pPr>
        <w:pStyle w:val="2"/>
        <w:spacing w:before="90" w:line="278" w:lineRule="auto"/>
        <w:ind w:right="133" w:firstLine="539"/>
        <w:jc w:val="both"/>
      </w:pPr>
      <w:r>
        <w:rPr>
          <w:spacing w:val="5"/>
        </w:rPr>
        <w:t>各栏目的计算依据，应就生产或应用该项目后产生的直接累计净增效益以</w:t>
      </w:r>
      <w:r>
        <w:rPr>
          <w:spacing w:val="13"/>
        </w:rPr>
        <w:t xml:space="preserve"> </w:t>
      </w:r>
      <w:r>
        <w:rPr>
          <w:spacing w:val="-2"/>
        </w:rPr>
        <w:t>及提高产品质量、提高劳动生产率等作出简要说明，并具</w:t>
      </w:r>
      <w:r>
        <w:rPr>
          <w:spacing w:val="-3"/>
        </w:rPr>
        <w:t>体列出本表所填各项效</w:t>
      </w:r>
      <w:r>
        <w:t xml:space="preserve"> </w:t>
      </w:r>
      <w:r>
        <w:rPr>
          <w:spacing w:val="1"/>
        </w:rPr>
        <w:t>益额的计算方法和计算依据。</w:t>
      </w:r>
    </w:p>
    <w:p w14:paraId="43DC2555">
      <w:pPr>
        <w:pStyle w:val="2"/>
        <w:spacing w:before="9" w:line="275" w:lineRule="auto"/>
        <w:ind w:right="40" w:firstLine="404"/>
        <w:jc w:val="both"/>
      </w:pPr>
      <w:r>
        <w:rPr>
          <w:spacing w:val="-4"/>
        </w:rPr>
        <w:t>“社会效益”是指推荐项目在推动科学技术进步，保护自然资源或生态环境；</w:t>
      </w:r>
      <w:r>
        <w:rPr>
          <w:spacing w:val="15"/>
        </w:rPr>
        <w:t xml:space="preserve"> </w:t>
      </w:r>
      <w:r>
        <w:rPr>
          <w:spacing w:val="-10"/>
        </w:rPr>
        <w:t>提高国防能力；保障国家和社会安全；改善人民物质、文化、生活及健康水平等方</w:t>
      </w:r>
      <w:r>
        <w:rPr>
          <w:spacing w:val="9"/>
        </w:rPr>
        <w:t xml:space="preserve"> </w:t>
      </w:r>
      <w:r>
        <w:rPr>
          <w:spacing w:val="-5"/>
        </w:rPr>
        <w:t>面所起的作用，应扼要地作出说明。</w:t>
      </w:r>
    </w:p>
    <w:p w14:paraId="1DA741E4">
      <w:pPr>
        <w:spacing w:line="221" w:lineRule="auto"/>
        <w:ind w:left="543"/>
        <w:outlineLvl w:val="3"/>
        <w:rPr>
          <w:rFonts w:ascii="黑体" w:hAnsi="黑体" w:eastAsia="黑体" w:cs="黑体"/>
          <w:sz w:val="27"/>
          <w:szCs w:val="27"/>
        </w:rPr>
      </w:pPr>
      <w:r>
        <w:rPr>
          <w:rFonts w:ascii="黑体" w:hAnsi="黑体" w:eastAsia="黑体" w:cs="黑体"/>
          <w:b/>
          <w:bCs/>
          <w:spacing w:val="-4"/>
          <w:sz w:val="27"/>
          <w:szCs w:val="27"/>
        </w:rPr>
        <w:t>四、本项目曾获科技奖励情况</w:t>
      </w:r>
    </w:p>
    <w:p w14:paraId="1578D188">
      <w:pPr>
        <w:pStyle w:val="2"/>
        <w:spacing w:before="100" w:line="272" w:lineRule="auto"/>
        <w:ind w:right="181" w:firstLine="404"/>
      </w:pPr>
      <w:r>
        <w:t>“本项目曾获科技奖励情况”应填写获得国家、军队(省部)的科技奖励及经</w:t>
      </w:r>
      <w:r>
        <w:rPr>
          <w:spacing w:val="7"/>
        </w:rPr>
        <w:t xml:space="preserve"> </w:t>
      </w:r>
      <w:r>
        <w:rPr>
          <w:spacing w:val="3"/>
        </w:rPr>
        <w:t>登记常设的社会力量设立的科技奖的情况。</w:t>
      </w:r>
    </w:p>
    <w:p w14:paraId="1D29AE4A">
      <w:pPr>
        <w:spacing w:before="1" w:line="221" w:lineRule="auto"/>
        <w:ind w:left="543"/>
        <w:outlineLvl w:val="3"/>
        <w:rPr>
          <w:rFonts w:ascii="黑体" w:hAnsi="黑体" w:eastAsia="黑体" w:cs="黑体"/>
          <w:sz w:val="27"/>
          <w:szCs w:val="27"/>
        </w:rPr>
      </w:pPr>
      <w:r>
        <w:rPr>
          <w:rFonts w:ascii="黑体" w:hAnsi="黑体" w:eastAsia="黑体" w:cs="黑体"/>
          <w:b/>
          <w:bCs/>
          <w:spacing w:val="-13"/>
          <w:sz w:val="27"/>
          <w:szCs w:val="27"/>
        </w:rPr>
        <w:t>五、专利情况</w:t>
      </w:r>
    </w:p>
    <w:p w14:paraId="2B7A8E92">
      <w:pPr>
        <w:pStyle w:val="2"/>
        <w:spacing w:before="108" w:line="292" w:lineRule="auto"/>
        <w:ind w:right="159" w:firstLine="414"/>
        <w:rPr>
          <w:sz w:val="25"/>
          <w:szCs w:val="25"/>
        </w:rPr>
      </w:pPr>
      <w:r>
        <w:rPr>
          <w:spacing w:val="21"/>
          <w:sz w:val="25"/>
          <w:szCs w:val="25"/>
        </w:rPr>
        <w:t>“专利情况”应包括推荐项目中所含的全部</w:t>
      </w:r>
      <w:r>
        <w:rPr>
          <w:spacing w:val="20"/>
          <w:sz w:val="25"/>
          <w:szCs w:val="25"/>
        </w:rPr>
        <w:t>专利申请情况及已获得的国内外</w:t>
      </w:r>
      <w:r>
        <w:rPr>
          <w:sz w:val="25"/>
          <w:szCs w:val="25"/>
        </w:rPr>
        <w:t xml:space="preserve"> </w:t>
      </w:r>
      <w:r>
        <w:rPr>
          <w:spacing w:val="11"/>
          <w:sz w:val="25"/>
          <w:szCs w:val="25"/>
        </w:rPr>
        <w:t>专利。</w:t>
      </w:r>
    </w:p>
    <w:p w14:paraId="45479154">
      <w:pPr>
        <w:spacing w:before="25" w:line="221" w:lineRule="auto"/>
        <w:ind w:left="543"/>
        <w:outlineLvl w:val="3"/>
        <w:rPr>
          <w:rFonts w:ascii="黑体" w:hAnsi="黑体" w:eastAsia="黑体" w:cs="黑体"/>
          <w:sz w:val="24"/>
          <w:szCs w:val="24"/>
        </w:rPr>
      </w:pPr>
      <w:r>
        <w:rPr>
          <w:rFonts w:ascii="黑体" w:hAnsi="黑体" w:eastAsia="黑体" w:cs="黑体"/>
          <w:b/>
          <w:bCs/>
          <w:spacing w:val="18"/>
          <w:sz w:val="24"/>
          <w:szCs w:val="24"/>
        </w:rPr>
        <w:t>六</w:t>
      </w:r>
      <w:r>
        <w:rPr>
          <w:rFonts w:ascii="黑体" w:hAnsi="黑体" w:eastAsia="黑体" w:cs="黑体"/>
          <w:spacing w:val="-44"/>
          <w:sz w:val="24"/>
          <w:szCs w:val="24"/>
        </w:rPr>
        <w:t xml:space="preserve"> </w:t>
      </w:r>
      <w:r>
        <w:rPr>
          <w:rFonts w:ascii="黑体" w:hAnsi="黑体" w:eastAsia="黑体" w:cs="黑体"/>
          <w:b/>
          <w:bCs/>
          <w:spacing w:val="18"/>
          <w:sz w:val="24"/>
          <w:szCs w:val="24"/>
        </w:rPr>
        <w:t>、主要完成人情况表</w:t>
      </w:r>
    </w:p>
    <w:p w14:paraId="72837917">
      <w:pPr>
        <w:pStyle w:val="2"/>
        <w:spacing w:before="88" w:line="290" w:lineRule="auto"/>
        <w:ind w:right="132" w:firstLine="404"/>
      </w:pPr>
      <w:r>
        <w:rPr>
          <w:spacing w:val="2"/>
        </w:rPr>
        <w:t>“主要完成人情况表”是核实完成人是否具备获奖条</w:t>
      </w:r>
      <w:r>
        <w:rPr>
          <w:spacing w:val="1"/>
        </w:rPr>
        <w:t>件的重要依据，应按表</w:t>
      </w:r>
      <w:r>
        <w:t xml:space="preserve"> 格要求逐项填写。</w:t>
      </w:r>
    </w:p>
    <w:p w14:paraId="04C84E7A">
      <w:pPr>
        <w:pStyle w:val="2"/>
        <w:spacing w:before="13" w:line="269" w:lineRule="auto"/>
        <w:ind w:right="133" w:firstLine="404"/>
      </w:pPr>
      <w:r>
        <w:rPr>
          <w:spacing w:val="10"/>
        </w:rPr>
        <w:t>“创造性贡献”一栏应如实地写明该完成人对本项目独立作出的创造性贡</w:t>
      </w:r>
      <w:r>
        <w:rPr>
          <w:spacing w:val="5"/>
        </w:rPr>
        <w:t xml:space="preserve"> </w:t>
      </w:r>
      <w:r>
        <w:rPr>
          <w:spacing w:val="-18"/>
        </w:rPr>
        <w:t>献，并与“发现、发明及创新点”栏中的内容相对应。</w:t>
      </w:r>
    </w:p>
    <w:p w14:paraId="17DAA1A5">
      <w:pPr>
        <w:spacing w:before="27" w:line="221" w:lineRule="auto"/>
        <w:ind w:left="543"/>
        <w:outlineLvl w:val="3"/>
        <w:rPr>
          <w:rFonts w:ascii="黑体" w:hAnsi="黑体" w:eastAsia="黑体" w:cs="黑体"/>
          <w:sz w:val="24"/>
          <w:szCs w:val="24"/>
        </w:rPr>
      </w:pPr>
      <w:r>
        <w:rPr>
          <w:rFonts w:ascii="黑体" w:hAnsi="黑体" w:eastAsia="黑体" w:cs="黑体"/>
          <w:b/>
          <w:bCs/>
          <w:spacing w:val="26"/>
          <w:sz w:val="24"/>
          <w:szCs w:val="24"/>
        </w:rPr>
        <w:t>七、主要完成单位情况表</w:t>
      </w:r>
    </w:p>
    <w:p w14:paraId="17B9CBB4">
      <w:pPr>
        <w:pStyle w:val="2"/>
        <w:spacing w:before="128" w:line="261" w:lineRule="auto"/>
        <w:ind w:right="161" w:firstLine="404"/>
        <w:jc w:val="both"/>
      </w:pPr>
      <w:r>
        <w:rPr>
          <w:spacing w:val="9"/>
        </w:rPr>
        <w:t xml:space="preserve">“主要完成单位情况表”是核实推荐国家科学技术进步奖主要完成单位是 </w:t>
      </w:r>
      <w:r>
        <w:rPr>
          <w:spacing w:val="13"/>
        </w:rPr>
        <w:t>否具备获奖条件的重要依据，应准确无误，并在单位名称栏内加盖完成单位</w:t>
      </w:r>
      <w:r>
        <w:t xml:space="preserve"> </w:t>
      </w:r>
      <w:r>
        <w:rPr>
          <w:spacing w:val="-4"/>
        </w:rPr>
        <w:t>公章。</w:t>
      </w:r>
    </w:p>
    <w:p w14:paraId="5C1DEF87">
      <w:pPr>
        <w:pStyle w:val="2"/>
        <w:spacing w:before="45" w:line="219" w:lineRule="auto"/>
        <w:ind w:left="404"/>
      </w:pPr>
      <w:r>
        <w:t>“主要贡献”一栏应如实地写明该完成单位对本项目作出的主要贡献。</w:t>
      </w:r>
    </w:p>
    <w:p w14:paraId="784D958E">
      <w:pPr>
        <w:spacing w:before="75" w:line="221" w:lineRule="auto"/>
        <w:ind w:left="543"/>
        <w:outlineLvl w:val="3"/>
        <w:rPr>
          <w:rFonts w:ascii="黑体" w:hAnsi="黑体" w:eastAsia="黑体" w:cs="黑体"/>
          <w:sz w:val="27"/>
          <w:szCs w:val="27"/>
        </w:rPr>
      </w:pPr>
      <w:r>
        <w:rPr>
          <w:rFonts w:ascii="黑体" w:hAnsi="黑体" w:eastAsia="黑体" w:cs="黑体"/>
          <w:b/>
          <w:bCs/>
          <w:spacing w:val="-4"/>
          <w:sz w:val="27"/>
          <w:szCs w:val="27"/>
        </w:rPr>
        <w:t>八、推荐评审意见</w:t>
      </w:r>
    </w:p>
    <w:p w14:paraId="456B9C72">
      <w:pPr>
        <w:pStyle w:val="2"/>
        <w:spacing w:before="104" w:line="281" w:lineRule="auto"/>
        <w:ind w:right="40" w:firstLine="404"/>
        <w:jc w:val="both"/>
      </w:pPr>
      <w:r>
        <w:t>“推荐意见”由推荐单位或者具有推荐资格的专家填写，不超过800个汉字，</w:t>
      </w:r>
      <w:r>
        <w:rPr>
          <w:spacing w:val="13"/>
        </w:rPr>
        <w:t xml:space="preserve"> </w:t>
      </w:r>
      <w:r>
        <w:rPr>
          <w:spacing w:val="-3"/>
        </w:rPr>
        <w:t>内容包括：根据项目创造性特点，科学技术水平和应用情况并参照相</w:t>
      </w:r>
      <w:r>
        <w:rPr>
          <w:spacing w:val="-4"/>
        </w:rPr>
        <w:t>应奖种条件</w:t>
      </w:r>
      <w:r>
        <w:t xml:space="preserve">  </w:t>
      </w:r>
      <w:r>
        <w:rPr>
          <w:spacing w:val="3"/>
        </w:rPr>
        <w:t>写明推荐理由和结论性意见。</w:t>
      </w:r>
    </w:p>
    <w:p w14:paraId="5FB7549A">
      <w:pPr>
        <w:spacing w:line="281" w:lineRule="auto"/>
        <w:sectPr>
          <w:footerReference r:id="rId672" w:type="default"/>
          <w:pgSz w:w="11910" w:h="17130"/>
          <w:pgMar w:top="1330" w:right="1344" w:bottom="1843" w:left="1059" w:header="0" w:footer="1645" w:gutter="0"/>
          <w:cols w:space="720" w:num="1"/>
        </w:sectPr>
      </w:pPr>
    </w:p>
    <w:p w14:paraId="0B83A08C">
      <w:pPr>
        <w:spacing w:before="48" w:line="223" w:lineRule="auto"/>
        <w:ind w:left="560"/>
        <w:rPr>
          <w:rFonts w:ascii="黑体" w:hAnsi="黑体" w:eastAsia="黑体" w:cs="黑体"/>
          <w:sz w:val="24"/>
          <w:szCs w:val="24"/>
        </w:rPr>
      </w:pPr>
      <w:r>
        <w:rPr>
          <w:rFonts w:ascii="黑体" w:hAnsi="黑体" w:eastAsia="黑体" w:cs="黑体"/>
          <w:spacing w:val="-24"/>
          <w:sz w:val="24"/>
          <w:szCs w:val="24"/>
        </w:rPr>
        <w:t>九</w:t>
      </w:r>
      <w:r>
        <w:rPr>
          <w:rFonts w:ascii="黑体" w:hAnsi="黑体" w:eastAsia="黑体" w:cs="黑体"/>
          <w:spacing w:val="-30"/>
          <w:sz w:val="24"/>
          <w:szCs w:val="24"/>
        </w:rPr>
        <w:t xml:space="preserve"> </w:t>
      </w:r>
      <w:r>
        <w:rPr>
          <w:rFonts w:ascii="黑体" w:hAnsi="黑体" w:eastAsia="黑体" w:cs="黑体"/>
          <w:spacing w:val="-24"/>
          <w:sz w:val="24"/>
          <w:szCs w:val="24"/>
        </w:rPr>
        <w:t>、</w:t>
      </w:r>
      <w:r>
        <w:rPr>
          <w:rFonts w:ascii="黑体" w:hAnsi="黑体" w:eastAsia="黑体" w:cs="黑体"/>
          <w:b/>
          <w:bCs/>
          <w:spacing w:val="-24"/>
          <w:sz w:val="24"/>
          <w:szCs w:val="24"/>
        </w:rPr>
        <w:t>附</w:t>
      </w:r>
      <w:r>
        <w:rPr>
          <w:rFonts w:ascii="黑体" w:hAnsi="黑体" w:eastAsia="黑体" w:cs="黑体"/>
          <w:spacing w:val="-35"/>
          <w:sz w:val="24"/>
          <w:szCs w:val="24"/>
        </w:rPr>
        <w:t xml:space="preserve"> </w:t>
      </w:r>
      <w:r>
        <w:rPr>
          <w:rFonts w:ascii="黑体" w:hAnsi="黑体" w:eastAsia="黑体" w:cs="黑体"/>
          <w:b/>
          <w:bCs/>
          <w:spacing w:val="-24"/>
          <w:sz w:val="24"/>
          <w:szCs w:val="24"/>
        </w:rPr>
        <w:t>件</w:t>
      </w:r>
    </w:p>
    <w:p w14:paraId="19317937">
      <w:pPr>
        <w:pStyle w:val="2"/>
        <w:spacing w:before="100" w:line="219" w:lineRule="auto"/>
        <w:ind w:left="560"/>
      </w:pPr>
      <w:r>
        <w:rPr>
          <w:spacing w:val="-1"/>
        </w:rPr>
        <w:t>国家技术发明奖附件：</w:t>
      </w:r>
    </w:p>
    <w:p w14:paraId="589632C5">
      <w:pPr>
        <w:pStyle w:val="2"/>
        <w:spacing w:before="78" w:line="217" w:lineRule="auto"/>
        <w:ind w:left="560"/>
      </w:pPr>
      <w:r>
        <w:rPr>
          <w:spacing w:val="7"/>
        </w:rPr>
        <w:t>①发明专利证书及发明权利要求书或查新报告的复印件；</w:t>
      </w:r>
    </w:p>
    <w:p w14:paraId="3DD2C81E">
      <w:pPr>
        <w:pStyle w:val="2"/>
        <w:spacing w:before="82" w:line="217" w:lineRule="auto"/>
        <w:ind w:left="560"/>
      </w:pPr>
      <w:r>
        <w:rPr>
          <w:spacing w:val="11"/>
        </w:rPr>
        <w:t>②技术评价证明；</w:t>
      </w:r>
    </w:p>
    <w:p w14:paraId="78BC27D3">
      <w:pPr>
        <w:pStyle w:val="2"/>
        <w:spacing w:before="92" w:line="217" w:lineRule="auto"/>
        <w:ind w:left="560"/>
      </w:pPr>
      <w:r>
        <w:rPr>
          <w:spacing w:val="12"/>
        </w:rPr>
        <w:t>③应用证明。</w:t>
      </w:r>
    </w:p>
    <w:p w14:paraId="3E93B319">
      <w:pPr>
        <w:pStyle w:val="2"/>
        <w:spacing w:before="84" w:line="219" w:lineRule="auto"/>
        <w:ind w:left="560"/>
      </w:pPr>
      <w:r>
        <w:t>国家科学技术进步奖附件：</w:t>
      </w:r>
    </w:p>
    <w:p w14:paraId="613088AE">
      <w:pPr>
        <w:pStyle w:val="2"/>
        <w:spacing w:before="99" w:line="217" w:lineRule="auto"/>
        <w:ind w:left="560"/>
      </w:pPr>
      <w:r>
        <w:rPr>
          <w:spacing w:val="11"/>
        </w:rPr>
        <w:t>①技术评价证明；</w:t>
      </w:r>
    </w:p>
    <w:p w14:paraId="7F065596">
      <w:pPr>
        <w:pStyle w:val="2"/>
        <w:spacing w:before="72" w:line="217" w:lineRule="auto"/>
        <w:ind w:left="560"/>
      </w:pPr>
      <w:r>
        <w:rPr>
          <w:spacing w:val="12"/>
        </w:rPr>
        <w:t>②应用证明。</w:t>
      </w:r>
    </w:p>
    <w:p w14:paraId="24AA8D08">
      <w:pPr>
        <w:pStyle w:val="2"/>
        <w:spacing w:before="93" w:line="289" w:lineRule="auto"/>
        <w:ind w:firstLine="560"/>
      </w:pPr>
      <w:r>
        <w:rPr>
          <w:spacing w:val="5"/>
        </w:rPr>
        <w:t>推荐国家技术发明奖项目查新报告，应由指定的查新单位按推荐国家技术</w:t>
      </w:r>
      <w:r>
        <w:rPr>
          <w:spacing w:val="1"/>
        </w:rPr>
        <w:t xml:space="preserve"> </w:t>
      </w:r>
      <w:r>
        <w:rPr>
          <w:spacing w:val="3"/>
        </w:rPr>
        <w:t>发明奖项目的要求提供查新报告。</w:t>
      </w:r>
    </w:p>
    <w:p w14:paraId="669D725C">
      <w:pPr>
        <w:spacing w:line="289" w:lineRule="auto"/>
        <w:sectPr>
          <w:footerReference r:id="rId673" w:type="default"/>
          <w:pgSz w:w="11910" w:h="17130"/>
          <w:pgMar w:top="1450" w:right="1057" w:bottom="1740" w:left="1489" w:header="0" w:footer="1454" w:gutter="0"/>
          <w:cols w:space="720" w:num="1"/>
        </w:sectPr>
      </w:pPr>
    </w:p>
    <w:p w14:paraId="4AC87C57">
      <w:pPr>
        <w:spacing w:line="266" w:lineRule="auto"/>
        <w:rPr>
          <w:rFonts w:ascii="Arial"/>
          <w:sz w:val="21"/>
        </w:rPr>
      </w:pPr>
    </w:p>
    <w:p w14:paraId="6D8D4983">
      <w:pPr>
        <w:spacing w:line="266" w:lineRule="auto"/>
        <w:rPr>
          <w:rFonts w:ascii="Arial"/>
          <w:sz w:val="21"/>
        </w:rPr>
      </w:pPr>
    </w:p>
    <w:p w14:paraId="6499BF63">
      <w:pPr>
        <w:spacing w:line="266" w:lineRule="auto"/>
        <w:rPr>
          <w:rFonts w:ascii="Arial"/>
          <w:sz w:val="21"/>
        </w:rPr>
      </w:pPr>
    </w:p>
    <w:p w14:paraId="7AB2A608">
      <w:pPr>
        <w:spacing w:line="267" w:lineRule="auto"/>
        <w:rPr>
          <w:rFonts w:ascii="Arial"/>
          <w:sz w:val="21"/>
        </w:rPr>
      </w:pPr>
    </w:p>
    <w:p w14:paraId="1E5C2E0D">
      <w:pPr>
        <w:spacing w:before="130" w:line="222" w:lineRule="auto"/>
        <w:ind w:left="3565"/>
        <w:rPr>
          <w:rFonts w:ascii="黑体" w:hAnsi="黑体" w:eastAsia="黑体" w:cs="黑体"/>
          <w:sz w:val="40"/>
          <w:szCs w:val="40"/>
        </w:rPr>
      </w:pPr>
      <w:r>
        <w:rPr>
          <w:rFonts w:ascii="黑体" w:hAnsi="黑体" w:eastAsia="黑体" w:cs="黑体"/>
          <w:b/>
          <w:bCs/>
          <w:spacing w:val="-18"/>
          <w:sz w:val="40"/>
          <w:szCs w:val="40"/>
        </w:rPr>
        <w:t>参</w:t>
      </w:r>
      <w:r>
        <w:rPr>
          <w:rFonts w:ascii="黑体" w:hAnsi="黑体" w:eastAsia="黑体" w:cs="黑体"/>
          <w:spacing w:val="37"/>
          <w:sz w:val="40"/>
          <w:szCs w:val="40"/>
        </w:rPr>
        <w:t xml:space="preserve"> </w:t>
      </w:r>
      <w:r>
        <w:rPr>
          <w:rFonts w:ascii="黑体" w:hAnsi="黑体" w:eastAsia="黑体" w:cs="黑体"/>
          <w:b/>
          <w:bCs/>
          <w:spacing w:val="-18"/>
          <w:sz w:val="40"/>
          <w:szCs w:val="40"/>
        </w:rPr>
        <w:t>考</w:t>
      </w:r>
      <w:r>
        <w:rPr>
          <w:rFonts w:ascii="黑体" w:hAnsi="黑体" w:eastAsia="黑体" w:cs="黑体"/>
          <w:spacing w:val="39"/>
          <w:sz w:val="40"/>
          <w:szCs w:val="40"/>
        </w:rPr>
        <w:t xml:space="preserve"> </w:t>
      </w:r>
      <w:r>
        <w:rPr>
          <w:rFonts w:ascii="黑体" w:hAnsi="黑体" w:eastAsia="黑体" w:cs="黑体"/>
          <w:b/>
          <w:bCs/>
          <w:spacing w:val="-18"/>
          <w:sz w:val="40"/>
          <w:szCs w:val="40"/>
        </w:rPr>
        <w:t>文</w:t>
      </w:r>
      <w:r>
        <w:rPr>
          <w:rFonts w:ascii="黑体" w:hAnsi="黑体" w:eastAsia="黑体" w:cs="黑体"/>
          <w:spacing w:val="34"/>
          <w:sz w:val="40"/>
          <w:szCs w:val="40"/>
        </w:rPr>
        <w:t xml:space="preserve"> </w:t>
      </w:r>
      <w:r>
        <w:rPr>
          <w:rFonts w:ascii="黑体" w:hAnsi="黑体" w:eastAsia="黑体" w:cs="黑体"/>
          <w:b/>
          <w:bCs/>
          <w:spacing w:val="-18"/>
          <w:sz w:val="40"/>
          <w:szCs w:val="40"/>
        </w:rPr>
        <w:t>献</w:t>
      </w:r>
    </w:p>
    <w:p w14:paraId="3698A6BA">
      <w:pPr>
        <w:spacing w:line="273" w:lineRule="auto"/>
        <w:rPr>
          <w:rFonts w:ascii="Arial"/>
          <w:sz w:val="21"/>
        </w:rPr>
      </w:pPr>
    </w:p>
    <w:p w14:paraId="028DF3A9">
      <w:pPr>
        <w:spacing w:line="273" w:lineRule="auto"/>
        <w:rPr>
          <w:rFonts w:ascii="Arial"/>
          <w:sz w:val="21"/>
        </w:rPr>
      </w:pPr>
    </w:p>
    <w:p w14:paraId="322E043F">
      <w:pPr>
        <w:spacing w:line="273" w:lineRule="auto"/>
        <w:rPr>
          <w:rFonts w:ascii="Arial"/>
          <w:sz w:val="21"/>
        </w:rPr>
      </w:pPr>
    </w:p>
    <w:p w14:paraId="2C7BD5A7">
      <w:pPr>
        <w:pStyle w:val="2"/>
        <w:spacing w:before="65" w:line="212" w:lineRule="auto"/>
        <w:rPr>
          <w:sz w:val="20"/>
          <w:szCs w:val="20"/>
        </w:rPr>
      </w:pPr>
      <w:r>
        <w:rPr>
          <w:rFonts w:ascii="Times New Roman" w:hAnsi="Times New Roman" w:eastAsia="Times New Roman" w:cs="Times New Roman"/>
          <w:spacing w:val="5"/>
          <w:sz w:val="20"/>
          <w:szCs w:val="20"/>
        </w:rPr>
        <w:t>[1]</w:t>
      </w:r>
      <w:r>
        <w:rPr>
          <w:rFonts w:ascii="Times New Roman" w:hAnsi="Times New Roman" w:eastAsia="Times New Roman" w:cs="Times New Roman"/>
          <w:sz w:val="20"/>
          <w:szCs w:val="20"/>
        </w:rPr>
        <w:t>G</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5"/>
          <w:sz w:val="20"/>
          <w:szCs w:val="20"/>
        </w:rPr>
        <w:t>3100—1993.</w:t>
      </w:r>
      <w:r>
        <w:rPr>
          <w:spacing w:val="5"/>
          <w:sz w:val="20"/>
          <w:szCs w:val="20"/>
        </w:rPr>
        <w:t>量和单位.国际单位制及其应</w:t>
      </w:r>
      <w:r>
        <w:rPr>
          <w:spacing w:val="4"/>
          <w:sz w:val="20"/>
          <w:szCs w:val="20"/>
        </w:rPr>
        <w:t>用.1993.</w:t>
      </w:r>
    </w:p>
    <w:p w14:paraId="57481C04">
      <w:pPr>
        <w:pStyle w:val="2"/>
        <w:spacing w:before="109" w:line="219" w:lineRule="auto"/>
        <w:rPr>
          <w:sz w:val="20"/>
          <w:szCs w:val="20"/>
        </w:rPr>
      </w:pPr>
      <w:r>
        <w:rPr>
          <w:spacing w:val="3"/>
          <w:sz w:val="20"/>
          <w:szCs w:val="20"/>
        </w:rPr>
        <w:t xml:space="preserve">[2]  </w:t>
      </w:r>
      <w:r>
        <w:rPr>
          <w:rFonts w:ascii="Times New Roman" w:hAnsi="Times New Roman" w:eastAsia="Times New Roman" w:cs="Times New Roman"/>
          <w:sz w:val="20"/>
          <w:szCs w:val="20"/>
        </w:rPr>
        <w:t>GB</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3"/>
          <w:sz w:val="20"/>
          <w:szCs w:val="20"/>
        </w:rPr>
        <w:t>3101—1993.</w:t>
      </w:r>
      <w:r>
        <w:rPr>
          <w:rFonts w:ascii="Times New Roman" w:hAnsi="Times New Roman" w:eastAsia="Times New Roman" w:cs="Times New Roman"/>
          <w:spacing w:val="-24"/>
          <w:sz w:val="20"/>
          <w:szCs w:val="20"/>
        </w:rPr>
        <w:t xml:space="preserve"> </w:t>
      </w:r>
      <w:r>
        <w:rPr>
          <w:spacing w:val="3"/>
          <w:sz w:val="20"/>
          <w:szCs w:val="20"/>
        </w:rPr>
        <w:t>量和单位.有关量、单位</w:t>
      </w:r>
      <w:r>
        <w:rPr>
          <w:spacing w:val="2"/>
          <w:sz w:val="20"/>
          <w:szCs w:val="20"/>
        </w:rPr>
        <w:t>和符号的一般原则.1993.</w:t>
      </w:r>
    </w:p>
    <w:p w14:paraId="2A5AF85F">
      <w:pPr>
        <w:pStyle w:val="2"/>
        <w:spacing w:before="123" w:line="220" w:lineRule="auto"/>
        <w:rPr>
          <w:sz w:val="20"/>
          <w:szCs w:val="20"/>
        </w:rPr>
      </w:pPr>
      <w:r>
        <w:rPr>
          <w:spacing w:val="2"/>
          <w:sz w:val="20"/>
          <w:szCs w:val="20"/>
        </w:rPr>
        <w:t xml:space="preserve">[3]  </w:t>
      </w:r>
      <w:r>
        <w:rPr>
          <w:rFonts w:ascii="Times New Roman" w:hAnsi="Times New Roman" w:eastAsia="Times New Roman" w:cs="Times New Roman"/>
          <w:sz w:val="20"/>
          <w:szCs w:val="20"/>
        </w:rPr>
        <w:t>GB</w:t>
      </w:r>
      <w:r>
        <w:rPr>
          <w:rFonts w:ascii="Times New Roman" w:hAnsi="Times New Roman" w:eastAsia="Times New Roman" w:cs="Times New Roman"/>
          <w:spacing w:val="2"/>
          <w:sz w:val="20"/>
          <w:szCs w:val="20"/>
        </w:rPr>
        <w:t xml:space="preserve">    3102—1993.</w:t>
      </w:r>
      <w:r>
        <w:rPr>
          <w:spacing w:val="2"/>
          <w:sz w:val="20"/>
          <w:szCs w:val="20"/>
        </w:rPr>
        <w:t>量和单位.1</w:t>
      </w:r>
      <w:r>
        <w:rPr>
          <w:spacing w:val="1"/>
          <w:sz w:val="20"/>
          <w:szCs w:val="20"/>
        </w:rPr>
        <w:t>993.</w:t>
      </w:r>
    </w:p>
    <w:p w14:paraId="3BB97EB8">
      <w:pPr>
        <w:pStyle w:val="2"/>
        <w:spacing w:before="91" w:line="212" w:lineRule="auto"/>
        <w:rPr>
          <w:sz w:val="20"/>
          <w:szCs w:val="20"/>
        </w:rPr>
      </w:pPr>
      <w:r>
        <w:rPr>
          <w:rFonts w:ascii="Times New Roman" w:hAnsi="Times New Roman" w:eastAsia="Times New Roman" w:cs="Times New Roman"/>
          <w:spacing w:val="4"/>
          <w:sz w:val="20"/>
          <w:szCs w:val="20"/>
        </w:rPr>
        <w:t>[4]</w:t>
      </w:r>
      <w:r>
        <w:rPr>
          <w:rFonts w:ascii="Times New Roman" w:hAnsi="Times New Roman" w:eastAsia="Times New Roman" w:cs="Times New Roman"/>
          <w:sz w:val="20"/>
          <w:szCs w:val="20"/>
        </w:rPr>
        <w:t>GB</w:t>
      </w:r>
      <w:r>
        <w:rPr>
          <w:rFonts w:ascii="Times New Roman" w:hAnsi="Times New Roman" w:eastAsia="Times New Roman" w:cs="Times New Roman"/>
          <w:spacing w:val="4"/>
          <w:sz w:val="20"/>
          <w:szCs w:val="20"/>
        </w:rPr>
        <w:t>/T          7027—2002</w:t>
      </w:r>
      <w:r>
        <w:rPr>
          <w:spacing w:val="4"/>
          <w:sz w:val="20"/>
          <w:szCs w:val="20"/>
        </w:rPr>
        <w:t>.</w:t>
      </w:r>
      <w:r>
        <w:rPr>
          <w:spacing w:val="3"/>
          <w:sz w:val="20"/>
          <w:szCs w:val="20"/>
        </w:rPr>
        <w:t>信息分类和编码的基本原则与方法.2002.</w:t>
      </w:r>
    </w:p>
    <w:p w14:paraId="4AB15B22">
      <w:pPr>
        <w:pStyle w:val="2"/>
        <w:spacing w:before="101" w:line="212" w:lineRule="auto"/>
        <w:rPr>
          <w:sz w:val="20"/>
          <w:szCs w:val="20"/>
        </w:rPr>
      </w:pPr>
      <w:r>
        <w:rPr>
          <w:rFonts w:ascii="Times New Roman" w:hAnsi="Times New Roman" w:eastAsia="Times New Roman" w:cs="Times New Roman"/>
          <w:spacing w:val="4"/>
          <w:sz w:val="20"/>
          <w:szCs w:val="20"/>
        </w:rPr>
        <w:t>[5]</w:t>
      </w:r>
      <w:r>
        <w:rPr>
          <w:rFonts w:ascii="Times New Roman" w:hAnsi="Times New Roman" w:eastAsia="Times New Roman" w:cs="Times New Roman"/>
          <w:sz w:val="20"/>
          <w:szCs w:val="20"/>
        </w:rPr>
        <w:t>G</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pacing w:val="4"/>
          <w:sz w:val="20"/>
          <w:szCs w:val="20"/>
        </w:rPr>
        <w:t>/T    7714—</w:t>
      </w:r>
      <w:r>
        <w:rPr>
          <w:rFonts w:ascii="Times New Roman" w:hAnsi="Times New Roman" w:eastAsia="Times New Roman" w:cs="Times New Roman"/>
          <w:spacing w:val="3"/>
          <w:sz w:val="20"/>
          <w:szCs w:val="20"/>
        </w:rPr>
        <w:t>2005.</w:t>
      </w:r>
      <w:r>
        <w:rPr>
          <w:spacing w:val="3"/>
          <w:sz w:val="20"/>
          <w:szCs w:val="20"/>
        </w:rPr>
        <w:t>文后参考文献著录规则.2005.</w:t>
      </w:r>
    </w:p>
    <w:p w14:paraId="32EA35D5">
      <w:pPr>
        <w:pStyle w:val="2"/>
        <w:spacing w:before="130" w:line="219" w:lineRule="auto"/>
        <w:rPr>
          <w:sz w:val="20"/>
          <w:szCs w:val="20"/>
        </w:rPr>
      </w:pPr>
      <w:r>
        <w:rPr>
          <w:spacing w:val="2"/>
          <w:sz w:val="20"/>
          <w:szCs w:val="20"/>
        </w:rPr>
        <w:t>[6]</w:t>
      </w:r>
      <w:r>
        <w:rPr>
          <w:spacing w:val="24"/>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2"/>
          <w:sz w:val="20"/>
          <w:szCs w:val="20"/>
        </w:rPr>
        <w:t>/T     15834—1995.</w:t>
      </w:r>
      <w:r>
        <w:rPr>
          <w:spacing w:val="2"/>
          <w:sz w:val="20"/>
          <w:szCs w:val="20"/>
        </w:rPr>
        <w:t>标点符</w:t>
      </w:r>
      <w:r>
        <w:rPr>
          <w:spacing w:val="1"/>
          <w:sz w:val="20"/>
          <w:szCs w:val="20"/>
        </w:rPr>
        <w:t>号用法.1995.</w:t>
      </w:r>
    </w:p>
    <w:p w14:paraId="6FF8DC19">
      <w:pPr>
        <w:pStyle w:val="2"/>
        <w:spacing w:before="112" w:line="219" w:lineRule="auto"/>
        <w:rPr>
          <w:sz w:val="20"/>
          <w:szCs w:val="20"/>
        </w:rPr>
      </w:pPr>
      <w:r>
        <w:rPr>
          <w:spacing w:val="3"/>
          <w:sz w:val="20"/>
          <w:szCs w:val="20"/>
        </w:rPr>
        <w:t>[7]</w:t>
      </w:r>
      <w:r>
        <w:rPr>
          <w:spacing w:val="24"/>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/T     15835—1995.</w:t>
      </w:r>
      <w:r>
        <w:rPr>
          <w:spacing w:val="3"/>
          <w:sz w:val="20"/>
          <w:szCs w:val="20"/>
        </w:rPr>
        <w:t>出版物上数字用法的规</w:t>
      </w:r>
      <w:r>
        <w:rPr>
          <w:spacing w:val="2"/>
          <w:sz w:val="20"/>
          <w:szCs w:val="20"/>
        </w:rPr>
        <w:t>定.1995.</w:t>
      </w:r>
    </w:p>
    <w:p w14:paraId="5E362675">
      <w:pPr>
        <w:pStyle w:val="2"/>
        <w:spacing w:before="53" w:line="281" w:lineRule="auto"/>
        <w:ind w:left="519" w:hanging="519"/>
        <w:rPr>
          <w:sz w:val="20"/>
          <w:szCs w:val="20"/>
        </w:rPr>
      </w:pPr>
      <w:r>
        <w:rPr>
          <w:spacing w:val="22"/>
          <w:sz w:val="20"/>
          <w:szCs w:val="20"/>
        </w:rPr>
        <w:t xml:space="preserve">[8]  </w:t>
      </w:r>
      <w:r>
        <w:rPr>
          <w:rFonts w:ascii="Times New Roman" w:hAnsi="Times New Roman" w:eastAsia="Times New Roman" w:cs="Times New Roman"/>
          <w:sz w:val="20"/>
          <w:szCs w:val="20"/>
        </w:rPr>
        <w:t>GJB</w:t>
      </w:r>
      <w:r>
        <w:rPr>
          <w:rFonts w:ascii="Times New Roman" w:hAnsi="Times New Roman" w:eastAsia="Times New Roman" w:cs="Times New Roman"/>
          <w:spacing w:val="22"/>
          <w:sz w:val="20"/>
          <w:szCs w:val="20"/>
        </w:rPr>
        <w:t xml:space="preserve">    0.1—2001.</w:t>
      </w:r>
      <w:r>
        <w:rPr>
          <w:rFonts w:ascii="Times New Roman" w:hAnsi="Times New Roman" w:eastAsia="Times New Roman" w:cs="Times New Roman"/>
          <w:spacing w:val="-15"/>
          <w:sz w:val="20"/>
          <w:szCs w:val="20"/>
        </w:rPr>
        <w:t xml:space="preserve"> </w:t>
      </w:r>
      <w:r>
        <w:rPr>
          <w:spacing w:val="22"/>
          <w:sz w:val="20"/>
          <w:szCs w:val="20"/>
        </w:rPr>
        <w:t>军用标准文件编制工作导则第1部分：军</w:t>
      </w:r>
      <w:r>
        <w:rPr>
          <w:spacing w:val="21"/>
          <w:sz w:val="20"/>
          <w:szCs w:val="20"/>
        </w:rPr>
        <w:t>用标准和指导性技术文件编写规</w:t>
      </w:r>
      <w:r>
        <w:rPr>
          <w:sz w:val="20"/>
          <w:szCs w:val="20"/>
        </w:rPr>
        <w:t xml:space="preserve"> </w:t>
      </w:r>
      <w:r>
        <w:rPr>
          <w:spacing w:val="7"/>
          <w:sz w:val="20"/>
          <w:szCs w:val="20"/>
        </w:rPr>
        <w:t>定.2001.</w:t>
      </w:r>
    </w:p>
    <w:p w14:paraId="253CE3CA">
      <w:pPr>
        <w:pStyle w:val="2"/>
        <w:spacing w:before="110" w:line="219" w:lineRule="auto"/>
        <w:rPr>
          <w:sz w:val="20"/>
          <w:szCs w:val="20"/>
        </w:rPr>
      </w:pPr>
      <w:r>
        <w:rPr>
          <w:spacing w:val="7"/>
          <w:sz w:val="20"/>
          <w:szCs w:val="20"/>
        </w:rPr>
        <w:t xml:space="preserve">[9]  </w:t>
      </w:r>
      <w:r>
        <w:rPr>
          <w:rFonts w:ascii="Times New Roman" w:hAnsi="Times New Roman" w:eastAsia="Times New Roman" w:cs="Times New Roman"/>
          <w:sz w:val="20"/>
          <w:szCs w:val="20"/>
        </w:rPr>
        <w:t>GJB</w:t>
      </w:r>
      <w:r>
        <w:rPr>
          <w:rFonts w:ascii="Times New Roman" w:hAnsi="Times New Roman" w:eastAsia="Times New Roman" w:cs="Times New Roman"/>
          <w:spacing w:val="7"/>
          <w:sz w:val="20"/>
          <w:szCs w:val="20"/>
        </w:rPr>
        <w:t xml:space="preserve">0.2—2001.     </w:t>
      </w:r>
      <w:r>
        <w:rPr>
          <w:spacing w:val="7"/>
          <w:sz w:val="20"/>
          <w:szCs w:val="20"/>
        </w:rPr>
        <w:t>军用标准文件编制工作导则第2部分：</w:t>
      </w:r>
      <w:r>
        <w:rPr>
          <w:spacing w:val="6"/>
          <w:sz w:val="20"/>
          <w:szCs w:val="20"/>
        </w:rPr>
        <w:t>军用规范编写规定.2001.</w:t>
      </w:r>
    </w:p>
    <w:p w14:paraId="4141C571">
      <w:pPr>
        <w:pStyle w:val="2"/>
        <w:spacing w:before="84" w:line="212" w:lineRule="auto"/>
        <w:rPr>
          <w:sz w:val="20"/>
          <w:szCs w:val="20"/>
        </w:rPr>
      </w:pPr>
      <w:r>
        <w:rPr>
          <w:rFonts w:ascii="Times New Roman" w:hAnsi="Times New Roman" w:eastAsia="Times New Roman" w:cs="Times New Roman"/>
          <w:spacing w:val="7"/>
          <w:sz w:val="20"/>
          <w:szCs w:val="20"/>
        </w:rPr>
        <w:t>[10]</w:t>
      </w:r>
      <w:r>
        <w:rPr>
          <w:rFonts w:ascii="Times New Roman" w:hAnsi="Times New Roman" w:eastAsia="Times New Roman" w:cs="Times New Roman"/>
          <w:sz w:val="20"/>
          <w:szCs w:val="20"/>
        </w:rPr>
        <w:t>GJ</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pacing w:val="7"/>
          <w:sz w:val="20"/>
          <w:szCs w:val="20"/>
        </w:rPr>
        <w:t xml:space="preserve">0.3—2001.  </w:t>
      </w:r>
      <w:r>
        <w:rPr>
          <w:rFonts w:ascii="Times New Roman" w:hAnsi="Times New Roman" w:eastAsia="Times New Roman" w:cs="Times New Roman"/>
          <w:spacing w:val="6"/>
          <w:sz w:val="20"/>
          <w:szCs w:val="20"/>
        </w:rPr>
        <w:t xml:space="preserve">  </w:t>
      </w:r>
      <w:r>
        <w:rPr>
          <w:spacing w:val="6"/>
          <w:sz w:val="20"/>
          <w:szCs w:val="20"/>
        </w:rPr>
        <w:t>军用标准文件编制工作导则第3部分：出版印刷规定.2001.</w:t>
      </w:r>
    </w:p>
    <w:p w14:paraId="042477B7">
      <w:pPr>
        <w:pStyle w:val="2"/>
        <w:spacing w:before="121" w:line="212" w:lineRule="auto"/>
        <w:rPr>
          <w:sz w:val="20"/>
          <w:szCs w:val="20"/>
        </w:rPr>
      </w:pPr>
      <w:r>
        <w:rPr>
          <w:rFonts w:ascii="Times New Roman" w:hAnsi="Times New Roman" w:eastAsia="Times New Roman" w:cs="Times New Roman"/>
          <w:spacing w:val="3"/>
          <w:sz w:val="20"/>
          <w:szCs w:val="20"/>
        </w:rPr>
        <w:t>[11]</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150—1986.</w:t>
      </w:r>
      <w:r>
        <w:rPr>
          <w:rFonts w:ascii="Times New Roman" w:hAnsi="Times New Roman" w:eastAsia="Times New Roman" w:cs="Times New Roman"/>
          <w:spacing w:val="-14"/>
          <w:sz w:val="20"/>
          <w:szCs w:val="20"/>
        </w:rPr>
        <w:t xml:space="preserve"> </w:t>
      </w:r>
      <w:r>
        <w:rPr>
          <w:spacing w:val="3"/>
          <w:sz w:val="20"/>
          <w:szCs w:val="20"/>
        </w:rPr>
        <w:t>军用设备环境试验方</w:t>
      </w:r>
      <w:r>
        <w:rPr>
          <w:spacing w:val="2"/>
          <w:sz w:val="20"/>
          <w:szCs w:val="20"/>
        </w:rPr>
        <w:t>法.1986.</w:t>
      </w:r>
    </w:p>
    <w:p w14:paraId="09411249">
      <w:pPr>
        <w:pStyle w:val="2"/>
        <w:spacing w:before="120" w:line="212" w:lineRule="auto"/>
        <w:rPr>
          <w:sz w:val="20"/>
          <w:szCs w:val="20"/>
        </w:rPr>
      </w:pPr>
      <w:r>
        <w:rPr>
          <w:rFonts w:ascii="Times New Roman" w:hAnsi="Times New Roman" w:eastAsia="Times New Roman" w:cs="Times New Roman"/>
          <w:spacing w:val="3"/>
          <w:sz w:val="20"/>
          <w:szCs w:val="20"/>
        </w:rPr>
        <w:t>[12]</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150A—2009.</w:t>
      </w:r>
      <w:r>
        <w:rPr>
          <w:spacing w:val="3"/>
          <w:sz w:val="20"/>
          <w:szCs w:val="20"/>
        </w:rPr>
        <w:t>军用装备实验室环境试验方法.2009.</w:t>
      </w:r>
    </w:p>
    <w:p w14:paraId="78FEBB58">
      <w:pPr>
        <w:pStyle w:val="2"/>
        <w:spacing w:before="100" w:line="212" w:lineRule="auto"/>
        <w:rPr>
          <w:sz w:val="20"/>
          <w:szCs w:val="20"/>
        </w:rPr>
      </w:pPr>
      <w:r>
        <w:rPr>
          <w:rFonts w:ascii="Times New Roman" w:hAnsi="Times New Roman" w:eastAsia="Times New Roman" w:cs="Times New Roman"/>
          <w:spacing w:val="5"/>
          <w:sz w:val="20"/>
          <w:szCs w:val="20"/>
        </w:rPr>
        <w:t>[13]</w:t>
      </w:r>
      <w:r>
        <w:rPr>
          <w:rFonts w:ascii="Times New Roman" w:hAnsi="Times New Roman" w:eastAsia="Times New Roman" w:cs="Times New Roman"/>
          <w:sz w:val="20"/>
          <w:szCs w:val="20"/>
        </w:rPr>
        <w:t>G</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JB</w:t>
      </w:r>
      <w:r>
        <w:rPr>
          <w:rFonts w:ascii="Times New Roman" w:hAnsi="Times New Roman" w:eastAsia="Times New Roman" w:cs="Times New Roman"/>
          <w:spacing w:val="5"/>
          <w:sz w:val="20"/>
          <w:szCs w:val="20"/>
        </w:rPr>
        <w:t xml:space="preserve">    151A—1997.</w:t>
      </w:r>
      <w:r>
        <w:rPr>
          <w:spacing w:val="5"/>
          <w:sz w:val="20"/>
          <w:szCs w:val="20"/>
        </w:rPr>
        <w:t>军用设备和分系统电磁发射和敏感度要求.1997.</w:t>
      </w:r>
    </w:p>
    <w:p w14:paraId="1648AB75">
      <w:pPr>
        <w:pStyle w:val="2"/>
        <w:spacing w:before="129" w:line="219" w:lineRule="auto"/>
        <w:rPr>
          <w:sz w:val="20"/>
          <w:szCs w:val="20"/>
        </w:rPr>
      </w:pPr>
      <w:r>
        <w:rPr>
          <w:spacing w:val="4"/>
          <w:sz w:val="20"/>
          <w:szCs w:val="20"/>
        </w:rPr>
        <w:t xml:space="preserve">[14]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152—1986.</w:t>
      </w:r>
      <w:r>
        <w:rPr>
          <w:rFonts w:ascii="Times New Roman" w:hAnsi="Times New Roman" w:eastAsia="Times New Roman" w:cs="Times New Roman"/>
          <w:spacing w:val="-16"/>
          <w:sz w:val="20"/>
          <w:szCs w:val="20"/>
        </w:rPr>
        <w:t xml:space="preserve"> </w:t>
      </w:r>
      <w:r>
        <w:rPr>
          <w:spacing w:val="4"/>
          <w:sz w:val="20"/>
          <w:szCs w:val="20"/>
        </w:rPr>
        <w:t>军用设备和分系统电磁发射和敏感度测量.1986.</w:t>
      </w:r>
    </w:p>
    <w:p w14:paraId="11124C0F">
      <w:pPr>
        <w:pStyle w:val="2"/>
        <w:spacing w:before="85" w:line="212" w:lineRule="auto"/>
        <w:rPr>
          <w:sz w:val="20"/>
          <w:szCs w:val="20"/>
        </w:rPr>
      </w:pPr>
      <w:r>
        <w:rPr>
          <w:rFonts w:ascii="Arial" w:hAnsi="Arial" w:eastAsia="Arial" w:cs="Arial"/>
          <w:spacing w:val="5"/>
          <w:sz w:val="20"/>
          <w:szCs w:val="20"/>
        </w:rPr>
        <w:t>[15]</w:t>
      </w:r>
      <w:r>
        <w:rPr>
          <w:rFonts w:ascii="Arial" w:hAnsi="Arial" w:eastAsia="Arial" w:cs="Arial"/>
          <w:sz w:val="20"/>
          <w:szCs w:val="20"/>
        </w:rPr>
        <w:t>G</w:t>
      </w:r>
      <w:r>
        <w:rPr>
          <w:rFonts w:ascii="Arial" w:hAnsi="Arial" w:eastAsia="Arial" w:cs="Arial"/>
          <w:spacing w:val="5"/>
          <w:sz w:val="20"/>
          <w:szCs w:val="20"/>
        </w:rPr>
        <w:t xml:space="preserve">     </w:t>
      </w:r>
      <w:r>
        <w:rPr>
          <w:rFonts w:ascii="Times New Roman" w:hAnsi="Times New Roman" w:eastAsia="Times New Roman" w:cs="Times New Roman"/>
          <w:sz w:val="20"/>
          <w:szCs w:val="20"/>
        </w:rPr>
        <w:t>JB</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5"/>
          <w:sz w:val="20"/>
          <w:szCs w:val="20"/>
        </w:rPr>
        <w:t>152A—1997.</w:t>
      </w:r>
      <w:r>
        <w:rPr>
          <w:spacing w:val="5"/>
          <w:sz w:val="20"/>
          <w:szCs w:val="20"/>
        </w:rPr>
        <w:t>军用设备和分系统电磁发射</w:t>
      </w:r>
      <w:r>
        <w:rPr>
          <w:spacing w:val="4"/>
          <w:sz w:val="20"/>
          <w:szCs w:val="20"/>
        </w:rPr>
        <w:t>和敏感度测量.1997.</w:t>
      </w:r>
    </w:p>
    <w:p w14:paraId="396D990B">
      <w:pPr>
        <w:pStyle w:val="2"/>
        <w:spacing w:before="100" w:line="212" w:lineRule="auto"/>
        <w:rPr>
          <w:sz w:val="20"/>
          <w:szCs w:val="20"/>
        </w:rPr>
      </w:pPr>
      <w:r>
        <w:rPr>
          <w:rFonts w:ascii="Times New Roman" w:hAnsi="Times New Roman" w:eastAsia="Times New Roman" w:cs="Times New Roman"/>
          <w:spacing w:val="4"/>
          <w:sz w:val="20"/>
          <w:szCs w:val="20"/>
        </w:rPr>
        <w:t>[16]</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181—1986.</w:t>
      </w:r>
      <w:r>
        <w:rPr>
          <w:rFonts w:ascii="Times New Roman" w:hAnsi="Times New Roman" w:eastAsia="Times New Roman" w:cs="Times New Roman"/>
          <w:spacing w:val="-14"/>
          <w:sz w:val="20"/>
          <w:szCs w:val="20"/>
        </w:rPr>
        <w:t xml:space="preserve"> </w:t>
      </w:r>
      <w:r>
        <w:rPr>
          <w:spacing w:val="4"/>
          <w:sz w:val="20"/>
          <w:szCs w:val="20"/>
        </w:rPr>
        <w:t>飞机供电特性</w:t>
      </w:r>
      <w:r>
        <w:rPr>
          <w:spacing w:val="3"/>
          <w:sz w:val="20"/>
          <w:szCs w:val="20"/>
        </w:rPr>
        <w:t>及对用电设备的要求.1986.</w:t>
      </w:r>
    </w:p>
    <w:p w14:paraId="63DD3A31">
      <w:pPr>
        <w:pStyle w:val="2"/>
        <w:spacing w:before="128" w:line="219" w:lineRule="auto"/>
        <w:rPr>
          <w:sz w:val="20"/>
          <w:szCs w:val="20"/>
        </w:rPr>
      </w:pPr>
      <w:r>
        <w:rPr>
          <w:spacing w:val="3"/>
          <w:sz w:val="20"/>
          <w:szCs w:val="20"/>
        </w:rPr>
        <w:t xml:space="preserve">[17]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181A—2003.    </w:t>
      </w:r>
      <w:r>
        <w:rPr>
          <w:spacing w:val="3"/>
          <w:sz w:val="20"/>
          <w:szCs w:val="20"/>
        </w:rPr>
        <w:t>飞机供电特性.2</w:t>
      </w:r>
      <w:r>
        <w:rPr>
          <w:spacing w:val="2"/>
          <w:sz w:val="20"/>
          <w:szCs w:val="20"/>
        </w:rPr>
        <w:t>003.</w:t>
      </w:r>
    </w:p>
    <w:p w14:paraId="13EC6F4B">
      <w:pPr>
        <w:pStyle w:val="2"/>
        <w:spacing w:before="75" w:line="212" w:lineRule="auto"/>
        <w:rPr>
          <w:sz w:val="20"/>
          <w:szCs w:val="20"/>
        </w:rPr>
      </w:pPr>
      <w:r>
        <w:rPr>
          <w:rFonts w:ascii="Times New Roman" w:hAnsi="Times New Roman" w:eastAsia="Times New Roman" w:cs="Times New Roman"/>
          <w:spacing w:val="3"/>
          <w:sz w:val="20"/>
          <w:szCs w:val="20"/>
        </w:rPr>
        <w:t>[18]</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190—1986.</w:t>
      </w:r>
      <w:r>
        <w:rPr>
          <w:rFonts w:ascii="Times New Roman" w:hAnsi="Times New Roman" w:eastAsia="Times New Roman" w:cs="Times New Roman"/>
          <w:spacing w:val="6"/>
          <w:sz w:val="20"/>
          <w:szCs w:val="20"/>
        </w:rPr>
        <w:t xml:space="preserve">        </w:t>
      </w:r>
      <w:r>
        <w:rPr>
          <w:spacing w:val="3"/>
          <w:sz w:val="20"/>
          <w:szCs w:val="20"/>
        </w:rPr>
        <w:t>特性分类.1986.</w:t>
      </w:r>
    </w:p>
    <w:p w14:paraId="76E8F650">
      <w:pPr>
        <w:pStyle w:val="2"/>
        <w:spacing w:before="169" w:line="219" w:lineRule="auto"/>
        <w:rPr>
          <w:sz w:val="20"/>
          <w:szCs w:val="20"/>
        </w:rPr>
      </w:pPr>
      <w:r>
        <w:rPr>
          <w:spacing w:val="7"/>
          <w:sz w:val="20"/>
          <w:szCs w:val="20"/>
        </w:rPr>
        <w:t xml:space="preserve">[19]  </w:t>
      </w:r>
      <w:r>
        <w:rPr>
          <w:rFonts w:ascii="Times New Roman" w:hAnsi="Times New Roman" w:eastAsia="Times New Roman" w:cs="Times New Roman"/>
          <w:sz w:val="20"/>
          <w:szCs w:val="20"/>
        </w:rPr>
        <w:t>GJB</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7"/>
          <w:sz w:val="20"/>
          <w:szCs w:val="20"/>
        </w:rPr>
        <w:t>358—1987.</w:t>
      </w:r>
      <w:r>
        <w:rPr>
          <w:spacing w:val="7"/>
          <w:sz w:val="20"/>
          <w:szCs w:val="20"/>
        </w:rPr>
        <w:t>军用飞机电搭接技术要求198</w:t>
      </w:r>
      <w:r>
        <w:rPr>
          <w:spacing w:val="6"/>
          <w:sz w:val="20"/>
          <w:szCs w:val="20"/>
        </w:rPr>
        <w:t>7.</w:t>
      </w:r>
    </w:p>
    <w:p w14:paraId="74130E34">
      <w:pPr>
        <w:pStyle w:val="2"/>
        <w:spacing w:before="104" w:line="219" w:lineRule="auto"/>
        <w:rPr>
          <w:sz w:val="20"/>
          <w:szCs w:val="20"/>
        </w:rPr>
      </w:pPr>
      <w:r>
        <w:rPr>
          <w:spacing w:val="3"/>
          <w:sz w:val="20"/>
          <w:szCs w:val="20"/>
        </w:rPr>
        <w:t xml:space="preserve">[20]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368A—1994.</w:t>
      </w:r>
      <w:r>
        <w:rPr>
          <w:spacing w:val="3"/>
          <w:sz w:val="20"/>
          <w:szCs w:val="20"/>
        </w:rPr>
        <w:t>装备维修性通用大纲.1994.</w:t>
      </w:r>
    </w:p>
    <w:p w14:paraId="1CB2724D">
      <w:pPr>
        <w:pStyle w:val="2"/>
        <w:spacing w:before="92" w:line="219" w:lineRule="auto"/>
        <w:rPr>
          <w:sz w:val="20"/>
          <w:szCs w:val="20"/>
        </w:rPr>
      </w:pPr>
      <w:r>
        <w:rPr>
          <w:spacing w:val="4"/>
          <w:sz w:val="20"/>
          <w:szCs w:val="20"/>
        </w:rPr>
        <w:t xml:space="preserve">[21]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368B—2009.</w:t>
      </w:r>
      <w:r>
        <w:rPr>
          <w:rFonts w:ascii="Times New Roman" w:hAnsi="Times New Roman" w:eastAsia="Times New Roman" w:cs="Times New Roman"/>
          <w:spacing w:val="-21"/>
          <w:sz w:val="20"/>
          <w:szCs w:val="20"/>
        </w:rPr>
        <w:t xml:space="preserve"> </w:t>
      </w:r>
      <w:r>
        <w:rPr>
          <w:spacing w:val="4"/>
          <w:sz w:val="20"/>
          <w:szCs w:val="20"/>
        </w:rPr>
        <w:t>装备维修性工作通用要求.2009.</w:t>
      </w:r>
    </w:p>
    <w:p w14:paraId="3C603B64">
      <w:pPr>
        <w:pStyle w:val="2"/>
        <w:spacing w:before="84" w:line="212" w:lineRule="auto"/>
        <w:rPr>
          <w:sz w:val="20"/>
          <w:szCs w:val="20"/>
        </w:rPr>
      </w:pPr>
      <w:r>
        <w:rPr>
          <w:rFonts w:ascii="Times New Roman" w:hAnsi="Times New Roman" w:eastAsia="Times New Roman" w:cs="Times New Roman"/>
          <w:spacing w:val="4"/>
          <w:sz w:val="20"/>
          <w:szCs w:val="20"/>
        </w:rPr>
        <w:t xml:space="preserve">[22]     </w:t>
      </w:r>
      <w:r>
        <w:rPr>
          <w:rFonts w:ascii="Times New Roman" w:hAnsi="Times New Roman" w:eastAsia="Times New Roman" w:cs="Times New Roman"/>
          <w:sz w:val="20"/>
          <w:szCs w:val="20"/>
        </w:rPr>
        <w:t>GJB</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4"/>
          <w:sz w:val="20"/>
          <w:szCs w:val="20"/>
        </w:rPr>
        <w:t>437—1988.</w:t>
      </w:r>
      <w:r>
        <w:rPr>
          <w:spacing w:val="4"/>
          <w:sz w:val="20"/>
          <w:szCs w:val="20"/>
        </w:rPr>
        <w:t>军用软件开发规范.1988.</w:t>
      </w:r>
    </w:p>
    <w:p w14:paraId="4B5C2B2C">
      <w:pPr>
        <w:pStyle w:val="2"/>
        <w:spacing w:before="110" w:line="212" w:lineRule="auto"/>
        <w:rPr>
          <w:sz w:val="20"/>
          <w:szCs w:val="20"/>
        </w:rPr>
      </w:pPr>
      <w:r>
        <w:rPr>
          <w:rFonts w:ascii="Times New Roman" w:hAnsi="Times New Roman" w:eastAsia="Times New Roman" w:cs="Times New Roman"/>
          <w:spacing w:val="3"/>
          <w:sz w:val="20"/>
          <w:szCs w:val="20"/>
        </w:rPr>
        <w:t xml:space="preserve">[23]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438A—1997.</w:t>
      </w:r>
      <w:r>
        <w:rPr>
          <w:b/>
          <w:bCs/>
          <w:spacing w:val="3"/>
          <w:sz w:val="20"/>
          <w:szCs w:val="20"/>
        </w:rPr>
        <w:t>武器系统软件开发文档.</w:t>
      </w:r>
      <w:r>
        <w:rPr>
          <w:b/>
          <w:bCs/>
          <w:spacing w:val="2"/>
          <w:sz w:val="20"/>
          <w:szCs w:val="20"/>
        </w:rPr>
        <w:t>1997.</w:t>
      </w:r>
    </w:p>
    <w:p w14:paraId="2581B960">
      <w:pPr>
        <w:pStyle w:val="2"/>
        <w:spacing w:before="118" w:line="219" w:lineRule="auto"/>
        <w:rPr>
          <w:sz w:val="20"/>
          <w:szCs w:val="20"/>
        </w:rPr>
      </w:pPr>
      <w:r>
        <w:rPr>
          <w:spacing w:val="4"/>
          <w:sz w:val="20"/>
          <w:szCs w:val="20"/>
        </w:rPr>
        <w:t xml:space="preserve">[24]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438B—2009.</w:t>
      </w:r>
      <w:r>
        <w:rPr>
          <w:rFonts w:ascii="Times New Roman" w:hAnsi="Times New Roman" w:eastAsia="Times New Roman" w:cs="Times New Roman"/>
          <w:spacing w:val="-25"/>
          <w:sz w:val="20"/>
          <w:szCs w:val="20"/>
        </w:rPr>
        <w:t xml:space="preserve"> </w:t>
      </w:r>
      <w:r>
        <w:rPr>
          <w:spacing w:val="4"/>
          <w:sz w:val="20"/>
          <w:szCs w:val="20"/>
        </w:rPr>
        <w:t>军用软件开发文档通用要求.2009.</w:t>
      </w:r>
    </w:p>
    <w:p w14:paraId="43CC0F42">
      <w:pPr>
        <w:pStyle w:val="2"/>
        <w:spacing w:before="49" w:line="272" w:lineRule="exact"/>
        <w:rPr>
          <w:sz w:val="20"/>
          <w:szCs w:val="20"/>
        </w:rPr>
      </w:pPr>
      <w:r>
        <w:rPr>
          <w:rFonts w:ascii="Arial" w:hAnsi="Arial" w:eastAsia="Arial" w:cs="Arial"/>
          <w:spacing w:val="4"/>
          <w:position w:val="2"/>
          <w:sz w:val="20"/>
          <w:szCs w:val="20"/>
        </w:rPr>
        <w:t xml:space="preserve">[25]     </w:t>
      </w:r>
      <w:r>
        <w:rPr>
          <w:rFonts w:ascii="Arial" w:hAnsi="Arial" w:eastAsia="Arial" w:cs="Arial"/>
          <w:position w:val="2"/>
          <w:sz w:val="20"/>
          <w:szCs w:val="20"/>
        </w:rPr>
        <w:t>G</w:t>
      </w:r>
      <w:r>
        <w:rPr>
          <w:rFonts w:ascii="Times New Roman" w:hAnsi="Times New Roman" w:eastAsia="Times New Roman" w:cs="Times New Roman"/>
          <w:position w:val="2"/>
          <w:sz w:val="20"/>
          <w:szCs w:val="20"/>
        </w:rPr>
        <w:t>JB</w:t>
      </w:r>
      <w:r>
        <w:rPr>
          <w:rFonts w:ascii="Times New Roman" w:hAnsi="Times New Roman" w:eastAsia="Times New Roman" w:cs="Times New Roman"/>
          <w:spacing w:val="12"/>
          <w:w w:val="101"/>
          <w:position w:val="2"/>
          <w:sz w:val="20"/>
          <w:szCs w:val="20"/>
        </w:rPr>
        <w:t xml:space="preserve">   </w:t>
      </w:r>
      <w:r>
        <w:rPr>
          <w:rFonts w:ascii="Times New Roman" w:hAnsi="Times New Roman" w:eastAsia="Times New Roman" w:cs="Times New Roman"/>
          <w:spacing w:val="4"/>
          <w:position w:val="2"/>
          <w:sz w:val="20"/>
          <w:szCs w:val="20"/>
        </w:rPr>
        <w:t>439—1988.</w:t>
      </w:r>
      <w:r>
        <w:rPr>
          <w:spacing w:val="4"/>
          <w:position w:val="2"/>
          <w:sz w:val="20"/>
          <w:szCs w:val="20"/>
        </w:rPr>
        <w:t>军用软件质量保证规范.1988.</w:t>
      </w:r>
    </w:p>
    <w:p w14:paraId="21993642">
      <w:pPr>
        <w:pStyle w:val="2"/>
        <w:spacing w:before="104" w:line="212" w:lineRule="auto"/>
        <w:rPr>
          <w:sz w:val="20"/>
          <w:szCs w:val="20"/>
        </w:rPr>
      </w:pPr>
      <w:r>
        <w:rPr>
          <w:rFonts w:ascii="Times New Roman" w:hAnsi="Times New Roman" w:eastAsia="Times New Roman" w:cs="Times New Roman"/>
          <w:spacing w:val="3"/>
          <w:sz w:val="20"/>
          <w:szCs w:val="20"/>
        </w:rPr>
        <w:t>[26]</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450A—2004.</w:t>
      </w:r>
      <w:r>
        <w:rPr>
          <w:spacing w:val="3"/>
          <w:sz w:val="20"/>
          <w:szCs w:val="20"/>
        </w:rPr>
        <w:t>装备可靠性工作通用要求.2004.</w:t>
      </w:r>
    </w:p>
    <w:p w14:paraId="23B12759">
      <w:pPr>
        <w:pStyle w:val="2"/>
        <w:spacing w:before="120" w:line="219" w:lineRule="auto"/>
        <w:rPr>
          <w:sz w:val="20"/>
          <w:szCs w:val="20"/>
        </w:rPr>
      </w:pPr>
      <w:r>
        <w:rPr>
          <w:spacing w:val="4"/>
          <w:sz w:val="20"/>
          <w:szCs w:val="20"/>
        </w:rPr>
        <w:t xml:space="preserve">[27]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451A—2005.</w:t>
      </w:r>
      <w:r>
        <w:rPr>
          <w:spacing w:val="4"/>
          <w:sz w:val="20"/>
          <w:szCs w:val="20"/>
        </w:rPr>
        <w:t>可靠性维修性保障性术语</w:t>
      </w:r>
      <w:r>
        <w:rPr>
          <w:spacing w:val="3"/>
          <w:sz w:val="20"/>
          <w:szCs w:val="20"/>
        </w:rPr>
        <w:t>.2005.</w:t>
      </w:r>
    </w:p>
    <w:p w14:paraId="645F86F4">
      <w:pPr>
        <w:pStyle w:val="2"/>
        <w:spacing w:before="83" w:line="212" w:lineRule="auto"/>
        <w:rPr>
          <w:sz w:val="20"/>
          <w:szCs w:val="20"/>
        </w:rPr>
      </w:pPr>
      <w:r>
        <w:rPr>
          <w:rFonts w:ascii="Times New Roman" w:hAnsi="Times New Roman" w:eastAsia="Times New Roman" w:cs="Times New Roman"/>
          <w:spacing w:val="4"/>
          <w:sz w:val="20"/>
          <w:szCs w:val="20"/>
        </w:rPr>
        <w:t xml:space="preserve">[28]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466—1988.   </w:t>
      </w:r>
      <w:r>
        <w:rPr>
          <w:spacing w:val="4"/>
          <w:sz w:val="20"/>
          <w:szCs w:val="20"/>
        </w:rPr>
        <w:t>理化试验质量控制规范.1988.</w:t>
      </w:r>
    </w:p>
    <w:p w14:paraId="4651D826">
      <w:pPr>
        <w:pStyle w:val="2"/>
        <w:spacing w:before="130" w:line="220" w:lineRule="auto"/>
        <w:rPr>
          <w:sz w:val="20"/>
          <w:szCs w:val="20"/>
        </w:rPr>
      </w:pPr>
      <w:r>
        <w:rPr>
          <w:spacing w:val="3"/>
          <w:sz w:val="20"/>
          <w:szCs w:val="20"/>
        </w:rPr>
        <w:t xml:space="preserve">[29]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467—1988.    </w:t>
      </w:r>
      <w:r>
        <w:rPr>
          <w:spacing w:val="3"/>
          <w:sz w:val="20"/>
          <w:szCs w:val="20"/>
        </w:rPr>
        <w:t>工序质量控制要求.19</w:t>
      </w:r>
      <w:r>
        <w:rPr>
          <w:spacing w:val="2"/>
          <w:sz w:val="20"/>
          <w:szCs w:val="20"/>
        </w:rPr>
        <w:t>88.</w:t>
      </w:r>
    </w:p>
    <w:p w14:paraId="54036F87">
      <w:pPr>
        <w:pStyle w:val="2"/>
        <w:spacing w:before="90" w:line="219" w:lineRule="auto"/>
        <w:rPr>
          <w:sz w:val="20"/>
          <w:szCs w:val="20"/>
        </w:rPr>
      </w:pPr>
      <w:r>
        <w:rPr>
          <w:spacing w:val="4"/>
          <w:sz w:val="20"/>
          <w:szCs w:val="20"/>
        </w:rPr>
        <w:t>[30]</w:t>
      </w:r>
      <w:r>
        <w:rPr>
          <w:spacing w:val="45"/>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467A—2008.   </w:t>
      </w:r>
      <w:r>
        <w:rPr>
          <w:spacing w:val="4"/>
          <w:sz w:val="20"/>
          <w:szCs w:val="20"/>
        </w:rPr>
        <w:t>生产提供过程质量控制.2008.</w:t>
      </w:r>
    </w:p>
    <w:p w14:paraId="11CE818D">
      <w:pPr>
        <w:pStyle w:val="2"/>
        <w:spacing w:before="104" w:line="219" w:lineRule="auto"/>
        <w:rPr>
          <w:sz w:val="20"/>
          <w:szCs w:val="20"/>
        </w:rPr>
      </w:pPr>
      <w:r>
        <w:rPr>
          <w:spacing w:val="2"/>
          <w:sz w:val="20"/>
          <w:szCs w:val="20"/>
        </w:rPr>
        <w:t>[31]</w:t>
      </w:r>
      <w:r>
        <w:rPr>
          <w:spacing w:val="46"/>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571A—2005.</w:t>
      </w:r>
      <w:r>
        <w:rPr>
          <w:rFonts w:ascii="Times New Roman" w:hAnsi="Times New Roman" w:eastAsia="Times New Roman" w:cs="Times New Roman"/>
          <w:spacing w:val="12"/>
          <w:w w:val="101"/>
          <w:sz w:val="20"/>
          <w:szCs w:val="20"/>
        </w:rPr>
        <w:t xml:space="preserve">   </w:t>
      </w:r>
      <w:r>
        <w:rPr>
          <w:spacing w:val="2"/>
          <w:sz w:val="20"/>
          <w:szCs w:val="20"/>
        </w:rPr>
        <w:t>不合格品管理.2005.</w:t>
      </w:r>
    </w:p>
    <w:p w14:paraId="0860035F">
      <w:pPr>
        <w:pStyle w:val="2"/>
        <w:spacing w:before="83" w:line="212" w:lineRule="auto"/>
        <w:rPr>
          <w:sz w:val="20"/>
          <w:szCs w:val="20"/>
        </w:rPr>
      </w:pPr>
      <w:r>
        <w:rPr>
          <w:rFonts w:ascii="Times New Roman" w:hAnsi="Times New Roman" w:eastAsia="Times New Roman" w:cs="Times New Roman"/>
          <w:spacing w:val="3"/>
          <w:sz w:val="20"/>
          <w:szCs w:val="20"/>
        </w:rPr>
        <w:t xml:space="preserve">[32]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593—1988   </w:t>
      </w:r>
      <w:r>
        <w:rPr>
          <w:spacing w:val="3"/>
          <w:sz w:val="20"/>
          <w:szCs w:val="20"/>
        </w:rPr>
        <w:t>.无损检测质量控制规范.1988.</w:t>
      </w:r>
    </w:p>
    <w:p w14:paraId="29BA106D">
      <w:pPr>
        <w:spacing w:line="212" w:lineRule="auto"/>
        <w:rPr>
          <w:sz w:val="20"/>
          <w:szCs w:val="20"/>
        </w:rPr>
        <w:sectPr>
          <w:footerReference r:id="rId674" w:type="default"/>
          <w:pgSz w:w="11910" w:h="17130"/>
          <w:pgMar w:top="1456" w:right="1481" w:bottom="1800" w:left="1049" w:header="0" w:footer="1501" w:gutter="0"/>
          <w:cols w:space="720" w:num="1"/>
        </w:sectPr>
      </w:pPr>
    </w:p>
    <w:p w14:paraId="0F5C82A4">
      <w:pPr>
        <w:pStyle w:val="2"/>
        <w:spacing w:before="72" w:line="219" w:lineRule="auto"/>
        <w:rPr>
          <w:sz w:val="20"/>
          <w:szCs w:val="20"/>
        </w:rPr>
      </w:pPr>
      <w:r>
        <w:rPr>
          <w:spacing w:val="4"/>
          <w:sz w:val="20"/>
          <w:szCs w:val="20"/>
        </w:rPr>
        <w:t xml:space="preserve">[33]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726A—2004.</w:t>
      </w:r>
      <w:r>
        <w:rPr>
          <w:spacing w:val="4"/>
          <w:sz w:val="20"/>
          <w:szCs w:val="20"/>
        </w:rPr>
        <w:t>产品标识和可追溯性要求.2004.</w:t>
      </w:r>
    </w:p>
    <w:p w14:paraId="6673090E">
      <w:pPr>
        <w:pStyle w:val="2"/>
        <w:spacing w:before="91" w:line="219" w:lineRule="auto"/>
        <w:rPr>
          <w:sz w:val="20"/>
          <w:szCs w:val="20"/>
        </w:rPr>
      </w:pPr>
      <w:r>
        <w:rPr>
          <w:spacing w:val="4"/>
          <w:sz w:val="20"/>
          <w:szCs w:val="20"/>
        </w:rPr>
        <w:t xml:space="preserve">[34]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786—1989.</w:t>
      </w:r>
      <w:r>
        <w:rPr>
          <w:rFonts w:ascii="Times New Roman" w:hAnsi="Times New Roman" w:eastAsia="Times New Roman" w:cs="Times New Roman"/>
          <w:spacing w:val="-24"/>
          <w:sz w:val="20"/>
          <w:szCs w:val="20"/>
        </w:rPr>
        <w:t xml:space="preserve"> </w:t>
      </w:r>
      <w:r>
        <w:rPr>
          <w:spacing w:val="4"/>
          <w:sz w:val="20"/>
          <w:szCs w:val="20"/>
        </w:rPr>
        <w:t>预防电磁场对军械危害的</w:t>
      </w:r>
      <w:r>
        <w:rPr>
          <w:spacing w:val="3"/>
          <w:sz w:val="20"/>
          <w:szCs w:val="20"/>
        </w:rPr>
        <w:t>一般要求.1988.</w:t>
      </w:r>
    </w:p>
    <w:p w14:paraId="1FE8BC85">
      <w:pPr>
        <w:pStyle w:val="2"/>
        <w:spacing w:before="124" w:line="219" w:lineRule="auto"/>
        <w:rPr>
          <w:sz w:val="20"/>
          <w:szCs w:val="20"/>
        </w:rPr>
      </w:pPr>
      <w:r>
        <w:rPr>
          <w:spacing w:val="4"/>
          <w:sz w:val="20"/>
          <w:szCs w:val="20"/>
        </w:rPr>
        <w:t xml:space="preserve">[35]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813—1990.</w:t>
      </w:r>
      <w:r>
        <w:rPr>
          <w:spacing w:val="4"/>
          <w:sz w:val="20"/>
          <w:szCs w:val="20"/>
        </w:rPr>
        <w:t>可靠性模型的建立和可靠性预计.1990.</w:t>
      </w:r>
    </w:p>
    <w:p w14:paraId="19E291C6">
      <w:pPr>
        <w:spacing w:before="109" w:line="222" w:lineRule="auto"/>
        <w:rPr>
          <w:rFonts w:ascii="仿宋" w:hAnsi="仿宋" w:eastAsia="仿宋" w:cs="仿宋"/>
          <w:sz w:val="19"/>
          <w:szCs w:val="19"/>
        </w:rPr>
      </w:pPr>
      <w:r>
        <w:rPr>
          <w:rFonts w:ascii="仿宋" w:hAnsi="仿宋" w:eastAsia="仿宋" w:cs="仿宋"/>
          <w:spacing w:val="6"/>
          <w:sz w:val="19"/>
          <w:szCs w:val="19"/>
        </w:rPr>
        <w:t>[36]</w:t>
      </w:r>
      <w:r>
        <w:rPr>
          <w:rFonts w:ascii="仿宋" w:hAnsi="仿宋" w:eastAsia="仿宋" w:cs="仿宋"/>
          <w:spacing w:val="33"/>
          <w:sz w:val="19"/>
          <w:szCs w:val="19"/>
        </w:rPr>
        <w:t xml:space="preserve">  </w:t>
      </w:r>
      <w:r>
        <w:rPr>
          <w:rFonts w:ascii="Times New Roman" w:hAnsi="Times New Roman" w:eastAsia="Times New Roman" w:cs="Times New Roman"/>
          <w:sz w:val="19"/>
          <w:szCs w:val="19"/>
        </w:rPr>
        <w:t>GJB</w:t>
      </w:r>
      <w:r>
        <w:rPr>
          <w:rFonts w:ascii="Times New Roman" w:hAnsi="Times New Roman" w:eastAsia="Times New Roman" w:cs="Times New Roman"/>
          <w:spacing w:val="6"/>
          <w:sz w:val="19"/>
          <w:szCs w:val="19"/>
        </w:rPr>
        <w:t xml:space="preserve">     841—1990.</w:t>
      </w:r>
      <w:r>
        <w:rPr>
          <w:rFonts w:ascii="仿宋" w:hAnsi="仿宋" w:eastAsia="仿宋" w:cs="仿宋"/>
          <w:spacing w:val="6"/>
          <w:sz w:val="19"/>
          <w:szCs w:val="19"/>
        </w:rPr>
        <w:t>故障报告、分析和</w:t>
      </w:r>
      <w:r>
        <w:rPr>
          <w:rFonts w:ascii="仿宋" w:hAnsi="仿宋" w:eastAsia="仿宋" w:cs="仿宋"/>
          <w:spacing w:val="5"/>
          <w:sz w:val="19"/>
          <w:szCs w:val="19"/>
        </w:rPr>
        <w:t>纠正措施系统.1990.</w:t>
      </w:r>
    </w:p>
    <w:p w14:paraId="2BF08EBE">
      <w:pPr>
        <w:pStyle w:val="2"/>
        <w:spacing w:before="104" w:line="219" w:lineRule="auto"/>
        <w:rPr>
          <w:sz w:val="20"/>
          <w:szCs w:val="20"/>
        </w:rPr>
      </w:pPr>
      <w:r>
        <w:rPr>
          <w:spacing w:val="4"/>
          <w:sz w:val="20"/>
          <w:szCs w:val="20"/>
        </w:rPr>
        <w:t>[37]</w:t>
      </w:r>
      <w:r>
        <w:rPr>
          <w:spacing w:val="2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899—1990.</w:t>
      </w:r>
      <w:r>
        <w:rPr>
          <w:spacing w:val="4"/>
          <w:sz w:val="20"/>
          <w:szCs w:val="20"/>
        </w:rPr>
        <w:t>可靠性鉴定和验收试验.1990.</w:t>
      </w:r>
    </w:p>
    <w:p w14:paraId="125A3B67">
      <w:pPr>
        <w:pStyle w:val="2"/>
        <w:spacing w:before="122" w:line="219" w:lineRule="auto"/>
        <w:rPr>
          <w:sz w:val="20"/>
          <w:szCs w:val="20"/>
        </w:rPr>
      </w:pPr>
      <w:r>
        <w:rPr>
          <w:spacing w:val="3"/>
          <w:sz w:val="20"/>
          <w:szCs w:val="20"/>
        </w:rPr>
        <w:t xml:space="preserve">[38]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899A—2009.</w:t>
      </w:r>
      <w:r>
        <w:rPr>
          <w:rFonts w:ascii="Times New Roman" w:hAnsi="Times New Roman" w:eastAsia="Times New Roman" w:cs="Times New Roman"/>
          <w:spacing w:val="-24"/>
          <w:sz w:val="20"/>
          <w:szCs w:val="20"/>
        </w:rPr>
        <w:t xml:space="preserve"> </w:t>
      </w:r>
      <w:r>
        <w:rPr>
          <w:spacing w:val="3"/>
          <w:sz w:val="20"/>
          <w:szCs w:val="20"/>
        </w:rPr>
        <w:t>可靠性鉴定和验收试验.200</w:t>
      </w:r>
      <w:r>
        <w:rPr>
          <w:spacing w:val="2"/>
          <w:sz w:val="20"/>
          <w:szCs w:val="20"/>
        </w:rPr>
        <w:t>9.</w:t>
      </w:r>
    </w:p>
    <w:p w14:paraId="112DC92A">
      <w:pPr>
        <w:pStyle w:val="2"/>
        <w:spacing w:before="104" w:line="220" w:lineRule="auto"/>
        <w:rPr>
          <w:sz w:val="20"/>
          <w:szCs w:val="20"/>
        </w:rPr>
      </w:pPr>
      <w:r>
        <w:rPr>
          <w:spacing w:val="3"/>
          <w:sz w:val="20"/>
          <w:szCs w:val="20"/>
        </w:rPr>
        <w:t xml:space="preserve">[39]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900—1990.</w:t>
      </w:r>
      <w:r>
        <w:rPr>
          <w:spacing w:val="3"/>
          <w:sz w:val="20"/>
          <w:szCs w:val="20"/>
        </w:rPr>
        <w:t>系统安全性通用大纲.1990.</w:t>
      </w:r>
    </w:p>
    <w:p w14:paraId="00E2AAA6">
      <w:pPr>
        <w:pStyle w:val="2"/>
        <w:spacing w:before="91" w:line="219" w:lineRule="auto"/>
        <w:rPr>
          <w:sz w:val="20"/>
          <w:szCs w:val="20"/>
        </w:rPr>
      </w:pPr>
      <w:r>
        <w:rPr>
          <w:spacing w:val="4"/>
          <w:sz w:val="20"/>
          <w:szCs w:val="20"/>
        </w:rPr>
        <w:t xml:space="preserve">[40]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906—1990.</w:t>
      </w:r>
      <w:r>
        <w:rPr>
          <w:spacing w:val="4"/>
          <w:sz w:val="20"/>
          <w:szCs w:val="20"/>
        </w:rPr>
        <w:t>成套技术资料质量管理要求.199</w:t>
      </w:r>
      <w:r>
        <w:rPr>
          <w:spacing w:val="3"/>
          <w:sz w:val="20"/>
          <w:szCs w:val="20"/>
        </w:rPr>
        <w:t>0.</w:t>
      </w:r>
    </w:p>
    <w:p w14:paraId="307A8164">
      <w:pPr>
        <w:pStyle w:val="2"/>
        <w:spacing w:before="113" w:line="219" w:lineRule="auto"/>
        <w:rPr>
          <w:sz w:val="20"/>
          <w:szCs w:val="20"/>
        </w:rPr>
      </w:pPr>
      <w:r>
        <w:rPr>
          <w:spacing w:val="3"/>
          <w:sz w:val="20"/>
          <w:szCs w:val="20"/>
        </w:rPr>
        <w:t xml:space="preserve">[41]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907A—2006.</w:t>
      </w:r>
      <w:r>
        <w:rPr>
          <w:spacing w:val="3"/>
          <w:sz w:val="20"/>
          <w:szCs w:val="20"/>
        </w:rPr>
        <w:t>产品质量评审.2</w:t>
      </w:r>
      <w:r>
        <w:rPr>
          <w:spacing w:val="2"/>
          <w:sz w:val="20"/>
          <w:szCs w:val="20"/>
        </w:rPr>
        <w:t>006.</w:t>
      </w:r>
    </w:p>
    <w:p w14:paraId="288312CC">
      <w:pPr>
        <w:pStyle w:val="2"/>
        <w:spacing w:before="102" w:line="219" w:lineRule="auto"/>
        <w:rPr>
          <w:sz w:val="20"/>
          <w:szCs w:val="20"/>
        </w:rPr>
      </w:pPr>
      <w:r>
        <w:rPr>
          <w:spacing w:val="2"/>
          <w:sz w:val="20"/>
          <w:szCs w:val="20"/>
        </w:rPr>
        <w:t>[42]</w:t>
      </w:r>
      <w:r>
        <w:rPr>
          <w:spacing w:val="1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2"/>
          <w:sz w:val="20"/>
          <w:szCs w:val="20"/>
        </w:rPr>
        <w:t>908—1990.</w:t>
      </w:r>
      <w:r>
        <w:rPr>
          <w:spacing w:val="2"/>
          <w:sz w:val="20"/>
          <w:szCs w:val="20"/>
        </w:rPr>
        <w:t>首件鉴定.19</w:t>
      </w:r>
      <w:r>
        <w:rPr>
          <w:spacing w:val="1"/>
          <w:sz w:val="20"/>
          <w:szCs w:val="20"/>
        </w:rPr>
        <w:t>90.</w:t>
      </w:r>
    </w:p>
    <w:p w14:paraId="1C7604AF">
      <w:pPr>
        <w:pStyle w:val="2"/>
        <w:spacing w:before="113" w:line="219" w:lineRule="auto"/>
        <w:rPr>
          <w:sz w:val="20"/>
          <w:szCs w:val="20"/>
        </w:rPr>
      </w:pPr>
      <w:r>
        <w:rPr>
          <w:spacing w:val="2"/>
          <w:sz w:val="20"/>
          <w:szCs w:val="20"/>
        </w:rPr>
        <w:t>[43]</w:t>
      </w:r>
      <w:r>
        <w:rPr>
          <w:spacing w:val="22"/>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2"/>
          <w:sz w:val="20"/>
          <w:szCs w:val="20"/>
        </w:rPr>
        <w:t>908A—2008.</w:t>
      </w:r>
      <w:r>
        <w:rPr>
          <w:spacing w:val="2"/>
          <w:sz w:val="20"/>
          <w:szCs w:val="20"/>
        </w:rPr>
        <w:t>首件鉴定.2008.</w:t>
      </w:r>
    </w:p>
    <w:p w14:paraId="6072CA8F">
      <w:pPr>
        <w:pStyle w:val="2"/>
        <w:spacing w:before="113" w:line="219" w:lineRule="auto"/>
        <w:rPr>
          <w:sz w:val="20"/>
          <w:szCs w:val="20"/>
        </w:rPr>
      </w:pPr>
      <w:r>
        <w:rPr>
          <w:spacing w:val="4"/>
          <w:sz w:val="20"/>
          <w:szCs w:val="20"/>
        </w:rPr>
        <w:t xml:space="preserve">[44]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909A—2005.</w:t>
      </w:r>
      <w:r>
        <w:rPr>
          <w:spacing w:val="4"/>
          <w:sz w:val="20"/>
          <w:szCs w:val="20"/>
        </w:rPr>
        <w:t>关键件和重要件的质量控制.2005.</w:t>
      </w:r>
    </w:p>
    <w:p w14:paraId="7104A169">
      <w:pPr>
        <w:pStyle w:val="2"/>
        <w:spacing w:before="111" w:line="219" w:lineRule="auto"/>
        <w:rPr>
          <w:sz w:val="20"/>
          <w:szCs w:val="20"/>
        </w:rPr>
      </w:pPr>
      <w:r>
        <w:rPr>
          <w:spacing w:val="3"/>
          <w:sz w:val="20"/>
          <w:szCs w:val="20"/>
        </w:rPr>
        <w:t xml:space="preserve">[45]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939—1990.</w:t>
      </w:r>
      <w:r>
        <w:rPr>
          <w:spacing w:val="3"/>
          <w:sz w:val="20"/>
          <w:szCs w:val="20"/>
        </w:rPr>
        <w:t>外购器材的质量管理.1990.</w:t>
      </w:r>
    </w:p>
    <w:p w14:paraId="6BF59A01">
      <w:pPr>
        <w:pStyle w:val="2"/>
        <w:spacing w:before="104" w:line="219" w:lineRule="auto"/>
        <w:rPr>
          <w:sz w:val="20"/>
          <w:szCs w:val="20"/>
        </w:rPr>
      </w:pPr>
      <w:r>
        <w:rPr>
          <w:spacing w:val="3"/>
          <w:sz w:val="20"/>
          <w:szCs w:val="20"/>
        </w:rPr>
        <w:t xml:space="preserve">[46]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1032—1990.</w:t>
      </w:r>
      <w:r>
        <w:rPr>
          <w:rFonts w:ascii="Times New Roman" w:hAnsi="Times New Roman" w:eastAsia="Times New Roman" w:cs="Times New Roman"/>
          <w:spacing w:val="-8"/>
          <w:sz w:val="20"/>
          <w:szCs w:val="20"/>
        </w:rPr>
        <w:t xml:space="preserve"> </w:t>
      </w:r>
      <w:r>
        <w:rPr>
          <w:spacing w:val="3"/>
          <w:sz w:val="20"/>
          <w:szCs w:val="20"/>
        </w:rPr>
        <w:t>电子产品环境应力筛选方法.1990.</w:t>
      </w:r>
    </w:p>
    <w:p w14:paraId="18D9DAEC">
      <w:pPr>
        <w:pStyle w:val="2"/>
        <w:spacing w:before="102" w:line="219" w:lineRule="auto"/>
        <w:rPr>
          <w:sz w:val="20"/>
          <w:szCs w:val="20"/>
        </w:rPr>
      </w:pPr>
      <w:r>
        <w:rPr>
          <w:sz w:val="20"/>
          <w:szCs w:val="20"/>
        </w:rPr>
        <w:t xml:space="preserve">[47]  </w:t>
      </w:r>
      <w:r>
        <w:rPr>
          <w:rFonts w:ascii="Times New Roman" w:hAnsi="Times New Roman" w:eastAsia="Times New Roman" w:cs="Times New Roman"/>
          <w:sz w:val="20"/>
          <w:szCs w:val="20"/>
        </w:rPr>
        <w:t>GJB</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z w:val="20"/>
          <w:szCs w:val="20"/>
        </w:rPr>
        <w:t>1181—1991.</w:t>
      </w:r>
      <w:r>
        <w:rPr>
          <w:sz w:val="20"/>
          <w:szCs w:val="20"/>
        </w:rPr>
        <w:t>军用装备包装、装卸、贮存和运输通用大纲.1991.</w:t>
      </w:r>
    </w:p>
    <w:p w14:paraId="5A74CA96">
      <w:pPr>
        <w:pStyle w:val="2"/>
        <w:spacing w:before="122" w:line="219" w:lineRule="auto"/>
        <w:rPr>
          <w:sz w:val="20"/>
          <w:szCs w:val="20"/>
        </w:rPr>
      </w:pPr>
      <w:r>
        <w:rPr>
          <w:spacing w:val="1"/>
          <w:sz w:val="20"/>
          <w:szCs w:val="20"/>
        </w:rPr>
        <w:t>[48]</w:t>
      </w:r>
      <w:r>
        <w:rPr>
          <w:spacing w:val="35"/>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1268A—2004.</w:t>
      </w:r>
      <w:r>
        <w:rPr>
          <w:rFonts w:ascii="Times New Roman" w:hAnsi="Times New Roman" w:eastAsia="Times New Roman" w:cs="Times New Roman"/>
          <w:spacing w:val="-23"/>
          <w:sz w:val="20"/>
          <w:szCs w:val="20"/>
        </w:rPr>
        <w:t xml:space="preserve"> </w:t>
      </w:r>
      <w:r>
        <w:rPr>
          <w:spacing w:val="1"/>
          <w:sz w:val="20"/>
          <w:szCs w:val="20"/>
        </w:rPr>
        <w:t>军用软件验收要求.2004.</w:t>
      </w:r>
    </w:p>
    <w:p w14:paraId="2356C239">
      <w:pPr>
        <w:pStyle w:val="2"/>
        <w:spacing w:before="105" w:line="220" w:lineRule="auto"/>
        <w:rPr>
          <w:sz w:val="20"/>
          <w:szCs w:val="20"/>
        </w:rPr>
      </w:pPr>
      <w:r>
        <w:rPr>
          <w:spacing w:val="1"/>
          <w:sz w:val="20"/>
          <w:szCs w:val="20"/>
        </w:rPr>
        <w:t>[49]</w:t>
      </w:r>
      <w:r>
        <w:rPr>
          <w:spacing w:val="2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1269—1991.</w:t>
      </w:r>
      <w:r>
        <w:rPr>
          <w:spacing w:val="1"/>
          <w:sz w:val="20"/>
          <w:szCs w:val="20"/>
        </w:rPr>
        <w:t>工艺评审.1991.</w:t>
      </w:r>
    </w:p>
    <w:p w14:paraId="7CB32382">
      <w:pPr>
        <w:pStyle w:val="2"/>
        <w:spacing w:before="112" w:line="220" w:lineRule="auto"/>
        <w:rPr>
          <w:sz w:val="20"/>
          <w:szCs w:val="20"/>
        </w:rPr>
      </w:pPr>
      <w:r>
        <w:rPr>
          <w:spacing w:val="1"/>
          <w:sz w:val="20"/>
          <w:szCs w:val="20"/>
        </w:rPr>
        <w:t>[50]</w:t>
      </w:r>
      <w:r>
        <w:rPr>
          <w:spacing w:val="26"/>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 xml:space="preserve">    1269A—2000.</w:t>
      </w:r>
      <w:r>
        <w:rPr>
          <w:spacing w:val="1"/>
          <w:sz w:val="20"/>
          <w:szCs w:val="20"/>
        </w:rPr>
        <w:t>工艺评审.2000.</w:t>
      </w:r>
    </w:p>
    <w:p w14:paraId="2046903F">
      <w:pPr>
        <w:pStyle w:val="2"/>
        <w:spacing w:before="101" w:line="220" w:lineRule="auto"/>
        <w:rPr>
          <w:sz w:val="20"/>
          <w:szCs w:val="20"/>
        </w:rPr>
      </w:pPr>
      <w:r>
        <w:rPr>
          <w:spacing w:val="2"/>
          <w:sz w:val="20"/>
          <w:szCs w:val="20"/>
        </w:rPr>
        <w:t>[51]</w:t>
      </w:r>
      <w:r>
        <w:rPr>
          <w:spacing w:val="22"/>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1310A—2004.</w:t>
      </w:r>
      <w:r>
        <w:rPr>
          <w:rFonts w:ascii="Times New Roman" w:hAnsi="Times New Roman" w:eastAsia="Times New Roman" w:cs="Times New Roman"/>
          <w:spacing w:val="12"/>
          <w:w w:val="101"/>
          <w:sz w:val="20"/>
          <w:szCs w:val="20"/>
        </w:rPr>
        <w:t xml:space="preserve">   </w:t>
      </w:r>
      <w:r>
        <w:rPr>
          <w:spacing w:val="2"/>
          <w:sz w:val="20"/>
          <w:szCs w:val="20"/>
        </w:rPr>
        <w:t>设计评审.2004.</w:t>
      </w:r>
    </w:p>
    <w:p w14:paraId="78CF3F61">
      <w:pPr>
        <w:pStyle w:val="2"/>
        <w:spacing w:before="92" w:line="212" w:lineRule="auto"/>
        <w:rPr>
          <w:sz w:val="20"/>
          <w:szCs w:val="20"/>
        </w:rPr>
      </w:pPr>
      <w:r>
        <w:rPr>
          <w:rFonts w:ascii="Times New Roman" w:hAnsi="Times New Roman" w:eastAsia="Times New Roman" w:cs="Times New Roman"/>
          <w:spacing w:val="4"/>
          <w:sz w:val="20"/>
          <w:szCs w:val="20"/>
        </w:rPr>
        <w:t>[52]</w:t>
      </w:r>
      <w:r>
        <w:rPr>
          <w:rFonts w:ascii="Times New Roman" w:hAnsi="Times New Roman" w:eastAsia="Times New Roman" w:cs="Times New Roman"/>
          <w:sz w:val="20"/>
          <w:szCs w:val="20"/>
        </w:rPr>
        <w:t>G</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JB</w:t>
      </w:r>
      <w:r>
        <w:rPr>
          <w:rFonts w:ascii="Times New Roman" w:hAnsi="Times New Roman" w:eastAsia="Times New Roman" w:cs="Times New Roman"/>
          <w:spacing w:val="4"/>
          <w:sz w:val="20"/>
          <w:szCs w:val="20"/>
        </w:rPr>
        <w:t xml:space="preserve">   1317A—2006.</w:t>
      </w:r>
      <w:r>
        <w:rPr>
          <w:rFonts w:ascii="Times New Roman" w:hAnsi="Times New Roman" w:eastAsia="Times New Roman" w:cs="Times New Roman"/>
          <w:spacing w:val="-10"/>
          <w:sz w:val="20"/>
          <w:szCs w:val="20"/>
        </w:rPr>
        <w:t xml:space="preserve"> </w:t>
      </w:r>
      <w:r>
        <w:rPr>
          <w:spacing w:val="4"/>
          <w:sz w:val="20"/>
          <w:szCs w:val="20"/>
        </w:rPr>
        <w:t>军用检定规程和校准规程编写通用要求.2006.</w:t>
      </w:r>
    </w:p>
    <w:p w14:paraId="7A8AF371">
      <w:pPr>
        <w:pStyle w:val="2"/>
        <w:spacing w:before="138" w:line="219" w:lineRule="auto"/>
        <w:rPr>
          <w:sz w:val="20"/>
          <w:szCs w:val="20"/>
        </w:rPr>
      </w:pPr>
      <w:r>
        <w:rPr>
          <w:spacing w:val="5"/>
          <w:sz w:val="20"/>
          <w:szCs w:val="20"/>
        </w:rPr>
        <w:t xml:space="preserve">[53]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1330—1991.</w:t>
      </w:r>
      <w:r>
        <w:rPr>
          <w:spacing w:val="5"/>
          <w:sz w:val="20"/>
          <w:szCs w:val="20"/>
        </w:rPr>
        <w:t>军工</w:t>
      </w:r>
      <w:r>
        <w:rPr>
          <w:spacing w:val="4"/>
          <w:sz w:val="20"/>
          <w:szCs w:val="20"/>
        </w:rPr>
        <w:t>产品批次管理的质量控制要求.1991.</w:t>
      </w:r>
    </w:p>
    <w:p w14:paraId="00200080">
      <w:pPr>
        <w:pStyle w:val="2"/>
        <w:spacing w:before="113" w:line="219" w:lineRule="auto"/>
        <w:rPr>
          <w:sz w:val="20"/>
          <w:szCs w:val="20"/>
        </w:rPr>
      </w:pPr>
      <w:r>
        <w:rPr>
          <w:spacing w:val="2"/>
          <w:sz w:val="20"/>
          <w:szCs w:val="20"/>
        </w:rPr>
        <w:t>[54]</w:t>
      </w:r>
      <w:r>
        <w:rPr>
          <w:spacing w:val="27"/>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1362A—2007.</w:t>
      </w:r>
      <w:r>
        <w:rPr>
          <w:rFonts w:ascii="Times New Roman" w:hAnsi="Times New Roman" w:eastAsia="Times New Roman" w:cs="Times New Roman"/>
          <w:spacing w:val="-24"/>
          <w:sz w:val="20"/>
          <w:szCs w:val="20"/>
        </w:rPr>
        <w:t xml:space="preserve"> </w:t>
      </w:r>
      <w:r>
        <w:rPr>
          <w:spacing w:val="2"/>
          <w:sz w:val="20"/>
          <w:szCs w:val="20"/>
        </w:rPr>
        <w:t>军工产品定型程序和要求.2007.</w:t>
      </w:r>
    </w:p>
    <w:p w14:paraId="6FFEE266">
      <w:pPr>
        <w:pStyle w:val="2"/>
        <w:spacing w:before="105" w:line="220" w:lineRule="auto"/>
        <w:rPr>
          <w:sz w:val="20"/>
          <w:szCs w:val="20"/>
        </w:rPr>
      </w:pPr>
      <w:r>
        <w:rPr>
          <w:spacing w:val="4"/>
          <w:sz w:val="20"/>
          <w:szCs w:val="20"/>
        </w:rPr>
        <w:t xml:space="preserve">[55]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1364—1992.</w:t>
      </w:r>
      <w:r>
        <w:rPr>
          <w:spacing w:val="4"/>
          <w:sz w:val="20"/>
          <w:szCs w:val="20"/>
        </w:rPr>
        <w:t>装</w:t>
      </w:r>
      <w:r>
        <w:rPr>
          <w:spacing w:val="3"/>
          <w:sz w:val="20"/>
          <w:szCs w:val="20"/>
        </w:rPr>
        <w:t>备费用一效能分析.1992.</w:t>
      </w:r>
    </w:p>
    <w:p w14:paraId="120AAD93">
      <w:pPr>
        <w:pStyle w:val="2"/>
        <w:spacing w:before="111" w:line="219" w:lineRule="auto"/>
        <w:rPr>
          <w:sz w:val="20"/>
          <w:szCs w:val="20"/>
        </w:rPr>
      </w:pPr>
      <w:r>
        <w:rPr>
          <w:spacing w:val="2"/>
          <w:sz w:val="20"/>
          <w:szCs w:val="20"/>
        </w:rPr>
        <w:t>[56]</w:t>
      </w:r>
      <w:r>
        <w:rPr>
          <w:spacing w:val="1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1371—1992.</w:t>
      </w:r>
      <w:r>
        <w:rPr>
          <w:spacing w:val="2"/>
          <w:sz w:val="20"/>
          <w:szCs w:val="20"/>
        </w:rPr>
        <w:t>装备保障性分析.</w:t>
      </w:r>
      <w:r>
        <w:rPr>
          <w:spacing w:val="1"/>
          <w:sz w:val="20"/>
          <w:szCs w:val="20"/>
        </w:rPr>
        <w:t>1992.</w:t>
      </w:r>
    </w:p>
    <w:p w14:paraId="08275340">
      <w:pPr>
        <w:pStyle w:val="2"/>
        <w:spacing w:before="113" w:line="219" w:lineRule="auto"/>
        <w:rPr>
          <w:sz w:val="20"/>
          <w:szCs w:val="20"/>
        </w:rPr>
      </w:pPr>
      <w:r>
        <w:rPr>
          <w:spacing w:val="5"/>
          <w:sz w:val="20"/>
          <w:szCs w:val="20"/>
        </w:rPr>
        <w:t xml:space="preserve">[57]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1378A—2007.</w:t>
      </w:r>
      <w:r>
        <w:rPr>
          <w:spacing w:val="5"/>
          <w:sz w:val="20"/>
          <w:szCs w:val="20"/>
        </w:rPr>
        <w:t>装备以可靠性为</w:t>
      </w:r>
      <w:r>
        <w:rPr>
          <w:spacing w:val="4"/>
          <w:sz w:val="20"/>
          <w:szCs w:val="20"/>
        </w:rPr>
        <w:t>中心的维修分析.2007.</w:t>
      </w:r>
    </w:p>
    <w:p w14:paraId="769F5609">
      <w:pPr>
        <w:pStyle w:val="2"/>
        <w:spacing w:before="103" w:line="219" w:lineRule="auto"/>
        <w:rPr>
          <w:sz w:val="20"/>
          <w:szCs w:val="20"/>
        </w:rPr>
      </w:pPr>
      <w:r>
        <w:rPr>
          <w:spacing w:val="4"/>
          <w:sz w:val="20"/>
          <w:szCs w:val="20"/>
        </w:rPr>
        <w:t xml:space="preserve">[58]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1389—1992.</w:t>
      </w:r>
      <w:r>
        <w:rPr>
          <w:spacing w:val="4"/>
          <w:sz w:val="20"/>
          <w:szCs w:val="20"/>
        </w:rPr>
        <w:t>系</w:t>
      </w:r>
      <w:r>
        <w:rPr>
          <w:spacing w:val="3"/>
          <w:sz w:val="20"/>
          <w:szCs w:val="20"/>
        </w:rPr>
        <w:t>统电磁兼容性要求.1992.</w:t>
      </w:r>
    </w:p>
    <w:p w14:paraId="3E394A07">
      <w:pPr>
        <w:pStyle w:val="2"/>
        <w:spacing w:before="141" w:line="219" w:lineRule="auto"/>
        <w:rPr>
          <w:sz w:val="17"/>
          <w:szCs w:val="17"/>
        </w:rPr>
      </w:pPr>
      <w:r>
        <w:rPr>
          <w:spacing w:val="10"/>
          <w:sz w:val="17"/>
          <w:szCs w:val="17"/>
        </w:rPr>
        <w:t xml:space="preserve">[59]   </w:t>
      </w:r>
      <w:r>
        <w:rPr>
          <w:rFonts w:ascii="Times New Roman" w:hAnsi="Times New Roman" w:eastAsia="Times New Roman" w:cs="Times New Roman"/>
          <w:sz w:val="17"/>
          <w:szCs w:val="17"/>
        </w:rPr>
        <w:t>GJB</w:t>
      </w:r>
      <w:r>
        <w:rPr>
          <w:rFonts w:ascii="Times New Roman" w:hAnsi="Times New Roman" w:eastAsia="Times New Roman" w:cs="Times New Roman"/>
          <w:spacing w:val="2"/>
          <w:sz w:val="17"/>
          <w:szCs w:val="17"/>
        </w:rPr>
        <w:t xml:space="preserve">          </w:t>
      </w:r>
      <w:r>
        <w:rPr>
          <w:rFonts w:ascii="Times New Roman" w:hAnsi="Times New Roman" w:eastAsia="Times New Roman" w:cs="Times New Roman"/>
          <w:spacing w:val="10"/>
          <w:sz w:val="17"/>
          <w:szCs w:val="17"/>
        </w:rPr>
        <w:t>1389A—2005.</w:t>
      </w:r>
      <w:r>
        <w:rPr>
          <w:rFonts w:ascii="Times New Roman" w:hAnsi="Times New Roman" w:eastAsia="Times New Roman" w:cs="Times New Roman"/>
          <w:spacing w:val="-14"/>
          <w:sz w:val="17"/>
          <w:szCs w:val="17"/>
        </w:rPr>
        <w:t xml:space="preserve"> </w:t>
      </w:r>
      <w:r>
        <w:rPr>
          <w:spacing w:val="10"/>
          <w:sz w:val="17"/>
          <w:szCs w:val="17"/>
        </w:rPr>
        <w:t>系统电磁兼容性要求</w:t>
      </w:r>
      <w:r>
        <w:rPr>
          <w:spacing w:val="-38"/>
          <w:sz w:val="17"/>
          <w:szCs w:val="17"/>
        </w:rPr>
        <w:t xml:space="preserve"> </w:t>
      </w:r>
      <w:r>
        <w:rPr>
          <w:spacing w:val="10"/>
          <w:sz w:val="17"/>
          <w:szCs w:val="17"/>
        </w:rPr>
        <w:t>.</w:t>
      </w:r>
      <w:r>
        <w:rPr>
          <w:spacing w:val="-41"/>
          <w:sz w:val="17"/>
          <w:szCs w:val="17"/>
        </w:rPr>
        <w:t xml:space="preserve"> </w:t>
      </w:r>
      <w:r>
        <w:rPr>
          <w:spacing w:val="10"/>
          <w:sz w:val="17"/>
          <w:szCs w:val="17"/>
        </w:rPr>
        <w:t>2005</w:t>
      </w:r>
      <w:r>
        <w:rPr>
          <w:spacing w:val="-39"/>
          <w:sz w:val="17"/>
          <w:szCs w:val="17"/>
        </w:rPr>
        <w:t xml:space="preserve"> </w:t>
      </w:r>
      <w:r>
        <w:rPr>
          <w:spacing w:val="10"/>
          <w:sz w:val="17"/>
          <w:szCs w:val="17"/>
        </w:rPr>
        <w:t>.</w:t>
      </w:r>
    </w:p>
    <w:p w14:paraId="26F8BB1B">
      <w:pPr>
        <w:pStyle w:val="2"/>
        <w:spacing w:before="110" w:line="212" w:lineRule="auto"/>
        <w:rPr>
          <w:sz w:val="20"/>
          <w:szCs w:val="20"/>
        </w:rPr>
      </w:pPr>
      <w:r>
        <w:rPr>
          <w:rFonts w:ascii="Times New Roman" w:hAnsi="Times New Roman" w:eastAsia="Times New Roman" w:cs="Times New Roman"/>
          <w:spacing w:val="4"/>
          <w:sz w:val="20"/>
          <w:szCs w:val="20"/>
        </w:rPr>
        <w:t>[60]</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1404—1992.         </w:t>
      </w:r>
      <w:r>
        <w:rPr>
          <w:spacing w:val="4"/>
          <w:sz w:val="20"/>
          <w:szCs w:val="20"/>
        </w:rPr>
        <w:t>器材供应单位质量保证能力评定.1992.</w:t>
      </w:r>
    </w:p>
    <w:p w14:paraId="34AAAA69">
      <w:pPr>
        <w:pStyle w:val="2"/>
        <w:spacing w:before="140" w:line="219" w:lineRule="auto"/>
        <w:rPr>
          <w:sz w:val="20"/>
          <w:szCs w:val="20"/>
        </w:rPr>
      </w:pPr>
      <w:r>
        <w:rPr>
          <w:spacing w:val="3"/>
          <w:sz w:val="20"/>
          <w:szCs w:val="20"/>
        </w:rPr>
        <w:t xml:space="preserve">[61]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1405A—2006.    </w:t>
      </w:r>
      <w:r>
        <w:rPr>
          <w:spacing w:val="3"/>
          <w:sz w:val="20"/>
          <w:szCs w:val="20"/>
        </w:rPr>
        <w:t>装备质量管理术语.2006.</w:t>
      </w:r>
    </w:p>
    <w:p w14:paraId="1FF4F4F3">
      <w:pPr>
        <w:pStyle w:val="2"/>
        <w:spacing w:before="93" w:line="219" w:lineRule="auto"/>
        <w:rPr>
          <w:sz w:val="20"/>
          <w:szCs w:val="20"/>
        </w:rPr>
      </w:pPr>
      <w:r>
        <w:rPr>
          <w:spacing w:val="4"/>
          <w:sz w:val="20"/>
          <w:szCs w:val="20"/>
        </w:rPr>
        <w:t xml:space="preserve">[62]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4"/>
          <w:sz w:val="20"/>
          <w:szCs w:val="20"/>
        </w:rPr>
        <w:t>1406A—2005.</w:t>
      </w:r>
      <w:r>
        <w:rPr>
          <w:spacing w:val="4"/>
          <w:sz w:val="20"/>
          <w:szCs w:val="20"/>
        </w:rPr>
        <w:t>产品质量保证大纲要求.</w:t>
      </w:r>
      <w:r>
        <w:rPr>
          <w:spacing w:val="3"/>
          <w:sz w:val="20"/>
          <w:szCs w:val="20"/>
        </w:rPr>
        <w:t>2005.</w:t>
      </w:r>
    </w:p>
    <w:p w14:paraId="1ADA67E8">
      <w:pPr>
        <w:pStyle w:val="2"/>
        <w:spacing w:before="123" w:line="221" w:lineRule="auto"/>
        <w:rPr>
          <w:sz w:val="20"/>
          <w:szCs w:val="20"/>
        </w:rPr>
      </w:pPr>
      <w:r>
        <w:rPr>
          <w:spacing w:val="3"/>
          <w:sz w:val="20"/>
          <w:szCs w:val="20"/>
        </w:rPr>
        <w:t xml:space="preserve">[63]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1407—1992.    </w:t>
      </w:r>
      <w:r>
        <w:rPr>
          <w:spacing w:val="3"/>
          <w:sz w:val="20"/>
          <w:szCs w:val="20"/>
        </w:rPr>
        <w:t>可靠性增长试验.19</w:t>
      </w:r>
      <w:r>
        <w:rPr>
          <w:spacing w:val="2"/>
          <w:sz w:val="20"/>
          <w:szCs w:val="20"/>
        </w:rPr>
        <w:t>92.</w:t>
      </w:r>
    </w:p>
    <w:p w14:paraId="105FCFD2">
      <w:pPr>
        <w:pStyle w:val="2"/>
        <w:spacing w:before="90" w:line="219" w:lineRule="auto"/>
        <w:rPr>
          <w:sz w:val="20"/>
          <w:szCs w:val="20"/>
        </w:rPr>
      </w:pPr>
      <w:r>
        <w:rPr>
          <w:spacing w:val="3"/>
          <w:sz w:val="20"/>
          <w:szCs w:val="20"/>
        </w:rPr>
        <w:t xml:space="preserve">[64]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1442A—2006.    </w:t>
      </w:r>
      <w:r>
        <w:rPr>
          <w:spacing w:val="3"/>
          <w:sz w:val="20"/>
          <w:szCs w:val="20"/>
        </w:rPr>
        <w:t>检验工作要求.2006.</w:t>
      </w:r>
    </w:p>
    <w:p w14:paraId="183991A9">
      <w:pPr>
        <w:pStyle w:val="2"/>
        <w:spacing w:before="76" w:line="273" w:lineRule="exact"/>
        <w:rPr>
          <w:sz w:val="20"/>
          <w:szCs w:val="20"/>
        </w:rPr>
      </w:pPr>
      <w:r>
        <w:rPr>
          <w:spacing w:val="-3"/>
          <w:position w:val="1"/>
          <w:sz w:val="20"/>
          <w:szCs w:val="20"/>
        </w:rPr>
        <w:t>[65]</w:t>
      </w:r>
      <w:r>
        <w:rPr>
          <w:spacing w:val="32"/>
          <w:position w:val="1"/>
          <w:sz w:val="20"/>
          <w:szCs w:val="20"/>
        </w:rPr>
        <w:t xml:space="preserve">  </w:t>
      </w:r>
      <w:r>
        <w:rPr>
          <w:rFonts w:ascii="Arial" w:hAnsi="Arial" w:eastAsia="Arial" w:cs="Arial"/>
          <w:spacing w:val="-3"/>
          <w:position w:val="1"/>
          <w:sz w:val="20"/>
          <w:szCs w:val="20"/>
        </w:rPr>
        <w:t xml:space="preserve">GJB1443—1992. </w:t>
      </w:r>
      <w:r>
        <w:rPr>
          <w:spacing w:val="-3"/>
          <w:position w:val="1"/>
          <w:sz w:val="20"/>
          <w:szCs w:val="20"/>
        </w:rPr>
        <w:t>产品包装、装卸、运输、贮存的质量管理要求.1992.</w:t>
      </w:r>
    </w:p>
    <w:p w14:paraId="6E07B73B">
      <w:pPr>
        <w:pStyle w:val="2"/>
        <w:spacing w:before="114" w:line="219" w:lineRule="auto"/>
        <w:rPr>
          <w:sz w:val="20"/>
          <w:szCs w:val="20"/>
        </w:rPr>
      </w:pPr>
      <w:r>
        <w:rPr>
          <w:spacing w:val="3"/>
          <w:sz w:val="20"/>
          <w:szCs w:val="20"/>
        </w:rPr>
        <w:t xml:space="preserve">[66]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1452—1992.    </w:t>
      </w:r>
      <w:r>
        <w:rPr>
          <w:spacing w:val="3"/>
          <w:sz w:val="20"/>
          <w:szCs w:val="20"/>
        </w:rPr>
        <w:t>大型试验质量管理要求.1992.</w:t>
      </w:r>
    </w:p>
    <w:p w14:paraId="5F7C00AB">
      <w:pPr>
        <w:pStyle w:val="2"/>
        <w:spacing w:before="102" w:line="219" w:lineRule="auto"/>
        <w:rPr>
          <w:sz w:val="20"/>
          <w:szCs w:val="20"/>
        </w:rPr>
      </w:pPr>
      <w:r>
        <w:rPr>
          <w:spacing w:val="4"/>
          <w:sz w:val="20"/>
          <w:szCs w:val="20"/>
        </w:rPr>
        <w:t>[67]</w:t>
      </w:r>
      <w:r>
        <w:rPr>
          <w:spacing w:val="28"/>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1452A—2004.   </w:t>
      </w:r>
      <w:r>
        <w:rPr>
          <w:spacing w:val="4"/>
          <w:sz w:val="20"/>
          <w:szCs w:val="20"/>
        </w:rPr>
        <w:t>大型试验质量管理要求.2004.</w:t>
      </w:r>
    </w:p>
    <w:p w14:paraId="28ED09C2">
      <w:pPr>
        <w:pStyle w:val="2"/>
        <w:spacing w:before="123" w:line="219" w:lineRule="auto"/>
        <w:rPr>
          <w:sz w:val="20"/>
          <w:szCs w:val="20"/>
        </w:rPr>
      </w:pPr>
      <w:r>
        <w:rPr>
          <w:spacing w:val="4"/>
          <w:sz w:val="20"/>
          <w:szCs w:val="20"/>
        </w:rPr>
        <w:t xml:space="preserve">[68]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1686—1993.</w:t>
      </w:r>
      <w:r>
        <w:rPr>
          <w:spacing w:val="4"/>
          <w:sz w:val="20"/>
          <w:szCs w:val="20"/>
        </w:rPr>
        <w:t>装备质量与可靠性信息管理要求.1993.</w:t>
      </w:r>
    </w:p>
    <w:p w14:paraId="577A3767">
      <w:pPr>
        <w:pStyle w:val="2"/>
        <w:spacing w:before="103" w:line="219" w:lineRule="auto"/>
        <w:rPr>
          <w:sz w:val="20"/>
          <w:szCs w:val="20"/>
        </w:rPr>
      </w:pPr>
      <w:r>
        <w:rPr>
          <w:spacing w:val="4"/>
          <w:sz w:val="20"/>
          <w:szCs w:val="20"/>
        </w:rPr>
        <w:t xml:space="preserve">[69]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1686A—2005.    </w:t>
      </w:r>
      <w:r>
        <w:rPr>
          <w:spacing w:val="4"/>
          <w:sz w:val="20"/>
          <w:szCs w:val="20"/>
        </w:rPr>
        <w:t>装备质量信息管理通用要求.2005.</w:t>
      </w:r>
    </w:p>
    <w:p w14:paraId="22968F85">
      <w:pPr>
        <w:pStyle w:val="2"/>
        <w:spacing w:before="103" w:line="219" w:lineRule="auto"/>
        <w:rPr>
          <w:sz w:val="20"/>
          <w:szCs w:val="20"/>
        </w:rPr>
      </w:pPr>
      <w:r>
        <w:rPr>
          <w:spacing w:val="4"/>
          <w:sz w:val="20"/>
          <w:szCs w:val="20"/>
        </w:rPr>
        <w:t>[70]</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1710—1993.   </w:t>
      </w:r>
      <w:r>
        <w:rPr>
          <w:spacing w:val="4"/>
          <w:sz w:val="20"/>
          <w:szCs w:val="20"/>
        </w:rPr>
        <w:t>试制和生产准备状</w:t>
      </w:r>
      <w:r>
        <w:rPr>
          <w:spacing w:val="3"/>
          <w:sz w:val="20"/>
          <w:szCs w:val="20"/>
        </w:rPr>
        <w:t>态检查.1993.</w:t>
      </w:r>
    </w:p>
    <w:p w14:paraId="5DEBD561">
      <w:pPr>
        <w:pStyle w:val="2"/>
        <w:spacing w:before="113" w:line="219" w:lineRule="auto"/>
        <w:rPr>
          <w:sz w:val="20"/>
          <w:szCs w:val="20"/>
        </w:rPr>
      </w:pPr>
      <w:r>
        <w:rPr>
          <w:spacing w:val="3"/>
          <w:sz w:val="20"/>
          <w:szCs w:val="20"/>
        </w:rPr>
        <w:t>[71]</w:t>
      </w:r>
      <w:r>
        <w:rPr>
          <w:spacing w:val="2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1710A—2004.</w:t>
      </w:r>
      <w:r>
        <w:rPr>
          <w:spacing w:val="3"/>
          <w:sz w:val="20"/>
          <w:szCs w:val="20"/>
        </w:rPr>
        <w:t>试制和生产准备状态检查.</w:t>
      </w:r>
      <w:r>
        <w:rPr>
          <w:spacing w:val="2"/>
          <w:sz w:val="20"/>
          <w:szCs w:val="20"/>
        </w:rPr>
        <w:t>2004.</w:t>
      </w:r>
    </w:p>
    <w:p w14:paraId="6A4FDBF1">
      <w:pPr>
        <w:pStyle w:val="2"/>
        <w:spacing w:before="103" w:line="212" w:lineRule="auto"/>
        <w:rPr>
          <w:sz w:val="20"/>
          <w:szCs w:val="20"/>
        </w:rPr>
      </w:pPr>
      <w:r>
        <w:rPr>
          <w:rFonts w:ascii="Times New Roman" w:hAnsi="Times New Roman" w:eastAsia="Times New Roman" w:cs="Times New Roman"/>
          <w:spacing w:val="5"/>
          <w:sz w:val="20"/>
          <w:szCs w:val="20"/>
        </w:rPr>
        <w:t>[72]</w:t>
      </w:r>
      <w:r>
        <w:rPr>
          <w:rFonts w:ascii="Times New Roman" w:hAnsi="Times New Roman" w:eastAsia="Times New Roman" w:cs="Times New Roman"/>
          <w:sz w:val="20"/>
          <w:szCs w:val="20"/>
        </w:rPr>
        <w:t>G</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JB</w:t>
      </w:r>
      <w:r>
        <w:rPr>
          <w:rFonts w:ascii="Times New Roman" w:hAnsi="Times New Roman" w:eastAsia="Times New Roman" w:cs="Times New Roman"/>
          <w:spacing w:val="5"/>
          <w:sz w:val="20"/>
          <w:szCs w:val="20"/>
        </w:rPr>
        <w:t xml:space="preserve">     1775—1993.</w:t>
      </w:r>
      <w:r>
        <w:rPr>
          <w:spacing w:val="5"/>
          <w:sz w:val="20"/>
          <w:szCs w:val="20"/>
        </w:rPr>
        <w:t>装备质量与可靠性信息分类和编码通用要求.1993.</w:t>
      </w:r>
    </w:p>
    <w:p w14:paraId="1DDCBDA4">
      <w:pPr>
        <w:spacing w:line="212" w:lineRule="auto"/>
        <w:rPr>
          <w:sz w:val="20"/>
          <w:szCs w:val="20"/>
        </w:rPr>
        <w:sectPr>
          <w:footerReference r:id="rId675" w:type="default"/>
          <w:pgSz w:w="11910" w:h="17130"/>
          <w:pgMar w:top="1456" w:right="1249" w:bottom="1643" w:left="1599" w:header="0" w:footer="1445" w:gutter="0"/>
          <w:cols w:space="720" w:num="1"/>
        </w:sectPr>
      </w:pPr>
    </w:p>
    <w:p w14:paraId="03C7F21D">
      <w:pPr>
        <w:pStyle w:val="2"/>
        <w:spacing w:before="42" w:line="212" w:lineRule="auto"/>
        <w:rPr>
          <w:sz w:val="20"/>
          <w:szCs w:val="20"/>
        </w:rPr>
      </w:pPr>
      <w:r>
        <w:rPr>
          <w:rFonts w:ascii="Times New Roman" w:hAnsi="Times New Roman" w:eastAsia="Times New Roman" w:cs="Times New Roman"/>
          <w:spacing w:val="5"/>
          <w:sz w:val="20"/>
          <w:szCs w:val="20"/>
        </w:rPr>
        <w:t>[73]</w:t>
      </w:r>
      <w:r>
        <w:rPr>
          <w:rFonts w:ascii="Times New Roman" w:hAnsi="Times New Roman" w:eastAsia="Times New Roman" w:cs="Times New Roman"/>
          <w:sz w:val="20"/>
          <w:szCs w:val="20"/>
        </w:rPr>
        <w:t>G</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JB</w:t>
      </w:r>
      <w:r>
        <w:rPr>
          <w:rFonts w:ascii="Times New Roman" w:hAnsi="Times New Roman" w:eastAsia="Times New Roman" w:cs="Times New Roman"/>
          <w:spacing w:val="5"/>
          <w:sz w:val="20"/>
          <w:szCs w:val="20"/>
        </w:rPr>
        <w:t xml:space="preserve">   1909—199</w:t>
      </w:r>
      <w:r>
        <w:rPr>
          <w:spacing w:val="5"/>
          <w:sz w:val="20"/>
          <w:szCs w:val="20"/>
        </w:rPr>
        <w:t>4.装备可靠性维修性参数选择和</w:t>
      </w:r>
      <w:r>
        <w:rPr>
          <w:spacing w:val="4"/>
          <w:sz w:val="20"/>
          <w:szCs w:val="20"/>
        </w:rPr>
        <w:t>指标确定要求.1994.</w:t>
      </w:r>
    </w:p>
    <w:p w14:paraId="695AABDE">
      <w:pPr>
        <w:pStyle w:val="2"/>
        <w:spacing w:before="140" w:line="219" w:lineRule="auto"/>
        <w:rPr>
          <w:sz w:val="20"/>
          <w:szCs w:val="20"/>
        </w:rPr>
      </w:pPr>
      <w:r>
        <w:rPr>
          <w:spacing w:val="5"/>
          <w:sz w:val="20"/>
          <w:szCs w:val="20"/>
        </w:rPr>
        <w:t xml:space="preserve">[74]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1909A—2009.</w:t>
      </w:r>
      <w:r>
        <w:rPr>
          <w:spacing w:val="5"/>
          <w:sz w:val="20"/>
          <w:szCs w:val="20"/>
        </w:rPr>
        <w:t>装备可</w:t>
      </w:r>
      <w:r>
        <w:rPr>
          <w:spacing w:val="4"/>
          <w:sz w:val="20"/>
          <w:szCs w:val="20"/>
        </w:rPr>
        <w:t>靠性维修性保障性要求论证.2009.</w:t>
      </w:r>
    </w:p>
    <w:p w14:paraId="02C78E79">
      <w:pPr>
        <w:pStyle w:val="2"/>
        <w:spacing w:before="112" w:line="219" w:lineRule="auto"/>
        <w:rPr>
          <w:sz w:val="20"/>
          <w:szCs w:val="20"/>
        </w:rPr>
      </w:pPr>
      <w:r>
        <w:rPr>
          <w:spacing w:val="2"/>
          <w:sz w:val="20"/>
          <w:szCs w:val="20"/>
        </w:rPr>
        <w:t xml:space="preserve">[75]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2072—1994.</w:t>
      </w:r>
      <w:r>
        <w:rPr>
          <w:rFonts w:ascii="Times New Roman" w:hAnsi="Times New Roman" w:eastAsia="Times New Roman" w:cs="Times New Roman"/>
          <w:spacing w:val="-12"/>
          <w:sz w:val="20"/>
          <w:szCs w:val="20"/>
        </w:rPr>
        <w:t xml:space="preserve"> </w:t>
      </w:r>
      <w:r>
        <w:rPr>
          <w:spacing w:val="2"/>
          <w:sz w:val="20"/>
          <w:szCs w:val="20"/>
        </w:rPr>
        <w:t>维修性试验与评定.1994.</w:t>
      </w:r>
    </w:p>
    <w:p w14:paraId="6FC7AD24">
      <w:pPr>
        <w:pStyle w:val="2"/>
        <w:spacing w:before="111" w:line="219" w:lineRule="auto"/>
        <w:rPr>
          <w:sz w:val="20"/>
          <w:szCs w:val="20"/>
        </w:rPr>
      </w:pPr>
      <w:r>
        <w:rPr>
          <w:spacing w:val="3"/>
          <w:sz w:val="20"/>
          <w:szCs w:val="20"/>
        </w:rPr>
        <w:t>[76]</w:t>
      </w:r>
      <w:r>
        <w:rPr>
          <w:spacing w:val="38"/>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2115—1994.   </w:t>
      </w:r>
      <w:r>
        <w:rPr>
          <w:spacing w:val="3"/>
          <w:sz w:val="20"/>
          <w:szCs w:val="20"/>
        </w:rPr>
        <w:t>军用软件项目管理规程.1994.</w:t>
      </w:r>
    </w:p>
    <w:p w14:paraId="4CA6D685">
      <w:pPr>
        <w:pStyle w:val="2"/>
        <w:spacing w:before="94" w:line="220" w:lineRule="auto"/>
        <w:rPr>
          <w:sz w:val="20"/>
          <w:szCs w:val="20"/>
        </w:rPr>
      </w:pPr>
      <w:r>
        <w:rPr>
          <w:spacing w:val="5"/>
          <w:sz w:val="20"/>
          <w:szCs w:val="20"/>
        </w:rPr>
        <w:t xml:space="preserve">[77]  </w:t>
      </w:r>
      <w:r>
        <w:rPr>
          <w:rFonts w:ascii="Times New Roman" w:hAnsi="Times New Roman" w:eastAsia="Times New Roman" w:cs="Times New Roman"/>
          <w:sz w:val="20"/>
          <w:szCs w:val="20"/>
        </w:rPr>
        <w:t>GJB</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5"/>
          <w:sz w:val="20"/>
          <w:szCs w:val="20"/>
        </w:rPr>
        <w:t>2116—1994.</w:t>
      </w:r>
      <w:r>
        <w:rPr>
          <w:spacing w:val="5"/>
          <w:sz w:val="20"/>
          <w:szCs w:val="20"/>
        </w:rPr>
        <w:t>武器装备研制项目工作分解结构.1994.</w:t>
      </w:r>
    </w:p>
    <w:p w14:paraId="0E696991">
      <w:pPr>
        <w:pStyle w:val="2"/>
        <w:spacing w:before="109" w:line="218" w:lineRule="auto"/>
        <w:rPr>
          <w:sz w:val="20"/>
          <w:szCs w:val="20"/>
        </w:rPr>
      </w:pPr>
      <w:r>
        <w:rPr>
          <w:spacing w:val="3"/>
          <w:sz w:val="20"/>
          <w:szCs w:val="20"/>
        </w:rPr>
        <w:t xml:space="preserve">[78]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2434A—2004.</w:t>
      </w:r>
      <w:r>
        <w:rPr>
          <w:spacing w:val="3"/>
          <w:sz w:val="20"/>
          <w:szCs w:val="20"/>
        </w:rPr>
        <w:t>军用软件产品评价.2004.</w:t>
      </w:r>
    </w:p>
    <w:p w14:paraId="524A6CC3">
      <w:pPr>
        <w:pStyle w:val="2"/>
        <w:spacing w:before="106" w:line="220" w:lineRule="auto"/>
        <w:rPr>
          <w:sz w:val="20"/>
          <w:szCs w:val="20"/>
        </w:rPr>
      </w:pPr>
      <w:r>
        <w:rPr>
          <w:spacing w:val="3"/>
          <w:sz w:val="20"/>
          <w:szCs w:val="20"/>
        </w:rPr>
        <w:t xml:space="preserve">[79]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2547—1995.</w:t>
      </w:r>
      <w:r>
        <w:rPr>
          <w:spacing w:val="3"/>
          <w:sz w:val="20"/>
          <w:szCs w:val="20"/>
        </w:rPr>
        <w:t>装备测试性大纲.19</w:t>
      </w:r>
      <w:r>
        <w:rPr>
          <w:spacing w:val="2"/>
          <w:sz w:val="20"/>
          <w:szCs w:val="20"/>
        </w:rPr>
        <w:t>95.</w:t>
      </w:r>
    </w:p>
    <w:p w14:paraId="3423B92F">
      <w:pPr>
        <w:pStyle w:val="2"/>
        <w:spacing w:before="112" w:line="220" w:lineRule="auto"/>
        <w:rPr>
          <w:sz w:val="20"/>
          <w:szCs w:val="20"/>
        </w:rPr>
      </w:pPr>
      <w:r>
        <w:rPr>
          <w:spacing w:val="4"/>
          <w:sz w:val="20"/>
          <w:szCs w:val="20"/>
        </w:rPr>
        <w:t xml:space="preserve">[80]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2547A—2011.</w:t>
      </w:r>
      <w:r>
        <w:rPr>
          <w:spacing w:val="4"/>
          <w:sz w:val="20"/>
          <w:szCs w:val="20"/>
        </w:rPr>
        <w:t>装备测试性工作通用要求.2011.</w:t>
      </w:r>
    </w:p>
    <w:p w14:paraId="0315027F">
      <w:pPr>
        <w:pStyle w:val="2"/>
        <w:spacing w:before="109" w:line="218" w:lineRule="auto"/>
        <w:rPr>
          <w:sz w:val="20"/>
          <w:szCs w:val="20"/>
        </w:rPr>
      </w:pPr>
      <w:r>
        <w:rPr>
          <w:spacing w:val="4"/>
          <w:sz w:val="20"/>
          <w:szCs w:val="20"/>
        </w:rPr>
        <w:t xml:space="preserve">[81]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2691—1996.</w:t>
      </w:r>
      <w:r>
        <w:rPr>
          <w:rFonts w:ascii="Times New Roman" w:hAnsi="Times New Roman" w:eastAsia="Times New Roman" w:cs="Times New Roman"/>
          <w:spacing w:val="-24"/>
          <w:sz w:val="20"/>
          <w:szCs w:val="20"/>
        </w:rPr>
        <w:t xml:space="preserve"> </w:t>
      </w:r>
      <w:r>
        <w:rPr>
          <w:spacing w:val="4"/>
          <w:sz w:val="20"/>
          <w:szCs w:val="20"/>
        </w:rPr>
        <w:t>军用飞机设计定型飞行试验大纲和报告要求.1996.</w:t>
      </w:r>
    </w:p>
    <w:p w14:paraId="08E32298">
      <w:pPr>
        <w:pStyle w:val="2"/>
        <w:spacing w:before="96" w:line="220" w:lineRule="auto"/>
        <w:rPr>
          <w:sz w:val="20"/>
          <w:szCs w:val="20"/>
        </w:rPr>
      </w:pPr>
      <w:r>
        <w:rPr>
          <w:spacing w:val="5"/>
          <w:sz w:val="20"/>
          <w:szCs w:val="20"/>
        </w:rPr>
        <w:t xml:space="preserve">[82]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2725A—2001.</w:t>
      </w:r>
      <w:r>
        <w:rPr>
          <w:spacing w:val="5"/>
          <w:sz w:val="20"/>
          <w:szCs w:val="20"/>
        </w:rPr>
        <w:t>测试实</w:t>
      </w:r>
      <w:r>
        <w:rPr>
          <w:spacing w:val="4"/>
          <w:sz w:val="20"/>
          <w:szCs w:val="20"/>
        </w:rPr>
        <w:t>验室和校准实验室通用要求.2001.</w:t>
      </w:r>
    </w:p>
    <w:p w14:paraId="528405D5">
      <w:pPr>
        <w:pStyle w:val="2"/>
        <w:spacing w:before="141" w:line="220" w:lineRule="auto"/>
        <w:rPr>
          <w:sz w:val="17"/>
          <w:szCs w:val="17"/>
        </w:rPr>
      </w:pPr>
      <w:r>
        <w:rPr>
          <w:spacing w:val="12"/>
          <w:sz w:val="17"/>
          <w:szCs w:val="17"/>
        </w:rPr>
        <w:t xml:space="preserve">[83]   </w:t>
      </w:r>
      <w:r>
        <w:rPr>
          <w:rFonts w:ascii="Times New Roman" w:hAnsi="Times New Roman" w:eastAsia="Times New Roman" w:cs="Times New Roman"/>
          <w:sz w:val="17"/>
          <w:szCs w:val="17"/>
        </w:rPr>
        <w:t>GJB</w:t>
      </w:r>
      <w:r>
        <w:rPr>
          <w:rFonts w:ascii="Times New Roman" w:hAnsi="Times New Roman" w:eastAsia="Times New Roman" w:cs="Times New Roman"/>
          <w:spacing w:val="12"/>
          <w:sz w:val="17"/>
          <w:szCs w:val="17"/>
        </w:rPr>
        <w:t xml:space="preserve">        2737—1996.</w:t>
      </w:r>
      <w:r>
        <w:rPr>
          <w:rFonts w:ascii="Times New Roman" w:hAnsi="Times New Roman" w:eastAsia="Times New Roman" w:cs="Times New Roman"/>
          <w:spacing w:val="-15"/>
          <w:sz w:val="17"/>
          <w:szCs w:val="17"/>
        </w:rPr>
        <w:t xml:space="preserve"> </w:t>
      </w:r>
      <w:r>
        <w:rPr>
          <w:spacing w:val="11"/>
          <w:sz w:val="17"/>
          <w:szCs w:val="17"/>
        </w:rPr>
        <w:t>武器装备系统接口控制要求</w:t>
      </w:r>
      <w:r>
        <w:rPr>
          <w:spacing w:val="-38"/>
          <w:sz w:val="17"/>
          <w:szCs w:val="17"/>
        </w:rPr>
        <w:t xml:space="preserve"> </w:t>
      </w:r>
      <w:r>
        <w:rPr>
          <w:spacing w:val="11"/>
          <w:sz w:val="17"/>
          <w:szCs w:val="17"/>
        </w:rPr>
        <w:t>.</w:t>
      </w:r>
      <w:r>
        <w:rPr>
          <w:spacing w:val="-30"/>
          <w:sz w:val="17"/>
          <w:szCs w:val="17"/>
        </w:rPr>
        <w:t xml:space="preserve"> </w:t>
      </w:r>
      <w:r>
        <w:rPr>
          <w:spacing w:val="11"/>
          <w:sz w:val="17"/>
          <w:szCs w:val="17"/>
        </w:rPr>
        <w:t>1996</w:t>
      </w:r>
      <w:r>
        <w:rPr>
          <w:spacing w:val="-39"/>
          <w:sz w:val="17"/>
          <w:szCs w:val="17"/>
        </w:rPr>
        <w:t xml:space="preserve"> </w:t>
      </w:r>
      <w:r>
        <w:rPr>
          <w:spacing w:val="11"/>
          <w:sz w:val="17"/>
          <w:szCs w:val="17"/>
        </w:rPr>
        <w:t>.</w:t>
      </w:r>
    </w:p>
    <w:p w14:paraId="51C0C240">
      <w:pPr>
        <w:pStyle w:val="2"/>
        <w:spacing w:before="118" w:line="219" w:lineRule="auto"/>
        <w:rPr>
          <w:sz w:val="20"/>
          <w:szCs w:val="20"/>
        </w:rPr>
      </w:pPr>
      <w:r>
        <w:rPr>
          <w:spacing w:val="2"/>
          <w:sz w:val="20"/>
          <w:szCs w:val="20"/>
        </w:rPr>
        <w:t xml:space="preserve">[84]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2742—1996.</w:t>
      </w:r>
      <w:r>
        <w:rPr>
          <w:rFonts w:ascii="Times New Roman" w:hAnsi="Times New Roman" w:eastAsia="Times New Roman" w:cs="Times New Roman"/>
          <w:spacing w:val="-12"/>
          <w:sz w:val="20"/>
          <w:szCs w:val="20"/>
        </w:rPr>
        <w:t xml:space="preserve"> </w:t>
      </w:r>
      <w:r>
        <w:rPr>
          <w:spacing w:val="2"/>
          <w:sz w:val="20"/>
          <w:szCs w:val="20"/>
        </w:rPr>
        <w:t>工作说明编写要求.1996.</w:t>
      </w:r>
    </w:p>
    <w:p w14:paraId="4AA325BE">
      <w:pPr>
        <w:pStyle w:val="2"/>
        <w:spacing w:before="93" w:line="219" w:lineRule="auto"/>
        <w:rPr>
          <w:sz w:val="20"/>
          <w:szCs w:val="20"/>
        </w:rPr>
      </w:pPr>
      <w:r>
        <w:rPr>
          <w:spacing w:val="2"/>
          <w:sz w:val="20"/>
          <w:szCs w:val="20"/>
        </w:rPr>
        <w:t xml:space="preserve">[85]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2786—1996.</w:t>
      </w:r>
      <w:r>
        <w:rPr>
          <w:rFonts w:ascii="Times New Roman" w:hAnsi="Times New Roman" w:eastAsia="Times New Roman" w:cs="Times New Roman"/>
          <w:spacing w:val="-12"/>
          <w:sz w:val="20"/>
          <w:szCs w:val="20"/>
        </w:rPr>
        <w:t xml:space="preserve"> </w:t>
      </w:r>
      <w:r>
        <w:rPr>
          <w:spacing w:val="2"/>
          <w:sz w:val="20"/>
          <w:szCs w:val="20"/>
        </w:rPr>
        <w:t>武器系统软件开发.1996.</w:t>
      </w:r>
    </w:p>
    <w:p w14:paraId="7D78F49A">
      <w:pPr>
        <w:pStyle w:val="2"/>
        <w:spacing w:before="111" w:line="219" w:lineRule="auto"/>
        <w:rPr>
          <w:sz w:val="20"/>
          <w:szCs w:val="20"/>
        </w:rPr>
      </w:pPr>
      <w:r>
        <w:rPr>
          <w:spacing w:val="3"/>
          <w:sz w:val="20"/>
          <w:szCs w:val="20"/>
        </w:rPr>
        <w:t xml:space="preserve">[86]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2786A—2009.</w:t>
      </w:r>
      <w:r>
        <w:rPr>
          <w:spacing w:val="3"/>
          <w:sz w:val="20"/>
          <w:szCs w:val="20"/>
        </w:rPr>
        <w:t>军用软件开发通用要求.2009.</w:t>
      </w:r>
    </w:p>
    <w:p w14:paraId="42DCE9E8">
      <w:pPr>
        <w:pStyle w:val="2"/>
        <w:spacing w:before="95" w:line="212" w:lineRule="auto"/>
        <w:rPr>
          <w:sz w:val="20"/>
          <w:szCs w:val="20"/>
        </w:rPr>
      </w:pPr>
      <w:r>
        <w:rPr>
          <w:rFonts w:ascii="Times New Roman" w:hAnsi="Times New Roman" w:eastAsia="Times New Roman" w:cs="Times New Roman"/>
          <w:spacing w:val="5"/>
          <w:sz w:val="20"/>
          <w:szCs w:val="20"/>
        </w:rPr>
        <w:t>[87]</w:t>
      </w:r>
      <w:r>
        <w:rPr>
          <w:rFonts w:ascii="Times New Roman" w:hAnsi="Times New Roman" w:eastAsia="Times New Roman" w:cs="Times New Roman"/>
          <w:sz w:val="20"/>
          <w:szCs w:val="20"/>
        </w:rPr>
        <w:t>G</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JB</w:t>
      </w:r>
      <w:r>
        <w:rPr>
          <w:rFonts w:ascii="Times New Roman" w:hAnsi="Times New Roman" w:eastAsia="Times New Roman" w:cs="Times New Roman"/>
          <w:spacing w:val="5"/>
          <w:sz w:val="20"/>
          <w:szCs w:val="20"/>
        </w:rPr>
        <w:t xml:space="preserve">   2873—1997.</w:t>
      </w:r>
      <w:r>
        <w:rPr>
          <w:rFonts w:ascii="Times New Roman" w:hAnsi="Times New Roman" w:eastAsia="Times New Roman" w:cs="Times New Roman"/>
          <w:spacing w:val="-24"/>
          <w:sz w:val="20"/>
          <w:szCs w:val="20"/>
        </w:rPr>
        <w:t xml:space="preserve"> </w:t>
      </w:r>
      <w:r>
        <w:rPr>
          <w:spacing w:val="5"/>
          <w:sz w:val="20"/>
          <w:szCs w:val="20"/>
        </w:rPr>
        <w:t>军事装备和设施的人</w:t>
      </w:r>
      <w:r>
        <w:rPr>
          <w:spacing w:val="4"/>
          <w:sz w:val="20"/>
          <w:szCs w:val="20"/>
        </w:rPr>
        <w:t>机工程设计准则.1997.</w:t>
      </w:r>
    </w:p>
    <w:p w14:paraId="7E52BFD4">
      <w:pPr>
        <w:pStyle w:val="2"/>
        <w:spacing w:before="150" w:line="219" w:lineRule="auto"/>
        <w:rPr>
          <w:sz w:val="20"/>
          <w:szCs w:val="20"/>
        </w:rPr>
      </w:pPr>
      <w:r>
        <w:rPr>
          <w:spacing w:val="2"/>
          <w:sz w:val="20"/>
          <w:szCs w:val="20"/>
        </w:rPr>
        <w:t xml:space="preserve">[88]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2961—1997.</w:t>
      </w:r>
      <w:r>
        <w:rPr>
          <w:spacing w:val="2"/>
          <w:sz w:val="20"/>
          <w:szCs w:val="20"/>
        </w:rPr>
        <w:t>修理级别分析.1997.</w:t>
      </w:r>
    </w:p>
    <w:p w14:paraId="230BA01D">
      <w:pPr>
        <w:pStyle w:val="2"/>
        <w:spacing w:before="102" w:line="219" w:lineRule="auto"/>
        <w:rPr>
          <w:sz w:val="20"/>
          <w:szCs w:val="20"/>
        </w:rPr>
      </w:pPr>
      <w:r>
        <w:rPr>
          <w:spacing w:val="3"/>
          <w:sz w:val="20"/>
          <w:szCs w:val="20"/>
        </w:rPr>
        <w:t xml:space="preserve">[89]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2993—1997.</w:t>
      </w:r>
      <w:r>
        <w:rPr>
          <w:spacing w:val="3"/>
          <w:sz w:val="20"/>
          <w:szCs w:val="20"/>
        </w:rPr>
        <w:t>武器装备研制项目管理.199</w:t>
      </w:r>
      <w:r>
        <w:rPr>
          <w:spacing w:val="2"/>
          <w:sz w:val="20"/>
          <w:szCs w:val="20"/>
        </w:rPr>
        <w:t>7.</w:t>
      </w:r>
    </w:p>
    <w:p w14:paraId="4865A253">
      <w:pPr>
        <w:pStyle w:val="2"/>
        <w:spacing w:before="113" w:line="219" w:lineRule="auto"/>
        <w:rPr>
          <w:sz w:val="20"/>
          <w:szCs w:val="20"/>
        </w:rPr>
      </w:pPr>
      <w:r>
        <w:rPr>
          <w:spacing w:val="3"/>
          <w:sz w:val="20"/>
          <w:szCs w:val="20"/>
        </w:rPr>
        <w:t>[90]</w:t>
      </w:r>
      <w:r>
        <w:rPr>
          <w:spacing w:val="1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3206—1998.</w:t>
      </w:r>
      <w:r>
        <w:rPr>
          <w:spacing w:val="3"/>
          <w:sz w:val="20"/>
          <w:szCs w:val="20"/>
        </w:rPr>
        <w:t>技术状态管理.1998.</w:t>
      </w:r>
    </w:p>
    <w:p w14:paraId="504459EA">
      <w:pPr>
        <w:pStyle w:val="2"/>
        <w:spacing w:before="103" w:line="219" w:lineRule="auto"/>
        <w:rPr>
          <w:sz w:val="20"/>
          <w:szCs w:val="20"/>
        </w:rPr>
      </w:pPr>
      <w:r>
        <w:rPr>
          <w:spacing w:val="2"/>
          <w:sz w:val="20"/>
          <w:szCs w:val="20"/>
        </w:rPr>
        <w:t>[91]</w:t>
      </w:r>
      <w:r>
        <w:rPr>
          <w:spacing w:val="2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2"/>
          <w:sz w:val="20"/>
          <w:szCs w:val="20"/>
        </w:rPr>
        <w:t>3206A—2010.</w:t>
      </w:r>
      <w:r>
        <w:rPr>
          <w:spacing w:val="2"/>
          <w:sz w:val="20"/>
          <w:szCs w:val="20"/>
        </w:rPr>
        <w:t>技术状态管理.2010.</w:t>
      </w:r>
    </w:p>
    <w:p w14:paraId="641DA450">
      <w:pPr>
        <w:pStyle w:val="2"/>
        <w:spacing w:before="111" w:line="219" w:lineRule="auto"/>
        <w:rPr>
          <w:sz w:val="20"/>
          <w:szCs w:val="20"/>
        </w:rPr>
      </w:pPr>
      <w:r>
        <w:rPr>
          <w:spacing w:val="4"/>
          <w:sz w:val="20"/>
          <w:szCs w:val="20"/>
        </w:rPr>
        <w:t xml:space="preserve">[92]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3207—1998.</w:t>
      </w:r>
      <w:r>
        <w:rPr>
          <w:spacing w:val="4"/>
          <w:sz w:val="20"/>
          <w:szCs w:val="20"/>
        </w:rPr>
        <w:t>军事装备和设施的人机工程要求.1998.</w:t>
      </w:r>
    </w:p>
    <w:p w14:paraId="35DC7926">
      <w:pPr>
        <w:pStyle w:val="2"/>
        <w:spacing w:before="114" w:line="219" w:lineRule="auto"/>
        <w:rPr>
          <w:sz w:val="20"/>
          <w:szCs w:val="20"/>
        </w:rPr>
      </w:pPr>
      <w:r>
        <w:rPr>
          <w:spacing w:val="3"/>
          <w:sz w:val="20"/>
          <w:szCs w:val="20"/>
        </w:rPr>
        <w:t xml:space="preserve">[93]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3273—1998.</w:t>
      </w:r>
      <w:r>
        <w:rPr>
          <w:spacing w:val="3"/>
          <w:sz w:val="20"/>
          <w:szCs w:val="20"/>
        </w:rPr>
        <w:t>研制阶段技术审查.1998.</w:t>
      </w:r>
    </w:p>
    <w:p w14:paraId="3ECC5225">
      <w:pPr>
        <w:pStyle w:val="2"/>
        <w:spacing w:before="113" w:line="219" w:lineRule="auto"/>
        <w:rPr>
          <w:sz w:val="20"/>
          <w:szCs w:val="20"/>
        </w:rPr>
      </w:pPr>
      <w:r>
        <w:rPr>
          <w:spacing w:val="3"/>
          <w:sz w:val="20"/>
          <w:szCs w:val="20"/>
        </w:rPr>
        <w:t>[94]</w:t>
      </w:r>
      <w:r>
        <w:rPr>
          <w:spacing w:val="26"/>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3363—1998.</w:t>
      </w:r>
      <w:r>
        <w:rPr>
          <w:spacing w:val="3"/>
          <w:sz w:val="20"/>
          <w:szCs w:val="20"/>
        </w:rPr>
        <w:t>生产性分析.1998.</w:t>
      </w:r>
    </w:p>
    <w:p w14:paraId="1994AA89">
      <w:pPr>
        <w:pStyle w:val="2"/>
        <w:spacing w:before="103" w:line="219" w:lineRule="auto"/>
        <w:rPr>
          <w:sz w:val="20"/>
          <w:szCs w:val="20"/>
        </w:rPr>
      </w:pPr>
      <w:r>
        <w:rPr>
          <w:spacing w:val="3"/>
          <w:sz w:val="20"/>
          <w:szCs w:val="20"/>
        </w:rPr>
        <w:t>[95]</w:t>
      </w:r>
      <w:r>
        <w:rPr>
          <w:spacing w:val="28"/>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3385—1998.</w:t>
      </w:r>
      <w:r>
        <w:rPr>
          <w:spacing w:val="3"/>
          <w:sz w:val="20"/>
          <w:szCs w:val="20"/>
        </w:rPr>
        <w:t>测试与诊断术语.1998.</w:t>
      </w:r>
    </w:p>
    <w:p w14:paraId="7CBDD0C4">
      <w:pPr>
        <w:pStyle w:val="2"/>
        <w:spacing w:before="113" w:line="219" w:lineRule="auto"/>
        <w:rPr>
          <w:sz w:val="20"/>
          <w:szCs w:val="20"/>
        </w:rPr>
      </w:pPr>
      <w:r>
        <w:rPr>
          <w:spacing w:val="4"/>
          <w:sz w:val="20"/>
          <w:szCs w:val="20"/>
        </w:rPr>
        <w:t>[96]</w:t>
      </w:r>
      <w:r>
        <w:rPr>
          <w:spacing w:val="2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3404—1998.</w:t>
      </w:r>
      <w:r>
        <w:rPr>
          <w:rFonts w:ascii="Times New Roman" w:hAnsi="Times New Roman" w:eastAsia="Times New Roman" w:cs="Times New Roman"/>
          <w:spacing w:val="-13"/>
          <w:sz w:val="20"/>
          <w:szCs w:val="20"/>
        </w:rPr>
        <w:t xml:space="preserve"> </w:t>
      </w:r>
      <w:r>
        <w:rPr>
          <w:spacing w:val="4"/>
          <w:sz w:val="20"/>
          <w:szCs w:val="20"/>
        </w:rPr>
        <w:t>电子</w:t>
      </w:r>
      <w:r>
        <w:rPr>
          <w:spacing w:val="3"/>
          <w:sz w:val="20"/>
          <w:szCs w:val="20"/>
        </w:rPr>
        <w:t>元器件选用管理要求.1998.</w:t>
      </w:r>
    </w:p>
    <w:p w14:paraId="34B1347B">
      <w:pPr>
        <w:pStyle w:val="2"/>
        <w:spacing w:before="123" w:line="220" w:lineRule="auto"/>
        <w:rPr>
          <w:sz w:val="20"/>
          <w:szCs w:val="20"/>
        </w:rPr>
      </w:pPr>
      <w:r>
        <w:rPr>
          <w:spacing w:val="3"/>
          <w:sz w:val="20"/>
          <w:szCs w:val="20"/>
        </w:rPr>
        <w:t>[97]</w:t>
      </w:r>
      <w:r>
        <w:rPr>
          <w:spacing w:val="25"/>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3660—1999.</w:t>
      </w:r>
      <w:r>
        <w:rPr>
          <w:rFonts w:ascii="Times New Roman" w:hAnsi="Times New Roman" w:eastAsia="Times New Roman" w:cs="Times New Roman"/>
          <w:spacing w:val="-23"/>
          <w:sz w:val="20"/>
          <w:szCs w:val="20"/>
        </w:rPr>
        <w:t xml:space="preserve"> </w:t>
      </w:r>
      <w:r>
        <w:rPr>
          <w:spacing w:val="3"/>
          <w:sz w:val="20"/>
          <w:szCs w:val="20"/>
        </w:rPr>
        <w:t>武器装备论证评审要求.1999.</w:t>
      </w:r>
    </w:p>
    <w:p w14:paraId="7AC39639">
      <w:pPr>
        <w:pStyle w:val="2"/>
        <w:spacing w:before="91" w:line="219" w:lineRule="auto"/>
        <w:rPr>
          <w:sz w:val="20"/>
          <w:szCs w:val="20"/>
        </w:rPr>
      </w:pPr>
      <w:r>
        <w:rPr>
          <w:spacing w:val="4"/>
          <w:sz w:val="20"/>
          <w:szCs w:val="20"/>
        </w:rPr>
        <w:t>[98]</w:t>
      </w:r>
      <w:r>
        <w:rPr>
          <w:spacing w:val="2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3837—1999.</w:t>
      </w:r>
      <w:r>
        <w:rPr>
          <w:spacing w:val="4"/>
          <w:sz w:val="20"/>
          <w:szCs w:val="20"/>
        </w:rPr>
        <w:t>装备保障性分析记录.1999.</w:t>
      </w:r>
    </w:p>
    <w:p w14:paraId="72E139E5">
      <w:pPr>
        <w:pStyle w:val="2"/>
        <w:spacing w:before="93" w:line="212" w:lineRule="auto"/>
        <w:rPr>
          <w:sz w:val="20"/>
          <w:szCs w:val="20"/>
        </w:rPr>
      </w:pPr>
      <w:r>
        <w:rPr>
          <w:rFonts w:ascii="Times New Roman" w:hAnsi="Times New Roman" w:eastAsia="Times New Roman" w:cs="Times New Roman"/>
          <w:spacing w:val="6"/>
          <w:sz w:val="20"/>
          <w:szCs w:val="20"/>
        </w:rPr>
        <w:t>[99]</w:t>
      </w:r>
      <w:r>
        <w:rPr>
          <w:rFonts w:ascii="Times New Roman" w:hAnsi="Times New Roman" w:eastAsia="Times New Roman" w:cs="Times New Roman"/>
          <w:sz w:val="20"/>
          <w:szCs w:val="20"/>
        </w:rPr>
        <w:t>G</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JB</w:t>
      </w:r>
      <w:r>
        <w:rPr>
          <w:rFonts w:ascii="Times New Roman" w:hAnsi="Times New Roman" w:eastAsia="Times New Roman" w:cs="Times New Roman"/>
          <w:spacing w:val="6"/>
          <w:sz w:val="20"/>
          <w:szCs w:val="20"/>
        </w:rPr>
        <w:t xml:space="preserve">   3845—1999.</w:t>
      </w:r>
      <w:r>
        <w:rPr>
          <w:spacing w:val="6"/>
          <w:sz w:val="20"/>
          <w:szCs w:val="20"/>
        </w:rPr>
        <w:t>航空军工产品定型审查报告编写要求.1999.</w:t>
      </w:r>
    </w:p>
    <w:p w14:paraId="2568F6D3">
      <w:pPr>
        <w:pStyle w:val="2"/>
        <w:spacing w:before="150" w:line="219" w:lineRule="auto"/>
        <w:rPr>
          <w:sz w:val="20"/>
          <w:szCs w:val="20"/>
        </w:rPr>
      </w:pPr>
      <w:r>
        <w:rPr>
          <w:spacing w:val="4"/>
          <w:sz w:val="20"/>
          <w:szCs w:val="20"/>
        </w:rPr>
        <w:t>[100]</w:t>
      </w:r>
      <w:r>
        <w:rPr>
          <w:spacing w:val="2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3872—1999.</w:t>
      </w:r>
      <w:r>
        <w:rPr>
          <w:spacing w:val="4"/>
          <w:sz w:val="20"/>
          <w:szCs w:val="20"/>
        </w:rPr>
        <w:t>装备综合保障通</w:t>
      </w:r>
      <w:r>
        <w:rPr>
          <w:spacing w:val="3"/>
          <w:sz w:val="20"/>
          <w:szCs w:val="20"/>
        </w:rPr>
        <w:t>用要求.1999.</w:t>
      </w:r>
    </w:p>
    <w:p w14:paraId="4A6A55A6">
      <w:pPr>
        <w:pStyle w:val="2"/>
        <w:spacing w:before="103" w:line="219" w:lineRule="auto"/>
        <w:rPr>
          <w:sz w:val="20"/>
          <w:szCs w:val="20"/>
        </w:rPr>
      </w:pPr>
      <w:r>
        <w:rPr>
          <w:spacing w:val="5"/>
          <w:sz w:val="20"/>
          <w:szCs w:val="20"/>
        </w:rPr>
        <w:t xml:space="preserve">[101]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3966—2000.</w:t>
      </w:r>
      <w:r>
        <w:rPr>
          <w:spacing w:val="5"/>
          <w:sz w:val="20"/>
          <w:szCs w:val="20"/>
        </w:rPr>
        <w:t>被测单元与</w:t>
      </w:r>
      <w:r>
        <w:rPr>
          <w:spacing w:val="4"/>
          <w:sz w:val="20"/>
          <w:szCs w:val="20"/>
        </w:rPr>
        <w:t>自动测试设备兼容性通用要求.2000.</w:t>
      </w:r>
    </w:p>
    <w:p w14:paraId="1D57C39B">
      <w:pPr>
        <w:pStyle w:val="2"/>
        <w:spacing w:before="112" w:line="219" w:lineRule="auto"/>
        <w:rPr>
          <w:sz w:val="20"/>
          <w:szCs w:val="20"/>
        </w:rPr>
      </w:pPr>
      <w:r>
        <w:rPr>
          <w:spacing w:val="4"/>
          <w:sz w:val="20"/>
          <w:szCs w:val="20"/>
        </w:rPr>
        <w:t>[102]</w:t>
      </w:r>
      <w:r>
        <w:rPr>
          <w:spacing w:val="31"/>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4054—2000.</w:t>
      </w:r>
      <w:r>
        <w:rPr>
          <w:spacing w:val="4"/>
          <w:sz w:val="20"/>
          <w:szCs w:val="20"/>
        </w:rPr>
        <w:t>武器装备论证手册编写规则.2000.</w:t>
      </w:r>
    </w:p>
    <w:p w14:paraId="7DE80698">
      <w:pPr>
        <w:pStyle w:val="2"/>
        <w:spacing w:before="112" w:line="219" w:lineRule="auto"/>
        <w:rPr>
          <w:sz w:val="20"/>
          <w:szCs w:val="20"/>
        </w:rPr>
      </w:pPr>
      <w:r>
        <w:rPr>
          <w:spacing w:val="4"/>
          <w:sz w:val="20"/>
          <w:szCs w:val="20"/>
        </w:rPr>
        <w:t xml:space="preserve">[103]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4072A—2006.</w:t>
      </w:r>
      <w:r>
        <w:rPr>
          <w:spacing w:val="4"/>
          <w:sz w:val="20"/>
          <w:szCs w:val="20"/>
        </w:rPr>
        <w:t>军用软件质量</w:t>
      </w:r>
      <w:r>
        <w:rPr>
          <w:spacing w:val="3"/>
          <w:sz w:val="20"/>
          <w:szCs w:val="20"/>
        </w:rPr>
        <w:t>监督要求.2006.</w:t>
      </w:r>
    </w:p>
    <w:p w14:paraId="7AE66834">
      <w:pPr>
        <w:pStyle w:val="2"/>
        <w:spacing w:before="104" w:line="220" w:lineRule="auto"/>
        <w:rPr>
          <w:sz w:val="20"/>
          <w:szCs w:val="20"/>
        </w:rPr>
      </w:pPr>
      <w:r>
        <w:rPr>
          <w:spacing w:val="3"/>
          <w:sz w:val="20"/>
          <w:szCs w:val="20"/>
        </w:rPr>
        <w:t>[104]</w:t>
      </w:r>
      <w:r>
        <w:rPr>
          <w:spacing w:val="37"/>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4239—2001.</w:t>
      </w:r>
      <w:r>
        <w:rPr>
          <w:spacing w:val="3"/>
          <w:sz w:val="20"/>
          <w:szCs w:val="20"/>
        </w:rPr>
        <w:t>装备环境工程通用要求.2001.</w:t>
      </w:r>
    </w:p>
    <w:p w14:paraId="577BBAE8">
      <w:pPr>
        <w:pStyle w:val="2"/>
        <w:spacing w:before="100" w:line="219" w:lineRule="auto"/>
        <w:rPr>
          <w:sz w:val="20"/>
          <w:szCs w:val="20"/>
        </w:rPr>
      </w:pPr>
      <w:r>
        <w:rPr>
          <w:spacing w:val="3"/>
          <w:sz w:val="20"/>
          <w:szCs w:val="20"/>
        </w:rPr>
        <w:t xml:space="preserve">[105]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4355—2002.</w:t>
      </w:r>
      <w:r>
        <w:rPr>
          <w:spacing w:val="3"/>
          <w:sz w:val="20"/>
          <w:szCs w:val="20"/>
        </w:rPr>
        <w:t>备件供应规</w:t>
      </w:r>
      <w:r>
        <w:rPr>
          <w:spacing w:val="2"/>
          <w:sz w:val="20"/>
          <w:szCs w:val="20"/>
        </w:rPr>
        <w:t>划要求.2002.</w:t>
      </w:r>
    </w:p>
    <w:p w14:paraId="601A98B3">
      <w:pPr>
        <w:pStyle w:val="2"/>
        <w:spacing w:before="113" w:line="219" w:lineRule="auto"/>
        <w:rPr>
          <w:sz w:val="20"/>
          <w:szCs w:val="20"/>
        </w:rPr>
      </w:pPr>
      <w:r>
        <w:rPr>
          <w:spacing w:val="2"/>
          <w:sz w:val="20"/>
          <w:szCs w:val="20"/>
        </w:rPr>
        <w:t xml:space="preserve">[106]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4599—1992.</w:t>
      </w:r>
      <w:r>
        <w:rPr>
          <w:spacing w:val="2"/>
          <w:sz w:val="20"/>
          <w:szCs w:val="20"/>
        </w:rPr>
        <w:t>军工定型产品文件、资料报送要求.1992.</w:t>
      </w:r>
    </w:p>
    <w:p w14:paraId="40360E29">
      <w:pPr>
        <w:pStyle w:val="2"/>
        <w:spacing w:before="102" w:line="212" w:lineRule="auto"/>
        <w:rPr>
          <w:sz w:val="20"/>
          <w:szCs w:val="20"/>
        </w:rPr>
      </w:pPr>
      <w:r>
        <w:rPr>
          <w:spacing w:val="3"/>
          <w:sz w:val="20"/>
          <w:szCs w:val="20"/>
        </w:rPr>
        <w:t>[107]</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3"/>
          <w:sz w:val="20"/>
          <w:szCs w:val="20"/>
        </w:rPr>
        <w:t>4757—1997(</w:t>
      </w:r>
      <w:r>
        <w:rPr>
          <w:rFonts w:ascii="Times New Roman" w:hAnsi="Times New Roman" w:eastAsia="Times New Roman" w:cs="Times New Roman"/>
          <w:sz w:val="20"/>
          <w:szCs w:val="20"/>
        </w:rPr>
        <w:t>GJBz</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3"/>
          <w:sz w:val="20"/>
          <w:szCs w:val="20"/>
        </w:rPr>
        <w:t>20376—19</w:t>
      </w:r>
      <w:r>
        <w:rPr>
          <w:rFonts w:ascii="Times New Roman" w:hAnsi="Times New Roman" w:eastAsia="Times New Roman" w:cs="Times New Roman"/>
          <w:spacing w:val="2"/>
          <w:sz w:val="20"/>
          <w:szCs w:val="20"/>
        </w:rPr>
        <w:t>97).</w:t>
      </w:r>
      <w:r>
        <w:rPr>
          <w:spacing w:val="2"/>
          <w:sz w:val="20"/>
          <w:szCs w:val="20"/>
        </w:rPr>
        <w:t>武器装备技术通报编制规范.1997.</w:t>
      </w:r>
    </w:p>
    <w:p w14:paraId="0D7A1991">
      <w:pPr>
        <w:pStyle w:val="2"/>
        <w:spacing w:before="131" w:line="219" w:lineRule="auto"/>
        <w:rPr>
          <w:sz w:val="20"/>
          <w:szCs w:val="20"/>
        </w:rPr>
      </w:pPr>
      <w:r>
        <w:rPr>
          <w:spacing w:val="6"/>
          <w:sz w:val="20"/>
          <w:szCs w:val="20"/>
        </w:rPr>
        <w:t xml:space="preserve">[108]  </w:t>
      </w:r>
      <w:r>
        <w:rPr>
          <w:rFonts w:ascii="Times New Roman" w:hAnsi="Times New Roman" w:eastAsia="Times New Roman" w:cs="Times New Roman"/>
          <w:sz w:val="20"/>
          <w:szCs w:val="20"/>
        </w:rPr>
        <w:t>GJB</w:t>
      </w:r>
      <w:r>
        <w:rPr>
          <w:rFonts w:ascii="Times New Roman" w:hAnsi="Times New Roman" w:eastAsia="Times New Roman" w:cs="Times New Roman"/>
          <w:spacing w:val="6"/>
          <w:sz w:val="20"/>
          <w:szCs w:val="20"/>
        </w:rPr>
        <w:t xml:space="preserve">   4771—1997.</w:t>
      </w:r>
      <w:r>
        <w:rPr>
          <w:spacing w:val="6"/>
          <w:sz w:val="20"/>
          <w:szCs w:val="20"/>
        </w:rPr>
        <w:t>航空军工产品技术说明</w:t>
      </w:r>
      <w:r>
        <w:rPr>
          <w:spacing w:val="5"/>
          <w:sz w:val="20"/>
          <w:szCs w:val="20"/>
        </w:rPr>
        <w:t>书编写基本要求.1997.</w:t>
      </w:r>
    </w:p>
    <w:p w14:paraId="54B9312F">
      <w:pPr>
        <w:pStyle w:val="2"/>
        <w:spacing w:before="82" w:line="212" w:lineRule="auto"/>
        <w:rPr>
          <w:sz w:val="20"/>
          <w:szCs w:val="20"/>
        </w:rPr>
      </w:pPr>
      <w:r>
        <w:rPr>
          <w:spacing w:val="2"/>
          <w:sz w:val="20"/>
          <w:szCs w:val="20"/>
        </w:rPr>
        <w:t>[109]</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2"/>
          <w:sz w:val="20"/>
          <w:szCs w:val="20"/>
        </w:rPr>
        <w:t>4827—1998(</w:t>
      </w:r>
      <w:r>
        <w:rPr>
          <w:rFonts w:ascii="Times New Roman" w:hAnsi="Times New Roman" w:eastAsia="Times New Roman" w:cs="Times New Roman"/>
          <w:sz w:val="20"/>
          <w:szCs w:val="20"/>
        </w:rPr>
        <w:t>GJBz</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2"/>
          <w:sz w:val="20"/>
          <w:szCs w:val="20"/>
        </w:rPr>
        <w:t>20484—1998).</w:t>
      </w:r>
      <w:r>
        <w:rPr>
          <w:spacing w:val="2"/>
          <w:sz w:val="20"/>
          <w:szCs w:val="20"/>
        </w:rPr>
        <w:t>装甲车辆经济性评定.1998.</w:t>
      </w:r>
    </w:p>
    <w:p w14:paraId="4AF6C192">
      <w:pPr>
        <w:pStyle w:val="2"/>
        <w:spacing w:before="151" w:line="219" w:lineRule="auto"/>
        <w:rPr>
          <w:sz w:val="20"/>
          <w:szCs w:val="20"/>
        </w:rPr>
      </w:pPr>
      <w:r>
        <w:rPr>
          <w:spacing w:val="4"/>
          <w:sz w:val="20"/>
          <w:szCs w:val="20"/>
        </w:rPr>
        <w:t>[110]</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5000—2003.   </w:t>
      </w:r>
      <w:r>
        <w:rPr>
          <w:spacing w:val="4"/>
          <w:sz w:val="20"/>
          <w:szCs w:val="20"/>
        </w:rPr>
        <w:t>军用软件能力成熟度模型.20</w:t>
      </w:r>
      <w:r>
        <w:rPr>
          <w:spacing w:val="3"/>
          <w:sz w:val="20"/>
          <w:szCs w:val="20"/>
        </w:rPr>
        <w:t>03.</w:t>
      </w:r>
    </w:p>
    <w:p w14:paraId="3A22824B">
      <w:pPr>
        <w:pStyle w:val="2"/>
        <w:spacing w:before="113" w:line="219" w:lineRule="auto"/>
        <w:rPr>
          <w:sz w:val="20"/>
          <w:szCs w:val="20"/>
        </w:rPr>
      </w:pPr>
      <w:r>
        <w:rPr>
          <w:spacing w:val="5"/>
          <w:sz w:val="20"/>
          <w:szCs w:val="20"/>
        </w:rPr>
        <w:t>[111]</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5000A—2008.   </w:t>
      </w:r>
      <w:r>
        <w:rPr>
          <w:spacing w:val="5"/>
          <w:sz w:val="20"/>
          <w:szCs w:val="20"/>
        </w:rPr>
        <w:t>军用</w:t>
      </w:r>
      <w:r>
        <w:rPr>
          <w:spacing w:val="4"/>
          <w:sz w:val="20"/>
          <w:szCs w:val="20"/>
        </w:rPr>
        <w:t>软件研制能力成熟度模型.2008.</w:t>
      </w:r>
    </w:p>
    <w:p w14:paraId="2CC66A8B">
      <w:pPr>
        <w:pStyle w:val="2"/>
        <w:spacing w:before="104" w:line="219" w:lineRule="auto"/>
        <w:rPr>
          <w:sz w:val="20"/>
          <w:szCs w:val="20"/>
        </w:rPr>
      </w:pPr>
      <w:r>
        <w:rPr>
          <w:spacing w:val="6"/>
          <w:sz w:val="20"/>
          <w:szCs w:val="20"/>
        </w:rPr>
        <w:t xml:space="preserve">[112]  </w:t>
      </w:r>
      <w:r>
        <w:rPr>
          <w:rFonts w:ascii="Times New Roman" w:hAnsi="Times New Roman" w:eastAsia="Times New Roman" w:cs="Times New Roman"/>
          <w:sz w:val="20"/>
          <w:szCs w:val="20"/>
        </w:rPr>
        <w:t>GJB</w:t>
      </w:r>
      <w:r>
        <w:rPr>
          <w:rFonts w:ascii="Times New Roman" w:hAnsi="Times New Roman" w:eastAsia="Times New Roman" w:cs="Times New Roman"/>
          <w:spacing w:val="6"/>
          <w:sz w:val="20"/>
          <w:szCs w:val="20"/>
        </w:rPr>
        <w:t xml:space="preserve">5109—2004.    </w:t>
      </w:r>
      <w:r>
        <w:rPr>
          <w:spacing w:val="6"/>
          <w:sz w:val="20"/>
          <w:szCs w:val="20"/>
        </w:rPr>
        <w:t>装备计量保障通用要求检测和校准.2004.</w:t>
      </w:r>
    </w:p>
    <w:p w14:paraId="18E6CDD4">
      <w:pPr>
        <w:spacing w:line="219" w:lineRule="auto"/>
        <w:rPr>
          <w:sz w:val="20"/>
          <w:szCs w:val="20"/>
        </w:rPr>
        <w:sectPr>
          <w:footerReference r:id="rId676" w:type="default"/>
          <w:pgSz w:w="11910" w:h="17130"/>
          <w:pgMar w:top="1376" w:right="1786" w:bottom="1753" w:left="1049" w:header="0" w:footer="1554" w:gutter="0"/>
          <w:cols w:space="720" w:num="1"/>
        </w:sectPr>
      </w:pPr>
    </w:p>
    <w:p w14:paraId="27882FA0">
      <w:pPr>
        <w:pStyle w:val="2"/>
        <w:spacing w:before="39" w:line="219" w:lineRule="auto"/>
        <w:rPr>
          <w:sz w:val="20"/>
          <w:szCs w:val="20"/>
        </w:rPr>
      </w:pPr>
      <w:r>
        <w:rPr>
          <w:spacing w:val="4"/>
          <w:sz w:val="20"/>
          <w:szCs w:val="20"/>
        </w:rPr>
        <w:t>[113]</w:t>
      </w:r>
      <w:r>
        <w:rPr>
          <w:spacing w:val="41"/>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5159—2004.</w:t>
      </w:r>
      <w:r>
        <w:rPr>
          <w:spacing w:val="4"/>
          <w:sz w:val="20"/>
          <w:szCs w:val="20"/>
        </w:rPr>
        <w:t>军工产品定型电子文件要求.2004.</w:t>
      </w:r>
    </w:p>
    <w:p w14:paraId="29C59333">
      <w:pPr>
        <w:pStyle w:val="2"/>
        <w:spacing w:before="102" w:line="219" w:lineRule="auto"/>
        <w:rPr>
          <w:sz w:val="20"/>
          <w:szCs w:val="20"/>
        </w:rPr>
      </w:pPr>
      <w:r>
        <w:rPr>
          <w:spacing w:val="3"/>
          <w:sz w:val="20"/>
          <w:szCs w:val="20"/>
        </w:rPr>
        <w:t>[114]</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3"/>
          <w:sz w:val="20"/>
          <w:szCs w:val="20"/>
        </w:rPr>
        <w:t>5234—2004.</w:t>
      </w:r>
      <w:r>
        <w:rPr>
          <w:spacing w:val="3"/>
          <w:sz w:val="20"/>
          <w:szCs w:val="20"/>
        </w:rPr>
        <w:t>军用软件验证和</w:t>
      </w:r>
      <w:r>
        <w:rPr>
          <w:spacing w:val="2"/>
          <w:sz w:val="20"/>
          <w:szCs w:val="20"/>
        </w:rPr>
        <w:t>确认.2004.</w:t>
      </w:r>
    </w:p>
    <w:p w14:paraId="1396F0FF">
      <w:pPr>
        <w:pStyle w:val="2"/>
        <w:spacing w:before="112" w:line="219" w:lineRule="auto"/>
        <w:rPr>
          <w:sz w:val="20"/>
          <w:szCs w:val="20"/>
        </w:rPr>
      </w:pPr>
      <w:r>
        <w:rPr>
          <w:spacing w:val="2"/>
          <w:sz w:val="20"/>
          <w:szCs w:val="20"/>
        </w:rPr>
        <w:t>[115]</w:t>
      </w:r>
      <w:r>
        <w:rPr>
          <w:spacing w:val="38"/>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5235—2004.</w:t>
      </w:r>
      <w:r>
        <w:rPr>
          <w:rFonts w:ascii="Times New Roman" w:hAnsi="Times New Roman" w:eastAsia="Times New Roman" w:cs="Times New Roman"/>
          <w:spacing w:val="14"/>
          <w:sz w:val="20"/>
          <w:szCs w:val="20"/>
        </w:rPr>
        <w:t xml:space="preserve">   </w:t>
      </w:r>
      <w:r>
        <w:rPr>
          <w:spacing w:val="2"/>
          <w:sz w:val="20"/>
          <w:szCs w:val="20"/>
        </w:rPr>
        <w:t>军用软件配置管理.2004.</w:t>
      </w:r>
    </w:p>
    <w:p w14:paraId="3E3A36FC">
      <w:pPr>
        <w:pStyle w:val="2"/>
        <w:spacing w:before="112" w:line="219" w:lineRule="auto"/>
        <w:rPr>
          <w:sz w:val="20"/>
          <w:szCs w:val="20"/>
        </w:rPr>
      </w:pPr>
      <w:r>
        <w:rPr>
          <w:spacing w:val="2"/>
          <w:sz w:val="20"/>
          <w:szCs w:val="20"/>
        </w:rPr>
        <w:t>[116]</w:t>
      </w:r>
      <w:r>
        <w:rPr>
          <w:spacing w:val="38"/>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5236—2004.</w:t>
      </w:r>
      <w:r>
        <w:rPr>
          <w:rFonts w:ascii="Times New Roman" w:hAnsi="Times New Roman" w:eastAsia="Times New Roman" w:cs="Times New Roman"/>
          <w:spacing w:val="14"/>
          <w:sz w:val="20"/>
          <w:szCs w:val="20"/>
        </w:rPr>
        <w:t xml:space="preserve">   </w:t>
      </w:r>
      <w:r>
        <w:rPr>
          <w:spacing w:val="2"/>
          <w:sz w:val="20"/>
          <w:szCs w:val="20"/>
        </w:rPr>
        <w:t>军用软件质量度量.2004.</w:t>
      </w:r>
    </w:p>
    <w:p w14:paraId="6AADD2B2">
      <w:pPr>
        <w:pStyle w:val="2"/>
        <w:spacing w:before="75" w:line="212" w:lineRule="auto"/>
        <w:rPr>
          <w:sz w:val="20"/>
          <w:szCs w:val="20"/>
        </w:rPr>
      </w:pPr>
      <w:r>
        <w:rPr>
          <w:rFonts w:ascii="Times New Roman" w:hAnsi="Times New Roman" w:eastAsia="Times New Roman" w:cs="Times New Roman"/>
          <w:spacing w:val="5"/>
          <w:sz w:val="20"/>
          <w:szCs w:val="20"/>
        </w:rPr>
        <w:t>[117]</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5238—2004.</w:t>
      </w:r>
      <w:r>
        <w:rPr>
          <w:spacing w:val="5"/>
          <w:sz w:val="20"/>
          <w:szCs w:val="20"/>
        </w:rPr>
        <w:t>装备初始训练与</w:t>
      </w:r>
      <w:r>
        <w:rPr>
          <w:spacing w:val="4"/>
          <w:sz w:val="20"/>
          <w:szCs w:val="20"/>
        </w:rPr>
        <w:t>训练保障要求.2004.</w:t>
      </w:r>
    </w:p>
    <w:p w14:paraId="3A498005">
      <w:pPr>
        <w:pStyle w:val="2"/>
        <w:spacing w:before="140" w:line="219" w:lineRule="auto"/>
        <w:rPr>
          <w:sz w:val="20"/>
          <w:szCs w:val="20"/>
        </w:rPr>
      </w:pPr>
      <w:r>
        <w:rPr>
          <w:spacing w:val="5"/>
          <w:sz w:val="20"/>
          <w:szCs w:val="20"/>
        </w:rPr>
        <w:t>[118]</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5432—2005.   </w:t>
      </w:r>
      <w:r>
        <w:rPr>
          <w:spacing w:val="5"/>
          <w:sz w:val="20"/>
          <w:szCs w:val="20"/>
        </w:rPr>
        <w:t>装备用户技术资料规划与编制</w:t>
      </w:r>
      <w:r>
        <w:rPr>
          <w:spacing w:val="4"/>
          <w:sz w:val="20"/>
          <w:szCs w:val="20"/>
        </w:rPr>
        <w:t>要求.2005.</w:t>
      </w:r>
    </w:p>
    <w:p w14:paraId="371AB695">
      <w:pPr>
        <w:pStyle w:val="2"/>
        <w:spacing w:before="112" w:line="219" w:lineRule="auto"/>
        <w:rPr>
          <w:sz w:val="20"/>
          <w:szCs w:val="20"/>
        </w:rPr>
      </w:pPr>
      <w:r>
        <w:rPr>
          <w:spacing w:val="4"/>
          <w:sz w:val="20"/>
          <w:szCs w:val="20"/>
        </w:rPr>
        <w:t>[119]</w:t>
      </w:r>
      <w:r>
        <w:rPr>
          <w:spacing w:val="47"/>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5439—2005.   </w:t>
      </w:r>
      <w:r>
        <w:rPr>
          <w:spacing w:val="4"/>
          <w:sz w:val="20"/>
          <w:szCs w:val="20"/>
        </w:rPr>
        <w:t>航空电子接口控制文件编制要求.2005.</w:t>
      </w:r>
    </w:p>
    <w:p w14:paraId="44D9CA41">
      <w:pPr>
        <w:pStyle w:val="2"/>
        <w:spacing w:before="84" w:line="212" w:lineRule="auto"/>
        <w:rPr>
          <w:sz w:val="20"/>
          <w:szCs w:val="20"/>
        </w:rPr>
      </w:pPr>
      <w:r>
        <w:rPr>
          <w:rFonts w:ascii="Times New Roman" w:hAnsi="Times New Roman" w:eastAsia="Times New Roman" w:cs="Times New Roman"/>
          <w:spacing w:val="5"/>
          <w:sz w:val="20"/>
          <w:szCs w:val="20"/>
        </w:rPr>
        <w:t>[120]</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5570—2006.         </w:t>
      </w:r>
      <w:r>
        <w:rPr>
          <w:spacing w:val="5"/>
          <w:sz w:val="20"/>
          <w:szCs w:val="20"/>
        </w:rPr>
        <w:t>机载设备故障分析手册编制要</w:t>
      </w:r>
      <w:r>
        <w:rPr>
          <w:spacing w:val="4"/>
          <w:sz w:val="20"/>
          <w:szCs w:val="20"/>
        </w:rPr>
        <w:t>求.2006.</w:t>
      </w:r>
    </w:p>
    <w:p w14:paraId="658B19D5">
      <w:pPr>
        <w:pStyle w:val="2"/>
        <w:spacing w:before="138" w:line="219" w:lineRule="auto"/>
        <w:rPr>
          <w:sz w:val="20"/>
          <w:szCs w:val="20"/>
        </w:rPr>
      </w:pPr>
      <w:r>
        <w:rPr>
          <w:spacing w:val="4"/>
          <w:sz w:val="20"/>
          <w:szCs w:val="20"/>
        </w:rPr>
        <w:t>[121]</w:t>
      </w:r>
      <w:r>
        <w:rPr>
          <w:spacing w:val="41"/>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5572—2006.</w:t>
      </w:r>
      <w:r>
        <w:rPr>
          <w:spacing w:val="4"/>
          <w:sz w:val="20"/>
          <w:szCs w:val="20"/>
        </w:rPr>
        <w:t>机载设备维修手册编制要求.2006.</w:t>
      </w:r>
    </w:p>
    <w:p w14:paraId="73F3CF46">
      <w:pPr>
        <w:pStyle w:val="2"/>
        <w:spacing w:before="105" w:line="220" w:lineRule="auto"/>
        <w:rPr>
          <w:sz w:val="20"/>
          <w:szCs w:val="20"/>
        </w:rPr>
      </w:pPr>
      <w:r>
        <w:rPr>
          <w:spacing w:val="4"/>
          <w:sz w:val="20"/>
          <w:szCs w:val="20"/>
        </w:rPr>
        <w:t>[122]</w:t>
      </w:r>
      <w:r>
        <w:rPr>
          <w:spacing w:val="3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5708—2006.   </w:t>
      </w:r>
      <w:r>
        <w:rPr>
          <w:spacing w:val="4"/>
          <w:sz w:val="20"/>
          <w:szCs w:val="20"/>
        </w:rPr>
        <w:t>装备质量监督通</w:t>
      </w:r>
      <w:r>
        <w:rPr>
          <w:spacing w:val="3"/>
          <w:sz w:val="20"/>
          <w:szCs w:val="20"/>
        </w:rPr>
        <w:t>用要求.2006.</w:t>
      </w:r>
    </w:p>
    <w:p w14:paraId="019AEC6D">
      <w:pPr>
        <w:pStyle w:val="2"/>
        <w:spacing w:before="140" w:line="219" w:lineRule="auto"/>
        <w:rPr>
          <w:sz w:val="17"/>
          <w:szCs w:val="17"/>
        </w:rPr>
      </w:pPr>
      <w:r>
        <w:rPr>
          <w:spacing w:val="12"/>
          <w:sz w:val="17"/>
          <w:szCs w:val="17"/>
        </w:rPr>
        <w:t>[123]</w:t>
      </w:r>
      <w:r>
        <w:rPr>
          <w:spacing w:val="2"/>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12"/>
          <w:sz w:val="17"/>
          <w:szCs w:val="17"/>
        </w:rPr>
        <w:t xml:space="preserve">5709—2006.        </w:t>
      </w:r>
      <w:r>
        <w:rPr>
          <w:spacing w:val="12"/>
          <w:sz w:val="17"/>
          <w:szCs w:val="17"/>
        </w:rPr>
        <w:t>装备技术状态管理监督要</w:t>
      </w:r>
      <w:r>
        <w:rPr>
          <w:spacing w:val="11"/>
          <w:sz w:val="17"/>
          <w:szCs w:val="17"/>
        </w:rPr>
        <w:t>求</w:t>
      </w:r>
      <w:r>
        <w:rPr>
          <w:spacing w:val="-37"/>
          <w:sz w:val="17"/>
          <w:szCs w:val="17"/>
        </w:rPr>
        <w:t xml:space="preserve"> </w:t>
      </w:r>
      <w:r>
        <w:rPr>
          <w:spacing w:val="11"/>
          <w:sz w:val="17"/>
          <w:szCs w:val="17"/>
        </w:rPr>
        <w:t>.</w:t>
      </w:r>
      <w:r>
        <w:rPr>
          <w:spacing w:val="-40"/>
          <w:sz w:val="17"/>
          <w:szCs w:val="17"/>
        </w:rPr>
        <w:t xml:space="preserve"> </w:t>
      </w:r>
      <w:r>
        <w:rPr>
          <w:spacing w:val="11"/>
          <w:sz w:val="17"/>
          <w:szCs w:val="17"/>
        </w:rPr>
        <w:t>2006</w:t>
      </w:r>
      <w:r>
        <w:rPr>
          <w:spacing w:val="-38"/>
          <w:sz w:val="17"/>
          <w:szCs w:val="17"/>
        </w:rPr>
        <w:t xml:space="preserve"> </w:t>
      </w:r>
      <w:r>
        <w:rPr>
          <w:spacing w:val="11"/>
          <w:sz w:val="17"/>
          <w:szCs w:val="17"/>
        </w:rPr>
        <w:t>.</w:t>
      </w:r>
    </w:p>
    <w:p w14:paraId="76ADB174">
      <w:pPr>
        <w:pStyle w:val="2"/>
        <w:spacing w:before="109" w:line="219" w:lineRule="auto"/>
        <w:rPr>
          <w:sz w:val="20"/>
          <w:szCs w:val="20"/>
        </w:rPr>
      </w:pPr>
      <w:r>
        <w:rPr>
          <w:spacing w:val="5"/>
          <w:sz w:val="20"/>
          <w:szCs w:val="20"/>
        </w:rPr>
        <w:t xml:space="preserve">[124]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5710—2006</w:t>
      </w:r>
      <w:r>
        <w:rPr>
          <w:rFonts w:ascii="Times New Roman" w:hAnsi="Times New Roman" w:eastAsia="Times New Roman" w:cs="Times New Roman"/>
          <w:spacing w:val="4"/>
          <w:sz w:val="20"/>
          <w:szCs w:val="20"/>
        </w:rPr>
        <w:t>.</w:t>
      </w:r>
      <w:r>
        <w:rPr>
          <w:spacing w:val="4"/>
          <w:sz w:val="20"/>
          <w:szCs w:val="20"/>
        </w:rPr>
        <w:t>装备生产过程质量监督要求.2006.</w:t>
      </w:r>
    </w:p>
    <w:p w14:paraId="0110770A">
      <w:pPr>
        <w:pStyle w:val="2"/>
        <w:spacing w:before="104" w:line="220" w:lineRule="auto"/>
        <w:rPr>
          <w:sz w:val="20"/>
          <w:szCs w:val="20"/>
        </w:rPr>
      </w:pPr>
      <w:r>
        <w:rPr>
          <w:spacing w:val="5"/>
          <w:sz w:val="20"/>
          <w:szCs w:val="20"/>
        </w:rPr>
        <w:t>[125]</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5711—2006.   </w:t>
      </w:r>
      <w:r>
        <w:rPr>
          <w:spacing w:val="5"/>
          <w:sz w:val="20"/>
          <w:szCs w:val="20"/>
        </w:rPr>
        <w:t>装备质量问</w:t>
      </w:r>
      <w:r>
        <w:rPr>
          <w:spacing w:val="4"/>
          <w:sz w:val="20"/>
          <w:szCs w:val="20"/>
        </w:rPr>
        <w:t>题处理通用要求.2006.</w:t>
      </w:r>
    </w:p>
    <w:p w14:paraId="603743A1">
      <w:pPr>
        <w:pStyle w:val="2"/>
        <w:spacing w:before="111" w:line="220" w:lineRule="auto"/>
        <w:rPr>
          <w:sz w:val="20"/>
          <w:szCs w:val="20"/>
        </w:rPr>
      </w:pPr>
      <w:r>
        <w:rPr>
          <w:spacing w:val="4"/>
          <w:sz w:val="20"/>
          <w:szCs w:val="20"/>
        </w:rPr>
        <w:t>[126]</w:t>
      </w:r>
      <w:r>
        <w:rPr>
          <w:spacing w:val="3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5852—2006.</w:t>
      </w:r>
      <w:r>
        <w:rPr>
          <w:spacing w:val="4"/>
          <w:sz w:val="20"/>
          <w:szCs w:val="20"/>
        </w:rPr>
        <w:t>装备研制风险分</w:t>
      </w:r>
      <w:r>
        <w:rPr>
          <w:spacing w:val="3"/>
          <w:sz w:val="20"/>
          <w:szCs w:val="20"/>
        </w:rPr>
        <w:t>析要求.2006.</w:t>
      </w:r>
    </w:p>
    <w:p w14:paraId="6199C490">
      <w:pPr>
        <w:pStyle w:val="2"/>
        <w:spacing w:before="101" w:line="219" w:lineRule="auto"/>
        <w:rPr>
          <w:sz w:val="20"/>
          <w:szCs w:val="20"/>
        </w:rPr>
      </w:pPr>
      <w:r>
        <w:rPr>
          <w:spacing w:val="2"/>
          <w:sz w:val="20"/>
          <w:szCs w:val="20"/>
        </w:rPr>
        <w:t>[127]</w:t>
      </w:r>
      <w:r>
        <w:rPr>
          <w:spacing w:val="2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 xml:space="preserve">    5880—2006.</w:t>
      </w:r>
      <w:r>
        <w:rPr>
          <w:spacing w:val="2"/>
          <w:sz w:val="20"/>
          <w:szCs w:val="20"/>
        </w:rPr>
        <w:t>软件配置管理.</w:t>
      </w:r>
      <w:r>
        <w:rPr>
          <w:spacing w:val="1"/>
          <w:sz w:val="20"/>
          <w:szCs w:val="20"/>
        </w:rPr>
        <w:t>2006.</w:t>
      </w:r>
    </w:p>
    <w:p w14:paraId="0F861A89">
      <w:pPr>
        <w:pStyle w:val="2"/>
        <w:spacing w:before="122" w:line="219" w:lineRule="auto"/>
        <w:rPr>
          <w:sz w:val="20"/>
          <w:szCs w:val="20"/>
        </w:rPr>
      </w:pPr>
      <w:r>
        <w:rPr>
          <w:spacing w:val="4"/>
          <w:sz w:val="20"/>
          <w:szCs w:val="20"/>
        </w:rPr>
        <w:t>[128]</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4"/>
          <w:sz w:val="20"/>
          <w:szCs w:val="20"/>
        </w:rPr>
        <w:t>5881—2006.</w:t>
      </w:r>
      <w:r>
        <w:rPr>
          <w:spacing w:val="4"/>
          <w:sz w:val="20"/>
          <w:szCs w:val="20"/>
        </w:rPr>
        <w:t>技术文件版本标识及管理要求.2</w:t>
      </w:r>
      <w:r>
        <w:rPr>
          <w:spacing w:val="3"/>
          <w:sz w:val="20"/>
          <w:szCs w:val="20"/>
        </w:rPr>
        <w:t>006.</w:t>
      </w:r>
    </w:p>
    <w:p w14:paraId="65877495">
      <w:pPr>
        <w:pStyle w:val="2"/>
        <w:spacing w:before="104" w:line="219" w:lineRule="auto"/>
        <w:rPr>
          <w:sz w:val="20"/>
          <w:szCs w:val="20"/>
        </w:rPr>
      </w:pPr>
      <w:r>
        <w:rPr>
          <w:spacing w:val="3"/>
          <w:sz w:val="20"/>
          <w:szCs w:val="20"/>
        </w:rPr>
        <w:t>[129]</w:t>
      </w:r>
      <w:r>
        <w:rPr>
          <w:spacing w:val="45"/>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5882—2006.</w:t>
      </w:r>
      <w:r>
        <w:rPr>
          <w:spacing w:val="3"/>
          <w:sz w:val="20"/>
          <w:szCs w:val="20"/>
        </w:rPr>
        <w:t>产品技术文件分类与代码.2006.</w:t>
      </w:r>
    </w:p>
    <w:p w14:paraId="6F50B177">
      <w:pPr>
        <w:pStyle w:val="2"/>
        <w:spacing w:before="101" w:line="219" w:lineRule="auto"/>
        <w:rPr>
          <w:sz w:val="20"/>
          <w:szCs w:val="20"/>
        </w:rPr>
      </w:pPr>
      <w:r>
        <w:rPr>
          <w:spacing w:val="3"/>
          <w:sz w:val="20"/>
          <w:szCs w:val="20"/>
        </w:rPr>
        <w:t>[130]</w:t>
      </w:r>
      <w:r>
        <w:rPr>
          <w:spacing w:val="31"/>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5922—2007.</w:t>
      </w:r>
      <w:r>
        <w:rPr>
          <w:rFonts w:ascii="Times New Roman" w:hAnsi="Times New Roman" w:eastAsia="Times New Roman" w:cs="Times New Roman"/>
          <w:sz w:val="20"/>
          <w:szCs w:val="20"/>
        </w:rPr>
        <w:t xml:space="preserve">    </w:t>
      </w:r>
      <w:r>
        <w:rPr>
          <w:spacing w:val="3"/>
          <w:sz w:val="20"/>
          <w:szCs w:val="20"/>
        </w:rPr>
        <w:t>飞机技术通报编制要求.2007.</w:t>
      </w:r>
    </w:p>
    <w:p w14:paraId="5F9C5B29">
      <w:pPr>
        <w:pStyle w:val="2"/>
        <w:spacing w:before="124" w:line="219" w:lineRule="auto"/>
        <w:rPr>
          <w:sz w:val="20"/>
          <w:szCs w:val="20"/>
        </w:rPr>
      </w:pPr>
      <w:r>
        <w:rPr>
          <w:spacing w:val="3"/>
          <w:sz w:val="20"/>
          <w:szCs w:val="20"/>
        </w:rPr>
        <w:t>[131]</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3"/>
          <w:sz w:val="20"/>
          <w:szCs w:val="20"/>
        </w:rPr>
        <w:t>5967—2007.</w:t>
      </w:r>
      <w:r>
        <w:rPr>
          <w:spacing w:val="3"/>
          <w:sz w:val="20"/>
          <w:szCs w:val="20"/>
        </w:rPr>
        <w:t>保障设备规划与研制要求.2</w:t>
      </w:r>
      <w:r>
        <w:rPr>
          <w:spacing w:val="2"/>
          <w:sz w:val="20"/>
          <w:szCs w:val="20"/>
        </w:rPr>
        <w:t>007.</w:t>
      </w:r>
    </w:p>
    <w:p w14:paraId="749C1FFE">
      <w:pPr>
        <w:pStyle w:val="2"/>
        <w:spacing w:before="112" w:line="219" w:lineRule="auto"/>
        <w:rPr>
          <w:sz w:val="20"/>
          <w:szCs w:val="20"/>
        </w:rPr>
      </w:pPr>
      <w:r>
        <w:rPr>
          <w:spacing w:val="5"/>
          <w:sz w:val="20"/>
          <w:szCs w:val="20"/>
        </w:rPr>
        <w:t xml:space="preserve">[132]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6177—2007.</w:t>
      </w:r>
      <w:r>
        <w:rPr>
          <w:spacing w:val="5"/>
          <w:sz w:val="20"/>
          <w:szCs w:val="20"/>
        </w:rPr>
        <w:t>军工产品定型部队试验试用大纲通用要求.2007.</w:t>
      </w:r>
    </w:p>
    <w:p w14:paraId="2534C18D">
      <w:pPr>
        <w:pStyle w:val="2"/>
        <w:spacing w:before="112" w:line="218" w:lineRule="auto"/>
        <w:rPr>
          <w:sz w:val="20"/>
          <w:szCs w:val="20"/>
        </w:rPr>
      </w:pPr>
      <w:r>
        <w:rPr>
          <w:spacing w:val="5"/>
          <w:sz w:val="20"/>
          <w:szCs w:val="20"/>
        </w:rPr>
        <w:t>[133]</w:t>
      </w:r>
      <w:r>
        <w:rPr>
          <w:spacing w:val="3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6178—2007.   </w:t>
      </w:r>
      <w:r>
        <w:rPr>
          <w:spacing w:val="5"/>
          <w:sz w:val="20"/>
          <w:szCs w:val="20"/>
        </w:rPr>
        <w:t>军工产品定型部队试验试</w:t>
      </w:r>
      <w:r>
        <w:rPr>
          <w:spacing w:val="4"/>
          <w:sz w:val="20"/>
          <w:szCs w:val="20"/>
        </w:rPr>
        <w:t>用报告通用要求.2007.</w:t>
      </w:r>
    </w:p>
    <w:p w14:paraId="335768D1">
      <w:pPr>
        <w:pStyle w:val="2"/>
        <w:spacing w:before="106" w:line="219" w:lineRule="auto"/>
        <w:rPr>
          <w:sz w:val="20"/>
          <w:szCs w:val="20"/>
        </w:rPr>
      </w:pPr>
      <w:r>
        <w:rPr>
          <w:spacing w:val="4"/>
          <w:sz w:val="20"/>
          <w:szCs w:val="20"/>
        </w:rPr>
        <w:t>[134]</w:t>
      </w:r>
      <w:r>
        <w:rPr>
          <w:spacing w:val="48"/>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   6387—2008.</w:t>
      </w:r>
      <w:r>
        <w:rPr>
          <w:spacing w:val="4"/>
          <w:sz w:val="20"/>
          <w:szCs w:val="20"/>
        </w:rPr>
        <w:t>武器装备研制项目专用规范编写规定.2008.</w:t>
      </w:r>
    </w:p>
    <w:p w14:paraId="1EAD112E">
      <w:pPr>
        <w:pStyle w:val="2"/>
        <w:spacing w:before="83" w:line="212" w:lineRule="auto"/>
        <w:rPr>
          <w:sz w:val="20"/>
          <w:szCs w:val="20"/>
        </w:rPr>
      </w:pPr>
      <w:r>
        <w:rPr>
          <w:rFonts w:ascii="Times New Roman" w:hAnsi="Times New Roman" w:eastAsia="Times New Roman" w:cs="Times New Roman"/>
          <w:spacing w:val="5"/>
          <w:sz w:val="20"/>
          <w:szCs w:val="20"/>
        </w:rPr>
        <w:t>[135]</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6388—2008.</w:t>
      </w:r>
      <w:r>
        <w:rPr>
          <w:spacing w:val="5"/>
          <w:sz w:val="20"/>
          <w:szCs w:val="20"/>
        </w:rPr>
        <w:t>装</w:t>
      </w:r>
      <w:r>
        <w:rPr>
          <w:spacing w:val="4"/>
          <w:sz w:val="20"/>
          <w:szCs w:val="20"/>
        </w:rPr>
        <w:t>备综合保障计划编制要求.2008.</w:t>
      </w:r>
    </w:p>
    <w:p w14:paraId="67C768CD">
      <w:pPr>
        <w:pStyle w:val="2"/>
        <w:spacing w:before="138" w:line="219" w:lineRule="auto"/>
        <w:rPr>
          <w:sz w:val="20"/>
          <w:szCs w:val="20"/>
        </w:rPr>
      </w:pPr>
      <w:r>
        <w:rPr>
          <w:spacing w:val="5"/>
          <w:sz w:val="20"/>
          <w:szCs w:val="20"/>
        </w:rPr>
        <w:t>[136]</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6921—2009.   </w:t>
      </w:r>
      <w:r>
        <w:rPr>
          <w:spacing w:val="5"/>
          <w:sz w:val="20"/>
          <w:szCs w:val="20"/>
        </w:rPr>
        <w:t>军用软件定型测评大纲编制要求.20</w:t>
      </w:r>
      <w:r>
        <w:rPr>
          <w:spacing w:val="4"/>
          <w:sz w:val="20"/>
          <w:szCs w:val="20"/>
        </w:rPr>
        <w:t>09.</w:t>
      </w:r>
    </w:p>
    <w:p w14:paraId="093C5EE0">
      <w:pPr>
        <w:pStyle w:val="2"/>
        <w:spacing w:before="113" w:line="218" w:lineRule="auto"/>
        <w:rPr>
          <w:sz w:val="20"/>
          <w:szCs w:val="20"/>
        </w:rPr>
      </w:pPr>
      <w:r>
        <w:rPr>
          <w:spacing w:val="5"/>
          <w:sz w:val="20"/>
          <w:szCs w:val="20"/>
        </w:rPr>
        <w:t xml:space="preserve">[137]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 xml:space="preserve">    6922—2009.</w:t>
      </w:r>
      <w:r>
        <w:rPr>
          <w:spacing w:val="5"/>
          <w:sz w:val="20"/>
          <w:szCs w:val="20"/>
        </w:rPr>
        <w:t>军用软件定型测评报告编</w:t>
      </w:r>
      <w:r>
        <w:rPr>
          <w:spacing w:val="4"/>
          <w:sz w:val="20"/>
          <w:szCs w:val="20"/>
        </w:rPr>
        <w:t>制要求.2009.</w:t>
      </w:r>
    </w:p>
    <w:p w14:paraId="249FA28C">
      <w:pPr>
        <w:pStyle w:val="2"/>
        <w:spacing w:before="116" w:line="219" w:lineRule="auto"/>
        <w:rPr>
          <w:sz w:val="20"/>
          <w:szCs w:val="20"/>
        </w:rPr>
      </w:pPr>
      <w:r>
        <w:rPr>
          <w:spacing w:val="3"/>
          <w:sz w:val="20"/>
          <w:szCs w:val="20"/>
        </w:rPr>
        <w:t>[138]</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3"/>
          <w:sz w:val="20"/>
          <w:szCs w:val="20"/>
        </w:rPr>
        <w:t>9001A—2001.</w:t>
      </w:r>
      <w:r>
        <w:rPr>
          <w:spacing w:val="3"/>
          <w:sz w:val="20"/>
          <w:szCs w:val="20"/>
        </w:rPr>
        <w:t>质量管理体系要</w:t>
      </w:r>
      <w:r>
        <w:rPr>
          <w:spacing w:val="2"/>
          <w:sz w:val="20"/>
          <w:szCs w:val="20"/>
        </w:rPr>
        <w:t>求.2001.</w:t>
      </w:r>
    </w:p>
    <w:p w14:paraId="4385A5AB">
      <w:pPr>
        <w:pStyle w:val="2"/>
        <w:spacing w:before="92" w:line="219" w:lineRule="auto"/>
        <w:rPr>
          <w:sz w:val="20"/>
          <w:szCs w:val="20"/>
        </w:rPr>
      </w:pPr>
      <w:r>
        <w:rPr>
          <w:spacing w:val="3"/>
          <w:sz w:val="20"/>
          <w:szCs w:val="20"/>
        </w:rPr>
        <w:t>[139]</w:t>
      </w:r>
      <w:r>
        <w:rPr>
          <w:spacing w:val="32"/>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   9001B—2009.</w:t>
      </w:r>
      <w:r>
        <w:rPr>
          <w:spacing w:val="3"/>
          <w:sz w:val="20"/>
          <w:szCs w:val="20"/>
        </w:rPr>
        <w:t>质量管理体系要求.2009.</w:t>
      </w:r>
    </w:p>
    <w:p w14:paraId="6F36D510">
      <w:pPr>
        <w:pStyle w:val="2"/>
        <w:spacing w:before="113" w:line="220" w:lineRule="auto"/>
        <w:rPr>
          <w:sz w:val="20"/>
          <w:szCs w:val="20"/>
        </w:rPr>
      </w:pPr>
      <w:r>
        <w:rPr>
          <w:spacing w:val="3"/>
          <w:sz w:val="20"/>
          <w:szCs w:val="20"/>
        </w:rPr>
        <w:t>[140]</w:t>
      </w:r>
      <w:r>
        <w:rPr>
          <w:spacing w:val="25"/>
          <w:sz w:val="20"/>
          <w:szCs w:val="20"/>
        </w:rPr>
        <w:t xml:space="preserve">  </w:t>
      </w:r>
      <w:r>
        <w:rPr>
          <w:rFonts w:ascii="Times New Roman" w:hAnsi="Times New Roman" w:eastAsia="Times New Roman" w:cs="Times New Roman"/>
          <w:sz w:val="20"/>
          <w:szCs w:val="20"/>
        </w:rPr>
        <w:t xml:space="preserve">GJB    </w:t>
      </w:r>
      <w:r>
        <w:rPr>
          <w:rFonts w:ascii="Times New Roman" w:hAnsi="Times New Roman" w:eastAsia="Times New Roman" w:cs="Times New Roman"/>
          <w:spacing w:val="3"/>
          <w:sz w:val="20"/>
          <w:szCs w:val="20"/>
        </w:rPr>
        <w:t>20221—1994.</w:t>
      </w:r>
      <w:r>
        <w:rPr>
          <w:spacing w:val="3"/>
          <w:sz w:val="20"/>
          <w:szCs w:val="20"/>
        </w:rPr>
        <w:t>武器装备论证通用规范.1994.</w:t>
      </w:r>
    </w:p>
    <w:p w14:paraId="5E0B9E47">
      <w:pPr>
        <w:pStyle w:val="2"/>
        <w:spacing w:before="100" w:line="219" w:lineRule="auto"/>
        <w:rPr>
          <w:sz w:val="20"/>
          <w:szCs w:val="20"/>
        </w:rPr>
      </w:pPr>
      <w:r>
        <w:rPr>
          <w:spacing w:val="3"/>
          <w:sz w:val="20"/>
          <w:szCs w:val="20"/>
        </w:rPr>
        <w:t>[141]</w:t>
      </w:r>
      <w:r>
        <w:rPr>
          <w:spacing w:val="31"/>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    4—1988.</w:t>
      </w:r>
      <w:r>
        <w:rPr>
          <w:spacing w:val="3"/>
          <w:sz w:val="20"/>
          <w:szCs w:val="20"/>
        </w:rPr>
        <w:t>质量成本管理指南.1988.</w:t>
      </w:r>
    </w:p>
    <w:p w14:paraId="070802A0">
      <w:pPr>
        <w:pStyle w:val="2"/>
        <w:spacing w:before="133" w:line="219" w:lineRule="auto"/>
        <w:rPr>
          <w:sz w:val="20"/>
          <w:szCs w:val="20"/>
        </w:rPr>
      </w:pPr>
      <w:r>
        <w:rPr>
          <w:spacing w:val="3"/>
          <w:sz w:val="20"/>
          <w:szCs w:val="20"/>
        </w:rPr>
        <w:t xml:space="preserve">[142]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     17—1991.</w:t>
      </w:r>
      <w:r>
        <w:rPr>
          <w:rFonts w:ascii="Times New Roman" w:hAnsi="Times New Roman" w:eastAsia="Times New Roman" w:cs="Times New Roman"/>
          <w:spacing w:val="-15"/>
          <w:sz w:val="20"/>
          <w:szCs w:val="20"/>
        </w:rPr>
        <w:t xml:space="preserve"> </w:t>
      </w:r>
      <w:r>
        <w:rPr>
          <w:spacing w:val="3"/>
          <w:sz w:val="20"/>
          <w:szCs w:val="20"/>
        </w:rPr>
        <w:t>军用装备电磁兼容性管理指南.1991.</w:t>
      </w:r>
    </w:p>
    <w:p w14:paraId="15500AD7">
      <w:pPr>
        <w:pStyle w:val="2"/>
        <w:spacing w:before="94" w:line="212" w:lineRule="auto"/>
        <w:rPr>
          <w:sz w:val="20"/>
          <w:szCs w:val="20"/>
        </w:rPr>
      </w:pPr>
      <w:r>
        <w:rPr>
          <w:rFonts w:ascii="Times New Roman" w:hAnsi="Times New Roman" w:eastAsia="Times New Roman" w:cs="Times New Roman"/>
          <w:spacing w:val="6"/>
          <w:sz w:val="20"/>
          <w:szCs w:val="20"/>
        </w:rPr>
        <w:t>[143]</w:t>
      </w:r>
      <w:r>
        <w:rPr>
          <w:rFonts w:ascii="Times New Roman" w:hAnsi="Times New Roman" w:eastAsia="Times New Roman" w:cs="Times New Roman"/>
          <w:sz w:val="20"/>
          <w:szCs w:val="20"/>
        </w:rPr>
        <w:t>GJB</w:t>
      </w:r>
      <w:r>
        <w:rPr>
          <w:rFonts w:ascii="Times New Roman" w:hAnsi="Times New Roman" w:eastAsia="Times New Roman" w:cs="Times New Roman"/>
          <w:spacing w:val="6"/>
          <w:sz w:val="20"/>
          <w:szCs w:val="20"/>
        </w:rPr>
        <w:t>/Z         23—1991.</w:t>
      </w:r>
      <w:r>
        <w:rPr>
          <w:spacing w:val="6"/>
          <w:sz w:val="20"/>
          <w:szCs w:val="20"/>
        </w:rPr>
        <w:t>可靠性和维修</w:t>
      </w:r>
      <w:r>
        <w:rPr>
          <w:spacing w:val="5"/>
          <w:sz w:val="20"/>
          <w:szCs w:val="20"/>
        </w:rPr>
        <w:t>性工程报告编写一般要求.1991.</w:t>
      </w:r>
    </w:p>
    <w:p w14:paraId="6EC8A490">
      <w:pPr>
        <w:pStyle w:val="2"/>
        <w:spacing w:before="111" w:line="220" w:lineRule="auto"/>
        <w:rPr>
          <w:sz w:val="20"/>
          <w:szCs w:val="20"/>
        </w:rPr>
      </w:pPr>
      <w:r>
        <w:rPr>
          <w:spacing w:val="5"/>
          <w:sz w:val="20"/>
          <w:szCs w:val="20"/>
        </w:rPr>
        <w:t xml:space="preserve">[144]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/Z     27—1992.</w:t>
      </w:r>
      <w:r>
        <w:rPr>
          <w:rFonts w:ascii="Times New Roman" w:hAnsi="Times New Roman" w:eastAsia="Times New Roman" w:cs="Times New Roman"/>
          <w:spacing w:val="-22"/>
          <w:sz w:val="20"/>
          <w:szCs w:val="20"/>
        </w:rPr>
        <w:t xml:space="preserve"> </w:t>
      </w:r>
      <w:r>
        <w:rPr>
          <w:spacing w:val="5"/>
          <w:sz w:val="20"/>
          <w:szCs w:val="20"/>
        </w:rPr>
        <w:t>电子设备可靠性热设计手册.1992.</w:t>
      </w:r>
    </w:p>
    <w:p w14:paraId="00A60BE8">
      <w:pPr>
        <w:pStyle w:val="2"/>
        <w:spacing w:before="121" w:line="219" w:lineRule="auto"/>
        <w:rPr>
          <w:sz w:val="20"/>
          <w:szCs w:val="20"/>
        </w:rPr>
      </w:pPr>
      <w:r>
        <w:rPr>
          <w:spacing w:val="4"/>
          <w:sz w:val="20"/>
          <w:szCs w:val="20"/>
        </w:rPr>
        <w:t>[145]</w:t>
      </w:r>
      <w:r>
        <w:rPr>
          <w:spacing w:val="35"/>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/Z    34—1993.</w:t>
      </w:r>
      <w:r>
        <w:rPr>
          <w:spacing w:val="4"/>
          <w:sz w:val="20"/>
          <w:szCs w:val="20"/>
        </w:rPr>
        <w:t>电子产品定量环境应力筛选指</w:t>
      </w:r>
      <w:r>
        <w:rPr>
          <w:spacing w:val="3"/>
          <w:sz w:val="20"/>
          <w:szCs w:val="20"/>
        </w:rPr>
        <w:t>南.1993.</w:t>
      </w:r>
    </w:p>
    <w:p w14:paraId="3ADD46E6">
      <w:pPr>
        <w:pStyle w:val="2"/>
        <w:spacing w:before="103" w:line="219" w:lineRule="auto"/>
        <w:rPr>
          <w:sz w:val="20"/>
          <w:szCs w:val="20"/>
        </w:rPr>
      </w:pPr>
      <w:r>
        <w:rPr>
          <w:spacing w:val="2"/>
          <w:sz w:val="20"/>
          <w:szCs w:val="20"/>
        </w:rPr>
        <w:t>[146]</w:t>
      </w:r>
      <w:r>
        <w:rPr>
          <w:spacing w:val="3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/Z    35—1993.</w:t>
      </w:r>
      <w:r>
        <w:rPr>
          <w:rFonts w:ascii="Times New Roman" w:hAnsi="Times New Roman" w:eastAsia="Times New Roman" w:cs="Times New Roman"/>
          <w:spacing w:val="-24"/>
          <w:sz w:val="20"/>
          <w:szCs w:val="20"/>
        </w:rPr>
        <w:t xml:space="preserve"> </w:t>
      </w:r>
      <w:r>
        <w:rPr>
          <w:spacing w:val="2"/>
          <w:sz w:val="20"/>
          <w:szCs w:val="20"/>
        </w:rPr>
        <w:t>元器件降额准则.1993.</w:t>
      </w:r>
    </w:p>
    <w:p w14:paraId="0AC02D68">
      <w:pPr>
        <w:pStyle w:val="2"/>
        <w:spacing w:before="103" w:line="219" w:lineRule="auto"/>
        <w:rPr>
          <w:sz w:val="20"/>
          <w:szCs w:val="20"/>
        </w:rPr>
      </w:pPr>
      <w:r>
        <w:rPr>
          <w:spacing w:val="3"/>
          <w:sz w:val="20"/>
          <w:szCs w:val="20"/>
        </w:rPr>
        <w:t>[147]</w:t>
      </w:r>
      <w:r>
        <w:rPr>
          <w:spacing w:val="36"/>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/Z57—1994.    </w:t>
      </w:r>
      <w:r>
        <w:rPr>
          <w:spacing w:val="3"/>
          <w:sz w:val="20"/>
          <w:szCs w:val="20"/>
        </w:rPr>
        <w:t>维修性分配与预计手册.1994.</w:t>
      </w:r>
    </w:p>
    <w:p w14:paraId="35CC66B4">
      <w:pPr>
        <w:pStyle w:val="2"/>
        <w:spacing w:before="121" w:line="219" w:lineRule="auto"/>
        <w:rPr>
          <w:sz w:val="20"/>
          <w:szCs w:val="20"/>
        </w:rPr>
      </w:pPr>
      <w:r>
        <w:rPr>
          <w:spacing w:val="3"/>
          <w:sz w:val="20"/>
          <w:szCs w:val="20"/>
        </w:rPr>
        <w:t>[148]</w:t>
      </w:r>
      <w:r>
        <w:rPr>
          <w:spacing w:val="43"/>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/Z69—1994.    </w:t>
      </w:r>
      <w:r>
        <w:rPr>
          <w:spacing w:val="3"/>
          <w:sz w:val="20"/>
          <w:szCs w:val="20"/>
        </w:rPr>
        <w:t>军用标准的选用和剪裁导则.1994.</w:t>
      </w:r>
    </w:p>
    <w:p w14:paraId="78022276">
      <w:pPr>
        <w:pStyle w:val="2"/>
        <w:spacing w:before="114" w:line="219" w:lineRule="auto"/>
        <w:rPr>
          <w:sz w:val="20"/>
          <w:szCs w:val="20"/>
        </w:rPr>
      </w:pPr>
      <w:r>
        <w:rPr>
          <w:spacing w:val="4"/>
          <w:sz w:val="20"/>
          <w:szCs w:val="20"/>
        </w:rPr>
        <w:t>[149]</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/Z72—1995.    </w:t>
      </w:r>
      <w:r>
        <w:rPr>
          <w:spacing w:val="4"/>
          <w:sz w:val="20"/>
          <w:szCs w:val="20"/>
        </w:rPr>
        <w:t>可靠性维修性评审指南.1995.</w:t>
      </w:r>
    </w:p>
    <w:p w14:paraId="0C6D4DAD">
      <w:pPr>
        <w:pStyle w:val="2"/>
        <w:spacing w:before="103" w:line="219" w:lineRule="auto"/>
        <w:rPr>
          <w:sz w:val="20"/>
          <w:szCs w:val="20"/>
        </w:rPr>
      </w:pPr>
      <w:r>
        <w:rPr>
          <w:spacing w:val="3"/>
          <w:sz w:val="20"/>
          <w:szCs w:val="20"/>
        </w:rPr>
        <w:t>[150]</w:t>
      </w:r>
      <w:r>
        <w:rPr>
          <w:spacing w:val="3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    77—1995.</w:t>
      </w:r>
      <w:r>
        <w:rPr>
          <w:spacing w:val="3"/>
          <w:sz w:val="20"/>
          <w:szCs w:val="20"/>
        </w:rPr>
        <w:t>可靠性增长管理手册.19</w:t>
      </w:r>
      <w:r>
        <w:rPr>
          <w:spacing w:val="2"/>
          <w:sz w:val="20"/>
          <w:szCs w:val="20"/>
        </w:rPr>
        <w:t>95.</w:t>
      </w:r>
    </w:p>
    <w:p w14:paraId="12726C64">
      <w:pPr>
        <w:pStyle w:val="2"/>
        <w:spacing w:before="113" w:line="219" w:lineRule="auto"/>
        <w:rPr>
          <w:sz w:val="20"/>
          <w:szCs w:val="20"/>
        </w:rPr>
      </w:pPr>
      <w:r>
        <w:rPr>
          <w:spacing w:val="2"/>
          <w:sz w:val="20"/>
          <w:szCs w:val="20"/>
        </w:rPr>
        <w:t>[151]</w:t>
      </w:r>
      <w:r>
        <w:rPr>
          <w:spacing w:val="33"/>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/Z89—1997.</w:t>
      </w:r>
      <w:r>
        <w:rPr>
          <w:rFonts w:ascii="Times New Roman" w:hAnsi="Times New Roman" w:eastAsia="Times New Roman" w:cs="Times New Roman"/>
          <w:spacing w:val="11"/>
          <w:sz w:val="20"/>
          <w:szCs w:val="20"/>
        </w:rPr>
        <w:t xml:space="preserve">    </w:t>
      </w:r>
      <w:r>
        <w:rPr>
          <w:spacing w:val="2"/>
          <w:sz w:val="20"/>
          <w:szCs w:val="20"/>
        </w:rPr>
        <w:t>电路容差分析指南.1997.</w:t>
      </w:r>
    </w:p>
    <w:p w14:paraId="77B5EFCA">
      <w:pPr>
        <w:pStyle w:val="2"/>
        <w:spacing w:before="92" w:line="219" w:lineRule="auto"/>
        <w:rPr>
          <w:sz w:val="20"/>
          <w:szCs w:val="20"/>
        </w:rPr>
      </w:pPr>
      <w:r>
        <w:rPr>
          <w:spacing w:val="3"/>
          <w:sz w:val="20"/>
          <w:szCs w:val="20"/>
        </w:rPr>
        <w:t>[152]</w:t>
      </w:r>
      <w:r>
        <w:rPr>
          <w:spacing w:val="25"/>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    91—1997.</w:t>
      </w:r>
      <w:r>
        <w:rPr>
          <w:rFonts w:ascii="Times New Roman" w:hAnsi="Times New Roman" w:eastAsia="Times New Roman" w:cs="Times New Roman"/>
          <w:spacing w:val="-24"/>
          <w:sz w:val="20"/>
          <w:szCs w:val="20"/>
        </w:rPr>
        <w:t xml:space="preserve"> </w:t>
      </w:r>
      <w:r>
        <w:rPr>
          <w:spacing w:val="3"/>
          <w:sz w:val="20"/>
          <w:szCs w:val="20"/>
        </w:rPr>
        <w:t>维修性设计技术手册.1997.</w:t>
      </w:r>
    </w:p>
    <w:p w14:paraId="4B09A6C6">
      <w:pPr>
        <w:spacing w:line="219" w:lineRule="auto"/>
        <w:rPr>
          <w:sz w:val="20"/>
          <w:szCs w:val="20"/>
        </w:rPr>
        <w:sectPr>
          <w:footerReference r:id="rId677" w:type="default"/>
          <w:pgSz w:w="11910" w:h="17130"/>
          <w:pgMar w:top="1447" w:right="1327" w:bottom="1750" w:left="1499" w:header="0" w:footer="1464" w:gutter="0"/>
          <w:cols w:space="720" w:num="1"/>
        </w:sectPr>
      </w:pPr>
    </w:p>
    <w:p w14:paraId="5C0F125A">
      <w:pPr>
        <w:pStyle w:val="2"/>
        <w:spacing w:before="80" w:line="219" w:lineRule="auto"/>
        <w:rPr>
          <w:sz w:val="20"/>
          <w:szCs w:val="20"/>
        </w:rPr>
      </w:pPr>
      <w:r>
        <w:rPr>
          <w:spacing w:val="3"/>
          <w:sz w:val="20"/>
          <w:szCs w:val="20"/>
        </w:rPr>
        <w:t xml:space="preserve">[153]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     94—1997.</w:t>
      </w:r>
      <w:r>
        <w:rPr>
          <w:spacing w:val="3"/>
          <w:sz w:val="20"/>
          <w:szCs w:val="20"/>
        </w:rPr>
        <w:t>军用电气系统安全设计手册.1997.</w:t>
      </w:r>
    </w:p>
    <w:p w14:paraId="5564BD2C">
      <w:pPr>
        <w:pStyle w:val="2"/>
        <w:spacing w:before="114" w:line="220" w:lineRule="auto"/>
        <w:rPr>
          <w:sz w:val="20"/>
          <w:szCs w:val="20"/>
        </w:rPr>
      </w:pPr>
      <w:r>
        <w:rPr>
          <w:spacing w:val="3"/>
          <w:sz w:val="20"/>
          <w:szCs w:val="20"/>
        </w:rPr>
        <w:t>[154]</w:t>
      </w:r>
      <w:r>
        <w:rPr>
          <w:spacing w:val="2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    99—1997.</w:t>
      </w:r>
      <w:r>
        <w:rPr>
          <w:spacing w:val="3"/>
          <w:sz w:val="20"/>
          <w:szCs w:val="20"/>
        </w:rPr>
        <w:t>系统安全工程手册.1997.</w:t>
      </w:r>
    </w:p>
    <w:p w14:paraId="578E364A">
      <w:pPr>
        <w:pStyle w:val="2"/>
        <w:spacing w:before="101" w:line="219" w:lineRule="auto"/>
        <w:rPr>
          <w:sz w:val="20"/>
          <w:szCs w:val="20"/>
        </w:rPr>
      </w:pPr>
      <w:r>
        <w:rPr>
          <w:spacing w:val="3"/>
          <w:sz w:val="20"/>
          <w:szCs w:val="20"/>
        </w:rPr>
        <w:t xml:space="preserve">[155]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     102—1997.</w:t>
      </w:r>
      <w:r>
        <w:rPr>
          <w:rFonts w:ascii="Times New Roman" w:hAnsi="Times New Roman" w:eastAsia="Times New Roman" w:cs="Times New Roman"/>
          <w:spacing w:val="-25"/>
          <w:sz w:val="20"/>
          <w:szCs w:val="20"/>
        </w:rPr>
        <w:t xml:space="preserve"> </w:t>
      </w:r>
      <w:r>
        <w:rPr>
          <w:spacing w:val="3"/>
          <w:sz w:val="20"/>
          <w:szCs w:val="20"/>
        </w:rPr>
        <w:t>软件可靠性和安全性设计准则.19</w:t>
      </w:r>
      <w:r>
        <w:rPr>
          <w:spacing w:val="2"/>
          <w:sz w:val="20"/>
          <w:szCs w:val="20"/>
        </w:rPr>
        <w:t>97.</w:t>
      </w:r>
    </w:p>
    <w:p w14:paraId="5C6052ED">
      <w:pPr>
        <w:pStyle w:val="2"/>
        <w:spacing w:before="102" w:line="219" w:lineRule="auto"/>
        <w:rPr>
          <w:sz w:val="20"/>
          <w:szCs w:val="20"/>
        </w:rPr>
      </w:pPr>
      <w:r>
        <w:rPr>
          <w:spacing w:val="4"/>
          <w:sz w:val="20"/>
          <w:szCs w:val="20"/>
        </w:rPr>
        <w:t>[156]</w:t>
      </w:r>
      <w:r>
        <w:rPr>
          <w:spacing w:val="3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/Z106A—2005.    </w:t>
      </w:r>
      <w:r>
        <w:rPr>
          <w:spacing w:val="4"/>
          <w:sz w:val="20"/>
          <w:szCs w:val="20"/>
        </w:rPr>
        <w:t>工艺标准化大纲编制指</w:t>
      </w:r>
      <w:r>
        <w:rPr>
          <w:spacing w:val="3"/>
          <w:sz w:val="20"/>
          <w:szCs w:val="20"/>
        </w:rPr>
        <w:t>南.2005.</w:t>
      </w:r>
    </w:p>
    <w:p w14:paraId="73963B60">
      <w:pPr>
        <w:pStyle w:val="2"/>
        <w:spacing w:before="123" w:line="219" w:lineRule="auto"/>
        <w:rPr>
          <w:sz w:val="20"/>
          <w:szCs w:val="20"/>
        </w:rPr>
      </w:pPr>
      <w:r>
        <w:rPr>
          <w:spacing w:val="4"/>
          <w:sz w:val="20"/>
          <w:szCs w:val="20"/>
        </w:rPr>
        <w:t xml:space="preserve">[157]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/Z     108A—2006.</w:t>
      </w:r>
      <w:r>
        <w:rPr>
          <w:spacing w:val="4"/>
          <w:sz w:val="20"/>
          <w:szCs w:val="20"/>
        </w:rPr>
        <w:t>电子设备非工作状态可靠性预计手册.2006.</w:t>
      </w:r>
    </w:p>
    <w:p w14:paraId="4CDBF897">
      <w:pPr>
        <w:pStyle w:val="2"/>
        <w:spacing w:before="103" w:line="220" w:lineRule="auto"/>
        <w:rPr>
          <w:sz w:val="20"/>
          <w:szCs w:val="20"/>
        </w:rPr>
      </w:pPr>
      <w:r>
        <w:rPr>
          <w:spacing w:val="1"/>
          <w:sz w:val="20"/>
          <w:szCs w:val="20"/>
        </w:rPr>
        <w:t>[157]</w:t>
      </w:r>
      <w:r>
        <w:rPr>
          <w:spacing w:val="25"/>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1"/>
          <w:sz w:val="20"/>
          <w:szCs w:val="20"/>
        </w:rPr>
        <w:t>/Z</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1"/>
          <w:sz w:val="20"/>
          <w:szCs w:val="20"/>
        </w:rPr>
        <w:t>113—1998.</w:t>
      </w:r>
      <w:r>
        <w:rPr>
          <w:spacing w:val="1"/>
          <w:sz w:val="20"/>
          <w:szCs w:val="20"/>
        </w:rPr>
        <w:t>标准化评审.1998.</w:t>
      </w:r>
    </w:p>
    <w:p w14:paraId="34CE47AC">
      <w:pPr>
        <w:pStyle w:val="2"/>
        <w:spacing w:before="91" w:line="219" w:lineRule="auto"/>
        <w:rPr>
          <w:sz w:val="20"/>
          <w:szCs w:val="20"/>
        </w:rPr>
      </w:pPr>
      <w:r>
        <w:rPr>
          <w:spacing w:val="4"/>
          <w:sz w:val="20"/>
          <w:szCs w:val="20"/>
        </w:rPr>
        <w:t>[159]</w:t>
      </w:r>
      <w:r>
        <w:rPr>
          <w:spacing w:val="3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/Z114—1998.</w:t>
      </w:r>
      <w:r>
        <w:rPr>
          <w:rFonts w:ascii="Times New Roman" w:hAnsi="Times New Roman" w:eastAsia="Times New Roman" w:cs="Times New Roman"/>
          <w:spacing w:val="1"/>
          <w:sz w:val="20"/>
          <w:szCs w:val="20"/>
        </w:rPr>
        <w:t xml:space="preserve">    </w:t>
      </w:r>
      <w:r>
        <w:rPr>
          <w:spacing w:val="4"/>
          <w:sz w:val="20"/>
          <w:szCs w:val="20"/>
        </w:rPr>
        <w:t>新产品标准化大</w:t>
      </w:r>
      <w:r>
        <w:rPr>
          <w:spacing w:val="3"/>
          <w:sz w:val="20"/>
          <w:szCs w:val="20"/>
        </w:rPr>
        <w:t>纲编制指南.1998.</w:t>
      </w:r>
    </w:p>
    <w:p w14:paraId="119DAD98">
      <w:pPr>
        <w:pStyle w:val="2"/>
        <w:spacing w:before="113" w:line="219" w:lineRule="auto"/>
        <w:rPr>
          <w:sz w:val="20"/>
          <w:szCs w:val="20"/>
        </w:rPr>
      </w:pPr>
      <w:r>
        <w:rPr>
          <w:spacing w:val="4"/>
          <w:sz w:val="20"/>
          <w:szCs w:val="20"/>
        </w:rPr>
        <w:t xml:space="preserve">[160]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 xml:space="preserve">/Z114A—2005.     </w:t>
      </w:r>
      <w:r>
        <w:rPr>
          <w:spacing w:val="4"/>
          <w:sz w:val="20"/>
          <w:szCs w:val="20"/>
        </w:rPr>
        <w:t>产品标准化大纲</w:t>
      </w:r>
      <w:r>
        <w:rPr>
          <w:spacing w:val="3"/>
          <w:sz w:val="20"/>
          <w:szCs w:val="20"/>
        </w:rPr>
        <w:t>编制指南.2005.</w:t>
      </w:r>
    </w:p>
    <w:p w14:paraId="15AABD9D">
      <w:pPr>
        <w:pStyle w:val="2"/>
        <w:spacing w:before="101" w:line="219" w:lineRule="auto"/>
        <w:rPr>
          <w:sz w:val="20"/>
          <w:szCs w:val="20"/>
        </w:rPr>
      </w:pPr>
      <w:r>
        <w:rPr>
          <w:spacing w:val="3"/>
          <w:sz w:val="20"/>
          <w:szCs w:val="20"/>
        </w:rPr>
        <w:t xml:space="preserve">[161]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     131—2002.</w:t>
      </w:r>
      <w:r>
        <w:rPr>
          <w:rFonts w:ascii="Times New Roman" w:hAnsi="Times New Roman" w:eastAsia="Times New Roman" w:cs="Times New Roman"/>
          <w:spacing w:val="-17"/>
          <w:sz w:val="20"/>
          <w:szCs w:val="20"/>
        </w:rPr>
        <w:t xml:space="preserve"> </w:t>
      </w:r>
      <w:r>
        <w:rPr>
          <w:spacing w:val="3"/>
          <w:sz w:val="20"/>
          <w:szCs w:val="20"/>
        </w:rPr>
        <w:t>军事装备和设施的人机工程设计手册.2002.</w:t>
      </w:r>
    </w:p>
    <w:p w14:paraId="48B90112">
      <w:pPr>
        <w:pStyle w:val="2"/>
        <w:spacing w:before="85" w:line="212" w:lineRule="auto"/>
        <w:rPr>
          <w:sz w:val="20"/>
          <w:szCs w:val="20"/>
        </w:rPr>
      </w:pPr>
      <w:r>
        <w:rPr>
          <w:rFonts w:ascii="Times New Roman" w:hAnsi="Times New Roman" w:eastAsia="Times New Roman" w:cs="Times New Roman"/>
          <w:spacing w:val="2"/>
          <w:sz w:val="20"/>
          <w:szCs w:val="20"/>
        </w:rPr>
        <w:t>[162]</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/Z          134—2002.</w:t>
      </w:r>
      <w:r>
        <w:rPr>
          <w:spacing w:val="2"/>
          <w:sz w:val="20"/>
          <w:szCs w:val="20"/>
        </w:rPr>
        <w:t>人机工程实施程序指南.2002.</w:t>
      </w:r>
    </w:p>
    <w:p w14:paraId="56D8EBFA">
      <w:pPr>
        <w:pStyle w:val="2"/>
        <w:spacing w:before="148" w:line="219" w:lineRule="auto"/>
        <w:rPr>
          <w:sz w:val="20"/>
          <w:szCs w:val="20"/>
        </w:rPr>
      </w:pPr>
      <w:r>
        <w:rPr>
          <w:spacing w:val="3"/>
          <w:sz w:val="20"/>
          <w:szCs w:val="20"/>
        </w:rPr>
        <w:t>[163]</w:t>
      </w:r>
      <w:r>
        <w:rPr>
          <w:spacing w:val="47"/>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/Z142—2004.</w:t>
      </w:r>
      <w:r>
        <w:rPr>
          <w:rFonts w:ascii="Times New Roman" w:hAnsi="Times New Roman" w:eastAsia="Times New Roman" w:cs="Times New Roman"/>
          <w:spacing w:val="1"/>
          <w:sz w:val="20"/>
          <w:szCs w:val="20"/>
        </w:rPr>
        <w:t xml:space="preserve">    </w:t>
      </w:r>
      <w:r>
        <w:rPr>
          <w:spacing w:val="3"/>
          <w:sz w:val="20"/>
          <w:szCs w:val="20"/>
        </w:rPr>
        <w:t>军用软件安全性分析指南.2004.</w:t>
      </w:r>
    </w:p>
    <w:p w14:paraId="0E5E5BC0">
      <w:pPr>
        <w:pStyle w:val="2"/>
        <w:spacing w:before="133" w:line="219" w:lineRule="auto"/>
        <w:rPr>
          <w:sz w:val="17"/>
          <w:szCs w:val="17"/>
        </w:rPr>
      </w:pPr>
      <w:r>
        <w:rPr>
          <w:spacing w:val="7"/>
          <w:sz w:val="17"/>
          <w:szCs w:val="17"/>
        </w:rPr>
        <w:t>[164]</w:t>
      </w:r>
      <w:r>
        <w:rPr>
          <w:spacing w:val="17"/>
          <w:sz w:val="17"/>
          <w:szCs w:val="17"/>
        </w:rPr>
        <w:t xml:space="preserve">   </w:t>
      </w:r>
      <w:r>
        <w:rPr>
          <w:rFonts w:ascii="Times New Roman" w:hAnsi="Times New Roman" w:eastAsia="Times New Roman" w:cs="Times New Roman"/>
          <w:sz w:val="17"/>
          <w:szCs w:val="17"/>
        </w:rPr>
        <w:t>GJB</w:t>
      </w:r>
      <w:r>
        <w:rPr>
          <w:rFonts w:ascii="Times New Roman" w:hAnsi="Times New Roman" w:eastAsia="Times New Roman" w:cs="Times New Roman"/>
          <w:spacing w:val="7"/>
          <w:sz w:val="17"/>
          <w:szCs w:val="17"/>
        </w:rPr>
        <w:t>/Z          145—2006.</w:t>
      </w:r>
      <w:r>
        <w:rPr>
          <w:spacing w:val="7"/>
          <w:sz w:val="17"/>
          <w:szCs w:val="17"/>
        </w:rPr>
        <w:t>维修性建模指南</w:t>
      </w:r>
      <w:r>
        <w:rPr>
          <w:spacing w:val="-37"/>
          <w:sz w:val="17"/>
          <w:szCs w:val="17"/>
        </w:rPr>
        <w:t xml:space="preserve"> </w:t>
      </w:r>
      <w:r>
        <w:rPr>
          <w:spacing w:val="7"/>
          <w:sz w:val="17"/>
          <w:szCs w:val="17"/>
        </w:rPr>
        <w:t>.</w:t>
      </w:r>
      <w:r>
        <w:rPr>
          <w:spacing w:val="-42"/>
          <w:sz w:val="17"/>
          <w:szCs w:val="17"/>
        </w:rPr>
        <w:t xml:space="preserve"> </w:t>
      </w:r>
      <w:r>
        <w:rPr>
          <w:spacing w:val="7"/>
          <w:sz w:val="17"/>
          <w:szCs w:val="17"/>
        </w:rPr>
        <w:t>20</w:t>
      </w:r>
      <w:r>
        <w:rPr>
          <w:spacing w:val="6"/>
          <w:sz w:val="17"/>
          <w:szCs w:val="17"/>
        </w:rPr>
        <w:t>06</w:t>
      </w:r>
      <w:r>
        <w:rPr>
          <w:spacing w:val="-39"/>
          <w:sz w:val="17"/>
          <w:szCs w:val="17"/>
        </w:rPr>
        <w:t xml:space="preserve"> </w:t>
      </w:r>
      <w:r>
        <w:rPr>
          <w:spacing w:val="6"/>
          <w:sz w:val="17"/>
          <w:szCs w:val="17"/>
        </w:rPr>
        <w:t>.</w:t>
      </w:r>
    </w:p>
    <w:p w14:paraId="374CF367">
      <w:pPr>
        <w:pStyle w:val="2"/>
        <w:spacing w:before="110" w:line="219" w:lineRule="auto"/>
        <w:rPr>
          <w:sz w:val="20"/>
          <w:szCs w:val="20"/>
        </w:rPr>
      </w:pPr>
      <w:r>
        <w:rPr>
          <w:spacing w:val="3"/>
          <w:sz w:val="20"/>
          <w:szCs w:val="20"/>
        </w:rPr>
        <w:t>[165]</w:t>
      </w:r>
      <w:r>
        <w:rPr>
          <w:spacing w:val="35"/>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 xml:space="preserve">/Z147—2006.    </w:t>
      </w:r>
      <w:r>
        <w:rPr>
          <w:spacing w:val="3"/>
          <w:sz w:val="20"/>
          <w:szCs w:val="20"/>
        </w:rPr>
        <w:t>装备综合保障评审指南.2006.</w:t>
      </w:r>
    </w:p>
    <w:p w14:paraId="4686B292">
      <w:pPr>
        <w:pStyle w:val="2"/>
        <w:spacing w:before="103" w:line="219" w:lineRule="auto"/>
        <w:rPr>
          <w:sz w:val="20"/>
          <w:szCs w:val="20"/>
        </w:rPr>
      </w:pPr>
      <w:r>
        <w:rPr>
          <w:spacing w:val="4"/>
          <w:sz w:val="20"/>
          <w:szCs w:val="20"/>
        </w:rPr>
        <w:t>[166]</w:t>
      </w:r>
      <w:r>
        <w:rPr>
          <w:spacing w:val="43"/>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/Z151—2007.</w:t>
      </w:r>
      <w:r>
        <w:rPr>
          <w:rFonts w:ascii="Times New Roman" w:hAnsi="Times New Roman" w:eastAsia="Times New Roman" w:cs="Times New Roman"/>
          <w:spacing w:val="1"/>
          <w:sz w:val="20"/>
          <w:szCs w:val="20"/>
        </w:rPr>
        <w:t xml:space="preserve">    </w:t>
      </w:r>
      <w:r>
        <w:rPr>
          <w:spacing w:val="4"/>
          <w:sz w:val="20"/>
          <w:szCs w:val="20"/>
        </w:rPr>
        <w:t>装备保障方案和保障计划编制指南.2007.</w:t>
      </w:r>
    </w:p>
    <w:p w14:paraId="107DA4DE">
      <w:pPr>
        <w:pStyle w:val="2"/>
        <w:spacing w:before="121" w:line="219" w:lineRule="auto"/>
        <w:rPr>
          <w:sz w:val="20"/>
          <w:szCs w:val="20"/>
        </w:rPr>
      </w:pPr>
      <w:r>
        <w:rPr>
          <w:spacing w:val="6"/>
          <w:sz w:val="20"/>
          <w:szCs w:val="20"/>
        </w:rPr>
        <w:t xml:space="preserve">[167]  </w:t>
      </w:r>
      <w:r>
        <w:rPr>
          <w:rFonts w:ascii="Times New Roman" w:hAnsi="Times New Roman" w:eastAsia="Times New Roman" w:cs="Times New Roman"/>
          <w:sz w:val="20"/>
          <w:szCs w:val="20"/>
        </w:rPr>
        <w:t>GJB</w:t>
      </w:r>
      <w:r>
        <w:rPr>
          <w:rFonts w:ascii="Times New Roman" w:hAnsi="Times New Roman" w:eastAsia="Times New Roman" w:cs="Times New Roman"/>
          <w:spacing w:val="6"/>
          <w:sz w:val="20"/>
          <w:szCs w:val="20"/>
        </w:rPr>
        <w:t>/Z     215.1—2004.</w:t>
      </w:r>
      <w:r>
        <w:rPr>
          <w:rFonts w:ascii="Times New Roman" w:hAnsi="Times New Roman" w:eastAsia="Times New Roman" w:cs="Times New Roman"/>
          <w:spacing w:val="-25"/>
          <w:sz w:val="20"/>
          <w:szCs w:val="20"/>
        </w:rPr>
        <w:t xml:space="preserve"> </w:t>
      </w:r>
      <w:r>
        <w:rPr>
          <w:spacing w:val="6"/>
          <w:sz w:val="20"/>
          <w:szCs w:val="20"/>
        </w:rPr>
        <w:t>军工材料管理要求</w:t>
      </w:r>
      <w:r>
        <w:rPr>
          <w:spacing w:val="5"/>
          <w:sz w:val="20"/>
          <w:szCs w:val="20"/>
        </w:rPr>
        <w:t>第1部分：研制.2004.</w:t>
      </w:r>
    </w:p>
    <w:p w14:paraId="1DCCB11C">
      <w:pPr>
        <w:pStyle w:val="2"/>
        <w:spacing w:before="103" w:line="219" w:lineRule="auto"/>
        <w:rPr>
          <w:sz w:val="20"/>
          <w:szCs w:val="20"/>
        </w:rPr>
      </w:pPr>
      <w:r>
        <w:rPr>
          <w:spacing w:val="6"/>
          <w:sz w:val="20"/>
          <w:szCs w:val="20"/>
        </w:rPr>
        <w:t>[168]</w:t>
      </w:r>
      <w:r>
        <w:rPr>
          <w:spacing w:val="3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6"/>
          <w:sz w:val="20"/>
          <w:szCs w:val="20"/>
        </w:rPr>
        <w:t>/Z     215.2—20</w:t>
      </w:r>
      <w:r>
        <w:rPr>
          <w:rFonts w:ascii="Times New Roman" w:hAnsi="Times New Roman" w:eastAsia="Times New Roman" w:cs="Times New Roman"/>
          <w:spacing w:val="5"/>
          <w:sz w:val="20"/>
          <w:szCs w:val="20"/>
        </w:rPr>
        <w:t>04.</w:t>
      </w:r>
      <w:r>
        <w:rPr>
          <w:spacing w:val="5"/>
          <w:sz w:val="20"/>
          <w:szCs w:val="20"/>
        </w:rPr>
        <w:t>军工材料管理要求第2部分：选用.2004.</w:t>
      </w:r>
    </w:p>
    <w:p w14:paraId="7562F960">
      <w:pPr>
        <w:pStyle w:val="2"/>
        <w:spacing w:before="112" w:line="219" w:lineRule="auto"/>
        <w:rPr>
          <w:sz w:val="20"/>
          <w:szCs w:val="20"/>
        </w:rPr>
      </w:pPr>
      <w:r>
        <w:rPr>
          <w:spacing w:val="5"/>
          <w:sz w:val="20"/>
          <w:szCs w:val="20"/>
        </w:rPr>
        <w:t xml:space="preserve">[169]  </w:t>
      </w:r>
      <w:r>
        <w:rPr>
          <w:rFonts w:ascii="Times New Roman" w:hAnsi="Times New Roman" w:eastAsia="Times New Roman" w:cs="Times New Roman"/>
          <w:sz w:val="20"/>
          <w:szCs w:val="20"/>
        </w:rPr>
        <w:t>GJB</w:t>
      </w:r>
      <w:r>
        <w:rPr>
          <w:rFonts w:ascii="Times New Roman" w:hAnsi="Times New Roman" w:eastAsia="Times New Roman" w:cs="Times New Roman"/>
          <w:spacing w:val="5"/>
          <w:sz w:val="20"/>
          <w:szCs w:val="20"/>
        </w:rPr>
        <w:t>/Z      215.3—2004.</w:t>
      </w:r>
      <w:r>
        <w:rPr>
          <w:spacing w:val="5"/>
          <w:sz w:val="20"/>
          <w:szCs w:val="20"/>
        </w:rPr>
        <w:t>军工材料管理要求第3部分：采购.2004.</w:t>
      </w:r>
    </w:p>
    <w:p w14:paraId="1E49F456">
      <w:pPr>
        <w:pStyle w:val="2"/>
        <w:spacing w:before="115" w:line="220" w:lineRule="auto"/>
        <w:rPr>
          <w:sz w:val="20"/>
          <w:szCs w:val="20"/>
        </w:rPr>
      </w:pPr>
      <w:r>
        <w:rPr>
          <w:spacing w:val="3"/>
          <w:sz w:val="20"/>
          <w:szCs w:val="20"/>
        </w:rPr>
        <w:t xml:space="preserve">[170]  </w:t>
      </w:r>
      <w:r>
        <w:rPr>
          <w:rFonts w:ascii="Times New Roman" w:hAnsi="Times New Roman" w:eastAsia="Times New Roman" w:cs="Times New Roman"/>
          <w:sz w:val="20"/>
          <w:szCs w:val="20"/>
        </w:rPr>
        <w:t>GJB</w:t>
      </w:r>
      <w:r>
        <w:rPr>
          <w:rFonts w:ascii="Times New Roman" w:hAnsi="Times New Roman" w:eastAsia="Times New Roman" w:cs="Times New Roman"/>
          <w:spacing w:val="3"/>
          <w:sz w:val="20"/>
          <w:szCs w:val="20"/>
        </w:rPr>
        <w:t>/Z     299C—2006.</w:t>
      </w:r>
      <w:r>
        <w:rPr>
          <w:rFonts w:ascii="Times New Roman" w:hAnsi="Times New Roman" w:eastAsia="Times New Roman" w:cs="Times New Roman"/>
          <w:spacing w:val="-24"/>
          <w:sz w:val="20"/>
          <w:szCs w:val="20"/>
        </w:rPr>
        <w:t xml:space="preserve"> </w:t>
      </w:r>
      <w:r>
        <w:rPr>
          <w:spacing w:val="3"/>
          <w:sz w:val="20"/>
          <w:szCs w:val="20"/>
        </w:rPr>
        <w:t>电子设</w:t>
      </w:r>
      <w:r>
        <w:rPr>
          <w:spacing w:val="2"/>
          <w:sz w:val="20"/>
          <w:szCs w:val="20"/>
        </w:rPr>
        <w:t>备可靠性预计手册.2006.</w:t>
      </w:r>
    </w:p>
    <w:p w14:paraId="7EEA164C">
      <w:pPr>
        <w:pStyle w:val="2"/>
        <w:spacing w:before="120" w:line="219" w:lineRule="auto"/>
        <w:rPr>
          <w:sz w:val="20"/>
          <w:szCs w:val="20"/>
        </w:rPr>
      </w:pPr>
      <w:r>
        <w:rPr>
          <w:spacing w:val="4"/>
          <w:sz w:val="20"/>
          <w:szCs w:val="20"/>
        </w:rPr>
        <w:t>[171]</w:t>
      </w:r>
      <w:r>
        <w:rPr>
          <w:spacing w:val="24"/>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/Z    457—2006.</w:t>
      </w:r>
      <w:r>
        <w:rPr>
          <w:spacing w:val="4"/>
          <w:sz w:val="20"/>
          <w:szCs w:val="20"/>
        </w:rPr>
        <w:t>机</w:t>
      </w:r>
      <w:r>
        <w:rPr>
          <w:spacing w:val="3"/>
          <w:sz w:val="20"/>
          <w:szCs w:val="20"/>
        </w:rPr>
        <w:t>载电子设备通用指南.2006.</w:t>
      </w:r>
    </w:p>
    <w:p w14:paraId="30D2FC0D">
      <w:pPr>
        <w:pStyle w:val="2"/>
        <w:spacing w:before="94" w:line="219" w:lineRule="auto"/>
        <w:rPr>
          <w:sz w:val="20"/>
          <w:szCs w:val="20"/>
        </w:rPr>
      </w:pPr>
      <w:r>
        <w:rPr>
          <w:spacing w:val="2"/>
          <w:sz w:val="20"/>
          <w:szCs w:val="20"/>
        </w:rPr>
        <w:t>[172]</w:t>
      </w:r>
      <w:r>
        <w:rPr>
          <w:spacing w:val="27"/>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2"/>
          <w:sz w:val="20"/>
          <w:szCs w:val="20"/>
        </w:rPr>
        <w:t>/Z768A—1998.</w:t>
      </w:r>
      <w:r>
        <w:rPr>
          <w:rFonts w:ascii="Times New Roman" w:hAnsi="Times New Roman" w:eastAsia="Times New Roman" w:cs="Times New Roman"/>
          <w:spacing w:val="12"/>
          <w:w w:val="101"/>
          <w:sz w:val="20"/>
          <w:szCs w:val="20"/>
        </w:rPr>
        <w:t xml:space="preserve">    </w:t>
      </w:r>
      <w:r>
        <w:rPr>
          <w:spacing w:val="2"/>
          <w:sz w:val="20"/>
          <w:szCs w:val="20"/>
        </w:rPr>
        <w:t>故障树分析指南.1998.</w:t>
      </w:r>
    </w:p>
    <w:p w14:paraId="07E9DEE2">
      <w:pPr>
        <w:spacing w:before="119" w:line="220" w:lineRule="auto"/>
        <w:rPr>
          <w:rFonts w:ascii="仿宋" w:hAnsi="仿宋" w:eastAsia="仿宋" w:cs="仿宋"/>
          <w:sz w:val="19"/>
          <w:szCs w:val="19"/>
        </w:rPr>
      </w:pPr>
      <w:r>
        <w:rPr>
          <w:rFonts w:ascii="仿宋" w:hAnsi="仿宋" w:eastAsia="仿宋" w:cs="仿宋"/>
          <w:spacing w:val="6"/>
          <w:sz w:val="19"/>
          <w:szCs w:val="19"/>
        </w:rPr>
        <w:t>[173]</w:t>
      </w:r>
      <w:r>
        <w:rPr>
          <w:rFonts w:ascii="仿宋" w:hAnsi="仿宋" w:eastAsia="仿宋" w:cs="仿宋"/>
          <w:spacing w:val="41"/>
          <w:sz w:val="19"/>
          <w:szCs w:val="19"/>
        </w:rPr>
        <w:t xml:space="preserve">  </w:t>
      </w:r>
      <w:r>
        <w:rPr>
          <w:rFonts w:ascii="Times New Roman" w:hAnsi="Times New Roman" w:eastAsia="Times New Roman" w:cs="Times New Roman"/>
          <w:sz w:val="19"/>
          <w:szCs w:val="19"/>
        </w:rPr>
        <w:t>GJB</w:t>
      </w:r>
      <w:r>
        <w:rPr>
          <w:rFonts w:ascii="Times New Roman" w:hAnsi="Times New Roman" w:eastAsia="Times New Roman" w:cs="Times New Roman"/>
          <w:spacing w:val="6"/>
          <w:sz w:val="19"/>
          <w:szCs w:val="19"/>
        </w:rPr>
        <w:t>/Z      1391—2006.</w:t>
      </w:r>
      <w:r>
        <w:rPr>
          <w:rFonts w:ascii="仿宋" w:hAnsi="仿宋" w:eastAsia="仿宋" w:cs="仿宋"/>
          <w:spacing w:val="6"/>
          <w:sz w:val="19"/>
          <w:szCs w:val="19"/>
        </w:rPr>
        <w:t>故</w:t>
      </w:r>
      <w:r>
        <w:rPr>
          <w:rFonts w:ascii="仿宋" w:hAnsi="仿宋" w:eastAsia="仿宋" w:cs="仿宋"/>
          <w:spacing w:val="5"/>
          <w:sz w:val="19"/>
          <w:szCs w:val="19"/>
        </w:rPr>
        <w:t>障模式、影响及危害性分析指南.2006.</w:t>
      </w:r>
    </w:p>
    <w:p w14:paraId="4D96FFC2">
      <w:pPr>
        <w:pStyle w:val="2"/>
        <w:spacing w:before="115" w:line="218" w:lineRule="auto"/>
        <w:rPr>
          <w:sz w:val="20"/>
          <w:szCs w:val="20"/>
        </w:rPr>
      </w:pPr>
      <w:r>
        <w:rPr>
          <w:spacing w:val="4"/>
          <w:sz w:val="20"/>
          <w:szCs w:val="20"/>
        </w:rPr>
        <w:t>[174]</w:t>
      </w:r>
      <w:r>
        <w:rPr>
          <w:spacing w:val="39"/>
          <w:sz w:val="20"/>
          <w:szCs w:val="20"/>
        </w:rPr>
        <w:t xml:space="preserve">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/Z    20456—1997.</w:t>
      </w:r>
      <w:r>
        <w:rPr>
          <w:spacing w:val="4"/>
          <w:sz w:val="20"/>
          <w:szCs w:val="20"/>
        </w:rPr>
        <w:t>电子对抗装备寿命周期费</w:t>
      </w:r>
      <w:r>
        <w:rPr>
          <w:spacing w:val="3"/>
          <w:sz w:val="20"/>
          <w:szCs w:val="20"/>
        </w:rPr>
        <w:t>用估算.1997.</w:t>
      </w:r>
    </w:p>
    <w:p w14:paraId="7B90669B">
      <w:pPr>
        <w:pStyle w:val="2"/>
        <w:spacing w:before="104" w:line="218" w:lineRule="auto"/>
        <w:rPr>
          <w:sz w:val="20"/>
          <w:szCs w:val="20"/>
        </w:rPr>
      </w:pPr>
      <w:r>
        <w:rPr>
          <w:spacing w:val="4"/>
          <w:sz w:val="20"/>
          <w:szCs w:val="20"/>
        </w:rPr>
        <w:t xml:space="preserve">[175]  </w:t>
      </w:r>
      <w:r>
        <w:rPr>
          <w:rFonts w:ascii="Times New Roman" w:hAnsi="Times New Roman" w:eastAsia="Times New Roman" w:cs="Times New Roman"/>
          <w:sz w:val="20"/>
          <w:szCs w:val="20"/>
        </w:rPr>
        <w:t>GJB</w:t>
      </w:r>
      <w:r>
        <w:rPr>
          <w:rFonts w:ascii="Times New Roman" w:hAnsi="Times New Roman" w:eastAsia="Times New Roman" w:cs="Times New Roman"/>
          <w:spacing w:val="4"/>
          <w:sz w:val="20"/>
          <w:szCs w:val="20"/>
        </w:rPr>
        <w:t>/Z     20517</w:t>
      </w:r>
      <w:r>
        <w:rPr>
          <w:rFonts w:ascii="Times New Roman" w:hAnsi="Times New Roman" w:eastAsia="Times New Roman" w:cs="Times New Roman"/>
          <w:spacing w:val="3"/>
          <w:sz w:val="20"/>
          <w:szCs w:val="20"/>
        </w:rPr>
        <w:t>—1998.</w:t>
      </w:r>
      <w:r>
        <w:rPr>
          <w:spacing w:val="3"/>
          <w:sz w:val="20"/>
          <w:szCs w:val="20"/>
        </w:rPr>
        <w:t>武器装备寿命周期费用估算.1998.</w:t>
      </w:r>
    </w:p>
    <w:p w14:paraId="347ACF19">
      <w:pPr>
        <w:pStyle w:val="2"/>
        <w:spacing w:before="133" w:line="216" w:lineRule="auto"/>
        <w:rPr>
          <w:sz w:val="20"/>
          <w:szCs w:val="20"/>
        </w:rPr>
      </w:pPr>
      <w:r>
        <w:rPr>
          <w:sz w:val="20"/>
          <w:szCs w:val="20"/>
        </w:rPr>
        <w:t>[176]《军工产品质量管理条例》,国务院、</w:t>
      </w:r>
      <w:r>
        <w:rPr>
          <w:spacing w:val="-1"/>
          <w:sz w:val="20"/>
          <w:szCs w:val="20"/>
        </w:rPr>
        <w:t>中央军委批准，国防科工委颁发，〔1987〕第699号.</w:t>
      </w:r>
    </w:p>
    <w:p w14:paraId="54CF9B8F">
      <w:pPr>
        <w:pStyle w:val="2"/>
        <w:spacing w:before="106" w:line="216" w:lineRule="auto"/>
        <w:rPr>
          <w:sz w:val="20"/>
          <w:szCs w:val="20"/>
        </w:rPr>
      </w:pPr>
      <w:r>
        <w:rPr>
          <w:sz w:val="20"/>
          <w:szCs w:val="20"/>
        </w:rPr>
        <w:t>[177]《武器装备质量管理条例》,国务院、中央军委颁发，〔2010〕第582号.</w:t>
      </w:r>
    </w:p>
    <w:p w14:paraId="7538FABF">
      <w:pPr>
        <w:pStyle w:val="2"/>
        <w:spacing w:before="116" w:line="221" w:lineRule="auto"/>
        <w:rPr>
          <w:rFonts w:ascii="仿宋" w:hAnsi="仿宋" w:eastAsia="仿宋" w:cs="仿宋"/>
          <w:sz w:val="20"/>
          <w:szCs w:val="20"/>
        </w:rPr>
      </w:pPr>
      <w:r>
        <w:rPr>
          <w:spacing w:val="1"/>
          <w:sz w:val="20"/>
          <w:szCs w:val="20"/>
        </w:rPr>
        <w:t>[178]《武器装备研制合同暂行办法》,国务院、中央军委</w:t>
      </w:r>
      <w:r>
        <w:rPr>
          <w:rFonts w:ascii="仿宋" w:hAnsi="仿宋" w:eastAsia="仿宋" w:cs="仿宋"/>
          <w:spacing w:val="1"/>
          <w:sz w:val="20"/>
          <w:szCs w:val="20"/>
        </w:rPr>
        <w:t>〔1987〕7号.</w:t>
      </w:r>
    </w:p>
    <w:p w14:paraId="597D0DB7">
      <w:pPr>
        <w:pStyle w:val="2"/>
        <w:spacing w:before="120" w:line="267" w:lineRule="auto"/>
        <w:ind w:left="739" w:hanging="739"/>
        <w:rPr>
          <w:sz w:val="20"/>
          <w:szCs w:val="20"/>
        </w:rPr>
      </w:pPr>
      <w:r>
        <w:rPr>
          <w:spacing w:val="21"/>
          <w:sz w:val="19"/>
          <w:szCs w:val="19"/>
        </w:rPr>
        <w:t>[179]《武器装备研制合同暂行办法实施细则》,总参谋部、国防</w:t>
      </w:r>
      <w:r>
        <w:rPr>
          <w:spacing w:val="20"/>
          <w:sz w:val="19"/>
          <w:szCs w:val="19"/>
        </w:rPr>
        <w:t>科工委、国家计委〔1995〕技综字第</w:t>
      </w:r>
      <w:r>
        <w:rPr>
          <w:sz w:val="19"/>
          <w:szCs w:val="19"/>
        </w:rPr>
        <w:t xml:space="preserve"> </w:t>
      </w:r>
      <w:r>
        <w:rPr>
          <w:spacing w:val="17"/>
          <w:sz w:val="20"/>
          <w:szCs w:val="20"/>
        </w:rPr>
        <w:t>2439号.</w:t>
      </w:r>
    </w:p>
    <w:p w14:paraId="25BED248">
      <w:pPr>
        <w:pStyle w:val="2"/>
        <w:spacing w:before="107" w:line="216" w:lineRule="auto"/>
        <w:rPr>
          <w:sz w:val="20"/>
          <w:szCs w:val="20"/>
        </w:rPr>
      </w:pPr>
      <w:r>
        <w:rPr>
          <w:spacing w:val="7"/>
          <w:sz w:val="20"/>
          <w:szCs w:val="20"/>
        </w:rPr>
        <w:t>[180]《武器装备研制项目招标管理办法》,国防科工委〔1995〕技综字第2033号.</w:t>
      </w:r>
    </w:p>
    <w:p w14:paraId="7F64EBB4">
      <w:pPr>
        <w:pStyle w:val="2"/>
        <w:spacing w:before="125" w:line="221" w:lineRule="auto"/>
        <w:rPr>
          <w:rFonts w:ascii="仿宋" w:hAnsi="仿宋" w:eastAsia="仿宋" w:cs="仿宋"/>
          <w:sz w:val="19"/>
          <w:szCs w:val="19"/>
        </w:rPr>
      </w:pPr>
      <w:r>
        <w:rPr>
          <w:spacing w:val="8"/>
          <w:sz w:val="19"/>
          <w:szCs w:val="19"/>
        </w:rPr>
        <w:t>[181]《常规武器装备研制程序》,总参谋部、国防科工委、国家计委、财政部〔1995〕技综字第2</w:t>
      </w:r>
      <w:r>
        <w:rPr>
          <w:rFonts w:ascii="仿宋" w:hAnsi="仿宋" w:eastAsia="仿宋" w:cs="仿宋"/>
          <w:spacing w:val="8"/>
          <w:sz w:val="19"/>
          <w:szCs w:val="19"/>
        </w:rPr>
        <w:t>709号</w:t>
      </w:r>
      <w:r>
        <w:rPr>
          <w:rFonts w:ascii="仿宋" w:hAnsi="仿宋" w:eastAsia="仿宋" w:cs="仿宋"/>
          <w:spacing w:val="-51"/>
          <w:sz w:val="19"/>
          <w:szCs w:val="19"/>
        </w:rPr>
        <w:t xml:space="preserve"> </w:t>
      </w:r>
      <w:r>
        <w:rPr>
          <w:rFonts w:ascii="仿宋" w:hAnsi="仿宋" w:eastAsia="仿宋" w:cs="仿宋"/>
          <w:spacing w:val="8"/>
          <w:sz w:val="19"/>
          <w:szCs w:val="19"/>
        </w:rPr>
        <w:t>.</w:t>
      </w:r>
    </w:p>
    <w:p w14:paraId="4B716371">
      <w:pPr>
        <w:pStyle w:val="2"/>
        <w:spacing w:before="103" w:line="216" w:lineRule="auto"/>
        <w:rPr>
          <w:sz w:val="20"/>
          <w:szCs w:val="20"/>
        </w:rPr>
      </w:pPr>
      <w:r>
        <w:rPr>
          <w:spacing w:val="14"/>
          <w:sz w:val="20"/>
          <w:szCs w:val="20"/>
        </w:rPr>
        <w:t>[182]《中华人民共和国招标投标法》,</w:t>
      </w:r>
      <w:r>
        <w:rPr>
          <w:spacing w:val="13"/>
          <w:sz w:val="20"/>
          <w:szCs w:val="20"/>
        </w:rPr>
        <w:t>九届全国人大11次会议，1999年8月30日通过.</w:t>
      </w:r>
    </w:p>
    <w:p w14:paraId="14FB4D3F">
      <w:pPr>
        <w:pStyle w:val="2"/>
        <w:spacing w:before="96" w:line="216" w:lineRule="auto"/>
        <w:rPr>
          <w:sz w:val="20"/>
          <w:szCs w:val="20"/>
        </w:rPr>
      </w:pPr>
      <w:r>
        <w:rPr>
          <w:spacing w:val="5"/>
          <w:sz w:val="20"/>
          <w:szCs w:val="20"/>
        </w:rPr>
        <w:t>[183]《中国人民解放军装备条例》,中央军委〔2000〕军字第96号.</w:t>
      </w:r>
    </w:p>
    <w:p w14:paraId="6612EEF0">
      <w:pPr>
        <w:pStyle w:val="2"/>
        <w:spacing w:before="136" w:line="216" w:lineRule="auto"/>
        <w:rPr>
          <w:sz w:val="20"/>
          <w:szCs w:val="20"/>
        </w:rPr>
      </w:pPr>
      <w:r>
        <w:rPr>
          <w:spacing w:val="5"/>
          <w:sz w:val="20"/>
          <w:szCs w:val="20"/>
        </w:rPr>
        <w:t>[184]《中国人民解放军装备采购条例》,中央军委〔2002〕军字第5号.</w:t>
      </w:r>
    </w:p>
    <w:p w14:paraId="48F2E071">
      <w:pPr>
        <w:pStyle w:val="2"/>
        <w:spacing w:before="106" w:line="216" w:lineRule="auto"/>
        <w:rPr>
          <w:sz w:val="20"/>
          <w:szCs w:val="20"/>
        </w:rPr>
      </w:pPr>
      <w:r>
        <w:rPr>
          <w:spacing w:val="5"/>
          <w:sz w:val="20"/>
          <w:szCs w:val="20"/>
        </w:rPr>
        <w:t>[185]《中国人民解放军装备科研条例》,中央军委〔2004〕军字第4号.</w:t>
      </w:r>
    </w:p>
    <w:p w14:paraId="251E8FBD">
      <w:pPr>
        <w:pStyle w:val="2"/>
        <w:spacing w:before="116" w:line="216" w:lineRule="auto"/>
        <w:rPr>
          <w:sz w:val="20"/>
          <w:szCs w:val="20"/>
        </w:rPr>
      </w:pPr>
      <w:r>
        <w:rPr>
          <w:spacing w:val="1"/>
          <w:sz w:val="20"/>
          <w:szCs w:val="20"/>
        </w:rPr>
        <w:t>[186]《军工产品定型工作规定》,国务院、中央军委〔2005〕32号</w:t>
      </w:r>
      <w:r>
        <w:rPr>
          <w:sz w:val="20"/>
          <w:szCs w:val="20"/>
        </w:rPr>
        <w:t>文.</w:t>
      </w:r>
    </w:p>
    <w:p w14:paraId="3A00ADC1">
      <w:pPr>
        <w:pStyle w:val="2"/>
        <w:spacing w:before="116" w:line="216" w:lineRule="auto"/>
        <w:rPr>
          <w:sz w:val="20"/>
          <w:szCs w:val="20"/>
        </w:rPr>
      </w:pPr>
      <w:r>
        <w:rPr>
          <w:spacing w:val="5"/>
          <w:sz w:val="20"/>
          <w:szCs w:val="20"/>
        </w:rPr>
        <w:t>[187]《武器装备研制的标准化工作规定》,国防科工委，1990.</w:t>
      </w:r>
    </w:p>
    <w:p w14:paraId="07D32FA7">
      <w:pPr>
        <w:pStyle w:val="2"/>
        <w:spacing w:before="106" w:line="216" w:lineRule="auto"/>
        <w:rPr>
          <w:sz w:val="20"/>
          <w:szCs w:val="20"/>
        </w:rPr>
      </w:pPr>
      <w:r>
        <w:rPr>
          <w:spacing w:val="5"/>
          <w:sz w:val="20"/>
          <w:szCs w:val="20"/>
        </w:rPr>
        <w:t>[188]《武器装备研制生产标准化工作规定》,国防科工委，2004.</w:t>
      </w:r>
    </w:p>
    <w:p w14:paraId="3BE22054">
      <w:pPr>
        <w:pStyle w:val="2"/>
        <w:spacing w:before="116" w:line="216" w:lineRule="auto"/>
        <w:rPr>
          <w:sz w:val="20"/>
          <w:szCs w:val="20"/>
        </w:rPr>
      </w:pPr>
      <w:r>
        <w:rPr>
          <w:spacing w:val="4"/>
          <w:sz w:val="20"/>
          <w:szCs w:val="20"/>
        </w:rPr>
        <w:t>[189]《军用软件质量管理规定》,〔2005〕装字第4号.</w:t>
      </w:r>
    </w:p>
    <w:p w14:paraId="3DA7E78C">
      <w:pPr>
        <w:pStyle w:val="2"/>
        <w:spacing w:before="136" w:line="216" w:lineRule="auto"/>
        <w:rPr>
          <w:sz w:val="20"/>
          <w:szCs w:val="20"/>
        </w:rPr>
      </w:pPr>
      <w:r>
        <w:rPr>
          <w:spacing w:val="6"/>
          <w:sz w:val="20"/>
          <w:szCs w:val="20"/>
        </w:rPr>
        <w:t>[190]《军用软件产品定型管理办法》,国务院、中央军委军工</w:t>
      </w:r>
      <w:r>
        <w:rPr>
          <w:spacing w:val="5"/>
          <w:sz w:val="20"/>
          <w:szCs w:val="20"/>
        </w:rPr>
        <w:t>产品定型委员会〔2005〕军定字第62号.</w:t>
      </w:r>
    </w:p>
    <w:p w14:paraId="22875E03">
      <w:pPr>
        <w:pStyle w:val="2"/>
        <w:spacing w:before="86" w:line="216" w:lineRule="auto"/>
        <w:rPr>
          <w:sz w:val="20"/>
          <w:szCs w:val="20"/>
        </w:rPr>
      </w:pPr>
      <w:r>
        <w:rPr>
          <w:spacing w:val="1"/>
          <w:sz w:val="20"/>
          <w:szCs w:val="20"/>
        </w:rPr>
        <w:t>[191]《国防科研试制费管理规定》,财政部、总装备部〔2006〕132号文.</w:t>
      </w:r>
    </w:p>
    <w:p w14:paraId="3CEE2354">
      <w:pPr>
        <w:spacing w:line="216" w:lineRule="auto"/>
        <w:rPr>
          <w:sz w:val="20"/>
          <w:szCs w:val="20"/>
        </w:rPr>
        <w:sectPr>
          <w:footerReference r:id="rId678" w:type="default"/>
          <w:pgSz w:w="11910" w:h="17130"/>
          <w:pgMar w:top="1456" w:right="1497" w:bottom="1673" w:left="1039" w:header="0" w:footer="1474" w:gutter="0"/>
          <w:cols w:space="720" w:num="1"/>
        </w:sectPr>
      </w:pPr>
    </w:p>
    <w:p w14:paraId="550BF723">
      <w:pPr>
        <w:pStyle w:val="2"/>
        <w:spacing w:before="40" w:line="216" w:lineRule="auto"/>
        <w:rPr>
          <w:sz w:val="20"/>
          <w:szCs w:val="20"/>
        </w:rPr>
      </w:pPr>
      <w:r>
        <w:rPr>
          <w:spacing w:val="3"/>
          <w:sz w:val="20"/>
          <w:szCs w:val="20"/>
        </w:rPr>
        <w:t>[192]《国防科研项目计价管理办法》,财政部、国防科工委，1995.</w:t>
      </w:r>
    </w:p>
    <w:p w14:paraId="5D2DB796">
      <w:pPr>
        <w:pStyle w:val="2"/>
        <w:spacing w:before="96" w:line="216" w:lineRule="auto"/>
        <w:rPr>
          <w:sz w:val="20"/>
          <w:szCs w:val="20"/>
        </w:rPr>
      </w:pPr>
      <w:r>
        <w:rPr>
          <w:spacing w:val="5"/>
          <w:sz w:val="20"/>
          <w:szCs w:val="20"/>
        </w:rPr>
        <w:t>[193]《军工科研事业单位财务制度》,财政部，1996.</w:t>
      </w:r>
    </w:p>
    <w:p w14:paraId="294F7F2A">
      <w:pPr>
        <w:pStyle w:val="2"/>
        <w:spacing w:before="115" w:line="268" w:lineRule="auto"/>
        <w:ind w:left="739" w:right="92" w:hanging="739"/>
        <w:rPr>
          <w:sz w:val="20"/>
          <w:szCs w:val="20"/>
        </w:rPr>
      </w:pPr>
      <w:r>
        <w:rPr>
          <w:spacing w:val="4"/>
          <w:sz w:val="20"/>
          <w:szCs w:val="20"/>
        </w:rPr>
        <w:t>[194]《军品价格管理办法》,中国人民解放军总参谋部、国防科学技术工业委员会、国家计划委员会、财</w:t>
      </w:r>
      <w:r>
        <w:rPr>
          <w:spacing w:val="1"/>
          <w:sz w:val="20"/>
          <w:szCs w:val="20"/>
        </w:rPr>
        <w:t xml:space="preserve"> </w:t>
      </w:r>
      <w:r>
        <w:rPr>
          <w:sz w:val="20"/>
          <w:szCs w:val="20"/>
        </w:rPr>
        <w:t>政部，1996.</w:t>
      </w:r>
    </w:p>
    <w:p w14:paraId="63B84F52">
      <w:pPr>
        <w:pStyle w:val="2"/>
        <w:spacing w:before="109" w:line="216" w:lineRule="auto"/>
        <w:rPr>
          <w:sz w:val="20"/>
          <w:szCs w:val="20"/>
        </w:rPr>
      </w:pPr>
      <w:r>
        <w:rPr>
          <w:spacing w:val="6"/>
          <w:sz w:val="20"/>
          <w:szCs w:val="20"/>
        </w:rPr>
        <w:t>[195]《全军武器装备命名规定》,中国人民解放军总参谋部〔1987〕参装字第379号文，</w:t>
      </w:r>
      <w:r>
        <w:rPr>
          <w:spacing w:val="5"/>
          <w:sz w:val="20"/>
          <w:szCs w:val="20"/>
        </w:rPr>
        <w:t>1987.</w:t>
      </w:r>
    </w:p>
    <w:p w14:paraId="1C4BC62A">
      <w:pPr>
        <w:pStyle w:val="2"/>
        <w:spacing w:before="118" w:line="219" w:lineRule="auto"/>
        <w:rPr>
          <w:sz w:val="20"/>
          <w:szCs w:val="20"/>
        </w:rPr>
      </w:pPr>
      <w:r>
        <w:rPr>
          <w:spacing w:val="2"/>
          <w:sz w:val="20"/>
          <w:szCs w:val="20"/>
        </w:rPr>
        <w:t>[196]赵卫民，吴勋，孟宪君，等.武器装备论证学.北京：兵器工业</w:t>
      </w:r>
      <w:r>
        <w:rPr>
          <w:spacing w:val="1"/>
          <w:sz w:val="20"/>
          <w:szCs w:val="20"/>
        </w:rPr>
        <w:t>出版社，2008.</w:t>
      </w:r>
    </w:p>
    <w:p w14:paraId="00055551">
      <w:pPr>
        <w:pStyle w:val="2"/>
        <w:spacing w:before="113" w:line="219" w:lineRule="auto"/>
        <w:rPr>
          <w:sz w:val="20"/>
          <w:szCs w:val="20"/>
        </w:rPr>
      </w:pPr>
      <w:r>
        <w:rPr>
          <w:spacing w:val="6"/>
          <w:sz w:val="20"/>
          <w:szCs w:val="20"/>
        </w:rPr>
        <w:t>[197]龚庆祥，赵宇，顾长鸿.型号可靠性工程手册.北京：国防工业出版</w:t>
      </w:r>
      <w:r>
        <w:rPr>
          <w:spacing w:val="5"/>
          <w:sz w:val="20"/>
          <w:szCs w:val="20"/>
        </w:rPr>
        <w:t>社，2007.</w:t>
      </w:r>
    </w:p>
    <w:p w14:paraId="7E6E6ACC">
      <w:pPr>
        <w:pStyle w:val="2"/>
        <w:spacing w:before="111" w:line="267" w:lineRule="auto"/>
        <w:ind w:left="739" w:right="92" w:hanging="739"/>
        <w:rPr>
          <w:sz w:val="20"/>
          <w:szCs w:val="20"/>
        </w:rPr>
      </w:pPr>
      <w:r>
        <w:rPr>
          <w:spacing w:val="19"/>
          <w:sz w:val="20"/>
          <w:szCs w:val="20"/>
        </w:rPr>
        <w:t>[198]康锐，石荣德，肖波平，等.型号可靠性维修性保障性技术规范.第1册.北京：国防工业出版</w:t>
      </w:r>
      <w:r>
        <w:rPr>
          <w:spacing w:val="3"/>
          <w:sz w:val="20"/>
          <w:szCs w:val="20"/>
        </w:rPr>
        <w:t xml:space="preserve"> </w:t>
      </w:r>
      <w:r>
        <w:rPr>
          <w:spacing w:val="-5"/>
          <w:sz w:val="20"/>
          <w:szCs w:val="20"/>
        </w:rPr>
        <w:t>社，2010.</w:t>
      </w:r>
    </w:p>
    <w:p w14:paraId="59EF30E3">
      <w:pPr>
        <w:pStyle w:val="2"/>
        <w:spacing w:before="114" w:line="277" w:lineRule="auto"/>
        <w:ind w:left="739" w:right="92" w:hanging="739"/>
        <w:rPr>
          <w:rFonts w:ascii="仿宋" w:hAnsi="仿宋" w:eastAsia="仿宋" w:cs="仿宋"/>
          <w:sz w:val="20"/>
          <w:szCs w:val="20"/>
        </w:rPr>
      </w:pPr>
      <w:r>
        <w:rPr>
          <w:rFonts w:ascii="Times New Roman" w:hAnsi="Times New Roman" w:eastAsia="Times New Roman" w:cs="Times New Roman"/>
          <w:spacing w:val="13"/>
          <w:sz w:val="20"/>
          <w:szCs w:val="20"/>
        </w:rPr>
        <w:t xml:space="preserve">[200]      </w:t>
      </w:r>
      <w:r>
        <w:rPr>
          <w:spacing w:val="13"/>
          <w:sz w:val="20"/>
          <w:szCs w:val="20"/>
        </w:rPr>
        <w:t>康锐，石荣德，肖波平，等.型号可</w:t>
      </w:r>
      <w:r>
        <w:rPr>
          <w:spacing w:val="12"/>
          <w:sz w:val="20"/>
          <w:szCs w:val="20"/>
        </w:rPr>
        <w:t>靠性维修性保障性技术规范.第2册.北京：国防工业出版</w:t>
      </w:r>
      <w:r>
        <w:rPr>
          <w:sz w:val="20"/>
          <w:szCs w:val="20"/>
        </w:rPr>
        <w:t xml:space="preserve"> </w:t>
      </w:r>
      <w:r>
        <w:rPr>
          <w:rFonts w:ascii="仿宋" w:hAnsi="仿宋" w:eastAsia="仿宋" w:cs="仿宋"/>
          <w:spacing w:val="-5"/>
          <w:sz w:val="20"/>
          <w:szCs w:val="20"/>
        </w:rPr>
        <w:t>社，2010.</w:t>
      </w:r>
    </w:p>
    <w:p w14:paraId="61C245B1">
      <w:pPr>
        <w:pStyle w:val="2"/>
        <w:spacing w:before="80" w:line="280" w:lineRule="auto"/>
        <w:ind w:left="739" w:right="92" w:hanging="739"/>
        <w:rPr>
          <w:sz w:val="20"/>
          <w:szCs w:val="20"/>
        </w:rPr>
      </w:pPr>
      <w:r>
        <w:rPr>
          <w:rFonts w:ascii="Times New Roman" w:hAnsi="Times New Roman" w:eastAsia="Times New Roman" w:cs="Times New Roman"/>
          <w:spacing w:val="13"/>
          <w:sz w:val="20"/>
          <w:szCs w:val="20"/>
        </w:rPr>
        <w:t xml:space="preserve">[201]      </w:t>
      </w:r>
      <w:r>
        <w:rPr>
          <w:spacing w:val="13"/>
          <w:sz w:val="20"/>
          <w:szCs w:val="20"/>
        </w:rPr>
        <w:t>康锐，石荣德，肖波平，等.型号可</w:t>
      </w:r>
      <w:r>
        <w:rPr>
          <w:spacing w:val="12"/>
          <w:sz w:val="20"/>
          <w:szCs w:val="20"/>
        </w:rPr>
        <w:t>靠性维修性保障性技术规范.第3册.北京：国防工业出版</w:t>
      </w:r>
      <w:r>
        <w:rPr>
          <w:sz w:val="20"/>
          <w:szCs w:val="20"/>
        </w:rPr>
        <w:t xml:space="preserve"> </w:t>
      </w:r>
      <w:r>
        <w:rPr>
          <w:spacing w:val="-5"/>
          <w:sz w:val="20"/>
          <w:szCs w:val="20"/>
        </w:rPr>
        <w:t>社，2010.</w:t>
      </w:r>
    </w:p>
    <w:p w14:paraId="428370E1">
      <w:pPr>
        <w:pStyle w:val="2"/>
        <w:spacing w:before="112" w:line="219" w:lineRule="auto"/>
        <w:rPr>
          <w:sz w:val="20"/>
          <w:szCs w:val="20"/>
        </w:rPr>
      </w:pPr>
      <w:r>
        <w:rPr>
          <w:spacing w:val="8"/>
          <w:sz w:val="20"/>
          <w:szCs w:val="20"/>
        </w:rPr>
        <w:t>[201]阮镰，陆民燕，韩峰岩.装备软件质量和可靠性管理.北京：国防工业出版社，2006.</w:t>
      </w:r>
    </w:p>
    <w:p w14:paraId="5A5324C2">
      <w:pPr>
        <w:pStyle w:val="2"/>
        <w:spacing w:before="113" w:line="219" w:lineRule="auto"/>
        <w:rPr>
          <w:sz w:val="20"/>
          <w:szCs w:val="20"/>
        </w:rPr>
      </w:pPr>
      <w:r>
        <w:rPr>
          <w:spacing w:val="9"/>
          <w:sz w:val="20"/>
          <w:szCs w:val="20"/>
        </w:rPr>
        <w:t>[202]祝耀昌.产品环境工程概论.北京：航空工业出版社，2003.</w:t>
      </w:r>
    </w:p>
    <w:p w14:paraId="44E6BBE7">
      <w:pPr>
        <w:pStyle w:val="2"/>
        <w:spacing w:before="121" w:line="219" w:lineRule="auto"/>
        <w:rPr>
          <w:sz w:val="20"/>
          <w:szCs w:val="20"/>
        </w:rPr>
      </w:pPr>
      <w:r>
        <w:rPr>
          <w:spacing w:val="4"/>
          <w:sz w:val="20"/>
          <w:szCs w:val="20"/>
        </w:rPr>
        <w:t>[203]秦英孝，关祥武，严勇，等.军事代表科技写作概论.北京：国防工业出版社，</w:t>
      </w:r>
      <w:r>
        <w:rPr>
          <w:spacing w:val="3"/>
          <w:sz w:val="20"/>
          <w:szCs w:val="20"/>
        </w:rPr>
        <w:t>2004.</w:t>
      </w:r>
    </w:p>
    <w:p w14:paraId="3AA0335C">
      <w:pPr>
        <w:pStyle w:val="2"/>
        <w:spacing w:before="75" w:line="212" w:lineRule="auto"/>
        <w:rPr>
          <w:sz w:val="20"/>
          <w:szCs w:val="20"/>
        </w:rPr>
      </w:pPr>
      <w:r>
        <w:rPr>
          <w:rFonts w:ascii="Times New Roman" w:hAnsi="Times New Roman" w:eastAsia="Times New Roman" w:cs="Times New Roman"/>
          <w:sz w:val="20"/>
          <w:szCs w:val="20"/>
        </w:rPr>
        <w:t xml:space="preserve">[204]      </w:t>
      </w:r>
      <w:r>
        <w:rPr>
          <w:sz w:val="20"/>
          <w:szCs w:val="20"/>
        </w:rPr>
        <w:t>赵生禄，张林，张五一，等.军</w:t>
      </w:r>
      <w:r>
        <w:rPr>
          <w:spacing w:val="-1"/>
          <w:sz w:val="20"/>
          <w:szCs w:val="20"/>
        </w:rPr>
        <w:t>事代表业务技术工作概论.北京：国防工业出版社，2008.</w:t>
      </w:r>
    </w:p>
    <w:p w14:paraId="5C5F3A14">
      <w:pPr>
        <w:pStyle w:val="2"/>
        <w:spacing w:before="139" w:line="271" w:lineRule="auto"/>
        <w:ind w:left="739" w:hanging="739"/>
        <w:rPr>
          <w:rFonts w:ascii="Times New Roman" w:hAnsi="Times New Roman" w:eastAsia="Times New Roman" w:cs="Times New Roman"/>
          <w:sz w:val="20"/>
          <w:szCs w:val="20"/>
        </w:rPr>
      </w:pPr>
      <w:r>
        <w:rPr>
          <w:spacing w:val="4"/>
          <w:sz w:val="20"/>
          <w:szCs w:val="20"/>
        </w:rPr>
        <w:t>[205][美]国防系统管理学院编，系统工程管理指南.周宏佐，曹纯，陆镛</w:t>
      </w:r>
      <w:r>
        <w:rPr>
          <w:spacing w:val="3"/>
          <w:sz w:val="20"/>
          <w:szCs w:val="20"/>
        </w:rPr>
        <w:t>，等译.北京：国防工业出版社，</w:t>
      </w:r>
      <w:r>
        <w:rPr>
          <w:sz w:val="20"/>
          <w:szCs w:val="20"/>
        </w:rPr>
        <w:t xml:space="preserve"> </w:t>
      </w:r>
      <w:r>
        <w:rPr>
          <w:rFonts w:ascii="Times New Roman" w:hAnsi="Times New Roman" w:eastAsia="Times New Roman" w:cs="Times New Roman"/>
          <w:b/>
          <w:bCs/>
          <w:spacing w:val="-3"/>
          <w:sz w:val="20"/>
          <w:szCs w:val="20"/>
        </w:rPr>
        <w:t>1991.</w:t>
      </w:r>
    </w:p>
    <w:p w14:paraId="10BAD3DD">
      <w:pPr>
        <w:pStyle w:val="2"/>
        <w:spacing w:before="135" w:line="277" w:lineRule="auto"/>
        <w:ind w:left="739" w:right="92" w:hanging="739"/>
        <w:rPr>
          <w:sz w:val="20"/>
          <w:szCs w:val="20"/>
        </w:rPr>
      </w:pPr>
      <w:r>
        <w:rPr>
          <w:spacing w:val="16"/>
          <w:sz w:val="20"/>
          <w:szCs w:val="20"/>
        </w:rPr>
        <w:t>[206][美]防务系统管理学院著,系统工程管理指南.</w:t>
      </w:r>
      <w:r>
        <w:rPr>
          <w:spacing w:val="-55"/>
          <w:sz w:val="20"/>
          <w:szCs w:val="20"/>
        </w:rPr>
        <w:t xml:space="preserve"> </w:t>
      </w:r>
      <w:r>
        <w:rPr>
          <w:spacing w:val="16"/>
          <w:sz w:val="20"/>
          <w:szCs w:val="20"/>
        </w:rPr>
        <w:t>国防科工</w:t>
      </w:r>
      <w:r>
        <w:rPr>
          <w:spacing w:val="15"/>
          <w:sz w:val="20"/>
          <w:szCs w:val="20"/>
        </w:rPr>
        <w:t>委军用标准化中心译.北京：宇航出版</w:t>
      </w:r>
      <w:r>
        <w:rPr>
          <w:sz w:val="20"/>
          <w:szCs w:val="20"/>
        </w:rPr>
        <w:t xml:space="preserve"> </w:t>
      </w:r>
      <w:r>
        <w:rPr>
          <w:spacing w:val="-5"/>
          <w:sz w:val="20"/>
          <w:szCs w:val="20"/>
        </w:rPr>
        <w:t>社，1992.</w:t>
      </w:r>
    </w:p>
    <w:p w14:paraId="48743BAD">
      <w:pPr>
        <w:pStyle w:val="2"/>
        <w:spacing w:before="110" w:line="216" w:lineRule="auto"/>
        <w:rPr>
          <w:sz w:val="20"/>
          <w:szCs w:val="20"/>
        </w:rPr>
      </w:pPr>
      <w:r>
        <w:rPr>
          <w:spacing w:val="11"/>
          <w:sz w:val="20"/>
          <w:szCs w:val="20"/>
        </w:rPr>
        <w:t>[207][美]国防系统管理学院著,系统工程概论.军用标准化中心译.军用标准化中心，2000.</w:t>
      </w:r>
    </w:p>
    <w:p w14:paraId="5D9F1AD6">
      <w:pPr>
        <w:pStyle w:val="2"/>
        <w:spacing w:before="107" w:line="218" w:lineRule="auto"/>
        <w:rPr>
          <w:sz w:val="20"/>
          <w:szCs w:val="20"/>
        </w:rPr>
      </w:pPr>
      <w:r>
        <w:rPr>
          <w:spacing w:val="15"/>
          <w:sz w:val="20"/>
          <w:szCs w:val="20"/>
        </w:rPr>
        <w:t>[208]中航工业发展研究中心.技术成熟度评</w:t>
      </w:r>
      <w:r>
        <w:rPr>
          <w:spacing w:val="14"/>
          <w:sz w:val="20"/>
          <w:szCs w:val="20"/>
        </w:rPr>
        <w:t>价方法培训教材.2009.</w:t>
      </w:r>
    </w:p>
    <w:p w14:paraId="0CEC02D6">
      <w:pPr>
        <w:spacing w:line="218" w:lineRule="auto"/>
        <w:rPr>
          <w:sz w:val="20"/>
          <w:szCs w:val="20"/>
        </w:rPr>
        <w:sectPr>
          <w:footerReference r:id="rId679" w:type="default"/>
          <w:pgSz w:w="11910" w:h="17130"/>
          <w:pgMar w:top="1444" w:right="949" w:bottom="1561" w:left="1470" w:header="0" w:footer="1248" w:gutter="0"/>
          <w:cols w:space="720" w:num="1"/>
        </w:sectPr>
      </w:pPr>
    </w:p>
    <w:p w14:paraId="4E353833">
      <w:pPr>
        <w:spacing w:before="52" w:line="263" w:lineRule="auto"/>
        <w:ind w:right="3684"/>
        <w:rPr>
          <w:rFonts w:ascii="Arial" w:hAnsi="Arial" w:eastAsia="Arial" w:cs="Arial"/>
          <w:sz w:val="19"/>
          <w:szCs w:val="19"/>
        </w:rPr>
      </w:pPr>
      <w:r>
        <w:rPr>
          <w:rFonts w:ascii="Arial" w:hAnsi="Arial" w:eastAsia="Arial" w:cs="Arial"/>
          <w:spacing w:val="-1"/>
          <w:sz w:val="19"/>
          <w:szCs w:val="19"/>
        </w:rPr>
        <w:t>Document generated by Anna's Archive around 2023-2024 as</w:t>
      </w:r>
      <w:r>
        <w:rPr>
          <w:rFonts w:ascii="Arial" w:hAnsi="Arial" w:eastAsia="Arial" w:cs="Arial"/>
          <w:spacing w:val="12"/>
          <w:sz w:val="19"/>
          <w:szCs w:val="19"/>
        </w:rPr>
        <w:t xml:space="preserve"> </w:t>
      </w:r>
      <w:r>
        <w:rPr>
          <w:rFonts w:ascii="Arial" w:hAnsi="Arial" w:eastAsia="Arial" w:cs="Arial"/>
          <w:spacing w:val="-1"/>
          <w:sz w:val="19"/>
          <w:szCs w:val="19"/>
        </w:rPr>
        <w:t>pa</w:t>
      </w:r>
      <w:r>
        <w:rPr>
          <w:rFonts w:ascii="Arial" w:hAnsi="Arial" w:eastAsia="Arial" w:cs="Arial"/>
          <w:spacing w:val="-2"/>
          <w:sz w:val="19"/>
          <w:szCs w:val="19"/>
        </w:rPr>
        <w:t>rt of the</w:t>
      </w:r>
      <w:r>
        <w:rPr>
          <w:rFonts w:ascii="Arial" w:hAnsi="Arial" w:eastAsia="Arial" w:cs="Arial"/>
          <w:spacing w:val="14"/>
          <w:sz w:val="19"/>
          <w:szCs w:val="19"/>
        </w:rPr>
        <w:t xml:space="preserve"> </w:t>
      </w:r>
      <w:r>
        <w:rPr>
          <w:rFonts w:ascii="Arial" w:hAnsi="Arial" w:eastAsia="Arial" w:cs="Arial"/>
          <w:spacing w:val="-2"/>
          <w:sz w:val="19"/>
          <w:szCs w:val="19"/>
        </w:rPr>
        <w:t>DuXiu</w:t>
      </w:r>
      <w:r>
        <w:rPr>
          <w:rFonts w:ascii="Arial" w:hAnsi="Arial" w:eastAsia="Arial" w:cs="Arial"/>
          <w:spacing w:val="7"/>
          <w:sz w:val="19"/>
          <w:szCs w:val="19"/>
        </w:rPr>
        <w:t xml:space="preserve"> </w:t>
      </w:r>
      <w:r>
        <w:rPr>
          <w:rFonts w:ascii="Arial" w:hAnsi="Arial" w:eastAsia="Arial" w:cs="Arial"/>
          <w:spacing w:val="-2"/>
          <w:sz w:val="19"/>
          <w:szCs w:val="19"/>
        </w:rPr>
        <w:t>collection</w:t>
      </w:r>
      <w:r>
        <w:rPr>
          <w:rFonts w:ascii="Arial" w:hAnsi="Arial" w:eastAsia="Arial" w:cs="Arial"/>
          <w:sz w:val="19"/>
          <w:szCs w:val="19"/>
        </w:rPr>
        <w:t xml:space="preserve"> (</w:t>
      </w:r>
      <w:r>
        <w:fldChar w:fldCharType="begin"/>
      </w:r>
      <w:r>
        <w:instrText xml:space="preserve"> HYPERLINK "https://annas-blog.org/duxiu-exclusive.html)." </w:instrText>
      </w:r>
      <w:r>
        <w:fldChar w:fldCharType="separate"/>
      </w:r>
      <w:r>
        <w:rPr>
          <w:rFonts w:ascii="Arial" w:hAnsi="Arial" w:eastAsia="Arial" w:cs="Arial"/>
          <w:sz w:val="19"/>
          <w:szCs w:val="19"/>
        </w:rPr>
        <w:t>https://annas-blog.org/duxiu-e</w:t>
      </w:r>
      <w:r>
        <w:rPr>
          <w:rFonts w:ascii="Arial" w:hAnsi="Arial" w:eastAsia="Arial" w:cs="Arial"/>
          <w:spacing w:val="-1"/>
          <w:sz w:val="19"/>
          <w:szCs w:val="19"/>
        </w:rPr>
        <w:t>xclusive.html).</w:t>
      </w:r>
      <w:r>
        <w:rPr>
          <w:rFonts w:ascii="Arial" w:hAnsi="Arial" w:eastAsia="Arial" w:cs="Arial"/>
          <w:spacing w:val="-1"/>
          <w:sz w:val="19"/>
          <w:szCs w:val="19"/>
        </w:rPr>
        <w:fldChar w:fldCharType="end"/>
      </w:r>
    </w:p>
    <w:p w14:paraId="4FCF904F">
      <w:pPr>
        <w:spacing w:before="201" w:line="263" w:lineRule="auto"/>
        <w:rPr>
          <w:rFonts w:ascii="Arial" w:hAnsi="Arial" w:eastAsia="Arial" w:cs="Arial"/>
          <w:sz w:val="19"/>
          <w:szCs w:val="19"/>
        </w:rPr>
      </w:pPr>
      <w:r>
        <w:rPr>
          <w:rFonts w:ascii="Arial" w:hAnsi="Arial" w:eastAsia="Arial" w:cs="Arial"/>
          <w:spacing w:val="-1"/>
          <w:sz w:val="19"/>
          <w:szCs w:val="19"/>
        </w:rPr>
        <w:t>Images</w:t>
      </w:r>
      <w:r>
        <w:rPr>
          <w:rFonts w:ascii="Arial" w:hAnsi="Arial" w:eastAsia="Arial" w:cs="Arial"/>
          <w:spacing w:val="17"/>
          <w:w w:val="101"/>
          <w:sz w:val="19"/>
          <w:szCs w:val="19"/>
        </w:rPr>
        <w:t xml:space="preserve"> </w:t>
      </w:r>
      <w:r>
        <w:rPr>
          <w:rFonts w:ascii="Arial" w:hAnsi="Arial" w:eastAsia="Arial" w:cs="Arial"/>
          <w:spacing w:val="-1"/>
          <w:sz w:val="19"/>
          <w:szCs w:val="19"/>
        </w:rPr>
        <w:t>have</w:t>
      </w:r>
      <w:r>
        <w:rPr>
          <w:rFonts w:ascii="Arial" w:hAnsi="Arial" w:eastAsia="Arial" w:cs="Arial"/>
          <w:spacing w:val="17"/>
          <w:sz w:val="19"/>
          <w:szCs w:val="19"/>
        </w:rPr>
        <w:t xml:space="preserve"> </w:t>
      </w:r>
      <w:r>
        <w:rPr>
          <w:rFonts w:ascii="Arial" w:hAnsi="Arial" w:eastAsia="Arial" w:cs="Arial"/>
          <w:spacing w:val="-1"/>
          <w:sz w:val="19"/>
          <w:szCs w:val="19"/>
        </w:rPr>
        <w:t>been</w:t>
      </w:r>
      <w:r>
        <w:rPr>
          <w:rFonts w:ascii="Arial" w:hAnsi="Arial" w:eastAsia="Arial" w:cs="Arial"/>
          <w:spacing w:val="17"/>
          <w:sz w:val="19"/>
          <w:szCs w:val="19"/>
        </w:rPr>
        <w:t xml:space="preserve"> </w:t>
      </w:r>
      <w:r>
        <w:rPr>
          <w:rFonts w:ascii="Arial" w:hAnsi="Arial" w:eastAsia="Arial" w:cs="Arial"/>
          <w:spacing w:val="-1"/>
          <w:sz w:val="19"/>
          <w:szCs w:val="19"/>
        </w:rPr>
        <w:t>losslessly embedded.Information about the original</w:t>
      </w:r>
      <w:r>
        <w:rPr>
          <w:rFonts w:ascii="Arial" w:hAnsi="Arial" w:eastAsia="Arial" w:cs="Arial"/>
          <w:spacing w:val="6"/>
          <w:sz w:val="19"/>
          <w:szCs w:val="19"/>
        </w:rPr>
        <w:t xml:space="preserve"> </w:t>
      </w:r>
      <w:r>
        <w:rPr>
          <w:rFonts w:ascii="Arial" w:hAnsi="Arial" w:eastAsia="Arial" w:cs="Arial"/>
          <w:spacing w:val="-1"/>
          <w:sz w:val="19"/>
          <w:szCs w:val="19"/>
        </w:rPr>
        <w:t>file</w:t>
      </w:r>
      <w:r>
        <w:rPr>
          <w:rFonts w:ascii="Arial" w:hAnsi="Arial" w:eastAsia="Arial" w:cs="Arial"/>
          <w:spacing w:val="12"/>
          <w:sz w:val="19"/>
          <w:szCs w:val="19"/>
        </w:rPr>
        <w:t xml:space="preserve"> </w:t>
      </w:r>
      <w:r>
        <w:rPr>
          <w:rFonts w:ascii="Arial" w:hAnsi="Arial" w:eastAsia="Arial" w:cs="Arial"/>
          <w:spacing w:val="-1"/>
          <w:sz w:val="19"/>
          <w:szCs w:val="19"/>
        </w:rPr>
        <w:t>can</w:t>
      </w:r>
      <w:r>
        <w:rPr>
          <w:rFonts w:ascii="Arial" w:hAnsi="Arial" w:eastAsia="Arial" w:cs="Arial"/>
          <w:spacing w:val="18"/>
          <w:sz w:val="19"/>
          <w:szCs w:val="19"/>
        </w:rPr>
        <w:t xml:space="preserve"> </w:t>
      </w:r>
      <w:r>
        <w:rPr>
          <w:rFonts w:ascii="Arial" w:hAnsi="Arial" w:eastAsia="Arial" w:cs="Arial"/>
          <w:spacing w:val="-1"/>
          <w:sz w:val="19"/>
          <w:szCs w:val="19"/>
        </w:rPr>
        <w:t>be</w:t>
      </w:r>
      <w:r>
        <w:rPr>
          <w:rFonts w:ascii="Arial" w:hAnsi="Arial" w:eastAsia="Arial" w:cs="Arial"/>
          <w:spacing w:val="6"/>
          <w:sz w:val="19"/>
          <w:szCs w:val="19"/>
        </w:rPr>
        <w:t xml:space="preserve"> </w:t>
      </w:r>
      <w:r>
        <w:rPr>
          <w:rFonts w:ascii="Arial" w:hAnsi="Arial" w:eastAsia="Arial" w:cs="Arial"/>
          <w:spacing w:val="-1"/>
          <w:sz w:val="19"/>
          <w:szCs w:val="19"/>
        </w:rPr>
        <w:t>found</w:t>
      </w:r>
      <w:r>
        <w:rPr>
          <w:rFonts w:ascii="Arial" w:hAnsi="Arial" w:eastAsia="Arial" w:cs="Arial"/>
          <w:spacing w:val="17"/>
          <w:w w:val="101"/>
          <w:sz w:val="19"/>
          <w:szCs w:val="19"/>
        </w:rPr>
        <w:t xml:space="preserve"> </w:t>
      </w:r>
      <w:r>
        <w:rPr>
          <w:rFonts w:ascii="Arial" w:hAnsi="Arial" w:eastAsia="Arial" w:cs="Arial"/>
          <w:spacing w:val="-1"/>
          <w:sz w:val="19"/>
          <w:szCs w:val="19"/>
        </w:rPr>
        <w:t>in</w:t>
      </w:r>
      <w:r>
        <w:rPr>
          <w:rFonts w:ascii="Arial" w:hAnsi="Arial" w:eastAsia="Arial" w:cs="Arial"/>
          <w:spacing w:val="19"/>
          <w:w w:val="101"/>
          <w:sz w:val="19"/>
          <w:szCs w:val="19"/>
        </w:rPr>
        <w:t xml:space="preserve"> </w:t>
      </w:r>
      <w:r>
        <w:rPr>
          <w:rFonts w:ascii="Arial" w:hAnsi="Arial" w:eastAsia="Arial" w:cs="Arial"/>
          <w:spacing w:val="-1"/>
          <w:sz w:val="19"/>
          <w:szCs w:val="19"/>
        </w:rPr>
        <w:t>PDF</w:t>
      </w:r>
      <w:r>
        <w:rPr>
          <w:rFonts w:ascii="Arial" w:hAnsi="Arial" w:eastAsia="Arial" w:cs="Arial"/>
          <w:spacing w:val="11"/>
          <w:sz w:val="19"/>
          <w:szCs w:val="19"/>
        </w:rPr>
        <w:t xml:space="preserve"> </w:t>
      </w:r>
      <w:r>
        <w:rPr>
          <w:rFonts w:ascii="Arial" w:hAnsi="Arial" w:eastAsia="Arial" w:cs="Arial"/>
          <w:spacing w:val="-1"/>
          <w:sz w:val="19"/>
          <w:szCs w:val="19"/>
        </w:rPr>
        <w:t>attachments.Some</w:t>
      </w:r>
      <w:r>
        <w:rPr>
          <w:rFonts w:ascii="Arial" w:hAnsi="Arial" w:eastAsia="Arial" w:cs="Arial"/>
          <w:spacing w:val="11"/>
          <w:sz w:val="19"/>
          <w:szCs w:val="19"/>
        </w:rPr>
        <w:t xml:space="preserve"> </w:t>
      </w:r>
      <w:r>
        <w:rPr>
          <w:rFonts w:ascii="Arial" w:hAnsi="Arial" w:eastAsia="Arial" w:cs="Arial"/>
          <w:spacing w:val="-1"/>
          <w:sz w:val="19"/>
          <w:szCs w:val="19"/>
        </w:rPr>
        <w:t>stats(mo</w:t>
      </w:r>
      <w:r>
        <w:rPr>
          <w:rFonts w:ascii="Arial" w:hAnsi="Arial" w:eastAsia="Arial" w:cs="Arial"/>
          <w:spacing w:val="-2"/>
          <w:sz w:val="19"/>
          <w:szCs w:val="19"/>
        </w:rPr>
        <w:t>re</w:t>
      </w:r>
      <w:r>
        <w:rPr>
          <w:rFonts w:ascii="Arial" w:hAnsi="Arial" w:eastAsia="Arial" w:cs="Arial"/>
          <w:spacing w:val="18"/>
          <w:sz w:val="19"/>
          <w:szCs w:val="19"/>
        </w:rPr>
        <w:t xml:space="preserve"> </w:t>
      </w:r>
      <w:r>
        <w:rPr>
          <w:rFonts w:ascii="Arial" w:hAnsi="Arial" w:eastAsia="Arial" w:cs="Arial"/>
          <w:spacing w:val="-2"/>
          <w:sz w:val="19"/>
          <w:szCs w:val="19"/>
        </w:rPr>
        <w:t>in</w:t>
      </w:r>
      <w:r>
        <w:rPr>
          <w:rFonts w:ascii="Arial" w:hAnsi="Arial" w:eastAsia="Arial" w:cs="Arial"/>
          <w:spacing w:val="8"/>
          <w:sz w:val="19"/>
          <w:szCs w:val="19"/>
        </w:rPr>
        <w:t xml:space="preserve"> </w:t>
      </w:r>
      <w:r>
        <w:rPr>
          <w:rFonts w:ascii="Arial" w:hAnsi="Arial" w:eastAsia="Arial" w:cs="Arial"/>
          <w:spacing w:val="-2"/>
          <w:sz w:val="19"/>
          <w:szCs w:val="19"/>
        </w:rPr>
        <w:t>the</w:t>
      </w:r>
      <w:r>
        <w:rPr>
          <w:rFonts w:ascii="Arial" w:hAnsi="Arial" w:eastAsia="Arial" w:cs="Arial"/>
          <w:sz w:val="19"/>
          <w:szCs w:val="19"/>
        </w:rPr>
        <w:t xml:space="preserve"> </w:t>
      </w:r>
      <w:r>
        <w:rPr>
          <w:rFonts w:ascii="Arial" w:hAnsi="Arial" w:eastAsia="Arial" w:cs="Arial"/>
          <w:spacing w:val="-1"/>
          <w:sz w:val="19"/>
          <w:szCs w:val="19"/>
        </w:rPr>
        <w:t>PDF attachments):</w:t>
      </w:r>
    </w:p>
    <w:p w14:paraId="0CF5BA6D">
      <w:pPr>
        <w:spacing w:before="248" w:line="227" w:lineRule="auto"/>
        <w:ind w:left="89" w:right="7989"/>
        <w:rPr>
          <w:rFonts w:ascii="Arial" w:hAnsi="Arial" w:eastAsia="Arial" w:cs="Arial"/>
          <w:sz w:val="19"/>
          <w:szCs w:val="19"/>
        </w:rPr>
      </w:pPr>
      <w:r>
        <w:rPr>
          <w:rFonts w:ascii="Arial" w:hAnsi="Arial" w:eastAsia="Arial" w:cs="Arial"/>
          <w:spacing w:val="-1"/>
          <w:sz w:val="19"/>
          <w:szCs w:val="19"/>
        </w:rPr>
        <w:t>"filename":"MTM2MDQ4NjUuemlw",</w:t>
      </w:r>
      <w:r>
        <w:rPr>
          <w:rFonts w:ascii="Arial" w:hAnsi="Arial" w:eastAsia="Arial" w:cs="Arial"/>
          <w:spacing w:val="18"/>
          <w:sz w:val="19"/>
          <w:szCs w:val="19"/>
        </w:rPr>
        <w:t xml:space="preserve"> </w:t>
      </w:r>
      <w:r>
        <w:rPr>
          <w:rFonts w:ascii="Arial" w:hAnsi="Arial" w:eastAsia="Arial" w:cs="Arial"/>
          <w:sz w:val="19"/>
          <w:szCs w:val="19"/>
        </w:rPr>
        <w:t>"filename_decoded":"13</w:t>
      </w:r>
      <w:r>
        <w:rPr>
          <w:rFonts w:ascii="Arial" w:hAnsi="Arial" w:eastAsia="Arial" w:cs="Arial"/>
          <w:spacing w:val="-1"/>
          <w:sz w:val="19"/>
          <w:szCs w:val="19"/>
        </w:rPr>
        <w:t>604865.zip",</w:t>
      </w:r>
      <w:r>
        <w:rPr>
          <w:rFonts w:ascii="Arial" w:hAnsi="Arial" w:eastAsia="Arial" w:cs="Arial"/>
          <w:sz w:val="19"/>
          <w:szCs w:val="19"/>
        </w:rPr>
        <w:t xml:space="preserve"> </w:t>
      </w:r>
      <w:r>
        <w:rPr>
          <w:rFonts w:ascii="Arial" w:hAnsi="Arial" w:eastAsia="Arial" w:cs="Arial"/>
          <w:spacing w:val="-1"/>
          <w:sz w:val="19"/>
          <w:szCs w:val="19"/>
        </w:rPr>
        <w:t>"filesize":225240909,</w:t>
      </w:r>
    </w:p>
    <w:p w14:paraId="6FF97BB6">
      <w:pPr>
        <w:spacing w:line="239" w:lineRule="exact"/>
        <w:ind w:left="89"/>
        <w:rPr>
          <w:rFonts w:ascii="Arial" w:hAnsi="Arial" w:eastAsia="Arial" w:cs="Arial"/>
          <w:sz w:val="19"/>
          <w:szCs w:val="19"/>
        </w:rPr>
      </w:pPr>
      <w:r>
        <w:rPr>
          <w:rFonts w:ascii="Arial" w:hAnsi="Arial" w:eastAsia="Arial" w:cs="Arial"/>
          <w:position w:val="2"/>
          <w:sz w:val="19"/>
          <w:szCs w:val="19"/>
        </w:rPr>
        <w:t>"md5":"e268bfa2fbe23b80cfbdb0</w:t>
      </w:r>
      <w:r>
        <w:rPr>
          <w:rFonts w:ascii="Arial" w:hAnsi="Arial" w:eastAsia="Arial" w:cs="Arial"/>
          <w:spacing w:val="-1"/>
          <w:position w:val="2"/>
          <w:sz w:val="19"/>
          <w:szCs w:val="19"/>
        </w:rPr>
        <w:t>e1d6c503f0",</w:t>
      </w:r>
    </w:p>
    <w:p w14:paraId="4DF3CBDB">
      <w:pPr>
        <w:spacing w:line="241" w:lineRule="auto"/>
        <w:ind w:left="89"/>
        <w:rPr>
          <w:rFonts w:ascii="Arial" w:hAnsi="Arial" w:eastAsia="Arial" w:cs="Arial"/>
          <w:sz w:val="19"/>
          <w:szCs w:val="19"/>
        </w:rPr>
      </w:pPr>
      <w:r>
        <w:rPr>
          <w:rFonts w:ascii="Arial" w:hAnsi="Arial" w:eastAsia="Arial" w:cs="Arial"/>
          <w:sz w:val="19"/>
          <w:szCs w:val="19"/>
        </w:rPr>
        <w:t>"header_md5":"eef118f5f59d4ef444800</w:t>
      </w:r>
      <w:r>
        <w:rPr>
          <w:rFonts w:ascii="Arial" w:hAnsi="Arial" w:eastAsia="Arial" w:cs="Arial"/>
          <w:spacing w:val="-1"/>
          <w:sz w:val="19"/>
          <w:szCs w:val="19"/>
        </w:rPr>
        <w:t>9fc540830d6",</w:t>
      </w:r>
    </w:p>
    <w:p w14:paraId="0C5811F5">
      <w:pPr>
        <w:spacing w:line="231" w:lineRule="auto"/>
        <w:ind w:left="89"/>
        <w:rPr>
          <w:rFonts w:ascii="Arial" w:hAnsi="Arial" w:eastAsia="Arial" w:cs="Arial"/>
          <w:sz w:val="19"/>
          <w:szCs w:val="19"/>
        </w:rPr>
      </w:pPr>
      <w:r>
        <w:rPr>
          <w:rFonts w:ascii="Arial" w:hAnsi="Arial" w:eastAsia="Arial" w:cs="Arial"/>
          <w:sz w:val="19"/>
          <w:szCs w:val="19"/>
        </w:rPr>
        <w:t>"sha1":"f7a42689bb966869ee78fbc4a28f9</w:t>
      </w:r>
      <w:r>
        <w:rPr>
          <w:rFonts w:ascii="Arial" w:hAnsi="Arial" w:eastAsia="Arial" w:cs="Arial"/>
          <w:spacing w:val="-1"/>
          <w:sz w:val="19"/>
          <w:szCs w:val="19"/>
        </w:rPr>
        <w:t>7422e05ae49",</w:t>
      </w:r>
    </w:p>
    <w:p w14:paraId="7CB5E0F8">
      <w:pPr>
        <w:spacing w:line="225" w:lineRule="exact"/>
        <w:ind w:left="89"/>
        <w:rPr>
          <w:rFonts w:ascii="Arial" w:hAnsi="Arial" w:eastAsia="Arial" w:cs="Arial"/>
          <w:sz w:val="19"/>
          <w:szCs w:val="19"/>
        </w:rPr>
      </w:pPr>
      <w:r>
        <w:rPr>
          <w:rFonts w:ascii="Arial" w:hAnsi="Arial" w:eastAsia="Arial" w:cs="Arial"/>
          <w:position w:val="1"/>
          <w:sz w:val="19"/>
          <w:szCs w:val="19"/>
        </w:rPr>
        <w:t>"sha256":"fe56b7962721f6160c2261b773cbcb8e195a59d8403354c91733</w:t>
      </w:r>
      <w:r>
        <w:rPr>
          <w:rFonts w:ascii="Arial" w:hAnsi="Arial" w:eastAsia="Arial" w:cs="Arial"/>
          <w:spacing w:val="-1"/>
          <w:position w:val="1"/>
          <w:sz w:val="19"/>
          <w:szCs w:val="19"/>
        </w:rPr>
        <w:t>81ed03337f95",</w:t>
      </w:r>
    </w:p>
    <w:p w14:paraId="54F40F95">
      <w:pPr>
        <w:spacing w:line="239" w:lineRule="exact"/>
        <w:ind w:left="89"/>
        <w:rPr>
          <w:rFonts w:ascii="Arial" w:hAnsi="Arial" w:eastAsia="Arial" w:cs="Arial"/>
          <w:sz w:val="19"/>
          <w:szCs w:val="19"/>
        </w:rPr>
      </w:pPr>
      <w:r>
        <w:rPr>
          <w:rFonts w:ascii="Arial" w:hAnsi="Arial" w:eastAsia="Arial" w:cs="Arial"/>
          <w:spacing w:val="-1"/>
          <w:position w:val="2"/>
          <w:sz w:val="19"/>
          <w:szCs w:val="19"/>
        </w:rPr>
        <w:t>"crc32":1638135156,</w:t>
      </w:r>
    </w:p>
    <w:p w14:paraId="427B856F">
      <w:pPr>
        <w:spacing w:before="2" w:line="262" w:lineRule="auto"/>
        <w:ind w:left="89" w:right="7817"/>
        <w:rPr>
          <w:rFonts w:ascii="Arial" w:hAnsi="Arial" w:eastAsia="Arial" w:cs="Arial"/>
          <w:sz w:val="19"/>
          <w:szCs w:val="19"/>
        </w:rPr>
      </w:pPr>
      <w:r>
        <w:rPr>
          <w:rFonts w:ascii="Arial" w:hAnsi="Arial" w:eastAsia="Arial" w:cs="Arial"/>
          <w:sz w:val="19"/>
          <w:szCs w:val="19"/>
        </w:rPr>
        <w:t>"zip_password":"wcpfxk&amp;</w:t>
      </w:r>
      <w:r>
        <w:rPr>
          <w:rFonts w:ascii="Arial" w:hAnsi="Arial" w:eastAsia="Arial" w:cs="Arial"/>
          <w:spacing w:val="-1"/>
          <w:sz w:val="19"/>
          <w:szCs w:val="19"/>
        </w:rPr>
        <w:t>*^TDwcpfxk",</w:t>
      </w:r>
      <w:r>
        <w:rPr>
          <w:rFonts w:ascii="Arial" w:hAnsi="Arial" w:eastAsia="Arial" w:cs="Arial"/>
          <w:sz w:val="19"/>
          <w:szCs w:val="19"/>
        </w:rPr>
        <w:t xml:space="preserve"> "uncompressed_size"</w:t>
      </w:r>
      <w:r>
        <w:rPr>
          <w:rFonts w:ascii="Arial" w:hAnsi="Arial" w:eastAsia="Arial" w:cs="Arial"/>
          <w:spacing w:val="-1"/>
          <w:sz w:val="19"/>
          <w:szCs w:val="19"/>
        </w:rPr>
        <w:t>:253939247,</w:t>
      </w:r>
    </w:p>
    <w:p w14:paraId="48FD67E5">
      <w:pPr>
        <w:ind w:left="89"/>
        <w:rPr>
          <w:rFonts w:ascii="Arial" w:hAnsi="Arial" w:eastAsia="Arial" w:cs="Arial"/>
          <w:sz w:val="19"/>
          <w:szCs w:val="19"/>
        </w:rPr>
      </w:pPr>
      <w:r>
        <w:rPr>
          <w:rFonts w:ascii="Arial" w:hAnsi="Arial" w:eastAsia="Arial" w:cs="Arial"/>
          <w:spacing w:val="-1"/>
          <w:sz w:val="19"/>
          <w:szCs w:val="19"/>
        </w:rPr>
        <w:t>"pdg_dir_name":"",</w:t>
      </w:r>
    </w:p>
    <w:p w14:paraId="503F256D">
      <w:pPr>
        <w:spacing w:before="1" w:line="241" w:lineRule="auto"/>
        <w:ind w:left="89"/>
        <w:rPr>
          <w:rFonts w:ascii="Arial" w:hAnsi="Arial" w:eastAsia="Arial" w:cs="Arial"/>
          <w:sz w:val="19"/>
          <w:szCs w:val="19"/>
        </w:rPr>
      </w:pPr>
      <w:r>
        <w:rPr>
          <w:rFonts w:ascii="Arial" w:hAnsi="Arial" w:eastAsia="Arial" w:cs="Arial"/>
          <w:spacing w:val="-1"/>
          <w:sz w:val="19"/>
          <w:szCs w:val="19"/>
        </w:rPr>
        <w:t>"pdg_main_pages_found":661,</w:t>
      </w:r>
    </w:p>
    <w:p w14:paraId="2E412B43">
      <w:pPr>
        <w:spacing w:line="225" w:lineRule="exact"/>
        <w:ind w:left="89"/>
        <w:rPr>
          <w:rFonts w:ascii="Arial" w:hAnsi="Arial" w:eastAsia="Arial" w:cs="Arial"/>
          <w:sz w:val="19"/>
          <w:szCs w:val="19"/>
        </w:rPr>
      </w:pPr>
      <w:r>
        <w:rPr>
          <w:rFonts w:ascii="Arial" w:hAnsi="Arial" w:eastAsia="Arial" w:cs="Arial"/>
          <w:spacing w:val="-1"/>
          <w:position w:val="2"/>
          <w:sz w:val="19"/>
          <w:szCs w:val="19"/>
        </w:rPr>
        <w:t>"pdg_main_pages_max":661,</w:t>
      </w:r>
    </w:p>
    <w:p w14:paraId="7DF75C33">
      <w:pPr>
        <w:spacing w:line="231" w:lineRule="exact"/>
        <w:ind w:left="89"/>
        <w:rPr>
          <w:rFonts w:ascii="Arial" w:hAnsi="Arial" w:eastAsia="Arial" w:cs="Arial"/>
          <w:sz w:val="19"/>
          <w:szCs w:val="19"/>
        </w:rPr>
      </w:pPr>
      <w:r>
        <w:rPr>
          <w:rFonts w:ascii="Arial" w:hAnsi="Arial" w:eastAsia="Arial" w:cs="Arial"/>
          <w:spacing w:val="-1"/>
          <w:position w:val="2"/>
          <w:sz w:val="19"/>
          <w:szCs w:val="19"/>
        </w:rPr>
        <w:t>"total_pages":679,</w:t>
      </w:r>
    </w:p>
    <w:p w14:paraId="31E342B9">
      <w:pPr>
        <w:spacing w:line="241" w:lineRule="auto"/>
        <w:ind w:left="89"/>
        <w:rPr>
          <w:rFonts w:ascii="Arial" w:hAnsi="Arial" w:eastAsia="Arial" w:cs="Arial"/>
          <w:sz w:val="19"/>
          <w:szCs w:val="19"/>
        </w:rPr>
      </w:pPr>
      <w:r>
        <w:rPr>
          <w:rFonts w:ascii="Arial" w:hAnsi="Arial" w:eastAsia="Arial" w:cs="Arial"/>
          <w:spacing w:val="-1"/>
          <w:sz w:val="19"/>
          <w:szCs w:val="19"/>
        </w:rPr>
        <w:t>"total_pixels":3483063584,</w:t>
      </w:r>
    </w:p>
    <w:p w14:paraId="7ED728CF">
      <w:pPr>
        <w:spacing w:line="234" w:lineRule="exact"/>
        <w:ind w:left="89"/>
        <w:rPr>
          <w:rFonts w:ascii="Arial" w:hAnsi="Arial" w:eastAsia="Arial" w:cs="Arial"/>
          <w:sz w:val="19"/>
          <w:szCs w:val="19"/>
        </w:rPr>
      </w:pPr>
      <w:r>
        <w:rPr>
          <w:rFonts w:ascii="Arial" w:hAnsi="Arial" w:eastAsia="Arial" w:cs="Arial"/>
          <w:position w:val="2"/>
          <w:sz w:val="19"/>
          <w:szCs w:val="19"/>
        </w:rPr>
        <w:t>"pdf_generation_missing_</w:t>
      </w:r>
      <w:r>
        <w:rPr>
          <w:rFonts w:ascii="Arial" w:hAnsi="Arial" w:eastAsia="Arial" w:cs="Arial"/>
          <w:spacing w:val="-1"/>
          <w:position w:val="2"/>
          <w:sz w:val="19"/>
          <w:szCs w:val="19"/>
        </w:rPr>
        <w:t>pages":false</w:t>
      </w:r>
    </w:p>
    <w:sectPr>
      <w:footerReference r:id="rId680" w:type="default"/>
      <w:pgSz w:w="11910" w:h="17130"/>
      <w:pgMar w:top="400" w:right="1384" w:bottom="1587" w:left="1039" w:header="0" w:footer="137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9394A">
    <w:pPr>
      <w:spacing w:line="228" w:lineRule="auto"/>
      <w:jc w:val="right"/>
      <w:rPr>
        <w:rFonts w:ascii="宋体" w:hAnsi="宋体" w:eastAsia="宋体" w:cs="宋体"/>
        <w:sz w:val="27"/>
        <w:szCs w:val="27"/>
      </w:rPr>
    </w:pPr>
    <w:r>
      <w:rPr>
        <w:rFonts w:ascii="宋体" w:hAnsi="宋体" w:eastAsia="宋体" w:cs="宋体"/>
        <w:spacing w:val="-15"/>
        <w:w w:val="82"/>
        <w:sz w:val="27"/>
        <w:szCs w:val="27"/>
      </w:rPr>
      <w:t>Ⅲ</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5C450">
    <w:pPr>
      <w:spacing w:line="176" w:lineRule="auto"/>
      <w:ind w:left="8990"/>
      <w:rPr>
        <w:rFonts w:ascii="Times New Roman" w:hAnsi="Times New Roman" w:eastAsia="Times New Roman" w:cs="Times New Roman"/>
        <w:sz w:val="24"/>
        <w:szCs w:val="24"/>
      </w:rPr>
    </w:pPr>
    <w:r>
      <w:rPr>
        <w:rFonts w:ascii="Times New Roman" w:hAnsi="Times New Roman" w:eastAsia="Times New Roman" w:cs="Times New Roman"/>
        <w:sz w:val="24"/>
        <w:szCs w:val="24"/>
      </w:rPr>
      <w:t>V</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1D19C">
    <w:pPr>
      <w:spacing w:line="177" w:lineRule="auto"/>
      <w:ind w:left="179"/>
      <w:rPr>
        <w:rFonts w:ascii="Times New Roman" w:hAnsi="Times New Roman" w:eastAsia="Times New Roman" w:cs="Times New Roman"/>
        <w:sz w:val="28"/>
        <w:szCs w:val="28"/>
      </w:rPr>
    </w:pPr>
    <w:r>
      <w:rPr>
        <w:rFonts w:ascii="Times New Roman" w:hAnsi="Times New Roman" w:eastAsia="Times New Roman" w:cs="Times New Roman"/>
        <w:spacing w:val="-8"/>
        <w:w w:val="86"/>
        <w:sz w:val="28"/>
        <w:szCs w:val="28"/>
      </w:rPr>
      <w:t>VI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D3C81">
    <w:pPr>
      <w:spacing w:line="178" w:lineRule="auto"/>
      <w:ind w:left="8960"/>
      <w:rPr>
        <w:rFonts w:ascii="Times New Roman" w:hAnsi="Times New Roman" w:eastAsia="Times New Roman" w:cs="Times New Roman"/>
        <w:sz w:val="32"/>
        <w:szCs w:val="32"/>
      </w:rPr>
    </w:pPr>
    <w:r>
      <w:rPr>
        <w:rFonts w:ascii="Times New Roman" w:hAnsi="Times New Roman" w:eastAsia="Times New Roman" w:cs="Times New Roman"/>
        <w:spacing w:val="-8"/>
        <w:w w:val="77"/>
        <w:sz w:val="32"/>
        <w:szCs w:val="32"/>
      </w:rPr>
      <w:t>VI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0F787">
    <w:pPr>
      <w:pStyle w:val="2"/>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B3892">
    <w:pPr>
      <w:spacing w:line="178" w:lineRule="auto"/>
      <w:ind w:left="8420"/>
      <w:rPr>
        <w:rFonts w:ascii="Times New Roman" w:hAnsi="Times New Roman" w:eastAsia="Times New Roman" w:cs="Times New Roman"/>
        <w:sz w:val="29"/>
        <w:szCs w:val="29"/>
      </w:rPr>
    </w:pPr>
    <w:r>
      <w:rPr>
        <w:rFonts w:ascii="Times New Roman" w:hAnsi="Times New Roman" w:eastAsia="Times New Roman" w:cs="Times New Roman"/>
        <w:spacing w:val="-9"/>
        <w:w w:val="98"/>
        <w:sz w:val="29"/>
        <w:szCs w:val="29"/>
      </w:rPr>
      <w:t>IX</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45CC6">
    <w:pPr>
      <w:spacing w:line="178" w:lineRule="auto"/>
      <w:ind w:left="266"/>
      <w:rPr>
        <w:rFonts w:ascii="Times New Roman" w:hAnsi="Times New Roman" w:eastAsia="Times New Roman" w:cs="Times New Roman"/>
        <w:sz w:val="29"/>
        <w:szCs w:val="29"/>
      </w:rPr>
    </w:pPr>
    <w:r>
      <w:rPr>
        <w:rFonts w:ascii="Times New Roman" w:hAnsi="Times New Roman" w:eastAsia="Times New Roman" w:cs="Times New Roman"/>
        <w:sz w:val="29"/>
        <w:szCs w:val="29"/>
      </w:rPr>
      <w:t>X</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1F2CD">
    <w:pPr>
      <w:spacing w:line="177" w:lineRule="auto"/>
      <w:ind w:left="8969"/>
      <w:rPr>
        <w:rFonts w:ascii="Times New Roman" w:hAnsi="Times New Roman" w:eastAsia="Times New Roman" w:cs="Times New Roman"/>
        <w:sz w:val="27"/>
        <w:szCs w:val="27"/>
      </w:rPr>
    </w:pPr>
    <w:r>
      <w:rPr>
        <w:rFonts w:ascii="Times New Roman" w:hAnsi="Times New Roman" w:eastAsia="Times New Roman" w:cs="Times New Roman"/>
        <w:spacing w:val="-8"/>
        <w:w w:val="91"/>
        <w:sz w:val="27"/>
        <w:szCs w:val="27"/>
      </w:rPr>
      <w:t>XI</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4C4A">
    <w:pPr>
      <w:spacing w:line="177" w:lineRule="auto"/>
      <w:ind w:left="170"/>
      <w:rPr>
        <w:rFonts w:ascii="Times New Roman" w:hAnsi="Times New Roman" w:eastAsia="Times New Roman" w:cs="Times New Roman"/>
        <w:sz w:val="27"/>
        <w:szCs w:val="27"/>
      </w:rPr>
    </w:pPr>
    <w:r>
      <w:rPr>
        <w:rFonts w:ascii="Times New Roman" w:hAnsi="Times New Roman" w:eastAsia="Times New Roman" w:cs="Times New Roman"/>
        <w:spacing w:val="-8"/>
        <w:w w:val="88"/>
        <w:sz w:val="27"/>
        <w:szCs w:val="27"/>
      </w:rPr>
      <w:t>XI</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9C09C">
    <w:pPr>
      <w:pStyle w:val="2"/>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E5446">
    <w:pPr>
      <w:spacing w:line="178" w:lineRule="auto"/>
      <w:ind w:left="136"/>
      <w:rPr>
        <w:rFonts w:ascii="Times New Roman" w:hAnsi="Times New Roman" w:eastAsia="Times New Roman" w:cs="Times New Roman"/>
        <w:sz w:val="32"/>
        <w:szCs w:val="32"/>
      </w:rPr>
    </w:pPr>
    <w:r>
      <w:rPr>
        <w:rFonts w:ascii="Times New Roman" w:hAnsi="Times New Roman" w:eastAsia="Times New Roman" w:cs="Times New Roman"/>
        <w:b/>
        <w:bCs/>
        <w:spacing w:val="-3"/>
        <w:w w:val="75"/>
        <w:sz w:val="32"/>
        <w:szCs w:val="32"/>
      </w:rPr>
      <w:t>XV</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21A42">
    <w:pPr>
      <w:spacing w:before="1" w:line="177" w:lineRule="auto"/>
      <w:ind w:left="8956"/>
      <w:rPr>
        <w:rFonts w:ascii="Times New Roman" w:hAnsi="Times New Roman" w:eastAsia="Times New Roman" w:cs="Times New Roman"/>
        <w:sz w:val="29"/>
        <w:szCs w:val="29"/>
      </w:rPr>
    </w:pPr>
    <w:r>
      <w:rPr>
        <w:rFonts w:ascii="Times New Roman" w:hAnsi="Times New Roman" w:eastAsia="Times New Roman" w:cs="Times New Roman"/>
        <w:b/>
        <w:bCs/>
        <w:spacing w:val="-3"/>
        <w:w w:val="79"/>
        <w:sz w:val="29"/>
        <w:szCs w:val="29"/>
      </w:rPr>
      <w:t>XV</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1DAFE">
    <w:pPr>
      <w:spacing w:line="177" w:lineRule="auto"/>
      <w:ind w:left="146"/>
      <w:rPr>
        <w:rFonts w:ascii="Times New Roman" w:hAnsi="Times New Roman" w:eastAsia="Times New Roman" w:cs="Times New Roman"/>
        <w:sz w:val="27"/>
        <w:szCs w:val="27"/>
      </w:rPr>
    </w:pPr>
    <w:r>
      <w:rPr>
        <w:rFonts w:ascii="Times New Roman" w:hAnsi="Times New Roman" w:eastAsia="Times New Roman" w:cs="Times New Roman"/>
        <w:spacing w:val="-4"/>
        <w:w w:val="80"/>
        <w:sz w:val="27"/>
        <w:szCs w:val="27"/>
      </w:rPr>
      <w:t>XV</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F8A1B">
    <w:pPr>
      <w:spacing w:before="1" w:line="177" w:lineRule="auto"/>
      <w:ind w:left="8886"/>
      <w:rPr>
        <w:rFonts w:ascii="Times New Roman" w:hAnsi="Times New Roman" w:eastAsia="Times New Roman" w:cs="Times New Roman"/>
        <w:sz w:val="29"/>
        <w:szCs w:val="29"/>
      </w:rPr>
    </w:pPr>
    <w:r>
      <w:rPr>
        <w:rFonts w:ascii="Times New Roman" w:hAnsi="Times New Roman" w:eastAsia="Times New Roman" w:cs="Times New Roman"/>
        <w:spacing w:val="-6"/>
        <w:w w:val="68"/>
        <w:sz w:val="29"/>
        <w:szCs w:val="29"/>
      </w:rPr>
      <w:t>XVI</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2AE9B">
    <w:pPr>
      <w:spacing w:line="177" w:lineRule="auto"/>
      <w:ind w:left="9060"/>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99107">
    <w:pPr>
      <w:spacing w:line="177" w:lineRule="auto"/>
      <w:ind w:left="219"/>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02C51">
    <w:pPr>
      <w:spacing w:line="177" w:lineRule="auto"/>
      <w:ind w:left="9039"/>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BE3B0">
    <w:pPr>
      <w:spacing w:line="178" w:lineRule="auto"/>
      <w:ind w:left="230"/>
      <w:rPr>
        <w:rFonts w:ascii="Times New Roman" w:hAnsi="Times New Roman" w:eastAsia="Times New Roman" w:cs="Times New Roman"/>
        <w:sz w:val="22"/>
        <w:szCs w:val="22"/>
      </w:rPr>
    </w:pPr>
    <w:r>
      <w:rPr>
        <w:rFonts w:ascii="Times New Roman" w:hAnsi="Times New Roman" w:eastAsia="Times New Roman" w:cs="Times New Roman"/>
        <w:b/>
        <w:bCs/>
        <w:sz w:val="22"/>
        <w:szCs w:val="22"/>
      </w:rPr>
      <w:t>4</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8877D">
    <w:pPr>
      <w:pStyle w:val="2"/>
      <w:spacing w:line="248" w:lineRule="exact"/>
      <w:ind w:left="9050"/>
      <w:rPr>
        <w:sz w:val="19"/>
        <w:szCs w:val="19"/>
      </w:rPr>
    </w:pPr>
    <w:r>
      <w:rPr>
        <w:position w:val="1"/>
        <w:sz w:val="19"/>
        <w:szCs w:val="19"/>
      </w:rPr>
      <w:t>5</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3A8D8">
    <w:pPr>
      <w:pStyle w:val="2"/>
      <w:spacing w:line="248" w:lineRule="exact"/>
      <w:ind w:left="270"/>
      <w:rPr>
        <w:sz w:val="19"/>
        <w:szCs w:val="19"/>
      </w:rPr>
    </w:pPr>
    <w:r>
      <w:rPr>
        <w:position w:val="1"/>
        <w:sz w:val="19"/>
        <w:szCs w:val="19"/>
      </w:rPr>
      <w:t>6</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2547E">
    <w:pPr>
      <w:pStyle w:val="2"/>
      <w:spacing w:line="183" w:lineRule="auto"/>
      <w:ind w:left="9080"/>
      <w:rPr>
        <w:sz w:val="19"/>
        <w:szCs w:val="19"/>
      </w:rPr>
    </w:pPr>
    <w:r>
      <w:rPr>
        <w:sz w:val="19"/>
        <w:szCs w:val="19"/>
      </w:rPr>
      <w:t>7</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D575E">
    <w:pPr>
      <w:pStyle w:val="2"/>
      <w:spacing w:line="276" w:lineRule="exact"/>
      <w:ind w:left="229"/>
    </w:pPr>
    <w:r>
      <w:rPr>
        <w:position w:val="1"/>
      </w:rPr>
      <w:t>8</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157A8">
    <w:pPr>
      <w:spacing w:line="177" w:lineRule="auto"/>
      <w:ind w:left="9069"/>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1452A">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10</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5EC48">
    <w:pPr>
      <w:spacing w:line="179" w:lineRule="auto"/>
      <w:ind w:left="891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11</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81850">
    <w:pPr>
      <w:spacing w:line="178" w:lineRule="auto"/>
      <w:ind w:left="269"/>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12</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6B168">
    <w:pPr>
      <w:spacing w:line="178" w:lineRule="auto"/>
      <w:ind w:left="8929"/>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13</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9FB88">
    <w:pPr>
      <w:spacing w:line="177"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14</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106D3">
    <w:pPr>
      <w:pStyle w:val="2"/>
      <w:spacing w:line="303" w:lineRule="exact"/>
      <w:ind w:left="8909"/>
      <w:rPr>
        <w:sz w:val="23"/>
        <w:szCs w:val="23"/>
      </w:rPr>
    </w:pPr>
    <w:r>
      <w:rPr>
        <w:spacing w:val="-7"/>
        <w:position w:val="1"/>
        <w:sz w:val="23"/>
        <w:szCs w:val="23"/>
      </w:rPr>
      <w:t>15</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7B4EC">
    <w:pPr>
      <w:spacing w:line="179" w:lineRule="auto"/>
      <w:ind w:left="24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16</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971E8">
    <w:pPr>
      <w:spacing w:line="179" w:lineRule="auto"/>
      <w:ind w:left="892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17</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3944C">
    <w:pPr>
      <w:spacing w:line="179" w:lineRule="auto"/>
      <w:ind w:left="20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18</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A488F">
    <w:pPr>
      <w:spacing w:line="178" w:lineRule="auto"/>
      <w:ind w:left="8909"/>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19</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9485A">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6D526">
    <w:pPr>
      <w:spacing w:line="178" w:lineRule="auto"/>
      <w:ind w:left="89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21</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4C769">
    <w:pPr>
      <w:spacing w:line="178" w:lineRule="auto"/>
      <w:ind w:left="23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4B49">
    <w:pPr>
      <w:spacing w:line="178" w:lineRule="auto"/>
      <w:ind w:left="894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CE9E3">
    <w:pPr>
      <w:spacing w:line="178" w:lineRule="auto"/>
      <w:ind w:left="2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24</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84B6C">
    <w:pPr>
      <w:pStyle w:val="2"/>
      <w:spacing w:line="303" w:lineRule="exact"/>
      <w:ind w:left="8949"/>
      <w:rPr>
        <w:sz w:val="23"/>
        <w:szCs w:val="23"/>
      </w:rPr>
    </w:pPr>
    <w:r>
      <w:rPr>
        <w:spacing w:val="-2"/>
        <w:position w:val="1"/>
        <w:sz w:val="23"/>
        <w:szCs w:val="23"/>
      </w:rPr>
      <w:t>25</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B911F">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2</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pacing w:val="-3"/>
        <w:sz w:val="21"/>
        <w:szCs w:val="21"/>
      </w:rPr>
      <w:t>6</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B600C">
    <w:pPr>
      <w:spacing w:line="179" w:lineRule="auto"/>
      <w:ind w:left="890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91112">
    <w:pPr>
      <w:spacing w:line="179" w:lineRule="auto"/>
      <w:ind w:left="20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DF542">
    <w:pPr>
      <w:spacing w:line="179" w:lineRule="auto"/>
      <w:ind w:left="896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55115">
    <w:pPr>
      <w:spacing w:line="178" w:lineRule="auto"/>
      <w:ind w:left="38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30</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A1745">
    <w:pPr>
      <w:spacing w:line="177" w:lineRule="auto"/>
      <w:ind w:left="895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31</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E10A3">
    <w:pPr>
      <w:pStyle w:val="2"/>
      <w:spacing w:line="276" w:lineRule="exact"/>
      <w:ind w:left="371"/>
    </w:pPr>
    <w:r>
      <w:rPr>
        <w:spacing w:val="-3"/>
        <w:position w:val="1"/>
      </w:rPr>
      <w:t>32</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F97B5">
    <w:pPr>
      <w:pStyle w:val="2"/>
      <w:spacing w:line="248" w:lineRule="exact"/>
      <w:ind w:left="8929"/>
      <w:rPr>
        <w:sz w:val="19"/>
        <w:szCs w:val="19"/>
      </w:rPr>
    </w:pPr>
    <w:r>
      <w:rPr>
        <w:spacing w:val="-3"/>
        <w:position w:val="1"/>
        <w:sz w:val="19"/>
        <w:szCs w:val="19"/>
      </w:rPr>
      <w:t>33</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4C6FC">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34</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98F14">
    <w:pPr>
      <w:pStyle w:val="2"/>
      <w:spacing w:line="276" w:lineRule="exact"/>
      <w:ind w:left="8919"/>
    </w:pPr>
    <w:r>
      <w:rPr>
        <w:spacing w:val="-3"/>
        <w:position w:val="1"/>
      </w:rPr>
      <w:t>35</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CC9AD">
    <w:pPr>
      <w:spacing w:line="179"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36</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63B47">
    <w:pPr>
      <w:spacing w:line="177" w:lineRule="auto"/>
      <w:ind w:left="891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3 7</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92C79">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38</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43590">
    <w:pPr>
      <w:spacing w:line="177" w:lineRule="auto"/>
      <w:ind w:left="89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39</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4C17B">
    <w:pPr>
      <w:spacing w:line="178" w:lineRule="auto"/>
      <w:ind w:left="20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3FC1">
    <w:pPr>
      <w:spacing w:line="179" w:lineRule="auto"/>
      <w:ind w:left="890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41</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75A7B">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42</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9D0DB">
    <w:pPr>
      <w:spacing w:line="178" w:lineRule="auto"/>
      <w:ind w:left="889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43</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55812">
    <w:pPr>
      <w:spacing w:line="177" w:lineRule="auto"/>
      <w:ind w:left="2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44</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35A6F">
    <w:pPr>
      <w:pStyle w:val="2"/>
      <w:spacing w:line="303" w:lineRule="exact"/>
      <w:ind w:left="8899"/>
      <w:rPr>
        <w:sz w:val="23"/>
        <w:szCs w:val="23"/>
      </w:rPr>
    </w:pPr>
    <w:r>
      <w:rPr>
        <w:spacing w:val="-1"/>
        <w:position w:val="1"/>
        <w:sz w:val="23"/>
        <w:szCs w:val="23"/>
      </w:rPr>
      <w:t>45</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A71A0">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46</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5CB4F">
    <w:pPr>
      <w:spacing w:line="178" w:lineRule="auto"/>
      <w:ind w:left="89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7</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51FD">
    <w:pPr>
      <w:spacing w:line="179" w:lineRule="auto"/>
      <w:ind w:left="35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48</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2B5D0">
    <w:pPr>
      <w:spacing w:line="178" w:lineRule="auto"/>
      <w:ind w:left="887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49</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6DC34">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50</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03802">
    <w:pPr>
      <w:spacing w:line="177" w:lineRule="auto"/>
      <w:ind w:left="891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51</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D8A67">
    <w:pPr>
      <w:pStyle w:val="2"/>
      <w:spacing w:line="276" w:lineRule="exact"/>
      <w:ind w:left="209"/>
    </w:pPr>
    <w:r>
      <w:rPr>
        <w:spacing w:val="-3"/>
        <w:position w:val="1"/>
      </w:rPr>
      <w:t>52</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266DC">
    <w:pPr>
      <w:spacing w:line="178" w:lineRule="auto"/>
      <w:ind w:left="88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53</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9FF39">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54</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14A0D">
    <w:pPr>
      <w:pStyle w:val="2"/>
      <w:spacing w:line="276" w:lineRule="exact"/>
      <w:ind w:left="8899"/>
    </w:pPr>
    <w:r>
      <w:rPr>
        <w:spacing w:val="-3"/>
        <w:position w:val="1"/>
      </w:rPr>
      <w:t>55</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3102A">
    <w:pPr>
      <w:pStyle w:val="2"/>
      <w:spacing w:line="276" w:lineRule="exact"/>
      <w:ind w:left="259"/>
    </w:pPr>
    <w:r>
      <w:rPr>
        <w:spacing w:val="-3"/>
        <w:position w:val="1"/>
      </w:rPr>
      <w:t>56</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04A83">
    <w:pPr>
      <w:pStyle w:val="2"/>
      <w:spacing w:line="276" w:lineRule="exact"/>
      <w:jc w:val="right"/>
    </w:pPr>
    <w:r>
      <w:rPr>
        <w:spacing w:val="-5"/>
        <w:position w:val="1"/>
      </w:rPr>
      <w:t>57</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20D11">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58</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EEB1D">
    <w:pPr>
      <w:pStyle w:val="2"/>
      <w:spacing w:line="276" w:lineRule="exact"/>
      <w:ind w:left="8909"/>
    </w:pPr>
    <w:r>
      <w:rPr>
        <w:spacing w:val="-3"/>
        <w:position w:val="1"/>
      </w:rPr>
      <w:t>59</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18E30">
    <w:pPr>
      <w:spacing w:line="179" w:lineRule="auto"/>
      <w:ind w:left="24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60</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10AC8">
    <w:pPr>
      <w:spacing w:line="178" w:lineRule="auto"/>
      <w:ind w:left="906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61</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9D593">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62</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832CA">
    <w:pPr>
      <w:pStyle w:val="2"/>
      <w:spacing w:line="248" w:lineRule="exact"/>
      <w:ind w:left="8909"/>
      <w:rPr>
        <w:sz w:val="19"/>
        <w:szCs w:val="19"/>
      </w:rPr>
    </w:pPr>
    <w:r>
      <w:rPr>
        <w:spacing w:val="-2"/>
        <w:position w:val="1"/>
        <w:sz w:val="19"/>
        <w:szCs w:val="19"/>
      </w:rPr>
      <w:t>63</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2BB69">
    <w:pPr>
      <w:spacing w:line="177" w:lineRule="auto"/>
      <w:ind w:left="29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64</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B5A44">
    <w:pPr>
      <w:pStyle w:val="2"/>
      <w:spacing w:line="276" w:lineRule="exact"/>
      <w:ind w:left="8940"/>
    </w:pPr>
    <w:r>
      <w:rPr>
        <w:spacing w:val="-3"/>
        <w:position w:val="1"/>
      </w:rPr>
      <w:t>65</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52EF5">
    <w:pPr>
      <w:spacing w:line="179"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66</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579C0">
    <w:pPr>
      <w:spacing w:line="179" w:lineRule="auto"/>
      <w:ind w:left="889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67</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5FCF3">
    <w:pPr>
      <w:spacing w:line="179" w:lineRule="auto"/>
      <w:ind w:left="25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68</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8071C">
    <w:pPr>
      <w:spacing w:line="178" w:lineRule="auto"/>
      <w:ind w:left="89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69</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111A9">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70</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F93A0">
    <w:pPr>
      <w:spacing w:line="178" w:lineRule="auto"/>
      <w:ind w:left="896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71</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E7C07">
    <w:pPr>
      <w:pStyle w:val="2"/>
      <w:spacing w:line="186" w:lineRule="auto"/>
      <w:ind w:left="249"/>
      <w:rPr>
        <w:sz w:val="20"/>
        <w:szCs w:val="20"/>
      </w:rPr>
    </w:pPr>
    <w:r>
      <w:rPr>
        <w:spacing w:val="-3"/>
        <w:sz w:val="20"/>
        <w:szCs w:val="20"/>
      </w:rPr>
      <w:t>72</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A634A">
    <w:pPr>
      <w:pStyle w:val="2"/>
      <w:spacing w:line="276" w:lineRule="exact"/>
      <w:ind w:left="8929"/>
    </w:pPr>
    <w:r>
      <w:rPr>
        <w:spacing w:val="-3"/>
        <w:position w:val="1"/>
      </w:rPr>
      <w:t>73</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18F5E">
    <w:pPr>
      <w:spacing w:line="178" w:lineRule="auto"/>
      <w:ind w:left="24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74</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91845">
    <w:pPr>
      <w:pStyle w:val="2"/>
      <w:spacing w:line="303" w:lineRule="exact"/>
      <w:ind w:left="8909"/>
      <w:rPr>
        <w:sz w:val="23"/>
        <w:szCs w:val="23"/>
      </w:rPr>
    </w:pPr>
    <w:r>
      <w:rPr>
        <w:spacing w:val="-3"/>
        <w:position w:val="1"/>
        <w:sz w:val="23"/>
        <w:szCs w:val="23"/>
      </w:rPr>
      <w:t>75</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8621B">
    <w:pPr>
      <w:spacing w:line="178" w:lineRule="auto"/>
      <w:ind w:left="26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76</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4DB11">
    <w:pPr>
      <w:pStyle w:val="2"/>
      <w:spacing w:line="184" w:lineRule="auto"/>
      <w:ind w:left="8900"/>
      <w:rPr>
        <w:sz w:val="22"/>
        <w:szCs w:val="22"/>
      </w:rPr>
    </w:pPr>
    <w:r>
      <w:rPr>
        <w:spacing w:val="-3"/>
        <w:sz w:val="22"/>
        <w:szCs w:val="22"/>
      </w:rPr>
      <w:t>77</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8BE68">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78</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58785">
    <w:pPr>
      <w:spacing w:line="178" w:lineRule="auto"/>
      <w:ind w:left="889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79</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BEB2B">
    <w:pPr>
      <w:spacing w:line="179" w:lineRule="auto"/>
      <w:ind w:left="20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80</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5702E">
    <w:pPr>
      <w:spacing w:line="179" w:lineRule="auto"/>
      <w:ind w:left="890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81</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9F527">
    <w:pPr>
      <w:spacing w:line="178" w:lineRule="auto"/>
      <w:ind w:left="21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82</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6966D">
    <w:pPr>
      <w:pStyle w:val="2"/>
      <w:spacing w:line="276" w:lineRule="exact"/>
      <w:ind w:left="8889"/>
    </w:pPr>
    <w:r>
      <w:rPr>
        <w:spacing w:val="-3"/>
        <w:position w:val="1"/>
      </w:rPr>
      <w:t>83</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9E94">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84</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2EDA2">
    <w:pPr>
      <w:pStyle w:val="2"/>
      <w:spacing w:line="276" w:lineRule="exact"/>
      <w:ind w:left="8919"/>
    </w:pPr>
    <w:r>
      <w:rPr>
        <w:spacing w:val="-3"/>
        <w:position w:val="1"/>
      </w:rPr>
      <w:t>85</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D5F24">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86</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43977">
    <w:pPr>
      <w:spacing w:line="177" w:lineRule="auto"/>
      <w:ind w:left="892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87</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F631B">
    <w:pPr>
      <w:spacing w:line="179" w:lineRule="auto"/>
      <w:ind w:left="20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88</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41A97">
    <w:pPr>
      <w:spacing w:line="179" w:lineRule="auto"/>
      <w:ind w:left="889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89</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5D286">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90</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89565">
    <w:pPr>
      <w:spacing w:line="178" w:lineRule="auto"/>
      <w:ind w:left="887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91</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9E341">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92</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8DA12">
    <w:pPr>
      <w:pStyle w:val="2"/>
      <w:spacing w:line="276" w:lineRule="exact"/>
      <w:ind w:left="8879"/>
    </w:pPr>
    <w:r>
      <w:rPr>
        <w:spacing w:val="-3"/>
        <w:position w:val="1"/>
      </w:rPr>
      <w:t>93</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6CF46">
    <w:pPr>
      <w:spacing w:line="177" w:lineRule="auto"/>
      <w:ind w:left="20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94</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AFB18">
    <w:pPr>
      <w:pStyle w:val="2"/>
      <w:spacing w:line="248" w:lineRule="exact"/>
      <w:ind w:left="8940"/>
      <w:rPr>
        <w:sz w:val="19"/>
        <w:szCs w:val="19"/>
      </w:rPr>
    </w:pPr>
    <w:r>
      <w:rPr>
        <w:spacing w:val="-3"/>
        <w:position w:val="1"/>
        <w:sz w:val="19"/>
        <w:szCs w:val="19"/>
      </w:rPr>
      <w:t>95</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28AC0">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96</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AE1C5">
    <w:pPr>
      <w:pStyle w:val="2"/>
      <w:spacing w:line="276" w:lineRule="exact"/>
      <w:ind w:left="8940"/>
    </w:pPr>
    <w:r>
      <w:rPr>
        <w:spacing w:val="-3"/>
        <w:position w:val="1"/>
      </w:rPr>
      <w:t>97</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2031F">
    <w:pPr>
      <w:spacing w:line="178" w:lineRule="auto"/>
      <w:ind w:left="2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98</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E2AE2">
    <w:pPr>
      <w:spacing w:line="177" w:lineRule="auto"/>
      <w:ind w:left="890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99</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733B4">
    <w:pPr>
      <w:spacing w:line="179" w:lineRule="auto"/>
      <w:ind w:left="26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100</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B2C21">
    <w:pPr>
      <w:spacing w:line="178" w:lineRule="auto"/>
      <w:ind w:left="87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101</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3B250">
    <w:pPr>
      <w:spacing w:line="179" w:lineRule="auto"/>
      <w:ind w:left="24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102</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15060">
    <w:pPr>
      <w:spacing w:line="179" w:lineRule="auto"/>
      <w:ind w:left="879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103</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6AD3D">
    <w:pPr>
      <w:spacing w:line="179" w:lineRule="auto"/>
      <w:ind w:left="25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104</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96E1F">
    <w:pPr>
      <w:pStyle w:val="2"/>
      <w:spacing w:line="276" w:lineRule="exact"/>
      <w:ind w:left="8780"/>
    </w:pPr>
    <w:r>
      <w:rPr>
        <w:spacing w:val="-6"/>
        <w:position w:val="1"/>
      </w:rPr>
      <w:t>105</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2A01F">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106</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AE868">
    <w:pPr>
      <w:spacing w:line="179" w:lineRule="auto"/>
      <w:ind w:left="87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107</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B7A95">
    <w:pPr>
      <w:spacing w:line="179" w:lineRule="auto"/>
      <w:ind w:left="24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108</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AE6E8">
    <w:pPr>
      <w:spacing w:line="179" w:lineRule="auto"/>
      <w:ind w:left="880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109</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2CEA5">
    <w:pPr>
      <w:spacing w:line="180" w:lineRule="auto"/>
      <w:ind w:left="26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110</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32C73">
    <w:pPr>
      <w:spacing w:line="180" w:lineRule="auto"/>
      <w:ind w:left="881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111</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AFD08">
    <w:pPr>
      <w:spacing w:line="180" w:lineRule="auto"/>
      <w:ind w:left="21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112</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E3AA5">
    <w:pPr>
      <w:spacing w:line="179" w:lineRule="auto"/>
      <w:ind w:left="87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113</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D573B">
    <w:pPr>
      <w:spacing w:line="180" w:lineRule="auto"/>
      <w:ind w:left="22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114</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F32F9">
    <w:pPr>
      <w:spacing w:line="178" w:lineRule="auto"/>
      <w:ind w:left="878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115</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257AC">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116</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B4B82">
    <w:pPr>
      <w:spacing w:line="179" w:lineRule="auto"/>
      <w:ind w:left="878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117</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E58C0">
    <w:pPr>
      <w:spacing w:line="179" w:lineRule="auto"/>
      <w:ind w:left="28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118</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CF776">
    <w:pPr>
      <w:spacing w:line="179" w:lineRule="auto"/>
      <w:ind w:left="877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119</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02F90">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120</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D5959">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121</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1A15B">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122</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5E5BF">
    <w:pPr>
      <w:spacing w:line="178" w:lineRule="auto"/>
      <w:ind w:left="875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123</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46B13">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124</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B181F">
    <w:pPr>
      <w:spacing w:line="178" w:lineRule="auto"/>
      <w:ind w:left="876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125</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1EA5C">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126</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F10B0">
    <w:pPr>
      <w:spacing w:line="178" w:lineRule="auto"/>
      <w:ind w:left="875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127</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581E2">
    <w:pPr>
      <w:spacing w:line="178" w:lineRule="auto"/>
      <w:ind w:left="354"/>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128</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41C17">
    <w:pPr>
      <w:spacing w:line="178" w:lineRule="auto"/>
      <w:ind w:left="876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129</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ED322">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130</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8BEBF">
    <w:pPr>
      <w:spacing w:line="178" w:lineRule="auto"/>
      <w:ind w:left="876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131</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1C072">
    <w:pPr>
      <w:spacing w:line="179" w:lineRule="auto"/>
      <w:ind w:left="24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132</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4BAEC">
    <w:pPr>
      <w:spacing w:line="178" w:lineRule="auto"/>
      <w:ind w:left="875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133</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D01DE">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134</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AA1C9">
    <w:pPr>
      <w:spacing w:line="179" w:lineRule="auto"/>
      <w:ind w:left="881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135</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E4F77">
    <w:pPr>
      <w:spacing w:line="179" w:lineRule="auto"/>
      <w:ind w:left="25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136</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61154">
    <w:pPr>
      <w:spacing w:line="178" w:lineRule="auto"/>
      <w:ind w:left="881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137</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6DF47">
    <w:pPr>
      <w:spacing w:line="179" w:lineRule="auto"/>
      <w:ind w:left="24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138</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D5DD5">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139</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01F0">
    <w:pPr>
      <w:spacing w:line="178" w:lineRule="auto"/>
      <w:ind w:left="17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140</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26BA0">
    <w:pPr>
      <w:spacing w:line="17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141</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BC58B">
    <w:pPr>
      <w:spacing w:line="177" w:lineRule="auto"/>
      <w:ind w:left="23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142</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76B71">
    <w:pPr>
      <w:pStyle w:val="2"/>
      <w:spacing w:line="276" w:lineRule="exact"/>
      <w:ind w:left="8740"/>
    </w:pPr>
    <w:r>
      <w:rPr>
        <w:spacing w:val="-6"/>
        <w:position w:val="1"/>
      </w:rPr>
      <w:t>143</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31E12">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10"/>
        <w:sz w:val="22"/>
        <w:szCs w:val="22"/>
      </w:rPr>
      <w:t>1</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b/>
        <w:bCs/>
        <w:spacing w:val="-10"/>
        <w:sz w:val="22"/>
        <w:szCs w:val="22"/>
      </w:rPr>
      <w:t>44</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5A9D1">
    <w:pPr>
      <w:spacing w:line="178" w:lineRule="auto"/>
      <w:ind w:left="878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145</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E851B">
    <w:pPr>
      <w:spacing w:line="178" w:lineRule="auto"/>
      <w:ind w:left="28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146</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00D3C">
    <w:pPr>
      <w:spacing w:line="178" w:lineRule="auto"/>
      <w:ind w:left="8789"/>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14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9"/>
        <w:sz w:val="22"/>
        <w:szCs w:val="22"/>
      </w:rPr>
      <w:t>7</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29823">
    <w:pPr>
      <w:spacing w:line="178"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148</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B62B5">
    <w:pPr>
      <w:spacing w:line="178" w:lineRule="auto"/>
      <w:ind w:left="878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149</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8AB04">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150</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E2651">
    <w:pPr>
      <w:spacing w:line="179" w:lineRule="auto"/>
      <w:ind w:left="87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151</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583B9">
    <w:pPr>
      <w:spacing w:line="179" w:lineRule="auto"/>
      <w:ind w:left="25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152</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4AFCD">
    <w:pPr>
      <w:spacing w:line="178" w:lineRule="auto"/>
      <w:ind w:left="875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153</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33A3E">
    <w:pPr>
      <w:spacing w:line="179" w:lineRule="auto"/>
      <w:ind w:left="28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154</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E1EF0">
    <w:pPr>
      <w:pStyle w:val="2"/>
      <w:spacing w:line="276" w:lineRule="exact"/>
      <w:ind w:left="8769"/>
    </w:pPr>
    <w:r>
      <w:rPr>
        <w:spacing w:val="-6"/>
        <w:position w:val="1"/>
      </w:rPr>
      <w:t>155</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F8219">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156</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E41B7">
    <w:pPr>
      <w:spacing w:line="178" w:lineRule="auto"/>
      <w:ind w:left="878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157</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CFBD9">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158</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61EE9">
    <w:pPr>
      <w:spacing w:line="178" w:lineRule="auto"/>
      <w:ind w:left="878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159</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F117A">
    <w:pPr>
      <w:spacing w:line="179" w:lineRule="auto"/>
      <w:ind w:left="24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160</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E33F7">
    <w:pPr>
      <w:spacing w:line="179" w:lineRule="auto"/>
      <w:ind w:left="876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161</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0381C">
    <w:pPr>
      <w:spacing w:line="178" w:lineRule="auto"/>
      <w:ind w:left="259"/>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16</w:t>
    </w:r>
    <w:r>
      <w:rPr>
        <w:rFonts w:ascii="Times New Roman" w:hAnsi="Times New Roman" w:eastAsia="Times New Roman" w:cs="Times New Roman"/>
        <w:spacing w:val="23"/>
        <w:sz w:val="21"/>
        <w:szCs w:val="21"/>
      </w:rPr>
      <w:t xml:space="preserve"> </w:t>
    </w:r>
    <w:r>
      <w:rPr>
        <w:rFonts w:ascii="Times New Roman" w:hAnsi="Times New Roman" w:eastAsia="Times New Roman" w:cs="Times New Roman"/>
        <w:b/>
        <w:bCs/>
        <w:spacing w:val="-9"/>
        <w:sz w:val="21"/>
        <w:szCs w:val="21"/>
      </w:rPr>
      <w:t>2</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4902F">
    <w:pPr>
      <w:spacing w:line="178" w:lineRule="auto"/>
      <w:ind w:left="881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163</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198A9">
    <w:pPr>
      <w:spacing w:line="179" w:lineRule="auto"/>
      <w:ind w:left="26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 xml:space="preserve">16 </w:t>
    </w:r>
    <w:r>
      <w:rPr>
        <w:rFonts w:ascii="Times New Roman" w:hAnsi="Times New Roman" w:eastAsia="Times New Roman" w:cs="Times New Roman"/>
        <w:b/>
        <w:bCs/>
        <w:spacing w:val="-8"/>
        <w:sz w:val="24"/>
        <w:szCs w:val="24"/>
      </w:rPr>
      <w:t>4</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B2764">
    <w:pPr>
      <w:pStyle w:val="2"/>
      <w:spacing w:line="276" w:lineRule="exact"/>
      <w:ind w:left="8839"/>
    </w:pPr>
    <w:r>
      <w:rPr>
        <w:spacing w:val="-6"/>
        <w:position w:val="1"/>
      </w:rPr>
      <w:t>165</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EB290">
    <w:pPr>
      <w:spacing w:line="179" w:lineRule="auto"/>
      <w:ind w:left="20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166</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8008F">
    <w:pPr>
      <w:spacing w:line="179" w:lineRule="auto"/>
      <w:ind w:left="878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167</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C5F3C">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168</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30618">
    <w:pPr>
      <w:spacing w:line="178" w:lineRule="auto"/>
      <w:ind w:left="880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169</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C5E95">
    <w:pPr>
      <w:spacing w:line="180" w:lineRule="auto"/>
      <w:ind w:left="20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170</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6C82B">
    <w:pPr>
      <w:spacing w:line="179" w:lineRule="auto"/>
      <w:ind w:left="877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171</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956F0">
    <w:pPr>
      <w:spacing w:line="179" w:lineRule="auto"/>
      <w:ind w:left="26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172</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D7CD1">
    <w:pPr>
      <w:spacing w:line="178" w:lineRule="auto"/>
      <w:ind w:left="877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173</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6618D">
    <w:pPr>
      <w:spacing w:line="179" w:lineRule="auto"/>
      <w:ind w:left="26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174</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5EC93">
    <w:pPr>
      <w:spacing w:line="179" w:lineRule="auto"/>
      <w:ind w:left="877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175</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1E80">
    <w:pPr>
      <w:pStyle w:val="2"/>
      <w:spacing w:line="276" w:lineRule="exact"/>
      <w:ind w:left="355"/>
    </w:pPr>
    <w:r>
      <w:rPr>
        <w:spacing w:val="-6"/>
        <w:position w:val="1"/>
      </w:rPr>
      <w:t>176</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7DFAF">
    <w:pPr>
      <w:spacing w:line="178" w:lineRule="auto"/>
      <w:ind w:left="876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177</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6A892">
    <w:pPr>
      <w:spacing w:line="180" w:lineRule="auto"/>
      <w:ind w:left="22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178</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F522B">
    <w:pPr>
      <w:spacing w:line="179" w:lineRule="auto"/>
      <w:ind w:left="875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179</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8C64E">
    <w:pPr>
      <w:spacing w:line="179"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180</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A0D6E">
    <w:pPr>
      <w:spacing w:line="179" w:lineRule="auto"/>
      <w:ind w:left="880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181</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5E833">
    <w:pPr>
      <w:spacing w:line="178" w:lineRule="auto"/>
      <w:ind w:left="876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183</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D1521">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184</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87B24">
    <w:pPr>
      <w:spacing w:line="178" w:lineRule="auto"/>
      <w:ind w:left="876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185</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3897A">
    <w:pPr>
      <w:spacing w:line="179" w:lineRule="auto"/>
      <w:ind w:left="25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186</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23715">
    <w:pPr>
      <w:spacing w:line="178" w:lineRule="auto"/>
      <w:ind w:left="877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187</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9CC80">
    <w:pPr>
      <w:spacing w:line="179"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188</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A1361">
    <w:pPr>
      <w:spacing w:line="179" w:lineRule="auto"/>
      <w:ind w:left="879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189</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E2F9B">
    <w:pPr>
      <w:spacing w:line="178" w:lineRule="auto"/>
      <w:ind w:left="26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190</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7F904">
    <w:pPr>
      <w:spacing w:line="179" w:lineRule="auto"/>
      <w:ind w:left="880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191</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67B99">
    <w:pPr>
      <w:spacing w:line="179" w:lineRule="auto"/>
      <w:ind w:left="24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192</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84A0F">
    <w:pPr>
      <w:spacing w:line="178" w:lineRule="auto"/>
      <w:ind w:left="877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193</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A3B6E">
    <w:pPr>
      <w:spacing w:line="180" w:lineRule="auto"/>
      <w:ind w:left="24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194</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E0E00">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195</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33BB1">
    <w:pPr>
      <w:spacing w:before="1" w:line="179" w:lineRule="auto"/>
      <w:ind w:left="26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196</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62818">
    <w:pPr>
      <w:spacing w:line="179" w:lineRule="auto"/>
      <w:ind w:left="879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197</w:t>
    </w:r>
  </w:p>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BDFBF">
    <w:pPr>
      <w:spacing w:line="179" w:lineRule="auto"/>
      <w:ind w:left="24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198</w:t>
    </w:r>
  </w:p>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E5637">
    <w:pPr>
      <w:spacing w:line="179" w:lineRule="auto"/>
      <w:ind w:left="882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199</w:t>
    </w:r>
  </w:p>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7F34E">
    <w:pPr>
      <w:spacing w:line="177" w:lineRule="auto"/>
      <w:ind w:left="87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w:t>
    </w:r>
  </w:p>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48F5C">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202</w:t>
    </w:r>
  </w:p>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0C547">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203</w:t>
    </w:r>
  </w:p>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4764C">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204</w:t>
    </w:r>
  </w:p>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44E78">
    <w:pPr>
      <w:spacing w:line="178" w:lineRule="auto"/>
      <w:ind w:left="875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205</w:t>
    </w:r>
  </w:p>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DD480">
    <w:pPr>
      <w:spacing w:line="179"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206</w:t>
    </w:r>
  </w:p>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FB4EE">
    <w:pPr>
      <w:spacing w:line="178" w:lineRule="auto"/>
      <w:ind w:left="87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207</w:t>
    </w:r>
  </w:p>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86F70">
    <w:pPr>
      <w:spacing w:line="178"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208</w:t>
    </w:r>
  </w:p>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81B0B">
    <w:pPr>
      <w:spacing w:line="178" w:lineRule="auto"/>
      <w:ind w:left="87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209</w:t>
    </w:r>
  </w:p>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377E5">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210</w:t>
    </w:r>
  </w:p>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53938">
    <w:pPr>
      <w:spacing w:line="179" w:lineRule="auto"/>
      <w:ind w:left="877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211</w:t>
    </w:r>
  </w:p>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654C9">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212</w:t>
    </w:r>
  </w:p>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6EF53">
    <w:pPr>
      <w:spacing w:line="178" w:lineRule="auto"/>
      <w:ind w:left="87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213</w:t>
    </w:r>
  </w:p>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3B2E1">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214</w:t>
    </w:r>
  </w:p>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31D67">
    <w:pPr>
      <w:spacing w:line="178" w:lineRule="auto"/>
      <w:ind w:left="87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215</w:t>
    </w:r>
  </w:p>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F09C4">
    <w:pPr>
      <w:spacing w:line="179"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216</w:t>
    </w:r>
  </w:p>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DA097">
    <w:pPr>
      <w:spacing w:line="179" w:lineRule="auto"/>
      <w:ind w:left="877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217</w:t>
    </w:r>
  </w:p>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A135D">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218</w:t>
    </w:r>
  </w:p>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D027C">
    <w:pPr>
      <w:spacing w:line="179" w:lineRule="auto"/>
      <w:ind w:left="879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219</w:t>
    </w:r>
  </w:p>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31DCE">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220</w:t>
    </w:r>
  </w:p>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3F61A">
    <w:pPr>
      <w:spacing w:line="179" w:lineRule="auto"/>
      <w:ind w:left="8770"/>
      <w:rPr>
        <w:rFonts w:ascii="Times New Roman" w:hAnsi="Times New Roman" w:eastAsia="Times New Roman" w:cs="Times New Roman"/>
        <w:sz w:val="24"/>
        <w:szCs w:val="24"/>
      </w:rPr>
    </w:pPr>
    <w:r>
      <w:rPr>
        <w:rFonts w:ascii="Times New Roman" w:hAnsi="Times New Roman" w:eastAsia="Times New Roman" w:cs="Times New Roman"/>
        <w:b/>
        <w:bCs/>
        <w:spacing w:val="-2"/>
        <w:sz w:val="24"/>
        <w:szCs w:val="24"/>
      </w:rPr>
      <w:t>221</w:t>
    </w:r>
  </w:p>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3757">
    <w:pPr>
      <w:spacing w:line="17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222</w:t>
    </w:r>
  </w:p>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1F6DB">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223</w:t>
    </w:r>
  </w:p>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49F7F">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224</w:t>
    </w:r>
  </w:p>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BF7F5">
    <w:pPr>
      <w:spacing w:line="178" w:lineRule="auto"/>
      <w:ind w:left="87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225</w:t>
    </w:r>
  </w:p>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9115E">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22</w:t>
    </w:r>
    <w:r>
      <w:rPr>
        <w:rFonts w:ascii="Times New Roman" w:hAnsi="Times New Roman" w:eastAsia="Times New Roman" w:cs="Times New Roman"/>
        <w:b/>
        <w:bCs/>
        <w:spacing w:val="32"/>
        <w:w w:val="101"/>
        <w:sz w:val="21"/>
        <w:szCs w:val="21"/>
      </w:rPr>
      <w:t xml:space="preserve"> </w:t>
    </w:r>
    <w:r>
      <w:rPr>
        <w:rFonts w:ascii="Times New Roman" w:hAnsi="Times New Roman" w:eastAsia="Times New Roman" w:cs="Times New Roman"/>
        <w:spacing w:val="-2"/>
        <w:sz w:val="21"/>
        <w:szCs w:val="21"/>
      </w:rPr>
      <w:t>6</w:t>
    </w:r>
  </w:p>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40B35">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227</w:t>
    </w:r>
  </w:p>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E27F0">
    <w:pPr>
      <w:spacing w:line="179" w:lineRule="auto"/>
      <w:ind w:left="20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228</w:t>
    </w:r>
  </w:p>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2C361">
    <w:pPr>
      <w:spacing w:line="179" w:lineRule="auto"/>
      <w:ind w:left="87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229</w:t>
    </w:r>
  </w:p>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AD948">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230</w:t>
    </w:r>
  </w:p>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7063B">
    <w:pPr>
      <w:spacing w:line="178" w:lineRule="auto"/>
      <w:ind w:left="879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231</w:t>
    </w:r>
  </w:p>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523D9">
    <w:pPr>
      <w:spacing w:line="177" w:lineRule="auto"/>
      <w:ind w:left="21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232</w:t>
    </w:r>
  </w:p>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D608B">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233</w:t>
    </w:r>
  </w:p>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D7A04">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234</w:t>
    </w:r>
  </w:p>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C8357">
    <w:pPr>
      <w:spacing w:line="178" w:lineRule="auto"/>
      <w:ind w:left="87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235</w:t>
    </w:r>
  </w:p>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2148A">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236</w:t>
    </w:r>
  </w:p>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B9D4A">
    <w:pPr>
      <w:spacing w:line="178" w:lineRule="auto"/>
      <w:ind w:left="876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237</w:t>
    </w:r>
  </w:p>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98615">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238</w:t>
    </w:r>
  </w:p>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02638">
    <w:pPr>
      <w:spacing w:line="178" w:lineRule="auto"/>
      <w:ind w:left="875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239</w:t>
    </w:r>
  </w:p>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A8D2B">
    <w:pPr>
      <w:spacing w:line="178" w:lineRule="auto"/>
      <w:ind w:left="374"/>
      <w:rPr>
        <w:rFonts w:ascii="Times New Roman" w:hAnsi="Times New Roman" w:eastAsia="Times New Roman" w:cs="Times New Roman"/>
        <w:sz w:val="22"/>
        <w:szCs w:val="22"/>
      </w:rPr>
    </w:pPr>
    <w:r>
      <w:rPr>
        <w:rFonts w:ascii="Times New Roman" w:hAnsi="Times New Roman" w:eastAsia="Times New Roman" w:cs="Times New Roman"/>
        <w:b/>
        <w:bCs/>
        <w:spacing w:val="-2"/>
        <w:sz w:val="22"/>
        <w:szCs w:val="22"/>
      </w:rPr>
      <w:t>24</w:t>
    </w:r>
    <w:r>
      <w:rPr>
        <w:rFonts w:ascii="Times New Roman" w:hAnsi="Times New Roman" w:eastAsia="Times New Roman" w:cs="Times New Roman"/>
        <w:b/>
        <w:bCs/>
        <w:spacing w:val="10"/>
        <w:sz w:val="22"/>
        <w:szCs w:val="22"/>
      </w:rPr>
      <w:t xml:space="preserve"> </w:t>
    </w:r>
    <w:r>
      <w:rPr>
        <w:rFonts w:ascii="Times New Roman" w:hAnsi="Times New Roman" w:eastAsia="Times New Roman" w:cs="Times New Roman"/>
        <w:spacing w:val="-2"/>
        <w:sz w:val="22"/>
        <w:szCs w:val="22"/>
      </w:rPr>
      <w:t>0</w:t>
    </w:r>
  </w:p>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275C4">
    <w:pPr>
      <w:spacing w:line="179" w:lineRule="auto"/>
      <w:ind w:left="875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241</w:t>
    </w:r>
  </w:p>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D1792">
    <w:pPr>
      <w:spacing w:line="177" w:lineRule="auto"/>
      <w:ind w:left="239"/>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242</w:t>
    </w:r>
  </w:p>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8EE5B">
    <w:pPr>
      <w:spacing w:line="178" w:lineRule="auto"/>
      <w:ind w:left="875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243</w:t>
    </w:r>
  </w:p>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760D4">
    <w:pPr>
      <w:spacing w:line="177" w:lineRule="auto"/>
      <w:ind w:left="20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b/>
        <w:bCs/>
        <w:spacing w:val="-3"/>
        <w:sz w:val="20"/>
        <w:szCs w:val="20"/>
      </w:rPr>
      <w:t>44</w:t>
    </w:r>
  </w:p>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F0F0D">
    <w:pPr>
      <w:spacing w:line="178" w:lineRule="auto"/>
      <w:ind w:left="877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245</w:t>
    </w:r>
  </w:p>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3484E">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246</w:t>
    </w:r>
  </w:p>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07BBE">
    <w:pPr>
      <w:spacing w:line="178" w:lineRule="auto"/>
      <w:ind w:left="878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24</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2"/>
        <w:sz w:val="21"/>
        <w:szCs w:val="21"/>
      </w:rPr>
      <w:t>7</w:t>
    </w:r>
  </w:p>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B817C">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248</w:t>
    </w:r>
  </w:p>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4AFBD">
    <w:pPr>
      <w:spacing w:line="177" w:lineRule="auto"/>
      <w:ind w:left="87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249</w:t>
    </w:r>
  </w:p>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851CA">
    <w:pPr>
      <w:spacing w:line="178" w:lineRule="auto"/>
      <w:ind w:left="2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250</w:t>
    </w:r>
  </w:p>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8A6B3">
    <w:pPr>
      <w:spacing w:line="303" w:lineRule="exact"/>
      <w:ind w:left="8770"/>
      <w:rPr>
        <w:rFonts w:ascii="Arial" w:hAnsi="Arial" w:eastAsia="Arial" w:cs="Arial"/>
        <w:sz w:val="23"/>
        <w:szCs w:val="23"/>
      </w:rPr>
    </w:pPr>
    <w:r>
      <w:rPr>
        <w:rFonts w:ascii="Arial" w:hAnsi="Arial" w:eastAsia="Arial" w:cs="Arial"/>
        <w:spacing w:val="-2"/>
        <w:position w:val="1"/>
        <w:sz w:val="23"/>
        <w:szCs w:val="23"/>
      </w:rPr>
      <w:t>251</w:t>
    </w:r>
  </w:p>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B25EE">
    <w:pPr>
      <w:spacing w:line="178" w:lineRule="auto"/>
      <w:ind w:left="2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252</w:t>
    </w:r>
  </w:p>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1D948">
    <w:pPr>
      <w:spacing w:line="276" w:lineRule="exact"/>
      <w:ind w:left="8759"/>
      <w:rPr>
        <w:rFonts w:ascii="Arial" w:hAnsi="Arial" w:eastAsia="Arial" w:cs="Arial"/>
        <w:sz w:val="21"/>
        <w:szCs w:val="21"/>
      </w:rPr>
    </w:pPr>
    <w:r>
      <w:rPr>
        <w:rFonts w:ascii="Arial" w:hAnsi="Arial" w:eastAsia="Arial" w:cs="Arial"/>
        <w:spacing w:val="-2"/>
        <w:position w:val="1"/>
        <w:sz w:val="21"/>
        <w:szCs w:val="21"/>
      </w:rPr>
      <w:t>253</w:t>
    </w:r>
  </w:p>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DA226">
    <w:pPr>
      <w:spacing w:line="17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254</w:t>
    </w:r>
  </w:p>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0A2AC">
    <w:pPr>
      <w:spacing w:line="276" w:lineRule="exact"/>
      <w:ind w:left="8760"/>
      <w:rPr>
        <w:rFonts w:ascii="Arial" w:hAnsi="Arial" w:eastAsia="Arial" w:cs="Arial"/>
        <w:sz w:val="21"/>
        <w:szCs w:val="21"/>
      </w:rPr>
    </w:pPr>
    <w:r>
      <w:rPr>
        <w:rFonts w:ascii="Arial" w:hAnsi="Arial" w:eastAsia="Arial" w:cs="Arial"/>
        <w:spacing w:val="-2"/>
        <w:position w:val="1"/>
        <w:sz w:val="21"/>
        <w:szCs w:val="21"/>
      </w:rPr>
      <w:t>255</w:t>
    </w:r>
  </w:p>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FA706">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256</w:t>
    </w:r>
  </w:p>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C5627">
    <w:pPr>
      <w:spacing w:line="179" w:lineRule="auto"/>
      <w:ind w:left="874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257</w:t>
    </w:r>
  </w:p>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79C3D">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258</w:t>
    </w:r>
  </w:p>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CF580">
    <w:pPr>
      <w:spacing w:line="276" w:lineRule="exact"/>
      <w:ind w:left="8819"/>
      <w:rPr>
        <w:rFonts w:ascii="Arial" w:hAnsi="Arial" w:eastAsia="Arial" w:cs="Arial"/>
        <w:sz w:val="21"/>
        <w:szCs w:val="21"/>
      </w:rPr>
    </w:pPr>
    <w:r>
      <w:rPr>
        <w:rFonts w:ascii="Arial" w:hAnsi="Arial" w:eastAsia="Arial" w:cs="Arial"/>
        <w:spacing w:val="-2"/>
        <w:position w:val="1"/>
        <w:sz w:val="21"/>
        <w:szCs w:val="21"/>
      </w:rPr>
      <w:t>259</w:t>
    </w:r>
  </w:p>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E5BDA">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260</w:t>
    </w:r>
  </w:p>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4B39A">
    <w:pPr>
      <w:spacing w:line="177" w:lineRule="auto"/>
      <w:ind w:left="874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261</w:t>
    </w:r>
  </w:p>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E3872">
    <w:pPr>
      <w:spacing w:line="178"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262</w:t>
    </w:r>
  </w:p>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AF68E">
    <w:pPr>
      <w:spacing w:line="178" w:lineRule="auto"/>
      <w:ind w:left="879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263</w:t>
    </w:r>
  </w:p>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5356D">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264</w:t>
    </w:r>
  </w:p>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2F0EB">
    <w:pPr>
      <w:spacing w:line="178" w:lineRule="auto"/>
      <w:ind w:left="87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265</w:t>
    </w:r>
  </w:p>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EADED">
    <w:pPr>
      <w:spacing w:line="178" w:lineRule="auto"/>
      <w:ind w:left="249"/>
      <w:rPr>
        <w:rFonts w:ascii="Times New Roman" w:hAnsi="Times New Roman" w:eastAsia="Times New Roman" w:cs="Times New Roman"/>
        <w:sz w:val="21"/>
        <w:szCs w:val="21"/>
      </w:rPr>
    </w:pPr>
    <w:r>
      <w:rPr>
        <w:rFonts w:ascii="Times New Roman" w:hAnsi="Times New Roman" w:eastAsia="Times New Roman" w:cs="Times New Roman"/>
        <w:b/>
        <w:bCs/>
        <w:spacing w:val="23"/>
        <w:sz w:val="21"/>
        <w:szCs w:val="21"/>
      </w:rPr>
      <w:t>2</w:t>
    </w:r>
    <w:r>
      <w:rPr>
        <w:rFonts w:ascii="Times New Roman" w:hAnsi="Times New Roman" w:eastAsia="Times New Roman" w:cs="Times New Roman"/>
        <w:spacing w:val="23"/>
        <w:sz w:val="21"/>
        <w:szCs w:val="21"/>
      </w:rPr>
      <w:t>66</w:t>
    </w:r>
  </w:p>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5EB31">
    <w:pPr>
      <w:spacing w:line="178" w:lineRule="auto"/>
      <w:ind w:left="87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267</w:t>
    </w:r>
  </w:p>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64CA7">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268</w:t>
    </w:r>
  </w:p>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7C6DA">
    <w:pPr>
      <w:spacing w:line="178" w:lineRule="auto"/>
      <w:ind w:left="876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269</w:t>
    </w:r>
  </w:p>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93C23">
    <w:pPr>
      <w:spacing w:line="179" w:lineRule="auto"/>
      <w:ind w:left="22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270</w:t>
    </w:r>
  </w:p>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AE100">
    <w:pPr>
      <w:spacing w:line="178" w:lineRule="auto"/>
      <w:ind w:left="87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271</w:t>
    </w:r>
  </w:p>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30934">
    <w:pPr>
      <w:spacing w:line="178" w:lineRule="auto"/>
      <w:ind w:left="24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272</w:t>
    </w:r>
  </w:p>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247F6">
    <w:pPr>
      <w:spacing w:line="178" w:lineRule="auto"/>
      <w:ind w:left="875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273</w:t>
    </w:r>
  </w:p>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639C8">
    <w:pPr>
      <w:spacing w:line="179" w:lineRule="auto"/>
      <w:ind w:left="19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27</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2"/>
        <w:sz w:val="23"/>
        <w:szCs w:val="23"/>
      </w:rPr>
      <w:t>4</w:t>
    </w:r>
  </w:p>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3560F">
    <w:pPr>
      <w:spacing w:line="179" w:lineRule="auto"/>
      <w:ind w:left="8780"/>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275</w:t>
    </w:r>
  </w:p>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D6FDA">
    <w:pPr>
      <w:spacing w:line="179" w:lineRule="auto"/>
      <w:ind w:left="27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276</w:t>
    </w:r>
  </w:p>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8DB96">
    <w:pPr>
      <w:spacing w:line="179" w:lineRule="auto"/>
      <w:ind w:left="878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277</w:t>
    </w:r>
  </w:p>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6F6C2">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b/>
        <w:bCs/>
        <w:spacing w:val="3"/>
        <w:sz w:val="22"/>
        <w:szCs w:val="22"/>
      </w:rPr>
      <w:t>2</w:t>
    </w:r>
    <w:r>
      <w:rPr>
        <w:rFonts w:ascii="Times New Roman" w:hAnsi="Times New Roman" w:eastAsia="Times New Roman" w:cs="Times New Roman"/>
        <w:spacing w:val="3"/>
        <w:sz w:val="22"/>
        <w:szCs w:val="22"/>
      </w:rPr>
      <w:t>78</w:t>
    </w:r>
  </w:p>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1A729">
    <w:pPr>
      <w:spacing w:line="178" w:lineRule="auto"/>
      <w:ind w:left="889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279</w:t>
    </w:r>
  </w:p>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A4672">
    <w:pPr>
      <w:spacing w:line="179" w:lineRule="auto"/>
      <w:ind w:left="20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280</w:t>
    </w:r>
  </w:p>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0C8A3">
    <w:pPr>
      <w:spacing w:line="179" w:lineRule="auto"/>
      <w:ind w:left="875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281</w:t>
    </w:r>
  </w:p>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19997">
    <w:pPr>
      <w:spacing w:line="178" w:lineRule="auto"/>
      <w:ind w:left="2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282</w:t>
    </w:r>
  </w:p>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09B1E">
    <w:pPr>
      <w:spacing w:line="178" w:lineRule="auto"/>
      <w:ind w:left="877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283</w:t>
    </w:r>
  </w:p>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04EC0">
    <w:pPr>
      <w:spacing w:line="178"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284</w:t>
    </w:r>
  </w:p>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E6310">
    <w:pPr>
      <w:spacing w:line="178" w:lineRule="auto"/>
      <w:ind w:left="874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285</w:t>
    </w:r>
  </w:p>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F59F9">
    <w:pPr>
      <w:spacing w:line="179" w:lineRule="auto"/>
      <w:ind w:left="20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286</w:t>
    </w:r>
  </w:p>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46E68">
    <w:pPr>
      <w:spacing w:line="179" w:lineRule="auto"/>
      <w:ind w:left="875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287</w:t>
    </w:r>
  </w:p>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09160">
    <w:pPr>
      <w:spacing w:line="178"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288</w:t>
    </w:r>
  </w:p>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B52FB">
    <w:pPr>
      <w:spacing w:line="179" w:lineRule="auto"/>
      <w:ind w:left="877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289</w:t>
    </w:r>
  </w:p>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61078">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290</w:t>
    </w:r>
  </w:p>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3628A">
    <w:pPr>
      <w:spacing w:line="179" w:lineRule="auto"/>
      <w:ind w:left="875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291</w:t>
    </w:r>
  </w:p>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4D811">
    <w:pPr>
      <w:pStyle w:val="2"/>
      <w:spacing w:before="1" w:line="232" w:lineRule="auto"/>
      <w:ind w:left="253"/>
    </w:pPr>
    <w:r>
      <w:rPr>
        <w:b/>
        <w:bCs/>
        <w:spacing w:val="-6"/>
      </w:rPr>
      <w:t>292</w:t>
    </w:r>
  </w:p>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9AFA3">
    <w:pPr>
      <w:spacing w:line="178" w:lineRule="auto"/>
      <w:ind w:left="875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293</w:t>
    </w:r>
  </w:p>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EB449">
    <w:pPr>
      <w:spacing w:line="180" w:lineRule="auto"/>
      <w:ind w:left="22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294</w:t>
    </w:r>
  </w:p>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F112A">
    <w:pPr>
      <w:spacing w:line="178" w:lineRule="auto"/>
      <w:ind w:left="880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295</w:t>
    </w:r>
  </w:p>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FA2EF">
    <w:pPr>
      <w:spacing w:line="180" w:lineRule="auto"/>
      <w:ind w:left="19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296</w:t>
    </w:r>
  </w:p>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62989">
    <w:pPr>
      <w:spacing w:line="179" w:lineRule="auto"/>
      <w:ind w:left="875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297</w:t>
    </w:r>
  </w:p>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55820">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298</w:t>
    </w:r>
  </w:p>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DC8E1">
    <w:pPr>
      <w:spacing w:line="179" w:lineRule="auto"/>
      <w:ind w:left="889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299</w:t>
    </w:r>
  </w:p>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21EBA">
    <w:pPr>
      <w:spacing w:line="179" w:lineRule="auto"/>
      <w:ind w:left="24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300</w:t>
    </w:r>
  </w:p>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EBE0C">
    <w:pPr>
      <w:spacing w:line="179" w:lineRule="auto"/>
      <w:ind w:left="877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301</w:t>
    </w:r>
  </w:p>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DA2C2">
    <w:pPr>
      <w:spacing w:line="178" w:lineRule="auto"/>
      <w:ind w:left="24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302</w:t>
    </w:r>
  </w:p>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B765D">
    <w:pPr>
      <w:spacing w:line="178" w:lineRule="auto"/>
      <w:ind w:left="87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303</w:t>
    </w:r>
  </w:p>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5F890">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304</w:t>
    </w:r>
  </w:p>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DEB78">
    <w:pPr>
      <w:spacing w:line="178" w:lineRule="auto"/>
      <w:ind w:left="878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305</w:t>
    </w:r>
  </w:p>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C412F">
    <w:pPr>
      <w:spacing w:line="179"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306</w:t>
    </w:r>
  </w:p>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263AA">
    <w:pPr>
      <w:spacing w:line="178" w:lineRule="auto"/>
      <w:ind w:left="873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307</w:t>
    </w:r>
  </w:p>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E12CF">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308</w:t>
    </w:r>
  </w:p>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03AE9">
    <w:pPr>
      <w:spacing w:line="178" w:lineRule="auto"/>
      <w:ind w:left="879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309</w:t>
    </w:r>
  </w:p>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5D610">
    <w:pPr>
      <w:spacing w:line="178" w:lineRule="auto"/>
      <w:ind w:left="28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310</w:t>
    </w:r>
  </w:p>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EDAFB">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311</w:t>
    </w:r>
  </w:p>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45F3A">
    <w:pPr>
      <w:spacing w:line="178" w:lineRule="auto"/>
      <w:ind w:left="26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312</w:t>
    </w:r>
  </w:p>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B273">
    <w:pPr>
      <w:spacing w:line="179" w:lineRule="auto"/>
      <w:ind w:left="876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313</w:t>
    </w:r>
  </w:p>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9BF5C">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314</w:t>
    </w:r>
  </w:p>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119A7">
    <w:pPr>
      <w:spacing w:line="262" w:lineRule="exact"/>
      <w:ind w:left="8790"/>
      <w:rPr>
        <w:rFonts w:ascii="Arial" w:hAnsi="Arial" w:eastAsia="Arial" w:cs="Arial"/>
        <w:sz w:val="20"/>
        <w:szCs w:val="20"/>
      </w:rPr>
    </w:pPr>
    <w:r>
      <w:rPr>
        <w:rFonts w:ascii="Arial" w:hAnsi="Arial" w:eastAsia="Arial" w:cs="Arial"/>
        <w:spacing w:val="-2"/>
        <w:position w:val="1"/>
        <w:sz w:val="20"/>
        <w:szCs w:val="20"/>
      </w:rPr>
      <w:t>315</w:t>
    </w:r>
  </w:p>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1F98C">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316</w:t>
    </w:r>
  </w:p>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E3398">
    <w:pPr>
      <w:spacing w:line="276" w:lineRule="exact"/>
      <w:ind w:left="8760"/>
      <w:rPr>
        <w:rFonts w:ascii="Arial" w:hAnsi="Arial" w:eastAsia="Arial" w:cs="Arial"/>
        <w:sz w:val="21"/>
        <w:szCs w:val="21"/>
      </w:rPr>
    </w:pPr>
    <w:r>
      <w:rPr>
        <w:rFonts w:ascii="Arial" w:hAnsi="Arial" w:eastAsia="Arial" w:cs="Arial"/>
        <w:spacing w:val="-2"/>
        <w:position w:val="1"/>
        <w:sz w:val="21"/>
        <w:szCs w:val="21"/>
      </w:rPr>
      <w:t>317</w:t>
    </w:r>
  </w:p>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9E047">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318</w:t>
    </w:r>
  </w:p>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04251">
    <w:pPr>
      <w:spacing w:line="179" w:lineRule="auto"/>
      <w:ind w:left="875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319</w:t>
    </w:r>
  </w:p>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22CA6">
    <w:pPr>
      <w:spacing w:line="178" w:lineRule="auto"/>
      <w:ind w:left="2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320</w:t>
    </w:r>
  </w:p>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0F9BB">
    <w:pPr>
      <w:spacing w:line="178" w:lineRule="auto"/>
      <w:ind w:left="875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 xml:space="preserve">3 </w:t>
    </w:r>
    <w:r>
      <w:rPr>
        <w:rFonts w:ascii="Times New Roman" w:hAnsi="Times New Roman" w:eastAsia="Times New Roman" w:cs="Times New Roman"/>
        <w:b/>
        <w:bCs/>
        <w:spacing w:val="-3"/>
        <w:sz w:val="21"/>
        <w:szCs w:val="21"/>
      </w:rPr>
      <w:t>21</w:t>
    </w:r>
  </w:p>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42645">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322</w:t>
    </w:r>
  </w:p>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2DF9">
    <w:pPr>
      <w:spacing w:line="178" w:lineRule="auto"/>
      <w:ind w:left="87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323</w:t>
    </w:r>
  </w:p>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42A2E">
    <w:pPr>
      <w:spacing w:line="177" w:lineRule="auto"/>
      <w:ind w:left="20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324</w:t>
    </w:r>
  </w:p>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E0313">
    <w:pPr>
      <w:spacing w:line="177" w:lineRule="auto"/>
      <w:ind w:left="880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3</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b/>
        <w:bCs/>
        <w:spacing w:val="-4"/>
        <w:sz w:val="20"/>
        <w:szCs w:val="20"/>
      </w:rPr>
      <w:t>25</w:t>
    </w:r>
  </w:p>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F80A6">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326</w:t>
    </w:r>
  </w:p>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86E20">
    <w:pPr>
      <w:spacing w:line="178" w:lineRule="auto"/>
      <w:ind w:left="878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327</w:t>
    </w:r>
  </w:p>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AE9B9">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328</w:t>
    </w:r>
  </w:p>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B866B">
    <w:pPr>
      <w:spacing w:line="178" w:lineRule="auto"/>
      <w:ind w:left="87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329</w:t>
    </w:r>
  </w:p>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533C0">
    <w:pPr>
      <w:spacing w:line="177" w:lineRule="auto"/>
      <w:ind w:left="24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330</w:t>
    </w:r>
  </w:p>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84D30">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331</w:t>
    </w:r>
  </w:p>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40CBB">
    <w:pPr>
      <w:spacing w:line="177" w:lineRule="auto"/>
      <w:ind w:left="19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332</w:t>
    </w:r>
  </w:p>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8498F">
    <w:pPr>
      <w:spacing w:line="178" w:lineRule="auto"/>
      <w:ind w:left="876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333</w:t>
    </w:r>
  </w:p>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668CF">
    <w:pPr>
      <w:spacing w:line="177" w:lineRule="auto"/>
      <w:ind w:left="28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334</w:t>
    </w:r>
  </w:p>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718C0">
    <w:pPr>
      <w:spacing w:line="262" w:lineRule="exact"/>
      <w:ind w:left="8760"/>
      <w:rPr>
        <w:rFonts w:ascii="Arial" w:hAnsi="Arial" w:eastAsia="Arial" w:cs="Arial"/>
        <w:sz w:val="20"/>
        <w:szCs w:val="20"/>
      </w:rPr>
    </w:pPr>
    <w:r>
      <w:rPr>
        <w:rFonts w:ascii="Arial" w:hAnsi="Arial" w:eastAsia="Arial" w:cs="Arial"/>
        <w:spacing w:val="-2"/>
        <w:position w:val="1"/>
        <w:sz w:val="20"/>
        <w:szCs w:val="20"/>
      </w:rPr>
      <w:t>335</w:t>
    </w:r>
  </w:p>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8F0F9">
    <w:pPr>
      <w:spacing w:line="276" w:lineRule="exact"/>
      <w:ind w:left="219"/>
      <w:rPr>
        <w:rFonts w:ascii="Arial" w:hAnsi="Arial" w:eastAsia="Arial" w:cs="Arial"/>
        <w:sz w:val="21"/>
        <w:szCs w:val="21"/>
      </w:rPr>
    </w:pPr>
    <w:r>
      <w:rPr>
        <w:rFonts w:ascii="Arial" w:hAnsi="Arial" w:eastAsia="Arial" w:cs="Arial"/>
        <w:spacing w:val="-2"/>
        <w:position w:val="1"/>
        <w:sz w:val="21"/>
        <w:szCs w:val="21"/>
      </w:rPr>
      <w:t>336</w:t>
    </w:r>
  </w:p>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21E8">
    <w:pPr>
      <w:spacing w:line="178" w:lineRule="auto"/>
      <w:ind w:left="87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337</w:t>
    </w:r>
  </w:p>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F84ED">
    <w:pPr>
      <w:pStyle w:val="2"/>
      <w:spacing w:before="1" w:line="232" w:lineRule="auto"/>
      <w:ind w:left="239"/>
    </w:pPr>
    <w:r>
      <w:rPr>
        <w:spacing w:val="-4"/>
      </w:rPr>
      <w:t>338</w:t>
    </w:r>
  </w:p>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CAA19">
    <w:pPr>
      <w:spacing w:line="178" w:lineRule="auto"/>
      <w:ind w:left="8735"/>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339</w:t>
    </w:r>
  </w:p>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69EA9">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340</w:t>
    </w:r>
  </w:p>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9FAA3">
    <w:pPr>
      <w:spacing w:line="179" w:lineRule="auto"/>
      <w:ind w:left="879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341</w:t>
    </w:r>
  </w:p>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EF1DB">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342</w:t>
    </w:r>
  </w:p>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4B1F5">
    <w:pPr>
      <w:spacing w:line="177" w:lineRule="auto"/>
      <w:ind w:left="875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343</w:t>
    </w:r>
  </w:p>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ECE8A">
    <w:pPr>
      <w:spacing w:line="177" w:lineRule="auto"/>
      <w:ind w:left="20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3</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b/>
        <w:bCs/>
        <w:spacing w:val="-4"/>
        <w:sz w:val="20"/>
        <w:szCs w:val="20"/>
      </w:rPr>
      <w:t>44</w:t>
    </w:r>
  </w:p>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C0CAE">
    <w:pPr>
      <w:spacing w:line="178" w:lineRule="auto"/>
      <w:ind w:left="882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345</w:t>
    </w:r>
  </w:p>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097C5">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346</w:t>
    </w:r>
  </w:p>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BA4BC">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347</w:t>
    </w:r>
  </w:p>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BA06A">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348</w:t>
    </w:r>
  </w:p>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BA193">
    <w:pPr>
      <w:spacing w:line="178" w:lineRule="auto"/>
      <w:ind w:left="878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349</w:t>
    </w:r>
  </w:p>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5E15E">
    <w:pPr>
      <w:spacing w:line="179" w:lineRule="auto"/>
      <w:ind w:left="40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350</w:t>
    </w:r>
  </w:p>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DF307">
    <w:pPr>
      <w:spacing w:line="178" w:lineRule="auto"/>
      <w:ind w:left="880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351</w:t>
    </w:r>
  </w:p>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65C00">
    <w:pPr>
      <w:spacing w:line="14" w:lineRule="auto"/>
      <w:rPr>
        <w:rFonts w:ascii="Arial"/>
        <w:sz w:val="2"/>
      </w:rPr>
    </w:pPr>
  </w:p>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500F6">
    <w:pPr>
      <w:spacing w:line="276" w:lineRule="exact"/>
      <w:ind w:left="8885"/>
      <w:rPr>
        <w:rFonts w:ascii="Arial" w:hAnsi="Arial" w:eastAsia="Arial" w:cs="Arial"/>
        <w:sz w:val="21"/>
        <w:szCs w:val="21"/>
      </w:rPr>
    </w:pPr>
    <w:r>
      <w:rPr>
        <w:rFonts w:ascii="Arial" w:hAnsi="Arial" w:eastAsia="Arial" w:cs="Arial"/>
        <w:spacing w:val="-2"/>
        <w:position w:val="1"/>
        <w:sz w:val="21"/>
        <w:szCs w:val="21"/>
      </w:rPr>
      <w:t>353</w:t>
    </w:r>
  </w:p>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404A4">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354</w:t>
    </w:r>
  </w:p>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A6AD6">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355</w:t>
    </w:r>
  </w:p>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F1F87">
    <w:pPr>
      <w:spacing w:line="276" w:lineRule="exact"/>
      <w:ind w:left="249"/>
      <w:rPr>
        <w:rFonts w:ascii="Arial" w:hAnsi="Arial" w:eastAsia="Arial" w:cs="Arial"/>
        <w:sz w:val="21"/>
        <w:szCs w:val="21"/>
      </w:rPr>
    </w:pPr>
    <w:r>
      <w:rPr>
        <w:rFonts w:ascii="Arial" w:hAnsi="Arial" w:eastAsia="Arial" w:cs="Arial"/>
        <w:spacing w:val="-2"/>
        <w:position w:val="1"/>
        <w:sz w:val="21"/>
        <w:szCs w:val="21"/>
      </w:rPr>
      <w:t>356</w:t>
    </w:r>
  </w:p>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5D5A1">
    <w:pPr>
      <w:spacing w:line="276" w:lineRule="exact"/>
      <w:ind w:left="8760"/>
      <w:rPr>
        <w:rFonts w:ascii="Arial" w:hAnsi="Arial" w:eastAsia="Arial" w:cs="Arial"/>
        <w:sz w:val="21"/>
        <w:szCs w:val="21"/>
      </w:rPr>
    </w:pPr>
    <w:r>
      <w:rPr>
        <w:rFonts w:ascii="Arial" w:hAnsi="Arial" w:eastAsia="Arial" w:cs="Arial"/>
        <w:spacing w:val="-2"/>
        <w:position w:val="1"/>
        <w:sz w:val="21"/>
        <w:szCs w:val="21"/>
      </w:rPr>
      <w:t>357</w:t>
    </w:r>
  </w:p>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ECC0C">
    <w:pPr>
      <w:spacing w:line="178" w:lineRule="auto"/>
      <w:ind w:left="23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358</w:t>
    </w:r>
  </w:p>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3C770">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359</w:t>
    </w:r>
  </w:p>
</w:ftr>
</file>

<file path=word/footer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D3F28">
    <w:pPr>
      <w:spacing w:line="17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360</w:t>
    </w:r>
  </w:p>
</w:ftr>
</file>

<file path=word/footer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024C0">
    <w:pPr>
      <w:spacing w:line="179" w:lineRule="auto"/>
      <w:ind w:left="881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361</w:t>
    </w:r>
  </w:p>
</w:ftr>
</file>

<file path=word/footer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5C22F">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362</w:t>
    </w:r>
  </w:p>
</w:ftr>
</file>

<file path=word/footer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E6644">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363</w:t>
    </w:r>
  </w:p>
</w:ftr>
</file>

<file path=word/footer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890AF">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364</w:t>
    </w:r>
  </w:p>
</w:ftr>
</file>

<file path=word/footer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F5F44">
    <w:pPr>
      <w:spacing w:line="276" w:lineRule="exact"/>
      <w:ind w:left="8779"/>
      <w:rPr>
        <w:rFonts w:ascii="Arial" w:hAnsi="Arial" w:eastAsia="Arial" w:cs="Arial"/>
        <w:sz w:val="21"/>
        <w:szCs w:val="21"/>
      </w:rPr>
    </w:pPr>
    <w:r>
      <w:rPr>
        <w:rFonts w:ascii="Arial" w:hAnsi="Arial" w:eastAsia="Arial" w:cs="Arial"/>
        <w:spacing w:val="-2"/>
        <w:position w:val="1"/>
        <w:sz w:val="21"/>
        <w:szCs w:val="21"/>
      </w:rPr>
      <w:t>365</w:t>
    </w:r>
  </w:p>
</w:ftr>
</file>

<file path=word/footer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742F0">
    <w:pPr>
      <w:spacing w:line="178" w:lineRule="auto"/>
      <w:ind w:left="19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366</w:t>
    </w:r>
  </w:p>
</w:ftr>
</file>

<file path=word/footer3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8350E">
    <w:pPr>
      <w:spacing w:line="177" w:lineRule="auto"/>
      <w:ind w:left="878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367</w:t>
    </w:r>
  </w:p>
</w:ftr>
</file>

<file path=word/footer3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81AAD">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368</w:t>
    </w:r>
  </w:p>
</w:ftr>
</file>

<file path=word/footer3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97F84">
    <w:pPr>
      <w:spacing w:line="262" w:lineRule="exact"/>
      <w:ind w:left="8770"/>
      <w:rPr>
        <w:rFonts w:ascii="Arial" w:hAnsi="Arial" w:eastAsia="Arial" w:cs="Arial"/>
        <w:sz w:val="20"/>
        <w:szCs w:val="20"/>
      </w:rPr>
    </w:pPr>
    <w:r>
      <w:rPr>
        <w:rFonts w:ascii="Arial" w:hAnsi="Arial" w:eastAsia="Arial" w:cs="Arial"/>
        <w:spacing w:val="-2"/>
        <w:position w:val="1"/>
        <w:sz w:val="20"/>
        <w:szCs w:val="20"/>
      </w:rPr>
      <w:t>369</w:t>
    </w:r>
  </w:p>
</w:ftr>
</file>

<file path=word/footer3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7EB8F">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370</w:t>
    </w:r>
  </w:p>
</w:ftr>
</file>

<file path=word/footer3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747FD">
    <w:pPr>
      <w:spacing w:line="178" w:lineRule="auto"/>
      <w:ind w:left="875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371</w:t>
    </w:r>
  </w:p>
</w:ftr>
</file>

<file path=word/footer3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C20C">
    <w:pPr>
      <w:spacing w:line="248" w:lineRule="exact"/>
      <w:ind w:left="249"/>
      <w:rPr>
        <w:rFonts w:ascii="Arial" w:hAnsi="Arial" w:eastAsia="Arial" w:cs="Arial"/>
        <w:sz w:val="19"/>
        <w:szCs w:val="19"/>
      </w:rPr>
    </w:pPr>
    <w:r>
      <w:rPr>
        <w:rFonts w:ascii="Arial" w:hAnsi="Arial" w:eastAsia="Arial" w:cs="Arial"/>
        <w:spacing w:val="-2"/>
        <w:position w:val="1"/>
        <w:sz w:val="19"/>
        <w:szCs w:val="19"/>
      </w:rPr>
      <w:t>372</w:t>
    </w:r>
  </w:p>
</w:ftr>
</file>

<file path=word/footer3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8052C">
    <w:pPr>
      <w:spacing w:line="178" w:lineRule="auto"/>
      <w:ind w:left="875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373</w:t>
    </w:r>
  </w:p>
</w:ftr>
</file>

<file path=word/footer3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C566A">
    <w:pPr>
      <w:spacing w:before="1" w:line="179" w:lineRule="auto"/>
      <w:ind w:left="24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374</w:t>
    </w:r>
  </w:p>
</w:ftr>
</file>

<file path=word/footer3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75E43">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375</w:t>
    </w:r>
  </w:p>
</w:ftr>
</file>

<file path=word/footer3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6C1AA">
    <w:pPr>
      <w:spacing w:line="177" w:lineRule="auto"/>
      <w:ind w:left="21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3 76</w:t>
    </w:r>
  </w:p>
</w:ftr>
</file>

<file path=word/footer3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DB1D8">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377</w:t>
    </w:r>
  </w:p>
</w:ftr>
</file>

<file path=word/footer3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DC64C">
    <w:pPr>
      <w:spacing w:line="178" w:lineRule="auto"/>
      <w:ind w:left="25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378</w:t>
    </w:r>
  </w:p>
</w:ftr>
</file>

<file path=word/footer3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A8171">
    <w:pPr>
      <w:spacing w:line="178" w:lineRule="auto"/>
      <w:ind w:left="874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379</w:t>
    </w:r>
  </w:p>
</w:ftr>
</file>

<file path=word/footer3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86509">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380</w:t>
    </w:r>
  </w:p>
</w:ftr>
</file>

<file path=word/footer3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4BA4C">
    <w:pPr>
      <w:spacing w:line="178" w:lineRule="auto"/>
      <w:ind w:left="87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381</w:t>
    </w:r>
  </w:p>
</w:ftr>
</file>

<file path=word/footer3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B603B">
    <w:pPr>
      <w:spacing w:line="178" w:lineRule="auto"/>
      <w:ind w:left="87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383</w:t>
    </w:r>
  </w:p>
</w:ftr>
</file>

<file path=word/footer3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2957A">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384</w:t>
    </w:r>
  </w:p>
</w:ftr>
</file>

<file path=word/footer3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2F35C">
    <w:pPr>
      <w:spacing w:line="178" w:lineRule="auto"/>
      <w:ind w:left="88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385</w:t>
    </w:r>
  </w:p>
</w:ftr>
</file>

<file path=word/footer3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8125C">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386</w:t>
    </w:r>
  </w:p>
</w:ftr>
</file>

<file path=word/footer3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67C12">
    <w:pPr>
      <w:spacing w:line="178" w:lineRule="auto"/>
      <w:ind w:left="876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387</w:t>
    </w:r>
  </w:p>
</w:ftr>
</file>

<file path=word/footer3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F993B">
    <w:pPr>
      <w:spacing w:line="179" w:lineRule="auto"/>
      <w:ind w:left="26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388</w:t>
    </w:r>
  </w:p>
</w:ftr>
</file>

<file path=word/footer4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4D9A0">
    <w:pPr>
      <w:spacing w:line="179" w:lineRule="auto"/>
      <w:ind w:left="876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389</w:t>
    </w:r>
  </w:p>
</w:ftr>
</file>

<file path=word/footer4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82C10">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390</w:t>
    </w:r>
  </w:p>
</w:ftr>
</file>

<file path=word/footer4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9EDA5">
    <w:pPr>
      <w:spacing w:line="178" w:lineRule="auto"/>
      <w:ind w:left="8944"/>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391</w:t>
    </w:r>
  </w:p>
</w:ftr>
</file>

<file path=word/footer4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5E98D">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392</w:t>
    </w:r>
  </w:p>
</w:ftr>
</file>

<file path=word/footer4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4FECE">
    <w:pPr>
      <w:spacing w:line="178" w:lineRule="auto"/>
      <w:ind w:left="875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393</w:t>
    </w:r>
  </w:p>
</w:ftr>
</file>

<file path=word/footer4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2B7E9">
    <w:pPr>
      <w:spacing w:line="178" w:lineRule="auto"/>
      <w:ind w:left="24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394</w:t>
    </w:r>
  </w:p>
</w:ftr>
</file>

<file path=word/footer4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CEF48">
    <w:pPr>
      <w:spacing w:line="177" w:lineRule="auto"/>
      <w:ind w:left="876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395</w:t>
    </w:r>
  </w:p>
</w:ftr>
</file>

<file path=word/footer4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C0A0">
    <w:pPr>
      <w:spacing w:line="276" w:lineRule="exact"/>
      <w:ind w:left="250"/>
      <w:rPr>
        <w:rFonts w:ascii="Arial" w:hAnsi="Arial" w:eastAsia="Arial" w:cs="Arial"/>
        <w:sz w:val="21"/>
        <w:szCs w:val="21"/>
      </w:rPr>
    </w:pPr>
    <w:r>
      <w:rPr>
        <w:rFonts w:ascii="Arial" w:hAnsi="Arial" w:eastAsia="Arial" w:cs="Arial"/>
        <w:spacing w:val="-2"/>
        <w:position w:val="1"/>
        <w:sz w:val="21"/>
        <w:szCs w:val="21"/>
      </w:rPr>
      <w:t>396</w:t>
    </w:r>
  </w:p>
</w:ftr>
</file>

<file path=word/footer4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95DD7">
    <w:pPr>
      <w:spacing w:line="178" w:lineRule="auto"/>
      <w:ind w:left="875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397</w:t>
    </w:r>
  </w:p>
</w:ftr>
</file>

<file path=word/footer4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CBEB2">
    <w:pPr>
      <w:spacing w:line="178" w:lineRule="auto"/>
      <w:ind w:left="24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398</w:t>
    </w:r>
  </w:p>
</w:ftr>
</file>

<file path=word/footer4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1FF94">
    <w:pPr>
      <w:spacing w:line="178" w:lineRule="auto"/>
      <w:ind w:left="880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399</w:t>
    </w:r>
  </w:p>
</w:ftr>
</file>

<file path=word/footer4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FC722">
    <w:pPr>
      <w:spacing w:line="276" w:lineRule="exact"/>
      <w:ind w:left="209"/>
      <w:rPr>
        <w:rFonts w:ascii="Arial" w:hAnsi="Arial" w:eastAsia="Arial" w:cs="Arial"/>
        <w:sz w:val="21"/>
        <w:szCs w:val="21"/>
      </w:rPr>
    </w:pPr>
    <w:r>
      <w:rPr>
        <w:rFonts w:ascii="Arial" w:hAnsi="Arial" w:eastAsia="Arial" w:cs="Arial"/>
        <w:spacing w:val="1"/>
        <w:position w:val="1"/>
        <w:sz w:val="21"/>
        <w:szCs w:val="21"/>
      </w:rPr>
      <w:t>400</w:t>
    </w:r>
  </w:p>
</w:ftr>
</file>

<file path=word/footer4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6EDB9">
    <w:pPr>
      <w:spacing w:line="178" w:lineRule="auto"/>
      <w:ind w:left="876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401</w:t>
    </w:r>
  </w:p>
</w:ftr>
</file>

<file path=word/footer4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4A29D">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402</w:t>
    </w:r>
  </w:p>
</w:ftr>
</file>

<file path=word/footer4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9A2D">
    <w:pPr>
      <w:spacing w:line="178" w:lineRule="auto"/>
      <w:ind w:left="87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403</w:t>
    </w:r>
  </w:p>
</w:ftr>
</file>

<file path=word/footer4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90BEE">
    <w:pPr>
      <w:spacing w:line="179" w:lineRule="auto"/>
      <w:ind w:left="20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404</w:t>
    </w:r>
  </w:p>
</w:ftr>
</file>

<file path=word/footer4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C0C78">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4</w:t>
    </w:r>
    <w:r>
      <w:rPr>
        <w:rFonts w:ascii="Times New Roman" w:hAnsi="Times New Roman" w:eastAsia="Times New Roman" w:cs="Times New Roman"/>
        <w:spacing w:val="-24"/>
        <w:sz w:val="21"/>
        <w:szCs w:val="21"/>
      </w:rPr>
      <w:t xml:space="preserve"> </w:t>
    </w:r>
    <w:r>
      <w:rPr>
        <w:rFonts w:ascii="Times New Roman" w:hAnsi="Times New Roman" w:eastAsia="Times New Roman" w:cs="Times New Roman"/>
        <w:spacing w:val="-3"/>
        <w:sz w:val="21"/>
        <w:szCs w:val="21"/>
      </w:rPr>
      <w:t>05</w:t>
    </w:r>
  </w:p>
</w:ftr>
</file>

<file path=word/footer4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589CF">
    <w:pPr>
      <w:spacing w:line="179" w:lineRule="auto"/>
      <w:ind w:left="21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406</w:t>
    </w:r>
  </w:p>
</w:ftr>
</file>

<file path=word/footer4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F579A">
    <w:pPr>
      <w:spacing w:line="178" w:lineRule="auto"/>
      <w:ind w:left="875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407</w:t>
    </w:r>
  </w:p>
</w:ftr>
</file>

<file path=word/footer4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818DC">
    <w:pPr>
      <w:spacing w:line="178" w:lineRule="auto"/>
      <w:ind w:left="2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408</w:t>
    </w:r>
  </w:p>
</w:ftr>
</file>

<file path=word/footer4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9C3A3">
    <w:pPr>
      <w:spacing w:line="17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409</w:t>
    </w:r>
  </w:p>
</w:ftr>
</file>

<file path=word/footer4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CB0D6">
    <w:pPr>
      <w:spacing w:line="179" w:lineRule="auto"/>
      <w:ind w:left="20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410</w:t>
    </w:r>
  </w:p>
</w:ftr>
</file>

<file path=word/footer4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FB815">
    <w:pPr>
      <w:spacing w:line="179" w:lineRule="auto"/>
      <w:ind w:left="87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411</w:t>
    </w:r>
  </w:p>
</w:ftr>
</file>

<file path=word/footer4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1BE26">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412</w:t>
    </w:r>
  </w:p>
</w:ftr>
</file>

<file path=word/footer4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A2608">
    <w:pPr>
      <w:spacing w:line="179" w:lineRule="auto"/>
      <w:ind w:left="874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413</w:t>
    </w:r>
  </w:p>
</w:ftr>
</file>

<file path=word/footer4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511E5">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414</w:t>
    </w:r>
  </w:p>
</w:ftr>
</file>

<file path=word/footer4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A8B15">
    <w:pPr>
      <w:spacing w:line="177" w:lineRule="auto"/>
      <w:ind w:left="87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415</w:t>
    </w:r>
  </w:p>
</w:ftr>
</file>

<file path=word/footer4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AB119">
    <w:pPr>
      <w:spacing w:line="178" w:lineRule="auto"/>
      <w:ind w:left="26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416</w:t>
    </w:r>
  </w:p>
</w:ftr>
</file>

<file path=word/footer4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13853">
    <w:pPr>
      <w:spacing w:line="178" w:lineRule="auto"/>
      <w:ind w:left="876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417</w:t>
    </w:r>
  </w:p>
</w:ftr>
</file>

<file path=word/footer4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10294">
    <w:pPr>
      <w:spacing w:line="178" w:lineRule="auto"/>
      <w:ind w:left="26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418</w:t>
    </w:r>
  </w:p>
</w:ftr>
</file>

<file path=word/footer4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248EA">
    <w:pPr>
      <w:spacing w:line="179" w:lineRule="auto"/>
      <w:ind w:left="880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419</w:t>
    </w:r>
  </w:p>
</w:ftr>
</file>

<file path=word/footer4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FFA21">
    <w:pPr>
      <w:spacing w:line="178" w:lineRule="auto"/>
      <w:ind w:left="2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420</w:t>
    </w:r>
  </w:p>
</w:ftr>
</file>

<file path=word/footer4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1214F">
    <w:pPr>
      <w:spacing w:line="177" w:lineRule="auto"/>
      <w:ind w:left="880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421</w:t>
    </w:r>
  </w:p>
</w:ftr>
</file>

<file path=word/footer4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C09E0">
    <w:pPr>
      <w:spacing w:line="177" w:lineRule="auto"/>
      <w:ind w:left="2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422</w:t>
    </w:r>
  </w:p>
</w:ftr>
</file>

<file path=word/footer4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000E9">
    <w:pPr>
      <w:spacing w:line="178" w:lineRule="auto"/>
      <w:ind w:left="88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423</w:t>
    </w:r>
  </w:p>
</w:ftr>
</file>

<file path=word/footer4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041AC">
    <w:pPr>
      <w:spacing w:line="177" w:lineRule="auto"/>
      <w:ind w:left="24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b/>
        <w:bCs/>
        <w:spacing w:val="-2"/>
        <w:sz w:val="20"/>
        <w:szCs w:val="20"/>
      </w:rPr>
      <w:t>24</w:t>
    </w:r>
  </w:p>
</w:ftr>
</file>

<file path=word/footer4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DE82F">
    <w:pPr>
      <w:spacing w:line="177" w:lineRule="auto"/>
      <w:ind w:left="878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b/>
        <w:bCs/>
        <w:spacing w:val="-2"/>
        <w:sz w:val="20"/>
        <w:szCs w:val="20"/>
      </w:rPr>
      <w:t>25</w:t>
    </w:r>
  </w:p>
</w:ftr>
</file>

<file path=word/footer4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36B57">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426</w:t>
    </w:r>
  </w:p>
</w:ftr>
</file>

<file path=word/footer4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2AF3F">
    <w:pPr>
      <w:pStyle w:val="2"/>
      <w:spacing w:before="1" w:line="232" w:lineRule="auto"/>
      <w:ind w:left="8780"/>
    </w:pPr>
    <w:r>
      <w:rPr>
        <w:spacing w:val="-3"/>
      </w:rPr>
      <w:t>427</w:t>
    </w:r>
  </w:p>
</w:ftr>
</file>

<file path=word/footer4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F7B21">
    <w:pPr>
      <w:spacing w:line="178" w:lineRule="auto"/>
      <w:ind w:left="20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428</w:t>
    </w:r>
  </w:p>
</w:ftr>
</file>

<file path=word/footer4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FAE0B">
    <w:pPr>
      <w:spacing w:line="14" w:lineRule="auto"/>
      <w:rPr>
        <w:rFonts w:ascii="Arial"/>
        <w:sz w:val="2"/>
      </w:rPr>
    </w:pPr>
  </w:p>
</w:ftr>
</file>

<file path=word/footer4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79644">
    <w:pPr>
      <w:spacing w:line="178"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430</w:t>
    </w:r>
  </w:p>
</w:ftr>
</file>

<file path=word/footer4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C98F9">
    <w:pPr>
      <w:spacing w:line="276" w:lineRule="exact"/>
      <w:ind w:left="8749"/>
      <w:rPr>
        <w:rFonts w:ascii="Arial" w:hAnsi="Arial" w:eastAsia="Arial" w:cs="Arial"/>
        <w:sz w:val="21"/>
        <w:szCs w:val="21"/>
      </w:rPr>
    </w:pPr>
    <w:r>
      <w:rPr>
        <w:rFonts w:ascii="Arial" w:hAnsi="Arial" w:eastAsia="Arial" w:cs="Arial"/>
        <w:spacing w:val="-1"/>
        <w:position w:val="1"/>
        <w:sz w:val="21"/>
        <w:szCs w:val="21"/>
      </w:rPr>
      <w:t>431</w:t>
    </w:r>
  </w:p>
</w:ftr>
</file>

<file path=word/footer4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08688">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432</w:t>
    </w:r>
  </w:p>
</w:ftr>
</file>

<file path=word/footer4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D3BF2">
    <w:pPr>
      <w:spacing w:line="178" w:lineRule="auto"/>
      <w:ind w:left="875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433</w:t>
    </w:r>
  </w:p>
</w:ftr>
</file>

<file path=word/footer4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13925">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434</w:t>
    </w:r>
  </w:p>
</w:ftr>
</file>

<file path=word/footer4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C395F">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435</w:t>
    </w:r>
  </w:p>
</w:ftr>
</file>

<file path=word/footer4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3E799">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436</w:t>
    </w:r>
  </w:p>
</w:ftr>
</file>

<file path=word/footer4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9F25B">
    <w:pPr>
      <w:spacing w:line="178" w:lineRule="auto"/>
      <w:ind w:left="87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437</w:t>
    </w:r>
  </w:p>
</w:ftr>
</file>

<file path=word/footer4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0C38E">
    <w:pPr>
      <w:spacing w:line="178"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438</w:t>
    </w:r>
  </w:p>
</w:ftr>
</file>

<file path=word/footer4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3ACF">
    <w:pPr>
      <w:spacing w:line="178" w:lineRule="auto"/>
      <w:ind w:left="879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439</w:t>
    </w:r>
  </w:p>
</w:ftr>
</file>

<file path=word/footer4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84B9B">
    <w:pPr>
      <w:spacing w:line="178" w:lineRule="auto"/>
      <w:ind w:left="21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440</w:t>
    </w:r>
  </w:p>
</w:ftr>
</file>

<file path=word/footer4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41A0A">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441</w:t>
    </w:r>
  </w:p>
</w:ftr>
</file>

<file path=word/footer4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D7442">
    <w:pPr>
      <w:spacing w:line="177" w:lineRule="auto"/>
      <w:ind w:left="23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442</w:t>
    </w:r>
  </w:p>
</w:ftr>
</file>

<file path=word/footer4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5F36A">
    <w:pPr>
      <w:pStyle w:val="2"/>
      <w:spacing w:before="1" w:line="232" w:lineRule="auto"/>
      <w:ind w:left="8760"/>
    </w:pPr>
    <w:r>
      <w:rPr>
        <w:spacing w:val="-3"/>
      </w:rPr>
      <w:t>443</w:t>
    </w:r>
  </w:p>
</w:ftr>
</file>

<file path=word/footer4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97778">
    <w:pPr>
      <w:pStyle w:val="2"/>
      <w:spacing w:line="234" w:lineRule="auto"/>
      <w:ind w:left="239"/>
    </w:pPr>
    <w:r>
      <w:rPr>
        <w:spacing w:val="-3"/>
      </w:rPr>
      <w:t>444</w:t>
    </w:r>
  </w:p>
</w:ftr>
</file>

<file path=word/footer4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F956C">
    <w:pPr>
      <w:spacing w:line="178" w:lineRule="auto"/>
      <w:ind w:left="874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445</w:t>
    </w:r>
  </w:p>
</w:ftr>
</file>

<file path=word/footer4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433EB">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446</w:t>
    </w:r>
  </w:p>
</w:ftr>
</file>

<file path=word/footer4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BFF90">
    <w:pPr>
      <w:spacing w:line="178" w:lineRule="auto"/>
      <w:ind w:left="878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447</w:t>
    </w:r>
  </w:p>
</w:ftr>
</file>

<file path=word/footer4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92ABD">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448</w:t>
    </w:r>
  </w:p>
</w:ftr>
</file>

<file path=word/footer4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F97B7">
    <w:pPr>
      <w:spacing w:line="178" w:lineRule="auto"/>
      <w:ind w:left="881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449</w:t>
    </w:r>
  </w:p>
</w:ftr>
</file>

<file path=word/footer4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C151B">
    <w:pPr>
      <w:spacing w:line="178" w:lineRule="auto"/>
      <w:ind w:left="2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450</w:t>
    </w:r>
  </w:p>
</w:ftr>
</file>

<file path=word/footer4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4AF14">
    <w:pPr>
      <w:spacing w:line="178" w:lineRule="auto"/>
      <w:ind w:left="873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451</w:t>
    </w:r>
  </w:p>
</w:ftr>
</file>

<file path=word/footer4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7A580">
    <w:pPr>
      <w:spacing w:line="178" w:lineRule="auto"/>
      <w:ind w:left="2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452</w:t>
    </w:r>
  </w:p>
</w:ftr>
</file>

<file path=word/footer4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B2476">
    <w:pPr>
      <w:spacing w:line="178" w:lineRule="auto"/>
      <w:ind w:left="87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453</w:t>
    </w:r>
  </w:p>
</w:ftr>
</file>

<file path=word/footer4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5BDEA">
    <w:pPr>
      <w:spacing w:line="262" w:lineRule="exact"/>
      <w:ind w:left="239"/>
      <w:rPr>
        <w:rFonts w:ascii="Arial" w:hAnsi="Arial" w:eastAsia="Arial" w:cs="Arial"/>
        <w:sz w:val="20"/>
        <w:szCs w:val="20"/>
      </w:rPr>
    </w:pPr>
    <w:r>
      <w:rPr>
        <w:rFonts w:ascii="Arial" w:hAnsi="Arial" w:eastAsia="Arial" w:cs="Arial"/>
        <w:spacing w:val="-1"/>
        <w:position w:val="1"/>
        <w:sz w:val="20"/>
        <w:szCs w:val="20"/>
      </w:rPr>
      <w:t>454</w:t>
    </w:r>
  </w:p>
</w:ftr>
</file>

<file path=word/footer4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17B5F">
    <w:pPr>
      <w:spacing w:line="276" w:lineRule="exact"/>
      <w:ind w:left="8829"/>
      <w:rPr>
        <w:rFonts w:ascii="Arial" w:hAnsi="Arial" w:eastAsia="Arial" w:cs="Arial"/>
        <w:sz w:val="21"/>
        <w:szCs w:val="21"/>
      </w:rPr>
    </w:pPr>
    <w:r>
      <w:rPr>
        <w:rFonts w:ascii="Arial" w:hAnsi="Arial" w:eastAsia="Arial" w:cs="Arial"/>
        <w:spacing w:val="-1"/>
        <w:position w:val="1"/>
        <w:sz w:val="21"/>
        <w:szCs w:val="21"/>
      </w:rPr>
      <w:t>455</w:t>
    </w:r>
  </w:p>
</w:ftr>
</file>

<file path=word/footer4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1FDC5">
    <w:pPr>
      <w:spacing w:line="276" w:lineRule="exact"/>
      <w:ind w:left="249"/>
      <w:rPr>
        <w:rFonts w:ascii="Arial" w:hAnsi="Arial" w:eastAsia="Arial" w:cs="Arial"/>
        <w:sz w:val="21"/>
        <w:szCs w:val="21"/>
      </w:rPr>
    </w:pPr>
    <w:r>
      <w:rPr>
        <w:rFonts w:ascii="Arial" w:hAnsi="Arial" w:eastAsia="Arial" w:cs="Arial"/>
        <w:spacing w:val="-1"/>
        <w:position w:val="1"/>
        <w:sz w:val="21"/>
        <w:szCs w:val="21"/>
      </w:rPr>
      <w:t>456</w:t>
    </w:r>
  </w:p>
</w:ftr>
</file>

<file path=word/footer4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5F98C">
    <w:pPr>
      <w:spacing w:line="303" w:lineRule="exact"/>
      <w:ind w:left="8749"/>
      <w:rPr>
        <w:rFonts w:ascii="Arial" w:hAnsi="Arial" w:eastAsia="Arial" w:cs="Arial"/>
        <w:sz w:val="23"/>
        <w:szCs w:val="23"/>
      </w:rPr>
    </w:pPr>
    <w:r>
      <w:rPr>
        <w:rFonts w:ascii="Arial" w:hAnsi="Arial" w:eastAsia="Arial" w:cs="Arial"/>
        <w:spacing w:val="-1"/>
        <w:position w:val="1"/>
        <w:sz w:val="23"/>
        <w:szCs w:val="23"/>
      </w:rPr>
      <w:t>457</w:t>
    </w:r>
  </w:p>
</w:ftr>
</file>

<file path=word/footer4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3BCD6">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458</w:t>
    </w:r>
  </w:p>
</w:ftr>
</file>

<file path=word/footer4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17787">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459</w:t>
    </w:r>
  </w:p>
</w:ftr>
</file>

<file path=word/footer4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97028">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460</w:t>
    </w:r>
  </w:p>
</w:ftr>
</file>

<file path=word/footer4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DE635">
    <w:pPr>
      <w:spacing w:line="179" w:lineRule="auto"/>
      <w:ind w:left="87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461</w:t>
    </w:r>
  </w:p>
</w:ftr>
</file>

<file path=word/footer4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65CFC">
    <w:pPr>
      <w:spacing w:line="178" w:lineRule="auto"/>
      <w:ind w:left="3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462</w:t>
    </w:r>
  </w:p>
</w:ftr>
</file>

<file path=word/footer4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F4C9A">
    <w:pPr>
      <w:spacing w:line="276" w:lineRule="exact"/>
      <w:ind w:left="8760"/>
      <w:rPr>
        <w:rFonts w:ascii="Arial" w:hAnsi="Arial" w:eastAsia="Arial" w:cs="Arial"/>
        <w:sz w:val="21"/>
        <w:szCs w:val="21"/>
      </w:rPr>
    </w:pPr>
    <w:r>
      <w:rPr>
        <w:rFonts w:ascii="Arial" w:hAnsi="Arial" w:eastAsia="Arial" w:cs="Arial"/>
        <w:spacing w:val="-1"/>
        <w:position w:val="1"/>
        <w:sz w:val="21"/>
        <w:szCs w:val="21"/>
      </w:rPr>
      <w:t>463</w:t>
    </w:r>
  </w:p>
</w:ftr>
</file>

<file path=word/footer4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B079A">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464</w:t>
    </w:r>
  </w:p>
</w:ftr>
</file>

<file path=word/footer4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13C1D">
    <w:pPr>
      <w:spacing w:line="276" w:lineRule="exact"/>
      <w:jc w:val="right"/>
      <w:rPr>
        <w:rFonts w:ascii="Arial" w:hAnsi="Arial" w:eastAsia="Arial" w:cs="Arial"/>
        <w:sz w:val="21"/>
        <w:szCs w:val="21"/>
      </w:rPr>
    </w:pPr>
    <w:r>
      <w:rPr>
        <w:rFonts w:ascii="Arial" w:hAnsi="Arial" w:eastAsia="Arial" w:cs="Arial"/>
        <w:spacing w:val="-1"/>
        <w:position w:val="1"/>
        <w:sz w:val="21"/>
        <w:szCs w:val="21"/>
      </w:rPr>
      <w:t>465</w:t>
    </w:r>
  </w:p>
</w:ftr>
</file>

<file path=word/footer4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4AF53">
    <w:pPr>
      <w:spacing w:line="358" w:lineRule="exact"/>
      <w:ind w:left="220"/>
      <w:rPr>
        <w:rFonts w:ascii="Arial" w:hAnsi="Arial" w:eastAsia="Arial" w:cs="Arial"/>
        <w:sz w:val="27"/>
        <w:szCs w:val="27"/>
      </w:rPr>
    </w:pPr>
    <w:r>
      <w:rPr>
        <w:rFonts w:ascii="Arial" w:hAnsi="Arial" w:eastAsia="Arial" w:cs="Arial"/>
        <w:spacing w:val="-7"/>
        <w:position w:val="1"/>
        <w:sz w:val="27"/>
        <w:szCs w:val="27"/>
      </w:rPr>
      <w:t>466</w:t>
    </w:r>
  </w:p>
</w:ftr>
</file>

<file path=word/footer4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3F45B">
    <w:pPr>
      <w:spacing w:line="276" w:lineRule="exact"/>
      <w:ind w:left="8780"/>
      <w:rPr>
        <w:rFonts w:ascii="Arial" w:hAnsi="Arial" w:eastAsia="Arial" w:cs="Arial"/>
        <w:sz w:val="21"/>
        <w:szCs w:val="21"/>
      </w:rPr>
    </w:pPr>
    <w:r>
      <w:rPr>
        <w:rFonts w:ascii="Arial" w:hAnsi="Arial" w:eastAsia="Arial" w:cs="Arial"/>
        <w:spacing w:val="-1"/>
        <w:position w:val="1"/>
        <w:sz w:val="21"/>
        <w:szCs w:val="21"/>
      </w:rPr>
      <w:t>467</w:t>
    </w:r>
  </w:p>
</w:ftr>
</file>

<file path=word/footer4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4853C">
    <w:pPr>
      <w:spacing w:line="179" w:lineRule="auto"/>
      <w:ind w:left="2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468</w:t>
    </w:r>
  </w:p>
</w:ftr>
</file>

<file path=word/footer4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D0F85">
    <w:pPr>
      <w:spacing w:line="179" w:lineRule="auto"/>
      <w:ind w:left="87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469</w:t>
    </w:r>
  </w:p>
</w:ftr>
</file>

<file path=word/footer4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04B67">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470</w:t>
    </w:r>
  </w:p>
</w:ftr>
</file>

<file path=word/footer4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A69E3">
    <w:pPr>
      <w:spacing w:line="178" w:lineRule="auto"/>
      <w:ind w:left="876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471</w:t>
    </w:r>
  </w:p>
</w:ftr>
</file>

<file path=word/footer4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A4DBE">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472</w:t>
    </w:r>
  </w:p>
</w:ftr>
</file>

<file path=word/footer4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EDBEB">
    <w:pPr>
      <w:spacing w:line="178" w:lineRule="auto"/>
      <w:ind w:left="876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473</w:t>
    </w:r>
  </w:p>
</w:ftr>
</file>

<file path=word/footer4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FF5C7">
    <w:pPr>
      <w:spacing w:line="179" w:lineRule="auto"/>
      <w:ind w:left="24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474</w:t>
    </w:r>
  </w:p>
</w:ftr>
</file>

<file path=word/footer4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2BB27">
    <w:pPr>
      <w:spacing w:line="276" w:lineRule="exact"/>
      <w:ind w:left="8770"/>
      <w:rPr>
        <w:rFonts w:ascii="Arial" w:hAnsi="Arial" w:eastAsia="Arial" w:cs="Arial"/>
        <w:sz w:val="21"/>
        <w:szCs w:val="21"/>
      </w:rPr>
    </w:pPr>
    <w:r>
      <w:rPr>
        <w:rFonts w:ascii="Arial" w:hAnsi="Arial" w:eastAsia="Arial" w:cs="Arial"/>
        <w:spacing w:val="-1"/>
        <w:position w:val="1"/>
        <w:sz w:val="21"/>
        <w:szCs w:val="21"/>
      </w:rPr>
      <w:t>475</w:t>
    </w:r>
  </w:p>
</w:ftr>
</file>

<file path=word/footer4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19528">
    <w:pPr>
      <w:spacing w:line="179" w:lineRule="auto"/>
      <w:ind w:left="21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476</w:t>
    </w:r>
  </w:p>
</w:ftr>
</file>

<file path=word/footer4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62027">
    <w:pPr>
      <w:spacing w:line="186" w:lineRule="auto"/>
      <w:ind w:left="8770"/>
      <w:rPr>
        <w:rFonts w:ascii="Arial" w:hAnsi="Arial" w:eastAsia="Arial" w:cs="Arial"/>
        <w:sz w:val="23"/>
        <w:szCs w:val="23"/>
      </w:rPr>
    </w:pPr>
    <w:r>
      <w:rPr>
        <w:rFonts w:ascii="Arial" w:hAnsi="Arial" w:eastAsia="Arial" w:cs="Arial"/>
        <w:spacing w:val="-1"/>
        <w:sz w:val="23"/>
        <w:szCs w:val="23"/>
      </w:rPr>
      <w:t>477</w:t>
    </w:r>
  </w:p>
</w:ftr>
</file>

<file path=word/footer4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BA35F">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478</w:t>
    </w:r>
  </w:p>
</w:ftr>
</file>

<file path=word/footer4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4333A">
    <w:pPr>
      <w:spacing w:line="178" w:lineRule="auto"/>
      <w:ind w:left="87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479</w:t>
    </w:r>
  </w:p>
</w:ftr>
</file>

<file path=word/footer4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1E666">
    <w:pPr>
      <w:spacing w:line="179" w:lineRule="auto"/>
      <w:ind w:left="21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480</w:t>
    </w:r>
  </w:p>
</w:ftr>
</file>

<file path=word/footer4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2DD09">
    <w:pPr>
      <w:spacing w:line="178" w:lineRule="auto"/>
      <w:ind w:left="876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481</w:t>
    </w:r>
  </w:p>
</w:ftr>
</file>

<file path=word/footer4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93B8A">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482</w:t>
    </w:r>
  </w:p>
</w:ftr>
</file>

<file path=word/footer4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10D2D">
    <w:pPr>
      <w:spacing w:line="178" w:lineRule="auto"/>
      <w:ind w:left="876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483</w:t>
    </w:r>
  </w:p>
</w:ftr>
</file>

<file path=word/footer4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1FA6D">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484</w:t>
    </w:r>
  </w:p>
</w:ftr>
</file>

<file path=word/footer4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F3496">
    <w:pPr>
      <w:spacing w:line="178" w:lineRule="auto"/>
      <w:ind w:left="87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485</w:t>
    </w:r>
  </w:p>
</w:ftr>
</file>

<file path=word/footer4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F0101">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486</w:t>
    </w:r>
  </w:p>
</w:ftr>
</file>

<file path=word/footer4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B6814">
    <w:pPr>
      <w:spacing w:line="179" w:lineRule="auto"/>
      <w:ind w:left="8705"/>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487</w:t>
    </w:r>
  </w:p>
</w:ftr>
</file>

<file path=word/footer4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7EE5">
    <w:pPr>
      <w:spacing w:line="179" w:lineRule="auto"/>
      <w:ind w:left="154"/>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488</w:t>
    </w:r>
  </w:p>
</w:ftr>
</file>

<file path=word/footer5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38FAD">
    <w:pPr>
      <w:spacing w:line="179" w:lineRule="auto"/>
      <w:ind w:left="878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489</w:t>
    </w:r>
  </w:p>
</w:ftr>
</file>

<file path=word/footer5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56CCE">
    <w:pPr>
      <w:spacing w:line="179" w:lineRule="auto"/>
      <w:ind w:left="16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490</w:t>
    </w:r>
  </w:p>
</w:ftr>
</file>

<file path=word/footer5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F7CCC">
    <w:pPr>
      <w:spacing w:line="179" w:lineRule="auto"/>
      <w:ind w:left="875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491</w:t>
    </w:r>
  </w:p>
</w:ftr>
</file>

<file path=word/footer5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8F44F">
    <w:pPr>
      <w:spacing w:line="177" w:lineRule="auto"/>
      <w:ind w:left="21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492</w:t>
    </w:r>
  </w:p>
</w:ftr>
</file>

<file path=word/footer5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B2C67">
    <w:pPr>
      <w:spacing w:line="178" w:lineRule="auto"/>
      <w:ind w:left="875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493</w:t>
    </w:r>
  </w:p>
</w:ftr>
</file>

<file path=word/footer5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0ACF7">
    <w:pPr>
      <w:spacing w:line="178" w:lineRule="auto"/>
      <w:ind w:left="25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494</w:t>
    </w:r>
  </w:p>
</w:ftr>
</file>

<file path=word/footer5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88192">
    <w:pPr>
      <w:spacing w:line="276" w:lineRule="exact"/>
      <w:ind w:left="8770"/>
      <w:rPr>
        <w:rFonts w:ascii="Arial" w:hAnsi="Arial" w:eastAsia="Arial" w:cs="Arial"/>
        <w:sz w:val="21"/>
        <w:szCs w:val="21"/>
      </w:rPr>
    </w:pPr>
    <w:r>
      <w:rPr>
        <w:rFonts w:ascii="Arial" w:hAnsi="Arial" w:eastAsia="Arial" w:cs="Arial"/>
        <w:spacing w:val="-1"/>
        <w:position w:val="1"/>
        <w:sz w:val="21"/>
        <w:szCs w:val="21"/>
      </w:rPr>
      <w:t>495</w:t>
    </w:r>
  </w:p>
</w:ftr>
</file>

<file path=word/footer5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8E67E">
    <w:pPr>
      <w:spacing w:line="303" w:lineRule="exact"/>
      <w:ind w:left="199"/>
      <w:rPr>
        <w:rFonts w:ascii="Arial" w:hAnsi="Arial" w:eastAsia="Arial" w:cs="Arial"/>
        <w:sz w:val="23"/>
        <w:szCs w:val="23"/>
      </w:rPr>
    </w:pPr>
    <w:r>
      <w:rPr>
        <w:rFonts w:ascii="Arial" w:hAnsi="Arial" w:eastAsia="Arial" w:cs="Arial"/>
        <w:spacing w:val="-1"/>
        <w:position w:val="1"/>
        <w:sz w:val="23"/>
        <w:szCs w:val="23"/>
      </w:rPr>
      <w:t>496</w:t>
    </w:r>
  </w:p>
</w:ftr>
</file>

<file path=word/footer5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B5131">
    <w:pPr>
      <w:spacing w:line="303" w:lineRule="exact"/>
      <w:ind w:left="8760"/>
      <w:rPr>
        <w:rFonts w:ascii="Arial" w:hAnsi="Arial" w:eastAsia="Arial" w:cs="Arial"/>
        <w:sz w:val="23"/>
        <w:szCs w:val="23"/>
      </w:rPr>
    </w:pPr>
    <w:r>
      <w:rPr>
        <w:rFonts w:ascii="Arial" w:hAnsi="Arial" w:eastAsia="Arial" w:cs="Arial"/>
        <w:spacing w:val="-1"/>
        <w:position w:val="1"/>
        <w:sz w:val="23"/>
        <w:szCs w:val="23"/>
      </w:rPr>
      <w:t>497</w:t>
    </w:r>
  </w:p>
</w:ftr>
</file>

<file path=word/footer5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B1A3A">
    <w:pPr>
      <w:spacing w:line="178"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498</w:t>
    </w:r>
  </w:p>
</w:ftr>
</file>

<file path=word/footer5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316FC">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499</w:t>
    </w:r>
  </w:p>
</w:ftr>
</file>

<file path=word/footer5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D548F">
    <w:pPr>
      <w:spacing w:line="179" w:lineRule="auto"/>
      <w:ind w:left="26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500</w:t>
    </w:r>
  </w:p>
</w:ftr>
</file>

<file path=word/footer5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179DA">
    <w:pPr>
      <w:spacing w:line="262" w:lineRule="exact"/>
      <w:ind w:left="8799"/>
      <w:rPr>
        <w:rFonts w:ascii="Arial" w:hAnsi="Arial" w:eastAsia="Arial" w:cs="Arial"/>
        <w:sz w:val="20"/>
        <w:szCs w:val="20"/>
      </w:rPr>
    </w:pPr>
    <w:r>
      <w:rPr>
        <w:rFonts w:ascii="Arial" w:hAnsi="Arial" w:eastAsia="Arial" w:cs="Arial"/>
        <w:spacing w:val="-2"/>
        <w:position w:val="1"/>
        <w:sz w:val="20"/>
        <w:szCs w:val="20"/>
      </w:rPr>
      <w:t>501</w:t>
    </w:r>
  </w:p>
</w:ftr>
</file>

<file path=word/footer5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90A97">
    <w:pPr>
      <w:spacing w:line="178" w:lineRule="auto"/>
      <w:ind w:left="25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502</w:t>
    </w:r>
  </w:p>
</w:ftr>
</file>

<file path=word/footer5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0B410">
    <w:pPr>
      <w:spacing w:line="178" w:lineRule="auto"/>
      <w:ind w:left="879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503</w:t>
    </w:r>
  </w:p>
</w:ftr>
</file>

<file path=word/footer5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A845A">
    <w:pPr>
      <w:spacing w:line="177" w:lineRule="auto"/>
      <w:ind w:left="24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504</w:t>
    </w:r>
  </w:p>
</w:ftr>
</file>

<file path=word/footer5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D3146">
    <w:pPr>
      <w:spacing w:line="178" w:lineRule="auto"/>
      <w:ind w:left="880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505</w:t>
    </w:r>
  </w:p>
</w:ftr>
</file>

<file path=word/footer5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20A88">
    <w:pPr>
      <w:spacing w:line="179" w:lineRule="auto"/>
      <w:ind w:left="25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506</w:t>
    </w:r>
  </w:p>
</w:ftr>
</file>

<file path=word/footer5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B630E">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507</w:t>
    </w:r>
  </w:p>
</w:ftr>
</file>

<file path=word/footer5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8017B">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508</w:t>
    </w:r>
  </w:p>
</w:ftr>
</file>

<file path=word/footer5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50E2">
    <w:pPr>
      <w:spacing w:line="178" w:lineRule="auto"/>
      <w:ind w:left="877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509</w:t>
    </w:r>
  </w:p>
</w:ftr>
</file>

<file path=word/footer5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CCEB1">
    <w:pPr>
      <w:spacing w:line="289" w:lineRule="exact"/>
      <w:ind w:left="209"/>
      <w:rPr>
        <w:rFonts w:ascii="Arial" w:hAnsi="Arial" w:eastAsia="Arial" w:cs="Arial"/>
        <w:sz w:val="22"/>
        <w:szCs w:val="22"/>
      </w:rPr>
    </w:pPr>
    <w:r>
      <w:rPr>
        <w:rFonts w:ascii="Arial" w:hAnsi="Arial" w:eastAsia="Arial" w:cs="Arial"/>
        <w:spacing w:val="2"/>
        <w:position w:val="1"/>
        <w:sz w:val="22"/>
        <w:szCs w:val="22"/>
      </w:rPr>
      <w:t>510</w:t>
    </w:r>
  </w:p>
</w:ftr>
</file>

<file path=word/footer5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B5BA">
    <w:pPr>
      <w:spacing w:line="178" w:lineRule="auto"/>
      <w:ind w:left="878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511</w:t>
    </w:r>
  </w:p>
</w:ftr>
</file>

<file path=word/footer5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4BFD6">
    <w:pPr>
      <w:spacing w:line="178"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512</w:t>
    </w:r>
  </w:p>
</w:ftr>
</file>

<file path=word/footer5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075CB">
    <w:pPr>
      <w:spacing w:line="178" w:lineRule="auto"/>
      <w:ind w:left="882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513</w:t>
    </w:r>
  </w:p>
</w:ftr>
</file>

<file path=word/footer5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0599A">
    <w:pPr>
      <w:spacing w:line="178" w:lineRule="auto"/>
      <w:ind w:left="22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514</w:t>
    </w:r>
  </w:p>
</w:ftr>
</file>

<file path=word/footer5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46973">
    <w:pPr>
      <w:spacing w:line="276" w:lineRule="exact"/>
      <w:ind w:left="8820"/>
      <w:rPr>
        <w:rFonts w:ascii="Arial" w:hAnsi="Arial" w:eastAsia="Arial" w:cs="Arial"/>
        <w:sz w:val="21"/>
        <w:szCs w:val="21"/>
      </w:rPr>
    </w:pPr>
    <w:r>
      <w:rPr>
        <w:rFonts w:ascii="Arial" w:hAnsi="Arial" w:eastAsia="Arial" w:cs="Arial"/>
        <w:spacing w:val="-2"/>
        <w:position w:val="1"/>
        <w:sz w:val="21"/>
        <w:szCs w:val="21"/>
      </w:rPr>
      <w:t>515</w:t>
    </w:r>
  </w:p>
</w:ftr>
</file>

<file path=word/footer5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A5271">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516</w:t>
    </w:r>
  </w:p>
</w:ftr>
</file>

<file path=word/footer5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C1DE6">
    <w:pPr>
      <w:spacing w:line="178" w:lineRule="auto"/>
      <w:ind w:left="881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517</w:t>
    </w:r>
  </w:p>
</w:ftr>
</file>

<file path=word/footer5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91288">
    <w:pPr>
      <w:spacing w:line="179" w:lineRule="auto"/>
      <w:ind w:left="26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518</w:t>
    </w:r>
  </w:p>
</w:ftr>
</file>

<file path=word/footer5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0E582">
    <w:pPr>
      <w:spacing w:line="179" w:lineRule="auto"/>
      <w:ind w:left="879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519</w:t>
    </w:r>
  </w:p>
</w:ftr>
</file>

<file path=word/footer5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1ED9E">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520</w:t>
    </w:r>
  </w:p>
</w:ftr>
</file>

<file path=word/footer5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8CB2A">
    <w:pPr>
      <w:spacing w:line="178" w:lineRule="auto"/>
      <w:ind w:left="87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521</w:t>
    </w:r>
  </w:p>
</w:ftr>
</file>

<file path=word/footer5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1DDA6">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522</w:t>
    </w:r>
  </w:p>
</w:ftr>
</file>

<file path=word/footer5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3B746">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523</w:t>
    </w:r>
  </w:p>
</w:ftr>
</file>

<file path=word/footer5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A37C5">
    <w:pPr>
      <w:spacing w:line="17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524</w:t>
    </w:r>
  </w:p>
</w:ftr>
</file>

<file path=word/footer5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B2127">
    <w:pPr>
      <w:spacing w:line="276" w:lineRule="exact"/>
      <w:ind w:left="8760"/>
      <w:rPr>
        <w:rFonts w:ascii="Arial" w:hAnsi="Arial" w:eastAsia="Arial" w:cs="Arial"/>
        <w:sz w:val="21"/>
        <w:szCs w:val="21"/>
      </w:rPr>
    </w:pPr>
    <w:r>
      <w:rPr>
        <w:rFonts w:ascii="Arial" w:hAnsi="Arial" w:eastAsia="Arial" w:cs="Arial"/>
        <w:spacing w:val="-2"/>
        <w:position w:val="1"/>
        <w:sz w:val="21"/>
        <w:szCs w:val="21"/>
      </w:rPr>
      <w:t>525</w:t>
    </w:r>
  </w:p>
</w:ftr>
</file>

<file path=word/footer5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2FC55">
    <w:pPr>
      <w:spacing w:line="276" w:lineRule="exact"/>
      <w:ind w:left="250"/>
      <w:rPr>
        <w:rFonts w:ascii="Arial" w:hAnsi="Arial" w:eastAsia="Arial" w:cs="Arial"/>
        <w:sz w:val="21"/>
        <w:szCs w:val="21"/>
      </w:rPr>
    </w:pPr>
    <w:r>
      <w:rPr>
        <w:rFonts w:ascii="Arial" w:hAnsi="Arial" w:eastAsia="Arial" w:cs="Arial"/>
        <w:spacing w:val="-4"/>
        <w:position w:val="1"/>
        <w:sz w:val="21"/>
        <w:szCs w:val="21"/>
      </w:rPr>
      <w:t>5</w:t>
    </w:r>
    <w:r>
      <w:rPr>
        <w:rFonts w:ascii="Arial" w:hAnsi="Arial" w:eastAsia="Arial" w:cs="Arial"/>
        <w:spacing w:val="-27"/>
        <w:position w:val="1"/>
        <w:sz w:val="21"/>
        <w:szCs w:val="21"/>
      </w:rPr>
      <w:t xml:space="preserve"> </w:t>
    </w:r>
    <w:r>
      <w:rPr>
        <w:rFonts w:ascii="Arial" w:hAnsi="Arial" w:eastAsia="Arial" w:cs="Arial"/>
        <w:spacing w:val="-4"/>
        <w:position w:val="1"/>
        <w:sz w:val="21"/>
        <w:szCs w:val="21"/>
      </w:rPr>
      <w:t>26</w:t>
    </w:r>
  </w:p>
</w:ftr>
</file>

<file path=word/footer5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37823">
    <w:pPr>
      <w:spacing w:line="178" w:lineRule="auto"/>
      <w:ind w:left="878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527</w:t>
    </w:r>
  </w:p>
</w:ftr>
</file>

<file path=word/footer5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B3AAB">
    <w:pPr>
      <w:spacing w:line="276" w:lineRule="exact"/>
      <w:ind w:left="239"/>
      <w:rPr>
        <w:rFonts w:ascii="Arial" w:hAnsi="Arial" w:eastAsia="Arial" w:cs="Arial"/>
        <w:sz w:val="21"/>
        <w:szCs w:val="21"/>
      </w:rPr>
    </w:pPr>
    <w:r>
      <w:rPr>
        <w:rFonts w:ascii="Arial" w:hAnsi="Arial" w:eastAsia="Arial" w:cs="Arial"/>
        <w:spacing w:val="-2"/>
        <w:position w:val="1"/>
        <w:sz w:val="21"/>
        <w:szCs w:val="21"/>
      </w:rPr>
      <w:t>528</w:t>
    </w:r>
  </w:p>
</w:ftr>
</file>

<file path=word/footer5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A1DD9">
    <w:pPr>
      <w:spacing w:line="178" w:lineRule="auto"/>
      <w:ind w:left="87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529</w:t>
    </w:r>
  </w:p>
</w:ftr>
</file>

<file path=word/footer5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7FA06">
    <w:pPr>
      <w:spacing w:line="276" w:lineRule="exact"/>
      <w:ind w:left="219"/>
      <w:rPr>
        <w:rFonts w:ascii="Arial" w:hAnsi="Arial" w:eastAsia="Arial" w:cs="Arial"/>
        <w:sz w:val="21"/>
        <w:szCs w:val="21"/>
      </w:rPr>
    </w:pPr>
    <w:r>
      <w:rPr>
        <w:rFonts w:ascii="Arial" w:hAnsi="Arial" w:eastAsia="Arial" w:cs="Arial"/>
        <w:spacing w:val="-2"/>
        <w:position w:val="1"/>
        <w:sz w:val="21"/>
        <w:szCs w:val="21"/>
      </w:rPr>
      <w:t>530</w:t>
    </w:r>
  </w:p>
</w:ftr>
</file>

<file path=word/footer5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AE755">
    <w:pPr>
      <w:spacing w:line="248" w:lineRule="exact"/>
      <w:ind w:left="8799"/>
      <w:rPr>
        <w:rFonts w:ascii="Arial" w:hAnsi="Arial" w:eastAsia="Arial" w:cs="Arial"/>
        <w:sz w:val="19"/>
        <w:szCs w:val="19"/>
      </w:rPr>
    </w:pPr>
    <w:r>
      <w:rPr>
        <w:rFonts w:ascii="Arial" w:hAnsi="Arial" w:eastAsia="Arial" w:cs="Arial"/>
        <w:spacing w:val="-2"/>
        <w:position w:val="1"/>
        <w:sz w:val="19"/>
        <w:szCs w:val="19"/>
      </w:rPr>
      <w:t>531</w:t>
    </w:r>
  </w:p>
</w:ftr>
</file>

<file path=word/footer5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96EC5">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532</w:t>
    </w:r>
  </w:p>
</w:ftr>
</file>

<file path=word/footer5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9FC64">
    <w:pPr>
      <w:spacing w:line="178" w:lineRule="auto"/>
      <w:ind w:left="879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533</w:t>
    </w:r>
  </w:p>
</w:ftr>
</file>

<file path=word/footer5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A7103">
    <w:pPr>
      <w:spacing w:line="248" w:lineRule="exact"/>
      <w:ind w:left="239"/>
      <w:rPr>
        <w:rFonts w:ascii="Arial" w:hAnsi="Arial" w:eastAsia="Arial" w:cs="Arial"/>
        <w:sz w:val="19"/>
        <w:szCs w:val="19"/>
      </w:rPr>
    </w:pPr>
    <w:r>
      <w:rPr>
        <w:rFonts w:ascii="Arial" w:hAnsi="Arial" w:eastAsia="Arial" w:cs="Arial"/>
        <w:spacing w:val="-2"/>
        <w:position w:val="1"/>
        <w:sz w:val="19"/>
        <w:szCs w:val="19"/>
      </w:rPr>
      <w:t>534</w:t>
    </w:r>
  </w:p>
</w:ftr>
</file>

<file path=word/footer5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9CE72">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535</w:t>
    </w:r>
  </w:p>
</w:ftr>
</file>

<file path=word/footer5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8F959">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536</w:t>
    </w:r>
  </w:p>
</w:ftr>
</file>

<file path=word/footer5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A4C6D">
    <w:pPr>
      <w:spacing w:line="178" w:lineRule="auto"/>
      <w:ind w:left="877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537</w:t>
    </w:r>
  </w:p>
</w:ftr>
</file>

<file path=word/footer5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AEF6D">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538</w:t>
    </w:r>
  </w:p>
</w:ftr>
</file>

<file path=word/footer5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099F3">
    <w:pPr>
      <w:spacing w:line="276" w:lineRule="exact"/>
      <w:ind w:left="8779"/>
      <w:rPr>
        <w:rFonts w:ascii="Arial" w:hAnsi="Arial" w:eastAsia="Arial" w:cs="Arial"/>
        <w:sz w:val="21"/>
        <w:szCs w:val="21"/>
      </w:rPr>
    </w:pPr>
    <w:r>
      <w:rPr>
        <w:rFonts w:ascii="Arial" w:hAnsi="Arial" w:eastAsia="Arial" w:cs="Arial"/>
        <w:spacing w:val="-2"/>
        <w:position w:val="1"/>
        <w:sz w:val="21"/>
        <w:szCs w:val="21"/>
      </w:rPr>
      <w:t>539</w:t>
    </w:r>
  </w:p>
</w:ftr>
</file>

<file path=word/footer5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BB574">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540</w:t>
    </w:r>
  </w:p>
</w:ftr>
</file>

<file path=word/footer5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F5924">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541</w:t>
    </w:r>
  </w:p>
</w:ftr>
</file>

<file path=word/footer5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EE946">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542</w:t>
    </w:r>
  </w:p>
</w:ftr>
</file>

<file path=word/footer5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22D33">
    <w:pPr>
      <w:spacing w:line="262" w:lineRule="exact"/>
      <w:ind w:left="8760"/>
      <w:rPr>
        <w:rFonts w:ascii="Arial" w:hAnsi="Arial" w:eastAsia="Arial" w:cs="Arial"/>
        <w:sz w:val="20"/>
        <w:szCs w:val="20"/>
      </w:rPr>
    </w:pPr>
    <w:r>
      <w:rPr>
        <w:rFonts w:ascii="Arial" w:hAnsi="Arial" w:eastAsia="Arial" w:cs="Arial"/>
        <w:spacing w:val="-2"/>
        <w:position w:val="1"/>
        <w:sz w:val="20"/>
        <w:szCs w:val="20"/>
      </w:rPr>
      <w:t>543</w:t>
    </w:r>
  </w:p>
</w:ftr>
</file>

<file path=word/footer5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492DB">
    <w:pPr>
      <w:spacing w:line="262" w:lineRule="exact"/>
      <w:ind w:left="239"/>
      <w:rPr>
        <w:rFonts w:ascii="Arial" w:hAnsi="Arial" w:eastAsia="Arial" w:cs="Arial"/>
        <w:sz w:val="20"/>
        <w:szCs w:val="20"/>
      </w:rPr>
    </w:pPr>
    <w:r>
      <w:rPr>
        <w:rFonts w:ascii="Arial" w:hAnsi="Arial" w:eastAsia="Arial" w:cs="Arial"/>
        <w:spacing w:val="2"/>
        <w:position w:val="1"/>
        <w:sz w:val="20"/>
        <w:szCs w:val="20"/>
      </w:rPr>
      <w:t>544</w:t>
    </w:r>
  </w:p>
</w:ftr>
</file>

<file path=word/footer5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417F3">
    <w:pPr>
      <w:spacing w:line="178" w:lineRule="auto"/>
      <w:ind w:left="880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545</w:t>
    </w:r>
  </w:p>
</w:ftr>
</file>

<file path=word/footer5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2BC4C">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546</w:t>
    </w:r>
  </w:p>
</w:ftr>
</file>

<file path=word/footer5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7AAC9">
    <w:pPr>
      <w:spacing w:line="262" w:lineRule="exact"/>
      <w:ind w:left="8790"/>
      <w:rPr>
        <w:rFonts w:ascii="Arial" w:hAnsi="Arial" w:eastAsia="Arial" w:cs="Arial"/>
        <w:sz w:val="20"/>
        <w:szCs w:val="20"/>
      </w:rPr>
    </w:pPr>
    <w:r>
      <w:rPr>
        <w:rFonts w:ascii="Arial" w:hAnsi="Arial" w:eastAsia="Arial" w:cs="Arial"/>
        <w:spacing w:val="-2"/>
        <w:position w:val="1"/>
        <w:sz w:val="20"/>
        <w:szCs w:val="20"/>
      </w:rPr>
      <w:t>547</w:t>
    </w:r>
  </w:p>
</w:ftr>
</file>

<file path=word/footer5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1B11F">
    <w:pPr>
      <w:spacing w:line="178" w:lineRule="auto"/>
      <w:ind w:left="27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548</w:t>
    </w:r>
  </w:p>
</w:ftr>
</file>

<file path=word/footer5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5459C">
    <w:pPr>
      <w:spacing w:line="177" w:lineRule="auto"/>
      <w:ind w:left="885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549</w:t>
    </w:r>
  </w:p>
</w:ftr>
</file>

<file path=word/footer5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1884C">
    <w:pPr>
      <w:spacing w:line="179" w:lineRule="auto"/>
      <w:ind w:left="20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550</w:t>
    </w:r>
  </w:p>
</w:ftr>
</file>

<file path=word/footer5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E4E83">
    <w:pPr>
      <w:spacing w:line="178" w:lineRule="auto"/>
      <w:ind w:left="881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551</w:t>
    </w:r>
  </w:p>
</w:ftr>
</file>

<file path=word/footer5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34EF1">
    <w:pPr>
      <w:spacing w:line="276" w:lineRule="exact"/>
      <w:ind w:left="229"/>
      <w:rPr>
        <w:rFonts w:ascii="Arial" w:hAnsi="Arial" w:eastAsia="Arial" w:cs="Arial"/>
        <w:sz w:val="21"/>
        <w:szCs w:val="21"/>
      </w:rPr>
    </w:pPr>
    <w:r>
      <w:rPr>
        <w:rFonts w:ascii="Arial" w:hAnsi="Arial" w:eastAsia="Arial" w:cs="Arial"/>
        <w:spacing w:val="-2"/>
        <w:position w:val="1"/>
        <w:sz w:val="21"/>
        <w:szCs w:val="21"/>
      </w:rPr>
      <w:t>552</w:t>
    </w:r>
  </w:p>
</w:ftr>
</file>

<file path=word/footer5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976A4">
    <w:pPr>
      <w:spacing w:line="276" w:lineRule="exact"/>
      <w:ind w:left="8819"/>
      <w:rPr>
        <w:rFonts w:ascii="Arial" w:hAnsi="Arial" w:eastAsia="Arial" w:cs="Arial"/>
        <w:sz w:val="21"/>
        <w:szCs w:val="21"/>
      </w:rPr>
    </w:pPr>
    <w:r>
      <w:rPr>
        <w:rFonts w:ascii="Arial" w:hAnsi="Arial" w:eastAsia="Arial" w:cs="Arial"/>
        <w:spacing w:val="-2"/>
        <w:position w:val="1"/>
        <w:sz w:val="21"/>
        <w:szCs w:val="21"/>
      </w:rPr>
      <w:t>553</w:t>
    </w:r>
  </w:p>
</w:ftr>
</file>

<file path=word/footer5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5FD28">
    <w:pPr>
      <w:spacing w:line="178" w:lineRule="auto"/>
      <w:ind w:left="23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554</w:t>
    </w:r>
  </w:p>
</w:ftr>
</file>

<file path=word/footer5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150F3">
    <w:pPr>
      <w:spacing w:line="276" w:lineRule="exact"/>
      <w:ind w:left="8790"/>
      <w:rPr>
        <w:rFonts w:ascii="Arial" w:hAnsi="Arial" w:eastAsia="Arial" w:cs="Arial"/>
        <w:sz w:val="21"/>
        <w:szCs w:val="21"/>
      </w:rPr>
    </w:pPr>
    <w:r>
      <w:rPr>
        <w:rFonts w:ascii="Arial" w:hAnsi="Arial" w:eastAsia="Arial" w:cs="Arial"/>
        <w:spacing w:val="-2"/>
        <w:position w:val="1"/>
        <w:sz w:val="21"/>
        <w:szCs w:val="21"/>
      </w:rPr>
      <w:t>555</w:t>
    </w:r>
  </w:p>
</w:ftr>
</file>

<file path=word/footer5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6DB3C">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556</w:t>
    </w:r>
  </w:p>
</w:ftr>
</file>

<file path=word/footer5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AC9A0">
    <w:pPr>
      <w:spacing w:line="248" w:lineRule="exact"/>
      <w:ind w:left="8740"/>
      <w:rPr>
        <w:rFonts w:ascii="Arial" w:hAnsi="Arial" w:eastAsia="Arial" w:cs="Arial"/>
        <w:sz w:val="19"/>
        <w:szCs w:val="19"/>
      </w:rPr>
    </w:pPr>
    <w:r>
      <w:rPr>
        <w:rFonts w:ascii="Arial" w:hAnsi="Arial" w:eastAsia="Arial" w:cs="Arial"/>
        <w:spacing w:val="-2"/>
        <w:position w:val="1"/>
        <w:sz w:val="19"/>
        <w:szCs w:val="19"/>
      </w:rPr>
      <w:t>557</w:t>
    </w:r>
  </w:p>
</w:ftr>
</file>

<file path=word/footer5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B2F42">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558</w:t>
    </w:r>
  </w:p>
</w:ftr>
</file>

<file path=word/footer5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43BDE">
    <w:pPr>
      <w:spacing w:line="178" w:lineRule="auto"/>
      <w:ind w:left="876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559</w:t>
    </w:r>
  </w:p>
</w:ftr>
</file>

<file path=word/footer5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04359">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560</w:t>
    </w:r>
  </w:p>
</w:ftr>
</file>

<file path=word/footer5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84EE0">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561</w:t>
    </w:r>
  </w:p>
</w:ftr>
</file>

<file path=word/footer5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FB219">
    <w:pPr>
      <w:spacing w:line="276" w:lineRule="exact"/>
      <w:ind w:left="229"/>
      <w:rPr>
        <w:rFonts w:ascii="Arial" w:hAnsi="Arial" w:eastAsia="Arial" w:cs="Arial"/>
        <w:sz w:val="21"/>
        <w:szCs w:val="21"/>
      </w:rPr>
    </w:pPr>
    <w:r>
      <w:rPr>
        <w:rFonts w:ascii="Arial" w:hAnsi="Arial" w:eastAsia="Arial" w:cs="Arial"/>
        <w:spacing w:val="-2"/>
        <w:position w:val="1"/>
        <w:sz w:val="21"/>
        <w:szCs w:val="21"/>
      </w:rPr>
      <w:t>562</w:t>
    </w:r>
  </w:p>
</w:ftr>
</file>

<file path=word/footer5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781FE">
    <w:pPr>
      <w:spacing w:line="276" w:lineRule="exact"/>
      <w:ind w:left="8780"/>
      <w:rPr>
        <w:rFonts w:ascii="Arial" w:hAnsi="Arial" w:eastAsia="Arial" w:cs="Arial"/>
        <w:sz w:val="21"/>
        <w:szCs w:val="21"/>
      </w:rPr>
    </w:pPr>
    <w:r>
      <w:rPr>
        <w:rFonts w:ascii="Arial" w:hAnsi="Arial" w:eastAsia="Arial" w:cs="Arial"/>
        <w:spacing w:val="-2"/>
        <w:position w:val="1"/>
        <w:sz w:val="21"/>
        <w:szCs w:val="21"/>
      </w:rPr>
      <w:t>563</w:t>
    </w:r>
  </w:p>
</w:ftr>
</file>

<file path=word/footer5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8305C">
    <w:pPr>
      <w:spacing w:line="178" w:lineRule="auto"/>
      <w:ind w:left="18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564</w:t>
    </w:r>
  </w:p>
</w:ftr>
</file>

<file path=word/footer5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F09EF">
    <w:pPr>
      <w:spacing w:line="178" w:lineRule="auto"/>
      <w:ind w:left="880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565</w:t>
    </w:r>
  </w:p>
</w:ftr>
</file>

<file path=word/footer5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E3487">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566</w:t>
    </w:r>
  </w:p>
</w:ftr>
</file>

<file path=word/footer5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2B7A8">
    <w:pPr>
      <w:spacing w:line="178" w:lineRule="auto"/>
      <w:ind w:left="880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567</w:t>
    </w:r>
  </w:p>
</w:ftr>
</file>

<file path=word/footer5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198BC">
    <w:pPr>
      <w:spacing w:line="178" w:lineRule="auto"/>
      <w:ind w:left="2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568</w:t>
    </w:r>
  </w:p>
</w:ftr>
</file>

<file path=word/footer5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D870A">
    <w:pPr>
      <w:spacing w:line="179" w:lineRule="auto"/>
      <w:ind w:left="879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569</w:t>
    </w:r>
  </w:p>
</w:ftr>
</file>

<file path=word/footer5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085AE">
    <w:pPr>
      <w:spacing w:line="330" w:lineRule="exact"/>
      <w:ind w:left="249"/>
      <w:rPr>
        <w:rFonts w:ascii="Arial" w:hAnsi="Arial" w:eastAsia="Arial" w:cs="Arial"/>
        <w:sz w:val="25"/>
        <w:szCs w:val="25"/>
      </w:rPr>
    </w:pPr>
    <w:r>
      <w:rPr>
        <w:rFonts w:ascii="Arial" w:hAnsi="Arial" w:eastAsia="Arial" w:cs="Arial"/>
        <w:spacing w:val="-3"/>
        <w:position w:val="1"/>
        <w:sz w:val="25"/>
        <w:szCs w:val="25"/>
      </w:rPr>
      <w:t>570</w:t>
    </w:r>
  </w:p>
</w:ftr>
</file>

<file path=word/footer5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2AD72">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571</w:t>
    </w:r>
  </w:p>
</w:ftr>
</file>

<file path=word/footer5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FA3D">
    <w:pPr>
      <w:spacing w:line="178" w:lineRule="auto"/>
      <w:ind w:left="19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572</w:t>
    </w:r>
  </w:p>
</w:ftr>
</file>

<file path=word/footer5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9F809">
    <w:pPr>
      <w:spacing w:line="276" w:lineRule="exact"/>
      <w:ind w:left="8789"/>
      <w:rPr>
        <w:rFonts w:ascii="Arial" w:hAnsi="Arial" w:eastAsia="Arial" w:cs="Arial"/>
        <w:sz w:val="21"/>
        <w:szCs w:val="21"/>
      </w:rPr>
    </w:pPr>
    <w:r>
      <w:rPr>
        <w:rFonts w:ascii="Arial" w:hAnsi="Arial" w:eastAsia="Arial" w:cs="Arial"/>
        <w:spacing w:val="-2"/>
        <w:position w:val="1"/>
        <w:sz w:val="21"/>
        <w:szCs w:val="21"/>
      </w:rPr>
      <w:t>573</w:t>
    </w:r>
  </w:p>
</w:ftr>
</file>

<file path=word/footer5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5E32E">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574</w:t>
    </w:r>
  </w:p>
</w:ftr>
</file>

<file path=word/footer5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4F78C">
    <w:pPr>
      <w:spacing w:line="276" w:lineRule="exact"/>
      <w:ind w:left="8770"/>
      <w:rPr>
        <w:rFonts w:ascii="Arial" w:hAnsi="Arial" w:eastAsia="Arial" w:cs="Arial"/>
        <w:sz w:val="21"/>
        <w:szCs w:val="21"/>
      </w:rPr>
    </w:pPr>
    <w:r>
      <w:rPr>
        <w:rFonts w:ascii="Arial" w:hAnsi="Arial" w:eastAsia="Arial" w:cs="Arial"/>
        <w:spacing w:val="-2"/>
        <w:position w:val="1"/>
        <w:sz w:val="21"/>
        <w:szCs w:val="21"/>
      </w:rPr>
      <w:t>575</w:t>
    </w:r>
  </w:p>
</w:ftr>
</file>

<file path=word/footer5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50440">
    <w:pPr>
      <w:spacing w:line="262" w:lineRule="exact"/>
      <w:ind w:left="179"/>
      <w:rPr>
        <w:rFonts w:ascii="Arial" w:hAnsi="Arial" w:eastAsia="Arial" w:cs="Arial"/>
        <w:sz w:val="20"/>
        <w:szCs w:val="20"/>
      </w:rPr>
    </w:pPr>
    <w:r>
      <w:rPr>
        <w:rFonts w:ascii="Arial" w:hAnsi="Arial" w:eastAsia="Arial" w:cs="Arial"/>
        <w:spacing w:val="-6"/>
        <w:position w:val="1"/>
        <w:sz w:val="20"/>
        <w:szCs w:val="20"/>
      </w:rPr>
      <w:t>·576</w:t>
    </w:r>
  </w:p>
</w:ftr>
</file>

<file path=word/footer5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F6C6B">
    <w:pPr>
      <w:spacing w:line="248" w:lineRule="exact"/>
      <w:ind w:left="8770"/>
      <w:rPr>
        <w:rFonts w:ascii="Arial" w:hAnsi="Arial" w:eastAsia="Arial" w:cs="Arial"/>
        <w:sz w:val="19"/>
        <w:szCs w:val="19"/>
      </w:rPr>
    </w:pPr>
    <w:r>
      <w:rPr>
        <w:rFonts w:ascii="Arial" w:hAnsi="Arial" w:eastAsia="Arial" w:cs="Arial"/>
        <w:spacing w:val="-2"/>
        <w:position w:val="1"/>
        <w:sz w:val="19"/>
        <w:szCs w:val="19"/>
      </w:rPr>
      <w:t>577</w:t>
    </w:r>
  </w:p>
</w:ftr>
</file>

<file path=word/footer5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B049F">
    <w:pPr>
      <w:spacing w:line="178" w:lineRule="auto"/>
      <w:ind w:left="21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578</w:t>
    </w:r>
  </w:p>
</w:ftr>
</file>

<file path=word/footer5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CB488">
    <w:pPr>
      <w:spacing w:line="276" w:lineRule="exact"/>
      <w:ind w:left="8759"/>
      <w:rPr>
        <w:rFonts w:ascii="Arial" w:hAnsi="Arial" w:eastAsia="Arial" w:cs="Arial"/>
        <w:sz w:val="21"/>
        <w:szCs w:val="21"/>
      </w:rPr>
    </w:pPr>
    <w:r>
      <w:rPr>
        <w:rFonts w:ascii="Arial" w:hAnsi="Arial" w:eastAsia="Arial" w:cs="Arial"/>
        <w:spacing w:val="-2"/>
        <w:position w:val="1"/>
        <w:sz w:val="21"/>
        <w:szCs w:val="21"/>
      </w:rPr>
      <w:t>579</w:t>
    </w:r>
  </w:p>
</w:ftr>
</file>

<file path=word/footer5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62B5C">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580</w:t>
    </w:r>
  </w:p>
</w:ftr>
</file>

<file path=word/footer5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37EF9">
    <w:pPr>
      <w:spacing w:line="179" w:lineRule="auto"/>
      <w:ind w:left="874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581</w:t>
    </w:r>
  </w:p>
</w:ftr>
</file>

<file path=word/footer5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85F72">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583</w:t>
    </w:r>
  </w:p>
</w:ftr>
</file>

<file path=word/footer5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EC617">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584</w:t>
    </w:r>
  </w:p>
</w:ftr>
</file>

<file path=word/footer5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1A6C4">
    <w:pPr>
      <w:spacing w:line="178" w:lineRule="auto"/>
      <w:ind w:left="87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585</w:t>
    </w:r>
  </w:p>
</w:ftr>
</file>

<file path=word/footer5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B4928">
    <w:pPr>
      <w:spacing w:line="179" w:lineRule="auto"/>
      <w:ind w:left="28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586</w:t>
    </w:r>
  </w:p>
</w:ftr>
</file>

<file path=word/footer5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E3852">
    <w:pPr>
      <w:spacing w:line="179" w:lineRule="auto"/>
      <w:ind w:left="8904"/>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587</w:t>
    </w:r>
  </w:p>
</w:ftr>
</file>

<file path=word/footer5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66FBE">
    <w:pPr>
      <w:spacing w:line="178" w:lineRule="auto"/>
      <w:ind w:left="24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588</w:t>
    </w:r>
  </w:p>
</w:ftr>
</file>

<file path=word/footer5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FBDEB">
    <w:pPr>
      <w:spacing w:line="178" w:lineRule="auto"/>
      <w:ind w:left="87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589</w:t>
    </w:r>
  </w:p>
</w:ftr>
</file>

<file path=word/footer6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B325D">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590</w:t>
    </w:r>
  </w:p>
</w:ftr>
</file>

<file path=word/footer6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6A6AF">
    <w:pPr>
      <w:spacing w:line="276" w:lineRule="exact"/>
      <w:ind w:left="8800"/>
      <w:rPr>
        <w:rFonts w:ascii="Arial" w:hAnsi="Arial" w:eastAsia="Arial" w:cs="Arial"/>
        <w:sz w:val="21"/>
        <w:szCs w:val="21"/>
      </w:rPr>
    </w:pPr>
    <w:r>
      <w:rPr>
        <w:rFonts w:ascii="Arial" w:hAnsi="Arial" w:eastAsia="Arial" w:cs="Arial"/>
        <w:spacing w:val="-2"/>
        <w:position w:val="1"/>
        <w:sz w:val="21"/>
        <w:szCs w:val="21"/>
      </w:rPr>
      <w:t>591</w:t>
    </w:r>
  </w:p>
</w:ftr>
</file>

<file path=word/footer6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FBD35">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59</w:t>
    </w:r>
    <w:r>
      <w:rPr>
        <w:rFonts w:ascii="Times New Roman" w:hAnsi="Times New Roman" w:eastAsia="Times New Roman" w:cs="Times New Roman"/>
        <w:spacing w:val="28"/>
        <w:sz w:val="21"/>
        <w:szCs w:val="21"/>
      </w:rPr>
      <w:t xml:space="preserve"> </w:t>
    </w:r>
    <w:r>
      <w:rPr>
        <w:rFonts w:ascii="Times New Roman" w:hAnsi="Times New Roman" w:eastAsia="Times New Roman" w:cs="Times New Roman"/>
        <w:b/>
        <w:bCs/>
        <w:spacing w:val="-4"/>
        <w:sz w:val="21"/>
        <w:szCs w:val="21"/>
      </w:rPr>
      <w:t>2</w:t>
    </w:r>
  </w:p>
</w:ftr>
</file>

<file path=word/footer6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838A4">
    <w:pPr>
      <w:spacing w:line="276" w:lineRule="exact"/>
      <w:ind w:left="8759"/>
      <w:rPr>
        <w:rFonts w:ascii="Arial" w:hAnsi="Arial" w:eastAsia="Arial" w:cs="Arial"/>
        <w:sz w:val="21"/>
        <w:szCs w:val="21"/>
      </w:rPr>
    </w:pPr>
    <w:r>
      <w:rPr>
        <w:rFonts w:ascii="Arial" w:hAnsi="Arial" w:eastAsia="Arial" w:cs="Arial"/>
        <w:spacing w:val="-2"/>
        <w:position w:val="1"/>
        <w:sz w:val="21"/>
        <w:szCs w:val="21"/>
      </w:rPr>
      <w:t>593</w:t>
    </w:r>
  </w:p>
</w:ftr>
</file>

<file path=word/footer6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D7BFD">
    <w:pPr>
      <w:spacing w:line="276" w:lineRule="exact"/>
      <w:ind w:left="239"/>
      <w:rPr>
        <w:rFonts w:ascii="Arial" w:hAnsi="Arial" w:eastAsia="Arial" w:cs="Arial"/>
        <w:sz w:val="21"/>
        <w:szCs w:val="21"/>
      </w:rPr>
    </w:pPr>
    <w:r>
      <w:rPr>
        <w:rFonts w:ascii="Arial" w:hAnsi="Arial" w:eastAsia="Arial" w:cs="Arial"/>
        <w:spacing w:val="-2"/>
        <w:position w:val="1"/>
        <w:sz w:val="21"/>
        <w:szCs w:val="21"/>
      </w:rPr>
      <w:t>594</w:t>
    </w:r>
  </w:p>
</w:ftr>
</file>

<file path=word/footer6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963D2">
    <w:pPr>
      <w:spacing w:line="276" w:lineRule="exact"/>
      <w:ind w:left="8759"/>
      <w:rPr>
        <w:rFonts w:ascii="Arial" w:hAnsi="Arial" w:eastAsia="Arial" w:cs="Arial"/>
        <w:sz w:val="21"/>
        <w:szCs w:val="21"/>
      </w:rPr>
    </w:pPr>
    <w:r>
      <w:rPr>
        <w:rFonts w:ascii="Arial" w:hAnsi="Arial" w:eastAsia="Arial" w:cs="Arial"/>
        <w:spacing w:val="-2"/>
        <w:position w:val="1"/>
        <w:sz w:val="21"/>
        <w:szCs w:val="21"/>
      </w:rPr>
      <w:t>595</w:t>
    </w:r>
  </w:p>
</w:ftr>
</file>

<file path=word/footer6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7E0DE">
    <w:pPr>
      <w:spacing w:line="179" w:lineRule="auto"/>
      <w:ind w:left="25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596</w:t>
    </w:r>
  </w:p>
</w:ftr>
</file>

<file path=word/footer6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1166B">
    <w:pPr>
      <w:spacing w:line="178" w:lineRule="auto"/>
      <w:ind w:left="87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597</w:t>
    </w:r>
  </w:p>
</w:ftr>
</file>

<file path=word/footer6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659C5">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598</w:t>
    </w:r>
  </w:p>
</w:ftr>
</file>

<file path=word/footer6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E3657">
    <w:pPr>
      <w:spacing w:line="178" w:lineRule="auto"/>
      <w:ind w:left="879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599</w:t>
    </w:r>
  </w:p>
</w:ftr>
</file>

<file path=word/footer6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BE807">
    <w:pPr>
      <w:spacing w:line="179" w:lineRule="auto"/>
      <w:ind w:left="28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600</w:t>
    </w:r>
  </w:p>
</w:ftr>
</file>

<file path=word/footer6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5BE9D">
    <w:pPr>
      <w:spacing w:line="178" w:lineRule="auto"/>
      <w:ind w:left="877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601</w:t>
    </w:r>
  </w:p>
</w:ftr>
</file>

<file path=word/footer6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DBEAB">
    <w:pPr>
      <w:spacing w:line="179" w:lineRule="auto"/>
      <w:ind w:left="23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602</w:t>
    </w:r>
  </w:p>
</w:ftr>
</file>

<file path=word/footer6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72697">
    <w:pPr>
      <w:spacing w:line="178" w:lineRule="auto"/>
      <w:ind w:left="880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603</w:t>
    </w:r>
  </w:p>
</w:ftr>
</file>

<file path=word/footer6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790FB">
    <w:pPr>
      <w:spacing w:line="177" w:lineRule="auto"/>
      <w:ind w:left="19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604</w:t>
    </w:r>
  </w:p>
</w:ftr>
</file>

<file path=word/footer6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2A52F">
    <w:pPr>
      <w:spacing w:line="276" w:lineRule="exact"/>
      <w:ind w:left="8789"/>
      <w:rPr>
        <w:rFonts w:ascii="Arial" w:hAnsi="Arial" w:eastAsia="Arial" w:cs="Arial"/>
        <w:sz w:val="21"/>
        <w:szCs w:val="21"/>
      </w:rPr>
    </w:pPr>
    <w:r>
      <w:rPr>
        <w:rFonts w:ascii="Arial" w:hAnsi="Arial" w:eastAsia="Arial" w:cs="Arial"/>
        <w:spacing w:val="-3"/>
        <w:position w:val="1"/>
        <w:sz w:val="21"/>
        <w:szCs w:val="21"/>
      </w:rPr>
      <w:t>60 5</w:t>
    </w:r>
  </w:p>
</w:ftr>
</file>

<file path=word/footer6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08EB3">
    <w:pPr>
      <w:spacing w:line="179" w:lineRule="auto"/>
      <w:ind w:left="23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606</w:t>
    </w:r>
  </w:p>
</w:ftr>
</file>

<file path=word/footer6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88FC7">
    <w:pPr>
      <w:spacing w:line="178" w:lineRule="auto"/>
      <w:ind w:left="876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607</w:t>
    </w:r>
  </w:p>
</w:ftr>
</file>

<file path=word/footer6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A345D">
    <w:pPr>
      <w:spacing w:line="303" w:lineRule="exact"/>
      <w:ind w:left="229"/>
      <w:rPr>
        <w:rFonts w:ascii="Arial" w:hAnsi="Arial" w:eastAsia="Arial" w:cs="Arial"/>
        <w:sz w:val="23"/>
        <w:szCs w:val="23"/>
      </w:rPr>
    </w:pPr>
    <w:r>
      <w:rPr>
        <w:rFonts w:ascii="Arial" w:hAnsi="Arial" w:eastAsia="Arial" w:cs="Arial"/>
        <w:spacing w:val="-2"/>
        <w:position w:val="1"/>
        <w:sz w:val="23"/>
        <w:szCs w:val="23"/>
      </w:rPr>
      <w:t>608</w:t>
    </w:r>
  </w:p>
</w:ftr>
</file>

<file path=word/footer6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00BE9">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609</w:t>
    </w:r>
  </w:p>
</w:ftr>
</file>

<file path=word/footer6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F4D22">
    <w:pPr>
      <w:spacing w:line="179"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610</w:t>
    </w:r>
  </w:p>
</w:ftr>
</file>

<file path=word/footer6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3BD4E">
    <w:pPr>
      <w:spacing w:line="180" w:lineRule="auto"/>
      <w:ind w:left="883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611</w:t>
    </w:r>
  </w:p>
</w:ftr>
</file>

<file path=word/footer6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36E41">
    <w:pPr>
      <w:spacing w:line="179"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612</w:t>
    </w:r>
  </w:p>
</w:ftr>
</file>

<file path=word/footer6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BB792">
    <w:pPr>
      <w:spacing w:line="178" w:lineRule="auto"/>
      <w:ind w:left="881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613</w:t>
    </w:r>
  </w:p>
</w:ftr>
</file>

<file path=word/footer6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9F19A">
    <w:pPr>
      <w:spacing w:line="178" w:lineRule="auto"/>
      <w:ind w:left="22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614</w:t>
    </w:r>
  </w:p>
</w:ftr>
</file>

<file path=word/footer6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CE57">
    <w:pPr>
      <w:spacing w:line="276" w:lineRule="exact"/>
      <w:ind w:left="8770"/>
      <w:rPr>
        <w:rFonts w:ascii="Arial" w:hAnsi="Arial" w:eastAsia="Arial" w:cs="Arial"/>
        <w:sz w:val="21"/>
        <w:szCs w:val="21"/>
      </w:rPr>
    </w:pPr>
    <w:r>
      <w:rPr>
        <w:rFonts w:ascii="Arial" w:hAnsi="Arial" w:eastAsia="Arial" w:cs="Arial"/>
        <w:spacing w:val="-2"/>
        <w:position w:val="1"/>
        <w:sz w:val="21"/>
        <w:szCs w:val="21"/>
      </w:rPr>
      <w:t>615</w:t>
    </w:r>
  </w:p>
</w:ftr>
</file>

<file path=word/footer6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37558">
    <w:pPr>
      <w:spacing w:line="179"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616</w:t>
    </w:r>
  </w:p>
</w:ftr>
</file>

<file path=word/footer6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58D5F">
    <w:pPr>
      <w:spacing w:line="178" w:lineRule="auto"/>
      <w:ind w:left="877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617</w:t>
    </w:r>
  </w:p>
</w:ftr>
</file>

<file path=word/footer6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0C834">
    <w:pPr>
      <w:spacing w:line="179" w:lineRule="auto"/>
      <w:ind w:left="24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618</w:t>
    </w:r>
  </w:p>
</w:ftr>
</file>

<file path=word/footer6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F2278">
    <w:pPr>
      <w:spacing w:line="276" w:lineRule="exact"/>
      <w:ind w:left="8800"/>
      <w:rPr>
        <w:rFonts w:ascii="Arial" w:hAnsi="Arial" w:eastAsia="Arial" w:cs="Arial"/>
        <w:sz w:val="21"/>
        <w:szCs w:val="21"/>
      </w:rPr>
    </w:pPr>
    <w:r>
      <w:rPr>
        <w:rFonts w:ascii="Arial" w:hAnsi="Arial" w:eastAsia="Arial" w:cs="Arial"/>
        <w:spacing w:val="9"/>
        <w:position w:val="1"/>
        <w:sz w:val="21"/>
        <w:szCs w:val="21"/>
      </w:rPr>
      <w:t>619</w:t>
    </w:r>
  </w:p>
</w:ftr>
</file>

<file path=word/footer6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0C6CE">
    <w:pPr>
      <w:spacing w:line="178" w:lineRule="auto"/>
      <w:ind w:left="21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6</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b/>
        <w:bCs/>
        <w:spacing w:val="-5"/>
        <w:sz w:val="21"/>
        <w:szCs w:val="21"/>
      </w:rPr>
      <w:t>2</w:t>
    </w:r>
    <w:r>
      <w:rPr>
        <w:rFonts w:ascii="Times New Roman" w:hAnsi="Times New Roman" w:eastAsia="Times New Roman" w:cs="Times New Roman"/>
        <w:b/>
        <w:bCs/>
        <w:spacing w:val="-12"/>
        <w:sz w:val="21"/>
        <w:szCs w:val="21"/>
      </w:rPr>
      <w:t xml:space="preserve"> </w:t>
    </w:r>
    <w:r>
      <w:rPr>
        <w:rFonts w:ascii="Times New Roman" w:hAnsi="Times New Roman" w:eastAsia="Times New Roman" w:cs="Times New Roman"/>
        <w:spacing w:val="-5"/>
        <w:sz w:val="21"/>
        <w:szCs w:val="21"/>
      </w:rPr>
      <w:t>0</w:t>
    </w:r>
  </w:p>
</w:ftr>
</file>

<file path=word/footer6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FD8EE">
    <w:pPr>
      <w:spacing w:line="179" w:lineRule="auto"/>
      <w:ind w:left="880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621</w:t>
    </w:r>
  </w:p>
</w:ftr>
</file>

<file path=word/footer6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88902">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622</w:t>
    </w:r>
  </w:p>
</w:ftr>
</file>

<file path=word/footer6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8A914">
    <w:pPr>
      <w:spacing w:line="177" w:lineRule="auto"/>
      <w:ind w:left="875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6</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b/>
        <w:bCs/>
        <w:spacing w:val="-4"/>
        <w:sz w:val="20"/>
        <w:szCs w:val="20"/>
      </w:rPr>
      <w:t>23</w:t>
    </w:r>
  </w:p>
</w:ftr>
</file>

<file path=word/footer6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6EA9B">
    <w:pPr>
      <w:spacing w:line="178" w:lineRule="auto"/>
      <w:ind w:left="18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624</w:t>
    </w:r>
  </w:p>
</w:ftr>
</file>

<file path=word/footer6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9657A">
    <w:pPr>
      <w:spacing w:line="178" w:lineRule="auto"/>
      <w:ind w:left="878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625</w:t>
    </w:r>
  </w:p>
</w:ftr>
</file>

<file path=word/footer6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FFD86">
    <w:pPr>
      <w:spacing w:line="178" w:lineRule="auto"/>
      <w:ind w:left="2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626</w:t>
    </w:r>
  </w:p>
</w:ftr>
</file>

<file path=word/footer6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02E04">
    <w:pPr>
      <w:spacing w:line="178" w:lineRule="auto"/>
      <w:ind w:left="87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627</w:t>
    </w:r>
  </w:p>
</w:ftr>
</file>

<file path=word/footer6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A7CFF">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628</w:t>
    </w:r>
  </w:p>
</w:ftr>
</file>

<file path=word/footer6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AF9FF">
    <w:pPr>
      <w:spacing w:line="178" w:lineRule="auto"/>
      <w:ind w:left="879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629</w:t>
    </w:r>
  </w:p>
</w:ftr>
</file>

<file path=word/footer6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C8299">
    <w:pPr>
      <w:spacing w:line="178" w:lineRule="auto"/>
      <w:ind w:left="26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630</w:t>
    </w:r>
  </w:p>
</w:ftr>
</file>

<file path=word/footer6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43E2E">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631</w:t>
    </w:r>
  </w:p>
</w:ftr>
</file>

<file path=word/footer6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7AE4F">
    <w:pPr>
      <w:spacing w:line="178" w:lineRule="auto"/>
      <w:ind w:left="25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632</w:t>
    </w:r>
  </w:p>
</w:ftr>
</file>

<file path=word/footer6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14A33">
    <w:pPr>
      <w:spacing w:line="178" w:lineRule="auto"/>
      <w:ind w:left="876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633</w:t>
    </w:r>
  </w:p>
</w:ftr>
</file>

<file path=word/footer6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04706">
    <w:pPr>
      <w:spacing w:line="180" w:lineRule="auto"/>
      <w:ind w:left="22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634</w:t>
    </w:r>
  </w:p>
</w:ftr>
</file>

<file path=word/footer6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3B78">
    <w:pPr>
      <w:spacing w:line="179" w:lineRule="auto"/>
      <w:ind w:left="871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635</w:t>
    </w:r>
  </w:p>
</w:ftr>
</file>

<file path=word/footer6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6AB22">
    <w:pPr>
      <w:spacing w:line="178" w:lineRule="auto"/>
      <w:ind w:left="23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636</w:t>
    </w:r>
  </w:p>
</w:ftr>
</file>

<file path=word/footer6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D4EE3">
    <w:pPr>
      <w:spacing w:line="276" w:lineRule="exact"/>
      <w:ind w:left="8779"/>
      <w:rPr>
        <w:rFonts w:ascii="Arial" w:hAnsi="Arial" w:eastAsia="Arial" w:cs="Arial"/>
        <w:sz w:val="21"/>
        <w:szCs w:val="21"/>
      </w:rPr>
    </w:pPr>
    <w:r>
      <w:rPr>
        <w:rFonts w:ascii="Arial" w:hAnsi="Arial" w:eastAsia="Arial" w:cs="Arial"/>
        <w:spacing w:val="-2"/>
        <w:position w:val="1"/>
        <w:sz w:val="21"/>
        <w:szCs w:val="21"/>
      </w:rPr>
      <w:t>637</w:t>
    </w:r>
  </w:p>
</w:ftr>
</file>

<file path=word/footer6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85694">
    <w:pPr>
      <w:spacing w:line="17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638</w:t>
    </w:r>
  </w:p>
</w:ftr>
</file>

<file path=word/footer6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EA24B">
    <w:pPr>
      <w:spacing w:line="178" w:lineRule="auto"/>
      <w:ind w:left="8895"/>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639</w:t>
    </w:r>
  </w:p>
</w:ftr>
</file>

<file path=word/footer6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27DED">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64</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0</w:t>
    </w:r>
  </w:p>
</w:ftr>
</file>

<file path=word/footer6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6041A">
    <w:pPr>
      <w:spacing w:line="14" w:lineRule="auto"/>
      <w:rPr>
        <w:rFonts w:ascii="Arial"/>
        <w:sz w:val="2"/>
      </w:rPr>
    </w:pPr>
  </w:p>
</w:ftr>
</file>

<file path=word/footer6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970E4">
    <w:pPr>
      <w:spacing w:line="178"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642</w:t>
    </w:r>
  </w:p>
</w:ftr>
</file>

<file path=word/footer6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3E723">
    <w:pPr>
      <w:spacing w:line="178" w:lineRule="auto"/>
      <w:ind w:left="876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643</w:t>
    </w:r>
  </w:p>
</w:ftr>
</file>

<file path=word/footer6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4A88">
    <w:pPr>
      <w:spacing w:line="179" w:lineRule="auto"/>
      <w:ind w:left="24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644</w:t>
    </w:r>
  </w:p>
</w:ftr>
</file>

<file path=word/footer6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3BFB4">
    <w:pPr>
      <w:spacing w:line="178" w:lineRule="auto"/>
      <w:ind w:left="8789"/>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6</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b/>
        <w:bCs/>
        <w:spacing w:val="-5"/>
        <w:sz w:val="22"/>
        <w:szCs w:val="22"/>
      </w:rPr>
      <w:t>45</w:t>
    </w:r>
  </w:p>
</w:ftr>
</file>

<file path=word/footer6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1E7E9">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646</w:t>
    </w:r>
  </w:p>
</w:ftr>
</file>

<file path=word/footer6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E0E2A">
    <w:pPr>
      <w:spacing w:line="178" w:lineRule="auto"/>
      <w:ind w:left="87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647</w:t>
    </w:r>
  </w:p>
</w:ftr>
</file>

<file path=word/footer6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43E80">
    <w:pPr>
      <w:spacing w:line="178" w:lineRule="auto"/>
      <w:ind w:left="365"/>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648</w:t>
    </w:r>
  </w:p>
</w:ftr>
</file>

<file path=word/footer6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91823">
    <w:pPr>
      <w:spacing w:line="178" w:lineRule="auto"/>
      <w:ind w:left="879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649</w:t>
    </w:r>
  </w:p>
</w:ftr>
</file>

<file path=word/footer6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D60FB">
    <w:pPr>
      <w:spacing w:line="178" w:lineRule="auto"/>
      <w:ind w:left="24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650</w:t>
    </w:r>
  </w:p>
</w:ftr>
</file>

<file path=word/footer6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53065">
    <w:pPr>
      <w:spacing w:line="276" w:lineRule="exact"/>
      <w:ind w:left="8789"/>
      <w:rPr>
        <w:rFonts w:ascii="Arial" w:hAnsi="Arial" w:eastAsia="Arial" w:cs="Arial"/>
        <w:sz w:val="21"/>
        <w:szCs w:val="21"/>
      </w:rPr>
    </w:pPr>
    <w:r>
      <w:rPr>
        <w:rFonts w:ascii="Arial" w:hAnsi="Arial" w:eastAsia="Arial" w:cs="Arial"/>
        <w:spacing w:val="-2"/>
        <w:position w:val="1"/>
        <w:sz w:val="21"/>
        <w:szCs w:val="21"/>
      </w:rPr>
      <w:t>651</w:t>
    </w:r>
  </w:p>
</w:ftr>
</file>

<file path=word/footer6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23F3E">
    <w:pPr>
      <w:spacing w:line="178" w:lineRule="auto"/>
      <w:ind w:left="19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652</w:t>
    </w:r>
  </w:p>
</w:ftr>
</file>

<file path=word/footer6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6E7A6">
    <w:pPr>
      <w:spacing w:line="178" w:lineRule="auto"/>
      <w:ind w:left="879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653</w:t>
    </w:r>
  </w:p>
</w:ftr>
</file>

<file path=word/footer6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5DCB8">
    <w:pPr>
      <w:spacing w:line="178" w:lineRule="auto"/>
      <w:ind w:left="1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654</w:t>
    </w:r>
  </w:p>
</w:ftr>
</file>

<file path=word/footer6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73B00">
    <w:pPr>
      <w:spacing w:line="276" w:lineRule="exact"/>
      <w:ind w:left="8730"/>
      <w:rPr>
        <w:rFonts w:ascii="Arial" w:hAnsi="Arial" w:eastAsia="Arial" w:cs="Arial"/>
        <w:sz w:val="21"/>
        <w:szCs w:val="21"/>
      </w:rPr>
    </w:pPr>
    <w:r>
      <w:rPr>
        <w:rFonts w:ascii="Arial" w:hAnsi="Arial" w:eastAsia="Arial" w:cs="Arial"/>
        <w:spacing w:val="-2"/>
        <w:position w:val="1"/>
        <w:sz w:val="21"/>
        <w:szCs w:val="21"/>
      </w:rPr>
      <w:t>655</w:t>
    </w:r>
  </w:p>
</w:ftr>
</file>

<file path=word/footer6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78ACA">
    <w:pPr>
      <w:spacing w:line="289" w:lineRule="exact"/>
      <w:ind w:left="229"/>
      <w:rPr>
        <w:rFonts w:ascii="Arial" w:hAnsi="Arial" w:eastAsia="Arial" w:cs="Arial"/>
        <w:sz w:val="22"/>
        <w:szCs w:val="22"/>
      </w:rPr>
    </w:pPr>
    <w:r>
      <w:rPr>
        <w:rFonts w:ascii="Arial" w:hAnsi="Arial" w:eastAsia="Arial" w:cs="Arial"/>
        <w:spacing w:val="-2"/>
        <w:position w:val="1"/>
        <w:sz w:val="22"/>
        <w:szCs w:val="22"/>
      </w:rPr>
      <w:t>656</w:t>
    </w:r>
  </w:p>
</w:ftr>
</file>

<file path=word/footer6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BA229">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657</w:t>
    </w:r>
  </w:p>
</w:ftr>
</file>

<file path=word/footer6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D91FE">
    <w:pPr>
      <w:spacing w:line="178" w:lineRule="auto"/>
      <w:ind w:left="2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658</w:t>
    </w:r>
  </w:p>
</w:ftr>
</file>

<file path=word/footer6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41C0E">
    <w:pPr>
      <w:spacing w:line="276" w:lineRule="exact"/>
      <w:jc w:val="right"/>
      <w:rPr>
        <w:rFonts w:ascii="Arial" w:hAnsi="Arial" w:eastAsia="Arial" w:cs="Arial"/>
        <w:sz w:val="21"/>
        <w:szCs w:val="21"/>
      </w:rPr>
    </w:pPr>
    <w:r>
      <w:rPr>
        <w:rFonts w:ascii="Arial" w:hAnsi="Arial" w:eastAsia="Arial" w:cs="Arial"/>
        <w:spacing w:val="-3"/>
        <w:position w:val="1"/>
        <w:sz w:val="21"/>
        <w:szCs w:val="21"/>
      </w:rPr>
      <w:t>659</w:t>
    </w:r>
  </w:p>
</w:ftr>
</file>

<file path=word/footer6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E581A">
    <w:pPr>
      <w:spacing w:line="178" w:lineRule="auto"/>
      <w:ind w:left="2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660</w:t>
    </w:r>
  </w:p>
</w:ftr>
</file>

<file path=word/footer6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91811">
    <w:pPr>
      <w:spacing w:line="303" w:lineRule="exact"/>
      <w:ind w:left="8809"/>
      <w:rPr>
        <w:rFonts w:ascii="Arial" w:hAnsi="Arial" w:eastAsia="Arial" w:cs="Arial"/>
        <w:sz w:val="23"/>
        <w:szCs w:val="23"/>
      </w:rPr>
    </w:pPr>
    <w:r>
      <w:rPr>
        <w:rFonts w:ascii="Arial" w:hAnsi="Arial" w:eastAsia="Arial" w:cs="Arial"/>
        <w:spacing w:val="-2"/>
        <w:position w:val="1"/>
        <w:sz w:val="23"/>
        <w:szCs w:val="23"/>
      </w:rPr>
      <w:t>661</w:t>
    </w:r>
  </w:p>
</w:ftr>
</file>

<file path=word/footer6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C97F5">
    <w:pPr>
      <w:spacing w:line="179" w:lineRule="auto"/>
      <w:ind w:left="25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182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A488A">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E555C">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A46E6">
    <w:pPr>
      <w:spacing w:line="14" w:lineRule="auto"/>
      <w:rPr>
        <w:rFonts w:ascii="Arial"/>
        <w:sz w:val="2"/>
      </w:rPr>
    </w:pPr>
    <w:r>
      <w:pict>
        <v:shape id="WordPictureWatermark22" o:spid="_x0000_s2049" o:spt="75" type="#_x0000_t75" style="position:absolute;left:0pt;margin-left:68pt;margin-top:250pt;height:501pt;width:465.55pt;mso-position-horizontal-relative:page;mso-position-vertical-relative:page;z-index:-251651072;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FB27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FE815E9"/>
    <w:rsid w:val="16454617"/>
    <w:rsid w:val="28AA4F20"/>
    <w:rsid w:val="28D04003"/>
    <w:rsid w:val="6D603F1E"/>
    <w:rsid w:val="727C2F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楷体" w:hAnsi="楷体" w:eastAsia="楷体" w:cs="楷体"/>
      <w:sz w:val="35"/>
      <w:szCs w:val="3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3.xml"/><Relationship Id="rId98" Type="http://schemas.openxmlformats.org/officeDocument/2006/relationships/footer" Target="footer92.xml"/><Relationship Id="rId97" Type="http://schemas.openxmlformats.org/officeDocument/2006/relationships/footer" Target="footer91.xml"/><Relationship Id="rId96" Type="http://schemas.openxmlformats.org/officeDocument/2006/relationships/footer" Target="footer90.xml"/><Relationship Id="rId95" Type="http://schemas.openxmlformats.org/officeDocument/2006/relationships/footer" Target="footer89.xml"/><Relationship Id="rId94" Type="http://schemas.openxmlformats.org/officeDocument/2006/relationships/footer" Target="footer88.xml"/><Relationship Id="rId93" Type="http://schemas.openxmlformats.org/officeDocument/2006/relationships/footer" Target="footer87.xml"/><Relationship Id="rId92" Type="http://schemas.openxmlformats.org/officeDocument/2006/relationships/footer" Target="footer86.xml"/><Relationship Id="rId91" Type="http://schemas.openxmlformats.org/officeDocument/2006/relationships/footer" Target="footer85.xml"/><Relationship Id="rId90" Type="http://schemas.openxmlformats.org/officeDocument/2006/relationships/footer" Target="footer84.xml"/><Relationship Id="rId9" Type="http://schemas.openxmlformats.org/officeDocument/2006/relationships/footer" Target="footer3.xml"/><Relationship Id="rId89" Type="http://schemas.openxmlformats.org/officeDocument/2006/relationships/footer" Target="footer83.xml"/><Relationship Id="rId88" Type="http://schemas.openxmlformats.org/officeDocument/2006/relationships/footer" Target="footer82.xml"/><Relationship Id="rId87" Type="http://schemas.openxmlformats.org/officeDocument/2006/relationships/footer" Target="footer81.xml"/><Relationship Id="rId86" Type="http://schemas.openxmlformats.org/officeDocument/2006/relationships/footer" Target="footer80.xml"/><Relationship Id="rId85" Type="http://schemas.openxmlformats.org/officeDocument/2006/relationships/footer" Target="footer79.xml"/><Relationship Id="rId84" Type="http://schemas.openxmlformats.org/officeDocument/2006/relationships/footer" Target="footer78.xml"/><Relationship Id="rId83" Type="http://schemas.openxmlformats.org/officeDocument/2006/relationships/footer" Target="footer77.xml"/><Relationship Id="rId82" Type="http://schemas.openxmlformats.org/officeDocument/2006/relationships/footer" Target="footer76.xml"/><Relationship Id="rId81" Type="http://schemas.openxmlformats.org/officeDocument/2006/relationships/footer" Target="footer75.xml"/><Relationship Id="rId80" Type="http://schemas.openxmlformats.org/officeDocument/2006/relationships/footer" Target="footer74.xml"/><Relationship Id="rId8" Type="http://schemas.openxmlformats.org/officeDocument/2006/relationships/footer" Target="footer2.xml"/><Relationship Id="rId79" Type="http://schemas.openxmlformats.org/officeDocument/2006/relationships/footer" Target="footer73.xml"/><Relationship Id="rId78" Type="http://schemas.openxmlformats.org/officeDocument/2006/relationships/footer" Target="footer72.xml"/><Relationship Id="rId77" Type="http://schemas.openxmlformats.org/officeDocument/2006/relationships/footer" Target="footer71.xml"/><Relationship Id="rId76" Type="http://schemas.openxmlformats.org/officeDocument/2006/relationships/footer" Target="footer70.xml"/><Relationship Id="rId75" Type="http://schemas.openxmlformats.org/officeDocument/2006/relationships/footer" Target="footer69.xml"/><Relationship Id="rId74" Type="http://schemas.openxmlformats.org/officeDocument/2006/relationships/footer" Target="footer68.xml"/><Relationship Id="rId73" Type="http://schemas.openxmlformats.org/officeDocument/2006/relationships/footer" Target="footer67.xml"/><Relationship Id="rId72" Type="http://schemas.openxmlformats.org/officeDocument/2006/relationships/footer" Target="footer66.xml"/><Relationship Id="rId71" Type="http://schemas.openxmlformats.org/officeDocument/2006/relationships/footer" Target="footer65.xml"/><Relationship Id="rId707" Type="http://schemas.openxmlformats.org/officeDocument/2006/relationships/fontTable" Target="fontTable.xml"/><Relationship Id="rId706" Type="http://schemas.openxmlformats.org/officeDocument/2006/relationships/customXml" Target="../customXml/item1.xml"/><Relationship Id="rId705" Type="http://schemas.openxmlformats.org/officeDocument/2006/relationships/image" Target="media/image25.jpeg"/><Relationship Id="rId704" Type="http://schemas.openxmlformats.org/officeDocument/2006/relationships/image" Target="media/image24.jpeg"/><Relationship Id="rId703" Type="http://schemas.openxmlformats.org/officeDocument/2006/relationships/image" Target="media/image23.jpeg"/><Relationship Id="rId702" Type="http://schemas.openxmlformats.org/officeDocument/2006/relationships/image" Target="media/image22.png"/><Relationship Id="rId701" Type="http://schemas.openxmlformats.org/officeDocument/2006/relationships/image" Target="media/image21.png"/><Relationship Id="rId700" Type="http://schemas.openxmlformats.org/officeDocument/2006/relationships/image" Target="media/image20.png"/><Relationship Id="rId70" Type="http://schemas.openxmlformats.org/officeDocument/2006/relationships/footer" Target="footer64.xml"/><Relationship Id="rId7" Type="http://schemas.openxmlformats.org/officeDocument/2006/relationships/footer" Target="footer1.xml"/><Relationship Id="rId699" Type="http://schemas.openxmlformats.org/officeDocument/2006/relationships/image" Target="media/image19.png"/><Relationship Id="rId698" Type="http://schemas.openxmlformats.org/officeDocument/2006/relationships/image" Target="media/image18.jpeg"/><Relationship Id="rId697" Type="http://schemas.openxmlformats.org/officeDocument/2006/relationships/image" Target="media/image17.png"/><Relationship Id="rId696" Type="http://schemas.openxmlformats.org/officeDocument/2006/relationships/image" Target="media/image16.png"/><Relationship Id="rId695" Type="http://schemas.openxmlformats.org/officeDocument/2006/relationships/image" Target="media/image15.png"/><Relationship Id="rId694" Type="http://schemas.openxmlformats.org/officeDocument/2006/relationships/image" Target="media/image14.jpeg"/><Relationship Id="rId693" Type="http://schemas.openxmlformats.org/officeDocument/2006/relationships/image" Target="media/image13.png"/><Relationship Id="rId692" Type="http://schemas.openxmlformats.org/officeDocument/2006/relationships/image" Target="media/image12.png"/><Relationship Id="rId691" Type="http://schemas.openxmlformats.org/officeDocument/2006/relationships/image" Target="media/image11.png"/><Relationship Id="rId690" Type="http://schemas.openxmlformats.org/officeDocument/2006/relationships/image" Target="media/image10.png"/><Relationship Id="rId69" Type="http://schemas.openxmlformats.org/officeDocument/2006/relationships/footer" Target="footer63.xml"/><Relationship Id="rId689" Type="http://schemas.openxmlformats.org/officeDocument/2006/relationships/image" Target="media/image9.png"/><Relationship Id="rId688" Type="http://schemas.openxmlformats.org/officeDocument/2006/relationships/image" Target="media/image8.png"/><Relationship Id="rId687" Type="http://schemas.openxmlformats.org/officeDocument/2006/relationships/image" Target="media/image7.png"/><Relationship Id="rId686" Type="http://schemas.openxmlformats.org/officeDocument/2006/relationships/image" Target="media/image6.jpeg"/><Relationship Id="rId685" Type="http://schemas.openxmlformats.org/officeDocument/2006/relationships/image" Target="media/image5.png"/><Relationship Id="rId684" Type="http://schemas.openxmlformats.org/officeDocument/2006/relationships/image" Target="media/image4.png"/><Relationship Id="rId683" Type="http://schemas.openxmlformats.org/officeDocument/2006/relationships/image" Target="media/image3.jpeg"/><Relationship Id="rId682" Type="http://schemas.openxmlformats.org/officeDocument/2006/relationships/image" Target="media/image2.jpeg"/><Relationship Id="rId681" Type="http://schemas.openxmlformats.org/officeDocument/2006/relationships/theme" Target="theme/theme1.xml"/><Relationship Id="rId680" Type="http://schemas.openxmlformats.org/officeDocument/2006/relationships/footer" Target="footer672.xml"/><Relationship Id="rId68" Type="http://schemas.openxmlformats.org/officeDocument/2006/relationships/footer" Target="footer62.xml"/><Relationship Id="rId679" Type="http://schemas.openxmlformats.org/officeDocument/2006/relationships/footer" Target="footer671.xml"/><Relationship Id="rId678" Type="http://schemas.openxmlformats.org/officeDocument/2006/relationships/footer" Target="footer670.xml"/><Relationship Id="rId677" Type="http://schemas.openxmlformats.org/officeDocument/2006/relationships/footer" Target="footer669.xml"/><Relationship Id="rId676" Type="http://schemas.openxmlformats.org/officeDocument/2006/relationships/footer" Target="footer668.xml"/><Relationship Id="rId675" Type="http://schemas.openxmlformats.org/officeDocument/2006/relationships/footer" Target="footer667.xml"/><Relationship Id="rId674" Type="http://schemas.openxmlformats.org/officeDocument/2006/relationships/footer" Target="footer666.xml"/><Relationship Id="rId673" Type="http://schemas.openxmlformats.org/officeDocument/2006/relationships/footer" Target="footer665.xml"/><Relationship Id="rId672" Type="http://schemas.openxmlformats.org/officeDocument/2006/relationships/footer" Target="footer664.xml"/><Relationship Id="rId671" Type="http://schemas.openxmlformats.org/officeDocument/2006/relationships/footer" Target="footer663.xml"/><Relationship Id="rId670" Type="http://schemas.openxmlformats.org/officeDocument/2006/relationships/footer" Target="footer662.xml"/><Relationship Id="rId67" Type="http://schemas.openxmlformats.org/officeDocument/2006/relationships/footer" Target="footer61.xml"/><Relationship Id="rId669" Type="http://schemas.openxmlformats.org/officeDocument/2006/relationships/footer" Target="footer661.xml"/><Relationship Id="rId668" Type="http://schemas.openxmlformats.org/officeDocument/2006/relationships/footer" Target="footer660.xml"/><Relationship Id="rId667" Type="http://schemas.openxmlformats.org/officeDocument/2006/relationships/footer" Target="footer659.xml"/><Relationship Id="rId666" Type="http://schemas.openxmlformats.org/officeDocument/2006/relationships/footer" Target="footer658.xml"/><Relationship Id="rId665" Type="http://schemas.openxmlformats.org/officeDocument/2006/relationships/footer" Target="footer657.xml"/><Relationship Id="rId664" Type="http://schemas.openxmlformats.org/officeDocument/2006/relationships/footer" Target="footer656.xml"/><Relationship Id="rId663" Type="http://schemas.openxmlformats.org/officeDocument/2006/relationships/footer" Target="footer655.xml"/><Relationship Id="rId662" Type="http://schemas.openxmlformats.org/officeDocument/2006/relationships/footer" Target="footer654.xml"/><Relationship Id="rId661" Type="http://schemas.openxmlformats.org/officeDocument/2006/relationships/footer" Target="footer653.xml"/><Relationship Id="rId660" Type="http://schemas.openxmlformats.org/officeDocument/2006/relationships/footer" Target="footer652.xml"/><Relationship Id="rId66" Type="http://schemas.openxmlformats.org/officeDocument/2006/relationships/footer" Target="footer60.xml"/><Relationship Id="rId659" Type="http://schemas.openxmlformats.org/officeDocument/2006/relationships/footer" Target="footer651.xml"/><Relationship Id="rId658" Type="http://schemas.openxmlformats.org/officeDocument/2006/relationships/footer" Target="footer650.xml"/><Relationship Id="rId657" Type="http://schemas.openxmlformats.org/officeDocument/2006/relationships/footer" Target="footer649.xml"/><Relationship Id="rId656" Type="http://schemas.openxmlformats.org/officeDocument/2006/relationships/footer" Target="footer648.xml"/><Relationship Id="rId655" Type="http://schemas.openxmlformats.org/officeDocument/2006/relationships/footer" Target="footer647.xml"/><Relationship Id="rId654" Type="http://schemas.openxmlformats.org/officeDocument/2006/relationships/footer" Target="footer646.xml"/><Relationship Id="rId653" Type="http://schemas.openxmlformats.org/officeDocument/2006/relationships/footer" Target="footer645.xml"/><Relationship Id="rId652" Type="http://schemas.openxmlformats.org/officeDocument/2006/relationships/footer" Target="footer644.xml"/><Relationship Id="rId651" Type="http://schemas.openxmlformats.org/officeDocument/2006/relationships/footer" Target="footer643.xml"/><Relationship Id="rId650" Type="http://schemas.openxmlformats.org/officeDocument/2006/relationships/footer" Target="footer642.xml"/><Relationship Id="rId65" Type="http://schemas.openxmlformats.org/officeDocument/2006/relationships/footer" Target="footer59.xml"/><Relationship Id="rId649" Type="http://schemas.openxmlformats.org/officeDocument/2006/relationships/footer" Target="footer641.xml"/><Relationship Id="rId648" Type="http://schemas.openxmlformats.org/officeDocument/2006/relationships/footer" Target="footer640.xml"/><Relationship Id="rId647" Type="http://schemas.openxmlformats.org/officeDocument/2006/relationships/footer" Target="footer639.xml"/><Relationship Id="rId646" Type="http://schemas.openxmlformats.org/officeDocument/2006/relationships/footer" Target="footer638.xml"/><Relationship Id="rId645" Type="http://schemas.openxmlformats.org/officeDocument/2006/relationships/footer" Target="footer637.xml"/><Relationship Id="rId644" Type="http://schemas.openxmlformats.org/officeDocument/2006/relationships/footer" Target="footer636.xml"/><Relationship Id="rId643" Type="http://schemas.openxmlformats.org/officeDocument/2006/relationships/footer" Target="footer635.xml"/><Relationship Id="rId642" Type="http://schemas.openxmlformats.org/officeDocument/2006/relationships/footer" Target="footer634.xml"/><Relationship Id="rId641" Type="http://schemas.openxmlformats.org/officeDocument/2006/relationships/footer" Target="footer633.xml"/><Relationship Id="rId640" Type="http://schemas.openxmlformats.org/officeDocument/2006/relationships/footer" Target="footer632.xml"/><Relationship Id="rId64" Type="http://schemas.openxmlformats.org/officeDocument/2006/relationships/footer" Target="footer58.xml"/><Relationship Id="rId639" Type="http://schemas.openxmlformats.org/officeDocument/2006/relationships/footer" Target="footer631.xml"/><Relationship Id="rId638" Type="http://schemas.openxmlformats.org/officeDocument/2006/relationships/footer" Target="footer630.xml"/><Relationship Id="rId637" Type="http://schemas.openxmlformats.org/officeDocument/2006/relationships/footer" Target="footer629.xml"/><Relationship Id="rId636" Type="http://schemas.openxmlformats.org/officeDocument/2006/relationships/footer" Target="footer628.xml"/><Relationship Id="rId635" Type="http://schemas.openxmlformats.org/officeDocument/2006/relationships/footer" Target="footer627.xml"/><Relationship Id="rId634" Type="http://schemas.openxmlformats.org/officeDocument/2006/relationships/footer" Target="footer626.xml"/><Relationship Id="rId633" Type="http://schemas.openxmlformats.org/officeDocument/2006/relationships/footer" Target="footer625.xml"/><Relationship Id="rId632" Type="http://schemas.openxmlformats.org/officeDocument/2006/relationships/footer" Target="footer624.xml"/><Relationship Id="rId631" Type="http://schemas.openxmlformats.org/officeDocument/2006/relationships/footer" Target="footer623.xml"/><Relationship Id="rId630" Type="http://schemas.openxmlformats.org/officeDocument/2006/relationships/footer" Target="footer622.xml"/><Relationship Id="rId63" Type="http://schemas.openxmlformats.org/officeDocument/2006/relationships/footer" Target="footer57.xml"/><Relationship Id="rId629" Type="http://schemas.openxmlformats.org/officeDocument/2006/relationships/footer" Target="footer621.xml"/><Relationship Id="rId628" Type="http://schemas.openxmlformats.org/officeDocument/2006/relationships/footer" Target="footer620.xml"/><Relationship Id="rId627" Type="http://schemas.openxmlformats.org/officeDocument/2006/relationships/footer" Target="footer619.xml"/><Relationship Id="rId626" Type="http://schemas.openxmlformats.org/officeDocument/2006/relationships/footer" Target="footer618.xml"/><Relationship Id="rId625" Type="http://schemas.openxmlformats.org/officeDocument/2006/relationships/footer" Target="footer617.xml"/><Relationship Id="rId624" Type="http://schemas.openxmlformats.org/officeDocument/2006/relationships/footer" Target="footer616.xml"/><Relationship Id="rId623" Type="http://schemas.openxmlformats.org/officeDocument/2006/relationships/footer" Target="footer615.xml"/><Relationship Id="rId622" Type="http://schemas.openxmlformats.org/officeDocument/2006/relationships/footer" Target="footer614.xml"/><Relationship Id="rId621" Type="http://schemas.openxmlformats.org/officeDocument/2006/relationships/footer" Target="footer613.xml"/><Relationship Id="rId620" Type="http://schemas.openxmlformats.org/officeDocument/2006/relationships/footer" Target="footer612.xml"/><Relationship Id="rId62" Type="http://schemas.openxmlformats.org/officeDocument/2006/relationships/footer" Target="footer56.xml"/><Relationship Id="rId619" Type="http://schemas.openxmlformats.org/officeDocument/2006/relationships/footer" Target="footer611.xml"/><Relationship Id="rId618" Type="http://schemas.openxmlformats.org/officeDocument/2006/relationships/footer" Target="footer610.xml"/><Relationship Id="rId617" Type="http://schemas.openxmlformats.org/officeDocument/2006/relationships/footer" Target="footer609.xml"/><Relationship Id="rId616" Type="http://schemas.openxmlformats.org/officeDocument/2006/relationships/footer" Target="footer608.xml"/><Relationship Id="rId615" Type="http://schemas.openxmlformats.org/officeDocument/2006/relationships/footer" Target="footer607.xml"/><Relationship Id="rId614" Type="http://schemas.openxmlformats.org/officeDocument/2006/relationships/footer" Target="footer606.xml"/><Relationship Id="rId613" Type="http://schemas.openxmlformats.org/officeDocument/2006/relationships/footer" Target="footer605.xml"/><Relationship Id="rId612" Type="http://schemas.openxmlformats.org/officeDocument/2006/relationships/footer" Target="footer604.xml"/><Relationship Id="rId611" Type="http://schemas.openxmlformats.org/officeDocument/2006/relationships/footer" Target="footer603.xml"/><Relationship Id="rId610" Type="http://schemas.openxmlformats.org/officeDocument/2006/relationships/footer" Target="footer602.xml"/><Relationship Id="rId61" Type="http://schemas.openxmlformats.org/officeDocument/2006/relationships/footer" Target="footer55.xml"/><Relationship Id="rId609" Type="http://schemas.openxmlformats.org/officeDocument/2006/relationships/footer" Target="footer601.xml"/><Relationship Id="rId608" Type="http://schemas.openxmlformats.org/officeDocument/2006/relationships/footer" Target="footer600.xml"/><Relationship Id="rId607" Type="http://schemas.openxmlformats.org/officeDocument/2006/relationships/footer" Target="footer599.xml"/><Relationship Id="rId606" Type="http://schemas.openxmlformats.org/officeDocument/2006/relationships/footer" Target="footer598.xml"/><Relationship Id="rId605" Type="http://schemas.openxmlformats.org/officeDocument/2006/relationships/footer" Target="footer597.xml"/><Relationship Id="rId604" Type="http://schemas.openxmlformats.org/officeDocument/2006/relationships/footer" Target="footer596.xml"/><Relationship Id="rId603" Type="http://schemas.openxmlformats.org/officeDocument/2006/relationships/footer" Target="footer595.xml"/><Relationship Id="rId602" Type="http://schemas.openxmlformats.org/officeDocument/2006/relationships/footer" Target="footer594.xml"/><Relationship Id="rId601" Type="http://schemas.openxmlformats.org/officeDocument/2006/relationships/footer" Target="footer593.xml"/><Relationship Id="rId600" Type="http://schemas.openxmlformats.org/officeDocument/2006/relationships/footer" Target="footer592.xml"/><Relationship Id="rId60" Type="http://schemas.openxmlformats.org/officeDocument/2006/relationships/footer" Target="footer54.xml"/><Relationship Id="rId6" Type="http://schemas.openxmlformats.org/officeDocument/2006/relationships/header" Target="header2.xml"/><Relationship Id="rId599" Type="http://schemas.openxmlformats.org/officeDocument/2006/relationships/footer" Target="footer591.xml"/><Relationship Id="rId598" Type="http://schemas.openxmlformats.org/officeDocument/2006/relationships/footer" Target="footer590.xml"/><Relationship Id="rId597" Type="http://schemas.openxmlformats.org/officeDocument/2006/relationships/footer" Target="footer589.xml"/><Relationship Id="rId596" Type="http://schemas.openxmlformats.org/officeDocument/2006/relationships/footer" Target="footer588.xml"/><Relationship Id="rId595" Type="http://schemas.openxmlformats.org/officeDocument/2006/relationships/footer" Target="footer587.xml"/><Relationship Id="rId594" Type="http://schemas.openxmlformats.org/officeDocument/2006/relationships/footer" Target="footer586.xml"/><Relationship Id="rId593" Type="http://schemas.openxmlformats.org/officeDocument/2006/relationships/footer" Target="footer585.xml"/><Relationship Id="rId592" Type="http://schemas.openxmlformats.org/officeDocument/2006/relationships/footer" Target="footer584.xml"/><Relationship Id="rId591" Type="http://schemas.openxmlformats.org/officeDocument/2006/relationships/footer" Target="footer583.xml"/><Relationship Id="rId590" Type="http://schemas.openxmlformats.org/officeDocument/2006/relationships/footer" Target="footer582.xml"/><Relationship Id="rId59" Type="http://schemas.openxmlformats.org/officeDocument/2006/relationships/footer" Target="footer53.xml"/><Relationship Id="rId589" Type="http://schemas.openxmlformats.org/officeDocument/2006/relationships/footer" Target="footer581.xml"/><Relationship Id="rId588" Type="http://schemas.openxmlformats.org/officeDocument/2006/relationships/footer" Target="footer580.xml"/><Relationship Id="rId587" Type="http://schemas.openxmlformats.org/officeDocument/2006/relationships/footer" Target="footer579.xml"/><Relationship Id="rId586" Type="http://schemas.openxmlformats.org/officeDocument/2006/relationships/footer" Target="footer578.xml"/><Relationship Id="rId585" Type="http://schemas.openxmlformats.org/officeDocument/2006/relationships/footer" Target="footer577.xml"/><Relationship Id="rId584" Type="http://schemas.openxmlformats.org/officeDocument/2006/relationships/footer" Target="footer576.xml"/><Relationship Id="rId583" Type="http://schemas.openxmlformats.org/officeDocument/2006/relationships/footer" Target="footer575.xml"/><Relationship Id="rId582" Type="http://schemas.openxmlformats.org/officeDocument/2006/relationships/footer" Target="footer574.xml"/><Relationship Id="rId581" Type="http://schemas.openxmlformats.org/officeDocument/2006/relationships/footer" Target="footer573.xml"/><Relationship Id="rId580" Type="http://schemas.openxmlformats.org/officeDocument/2006/relationships/footer" Target="footer572.xml"/><Relationship Id="rId58" Type="http://schemas.openxmlformats.org/officeDocument/2006/relationships/footer" Target="footer52.xml"/><Relationship Id="rId579" Type="http://schemas.openxmlformats.org/officeDocument/2006/relationships/footer" Target="footer571.xml"/><Relationship Id="rId578" Type="http://schemas.openxmlformats.org/officeDocument/2006/relationships/footer" Target="footer570.xml"/><Relationship Id="rId577" Type="http://schemas.openxmlformats.org/officeDocument/2006/relationships/footer" Target="footer569.xml"/><Relationship Id="rId576" Type="http://schemas.openxmlformats.org/officeDocument/2006/relationships/footer" Target="footer568.xml"/><Relationship Id="rId575" Type="http://schemas.openxmlformats.org/officeDocument/2006/relationships/footer" Target="footer567.xml"/><Relationship Id="rId574" Type="http://schemas.openxmlformats.org/officeDocument/2006/relationships/footer" Target="footer566.xml"/><Relationship Id="rId573" Type="http://schemas.openxmlformats.org/officeDocument/2006/relationships/footer" Target="footer565.xml"/><Relationship Id="rId572" Type="http://schemas.openxmlformats.org/officeDocument/2006/relationships/footer" Target="footer564.xml"/><Relationship Id="rId571" Type="http://schemas.openxmlformats.org/officeDocument/2006/relationships/footer" Target="footer563.xml"/><Relationship Id="rId570" Type="http://schemas.openxmlformats.org/officeDocument/2006/relationships/footer" Target="footer562.xml"/><Relationship Id="rId57" Type="http://schemas.openxmlformats.org/officeDocument/2006/relationships/footer" Target="footer51.xml"/><Relationship Id="rId569" Type="http://schemas.openxmlformats.org/officeDocument/2006/relationships/footer" Target="footer561.xml"/><Relationship Id="rId568" Type="http://schemas.openxmlformats.org/officeDocument/2006/relationships/footer" Target="footer560.xml"/><Relationship Id="rId567" Type="http://schemas.openxmlformats.org/officeDocument/2006/relationships/footer" Target="footer559.xml"/><Relationship Id="rId566" Type="http://schemas.openxmlformats.org/officeDocument/2006/relationships/footer" Target="footer558.xml"/><Relationship Id="rId565" Type="http://schemas.openxmlformats.org/officeDocument/2006/relationships/footer" Target="footer557.xml"/><Relationship Id="rId564" Type="http://schemas.openxmlformats.org/officeDocument/2006/relationships/footer" Target="footer556.xml"/><Relationship Id="rId563" Type="http://schemas.openxmlformats.org/officeDocument/2006/relationships/footer" Target="footer555.xml"/><Relationship Id="rId562" Type="http://schemas.openxmlformats.org/officeDocument/2006/relationships/footer" Target="footer554.xml"/><Relationship Id="rId561" Type="http://schemas.openxmlformats.org/officeDocument/2006/relationships/footer" Target="footer553.xml"/><Relationship Id="rId560" Type="http://schemas.openxmlformats.org/officeDocument/2006/relationships/footer" Target="footer552.xml"/><Relationship Id="rId56" Type="http://schemas.openxmlformats.org/officeDocument/2006/relationships/footer" Target="footer50.xml"/><Relationship Id="rId559" Type="http://schemas.openxmlformats.org/officeDocument/2006/relationships/footer" Target="footer551.xml"/><Relationship Id="rId558" Type="http://schemas.openxmlformats.org/officeDocument/2006/relationships/footer" Target="footer550.xml"/><Relationship Id="rId557" Type="http://schemas.openxmlformats.org/officeDocument/2006/relationships/footer" Target="footer549.xml"/><Relationship Id="rId556" Type="http://schemas.openxmlformats.org/officeDocument/2006/relationships/footer" Target="footer548.xml"/><Relationship Id="rId555" Type="http://schemas.openxmlformats.org/officeDocument/2006/relationships/footer" Target="footer547.xml"/><Relationship Id="rId554" Type="http://schemas.openxmlformats.org/officeDocument/2006/relationships/footer" Target="footer546.xml"/><Relationship Id="rId553" Type="http://schemas.openxmlformats.org/officeDocument/2006/relationships/footer" Target="footer545.xml"/><Relationship Id="rId552" Type="http://schemas.openxmlformats.org/officeDocument/2006/relationships/footer" Target="footer544.xml"/><Relationship Id="rId551" Type="http://schemas.openxmlformats.org/officeDocument/2006/relationships/footer" Target="footer543.xml"/><Relationship Id="rId550" Type="http://schemas.openxmlformats.org/officeDocument/2006/relationships/footer" Target="footer542.xml"/><Relationship Id="rId55" Type="http://schemas.openxmlformats.org/officeDocument/2006/relationships/footer" Target="footer49.xml"/><Relationship Id="rId549" Type="http://schemas.openxmlformats.org/officeDocument/2006/relationships/footer" Target="footer541.xml"/><Relationship Id="rId548" Type="http://schemas.openxmlformats.org/officeDocument/2006/relationships/footer" Target="footer540.xml"/><Relationship Id="rId547" Type="http://schemas.openxmlformats.org/officeDocument/2006/relationships/footer" Target="footer539.xml"/><Relationship Id="rId546" Type="http://schemas.openxmlformats.org/officeDocument/2006/relationships/footer" Target="footer538.xml"/><Relationship Id="rId545" Type="http://schemas.openxmlformats.org/officeDocument/2006/relationships/footer" Target="footer537.xml"/><Relationship Id="rId544" Type="http://schemas.openxmlformats.org/officeDocument/2006/relationships/footer" Target="footer536.xml"/><Relationship Id="rId543" Type="http://schemas.openxmlformats.org/officeDocument/2006/relationships/footer" Target="footer535.xml"/><Relationship Id="rId542" Type="http://schemas.openxmlformats.org/officeDocument/2006/relationships/footer" Target="footer534.xml"/><Relationship Id="rId541" Type="http://schemas.openxmlformats.org/officeDocument/2006/relationships/footer" Target="footer533.xml"/><Relationship Id="rId540" Type="http://schemas.openxmlformats.org/officeDocument/2006/relationships/footer" Target="footer532.xml"/><Relationship Id="rId54" Type="http://schemas.openxmlformats.org/officeDocument/2006/relationships/footer" Target="footer48.xml"/><Relationship Id="rId539" Type="http://schemas.openxmlformats.org/officeDocument/2006/relationships/footer" Target="footer531.xml"/><Relationship Id="rId538" Type="http://schemas.openxmlformats.org/officeDocument/2006/relationships/footer" Target="footer530.xml"/><Relationship Id="rId537" Type="http://schemas.openxmlformats.org/officeDocument/2006/relationships/footer" Target="footer529.xml"/><Relationship Id="rId536" Type="http://schemas.openxmlformats.org/officeDocument/2006/relationships/footer" Target="footer528.xml"/><Relationship Id="rId535" Type="http://schemas.openxmlformats.org/officeDocument/2006/relationships/footer" Target="footer527.xml"/><Relationship Id="rId534" Type="http://schemas.openxmlformats.org/officeDocument/2006/relationships/footer" Target="footer526.xml"/><Relationship Id="rId533" Type="http://schemas.openxmlformats.org/officeDocument/2006/relationships/footer" Target="footer525.xml"/><Relationship Id="rId532" Type="http://schemas.openxmlformats.org/officeDocument/2006/relationships/footer" Target="footer524.xml"/><Relationship Id="rId531" Type="http://schemas.openxmlformats.org/officeDocument/2006/relationships/footer" Target="footer523.xml"/><Relationship Id="rId530" Type="http://schemas.openxmlformats.org/officeDocument/2006/relationships/footer" Target="footer522.xml"/><Relationship Id="rId53" Type="http://schemas.openxmlformats.org/officeDocument/2006/relationships/footer" Target="footer47.xml"/><Relationship Id="rId529" Type="http://schemas.openxmlformats.org/officeDocument/2006/relationships/footer" Target="footer521.xml"/><Relationship Id="rId528" Type="http://schemas.openxmlformats.org/officeDocument/2006/relationships/footer" Target="footer520.xml"/><Relationship Id="rId527" Type="http://schemas.openxmlformats.org/officeDocument/2006/relationships/footer" Target="footer519.xml"/><Relationship Id="rId526" Type="http://schemas.openxmlformats.org/officeDocument/2006/relationships/footer" Target="footer518.xml"/><Relationship Id="rId525" Type="http://schemas.openxmlformats.org/officeDocument/2006/relationships/footer" Target="footer517.xml"/><Relationship Id="rId524" Type="http://schemas.openxmlformats.org/officeDocument/2006/relationships/footer" Target="footer516.xml"/><Relationship Id="rId523" Type="http://schemas.openxmlformats.org/officeDocument/2006/relationships/footer" Target="footer515.xml"/><Relationship Id="rId522" Type="http://schemas.openxmlformats.org/officeDocument/2006/relationships/footer" Target="footer514.xml"/><Relationship Id="rId521" Type="http://schemas.openxmlformats.org/officeDocument/2006/relationships/footer" Target="footer513.xml"/><Relationship Id="rId520" Type="http://schemas.openxmlformats.org/officeDocument/2006/relationships/footer" Target="footer512.xml"/><Relationship Id="rId52" Type="http://schemas.openxmlformats.org/officeDocument/2006/relationships/footer" Target="footer46.xml"/><Relationship Id="rId519" Type="http://schemas.openxmlformats.org/officeDocument/2006/relationships/footer" Target="footer511.xml"/><Relationship Id="rId518" Type="http://schemas.openxmlformats.org/officeDocument/2006/relationships/footer" Target="footer510.xml"/><Relationship Id="rId517" Type="http://schemas.openxmlformats.org/officeDocument/2006/relationships/footer" Target="footer509.xml"/><Relationship Id="rId516" Type="http://schemas.openxmlformats.org/officeDocument/2006/relationships/footer" Target="footer508.xml"/><Relationship Id="rId515" Type="http://schemas.openxmlformats.org/officeDocument/2006/relationships/footer" Target="footer507.xml"/><Relationship Id="rId514" Type="http://schemas.openxmlformats.org/officeDocument/2006/relationships/footer" Target="footer506.xml"/><Relationship Id="rId513" Type="http://schemas.openxmlformats.org/officeDocument/2006/relationships/footer" Target="footer505.xml"/><Relationship Id="rId512" Type="http://schemas.openxmlformats.org/officeDocument/2006/relationships/footer" Target="footer504.xml"/><Relationship Id="rId511" Type="http://schemas.openxmlformats.org/officeDocument/2006/relationships/footer" Target="footer503.xml"/><Relationship Id="rId510" Type="http://schemas.openxmlformats.org/officeDocument/2006/relationships/footer" Target="footer502.xml"/><Relationship Id="rId51" Type="http://schemas.openxmlformats.org/officeDocument/2006/relationships/footer" Target="footer45.xml"/><Relationship Id="rId509" Type="http://schemas.openxmlformats.org/officeDocument/2006/relationships/footer" Target="footer501.xml"/><Relationship Id="rId508" Type="http://schemas.openxmlformats.org/officeDocument/2006/relationships/footer" Target="footer500.xml"/><Relationship Id="rId507" Type="http://schemas.openxmlformats.org/officeDocument/2006/relationships/footer" Target="footer499.xml"/><Relationship Id="rId506" Type="http://schemas.openxmlformats.org/officeDocument/2006/relationships/footer" Target="footer498.xml"/><Relationship Id="rId505" Type="http://schemas.openxmlformats.org/officeDocument/2006/relationships/header" Target="header4.xml"/><Relationship Id="rId504" Type="http://schemas.openxmlformats.org/officeDocument/2006/relationships/footer" Target="footer497.xml"/><Relationship Id="rId503" Type="http://schemas.openxmlformats.org/officeDocument/2006/relationships/header" Target="header3.xml"/><Relationship Id="rId502" Type="http://schemas.openxmlformats.org/officeDocument/2006/relationships/footer" Target="footer496.xml"/><Relationship Id="rId501" Type="http://schemas.openxmlformats.org/officeDocument/2006/relationships/footer" Target="footer495.xml"/><Relationship Id="rId500" Type="http://schemas.openxmlformats.org/officeDocument/2006/relationships/footer" Target="footer494.xml"/><Relationship Id="rId50" Type="http://schemas.openxmlformats.org/officeDocument/2006/relationships/footer" Target="footer44.xml"/><Relationship Id="rId5" Type="http://schemas.openxmlformats.org/officeDocument/2006/relationships/header" Target="header1.xml"/><Relationship Id="rId499" Type="http://schemas.openxmlformats.org/officeDocument/2006/relationships/footer" Target="footer493.xml"/><Relationship Id="rId498" Type="http://schemas.openxmlformats.org/officeDocument/2006/relationships/footer" Target="footer492.xml"/><Relationship Id="rId497" Type="http://schemas.openxmlformats.org/officeDocument/2006/relationships/footer" Target="footer491.xml"/><Relationship Id="rId496" Type="http://schemas.openxmlformats.org/officeDocument/2006/relationships/footer" Target="footer490.xml"/><Relationship Id="rId495" Type="http://schemas.openxmlformats.org/officeDocument/2006/relationships/footer" Target="footer489.xml"/><Relationship Id="rId494" Type="http://schemas.openxmlformats.org/officeDocument/2006/relationships/footer" Target="footer488.xml"/><Relationship Id="rId493" Type="http://schemas.openxmlformats.org/officeDocument/2006/relationships/footer" Target="footer487.xml"/><Relationship Id="rId492" Type="http://schemas.openxmlformats.org/officeDocument/2006/relationships/footer" Target="footer486.xml"/><Relationship Id="rId491" Type="http://schemas.openxmlformats.org/officeDocument/2006/relationships/footer" Target="footer485.xml"/><Relationship Id="rId490" Type="http://schemas.openxmlformats.org/officeDocument/2006/relationships/footer" Target="footer484.xml"/><Relationship Id="rId49" Type="http://schemas.openxmlformats.org/officeDocument/2006/relationships/footer" Target="footer43.xml"/><Relationship Id="rId489" Type="http://schemas.openxmlformats.org/officeDocument/2006/relationships/footer" Target="footer483.xml"/><Relationship Id="rId488" Type="http://schemas.openxmlformats.org/officeDocument/2006/relationships/footer" Target="footer482.xml"/><Relationship Id="rId487" Type="http://schemas.openxmlformats.org/officeDocument/2006/relationships/footer" Target="footer481.xml"/><Relationship Id="rId486" Type="http://schemas.openxmlformats.org/officeDocument/2006/relationships/footer" Target="footer480.xml"/><Relationship Id="rId485" Type="http://schemas.openxmlformats.org/officeDocument/2006/relationships/footer" Target="footer479.xml"/><Relationship Id="rId484" Type="http://schemas.openxmlformats.org/officeDocument/2006/relationships/footer" Target="footer478.xml"/><Relationship Id="rId483" Type="http://schemas.openxmlformats.org/officeDocument/2006/relationships/footer" Target="footer477.xml"/><Relationship Id="rId482" Type="http://schemas.openxmlformats.org/officeDocument/2006/relationships/footer" Target="footer476.xml"/><Relationship Id="rId481" Type="http://schemas.openxmlformats.org/officeDocument/2006/relationships/footer" Target="footer475.xml"/><Relationship Id="rId480" Type="http://schemas.openxmlformats.org/officeDocument/2006/relationships/footer" Target="footer474.xml"/><Relationship Id="rId48" Type="http://schemas.openxmlformats.org/officeDocument/2006/relationships/footer" Target="footer42.xml"/><Relationship Id="rId479" Type="http://schemas.openxmlformats.org/officeDocument/2006/relationships/footer" Target="footer473.xml"/><Relationship Id="rId478" Type="http://schemas.openxmlformats.org/officeDocument/2006/relationships/footer" Target="footer472.xml"/><Relationship Id="rId477" Type="http://schemas.openxmlformats.org/officeDocument/2006/relationships/footer" Target="footer471.xml"/><Relationship Id="rId476" Type="http://schemas.openxmlformats.org/officeDocument/2006/relationships/footer" Target="footer470.xml"/><Relationship Id="rId475" Type="http://schemas.openxmlformats.org/officeDocument/2006/relationships/footer" Target="footer469.xml"/><Relationship Id="rId474" Type="http://schemas.openxmlformats.org/officeDocument/2006/relationships/footer" Target="footer468.xml"/><Relationship Id="rId473" Type="http://schemas.openxmlformats.org/officeDocument/2006/relationships/footer" Target="footer467.xml"/><Relationship Id="rId472" Type="http://schemas.openxmlformats.org/officeDocument/2006/relationships/footer" Target="footer466.xml"/><Relationship Id="rId471" Type="http://schemas.openxmlformats.org/officeDocument/2006/relationships/footer" Target="footer465.xml"/><Relationship Id="rId470" Type="http://schemas.openxmlformats.org/officeDocument/2006/relationships/footer" Target="footer464.xml"/><Relationship Id="rId47" Type="http://schemas.openxmlformats.org/officeDocument/2006/relationships/footer" Target="footer41.xml"/><Relationship Id="rId469" Type="http://schemas.openxmlformats.org/officeDocument/2006/relationships/footer" Target="footer463.xml"/><Relationship Id="rId468" Type="http://schemas.openxmlformats.org/officeDocument/2006/relationships/footer" Target="footer462.xml"/><Relationship Id="rId467" Type="http://schemas.openxmlformats.org/officeDocument/2006/relationships/footer" Target="footer461.xml"/><Relationship Id="rId466" Type="http://schemas.openxmlformats.org/officeDocument/2006/relationships/footer" Target="footer460.xml"/><Relationship Id="rId465" Type="http://schemas.openxmlformats.org/officeDocument/2006/relationships/footer" Target="footer459.xml"/><Relationship Id="rId464" Type="http://schemas.openxmlformats.org/officeDocument/2006/relationships/footer" Target="footer458.xml"/><Relationship Id="rId463" Type="http://schemas.openxmlformats.org/officeDocument/2006/relationships/footer" Target="footer457.xml"/><Relationship Id="rId462" Type="http://schemas.openxmlformats.org/officeDocument/2006/relationships/footer" Target="footer456.xml"/><Relationship Id="rId461" Type="http://schemas.openxmlformats.org/officeDocument/2006/relationships/footer" Target="footer455.xml"/><Relationship Id="rId460" Type="http://schemas.openxmlformats.org/officeDocument/2006/relationships/footer" Target="footer454.xml"/><Relationship Id="rId46" Type="http://schemas.openxmlformats.org/officeDocument/2006/relationships/footer" Target="footer40.xml"/><Relationship Id="rId459" Type="http://schemas.openxmlformats.org/officeDocument/2006/relationships/footer" Target="footer453.xml"/><Relationship Id="rId458" Type="http://schemas.openxmlformats.org/officeDocument/2006/relationships/footer" Target="footer452.xml"/><Relationship Id="rId457" Type="http://schemas.openxmlformats.org/officeDocument/2006/relationships/footer" Target="footer451.xml"/><Relationship Id="rId456" Type="http://schemas.openxmlformats.org/officeDocument/2006/relationships/footer" Target="footer450.xml"/><Relationship Id="rId455" Type="http://schemas.openxmlformats.org/officeDocument/2006/relationships/footer" Target="footer449.xml"/><Relationship Id="rId454" Type="http://schemas.openxmlformats.org/officeDocument/2006/relationships/footer" Target="footer448.xml"/><Relationship Id="rId453" Type="http://schemas.openxmlformats.org/officeDocument/2006/relationships/footer" Target="footer447.xml"/><Relationship Id="rId452" Type="http://schemas.openxmlformats.org/officeDocument/2006/relationships/footer" Target="footer446.xml"/><Relationship Id="rId451" Type="http://schemas.openxmlformats.org/officeDocument/2006/relationships/footer" Target="footer445.xml"/><Relationship Id="rId450" Type="http://schemas.openxmlformats.org/officeDocument/2006/relationships/footer" Target="footer444.xml"/><Relationship Id="rId45" Type="http://schemas.openxmlformats.org/officeDocument/2006/relationships/footer" Target="footer39.xml"/><Relationship Id="rId449" Type="http://schemas.openxmlformats.org/officeDocument/2006/relationships/footer" Target="footer443.xml"/><Relationship Id="rId448" Type="http://schemas.openxmlformats.org/officeDocument/2006/relationships/footer" Target="footer442.xml"/><Relationship Id="rId447" Type="http://schemas.openxmlformats.org/officeDocument/2006/relationships/footer" Target="footer441.xml"/><Relationship Id="rId446" Type="http://schemas.openxmlformats.org/officeDocument/2006/relationships/footer" Target="footer440.xml"/><Relationship Id="rId445" Type="http://schemas.openxmlformats.org/officeDocument/2006/relationships/footer" Target="footer439.xml"/><Relationship Id="rId444" Type="http://schemas.openxmlformats.org/officeDocument/2006/relationships/footer" Target="footer438.xml"/><Relationship Id="rId443" Type="http://schemas.openxmlformats.org/officeDocument/2006/relationships/footer" Target="footer437.xml"/><Relationship Id="rId442" Type="http://schemas.openxmlformats.org/officeDocument/2006/relationships/footer" Target="footer436.xml"/><Relationship Id="rId441" Type="http://schemas.openxmlformats.org/officeDocument/2006/relationships/footer" Target="footer435.xml"/><Relationship Id="rId440" Type="http://schemas.openxmlformats.org/officeDocument/2006/relationships/footer" Target="footer434.xml"/><Relationship Id="rId44" Type="http://schemas.openxmlformats.org/officeDocument/2006/relationships/footer" Target="footer38.xml"/><Relationship Id="rId439" Type="http://schemas.openxmlformats.org/officeDocument/2006/relationships/footer" Target="footer433.xml"/><Relationship Id="rId438" Type="http://schemas.openxmlformats.org/officeDocument/2006/relationships/footer" Target="footer432.xml"/><Relationship Id="rId437" Type="http://schemas.openxmlformats.org/officeDocument/2006/relationships/footer" Target="footer431.xml"/><Relationship Id="rId436" Type="http://schemas.openxmlformats.org/officeDocument/2006/relationships/footer" Target="footer430.xml"/><Relationship Id="rId435" Type="http://schemas.openxmlformats.org/officeDocument/2006/relationships/footer" Target="footer429.xml"/><Relationship Id="rId434" Type="http://schemas.openxmlformats.org/officeDocument/2006/relationships/footer" Target="footer428.xml"/><Relationship Id="rId433" Type="http://schemas.openxmlformats.org/officeDocument/2006/relationships/footer" Target="footer427.xml"/><Relationship Id="rId432" Type="http://schemas.openxmlformats.org/officeDocument/2006/relationships/footer" Target="footer426.xml"/><Relationship Id="rId431" Type="http://schemas.openxmlformats.org/officeDocument/2006/relationships/footer" Target="footer425.xml"/><Relationship Id="rId430" Type="http://schemas.openxmlformats.org/officeDocument/2006/relationships/footer" Target="footer424.xml"/><Relationship Id="rId43" Type="http://schemas.openxmlformats.org/officeDocument/2006/relationships/footer" Target="footer37.xml"/><Relationship Id="rId429" Type="http://schemas.openxmlformats.org/officeDocument/2006/relationships/footer" Target="footer423.xml"/><Relationship Id="rId428" Type="http://schemas.openxmlformats.org/officeDocument/2006/relationships/footer" Target="footer422.xml"/><Relationship Id="rId427" Type="http://schemas.openxmlformats.org/officeDocument/2006/relationships/footer" Target="footer421.xml"/><Relationship Id="rId426" Type="http://schemas.openxmlformats.org/officeDocument/2006/relationships/footer" Target="footer420.xml"/><Relationship Id="rId425" Type="http://schemas.openxmlformats.org/officeDocument/2006/relationships/footer" Target="footer419.xml"/><Relationship Id="rId424" Type="http://schemas.openxmlformats.org/officeDocument/2006/relationships/footer" Target="footer418.xml"/><Relationship Id="rId423" Type="http://schemas.openxmlformats.org/officeDocument/2006/relationships/footer" Target="footer417.xml"/><Relationship Id="rId422" Type="http://schemas.openxmlformats.org/officeDocument/2006/relationships/footer" Target="footer416.xml"/><Relationship Id="rId421" Type="http://schemas.openxmlformats.org/officeDocument/2006/relationships/footer" Target="footer415.xml"/><Relationship Id="rId420" Type="http://schemas.openxmlformats.org/officeDocument/2006/relationships/footer" Target="footer414.xml"/><Relationship Id="rId42" Type="http://schemas.openxmlformats.org/officeDocument/2006/relationships/footer" Target="footer36.xml"/><Relationship Id="rId419" Type="http://schemas.openxmlformats.org/officeDocument/2006/relationships/footer" Target="footer413.xml"/><Relationship Id="rId418" Type="http://schemas.openxmlformats.org/officeDocument/2006/relationships/footer" Target="footer412.xml"/><Relationship Id="rId417" Type="http://schemas.openxmlformats.org/officeDocument/2006/relationships/footer" Target="footer411.xml"/><Relationship Id="rId416" Type="http://schemas.openxmlformats.org/officeDocument/2006/relationships/footer" Target="footer410.xml"/><Relationship Id="rId415" Type="http://schemas.openxmlformats.org/officeDocument/2006/relationships/footer" Target="footer409.xml"/><Relationship Id="rId414" Type="http://schemas.openxmlformats.org/officeDocument/2006/relationships/footer" Target="footer408.xml"/><Relationship Id="rId413" Type="http://schemas.openxmlformats.org/officeDocument/2006/relationships/footer" Target="footer407.xml"/><Relationship Id="rId412" Type="http://schemas.openxmlformats.org/officeDocument/2006/relationships/footer" Target="footer406.xml"/><Relationship Id="rId411" Type="http://schemas.openxmlformats.org/officeDocument/2006/relationships/footer" Target="footer405.xml"/><Relationship Id="rId410" Type="http://schemas.openxmlformats.org/officeDocument/2006/relationships/footer" Target="footer404.xml"/><Relationship Id="rId41" Type="http://schemas.openxmlformats.org/officeDocument/2006/relationships/footer" Target="footer35.xml"/><Relationship Id="rId409" Type="http://schemas.openxmlformats.org/officeDocument/2006/relationships/footer" Target="footer403.xml"/><Relationship Id="rId408" Type="http://schemas.openxmlformats.org/officeDocument/2006/relationships/footer" Target="footer402.xml"/><Relationship Id="rId407" Type="http://schemas.openxmlformats.org/officeDocument/2006/relationships/footer" Target="footer401.xml"/><Relationship Id="rId406" Type="http://schemas.openxmlformats.org/officeDocument/2006/relationships/footer" Target="footer400.xml"/><Relationship Id="rId405" Type="http://schemas.openxmlformats.org/officeDocument/2006/relationships/footer" Target="footer399.xml"/><Relationship Id="rId404" Type="http://schemas.openxmlformats.org/officeDocument/2006/relationships/footer" Target="footer398.xml"/><Relationship Id="rId403" Type="http://schemas.openxmlformats.org/officeDocument/2006/relationships/footer" Target="footer397.xml"/><Relationship Id="rId402" Type="http://schemas.openxmlformats.org/officeDocument/2006/relationships/footer" Target="footer396.xml"/><Relationship Id="rId401" Type="http://schemas.openxmlformats.org/officeDocument/2006/relationships/footer" Target="footer395.xml"/><Relationship Id="rId400" Type="http://schemas.openxmlformats.org/officeDocument/2006/relationships/footer" Target="footer394.xml"/><Relationship Id="rId40" Type="http://schemas.openxmlformats.org/officeDocument/2006/relationships/footer" Target="footer34.xml"/><Relationship Id="rId4" Type="http://schemas.openxmlformats.org/officeDocument/2006/relationships/endnotes" Target="endnotes.xml"/><Relationship Id="rId399" Type="http://schemas.openxmlformats.org/officeDocument/2006/relationships/footer" Target="footer393.xml"/><Relationship Id="rId398" Type="http://schemas.openxmlformats.org/officeDocument/2006/relationships/footer" Target="footer392.xml"/><Relationship Id="rId397" Type="http://schemas.openxmlformats.org/officeDocument/2006/relationships/footer" Target="footer391.xml"/><Relationship Id="rId396" Type="http://schemas.openxmlformats.org/officeDocument/2006/relationships/footer" Target="footer390.xml"/><Relationship Id="rId395" Type="http://schemas.openxmlformats.org/officeDocument/2006/relationships/footer" Target="footer389.xml"/><Relationship Id="rId394" Type="http://schemas.openxmlformats.org/officeDocument/2006/relationships/footer" Target="footer388.xml"/><Relationship Id="rId393" Type="http://schemas.openxmlformats.org/officeDocument/2006/relationships/footer" Target="footer387.xml"/><Relationship Id="rId392" Type="http://schemas.openxmlformats.org/officeDocument/2006/relationships/footer" Target="footer386.xml"/><Relationship Id="rId391" Type="http://schemas.openxmlformats.org/officeDocument/2006/relationships/footer" Target="footer385.xml"/><Relationship Id="rId390" Type="http://schemas.openxmlformats.org/officeDocument/2006/relationships/footer" Target="footer384.xml"/><Relationship Id="rId39" Type="http://schemas.openxmlformats.org/officeDocument/2006/relationships/footer" Target="footer33.xml"/><Relationship Id="rId389" Type="http://schemas.openxmlformats.org/officeDocument/2006/relationships/footer" Target="footer383.xml"/><Relationship Id="rId388" Type="http://schemas.openxmlformats.org/officeDocument/2006/relationships/footer" Target="footer382.xml"/><Relationship Id="rId387" Type="http://schemas.openxmlformats.org/officeDocument/2006/relationships/footer" Target="footer381.xml"/><Relationship Id="rId386" Type="http://schemas.openxmlformats.org/officeDocument/2006/relationships/footer" Target="footer380.xml"/><Relationship Id="rId385" Type="http://schemas.openxmlformats.org/officeDocument/2006/relationships/footer" Target="footer379.xml"/><Relationship Id="rId384" Type="http://schemas.openxmlformats.org/officeDocument/2006/relationships/footer" Target="footer378.xml"/><Relationship Id="rId383" Type="http://schemas.openxmlformats.org/officeDocument/2006/relationships/footer" Target="footer377.xml"/><Relationship Id="rId382" Type="http://schemas.openxmlformats.org/officeDocument/2006/relationships/footer" Target="footer376.xml"/><Relationship Id="rId381" Type="http://schemas.openxmlformats.org/officeDocument/2006/relationships/footer" Target="footer375.xml"/><Relationship Id="rId380" Type="http://schemas.openxmlformats.org/officeDocument/2006/relationships/footer" Target="footer374.xml"/><Relationship Id="rId38" Type="http://schemas.openxmlformats.org/officeDocument/2006/relationships/footer" Target="footer32.xml"/><Relationship Id="rId379" Type="http://schemas.openxmlformats.org/officeDocument/2006/relationships/footer" Target="footer373.xml"/><Relationship Id="rId378" Type="http://schemas.openxmlformats.org/officeDocument/2006/relationships/footer" Target="footer372.xml"/><Relationship Id="rId377" Type="http://schemas.openxmlformats.org/officeDocument/2006/relationships/footer" Target="footer371.xml"/><Relationship Id="rId376" Type="http://schemas.openxmlformats.org/officeDocument/2006/relationships/footer" Target="footer370.xml"/><Relationship Id="rId375" Type="http://schemas.openxmlformats.org/officeDocument/2006/relationships/footer" Target="footer369.xml"/><Relationship Id="rId374" Type="http://schemas.openxmlformats.org/officeDocument/2006/relationships/footer" Target="footer368.xml"/><Relationship Id="rId373" Type="http://schemas.openxmlformats.org/officeDocument/2006/relationships/footer" Target="footer367.xml"/><Relationship Id="rId372" Type="http://schemas.openxmlformats.org/officeDocument/2006/relationships/footer" Target="footer366.xml"/><Relationship Id="rId371" Type="http://schemas.openxmlformats.org/officeDocument/2006/relationships/footer" Target="footer365.xml"/><Relationship Id="rId370" Type="http://schemas.openxmlformats.org/officeDocument/2006/relationships/footer" Target="footer364.xml"/><Relationship Id="rId37" Type="http://schemas.openxmlformats.org/officeDocument/2006/relationships/footer" Target="footer31.xml"/><Relationship Id="rId369" Type="http://schemas.openxmlformats.org/officeDocument/2006/relationships/footer" Target="footer363.xml"/><Relationship Id="rId368" Type="http://schemas.openxmlformats.org/officeDocument/2006/relationships/footer" Target="footer362.xml"/><Relationship Id="rId367" Type="http://schemas.openxmlformats.org/officeDocument/2006/relationships/footer" Target="footer361.xml"/><Relationship Id="rId366" Type="http://schemas.openxmlformats.org/officeDocument/2006/relationships/footer" Target="footer360.xml"/><Relationship Id="rId365" Type="http://schemas.openxmlformats.org/officeDocument/2006/relationships/footer" Target="footer359.xml"/><Relationship Id="rId364" Type="http://schemas.openxmlformats.org/officeDocument/2006/relationships/footer" Target="footer358.xml"/><Relationship Id="rId363" Type="http://schemas.openxmlformats.org/officeDocument/2006/relationships/footer" Target="footer357.xml"/><Relationship Id="rId362" Type="http://schemas.openxmlformats.org/officeDocument/2006/relationships/footer" Target="footer356.xml"/><Relationship Id="rId361" Type="http://schemas.openxmlformats.org/officeDocument/2006/relationships/footer" Target="footer355.xml"/><Relationship Id="rId360" Type="http://schemas.openxmlformats.org/officeDocument/2006/relationships/footer" Target="footer354.xml"/><Relationship Id="rId36" Type="http://schemas.openxmlformats.org/officeDocument/2006/relationships/footer" Target="footer30.xml"/><Relationship Id="rId359" Type="http://schemas.openxmlformats.org/officeDocument/2006/relationships/footer" Target="footer353.xml"/><Relationship Id="rId358" Type="http://schemas.openxmlformats.org/officeDocument/2006/relationships/footer" Target="footer352.xml"/><Relationship Id="rId357" Type="http://schemas.openxmlformats.org/officeDocument/2006/relationships/footer" Target="footer351.xml"/><Relationship Id="rId356" Type="http://schemas.openxmlformats.org/officeDocument/2006/relationships/footer" Target="footer350.xml"/><Relationship Id="rId355" Type="http://schemas.openxmlformats.org/officeDocument/2006/relationships/footer" Target="footer349.xml"/><Relationship Id="rId354" Type="http://schemas.openxmlformats.org/officeDocument/2006/relationships/footer" Target="footer348.xml"/><Relationship Id="rId353" Type="http://schemas.openxmlformats.org/officeDocument/2006/relationships/footer" Target="footer347.xml"/><Relationship Id="rId352" Type="http://schemas.openxmlformats.org/officeDocument/2006/relationships/footer" Target="footer346.xml"/><Relationship Id="rId351" Type="http://schemas.openxmlformats.org/officeDocument/2006/relationships/footer" Target="footer345.xml"/><Relationship Id="rId350" Type="http://schemas.openxmlformats.org/officeDocument/2006/relationships/footer" Target="footer344.xml"/><Relationship Id="rId35" Type="http://schemas.openxmlformats.org/officeDocument/2006/relationships/footer" Target="footer29.xml"/><Relationship Id="rId349" Type="http://schemas.openxmlformats.org/officeDocument/2006/relationships/footer" Target="footer343.xml"/><Relationship Id="rId348" Type="http://schemas.openxmlformats.org/officeDocument/2006/relationships/footer" Target="footer342.xml"/><Relationship Id="rId347" Type="http://schemas.openxmlformats.org/officeDocument/2006/relationships/footer" Target="footer341.xml"/><Relationship Id="rId346" Type="http://schemas.openxmlformats.org/officeDocument/2006/relationships/footer" Target="footer340.xml"/><Relationship Id="rId345" Type="http://schemas.openxmlformats.org/officeDocument/2006/relationships/footer" Target="footer339.xml"/><Relationship Id="rId344" Type="http://schemas.openxmlformats.org/officeDocument/2006/relationships/footer" Target="footer338.xml"/><Relationship Id="rId343" Type="http://schemas.openxmlformats.org/officeDocument/2006/relationships/footer" Target="footer337.xml"/><Relationship Id="rId342" Type="http://schemas.openxmlformats.org/officeDocument/2006/relationships/footer" Target="footer336.xml"/><Relationship Id="rId341" Type="http://schemas.openxmlformats.org/officeDocument/2006/relationships/footer" Target="footer335.xml"/><Relationship Id="rId340" Type="http://schemas.openxmlformats.org/officeDocument/2006/relationships/footer" Target="footer334.xml"/><Relationship Id="rId34" Type="http://schemas.openxmlformats.org/officeDocument/2006/relationships/footer" Target="footer28.xml"/><Relationship Id="rId339" Type="http://schemas.openxmlformats.org/officeDocument/2006/relationships/footer" Target="footer333.xml"/><Relationship Id="rId338" Type="http://schemas.openxmlformats.org/officeDocument/2006/relationships/footer" Target="footer332.xml"/><Relationship Id="rId337" Type="http://schemas.openxmlformats.org/officeDocument/2006/relationships/footer" Target="footer331.xml"/><Relationship Id="rId336" Type="http://schemas.openxmlformats.org/officeDocument/2006/relationships/footer" Target="footer330.xml"/><Relationship Id="rId335" Type="http://schemas.openxmlformats.org/officeDocument/2006/relationships/footer" Target="footer329.xml"/><Relationship Id="rId334" Type="http://schemas.openxmlformats.org/officeDocument/2006/relationships/footer" Target="footer328.xml"/><Relationship Id="rId333" Type="http://schemas.openxmlformats.org/officeDocument/2006/relationships/footer" Target="footer327.xml"/><Relationship Id="rId332" Type="http://schemas.openxmlformats.org/officeDocument/2006/relationships/footer" Target="footer326.xml"/><Relationship Id="rId331" Type="http://schemas.openxmlformats.org/officeDocument/2006/relationships/footer" Target="footer325.xml"/><Relationship Id="rId330" Type="http://schemas.openxmlformats.org/officeDocument/2006/relationships/footer" Target="footer324.xml"/><Relationship Id="rId33" Type="http://schemas.openxmlformats.org/officeDocument/2006/relationships/footer" Target="footer27.xml"/><Relationship Id="rId329" Type="http://schemas.openxmlformats.org/officeDocument/2006/relationships/footer" Target="footer323.xml"/><Relationship Id="rId328" Type="http://schemas.openxmlformats.org/officeDocument/2006/relationships/footer" Target="footer322.xml"/><Relationship Id="rId327" Type="http://schemas.openxmlformats.org/officeDocument/2006/relationships/footer" Target="footer321.xml"/><Relationship Id="rId326" Type="http://schemas.openxmlformats.org/officeDocument/2006/relationships/footer" Target="footer320.xml"/><Relationship Id="rId325" Type="http://schemas.openxmlformats.org/officeDocument/2006/relationships/footer" Target="footer319.xml"/><Relationship Id="rId324" Type="http://schemas.openxmlformats.org/officeDocument/2006/relationships/footer" Target="footer318.xml"/><Relationship Id="rId323" Type="http://schemas.openxmlformats.org/officeDocument/2006/relationships/footer" Target="footer317.xml"/><Relationship Id="rId322" Type="http://schemas.openxmlformats.org/officeDocument/2006/relationships/footer" Target="footer316.xml"/><Relationship Id="rId321" Type="http://schemas.openxmlformats.org/officeDocument/2006/relationships/footer" Target="footer315.xml"/><Relationship Id="rId320" Type="http://schemas.openxmlformats.org/officeDocument/2006/relationships/footer" Target="footer314.xml"/><Relationship Id="rId32" Type="http://schemas.openxmlformats.org/officeDocument/2006/relationships/footer" Target="footer26.xml"/><Relationship Id="rId319" Type="http://schemas.openxmlformats.org/officeDocument/2006/relationships/footer" Target="footer313.xml"/><Relationship Id="rId318" Type="http://schemas.openxmlformats.org/officeDocument/2006/relationships/footer" Target="footer312.xml"/><Relationship Id="rId317" Type="http://schemas.openxmlformats.org/officeDocument/2006/relationships/footer" Target="footer311.xml"/><Relationship Id="rId316" Type="http://schemas.openxmlformats.org/officeDocument/2006/relationships/footer" Target="footer310.xml"/><Relationship Id="rId315" Type="http://schemas.openxmlformats.org/officeDocument/2006/relationships/footer" Target="footer309.xml"/><Relationship Id="rId314" Type="http://schemas.openxmlformats.org/officeDocument/2006/relationships/footer" Target="footer308.xml"/><Relationship Id="rId313" Type="http://schemas.openxmlformats.org/officeDocument/2006/relationships/footer" Target="footer307.xml"/><Relationship Id="rId312" Type="http://schemas.openxmlformats.org/officeDocument/2006/relationships/footer" Target="footer306.xml"/><Relationship Id="rId311" Type="http://schemas.openxmlformats.org/officeDocument/2006/relationships/footer" Target="footer305.xml"/><Relationship Id="rId310" Type="http://schemas.openxmlformats.org/officeDocument/2006/relationships/footer" Target="footer304.xml"/><Relationship Id="rId31" Type="http://schemas.openxmlformats.org/officeDocument/2006/relationships/footer" Target="footer25.xml"/><Relationship Id="rId309" Type="http://schemas.openxmlformats.org/officeDocument/2006/relationships/footer" Target="footer303.xml"/><Relationship Id="rId308" Type="http://schemas.openxmlformats.org/officeDocument/2006/relationships/footer" Target="footer302.xml"/><Relationship Id="rId307" Type="http://schemas.openxmlformats.org/officeDocument/2006/relationships/footer" Target="footer301.xml"/><Relationship Id="rId306" Type="http://schemas.openxmlformats.org/officeDocument/2006/relationships/footer" Target="footer300.xml"/><Relationship Id="rId305" Type="http://schemas.openxmlformats.org/officeDocument/2006/relationships/footer" Target="footer299.xml"/><Relationship Id="rId304" Type="http://schemas.openxmlformats.org/officeDocument/2006/relationships/footer" Target="footer298.xml"/><Relationship Id="rId303" Type="http://schemas.openxmlformats.org/officeDocument/2006/relationships/footer" Target="footer297.xml"/><Relationship Id="rId302" Type="http://schemas.openxmlformats.org/officeDocument/2006/relationships/footer" Target="footer296.xml"/><Relationship Id="rId301" Type="http://schemas.openxmlformats.org/officeDocument/2006/relationships/footer" Target="footer295.xml"/><Relationship Id="rId300" Type="http://schemas.openxmlformats.org/officeDocument/2006/relationships/footer" Target="footer294.xml"/><Relationship Id="rId30" Type="http://schemas.openxmlformats.org/officeDocument/2006/relationships/footer" Target="footer24.xml"/><Relationship Id="rId3" Type="http://schemas.openxmlformats.org/officeDocument/2006/relationships/footnotes" Target="footnotes.xml"/><Relationship Id="rId299" Type="http://schemas.openxmlformats.org/officeDocument/2006/relationships/footer" Target="footer293.xml"/><Relationship Id="rId298" Type="http://schemas.openxmlformats.org/officeDocument/2006/relationships/footer" Target="footer292.xml"/><Relationship Id="rId297" Type="http://schemas.openxmlformats.org/officeDocument/2006/relationships/footer" Target="footer291.xml"/><Relationship Id="rId296" Type="http://schemas.openxmlformats.org/officeDocument/2006/relationships/footer" Target="footer290.xml"/><Relationship Id="rId295" Type="http://schemas.openxmlformats.org/officeDocument/2006/relationships/footer" Target="footer289.xml"/><Relationship Id="rId294" Type="http://schemas.openxmlformats.org/officeDocument/2006/relationships/footer" Target="footer288.xml"/><Relationship Id="rId293" Type="http://schemas.openxmlformats.org/officeDocument/2006/relationships/footer" Target="footer287.xml"/><Relationship Id="rId292" Type="http://schemas.openxmlformats.org/officeDocument/2006/relationships/footer" Target="footer286.xml"/><Relationship Id="rId291" Type="http://schemas.openxmlformats.org/officeDocument/2006/relationships/footer" Target="footer285.xml"/><Relationship Id="rId290" Type="http://schemas.openxmlformats.org/officeDocument/2006/relationships/footer" Target="footer284.xml"/><Relationship Id="rId29" Type="http://schemas.openxmlformats.org/officeDocument/2006/relationships/footer" Target="footer23.xml"/><Relationship Id="rId289" Type="http://schemas.openxmlformats.org/officeDocument/2006/relationships/footer" Target="footer283.xml"/><Relationship Id="rId288" Type="http://schemas.openxmlformats.org/officeDocument/2006/relationships/footer" Target="footer282.xml"/><Relationship Id="rId287" Type="http://schemas.openxmlformats.org/officeDocument/2006/relationships/footer" Target="footer281.xml"/><Relationship Id="rId286" Type="http://schemas.openxmlformats.org/officeDocument/2006/relationships/footer" Target="footer280.xml"/><Relationship Id="rId285" Type="http://schemas.openxmlformats.org/officeDocument/2006/relationships/footer" Target="footer279.xml"/><Relationship Id="rId284" Type="http://schemas.openxmlformats.org/officeDocument/2006/relationships/footer" Target="footer278.xml"/><Relationship Id="rId283" Type="http://schemas.openxmlformats.org/officeDocument/2006/relationships/footer" Target="footer277.xml"/><Relationship Id="rId282" Type="http://schemas.openxmlformats.org/officeDocument/2006/relationships/footer" Target="footer276.xml"/><Relationship Id="rId281" Type="http://schemas.openxmlformats.org/officeDocument/2006/relationships/footer" Target="footer275.xml"/><Relationship Id="rId280" Type="http://schemas.openxmlformats.org/officeDocument/2006/relationships/footer" Target="footer274.xml"/><Relationship Id="rId28" Type="http://schemas.openxmlformats.org/officeDocument/2006/relationships/footer" Target="footer22.xml"/><Relationship Id="rId279" Type="http://schemas.openxmlformats.org/officeDocument/2006/relationships/footer" Target="footer273.xml"/><Relationship Id="rId278" Type="http://schemas.openxmlformats.org/officeDocument/2006/relationships/footer" Target="footer272.xml"/><Relationship Id="rId277" Type="http://schemas.openxmlformats.org/officeDocument/2006/relationships/footer" Target="footer271.xml"/><Relationship Id="rId276" Type="http://schemas.openxmlformats.org/officeDocument/2006/relationships/footer" Target="footer270.xml"/><Relationship Id="rId275" Type="http://schemas.openxmlformats.org/officeDocument/2006/relationships/footer" Target="footer269.xml"/><Relationship Id="rId274" Type="http://schemas.openxmlformats.org/officeDocument/2006/relationships/footer" Target="footer268.xml"/><Relationship Id="rId273" Type="http://schemas.openxmlformats.org/officeDocument/2006/relationships/footer" Target="footer267.xml"/><Relationship Id="rId272" Type="http://schemas.openxmlformats.org/officeDocument/2006/relationships/footer" Target="footer266.xml"/><Relationship Id="rId271" Type="http://schemas.openxmlformats.org/officeDocument/2006/relationships/footer" Target="footer265.xml"/><Relationship Id="rId270" Type="http://schemas.openxmlformats.org/officeDocument/2006/relationships/footer" Target="footer264.xml"/><Relationship Id="rId27" Type="http://schemas.openxmlformats.org/officeDocument/2006/relationships/footer" Target="footer21.xml"/><Relationship Id="rId269" Type="http://schemas.openxmlformats.org/officeDocument/2006/relationships/footer" Target="footer263.xml"/><Relationship Id="rId268" Type="http://schemas.openxmlformats.org/officeDocument/2006/relationships/footer" Target="footer262.xml"/><Relationship Id="rId267" Type="http://schemas.openxmlformats.org/officeDocument/2006/relationships/footer" Target="footer261.xml"/><Relationship Id="rId266" Type="http://schemas.openxmlformats.org/officeDocument/2006/relationships/footer" Target="footer260.xml"/><Relationship Id="rId265" Type="http://schemas.openxmlformats.org/officeDocument/2006/relationships/footer" Target="footer259.xml"/><Relationship Id="rId264" Type="http://schemas.openxmlformats.org/officeDocument/2006/relationships/footer" Target="footer258.xml"/><Relationship Id="rId263" Type="http://schemas.openxmlformats.org/officeDocument/2006/relationships/footer" Target="footer257.xml"/><Relationship Id="rId262" Type="http://schemas.openxmlformats.org/officeDocument/2006/relationships/footer" Target="footer256.xml"/><Relationship Id="rId261" Type="http://schemas.openxmlformats.org/officeDocument/2006/relationships/footer" Target="footer255.xml"/><Relationship Id="rId260" Type="http://schemas.openxmlformats.org/officeDocument/2006/relationships/footer" Target="footer254.xml"/><Relationship Id="rId26" Type="http://schemas.openxmlformats.org/officeDocument/2006/relationships/footer" Target="footer20.xml"/><Relationship Id="rId259" Type="http://schemas.openxmlformats.org/officeDocument/2006/relationships/footer" Target="footer253.xml"/><Relationship Id="rId258" Type="http://schemas.openxmlformats.org/officeDocument/2006/relationships/footer" Target="footer252.xml"/><Relationship Id="rId257" Type="http://schemas.openxmlformats.org/officeDocument/2006/relationships/footer" Target="footer251.xml"/><Relationship Id="rId256" Type="http://schemas.openxmlformats.org/officeDocument/2006/relationships/footer" Target="footer250.xml"/><Relationship Id="rId255" Type="http://schemas.openxmlformats.org/officeDocument/2006/relationships/footer" Target="footer249.xml"/><Relationship Id="rId254" Type="http://schemas.openxmlformats.org/officeDocument/2006/relationships/footer" Target="footer248.xml"/><Relationship Id="rId253" Type="http://schemas.openxmlformats.org/officeDocument/2006/relationships/footer" Target="footer247.xml"/><Relationship Id="rId252" Type="http://schemas.openxmlformats.org/officeDocument/2006/relationships/footer" Target="footer246.xml"/><Relationship Id="rId251" Type="http://schemas.openxmlformats.org/officeDocument/2006/relationships/footer" Target="footer245.xml"/><Relationship Id="rId250" Type="http://schemas.openxmlformats.org/officeDocument/2006/relationships/footer" Target="footer244.xml"/><Relationship Id="rId25" Type="http://schemas.openxmlformats.org/officeDocument/2006/relationships/footer" Target="footer19.xml"/><Relationship Id="rId249" Type="http://schemas.openxmlformats.org/officeDocument/2006/relationships/footer" Target="footer243.xml"/><Relationship Id="rId248" Type="http://schemas.openxmlformats.org/officeDocument/2006/relationships/footer" Target="footer242.xml"/><Relationship Id="rId247" Type="http://schemas.openxmlformats.org/officeDocument/2006/relationships/footer" Target="footer241.xml"/><Relationship Id="rId246" Type="http://schemas.openxmlformats.org/officeDocument/2006/relationships/footer" Target="footer240.xml"/><Relationship Id="rId245" Type="http://schemas.openxmlformats.org/officeDocument/2006/relationships/footer" Target="footer239.xml"/><Relationship Id="rId244" Type="http://schemas.openxmlformats.org/officeDocument/2006/relationships/footer" Target="footer238.xml"/><Relationship Id="rId243" Type="http://schemas.openxmlformats.org/officeDocument/2006/relationships/footer" Target="footer237.xml"/><Relationship Id="rId242" Type="http://schemas.openxmlformats.org/officeDocument/2006/relationships/footer" Target="footer236.xml"/><Relationship Id="rId241" Type="http://schemas.openxmlformats.org/officeDocument/2006/relationships/footer" Target="footer235.xml"/><Relationship Id="rId240" Type="http://schemas.openxmlformats.org/officeDocument/2006/relationships/footer" Target="footer234.xml"/><Relationship Id="rId24" Type="http://schemas.openxmlformats.org/officeDocument/2006/relationships/footer" Target="footer18.xml"/><Relationship Id="rId239" Type="http://schemas.openxmlformats.org/officeDocument/2006/relationships/footer" Target="footer233.xml"/><Relationship Id="rId238" Type="http://schemas.openxmlformats.org/officeDocument/2006/relationships/footer" Target="footer232.xml"/><Relationship Id="rId237" Type="http://schemas.openxmlformats.org/officeDocument/2006/relationships/footer" Target="footer231.xml"/><Relationship Id="rId236" Type="http://schemas.openxmlformats.org/officeDocument/2006/relationships/footer" Target="footer230.xml"/><Relationship Id="rId235" Type="http://schemas.openxmlformats.org/officeDocument/2006/relationships/footer" Target="footer229.xml"/><Relationship Id="rId234" Type="http://schemas.openxmlformats.org/officeDocument/2006/relationships/footer" Target="footer228.xml"/><Relationship Id="rId233" Type="http://schemas.openxmlformats.org/officeDocument/2006/relationships/footer" Target="footer227.xml"/><Relationship Id="rId232" Type="http://schemas.openxmlformats.org/officeDocument/2006/relationships/footer" Target="footer226.xml"/><Relationship Id="rId231" Type="http://schemas.openxmlformats.org/officeDocument/2006/relationships/footer" Target="footer225.xml"/><Relationship Id="rId230" Type="http://schemas.openxmlformats.org/officeDocument/2006/relationships/footer" Target="footer224.xml"/><Relationship Id="rId23" Type="http://schemas.openxmlformats.org/officeDocument/2006/relationships/footer" Target="footer17.xml"/><Relationship Id="rId229" Type="http://schemas.openxmlformats.org/officeDocument/2006/relationships/footer" Target="footer223.xml"/><Relationship Id="rId228" Type="http://schemas.openxmlformats.org/officeDocument/2006/relationships/footer" Target="footer222.xml"/><Relationship Id="rId227" Type="http://schemas.openxmlformats.org/officeDocument/2006/relationships/footer" Target="footer221.xml"/><Relationship Id="rId226" Type="http://schemas.openxmlformats.org/officeDocument/2006/relationships/footer" Target="footer220.xml"/><Relationship Id="rId225" Type="http://schemas.openxmlformats.org/officeDocument/2006/relationships/footer" Target="footer219.xml"/><Relationship Id="rId224" Type="http://schemas.openxmlformats.org/officeDocument/2006/relationships/footer" Target="footer218.xml"/><Relationship Id="rId223" Type="http://schemas.openxmlformats.org/officeDocument/2006/relationships/footer" Target="footer217.xml"/><Relationship Id="rId222" Type="http://schemas.openxmlformats.org/officeDocument/2006/relationships/footer" Target="footer216.xml"/><Relationship Id="rId221" Type="http://schemas.openxmlformats.org/officeDocument/2006/relationships/footer" Target="footer215.xml"/><Relationship Id="rId220" Type="http://schemas.openxmlformats.org/officeDocument/2006/relationships/footer" Target="footer214.xml"/><Relationship Id="rId22" Type="http://schemas.openxmlformats.org/officeDocument/2006/relationships/footer" Target="footer16.xml"/><Relationship Id="rId219" Type="http://schemas.openxmlformats.org/officeDocument/2006/relationships/footer" Target="footer213.xml"/><Relationship Id="rId218" Type="http://schemas.openxmlformats.org/officeDocument/2006/relationships/footer" Target="footer212.xml"/><Relationship Id="rId217" Type="http://schemas.openxmlformats.org/officeDocument/2006/relationships/footer" Target="footer211.xml"/><Relationship Id="rId216" Type="http://schemas.openxmlformats.org/officeDocument/2006/relationships/footer" Target="footer210.xml"/><Relationship Id="rId215" Type="http://schemas.openxmlformats.org/officeDocument/2006/relationships/footer" Target="footer209.xml"/><Relationship Id="rId214" Type="http://schemas.openxmlformats.org/officeDocument/2006/relationships/footer" Target="footer208.xml"/><Relationship Id="rId213" Type="http://schemas.openxmlformats.org/officeDocument/2006/relationships/footer" Target="footer207.xml"/><Relationship Id="rId212" Type="http://schemas.openxmlformats.org/officeDocument/2006/relationships/footer" Target="footer206.xml"/><Relationship Id="rId211" Type="http://schemas.openxmlformats.org/officeDocument/2006/relationships/footer" Target="footer205.xml"/><Relationship Id="rId210" Type="http://schemas.openxmlformats.org/officeDocument/2006/relationships/footer" Target="footer204.xml"/><Relationship Id="rId21" Type="http://schemas.openxmlformats.org/officeDocument/2006/relationships/footer" Target="footer15.xml"/><Relationship Id="rId209" Type="http://schemas.openxmlformats.org/officeDocument/2006/relationships/footer" Target="footer203.xml"/><Relationship Id="rId208" Type="http://schemas.openxmlformats.org/officeDocument/2006/relationships/footer" Target="footer202.xml"/><Relationship Id="rId207" Type="http://schemas.openxmlformats.org/officeDocument/2006/relationships/footer" Target="footer201.xml"/><Relationship Id="rId206" Type="http://schemas.openxmlformats.org/officeDocument/2006/relationships/footer" Target="footer200.xml"/><Relationship Id="rId205" Type="http://schemas.openxmlformats.org/officeDocument/2006/relationships/footer" Target="footer199.xml"/><Relationship Id="rId204" Type="http://schemas.openxmlformats.org/officeDocument/2006/relationships/footer" Target="footer198.xml"/><Relationship Id="rId203" Type="http://schemas.openxmlformats.org/officeDocument/2006/relationships/footer" Target="footer197.xml"/><Relationship Id="rId202" Type="http://schemas.openxmlformats.org/officeDocument/2006/relationships/footer" Target="footer196.xml"/><Relationship Id="rId201" Type="http://schemas.openxmlformats.org/officeDocument/2006/relationships/footer" Target="footer195.xml"/><Relationship Id="rId200" Type="http://schemas.openxmlformats.org/officeDocument/2006/relationships/footer" Target="footer194.xml"/><Relationship Id="rId20" Type="http://schemas.openxmlformats.org/officeDocument/2006/relationships/footer" Target="footer14.xml"/><Relationship Id="rId2" Type="http://schemas.openxmlformats.org/officeDocument/2006/relationships/settings" Target="settings.xml"/><Relationship Id="rId199" Type="http://schemas.openxmlformats.org/officeDocument/2006/relationships/footer" Target="footer193.xml"/><Relationship Id="rId198" Type="http://schemas.openxmlformats.org/officeDocument/2006/relationships/footer" Target="footer192.xml"/><Relationship Id="rId197" Type="http://schemas.openxmlformats.org/officeDocument/2006/relationships/footer" Target="footer191.xml"/><Relationship Id="rId196" Type="http://schemas.openxmlformats.org/officeDocument/2006/relationships/footer" Target="footer190.xml"/><Relationship Id="rId195" Type="http://schemas.openxmlformats.org/officeDocument/2006/relationships/footer" Target="footer189.xml"/><Relationship Id="rId194" Type="http://schemas.openxmlformats.org/officeDocument/2006/relationships/footer" Target="footer188.xml"/><Relationship Id="rId193" Type="http://schemas.openxmlformats.org/officeDocument/2006/relationships/footer" Target="footer187.xml"/><Relationship Id="rId192" Type="http://schemas.openxmlformats.org/officeDocument/2006/relationships/footer" Target="footer186.xml"/><Relationship Id="rId191" Type="http://schemas.openxmlformats.org/officeDocument/2006/relationships/footer" Target="footer185.xml"/><Relationship Id="rId190" Type="http://schemas.openxmlformats.org/officeDocument/2006/relationships/footer" Target="footer184.xml"/><Relationship Id="rId19" Type="http://schemas.openxmlformats.org/officeDocument/2006/relationships/footer" Target="footer13.xml"/><Relationship Id="rId189" Type="http://schemas.openxmlformats.org/officeDocument/2006/relationships/footer" Target="footer183.xml"/><Relationship Id="rId188" Type="http://schemas.openxmlformats.org/officeDocument/2006/relationships/footer" Target="footer182.xml"/><Relationship Id="rId187" Type="http://schemas.openxmlformats.org/officeDocument/2006/relationships/footer" Target="footer181.xml"/><Relationship Id="rId186" Type="http://schemas.openxmlformats.org/officeDocument/2006/relationships/footer" Target="footer180.xml"/><Relationship Id="rId185" Type="http://schemas.openxmlformats.org/officeDocument/2006/relationships/footer" Target="footer179.xml"/><Relationship Id="rId184" Type="http://schemas.openxmlformats.org/officeDocument/2006/relationships/footer" Target="footer178.xml"/><Relationship Id="rId183" Type="http://schemas.openxmlformats.org/officeDocument/2006/relationships/footer" Target="footer177.xml"/><Relationship Id="rId182" Type="http://schemas.openxmlformats.org/officeDocument/2006/relationships/footer" Target="footer176.xml"/><Relationship Id="rId181" Type="http://schemas.openxmlformats.org/officeDocument/2006/relationships/footer" Target="footer175.xml"/><Relationship Id="rId180" Type="http://schemas.openxmlformats.org/officeDocument/2006/relationships/footer" Target="footer174.xml"/><Relationship Id="rId18" Type="http://schemas.openxmlformats.org/officeDocument/2006/relationships/footer" Target="footer12.xml"/><Relationship Id="rId179" Type="http://schemas.openxmlformats.org/officeDocument/2006/relationships/footer" Target="footer173.xml"/><Relationship Id="rId178" Type="http://schemas.openxmlformats.org/officeDocument/2006/relationships/footer" Target="footer172.xml"/><Relationship Id="rId177" Type="http://schemas.openxmlformats.org/officeDocument/2006/relationships/footer" Target="footer171.xml"/><Relationship Id="rId176" Type="http://schemas.openxmlformats.org/officeDocument/2006/relationships/footer" Target="footer170.xml"/><Relationship Id="rId175" Type="http://schemas.openxmlformats.org/officeDocument/2006/relationships/footer" Target="footer169.xml"/><Relationship Id="rId174" Type="http://schemas.openxmlformats.org/officeDocument/2006/relationships/footer" Target="footer168.xml"/><Relationship Id="rId173" Type="http://schemas.openxmlformats.org/officeDocument/2006/relationships/footer" Target="footer167.xml"/><Relationship Id="rId172" Type="http://schemas.openxmlformats.org/officeDocument/2006/relationships/footer" Target="footer166.xml"/><Relationship Id="rId171" Type="http://schemas.openxmlformats.org/officeDocument/2006/relationships/footer" Target="footer165.xml"/><Relationship Id="rId170" Type="http://schemas.openxmlformats.org/officeDocument/2006/relationships/footer" Target="footer164.xml"/><Relationship Id="rId17" Type="http://schemas.openxmlformats.org/officeDocument/2006/relationships/footer" Target="footer11.xml"/><Relationship Id="rId169" Type="http://schemas.openxmlformats.org/officeDocument/2006/relationships/footer" Target="footer163.xml"/><Relationship Id="rId168" Type="http://schemas.openxmlformats.org/officeDocument/2006/relationships/footer" Target="footer162.xml"/><Relationship Id="rId167" Type="http://schemas.openxmlformats.org/officeDocument/2006/relationships/footer" Target="footer161.xml"/><Relationship Id="rId166" Type="http://schemas.openxmlformats.org/officeDocument/2006/relationships/footer" Target="footer160.xml"/><Relationship Id="rId165" Type="http://schemas.openxmlformats.org/officeDocument/2006/relationships/footer" Target="footer159.xml"/><Relationship Id="rId164" Type="http://schemas.openxmlformats.org/officeDocument/2006/relationships/footer" Target="footer158.xml"/><Relationship Id="rId163" Type="http://schemas.openxmlformats.org/officeDocument/2006/relationships/footer" Target="footer157.xml"/><Relationship Id="rId162" Type="http://schemas.openxmlformats.org/officeDocument/2006/relationships/footer" Target="footer156.xml"/><Relationship Id="rId161" Type="http://schemas.openxmlformats.org/officeDocument/2006/relationships/footer" Target="footer155.xml"/><Relationship Id="rId160" Type="http://schemas.openxmlformats.org/officeDocument/2006/relationships/footer" Target="footer154.xml"/><Relationship Id="rId16" Type="http://schemas.openxmlformats.org/officeDocument/2006/relationships/footer" Target="footer10.xml"/><Relationship Id="rId159" Type="http://schemas.openxmlformats.org/officeDocument/2006/relationships/footer" Target="footer153.xml"/><Relationship Id="rId158" Type="http://schemas.openxmlformats.org/officeDocument/2006/relationships/footer" Target="footer152.xml"/><Relationship Id="rId157" Type="http://schemas.openxmlformats.org/officeDocument/2006/relationships/footer" Target="footer151.xml"/><Relationship Id="rId156" Type="http://schemas.openxmlformats.org/officeDocument/2006/relationships/footer" Target="footer150.xml"/><Relationship Id="rId155" Type="http://schemas.openxmlformats.org/officeDocument/2006/relationships/footer" Target="footer149.xml"/><Relationship Id="rId154" Type="http://schemas.openxmlformats.org/officeDocument/2006/relationships/footer" Target="footer148.xml"/><Relationship Id="rId153" Type="http://schemas.openxmlformats.org/officeDocument/2006/relationships/footer" Target="footer147.xml"/><Relationship Id="rId152" Type="http://schemas.openxmlformats.org/officeDocument/2006/relationships/footer" Target="footer146.xml"/><Relationship Id="rId151" Type="http://schemas.openxmlformats.org/officeDocument/2006/relationships/footer" Target="footer145.xml"/><Relationship Id="rId150" Type="http://schemas.openxmlformats.org/officeDocument/2006/relationships/footer" Target="footer144.xml"/><Relationship Id="rId15" Type="http://schemas.openxmlformats.org/officeDocument/2006/relationships/footer" Target="footer9.xml"/><Relationship Id="rId149" Type="http://schemas.openxmlformats.org/officeDocument/2006/relationships/footer" Target="footer143.xml"/><Relationship Id="rId148" Type="http://schemas.openxmlformats.org/officeDocument/2006/relationships/footer" Target="footer142.xml"/><Relationship Id="rId147" Type="http://schemas.openxmlformats.org/officeDocument/2006/relationships/footer" Target="footer141.xml"/><Relationship Id="rId146" Type="http://schemas.openxmlformats.org/officeDocument/2006/relationships/footer" Target="footer140.xml"/><Relationship Id="rId145" Type="http://schemas.openxmlformats.org/officeDocument/2006/relationships/footer" Target="footer139.xml"/><Relationship Id="rId144" Type="http://schemas.openxmlformats.org/officeDocument/2006/relationships/footer" Target="footer138.xml"/><Relationship Id="rId143" Type="http://schemas.openxmlformats.org/officeDocument/2006/relationships/footer" Target="footer137.xml"/><Relationship Id="rId142" Type="http://schemas.openxmlformats.org/officeDocument/2006/relationships/footer" Target="footer136.xml"/><Relationship Id="rId141" Type="http://schemas.openxmlformats.org/officeDocument/2006/relationships/footer" Target="footer135.xml"/><Relationship Id="rId140" Type="http://schemas.openxmlformats.org/officeDocument/2006/relationships/footer" Target="footer134.xml"/><Relationship Id="rId14" Type="http://schemas.openxmlformats.org/officeDocument/2006/relationships/footer" Target="footer8.xml"/><Relationship Id="rId139" Type="http://schemas.openxmlformats.org/officeDocument/2006/relationships/footer" Target="footer133.xml"/><Relationship Id="rId138" Type="http://schemas.openxmlformats.org/officeDocument/2006/relationships/footer" Target="footer132.xml"/><Relationship Id="rId137" Type="http://schemas.openxmlformats.org/officeDocument/2006/relationships/footer" Target="footer131.xml"/><Relationship Id="rId136" Type="http://schemas.openxmlformats.org/officeDocument/2006/relationships/footer" Target="footer130.xml"/><Relationship Id="rId135" Type="http://schemas.openxmlformats.org/officeDocument/2006/relationships/footer" Target="footer129.xml"/><Relationship Id="rId134" Type="http://schemas.openxmlformats.org/officeDocument/2006/relationships/footer" Target="footer128.xml"/><Relationship Id="rId133" Type="http://schemas.openxmlformats.org/officeDocument/2006/relationships/footer" Target="footer127.xml"/><Relationship Id="rId132" Type="http://schemas.openxmlformats.org/officeDocument/2006/relationships/footer" Target="footer126.xml"/><Relationship Id="rId131" Type="http://schemas.openxmlformats.org/officeDocument/2006/relationships/footer" Target="footer125.xml"/><Relationship Id="rId130" Type="http://schemas.openxmlformats.org/officeDocument/2006/relationships/footer" Target="footer124.xml"/><Relationship Id="rId13" Type="http://schemas.openxmlformats.org/officeDocument/2006/relationships/footer" Target="footer7.xml"/><Relationship Id="rId129" Type="http://schemas.openxmlformats.org/officeDocument/2006/relationships/footer" Target="footer123.xml"/><Relationship Id="rId128" Type="http://schemas.openxmlformats.org/officeDocument/2006/relationships/footer" Target="footer122.xml"/><Relationship Id="rId127" Type="http://schemas.openxmlformats.org/officeDocument/2006/relationships/footer" Target="footer121.xml"/><Relationship Id="rId126" Type="http://schemas.openxmlformats.org/officeDocument/2006/relationships/footer" Target="footer120.xml"/><Relationship Id="rId125" Type="http://schemas.openxmlformats.org/officeDocument/2006/relationships/footer" Target="footer119.xml"/><Relationship Id="rId124" Type="http://schemas.openxmlformats.org/officeDocument/2006/relationships/footer" Target="footer118.xml"/><Relationship Id="rId123" Type="http://schemas.openxmlformats.org/officeDocument/2006/relationships/footer" Target="footer117.xml"/><Relationship Id="rId122" Type="http://schemas.openxmlformats.org/officeDocument/2006/relationships/footer" Target="footer116.xml"/><Relationship Id="rId121" Type="http://schemas.openxmlformats.org/officeDocument/2006/relationships/footer" Target="footer115.xml"/><Relationship Id="rId120" Type="http://schemas.openxmlformats.org/officeDocument/2006/relationships/footer" Target="footer114.xml"/><Relationship Id="rId12" Type="http://schemas.openxmlformats.org/officeDocument/2006/relationships/footer" Target="footer6.xml"/><Relationship Id="rId119" Type="http://schemas.openxmlformats.org/officeDocument/2006/relationships/footer" Target="footer113.xml"/><Relationship Id="rId118" Type="http://schemas.openxmlformats.org/officeDocument/2006/relationships/footer" Target="footer112.xml"/><Relationship Id="rId117" Type="http://schemas.openxmlformats.org/officeDocument/2006/relationships/footer" Target="footer111.xml"/><Relationship Id="rId116" Type="http://schemas.openxmlformats.org/officeDocument/2006/relationships/footer" Target="footer110.xml"/><Relationship Id="rId115" Type="http://schemas.openxmlformats.org/officeDocument/2006/relationships/footer" Target="footer109.xml"/><Relationship Id="rId114" Type="http://schemas.openxmlformats.org/officeDocument/2006/relationships/footer" Target="footer108.xml"/><Relationship Id="rId113" Type="http://schemas.openxmlformats.org/officeDocument/2006/relationships/footer" Target="footer107.xml"/><Relationship Id="rId112" Type="http://schemas.openxmlformats.org/officeDocument/2006/relationships/footer" Target="footer106.xml"/><Relationship Id="rId111" Type="http://schemas.openxmlformats.org/officeDocument/2006/relationships/footer" Target="footer105.xml"/><Relationship Id="rId110" Type="http://schemas.openxmlformats.org/officeDocument/2006/relationships/footer" Target="footer104.xml"/><Relationship Id="rId11" Type="http://schemas.openxmlformats.org/officeDocument/2006/relationships/footer" Target="footer5.xml"/><Relationship Id="rId109" Type="http://schemas.openxmlformats.org/officeDocument/2006/relationships/footer" Target="footer103.xml"/><Relationship Id="rId108" Type="http://schemas.openxmlformats.org/officeDocument/2006/relationships/footer" Target="footer102.xml"/><Relationship Id="rId107" Type="http://schemas.openxmlformats.org/officeDocument/2006/relationships/footer" Target="footer101.xml"/><Relationship Id="rId106" Type="http://schemas.openxmlformats.org/officeDocument/2006/relationships/footer" Target="footer100.xml"/><Relationship Id="rId105" Type="http://schemas.openxmlformats.org/officeDocument/2006/relationships/footer" Target="footer99.xml"/><Relationship Id="rId104" Type="http://schemas.openxmlformats.org/officeDocument/2006/relationships/footer" Target="footer98.xml"/><Relationship Id="rId103" Type="http://schemas.openxmlformats.org/officeDocument/2006/relationships/footer" Target="footer97.xml"/><Relationship Id="rId102" Type="http://schemas.openxmlformats.org/officeDocument/2006/relationships/footer" Target="footer96.xml"/><Relationship Id="rId101" Type="http://schemas.openxmlformats.org/officeDocument/2006/relationships/footer" Target="footer95.xml"/><Relationship Id="rId100" Type="http://schemas.openxmlformats.org/officeDocument/2006/relationships/footer" Target="footer94.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textRotate="1"/>
    <customShpInfo spid="_x0000_s1028"/>
    <customShpInfo spid="_x0000_s1029"/>
    <customShpInfo spid="_x0000_s1027"/>
    <customShpInfo spid="_x0000_s1031"/>
    <customShpInfo spid="_x0000_s1032"/>
    <customShpInfo spid="_x0000_s1033"/>
    <customShpInfo spid="_x0000_s1034"/>
    <customShpInfo spid="_x0000_s1035"/>
    <customShpInfo spid="_x0000_s1036"/>
    <customShpInfo spid="_x0000_s1037"/>
    <customShpInfo spid="_x0000_s1030"/>
    <customShpInfo spid="_x0000_s1038"/>
    <customShpInfo spid="_x0000_s1039" textRotate="1"/>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688</Pages>
  <Words>2832</Words>
  <Characters>3131</Characters>
  <TotalTime>1</TotalTime>
  <ScaleCrop>false</ScaleCrop>
  <LinksUpToDate>false</LinksUpToDate>
  <CharactersWithSpaces>3584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2026-05-20T21:48:00Z</dcterms:created>
  <dc:creator>osiri</dc:creator>
  <cp:lastModifiedBy>谢xf</cp:lastModifiedBy>
  <dcterms:modified xsi:type="dcterms:W3CDTF">2026-05-20T13:55:07Z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2026-05-20T21:48:41Z</vt:filetime>
  </property>
  <property fmtid="{D5CDD505-2E9C-101B-9397-08002B2CF9AE}" pid="4" name="UsrData">
    <vt:lpwstr>6a0dbb91a4d3c6001f24e172wl</vt:lpwstr>
  </property>
  <property fmtid="{D5CDD505-2E9C-101B-9397-08002B2CF9AE}" pid="5" name="KSOTemplateDocerSaveRecord">
    <vt:lpwstr>eyJoZGlkIjoiYmI2MDRhMjRhNTJhMTdlN2JhNDI1MGI1ZTM0MDY2ZGIiLCJ1c2VySWQiOiIyNDIwMDgwNDQifQ==</vt:lpwstr>
  </property>
  <property fmtid="{D5CDD505-2E9C-101B-9397-08002B2CF9AE}" pid="6" name="KSOProductBuildVer">
    <vt:lpwstr>2052-12.1.0.26375</vt:lpwstr>
  </property>
  <property fmtid="{D5CDD505-2E9C-101B-9397-08002B2CF9AE}" pid="7" name="ICV">
    <vt:lpwstr>FC1BA9187141499EA15C118452FE5E61_13</vt:lpwstr>
  </property>
</Properties>
</file>